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2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25.xml" ContentType="application/vnd.openxmlformats-officedocument.wordprocessingml.header+xml"/>
  <Override PartName="/word/footer58.xml" ContentType="application/vnd.openxmlformats-officedocument.wordprocessingml.footer+xml"/>
  <Override PartName="/word/header2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29.xml" ContentType="application/vnd.openxmlformats-officedocument.wordprocessingml.header+xml"/>
  <Override PartName="/word/footer66.xml" ContentType="application/vnd.openxmlformats-officedocument.wordprocessingml.footer+xml"/>
  <Override PartName="/word/header3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3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37.xml" ContentType="application/vnd.openxmlformats-officedocument.wordprocessingml.header+xml"/>
  <Override PartName="/word/footer8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40.xml" ContentType="application/vnd.openxmlformats-officedocument.wordprocessingml.header+xml"/>
  <Override PartName="/word/footer85.xml" ContentType="application/vnd.openxmlformats-officedocument.wordprocessingml.footer+xml"/>
  <Override PartName="/word/header41.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42.xml" ContentType="application/vnd.openxmlformats-officedocument.wordprocessingml.header+xml"/>
  <Override PartName="/word/footer88.xml" ContentType="application/vnd.openxmlformats-officedocument.wordprocessingml.footer+xml"/>
  <Override PartName="/word/header43.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44.xml" ContentType="application/vnd.openxmlformats-officedocument.wordprocessingml.header+xml"/>
  <Override PartName="/word/footer9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47.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48.xml" ContentType="application/vnd.openxmlformats-officedocument.wordprocessingml.header+xml"/>
  <Override PartName="/word/footer105.xml" ContentType="application/vnd.openxmlformats-officedocument.wordprocessingml.footer+xml"/>
  <Override PartName="/word/header49.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50.xml" ContentType="application/vnd.openxmlformats-officedocument.wordprocessingml.header+xml"/>
  <Override PartName="/word/footer108.xml" ContentType="application/vnd.openxmlformats-officedocument.wordprocessingml.footer+xml"/>
  <Override PartName="/word/header5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52.xml" ContentType="application/vnd.openxmlformats-officedocument.wordprocessingml.header+xml"/>
  <Override PartName="/word/footer111.xml" ContentType="application/vnd.openxmlformats-officedocument.wordprocessingml.footer+xml"/>
  <Override PartName="/word/header5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54.xml" ContentType="application/vnd.openxmlformats-officedocument.wordprocessingml.header+xml"/>
  <Override PartName="/word/footer114.xml" ContentType="application/vnd.openxmlformats-officedocument.wordprocessingml.footer+xml"/>
  <Override PartName="/word/header55.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56.xml" ContentType="application/vnd.openxmlformats-officedocument.wordprocessingml.header+xml"/>
  <Override PartName="/word/footer117.xml" ContentType="application/vnd.openxmlformats-officedocument.wordprocessingml.footer+xml"/>
  <Override PartName="/word/header57.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58.xml" ContentType="application/vnd.openxmlformats-officedocument.wordprocessingml.header+xml"/>
  <Override PartName="/word/footer120.xml" ContentType="application/vnd.openxmlformats-officedocument.wordprocessingml.footer+xml"/>
  <Override PartName="/word/header59.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60.xml" ContentType="application/vnd.openxmlformats-officedocument.wordprocessingml.header+xml"/>
  <Override PartName="/word/footer123.xml" ContentType="application/vnd.openxmlformats-officedocument.wordprocessingml.footer+xml"/>
  <Override PartName="/word/header61.xml" ContentType="application/vnd.openxmlformats-officedocument.wordprocessingml.header+xml"/>
  <Override PartName="/word/footer124.xml" ContentType="application/vnd.openxmlformats-officedocument.wordprocessingml.footer+xml"/>
  <Override PartName="/word/header62.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63.xml" ContentType="application/vnd.openxmlformats-officedocument.wordprocessingml.header+xml"/>
  <Override PartName="/word/footer127.xml" ContentType="application/vnd.openxmlformats-officedocument.wordprocessingml.footer+xml"/>
  <Override PartName="/word/header64.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65.xml" ContentType="application/vnd.openxmlformats-officedocument.wordprocessingml.header+xml"/>
  <Override PartName="/word/footer130.xml" ContentType="application/vnd.openxmlformats-officedocument.wordprocessingml.footer+xml"/>
  <Override PartName="/word/header66.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67.xml" ContentType="application/vnd.openxmlformats-officedocument.wordprocessingml.header+xml"/>
  <Override PartName="/word/footer133.xml" ContentType="application/vnd.openxmlformats-officedocument.wordprocessingml.footer+xml"/>
  <Override PartName="/word/header68.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69.xml" ContentType="application/vnd.openxmlformats-officedocument.wordprocessingml.header+xml"/>
  <Override PartName="/word/footer136.xml" ContentType="application/vnd.openxmlformats-officedocument.wordprocessingml.footer+xml"/>
  <Override PartName="/word/header70.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71.xml" ContentType="application/vnd.openxmlformats-officedocument.wordprocessingml.header+xml"/>
  <Override PartName="/word/footer139.xml" ContentType="application/vnd.openxmlformats-officedocument.wordprocessingml.footer+xml"/>
  <Override PartName="/word/header72.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73.xml" ContentType="application/vnd.openxmlformats-officedocument.wordprocessingml.header+xml"/>
  <Override PartName="/word/footer142.xml" ContentType="application/vnd.openxmlformats-officedocument.wordprocessingml.footer+xml"/>
  <Override PartName="/word/header7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75.xml" ContentType="application/vnd.openxmlformats-officedocument.wordprocessingml.header+xml"/>
  <Override PartName="/word/footer145.xml" ContentType="application/vnd.openxmlformats-officedocument.wordprocessingml.footer+xml"/>
  <Override PartName="/word/header76.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77.xml" ContentType="application/vnd.openxmlformats-officedocument.wordprocessingml.header+xml"/>
  <Override PartName="/word/footer148.xml" ContentType="application/vnd.openxmlformats-officedocument.wordprocessingml.footer+xml"/>
  <Override PartName="/word/header78.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79.xml" ContentType="application/vnd.openxmlformats-officedocument.wordprocessingml.header+xml"/>
  <Override PartName="/word/footer151.xml" ContentType="application/vnd.openxmlformats-officedocument.wordprocessingml.footer+xml"/>
  <Override PartName="/word/header80.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81.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82.xml" ContentType="application/vnd.openxmlformats-officedocument.wordprocessingml.header+xml"/>
  <Override PartName="/word/footer156.xml" ContentType="application/vnd.openxmlformats-officedocument.wordprocessingml.footer+xml"/>
  <Override PartName="/word/header83.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84.xml" ContentType="application/vnd.openxmlformats-officedocument.wordprocessingml.header+xml"/>
  <Override PartName="/word/footer159.xml" ContentType="application/vnd.openxmlformats-officedocument.wordprocessingml.footer+xml"/>
  <Override PartName="/word/header85.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86.xml" ContentType="application/vnd.openxmlformats-officedocument.wordprocessingml.header+xml"/>
  <Override PartName="/word/footer162.xml" ContentType="application/vnd.openxmlformats-officedocument.wordprocessingml.footer+xml"/>
  <Override PartName="/word/header87.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88.xml" ContentType="application/vnd.openxmlformats-officedocument.wordprocessingml.header+xml"/>
  <Override PartName="/word/footer165.xml" ContentType="application/vnd.openxmlformats-officedocument.wordprocessingml.footer+xml"/>
  <Override PartName="/word/header89.xml" ContentType="application/vnd.openxmlformats-officedocument.wordprocessingml.header+xml"/>
  <Override PartName="/word/footer166.xml" ContentType="application/vnd.openxmlformats-officedocument.wordprocessingml.footer+xml"/>
  <Override PartName="/word/header90.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91.xml" ContentType="application/vnd.openxmlformats-officedocument.wordprocessingml.header+xml"/>
  <Override PartName="/word/footer169.xml" ContentType="application/vnd.openxmlformats-officedocument.wordprocessingml.footer+xml"/>
  <Override PartName="/word/header92.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93.xml" ContentType="application/vnd.openxmlformats-officedocument.wordprocessingml.header+xml"/>
  <Override PartName="/word/footer172.xml" ContentType="application/vnd.openxmlformats-officedocument.wordprocessingml.footer+xml"/>
  <Override PartName="/word/header94.xml" ContentType="application/vnd.openxmlformats-officedocument.wordprocessingml.header+xml"/>
  <Override PartName="/word/footer173.xml" ContentType="application/vnd.openxmlformats-officedocument.wordprocessingml.footer+xml"/>
  <Override PartName="/word/header95.xml" ContentType="application/vnd.openxmlformats-officedocument.wordprocessingml.header+xml"/>
  <Override PartName="/word/footer174.xml" ContentType="application/vnd.openxmlformats-officedocument.wordprocessingml.footer+xml"/>
  <Override PartName="/word/header96.xml" ContentType="application/vnd.openxmlformats-officedocument.wordprocessingml.header+xml"/>
  <Override PartName="/word/footer175.xml" ContentType="application/vnd.openxmlformats-officedocument.wordprocessingml.footer+xml"/>
  <Override PartName="/word/header97.xml" ContentType="application/vnd.openxmlformats-officedocument.wordprocessingml.header+xml"/>
  <Override PartName="/word/footer176.xml" ContentType="application/vnd.openxmlformats-officedocument.wordprocessingml.footer+xml"/>
  <Override PartName="/word/header98.xml" ContentType="application/vnd.openxmlformats-officedocument.wordprocessingml.header+xml"/>
  <Override PartName="/word/footer177.xml" ContentType="application/vnd.openxmlformats-officedocument.wordprocessingml.footer+xml"/>
  <Override PartName="/word/header99.xml" ContentType="application/vnd.openxmlformats-officedocument.wordprocessingml.header+xml"/>
  <Override PartName="/word/footer178.xml" ContentType="application/vnd.openxmlformats-officedocument.wordprocessingml.footer+xml"/>
  <Override PartName="/word/header100.xml" ContentType="application/vnd.openxmlformats-officedocument.wordprocessingml.header+xml"/>
  <Override PartName="/word/footer179.xml" ContentType="application/vnd.openxmlformats-officedocument.wordprocessingml.footer+xml"/>
  <Override PartName="/word/header101.xml" ContentType="application/vnd.openxmlformats-officedocument.wordprocessingml.header+xml"/>
  <Override PartName="/word/footer180.xml" ContentType="application/vnd.openxmlformats-officedocument.wordprocessingml.footer+xml"/>
  <Override PartName="/word/header102.xml" ContentType="application/vnd.openxmlformats-officedocument.wordprocessingml.header+xml"/>
  <Override PartName="/word/footer181.xml" ContentType="application/vnd.openxmlformats-officedocument.wordprocessingml.footer+xml"/>
  <Override PartName="/word/header103.xml" ContentType="application/vnd.openxmlformats-officedocument.wordprocessingml.header+xml"/>
  <Override PartName="/word/footer182.xml" ContentType="application/vnd.openxmlformats-officedocument.wordprocessingml.footer+xml"/>
  <Override PartName="/word/header104.xml" ContentType="application/vnd.openxmlformats-officedocument.wordprocessingml.header+xml"/>
  <Override PartName="/word/footer183.xml" ContentType="application/vnd.openxmlformats-officedocument.wordprocessingml.footer+xml"/>
  <Override PartName="/word/header105.xml" ContentType="application/vnd.openxmlformats-officedocument.wordprocessingml.header+xml"/>
  <Override PartName="/word/footer184.xml" ContentType="application/vnd.openxmlformats-officedocument.wordprocessingml.footer+xml"/>
  <Override PartName="/word/header106.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07.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header116.xml" ContentType="application/vnd.openxmlformats-officedocument.wordprocessingml.header+xml"/>
  <Override PartName="/word/footer229.xml" ContentType="application/vnd.openxmlformats-officedocument.wordprocessingml.footer+xml"/>
  <Override PartName="/word/header117.xml" ContentType="application/vnd.openxmlformats-officedocument.wordprocessingml.header+xml"/>
  <Override PartName="/word/footer2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244A3" w14:textId="44B2DBA1" w:rsidR="00084F36" w:rsidRPr="00EB2BD8" w:rsidRDefault="00084F36">
      <w:pPr>
        <w:pStyle w:val="BodyText"/>
        <w:rPr>
          <w:rFonts w:ascii="Times New Roman"/>
          <w:sz w:val="20"/>
        </w:rPr>
      </w:pPr>
    </w:p>
    <w:p w14:paraId="667FDC08" w14:textId="77777777" w:rsidR="00084F36" w:rsidRPr="00EB2BD8" w:rsidRDefault="00084F36">
      <w:pPr>
        <w:pStyle w:val="BodyText"/>
        <w:rPr>
          <w:rFonts w:ascii="Times New Roman"/>
          <w:sz w:val="20"/>
        </w:rPr>
      </w:pPr>
    </w:p>
    <w:p w14:paraId="52290F4C" w14:textId="77777777" w:rsidR="00084F36" w:rsidRPr="00EB2BD8" w:rsidRDefault="00084F36">
      <w:pPr>
        <w:pStyle w:val="BodyText"/>
        <w:rPr>
          <w:rFonts w:ascii="Times New Roman"/>
          <w:sz w:val="20"/>
        </w:rPr>
      </w:pPr>
    </w:p>
    <w:p w14:paraId="0C3CC223" w14:textId="77777777" w:rsidR="00084F36" w:rsidRPr="00EB2BD8" w:rsidRDefault="00084F36">
      <w:pPr>
        <w:pStyle w:val="BodyText"/>
        <w:spacing w:before="9"/>
        <w:rPr>
          <w:rFonts w:ascii="Times New Roman"/>
          <w:sz w:val="17"/>
        </w:rPr>
      </w:pPr>
    </w:p>
    <w:p w14:paraId="4E6816D4" w14:textId="77777777" w:rsidR="00C96154" w:rsidRPr="00EB2BD8" w:rsidRDefault="00C96154" w:rsidP="00EB2BD8">
      <w:pPr>
        <w:pStyle w:val="Heading1"/>
      </w:pPr>
      <w:bookmarkStart w:id="0" w:name="_Toc150762310"/>
      <w:r w:rsidRPr="00EB2BD8">
        <w:t>Victorian Building Authority</w:t>
      </w:r>
      <w:bookmarkEnd w:id="0"/>
    </w:p>
    <w:p w14:paraId="69554BD2" w14:textId="2A565E30" w:rsidR="00C96154" w:rsidRPr="00EB2BD8" w:rsidRDefault="00EB2BD8" w:rsidP="00EB2BD8">
      <w:pPr>
        <w:pStyle w:val="Heading1"/>
        <w:rPr>
          <w:spacing w:val="-13"/>
        </w:rPr>
      </w:pPr>
      <w:bookmarkStart w:id="1" w:name="_Toc150762311"/>
      <w:r w:rsidRPr="00EB2BD8">
        <w:t xml:space="preserve">Annual </w:t>
      </w:r>
      <w:r w:rsidRPr="00EB2BD8">
        <w:rPr>
          <w:spacing w:val="-13"/>
        </w:rPr>
        <w:t>Report</w:t>
      </w:r>
      <w:bookmarkEnd w:id="1"/>
    </w:p>
    <w:p w14:paraId="4D769C5D" w14:textId="2E17FD18" w:rsidR="00084F36" w:rsidRPr="00EB2BD8" w:rsidRDefault="00EB2BD8" w:rsidP="00EB2BD8">
      <w:pPr>
        <w:pStyle w:val="Heading1"/>
      </w:pPr>
      <w:bookmarkStart w:id="2" w:name="_Toc150762312"/>
      <w:r w:rsidRPr="00EB2BD8">
        <w:rPr>
          <w:w w:val="90"/>
        </w:rPr>
        <w:t>2022/23</w:t>
      </w:r>
      <w:bookmarkEnd w:id="2"/>
    </w:p>
    <w:p w14:paraId="5A5975B3" w14:textId="77777777" w:rsidR="00084F36" w:rsidRPr="00EB2BD8" w:rsidRDefault="00084F36">
      <w:pPr>
        <w:spacing w:line="1012" w:lineRule="exact"/>
        <w:rPr>
          <w:sz w:val="86"/>
        </w:rPr>
        <w:sectPr w:rsidR="00084F36" w:rsidRPr="00EB2BD8" w:rsidSect="00620CAB">
          <w:type w:val="continuous"/>
          <w:pgSz w:w="11910" w:h="16840"/>
          <w:pgMar w:top="1920" w:right="0" w:bottom="709" w:left="0" w:header="720" w:footer="720" w:gutter="0"/>
          <w:cols w:space="720"/>
        </w:sectPr>
      </w:pPr>
    </w:p>
    <w:p w14:paraId="35052CAB" w14:textId="77777777" w:rsidR="00084F36" w:rsidRPr="00EB2BD8" w:rsidRDefault="00084F36">
      <w:pPr>
        <w:pStyle w:val="BodyText"/>
        <w:rPr>
          <w:sz w:val="20"/>
        </w:rPr>
      </w:pPr>
    </w:p>
    <w:p w14:paraId="228F7164" w14:textId="77777777" w:rsidR="00084F36" w:rsidRPr="00EB2BD8" w:rsidRDefault="00084F36">
      <w:pPr>
        <w:pStyle w:val="BodyText"/>
        <w:rPr>
          <w:sz w:val="20"/>
        </w:rPr>
      </w:pPr>
    </w:p>
    <w:p w14:paraId="73FDD7ED" w14:textId="77777777" w:rsidR="00084F36" w:rsidRPr="00EB2BD8" w:rsidRDefault="00084F36">
      <w:pPr>
        <w:pStyle w:val="BodyText"/>
        <w:rPr>
          <w:sz w:val="20"/>
        </w:rPr>
      </w:pPr>
    </w:p>
    <w:p w14:paraId="6C518DB0" w14:textId="77777777" w:rsidR="00084F36" w:rsidRPr="00EB2BD8" w:rsidRDefault="00084F36">
      <w:pPr>
        <w:pStyle w:val="BodyText"/>
        <w:rPr>
          <w:sz w:val="20"/>
        </w:rPr>
      </w:pPr>
    </w:p>
    <w:p w14:paraId="0FB59D0A" w14:textId="77777777" w:rsidR="00084F36" w:rsidRPr="00EB2BD8" w:rsidRDefault="00084F36">
      <w:pPr>
        <w:pStyle w:val="BodyText"/>
        <w:rPr>
          <w:sz w:val="20"/>
        </w:rPr>
      </w:pPr>
    </w:p>
    <w:p w14:paraId="4556451A" w14:textId="77777777" w:rsidR="00084F36" w:rsidRPr="00EB2BD8" w:rsidRDefault="00084F36">
      <w:pPr>
        <w:pStyle w:val="BodyText"/>
        <w:rPr>
          <w:sz w:val="20"/>
        </w:rPr>
      </w:pPr>
    </w:p>
    <w:p w14:paraId="19A5C054" w14:textId="77777777" w:rsidR="00084F36" w:rsidRPr="00EB2BD8" w:rsidRDefault="00084F36">
      <w:pPr>
        <w:pStyle w:val="BodyText"/>
        <w:rPr>
          <w:sz w:val="20"/>
        </w:rPr>
      </w:pPr>
    </w:p>
    <w:p w14:paraId="06D00DBE" w14:textId="77777777" w:rsidR="00084F36" w:rsidRPr="00EB2BD8" w:rsidRDefault="00084F36">
      <w:pPr>
        <w:pStyle w:val="BodyText"/>
        <w:rPr>
          <w:sz w:val="20"/>
        </w:rPr>
      </w:pPr>
    </w:p>
    <w:p w14:paraId="76ABE07A" w14:textId="77777777" w:rsidR="00084F36" w:rsidRPr="00EB2BD8" w:rsidRDefault="00084F36">
      <w:pPr>
        <w:pStyle w:val="BodyText"/>
        <w:spacing w:before="3"/>
        <w:rPr>
          <w:sz w:val="29"/>
        </w:rPr>
      </w:pPr>
    </w:p>
    <w:p w14:paraId="3ACF99D6" w14:textId="0C1501BE" w:rsidR="00084F36" w:rsidRPr="00EB2BD8" w:rsidRDefault="00EB2BD8" w:rsidP="000231D6">
      <w:pPr>
        <w:pStyle w:val="Heading2"/>
      </w:pPr>
      <w:bookmarkStart w:id="3" w:name="_TOC_250007"/>
      <w:bookmarkStart w:id="4" w:name="_Toc150762313"/>
      <w:bookmarkEnd w:id="3"/>
      <w:r w:rsidRPr="00EB2BD8">
        <w:t>Acknowledgements</w:t>
      </w:r>
      <w:bookmarkEnd w:id="4"/>
    </w:p>
    <w:p w14:paraId="494D87C6" w14:textId="77777777" w:rsidR="00084F36" w:rsidRPr="00EB2BD8" w:rsidRDefault="00084F36">
      <w:pPr>
        <w:pStyle w:val="BodyText"/>
        <w:rPr>
          <w:rFonts w:ascii="Tahoma"/>
          <w:b/>
          <w:sz w:val="20"/>
        </w:rPr>
      </w:pPr>
    </w:p>
    <w:p w14:paraId="3E5E9963" w14:textId="77777777" w:rsidR="00084F36" w:rsidRPr="00EB2BD8" w:rsidRDefault="00084F36">
      <w:pPr>
        <w:pStyle w:val="BodyText"/>
        <w:rPr>
          <w:rFonts w:ascii="Tahoma"/>
          <w:b/>
          <w:sz w:val="20"/>
        </w:rPr>
      </w:pPr>
    </w:p>
    <w:p w14:paraId="4E2F385D" w14:textId="77777777" w:rsidR="00084F36" w:rsidRPr="00EB2BD8" w:rsidRDefault="00084F36">
      <w:pPr>
        <w:pStyle w:val="BodyText"/>
        <w:rPr>
          <w:rFonts w:ascii="Tahoma"/>
          <w:b/>
          <w:sz w:val="20"/>
        </w:rPr>
      </w:pPr>
    </w:p>
    <w:p w14:paraId="049239FB" w14:textId="77777777" w:rsidR="00084F36" w:rsidRPr="00EB2BD8" w:rsidRDefault="00084F36" w:rsidP="000231D6">
      <w:pPr>
        <w:pStyle w:val="BodyText"/>
        <w:jc w:val="center"/>
        <w:rPr>
          <w:rFonts w:ascii="Tahoma"/>
          <w:b/>
          <w:sz w:val="20"/>
        </w:rPr>
      </w:pPr>
    </w:p>
    <w:p w14:paraId="78C6FEC3" w14:textId="6A192801" w:rsidR="00084F36" w:rsidRPr="00EB2BD8" w:rsidRDefault="00084F36" w:rsidP="000231D6">
      <w:pPr>
        <w:tabs>
          <w:tab w:val="center" w:pos="5955"/>
        </w:tabs>
        <w:rPr>
          <w:rFonts w:ascii="Tahoma"/>
          <w:sz w:val="20"/>
        </w:rPr>
        <w:sectPr w:rsidR="00084F36" w:rsidRPr="00EB2BD8" w:rsidSect="006D75B2">
          <w:headerReference w:type="default" r:id="rId10"/>
          <w:footerReference w:type="default" r:id="rId11"/>
          <w:pgSz w:w="11910" w:h="16840"/>
          <w:pgMar w:top="0" w:right="0" w:bottom="0" w:left="0" w:header="720" w:footer="720" w:gutter="0"/>
          <w:cols w:space="720"/>
        </w:sectPr>
      </w:pPr>
    </w:p>
    <w:p w14:paraId="052881F8" w14:textId="77777777" w:rsidR="00084F36" w:rsidRPr="00EB2BD8" w:rsidRDefault="00EB2BD8" w:rsidP="00C96154">
      <w:pPr>
        <w:pStyle w:val="Heading2"/>
      </w:pPr>
      <w:bookmarkStart w:id="5" w:name="_Toc150762314"/>
      <w:r w:rsidRPr="00EB2BD8">
        <w:rPr>
          <w:w w:val="90"/>
        </w:rPr>
        <w:t>Aboriginal</w:t>
      </w:r>
      <w:r w:rsidRPr="00EB2BD8">
        <w:rPr>
          <w:spacing w:val="38"/>
        </w:rPr>
        <w:t xml:space="preserve"> </w:t>
      </w:r>
      <w:r w:rsidRPr="00EB2BD8">
        <w:t>acknowledgement</w:t>
      </w:r>
      <w:bookmarkEnd w:id="5"/>
    </w:p>
    <w:p w14:paraId="7E0EB5C5" w14:textId="77777777" w:rsidR="00084F36" w:rsidRPr="00EB2BD8" w:rsidRDefault="00EB2BD8">
      <w:pPr>
        <w:spacing w:before="79" w:line="247" w:lineRule="auto"/>
        <w:ind w:left="836"/>
        <w:rPr>
          <w:sz w:val="19"/>
        </w:rPr>
      </w:pPr>
      <w:r w:rsidRPr="00EB2BD8">
        <w:rPr>
          <w:rFonts w:ascii="Arial" w:hAnsi="Arial" w:cs="Arial"/>
        </w:rPr>
        <w:t>The VBA respectfully acknowledges the Traditional Owners and custodians of the land and water</w:t>
      </w:r>
      <w:r w:rsidRPr="00EB2BD8">
        <w:rPr>
          <w:rFonts w:ascii="Arial" w:hAnsi="Arial" w:cs="Arial"/>
          <w:spacing w:val="80"/>
        </w:rPr>
        <w:t xml:space="preserve"> </w:t>
      </w:r>
      <w:r w:rsidRPr="00EB2BD8">
        <w:rPr>
          <w:rFonts w:ascii="Arial" w:hAnsi="Arial" w:cs="Arial"/>
        </w:rPr>
        <w:t>upon which we rely. We pay our respects to their Elders past and present. We recognise and value the</w:t>
      </w:r>
      <w:r w:rsidRPr="00EB2BD8">
        <w:rPr>
          <w:rFonts w:ascii="Arial" w:hAnsi="Arial" w:cs="Arial"/>
          <w:spacing w:val="-12"/>
        </w:rPr>
        <w:t xml:space="preserve"> </w:t>
      </w:r>
      <w:r w:rsidRPr="00EB2BD8">
        <w:rPr>
          <w:rFonts w:ascii="Arial" w:hAnsi="Arial" w:cs="Arial"/>
        </w:rPr>
        <w:t>ongoing</w:t>
      </w:r>
      <w:r w:rsidRPr="00EB2BD8">
        <w:rPr>
          <w:rFonts w:ascii="Arial" w:hAnsi="Arial" w:cs="Arial"/>
          <w:spacing w:val="-12"/>
        </w:rPr>
        <w:t xml:space="preserve"> </w:t>
      </w:r>
      <w:r w:rsidRPr="00EB2BD8">
        <w:rPr>
          <w:rFonts w:ascii="Arial" w:hAnsi="Arial" w:cs="Arial"/>
        </w:rPr>
        <w:t>contribution</w:t>
      </w:r>
      <w:r w:rsidRPr="00EB2BD8">
        <w:rPr>
          <w:rFonts w:ascii="Arial" w:hAnsi="Arial" w:cs="Arial"/>
          <w:spacing w:val="-12"/>
        </w:rPr>
        <w:t xml:space="preserve"> </w:t>
      </w:r>
      <w:r w:rsidRPr="00EB2BD8">
        <w:rPr>
          <w:rFonts w:ascii="Arial" w:hAnsi="Arial" w:cs="Arial"/>
        </w:rPr>
        <w:t>of</w:t>
      </w:r>
      <w:r w:rsidRPr="00EB2BD8">
        <w:rPr>
          <w:rFonts w:ascii="Arial" w:hAnsi="Arial" w:cs="Arial"/>
          <w:spacing w:val="-12"/>
        </w:rPr>
        <w:t xml:space="preserve"> </w:t>
      </w:r>
      <w:r w:rsidRPr="00EB2BD8">
        <w:rPr>
          <w:rFonts w:ascii="Arial" w:hAnsi="Arial" w:cs="Arial"/>
        </w:rPr>
        <w:t>Aboriginal</w:t>
      </w:r>
      <w:r w:rsidRPr="00EB2BD8">
        <w:rPr>
          <w:rFonts w:ascii="Arial" w:hAnsi="Arial" w:cs="Arial"/>
          <w:spacing w:val="-12"/>
        </w:rPr>
        <w:t xml:space="preserve"> </w:t>
      </w:r>
      <w:r w:rsidRPr="00EB2BD8">
        <w:rPr>
          <w:rFonts w:ascii="Arial" w:hAnsi="Arial" w:cs="Arial"/>
        </w:rPr>
        <w:t>peoples</w:t>
      </w:r>
      <w:r w:rsidRPr="00EB2BD8">
        <w:rPr>
          <w:rFonts w:ascii="Arial" w:hAnsi="Arial" w:cs="Arial"/>
          <w:spacing w:val="-12"/>
        </w:rPr>
        <w:t xml:space="preserve"> </w:t>
      </w:r>
      <w:r w:rsidRPr="00EB2BD8">
        <w:rPr>
          <w:rFonts w:ascii="Arial" w:hAnsi="Arial" w:cs="Arial"/>
        </w:rPr>
        <w:t>and communities to Victorian life</w:t>
      </w:r>
      <w:r w:rsidRPr="00EB2BD8">
        <w:rPr>
          <w:sz w:val="19"/>
        </w:rPr>
        <w:t>.</w:t>
      </w:r>
    </w:p>
    <w:p w14:paraId="15604CFE" w14:textId="77777777" w:rsidR="00084F36" w:rsidRPr="00EB2BD8" w:rsidRDefault="00084F36" w:rsidP="00C96154">
      <w:pPr>
        <w:ind w:left="851"/>
        <w:rPr>
          <w:rFonts w:ascii="Arial" w:hAnsi="Arial" w:cs="Arial"/>
        </w:rPr>
      </w:pPr>
    </w:p>
    <w:p w14:paraId="2A765AA8" w14:textId="201DC5EE" w:rsidR="00084F36" w:rsidRPr="00EB2BD8" w:rsidRDefault="00EB2BD8" w:rsidP="00C96154">
      <w:pPr>
        <w:ind w:left="851"/>
        <w:rPr>
          <w:rFonts w:ascii="Arial" w:hAnsi="Arial" w:cs="Arial"/>
        </w:rPr>
      </w:pPr>
      <w:r w:rsidRPr="00EB2BD8">
        <w:rPr>
          <w:rFonts w:ascii="Arial" w:hAnsi="Arial" w:cs="Arial"/>
        </w:rPr>
        <w:t>We embrace the spirit of reconciliation, working towards</w:t>
      </w:r>
      <w:r w:rsidRPr="00EB2BD8">
        <w:rPr>
          <w:rFonts w:ascii="Arial" w:hAnsi="Arial" w:cs="Arial"/>
          <w:spacing w:val="-6"/>
        </w:rPr>
        <w:t xml:space="preserve"> </w:t>
      </w:r>
      <w:r w:rsidRPr="00EB2BD8">
        <w:rPr>
          <w:rFonts w:ascii="Arial" w:hAnsi="Arial" w:cs="Arial"/>
        </w:rPr>
        <w:t>equality</w:t>
      </w:r>
      <w:r w:rsidRPr="00EB2BD8">
        <w:rPr>
          <w:rFonts w:ascii="Arial" w:hAnsi="Arial" w:cs="Arial"/>
          <w:spacing w:val="-6"/>
        </w:rPr>
        <w:t xml:space="preserve"> </w:t>
      </w:r>
      <w:r w:rsidRPr="00EB2BD8">
        <w:rPr>
          <w:rFonts w:ascii="Arial" w:hAnsi="Arial" w:cs="Arial"/>
        </w:rPr>
        <w:t>of</w:t>
      </w:r>
      <w:r w:rsidRPr="00EB2BD8">
        <w:rPr>
          <w:rFonts w:ascii="Arial" w:hAnsi="Arial" w:cs="Arial"/>
          <w:spacing w:val="-6"/>
        </w:rPr>
        <w:t xml:space="preserve"> </w:t>
      </w:r>
      <w:r w:rsidRPr="00EB2BD8">
        <w:rPr>
          <w:rFonts w:ascii="Arial" w:hAnsi="Arial" w:cs="Arial"/>
        </w:rPr>
        <w:t>outcomes</w:t>
      </w:r>
      <w:r w:rsidRPr="00EB2BD8">
        <w:rPr>
          <w:rFonts w:ascii="Arial" w:hAnsi="Arial" w:cs="Arial"/>
          <w:spacing w:val="-6"/>
        </w:rPr>
        <w:t xml:space="preserve"> </w:t>
      </w:r>
      <w:r w:rsidRPr="00EB2BD8">
        <w:rPr>
          <w:rFonts w:ascii="Arial" w:hAnsi="Arial" w:cs="Arial"/>
        </w:rPr>
        <w:t>and</w:t>
      </w:r>
      <w:r w:rsidRPr="00EB2BD8">
        <w:rPr>
          <w:rFonts w:ascii="Arial" w:hAnsi="Arial" w:cs="Arial"/>
          <w:spacing w:val="-6"/>
        </w:rPr>
        <w:t xml:space="preserve"> </w:t>
      </w:r>
      <w:r w:rsidRPr="00EB2BD8">
        <w:rPr>
          <w:rFonts w:ascii="Arial" w:hAnsi="Arial" w:cs="Arial"/>
        </w:rPr>
        <w:t>an</w:t>
      </w:r>
      <w:r w:rsidRPr="00EB2BD8">
        <w:rPr>
          <w:rFonts w:ascii="Arial" w:hAnsi="Arial" w:cs="Arial"/>
          <w:spacing w:val="-6"/>
        </w:rPr>
        <w:t xml:space="preserve"> </w:t>
      </w:r>
      <w:r w:rsidRPr="00EB2BD8">
        <w:rPr>
          <w:rFonts w:ascii="Arial" w:hAnsi="Arial" w:cs="Arial"/>
        </w:rPr>
        <w:t>equal</w:t>
      </w:r>
      <w:r w:rsidRPr="00EB2BD8">
        <w:rPr>
          <w:rFonts w:ascii="Arial" w:hAnsi="Arial" w:cs="Arial"/>
          <w:spacing w:val="-6"/>
        </w:rPr>
        <w:t xml:space="preserve"> </w:t>
      </w:r>
      <w:r w:rsidRPr="00EB2BD8">
        <w:rPr>
          <w:rFonts w:ascii="Arial" w:hAnsi="Arial" w:cs="Arial"/>
        </w:rPr>
        <w:t>voice.</w:t>
      </w:r>
      <w:r w:rsidR="00DB0F6B">
        <w:rPr>
          <w:rFonts w:ascii="Arial" w:hAnsi="Arial" w:cs="Arial"/>
        </w:rPr>
        <w:tab/>
      </w:r>
    </w:p>
    <w:p w14:paraId="1980A338" w14:textId="77777777" w:rsidR="00084F36" w:rsidRPr="00EB2BD8" w:rsidRDefault="00084F36">
      <w:pPr>
        <w:pStyle w:val="BodyText"/>
        <w:spacing w:before="8"/>
        <w:rPr>
          <w:sz w:val="21"/>
        </w:rPr>
      </w:pPr>
    </w:p>
    <w:p w14:paraId="77025A0E" w14:textId="77777777" w:rsidR="00084F36" w:rsidRPr="00EB2BD8" w:rsidRDefault="00EB2BD8" w:rsidP="00C96154">
      <w:pPr>
        <w:pStyle w:val="Heading2"/>
      </w:pPr>
      <w:bookmarkStart w:id="6" w:name="_Toc150762315"/>
      <w:r w:rsidRPr="00EB2BD8">
        <w:rPr>
          <w:w w:val="90"/>
        </w:rPr>
        <w:t>About</w:t>
      </w:r>
      <w:r w:rsidRPr="00EB2BD8">
        <w:rPr>
          <w:spacing w:val="10"/>
        </w:rPr>
        <w:t xml:space="preserve"> </w:t>
      </w:r>
      <w:r w:rsidRPr="00EB2BD8">
        <w:rPr>
          <w:w w:val="90"/>
        </w:rPr>
        <w:t>this</w:t>
      </w:r>
      <w:r w:rsidRPr="00EB2BD8">
        <w:rPr>
          <w:spacing w:val="11"/>
        </w:rPr>
        <w:t xml:space="preserve"> </w:t>
      </w:r>
      <w:r w:rsidRPr="00EB2BD8">
        <w:rPr>
          <w:spacing w:val="-2"/>
          <w:w w:val="90"/>
        </w:rPr>
        <w:t>report</w:t>
      </w:r>
      <w:bookmarkEnd w:id="6"/>
    </w:p>
    <w:p w14:paraId="3045CC90" w14:textId="77777777" w:rsidR="00084F36" w:rsidRPr="00EB2BD8" w:rsidRDefault="00EB2BD8" w:rsidP="00C96154">
      <w:pPr>
        <w:spacing w:before="79" w:line="247" w:lineRule="auto"/>
        <w:ind w:left="836"/>
        <w:rPr>
          <w:rFonts w:ascii="Arial" w:hAnsi="Arial" w:cs="Arial"/>
        </w:rPr>
      </w:pPr>
      <w:r w:rsidRPr="00EB2BD8">
        <w:rPr>
          <w:rFonts w:ascii="Arial" w:hAnsi="Arial" w:cs="Arial"/>
        </w:rPr>
        <w:t>Welcome to the Annual Report for the Victorian Building Authority (VBA) for the year ending 30 June 2023. The Annual Report is prepared in accordance with the Financial Management Act 1994 (FMA), relevant Australian Accounting Standards (AAS) and interpretations, Standing Directions and Financial Reporting Directions (FRDs).</w:t>
      </w:r>
    </w:p>
    <w:p w14:paraId="3499D41E" w14:textId="7DB25325" w:rsidR="00084F36" w:rsidRPr="000231D6" w:rsidRDefault="00EB2BD8" w:rsidP="000231D6">
      <w:pPr>
        <w:pStyle w:val="Heading2"/>
        <w:ind w:left="0" w:firstLine="426"/>
        <w:rPr>
          <w:sz w:val="25"/>
        </w:rPr>
      </w:pPr>
      <w:r w:rsidRPr="00EB2BD8">
        <w:br w:type="column"/>
      </w:r>
      <w:bookmarkStart w:id="7" w:name="_Toc150762316"/>
      <w:r w:rsidRPr="00EB2BD8">
        <w:rPr>
          <w:w w:val="90"/>
        </w:rPr>
        <w:t>Responsible</w:t>
      </w:r>
      <w:r w:rsidRPr="00EB2BD8">
        <w:rPr>
          <w:spacing w:val="28"/>
        </w:rPr>
        <w:t xml:space="preserve"> </w:t>
      </w:r>
      <w:r w:rsidRPr="00EB2BD8">
        <w:rPr>
          <w:w w:val="90"/>
        </w:rPr>
        <w:t>body’s</w:t>
      </w:r>
      <w:r w:rsidRPr="00EB2BD8">
        <w:rPr>
          <w:spacing w:val="29"/>
        </w:rPr>
        <w:t xml:space="preserve"> </w:t>
      </w:r>
      <w:r w:rsidRPr="00EB2BD8">
        <w:rPr>
          <w:spacing w:val="-2"/>
          <w:w w:val="90"/>
        </w:rPr>
        <w:t>declaration</w:t>
      </w:r>
      <w:bookmarkEnd w:id="7"/>
    </w:p>
    <w:p w14:paraId="0C6B577F" w14:textId="26C9A077" w:rsidR="00084F36" w:rsidRPr="00EB2BD8" w:rsidRDefault="00EB2BD8" w:rsidP="00DB0F6B">
      <w:pPr>
        <w:spacing w:before="79" w:line="247" w:lineRule="auto"/>
        <w:ind w:left="426"/>
        <w:rPr>
          <w:rFonts w:ascii="Arial" w:hAnsi="Arial" w:cs="Arial"/>
        </w:rPr>
      </w:pPr>
      <w:r w:rsidRPr="00EB2BD8">
        <w:rPr>
          <w:rFonts w:ascii="Arial" w:hAnsi="Arial" w:cs="Arial"/>
        </w:rPr>
        <w:t xml:space="preserve">In accordance with the Financial Management Act 1994, </w:t>
      </w:r>
      <w:r w:rsidR="00DB0F6B">
        <w:rPr>
          <w:rFonts w:ascii="Arial" w:hAnsi="Arial" w:cs="Arial"/>
        </w:rPr>
        <w:br/>
      </w:r>
      <w:r w:rsidRPr="00EB2BD8">
        <w:rPr>
          <w:rFonts w:ascii="Arial" w:hAnsi="Arial" w:cs="Arial"/>
        </w:rPr>
        <w:t>I am pleased to present the Victorian Building Authority’s Annual Report for the year ending 30 June 2023.</w:t>
      </w:r>
    </w:p>
    <w:p w14:paraId="0D0864E4" w14:textId="77777777" w:rsidR="00084F36" w:rsidRPr="00EB2BD8" w:rsidRDefault="00084F36">
      <w:pPr>
        <w:pStyle w:val="BodyText"/>
        <w:spacing w:before="11"/>
        <w:rPr>
          <w:sz w:val="26"/>
        </w:rPr>
      </w:pPr>
    </w:p>
    <w:p w14:paraId="16132E13" w14:textId="77777777" w:rsidR="00084F36" w:rsidRPr="00EB2BD8" w:rsidRDefault="00EB2BD8" w:rsidP="000231D6">
      <w:pPr>
        <w:pStyle w:val="Heading2"/>
        <w:ind w:left="426"/>
      </w:pPr>
      <w:bookmarkStart w:id="8" w:name="_Toc150762317"/>
      <w:r w:rsidRPr="00EB2BD8">
        <w:t>VBA's</w:t>
      </w:r>
      <w:r w:rsidRPr="00EB2BD8">
        <w:rPr>
          <w:spacing w:val="-22"/>
        </w:rPr>
        <w:t xml:space="preserve"> </w:t>
      </w:r>
      <w:r w:rsidRPr="00EB2BD8">
        <w:t>Financial</w:t>
      </w:r>
      <w:r w:rsidRPr="00EB2BD8">
        <w:rPr>
          <w:spacing w:val="-22"/>
        </w:rPr>
        <w:t xml:space="preserve"> </w:t>
      </w:r>
      <w:r w:rsidRPr="00EB2BD8">
        <w:t>Management Compliance Attestation</w:t>
      </w:r>
      <w:bookmarkEnd w:id="8"/>
    </w:p>
    <w:p w14:paraId="78DB4350" w14:textId="32001E37" w:rsidR="00084F36" w:rsidRPr="00EB2BD8" w:rsidRDefault="00EB2BD8" w:rsidP="00DB0F6B">
      <w:pPr>
        <w:spacing w:before="79" w:line="247" w:lineRule="auto"/>
        <w:ind w:left="475"/>
        <w:rPr>
          <w:rFonts w:ascii="Arial" w:hAnsi="Arial" w:cs="Arial"/>
        </w:rPr>
      </w:pPr>
      <w:r w:rsidRPr="00EB2BD8">
        <w:rPr>
          <w:rFonts w:ascii="Arial" w:hAnsi="Arial" w:cs="Arial"/>
        </w:rPr>
        <w:t xml:space="preserve">I, Michelle McLean, on behalf of the Responsible </w:t>
      </w:r>
      <w:r w:rsidR="00DB0F6B">
        <w:rPr>
          <w:rFonts w:ascii="Arial" w:hAnsi="Arial" w:cs="Arial"/>
        </w:rPr>
        <w:br/>
      </w:r>
      <w:r w:rsidRPr="00EB2BD8">
        <w:rPr>
          <w:rFonts w:ascii="Arial" w:hAnsi="Arial" w:cs="Arial"/>
        </w:rPr>
        <w:t xml:space="preserve">Authority, certify that the Victorian Building Authority </w:t>
      </w:r>
      <w:r w:rsidR="00DB0F6B">
        <w:rPr>
          <w:rFonts w:ascii="Arial" w:hAnsi="Arial" w:cs="Arial"/>
        </w:rPr>
        <w:br/>
      </w:r>
      <w:r w:rsidRPr="00EB2BD8">
        <w:rPr>
          <w:rFonts w:ascii="Arial" w:hAnsi="Arial" w:cs="Arial"/>
        </w:rPr>
        <w:t xml:space="preserve">has no Material Compliance Deficiency with respect to </w:t>
      </w:r>
      <w:r w:rsidR="00DB0F6B">
        <w:rPr>
          <w:rFonts w:ascii="Arial" w:hAnsi="Arial" w:cs="Arial"/>
        </w:rPr>
        <w:br/>
      </w:r>
      <w:r w:rsidRPr="00EB2BD8">
        <w:rPr>
          <w:rFonts w:ascii="Arial" w:hAnsi="Arial" w:cs="Arial"/>
        </w:rPr>
        <w:t>the applicable Standing Directions under the Financial Management Act 1994 and Instructions.</w:t>
      </w:r>
    </w:p>
    <w:p w14:paraId="0EB2434C" w14:textId="46F2829B" w:rsidR="00084F36" w:rsidRPr="00EB2BD8" w:rsidRDefault="00084F36">
      <w:pPr>
        <w:pStyle w:val="BodyText"/>
        <w:spacing w:before="2"/>
        <w:rPr>
          <w:sz w:val="24"/>
        </w:rPr>
      </w:pPr>
    </w:p>
    <w:p w14:paraId="67CC73C7" w14:textId="77777777" w:rsidR="00084F36" w:rsidRPr="00EB2BD8" w:rsidRDefault="00084F36">
      <w:pPr>
        <w:pStyle w:val="BodyText"/>
        <w:rPr>
          <w:sz w:val="22"/>
        </w:rPr>
      </w:pPr>
    </w:p>
    <w:p w14:paraId="298289D6" w14:textId="77777777" w:rsidR="00084F36" w:rsidRPr="00EB2BD8" w:rsidRDefault="00084F36">
      <w:pPr>
        <w:pStyle w:val="BodyText"/>
        <w:spacing w:before="8"/>
        <w:rPr>
          <w:rFonts w:ascii="Arial" w:hAnsi="Arial" w:cs="Arial"/>
          <w:sz w:val="22"/>
          <w:szCs w:val="22"/>
        </w:rPr>
      </w:pPr>
    </w:p>
    <w:p w14:paraId="0FEEA9D7" w14:textId="77777777" w:rsidR="00084F36" w:rsidRPr="00EB2BD8" w:rsidRDefault="00EB2BD8">
      <w:pPr>
        <w:ind w:left="475"/>
        <w:rPr>
          <w:rFonts w:ascii="Arial" w:hAnsi="Arial" w:cs="Arial"/>
        </w:rPr>
      </w:pPr>
      <w:r w:rsidRPr="00EB2BD8">
        <w:rPr>
          <w:rFonts w:ascii="Arial" w:hAnsi="Arial" w:cs="Arial"/>
        </w:rPr>
        <w:t>Michelle McLean</w:t>
      </w:r>
    </w:p>
    <w:p w14:paraId="51F66170" w14:textId="77777777" w:rsidR="00084F36" w:rsidRPr="00EB2BD8" w:rsidRDefault="00EB2BD8">
      <w:pPr>
        <w:pStyle w:val="BodyText"/>
        <w:spacing w:before="16" w:line="261" w:lineRule="auto"/>
        <w:ind w:left="475" w:right="3320"/>
        <w:rPr>
          <w:rFonts w:ascii="Arial" w:hAnsi="Arial" w:cs="Arial"/>
          <w:sz w:val="22"/>
          <w:szCs w:val="22"/>
        </w:rPr>
      </w:pPr>
      <w:r w:rsidRPr="00EB2BD8">
        <w:rPr>
          <w:rFonts w:ascii="Arial" w:hAnsi="Arial" w:cs="Arial"/>
          <w:sz w:val="22"/>
          <w:szCs w:val="22"/>
        </w:rPr>
        <w:t>Chief Commissioner Victorian Building Authority Melbourne</w:t>
      </w:r>
    </w:p>
    <w:p w14:paraId="7404F8B3" w14:textId="77777777" w:rsidR="00084F36" w:rsidRPr="00EB2BD8" w:rsidRDefault="00EB2BD8">
      <w:pPr>
        <w:pStyle w:val="BodyText"/>
        <w:spacing w:line="209" w:lineRule="exact"/>
        <w:ind w:left="475"/>
        <w:rPr>
          <w:rFonts w:ascii="Arial" w:hAnsi="Arial" w:cs="Arial"/>
          <w:sz w:val="22"/>
          <w:szCs w:val="22"/>
        </w:rPr>
      </w:pPr>
      <w:r w:rsidRPr="00EB2BD8">
        <w:rPr>
          <w:rFonts w:ascii="Arial" w:hAnsi="Arial" w:cs="Arial"/>
          <w:sz w:val="22"/>
          <w:szCs w:val="22"/>
        </w:rPr>
        <w:t>19 September 2023</w:t>
      </w:r>
    </w:p>
    <w:p w14:paraId="7DC5E442" w14:textId="77777777" w:rsidR="00084F36" w:rsidRPr="00EB2BD8" w:rsidRDefault="00084F36">
      <w:pPr>
        <w:spacing w:line="209" w:lineRule="exact"/>
        <w:sectPr w:rsidR="00084F36" w:rsidRPr="00EB2BD8" w:rsidSect="006D75B2">
          <w:type w:val="continuous"/>
          <w:pgSz w:w="11910" w:h="16840"/>
          <w:pgMar w:top="1920" w:right="0" w:bottom="280" w:left="0" w:header="720" w:footer="720" w:gutter="0"/>
          <w:cols w:num="2" w:space="720" w:equalWidth="0">
            <w:col w:w="5557" w:space="40"/>
            <w:col w:w="6313"/>
          </w:cols>
        </w:sectPr>
      </w:pPr>
    </w:p>
    <w:p w14:paraId="2BD2B449" w14:textId="1C33D8E8" w:rsidR="00084F36" w:rsidRPr="00EB2BD8" w:rsidRDefault="00084F36">
      <w:pPr>
        <w:pStyle w:val="BodyText"/>
        <w:spacing w:before="3"/>
        <w:rPr>
          <w:sz w:val="17"/>
        </w:rPr>
      </w:pPr>
    </w:p>
    <w:p w14:paraId="4D5B152F" w14:textId="77777777" w:rsidR="00084F36" w:rsidRPr="00F52505" w:rsidRDefault="00EB2BD8">
      <w:pPr>
        <w:pStyle w:val="BodyText"/>
        <w:spacing w:before="95"/>
        <w:ind w:left="836"/>
        <w:rPr>
          <w:rFonts w:ascii="Arial" w:hAnsi="Arial" w:cs="Arial"/>
        </w:rPr>
      </w:pPr>
      <w:r w:rsidRPr="00F52505">
        <w:rPr>
          <w:rFonts w:ascii="Arial" w:hAnsi="Arial" w:cs="Arial"/>
          <w:spacing w:val="-8"/>
        </w:rPr>
        <w:t>ISSN</w:t>
      </w:r>
      <w:r w:rsidRPr="00F52505">
        <w:rPr>
          <w:rFonts w:ascii="Arial" w:hAnsi="Arial" w:cs="Arial"/>
          <w:spacing w:val="1"/>
        </w:rPr>
        <w:t xml:space="preserve"> </w:t>
      </w:r>
      <w:r w:rsidRPr="00F52505">
        <w:rPr>
          <w:rFonts w:ascii="Arial" w:hAnsi="Arial" w:cs="Arial"/>
          <w:spacing w:val="-8"/>
        </w:rPr>
        <w:t>2203-8779</w:t>
      </w:r>
      <w:r w:rsidRPr="00F52505">
        <w:rPr>
          <w:rFonts w:ascii="Arial" w:hAnsi="Arial" w:cs="Arial"/>
          <w:spacing w:val="1"/>
        </w:rPr>
        <w:t xml:space="preserve"> </w:t>
      </w:r>
      <w:r w:rsidRPr="00F52505">
        <w:rPr>
          <w:rFonts w:ascii="Arial" w:hAnsi="Arial" w:cs="Arial"/>
          <w:spacing w:val="-8"/>
        </w:rPr>
        <w:t>(Print)</w:t>
      </w:r>
    </w:p>
    <w:p w14:paraId="3A487C8C" w14:textId="77777777" w:rsidR="00084F36" w:rsidRPr="00F52505" w:rsidRDefault="00EB2BD8">
      <w:pPr>
        <w:pStyle w:val="BodyText"/>
        <w:spacing w:before="8"/>
        <w:ind w:left="836"/>
        <w:rPr>
          <w:rFonts w:ascii="Arial" w:hAnsi="Arial" w:cs="Arial"/>
        </w:rPr>
      </w:pPr>
      <w:r w:rsidRPr="00F52505">
        <w:rPr>
          <w:rFonts w:ascii="Arial" w:hAnsi="Arial" w:cs="Arial"/>
          <w:spacing w:val="-6"/>
        </w:rPr>
        <w:t>ISSN</w:t>
      </w:r>
      <w:r w:rsidRPr="00F52505">
        <w:rPr>
          <w:rFonts w:ascii="Arial" w:hAnsi="Arial" w:cs="Arial"/>
          <w:spacing w:val="-1"/>
        </w:rPr>
        <w:t xml:space="preserve"> </w:t>
      </w:r>
      <w:r w:rsidRPr="00F52505">
        <w:rPr>
          <w:rFonts w:ascii="Arial" w:hAnsi="Arial" w:cs="Arial"/>
          <w:spacing w:val="-6"/>
        </w:rPr>
        <w:t>2203-8892</w:t>
      </w:r>
      <w:r w:rsidRPr="00F52505">
        <w:rPr>
          <w:rFonts w:ascii="Arial" w:hAnsi="Arial" w:cs="Arial"/>
          <w:spacing w:val="-1"/>
        </w:rPr>
        <w:t xml:space="preserve"> </w:t>
      </w:r>
      <w:r w:rsidRPr="00F52505">
        <w:rPr>
          <w:rFonts w:ascii="Arial" w:hAnsi="Arial" w:cs="Arial"/>
          <w:spacing w:val="-6"/>
        </w:rPr>
        <w:t>(Online)</w:t>
      </w:r>
    </w:p>
    <w:p w14:paraId="09DEE3D9" w14:textId="77777777" w:rsidR="00084F36" w:rsidRPr="00F52505" w:rsidRDefault="00084F36">
      <w:pPr>
        <w:pStyle w:val="BodyText"/>
        <w:spacing w:before="3"/>
        <w:rPr>
          <w:rFonts w:ascii="Arial" w:hAnsi="Arial" w:cs="Arial"/>
          <w:sz w:val="19"/>
        </w:rPr>
      </w:pPr>
    </w:p>
    <w:p w14:paraId="46D7BF44" w14:textId="77777777" w:rsidR="00084F36" w:rsidRPr="00F52505" w:rsidRDefault="00EB2BD8">
      <w:pPr>
        <w:pStyle w:val="BodyText"/>
        <w:spacing w:before="1"/>
        <w:ind w:left="836"/>
        <w:rPr>
          <w:rFonts w:ascii="Arial" w:hAnsi="Arial" w:cs="Arial"/>
        </w:rPr>
      </w:pPr>
      <w:r w:rsidRPr="00F52505">
        <w:rPr>
          <w:rFonts w:ascii="Arial" w:hAnsi="Arial" w:cs="Arial"/>
        </w:rPr>
        <w:t>©</w:t>
      </w:r>
      <w:r w:rsidRPr="00F52505">
        <w:rPr>
          <w:rFonts w:ascii="Arial" w:hAnsi="Arial" w:cs="Arial"/>
          <w:spacing w:val="-12"/>
        </w:rPr>
        <w:t xml:space="preserve"> </w:t>
      </w:r>
      <w:r w:rsidRPr="00F52505">
        <w:rPr>
          <w:rFonts w:ascii="Arial" w:hAnsi="Arial" w:cs="Arial"/>
        </w:rPr>
        <w:t>State</w:t>
      </w:r>
      <w:r w:rsidRPr="00F52505">
        <w:rPr>
          <w:rFonts w:ascii="Arial" w:hAnsi="Arial" w:cs="Arial"/>
          <w:spacing w:val="-12"/>
        </w:rPr>
        <w:t xml:space="preserve"> </w:t>
      </w:r>
      <w:r w:rsidRPr="00F52505">
        <w:rPr>
          <w:rFonts w:ascii="Arial" w:hAnsi="Arial" w:cs="Arial"/>
        </w:rPr>
        <w:t>of</w:t>
      </w:r>
      <w:r w:rsidRPr="00F52505">
        <w:rPr>
          <w:rFonts w:ascii="Arial" w:hAnsi="Arial" w:cs="Arial"/>
          <w:spacing w:val="-11"/>
        </w:rPr>
        <w:t xml:space="preserve"> </w:t>
      </w:r>
      <w:r w:rsidRPr="00F52505">
        <w:rPr>
          <w:rFonts w:ascii="Arial" w:hAnsi="Arial" w:cs="Arial"/>
        </w:rPr>
        <w:t>Victoria,</w:t>
      </w:r>
      <w:r w:rsidRPr="00F52505">
        <w:rPr>
          <w:rFonts w:ascii="Arial" w:hAnsi="Arial" w:cs="Arial"/>
          <w:spacing w:val="-12"/>
        </w:rPr>
        <w:t xml:space="preserve"> </w:t>
      </w:r>
      <w:r w:rsidRPr="00F52505">
        <w:rPr>
          <w:rFonts w:ascii="Arial" w:hAnsi="Arial" w:cs="Arial"/>
        </w:rPr>
        <w:t>Victorian</w:t>
      </w:r>
      <w:r w:rsidRPr="00F52505">
        <w:rPr>
          <w:rFonts w:ascii="Arial" w:hAnsi="Arial" w:cs="Arial"/>
          <w:spacing w:val="-11"/>
        </w:rPr>
        <w:t xml:space="preserve"> </w:t>
      </w:r>
      <w:r w:rsidRPr="00F52505">
        <w:rPr>
          <w:rFonts w:ascii="Arial" w:hAnsi="Arial" w:cs="Arial"/>
        </w:rPr>
        <w:t>Building</w:t>
      </w:r>
      <w:r w:rsidRPr="00F52505">
        <w:rPr>
          <w:rFonts w:ascii="Arial" w:hAnsi="Arial" w:cs="Arial"/>
          <w:spacing w:val="-12"/>
        </w:rPr>
        <w:t xml:space="preserve"> </w:t>
      </w:r>
      <w:r w:rsidRPr="00F52505">
        <w:rPr>
          <w:rFonts w:ascii="Arial" w:hAnsi="Arial" w:cs="Arial"/>
        </w:rPr>
        <w:t>Authority</w:t>
      </w:r>
      <w:r w:rsidRPr="00F52505">
        <w:rPr>
          <w:rFonts w:ascii="Arial" w:hAnsi="Arial" w:cs="Arial"/>
          <w:spacing w:val="-11"/>
        </w:rPr>
        <w:t xml:space="preserve"> </w:t>
      </w:r>
      <w:r w:rsidRPr="00F52505">
        <w:rPr>
          <w:rFonts w:ascii="Arial" w:hAnsi="Arial" w:cs="Arial"/>
          <w:spacing w:val="-4"/>
        </w:rPr>
        <w:t>2023</w:t>
      </w:r>
    </w:p>
    <w:p w14:paraId="5DD17FD3" w14:textId="77777777" w:rsidR="00084F36" w:rsidRPr="00F52505" w:rsidRDefault="00084F36">
      <w:pPr>
        <w:pStyle w:val="BodyText"/>
        <w:spacing w:before="4"/>
        <w:rPr>
          <w:rFonts w:ascii="Arial" w:hAnsi="Arial" w:cs="Arial"/>
          <w:sz w:val="19"/>
        </w:rPr>
      </w:pPr>
    </w:p>
    <w:p w14:paraId="49219F9D" w14:textId="576857F3" w:rsidR="00084F36" w:rsidRPr="00F52505" w:rsidRDefault="00EB2BD8" w:rsidP="00C96154">
      <w:pPr>
        <w:pStyle w:val="BodyText"/>
        <w:spacing w:before="3"/>
        <w:ind w:left="851"/>
        <w:rPr>
          <w:rFonts w:ascii="Arial" w:hAnsi="Arial" w:cs="Arial"/>
        </w:rPr>
      </w:pPr>
      <w:r w:rsidRPr="00F52505">
        <w:rPr>
          <w:rFonts w:ascii="Arial" w:hAnsi="Arial" w:cs="Arial"/>
        </w:rPr>
        <w:t>The</w:t>
      </w:r>
      <w:r w:rsidRPr="00F52505">
        <w:rPr>
          <w:rFonts w:ascii="Arial" w:hAnsi="Arial" w:cs="Arial"/>
          <w:spacing w:val="-14"/>
        </w:rPr>
        <w:t xml:space="preserve"> </w:t>
      </w:r>
      <w:r w:rsidRPr="00F52505">
        <w:rPr>
          <w:rFonts w:ascii="Arial" w:hAnsi="Arial" w:cs="Arial"/>
        </w:rPr>
        <w:t>Victorian</w:t>
      </w:r>
      <w:r w:rsidRPr="00F52505">
        <w:rPr>
          <w:rFonts w:ascii="Arial" w:hAnsi="Arial" w:cs="Arial"/>
          <w:spacing w:val="-14"/>
        </w:rPr>
        <w:t xml:space="preserve"> </w:t>
      </w:r>
      <w:r w:rsidRPr="00F52505">
        <w:rPr>
          <w:rFonts w:ascii="Arial" w:hAnsi="Arial" w:cs="Arial"/>
        </w:rPr>
        <w:t>Building</w:t>
      </w:r>
      <w:r w:rsidRPr="00F52505">
        <w:rPr>
          <w:rFonts w:ascii="Arial" w:hAnsi="Arial" w:cs="Arial"/>
          <w:spacing w:val="-14"/>
        </w:rPr>
        <w:t xml:space="preserve"> </w:t>
      </w:r>
      <w:r w:rsidRPr="00F52505">
        <w:rPr>
          <w:rFonts w:ascii="Arial" w:hAnsi="Arial" w:cs="Arial"/>
        </w:rPr>
        <w:t>Authority</w:t>
      </w:r>
      <w:r w:rsidRPr="00F52505">
        <w:rPr>
          <w:rFonts w:ascii="Arial" w:hAnsi="Arial" w:cs="Arial"/>
          <w:spacing w:val="-14"/>
        </w:rPr>
        <w:t xml:space="preserve"> </w:t>
      </w:r>
      <w:r w:rsidRPr="00F52505">
        <w:rPr>
          <w:rFonts w:ascii="Arial" w:hAnsi="Arial" w:cs="Arial"/>
        </w:rPr>
        <w:t>Annual</w:t>
      </w:r>
      <w:r w:rsidRPr="00F52505">
        <w:rPr>
          <w:rFonts w:ascii="Arial" w:hAnsi="Arial" w:cs="Arial"/>
          <w:spacing w:val="-14"/>
        </w:rPr>
        <w:t xml:space="preserve"> </w:t>
      </w:r>
      <w:r w:rsidRPr="00F52505">
        <w:rPr>
          <w:rFonts w:ascii="Arial" w:hAnsi="Arial" w:cs="Arial"/>
        </w:rPr>
        <w:t>Report</w:t>
      </w:r>
      <w:r w:rsidRPr="00F52505">
        <w:rPr>
          <w:rFonts w:ascii="Arial" w:hAnsi="Arial" w:cs="Arial"/>
          <w:spacing w:val="-14"/>
        </w:rPr>
        <w:t xml:space="preserve"> </w:t>
      </w:r>
      <w:r w:rsidRPr="00F52505">
        <w:rPr>
          <w:rFonts w:ascii="Arial" w:hAnsi="Arial" w:cs="Arial"/>
        </w:rPr>
        <w:t>2022–23</w:t>
      </w:r>
      <w:r w:rsidRPr="00F52505">
        <w:rPr>
          <w:rFonts w:ascii="Arial" w:hAnsi="Arial" w:cs="Arial"/>
          <w:spacing w:val="-14"/>
        </w:rPr>
        <w:t xml:space="preserve"> </w:t>
      </w:r>
      <w:r w:rsidRPr="00F52505">
        <w:rPr>
          <w:rFonts w:ascii="Arial" w:hAnsi="Arial" w:cs="Arial"/>
        </w:rPr>
        <w:t>is</w:t>
      </w:r>
      <w:r w:rsidRPr="00F52505">
        <w:rPr>
          <w:rFonts w:ascii="Arial" w:hAnsi="Arial" w:cs="Arial"/>
          <w:spacing w:val="-14"/>
        </w:rPr>
        <w:t xml:space="preserve"> </w:t>
      </w:r>
      <w:r w:rsidRPr="00F52505">
        <w:rPr>
          <w:rFonts w:ascii="Arial" w:hAnsi="Arial" w:cs="Arial"/>
        </w:rPr>
        <w:t>licensed</w:t>
      </w:r>
      <w:r w:rsidRPr="00F52505">
        <w:rPr>
          <w:rFonts w:ascii="Arial" w:hAnsi="Arial" w:cs="Arial"/>
          <w:spacing w:val="-14"/>
        </w:rPr>
        <w:t xml:space="preserve"> </w:t>
      </w:r>
      <w:r w:rsidRPr="00F52505">
        <w:rPr>
          <w:rFonts w:ascii="Arial" w:hAnsi="Arial" w:cs="Arial"/>
        </w:rPr>
        <w:t>under</w:t>
      </w:r>
      <w:r w:rsidRPr="00F52505">
        <w:rPr>
          <w:rFonts w:ascii="Arial" w:hAnsi="Arial" w:cs="Arial"/>
          <w:spacing w:val="-14"/>
        </w:rPr>
        <w:t xml:space="preserve"> </w:t>
      </w:r>
      <w:r w:rsidRPr="00F52505">
        <w:rPr>
          <w:rFonts w:ascii="Arial" w:hAnsi="Arial" w:cs="Arial"/>
        </w:rPr>
        <w:t>Creative</w:t>
      </w:r>
      <w:r w:rsidRPr="00F52505">
        <w:rPr>
          <w:rFonts w:ascii="Arial" w:hAnsi="Arial" w:cs="Arial"/>
          <w:spacing w:val="-14"/>
        </w:rPr>
        <w:t xml:space="preserve"> </w:t>
      </w:r>
      <w:r w:rsidRPr="00F52505">
        <w:rPr>
          <w:rFonts w:ascii="Arial" w:hAnsi="Arial" w:cs="Arial"/>
        </w:rPr>
        <w:t>Commons</w:t>
      </w:r>
      <w:r w:rsidRPr="00F52505">
        <w:rPr>
          <w:rFonts w:ascii="Arial" w:hAnsi="Arial" w:cs="Arial"/>
          <w:spacing w:val="-14"/>
        </w:rPr>
        <w:t xml:space="preserve"> </w:t>
      </w:r>
      <w:r w:rsidRPr="00F52505">
        <w:rPr>
          <w:rFonts w:ascii="Arial" w:hAnsi="Arial" w:cs="Arial"/>
        </w:rPr>
        <w:t>Attribution</w:t>
      </w:r>
      <w:r w:rsidRPr="00F52505">
        <w:rPr>
          <w:rFonts w:ascii="Arial" w:hAnsi="Arial" w:cs="Arial"/>
          <w:spacing w:val="-14"/>
        </w:rPr>
        <w:t xml:space="preserve"> </w:t>
      </w:r>
      <w:r w:rsidRPr="00F52505">
        <w:rPr>
          <w:rFonts w:ascii="Arial" w:hAnsi="Arial" w:cs="Arial"/>
        </w:rPr>
        <w:t>4.0.</w:t>
      </w:r>
      <w:r w:rsidRPr="00F52505">
        <w:rPr>
          <w:rFonts w:ascii="Arial" w:hAnsi="Arial" w:cs="Arial"/>
          <w:spacing w:val="-14"/>
        </w:rPr>
        <w:t xml:space="preserve"> </w:t>
      </w:r>
      <w:r w:rsidR="00F52505">
        <w:rPr>
          <w:rFonts w:ascii="Arial" w:hAnsi="Arial" w:cs="Arial"/>
          <w:spacing w:val="-14"/>
        </w:rPr>
        <w:br/>
      </w:r>
      <w:r w:rsidRPr="00F52505">
        <w:rPr>
          <w:rFonts w:ascii="Arial" w:hAnsi="Arial" w:cs="Arial"/>
        </w:rPr>
        <w:t>You are</w:t>
      </w:r>
      <w:r w:rsidRPr="00F52505">
        <w:rPr>
          <w:rFonts w:ascii="Arial" w:hAnsi="Arial" w:cs="Arial"/>
          <w:spacing w:val="-5"/>
        </w:rPr>
        <w:t xml:space="preserve"> </w:t>
      </w:r>
      <w:r w:rsidRPr="00F52505">
        <w:rPr>
          <w:rFonts w:ascii="Arial" w:hAnsi="Arial" w:cs="Arial"/>
        </w:rPr>
        <w:t>free</w:t>
      </w:r>
      <w:r w:rsidRPr="00F52505">
        <w:rPr>
          <w:rFonts w:ascii="Arial" w:hAnsi="Arial" w:cs="Arial"/>
          <w:spacing w:val="-5"/>
        </w:rPr>
        <w:t xml:space="preserve"> </w:t>
      </w:r>
      <w:r w:rsidRPr="00F52505">
        <w:rPr>
          <w:rFonts w:ascii="Arial" w:hAnsi="Arial" w:cs="Arial"/>
        </w:rPr>
        <w:t>to</w:t>
      </w:r>
      <w:r w:rsidRPr="00F52505">
        <w:rPr>
          <w:rFonts w:ascii="Arial" w:hAnsi="Arial" w:cs="Arial"/>
          <w:spacing w:val="-5"/>
        </w:rPr>
        <w:t xml:space="preserve"> </w:t>
      </w:r>
      <w:r w:rsidRPr="00F52505">
        <w:rPr>
          <w:rFonts w:ascii="Arial" w:hAnsi="Arial" w:cs="Arial"/>
        </w:rPr>
        <w:t>re-use</w:t>
      </w:r>
      <w:r w:rsidRPr="00F52505">
        <w:rPr>
          <w:rFonts w:ascii="Arial" w:hAnsi="Arial" w:cs="Arial"/>
          <w:spacing w:val="-5"/>
        </w:rPr>
        <w:t xml:space="preserve"> </w:t>
      </w:r>
      <w:r w:rsidRPr="00F52505">
        <w:rPr>
          <w:rFonts w:ascii="Arial" w:hAnsi="Arial" w:cs="Arial"/>
        </w:rPr>
        <w:t>the</w:t>
      </w:r>
      <w:r w:rsidRPr="00F52505">
        <w:rPr>
          <w:rFonts w:ascii="Arial" w:hAnsi="Arial" w:cs="Arial"/>
          <w:spacing w:val="-5"/>
        </w:rPr>
        <w:t xml:space="preserve"> </w:t>
      </w:r>
      <w:r w:rsidRPr="00F52505">
        <w:rPr>
          <w:rFonts w:ascii="Arial" w:hAnsi="Arial" w:cs="Arial"/>
        </w:rPr>
        <w:t>work</w:t>
      </w:r>
      <w:r w:rsidRPr="00F52505">
        <w:rPr>
          <w:rFonts w:ascii="Arial" w:hAnsi="Arial" w:cs="Arial"/>
          <w:spacing w:val="-5"/>
        </w:rPr>
        <w:t xml:space="preserve"> </w:t>
      </w:r>
      <w:r w:rsidRPr="00F52505">
        <w:rPr>
          <w:rFonts w:ascii="Arial" w:hAnsi="Arial" w:cs="Arial"/>
        </w:rPr>
        <w:t>under</w:t>
      </w:r>
      <w:r w:rsidRPr="00F52505">
        <w:rPr>
          <w:rFonts w:ascii="Arial" w:hAnsi="Arial" w:cs="Arial"/>
          <w:spacing w:val="-5"/>
        </w:rPr>
        <w:t xml:space="preserve"> </w:t>
      </w:r>
      <w:r w:rsidRPr="00F52505">
        <w:rPr>
          <w:rFonts w:ascii="Arial" w:hAnsi="Arial" w:cs="Arial"/>
        </w:rPr>
        <w:t>that</w:t>
      </w:r>
      <w:r w:rsidRPr="00F52505">
        <w:rPr>
          <w:rFonts w:ascii="Arial" w:hAnsi="Arial" w:cs="Arial"/>
          <w:spacing w:val="-5"/>
        </w:rPr>
        <w:t xml:space="preserve"> </w:t>
      </w:r>
      <w:r w:rsidRPr="00F52505">
        <w:rPr>
          <w:rFonts w:ascii="Arial" w:hAnsi="Arial" w:cs="Arial"/>
        </w:rPr>
        <w:t>licence,</w:t>
      </w:r>
      <w:r w:rsidRPr="00F52505">
        <w:rPr>
          <w:rFonts w:ascii="Arial" w:hAnsi="Arial" w:cs="Arial"/>
          <w:spacing w:val="-5"/>
        </w:rPr>
        <w:t xml:space="preserve"> </w:t>
      </w:r>
      <w:r w:rsidRPr="00F52505">
        <w:rPr>
          <w:rFonts w:ascii="Arial" w:hAnsi="Arial" w:cs="Arial"/>
        </w:rPr>
        <w:t>on</w:t>
      </w:r>
      <w:r w:rsidRPr="00F52505">
        <w:rPr>
          <w:rFonts w:ascii="Arial" w:hAnsi="Arial" w:cs="Arial"/>
          <w:spacing w:val="-5"/>
        </w:rPr>
        <w:t xml:space="preserve"> </w:t>
      </w:r>
      <w:r w:rsidRPr="00F52505">
        <w:rPr>
          <w:rFonts w:ascii="Arial" w:hAnsi="Arial" w:cs="Arial"/>
        </w:rPr>
        <w:t>the</w:t>
      </w:r>
      <w:r w:rsidRPr="00F52505">
        <w:rPr>
          <w:rFonts w:ascii="Arial" w:hAnsi="Arial" w:cs="Arial"/>
          <w:spacing w:val="-5"/>
        </w:rPr>
        <w:t xml:space="preserve"> </w:t>
      </w:r>
      <w:r w:rsidRPr="00F52505">
        <w:rPr>
          <w:rFonts w:ascii="Arial" w:hAnsi="Arial" w:cs="Arial"/>
        </w:rPr>
        <w:t>condition</w:t>
      </w:r>
      <w:r w:rsidRPr="00F52505">
        <w:rPr>
          <w:rFonts w:ascii="Arial" w:hAnsi="Arial" w:cs="Arial"/>
          <w:spacing w:val="-5"/>
        </w:rPr>
        <w:t xml:space="preserve"> </w:t>
      </w:r>
      <w:r w:rsidRPr="00F52505">
        <w:rPr>
          <w:rFonts w:ascii="Arial" w:hAnsi="Arial" w:cs="Arial"/>
        </w:rPr>
        <w:t>that</w:t>
      </w:r>
      <w:r w:rsidRPr="00F52505">
        <w:rPr>
          <w:rFonts w:ascii="Arial" w:hAnsi="Arial" w:cs="Arial"/>
          <w:spacing w:val="-5"/>
        </w:rPr>
        <w:t xml:space="preserve"> </w:t>
      </w:r>
      <w:r w:rsidRPr="00F52505">
        <w:rPr>
          <w:rFonts w:ascii="Arial" w:hAnsi="Arial" w:cs="Arial"/>
        </w:rPr>
        <w:t>you</w:t>
      </w:r>
      <w:r w:rsidRPr="00F52505">
        <w:rPr>
          <w:rFonts w:ascii="Arial" w:hAnsi="Arial" w:cs="Arial"/>
          <w:spacing w:val="-5"/>
        </w:rPr>
        <w:t xml:space="preserve"> </w:t>
      </w:r>
      <w:r w:rsidRPr="00F52505">
        <w:rPr>
          <w:rFonts w:ascii="Arial" w:hAnsi="Arial" w:cs="Arial"/>
        </w:rPr>
        <w:t>credit</w:t>
      </w:r>
      <w:r w:rsidRPr="00F52505">
        <w:rPr>
          <w:rFonts w:ascii="Arial" w:hAnsi="Arial" w:cs="Arial"/>
          <w:spacing w:val="-5"/>
        </w:rPr>
        <w:t xml:space="preserve"> </w:t>
      </w:r>
      <w:r w:rsidRPr="00F52505">
        <w:rPr>
          <w:rFonts w:ascii="Arial" w:hAnsi="Arial" w:cs="Arial"/>
        </w:rPr>
        <w:t>the</w:t>
      </w:r>
      <w:r w:rsidRPr="00F52505">
        <w:rPr>
          <w:rFonts w:ascii="Arial" w:hAnsi="Arial" w:cs="Arial"/>
          <w:spacing w:val="-5"/>
        </w:rPr>
        <w:t xml:space="preserve"> </w:t>
      </w:r>
      <w:r w:rsidRPr="00F52505">
        <w:rPr>
          <w:rFonts w:ascii="Arial" w:hAnsi="Arial" w:cs="Arial"/>
        </w:rPr>
        <w:t>Victorian</w:t>
      </w:r>
      <w:r w:rsidRPr="00F52505">
        <w:rPr>
          <w:rFonts w:ascii="Arial" w:hAnsi="Arial" w:cs="Arial"/>
          <w:spacing w:val="-5"/>
        </w:rPr>
        <w:t xml:space="preserve"> </w:t>
      </w:r>
      <w:r w:rsidRPr="00F52505">
        <w:rPr>
          <w:rFonts w:ascii="Arial" w:hAnsi="Arial" w:cs="Arial"/>
        </w:rPr>
        <w:t>Building</w:t>
      </w:r>
      <w:r w:rsidRPr="00F52505">
        <w:rPr>
          <w:rFonts w:ascii="Arial" w:hAnsi="Arial" w:cs="Arial"/>
          <w:spacing w:val="-5"/>
        </w:rPr>
        <w:t xml:space="preserve"> </w:t>
      </w:r>
      <w:r w:rsidRPr="00F52505">
        <w:rPr>
          <w:rFonts w:ascii="Arial" w:hAnsi="Arial" w:cs="Arial"/>
        </w:rPr>
        <w:t>Authority</w:t>
      </w:r>
      <w:r w:rsidRPr="00F52505">
        <w:rPr>
          <w:rFonts w:ascii="Arial" w:hAnsi="Arial" w:cs="Arial"/>
          <w:spacing w:val="-5"/>
        </w:rPr>
        <w:t xml:space="preserve"> </w:t>
      </w:r>
      <w:r w:rsidR="00F52505">
        <w:rPr>
          <w:rFonts w:ascii="Arial" w:hAnsi="Arial" w:cs="Arial"/>
          <w:spacing w:val="-5"/>
        </w:rPr>
        <w:br/>
      </w:r>
      <w:r w:rsidRPr="00F52505">
        <w:rPr>
          <w:rFonts w:ascii="Arial" w:hAnsi="Arial" w:cs="Arial"/>
        </w:rPr>
        <w:t>as the</w:t>
      </w:r>
      <w:r w:rsidRPr="00F52505">
        <w:rPr>
          <w:rFonts w:ascii="Arial" w:hAnsi="Arial" w:cs="Arial"/>
          <w:spacing w:val="-6"/>
        </w:rPr>
        <w:t xml:space="preserve"> </w:t>
      </w:r>
      <w:r w:rsidRPr="00F52505">
        <w:rPr>
          <w:rFonts w:ascii="Arial" w:hAnsi="Arial" w:cs="Arial"/>
        </w:rPr>
        <w:t>author,</w:t>
      </w:r>
      <w:r w:rsidRPr="00F52505">
        <w:rPr>
          <w:rFonts w:ascii="Arial" w:hAnsi="Arial" w:cs="Arial"/>
          <w:spacing w:val="-6"/>
        </w:rPr>
        <w:t xml:space="preserve"> </w:t>
      </w:r>
      <w:r w:rsidRPr="00F52505">
        <w:rPr>
          <w:rFonts w:ascii="Arial" w:hAnsi="Arial" w:cs="Arial"/>
        </w:rPr>
        <w:t>show</w:t>
      </w:r>
      <w:r w:rsidRPr="00F52505">
        <w:rPr>
          <w:rFonts w:ascii="Arial" w:hAnsi="Arial" w:cs="Arial"/>
          <w:spacing w:val="-6"/>
        </w:rPr>
        <w:t xml:space="preserve"> </w:t>
      </w:r>
      <w:r w:rsidRPr="00F52505">
        <w:rPr>
          <w:rFonts w:ascii="Arial" w:hAnsi="Arial" w:cs="Arial"/>
        </w:rPr>
        <w:t>if</w:t>
      </w:r>
      <w:r w:rsidRPr="00F52505">
        <w:rPr>
          <w:rFonts w:ascii="Arial" w:hAnsi="Arial" w:cs="Arial"/>
          <w:spacing w:val="-6"/>
        </w:rPr>
        <w:t xml:space="preserve"> </w:t>
      </w:r>
      <w:r w:rsidRPr="00F52505">
        <w:rPr>
          <w:rFonts w:ascii="Arial" w:hAnsi="Arial" w:cs="Arial"/>
        </w:rPr>
        <w:t>changes</w:t>
      </w:r>
      <w:r w:rsidRPr="00F52505">
        <w:rPr>
          <w:rFonts w:ascii="Arial" w:hAnsi="Arial" w:cs="Arial"/>
          <w:spacing w:val="-6"/>
        </w:rPr>
        <w:t xml:space="preserve"> </w:t>
      </w:r>
      <w:r w:rsidRPr="00F52505">
        <w:rPr>
          <w:rFonts w:ascii="Arial" w:hAnsi="Arial" w:cs="Arial"/>
        </w:rPr>
        <w:t>were</w:t>
      </w:r>
      <w:r w:rsidRPr="00F52505">
        <w:rPr>
          <w:rFonts w:ascii="Arial" w:hAnsi="Arial" w:cs="Arial"/>
          <w:spacing w:val="-6"/>
        </w:rPr>
        <w:t xml:space="preserve"> </w:t>
      </w:r>
      <w:r w:rsidRPr="00F52505">
        <w:rPr>
          <w:rFonts w:ascii="Arial" w:hAnsi="Arial" w:cs="Arial"/>
        </w:rPr>
        <w:t>made</w:t>
      </w:r>
      <w:r w:rsidRPr="00F52505">
        <w:rPr>
          <w:rFonts w:ascii="Arial" w:hAnsi="Arial" w:cs="Arial"/>
          <w:spacing w:val="-6"/>
        </w:rPr>
        <w:t xml:space="preserve"> </w:t>
      </w:r>
      <w:r w:rsidRPr="00F52505">
        <w:rPr>
          <w:rFonts w:ascii="Arial" w:hAnsi="Arial" w:cs="Arial"/>
        </w:rPr>
        <w:t>to</w:t>
      </w:r>
      <w:r w:rsidRPr="00F52505">
        <w:rPr>
          <w:rFonts w:ascii="Arial" w:hAnsi="Arial" w:cs="Arial"/>
          <w:spacing w:val="-6"/>
        </w:rPr>
        <w:t xml:space="preserve"> </w:t>
      </w:r>
      <w:r w:rsidRPr="00F52505">
        <w:rPr>
          <w:rFonts w:ascii="Arial" w:hAnsi="Arial" w:cs="Arial"/>
        </w:rPr>
        <w:t>the</w:t>
      </w:r>
      <w:r w:rsidRPr="00F52505">
        <w:rPr>
          <w:rFonts w:ascii="Arial" w:hAnsi="Arial" w:cs="Arial"/>
          <w:spacing w:val="-6"/>
        </w:rPr>
        <w:t xml:space="preserve"> </w:t>
      </w:r>
      <w:r w:rsidRPr="00F52505">
        <w:rPr>
          <w:rFonts w:ascii="Arial" w:hAnsi="Arial" w:cs="Arial"/>
        </w:rPr>
        <w:t>document</w:t>
      </w:r>
      <w:r w:rsidRPr="00F52505">
        <w:rPr>
          <w:rFonts w:ascii="Arial" w:hAnsi="Arial" w:cs="Arial"/>
          <w:spacing w:val="-6"/>
        </w:rPr>
        <w:t xml:space="preserve"> </w:t>
      </w:r>
      <w:r w:rsidRPr="00F52505">
        <w:rPr>
          <w:rFonts w:ascii="Arial" w:hAnsi="Arial" w:cs="Arial"/>
        </w:rPr>
        <w:t>and</w:t>
      </w:r>
      <w:r w:rsidRPr="00F52505">
        <w:rPr>
          <w:rFonts w:ascii="Arial" w:hAnsi="Arial" w:cs="Arial"/>
          <w:spacing w:val="-6"/>
        </w:rPr>
        <w:t xml:space="preserve"> </w:t>
      </w:r>
      <w:r w:rsidRPr="00F52505">
        <w:rPr>
          <w:rFonts w:ascii="Arial" w:hAnsi="Arial" w:cs="Arial"/>
        </w:rPr>
        <w:t>follow</w:t>
      </w:r>
      <w:r w:rsidRPr="00F52505">
        <w:rPr>
          <w:rFonts w:ascii="Arial" w:hAnsi="Arial" w:cs="Arial"/>
          <w:spacing w:val="-6"/>
        </w:rPr>
        <w:t xml:space="preserve"> </w:t>
      </w:r>
      <w:r w:rsidRPr="00F52505">
        <w:rPr>
          <w:rFonts w:ascii="Arial" w:hAnsi="Arial" w:cs="Arial"/>
        </w:rPr>
        <w:t>the</w:t>
      </w:r>
      <w:r w:rsidRPr="00F52505">
        <w:rPr>
          <w:rFonts w:ascii="Arial" w:hAnsi="Arial" w:cs="Arial"/>
          <w:spacing w:val="-6"/>
        </w:rPr>
        <w:t xml:space="preserve"> </w:t>
      </w:r>
      <w:r w:rsidRPr="00F52505">
        <w:rPr>
          <w:rFonts w:ascii="Arial" w:hAnsi="Arial" w:cs="Arial"/>
        </w:rPr>
        <w:t>other</w:t>
      </w:r>
      <w:r w:rsidRPr="00F52505">
        <w:rPr>
          <w:rFonts w:ascii="Arial" w:hAnsi="Arial" w:cs="Arial"/>
          <w:spacing w:val="-6"/>
        </w:rPr>
        <w:t xml:space="preserve"> </w:t>
      </w:r>
      <w:r w:rsidRPr="00F52505">
        <w:rPr>
          <w:rFonts w:ascii="Arial" w:hAnsi="Arial" w:cs="Arial"/>
        </w:rPr>
        <w:t>licence</w:t>
      </w:r>
      <w:r w:rsidRPr="00F52505">
        <w:rPr>
          <w:rFonts w:ascii="Arial" w:hAnsi="Arial" w:cs="Arial"/>
          <w:spacing w:val="-6"/>
        </w:rPr>
        <w:t xml:space="preserve"> </w:t>
      </w:r>
      <w:r w:rsidRPr="00F52505">
        <w:rPr>
          <w:rFonts w:ascii="Arial" w:hAnsi="Arial" w:cs="Arial"/>
        </w:rPr>
        <w:t>terms.</w:t>
      </w:r>
      <w:r w:rsidRPr="00F52505">
        <w:rPr>
          <w:rFonts w:ascii="Arial" w:hAnsi="Arial" w:cs="Arial"/>
          <w:spacing w:val="-6"/>
        </w:rPr>
        <w:t xml:space="preserve"> </w:t>
      </w:r>
      <w:r w:rsidRPr="00F52505">
        <w:rPr>
          <w:rFonts w:ascii="Arial" w:hAnsi="Arial" w:cs="Arial"/>
        </w:rPr>
        <w:t>The</w:t>
      </w:r>
      <w:r w:rsidRPr="00F52505">
        <w:rPr>
          <w:rFonts w:ascii="Arial" w:hAnsi="Arial" w:cs="Arial"/>
          <w:spacing w:val="-6"/>
        </w:rPr>
        <w:t xml:space="preserve"> </w:t>
      </w:r>
      <w:r w:rsidRPr="00F52505">
        <w:rPr>
          <w:rFonts w:ascii="Arial" w:hAnsi="Arial" w:cs="Arial"/>
        </w:rPr>
        <w:t>licence</w:t>
      </w:r>
      <w:r w:rsidRPr="00F52505">
        <w:rPr>
          <w:rFonts w:ascii="Arial" w:hAnsi="Arial" w:cs="Arial"/>
          <w:spacing w:val="-6"/>
        </w:rPr>
        <w:t xml:space="preserve"> </w:t>
      </w:r>
      <w:r w:rsidRPr="00F52505">
        <w:rPr>
          <w:rFonts w:ascii="Arial" w:hAnsi="Arial" w:cs="Arial"/>
        </w:rPr>
        <w:t>does</w:t>
      </w:r>
      <w:r w:rsidRPr="00F52505">
        <w:rPr>
          <w:rFonts w:ascii="Arial" w:hAnsi="Arial" w:cs="Arial"/>
          <w:spacing w:val="-6"/>
        </w:rPr>
        <w:t xml:space="preserve"> </w:t>
      </w:r>
      <w:r w:rsidRPr="00F52505">
        <w:rPr>
          <w:rFonts w:ascii="Arial" w:hAnsi="Arial" w:cs="Arial"/>
        </w:rPr>
        <w:t xml:space="preserve">not </w:t>
      </w:r>
      <w:r w:rsidR="00F52505">
        <w:rPr>
          <w:rFonts w:ascii="Arial" w:hAnsi="Arial" w:cs="Arial"/>
        </w:rPr>
        <w:br/>
      </w:r>
      <w:r w:rsidRPr="00F52505">
        <w:rPr>
          <w:rFonts w:ascii="Arial" w:hAnsi="Arial" w:cs="Arial"/>
        </w:rPr>
        <w:t>apply</w:t>
      </w:r>
      <w:r w:rsidRPr="00F52505">
        <w:rPr>
          <w:rFonts w:ascii="Arial" w:hAnsi="Arial" w:cs="Arial"/>
          <w:spacing w:val="-5"/>
        </w:rPr>
        <w:t xml:space="preserve"> </w:t>
      </w:r>
      <w:r w:rsidRPr="00F52505">
        <w:rPr>
          <w:rFonts w:ascii="Arial" w:hAnsi="Arial" w:cs="Arial"/>
        </w:rPr>
        <w:t>to</w:t>
      </w:r>
      <w:r w:rsidRPr="00F52505">
        <w:rPr>
          <w:rFonts w:ascii="Arial" w:hAnsi="Arial" w:cs="Arial"/>
          <w:spacing w:val="-5"/>
        </w:rPr>
        <w:t xml:space="preserve"> </w:t>
      </w:r>
      <w:r w:rsidRPr="00F52505">
        <w:rPr>
          <w:rFonts w:ascii="Arial" w:hAnsi="Arial" w:cs="Arial"/>
        </w:rPr>
        <w:t>any</w:t>
      </w:r>
      <w:r w:rsidRPr="00F52505">
        <w:rPr>
          <w:rFonts w:ascii="Arial" w:hAnsi="Arial" w:cs="Arial"/>
          <w:spacing w:val="-5"/>
        </w:rPr>
        <w:t xml:space="preserve"> </w:t>
      </w:r>
      <w:r w:rsidRPr="00F52505">
        <w:rPr>
          <w:rFonts w:ascii="Arial" w:hAnsi="Arial" w:cs="Arial"/>
        </w:rPr>
        <w:t>images,</w:t>
      </w:r>
      <w:r w:rsidRPr="00F52505">
        <w:rPr>
          <w:rFonts w:ascii="Arial" w:hAnsi="Arial" w:cs="Arial"/>
          <w:spacing w:val="-5"/>
        </w:rPr>
        <w:t xml:space="preserve"> </w:t>
      </w:r>
      <w:r w:rsidRPr="00F52505">
        <w:rPr>
          <w:rFonts w:ascii="Arial" w:hAnsi="Arial" w:cs="Arial"/>
        </w:rPr>
        <w:t>photographs</w:t>
      </w:r>
      <w:r w:rsidRPr="00F52505">
        <w:rPr>
          <w:rFonts w:ascii="Arial" w:hAnsi="Arial" w:cs="Arial"/>
          <w:spacing w:val="-5"/>
        </w:rPr>
        <w:t xml:space="preserve"> </w:t>
      </w:r>
      <w:r w:rsidRPr="00F52505">
        <w:rPr>
          <w:rFonts w:ascii="Arial" w:hAnsi="Arial" w:cs="Arial"/>
        </w:rPr>
        <w:t>or</w:t>
      </w:r>
      <w:r w:rsidRPr="00F52505">
        <w:rPr>
          <w:rFonts w:ascii="Arial" w:hAnsi="Arial" w:cs="Arial"/>
          <w:spacing w:val="-5"/>
        </w:rPr>
        <w:t xml:space="preserve"> </w:t>
      </w:r>
      <w:r w:rsidRPr="00F52505">
        <w:rPr>
          <w:rFonts w:ascii="Arial" w:hAnsi="Arial" w:cs="Arial"/>
        </w:rPr>
        <w:t>branding,</w:t>
      </w:r>
      <w:r w:rsidRPr="00F52505">
        <w:rPr>
          <w:rFonts w:ascii="Arial" w:hAnsi="Arial" w:cs="Arial"/>
          <w:spacing w:val="-5"/>
        </w:rPr>
        <w:t xml:space="preserve"> </w:t>
      </w:r>
      <w:r w:rsidRPr="00F52505">
        <w:rPr>
          <w:rFonts w:ascii="Arial" w:hAnsi="Arial" w:cs="Arial"/>
        </w:rPr>
        <w:t>including</w:t>
      </w:r>
      <w:r w:rsidRPr="00F52505">
        <w:rPr>
          <w:rFonts w:ascii="Arial" w:hAnsi="Arial" w:cs="Arial"/>
          <w:spacing w:val="-5"/>
        </w:rPr>
        <w:t xml:space="preserve"> </w:t>
      </w:r>
      <w:r w:rsidRPr="00F52505">
        <w:rPr>
          <w:rFonts w:ascii="Arial" w:hAnsi="Arial" w:cs="Arial"/>
        </w:rPr>
        <w:t>the</w:t>
      </w:r>
      <w:r w:rsidRPr="00F52505">
        <w:rPr>
          <w:rFonts w:ascii="Arial" w:hAnsi="Arial" w:cs="Arial"/>
          <w:spacing w:val="-5"/>
        </w:rPr>
        <w:t xml:space="preserve"> </w:t>
      </w:r>
      <w:r w:rsidRPr="00F52505">
        <w:rPr>
          <w:rFonts w:ascii="Arial" w:hAnsi="Arial" w:cs="Arial"/>
        </w:rPr>
        <w:t>Victorian</w:t>
      </w:r>
      <w:r w:rsidRPr="00F52505">
        <w:rPr>
          <w:rFonts w:ascii="Arial" w:hAnsi="Arial" w:cs="Arial"/>
          <w:spacing w:val="-5"/>
        </w:rPr>
        <w:t xml:space="preserve"> </w:t>
      </w:r>
      <w:r w:rsidRPr="00F52505">
        <w:rPr>
          <w:rFonts w:ascii="Arial" w:hAnsi="Arial" w:cs="Arial"/>
        </w:rPr>
        <w:t>Building</w:t>
      </w:r>
      <w:r w:rsidRPr="00F52505">
        <w:rPr>
          <w:rFonts w:ascii="Arial" w:hAnsi="Arial" w:cs="Arial"/>
          <w:spacing w:val="-5"/>
        </w:rPr>
        <w:t xml:space="preserve"> </w:t>
      </w:r>
      <w:r w:rsidRPr="00F52505">
        <w:rPr>
          <w:rFonts w:ascii="Arial" w:hAnsi="Arial" w:cs="Arial"/>
        </w:rPr>
        <w:t>Authority</w:t>
      </w:r>
      <w:r w:rsidRPr="00F52505">
        <w:rPr>
          <w:rFonts w:ascii="Arial" w:hAnsi="Arial" w:cs="Arial"/>
          <w:spacing w:val="-5"/>
        </w:rPr>
        <w:t xml:space="preserve"> </w:t>
      </w:r>
      <w:r w:rsidRPr="00F52505">
        <w:rPr>
          <w:rFonts w:ascii="Arial" w:hAnsi="Arial" w:cs="Arial"/>
        </w:rPr>
        <w:t>logo.</w:t>
      </w:r>
      <w:r w:rsidRPr="00F52505">
        <w:rPr>
          <w:rFonts w:ascii="Arial" w:hAnsi="Arial" w:cs="Arial"/>
          <w:spacing w:val="-5"/>
        </w:rPr>
        <w:t xml:space="preserve"> </w:t>
      </w:r>
      <w:r w:rsidRPr="00F52505">
        <w:rPr>
          <w:rFonts w:ascii="Arial" w:hAnsi="Arial" w:cs="Arial"/>
        </w:rPr>
        <w:t>To</w:t>
      </w:r>
      <w:r w:rsidRPr="00F52505">
        <w:rPr>
          <w:rFonts w:ascii="Arial" w:hAnsi="Arial" w:cs="Arial"/>
          <w:spacing w:val="-5"/>
        </w:rPr>
        <w:t xml:space="preserve"> </w:t>
      </w:r>
      <w:r w:rsidRPr="00F52505">
        <w:rPr>
          <w:rFonts w:ascii="Arial" w:hAnsi="Arial" w:cs="Arial"/>
        </w:rPr>
        <w:t>view</w:t>
      </w:r>
      <w:r w:rsidRPr="00F52505">
        <w:rPr>
          <w:rFonts w:ascii="Arial" w:hAnsi="Arial" w:cs="Arial"/>
          <w:spacing w:val="-5"/>
        </w:rPr>
        <w:t xml:space="preserve"> </w:t>
      </w:r>
      <w:r w:rsidRPr="00F52505">
        <w:rPr>
          <w:rFonts w:ascii="Arial" w:hAnsi="Arial" w:cs="Arial"/>
        </w:rPr>
        <w:t>a</w:t>
      </w:r>
      <w:r w:rsidRPr="00F52505">
        <w:rPr>
          <w:rFonts w:ascii="Arial" w:hAnsi="Arial" w:cs="Arial"/>
          <w:spacing w:val="-5"/>
        </w:rPr>
        <w:t xml:space="preserve"> </w:t>
      </w:r>
      <w:r w:rsidRPr="00F52505">
        <w:rPr>
          <w:rFonts w:ascii="Arial" w:hAnsi="Arial" w:cs="Arial"/>
        </w:rPr>
        <w:t>copy</w:t>
      </w:r>
      <w:r w:rsidRPr="00F52505">
        <w:rPr>
          <w:rFonts w:ascii="Arial" w:hAnsi="Arial" w:cs="Arial"/>
          <w:spacing w:val="-5"/>
        </w:rPr>
        <w:t xml:space="preserve"> </w:t>
      </w:r>
      <w:r w:rsidRPr="00F52505">
        <w:rPr>
          <w:rFonts w:ascii="Arial" w:hAnsi="Arial" w:cs="Arial"/>
        </w:rPr>
        <w:t>of this</w:t>
      </w:r>
      <w:r w:rsidRPr="00F52505">
        <w:rPr>
          <w:rFonts w:ascii="Arial" w:hAnsi="Arial" w:cs="Arial"/>
          <w:spacing w:val="-11"/>
        </w:rPr>
        <w:t xml:space="preserve"> </w:t>
      </w:r>
      <w:r w:rsidR="00F52505">
        <w:rPr>
          <w:rFonts w:ascii="Arial" w:hAnsi="Arial" w:cs="Arial"/>
          <w:spacing w:val="-11"/>
        </w:rPr>
        <w:br/>
      </w:r>
      <w:r w:rsidRPr="00F52505">
        <w:rPr>
          <w:rFonts w:ascii="Arial" w:hAnsi="Arial" w:cs="Arial"/>
        </w:rPr>
        <w:t>licence,</w:t>
      </w:r>
      <w:r w:rsidRPr="00F52505">
        <w:rPr>
          <w:rFonts w:ascii="Arial" w:hAnsi="Arial" w:cs="Arial"/>
          <w:spacing w:val="-11"/>
        </w:rPr>
        <w:t xml:space="preserve"> </w:t>
      </w:r>
      <w:r w:rsidRPr="00F52505">
        <w:rPr>
          <w:rFonts w:ascii="Arial" w:hAnsi="Arial" w:cs="Arial"/>
        </w:rPr>
        <w:t>visit</w:t>
      </w:r>
      <w:r w:rsidRPr="00F52505">
        <w:rPr>
          <w:rFonts w:ascii="Arial" w:hAnsi="Arial" w:cs="Arial"/>
          <w:spacing w:val="-11"/>
        </w:rPr>
        <w:t xml:space="preserve"> </w:t>
      </w:r>
      <w:r w:rsidRPr="00F52505">
        <w:rPr>
          <w:rFonts w:ascii="Arial" w:hAnsi="Arial" w:cs="Arial"/>
        </w:rPr>
        <w:t>creativecommons.</w:t>
      </w:r>
      <w:r w:rsidRPr="00F52505">
        <w:rPr>
          <w:rFonts w:ascii="Arial" w:hAnsi="Arial" w:cs="Arial"/>
          <w:sz w:val="19"/>
        </w:rPr>
        <w:t>org</w:t>
      </w:r>
      <w:r w:rsidRPr="00F52505">
        <w:rPr>
          <w:rFonts w:ascii="Arial" w:hAnsi="Arial" w:cs="Arial"/>
        </w:rPr>
        <w:t>/licenses/by/4.0/.</w:t>
      </w:r>
    </w:p>
    <w:p w14:paraId="29F51B56" w14:textId="77777777" w:rsidR="00084F36" w:rsidRPr="00F52505" w:rsidRDefault="00084F36">
      <w:pPr>
        <w:pStyle w:val="BodyText"/>
        <w:spacing w:before="5"/>
        <w:rPr>
          <w:rFonts w:ascii="Arial" w:hAnsi="Arial" w:cs="Arial"/>
        </w:rPr>
      </w:pPr>
    </w:p>
    <w:p w14:paraId="3B2668CA" w14:textId="77777777" w:rsidR="00084F36" w:rsidRPr="00F52505" w:rsidRDefault="00EB2BD8">
      <w:pPr>
        <w:pStyle w:val="BodyText"/>
        <w:ind w:left="836"/>
        <w:rPr>
          <w:rFonts w:ascii="Arial" w:hAnsi="Arial" w:cs="Arial"/>
        </w:rPr>
      </w:pPr>
      <w:r w:rsidRPr="00F52505">
        <w:rPr>
          <w:rFonts w:ascii="Arial" w:hAnsi="Arial" w:cs="Arial"/>
          <w:spacing w:val="-2"/>
          <w:w w:val="105"/>
        </w:rPr>
        <w:t>Photography</w:t>
      </w:r>
    </w:p>
    <w:p w14:paraId="4B8EF036" w14:textId="2FAA7699" w:rsidR="00084F36" w:rsidRPr="00F52505" w:rsidRDefault="00EB2BD8">
      <w:pPr>
        <w:pStyle w:val="BodyText"/>
        <w:spacing w:before="8" w:line="249" w:lineRule="auto"/>
        <w:ind w:left="836" w:right="6287"/>
        <w:rPr>
          <w:rFonts w:ascii="Arial" w:hAnsi="Arial" w:cs="Arial"/>
        </w:rPr>
      </w:pPr>
      <w:r w:rsidRPr="00F52505">
        <w:rPr>
          <w:rFonts w:ascii="Arial" w:hAnsi="Arial" w:cs="Arial"/>
        </w:rPr>
        <w:t xml:space="preserve">Steffen Pedersen - Little Viking Productions Pty Ltd </w:t>
      </w:r>
      <w:r w:rsidRPr="00F52505">
        <w:rPr>
          <w:rFonts w:ascii="Arial" w:hAnsi="Arial" w:cs="Arial"/>
          <w:w w:val="110"/>
        </w:rPr>
        <w:t>Ivan Lee - IJ Productions</w:t>
      </w:r>
    </w:p>
    <w:p w14:paraId="45A237DC" w14:textId="77777777" w:rsidR="00084F36" w:rsidRPr="00F52505" w:rsidRDefault="00084F36">
      <w:pPr>
        <w:pStyle w:val="BodyText"/>
        <w:spacing w:before="7"/>
        <w:rPr>
          <w:rFonts w:ascii="Arial" w:hAnsi="Arial" w:cs="Arial"/>
        </w:rPr>
      </w:pPr>
    </w:p>
    <w:p w14:paraId="7B45D081" w14:textId="77777777" w:rsidR="00084F36" w:rsidRPr="00F52505" w:rsidRDefault="00EB2BD8">
      <w:pPr>
        <w:pStyle w:val="BodyText"/>
        <w:spacing w:line="249" w:lineRule="auto"/>
        <w:ind w:left="836" w:right="7043"/>
        <w:rPr>
          <w:rFonts w:ascii="Arial" w:hAnsi="Arial" w:cs="Arial"/>
        </w:rPr>
      </w:pPr>
      <w:r w:rsidRPr="00F52505">
        <w:rPr>
          <w:rFonts w:ascii="Arial" w:hAnsi="Arial" w:cs="Arial"/>
        </w:rPr>
        <w:t>Authorised</w:t>
      </w:r>
      <w:r w:rsidRPr="00F52505">
        <w:rPr>
          <w:rFonts w:ascii="Arial" w:hAnsi="Arial" w:cs="Arial"/>
          <w:spacing w:val="-15"/>
        </w:rPr>
        <w:t xml:space="preserve"> </w:t>
      </w:r>
      <w:r w:rsidRPr="00F52505">
        <w:rPr>
          <w:rFonts w:ascii="Arial" w:hAnsi="Arial" w:cs="Arial"/>
        </w:rPr>
        <w:t>by</w:t>
      </w:r>
      <w:r w:rsidRPr="00F52505">
        <w:rPr>
          <w:rFonts w:ascii="Arial" w:hAnsi="Arial" w:cs="Arial"/>
          <w:spacing w:val="-14"/>
        </w:rPr>
        <w:t xml:space="preserve"> </w:t>
      </w:r>
      <w:r w:rsidRPr="00F52505">
        <w:rPr>
          <w:rFonts w:ascii="Arial" w:hAnsi="Arial" w:cs="Arial"/>
        </w:rPr>
        <w:t>the</w:t>
      </w:r>
      <w:r w:rsidRPr="00F52505">
        <w:rPr>
          <w:rFonts w:ascii="Arial" w:hAnsi="Arial" w:cs="Arial"/>
          <w:spacing w:val="-14"/>
        </w:rPr>
        <w:t xml:space="preserve"> </w:t>
      </w:r>
      <w:r w:rsidRPr="00F52505">
        <w:rPr>
          <w:rFonts w:ascii="Arial" w:hAnsi="Arial" w:cs="Arial"/>
        </w:rPr>
        <w:t>Victorian</w:t>
      </w:r>
      <w:r w:rsidRPr="00F52505">
        <w:rPr>
          <w:rFonts w:ascii="Arial" w:hAnsi="Arial" w:cs="Arial"/>
          <w:spacing w:val="-14"/>
        </w:rPr>
        <w:t xml:space="preserve"> </w:t>
      </w:r>
      <w:r w:rsidRPr="00F52505">
        <w:rPr>
          <w:rFonts w:ascii="Arial" w:hAnsi="Arial" w:cs="Arial"/>
        </w:rPr>
        <w:t>Building</w:t>
      </w:r>
      <w:r w:rsidRPr="00F52505">
        <w:rPr>
          <w:rFonts w:ascii="Arial" w:hAnsi="Arial" w:cs="Arial"/>
          <w:spacing w:val="-15"/>
        </w:rPr>
        <w:t xml:space="preserve"> </w:t>
      </w:r>
      <w:r w:rsidRPr="00F52505">
        <w:rPr>
          <w:rFonts w:ascii="Arial" w:hAnsi="Arial" w:cs="Arial"/>
        </w:rPr>
        <w:t xml:space="preserve">Authority, 733 Bourke Street, Docklands Vic 3008 Available online at </w:t>
      </w:r>
      <w:hyperlink r:id="rId12">
        <w:r w:rsidRPr="00F52505">
          <w:rPr>
            <w:rFonts w:ascii="Arial" w:hAnsi="Arial" w:cs="Arial"/>
          </w:rPr>
          <w:t>www.vba.vic.gov.au</w:t>
        </w:r>
      </w:hyperlink>
    </w:p>
    <w:p w14:paraId="405CE00C" w14:textId="77777777" w:rsidR="00084F36" w:rsidRPr="00EB2BD8" w:rsidRDefault="00084F36">
      <w:pPr>
        <w:pStyle w:val="BodyText"/>
        <w:spacing w:before="9"/>
        <w:rPr>
          <w:sz w:val="28"/>
        </w:rPr>
      </w:pPr>
    </w:p>
    <w:p w14:paraId="54233D8C" w14:textId="77777777" w:rsidR="00084F36" w:rsidRPr="00EB2BD8" w:rsidRDefault="00084F36">
      <w:pPr>
        <w:rPr>
          <w:sz w:val="16"/>
        </w:rPr>
        <w:sectPr w:rsidR="00084F36" w:rsidRPr="00EB2BD8" w:rsidSect="006D75B2">
          <w:footerReference w:type="default" r:id="rId13"/>
          <w:type w:val="continuous"/>
          <w:pgSz w:w="11910" w:h="16840"/>
          <w:pgMar w:top="1920" w:right="0" w:bottom="280" w:left="0" w:header="720" w:footer="720" w:gutter="0"/>
          <w:cols w:space="720"/>
        </w:sectPr>
      </w:pPr>
    </w:p>
    <w:p w14:paraId="66FCFF58" w14:textId="44447C56" w:rsidR="00084F36" w:rsidRPr="00EB2BD8" w:rsidRDefault="00084F36">
      <w:pPr>
        <w:pStyle w:val="BodyText"/>
        <w:rPr>
          <w:b/>
          <w:sz w:val="20"/>
        </w:rPr>
      </w:pPr>
    </w:p>
    <w:p w14:paraId="12DCCADB" w14:textId="77777777" w:rsidR="00084F36" w:rsidRPr="00EB2BD8" w:rsidRDefault="00084F36">
      <w:pPr>
        <w:pStyle w:val="BodyText"/>
        <w:rPr>
          <w:b/>
          <w:sz w:val="20"/>
        </w:rPr>
      </w:pPr>
    </w:p>
    <w:p w14:paraId="3B5EFF03" w14:textId="77777777" w:rsidR="00084F36" w:rsidRPr="00EB2BD8" w:rsidRDefault="00084F36">
      <w:pPr>
        <w:pStyle w:val="BodyText"/>
        <w:rPr>
          <w:b/>
          <w:sz w:val="20"/>
        </w:rPr>
      </w:pPr>
    </w:p>
    <w:p w14:paraId="4669EC8F" w14:textId="77777777" w:rsidR="00084F36" w:rsidRPr="00EB2BD8" w:rsidRDefault="00084F36">
      <w:pPr>
        <w:pStyle w:val="BodyText"/>
        <w:rPr>
          <w:b/>
          <w:sz w:val="20"/>
        </w:rPr>
      </w:pPr>
    </w:p>
    <w:p w14:paraId="68A4F4F3" w14:textId="77777777" w:rsidR="00084F36" w:rsidRPr="00EB2BD8" w:rsidRDefault="00084F36">
      <w:pPr>
        <w:pStyle w:val="BodyText"/>
        <w:rPr>
          <w:b/>
          <w:sz w:val="20"/>
        </w:rPr>
      </w:pPr>
    </w:p>
    <w:p w14:paraId="1B5607AA" w14:textId="77777777" w:rsidR="00084F36" w:rsidRPr="00EB2BD8" w:rsidRDefault="00084F36">
      <w:pPr>
        <w:pStyle w:val="BodyText"/>
        <w:rPr>
          <w:b/>
          <w:sz w:val="20"/>
        </w:rPr>
      </w:pPr>
    </w:p>
    <w:p w14:paraId="4E70C220" w14:textId="77777777" w:rsidR="00084F36" w:rsidRPr="00EB2BD8" w:rsidRDefault="00084F36">
      <w:pPr>
        <w:pStyle w:val="BodyText"/>
        <w:rPr>
          <w:b/>
          <w:sz w:val="20"/>
        </w:rPr>
      </w:pPr>
    </w:p>
    <w:p w14:paraId="56D41666" w14:textId="77777777" w:rsidR="00084F36" w:rsidRPr="00EB2BD8" w:rsidRDefault="00084F36">
      <w:pPr>
        <w:pStyle w:val="BodyText"/>
        <w:rPr>
          <w:b/>
          <w:sz w:val="20"/>
        </w:rPr>
      </w:pPr>
    </w:p>
    <w:p w14:paraId="216C198E" w14:textId="77777777" w:rsidR="00084F36" w:rsidRPr="00EB2BD8" w:rsidRDefault="00084F36">
      <w:pPr>
        <w:pStyle w:val="BodyText"/>
        <w:spacing w:before="3"/>
        <w:rPr>
          <w:b/>
          <w:sz w:val="29"/>
        </w:rPr>
      </w:pPr>
    </w:p>
    <w:p w14:paraId="4B1D0F89" w14:textId="697DD8EB" w:rsidR="00084F36" w:rsidRPr="00EB2BD8" w:rsidRDefault="00EB2BD8" w:rsidP="00065899">
      <w:pPr>
        <w:pStyle w:val="Heading2"/>
      </w:pPr>
      <w:bookmarkStart w:id="9" w:name="_Toc150762318"/>
      <w:r w:rsidRPr="00EB2BD8">
        <w:t>Table</w:t>
      </w:r>
      <w:r w:rsidRPr="00EB2BD8">
        <w:rPr>
          <w:spacing w:val="-29"/>
        </w:rPr>
        <w:t xml:space="preserve"> </w:t>
      </w:r>
      <w:r w:rsidRPr="00EB2BD8">
        <w:t>of</w:t>
      </w:r>
      <w:r w:rsidRPr="00EB2BD8">
        <w:rPr>
          <w:spacing w:val="-28"/>
        </w:rPr>
        <w:t xml:space="preserve"> </w:t>
      </w:r>
      <w:r w:rsidRPr="00EB2BD8">
        <w:t>contents</w:t>
      </w:r>
      <w:bookmarkEnd w:id="9"/>
    </w:p>
    <w:p w14:paraId="34E9E864" w14:textId="77777777" w:rsidR="00084F36" w:rsidRPr="00EB2BD8" w:rsidRDefault="00084F36">
      <w:pPr>
        <w:pStyle w:val="BodyText"/>
        <w:rPr>
          <w:rFonts w:ascii="Tahoma"/>
          <w:b/>
          <w:sz w:val="60"/>
        </w:rPr>
      </w:pPr>
    </w:p>
    <w:p w14:paraId="0C851435" w14:textId="77777777" w:rsidR="00084F36" w:rsidRPr="00EB2BD8" w:rsidRDefault="00084F36">
      <w:pPr>
        <w:pStyle w:val="BodyText"/>
        <w:spacing w:before="1"/>
        <w:rPr>
          <w:rFonts w:ascii="Tahoma"/>
          <w:b/>
          <w:sz w:val="47"/>
        </w:rPr>
      </w:pPr>
    </w:p>
    <w:sdt>
      <w:sdtPr>
        <w:id w:val="273449297"/>
        <w:docPartObj>
          <w:docPartGallery w:val="Table of Contents"/>
          <w:docPartUnique/>
        </w:docPartObj>
      </w:sdtPr>
      <w:sdtEndPr>
        <w:rPr>
          <w:rFonts w:ascii="Lucida Sans" w:eastAsia="Lucida Sans" w:hAnsi="Lucida Sans" w:cs="Lucida Sans"/>
          <w:noProof/>
          <w:sz w:val="22"/>
          <w:szCs w:val="22"/>
        </w:rPr>
      </w:sdtEndPr>
      <w:sdtContent>
        <w:p w14:paraId="630C4F49" w14:textId="77A761E5" w:rsidR="003A7244" w:rsidRDefault="003A7244" w:rsidP="00562DC8">
          <w:pPr>
            <w:pStyle w:val="TOC1"/>
            <w:tabs>
              <w:tab w:val="right" w:leader="dot" w:pos="11199"/>
            </w:tabs>
            <w:ind w:left="0" w:right="711"/>
            <w:rPr>
              <w:rFonts w:asciiTheme="minorHAnsi" w:eastAsiaTheme="minorEastAsia" w:hAnsiTheme="minorHAnsi" w:cstheme="minorBidi"/>
              <w:b w:val="0"/>
              <w:bCs w:val="0"/>
              <w:noProof/>
              <w:kern w:val="2"/>
              <w:sz w:val="22"/>
              <w:szCs w:val="22"/>
              <w:lang w:val="en-AU" w:eastAsia="en-AU"/>
              <w14:ligatures w14:val="standardContextual"/>
            </w:rPr>
          </w:pPr>
          <w:r>
            <w:fldChar w:fldCharType="begin"/>
          </w:r>
          <w:r>
            <w:instrText xml:space="preserve"> TOC \o "1-3" \h \z \u </w:instrText>
          </w:r>
          <w:r>
            <w:fldChar w:fldCharType="separate"/>
          </w:r>
          <w:hyperlink w:anchor="_Toc150762310" w:history="1"/>
        </w:p>
        <w:p w14:paraId="14360036" w14:textId="0D95DFC6" w:rsidR="003A7244" w:rsidRDefault="003A7244">
          <w:pPr>
            <w:pStyle w:val="TOC1"/>
            <w:tabs>
              <w:tab w:val="right" w:leader="dot" w:pos="11900"/>
            </w:tabs>
            <w:rPr>
              <w:rFonts w:asciiTheme="minorHAnsi" w:eastAsiaTheme="minorEastAsia" w:hAnsiTheme="minorHAnsi" w:cstheme="minorBidi"/>
              <w:b w:val="0"/>
              <w:bCs w:val="0"/>
              <w:noProof/>
              <w:kern w:val="2"/>
              <w:sz w:val="22"/>
              <w:szCs w:val="22"/>
              <w:lang w:val="en-AU" w:eastAsia="en-AU"/>
              <w14:ligatures w14:val="standardContextual"/>
            </w:rPr>
          </w:pPr>
          <w:hyperlink w:anchor="_Toc150762319" w:history="1">
            <w:r w:rsidRPr="00033534">
              <w:rPr>
                <w:rStyle w:val="Hyperlink"/>
                <w:noProof/>
              </w:rPr>
              <w:t>1/ Messages</w:t>
            </w:r>
            <w:r w:rsidR="00562DC8">
              <w:rPr>
                <w:rStyle w:val="Hyperlink"/>
                <w:noProof/>
              </w:rPr>
              <w:t xml:space="preserve"> </w:t>
            </w:r>
            <w:r w:rsidRPr="00033534">
              <w:rPr>
                <w:rStyle w:val="Hyperlink"/>
                <w:noProof/>
                <w:spacing w:val="-55"/>
              </w:rPr>
              <w:t xml:space="preserve"> </w:t>
            </w:r>
            <w:r w:rsidRPr="00033534">
              <w:rPr>
                <w:rStyle w:val="Hyperlink"/>
                <w:noProof/>
              </w:rPr>
              <w:t>&amp;</w:t>
            </w:r>
            <w:r w:rsidRPr="00033534">
              <w:rPr>
                <w:rStyle w:val="Hyperlink"/>
                <w:noProof/>
                <w:spacing w:val="-55"/>
              </w:rPr>
              <w:t xml:space="preserve"> </w:t>
            </w:r>
            <w:r w:rsidR="00562DC8">
              <w:rPr>
                <w:rStyle w:val="Hyperlink"/>
                <w:noProof/>
                <w:spacing w:val="-55"/>
              </w:rPr>
              <w:t xml:space="preserve"> </w:t>
            </w:r>
            <w:r w:rsidRPr="00033534">
              <w:rPr>
                <w:rStyle w:val="Hyperlink"/>
                <w:noProof/>
              </w:rPr>
              <w:t>Highlights</w:t>
            </w:r>
            <w:r>
              <w:rPr>
                <w:noProof/>
                <w:webHidden/>
              </w:rPr>
              <w:tab/>
            </w:r>
            <w:r>
              <w:rPr>
                <w:noProof/>
                <w:webHidden/>
              </w:rPr>
              <w:fldChar w:fldCharType="begin"/>
            </w:r>
            <w:r>
              <w:rPr>
                <w:noProof/>
                <w:webHidden/>
              </w:rPr>
              <w:instrText xml:space="preserve"> PAGEREF _Toc150762319 \h </w:instrText>
            </w:r>
            <w:r>
              <w:rPr>
                <w:noProof/>
                <w:webHidden/>
              </w:rPr>
            </w:r>
            <w:r>
              <w:rPr>
                <w:noProof/>
                <w:webHidden/>
              </w:rPr>
              <w:fldChar w:fldCharType="separate"/>
            </w:r>
            <w:r>
              <w:rPr>
                <w:noProof/>
                <w:webHidden/>
              </w:rPr>
              <w:t>6</w:t>
            </w:r>
            <w:r>
              <w:rPr>
                <w:noProof/>
                <w:webHidden/>
              </w:rPr>
              <w:fldChar w:fldCharType="end"/>
            </w:r>
          </w:hyperlink>
        </w:p>
        <w:p w14:paraId="05DB6F29" w14:textId="73D8E9C5" w:rsidR="003A7244" w:rsidRDefault="003A7244">
          <w:pPr>
            <w:pStyle w:val="TOC1"/>
            <w:tabs>
              <w:tab w:val="right" w:leader="dot" w:pos="11900"/>
            </w:tabs>
            <w:rPr>
              <w:rFonts w:asciiTheme="minorHAnsi" w:eastAsiaTheme="minorEastAsia" w:hAnsiTheme="minorHAnsi" w:cstheme="minorBidi"/>
              <w:b w:val="0"/>
              <w:bCs w:val="0"/>
              <w:noProof/>
              <w:kern w:val="2"/>
              <w:sz w:val="22"/>
              <w:szCs w:val="22"/>
              <w:lang w:val="en-AU" w:eastAsia="en-AU"/>
              <w14:ligatures w14:val="standardContextual"/>
            </w:rPr>
          </w:pPr>
          <w:hyperlink w:anchor="_Toc150762356" w:history="1">
            <w:r w:rsidRPr="00033534">
              <w:rPr>
                <w:rStyle w:val="Hyperlink"/>
                <w:noProof/>
              </w:rPr>
              <w:t>2/ Performance</w:t>
            </w:r>
            <w:r>
              <w:rPr>
                <w:noProof/>
                <w:webHidden/>
              </w:rPr>
              <w:tab/>
            </w:r>
            <w:r>
              <w:rPr>
                <w:noProof/>
                <w:webHidden/>
              </w:rPr>
              <w:fldChar w:fldCharType="begin"/>
            </w:r>
            <w:r>
              <w:rPr>
                <w:noProof/>
                <w:webHidden/>
              </w:rPr>
              <w:instrText xml:space="preserve"> PAGEREF _Toc150762356 \h </w:instrText>
            </w:r>
            <w:r>
              <w:rPr>
                <w:noProof/>
                <w:webHidden/>
              </w:rPr>
            </w:r>
            <w:r>
              <w:rPr>
                <w:noProof/>
                <w:webHidden/>
              </w:rPr>
              <w:fldChar w:fldCharType="separate"/>
            </w:r>
            <w:r>
              <w:rPr>
                <w:noProof/>
                <w:webHidden/>
              </w:rPr>
              <w:t>11</w:t>
            </w:r>
            <w:r>
              <w:rPr>
                <w:noProof/>
                <w:webHidden/>
              </w:rPr>
              <w:fldChar w:fldCharType="end"/>
            </w:r>
          </w:hyperlink>
        </w:p>
        <w:p w14:paraId="634187D3" w14:textId="1DF91FC9" w:rsidR="003A7244" w:rsidRDefault="003A7244">
          <w:pPr>
            <w:pStyle w:val="TOC1"/>
            <w:tabs>
              <w:tab w:val="right" w:leader="dot" w:pos="11900"/>
            </w:tabs>
            <w:rPr>
              <w:rFonts w:asciiTheme="minorHAnsi" w:eastAsiaTheme="minorEastAsia" w:hAnsiTheme="minorHAnsi" w:cstheme="minorBidi"/>
              <w:b w:val="0"/>
              <w:bCs w:val="0"/>
              <w:noProof/>
              <w:kern w:val="2"/>
              <w:sz w:val="22"/>
              <w:szCs w:val="22"/>
              <w:lang w:val="en-AU" w:eastAsia="en-AU"/>
              <w14:ligatures w14:val="standardContextual"/>
            </w:rPr>
          </w:pPr>
          <w:hyperlink w:anchor="_Toc150762449" w:history="1">
            <w:r w:rsidRPr="00033534">
              <w:rPr>
                <w:rStyle w:val="Hyperlink"/>
                <w:noProof/>
              </w:rPr>
              <w:t>3/</w:t>
            </w:r>
            <w:r w:rsidR="00C3537A">
              <w:rPr>
                <w:rStyle w:val="Hyperlink"/>
                <w:noProof/>
              </w:rPr>
              <w:t xml:space="preserve"> Our people</w:t>
            </w:r>
            <w:r>
              <w:rPr>
                <w:noProof/>
                <w:webHidden/>
              </w:rPr>
              <w:tab/>
            </w:r>
            <w:r>
              <w:rPr>
                <w:noProof/>
                <w:webHidden/>
              </w:rPr>
              <w:fldChar w:fldCharType="begin"/>
            </w:r>
            <w:r>
              <w:rPr>
                <w:noProof/>
                <w:webHidden/>
              </w:rPr>
              <w:instrText xml:space="preserve"> PAGEREF _Toc150762449 \h </w:instrText>
            </w:r>
            <w:r>
              <w:rPr>
                <w:noProof/>
                <w:webHidden/>
              </w:rPr>
            </w:r>
            <w:r>
              <w:rPr>
                <w:noProof/>
                <w:webHidden/>
              </w:rPr>
              <w:fldChar w:fldCharType="separate"/>
            </w:r>
            <w:r>
              <w:rPr>
                <w:noProof/>
                <w:webHidden/>
              </w:rPr>
              <w:t>11</w:t>
            </w:r>
            <w:r>
              <w:rPr>
                <w:noProof/>
                <w:webHidden/>
              </w:rPr>
              <w:fldChar w:fldCharType="end"/>
            </w:r>
          </w:hyperlink>
        </w:p>
        <w:p w14:paraId="23B28113" w14:textId="717D17E0" w:rsidR="003A7244" w:rsidRDefault="003A7244">
          <w:pPr>
            <w:pStyle w:val="TOC1"/>
            <w:tabs>
              <w:tab w:val="right" w:leader="dot" w:pos="11900"/>
            </w:tabs>
            <w:rPr>
              <w:rFonts w:asciiTheme="minorHAnsi" w:eastAsiaTheme="minorEastAsia" w:hAnsiTheme="minorHAnsi" w:cstheme="minorBidi"/>
              <w:b w:val="0"/>
              <w:bCs w:val="0"/>
              <w:noProof/>
              <w:kern w:val="2"/>
              <w:sz w:val="22"/>
              <w:szCs w:val="22"/>
              <w:lang w:val="en-AU" w:eastAsia="en-AU"/>
              <w14:ligatures w14:val="standardContextual"/>
            </w:rPr>
          </w:pPr>
          <w:hyperlink w:anchor="_Toc150762464" w:history="1">
            <w:r w:rsidRPr="00033534">
              <w:rPr>
                <w:rStyle w:val="Hyperlink"/>
                <w:noProof/>
              </w:rPr>
              <w:t>4/</w:t>
            </w:r>
            <w:r w:rsidR="00C3537A">
              <w:rPr>
                <w:rStyle w:val="Hyperlink"/>
                <w:noProof/>
              </w:rPr>
              <w:t xml:space="preserve"> Governance</w:t>
            </w:r>
            <w:r>
              <w:rPr>
                <w:noProof/>
                <w:webHidden/>
              </w:rPr>
              <w:tab/>
            </w:r>
            <w:r>
              <w:rPr>
                <w:noProof/>
                <w:webHidden/>
              </w:rPr>
              <w:fldChar w:fldCharType="begin"/>
            </w:r>
            <w:r>
              <w:rPr>
                <w:noProof/>
                <w:webHidden/>
              </w:rPr>
              <w:instrText xml:space="preserve"> PAGEREF _Toc150762464 \h </w:instrText>
            </w:r>
            <w:r>
              <w:rPr>
                <w:noProof/>
                <w:webHidden/>
              </w:rPr>
            </w:r>
            <w:r>
              <w:rPr>
                <w:noProof/>
                <w:webHidden/>
              </w:rPr>
              <w:fldChar w:fldCharType="separate"/>
            </w:r>
            <w:r>
              <w:rPr>
                <w:noProof/>
                <w:webHidden/>
              </w:rPr>
              <w:t>11</w:t>
            </w:r>
            <w:r>
              <w:rPr>
                <w:noProof/>
                <w:webHidden/>
              </w:rPr>
              <w:fldChar w:fldCharType="end"/>
            </w:r>
          </w:hyperlink>
        </w:p>
        <w:p w14:paraId="14E391C4" w14:textId="1844058D" w:rsidR="003A7244" w:rsidRPr="00562DC8" w:rsidRDefault="003A7244">
          <w:pPr>
            <w:pStyle w:val="TOC1"/>
            <w:tabs>
              <w:tab w:val="right" w:leader="dot" w:pos="11900"/>
            </w:tabs>
            <w:rPr>
              <w:rStyle w:val="Hyperlink"/>
            </w:rPr>
          </w:pPr>
          <w:hyperlink w:anchor="_Toc150762484" w:history="1">
            <w:r w:rsidRPr="00562DC8">
              <w:rPr>
                <w:rStyle w:val="Hyperlink"/>
                <w:noProof/>
              </w:rPr>
              <w:t>5/</w:t>
            </w:r>
            <w:r w:rsidR="00562DC8" w:rsidRPr="00562DC8">
              <w:rPr>
                <w:rStyle w:val="Hyperlink"/>
                <w:noProof/>
              </w:rPr>
              <w:t>Disclosures</w:t>
            </w:r>
            <w:r w:rsidRPr="00562DC8">
              <w:rPr>
                <w:rStyle w:val="Hyperlink"/>
                <w:webHidden/>
              </w:rPr>
              <w:tab/>
            </w:r>
            <w:r w:rsidRPr="00562DC8">
              <w:rPr>
                <w:rStyle w:val="Hyperlink"/>
                <w:webHidden/>
              </w:rPr>
              <w:fldChar w:fldCharType="begin"/>
            </w:r>
            <w:r w:rsidRPr="00562DC8">
              <w:rPr>
                <w:rStyle w:val="Hyperlink"/>
                <w:webHidden/>
              </w:rPr>
              <w:instrText xml:space="preserve"> PAGEREF _Toc150762484 \h </w:instrText>
            </w:r>
            <w:r w:rsidRPr="00562DC8">
              <w:rPr>
                <w:rStyle w:val="Hyperlink"/>
                <w:webHidden/>
              </w:rPr>
            </w:r>
            <w:r w:rsidRPr="00562DC8">
              <w:rPr>
                <w:rStyle w:val="Hyperlink"/>
                <w:webHidden/>
              </w:rPr>
              <w:fldChar w:fldCharType="separate"/>
            </w:r>
            <w:r w:rsidRPr="00562DC8">
              <w:rPr>
                <w:rStyle w:val="Hyperlink"/>
                <w:webHidden/>
              </w:rPr>
              <w:t>11</w:t>
            </w:r>
            <w:r w:rsidRPr="00562DC8">
              <w:rPr>
                <w:rStyle w:val="Hyperlink"/>
                <w:webHidden/>
              </w:rPr>
              <w:fldChar w:fldCharType="end"/>
            </w:r>
          </w:hyperlink>
        </w:p>
        <w:p w14:paraId="48322210" w14:textId="7BFDA07C" w:rsidR="003A7244" w:rsidRDefault="003A7244">
          <w:pPr>
            <w:pStyle w:val="TOC1"/>
            <w:tabs>
              <w:tab w:val="right" w:leader="dot" w:pos="11900"/>
            </w:tabs>
            <w:rPr>
              <w:rFonts w:asciiTheme="minorHAnsi" w:eastAsiaTheme="minorEastAsia" w:hAnsiTheme="minorHAnsi" w:cstheme="minorBidi"/>
              <w:b w:val="0"/>
              <w:bCs w:val="0"/>
              <w:noProof/>
              <w:kern w:val="2"/>
              <w:sz w:val="22"/>
              <w:szCs w:val="22"/>
              <w:lang w:val="en-AU" w:eastAsia="en-AU"/>
              <w14:ligatures w14:val="standardContextual"/>
            </w:rPr>
          </w:pPr>
          <w:hyperlink w:anchor="_Toc150762541" w:history="1">
            <w:r w:rsidRPr="00033534">
              <w:rPr>
                <w:rStyle w:val="Hyperlink"/>
                <w:noProof/>
              </w:rPr>
              <w:t>6/</w:t>
            </w:r>
            <w:r w:rsidR="00562DC8">
              <w:rPr>
                <w:rStyle w:val="Hyperlink"/>
                <w:noProof/>
              </w:rPr>
              <w:t xml:space="preserve"> Financial Statements</w:t>
            </w:r>
            <w:r>
              <w:rPr>
                <w:noProof/>
                <w:webHidden/>
              </w:rPr>
              <w:tab/>
            </w:r>
            <w:r>
              <w:rPr>
                <w:noProof/>
                <w:webHidden/>
              </w:rPr>
              <w:fldChar w:fldCharType="begin"/>
            </w:r>
            <w:r>
              <w:rPr>
                <w:noProof/>
                <w:webHidden/>
              </w:rPr>
              <w:instrText xml:space="preserve"> PAGEREF _Toc150762541 \h </w:instrText>
            </w:r>
            <w:r>
              <w:rPr>
                <w:noProof/>
                <w:webHidden/>
              </w:rPr>
            </w:r>
            <w:r>
              <w:rPr>
                <w:noProof/>
                <w:webHidden/>
              </w:rPr>
              <w:fldChar w:fldCharType="separate"/>
            </w:r>
            <w:r>
              <w:rPr>
                <w:noProof/>
                <w:webHidden/>
              </w:rPr>
              <w:t>11</w:t>
            </w:r>
            <w:r>
              <w:rPr>
                <w:noProof/>
                <w:webHidden/>
              </w:rPr>
              <w:fldChar w:fldCharType="end"/>
            </w:r>
          </w:hyperlink>
        </w:p>
        <w:p w14:paraId="0E78E167" w14:textId="205CEEB9" w:rsidR="003A7244" w:rsidRDefault="003A7244">
          <w:pPr>
            <w:pStyle w:val="TOC1"/>
            <w:tabs>
              <w:tab w:val="right" w:leader="dot" w:pos="11900"/>
            </w:tabs>
            <w:rPr>
              <w:rFonts w:asciiTheme="minorHAnsi" w:eastAsiaTheme="minorEastAsia" w:hAnsiTheme="minorHAnsi" w:cstheme="minorBidi"/>
              <w:b w:val="0"/>
              <w:bCs w:val="0"/>
              <w:noProof/>
              <w:kern w:val="2"/>
              <w:sz w:val="22"/>
              <w:szCs w:val="22"/>
              <w:lang w:val="en-AU" w:eastAsia="en-AU"/>
              <w14:ligatures w14:val="standardContextual"/>
            </w:rPr>
          </w:pPr>
          <w:hyperlink w:anchor="_Toc150762712" w:history="1">
            <w:r w:rsidR="00562DC8">
              <w:rPr>
                <w:rStyle w:val="Hyperlink"/>
                <w:noProof/>
              </w:rPr>
              <w:t>7/ A</w:t>
            </w:r>
            <w:r w:rsidRPr="00033534">
              <w:rPr>
                <w:rStyle w:val="Hyperlink"/>
                <w:noProof/>
              </w:rPr>
              <w:t>ppendices</w:t>
            </w:r>
            <w:r>
              <w:rPr>
                <w:noProof/>
                <w:webHidden/>
              </w:rPr>
              <w:tab/>
            </w:r>
            <w:r>
              <w:rPr>
                <w:noProof/>
                <w:webHidden/>
              </w:rPr>
              <w:fldChar w:fldCharType="begin"/>
            </w:r>
            <w:r>
              <w:rPr>
                <w:noProof/>
                <w:webHidden/>
              </w:rPr>
              <w:instrText xml:space="preserve"> PAGEREF _Toc150762712 \h </w:instrText>
            </w:r>
            <w:r>
              <w:rPr>
                <w:noProof/>
                <w:webHidden/>
              </w:rPr>
            </w:r>
            <w:r>
              <w:rPr>
                <w:noProof/>
                <w:webHidden/>
              </w:rPr>
              <w:fldChar w:fldCharType="separate"/>
            </w:r>
            <w:r>
              <w:rPr>
                <w:noProof/>
                <w:webHidden/>
              </w:rPr>
              <w:t>11</w:t>
            </w:r>
            <w:r>
              <w:rPr>
                <w:noProof/>
                <w:webHidden/>
              </w:rPr>
              <w:fldChar w:fldCharType="end"/>
            </w:r>
          </w:hyperlink>
        </w:p>
        <w:p w14:paraId="749B0C4A" w14:textId="7B324F0E" w:rsidR="003A7244" w:rsidRDefault="003A7244" w:rsidP="00C3537A">
          <w:pPr>
            <w:pStyle w:val="TOC3"/>
            <w:rPr>
              <w:rFonts w:asciiTheme="minorHAnsi" w:eastAsiaTheme="minorEastAsia" w:hAnsiTheme="minorHAnsi" w:cstheme="minorBidi"/>
              <w:noProof/>
              <w:kern w:val="2"/>
              <w:lang w:val="en-AU" w:eastAsia="en-AU"/>
              <w14:ligatures w14:val="standardContextual"/>
            </w:rPr>
          </w:pPr>
        </w:p>
        <w:p w14:paraId="00E31822" w14:textId="780E697F" w:rsidR="003A7244" w:rsidRDefault="003A7244">
          <w:r>
            <w:rPr>
              <w:b/>
              <w:bCs/>
              <w:noProof/>
            </w:rPr>
            <w:fldChar w:fldCharType="end"/>
          </w:r>
        </w:p>
      </w:sdtContent>
    </w:sdt>
    <w:p w14:paraId="304BFA59" w14:textId="77777777" w:rsidR="00084F36" w:rsidRPr="00EB2BD8" w:rsidRDefault="00084F36">
      <w:pPr>
        <w:pStyle w:val="BodyText"/>
        <w:rPr>
          <w:rFonts w:ascii="Tahoma"/>
          <w:b/>
        </w:rPr>
      </w:pPr>
    </w:p>
    <w:p w14:paraId="6DCFF2E2" w14:textId="77777777" w:rsidR="00084F36" w:rsidRPr="00EB2BD8" w:rsidRDefault="00084F36">
      <w:pPr>
        <w:pStyle w:val="BodyText"/>
        <w:rPr>
          <w:rFonts w:ascii="Tahoma"/>
          <w:b/>
        </w:rPr>
      </w:pPr>
    </w:p>
    <w:p w14:paraId="5DA5CC6C" w14:textId="77777777" w:rsidR="00084F36" w:rsidRPr="00EB2BD8" w:rsidRDefault="00084F36">
      <w:pPr>
        <w:pStyle w:val="BodyText"/>
        <w:rPr>
          <w:rFonts w:ascii="Tahoma"/>
          <w:b/>
        </w:rPr>
      </w:pPr>
    </w:p>
    <w:p w14:paraId="3CA0430C" w14:textId="77777777" w:rsidR="00084F36" w:rsidRPr="00EB2BD8" w:rsidRDefault="00084F36">
      <w:pPr>
        <w:pStyle w:val="BodyText"/>
        <w:rPr>
          <w:rFonts w:ascii="Tahoma"/>
          <w:b/>
        </w:rPr>
      </w:pPr>
    </w:p>
    <w:p w14:paraId="6B38E7D7" w14:textId="77777777" w:rsidR="00084F36" w:rsidRPr="00EB2BD8" w:rsidRDefault="00084F36">
      <w:pPr>
        <w:pStyle w:val="BodyText"/>
        <w:rPr>
          <w:rFonts w:ascii="Tahoma"/>
          <w:b/>
        </w:rPr>
      </w:pPr>
    </w:p>
    <w:p w14:paraId="01232410" w14:textId="77777777" w:rsidR="00084F36" w:rsidRPr="00EB2BD8" w:rsidRDefault="00084F36">
      <w:pPr>
        <w:pStyle w:val="BodyText"/>
        <w:rPr>
          <w:rFonts w:ascii="Tahoma"/>
          <w:b/>
        </w:rPr>
      </w:pPr>
    </w:p>
    <w:p w14:paraId="3C2B1E27" w14:textId="77777777" w:rsidR="00084F36" w:rsidRPr="00EB2BD8" w:rsidRDefault="00084F36">
      <w:pPr>
        <w:pStyle w:val="BodyText"/>
        <w:rPr>
          <w:rFonts w:ascii="Tahoma"/>
          <w:b/>
        </w:rPr>
      </w:pPr>
    </w:p>
    <w:p w14:paraId="5D309BAE" w14:textId="77777777" w:rsidR="00084F36" w:rsidRPr="00EB2BD8" w:rsidRDefault="00084F36">
      <w:pPr>
        <w:pStyle w:val="BodyText"/>
        <w:rPr>
          <w:rFonts w:ascii="Tahoma"/>
          <w:b/>
        </w:rPr>
      </w:pPr>
    </w:p>
    <w:p w14:paraId="2CD13B87" w14:textId="77777777" w:rsidR="00084F36" w:rsidRPr="00EB2BD8" w:rsidRDefault="00084F36">
      <w:pPr>
        <w:pStyle w:val="BodyText"/>
        <w:rPr>
          <w:rFonts w:ascii="Tahoma"/>
          <w:b/>
        </w:rPr>
      </w:pPr>
    </w:p>
    <w:p w14:paraId="71E5714C" w14:textId="77777777" w:rsidR="00084F36" w:rsidRPr="00EB2BD8" w:rsidRDefault="00084F36">
      <w:pPr>
        <w:pStyle w:val="BodyText"/>
        <w:rPr>
          <w:rFonts w:ascii="Tahoma"/>
          <w:b/>
        </w:rPr>
      </w:pPr>
    </w:p>
    <w:p w14:paraId="0A3866DA" w14:textId="77777777" w:rsidR="00084F36" w:rsidRPr="00EB2BD8" w:rsidRDefault="00084F36">
      <w:pPr>
        <w:pStyle w:val="BodyText"/>
        <w:rPr>
          <w:rFonts w:ascii="Tahoma"/>
          <w:b/>
        </w:rPr>
      </w:pPr>
    </w:p>
    <w:p w14:paraId="30CE5E96" w14:textId="77777777" w:rsidR="00084F36" w:rsidRPr="00EB2BD8" w:rsidRDefault="00084F36">
      <w:pPr>
        <w:pStyle w:val="BodyText"/>
        <w:rPr>
          <w:rFonts w:ascii="Tahoma"/>
          <w:b/>
        </w:rPr>
      </w:pPr>
    </w:p>
    <w:p w14:paraId="780F6C77" w14:textId="77777777" w:rsidR="00084F36" w:rsidRPr="00EB2BD8" w:rsidRDefault="00084F36">
      <w:pPr>
        <w:pStyle w:val="BodyText"/>
        <w:rPr>
          <w:rFonts w:ascii="Tahoma"/>
          <w:b/>
        </w:rPr>
      </w:pPr>
    </w:p>
    <w:p w14:paraId="02C1187B" w14:textId="77777777" w:rsidR="00084F36" w:rsidRPr="00EB2BD8" w:rsidRDefault="00084F36">
      <w:pPr>
        <w:pStyle w:val="BodyText"/>
        <w:rPr>
          <w:rFonts w:ascii="Tahoma"/>
          <w:b/>
        </w:rPr>
      </w:pPr>
    </w:p>
    <w:p w14:paraId="44D4D4EA" w14:textId="77777777" w:rsidR="00084F36" w:rsidRPr="00EB2BD8" w:rsidRDefault="00084F36">
      <w:pPr>
        <w:pStyle w:val="BodyText"/>
        <w:rPr>
          <w:rFonts w:ascii="Tahoma"/>
          <w:b/>
        </w:rPr>
      </w:pPr>
    </w:p>
    <w:p w14:paraId="33F8F19F" w14:textId="77777777" w:rsidR="00084F36" w:rsidRPr="00EB2BD8" w:rsidRDefault="00084F36">
      <w:pPr>
        <w:pStyle w:val="BodyText"/>
        <w:rPr>
          <w:rFonts w:ascii="Tahoma"/>
          <w:b/>
        </w:rPr>
      </w:pPr>
    </w:p>
    <w:p w14:paraId="705A3EB8" w14:textId="77777777" w:rsidR="00084F36" w:rsidRPr="00EB2BD8" w:rsidRDefault="00084F36">
      <w:pPr>
        <w:pStyle w:val="BodyText"/>
        <w:rPr>
          <w:rFonts w:ascii="Tahoma"/>
          <w:b/>
        </w:rPr>
      </w:pPr>
    </w:p>
    <w:p w14:paraId="51251081" w14:textId="77777777" w:rsidR="00084F36" w:rsidRPr="00EB2BD8" w:rsidRDefault="00084F36">
      <w:pPr>
        <w:pStyle w:val="BodyText"/>
        <w:rPr>
          <w:rFonts w:ascii="Tahoma"/>
          <w:b/>
        </w:rPr>
      </w:pPr>
    </w:p>
    <w:p w14:paraId="15F701DA" w14:textId="77777777" w:rsidR="00084F36" w:rsidRPr="00EB2BD8" w:rsidRDefault="00084F36">
      <w:pPr>
        <w:pStyle w:val="BodyText"/>
        <w:rPr>
          <w:rFonts w:ascii="Tahoma"/>
          <w:b/>
        </w:rPr>
      </w:pPr>
    </w:p>
    <w:p w14:paraId="400ECBA2" w14:textId="77777777" w:rsidR="00084F36" w:rsidRPr="00EB2BD8" w:rsidRDefault="00084F36">
      <w:pPr>
        <w:pStyle w:val="BodyText"/>
        <w:rPr>
          <w:rFonts w:ascii="Tahoma"/>
          <w:b/>
        </w:rPr>
      </w:pPr>
    </w:p>
    <w:p w14:paraId="12A6CB9D" w14:textId="77777777" w:rsidR="00084F36" w:rsidRPr="00EB2BD8" w:rsidRDefault="00084F36">
      <w:pPr>
        <w:pStyle w:val="BodyText"/>
        <w:rPr>
          <w:rFonts w:ascii="Tahoma"/>
          <w:b/>
        </w:rPr>
      </w:pPr>
    </w:p>
    <w:p w14:paraId="23DDFDA2" w14:textId="77777777" w:rsidR="00084F36" w:rsidRPr="00EB2BD8" w:rsidRDefault="00084F36">
      <w:pPr>
        <w:pStyle w:val="BodyText"/>
        <w:rPr>
          <w:rFonts w:ascii="Tahoma"/>
          <w:b/>
        </w:rPr>
      </w:pPr>
    </w:p>
    <w:p w14:paraId="16580127" w14:textId="0E2A5862" w:rsidR="003A7244" w:rsidRDefault="003A7244">
      <w:pPr>
        <w:rPr>
          <w:rFonts w:ascii="Tahoma"/>
          <w:b/>
          <w:sz w:val="18"/>
          <w:szCs w:val="18"/>
        </w:rPr>
      </w:pPr>
      <w:r>
        <w:rPr>
          <w:rFonts w:ascii="Tahoma"/>
          <w:b/>
        </w:rPr>
        <w:br w:type="page"/>
      </w:r>
    </w:p>
    <w:p w14:paraId="098D4F18" w14:textId="77777777" w:rsidR="00084F36" w:rsidRPr="00EB2BD8" w:rsidRDefault="00084F36">
      <w:pPr>
        <w:pStyle w:val="BodyText"/>
        <w:rPr>
          <w:rFonts w:ascii="Tahoma"/>
          <w:b/>
        </w:rPr>
      </w:pPr>
    </w:p>
    <w:p w14:paraId="6F0B0D0B" w14:textId="50C7D162" w:rsidR="000231D6" w:rsidRPr="00EB2BD8" w:rsidRDefault="000231D6" w:rsidP="000231D6">
      <w:pPr>
        <w:pStyle w:val="Heading1"/>
        <w:ind w:left="0" w:firstLine="720"/>
      </w:pPr>
      <w:bookmarkStart w:id="10" w:name="_Toc150762319"/>
      <w:r w:rsidRPr="00EB2BD8">
        <w:t>1/ Messages</w:t>
      </w:r>
      <w:r w:rsidRPr="00EB2BD8">
        <w:rPr>
          <w:spacing w:val="-55"/>
        </w:rPr>
        <w:t xml:space="preserve"> </w:t>
      </w:r>
      <w:r w:rsidRPr="00EB2BD8">
        <w:t>&amp;</w:t>
      </w:r>
      <w:r w:rsidRPr="00EB2BD8">
        <w:rPr>
          <w:spacing w:val="-55"/>
        </w:rPr>
        <w:t xml:space="preserve"> </w:t>
      </w:r>
      <w:r w:rsidRPr="00EB2BD8">
        <w:t>Highlights</w:t>
      </w:r>
      <w:bookmarkEnd w:id="10"/>
    </w:p>
    <w:p w14:paraId="535C342E" w14:textId="77777777" w:rsidR="00084F36" w:rsidRDefault="00084F36">
      <w:pPr>
        <w:jc w:val="right"/>
        <w:rPr>
          <w:rFonts w:ascii="Arial" w:eastAsia="Tahoma" w:hAnsi="Arial" w:cs="Arial"/>
          <w:b/>
          <w:bCs/>
          <w:sz w:val="56"/>
          <w:szCs w:val="40"/>
        </w:rPr>
      </w:pPr>
    </w:p>
    <w:p w14:paraId="7B9A89FF" w14:textId="77777777" w:rsidR="00B83018" w:rsidRPr="00B83018" w:rsidRDefault="00B83018" w:rsidP="00B83018">
      <w:pPr>
        <w:rPr>
          <w:sz w:val="16"/>
        </w:rPr>
      </w:pPr>
    </w:p>
    <w:p w14:paraId="6F0472EB" w14:textId="77777777" w:rsidR="00B83018" w:rsidRPr="00B83018" w:rsidRDefault="00B83018" w:rsidP="00B83018">
      <w:pPr>
        <w:rPr>
          <w:sz w:val="16"/>
        </w:rPr>
      </w:pPr>
    </w:p>
    <w:p w14:paraId="2427D9C6" w14:textId="77777777" w:rsidR="00B83018" w:rsidRPr="00B83018" w:rsidRDefault="00B83018" w:rsidP="00B83018">
      <w:pPr>
        <w:rPr>
          <w:sz w:val="16"/>
        </w:rPr>
      </w:pPr>
    </w:p>
    <w:p w14:paraId="7A1EDFAE" w14:textId="77777777" w:rsidR="00B83018" w:rsidRPr="00B83018" w:rsidRDefault="00B83018" w:rsidP="00B83018">
      <w:pPr>
        <w:rPr>
          <w:sz w:val="16"/>
        </w:rPr>
      </w:pPr>
    </w:p>
    <w:p w14:paraId="543A0415" w14:textId="77777777" w:rsidR="00B83018" w:rsidRPr="00B83018" w:rsidRDefault="00B83018" w:rsidP="00B83018">
      <w:pPr>
        <w:rPr>
          <w:sz w:val="16"/>
        </w:rPr>
      </w:pPr>
    </w:p>
    <w:p w14:paraId="43E4A1C6" w14:textId="77777777" w:rsidR="00B83018" w:rsidRPr="00B83018" w:rsidRDefault="00B83018" w:rsidP="00B83018">
      <w:pPr>
        <w:rPr>
          <w:sz w:val="16"/>
        </w:rPr>
      </w:pPr>
    </w:p>
    <w:p w14:paraId="7F9509F0" w14:textId="77777777" w:rsidR="00B83018" w:rsidRPr="00B83018" w:rsidRDefault="00B83018" w:rsidP="00B83018">
      <w:pPr>
        <w:rPr>
          <w:sz w:val="16"/>
        </w:rPr>
      </w:pPr>
    </w:p>
    <w:p w14:paraId="28615ADF" w14:textId="77777777" w:rsidR="00B83018" w:rsidRPr="00B83018" w:rsidRDefault="00B83018" w:rsidP="00B83018">
      <w:pPr>
        <w:rPr>
          <w:sz w:val="16"/>
        </w:rPr>
      </w:pPr>
    </w:p>
    <w:p w14:paraId="10411A0A" w14:textId="77777777" w:rsidR="00B83018" w:rsidRPr="00B83018" w:rsidRDefault="00B83018" w:rsidP="00B83018">
      <w:pPr>
        <w:rPr>
          <w:sz w:val="16"/>
        </w:rPr>
      </w:pPr>
    </w:p>
    <w:p w14:paraId="4365DCFE" w14:textId="77777777" w:rsidR="00B83018" w:rsidRPr="00B83018" w:rsidRDefault="00B83018" w:rsidP="00B83018">
      <w:pPr>
        <w:rPr>
          <w:sz w:val="16"/>
        </w:rPr>
      </w:pPr>
    </w:p>
    <w:p w14:paraId="4C4A985F" w14:textId="77777777" w:rsidR="00B83018" w:rsidRPr="00B83018" w:rsidRDefault="00B83018" w:rsidP="00B83018">
      <w:pPr>
        <w:rPr>
          <w:sz w:val="16"/>
        </w:rPr>
      </w:pPr>
    </w:p>
    <w:p w14:paraId="5C62E8D2" w14:textId="77777777" w:rsidR="00B83018" w:rsidRPr="00B83018" w:rsidRDefault="00B83018" w:rsidP="00B83018">
      <w:pPr>
        <w:rPr>
          <w:sz w:val="16"/>
        </w:rPr>
      </w:pPr>
    </w:p>
    <w:p w14:paraId="35E5CE8C" w14:textId="77777777" w:rsidR="00B83018" w:rsidRPr="00B83018" w:rsidRDefault="00B83018" w:rsidP="00B83018">
      <w:pPr>
        <w:rPr>
          <w:sz w:val="16"/>
        </w:rPr>
      </w:pPr>
    </w:p>
    <w:p w14:paraId="28E44166" w14:textId="77777777" w:rsidR="00B83018" w:rsidRPr="00B83018" w:rsidRDefault="00B83018" w:rsidP="00B83018">
      <w:pPr>
        <w:rPr>
          <w:sz w:val="16"/>
        </w:rPr>
      </w:pPr>
    </w:p>
    <w:p w14:paraId="3D434169" w14:textId="77777777" w:rsidR="00B83018" w:rsidRPr="00B83018" w:rsidRDefault="00B83018" w:rsidP="00B83018">
      <w:pPr>
        <w:rPr>
          <w:sz w:val="16"/>
        </w:rPr>
      </w:pPr>
    </w:p>
    <w:p w14:paraId="71BD27E1" w14:textId="77777777" w:rsidR="00B83018" w:rsidRPr="00B83018" w:rsidRDefault="00B83018" w:rsidP="00B83018">
      <w:pPr>
        <w:rPr>
          <w:sz w:val="16"/>
        </w:rPr>
      </w:pPr>
    </w:p>
    <w:p w14:paraId="77B31D15" w14:textId="77777777" w:rsidR="00B83018" w:rsidRPr="00B83018" w:rsidRDefault="00B83018" w:rsidP="00B83018">
      <w:pPr>
        <w:rPr>
          <w:sz w:val="16"/>
        </w:rPr>
      </w:pPr>
    </w:p>
    <w:p w14:paraId="316A94E4" w14:textId="77777777" w:rsidR="00B83018" w:rsidRDefault="00B83018" w:rsidP="00B83018">
      <w:pPr>
        <w:rPr>
          <w:rFonts w:ascii="Arial" w:eastAsia="Tahoma" w:hAnsi="Arial" w:cs="Arial"/>
          <w:b/>
          <w:bCs/>
          <w:sz w:val="56"/>
          <w:szCs w:val="40"/>
        </w:rPr>
      </w:pPr>
    </w:p>
    <w:p w14:paraId="5D384021" w14:textId="77777777" w:rsidR="00B83018" w:rsidRPr="00B83018" w:rsidRDefault="00B83018" w:rsidP="00B83018">
      <w:pPr>
        <w:rPr>
          <w:sz w:val="16"/>
        </w:rPr>
      </w:pPr>
    </w:p>
    <w:p w14:paraId="0EA26502" w14:textId="77777777" w:rsidR="00B83018" w:rsidRPr="00B83018" w:rsidRDefault="00B83018" w:rsidP="00B83018">
      <w:pPr>
        <w:rPr>
          <w:sz w:val="16"/>
        </w:rPr>
      </w:pPr>
    </w:p>
    <w:p w14:paraId="1AA080E6" w14:textId="7231E0AB" w:rsidR="00B83018" w:rsidRDefault="00B83018" w:rsidP="00B83018">
      <w:pPr>
        <w:tabs>
          <w:tab w:val="left" w:pos="3421"/>
        </w:tabs>
        <w:rPr>
          <w:sz w:val="16"/>
        </w:rPr>
      </w:pPr>
      <w:r>
        <w:rPr>
          <w:sz w:val="16"/>
        </w:rPr>
        <w:tab/>
      </w:r>
    </w:p>
    <w:p w14:paraId="500B3AA8" w14:textId="77777777" w:rsidR="00B83018" w:rsidRDefault="00B83018" w:rsidP="00B83018">
      <w:pPr>
        <w:tabs>
          <w:tab w:val="left" w:pos="3421"/>
        </w:tabs>
        <w:rPr>
          <w:sz w:val="16"/>
        </w:rPr>
      </w:pPr>
    </w:p>
    <w:p w14:paraId="5B4F88AE" w14:textId="77777777" w:rsidR="00B83018" w:rsidRDefault="00B83018" w:rsidP="00B83018">
      <w:pPr>
        <w:tabs>
          <w:tab w:val="left" w:pos="3421"/>
        </w:tabs>
        <w:rPr>
          <w:sz w:val="16"/>
        </w:rPr>
      </w:pPr>
    </w:p>
    <w:p w14:paraId="005D6F37" w14:textId="77777777" w:rsidR="00B83018" w:rsidRDefault="00B83018" w:rsidP="00B83018">
      <w:pPr>
        <w:tabs>
          <w:tab w:val="left" w:pos="3421"/>
        </w:tabs>
        <w:rPr>
          <w:sz w:val="16"/>
        </w:rPr>
      </w:pPr>
    </w:p>
    <w:p w14:paraId="20342C2F" w14:textId="77777777" w:rsidR="00B83018" w:rsidRDefault="00B83018" w:rsidP="00B83018">
      <w:pPr>
        <w:tabs>
          <w:tab w:val="left" w:pos="3421"/>
        </w:tabs>
        <w:rPr>
          <w:sz w:val="16"/>
        </w:rPr>
      </w:pPr>
    </w:p>
    <w:p w14:paraId="02983204" w14:textId="77777777" w:rsidR="00B83018" w:rsidRDefault="00B83018" w:rsidP="00B83018">
      <w:pPr>
        <w:tabs>
          <w:tab w:val="left" w:pos="3421"/>
        </w:tabs>
        <w:rPr>
          <w:sz w:val="16"/>
        </w:rPr>
      </w:pPr>
    </w:p>
    <w:p w14:paraId="1E76C5F6" w14:textId="77777777" w:rsidR="00B83018" w:rsidRDefault="00B83018" w:rsidP="00B83018">
      <w:pPr>
        <w:tabs>
          <w:tab w:val="left" w:pos="3421"/>
        </w:tabs>
        <w:rPr>
          <w:sz w:val="16"/>
        </w:rPr>
      </w:pPr>
    </w:p>
    <w:p w14:paraId="7205D62D" w14:textId="77777777" w:rsidR="00B83018" w:rsidRDefault="00B83018" w:rsidP="00B83018">
      <w:pPr>
        <w:tabs>
          <w:tab w:val="left" w:pos="3421"/>
        </w:tabs>
        <w:rPr>
          <w:sz w:val="16"/>
        </w:rPr>
      </w:pPr>
    </w:p>
    <w:p w14:paraId="5B40CB25" w14:textId="77777777" w:rsidR="00B83018" w:rsidRDefault="00B83018" w:rsidP="00B83018">
      <w:pPr>
        <w:tabs>
          <w:tab w:val="left" w:pos="3421"/>
        </w:tabs>
        <w:rPr>
          <w:sz w:val="16"/>
        </w:rPr>
      </w:pPr>
    </w:p>
    <w:p w14:paraId="1C68D0FF" w14:textId="77777777" w:rsidR="00B83018" w:rsidRDefault="00B83018" w:rsidP="00B83018">
      <w:pPr>
        <w:tabs>
          <w:tab w:val="left" w:pos="3421"/>
        </w:tabs>
        <w:rPr>
          <w:sz w:val="16"/>
        </w:rPr>
      </w:pPr>
    </w:p>
    <w:p w14:paraId="6AE55F2E" w14:textId="77777777" w:rsidR="00B83018" w:rsidRDefault="00B83018" w:rsidP="00B83018">
      <w:pPr>
        <w:tabs>
          <w:tab w:val="left" w:pos="3421"/>
        </w:tabs>
        <w:rPr>
          <w:sz w:val="16"/>
        </w:rPr>
      </w:pPr>
    </w:p>
    <w:p w14:paraId="0862F174" w14:textId="77777777" w:rsidR="00B83018" w:rsidRDefault="00B83018" w:rsidP="00B83018">
      <w:pPr>
        <w:tabs>
          <w:tab w:val="left" w:pos="3421"/>
        </w:tabs>
        <w:rPr>
          <w:sz w:val="16"/>
        </w:rPr>
      </w:pPr>
    </w:p>
    <w:p w14:paraId="5BC3E4F8" w14:textId="77777777" w:rsidR="00B83018" w:rsidRDefault="00B83018" w:rsidP="00B83018">
      <w:pPr>
        <w:tabs>
          <w:tab w:val="left" w:pos="3421"/>
        </w:tabs>
        <w:rPr>
          <w:sz w:val="16"/>
        </w:rPr>
      </w:pPr>
    </w:p>
    <w:p w14:paraId="30320608" w14:textId="77777777" w:rsidR="00B83018" w:rsidRDefault="00B83018" w:rsidP="00B83018">
      <w:pPr>
        <w:tabs>
          <w:tab w:val="left" w:pos="3421"/>
        </w:tabs>
        <w:rPr>
          <w:sz w:val="16"/>
        </w:rPr>
      </w:pPr>
    </w:p>
    <w:p w14:paraId="45337DE3" w14:textId="77777777" w:rsidR="00B83018" w:rsidRDefault="00B83018" w:rsidP="00B83018">
      <w:pPr>
        <w:tabs>
          <w:tab w:val="left" w:pos="3421"/>
        </w:tabs>
        <w:rPr>
          <w:sz w:val="16"/>
        </w:rPr>
      </w:pPr>
    </w:p>
    <w:p w14:paraId="0A032172" w14:textId="77777777" w:rsidR="00B83018" w:rsidRDefault="00B83018" w:rsidP="00B83018">
      <w:pPr>
        <w:tabs>
          <w:tab w:val="left" w:pos="3421"/>
        </w:tabs>
        <w:rPr>
          <w:sz w:val="16"/>
        </w:rPr>
      </w:pPr>
    </w:p>
    <w:p w14:paraId="2B491017" w14:textId="77777777" w:rsidR="00B83018" w:rsidRDefault="00B83018" w:rsidP="00B83018">
      <w:pPr>
        <w:tabs>
          <w:tab w:val="left" w:pos="3421"/>
        </w:tabs>
        <w:rPr>
          <w:sz w:val="16"/>
        </w:rPr>
      </w:pPr>
    </w:p>
    <w:p w14:paraId="337EF500" w14:textId="77777777" w:rsidR="00B83018" w:rsidRDefault="00B83018" w:rsidP="00B83018">
      <w:pPr>
        <w:tabs>
          <w:tab w:val="left" w:pos="3421"/>
        </w:tabs>
        <w:rPr>
          <w:sz w:val="16"/>
        </w:rPr>
      </w:pPr>
    </w:p>
    <w:p w14:paraId="488F5EF4" w14:textId="77777777" w:rsidR="00B83018" w:rsidRDefault="00B83018" w:rsidP="00B83018">
      <w:pPr>
        <w:tabs>
          <w:tab w:val="left" w:pos="3421"/>
        </w:tabs>
        <w:rPr>
          <w:sz w:val="16"/>
        </w:rPr>
      </w:pPr>
    </w:p>
    <w:p w14:paraId="45F642A6" w14:textId="77777777" w:rsidR="00B83018" w:rsidRDefault="00B83018" w:rsidP="00B83018">
      <w:pPr>
        <w:tabs>
          <w:tab w:val="left" w:pos="3421"/>
        </w:tabs>
        <w:rPr>
          <w:sz w:val="16"/>
        </w:rPr>
      </w:pPr>
    </w:p>
    <w:p w14:paraId="0A2C5B80" w14:textId="77777777" w:rsidR="00B83018" w:rsidRDefault="00B83018" w:rsidP="00B83018">
      <w:pPr>
        <w:tabs>
          <w:tab w:val="left" w:pos="3421"/>
        </w:tabs>
        <w:rPr>
          <w:sz w:val="16"/>
        </w:rPr>
      </w:pPr>
    </w:p>
    <w:p w14:paraId="519FBEF5" w14:textId="77777777" w:rsidR="00B83018" w:rsidRDefault="00B83018" w:rsidP="00B83018">
      <w:pPr>
        <w:tabs>
          <w:tab w:val="left" w:pos="3421"/>
        </w:tabs>
        <w:rPr>
          <w:sz w:val="16"/>
        </w:rPr>
      </w:pPr>
    </w:p>
    <w:p w14:paraId="21519659" w14:textId="77777777" w:rsidR="00B83018" w:rsidRDefault="00B83018" w:rsidP="00B83018">
      <w:pPr>
        <w:tabs>
          <w:tab w:val="left" w:pos="3421"/>
        </w:tabs>
        <w:rPr>
          <w:sz w:val="16"/>
        </w:rPr>
      </w:pPr>
    </w:p>
    <w:p w14:paraId="211152DF" w14:textId="77777777" w:rsidR="00B83018" w:rsidRDefault="00B83018" w:rsidP="00B83018">
      <w:pPr>
        <w:tabs>
          <w:tab w:val="left" w:pos="3421"/>
        </w:tabs>
        <w:rPr>
          <w:sz w:val="16"/>
        </w:rPr>
      </w:pPr>
    </w:p>
    <w:p w14:paraId="447FF22A" w14:textId="77777777" w:rsidR="00B83018" w:rsidRDefault="00B83018" w:rsidP="00B83018">
      <w:pPr>
        <w:tabs>
          <w:tab w:val="left" w:pos="3421"/>
        </w:tabs>
        <w:rPr>
          <w:sz w:val="16"/>
        </w:rPr>
      </w:pPr>
    </w:p>
    <w:p w14:paraId="148B04CB" w14:textId="77777777" w:rsidR="00B83018" w:rsidRDefault="00B83018" w:rsidP="00B83018">
      <w:pPr>
        <w:tabs>
          <w:tab w:val="left" w:pos="3421"/>
        </w:tabs>
        <w:rPr>
          <w:sz w:val="16"/>
        </w:rPr>
      </w:pPr>
    </w:p>
    <w:p w14:paraId="1E994D36" w14:textId="77777777" w:rsidR="00B83018" w:rsidRDefault="00B83018" w:rsidP="00B83018">
      <w:pPr>
        <w:tabs>
          <w:tab w:val="left" w:pos="3421"/>
        </w:tabs>
        <w:rPr>
          <w:sz w:val="16"/>
        </w:rPr>
      </w:pPr>
    </w:p>
    <w:p w14:paraId="2FD6D44E" w14:textId="77777777" w:rsidR="00B83018" w:rsidRDefault="00B83018" w:rsidP="00B83018">
      <w:pPr>
        <w:tabs>
          <w:tab w:val="left" w:pos="3421"/>
        </w:tabs>
        <w:rPr>
          <w:sz w:val="16"/>
        </w:rPr>
      </w:pPr>
    </w:p>
    <w:p w14:paraId="6B6B3FE2" w14:textId="77777777" w:rsidR="00B83018" w:rsidRDefault="00B83018" w:rsidP="00B83018">
      <w:pPr>
        <w:tabs>
          <w:tab w:val="left" w:pos="3421"/>
        </w:tabs>
        <w:rPr>
          <w:sz w:val="16"/>
        </w:rPr>
      </w:pPr>
    </w:p>
    <w:p w14:paraId="72C281FF" w14:textId="77777777" w:rsidR="00B83018" w:rsidRDefault="00B83018" w:rsidP="00B83018">
      <w:pPr>
        <w:tabs>
          <w:tab w:val="left" w:pos="3421"/>
        </w:tabs>
        <w:rPr>
          <w:sz w:val="16"/>
        </w:rPr>
      </w:pPr>
    </w:p>
    <w:p w14:paraId="0ABFC545" w14:textId="77777777" w:rsidR="00B83018" w:rsidRDefault="00B83018" w:rsidP="00B83018">
      <w:pPr>
        <w:tabs>
          <w:tab w:val="left" w:pos="3421"/>
        </w:tabs>
        <w:rPr>
          <w:sz w:val="16"/>
        </w:rPr>
      </w:pPr>
    </w:p>
    <w:p w14:paraId="607478D8" w14:textId="77777777" w:rsidR="00B83018" w:rsidRDefault="00B83018" w:rsidP="00B83018">
      <w:pPr>
        <w:tabs>
          <w:tab w:val="left" w:pos="3421"/>
        </w:tabs>
        <w:rPr>
          <w:sz w:val="16"/>
        </w:rPr>
      </w:pPr>
    </w:p>
    <w:p w14:paraId="09C6A65F" w14:textId="77777777" w:rsidR="00B83018" w:rsidRDefault="00B83018" w:rsidP="00B83018">
      <w:pPr>
        <w:tabs>
          <w:tab w:val="left" w:pos="3421"/>
        </w:tabs>
        <w:rPr>
          <w:sz w:val="16"/>
        </w:rPr>
      </w:pPr>
    </w:p>
    <w:p w14:paraId="30FC6829" w14:textId="77777777" w:rsidR="00B83018" w:rsidRDefault="00B83018" w:rsidP="00B83018">
      <w:pPr>
        <w:tabs>
          <w:tab w:val="left" w:pos="3421"/>
        </w:tabs>
        <w:rPr>
          <w:sz w:val="16"/>
        </w:rPr>
      </w:pPr>
    </w:p>
    <w:p w14:paraId="297F6E8F" w14:textId="77777777" w:rsidR="00B83018" w:rsidRDefault="00B83018" w:rsidP="00B83018">
      <w:pPr>
        <w:tabs>
          <w:tab w:val="left" w:pos="3421"/>
        </w:tabs>
        <w:rPr>
          <w:sz w:val="16"/>
        </w:rPr>
      </w:pPr>
    </w:p>
    <w:p w14:paraId="4375B938" w14:textId="77777777" w:rsidR="00B83018" w:rsidRDefault="00B83018" w:rsidP="00B83018">
      <w:pPr>
        <w:tabs>
          <w:tab w:val="left" w:pos="3421"/>
        </w:tabs>
        <w:rPr>
          <w:sz w:val="16"/>
        </w:rPr>
      </w:pPr>
    </w:p>
    <w:p w14:paraId="7DF4C6EB" w14:textId="77777777" w:rsidR="00B83018" w:rsidRDefault="00B83018" w:rsidP="00B83018">
      <w:pPr>
        <w:tabs>
          <w:tab w:val="left" w:pos="3421"/>
        </w:tabs>
        <w:rPr>
          <w:sz w:val="16"/>
        </w:rPr>
      </w:pPr>
    </w:p>
    <w:p w14:paraId="7A5EFC70" w14:textId="77777777" w:rsidR="00B83018" w:rsidRDefault="00B83018" w:rsidP="00B83018">
      <w:pPr>
        <w:tabs>
          <w:tab w:val="left" w:pos="3421"/>
        </w:tabs>
        <w:rPr>
          <w:sz w:val="16"/>
        </w:rPr>
      </w:pPr>
    </w:p>
    <w:p w14:paraId="18116EDC" w14:textId="77777777" w:rsidR="00B83018" w:rsidRDefault="00B83018" w:rsidP="00B83018">
      <w:pPr>
        <w:tabs>
          <w:tab w:val="left" w:pos="3421"/>
        </w:tabs>
        <w:rPr>
          <w:sz w:val="16"/>
        </w:rPr>
      </w:pPr>
    </w:p>
    <w:p w14:paraId="17793D8D" w14:textId="77777777" w:rsidR="00B83018" w:rsidRDefault="00B83018" w:rsidP="00B83018">
      <w:pPr>
        <w:tabs>
          <w:tab w:val="left" w:pos="3421"/>
        </w:tabs>
        <w:rPr>
          <w:sz w:val="16"/>
        </w:rPr>
      </w:pPr>
    </w:p>
    <w:p w14:paraId="6E20D956" w14:textId="77777777" w:rsidR="00B83018" w:rsidRDefault="00B83018" w:rsidP="00B83018">
      <w:pPr>
        <w:tabs>
          <w:tab w:val="left" w:pos="3421"/>
        </w:tabs>
        <w:rPr>
          <w:sz w:val="16"/>
        </w:rPr>
      </w:pPr>
    </w:p>
    <w:p w14:paraId="683CD5EC" w14:textId="77777777" w:rsidR="00B83018" w:rsidRDefault="00B83018" w:rsidP="00B83018">
      <w:pPr>
        <w:tabs>
          <w:tab w:val="left" w:pos="3421"/>
        </w:tabs>
        <w:rPr>
          <w:sz w:val="16"/>
        </w:rPr>
      </w:pPr>
    </w:p>
    <w:p w14:paraId="50480BE7" w14:textId="77777777" w:rsidR="00B83018" w:rsidRDefault="00B83018" w:rsidP="00B83018">
      <w:pPr>
        <w:tabs>
          <w:tab w:val="left" w:pos="3421"/>
        </w:tabs>
        <w:rPr>
          <w:sz w:val="16"/>
        </w:rPr>
      </w:pPr>
    </w:p>
    <w:p w14:paraId="4BE9F298" w14:textId="77777777" w:rsidR="00B83018" w:rsidRDefault="00B83018" w:rsidP="00B83018">
      <w:pPr>
        <w:tabs>
          <w:tab w:val="left" w:pos="3421"/>
        </w:tabs>
        <w:rPr>
          <w:sz w:val="16"/>
        </w:rPr>
      </w:pPr>
    </w:p>
    <w:p w14:paraId="206DB990" w14:textId="77777777" w:rsidR="00B83018" w:rsidRDefault="00B83018" w:rsidP="00B83018">
      <w:pPr>
        <w:tabs>
          <w:tab w:val="left" w:pos="3421"/>
        </w:tabs>
        <w:rPr>
          <w:sz w:val="16"/>
        </w:rPr>
      </w:pPr>
    </w:p>
    <w:p w14:paraId="10A9CC18" w14:textId="77777777" w:rsidR="00B83018" w:rsidRDefault="00B83018" w:rsidP="00B83018">
      <w:pPr>
        <w:tabs>
          <w:tab w:val="left" w:pos="3421"/>
        </w:tabs>
        <w:rPr>
          <w:sz w:val="16"/>
        </w:rPr>
      </w:pPr>
    </w:p>
    <w:p w14:paraId="0220A1BA" w14:textId="77777777" w:rsidR="00B83018" w:rsidRDefault="00B83018" w:rsidP="00B83018">
      <w:pPr>
        <w:tabs>
          <w:tab w:val="left" w:pos="3421"/>
        </w:tabs>
        <w:rPr>
          <w:sz w:val="16"/>
        </w:rPr>
      </w:pPr>
    </w:p>
    <w:p w14:paraId="5DE8E740" w14:textId="77777777" w:rsidR="00B83018" w:rsidRDefault="00B83018" w:rsidP="00B83018">
      <w:pPr>
        <w:tabs>
          <w:tab w:val="left" w:pos="3421"/>
        </w:tabs>
        <w:rPr>
          <w:sz w:val="16"/>
        </w:rPr>
      </w:pPr>
    </w:p>
    <w:p w14:paraId="754A3ADE" w14:textId="77777777" w:rsidR="00084F36" w:rsidRPr="00EB2BD8" w:rsidRDefault="00084F36">
      <w:pPr>
        <w:pStyle w:val="BodyText"/>
        <w:rPr>
          <w:sz w:val="20"/>
        </w:rPr>
      </w:pPr>
    </w:p>
    <w:p w14:paraId="3BC151E8" w14:textId="77777777" w:rsidR="00084F36" w:rsidRPr="00EB2BD8" w:rsidRDefault="00084F36">
      <w:pPr>
        <w:pStyle w:val="BodyText"/>
        <w:rPr>
          <w:sz w:val="20"/>
        </w:rPr>
      </w:pPr>
    </w:p>
    <w:p w14:paraId="0270037B" w14:textId="77777777" w:rsidR="00084F36" w:rsidRPr="00EB2BD8" w:rsidRDefault="00084F36">
      <w:pPr>
        <w:pStyle w:val="BodyText"/>
        <w:rPr>
          <w:sz w:val="20"/>
        </w:rPr>
      </w:pPr>
    </w:p>
    <w:p w14:paraId="1E424321" w14:textId="77777777" w:rsidR="00084F36" w:rsidRPr="00EB2BD8" w:rsidRDefault="00084F36">
      <w:pPr>
        <w:pStyle w:val="BodyText"/>
        <w:rPr>
          <w:sz w:val="20"/>
        </w:rPr>
      </w:pPr>
    </w:p>
    <w:p w14:paraId="6F15FA5E" w14:textId="77777777" w:rsidR="00084F36" w:rsidRPr="00EB2BD8" w:rsidRDefault="00084F36">
      <w:pPr>
        <w:pStyle w:val="BodyText"/>
        <w:spacing w:before="10"/>
        <w:rPr>
          <w:sz w:val="16"/>
        </w:rPr>
      </w:pPr>
    </w:p>
    <w:p w14:paraId="3932CD87" w14:textId="77777777" w:rsidR="00084F36" w:rsidRPr="00EB2BD8" w:rsidRDefault="00EB2BD8" w:rsidP="00EB2BD8">
      <w:pPr>
        <w:pStyle w:val="Heading1"/>
      </w:pPr>
      <w:bookmarkStart w:id="11" w:name="_Toc150762320"/>
      <w:r w:rsidRPr="00EB2BD8">
        <w:t>Industry</w:t>
      </w:r>
      <w:r w:rsidRPr="00EB2BD8">
        <w:rPr>
          <w:spacing w:val="-25"/>
        </w:rPr>
        <w:t xml:space="preserve"> </w:t>
      </w:r>
      <w:r w:rsidRPr="00EB2BD8">
        <w:rPr>
          <w:spacing w:val="-2"/>
        </w:rPr>
        <w:t>snapshot</w:t>
      </w:r>
      <w:bookmarkEnd w:id="11"/>
    </w:p>
    <w:p w14:paraId="6D0384BD" w14:textId="77777777" w:rsidR="00084F36" w:rsidRPr="00EB2BD8" w:rsidRDefault="00084F36">
      <w:pPr>
        <w:pStyle w:val="BodyText"/>
        <w:rPr>
          <w:rFonts w:ascii="Tahoma"/>
          <w:b/>
          <w:sz w:val="20"/>
        </w:rPr>
      </w:pPr>
    </w:p>
    <w:p w14:paraId="3B08388D" w14:textId="77777777" w:rsidR="00084F36" w:rsidRPr="00EB2BD8" w:rsidRDefault="00084F36">
      <w:pPr>
        <w:pStyle w:val="BodyText"/>
        <w:rPr>
          <w:rFonts w:ascii="Tahoma"/>
          <w:b/>
          <w:sz w:val="20"/>
        </w:rPr>
      </w:pPr>
    </w:p>
    <w:p w14:paraId="456E56A9" w14:textId="77777777" w:rsidR="00084F36" w:rsidRPr="00EB2BD8" w:rsidRDefault="00084F36">
      <w:pPr>
        <w:pStyle w:val="BodyText"/>
        <w:rPr>
          <w:rFonts w:ascii="Tahoma"/>
          <w:b/>
          <w:sz w:val="20"/>
        </w:rPr>
      </w:pPr>
    </w:p>
    <w:p w14:paraId="34FF5847" w14:textId="77777777" w:rsidR="00084F36" w:rsidRPr="00EB2BD8" w:rsidRDefault="00084F36">
      <w:pPr>
        <w:pStyle w:val="BodyText"/>
        <w:spacing w:before="7"/>
        <w:rPr>
          <w:rFonts w:ascii="Tahoma"/>
          <w:b/>
          <w:sz w:val="15"/>
        </w:rPr>
      </w:pPr>
    </w:p>
    <w:p w14:paraId="42EA6F30" w14:textId="77777777" w:rsidR="00084F36" w:rsidRPr="00EB2BD8" w:rsidRDefault="00084F36">
      <w:pPr>
        <w:rPr>
          <w:rFonts w:ascii="Tahoma"/>
          <w:sz w:val="15"/>
        </w:rPr>
        <w:sectPr w:rsidR="00084F36" w:rsidRPr="00EB2BD8" w:rsidSect="003A7244">
          <w:headerReference w:type="even" r:id="rId14"/>
          <w:headerReference w:type="default" r:id="rId15"/>
          <w:footerReference w:type="even" r:id="rId16"/>
          <w:footerReference w:type="default" r:id="rId17"/>
          <w:pgSz w:w="11910" w:h="16840"/>
          <w:pgMar w:top="1100" w:right="711" w:bottom="700" w:left="0" w:header="0" w:footer="515" w:gutter="0"/>
          <w:pgNumType w:start="6"/>
          <w:cols w:space="720"/>
        </w:sectPr>
      </w:pPr>
    </w:p>
    <w:p w14:paraId="36B864A5" w14:textId="5E5BEFE0" w:rsidR="00084F36" w:rsidRPr="00EB2BD8" w:rsidRDefault="00EB2BD8" w:rsidP="00C96154">
      <w:pPr>
        <w:pStyle w:val="Heading2"/>
        <w:ind w:left="1134"/>
      </w:pPr>
      <w:bookmarkStart w:id="12" w:name="_Toc150762321"/>
      <w:r w:rsidRPr="00EB2BD8">
        <w:rPr>
          <w:spacing w:val="-6"/>
        </w:rPr>
        <w:t xml:space="preserve">We </w:t>
      </w:r>
      <w:r w:rsidRPr="00EB2BD8">
        <w:t>Regulate</w:t>
      </w:r>
      <w:bookmarkEnd w:id="12"/>
    </w:p>
    <w:p w14:paraId="5AF9F079" w14:textId="77777777" w:rsidR="00084F36" w:rsidRPr="00EB2BD8" w:rsidRDefault="00084F36">
      <w:pPr>
        <w:pStyle w:val="BodyText"/>
        <w:spacing w:before="11"/>
        <w:rPr>
          <w:rFonts w:ascii="Tahoma"/>
          <w:b/>
          <w:sz w:val="67"/>
        </w:rPr>
      </w:pPr>
    </w:p>
    <w:p w14:paraId="418B2654" w14:textId="77777777" w:rsidR="00084F36" w:rsidRPr="00EB2BD8" w:rsidRDefault="00EB2BD8">
      <w:pPr>
        <w:spacing w:line="442" w:lineRule="exact"/>
        <w:ind w:left="1126"/>
        <w:rPr>
          <w:b/>
          <w:sz w:val="38"/>
        </w:rPr>
      </w:pPr>
      <w:r w:rsidRPr="00EB2BD8">
        <w:rPr>
          <w:b/>
          <w:spacing w:val="-2"/>
          <w:w w:val="95"/>
          <w:sz w:val="38"/>
        </w:rPr>
        <w:t>528,106</w:t>
      </w:r>
    </w:p>
    <w:p w14:paraId="124A2C3A" w14:textId="77777777" w:rsidR="00084F36" w:rsidRPr="00EB2BD8" w:rsidRDefault="00EB2BD8">
      <w:pPr>
        <w:spacing w:line="264" w:lineRule="auto"/>
        <w:ind w:left="1126" w:right="428"/>
        <w:rPr>
          <w:sz w:val="20"/>
        </w:rPr>
      </w:pPr>
      <w:r w:rsidRPr="00EB2BD8">
        <w:rPr>
          <w:sz w:val="20"/>
        </w:rPr>
        <w:t>Compliance</w:t>
      </w:r>
      <w:r w:rsidRPr="00EB2BD8">
        <w:rPr>
          <w:spacing w:val="-3"/>
          <w:sz w:val="20"/>
        </w:rPr>
        <w:t xml:space="preserve"> </w:t>
      </w:r>
      <w:r w:rsidRPr="00EB2BD8">
        <w:rPr>
          <w:sz w:val="20"/>
        </w:rPr>
        <w:t>certificates lodged by plumbers</w:t>
      </w:r>
    </w:p>
    <w:p w14:paraId="428F5A07" w14:textId="77777777" w:rsidR="00084F36" w:rsidRPr="00EB2BD8" w:rsidRDefault="00084F36">
      <w:pPr>
        <w:pStyle w:val="BodyText"/>
        <w:spacing w:before="5"/>
      </w:pPr>
    </w:p>
    <w:p w14:paraId="107D97C9" w14:textId="77777777" w:rsidR="00084F36" w:rsidRPr="00EB2BD8" w:rsidRDefault="00EB2BD8">
      <w:pPr>
        <w:spacing w:line="442" w:lineRule="exact"/>
        <w:ind w:left="1126"/>
        <w:rPr>
          <w:b/>
          <w:sz w:val="38"/>
        </w:rPr>
      </w:pPr>
      <w:r w:rsidRPr="00EB2BD8">
        <w:rPr>
          <w:b/>
          <w:spacing w:val="-2"/>
          <w:w w:val="90"/>
          <w:sz w:val="38"/>
        </w:rPr>
        <w:t>105,514</w:t>
      </w:r>
    </w:p>
    <w:p w14:paraId="3D34BA4F" w14:textId="77777777" w:rsidR="00084F36" w:rsidRPr="00EB2BD8" w:rsidRDefault="00EB2BD8">
      <w:pPr>
        <w:spacing w:line="230" w:lineRule="exact"/>
        <w:ind w:left="1126"/>
        <w:rPr>
          <w:sz w:val="20"/>
        </w:rPr>
      </w:pPr>
      <w:r w:rsidRPr="00EB2BD8">
        <w:rPr>
          <w:sz w:val="20"/>
        </w:rPr>
        <w:t>Building</w:t>
      </w:r>
      <w:r w:rsidRPr="00EB2BD8">
        <w:rPr>
          <w:spacing w:val="-12"/>
          <w:sz w:val="20"/>
        </w:rPr>
        <w:t xml:space="preserve"> </w:t>
      </w:r>
      <w:r w:rsidRPr="00EB2BD8">
        <w:rPr>
          <w:sz w:val="20"/>
        </w:rPr>
        <w:t>permits</w:t>
      </w:r>
      <w:r w:rsidRPr="00EB2BD8">
        <w:rPr>
          <w:spacing w:val="-11"/>
          <w:sz w:val="20"/>
        </w:rPr>
        <w:t xml:space="preserve"> </w:t>
      </w:r>
      <w:r w:rsidRPr="00EB2BD8">
        <w:rPr>
          <w:spacing w:val="-2"/>
          <w:sz w:val="20"/>
        </w:rPr>
        <w:t>reported</w:t>
      </w:r>
    </w:p>
    <w:p w14:paraId="2ADC3CB2" w14:textId="77777777" w:rsidR="00084F36" w:rsidRPr="00EB2BD8" w:rsidRDefault="00084F36">
      <w:pPr>
        <w:pStyle w:val="BodyText"/>
        <w:spacing w:before="10"/>
        <w:rPr>
          <w:sz w:val="20"/>
        </w:rPr>
      </w:pPr>
    </w:p>
    <w:p w14:paraId="5E1143E4" w14:textId="77777777" w:rsidR="00084F36" w:rsidRPr="00EB2BD8" w:rsidRDefault="00EB2BD8">
      <w:pPr>
        <w:spacing w:line="442" w:lineRule="exact"/>
        <w:ind w:left="1126"/>
        <w:rPr>
          <w:b/>
          <w:sz w:val="38"/>
        </w:rPr>
      </w:pPr>
      <w:r w:rsidRPr="00EB2BD8">
        <w:rPr>
          <w:b/>
          <w:spacing w:val="-2"/>
          <w:sz w:val="38"/>
        </w:rPr>
        <w:t>8,233</w:t>
      </w:r>
    </w:p>
    <w:p w14:paraId="576669C1" w14:textId="77777777" w:rsidR="00084F36" w:rsidRPr="00EB2BD8" w:rsidRDefault="00EB2BD8">
      <w:pPr>
        <w:spacing w:line="230" w:lineRule="exact"/>
        <w:ind w:left="1126"/>
        <w:rPr>
          <w:sz w:val="20"/>
        </w:rPr>
      </w:pPr>
      <w:r w:rsidRPr="00EB2BD8">
        <w:rPr>
          <w:sz w:val="20"/>
        </w:rPr>
        <w:t>Building</w:t>
      </w:r>
      <w:r w:rsidRPr="00EB2BD8">
        <w:rPr>
          <w:spacing w:val="-12"/>
          <w:sz w:val="20"/>
        </w:rPr>
        <w:t xml:space="preserve"> </w:t>
      </w:r>
      <w:r w:rsidRPr="00EB2BD8">
        <w:rPr>
          <w:sz w:val="20"/>
        </w:rPr>
        <w:t>permits</w:t>
      </w:r>
      <w:r w:rsidRPr="00EB2BD8">
        <w:rPr>
          <w:spacing w:val="-11"/>
          <w:sz w:val="20"/>
        </w:rPr>
        <w:t xml:space="preserve"> </w:t>
      </w:r>
      <w:r w:rsidRPr="00EB2BD8">
        <w:rPr>
          <w:spacing w:val="-2"/>
          <w:sz w:val="20"/>
        </w:rPr>
        <w:t>inspected</w:t>
      </w:r>
    </w:p>
    <w:p w14:paraId="0EF3E87C" w14:textId="77777777" w:rsidR="00084F36" w:rsidRPr="00EB2BD8" w:rsidRDefault="00084F36">
      <w:pPr>
        <w:pStyle w:val="BodyText"/>
        <w:spacing w:before="9"/>
        <w:rPr>
          <w:sz w:val="20"/>
        </w:rPr>
      </w:pPr>
    </w:p>
    <w:p w14:paraId="3E2A8895" w14:textId="77777777" w:rsidR="00084F36" w:rsidRPr="00EB2BD8" w:rsidRDefault="00EB2BD8">
      <w:pPr>
        <w:spacing w:line="442" w:lineRule="exact"/>
        <w:ind w:left="1126"/>
        <w:rPr>
          <w:b/>
          <w:sz w:val="38"/>
        </w:rPr>
      </w:pPr>
      <w:r w:rsidRPr="00EB2BD8">
        <w:rPr>
          <w:b/>
          <w:spacing w:val="-2"/>
          <w:w w:val="95"/>
          <w:sz w:val="38"/>
        </w:rPr>
        <w:t>7,422</w:t>
      </w:r>
    </w:p>
    <w:p w14:paraId="00C68410" w14:textId="77777777" w:rsidR="00084F36" w:rsidRPr="00EB2BD8" w:rsidRDefault="00EB2BD8">
      <w:pPr>
        <w:spacing w:line="264" w:lineRule="auto"/>
        <w:ind w:left="1126"/>
        <w:rPr>
          <w:sz w:val="20"/>
        </w:rPr>
      </w:pPr>
      <w:r w:rsidRPr="00EB2BD8">
        <w:rPr>
          <w:sz w:val="20"/>
        </w:rPr>
        <w:t xml:space="preserve">Plumbing audit and drainage </w:t>
      </w:r>
      <w:r w:rsidRPr="00EB2BD8">
        <w:rPr>
          <w:spacing w:val="-2"/>
          <w:w w:val="105"/>
          <w:sz w:val="20"/>
        </w:rPr>
        <w:t>inspections</w:t>
      </w:r>
    </w:p>
    <w:p w14:paraId="5AC51BAC" w14:textId="77777777" w:rsidR="00084F36" w:rsidRPr="00EB2BD8" w:rsidRDefault="00084F36">
      <w:pPr>
        <w:pStyle w:val="BodyText"/>
        <w:spacing w:before="5"/>
      </w:pPr>
    </w:p>
    <w:p w14:paraId="56C388B9" w14:textId="77777777" w:rsidR="00084F36" w:rsidRPr="00EB2BD8" w:rsidRDefault="00EB2BD8">
      <w:pPr>
        <w:spacing w:line="442" w:lineRule="exact"/>
        <w:ind w:left="1126"/>
        <w:rPr>
          <w:b/>
          <w:sz w:val="38"/>
        </w:rPr>
      </w:pPr>
      <w:r w:rsidRPr="00EB2BD8">
        <w:rPr>
          <w:b/>
          <w:spacing w:val="-4"/>
          <w:w w:val="95"/>
          <w:sz w:val="38"/>
        </w:rPr>
        <w:t>4,815</w:t>
      </w:r>
    </w:p>
    <w:p w14:paraId="26611473" w14:textId="77777777" w:rsidR="00084F36" w:rsidRPr="00EB2BD8" w:rsidRDefault="00EB2BD8">
      <w:pPr>
        <w:spacing w:line="264" w:lineRule="auto"/>
        <w:ind w:left="1126"/>
        <w:rPr>
          <w:sz w:val="20"/>
        </w:rPr>
      </w:pPr>
      <w:r w:rsidRPr="00EB2BD8">
        <w:rPr>
          <w:sz w:val="20"/>
        </w:rPr>
        <w:t>Owner-builder certificates of consent</w:t>
      </w:r>
      <w:r w:rsidRPr="00EB2BD8">
        <w:rPr>
          <w:spacing w:val="-3"/>
          <w:sz w:val="20"/>
        </w:rPr>
        <w:t xml:space="preserve"> </w:t>
      </w:r>
      <w:r w:rsidRPr="00EB2BD8">
        <w:rPr>
          <w:sz w:val="20"/>
        </w:rPr>
        <w:t>issued</w:t>
      </w:r>
    </w:p>
    <w:p w14:paraId="755A4130" w14:textId="77777777" w:rsidR="00084F36" w:rsidRPr="00EB2BD8" w:rsidRDefault="00084F36">
      <w:pPr>
        <w:pStyle w:val="BodyText"/>
        <w:spacing w:before="5"/>
      </w:pPr>
    </w:p>
    <w:p w14:paraId="2283BE3C" w14:textId="77777777" w:rsidR="00084F36" w:rsidRPr="00EB2BD8" w:rsidRDefault="00EB2BD8">
      <w:pPr>
        <w:spacing w:line="442" w:lineRule="exact"/>
        <w:ind w:left="1126"/>
        <w:rPr>
          <w:b/>
          <w:sz w:val="38"/>
        </w:rPr>
      </w:pPr>
      <w:r w:rsidRPr="00EB2BD8">
        <w:rPr>
          <w:b/>
          <w:spacing w:val="-2"/>
          <w:sz w:val="38"/>
        </w:rPr>
        <w:t>3,389</w:t>
      </w:r>
    </w:p>
    <w:p w14:paraId="3325B793" w14:textId="77777777" w:rsidR="00084F36" w:rsidRPr="00EB2BD8" w:rsidRDefault="00EB2BD8">
      <w:pPr>
        <w:spacing w:line="264" w:lineRule="auto"/>
        <w:ind w:left="1126" w:right="428"/>
        <w:rPr>
          <w:sz w:val="20"/>
        </w:rPr>
      </w:pPr>
      <w:r w:rsidRPr="00EB2BD8">
        <w:rPr>
          <w:sz w:val="20"/>
        </w:rPr>
        <w:t>Notifications sent to practitioners</w:t>
      </w:r>
      <w:r w:rsidRPr="00EB2BD8">
        <w:rPr>
          <w:spacing w:val="-10"/>
          <w:sz w:val="20"/>
        </w:rPr>
        <w:t xml:space="preserve"> </w:t>
      </w:r>
      <w:r w:rsidRPr="00EB2BD8">
        <w:rPr>
          <w:sz w:val="20"/>
        </w:rPr>
        <w:t>to</w:t>
      </w:r>
      <w:r w:rsidRPr="00EB2BD8">
        <w:rPr>
          <w:spacing w:val="-10"/>
          <w:sz w:val="20"/>
        </w:rPr>
        <w:t xml:space="preserve"> </w:t>
      </w:r>
      <w:r w:rsidRPr="00EB2BD8">
        <w:rPr>
          <w:sz w:val="20"/>
        </w:rPr>
        <w:t>address compliance</w:t>
      </w:r>
      <w:r w:rsidRPr="00EB2BD8">
        <w:rPr>
          <w:spacing w:val="-3"/>
          <w:sz w:val="20"/>
        </w:rPr>
        <w:t xml:space="preserve"> </w:t>
      </w:r>
      <w:r w:rsidRPr="00EB2BD8">
        <w:rPr>
          <w:sz w:val="20"/>
        </w:rPr>
        <w:t>risks</w:t>
      </w:r>
    </w:p>
    <w:p w14:paraId="49004996" w14:textId="77777777" w:rsidR="00084F36" w:rsidRPr="00EB2BD8" w:rsidRDefault="00084F36">
      <w:pPr>
        <w:pStyle w:val="BodyText"/>
        <w:spacing w:before="5"/>
      </w:pPr>
    </w:p>
    <w:p w14:paraId="2B13C866" w14:textId="77777777" w:rsidR="00084F36" w:rsidRPr="00EB2BD8" w:rsidRDefault="00EB2BD8">
      <w:pPr>
        <w:spacing w:line="442" w:lineRule="exact"/>
        <w:ind w:left="1126"/>
        <w:rPr>
          <w:b/>
          <w:sz w:val="38"/>
        </w:rPr>
      </w:pPr>
      <w:r w:rsidRPr="00EB2BD8">
        <w:rPr>
          <w:b/>
          <w:spacing w:val="-5"/>
          <w:w w:val="85"/>
          <w:sz w:val="38"/>
        </w:rPr>
        <w:t>110</w:t>
      </w:r>
    </w:p>
    <w:p w14:paraId="30FBC0C8" w14:textId="77777777" w:rsidR="00084F36" w:rsidRPr="00EB2BD8" w:rsidRDefault="00EB2BD8">
      <w:pPr>
        <w:spacing w:line="230" w:lineRule="exact"/>
        <w:ind w:left="1126"/>
        <w:rPr>
          <w:sz w:val="20"/>
        </w:rPr>
      </w:pPr>
      <w:r w:rsidRPr="00EB2BD8">
        <w:rPr>
          <w:sz w:val="20"/>
        </w:rPr>
        <w:t>Building</w:t>
      </w:r>
      <w:r w:rsidRPr="00EB2BD8">
        <w:rPr>
          <w:spacing w:val="-4"/>
          <w:sz w:val="20"/>
        </w:rPr>
        <w:t xml:space="preserve"> </w:t>
      </w:r>
      <w:r w:rsidRPr="00EB2BD8">
        <w:rPr>
          <w:sz w:val="20"/>
        </w:rPr>
        <w:t>Surveyor</w:t>
      </w:r>
      <w:r w:rsidRPr="00EB2BD8">
        <w:rPr>
          <w:spacing w:val="-4"/>
          <w:sz w:val="20"/>
        </w:rPr>
        <w:t xml:space="preserve"> </w:t>
      </w:r>
      <w:r w:rsidRPr="00EB2BD8">
        <w:rPr>
          <w:spacing w:val="-2"/>
          <w:sz w:val="20"/>
        </w:rPr>
        <w:t>audits</w:t>
      </w:r>
    </w:p>
    <w:p w14:paraId="451F7652" w14:textId="77777777" w:rsidR="00084F36" w:rsidRPr="00EB2BD8" w:rsidRDefault="00EB2BD8" w:rsidP="00C96154">
      <w:pPr>
        <w:pStyle w:val="Heading2"/>
        <w:ind w:left="567"/>
      </w:pPr>
      <w:r w:rsidRPr="00EB2BD8">
        <w:br w:type="column"/>
      </w:r>
      <w:bookmarkStart w:id="13" w:name="_Toc150762322"/>
      <w:r w:rsidRPr="00EB2BD8">
        <w:rPr>
          <w:spacing w:val="-6"/>
        </w:rPr>
        <w:lastRenderedPageBreak/>
        <w:t xml:space="preserve">We </w:t>
      </w:r>
      <w:r w:rsidRPr="00EB2BD8">
        <w:t>Educate</w:t>
      </w:r>
      <w:bookmarkEnd w:id="13"/>
    </w:p>
    <w:p w14:paraId="630B146F" w14:textId="77777777" w:rsidR="00084F36" w:rsidRPr="00EB2BD8" w:rsidRDefault="00084F36">
      <w:pPr>
        <w:pStyle w:val="BodyText"/>
        <w:spacing w:before="11"/>
        <w:rPr>
          <w:rFonts w:ascii="Tahoma"/>
          <w:b/>
          <w:sz w:val="67"/>
        </w:rPr>
      </w:pPr>
    </w:p>
    <w:p w14:paraId="3B1BCEB3" w14:textId="77777777" w:rsidR="00084F36" w:rsidRPr="00EB2BD8" w:rsidRDefault="00EB2BD8">
      <w:pPr>
        <w:spacing w:line="442" w:lineRule="exact"/>
        <w:ind w:left="591"/>
        <w:rPr>
          <w:b/>
          <w:sz w:val="38"/>
        </w:rPr>
      </w:pPr>
      <w:r w:rsidRPr="00EB2BD8">
        <w:rPr>
          <w:b/>
          <w:spacing w:val="-4"/>
          <w:w w:val="80"/>
          <w:sz w:val="38"/>
        </w:rPr>
        <w:t>11,151</w:t>
      </w:r>
    </w:p>
    <w:p w14:paraId="34D583D7" w14:textId="77777777" w:rsidR="00084F36" w:rsidRPr="00EB2BD8" w:rsidRDefault="00EB2BD8">
      <w:pPr>
        <w:spacing w:line="264" w:lineRule="auto"/>
        <w:ind w:left="591"/>
        <w:rPr>
          <w:sz w:val="20"/>
        </w:rPr>
      </w:pPr>
      <w:r w:rsidRPr="00EB2BD8">
        <w:rPr>
          <w:w w:val="105"/>
          <w:sz w:val="20"/>
        </w:rPr>
        <w:t xml:space="preserve">Attended a Practitioner </w:t>
      </w:r>
      <w:r w:rsidRPr="00EB2BD8">
        <w:rPr>
          <w:spacing w:val="-2"/>
          <w:w w:val="105"/>
          <w:sz w:val="20"/>
        </w:rPr>
        <w:t>Education</w:t>
      </w:r>
      <w:r w:rsidRPr="00EB2BD8">
        <w:rPr>
          <w:spacing w:val="-17"/>
          <w:w w:val="105"/>
          <w:sz w:val="20"/>
        </w:rPr>
        <w:t xml:space="preserve"> </w:t>
      </w:r>
      <w:r w:rsidRPr="00EB2BD8">
        <w:rPr>
          <w:spacing w:val="-2"/>
          <w:w w:val="105"/>
          <w:sz w:val="20"/>
        </w:rPr>
        <w:t>Series</w:t>
      </w:r>
      <w:r w:rsidRPr="00EB2BD8">
        <w:rPr>
          <w:spacing w:val="-16"/>
          <w:w w:val="105"/>
          <w:sz w:val="20"/>
        </w:rPr>
        <w:t xml:space="preserve"> </w:t>
      </w:r>
      <w:r w:rsidRPr="00EB2BD8">
        <w:rPr>
          <w:spacing w:val="-2"/>
          <w:w w:val="105"/>
          <w:sz w:val="20"/>
        </w:rPr>
        <w:t>webinar</w:t>
      </w:r>
    </w:p>
    <w:p w14:paraId="7E2FAEA3" w14:textId="77777777" w:rsidR="00084F36" w:rsidRPr="00EB2BD8" w:rsidRDefault="00084F36">
      <w:pPr>
        <w:pStyle w:val="BodyText"/>
        <w:spacing w:before="5"/>
      </w:pPr>
    </w:p>
    <w:p w14:paraId="064B93C3" w14:textId="77777777" w:rsidR="00084F36" w:rsidRPr="00EB2BD8" w:rsidRDefault="00EB2BD8">
      <w:pPr>
        <w:spacing w:line="442" w:lineRule="exact"/>
        <w:ind w:left="591"/>
        <w:rPr>
          <w:b/>
          <w:sz w:val="38"/>
        </w:rPr>
      </w:pPr>
      <w:r w:rsidRPr="00EB2BD8">
        <w:rPr>
          <w:b/>
          <w:spacing w:val="-5"/>
          <w:sz w:val="38"/>
        </w:rPr>
        <w:t>89%</w:t>
      </w:r>
    </w:p>
    <w:p w14:paraId="1C704CB9" w14:textId="77777777" w:rsidR="00084F36" w:rsidRPr="00EB2BD8" w:rsidRDefault="00EB2BD8">
      <w:pPr>
        <w:spacing w:line="264" w:lineRule="auto"/>
        <w:ind w:left="591"/>
        <w:rPr>
          <w:sz w:val="20"/>
        </w:rPr>
      </w:pPr>
      <w:r w:rsidRPr="00EB2BD8">
        <w:rPr>
          <w:sz w:val="20"/>
        </w:rPr>
        <w:t>Practitioner</w:t>
      </w:r>
      <w:r w:rsidRPr="00EB2BD8">
        <w:rPr>
          <w:spacing w:val="-1"/>
          <w:sz w:val="20"/>
        </w:rPr>
        <w:t xml:space="preserve"> </w:t>
      </w:r>
      <w:r w:rsidRPr="00EB2BD8">
        <w:rPr>
          <w:sz w:val="20"/>
        </w:rPr>
        <w:t>satisfaction</w:t>
      </w:r>
      <w:r w:rsidRPr="00EB2BD8">
        <w:rPr>
          <w:spacing w:val="-1"/>
          <w:sz w:val="20"/>
        </w:rPr>
        <w:t xml:space="preserve"> </w:t>
      </w:r>
      <w:r w:rsidRPr="00EB2BD8">
        <w:rPr>
          <w:sz w:val="20"/>
        </w:rPr>
        <w:t>with webinar</w:t>
      </w:r>
      <w:r w:rsidRPr="00EB2BD8">
        <w:rPr>
          <w:spacing w:val="-3"/>
          <w:sz w:val="20"/>
        </w:rPr>
        <w:t xml:space="preserve"> </w:t>
      </w:r>
      <w:r w:rsidRPr="00EB2BD8">
        <w:rPr>
          <w:sz w:val="20"/>
        </w:rPr>
        <w:t>content</w:t>
      </w:r>
    </w:p>
    <w:p w14:paraId="1B3C277B" w14:textId="77777777" w:rsidR="00084F36" w:rsidRPr="00EB2BD8" w:rsidRDefault="00084F36">
      <w:pPr>
        <w:pStyle w:val="BodyText"/>
        <w:spacing w:before="5"/>
      </w:pPr>
    </w:p>
    <w:p w14:paraId="6DC35E17" w14:textId="77777777" w:rsidR="00084F36" w:rsidRPr="00EB2BD8" w:rsidRDefault="00EB2BD8">
      <w:pPr>
        <w:spacing w:line="442" w:lineRule="exact"/>
        <w:ind w:left="591"/>
        <w:rPr>
          <w:b/>
          <w:sz w:val="38"/>
        </w:rPr>
      </w:pPr>
      <w:r w:rsidRPr="00EB2BD8">
        <w:rPr>
          <w:b/>
          <w:spacing w:val="-5"/>
          <w:sz w:val="38"/>
        </w:rPr>
        <w:t>44</w:t>
      </w:r>
    </w:p>
    <w:p w14:paraId="7AFD9256" w14:textId="77777777" w:rsidR="00084F36" w:rsidRPr="00EB2BD8" w:rsidRDefault="00EB2BD8">
      <w:pPr>
        <w:spacing w:line="230" w:lineRule="exact"/>
        <w:ind w:left="591"/>
        <w:rPr>
          <w:sz w:val="20"/>
        </w:rPr>
      </w:pPr>
      <w:r w:rsidRPr="00EB2BD8">
        <w:rPr>
          <w:sz w:val="20"/>
        </w:rPr>
        <w:t>Practice</w:t>
      </w:r>
      <w:r w:rsidRPr="00EB2BD8">
        <w:rPr>
          <w:spacing w:val="14"/>
          <w:sz w:val="20"/>
        </w:rPr>
        <w:t xml:space="preserve"> </w:t>
      </w:r>
      <w:r w:rsidRPr="00EB2BD8">
        <w:rPr>
          <w:sz w:val="20"/>
        </w:rPr>
        <w:t>Notes</w:t>
      </w:r>
      <w:r w:rsidRPr="00EB2BD8">
        <w:rPr>
          <w:spacing w:val="14"/>
          <w:sz w:val="20"/>
        </w:rPr>
        <w:t xml:space="preserve"> </w:t>
      </w:r>
      <w:r w:rsidRPr="00EB2BD8">
        <w:rPr>
          <w:spacing w:val="-2"/>
          <w:sz w:val="20"/>
        </w:rPr>
        <w:t>published</w:t>
      </w:r>
    </w:p>
    <w:p w14:paraId="6CE3E25A" w14:textId="77777777" w:rsidR="00084F36" w:rsidRPr="00EB2BD8" w:rsidRDefault="00084F36">
      <w:pPr>
        <w:pStyle w:val="BodyText"/>
        <w:spacing w:before="9"/>
        <w:rPr>
          <w:sz w:val="20"/>
        </w:rPr>
      </w:pPr>
    </w:p>
    <w:p w14:paraId="7D6F934C" w14:textId="77777777" w:rsidR="00084F36" w:rsidRPr="00EB2BD8" w:rsidRDefault="00EB2BD8">
      <w:pPr>
        <w:spacing w:before="1" w:line="442" w:lineRule="exact"/>
        <w:ind w:left="591"/>
        <w:rPr>
          <w:b/>
          <w:sz w:val="38"/>
        </w:rPr>
      </w:pPr>
      <w:r w:rsidRPr="00EB2BD8">
        <w:rPr>
          <w:b/>
          <w:w w:val="95"/>
          <w:sz w:val="38"/>
        </w:rPr>
        <w:t>9</w:t>
      </w:r>
    </w:p>
    <w:p w14:paraId="3C72CD82" w14:textId="77777777" w:rsidR="00084F36" w:rsidRPr="00EB2BD8" w:rsidRDefault="00EB2BD8">
      <w:pPr>
        <w:spacing w:line="264" w:lineRule="auto"/>
        <w:ind w:left="591"/>
        <w:rPr>
          <w:sz w:val="20"/>
        </w:rPr>
      </w:pPr>
      <w:r w:rsidRPr="00EB2BD8">
        <w:rPr>
          <w:sz w:val="20"/>
        </w:rPr>
        <w:t>Research projects underway or completed in 2022-23</w:t>
      </w:r>
    </w:p>
    <w:p w14:paraId="1B42DAA8" w14:textId="77777777" w:rsidR="00084F36" w:rsidRPr="00EB2BD8" w:rsidRDefault="00084F36">
      <w:pPr>
        <w:pStyle w:val="BodyText"/>
        <w:spacing w:before="4"/>
      </w:pPr>
    </w:p>
    <w:p w14:paraId="6ECB1E1E" w14:textId="77777777" w:rsidR="00084F36" w:rsidRPr="00EB2BD8" w:rsidRDefault="00EB2BD8">
      <w:pPr>
        <w:spacing w:line="442" w:lineRule="exact"/>
        <w:ind w:left="591"/>
        <w:rPr>
          <w:b/>
          <w:sz w:val="38"/>
        </w:rPr>
      </w:pPr>
      <w:r w:rsidRPr="00EB2BD8">
        <w:rPr>
          <w:b/>
          <w:w w:val="78"/>
          <w:sz w:val="38"/>
        </w:rPr>
        <w:t>7</w:t>
      </w:r>
    </w:p>
    <w:p w14:paraId="014F62DB" w14:textId="77777777" w:rsidR="00084F36" w:rsidRPr="00EB2BD8" w:rsidRDefault="00EB2BD8">
      <w:pPr>
        <w:spacing w:line="230" w:lineRule="exact"/>
        <w:ind w:left="591"/>
        <w:rPr>
          <w:sz w:val="20"/>
        </w:rPr>
      </w:pPr>
      <w:r w:rsidRPr="00EB2BD8">
        <w:rPr>
          <w:sz w:val="20"/>
        </w:rPr>
        <w:t>Technical</w:t>
      </w:r>
      <w:r w:rsidRPr="00EB2BD8">
        <w:rPr>
          <w:spacing w:val="-10"/>
          <w:sz w:val="20"/>
        </w:rPr>
        <w:t xml:space="preserve"> </w:t>
      </w:r>
      <w:r w:rsidRPr="00EB2BD8">
        <w:rPr>
          <w:sz w:val="20"/>
        </w:rPr>
        <w:t>Bulletins</w:t>
      </w:r>
      <w:r w:rsidRPr="00EB2BD8">
        <w:rPr>
          <w:spacing w:val="-10"/>
          <w:sz w:val="20"/>
        </w:rPr>
        <w:t xml:space="preserve"> </w:t>
      </w:r>
      <w:r w:rsidRPr="00EB2BD8">
        <w:rPr>
          <w:spacing w:val="-2"/>
          <w:sz w:val="20"/>
        </w:rPr>
        <w:t>published</w:t>
      </w:r>
    </w:p>
    <w:p w14:paraId="5D902C12" w14:textId="77777777" w:rsidR="00084F36" w:rsidRPr="00EB2BD8" w:rsidRDefault="00EB2BD8" w:rsidP="00C96154">
      <w:pPr>
        <w:pStyle w:val="Heading2"/>
        <w:ind w:left="567"/>
      </w:pPr>
      <w:r w:rsidRPr="00EB2BD8">
        <w:br w:type="column"/>
      </w:r>
      <w:bookmarkStart w:id="14" w:name="_Toc150762323"/>
      <w:r w:rsidRPr="00EB2BD8">
        <w:rPr>
          <w:spacing w:val="-6"/>
        </w:rPr>
        <w:t xml:space="preserve">We </w:t>
      </w:r>
      <w:r w:rsidRPr="00EB2BD8">
        <w:t>Engage</w:t>
      </w:r>
      <w:bookmarkEnd w:id="14"/>
    </w:p>
    <w:p w14:paraId="7EF79770" w14:textId="77777777" w:rsidR="00084F36" w:rsidRPr="00EB2BD8" w:rsidRDefault="00084F36">
      <w:pPr>
        <w:pStyle w:val="BodyText"/>
        <w:spacing w:before="11"/>
        <w:rPr>
          <w:rFonts w:ascii="Tahoma"/>
          <w:b/>
          <w:sz w:val="67"/>
        </w:rPr>
      </w:pPr>
    </w:p>
    <w:p w14:paraId="7B799460" w14:textId="77777777" w:rsidR="00084F36" w:rsidRPr="00EB2BD8" w:rsidRDefault="00EB2BD8">
      <w:pPr>
        <w:spacing w:line="442" w:lineRule="exact"/>
        <w:ind w:left="634"/>
        <w:rPr>
          <w:b/>
          <w:sz w:val="38"/>
        </w:rPr>
      </w:pPr>
      <w:r w:rsidRPr="00EB2BD8">
        <w:rPr>
          <w:b/>
          <w:w w:val="90"/>
          <w:sz w:val="38"/>
        </w:rPr>
        <w:t>4.2</w:t>
      </w:r>
      <w:r w:rsidRPr="00EB2BD8">
        <w:rPr>
          <w:b/>
          <w:spacing w:val="-17"/>
          <w:w w:val="90"/>
          <w:sz w:val="38"/>
        </w:rPr>
        <w:t xml:space="preserve"> </w:t>
      </w:r>
      <w:r w:rsidRPr="00EB2BD8">
        <w:rPr>
          <w:b/>
          <w:spacing w:val="-2"/>
          <w:w w:val="95"/>
          <w:sz w:val="38"/>
        </w:rPr>
        <w:t>million</w:t>
      </w:r>
    </w:p>
    <w:p w14:paraId="023E2E46" w14:textId="77777777" w:rsidR="00084F36" w:rsidRPr="00EB2BD8" w:rsidRDefault="00EB2BD8">
      <w:pPr>
        <w:spacing w:line="230" w:lineRule="exact"/>
        <w:ind w:left="634"/>
        <w:rPr>
          <w:sz w:val="20"/>
        </w:rPr>
      </w:pPr>
      <w:r w:rsidRPr="00EB2BD8">
        <w:rPr>
          <w:sz w:val="20"/>
        </w:rPr>
        <w:t>Visits</w:t>
      </w:r>
      <w:r w:rsidRPr="00EB2BD8">
        <w:rPr>
          <w:spacing w:val="-14"/>
          <w:sz w:val="20"/>
        </w:rPr>
        <w:t xml:space="preserve"> </w:t>
      </w:r>
      <w:r w:rsidRPr="00EB2BD8">
        <w:rPr>
          <w:sz w:val="20"/>
        </w:rPr>
        <w:t>to</w:t>
      </w:r>
      <w:r w:rsidRPr="00EB2BD8">
        <w:rPr>
          <w:spacing w:val="-13"/>
          <w:sz w:val="20"/>
        </w:rPr>
        <w:t xml:space="preserve"> </w:t>
      </w:r>
      <w:r w:rsidRPr="00EB2BD8">
        <w:rPr>
          <w:sz w:val="20"/>
        </w:rPr>
        <w:t>VBA</w:t>
      </w:r>
      <w:r w:rsidRPr="00EB2BD8">
        <w:rPr>
          <w:spacing w:val="-14"/>
          <w:sz w:val="20"/>
        </w:rPr>
        <w:t xml:space="preserve"> </w:t>
      </w:r>
      <w:r w:rsidRPr="00EB2BD8">
        <w:rPr>
          <w:spacing w:val="-2"/>
          <w:sz w:val="20"/>
        </w:rPr>
        <w:t>website</w:t>
      </w:r>
    </w:p>
    <w:p w14:paraId="2681EF99" w14:textId="77777777" w:rsidR="00084F36" w:rsidRPr="00EB2BD8" w:rsidRDefault="00084F36">
      <w:pPr>
        <w:pStyle w:val="BodyText"/>
        <w:spacing w:before="10"/>
        <w:rPr>
          <w:sz w:val="20"/>
        </w:rPr>
      </w:pPr>
    </w:p>
    <w:p w14:paraId="61D194F4" w14:textId="77777777" w:rsidR="00084F36" w:rsidRPr="00EB2BD8" w:rsidRDefault="00EB2BD8">
      <w:pPr>
        <w:spacing w:line="442" w:lineRule="exact"/>
        <w:ind w:left="634"/>
        <w:rPr>
          <w:b/>
          <w:sz w:val="38"/>
        </w:rPr>
      </w:pPr>
      <w:r w:rsidRPr="00EB2BD8">
        <w:rPr>
          <w:b/>
          <w:w w:val="75"/>
          <w:sz w:val="38"/>
        </w:rPr>
        <w:t>1.5</w:t>
      </w:r>
      <w:r w:rsidRPr="00EB2BD8">
        <w:rPr>
          <w:b/>
          <w:spacing w:val="-18"/>
          <w:w w:val="95"/>
          <w:sz w:val="38"/>
        </w:rPr>
        <w:t xml:space="preserve"> </w:t>
      </w:r>
      <w:r w:rsidRPr="00EB2BD8">
        <w:rPr>
          <w:b/>
          <w:spacing w:val="-2"/>
          <w:w w:val="95"/>
          <w:sz w:val="38"/>
        </w:rPr>
        <w:t>million</w:t>
      </w:r>
    </w:p>
    <w:p w14:paraId="404C335A" w14:textId="77777777" w:rsidR="00084F36" w:rsidRPr="00EB2BD8" w:rsidRDefault="00EB2BD8">
      <w:pPr>
        <w:spacing w:line="264" w:lineRule="auto"/>
        <w:ind w:left="634" w:right="876"/>
        <w:rPr>
          <w:sz w:val="20"/>
        </w:rPr>
      </w:pPr>
      <w:r w:rsidRPr="00EB2BD8">
        <w:rPr>
          <w:sz w:val="20"/>
        </w:rPr>
        <w:t>Reach of email communications</w:t>
      </w:r>
      <w:r w:rsidRPr="00EB2BD8">
        <w:rPr>
          <w:spacing w:val="-10"/>
          <w:sz w:val="20"/>
        </w:rPr>
        <w:t xml:space="preserve"> </w:t>
      </w:r>
      <w:r w:rsidRPr="00EB2BD8">
        <w:rPr>
          <w:sz w:val="20"/>
        </w:rPr>
        <w:t>to</w:t>
      </w:r>
      <w:r w:rsidRPr="00EB2BD8">
        <w:rPr>
          <w:spacing w:val="-10"/>
          <w:sz w:val="20"/>
        </w:rPr>
        <w:t xml:space="preserve"> </w:t>
      </w:r>
      <w:r w:rsidRPr="00EB2BD8">
        <w:rPr>
          <w:sz w:val="20"/>
        </w:rPr>
        <w:t>keep industry</w:t>
      </w:r>
      <w:r w:rsidRPr="00EB2BD8">
        <w:rPr>
          <w:spacing w:val="-3"/>
          <w:sz w:val="20"/>
        </w:rPr>
        <w:t xml:space="preserve"> </w:t>
      </w:r>
      <w:r w:rsidRPr="00EB2BD8">
        <w:rPr>
          <w:sz w:val="20"/>
        </w:rPr>
        <w:t>informed</w:t>
      </w:r>
    </w:p>
    <w:p w14:paraId="465ACDF3" w14:textId="77777777" w:rsidR="00084F36" w:rsidRPr="00EB2BD8" w:rsidRDefault="00084F36">
      <w:pPr>
        <w:pStyle w:val="BodyText"/>
        <w:spacing w:before="5"/>
      </w:pPr>
    </w:p>
    <w:p w14:paraId="249BBD58" w14:textId="77777777" w:rsidR="00084F36" w:rsidRPr="00EB2BD8" w:rsidRDefault="00EB2BD8">
      <w:pPr>
        <w:spacing w:before="1" w:line="442" w:lineRule="exact"/>
        <w:ind w:left="634"/>
        <w:rPr>
          <w:b/>
          <w:sz w:val="38"/>
        </w:rPr>
      </w:pPr>
      <w:r w:rsidRPr="00EB2BD8">
        <w:rPr>
          <w:b/>
          <w:spacing w:val="-2"/>
          <w:w w:val="95"/>
          <w:sz w:val="38"/>
        </w:rPr>
        <w:t>14,108</w:t>
      </w:r>
    </w:p>
    <w:p w14:paraId="05BB9930" w14:textId="77777777" w:rsidR="00084F36" w:rsidRPr="00EB2BD8" w:rsidRDefault="00EB2BD8">
      <w:pPr>
        <w:spacing w:line="264" w:lineRule="auto"/>
        <w:ind w:left="634" w:right="876"/>
        <w:rPr>
          <w:sz w:val="20"/>
        </w:rPr>
      </w:pPr>
      <w:r w:rsidRPr="00EB2BD8">
        <w:rPr>
          <w:sz w:val="20"/>
        </w:rPr>
        <w:t>Building</w:t>
      </w:r>
      <w:r w:rsidRPr="00EB2BD8">
        <w:rPr>
          <w:spacing w:val="-6"/>
          <w:sz w:val="20"/>
        </w:rPr>
        <w:t xml:space="preserve"> </w:t>
      </w:r>
      <w:r w:rsidRPr="00EB2BD8">
        <w:rPr>
          <w:sz w:val="20"/>
        </w:rPr>
        <w:t>technical</w:t>
      </w:r>
      <w:r w:rsidRPr="00EB2BD8">
        <w:rPr>
          <w:spacing w:val="-6"/>
          <w:sz w:val="20"/>
        </w:rPr>
        <w:t xml:space="preserve"> </w:t>
      </w:r>
      <w:r w:rsidRPr="00EB2BD8">
        <w:rPr>
          <w:sz w:val="20"/>
        </w:rPr>
        <w:t>queries responded</w:t>
      </w:r>
      <w:r w:rsidRPr="00EB2BD8">
        <w:rPr>
          <w:spacing w:val="-3"/>
          <w:sz w:val="20"/>
        </w:rPr>
        <w:t xml:space="preserve"> </w:t>
      </w:r>
      <w:r w:rsidRPr="00EB2BD8">
        <w:rPr>
          <w:sz w:val="20"/>
        </w:rPr>
        <w:t>to</w:t>
      </w:r>
    </w:p>
    <w:p w14:paraId="08F06D1B" w14:textId="77777777" w:rsidR="00084F36" w:rsidRPr="00EB2BD8" w:rsidRDefault="00084F36">
      <w:pPr>
        <w:pStyle w:val="BodyText"/>
        <w:spacing w:before="4"/>
      </w:pPr>
    </w:p>
    <w:p w14:paraId="0A964DCC" w14:textId="77777777" w:rsidR="00084F36" w:rsidRPr="00EB2BD8" w:rsidRDefault="00EB2BD8">
      <w:pPr>
        <w:spacing w:line="442" w:lineRule="exact"/>
        <w:ind w:left="536"/>
        <w:rPr>
          <w:b/>
          <w:sz w:val="38"/>
        </w:rPr>
      </w:pPr>
      <w:r w:rsidRPr="00EB2BD8">
        <w:rPr>
          <w:b/>
          <w:spacing w:val="-2"/>
          <w:w w:val="95"/>
          <w:sz w:val="38"/>
        </w:rPr>
        <w:t>10,987</w:t>
      </w:r>
    </w:p>
    <w:p w14:paraId="43334C4C" w14:textId="77777777" w:rsidR="00084F36" w:rsidRPr="00EB2BD8" w:rsidRDefault="00EB2BD8">
      <w:pPr>
        <w:spacing w:line="264" w:lineRule="auto"/>
        <w:ind w:left="634" w:right="876"/>
        <w:rPr>
          <w:sz w:val="20"/>
        </w:rPr>
      </w:pPr>
      <w:r w:rsidRPr="00EB2BD8">
        <w:rPr>
          <w:sz w:val="20"/>
        </w:rPr>
        <w:t>Plumbing</w:t>
      </w:r>
      <w:r w:rsidRPr="00EB2BD8">
        <w:rPr>
          <w:spacing w:val="-2"/>
          <w:sz w:val="20"/>
        </w:rPr>
        <w:t xml:space="preserve"> </w:t>
      </w:r>
      <w:r w:rsidRPr="00EB2BD8">
        <w:rPr>
          <w:sz w:val="20"/>
        </w:rPr>
        <w:t>technical</w:t>
      </w:r>
      <w:r w:rsidRPr="00EB2BD8">
        <w:rPr>
          <w:spacing w:val="-2"/>
          <w:sz w:val="20"/>
        </w:rPr>
        <w:t xml:space="preserve"> </w:t>
      </w:r>
      <w:r w:rsidRPr="00EB2BD8">
        <w:rPr>
          <w:sz w:val="20"/>
        </w:rPr>
        <w:t>queries responded</w:t>
      </w:r>
      <w:r w:rsidRPr="00EB2BD8">
        <w:rPr>
          <w:spacing w:val="-3"/>
          <w:sz w:val="20"/>
        </w:rPr>
        <w:t xml:space="preserve"> </w:t>
      </w:r>
      <w:r w:rsidRPr="00EB2BD8">
        <w:rPr>
          <w:sz w:val="20"/>
        </w:rPr>
        <w:t>to</w:t>
      </w:r>
    </w:p>
    <w:p w14:paraId="2202DA80" w14:textId="77777777" w:rsidR="00084F36" w:rsidRPr="00EB2BD8" w:rsidRDefault="00084F36">
      <w:pPr>
        <w:pStyle w:val="BodyText"/>
        <w:spacing w:before="5"/>
      </w:pPr>
    </w:p>
    <w:p w14:paraId="628520A3" w14:textId="77777777" w:rsidR="00084F36" w:rsidRPr="00EB2BD8" w:rsidRDefault="00EB2BD8">
      <w:pPr>
        <w:spacing w:line="442" w:lineRule="exact"/>
        <w:ind w:left="634"/>
        <w:rPr>
          <w:b/>
          <w:sz w:val="38"/>
        </w:rPr>
      </w:pPr>
      <w:r w:rsidRPr="00EB2BD8">
        <w:rPr>
          <w:b/>
          <w:spacing w:val="-5"/>
          <w:sz w:val="38"/>
        </w:rPr>
        <w:t>16%</w:t>
      </w:r>
    </w:p>
    <w:p w14:paraId="2841F9A3" w14:textId="77777777" w:rsidR="00084F36" w:rsidRPr="00EB2BD8" w:rsidRDefault="00EB2BD8">
      <w:pPr>
        <w:spacing w:line="264" w:lineRule="auto"/>
        <w:ind w:left="634" w:right="876"/>
        <w:rPr>
          <w:sz w:val="20"/>
        </w:rPr>
      </w:pPr>
      <w:r w:rsidRPr="00EB2BD8">
        <w:rPr>
          <w:sz w:val="20"/>
        </w:rPr>
        <w:t>Increase in engagement across</w:t>
      </w:r>
      <w:r w:rsidRPr="00EB2BD8">
        <w:rPr>
          <w:spacing w:val="-9"/>
          <w:sz w:val="20"/>
        </w:rPr>
        <w:t xml:space="preserve"> </w:t>
      </w:r>
      <w:r w:rsidRPr="00EB2BD8">
        <w:rPr>
          <w:sz w:val="20"/>
        </w:rPr>
        <w:t>VBA’s</w:t>
      </w:r>
      <w:r w:rsidRPr="00EB2BD8">
        <w:rPr>
          <w:spacing w:val="-9"/>
          <w:sz w:val="20"/>
        </w:rPr>
        <w:t xml:space="preserve"> </w:t>
      </w:r>
      <w:r w:rsidRPr="00EB2BD8">
        <w:rPr>
          <w:sz w:val="20"/>
        </w:rPr>
        <w:t>social</w:t>
      </w:r>
      <w:r w:rsidRPr="00EB2BD8">
        <w:rPr>
          <w:spacing w:val="-9"/>
          <w:sz w:val="20"/>
        </w:rPr>
        <w:t xml:space="preserve"> </w:t>
      </w:r>
      <w:r w:rsidRPr="00EB2BD8">
        <w:rPr>
          <w:sz w:val="20"/>
        </w:rPr>
        <w:t xml:space="preserve">media </w:t>
      </w:r>
      <w:r w:rsidRPr="00EB2BD8">
        <w:rPr>
          <w:spacing w:val="-2"/>
          <w:sz w:val="20"/>
        </w:rPr>
        <w:t>channels</w:t>
      </w:r>
    </w:p>
    <w:p w14:paraId="0612B5B0" w14:textId="77777777" w:rsidR="00084F36" w:rsidRPr="00EB2BD8" w:rsidRDefault="00084F36">
      <w:pPr>
        <w:spacing w:line="264" w:lineRule="auto"/>
        <w:rPr>
          <w:sz w:val="20"/>
        </w:rPr>
        <w:sectPr w:rsidR="00084F36" w:rsidRPr="00EB2BD8" w:rsidSect="006D75B2">
          <w:type w:val="continuous"/>
          <w:pgSz w:w="11910" w:h="16840"/>
          <w:pgMar w:top="1920" w:right="0" w:bottom="280" w:left="0" w:header="0" w:footer="528" w:gutter="0"/>
          <w:cols w:num="3" w:space="720" w:equalWidth="0">
            <w:col w:w="3991" w:space="40"/>
            <w:col w:w="3414" w:space="39"/>
            <w:col w:w="4426"/>
          </w:cols>
        </w:sectPr>
      </w:pPr>
    </w:p>
    <w:p w14:paraId="16D0E1C1" w14:textId="77777777" w:rsidR="00084F36" w:rsidRPr="00EB2BD8" w:rsidRDefault="00084F36">
      <w:pPr>
        <w:pStyle w:val="BodyText"/>
        <w:rPr>
          <w:sz w:val="20"/>
        </w:rPr>
      </w:pPr>
    </w:p>
    <w:p w14:paraId="66716128" w14:textId="77777777" w:rsidR="00084F36" w:rsidRPr="00EB2BD8" w:rsidRDefault="00084F36">
      <w:pPr>
        <w:pStyle w:val="BodyText"/>
        <w:rPr>
          <w:sz w:val="20"/>
        </w:rPr>
      </w:pPr>
    </w:p>
    <w:p w14:paraId="26A936A4" w14:textId="77777777" w:rsidR="00084F36" w:rsidRPr="00EB2BD8" w:rsidRDefault="00084F36">
      <w:pPr>
        <w:pStyle w:val="BodyText"/>
        <w:rPr>
          <w:sz w:val="20"/>
        </w:rPr>
      </w:pPr>
    </w:p>
    <w:p w14:paraId="44A1F5C3" w14:textId="77777777" w:rsidR="00084F36" w:rsidRPr="00EB2BD8" w:rsidRDefault="00084F36">
      <w:pPr>
        <w:pStyle w:val="BodyText"/>
        <w:rPr>
          <w:sz w:val="20"/>
        </w:rPr>
      </w:pPr>
    </w:p>
    <w:p w14:paraId="145E1EEC" w14:textId="77777777" w:rsidR="00084F36" w:rsidRPr="00EB2BD8" w:rsidRDefault="00084F36">
      <w:pPr>
        <w:pStyle w:val="BodyText"/>
        <w:spacing w:before="1"/>
      </w:pPr>
    </w:p>
    <w:p w14:paraId="79D4F87B" w14:textId="77777777" w:rsidR="00084F36" w:rsidRPr="00EB2BD8" w:rsidRDefault="00EB2BD8" w:rsidP="00DB0F6B">
      <w:pPr>
        <w:pStyle w:val="Heading1"/>
        <w:ind w:left="0" w:firstLine="567"/>
        <w:rPr>
          <w:spacing w:val="-5"/>
        </w:rPr>
      </w:pPr>
      <w:bookmarkStart w:id="15" w:name="_TOC_250006"/>
      <w:bookmarkStart w:id="16" w:name="_Toc150762324"/>
      <w:r w:rsidRPr="00EB2BD8">
        <w:t>About</w:t>
      </w:r>
      <w:r w:rsidRPr="00EB2BD8">
        <w:rPr>
          <w:spacing w:val="-30"/>
        </w:rPr>
        <w:t xml:space="preserve"> </w:t>
      </w:r>
      <w:r w:rsidRPr="00EB2BD8">
        <w:t>the</w:t>
      </w:r>
      <w:r w:rsidRPr="00EB2BD8">
        <w:rPr>
          <w:spacing w:val="-30"/>
        </w:rPr>
        <w:t xml:space="preserve"> </w:t>
      </w:r>
      <w:bookmarkEnd w:id="15"/>
      <w:r w:rsidRPr="00EB2BD8">
        <w:rPr>
          <w:spacing w:val="-5"/>
        </w:rPr>
        <w:t>VBA</w:t>
      </w:r>
      <w:bookmarkEnd w:id="16"/>
    </w:p>
    <w:p w14:paraId="34A2D547" w14:textId="77777777" w:rsidR="00C96154" w:rsidRPr="00EB2BD8" w:rsidRDefault="00C96154" w:rsidP="00C96154">
      <w:pPr>
        <w:spacing w:line="40" w:lineRule="atLeast"/>
        <w:rPr>
          <w:rFonts w:ascii="Arial" w:hAnsi="Arial" w:cs="Arial"/>
        </w:rPr>
      </w:pPr>
    </w:p>
    <w:p w14:paraId="65DCE18D" w14:textId="77777777" w:rsidR="00C96154" w:rsidRPr="00EB2BD8" w:rsidRDefault="00C96154" w:rsidP="00C96154">
      <w:pPr>
        <w:pStyle w:val="Heading2"/>
        <w:spacing w:line="40" w:lineRule="atLeast"/>
        <w:ind w:left="567"/>
      </w:pPr>
      <w:bookmarkStart w:id="17" w:name="_Toc150762325"/>
      <w:r w:rsidRPr="00EB2BD8">
        <w:t>Vision</w:t>
      </w:r>
      <w:bookmarkEnd w:id="17"/>
      <w:r w:rsidRPr="00EB2BD8">
        <w:br/>
      </w:r>
    </w:p>
    <w:p w14:paraId="65C5D97A" w14:textId="77777777" w:rsidR="00C96154" w:rsidRPr="00EB2BD8" w:rsidRDefault="00C96154" w:rsidP="00C96154">
      <w:pPr>
        <w:spacing w:line="40" w:lineRule="atLeast"/>
        <w:ind w:left="567"/>
        <w:rPr>
          <w:rFonts w:ascii="Arial" w:hAnsi="Arial" w:cs="Arial"/>
        </w:rPr>
      </w:pPr>
      <w:r w:rsidRPr="00EB2BD8">
        <w:rPr>
          <w:rFonts w:ascii="Arial" w:hAnsi="Arial" w:cs="Arial"/>
        </w:rPr>
        <w:t>Our Vision is: Safeguarding Victoria’s Future.</w:t>
      </w:r>
    </w:p>
    <w:p w14:paraId="723515CD" w14:textId="77777777" w:rsidR="00C96154" w:rsidRPr="00EB2BD8" w:rsidRDefault="00C96154" w:rsidP="00C96154">
      <w:pPr>
        <w:spacing w:line="40" w:lineRule="atLeast"/>
        <w:ind w:left="567"/>
        <w:rPr>
          <w:rFonts w:ascii="Arial" w:hAnsi="Arial" w:cs="Arial"/>
        </w:rPr>
      </w:pPr>
    </w:p>
    <w:p w14:paraId="79925CAB" w14:textId="77777777" w:rsidR="00C96154" w:rsidRPr="00EB2BD8" w:rsidRDefault="00C96154" w:rsidP="00C96154">
      <w:pPr>
        <w:pStyle w:val="Heading2"/>
        <w:spacing w:line="40" w:lineRule="atLeast"/>
        <w:ind w:left="567"/>
      </w:pPr>
      <w:bookmarkStart w:id="18" w:name="_Toc150762326"/>
      <w:r w:rsidRPr="00EB2BD8">
        <w:t>Outcomes</w:t>
      </w:r>
      <w:bookmarkEnd w:id="18"/>
      <w:r w:rsidRPr="00EB2BD8">
        <w:br/>
      </w:r>
    </w:p>
    <w:p w14:paraId="7EFA0E6B" w14:textId="77777777" w:rsidR="00C96154" w:rsidRPr="00EB2BD8" w:rsidRDefault="00C96154" w:rsidP="00C96154">
      <w:pPr>
        <w:spacing w:line="40" w:lineRule="atLeast"/>
        <w:ind w:left="567"/>
        <w:rPr>
          <w:rFonts w:ascii="Arial" w:hAnsi="Arial" w:cs="Arial"/>
        </w:rPr>
      </w:pPr>
      <w:r w:rsidRPr="00EB2BD8">
        <w:rPr>
          <w:rFonts w:ascii="Arial" w:hAnsi="Arial" w:cs="Arial"/>
        </w:rPr>
        <w:t>Our vision is supported by three public value outcomes, which describe the positive impact we are committed to deliver for Victoria and which underpin our strategic objectives and priorities over the next five years:</w:t>
      </w:r>
    </w:p>
    <w:p w14:paraId="5A081A47" w14:textId="77777777" w:rsidR="00C96154" w:rsidRPr="00EB2BD8" w:rsidRDefault="00C96154" w:rsidP="00C96154">
      <w:pPr>
        <w:spacing w:line="40" w:lineRule="atLeast"/>
        <w:ind w:left="567"/>
        <w:rPr>
          <w:rFonts w:ascii="Arial" w:hAnsi="Arial" w:cs="Arial"/>
        </w:rPr>
      </w:pPr>
    </w:p>
    <w:p w14:paraId="03E4F5EE" w14:textId="77777777" w:rsidR="00C96154" w:rsidRPr="00EB2BD8" w:rsidRDefault="00C96154">
      <w:pPr>
        <w:pStyle w:val="ListParagraph"/>
        <w:widowControl/>
        <w:numPr>
          <w:ilvl w:val="0"/>
          <w:numId w:val="75"/>
        </w:numPr>
        <w:spacing w:after="120" w:line="40" w:lineRule="atLeast"/>
        <w:ind w:left="993"/>
        <w:contextualSpacing/>
        <w:rPr>
          <w:rFonts w:ascii="Arial" w:hAnsi="Arial" w:cs="Arial"/>
        </w:rPr>
      </w:pPr>
      <w:r w:rsidRPr="00EB2BD8">
        <w:rPr>
          <w:rFonts w:ascii="Arial" w:hAnsi="Arial" w:cs="Arial"/>
        </w:rPr>
        <w:t>Safe and resilient buildings</w:t>
      </w:r>
    </w:p>
    <w:p w14:paraId="01BB60AA" w14:textId="77777777" w:rsidR="00C96154" w:rsidRPr="00EB2BD8" w:rsidRDefault="00C96154">
      <w:pPr>
        <w:pStyle w:val="ListParagraph"/>
        <w:widowControl/>
        <w:numPr>
          <w:ilvl w:val="0"/>
          <w:numId w:val="75"/>
        </w:numPr>
        <w:spacing w:after="120" w:line="40" w:lineRule="atLeast"/>
        <w:ind w:left="993"/>
        <w:contextualSpacing/>
        <w:rPr>
          <w:rFonts w:ascii="Arial" w:hAnsi="Arial" w:cs="Arial"/>
        </w:rPr>
      </w:pPr>
      <w:r w:rsidRPr="00EB2BD8">
        <w:rPr>
          <w:rFonts w:ascii="Arial" w:hAnsi="Arial" w:cs="Arial"/>
        </w:rPr>
        <w:t>Communities reach their potential</w:t>
      </w:r>
    </w:p>
    <w:p w14:paraId="0C780BE3" w14:textId="77777777" w:rsidR="00C96154" w:rsidRPr="00EB2BD8" w:rsidRDefault="00C96154">
      <w:pPr>
        <w:pStyle w:val="ListParagraph"/>
        <w:widowControl/>
        <w:numPr>
          <w:ilvl w:val="0"/>
          <w:numId w:val="75"/>
        </w:numPr>
        <w:spacing w:after="120" w:line="40" w:lineRule="atLeast"/>
        <w:ind w:left="993"/>
        <w:contextualSpacing/>
        <w:rPr>
          <w:rFonts w:ascii="Arial" w:hAnsi="Arial" w:cs="Arial"/>
        </w:rPr>
      </w:pPr>
      <w:r w:rsidRPr="00EB2BD8">
        <w:rPr>
          <w:rFonts w:ascii="Arial" w:hAnsi="Arial" w:cs="Arial"/>
        </w:rPr>
        <w:t>Confident and thriving industry.</w:t>
      </w:r>
    </w:p>
    <w:p w14:paraId="746CCACC" w14:textId="77777777" w:rsidR="00C96154" w:rsidRPr="00EB2BD8" w:rsidRDefault="00C96154" w:rsidP="00C96154">
      <w:pPr>
        <w:spacing w:line="40" w:lineRule="atLeast"/>
        <w:ind w:left="567"/>
        <w:rPr>
          <w:rFonts w:ascii="Arial" w:hAnsi="Arial" w:cs="Arial"/>
        </w:rPr>
      </w:pPr>
    </w:p>
    <w:p w14:paraId="0CACE1F3" w14:textId="77777777" w:rsidR="00C96154" w:rsidRPr="00EB2BD8" w:rsidRDefault="00C96154" w:rsidP="00C96154">
      <w:pPr>
        <w:pStyle w:val="Heading2"/>
        <w:spacing w:line="40" w:lineRule="atLeast"/>
        <w:ind w:left="567"/>
      </w:pPr>
      <w:bookmarkStart w:id="19" w:name="_Toc150762327"/>
      <w:r w:rsidRPr="00EB2BD8">
        <w:t>Values</w:t>
      </w:r>
      <w:bookmarkEnd w:id="19"/>
      <w:r w:rsidRPr="00EB2BD8">
        <w:br/>
      </w:r>
    </w:p>
    <w:p w14:paraId="5F64D68E" w14:textId="77777777" w:rsidR="00C96154" w:rsidRPr="00EB2BD8" w:rsidRDefault="00C96154" w:rsidP="00C96154">
      <w:pPr>
        <w:spacing w:line="40" w:lineRule="atLeast"/>
        <w:ind w:left="567"/>
        <w:rPr>
          <w:rFonts w:ascii="Arial" w:hAnsi="Arial" w:cs="Arial"/>
        </w:rPr>
      </w:pPr>
      <w:r w:rsidRPr="00EB2BD8">
        <w:rPr>
          <w:rFonts w:ascii="Arial" w:hAnsi="Arial" w:cs="Arial"/>
        </w:rPr>
        <w:t>The</w:t>
      </w:r>
      <w:r w:rsidRPr="00EB2BD8">
        <w:rPr>
          <w:rFonts w:ascii="Arial" w:hAnsi="Arial" w:cs="Arial"/>
          <w:spacing w:val="-7"/>
        </w:rPr>
        <w:t xml:space="preserve"> </w:t>
      </w:r>
      <w:r w:rsidRPr="00EB2BD8">
        <w:rPr>
          <w:rFonts w:ascii="Arial" w:hAnsi="Arial" w:cs="Arial"/>
        </w:rPr>
        <w:t>VBA’s</w:t>
      </w:r>
      <w:r w:rsidRPr="00EB2BD8">
        <w:rPr>
          <w:rFonts w:ascii="Arial" w:hAnsi="Arial" w:cs="Arial"/>
          <w:spacing w:val="-7"/>
        </w:rPr>
        <w:t xml:space="preserve"> </w:t>
      </w:r>
      <w:r w:rsidRPr="00EB2BD8">
        <w:rPr>
          <w:rFonts w:ascii="Arial" w:hAnsi="Arial" w:cs="Arial"/>
        </w:rPr>
        <w:t>values</w:t>
      </w:r>
      <w:r w:rsidRPr="00EB2BD8">
        <w:rPr>
          <w:rFonts w:ascii="Arial" w:hAnsi="Arial" w:cs="Arial"/>
          <w:spacing w:val="-7"/>
        </w:rPr>
        <w:t xml:space="preserve"> </w:t>
      </w:r>
      <w:r w:rsidRPr="00EB2BD8">
        <w:rPr>
          <w:rFonts w:ascii="Arial" w:hAnsi="Arial" w:cs="Arial"/>
        </w:rPr>
        <w:t>encompass</w:t>
      </w:r>
      <w:r w:rsidRPr="00EB2BD8">
        <w:rPr>
          <w:rFonts w:ascii="Arial" w:hAnsi="Arial" w:cs="Arial"/>
          <w:spacing w:val="-7"/>
        </w:rPr>
        <w:t xml:space="preserve"> </w:t>
      </w:r>
      <w:r w:rsidRPr="00EB2BD8">
        <w:rPr>
          <w:rFonts w:ascii="Arial" w:hAnsi="Arial" w:cs="Arial"/>
        </w:rPr>
        <w:t>and</w:t>
      </w:r>
      <w:r w:rsidRPr="00EB2BD8">
        <w:rPr>
          <w:rFonts w:ascii="Arial" w:hAnsi="Arial" w:cs="Arial"/>
          <w:spacing w:val="-7"/>
        </w:rPr>
        <w:t xml:space="preserve"> </w:t>
      </w:r>
      <w:r w:rsidRPr="00EB2BD8">
        <w:rPr>
          <w:rFonts w:ascii="Arial" w:hAnsi="Arial" w:cs="Arial"/>
        </w:rPr>
        <w:t>reflect</w:t>
      </w:r>
      <w:r w:rsidRPr="00EB2BD8">
        <w:rPr>
          <w:rFonts w:ascii="Arial" w:hAnsi="Arial" w:cs="Arial"/>
          <w:spacing w:val="-7"/>
        </w:rPr>
        <w:t xml:space="preserve"> </w:t>
      </w:r>
      <w:r w:rsidRPr="00EB2BD8">
        <w:rPr>
          <w:rFonts w:ascii="Arial" w:hAnsi="Arial" w:cs="Arial"/>
        </w:rPr>
        <w:t>the</w:t>
      </w:r>
      <w:r w:rsidRPr="00EB2BD8">
        <w:rPr>
          <w:rFonts w:ascii="Arial" w:hAnsi="Arial" w:cs="Arial"/>
          <w:spacing w:val="-7"/>
        </w:rPr>
        <w:t xml:space="preserve"> </w:t>
      </w:r>
      <w:r w:rsidRPr="00EB2BD8">
        <w:rPr>
          <w:rFonts w:ascii="Arial" w:hAnsi="Arial" w:cs="Arial"/>
        </w:rPr>
        <w:t>values</w:t>
      </w:r>
      <w:r w:rsidRPr="00EB2BD8">
        <w:rPr>
          <w:rFonts w:ascii="Arial" w:hAnsi="Arial" w:cs="Arial"/>
          <w:spacing w:val="-7"/>
        </w:rPr>
        <w:t xml:space="preserve"> </w:t>
      </w:r>
      <w:r w:rsidRPr="00EB2BD8">
        <w:rPr>
          <w:rFonts w:ascii="Arial" w:hAnsi="Arial" w:cs="Arial"/>
        </w:rPr>
        <w:t>of</w:t>
      </w:r>
      <w:r w:rsidRPr="00EB2BD8">
        <w:rPr>
          <w:rFonts w:ascii="Arial" w:hAnsi="Arial" w:cs="Arial"/>
          <w:spacing w:val="-7"/>
        </w:rPr>
        <w:t xml:space="preserve"> </w:t>
      </w:r>
      <w:r w:rsidRPr="00EB2BD8">
        <w:rPr>
          <w:rFonts w:ascii="Arial" w:hAnsi="Arial" w:cs="Arial"/>
        </w:rPr>
        <w:t>the</w:t>
      </w:r>
      <w:r w:rsidRPr="00EB2BD8">
        <w:rPr>
          <w:rFonts w:ascii="Arial" w:hAnsi="Arial" w:cs="Arial"/>
          <w:spacing w:val="-7"/>
        </w:rPr>
        <w:t xml:space="preserve"> </w:t>
      </w:r>
      <w:r w:rsidRPr="00EB2BD8">
        <w:rPr>
          <w:rFonts w:ascii="Arial" w:hAnsi="Arial" w:cs="Arial"/>
        </w:rPr>
        <w:t>Victorian</w:t>
      </w:r>
      <w:r w:rsidRPr="00EB2BD8">
        <w:rPr>
          <w:rFonts w:ascii="Arial" w:hAnsi="Arial" w:cs="Arial"/>
          <w:spacing w:val="-7"/>
        </w:rPr>
        <w:t xml:space="preserve"> </w:t>
      </w:r>
      <w:r w:rsidRPr="00EB2BD8">
        <w:rPr>
          <w:rFonts w:ascii="Arial" w:hAnsi="Arial" w:cs="Arial"/>
        </w:rPr>
        <w:t>Public</w:t>
      </w:r>
      <w:r w:rsidRPr="00EB2BD8">
        <w:rPr>
          <w:rFonts w:ascii="Arial" w:hAnsi="Arial" w:cs="Arial"/>
          <w:spacing w:val="-7"/>
        </w:rPr>
        <w:t xml:space="preserve"> </w:t>
      </w:r>
      <w:r w:rsidRPr="00EB2BD8">
        <w:rPr>
          <w:rFonts w:ascii="Arial" w:hAnsi="Arial" w:cs="Arial"/>
        </w:rPr>
        <w:t>Sector: Responsiveness, Integrity, Impartiality, Accountability, Respect, Leadership and Human Rights.</w:t>
      </w:r>
    </w:p>
    <w:p w14:paraId="3A87F707" w14:textId="77777777" w:rsidR="00C96154" w:rsidRPr="00EB2BD8" w:rsidRDefault="00C96154" w:rsidP="00C96154">
      <w:pPr>
        <w:spacing w:line="40" w:lineRule="atLeast"/>
        <w:ind w:left="567"/>
        <w:rPr>
          <w:rFonts w:ascii="Arial" w:hAnsi="Arial" w:cs="Arial"/>
        </w:rPr>
      </w:pPr>
    </w:p>
    <w:p w14:paraId="0D1CA189" w14:textId="77777777" w:rsidR="00C96154" w:rsidRPr="00EB2BD8" w:rsidRDefault="00C96154" w:rsidP="00C96154">
      <w:pPr>
        <w:spacing w:line="40" w:lineRule="atLeast"/>
        <w:ind w:left="567"/>
        <w:rPr>
          <w:rFonts w:ascii="Arial" w:hAnsi="Arial" w:cs="Arial"/>
        </w:rPr>
      </w:pPr>
      <w:r w:rsidRPr="00EB2BD8">
        <w:rPr>
          <w:rFonts w:ascii="Arial" w:hAnsi="Arial" w:cs="Arial"/>
        </w:rPr>
        <w:t>The</w:t>
      </w:r>
      <w:r w:rsidRPr="00EB2BD8">
        <w:rPr>
          <w:rFonts w:ascii="Arial" w:hAnsi="Arial" w:cs="Arial"/>
          <w:spacing w:val="-4"/>
        </w:rPr>
        <w:t xml:space="preserve"> </w:t>
      </w:r>
      <w:r w:rsidRPr="00EB2BD8">
        <w:rPr>
          <w:rFonts w:ascii="Arial" w:hAnsi="Arial" w:cs="Arial"/>
        </w:rPr>
        <w:t>VBA</w:t>
      </w:r>
      <w:r w:rsidRPr="00EB2BD8">
        <w:rPr>
          <w:rFonts w:ascii="Arial" w:hAnsi="Arial" w:cs="Arial"/>
          <w:spacing w:val="-4"/>
        </w:rPr>
        <w:t xml:space="preserve"> </w:t>
      </w:r>
      <w:r w:rsidRPr="00EB2BD8">
        <w:rPr>
          <w:rFonts w:ascii="Arial" w:hAnsi="Arial" w:cs="Arial"/>
        </w:rPr>
        <w:t>expresses</w:t>
      </w:r>
      <w:r w:rsidRPr="00EB2BD8">
        <w:rPr>
          <w:rFonts w:ascii="Arial" w:hAnsi="Arial" w:cs="Arial"/>
          <w:spacing w:val="-4"/>
        </w:rPr>
        <w:t xml:space="preserve"> </w:t>
      </w:r>
      <w:r w:rsidRPr="00EB2BD8">
        <w:rPr>
          <w:rFonts w:ascii="Arial" w:hAnsi="Arial" w:cs="Arial"/>
        </w:rPr>
        <w:t>these</w:t>
      </w:r>
      <w:r w:rsidRPr="00EB2BD8">
        <w:rPr>
          <w:rFonts w:ascii="Arial" w:hAnsi="Arial" w:cs="Arial"/>
          <w:spacing w:val="-4"/>
        </w:rPr>
        <w:t xml:space="preserve"> </w:t>
      </w:r>
      <w:r w:rsidRPr="00EB2BD8">
        <w:rPr>
          <w:rFonts w:ascii="Arial" w:hAnsi="Arial" w:cs="Arial"/>
        </w:rPr>
        <w:t>values</w:t>
      </w:r>
      <w:r w:rsidRPr="00EB2BD8">
        <w:rPr>
          <w:rFonts w:ascii="Arial" w:hAnsi="Arial" w:cs="Arial"/>
          <w:spacing w:val="-4"/>
        </w:rPr>
        <w:t xml:space="preserve"> </w:t>
      </w:r>
      <w:r w:rsidRPr="00EB2BD8">
        <w:rPr>
          <w:rFonts w:ascii="Arial" w:hAnsi="Arial" w:cs="Arial"/>
        </w:rPr>
        <w:t>through</w:t>
      </w:r>
      <w:r w:rsidRPr="00EB2BD8">
        <w:rPr>
          <w:rFonts w:ascii="Arial" w:hAnsi="Arial" w:cs="Arial"/>
          <w:spacing w:val="-4"/>
        </w:rPr>
        <w:t xml:space="preserve"> </w:t>
      </w:r>
      <w:r w:rsidRPr="00EB2BD8">
        <w:rPr>
          <w:rFonts w:ascii="Arial" w:hAnsi="Arial" w:cs="Arial"/>
        </w:rPr>
        <w:t>the</w:t>
      </w:r>
      <w:r w:rsidRPr="00EB2BD8">
        <w:rPr>
          <w:rFonts w:ascii="Arial" w:hAnsi="Arial" w:cs="Arial"/>
          <w:spacing w:val="-4"/>
        </w:rPr>
        <w:t xml:space="preserve"> </w:t>
      </w:r>
      <w:r w:rsidRPr="00EB2BD8">
        <w:rPr>
          <w:rFonts w:ascii="Arial" w:hAnsi="Arial" w:cs="Arial"/>
        </w:rPr>
        <w:t>way</w:t>
      </w:r>
      <w:r w:rsidRPr="00EB2BD8">
        <w:rPr>
          <w:rFonts w:ascii="Arial" w:hAnsi="Arial" w:cs="Arial"/>
          <w:spacing w:val="-4"/>
        </w:rPr>
        <w:t xml:space="preserve"> </w:t>
      </w:r>
      <w:r w:rsidRPr="00EB2BD8">
        <w:rPr>
          <w:rFonts w:ascii="Arial" w:hAnsi="Arial" w:cs="Arial"/>
        </w:rPr>
        <w:t>in</w:t>
      </w:r>
      <w:r w:rsidRPr="00EB2BD8">
        <w:rPr>
          <w:rFonts w:ascii="Arial" w:hAnsi="Arial" w:cs="Arial"/>
          <w:spacing w:val="-4"/>
        </w:rPr>
        <w:t xml:space="preserve"> </w:t>
      </w:r>
      <w:r w:rsidRPr="00EB2BD8">
        <w:rPr>
          <w:rFonts w:ascii="Arial" w:hAnsi="Arial" w:cs="Arial"/>
        </w:rPr>
        <w:t>which</w:t>
      </w:r>
      <w:r w:rsidRPr="00EB2BD8">
        <w:rPr>
          <w:rFonts w:ascii="Arial" w:hAnsi="Arial" w:cs="Arial"/>
          <w:spacing w:val="-4"/>
        </w:rPr>
        <w:t xml:space="preserve"> </w:t>
      </w:r>
      <w:r w:rsidRPr="00EB2BD8">
        <w:rPr>
          <w:rFonts w:ascii="Arial" w:hAnsi="Arial" w:cs="Arial"/>
        </w:rPr>
        <w:t>we</w:t>
      </w:r>
      <w:r w:rsidRPr="00EB2BD8">
        <w:rPr>
          <w:rFonts w:ascii="Arial" w:hAnsi="Arial" w:cs="Arial"/>
          <w:spacing w:val="-4"/>
        </w:rPr>
        <w:t xml:space="preserve"> </w:t>
      </w:r>
      <w:r w:rsidRPr="00EB2BD8">
        <w:rPr>
          <w:rFonts w:ascii="Arial" w:hAnsi="Arial" w:cs="Arial"/>
        </w:rPr>
        <w:t>work</w:t>
      </w:r>
      <w:r w:rsidRPr="00EB2BD8">
        <w:rPr>
          <w:rFonts w:ascii="Arial" w:hAnsi="Arial" w:cs="Arial"/>
          <w:spacing w:val="-4"/>
        </w:rPr>
        <w:t xml:space="preserve"> </w:t>
      </w:r>
      <w:r w:rsidRPr="00EB2BD8">
        <w:rPr>
          <w:rFonts w:ascii="Arial" w:hAnsi="Arial" w:cs="Arial"/>
        </w:rPr>
        <w:t>with</w:t>
      </w:r>
      <w:r w:rsidRPr="00EB2BD8">
        <w:rPr>
          <w:rFonts w:ascii="Arial" w:hAnsi="Arial" w:cs="Arial"/>
          <w:spacing w:val="-4"/>
        </w:rPr>
        <w:t xml:space="preserve"> </w:t>
      </w:r>
      <w:r w:rsidRPr="00EB2BD8">
        <w:rPr>
          <w:rFonts w:ascii="Arial" w:hAnsi="Arial" w:cs="Arial"/>
        </w:rPr>
        <w:t>all Victorians. We call this the VBA Values in Action.</w:t>
      </w:r>
    </w:p>
    <w:p w14:paraId="3CB6A1EC" w14:textId="77777777" w:rsidR="00C96154" w:rsidRPr="00EB2BD8" w:rsidRDefault="00C96154" w:rsidP="00C96154">
      <w:pPr>
        <w:spacing w:line="40" w:lineRule="atLeast"/>
        <w:ind w:left="567"/>
        <w:rPr>
          <w:rFonts w:ascii="Arial" w:hAnsi="Arial" w:cs="Arial"/>
        </w:rPr>
      </w:pPr>
    </w:p>
    <w:p w14:paraId="1E6DBE04" w14:textId="77777777" w:rsidR="00C96154" w:rsidRPr="00EB2BD8" w:rsidRDefault="00C96154">
      <w:pPr>
        <w:pStyle w:val="ListParagraph"/>
        <w:widowControl/>
        <w:numPr>
          <w:ilvl w:val="0"/>
          <w:numId w:val="74"/>
        </w:numPr>
        <w:spacing w:after="120" w:line="40" w:lineRule="atLeast"/>
        <w:ind w:left="1134"/>
        <w:contextualSpacing/>
        <w:rPr>
          <w:rFonts w:ascii="Arial" w:hAnsi="Arial" w:cs="Arial"/>
        </w:rPr>
      </w:pPr>
      <w:r w:rsidRPr="00EB2BD8">
        <w:rPr>
          <w:rFonts w:ascii="Arial" w:hAnsi="Arial" w:cs="Arial"/>
        </w:rPr>
        <w:t>We</w:t>
      </w:r>
      <w:r w:rsidRPr="00EB2BD8">
        <w:rPr>
          <w:rFonts w:ascii="Arial" w:hAnsi="Arial" w:cs="Arial"/>
          <w:spacing w:val="-6"/>
        </w:rPr>
        <w:t xml:space="preserve"> </w:t>
      </w:r>
      <w:r w:rsidRPr="00EB2BD8">
        <w:rPr>
          <w:rFonts w:ascii="Arial" w:hAnsi="Arial" w:cs="Arial"/>
        </w:rPr>
        <w:t>problem</w:t>
      </w:r>
      <w:r w:rsidRPr="00EB2BD8">
        <w:rPr>
          <w:rFonts w:ascii="Arial" w:hAnsi="Arial" w:cs="Arial"/>
          <w:spacing w:val="-6"/>
        </w:rPr>
        <w:t xml:space="preserve"> </w:t>
      </w:r>
      <w:r w:rsidRPr="00EB2BD8">
        <w:rPr>
          <w:rFonts w:ascii="Arial" w:hAnsi="Arial" w:cs="Arial"/>
          <w:spacing w:val="-4"/>
        </w:rPr>
        <w:t>solve</w:t>
      </w:r>
    </w:p>
    <w:p w14:paraId="731F7099" w14:textId="77777777" w:rsidR="00C96154" w:rsidRPr="00EB2BD8" w:rsidRDefault="00C96154">
      <w:pPr>
        <w:pStyle w:val="ListParagraph"/>
        <w:widowControl/>
        <w:numPr>
          <w:ilvl w:val="0"/>
          <w:numId w:val="74"/>
        </w:numPr>
        <w:spacing w:after="120" w:line="40" w:lineRule="atLeast"/>
        <w:ind w:left="1134"/>
        <w:contextualSpacing/>
        <w:rPr>
          <w:rFonts w:ascii="Arial" w:hAnsi="Arial" w:cs="Arial"/>
        </w:rPr>
      </w:pPr>
      <w:r w:rsidRPr="00EB2BD8">
        <w:rPr>
          <w:rFonts w:ascii="Arial" w:hAnsi="Arial" w:cs="Arial"/>
        </w:rPr>
        <w:t>We</w:t>
      </w:r>
      <w:r w:rsidRPr="00EB2BD8">
        <w:rPr>
          <w:rFonts w:ascii="Arial" w:hAnsi="Arial" w:cs="Arial"/>
          <w:spacing w:val="-5"/>
        </w:rPr>
        <w:t xml:space="preserve"> </w:t>
      </w:r>
      <w:r w:rsidRPr="00EB2BD8">
        <w:rPr>
          <w:rFonts w:ascii="Arial" w:hAnsi="Arial" w:cs="Arial"/>
        </w:rPr>
        <w:t>work</w:t>
      </w:r>
      <w:r w:rsidRPr="00EB2BD8">
        <w:rPr>
          <w:rFonts w:ascii="Arial" w:hAnsi="Arial" w:cs="Arial"/>
          <w:spacing w:val="-3"/>
        </w:rPr>
        <w:t xml:space="preserve"> </w:t>
      </w:r>
      <w:r w:rsidRPr="00EB2BD8">
        <w:rPr>
          <w:rFonts w:ascii="Arial" w:hAnsi="Arial" w:cs="Arial"/>
        </w:rPr>
        <w:t>as</w:t>
      </w:r>
      <w:r w:rsidRPr="00EB2BD8">
        <w:rPr>
          <w:rFonts w:ascii="Arial" w:hAnsi="Arial" w:cs="Arial"/>
          <w:spacing w:val="-3"/>
        </w:rPr>
        <w:t xml:space="preserve"> </w:t>
      </w:r>
      <w:r w:rsidRPr="00EB2BD8">
        <w:rPr>
          <w:rFonts w:ascii="Arial" w:hAnsi="Arial" w:cs="Arial"/>
          <w:spacing w:val="-5"/>
        </w:rPr>
        <w:t>one</w:t>
      </w:r>
    </w:p>
    <w:p w14:paraId="182F92EC" w14:textId="77777777" w:rsidR="00C96154" w:rsidRPr="00EB2BD8" w:rsidRDefault="00C96154">
      <w:pPr>
        <w:pStyle w:val="ListParagraph"/>
        <w:widowControl/>
        <w:numPr>
          <w:ilvl w:val="0"/>
          <w:numId w:val="74"/>
        </w:numPr>
        <w:spacing w:after="120" w:line="40" w:lineRule="atLeast"/>
        <w:ind w:left="1134"/>
        <w:contextualSpacing/>
        <w:rPr>
          <w:rFonts w:ascii="Arial" w:hAnsi="Arial" w:cs="Arial"/>
        </w:rPr>
      </w:pPr>
      <w:r w:rsidRPr="00EB2BD8">
        <w:rPr>
          <w:rFonts w:ascii="Arial" w:hAnsi="Arial" w:cs="Arial"/>
        </w:rPr>
        <w:t>We</w:t>
      </w:r>
      <w:r w:rsidRPr="00EB2BD8">
        <w:rPr>
          <w:rFonts w:ascii="Arial" w:hAnsi="Arial" w:cs="Arial"/>
          <w:spacing w:val="-10"/>
        </w:rPr>
        <w:t xml:space="preserve"> </w:t>
      </w:r>
      <w:r w:rsidRPr="00EB2BD8">
        <w:rPr>
          <w:rFonts w:ascii="Arial" w:hAnsi="Arial" w:cs="Arial"/>
        </w:rPr>
        <w:t>deliver</w:t>
      </w:r>
    </w:p>
    <w:p w14:paraId="74242C97" w14:textId="77777777" w:rsidR="00C96154" w:rsidRPr="00EB2BD8" w:rsidRDefault="00C96154" w:rsidP="00C96154">
      <w:pPr>
        <w:pStyle w:val="ListParagraph"/>
        <w:spacing w:line="40" w:lineRule="atLeast"/>
        <w:ind w:left="567"/>
        <w:rPr>
          <w:rStyle w:val="Emphasis"/>
          <w:i w:val="0"/>
          <w:iCs w:val="0"/>
        </w:rPr>
      </w:pPr>
    </w:p>
    <w:p w14:paraId="2ACF9A49" w14:textId="77777777" w:rsidR="00C96154" w:rsidRPr="00EB2BD8" w:rsidRDefault="00C96154" w:rsidP="00C96154">
      <w:pPr>
        <w:pStyle w:val="ListParagraph"/>
        <w:spacing w:line="40" w:lineRule="atLeast"/>
        <w:rPr>
          <w:rStyle w:val="Emphasis"/>
          <w:i w:val="0"/>
          <w:iCs w:val="0"/>
        </w:rPr>
      </w:pPr>
    </w:p>
    <w:p w14:paraId="795EBF0E" w14:textId="77777777" w:rsidR="00C96154" w:rsidRPr="00EB2BD8" w:rsidRDefault="00C96154" w:rsidP="00C96154">
      <w:pPr>
        <w:pStyle w:val="ListParagraph"/>
        <w:spacing w:line="40" w:lineRule="atLeast"/>
        <w:rPr>
          <w:rStyle w:val="Emphasis"/>
          <w:i w:val="0"/>
          <w:iCs w:val="0"/>
        </w:rPr>
      </w:pPr>
    </w:p>
    <w:p w14:paraId="42D46270" w14:textId="77777777" w:rsidR="00C96154" w:rsidRPr="00EB2BD8" w:rsidRDefault="00C96154" w:rsidP="00C96154">
      <w:pPr>
        <w:pStyle w:val="ListParagraph"/>
        <w:spacing w:line="40" w:lineRule="atLeast"/>
        <w:rPr>
          <w:rStyle w:val="Emphasis"/>
          <w:i w:val="0"/>
          <w:iCs w:val="0"/>
        </w:rPr>
      </w:pPr>
    </w:p>
    <w:p w14:paraId="3B6D3864" w14:textId="77777777" w:rsidR="00C96154" w:rsidRPr="00EB2BD8" w:rsidRDefault="00C96154" w:rsidP="00EB2BD8">
      <w:pPr>
        <w:pStyle w:val="Heading1"/>
      </w:pPr>
    </w:p>
    <w:p w14:paraId="7A4D8216" w14:textId="5902DF31" w:rsidR="00084F36" w:rsidRDefault="00084F36">
      <w:pPr>
        <w:pStyle w:val="BodyText"/>
        <w:rPr>
          <w:rFonts w:ascii="Tahoma"/>
          <w:b/>
          <w:sz w:val="20"/>
        </w:rPr>
      </w:pPr>
    </w:p>
    <w:p w14:paraId="5E393370" w14:textId="53774B51" w:rsidR="00F52505" w:rsidRDefault="00F52505">
      <w:pPr>
        <w:pStyle w:val="BodyText"/>
        <w:rPr>
          <w:rFonts w:ascii="Tahoma"/>
          <w:b/>
          <w:sz w:val="20"/>
        </w:rPr>
      </w:pPr>
    </w:p>
    <w:p w14:paraId="22915764" w14:textId="3CD25F8F" w:rsidR="00F52505" w:rsidRDefault="00F52505">
      <w:pPr>
        <w:pStyle w:val="BodyText"/>
        <w:rPr>
          <w:rFonts w:ascii="Tahoma"/>
          <w:b/>
          <w:sz w:val="20"/>
        </w:rPr>
      </w:pPr>
    </w:p>
    <w:p w14:paraId="6DA8CEAF" w14:textId="000DF255" w:rsidR="00F52505" w:rsidRDefault="00F52505">
      <w:pPr>
        <w:pStyle w:val="BodyText"/>
        <w:rPr>
          <w:rFonts w:ascii="Tahoma"/>
          <w:b/>
          <w:sz w:val="20"/>
        </w:rPr>
      </w:pPr>
    </w:p>
    <w:p w14:paraId="321669F1" w14:textId="20EB0BD6" w:rsidR="00F52505" w:rsidRDefault="00F52505">
      <w:pPr>
        <w:pStyle w:val="BodyText"/>
        <w:rPr>
          <w:rFonts w:ascii="Tahoma"/>
          <w:b/>
          <w:sz w:val="20"/>
        </w:rPr>
      </w:pPr>
    </w:p>
    <w:p w14:paraId="7431C437" w14:textId="34416A04" w:rsidR="00F52505" w:rsidRDefault="00F52505">
      <w:pPr>
        <w:pStyle w:val="BodyText"/>
        <w:rPr>
          <w:rFonts w:ascii="Tahoma"/>
          <w:b/>
          <w:sz w:val="20"/>
        </w:rPr>
      </w:pPr>
    </w:p>
    <w:p w14:paraId="4C8CF4FE" w14:textId="569F906F" w:rsidR="00F52505" w:rsidRDefault="00F52505">
      <w:pPr>
        <w:pStyle w:val="BodyText"/>
        <w:rPr>
          <w:rFonts w:ascii="Tahoma"/>
          <w:b/>
          <w:sz w:val="20"/>
        </w:rPr>
      </w:pPr>
    </w:p>
    <w:p w14:paraId="4274DC33" w14:textId="18305D42" w:rsidR="00F52505" w:rsidRDefault="00F52505">
      <w:pPr>
        <w:pStyle w:val="BodyText"/>
        <w:rPr>
          <w:rFonts w:ascii="Tahoma"/>
          <w:b/>
          <w:sz w:val="20"/>
        </w:rPr>
      </w:pPr>
    </w:p>
    <w:p w14:paraId="12766075" w14:textId="625F13D0" w:rsidR="00F52505" w:rsidRDefault="00F52505">
      <w:pPr>
        <w:pStyle w:val="BodyText"/>
        <w:rPr>
          <w:rFonts w:ascii="Tahoma"/>
          <w:b/>
          <w:sz w:val="20"/>
        </w:rPr>
      </w:pPr>
    </w:p>
    <w:p w14:paraId="7487EBF3" w14:textId="1D73BDDE" w:rsidR="00F52505" w:rsidRDefault="00F52505">
      <w:pPr>
        <w:pStyle w:val="BodyText"/>
        <w:rPr>
          <w:rFonts w:ascii="Tahoma"/>
          <w:b/>
          <w:sz w:val="20"/>
        </w:rPr>
      </w:pPr>
    </w:p>
    <w:p w14:paraId="7C47B966" w14:textId="66A07065" w:rsidR="00F52505" w:rsidRDefault="00F52505">
      <w:pPr>
        <w:pStyle w:val="BodyText"/>
        <w:rPr>
          <w:rFonts w:ascii="Tahoma"/>
          <w:b/>
          <w:sz w:val="20"/>
        </w:rPr>
      </w:pPr>
    </w:p>
    <w:p w14:paraId="3404B3B9" w14:textId="77777777" w:rsidR="00F52505" w:rsidRPr="00EB2BD8" w:rsidRDefault="00F52505">
      <w:pPr>
        <w:pStyle w:val="BodyText"/>
        <w:rPr>
          <w:rFonts w:ascii="Tahoma"/>
          <w:b/>
          <w:sz w:val="20"/>
        </w:rPr>
      </w:pPr>
    </w:p>
    <w:p w14:paraId="0A848C7E" w14:textId="77777777" w:rsidR="00084F36" w:rsidRPr="00EB2BD8" w:rsidRDefault="00084F36">
      <w:pPr>
        <w:pStyle w:val="BodyText"/>
        <w:rPr>
          <w:rFonts w:ascii="Tahoma"/>
          <w:b/>
          <w:sz w:val="20"/>
        </w:rPr>
      </w:pPr>
    </w:p>
    <w:p w14:paraId="1A0E730D" w14:textId="77777777" w:rsidR="00084F36" w:rsidRPr="00EB2BD8" w:rsidRDefault="00084F36">
      <w:pPr>
        <w:pStyle w:val="BodyText"/>
        <w:rPr>
          <w:rFonts w:ascii="Tahoma"/>
          <w:b/>
          <w:sz w:val="20"/>
        </w:rPr>
      </w:pPr>
    </w:p>
    <w:p w14:paraId="376072D2" w14:textId="77C35551" w:rsidR="00084F36" w:rsidRPr="00EB2BD8" w:rsidRDefault="00084F36">
      <w:pPr>
        <w:pStyle w:val="BodyText"/>
        <w:spacing w:before="9"/>
        <w:rPr>
          <w:rFonts w:ascii="Tahoma"/>
          <w:b/>
        </w:rPr>
      </w:pPr>
    </w:p>
    <w:p w14:paraId="0A21A581" w14:textId="77777777" w:rsidR="00084F36" w:rsidRPr="00EB2BD8" w:rsidRDefault="00084F36">
      <w:pPr>
        <w:rPr>
          <w:rFonts w:ascii="Tahoma"/>
        </w:rPr>
        <w:sectPr w:rsidR="00084F36" w:rsidRPr="00EB2BD8" w:rsidSect="006D75B2">
          <w:footerReference w:type="default" r:id="rId18"/>
          <w:pgSz w:w="11910" w:h="16840"/>
          <w:pgMar w:top="1080" w:right="995" w:bottom="720" w:left="426" w:header="0" w:footer="528" w:gutter="0"/>
          <w:cols w:space="720"/>
        </w:sectPr>
      </w:pPr>
    </w:p>
    <w:p w14:paraId="47D6F6B7" w14:textId="77777777" w:rsidR="00084F36" w:rsidRPr="00EB2BD8" w:rsidRDefault="00084F36">
      <w:pPr>
        <w:pStyle w:val="BodyText"/>
        <w:rPr>
          <w:rFonts w:ascii="Tahoma"/>
          <w:b/>
          <w:sz w:val="20"/>
        </w:rPr>
      </w:pPr>
    </w:p>
    <w:p w14:paraId="5B8A6DCF" w14:textId="3457337F" w:rsidR="00084F36" w:rsidRPr="00EB2BD8" w:rsidRDefault="00ED1F92" w:rsidP="00DB0F6B">
      <w:pPr>
        <w:pStyle w:val="Heading1"/>
        <w:ind w:left="0" w:firstLine="284"/>
      </w:pPr>
      <w:bookmarkStart w:id="20" w:name="_TOC_250005"/>
      <w:bookmarkStart w:id="21" w:name="_Toc150762328"/>
      <w:r w:rsidRPr="00EB2BD8">
        <w:t>St</w:t>
      </w:r>
      <w:r w:rsidR="00EB2BD8" w:rsidRPr="00EB2BD8">
        <w:t>rategic</w:t>
      </w:r>
      <w:r w:rsidR="00EB2BD8" w:rsidRPr="00EB2BD8">
        <w:rPr>
          <w:spacing w:val="1"/>
        </w:rPr>
        <w:t xml:space="preserve"> </w:t>
      </w:r>
      <w:bookmarkEnd w:id="20"/>
      <w:r w:rsidR="00EB2BD8" w:rsidRPr="00EB2BD8">
        <w:t>direction</w:t>
      </w:r>
      <w:bookmarkEnd w:id="21"/>
    </w:p>
    <w:p w14:paraId="740989BE" w14:textId="77777777" w:rsidR="001975DF" w:rsidRPr="00F52505" w:rsidRDefault="001975DF" w:rsidP="00F52505">
      <w:pPr>
        <w:spacing w:line="40" w:lineRule="atLeast"/>
        <w:ind w:left="284"/>
        <w:rPr>
          <w:rStyle w:val="Emphasis"/>
          <w:rFonts w:ascii="Arial" w:hAnsi="Arial" w:cs="Arial"/>
          <w:i w:val="0"/>
          <w:iCs w:val="0"/>
        </w:rPr>
      </w:pPr>
      <w:r w:rsidRPr="00F52505">
        <w:rPr>
          <w:rStyle w:val="Emphasis"/>
          <w:rFonts w:ascii="Arial" w:hAnsi="Arial" w:cs="Arial"/>
          <w:i w:val="0"/>
          <w:iCs w:val="0"/>
        </w:rPr>
        <w:t>Our strategic direction is made up of five pillars that flow from our vision, outcomes and values to guide our strategic focus for the next five years. In a dynamic sector, the pillars provide a steady compass for us to navigate complexity and move forward with positive impact for the Victorian community.</w:t>
      </w:r>
    </w:p>
    <w:p w14:paraId="2CF6383C" w14:textId="77777777" w:rsidR="001975DF" w:rsidRPr="00EB2BD8" w:rsidRDefault="001975DF" w:rsidP="001975DF">
      <w:pPr>
        <w:pStyle w:val="ListParagraph"/>
        <w:spacing w:line="40" w:lineRule="atLeast"/>
        <w:rPr>
          <w:rStyle w:val="Emphasis"/>
          <w:rFonts w:ascii="Arial" w:hAnsi="Arial" w:cs="Arial"/>
          <w:i w:val="0"/>
          <w:iCs w:val="0"/>
        </w:rPr>
      </w:pPr>
    </w:p>
    <w:p w14:paraId="7CD81329" w14:textId="1D5BC6C0" w:rsidR="001975DF" w:rsidRPr="00065899" w:rsidRDefault="001975DF" w:rsidP="00065899">
      <w:pPr>
        <w:pStyle w:val="Heading2"/>
        <w:numPr>
          <w:ilvl w:val="0"/>
          <w:numId w:val="80"/>
        </w:numPr>
        <w:rPr>
          <w:rStyle w:val="Emphasis"/>
          <w:i w:val="0"/>
          <w:iCs w:val="0"/>
        </w:rPr>
      </w:pPr>
      <w:bookmarkStart w:id="22" w:name="_Toc150762329"/>
      <w:r w:rsidRPr="00065899">
        <w:rPr>
          <w:rStyle w:val="Emphasis"/>
          <w:i w:val="0"/>
          <w:iCs w:val="0"/>
        </w:rPr>
        <w:t>A Trusted Regulator - “Fair, firm, fast”</w:t>
      </w:r>
      <w:bookmarkEnd w:id="22"/>
    </w:p>
    <w:p w14:paraId="08640309" w14:textId="77777777" w:rsidR="001975DF" w:rsidRPr="00EB2BD8" w:rsidRDefault="001975DF" w:rsidP="001975DF">
      <w:pPr>
        <w:pStyle w:val="ListParagraph"/>
        <w:spacing w:line="40" w:lineRule="atLeast"/>
        <w:ind w:left="284"/>
        <w:rPr>
          <w:rStyle w:val="Emphasis"/>
          <w:rFonts w:ascii="Arial" w:hAnsi="Arial" w:cs="Arial"/>
          <w:i w:val="0"/>
          <w:iCs w:val="0"/>
        </w:rPr>
      </w:pPr>
    </w:p>
    <w:p w14:paraId="7FD51C8C" w14:textId="77777777" w:rsidR="001975DF" w:rsidRPr="00EB2BD8" w:rsidRDefault="001975DF" w:rsidP="00065899">
      <w:pPr>
        <w:pStyle w:val="ListParagraph"/>
        <w:spacing w:line="40" w:lineRule="atLeast"/>
        <w:ind w:left="720" w:firstLine="0"/>
        <w:rPr>
          <w:rStyle w:val="Emphasis"/>
          <w:rFonts w:ascii="Arial" w:hAnsi="Arial" w:cs="Arial"/>
          <w:i w:val="0"/>
          <w:iCs w:val="0"/>
        </w:rPr>
      </w:pPr>
      <w:r w:rsidRPr="00EB2BD8">
        <w:rPr>
          <w:rStyle w:val="Emphasis"/>
          <w:rFonts w:ascii="Arial" w:hAnsi="Arial" w:cs="Arial"/>
          <w:i w:val="0"/>
          <w:iCs w:val="0"/>
        </w:rPr>
        <w:t>We are a proactive regulator delivering positive outcomes for Victorians. Our starting point is that individuals want to do the right thing. We deliver sophisticated and targeted enforcement that results in behavioural change. We do this through proportionate regulatory responses and providing authoritative guidance and advice.</w:t>
      </w:r>
    </w:p>
    <w:p w14:paraId="2DB5347A" w14:textId="77777777" w:rsidR="001975DF" w:rsidRPr="00EB2BD8" w:rsidRDefault="001975DF" w:rsidP="001975DF">
      <w:pPr>
        <w:pStyle w:val="ListParagraph"/>
        <w:spacing w:line="40" w:lineRule="atLeast"/>
        <w:ind w:left="284"/>
        <w:rPr>
          <w:rStyle w:val="Emphasis"/>
          <w:rFonts w:ascii="Arial" w:hAnsi="Arial" w:cs="Arial"/>
          <w:i w:val="0"/>
          <w:iCs w:val="0"/>
        </w:rPr>
      </w:pPr>
    </w:p>
    <w:p w14:paraId="1BAAEB7D" w14:textId="1D1AF35C" w:rsidR="001975DF" w:rsidRPr="00065899" w:rsidRDefault="001975DF" w:rsidP="00065899">
      <w:pPr>
        <w:pStyle w:val="Heading2"/>
        <w:numPr>
          <w:ilvl w:val="0"/>
          <w:numId w:val="80"/>
        </w:numPr>
        <w:rPr>
          <w:rStyle w:val="Emphasis"/>
          <w:i w:val="0"/>
          <w:iCs w:val="0"/>
        </w:rPr>
      </w:pPr>
      <w:bookmarkStart w:id="23" w:name="_Toc150762330"/>
      <w:r w:rsidRPr="00065899">
        <w:rPr>
          <w:rStyle w:val="Emphasis"/>
          <w:i w:val="0"/>
          <w:iCs w:val="0"/>
        </w:rPr>
        <w:t>A Knowledge Organisation - “Information, intelligence, insights”</w:t>
      </w:r>
      <w:bookmarkEnd w:id="23"/>
    </w:p>
    <w:p w14:paraId="0718D29C" w14:textId="77777777" w:rsidR="001975DF" w:rsidRPr="00EB2BD8" w:rsidRDefault="001975DF" w:rsidP="001975DF">
      <w:pPr>
        <w:pStyle w:val="ListParagraph"/>
        <w:spacing w:line="40" w:lineRule="atLeast"/>
        <w:ind w:left="284"/>
        <w:rPr>
          <w:rStyle w:val="Emphasis"/>
          <w:rFonts w:ascii="Arial" w:hAnsi="Arial" w:cs="Arial"/>
          <w:i w:val="0"/>
          <w:iCs w:val="0"/>
        </w:rPr>
      </w:pPr>
    </w:p>
    <w:p w14:paraId="5E5466FD" w14:textId="77777777" w:rsidR="001975DF" w:rsidRPr="00EB2BD8" w:rsidRDefault="001975DF" w:rsidP="00065899">
      <w:pPr>
        <w:pStyle w:val="ListParagraph"/>
        <w:spacing w:line="40" w:lineRule="atLeast"/>
        <w:ind w:left="720" w:firstLine="0"/>
        <w:rPr>
          <w:rStyle w:val="Emphasis"/>
          <w:rFonts w:ascii="Arial" w:hAnsi="Arial" w:cs="Arial"/>
          <w:i w:val="0"/>
          <w:iCs w:val="0"/>
        </w:rPr>
      </w:pPr>
      <w:r w:rsidRPr="00EB2BD8">
        <w:rPr>
          <w:rStyle w:val="Emphasis"/>
          <w:rFonts w:ascii="Arial" w:hAnsi="Arial" w:cs="Arial"/>
          <w:i w:val="0"/>
          <w:iCs w:val="0"/>
        </w:rPr>
        <w:t>We are a data-driven, evidence and intelligence-led organisation. We create and share knowledge and learn from others to continuously improve our work. The research and data we collect and analyse translates into practical, real-life solutions, facilitates industry innovation and helps inform government policy.</w:t>
      </w:r>
    </w:p>
    <w:p w14:paraId="66FFDA37" w14:textId="77777777" w:rsidR="001975DF" w:rsidRPr="00EB2BD8" w:rsidRDefault="001975DF" w:rsidP="001975DF">
      <w:pPr>
        <w:pStyle w:val="ListParagraph"/>
        <w:spacing w:line="40" w:lineRule="atLeast"/>
        <w:ind w:left="284"/>
        <w:rPr>
          <w:rStyle w:val="Emphasis"/>
          <w:rFonts w:ascii="Arial" w:hAnsi="Arial" w:cs="Arial"/>
          <w:i w:val="0"/>
          <w:iCs w:val="0"/>
        </w:rPr>
      </w:pPr>
    </w:p>
    <w:p w14:paraId="006355D0" w14:textId="2A259472" w:rsidR="001975DF" w:rsidRPr="00065899" w:rsidRDefault="001975DF" w:rsidP="00065899">
      <w:pPr>
        <w:pStyle w:val="Heading2"/>
        <w:numPr>
          <w:ilvl w:val="0"/>
          <w:numId w:val="80"/>
        </w:numPr>
        <w:rPr>
          <w:rStyle w:val="Emphasis"/>
          <w:i w:val="0"/>
          <w:iCs w:val="0"/>
        </w:rPr>
      </w:pPr>
      <w:bookmarkStart w:id="24" w:name="_Toc150762331"/>
      <w:r w:rsidRPr="00065899">
        <w:rPr>
          <w:rStyle w:val="Emphasis"/>
          <w:i w:val="0"/>
          <w:iCs w:val="0"/>
        </w:rPr>
        <w:t>A Strength-Based Workplace - “One voice, one VBA”</w:t>
      </w:r>
      <w:bookmarkEnd w:id="24"/>
    </w:p>
    <w:p w14:paraId="7DDFBA44" w14:textId="77777777" w:rsidR="001975DF" w:rsidRPr="00EB2BD8" w:rsidRDefault="001975DF" w:rsidP="001975DF">
      <w:pPr>
        <w:pStyle w:val="ListParagraph"/>
        <w:spacing w:line="40" w:lineRule="atLeast"/>
        <w:ind w:left="284"/>
        <w:rPr>
          <w:rStyle w:val="Emphasis"/>
          <w:rFonts w:ascii="Arial" w:hAnsi="Arial" w:cs="Arial"/>
          <w:i w:val="0"/>
          <w:iCs w:val="0"/>
        </w:rPr>
      </w:pPr>
    </w:p>
    <w:p w14:paraId="0AF9BB45" w14:textId="77777777" w:rsidR="001975DF" w:rsidRPr="00EB2BD8" w:rsidRDefault="001975DF" w:rsidP="00065899">
      <w:pPr>
        <w:pStyle w:val="ListParagraph"/>
        <w:spacing w:line="40" w:lineRule="atLeast"/>
        <w:ind w:left="720" w:firstLine="0"/>
        <w:rPr>
          <w:rStyle w:val="Emphasis"/>
          <w:rFonts w:ascii="Arial" w:hAnsi="Arial" w:cs="Arial"/>
          <w:i w:val="0"/>
          <w:iCs w:val="0"/>
        </w:rPr>
      </w:pPr>
      <w:r w:rsidRPr="00EB2BD8">
        <w:rPr>
          <w:rStyle w:val="Emphasis"/>
          <w:rFonts w:ascii="Arial" w:hAnsi="Arial" w:cs="Arial"/>
          <w:i w:val="0"/>
          <w:iCs w:val="0"/>
        </w:rPr>
        <w:t>We are one cohesive and diverse organisation and are serious about talent and flexibility. Our people are the foundations of our adaptable, strength-based culture, and are empowered to build their own career pathways and maximise their positive impact for Victorian communities.</w:t>
      </w:r>
    </w:p>
    <w:p w14:paraId="2991EB9B" w14:textId="77777777" w:rsidR="001975DF" w:rsidRPr="00EB2BD8" w:rsidRDefault="001975DF" w:rsidP="001975DF">
      <w:pPr>
        <w:pStyle w:val="Heading2"/>
        <w:spacing w:line="40" w:lineRule="atLeast"/>
        <w:ind w:left="284"/>
        <w:rPr>
          <w:rStyle w:val="Emphasis"/>
          <w:i w:val="0"/>
          <w:iCs w:val="0"/>
        </w:rPr>
      </w:pPr>
    </w:p>
    <w:p w14:paraId="5E087339" w14:textId="762B0B63" w:rsidR="001975DF" w:rsidRPr="00065899" w:rsidRDefault="001975DF" w:rsidP="00065899">
      <w:pPr>
        <w:pStyle w:val="Heading2"/>
        <w:numPr>
          <w:ilvl w:val="0"/>
          <w:numId w:val="80"/>
        </w:numPr>
        <w:rPr>
          <w:rStyle w:val="Emphasis"/>
          <w:i w:val="0"/>
          <w:iCs w:val="0"/>
        </w:rPr>
      </w:pPr>
      <w:bookmarkStart w:id="25" w:name="_Toc150762332"/>
      <w:r w:rsidRPr="00065899">
        <w:rPr>
          <w:rStyle w:val="Emphasis"/>
          <w:i w:val="0"/>
          <w:iCs w:val="0"/>
        </w:rPr>
        <w:t>A Forward-Thinking Business - “Future ready”</w:t>
      </w:r>
      <w:bookmarkEnd w:id="25"/>
    </w:p>
    <w:p w14:paraId="05392A5A" w14:textId="77777777" w:rsidR="001975DF" w:rsidRPr="00EB2BD8" w:rsidRDefault="001975DF" w:rsidP="001975DF">
      <w:pPr>
        <w:pStyle w:val="ListParagraph"/>
        <w:spacing w:line="40" w:lineRule="atLeast"/>
        <w:ind w:left="284"/>
        <w:rPr>
          <w:rStyle w:val="Emphasis"/>
          <w:rFonts w:ascii="Arial" w:hAnsi="Arial" w:cs="Arial"/>
          <w:i w:val="0"/>
          <w:iCs w:val="0"/>
        </w:rPr>
      </w:pPr>
    </w:p>
    <w:p w14:paraId="7D1A6D99" w14:textId="77777777" w:rsidR="001975DF" w:rsidRPr="00EB2BD8" w:rsidRDefault="001975DF" w:rsidP="00065899">
      <w:pPr>
        <w:pStyle w:val="ListParagraph"/>
        <w:spacing w:line="40" w:lineRule="atLeast"/>
        <w:ind w:left="720" w:firstLine="0"/>
        <w:rPr>
          <w:rStyle w:val="Emphasis"/>
          <w:rFonts w:ascii="Arial" w:hAnsi="Arial" w:cs="Arial"/>
          <w:i w:val="0"/>
          <w:iCs w:val="0"/>
        </w:rPr>
      </w:pPr>
      <w:r w:rsidRPr="00EB2BD8">
        <w:rPr>
          <w:rStyle w:val="Emphasis"/>
          <w:rFonts w:ascii="Arial" w:hAnsi="Arial" w:cs="Arial"/>
          <w:i w:val="0"/>
          <w:iCs w:val="0"/>
        </w:rPr>
        <w:t>We are a contemporary and resilient organisation that looks to the future. Our robust risk management, financial administration and digital infrastructure are sustainable, adaptable and future ready. By looking to the future, we drive our performance and design our organisation to get there.</w:t>
      </w:r>
    </w:p>
    <w:p w14:paraId="79EB7B8B" w14:textId="77777777" w:rsidR="001975DF" w:rsidRPr="00EB2BD8" w:rsidRDefault="001975DF" w:rsidP="001975DF">
      <w:pPr>
        <w:pStyle w:val="ListParagraph"/>
        <w:spacing w:line="40" w:lineRule="atLeast"/>
        <w:ind w:left="284"/>
        <w:rPr>
          <w:rStyle w:val="Emphasis"/>
          <w:rFonts w:ascii="Arial" w:hAnsi="Arial" w:cs="Arial"/>
          <w:i w:val="0"/>
          <w:iCs w:val="0"/>
        </w:rPr>
      </w:pPr>
    </w:p>
    <w:p w14:paraId="59EF722A" w14:textId="6854B21D" w:rsidR="001975DF" w:rsidRPr="00065899" w:rsidRDefault="001975DF" w:rsidP="00065899">
      <w:pPr>
        <w:pStyle w:val="Heading2"/>
        <w:numPr>
          <w:ilvl w:val="0"/>
          <w:numId w:val="80"/>
        </w:numPr>
        <w:rPr>
          <w:rStyle w:val="Emphasis"/>
          <w:i w:val="0"/>
          <w:iCs w:val="0"/>
        </w:rPr>
      </w:pPr>
      <w:bookmarkStart w:id="26" w:name="_Toc150762333"/>
      <w:r w:rsidRPr="00065899">
        <w:rPr>
          <w:rStyle w:val="Emphasis"/>
          <w:i w:val="0"/>
          <w:iCs w:val="0"/>
        </w:rPr>
        <w:t>An Effective Connector - “Bringing people and thinking together”</w:t>
      </w:r>
      <w:bookmarkEnd w:id="26"/>
    </w:p>
    <w:p w14:paraId="51FB9A09" w14:textId="77777777" w:rsidR="001975DF" w:rsidRPr="00EB2BD8" w:rsidRDefault="001975DF" w:rsidP="001975DF">
      <w:pPr>
        <w:pStyle w:val="ListParagraph"/>
        <w:spacing w:line="40" w:lineRule="atLeast"/>
        <w:ind w:left="284"/>
        <w:rPr>
          <w:rStyle w:val="Emphasis"/>
          <w:rFonts w:ascii="Arial" w:hAnsi="Arial" w:cs="Arial"/>
          <w:i w:val="0"/>
          <w:iCs w:val="0"/>
        </w:rPr>
      </w:pPr>
    </w:p>
    <w:p w14:paraId="3C5130DF" w14:textId="77777777" w:rsidR="001975DF" w:rsidRPr="00EB2BD8" w:rsidRDefault="001975DF" w:rsidP="00065899">
      <w:pPr>
        <w:pStyle w:val="ListParagraph"/>
        <w:spacing w:line="40" w:lineRule="atLeast"/>
        <w:ind w:left="720" w:firstLine="0"/>
        <w:rPr>
          <w:rStyle w:val="Emphasis"/>
          <w:rFonts w:ascii="Arial" w:hAnsi="Arial" w:cs="Arial"/>
          <w:i w:val="0"/>
          <w:iCs w:val="0"/>
        </w:rPr>
      </w:pPr>
      <w:r w:rsidRPr="00EB2BD8">
        <w:rPr>
          <w:rStyle w:val="Emphasis"/>
          <w:rFonts w:ascii="Arial" w:hAnsi="Arial" w:cs="Arial"/>
          <w:i w:val="0"/>
          <w:iCs w:val="0"/>
        </w:rPr>
        <w:t>We have a unique line of sight to Victoria’s building industry. We use the deep and diverse expertise at the VBA to engage with consumers, government, other regulators, and industry to strengthen Victoria’s building system. Together, we span boundaries, work towards shared outcomes and amplify our positive impact.</w:t>
      </w:r>
    </w:p>
    <w:p w14:paraId="11CCC08B" w14:textId="77777777" w:rsidR="001975DF" w:rsidRPr="00EB2BD8" w:rsidRDefault="001975DF" w:rsidP="001975DF">
      <w:pPr>
        <w:pStyle w:val="ListParagraph"/>
        <w:spacing w:line="40" w:lineRule="atLeast"/>
        <w:rPr>
          <w:rStyle w:val="Emphasis"/>
          <w:rFonts w:ascii="Arial" w:hAnsi="Arial" w:cs="Arial"/>
          <w:i w:val="0"/>
          <w:iCs w:val="0"/>
        </w:rPr>
      </w:pPr>
    </w:p>
    <w:p w14:paraId="68A388D2" w14:textId="77777777" w:rsidR="00084F36" w:rsidRPr="00EB2BD8" w:rsidRDefault="00084F36">
      <w:pPr>
        <w:pStyle w:val="BodyText"/>
        <w:spacing w:before="4"/>
        <w:rPr>
          <w:rFonts w:ascii="Tahoma"/>
          <w:b/>
          <w:sz w:val="45"/>
        </w:rPr>
      </w:pPr>
    </w:p>
    <w:p w14:paraId="5F45DF17" w14:textId="1F6B01DE" w:rsidR="00084F36" w:rsidRPr="00EB2BD8" w:rsidRDefault="00EB2BD8">
      <w:pPr>
        <w:tabs>
          <w:tab w:val="left" w:pos="6473"/>
        </w:tabs>
        <w:spacing w:line="20" w:lineRule="exact"/>
        <w:ind w:left="1092"/>
        <w:rPr>
          <w:sz w:val="2"/>
        </w:rPr>
      </w:pPr>
      <w:r w:rsidRPr="00EB2BD8">
        <w:rPr>
          <w:sz w:val="2"/>
        </w:rPr>
        <w:tab/>
      </w:r>
    </w:p>
    <w:p w14:paraId="168C6633" w14:textId="77777777" w:rsidR="00084F36" w:rsidRPr="00EB2BD8" w:rsidRDefault="00084F36">
      <w:pPr>
        <w:spacing w:line="20" w:lineRule="exact"/>
        <w:rPr>
          <w:sz w:val="2"/>
        </w:rPr>
        <w:sectPr w:rsidR="00084F36" w:rsidRPr="00EB2BD8" w:rsidSect="006D75B2">
          <w:footerReference w:type="default" r:id="rId19"/>
          <w:type w:val="continuous"/>
          <w:pgSz w:w="11910" w:h="16840"/>
          <w:pgMar w:top="1920" w:right="711" w:bottom="280" w:left="567" w:header="0" w:footer="528" w:gutter="0"/>
          <w:cols w:space="720"/>
        </w:sectPr>
      </w:pPr>
    </w:p>
    <w:p w14:paraId="23397B23" w14:textId="77777777" w:rsidR="00084F36" w:rsidRPr="00EB2BD8" w:rsidRDefault="00084F36">
      <w:pPr>
        <w:pStyle w:val="BodyText"/>
        <w:rPr>
          <w:b/>
          <w:sz w:val="20"/>
        </w:rPr>
      </w:pPr>
    </w:p>
    <w:p w14:paraId="6F35A190" w14:textId="77777777" w:rsidR="00084F36" w:rsidRPr="00EB2BD8" w:rsidRDefault="00084F36">
      <w:pPr>
        <w:pStyle w:val="BodyText"/>
        <w:rPr>
          <w:b/>
          <w:sz w:val="20"/>
        </w:rPr>
      </w:pPr>
    </w:p>
    <w:p w14:paraId="778405D3" w14:textId="77777777" w:rsidR="00084F36" w:rsidRPr="00EB2BD8" w:rsidRDefault="00084F36">
      <w:pPr>
        <w:pStyle w:val="BodyText"/>
        <w:rPr>
          <w:b/>
          <w:sz w:val="20"/>
        </w:rPr>
      </w:pPr>
    </w:p>
    <w:p w14:paraId="1EE05AE1" w14:textId="77777777" w:rsidR="00084F36" w:rsidRPr="00EB2BD8" w:rsidRDefault="00084F36">
      <w:pPr>
        <w:pStyle w:val="BodyText"/>
        <w:spacing w:before="7"/>
        <w:rPr>
          <w:b/>
          <w:sz w:val="29"/>
        </w:rPr>
      </w:pPr>
    </w:p>
    <w:p w14:paraId="200B1A85" w14:textId="77777777" w:rsidR="00084F36" w:rsidRPr="00EB2BD8" w:rsidRDefault="00EB2BD8" w:rsidP="00EB2BD8">
      <w:pPr>
        <w:pStyle w:val="Heading1"/>
      </w:pPr>
      <w:bookmarkStart w:id="27" w:name="_TOC_250004"/>
      <w:bookmarkStart w:id="28" w:name="_Toc150762334"/>
      <w:r w:rsidRPr="00EB2BD8">
        <w:t>Our services and regulatory</w:t>
      </w:r>
      <w:r w:rsidRPr="00EB2BD8">
        <w:rPr>
          <w:spacing w:val="-32"/>
        </w:rPr>
        <w:t xml:space="preserve"> </w:t>
      </w:r>
      <w:bookmarkEnd w:id="27"/>
      <w:r w:rsidRPr="00EB2BD8">
        <w:t>functions</w:t>
      </w:r>
      <w:bookmarkEnd w:id="28"/>
    </w:p>
    <w:p w14:paraId="65051D4E" w14:textId="77777777" w:rsidR="00084F36" w:rsidRPr="00EB2BD8" w:rsidRDefault="00084F36">
      <w:pPr>
        <w:pStyle w:val="BodyText"/>
        <w:rPr>
          <w:rFonts w:ascii="Tahoma"/>
          <w:b/>
          <w:sz w:val="20"/>
        </w:rPr>
      </w:pPr>
    </w:p>
    <w:p w14:paraId="104233FF" w14:textId="77777777" w:rsidR="00084F36" w:rsidRPr="00EB2BD8" w:rsidRDefault="00084F36">
      <w:pPr>
        <w:pStyle w:val="BodyText"/>
        <w:rPr>
          <w:rFonts w:ascii="Tahoma"/>
          <w:b/>
          <w:sz w:val="20"/>
        </w:rPr>
      </w:pPr>
    </w:p>
    <w:p w14:paraId="56D17E60" w14:textId="77777777" w:rsidR="00084F36" w:rsidRPr="00EB2BD8" w:rsidRDefault="00084F36">
      <w:pPr>
        <w:pStyle w:val="BodyText"/>
        <w:rPr>
          <w:rFonts w:ascii="Tahoma"/>
          <w:b/>
          <w:sz w:val="20"/>
        </w:rPr>
      </w:pPr>
    </w:p>
    <w:p w14:paraId="3DEA0051" w14:textId="0247445A" w:rsidR="00084F36" w:rsidRPr="00EB2BD8" w:rsidRDefault="00084F36">
      <w:pPr>
        <w:pStyle w:val="BodyText"/>
        <w:spacing w:before="11"/>
        <w:rPr>
          <w:rFonts w:ascii="Tahoma"/>
          <w:b/>
          <w:sz w:val="26"/>
        </w:rPr>
      </w:pPr>
    </w:p>
    <w:p w14:paraId="551AFC4A" w14:textId="77777777" w:rsidR="00084F36" w:rsidRPr="00EB2BD8" w:rsidRDefault="00084F36">
      <w:pPr>
        <w:pStyle w:val="BodyText"/>
        <w:spacing w:before="9"/>
        <w:rPr>
          <w:rFonts w:ascii="Tahoma"/>
          <w:b/>
          <w:sz w:val="5"/>
        </w:rPr>
      </w:pPr>
    </w:p>
    <w:p w14:paraId="074D8D0F" w14:textId="77777777" w:rsidR="00084F36" w:rsidRPr="00EB2BD8" w:rsidRDefault="00084F36">
      <w:pPr>
        <w:rPr>
          <w:rFonts w:ascii="Tahoma"/>
          <w:sz w:val="5"/>
        </w:rPr>
        <w:sectPr w:rsidR="00084F36" w:rsidRPr="00EB2BD8" w:rsidSect="006D75B2">
          <w:footerReference w:type="default" r:id="rId20"/>
          <w:pgSz w:w="11910" w:h="16840"/>
          <w:pgMar w:top="1080" w:right="0" w:bottom="720" w:left="0" w:header="0" w:footer="528" w:gutter="0"/>
          <w:cols w:space="720"/>
        </w:sectPr>
      </w:pPr>
    </w:p>
    <w:p w14:paraId="45293AB0" w14:textId="496436EC" w:rsidR="00084F36" w:rsidRPr="00EB2BD8" w:rsidRDefault="00EB2BD8">
      <w:pPr>
        <w:pStyle w:val="ListParagraph"/>
        <w:numPr>
          <w:ilvl w:val="0"/>
          <w:numId w:val="73"/>
        </w:numPr>
        <w:tabs>
          <w:tab w:val="left" w:pos="1210"/>
        </w:tabs>
        <w:spacing w:before="40" w:line="271" w:lineRule="auto"/>
        <w:ind w:right="532"/>
        <w:rPr>
          <w:sz w:val="18"/>
        </w:rPr>
      </w:pPr>
      <w:r w:rsidRPr="00EB2BD8">
        <w:rPr>
          <w:sz w:val="18"/>
        </w:rPr>
        <w:t>Registering,</w:t>
      </w:r>
      <w:r w:rsidRPr="00EB2BD8">
        <w:rPr>
          <w:spacing w:val="-15"/>
          <w:sz w:val="18"/>
        </w:rPr>
        <w:t xml:space="preserve"> </w:t>
      </w:r>
      <w:r w:rsidRPr="00EB2BD8">
        <w:rPr>
          <w:sz w:val="18"/>
        </w:rPr>
        <w:t>licensing</w:t>
      </w:r>
      <w:r w:rsidRPr="00EB2BD8">
        <w:rPr>
          <w:spacing w:val="-14"/>
          <w:sz w:val="18"/>
        </w:rPr>
        <w:t xml:space="preserve"> </w:t>
      </w:r>
      <w:r w:rsidRPr="00EB2BD8">
        <w:rPr>
          <w:sz w:val="18"/>
        </w:rPr>
        <w:t>and disciplining</w:t>
      </w:r>
      <w:r w:rsidRPr="00EB2BD8">
        <w:rPr>
          <w:spacing w:val="-6"/>
          <w:sz w:val="18"/>
        </w:rPr>
        <w:t xml:space="preserve"> </w:t>
      </w:r>
      <w:r w:rsidRPr="00EB2BD8">
        <w:rPr>
          <w:sz w:val="18"/>
        </w:rPr>
        <w:t>plumbers</w:t>
      </w:r>
    </w:p>
    <w:p w14:paraId="59BD3B4B" w14:textId="77777777" w:rsidR="00084F36" w:rsidRPr="00EB2BD8" w:rsidRDefault="00EB2BD8">
      <w:pPr>
        <w:pStyle w:val="ListParagraph"/>
        <w:numPr>
          <w:ilvl w:val="0"/>
          <w:numId w:val="73"/>
        </w:numPr>
        <w:tabs>
          <w:tab w:val="left" w:pos="1210"/>
        </w:tabs>
        <w:spacing w:before="110" w:after="38" w:line="271" w:lineRule="auto"/>
        <w:ind w:right="344"/>
        <w:rPr>
          <w:sz w:val="18"/>
        </w:rPr>
      </w:pPr>
      <w:r w:rsidRPr="00EB2BD8">
        <w:rPr>
          <w:sz w:val="18"/>
        </w:rPr>
        <w:t>Registering</w:t>
      </w:r>
      <w:r w:rsidRPr="00EB2BD8">
        <w:rPr>
          <w:spacing w:val="-15"/>
          <w:sz w:val="18"/>
        </w:rPr>
        <w:t xml:space="preserve"> </w:t>
      </w:r>
      <w:r w:rsidRPr="00EB2BD8">
        <w:rPr>
          <w:sz w:val="18"/>
        </w:rPr>
        <w:t>and</w:t>
      </w:r>
      <w:r w:rsidRPr="00EB2BD8">
        <w:rPr>
          <w:spacing w:val="-14"/>
          <w:sz w:val="18"/>
        </w:rPr>
        <w:t xml:space="preserve"> </w:t>
      </w:r>
      <w:r w:rsidRPr="00EB2BD8">
        <w:rPr>
          <w:sz w:val="18"/>
        </w:rPr>
        <w:t>disciplining building</w:t>
      </w:r>
      <w:r w:rsidRPr="00EB2BD8">
        <w:rPr>
          <w:spacing w:val="-6"/>
          <w:sz w:val="18"/>
        </w:rPr>
        <w:t xml:space="preserve"> </w:t>
      </w:r>
      <w:r w:rsidRPr="00EB2BD8">
        <w:rPr>
          <w:sz w:val="18"/>
        </w:rPr>
        <w:t>practitioners</w:t>
      </w:r>
    </w:p>
    <w:p w14:paraId="4B987F6B" w14:textId="249BE469" w:rsidR="00084F36" w:rsidRPr="00EB2BD8" w:rsidRDefault="00084F36">
      <w:pPr>
        <w:pStyle w:val="BodyText"/>
        <w:spacing w:line="79" w:lineRule="exact"/>
        <w:ind w:left="850" w:right="-15"/>
        <w:rPr>
          <w:sz w:val="7"/>
        </w:rPr>
      </w:pPr>
    </w:p>
    <w:p w14:paraId="345CF72D" w14:textId="0B966079" w:rsidR="00084F36" w:rsidRPr="00EB2BD8" w:rsidRDefault="00EB2BD8">
      <w:pPr>
        <w:pStyle w:val="ListParagraph"/>
        <w:numPr>
          <w:ilvl w:val="0"/>
          <w:numId w:val="73"/>
        </w:numPr>
        <w:tabs>
          <w:tab w:val="left" w:pos="1210"/>
        </w:tabs>
        <w:spacing w:before="110" w:line="271" w:lineRule="auto"/>
        <w:ind w:right="64"/>
        <w:rPr>
          <w:sz w:val="18"/>
        </w:rPr>
      </w:pPr>
      <w:r w:rsidRPr="00EB2BD8">
        <w:rPr>
          <w:sz w:val="18"/>
        </w:rPr>
        <w:t>Responding</w:t>
      </w:r>
      <w:r w:rsidRPr="00EB2BD8">
        <w:rPr>
          <w:spacing w:val="-15"/>
          <w:sz w:val="18"/>
        </w:rPr>
        <w:t xml:space="preserve"> </w:t>
      </w:r>
      <w:r w:rsidRPr="00EB2BD8">
        <w:rPr>
          <w:sz w:val="18"/>
        </w:rPr>
        <w:t>to</w:t>
      </w:r>
      <w:r w:rsidRPr="00EB2BD8">
        <w:rPr>
          <w:spacing w:val="-14"/>
          <w:sz w:val="18"/>
        </w:rPr>
        <w:t xml:space="preserve"> </w:t>
      </w:r>
      <w:r w:rsidRPr="00EB2BD8">
        <w:rPr>
          <w:sz w:val="18"/>
        </w:rPr>
        <w:t>public</w:t>
      </w:r>
      <w:r w:rsidRPr="00EB2BD8">
        <w:rPr>
          <w:spacing w:val="-14"/>
          <w:sz w:val="18"/>
        </w:rPr>
        <w:t xml:space="preserve"> </w:t>
      </w:r>
      <w:r w:rsidRPr="00EB2BD8">
        <w:rPr>
          <w:sz w:val="18"/>
        </w:rPr>
        <w:t>enquiries about the building and plumbing</w:t>
      </w:r>
      <w:r w:rsidRPr="00EB2BD8">
        <w:rPr>
          <w:spacing w:val="-6"/>
          <w:sz w:val="18"/>
        </w:rPr>
        <w:t xml:space="preserve"> </w:t>
      </w:r>
      <w:r w:rsidRPr="00EB2BD8">
        <w:rPr>
          <w:sz w:val="18"/>
        </w:rPr>
        <w:t>industries</w:t>
      </w:r>
    </w:p>
    <w:p w14:paraId="6D8341E0" w14:textId="77777777" w:rsidR="00084F36" w:rsidRPr="00EB2BD8" w:rsidRDefault="00EB2BD8">
      <w:pPr>
        <w:pStyle w:val="ListParagraph"/>
        <w:numPr>
          <w:ilvl w:val="0"/>
          <w:numId w:val="73"/>
        </w:numPr>
        <w:tabs>
          <w:tab w:val="left" w:pos="1210"/>
        </w:tabs>
        <w:spacing w:before="110" w:after="38" w:line="271" w:lineRule="auto"/>
        <w:ind w:right="485"/>
        <w:rPr>
          <w:sz w:val="18"/>
        </w:rPr>
      </w:pPr>
      <w:r w:rsidRPr="00EB2BD8">
        <w:rPr>
          <w:sz w:val="18"/>
        </w:rPr>
        <w:t>Overseeing</w:t>
      </w:r>
      <w:r w:rsidRPr="00EB2BD8">
        <w:rPr>
          <w:spacing w:val="-11"/>
          <w:sz w:val="18"/>
        </w:rPr>
        <w:t xml:space="preserve"> </w:t>
      </w:r>
      <w:r w:rsidRPr="00EB2BD8">
        <w:rPr>
          <w:sz w:val="18"/>
        </w:rPr>
        <w:t>the</w:t>
      </w:r>
      <w:r w:rsidRPr="00EB2BD8">
        <w:rPr>
          <w:spacing w:val="-11"/>
          <w:sz w:val="18"/>
        </w:rPr>
        <w:t xml:space="preserve"> </w:t>
      </w:r>
      <w:r w:rsidRPr="00EB2BD8">
        <w:rPr>
          <w:sz w:val="18"/>
        </w:rPr>
        <w:t>security</w:t>
      </w:r>
      <w:r w:rsidRPr="00EB2BD8">
        <w:rPr>
          <w:spacing w:val="-11"/>
          <w:sz w:val="18"/>
        </w:rPr>
        <w:t xml:space="preserve"> </w:t>
      </w:r>
      <w:r w:rsidRPr="00EB2BD8">
        <w:rPr>
          <w:sz w:val="18"/>
        </w:rPr>
        <w:t>of payment</w:t>
      </w:r>
      <w:r w:rsidRPr="00EB2BD8">
        <w:rPr>
          <w:spacing w:val="-6"/>
          <w:sz w:val="18"/>
        </w:rPr>
        <w:t xml:space="preserve"> </w:t>
      </w:r>
      <w:r w:rsidRPr="00EB2BD8">
        <w:rPr>
          <w:sz w:val="18"/>
        </w:rPr>
        <w:t>processes</w:t>
      </w:r>
    </w:p>
    <w:p w14:paraId="5F8327FB" w14:textId="22FFAAA5" w:rsidR="00084F36" w:rsidRPr="00EB2BD8" w:rsidRDefault="00084F36">
      <w:pPr>
        <w:pStyle w:val="BodyText"/>
        <w:spacing w:line="79" w:lineRule="exact"/>
        <w:ind w:left="850" w:right="-29"/>
        <w:rPr>
          <w:sz w:val="7"/>
        </w:rPr>
      </w:pPr>
    </w:p>
    <w:p w14:paraId="45A1C0E5" w14:textId="4542479E" w:rsidR="00084F36" w:rsidRPr="00EB2BD8" w:rsidRDefault="00EB2BD8">
      <w:pPr>
        <w:pStyle w:val="ListParagraph"/>
        <w:numPr>
          <w:ilvl w:val="0"/>
          <w:numId w:val="73"/>
        </w:numPr>
        <w:tabs>
          <w:tab w:val="left" w:pos="1210"/>
        </w:tabs>
        <w:spacing w:before="110" w:line="271" w:lineRule="auto"/>
        <w:ind w:right="824"/>
        <w:rPr>
          <w:sz w:val="18"/>
        </w:rPr>
      </w:pPr>
      <w:r w:rsidRPr="00EB2BD8">
        <w:rPr>
          <w:sz w:val="18"/>
        </w:rPr>
        <w:t>Issuing</w:t>
      </w:r>
      <w:r w:rsidRPr="00EB2BD8">
        <w:rPr>
          <w:spacing w:val="-6"/>
          <w:sz w:val="18"/>
        </w:rPr>
        <w:t xml:space="preserve"> </w:t>
      </w:r>
      <w:r w:rsidRPr="00EB2BD8">
        <w:rPr>
          <w:sz w:val="18"/>
        </w:rPr>
        <w:t>owner-builder certificates</w:t>
      </w:r>
      <w:r w:rsidRPr="00EB2BD8">
        <w:rPr>
          <w:spacing w:val="-9"/>
          <w:sz w:val="18"/>
        </w:rPr>
        <w:t xml:space="preserve"> </w:t>
      </w:r>
      <w:r w:rsidRPr="00EB2BD8">
        <w:rPr>
          <w:sz w:val="18"/>
        </w:rPr>
        <w:t>of</w:t>
      </w:r>
      <w:r w:rsidRPr="00EB2BD8">
        <w:rPr>
          <w:spacing w:val="-9"/>
          <w:sz w:val="18"/>
        </w:rPr>
        <w:t xml:space="preserve"> </w:t>
      </w:r>
      <w:r w:rsidRPr="00EB2BD8">
        <w:rPr>
          <w:sz w:val="18"/>
        </w:rPr>
        <w:t>consent</w:t>
      </w:r>
    </w:p>
    <w:p w14:paraId="6971DC91" w14:textId="77777777" w:rsidR="00084F36" w:rsidRPr="00EB2BD8" w:rsidRDefault="00EB2BD8">
      <w:pPr>
        <w:pStyle w:val="ListParagraph"/>
        <w:numPr>
          <w:ilvl w:val="0"/>
          <w:numId w:val="73"/>
        </w:numPr>
        <w:tabs>
          <w:tab w:val="left" w:pos="1210"/>
        </w:tabs>
        <w:spacing w:before="109" w:after="40" w:line="271" w:lineRule="auto"/>
        <w:ind w:right="121"/>
        <w:rPr>
          <w:sz w:val="18"/>
        </w:rPr>
      </w:pPr>
      <w:r w:rsidRPr="00EB2BD8">
        <w:rPr>
          <w:sz w:val="18"/>
        </w:rPr>
        <w:t>Providing expert technical advice</w:t>
      </w:r>
      <w:r w:rsidRPr="00EB2BD8">
        <w:rPr>
          <w:spacing w:val="-9"/>
          <w:sz w:val="18"/>
        </w:rPr>
        <w:t xml:space="preserve"> </w:t>
      </w:r>
      <w:r w:rsidRPr="00EB2BD8">
        <w:rPr>
          <w:sz w:val="18"/>
        </w:rPr>
        <w:t>and</w:t>
      </w:r>
      <w:r w:rsidRPr="00EB2BD8">
        <w:rPr>
          <w:spacing w:val="-9"/>
          <w:sz w:val="18"/>
        </w:rPr>
        <w:t xml:space="preserve"> </w:t>
      </w:r>
      <w:r w:rsidRPr="00EB2BD8">
        <w:rPr>
          <w:sz w:val="18"/>
        </w:rPr>
        <w:t>informed</w:t>
      </w:r>
      <w:r w:rsidRPr="00EB2BD8">
        <w:rPr>
          <w:spacing w:val="-9"/>
          <w:sz w:val="18"/>
        </w:rPr>
        <w:t xml:space="preserve"> </w:t>
      </w:r>
      <w:r w:rsidRPr="00EB2BD8">
        <w:rPr>
          <w:sz w:val="18"/>
        </w:rPr>
        <w:t>solutions to</w:t>
      </w:r>
      <w:r w:rsidRPr="00EB2BD8">
        <w:rPr>
          <w:spacing w:val="-6"/>
          <w:sz w:val="18"/>
        </w:rPr>
        <w:t xml:space="preserve"> </w:t>
      </w:r>
      <w:r w:rsidRPr="00EB2BD8">
        <w:rPr>
          <w:sz w:val="18"/>
        </w:rPr>
        <w:t>industry</w:t>
      </w:r>
    </w:p>
    <w:p w14:paraId="50279C8A" w14:textId="1AC263C6" w:rsidR="00084F36" w:rsidRPr="00EB2BD8" w:rsidRDefault="00084F36">
      <w:pPr>
        <w:pStyle w:val="BodyText"/>
        <w:spacing w:line="79" w:lineRule="exact"/>
        <w:ind w:left="850" w:right="-15"/>
        <w:rPr>
          <w:sz w:val="7"/>
        </w:rPr>
      </w:pPr>
    </w:p>
    <w:p w14:paraId="1AAD2942" w14:textId="77777777" w:rsidR="00084F36" w:rsidRPr="00EB2BD8" w:rsidRDefault="00EB2BD8">
      <w:pPr>
        <w:pStyle w:val="ListParagraph"/>
        <w:numPr>
          <w:ilvl w:val="0"/>
          <w:numId w:val="73"/>
        </w:numPr>
        <w:tabs>
          <w:tab w:val="left" w:pos="1210"/>
        </w:tabs>
        <w:spacing w:before="109" w:line="271" w:lineRule="auto"/>
        <w:ind w:right="405"/>
        <w:rPr>
          <w:sz w:val="18"/>
        </w:rPr>
      </w:pPr>
      <w:r w:rsidRPr="00EB2BD8">
        <w:rPr>
          <w:sz w:val="18"/>
        </w:rPr>
        <w:t>Keeping Victorians safe by undertaking</w:t>
      </w:r>
      <w:r w:rsidRPr="00EB2BD8">
        <w:rPr>
          <w:spacing w:val="-6"/>
          <w:sz w:val="18"/>
        </w:rPr>
        <w:t xml:space="preserve"> </w:t>
      </w:r>
      <w:r w:rsidRPr="00EB2BD8">
        <w:rPr>
          <w:sz w:val="18"/>
        </w:rPr>
        <w:t>inspections, investigations and audits to</w:t>
      </w:r>
      <w:r w:rsidRPr="00EB2BD8">
        <w:rPr>
          <w:spacing w:val="-11"/>
          <w:sz w:val="18"/>
        </w:rPr>
        <w:t xml:space="preserve"> </w:t>
      </w:r>
      <w:r w:rsidRPr="00EB2BD8">
        <w:rPr>
          <w:sz w:val="18"/>
        </w:rPr>
        <w:t>enforce</w:t>
      </w:r>
      <w:r w:rsidRPr="00EB2BD8">
        <w:rPr>
          <w:spacing w:val="-11"/>
          <w:sz w:val="18"/>
        </w:rPr>
        <w:t xml:space="preserve"> </w:t>
      </w:r>
      <w:r w:rsidRPr="00EB2BD8">
        <w:rPr>
          <w:sz w:val="18"/>
        </w:rPr>
        <w:t>compliance</w:t>
      </w:r>
      <w:r w:rsidRPr="00EB2BD8">
        <w:rPr>
          <w:spacing w:val="-11"/>
          <w:sz w:val="18"/>
        </w:rPr>
        <w:t xml:space="preserve"> </w:t>
      </w:r>
      <w:r w:rsidRPr="00EB2BD8">
        <w:rPr>
          <w:sz w:val="18"/>
        </w:rPr>
        <w:t>with relevant</w:t>
      </w:r>
      <w:r w:rsidRPr="00EB2BD8">
        <w:rPr>
          <w:spacing w:val="-6"/>
          <w:sz w:val="18"/>
        </w:rPr>
        <w:t xml:space="preserve"> </w:t>
      </w:r>
      <w:r w:rsidRPr="00EB2BD8">
        <w:rPr>
          <w:sz w:val="18"/>
        </w:rPr>
        <w:t>legislation</w:t>
      </w:r>
    </w:p>
    <w:p w14:paraId="00149BA0" w14:textId="77777777" w:rsidR="00084F36" w:rsidRPr="00EB2BD8" w:rsidRDefault="00EB2BD8">
      <w:pPr>
        <w:pStyle w:val="ListParagraph"/>
        <w:numPr>
          <w:ilvl w:val="0"/>
          <w:numId w:val="73"/>
        </w:numPr>
        <w:tabs>
          <w:tab w:val="left" w:pos="716"/>
        </w:tabs>
        <w:spacing w:before="40" w:line="271" w:lineRule="auto"/>
        <w:ind w:left="716" w:right="335"/>
        <w:rPr>
          <w:sz w:val="18"/>
        </w:rPr>
      </w:pPr>
      <w:r w:rsidRPr="00EB2BD8">
        <w:br w:type="column"/>
      </w:r>
      <w:r w:rsidRPr="00EB2BD8">
        <w:rPr>
          <w:sz w:val="18"/>
        </w:rPr>
        <w:t>Performing functions of a Municipal</w:t>
      </w:r>
      <w:r w:rsidRPr="00EB2BD8">
        <w:rPr>
          <w:spacing w:val="-7"/>
          <w:sz w:val="18"/>
        </w:rPr>
        <w:t xml:space="preserve"> </w:t>
      </w:r>
      <w:r w:rsidRPr="00EB2BD8">
        <w:rPr>
          <w:sz w:val="18"/>
        </w:rPr>
        <w:t>Building</w:t>
      </w:r>
      <w:r w:rsidRPr="00EB2BD8">
        <w:rPr>
          <w:spacing w:val="-7"/>
          <w:sz w:val="18"/>
        </w:rPr>
        <w:t xml:space="preserve"> </w:t>
      </w:r>
      <w:r w:rsidRPr="00EB2BD8">
        <w:rPr>
          <w:sz w:val="18"/>
        </w:rPr>
        <w:t>Surveyor (MBS) when declared by the Minister, under the Act and under other legislation</w:t>
      </w:r>
    </w:p>
    <w:p w14:paraId="31A30A04" w14:textId="77777777" w:rsidR="00084F36" w:rsidRPr="00EB2BD8" w:rsidRDefault="00084F36">
      <w:pPr>
        <w:pStyle w:val="BodyText"/>
        <w:spacing w:before="4"/>
        <w:rPr>
          <w:sz w:val="3"/>
        </w:rPr>
      </w:pPr>
    </w:p>
    <w:p w14:paraId="56C3FA78" w14:textId="5440CE3D" w:rsidR="00084F36" w:rsidRPr="00EB2BD8" w:rsidRDefault="00084F36">
      <w:pPr>
        <w:pStyle w:val="BodyText"/>
        <w:spacing w:line="79" w:lineRule="exact"/>
        <w:ind w:left="356" w:right="-15"/>
        <w:rPr>
          <w:sz w:val="7"/>
        </w:rPr>
      </w:pPr>
    </w:p>
    <w:p w14:paraId="376CABDB" w14:textId="77777777" w:rsidR="00084F36" w:rsidRPr="00EB2BD8" w:rsidRDefault="00EB2BD8">
      <w:pPr>
        <w:pStyle w:val="ListParagraph"/>
        <w:numPr>
          <w:ilvl w:val="0"/>
          <w:numId w:val="73"/>
        </w:numPr>
        <w:tabs>
          <w:tab w:val="left" w:pos="716"/>
        </w:tabs>
        <w:spacing w:before="111" w:line="271" w:lineRule="auto"/>
        <w:ind w:left="716" w:right="276"/>
        <w:rPr>
          <w:sz w:val="18"/>
        </w:rPr>
      </w:pPr>
      <w:r w:rsidRPr="00EB2BD8">
        <w:rPr>
          <w:sz w:val="18"/>
        </w:rPr>
        <w:t>Working</w:t>
      </w:r>
      <w:r w:rsidRPr="00EB2BD8">
        <w:rPr>
          <w:spacing w:val="-8"/>
          <w:sz w:val="18"/>
        </w:rPr>
        <w:t xml:space="preserve"> </w:t>
      </w:r>
      <w:r w:rsidRPr="00EB2BD8">
        <w:rPr>
          <w:sz w:val="18"/>
        </w:rPr>
        <w:t>with</w:t>
      </w:r>
      <w:r w:rsidRPr="00EB2BD8">
        <w:rPr>
          <w:spacing w:val="-8"/>
          <w:sz w:val="18"/>
        </w:rPr>
        <w:t xml:space="preserve"> </w:t>
      </w:r>
      <w:r w:rsidRPr="00EB2BD8">
        <w:rPr>
          <w:sz w:val="18"/>
        </w:rPr>
        <w:t>other</w:t>
      </w:r>
      <w:r w:rsidRPr="00EB2BD8">
        <w:rPr>
          <w:spacing w:val="-8"/>
          <w:sz w:val="18"/>
        </w:rPr>
        <w:t xml:space="preserve"> </w:t>
      </w:r>
      <w:r w:rsidRPr="00EB2BD8">
        <w:rPr>
          <w:sz w:val="18"/>
        </w:rPr>
        <w:t>agencies and regulators to ensure practitioner compliance and protect</w:t>
      </w:r>
      <w:r w:rsidRPr="00EB2BD8">
        <w:rPr>
          <w:spacing w:val="-6"/>
          <w:sz w:val="18"/>
        </w:rPr>
        <w:t xml:space="preserve"> </w:t>
      </w:r>
      <w:r w:rsidRPr="00EB2BD8">
        <w:rPr>
          <w:sz w:val="18"/>
        </w:rPr>
        <w:t>consumers</w:t>
      </w:r>
    </w:p>
    <w:p w14:paraId="5F09B75D" w14:textId="77777777" w:rsidR="00084F36" w:rsidRPr="00EB2BD8" w:rsidRDefault="00084F36">
      <w:pPr>
        <w:pStyle w:val="BodyText"/>
        <w:spacing w:before="4"/>
        <w:rPr>
          <w:sz w:val="3"/>
        </w:rPr>
      </w:pPr>
    </w:p>
    <w:p w14:paraId="12CC5D94" w14:textId="5534D9D8" w:rsidR="00084F36" w:rsidRPr="00EB2BD8" w:rsidRDefault="00084F36">
      <w:pPr>
        <w:pStyle w:val="BodyText"/>
        <w:spacing w:line="79" w:lineRule="exact"/>
        <w:ind w:left="356" w:right="-15"/>
        <w:rPr>
          <w:sz w:val="7"/>
        </w:rPr>
      </w:pPr>
    </w:p>
    <w:p w14:paraId="452EB4BB" w14:textId="77777777" w:rsidR="00084F36" w:rsidRPr="00EB2BD8" w:rsidRDefault="00EB2BD8">
      <w:pPr>
        <w:pStyle w:val="ListParagraph"/>
        <w:numPr>
          <w:ilvl w:val="0"/>
          <w:numId w:val="73"/>
        </w:numPr>
        <w:tabs>
          <w:tab w:val="left" w:pos="716"/>
        </w:tabs>
        <w:spacing w:before="110" w:line="271" w:lineRule="auto"/>
        <w:ind w:left="716" w:right="40"/>
        <w:rPr>
          <w:sz w:val="18"/>
        </w:rPr>
      </w:pPr>
      <w:r w:rsidRPr="00EB2BD8">
        <w:rPr>
          <w:sz w:val="18"/>
        </w:rPr>
        <w:t>Publishing data for building and plumbing practitioners to boost</w:t>
      </w:r>
      <w:r w:rsidRPr="00EB2BD8">
        <w:rPr>
          <w:spacing w:val="-1"/>
          <w:sz w:val="18"/>
        </w:rPr>
        <w:t xml:space="preserve"> </w:t>
      </w:r>
      <w:r w:rsidRPr="00EB2BD8">
        <w:rPr>
          <w:sz w:val="18"/>
        </w:rPr>
        <w:t>transparency</w:t>
      </w:r>
      <w:r w:rsidRPr="00EB2BD8">
        <w:rPr>
          <w:spacing w:val="-1"/>
          <w:sz w:val="18"/>
        </w:rPr>
        <w:t xml:space="preserve"> </w:t>
      </w:r>
      <w:r w:rsidRPr="00EB2BD8">
        <w:rPr>
          <w:sz w:val="18"/>
        </w:rPr>
        <w:t>and</w:t>
      </w:r>
      <w:r w:rsidRPr="00EB2BD8">
        <w:rPr>
          <w:spacing w:val="-1"/>
          <w:sz w:val="18"/>
        </w:rPr>
        <w:t xml:space="preserve"> </w:t>
      </w:r>
      <w:r w:rsidRPr="00EB2BD8">
        <w:rPr>
          <w:sz w:val="18"/>
        </w:rPr>
        <w:t xml:space="preserve">inform government and industry </w:t>
      </w:r>
      <w:r w:rsidRPr="00EB2BD8">
        <w:rPr>
          <w:spacing w:val="-2"/>
          <w:sz w:val="18"/>
        </w:rPr>
        <w:t>decision-making</w:t>
      </w:r>
    </w:p>
    <w:p w14:paraId="2BD84C17" w14:textId="77777777" w:rsidR="00084F36" w:rsidRPr="00EB2BD8" w:rsidRDefault="00084F36">
      <w:pPr>
        <w:pStyle w:val="BodyText"/>
        <w:spacing w:before="4"/>
        <w:rPr>
          <w:sz w:val="3"/>
        </w:rPr>
      </w:pPr>
    </w:p>
    <w:p w14:paraId="23EBE640" w14:textId="67960B95" w:rsidR="00084F36" w:rsidRPr="00EB2BD8" w:rsidRDefault="00084F36">
      <w:pPr>
        <w:pStyle w:val="BodyText"/>
        <w:spacing w:line="79" w:lineRule="exact"/>
        <w:ind w:left="356" w:right="-15"/>
        <w:rPr>
          <w:sz w:val="7"/>
        </w:rPr>
      </w:pPr>
    </w:p>
    <w:p w14:paraId="2BECDB33" w14:textId="77777777" w:rsidR="00084F36" w:rsidRPr="00EB2BD8" w:rsidRDefault="00EB2BD8">
      <w:pPr>
        <w:pStyle w:val="ListParagraph"/>
        <w:numPr>
          <w:ilvl w:val="0"/>
          <w:numId w:val="73"/>
        </w:numPr>
        <w:tabs>
          <w:tab w:val="left" w:pos="716"/>
        </w:tabs>
        <w:spacing w:before="110" w:line="271" w:lineRule="auto"/>
        <w:ind w:left="716" w:right="175"/>
        <w:rPr>
          <w:sz w:val="18"/>
        </w:rPr>
      </w:pPr>
      <w:r w:rsidRPr="00EB2BD8">
        <w:rPr>
          <w:sz w:val="18"/>
        </w:rPr>
        <w:t>Undertaking and promoting research relevant to the regulation</w:t>
      </w:r>
      <w:r w:rsidRPr="00EB2BD8">
        <w:rPr>
          <w:spacing w:val="-14"/>
          <w:sz w:val="18"/>
        </w:rPr>
        <w:t xml:space="preserve"> </w:t>
      </w:r>
      <w:r w:rsidRPr="00EB2BD8">
        <w:rPr>
          <w:sz w:val="18"/>
        </w:rPr>
        <w:t>of</w:t>
      </w:r>
      <w:r w:rsidRPr="00EB2BD8">
        <w:rPr>
          <w:spacing w:val="-14"/>
          <w:sz w:val="18"/>
        </w:rPr>
        <w:t xml:space="preserve"> </w:t>
      </w:r>
      <w:r w:rsidRPr="00EB2BD8">
        <w:rPr>
          <w:sz w:val="18"/>
        </w:rPr>
        <w:t>the</w:t>
      </w:r>
      <w:r w:rsidRPr="00EB2BD8">
        <w:rPr>
          <w:spacing w:val="-14"/>
          <w:sz w:val="18"/>
        </w:rPr>
        <w:t xml:space="preserve"> </w:t>
      </w:r>
      <w:r w:rsidRPr="00EB2BD8">
        <w:rPr>
          <w:sz w:val="18"/>
        </w:rPr>
        <w:t>building</w:t>
      </w:r>
      <w:r w:rsidRPr="00EB2BD8">
        <w:rPr>
          <w:spacing w:val="-14"/>
          <w:sz w:val="18"/>
        </w:rPr>
        <w:t xml:space="preserve"> </w:t>
      </w:r>
      <w:r w:rsidRPr="00EB2BD8">
        <w:rPr>
          <w:sz w:val="18"/>
        </w:rPr>
        <w:t>and plumbing</w:t>
      </w:r>
      <w:r w:rsidRPr="00EB2BD8">
        <w:rPr>
          <w:spacing w:val="-6"/>
          <w:sz w:val="18"/>
        </w:rPr>
        <w:t xml:space="preserve"> </w:t>
      </w:r>
      <w:r w:rsidRPr="00EB2BD8">
        <w:rPr>
          <w:sz w:val="18"/>
        </w:rPr>
        <w:t>industries</w:t>
      </w:r>
    </w:p>
    <w:p w14:paraId="38A204FA" w14:textId="77777777" w:rsidR="00084F36" w:rsidRPr="00EB2BD8" w:rsidRDefault="00EB2BD8">
      <w:pPr>
        <w:pStyle w:val="ListParagraph"/>
        <w:numPr>
          <w:ilvl w:val="0"/>
          <w:numId w:val="73"/>
        </w:numPr>
        <w:tabs>
          <w:tab w:val="left" w:pos="716"/>
        </w:tabs>
        <w:spacing w:before="40" w:line="271" w:lineRule="auto"/>
        <w:ind w:left="716" w:right="898"/>
        <w:rPr>
          <w:sz w:val="18"/>
        </w:rPr>
      </w:pPr>
      <w:r w:rsidRPr="00EB2BD8">
        <w:br w:type="column"/>
      </w:r>
      <w:r w:rsidRPr="00EB2BD8">
        <w:rPr>
          <w:sz w:val="18"/>
        </w:rPr>
        <w:t>Developing and delivering education</w:t>
      </w:r>
      <w:r w:rsidRPr="00EB2BD8">
        <w:rPr>
          <w:spacing w:val="-5"/>
          <w:sz w:val="18"/>
        </w:rPr>
        <w:t xml:space="preserve"> </w:t>
      </w:r>
      <w:r w:rsidRPr="00EB2BD8">
        <w:rPr>
          <w:sz w:val="18"/>
        </w:rPr>
        <w:t>material</w:t>
      </w:r>
      <w:r w:rsidRPr="00EB2BD8">
        <w:rPr>
          <w:spacing w:val="-5"/>
          <w:sz w:val="18"/>
        </w:rPr>
        <w:t xml:space="preserve"> </w:t>
      </w:r>
      <w:r w:rsidRPr="00EB2BD8">
        <w:rPr>
          <w:sz w:val="18"/>
        </w:rPr>
        <w:t>for</w:t>
      </w:r>
      <w:r w:rsidRPr="00EB2BD8">
        <w:rPr>
          <w:spacing w:val="-5"/>
          <w:sz w:val="18"/>
        </w:rPr>
        <w:t xml:space="preserve"> </w:t>
      </w:r>
      <w:r w:rsidRPr="00EB2BD8">
        <w:rPr>
          <w:sz w:val="18"/>
        </w:rPr>
        <w:t xml:space="preserve">industry and consumers to promote </w:t>
      </w:r>
      <w:r w:rsidRPr="00EB2BD8">
        <w:rPr>
          <w:spacing w:val="-2"/>
          <w:sz w:val="18"/>
        </w:rPr>
        <w:t>compliance</w:t>
      </w:r>
    </w:p>
    <w:p w14:paraId="3AA5AF4E" w14:textId="77777777" w:rsidR="00084F36" w:rsidRPr="00EB2BD8" w:rsidRDefault="00084F36">
      <w:pPr>
        <w:pStyle w:val="BodyText"/>
        <w:spacing w:before="4"/>
        <w:rPr>
          <w:sz w:val="3"/>
        </w:rPr>
      </w:pPr>
    </w:p>
    <w:p w14:paraId="01431DEE" w14:textId="0315CF6C" w:rsidR="00084F36" w:rsidRPr="00EB2BD8" w:rsidRDefault="00084F36">
      <w:pPr>
        <w:pStyle w:val="BodyText"/>
        <w:spacing w:line="79" w:lineRule="exact"/>
        <w:ind w:left="356"/>
        <w:rPr>
          <w:sz w:val="7"/>
        </w:rPr>
      </w:pPr>
    </w:p>
    <w:p w14:paraId="06DFD7BB" w14:textId="77777777" w:rsidR="00084F36" w:rsidRPr="00EB2BD8" w:rsidRDefault="00EB2BD8">
      <w:pPr>
        <w:pStyle w:val="ListParagraph"/>
        <w:numPr>
          <w:ilvl w:val="0"/>
          <w:numId w:val="73"/>
        </w:numPr>
        <w:tabs>
          <w:tab w:val="left" w:pos="716"/>
        </w:tabs>
        <w:spacing w:before="110" w:line="271" w:lineRule="auto"/>
        <w:ind w:left="716" w:right="901"/>
        <w:jc w:val="both"/>
        <w:rPr>
          <w:sz w:val="18"/>
        </w:rPr>
      </w:pPr>
      <w:r w:rsidRPr="00EB2BD8">
        <w:rPr>
          <w:sz w:val="18"/>
        </w:rPr>
        <w:t>Collecting</w:t>
      </w:r>
      <w:r w:rsidRPr="00EB2BD8">
        <w:rPr>
          <w:spacing w:val="-9"/>
          <w:sz w:val="18"/>
        </w:rPr>
        <w:t xml:space="preserve"> </w:t>
      </w:r>
      <w:r w:rsidRPr="00EB2BD8">
        <w:rPr>
          <w:sz w:val="18"/>
        </w:rPr>
        <w:t>building</w:t>
      </w:r>
      <w:r w:rsidRPr="00EB2BD8">
        <w:rPr>
          <w:spacing w:val="-9"/>
          <w:sz w:val="18"/>
        </w:rPr>
        <w:t xml:space="preserve"> </w:t>
      </w:r>
      <w:r w:rsidRPr="00EB2BD8">
        <w:rPr>
          <w:sz w:val="18"/>
        </w:rPr>
        <w:t>permit</w:t>
      </w:r>
      <w:r w:rsidRPr="00EB2BD8">
        <w:rPr>
          <w:spacing w:val="-9"/>
          <w:sz w:val="18"/>
        </w:rPr>
        <w:t xml:space="preserve"> </w:t>
      </w:r>
      <w:r w:rsidRPr="00EB2BD8">
        <w:rPr>
          <w:sz w:val="18"/>
        </w:rPr>
        <w:t>data and</w:t>
      </w:r>
      <w:r w:rsidRPr="00EB2BD8">
        <w:rPr>
          <w:spacing w:val="-4"/>
          <w:sz w:val="18"/>
        </w:rPr>
        <w:t xml:space="preserve"> </w:t>
      </w:r>
      <w:r w:rsidRPr="00EB2BD8">
        <w:rPr>
          <w:sz w:val="18"/>
        </w:rPr>
        <w:t>levies</w:t>
      </w:r>
      <w:r w:rsidRPr="00EB2BD8">
        <w:rPr>
          <w:spacing w:val="-4"/>
          <w:sz w:val="18"/>
        </w:rPr>
        <w:t xml:space="preserve"> </w:t>
      </w:r>
      <w:r w:rsidRPr="00EB2BD8">
        <w:rPr>
          <w:sz w:val="18"/>
        </w:rPr>
        <w:t>and</w:t>
      </w:r>
      <w:r w:rsidRPr="00EB2BD8">
        <w:rPr>
          <w:spacing w:val="-4"/>
          <w:sz w:val="18"/>
        </w:rPr>
        <w:t xml:space="preserve"> </w:t>
      </w:r>
      <w:r w:rsidRPr="00EB2BD8">
        <w:rPr>
          <w:sz w:val="18"/>
        </w:rPr>
        <w:t>issuing</w:t>
      </w:r>
      <w:r w:rsidRPr="00EB2BD8">
        <w:rPr>
          <w:spacing w:val="-4"/>
          <w:sz w:val="18"/>
        </w:rPr>
        <w:t xml:space="preserve"> </w:t>
      </w:r>
      <w:r w:rsidRPr="00EB2BD8">
        <w:rPr>
          <w:sz w:val="18"/>
        </w:rPr>
        <w:t>building permit</w:t>
      </w:r>
      <w:r w:rsidRPr="00EB2BD8">
        <w:rPr>
          <w:spacing w:val="-6"/>
          <w:sz w:val="18"/>
        </w:rPr>
        <w:t xml:space="preserve"> </w:t>
      </w:r>
      <w:r w:rsidRPr="00EB2BD8">
        <w:rPr>
          <w:sz w:val="18"/>
        </w:rPr>
        <w:t>numbers</w:t>
      </w:r>
    </w:p>
    <w:p w14:paraId="5463D11D" w14:textId="77777777" w:rsidR="00084F36" w:rsidRPr="00EB2BD8" w:rsidRDefault="00084F36">
      <w:pPr>
        <w:pStyle w:val="BodyText"/>
        <w:spacing w:before="4"/>
        <w:rPr>
          <w:sz w:val="3"/>
        </w:rPr>
      </w:pPr>
    </w:p>
    <w:p w14:paraId="145A2303" w14:textId="76C3017B" w:rsidR="00084F36" w:rsidRPr="00EB2BD8" w:rsidRDefault="00084F36">
      <w:pPr>
        <w:pStyle w:val="BodyText"/>
        <w:spacing w:line="79" w:lineRule="exact"/>
        <w:ind w:left="356"/>
        <w:rPr>
          <w:sz w:val="7"/>
        </w:rPr>
      </w:pPr>
    </w:p>
    <w:p w14:paraId="60FDE13C" w14:textId="77777777" w:rsidR="00084F36" w:rsidRPr="00EB2BD8" w:rsidRDefault="00EB2BD8">
      <w:pPr>
        <w:pStyle w:val="ListParagraph"/>
        <w:numPr>
          <w:ilvl w:val="0"/>
          <w:numId w:val="73"/>
        </w:numPr>
        <w:tabs>
          <w:tab w:val="left" w:pos="716"/>
        </w:tabs>
        <w:spacing w:before="110" w:line="271" w:lineRule="auto"/>
        <w:ind w:left="716" w:right="855"/>
        <w:rPr>
          <w:sz w:val="18"/>
        </w:rPr>
      </w:pPr>
      <w:r w:rsidRPr="00EB2BD8">
        <w:rPr>
          <w:sz w:val="18"/>
        </w:rPr>
        <w:t>Overseeing</w:t>
      </w:r>
      <w:r w:rsidRPr="00EB2BD8">
        <w:rPr>
          <w:spacing w:val="-15"/>
          <w:sz w:val="18"/>
        </w:rPr>
        <w:t xml:space="preserve"> </w:t>
      </w:r>
      <w:r w:rsidRPr="00EB2BD8">
        <w:rPr>
          <w:sz w:val="18"/>
        </w:rPr>
        <w:t>the</w:t>
      </w:r>
      <w:r w:rsidRPr="00EB2BD8">
        <w:rPr>
          <w:spacing w:val="-14"/>
          <w:sz w:val="18"/>
        </w:rPr>
        <w:t xml:space="preserve"> </w:t>
      </w:r>
      <w:r w:rsidRPr="00EB2BD8">
        <w:rPr>
          <w:sz w:val="18"/>
        </w:rPr>
        <w:t>work</w:t>
      </w:r>
      <w:r w:rsidRPr="00EB2BD8">
        <w:rPr>
          <w:spacing w:val="-14"/>
          <w:sz w:val="18"/>
        </w:rPr>
        <w:t xml:space="preserve"> </w:t>
      </w:r>
      <w:r w:rsidRPr="00EB2BD8">
        <w:rPr>
          <w:sz w:val="18"/>
        </w:rPr>
        <w:t>of</w:t>
      </w:r>
      <w:r w:rsidRPr="00EB2BD8">
        <w:rPr>
          <w:spacing w:val="-14"/>
          <w:sz w:val="18"/>
        </w:rPr>
        <w:t xml:space="preserve"> </w:t>
      </w:r>
      <w:r w:rsidRPr="00EB2BD8">
        <w:rPr>
          <w:sz w:val="18"/>
        </w:rPr>
        <w:t>building practitioners and plumbers</w:t>
      </w:r>
      <w:r w:rsidRPr="00EB2BD8">
        <w:rPr>
          <w:spacing w:val="80"/>
          <w:sz w:val="18"/>
        </w:rPr>
        <w:t xml:space="preserve"> </w:t>
      </w:r>
      <w:r w:rsidRPr="00EB2BD8">
        <w:rPr>
          <w:sz w:val="18"/>
        </w:rPr>
        <w:t xml:space="preserve">and Victoria’s building permit </w:t>
      </w:r>
      <w:r w:rsidRPr="00EB2BD8">
        <w:rPr>
          <w:spacing w:val="-2"/>
          <w:sz w:val="18"/>
        </w:rPr>
        <w:t>system</w:t>
      </w:r>
    </w:p>
    <w:p w14:paraId="06B6AF04" w14:textId="77777777" w:rsidR="00084F36" w:rsidRPr="00EB2BD8" w:rsidRDefault="00084F36">
      <w:pPr>
        <w:pStyle w:val="BodyText"/>
        <w:spacing w:before="4"/>
        <w:rPr>
          <w:sz w:val="3"/>
        </w:rPr>
      </w:pPr>
    </w:p>
    <w:p w14:paraId="2964D55E" w14:textId="321CB2B5" w:rsidR="00084F36" w:rsidRPr="00EB2BD8" w:rsidRDefault="00084F36">
      <w:pPr>
        <w:pStyle w:val="BodyText"/>
        <w:spacing w:line="79" w:lineRule="exact"/>
        <w:ind w:left="356"/>
        <w:rPr>
          <w:sz w:val="7"/>
        </w:rPr>
      </w:pPr>
    </w:p>
    <w:p w14:paraId="1C5A315F" w14:textId="77777777" w:rsidR="00084F36" w:rsidRPr="00EB2BD8" w:rsidRDefault="00EB2BD8">
      <w:pPr>
        <w:pStyle w:val="ListParagraph"/>
        <w:numPr>
          <w:ilvl w:val="0"/>
          <w:numId w:val="73"/>
        </w:numPr>
        <w:tabs>
          <w:tab w:val="left" w:pos="716"/>
        </w:tabs>
        <w:spacing w:before="110" w:line="271" w:lineRule="auto"/>
        <w:ind w:left="716" w:right="1156"/>
        <w:rPr>
          <w:sz w:val="18"/>
        </w:rPr>
      </w:pPr>
      <w:r w:rsidRPr="00EB2BD8">
        <w:rPr>
          <w:sz w:val="18"/>
        </w:rPr>
        <w:t>Promoting the resolution of consumer complaints about work</w:t>
      </w:r>
      <w:r w:rsidRPr="00EB2BD8">
        <w:rPr>
          <w:spacing w:val="-10"/>
          <w:sz w:val="18"/>
        </w:rPr>
        <w:t xml:space="preserve"> </w:t>
      </w:r>
      <w:r w:rsidRPr="00EB2BD8">
        <w:rPr>
          <w:sz w:val="18"/>
        </w:rPr>
        <w:t>carried</w:t>
      </w:r>
      <w:r w:rsidRPr="00EB2BD8">
        <w:rPr>
          <w:spacing w:val="-10"/>
          <w:sz w:val="18"/>
        </w:rPr>
        <w:t xml:space="preserve"> </w:t>
      </w:r>
      <w:r w:rsidRPr="00EB2BD8">
        <w:rPr>
          <w:sz w:val="18"/>
        </w:rPr>
        <w:t>out</w:t>
      </w:r>
      <w:r w:rsidRPr="00EB2BD8">
        <w:rPr>
          <w:spacing w:val="-10"/>
          <w:sz w:val="18"/>
        </w:rPr>
        <w:t xml:space="preserve"> </w:t>
      </w:r>
      <w:r w:rsidRPr="00EB2BD8">
        <w:rPr>
          <w:sz w:val="18"/>
        </w:rPr>
        <w:t>by</w:t>
      </w:r>
      <w:r w:rsidRPr="00EB2BD8">
        <w:rPr>
          <w:spacing w:val="-10"/>
          <w:sz w:val="18"/>
        </w:rPr>
        <w:t xml:space="preserve"> </w:t>
      </w:r>
      <w:r w:rsidRPr="00EB2BD8">
        <w:rPr>
          <w:sz w:val="18"/>
        </w:rPr>
        <w:t>building practitioners and plumbers</w:t>
      </w:r>
    </w:p>
    <w:p w14:paraId="4B24C228" w14:textId="77777777" w:rsidR="00084F36" w:rsidRPr="00EB2BD8" w:rsidRDefault="00084F36">
      <w:pPr>
        <w:pStyle w:val="BodyText"/>
        <w:spacing w:before="4"/>
        <w:rPr>
          <w:sz w:val="3"/>
        </w:rPr>
      </w:pPr>
    </w:p>
    <w:p w14:paraId="5C395EA8" w14:textId="120092AA" w:rsidR="00084F36" w:rsidRPr="00EB2BD8" w:rsidRDefault="00084F36">
      <w:pPr>
        <w:pStyle w:val="BodyText"/>
        <w:spacing w:line="79" w:lineRule="exact"/>
        <w:ind w:left="356"/>
        <w:rPr>
          <w:sz w:val="7"/>
        </w:rPr>
      </w:pPr>
    </w:p>
    <w:p w14:paraId="1FF142FA" w14:textId="77777777" w:rsidR="00084F36" w:rsidRPr="00EB2BD8" w:rsidRDefault="00EB2BD8">
      <w:pPr>
        <w:pStyle w:val="ListParagraph"/>
        <w:numPr>
          <w:ilvl w:val="0"/>
          <w:numId w:val="73"/>
        </w:numPr>
        <w:tabs>
          <w:tab w:val="left" w:pos="716"/>
        </w:tabs>
        <w:spacing w:before="110" w:line="278" w:lineRule="auto"/>
        <w:ind w:left="716" w:right="1025"/>
        <w:rPr>
          <w:sz w:val="18"/>
        </w:rPr>
      </w:pPr>
      <w:r w:rsidRPr="00EB2BD8">
        <w:rPr>
          <w:sz w:val="18"/>
        </w:rPr>
        <w:t>Participating in national and state forums on building reforms</w:t>
      </w:r>
      <w:r w:rsidRPr="00EB2BD8">
        <w:rPr>
          <w:spacing w:val="-8"/>
          <w:sz w:val="18"/>
        </w:rPr>
        <w:t xml:space="preserve"> </w:t>
      </w:r>
      <w:r w:rsidRPr="00EB2BD8">
        <w:rPr>
          <w:sz w:val="18"/>
        </w:rPr>
        <w:t>and</w:t>
      </w:r>
      <w:r w:rsidRPr="00EB2BD8">
        <w:rPr>
          <w:spacing w:val="-8"/>
          <w:sz w:val="18"/>
        </w:rPr>
        <w:t xml:space="preserve"> </w:t>
      </w:r>
      <w:r w:rsidRPr="00EB2BD8">
        <w:rPr>
          <w:sz w:val="18"/>
        </w:rPr>
        <w:t>the</w:t>
      </w:r>
      <w:r w:rsidRPr="00EB2BD8">
        <w:rPr>
          <w:spacing w:val="-8"/>
          <w:sz w:val="18"/>
        </w:rPr>
        <w:t xml:space="preserve"> </w:t>
      </w:r>
      <w:r w:rsidRPr="00EB2BD8">
        <w:rPr>
          <w:sz w:val="18"/>
        </w:rPr>
        <w:t>development of national building and plumbing</w:t>
      </w:r>
      <w:r w:rsidRPr="00EB2BD8">
        <w:rPr>
          <w:spacing w:val="-6"/>
          <w:sz w:val="18"/>
        </w:rPr>
        <w:t xml:space="preserve"> </w:t>
      </w:r>
      <w:r w:rsidRPr="00EB2BD8">
        <w:rPr>
          <w:sz w:val="18"/>
        </w:rPr>
        <w:t>standards</w:t>
      </w:r>
    </w:p>
    <w:p w14:paraId="05A33289" w14:textId="77777777" w:rsidR="00084F36" w:rsidRPr="00EB2BD8" w:rsidRDefault="00084F36">
      <w:pPr>
        <w:spacing w:line="278" w:lineRule="auto"/>
        <w:rPr>
          <w:sz w:val="18"/>
        </w:rPr>
        <w:sectPr w:rsidR="00084F36" w:rsidRPr="00EB2BD8" w:rsidSect="006D75B2">
          <w:type w:val="continuous"/>
          <w:pgSz w:w="11910" w:h="16840"/>
          <w:pgMar w:top="1920" w:right="0" w:bottom="280" w:left="0" w:header="0" w:footer="515" w:gutter="0"/>
          <w:cols w:num="3" w:space="720" w:equalWidth="0">
            <w:col w:w="3988" w:space="40"/>
            <w:col w:w="3494" w:space="39"/>
            <w:col w:w="4349"/>
          </w:cols>
        </w:sectPr>
      </w:pPr>
    </w:p>
    <w:p w14:paraId="60D670B5" w14:textId="77777777" w:rsidR="00084F36" w:rsidRPr="00EB2BD8" w:rsidRDefault="00084F36">
      <w:pPr>
        <w:pStyle w:val="BodyText"/>
        <w:rPr>
          <w:sz w:val="20"/>
        </w:rPr>
      </w:pPr>
    </w:p>
    <w:p w14:paraId="1DAEBFC6" w14:textId="77777777" w:rsidR="00084F36" w:rsidRPr="00EB2BD8" w:rsidRDefault="00084F36">
      <w:pPr>
        <w:pStyle w:val="BodyText"/>
        <w:rPr>
          <w:sz w:val="20"/>
        </w:rPr>
      </w:pPr>
    </w:p>
    <w:p w14:paraId="53FFD79C" w14:textId="77777777" w:rsidR="00084F36" w:rsidRPr="00EB2BD8" w:rsidRDefault="00084F36">
      <w:pPr>
        <w:pStyle w:val="BodyText"/>
        <w:rPr>
          <w:sz w:val="20"/>
        </w:rPr>
      </w:pPr>
    </w:p>
    <w:p w14:paraId="18FF5CDB" w14:textId="77777777" w:rsidR="00084F36" w:rsidRPr="00EB2BD8" w:rsidRDefault="00084F36">
      <w:pPr>
        <w:pStyle w:val="BodyText"/>
        <w:spacing w:before="6"/>
        <w:rPr>
          <w:sz w:val="20"/>
        </w:rPr>
      </w:pPr>
    </w:p>
    <w:p w14:paraId="179A0797" w14:textId="77777777" w:rsidR="00084F36" w:rsidRPr="00EB2BD8" w:rsidRDefault="00EB2BD8" w:rsidP="001975DF">
      <w:pPr>
        <w:pStyle w:val="Heading2"/>
      </w:pPr>
      <w:bookmarkStart w:id="29" w:name="_Toc150762335"/>
      <w:r w:rsidRPr="00EB2BD8">
        <w:t>Manner</w:t>
      </w:r>
      <w:r w:rsidRPr="00EB2BD8">
        <w:rPr>
          <w:spacing w:val="-17"/>
        </w:rPr>
        <w:t xml:space="preserve"> </w:t>
      </w:r>
      <w:r w:rsidRPr="00EB2BD8">
        <w:t>of</w:t>
      </w:r>
      <w:r w:rsidRPr="00EB2BD8">
        <w:rPr>
          <w:spacing w:val="-17"/>
        </w:rPr>
        <w:t xml:space="preserve"> </w:t>
      </w:r>
      <w:r w:rsidRPr="00EB2BD8">
        <w:t>establishment</w:t>
      </w:r>
      <w:bookmarkEnd w:id="29"/>
    </w:p>
    <w:p w14:paraId="0B21F105" w14:textId="77777777" w:rsidR="00084F36" w:rsidRPr="00EB2BD8" w:rsidRDefault="00EB2BD8">
      <w:pPr>
        <w:spacing w:before="48" w:line="261" w:lineRule="auto"/>
        <w:ind w:left="850" w:right="6160"/>
        <w:rPr>
          <w:i/>
          <w:sz w:val="18"/>
        </w:rPr>
      </w:pPr>
      <w:r w:rsidRPr="00EB2BD8">
        <w:rPr>
          <w:sz w:val="18"/>
        </w:rPr>
        <w:t>The</w:t>
      </w:r>
      <w:r w:rsidRPr="00EB2BD8">
        <w:rPr>
          <w:spacing w:val="-3"/>
          <w:sz w:val="18"/>
        </w:rPr>
        <w:t xml:space="preserve"> </w:t>
      </w:r>
      <w:r w:rsidRPr="00EB2BD8">
        <w:rPr>
          <w:sz w:val="18"/>
        </w:rPr>
        <w:t>VBA</w:t>
      </w:r>
      <w:r w:rsidRPr="00EB2BD8">
        <w:rPr>
          <w:spacing w:val="-3"/>
          <w:sz w:val="18"/>
        </w:rPr>
        <w:t xml:space="preserve"> </w:t>
      </w:r>
      <w:r w:rsidRPr="00EB2BD8">
        <w:rPr>
          <w:sz w:val="18"/>
        </w:rPr>
        <w:t>is</w:t>
      </w:r>
      <w:r w:rsidRPr="00EB2BD8">
        <w:rPr>
          <w:spacing w:val="-3"/>
          <w:sz w:val="18"/>
        </w:rPr>
        <w:t xml:space="preserve"> </w:t>
      </w:r>
      <w:r w:rsidRPr="00EB2BD8">
        <w:rPr>
          <w:sz w:val="18"/>
        </w:rPr>
        <w:t>an</w:t>
      </w:r>
      <w:r w:rsidRPr="00EB2BD8">
        <w:rPr>
          <w:spacing w:val="-3"/>
          <w:sz w:val="18"/>
        </w:rPr>
        <w:t xml:space="preserve"> </w:t>
      </w:r>
      <w:r w:rsidRPr="00EB2BD8">
        <w:rPr>
          <w:sz w:val="18"/>
        </w:rPr>
        <w:t>authority</w:t>
      </w:r>
      <w:r w:rsidRPr="00EB2BD8">
        <w:rPr>
          <w:spacing w:val="-3"/>
          <w:sz w:val="18"/>
        </w:rPr>
        <w:t xml:space="preserve"> </w:t>
      </w:r>
      <w:r w:rsidRPr="00EB2BD8">
        <w:rPr>
          <w:sz w:val="18"/>
        </w:rPr>
        <w:t>established</w:t>
      </w:r>
      <w:r w:rsidRPr="00EB2BD8">
        <w:rPr>
          <w:spacing w:val="-3"/>
          <w:sz w:val="18"/>
        </w:rPr>
        <w:t xml:space="preserve"> </w:t>
      </w:r>
      <w:r w:rsidRPr="00EB2BD8">
        <w:rPr>
          <w:sz w:val="18"/>
        </w:rPr>
        <w:t>under</w:t>
      </w:r>
      <w:r w:rsidRPr="00EB2BD8">
        <w:rPr>
          <w:spacing w:val="-3"/>
          <w:sz w:val="18"/>
        </w:rPr>
        <w:t xml:space="preserve"> </w:t>
      </w:r>
      <w:r w:rsidRPr="00EB2BD8">
        <w:rPr>
          <w:sz w:val="18"/>
        </w:rPr>
        <w:t>the</w:t>
      </w:r>
      <w:r w:rsidRPr="00EB2BD8">
        <w:rPr>
          <w:spacing w:val="-3"/>
          <w:sz w:val="18"/>
        </w:rPr>
        <w:t xml:space="preserve"> </w:t>
      </w:r>
      <w:r w:rsidRPr="00EB2BD8">
        <w:rPr>
          <w:i/>
          <w:sz w:val="18"/>
        </w:rPr>
        <w:t>Building Act</w:t>
      </w:r>
      <w:r w:rsidRPr="00EB2BD8">
        <w:rPr>
          <w:i/>
          <w:spacing w:val="-6"/>
          <w:sz w:val="18"/>
        </w:rPr>
        <w:t xml:space="preserve"> </w:t>
      </w:r>
      <w:r w:rsidRPr="00EB2BD8">
        <w:rPr>
          <w:i/>
          <w:sz w:val="18"/>
        </w:rPr>
        <w:t>1993.</w:t>
      </w:r>
    </w:p>
    <w:p w14:paraId="3027F308" w14:textId="77777777" w:rsidR="00084F36" w:rsidRPr="00EB2BD8" w:rsidRDefault="00084F36" w:rsidP="001975DF">
      <w:pPr>
        <w:pStyle w:val="Heading2"/>
      </w:pPr>
    </w:p>
    <w:p w14:paraId="07A345D0" w14:textId="77777777" w:rsidR="00084F36" w:rsidRPr="00EB2BD8" w:rsidRDefault="00EB2BD8" w:rsidP="001975DF">
      <w:pPr>
        <w:pStyle w:val="Heading2"/>
      </w:pPr>
      <w:bookmarkStart w:id="30" w:name="_Toc150762336"/>
      <w:r w:rsidRPr="00EB2BD8">
        <w:t>Responsible Minister</w:t>
      </w:r>
      <w:bookmarkEnd w:id="30"/>
    </w:p>
    <w:p w14:paraId="1DB9F01E" w14:textId="77777777" w:rsidR="00084F36" w:rsidRPr="00EB2BD8" w:rsidRDefault="00EB2BD8">
      <w:pPr>
        <w:pStyle w:val="BodyText"/>
        <w:spacing w:before="48" w:line="261" w:lineRule="auto"/>
        <w:ind w:left="850" w:right="6160"/>
      </w:pPr>
      <w:r w:rsidRPr="00EB2BD8">
        <w:rPr>
          <w:spacing w:val="-2"/>
        </w:rPr>
        <w:t>The</w:t>
      </w:r>
      <w:r w:rsidRPr="00EB2BD8">
        <w:rPr>
          <w:spacing w:val="-10"/>
        </w:rPr>
        <w:t xml:space="preserve"> </w:t>
      </w:r>
      <w:r w:rsidRPr="00EB2BD8">
        <w:rPr>
          <w:spacing w:val="-2"/>
        </w:rPr>
        <w:t>responsible</w:t>
      </w:r>
      <w:r w:rsidRPr="00EB2BD8">
        <w:rPr>
          <w:spacing w:val="-10"/>
        </w:rPr>
        <w:t xml:space="preserve"> </w:t>
      </w:r>
      <w:r w:rsidRPr="00EB2BD8">
        <w:rPr>
          <w:spacing w:val="-2"/>
        </w:rPr>
        <w:t>Minister</w:t>
      </w:r>
      <w:r w:rsidRPr="00EB2BD8">
        <w:rPr>
          <w:spacing w:val="-10"/>
        </w:rPr>
        <w:t xml:space="preserve"> </w:t>
      </w:r>
      <w:r w:rsidRPr="00EB2BD8">
        <w:rPr>
          <w:spacing w:val="-2"/>
        </w:rPr>
        <w:t>from</w:t>
      </w:r>
      <w:r w:rsidRPr="00EB2BD8">
        <w:rPr>
          <w:spacing w:val="-10"/>
        </w:rPr>
        <w:t xml:space="preserve"> </w:t>
      </w:r>
      <w:r w:rsidRPr="00EB2BD8">
        <w:rPr>
          <w:spacing w:val="-2"/>
          <w:w w:val="95"/>
        </w:rPr>
        <w:t>1</w:t>
      </w:r>
      <w:r w:rsidRPr="00EB2BD8">
        <w:rPr>
          <w:spacing w:val="-7"/>
          <w:w w:val="95"/>
        </w:rPr>
        <w:t xml:space="preserve"> </w:t>
      </w:r>
      <w:r w:rsidRPr="00EB2BD8">
        <w:rPr>
          <w:spacing w:val="-2"/>
        </w:rPr>
        <w:t>July</w:t>
      </w:r>
      <w:r w:rsidRPr="00EB2BD8">
        <w:rPr>
          <w:spacing w:val="-10"/>
        </w:rPr>
        <w:t xml:space="preserve"> </w:t>
      </w:r>
      <w:r w:rsidRPr="00EB2BD8">
        <w:rPr>
          <w:spacing w:val="-2"/>
        </w:rPr>
        <w:t>2022</w:t>
      </w:r>
      <w:r w:rsidRPr="00EB2BD8">
        <w:rPr>
          <w:spacing w:val="-10"/>
        </w:rPr>
        <w:t xml:space="preserve"> </w:t>
      </w:r>
      <w:r w:rsidRPr="00EB2BD8">
        <w:rPr>
          <w:spacing w:val="-2"/>
        </w:rPr>
        <w:t>to</w:t>
      </w:r>
      <w:r w:rsidRPr="00EB2BD8">
        <w:rPr>
          <w:spacing w:val="-10"/>
        </w:rPr>
        <w:t xml:space="preserve"> </w:t>
      </w:r>
      <w:r w:rsidRPr="00EB2BD8">
        <w:rPr>
          <w:spacing w:val="-2"/>
        </w:rPr>
        <w:t>4</w:t>
      </w:r>
      <w:r w:rsidRPr="00EB2BD8">
        <w:rPr>
          <w:spacing w:val="-10"/>
        </w:rPr>
        <w:t xml:space="preserve"> </w:t>
      </w:r>
      <w:r w:rsidRPr="00EB2BD8">
        <w:rPr>
          <w:spacing w:val="-2"/>
        </w:rPr>
        <w:t xml:space="preserve">December </w:t>
      </w:r>
      <w:r w:rsidRPr="00EB2BD8">
        <w:t>2022</w:t>
      </w:r>
      <w:r w:rsidRPr="00EB2BD8">
        <w:rPr>
          <w:spacing w:val="-4"/>
        </w:rPr>
        <w:t xml:space="preserve"> </w:t>
      </w:r>
      <w:r w:rsidRPr="00EB2BD8">
        <w:t>was</w:t>
      </w:r>
      <w:r w:rsidRPr="00EB2BD8">
        <w:rPr>
          <w:spacing w:val="-4"/>
        </w:rPr>
        <w:t xml:space="preserve"> </w:t>
      </w:r>
      <w:r w:rsidRPr="00EB2BD8">
        <w:t>the</w:t>
      </w:r>
      <w:r w:rsidRPr="00EB2BD8">
        <w:rPr>
          <w:spacing w:val="-4"/>
        </w:rPr>
        <w:t xml:space="preserve"> </w:t>
      </w:r>
      <w:r w:rsidRPr="00EB2BD8">
        <w:t>Hon.</w:t>
      </w:r>
      <w:r w:rsidRPr="00EB2BD8">
        <w:rPr>
          <w:spacing w:val="-4"/>
        </w:rPr>
        <w:t xml:space="preserve"> </w:t>
      </w:r>
      <w:r w:rsidRPr="00EB2BD8">
        <w:t>Lizzie</w:t>
      </w:r>
      <w:r w:rsidRPr="00EB2BD8">
        <w:rPr>
          <w:spacing w:val="-4"/>
        </w:rPr>
        <w:t xml:space="preserve"> </w:t>
      </w:r>
      <w:r w:rsidRPr="00EB2BD8">
        <w:t>Blandthorn</w:t>
      </w:r>
      <w:r w:rsidRPr="00EB2BD8">
        <w:rPr>
          <w:spacing w:val="-4"/>
        </w:rPr>
        <w:t xml:space="preserve"> </w:t>
      </w:r>
      <w:r w:rsidRPr="00EB2BD8">
        <w:t>MP,</w:t>
      </w:r>
      <w:r w:rsidRPr="00EB2BD8">
        <w:rPr>
          <w:spacing w:val="-4"/>
        </w:rPr>
        <w:t xml:space="preserve"> </w:t>
      </w:r>
      <w:r w:rsidRPr="00EB2BD8">
        <w:t>Minister</w:t>
      </w:r>
      <w:r w:rsidRPr="00EB2BD8">
        <w:rPr>
          <w:spacing w:val="-4"/>
        </w:rPr>
        <w:t xml:space="preserve"> </w:t>
      </w:r>
      <w:r w:rsidRPr="00EB2BD8">
        <w:t>for Planning. The responsible Minister from 5 December 2022</w:t>
      </w:r>
      <w:r w:rsidRPr="00EB2BD8">
        <w:rPr>
          <w:spacing w:val="-3"/>
        </w:rPr>
        <w:t xml:space="preserve"> </w:t>
      </w:r>
      <w:r w:rsidRPr="00EB2BD8">
        <w:t>to</w:t>
      </w:r>
      <w:r w:rsidRPr="00EB2BD8">
        <w:rPr>
          <w:spacing w:val="-3"/>
        </w:rPr>
        <w:t xml:space="preserve"> </w:t>
      </w:r>
      <w:r w:rsidRPr="00EB2BD8">
        <w:t>30</w:t>
      </w:r>
      <w:r w:rsidRPr="00EB2BD8">
        <w:rPr>
          <w:spacing w:val="-3"/>
        </w:rPr>
        <w:t xml:space="preserve"> </w:t>
      </w:r>
      <w:r w:rsidRPr="00EB2BD8">
        <w:t>June</w:t>
      </w:r>
      <w:r w:rsidRPr="00EB2BD8">
        <w:rPr>
          <w:spacing w:val="-3"/>
        </w:rPr>
        <w:t xml:space="preserve"> </w:t>
      </w:r>
      <w:r w:rsidRPr="00EB2BD8">
        <w:t>2023</w:t>
      </w:r>
      <w:r w:rsidRPr="00EB2BD8">
        <w:rPr>
          <w:spacing w:val="-3"/>
        </w:rPr>
        <w:t xml:space="preserve"> </w:t>
      </w:r>
      <w:r w:rsidRPr="00EB2BD8">
        <w:t>was</w:t>
      </w:r>
      <w:r w:rsidRPr="00EB2BD8">
        <w:rPr>
          <w:spacing w:val="-3"/>
        </w:rPr>
        <w:t xml:space="preserve"> </w:t>
      </w:r>
      <w:r w:rsidRPr="00EB2BD8">
        <w:t>the</w:t>
      </w:r>
      <w:r w:rsidRPr="00EB2BD8">
        <w:rPr>
          <w:spacing w:val="-3"/>
        </w:rPr>
        <w:t xml:space="preserve"> </w:t>
      </w:r>
      <w:r w:rsidRPr="00EB2BD8">
        <w:t>Hon.</w:t>
      </w:r>
      <w:r w:rsidRPr="00EB2BD8">
        <w:rPr>
          <w:spacing w:val="-3"/>
        </w:rPr>
        <w:t xml:space="preserve"> </w:t>
      </w:r>
      <w:r w:rsidRPr="00EB2BD8">
        <w:t>Sonya</w:t>
      </w:r>
      <w:r w:rsidRPr="00EB2BD8">
        <w:rPr>
          <w:spacing w:val="-3"/>
        </w:rPr>
        <w:t xml:space="preserve"> </w:t>
      </w:r>
      <w:r w:rsidRPr="00EB2BD8">
        <w:t>Kilkenny</w:t>
      </w:r>
      <w:r w:rsidRPr="00EB2BD8">
        <w:rPr>
          <w:spacing w:val="-3"/>
        </w:rPr>
        <w:t xml:space="preserve"> </w:t>
      </w:r>
      <w:r w:rsidRPr="00EB2BD8">
        <w:t>MP, Minister for Planning.</w:t>
      </w:r>
    </w:p>
    <w:p w14:paraId="013D612E"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space="720"/>
        </w:sectPr>
      </w:pPr>
    </w:p>
    <w:p w14:paraId="2AC5D09E" w14:textId="77777777" w:rsidR="00084F36" w:rsidRPr="00EB2BD8" w:rsidRDefault="00084F36">
      <w:pPr>
        <w:pStyle w:val="BodyText"/>
        <w:rPr>
          <w:sz w:val="20"/>
        </w:rPr>
      </w:pPr>
    </w:p>
    <w:p w14:paraId="01E10C01" w14:textId="77777777" w:rsidR="00084F36" w:rsidRPr="00EB2BD8" w:rsidRDefault="00084F36">
      <w:pPr>
        <w:pStyle w:val="BodyText"/>
        <w:rPr>
          <w:sz w:val="20"/>
        </w:rPr>
      </w:pPr>
    </w:p>
    <w:p w14:paraId="31962FBC" w14:textId="77777777" w:rsidR="00084F36" w:rsidRPr="00EB2BD8" w:rsidRDefault="00084F36">
      <w:pPr>
        <w:pStyle w:val="BodyText"/>
        <w:rPr>
          <w:sz w:val="20"/>
        </w:rPr>
      </w:pPr>
    </w:p>
    <w:p w14:paraId="69B20551" w14:textId="77777777" w:rsidR="00084F36" w:rsidRPr="00EB2BD8" w:rsidRDefault="00084F36">
      <w:pPr>
        <w:pStyle w:val="BodyText"/>
        <w:rPr>
          <w:sz w:val="20"/>
        </w:rPr>
      </w:pPr>
    </w:p>
    <w:p w14:paraId="6D82EE98" w14:textId="77777777" w:rsidR="00084F36" w:rsidRPr="00EB2BD8" w:rsidRDefault="00084F36">
      <w:pPr>
        <w:pStyle w:val="BodyText"/>
        <w:spacing w:before="6"/>
        <w:rPr>
          <w:sz w:val="16"/>
        </w:rPr>
      </w:pPr>
    </w:p>
    <w:p w14:paraId="5308309C" w14:textId="77777777" w:rsidR="00084F36" w:rsidRPr="00EB2BD8" w:rsidRDefault="00EB2BD8" w:rsidP="00EB2BD8">
      <w:pPr>
        <w:pStyle w:val="Heading1"/>
      </w:pPr>
      <w:bookmarkStart w:id="31" w:name="_TOC_250003"/>
      <w:bookmarkStart w:id="32" w:name="_Toc150762337"/>
      <w:r w:rsidRPr="00EB2BD8">
        <w:t>The Chief Commissioner's</w:t>
      </w:r>
      <w:r w:rsidRPr="00EB2BD8">
        <w:rPr>
          <w:spacing w:val="-57"/>
        </w:rPr>
        <w:t xml:space="preserve"> </w:t>
      </w:r>
      <w:bookmarkEnd w:id="31"/>
      <w:r w:rsidRPr="00EB2BD8">
        <w:t>Report</w:t>
      </w:r>
      <w:bookmarkEnd w:id="32"/>
    </w:p>
    <w:p w14:paraId="0140B63A" w14:textId="77777777" w:rsidR="00DB0F6B" w:rsidRDefault="00DB0F6B">
      <w:pPr>
        <w:spacing w:before="243"/>
        <w:ind w:left="826" w:right="1155"/>
        <w:rPr>
          <w:rFonts w:ascii="Tahoma"/>
          <w:bCs/>
          <w:sz w:val="28"/>
        </w:rPr>
      </w:pPr>
    </w:p>
    <w:p w14:paraId="7C3DA005" w14:textId="2AB75618" w:rsidR="00084F36" w:rsidRPr="00DB0F6B" w:rsidRDefault="00EB2BD8" w:rsidP="00DB0F6B">
      <w:pPr>
        <w:pStyle w:val="Heading2"/>
        <w:rPr>
          <w:b w:val="0"/>
          <w:bCs w:val="0"/>
        </w:rPr>
      </w:pPr>
      <w:bookmarkStart w:id="33" w:name="_Toc150762338"/>
      <w:r w:rsidRPr="00DB0F6B">
        <w:rPr>
          <w:b w:val="0"/>
          <w:bCs w:val="0"/>
        </w:rPr>
        <w:t>This</w:t>
      </w:r>
      <w:r w:rsidRPr="00DB0F6B">
        <w:rPr>
          <w:b w:val="0"/>
          <w:bCs w:val="0"/>
          <w:spacing w:val="-16"/>
        </w:rPr>
        <w:t xml:space="preserve"> </w:t>
      </w:r>
      <w:r w:rsidRPr="00DB0F6B">
        <w:rPr>
          <w:b w:val="0"/>
          <w:bCs w:val="0"/>
        </w:rPr>
        <w:t>year,</w:t>
      </w:r>
      <w:r w:rsidRPr="00DB0F6B">
        <w:rPr>
          <w:b w:val="0"/>
          <w:bCs w:val="0"/>
          <w:spacing w:val="-16"/>
        </w:rPr>
        <w:t xml:space="preserve"> </w:t>
      </w:r>
      <w:r w:rsidRPr="00DB0F6B">
        <w:rPr>
          <w:b w:val="0"/>
          <w:bCs w:val="0"/>
        </w:rPr>
        <w:t>the</w:t>
      </w:r>
      <w:r w:rsidRPr="00DB0F6B">
        <w:rPr>
          <w:b w:val="0"/>
          <w:bCs w:val="0"/>
          <w:spacing w:val="-16"/>
        </w:rPr>
        <w:t xml:space="preserve"> </w:t>
      </w:r>
      <w:r w:rsidRPr="00DB0F6B">
        <w:rPr>
          <w:b w:val="0"/>
          <w:bCs w:val="0"/>
        </w:rPr>
        <w:t>VBA</w:t>
      </w:r>
      <w:r w:rsidRPr="00DB0F6B">
        <w:rPr>
          <w:b w:val="0"/>
          <w:bCs w:val="0"/>
          <w:spacing w:val="-16"/>
        </w:rPr>
        <w:t xml:space="preserve"> </w:t>
      </w:r>
      <w:r w:rsidRPr="00DB0F6B">
        <w:rPr>
          <w:b w:val="0"/>
          <w:bCs w:val="0"/>
        </w:rPr>
        <w:t>worked</w:t>
      </w:r>
      <w:r w:rsidRPr="00DB0F6B">
        <w:rPr>
          <w:b w:val="0"/>
          <w:bCs w:val="0"/>
          <w:spacing w:val="-16"/>
        </w:rPr>
        <w:t xml:space="preserve"> </w:t>
      </w:r>
      <w:r w:rsidRPr="00DB0F6B">
        <w:rPr>
          <w:b w:val="0"/>
          <w:bCs w:val="0"/>
        </w:rPr>
        <w:t>with</w:t>
      </w:r>
      <w:r w:rsidRPr="00DB0F6B">
        <w:rPr>
          <w:b w:val="0"/>
          <w:bCs w:val="0"/>
          <w:spacing w:val="-16"/>
        </w:rPr>
        <w:t xml:space="preserve"> </w:t>
      </w:r>
      <w:r w:rsidRPr="00DB0F6B">
        <w:rPr>
          <w:b w:val="0"/>
          <w:bCs w:val="0"/>
        </w:rPr>
        <w:t>other</w:t>
      </w:r>
      <w:r w:rsidRPr="00DB0F6B">
        <w:rPr>
          <w:b w:val="0"/>
          <w:bCs w:val="0"/>
          <w:spacing w:val="-16"/>
        </w:rPr>
        <w:t xml:space="preserve"> </w:t>
      </w:r>
      <w:r w:rsidRPr="00DB0F6B">
        <w:rPr>
          <w:b w:val="0"/>
          <w:bCs w:val="0"/>
        </w:rPr>
        <w:t>parts</w:t>
      </w:r>
      <w:r w:rsidRPr="00DB0F6B">
        <w:rPr>
          <w:b w:val="0"/>
          <w:bCs w:val="0"/>
          <w:spacing w:val="-16"/>
        </w:rPr>
        <w:t xml:space="preserve"> </w:t>
      </w:r>
      <w:r w:rsidRPr="00DB0F6B">
        <w:rPr>
          <w:b w:val="0"/>
          <w:bCs w:val="0"/>
        </w:rPr>
        <w:t>of</w:t>
      </w:r>
      <w:r w:rsidRPr="00DB0F6B">
        <w:rPr>
          <w:b w:val="0"/>
          <w:bCs w:val="0"/>
          <w:spacing w:val="-16"/>
        </w:rPr>
        <w:t xml:space="preserve"> </w:t>
      </w:r>
      <w:r w:rsidRPr="00DB0F6B">
        <w:rPr>
          <w:b w:val="0"/>
          <w:bCs w:val="0"/>
        </w:rPr>
        <w:t>government</w:t>
      </w:r>
      <w:r w:rsidRPr="00DB0F6B">
        <w:rPr>
          <w:b w:val="0"/>
          <w:bCs w:val="0"/>
          <w:spacing w:val="-16"/>
        </w:rPr>
        <w:t xml:space="preserve"> </w:t>
      </w:r>
      <w:r w:rsidRPr="00DB0F6B">
        <w:rPr>
          <w:b w:val="0"/>
          <w:bCs w:val="0"/>
        </w:rPr>
        <w:t>to</w:t>
      </w:r>
      <w:r w:rsidRPr="00DB0F6B">
        <w:rPr>
          <w:b w:val="0"/>
          <w:bCs w:val="0"/>
          <w:spacing w:val="-16"/>
        </w:rPr>
        <w:t xml:space="preserve"> </w:t>
      </w:r>
      <w:r w:rsidRPr="00DB0F6B">
        <w:rPr>
          <w:b w:val="0"/>
          <w:bCs w:val="0"/>
        </w:rPr>
        <w:t>develop assistance</w:t>
      </w:r>
      <w:r w:rsidRPr="00DB0F6B">
        <w:rPr>
          <w:b w:val="0"/>
          <w:bCs w:val="0"/>
          <w:spacing w:val="-19"/>
        </w:rPr>
        <w:t xml:space="preserve"> </w:t>
      </w:r>
      <w:r w:rsidRPr="00DB0F6B">
        <w:rPr>
          <w:b w:val="0"/>
          <w:bCs w:val="0"/>
        </w:rPr>
        <w:t>measures</w:t>
      </w:r>
      <w:r w:rsidRPr="00DB0F6B">
        <w:rPr>
          <w:b w:val="0"/>
          <w:bCs w:val="0"/>
          <w:spacing w:val="-19"/>
        </w:rPr>
        <w:t xml:space="preserve"> </w:t>
      </w:r>
      <w:r w:rsidRPr="00DB0F6B">
        <w:rPr>
          <w:b w:val="0"/>
          <w:bCs w:val="0"/>
        </w:rPr>
        <w:t>for</w:t>
      </w:r>
      <w:r w:rsidRPr="00DB0F6B">
        <w:rPr>
          <w:b w:val="0"/>
          <w:bCs w:val="0"/>
          <w:spacing w:val="-19"/>
        </w:rPr>
        <w:t xml:space="preserve"> </w:t>
      </w:r>
      <w:r w:rsidRPr="00DB0F6B">
        <w:rPr>
          <w:b w:val="0"/>
          <w:bCs w:val="0"/>
        </w:rPr>
        <w:t>consumers</w:t>
      </w:r>
      <w:r w:rsidRPr="00DB0F6B">
        <w:rPr>
          <w:b w:val="0"/>
          <w:bCs w:val="0"/>
          <w:spacing w:val="-19"/>
        </w:rPr>
        <w:t xml:space="preserve"> </w:t>
      </w:r>
      <w:r w:rsidRPr="00DB0F6B">
        <w:rPr>
          <w:b w:val="0"/>
          <w:bCs w:val="0"/>
        </w:rPr>
        <w:t>impacted</w:t>
      </w:r>
      <w:r w:rsidRPr="00DB0F6B">
        <w:rPr>
          <w:b w:val="0"/>
          <w:bCs w:val="0"/>
          <w:spacing w:val="-19"/>
        </w:rPr>
        <w:t xml:space="preserve"> </w:t>
      </w:r>
      <w:r w:rsidRPr="00DB0F6B">
        <w:rPr>
          <w:b w:val="0"/>
          <w:bCs w:val="0"/>
        </w:rPr>
        <w:t>by</w:t>
      </w:r>
      <w:r w:rsidRPr="00DB0F6B">
        <w:rPr>
          <w:b w:val="0"/>
          <w:bCs w:val="0"/>
          <w:spacing w:val="-19"/>
        </w:rPr>
        <w:t xml:space="preserve"> </w:t>
      </w:r>
      <w:r w:rsidR="00DB0F6B" w:rsidRPr="00DB0F6B">
        <w:rPr>
          <w:b w:val="0"/>
          <w:bCs w:val="0"/>
          <w:spacing w:val="-19"/>
        </w:rPr>
        <w:br/>
      </w:r>
      <w:r w:rsidRPr="00DB0F6B">
        <w:rPr>
          <w:b w:val="0"/>
          <w:bCs w:val="0"/>
        </w:rPr>
        <w:t>builder</w:t>
      </w:r>
      <w:r w:rsidRPr="00DB0F6B">
        <w:rPr>
          <w:b w:val="0"/>
          <w:bCs w:val="0"/>
          <w:spacing w:val="-19"/>
        </w:rPr>
        <w:t xml:space="preserve"> </w:t>
      </w:r>
      <w:r w:rsidRPr="00DB0F6B">
        <w:rPr>
          <w:b w:val="0"/>
          <w:bCs w:val="0"/>
        </w:rPr>
        <w:t>insolvency</w:t>
      </w:r>
      <w:r w:rsidRPr="00DB0F6B">
        <w:rPr>
          <w:b w:val="0"/>
          <w:bCs w:val="0"/>
          <w:spacing w:val="-19"/>
        </w:rPr>
        <w:t xml:space="preserve"> </w:t>
      </w:r>
      <w:r w:rsidRPr="00DB0F6B">
        <w:rPr>
          <w:b w:val="0"/>
          <w:bCs w:val="0"/>
        </w:rPr>
        <w:t>and continues</w:t>
      </w:r>
      <w:r w:rsidRPr="00DB0F6B">
        <w:rPr>
          <w:b w:val="0"/>
          <w:bCs w:val="0"/>
          <w:spacing w:val="-11"/>
        </w:rPr>
        <w:t xml:space="preserve"> </w:t>
      </w:r>
      <w:r w:rsidRPr="00DB0F6B">
        <w:rPr>
          <w:b w:val="0"/>
          <w:bCs w:val="0"/>
        </w:rPr>
        <w:t>to</w:t>
      </w:r>
      <w:r w:rsidRPr="00DB0F6B">
        <w:rPr>
          <w:b w:val="0"/>
          <w:bCs w:val="0"/>
          <w:spacing w:val="-11"/>
        </w:rPr>
        <w:t xml:space="preserve"> </w:t>
      </w:r>
      <w:r w:rsidRPr="00DB0F6B">
        <w:rPr>
          <w:b w:val="0"/>
          <w:bCs w:val="0"/>
        </w:rPr>
        <w:t>place</w:t>
      </w:r>
      <w:r w:rsidRPr="00DB0F6B">
        <w:rPr>
          <w:b w:val="0"/>
          <w:bCs w:val="0"/>
          <w:spacing w:val="-11"/>
        </w:rPr>
        <w:t xml:space="preserve"> </w:t>
      </w:r>
      <w:r w:rsidRPr="00DB0F6B">
        <w:rPr>
          <w:b w:val="0"/>
          <w:bCs w:val="0"/>
        </w:rPr>
        <w:t>the</w:t>
      </w:r>
      <w:r w:rsidRPr="00DB0F6B">
        <w:rPr>
          <w:b w:val="0"/>
          <w:bCs w:val="0"/>
          <w:spacing w:val="-11"/>
        </w:rPr>
        <w:t xml:space="preserve"> </w:t>
      </w:r>
      <w:r w:rsidRPr="00DB0F6B">
        <w:rPr>
          <w:b w:val="0"/>
          <w:bCs w:val="0"/>
        </w:rPr>
        <w:t>consumer</w:t>
      </w:r>
      <w:r w:rsidRPr="00DB0F6B">
        <w:rPr>
          <w:b w:val="0"/>
          <w:bCs w:val="0"/>
          <w:spacing w:val="-11"/>
        </w:rPr>
        <w:t xml:space="preserve"> </w:t>
      </w:r>
      <w:r w:rsidRPr="00DB0F6B">
        <w:rPr>
          <w:b w:val="0"/>
          <w:bCs w:val="0"/>
        </w:rPr>
        <w:t>at</w:t>
      </w:r>
      <w:r w:rsidRPr="00DB0F6B">
        <w:rPr>
          <w:b w:val="0"/>
          <w:bCs w:val="0"/>
          <w:spacing w:val="-11"/>
        </w:rPr>
        <w:t xml:space="preserve"> </w:t>
      </w:r>
      <w:r w:rsidRPr="00DB0F6B">
        <w:rPr>
          <w:b w:val="0"/>
          <w:bCs w:val="0"/>
        </w:rPr>
        <w:t>the</w:t>
      </w:r>
      <w:r w:rsidRPr="00DB0F6B">
        <w:rPr>
          <w:b w:val="0"/>
          <w:bCs w:val="0"/>
          <w:spacing w:val="-11"/>
        </w:rPr>
        <w:t xml:space="preserve"> </w:t>
      </w:r>
      <w:r w:rsidR="00DB0F6B" w:rsidRPr="00DB0F6B">
        <w:rPr>
          <w:b w:val="0"/>
          <w:bCs w:val="0"/>
          <w:spacing w:val="-11"/>
        </w:rPr>
        <w:br/>
      </w:r>
      <w:r w:rsidRPr="00DB0F6B">
        <w:rPr>
          <w:b w:val="0"/>
          <w:bCs w:val="0"/>
        </w:rPr>
        <w:t>heart</w:t>
      </w:r>
      <w:r w:rsidRPr="00DB0F6B">
        <w:rPr>
          <w:b w:val="0"/>
          <w:bCs w:val="0"/>
          <w:spacing w:val="-11"/>
        </w:rPr>
        <w:t xml:space="preserve"> </w:t>
      </w:r>
      <w:r w:rsidRPr="00DB0F6B">
        <w:rPr>
          <w:b w:val="0"/>
          <w:bCs w:val="0"/>
        </w:rPr>
        <w:t>of</w:t>
      </w:r>
      <w:r w:rsidRPr="00DB0F6B">
        <w:rPr>
          <w:b w:val="0"/>
          <w:bCs w:val="0"/>
          <w:spacing w:val="-11"/>
        </w:rPr>
        <w:t xml:space="preserve"> </w:t>
      </w:r>
      <w:r w:rsidRPr="00DB0F6B">
        <w:rPr>
          <w:b w:val="0"/>
          <w:bCs w:val="0"/>
        </w:rPr>
        <w:t>what</w:t>
      </w:r>
      <w:r w:rsidRPr="00DB0F6B">
        <w:rPr>
          <w:b w:val="0"/>
          <w:bCs w:val="0"/>
          <w:spacing w:val="-11"/>
        </w:rPr>
        <w:t xml:space="preserve"> </w:t>
      </w:r>
      <w:r w:rsidRPr="00DB0F6B">
        <w:rPr>
          <w:b w:val="0"/>
          <w:bCs w:val="0"/>
        </w:rPr>
        <w:t>we</w:t>
      </w:r>
      <w:r w:rsidRPr="00DB0F6B">
        <w:rPr>
          <w:b w:val="0"/>
          <w:bCs w:val="0"/>
          <w:spacing w:val="-11"/>
        </w:rPr>
        <w:t xml:space="preserve"> </w:t>
      </w:r>
      <w:r w:rsidRPr="00DB0F6B">
        <w:rPr>
          <w:b w:val="0"/>
          <w:bCs w:val="0"/>
        </w:rPr>
        <w:t>do.</w:t>
      </w:r>
      <w:bookmarkEnd w:id="33"/>
    </w:p>
    <w:p w14:paraId="6330C75E" w14:textId="77777777" w:rsidR="00084F36" w:rsidRPr="00EB2BD8" w:rsidRDefault="00084F36">
      <w:pPr>
        <w:pStyle w:val="BodyText"/>
        <w:spacing w:before="10"/>
        <w:rPr>
          <w:rFonts w:ascii="Tahoma"/>
          <w:b/>
          <w:sz w:val="21"/>
        </w:rPr>
      </w:pPr>
    </w:p>
    <w:p w14:paraId="615D3C2F" w14:textId="77777777" w:rsidR="00084F36" w:rsidRPr="00EB2BD8" w:rsidRDefault="00084F36">
      <w:pPr>
        <w:rPr>
          <w:rFonts w:ascii="Tahoma"/>
          <w:sz w:val="21"/>
        </w:rPr>
        <w:sectPr w:rsidR="00084F36" w:rsidRPr="00EB2BD8" w:rsidSect="006D75B2">
          <w:footerReference w:type="default" r:id="rId21"/>
          <w:pgSz w:w="11910" w:h="16840"/>
          <w:pgMar w:top="1100" w:right="0" w:bottom="700" w:left="0" w:header="0" w:footer="515" w:gutter="0"/>
          <w:cols w:space="720"/>
        </w:sectPr>
      </w:pPr>
    </w:p>
    <w:p w14:paraId="50DACB83" w14:textId="4C864351" w:rsidR="00084F36" w:rsidRPr="00EB2BD8" w:rsidRDefault="00EB2BD8">
      <w:pPr>
        <w:pStyle w:val="BodyText"/>
        <w:spacing w:before="121" w:line="261" w:lineRule="auto"/>
        <w:ind w:left="866"/>
      </w:pPr>
      <w:r w:rsidRPr="00EB2BD8">
        <w:t>This</w:t>
      </w:r>
      <w:r w:rsidRPr="00EB2BD8">
        <w:rPr>
          <w:spacing w:val="-8"/>
        </w:rPr>
        <w:t xml:space="preserve"> </w:t>
      </w:r>
      <w:r w:rsidRPr="00EB2BD8">
        <w:t>Victorian</w:t>
      </w:r>
      <w:r w:rsidRPr="00EB2BD8">
        <w:rPr>
          <w:spacing w:val="-8"/>
        </w:rPr>
        <w:t xml:space="preserve"> </w:t>
      </w:r>
      <w:r w:rsidRPr="00EB2BD8">
        <w:t>Building</w:t>
      </w:r>
      <w:r w:rsidRPr="00EB2BD8">
        <w:rPr>
          <w:spacing w:val="-8"/>
        </w:rPr>
        <w:t xml:space="preserve"> </w:t>
      </w:r>
      <w:r w:rsidRPr="00EB2BD8">
        <w:t>Authority’s</w:t>
      </w:r>
      <w:r w:rsidRPr="00EB2BD8">
        <w:rPr>
          <w:spacing w:val="-8"/>
        </w:rPr>
        <w:t xml:space="preserve"> </w:t>
      </w:r>
      <w:r w:rsidRPr="00EB2BD8">
        <w:t>(VBA)</w:t>
      </w:r>
      <w:r w:rsidRPr="00EB2BD8">
        <w:rPr>
          <w:spacing w:val="-8"/>
        </w:rPr>
        <w:t xml:space="preserve"> </w:t>
      </w:r>
      <w:r w:rsidRPr="00EB2BD8">
        <w:t>Annual</w:t>
      </w:r>
      <w:r w:rsidRPr="00EB2BD8">
        <w:rPr>
          <w:spacing w:val="-8"/>
        </w:rPr>
        <w:t xml:space="preserve"> </w:t>
      </w:r>
      <w:r w:rsidRPr="00EB2BD8">
        <w:t>Report outlines</w:t>
      </w:r>
      <w:r w:rsidRPr="00EB2BD8">
        <w:rPr>
          <w:spacing w:val="-9"/>
        </w:rPr>
        <w:t xml:space="preserve"> </w:t>
      </w:r>
      <w:r w:rsidRPr="00EB2BD8">
        <w:t>the</w:t>
      </w:r>
      <w:r w:rsidRPr="00EB2BD8">
        <w:rPr>
          <w:spacing w:val="-9"/>
        </w:rPr>
        <w:t xml:space="preserve"> </w:t>
      </w:r>
      <w:r w:rsidRPr="00EB2BD8">
        <w:t>achievements</w:t>
      </w:r>
      <w:r w:rsidRPr="00EB2BD8">
        <w:rPr>
          <w:spacing w:val="-9"/>
        </w:rPr>
        <w:t xml:space="preserve"> </w:t>
      </w:r>
      <w:r w:rsidRPr="00EB2BD8">
        <w:t>of</w:t>
      </w:r>
      <w:r w:rsidRPr="00EB2BD8">
        <w:rPr>
          <w:spacing w:val="-9"/>
        </w:rPr>
        <w:t xml:space="preserve"> </w:t>
      </w:r>
      <w:r w:rsidRPr="00EB2BD8">
        <w:t>the</w:t>
      </w:r>
      <w:r w:rsidRPr="00EB2BD8">
        <w:rPr>
          <w:spacing w:val="-9"/>
        </w:rPr>
        <w:t xml:space="preserve"> </w:t>
      </w:r>
      <w:r w:rsidRPr="00EB2BD8">
        <w:t>Authority</w:t>
      </w:r>
      <w:r w:rsidRPr="00EB2BD8">
        <w:rPr>
          <w:spacing w:val="-9"/>
        </w:rPr>
        <w:t xml:space="preserve"> </w:t>
      </w:r>
      <w:r w:rsidRPr="00EB2BD8">
        <w:t>during</w:t>
      </w:r>
      <w:r w:rsidRPr="00EB2BD8">
        <w:rPr>
          <w:spacing w:val="-9"/>
        </w:rPr>
        <w:t xml:space="preserve"> </w:t>
      </w:r>
      <w:r w:rsidRPr="00EB2BD8">
        <w:t xml:space="preserve">what </w:t>
      </w:r>
      <w:r w:rsidRPr="00EB2BD8">
        <w:rPr>
          <w:w w:val="105"/>
        </w:rPr>
        <w:t>was</w:t>
      </w:r>
      <w:r w:rsidRPr="00EB2BD8">
        <w:rPr>
          <w:spacing w:val="-15"/>
          <w:w w:val="105"/>
        </w:rPr>
        <w:t xml:space="preserve"> </w:t>
      </w:r>
      <w:r w:rsidRPr="00EB2BD8">
        <w:rPr>
          <w:w w:val="105"/>
        </w:rPr>
        <w:t>a</w:t>
      </w:r>
      <w:r w:rsidRPr="00EB2BD8">
        <w:rPr>
          <w:spacing w:val="-15"/>
          <w:w w:val="105"/>
        </w:rPr>
        <w:t xml:space="preserve"> </w:t>
      </w:r>
      <w:r w:rsidRPr="00EB2BD8">
        <w:rPr>
          <w:w w:val="105"/>
        </w:rPr>
        <w:t>challenging</w:t>
      </w:r>
      <w:r w:rsidRPr="00EB2BD8">
        <w:rPr>
          <w:spacing w:val="-15"/>
          <w:w w:val="105"/>
        </w:rPr>
        <w:t xml:space="preserve"> </w:t>
      </w:r>
      <w:r w:rsidRPr="00EB2BD8">
        <w:rPr>
          <w:w w:val="105"/>
        </w:rPr>
        <w:t>year</w:t>
      </w:r>
      <w:r w:rsidRPr="00EB2BD8">
        <w:rPr>
          <w:spacing w:val="-15"/>
          <w:w w:val="105"/>
        </w:rPr>
        <w:t xml:space="preserve"> </w:t>
      </w:r>
      <w:r w:rsidRPr="00EB2BD8">
        <w:rPr>
          <w:w w:val="105"/>
        </w:rPr>
        <w:t>for</w:t>
      </w:r>
      <w:r w:rsidRPr="00EB2BD8">
        <w:rPr>
          <w:spacing w:val="-15"/>
          <w:w w:val="105"/>
        </w:rPr>
        <w:t xml:space="preserve"> </w:t>
      </w:r>
      <w:r w:rsidRPr="00EB2BD8">
        <w:rPr>
          <w:w w:val="105"/>
        </w:rPr>
        <w:t>the</w:t>
      </w:r>
      <w:r w:rsidRPr="00EB2BD8">
        <w:rPr>
          <w:spacing w:val="-15"/>
          <w:w w:val="105"/>
        </w:rPr>
        <w:t xml:space="preserve"> </w:t>
      </w:r>
      <w:r w:rsidRPr="00EB2BD8">
        <w:rPr>
          <w:w w:val="105"/>
        </w:rPr>
        <w:t>building</w:t>
      </w:r>
      <w:r w:rsidRPr="00EB2BD8">
        <w:rPr>
          <w:spacing w:val="-15"/>
          <w:w w:val="105"/>
        </w:rPr>
        <w:t xml:space="preserve"> </w:t>
      </w:r>
      <w:r w:rsidRPr="00EB2BD8">
        <w:rPr>
          <w:w w:val="105"/>
        </w:rPr>
        <w:t>and</w:t>
      </w:r>
      <w:r w:rsidRPr="00EB2BD8">
        <w:rPr>
          <w:spacing w:val="-15"/>
          <w:w w:val="105"/>
        </w:rPr>
        <w:t xml:space="preserve"> </w:t>
      </w:r>
      <w:r w:rsidRPr="00EB2BD8">
        <w:rPr>
          <w:w w:val="105"/>
        </w:rPr>
        <w:t>plumbing industry,</w:t>
      </w:r>
      <w:r w:rsidRPr="00EB2BD8">
        <w:rPr>
          <w:spacing w:val="-14"/>
          <w:w w:val="105"/>
        </w:rPr>
        <w:t xml:space="preserve"> </w:t>
      </w:r>
      <w:r w:rsidRPr="00EB2BD8">
        <w:rPr>
          <w:w w:val="105"/>
        </w:rPr>
        <w:t>and</w:t>
      </w:r>
      <w:r w:rsidRPr="00EB2BD8">
        <w:rPr>
          <w:spacing w:val="-14"/>
          <w:w w:val="105"/>
        </w:rPr>
        <w:t xml:space="preserve"> </w:t>
      </w:r>
      <w:r w:rsidRPr="00EB2BD8">
        <w:rPr>
          <w:w w:val="105"/>
        </w:rPr>
        <w:t>for</w:t>
      </w:r>
      <w:r w:rsidRPr="00EB2BD8">
        <w:rPr>
          <w:spacing w:val="-14"/>
          <w:w w:val="105"/>
        </w:rPr>
        <w:t xml:space="preserve"> </w:t>
      </w:r>
      <w:r w:rsidRPr="00EB2BD8">
        <w:rPr>
          <w:w w:val="105"/>
        </w:rPr>
        <w:t>many</w:t>
      </w:r>
      <w:r w:rsidRPr="00EB2BD8">
        <w:rPr>
          <w:spacing w:val="-14"/>
          <w:w w:val="105"/>
        </w:rPr>
        <w:t xml:space="preserve"> </w:t>
      </w:r>
      <w:r w:rsidRPr="00EB2BD8">
        <w:rPr>
          <w:w w:val="105"/>
        </w:rPr>
        <w:t>Victorians</w:t>
      </w:r>
      <w:r w:rsidRPr="00EB2BD8">
        <w:rPr>
          <w:spacing w:val="-14"/>
          <w:w w:val="105"/>
        </w:rPr>
        <w:t xml:space="preserve"> </w:t>
      </w:r>
      <w:r w:rsidRPr="00EB2BD8">
        <w:rPr>
          <w:w w:val="105"/>
        </w:rPr>
        <w:t>in</w:t>
      </w:r>
      <w:r w:rsidRPr="00EB2BD8">
        <w:rPr>
          <w:spacing w:val="-14"/>
          <w:w w:val="105"/>
        </w:rPr>
        <w:t xml:space="preserve"> </w:t>
      </w:r>
      <w:r w:rsidRPr="00EB2BD8">
        <w:rPr>
          <w:w w:val="105"/>
        </w:rPr>
        <w:t>the</w:t>
      </w:r>
      <w:r w:rsidRPr="00EB2BD8">
        <w:rPr>
          <w:spacing w:val="-14"/>
          <w:w w:val="105"/>
        </w:rPr>
        <w:t xml:space="preserve"> </w:t>
      </w:r>
      <w:r w:rsidRPr="00EB2BD8">
        <w:rPr>
          <w:w w:val="105"/>
        </w:rPr>
        <w:t>domestic housing</w:t>
      </w:r>
      <w:r w:rsidRPr="00EB2BD8">
        <w:rPr>
          <w:spacing w:val="-9"/>
          <w:w w:val="105"/>
        </w:rPr>
        <w:t xml:space="preserve"> </w:t>
      </w:r>
      <w:r w:rsidRPr="00EB2BD8">
        <w:rPr>
          <w:w w:val="105"/>
        </w:rPr>
        <w:t>market.</w:t>
      </w:r>
    </w:p>
    <w:p w14:paraId="74BE44C4" w14:textId="77777777" w:rsidR="00084F36" w:rsidRPr="00EB2BD8" w:rsidRDefault="00EB2BD8">
      <w:pPr>
        <w:pStyle w:val="BodyText"/>
        <w:spacing w:before="108" w:line="261" w:lineRule="auto"/>
        <w:ind w:left="866" w:right="361"/>
      </w:pPr>
      <w:r w:rsidRPr="00EB2BD8">
        <w:t>The</w:t>
      </w:r>
      <w:r w:rsidRPr="00EB2BD8">
        <w:rPr>
          <w:spacing w:val="-1"/>
        </w:rPr>
        <w:t xml:space="preserve"> </w:t>
      </w:r>
      <w:r w:rsidRPr="00EB2BD8">
        <w:t>cost</w:t>
      </w:r>
      <w:r w:rsidRPr="00EB2BD8">
        <w:rPr>
          <w:spacing w:val="-1"/>
        </w:rPr>
        <w:t xml:space="preserve"> </w:t>
      </w:r>
      <w:r w:rsidRPr="00EB2BD8">
        <w:t>of</w:t>
      </w:r>
      <w:r w:rsidRPr="00EB2BD8">
        <w:rPr>
          <w:spacing w:val="-1"/>
        </w:rPr>
        <w:t xml:space="preserve"> </w:t>
      </w:r>
      <w:r w:rsidRPr="00EB2BD8">
        <w:t>building</w:t>
      </w:r>
      <w:r w:rsidRPr="00EB2BD8">
        <w:rPr>
          <w:spacing w:val="-1"/>
        </w:rPr>
        <w:t xml:space="preserve"> </w:t>
      </w:r>
      <w:r w:rsidRPr="00EB2BD8">
        <w:t>works</w:t>
      </w:r>
      <w:r w:rsidRPr="00EB2BD8">
        <w:rPr>
          <w:spacing w:val="-1"/>
        </w:rPr>
        <w:t xml:space="preserve"> </w:t>
      </w:r>
      <w:r w:rsidRPr="00EB2BD8">
        <w:t>increased</w:t>
      </w:r>
      <w:r w:rsidRPr="00EB2BD8">
        <w:rPr>
          <w:spacing w:val="-1"/>
        </w:rPr>
        <w:t xml:space="preserve"> </w:t>
      </w:r>
      <w:r w:rsidRPr="00EB2BD8">
        <w:t>by</w:t>
      </w:r>
      <w:r w:rsidRPr="00EB2BD8">
        <w:rPr>
          <w:spacing w:val="-1"/>
        </w:rPr>
        <w:t xml:space="preserve"> </w:t>
      </w:r>
      <w:r w:rsidRPr="00EB2BD8">
        <w:t>4.7</w:t>
      </w:r>
      <w:r w:rsidRPr="00EB2BD8">
        <w:rPr>
          <w:spacing w:val="-1"/>
        </w:rPr>
        <w:t xml:space="preserve"> </w:t>
      </w:r>
      <w:r w:rsidRPr="00EB2BD8">
        <w:t>per cent</w:t>
      </w:r>
      <w:r w:rsidRPr="00EB2BD8">
        <w:rPr>
          <w:spacing w:val="-3"/>
        </w:rPr>
        <w:t xml:space="preserve"> </w:t>
      </w:r>
      <w:r w:rsidRPr="00EB2BD8">
        <w:t>compared</w:t>
      </w:r>
      <w:r w:rsidRPr="00EB2BD8">
        <w:rPr>
          <w:spacing w:val="-3"/>
        </w:rPr>
        <w:t xml:space="preserve"> </w:t>
      </w:r>
      <w:r w:rsidRPr="00EB2BD8">
        <w:t>to</w:t>
      </w:r>
      <w:r w:rsidRPr="00EB2BD8">
        <w:rPr>
          <w:spacing w:val="-3"/>
        </w:rPr>
        <w:t xml:space="preserve"> </w:t>
      </w:r>
      <w:r w:rsidRPr="00EB2BD8">
        <w:t>the</w:t>
      </w:r>
      <w:r w:rsidRPr="00EB2BD8">
        <w:rPr>
          <w:spacing w:val="-3"/>
        </w:rPr>
        <w:t xml:space="preserve"> </w:t>
      </w:r>
      <w:r w:rsidRPr="00EB2BD8">
        <w:t>previous</w:t>
      </w:r>
      <w:r w:rsidRPr="00EB2BD8">
        <w:rPr>
          <w:spacing w:val="-3"/>
        </w:rPr>
        <w:t xml:space="preserve"> </w:t>
      </w:r>
      <w:r w:rsidRPr="00EB2BD8">
        <w:t>year,</w:t>
      </w:r>
      <w:r w:rsidRPr="00EB2BD8">
        <w:rPr>
          <w:spacing w:val="-3"/>
        </w:rPr>
        <w:t xml:space="preserve"> </w:t>
      </w:r>
      <w:r w:rsidRPr="00EB2BD8">
        <w:t>creating</w:t>
      </w:r>
      <w:r w:rsidRPr="00EB2BD8">
        <w:rPr>
          <w:spacing w:val="-3"/>
        </w:rPr>
        <w:t xml:space="preserve"> </w:t>
      </w:r>
      <w:r w:rsidRPr="00EB2BD8">
        <w:t>an</w:t>
      </w:r>
    </w:p>
    <w:p w14:paraId="42610DC9" w14:textId="77777777" w:rsidR="00084F36" w:rsidRPr="00EB2BD8" w:rsidRDefault="00EB2BD8">
      <w:pPr>
        <w:pStyle w:val="BodyText"/>
        <w:spacing w:line="261" w:lineRule="auto"/>
        <w:ind w:left="866"/>
      </w:pPr>
      <w:r w:rsidRPr="00EB2BD8">
        <w:t>increasingly</w:t>
      </w:r>
      <w:r w:rsidRPr="00EB2BD8">
        <w:rPr>
          <w:spacing w:val="-15"/>
        </w:rPr>
        <w:t xml:space="preserve"> </w:t>
      </w:r>
      <w:r w:rsidRPr="00EB2BD8">
        <w:t>difficult</w:t>
      </w:r>
      <w:r w:rsidRPr="00EB2BD8">
        <w:rPr>
          <w:spacing w:val="-14"/>
        </w:rPr>
        <w:t xml:space="preserve"> </w:t>
      </w:r>
      <w:r w:rsidRPr="00EB2BD8">
        <w:t>operating</w:t>
      </w:r>
      <w:r w:rsidRPr="00EB2BD8">
        <w:rPr>
          <w:spacing w:val="-14"/>
        </w:rPr>
        <w:t xml:space="preserve"> </w:t>
      </w:r>
      <w:r w:rsidRPr="00EB2BD8">
        <w:t>environment</w:t>
      </w:r>
      <w:r w:rsidRPr="00EB2BD8">
        <w:rPr>
          <w:spacing w:val="-14"/>
        </w:rPr>
        <w:t xml:space="preserve"> </w:t>
      </w:r>
      <w:r w:rsidRPr="00EB2BD8">
        <w:t>for</w:t>
      </w:r>
      <w:r w:rsidRPr="00EB2BD8">
        <w:rPr>
          <w:spacing w:val="-15"/>
        </w:rPr>
        <w:t xml:space="preserve"> </w:t>
      </w:r>
      <w:r w:rsidRPr="00EB2BD8">
        <w:t>building and plumbing practitioners. This was reflected in the insolvency of a number of construction companies, which had a profound impact on many people in the community seeking to build a home for their families, as well as on the livelihoods of building practitioners, their contractors and suppliers. In light of this, the VBA worked with other parts of government to develop assistance measures for consumers impacted</w:t>
      </w:r>
    </w:p>
    <w:p w14:paraId="205AB828" w14:textId="77777777" w:rsidR="00084F36" w:rsidRPr="00EB2BD8" w:rsidRDefault="00EB2BD8">
      <w:pPr>
        <w:pStyle w:val="BodyText"/>
        <w:spacing w:line="261" w:lineRule="auto"/>
        <w:ind w:left="866"/>
      </w:pPr>
      <w:r w:rsidRPr="00EB2BD8">
        <w:t>by</w:t>
      </w:r>
      <w:r w:rsidRPr="00EB2BD8">
        <w:rPr>
          <w:spacing w:val="-5"/>
        </w:rPr>
        <w:t xml:space="preserve"> </w:t>
      </w:r>
      <w:r w:rsidRPr="00EB2BD8">
        <w:t>builder</w:t>
      </w:r>
      <w:r w:rsidRPr="00EB2BD8">
        <w:rPr>
          <w:spacing w:val="-5"/>
        </w:rPr>
        <w:t xml:space="preserve"> </w:t>
      </w:r>
      <w:r w:rsidRPr="00EB2BD8">
        <w:t>insolvency</w:t>
      </w:r>
      <w:r w:rsidRPr="00EB2BD8">
        <w:rPr>
          <w:spacing w:val="-5"/>
        </w:rPr>
        <w:t xml:space="preserve"> </w:t>
      </w:r>
      <w:r w:rsidRPr="00EB2BD8">
        <w:t>and</w:t>
      </w:r>
      <w:r w:rsidRPr="00EB2BD8">
        <w:rPr>
          <w:spacing w:val="-5"/>
        </w:rPr>
        <w:t xml:space="preserve"> </w:t>
      </w:r>
      <w:r w:rsidRPr="00EB2BD8">
        <w:t>continues</w:t>
      </w:r>
      <w:r w:rsidRPr="00EB2BD8">
        <w:rPr>
          <w:spacing w:val="-5"/>
        </w:rPr>
        <w:t xml:space="preserve"> </w:t>
      </w:r>
      <w:r w:rsidRPr="00EB2BD8">
        <w:t>to</w:t>
      </w:r>
      <w:r w:rsidRPr="00EB2BD8">
        <w:rPr>
          <w:spacing w:val="-5"/>
        </w:rPr>
        <w:t xml:space="preserve"> </w:t>
      </w:r>
      <w:r w:rsidRPr="00EB2BD8">
        <w:t>place</w:t>
      </w:r>
      <w:r w:rsidRPr="00EB2BD8">
        <w:rPr>
          <w:spacing w:val="-5"/>
        </w:rPr>
        <w:t xml:space="preserve"> </w:t>
      </w:r>
      <w:r w:rsidRPr="00EB2BD8">
        <w:t>the consumer at the heart of what we do.</w:t>
      </w:r>
    </w:p>
    <w:p w14:paraId="53578BBB" w14:textId="77777777" w:rsidR="00084F36" w:rsidRPr="00EB2BD8" w:rsidRDefault="00EB2BD8">
      <w:pPr>
        <w:pStyle w:val="BodyText"/>
        <w:spacing w:before="100" w:line="261" w:lineRule="auto"/>
        <w:ind w:left="866" w:right="150"/>
      </w:pPr>
      <w:r w:rsidRPr="00EB2BD8">
        <w:t>Despite industry and internal challenges, I am proud of how the VBA remained focused during this period on</w:t>
      </w:r>
      <w:r w:rsidRPr="00EB2BD8">
        <w:rPr>
          <w:spacing w:val="-1"/>
        </w:rPr>
        <w:t xml:space="preserve"> </w:t>
      </w:r>
      <w:r w:rsidRPr="00EB2BD8">
        <w:t>delivering</w:t>
      </w:r>
      <w:r w:rsidRPr="00EB2BD8">
        <w:rPr>
          <w:spacing w:val="-1"/>
        </w:rPr>
        <w:t xml:space="preserve"> </w:t>
      </w:r>
      <w:r w:rsidRPr="00EB2BD8">
        <w:t>effective</w:t>
      </w:r>
      <w:r w:rsidRPr="00EB2BD8">
        <w:rPr>
          <w:spacing w:val="-1"/>
        </w:rPr>
        <w:t xml:space="preserve"> </w:t>
      </w:r>
      <w:r w:rsidRPr="00EB2BD8">
        <w:t>regulation</w:t>
      </w:r>
      <w:r w:rsidRPr="00EB2BD8">
        <w:rPr>
          <w:spacing w:val="-1"/>
        </w:rPr>
        <w:t xml:space="preserve"> </w:t>
      </w:r>
      <w:r w:rsidRPr="00EB2BD8">
        <w:t>of</w:t>
      </w:r>
      <w:r w:rsidRPr="00EB2BD8">
        <w:rPr>
          <w:spacing w:val="-1"/>
        </w:rPr>
        <w:t xml:space="preserve"> </w:t>
      </w:r>
      <w:r w:rsidRPr="00EB2BD8">
        <w:t>the</w:t>
      </w:r>
      <w:r w:rsidRPr="00EB2BD8">
        <w:rPr>
          <w:spacing w:val="-1"/>
        </w:rPr>
        <w:t xml:space="preserve"> </w:t>
      </w:r>
      <w:r w:rsidRPr="00EB2BD8">
        <w:t>building</w:t>
      </w:r>
      <w:r w:rsidRPr="00EB2BD8">
        <w:rPr>
          <w:spacing w:val="-1"/>
        </w:rPr>
        <w:t xml:space="preserve"> </w:t>
      </w:r>
      <w:r w:rsidRPr="00EB2BD8">
        <w:t>and plumbing</w:t>
      </w:r>
      <w:r w:rsidRPr="00EB2BD8">
        <w:rPr>
          <w:spacing w:val="-11"/>
        </w:rPr>
        <w:t xml:space="preserve"> </w:t>
      </w:r>
      <w:r w:rsidRPr="00EB2BD8">
        <w:t>industries,</w:t>
      </w:r>
      <w:r w:rsidRPr="00EB2BD8">
        <w:rPr>
          <w:spacing w:val="-11"/>
        </w:rPr>
        <w:t xml:space="preserve"> </w:t>
      </w:r>
      <w:r w:rsidRPr="00EB2BD8">
        <w:t>to</w:t>
      </w:r>
      <w:r w:rsidRPr="00EB2BD8">
        <w:rPr>
          <w:spacing w:val="-11"/>
        </w:rPr>
        <w:t xml:space="preserve"> </w:t>
      </w:r>
      <w:r w:rsidRPr="00EB2BD8">
        <w:t>keep</w:t>
      </w:r>
      <w:r w:rsidRPr="00EB2BD8">
        <w:rPr>
          <w:spacing w:val="-11"/>
        </w:rPr>
        <w:t xml:space="preserve"> </w:t>
      </w:r>
      <w:r w:rsidRPr="00EB2BD8">
        <w:t>Victorians</w:t>
      </w:r>
      <w:r w:rsidRPr="00EB2BD8">
        <w:rPr>
          <w:spacing w:val="-11"/>
        </w:rPr>
        <w:t xml:space="preserve"> </w:t>
      </w:r>
      <w:r w:rsidRPr="00EB2BD8">
        <w:t>safe.</w:t>
      </w:r>
      <w:r w:rsidRPr="00EB2BD8">
        <w:rPr>
          <w:spacing w:val="-11"/>
        </w:rPr>
        <w:t xml:space="preserve"> </w:t>
      </w:r>
      <w:r w:rsidRPr="00EB2BD8">
        <w:t>Our</w:t>
      </w:r>
      <w:r w:rsidRPr="00EB2BD8">
        <w:rPr>
          <w:spacing w:val="-11"/>
        </w:rPr>
        <w:t xml:space="preserve"> </w:t>
      </w:r>
      <w:r w:rsidRPr="00EB2BD8">
        <w:t>aim is</w:t>
      </w:r>
      <w:r w:rsidRPr="00EB2BD8">
        <w:rPr>
          <w:spacing w:val="-13"/>
        </w:rPr>
        <w:t xml:space="preserve"> </w:t>
      </w:r>
      <w:r w:rsidRPr="00EB2BD8">
        <w:t>to</w:t>
      </w:r>
      <w:r w:rsidRPr="00EB2BD8">
        <w:rPr>
          <w:spacing w:val="-13"/>
        </w:rPr>
        <w:t xml:space="preserve"> </w:t>
      </w:r>
      <w:r w:rsidRPr="00EB2BD8">
        <w:t>help</w:t>
      </w:r>
      <w:r w:rsidRPr="00EB2BD8">
        <w:rPr>
          <w:spacing w:val="-13"/>
        </w:rPr>
        <w:t xml:space="preserve"> </w:t>
      </w:r>
      <w:r w:rsidRPr="00EB2BD8">
        <w:t>maintain</w:t>
      </w:r>
      <w:r w:rsidRPr="00EB2BD8">
        <w:rPr>
          <w:spacing w:val="-13"/>
        </w:rPr>
        <w:t xml:space="preserve"> </w:t>
      </w:r>
      <w:r w:rsidRPr="00EB2BD8">
        <w:t>confidence</w:t>
      </w:r>
      <w:r w:rsidRPr="00EB2BD8">
        <w:rPr>
          <w:spacing w:val="-13"/>
        </w:rPr>
        <w:t xml:space="preserve"> </w:t>
      </w:r>
      <w:r w:rsidRPr="00EB2BD8">
        <w:t>in</w:t>
      </w:r>
      <w:r w:rsidRPr="00EB2BD8">
        <w:rPr>
          <w:spacing w:val="-13"/>
        </w:rPr>
        <w:t xml:space="preserve"> </w:t>
      </w:r>
      <w:r w:rsidRPr="00EB2BD8">
        <w:t>the</w:t>
      </w:r>
      <w:r w:rsidRPr="00EB2BD8">
        <w:rPr>
          <w:spacing w:val="-13"/>
        </w:rPr>
        <w:t xml:space="preserve"> </w:t>
      </w:r>
      <w:r w:rsidRPr="00EB2BD8">
        <w:t>industry,</w:t>
      </w:r>
      <w:r w:rsidRPr="00EB2BD8">
        <w:rPr>
          <w:spacing w:val="-13"/>
        </w:rPr>
        <w:t xml:space="preserve"> </w:t>
      </w:r>
      <w:r w:rsidRPr="00EB2BD8">
        <w:t>sustain employment and economic activity, and protect the health and safety of Victorians.</w:t>
      </w:r>
    </w:p>
    <w:p w14:paraId="60985D6C" w14:textId="77777777" w:rsidR="00084F36" w:rsidRPr="00EB2BD8" w:rsidRDefault="00EB2BD8">
      <w:pPr>
        <w:pStyle w:val="BodyText"/>
        <w:spacing w:before="106" w:line="261" w:lineRule="auto"/>
        <w:ind w:left="866"/>
      </w:pPr>
      <w:r w:rsidRPr="00EB2BD8">
        <w:t xml:space="preserve">This was the first full year where the VBA’s strategic plan, </w:t>
      </w:r>
      <w:r w:rsidRPr="00EB2BD8">
        <w:rPr>
          <w:i/>
        </w:rPr>
        <w:t>Vision27</w:t>
      </w:r>
      <w:r w:rsidRPr="00EB2BD8">
        <w:t>, was in effect, and the VBA had strong achievement</w:t>
      </w:r>
      <w:r w:rsidRPr="00EB2BD8">
        <w:rPr>
          <w:spacing w:val="-8"/>
        </w:rPr>
        <w:t xml:space="preserve"> </w:t>
      </w:r>
      <w:r w:rsidRPr="00EB2BD8">
        <w:t>against</w:t>
      </w:r>
      <w:r w:rsidRPr="00EB2BD8">
        <w:rPr>
          <w:spacing w:val="-8"/>
        </w:rPr>
        <w:t xml:space="preserve"> </w:t>
      </w:r>
      <w:r w:rsidRPr="00EB2BD8">
        <w:t>all</w:t>
      </w:r>
      <w:r w:rsidRPr="00EB2BD8">
        <w:rPr>
          <w:spacing w:val="-8"/>
        </w:rPr>
        <w:t xml:space="preserve"> </w:t>
      </w:r>
      <w:r w:rsidRPr="00EB2BD8">
        <w:t>parts</w:t>
      </w:r>
      <w:r w:rsidRPr="00EB2BD8">
        <w:rPr>
          <w:spacing w:val="-8"/>
        </w:rPr>
        <w:t xml:space="preserve"> </w:t>
      </w:r>
      <w:r w:rsidRPr="00EB2BD8">
        <w:t>of</w:t>
      </w:r>
      <w:r w:rsidRPr="00EB2BD8">
        <w:rPr>
          <w:spacing w:val="-8"/>
        </w:rPr>
        <w:t xml:space="preserve"> </w:t>
      </w:r>
      <w:r w:rsidRPr="00EB2BD8">
        <w:t>the</w:t>
      </w:r>
      <w:r w:rsidRPr="00EB2BD8">
        <w:rPr>
          <w:spacing w:val="-8"/>
        </w:rPr>
        <w:t xml:space="preserve"> </w:t>
      </w:r>
      <w:r w:rsidRPr="00EB2BD8">
        <w:t>strategy.</w:t>
      </w:r>
      <w:r w:rsidRPr="00EB2BD8">
        <w:rPr>
          <w:spacing w:val="-8"/>
        </w:rPr>
        <w:t xml:space="preserve"> </w:t>
      </w:r>
      <w:r w:rsidRPr="00EB2BD8">
        <w:t>Of</w:t>
      </w:r>
      <w:r w:rsidRPr="00EB2BD8">
        <w:rPr>
          <w:spacing w:val="-8"/>
        </w:rPr>
        <w:t xml:space="preserve"> </w:t>
      </w:r>
      <w:r w:rsidRPr="00EB2BD8">
        <w:t>course, a</w:t>
      </w:r>
      <w:r w:rsidRPr="00EB2BD8">
        <w:rPr>
          <w:spacing w:val="-4"/>
        </w:rPr>
        <w:t xml:space="preserve"> </w:t>
      </w:r>
      <w:r w:rsidRPr="00EB2BD8">
        <w:t>strategy</w:t>
      </w:r>
      <w:r w:rsidRPr="00EB2BD8">
        <w:rPr>
          <w:spacing w:val="-4"/>
        </w:rPr>
        <w:t xml:space="preserve"> </w:t>
      </w:r>
      <w:r w:rsidRPr="00EB2BD8">
        <w:t>must</w:t>
      </w:r>
      <w:r w:rsidRPr="00EB2BD8">
        <w:rPr>
          <w:spacing w:val="-4"/>
        </w:rPr>
        <w:t xml:space="preserve"> </w:t>
      </w:r>
      <w:r w:rsidRPr="00EB2BD8">
        <w:t>be</w:t>
      </w:r>
      <w:r w:rsidRPr="00EB2BD8">
        <w:rPr>
          <w:spacing w:val="-4"/>
        </w:rPr>
        <w:t xml:space="preserve"> </w:t>
      </w:r>
      <w:r w:rsidRPr="00EB2BD8">
        <w:t>sufficiently</w:t>
      </w:r>
      <w:r w:rsidRPr="00EB2BD8">
        <w:rPr>
          <w:spacing w:val="-4"/>
        </w:rPr>
        <w:t xml:space="preserve"> </w:t>
      </w:r>
      <w:r w:rsidRPr="00EB2BD8">
        <w:t>flexible</w:t>
      </w:r>
      <w:r w:rsidRPr="00EB2BD8">
        <w:rPr>
          <w:spacing w:val="-4"/>
        </w:rPr>
        <w:t xml:space="preserve"> </w:t>
      </w:r>
      <w:r w:rsidRPr="00EB2BD8">
        <w:t>to</w:t>
      </w:r>
      <w:r w:rsidRPr="00EB2BD8">
        <w:rPr>
          <w:spacing w:val="-4"/>
        </w:rPr>
        <w:t xml:space="preserve"> </w:t>
      </w:r>
      <w:r w:rsidRPr="00EB2BD8">
        <w:t>accommodate a</w:t>
      </w:r>
      <w:r w:rsidRPr="00EB2BD8">
        <w:rPr>
          <w:spacing w:val="-6"/>
        </w:rPr>
        <w:t xml:space="preserve"> </w:t>
      </w:r>
      <w:r w:rsidRPr="00EB2BD8">
        <w:t>dynamic</w:t>
      </w:r>
      <w:r w:rsidRPr="00EB2BD8">
        <w:rPr>
          <w:spacing w:val="-6"/>
        </w:rPr>
        <w:t xml:space="preserve"> </w:t>
      </w:r>
      <w:r w:rsidRPr="00EB2BD8">
        <w:t>environment,</w:t>
      </w:r>
      <w:r w:rsidRPr="00EB2BD8">
        <w:rPr>
          <w:spacing w:val="-6"/>
        </w:rPr>
        <w:t xml:space="preserve"> </w:t>
      </w:r>
      <w:r w:rsidRPr="00EB2BD8">
        <w:t>and</w:t>
      </w:r>
      <w:r w:rsidRPr="00EB2BD8">
        <w:rPr>
          <w:spacing w:val="-6"/>
        </w:rPr>
        <w:t xml:space="preserve"> </w:t>
      </w:r>
      <w:r w:rsidRPr="00EB2BD8">
        <w:t>effective</w:t>
      </w:r>
      <w:r w:rsidRPr="00EB2BD8">
        <w:rPr>
          <w:spacing w:val="-6"/>
        </w:rPr>
        <w:t xml:space="preserve"> </w:t>
      </w:r>
      <w:r w:rsidRPr="00EB2BD8">
        <w:t>organisations</w:t>
      </w:r>
      <w:r w:rsidRPr="00EB2BD8">
        <w:rPr>
          <w:spacing w:val="-6"/>
        </w:rPr>
        <w:t xml:space="preserve"> </w:t>
      </w:r>
      <w:r w:rsidRPr="00EB2BD8">
        <w:t>will always be prepared to reflect on areas of emphasis. At the VBA, we have been particularly focused on two key pillars of our strategy, namely continuing to evolve as</w:t>
      </w:r>
    </w:p>
    <w:p w14:paraId="5044E5EE" w14:textId="77777777" w:rsidR="00084F36" w:rsidRPr="00EB2BD8" w:rsidRDefault="00EB2BD8">
      <w:pPr>
        <w:pStyle w:val="BodyText"/>
        <w:spacing w:line="261" w:lineRule="auto"/>
        <w:ind w:left="866"/>
      </w:pPr>
      <w:r w:rsidRPr="00EB2BD8">
        <w:t xml:space="preserve">a trusted regulator and on building a strength-based </w:t>
      </w:r>
      <w:r w:rsidRPr="00EB2BD8">
        <w:rPr>
          <w:spacing w:val="-2"/>
        </w:rPr>
        <w:t>workplace.</w:t>
      </w:r>
    </w:p>
    <w:p w14:paraId="7E35B24D" w14:textId="77777777" w:rsidR="00084F36" w:rsidRPr="00EB2BD8" w:rsidRDefault="00EB2BD8">
      <w:pPr>
        <w:pStyle w:val="BodyText"/>
        <w:spacing w:before="95" w:line="261" w:lineRule="auto"/>
        <w:ind w:left="397" w:right="1048"/>
        <w:rPr>
          <w:i/>
        </w:rPr>
      </w:pPr>
      <w:r w:rsidRPr="00EB2BD8">
        <w:br w:type="column"/>
      </w:r>
      <w:r w:rsidRPr="00EB2BD8">
        <w:t xml:space="preserve">To support the delivery of ongoing and evolving functions, the VBA Board has provided oversight of the development of strategies and approaches that build confidence in the VBA, to benefit consumers and practitioners, while aligning with government expectations and the </w:t>
      </w:r>
      <w:r w:rsidRPr="00EB2BD8">
        <w:rPr>
          <w:i/>
        </w:rPr>
        <w:t>Building Act 1993.</w:t>
      </w:r>
    </w:p>
    <w:p w14:paraId="6D0621D1" w14:textId="77777777" w:rsidR="00084F36" w:rsidRPr="00EB2BD8" w:rsidRDefault="00EB2BD8">
      <w:pPr>
        <w:spacing w:before="106" w:line="256" w:lineRule="auto"/>
        <w:ind w:left="397" w:right="955"/>
        <w:rPr>
          <w:sz w:val="19"/>
        </w:rPr>
      </w:pPr>
      <w:r w:rsidRPr="00EB2BD8">
        <w:rPr>
          <w:sz w:val="19"/>
        </w:rPr>
        <w:t>We have focused the organisation on providing effective regulation that ensures practitioners are appropriately</w:t>
      </w:r>
      <w:r w:rsidRPr="00EB2BD8">
        <w:rPr>
          <w:spacing w:val="-7"/>
          <w:sz w:val="19"/>
        </w:rPr>
        <w:t xml:space="preserve"> </w:t>
      </w:r>
      <w:r w:rsidRPr="00EB2BD8">
        <w:rPr>
          <w:sz w:val="19"/>
        </w:rPr>
        <w:t>skilled</w:t>
      </w:r>
      <w:r w:rsidRPr="00EB2BD8">
        <w:rPr>
          <w:spacing w:val="-7"/>
          <w:sz w:val="19"/>
        </w:rPr>
        <w:t xml:space="preserve"> </w:t>
      </w:r>
      <w:r w:rsidRPr="00EB2BD8">
        <w:rPr>
          <w:sz w:val="19"/>
        </w:rPr>
        <w:t>and</w:t>
      </w:r>
      <w:r w:rsidRPr="00EB2BD8">
        <w:rPr>
          <w:spacing w:val="-7"/>
          <w:sz w:val="19"/>
        </w:rPr>
        <w:t xml:space="preserve"> </w:t>
      </w:r>
      <w:r w:rsidRPr="00EB2BD8">
        <w:rPr>
          <w:sz w:val="19"/>
        </w:rPr>
        <w:t>qualified</w:t>
      </w:r>
      <w:r w:rsidRPr="00EB2BD8">
        <w:rPr>
          <w:spacing w:val="-7"/>
          <w:sz w:val="19"/>
        </w:rPr>
        <w:t xml:space="preserve"> </w:t>
      </w:r>
      <w:r w:rsidRPr="00EB2BD8">
        <w:rPr>
          <w:sz w:val="19"/>
        </w:rPr>
        <w:t>through</w:t>
      </w:r>
      <w:r w:rsidRPr="00EB2BD8">
        <w:rPr>
          <w:spacing w:val="-7"/>
          <w:sz w:val="19"/>
        </w:rPr>
        <w:t xml:space="preserve"> </w:t>
      </w:r>
      <w:r w:rsidRPr="00EB2BD8">
        <w:rPr>
          <w:sz w:val="19"/>
        </w:rPr>
        <w:t>a</w:t>
      </w:r>
      <w:r w:rsidRPr="00EB2BD8">
        <w:rPr>
          <w:spacing w:val="-7"/>
          <w:sz w:val="19"/>
        </w:rPr>
        <w:t xml:space="preserve"> </w:t>
      </w:r>
      <w:r w:rsidRPr="00EB2BD8">
        <w:rPr>
          <w:sz w:val="19"/>
        </w:rPr>
        <w:t>robust licensing and registration framework. Through inspections and audits, we continued to place emphasis on ensuring construction work meets high and lasting levels of quality, to minimise any potential harm to the community.</w:t>
      </w:r>
    </w:p>
    <w:p w14:paraId="1F4C33DB" w14:textId="77777777" w:rsidR="00084F36" w:rsidRPr="00EB2BD8" w:rsidRDefault="00EB2BD8">
      <w:pPr>
        <w:pStyle w:val="BodyText"/>
        <w:spacing w:before="7"/>
        <w:rPr>
          <w:sz w:val="16"/>
        </w:rPr>
      </w:pPr>
      <w:r w:rsidRPr="00EB2BD8">
        <w:rPr>
          <w:noProof/>
        </w:rPr>
        <w:drawing>
          <wp:anchor distT="0" distB="0" distL="0" distR="0" simplePos="0" relativeHeight="251922432" behindDoc="1" locked="0" layoutInCell="1" allowOverlap="1" wp14:anchorId="17418A2B" wp14:editId="52F8AAC2">
            <wp:simplePos x="0" y="0"/>
            <wp:positionH relativeFrom="page">
              <wp:posOffset>3915727</wp:posOffset>
            </wp:positionH>
            <wp:positionV relativeFrom="paragraph">
              <wp:posOffset>139358</wp:posOffset>
            </wp:positionV>
            <wp:extent cx="3179701" cy="3087243"/>
            <wp:effectExtent l="0" t="0" r="0" b="0"/>
            <wp:wrapTopAndBottom/>
            <wp:docPr id="115" name="Imag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3179701" cy="3087243"/>
                    </a:xfrm>
                    <a:prstGeom prst="rect">
                      <a:avLst/>
                    </a:prstGeom>
                  </pic:spPr>
                </pic:pic>
              </a:graphicData>
            </a:graphic>
          </wp:anchor>
        </w:drawing>
      </w:r>
    </w:p>
    <w:p w14:paraId="496E25CF" w14:textId="77777777" w:rsidR="00084F36" w:rsidRPr="00EB2BD8" w:rsidRDefault="00EB2BD8">
      <w:pPr>
        <w:spacing w:before="131"/>
        <w:ind w:left="1885" w:right="2359"/>
        <w:jc w:val="center"/>
        <w:rPr>
          <w:rFonts w:ascii="Tahoma"/>
          <w:b/>
          <w:sz w:val="19"/>
        </w:rPr>
      </w:pPr>
      <w:r w:rsidRPr="00EB2BD8">
        <w:rPr>
          <w:rFonts w:ascii="Tahoma"/>
          <w:b/>
          <w:spacing w:val="-2"/>
          <w:sz w:val="19"/>
        </w:rPr>
        <w:t>Michelle</w:t>
      </w:r>
      <w:r w:rsidRPr="00EB2BD8">
        <w:rPr>
          <w:rFonts w:ascii="Tahoma"/>
          <w:b/>
          <w:spacing w:val="-12"/>
          <w:sz w:val="19"/>
        </w:rPr>
        <w:t xml:space="preserve"> </w:t>
      </w:r>
      <w:r w:rsidRPr="00EB2BD8">
        <w:rPr>
          <w:rFonts w:ascii="Tahoma"/>
          <w:b/>
          <w:spacing w:val="-2"/>
          <w:sz w:val="19"/>
        </w:rPr>
        <w:t>McLean</w:t>
      </w:r>
    </w:p>
    <w:p w14:paraId="21AD5A75" w14:textId="77777777" w:rsidR="00084F36" w:rsidRPr="00EB2BD8" w:rsidRDefault="00EB2BD8">
      <w:pPr>
        <w:spacing w:before="8"/>
        <w:ind w:left="1885" w:right="2359"/>
        <w:jc w:val="center"/>
        <w:rPr>
          <w:sz w:val="19"/>
        </w:rPr>
      </w:pPr>
      <w:r w:rsidRPr="00EB2BD8">
        <w:rPr>
          <w:sz w:val="19"/>
        </w:rPr>
        <w:t>Chief</w:t>
      </w:r>
      <w:r w:rsidRPr="00EB2BD8">
        <w:rPr>
          <w:spacing w:val="2"/>
          <w:sz w:val="19"/>
        </w:rPr>
        <w:t xml:space="preserve"> </w:t>
      </w:r>
      <w:r w:rsidRPr="00EB2BD8">
        <w:rPr>
          <w:spacing w:val="-2"/>
          <w:sz w:val="19"/>
        </w:rPr>
        <w:t>Commissioner</w:t>
      </w:r>
    </w:p>
    <w:p w14:paraId="1273EF55" w14:textId="77777777" w:rsidR="00084F36" w:rsidRPr="00EB2BD8" w:rsidRDefault="00084F36">
      <w:pPr>
        <w:jc w:val="center"/>
        <w:rPr>
          <w:sz w:val="19"/>
        </w:rPr>
        <w:sectPr w:rsidR="00084F36" w:rsidRPr="00EB2BD8" w:rsidSect="006D75B2">
          <w:type w:val="continuous"/>
          <w:pgSz w:w="11910" w:h="16840"/>
          <w:pgMar w:top="1920" w:right="0" w:bottom="280" w:left="0" w:header="0" w:footer="528" w:gutter="0"/>
          <w:cols w:num="2" w:space="720" w:equalWidth="0">
            <w:col w:w="5743" w:space="40"/>
            <w:col w:w="6127"/>
          </w:cols>
        </w:sectPr>
      </w:pPr>
    </w:p>
    <w:p w14:paraId="04B14588" w14:textId="77777777" w:rsidR="00084F36" w:rsidRPr="00EB2BD8" w:rsidRDefault="00084F36">
      <w:pPr>
        <w:pStyle w:val="BodyText"/>
        <w:rPr>
          <w:sz w:val="20"/>
        </w:rPr>
      </w:pPr>
    </w:p>
    <w:p w14:paraId="1FC527FB" w14:textId="77777777" w:rsidR="00084F36" w:rsidRPr="00EB2BD8" w:rsidRDefault="00084F36">
      <w:pPr>
        <w:pStyle w:val="BodyText"/>
        <w:rPr>
          <w:sz w:val="20"/>
        </w:rPr>
      </w:pPr>
    </w:p>
    <w:p w14:paraId="699B9D26" w14:textId="77777777" w:rsidR="00084F36" w:rsidRPr="00EB2BD8" w:rsidRDefault="00084F36">
      <w:pPr>
        <w:pStyle w:val="BodyText"/>
        <w:rPr>
          <w:sz w:val="20"/>
        </w:rPr>
      </w:pPr>
    </w:p>
    <w:p w14:paraId="11E8BA43" w14:textId="77777777" w:rsidR="00084F36" w:rsidRPr="00EB2BD8" w:rsidRDefault="00084F36">
      <w:pPr>
        <w:pStyle w:val="BodyText"/>
        <w:rPr>
          <w:sz w:val="20"/>
        </w:rPr>
      </w:pPr>
    </w:p>
    <w:p w14:paraId="283E4EB2" w14:textId="77777777" w:rsidR="00084F36" w:rsidRPr="00EB2BD8" w:rsidRDefault="00084F36">
      <w:pPr>
        <w:pStyle w:val="BodyText"/>
        <w:spacing w:before="3"/>
        <w:rPr>
          <w:sz w:val="17"/>
        </w:rPr>
      </w:pPr>
    </w:p>
    <w:p w14:paraId="795DB889" w14:textId="77777777" w:rsidR="00084F36" w:rsidRPr="00EB2BD8" w:rsidRDefault="00084F36">
      <w:pPr>
        <w:rPr>
          <w:sz w:val="17"/>
        </w:rPr>
        <w:sectPr w:rsidR="00084F36" w:rsidRPr="00EB2BD8" w:rsidSect="006D75B2">
          <w:headerReference w:type="even" r:id="rId23"/>
          <w:headerReference w:type="default" r:id="rId24"/>
          <w:footerReference w:type="default" r:id="rId25"/>
          <w:pgSz w:w="11910" w:h="16840"/>
          <w:pgMar w:top="1080" w:right="0" w:bottom="0" w:left="0" w:header="0" w:footer="0" w:gutter="0"/>
          <w:cols w:space="720"/>
        </w:sectPr>
      </w:pPr>
    </w:p>
    <w:p w14:paraId="1B7D509D" w14:textId="77777777" w:rsidR="00084F36" w:rsidRPr="00EB2BD8" w:rsidRDefault="00EB2BD8">
      <w:pPr>
        <w:spacing w:before="95" w:line="256" w:lineRule="auto"/>
        <w:ind w:left="850"/>
        <w:rPr>
          <w:sz w:val="19"/>
        </w:rPr>
      </w:pPr>
      <w:r w:rsidRPr="00EB2BD8">
        <w:rPr>
          <w:sz w:val="19"/>
        </w:rPr>
        <w:t>This year, the VBA conducted more than 500 investigations</w:t>
      </w:r>
      <w:r w:rsidRPr="00EB2BD8">
        <w:rPr>
          <w:spacing w:val="-13"/>
          <w:sz w:val="19"/>
        </w:rPr>
        <w:t xml:space="preserve"> </w:t>
      </w:r>
      <w:r w:rsidRPr="00EB2BD8">
        <w:rPr>
          <w:sz w:val="19"/>
        </w:rPr>
        <w:t>to</w:t>
      </w:r>
      <w:r w:rsidRPr="00EB2BD8">
        <w:rPr>
          <w:spacing w:val="-13"/>
          <w:sz w:val="19"/>
        </w:rPr>
        <w:t xml:space="preserve"> </w:t>
      </w:r>
      <w:r w:rsidRPr="00EB2BD8">
        <w:rPr>
          <w:sz w:val="19"/>
        </w:rPr>
        <w:t>determine</w:t>
      </w:r>
      <w:r w:rsidRPr="00EB2BD8">
        <w:rPr>
          <w:spacing w:val="-13"/>
          <w:sz w:val="19"/>
        </w:rPr>
        <w:t xml:space="preserve"> </w:t>
      </w:r>
      <w:r w:rsidRPr="00EB2BD8">
        <w:rPr>
          <w:sz w:val="19"/>
        </w:rPr>
        <w:t>if</w:t>
      </w:r>
      <w:r w:rsidRPr="00EB2BD8">
        <w:rPr>
          <w:spacing w:val="-13"/>
          <w:sz w:val="19"/>
        </w:rPr>
        <w:t xml:space="preserve"> </w:t>
      </w:r>
      <w:r w:rsidRPr="00EB2BD8">
        <w:rPr>
          <w:sz w:val="19"/>
        </w:rPr>
        <w:t>building</w:t>
      </w:r>
      <w:r w:rsidRPr="00EB2BD8">
        <w:rPr>
          <w:spacing w:val="-13"/>
          <w:sz w:val="19"/>
        </w:rPr>
        <w:t xml:space="preserve"> </w:t>
      </w:r>
      <w:r w:rsidRPr="00EB2BD8">
        <w:rPr>
          <w:sz w:val="19"/>
        </w:rPr>
        <w:t>and</w:t>
      </w:r>
      <w:r w:rsidRPr="00EB2BD8">
        <w:rPr>
          <w:spacing w:val="-13"/>
          <w:sz w:val="19"/>
        </w:rPr>
        <w:t xml:space="preserve"> </w:t>
      </w:r>
      <w:r w:rsidRPr="00EB2BD8">
        <w:rPr>
          <w:sz w:val="19"/>
        </w:rPr>
        <w:t>plumbing practitioners are complying with the relevant legislation and we have not hesitated to take disciplinary action where practitioners have been found to have done the wrong thing.</w:t>
      </w:r>
    </w:p>
    <w:p w14:paraId="318A5FCB" w14:textId="77777777" w:rsidR="00084F36" w:rsidRPr="00EB2BD8" w:rsidRDefault="00EB2BD8">
      <w:pPr>
        <w:spacing w:before="174" w:line="256" w:lineRule="auto"/>
        <w:ind w:left="850"/>
        <w:rPr>
          <w:sz w:val="19"/>
        </w:rPr>
      </w:pPr>
      <w:r w:rsidRPr="00EB2BD8">
        <w:rPr>
          <w:sz w:val="19"/>
        </w:rPr>
        <w:t>At the same time, we have sought to introduce efficiencies into the regulatory regime. Our digital renewal program now includes more online exam options, a new Channel Management System for voice</w:t>
      </w:r>
      <w:r w:rsidRPr="00EB2BD8">
        <w:rPr>
          <w:spacing w:val="-7"/>
          <w:sz w:val="19"/>
        </w:rPr>
        <w:t xml:space="preserve"> </w:t>
      </w:r>
      <w:r w:rsidRPr="00EB2BD8">
        <w:rPr>
          <w:sz w:val="19"/>
        </w:rPr>
        <w:t>calls</w:t>
      </w:r>
      <w:r w:rsidRPr="00EB2BD8">
        <w:rPr>
          <w:spacing w:val="-7"/>
          <w:sz w:val="19"/>
        </w:rPr>
        <w:t xml:space="preserve"> </w:t>
      </w:r>
      <w:r w:rsidRPr="00EB2BD8">
        <w:rPr>
          <w:sz w:val="19"/>
        </w:rPr>
        <w:t>and</w:t>
      </w:r>
      <w:r w:rsidRPr="00EB2BD8">
        <w:rPr>
          <w:spacing w:val="-7"/>
          <w:sz w:val="19"/>
        </w:rPr>
        <w:t xml:space="preserve"> </w:t>
      </w:r>
      <w:r w:rsidRPr="00EB2BD8">
        <w:rPr>
          <w:sz w:val="19"/>
        </w:rPr>
        <w:t>emails,</w:t>
      </w:r>
      <w:r w:rsidRPr="00EB2BD8">
        <w:rPr>
          <w:spacing w:val="-7"/>
          <w:sz w:val="19"/>
        </w:rPr>
        <w:t xml:space="preserve"> </w:t>
      </w:r>
      <w:r w:rsidRPr="00EB2BD8">
        <w:rPr>
          <w:sz w:val="19"/>
        </w:rPr>
        <w:t>a</w:t>
      </w:r>
      <w:r w:rsidRPr="00EB2BD8">
        <w:rPr>
          <w:spacing w:val="-7"/>
          <w:sz w:val="19"/>
        </w:rPr>
        <w:t xml:space="preserve"> </w:t>
      </w:r>
      <w:r w:rsidRPr="00EB2BD8">
        <w:rPr>
          <w:sz w:val="19"/>
        </w:rPr>
        <w:t>new</w:t>
      </w:r>
      <w:r w:rsidRPr="00EB2BD8">
        <w:rPr>
          <w:spacing w:val="-7"/>
          <w:sz w:val="19"/>
        </w:rPr>
        <w:t xml:space="preserve"> </w:t>
      </w:r>
      <w:r w:rsidRPr="00EB2BD8">
        <w:rPr>
          <w:sz w:val="19"/>
        </w:rPr>
        <w:t>plumbing</w:t>
      </w:r>
      <w:r w:rsidRPr="00EB2BD8">
        <w:rPr>
          <w:spacing w:val="-7"/>
          <w:sz w:val="19"/>
        </w:rPr>
        <w:t xml:space="preserve"> </w:t>
      </w:r>
      <w:r w:rsidRPr="00EB2BD8">
        <w:rPr>
          <w:sz w:val="19"/>
        </w:rPr>
        <w:t>practitioner and licensee search function, a pilot of new</w:t>
      </w:r>
    </w:p>
    <w:p w14:paraId="2489B089" w14:textId="77777777" w:rsidR="00084F36" w:rsidRPr="00EB2BD8" w:rsidRDefault="00EB2BD8">
      <w:pPr>
        <w:spacing w:before="3" w:line="256" w:lineRule="auto"/>
        <w:ind w:left="850"/>
        <w:rPr>
          <w:sz w:val="19"/>
        </w:rPr>
      </w:pPr>
      <w:r w:rsidRPr="00EB2BD8">
        <w:rPr>
          <w:sz w:val="19"/>
        </w:rPr>
        <w:t>online</w:t>
      </w:r>
      <w:r w:rsidRPr="00EB2BD8">
        <w:rPr>
          <w:spacing w:val="-14"/>
          <w:sz w:val="19"/>
        </w:rPr>
        <w:t xml:space="preserve"> </w:t>
      </w:r>
      <w:r w:rsidRPr="00EB2BD8">
        <w:rPr>
          <w:sz w:val="19"/>
        </w:rPr>
        <w:t>interactive</w:t>
      </w:r>
      <w:r w:rsidRPr="00EB2BD8">
        <w:rPr>
          <w:spacing w:val="-14"/>
          <w:sz w:val="19"/>
        </w:rPr>
        <w:t xml:space="preserve"> </w:t>
      </w:r>
      <w:r w:rsidRPr="00EB2BD8">
        <w:rPr>
          <w:sz w:val="19"/>
        </w:rPr>
        <w:t>forms,</w:t>
      </w:r>
      <w:r w:rsidRPr="00EB2BD8">
        <w:rPr>
          <w:spacing w:val="-14"/>
          <w:sz w:val="19"/>
        </w:rPr>
        <w:t xml:space="preserve"> </w:t>
      </w:r>
      <w:r w:rsidRPr="00EB2BD8">
        <w:rPr>
          <w:sz w:val="19"/>
        </w:rPr>
        <w:t>and</w:t>
      </w:r>
      <w:r w:rsidRPr="00EB2BD8">
        <w:rPr>
          <w:spacing w:val="-14"/>
          <w:sz w:val="19"/>
        </w:rPr>
        <w:t xml:space="preserve"> </w:t>
      </w:r>
      <w:r w:rsidRPr="00EB2BD8">
        <w:rPr>
          <w:sz w:val="19"/>
        </w:rPr>
        <w:t>a</w:t>
      </w:r>
      <w:r w:rsidRPr="00EB2BD8">
        <w:rPr>
          <w:spacing w:val="-14"/>
          <w:sz w:val="19"/>
        </w:rPr>
        <w:t xml:space="preserve"> </w:t>
      </w:r>
      <w:r w:rsidRPr="00EB2BD8">
        <w:rPr>
          <w:sz w:val="19"/>
        </w:rPr>
        <w:t>portal</w:t>
      </w:r>
      <w:r w:rsidRPr="00EB2BD8">
        <w:rPr>
          <w:spacing w:val="-14"/>
          <w:sz w:val="19"/>
        </w:rPr>
        <w:t xml:space="preserve"> </w:t>
      </w:r>
      <w:r w:rsidRPr="00EB2BD8">
        <w:rPr>
          <w:sz w:val="19"/>
        </w:rPr>
        <w:t>for</w:t>
      </w:r>
      <w:r w:rsidRPr="00EB2BD8">
        <w:rPr>
          <w:spacing w:val="-14"/>
          <w:sz w:val="19"/>
        </w:rPr>
        <w:t xml:space="preserve"> </w:t>
      </w:r>
      <w:r w:rsidRPr="00EB2BD8">
        <w:rPr>
          <w:sz w:val="19"/>
        </w:rPr>
        <w:t xml:space="preserve">building </w:t>
      </w:r>
      <w:r w:rsidRPr="00EB2BD8">
        <w:rPr>
          <w:spacing w:val="-2"/>
          <w:sz w:val="19"/>
        </w:rPr>
        <w:t>practitioners.</w:t>
      </w:r>
    </w:p>
    <w:p w14:paraId="51463DAD" w14:textId="77777777" w:rsidR="00084F36" w:rsidRPr="00EB2BD8" w:rsidRDefault="00084F36">
      <w:pPr>
        <w:pStyle w:val="BodyText"/>
        <w:rPr>
          <w:sz w:val="22"/>
        </w:rPr>
      </w:pPr>
    </w:p>
    <w:p w14:paraId="0EB901BF" w14:textId="77777777" w:rsidR="00084F36" w:rsidRPr="00EB2BD8" w:rsidRDefault="00EB2BD8">
      <w:pPr>
        <w:spacing w:before="132" w:line="228" w:lineRule="auto"/>
        <w:ind w:left="850"/>
        <w:rPr>
          <w:rFonts w:ascii="Arial" w:hAnsi="Arial" w:cs="Arial"/>
          <w:b/>
          <w:iCs/>
          <w:sz w:val="34"/>
        </w:rPr>
      </w:pPr>
      <w:r w:rsidRPr="00EB2BD8">
        <w:rPr>
          <w:rFonts w:ascii="Arial" w:hAnsi="Arial" w:cs="Arial"/>
          <w:b/>
          <w:iCs/>
          <w:sz w:val="34"/>
        </w:rPr>
        <w:t>“At</w:t>
      </w:r>
      <w:r w:rsidRPr="00EB2BD8">
        <w:rPr>
          <w:rFonts w:ascii="Arial" w:hAnsi="Arial" w:cs="Arial"/>
          <w:b/>
          <w:iCs/>
          <w:spacing w:val="-24"/>
          <w:sz w:val="34"/>
        </w:rPr>
        <w:t xml:space="preserve"> </w:t>
      </w:r>
      <w:r w:rsidRPr="00EB2BD8">
        <w:rPr>
          <w:rFonts w:ascii="Arial" w:hAnsi="Arial" w:cs="Arial"/>
          <w:b/>
          <w:iCs/>
          <w:sz w:val="34"/>
        </w:rPr>
        <w:t>the</w:t>
      </w:r>
      <w:r w:rsidRPr="00EB2BD8">
        <w:rPr>
          <w:rFonts w:ascii="Arial" w:hAnsi="Arial" w:cs="Arial"/>
          <w:b/>
          <w:iCs/>
          <w:spacing w:val="-24"/>
          <w:sz w:val="34"/>
        </w:rPr>
        <w:t xml:space="preserve"> </w:t>
      </w:r>
      <w:r w:rsidRPr="00EB2BD8">
        <w:rPr>
          <w:rFonts w:ascii="Arial" w:hAnsi="Arial" w:cs="Arial"/>
          <w:b/>
          <w:iCs/>
          <w:sz w:val="34"/>
        </w:rPr>
        <w:t>VBA,</w:t>
      </w:r>
      <w:r w:rsidRPr="00EB2BD8">
        <w:rPr>
          <w:rFonts w:ascii="Arial" w:hAnsi="Arial" w:cs="Arial"/>
          <w:b/>
          <w:iCs/>
          <w:spacing w:val="-24"/>
          <w:sz w:val="34"/>
        </w:rPr>
        <w:t xml:space="preserve"> </w:t>
      </w:r>
      <w:r w:rsidRPr="00EB2BD8">
        <w:rPr>
          <w:rFonts w:ascii="Arial" w:hAnsi="Arial" w:cs="Arial"/>
          <w:b/>
          <w:iCs/>
          <w:sz w:val="34"/>
        </w:rPr>
        <w:t>we</w:t>
      </w:r>
      <w:r w:rsidRPr="00EB2BD8">
        <w:rPr>
          <w:rFonts w:ascii="Arial" w:hAnsi="Arial" w:cs="Arial"/>
          <w:b/>
          <w:iCs/>
          <w:spacing w:val="-24"/>
          <w:sz w:val="34"/>
        </w:rPr>
        <w:t xml:space="preserve"> </w:t>
      </w:r>
      <w:r w:rsidRPr="00EB2BD8">
        <w:rPr>
          <w:rFonts w:ascii="Arial" w:hAnsi="Arial" w:cs="Arial"/>
          <w:b/>
          <w:iCs/>
          <w:sz w:val="34"/>
        </w:rPr>
        <w:t>have</w:t>
      </w:r>
      <w:r w:rsidRPr="00EB2BD8">
        <w:rPr>
          <w:rFonts w:ascii="Arial" w:hAnsi="Arial" w:cs="Arial"/>
          <w:b/>
          <w:iCs/>
          <w:spacing w:val="-24"/>
          <w:sz w:val="34"/>
        </w:rPr>
        <w:t xml:space="preserve"> </w:t>
      </w:r>
      <w:r w:rsidRPr="00EB2BD8">
        <w:rPr>
          <w:rFonts w:ascii="Arial" w:hAnsi="Arial" w:cs="Arial"/>
          <w:b/>
          <w:iCs/>
          <w:sz w:val="34"/>
        </w:rPr>
        <w:t>been particularly</w:t>
      </w:r>
      <w:r w:rsidRPr="00EB2BD8">
        <w:rPr>
          <w:rFonts w:ascii="Arial" w:hAnsi="Arial" w:cs="Arial"/>
          <w:b/>
          <w:iCs/>
          <w:spacing w:val="-17"/>
          <w:sz w:val="34"/>
        </w:rPr>
        <w:t xml:space="preserve"> </w:t>
      </w:r>
      <w:r w:rsidRPr="00EB2BD8">
        <w:rPr>
          <w:rFonts w:ascii="Arial" w:hAnsi="Arial" w:cs="Arial"/>
          <w:b/>
          <w:iCs/>
          <w:sz w:val="34"/>
        </w:rPr>
        <w:t>focused</w:t>
      </w:r>
      <w:r w:rsidRPr="00EB2BD8">
        <w:rPr>
          <w:rFonts w:ascii="Arial" w:hAnsi="Arial" w:cs="Arial"/>
          <w:b/>
          <w:iCs/>
          <w:spacing w:val="-17"/>
          <w:sz w:val="34"/>
        </w:rPr>
        <w:t xml:space="preserve"> </w:t>
      </w:r>
      <w:r w:rsidRPr="00EB2BD8">
        <w:rPr>
          <w:rFonts w:ascii="Arial" w:hAnsi="Arial" w:cs="Arial"/>
          <w:b/>
          <w:iCs/>
          <w:sz w:val="34"/>
        </w:rPr>
        <w:t>on</w:t>
      </w:r>
      <w:r w:rsidRPr="00EB2BD8">
        <w:rPr>
          <w:rFonts w:ascii="Arial" w:hAnsi="Arial" w:cs="Arial"/>
          <w:b/>
          <w:iCs/>
          <w:spacing w:val="-17"/>
          <w:sz w:val="34"/>
        </w:rPr>
        <w:t xml:space="preserve"> </w:t>
      </w:r>
      <w:r w:rsidRPr="00EB2BD8">
        <w:rPr>
          <w:rFonts w:ascii="Arial" w:hAnsi="Arial" w:cs="Arial"/>
          <w:b/>
          <w:iCs/>
          <w:sz w:val="34"/>
        </w:rPr>
        <w:t xml:space="preserve">two </w:t>
      </w:r>
      <w:r w:rsidRPr="00EB2BD8">
        <w:rPr>
          <w:rFonts w:ascii="Arial" w:hAnsi="Arial" w:cs="Arial"/>
          <w:b/>
          <w:iCs/>
          <w:spacing w:val="-4"/>
          <w:sz w:val="34"/>
        </w:rPr>
        <w:t>key</w:t>
      </w:r>
      <w:r w:rsidRPr="00EB2BD8">
        <w:rPr>
          <w:rFonts w:ascii="Arial" w:hAnsi="Arial" w:cs="Arial"/>
          <w:b/>
          <w:iCs/>
          <w:spacing w:val="-29"/>
          <w:sz w:val="34"/>
        </w:rPr>
        <w:t xml:space="preserve"> </w:t>
      </w:r>
      <w:r w:rsidRPr="00EB2BD8">
        <w:rPr>
          <w:rFonts w:ascii="Arial" w:hAnsi="Arial" w:cs="Arial"/>
          <w:b/>
          <w:iCs/>
          <w:spacing w:val="-4"/>
          <w:sz w:val="34"/>
        </w:rPr>
        <w:t>pillars</w:t>
      </w:r>
      <w:r w:rsidRPr="00EB2BD8">
        <w:rPr>
          <w:rFonts w:ascii="Arial" w:hAnsi="Arial" w:cs="Arial"/>
          <w:b/>
          <w:iCs/>
          <w:spacing w:val="-29"/>
          <w:sz w:val="34"/>
        </w:rPr>
        <w:t xml:space="preserve"> </w:t>
      </w:r>
      <w:r w:rsidRPr="00EB2BD8">
        <w:rPr>
          <w:rFonts w:ascii="Arial" w:hAnsi="Arial" w:cs="Arial"/>
          <w:b/>
          <w:iCs/>
          <w:spacing w:val="-4"/>
          <w:sz w:val="34"/>
        </w:rPr>
        <w:t>of</w:t>
      </w:r>
      <w:r w:rsidRPr="00EB2BD8">
        <w:rPr>
          <w:rFonts w:ascii="Arial" w:hAnsi="Arial" w:cs="Arial"/>
          <w:b/>
          <w:iCs/>
          <w:spacing w:val="-29"/>
          <w:sz w:val="34"/>
        </w:rPr>
        <w:t xml:space="preserve"> </w:t>
      </w:r>
      <w:r w:rsidRPr="00EB2BD8">
        <w:rPr>
          <w:rFonts w:ascii="Arial" w:hAnsi="Arial" w:cs="Arial"/>
          <w:b/>
          <w:iCs/>
          <w:spacing w:val="-4"/>
          <w:sz w:val="34"/>
        </w:rPr>
        <w:t>our</w:t>
      </w:r>
      <w:r w:rsidRPr="00EB2BD8">
        <w:rPr>
          <w:rFonts w:ascii="Arial" w:hAnsi="Arial" w:cs="Arial"/>
          <w:b/>
          <w:iCs/>
          <w:spacing w:val="-29"/>
          <w:sz w:val="34"/>
        </w:rPr>
        <w:t xml:space="preserve"> </w:t>
      </w:r>
      <w:r w:rsidRPr="00EB2BD8">
        <w:rPr>
          <w:rFonts w:ascii="Arial" w:hAnsi="Arial" w:cs="Arial"/>
          <w:b/>
          <w:iCs/>
          <w:spacing w:val="-4"/>
          <w:sz w:val="34"/>
        </w:rPr>
        <w:t xml:space="preserve">strategy, </w:t>
      </w:r>
      <w:r w:rsidRPr="00EB2BD8">
        <w:rPr>
          <w:rFonts w:ascii="Arial" w:hAnsi="Arial" w:cs="Arial"/>
          <w:b/>
          <w:iCs/>
          <w:sz w:val="34"/>
        </w:rPr>
        <w:t>namely</w:t>
      </w:r>
      <w:r w:rsidRPr="00EB2BD8">
        <w:rPr>
          <w:rFonts w:ascii="Arial" w:hAnsi="Arial" w:cs="Arial"/>
          <w:b/>
          <w:iCs/>
          <w:spacing w:val="-30"/>
          <w:sz w:val="34"/>
        </w:rPr>
        <w:t xml:space="preserve"> </w:t>
      </w:r>
      <w:r w:rsidRPr="00EB2BD8">
        <w:rPr>
          <w:rFonts w:ascii="Arial" w:hAnsi="Arial" w:cs="Arial"/>
          <w:b/>
          <w:iCs/>
          <w:sz w:val="34"/>
        </w:rPr>
        <w:t>continuing</w:t>
      </w:r>
      <w:r w:rsidRPr="00EB2BD8">
        <w:rPr>
          <w:rFonts w:ascii="Arial" w:hAnsi="Arial" w:cs="Arial"/>
          <w:b/>
          <w:iCs/>
          <w:spacing w:val="-30"/>
          <w:sz w:val="34"/>
        </w:rPr>
        <w:t xml:space="preserve"> </w:t>
      </w:r>
      <w:r w:rsidRPr="00EB2BD8">
        <w:rPr>
          <w:rFonts w:ascii="Arial" w:hAnsi="Arial" w:cs="Arial"/>
          <w:b/>
          <w:iCs/>
          <w:sz w:val="34"/>
        </w:rPr>
        <w:t>to</w:t>
      </w:r>
      <w:r w:rsidRPr="00EB2BD8">
        <w:rPr>
          <w:rFonts w:ascii="Arial" w:hAnsi="Arial" w:cs="Arial"/>
          <w:b/>
          <w:iCs/>
          <w:spacing w:val="-30"/>
          <w:sz w:val="34"/>
        </w:rPr>
        <w:t xml:space="preserve"> </w:t>
      </w:r>
      <w:r w:rsidRPr="00EB2BD8">
        <w:rPr>
          <w:rFonts w:ascii="Arial" w:hAnsi="Arial" w:cs="Arial"/>
          <w:b/>
          <w:iCs/>
          <w:sz w:val="34"/>
        </w:rPr>
        <w:t>evolve as</w:t>
      </w:r>
      <w:r w:rsidRPr="00EB2BD8">
        <w:rPr>
          <w:rFonts w:ascii="Arial" w:hAnsi="Arial" w:cs="Arial"/>
          <w:b/>
          <w:iCs/>
          <w:spacing w:val="-24"/>
          <w:sz w:val="34"/>
        </w:rPr>
        <w:t xml:space="preserve"> </w:t>
      </w:r>
      <w:r w:rsidRPr="00EB2BD8">
        <w:rPr>
          <w:rFonts w:ascii="Arial" w:hAnsi="Arial" w:cs="Arial"/>
          <w:b/>
          <w:iCs/>
          <w:sz w:val="34"/>
        </w:rPr>
        <w:t>a</w:t>
      </w:r>
      <w:r w:rsidRPr="00EB2BD8">
        <w:rPr>
          <w:rFonts w:ascii="Arial" w:hAnsi="Arial" w:cs="Arial"/>
          <w:b/>
          <w:iCs/>
          <w:spacing w:val="-24"/>
          <w:sz w:val="34"/>
        </w:rPr>
        <w:t xml:space="preserve"> </w:t>
      </w:r>
      <w:r w:rsidRPr="00EB2BD8">
        <w:rPr>
          <w:rFonts w:ascii="Arial" w:hAnsi="Arial" w:cs="Arial"/>
          <w:b/>
          <w:iCs/>
          <w:sz w:val="34"/>
        </w:rPr>
        <w:t>trusted</w:t>
      </w:r>
      <w:r w:rsidRPr="00EB2BD8">
        <w:rPr>
          <w:rFonts w:ascii="Arial" w:hAnsi="Arial" w:cs="Arial"/>
          <w:b/>
          <w:iCs/>
          <w:spacing w:val="-24"/>
          <w:sz w:val="34"/>
        </w:rPr>
        <w:t xml:space="preserve"> </w:t>
      </w:r>
      <w:r w:rsidRPr="00EB2BD8">
        <w:rPr>
          <w:rFonts w:ascii="Arial" w:hAnsi="Arial" w:cs="Arial"/>
          <w:b/>
          <w:iCs/>
          <w:sz w:val="34"/>
        </w:rPr>
        <w:t>regulator</w:t>
      </w:r>
      <w:r w:rsidRPr="00EB2BD8">
        <w:rPr>
          <w:rFonts w:ascii="Arial" w:hAnsi="Arial" w:cs="Arial"/>
          <w:b/>
          <w:iCs/>
          <w:spacing w:val="-24"/>
          <w:sz w:val="34"/>
        </w:rPr>
        <w:t xml:space="preserve"> </w:t>
      </w:r>
      <w:r w:rsidRPr="00EB2BD8">
        <w:rPr>
          <w:rFonts w:ascii="Arial" w:hAnsi="Arial" w:cs="Arial"/>
          <w:b/>
          <w:iCs/>
          <w:sz w:val="34"/>
        </w:rPr>
        <w:t xml:space="preserve">and </w:t>
      </w:r>
      <w:r w:rsidRPr="00EB2BD8">
        <w:rPr>
          <w:rFonts w:ascii="Arial" w:hAnsi="Arial" w:cs="Arial"/>
          <w:b/>
          <w:iCs/>
          <w:spacing w:val="-4"/>
          <w:sz w:val="34"/>
        </w:rPr>
        <w:t>on</w:t>
      </w:r>
      <w:r w:rsidRPr="00EB2BD8">
        <w:rPr>
          <w:rFonts w:ascii="Arial" w:hAnsi="Arial" w:cs="Arial"/>
          <w:b/>
          <w:iCs/>
          <w:spacing w:val="-30"/>
          <w:sz w:val="34"/>
        </w:rPr>
        <w:t xml:space="preserve"> </w:t>
      </w:r>
      <w:r w:rsidRPr="00EB2BD8">
        <w:rPr>
          <w:rFonts w:ascii="Arial" w:hAnsi="Arial" w:cs="Arial"/>
          <w:b/>
          <w:iCs/>
          <w:spacing w:val="-4"/>
          <w:sz w:val="34"/>
        </w:rPr>
        <w:t>building</w:t>
      </w:r>
      <w:r w:rsidRPr="00EB2BD8">
        <w:rPr>
          <w:rFonts w:ascii="Arial" w:hAnsi="Arial" w:cs="Arial"/>
          <w:b/>
          <w:iCs/>
          <w:spacing w:val="-30"/>
          <w:sz w:val="34"/>
        </w:rPr>
        <w:t xml:space="preserve"> </w:t>
      </w:r>
      <w:r w:rsidRPr="00EB2BD8">
        <w:rPr>
          <w:rFonts w:ascii="Arial" w:hAnsi="Arial" w:cs="Arial"/>
          <w:b/>
          <w:iCs/>
          <w:spacing w:val="-4"/>
          <w:sz w:val="34"/>
        </w:rPr>
        <w:t>a</w:t>
      </w:r>
      <w:r w:rsidRPr="00EB2BD8">
        <w:rPr>
          <w:rFonts w:ascii="Arial" w:hAnsi="Arial" w:cs="Arial"/>
          <w:b/>
          <w:iCs/>
          <w:spacing w:val="-30"/>
          <w:sz w:val="34"/>
        </w:rPr>
        <w:t xml:space="preserve"> </w:t>
      </w:r>
      <w:r w:rsidRPr="00EB2BD8">
        <w:rPr>
          <w:rFonts w:ascii="Arial" w:hAnsi="Arial" w:cs="Arial"/>
          <w:b/>
          <w:iCs/>
          <w:spacing w:val="-4"/>
          <w:sz w:val="34"/>
        </w:rPr>
        <w:t xml:space="preserve">strength-based </w:t>
      </w:r>
      <w:r w:rsidRPr="00EB2BD8">
        <w:rPr>
          <w:rFonts w:ascii="Arial" w:hAnsi="Arial" w:cs="Arial"/>
          <w:b/>
          <w:iCs/>
          <w:spacing w:val="-2"/>
          <w:sz w:val="34"/>
        </w:rPr>
        <w:t>workplace.”</w:t>
      </w:r>
    </w:p>
    <w:p w14:paraId="6A84C571" w14:textId="77777777" w:rsidR="00084F36" w:rsidRPr="00EB2BD8" w:rsidRDefault="00EB2BD8">
      <w:pPr>
        <w:pStyle w:val="BodyText"/>
        <w:spacing w:before="95" w:line="261" w:lineRule="auto"/>
        <w:ind w:left="440" w:right="843"/>
      </w:pPr>
      <w:r w:rsidRPr="00EB2BD8">
        <w:br w:type="column"/>
      </w:r>
      <w:r w:rsidRPr="00EB2BD8">
        <w:rPr>
          <w:w w:val="105"/>
        </w:rPr>
        <w:t>The</w:t>
      </w:r>
      <w:r w:rsidRPr="00EB2BD8">
        <w:rPr>
          <w:spacing w:val="-5"/>
          <w:w w:val="105"/>
        </w:rPr>
        <w:t xml:space="preserve"> </w:t>
      </w:r>
      <w:r w:rsidRPr="00EB2BD8">
        <w:rPr>
          <w:w w:val="105"/>
        </w:rPr>
        <w:t>VBA</w:t>
      </w:r>
      <w:r w:rsidRPr="00EB2BD8">
        <w:rPr>
          <w:spacing w:val="-5"/>
          <w:w w:val="105"/>
        </w:rPr>
        <w:t xml:space="preserve"> </w:t>
      </w:r>
      <w:r w:rsidRPr="00EB2BD8">
        <w:rPr>
          <w:w w:val="105"/>
        </w:rPr>
        <w:t>remained</w:t>
      </w:r>
      <w:r w:rsidRPr="00EB2BD8">
        <w:rPr>
          <w:spacing w:val="-5"/>
          <w:w w:val="105"/>
        </w:rPr>
        <w:t xml:space="preserve"> </w:t>
      </w:r>
      <w:r w:rsidRPr="00EB2BD8">
        <w:rPr>
          <w:w w:val="105"/>
        </w:rPr>
        <w:t>committed</w:t>
      </w:r>
      <w:r w:rsidRPr="00EB2BD8">
        <w:rPr>
          <w:spacing w:val="-5"/>
          <w:w w:val="105"/>
        </w:rPr>
        <w:t xml:space="preserve"> </w:t>
      </w:r>
      <w:r w:rsidRPr="00EB2BD8">
        <w:rPr>
          <w:w w:val="105"/>
        </w:rPr>
        <w:t>to</w:t>
      </w:r>
      <w:r w:rsidRPr="00EB2BD8">
        <w:rPr>
          <w:spacing w:val="-5"/>
          <w:w w:val="105"/>
        </w:rPr>
        <w:t xml:space="preserve"> </w:t>
      </w:r>
      <w:r w:rsidRPr="00EB2BD8">
        <w:rPr>
          <w:w w:val="105"/>
        </w:rPr>
        <w:t>being</w:t>
      </w:r>
      <w:r w:rsidRPr="00EB2BD8">
        <w:rPr>
          <w:spacing w:val="-5"/>
          <w:w w:val="105"/>
        </w:rPr>
        <w:t xml:space="preserve"> </w:t>
      </w:r>
      <w:r w:rsidRPr="00EB2BD8">
        <w:rPr>
          <w:w w:val="105"/>
        </w:rPr>
        <w:t>a</w:t>
      </w:r>
      <w:r w:rsidRPr="00EB2BD8">
        <w:rPr>
          <w:spacing w:val="-5"/>
          <w:w w:val="105"/>
        </w:rPr>
        <w:t xml:space="preserve"> </w:t>
      </w:r>
      <w:r w:rsidRPr="00EB2BD8">
        <w:rPr>
          <w:w w:val="105"/>
        </w:rPr>
        <w:t>strength- based</w:t>
      </w:r>
      <w:r w:rsidRPr="00EB2BD8">
        <w:rPr>
          <w:spacing w:val="-5"/>
          <w:w w:val="105"/>
        </w:rPr>
        <w:t xml:space="preserve"> </w:t>
      </w:r>
      <w:r w:rsidRPr="00EB2BD8">
        <w:rPr>
          <w:w w:val="105"/>
        </w:rPr>
        <w:t>workplace</w:t>
      </w:r>
      <w:r w:rsidRPr="00EB2BD8">
        <w:rPr>
          <w:spacing w:val="-5"/>
          <w:w w:val="105"/>
        </w:rPr>
        <w:t xml:space="preserve"> </w:t>
      </w:r>
      <w:r w:rsidRPr="00EB2BD8">
        <w:rPr>
          <w:w w:val="105"/>
        </w:rPr>
        <w:t>and</w:t>
      </w:r>
      <w:r w:rsidRPr="00EB2BD8">
        <w:rPr>
          <w:spacing w:val="-5"/>
          <w:w w:val="105"/>
        </w:rPr>
        <w:t xml:space="preserve"> </w:t>
      </w:r>
      <w:r w:rsidRPr="00EB2BD8">
        <w:rPr>
          <w:w w:val="105"/>
        </w:rPr>
        <w:t>recognises</w:t>
      </w:r>
      <w:r w:rsidRPr="00EB2BD8">
        <w:rPr>
          <w:spacing w:val="-5"/>
          <w:w w:val="105"/>
        </w:rPr>
        <w:t xml:space="preserve"> </w:t>
      </w:r>
      <w:r w:rsidRPr="00EB2BD8">
        <w:rPr>
          <w:w w:val="105"/>
        </w:rPr>
        <w:t>that</w:t>
      </w:r>
      <w:r w:rsidRPr="00EB2BD8">
        <w:rPr>
          <w:spacing w:val="-5"/>
          <w:w w:val="105"/>
        </w:rPr>
        <w:t xml:space="preserve"> </w:t>
      </w:r>
      <w:r w:rsidRPr="00EB2BD8">
        <w:rPr>
          <w:w w:val="105"/>
        </w:rPr>
        <w:t>our</w:t>
      </w:r>
      <w:r w:rsidRPr="00EB2BD8">
        <w:rPr>
          <w:spacing w:val="-5"/>
          <w:w w:val="105"/>
        </w:rPr>
        <w:t xml:space="preserve"> </w:t>
      </w:r>
      <w:r w:rsidRPr="00EB2BD8">
        <w:rPr>
          <w:w w:val="105"/>
        </w:rPr>
        <w:t>people</w:t>
      </w:r>
      <w:r w:rsidRPr="00EB2BD8">
        <w:rPr>
          <w:spacing w:val="-5"/>
          <w:w w:val="105"/>
        </w:rPr>
        <w:t xml:space="preserve"> </w:t>
      </w:r>
      <w:r w:rsidRPr="00EB2BD8">
        <w:rPr>
          <w:w w:val="105"/>
        </w:rPr>
        <w:t xml:space="preserve">are </w:t>
      </w:r>
      <w:r w:rsidRPr="00EB2BD8">
        <w:rPr>
          <w:spacing w:val="-2"/>
          <w:w w:val="105"/>
        </w:rPr>
        <w:t>the</w:t>
      </w:r>
      <w:r w:rsidRPr="00EB2BD8">
        <w:rPr>
          <w:spacing w:val="-10"/>
          <w:w w:val="105"/>
        </w:rPr>
        <w:t xml:space="preserve"> </w:t>
      </w:r>
      <w:r w:rsidRPr="00EB2BD8">
        <w:rPr>
          <w:spacing w:val="-2"/>
          <w:w w:val="105"/>
        </w:rPr>
        <w:t>foundations</w:t>
      </w:r>
      <w:r w:rsidRPr="00EB2BD8">
        <w:rPr>
          <w:spacing w:val="-10"/>
          <w:w w:val="105"/>
        </w:rPr>
        <w:t xml:space="preserve"> </w:t>
      </w:r>
      <w:r w:rsidRPr="00EB2BD8">
        <w:rPr>
          <w:spacing w:val="-2"/>
          <w:w w:val="105"/>
        </w:rPr>
        <w:t>of</w:t>
      </w:r>
      <w:r w:rsidRPr="00EB2BD8">
        <w:rPr>
          <w:spacing w:val="-10"/>
          <w:w w:val="105"/>
        </w:rPr>
        <w:t xml:space="preserve"> </w:t>
      </w:r>
      <w:r w:rsidRPr="00EB2BD8">
        <w:rPr>
          <w:spacing w:val="-2"/>
          <w:w w:val="105"/>
        </w:rPr>
        <w:t>our</w:t>
      </w:r>
      <w:r w:rsidRPr="00EB2BD8">
        <w:rPr>
          <w:spacing w:val="-10"/>
          <w:w w:val="105"/>
        </w:rPr>
        <w:t xml:space="preserve"> </w:t>
      </w:r>
      <w:r w:rsidRPr="00EB2BD8">
        <w:rPr>
          <w:spacing w:val="-2"/>
          <w:w w:val="105"/>
        </w:rPr>
        <w:t>culture.</w:t>
      </w:r>
      <w:r w:rsidRPr="00EB2BD8">
        <w:rPr>
          <w:spacing w:val="-10"/>
          <w:w w:val="105"/>
        </w:rPr>
        <w:t xml:space="preserve"> </w:t>
      </w:r>
      <w:r w:rsidRPr="00EB2BD8">
        <w:rPr>
          <w:spacing w:val="-2"/>
          <w:w w:val="105"/>
        </w:rPr>
        <w:t>Through</w:t>
      </w:r>
      <w:r w:rsidRPr="00EB2BD8">
        <w:rPr>
          <w:spacing w:val="-10"/>
          <w:w w:val="105"/>
        </w:rPr>
        <w:t xml:space="preserve"> </w:t>
      </w:r>
      <w:r w:rsidRPr="00EB2BD8">
        <w:rPr>
          <w:spacing w:val="-2"/>
          <w:w w:val="105"/>
        </w:rPr>
        <w:t>investing</w:t>
      </w:r>
      <w:r w:rsidRPr="00EB2BD8">
        <w:rPr>
          <w:spacing w:val="-10"/>
          <w:w w:val="105"/>
        </w:rPr>
        <w:t xml:space="preserve"> </w:t>
      </w:r>
      <w:r w:rsidRPr="00EB2BD8">
        <w:rPr>
          <w:spacing w:val="-2"/>
          <w:w w:val="105"/>
        </w:rPr>
        <w:t xml:space="preserve">in </w:t>
      </w:r>
      <w:r w:rsidRPr="00EB2BD8">
        <w:t>the</w:t>
      </w:r>
      <w:r w:rsidRPr="00EB2BD8">
        <w:rPr>
          <w:spacing w:val="-4"/>
        </w:rPr>
        <w:t xml:space="preserve"> </w:t>
      </w:r>
      <w:r w:rsidRPr="00EB2BD8">
        <w:t>technical</w:t>
      </w:r>
      <w:r w:rsidRPr="00EB2BD8">
        <w:rPr>
          <w:spacing w:val="-4"/>
        </w:rPr>
        <w:t xml:space="preserve"> </w:t>
      </w:r>
      <w:r w:rsidRPr="00EB2BD8">
        <w:t>skills</w:t>
      </w:r>
      <w:r w:rsidRPr="00EB2BD8">
        <w:rPr>
          <w:spacing w:val="-4"/>
        </w:rPr>
        <w:t xml:space="preserve"> </w:t>
      </w:r>
      <w:r w:rsidRPr="00EB2BD8">
        <w:t>and</w:t>
      </w:r>
      <w:r w:rsidRPr="00EB2BD8">
        <w:rPr>
          <w:spacing w:val="-4"/>
        </w:rPr>
        <w:t xml:space="preserve"> </w:t>
      </w:r>
      <w:r w:rsidRPr="00EB2BD8">
        <w:t>regulatory</w:t>
      </w:r>
      <w:r w:rsidRPr="00EB2BD8">
        <w:rPr>
          <w:spacing w:val="-4"/>
        </w:rPr>
        <w:t xml:space="preserve"> </w:t>
      </w:r>
      <w:r w:rsidRPr="00EB2BD8">
        <w:t>capabilities</w:t>
      </w:r>
      <w:r w:rsidRPr="00EB2BD8">
        <w:rPr>
          <w:spacing w:val="-4"/>
        </w:rPr>
        <w:t xml:space="preserve"> </w:t>
      </w:r>
      <w:r w:rsidRPr="00EB2BD8">
        <w:t xml:space="preserve">required </w:t>
      </w:r>
      <w:r w:rsidRPr="00EB2BD8">
        <w:rPr>
          <w:w w:val="105"/>
        </w:rPr>
        <w:t>to</w:t>
      </w:r>
      <w:r w:rsidRPr="00EB2BD8">
        <w:rPr>
          <w:spacing w:val="-11"/>
          <w:w w:val="105"/>
        </w:rPr>
        <w:t xml:space="preserve"> </w:t>
      </w:r>
      <w:r w:rsidRPr="00EB2BD8">
        <w:rPr>
          <w:w w:val="105"/>
        </w:rPr>
        <w:t>lead</w:t>
      </w:r>
      <w:r w:rsidRPr="00EB2BD8">
        <w:rPr>
          <w:spacing w:val="-11"/>
          <w:w w:val="105"/>
        </w:rPr>
        <w:t xml:space="preserve"> </w:t>
      </w:r>
      <w:r w:rsidRPr="00EB2BD8">
        <w:rPr>
          <w:w w:val="105"/>
        </w:rPr>
        <w:t>and</w:t>
      </w:r>
      <w:r w:rsidRPr="00EB2BD8">
        <w:rPr>
          <w:spacing w:val="-11"/>
          <w:w w:val="105"/>
        </w:rPr>
        <w:t xml:space="preserve"> </w:t>
      </w:r>
      <w:r w:rsidRPr="00EB2BD8">
        <w:rPr>
          <w:w w:val="105"/>
        </w:rPr>
        <w:t>regulate</w:t>
      </w:r>
      <w:r w:rsidRPr="00EB2BD8">
        <w:rPr>
          <w:spacing w:val="-11"/>
          <w:w w:val="105"/>
        </w:rPr>
        <w:t xml:space="preserve"> </w:t>
      </w:r>
      <w:r w:rsidRPr="00EB2BD8">
        <w:rPr>
          <w:w w:val="105"/>
        </w:rPr>
        <w:t>a</w:t>
      </w:r>
      <w:r w:rsidRPr="00EB2BD8">
        <w:rPr>
          <w:spacing w:val="-11"/>
          <w:w w:val="105"/>
        </w:rPr>
        <w:t xml:space="preserve"> </w:t>
      </w:r>
      <w:r w:rsidRPr="00EB2BD8">
        <w:rPr>
          <w:w w:val="105"/>
        </w:rPr>
        <w:t>dynamic</w:t>
      </w:r>
      <w:r w:rsidRPr="00EB2BD8">
        <w:rPr>
          <w:spacing w:val="-11"/>
          <w:w w:val="105"/>
        </w:rPr>
        <w:t xml:space="preserve"> </w:t>
      </w:r>
      <w:r w:rsidRPr="00EB2BD8">
        <w:rPr>
          <w:w w:val="105"/>
        </w:rPr>
        <w:t>building</w:t>
      </w:r>
      <w:r w:rsidRPr="00EB2BD8">
        <w:rPr>
          <w:spacing w:val="-11"/>
          <w:w w:val="105"/>
        </w:rPr>
        <w:t xml:space="preserve"> </w:t>
      </w:r>
      <w:r w:rsidRPr="00EB2BD8">
        <w:rPr>
          <w:w w:val="105"/>
        </w:rPr>
        <w:t>industry,</w:t>
      </w:r>
    </w:p>
    <w:p w14:paraId="02975DB7" w14:textId="77777777" w:rsidR="00084F36" w:rsidRPr="00EB2BD8" w:rsidRDefault="00EB2BD8">
      <w:pPr>
        <w:pStyle w:val="BodyText"/>
        <w:spacing w:line="261" w:lineRule="auto"/>
        <w:ind w:left="440" w:right="843"/>
      </w:pPr>
      <w:r w:rsidRPr="00EB2BD8">
        <w:t>we</w:t>
      </w:r>
      <w:r w:rsidRPr="00EB2BD8">
        <w:rPr>
          <w:spacing w:val="-8"/>
        </w:rPr>
        <w:t xml:space="preserve"> </w:t>
      </w:r>
      <w:r w:rsidRPr="00EB2BD8">
        <w:t>are</w:t>
      </w:r>
      <w:r w:rsidRPr="00EB2BD8">
        <w:rPr>
          <w:spacing w:val="-8"/>
        </w:rPr>
        <w:t xml:space="preserve"> </w:t>
      </w:r>
      <w:r w:rsidRPr="00EB2BD8">
        <w:t>maximising</w:t>
      </w:r>
      <w:r w:rsidRPr="00EB2BD8">
        <w:rPr>
          <w:spacing w:val="-8"/>
        </w:rPr>
        <w:t xml:space="preserve"> </w:t>
      </w:r>
      <w:r w:rsidRPr="00EB2BD8">
        <w:t>our</w:t>
      </w:r>
      <w:r w:rsidRPr="00EB2BD8">
        <w:rPr>
          <w:spacing w:val="-8"/>
        </w:rPr>
        <w:t xml:space="preserve"> </w:t>
      </w:r>
      <w:r w:rsidRPr="00EB2BD8">
        <w:t>positive</w:t>
      </w:r>
      <w:r w:rsidRPr="00EB2BD8">
        <w:rPr>
          <w:spacing w:val="-8"/>
        </w:rPr>
        <w:t xml:space="preserve"> </w:t>
      </w:r>
      <w:r w:rsidRPr="00EB2BD8">
        <w:t>impact</w:t>
      </w:r>
      <w:r w:rsidRPr="00EB2BD8">
        <w:rPr>
          <w:spacing w:val="-8"/>
        </w:rPr>
        <w:t xml:space="preserve"> </w:t>
      </w:r>
      <w:r w:rsidRPr="00EB2BD8">
        <w:t>for</w:t>
      </w:r>
      <w:r w:rsidRPr="00EB2BD8">
        <w:rPr>
          <w:spacing w:val="-8"/>
        </w:rPr>
        <w:t xml:space="preserve"> </w:t>
      </w:r>
      <w:r w:rsidRPr="00EB2BD8">
        <w:t>Victorian communities and working as one.</w:t>
      </w:r>
    </w:p>
    <w:p w14:paraId="03F2EAE9" w14:textId="77777777" w:rsidR="00084F36" w:rsidRPr="00EB2BD8" w:rsidRDefault="00EB2BD8">
      <w:pPr>
        <w:pStyle w:val="BodyText"/>
        <w:spacing w:before="106" w:line="261" w:lineRule="auto"/>
        <w:ind w:left="440" w:right="843"/>
      </w:pPr>
      <w:r w:rsidRPr="00EB2BD8">
        <w:t>As</w:t>
      </w:r>
      <w:r w:rsidRPr="00EB2BD8">
        <w:rPr>
          <w:spacing w:val="-13"/>
        </w:rPr>
        <w:t xml:space="preserve"> </w:t>
      </w:r>
      <w:r w:rsidRPr="00EB2BD8">
        <w:t>we</w:t>
      </w:r>
      <w:r w:rsidRPr="00EB2BD8">
        <w:rPr>
          <w:spacing w:val="-13"/>
        </w:rPr>
        <w:t xml:space="preserve"> </w:t>
      </w:r>
      <w:r w:rsidRPr="00EB2BD8">
        <w:t>look</w:t>
      </w:r>
      <w:r w:rsidRPr="00EB2BD8">
        <w:rPr>
          <w:spacing w:val="-13"/>
        </w:rPr>
        <w:t xml:space="preserve"> </w:t>
      </w:r>
      <w:r w:rsidRPr="00EB2BD8">
        <w:t>forward</w:t>
      </w:r>
      <w:r w:rsidRPr="00EB2BD8">
        <w:rPr>
          <w:spacing w:val="-13"/>
        </w:rPr>
        <w:t xml:space="preserve"> </w:t>
      </w:r>
      <w:r w:rsidRPr="00EB2BD8">
        <w:t>to</w:t>
      </w:r>
      <w:r w:rsidRPr="00EB2BD8">
        <w:rPr>
          <w:spacing w:val="-13"/>
        </w:rPr>
        <w:t xml:space="preserve"> </w:t>
      </w:r>
      <w:r w:rsidRPr="00EB2BD8">
        <w:t>the</w:t>
      </w:r>
      <w:r w:rsidRPr="00EB2BD8">
        <w:rPr>
          <w:spacing w:val="-13"/>
        </w:rPr>
        <w:t xml:space="preserve"> </w:t>
      </w:r>
      <w:r w:rsidRPr="00EB2BD8">
        <w:t>coming</w:t>
      </w:r>
      <w:r w:rsidRPr="00EB2BD8">
        <w:rPr>
          <w:spacing w:val="-13"/>
        </w:rPr>
        <w:t xml:space="preserve"> </w:t>
      </w:r>
      <w:r w:rsidRPr="00EB2BD8">
        <w:t>year,</w:t>
      </w:r>
      <w:r w:rsidRPr="00EB2BD8">
        <w:rPr>
          <w:spacing w:val="-13"/>
        </w:rPr>
        <w:t xml:space="preserve"> </w:t>
      </w:r>
      <w:r w:rsidRPr="00EB2BD8">
        <w:t>some</w:t>
      </w:r>
      <w:r w:rsidRPr="00EB2BD8">
        <w:rPr>
          <w:spacing w:val="-13"/>
        </w:rPr>
        <w:t xml:space="preserve"> </w:t>
      </w:r>
      <w:r w:rsidRPr="00EB2BD8">
        <w:t>important government reforms that will reshape the building regulatory landscape in Victoria will start to evolve.</w:t>
      </w:r>
    </w:p>
    <w:p w14:paraId="192A8D51" w14:textId="77777777" w:rsidR="00084F36" w:rsidRPr="00EB2BD8" w:rsidRDefault="00EB2BD8">
      <w:pPr>
        <w:pStyle w:val="BodyText"/>
        <w:spacing w:line="261" w:lineRule="auto"/>
        <w:ind w:left="440" w:right="1013"/>
      </w:pPr>
      <w:r w:rsidRPr="00EB2BD8">
        <w:t>Of note is the creation of the statutory role of the State Building Surveyor, which will be empowered to issue</w:t>
      </w:r>
      <w:r w:rsidRPr="00EB2BD8">
        <w:rPr>
          <w:spacing w:val="-9"/>
        </w:rPr>
        <w:t xml:space="preserve"> </w:t>
      </w:r>
      <w:r w:rsidRPr="00EB2BD8">
        <w:t>binding</w:t>
      </w:r>
      <w:r w:rsidRPr="00EB2BD8">
        <w:rPr>
          <w:spacing w:val="-9"/>
        </w:rPr>
        <w:t xml:space="preserve"> </w:t>
      </w:r>
      <w:r w:rsidRPr="00EB2BD8">
        <w:t>determinations,</w:t>
      </w:r>
      <w:r w:rsidRPr="00EB2BD8">
        <w:rPr>
          <w:spacing w:val="-9"/>
        </w:rPr>
        <w:t xml:space="preserve"> </w:t>
      </w:r>
      <w:r w:rsidRPr="00EB2BD8">
        <w:t>and</w:t>
      </w:r>
      <w:r w:rsidRPr="00EB2BD8">
        <w:rPr>
          <w:spacing w:val="-9"/>
        </w:rPr>
        <w:t xml:space="preserve"> </w:t>
      </w:r>
      <w:r w:rsidRPr="00EB2BD8">
        <w:t>the</w:t>
      </w:r>
      <w:r w:rsidRPr="00EB2BD8">
        <w:rPr>
          <w:spacing w:val="-9"/>
        </w:rPr>
        <w:t xml:space="preserve"> </w:t>
      </w:r>
      <w:r w:rsidRPr="00EB2BD8">
        <w:t>establishment of a Building Monitor to represent and advocate</w:t>
      </w:r>
    </w:p>
    <w:p w14:paraId="107C2E64" w14:textId="77777777" w:rsidR="00084F36" w:rsidRPr="00EB2BD8" w:rsidRDefault="00EB2BD8">
      <w:pPr>
        <w:pStyle w:val="BodyText"/>
        <w:spacing w:line="261" w:lineRule="auto"/>
        <w:ind w:left="440" w:right="1236"/>
      </w:pPr>
      <w:r w:rsidRPr="00EB2BD8">
        <w:t>for</w:t>
      </w:r>
      <w:r w:rsidRPr="00EB2BD8">
        <w:rPr>
          <w:spacing w:val="-3"/>
        </w:rPr>
        <w:t xml:space="preserve"> </w:t>
      </w:r>
      <w:r w:rsidRPr="00EB2BD8">
        <w:t>consumers</w:t>
      </w:r>
      <w:r w:rsidRPr="00EB2BD8">
        <w:rPr>
          <w:spacing w:val="-3"/>
        </w:rPr>
        <w:t xml:space="preserve"> </w:t>
      </w:r>
      <w:r w:rsidRPr="00EB2BD8">
        <w:t>and</w:t>
      </w:r>
      <w:r w:rsidRPr="00EB2BD8">
        <w:rPr>
          <w:spacing w:val="-3"/>
        </w:rPr>
        <w:t xml:space="preserve"> </w:t>
      </w:r>
      <w:r w:rsidRPr="00EB2BD8">
        <w:t>make</w:t>
      </w:r>
      <w:r w:rsidRPr="00EB2BD8">
        <w:rPr>
          <w:spacing w:val="-3"/>
        </w:rPr>
        <w:t xml:space="preserve"> </w:t>
      </w:r>
      <w:r w:rsidRPr="00EB2BD8">
        <w:t>recommendations</w:t>
      </w:r>
      <w:r w:rsidRPr="00EB2BD8">
        <w:rPr>
          <w:spacing w:val="-3"/>
        </w:rPr>
        <w:t xml:space="preserve"> </w:t>
      </w:r>
      <w:r w:rsidRPr="00EB2BD8">
        <w:t>for improvements to regulation of the industry.</w:t>
      </w:r>
    </w:p>
    <w:p w14:paraId="070C71FC" w14:textId="77777777" w:rsidR="00084F36" w:rsidRPr="00EB2BD8" w:rsidRDefault="00EB2BD8">
      <w:pPr>
        <w:pStyle w:val="BodyText"/>
        <w:spacing w:before="104" w:line="261" w:lineRule="auto"/>
        <w:ind w:left="440" w:right="1236"/>
      </w:pPr>
      <w:r w:rsidRPr="00EB2BD8">
        <w:t>Finally, I would like to thank everyone at the VBA for</w:t>
      </w:r>
      <w:r w:rsidRPr="00EB2BD8">
        <w:rPr>
          <w:spacing w:val="-4"/>
        </w:rPr>
        <w:t xml:space="preserve"> </w:t>
      </w:r>
      <w:r w:rsidRPr="00EB2BD8">
        <w:t>their</w:t>
      </w:r>
      <w:r w:rsidRPr="00EB2BD8">
        <w:rPr>
          <w:spacing w:val="-4"/>
        </w:rPr>
        <w:t xml:space="preserve"> </w:t>
      </w:r>
      <w:r w:rsidRPr="00EB2BD8">
        <w:t>enthusiasm</w:t>
      </w:r>
      <w:r w:rsidRPr="00EB2BD8">
        <w:rPr>
          <w:spacing w:val="-4"/>
        </w:rPr>
        <w:t xml:space="preserve"> </w:t>
      </w:r>
      <w:r w:rsidRPr="00EB2BD8">
        <w:t>in</w:t>
      </w:r>
      <w:r w:rsidRPr="00EB2BD8">
        <w:rPr>
          <w:spacing w:val="-4"/>
        </w:rPr>
        <w:t xml:space="preserve"> </w:t>
      </w:r>
      <w:r w:rsidRPr="00EB2BD8">
        <w:t>embracing</w:t>
      </w:r>
      <w:r w:rsidRPr="00EB2BD8">
        <w:rPr>
          <w:spacing w:val="-4"/>
        </w:rPr>
        <w:t xml:space="preserve"> </w:t>
      </w:r>
      <w:r w:rsidRPr="00EB2BD8">
        <w:t>challenging</w:t>
      </w:r>
      <w:r w:rsidRPr="00EB2BD8">
        <w:rPr>
          <w:spacing w:val="-3"/>
        </w:rPr>
        <w:t xml:space="preserve"> </w:t>
      </w:r>
      <w:r w:rsidRPr="00EB2BD8">
        <w:rPr>
          <w:spacing w:val="-5"/>
        </w:rPr>
        <w:t>and</w:t>
      </w:r>
    </w:p>
    <w:p w14:paraId="037D7C7F" w14:textId="77777777" w:rsidR="00084F36" w:rsidRPr="00EB2BD8" w:rsidRDefault="00EB2BD8">
      <w:pPr>
        <w:pStyle w:val="BodyText"/>
        <w:spacing w:line="261" w:lineRule="auto"/>
        <w:ind w:left="440" w:right="843"/>
      </w:pPr>
      <w:r w:rsidRPr="00EB2BD8">
        <w:rPr>
          <w:w w:val="105"/>
        </w:rPr>
        <w:t>complex</w:t>
      </w:r>
      <w:r w:rsidRPr="00EB2BD8">
        <w:rPr>
          <w:spacing w:val="-6"/>
          <w:w w:val="105"/>
        </w:rPr>
        <w:t xml:space="preserve"> </w:t>
      </w:r>
      <w:r w:rsidRPr="00EB2BD8">
        <w:rPr>
          <w:w w:val="105"/>
        </w:rPr>
        <w:t>work,</w:t>
      </w:r>
      <w:r w:rsidRPr="00EB2BD8">
        <w:rPr>
          <w:spacing w:val="-6"/>
          <w:w w:val="105"/>
        </w:rPr>
        <w:t xml:space="preserve"> </w:t>
      </w:r>
      <w:r w:rsidRPr="00EB2BD8">
        <w:rPr>
          <w:w w:val="105"/>
        </w:rPr>
        <w:t>being</w:t>
      </w:r>
      <w:r w:rsidRPr="00EB2BD8">
        <w:rPr>
          <w:spacing w:val="-6"/>
          <w:w w:val="105"/>
        </w:rPr>
        <w:t xml:space="preserve"> </w:t>
      </w:r>
      <w:r w:rsidRPr="00EB2BD8">
        <w:rPr>
          <w:w w:val="105"/>
        </w:rPr>
        <w:t>adaptable</w:t>
      </w:r>
      <w:r w:rsidRPr="00EB2BD8">
        <w:rPr>
          <w:spacing w:val="-6"/>
          <w:w w:val="105"/>
        </w:rPr>
        <w:t xml:space="preserve"> </w:t>
      </w:r>
      <w:r w:rsidRPr="00EB2BD8">
        <w:rPr>
          <w:w w:val="105"/>
        </w:rPr>
        <w:t>and</w:t>
      </w:r>
      <w:r w:rsidRPr="00EB2BD8">
        <w:rPr>
          <w:spacing w:val="-6"/>
          <w:w w:val="105"/>
        </w:rPr>
        <w:t xml:space="preserve"> </w:t>
      </w:r>
      <w:r w:rsidRPr="00EB2BD8">
        <w:rPr>
          <w:w w:val="105"/>
        </w:rPr>
        <w:t>embracing</w:t>
      </w:r>
      <w:r w:rsidRPr="00EB2BD8">
        <w:rPr>
          <w:spacing w:val="-6"/>
          <w:w w:val="105"/>
        </w:rPr>
        <w:t xml:space="preserve"> </w:t>
      </w:r>
      <w:r w:rsidRPr="00EB2BD8">
        <w:rPr>
          <w:w w:val="105"/>
        </w:rPr>
        <w:t xml:space="preserve">the </w:t>
      </w:r>
      <w:r w:rsidRPr="00EB2BD8">
        <w:t>VBA’s new strategic vision. The achievements outlined in</w:t>
      </w:r>
      <w:r w:rsidRPr="00EB2BD8">
        <w:rPr>
          <w:spacing w:val="-11"/>
        </w:rPr>
        <w:t xml:space="preserve"> </w:t>
      </w:r>
      <w:r w:rsidRPr="00EB2BD8">
        <w:t>this</w:t>
      </w:r>
      <w:r w:rsidRPr="00EB2BD8">
        <w:rPr>
          <w:spacing w:val="-11"/>
        </w:rPr>
        <w:t xml:space="preserve"> </w:t>
      </w:r>
      <w:r w:rsidRPr="00EB2BD8">
        <w:t>report</w:t>
      </w:r>
      <w:r w:rsidRPr="00EB2BD8">
        <w:rPr>
          <w:spacing w:val="-11"/>
        </w:rPr>
        <w:t xml:space="preserve"> </w:t>
      </w:r>
      <w:r w:rsidRPr="00EB2BD8">
        <w:t>would</w:t>
      </w:r>
      <w:r w:rsidRPr="00EB2BD8">
        <w:rPr>
          <w:spacing w:val="-11"/>
        </w:rPr>
        <w:t xml:space="preserve"> </w:t>
      </w:r>
      <w:r w:rsidRPr="00EB2BD8">
        <w:t>not</w:t>
      </w:r>
      <w:r w:rsidRPr="00EB2BD8">
        <w:rPr>
          <w:spacing w:val="-11"/>
        </w:rPr>
        <w:t xml:space="preserve"> </w:t>
      </w:r>
      <w:r w:rsidRPr="00EB2BD8">
        <w:t>have</w:t>
      </w:r>
      <w:r w:rsidRPr="00EB2BD8">
        <w:rPr>
          <w:spacing w:val="-11"/>
        </w:rPr>
        <w:t xml:space="preserve"> </w:t>
      </w:r>
      <w:r w:rsidRPr="00EB2BD8">
        <w:t>been</w:t>
      </w:r>
      <w:r w:rsidRPr="00EB2BD8">
        <w:rPr>
          <w:spacing w:val="-11"/>
        </w:rPr>
        <w:t xml:space="preserve"> </w:t>
      </w:r>
      <w:r w:rsidRPr="00EB2BD8">
        <w:t>possible</w:t>
      </w:r>
      <w:r w:rsidRPr="00EB2BD8">
        <w:rPr>
          <w:spacing w:val="-11"/>
        </w:rPr>
        <w:t xml:space="preserve"> </w:t>
      </w:r>
      <w:r w:rsidRPr="00EB2BD8">
        <w:t>without</w:t>
      </w:r>
      <w:r w:rsidRPr="00EB2BD8">
        <w:rPr>
          <w:spacing w:val="-11"/>
        </w:rPr>
        <w:t xml:space="preserve"> </w:t>
      </w:r>
      <w:r w:rsidRPr="00EB2BD8">
        <w:t xml:space="preserve">the </w:t>
      </w:r>
      <w:r w:rsidRPr="00EB2BD8">
        <w:rPr>
          <w:w w:val="105"/>
        </w:rPr>
        <w:t>commitment</w:t>
      </w:r>
      <w:r w:rsidRPr="00EB2BD8">
        <w:rPr>
          <w:spacing w:val="-9"/>
          <w:w w:val="105"/>
        </w:rPr>
        <w:t xml:space="preserve"> </w:t>
      </w:r>
      <w:r w:rsidRPr="00EB2BD8">
        <w:rPr>
          <w:w w:val="105"/>
        </w:rPr>
        <w:t>of</w:t>
      </w:r>
      <w:r w:rsidRPr="00EB2BD8">
        <w:rPr>
          <w:spacing w:val="-9"/>
          <w:w w:val="105"/>
        </w:rPr>
        <w:t xml:space="preserve"> </w:t>
      </w:r>
      <w:r w:rsidRPr="00EB2BD8">
        <w:rPr>
          <w:w w:val="105"/>
        </w:rPr>
        <w:t>our</w:t>
      </w:r>
      <w:r w:rsidRPr="00EB2BD8">
        <w:rPr>
          <w:spacing w:val="-9"/>
          <w:w w:val="105"/>
        </w:rPr>
        <w:t xml:space="preserve"> </w:t>
      </w:r>
      <w:r w:rsidRPr="00EB2BD8">
        <w:rPr>
          <w:w w:val="105"/>
        </w:rPr>
        <w:t>teams</w:t>
      </w:r>
      <w:r w:rsidRPr="00EB2BD8">
        <w:rPr>
          <w:spacing w:val="-9"/>
          <w:w w:val="105"/>
        </w:rPr>
        <w:t xml:space="preserve"> </w:t>
      </w:r>
      <w:r w:rsidRPr="00EB2BD8">
        <w:rPr>
          <w:w w:val="105"/>
        </w:rPr>
        <w:t>and</w:t>
      </w:r>
      <w:r w:rsidRPr="00EB2BD8">
        <w:rPr>
          <w:spacing w:val="-9"/>
          <w:w w:val="105"/>
        </w:rPr>
        <w:t xml:space="preserve"> </w:t>
      </w:r>
      <w:r w:rsidRPr="00EB2BD8">
        <w:rPr>
          <w:w w:val="105"/>
        </w:rPr>
        <w:t>on</w:t>
      </w:r>
      <w:r w:rsidRPr="00EB2BD8">
        <w:rPr>
          <w:spacing w:val="-9"/>
          <w:w w:val="105"/>
        </w:rPr>
        <w:t xml:space="preserve"> </w:t>
      </w:r>
      <w:r w:rsidRPr="00EB2BD8">
        <w:rPr>
          <w:w w:val="105"/>
        </w:rPr>
        <w:t>behalf</w:t>
      </w:r>
      <w:r w:rsidRPr="00EB2BD8">
        <w:rPr>
          <w:spacing w:val="-9"/>
          <w:w w:val="105"/>
        </w:rPr>
        <w:t xml:space="preserve"> </w:t>
      </w:r>
      <w:r w:rsidRPr="00EB2BD8">
        <w:rPr>
          <w:w w:val="105"/>
        </w:rPr>
        <w:t>of</w:t>
      </w:r>
      <w:r w:rsidRPr="00EB2BD8">
        <w:rPr>
          <w:spacing w:val="-9"/>
          <w:w w:val="105"/>
        </w:rPr>
        <w:t xml:space="preserve"> </w:t>
      </w:r>
      <w:r w:rsidRPr="00EB2BD8">
        <w:rPr>
          <w:w w:val="105"/>
        </w:rPr>
        <w:t>the</w:t>
      </w:r>
      <w:r w:rsidRPr="00EB2BD8">
        <w:rPr>
          <w:spacing w:val="-9"/>
          <w:w w:val="105"/>
        </w:rPr>
        <w:t xml:space="preserve"> </w:t>
      </w:r>
      <w:r w:rsidRPr="00EB2BD8">
        <w:rPr>
          <w:w w:val="105"/>
        </w:rPr>
        <w:t xml:space="preserve">VBA </w:t>
      </w:r>
      <w:r w:rsidRPr="00EB2BD8">
        <w:t>Board</w:t>
      </w:r>
      <w:r w:rsidRPr="00EB2BD8">
        <w:rPr>
          <w:spacing w:val="-9"/>
        </w:rPr>
        <w:t xml:space="preserve"> </w:t>
      </w:r>
      <w:r w:rsidRPr="00EB2BD8">
        <w:t>I</w:t>
      </w:r>
      <w:r w:rsidRPr="00EB2BD8">
        <w:rPr>
          <w:spacing w:val="-9"/>
        </w:rPr>
        <w:t xml:space="preserve"> </w:t>
      </w:r>
      <w:r w:rsidRPr="00EB2BD8">
        <w:t>would</w:t>
      </w:r>
      <w:r w:rsidRPr="00EB2BD8">
        <w:rPr>
          <w:spacing w:val="-9"/>
        </w:rPr>
        <w:t xml:space="preserve"> </w:t>
      </w:r>
      <w:r w:rsidRPr="00EB2BD8">
        <w:t>like</w:t>
      </w:r>
      <w:r w:rsidRPr="00EB2BD8">
        <w:rPr>
          <w:spacing w:val="-9"/>
        </w:rPr>
        <w:t xml:space="preserve"> </w:t>
      </w:r>
      <w:r w:rsidRPr="00EB2BD8">
        <w:t>to</w:t>
      </w:r>
      <w:r w:rsidRPr="00EB2BD8">
        <w:rPr>
          <w:spacing w:val="-9"/>
        </w:rPr>
        <w:t xml:space="preserve"> </w:t>
      </w:r>
      <w:r w:rsidRPr="00EB2BD8">
        <w:t>express</w:t>
      </w:r>
      <w:r w:rsidRPr="00EB2BD8">
        <w:rPr>
          <w:spacing w:val="-9"/>
        </w:rPr>
        <w:t xml:space="preserve"> </w:t>
      </w:r>
      <w:r w:rsidRPr="00EB2BD8">
        <w:t>my</w:t>
      </w:r>
      <w:r w:rsidRPr="00EB2BD8">
        <w:rPr>
          <w:spacing w:val="-9"/>
        </w:rPr>
        <w:t xml:space="preserve"> </w:t>
      </w:r>
      <w:r w:rsidRPr="00EB2BD8">
        <w:t>gratitude</w:t>
      </w:r>
      <w:r w:rsidRPr="00EB2BD8">
        <w:rPr>
          <w:spacing w:val="-9"/>
        </w:rPr>
        <w:t xml:space="preserve"> </w:t>
      </w:r>
      <w:r w:rsidRPr="00EB2BD8">
        <w:t>for</w:t>
      </w:r>
      <w:r w:rsidRPr="00EB2BD8">
        <w:rPr>
          <w:spacing w:val="-9"/>
        </w:rPr>
        <w:t xml:space="preserve"> </w:t>
      </w:r>
      <w:r w:rsidRPr="00EB2BD8">
        <w:t>the</w:t>
      </w:r>
      <w:r w:rsidRPr="00EB2BD8">
        <w:rPr>
          <w:spacing w:val="-9"/>
        </w:rPr>
        <w:t xml:space="preserve"> </w:t>
      </w:r>
      <w:r w:rsidRPr="00EB2BD8">
        <w:t xml:space="preserve">work </w:t>
      </w:r>
      <w:r w:rsidRPr="00EB2BD8">
        <w:rPr>
          <w:w w:val="105"/>
        </w:rPr>
        <w:t>they</w:t>
      </w:r>
      <w:r w:rsidRPr="00EB2BD8">
        <w:rPr>
          <w:spacing w:val="-9"/>
          <w:w w:val="105"/>
        </w:rPr>
        <w:t xml:space="preserve"> </w:t>
      </w:r>
      <w:r w:rsidRPr="00EB2BD8">
        <w:rPr>
          <w:w w:val="105"/>
        </w:rPr>
        <w:t>do.</w:t>
      </w:r>
    </w:p>
    <w:p w14:paraId="001DC8DA" w14:textId="77777777" w:rsidR="00084F36" w:rsidRPr="00EB2BD8" w:rsidRDefault="00084F36">
      <w:pPr>
        <w:spacing w:line="261" w:lineRule="auto"/>
        <w:sectPr w:rsidR="00084F36" w:rsidRPr="00EB2BD8" w:rsidSect="006D75B2">
          <w:type w:val="continuous"/>
          <w:pgSz w:w="11910" w:h="16840"/>
          <w:pgMar w:top="1920" w:right="0" w:bottom="280" w:left="0" w:header="0" w:footer="0" w:gutter="0"/>
          <w:cols w:num="2" w:space="720" w:equalWidth="0">
            <w:col w:w="5699" w:space="40"/>
            <w:col w:w="6171"/>
          </w:cols>
        </w:sectPr>
      </w:pPr>
    </w:p>
    <w:p w14:paraId="11AF1194" w14:textId="1CB87565" w:rsidR="00084F36" w:rsidRPr="00EB2BD8" w:rsidRDefault="00084F36">
      <w:pPr>
        <w:rPr>
          <w:sz w:val="2"/>
          <w:szCs w:val="2"/>
        </w:rPr>
      </w:pPr>
    </w:p>
    <w:p w14:paraId="04420358" w14:textId="77777777" w:rsidR="00084F36" w:rsidRPr="00EB2BD8" w:rsidRDefault="00084F36">
      <w:pPr>
        <w:rPr>
          <w:sz w:val="2"/>
          <w:szCs w:val="2"/>
        </w:rPr>
        <w:sectPr w:rsidR="00084F36" w:rsidRPr="00EB2BD8" w:rsidSect="006D75B2">
          <w:type w:val="continuous"/>
          <w:pgSz w:w="11910" w:h="16840"/>
          <w:pgMar w:top="1920" w:right="0" w:bottom="280" w:left="0" w:header="0" w:footer="0" w:gutter="0"/>
          <w:cols w:space="720"/>
        </w:sectPr>
      </w:pPr>
    </w:p>
    <w:p w14:paraId="73870360" w14:textId="2585C612" w:rsidR="00084F36" w:rsidRPr="00EB2BD8" w:rsidRDefault="00084F36">
      <w:pPr>
        <w:pStyle w:val="BodyText"/>
        <w:rPr>
          <w:sz w:val="20"/>
        </w:rPr>
      </w:pPr>
    </w:p>
    <w:p w14:paraId="1D9981AB" w14:textId="77777777" w:rsidR="00084F36" w:rsidRPr="00EB2BD8" w:rsidRDefault="00084F36">
      <w:pPr>
        <w:pStyle w:val="BodyText"/>
        <w:rPr>
          <w:sz w:val="20"/>
        </w:rPr>
      </w:pPr>
    </w:p>
    <w:p w14:paraId="25102DE7" w14:textId="0456498B" w:rsidR="00084F36" w:rsidRPr="00EB2BD8" w:rsidRDefault="00084F36">
      <w:pPr>
        <w:pStyle w:val="BodyText"/>
        <w:rPr>
          <w:sz w:val="20"/>
        </w:rPr>
      </w:pPr>
    </w:p>
    <w:p w14:paraId="78BDB3E8" w14:textId="77777777" w:rsidR="00084F36" w:rsidRPr="00EB2BD8" w:rsidRDefault="00084F36">
      <w:pPr>
        <w:pStyle w:val="BodyText"/>
        <w:rPr>
          <w:sz w:val="24"/>
        </w:rPr>
      </w:pPr>
    </w:p>
    <w:p w14:paraId="20ABC5F1" w14:textId="37E69DAC" w:rsidR="00084F36" w:rsidRPr="00EB2BD8" w:rsidRDefault="00EB2BD8" w:rsidP="00EB2BD8">
      <w:pPr>
        <w:pStyle w:val="Heading1"/>
      </w:pPr>
      <w:bookmarkStart w:id="34" w:name="_TOC_250002"/>
      <w:bookmarkStart w:id="35" w:name="_Toc150762339"/>
      <w:r w:rsidRPr="00EB2BD8">
        <w:t>The</w:t>
      </w:r>
      <w:r w:rsidRPr="00EB2BD8">
        <w:rPr>
          <w:spacing w:val="-61"/>
        </w:rPr>
        <w:t xml:space="preserve"> </w:t>
      </w:r>
      <w:r w:rsidRPr="00EB2BD8">
        <w:t>Chief</w:t>
      </w:r>
      <w:r w:rsidRPr="00EB2BD8">
        <w:rPr>
          <w:spacing w:val="-61"/>
        </w:rPr>
        <w:t xml:space="preserve"> </w:t>
      </w:r>
      <w:r w:rsidRPr="00EB2BD8">
        <w:t xml:space="preserve">Executive </w:t>
      </w:r>
      <w:bookmarkEnd w:id="34"/>
      <w:r w:rsidRPr="00EB2BD8">
        <w:t>Officer’s Report</w:t>
      </w:r>
      <w:bookmarkEnd w:id="35"/>
    </w:p>
    <w:p w14:paraId="6AE64441" w14:textId="67B1C277" w:rsidR="00DB0F6B" w:rsidRDefault="00DB0F6B">
      <w:pPr>
        <w:spacing w:before="260" w:line="225" w:lineRule="auto"/>
        <w:ind w:left="826" w:right="1155"/>
        <w:rPr>
          <w:rFonts w:ascii="Tahoma" w:hAnsi="Tahoma"/>
          <w:b/>
          <w:spacing w:val="-2"/>
          <w:sz w:val="30"/>
        </w:rPr>
      </w:pPr>
    </w:p>
    <w:p w14:paraId="78D56F5C" w14:textId="491839BB" w:rsidR="00084F36" w:rsidRPr="00DB0F6B" w:rsidRDefault="00EB2BD8" w:rsidP="00DB0F6B">
      <w:pPr>
        <w:pStyle w:val="Heading2"/>
        <w:rPr>
          <w:b w:val="0"/>
          <w:bCs w:val="0"/>
        </w:rPr>
      </w:pPr>
      <w:bookmarkStart w:id="36" w:name="_Toc150762340"/>
      <w:r w:rsidRPr="00DB0F6B">
        <w:rPr>
          <w:b w:val="0"/>
          <w:bCs w:val="0"/>
          <w:spacing w:val="-2"/>
        </w:rPr>
        <w:t>The</w:t>
      </w:r>
      <w:r w:rsidRPr="00DB0F6B">
        <w:rPr>
          <w:b w:val="0"/>
          <w:bCs w:val="0"/>
          <w:spacing w:val="-20"/>
        </w:rPr>
        <w:t xml:space="preserve"> </w:t>
      </w:r>
      <w:r w:rsidRPr="00DB0F6B">
        <w:rPr>
          <w:b w:val="0"/>
          <w:bCs w:val="0"/>
          <w:spacing w:val="-2"/>
        </w:rPr>
        <w:t>VBA</w:t>
      </w:r>
      <w:r w:rsidRPr="00DB0F6B">
        <w:rPr>
          <w:b w:val="0"/>
          <w:bCs w:val="0"/>
          <w:spacing w:val="-20"/>
        </w:rPr>
        <w:t xml:space="preserve"> </w:t>
      </w:r>
      <w:r w:rsidRPr="00DB0F6B">
        <w:rPr>
          <w:b w:val="0"/>
          <w:bCs w:val="0"/>
          <w:spacing w:val="-2"/>
        </w:rPr>
        <w:t>is</w:t>
      </w:r>
      <w:r w:rsidRPr="00DB0F6B">
        <w:rPr>
          <w:b w:val="0"/>
          <w:bCs w:val="0"/>
          <w:spacing w:val="-20"/>
        </w:rPr>
        <w:t xml:space="preserve"> </w:t>
      </w:r>
      <w:r w:rsidRPr="00DB0F6B">
        <w:rPr>
          <w:b w:val="0"/>
          <w:bCs w:val="0"/>
          <w:spacing w:val="-2"/>
        </w:rPr>
        <w:t>currently</w:t>
      </w:r>
      <w:r w:rsidRPr="00DB0F6B">
        <w:rPr>
          <w:b w:val="0"/>
          <w:bCs w:val="0"/>
          <w:spacing w:val="-20"/>
        </w:rPr>
        <w:t xml:space="preserve"> </w:t>
      </w:r>
      <w:r w:rsidRPr="00DB0F6B">
        <w:rPr>
          <w:b w:val="0"/>
          <w:bCs w:val="0"/>
          <w:spacing w:val="-2"/>
        </w:rPr>
        <w:t>working</w:t>
      </w:r>
      <w:r w:rsidRPr="00DB0F6B">
        <w:rPr>
          <w:b w:val="0"/>
          <w:bCs w:val="0"/>
          <w:spacing w:val="-20"/>
        </w:rPr>
        <w:t xml:space="preserve"> </w:t>
      </w:r>
      <w:r w:rsidRPr="00DB0F6B">
        <w:rPr>
          <w:b w:val="0"/>
          <w:bCs w:val="0"/>
          <w:spacing w:val="-2"/>
        </w:rPr>
        <w:t>to</w:t>
      </w:r>
      <w:r w:rsidRPr="00DB0F6B">
        <w:rPr>
          <w:b w:val="0"/>
          <w:bCs w:val="0"/>
          <w:spacing w:val="-20"/>
        </w:rPr>
        <w:t xml:space="preserve"> </w:t>
      </w:r>
      <w:r w:rsidRPr="00DB0F6B">
        <w:rPr>
          <w:b w:val="0"/>
          <w:bCs w:val="0"/>
          <w:spacing w:val="-2"/>
        </w:rPr>
        <w:t>finalise</w:t>
      </w:r>
      <w:r w:rsidRPr="00DB0F6B">
        <w:rPr>
          <w:b w:val="0"/>
          <w:bCs w:val="0"/>
          <w:spacing w:val="-20"/>
        </w:rPr>
        <w:t xml:space="preserve"> </w:t>
      </w:r>
      <w:r w:rsidRPr="00DB0F6B">
        <w:rPr>
          <w:b w:val="0"/>
          <w:bCs w:val="0"/>
          <w:spacing w:val="-2"/>
        </w:rPr>
        <w:t>a</w:t>
      </w:r>
      <w:r w:rsidRPr="00DB0F6B">
        <w:rPr>
          <w:b w:val="0"/>
          <w:bCs w:val="0"/>
          <w:spacing w:val="-20"/>
        </w:rPr>
        <w:t xml:space="preserve"> </w:t>
      </w:r>
      <w:r w:rsidRPr="00DB0F6B">
        <w:rPr>
          <w:b w:val="0"/>
          <w:bCs w:val="0"/>
          <w:spacing w:val="-2"/>
        </w:rPr>
        <w:t>new</w:t>
      </w:r>
      <w:r w:rsidRPr="00DB0F6B">
        <w:rPr>
          <w:b w:val="0"/>
          <w:bCs w:val="0"/>
          <w:spacing w:val="-20"/>
        </w:rPr>
        <w:t xml:space="preserve"> </w:t>
      </w:r>
      <w:r w:rsidRPr="00DB0F6B">
        <w:rPr>
          <w:b w:val="0"/>
          <w:bCs w:val="0"/>
          <w:spacing w:val="-2"/>
        </w:rPr>
        <w:t>Regulatory</w:t>
      </w:r>
      <w:r w:rsidRPr="00DB0F6B">
        <w:rPr>
          <w:b w:val="0"/>
          <w:bCs w:val="0"/>
          <w:spacing w:val="-20"/>
        </w:rPr>
        <w:t xml:space="preserve"> </w:t>
      </w:r>
      <w:r w:rsidRPr="00DB0F6B">
        <w:rPr>
          <w:b w:val="0"/>
          <w:bCs w:val="0"/>
          <w:spacing w:val="-2"/>
        </w:rPr>
        <w:t xml:space="preserve">Policy </w:t>
      </w:r>
      <w:r w:rsidR="00DB0F6B">
        <w:rPr>
          <w:b w:val="0"/>
          <w:bCs w:val="0"/>
          <w:spacing w:val="-2"/>
        </w:rPr>
        <w:br/>
      </w:r>
      <w:r w:rsidRPr="00DB0F6B">
        <w:rPr>
          <w:b w:val="0"/>
          <w:bCs w:val="0"/>
        </w:rPr>
        <w:t>Statement that clearly outlines our aims and approaches to regulating Victoria’s building and plumbing industries.</w:t>
      </w:r>
      <w:bookmarkEnd w:id="36"/>
    </w:p>
    <w:p w14:paraId="2F1E2132" w14:textId="1DD47E54" w:rsidR="00084F36" w:rsidRPr="00EB2BD8" w:rsidRDefault="00084F36">
      <w:pPr>
        <w:pStyle w:val="BodyText"/>
        <w:spacing w:before="3"/>
        <w:rPr>
          <w:rFonts w:ascii="Tahoma"/>
          <w:b/>
          <w:sz w:val="20"/>
        </w:rPr>
      </w:pPr>
    </w:p>
    <w:p w14:paraId="31EC4FE9" w14:textId="77777777" w:rsidR="00084F36" w:rsidRPr="00EB2BD8" w:rsidRDefault="00084F36">
      <w:pPr>
        <w:rPr>
          <w:rFonts w:ascii="Tahoma"/>
          <w:sz w:val="20"/>
        </w:rPr>
        <w:sectPr w:rsidR="00084F36" w:rsidRPr="00EB2BD8" w:rsidSect="006D75B2">
          <w:headerReference w:type="even" r:id="rId26"/>
          <w:headerReference w:type="default" r:id="rId27"/>
          <w:footerReference w:type="even" r:id="rId28"/>
          <w:footerReference w:type="default" r:id="rId29"/>
          <w:pgSz w:w="11910" w:h="16840"/>
          <w:pgMar w:top="1100" w:right="0" w:bottom="700" w:left="0" w:header="0" w:footer="515" w:gutter="0"/>
          <w:pgNumType w:start="12"/>
          <w:cols w:space="720"/>
        </w:sectPr>
      </w:pPr>
    </w:p>
    <w:p w14:paraId="51C261D4" w14:textId="27747E78" w:rsidR="00084F36" w:rsidRPr="00EB2BD8" w:rsidRDefault="00EB2BD8">
      <w:pPr>
        <w:pStyle w:val="BodyText"/>
        <w:spacing w:before="95" w:line="261" w:lineRule="auto"/>
        <w:ind w:left="866" w:right="242"/>
      </w:pPr>
      <w:r w:rsidRPr="00EB2BD8">
        <w:t>Victoria’s construction industry has faced its fair share of challenges in recent years and the impact</w:t>
      </w:r>
      <w:r w:rsidRPr="00EB2BD8">
        <w:rPr>
          <w:spacing w:val="40"/>
        </w:rPr>
        <w:t xml:space="preserve"> </w:t>
      </w:r>
      <w:r w:rsidRPr="00EB2BD8">
        <w:t>on consumers from the recent collapse of some volume</w:t>
      </w:r>
      <w:r w:rsidRPr="00EB2BD8">
        <w:rPr>
          <w:spacing w:val="-9"/>
        </w:rPr>
        <w:t xml:space="preserve"> </w:t>
      </w:r>
      <w:r w:rsidRPr="00EB2BD8">
        <w:t>builders</w:t>
      </w:r>
      <w:r w:rsidRPr="00EB2BD8">
        <w:rPr>
          <w:spacing w:val="-9"/>
        </w:rPr>
        <w:t xml:space="preserve"> </w:t>
      </w:r>
      <w:r w:rsidRPr="00EB2BD8">
        <w:t>has</w:t>
      </w:r>
      <w:r w:rsidRPr="00EB2BD8">
        <w:rPr>
          <w:spacing w:val="-9"/>
        </w:rPr>
        <w:t xml:space="preserve"> </w:t>
      </w:r>
      <w:r w:rsidRPr="00EB2BD8">
        <w:t>been</w:t>
      </w:r>
      <w:r w:rsidRPr="00EB2BD8">
        <w:rPr>
          <w:spacing w:val="-9"/>
        </w:rPr>
        <w:t xml:space="preserve"> </w:t>
      </w:r>
      <w:r w:rsidRPr="00EB2BD8">
        <w:t>profound.</w:t>
      </w:r>
      <w:r w:rsidRPr="00EB2BD8">
        <w:rPr>
          <w:spacing w:val="-9"/>
        </w:rPr>
        <w:t xml:space="preserve"> </w:t>
      </w:r>
      <w:r w:rsidRPr="00EB2BD8">
        <w:t>These</w:t>
      </w:r>
      <w:r w:rsidRPr="00EB2BD8">
        <w:rPr>
          <w:spacing w:val="-9"/>
        </w:rPr>
        <w:t xml:space="preserve"> </w:t>
      </w:r>
      <w:r w:rsidRPr="00EB2BD8">
        <w:t>pressures have been amplified by the fact that industry is also adjusting</w:t>
      </w:r>
      <w:r w:rsidRPr="00EB2BD8">
        <w:rPr>
          <w:spacing w:val="-7"/>
        </w:rPr>
        <w:t xml:space="preserve"> </w:t>
      </w:r>
      <w:r w:rsidRPr="00EB2BD8">
        <w:t>to</w:t>
      </w:r>
      <w:r w:rsidRPr="00EB2BD8">
        <w:rPr>
          <w:spacing w:val="-7"/>
        </w:rPr>
        <w:t xml:space="preserve"> </w:t>
      </w:r>
      <w:r w:rsidRPr="00EB2BD8">
        <w:t>significant</w:t>
      </w:r>
      <w:r w:rsidRPr="00EB2BD8">
        <w:rPr>
          <w:spacing w:val="-7"/>
        </w:rPr>
        <w:t xml:space="preserve"> </w:t>
      </w:r>
      <w:r w:rsidRPr="00EB2BD8">
        <w:t>cost</w:t>
      </w:r>
      <w:r w:rsidRPr="00EB2BD8">
        <w:rPr>
          <w:spacing w:val="-7"/>
        </w:rPr>
        <w:t xml:space="preserve"> </w:t>
      </w:r>
      <w:r w:rsidRPr="00EB2BD8">
        <w:t>inflationary</w:t>
      </w:r>
      <w:r w:rsidRPr="00EB2BD8">
        <w:rPr>
          <w:spacing w:val="-7"/>
        </w:rPr>
        <w:t xml:space="preserve"> </w:t>
      </w:r>
      <w:r w:rsidRPr="00EB2BD8">
        <w:t>pressures</w:t>
      </w:r>
      <w:r w:rsidRPr="00EB2BD8">
        <w:rPr>
          <w:spacing w:val="-7"/>
        </w:rPr>
        <w:t xml:space="preserve"> </w:t>
      </w:r>
      <w:r w:rsidRPr="00EB2BD8">
        <w:t>as well as the introduction of new technologies.</w:t>
      </w:r>
    </w:p>
    <w:p w14:paraId="292FE718" w14:textId="6889E49B" w:rsidR="00084F36" w:rsidRPr="00EB2BD8" w:rsidRDefault="00EB2BD8">
      <w:pPr>
        <w:pStyle w:val="BodyText"/>
        <w:spacing w:before="106" w:line="261" w:lineRule="auto"/>
        <w:ind w:left="866" w:right="89"/>
      </w:pPr>
      <w:r w:rsidRPr="00EB2BD8">
        <w:t>Although I am new to the CEO role at the VBA, I have been</w:t>
      </w:r>
      <w:r w:rsidRPr="00EB2BD8">
        <w:rPr>
          <w:spacing w:val="-8"/>
        </w:rPr>
        <w:t xml:space="preserve"> </w:t>
      </w:r>
      <w:r w:rsidRPr="00EB2BD8">
        <w:t>working</w:t>
      </w:r>
      <w:r w:rsidRPr="00EB2BD8">
        <w:rPr>
          <w:spacing w:val="-8"/>
        </w:rPr>
        <w:t xml:space="preserve"> </w:t>
      </w:r>
      <w:r w:rsidRPr="00EB2BD8">
        <w:t>on</w:t>
      </w:r>
      <w:r w:rsidRPr="00EB2BD8">
        <w:rPr>
          <w:spacing w:val="-8"/>
        </w:rPr>
        <w:t xml:space="preserve"> </w:t>
      </w:r>
      <w:r w:rsidRPr="00EB2BD8">
        <w:t>building</w:t>
      </w:r>
      <w:r w:rsidRPr="00EB2BD8">
        <w:rPr>
          <w:spacing w:val="-8"/>
        </w:rPr>
        <w:t xml:space="preserve"> </w:t>
      </w:r>
      <w:r w:rsidRPr="00EB2BD8">
        <w:t>policy</w:t>
      </w:r>
      <w:r w:rsidRPr="00EB2BD8">
        <w:rPr>
          <w:spacing w:val="-8"/>
        </w:rPr>
        <w:t xml:space="preserve"> </w:t>
      </w:r>
      <w:r w:rsidRPr="00EB2BD8">
        <w:t>issues</w:t>
      </w:r>
      <w:r w:rsidRPr="00EB2BD8">
        <w:rPr>
          <w:spacing w:val="-8"/>
        </w:rPr>
        <w:t xml:space="preserve"> </w:t>
      </w:r>
      <w:r w:rsidRPr="00EB2BD8">
        <w:t>for</w:t>
      </w:r>
      <w:r w:rsidRPr="00EB2BD8">
        <w:rPr>
          <w:spacing w:val="-8"/>
        </w:rPr>
        <w:t xml:space="preserve"> </w:t>
      </w:r>
      <w:r w:rsidRPr="00EB2BD8">
        <w:t>some</w:t>
      </w:r>
      <w:r w:rsidRPr="00EB2BD8">
        <w:rPr>
          <w:spacing w:val="-8"/>
        </w:rPr>
        <w:t xml:space="preserve"> </w:t>
      </w:r>
      <w:r w:rsidRPr="00EB2BD8">
        <w:t>time. The</w:t>
      </w:r>
      <w:r w:rsidRPr="00EB2BD8">
        <w:rPr>
          <w:spacing w:val="-11"/>
        </w:rPr>
        <w:t xml:space="preserve"> </w:t>
      </w:r>
      <w:r w:rsidRPr="00EB2BD8">
        <w:t>Government</w:t>
      </w:r>
      <w:r w:rsidRPr="00EB2BD8">
        <w:rPr>
          <w:spacing w:val="-11"/>
        </w:rPr>
        <w:t xml:space="preserve"> </w:t>
      </w:r>
      <w:r w:rsidRPr="00EB2BD8">
        <w:t>has</w:t>
      </w:r>
      <w:r w:rsidRPr="00EB2BD8">
        <w:rPr>
          <w:spacing w:val="-11"/>
        </w:rPr>
        <w:t xml:space="preserve"> </w:t>
      </w:r>
      <w:r w:rsidRPr="00EB2BD8">
        <w:t>prioritised</w:t>
      </w:r>
      <w:r w:rsidRPr="00EB2BD8">
        <w:rPr>
          <w:spacing w:val="-11"/>
        </w:rPr>
        <w:t xml:space="preserve"> </w:t>
      </w:r>
      <w:r w:rsidRPr="00EB2BD8">
        <w:t>reform</w:t>
      </w:r>
      <w:r w:rsidRPr="00EB2BD8">
        <w:rPr>
          <w:spacing w:val="-11"/>
        </w:rPr>
        <w:t xml:space="preserve"> </w:t>
      </w:r>
      <w:r w:rsidRPr="00EB2BD8">
        <w:t>of</w:t>
      </w:r>
      <w:r w:rsidRPr="00EB2BD8">
        <w:rPr>
          <w:spacing w:val="-11"/>
        </w:rPr>
        <w:t xml:space="preserve"> </w:t>
      </w:r>
      <w:r w:rsidRPr="00EB2BD8">
        <w:t>the</w:t>
      </w:r>
      <w:r w:rsidRPr="00EB2BD8">
        <w:rPr>
          <w:spacing w:val="-11"/>
        </w:rPr>
        <w:t xml:space="preserve"> </w:t>
      </w:r>
      <w:r w:rsidRPr="00EB2BD8">
        <w:t>building regulatory system following the Statewide Cladding Audit and through the establishment of an Expert Panel on building reform.</w:t>
      </w:r>
    </w:p>
    <w:p w14:paraId="2DC15ED5" w14:textId="13B125BE" w:rsidR="00084F36" w:rsidRPr="00EB2BD8" w:rsidRDefault="00EB2BD8">
      <w:pPr>
        <w:pStyle w:val="BodyText"/>
        <w:spacing w:before="107" w:line="261" w:lineRule="auto"/>
        <w:ind w:left="866" w:right="89"/>
      </w:pPr>
      <w:r w:rsidRPr="00EB2BD8">
        <w:t>In</w:t>
      </w:r>
      <w:r w:rsidRPr="00EB2BD8">
        <w:rPr>
          <w:spacing w:val="-7"/>
        </w:rPr>
        <w:t xml:space="preserve"> </w:t>
      </w:r>
      <w:r w:rsidRPr="00EB2BD8">
        <w:t>my</w:t>
      </w:r>
      <w:r w:rsidRPr="00EB2BD8">
        <w:rPr>
          <w:spacing w:val="-7"/>
        </w:rPr>
        <w:t xml:space="preserve"> </w:t>
      </w:r>
      <w:r w:rsidRPr="00EB2BD8">
        <w:t>former</w:t>
      </w:r>
      <w:r w:rsidRPr="00EB2BD8">
        <w:rPr>
          <w:spacing w:val="-7"/>
        </w:rPr>
        <w:t xml:space="preserve"> </w:t>
      </w:r>
      <w:r w:rsidRPr="00EB2BD8">
        <w:t>role</w:t>
      </w:r>
      <w:r w:rsidRPr="00EB2BD8">
        <w:rPr>
          <w:spacing w:val="-7"/>
        </w:rPr>
        <w:t xml:space="preserve"> </w:t>
      </w:r>
      <w:r w:rsidRPr="00EB2BD8">
        <w:t>as</w:t>
      </w:r>
      <w:r w:rsidRPr="00EB2BD8">
        <w:rPr>
          <w:spacing w:val="-7"/>
        </w:rPr>
        <w:t xml:space="preserve"> </w:t>
      </w:r>
      <w:r w:rsidRPr="00EB2BD8">
        <w:t>Chair</w:t>
      </w:r>
      <w:r w:rsidRPr="00EB2BD8">
        <w:rPr>
          <w:spacing w:val="-7"/>
        </w:rPr>
        <w:t xml:space="preserve"> </w:t>
      </w:r>
      <w:r w:rsidRPr="00EB2BD8">
        <w:t>of</w:t>
      </w:r>
      <w:r w:rsidRPr="00EB2BD8">
        <w:rPr>
          <w:spacing w:val="-7"/>
        </w:rPr>
        <w:t xml:space="preserve"> </w:t>
      </w:r>
      <w:r w:rsidRPr="00EB2BD8">
        <w:t>the</w:t>
      </w:r>
      <w:r w:rsidRPr="00EB2BD8">
        <w:rPr>
          <w:spacing w:val="-7"/>
        </w:rPr>
        <w:t xml:space="preserve"> </w:t>
      </w:r>
      <w:r w:rsidRPr="00EB2BD8">
        <w:t>Expert</w:t>
      </w:r>
      <w:r w:rsidRPr="00EB2BD8">
        <w:rPr>
          <w:spacing w:val="-7"/>
        </w:rPr>
        <w:t xml:space="preserve"> </w:t>
      </w:r>
      <w:r w:rsidRPr="00EB2BD8">
        <w:t>Panel,</w:t>
      </w:r>
      <w:r w:rsidRPr="00EB2BD8">
        <w:rPr>
          <w:spacing w:val="-7"/>
        </w:rPr>
        <w:t xml:space="preserve"> </w:t>
      </w:r>
      <w:r w:rsidRPr="00EB2BD8">
        <w:t>it</w:t>
      </w:r>
      <w:r w:rsidRPr="00EB2BD8">
        <w:rPr>
          <w:spacing w:val="-7"/>
        </w:rPr>
        <w:t xml:space="preserve"> </w:t>
      </w:r>
      <w:r w:rsidRPr="00EB2BD8">
        <w:t>was</w:t>
      </w:r>
      <w:r w:rsidRPr="00EB2BD8">
        <w:rPr>
          <w:spacing w:val="-7"/>
        </w:rPr>
        <w:t xml:space="preserve"> </w:t>
      </w:r>
      <w:r w:rsidRPr="00EB2BD8">
        <w:t>a privilege</w:t>
      </w:r>
      <w:r w:rsidRPr="00EB2BD8">
        <w:rPr>
          <w:spacing w:val="-8"/>
        </w:rPr>
        <w:t xml:space="preserve"> </w:t>
      </w:r>
      <w:r w:rsidRPr="00EB2BD8">
        <w:t>to</w:t>
      </w:r>
      <w:r w:rsidRPr="00EB2BD8">
        <w:rPr>
          <w:spacing w:val="-8"/>
        </w:rPr>
        <w:t xml:space="preserve"> </w:t>
      </w:r>
      <w:r w:rsidRPr="00EB2BD8">
        <w:t>work</w:t>
      </w:r>
      <w:r w:rsidRPr="00EB2BD8">
        <w:rPr>
          <w:spacing w:val="-8"/>
        </w:rPr>
        <w:t xml:space="preserve"> </w:t>
      </w:r>
      <w:r w:rsidRPr="00EB2BD8">
        <w:t>with</w:t>
      </w:r>
      <w:r w:rsidRPr="00EB2BD8">
        <w:rPr>
          <w:spacing w:val="-8"/>
        </w:rPr>
        <w:t xml:space="preserve"> </w:t>
      </w:r>
      <w:r w:rsidRPr="00EB2BD8">
        <w:t>so</w:t>
      </w:r>
      <w:r w:rsidRPr="00EB2BD8">
        <w:rPr>
          <w:spacing w:val="-8"/>
        </w:rPr>
        <w:t xml:space="preserve"> </w:t>
      </w:r>
      <w:r w:rsidRPr="00EB2BD8">
        <w:t>many</w:t>
      </w:r>
      <w:r w:rsidRPr="00EB2BD8">
        <w:rPr>
          <w:spacing w:val="-8"/>
        </w:rPr>
        <w:t xml:space="preserve"> </w:t>
      </w:r>
      <w:r w:rsidRPr="00EB2BD8">
        <w:t>insightful</w:t>
      </w:r>
      <w:r w:rsidRPr="00EB2BD8">
        <w:rPr>
          <w:spacing w:val="-8"/>
        </w:rPr>
        <w:t xml:space="preserve"> </w:t>
      </w:r>
      <w:r w:rsidRPr="00EB2BD8">
        <w:t>stakeholders from industry, trades and the professions who are</w:t>
      </w:r>
    </w:p>
    <w:p w14:paraId="6E5FE66C" w14:textId="55958680" w:rsidR="00084F36" w:rsidRPr="00EB2BD8" w:rsidRDefault="00EB2BD8">
      <w:pPr>
        <w:pStyle w:val="BodyText"/>
        <w:spacing w:line="261" w:lineRule="auto"/>
        <w:ind w:left="866" w:right="89"/>
      </w:pPr>
      <w:r w:rsidRPr="00EB2BD8">
        <w:t>so committed to making sure that the regulatory system</w:t>
      </w:r>
      <w:r w:rsidRPr="00EB2BD8">
        <w:rPr>
          <w:spacing w:val="-15"/>
        </w:rPr>
        <w:t xml:space="preserve"> </w:t>
      </w:r>
      <w:r w:rsidRPr="00EB2BD8">
        <w:t>is</w:t>
      </w:r>
      <w:r w:rsidRPr="00EB2BD8">
        <w:rPr>
          <w:spacing w:val="-14"/>
        </w:rPr>
        <w:t xml:space="preserve"> </w:t>
      </w:r>
      <w:r w:rsidRPr="00EB2BD8">
        <w:t>improved.</w:t>
      </w:r>
      <w:r w:rsidRPr="00EB2BD8">
        <w:rPr>
          <w:spacing w:val="-14"/>
        </w:rPr>
        <w:t xml:space="preserve"> </w:t>
      </w:r>
      <w:r w:rsidRPr="00EB2BD8">
        <w:t>Their</w:t>
      </w:r>
      <w:r w:rsidRPr="00EB2BD8">
        <w:rPr>
          <w:spacing w:val="-14"/>
        </w:rPr>
        <w:t xml:space="preserve"> </w:t>
      </w:r>
      <w:r w:rsidRPr="00EB2BD8">
        <w:t>forward</w:t>
      </w:r>
      <w:r w:rsidRPr="00EB2BD8">
        <w:rPr>
          <w:spacing w:val="-15"/>
        </w:rPr>
        <w:t xml:space="preserve"> </w:t>
      </w:r>
      <w:r w:rsidRPr="00EB2BD8">
        <w:t>thinking</w:t>
      </w:r>
      <w:r w:rsidRPr="00EB2BD8">
        <w:rPr>
          <w:spacing w:val="-14"/>
        </w:rPr>
        <w:t xml:space="preserve"> </w:t>
      </w:r>
      <w:r w:rsidRPr="00EB2BD8">
        <w:t>and</w:t>
      </w:r>
      <w:r w:rsidRPr="00EB2BD8">
        <w:rPr>
          <w:spacing w:val="-14"/>
        </w:rPr>
        <w:t xml:space="preserve"> </w:t>
      </w:r>
      <w:r w:rsidRPr="00EB2BD8">
        <w:t>focus on pragmatism is highly valued and reflected in the Panel’s recommendations to the Government.</w:t>
      </w:r>
    </w:p>
    <w:p w14:paraId="70179D4A" w14:textId="4D80541E" w:rsidR="00084F36" w:rsidRPr="00EB2BD8" w:rsidRDefault="00EB2BD8">
      <w:pPr>
        <w:pStyle w:val="BodyText"/>
        <w:spacing w:before="107" w:line="261" w:lineRule="auto"/>
        <w:ind w:left="866" w:right="89"/>
      </w:pPr>
      <w:r w:rsidRPr="00EB2BD8">
        <w:t>During</w:t>
      </w:r>
      <w:r w:rsidRPr="00EB2BD8">
        <w:rPr>
          <w:spacing w:val="-6"/>
        </w:rPr>
        <w:t xml:space="preserve"> </w:t>
      </w:r>
      <w:r w:rsidRPr="00EB2BD8">
        <w:t>this</w:t>
      </w:r>
      <w:r w:rsidRPr="00EB2BD8">
        <w:rPr>
          <w:spacing w:val="-6"/>
        </w:rPr>
        <w:t xml:space="preserve"> </w:t>
      </w:r>
      <w:r w:rsidRPr="00EB2BD8">
        <w:t>period,</w:t>
      </w:r>
      <w:r w:rsidRPr="00EB2BD8">
        <w:rPr>
          <w:spacing w:val="-6"/>
        </w:rPr>
        <w:t xml:space="preserve"> </w:t>
      </w:r>
      <w:r w:rsidRPr="00EB2BD8">
        <w:t>I</w:t>
      </w:r>
      <w:r w:rsidRPr="00EB2BD8">
        <w:rPr>
          <w:spacing w:val="-6"/>
        </w:rPr>
        <w:t xml:space="preserve"> </w:t>
      </w:r>
      <w:r w:rsidRPr="00EB2BD8">
        <w:t>also</w:t>
      </w:r>
      <w:r w:rsidRPr="00EB2BD8">
        <w:rPr>
          <w:spacing w:val="-6"/>
        </w:rPr>
        <w:t xml:space="preserve"> </w:t>
      </w:r>
      <w:r w:rsidRPr="00EB2BD8">
        <w:t>had</w:t>
      </w:r>
      <w:r w:rsidRPr="00EB2BD8">
        <w:rPr>
          <w:spacing w:val="-6"/>
        </w:rPr>
        <w:t xml:space="preserve"> </w:t>
      </w:r>
      <w:r w:rsidRPr="00EB2BD8">
        <w:t>the</w:t>
      </w:r>
      <w:r w:rsidRPr="00EB2BD8">
        <w:rPr>
          <w:spacing w:val="-6"/>
        </w:rPr>
        <w:t xml:space="preserve"> </w:t>
      </w:r>
      <w:r w:rsidRPr="00EB2BD8">
        <w:t>opportunity</w:t>
      </w:r>
      <w:r w:rsidRPr="00EB2BD8">
        <w:rPr>
          <w:spacing w:val="-6"/>
        </w:rPr>
        <w:t xml:space="preserve"> </w:t>
      </w:r>
      <w:r w:rsidRPr="00EB2BD8">
        <w:t>to</w:t>
      </w:r>
      <w:r w:rsidRPr="00EB2BD8">
        <w:rPr>
          <w:spacing w:val="-6"/>
        </w:rPr>
        <w:t xml:space="preserve"> </w:t>
      </w:r>
      <w:r w:rsidRPr="00EB2BD8">
        <w:t>work closely with many staff at the VBA and have been impressed</w:t>
      </w:r>
      <w:r w:rsidRPr="00EB2BD8">
        <w:rPr>
          <w:spacing w:val="-15"/>
        </w:rPr>
        <w:t xml:space="preserve"> </w:t>
      </w:r>
      <w:r w:rsidRPr="00EB2BD8">
        <w:t>with</w:t>
      </w:r>
      <w:r w:rsidRPr="00EB2BD8">
        <w:rPr>
          <w:spacing w:val="-14"/>
        </w:rPr>
        <w:t xml:space="preserve"> </w:t>
      </w:r>
      <w:r w:rsidRPr="00EB2BD8">
        <w:t>the</w:t>
      </w:r>
      <w:r w:rsidRPr="00EB2BD8">
        <w:rPr>
          <w:spacing w:val="-14"/>
        </w:rPr>
        <w:t xml:space="preserve"> </w:t>
      </w:r>
      <w:r w:rsidRPr="00EB2BD8">
        <w:t>skills</w:t>
      </w:r>
      <w:r w:rsidRPr="00EB2BD8">
        <w:rPr>
          <w:spacing w:val="-14"/>
        </w:rPr>
        <w:t xml:space="preserve"> </w:t>
      </w:r>
      <w:r w:rsidRPr="00EB2BD8">
        <w:t>and</w:t>
      </w:r>
      <w:r w:rsidRPr="00EB2BD8">
        <w:rPr>
          <w:spacing w:val="-15"/>
        </w:rPr>
        <w:t xml:space="preserve"> </w:t>
      </w:r>
      <w:r w:rsidRPr="00EB2BD8">
        <w:t>experience</w:t>
      </w:r>
      <w:r w:rsidRPr="00EB2BD8">
        <w:rPr>
          <w:spacing w:val="-14"/>
        </w:rPr>
        <w:t xml:space="preserve"> </w:t>
      </w:r>
      <w:r w:rsidRPr="00EB2BD8">
        <w:t>of</w:t>
      </w:r>
      <w:r w:rsidRPr="00EB2BD8">
        <w:rPr>
          <w:spacing w:val="-14"/>
        </w:rPr>
        <w:t xml:space="preserve"> </w:t>
      </w:r>
      <w:r w:rsidRPr="00EB2BD8">
        <w:t>its</w:t>
      </w:r>
      <w:r w:rsidRPr="00EB2BD8">
        <w:rPr>
          <w:spacing w:val="-14"/>
        </w:rPr>
        <w:t xml:space="preserve"> </w:t>
      </w:r>
      <w:r w:rsidRPr="00EB2BD8">
        <w:t xml:space="preserve">people. Despite many upheavals over the last few years, the VBA has been quietly delivering improvements in its </w:t>
      </w:r>
      <w:r w:rsidRPr="00EB2BD8">
        <w:rPr>
          <w:spacing w:val="-2"/>
        </w:rPr>
        <w:t>operations.</w:t>
      </w:r>
    </w:p>
    <w:p w14:paraId="54FA1AFD" w14:textId="75A6B726" w:rsidR="00084F36" w:rsidRPr="00EB2BD8" w:rsidRDefault="00EB2BD8">
      <w:pPr>
        <w:pStyle w:val="BodyText"/>
        <w:spacing w:before="107" w:line="261" w:lineRule="auto"/>
        <w:ind w:left="866" w:right="204"/>
      </w:pPr>
      <w:r w:rsidRPr="00EB2BD8">
        <w:t>Underpinning</w:t>
      </w:r>
      <w:r w:rsidRPr="00EB2BD8">
        <w:rPr>
          <w:spacing w:val="-15"/>
        </w:rPr>
        <w:t xml:space="preserve"> </w:t>
      </w:r>
      <w:r w:rsidRPr="00EB2BD8">
        <w:t>Victoria’s</w:t>
      </w:r>
      <w:r w:rsidRPr="00EB2BD8">
        <w:rPr>
          <w:spacing w:val="-14"/>
        </w:rPr>
        <w:t xml:space="preserve"> </w:t>
      </w:r>
      <w:r w:rsidRPr="00EB2BD8">
        <w:t>building</w:t>
      </w:r>
      <w:r w:rsidRPr="00EB2BD8">
        <w:rPr>
          <w:spacing w:val="-14"/>
        </w:rPr>
        <w:t xml:space="preserve"> </w:t>
      </w:r>
      <w:r w:rsidRPr="00EB2BD8">
        <w:t>system</w:t>
      </w:r>
      <w:r w:rsidRPr="00EB2BD8">
        <w:rPr>
          <w:spacing w:val="-14"/>
        </w:rPr>
        <w:t xml:space="preserve"> </w:t>
      </w:r>
      <w:r w:rsidRPr="00EB2BD8">
        <w:t>reform</w:t>
      </w:r>
      <w:r w:rsidRPr="00EB2BD8">
        <w:rPr>
          <w:spacing w:val="-15"/>
        </w:rPr>
        <w:t xml:space="preserve"> </w:t>
      </w:r>
      <w:r w:rsidRPr="00EB2BD8">
        <w:t>are the findings from the Stage One report from the Expert Panel, which made 16 recommendations to Government, with three key themes:</w:t>
      </w:r>
    </w:p>
    <w:p w14:paraId="19EA4689" w14:textId="6855FDC1" w:rsidR="00084F36" w:rsidRPr="00EB2BD8" w:rsidRDefault="00EB2BD8">
      <w:pPr>
        <w:pStyle w:val="ListParagraph"/>
        <w:numPr>
          <w:ilvl w:val="0"/>
          <w:numId w:val="72"/>
        </w:numPr>
        <w:tabs>
          <w:tab w:val="left" w:pos="1149"/>
        </w:tabs>
        <w:spacing w:before="86"/>
        <w:ind w:hanging="283"/>
        <w:rPr>
          <w:sz w:val="18"/>
        </w:rPr>
      </w:pPr>
      <w:r w:rsidRPr="00EB2BD8">
        <w:rPr>
          <w:sz w:val="18"/>
        </w:rPr>
        <w:t>Improving</w:t>
      </w:r>
      <w:r w:rsidRPr="00EB2BD8">
        <w:rPr>
          <w:spacing w:val="-5"/>
          <w:sz w:val="18"/>
        </w:rPr>
        <w:t xml:space="preserve"> </w:t>
      </w:r>
      <w:r w:rsidRPr="00EB2BD8">
        <w:rPr>
          <w:sz w:val="18"/>
        </w:rPr>
        <w:t>accountability</w:t>
      </w:r>
      <w:r w:rsidRPr="00EB2BD8">
        <w:rPr>
          <w:spacing w:val="-4"/>
          <w:sz w:val="18"/>
        </w:rPr>
        <w:t xml:space="preserve"> </w:t>
      </w:r>
      <w:r w:rsidRPr="00EB2BD8">
        <w:rPr>
          <w:sz w:val="18"/>
        </w:rPr>
        <w:t>across</w:t>
      </w:r>
      <w:r w:rsidRPr="00EB2BD8">
        <w:rPr>
          <w:spacing w:val="-4"/>
          <w:sz w:val="18"/>
        </w:rPr>
        <w:t xml:space="preserve"> </w:t>
      </w:r>
      <w:r w:rsidRPr="00EB2BD8">
        <w:rPr>
          <w:sz w:val="18"/>
        </w:rPr>
        <w:t>the</w:t>
      </w:r>
      <w:r w:rsidRPr="00EB2BD8">
        <w:rPr>
          <w:spacing w:val="-5"/>
          <w:sz w:val="18"/>
        </w:rPr>
        <w:t xml:space="preserve"> </w:t>
      </w:r>
      <w:r w:rsidRPr="00EB2BD8">
        <w:rPr>
          <w:sz w:val="18"/>
        </w:rPr>
        <w:t>building</w:t>
      </w:r>
      <w:r w:rsidRPr="00EB2BD8">
        <w:rPr>
          <w:spacing w:val="-4"/>
          <w:sz w:val="18"/>
        </w:rPr>
        <w:t xml:space="preserve"> </w:t>
      </w:r>
      <w:r w:rsidRPr="00EB2BD8">
        <w:rPr>
          <w:spacing w:val="-2"/>
          <w:sz w:val="18"/>
        </w:rPr>
        <w:t>system.</w:t>
      </w:r>
    </w:p>
    <w:p w14:paraId="4BA0BB74" w14:textId="77777777" w:rsidR="00084F36" w:rsidRPr="00EB2BD8" w:rsidRDefault="00EB2BD8">
      <w:pPr>
        <w:pStyle w:val="ListParagraph"/>
        <w:numPr>
          <w:ilvl w:val="0"/>
          <w:numId w:val="72"/>
        </w:numPr>
        <w:tabs>
          <w:tab w:val="left" w:pos="1149"/>
        </w:tabs>
        <w:spacing w:before="108" w:line="261" w:lineRule="auto"/>
        <w:ind w:right="600"/>
        <w:rPr>
          <w:sz w:val="18"/>
        </w:rPr>
      </w:pPr>
      <w:r w:rsidRPr="00EB2BD8">
        <w:rPr>
          <w:sz w:val="18"/>
        </w:rPr>
        <w:t>Improving</w:t>
      </w:r>
      <w:r w:rsidRPr="00EB2BD8">
        <w:rPr>
          <w:spacing w:val="-15"/>
          <w:sz w:val="18"/>
        </w:rPr>
        <w:t xml:space="preserve"> </w:t>
      </w:r>
      <w:r w:rsidRPr="00EB2BD8">
        <w:rPr>
          <w:sz w:val="18"/>
        </w:rPr>
        <w:t>oversight</w:t>
      </w:r>
      <w:r w:rsidRPr="00EB2BD8">
        <w:rPr>
          <w:spacing w:val="-14"/>
          <w:sz w:val="18"/>
        </w:rPr>
        <w:t xml:space="preserve"> </w:t>
      </w:r>
      <w:r w:rsidRPr="00EB2BD8">
        <w:rPr>
          <w:sz w:val="18"/>
        </w:rPr>
        <w:t>of</w:t>
      </w:r>
      <w:r w:rsidRPr="00EB2BD8">
        <w:rPr>
          <w:spacing w:val="-14"/>
          <w:sz w:val="18"/>
        </w:rPr>
        <w:t xml:space="preserve"> </w:t>
      </w:r>
      <w:r w:rsidRPr="00EB2BD8">
        <w:rPr>
          <w:sz w:val="18"/>
        </w:rPr>
        <w:t>building</w:t>
      </w:r>
      <w:r w:rsidRPr="00EB2BD8">
        <w:rPr>
          <w:spacing w:val="-14"/>
          <w:sz w:val="18"/>
        </w:rPr>
        <w:t xml:space="preserve"> </w:t>
      </w:r>
      <w:r w:rsidRPr="00EB2BD8">
        <w:rPr>
          <w:sz w:val="18"/>
        </w:rPr>
        <w:t>and</w:t>
      </w:r>
      <w:r w:rsidRPr="00EB2BD8">
        <w:rPr>
          <w:spacing w:val="-15"/>
          <w:sz w:val="18"/>
        </w:rPr>
        <w:t xml:space="preserve"> </w:t>
      </w:r>
      <w:r w:rsidRPr="00EB2BD8">
        <w:rPr>
          <w:sz w:val="18"/>
        </w:rPr>
        <w:t>plumbing activity</w:t>
      </w:r>
      <w:r w:rsidRPr="00EB2BD8">
        <w:rPr>
          <w:spacing w:val="-6"/>
          <w:sz w:val="18"/>
        </w:rPr>
        <w:t xml:space="preserve"> </w:t>
      </w:r>
      <w:r w:rsidRPr="00EB2BD8">
        <w:rPr>
          <w:sz w:val="18"/>
        </w:rPr>
        <w:t>and,</w:t>
      </w:r>
    </w:p>
    <w:p w14:paraId="70442821" w14:textId="77777777" w:rsidR="00084F36" w:rsidRPr="00EB2BD8" w:rsidRDefault="00EB2BD8">
      <w:pPr>
        <w:pStyle w:val="ListParagraph"/>
        <w:numPr>
          <w:ilvl w:val="0"/>
          <w:numId w:val="72"/>
        </w:numPr>
        <w:tabs>
          <w:tab w:val="left" w:pos="1149"/>
        </w:tabs>
        <w:spacing w:before="88"/>
        <w:ind w:hanging="283"/>
        <w:rPr>
          <w:sz w:val="18"/>
        </w:rPr>
      </w:pPr>
      <w:r w:rsidRPr="00EB2BD8">
        <w:rPr>
          <w:sz w:val="18"/>
        </w:rPr>
        <w:t>Boosting</w:t>
      </w:r>
      <w:r w:rsidRPr="00EB2BD8">
        <w:rPr>
          <w:spacing w:val="-2"/>
          <w:sz w:val="18"/>
        </w:rPr>
        <w:t xml:space="preserve"> </w:t>
      </w:r>
      <w:r w:rsidRPr="00EB2BD8">
        <w:rPr>
          <w:sz w:val="18"/>
        </w:rPr>
        <w:t>consumer</w:t>
      </w:r>
      <w:r w:rsidRPr="00EB2BD8">
        <w:rPr>
          <w:spacing w:val="-2"/>
          <w:sz w:val="18"/>
        </w:rPr>
        <w:t xml:space="preserve"> protection.</w:t>
      </w:r>
    </w:p>
    <w:p w14:paraId="01C475C6" w14:textId="6B7C7789" w:rsidR="00084F36" w:rsidRPr="00EB2BD8" w:rsidRDefault="00EB2BD8">
      <w:pPr>
        <w:spacing w:before="129" w:line="261" w:lineRule="auto"/>
        <w:ind w:left="397" w:right="811"/>
        <w:rPr>
          <w:sz w:val="18"/>
        </w:rPr>
      </w:pPr>
      <w:r w:rsidRPr="00EB2BD8">
        <w:br w:type="column"/>
      </w:r>
      <w:r w:rsidRPr="00EB2BD8">
        <w:rPr>
          <w:i/>
          <w:sz w:val="18"/>
        </w:rPr>
        <w:t>The</w:t>
      </w:r>
      <w:r w:rsidRPr="00EB2BD8">
        <w:rPr>
          <w:i/>
          <w:spacing w:val="-3"/>
          <w:sz w:val="18"/>
        </w:rPr>
        <w:t xml:space="preserve"> </w:t>
      </w:r>
      <w:r w:rsidRPr="00EB2BD8">
        <w:rPr>
          <w:i/>
          <w:sz w:val="18"/>
        </w:rPr>
        <w:t>Building</w:t>
      </w:r>
      <w:r w:rsidRPr="00EB2BD8">
        <w:rPr>
          <w:i/>
          <w:spacing w:val="-3"/>
          <w:sz w:val="18"/>
        </w:rPr>
        <w:t xml:space="preserve"> </w:t>
      </w:r>
      <w:r w:rsidRPr="00EB2BD8">
        <w:rPr>
          <w:i/>
          <w:sz w:val="18"/>
        </w:rPr>
        <w:t>Legislation</w:t>
      </w:r>
      <w:r w:rsidRPr="00EB2BD8">
        <w:rPr>
          <w:i/>
          <w:spacing w:val="-3"/>
          <w:sz w:val="18"/>
        </w:rPr>
        <w:t xml:space="preserve"> </w:t>
      </w:r>
      <w:r w:rsidRPr="00EB2BD8">
        <w:rPr>
          <w:i/>
          <w:sz w:val="18"/>
        </w:rPr>
        <w:t>Amendment</w:t>
      </w:r>
      <w:r w:rsidRPr="00EB2BD8">
        <w:rPr>
          <w:i/>
          <w:spacing w:val="-3"/>
          <w:sz w:val="18"/>
        </w:rPr>
        <w:t xml:space="preserve"> </w:t>
      </w:r>
      <w:r w:rsidRPr="00EB2BD8">
        <w:rPr>
          <w:i/>
          <w:sz w:val="18"/>
        </w:rPr>
        <w:t>Bill</w:t>
      </w:r>
      <w:r w:rsidRPr="00EB2BD8">
        <w:rPr>
          <w:sz w:val="18"/>
        </w:rPr>
        <w:t>,</w:t>
      </w:r>
      <w:r w:rsidRPr="00EB2BD8">
        <w:rPr>
          <w:spacing w:val="-3"/>
          <w:sz w:val="18"/>
        </w:rPr>
        <w:t xml:space="preserve"> </w:t>
      </w:r>
      <w:r w:rsidRPr="00EB2BD8">
        <w:rPr>
          <w:sz w:val="18"/>
        </w:rPr>
        <w:t>which</w:t>
      </w:r>
      <w:r w:rsidRPr="00EB2BD8">
        <w:rPr>
          <w:spacing w:val="-3"/>
          <w:sz w:val="18"/>
        </w:rPr>
        <w:t xml:space="preserve"> </w:t>
      </w:r>
      <w:r w:rsidRPr="00EB2BD8">
        <w:rPr>
          <w:sz w:val="18"/>
        </w:rPr>
        <w:t>passed in June 2023 enacted many recommendations of the Panel’s work. These included:</w:t>
      </w:r>
    </w:p>
    <w:p w14:paraId="68E6E31A" w14:textId="3ACFD70A" w:rsidR="00084F36" w:rsidRPr="00EB2BD8" w:rsidRDefault="00EB2BD8">
      <w:pPr>
        <w:pStyle w:val="ListParagraph"/>
        <w:numPr>
          <w:ilvl w:val="0"/>
          <w:numId w:val="71"/>
        </w:numPr>
        <w:tabs>
          <w:tab w:val="left" w:pos="681"/>
        </w:tabs>
        <w:spacing w:before="87" w:line="261" w:lineRule="auto"/>
        <w:ind w:right="918"/>
        <w:rPr>
          <w:sz w:val="18"/>
        </w:rPr>
      </w:pPr>
      <w:r w:rsidRPr="00EB2BD8">
        <w:rPr>
          <w:sz w:val="18"/>
        </w:rPr>
        <w:t>Establishing</w:t>
      </w:r>
      <w:r w:rsidRPr="00EB2BD8">
        <w:rPr>
          <w:spacing w:val="-10"/>
          <w:sz w:val="18"/>
        </w:rPr>
        <w:t xml:space="preserve"> </w:t>
      </w:r>
      <w:r w:rsidRPr="00EB2BD8">
        <w:rPr>
          <w:sz w:val="18"/>
        </w:rPr>
        <w:t>a</w:t>
      </w:r>
      <w:r w:rsidRPr="00EB2BD8">
        <w:rPr>
          <w:spacing w:val="-10"/>
          <w:sz w:val="18"/>
        </w:rPr>
        <w:t xml:space="preserve"> </w:t>
      </w:r>
      <w:r w:rsidRPr="00EB2BD8">
        <w:rPr>
          <w:sz w:val="18"/>
        </w:rPr>
        <w:t>Building</w:t>
      </w:r>
      <w:r w:rsidRPr="00EB2BD8">
        <w:rPr>
          <w:spacing w:val="-10"/>
          <w:sz w:val="18"/>
        </w:rPr>
        <w:t xml:space="preserve"> </w:t>
      </w:r>
      <w:r w:rsidRPr="00EB2BD8">
        <w:rPr>
          <w:sz w:val="18"/>
        </w:rPr>
        <w:t>Monitor</w:t>
      </w:r>
      <w:r w:rsidRPr="00EB2BD8">
        <w:rPr>
          <w:spacing w:val="-10"/>
          <w:sz w:val="18"/>
        </w:rPr>
        <w:t xml:space="preserve"> </w:t>
      </w:r>
      <w:r w:rsidRPr="00EB2BD8">
        <w:rPr>
          <w:sz w:val="18"/>
        </w:rPr>
        <w:t>to</w:t>
      </w:r>
      <w:r w:rsidRPr="00EB2BD8">
        <w:rPr>
          <w:spacing w:val="-10"/>
          <w:sz w:val="18"/>
        </w:rPr>
        <w:t xml:space="preserve"> </w:t>
      </w:r>
      <w:r w:rsidRPr="00EB2BD8">
        <w:rPr>
          <w:sz w:val="18"/>
        </w:rPr>
        <w:t>identify</w:t>
      </w:r>
      <w:r w:rsidRPr="00EB2BD8">
        <w:rPr>
          <w:spacing w:val="-10"/>
          <w:sz w:val="18"/>
        </w:rPr>
        <w:t xml:space="preserve"> </w:t>
      </w:r>
      <w:r w:rsidRPr="00EB2BD8">
        <w:rPr>
          <w:sz w:val="18"/>
        </w:rPr>
        <w:t>emerging consumer issues at a systemic level.</w:t>
      </w:r>
    </w:p>
    <w:p w14:paraId="7CA342CC" w14:textId="77777777" w:rsidR="00084F36" w:rsidRPr="00EB2BD8" w:rsidRDefault="00EB2BD8">
      <w:pPr>
        <w:pStyle w:val="ListParagraph"/>
        <w:numPr>
          <w:ilvl w:val="0"/>
          <w:numId w:val="71"/>
        </w:numPr>
        <w:tabs>
          <w:tab w:val="left" w:pos="681"/>
        </w:tabs>
        <w:spacing w:before="87" w:line="261" w:lineRule="auto"/>
        <w:ind w:right="1053"/>
        <w:rPr>
          <w:sz w:val="18"/>
        </w:rPr>
      </w:pPr>
      <w:r w:rsidRPr="00EB2BD8">
        <w:rPr>
          <w:sz w:val="18"/>
        </w:rPr>
        <w:t>Strengthening</w:t>
      </w:r>
      <w:r w:rsidRPr="00EB2BD8">
        <w:rPr>
          <w:spacing w:val="-1"/>
          <w:sz w:val="18"/>
        </w:rPr>
        <w:t xml:space="preserve"> </w:t>
      </w:r>
      <w:r w:rsidRPr="00EB2BD8">
        <w:rPr>
          <w:sz w:val="18"/>
        </w:rPr>
        <w:t>the</w:t>
      </w:r>
      <w:r w:rsidRPr="00EB2BD8">
        <w:rPr>
          <w:spacing w:val="-1"/>
          <w:sz w:val="18"/>
        </w:rPr>
        <w:t xml:space="preserve"> </w:t>
      </w:r>
      <w:r w:rsidRPr="00EB2BD8">
        <w:rPr>
          <w:sz w:val="18"/>
        </w:rPr>
        <w:t>building</w:t>
      </w:r>
      <w:r w:rsidRPr="00EB2BD8">
        <w:rPr>
          <w:spacing w:val="-1"/>
          <w:sz w:val="18"/>
        </w:rPr>
        <w:t xml:space="preserve"> </w:t>
      </w:r>
      <w:r w:rsidRPr="00EB2BD8">
        <w:rPr>
          <w:sz w:val="18"/>
        </w:rPr>
        <w:t>approvals</w:t>
      </w:r>
      <w:r w:rsidRPr="00EB2BD8">
        <w:rPr>
          <w:spacing w:val="-1"/>
          <w:sz w:val="18"/>
        </w:rPr>
        <w:t xml:space="preserve"> </w:t>
      </w:r>
      <w:r w:rsidRPr="00EB2BD8">
        <w:rPr>
          <w:sz w:val="18"/>
        </w:rPr>
        <w:t>process</w:t>
      </w:r>
      <w:r w:rsidRPr="00EB2BD8">
        <w:rPr>
          <w:spacing w:val="-1"/>
          <w:sz w:val="18"/>
        </w:rPr>
        <w:t xml:space="preserve"> </w:t>
      </w:r>
      <w:r w:rsidRPr="00EB2BD8">
        <w:rPr>
          <w:sz w:val="18"/>
        </w:rPr>
        <w:t>and the creation of a building manual.</w:t>
      </w:r>
    </w:p>
    <w:p w14:paraId="1E468199" w14:textId="7D84D2FB" w:rsidR="00084F36" w:rsidRPr="00EB2BD8" w:rsidRDefault="00EB2BD8">
      <w:pPr>
        <w:pStyle w:val="ListParagraph"/>
        <w:numPr>
          <w:ilvl w:val="0"/>
          <w:numId w:val="71"/>
        </w:numPr>
        <w:tabs>
          <w:tab w:val="left" w:pos="681"/>
        </w:tabs>
        <w:spacing w:before="88" w:line="261" w:lineRule="auto"/>
        <w:ind w:right="1095"/>
        <w:rPr>
          <w:sz w:val="18"/>
        </w:rPr>
      </w:pPr>
      <w:r w:rsidRPr="00EB2BD8">
        <w:rPr>
          <w:sz w:val="18"/>
        </w:rPr>
        <w:t>The creation of the statutory powers of the State Building</w:t>
      </w:r>
      <w:r w:rsidRPr="00EB2BD8">
        <w:rPr>
          <w:spacing w:val="-15"/>
          <w:sz w:val="18"/>
        </w:rPr>
        <w:t xml:space="preserve"> </w:t>
      </w:r>
      <w:r w:rsidRPr="00EB2BD8">
        <w:rPr>
          <w:sz w:val="18"/>
        </w:rPr>
        <w:t>Surveyor,</w:t>
      </w:r>
      <w:r w:rsidRPr="00EB2BD8">
        <w:rPr>
          <w:spacing w:val="-14"/>
          <w:sz w:val="18"/>
        </w:rPr>
        <w:t xml:space="preserve"> </w:t>
      </w:r>
      <w:r w:rsidRPr="00EB2BD8">
        <w:rPr>
          <w:sz w:val="18"/>
        </w:rPr>
        <w:t>who</w:t>
      </w:r>
      <w:r w:rsidRPr="00EB2BD8">
        <w:rPr>
          <w:spacing w:val="-14"/>
          <w:sz w:val="18"/>
        </w:rPr>
        <w:t xml:space="preserve"> </w:t>
      </w:r>
      <w:r w:rsidRPr="00EB2BD8">
        <w:rPr>
          <w:sz w:val="18"/>
        </w:rPr>
        <w:t>will</w:t>
      </w:r>
      <w:r w:rsidRPr="00EB2BD8">
        <w:rPr>
          <w:spacing w:val="-14"/>
          <w:sz w:val="18"/>
        </w:rPr>
        <w:t xml:space="preserve"> </w:t>
      </w:r>
      <w:r w:rsidRPr="00EB2BD8">
        <w:rPr>
          <w:sz w:val="18"/>
        </w:rPr>
        <w:t>be</w:t>
      </w:r>
      <w:r w:rsidRPr="00EB2BD8">
        <w:rPr>
          <w:spacing w:val="-15"/>
          <w:sz w:val="18"/>
        </w:rPr>
        <w:t xml:space="preserve"> </w:t>
      </w:r>
      <w:r w:rsidRPr="00EB2BD8">
        <w:rPr>
          <w:sz w:val="18"/>
        </w:rPr>
        <w:t>empowered</w:t>
      </w:r>
      <w:r w:rsidRPr="00EB2BD8">
        <w:rPr>
          <w:spacing w:val="-14"/>
          <w:sz w:val="18"/>
        </w:rPr>
        <w:t xml:space="preserve"> </w:t>
      </w:r>
      <w:r w:rsidRPr="00EB2BD8">
        <w:rPr>
          <w:sz w:val="18"/>
        </w:rPr>
        <w:t>to</w:t>
      </w:r>
      <w:r w:rsidRPr="00EB2BD8">
        <w:rPr>
          <w:spacing w:val="-14"/>
          <w:sz w:val="18"/>
        </w:rPr>
        <w:t xml:space="preserve"> </w:t>
      </w:r>
      <w:r w:rsidRPr="00EB2BD8">
        <w:rPr>
          <w:sz w:val="18"/>
        </w:rPr>
        <w:t>issue binding determinations, as needed and,</w:t>
      </w:r>
    </w:p>
    <w:p w14:paraId="11E69D3B" w14:textId="7332DDF6" w:rsidR="00084F36" w:rsidRPr="00EB2BD8" w:rsidRDefault="00EB2BD8">
      <w:pPr>
        <w:pStyle w:val="ListParagraph"/>
        <w:numPr>
          <w:ilvl w:val="0"/>
          <w:numId w:val="71"/>
        </w:numPr>
        <w:tabs>
          <w:tab w:val="left" w:pos="681"/>
        </w:tabs>
        <w:spacing w:before="87" w:line="261" w:lineRule="auto"/>
        <w:ind w:right="1107"/>
        <w:jc w:val="both"/>
        <w:rPr>
          <w:sz w:val="18"/>
        </w:rPr>
      </w:pPr>
      <w:r w:rsidRPr="00EB2BD8">
        <w:rPr>
          <w:sz w:val="18"/>
        </w:rPr>
        <w:t>Expanding the categories of building practitioner that</w:t>
      </w:r>
      <w:r w:rsidRPr="00EB2BD8">
        <w:rPr>
          <w:spacing w:val="-8"/>
          <w:sz w:val="18"/>
        </w:rPr>
        <w:t xml:space="preserve"> </w:t>
      </w:r>
      <w:r w:rsidRPr="00EB2BD8">
        <w:rPr>
          <w:sz w:val="18"/>
        </w:rPr>
        <w:t>will</w:t>
      </w:r>
      <w:r w:rsidRPr="00EB2BD8">
        <w:rPr>
          <w:spacing w:val="-8"/>
          <w:sz w:val="18"/>
        </w:rPr>
        <w:t xml:space="preserve"> </w:t>
      </w:r>
      <w:r w:rsidRPr="00EB2BD8">
        <w:rPr>
          <w:sz w:val="18"/>
        </w:rPr>
        <w:t>be</w:t>
      </w:r>
      <w:r w:rsidRPr="00EB2BD8">
        <w:rPr>
          <w:spacing w:val="-8"/>
          <w:sz w:val="18"/>
        </w:rPr>
        <w:t xml:space="preserve"> </w:t>
      </w:r>
      <w:r w:rsidRPr="00EB2BD8">
        <w:rPr>
          <w:sz w:val="18"/>
        </w:rPr>
        <w:t>registered,</w:t>
      </w:r>
      <w:r w:rsidRPr="00EB2BD8">
        <w:rPr>
          <w:spacing w:val="-8"/>
          <w:sz w:val="18"/>
        </w:rPr>
        <w:t xml:space="preserve"> </w:t>
      </w:r>
      <w:r w:rsidRPr="00EB2BD8">
        <w:rPr>
          <w:sz w:val="18"/>
        </w:rPr>
        <w:t>to</w:t>
      </w:r>
      <w:r w:rsidRPr="00EB2BD8">
        <w:rPr>
          <w:spacing w:val="-8"/>
          <w:sz w:val="18"/>
        </w:rPr>
        <w:t xml:space="preserve"> </w:t>
      </w:r>
      <w:r w:rsidRPr="00EB2BD8">
        <w:rPr>
          <w:sz w:val="18"/>
        </w:rPr>
        <w:t>achieve</w:t>
      </w:r>
      <w:r w:rsidRPr="00EB2BD8">
        <w:rPr>
          <w:spacing w:val="-8"/>
          <w:sz w:val="18"/>
        </w:rPr>
        <w:t xml:space="preserve"> </w:t>
      </w:r>
      <w:r w:rsidRPr="00EB2BD8">
        <w:rPr>
          <w:sz w:val="18"/>
        </w:rPr>
        <w:t>greater</w:t>
      </w:r>
      <w:r w:rsidRPr="00EB2BD8">
        <w:rPr>
          <w:spacing w:val="-8"/>
          <w:sz w:val="18"/>
        </w:rPr>
        <w:t xml:space="preserve"> </w:t>
      </w:r>
      <w:r w:rsidRPr="00EB2BD8">
        <w:rPr>
          <w:sz w:val="18"/>
        </w:rPr>
        <w:t xml:space="preserve">national </w:t>
      </w:r>
      <w:r w:rsidRPr="00EB2BD8">
        <w:rPr>
          <w:spacing w:val="-2"/>
          <w:sz w:val="18"/>
        </w:rPr>
        <w:t>consistency.</w:t>
      </w:r>
    </w:p>
    <w:p w14:paraId="572AA152" w14:textId="47DE0901" w:rsidR="00084F36" w:rsidRPr="00EB2BD8" w:rsidRDefault="00EB2BD8">
      <w:pPr>
        <w:pStyle w:val="BodyText"/>
        <w:spacing w:before="1"/>
        <w:rPr>
          <w:sz w:val="14"/>
        </w:rPr>
      </w:pPr>
      <w:r w:rsidRPr="00EB2BD8">
        <w:rPr>
          <w:noProof/>
        </w:rPr>
        <w:drawing>
          <wp:anchor distT="0" distB="0" distL="0" distR="0" simplePos="0" relativeHeight="251928576" behindDoc="1" locked="0" layoutInCell="1" allowOverlap="1" wp14:anchorId="78E1D7B2" wp14:editId="41B6BB22">
            <wp:simplePos x="0" y="0"/>
            <wp:positionH relativeFrom="page">
              <wp:posOffset>3991705</wp:posOffset>
            </wp:positionH>
            <wp:positionV relativeFrom="paragraph">
              <wp:posOffset>120629</wp:posOffset>
            </wp:positionV>
            <wp:extent cx="2909481" cy="3130296"/>
            <wp:effectExtent l="0" t="0" r="0" b="0"/>
            <wp:wrapTopAndBottom/>
            <wp:docPr id="141" name="Imag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909481" cy="3130296"/>
                    </a:xfrm>
                    <a:prstGeom prst="rect">
                      <a:avLst/>
                    </a:prstGeom>
                  </pic:spPr>
                </pic:pic>
              </a:graphicData>
            </a:graphic>
          </wp:anchor>
        </w:drawing>
      </w:r>
    </w:p>
    <w:p w14:paraId="197BAC2B" w14:textId="77777777" w:rsidR="00084F36" w:rsidRPr="00EB2BD8" w:rsidRDefault="00EB2BD8">
      <w:pPr>
        <w:spacing w:before="153"/>
        <w:ind w:left="1056" w:right="1748"/>
        <w:jc w:val="center"/>
        <w:rPr>
          <w:rFonts w:ascii="Tahoma"/>
          <w:b/>
          <w:sz w:val="20"/>
        </w:rPr>
      </w:pPr>
      <w:r w:rsidRPr="00EB2BD8">
        <w:rPr>
          <w:rFonts w:ascii="Tahoma"/>
          <w:b/>
          <w:sz w:val="20"/>
        </w:rPr>
        <w:t>Anna</w:t>
      </w:r>
      <w:r w:rsidRPr="00EB2BD8">
        <w:rPr>
          <w:rFonts w:ascii="Tahoma"/>
          <w:b/>
          <w:spacing w:val="-15"/>
          <w:sz w:val="20"/>
        </w:rPr>
        <w:t xml:space="preserve"> </w:t>
      </w:r>
      <w:r w:rsidRPr="00EB2BD8">
        <w:rPr>
          <w:rFonts w:ascii="Tahoma"/>
          <w:b/>
          <w:spacing w:val="-2"/>
          <w:sz w:val="20"/>
        </w:rPr>
        <w:t>Cronin</w:t>
      </w:r>
    </w:p>
    <w:p w14:paraId="3888BE3F" w14:textId="77777777" w:rsidR="00084F36" w:rsidRPr="00EB2BD8" w:rsidRDefault="00EB2BD8">
      <w:pPr>
        <w:spacing w:before="5"/>
        <w:ind w:left="1056" w:right="1748"/>
        <w:jc w:val="center"/>
        <w:rPr>
          <w:sz w:val="20"/>
        </w:rPr>
      </w:pPr>
      <w:r w:rsidRPr="00EB2BD8">
        <w:rPr>
          <w:sz w:val="20"/>
        </w:rPr>
        <w:t>Chief</w:t>
      </w:r>
      <w:r w:rsidRPr="00EB2BD8">
        <w:rPr>
          <w:spacing w:val="4"/>
          <w:sz w:val="20"/>
        </w:rPr>
        <w:t xml:space="preserve"> </w:t>
      </w:r>
      <w:r w:rsidRPr="00EB2BD8">
        <w:rPr>
          <w:sz w:val="20"/>
        </w:rPr>
        <w:t>Executive</w:t>
      </w:r>
      <w:r w:rsidRPr="00EB2BD8">
        <w:rPr>
          <w:spacing w:val="5"/>
          <w:sz w:val="20"/>
        </w:rPr>
        <w:t xml:space="preserve"> </w:t>
      </w:r>
      <w:r w:rsidRPr="00EB2BD8">
        <w:rPr>
          <w:spacing w:val="-2"/>
          <w:sz w:val="20"/>
        </w:rPr>
        <w:t>Officer</w:t>
      </w:r>
    </w:p>
    <w:p w14:paraId="70F73B72" w14:textId="77777777" w:rsidR="00084F36" w:rsidRPr="00EB2BD8" w:rsidRDefault="00084F36">
      <w:pPr>
        <w:jc w:val="center"/>
        <w:rPr>
          <w:sz w:val="20"/>
        </w:rPr>
        <w:sectPr w:rsidR="00084F36" w:rsidRPr="00EB2BD8" w:rsidSect="006D75B2">
          <w:type w:val="continuous"/>
          <w:pgSz w:w="11910" w:h="16840"/>
          <w:pgMar w:top="1920" w:right="0" w:bottom="280" w:left="0" w:header="0" w:footer="0" w:gutter="0"/>
          <w:cols w:num="2" w:space="720" w:equalWidth="0">
            <w:col w:w="5742" w:space="40"/>
            <w:col w:w="6128"/>
          </w:cols>
        </w:sectPr>
      </w:pPr>
    </w:p>
    <w:p w14:paraId="57B065F8" w14:textId="77777777" w:rsidR="00084F36" w:rsidRPr="00EB2BD8" w:rsidRDefault="00084F36">
      <w:pPr>
        <w:pStyle w:val="BodyText"/>
        <w:rPr>
          <w:sz w:val="20"/>
        </w:rPr>
      </w:pPr>
    </w:p>
    <w:p w14:paraId="2544C81E" w14:textId="77777777" w:rsidR="00084F36" w:rsidRPr="00EB2BD8" w:rsidRDefault="00084F36">
      <w:pPr>
        <w:pStyle w:val="BodyText"/>
        <w:rPr>
          <w:sz w:val="20"/>
        </w:rPr>
      </w:pPr>
    </w:p>
    <w:p w14:paraId="5ABDE563" w14:textId="77777777" w:rsidR="00084F36" w:rsidRPr="00EB2BD8" w:rsidRDefault="00084F36">
      <w:pPr>
        <w:pStyle w:val="BodyText"/>
        <w:rPr>
          <w:sz w:val="20"/>
        </w:rPr>
      </w:pPr>
    </w:p>
    <w:p w14:paraId="4215F389" w14:textId="77777777" w:rsidR="00084F36" w:rsidRPr="00EB2BD8" w:rsidRDefault="00084F36">
      <w:pPr>
        <w:pStyle w:val="BodyText"/>
        <w:rPr>
          <w:sz w:val="20"/>
        </w:rPr>
      </w:pPr>
    </w:p>
    <w:p w14:paraId="5F2CB02D" w14:textId="77777777" w:rsidR="00084F36" w:rsidRPr="00EB2BD8" w:rsidRDefault="00084F36">
      <w:pPr>
        <w:pStyle w:val="BodyText"/>
        <w:spacing w:before="3"/>
        <w:rPr>
          <w:sz w:val="17"/>
        </w:rPr>
      </w:pPr>
    </w:p>
    <w:p w14:paraId="506F8D48" w14:textId="77777777" w:rsidR="00084F36" w:rsidRPr="00EB2BD8" w:rsidRDefault="00084F36">
      <w:pPr>
        <w:rPr>
          <w:sz w:val="17"/>
        </w:rPr>
        <w:sectPr w:rsidR="00084F36" w:rsidRPr="00EB2BD8" w:rsidSect="006D75B2">
          <w:footerReference w:type="default" r:id="rId31"/>
          <w:pgSz w:w="11910" w:h="16840"/>
          <w:pgMar w:top="1080" w:right="0" w:bottom="0" w:left="0" w:header="0" w:footer="0" w:gutter="0"/>
          <w:cols w:space="720"/>
        </w:sectPr>
      </w:pPr>
    </w:p>
    <w:p w14:paraId="628BE250" w14:textId="77777777" w:rsidR="00084F36" w:rsidRPr="00EB2BD8" w:rsidRDefault="00EB2BD8">
      <w:pPr>
        <w:pStyle w:val="BodyText"/>
        <w:spacing w:before="95" w:line="261" w:lineRule="auto"/>
        <w:ind w:left="866"/>
      </w:pPr>
      <w:r w:rsidRPr="00EB2BD8">
        <w:t>These</w:t>
      </w:r>
      <w:r w:rsidRPr="00EB2BD8">
        <w:rPr>
          <w:spacing w:val="-1"/>
        </w:rPr>
        <w:t xml:space="preserve"> </w:t>
      </w:r>
      <w:r w:rsidRPr="00EB2BD8">
        <w:t>key</w:t>
      </w:r>
      <w:r w:rsidRPr="00EB2BD8">
        <w:rPr>
          <w:spacing w:val="-1"/>
        </w:rPr>
        <w:t xml:space="preserve"> </w:t>
      </w:r>
      <w:r w:rsidRPr="00EB2BD8">
        <w:t>reforms</w:t>
      </w:r>
      <w:r w:rsidRPr="00EB2BD8">
        <w:rPr>
          <w:spacing w:val="-1"/>
        </w:rPr>
        <w:t xml:space="preserve"> </w:t>
      </w:r>
      <w:r w:rsidRPr="00EB2BD8">
        <w:t>are</w:t>
      </w:r>
      <w:r w:rsidRPr="00EB2BD8">
        <w:rPr>
          <w:spacing w:val="-1"/>
        </w:rPr>
        <w:t xml:space="preserve"> </w:t>
      </w:r>
      <w:r w:rsidRPr="00EB2BD8">
        <w:t>focused</w:t>
      </w:r>
      <w:r w:rsidRPr="00EB2BD8">
        <w:rPr>
          <w:spacing w:val="-1"/>
        </w:rPr>
        <w:t xml:space="preserve"> </w:t>
      </w:r>
      <w:r w:rsidRPr="00EB2BD8">
        <w:t>on</w:t>
      </w:r>
      <w:r w:rsidRPr="00EB2BD8">
        <w:rPr>
          <w:spacing w:val="-1"/>
        </w:rPr>
        <w:t xml:space="preserve"> </w:t>
      </w:r>
      <w:r w:rsidRPr="00EB2BD8">
        <w:t>improving</w:t>
      </w:r>
      <w:r w:rsidRPr="00EB2BD8">
        <w:rPr>
          <w:spacing w:val="-1"/>
        </w:rPr>
        <w:t xml:space="preserve"> </w:t>
      </w:r>
      <w:r w:rsidRPr="00EB2BD8">
        <w:t>consumer outcomes</w:t>
      </w:r>
      <w:r w:rsidRPr="00EB2BD8">
        <w:rPr>
          <w:spacing w:val="-3"/>
        </w:rPr>
        <w:t xml:space="preserve"> </w:t>
      </w:r>
      <w:r w:rsidRPr="00EB2BD8">
        <w:t>so</w:t>
      </w:r>
      <w:r w:rsidRPr="00EB2BD8">
        <w:rPr>
          <w:spacing w:val="-3"/>
        </w:rPr>
        <w:t xml:space="preserve"> </w:t>
      </w:r>
      <w:r w:rsidRPr="00EB2BD8">
        <w:t>that</w:t>
      </w:r>
      <w:r w:rsidRPr="00EB2BD8">
        <w:rPr>
          <w:spacing w:val="-3"/>
        </w:rPr>
        <w:t xml:space="preserve"> </w:t>
      </w:r>
      <w:r w:rsidRPr="00EB2BD8">
        <w:t>people</w:t>
      </w:r>
      <w:r w:rsidRPr="00EB2BD8">
        <w:rPr>
          <w:spacing w:val="-3"/>
        </w:rPr>
        <w:t xml:space="preserve"> </w:t>
      </w:r>
      <w:r w:rsidRPr="00EB2BD8">
        <w:t>can</w:t>
      </w:r>
      <w:r w:rsidRPr="00EB2BD8">
        <w:rPr>
          <w:spacing w:val="-3"/>
        </w:rPr>
        <w:t xml:space="preserve"> </w:t>
      </w:r>
      <w:r w:rsidRPr="00EB2BD8">
        <w:t>feel</w:t>
      </w:r>
      <w:r w:rsidRPr="00EB2BD8">
        <w:rPr>
          <w:spacing w:val="-3"/>
        </w:rPr>
        <w:t xml:space="preserve"> </w:t>
      </w:r>
      <w:r w:rsidRPr="00EB2BD8">
        <w:t>confident</w:t>
      </w:r>
      <w:r w:rsidRPr="00EB2BD8">
        <w:rPr>
          <w:spacing w:val="-3"/>
        </w:rPr>
        <w:t xml:space="preserve"> </w:t>
      </w:r>
      <w:r w:rsidRPr="00EB2BD8">
        <w:t>-</w:t>
      </w:r>
      <w:r w:rsidRPr="00EB2BD8">
        <w:rPr>
          <w:spacing w:val="-3"/>
        </w:rPr>
        <w:t xml:space="preserve"> </w:t>
      </w:r>
      <w:r w:rsidRPr="00EB2BD8">
        <w:t>when</w:t>
      </w:r>
      <w:r w:rsidRPr="00EB2BD8">
        <w:rPr>
          <w:spacing w:val="-3"/>
        </w:rPr>
        <w:t xml:space="preserve"> </w:t>
      </w:r>
      <w:r w:rsidRPr="00EB2BD8">
        <w:t xml:space="preserve">they </w:t>
      </w:r>
      <w:r w:rsidRPr="00EB2BD8">
        <w:rPr>
          <w:w w:val="105"/>
        </w:rPr>
        <w:t>buy</w:t>
      </w:r>
      <w:r w:rsidRPr="00EB2BD8">
        <w:rPr>
          <w:spacing w:val="-15"/>
          <w:w w:val="105"/>
        </w:rPr>
        <w:t xml:space="preserve"> </w:t>
      </w:r>
      <w:r w:rsidRPr="00EB2BD8">
        <w:rPr>
          <w:w w:val="105"/>
        </w:rPr>
        <w:t>a</w:t>
      </w:r>
      <w:r w:rsidRPr="00EB2BD8">
        <w:rPr>
          <w:spacing w:val="-15"/>
          <w:w w:val="105"/>
        </w:rPr>
        <w:t xml:space="preserve"> </w:t>
      </w:r>
      <w:r w:rsidRPr="00EB2BD8">
        <w:rPr>
          <w:w w:val="105"/>
        </w:rPr>
        <w:t>home</w:t>
      </w:r>
      <w:r w:rsidRPr="00EB2BD8">
        <w:rPr>
          <w:spacing w:val="-15"/>
          <w:w w:val="105"/>
        </w:rPr>
        <w:t xml:space="preserve"> </w:t>
      </w:r>
      <w:r w:rsidRPr="00EB2BD8">
        <w:rPr>
          <w:w w:val="105"/>
        </w:rPr>
        <w:t>or</w:t>
      </w:r>
      <w:r w:rsidRPr="00EB2BD8">
        <w:rPr>
          <w:spacing w:val="-15"/>
          <w:w w:val="105"/>
        </w:rPr>
        <w:t xml:space="preserve"> </w:t>
      </w:r>
      <w:r w:rsidRPr="00EB2BD8">
        <w:rPr>
          <w:w w:val="105"/>
        </w:rPr>
        <w:t>invest</w:t>
      </w:r>
      <w:r w:rsidRPr="00EB2BD8">
        <w:rPr>
          <w:spacing w:val="-15"/>
          <w:w w:val="105"/>
        </w:rPr>
        <w:t xml:space="preserve"> </w:t>
      </w:r>
      <w:r w:rsidRPr="00EB2BD8">
        <w:rPr>
          <w:w w:val="105"/>
        </w:rPr>
        <w:t>in</w:t>
      </w:r>
      <w:r w:rsidRPr="00EB2BD8">
        <w:rPr>
          <w:spacing w:val="-15"/>
          <w:w w:val="105"/>
        </w:rPr>
        <w:t xml:space="preserve"> </w:t>
      </w:r>
      <w:r w:rsidRPr="00EB2BD8">
        <w:rPr>
          <w:w w:val="105"/>
        </w:rPr>
        <w:t>building</w:t>
      </w:r>
      <w:r w:rsidRPr="00EB2BD8">
        <w:rPr>
          <w:spacing w:val="-15"/>
          <w:w w:val="105"/>
        </w:rPr>
        <w:t xml:space="preserve"> </w:t>
      </w:r>
      <w:r w:rsidRPr="00EB2BD8">
        <w:rPr>
          <w:w w:val="105"/>
        </w:rPr>
        <w:t>in</w:t>
      </w:r>
      <w:r w:rsidRPr="00EB2BD8">
        <w:rPr>
          <w:spacing w:val="-15"/>
          <w:w w:val="105"/>
        </w:rPr>
        <w:t xml:space="preserve"> </w:t>
      </w:r>
      <w:r w:rsidRPr="00EB2BD8">
        <w:rPr>
          <w:w w:val="105"/>
        </w:rPr>
        <w:t>Victoria</w:t>
      </w:r>
      <w:r w:rsidRPr="00EB2BD8">
        <w:rPr>
          <w:spacing w:val="-15"/>
          <w:w w:val="105"/>
        </w:rPr>
        <w:t xml:space="preserve"> </w:t>
      </w:r>
      <w:r w:rsidRPr="00EB2BD8">
        <w:rPr>
          <w:w w:val="105"/>
        </w:rPr>
        <w:t>–</w:t>
      </w:r>
      <w:r w:rsidRPr="00EB2BD8">
        <w:rPr>
          <w:spacing w:val="-15"/>
          <w:w w:val="105"/>
        </w:rPr>
        <w:t xml:space="preserve"> </w:t>
      </w:r>
      <w:r w:rsidRPr="00EB2BD8">
        <w:rPr>
          <w:w w:val="105"/>
        </w:rPr>
        <w:t>that</w:t>
      </w:r>
      <w:r w:rsidRPr="00EB2BD8">
        <w:rPr>
          <w:spacing w:val="-15"/>
          <w:w w:val="105"/>
        </w:rPr>
        <w:t xml:space="preserve"> </w:t>
      </w:r>
      <w:r w:rsidRPr="00EB2BD8">
        <w:rPr>
          <w:w w:val="105"/>
        </w:rPr>
        <w:t>they meet relevant compliance standards.</w:t>
      </w:r>
    </w:p>
    <w:p w14:paraId="2B760B21" w14:textId="77777777" w:rsidR="00084F36" w:rsidRPr="00EB2BD8" w:rsidRDefault="00EB2BD8">
      <w:pPr>
        <w:pStyle w:val="BodyText"/>
        <w:spacing w:before="166" w:line="261" w:lineRule="auto"/>
        <w:ind w:left="866" w:right="370"/>
      </w:pPr>
      <w:r w:rsidRPr="00EB2BD8">
        <w:t>From our side of the reform process, the VBA is currently working to finalise a new Regulatory Policy Statement that clearly outlines our aims and approaches to regulating Victoria’s building and plumbing</w:t>
      </w:r>
      <w:r w:rsidRPr="00EB2BD8">
        <w:rPr>
          <w:spacing w:val="-6"/>
        </w:rPr>
        <w:t xml:space="preserve"> </w:t>
      </w:r>
      <w:r w:rsidRPr="00EB2BD8">
        <w:t>industries.</w:t>
      </w:r>
    </w:p>
    <w:p w14:paraId="6A95B253" w14:textId="77777777" w:rsidR="00084F36" w:rsidRPr="00EB2BD8" w:rsidRDefault="00EB2BD8">
      <w:pPr>
        <w:pStyle w:val="BodyText"/>
        <w:spacing w:before="165" w:line="261" w:lineRule="auto"/>
        <w:ind w:left="866" w:right="310"/>
      </w:pPr>
      <w:r w:rsidRPr="00EB2BD8">
        <w:t>The Regulatory Policy Statement will encapsulate our refreshed regulatory approach to ensure that it is</w:t>
      </w:r>
      <w:r w:rsidRPr="00EB2BD8">
        <w:rPr>
          <w:spacing w:val="-15"/>
        </w:rPr>
        <w:t xml:space="preserve"> </w:t>
      </w:r>
      <w:r w:rsidRPr="00EB2BD8">
        <w:t>balanced,</w:t>
      </w:r>
      <w:r w:rsidRPr="00EB2BD8">
        <w:rPr>
          <w:spacing w:val="-14"/>
        </w:rPr>
        <w:t xml:space="preserve"> </w:t>
      </w:r>
      <w:r w:rsidRPr="00EB2BD8">
        <w:t>fair,</w:t>
      </w:r>
      <w:r w:rsidRPr="00EB2BD8">
        <w:rPr>
          <w:spacing w:val="-14"/>
        </w:rPr>
        <w:t xml:space="preserve"> </w:t>
      </w:r>
      <w:r w:rsidRPr="00EB2BD8">
        <w:t>consistent</w:t>
      </w:r>
      <w:r w:rsidRPr="00EB2BD8">
        <w:rPr>
          <w:spacing w:val="-14"/>
        </w:rPr>
        <w:t xml:space="preserve"> </w:t>
      </w:r>
      <w:r w:rsidRPr="00EB2BD8">
        <w:t>and</w:t>
      </w:r>
      <w:r w:rsidRPr="00EB2BD8">
        <w:rPr>
          <w:spacing w:val="-15"/>
        </w:rPr>
        <w:t xml:space="preserve"> </w:t>
      </w:r>
      <w:r w:rsidRPr="00EB2BD8">
        <w:t>proportionate,</w:t>
      </w:r>
      <w:r w:rsidRPr="00EB2BD8">
        <w:rPr>
          <w:spacing w:val="-14"/>
        </w:rPr>
        <w:t xml:space="preserve"> </w:t>
      </w:r>
      <w:r w:rsidRPr="00EB2BD8">
        <w:t>while emphasising</w:t>
      </w:r>
      <w:r w:rsidRPr="00EB2BD8">
        <w:rPr>
          <w:spacing w:val="-4"/>
        </w:rPr>
        <w:t xml:space="preserve"> </w:t>
      </w:r>
      <w:r w:rsidRPr="00EB2BD8">
        <w:t>the</w:t>
      </w:r>
      <w:r w:rsidRPr="00EB2BD8">
        <w:rPr>
          <w:spacing w:val="-4"/>
        </w:rPr>
        <w:t xml:space="preserve"> </w:t>
      </w:r>
      <w:r w:rsidRPr="00EB2BD8">
        <w:t>need</w:t>
      </w:r>
      <w:r w:rsidRPr="00EB2BD8">
        <w:rPr>
          <w:spacing w:val="-4"/>
        </w:rPr>
        <w:t xml:space="preserve"> </w:t>
      </w:r>
      <w:r w:rsidRPr="00EB2BD8">
        <w:t>for</w:t>
      </w:r>
      <w:r w:rsidRPr="00EB2BD8">
        <w:rPr>
          <w:spacing w:val="-4"/>
        </w:rPr>
        <w:t xml:space="preserve"> </w:t>
      </w:r>
      <w:r w:rsidRPr="00EB2BD8">
        <w:t>the</w:t>
      </w:r>
      <w:r w:rsidRPr="00EB2BD8">
        <w:rPr>
          <w:spacing w:val="-4"/>
        </w:rPr>
        <w:t xml:space="preserve"> </w:t>
      </w:r>
      <w:r w:rsidRPr="00EB2BD8">
        <w:t>VBA</w:t>
      </w:r>
      <w:r w:rsidRPr="00EB2BD8">
        <w:rPr>
          <w:spacing w:val="-4"/>
        </w:rPr>
        <w:t xml:space="preserve"> </w:t>
      </w:r>
      <w:r w:rsidRPr="00EB2BD8">
        <w:t>to</w:t>
      </w:r>
      <w:r w:rsidRPr="00EB2BD8">
        <w:rPr>
          <w:spacing w:val="-4"/>
        </w:rPr>
        <w:t xml:space="preserve"> </w:t>
      </w:r>
      <w:r w:rsidRPr="00EB2BD8">
        <w:t>be</w:t>
      </w:r>
      <w:r w:rsidRPr="00EB2BD8">
        <w:rPr>
          <w:spacing w:val="-4"/>
        </w:rPr>
        <w:t xml:space="preserve"> </w:t>
      </w:r>
      <w:r w:rsidRPr="00EB2BD8">
        <w:t>a</w:t>
      </w:r>
      <w:r w:rsidRPr="00EB2BD8">
        <w:rPr>
          <w:spacing w:val="-4"/>
        </w:rPr>
        <w:t xml:space="preserve"> </w:t>
      </w:r>
      <w:r w:rsidRPr="00EB2BD8">
        <w:t>proactive, responsive, effective and credible regulator.</w:t>
      </w:r>
      <w:r w:rsidRPr="00EB2BD8">
        <w:rPr>
          <w:spacing w:val="40"/>
        </w:rPr>
        <w:t xml:space="preserve"> </w:t>
      </w:r>
      <w:r w:rsidRPr="00EB2BD8">
        <w:t>The fundamental goal of the VBA’s activity – to improve</w:t>
      </w:r>
    </w:p>
    <w:p w14:paraId="0BE702FB" w14:textId="77777777" w:rsidR="00084F36" w:rsidRPr="00EB2BD8" w:rsidRDefault="00EB2BD8">
      <w:pPr>
        <w:pStyle w:val="BodyText"/>
        <w:spacing w:line="206" w:lineRule="exact"/>
        <w:ind w:left="866"/>
      </w:pPr>
      <w:r w:rsidRPr="00EB2BD8">
        <w:t>consumer</w:t>
      </w:r>
      <w:r w:rsidRPr="00EB2BD8">
        <w:rPr>
          <w:spacing w:val="-6"/>
        </w:rPr>
        <w:t xml:space="preserve"> </w:t>
      </w:r>
      <w:r w:rsidRPr="00EB2BD8">
        <w:t>outcomes</w:t>
      </w:r>
      <w:r w:rsidRPr="00EB2BD8">
        <w:rPr>
          <w:spacing w:val="-6"/>
        </w:rPr>
        <w:t xml:space="preserve"> </w:t>
      </w:r>
      <w:r w:rsidRPr="00EB2BD8">
        <w:t>–</w:t>
      </w:r>
      <w:r w:rsidRPr="00EB2BD8">
        <w:rPr>
          <w:spacing w:val="-5"/>
        </w:rPr>
        <w:t xml:space="preserve"> </w:t>
      </w:r>
      <w:r w:rsidRPr="00EB2BD8">
        <w:t>will</w:t>
      </w:r>
      <w:r w:rsidRPr="00EB2BD8">
        <w:rPr>
          <w:spacing w:val="-6"/>
        </w:rPr>
        <w:t xml:space="preserve"> </w:t>
      </w:r>
      <w:r w:rsidRPr="00EB2BD8">
        <w:t>be</w:t>
      </w:r>
      <w:r w:rsidRPr="00EB2BD8">
        <w:rPr>
          <w:spacing w:val="-6"/>
        </w:rPr>
        <w:t xml:space="preserve"> </w:t>
      </w:r>
      <w:r w:rsidRPr="00EB2BD8">
        <w:t>a</w:t>
      </w:r>
      <w:r w:rsidRPr="00EB2BD8">
        <w:rPr>
          <w:spacing w:val="-5"/>
        </w:rPr>
        <w:t xml:space="preserve"> </w:t>
      </w:r>
      <w:r w:rsidRPr="00EB2BD8">
        <w:t>clear</w:t>
      </w:r>
      <w:r w:rsidRPr="00EB2BD8">
        <w:rPr>
          <w:spacing w:val="-6"/>
        </w:rPr>
        <w:t xml:space="preserve"> </w:t>
      </w:r>
      <w:r w:rsidRPr="00EB2BD8">
        <w:t>point</w:t>
      </w:r>
      <w:r w:rsidRPr="00EB2BD8">
        <w:rPr>
          <w:spacing w:val="-6"/>
        </w:rPr>
        <w:t xml:space="preserve"> </w:t>
      </w:r>
      <w:r w:rsidRPr="00EB2BD8">
        <w:t>of</w:t>
      </w:r>
      <w:r w:rsidRPr="00EB2BD8">
        <w:rPr>
          <w:spacing w:val="-5"/>
        </w:rPr>
        <w:t xml:space="preserve"> </w:t>
      </w:r>
      <w:r w:rsidRPr="00EB2BD8">
        <w:rPr>
          <w:spacing w:val="-2"/>
        </w:rPr>
        <w:t>emphasis.</w:t>
      </w:r>
    </w:p>
    <w:p w14:paraId="386A0F15" w14:textId="77777777" w:rsidR="00084F36" w:rsidRPr="00EB2BD8" w:rsidRDefault="00084F36">
      <w:pPr>
        <w:pStyle w:val="BodyText"/>
        <w:spacing w:before="11"/>
        <w:rPr>
          <w:sz w:val="15"/>
        </w:rPr>
      </w:pPr>
    </w:p>
    <w:p w14:paraId="57D15F6F" w14:textId="77777777" w:rsidR="00084F36" w:rsidRPr="00EB2BD8" w:rsidRDefault="00EB2BD8">
      <w:pPr>
        <w:pStyle w:val="BodyText"/>
        <w:spacing w:line="261" w:lineRule="auto"/>
        <w:ind w:left="866" w:right="79"/>
      </w:pPr>
      <w:r w:rsidRPr="00EB2BD8">
        <w:t>It’s my job to ensure that VBA staff are trained and enabled</w:t>
      </w:r>
      <w:r w:rsidRPr="00EB2BD8">
        <w:rPr>
          <w:spacing w:val="-5"/>
        </w:rPr>
        <w:t xml:space="preserve"> </w:t>
      </w:r>
      <w:r w:rsidRPr="00EB2BD8">
        <w:t>to</w:t>
      </w:r>
      <w:r w:rsidRPr="00EB2BD8">
        <w:rPr>
          <w:spacing w:val="-5"/>
        </w:rPr>
        <w:t xml:space="preserve"> </w:t>
      </w:r>
      <w:r w:rsidRPr="00EB2BD8">
        <w:t>make</w:t>
      </w:r>
      <w:r w:rsidRPr="00EB2BD8">
        <w:rPr>
          <w:spacing w:val="-5"/>
        </w:rPr>
        <w:t xml:space="preserve"> </w:t>
      </w:r>
      <w:r w:rsidRPr="00EB2BD8">
        <w:t>the</w:t>
      </w:r>
      <w:r w:rsidRPr="00EB2BD8">
        <w:rPr>
          <w:spacing w:val="-5"/>
        </w:rPr>
        <w:t xml:space="preserve"> </w:t>
      </w:r>
      <w:r w:rsidRPr="00EB2BD8">
        <w:t>decisions</w:t>
      </w:r>
      <w:r w:rsidRPr="00EB2BD8">
        <w:rPr>
          <w:spacing w:val="-5"/>
        </w:rPr>
        <w:t xml:space="preserve"> </w:t>
      </w:r>
      <w:r w:rsidRPr="00EB2BD8">
        <w:t>which</w:t>
      </w:r>
      <w:r w:rsidRPr="00EB2BD8">
        <w:rPr>
          <w:spacing w:val="-5"/>
        </w:rPr>
        <w:t xml:space="preserve"> </w:t>
      </w:r>
      <w:r w:rsidRPr="00EB2BD8">
        <w:t>regulators</w:t>
      </w:r>
      <w:r w:rsidRPr="00EB2BD8">
        <w:rPr>
          <w:spacing w:val="-5"/>
        </w:rPr>
        <w:t xml:space="preserve"> </w:t>
      </w:r>
      <w:r w:rsidRPr="00EB2BD8">
        <w:t>need to make – sensibly, consistently and expeditiously, informed by risk experience and expertise.</w:t>
      </w:r>
    </w:p>
    <w:p w14:paraId="1647181E" w14:textId="77777777" w:rsidR="00084F36" w:rsidRPr="00EB2BD8" w:rsidRDefault="00EB2BD8">
      <w:pPr>
        <w:pStyle w:val="BodyText"/>
        <w:spacing w:before="166" w:line="261" w:lineRule="auto"/>
        <w:ind w:left="866" w:right="310"/>
      </w:pPr>
      <w:r w:rsidRPr="00EB2BD8">
        <w:t>In</w:t>
      </w:r>
      <w:r w:rsidRPr="00EB2BD8">
        <w:rPr>
          <w:spacing w:val="-11"/>
        </w:rPr>
        <w:t xml:space="preserve"> </w:t>
      </w:r>
      <w:r w:rsidRPr="00EB2BD8">
        <w:t>recent</w:t>
      </w:r>
      <w:r w:rsidRPr="00EB2BD8">
        <w:rPr>
          <w:spacing w:val="-11"/>
        </w:rPr>
        <w:t xml:space="preserve"> </w:t>
      </w:r>
      <w:r w:rsidRPr="00EB2BD8">
        <w:t>months,</w:t>
      </w:r>
      <w:r w:rsidRPr="00EB2BD8">
        <w:rPr>
          <w:spacing w:val="-11"/>
        </w:rPr>
        <w:t xml:space="preserve"> </w:t>
      </w:r>
      <w:r w:rsidRPr="00EB2BD8">
        <w:t>a</w:t>
      </w:r>
      <w:r w:rsidRPr="00EB2BD8">
        <w:rPr>
          <w:spacing w:val="-11"/>
        </w:rPr>
        <w:t xml:space="preserve"> </w:t>
      </w:r>
      <w:r w:rsidRPr="00EB2BD8">
        <w:t>lot</w:t>
      </w:r>
      <w:r w:rsidRPr="00EB2BD8">
        <w:rPr>
          <w:spacing w:val="-11"/>
        </w:rPr>
        <w:t xml:space="preserve"> </w:t>
      </w:r>
      <w:r w:rsidRPr="00EB2BD8">
        <w:t>of</w:t>
      </w:r>
      <w:r w:rsidRPr="00EB2BD8">
        <w:rPr>
          <w:spacing w:val="-11"/>
        </w:rPr>
        <w:t xml:space="preserve"> </w:t>
      </w:r>
      <w:r w:rsidRPr="00EB2BD8">
        <w:t>work</w:t>
      </w:r>
      <w:r w:rsidRPr="00EB2BD8">
        <w:rPr>
          <w:spacing w:val="-11"/>
        </w:rPr>
        <w:t xml:space="preserve"> </w:t>
      </w:r>
      <w:r w:rsidRPr="00EB2BD8">
        <w:t>has</w:t>
      </w:r>
      <w:r w:rsidRPr="00EB2BD8">
        <w:rPr>
          <w:spacing w:val="-11"/>
        </w:rPr>
        <w:t xml:space="preserve"> </w:t>
      </w:r>
      <w:r w:rsidRPr="00EB2BD8">
        <w:t>been</w:t>
      </w:r>
      <w:r w:rsidRPr="00EB2BD8">
        <w:rPr>
          <w:spacing w:val="-11"/>
        </w:rPr>
        <w:t xml:space="preserve"> </w:t>
      </w:r>
      <w:r w:rsidRPr="00EB2BD8">
        <w:t xml:space="preserve">undertaken </w:t>
      </w:r>
      <w:r w:rsidRPr="00EB2BD8">
        <w:rPr>
          <w:w w:val="105"/>
        </w:rPr>
        <w:t>at</w:t>
      </w:r>
      <w:r w:rsidRPr="00EB2BD8">
        <w:rPr>
          <w:spacing w:val="-6"/>
          <w:w w:val="105"/>
        </w:rPr>
        <w:t xml:space="preserve"> </w:t>
      </w:r>
      <w:r w:rsidRPr="00EB2BD8">
        <w:rPr>
          <w:w w:val="105"/>
        </w:rPr>
        <w:t>the</w:t>
      </w:r>
      <w:r w:rsidRPr="00EB2BD8">
        <w:rPr>
          <w:spacing w:val="-6"/>
          <w:w w:val="105"/>
        </w:rPr>
        <w:t xml:space="preserve"> </w:t>
      </w:r>
      <w:r w:rsidRPr="00EB2BD8">
        <w:rPr>
          <w:w w:val="105"/>
        </w:rPr>
        <w:t>VBA</w:t>
      </w:r>
      <w:r w:rsidRPr="00EB2BD8">
        <w:rPr>
          <w:spacing w:val="-6"/>
          <w:w w:val="105"/>
        </w:rPr>
        <w:t xml:space="preserve"> </w:t>
      </w:r>
      <w:r w:rsidRPr="00EB2BD8">
        <w:rPr>
          <w:w w:val="105"/>
        </w:rPr>
        <w:t>to</w:t>
      </w:r>
      <w:r w:rsidRPr="00EB2BD8">
        <w:rPr>
          <w:spacing w:val="-6"/>
          <w:w w:val="105"/>
        </w:rPr>
        <w:t xml:space="preserve"> </w:t>
      </w:r>
      <w:r w:rsidRPr="00EB2BD8">
        <w:rPr>
          <w:w w:val="105"/>
        </w:rPr>
        <w:t>refresh</w:t>
      </w:r>
      <w:r w:rsidRPr="00EB2BD8">
        <w:rPr>
          <w:spacing w:val="-6"/>
          <w:w w:val="105"/>
        </w:rPr>
        <w:t xml:space="preserve"> </w:t>
      </w:r>
      <w:r w:rsidRPr="00EB2BD8">
        <w:rPr>
          <w:w w:val="105"/>
        </w:rPr>
        <w:t>our</w:t>
      </w:r>
      <w:r w:rsidRPr="00EB2BD8">
        <w:rPr>
          <w:spacing w:val="-6"/>
          <w:w w:val="105"/>
        </w:rPr>
        <w:t xml:space="preserve"> </w:t>
      </w:r>
      <w:r w:rsidRPr="00EB2BD8">
        <w:rPr>
          <w:w w:val="105"/>
        </w:rPr>
        <w:t>approach</w:t>
      </w:r>
      <w:r w:rsidRPr="00EB2BD8">
        <w:rPr>
          <w:spacing w:val="-6"/>
          <w:w w:val="105"/>
        </w:rPr>
        <w:t xml:space="preserve"> </w:t>
      </w:r>
      <w:r w:rsidRPr="00EB2BD8">
        <w:rPr>
          <w:w w:val="105"/>
        </w:rPr>
        <w:t>and</w:t>
      </w:r>
      <w:r w:rsidRPr="00EB2BD8">
        <w:rPr>
          <w:spacing w:val="-6"/>
          <w:w w:val="105"/>
        </w:rPr>
        <w:t xml:space="preserve"> </w:t>
      </w:r>
      <w:r w:rsidRPr="00EB2BD8">
        <w:rPr>
          <w:w w:val="105"/>
        </w:rPr>
        <w:t>there’s</w:t>
      </w:r>
      <w:r w:rsidRPr="00EB2BD8">
        <w:rPr>
          <w:spacing w:val="-6"/>
          <w:w w:val="105"/>
        </w:rPr>
        <w:t xml:space="preserve"> </w:t>
      </w:r>
      <w:r w:rsidRPr="00EB2BD8">
        <w:rPr>
          <w:w w:val="105"/>
        </w:rPr>
        <w:t>a real</w:t>
      </w:r>
      <w:r w:rsidRPr="00EB2BD8">
        <w:rPr>
          <w:spacing w:val="-10"/>
          <w:w w:val="105"/>
        </w:rPr>
        <w:t xml:space="preserve"> </w:t>
      </w:r>
      <w:r w:rsidRPr="00EB2BD8">
        <w:rPr>
          <w:w w:val="105"/>
        </w:rPr>
        <w:t>appetite</w:t>
      </w:r>
      <w:r w:rsidRPr="00EB2BD8">
        <w:rPr>
          <w:spacing w:val="-10"/>
          <w:w w:val="105"/>
        </w:rPr>
        <w:t xml:space="preserve"> </w:t>
      </w:r>
      <w:r w:rsidRPr="00EB2BD8">
        <w:rPr>
          <w:w w:val="105"/>
        </w:rPr>
        <w:t>to</w:t>
      </w:r>
      <w:r w:rsidRPr="00EB2BD8">
        <w:rPr>
          <w:spacing w:val="-10"/>
          <w:w w:val="105"/>
        </w:rPr>
        <w:t xml:space="preserve"> </w:t>
      </w:r>
      <w:r w:rsidRPr="00EB2BD8">
        <w:rPr>
          <w:w w:val="105"/>
        </w:rPr>
        <w:t>improve</w:t>
      </w:r>
      <w:r w:rsidRPr="00EB2BD8">
        <w:rPr>
          <w:spacing w:val="-10"/>
          <w:w w:val="105"/>
        </w:rPr>
        <w:t xml:space="preserve"> </w:t>
      </w:r>
      <w:r w:rsidRPr="00EB2BD8">
        <w:rPr>
          <w:w w:val="105"/>
        </w:rPr>
        <w:t>what</w:t>
      </w:r>
      <w:r w:rsidRPr="00EB2BD8">
        <w:rPr>
          <w:spacing w:val="-10"/>
          <w:w w:val="105"/>
        </w:rPr>
        <w:t xml:space="preserve"> </w:t>
      </w:r>
      <w:r w:rsidRPr="00EB2BD8">
        <w:rPr>
          <w:w w:val="105"/>
        </w:rPr>
        <w:t>we</w:t>
      </w:r>
      <w:r w:rsidRPr="00EB2BD8">
        <w:rPr>
          <w:spacing w:val="-10"/>
          <w:w w:val="105"/>
        </w:rPr>
        <w:t xml:space="preserve"> </w:t>
      </w:r>
      <w:r w:rsidRPr="00EB2BD8">
        <w:rPr>
          <w:w w:val="105"/>
        </w:rPr>
        <w:t>do</w:t>
      </w:r>
      <w:r w:rsidRPr="00EB2BD8">
        <w:rPr>
          <w:spacing w:val="-10"/>
          <w:w w:val="105"/>
        </w:rPr>
        <w:t xml:space="preserve"> </w:t>
      </w:r>
      <w:r w:rsidRPr="00EB2BD8">
        <w:rPr>
          <w:w w:val="105"/>
        </w:rPr>
        <w:t>to</w:t>
      </w:r>
      <w:r w:rsidRPr="00EB2BD8">
        <w:rPr>
          <w:spacing w:val="-10"/>
          <w:w w:val="105"/>
        </w:rPr>
        <w:t xml:space="preserve"> </w:t>
      </w:r>
      <w:r w:rsidRPr="00EB2BD8">
        <w:rPr>
          <w:w w:val="105"/>
        </w:rPr>
        <w:t>meet</w:t>
      </w:r>
      <w:r w:rsidRPr="00EB2BD8">
        <w:rPr>
          <w:spacing w:val="-10"/>
          <w:w w:val="105"/>
        </w:rPr>
        <w:t xml:space="preserve"> </w:t>
      </w:r>
      <w:r w:rsidRPr="00EB2BD8">
        <w:rPr>
          <w:w w:val="105"/>
        </w:rPr>
        <w:t xml:space="preserve">the </w:t>
      </w:r>
      <w:r w:rsidRPr="00EB2BD8">
        <w:t>expectations of our stakeholders. The VBA is now a</w:t>
      </w:r>
    </w:p>
    <w:p w14:paraId="4074F4DD" w14:textId="77777777" w:rsidR="00084F36" w:rsidRPr="00EB2BD8" w:rsidRDefault="00EB2BD8">
      <w:pPr>
        <w:pStyle w:val="BodyText"/>
        <w:spacing w:line="261" w:lineRule="auto"/>
        <w:ind w:left="866" w:right="8"/>
      </w:pPr>
      <w:r w:rsidRPr="00EB2BD8">
        <w:t>flexible</w:t>
      </w:r>
      <w:r w:rsidRPr="00EB2BD8">
        <w:rPr>
          <w:spacing w:val="-14"/>
        </w:rPr>
        <w:t xml:space="preserve"> </w:t>
      </w:r>
      <w:r w:rsidRPr="00EB2BD8">
        <w:t>workplace,</w:t>
      </w:r>
      <w:r w:rsidRPr="00EB2BD8">
        <w:rPr>
          <w:spacing w:val="-14"/>
        </w:rPr>
        <w:t xml:space="preserve"> </w:t>
      </w:r>
      <w:r w:rsidRPr="00EB2BD8">
        <w:t>aiming</w:t>
      </w:r>
      <w:r w:rsidRPr="00EB2BD8">
        <w:rPr>
          <w:spacing w:val="-14"/>
        </w:rPr>
        <w:t xml:space="preserve"> </w:t>
      </w:r>
      <w:r w:rsidRPr="00EB2BD8">
        <w:t>to</w:t>
      </w:r>
      <w:r w:rsidRPr="00EB2BD8">
        <w:rPr>
          <w:spacing w:val="-14"/>
        </w:rPr>
        <w:t xml:space="preserve"> </w:t>
      </w:r>
      <w:r w:rsidRPr="00EB2BD8">
        <w:t>modernise</w:t>
      </w:r>
      <w:r w:rsidRPr="00EB2BD8">
        <w:rPr>
          <w:spacing w:val="-14"/>
        </w:rPr>
        <w:t xml:space="preserve"> </w:t>
      </w:r>
      <w:r w:rsidRPr="00EB2BD8">
        <w:t>and</w:t>
      </w:r>
      <w:r w:rsidRPr="00EB2BD8">
        <w:rPr>
          <w:spacing w:val="-14"/>
        </w:rPr>
        <w:t xml:space="preserve"> </w:t>
      </w:r>
      <w:r w:rsidRPr="00EB2BD8">
        <w:t>strengthen our staff capabilities and renew our culture, with improvements in staff well-being and satisfaction as our key priorities.</w:t>
      </w:r>
    </w:p>
    <w:p w14:paraId="61E2A471" w14:textId="77777777" w:rsidR="00084F36" w:rsidRPr="00EB2BD8" w:rsidRDefault="00EB2BD8">
      <w:pPr>
        <w:spacing w:before="138" w:line="216" w:lineRule="auto"/>
        <w:ind w:left="411" w:right="963"/>
        <w:rPr>
          <w:b/>
          <w:iCs/>
          <w:sz w:val="34"/>
        </w:rPr>
      </w:pPr>
      <w:r w:rsidRPr="00EB2BD8">
        <w:br w:type="column"/>
      </w:r>
      <w:r w:rsidRPr="00EB2BD8">
        <w:rPr>
          <w:b/>
          <w:iCs/>
          <w:sz w:val="34"/>
        </w:rPr>
        <w:t xml:space="preserve">“The Regulatory Policy </w:t>
      </w:r>
      <w:r w:rsidRPr="00EB2BD8">
        <w:rPr>
          <w:b/>
          <w:iCs/>
          <w:spacing w:val="-4"/>
          <w:sz w:val="34"/>
        </w:rPr>
        <w:t>Statement</w:t>
      </w:r>
      <w:r w:rsidRPr="00EB2BD8">
        <w:rPr>
          <w:b/>
          <w:iCs/>
          <w:spacing w:val="-30"/>
          <w:sz w:val="34"/>
        </w:rPr>
        <w:t xml:space="preserve"> </w:t>
      </w:r>
      <w:r w:rsidRPr="00EB2BD8">
        <w:rPr>
          <w:b/>
          <w:iCs/>
          <w:spacing w:val="-4"/>
          <w:sz w:val="34"/>
        </w:rPr>
        <w:t>will</w:t>
      </w:r>
      <w:r w:rsidRPr="00EB2BD8">
        <w:rPr>
          <w:b/>
          <w:iCs/>
          <w:spacing w:val="-30"/>
          <w:sz w:val="34"/>
        </w:rPr>
        <w:t xml:space="preserve"> </w:t>
      </w:r>
      <w:r w:rsidRPr="00EB2BD8">
        <w:rPr>
          <w:b/>
          <w:iCs/>
          <w:spacing w:val="-4"/>
          <w:sz w:val="34"/>
        </w:rPr>
        <w:t xml:space="preserve">encapsulate </w:t>
      </w:r>
      <w:r w:rsidRPr="00EB2BD8">
        <w:rPr>
          <w:b/>
          <w:iCs/>
          <w:spacing w:val="-2"/>
          <w:sz w:val="34"/>
        </w:rPr>
        <w:t>our</w:t>
      </w:r>
      <w:r w:rsidRPr="00EB2BD8">
        <w:rPr>
          <w:b/>
          <w:iCs/>
          <w:spacing w:val="-30"/>
          <w:sz w:val="34"/>
        </w:rPr>
        <w:t xml:space="preserve"> </w:t>
      </w:r>
      <w:r w:rsidRPr="00EB2BD8">
        <w:rPr>
          <w:b/>
          <w:iCs/>
          <w:spacing w:val="-2"/>
          <w:sz w:val="34"/>
        </w:rPr>
        <w:t>refreshed</w:t>
      </w:r>
      <w:r w:rsidRPr="00EB2BD8">
        <w:rPr>
          <w:b/>
          <w:iCs/>
          <w:spacing w:val="-30"/>
          <w:sz w:val="34"/>
        </w:rPr>
        <w:t xml:space="preserve"> </w:t>
      </w:r>
      <w:r w:rsidRPr="00EB2BD8">
        <w:rPr>
          <w:b/>
          <w:iCs/>
          <w:spacing w:val="-2"/>
          <w:sz w:val="34"/>
        </w:rPr>
        <w:t xml:space="preserve">regulatory </w:t>
      </w:r>
      <w:r w:rsidRPr="00EB2BD8">
        <w:rPr>
          <w:b/>
          <w:iCs/>
          <w:sz w:val="34"/>
        </w:rPr>
        <w:t>approach</w:t>
      </w:r>
      <w:r w:rsidRPr="00EB2BD8">
        <w:rPr>
          <w:b/>
          <w:iCs/>
          <w:spacing w:val="-17"/>
          <w:sz w:val="34"/>
        </w:rPr>
        <w:t xml:space="preserve"> </w:t>
      </w:r>
      <w:r w:rsidRPr="00EB2BD8">
        <w:rPr>
          <w:b/>
          <w:iCs/>
          <w:sz w:val="34"/>
        </w:rPr>
        <w:t>to</w:t>
      </w:r>
      <w:r w:rsidRPr="00EB2BD8">
        <w:rPr>
          <w:b/>
          <w:iCs/>
          <w:spacing w:val="-17"/>
          <w:sz w:val="34"/>
        </w:rPr>
        <w:t xml:space="preserve"> </w:t>
      </w:r>
      <w:r w:rsidRPr="00EB2BD8">
        <w:rPr>
          <w:b/>
          <w:iCs/>
          <w:sz w:val="34"/>
        </w:rPr>
        <w:t>ensure</w:t>
      </w:r>
      <w:r w:rsidRPr="00EB2BD8">
        <w:rPr>
          <w:b/>
          <w:iCs/>
          <w:spacing w:val="-17"/>
          <w:sz w:val="34"/>
        </w:rPr>
        <w:t xml:space="preserve"> </w:t>
      </w:r>
      <w:r w:rsidRPr="00EB2BD8">
        <w:rPr>
          <w:b/>
          <w:iCs/>
          <w:sz w:val="34"/>
        </w:rPr>
        <w:t>that</w:t>
      </w:r>
      <w:r w:rsidRPr="00EB2BD8">
        <w:rPr>
          <w:b/>
          <w:iCs/>
          <w:spacing w:val="-17"/>
          <w:sz w:val="34"/>
        </w:rPr>
        <w:t xml:space="preserve"> </w:t>
      </w:r>
      <w:r w:rsidRPr="00EB2BD8">
        <w:rPr>
          <w:b/>
          <w:iCs/>
          <w:sz w:val="34"/>
        </w:rPr>
        <w:t xml:space="preserve">it </w:t>
      </w:r>
      <w:r w:rsidRPr="00EB2BD8">
        <w:rPr>
          <w:b/>
          <w:iCs/>
          <w:spacing w:val="-8"/>
          <w:sz w:val="34"/>
        </w:rPr>
        <w:t>is</w:t>
      </w:r>
      <w:r w:rsidRPr="00EB2BD8">
        <w:rPr>
          <w:b/>
          <w:iCs/>
          <w:spacing w:val="-27"/>
          <w:sz w:val="34"/>
        </w:rPr>
        <w:t xml:space="preserve"> </w:t>
      </w:r>
      <w:r w:rsidRPr="00EB2BD8">
        <w:rPr>
          <w:b/>
          <w:iCs/>
          <w:spacing w:val="-8"/>
          <w:sz w:val="34"/>
        </w:rPr>
        <w:t>balanced,</w:t>
      </w:r>
      <w:r w:rsidRPr="00EB2BD8">
        <w:rPr>
          <w:b/>
          <w:iCs/>
          <w:spacing w:val="-27"/>
          <w:sz w:val="34"/>
        </w:rPr>
        <w:t xml:space="preserve"> </w:t>
      </w:r>
      <w:r w:rsidRPr="00EB2BD8">
        <w:rPr>
          <w:b/>
          <w:iCs/>
          <w:spacing w:val="-8"/>
          <w:sz w:val="34"/>
        </w:rPr>
        <w:t>fair,</w:t>
      </w:r>
      <w:r w:rsidRPr="00EB2BD8">
        <w:rPr>
          <w:b/>
          <w:iCs/>
          <w:spacing w:val="-27"/>
          <w:sz w:val="34"/>
        </w:rPr>
        <w:t xml:space="preserve"> </w:t>
      </w:r>
      <w:r w:rsidRPr="00EB2BD8">
        <w:rPr>
          <w:b/>
          <w:iCs/>
          <w:spacing w:val="-8"/>
          <w:sz w:val="34"/>
        </w:rPr>
        <w:t xml:space="preserve">consistent </w:t>
      </w:r>
      <w:r w:rsidRPr="00EB2BD8">
        <w:rPr>
          <w:b/>
          <w:iCs/>
          <w:sz w:val="34"/>
        </w:rPr>
        <w:t>and</w:t>
      </w:r>
      <w:r w:rsidRPr="00EB2BD8">
        <w:rPr>
          <w:b/>
          <w:iCs/>
          <w:spacing w:val="-30"/>
          <w:sz w:val="34"/>
        </w:rPr>
        <w:t xml:space="preserve"> </w:t>
      </w:r>
      <w:r w:rsidRPr="00EB2BD8">
        <w:rPr>
          <w:b/>
          <w:iCs/>
          <w:sz w:val="34"/>
        </w:rPr>
        <w:t>proportionate,</w:t>
      </w:r>
      <w:r w:rsidRPr="00EB2BD8">
        <w:rPr>
          <w:b/>
          <w:iCs/>
          <w:spacing w:val="-30"/>
          <w:sz w:val="34"/>
        </w:rPr>
        <w:t xml:space="preserve"> </w:t>
      </w:r>
      <w:r w:rsidRPr="00EB2BD8">
        <w:rPr>
          <w:b/>
          <w:iCs/>
          <w:sz w:val="34"/>
        </w:rPr>
        <w:t>while emphasising</w:t>
      </w:r>
      <w:r w:rsidRPr="00EB2BD8">
        <w:rPr>
          <w:b/>
          <w:iCs/>
          <w:spacing w:val="-15"/>
          <w:sz w:val="34"/>
        </w:rPr>
        <w:t xml:space="preserve"> </w:t>
      </w:r>
      <w:r w:rsidRPr="00EB2BD8">
        <w:rPr>
          <w:b/>
          <w:iCs/>
          <w:sz w:val="34"/>
        </w:rPr>
        <w:t>the</w:t>
      </w:r>
      <w:r w:rsidRPr="00EB2BD8">
        <w:rPr>
          <w:b/>
          <w:iCs/>
          <w:spacing w:val="-15"/>
          <w:sz w:val="34"/>
        </w:rPr>
        <w:t xml:space="preserve"> </w:t>
      </w:r>
      <w:r w:rsidRPr="00EB2BD8">
        <w:rPr>
          <w:b/>
          <w:iCs/>
          <w:sz w:val="34"/>
        </w:rPr>
        <w:t>need</w:t>
      </w:r>
      <w:r w:rsidRPr="00EB2BD8">
        <w:rPr>
          <w:b/>
          <w:iCs/>
          <w:spacing w:val="-15"/>
          <w:sz w:val="34"/>
        </w:rPr>
        <w:t xml:space="preserve"> </w:t>
      </w:r>
      <w:r w:rsidRPr="00EB2BD8">
        <w:rPr>
          <w:b/>
          <w:iCs/>
          <w:sz w:val="34"/>
        </w:rPr>
        <w:t>for the</w:t>
      </w:r>
      <w:r w:rsidRPr="00EB2BD8">
        <w:rPr>
          <w:b/>
          <w:iCs/>
          <w:spacing w:val="-16"/>
          <w:sz w:val="34"/>
        </w:rPr>
        <w:t xml:space="preserve"> </w:t>
      </w:r>
      <w:r w:rsidRPr="00EB2BD8">
        <w:rPr>
          <w:b/>
          <w:iCs/>
          <w:sz w:val="34"/>
        </w:rPr>
        <w:t>VBA</w:t>
      </w:r>
      <w:r w:rsidRPr="00EB2BD8">
        <w:rPr>
          <w:b/>
          <w:iCs/>
          <w:spacing w:val="-16"/>
          <w:sz w:val="34"/>
        </w:rPr>
        <w:t xml:space="preserve"> </w:t>
      </w:r>
      <w:r w:rsidRPr="00EB2BD8">
        <w:rPr>
          <w:b/>
          <w:iCs/>
          <w:sz w:val="34"/>
        </w:rPr>
        <w:t>to</w:t>
      </w:r>
      <w:r w:rsidRPr="00EB2BD8">
        <w:rPr>
          <w:b/>
          <w:iCs/>
          <w:spacing w:val="-16"/>
          <w:sz w:val="34"/>
        </w:rPr>
        <w:t xml:space="preserve"> </w:t>
      </w:r>
      <w:r w:rsidRPr="00EB2BD8">
        <w:rPr>
          <w:b/>
          <w:iCs/>
          <w:sz w:val="34"/>
        </w:rPr>
        <w:t>be</w:t>
      </w:r>
      <w:r w:rsidRPr="00EB2BD8">
        <w:rPr>
          <w:b/>
          <w:iCs/>
          <w:spacing w:val="-16"/>
          <w:sz w:val="34"/>
        </w:rPr>
        <w:t xml:space="preserve"> </w:t>
      </w:r>
      <w:r w:rsidRPr="00EB2BD8">
        <w:rPr>
          <w:b/>
          <w:iCs/>
          <w:sz w:val="34"/>
        </w:rPr>
        <w:t>a</w:t>
      </w:r>
      <w:r w:rsidRPr="00EB2BD8">
        <w:rPr>
          <w:b/>
          <w:iCs/>
          <w:spacing w:val="-16"/>
          <w:sz w:val="34"/>
        </w:rPr>
        <w:t xml:space="preserve"> </w:t>
      </w:r>
      <w:r w:rsidRPr="00EB2BD8">
        <w:rPr>
          <w:b/>
          <w:iCs/>
          <w:sz w:val="34"/>
        </w:rPr>
        <w:t>proactive, responsive,</w:t>
      </w:r>
      <w:r w:rsidRPr="00EB2BD8">
        <w:rPr>
          <w:b/>
          <w:iCs/>
          <w:spacing w:val="-18"/>
          <w:sz w:val="34"/>
        </w:rPr>
        <w:t xml:space="preserve"> </w:t>
      </w:r>
      <w:r w:rsidRPr="00EB2BD8">
        <w:rPr>
          <w:b/>
          <w:iCs/>
          <w:sz w:val="34"/>
        </w:rPr>
        <w:t>effective</w:t>
      </w:r>
      <w:r w:rsidRPr="00EB2BD8">
        <w:rPr>
          <w:b/>
          <w:iCs/>
          <w:spacing w:val="-18"/>
          <w:sz w:val="34"/>
        </w:rPr>
        <w:t xml:space="preserve"> </w:t>
      </w:r>
      <w:r w:rsidRPr="00EB2BD8">
        <w:rPr>
          <w:b/>
          <w:iCs/>
          <w:sz w:val="34"/>
        </w:rPr>
        <w:t>and credible</w:t>
      </w:r>
      <w:r w:rsidRPr="00EB2BD8">
        <w:rPr>
          <w:b/>
          <w:iCs/>
          <w:spacing w:val="-30"/>
          <w:sz w:val="34"/>
        </w:rPr>
        <w:t xml:space="preserve"> </w:t>
      </w:r>
      <w:r w:rsidRPr="00EB2BD8">
        <w:rPr>
          <w:b/>
          <w:iCs/>
          <w:sz w:val="34"/>
        </w:rPr>
        <w:t>regulator.”</w:t>
      </w:r>
    </w:p>
    <w:p w14:paraId="4ECB5AF1" w14:textId="77777777" w:rsidR="00084F36" w:rsidRPr="00EB2BD8" w:rsidRDefault="00EB2BD8">
      <w:pPr>
        <w:pStyle w:val="BodyText"/>
        <w:spacing w:before="333" w:line="261" w:lineRule="auto"/>
        <w:ind w:left="411" w:right="963"/>
      </w:pPr>
      <w:r w:rsidRPr="00EB2BD8">
        <w:t>As</w:t>
      </w:r>
      <w:r w:rsidRPr="00EB2BD8">
        <w:rPr>
          <w:spacing w:val="-4"/>
        </w:rPr>
        <w:t xml:space="preserve"> </w:t>
      </w:r>
      <w:r w:rsidRPr="00EB2BD8">
        <w:t>a</w:t>
      </w:r>
      <w:r w:rsidRPr="00EB2BD8">
        <w:rPr>
          <w:spacing w:val="-4"/>
        </w:rPr>
        <w:t xml:space="preserve"> </w:t>
      </w:r>
      <w:r w:rsidRPr="00EB2BD8">
        <w:t>regulator,</w:t>
      </w:r>
      <w:r w:rsidRPr="00EB2BD8">
        <w:rPr>
          <w:spacing w:val="-4"/>
        </w:rPr>
        <w:t xml:space="preserve"> </w:t>
      </w:r>
      <w:r w:rsidRPr="00EB2BD8">
        <w:t>our</w:t>
      </w:r>
      <w:r w:rsidRPr="00EB2BD8">
        <w:rPr>
          <w:spacing w:val="-4"/>
        </w:rPr>
        <w:t xml:space="preserve"> </w:t>
      </w:r>
      <w:r w:rsidRPr="00EB2BD8">
        <w:t>work</w:t>
      </w:r>
      <w:r w:rsidRPr="00EB2BD8">
        <w:rPr>
          <w:spacing w:val="-4"/>
        </w:rPr>
        <w:t xml:space="preserve"> </w:t>
      </w:r>
      <w:r w:rsidRPr="00EB2BD8">
        <w:t>requires</w:t>
      </w:r>
      <w:r w:rsidRPr="00EB2BD8">
        <w:rPr>
          <w:spacing w:val="-4"/>
        </w:rPr>
        <w:t xml:space="preserve"> </w:t>
      </w:r>
      <w:r w:rsidRPr="00EB2BD8">
        <w:t>judgement,</w:t>
      </w:r>
      <w:r w:rsidRPr="00EB2BD8">
        <w:rPr>
          <w:spacing w:val="-4"/>
        </w:rPr>
        <w:t xml:space="preserve"> </w:t>
      </w:r>
      <w:r w:rsidRPr="00EB2BD8">
        <w:t>and</w:t>
      </w:r>
      <w:r w:rsidRPr="00EB2BD8">
        <w:rPr>
          <w:spacing w:val="-4"/>
        </w:rPr>
        <w:t xml:space="preserve"> </w:t>
      </w:r>
      <w:r w:rsidRPr="00EB2BD8">
        <w:t>not everything is black and white. We are determined to deliver better consumer outcomes through boosting the effectiveness of our regulatory activities, which involves improving the VBA’s decision-making framework</w:t>
      </w:r>
      <w:r w:rsidRPr="00EB2BD8">
        <w:rPr>
          <w:spacing w:val="-11"/>
        </w:rPr>
        <w:t xml:space="preserve"> </w:t>
      </w:r>
      <w:r w:rsidRPr="00EB2BD8">
        <w:t>as</w:t>
      </w:r>
      <w:r w:rsidRPr="00EB2BD8">
        <w:rPr>
          <w:spacing w:val="-11"/>
        </w:rPr>
        <w:t xml:space="preserve"> </w:t>
      </w:r>
      <w:r w:rsidRPr="00EB2BD8">
        <w:t>well</w:t>
      </w:r>
      <w:r w:rsidRPr="00EB2BD8">
        <w:rPr>
          <w:spacing w:val="-11"/>
        </w:rPr>
        <w:t xml:space="preserve"> </w:t>
      </w:r>
      <w:r w:rsidRPr="00EB2BD8">
        <w:t>as</w:t>
      </w:r>
      <w:r w:rsidRPr="00EB2BD8">
        <w:rPr>
          <w:spacing w:val="-11"/>
        </w:rPr>
        <w:t xml:space="preserve"> </w:t>
      </w:r>
      <w:r w:rsidRPr="00EB2BD8">
        <w:t>delivering</w:t>
      </w:r>
      <w:r w:rsidRPr="00EB2BD8">
        <w:rPr>
          <w:spacing w:val="-11"/>
        </w:rPr>
        <w:t xml:space="preserve"> </w:t>
      </w:r>
      <w:r w:rsidRPr="00EB2BD8">
        <w:t>improvements</w:t>
      </w:r>
      <w:r w:rsidRPr="00EB2BD8">
        <w:rPr>
          <w:spacing w:val="-11"/>
        </w:rPr>
        <w:t xml:space="preserve"> </w:t>
      </w:r>
      <w:r w:rsidRPr="00EB2BD8">
        <w:t>in</w:t>
      </w:r>
      <w:r w:rsidRPr="00EB2BD8">
        <w:rPr>
          <w:spacing w:val="-11"/>
        </w:rPr>
        <w:t xml:space="preserve"> </w:t>
      </w:r>
      <w:r w:rsidRPr="00EB2BD8">
        <w:t xml:space="preserve">staff </w:t>
      </w:r>
      <w:r w:rsidRPr="00EB2BD8">
        <w:rPr>
          <w:spacing w:val="-2"/>
        </w:rPr>
        <w:t>capability.</w:t>
      </w:r>
    </w:p>
    <w:p w14:paraId="6A6CABDC" w14:textId="77777777" w:rsidR="00084F36" w:rsidRPr="00EB2BD8" w:rsidRDefault="00EB2BD8">
      <w:pPr>
        <w:pStyle w:val="BodyText"/>
        <w:spacing w:before="106" w:line="261" w:lineRule="auto"/>
        <w:ind w:left="411" w:right="916"/>
      </w:pPr>
      <w:r w:rsidRPr="00EB2BD8">
        <w:t>I</w:t>
      </w:r>
      <w:r w:rsidRPr="00EB2BD8">
        <w:rPr>
          <w:spacing w:val="-15"/>
        </w:rPr>
        <w:t xml:space="preserve"> </w:t>
      </w:r>
      <w:r w:rsidRPr="00EB2BD8">
        <w:t>would</w:t>
      </w:r>
      <w:r w:rsidRPr="00EB2BD8">
        <w:rPr>
          <w:spacing w:val="-14"/>
        </w:rPr>
        <w:t xml:space="preserve"> </w:t>
      </w:r>
      <w:r w:rsidRPr="00EB2BD8">
        <w:t>like</w:t>
      </w:r>
      <w:r w:rsidRPr="00EB2BD8">
        <w:rPr>
          <w:spacing w:val="-14"/>
        </w:rPr>
        <w:t xml:space="preserve"> </w:t>
      </w:r>
      <w:r w:rsidRPr="00EB2BD8">
        <w:t>to</w:t>
      </w:r>
      <w:r w:rsidRPr="00EB2BD8">
        <w:rPr>
          <w:spacing w:val="-14"/>
        </w:rPr>
        <w:t xml:space="preserve"> </w:t>
      </w:r>
      <w:r w:rsidRPr="00EB2BD8">
        <w:t>recognise</w:t>
      </w:r>
      <w:r w:rsidRPr="00EB2BD8">
        <w:rPr>
          <w:spacing w:val="-15"/>
        </w:rPr>
        <w:t xml:space="preserve"> </w:t>
      </w:r>
      <w:r w:rsidRPr="00EB2BD8">
        <w:t>Dr</w:t>
      </w:r>
      <w:r w:rsidRPr="00EB2BD8">
        <w:rPr>
          <w:spacing w:val="-14"/>
        </w:rPr>
        <w:t xml:space="preserve"> </w:t>
      </w:r>
      <w:r w:rsidRPr="00EB2BD8">
        <w:t>Todd</w:t>
      </w:r>
      <w:r w:rsidRPr="00EB2BD8">
        <w:rPr>
          <w:spacing w:val="-14"/>
        </w:rPr>
        <w:t xml:space="preserve"> </w:t>
      </w:r>
      <w:r w:rsidRPr="00EB2BD8">
        <w:t>Bentley,</w:t>
      </w:r>
      <w:r w:rsidRPr="00EB2BD8">
        <w:rPr>
          <w:spacing w:val="-14"/>
        </w:rPr>
        <w:t xml:space="preserve"> </w:t>
      </w:r>
      <w:r w:rsidRPr="00EB2BD8">
        <w:t>who</w:t>
      </w:r>
      <w:r w:rsidRPr="00EB2BD8">
        <w:rPr>
          <w:spacing w:val="-15"/>
        </w:rPr>
        <w:t xml:space="preserve"> </w:t>
      </w:r>
      <w:r w:rsidRPr="00EB2BD8">
        <w:t>as</w:t>
      </w:r>
      <w:r w:rsidRPr="00EB2BD8">
        <w:rPr>
          <w:spacing w:val="-14"/>
        </w:rPr>
        <w:t xml:space="preserve"> </w:t>
      </w:r>
      <w:r w:rsidRPr="00EB2BD8">
        <w:t>Acting CEO steered the VBA through the first half of this calendar year and who established the framework for implementing the Government’s reform agenda.</w:t>
      </w:r>
    </w:p>
    <w:p w14:paraId="2AE406C8" w14:textId="6CA0EF02" w:rsidR="00084F36" w:rsidRPr="00EB2BD8" w:rsidRDefault="00EB2BD8" w:rsidP="00DB0F6B">
      <w:pPr>
        <w:pStyle w:val="BodyText"/>
        <w:spacing w:before="109" w:line="261" w:lineRule="auto"/>
        <w:ind w:left="411" w:right="963"/>
        <w:sectPr w:rsidR="00084F36" w:rsidRPr="00EB2BD8" w:rsidSect="006D75B2">
          <w:type w:val="continuous"/>
          <w:pgSz w:w="11910" w:h="16840"/>
          <w:pgMar w:top="1920" w:right="0" w:bottom="280" w:left="0" w:header="0" w:footer="0" w:gutter="0"/>
          <w:cols w:num="2" w:space="720" w:equalWidth="0">
            <w:col w:w="5728" w:space="40"/>
            <w:col w:w="6142"/>
          </w:cols>
        </w:sectPr>
      </w:pPr>
      <w:r w:rsidRPr="00EB2BD8">
        <w:t>I look forward to leading such a dedicated team of professionals</w:t>
      </w:r>
      <w:r w:rsidRPr="00EB2BD8">
        <w:rPr>
          <w:spacing w:val="-11"/>
        </w:rPr>
        <w:t xml:space="preserve"> </w:t>
      </w:r>
      <w:r w:rsidRPr="00EB2BD8">
        <w:t>who</w:t>
      </w:r>
      <w:r w:rsidRPr="00EB2BD8">
        <w:rPr>
          <w:spacing w:val="-11"/>
        </w:rPr>
        <w:t xml:space="preserve"> </w:t>
      </w:r>
      <w:r w:rsidRPr="00EB2BD8">
        <w:t>make</w:t>
      </w:r>
      <w:r w:rsidRPr="00EB2BD8">
        <w:rPr>
          <w:spacing w:val="-11"/>
        </w:rPr>
        <w:t xml:space="preserve"> </w:t>
      </w:r>
      <w:r w:rsidRPr="00EB2BD8">
        <w:t>a</w:t>
      </w:r>
      <w:r w:rsidRPr="00EB2BD8">
        <w:rPr>
          <w:spacing w:val="-11"/>
        </w:rPr>
        <w:t xml:space="preserve"> </w:t>
      </w:r>
      <w:r w:rsidRPr="00EB2BD8">
        <w:t>real</w:t>
      </w:r>
      <w:r w:rsidRPr="00EB2BD8">
        <w:rPr>
          <w:spacing w:val="-11"/>
        </w:rPr>
        <w:t xml:space="preserve"> </w:t>
      </w:r>
      <w:r w:rsidRPr="00EB2BD8">
        <w:t>difference</w:t>
      </w:r>
      <w:r w:rsidRPr="00EB2BD8">
        <w:rPr>
          <w:spacing w:val="-11"/>
        </w:rPr>
        <w:t xml:space="preserve"> </w:t>
      </w:r>
      <w:r w:rsidRPr="00EB2BD8">
        <w:t>to</w:t>
      </w:r>
      <w:r w:rsidRPr="00EB2BD8">
        <w:rPr>
          <w:spacing w:val="-11"/>
        </w:rPr>
        <w:t xml:space="preserve"> </w:t>
      </w:r>
      <w:r w:rsidRPr="00EB2BD8">
        <w:t>Victoria’s liveability, built environment and future prosperity.</w:t>
      </w:r>
    </w:p>
    <w:p w14:paraId="08E50140" w14:textId="012B13BD" w:rsidR="00084F36" w:rsidRPr="00EB2BD8" w:rsidRDefault="00084F36">
      <w:pPr>
        <w:pStyle w:val="BodyText"/>
        <w:rPr>
          <w:sz w:val="20"/>
        </w:rPr>
      </w:pPr>
    </w:p>
    <w:p w14:paraId="546D9884" w14:textId="77777777" w:rsidR="00084F36" w:rsidRPr="00EB2BD8" w:rsidRDefault="00084F36">
      <w:pPr>
        <w:pStyle w:val="BodyText"/>
        <w:rPr>
          <w:sz w:val="20"/>
        </w:rPr>
      </w:pPr>
    </w:p>
    <w:p w14:paraId="0B80D680" w14:textId="77777777" w:rsidR="00084F36" w:rsidRPr="00EB2BD8" w:rsidRDefault="00084F36">
      <w:pPr>
        <w:pStyle w:val="BodyText"/>
        <w:rPr>
          <w:sz w:val="20"/>
        </w:rPr>
      </w:pPr>
    </w:p>
    <w:p w14:paraId="68B1981B" w14:textId="77777777" w:rsidR="00084F36" w:rsidRPr="00EB2BD8" w:rsidRDefault="00084F36">
      <w:pPr>
        <w:pStyle w:val="BodyText"/>
        <w:rPr>
          <w:sz w:val="20"/>
        </w:rPr>
      </w:pPr>
    </w:p>
    <w:p w14:paraId="00253913" w14:textId="77777777" w:rsidR="00084F36" w:rsidRPr="00EB2BD8" w:rsidRDefault="00084F36">
      <w:pPr>
        <w:pStyle w:val="BodyText"/>
        <w:rPr>
          <w:sz w:val="20"/>
        </w:rPr>
      </w:pPr>
    </w:p>
    <w:p w14:paraId="2F0B4BA5" w14:textId="77777777" w:rsidR="00084F36" w:rsidRPr="00EB2BD8" w:rsidRDefault="00084F36">
      <w:pPr>
        <w:pStyle w:val="BodyText"/>
        <w:rPr>
          <w:sz w:val="20"/>
        </w:rPr>
      </w:pPr>
    </w:p>
    <w:p w14:paraId="5F61C631" w14:textId="77777777" w:rsidR="00084F36" w:rsidRPr="00EB2BD8" w:rsidRDefault="00084F36">
      <w:pPr>
        <w:pStyle w:val="BodyText"/>
        <w:rPr>
          <w:sz w:val="20"/>
        </w:rPr>
      </w:pPr>
    </w:p>
    <w:p w14:paraId="44FD3871" w14:textId="77777777" w:rsidR="00084F36" w:rsidRPr="00EB2BD8" w:rsidRDefault="00084F36">
      <w:pPr>
        <w:pStyle w:val="BodyText"/>
        <w:rPr>
          <w:sz w:val="20"/>
        </w:rPr>
      </w:pPr>
    </w:p>
    <w:p w14:paraId="416B1D71" w14:textId="77777777" w:rsidR="00084F36" w:rsidRPr="00EB2BD8" w:rsidRDefault="00084F36">
      <w:pPr>
        <w:pStyle w:val="BodyText"/>
        <w:rPr>
          <w:sz w:val="20"/>
        </w:rPr>
      </w:pPr>
    </w:p>
    <w:p w14:paraId="45556273" w14:textId="77777777" w:rsidR="00084F36" w:rsidRPr="00EB2BD8" w:rsidRDefault="00084F36">
      <w:pPr>
        <w:pStyle w:val="BodyText"/>
        <w:rPr>
          <w:sz w:val="20"/>
        </w:rPr>
      </w:pPr>
    </w:p>
    <w:p w14:paraId="77AEACEA" w14:textId="77777777" w:rsidR="00084F36" w:rsidRPr="00EB2BD8" w:rsidRDefault="00084F36">
      <w:pPr>
        <w:pStyle w:val="BodyText"/>
        <w:rPr>
          <w:sz w:val="20"/>
        </w:rPr>
      </w:pPr>
    </w:p>
    <w:p w14:paraId="032C96BB" w14:textId="77777777" w:rsidR="00084F36" w:rsidRPr="00EB2BD8" w:rsidRDefault="00084F36">
      <w:pPr>
        <w:pStyle w:val="BodyText"/>
        <w:rPr>
          <w:sz w:val="20"/>
        </w:rPr>
      </w:pPr>
    </w:p>
    <w:p w14:paraId="609F3203" w14:textId="77777777" w:rsidR="00084F36" w:rsidRPr="00EB2BD8" w:rsidRDefault="00084F36">
      <w:pPr>
        <w:pStyle w:val="BodyText"/>
        <w:rPr>
          <w:sz w:val="20"/>
        </w:rPr>
      </w:pPr>
    </w:p>
    <w:p w14:paraId="564E9221" w14:textId="77777777" w:rsidR="00084F36" w:rsidRPr="00EB2BD8" w:rsidRDefault="00084F36">
      <w:pPr>
        <w:pStyle w:val="BodyText"/>
        <w:rPr>
          <w:sz w:val="20"/>
        </w:rPr>
      </w:pPr>
    </w:p>
    <w:p w14:paraId="1F48E231" w14:textId="77777777" w:rsidR="00084F36" w:rsidRPr="00EB2BD8" w:rsidRDefault="00084F36">
      <w:pPr>
        <w:pStyle w:val="BodyText"/>
        <w:rPr>
          <w:sz w:val="20"/>
        </w:rPr>
      </w:pPr>
    </w:p>
    <w:p w14:paraId="4A1A4259" w14:textId="77777777" w:rsidR="00084F36" w:rsidRPr="00EB2BD8" w:rsidRDefault="00084F36">
      <w:pPr>
        <w:pStyle w:val="BodyText"/>
        <w:rPr>
          <w:sz w:val="20"/>
        </w:rPr>
      </w:pPr>
    </w:p>
    <w:p w14:paraId="6C703449" w14:textId="77777777" w:rsidR="00084F36" w:rsidRPr="00EB2BD8" w:rsidRDefault="00084F36">
      <w:pPr>
        <w:pStyle w:val="BodyText"/>
        <w:rPr>
          <w:sz w:val="20"/>
        </w:rPr>
      </w:pPr>
    </w:p>
    <w:p w14:paraId="2792BA33" w14:textId="77777777" w:rsidR="00084F36" w:rsidRPr="00EB2BD8" w:rsidRDefault="00084F36">
      <w:pPr>
        <w:pStyle w:val="BodyText"/>
        <w:rPr>
          <w:sz w:val="20"/>
        </w:rPr>
      </w:pPr>
    </w:p>
    <w:p w14:paraId="42FDFCBC" w14:textId="77777777" w:rsidR="00084F36" w:rsidRPr="00EB2BD8" w:rsidRDefault="00084F36">
      <w:pPr>
        <w:pStyle w:val="BodyText"/>
        <w:rPr>
          <w:sz w:val="20"/>
        </w:rPr>
      </w:pPr>
    </w:p>
    <w:p w14:paraId="24D599B5" w14:textId="77777777" w:rsidR="00084F36" w:rsidRPr="00EB2BD8" w:rsidRDefault="00084F36">
      <w:pPr>
        <w:pStyle w:val="BodyText"/>
        <w:rPr>
          <w:sz w:val="20"/>
        </w:rPr>
      </w:pPr>
    </w:p>
    <w:p w14:paraId="31766D53" w14:textId="77777777" w:rsidR="00084F36" w:rsidRPr="00EB2BD8" w:rsidRDefault="00084F36">
      <w:pPr>
        <w:pStyle w:val="BodyText"/>
        <w:rPr>
          <w:sz w:val="20"/>
        </w:rPr>
      </w:pPr>
    </w:p>
    <w:p w14:paraId="274CE850" w14:textId="77777777" w:rsidR="00084F36" w:rsidRPr="00EB2BD8" w:rsidRDefault="00084F36">
      <w:pPr>
        <w:pStyle w:val="BodyText"/>
        <w:rPr>
          <w:sz w:val="20"/>
        </w:rPr>
      </w:pPr>
    </w:p>
    <w:p w14:paraId="4C7912C3" w14:textId="77777777" w:rsidR="00084F36" w:rsidRPr="00EB2BD8" w:rsidRDefault="00084F36">
      <w:pPr>
        <w:pStyle w:val="BodyText"/>
        <w:rPr>
          <w:sz w:val="20"/>
        </w:rPr>
      </w:pPr>
    </w:p>
    <w:p w14:paraId="5BD1AA8A" w14:textId="77777777" w:rsidR="00084F36" w:rsidRPr="00EB2BD8" w:rsidRDefault="00084F36">
      <w:pPr>
        <w:pStyle w:val="BodyText"/>
        <w:rPr>
          <w:sz w:val="20"/>
        </w:rPr>
      </w:pPr>
    </w:p>
    <w:p w14:paraId="158858F6" w14:textId="77777777" w:rsidR="00084F36" w:rsidRPr="00EB2BD8" w:rsidRDefault="00084F36">
      <w:pPr>
        <w:pStyle w:val="BodyText"/>
        <w:rPr>
          <w:sz w:val="20"/>
        </w:rPr>
      </w:pPr>
    </w:p>
    <w:p w14:paraId="2AC98D44" w14:textId="77777777" w:rsidR="00084F36" w:rsidRPr="00EB2BD8" w:rsidRDefault="00084F36">
      <w:pPr>
        <w:pStyle w:val="BodyText"/>
        <w:rPr>
          <w:sz w:val="20"/>
        </w:rPr>
      </w:pPr>
    </w:p>
    <w:p w14:paraId="113D3083" w14:textId="77777777" w:rsidR="00084F36" w:rsidRPr="00EB2BD8" w:rsidRDefault="00084F36">
      <w:pPr>
        <w:pStyle w:val="BodyText"/>
        <w:spacing w:before="1"/>
        <w:rPr>
          <w:sz w:val="19"/>
        </w:rPr>
      </w:pPr>
    </w:p>
    <w:p w14:paraId="737ADE04" w14:textId="21D3120B" w:rsidR="00084F36" w:rsidRPr="00EB2BD8" w:rsidRDefault="00084F36">
      <w:pPr>
        <w:pStyle w:val="BodyText"/>
        <w:spacing w:line="183" w:lineRule="exact"/>
        <w:ind w:left="10864"/>
      </w:pPr>
    </w:p>
    <w:p w14:paraId="4BA423C8" w14:textId="77777777" w:rsidR="00084F36" w:rsidRPr="00EB2BD8" w:rsidRDefault="00084F36">
      <w:pPr>
        <w:spacing w:line="183" w:lineRule="exact"/>
        <w:sectPr w:rsidR="00084F36" w:rsidRPr="00EB2BD8" w:rsidSect="006D75B2">
          <w:type w:val="continuous"/>
          <w:pgSz w:w="11910" w:h="16840"/>
          <w:pgMar w:top="1920" w:right="0" w:bottom="280" w:left="0" w:header="0" w:footer="0" w:gutter="0"/>
          <w:cols w:space="720"/>
        </w:sectPr>
      </w:pPr>
    </w:p>
    <w:p w14:paraId="72FD91E2" w14:textId="77777777" w:rsidR="00084F36" w:rsidRPr="00EB2BD8" w:rsidRDefault="00084F36">
      <w:pPr>
        <w:pStyle w:val="BodyText"/>
        <w:rPr>
          <w:sz w:val="20"/>
        </w:rPr>
      </w:pPr>
    </w:p>
    <w:p w14:paraId="04D29054" w14:textId="77777777" w:rsidR="00084F36" w:rsidRPr="00EB2BD8" w:rsidRDefault="00084F36">
      <w:pPr>
        <w:pStyle w:val="BodyText"/>
        <w:rPr>
          <w:sz w:val="20"/>
        </w:rPr>
      </w:pPr>
    </w:p>
    <w:p w14:paraId="1CF7987F" w14:textId="77777777" w:rsidR="00084F36" w:rsidRPr="00EB2BD8" w:rsidRDefault="00084F36">
      <w:pPr>
        <w:pStyle w:val="BodyText"/>
        <w:rPr>
          <w:sz w:val="20"/>
        </w:rPr>
      </w:pPr>
    </w:p>
    <w:p w14:paraId="61A1F988" w14:textId="77777777" w:rsidR="00084F36" w:rsidRPr="00EB2BD8" w:rsidRDefault="00084F36">
      <w:pPr>
        <w:pStyle w:val="BodyText"/>
        <w:spacing w:before="7"/>
        <w:rPr>
          <w:sz w:val="20"/>
        </w:rPr>
      </w:pPr>
    </w:p>
    <w:p w14:paraId="1DEEB57E" w14:textId="77777777" w:rsidR="00084F36" w:rsidRPr="00EB2BD8" w:rsidRDefault="00EB2BD8" w:rsidP="00EB2BD8">
      <w:pPr>
        <w:pStyle w:val="Heading1"/>
      </w:pPr>
      <w:bookmarkStart w:id="37" w:name="_Toc150762341"/>
      <w:r w:rsidRPr="00EB2BD8">
        <w:t>The</w:t>
      </w:r>
      <w:r w:rsidRPr="00EB2BD8">
        <w:rPr>
          <w:spacing w:val="-59"/>
        </w:rPr>
        <w:t xml:space="preserve"> </w:t>
      </w:r>
      <w:r w:rsidRPr="00EB2BD8">
        <w:t>State</w:t>
      </w:r>
      <w:r w:rsidRPr="00EB2BD8">
        <w:rPr>
          <w:spacing w:val="-59"/>
        </w:rPr>
        <w:t xml:space="preserve"> </w:t>
      </w:r>
      <w:r w:rsidRPr="00EB2BD8">
        <w:t>Building Surveyor’s</w:t>
      </w:r>
      <w:r w:rsidRPr="00EB2BD8">
        <w:rPr>
          <w:spacing w:val="-14"/>
        </w:rPr>
        <w:t xml:space="preserve"> </w:t>
      </w:r>
      <w:r w:rsidRPr="00EB2BD8">
        <w:t>Report</w:t>
      </w:r>
      <w:bookmarkEnd w:id="37"/>
    </w:p>
    <w:p w14:paraId="1A9F9663" w14:textId="77777777" w:rsidR="00DB0F6B" w:rsidRDefault="00DB0F6B">
      <w:pPr>
        <w:spacing w:before="291" w:line="351" w:lineRule="exact"/>
        <w:ind w:left="826"/>
        <w:rPr>
          <w:rFonts w:ascii="Tahoma"/>
          <w:b/>
          <w:spacing w:val="-4"/>
          <w:sz w:val="30"/>
        </w:rPr>
      </w:pPr>
    </w:p>
    <w:p w14:paraId="69B56981" w14:textId="503EF73C" w:rsidR="00084F36" w:rsidRPr="00DB0F6B" w:rsidRDefault="00EB2BD8" w:rsidP="00DB0F6B">
      <w:pPr>
        <w:pStyle w:val="Heading2"/>
        <w:rPr>
          <w:b w:val="0"/>
          <w:bCs w:val="0"/>
        </w:rPr>
      </w:pPr>
      <w:bookmarkStart w:id="38" w:name="_Toc150762342"/>
      <w:r w:rsidRPr="00DB0F6B">
        <w:rPr>
          <w:b w:val="0"/>
          <w:bCs w:val="0"/>
        </w:rPr>
        <w:t>A</w:t>
      </w:r>
      <w:r w:rsidRPr="00DB0F6B">
        <w:rPr>
          <w:b w:val="0"/>
          <w:bCs w:val="0"/>
          <w:spacing w:val="-14"/>
        </w:rPr>
        <w:t xml:space="preserve"> </w:t>
      </w:r>
      <w:r w:rsidRPr="00DB0F6B">
        <w:rPr>
          <w:b w:val="0"/>
          <w:bCs w:val="0"/>
        </w:rPr>
        <w:t>strong</w:t>
      </w:r>
      <w:r w:rsidRPr="00DB0F6B">
        <w:rPr>
          <w:b w:val="0"/>
          <w:bCs w:val="0"/>
          <w:spacing w:val="-14"/>
        </w:rPr>
        <w:t xml:space="preserve"> </w:t>
      </w:r>
      <w:r w:rsidRPr="00DB0F6B">
        <w:rPr>
          <w:b w:val="0"/>
          <w:bCs w:val="0"/>
        </w:rPr>
        <w:t>theme</w:t>
      </w:r>
      <w:r w:rsidRPr="00DB0F6B">
        <w:rPr>
          <w:b w:val="0"/>
          <w:bCs w:val="0"/>
          <w:spacing w:val="-14"/>
        </w:rPr>
        <w:t xml:space="preserve"> </w:t>
      </w:r>
      <w:r w:rsidRPr="00DB0F6B">
        <w:rPr>
          <w:b w:val="0"/>
          <w:bCs w:val="0"/>
        </w:rPr>
        <w:t>emerged</w:t>
      </w:r>
      <w:r w:rsidRPr="00DB0F6B">
        <w:rPr>
          <w:b w:val="0"/>
          <w:bCs w:val="0"/>
          <w:spacing w:val="-13"/>
        </w:rPr>
        <w:t xml:space="preserve"> </w:t>
      </w:r>
      <w:r w:rsidRPr="00DB0F6B">
        <w:rPr>
          <w:b w:val="0"/>
          <w:bCs w:val="0"/>
        </w:rPr>
        <w:t>from</w:t>
      </w:r>
      <w:r w:rsidRPr="00DB0F6B">
        <w:rPr>
          <w:b w:val="0"/>
          <w:bCs w:val="0"/>
          <w:spacing w:val="-14"/>
        </w:rPr>
        <w:t xml:space="preserve"> </w:t>
      </w:r>
      <w:r w:rsidRPr="00DB0F6B">
        <w:rPr>
          <w:b w:val="0"/>
          <w:bCs w:val="0"/>
        </w:rPr>
        <w:t>the</w:t>
      </w:r>
      <w:r w:rsidRPr="00DB0F6B">
        <w:rPr>
          <w:b w:val="0"/>
          <w:bCs w:val="0"/>
          <w:spacing w:val="-14"/>
        </w:rPr>
        <w:t xml:space="preserve"> </w:t>
      </w:r>
      <w:r w:rsidRPr="00DB0F6B">
        <w:rPr>
          <w:b w:val="0"/>
          <w:bCs w:val="0"/>
        </w:rPr>
        <w:t>work</w:t>
      </w:r>
      <w:r w:rsidRPr="00DB0F6B">
        <w:rPr>
          <w:b w:val="0"/>
          <w:bCs w:val="0"/>
          <w:spacing w:val="-13"/>
        </w:rPr>
        <w:t xml:space="preserve"> </w:t>
      </w:r>
      <w:r w:rsidRPr="00DB0F6B">
        <w:rPr>
          <w:b w:val="0"/>
          <w:bCs w:val="0"/>
        </w:rPr>
        <w:t>the</w:t>
      </w:r>
      <w:r w:rsidRPr="00DB0F6B">
        <w:rPr>
          <w:b w:val="0"/>
          <w:bCs w:val="0"/>
          <w:spacing w:val="-14"/>
        </w:rPr>
        <w:t xml:space="preserve"> </w:t>
      </w:r>
      <w:r w:rsidRPr="00DB0F6B">
        <w:rPr>
          <w:b w:val="0"/>
          <w:bCs w:val="0"/>
        </w:rPr>
        <w:t>VBA</w:t>
      </w:r>
      <w:r w:rsidRPr="00DB0F6B">
        <w:rPr>
          <w:b w:val="0"/>
          <w:bCs w:val="0"/>
          <w:spacing w:val="-14"/>
        </w:rPr>
        <w:t xml:space="preserve"> </w:t>
      </w:r>
      <w:r w:rsidRPr="00DB0F6B">
        <w:rPr>
          <w:b w:val="0"/>
          <w:bCs w:val="0"/>
          <w:spacing w:val="-5"/>
        </w:rPr>
        <w:t>did</w:t>
      </w:r>
      <w:bookmarkEnd w:id="38"/>
    </w:p>
    <w:p w14:paraId="6F9D65AF" w14:textId="5D548DB4" w:rsidR="00084F36" w:rsidRPr="00DB0F6B" w:rsidRDefault="00EB2BD8" w:rsidP="00DB0F6B">
      <w:pPr>
        <w:pStyle w:val="Heading2"/>
        <w:rPr>
          <w:rFonts w:hAnsi="Tahoma"/>
          <w:b w:val="0"/>
          <w:bCs w:val="0"/>
        </w:rPr>
      </w:pPr>
      <w:bookmarkStart w:id="39" w:name="_Toc150762343"/>
      <w:r w:rsidRPr="00DB0F6B">
        <w:rPr>
          <w:rFonts w:hAnsi="Tahoma"/>
          <w:b w:val="0"/>
          <w:bCs w:val="0"/>
          <w:spacing w:val="-2"/>
        </w:rPr>
        <w:t>this</w:t>
      </w:r>
      <w:r w:rsidRPr="00DB0F6B">
        <w:rPr>
          <w:rFonts w:hAnsi="Tahoma"/>
          <w:b w:val="0"/>
          <w:bCs w:val="0"/>
          <w:spacing w:val="-20"/>
        </w:rPr>
        <w:t xml:space="preserve"> </w:t>
      </w:r>
      <w:r w:rsidRPr="00DB0F6B">
        <w:rPr>
          <w:rFonts w:hAnsi="Tahoma"/>
          <w:b w:val="0"/>
          <w:bCs w:val="0"/>
          <w:spacing w:val="-2"/>
        </w:rPr>
        <w:t>year</w:t>
      </w:r>
      <w:r w:rsidRPr="00DB0F6B">
        <w:rPr>
          <w:rFonts w:hAnsi="Tahoma"/>
          <w:b w:val="0"/>
          <w:bCs w:val="0"/>
          <w:spacing w:val="-20"/>
        </w:rPr>
        <w:t xml:space="preserve"> </w:t>
      </w:r>
      <w:r w:rsidRPr="00DB0F6B">
        <w:rPr>
          <w:rFonts w:hAnsi="Tahoma"/>
          <w:b w:val="0"/>
          <w:bCs w:val="0"/>
          <w:spacing w:val="-2"/>
        </w:rPr>
        <w:t>–</w:t>
      </w:r>
      <w:r w:rsidRPr="00DB0F6B">
        <w:rPr>
          <w:rFonts w:hAnsi="Tahoma"/>
          <w:b w:val="0"/>
          <w:bCs w:val="0"/>
          <w:spacing w:val="-20"/>
        </w:rPr>
        <w:t xml:space="preserve"> </w:t>
      </w:r>
      <w:r w:rsidRPr="00DB0F6B">
        <w:rPr>
          <w:rFonts w:hAnsi="Tahoma"/>
          <w:b w:val="0"/>
          <w:bCs w:val="0"/>
          <w:spacing w:val="-2"/>
        </w:rPr>
        <w:t>we</w:t>
      </w:r>
      <w:r w:rsidRPr="00DB0F6B">
        <w:rPr>
          <w:rFonts w:hAnsi="Tahoma"/>
          <w:b w:val="0"/>
          <w:bCs w:val="0"/>
          <w:spacing w:val="-20"/>
        </w:rPr>
        <w:t xml:space="preserve"> </w:t>
      </w:r>
      <w:r w:rsidRPr="00DB0F6B">
        <w:rPr>
          <w:rFonts w:hAnsi="Tahoma"/>
          <w:b w:val="0"/>
          <w:bCs w:val="0"/>
          <w:spacing w:val="-2"/>
        </w:rPr>
        <w:t>worked</w:t>
      </w:r>
      <w:r w:rsidRPr="00DB0F6B">
        <w:rPr>
          <w:rFonts w:hAnsi="Tahoma"/>
          <w:b w:val="0"/>
          <w:bCs w:val="0"/>
          <w:spacing w:val="-20"/>
        </w:rPr>
        <w:t xml:space="preserve"> </w:t>
      </w:r>
      <w:r w:rsidRPr="00DB0F6B">
        <w:rPr>
          <w:rFonts w:hAnsi="Tahoma"/>
          <w:b w:val="0"/>
          <w:bCs w:val="0"/>
          <w:spacing w:val="-2"/>
        </w:rPr>
        <w:t>together</w:t>
      </w:r>
      <w:r w:rsidRPr="00DB0F6B">
        <w:rPr>
          <w:rFonts w:hAnsi="Tahoma"/>
          <w:b w:val="0"/>
          <w:bCs w:val="0"/>
          <w:spacing w:val="-20"/>
        </w:rPr>
        <w:t xml:space="preserve"> </w:t>
      </w:r>
      <w:r w:rsidRPr="00DB0F6B">
        <w:rPr>
          <w:rFonts w:hAnsi="Tahoma"/>
          <w:b w:val="0"/>
          <w:bCs w:val="0"/>
          <w:spacing w:val="-2"/>
        </w:rPr>
        <w:t>with</w:t>
      </w:r>
      <w:r w:rsidRPr="00DB0F6B">
        <w:rPr>
          <w:rFonts w:hAnsi="Tahoma"/>
          <w:b w:val="0"/>
          <w:bCs w:val="0"/>
          <w:spacing w:val="-20"/>
        </w:rPr>
        <w:t xml:space="preserve"> </w:t>
      </w:r>
      <w:r w:rsidRPr="00DB0F6B">
        <w:rPr>
          <w:rFonts w:hAnsi="Tahoma"/>
          <w:b w:val="0"/>
          <w:bCs w:val="0"/>
          <w:spacing w:val="-2"/>
        </w:rPr>
        <w:t>industry</w:t>
      </w:r>
      <w:r w:rsidRPr="00DB0F6B">
        <w:rPr>
          <w:rFonts w:hAnsi="Tahoma"/>
          <w:b w:val="0"/>
          <w:bCs w:val="0"/>
          <w:spacing w:val="-20"/>
        </w:rPr>
        <w:t xml:space="preserve"> </w:t>
      </w:r>
      <w:r w:rsidRPr="00DB0F6B">
        <w:rPr>
          <w:rFonts w:hAnsi="Tahoma"/>
          <w:b w:val="0"/>
          <w:bCs w:val="0"/>
          <w:spacing w:val="-2"/>
        </w:rPr>
        <w:t>to</w:t>
      </w:r>
      <w:r w:rsidRPr="00DB0F6B">
        <w:rPr>
          <w:rFonts w:hAnsi="Tahoma"/>
          <w:b w:val="0"/>
          <w:bCs w:val="0"/>
          <w:spacing w:val="-20"/>
        </w:rPr>
        <w:t xml:space="preserve"> </w:t>
      </w:r>
      <w:r w:rsidRPr="00DB0F6B">
        <w:rPr>
          <w:rFonts w:hAnsi="Tahoma"/>
          <w:b w:val="0"/>
          <w:bCs w:val="0"/>
          <w:spacing w:val="-2"/>
        </w:rPr>
        <w:t>have</w:t>
      </w:r>
      <w:r w:rsidRPr="00DB0F6B">
        <w:rPr>
          <w:rFonts w:hAnsi="Tahoma"/>
          <w:b w:val="0"/>
          <w:bCs w:val="0"/>
          <w:spacing w:val="-20"/>
        </w:rPr>
        <w:t xml:space="preserve"> </w:t>
      </w:r>
      <w:r w:rsidRPr="00DB0F6B">
        <w:rPr>
          <w:rFonts w:hAnsi="Tahoma"/>
          <w:b w:val="0"/>
          <w:bCs w:val="0"/>
          <w:spacing w:val="-2"/>
        </w:rPr>
        <w:t>a</w:t>
      </w:r>
      <w:r w:rsidRPr="00DB0F6B">
        <w:rPr>
          <w:rFonts w:hAnsi="Tahoma"/>
          <w:b w:val="0"/>
          <w:bCs w:val="0"/>
          <w:spacing w:val="-20"/>
        </w:rPr>
        <w:t xml:space="preserve"> </w:t>
      </w:r>
      <w:r w:rsidRPr="00DB0F6B">
        <w:rPr>
          <w:rFonts w:hAnsi="Tahoma"/>
          <w:b w:val="0"/>
          <w:bCs w:val="0"/>
          <w:spacing w:val="-2"/>
        </w:rPr>
        <w:t xml:space="preserve">positive </w:t>
      </w:r>
      <w:r w:rsidR="00DB0F6B">
        <w:rPr>
          <w:rFonts w:hAnsi="Tahoma"/>
          <w:b w:val="0"/>
          <w:bCs w:val="0"/>
          <w:spacing w:val="-2"/>
        </w:rPr>
        <w:br/>
      </w:r>
      <w:r w:rsidRPr="00DB0F6B">
        <w:rPr>
          <w:rFonts w:hAnsi="Tahoma"/>
          <w:b w:val="0"/>
          <w:bCs w:val="0"/>
        </w:rPr>
        <w:t>impact on their practice.</w:t>
      </w:r>
      <w:bookmarkEnd w:id="39"/>
    </w:p>
    <w:p w14:paraId="0452D307" w14:textId="77777777" w:rsidR="00084F36" w:rsidRPr="00EB2BD8" w:rsidRDefault="00084F36">
      <w:pPr>
        <w:pStyle w:val="BodyText"/>
        <w:spacing w:before="11"/>
        <w:rPr>
          <w:rFonts w:ascii="Tahoma"/>
          <w:b/>
          <w:sz w:val="20"/>
        </w:rPr>
      </w:pPr>
    </w:p>
    <w:p w14:paraId="78766F1C" w14:textId="77777777" w:rsidR="00084F36" w:rsidRPr="00EB2BD8" w:rsidRDefault="00084F36">
      <w:pPr>
        <w:rPr>
          <w:rFonts w:ascii="Tahoma"/>
          <w:sz w:val="20"/>
        </w:rPr>
        <w:sectPr w:rsidR="00084F36" w:rsidRPr="00EB2BD8" w:rsidSect="006D75B2">
          <w:headerReference w:type="even" r:id="rId32"/>
          <w:headerReference w:type="default" r:id="rId33"/>
          <w:footerReference w:type="even" r:id="rId34"/>
          <w:footerReference w:type="default" r:id="rId35"/>
          <w:pgSz w:w="11910" w:h="16840"/>
          <w:pgMar w:top="1100" w:right="0" w:bottom="700" w:left="0" w:header="0" w:footer="515" w:gutter="0"/>
          <w:pgNumType w:start="14"/>
          <w:cols w:space="720"/>
        </w:sectPr>
      </w:pPr>
    </w:p>
    <w:p w14:paraId="72916E85" w14:textId="4BCCD530" w:rsidR="00084F36" w:rsidRPr="00EB2BD8" w:rsidRDefault="00EB2BD8">
      <w:pPr>
        <w:pStyle w:val="BodyText"/>
        <w:spacing w:before="168" w:line="261" w:lineRule="auto"/>
        <w:ind w:left="866" w:right="11"/>
      </w:pPr>
      <w:r w:rsidRPr="00EB2BD8">
        <w:t>As</w:t>
      </w:r>
      <w:r w:rsidRPr="00EB2BD8">
        <w:rPr>
          <w:spacing w:val="-12"/>
        </w:rPr>
        <w:t xml:space="preserve"> </w:t>
      </w:r>
      <w:r w:rsidRPr="00EB2BD8">
        <w:t>Victoria’s</w:t>
      </w:r>
      <w:r w:rsidRPr="00EB2BD8">
        <w:rPr>
          <w:spacing w:val="-12"/>
        </w:rPr>
        <w:t xml:space="preserve"> </w:t>
      </w:r>
      <w:r w:rsidRPr="00EB2BD8">
        <w:t>building</w:t>
      </w:r>
      <w:r w:rsidRPr="00EB2BD8">
        <w:rPr>
          <w:spacing w:val="-12"/>
        </w:rPr>
        <w:t xml:space="preserve"> </w:t>
      </w:r>
      <w:r w:rsidRPr="00EB2BD8">
        <w:t>and</w:t>
      </w:r>
      <w:r w:rsidRPr="00EB2BD8">
        <w:rPr>
          <w:spacing w:val="-12"/>
        </w:rPr>
        <w:t xml:space="preserve"> </w:t>
      </w:r>
      <w:r w:rsidRPr="00EB2BD8">
        <w:t>plumbing</w:t>
      </w:r>
      <w:r w:rsidRPr="00EB2BD8">
        <w:rPr>
          <w:spacing w:val="-12"/>
        </w:rPr>
        <w:t xml:space="preserve"> </w:t>
      </w:r>
      <w:r w:rsidRPr="00EB2BD8">
        <w:t>regulator,</w:t>
      </w:r>
      <w:r w:rsidRPr="00EB2BD8">
        <w:rPr>
          <w:spacing w:val="-12"/>
        </w:rPr>
        <w:t xml:space="preserve"> </w:t>
      </w:r>
      <w:r w:rsidRPr="00EB2BD8">
        <w:t>the</w:t>
      </w:r>
      <w:r w:rsidRPr="00EB2BD8">
        <w:rPr>
          <w:spacing w:val="-12"/>
        </w:rPr>
        <w:t xml:space="preserve"> </w:t>
      </w:r>
      <w:r w:rsidRPr="00EB2BD8">
        <w:t>VBA has</w:t>
      </w:r>
      <w:r w:rsidRPr="00EB2BD8">
        <w:rPr>
          <w:spacing w:val="-8"/>
        </w:rPr>
        <w:t xml:space="preserve"> </w:t>
      </w:r>
      <w:r w:rsidRPr="00EB2BD8">
        <w:t>a</w:t>
      </w:r>
      <w:r w:rsidRPr="00EB2BD8">
        <w:rPr>
          <w:spacing w:val="-8"/>
        </w:rPr>
        <w:t xml:space="preserve"> </w:t>
      </w:r>
      <w:r w:rsidRPr="00EB2BD8">
        <w:t>role</w:t>
      </w:r>
      <w:r w:rsidRPr="00EB2BD8">
        <w:rPr>
          <w:spacing w:val="-8"/>
        </w:rPr>
        <w:t xml:space="preserve"> </w:t>
      </w:r>
      <w:r w:rsidRPr="00EB2BD8">
        <w:t>in</w:t>
      </w:r>
      <w:r w:rsidRPr="00EB2BD8">
        <w:rPr>
          <w:spacing w:val="-8"/>
        </w:rPr>
        <w:t xml:space="preserve"> </w:t>
      </w:r>
      <w:r w:rsidRPr="00EB2BD8">
        <w:t>ensuring</w:t>
      </w:r>
      <w:r w:rsidRPr="00EB2BD8">
        <w:rPr>
          <w:spacing w:val="-8"/>
        </w:rPr>
        <w:t xml:space="preserve"> </w:t>
      </w:r>
      <w:r w:rsidRPr="00EB2BD8">
        <w:t>practitioners</w:t>
      </w:r>
      <w:r w:rsidRPr="00EB2BD8">
        <w:rPr>
          <w:spacing w:val="-8"/>
        </w:rPr>
        <w:t xml:space="preserve"> </w:t>
      </w:r>
      <w:r w:rsidRPr="00EB2BD8">
        <w:t>understand</w:t>
      </w:r>
      <w:r w:rsidRPr="00EB2BD8">
        <w:rPr>
          <w:spacing w:val="-8"/>
        </w:rPr>
        <w:t xml:space="preserve"> </w:t>
      </w:r>
      <w:r w:rsidRPr="00EB2BD8">
        <w:t>how</w:t>
      </w:r>
      <w:r w:rsidRPr="00EB2BD8">
        <w:rPr>
          <w:spacing w:val="-8"/>
        </w:rPr>
        <w:t xml:space="preserve"> </w:t>
      </w:r>
      <w:r w:rsidRPr="00EB2BD8">
        <w:t>to do</w:t>
      </w:r>
      <w:r w:rsidRPr="00EB2BD8">
        <w:rPr>
          <w:spacing w:val="-8"/>
        </w:rPr>
        <w:t xml:space="preserve"> </w:t>
      </w:r>
      <w:r w:rsidRPr="00EB2BD8">
        <w:t>things</w:t>
      </w:r>
      <w:r w:rsidRPr="00EB2BD8">
        <w:rPr>
          <w:spacing w:val="-8"/>
        </w:rPr>
        <w:t xml:space="preserve"> </w:t>
      </w:r>
      <w:r w:rsidRPr="00EB2BD8">
        <w:t>correctly,</w:t>
      </w:r>
      <w:r w:rsidRPr="00EB2BD8">
        <w:rPr>
          <w:spacing w:val="-8"/>
        </w:rPr>
        <w:t xml:space="preserve"> </w:t>
      </w:r>
      <w:r w:rsidRPr="00EB2BD8">
        <w:t>and</w:t>
      </w:r>
      <w:r w:rsidRPr="00EB2BD8">
        <w:rPr>
          <w:spacing w:val="-8"/>
        </w:rPr>
        <w:t xml:space="preserve"> </w:t>
      </w:r>
      <w:r w:rsidRPr="00EB2BD8">
        <w:t>in</w:t>
      </w:r>
      <w:r w:rsidRPr="00EB2BD8">
        <w:rPr>
          <w:spacing w:val="-8"/>
        </w:rPr>
        <w:t xml:space="preserve"> </w:t>
      </w:r>
      <w:r w:rsidRPr="00EB2BD8">
        <w:t>discouraging</w:t>
      </w:r>
      <w:r w:rsidRPr="00EB2BD8">
        <w:rPr>
          <w:spacing w:val="-8"/>
        </w:rPr>
        <w:t xml:space="preserve"> </w:t>
      </w:r>
      <w:r w:rsidRPr="00EB2BD8">
        <w:t>risky,</w:t>
      </w:r>
      <w:r w:rsidRPr="00EB2BD8">
        <w:rPr>
          <w:spacing w:val="-8"/>
        </w:rPr>
        <w:t xml:space="preserve"> </w:t>
      </w:r>
      <w:r w:rsidRPr="00EB2BD8">
        <w:t xml:space="preserve">harmful or illegal behaviour in the building and plumbing </w:t>
      </w:r>
      <w:r w:rsidRPr="00EB2BD8">
        <w:rPr>
          <w:spacing w:val="-2"/>
        </w:rPr>
        <w:t>industries.</w:t>
      </w:r>
    </w:p>
    <w:p w14:paraId="5049CD24" w14:textId="77777777" w:rsidR="00084F36" w:rsidRPr="00EB2BD8" w:rsidRDefault="00EB2BD8">
      <w:pPr>
        <w:pStyle w:val="BodyText"/>
        <w:spacing w:before="108" w:line="261" w:lineRule="auto"/>
        <w:ind w:left="866" w:right="11"/>
      </w:pPr>
      <w:r w:rsidRPr="00EB2BD8">
        <w:t>A strong theme emerged from the work the VBA did this</w:t>
      </w:r>
      <w:r w:rsidRPr="00EB2BD8">
        <w:rPr>
          <w:spacing w:val="-7"/>
        </w:rPr>
        <w:t xml:space="preserve"> </w:t>
      </w:r>
      <w:r w:rsidRPr="00EB2BD8">
        <w:t>year</w:t>
      </w:r>
      <w:r w:rsidRPr="00EB2BD8">
        <w:rPr>
          <w:spacing w:val="-7"/>
        </w:rPr>
        <w:t xml:space="preserve"> </w:t>
      </w:r>
      <w:r w:rsidRPr="00EB2BD8">
        <w:t>–</w:t>
      </w:r>
      <w:r w:rsidRPr="00EB2BD8">
        <w:rPr>
          <w:spacing w:val="-7"/>
        </w:rPr>
        <w:t xml:space="preserve"> </w:t>
      </w:r>
      <w:r w:rsidRPr="00EB2BD8">
        <w:t>we</w:t>
      </w:r>
      <w:r w:rsidRPr="00EB2BD8">
        <w:rPr>
          <w:spacing w:val="-7"/>
        </w:rPr>
        <w:t xml:space="preserve"> </w:t>
      </w:r>
      <w:r w:rsidRPr="00EB2BD8">
        <w:t>worked</w:t>
      </w:r>
      <w:r w:rsidRPr="00EB2BD8">
        <w:rPr>
          <w:spacing w:val="-7"/>
        </w:rPr>
        <w:t xml:space="preserve"> </w:t>
      </w:r>
      <w:r w:rsidRPr="00EB2BD8">
        <w:t>together</w:t>
      </w:r>
      <w:r w:rsidRPr="00EB2BD8">
        <w:rPr>
          <w:spacing w:val="-7"/>
        </w:rPr>
        <w:t xml:space="preserve"> </w:t>
      </w:r>
      <w:r w:rsidRPr="00EB2BD8">
        <w:t>with</w:t>
      </w:r>
      <w:r w:rsidRPr="00EB2BD8">
        <w:rPr>
          <w:spacing w:val="-7"/>
        </w:rPr>
        <w:t xml:space="preserve"> </w:t>
      </w:r>
      <w:r w:rsidRPr="00EB2BD8">
        <w:t>industry</w:t>
      </w:r>
      <w:r w:rsidRPr="00EB2BD8">
        <w:rPr>
          <w:spacing w:val="-7"/>
        </w:rPr>
        <w:t xml:space="preserve"> </w:t>
      </w:r>
      <w:r w:rsidRPr="00EB2BD8">
        <w:t>to</w:t>
      </w:r>
      <w:r w:rsidRPr="00EB2BD8">
        <w:rPr>
          <w:spacing w:val="-7"/>
        </w:rPr>
        <w:t xml:space="preserve"> </w:t>
      </w:r>
      <w:r w:rsidRPr="00EB2BD8">
        <w:t>have</w:t>
      </w:r>
      <w:r w:rsidRPr="00EB2BD8">
        <w:rPr>
          <w:spacing w:val="-7"/>
        </w:rPr>
        <w:t xml:space="preserve"> </w:t>
      </w:r>
      <w:r w:rsidRPr="00EB2BD8">
        <w:t>a positive impact on their practice.</w:t>
      </w:r>
    </w:p>
    <w:p w14:paraId="3A4FBC6A" w14:textId="77777777" w:rsidR="00084F36" w:rsidRPr="00EB2BD8" w:rsidRDefault="00EB2BD8">
      <w:pPr>
        <w:pStyle w:val="BodyText"/>
        <w:spacing w:before="110" w:line="261" w:lineRule="auto"/>
        <w:ind w:left="866" w:right="359"/>
      </w:pPr>
      <w:r w:rsidRPr="00EB2BD8">
        <w:t>In</w:t>
      </w:r>
      <w:r w:rsidRPr="00EB2BD8">
        <w:rPr>
          <w:spacing w:val="-11"/>
        </w:rPr>
        <w:t xml:space="preserve"> </w:t>
      </w:r>
      <w:r w:rsidRPr="00EB2BD8">
        <w:t>May</w:t>
      </w:r>
      <w:r w:rsidRPr="00EB2BD8">
        <w:rPr>
          <w:spacing w:val="-11"/>
        </w:rPr>
        <w:t xml:space="preserve"> </w:t>
      </w:r>
      <w:r w:rsidRPr="00EB2BD8">
        <w:t>2023,</w:t>
      </w:r>
      <w:r w:rsidRPr="00EB2BD8">
        <w:rPr>
          <w:spacing w:val="-11"/>
        </w:rPr>
        <w:t xml:space="preserve"> </w:t>
      </w:r>
      <w:r w:rsidRPr="00EB2BD8">
        <w:t>the</w:t>
      </w:r>
      <w:r w:rsidRPr="00EB2BD8">
        <w:rPr>
          <w:spacing w:val="-11"/>
        </w:rPr>
        <w:t xml:space="preserve"> </w:t>
      </w:r>
      <w:r w:rsidRPr="00EB2BD8">
        <w:t>National</w:t>
      </w:r>
      <w:r w:rsidRPr="00EB2BD8">
        <w:rPr>
          <w:spacing w:val="-11"/>
        </w:rPr>
        <w:t xml:space="preserve"> </w:t>
      </w:r>
      <w:r w:rsidRPr="00EB2BD8">
        <w:t>Construction</w:t>
      </w:r>
      <w:r w:rsidRPr="00EB2BD8">
        <w:rPr>
          <w:spacing w:val="-11"/>
        </w:rPr>
        <w:t xml:space="preserve"> </w:t>
      </w:r>
      <w:r w:rsidRPr="00EB2BD8">
        <w:t>Code</w:t>
      </w:r>
      <w:r w:rsidRPr="00EB2BD8">
        <w:rPr>
          <w:spacing w:val="-11"/>
        </w:rPr>
        <w:t xml:space="preserve"> </w:t>
      </w:r>
      <w:r w:rsidRPr="00EB2BD8">
        <w:t>(NCC) 2022</w:t>
      </w:r>
      <w:r w:rsidRPr="00EB2BD8">
        <w:rPr>
          <w:spacing w:val="-1"/>
        </w:rPr>
        <w:t xml:space="preserve"> </w:t>
      </w:r>
      <w:r w:rsidRPr="00EB2BD8">
        <w:t>was</w:t>
      </w:r>
      <w:r w:rsidRPr="00EB2BD8">
        <w:rPr>
          <w:spacing w:val="-1"/>
        </w:rPr>
        <w:t xml:space="preserve"> </w:t>
      </w:r>
      <w:r w:rsidRPr="00EB2BD8">
        <w:t>adopted</w:t>
      </w:r>
      <w:r w:rsidRPr="00EB2BD8">
        <w:rPr>
          <w:spacing w:val="-1"/>
        </w:rPr>
        <w:t xml:space="preserve"> </w:t>
      </w:r>
      <w:r w:rsidRPr="00EB2BD8">
        <w:t>in</w:t>
      </w:r>
      <w:r w:rsidRPr="00EB2BD8">
        <w:rPr>
          <w:spacing w:val="-1"/>
        </w:rPr>
        <w:t xml:space="preserve"> </w:t>
      </w:r>
      <w:r w:rsidRPr="00EB2BD8">
        <w:t>part</w:t>
      </w:r>
      <w:r w:rsidRPr="00EB2BD8">
        <w:rPr>
          <w:spacing w:val="-1"/>
        </w:rPr>
        <w:t xml:space="preserve"> </w:t>
      </w:r>
      <w:r w:rsidRPr="00EB2BD8">
        <w:t>in</w:t>
      </w:r>
      <w:r w:rsidRPr="00EB2BD8">
        <w:rPr>
          <w:spacing w:val="-1"/>
        </w:rPr>
        <w:t xml:space="preserve"> </w:t>
      </w:r>
      <w:r w:rsidRPr="00EB2BD8">
        <w:t>Victoria,</w:t>
      </w:r>
      <w:r w:rsidRPr="00EB2BD8">
        <w:rPr>
          <w:spacing w:val="-1"/>
        </w:rPr>
        <w:t xml:space="preserve"> </w:t>
      </w:r>
      <w:r w:rsidRPr="00EB2BD8">
        <w:t>and</w:t>
      </w:r>
      <w:r w:rsidRPr="00EB2BD8">
        <w:rPr>
          <w:spacing w:val="-1"/>
        </w:rPr>
        <w:t xml:space="preserve"> </w:t>
      </w:r>
      <w:r w:rsidRPr="00EB2BD8">
        <w:t xml:space="preserve">included a transition for energy efficiency, liveable housing and condensation management, which is currently proposed to be adopted on </w:t>
      </w:r>
      <w:r w:rsidRPr="00EB2BD8">
        <w:rPr>
          <w:w w:val="95"/>
        </w:rPr>
        <w:t xml:space="preserve">1 </w:t>
      </w:r>
      <w:r w:rsidRPr="00EB2BD8">
        <w:t>May 2024.</w:t>
      </w:r>
    </w:p>
    <w:p w14:paraId="1FFBFC49" w14:textId="77777777" w:rsidR="00084F36" w:rsidRPr="00EB2BD8" w:rsidRDefault="00EB2BD8">
      <w:pPr>
        <w:pStyle w:val="BodyText"/>
        <w:spacing w:before="108" w:line="261" w:lineRule="auto"/>
        <w:ind w:left="866"/>
      </w:pPr>
      <w:r w:rsidRPr="00EB2BD8">
        <w:t>The VBA prepared our people and building and plumbing practitioners for the most significant amendments to the NCC since its inception in 1996. Guidance materials enabling practitioners to better navigate NCC 2022 were published and shared with practitioners</w:t>
      </w:r>
      <w:r w:rsidRPr="00EB2BD8">
        <w:rPr>
          <w:spacing w:val="-1"/>
        </w:rPr>
        <w:t xml:space="preserve"> </w:t>
      </w:r>
      <w:r w:rsidRPr="00EB2BD8">
        <w:t>and</w:t>
      </w:r>
      <w:r w:rsidRPr="00EB2BD8">
        <w:rPr>
          <w:spacing w:val="-1"/>
        </w:rPr>
        <w:t xml:space="preserve"> </w:t>
      </w:r>
      <w:r w:rsidRPr="00EB2BD8">
        <w:t>consumers</w:t>
      </w:r>
      <w:r w:rsidRPr="00EB2BD8">
        <w:rPr>
          <w:spacing w:val="-1"/>
        </w:rPr>
        <w:t xml:space="preserve"> </w:t>
      </w:r>
      <w:r w:rsidRPr="00EB2BD8">
        <w:t>ahead</w:t>
      </w:r>
      <w:r w:rsidRPr="00EB2BD8">
        <w:rPr>
          <w:spacing w:val="-1"/>
        </w:rPr>
        <w:t xml:space="preserve"> </w:t>
      </w:r>
      <w:r w:rsidRPr="00EB2BD8">
        <w:t>of</w:t>
      </w:r>
      <w:r w:rsidRPr="00EB2BD8">
        <w:rPr>
          <w:spacing w:val="-1"/>
        </w:rPr>
        <w:t xml:space="preserve"> </w:t>
      </w:r>
      <w:r w:rsidRPr="00EB2BD8">
        <w:t>their</w:t>
      </w:r>
      <w:r w:rsidRPr="00EB2BD8">
        <w:rPr>
          <w:spacing w:val="-1"/>
        </w:rPr>
        <w:t xml:space="preserve"> </w:t>
      </w:r>
      <w:r w:rsidRPr="00EB2BD8">
        <w:t>adoption</w:t>
      </w:r>
      <w:r w:rsidRPr="00EB2BD8">
        <w:rPr>
          <w:spacing w:val="-1"/>
        </w:rPr>
        <w:t xml:space="preserve"> </w:t>
      </w:r>
      <w:r w:rsidRPr="00EB2BD8">
        <w:t xml:space="preserve">in </w:t>
      </w:r>
      <w:r w:rsidRPr="00EB2BD8">
        <w:rPr>
          <w:spacing w:val="-2"/>
        </w:rPr>
        <w:t>Victoria.</w:t>
      </w:r>
    </w:p>
    <w:p w14:paraId="210A44D4" w14:textId="77777777" w:rsidR="00084F36" w:rsidRPr="00EB2BD8" w:rsidRDefault="00EB2BD8">
      <w:pPr>
        <w:pStyle w:val="BodyText"/>
        <w:spacing w:before="106" w:line="261" w:lineRule="auto"/>
        <w:ind w:left="866" w:right="11"/>
      </w:pPr>
      <w:r w:rsidRPr="00EB2BD8">
        <w:t>To</w:t>
      </w:r>
      <w:r w:rsidRPr="00EB2BD8">
        <w:rPr>
          <w:spacing w:val="-10"/>
        </w:rPr>
        <w:t xml:space="preserve"> </w:t>
      </w:r>
      <w:r w:rsidRPr="00EB2BD8">
        <w:t>supplement</w:t>
      </w:r>
      <w:r w:rsidRPr="00EB2BD8">
        <w:rPr>
          <w:spacing w:val="-10"/>
        </w:rPr>
        <w:t xml:space="preserve"> </w:t>
      </w:r>
      <w:r w:rsidRPr="00EB2BD8">
        <w:t>this,</w:t>
      </w:r>
      <w:r w:rsidRPr="00EB2BD8">
        <w:rPr>
          <w:spacing w:val="-10"/>
        </w:rPr>
        <w:t xml:space="preserve"> </w:t>
      </w:r>
      <w:r w:rsidRPr="00EB2BD8">
        <w:t>the</w:t>
      </w:r>
      <w:r w:rsidRPr="00EB2BD8">
        <w:rPr>
          <w:spacing w:val="-10"/>
        </w:rPr>
        <w:t xml:space="preserve"> </w:t>
      </w:r>
      <w:r w:rsidRPr="00EB2BD8">
        <w:t>VBA</w:t>
      </w:r>
      <w:r w:rsidRPr="00EB2BD8">
        <w:rPr>
          <w:spacing w:val="-10"/>
        </w:rPr>
        <w:t xml:space="preserve"> </w:t>
      </w:r>
      <w:r w:rsidRPr="00EB2BD8">
        <w:t>hosted</w:t>
      </w:r>
      <w:r w:rsidRPr="00EB2BD8">
        <w:rPr>
          <w:spacing w:val="-10"/>
        </w:rPr>
        <w:t xml:space="preserve"> </w:t>
      </w:r>
      <w:r w:rsidRPr="00EB2BD8">
        <w:t>the</w:t>
      </w:r>
      <w:r w:rsidRPr="00EB2BD8">
        <w:rPr>
          <w:spacing w:val="-10"/>
        </w:rPr>
        <w:t xml:space="preserve"> </w:t>
      </w:r>
      <w:r w:rsidRPr="00EB2BD8">
        <w:t>NCC</w:t>
      </w:r>
      <w:r w:rsidRPr="00EB2BD8">
        <w:rPr>
          <w:spacing w:val="-10"/>
        </w:rPr>
        <w:t xml:space="preserve"> </w:t>
      </w:r>
      <w:r w:rsidRPr="00EB2BD8">
        <w:t>Roadshow in September and October 2022. The Roadshow comprised 15 in-person events held across the state</w:t>
      </w:r>
    </w:p>
    <w:p w14:paraId="21FF375C" w14:textId="77777777" w:rsidR="00084F36" w:rsidRPr="00EB2BD8" w:rsidRDefault="00EB2BD8">
      <w:pPr>
        <w:pStyle w:val="BodyText"/>
        <w:spacing w:line="261" w:lineRule="auto"/>
        <w:ind w:left="866" w:right="125"/>
      </w:pPr>
      <w:r w:rsidRPr="00EB2BD8">
        <w:t>to deliver important information about NCC 2022, with</w:t>
      </w:r>
      <w:r w:rsidRPr="00EB2BD8">
        <w:rPr>
          <w:spacing w:val="-13"/>
        </w:rPr>
        <w:t xml:space="preserve"> </w:t>
      </w:r>
      <w:r w:rsidRPr="00EB2BD8">
        <w:t>3,000</w:t>
      </w:r>
      <w:r w:rsidRPr="00EB2BD8">
        <w:rPr>
          <w:spacing w:val="-13"/>
        </w:rPr>
        <w:t xml:space="preserve"> </w:t>
      </w:r>
      <w:r w:rsidRPr="00EB2BD8">
        <w:t>practitioners</w:t>
      </w:r>
      <w:r w:rsidRPr="00EB2BD8">
        <w:rPr>
          <w:spacing w:val="-13"/>
        </w:rPr>
        <w:t xml:space="preserve"> </w:t>
      </w:r>
      <w:r w:rsidRPr="00EB2BD8">
        <w:t>attending.</w:t>
      </w:r>
      <w:r w:rsidRPr="00EB2BD8">
        <w:rPr>
          <w:spacing w:val="-13"/>
        </w:rPr>
        <w:t xml:space="preserve"> </w:t>
      </w:r>
      <w:r w:rsidRPr="00EB2BD8">
        <w:t>The</w:t>
      </w:r>
      <w:r w:rsidRPr="00EB2BD8">
        <w:rPr>
          <w:spacing w:val="-13"/>
        </w:rPr>
        <w:t xml:space="preserve"> </w:t>
      </w:r>
      <w:r w:rsidRPr="00EB2BD8">
        <w:t>VBA</w:t>
      </w:r>
      <w:r w:rsidRPr="00EB2BD8">
        <w:rPr>
          <w:spacing w:val="-13"/>
        </w:rPr>
        <w:t xml:space="preserve"> </w:t>
      </w:r>
      <w:r w:rsidRPr="00EB2BD8">
        <w:t>continues to provide guidance to practitioners and work collaboratively with industry to ensure these changes</w:t>
      </w:r>
    </w:p>
    <w:p w14:paraId="56FB7CB1" w14:textId="77777777" w:rsidR="00084F36" w:rsidRPr="00EB2BD8" w:rsidRDefault="00EB2BD8">
      <w:pPr>
        <w:pStyle w:val="BodyText"/>
        <w:spacing w:line="261" w:lineRule="auto"/>
        <w:ind w:left="866" w:right="11"/>
      </w:pPr>
      <w:r w:rsidRPr="00EB2BD8">
        <w:t>are</w:t>
      </w:r>
      <w:r w:rsidRPr="00EB2BD8">
        <w:rPr>
          <w:spacing w:val="-1"/>
        </w:rPr>
        <w:t xml:space="preserve"> </w:t>
      </w:r>
      <w:r w:rsidRPr="00EB2BD8">
        <w:t>understood</w:t>
      </w:r>
      <w:r w:rsidRPr="00EB2BD8">
        <w:rPr>
          <w:spacing w:val="-1"/>
        </w:rPr>
        <w:t xml:space="preserve"> </w:t>
      </w:r>
      <w:r w:rsidRPr="00EB2BD8">
        <w:t>and</w:t>
      </w:r>
      <w:r w:rsidRPr="00EB2BD8">
        <w:rPr>
          <w:spacing w:val="-1"/>
        </w:rPr>
        <w:t xml:space="preserve"> </w:t>
      </w:r>
      <w:r w:rsidRPr="00EB2BD8">
        <w:t>adopted</w:t>
      </w:r>
      <w:r w:rsidRPr="00EB2BD8">
        <w:rPr>
          <w:spacing w:val="-1"/>
        </w:rPr>
        <w:t xml:space="preserve"> </w:t>
      </w:r>
      <w:r w:rsidRPr="00EB2BD8">
        <w:t>in</w:t>
      </w:r>
      <w:r w:rsidRPr="00EB2BD8">
        <w:rPr>
          <w:spacing w:val="-1"/>
        </w:rPr>
        <w:t xml:space="preserve"> </w:t>
      </w:r>
      <w:r w:rsidRPr="00EB2BD8">
        <w:t>work</w:t>
      </w:r>
      <w:r w:rsidRPr="00EB2BD8">
        <w:rPr>
          <w:spacing w:val="-1"/>
        </w:rPr>
        <w:t xml:space="preserve"> </w:t>
      </w:r>
      <w:r w:rsidRPr="00EB2BD8">
        <w:t>practices</w:t>
      </w:r>
      <w:r w:rsidRPr="00EB2BD8">
        <w:rPr>
          <w:spacing w:val="-1"/>
        </w:rPr>
        <w:t xml:space="preserve"> </w:t>
      </w:r>
      <w:r w:rsidRPr="00EB2BD8">
        <w:t>via</w:t>
      </w:r>
      <w:r w:rsidRPr="00EB2BD8">
        <w:rPr>
          <w:spacing w:val="-1"/>
        </w:rPr>
        <w:t xml:space="preserve"> </w:t>
      </w:r>
      <w:r w:rsidRPr="00EB2BD8">
        <w:t xml:space="preserve">our </w:t>
      </w:r>
      <w:r w:rsidRPr="00EB2BD8">
        <w:rPr>
          <w:w w:val="105"/>
        </w:rPr>
        <w:t>Practitioner</w:t>
      </w:r>
      <w:r w:rsidRPr="00EB2BD8">
        <w:rPr>
          <w:spacing w:val="-2"/>
          <w:w w:val="105"/>
        </w:rPr>
        <w:t xml:space="preserve"> </w:t>
      </w:r>
      <w:r w:rsidRPr="00EB2BD8">
        <w:rPr>
          <w:w w:val="105"/>
        </w:rPr>
        <w:t>Education</w:t>
      </w:r>
      <w:r w:rsidRPr="00EB2BD8">
        <w:rPr>
          <w:spacing w:val="-2"/>
          <w:w w:val="105"/>
        </w:rPr>
        <w:t xml:space="preserve"> </w:t>
      </w:r>
      <w:r w:rsidRPr="00EB2BD8">
        <w:rPr>
          <w:w w:val="105"/>
        </w:rPr>
        <w:t>Series</w:t>
      </w:r>
      <w:r w:rsidRPr="00EB2BD8">
        <w:rPr>
          <w:spacing w:val="-2"/>
          <w:w w:val="105"/>
        </w:rPr>
        <w:t xml:space="preserve"> </w:t>
      </w:r>
      <w:r w:rsidRPr="00EB2BD8">
        <w:rPr>
          <w:w w:val="105"/>
        </w:rPr>
        <w:t>and</w:t>
      </w:r>
      <w:r w:rsidRPr="00EB2BD8">
        <w:rPr>
          <w:spacing w:val="-2"/>
          <w:w w:val="105"/>
        </w:rPr>
        <w:t xml:space="preserve"> </w:t>
      </w:r>
      <w:r w:rsidRPr="00EB2BD8">
        <w:rPr>
          <w:w w:val="105"/>
        </w:rPr>
        <w:t>regularly</w:t>
      </w:r>
      <w:r w:rsidRPr="00EB2BD8">
        <w:rPr>
          <w:spacing w:val="-2"/>
          <w:w w:val="105"/>
        </w:rPr>
        <w:t xml:space="preserve"> </w:t>
      </w:r>
      <w:r w:rsidRPr="00EB2BD8">
        <w:rPr>
          <w:w w:val="105"/>
        </w:rPr>
        <w:t>updated Practice</w:t>
      </w:r>
      <w:r w:rsidRPr="00EB2BD8">
        <w:rPr>
          <w:spacing w:val="-9"/>
          <w:w w:val="105"/>
        </w:rPr>
        <w:t xml:space="preserve"> </w:t>
      </w:r>
      <w:r w:rsidRPr="00EB2BD8">
        <w:rPr>
          <w:w w:val="105"/>
        </w:rPr>
        <w:t>Notes.</w:t>
      </w:r>
    </w:p>
    <w:p w14:paraId="08EB7BF4" w14:textId="77777777" w:rsidR="00084F36" w:rsidRPr="00EB2BD8" w:rsidRDefault="00EB2BD8">
      <w:pPr>
        <w:pStyle w:val="BodyText"/>
        <w:spacing w:before="104" w:line="261" w:lineRule="auto"/>
        <w:ind w:left="866" w:right="352"/>
      </w:pPr>
      <w:r w:rsidRPr="00EB2BD8">
        <w:t>The VBA inspected 8,233 building permits as part of its flagship Proactive Inspections Program (PIP) and</w:t>
      </w:r>
      <w:r w:rsidRPr="00EB2BD8">
        <w:rPr>
          <w:spacing w:val="-13"/>
        </w:rPr>
        <w:t xml:space="preserve"> </w:t>
      </w:r>
      <w:r w:rsidRPr="00EB2BD8">
        <w:t>conducted</w:t>
      </w:r>
      <w:r w:rsidRPr="00EB2BD8">
        <w:rPr>
          <w:spacing w:val="-13"/>
        </w:rPr>
        <w:t xml:space="preserve"> </w:t>
      </w:r>
      <w:r w:rsidRPr="00EB2BD8">
        <w:t>7,422</w:t>
      </w:r>
      <w:r w:rsidRPr="00EB2BD8">
        <w:rPr>
          <w:spacing w:val="-13"/>
        </w:rPr>
        <w:t xml:space="preserve"> </w:t>
      </w:r>
      <w:r w:rsidRPr="00EB2BD8">
        <w:t>plumbing</w:t>
      </w:r>
      <w:r w:rsidRPr="00EB2BD8">
        <w:rPr>
          <w:spacing w:val="-13"/>
        </w:rPr>
        <w:t xml:space="preserve"> </w:t>
      </w:r>
      <w:r w:rsidRPr="00EB2BD8">
        <w:t>audits</w:t>
      </w:r>
      <w:r w:rsidRPr="00EB2BD8">
        <w:rPr>
          <w:spacing w:val="-13"/>
        </w:rPr>
        <w:t xml:space="preserve"> </w:t>
      </w:r>
      <w:r w:rsidRPr="00EB2BD8">
        <w:t>and</w:t>
      </w:r>
      <w:r w:rsidRPr="00EB2BD8">
        <w:rPr>
          <w:spacing w:val="-13"/>
        </w:rPr>
        <w:t xml:space="preserve"> </w:t>
      </w:r>
      <w:r w:rsidRPr="00EB2BD8">
        <w:t>drainage inspections as part of the Plumbing Audit Program</w:t>
      </w:r>
    </w:p>
    <w:p w14:paraId="4CFEF776" w14:textId="77777777" w:rsidR="00084F36" w:rsidRPr="00EB2BD8" w:rsidRDefault="00EB2BD8">
      <w:pPr>
        <w:pStyle w:val="BodyText"/>
        <w:spacing w:line="261" w:lineRule="auto"/>
        <w:ind w:left="866" w:right="125"/>
      </w:pPr>
      <w:r w:rsidRPr="00EB2BD8">
        <w:t>(PAP).</w:t>
      </w:r>
      <w:r w:rsidRPr="00EB2BD8">
        <w:rPr>
          <w:spacing w:val="-7"/>
        </w:rPr>
        <w:t xml:space="preserve"> </w:t>
      </w:r>
      <w:r w:rsidRPr="00EB2BD8">
        <w:t>Our</w:t>
      </w:r>
      <w:r w:rsidRPr="00EB2BD8">
        <w:rPr>
          <w:spacing w:val="-7"/>
        </w:rPr>
        <w:t xml:space="preserve"> </w:t>
      </w:r>
      <w:r w:rsidRPr="00EB2BD8">
        <w:t>risk-based</w:t>
      </w:r>
      <w:r w:rsidRPr="00EB2BD8">
        <w:rPr>
          <w:spacing w:val="-7"/>
        </w:rPr>
        <w:t xml:space="preserve"> </w:t>
      </w:r>
      <w:r w:rsidRPr="00EB2BD8">
        <w:t>approach</w:t>
      </w:r>
      <w:r w:rsidRPr="00EB2BD8">
        <w:rPr>
          <w:spacing w:val="-7"/>
        </w:rPr>
        <w:t xml:space="preserve"> </w:t>
      </w:r>
      <w:r w:rsidRPr="00EB2BD8">
        <w:t>to</w:t>
      </w:r>
      <w:r w:rsidRPr="00EB2BD8">
        <w:rPr>
          <w:spacing w:val="-7"/>
        </w:rPr>
        <w:t xml:space="preserve"> </w:t>
      </w:r>
      <w:r w:rsidRPr="00EB2BD8">
        <w:t>identifying</w:t>
      </w:r>
      <w:r w:rsidRPr="00EB2BD8">
        <w:rPr>
          <w:spacing w:val="-7"/>
        </w:rPr>
        <w:t xml:space="preserve"> </w:t>
      </w:r>
      <w:r w:rsidRPr="00EB2BD8">
        <w:t>sites</w:t>
      </w:r>
      <w:r w:rsidRPr="00EB2BD8">
        <w:rPr>
          <w:spacing w:val="-7"/>
        </w:rPr>
        <w:t xml:space="preserve"> </w:t>
      </w:r>
      <w:r w:rsidRPr="00EB2BD8">
        <w:t xml:space="preserve">for inspection led to 3,389 notifications sent to building and plumbing practitioners to rectify non-compliant work. This ensures consumers are not out of pocket, as practitioners are required to promptly rectify non- compliant work, maintaining the integrity of the built </w:t>
      </w:r>
      <w:r w:rsidRPr="00EB2BD8">
        <w:rPr>
          <w:spacing w:val="-2"/>
        </w:rPr>
        <w:t>environment.</w:t>
      </w:r>
    </w:p>
    <w:p w14:paraId="6C685011" w14:textId="77777777" w:rsidR="00084F36" w:rsidRPr="00EB2BD8" w:rsidRDefault="00EB2BD8">
      <w:pPr>
        <w:spacing w:before="120" w:line="218" w:lineRule="auto"/>
        <w:ind w:left="435" w:right="893"/>
        <w:rPr>
          <w:rFonts w:ascii="Arial" w:hAnsi="Arial" w:cs="Arial"/>
          <w:b/>
          <w:iCs/>
          <w:sz w:val="34"/>
        </w:rPr>
      </w:pPr>
      <w:r w:rsidRPr="00EB2BD8">
        <w:br w:type="column"/>
      </w:r>
      <w:r w:rsidRPr="00EB2BD8">
        <w:rPr>
          <w:rFonts w:ascii="Arial" w:hAnsi="Arial" w:cs="Arial"/>
          <w:b/>
          <w:iCs/>
          <w:sz w:val="34"/>
        </w:rPr>
        <w:t>“The</w:t>
      </w:r>
      <w:r w:rsidRPr="00EB2BD8">
        <w:rPr>
          <w:rFonts w:ascii="Arial" w:hAnsi="Arial" w:cs="Arial"/>
          <w:b/>
          <w:iCs/>
          <w:spacing w:val="-2"/>
          <w:sz w:val="34"/>
        </w:rPr>
        <w:t xml:space="preserve"> </w:t>
      </w:r>
      <w:r w:rsidRPr="00EB2BD8">
        <w:rPr>
          <w:rFonts w:ascii="Arial" w:hAnsi="Arial" w:cs="Arial"/>
          <w:b/>
          <w:iCs/>
          <w:sz w:val="34"/>
        </w:rPr>
        <w:t>VBA</w:t>
      </w:r>
      <w:r w:rsidRPr="00EB2BD8">
        <w:rPr>
          <w:rFonts w:ascii="Arial" w:hAnsi="Arial" w:cs="Arial"/>
          <w:b/>
          <w:iCs/>
          <w:spacing w:val="-2"/>
          <w:sz w:val="34"/>
        </w:rPr>
        <w:t xml:space="preserve"> </w:t>
      </w:r>
      <w:r w:rsidRPr="00EB2BD8">
        <w:rPr>
          <w:rFonts w:ascii="Arial" w:hAnsi="Arial" w:cs="Arial"/>
          <w:b/>
          <w:iCs/>
          <w:sz w:val="34"/>
        </w:rPr>
        <w:t>continues</w:t>
      </w:r>
      <w:r w:rsidRPr="00EB2BD8">
        <w:rPr>
          <w:rFonts w:ascii="Arial" w:hAnsi="Arial" w:cs="Arial"/>
          <w:b/>
          <w:iCs/>
          <w:spacing w:val="-2"/>
          <w:sz w:val="34"/>
        </w:rPr>
        <w:t xml:space="preserve"> </w:t>
      </w:r>
      <w:r w:rsidRPr="00EB2BD8">
        <w:rPr>
          <w:rFonts w:ascii="Arial" w:hAnsi="Arial" w:cs="Arial"/>
          <w:b/>
          <w:iCs/>
          <w:sz w:val="34"/>
        </w:rPr>
        <w:t>to provide guidance to practitioners</w:t>
      </w:r>
      <w:r w:rsidRPr="00EB2BD8">
        <w:rPr>
          <w:rFonts w:ascii="Arial" w:hAnsi="Arial" w:cs="Arial"/>
          <w:b/>
          <w:iCs/>
          <w:spacing w:val="-15"/>
          <w:sz w:val="34"/>
        </w:rPr>
        <w:t xml:space="preserve"> </w:t>
      </w:r>
      <w:r w:rsidRPr="00EB2BD8">
        <w:rPr>
          <w:rFonts w:ascii="Arial" w:hAnsi="Arial" w:cs="Arial"/>
          <w:b/>
          <w:iCs/>
          <w:sz w:val="34"/>
        </w:rPr>
        <w:t>and</w:t>
      </w:r>
      <w:r w:rsidRPr="00EB2BD8">
        <w:rPr>
          <w:rFonts w:ascii="Arial" w:hAnsi="Arial" w:cs="Arial"/>
          <w:b/>
          <w:iCs/>
          <w:spacing w:val="-15"/>
          <w:sz w:val="34"/>
        </w:rPr>
        <w:t xml:space="preserve"> </w:t>
      </w:r>
      <w:r w:rsidRPr="00EB2BD8">
        <w:rPr>
          <w:rFonts w:ascii="Arial" w:hAnsi="Arial" w:cs="Arial"/>
          <w:b/>
          <w:iCs/>
          <w:sz w:val="34"/>
        </w:rPr>
        <w:t xml:space="preserve">work </w:t>
      </w:r>
      <w:r w:rsidRPr="00EB2BD8">
        <w:rPr>
          <w:rFonts w:ascii="Arial" w:hAnsi="Arial" w:cs="Arial"/>
          <w:b/>
          <w:iCs/>
          <w:spacing w:val="-6"/>
          <w:sz w:val="34"/>
        </w:rPr>
        <w:t>collaboratively</w:t>
      </w:r>
      <w:r w:rsidRPr="00EB2BD8">
        <w:rPr>
          <w:rFonts w:ascii="Arial" w:hAnsi="Arial" w:cs="Arial"/>
          <w:b/>
          <w:iCs/>
          <w:spacing w:val="-32"/>
          <w:sz w:val="34"/>
        </w:rPr>
        <w:t xml:space="preserve"> </w:t>
      </w:r>
      <w:r w:rsidRPr="00EB2BD8">
        <w:rPr>
          <w:rFonts w:ascii="Arial" w:hAnsi="Arial" w:cs="Arial"/>
          <w:b/>
          <w:iCs/>
          <w:spacing w:val="-6"/>
          <w:sz w:val="34"/>
        </w:rPr>
        <w:t>with</w:t>
      </w:r>
      <w:r w:rsidRPr="00EB2BD8">
        <w:rPr>
          <w:rFonts w:ascii="Arial" w:hAnsi="Arial" w:cs="Arial"/>
          <w:b/>
          <w:iCs/>
          <w:spacing w:val="-30"/>
          <w:sz w:val="34"/>
        </w:rPr>
        <w:t xml:space="preserve"> </w:t>
      </w:r>
      <w:r w:rsidRPr="00EB2BD8">
        <w:rPr>
          <w:rFonts w:ascii="Arial" w:hAnsi="Arial" w:cs="Arial"/>
          <w:b/>
          <w:iCs/>
          <w:spacing w:val="-6"/>
          <w:sz w:val="34"/>
        </w:rPr>
        <w:t xml:space="preserve">industry </w:t>
      </w:r>
      <w:r w:rsidRPr="00EB2BD8">
        <w:rPr>
          <w:rFonts w:ascii="Arial" w:hAnsi="Arial" w:cs="Arial"/>
          <w:b/>
          <w:iCs/>
          <w:sz w:val="34"/>
        </w:rPr>
        <w:t>to</w:t>
      </w:r>
      <w:r w:rsidRPr="00EB2BD8">
        <w:rPr>
          <w:rFonts w:ascii="Arial" w:hAnsi="Arial" w:cs="Arial"/>
          <w:b/>
          <w:iCs/>
          <w:spacing w:val="-7"/>
          <w:sz w:val="34"/>
        </w:rPr>
        <w:t xml:space="preserve"> </w:t>
      </w:r>
      <w:r w:rsidRPr="00EB2BD8">
        <w:rPr>
          <w:rFonts w:ascii="Arial" w:hAnsi="Arial" w:cs="Arial"/>
          <w:b/>
          <w:iCs/>
          <w:sz w:val="34"/>
        </w:rPr>
        <w:t>ensure</w:t>
      </w:r>
      <w:r w:rsidRPr="00EB2BD8">
        <w:rPr>
          <w:rFonts w:ascii="Arial" w:hAnsi="Arial" w:cs="Arial"/>
          <w:b/>
          <w:iCs/>
          <w:spacing w:val="-7"/>
          <w:sz w:val="34"/>
        </w:rPr>
        <w:t xml:space="preserve"> </w:t>
      </w:r>
      <w:r w:rsidRPr="00EB2BD8">
        <w:rPr>
          <w:rFonts w:ascii="Arial" w:hAnsi="Arial" w:cs="Arial"/>
          <w:b/>
          <w:iCs/>
          <w:sz w:val="34"/>
        </w:rPr>
        <w:t>NCC</w:t>
      </w:r>
      <w:r w:rsidRPr="00EB2BD8">
        <w:rPr>
          <w:rFonts w:ascii="Arial" w:hAnsi="Arial" w:cs="Arial"/>
          <w:b/>
          <w:iCs/>
          <w:spacing w:val="-7"/>
          <w:sz w:val="34"/>
        </w:rPr>
        <w:t xml:space="preserve"> </w:t>
      </w:r>
      <w:r w:rsidRPr="00EB2BD8">
        <w:rPr>
          <w:rFonts w:ascii="Arial" w:hAnsi="Arial" w:cs="Arial"/>
          <w:b/>
          <w:iCs/>
          <w:sz w:val="34"/>
        </w:rPr>
        <w:t>changes</w:t>
      </w:r>
      <w:r w:rsidRPr="00EB2BD8">
        <w:rPr>
          <w:rFonts w:ascii="Arial" w:hAnsi="Arial" w:cs="Arial"/>
          <w:b/>
          <w:iCs/>
          <w:spacing w:val="-7"/>
          <w:sz w:val="34"/>
        </w:rPr>
        <w:t xml:space="preserve"> </w:t>
      </w:r>
      <w:r w:rsidRPr="00EB2BD8">
        <w:rPr>
          <w:rFonts w:ascii="Arial" w:hAnsi="Arial" w:cs="Arial"/>
          <w:b/>
          <w:iCs/>
          <w:sz w:val="34"/>
        </w:rPr>
        <w:t>are understood</w:t>
      </w:r>
      <w:r w:rsidRPr="00EB2BD8">
        <w:rPr>
          <w:rFonts w:ascii="Arial" w:hAnsi="Arial" w:cs="Arial"/>
          <w:b/>
          <w:iCs/>
          <w:spacing w:val="-12"/>
          <w:sz w:val="34"/>
        </w:rPr>
        <w:t xml:space="preserve"> </w:t>
      </w:r>
      <w:r w:rsidRPr="00EB2BD8">
        <w:rPr>
          <w:rFonts w:ascii="Arial" w:hAnsi="Arial" w:cs="Arial"/>
          <w:b/>
          <w:iCs/>
          <w:sz w:val="34"/>
        </w:rPr>
        <w:t>and</w:t>
      </w:r>
      <w:r w:rsidRPr="00EB2BD8">
        <w:rPr>
          <w:rFonts w:ascii="Arial" w:hAnsi="Arial" w:cs="Arial"/>
          <w:b/>
          <w:iCs/>
          <w:spacing w:val="-12"/>
          <w:sz w:val="34"/>
        </w:rPr>
        <w:t xml:space="preserve"> </w:t>
      </w:r>
      <w:r w:rsidRPr="00EB2BD8">
        <w:rPr>
          <w:rFonts w:ascii="Arial" w:hAnsi="Arial" w:cs="Arial"/>
          <w:b/>
          <w:iCs/>
          <w:sz w:val="34"/>
        </w:rPr>
        <w:t>adopted</w:t>
      </w:r>
      <w:r w:rsidRPr="00EB2BD8">
        <w:rPr>
          <w:rFonts w:ascii="Arial" w:hAnsi="Arial" w:cs="Arial"/>
          <w:b/>
          <w:iCs/>
          <w:spacing w:val="-13"/>
          <w:sz w:val="34"/>
        </w:rPr>
        <w:t xml:space="preserve"> </w:t>
      </w:r>
      <w:r w:rsidRPr="00EB2BD8">
        <w:rPr>
          <w:rFonts w:ascii="Arial" w:hAnsi="Arial" w:cs="Arial"/>
          <w:b/>
          <w:iCs/>
          <w:sz w:val="34"/>
        </w:rPr>
        <w:t>in work practices.”</w:t>
      </w:r>
    </w:p>
    <w:p w14:paraId="78D49315" w14:textId="77777777" w:rsidR="00084F36" w:rsidRPr="00EB2BD8" w:rsidRDefault="00EB2BD8">
      <w:pPr>
        <w:pStyle w:val="BodyText"/>
        <w:spacing w:before="173" w:line="261" w:lineRule="auto"/>
        <w:ind w:left="410" w:right="875"/>
      </w:pPr>
      <w:r w:rsidRPr="00EB2BD8">
        <w:t>The heavy rainfalls and flooding experienced in October</w:t>
      </w:r>
      <w:r w:rsidRPr="00EB2BD8">
        <w:rPr>
          <w:spacing w:val="-2"/>
        </w:rPr>
        <w:t xml:space="preserve"> </w:t>
      </w:r>
      <w:r w:rsidRPr="00EB2BD8">
        <w:t>2022</w:t>
      </w:r>
      <w:r w:rsidRPr="00EB2BD8">
        <w:rPr>
          <w:spacing w:val="-2"/>
        </w:rPr>
        <w:t xml:space="preserve"> </w:t>
      </w:r>
      <w:r w:rsidRPr="00EB2BD8">
        <w:t>impacted</w:t>
      </w:r>
      <w:r w:rsidRPr="00EB2BD8">
        <w:rPr>
          <w:spacing w:val="-2"/>
        </w:rPr>
        <w:t xml:space="preserve"> </w:t>
      </w:r>
      <w:r w:rsidRPr="00EB2BD8">
        <w:t>63</w:t>
      </w:r>
      <w:r w:rsidRPr="00EB2BD8">
        <w:rPr>
          <w:spacing w:val="-2"/>
        </w:rPr>
        <w:t xml:space="preserve"> </w:t>
      </w:r>
      <w:r w:rsidRPr="00EB2BD8">
        <w:t>local</w:t>
      </w:r>
      <w:r w:rsidRPr="00EB2BD8">
        <w:rPr>
          <w:spacing w:val="-2"/>
        </w:rPr>
        <w:t xml:space="preserve"> </w:t>
      </w:r>
      <w:r w:rsidRPr="00EB2BD8">
        <w:t>government</w:t>
      </w:r>
      <w:r w:rsidRPr="00EB2BD8">
        <w:rPr>
          <w:spacing w:val="-2"/>
        </w:rPr>
        <w:t xml:space="preserve"> </w:t>
      </w:r>
      <w:r w:rsidRPr="00EB2BD8">
        <w:t>areas</w:t>
      </w:r>
      <w:r w:rsidRPr="00EB2BD8">
        <w:rPr>
          <w:spacing w:val="-2"/>
        </w:rPr>
        <w:t xml:space="preserve"> </w:t>
      </w:r>
      <w:r w:rsidRPr="00EB2BD8">
        <w:t>and one</w:t>
      </w:r>
      <w:r w:rsidRPr="00EB2BD8">
        <w:rPr>
          <w:spacing w:val="-6"/>
        </w:rPr>
        <w:t xml:space="preserve"> </w:t>
      </w:r>
      <w:r w:rsidRPr="00EB2BD8">
        <w:t>alpine</w:t>
      </w:r>
      <w:r w:rsidRPr="00EB2BD8">
        <w:rPr>
          <w:spacing w:val="-6"/>
        </w:rPr>
        <w:t xml:space="preserve"> </w:t>
      </w:r>
      <w:r w:rsidRPr="00EB2BD8">
        <w:t>resort,</w:t>
      </w:r>
      <w:r w:rsidRPr="00EB2BD8">
        <w:rPr>
          <w:spacing w:val="-6"/>
        </w:rPr>
        <w:t xml:space="preserve"> </w:t>
      </w:r>
      <w:r w:rsidRPr="00EB2BD8">
        <w:t>and</w:t>
      </w:r>
      <w:r w:rsidRPr="00EB2BD8">
        <w:rPr>
          <w:spacing w:val="-6"/>
        </w:rPr>
        <w:t xml:space="preserve"> </w:t>
      </w:r>
      <w:r w:rsidRPr="00EB2BD8">
        <w:t>resulted</w:t>
      </w:r>
      <w:r w:rsidRPr="00EB2BD8">
        <w:rPr>
          <w:spacing w:val="-6"/>
        </w:rPr>
        <w:t xml:space="preserve"> </w:t>
      </w:r>
      <w:r w:rsidRPr="00EB2BD8">
        <w:t>in</w:t>
      </w:r>
      <w:r w:rsidRPr="00EB2BD8">
        <w:rPr>
          <w:spacing w:val="-6"/>
        </w:rPr>
        <w:t xml:space="preserve"> </w:t>
      </w:r>
      <w:r w:rsidRPr="00EB2BD8">
        <w:t>damage</w:t>
      </w:r>
      <w:r w:rsidRPr="00EB2BD8">
        <w:rPr>
          <w:spacing w:val="-6"/>
        </w:rPr>
        <w:t xml:space="preserve"> </w:t>
      </w:r>
      <w:r w:rsidRPr="00EB2BD8">
        <w:t>to</w:t>
      </w:r>
      <w:r w:rsidRPr="00EB2BD8">
        <w:rPr>
          <w:spacing w:val="-6"/>
        </w:rPr>
        <w:t xml:space="preserve"> </w:t>
      </w:r>
      <w:r w:rsidRPr="00EB2BD8">
        <w:t>residential property and community facilities. In our role as regulator, the VBA acted as a key connector between industry, government and local councils to hear about the local impacts of this natural disaster and what preliminary</w:t>
      </w:r>
      <w:r w:rsidRPr="00EB2BD8">
        <w:rPr>
          <w:spacing w:val="-9"/>
        </w:rPr>
        <w:t xml:space="preserve"> </w:t>
      </w:r>
      <w:r w:rsidRPr="00EB2BD8">
        <w:t>issues</w:t>
      </w:r>
      <w:r w:rsidRPr="00EB2BD8">
        <w:rPr>
          <w:spacing w:val="-9"/>
        </w:rPr>
        <w:t xml:space="preserve"> </w:t>
      </w:r>
      <w:r w:rsidRPr="00EB2BD8">
        <w:t>had</w:t>
      </w:r>
      <w:r w:rsidRPr="00EB2BD8">
        <w:rPr>
          <w:spacing w:val="-9"/>
        </w:rPr>
        <w:t xml:space="preserve"> </w:t>
      </w:r>
      <w:r w:rsidRPr="00EB2BD8">
        <w:t>arisen.</w:t>
      </w:r>
      <w:r w:rsidRPr="00EB2BD8">
        <w:rPr>
          <w:spacing w:val="-9"/>
        </w:rPr>
        <w:t xml:space="preserve"> </w:t>
      </w:r>
      <w:r w:rsidRPr="00EB2BD8">
        <w:t>We</w:t>
      </w:r>
      <w:r w:rsidRPr="00EB2BD8">
        <w:rPr>
          <w:spacing w:val="-9"/>
        </w:rPr>
        <w:t xml:space="preserve"> </w:t>
      </w:r>
      <w:r w:rsidRPr="00EB2BD8">
        <w:t>continue</w:t>
      </w:r>
      <w:r w:rsidRPr="00EB2BD8">
        <w:rPr>
          <w:spacing w:val="-9"/>
        </w:rPr>
        <w:t xml:space="preserve"> </w:t>
      </w:r>
      <w:r w:rsidRPr="00EB2BD8">
        <w:t>to</w:t>
      </w:r>
      <w:r w:rsidRPr="00EB2BD8">
        <w:rPr>
          <w:spacing w:val="-9"/>
        </w:rPr>
        <w:t xml:space="preserve"> </w:t>
      </w:r>
      <w:r w:rsidRPr="00EB2BD8">
        <w:t>work</w:t>
      </w:r>
      <w:r w:rsidRPr="00EB2BD8">
        <w:rPr>
          <w:spacing w:val="-9"/>
        </w:rPr>
        <w:t xml:space="preserve"> </w:t>
      </w:r>
      <w:r w:rsidRPr="00EB2BD8">
        <w:t>with government, and provide building surveyors with the knowledge</w:t>
      </w:r>
      <w:r w:rsidRPr="00EB2BD8">
        <w:rPr>
          <w:spacing w:val="-1"/>
        </w:rPr>
        <w:t xml:space="preserve"> </w:t>
      </w:r>
      <w:r w:rsidRPr="00EB2BD8">
        <w:t>they</w:t>
      </w:r>
      <w:r w:rsidRPr="00EB2BD8">
        <w:rPr>
          <w:spacing w:val="-1"/>
        </w:rPr>
        <w:t xml:space="preserve"> </w:t>
      </w:r>
      <w:r w:rsidRPr="00EB2BD8">
        <w:t>need</w:t>
      </w:r>
      <w:r w:rsidRPr="00EB2BD8">
        <w:rPr>
          <w:spacing w:val="-1"/>
        </w:rPr>
        <w:t xml:space="preserve"> </w:t>
      </w:r>
      <w:r w:rsidRPr="00EB2BD8">
        <w:t>to</w:t>
      </w:r>
      <w:r w:rsidRPr="00EB2BD8">
        <w:rPr>
          <w:spacing w:val="-1"/>
        </w:rPr>
        <w:t xml:space="preserve"> </w:t>
      </w:r>
      <w:r w:rsidRPr="00EB2BD8">
        <w:t>make</w:t>
      </w:r>
      <w:r w:rsidRPr="00EB2BD8">
        <w:rPr>
          <w:spacing w:val="-1"/>
        </w:rPr>
        <w:t xml:space="preserve"> </w:t>
      </w:r>
      <w:r w:rsidRPr="00EB2BD8">
        <w:t>decisions</w:t>
      </w:r>
      <w:r w:rsidRPr="00EB2BD8">
        <w:rPr>
          <w:spacing w:val="-1"/>
        </w:rPr>
        <w:t xml:space="preserve"> </w:t>
      </w:r>
      <w:r w:rsidRPr="00EB2BD8">
        <w:t>about</w:t>
      </w:r>
      <w:r w:rsidRPr="00EB2BD8">
        <w:rPr>
          <w:spacing w:val="-1"/>
        </w:rPr>
        <w:t xml:space="preserve"> </w:t>
      </w:r>
      <w:r w:rsidRPr="00EB2BD8">
        <w:t>the</w:t>
      </w:r>
      <w:r w:rsidRPr="00EB2BD8">
        <w:rPr>
          <w:spacing w:val="-1"/>
        </w:rPr>
        <w:t xml:space="preserve"> </w:t>
      </w:r>
      <w:r w:rsidRPr="00EB2BD8">
        <w:t>best path forward for impacted property owners.</w:t>
      </w:r>
    </w:p>
    <w:p w14:paraId="0E1B9706" w14:textId="77777777" w:rsidR="00084F36" w:rsidRPr="00EB2BD8" w:rsidRDefault="00EB2BD8">
      <w:pPr>
        <w:pStyle w:val="BodyText"/>
        <w:spacing w:before="102" w:line="261" w:lineRule="auto"/>
        <w:ind w:left="410" w:right="1035"/>
      </w:pPr>
      <w:r w:rsidRPr="00EB2BD8">
        <w:t>To support higher standards in building surveying, with a focus on upholding professional standards</w:t>
      </w:r>
      <w:r w:rsidRPr="00EB2BD8">
        <w:rPr>
          <w:spacing w:val="40"/>
        </w:rPr>
        <w:t xml:space="preserve"> </w:t>
      </w:r>
      <w:r w:rsidRPr="00EB2BD8">
        <w:t>and acting in the public interest and with integrity, the</w:t>
      </w:r>
      <w:r w:rsidRPr="00EB2BD8">
        <w:rPr>
          <w:spacing w:val="-5"/>
        </w:rPr>
        <w:t xml:space="preserve"> </w:t>
      </w:r>
      <w:r w:rsidRPr="00EB2BD8">
        <w:t>Code</w:t>
      </w:r>
      <w:r w:rsidRPr="00EB2BD8">
        <w:rPr>
          <w:spacing w:val="-5"/>
        </w:rPr>
        <w:t xml:space="preserve"> </w:t>
      </w:r>
      <w:r w:rsidRPr="00EB2BD8">
        <w:t>of</w:t>
      </w:r>
      <w:r w:rsidRPr="00EB2BD8">
        <w:rPr>
          <w:spacing w:val="-5"/>
        </w:rPr>
        <w:t xml:space="preserve"> </w:t>
      </w:r>
      <w:r w:rsidRPr="00EB2BD8">
        <w:t>Conduct</w:t>
      </w:r>
      <w:r w:rsidRPr="00EB2BD8">
        <w:rPr>
          <w:spacing w:val="-5"/>
        </w:rPr>
        <w:t xml:space="preserve"> </w:t>
      </w:r>
      <w:r w:rsidRPr="00EB2BD8">
        <w:t>for</w:t>
      </w:r>
      <w:r w:rsidRPr="00EB2BD8">
        <w:rPr>
          <w:spacing w:val="-5"/>
        </w:rPr>
        <w:t xml:space="preserve"> </w:t>
      </w:r>
      <w:r w:rsidRPr="00EB2BD8">
        <w:t>Building</w:t>
      </w:r>
      <w:r w:rsidRPr="00EB2BD8">
        <w:rPr>
          <w:spacing w:val="-5"/>
        </w:rPr>
        <w:t xml:space="preserve"> </w:t>
      </w:r>
      <w:r w:rsidRPr="00EB2BD8">
        <w:t>Surveyors</w:t>
      </w:r>
      <w:r w:rsidRPr="00EB2BD8">
        <w:rPr>
          <w:spacing w:val="-5"/>
        </w:rPr>
        <w:t xml:space="preserve"> </w:t>
      </w:r>
      <w:r w:rsidRPr="00EB2BD8">
        <w:t>continues to</w:t>
      </w:r>
      <w:r w:rsidRPr="00EB2BD8">
        <w:rPr>
          <w:spacing w:val="-2"/>
        </w:rPr>
        <w:t xml:space="preserve"> </w:t>
      </w:r>
      <w:r w:rsidRPr="00EB2BD8">
        <w:t>be</w:t>
      </w:r>
      <w:r w:rsidRPr="00EB2BD8">
        <w:rPr>
          <w:spacing w:val="-2"/>
        </w:rPr>
        <w:t xml:space="preserve"> </w:t>
      </w:r>
      <w:r w:rsidRPr="00EB2BD8">
        <w:t>applied.</w:t>
      </w:r>
      <w:r w:rsidRPr="00EB2BD8">
        <w:rPr>
          <w:spacing w:val="-2"/>
        </w:rPr>
        <w:t xml:space="preserve"> </w:t>
      </w:r>
      <w:r w:rsidRPr="00EB2BD8">
        <w:t>In</w:t>
      </w:r>
      <w:r w:rsidRPr="00EB2BD8">
        <w:rPr>
          <w:spacing w:val="-2"/>
        </w:rPr>
        <w:t xml:space="preserve"> </w:t>
      </w:r>
      <w:r w:rsidRPr="00EB2BD8">
        <w:t>2022-23,</w:t>
      </w:r>
      <w:r w:rsidRPr="00EB2BD8">
        <w:rPr>
          <w:spacing w:val="-2"/>
        </w:rPr>
        <w:t xml:space="preserve"> </w:t>
      </w:r>
      <w:r w:rsidRPr="00EB2BD8">
        <w:t>86</w:t>
      </w:r>
      <w:r w:rsidRPr="00EB2BD8">
        <w:rPr>
          <w:spacing w:val="-2"/>
        </w:rPr>
        <w:t xml:space="preserve"> </w:t>
      </w:r>
      <w:r w:rsidRPr="00EB2BD8">
        <w:t>Code</w:t>
      </w:r>
      <w:r w:rsidRPr="00EB2BD8">
        <w:rPr>
          <w:spacing w:val="-2"/>
        </w:rPr>
        <w:t xml:space="preserve"> </w:t>
      </w:r>
      <w:r w:rsidRPr="00EB2BD8">
        <w:t>of</w:t>
      </w:r>
      <w:r w:rsidRPr="00EB2BD8">
        <w:rPr>
          <w:spacing w:val="-2"/>
        </w:rPr>
        <w:t xml:space="preserve"> </w:t>
      </w:r>
      <w:r w:rsidRPr="00EB2BD8">
        <w:t>Conduct breaches were recorded, compared to 54 last year.</w:t>
      </w:r>
    </w:p>
    <w:p w14:paraId="537D8789" w14:textId="77777777" w:rsidR="00084F36" w:rsidRPr="00EB2BD8" w:rsidRDefault="00EB2BD8">
      <w:pPr>
        <w:spacing w:line="261" w:lineRule="auto"/>
        <w:ind w:left="410" w:right="759"/>
        <w:rPr>
          <w:sz w:val="18"/>
        </w:rPr>
      </w:pPr>
      <w:r w:rsidRPr="00EB2BD8">
        <w:rPr>
          <w:sz w:val="18"/>
        </w:rPr>
        <w:t xml:space="preserve">Most breaches relate to code 2.5 – </w:t>
      </w:r>
      <w:r w:rsidRPr="00EB2BD8">
        <w:rPr>
          <w:i/>
          <w:sz w:val="18"/>
        </w:rPr>
        <w:t>'When performing statutory functions, ensure all decisions and resulting enforcement actions are reasonable, fair and appropriate'</w:t>
      </w:r>
      <w:r w:rsidRPr="00EB2BD8">
        <w:rPr>
          <w:sz w:val="18"/>
        </w:rPr>
        <w:t>. In many cases, the VBA has taken an educative approach to non-compliances, however adherence to the Code is an area the VBA is committed to improving through collaboration with the building surveying</w:t>
      </w:r>
      <w:r w:rsidRPr="00EB2BD8">
        <w:rPr>
          <w:spacing w:val="-6"/>
          <w:sz w:val="18"/>
        </w:rPr>
        <w:t xml:space="preserve"> </w:t>
      </w:r>
      <w:r w:rsidRPr="00EB2BD8">
        <w:rPr>
          <w:sz w:val="18"/>
        </w:rPr>
        <w:t>profession.</w:t>
      </w:r>
    </w:p>
    <w:p w14:paraId="11C5821E" w14:textId="77777777" w:rsidR="00084F36" w:rsidRPr="00EB2BD8" w:rsidRDefault="00084F36">
      <w:pPr>
        <w:spacing w:line="261" w:lineRule="auto"/>
        <w:rPr>
          <w:sz w:val="18"/>
        </w:rPr>
        <w:sectPr w:rsidR="00084F36" w:rsidRPr="00EB2BD8" w:rsidSect="006D75B2">
          <w:type w:val="continuous"/>
          <w:pgSz w:w="11910" w:h="16840"/>
          <w:pgMar w:top="1920" w:right="0" w:bottom="280" w:left="0" w:header="0" w:footer="528" w:gutter="0"/>
          <w:cols w:num="2" w:space="720" w:equalWidth="0">
            <w:col w:w="5729" w:space="40"/>
            <w:col w:w="6141"/>
          </w:cols>
        </w:sectPr>
      </w:pPr>
    </w:p>
    <w:p w14:paraId="611D693A" w14:textId="77777777" w:rsidR="00084F36" w:rsidRPr="00EB2BD8" w:rsidRDefault="00084F36">
      <w:pPr>
        <w:pStyle w:val="BodyText"/>
        <w:rPr>
          <w:sz w:val="20"/>
        </w:rPr>
      </w:pPr>
    </w:p>
    <w:p w14:paraId="405AB5FB" w14:textId="77777777" w:rsidR="00084F36" w:rsidRPr="00EB2BD8" w:rsidRDefault="00084F36">
      <w:pPr>
        <w:pStyle w:val="BodyText"/>
        <w:rPr>
          <w:sz w:val="20"/>
        </w:rPr>
      </w:pPr>
    </w:p>
    <w:p w14:paraId="730424D7" w14:textId="77777777" w:rsidR="00084F36" w:rsidRPr="00EB2BD8" w:rsidRDefault="00084F36">
      <w:pPr>
        <w:pStyle w:val="BodyText"/>
        <w:rPr>
          <w:sz w:val="20"/>
        </w:rPr>
      </w:pPr>
    </w:p>
    <w:p w14:paraId="010630F7" w14:textId="77777777" w:rsidR="00084F36" w:rsidRPr="00EB2BD8" w:rsidRDefault="00084F36">
      <w:pPr>
        <w:pStyle w:val="BodyText"/>
        <w:rPr>
          <w:sz w:val="20"/>
        </w:rPr>
      </w:pPr>
    </w:p>
    <w:p w14:paraId="659113B9" w14:textId="77777777" w:rsidR="00084F36" w:rsidRPr="00EB2BD8" w:rsidRDefault="00084F36">
      <w:pPr>
        <w:pStyle w:val="BodyText"/>
        <w:spacing w:before="3"/>
        <w:rPr>
          <w:sz w:val="17"/>
        </w:rPr>
      </w:pPr>
    </w:p>
    <w:p w14:paraId="09AE8F8E" w14:textId="77777777" w:rsidR="00084F36" w:rsidRPr="00EB2BD8" w:rsidRDefault="00084F36">
      <w:pPr>
        <w:rPr>
          <w:sz w:val="17"/>
        </w:rPr>
        <w:sectPr w:rsidR="00084F36" w:rsidRPr="00EB2BD8" w:rsidSect="006D75B2">
          <w:footerReference w:type="default" r:id="rId36"/>
          <w:pgSz w:w="11910" w:h="16840"/>
          <w:pgMar w:top="1080" w:right="0" w:bottom="720" w:left="0" w:header="0" w:footer="528" w:gutter="0"/>
          <w:cols w:space="720"/>
        </w:sectPr>
      </w:pPr>
    </w:p>
    <w:p w14:paraId="08C5F662" w14:textId="0C1B64A3" w:rsidR="00084F36" w:rsidRPr="00EB2BD8" w:rsidRDefault="00EB2BD8">
      <w:pPr>
        <w:pStyle w:val="BodyText"/>
        <w:spacing w:before="95" w:line="261" w:lineRule="auto"/>
        <w:ind w:left="866" w:right="204"/>
      </w:pPr>
      <w:r w:rsidRPr="00EB2BD8">
        <w:t xml:space="preserve">Legislative reforms that will reshape the regulatory landscape in Victoria were passed in June 2023, with a key focus on consumer protection. The </w:t>
      </w:r>
      <w:r w:rsidRPr="00EB2BD8">
        <w:rPr>
          <w:i/>
        </w:rPr>
        <w:t xml:space="preserve">Building Legislation Amendment Act 2023 </w:t>
      </w:r>
      <w:r w:rsidRPr="00EB2BD8">
        <w:t>creates several provisions, which have not yet taken effect, but will impact</w:t>
      </w:r>
      <w:r w:rsidRPr="00EB2BD8">
        <w:rPr>
          <w:spacing w:val="-10"/>
        </w:rPr>
        <w:t xml:space="preserve"> </w:t>
      </w:r>
      <w:r w:rsidRPr="00EB2BD8">
        <w:t>our</w:t>
      </w:r>
      <w:r w:rsidRPr="00EB2BD8">
        <w:rPr>
          <w:spacing w:val="-10"/>
        </w:rPr>
        <w:t xml:space="preserve"> </w:t>
      </w:r>
      <w:r w:rsidRPr="00EB2BD8">
        <w:t>industry.</w:t>
      </w:r>
      <w:r w:rsidRPr="00EB2BD8">
        <w:rPr>
          <w:spacing w:val="-10"/>
        </w:rPr>
        <w:t xml:space="preserve"> </w:t>
      </w:r>
      <w:r w:rsidRPr="00EB2BD8">
        <w:t>These</w:t>
      </w:r>
      <w:r w:rsidRPr="00EB2BD8">
        <w:rPr>
          <w:spacing w:val="-10"/>
        </w:rPr>
        <w:t xml:space="preserve"> </w:t>
      </w:r>
      <w:r w:rsidRPr="00EB2BD8">
        <w:t>include</w:t>
      </w:r>
      <w:r w:rsidRPr="00EB2BD8">
        <w:rPr>
          <w:spacing w:val="-10"/>
        </w:rPr>
        <w:t xml:space="preserve"> </w:t>
      </w:r>
      <w:r w:rsidRPr="00EB2BD8">
        <w:t>the</w:t>
      </w:r>
      <w:r w:rsidRPr="00EB2BD8">
        <w:rPr>
          <w:spacing w:val="-10"/>
        </w:rPr>
        <w:t xml:space="preserve"> </w:t>
      </w:r>
      <w:r w:rsidRPr="00EB2BD8">
        <w:t>creation</w:t>
      </w:r>
      <w:r w:rsidRPr="00EB2BD8">
        <w:rPr>
          <w:spacing w:val="-10"/>
        </w:rPr>
        <w:t xml:space="preserve"> </w:t>
      </w:r>
      <w:r w:rsidRPr="00EB2BD8">
        <w:t>of</w:t>
      </w:r>
      <w:r w:rsidRPr="00EB2BD8">
        <w:rPr>
          <w:spacing w:val="-10"/>
        </w:rPr>
        <w:t xml:space="preserve"> </w:t>
      </w:r>
      <w:r w:rsidRPr="00EB2BD8">
        <w:t>the statutory State Building Surveyor, establishment of a Building Monitor to advocate for consumers and the creation of a building manual. These reforms build</w:t>
      </w:r>
    </w:p>
    <w:p w14:paraId="2D89BF21" w14:textId="77777777" w:rsidR="00084F36" w:rsidRPr="00EB2BD8" w:rsidRDefault="00EB2BD8">
      <w:pPr>
        <w:pStyle w:val="BodyText"/>
        <w:spacing w:line="261" w:lineRule="auto"/>
        <w:ind w:left="866"/>
      </w:pPr>
      <w:r w:rsidRPr="00EB2BD8">
        <w:t>upon</w:t>
      </w:r>
      <w:r w:rsidRPr="00EB2BD8">
        <w:rPr>
          <w:spacing w:val="-4"/>
        </w:rPr>
        <w:t xml:space="preserve"> </w:t>
      </w:r>
      <w:r w:rsidRPr="00EB2BD8">
        <w:t>recommendations</w:t>
      </w:r>
      <w:r w:rsidRPr="00EB2BD8">
        <w:rPr>
          <w:spacing w:val="-4"/>
        </w:rPr>
        <w:t xml:space="preserve"> </w:t>
      </w:r>
      <w:r w:rsidRPr="00EB2BD8">
        <w:t>from</w:t>
      </w:r>
      <w:r w:rsidRPr="00EB2BD8">
        <w:rPr>
          <w:spacing w:val="-4"/>
        </w:rPr>
        <w:t xml:space="preserve"> </w:t>
      </w:r>
      <w:r w:rsidRPr="00EB2BD8">
        <w:t>Stage</w:t>
      </w:r>
      <w:r w:rsidRPr="00EB2BD8">
        <w:rPr>
          <w:spacing w:val="-4"/>
        </w:rPr>
        <w:t xml:space="preserve"> </w:t>
      </w:r>
      <w:r w:rsidRPr="00EB2BD8">
        <w:t>One</w:t>
      </w:r>
      <w:r w:rsidRPr="00EB2BD8">
        <w:rPr>
          <w:spacing w:val="-4"/>
        </w:rPr>
        <w:t xml:space="preserve"> </w:t>
      </w:r>
      <w:r w:rsidRPr="00EB2BD8">
        <w:t>of</w:t>
      </w:r>
      <w:r w:rsidRPr="00EB2BD8">
        <w:rPr>
          <w:spacing w:val="-4"/>
        </w:rPr>
        <w:t xml:space="preserve"> </w:t>
      </w:r>
      <w:r w:rsidRPr="00EB2BD8">
        <w:t>the</w:t>
      </w:r>
      <w:r w:rsidRPr="00EB2BD8">
        <w:rPr>
          <w:spacing w:val="-4"/>
        </w:rPr>
        <w:t xml:space="preserve"> </w:t>
      </w:r>
      <w:r w:rsidRPr="00EB2BD8">
        <w:t>Building System Review’s final report and the VBA will provide updates on the implementation of these provisions.</w:t>
      </w:r>
    </w:p>
    <w:p w14:paraId="1876314D" w14:textId="77777777" w:rsidR="00084F36" w:rsidRPr="00EB2BD8" w:rsidRDefault="00EB2BD8">
      <w:pPr>
        <w:pStyle w:val="BodyText"/>
        <w:spacing w:before="101" w:line="261" w:lineRule="auto"/>
        <w:ind w:left="866" w:right="89"/>
      </w:pPr>
      <w:r w:rsidRPr="00EB2BD8">
        <w:t>The VBA knows there is a challenge with detached permits and the difficulty some Victorians face in finding a private building surveyor or municipal building</w:t>
      </w:r>
      <w:r w:rsidRPr="00EB2BD8">
        <w:rPr>
          <w:spacing w:val="-15"/>
        </w:rPr>
        <w:t xml:space="preserve"> </w:t>
      </w:r>
      <w:r w:rsidRPr="00EB2BD8">
        <w:t>surveyor</w:t>
      </w:r>
      <w:r w:rsidRPr="00EB2BD8">
        <w:rPr>
          <w:spacing w:val="-14"/>
        </w:rPr>
        <w:t xml:space="preserve"> </w:t>
      </w:r>
      <w:r w:rsidRPr="00EB2BD8">
        <w:t>to</w:t>
      </w:r>
      <w:r w:rsidRPr="00EB2BD8">
        <w:rPr>
          <w:spacing w:val="-14"/>
        </w:rPr>
        <w:t xml:space="preserve"> </w:t>
      </w:r>
      <w:r w:rsidRPr="00EB2BD8">
        <w:t>take</w:t>
      </w:r>
      <w:r w:rsidRPr="00EB2BD8">
        <w:rPr>
          <w:spacing w:val="-14"/>
        </w:rPr>
        <w:t xml:space="preserve"> </w:t>
      </w:r>
      <w:r w:rsidRPr="00EB2BD8">
        <w:t>over</w:t>
      </w:r>
      <w:r w:rsidRPr="00EB2BD8">
        <w:rPr>
          <w:spacing w:val="-14"/>
        </w:rPr>
        <w:t xml:space="preserve"> </w:t>
      </w:r>
      <w:r w:rsidRPr="00EB2BD8">
        <w:t>statutory</w:t>
      </w:r>
      <w:r w:rsidRPr="00EB2BD8">
        <w:rPr>
          <w:spacing w:val="-15"/>
        </w:rPr>
        <w:t xml:space="preserve"> </w:t>
      </w:r>
      <w:r w:rsidRPr="00EB2BD8">
        <w:t>oversight</w:t>
      </w:r>
      <w:r w:rsidRPr="00EB2BD8">
        <w:rPr>
          <w:spacing w:val="-14"/>
        </w:rPr>
        <w:t xml:space="preserve"> </w:t>
      </w:r>
      <w:r w:rsidRPr="00EB2BD8">
        <w:t>of their building project when the original surveyor’s registration has been suspended or cancelled.</w:t>
      </w:r>
    </w:p>
    <w:p w14:paraId="094E286C" w14:textId="77777777" w:rsidR="00084F36" w:rsidRPr="00EB2BD8" w:rsidRDefault="00EB2BD8">
      <w:pPr>
        <w:pStyle w:val="BodyText"/>
        <w:spacing w:before="107" w:line="261" w:lineRule="auto"/>
        <w:ind w:left="866"/>
      </w:pPr>
      <w:r w:rsidRPr="00EB2BD8">
        <w:t>A range of initiatives has been introduced to address this. These include a pilot program with more than 30 open permits, where the VBA’s building surveyors have reviewed permit files and recommended a pathway forward</w:t>
      </w:r>
      <w:r w:rsidRPr="00EB2BD8">
        <w:rPr>
          <w:spacing w:val="-9"/>
        </w:rPr>
        <w:t xml:space="preserve"> </w:t>
      </w:r>
      <w:r w:rsidRPr="00EB2BD8">
        <w:t>for</w:t>
      </w:r>
      <w:r w:rsidRPr="00EB2BD8">
        <w:rPr>
          <w:spacing w:val="-9"/>
        </w:rPr>
        <w:t xml:space="preserve"> </w:t>
      </w:r>
      <w:r w:rsidRPr="00EB2BD8">
        <w:t>consumers.</w:t>
      </w:r>
      <w:r w:rsidRPr="00EB2BD8">
        <w:rPr>
          <w:spacing w:val="-9"/>
        </w:rPr>
        <w:t xml:space="preserve"> </w:t>
      </w:r>
      <w:r w:rsidRPr="00EB2BD8">
        <w:t>Work</w:t>
      </w:r>
      <w:r w:rsidRPr="00EB2BD8">
        <w:rPr>
          <w:spacing w:val="-9"/>
        </w:rPr>
        <w:t xml:space="preserve"> </w:t>
      </w:r>
      <w:r w:rsidRPr="00EB2BD8">
        <w:t>is</w:t>
      </w:r>
      <w:r w:rsidRPr="00EB2BD8">
        <w:rPr>
          <w:spacing w:val="-9"/>
        </w:rPr>
        <w:t xml:space="preserve"> </w:t>
      </w:r>
      <w:r w:rsidRPr="00EB2BD8">
        <w:t>also</w:t>
      </w:r>
      <w:r w:rsidRPr="00EB2BD8">
        <w:rPr>
          <w:spacing w:val="-9"/>
        </w:rPr>
        <w:t xml:space="preserve"> </w:t>
      </w:r>
      <w:r w:rsidRPr="00EB2BD8">
        <w:t>ongoing</w:t>
      </w:r>
      <w:r w:rsidRPr="00EB2BD8">
        <w:rPr>
          <w:spacing w:val="-9"/>
        </w:rPr>
        <w:t xml:space="preserve"> </w:t>
      </w:r>
      <w:r w:rsidRPr="00EB2BD8">
        <w:t>to</w:t>
      </w:r>
      <w:r w:rsidRPr="00EB2BD8">
        <w:rPr>
          <w:spacing w:val="-9"/>
        </w:rPr>
        <w:t xml:space="preserve"> </w:t>
      </w:r>
      <w:r w:rsidRPr="00EB2BD8">
        <w:t>prepare for the implementation the VBA Statutory Manager function, which seeks to address the most challenging detached</w:t>
      </w:r>
      <w:r w:rsidRPr="00EB2BD8">
        <w:rPr>
          <w:spacing w:val="-3"/>
        </w:rPr>
        <w:t xml:space="preserve"> </w:t>
      </w:r>
      <w:r w:rsidRPr="00EB2BD8">
        <w:t>permits</w:t>
      </w:r>
      <w:r w:rsidRPr="00EB2BD8">
        <w:rPr>
          <w:spacing w:val="-3"/>
        </w:rPr>
        <w:t xml:space="preserve"> </w:t>
      </w:r>
      <w:r w:rsidRPr="00EB2BD8">
        <w:t>for</w:t>
      </w:r>
      <w:r w:rsidRPr="00EB2BD8">
        <w:rPr>
          <w:spacing w:val="-3"/>
        </w:rPr>
        <w:t xml:space="preserve"> </w:t>
      </w:r>
      <w:r w:rsidRPr="00EB2BD8">
        <w:t>resolution.</w:t>
      </w:r>
      <w:r w:rsidRPr="00EB2BD8">
        <w:rPr>
          <w:spacing w:val="-3"/>
        </w:rPr>
        <w:t xml:space="preserve"> </w:t>
      </w:r>
      <w:r w:rsidRPr="00EB2BD8">
        <w:t>Developing</w:t>
      </w:r>
      <w:r w:rsidRPr="00EB2BD8">
        <w:rPr>
          <w:spacing w:val="-3"/>
        </w:rPr>
        <w:t xml:space="preserve"> </w:t>
      </w:r>
      <w:r w:rsidRPr="00EB2BD8">
        <w:t>a</w:t>
      </w:r>
      <w:r w:rsidRPr="00EB2BD8">
        <w:rPr>
          <w:spacing w:val="-3"/>
        </w:rPr>
        <w:t xml:space="preserve"> </w:t>
      </w:r>
      <w:r w:rsidRPr="00EB2BD8">
        <w:t>roadmap for</w:t>
      </w:r>
      <w:r w:rsidRPr="00EB2BD8">
        <w:rPr>
          <w:spacing w:val="-9"/>
        </w:rPr>
        <w:t xml:space="preserve"> </w:t>
      </w:r>
      <w:r w:rsidRPr="00EB2BD8">
        <w:t>assessing</w:t>
      </w:r>
      <w:r w:rsidRPr="00EB2BD8">
        <w:rPr>
          <w:spacing w:val="-9"/>
        </w:rPr>
        <w:t xml:space="preserve"> </w:t>
      </w:r>
      <w:r w:rsidRPr="00EB2BD8">
        <w:t>current</w:t>
      </w:r>
      <w:r w:rsidRPr="00EB2BD8">
        <w:rPr>
          <w:spacing w:val="-9"/>
        </w:rPr>
        <w:t xml:space="preserve"> </w:t>
      </w:r>
      <w:r w:rsidRPr="00EB2BD8">
        <w:t>detached</w:t>
      </w:r>
      <w:r w:rsidRPr="00EB2BD8">
        <w:rPr>
          <w:spacing w:val="-9"/>
        </w:rPr>
        <w:t xml:space="preserve"> </w:t>
      </w:r>
      <w:r w:rsidRPr="00EB2BD8">
        <w:t>permits,</w:t>
      </w:r>
      <w:r w:rsidRPr="00EB2BD8">
        <w:rPr>
          <w:spacing w:val="-9"/>
        </w:rPr>
        <w:t xml:space="preserve"> </w:t>
      </w:r>
      <w:r w:rsidRPr="00EB2BD8">
        <w:t>reducing</w:t>
      </w:r>
      <w:r w:rsidRPr="00EB2BD8">
        <w:rPr>
          <w:spacing w:val="-9"/>
        </w:rPr>
        <w:t xml:space="preserve"> </w:t>
      </w:r>
      <w:r w:rsidRPr="00EB2BD8">
        <w:t xml:space="preserve">future risks and establishing a program to ensure improved management of old permits, improved building permit documentation and business continuity planning by building surveyors are additional streams of work in this important area that our teams will continue to </w:t>
      </w:r>
      <w:r w:rsidRPr="00EB2BD8">
        <w:rPr>
          <w:spacing w:val="-2"/>
        </w:rPr>
        <w:t>progress.</w:t>
      </w:r>
    </w:p>
    <w:p w14:paraId="16717BB9" w14:textId="77777777" w:rsidR="00084F36" w:rsidRPr="00EB2BD8" w:rsidRDefault="00EB2BD8">
      <w:pPr>
        <w:spacing w:before="9" w:after="25"/>
        <w:rPr>
          <w:sz w:val="3"/>
        </w:rPr>
      </w:pPr>
      <w:r w:rsidRPr="00EB2BD8">
        <w:br w:type="column"/>
      </w:r>
    </w:p>
    <w:p w14:paraId="24E398F4" w14:textId="50331184" w:rsidR="00084F36" w:rsidRPr="00B83018" w:rsidRDefault="00EB2BD8" w:rsidP="00B83018">
      <w:pPr>
        <w:pStyle w:val="BodyText"/>
        <w:ind w:left="397"/>
        <w:rPr>
          <w:sz w:val="20"/>
        </w:rPr>
      </w:pPr>
      <w:r w:rsidRPr="00EB2BD8">
        <w:rPr>
          <w:noProof/>
          <w:sz w:val="20"/>
        </w:rPr>
        <w:drawing>
          <wp:inline distT="0" distB="0" distL="0" distR="0" wp14:anchorId="6E442555" wp14:editId="61A56998">
            <wp:extent cx="3099334" cy="5960745"/>
            <wp:effectExtent l="0" t="0" r="0" b="0"/>
            <wp:docPr id="166" name="Imag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3099334" cy="5960745"/>
                    </a:xfrm>
                    <a:prstGeom prst="rect">
                      <a:avLst/>
                    </a:prstGeom>
                  </pic:spPr>
                </pic:pic>
              </a:graphicData>
            </a:graphic>
          </wp:inline>
        </w:drawing>
      </w:r>
    </w:p>
    <w:p w14:paraId="373AA00C" w14:textId="7D7C4839" w:rsidR="00084F36" w:rsidRPr="00DB0F6B" w:rsidRDefault="00EB2BD8" w:rsidP="00DB0F6B">
      <w:pPr>
        <w:pStyle w:val="Heading3"/>
      </w:pPr>
      <w:bookmarkStart w:id="40" w:name="_Toc150762344"/>
      <w:r w:rsidRPr="00EB2BD8">
        <w:rPr>
          <w:spacing w:val="-4"/>
        </w:rPr>
        <w:t>Andrew</w:t>
      </w:r>
      <w:r w:rsidRPr="00EB2BD8">
        <w:rPr>
          <w:spacing w:val="-7"/>
        </w:rPr>
        <w:t xml:space="preserve"> </w:t>
      </w:r>
      <w:r w:rsidRPr="00EB2BD8">
        <w:t>Cialini</w:t>
      </w:r>
      <w:r w:rsidR="00DB0F6B">
        <w:br/>
      </w:r>
      <w:r w:rsidRPr="00DB0F6B">
        <w:rPr>
          <w:b w:val="0"/>
          <w:bCs/>
          <w:spacing w:val="-2"/>
          <w:w w:val="105"/>
          <w:sz w:val="19"/>
        </w:rPr>
        <w:t>Victorian</w:t>
      </w:r>
      <w:r w:rsidRPr="00DB0F6B">
        <w:rPr>
          <w:b w:val="0"/>
          <w:bCs/>
          <w:spacing w:val="-3"/>
          <w:w w:val="105"/>
          <w:sz w:val="19"/>
        </w:rPr>
        <w:t xml:space="preserve"> </w:t>
      </w:r>
      <w:r w:rsidRPr="00DB0F6B">
        <w:rPr>
          <w:b w:val="0"/>
          <w:bCs/>
          <w:spacing w:val="-2"/>
          <w:w w:val="105"/>
          <w:sz w:val="19"/>
        </w:rPr>
        <w:t>State Building</w:t>
      </w:r>
      <w:r w:rsidRPr="00DB0F6B">
        <w:rPr>
          <w:b w:val="0"/>
          <w:bCs/>
          <w:spacing w:val="-3"/>
          <w:w w:val="105"/>
          <w:sz w:val="19"/>
        </w:rPr>
        <w:t xml:space="preserve"> </w:t>
      </w:r>
      <w:r w:rsidRPr="00DB0F6B">
        <w:rPr>
          <w:b w:val="0"/>
          <w:bCs/>
          <w:spacing w:val="-2"/>
          <w:w w:val="105"/>
          <w:sz w:val="19"/>
        </w:rPr>
        <w:t>Surveyor</w:t>
      </w:r>
      <w:bookmarkEnd w:id="40"/>
    </w:p>
    <w:p w14:paraId="5F1ABB42" w14:textId="77777777" w:rsidR="00084F36" w:rsidRPr="00EB2BD8" w:rsidRDefault="00084F36">
      <w:pPr>
        <w:jc w:val="center"/>
        <w:rPr>
          <w:sz w:val="19"/>
        </w:rPr>
        <w:sectPr w:rsidR="00084F36" w:rsidRPr="00EB2BD8" w:rsidSect="006D75B2">
          <w:type w:val="continuous"/>
          <w:pgSz w:w="11910" w:h="16840"/>
          <w:pgMar w:top="1920" w:right="0" w:bottom="280" w:left="0" w:header="0" w:footer="515" w:gutter="0"/>
          <w:cols w:num="2" w:space="720" w:equalWidth="0">
            <w:col w:w="5742" w:space="40"/>
            <w:col w:w="6128"/>
          </w:cols>
        </w:sectPr>
      </w:pPr>
    </w:p>
    <w:p w14:paraId="1F8EB715" w14:textId="17CF937E" w:rsidR="00084F36" w:rsidRPr="00EB2BD8" w:rsidRDefault="00084F36">
      <w:pPr>
        <w:pStyle w:val="BodyText"/>
        <w:rPr>
          <w:sz w:val="20"/>
        </w:rPr>
      </w:pPr>
    </w:p>
    <w:p w14:paraId="41126DE1" w14:textId="6421CD58" w:rsidR="00084F36" w:rsidRPr="00EB2BD8" w:rsidRDefault="00084F36">
      <w:pPr>
        <w:pStyle w:val="BodyText"/>
        <w:rPr>
          <w:sz w:val="20"/>
        </w:rPr>
      </w:pPr>
    </w:p>
    <w:p w14:paraId="7B0E34FD" w14:textId="4F7FB4E8" w:rsidR="00084F36" w:rsidRPr="00EB2BD8" w:rsidRDefault="00084F36">
      <w:pPr>
        <w:pStyle w:val="BodyText"/>
        <w:rPr>
          <w:sz w:val="20"/>
        </w:rPr>
      </w:pPr>
    </w:p>
    <w:p w14:paraId="6B13CF75" w14:textId="77777777" w:rsidR="00084F36" w:rsidRPr="00EB2BD8" w:rsidRDefault="00084F36">
      <w:pPr>
        <w:pStyle w:val="BodyText"/>
        <w:rPr>
          <w:sz w:val="20"/>
        </w:rPr>
      </w:pPr>
    </w:p>
    <w:p w14:paraId="720ABDF4" w14:textId="77777777" w:rsidR="00084F36" w:rsidRPr="00EB2BD8" w:rsidRDefault="00084F36">
      <w:pPr>
        <w:pStyle w:val="BodyText"/>
        <w:spacing w:before="10"/>
        <w:rPr>
          <w:sz w:val="16"/>
        </w:rPr>
      </w:pPr>
    </w:p>
    <w:p w14:paraId="21261CA0" w14:textId="77777777" w:rsidR="00084F36" w:rsidRPr="00EB2BD8" w:rsidRDefault="00EB2BD8" w:rsidP="00EB2BD8">
      <w:pPr>
        <w:pStyle w:val="Heading1"/>
      </w:pPr>
      <w:bookmarkStart w:id="41" w:name="_TOC_250001"/>
      <w:bookmarkStart w:id="42" w:name="_Toc150762345"/>
      <w:bookmarkEnd w:id="41"/>
      <w:r w:rsidRPr="00EB2BD8">
        <w:t>Highlights</w:t>
      </w:r>
      <w:bookmarkEnd w:id="42"/>
    </w:p>
    <w:p w14:paraId="4E24D7A7" w14:textId="77777777" w:rsidR="00084F36" w:rsidRPr="00EB2BD8" w:rsidRDefault="00084F36">
      <w:pPr>
        <w:pStyle w:val="BodyText"/>
        <w:rPr>
          <w:rFonts w:ascii="Tahoma"/>
          <w:b/>
          <w:sz w:val="20"/>
        </w:rPr>
      </w:pPr>
    </w:p>
    <w:p w14:paraId="7671FDFA" w14:textId="77777777" w:rsidR="00084F36" w:rsidRPr="00EB2BD8" w:rsidRDefault="00084F36">
      <w:pPr>
        <w:pStyle w:val="BodyText"/>
        <w:rPr>
          <w:rFonts w:ascii="Tahoma"/>
          <w:b/>
          <w:sz w:val="20"/>
        </w:rPr>
      </w:pPr>
    </w:p>
    <w:p w14:paraId="0E2957A2" w14:textId="77777777" w:rsidR="00084F36" w:rsidRPr="00EB2BD8" w:rsidRDefault="00084F36">
      <w:pPr>
        <w:pStyle w:val="BodyText"/>
        <w:rPr>
          <w:rFonts w:ascii="Tahoma"/>
          <w:b/>
          <w:sz w:val="20"/>
        </w:rPr>
      </w:pPr>
    </w:p>
    <w:p w14:paraId="6313A669" w14:textId="77777777" w:rsidR="00084F36" w:rsidRPr="00EB2BD8" w:rsidRDefault="00084F36">
      <w:pPr>
        <w:pStyle w:val="BodyText"/>
        <w:rPr>
          <w:rFonts w:ascii="Tahoma"/>
          <w:b/>
          <w:sz w:val="20"/>
        </w:rPr>
      </w:pPr>
    </w:p>
    <w:p w14:paraId="03E3EBB5" w14:textId="77777777" w:rsidR="00084F36" w:rsidRPr="00EB2BD8" w:rsidRDefault="00084F36">
      <w:pPr>
        <w:pStyle w:val="BodyText"/>
        <w:spacing w:before="6"/>
        <w:rPr>
          <w:rFonts w:ascii="Tahoma"/>
          <w:b/>
          <w:sz w:val="20"/>
        </w:rPr>
      </w:pPr>
    </w:p>
    <w:p w14:paraId="7DB76D8C" w14:textId="76C20923" w:rsidR="00FA0E9B" w:rsidRDefault="00FA0E9B" w:rsidP="00FA0E9B">
      <w:pPr>
        <w:pStyle w:val="Heading2"/>
      </w:pPr>
      <w:bookmarkStart w:id="43" w:name="_Toc150762346"/>
      <w:r>
        <w:t>Q1</w:t>
      </w:r>
      <w:bookmarkEnd w:id="43"/>
    </w:p>
    <w:p w14:paraId="59D61EE6" w14:textId="33E6995F" w:rsidR="00084F36" w:rsidRPr="00EB2BD8" w:rsidRDefault="00EB2BD8">
      <w:pPr>
        <w:pStyle w:val="ListParagraph"/>
        <w:numPr>
          <w:ilvl w:val="0"/>
          <w:numId w:val="70"/>
        </w:numPr>
        <w:tabs>
          <w:tab w:val="left" w:pos="3360"/>
        </w:tabs>
        <w:spacing w:before="83" w:line="242" w:lineRule="auto"/>
        <w:ind w:right="4959"/>
        <w:rPr>
          <w:sz w:val="28"/>
        </w:rPr>
      </w:pPr>
      <w:r w:rsidRPr="00EB2BD8">
        <w:rPr>
          <w:sz w:val="28"/>
        </w:rPr>
        <w:t xml:space="preserve">VBA begins NCC Roadshow and delivered </w:t>
      </w:r>
      <w:r w:rsidRPr="00EB2BD8">
        <w:rPr>
          <w:spacing w:val="-2"/>
          <w:sz w:val="28"/>
        </w:rPr>
        <w:t>15</w:t>
      </w:r>
      <w:r w:rsidRPr="00EB2BD8">
        <w:rPr>
          <w:spacing w:val="-18"/>
          <w:sz w:val="28"/>
        </w:rPr>
        <w:t xml:space="preserve"> </w:t>
      </w:r>
      <w:r w:rsidRPr="00EB2BD8">
        <w:rPr>
          <w:spacing w:val="-2"/>
          <w:sz w:val="28"/>
        </w:rPr>
        <w:t>in-person</w:t>
      </w:r>
      <w:r w:rsidRPr="00EB2BD8">
        <w:rPr>
          <w:spacing w:val="-18"/>
          <w:sz w:val="28"/>
        </w:rPr>
        <w:t xml:space="preserve"> </w:t>
      </w:r>
      <w:r w:rsidRPr="00EB2BD8">
        <w:rPr>
          <w:spacing w:val="-2"/>
          <w:sz w:val="28"/>
        </w:rPr>
        <w:t>events</w:t>
      </w:r>
      <w:r w:rsidRPr="00EB2BD8">
        <w:rPr>
          <w:spacing w:val="-18"/>
          <w:sz w:val="28"/>
        </w:rPr>
        <w:t xml:space="preserve"> </w:t>
      </w:r>
      <w:r w:rsidRPr="00EB2BD8">
        <w:rPr>
          <w:spacing w:val="-2"/>
          <w:sz w:val="28"/>
        </w:rPr>
        <w:t>across Victoria</w:t>
      </w:r>
    </w:p>
    <w:p w14:paraId="066C347A" w14:textId="77777777" w:rsidR="00084F36" w:rsidRPr="00EB2BD8" w:rsidRDefault="00EB2BD8">
      <w:pPr>
        <w:pStyle w:val="ListParagraph"/>
        <w:numPr>
          <w:ilvl w:val="0"/>
          <w:numId w:val="70"/>
        </w:numPr>
        <w:tabs>
          <w:tab w:val="left" w:pos="3360"/>
        </w:tabs>
        <w:spacing w:before="119" w:line="244" w:lineRule="auto"/>
        <w:ind w:right="4987"/>
        <w:rPr>
          <w:sz w:val="28"/>
        </w:rPr>
      </w:pPr>
      <w:r w:rsidRPr="00EB2BD8">
        <w:rPr>
          <w:sz w:val="28"/>
        </w:rPr>
        <w:t>Building inspectors and registered plumbers, except those in high-risk classes</w:t>
      </w:r>
      <w:r w:rsidRPr="00EB2BD8">
        <w:rPr>
          <w:spacing w:val="-12"/>
          <w:sz w:val="28"/>
        </w:rPr>
        <w:t xml:space="preserve"> </w:t>
      </w:r>
      <w:r w:rsidRPr="00EB2BD8">
        <w:rPr>
          <w:sz w:val="28"/>
        </w:rPr>
        <w:t>become</w:t>
      </w:r>
      <w:r w:rsidRPr="00EB2BD8">
        <w:rPr>
          <w:spacing w:val="-12"/>
          <w:sz w:val="28"/>
        </w:rPr>
        <w:t xml:space="preserve"> </w:t>
      </w:r>
      <w:r w:rsidRPr="00EB2BD8">
        <w:rPr>
          <w:sz w:val="28"/>
        </w:rPr>
        <w:t>eligible</w:t>
      </w:r>
      <w:r w:rsidRPr="00EB2BD8">
        <w:rPr>
          <w:spacing w:val="-12"/>
          <w:sz w:val="28"/>
        </w:rPr>
        <w:t xml:space="preserve"> </w:t>
      </w:r>
      <w:r w:rsidRPr="00EB2BD8">
        <w:rPr>
          <w:sz w:val="28"/>
        </w:rPr>
        <w:t>to participate in Automatic Mutual Recognition</w:t>
      </w:r>
    </w:p>
    <w:p w14:paraId="0025D469" w14:textId="77777777" w:rsidR="00084F36" w:rsidRPr="00EB2BD8" w:rsidRDefault="00EB2BD8">
      <w:pPr>
        <w:pStyle w:val="ListParagraph"/>
        <w:numPr>
          <w:ilvl w:val="0"/>
          <w:numId w:val="70"/>
        </w:numPr>
        <w:tabs>
          <w:tab w:val="left" w:pos="3360"/>
        </w:tabs>
        <w:spacing w:before="112"/>
        <w:ind w:hanging="360"/>
        <w:rPr>
          <w:sz w:val="28"/>
        </w:rPr>
      </w:pPr>
      <w:r w:rsidRPr="00EB2BD8">
        <w:rPr>
          <w:spacing w:val="-6"/>
          <w:sz w:val="28"/>
        </w:rPr>
        <w:t>NCC</w:t>
      </w:r>
      <w:r w:rsidRPr="00EB2BD8">
        <w:rPr>
          <w:spacing w:val="-13"/>
          <w:sz w:val="28"/>
        </w:rPr>
        <w:t xml:space="preserve"> </w:t>
      </w:r>
      <w:r w:rsidRPr="00EB2BD8">
        <w:rPr>
          <w:spacing w:val="-6"/>
          <w:sz w:val="28"/>
        </w:rPr>
        <w:t>2022</w:t>
      </w:r>
      <w:r w:rsidRPr="00EB2BD8">
        <w:rPr>
          <w:spacing w:val="-12"/>
          <w:sz w:val="28"/>
        </w:rPr>
        <w:t xml:space="preserve"> </w:t>
      </w:r>
      <w:r w:rsidRPr="00EB2BD8">
        <w:rPr>
          <w:spacing w:val="-6"/>
          <w:sz w:val="28"/>
        </w:rPr>
        <w:t>was</w:t>
      </w:r>
      <w:r w:rsidRPr="00EB2BD8">
        <w:rPr>
          <w:spacing w:val="-13"/>
          <w:sz w:val="28"/>
        </w:rPr>
        <w:t xml:space="preserve"> </w:t>
      </w:r>
      <w:r w:rsidRPr="00EB2BD8">
        <w:rPr>
          <w:spacing w:val="-6"/>
          <w:sz w:val="28"/>
        </w:rPr>
        <w:t>published</w:t>
      </w:r>
    </w:p>
    <w:p w14:paraId="46527A70" w14:textId="77777777" w:rsidR="00084F36" w:rsidRPr="00EB2BD8" w:rsidRDefault="00084F36">
      <w:pPr>
        <w:pStyle w:val="BodyText"/>
        <w:rPr>
          <w:sz w:val="20"/>
        </w:rPr>
      </w:pPr>
    </w:p>
    <w:p w14:paraId="653000AA" w14:textId="77777777" w:rsidR="00084F36" w:rsidRPr="00EB2BD8" w:rsidRDefault="00084F36">
      <w:pPr>
        <w:pStyle w:val="BodyText"/>
        <w:rPr>
          <w:sz w:val="20"/>
        </w:rPr>
      </w:pPr>
    </w:p>
    <w:p w14:paraId="7D966A26" w14:textId="77777777" w:rsidR="00084F36" w:rsidRPr="00EB2BD8" w:rsidRDefault="00084F36">
      <w:pPr>
        <w:pStyle w:val="BodyText"/>
        <w:rPr>
          <w:sz w:val="20"/>
        </w:rPr>
      </w:pPr>
    </w:p>
    <w:p w14:paraId="0E731F55" w14:textId="77777777" w:rsidR="00084F36" w:rsidRPr="00EB2BD8" w:rsidRDefault="00084F36">
      <w:pPr>
        <w:pStyle w:val="BodyText"/>
        <w:rPr>
          <w:sz w:val="20"/>
        </w:rPr>
      </w:pPr>
    </w:p>
    <w:p w14:paraId="7185A62A" w14:textId="77777777" w:rsidR="00084F36" w:rsidRPr="00EB2BD8" w:rsidRDefault="00084F36">
      <w:pPr>
        <w:pStyle w:val="BodyText"/>
        <w:rPr>
          <w:sz w:val="20"/>
        </w:rPr>
      </w:pPr>
    </w:p>
    <w:p w14:paraId="2F44927E" w14:textId="77777777" w:rsidR="00084F36" w:rsidRPr="00EB2BD8" w:rsidRDefault="00084F36">
      <w:pPr>
        <w:pStyle w:val="BodyText"/>
        <w:rPr>
          <w:sz w:val="20"/>
        </w:rPr>
      </w:pPr>
    </w:p>
    <w:p w14:paraId="74B4C1B7" w14:textId="77777777" w:rsidR="00084F36" w:rsidRPr="00EB2BD8" w:rsidRDefault="00084F36">
      <w:pPr>
        <w:pStyle w:val="BodyText"/>
        <w:spacing w:before="2"/>
        <w:rPr>
          <w:sz w:val="21"/>
        </w:rPr>
      </w:pPr>
    </w:p>
    <w:p w14:paraId="1AF13EA5" w14:textId="0997871C" w:rsidR="00FA0E9B" w:rsidRDefault="00FA0E9B" w:rsidP="00FA0E9B">
      <w:pPr>
        <w:pStyle w:val="Heading2"/>
      </w:pPr>
      <w:bookmarkStart w:id="44" w:name="_Toc150762347"/>
      <w:r>
        <w:t>Q2</w:t>
      </w:r>
      <w:bookmarkEnd w:id="44"/>
    </w:p>
    <w:p w14:paraId="5578706E" w14:textId="21AFDEBE" w:rsidR="00084F36" w:rsidRPr="00EB2BD8" w:rsidRDefault="00EB2BD8">
      <w:pPr>
        <w:pStyle w:val="ListParagraph"/>
        <w:numPr>
          <w:ilvl w:val="0"/>
          <w:numId w:val="70"/>
        </w:numPr>
        <w:tabs>
          <w:tab w:val="left" w:pos="3383"/>
        </w:tabs>
        <w:spacing w:before="83" w:line="242" w:lineRule="auto"/>
        <w:ind w:left="3383" w:right="5593"/>
        <w:rPr>
          <w:sz w:val="28"/>
        </w:rPr>
      </w:pPr>
      <w:r w:rsidRPr="00EB2BD8">
        <w:rPr>
          <w:sz w:val="28"/>
        </w:rPr>
        <w:t>VBA acts as a key connector between industry,</w:t>
      </w:r>
      <w:r w:rsidRPr="00EB2BD8">
        <w:rPr>
          <w:spacing w:val="-23"/>
          <w:sz w:val="28"/>
        </w:rPr>
        <w:t xml:space="preserve"> </w:t>
      </w:r>
      <w:r w:rsidRPr="00EB2BD8">
        <w:rPr>
          <w:sz w:val="28"/>
        </w:rPr>
        <w:t>government and</w:t>
      </w:r>
      <w:r w:rsidRPr="00EB2BD8">
        <w:rPr>
          <w:spacing w:val="-10"/>
          <w:sz w:val="28"/>
        </w:rPr>
        <w:t xml:space="preserve"> </w:t>
      </w:r>
      <w:r w:rsidRPr="00EB2BD8">
        <w:rPr>
          <w:sz w:val="28"/>
        </w:rPr>
        <w:t>councils</w:t>
      </w:r>
      <w:r w:rsidRPr="00EB2BD8">
        <w:rPr>
          <w:spacing w:val="-10"/>
          <w:sz w:val="28"/>
        </w:rPr>
        <w:t xml:space="preserve"> </w:t>
      </w:r>
      <w:r w:rsidRPr="00EB2BD8">
        <w:rPr>
          <w:sz w:val="28"/>
        </w:rPr>
        <w:t>to</w:t>
      </w:r>
      <w:r w:rsidRPr="00EB2BD8">
        <w:rPr>
          <w:spacing w:val="-10"/>
          <w:sz w:val="28"/>
        </w:rPr>
        <w:t xml:space="preserve"> </w:t>
      </w:r>
      <w:r w:rsidRPr="00EB2BD8">
        <w:rPr>
          <w:spacing w:val="-2"/>
          <w:sz w:val="28"/>
        </w:rPr>
        <w:t>assist</w:t>
      </w:r>
    </w:p>
    <w:p w14:paraId="087E1BFC" w14:textId="77777777" w:rsidR="00084F36" w:rsidRPr="00EB2BD8" w:rsidRDefault="00EB2BD8">
      <w:pPr>
        <w:spacing w:before="2" w:line="247" w:lineRule="auto"/>
        <w:ind w:left="3383" w:right="4502"/>
        <w:rPr>
          <w:sz w:val="28"/>
        </w:rPr>
      </w:pPr>
      <w:r w:rsidRPr="00EB2BD8">
        <w:rPr>
          <w:sz w:val="28"/>
        </w:rPr>
        <w:t>communities impacted by flood and storm events</w:t>
      </w:r>
    </w:p>
    <w:p w14:paraId="690434DD" w14:textId="77777777" w:rsidR="00084F36" w:rsidRPr="00EB2BD8" w:rsidRDefault="00EB2BD8">
      <w:pPr>
        <w:pStyle w:val="ListParagraph"/>
        <w:numPr>
          <w:ilvl w:val="0"/>
          <w:numId w:val="70"/>
        </w:numPr>
        <w:tabs>
          <w:tab w:val="left" w:pos="3383"/>
        </w:tabs>
        <w:spacing w:before="129" w:line="230" w:lineRule="auto"/>
        <w:ind w:left="3383" w:right="4768"/>
        <w:rPr>
          <w:sz w:val="28"/>
        </w:rPr>
      </w:pPr>
      <w:r w:rsidRPr="00EB2BD8">
        <w:rPr>
          <w:sz w:val="28"/>
        </w:rPr>
        <w:t>Established Industry Harms Consultative Committee</w:t>
      </w:r>
    </w:p>
    <w:p w14:paraId="616CE377" w14:textId="77777777" w:rsidR="00084F36" w:rsidRPr="00EB2BD8" w:rsidRDefault="00EB2BD8">
      <w:pPr>
        <w:pStyle w:val="ListParagraph"/>
        <w:numPr>
          <w:ilvl w:val="0"/>
          <w:numId w:val="70"/>
        </w:numPr>
        <w:tabs>
          <w:tab w:val="left" w:pos="3383"/>
        </w:tabs>
        <w:spacing w:before="141" w:line="230" w:lineRule="auto"/>
        <w:ind w:left="3383" w:right="5392"/>
        <w:rPr>
          <w:sz w:val="28"/>
        </w:rPr>
      </w:pPr>
      <w:r w:rsidRPr="00EB2BD8">
        <w:rPr>
          <w:sz w:val="28"/>
        </w:rPr>
        <w:t>Commenced plumbing Online Exams trial</w:t>
      </w:r>
    </w:p>
    <w:p w14:paraId="295F3CA0" w14:textId="77777777" w:rsidR="00084F36" w:rsidRPr="00EB2BD8" w:rsidRDefault="00084F36">
      <w:pPr>
        <w:spacing w:line="230" w:lineRule="auto"/>
        <w:rPr>
          <w:sz w:val="28"/>
        </w:rPr>
        <w:sectPr w:rsidR="00084F36" w:rsidRPr="00EB2BD8" w:rsidSect="006D75B2">
          <w:headerReference w:type="even" r:id="rId38"/>
          <w:headerReference w:type="default" r:id="rId39"/>
          <w:footerReference w:type="even" r:id="rId40"/>
          <w:footerReference w:type="default" r:id="rId41"/>
          <w:pgSz w:w="11910" w:h="16840"/>
          <w:pgMar w:top="1100" w:right="0" w:bottom="700" w:left="0" w:header="876" w:footer="515" w:gutter="0"/>
          <w:pgNumType w:start="16"/>
          <w:cols w:space="720"/>
        </w:sectPr>
      </w:pPr>
    </w:p>
    <w:p w14:paraId="45A58B49" w14:textId="7730EF52" w:rsidR="00084F36" w:rsidRPr="00EB2BD8" w:rsidRDefault="00084F36">
      <w:pPr>
        <w:pStyle w:val="BodyText"/>
        <w:rPr>
          <w:sz w:val="20"/>
        </w:rPr>
      </w:pPr>
    </w:p>
    <w:p w14:paraId="7ADD3C18" w14:textId="77777777" w:rsidR="00084F36" w:rsidRPr="00EB2BD8" w:rsidRDefault="00084F36">
      <w:pPr>
        <w:pStyle w:val="BodyText"/>
        <w:rPr>
          <w:sz w:val="20"/>
        </w:rPr>
      </w:pPr>
    </w:p>
    <w:p w14:paraId="145756FD" w14:textId="77777777" w:rsidR="00084F36" w:rsidRPr="00EB2BD8" w:rsidRDefault="00084F36">
      <w:pPr>
        <w:pStyle w:val="BodyText"/>
        <w:rPr>
          <w:sz w:val="20"/>
        </w:rPr>
      </w:pPr>
    </w:p>
    <w:p w14:paraId="75B0DB88" w14:textId="77777777" w:rsidR="00084F36" w:rsidRPr="00EB2BD8" w:rsidRDefault="00084F36">
      <w:pPr>
        <w:pStyle w:val="BodyText"/>
        <w:rPr>
          <w:sz w:val="20"/>
        </w:rPr>
      </w:pPr>
    </w:p>
    <w:p w14:paraId="1CE2F661" w14:textId="77777777" w:rsidR="00084F36" w:rsidRPr="00EB2BD8" w:rsidRDefault="00084F36">
      <w:pPr>
        <w:pStyle w:val="BodyText"/>
        <w:rPr>
          <w:sz w:val="20"/>
        </w:rPr>
      </w:pPr>
    </w:p>
    <w:p w14:paraId="4A12B863" w14:textId="77777777" w:rsidR="00084F36" w:rsidRPr="00EB2BD8" w:rsidRDefault="00084F36">
      <w:pPr>
        <w:pStyle w:val="BodyText"/>
        <w:rPr>
          <w:sz w:val="20"/>
        </w:rPr>
      </w:pPr>
    </w:p>
    <w:p w14:paraId="4B387CF0" w14:textId="77777777" w:rsidR="00084F36" w:rsidRPr="00EB2BD8" w:rsidRDefault="00084F36">
      <w:pPr>
        <w:pStyle w:val="BodyText"/>
        <w:rPr>
          <w:sz w:val="20"/>
        </w:rPr>
      </w:pPr>
    </w:p>
    <w:p w14:paraId="511DEE42" w14:textId="77777777" w:rsidR="00084F36" w:rsidRPr="00EB2BD8" w:rsidRDefault="00084F36">
      <w:pPr>
        <w:pStyle w:val="BodyText"/>
        <w:rPr>
          <w:sz w:val="20"/>
        </w:rPr>
      </w:pPr>
    </w:p>
    <w:p w14:paraId="044A4979" w14:textId="77777777" w:rsidR="00084F36" w:rsidRPr="00EB2BD8" w:rsidRDefault="00084F36">
      <w:pPr>
        <w:pStyle w:val="BodyText"/>
        <w:rPr>
          <w:sz w:val="20"/>
        </w:rPr>
      </w:pPr>
    </w:p>
    <w:p w14:paraId="30F16539" w14:textId="77777777" w:rsidR="00084F36" w:rsidRPr="00EB2BD8" w:rsidRDefault="00084F36">
      <w:pPr>
        <w:pStyle w:val="BodyText"/>
        <w:rPr>
          <w:sz w:val="20"/>
        </w:rPr>
      </w:pPr>
    </w:p>
    <w:p w14:paraId="37C51360" w14:textId="77777777" w:rsidR="00084F36" w:rsidRPr="00EB2BD8" w:rsidRDefault="00084F36">
      <w:pPr>
        <w:pStyle w:val="BodyText"/>
        <w:rPr>
          <w:sz w:val="20"/>
        </w:rPr>
      </w:pPr>
    </w:p>
    <w:p w14:paraId="1E851149" w14:textId="77777777" w:rsidR="00084F36" w:rsidRPr="00EB2BD8" w:rsidRDefault="00084F36">
      <w:pPr>
        <w:pStyle w:val="BodyText"/>
        <w:rPr>
          <w:sz w:val="20"/>
        </w:rPr>
      </w:pPr>
    </w:p>
    <w:p w14:paraId="71F4D4F7" w14:textId="77777777" w:rsidR="00084F36" w:rsidRPr="00EB2BD8" w:rsidRDefault="00084F36">
      <w:pPr>
        <w:pStyle w:val="BodyText"/>
        <w:spacing w:before="6"/>
      </w:pPr>
    </w:p>
    <w:p w14:paraId="04332C2C" w14:textId="3653C6E2" w:rsidR="00FA0E9B" w:rsidRDefault="00FA0E9B" w:rsidP="00FA0E9B">
      <w:pPr>
        <w:pStyle w:val="Heading2"/>
      </w:pPr>
      <w:bookmarkStart w:id="45" w:name="_Toc150762348"/>
      <w:r>
        <w:t>Q3</w:t>
      </w:r>
      <w:bookmarkEnd w:id="45"/>
    </w:p>
    <w:p w14:paraId="589AF174" w14:textId="7300E3E1" w:rsidR="00084F36" w:rsidRPr="00EB2BD8" w:rsidRDefault="00EB2BD8">
      <w:pPr>
        <w:pStyle w:val="ListParagraph"/>
        <w:numPr>
          <w:ilvl w:val="1"/>
          <w:numId w:val="70"/>
        </w:numPr>
        <w:tabs>
          <w:tab w:val="left" w:pos="5116"/>
        </w:tabs>
        <w:spacing w:before="95" w:line="230" w:lineRule="auto"/>
        <w:ind w:right="2859"/>
        <w:rPr>
          <w:sz w:val="28"/>
        </w:rPr>
      </w:pPr>
      <w:r w:rsidRPr="00EB2BD8">
        <w:rPr>
          <w:sz w:val="28"/>
        </w:rPr>
        <w:t>VBA celebrated International Women’s Day</w:t>
      </w:r>
    </w:p>
    <w:p w14:paraId="4B2DD45E" w14:textId="0B35E872" w:rsidR="00084F36" w:rsidRPr="00EB2BD8" w:rsidRDefault="00EB2BD8">
      <w:pPr>
        <w:pStyle w:val="ListParagraph"/>
        <w:numPr>
          <w:ilvl w:val="1"/>
          <w:numId w:val="70"/>
        </w:numPr>
        <w:tabs>
          <w:tab w:val="left" w:pos="5116"/>
        </w:tabs>
        <w:spacing w:before="132" w:line="237" w:lineRule="auto"/>
        <w:ind w:right="2850"/>
        <w:rPr>
          <w:sz w:val="28"/>
        </w:rPr>
      </w:pPr>
      <w:r w:rsidRPr="00EB2BD8">
        <w:rPr>
          <w:sz w:val="28"/>
        </w:rPr>
        <w:t>Published research report examining</w:t>
      </w:r>
      <w:r w:rsidRPr="00EB2BD8">
        <w:rPr>
          <w:spacing w:val="-17"/>
          <w:sz w:val="28"/>
        </w:rPr>
        <w:t xml:space="preserve"> </w:t>
      </w:r>
      <w:r w:rsidRPr="00EB2BD8">
        <w:rPr>
          <w:sz w:val="28"/>
        </w:rPr>
        <w:t>indoor</w:t>
      </w:r>
      <w:r w:rsidRPr="00EB2BD8">
        <w:rPr>
          <w:spacing w:val="-17"/>
          <w:sz w:val="28"/>
        </w:rPr>
        <w:t xml:space="preserve"> </w:t>
      </w:r>
      <w:r w:rsidRPr="00EB2BD8">
        <w:rPr>
          <w:sz w:val="28"/>
        </w:rPr>
        <w:t>mould</w:t>
      </w:r>
      <w:r w:rsidRPr="00EB2BD8">
        <w:rPr>
          <w:spacing w:val="-17"/>
          <w:sz w:val="28"/>
        </w:rPr>
        <w:t xml:space="preserve"> </w:t>
      </w:r>
      <w:r w:rsidRPr="00EB2BD8">
        <w:rPr>
          <w:sz w:val="28"/>
        </w:rPr>
        <w:t>and moisture damage</w:t>
      </w:r>
    </w:p>
    <w:p w14:paraId="38390333" w14:textId="77777777" w:rsidR="00084F36" w:rsidRPr="00EB2BD8" w:rsidRDefault="00EB2BD8">
      <w:pPr>
        <w:pStyle w:val="ListParagraph"/>
        <w:numPr>
          <w:ilvl w:val="1"/>
          <w:numId w:val="70"/>
        </w:numPr>
        <w:tabs>
          <w:tab w:val="left" w:pos="5116"/>
        </w:tabs>
        <w:spacing w:before="133" w:line="237" w:lineRule="auto"/>
        <w:ind w:right="3034"/>
        <w:rPr>
          <w:sz w:val="28"/>
        </w:rPr>
      </w:pPr>
      <w:r w:rsidRPr="00EB2BD8">
        <w:rPr>
          <w:sz w:val="28"/>
        </w:rPr>
        <w:t>Launched passive fire protections defects communications campaign</w:t>
      </w:r>
    </w:p>
    <w:p w14:paraId="7E3C8853" w14:textId="77777777" w:rsidR="00084F36" w:rsidRPr="00EB2BD8" w:rsidRDefault="00EB2BD8">
      <w:pPr>
        <w:pStyle w:val="ListParagraph"/>
        <w:numPr>
          <w:ilvl w:val="1"/>
          <w:numId w:val="70"/>
        </w:numPr>
        <w:tabs>
          <w:tab w:val="left" w:pos="5116"/>
        </w:tabs>
        <w:spacing w:before="130" w:line="242" w:lineRule="auto"/>
        <w:ind w:right="3215"/>
        <w:rPr>
          <w:sz w:val="28"/>
        </w:rPr>
      </w:pPr>
      <w:r w:rsidRPr="00EB2BD8">
        <w:rPr>
          <w:sz w:val="28"/>
        </w:rPr>
        <w:t>Building Reform Expert Panel’s final report on Stage</w:t>
      </w:r>
      <w:r w:rsidRPr="00EB2BD8">
        <w:rPr>
          <w:spacing w:val="-9"/>
          <w:sz w:val="28"/>
        </w:rPr>
        <w:t xml:space="preserve"> </w:t>
      </w:r>
      <w:r w:rsidRPr="00EB2BD8">
        <w:rPr>
          <w:sz w:val="28"/>
        </w:rPr>
        <w:t>One</w:t>
      </w:r>
      <w:r w:rsidRPr="00EB2BD8">
        <w:rPr>
          <w:spacing w:val="-9"/>
          <w:sz w:val="28"/>
        </w:rPr>
        <w:t xml:space="preserve"> </w:t>
      </w:r>
      <w:r w:rsidRPr="00EB2BD8">
        <w:rPr>
          <w:sz w:val="28"/>
        </w:rPr>
        <w:t>of</w:t>
      </w:r>
      <w:r w:rsidRPr="00EB2BD8">
        <w:rPr>
          <w:spacing w:val="-9"/>
          <w:sz w:val="28"/>
        </w:rPr>
        <w:t xml:space="preserve"> </w:t>
      </w:r>
      <w:r w:rsidRPr="00EB2BD8">
        <w:rPr>
          <w:sz w:val="28"/>
        </w:rPr>
        <w:t>the</w:t>
      </w:r>
      <w:r w:rsidRPr="00EB2BD8">
        <w:rPr>
          <w:spacing w:val="-9"/>
          <w:sz w:val="28"/>
        </w:rPr>
        <w:t xml:space="preserve"> </w:t>
      </w:r>
      <w:r w:rsidRPr="00EB2BD8">
        <w:rPr>
          <w:sz w:val="28"/>
        </w:rPr>
        <w:t>review</w:t>
      </w:r>
      <w:r w:rsidRPr="00EB2BD8">
        <w:rPr>
          <w:spacing w:val="-9"/>
          <w:sz w:val="28"/>
        </w:rPr>
        <w:t xml:space="preserve"> </w:t>
      </w:r>
      <w:r w:rsidRPr="00EB2BD8">
        <w:rPr>
          <w:sz w:val="28"/>
        </w:rPr>
        <w:t xml:space="preserve">of the building system was </w:t>
      </w:r>
      <w:r w:rsidRPr="00EB2BD8">
        <w:rPr>
          <w:spacing w:val="-2"/>
          <w:sz w:val="28"/>
        </w:rPr>
        <w:t>released</w:t>
      </w:r>
    </w:p>
    <w:p w14:paraId="7346DF52" w14:textId="77777777" w:rsidR="00084F36" w:rsidRPr="00EB2BD8" w:rsidRDefault="00084F36">
      <w:pPr>
        <w:pStyle w:val="BodyText"/>
        <w:rPr>
          <w:sz w:val="20"/>
        </w:rPr>
      </w:pPr>
    </w:p>
    <w:p w14:paraId="00F240B5" w14:textId="77777777" w:rsidR="00084F36" w:rsidRPr="00EB2BD8" w:rsidRDefault="00084F36">
      <w:pPr>
        <w:pStyle w:val="BodyText"/>
        <w:rPr>
          <w:sz w:val="20"/>
        </w:rPr>
      </w:pPr>
    </w:p>
    <w:p w14:paraId="68A9133A" w14:textId="77777777" w:rsidR="00084F36" w:rsidRPr="00EB2BD8" w:rsidRDefault="00084F36">
      <w:pPr>
        <w:pStyle w:val="BodyText"/>
        <w:rPr>
          <w:sz w:val="20"/>
        </w:rPr>
      </w:pPr>
    </w:p>
    <w:p w14:paraId="3953901B" w14:textId="77777777" w:rsidR="00084F36" w:rsidRPr="00EB2BD8" w:rsidRDefault="00084F36">
      <w:pPr>
        <w:pStyle w:val="BodyText"/>
        <w:spacing w:before="7"/>
        <w:rPr>
          <w:sz w:val="16"/>
        </w:rPr>
      </w:pPr>
    </w:p>
    <w:p w14:paraId="107D0153" w14:textId="2AFC3F69" w:rsidR="00FA0E9B" w:rsidRPr="00FA0E9B" w:rsidRDefault="00FA0E9B" w:rsidP="00FA0E9B">
      <w:pPr>
        <w:pStyle w:val="Heading2"/>
      </w:pPr>
      <w:bookmarkStart w:id="46" w:name="_Toc150762349"/>
      <w:r>
        <w:t>Q4</w:t>
      </w:r>
      <w:bookmarkEnd w:id="46"/>
    </w:p>
    <w:p w14:paraId="55CC40A9" w14:textId="4CBA680C" w:rsidR="00084F36" w:rsidRPr="00EB2BD8" w:rsidRDefault="00EB2BD8">
      <w:pPr>
        <w:pStyle w:val="ListParagraph"/>
        <w:numPr>
          <w:ilvl w:val="1"/>
          <w:numId w:val="70"/>
        </w:numPr>
        <w:tabs>
          <w:tab w:val="left" w:pos="5116"/>
        </w:tabs>
        <w:spacing w:before="86" w:line="237" w:lineRule="auto"/>
        <w:ind w:right="3332"/>
        <w:rPr>
          <w:sz w:val="28"/>
        </w:rPr>
      </w:pPr>
      <w:r w:rsidRPr="00EB2BD8">
        <w:rPr>
          <w:spacing w:val="-6"/>
          <w:sz w:val="28"/>
        </w:rPr>
        <w:t>A</w:t>
      </w:r>
      <w:r w:rsidRPr="00EB2BD8">
        <w:rPr>
          <w:spacing w:val="-15"/>
          <w:sz w:val="28"/>
        </w:rPr>
        <w:t xml:space="preserve"> </w:t>
      </w:r>
      <w:r w:rsidRPr="00EB2BD8">
        <w:rPr>
          <w:spacing w:val="-6"/>
          <w:sz w:val="28"/>
        </w:rPr>
        <w:t>record</w:t>
      </w:r>
      <w:r w:rsidRPr="00EB2BD8">
        <w:rPr>
          <w:spacing w:val="-15"/>
          <w:sz w:val="28"/>
        </w:rPr>
        <w:t xml:space="preserve"> </w:t>
      </w:r>
      <w:r w:rsidRPr="00EB2BD8">
        <w:rPr>
          <w:spacing w:val="-6"/>
          <w:sz w:val="28"/>
        </w:rPr>
        <w:t>30,942</w:t>
      </w:r>
      <w:r w:rsidRPr="00EB2BD8">
        <w:rPr>
          <w:spacing w:val="-15"/>
          <w:sz w:val="28"/>
        </w:rPr>
        <w:t xml:space="preserve"> </w:t>
      </w:r>
      <w:r w:rsidRPr="00EB2BD8">
        <w:rPr>
          <w:spacing w:val="-6"/>
          <w:sz w:val="28"/>
        </w:rPr>
        <w:t xml:space="preserve">plumbers </w:t>
      </w:r>
      <w:r w:rsidRPr="00EB2BD8">
        <w:rPr>
          <w:sz w:val="28"/>
        </w:rPr>
        <w:t xml:space="preserve">licensed or registered in </w:t>
      </w:r>
      <w:r w:rsidRPr="00EB2BD8">
        <w:rPr>
          <w:spacing w:val="-2"/>
          <w:sz w:val="28"/>
        </w:rPr>
        <w:t>Victoria</w:t>
      </w:r>
    </w:p>
    <w:p w14:paraId="17D97FF8" w14:textId="77777777" w:rsidR="00084F36" w:rsidRPr="00EB2BD8" w:rsidRDefault="00EB2BD8">
      <w:pPr>
        <w:pStyle w:val="ListParagraph"/>
        <w:numPr>
          <w:ilvl w:val="1"/>
          <w:numId w:val="70"/>
        </w:numPr>
        <w:tabs>
          <w:tab w:val="left" w:pos="5116"/>
        </w:tabs>
        <w:spacing w:before="142" w:line="230" w:lineRule="auto"/>
        <w:ind w:right="3255"/>
        <w:rPr>
          <w:sz w:val="28"/>
        </w:rPr>
      </w:pPr>
      <w:r w:rsidRPr="00EB2BD8">
        <w:rPr>
          <w:spacing w:val="-2"/>
          <w:sz w:val="28"/>
        </w:rPr>
        <w:t>NCC</w:t>
      </w:r>
      <w:r w:rsidRPr="00EB2BD8">
        <w:rPr>
          <w:spacing w:val="-21"/>
          <w:sz w:val="28"/>
        </w:rPr>
        <w:t xml:space="preserve"> </w:t>
      </w:r>
      <w:r w:rsidRPr="00EB2BD8">
        <w:rPr>
          <w:spacing w:val="-2"/>
          <w:sz w:val="28"/>
        </w:rPr>
        <w:t>2022</w:t>
      </w:r>
      <w:r w:rsidRPr="00EB2BD8">
        <w:rPr>
          <w:spacing w:val="-20"/>
          <w:sz w:val="28"/>
        </w:rPr>
        <w:t xml:space="preserve"> </w:t>
      </w:r>
      <w:r w:rsidRPr="00EB2BD8">
        <w:rPr>
          <w:spacing w:val="-2"/>
          <w:sz w:val="28"/>
        </w:rPr>
        <w:t>was</w:t>
      </w:r>
      <w:r w:rsidRPr="00EB2BD8">
        <w:rPr>
          <w:spacing w:val="-20"/>
          <w:sz w:val="28"/>
        </w:rPr>
        <w:t xml:space="preserve"> </w:t>
      </w:r>
      <w:r w:rsidRPr="00EB2BD8">
        <w:rPr>
          <w:spacing w:val="-2"/>
          <w:sz w:val="28"/>
        </w:rPr>
        <w:t>adopted,</w:t>
      </w:r>
      <w:r w:rsidRPr="00EB2BD8">
        <w:rPr>
          <w:spacing w:val="-20"/>
          <w:sz w:val="28"/>
        </w:rPr>
        <w:t xml:space="preserve"> </w:t>
      </w:r>
      <w:r w:rsidRPr="00EB2BD8">
        <w:rPr>
          <w:spacing w:val="-2"/>
          <w:sz w:val="28"/>
        </w:rPr>
        <w:t xml:space="preserve">in </w:t>
      </w:r>
      <w:r w:rsidRPr="00EB2BD8">
        <w:rPr>
          <w:sz w:val="28"/>
        </w:rPr>
        <w:t>part, in Victoria</w:t>
      </w:r>
    </w:p>
    <w:p w14:paraId="0E0F0824" w14:textId="77777777" w:rsidR="00084F36" w:rsidRPr="00EB2BD8" w:rsidRDefault="00EB2BD8">
      <w:pPr>
        <w:pStyle w:val="ListParagraph"/>
        <w:numPr>
          <w:ilvl w:val="1"/>
          <w:numId w:val="70"/>
        </w:numPr>
        <w:tabs>
          <w:tab w:val="left" w:pos="5116"/>
        </w:tabs>
        <w:spacing w:before="140" w:line="230" w:lineRule="auto"/>
        <w:ind w:right="3078"/>
        <w:rPr>
          <w:sz w:val="28"/>
        </w:rPr>
      </w:pPr>
      <w:r w:rsidRPr="00EB2BD8">
        <w:rPr>
          <w:sz w:val="28"/>
        </w:rPr>
        <w:t xml:space="preserve">New Channel Management </w:t>
      </w:r>
      <w:r w:rsidRPr="00EB2BD8">
        <w:rPr>
          <w:w w:val="105"/>
          <w:sz w:val="28"/>
        </w:rPr>
        <w:t>System implemented</w:t>
      </w:r>
    </w:p>
    <w:p w14:paraId="71B805A5" w14:textId="77777777" w:rsidR="00084F36" w:rsidRPr="00EB2BD8" w:rsidRDefault="00EB2BD8">
      <w:pPr>
        <w:pStyle w:val="ListParagraph"/>
        <w:numPr>
          <w:ilvl w:val="1"/>
          <w:numId w:val="70"/>
        </w:numPr>
        <w:tabs>
          <w:tab w:val="left" w:pos="5116"/>
        </w:tabs>
        <w:spacing w:before="132" w:line="237" w:lineRule="auto"/>
        <w:ind w:right="3376"/>
        <w:rPr>
          <w:sz w:val="28"/>
        </w:rPr>
      </w:pPr>
      <w:r w:rsidRPr="00EB2BD8">
        <w:rPr>
          <w:sz w:val="28"/>
        </w:rPr>
        <w:t>Piloted</w:t>
      </w:r>
      <w:r w:rsidRPr="00EB2BD8">
        <w:rPr>
          <w:spacing w:val="-12"/>
          <w:sz w:val="28"/>
        </w:rPr>
        <w:t xml:space="preserve"> </w:t>
      </w:r>
      <w:r w:rsidRPr="00EB2BD8">
        <w:rPr>
          <w:sz w:val="28"/>
        </w:rPr>
        <w:t>Online</w:t>
      </w:r>
      <w:r w:rsidRPr="00EB2BD8">
        <w:rPr>
          <w:spacing w:val="-12"/>
          <w:sz w:val="28"/>
        </w:rPr>
        <w:t xml:space="preserve"> </w:t>
      </w:r>
      <w:r w:rsidRPr="00EB2BD8">
        <w:rPr>
          <w:sz w:val="28"/>
        </w:rPr>
        <w:t xml:space="preserve">Interactive Forms for building </w:t>
      </w:r>
      <w:r w:rsidRPr="00EB2BD8">
        <w:rPr>
          <w:spacing w:val="-2"/>
          <w:sz w:val="28"/>
        </w:rPr>
        <w:t>practitioners</w:t>
      </w:r>
    </w:p>
    <w:p w14:paraId="3BBD9077" w14:textId="77777777" w:rsidR="00084F36" w:rsidRPr="00EB2BD8" w:rsidRDefault="00084F36">
      <w:pPr>
        <w:spacing w:line="237" w:lineRule="auto"/>
        <w:rPr>
          <w:sz w:val="28"/>
        </w:rPr>
        <w:sectPr w:rsidR="00084F36" w:rsidRPr="00EB2BD8" w:rsidSect="006D75B2">
          <w:footerReference w:type="default" r:id="rId42"/>
          <w:pgSz w:w="11910" w:h="16840"/>
          <w:pgMar w:top="1080" w:right="0" w:bottom="720" w:left="0" w:header="861" w:footer="528" w:gutter="0"/>
          <w:cols w:space="720"/>
        </w:sectPr>
      </w:pPr>
    </w:p>
    <w:p w14:paraId="725BF314" w14:textId="77777777" w:rsidR="00084F36" w:rsidRPr="00EB2BD8" w:rsidRDefault="00084F36">
      <w:pPr>
        <w:pStyle w:val="BodyText"/>
        <w:rPr>
          <w:sz w:val="20"/>
        </w:rPr>
      </w:pPr>
    </w:p>
    <w:p w14:paraId="4C893BE7" w14:textId="77777777" w:rsidR="00084F36" w:rsidRPr="00EB2BD8" w:rsidRDefault="00084F36">
      <w:pPr>
        <w:pStyle w:val="BodyText"/>
        <w:rPr>
          <w:sz w:val="20"/>
        </w:rPr>
      </w:pPr>
    </w:p>
    <w:p w14:paraId="47CBEDA6" w14:textId="77777777" w:rsidR="00084F36" w:rsidRPr="00EB2BD8" w:rsidRDefault="00084F36">
      <w:pPr>
        <w:pStyle w:val="BodyText"/>
        <w:rPr>
          <w:sz w:val="20"/>
        </w:rPr>
      </w:pPr>
    </w:p>
    <w:p w14:paraId="7568E63F" w14:textId="77777777" w:rsidR="00084F36" w:rsidRPr="00EB2BD8" w:rsidRDefault="00084F36">
      <w:pPr>
        <w:pStyle w:val="BodyText"/>
        <w:rPr>
          <w:sz w:val="20"/>
        </w:rPr>
      </w:pPr>
    </w:p>
    <w:p w14:paraId="54560322" w14:textId="77777777" w:rsidR="00084F36" w:rsidRPr="00EB2BD8" w:rsidRDefault="00EB2BD8" w:rsidP="00EB2BD8">
      <w:pPr>
        <w:pStyle w:val="Heading1"/>
      </w:pPr>
      <w:bookmarkStart w:id="47" w:name="_TOC_250000"/>
      <w:bookmarkStart w:id="48" w:name="_Toc150762350"/>
      <w:r w:rsidRPr="00EB2BD8">
        <w:t>Financial</w:t>
      </w:r>
      <w:r w:rsidRPr="00EB2BD8">
        <w:rPr>
          <w:spacing w:val="-9"/>
        </w:rPr>
        <w:t xml:space="preserve"> </w:t>
      </w:r>
      <w:bookmarkEnd w:id="47"/>
      <w:r w:rsidRPr="00EB2BD8">
        <w:rPr>
          <w:spacing w:val="-2"/>
        </w:rPr>
        <w:t>summary</w:t>
      </w:r>
      <w:bookmarkEnd w:id="48"/>
    </w:p>
    <w:p w14:paraId="02C3201F" w14:textId="77777777" w:rsidR="00084F36" w:rsidRPr="00EB2BD8" w:rsidRDefault="00084F36">
      <w:pPr>
        <w:pStyle w:val="BodyText"/>
        <w:spacing w:before="7"/>
        <w:rPr>
          <w:rFonts w:ascii="Tahoma"/>
          <w:b/>
          <w:sz w:val="74"/>
        </w:rPr>
      </w:pPr>
    </w:p>
    <w:p w14:paraId="12B406E7" w14:textId="77777777" w:rsidR="00084F36" w:rsidRPr="00EB2BD8" w:rsidRDefault="00EB2BD8" w:rsidP="00DB0F6B">
      <w:pPr>
        <w:pStyle w:val="Heading3"/>
      </w:pPr>
      <w:bookmarkStart w:id="49" w:name="_Toc150762351"/>
      <w:r w:rsidRPr="00EB2BD8">
        <w:t>Table</w:t>
      </w:r>
      <w:r w:rsidRPr="00EB2BD8">
        <w:rPr>
          <w:spacing w:val="-10"/>
        </w:rPr>
        <w:t xml:space="preserve"> </w:t>
      </w:r>
      <w:r w:rsidRPr="00EB2BD8">
        <w:t>1:</w:t>
      </w:r>
      <w:r w:rsidRPr="00EB2BD8">
        <w:rPr>
          <w:spacing w:val="45"/>
        </w:rPr>
        <w:t xml:space="preserve"> </w:t>
      </w:r>
      <w:r w:rsidRPr="00EB2BD8">
        <w:t>VBA</w:t>
      </w:r>
      <w:r w:rsidRPr="00EB2BD8">
        <w:rPr>
          <w:spacing w:val="-9"/>
        </w:rPr>
        <w:t xml:space="preserve"> </w:t>
      </w:r>
      <w:r w:rsidRPr="00EB2BD8">
        <w:t>five-year</w:t>
      </w:r>
      <w:r w:rsidRPr="00EB2BD8">
        <w:rPr>
          <w:spacing w:val="-9"/>
        </w:rPr>
        <w:t xml:space="preserve"> </w:t>
      </w:r>
      <w:r w:rsidRPr="00EB2BD8">
        <w:t>financial</w:t>
      </w:r>
      <w:r w:rsidRPr="00EB2BD8">
        <w:rPr>
          <w:spacing w:val="-9"/>
        </w:rPr>
        <w:t xml:space="preserve"> </w:t>
      </w:r>
      <w:r w:rsidRPr="00EB2BD8">
        <w:rPr>
          <w:spacing w:val="-2"/>
        </w:rPr>
        <w:t>summary</w:t>
      </w:r>
      <w:bookmarkEnd w:id="49"/>
    </w:p>
    <w:p w14:paraId="1F7983E5" w14:textId="77777777" w:rsidR="00084F36" w:rsidRPr="00EB2BD8" w:rsidRDefault="00084F36">
      <w:pPr>
        <w:pStyle w:val="BodyText"/>
        <w:spacing w:before="6"/>
        <w:rPr>
          <w:sz w:val="20"/>
        </w:rPr>
      </w:pPr>
    </w:p>
    <w:tbl>
      <w:tblPr>
        <w:tblW w:w="0" w:type="auto"/>
        <w:tblInd w:w="857" w:type="dxa"/>
        <w:tblLayout w:type="fixed"/>
        <w:tblCellMar>
          <w:left w:w="0" w:type="dxa"/>
          <w:right w:w="0" w:type="dxa"/>
        </w:tblCellMar>
        <w:tblLook w:val="01E0" w:firstRow="1" w:lastRow="1" w:firstColumn="1" w:lastColumn="1" w:noHBand="0" w:noVBand="0"/>
      </w:tblPr>
      <w:tblGrid>
        <w:gridCol w:w="5030"/>
        <w:gridCol w:w="1163"/>
        <w:gridCol w:w="1021"/>
        <w:gridCol w:w="1037"/>
        <w:gridCol w:w="1033"/>
        <w:gridCol w:w="923"/>
      </w:tblGrid>
      <w:tr w:rsidR="00EB2BD8" w:rsidRPr="00EB2BD8" w14:paraId="75FF3EAE" w14:textId="77777777">
        <w:trPr>
          <w:trHeight w:val="616"/>
        </w:trPr>
        <w:tc>
          <w:tcPr>
            <w:tcW w:w="5030" w:type="dxa"/>
            <w:shd w:val="clear" w:color="auto" w:fill="005F83"/>
          </w:tcPr>
          <w:p w14:paraId="13C5A69C" w14:textId="77777777" w:rsidR="00084F36" w:rsidRPr="00EB2BD8" w:rsidRDefault="00084F36">
            <w:pPr>
              <w:pStyle w:val="TableParagraph"/>
              <w:rPr>
                <w:rFonts w:ascii="Times New Roman"/>
                <w:sz w:val="14"/>
              </w:rPr>
            </w:pPr>
          </w:p>
        </w:tc>
        <w:tc>
          <w:tcPr>
            <w:tcW w:w="1163" w:type="dxa"/>
            <w:shd w:val="clear" w:color="auto" w:fill="005F83"/>
          </w:tcPr>
          <w:p w14:paraId="20956DEA" w14:textId="77777777" w:rsidR="00084F36" w:rsidRPr="00DB0F6B" w:rsidRDefault="00EB2BD8">
            <w:pPr>
              <w:pStyle w:val="TableParagraph"/>
              <w:spacing w:before="118"/>
              <w:ind w:left="357"/>
              <w:rPr>
                <w:color w:val="FFFFFF" w:themeColor="background1"/>
                <w:sz w:val="16"/>
              </w:rPr>
            </w:pPr>
            <w:r w:rsidRPr="00DB0F6B">
              <w:rPr>
                <w:color w:val="FFFFFF" w:themeColor="background1"/>
                <w:spacing w:val="-2"/>
                <w:sz w:val="16"/>
              </w:rPr>
              <w:t>2022–23</w:t>
            </w:r>
          </w:p>
          <w:p w14:paraId="1FA6692D" w14:textId="77777777" w:rsidR="00084F36" w:rsidRPr="00DB0F6B" w:rsidRDefault="00EB2BD8">
            <w:pPr>
              <w:pStyle w:val="TableParagraph"/>
              <w:spacing w:before="42"/>
              <w:ind w:left="324"/>
              <w:rPr>
                <w:color w:val="FFFFFF" w:themeColor="background1"/>
                <w:sz w:val="16"/>
              </w:rPr>
            </w:pPr>
            <w:r w:rsidRPr="00DB0F6B">
              <w:rPr>
                <w:color w:val="FFFFFF" w:themeColor="background1"/>
                <w:w w:val="90"/>
                <w:sz w:val="16"/>
              </w:rPr>
              <w:t>$</w:t>
            </w:r>
            <w:r w:rsidRPr="00DB0F6B">
              <w:rPr>
                <w:color w:val="FFFFFF" w:themeColor="background1"/>
                <w:spacing w:val="-3"/>
                <w:w w:val="90"/>
                <w:sz w:val="16"/>
              </w:rPr>
              <w:t xml:space="preserve"> </w:t>
            </w:r>
            <w:r w:rsidRPr="00DB0F6B">
              <w:rPr>
                <w:color w:val="FFFFFF" w:themeColor="background1"/>
                <w:spacing w:val="-2"/>
                <w:w w:val="95"/>
                <w:sz w:val="16"/>
              </w:rPr>
              <w:t>million</w:t>
            </w:r>
          </w:p>
        </w:tc>
        <w:tc>
          <w:tcPr>
            <w:tcW w:w="1021" w:type="dxa"/>
            <w:shd w:val="clear" w:color="auto" w:fill="005F83"/>
          </w:tcPr>
          <w:p w14:paraId="4E1D9B8B" w14:textId="77777777" w:rsidR="00084F36" w:rsidRPr="00DB0F6B" w:rsidRDefault="00EB2BD8">
            <w:pPr>
              <w:pStyle w:val="TableParagraph"/>
              <w:spacing w:before="118"/>
              <w:ind w:left="244"/>
              <w:rPr>
                <w:color w:val="FFFFFF" w:themeColor="background1"/>
                <w:sz w:val="16"/>
              </w:rPr>
            </w:pPr>
            <w:r w:rsidRPr="00DB0F6B">
              <w:rPr>
                <w:color w:val="FFFFFF" w:themeColor="background1"/>
                <w:spacing w:val="-2"/>
                <w:w w:val="95"/>
                <w:sz w:val="16"/>
              </w:rPr>
              <w:t>2021–22</w:t>
            </w:r>
          </w:p>
          <w:p w14:paraId="60E5062D" w14:textId="77777777" w:rsidR="00084F36" w:rsidRPr="00DB0F6B" w:rsidRDefault="00EB2BD8">
            <w:pPr>
              <w:pStyle w:val="TableParagraph"/>
              <w:spacing w:before="42"/>
              <w:ind w:left="181"/>
              <w:rPr>
                <w:color w:val="FFFFFF" w:themeColor="background1"/>
                <w:sz w:val="16"/>
              </w:rPr>
            </w:pPr>
            <w:r w:rsidRPr="00DB0F6B">
              <w:rPr>
                <w:color w:val="FFFFFF" w:themeColor="background1"/>
                <w:w w:val="90"/>
                <w:sz w:val="16"/>
              </w:rPr>
              <w:t>$</w:t>
            </w:r>
            <w:r w:rsidRPr="00DB0F6B">
              <w:rPr>
                <w:color w:val="FFFFFF" w:themeColor="background1"/>
                <w:spacing w:val="-3"/>
                <w:w w:val="90"/>
                <w:sz w:val="16"/>
              </w:rPr>
              <w:t xml:space="preserve"> </w:t>
            </w:r>
            <w:r w:rsidRPr="00DB0F6B">
              <w:rPr>
                <w:color w:val="FFFFFF" w:themeColor="background1"/>
                <w:spacing w:val="-2"/>
                <w:w w:val="95"/>
                <w:sz w:val="16"/>
              </w:rPr>
              <w:t>million</w:t>
            </w:r>
          </w:p>
        </w:tc>
        <w:tc>
          <w:tcPr>
            <w:tcW w:w="1037" w:type="dxa"/>
            <w:shd w:val="clear" w:color="auto" w:fill="005F83"/>
          </w:tcPr>
          <w:p w14:paraId="4D2ACEA7" w14:textId="77777777" w:rsidR="00084F36" w:rsidRPr="00DB0F6B" w:rsidRDefault="00EB2BD8">
            <w:pPr>
              <w:pStyle w:val="TableParagraph"/>
              <w:spacing w:before="118"/>
              <w:ind w:left="186"/>
              <w:rPr>
                <w:color w:val="FFFFFF" w:themeColor="background1"/>
                <w:sz w:val="9"/>
              </w:rPr>
            </w:pPr>
            <w:r w:rsidRPr="00DB0F6B">
              <w:rPr>
                <w:color w:val="FFFFFF" w:themeColor="background1"/>
                <w:spacing w:val="-2"/>
                <w:w w:val="95"/>
                <w:sz w:val="16"/>
              </w:rPr>
              <w:t>2020–21</w:t>
            </w:r>
            <w:r w:rsidRPr="00DB0F6B">
              <w:rPr>
                <w:color w:val="FFFFFF" w:themeColor="background1"/>
                <w:spacing w:val="-2"/>
                <w:w w:val="95"/>
                <w:position w:val="5"/>
                <w:sz w:val="9"/>
              </w:rPr>
              <w:t>1</w:t>
            </w:r>
          </w:p>
          <w:p w14:paraId="7E46C27E" w14:textId="77777777" w:rsidR="00084F36" w:rsidRPr="00DB0F6B" w:rsidRDefault="00EB2BD8">
            <w:pPr>
              <w:pStyle w:val="TableParagraph"/>
              <w:spacing w:before="42"/>
              <w:ind w:left="181"/>
              <w:rPr>
                <w:color w:val="FFFFFF" w:themeColor="background1"/>
                <w:sz w:val="16"/>
              </w:rPr>
            </w:pPr>
            <w:r w:rsidRPr="00DB0F6B">
              <w:rPr>
                <w:color w:val="FFFFFF" w:themeColor="background1"/>
                <w:w w:val="90"/>
                <w:sz w:val="16"/>
              </w:rPr>
              <w:t>$</w:t>
            </w:r>
            <w:r w:rsidRPr="00DB0F6B">
              <w:rPr>
                <w:color w:val="FFFFFF" w:themeColor="background1"/>
                <w:spacing w:val="-3"/>
                <w:w w:val="90"/>
                <w:sz w:val="16"/>
              </w:rPr>
              <w:t xml:space="preserve"> </w:t>
            </w:r>
            <w:r w:rsidRPr="00DB0F6B">
              <w:rPr>
                <w:color w:val="FFFFFF" w:themeColor="background1"/>
                <w:spacing w:val="-2"/>
                <w:w w:val="95"/>
                <w:sz w:val="16"/>
              </w:rPr>
              <w:t>million</w:t>
            </w:r>
          </w:p>
        </w:tc>
        <w:tc>
          <w:tcPr>
            <w:tcW w:w="1033" w:type="dxa"/>
            <w:shd w:val="clear" w:color="auto" w:fill="005F83"/>
          </w:tcPr>
          <w:p w14:paraId="7BA05634" w14:textId="77777777" w:rsidR="00084F36" w:rsidRPr="00DB0F6B" w:rsidRDefault="00EB2BD8">
            <w:pPr>
              <w:pStyle w:val="TableParagraph"/>
              <w:spacing w:before="118"/>
              <w:ind w:left="140"/>
              <w:rPr>
                <w:color w:val="FFFFFF" w:themeColor="background1"/>
                <w:sz w:val="9"/>
              </w:rPr>
            </w:pPr>
            <w:r w:rsidRPr="00DB0F6B">
              <w:rPr>
                <w:color w:val="FFFFFF" w:themeColor="background1"/>
                <w:spacing w:val="-2"/>
                <w:sz w:val="16"/>
              </w:rPr>
              <w:t>2019–20</w:t>
            </w:r>
            <w:r w:rsidRPr="00DB0F6B">
              <w:rPr>
                <w:color w:val="FFFFFF" w:themeColor="background1"/>
                <w:spacing w:val="-2"/>
                <w:position w:val="5"/>
                <w:sz w:val="9"/>
              </w:rPr>
              <w:t>2</w:t>
            </w:r>
          </w:p>
          <w:p w14:paraId="51180199" w14:textId="77777777" w:rsidR="00084F36" w:rsidRPr="00DB0F6B" w:rsidRDefault="00EB2BD8">
            <w:pPr>
              <w:pStyle w:val="TableParagraph"/>
              <w:spacing w:before="42"/>
              <w:ind w:left="164"/>
              <w:rPr>
                <w:color w:val="FFFFFF" w:themeColor="background1"/>
                <w:sz w:val="16"/>
              </w:rPr>
            </w:pPr>
            <w:r w:rsidRPr="00DB0F6B">
              <w:rPr>
                <w:color w:val="FFFFFF" w:themeColor="background1"/>
                <w:w w:val="90"/>
                <w:sz w:val="16"/>
              </w:rPr>
              <w:t>$</w:t>
            </w:r>
            <w:r w:rsidRPr="00DB0F6B">
              <w:rPr>
                <w:color w:val="FFFFFF" w:themeColor="background1"/>
                <w:spacing w:val="-3"/>
                <w:w w:val="90"/>
                <w:sz w:val="16"/>
              </w:rPr>
              <w:t xml:space="preserve"> </w:t>
            </w:r>
            <w:r w:rsidRPr="00DB0F6B">
              <w:rPr>
                <w:color w:val="FFFFFF" w:themeColor="background1"/>
                <w:spacing w:val="-2"/>
                <w:w w:val="95"/>
                <w:sz w:val="16"/>
              </w:rPr>
              <w:t>million</w:t>
            </w:r>
          </w:p>
        </w:tc>
        <w:tc>
          <w:tcPr>
            <w:tcW w:w="923" w:type="dxa"/>
            <w:shd w:val="clear" w:color="auto" w:fill="005F83"/>
          </w:tcPr>
          <w:p w14:paraId="21023C66" w14:textId="77777777" w:rsidR="00084F36" w:rsidRPr="00DB0F6B" w:rsidRDefault="00EB2BD8">
            <w:pPr>
              <w:pStyle w:val="TableParagraph"/>
              <w:spacing w:before="118"/>
              <w:ind w:left="219"/>
              <w:rPr>
                <w:color w:val="FFFFFF" w:themeColor="background1"/>
                <w:sz w:val="16"/>
              </w:rPr>
            </w:pPr>
            <w:r w:rsidRPr="00DB0F6B">
              <w:rPr>
                <w:color w:val="FFFFFF" w:themeColor="background1"/>
                <w:spacing w:val="-2"/>
                <w:w w:val="95"/>
                <w:sz w:val="16"/>
              </w:rPr>
              <w:t>2018–19</w:t>
            </w:r>
          </w:p>
          <w:p w14:paraId="6DD3EB85" w14:textId="77777777" w:rsidR="00084F36" w:rsidRPr="00DB0F6B" w:rsidRDefault="00EB2BD8">
            <w:pPr>
              <w:pStyle w:val="TableParagraph"/>
              <w:spacing w:before="42"/>
              <w:ind w:left="152"/>
              <w:rPr>
                <w:color w:val="FFFFFF" w:themeColor="background1"/>
                <w:sz w:val="16"/>
              </w:rPr>
            </w:pPr>
            <w:r w:rsidRPr="00DB0F6B">
              <w:rPr>
                <w:color w:val="FFFFFF" w:themeColor="background1"/>
                <w:w w:val="90"/>
                <w:sz w:val="16"/>
              </w:rPr>
              <w:t>$</w:t>
            </w:r>
            <w:r w:rsidRPr="00DB0F6B">
              <w:rPr>
                <w:color w:val="FFFFFF" w:themeColor="background1"/>
                <w:spacing w:val="-3"/>
                <w:w w:val="90"/>
                <w:sz w:val="16"/>
              </w:rPr>
              <w:t xml:space="preserve"> </w:t>
            </w:r>
            <w:r w:rsidRPr="00DB0F6B">
              <w:rPr>
                <w:color w:val="FFFFFF" w:themeColor="background1"/>
                <w:spacing w:val="-2"/>
                <w:w w:val="95"/>
                <w:sz w:val="16"/>
              </w:rPr>
              <w:t>million</w:t>
            </w:r>
          </w:p>
        </w:tc>
      </w:tr>
      <w:tr w:rsidR="00EB2BD8" w:rsidRPr="00EB2BD8" w14:paraId="15A8D89B" w14:textId="77777777">
        <w:trPr>
          <w:trHeight w:val="384"/>
        </w:trPr>
        <w:tc>
          <w:tcPr>
            <w:tcW w:w="5030" w:type="dxa"/>
            <w:tcBorders>
              <w:bottom w:val="single" w:sz="2" w:space="0" w:color="000000"/>
            </w:tcBorders>
          </w:tcPr>
          <w:p w14:paraId="5C1492AB" w14:textId="77777777" w:rsidR="00084F36" w:rsidRPr="00EB2BD8" w:rsidRDefault="00EB2BD8">
            <w:pPr>
              <w:pStyle w:val="TableParagraph"/>
              <w:spacing w:before="118"/>
              <w:ind w:left="113"/>
              <w:rPr>
                <w:sz w:val="16"/>
              </w:rPr>
            </w:pPr>
            <w:r w:rsidRPr="00EB2BD8">
              <w:rPr>
                <w:spacing w:val="-2"/>
                <w:sz w:val="16"/>
              </w:rPr>
              <w:t>Building</w:t>
            </w:r>
            <w:r w:rsidRPr="00EB2BD8">
              <w:rPr>
                <w:spacing w:val="-3"/>
                <w:sz w:val="16"/>
              </w:rPr>
              <w:t xml:space="preserve"> </w:t>
            </w:r>
            <w:r w:rsidRPr="00EB2BD8">
              <w:rPr>
                <w:spacing w:val="-2"/>
                <w:sz w:val="16"/>
              </w:rPr>
              <w:t>permit</w:t>
            </w:r>
            <w:r w:rsidRPr="00EB2BD8">
              <w:rPr>
                <w:spacing w:val="-3"/>
                <w:sz w:val="16"/>
              </w:rPr>
              <w:t xml:space="preserve"> </w:t>
            </w:r>
            <w:r w:rsidRPr="00EB2BD8">
              <w:rPr>
                <w:spacing w:val="-2"/>
                <w:sz w:val="16"/>
              </w:rPr>
              <w:t>levies</w:t>
            </w:r>
          </w:p>
        </w:tc>
        <w:tc>
          <w:tcPr>
            <w:tcW w:w="1163" w:type="dxa"/>
            <w:tcBorders>
              <w:bottom w:val="single" w:sz="2" w:space="0" w:color="000000"/>
            </w:tcBorders>
          </w:tcPr>
          <w:p w14:paraId="1C4B94E5" w14:textId="77777777" w:rsidR="00084F36" w:rsidRPr="00EB2BD8" w:rsidRDefault="00EB2BD8">
            <w:pPr>
              <w:pStyle w:val="TableParagraph"/>
              <w:spacing w:before="118"/>
              <w:ind w:right="182"/>
              <w:jc w:val="right"/>
              <w:rPr>
                <w:sz w:val="16"/>
              </w:rPr>
            </w:pPr>
            <w:r w:rsidRPr="00EB2BD8">
              <w:rPr>
                <w:spacing w:val="-4"/>
                <w:sz w:val="16"/>
              </w:rPr>
              <w:t>44.8</w:t>
            </w:r>
          </w:p>
        </w:tc>
        <w:tc>
          <w:tcPr>
            <w:tcW w:w="1021" w:type="dxa"/>
            <w:tcBorders>
              <w:bottom w:val="single" w:sz="2" w:space="0" w:color="000000"/>
            </w:tcBorders>
          </w:tcPr>
          <w:p w14:paraId="1A9BE8D0" w14:textId="77777777" w:rsidR="00084F36" w:rsidRPr="00EB2BD8" w:rsidRDefault="00EB2BD8">
            <w:pPr>
              <w:pStyle w:val="TableParagraph"/>
              <w:spacing w:before="118"/>
              <w:ind w:right="183"/>
              <w:jc w:val="right"/>
              <w:rPr>
                <w:sz w:val="16"/>
              </w:rPr>
            </w:pPr>
            <w:r w:rsidRPr="00EB2BD8">
              <w:rPr>
                <w:spacing w:val="-4"/>
                <w:w w:val="95"/>
                <w:sz w:val="16"/>
              </w:rPr>
              <w:t>42.8</w:t>
            </w:r>
          </w:p>
        </w:tc>
        <w:tc>
          <w:tcPr>
            <w:tcW w:w="1037" w:type="dxa"/>
            <w:tcBorders>
              <w:bottom w:val="single" w:sz="2" w:space="0" w:color="000000"/>
            </w:tcBorders>
          </w:tcPr>
          <w:p w14:paraId="6A3F424F" w14:textId="77777777" w:rsidR="00084F36" w:rsidRPr="00EB2BD8" w:rsidRDefault="00EB2BD8">
            <w:pPr>
              <w:pStyle w:val="TableParagraph"/>
              <w:spacing w:before="118"/>
              <w:ind w:right="199"/>
              <w:jc w:val="right"/>
              <w:rPr>
                <w:sz w:val="16"/>
              </w:rPr>
            </w:pPr>
            <w:r w:rsidRPr="00EB2BD8">
              <w:rPr>
                <w:spacing w:val="-4"/>
                <w:sz w:val="16"/>
              </w:rPr>
              <w:t>39.8</w:t>
            </w:r>
          </w:p>
        </w:tc>
        <w:tc>
          <w:tcPr>
            <w:tcW w:w="1033" w:type="dxa"/>
            <w:tcBorders>
              <w:bottom w:val="single" w:sz="2" w:space="0" w:color="000000"/>
            </w:tcBorders>
          </w:tcPr>
          <w:p w14:paraId="17DFCD3C" w14:textId="77777777" w:rsidR="00084F36" w:rsidRPr="00EB2BD8" w:rsidRDefault="00EB2BD8">
            <w:pPr>
              <w:pStyle w:val="TableParagraph"/>
              <w:spacing w:before="118"/>
              <w:ind w:right="211"/>
              <w:jc w:val="right"/>
              <w:rPr>
                <w:sz w:val="16"/>
              </w:rPr>
            </w:pPr>
            <w:r w:rsidRPr="00EB2BD8">
              <w:rPr>
                <w:spacing w:val="-4"/>
                <w:w w:val="95"/>
                <w:sz w:val="16"/>
              </w:rPr>
              <w:t>44.7</w:t>
            </w:r>
          </w:p>
        </w:tc>
        <w:tc>
          <w:tcPr>
            <w:tcW w:w="923" w:type="dxa"/>
            <w:tcBorders>
              <w:bottom w:val="single" w:sz="2" w:space="0" w:color="000000"/>
            </w:tcBorders>
          </w:tcPr>
          <w:p w14:paraId="7FD125EC" w14:textId="77777777" w:rsidR="00084F36" w:rsidRPr="00EB2BD8" w:rsidRDefault="00EB2BD8">
            <w:pPr>
              <w:pStyle w:val="TableParagraph"/>
              <w:spacing w:before="118"/>
              <w:ind w:right="114"/>
              <w:jc w:val="right"/>
              <w:rPr>
                <w:sz w:val="16"/>
              </w:rPr>
            </w:pPr>
            <w:r w:rsidRPr="00EB2BD8">
              <w:rPr>
                <w:spacing w:val="-4"/>
                <w:sz w:val="16"/>
              </w:rPr>
              <w:t>39.3</w:t>
            </w:r>
          </w:p>
        </w:tc>
      </w:tr>
      <w:tr w:rsidR="00EB2BD8" w:rsidRPr="00EB2BD8" w14:paraId="738B5A52" w14:textId="77777777">
        <w:trPr>
          <w:trHeight w:val="381"/>
        </w:trPr>
        <w:tc>
          <w:tcPr>
            <w:tcW w:w="5030" w:type="dxa"/>
            <w:tcBorders>
              <w:top w:val="single" w:sz="2" w:space="0" w:color="000000"/>
              <w:bottom w:val="single" w:sz="2" w:space="0" w:color="000000"/>
            </w:tcBorders>
          </w:tcPr>
          <w:p w14:paraId="098A6E2E" w14:textId="77777777" w:rsidR="00084F36" w:rsidRPr="00EB2BD8" w:rsidRDefault="00EB2BD8">
            <w:pPr>
              <w:pStyle w:val="TableParagraph"/>
              <w:spacing w:before="116"/>
              <w:ind w:left="113"/>
              <w:rPr>
                <w:sz w:val="16"/>
              </w:rPr>
            </w:pPr>
            <w:r w:rsidRPr="00EB2BD8">
              <w:rPr>
                <w:sz w:val="16"/>
              </w:rPr>
              <w:t>Cladding</w:t>
            </w:r>
            <w:r w:rsidRPr="00EB2BD8">
              <w:rPr>
                <w:spacing w:val="-5"/>
                <w:sz w:val="16"/>
              </w:rPr>
              <w:t xml:space="preserve"> </w:t>
            </w:r>
            <w:r w:rsidRPr="00EB2BD8">
              <w:rPr>
                <w:sz w:val="16"/>
              </w:rPr>
              <w:t>rectification</w:t>
            </w:r>
            <w:r w:rsidRPr="00EB2BD8">
              <w:rPr>
                <w:spacing w:val="-5"/>
                <w:sz w:val="16"/>
              </w:rPr>
              <w:t xml:space="preserve"> </w:t>
            </w:r>
            <w:r w:rsidRPr="00EB2BD8">
              <w:rPr>
                <w:spacing w:val="-4"/>
                <w:sz w:val="16"/>
              </w:rPr>
              <w:t>levy</w:t>
            </w:r>
          </w:p>
        </w:tc>
        <w:tc>
          <w:tcPr>
            <w:tcW w:w="1163" w:type="dxa"/>
            <w:tcBorders>
              <w:top w:val="single" w:sz="2" w:space="0" w:color="000000"/>
              <w:bottom w:val="single" w:sz="2" w:space="0" w:color="000000"/>
            </w:tcBorders>
          </w:tcPr>
          <w:p w14:paraId="1EB19336" w14:textId="77777777" w:rsidR="00084F36" w:rsidRPr="00EB2BD8" w:rsidRDefault="00EB2BD8">
            <w:pPr>
              <w:pStyle w:val="TableParagraph"/>
              <w:spacing w:before="116"/>
              <w:ind w:right="181"/>
              <w:jc w:val="right"/>
              <w:rPr>
                <w:sz w:val="16"/>
              </w:rPr>
            </w:pPr>
            <w:r w:rsidRPr="00EB2BD8">
              <w:rPr>
                <w:w w:val="135"/>
                <w:sz w:val="16"/>
              </w:rPr>
              <w:t>-</w:t>
            </w:r>
          </w:p>
        </w:tc>
        <w:tc>
          <w:tcPr>
            <w:tcW w:w="1021" w:type="dxa"/>
            <w:tcBorders>
              <w:top w:val="single" w:sz="2" w:space="0" w:color="000000"/>
              <w:bottom w:val="single" w:sz="2" w:space="0" w:color="000000"/>
            </w:tcBorders>
          </w:tcPr>
          <w:p w14:paraId="1D693072" w14:textId="77777777" w:rsidR="00084F36" w:rsidRPr="00EB2BD8" w:rsidRDefault="00EB2BD8">
            <w:pPr>
              <w:pStyle w:val="TableParagraph"/>
              <w:spacing w:before="116"/>
              <w:ind w:right="182"/>
              <w:jc w:val="right"/>
              <w:rPr>
                <w:sz w:val="16"/>
              </w:rPr>
            </w:pPr>
            <w:r w:rsidRPr="00EB2BD8">
              <w:rPr>
                <w:w w:val="135"/>
                <w:sz w:val="16"/>
              </w:rPr>
              <w:t>-</w:t>
            </w:r>
          </w:p>
        </w:tc>
        <w:tc>
          <w:tcPr>
            <w:tcW w:w="1037" w:type="dxa"/>
            <w:tcBorders>
              <w:top w:val="single" w:sz="2" w:space="0" w:color="000000"/>
              <w:bottom w:val="single" w:sz="2" w:space="0" w:color="000000"/>
            </w:tcBorders>
          </w:tcPr>
          <w:p w14:paraId="6774573C" w14:textId="77777777" w:rsidR="00084F36" w:rsidRPr="00EB2BD8" w:rsidRDefault="00EB2BD8">
            <w:pPr>
              <w:pStyle w:val="TableParagraph"/>
              <w:spacing w:before="116"/>
              <w:ind w:right="198"/>
              <w:jc w:val="right"/>
              <w:rPr>
                <w:sz w:val="9"/>
              </w:rPr>
            </w:pPr>
            <w:r w:rsidRPr="00EB2BD8">
              <w:rPr>
                <w:spacing w:val="-2"/>
                <w:sz w:val="16"/>
              </w:rPr>
              <w:t>20.4</w:t>
            </w:r>
            <w:r w:rsidRPr="00EB2BD8">
              <w:rPr>
                <w:spacing w:val="-2"/>
                <w:position w:val="5"/>
                <w:sz w:val="9"/>
              </w:rPr>
              <w:t>3</w:t>
            </w:r>
          </w:p>
        </w:tc>
        <w:tc>
          <w:tcPr>
            <w:tcW w:w="1033" w:type="dxa"/>
            <w:tcBorders>
              <w:top w:val="single" w:sz="2" w:space="0" w:color="000000"/>
              <w:bottom w:val="single" w:sz="2" w:space="0" w:color="000000"/>
            </w:tcBorders>
          </w:tcPr>
          <w:p w14:paraId="7543801F" w14:textId="77777777" w:rsidR="00084F36" w:rsidRPr="00EB2BD8" w:rsidRDefault="00EB2BD8">
            <w:pPr>
              <w:pStyle w:val="TableParagraph"/>
              <w:spacing w:before="116"/>
              <w:ind w:right="212"/>
              <w:jc w:val="right"/>
              <w:rPr>
                <w:sz w:val="16"/>
              </w:rPr>
            </w:pPr>
            <w:r w:rsidRPr="00EB2BD8">
              <w:rPr>
                <w:spacing w:val="-4"/>
                <w:w w:val="90"/>
                <w:sz w:val="16"/>
              </w:rPr>
              <w:t>19.3</w:t>
            </w:r>
          </w:p>
        </w:tc>
        <w:tc>
          <w:tcPr>
            <w:tcW w:w="923" w:type="dxa"/>
            <w:tcBorders>
              <w:top w:val="single" w:sz="2" w:space="0" w:color="000000"/>
              <w:bottom w:val="single" w:sz="2" w:space="0" w:color="000000"/>
            </w:tcBorders>
          </w:tcPr>
          <w:p w14:paraId="3997119C" w14:textId="77777777" w:rsidR="00084F36" w:rsidRPr="00EB2BD8" w:rsidRDefault="00EB2BD8">
            <w:pPr>
              <w:pStyle w:val="TableParagraph"/>
              <w:spacing w:before="116"/>
              <w:ind w:right="130"/>
              <w:jc w:val="right"/>
              <w:rPr>
                <w:sz w:val="16"/>
              </w:rPr>
            </w:pPr>
            <w:r w:rsidRPr="00EB2BD8">
              <w:rPr>
                <w:spacing w:val="-5"/>
                <w:sz w:val="16"/>
              </w:rPr>
              <w:t>N/A</w:t>
            </w:r>
          </w:p>
        </w:tc>
      </w:tr>
      <w:tr w:rsidR="00EB2BD8" w:rsidRPr="00EB2BD8" w14:paraId="126F5BE8" w14:textId="77777777">
        <w:trPr>
          <w:trHeight w:val="381"/>
        </w:trPr>
        <w:tc>
          <w:tcPr>
            <w:tcW w:w="5030" w:type="dxa"/>
            <w:tcBorders>
              <w:top w:val="single" w:sz="2" w:space="0" w:color="000000"/>
              <w:bottom w:val="single" w:sz="2" w:space="0" w:color="000000"/>
            </w:tcBorders>
          </w:tcPr>
          <w:p w14:paraId="4414F506" w14:textId="77777777" w:rsidR="00084F36" w:rsidRPr="00EB2BD8" w:rsidRDefault="00EB2BD8">
            <w:pPr>
              <w:pStyle w:val="TableParagraph"/>
              <w:spacing w:before="116"/>
              <w:ind w:left="113"/>
              <w:rPr>
                <w:sz w:val="16"/>
              </w:rPr>
            </w:pPr>
            <w:r w:rsidRPr="00EB2BD8">
              <w:rPr>
                <w:sz w:val="16"/>
              </w:rPr>
              <w:t>Practitioner</w:t>
            </w:r>
            <w:r w:rsidRPr="00EB2BD8">
              <w:rPr>
                <w:spacing w:val="-7"/>
                <w:sz w:val="16"/>
              </w:rPr>
              <w:t xml:space="preserve"> </w:t>
            </w:r>
            <w:r w:rsidRPr="00EB2BD8">
              <w:rPr>
                <w:sz w:val="16"/>
              </w:rPr>
              <w:t>registration</w:t>
            </w:r>
            <w:r w:rsidRPr="00EB2BD8">
              <w:rPr>
                <w:spacing w:val="-6"/>
                <w:sz w:val="16"/>
              </w:rPr>
              <w:t xml:space="preserve"> </w:t>
            </w:r>
            <w:r w:rsidRPr="00EB2BD8">
              <w:rPr>
                <w:sz w:val="16"/>
              </w:rPr>
              <w:t>and</w:t>
            </w:r>
            <w:r w:rsidRPr="00EB2BD8">
              <w:rPr>
                <w:spacing w:val="-6"/>
                <w:sz w:val="16"/>
              </w:rPr>
              <w:t xml:space="preserve"> </w:t>
            </w:r>
            <w:r w:rsidRPr="00EB2BD8">
              <w:rPr>
                <w:spacing w:val="-2"/>
                <w:sz w:val="16"/>
              </w:rPr>
              <w:t>licences</w:t>
            </w:r>
          </w:p>
        </w:tc>
        <w:tc>
          <w:tcPr>
            <w:tcW w:w="1163" w:type="dxa"/>
            <w:tcBorders>
              <w:top w:val="single" w:sz="2" w:space="0" w:color="000000"/>
              <w:bottom w:val="single" w:sz="2" w:space="0" w:color="000000"/>
            </w:tcBorders>
          </w:tcPr>
          <w:p w14:paraId="7308BD1F" w14:textId="77777777" w:rsidR="00084F36" w:rsidRPr="00EB2BD8" w:rsidRDefault="00EB2BD8">
            <w:pPr>
              <w:pStyle w:val="TableParagraph"/>
              <w:spacing w:before="116"/>
              <w:ind w:right="182"/>
              <w:jc w:val="right"/>
              <w:rPr>
                <w:sz w:val="16"/>
              </w:rPr>
            </w:pPr>
            <w:r w:rsidRPr="00EB2BD8">
              <w:rPr>
                <w:spacing w:val="-4"/>
                <w:w w:val="95"/>
                <w:sz w:val="16"/>
              </w:rPr>
              <w:t>22.4</w:t>
            </w:r>
          </w:p>
        </w:tc>
        <w:tc>
          <w:tcPr>
            <w:tcW w:w="1021" w:type="dxa"/>
            <w:tcBorders>
              <w:top w:val="single" w:sz="2" w:space="0" w:color="000000"/>
              <w:bottom w:val="single" w:sz="2" w:space="0" w:color="000000"/>
            </w:tcBorders>
          </w:tcPr>
          <w:p w14:paraId="314C3537" w14:textId="77777777" w:rsidR="00084F36" w:rsidRPr="00EB2BD8" w:rsidRDefault="00EB2BD8">
            <w:pPr>
              <w:pStyle w:val="TableParagraph"/>
              <w:spacing w:before="116"/>
              <w:ind w:right="183"/>
              <w:jc w:val="right"/>
              <w:rPr>
                <w:sz w:val="16"/>
              </w:rPr>
            </w:pPr>
            <w:r w:rsidRPr="00EB2BD8">
              <w:rPr>
                <w:spacing w:val="-4"/>
                <w:w w:val="85"/>
                <w:sz w:val="16"/>
              </w:rPr>
              <w:t>13.5</w:t>
            </w:r>
          </w:p>
        </w:tc>
        <w:tc>
          <w:tcPr>
            <w:tcW w:w="1037" w:type="dxa"/>
            <w:tcBorders>
              <w:top w:val="single" w:sz="2" w:space="0" w:color="000000"/>
              <w:bottom w:val="single" w:sz="2" w:space="0" w:color="000000"/>
            </w:tcBorders>
          </w:tcPr>
          <w:p w14:paraId="53A248A2" w14:textId="77777777" w:rsidR="00084F36" w:rsidRPr="00EB2BD8" w:rsidRDefault="00EB2BD8">
            <w:pPr>
              <w:pStyle w:val="TableParagraph"/>
              <w:spacing w:before="116"/>
              <w:ind w:right="201"/>
              <w:jc w:val="right"/>
              <w:rPr>
                <w:sz w:val="16"/>
              </w:rPr>
            </w:pPr>
            <w:r w:rsidRPr="00EB2BD8">
              <w:rPr>
                <w:spacing w:val="-4"/>
                <w:w w:val="90"/>
                <w:sz w:val="16"/>
              </w:rPr>
              <w:t>12.0</w:t>
            </w:r>
          </w:p>
        </w:tc>
        <w:tc>
          <w:tcPr>
            <w:tcW w:w="1033" w:type="dxa"/>
            <w:tcBorders>
              <w:top w:val="single" w:sz="2" w:space="0" w:color="000000"/>
              <w:bottom w:val="single" w:sz="2" w:space="0" w:color="000000"/>
            </w:tcBorders>
          </w:tcPr>
          <w:p w14:paraId="13C95DE6" w14:textId="77777777" w:rsidR="00084F36" w:rsidRPr="00EB2BD8" w:rsidRDefault="00EB2BD8">
            <w:pPr>
              <w:pStyle w:val="TableParagraph"/>
              <w:spacing w:before="116"/>
              <w:ind w:right="211"/>
              <w:jc w:val="right"/>
              <w:rPr>
                <w:sz w:val="16"/>
              </w:rPr>
            </w:pPr>
            <w:r w:rsidRPr="00EB2BD8">
              <w:rPr>
                <w:spacing w:val="-4"/>
                <w:w w:val="70"/>
                <w:sz w:val="16"/>
              </w:rPr>
              <w:t>11.7</w:t>
            </w:r>
          </w:p>
        </w:tc>
        <w:tc>
          <w:tcPr>
            <w:tcW w:w="923" w:type="dxa"/>
            <w:tcBorders>
              <w:top w:val="single" w:sz="2" w:space="0" w:color="000000"/>
              <w:bottom w:val="single" w:sz="2" w:space="0" w:color="000000"/>
            </w:tcBorders>
          </w:tcPr>
          <w:p w14:paraId="2F23FB60" w14:textId="77777777" w:rsidR="00084F36" w:rsidRPr="00EB2BD8" w:rsidRDefault="00EB2BD8">
            <w:pPr>
              <w:pStyle w:val="TableParagraph"/>
              <w:spacing w:before="116"/>
              <w:ind w:right="114"/>
              <w:jc w:val="right"/>
              <w:rPr>
                <w:sz w:val="16"/>
              </w:rPr>
            </w:pPr>
            <w:r w:rsidRPr="00EB2BD8">
              <w:rPr>
                <w:spacing w:val="-4"/>
                <w:w w:val="90"/>
                <w:sz w:val="16"/>
              </w:rPr>
              <w:t>10.8</w:t>
            </w:r>
          </w:p>
        </w:tc>
      </w:tr>
      <w:tr w:rsidR="00EB2BD8" w:rsidRPr="00EB2BD8" w14:paraId="0BE5F5A5" w14:textId="77777777">
        <w:trPr>
          <w:trHeight w:val="381"/>
        </w:trPr>
        <w:tc>
          <w:tcPr>
            <w:tcW w:w="5030" w:type="dxa"/>
            <w:tcBorders>
              <w:top w:val="single" w:sz="2" w:space="0" w:color="000000"/>
              <w:bottom w:val="single" w:sz="2" w:space="0" w:color="000000"/>
            </w:tcBorders>
          </w:tcPr>
          <w:p w14:paraId="55259870" w14:textId="77777777" w:rsidR="00084F36" w:rsidRPr="00EB2BD8" w:rsidRDefault="00EB2BD8">
            <w:pPr>
              <w:pStyle w:val="TableParagraph"/>
              <w:spacing w:before="116"/>
              <w:ind w:left="113"/>
              <w:rPr>
                <w:sz w:val="16"/>
              </w:rPr>
            </w:pPr>
            <w:r w:rsidRPr="00EB2BD8">
              <w:rPr>
                <w:sz w:val="16"/>
              </w:rPr>
              <w:t>Plumbing</w:t>
            </w:r>
            <w:r w:rsidRPr="00EB2BD8">
              <w:rPr>
                <w:spacing w:val="-4"/>
                <w:sz w:val="16"/>
              </w:rPr>
              <w:t xml:space="preserve"> </w:t>
            </w:r>
            <w:r w:rsidRPr="00EB2BD8">
              <w:rPr>
                <w:sz w:val="16"/>
              </w:rPr>
              <w:t>compliance</w:t>
            </w:r>
            <w:r w:rsidRPr="00EB2BD8">
              <w:rPr>
                <w:spacing w:val="-3"/>
                <w:sz w:val="16"/>
              </w:rPr>
              <w:t xml:space="preserve"> </w:t>
            </w:r>
            <w:r w:rsidRPr="00EB2BD8">
              <w:rPr>
                <w:spacing w:val="-2"/>
                <w:sz w:val="16"/>
              </w:rPr>
              <w:t>certificates</w:t>
            </w:r>
          </w:p>
        </w:tc>
        <w:tc>
          <w:tcPr>
            <w:tcW w:w="1163" w:type="dxa"/>
            <w:tcBorders>
              <w:top w:val="single" w:sz="2" w:space="0" w:color="000000"/>
              <w:bottom w:val="single" w:sz="2" w:space="0" w:color="000000"/>
            </w:tcBorders>
          </w:tcPr>
          <w:p w14:paraId="1E55F3A1" w14:textId="77777777" w:rsidR="00084F36" w:rsidRPr="00EB2BD8" w:rsidRDefault="00EB2BD8">
            <w:pPr>
              <w:pStyle w:val="TableParagraph"/>
              <w:spacing w:before="116"/>
              <w:ind w:right="181"/>
              <w:jc w:val="right"/>
              <w:rPr>
                <w:sz w:val="16"/>
              </w:rPr>
            </w:pPr>
            <w:r w:rsidRPr="00EB2BD8">
              <w:rPr>
                <w:spacing w:val="-4"/>
                <w:w w:val="80"/>
                <w:sz w:val="16"/>
              </w:rPr>
              <w:t>19.1</w:t>
            </w:r>
          </w:p>
        </w:tc>
        <w:tc>
          <w:tcPr>
            <w:tcW w:w="1021" w:type="dxa"/>
            <w:tcBorders>
              <w:top w:val="single" w:sz="2" w:space="0" w:color="000000"/>
              <w:bottom w:val="single" w:sz="2" w:space="0" w:color="000000"/>
            </w:tcBorders>
          </w:tcPr>
          <w:p w14:paraId="62703364" w14:textId="77777777" w:rsidR="00084F36" w:rsidRPr="00EB2BD8" w:rsidRDefault="00EB2BD8">
            <w:pPr>
              <w:pStyle w:val="TableParagraph"/>
              <w:spacing w:before="116"/>
              <w:ind w:right="183"/>
              <w:jc w:val="right"/>
              <w:rPr>
                <w:sz w:val="16"/>
              </w:rPr>
            </w:pPr>
            <w:r w:rsidRPr="00EB2BD8">
              <w:rPr>
                <w:spacing w:val="-4"/>
                <w:w w:val="85"/>
                <w:sz w:val="16"/>
              </w:rPr>
              <w:t>17.8</w:t>
            </w:r>
          </w:p>
        </w:tc>
        <w:tc>
          <w:tcPr>
            <w:tcW w:w="1037" w:type="dxa"/>
            <w:tcBorders>
              <w:top w:val="single" w:sz="2" w:space="0" w:color="000000"/>
              <w:bottom w:val="single" w:sz="2" w:space="0" w:color="000000"/>
            </w:tcBorders>
          </w:tcPr>
          <w:p w14:paraId="05705D3F" w14:textId="77777777" w:rsidR="00084F36" w:rsidRPr="00EB2BD8" w:rsidRDefault="00EB2BD8">
            <w:pPr>
              <w:pStyle w:val="TableParagraph"/>
              <w:spacing w:before="116"/>
              <w:ind w:right="198"/>
              <w:jc w:val="right"/>
              <w:rPr>
                <w:sz w:val="16"/>
              </w:rPr>
            </w:pPr>
            <w:r w:rsidRPr="00EB2BD8">
              <w:rPr>
                <w:spacing w:val="-4"/>
                <w:w w:val="90"/>
                <w:sz w:val="16"/>
              </w:rPr>
              <w:t>16.0</w:t>
            </w:r>
          </w:p>
        </w:tc>
        <w:tc>
          <w:tcPr>
            <w:tcW w:w="1033" w:type="dxa"/>
            <w:tcBorders>
              <w:top w:val="single" w:sz="2" w:space="0" w:color="000000"/>
              <w:bottom w:val="single" w:sz="2" w:space="0" w:color="000000"/>
            </w:tcBorders>
          </w:tcPr>
          <w:p w14:paraId="42B5EC2A" w14:textId="77777777" w:rsidR="00084F36" w:rsidRPr="00EB2BD8" w:rsidRDefault="00EB2BD8">
            <w:pPr>
              <w:pStyle w:val="TableParagraph"/>
              <w:spacing w:before="116"/>
              <w:ind w:right="211"/>
              <w:jc w:val="right"/>
              <w:rPr>
                <w:sz w:val="16"/>
              </w:rPr>
            </w:pPr>
            <w:r w:rsidRPr="00EB2BD8">
              <w:rPr>
                <w:spacing w:val="-4"/>
                <w:w w:val="75"/>
                <w:sz w:val="16"/>
              </w:rPr>
              <w:t>15.1</w:t>
            </w:r>
          </w:p>
        </w:tc>
        <w:tc>
          <w:tcPr>
            <w:tcW w:w="923" w:type="dxa"/>
            <w:tcBorders>
              <w:top w:val="single" w:sz="2" w:space="0" w:color="000000"/>
              <w:bottom w:val="single" w:sz="2" w:space="0" w:color="000000"/>
            </w:tcBorders>
          </w:tcPr>
          <w:p w14:paraId="5831DC86" w14:textId="77777777" w:rsidR="00084F36" w:rsidRPr="00EB2BD8" w:rsidRDefault="00EB2BD8">
            <w:pPr>
              <w:pStyle w:val="TableParagraph"/>
              <w:spacing w:before="116"/>
              <w:ind w:right="114"/>
              <w:jc w:val="right"/>
              <w:rPr>
                <w:sz w:val="16"/>
              </w:rPr>
            </w:pPr>
            <w:r w:rsidRPr="00EB2BD8">
              <w:rPr>
                <w:spacing w:val="-4"/>
                <w:w w:val="90"/>
                <w:sz w:val="16"/>
              </w:rPr>
              <w:t>14.8</w:t>
            </w:r>
          </w:p>
        </w:tc>
      </w:tr>
      <w:tr w:rsidR="00EB2BD8" w:rsidRPr="00EB2BD8" w14:paraId="7C7D4BE2" w14:textId="77777777">
        <w:trPr>
          <w:trHeight w:val="379"/>
        </w:trPr>
        <w:tc>
          <w:tcPr>
            <w:tcW w:w="5030" w:type="dxa"/>
            <w:tcBorders>
              <w:top w:val="single" w:sz="2" w:space="0" w:color="000000"/>
              <w:bottom w:val="single" w:sz="4" w:space="0" w:color="000000"/>
            </w:tcBorders>
          </w:tcPr>
          <w:p w14:paraId="100D832D" w14:textId="77777777" w:rsidR="00084F36" w:rsidRPr="00EB2BD8" w:rsidRDefault="00EB2BD8">
            <w:pPr>
              <w:pStyle w:val="TableParagraph"/>
              <w:spacing w:before="116"/>
              <w:ind w:left="113"/>
              <w:rPr>
                <w:sz w:val="16"/>
              </w:rPr>
            </w:pPr>
            <w:r w:rsidRPr="00EB2BD8">
              <w:rPr>
                <w:sz w:val="16"/>
              </w:rPr>
              <w:t>Other</w:t>
            </w:r>
            <w:r w:rsidRPr="00EB2BD8">
              <w:rPr>
                <w:spacing w:val="-8"/>
                <w:sz w:val="16"/>
              </w:rPr>
              <w:t xml:space="preserve"> </w:t>
            </w:r>
            <w:r w:rsidRPr="00EB2BD8">
              <w:rPr>
                <w:spacing w:val="-2"/>
                <w:sz w:val="16"/>
              </w:rPr>
              <w:t>income</w:t>
            </w:r>
          </w:p>
        </w:tc>
        <w:tc>
          <w:tcPr>
            <w:tcW w:w="1163" w:type="dxa"/>
            <w:tcBorders>
              <w:top w:val="single" w:sz="2" w:space="0" w:color="000000"/>
              <w:bottom w:val="single" w:sz="4" w:space="0" w:color="000000"/>
            </w:tcBorders>
          </w:tcPr>
          <w:p w14:paraId="716E0CB8" w14:textId="77777777" w:rsidR="00084F36" w:rsidRPr="00EB2BD8" w:rsidRDefault="00EB2BD8">
            <w:pPr>
              <w:pStyle w:val="TableParagraph"/>
              <w:spacing w:before="116"/>
              <w:ind w:right="182"/>
              <w:jc w:val="right"/>
              <w:rPr>
                <w:sz w:val="16"/>
              </w:rPr>
            </w:pPr>
            <w:r w:rsidRPr="00EB2BD8">
              <w:rPr>
                <w:spacing w:val="-4"/>
                <w:w w:val="90"/>
                <w:sz w:val="16"/>
              </w:rPr>
              <w:t>27.4</w:t>
            </w:r>
          </w:p>
        </w:tc>
        <w:tc>
          <w:tcPr>
            <w:tcW w:w="1021" w:type="dxa"/>
            <w:tcBorders>
              <w:top w:val="single" w:sz="2" w:space="0" w:color="000000"/>
              <w:bottom w:val="single" w:sz="4" w:space="0" w:color="000000"/>
            </w:tcBorders>
          </w:tcPr>
          <w:p w14:paraId="25EAD19A" w14:textId="77777777" w:rsidR="00084F36" w:rsidRPr="00EB2BD8" w:rsidRDefault="00EB2BD8">
            <w:pPr>
              <w:pStyle w:val="TableParagraph"/>
              <w:spacing w:before="116"/>
              <w:ind w:right="182"/>
              <w:jc w:val="right"/>
              <w:rPr>
                <w:sz w:val="16"/>
              </w:rPr>
            </w:pPr>
            <w:r w:rsidRPr="00EB2BD8">
              <w:rPr>
                <w:spacing w:val="-4"/>
                <w:w w:val="85"/>
                <w:sz w:val="16"/>
              </w:rPr>
              <w:t>16.7</w:t>
            </w:r>
          </w:p>
        </w:tc>
        <w:tc>
          <w:tcPr>
            <w:tcW w:w="1037" w:type="dxa"/>
            <w:tcBorders>
              <w:top w:val="single" w:sz="2" w:space="0" w:color="000000"/>
              <w:bottom w:val="single" w:sz="4" w:space="0" w:color="000000"/>
            </w:tcBorders>
          </w:tcPr>
          <w:p w14:paraId="3C77C402" w14:textId="77777777" w:rsidR="00084F36" w:rsidRPr="00EB2BD8" w:rsidRDefault="00EB2BD8">
            <w:pPr>
              <w:pStyle w:val="TableParagraph"/>
              <w:spacing w:before="116"/>
              <w:ind w:right="209"/>
              <w:jc w:val="right"/>
              <w:rPr>
                <w:sz w:val="16"/>
              </w:rPr>
            </w:pPr>
            <w:r w:rsidRPr="00EB2BD8">
              <w:rPr>
                <w:spacing w:val="-4"/>
                <w:w w:val="80"/>
                <w:sz w:val="16"/>
              </w:rPr>
              <w:t>52.1</w:t>
            </w:r>
          </w:p>
        </w:tc>
        <w:tc>
          <w:tcPr>
            <w:tcW w:w="1033" w:type="dxa"/>
            <w:tcBorders>
              <w:top w:val="single" w:sz="2" w:space="0" w:color="000000"/>
              <w:bottom w:val="single" w:sz="4" w:space="0" w:color="000000"/>
            </w:tcBorders>
          </w:tcPr>
          <w:p w14:paraId="59A74A01" w14:textId="77777777" w:rsidR="00084F36" w:rsidRPr="00EB2BD8" w:rsidRDefault="00EB2BD8">
            <w:pPr>
              <w:pStyle w:val="TableParagraph"/>
              <w:spacing w:before="116"/>
              <w:ind w:right="211"/>
              <w:jc w:val="right"/>
              <w:rPr>
                <w:sz w:val="16"/>
              </w:rPr>
            </w:pPr>
            <w:r w:rsidRPr="00EB2BD8">
              <w:rPr>
                <w:spacing w:val="-4"/>
                <w:sz w:val="16"/>
              </w:rPr>
              <w:t>56.6</w:t>
            </w:r>
          </w:p>
        </w:tc>
        <w:tc>
          <w:tcPr>
            <w:tcW w:w="923" w:type="dxa"/>
            <w:tcBorders>
              <w:top w:val="single" w:sz="2" w:space="0" w:color="000000"/>
              <w:bottom w:val="single" w:sz="4" w:space="0" w:color="000000"/>
            </w:tcBorders>
          </w:tcPr>
          <w:p w14:paraId="01CEFAEF" w14:textId="77777777" w:rsidR="00084F36" w:rsidRPr="00EB2BD8" w:rsidRDefault="00EB2BD8">
            <w:pPr>
              <w:pStyle w:val="TableParagraph"/>
              <w:spacing w:before="116"/>
              <w:ind w:right="114"/>
              <w:jc w:val="right"/>
              <w:rPr>
                <w:sz w:val="16"/>
              </w:rPr>
            </w:pPr>
            <w:r w:rsidRPr="00EB2BD8">
              <w:rPr>
                <w:spacing w:val="-4"/>
                <w:w w:val="90"/>
                <w:sz w:val="16"/>
              </w:rPr>
              <w:t>20.7</w:t>
            </w:r>
          </w:p>
        </w:tc>
      </w:tr>
      <w:tr w:rsidR="00EB2BD8" w:rsidRPr="00EB2BD8" w14:paraId="511D1401" w14:textId="77777777">
        <w:trPr>
          <w:trHeight w:val="376"/>
        </w:trPr>
        <w:tc>
          <w:tcPr>
            <w:tcW w:w="5030" w:type="dxa"/>
            <w:tcBorders>
              <w:top w:val="single" w:sz="4" w:space="0" w:color="000000"/>
              <w:bottom w:val="single" w:sz="4" w:space="0" w:color="000000"/>
            </w:tcBorders>
          </w:tcPr>
          <w:p w14:paraId="6DD50B9F" w14:textId="77777777" w:rsidR="00084F36" w:rsidRPr="00EB2BD8" w:rsidRDefault="00EB2BD8">
            <w:pPr>
              <w:pStyle w:val="TableParagraph"/>
              <w:spacing w:before="112"/>
              <w:ind w:left="113"/>
              <w:rPr>
                <w:b/>
                <w:sz w:val="16"/>
              </w:rPr>
            </w:pPr>
            <w:r w:rsidRPr="00EB2BD8">
              <w:rPr>
                <w:b/>
                <w:spacing w:val="-8"/>
                <w:sz w:val="16"/>
              </w:rPr>
              <w:t>Total</w:t>
            </w:r>
            <w:r w:rsidRPr="00EB2BD8">
              <w:rPr>
                <w:b/>
                <w:spacing w:val="-9"/>
                <w:sz w:val="16"/>
              </w:rPr>
              <w:t xml:space="preserve"> </w:t>
            </w:r>
            <w:r w:rsidRPr="00EB2BD8">
              <w:rPr>
                <w:b/>
                <w:spacing w:val="-2"/>
                <w:sz w:val="16"/>
              </w:rPr>
              <w:t>income</w:t>
            </w:r>
          </w:p>
        </w:tc>
        <w:tc>
          <w:tcPr>
            <w:tcW w:w="1163" w:type="dxa"/>
            <w:tcBorders>
              <w:top w:val="single" w:sz="4" w:space="0" w:color="000000"/>
              <w:bottom w:val="single" w:sz="4" w:space="0" w:color="000000"/>
            </w:tcBorders>
          </w:tcPr>
          <w:p w14:paraId="212BC089" w14:textId="77777777" w:rsidR="00084F36" w:rsidRPr="00EB2BD8" w:rsidRDefault="00EB2BD8">
            <w:pPr>
              <w:pStyle w:val="TableParagraph"/>
              <w:spacing w:before="112"/>
              <w:ind w:right="181"/>
              <w:jc w:val="right"/>
              <w:rPr>
                <w:b/>
                <w:sz w:val="16"/>
              </w:rPr>
            </w:pPr>
            <w:r w:rsidRPr="00EB2BD8">
              <w:rPr>
                <w:b/>
                <w:spacing w:val="-4"/>
                <w:w w:val="85"/>
                <w:sz w:val="16"/>
              </w:rPr>
              <w:t>113.7</w:t>
            </w:r>
          </w:p>
        </w:tc>
        <w:tc>
          <w:tcPr>
            <w:tcW w:w="1021" w:type="dxa"/>
            <w:tcBorders>
              <w:top w:val="single" w:sz="4" w:space="0" w:color="000000"/>
              <w:bottom w:val="single" w:sz="4" w:space="0" w:color="000000"/>
            </w:tcBorders>
          </w:tcPr>
          <w:p w14:paraId="2685FF4B" w14:textId="77777777" w:rsidR="00084F36" w:rsidRPr="00EB2BD8" w:rsidRDefault="00EB2BD8">
            <w:pPr>
              <w:pStyle w:val="TableParagraph"/>
              <w:spacing w:before="112"/>
              <w:ind w:right="183"/>
              <w:jc w:val="right"/>
              <w:rPr>
                <w:b/>
                <w:sz w:val="16"/>
              </w:rPr>
            </w:pPr>
            <w:r w:rsidRPr="00EB2BD8">
              <w:rPr>
                <w:b/>
                <w:spacing w:val="-4"/>
                <w:sz w:val="16"/>
              </w:rPr>
              <w:t>90.8</w:t>
            </w:r>
          </w:p>
        </w:tc>
        <w:tc>
          <w:tcPr>
            <w:tcW w:w="1037" w:type="dxa"/>
            <w:tcBorders>
              <w:top w:val="single" w:sz="4" w:space="0" w:color="000000"/>
              <w:bottom w:val="single" w:sz="4" w:space="0" w:color="000000"/>
            </w:tcBorders>
          </w:tcPr>
          <w:p w14:paraId="7D9FAA92" w14:textId="77777777" w:rsidR="00084F36" w:rsidRPr="00EB2BD8" w:rsidRDefault="00EB2BD8">
            <w:pPr>
              <w:pStyle w:val="TableParagraph"/>
              <w:spacing w:before="112"/>
              <w:ind w:right="199"/>
              <w:jc w:val="right"/>
              <w:rPr>
                <w:b/>
                <w:sz w:val="16"/>
              </w:rPr>
            </w:pPr>
            <w:r w:rsidRPr="00EB2BD8">
              <w:rPr>
                <w:b/>
                <w:spacing w:val="-4"/>
                <w:w w:val="95"/>
                <w:sz w:val="16"/>
              </w:rPr>
              <w:t>140.3</w:t>
            </w:r>
          </w:p>
        </w:tc>
        <w:tc>
          <w:tcPr>
            <w:tcW w:w="1033" w:type="dxa"/>
            <w:tcBorders>
              <w:top w:val="single" w:sz="4" w:space="0" w:color="000000"/>
              <w:bottom w:val="single" w:sz="4" w:space="0" w:color="000000"/>
            </w:tcBorders>
          </w:tcPr>
          <w:p w14:paraId="715FAA6F" w14:textId="77777777" w:rsidR="00084F36" w:rsidRPr="00EB2BD8" w:rsidRDefault="00EB2BD8">
            <w:pPr>
              <w:pStyle w:val="TableParagraph"/>
              <w:spacing w:before="112"/>
              <w:ind w:right="212"/>
              <w:jc w:val="right"/>
              <w:rPr>
                <w:b/>
                <w:sz w:val="16"/>
              </w:rPr>
            </w:pPr>
            <w:r w:rsidRPr="00EB2BD8">
              <w:rPr>
                <w:b/>
                <w:spacing w:val="-4"/>
                <w:w w:val="95"/>
                <w:sz w:val="16"/>
              </w:rPr>
              <w:t>147.4</w:t>
            </w:r>
          </w:p>
        </w:tc>
        <w:tc>
          <w:tcPr>
            <w:tcW w:w="923" w:type="dxa"/>
            <w:tcBorders>
              <w:top w:val="single" w:sz="4" w:space="0" w:color="000000"/>
              <w:bottom w:val="single" w:sz="4" w:space="0" w:color="000000"/>
            </w:tcBorders>
          </w:tcPr>
          <w:p w14:paraId="7E1A46DA" w14:textId="77777777" w:rsidR="00084F36" w:rsidRPr="00EB2BD8" w:rsidRDefault="00EB2BD8">
            <w:pPr>
              <w:pStyle w:val="TableParagraph"/>
              <w:spacing w:before="112"/>
              <w:ind w:right="113"/>
              <w:jc w:val="right"/>
              <w:rPr>
                <w:b/>
                <w:sz w:val="16"/>
              </w:rPr>
            </w:pPr>
            <w:r w:rsidRPr="00EB2BD8">
              <w:rPr>
                <w:b/>
                <w:spacing w:val="-4"/>
                <w:sz w:val="16"/>
              </w:rPr>
              <w:t>85.6</w:t>
            </w:r>
          </w:p>
        </w:tc>
      </w:tr>
      <w:tr w:rsidR="00EB2BD8" w:rsidRPr="00EB2BD8" w14:paraId="67222AAA" w14:textId="77777777">
        <w:trPr>
          <w:trHeight w:val="376"/>
        </w:trPr>
        <w:tc>
          <w:tcPr>
            <w:tcW w:w="5030" w:type="dxa"/>
            <w:tcBorders>
              <w:top w:val="single" w:sz="4" w:space="0" w:color="000000"/>
              <w:bottom w:val="single" w:sz="4" w:space="0" w:color="000000"/>
            </w:tcBorders>
          </w:tcPr>
          <w:p w14:paraId="6395391C" w14:textId="77777777" w:rsidR="00084F36" w:rsidRPr="00EB2BD8" w:rsidRDefault="00EB2BD8">
            <w:pPr>
              <w:pStyle w:val="TableParagraph"/>
              <w:spacing w:before="112"/>
              <w:ind w:left="113"/>
              <w:rPr>
                <w:b/>
                <w:sz w:val="16"/>
              </w:rPr>
            </w:pPr>
            <w:r w:rsidRPr="00EB2BD8">
              <w:rPr>
                <w:b/>
                <w:spacing w:val="-8"/>
                <w:sz w:val="16"/>
              </w:rPr>
              <w:t>Total</w:t>
            </w:r>
            <w:r w:rsidRPr="00EB2BD8">
              <w:rPr>
                <w:b/>
                <w:spacing w:val="-9"/>
                <w:sz w:val="16"/>
              </w:rPr>
              <w:t xml:space="preserve"> </w:t>
            </w:r>
            <w:r w:rsidRPr="00EB2BD8">
              <w:rPr>
                <w:b/>
                <w:spacing w:val="-2"/>
                <w:sz w:val="16"/>
              </w:rPr>
              <w:t>expenses</w:t>
            </w:r>
          </w:p>
        </w:tc>
        <w:tc>
          <w:tcPr>
            <w:tcW w:w="1163" w:type="dxa"/>
            <w:tcBorders>
              <w:top w:val="single" w:sz="4" w:space="0" w:color="000000"/>
              <w:bottom w:val="single" w:sz="4" w:space="0" w:color="000000"/>
            </w:tcBorders>
          </w:tcPr>
          <w:p w14:paraId="6EBCE3B3" w14:textId="77777777" w:rsidR="00084F36" w:rsidRPr="00EB2BD8" w:rsidRDefault="00EB2BD8">
            <w:pPr>
              <w:pStyle w:val="TableParagraph"/>
              <w:spacing w:before="112"/>
              <w:ind w:right="182"/>
              <w:jc w:val="right"/>
              <w:rPr>
                <w:b/>
                <w:sz w:val="16"/>
              </w:rPr>
            </w:pPr>
            <w:r w:rsidRPr="00EB2BD8">
              <w:rPr>
                <w:b/>
                <w:spacing w:val="-4"/>
                <w:w w:val="95"/>
                <w:sz w:val="16"/>
              </w:rPr>
              <w:t>105.3</w:t>
            </w:r>
          </w:p>
        </w:tc>
        <w:tc>
          <w:tcPr>
            <w:tcW w:w="1021" w:type="dxa"/>
            <w:tcBorders>
              <w:top w:val="single" w:sz="4" w:space="0" w:color="000000"/>
              <w:bottom w:val="single" w:sz="4" w:space="0" w:color="000000"/>
            </w:tcBorders>
          </w:tcPr>
          <w:p w14:paraId="5F7845E2" w14:textId="77777777" w:rsidR="00084F36" w:rsidRPr="00EB2BD8" w:rsidRDefault="00EB2BD8">
            <w:pPr>
              <w:pStyle w:val="TableParagraph"/>
              <w:spacing w:before="112"/>
              <w:ind w:right="183"/>
              <w:jc w:val="right"/>
              <w:rPr>
                <w:b/>
                <w:sz w:val="16"/>
              </w:rPr>
            </w:pPr>
            <w:r w:rsidRPr="00EB2BD8">
              <w:rPr>
                <w:b/>
                <w:spacing w:val="-4"/>
                <w:sz w:val="16"/>
              </w:rPr>
              <w:t>98.2</w:t>
            </w:r>
          </w:p>
        </w:tc>
        <w:tc>
          <w:tcPr>
            <w:tcW w:w="1037" w:type="dxa"/>
            <w:tcBorders>
              <w:top w:val="single" w:sz="4" w:space="0" w:color="000000"/>
              <w:bottom w:val="single" w:sz="4" w:space="0" w:color="000000"/>
            </w:tcBorders>
          </w:tcPr>
          <w:p w14:paraId="241DD2AF" w14:textId="77777777" w:rsidR="00084F36" w:rsidRPr="00EB2BD8" w:rsidRDefault="00EB2BD8">
            <w:pPr>
              <w:pStyle w:val="TableParagraph"/>
              <w:spacing w:before="112"/>
              <w:ind w:right="199"/>
              <w:jc w:val="right"/>
              <w:rPr>
                <w:b/>
                <w:sz w:val="16"/>
              </w:rPr>
            </w:pPr>
            <w:r w:rsidRPr="00EB2BD8">
              <w:rPr>
                <w:b/>
                <w:spacing w:val="-2"/>
                <w:w w:val="95"/>
                <w:sz w:val="16"/>
              </w:rPr>
              <w:t>124.5</w:t>
            </w:r>
          </w:p>
        </w:tc>
        <w:tc>
          <w:tcPr>
            <w:tcW w:w="1033" w:type="dxa"/>
            <w:tcBorders>
              <w:top w:val="single" w:sz="4" w:space="0" w:color="000000"/>
              <w:bottom w:val="single" w:sz="4" w:space="0" w:color="000000"/>
            </w:tcBorders>
          </w:tcPr>
          <w:p w14:paraId="27284669" w14:textId="77777777" w:rsidR="00084F36" w:rsidRPr="00EB2BD8" w:rsidRDefault="00EB2BD8">
            <w:pPr>
              <w:pStyle w:val="TableParagraph"/>
              <w:spacing w:before="112"/>
              <w:ind w:right="211"/>
              <w:jc w:val="right"/>
              <w:rPr>
                <w:b/>
                <w:sz w:val="16"/>
              </w:rPr>
            </w:pPr>
            <w:r w:rsidRPr="00EB2BD8">
              <w:rPr>
                <w:b/>
                <w:spacing w:val="-2"/>
                <w:w w:val="90"/>
                <w:sz w:val="16"/>
              </w:rPr>
              <w:t>101.0</w:t>
            </w:r>
          </w:p>
        </w:tc>
        <w:tc>
          <w:tcPr>
            <w:tcW w:w="923" w:type="dxa"/>
            <w:tcBorders>
              <w:top w:val="single" w:sz="4" w:space="0" w:color="000000"/>
              <w:bottom w:val="single" w:sz="4" w:space="0" w:color="000000"/>
            </w:tcBorders>
          </w:tcPr>
          <w:p w14:paraId="4F2204E2" w14:textId="77777777" w:rsidR="00084F36" w:rsidRPr="00EB2BD8" w:rsidRDefault="00EB2BD8">
            <w:pPr>
              <w:pStyle w:val="TableParagraph"/>
              <w:spacing w:before="112"/>
              <w:ind w:right="114"/>
              <w:jc w:val="right"/>
              <w:rPr>
                <w:b/>
                <w:sz w:val="16"/>
              </w:rPr>
            </w:pPr>
            <w:r w:rsidRPr="00EB2BD8">
              <w:rPr>
                <w:b/>
                <w:spacing w:val="-4"/>
                <w:w w:val="95"/>
                <w:sz w:val="16"/>
              </w:rPr>
              <w:t>77.8</w:t>
            </w:r>
          </w:p>
        </w:tc>
      </w:tr>
      <w:tr w:rsidR="00EB2BD8" w:rsidRPr="00EB2BD8" w14:paraId="70C2AB7B" w14:textId="77777777">
        <w:trPr>
          <w:trHeight w:val="376"/>
        </w:trPr>
        <w:tc>
          <w:tcPr>
            <w:tcW w:w="5030" w:type="dxa"/>
            <w:tcBorders>
              <w:top w:val="single" w:sz="4" w:space="0" w:color="000000"/>
              <w:bottom w:val="single" w:sz="4" w:space="0" w:color="000000"/>
            </w:tcBorders>
          </w:tcPr>
          <w:p w14:paraId="24CBB06C" w14:textId="77777777" w:rsidR="00084F36" w:rsidRPr="00EB2BD8" w:rsidRDefault="00EB2BD8">
            <w:pPr>
              <w:pStyle w:val="TableParagraph"/>
              <w:spacing w:before="113"/>
              <w:ind w:left="113"/>
              <w:rPr>
                <w:sz w:val="16"/>
              </w:rPr>
            </w:pPr>
            <w:r w:rsidRPr="00EB2BD8">
              <w:rPr>
                <w:sz w:val="16"/>
              </w:rPr>
              <w:t>Other</w:t>
            </w:r>
            <w:r w:rsidRPr="00EB2BD8">
              <w:rPr>
                <w:spacing w:val="-7"/>
                <w:sz w:val="16"/>
              </w:rPr>
              <w:t xml:space="preserve"> </w:t>
            </w:r>
            <w:r w:rsidRPr="00EB2BD8">
              <w:rPr>
                <w:sz w:val="16"/>
              </w:rPr>
              <w:t>income</w:t>
            </w:r>
            <w:r w:rsidRPr="00EB2BD8">
              <w:rPr>
                <w:spacing w:val="-6"/>
                <w:sz w:val="16"/>
              </w:rPr>
              <w:t xml:space="preserve"> </w:t>
            </w:r>
            <w:r w:rsidRPr="00EB2BD8">
              <w:rPr>
                <w:spacing w:val="-2"/>
                <w:sz w:val="16"/>
              </w:rPr>
              <w:t>flows</w:t>
            </w:r>
          </w:p>
        </w:tc>
        <w:tc>
          <w:tcPr>
            <w:tcW w:w="1163" w:type="dxa"/>
            <w:tcBorders>
              <w:top w:val="single" w:sz="4" w:space="0" w:color="000000"/>
              <w:bottom w:val="single" w:sz="4" w:space="0" w:color="000000"/>
            </w:tcBorders>
          </w:tcPr>
          <w:p w14:paraId="353BF1F5" w14:textId="77777777" w:rsidR="00084F36" w:rsidRPr="00EB2BD8" w:rsidRDefault="00EB2BD8">
            <w:pPr>
              <w:pStyle w:val="TableParagraph"/>
              <w:spacing w:before="113"/>
              <w:ind w:right="182"/>
              <w:jc w:val="right"/>
              <w:rPr>
                <w:sz w:val="16"/>
              </w:rPr>
            </w:pPr>
            <w:r w:rsidRPr="00EB2BD8">
              <w:rPr>
                <w:spacing w:val="-5"/>
                <w:sz w:val="16"/>
              </w:rPr>
              <w:t>0.5</w:t>
            </w:r>
          </w:p>
        </w:tc>
        <w:tc>
          <w:tcPr>
            <w:tcW w:w="1021" w:type="dxa"/>
            <w:tcBorders>
              <w:top w:val="single" w:sz="4" w:space="0" w:color="000000"/>
              <w:bottom w:val="single" w:sz="4" w:space="0" w:color="000000"/>
            </w:tcBorders>
          </w:tcPr>
          <w:p w14:paraId="57BE0BDC" w14:textId="77777777" w:rsidR="00084F36" w:rsidRPr="00EB2BD8" w:rsidRDefault="00EB2BD8">
            <w:pPr>
              <w:pStyle w:val="TableParagraph"/>
              <w:spacing w:before="113"/>
              <w:ind w:right="183"/>
              <w:jc w:val="right"/>
              <w:rPr>
                <w:sz w:val="16"/>
              </w:rPr>
            </w:pPr>
            <w:r w:rsidRPr="00EB2BD8">
              <w:rPr>
                <w:spacing w:val="-5"/>
                <w:w w:val="95"/>
                <w:sz w:val="16"/>
              </w:rPr>
              <w:t>0.2</w:t>
            </w:r>
          </w:p>
        </w:tc>
        <w:tc>
          <w:tcPr>
            <w:tcW w:w="1037" w:type="dxa"/>
            <w:tcBorders>
              <w:top w:val="single" w:sz="4" w:space="0" w:color="000000"/>
              <w:bottom w:val="single" w:sz="4" w:space="0" w:color="000000"/>
            </w:tcBorders>
          </w:tcPr>
          <w:p w14:paraId="30D9D82E" w14:textId="77777777" w:rsidR="00084F36" w:rsidRPr="00EB2BD8" w:rsidRDefault="00EB2BD8">
            <w:pPr>
              <w:pStyle w:val="TableParagraph"/>
              <w:spacing w:before="113"/>
              <w:ind w:right="198"/>
              <w:jc w:val="right"/>
              <w:rPr>
                <w:sz w:val="16"/>
              </w:rPr>
            </w:pPr>
            <w:r w:rsidRPr="00EB2BD8">
              <w:rPr>
                <w:w w:val="135"/>
                <w:sz w:val="16"/>
              </w:rPr>
              <w:t>-</w:t>
            </w:r>
          </w:p>
        </w:tc>
        <w:tc>
          <w:tcPr>
            <w:tcW w:w="1033" w:type="dxa"/>
            <w:tcBorders>
              <w:top w:val="single" w:sz="4" w:space="0" w:color="000000"/>
              <w:bottom w:val="single" w:sz="4" w:space="0" w:color="000000"/>
            </w:tcBorders>
          </w:tcPr>
          <w:p w14:paraId="30472DB6" w14:textId="77777777" w:rsidR="00084F36" w:rsidRPr="00EB2BD8" w:rsidRDefault="00EB2BD8">
            <w:pPr>
              <w:pStyle w:val="TableParagraph"/>
              <w:spacing w:before="113"/>
              <w:ind w:right="221"/>
              <w:jc w:val="right"/>
              <w:rPr>
                <w:sz w:val="16"/>
              </w:rPr>
            </w:pPr>
            <w:r w:rsidRPr="00EB2BD8">
              <w:rPr>
                <w:spacing w:val="-5"/>
                <w:w w:val="80"/>
                <w:sz w:val="16"/>
              </w:rPr>
              <w:t>0.1</w:t>
            </w:r>
          </w:p>
        </w:tc>
        <w:tc>
          <w:tcPr>
            <w:tcW w:w="923" w:type="dxa"/>
            <w:tcBorders>
              <w:top w:val="single" w:sz="4" w:space="0" w:color="000000"/>
              <w:bottom w:val="single" w:sz="4" w:space="0" w:color="000000"/>
            </w:tcBorders>
          </w:tcPr>
          <w:p w14:paraId="35B16028" w14:textId="77777777" w:rsidR="00084F36" w:rsidRPr="00EB2BD8" w:rsidRDefault="00EB2BD8">
            <w:pPr>
              <w:pStyle w:val="TableParagraph"/>
              <w:spacing w:before="113"/>
              <w:ind w:right="114"/>
              <w:jc w:val="right"/>
              <w:rPr>
                <w:sz w:val="16"/>
              </w:rPr>
            </w:pPr>
            <w:r w:rsidRPr="00EB2BD8">
              <w:rPr>
                <w:spacing w:val="-5"/>
                <w:sz w:val="16"/>
              </w:rPr>
              <w:t>0.3</w:t>
            </w:r>
          </w:p>
        </w:tc>
      </w:tr>
      <w:tr w:rsidR="00084F36" w:rsidRPr="00EB2BD8" w14:paraId="43801CD0" w14:textId="77777777">
        <w:trPr>
          <w:trHeight w:val="376"/>
        </w:trPr>
        <w:tc>
          <w:tcPr>
            <w:tcW w:w="5030" w:type="dxa"/>
            <w:tcBorders>
              <w:top w:val="single" w:sz="4" w:space="0" w:color="000000"/>
              <w:bottom w:val="single" w:sz="4" w:space="0" w:color="000000"/>
            </w:tcBorders>
          </w:tcPr>
          <w:p w14:paraId="77397C6D" w14:textId="77777777" w:rsidR="00084F36" w:rsidRPr="00EB2BD8" w:rsidRDefault="00EB2BD8">
            <w:pPr>
              <w:pStyle w:val="TableParagraph"/>
              <w:spacing w:before="112"/>
              <w:ind w:left="113"/>
              <w:rPr>
                <w:b/>
                <w:sz w:val="16"/>
              </w:rPr>
            </w:pPr>
            <w:r w:rsidRPr="00EB2BD8">
              <w:rPr>
                <w:b/>
                <w:spacing w:val="-6"/>
                <w:sz w:val="16"/>
              </w:rPr>
              <w:t>Net</w:t>
            </w:r>
            <w:r w:rsidRPr="00EB2BD8">
              <w:rPr>
                <w:b/>
                <w:spacing w:val="-11"/>
                <w:sz w:val="16"/>
              </w:rPr>
              <w:t xml:space="preserve"> </w:t>
            </w:r>
            <w:r w:rsidRPr="00EB2BD8">
              <w:rPr>
                <w:b/>
                <w:spacing w:val="-6"/>
                <w:sz w:val="16"/>
              </w:rPr>
              <w:t>result</w:t>
            </w:r>
            <w:r w:rsidRPr="00EB2BD8">
              <w:rPr>
                <w:b/>
                <w:spacing w:val="-10"/>
                <w:sz w:val="16"/>
              </w:rPr>
              <w:t xml:space="preserve"> </w:t>
            </w:r>
            <w:r w:rsidRPr="00EB2BD8">
              <w:rPr>
                <w:b/>
                <w:spacing w:val="-6"/>
                <w:sz w:val="16"/>
              </w:rPr>
              <w:t>from</w:t>
            </w:r>
            <w:r w:rsidRPr="00EB2BD8">
              <w:rPr>
                <w:b/>
                <w:spacing w:val="-11"/>
                <w:sz w:val="16"/>
              </w:rPr>
              <w:t xml:space="preserve"> </w:t>
            </w:r>
            <w:r w:rsidRPr="00EB2BD8">
              <w:rPr>
                <w:b/>
                <w:spacing w:val="-6"/>
                <w:sz w:val="16"/>
              </w:rPr>
              <w:t>continuing</w:t>
            </w:r>
            <w:r w:rsidRPr="00EB2BD8">
              <w:rPr>
                <w:b/>
                <w:spacing w:val="-10"/>
                <w:sz w:val="16"/>
              </w:rPr>
              <w:t xml:space="preserve"> </w:t>
            </w:r>
            <w:r w:rsidRPr="00EB2BD8">
              <w:rPr>
                <w:b/>
                <w:spacing w:val="-6"/>
                <w:sz w:val="16"/>
              </w:rPr>
              <w:t>operations</w:t>
            </w:r>
          </w:p>
        </w:tc>
        <w:tc>
          <w:tcPr>
            <w:tcW w:w="1163" w:type="dxa"/>
            <w:tcBorders>
              <w:top w:val="single" w:sz="4" w:space="0" w:color="000000"/>
              <w:bottom w:val="single" w:sz="4" w:space="0" w:color="000000"/>
            </w:tcBorders>
          </w:tcPr>
          <w:p w14:paraId="73674D6B" w14:textId="77777777" w:rsidR="00084F36" w:rsidRPr="00EB2BD8" w:rsidRDefault="00EB2BD8">
            <w:pPr>
              <w:pStyle w:val="TableParagraph"/>
              <w:spacing w:before="112"/>
              <w:ind w:right="185"/>
              <w:jc w:val="right"/>
              <w:rPr>
                <w:b/>
                <w:sz w:val="16"/>
              </w:rPr>
            </w:pPr>
            <w:r w:rsidRPr="00EB2BD8">
              <w:rPr>
                <w:b/>
                <w:spacing w:val="-5"/>
                <w:sz w:val="16"/>
              </w:rPr>
              <w:t>8.9</w:t>
            </w:r>
          </w:p>
        </w:tc>
        <w:tc>
          <w:tcPr>
            <w:tcW w:w="1021" w:type="dxa"/>
            <w:tcBorders>
              <w:top w:val="single" w:sz="4" w:space="0" w:color="000000"/>
              <w:bottom w:val="single" w:sz="4" w:space="0" w:color="000000"/>
            </w:tcBorders>
          </w:tcPr>
          <w:p w14:paraId="5D11EA65" w14:textId="77777777" w:rsidR="00084F36" w:rsidRPr="00EB2BD8" w:rsidRDefault="00EB2BD8">
            <w:pPr>
              <w:pStyle w:val="TableParagraph"/>
              <w:spacing w:before="112"/>
              <w:ind w:right="183"/>
              <w:jc w:val="right"/>
              <w:rPr>
                <w:b/>
                <w:sz w:val="16"/>
              </w:rPr>
            </w:pPr>
            <w:r w:rsidRPr="00EB2BD8">
              <w:rPr>
                <w:b/>
                <w:spacing w:val="-2"/>
                <w:sz w:val="16"/>
              </w:rPr>
              <w:t>(7.2)</w:t>
            </w:r>
          </w:p>
        </w:tc>
        <w:tc>
          <w:tcPr>
            <w:tcW w:w="1037" w:type="dxa"/>
            <w:tcBorders>
              <w:top w:val="single" w:sz="4" w:space="0" w:color="000000"/>
              <w:bottom w:val="single" w:sz="4" w:space="0" w:color="000000"/>
            </w:tcBorders>
          </w:tcPr>
          <w:p w14:paraId="135A0D85" w14:textId="77777777" w:rsidR="00084F36" w:rsidRPr="00EB2BD8" w:rsidRDefault="00EB2BD8">
            <w:pPr>
              <w:pStyle w:val="TableParagraph"/>
              <w:spacing w:before="112"/>
              <w:ind w:right="199"/>
              <w:jc w:val="right"/>
              <w:rPr>
                <w:b/>
                <w:sz w:val="16"/>
              </w:rPr>
            </w:pPr>
            <w:r w:rsidRPr="00EB2BD8">
              <w:rPr>
                <w:b/>
                <w:spacing w:val="-4"/>
                <w:w w:val="90"/>
                <w:sz w:val="16"/>
              </w:rPr>
              <w:t>15.8</w:t>
            </w:r>
          </w:p>
        </w:tc>
        <w:tc>
          <w:tcPr>
            <w:tcW w:w="1033" w:type="dxa"/>
            <w:tcBorders>
              <w:top w:val="single" w:sz="4" w:space="0" w:color="000000"/>
              <w:bottom w:val="single" w:sz="4" w:space="0" w:color="000000"/>
            </w:tcBorders>
          </w:tcPr>
          <w:p w14:paraId="00C55F38" w14:textId="77777777" w:rsidR="00084F36" w:rsidRPr="00EB2BD8" w:rsidRDefault="00EB2BD8">
            <w:pPr>
              <w:pStyle w:val="TableParagraph"/>
              <w:spacing w:before="112"/>
              <w:ind w:right="211"/>
              <w:jc w:val="right"/>
              <w:rPr>
                <w:sz w:val="9"/>
              </w:rPr>
            </w:pPr>
            <w:r w:rsidRPr="00EB2BD8">
              <w:rPr>
                <w:b/>
                <w:spacing w:val="-2"/>
                <w:sz w:val="16"/>
              </w:rPr>
              <w:t>46.5</w:t>
            </w:r>
            <w:r w:rsidRPr="00EB2BD8">
              <w:rPr>
                <w:spacing w:val="-2"/>
                <w:position w:val="5"/>
                <w:sz w:val="9"/>
              </w:rPr>
              <w:t>4</w:t>
            </w:r>
          </w:p>
        </w:tc>
        <w:tc>
          <w:tcPr>
            <w:tcW w:w="923" w:type="dxa"/>
            <w:tcBorders>
              <w:top w:val="single" w:sz="4" w:space="0" w:color="000000"/>
              <w:bottom w:val="single" w:sz="4" w:space="0" w:color="000000"/>
            </w:tcBorders>
          </w:tcPr>
          <w:p w14:paraId="2EE287CA" w14:textId="77777777" w:rsidR="00084F36" w:rsidRPr="00EB2BD8" w:rsidRDefault="00EB2BD8">
            <w:pPr>
              <w:pStyle w:val="TableParagraph"/>
              <w:spacing w:before="112"/>
              <w:ind w:right="124"/>
              <w:jc w:val="right"/>
              <w:rPr>
                <w:b/>
                <w:sz w:val="16"/>
              </w:rPr>
            </w:pPr>
            <w:r w:rsidRPr="00EB2BD8">
              <w:rPr>
                <w:b/>
                <w:spacing w:val="-5"/>
                <w:w w:val="85"/>
                <w:sz w:val="16"/>
              </w:rPr>
              <w:t>8.1</w:t>
            </w:r>
          </w:p>
        </w:tc>
      </w:tr>
    </w:tbl>
    <w:p w14:paraId="24DE2108" w14:textId="77777777" w:rsidR="00084F36" w:rsidRPr="00EB2BD8" w:rsidRDefault="00084F36">
      <w:pPr>
        <w:pStyle w:val="BodyText"/>
        <w:rPr>
          <w:sz w:val="20"/>
        </w:rPr>
      </w:pPr>
    </w:p>
    <w:p w14:paraId="78A5FA62" w14:textId="77777777" w:rsidR="00084F36" w:rsidRPr="00EB2BD8" w:rsidRDefault="00084F36">
      <w:pPr>
        <w:pStyle w:val="BodyText"/>
        <w:spacing w:before="11"/>
        <w:rPr>
          <w:sz w:val="12"/>
        </w:rPr>
      </w:pPr>
    </w:p>
    <w:tbl>
      <w:tblPr>
        <w:tblW w:w="0" w:type="auto"/>
        <w:tblInd w:w="857" w:type="dxa"/>
        <w:tblLayout w:type="fixed"/>
        <w:tblCellMar>
          <w:left w:w="0" w:type="dxa"/>
          <w:right w:w="0" w:type="dxa"/>
        </w:tblCellMar>
        <w:tblLook w:val="01E0" w:firstRow="1" w:lastRow="1" w:firstColumn="1" w:lastColumn="1" w:noHBand="0" w:noVBand="0"/>
      </w:tblPr>
      <w:tblGrid>
        <w:gridCol w:w="5030"/>
        <w:gridCol w:w="1163"/>
        <w:gridCol w:w="1021"/>
        <w:gridCol w:w="1037"/>
        <w:gridCol w:w="1033"/>
        <w:gridCol w:w="923"/>
      </w:tblGrid>
      <w:tr w:rsidR="00EB2BD8" w:rsidRPr="00EB2BD8" w14:paraId="1FE9B4BF" w14:textId="77777777">
        <w:trPr>
          <w:trHeight w:val="381"/>
        </w:trPr>
        <w:tc>
          <w:tcPr>
            <w:tcW w:w="5030" w:type="dxa"/>
            <w:tcBorders>
              <w:top w:val="single" w:sz="2" w:space="0" w:color="000000"/>
              <w:bottom w:val="single" w:sz="2" w:space="0" w:color="000000"/>
            </w:tcBorders>
          </w:tcPr>
          <w:p w14:paraId="12837093" w14:textId="77777777" w:rsidR="00084F36" w:rsidRPr="00EB2BD8" w:rsidRDefault="00EB2BD8">
            <w:pPr>
              <w:pStyle w:val="TableParagraph"/>
              <w:spacing w:before="116"/>
              <w:ind w:left="113"/>
              <w:rPr>
                <w:sz w:val="16"/>
              </w:rPr>
            </w:pPr>
            <w:r w:rsidRPr="00EB2BD8">
              <w:rPr>
                <w:sz w:val="16"/>
              </w:rPr>
              <w:t>Current</w:t>
            </w:r>
            <w:r w:rsidRPr="00EB2BD8">
              <w:rPr>
                <w:spacing w:val="-10"/>
                <w:sz w:val="16"/>
              </w:rPr>
              <w:t xml:space="preserve"> </w:t>
            </w:r>
            <w:r w:rsidRPr="00EB2BD8">
              <w:rPr>
                <w:spacing w:val="-2"/>
                <w:sz w:val="16"/>
              </w:rPr>
              <w:t>assets</w:t>
            </w:r>
          </w:p>
        </w:tc>
        <w:tc>
          <w:tcPr>
            <w:tcW w:w="1163" w:type="dxa"/>
            <w:tcBorders>
              <w:top w:val="single" w:sz="2" w:space="0" w:color="000000"/>
              <w:bottom w:val="single" w:sz="2" w:space="0" w:color="000000"/>
            </w:tcBorders>
          </w:tcPr>
          <w:p w14:paraId="57826B54" w14:textId="77777777" w:rsidR="00084F36" w:rsidRPr="00EB2BD8" w:rsidRDefault="00EB2BD8">
            <w:pPr>
              <w:pStyle w:val="TableParagraph"/>
              <w:spacing w:before="116"/>
              <w:ind w:right="182"/>
              <w:jc w:val="right"/>
              <w:rPr>
                <w:sz w:val="16"/>
              </w:rPr>
            </w:pPr>
            <w:r w:rsidRPr="00EB2BD8">
              <w:rPr>
                <w:spacing w:val="-4"/>
                <w:w w:val="95"/>
                <w:sz w:val="16"/>
              </w:rPr>
              <w:t>62.5</w:t>
            </w:r>
          </w:p>
        </w:tc>
        <w:tc>
          <w:tcPr>
            <w:tcW w:w="1021" w:type="dxa"/>
            <w:tcBorders>
              <w:top w:val="single" w:sz="2" w:space="0" w:color="000000"/>
              <w:bottom w:val="single" w:sz="2" w:space="0" w:color="000000"/>
            </w:tcBorders>
          </w:tcPr>
          <w:p w14:paraId="415C4AA2" w14:textId="77777777" w:rsidR="00084F36" w:rsidRPr="00EB2BD8" w:rsidRDefault="00EB2BD8">
            <w:pPr>
              <w:pStyle w:val="TableParagraph"/>
              <w:spacing w:before="116"/>
              <w:ind w:right="185"/>
              <w:jc w:val="right"/>
              <w:rPr>
                <w:sz w:val="16"/>
              </w:rPr>
            </w:pPr>
            <w:r w:rsidRPr="00EB2BD8">
              <w:rPr>
                <w:spacing w:val="-4"/>
                <w:sz w:val="16"/>
              </w:rPr>
              <w:t>43.0</w:t>
            </w:r>
          </w:p>
        </w:tc>
        <w:tc>
          <w:tcPr>
            <w:tcW w:w="1037" w:type="dxa"/>
            <w:tcBorders>
              <w:top w:val="single" w:sz="2" w:space="0" w:color="000000"/>
              <w:bottom w:val="single" w:sz="2" w:space="0" w:color="000000"/>
            </w:tcBorders>
          </w:tcPr>
          <w:p w14:paraId="0CA80FE2" w14:textId="77777777" w:rsidR="00084F36" w:rsidRPr="00EB2BD8" w:rsidRDefault="00EB2BD8">
            <w:pPr>
              <w:pStyle w:val="TableParagraph"/>
              <w:spacing w:before="116"/>
              <w:ind w:right="199"/>
              <w:jc w:val="right"/>
              <w:rPr>
                <w:sz w:val="16"/>
              </w:rPr>
            </w:pPr>
            <w:r w:rsidRPr="00EB2BD8">
              <w:rPr>
                <w:spacing w:val="-4"/>
                <w:w w:val="95"/>
                <w:sz w:val="16"/>
              </w:rPr>
              <w:t>55.5</w:t>
            </w:r>
          </w:p>
        </w:tc>
        <w:tc>
          <w:tcPr>
            <w:tcW w:w="1033" w:type="dxa"/>
            <w:tcBorders>
              <w:top w:val="single" w:sz="2" w:space="0" w:color="000000"/>
              <w:bottom w:val="single" w:sz="2" w:space="0" w:color="000000"/>
            </w:tcBorders>
          </w:tcPr>
          <w:p w14:paraId="2675FB37" w14:textId="77777777" w:rsidR="00084F36" w:rsidRPr="00EB2BD8" w:rsidRDefault="00EB2BD8">
            <w:pPr>
              <w:pStyle w:val="TableParagraph"/>
              <w:spacing w:before="116"/>
              <w:ind w:right="212"/>
              <w:jc w:val="right"/>
              <w:rPr>
                <w:sz w:val="16"/>
              </w:rPr>
            </w:pPr>
            <w:r w:rsidRPr="00EB2BD8">
              <w:rPr>
                <w:spacing w:val="-4"/>
                <w:w w:val="85"/>
                <w:sz w:val="16"/>
              </w:rPr>
              <w:t>110.5</w:t>
            </w:r>
          </w:p>
        </w:tc>
        <w:tc>
          <w:tcPr>
            <w:tcW w:w="923" w:type="dxa"/>
            <w:tcBorders>
              <w:top w:val="single" w:sz="2" w:space="0" w:color="000000"/>
              <w:bottom w:val="single" w:sz="2" w:space="0" w:color="000000"/>
            </w:tcBorders>
          </w:tcPr>
          <w:p w14:paraId="1733239B" w14:textId="77777777" w:rsidR="00084F36" w:rsidRPr="00EB2BD8" w:rsidRDefault="00EB2BD8">
            <w:pPr>
              <w:pStyle w:val="TableParagraph"/>
              <w:spacing w:before="116"/>
              <w:ind w:right="113"/>
              <w:jc w:val="right"/>
              <w:rPr>
                <w:sz w:val="16"/>
              </w:rPr>
            </w:pPr>
            <w:r w:rsidRPr="00EB2BD8">
              <w:rPr>
                <w:spacing w:val="-4"/>
                <w:sz w:val="16"/>
              </w:rPr>
              <w:t>60.0</w:t>
            </w:r>
          </w:p>
        </w:tc>
      </w:tr>
      <w:tr w:rsidR="00EB2BD8" w:rsidRPr="00EB2BD8" w14:paraId="4836FFD7" w14:textId="77777777">
        <w:trPr>
          <w:trHeight w:val="379"/>
        </w:trPr>
        <w:tc>
          <w:tcPr>
            <w:tcW w:w="5030" w:type="dxa"/>
            <w:tcBorders>
              <w:top w:val="single" w:sz="2" w:space="0" w:color="000000"/>
              <w:bottom w:val="single" w:sz="4" w:space="0" w:color="000000"/>
            </w:tcBorders>
          </w:tcPr>
          <w:p w14:paraId="63C7C925" w14:textId="77777777" w:rsidR="00084F36" w:rsidRPr="00EB2BD8" w:rsidRDefault="00EB2BD8">
            <w:pPr>
              <w:pStyle w:val="TableParagraph"/>
              <w:spacing w:before="116"/>
              <w:ind w:left="113"/>
              <w:rPr>
                <w:sz w:val="16"/>
              </w:rPr>
            </w:pPr>
            <w:r w:rsidRPr="00EB2BD8">
              <w:rPr>
                <w:sz w:val="16"/>
              </w:rPr>
              <w:t>Non-current</w:t>
            </w:r>
            <w:r w:rsidRPr="00EB2BD8">
              <w:rPr>
                <w:spacing w:val="11"/>
                <w:sz w:val="16"/>
              </w:rPr>
              <w:t xml:space="preserve"> </w:t>
            </w:r>
            <w:r w:rsidRPr="00EB2BD8">
              <w:rPr>
                <w:spacing w:val="-2"/>
                <w:sz w:val="16"/>
              </w:rPr>
              <w:t>assets</w:t>
            </w:r>
          </w:p>
        </w:tc>
        <w:tc>
          <w:tcPr>
            <w:tcW w:w="1163" w:type="dxa"/>
            <w:tcBorders>
              <w:top w:val="single" w:sz="2" w:space="0" w:color="000000"/>
              <w:bottom w:val="single" w:sz="4" w:space="0" w:color="000000"/>
            </w:tcBorders>
          </w:tcPr>
          <w:p w14:paraId="027C6E68" w14:textId="77777777" w:rsidR="00084F36" w:rsidRPr="00EB2BD8" w:rsidRDefault="00EB2BD8">
            <w:pPr>
              <w:pStyle w:val="TableParagraph"/>
              <w:spacing w:before="116"/>
              <w:ind w:right="181"/>
              <w:jc w:val="right"/>
              <w:rPr>
                <w:sz w:val="16"/>
              </w:rPr>
            </w:pPr>
            <w:r w:rsidRPr="00EB2BD8">
              <w:rPr>
                <w:spacing w:val="-4"/>
                <w:w w:val="85"/>
                <w:sz w:val="16"/>
              </w:rPr>
              <w:t>16.7</w:t>
            </w:r>
          </w:p>
        </w:tc>
        <w:tc>
          <w:tcPr>
            <w:tcW w:w="1021" w:type="dxa"/>
            <w:tcBorders>
              <w:top w:val="single" w:sz="2" w:space="0" w:color="000000"/>
              <w:bottom w:val="single" w:sz="4" w:space="0" w:color="000000"/>
            </w:tcBorders>
          </w:tcPr>
          <w:p w14:paraId="7AA436B6" w14:textId="77777777" w:rsidR="00084F36" w:rsidRPr="00EB2BD8" w:rsidRDefault="00EB2BD8">
            <w:pPr>
              <w:pStyle w:val="TableParagraph"/>
              <w:spacing w:before="116"/>
              <w:ind w:right="182"/>
              <w:jc w:val="right"/>
              <w:rPr>
                <w:sz w:val="16"/>
              </w:rPr>
            </w:pPr>
            <w:r w:rsidRPr="00EB2BD8">
              <w:rPr>
                <w:spacing w:val="-4"/>
                <w:w w:val="85"/>
                <w:sz w:val="16"/>
              </w:rPr>
              <w:t>17.9</w:t>
            </w:r>
          </w:p>
        </w:tc>
        <w:tc>
          <w:tcPr>
            <w:tcW w:w="1037" w:type="dxa"/>
            <w:tcBorders>
              <w:top w:val="single" w:sz="2" w:space="0" w:color="000000"/>
              <w:bottom w:val="single" w:sz="4" w:space="0" w:color="000000"/>
            </w:tcBorders>
          </w:tcPr>
          <w:p w14:paraId="08D3E766" w14:textId="77777777" w:rsidR="00084F36" w:rsidRPr="00EB2BD8" w:rsidRDefault="00EB2BD8">
            <w:pPr>
              <w:pStyle w:val="TableParagraph"/>
              <w:spacing w:before="116"/>
              <w:ind w:right="198"/>
              <w:jc w:val="right"/>
              <w:rPr>
                <w:sz w:val="16"/>
              </w:rPr>
            </w:pPr>
            <w:r w:rsidRPr="00EB2BD8">
              <w:rPr>
                <w:spacing w:val="-4"/>
                <w:w w:val="80"/>
                <w:sz w:val="16"/>
              </w:rPr>
              <w:t>17.7</w:t>
            </w:r>
          </w:p>
        </w:tc>
        <w:tc>
          <w:tcPr>
            <w:tcW w:w="1033" w:type="dxa"/>
            <w:tcBorders>
              <w:top w:val="single" w:sz="2" w:space="0" w:color="000000"/>
              <w:bottom w:val="single" w:sz="4" w:space="0" w:color="000000"/>
            </w:tcBorders>
          </w:tcPr>
          <w:p w14:paraId="4460E13D" w14:textId="77777777" w:rsidR="00084F36" w:rsidRPr="00EB2BD8" w:rsidRDefault="00EB2BD8">
            <w:pPr>
              <w:pStyle w:val="TableParagraph"/>
              <w:spacing w:before="116"/>
              <w:ind w:right="212"/>
              <w:jc w:val="right"/>
              <w:rPr>
                <w:sz w:val="16"/>
              </w:rPr>
            </w:pPr>
            <w:r w:rsidRPr="00EB2BD8">
              <w:rPr>
                <w:spacing w:val="-4"/>
                <w:w w:val="95"/>
                <w:sz w:val="16"/>
              </w:rPr>
              <w:t>22.4</w:t>
            </w:r>
          </w:p>
        </w:tc>
        <w:tc>
          <w:tcPr>
            <w:tcW w:w="923" w:type="dxa"/>
            <w:tcBorders>
              <w:top w:val="single" w:sz="2" w:space="0" w:color="000000"/>
              <w:bottom w:val="single" w:sz="4" w:space="0" w:color="000000"/>
            </w:tcBorders>
          </w:tcPr>
          <w:p w14:paraId="53ADA8F1" w14:textId="77777777" w:rsidR="00084F36" w:rsidRPr="00EB2BD8" w:rsidRDefault="00EB2BD8">
            <w:pPr>
              <w:pStyle w:val="TableParagraph"/>
              <w:spacing w:before="116"/>
              <w:ind w:right="113"/>
              <w:jc w:val="right"/>
              <w:rPr>
                <w:sz w:val="16"/>
              </w:rPr>
            </w:pPr>
            <w:r w:rsidRPr="00EB2BD8">
              <w:rPr>
                <w:spacing w:val="-4"/>
                <w:w w:val="75"/>
                <w:sz w:val="16"/>
              </w:rPr>
              <w:t>11.9</w:t>
            </w:r>
          </w:p>
        </w:tc>
      </w:tr>
      <w:tr w:rsidR="00EB2BD8" w:rsidRPr="00EB2BD8" w14:paraId="0CC9CCF5" w14:textId="77777777">
        <w:trPr>
          <w:trHeight w:val="376"/>
        </w:trPr>
        <w:tc>
          <w:tcPr>
            <w:tcW w:w="5030" w:type="dxa"/>
            <w:tcBorders>
              <w:top w:val="single" w:sz="4" w:space="0" w:color="000000"/>
              <w:bottom w:val="single" w:sz="4" w:space="0" w:color="000000"/>
            </w:tcBorders>
          </w:tcPr>
          <w:p w14:paraId="0101B03A" w14:textId="77777777" w:rsidR="00084F36" w:rsidRPr="00EB2BD8" w:rsidRDefault="00EB2BD8">
            <w:pPr>
              <w:pStyle w:val="TableParagraph"/>
              <w:spacing w:before="112"/>
              <w:ind w:left="113"/>
              <w:rPr>
                <w:b/>
                <w:sz w:val="16"/>
              </w:rPr>
            </w:pPr>
            <w:r w:rsidRPr="00EB2BD8">
              <w:rPr>
                <w:b/>
                <w:spacing w:val="-8"/>
                <w:sz w:val="16"/>
              </w:rPr>
              <w:t>Total</w:t>
            </w:r>
            <w:r w:rsidRPr="00EB2BD8">
              <w:rPr>
                <w:b/>
                <w:spacing w:val="-9"/>
                <w:sz w:val="16"/>
              </w:rPr>
              <w:t xml:space="preserve"> </w:t>
            </w:r>
            <w:r w:rsidRPr="00EB2BD8">
              <w:rPr>
                <w:b/>
                <w:spacing w:val="-2"/>
                <w:sz w:val="16"/>
              </w:rPr>
              <w:t>assets</w:t>
            </w:r>
          </w:p>
        </w:tc>
        <w:tc>
          <w:tcPr>
            <w:tcW w:w="1163" w:type="dxa"/>
            <w:tcBorders>
              <w:top w:val="single" w:sz="4" w:space="0" w:color="000000"/>
              <w:bottom w:val="single" w:sz="4" w:space="0" w:color="000000"/>
            </w:tcBorders>
          </w:tcPr>
          <w:p w14:paraId="38D261BC" w14:textId="77777777" w:rsidR="00084F36" w:rsidRPr="00EB2BD8" w:rsidRDefault="00EB2BD8">
            <w:pPr>
              <w:pStyle w:val="TableParagraph"/>
              <w:spacing w:before="112"/>
              <w:ind w:right="182"/>
              <w:jc w:val="right"/>
              <w:rPr>
                <w:b/>
                <w:sz w:val="16"/>
              </w:rPr>
            </w:pPr>
            <w:r w:rsidRPr="00EB2BD8">
              <w:rPr>
                <w:b/>
                <w:spacing w:val="-4"/>
                <w:w w:val="95"/>
                <w:sz w:val="16"/>
              </w:rPr>
              <w:t>79.2</w:t>
            </w:r>
          </w:p>
        </w:tc>
        <w:tc>
          <w:tcPr>
            <w:tcW w:w="1021" w:type="dxa"/>
            <w:tcBorders>
              <w:top w:val="single" w:sz="4" w:space="0" w:color="000000"/>
              <w:bottom w:val="single" w:sz="4" w:space="0" w:color="000000"/>
            </w:tcBorders>
          </w:tcPr>
          <w:p w14:paraId="79FC39C5" w14:textId="77777777" w:rsidR="00084F36" w:rsidRPr="00EB2BD8" w:rsidRDefault="00EB2BD8">
            <w:pPr>
              <w:pStyle w:val="TableParagraph"/>
              <w:spacing w:before="112"/>
              <w:ind w:right="182"/>
              <w:jc w:val="right"/>
              <w:rPr>
                <w:b/>
                <w:sz w:val="16"/>
              </w:rPr>
            </w:pPr>
            <w:r w:rsidRPr="00EB2BD8">
              <w:rPr>
                <w:b/>
                <w:spacing w:val="-4"/>
                <w:sz w:val="16"/>
              </w:rPr>
              <w:t>60.9</w:t>
            </w:r>
          </w:p>
        </w:tc>
        <w:tc>
          <w:tcPr>
            <w:tcW w:w="1037" w:type="dxa"/>
            <w:tcBorders>
              <w:top w:val="single" w:sz="4" w:space="0" w:color="000000"/>
              <w:bottom w:val="single" w:sz="4" w:space="0" w:color="000000"/>
            </w:tcBorders>
          </w:tcPr>
          <w:p w14:paraId="5C412304" w14:textId="77777777" w:rsidR="00084F36" w:rsidRPr="00EB2BD8" w:rsidRDefault="00EB2BD8">
            <w:pPr>
              <w:pStyle w:val="TableParagraph"/>
              <w:spacing w:before="112"/>
              <w:ind w:right="199"/>
              <w:jc w:val="right"/>
              <w:rPr>
                <w:b/>
                <w:sz w:val="16"/>
              </w:rPr>
            </w:pPr>
            <w:r w:rsidRPr="00EB2BD8">
              <w:rPr>
                <w:b/>
                <w:spacing w:val="-4"/>
                <w:w w:val="95"/>
                <w:sz w:val="16"/>
              </w:rPr>
              <w:t>73.2</w:t>
            </w:r>
          </w:p>
        </w:tc>
        <w:tc>
          <w:tcPr>
            <w:tcW w:w="1033" w:type="dxa"/>
            <w:tcBorders>
              <w:top w:val="single" w:sz="4" w:space="0" w:color="000000"/>
              <w:bottom w:val="single" w:sz="4" w:space="0" w:color="000000"/>
            </w:tcBorders>
          </w:tcPr>
          <w:p w14:paraId="49E93262" w14:textId="77777777" w:rsidR="00084F36" w:rsidRPr="00EB2BD8" w:rsidRDefault="00EB2BD8">
            <w:pPr>
              <w:pStyle w:val="TableParagraph"/>
              <w:spacing w:before="112"/>
              <w:ind w:right="211"/>
              <w:jc w:val="right"/>
              <w:rPr>
                <w:b/>
                <w:sz w:val="16"/>
              </w:rPr>
            </w:pPr>
            <w:r w:rsidRPr="00EB2BD8">
              <w:rPr>
                <w:b/>
                <w:spacing w:val="-4"/>
                <w:w w:val="95"/>
                <w:sz w:val="16"/>
              </w:rPr>
              <w:t>132.9</w:t>
            </w:r>
          </w:p>
        </w:tc>
        <w:tc>
          <w:tcPr>
            <w:tcW w:w="923" w:type="dxa"/>
            <w:tcBorders>
              <w:top w:val="single" w:sz="4" w:space="0" w:color="000000"/>
              <w:bottom w:val="single" w:sz="4" w:space="0" w:color="000000"/>
            </w:tcBorders>
          </w:tcPr>
          <w:p w14:paraId="123EC2F4" w14:textId="77777777" w:rsidR="00084F36" w:rsidRPr="00EB2BD8" w:rsidRDefault="00EB2BD8">
            <w:pPr>
              <w:pStyle w:val="TableParagraph"/>
              <w:spacing w:before="112"/>
              <w:ind w:right="113"/>
              <w:jc w:val="right"/>
              <w:rPr>
                <w:b/>
                <w:sz w:val="16"/>
              </w:rPr>
            </w:pPr>
            <w:r w:rsidRPr="00EB2BD8">
              <w:rPr>
                <w:b/>
                <w:spacing w:val="-4"/>
                <w:w w:val="90"/>
                <w:sz w:val="16"/>
              </w:rPr>
              <w:t>71.9</w:t>
            </w:r>
          </w:p>
        </w:tc>
      </w:tr>
      <w:tr w:rsidR="00EB2BD8" w:rsidRPr="00EB2BD8" w14:paraId="1347C6A5" w14:textId="77777777">
        <w:trPr>
          <w:trHeight w:val="379"/>
        </w:trPr>
        <w:tc>
          <w:tcPr>
            <w:tcW w:w="5030" w:type="dxa"/>
            <w:tcBorders>
              <w:top w:val="single" w:sz="4" w:space="0" w:color="000000"/>
              <w:bottom w:val="single" w:sz="2" w:space="0" w:color="000000"/>
            </w:tcBorders>
          </w:tcPr>
          <w:p w14:paraId="34C87CF7" w14:textId="77777777" w:rsidR="00084F36" w:rsidRPr="00EB2BD8" w:rsidRDefault="00EB2BD8">
            <w:pPr>
              <w:pStyle w:val="TableParagraph"/>
              <w:spacing w:before="113"/>
              <w:ind w:left="113"/>
              <w:rPr>
                <w:sz w:val="16"/>
              </w:rPr>
            </w:pPr>
            <w:r w:rsidRPr="00EB2BD8">
              <w:rPr>
                <w:sz w:val="16"/>
              </w:rPr>
              <w:t>Current</w:t>
            </w:r>
            <w:r w:rsidRPr="00EB2BD8">
              <w:rPr>
                <w:spacing w:val="-10"/>
                <w:sz w:val="16"/>
              </w:rPr>
              <w:t xml:space="preserve"> </w:t>
            </w:r>
            <w:r w:rsidRPr="00EB2BD8">
              <w:rPr>
                <w:spacing w:val="-2"/>
                <w:sz w:val="16"/>
              </w:rPr>
              <w:t>liabilities</w:t>
            </w:r>
          </w:p>
        </w:tc>
        <w:tc>
          <w:tcPr>
            <w:tcW w:w="1163" w:type="dxa"/>
            <w:tcBorders>
              <w:top w:val="single" w:sz="4" w:space="0" w:color="000000"/>
              <w:bottom w:val="single" w:sz="2" w:space="0" w:color="000000"/>
            </w:tcBorders>
          </w:tcPr>
          <w:p w14:paraId="0A6EDEC9" w14:textId="77777777" w:rsidR="00084F36" w:rsidRPr="00EB2BD8" w:rsidRDefault="00EB2BD8">
            <w:pPr>
              <w:pStyle w:val="TableParagraph"/>
              <w:spacing w:before="113"/>
              <w:ind w:right="182"/>
              <w:jc w:val="right"/>
              <w:rPr>
                <w:sz w:val="16"/>
              </w:rPr>
            </w:pPr>
            <w:r w:rsidRPr="00EB2BD8">
              <w:rPr>
                <w:spacing w:val="-4"/>
                <w:w w:val="95"/>
                <w:sz w:val="16"/>
              </w:rPr>
              <w:t>32.5</w:t>
            </w:r>
          </w:p>
        </w:tc>
        <w:tc>
          <w:tcPr>
            <w:tcW w:w="1021" w:type="dxa"/>
            <w:tcBorders>
              <w:top w:val="single" w:sz="4" w:space="0" w:color="000000"/>
              <w:bottom w:val="single" w:sz="2" w:space="0" w:color="000000"/>
            </w:tcBorders>
          </w:tcPr>
          <w:p w14:paraId="5A656A55" w14:textId="77777777" w:rsidR="00084F36" w:rsidRPr="00EB2BD8" w:rsidRDefault="00EB2BD8">
            <w:pPr>
              <w:pStyle w:val="TableParagraph"/>
              <w:spacing w:before="113"/>
              <w:ind w:right="192"/>
              <w:jc w:val="right"/>
              <w:rPr>
                <w:sz w:val="16"/>
              </w:rPr>
            </w:pPr>
            <w:r w:rsidRPr="00EB2BD8">
              <w:rPr>
                <w:spacing w:val="-4"/>
                <w:w w:val="80"/>
                <w:sz w:val="16"/>
              </w:rPr>
              <w:t>29.1</w:t>
            </w:r>
          </w:p>
        </w:tc>
        <w:tc>
          <w:tcPr>
            <w:tcW w:w="1037" w:type="dxa"/>
            <w:tcBorders>
              <w:top w:val="single" w:sz="4" w:space="0" w:color="000000"/>
              <w:bottom w:val="single" w:sz="2" w:space="0" w:color="000000"/>
            </w:tcBorders>
          </w:tcPr>
          <w:p w14:paraId="7FAD2A3F" w14:textId="77777777" w:rsidR="00084F36" w:rsidRPr="00EB2BD8" w:rsidRDefault="00EB2BD8">
            <w:pPr>
              <w:pStyle w:val="TableParagraph"/>
              <w:spacing w:before="113"/>
              <w:ind w:right="198"/>
              <w:jc w:val="right"/>
              <w:rPr>
                <w:sz w:val="16"/>
              </w:rPr>
            </w:pPr>
            <w:r w:rsidRPr="00EB2BD8">
              <w:rPr>
                <w:spacing w:val="-4"/>
                <w:sz w:val="16"/>
              </w:rPr>
              <w:t>38.6</w:t>
            </w:r>
          </w:p>
        </w:tc>
        <w:tc>
          <w:tcPr>
            <w:tcW w:w="1033" w:type="dxa"/>
            <w:tcBorders>
              <w:top w:val="single" w:sz="4" w:space="0" w:color="000000"/>
              <w:bottom w:val="single" w:sz="2" w:space="0" w:color="000000"/>
            </w:tcBorders>
          </w:tcPr>
          <w:p w14:paraId="313ABE41" w14:textId="77777777" w:rsidR="00084F36" w:rsidRPr="00EB2BD8" w:rsidRDefault="00EB2BD8">
            <w:pPr>
              <w:pStyle w:val="TableParagraph"/>
              <w:spacing w:before="113"/>
              <w:ind w:right="211"/>
              <w:jc w:val="right"/>
              <w:rPr>
                <w:sz w:val="9"/>
              </w:rPr>
            </w:pPr>
            <w:r w:rsidRPr="00EB2BD8">
              <w:rPr>
                <w:spacing w:val="-2"/>
                <w:w w:val="90"/>
                <w:sz w:val="16"/>
              </w:rPr>
              <w:t>27.7</w:t>
            </w:r>
            <w:r w:rsidRPr="00EB2BD8">
              <w:rPr>
                <w:spacing w:val="-2"/>
                <w:w w:val="90"/>
                <w:position w:val="5"/>
                <w:sz w:val="9"/>
              </w:rPr>
              <w:t>5</w:t>
            </w:r>
          </w:p>
        </w:tc>
        <w:tc>
          <w:tcPr>
            <w:tcW w:w="923" w:type="dxa"/>
            <w:tcBorders>
              <w:top w:val="single" w:sz="4" w:space="0" w:color="000000"/>
              <w:bottom w:val="single" w:sz="2" w:space="0" w:color="000000"/>
            </w:tcBorders>
          </w:tcPr>
          <w:p w14:paraId="35A197C2" w14:textId="77777777" w:rsidR="00084F36" w:rsidRPr="00EB2BD8" w:rsidRDefault="00EB2BD8">
            <w:pPr>
              <w:pStyle w:val="TableParagraph"/>
              <w:spacing w:before="113"/>
              <w:ind w:right="114"/>
              <w:jc w:val="right"/>
              <w:rPr>
                <w:sz w:val="16"/>
              </w:rPr>
            </w:pPr>
            <w:r w:rsidRPr="00EB2BD8">
              <w:rPr>
                <w:spacing w:val="-4"/>
                <w:w w:val="80"/>
                <w:sz w:val="16"/>
              </w:rPr>
              <w:t>21.2</w:t>
            </w:r>
          </w:p>
        </w:tc>
      </w:tr>
      <w:tr w:rsidR="00EB2BD8" w:rsidRPr="00EB2BD8" w14:paraId="134871BF" w14:textId="77777777">
        <w:trPr>
          <w:trHeight w:val="379"/>
        </w:trPr>
        <w:tc>
          <w:tcPr>
            <w:tcW w:w="5030" w:type="dxa"/>
            <w:tcBorders>
              <w:top w:val="single" w:sz="2" w:space="0" w:color="000000"/>
              <w:bottom w:val="single" w:sz="4" w:space="0" w:color="000000"/>
            </w:tcBorders>
          </w:tcPr>
          <w:p w14:paraId="439C6143" w14:textId="77777777" w:rsidR="00084F36" w:rsidRPr="00EB2BD8" w:rsidRDefault="00EB2BD8">
            <w:pPr>
              <w:pStyle w:val="TableParagraph"/>
              <w:spacing w:before="116"/>
              <w:ind w:left="113"/>
              <w:rPr>
                <w:sz w:val="16"/>
              </w:rPr>
            </w:pPr>
            <w:r w:rsidRPr="00EB2BD8">
              <w:rPr>
                <w:sz w:val="16"/>
              </w:rPr>
              <w:t>Non-current</w:t>
            </w:r>
            <w:r w:rsidRPr="00EB2BD8">
              <w:rPr>
                <w:spacing w:val="11"/>
                <w:sz w:val="16"/>
              </w:rPr>
              <w:t xml:space="preserve"> </w:t>
            </w:r>
            <w:r w:rsidRPr="00EB2BD8">
              <w:rPr>
                <w:spacing w:val="-2"/>
                <w:sz w:val="16"/>
              </w:rPr>
              <w:t>liabilities</w:t>
            </w:r>
          </w:p>
        </w:tc>
        <w:tc>
          <w:tcPr>
            <w:tcW w:w="1163" w:type="dxa"/>
            <w:tcBorders>
              <w:top w:val="single" w:sz="2" w:space="0" w:color="000000"/>
              <w:bottom w:val="single" w:sz="4" w:space="0" w:color="000000"/>
            </w:tcBorders>
          </w:tcPr>
          <w:p w14:paraId="614C1F74" w14:textId="77777777" w:rsidR="00084F36" w:rsidRPr="00EB2BD8" w:rsidRDefault="00EB2BD8">
            <w:pPr>
              <w:pStyle w:val="TableParagraph"/>
              <w:spacing w:before="116"/>
              <w:ind w:right="181"/>
              <w:jc w:val="right"/>
              <w:rPr>
                <w:sz w:val="16"/>
              </w:rPr>
            </w:pPr>
            <w:r w:rsidRPr="00EB2BD8">
              <w:rPr>
                <w:spacing w:val="-4"/>
                <w:w w:val="90"/>
                <w:sz w:val="16"/>
              </w:rPr>
              <w:t>16.6</w:t>
            </w:r>
          </w:p>
        </w:tc>
        <w:tc>
          <w:tcPr>
            <w:tcW w:w="1021" w:type="dxa"/>
            <w:tcBorders>
              <w:top w:val="single" w:sz="2" w:space="0" w:color="000000"/>
              <w:bottom w:val="single" w:sz="4" w:space="0" w:color="000000"/>
            </w:tcBorders>
          </w:tcPr>
          <w:p w14:paraId="405F965C" w14:textId="77777777" w:rsidR="00084F36" w:rsidRPr="00EB2BD8" w:rsidRDefault="00EB2BD8">
            <w:pPr>
              <w:pStyle w:val="TableParagraph"/>
              <w:spacing w:before="116"/>
              <w:ind w:right="183"/>
              <w:jc w:val="right"/>
              <w:rPr>
                <w:sz w:val="16"/>
              </w:rPr>
            </w:pPr>
            <w:r w:rsidRPr="00EB2BD8">
              <w:rPr>
                <w:spacing w:val="-4"/>
                <w:w w:val="80"/>
                <w:sz w:val="16"/>
              </w:rPr>
              <w:t>12.7</w:t>
            </w:r>
          </w:p>
        </w:tc>
        <w:tc>
          <w:tcPr>
            <w:tcW w:w="1037" w:type="dxa"/>
            <w:tcBorders>
              <w:top w:val="single" w:sz="2" w:space="0" w:color="000000"/>
              <w:bottom w:val="single" w:sz="4" w:space="0" w:color="000000"/>
            </w:tcBorders>
          </w:tcPr>
          <w:p w14:paraId="2E180C82" w14:textId="77777777" w:rsidR="00084F36" w:rsidRPr="00EB2BD8" w:rsidRDefault="00EB2BD8">
            <w:pPr>
              <w:pStyle w:val="TableParagraph"/>
              <w:spacing w:before="116"/>
              <w:ind w:right="199"/>
              <w:jc w:val="right"/>
              <w:rPr>
                <w:sz w:val="16"/>
              </w:rPr>
            </w:pPr>
            <w:r w:rsidRPr="00EB2BD8">
              <w:rPr>
                <w:spacing w:val="-5"/>
                <w:w w:val="90"/>
                <w:sz w:val="16"/>
              </w:rPr>
              <w:t>8.7</w:t>
            </w:r>
          </w:p>
        </w:tc>
        <w:tc>
          <w:tcPr>
            <w:tcW w:w="1033" w:type="dxa"/>
            <w:tcBorders>
              <w:top w:val="single" w:sz="2" w:space="0" w:color="000000"/>
              <w:bottom w:val="single" w:sz="4" w:space="0" w:color="000000"/>
            </w:tcBorders>
          </w:tcPr>
          <w:p w14:paraId="6BA49CD5" w14:textId="77777777" w:rsidR="00084F36" w:rsidRPr="00EB2BD8" w:rsidRDefault="00EB2BD8">
            <w:pPr>
              <w:pStyle w:val="TableParagraph"/>
              <w:spacing w:before="116"/>
              <w:ind w:right="211"/>
              <w:jc w:val="right"/>
              <w:rPr>
                <w:sz w:val="9"/>
              </w:rPr>
            </w:pPr>
            <w:r w:rsidRPr="00EB2BD8">
              <w:rPr>
                <w:spacing w:val="-4"/>
                <w:w w:val="80"/>
                <w:sz w:val="16"/>
              </w:rPr>
              <w:t>11.5</w:t>
            </w:r>
            <w:r w:rsidRPr="00EB2BD8">
              <w:rPr>
                <w:spacing w:val="-4"/>
                <w:w w:val="80"/>
                <w:position w:val="5"/>
                <w:sz w:val="9"/>
              </w:rPr>
              <w:t>6</w:t>
            </w:r>
          </w:p>
        </w:tc>
        <w:tc>
          <w:tcPr>
            <w:tcW w:w="923" w:type="dxa"/>
            <w:tcBorders>
              <w:top w:val="single" w:sz="2" w:space="0" w:color="000000"/>
              <w:bottom w:val="single" w:sz="4" w:space="0" w:color="000000"/>
            </w:tcBorders>
          </w:tcPr>
          <w:p w14:paraId="25218DC4" w14:textId="77777777" w:rsidR="00084F36" w:rsidRPr="00EB2BD8" w:rsidRDefault="00EB2BD8">
            <w:pPr>
              <w:pStyle w:val="TableParagraph"/>
              <w:spacing w:before="116"/>
              <w:ind w:right="116"/>
              <w:jc w:val="right"/>
              <w:rPr>
                <w:sz w:val="16"/>
              </w:rPr>
            </w:pPr>
            <w:r w:rsidRPr="00EB2BD8">
              <w:rPr>
                <w:spacing w:val="-5"/>
                <w:sz w:val="16"/>
              </w:rPr>
              <w:t>4.0</w:t>
            </w:r>
          </w:p>
        </w:tc>
      </w:tr>
      <w:tr w:rsidR="00EB2BD8" w:rsidRPr="00EB2BD8" w14:paraId="6654399D" w14:textId="77777777">
        <w:trPr>
          <w:trHeight w:val="376"/>
        </w:trPr>
        <w:tc>
          <w:tcPr>
            <w:tcW w:w="5030" w:type="dxa"/>
            <w:tcBorders>
              <w:top w:val="single" w:sz="4" w:space="0" w:color="000000"/>
              <w:bottom w:val="single" w:sz="4" w:space="0" w:color="000000"/>
            </w:tcBorders>
          </w:tcPr>
          <w:p w14:paraId="5D40622F" w14:textId="77777777" w:rsidR="00084F36" w:rsidRPr="00EB2BD8" w:rsidRDefault="00EB2BD8">
            <w:pPr>
              <w:pStyle w:val="TableParagraph"/>
              <w:spacing w:before="112"/>
              <w:ind w:left="113"/>
              <w:rPr>
                <w:b/>
                <w:sz w:val="16"/>
              </w:rPr>
            </w:pPr>
            <w:r w:rsidRPr="00EB2BD8">
              <w:rPr>
                <w:b/>
                <w:spacing w:val="-8"/>
                <w:sz w:val="16"/>
              </w:rPr>
              <w:t>Total</w:t>
            </w:r>
            <w:r w:rsidRPr="00EB2BD8">
              <w:rPr>
                <w:b/>
                <w:spacing w:val="-9"/>
                <w:sz w:val="16"/>
              </w:rPr>
              <w:t xml:space="preserve"> </w:t>
            </w:r>
            <w:r w:rsidRPr="00EB2BD8">
              <w:rPr>
                <w:b/>
                <w:spacing w:val="-2"/>
                <w:sz w:val="16"/>
              </w:rPr>
              <w:t>liabilities</w:t>
            </w:r>
          </w:p>
        </w:tc>
        <w:tc>
          <w:tcPr>
            <w:tcW w:w="1163" w:type="dxa"/>
            <w:tcBorders>
              <w:top w:val="single" w:sz="4" w:space="0" w:color="000000"/>
              <w:bottom w:val="single" w:sz="4" w:space="0" w:color="000000"/>
            </w:tcBorders>
          </w:tcPr>
          <w:p w14:paraId="0A038EF4" w14:textId="77777777" w:rsidR="00084F36" w:rsidRPr="00EB2BD8" w:rsidRDefault="00EB2BD8">
            <w:pPr>
              <w:pStyle w:val="TableParagraph"/>
              <w:spacing w:before="112"/>
              <w:ind w:right="181"/>
              <w:jc w:val="right"/>
              <w:rPr>
                <w:b/>
                <w:sz w:val="16"/>
              </w:rPr>
            </w:pPr>
            <w:r w:rsidRPr="00EB2BD8">
              <w:rPr>
                <w:b/>
                <w:spacing w:val="-4"/>
                <w:w w:val="95"/>
                <w:sz w:val="16"/>
              </w:rPr>
              <w:t>49.1</w:t>
            </w:r>
          </w:p>
        </w:tc>
        <w:tc>
          <w:tcPr>
            <w:tcW w:w="1021" w:type="dxa"/>
            <w:tcBorders>
              <w:top w:val="single" w:sz="4" w:space="0" w:color="000000"/>
              <w:bottom w:val="single" w:sz="4" w:space="0" w:color="000000"/>
            </w:tcBorders>
          </w:tcPr>
          <w:p w14:paraId="458FCD01" w14:textId="77777777" w:rsidR="00084F36" w:rsidRPr="00EB2BD8" w:rsidRDefault="00EB2BD8">
            <w:pPr>
              <w:pStyle w:val="TableParagraph"/>
              <w:spacing w:before="112"/>
              <w:ind w:right="183"/>
              <w:jc w:val="right"/>
              <w:rPr>
                <w:b/>
                <w:sz w:val="16"/>
              </w:rPr>
            </w:pPr>
            <w:r w:rsidRPr="00EB2BD8">
              <w:rPr>
                <w:b/>
                <w:spacing w:val="-4"/>
                <w:w w:val="90"/>
                <w:sz w:val="16"/>
              </w:rPr>
              <w:t>41.8</w:t>
            </w:r>
          </w:p>
        </w:tc>
        <w:tc>
          <w:tcPr>
            <w:tcW w:w="1037" w:type="dxa"/>
            <w:tcBorders>
              <w:top w:val="single" w:sz="4" w:space="0" w:color="000000"/>
              <w:bottom w:val="single" w:sz="4" w:space="0" w:color="000000"/>
            </w:tcBorders>
          </w:tcPr>
          <w:p w14:paraId="38B87934" w14:textId="77777777" w:rsidR="00084F36" w:rsidRPr="00EB2BD8" w:rsidRDefault="00EB2BD8">
            <w:pPr>
              <w:pStyle w:val="TableParagraph"/>
              <w:spacing w:before="112"/>
              <w:ind w:right="198"/>
              <w:jc w:val="right"/>
              <w:rPr>
                <w:b/>
                <w:sz w:val="16"/>
              </w:rPr>
            </w:pPr>
            <w:r w:rsidRPr="00EB2BD8">
              <w:rPr>
                <w:b/>
                <w:spacing w:val="-4"/>
                <w:sz w:val="16"/>
              </w:rPr>
              <w:t>47.3</w:t>
            </w:r>
          </w:p>
        </w:tc>
        <w:tc>
          <w:tcPr>
            <w:tcW w:w="1033" w:type="dxa"/>
            <w:tcBorders>
              <w:top w:val="single" w:sz="4" w:space="0" w:color="000000"/>
              <w:bottom w:val="single" w:sz="4" w:space="0" w:color="000000"/>
            </w:tcBorders>
          </w:tcPr>
          <w:p w14:paraId="180E9191" w14:textId="77777777" w:rsidR="00084F36" w:rsidRPr="00EB2BD8" w:rsidRDefault="00EB2BD8">
            <w:pPr>
              <w:pStyle w:val="TableParagraph"/>
              <w:spacing w:before="112"/>
              <w:ind w:right="212"/>
              <w:jc w:val="right"/>
              <w:rPr>
                <w:b/>
                <w:sz w:val="16"/>
              </w:rPr>
            </w:pPr>
            <w:r w:rsidRPr="00EB2BD8">
              <w:rPr>
                <w:b/>
                <w:spacing w:val="-4"/>
                <w:sz w:val="16"/>
              </w:rPr>
              <w:t>39.2</w:t>
            </w:r>
          </w:p>
        </w:tc>
        <w:tc>
          <w:tcPr>
            <w:tcW w:w="923" w:type="dxa"/>
            <w:tcBorders>
              <w:top w:val="single" w:sz="4" w:space="0" w:color="000000"/>
              <w:bottom w:val="single" w:sz="4" w:space="0" w:color="000000"/>
            </w:tcBorders>
          </w:tcPr>
          <w:p w14:paraId="01F31AB5" w14:textId="77777777" w:rsidR="00084F36" w:rsidRPr="00EB2BD8" w:rsidRDefault="00EB2BD8">
            <w:pPr>
              <w:pStyle w:val="TableParagraph"/>
              <w:spacing w:before="112"/>
              <w:ind w:right="114"/>
              <w:jc w:val="right"/>
              <w:rPr>
                <w:b/>
                <w:sz w:val="16"/>
              </w:rPr>
            </w:pPr>
            <w:r w:rsidRPr="00EB2BD8">
              <w:rPr>
                <w:b/>
                <w:spacing w:val="-4"/>
                <w:w w:val="95"/>
                <w:sz w:val="16"/>
              </w:rPr>
              <w:t>25.2</w:t>
            </w:r>
          </w:p>
        </w:tc>
      </w:tr>
      <w:tr w:rsidR="00EB2BD8" w:rsidRPr="00EB2BD8" w14:paraId="30DB9971" w14:textId="77777777">
        <w:trPr>
          <w:trHeight w:val="376"/>
        </w:trPr>
        <w:tc>
          <w:tcPr>
            <w:tcW w:w="5030" w:type="dxa"/>
            <w:tcBorders>
              <w:top w:val="single" w:sz="4" w:space="0" w:color="000000"/>
              <w:bottom w:val="single" w:sz="4" w:space="0" w:color="000000"/>
            </w:tcBorders>
          </w:tcPr>
          <w:p w14:paraId="48332E27" w14:textId="77777777" w:rsidR="00084F36" w:rsidRPr="00EB2BD8" w:rsidRDefault="00EB2BD8">
            <w:pPr>
              <w:pStyle w:val="TableParagraph"/>
              <w:spacing w:before="112"/>
              <w:ind w:left="113"/>
              <w:rPr>
                <w:b/>
                <w:sz w:val="16"/>
              </w:rPr>
            </w:pPr>
            <w:r w:rsidRPr="00EB2BD8">
              <w:rPr>
                <w:b/>
                <w:spacing w:val="-2"/>
                <w:sz w:val="16"/>
              </w:rPr>
              <w:t>Net</w:t>
            </w:r>
            <w:r w:rsidRPr="00EB2BD8">
              <w:rPr>
                <w:b/>
                <w:spacing w:val="-13"/>
                <w:sz w:val="16"/>
              </w:rPr>
              <w:t xml:space="preserve"> </w:t>
            </w:r>
            <w:r w:rsidRPr="00EB2BD8">
              <w:rPr>
                <w:b/>
                <w:spacing w:val="-2"/>
                <w:sz w:val="16"/>
              </w:rPr>
              <w:t>assets</w:t>
            </w:r>
          </w:p>
        </w:tc>
        <w:tc>
          <w:tcPr>
            <w:tcW w:w="1163" w:type="dxa"/>
            <w:tcBorders>
              <w:top w:val="single" w:sz="4" w:space="0" w:color="000000"/>
              <w:bottom w:val="single" w:sz="4" w:space="0" w:color="000000"/>
            </w:tcBorders>
          </w:tcPr>
          <w:p w14:paraId="6E7E7125" w14:textId="77777777" w:rsidR="00084F36" w:rsidRPr="00EB2BD8" w:rsidRDefault="00EB2BD8">
            <w:pPr>
              <w:pStyle w:val="TableParagraph"/>
              <w:spacing w:before="112"/>
              <w:ind w:right="181"/>
              <w:jc w:val="right"/>
              <w:rPr>
                <w:b/>
                <w:sz w:val="16"/>
              </w:rPr>
            </w:pPr>
            <w:r w:rsidRPr="00EB2BD8">
              <w:rPr>
                <w:b/>
                <w:spacing w:val="-4"/>
                <w:w w:val="95"/>
                <w:sz w:val="16"/>
              </w:rPr>
              <w:t>30.1</w:t>
            </w:r>
          </w:p>
        </w:tc>
        <w:tc>
          <w:tcPr>
            <w:tcW w:w="1021" w:type="dxa"/>
            <w:tcBorders>
              <w:top w:val="single" w:sz="4" w:space="0" w:color="000000"/>
              <w:bottom w:val="single" w:sz="4" w:space="0" w:color="000000"/>
            </w:tcBorders>
          </w:tcPr>
          <w:p w14:paraId="03C796A0" w14:textId="77777777" w:rsidR="00084F36" w:rsidRPr="00EB2BD8" w:rsidRDefault="00EB2BD8">
            <w:pPr>
              <w:pStyle w:val="TableParagraph"/>
              <w:spacing w:before="112"/>
              <w:ind w:right="182"/>
              <w:jc w:val="right"/>
              <w:rPr>
                <w:b/>
                <w:sz w:val="16"/>
              </w:rPr>
            </w:pPr>
            <w:r w:rsidRPr="00EB2BD8">
              <w:rPr>
                <w:b/>
                <w:spacing w:val="-4"/>
                <w:w w:val="85"/>
                <w:sz w:val="16"/>
              </w:rPr>
              <w:t>19.1</w:t>
            </w:r>
          </w:p>
        </w:tc>
        <w:tc>
          <w:tcPr>
            <w:tcW w:w="1037" w:type="dxa"/>
            <w:tcBorders>
              <w:top w:val="single" w:sz="4" w:space="0" w:color="000000"/>
              <w:bottom w:val="single" w:sz="4" w:space="0" w:color="000000"/>
            </w:tcBorders>
          </w:tcPr>
          <w:p w14:paraId="1AEA271C" w14:textId="77777777" w:rsidR="00084F36" w:rsidRPr="00EB2BD8" w:rsidRDefault="00EB2BD8">
            <w:pPr>
              <w:pStyle w:val="TableParagraph"/>
              <w:spacing w:before="112"/>
              <w:ind w:right="198"/>
              <w:jc w:val="right"/>
              <w:rPr>
                <w:b/>
                <w:sz w:val="16"/>
              </w:rPr>
            </w:pPr>
            <w:r w:rsidRPr="00EB2BD8">
              <w:rPr>
                <w:b/>
                <w:spacing w:val="-4"/>
                <w:sz w:val="16"/>
              </w:rPr>
              <w:t>25.9</w:t>
            </w:r>
          </w:p>
        </w:tc>
        <w:tc>
          <w:tcPr>
            <w:tcW w:w="1033" w:type="dxa"/>
            <w:tcBorders>
              <w:top w:val="single" w:sz="4" w:space="0" w:color="000000"/>
              <w:bottom w:val="single" w:sz="4" w:space="0" w:color="000000"/>
            </w:tcBorders>
          </w:tcPr>
          <w:p w14:paraId="23EB0C61" w14:textId="77777777" w:rsidR="00084F36" w:rsidRPr="00EB2BD8" w:rsidRDefault="00EB2BD8">
            <w:pPr>
              <w:pStyle w:val="TableParagraph"/>
              <w:spacing w:before="112"/>
              <w:ind w:right="211"/>
              <w:jc w:val="right"/>
              <w:rPr>
                <w:sz w:val="9"/>
              </w:rPr>
            </w:pPr>
            <w:r w:rsidRPr="00EB2BD8">
              <w:rPr>
                <w:b/>
                <w:spacing w:val="-2"/>
                <w:w w:val="95"/>
                <w:sz w:val="16"/>
              </w:rPr>
              <w:t>93.7</w:t>
            </w:r>
            <w:r w:rsidRPr="00EB2BD8">
              <w:rPr>
                <w:spacing w:val="-2"/>
                <w:w w:val="95"/>
                <w:position w:val="5"/>
                <w:sz w:val="9"/>
              </w:rPr>
              <w:t>7</w:t>
            </w:r>
          </w:p>
        </w:tc>
        <w:tc>
          <w:tcPr>
            <w:tcW w:w="923" w:type="dxa"/>
            <w:tcBorders>
              <w:top w:val="single" w:sz="4" w:space="0" w:color="000000"/>
              <w:bottom w:val="single" w:sz="4" w:space="0" w:color="000000"/>
            </w:tcBorders>
          </w:tcPr>
          <w:p w14:paraId="0B46A95A" w14:textId="77777777" w:rsidR="00084F36" w:rsidRPr="00EB2BD8" w:rsidRDefault="00EB2BD8">
            <w:pPr>
              <w:pStyle w:val="TableParagraph"/>
              <w:spacing w:before="112"/>
              <w:ind w:right="113"/>
              <w:jc w:val="right"/>
              <w:rPr>
                <w:b/>
                <w:sz w:val="16"/>
              </w:rPr>
            </w:pPr>
            <w:r w:rsidRPr="00EB2BD8">
              <w:rPr>
                <w:b/>
                <w:spacing w:val="-4"/>
                <w:sz w:val="16"/>
              </w:rPr>
              <w:t>46.7</w:t>
            </w:r>
          </w:p>
        </w:tc>
      </w:tr>
      <w:tr w:rsidR="00084F36" w:rsidRPr="00EB2BD8" w14:paraId="04BB2D60" w14:textId="77777777">
        <w:trPr>
          <w:trHeight w:val="396"/>
        </w:trPr>
        <w:tc>
          <w:tcPr>
            <w:tcW w:w="5030" w:type="dxa"/>
            <w:tcBorders>
              <w:top w:val="single" w:sz="4" w:space="0" w:color="000000"/>
              <w:bottom w:val="single" w:sz="4" w:space="0" w:color="000000"/>
            </w:tcBorders>
          </w:tcPr>
          <w:p w14:paraId="739A6348" w14:textId="77777777" w:rsidR="00084F36" w:rsidRPr="00EB2BD8" w:rsidRDefault="00EB2BD8">
            <w:pPr>
              <w:pStyle w:val="TableParagraph"/>
              <w:spacing w:before="113"/>
              <w:ind w:left="56"/>
              <w:rPr>
                <w:b/>
                <w:sz w:val="18"/>
              </w:rPr>
            </w:pPr>
            <w:r w:rsidRPr="00EB2BD8">
              <w:rPr>
                <w:b/>
                <w:spacing w:val="-6"/>
                <w:sz w:val="18"/>
              </w:rPr>
              <w:t>Net</w:t>
            </w:r>
            <w:r w:rsidRPr="00EB2BD8">
              <w:rPr>
                <w:b/>
                <w:spacing w:val="-7"/>
                <w:sz w:val="18"/>
              </w:rPr>
              <w:t xml:space="preserve"> </w:t>
            </w:r>
            <w:r w:rsidRPr="00EB2BD8">
              <w:rPr>
                <w:b/>
                <w:spacing w:val="-6"/>
                <w:sz w:val="18"/>
              </w:rPr>
              <w:t>increase/(decrease)</w:t>
            </w:r>
            <w:r w:rsidRPr="00EB2BD8">
              <w:rPr>
                <w:b/>
                <w:spacing w:val="-7"/>
                <w:sz w:val="18"/>
              </w:rPr>
              <w:t xml:space="preserve"> </w:t>
            </w:r>
            <w:r w:rsidRPr="00EB2BD8">
              <w:rPr>
                <w:b/>
                <w:spacing w:val="-6"/>
                <w:sz w:val="18"/>
              </w:rPr>
              <w:t>in</w:t>
            </w:r>
            <w:r w:rsidRPr="00EB2BD8">
              <w:rPr>
                <w:b/>
                <w:spacing w:val="-7"/>
                <w:sz w:val="18"/>
              </w:rPr>
              <w:t xml:space="preserve"> </w:t>
            </w:r>
            <w:r w:rsidRPr="00EB2BD8">
              <w:rPr>
                <w:b/>
                <w:spacing w:val="-6"/>
                <w:sz w:val="18"/>
              </w:rPr>
              <w:t>cash</w:t>
            </w:r>
            <w:r w:rsidRPr="00EB2BD8">
              <w:rPr>
                <w:b/>
                <w:spacing w:val="-7"/>
                <w:sz w:val="18"/>
              </w:rPr>
              <w:t xml:space="preserve"> </w:t>
            </w:r>
            <w:r w:rsidRPr="00EB2BD8">
              <w:rPr>
                <w:b/>
                <w:spacing w:val="-6"/>
                <w:sz w:val="18"/>
              </w:rPr>
              <w:t>and</w:t>
            </w:r>
            <w:r w:rsidRPr="00EB2BD8">
              <w:rPr>
                <w:b/>
                <w:spacing w:val="-7"/>
                <w:sz w:val="18"/>
              </w:rPr>
              <w:t xml:space="preserve"> </w:t>
            </w:r>
            <w:r w:rsidRPr="00EB2BD8">
              <w:rPr>
                <w:b/>
                <w:spacing w:val="-6"/>
                <w:sz w:val="18"/>
              </w:rPr>
              <w:t>cash</w:t>
            </w:r>
            <w:r w:rsidRPr="00EB2BD8">
              <w:rPr>
                <w:b/>
                <w:spacing w:val="-7"/>
                <w:sz w:val="18"/>
              </w:rPr>
              <w:t xml:space="preserve"> </w:t>
            </w:r>
            <w:r w:rsidRPr="00EB2BD8">
              <w:rPr>
                <w:b/>
                <w:spacing w:val="-6"/>
                <w:sz w:val="18"/>
              </w:rPr>
              <w:t>equivalents</w:t>
            </w:r>
          </w:p>
        </w:tc>
        <w:tc>
          <w:tcPr>
            <w:tcW w:w="1163" w:type="dxa"/>
            <w:tcBorders>
              <w:top w:val="single" w:sz="4" w:space="0" w:color="000000"/>
              <w:bottom w:val="single" w:sz="4" w:space="0" w:color="000000"/>
            </w:tcBorders>
          </w:tcPr>
          <w:p w14:paraId="04DFBC31" w14:textId="77777777" w:rsidR="00084F36" w:rsidRPr="00EB2BD8" w:rsidRDefault="00EB2BD8">
            <w:pPr>
              <w:pStyle w:val="TableParagraph"/>
              <w:spacing w:before="113"/>
              <w:ind w:right="193"/>
              <w:jc w:val="right"/>
              <w:rPr>
                <w:b/>
                <w:sz w:val="18"/>
              </w:rPr>
            </w:pPr>
            <w:r w:rsidRPr="00EB2BD8">
              <w:rPr>
                <w:b/>
                <w:spacing w:val="-4"/>
                <w:w w:val="90"/>
                <w:sz w:val="18"/>
              </w:rPr>
              <w:t>20.1</w:t>
            </w:r>
          </w:p>
        </w:tc>
        <w:tc>
          <w:tcPr>
            <w:tcW w:w="1021" w:type="dxa"/>
            <w:tcBorders>
              <w:top w:val="single" w:sz="4" w:space="0" w:color="000000"/>
              <w:bottom w:val="single" w:sz="4" w:space="0" w:color="000000"/>
            </w:tcBorders>
          </w:tcPr>
          <w:p w14:paraId="1643612C" w14:textId="77777777" w:rsidR="00084F36" w:rsidRPr="00EB2BD8" w:rsidRDefault="00EB2BD8">
            <w:pPr>
              <w:pStyle w:val="TableParagraph"/>
              <w:spacing w:before="113"/>
              <w:ind w:right="183"/>
              <w:jc w:val="right"/>
              <w:rPr>
                <w:b/>
                <w:sz w:val="18"/>
              </w:rPr>
            </w:pPr>
            <w:r w:rsidRPr="00EB2BD8">
              <w:rPr>
                <w:b/>
                <w:spacing w:val="-2"/>
                <w:w w:val="90"/>
                <w:sz w:val="18"/>
              </w:rPr>
              <w:t>(13.1)</w:t>
            </w:r>
          </w:p>
        </w:tc>
        <w:tc>
          <w:tcPr>
            <w:tcW w:w="1037" w:type="dxa"/>
            <w:tcBorders>
              <w:top w:val="single" w:sz="4" w:space="0" w:color="000000"/>
              <w:bottom w:val="single" w:sz="4" w:space="0" w:color="000000"/>
            </w:tcBorders>
          </w:tcPr>
          <w:p w14:paraId="31F37F65" w14:textId="77777777" w:rsidR="00084F36" w:rsidRPr="00EB2BD8" w:rsidRDefault="00EB2BD8">
            <w:pPr>
              <w:pStyle w:val="TableParagraph"/>
              <w:spacing w:before="113"/>
              <w:ind w:right="141"/>
              <w:jc w:val="right"/>
              <w:rPr>
                <w:b/>
                <w:sz w:val="18"/>
              </w:rPr>
            </w:pPr>
            <w:r w:rsidRPr="00EB2BD8">
              <w:rPr>
                <w:b/>
                <w:spacing w:val="-2"/>
                <w:sz w:val="18"/>
              </w:rPr>
              <w:t>(55.6)</w:t>
            </w:r>
          </w:p>
        </w:tc>
        <w:tc>
          <w:tcPr>
            <w:tcW w:w="1033" w:type="dxa"/>
            <w:tcBorders>
              <w:top w:val="single" w:sz="4" w:space="0" w:color="000000"/>
              <w:bottom w:val="single" w:sz="4" w:space="0" w:color="000000"/>
            </w:tcBorders>
          </w:tcPr>
          <w:p w14:paraId="656B182F" w14:textId="77777777" w:rsidR="00084F36" w:rsidRPr="00EB2BD8" w:rsidRDefault="00EB2BD8">
            <w:pPr>
              <w:pStyle w:val="TableParagraph"/>
              <w:spacing w:before="113"/>
              <w:ind w:right="154"/>
              <w:jc w:val="right"/>
              <w:rPr>
                <w:b/>
                <w:sz w:val="18"/>
              </w:rPr>
            </w:pPr>
            <w:r w:rsidRPr="00EB2BD8">
              <w:rPr>
                <w:b/>
                <w:spacing w:val="-4"/>
                <w:sz w:val="18"/>
              </w:rPr>
              <w:t>55.9</w:t>
            </w:r>
          </w:p>
        </w:tc>
        <w:tc>
          <w:tcPr>
            <w:tcW w:w="923" w:type="dxa"/>
            <w:tcBorders>
              <w:top w:val="single" w:sz="4" w:space="0" w:color="000000"/>
              <w:bottom w:val="single" w:sz="4" w:space="0" w:color="000000"/>
            </w:tcBorders>
          </w:tcPr>
          <w:p w14:paraId="588BC2C0" w14:textId="77777777" w:rsidR="00084F36" w:rsidRPr="00EB2BD8" w:rsidRDefault="00EB2BD8">
            <w:pPr>
              <w:pStyle w:val="TableParagraph"/>
              <w:spacing w:before="113"/>
              <w:ind w:right="61"/>
              <w:jc w:val="right"/>
              <w:rPr>
                <w:b/>
                <w:sz w:val="18"/>
              </w:rPr>
            </w:pPr>
            <w:r w:rsidRPr="00EB2BD8">
              <w:rPr>
                <w:b/>
                <w:spacing w:val="-4"/>
                <w:sz w:val="18"/>
              </w:rPr>
              <w:t>20.6</w:t>
            </w:r>
          </w:p>
        </w:tc>
      </w:tr>
    </w:tbl>
    <w:p w14:paraId="1BC86563" w14:textId="77777777" w:rsidR="00084F36" w:rsidRPr="00EB2BD8" w:rsidRDefault="00084F36">
      <w:pPr>
        <w:pStyle w:val="BodyText"/>
        <w:spacing w:before="10"/>
        <w:rPr>
          <w:sz w:val="32"/>
        </w:rPr>
      </w:pPr>
    </w:p>
    <w:p w14:paraId="52A248A9" w14:textId="1CE5D951" w:rsidR="00DF2803" w:rsidRDefault="00EB2BD8">
      <w:pPr>
        <w:spacing w:line="290" w:lineRule="auto"/>
        <w:ind w:left="850" w:right="1813"/>
        <w:rPr>
          <w:i/>
          <w:spacing w:val="-2"/>
          <w:sz w:val="14"/>
        </w:rPr>
      </w:pPr>
      <w:r w:rsidRPr="00EB2BD8">
        <w:rPr>
          <w:i/>
          <w:spacing w:val="-2"/>
          <w:sz w:val="14"/>
        </w:rPr>
        <w:t>1</w:t>
      </w:r>
      <w:r w:rsidR="00DF2803">
        <w:rPr>
          <w:i/>
          <w:spacing w:val="-2"/>
          <w:sz w:val="14"/>
        </w:rPr>
        <w:t xml:space="preserve">- </w:t>
      </w:r>
      <w:r w:rsidRPr="00EB2BD8">
        <w:rPr>
          <w:i/>
          <w:spacing w:val="-2"/>
          <w:sz w:val="14"/>
        </w:rPr>
        <w:t>The</w:t>
      </w:r>
      <w:r w:rsidRPr="00EB2BD8">
        <w:rPr>
          <w:i/>
          <w:spacing w:val="-6"/>
          <w:sz w:val="14"/>
        </w:rPr>
        <w:t xml:space="preserve"> </w:t>
      </w:r>
      <w:r w:rsidRPr="00EB2BD8">
        <w:rPr>
          <w:i/>
          <w:spacing w:val="-2"/>
          <w:sz w:val="14"/>
        </w:rPr>
        <w:t>prior</w:t>
      </w:r>
      <w:r w:rsidRPr="00EB2BD8">
        <w:rPr>
          <w:i/>
          <w:spacing w:val="-6"/>
          <w:sz w:val="14"/>
        </w:rPr>
        <w:t xml:space="preserve"> </w:t>
      </w:r>
      <w:r w:rsidRPr="00EB2BD8">
        <w:rPr>
          <w:i/>
          <w:spacing w:val="-2"/>
          <w:sz w:val="14"/>
        </w:rPr>
        <w:t>year</w:t>
      </w:r>
      <w:r w:rsidRPr="00EB2BD8">
        <w:rPr>
          <w:i/>
          <w:spacing w:val="-6"/>
          <w:sz w:val="14"/>
        </w:rPr>
        <w:t xml:space="preserve"> </w:t>
      </w:r>
      <w:r w:rsidRPr="00EB2BD8">
        <w:rPr>
          <w:i/>
          <w:spacing w:val="-2"/>
          <w:sz w:val="14"/>
        </w:rPr>
        <w:t>results</w:t>
      </w:r>
      <w:r w:rsidRPr="00EB2BD8">
        <w:rPr>
          <w:i/>
          <w:spacing w:val="-6"/>
          <w:sz w:val="14"/>
        </w:rPr>
        <w:t xml:space="preserve"> </w:t>
      </w:r>
      <w:r w:rsidRPr="00EB2BD8">
        <w:rPr>
          <w:i/>
          <w:spacing w:val="-2"/>
          <w:sz w:val="14"/>
        </w:rPr>
        <w:t>included</w:t>
      </w:r>
      <w:r w:rsidRPr="00EB2BD8">
        <w:rPr>
          <w:i/>
          <w:spacing w:val="-6"/>
          <w:sz w:val="14"/>
        </w:rPr>
        <w:t xml:space="preserve"> </w:t>
      </w:r>
      <w:r w:rsidRPr="00EB2BD8">
        <w:rPr>
          <w:i/>
          <w:spacing w:val="-2"/>
          <w:sz w:val="14"/>
        </w:rPr>
        <w:t>CSV</w:t>
      </w:r>
      <w:r w:rsidRPr="00EB2BD8">
        <w:rPr>
          <w:i/>
          <w:spacing w:val="-6"/>
          <w:sz w:val="14"/>
        </w:rPr>
        <w:t xml:space="preserve"> </w:t>
      </w:r>
      <w:r w:rsidRPr="00EB2BD8">
        <w:rPr>
          <w:i/>
          <w:spacing w:val="-2"/>
          <w:sz w:val="14"/>
        </w:rPr>
        <w:t>net</w:t>
      </w:r>
      <w:r w:rsidRPr="00EB2BD8">
        <w:rPr>
          <w:i/>
          <w:spacing w:val="-6"/>
          <w:sz w:val="14"/>
        </w:rPr>
        <w:t xml:space="preserve"> </w:t>
      </w:r>
      <w:r w:rsidRPr="00EB2BD8">
        <w:rPr>
          <w:i/>
          <w:spacing w:val="-2"/>
          <w:sz w:val="14"/>
        </w:rPr>
        <w:t>result</w:t>
      </w:r>
      <w:r w:rsidRPr="00EB2BD8">
        <w:rPr>
          <w:i/>
          <w:spacing w:val="-6"/>
          <w:sz w:val="14"/>
        </w:rPr>
        <w:t xml:space="preserve"> </w:t>
      </w:r>
      <w:r w:rsidRPr="00EB2BD8">
        <w:rPr>
          <w:i/>
          <w:spacing w:val="-2"/>
          <w:sz w:val="14"/>
        </w:rPr>
        <w:t>of</w:t>
      </w:r>
      <w:r w:rsidRPr="00EB2BD8">
        <w:rPr>
          <w:i/>
          <w:spacing w:val="-6"/>
          <w:sz w:val="14"/>
        </w:rPr>
        <w:t xml:space="preserve"> </w:t>
      </w:r>
      <w:r w:rsidRPr="00EB2BD8">
        <w:rPr>
          <w:i/>
          <w:spacing w:val="-2"/>
          <w:sz w:val="14"/>
        </w:rPr>
        <w:t>$34.1</w:t>
      </w:r>
      <w:r w:rsidRPr="00EB2BD8">
        <w:rPr>
          <w:i/>
          <w:spacing w:val="-6"/>
          <w:sz w:val="14"/>
        </w:rPr>
        <w:t xml:space="preserve"> </w:t>
      </w:r>
      <w:r w:rsidRPr="00EB2BD8">
        <w:rPr>
          <w:i/>
          <w:spacing w:val="-2"/>
          <w:sz w:val="14"/>
        </w:rPr>
        <w:t>million</w:t>
      </w:r>
      <w:r w:rsidRPr="00EB2BD8">
        <w:rPr>
          <w:i/>
          <w:spacing w:val="-6"/>
          <w:sz w:val="14"/>
        </w:rPr>
        <w:t xml:space="preserve"> </w:t>
      </w:r>
      <w:r w:rsidRPr="00EB2BD8">
        <w:rPr>
          <w:i/>
          <w:spacing w:val="-2"/>
          <w:sz w:val="14"/>
        </w:rPr>
        <w:t>for</w:t>
      </w:r>
      <w:r w:rsidRPr="00EB2BD8">
        <w:rPr>
          <w:i/>
          <w:spacing w:val="-6"/>
          <w:sz w:val="14"/>
        </w:rPr>
        <w:t xml:space="preserve"> </w:t>
      </w:r>
      <w:r w:rsidRPr="00EB2BD8">
        <w:rPr>
          <w:i/>
          <w:spacing w:val="-2"/>
          <w:sz w:val="14"/>
        </w:rPr>
        <w:t>five</w:t>
      </w:r>
      <w:r w:rsidRPr="00EB2BD8">
        <w:rPr>
          <w:i/>
          <w:spacing w:val="-6"/>
          <w:sz w:val="14"/>
        </w:rPr>
        <w:t xml:space="preserve"> </w:t>
      </w:r>
      <w:r w:rsidRPr="00EB2BD8">
        <w:rPr>
          <w:i/>
          <w:spacing w:val="-2"/>
          <w:sz w:val="14"/>
        </w:rPr>
        <w:t>months</w:t>
      </w:r>
      <w:r w:rsidRPr="00EB2BD8">
        <w:rPr>
          <w:i/>
          <w:spacing w:val="-6"/>
          <w:sz w:val="14"/>
        </w:rPr>
        <w:t xml:space="preserve"> </w:t>
      </w:r>
      <w:r w:rsidRPr="00EB2BD8">
        <w:rPr>
          <w:i/>
          <w:spacing w:val="-2"/>
          <w:sz w:val="14"/>
        </w:rPr>
        <w:t>prior</w:t>
      </w:r>
      <w:r w:rsidRPr="00EB2BD8">
        <w:rPr>
          <w:i/>
          <w:spacing w:val="-6"/>
          <w:sz w:val="14"/>
        </w:rPr>
        <w:t xml:space="preserve"> </w:t>
      </w:r>
      <w:r w:rsidRPr="00EB2BD8">
        <w:rPr>
          <w:i/>
          <w:spacing w:val="-2"/>
          <w:sz w:val="14"/>
        </w:rPr>
        <w:t>to</w:t>
      </w:r>
      <w:r w:rsidRPr="00EB2BD8">
        <w:rPr>
          <w:i/>
          <w:spacing w:val="-6"/>
          <w:sz w:val="14"/>
        </w:rPr>
        <w:t xml:space="preserve"> </w:t>
      </w:r>
      <w:r w:rsidRPr="00EB2BD8">
        <w:rPr>
          <w:i/>
          <w:spacing w:val="-2"/>
          <w:sz w:val="14"/>
        </w:rPr>
        <w:t>its</w:t>
      </w:r>
      <w:r w:rsidRPr="00EB2BD8">
        <w:rPr>
          <w:i/>
          <w:spacing w:val="-6"/>
          <w:sz w:val="14"/>
        </w:rPr>
        <w:t xml:space="preserve"> </w:t>
      </w:r>
      <w:r w:rsidRPr="00EB2BD8">
        <w:rPr>
          <w:i/>
          <w:spacing w:val="-2"/>
          <w:sz w:val="14"/>
        </w:rPr>
        <w:t>separation</w:t>
      </w:r>
      <w:r w:rsidRPr="00EB2BD8">
        <w:rPr>
          <w:i/>
          <w:spacing w:val="-6"/>
          <w:sz w:val="14"/>
        </w:rPr>
        <w:t xml:space="preserve"> </w:t>
      </w:r>
      <w:r w:rsidRPr="00EB2BD8">
        <w:rPr>
          <w:i/>
          <w:spacing w:val="-2"/>
          <w:sz w:val="14"/>
        </w:rPr>
        <w:t>from</w:t>
      </w:r>
      <w:r w:rsidRPr="00EB2BD8">
        <w:rPr>
          <w:i/>
          <w:spacing w:val="-6"/>
          <w:sz w:val="14"/>
        </w:rPr>
        <w:t xml:space="preserve"> </w:t>
      </w:r>
      <w:r w:rsidRPr="00EB2BD8">
        <w:rPr>
          <w:i/>
          <w:spacing w:val="-2"/>
          <w:sz w:val="14"/>
        </w:rPr>
        <w:t>the</w:t>
      </w:r>
      <w:r w:rsidRPr="00EB2BD8">
        <w:rPr>
          <w:i/>
          <w:spacing w:val="-6"/>
          <w:sz w:val="14"/>
        </w:rPr>
        <w:t xml:space="preserve"> </w:t>
      </w:r>
      <w:r w:rsidRPr="00EB2BD8">
        <w:rPr>
          <w:i/>
          <w:spacing w:val="-2"/>
          <w:sz w:val="14"/>
        </w:rPr>
        <w:t>VBA</w:t>
      </w:r>
      <w:r w:rsidRPr="00EB2BD8">
        <w:rPr>
          <w:i/>
          <w:spacing w:val="-6"/>
          <w:sz w:val="14"/>
        </w:rPr>
        <w:t xml:space="preserve"> </w:t>
      </w:r>
      <w:r w:rsidRPr="00EB2BD8">
        <w:rPr>
          <w:i/>
          <w:spacing w:val="-2"/>
          <w:sz w:val="14"/>
        </w:rPr>
        <w:t>on</w:t>
      </w:r>
      <w:r w:rsidRPr="00EB2BD8">
        <w:rPr>
          <w:i/>
          <w:spacing w:val="-6"/>
          <w:sz w:val="14"/>
        </w:rPr>
        <w:t xml:space="preserve"> </w:t>
      </w:r>
      <w:r w:rsidRPr="00EB2BD8">
        <w:rPr>
          <w:i/>
          <w:spacing w:val="-2"/>
          <w:sz w:val="14"/>
        </w:rPr>
        <w:t>1</w:t>
      </w:r>
      <w:r w:rsidRPr="00EB2BD8">
        <w:rPr>
          <w:i/>
          <w:spacing w:val="-6"/>
          <w:sz w:val="14"/>
        </w:rPr>
        <w:t xml:space="preserve"> </w:t>
      </w:r>
      <w:r w:rsidRPr="00EB2BD8">
        <w:rPr>
          <w:i/>
          <w:spacing w:val="-2"/>
          <w:sz w:val="14"/>
        </w:rPr>
        <w:t>December</w:t>
      </w:r>
      <w:r w:rsidRPr="00EB2BD8">
        <w:rPr>
          <w:i/>
          <w:spacing w:val="-6"/>
          <w:sz w:val="14"/>
        </w:rPr>
        <w:t xml:space="preserve"> </w:t>
      </w:r>
      <w:r w:rsidRPr="00EB2BD8">
        <w:rPr>
          <w:i/>
          <w:spacing w:val="-2"/>
          <w:sz w:val="14"/>
        </w:rPr>
        <w:t>2020.</w:t>
      </w:r>
    </w:p>
    <w:p w14:paraId="71E65291" w14:textId="3A157DA0" w:rsidR="00084F36" w:rsidRPr="00EB2BD8" w:rsidRDefault="00DF2803">
      <w:pPr>
        <w:spacing w:line="290" w:lineRule="auto"/>
        <w:ind w:left="850" w:right="1813"/>
        <w:rPr>
          <w:i/>
          <w:sz w:val="14"/>
        </w:rPr>
      </w:pPr>
      <w:r>
        <w:rPr>
          <w:i/>
          <w:spacing w:val="-2"/>
          <w:sz w:val="14"/>
        </w:rPr>
        <w:t xml:space="preserve">2- </w:t>
      </w:r>
      <w:r w:rsidR="00EB2BD8" w:rsidRPr="00EB2BD8">
        <w:rPr>
          <w:i/>
          <w:sz w:val="14"/>
        </w:rPr>
        <w:t>Includes</w:t>
      </w:r>
      <w:r w:rsidR="00EB2BD8" w:rsidRPr="00EB2BD8">
        <w:rPr>
          <w:i/>
          <w:spacing w:val="-6"/>
          <w:sz w:val="14"/>
        </w:rPr>
        <w:t xml:space="preserve"> </w:t>
      </w:r>
      <w:r w:rsidR="00EB2BD8" w:rsidRPr="00EB2BD8">
        <w:rPr>
          <w:i/>
          <w:sz w:val="14"/>
        </w:rPr>
        <w:t>former</w:t>
      </w:r>
      <w:r w:rsidR="00EB2BD8" w:rsidRPr="00EB2BD8">
        <w:rPr>
          <w:i/>
          <w:spacing w:val="-6"/>
          <w:sz w:val="14"/>
        </w:rPr>
        <w:t xml:space="preserve"> </w:t>
      </w:r>
      <w:r w:rsidR="00EB2BD8" w:rsidRPr="00EB2BD8">
        <w:rPr>
          <w:i/>
          <w:sz w:val="14"/>
        </w:rPr>
        <w:t>VBA</w:t>
      </w:r>
      <w:r w:rsidR="00EB2BD8" w:rsidRPr="00EB2BD8">
        <w:rPr>
          <w:i/>
          <w:spacing w:val="-6"/>
          <w:sz w:val="14"/>
        </w:rPr>
        <w:t xml:space="preserve"> </w:t>
      </w:r>
      <w:r w:rsidR="00EB2BD8" w:rsidRPr="00EB2BD8">
        <w:rPr>
          <w:i/>
          <w:sz w:val="14"/>
        </w:rPr>
        <w:t>business</w:t>
      </w:r>
      <w:r w:rsidR="00EB2BD8" w:rsidRPr="00EB2BD8">
        <w:rPr>
          <w:i/>
          <w:spacing w:val="-6"/>
          <w:sz w:val="14"/>
        </w:rPr>
        <w:t xml:space="preserve"> </w:t>
      </w:r>
      <w:r w:rsidR="00EB2BD8" w:rsidRPr="00EB2BD8">
        <w:rPr>
          <w:i/>
          <w:sz w:val="14"/>
        </w:rPr>
        <w:t>unit,</w:t>
      </w:r>
      <w:r w:rsidR="00EB2BD8" w:rsidRPr="00EB2BD8">
        <w:rPr>
          <w:i/>
          <w:spacing w:val="-6"/>
          <w:sz w:val="14"/>
        </w:rPr>
        <w:t xml:space="preserve"> </w:t>
      </w:r>
      <w:r w:rsidR="00EB2BD8" w:rsidRPr="00EB2BD8">
        <w:rPr>
          <w:i/>
          <w:sz w:val="14"/>
        </w:rPr>
        <w:t>CSV,</w:t>
      </w:r>
      <w:r w:rsidR="00EB2BD8" w:rsidRPr="00EB2BD8">
        <w:rPr>
          <w:i/>
          <w:spacing w:val="-6"/>
          <w:sz w:val="14"/>
        </w:rPr>
        <w:t xml:space="preserve"> </w:t>
      </w:r>
      <w:r w:rsidR="00EB2BD8" w:rsidRPr="00EB2BD8">
        <w:rPr>
          <w:i/>
          <w:sz w:val="14"/>
        </w:rPr>
        <w:t>established</w:t>
      </w:r>
      <w:r w:rsidR="00EB2BD8" w:rsidRPr="00EB2BD8">
        <w:rPr>
          <w:i/>
          <w:spacing w:val="-6"/>
          <w:sz w:val="14"/>
        </w:rPr>
        <w:t xml:space="preserve"> </w:t>
      </w:r>
      <w:r w:rsidR="00EB2BD8" w:rsidRPr="00EB2BD8">
        <w:rPr>
          <w:i/>
          <w:sz w:val="14"/>
        </w:rPr>
        <w:t>on</w:t>
      </w:r>
      <w:r w:rsidR="00EB2BD8" w:rsidRPr="00EB2BD8">
        <w:rPr>
          <w:i/>
          <w:spacing w:val="-6"/>
          <w:sz w:val="14"/>
        </w:rPr>
        <w:t xml:space="preserve"> </w:t>
      </w:r>
      <w:r w:rsidR="00EB2BD8" w:rsidRPr="00EB2BD8">
        <w:rPr>
          <w:i/>
          <w:sz w:val="14"/>
        </w:rPr>
        <w:t>16</w:t>
      </w:r>
      <w:r w:rsidR="00EB2BD8" w:rsidRPr="00EB2BD8">
        <w:rPr>
          <w:i/>
          <w:spacing w:val="-6"/>
          <w:sz w:val="14"/>
        </w:rPr>
        <w:t xml:space="preserve"> </w:t>
      </w:r>
      <w:r w:rsidR="00EB2BD8" w:rsidRPr="00EB2BD8">
        <w:rPr>
          <w:i/>
          <w:sz w:val="14"/>
        </w:rPr>
        <w:t>July</w:t>
      </w:r>
      <w:r w:rsidR="00EB2BD8" w:rsidRPr="00EB2BD8">
        <w:rPr>
          <w:i/>
          <w:spacing w:val="-6"/>
          <w:sz w:val="14"/>
        </w:rPr>
        <w:t xml:space="preserve"> </w:t>
      </w:r>
      <w:r w:rsidR="00EB2BD8" w:rsidRPr="00EB2BD8">
        <w:rPr>
          <w:i/>
          <w:sz w:val="14"/>
        </w:rPr>
        <w:t>2019.</w:t>
      </w:r>
    </w:p>
    <w:p w14:paraId="2BFA6915" w14:textId="6851959F" w:rsidR="00084F36" w:rsidRPr="00EB2BD8" w:rsidRDefault="00EB2BD8">
      <w:pPr>
        <w:spacing w:before="1" w:line="290" w:lineRule="auto"/>
        <w:ind w:left="850" w:right="6160"/>
        <w:rPr>
          <w:i/>
          <w:sz w:val="14"/>
        </w:rPr>
      </w:pPr>
      <w:r w:rsidRPr="00EB2BD8">
        <w:rPr>
          <w:i/>
          <w:spacing w:val="-4"/>
          <w:sz w:val="14"/>
        </w:rPr>
        <w:t>3</w:t>
      </w:r>
      <w:r w:rsidR="00DF2803">
        <w:rPr>
          <w:i/>
          <w:spacing w:val="-4"/>
          <w:sz w:val="14"/>
        </w:rPr>
        <w:t xml:space="preserve">- </w:t>
      </w:r>
      <w:r w:rsidRPr="00EB2BD8">
        <w:rPr>
          <w:i/>
          <w:spacing w:val="-4"/>
          <w:sz w:val="14"/>
        </w:rPr>
        <w:t xml:space="preserve">Includes cladding rectification levy $20.4 million (2019-20: $19.3 million). </w:t>
      </w:r>
      <w:r w:rsidRPr="00EB2BD8">
        <w:rPr>
          <w:i/>
          <w:sz w:val="14"/>
        </w:rPr>
        <w:t>4</w:t>
      </w:r>
      <w:r w:rsidR="00DF2803">
        <w:rPr>
          <w:i/>
          <w:sz w:val="14"/>
        </w:rPr>
        <w:t xml:space="preserve">- </w:t>
      </w:r>
      <w:r w:rsidRPr="00EB2BD8">
        <w:rPr>
          <w:i/>
          <w:sz w:val="14"/>
        </w:rPr>
        <w:t>Includes CSV net result $44.5 million.</w:t>
      </w:r>
    </w:p>
    <w:p w14:paraId="409E0D64" w14:textId="7B1E000A" w:rsidR="00084F36" w:rsidRPr="00EB2BD8" w:rsidRDefault="00EB2BD8">
      <w:pPr>
        <w:spacing w:before="1" w:line="290" w:lineRule="auto"/>
        <w:ind w:left="850" w:right="7043"/>
        <w:rPr>
          <w:i/>
          <w:sz w:val="14"/>
        </w:rPr>
      </w:pPr>
      <w:r w:rsidRPr="00EB2BD8">
        <w:rPr>
          <w:i/>
          <w:spacing w:val="-6"/>
          <w:sz w:val="14"/>
        </w:rPr>
        <w:t>5</w:t>
      </w:r>
      <w:r w:rsidR="00DF2803">
        <w:rPr>
          <w:i/>
          <w:spacing w:val="-6"/>
          <w:sz w:val="14"/>
        </w:rPr>
        <w:t xml:space="preserve">- </w:t>
      </w:r>
      <w:r w:rsidRPr="00EB2BD8">
        <w:rPr>
          <w:i/>
          <w:spacing w:val="-6"/>
          <w:sz w:val="14"/>
        </w:rPr>
        <w:t>Revised in the prior year from $28.1 million to $27.7 million.</w:t>
      </w:r>
      <w:r w:rsidRPr="00EB2BD8">
        <w:rPr>
          <w:i/>
          <w:sz w:val="14"/>
        </w:rPr>
        <w:t xml:space="preserve"> </w:t>
      </w:r>
      <w:r w:rsidRPr="00EB2BD8">
        <w:rPr>
          <w:i/>
          <w:spacing w:val="-6"/>
          <w:sz w:val="14"/>
        </w:rPr>
        <w:t>6</w:t>
      </w:r>
      <w:r w:rsidR="00DF2803">
        <w:rPr>
          <w:i/>
          <w:spacing w:val="-6"/>
          <w:sz w:val="14"/>
        </w:rPr>
        <w:t xml:space="preserve">- </w:t>
      </w:r>
      <w:r w:rsidRPr="00EB2BD8">
        <w:rPr>
          <w:i/>
          <w:spacing w:val="-6"/>
          <w:sz w:val="14"/>
        </w:rPr>
        <w:t>Revised in the prior year from $11.1 million to $11.5 million.</w:t>
      </w:r>
      <w:r w:rsidRPr="00EB2BD8">
        <w:rPr>
          <w:i/>
          <w:sz w:val="14"/>
        </w:rPr>
        <w:t xml:space="preserve"> 7</w:t>
      </w:r>
      <w:r w:rsidR="00DF2803">
        <w:rPr>
          <w:i/>
          <w:sz w:val="14"/>
        </w:rPr>
        <w:t xml:space="preserve">- </w:t>
      </w:r>
      <w:r w:rsidRPr="00EB2BD8">
        <w:rPr>
          <w:i/>
          <w:sz w:val="14"/>
        </w:rPr>
        <w:t>Includes CSV cash and cash equivalents $51.6 million.</w:t>
      </w:r>
    </w:p>
    <w:p w14:paraId="0A74891A" w14:textId="77777777" w:rsidR="00084F36" w:rsidRPr="00EB2BD8" w:rsidRDefault="00084F36">
      <w:pPr>
        <w:spacing w:line="290" w:lineRule="auto"/>
        <w:rPr>
          <w:sz w:val="14"/>
        </w:rPr>
        <w:sectPr w:rsidR="00084F36" w:rsidRPr="00EB2BD8" w:rsidSect="006D75B2">
          <w:headerReference w:type="even" r:id="rId43"/>
          <w:headerReference w:type="default" r:id="rId44"/>
          <w:footerReference w:type="even" r:id="rId45"/>
          <w:footerReference w:type="default" r:id="rId46"/>
          <w:pgSz w:w="11910" w:h="16840"/>
          <w:pgMar w:top="1100" w:right="0" w:bottom="700" w:left="0" w:header="0" w:footer="515" w:gutter="0"/>
          <w:pgNumType w:start="18"/>
          <w:cols w:space="720"/>
        </w:sectPr>
      </w:pPr>
    </w:p>
    <w:p w14:paraId="33BC60C5" w14:textId="77777777" w:rsidR="00084F36" w:rsidRPr="00EB2BD8" w:rsidRDefault="00084F36">
      <w:pPr>
        <w:pStyle w:val="BodyText"/>
        <w:rPr>
          <w:i/>
          <w:sz w:val="20"/>
        </w:rPr>
      </w:pPr>
    </w:p>
    <w:p w14:paraId="5CD9337E" w14:textId="77777777" w:rsidR="00084F36" w:rsidRPr="00EB2BD8" w:rsidRDefault="00084F36">
      <w:pPr>
        <w:pStyle w:val="BodyText"/>
        <w:rPr>
          <w:i/>
          <w:sz w:val="20"/>
        </w:rPr>
      </w:pPr>
    </w:p>
    <w:p w14:paraId="13993F05" w14:textId="77777777" w:rsidR="00084F36" w:rsidRPr="00EB2BD8" w:rsidRDefault="00084F36">
      <w:pPr>
        <w:pStyle w:val="BodyText"/>
        <w:rPr>
          <w:i/>
          <w:sz w:val="20"/>
        </w:rPr>
      </w:pPr>
    </w:p>
    <w:p w14:paraId="791358E9" w14:textId="77777777" w:rsidR="00084F36" w:rsidRPr="00EB2BD8" w:rsidRDefault="00084F36">
      <w:pPr>
        <w:pStyle w:val="BodyText"/>
        <w:spacing w:before="4"/>
        <w:rPr>
          <w:i/>
          <w:sz w:val="26"/>
        </w:rPr>
      </w:pPr>
    </w:p>
    <w:p w14:paraId="7646E863" w14:textId="77777777" w:rsidR="00084F36" w:rsidRPr="00EB2BD8" w:rsidRDefault="00EB2BD8" w:rsidP="00EB2BD8">
      <w:pPr>
        <w:pStyle w:val="Heading1"/>
      </w:pPr>
      <w:bookmarkStart w:id="50" w:name="_Toc150762352"/>
      <w:r w:rsidRPr="00EB2BD8">
        <w:t>Current year – financial performance and business review</w:t>
      </w:r>
      <w:bookmarkEnd w:id="50"/>
    </w:p>
    <w:p w14:paraId="194E2703" w14:textId="77777777" w:rsidR="00084F36" w:rsidRPr="00EB2BD8" w:rsidRDefault="00084F36">
      <w:pPr>
        <w:pStyle w:val="BodyText"/>
        <w:rPr>
          <w:rFonts w:ascii="Tahoma"/>
          <w:b/>
          <w:sz w:val="20"/>
        </w:rPr>
      </w:pPr>
    </w:p>
    <w:p w14:paraId="663B5A1B" w14:textId="77777777" w:rsidR="00084F36" w:rsidRPr="00EB2BD8" w:rsidRDefault="00084F36">
      <w:pPr>
        <w:pStyle w:val="BodyText"/>
        <w:spacing w:before="4"/>
        <w:rPr>
          <w:rFonts w:ascii="Tahoma"/>
          <w:b/>
          <w:sz w:val="23"/>
        </w:rPr>
      </w:pPr>
    </w:p>
    <w:p w14:paraId="0DFCAA9C" w14:textId="77777777" w:rsidR="00084F36" w:rsidRPr="00EB2BD8" w:rsidRDefault="00084F36">
      <w:pPr>
        <w:rPr>
          <w:rFonts w:ascii="Tahoma"/>
          <w:sz w:val="23"/>
        </w:rPr>
        <w:sectPr w:rsidR="00084F36" w:rsidRPr="00EB2BD8" w:rsidSect="006D75B2">
          <w:footerReference w:type="default" r:id="rId47"/>
          <w:pgSz w:w="11910" w:h="16840"/>
          <w:pgMar w:top="1080" w:right="0" w:bottom="0" w:left="0" w:header="861" w:footer="0" w:gutter="0"/>
          <w:cols w:space="720"/>
        </w:sectPr>
      </w:pPr>
    </w:p>
    <w:p w14:paraId="3129CC42" w14:textId="77777777" w:rsidR="00084F36" w:rsidRPr="00EB2BD8" w:rsidRDefault="00EB2BD8" w:rsidP="001975DF">
      <w:pPr>
        <w:pStyle w:val="Heading2"/>
      </w:pPr>
      <w:bookmarkStart w:id="51" w:name="_Toc150762353"/>
      <w:r w:rsidRPr="00EB2BD8">
        <w:t>Overview</w:t>
      </w:r>
      <w:bookmarkEnd w:id="51"/>
    </w:p>
    <w:p w14:paraId="2B8DD28D" w14:textId="77777777" w:rsidR="00084F36" w:rsidRPr="00EB2BD8" w:rsidRDefault="00EB2BD8">
      <w:pPr>
        <w:pStyle w:val="BodyText"/>
        <w:spacing w:before="169" w:line="261" w:lineRule="auto"/>
        <w:ind w:left="850"/>
      </w:pPr>
      <w:r w:rsidRPr="00EB2BD8">
        <w:t>The</w:t>
      </w:r>
      <w:r w:rsidRPr="00EB2BD8">
        <w:rPr>
          <w:spacing w:val="-8"/>
        </w:rPr>
        <w:t xml:space="preserve"> </w:t>
      </w:r>
      <w:r w:rsidRPr="00EB2BD8">
        <w:t>VBA</w:t>
      </w:r>
      <w:r w:rsidRPr="00EB2BD8">
        <w:rPr>
          <w:spacing w:val="-8"/>
        </w:rPr>
        <w:t xml:space="preserve"> </w:t>
      </w:r>
      <w:r w:rsidRPr="00EB2BD8">
        <w:t>has</w:t>
      </w:r>
      <w:r w:rsidRPr="00EB2BD8">
        <w:rPr>
          <w:spacing w:val="-8"/>
        </w:rPr>
        <w:t xml:space="preserve"> </w:t>
      </w:r>
      <w:r w:rsidRPr="00EB2BD8">
        <w:t>continued</w:t>
      </w:r>
      <w:r w:rsidRPr="00EB2BD8">
        <w:rPr>
          <w:spacing w:val="-8"/>
        </w:rPr>
        <w:t xml:space="preserve"> </w:t>
      </w:r>
      <w:r w:rsidRPr="00EB2BD8">
        <w:t>to</w:t>
      </w:r>
      <w:r w:rsidRPr="00EB2BD8">
        <w:rPr>
          <w:spacing w:val="-8"/>
        </w:rPr>
        <w:t xml:space="preserve"> </w:t>
      </w:r>
      <w:r w:rsidRPr="00EB2BD8">
        <w:t>improve</w:t>
      </w:r>
      <w:r w:rsidRPr="00EB2BD8">
        <w:rPr>
          <w:spacing w:val="-8"/>
        </w:rPr>
        <w:t xml:space="preserve"> </w:t>
      </w:r>
      <w:r w:rsidRPr="00EB2BD8">
        <w:t>its</w:t>
      </w:r>
      <w:r w:rsidRPr="00EB2BD8">
        <w:rPr>
          <w:spacing w:val="-8"/>
        </w:rPr>
        <w:t xml:space="preserve"> </w:t>
      </w:r>
      <w:r w:rsidRPr="00EB2BD8">
        <w:t>financial</w:t>
      </w:r>
      <w:r w:rsidRPr="00EB2BD8">
        <w:rPr>
          <w:spacing w:val="-8"/>
        </w:rPr>
        <w:t xml:space="preserve"> </w:t>
      </w:r>
      <w:r w:rsidRPr="00EB2BD8">
        <w:t xml:space="preserve">position </w:t>
      </w:r>
      <w:r w:rsidRPr="00EB2BD8">
        <w:rPr>
          <w:w w:val="105"/>
        </w:rPr>
        <w:t>as</w:t>
      </w:r>
      <w:r w:rsidRPr="00EB2BD8">
        <w:rPr>
          <w:spacing w:val="-4"/>
          <w:w w:val="105"/>
        </w:rPr>
        <w:t xml:space="preserve"> </w:t>
      </w:r>
      <w:r w:rsidRPr="00EB2BD8">
        <w:rPr>
          <w:w w:val="105"/>
        </w:rPr>
        <w:t>a</w:t>
      </w:r>
      <w:r w:rsidRPr="00EB2BD8">
        <w:rPr>
          <w:spacing w:val="-4"/>
          <w:w w:val="105"/>
        </w:rPr>
        <w:t xml:space="preserve"> </w:t>
      </w:r>
      <w:r w:rsidRPr="00EB2BD8">
        <w:rPr>
          <w:w w:val="105"/>
        </w:rPr>
        <w:t>result</w:t>
      </w:r>
      <w:r w:rsidRPr="00EB2BD8">
        <w:rPr>
          <w:spacing w:val="-4"/>
          <w:w w:val="105"/>
        </w:rPr>
        <w:t xml:space="preserve"> </w:t>
      </w:r>
      <w:r w:rsidRPr="00EB2BD8">
        <w:rPr>
          <w:w w:val="105"/>
        </w:rPr>
        <w:t>of</w:t>
      </w:r>
      <w:r w:rsidRPr="00EB2BD8">
        <w:rPr>
          <w:spacing w:val="-4"/>
          <w:w w:val="105"/>
        </w:rPr>
        <w:t xml:space="preserve"> </w:t>
      </w:r>
      <w:r w:rsidRPr="00EB2BD8">
        <w:rPr>
          <w:w w:val="105"/>
        </w:rPr>
        <w:t>effective</w:t>
      </w:r>
      <w:r w:rsidRPr="00EB2BD8">
        <w:rPr>
          <w:spacing w:val="-4"/>
          <w:w w:val="105"/>
        </w:rPr>
        <w:t xml:space="preserve"> </w:t>
      </w:r>
      <w:r w:rsidRPr="00EB2BD8">
        <w:rPr>
          <w:w w:val="105"/>
        </w:rPr>
        <w:t>fiscal</w:t>
      </w:r>
      <w:r w:rsidRPr="00EB2BD8">
        <w:rPr>
          <w:spacing w:val="-4"/>
          <w:w w:val="105"/>
        </w:rPr>
        <w:t xml:space="preserve"> </w:t>
      </w:r>
      <w:r w:rsidRPr="00EB2BD8">
        <w:rPr>
          <w:w w:val="105"/>
        </w:rPr>
        <w:t>management</w:t>
      </w:r>
      <w:r w:rsidRPr="00EB2BD8">
        <w:rPr>
          <w:spacing w:val="-4"/>
          <w:w w:val="105"/>
        </w:rPr>
        <w:t xml:space="preserve"> </w:t>
      </w:r>
      <w:r w:rsidRPr="00EB2BD8">
        <w:rPr>
          <w:w w:val="105"/>
        </w:rPr>
        <w:t>and</w:t>
      </w:r>
      <w:r w:rsidRPr="00EB2BD8">
        <w:rPr>
          <w:spacing w:val="-4"/>
          <w:w w:val="105"/>
        </w:rPr>
        <w:t xml:space="preserve"> </w:t>
      </w:r>
      <w:r w:rsidRPr="00EB2BD8">
        <w:rPr>
          <w:w w:val="105"/>
        </w:rPr>
        <w:t>the receipt</w:t>
      </w:r>
      <w:r w:rsidRPr="00EB2BD8">
        <w:rPr>
          <w:spacing w:val="-11"/>
          <w:w w:val="105"/>
        </w:rPr>
        <w:t xml:space="preserve"> </w:t>
      </w:r>
      <w:r w:rsidRPr="00EB2BD8">
        <w:rPr>
          <w:w w:val="105"/>
        </w:rPr>
        <w:t>of</w:t>
      </w:r>
      <w:r w:rsidRPr="00EB2BD8">
        <w:rPr>
          <w:spacing w:val="-11"/>
          <w:w w:val="105"/>
        </w:rPr>
        <w:t xml:space="preserve"> </w:t>
      </w:r>
      <w:r w:rsidRPr="00EB2BD8">
        <w:rPr>
          <w:w w:val="105"/>
        </w:rPr>
        <w:t>grant</w:t>
      </w:r>
      <w:r w:rsidRPr="00EB2BD8">
        <w:rPr>
          <w:spacing w:val="-11"/>
          <w:w w:val="105"/>
        </w:rPr>
        <w:t xml:space="preserve"> </w:t>
      </w:r>
      <w:r w:rsidRPr="00EB2BD8">
        <w:rPr>
          <w:w w:val="105"/>
        </w:rPr>
        <w:t>income</w:t>
      </w:r>
      <w:r w:rsidRPr="00EB2BD8">
        <w:rPr>
          <w:spacing w:val="-11"/>
          <w:w w:val="105"/>
        </w:rPr>
        <w:t xml:space="preserve"> </w:t>
      </w:r>
      <w:r w:rsidRPr="00EB2BD8">
        <w:rPr>
          <w:w w:val="105"/>
        </w:rPr>
        <w:t>to</w:t>
      </w:r>
      <w:r w:rsidRPr="00EB2BD8">
        <w:rPr>
          <w:spacing w:val="-11"/>
          <w:w w:val="105"/>
        </w:rPr>
        <w:t xml:space="preserve"> </w:t>
      </w:r>
      <w:r w:rsidRPr="00EB2BD8">
        <w:rPr>
          <w:w w:val="105"/>
        </w:rPr>
        <w:t>support</w:t>
      </w:r>
      <w:r w:rsidRPr="00EB2BD8">
        <w:rPr>
          <w:spacing w:val="-11"/>
          <w:w w:val="105"/>
        </w:rPr>
        <w:t xml:space="preserve"> </w:t>
      </w:r>
      <w:r w:rsidRPr="00EB2BD8">
        <w:rPr>
          <w:w w:val="105"/>
        </w:rPr>
        <w:t>new</w:t>
      </w:r>
      <w:r w:rsidRPr="00EB2BD8">
        <w:rPr>
          <w:spacing w:val="-11"/>
          <w:w w:val="105"/>
        </w:rPr>
        <w:t xml:space="preserve"> </w:t>
      </w:r>
      <w:r w:rsidRPr="00EB2BD8">
        <w:rPr>
          <w:w w:val="105"/>
        </w:rPr>
        <w:t xml:space="preserve">Government </w:t>
      </w:r>
      <w:r w:rsidRPr="00EB2BD8">
        <w:rPr>
          <w:spacing w:val="-2"/>
          <w:w w:val="105"/>
        </w:rPr>
        <w:t>initiatives.</w:t>
      </w:r>
    </w:p>
    <w:p w14:paraId="7AD32524" w14:textId="77777777" w:rsidR="00084F36" w:rsidRPr="00EB2BD8" w:rsidRDefault="00EB2BD8">
      <w:pPr>
        <w:pStyle w:val="BodyText"/>
        <w:spacing w:before="109" w:line="261" w:lineRule="auto"/>
        <w:ind w:left="850" w:right="348"/>
      </w:pPr>
      <w:r w:rsidRPr="00EB2BD8">
        <w:t xml:space="preserve">The comprehensive operating result for the VBA in </w:t>
      </w:r>
      <w:r w:rsidRPr="00EB2BD8">
        <w:rPr>
          <w:spacing w:val="-4"/>
        </w:rPr>
        <w:t>2022-23</w:t>
      </w:r>
      <w:r w:rsidRPr="00EB2BD8">
        <w:rPr>
          <w:spacing w:val="-11"/>
        </w:rPr>
        <w:t xml:space="preserve"> </w:t>
      </w:r>
      <w:r w:rsidRPr="00EB2BD8">
        <w:rPr>
          <w:spacing w:val="-4"/>
        </w:rPr>
        <w:t>was</w:t>
      </w:r>
      <w:r w:rsidRPr="00EB2BD8">
        <w:rPr>
          <w:spacing w:val="-11"/>
        </w:rPr>
        <w:t xml:space="preserve"> </w:t>
      </w:r>
      <w:r w:rsidRPr="00EB2BD8">
        <w:rPr>
          <w:spacing w:val="-4"/>
        </w:rPr>
        <w:t>a</w:t>
      </w:r>
      <w:r w:rsidRPr="00EB2BD8">
        <w:rPr>
          <w:spacing w:val="-11"/>
        </w:rPr>
        <w:t xml:space="preserve"> </w:t>
      </w:r>
      <w:r w:rsidRPr="00EB2BD8">
        <w:rPr>
          <w:spacing w:val="-4"/>
        </w:rPr>
        <w:t>surplus</w:t>
      </w:r>
      <w:r w:rsidRPr="00EB2BD8">
        <w:rPr>
          <w:spacing w:val="-11"/>
        </w:rPr>
        <w:t xml:space="preserve"> </w:t>
      </w:r>
      <w:r w:rsidRPr="00EB2BD8">
        <w:rPr>
          <w:spacing w:val="-4"/>
        </w:rPr>
        <w:t>of</w:t>
      </w:r>
      <w:r w:rsidRPr="00EB2BD8">
        <w:rPr>
          <w:spacing w:val="-11"/>
        </w:rPr>
        <w:t xml:space="preserve"> </w:t>
      </w:r>
      <w:r w:rsidRPr="00EB2BD8">
        <w:rPr>
          <w:spacing w:val="-4"/>
        </w:rPr>
        <w:t>$8.9</w:t>
      </w:r>
      <w:r w:rsidRPr="00EB2BD8">
        <w:rPr>
          <w:spacing w:val="-11"/>
        </w:rPr>
        <w:t xml:space="preserve"> </w:t>
      </w:r>
      <w:r w:rsidRPr="00EB2BD8">
        <w:rPr>
          <w:spacing w:val="-4"/>
        </w:rPr>
        <w:t>million,</w:t>
      </w:r>
      <w:r w:rsidRPr="00EB2BD8">
        <w:rPr>
          <w:spacing w:val="-11"/>
        </w:rPr>
        <w:t xml:space="preserve"> </w:t>
      </w:r>
      <w:r w:rsidRPr="00EB2BD8">
        <w:rPr>
          <w:spacing w:val="-4"/>
        </w:rPr>
        <w:t>which</w:t>
      </w:r>
      <w:r w:rsidRPr="00EB2BD8">
        <w:rPr>
          <w:spacing w:val="-11"/>
        </w:rPr>
        <w:t xml:space="preserve"> </w:t>
      </w:r>
      <w:r w:rsidRPr="00EB2BD8">
        <w:rPr>
          <w:spacing w:val="-4"/>
        </w:rPr>
        <w:t xml:space="preserve">includes </w:t>
      </w:r>
      <w:r w:rsidRPr="00EB2BD8">
        <w:t>a</w:t>
      </w:r>
      <w:r w:rsidRPr="00EB2BD8">
        <w:rPr>
          <w:spacing w:val="-9"/>
        </w:rPr>
        <w:t xml:space="preserve"> </w:t>
      </w:r>
      <w:r w:rsidRPr="00EB2BD8">
        <w:t>net</w:t>
      </w:r>
      <w:r w:rsidRPr="00EB2BD8">
        <w:rPr>
          <w:spacing w:val="-9"/>
        </w:rPr>
        <w:t xml:space="preserve"> </w:t>
      </w:r>
      <w:r w:rsidRPr="00EB2BD8">
        <w:t>$11.2</w:t>
      </w:r>
      <w:r w:rsidRPr="00EB2BD8">
        <w:rPr>
          <w:spacing w:val="-9"/>
        </w:rPr>
        <w:t xml:space="preserve"> </w:t>
      </w:r>
      <w:r w:rsidRPr="00EB2BD8">
        <w:t>million</w:t>
      </w:r>
      <w:r w:rsidRPr="00EB2BD8">
        <w:rPr>
          <w:spacing w:val="-9"/>
        </w:rPr>
        <w:t xml:space="preserve"> </w:t>
      </w:r>
      <w:r w:rsidRPr="00EB2BD8">
        <w:t>received</w:t>
      </w:r>
      <w:r w:rsidRPr="00EB2BD8">
        <w:rPr>
          <w:spacing w:val="-9"/>
        </w:rPr>
        <w:t xml:space="preserve"> </w:t>
      </w:r>
      <w:r w:rsidRPr="00EB2BD8">
        <w:t>for</w:t>
      </w:r>
      <w:r w:rsidRPr="00EB2BD8">
        <w:rPr>
          <w:spacing w:val="-9"/>
        </w:rPr>
        <w:t xml:space="preserve"> </w:t>
      </w:r>
      <w:r w:rsidRPr="00EB2BD8">
        <w:t>government</w:t>
      </w:r>
      <w:r w:rsidRPr="00EB2BD8">
        <w:rPr>
          <w:spacing w:val="-9"/>
        </w:rPr>
        <w:t xml:space="preserve"> </w:t>
      </w:r>
      <w:r w:rsidRPr="00EB2BD8">
        <w:t>funded</w:t>
      </w:r>
    </w:p>
    <w:p w14:paraId="1144BF95" w14:textId="77777777" w:rsidR="00084F36" w:rsidRPr="00EB2BD8" w:rsidRDefault="00EB2BD8">
      <w:pPr>
        <w:pStyle w:val="BodyText"/>
        <w:spacing w:line="261" w:lineRule="auto"/>
        <w:ind w:left="850"/>
      </w:pPr>
      <w:r w:rsidRPr="00EB2BD8">
        <w:rPr>
          <w:spacing w:val="-2"/>
        </w:rPr>
        <w:t>programs.</w:t>
      </w:r>
      <w:r w:rsidRPr="00EB2BD8">
        <w:rPr>
          <w:spacing w:val="-7"/>
        </w:rPr>
        <w:t xml:space="preserve"> </w:t>
      </w:r>
      <w:r w:rsidRPr="00EB2BD8">
        <w:rPr>
          <w:spacing w:val="-2"/>
        </w:rPr>
        <w:t>If</w:t>
      </w:r>
      <w:r w:rsidRPr="00EB2BD8">
        <w:rPr>
          <w:spacing w:val="-7"/>
        </w:rPr>
        <w:t xml:space="preserve"> </w:t>
      </w:r>
      <w:r w:rsidRPr="00EB2BD8">
        <w:rPr>
          <w:spacing w:val="-2"/>
        </w:rPr>
        <w:t>excluded,</w:t>
      </w:r>
      <w:r w:rsidRPr="00EB2BD8">
        <w:rPr>
          <w:spacing w:val="-7"/>
        </w:rPr>
        <w:t xml:space="preserve"> </w:t>
      </w:r>
      <w:r w:rsidRPr="00EB2BD8">
        <w:rPr>
          <w:spacing w:val="-2"/>
        </w:rPr>
        <w:t>this</w:t>
      </w:r>
      <w:r w:rsidRPr="00EB2BD8">
        <w:rPr>
          <w:spacing w:val="-7"/>
        </w:rPr>
        <w:t xml:space="preserve"> </w:t>
      </w:r>
      <w:r w:rsidRPr="00EB2BD8">
        <w:rPr>
          <w:spacing w:val="-2"/>
        </w:rPr>
        <w:t>results</w:t>
      </w:r>
      <w:r w:rsidRPr="00EB2BD8">
        <w:rPr>
          <w:spacing w:val="-7"/>
        </w:rPr>
        <w:t xml:space="preserve"> </w:t>
      </w:r>
      <w:r w:rsidRPr="00EB2BD8">
        <w:rPr>
          <w:spacing w:val="-2"/>
        </w:rPr>
        <w:t>in</w:t>
      </w:r>
      <w:r w:rsidRPr="00EB2BD8">
        <w:rPr>
          <w:spacing w:val="-7"/>
        </w:rPr>
        <w:t xml:space="preserve"> </w:t>
      </w:r>
      <w:r w:rsidRPr="00EB2BD8">
        <w:rPr>
          <w:spacing w:val="-2"/>
        </w:rPr>
        <w:t>the</w:t>
      </w:r>
      <w:r w:rsidRPr="00EB2BD8">
        <w:rPr>
          <w:spacing w:val="-7"/>
        </w:rPr>
        <w:t xml:space="preserve"> </w:t>
      </w:r>
      <w:r w:rsidRPr="00EB2BD8">
        <w:rPr>
          <w:spacing w:val="-2"/>
        </w:rPr>
        <w:t>underlying</w:t>
      </w:r>
      <w:r w:rsidRPr="00EB2BD8">
        <w:rPr>
          <w:spacing w:val="-7"/>
        </w:rPr>
        <w:t xml:space="preserve"> </w:t>
      </w:r>
      <w:r w:rsidRPr="00EB2BD8">
        <w:rPr>
          <w:spacing w:val="-2"/>
        </w:rPr>
        <w:t xml:space="preserve">VBA </w:t>
      </w:r>
      <w:r w:rsidRPr="00EB2BD8">
        <w:t>regulatory function delivering an operating deficit of</w:t>
      </w:r>
    </w:p>
    <w:p w14:paraId="15766104" w14:textId="77777777" w:rsidR="00084F36" w:rsidRPr="00EB2BD8" w:rsidRDefault="00EB2BD8">
      <w:pPr>
        <w:pStyle w:val="BodyText"/>
        <w:spacing w:line="210" w:lineRule="exact"/>
        <w:ind w:left="850"/>
      </w:pPr>
      <w:r w:rsidRPr="00EB2BD8">
        <w:rPr>
          <w:w w:val="85"/>
        </w:rPr>
        <w:t>$2.3</w:t>
      </w:r>
      <w:r w:rsidRPr="00EB2BD8">
        <w:rPr>
          <w:spacing w:val="-2"/>
          <w:w w:val="85"/>
        </w:rPr>
        <w:t xml:space="preserve"> </w:t>
      </w:r>
      <w:r w:rsidRPr="00EB2BD8">
        <w:rPr>
          <w:spacing w:val="-2"/>
        </w:rPr>
        <w:t>million.</w:t>
      </w:r>
    </w:p>
    <w:p w14:paraId="79749E88" w14:textId="77777777" w:rsidR="00084F36" w:rsidRPr="00EB2BD8" w:rsidRDefault="00EB2BD8">
      <w:pPr>
        <w:pStyle w:val="BodyText"/>
        <w:spacing w:before="128" w:line="261" w:lineRule="auto"/>
        <w:ind w:left="850" w:right="65"/>
      </w:pPr>
      <w:r w:rsidRPr="00EB2BD8">
        <w:t>VBA</w:t>
      </w:r>
      <w:r w:rsidRPr="00EB2BD8">
        <w:rPr>
          <w:spacing w:val="-15"/>
        </w:rPr>
        <w:t xml:space="preserve"> </w:t>
      </w:r>
      <w:r w:rsidRPr="00EB2BD8">
        <w:t>regulatory</w:t>
      </w:r>
      <w:r w:rsidRPr="00EB2BD8">
        <w:rPr>
          <w:spacing w:val="-14"/>
        </w:rPr>
        <w:t xml:space="preserve"> </w:t>
      </w:r>
      <w:r w:rsidRPr="00EB2BD8">
        <w:t>functions</w:t>
      </w:r>
      <w:r w:rsidRPr="00EB2BD8">
        <w:rPr>
          <w:spacing w:val="-14"/>
        </w:rPr>
        <w:t xml:space="preserve"> </w:t>
      </w:r>
      <w:r w:rsidRPr="00EB2BD8">
        <w:t>income</w:t>
      </w:r>
      <w:r w:rsidRPr="00EB2BD8">
        <w:rPr>
          <w:spacing w:val="-14"/>
        </w:rPr>
        <w:t xml:space="preserve"> </w:t>
      </w:r>
      <w:r w:rsidRPr="00EB2BD8">
        <w:t>for</w:t>
      </w:r>
      <w:r w:rsidRPr="00EB2BD8">
        <w:rPr>
          <w:spacing w:val="-15"/>
        </w:rPr>
        <w:t xml:space="preserve"> </w:t>
      </w:r>
      <w:r w:rsidRPr="00EB2BD8">
        <w:t>2022-23</w:t>
      </w:r>
      <w:r w:rsidRPr="00EB2BD8">
        <w:rPr>
          <w:spacing w:val="-14"/>
        </w:rPr>
        <w:t xml:space="preserve"> </w:t>
      </w:r>
      <w:r w:rsidRPr="00EB2BD8">
        <w:t>increased by</w:t>
      </w:r>
      <w:r w:rsidRPr="00EB2BD8">
        <w:rPr>
          <w:spacing w:val="-2"/>
        </w:rPr>
        <w:t xml:space="preserve"> </w:t>
      </w:r>
      <w:r w:rsidRPr="00EB2BD8">
        <w:t>$13.8</w:t>
      </w:r>
      <w:r w:rsidRPr="00EB2BD8">
        <w:rPr>
          <w:spacing w:val="-3"/>
        </w:rPr>
        <w:t xml:space="preserve"> </w:t>
      </w:r>
      <w:r w:rsidRPr="00EB2BD8">
        <w:t>million,</w:t>
      </w:r>
      <w:r w:rsidRPr="00EB2BD8">
        <w:rPr>
          <w:spacing w:val="-2"/>
        </w:rPr>
        <w:t xml:space="preserve"> </w:t>
      </w:r>
      <w:r w:rsidRPr="00EB2BD8">
        <w:t>as</w:t>
      </w:r>
      <w:r w:rsidRPr="00EB2BD8">
        <w:rPr>
          <w:spacing w:val="-3"/>
        </w:rPr>
        <w:t xml:space="preserve"> </w:t>
      </w:r>
      <w:r w:rsidRPr="00EB2BD8">
        <w:t>a</w:t>
      </w:r>
      <w:r w:rsidRPr="00EB2BD8">
        <w:rPr>
          <w:spacing w:val="-2"/>
        </w:rPr>
        <w:t xml:space="preserve"> </w:t>
      </w:r>
      <w:r w:rsidRPr="00EB2BD8">
        <w:t>result</w:t>
      </w:r>
      <w:r w:rsidRPr="00EB2BD8">
        <w:rPr>
          <w:spacing w:val="-3"/>
        </w:rPr>
        <w:t xml:space="preserve"> </w:t>
      </w:r>
      <w:r w:rsidRPr="00EB2BD8">
        <w:t>of</w:t>
      </w:r>
      <w:r w:rsidRPr="00EB2BD8">
        <w:rPr>
          <w:spacing w:val="-2"/>
        </w:rPr>
        <w:t xml:space="preserve"> </w:t>
      </w:r>
      <w:r w:rsidRPr="00EB2BD8">
        <w:t>increased</w:t>
      </w:r>
      <w:r w:rsidRPr="00EB2BD8">
        <w:rPr>
          <w:spacing w:val="-3"/>
        </w:rPr>
        <w:t xml:space="preserve"> </w:t>
      </w:r>
      <w:r w:rsidRPr="00EB2BD8">
        <w:t>collections</w:t>
      </w:r>
    </w:p>
    <w:p w14:paraId="09F2BD92" w14:textId="77777777" w:rsidR="00084F36" w:rsidRPr="00EB2BD8" w:rsidRDefault="00EB2BD8">
      <w:pPr>
        <w:pStyle w:val="BodyText"/>
        <w:spacing w:line="261" w:lineRule="auto"/>
        <w:ind w:left="850" w:right="-1"/>
      </w:pPr>
      <w:r w:rsidRPr="00EB2BD8">
        <w:t>of general and Domestic Building Dispute Resolution Victoria</w:t>
      </w:r>
      <w:r w:rsidRPr="00EB2BD8">
        <w:rPr>
          <w:spacing w:val="-15"/>
        </w:rPr>
        <w:t xml:space="preserve"> </w:t>
      </w:r>
      <w:r w:rsidRPr="00EB2BD8">
        <w:t>(DBDRV)</w:t>
      </w:r>
      <w:r w:rsidRPr="00EB2BD8">
        <w:rPr>
          <w:spacing w:val="-14"/>
        </w:rPr>
        <w:t xml:space="preserve"> </w:t>
      </w:r>
      <w:r w:rsidRPr="00EB2BD8">
        <w:t>building</w:t>
      </w:r>
      <w:r w:rsidRPr="00EB2BD8">
        <w:rPr>
          <w:spacing w:val="-14"/>
        </w:rPr>
        <w:t xml:space="preserve"> </w:t>
      </w:r>
      <w:r w:rsidRPr="00EB2BD8">
        <w:t>permit</w:t>
      </w:r>
      <w:r w:rsidRPr="00EB2BD8">
        <w:rPr>
          <w:spacing w:val="-14"/>
        </w:rPr>
        <w:t xml:space="preserve"> </w:t>
      </w:r>
      <w:r w:rsidRPr="00EB2BD8">
        <w:t>levies</w:t>
      </w:r>
      <w:r w:rsidRPr="00EB2BD8">
        <w:rPr>
          <w:spacing w:val="-15"/>
        </w:rPr>
        <w:t xml:space="preserve"> </w:t>
      </w:r>
      <w:r w:rsidRPr="00EB2BD8">
        <w:t>of</w:t>
      </w:r>
      <w:r w:rsidRPr="00EB2BD8">
        <w:rPr>
          <w:spacing w:val="-14"/>
        </w:rPr>
        <w:t xml:space="preserve"> </w:t>
      </w:r>
      <w:r w:rsidRPr="00EB2BD8">
        <w:t>$2</w:t>
      </w:r>
      <w:r w:rsidRPr="00EB2BD8">
        <w:rPr>
          <w:spacing w:val="-14"/>
        </w:rPr>
        <w:t xml:space="preserve"> </w:t>
      </w:r>
      <w:r w:rsidRPr="00EB2BD8">
        <w:t>million</w:t>
      </w:r>
      <w:r w:rsidRPr="00EB2BD8">
        <w:rPr>
          <w:spacing w:val="-14"/>
        </w:rPr>
        <w:t xml:space="preserve"> </w:t>
      </w:r>
      <w:r w:rsidRPr="00EB2BD8">
        <w:t>due to higher cost of works.</w:t>
      </w:r>
    </w:p>
    <w:p w14:paraId="405F4EC0" w14:textId="77777777" w:rsidR="00084F36" w:rsidRPr="00EB2BD8" w:rsidRDefault="00EB2BD8">
      <w:pPr>
        <w:pStyle w:val="BodyText"/>
        <w:spacing w:before="109"/>
        <w:ind w:left="850"/>
        <w:jc w:val="both"/>
      </w:pPr>
      <w:r w:rsidRPr="00EB2BD8">
        <w:t>Plumbing</w:t>
      </w:r>
      <w:r w:rsidRPr="00EB2BD8">
        <w:rPr>
          <w:spacing w:val="10"/>
        </w:rPr>
        <w:t xml:space="preserve"> </w:t>
      </w:r>
      <w:r w:rsidRPr="00EB2BD8">
        <w:t>compliance</w:t>
      </w:r>
      <w:r w:rsidRPr="00EB2BD8">
        <w:rPr>
          <w:spacing w:val="10"/>
        </w:rPr>
        <w:t xml:space="preserve"> </w:t>
      </w:r>
      <w:r w:rsidRPr="00EB2BD8">
        <w:t>certificate</w:t>
      </w:r>
      <w:r w:rsidRPr="00EB2BD8">
        <w:rPr>
          <w:spacing w:val="10"/>
        </w:rPr>
        <w:t xml:space="preserve"> </w:t>
      </w:r>
      <w:r w:rsidRPr="00EB2BD8">
        <w:t>income</w:t>
      </w:r>
      <w:r w:rsidRPr="00EB2BD8">
        <w:rPr>
          <w:spacing w:val="11"/>
        </w:rPr>
        <w:t xml:space="preserve"> </w:t>
      </w:r>
      <w:r w:rsidRPr="00EB2BD8">
        <w:t>increased</w:t>
      </w:r>
      <w:r w:rsidRPr="00EB2BD8">
        <w:rPr>
          <w:spacing w:val="10"/>
        </w:rPr>
        <w:t xml:space="preserve"> </w:t>
      </w:r>
      <w:r w:rsidRPr="00EB2BD8">
        <w:rPr>
          <w:spacing w:val="-5"/>
        </w:rPr>
        <w:t>by</w:t>
      </w:r>
    </w:p>
    <w:p w14:paraId="235CE4E2" w14:textId="663F30DE" w:rsidR="00084F36" w:rsidRPr="00EB2BD8" w:rsidRDefault="00EB2BD8">
      <w:pPr>
        <w:pStyle w:val="BodyText"/>
        <w:spacing w:before="18" w:line="261" w:lineRule="auto"/>
        <w:ind w:left="850" w:right="122"/>
        <w:jc w:val="both"/>
      </w:pPr>
      <w:r w:rsidRPr="00EB2BD8">
        <w:rPr>
          <w:spacing w:val="-2"/>
        </w:rPr>
        <w:t>$1.3</w:t>
      </w:r>
      <w:r w:rsidRPr="00EB2BD8">
        <w:rPr>
          <w:spacing w:val="-6"/>
        </w:rPr>
        <w:t xml:space="preserve"> </w:t>
      </w:r>
      <w:r w:rsidRPr="00EB2BD8">
        <w:rPr>
          <w:spacing w:val="-2"/>
        </w:rPr>
        <w:t>million,</w:t>
      </w:r>
      <w:r w:rsidRPr="00EB2BD8">
        <w:rPr>
          <w:spacing w:val="-6"/>
        </w:rPr>
        <w:t xml:space="preserve"> </w:t>
      </w:r>
      <w:r w:rsidRPr="00EB2BD8">
        <w:rPr>
          <w:spacing w:val="-2"/>
        </w:rPr>
        <w:t>and</w:t>
      </w:r>
      <w:r w:rsidRPr="00EB2BD8">
        <w:rPr>
          <w:spacing w:val="-6"/>
        </w:rPr>
        <w:t xml:space="preserve"> </w:t>
      </w:r>
      <w:r w:rsidRPr="00EB2BD8">
        <w:rPr>
          <w:spacing w:val="-2"/>
        </w:rPr>
        <w:t>new</w:t>
      </w:r>
      <w:r w:rsidRPr="00EB2BD8">
        <w:rPr>
          <w:spacing w:val="-6"/>
        </w:rPr>
        <w:t xml:space="preserve"> </w:t>
      </w:r>
      <w:r w:rsidRPr="00EB2BD8">
        <w:rPr>
          <w:spacing w:val="-2"/>
        </w:rPr>
        <w:t>Building</w:t>
      </w:r>
      <w:r w:rsidRPr="00EB2BD8">
        <w:rPr>
          <w:spacing w:val="-6"/>
        </w:rPr>
        <w:t xml:space="preserve"> </w:t>
      </w:r>
      <w:r w:rsidRPr="00EB2BD8">
        <w:rPr>
          <w:spacing w:val="-2"/>
        </w:rPr>
        <w:t>Practitioner</w:t>
      </w:r>
      <w:r w:rsidRPr="00EB2BD8">
        <w:rPr>
          <w:spacing w:val="-6"/>
        </w:rPr>
        <w:t xml:space="preserve"> </w:t>
      </w:r>
      <w:r w:rsidRPr="00EB2BD8">
        <w:rPr>
          <w:spacing w:val="-2"/>
        </w:rPr>
        <w:t>Registration Fees,</w:t>
      </w:r>
      <w:r w:rsidRPr="00EB2BD8">
        <w:rPr>
          <w:spacing w:val="-9"/>
        </w:rPr>
        <w:t xml:space="preserve"> </w:t>
      </w:r>
      <w:r w:rsidRPr="00EB2BD8">
        <w:rPr>
          <w:spacing w:val="-2"/>
        </w:rPr>
        <w:t>which</w:t>
      </w:r>
      <w:r w:rsidRPr="00EB2BD8">
        <w:rPr>
          <w:spacing w:val="-9"/>
        </w:rPr>
        <w:t xml:space="preserve"> </w:t>
      </w:r>
      <w:r w:rsidRPr="00EB2BD8">
        <w:rPr>
          <w:spacing w:val="-2"/>
        </w:rPr>
        <w:t>commenced</w:t>
      </w:r>
      <w:r w:rsidRPr="00EB2BD8">
        <w:rPr>
          <w:spacing w:val="-9"/>
        </w:rPr>
        <w:t xml:space="preserve"> </w:t>
      </w:r>
      <w:r w:rsidRPr="00EB2BD8">
        <w:rPr>
          <w:spacing w:val="-2"/>
        </w:rPr>
        <w:t>on</w:t>
      </w:r>
      <w:r w:rsidRPr="00EB2BD8">
        <w:rPr>
          <w:spacing w:val="-9"/>
        </w:rPr>
        <w:t xml:space="preserve"> </w:t>
      </w:r>
      <w:r w:rsidRPr="00EB2BD8">
        <w:rPr>
          <w:spacing w:val="-2"/>
        </w:rPr>
        <w:t>2</w:t>
      </w:r>
      <w:r w:rsidRPr="00EB2BD8">
        <w:rPr>
          <w:spacing w:val="-9"/>
        </w:rPr>
        <w:t xml:space="preserve"> </w:t>
      </w:r>
      <w:r w:rsidRPr="00EB2BD8">
        <w:rPr>
          <w:spacing w:val="-2"/>
        </w:rPr>
        <w:t>May</w:t>
      </w:r>
      <w:r w:rsidRPr="00EB2BD8">
        <w:rPr>
          <w:spacing w:val="-9"/>
        </w:rPr>
        <w:t xml:space="preserve"> </w:t>
      </w:r>
      <w:r w:rsidRPr="00EB2BD8">
        <w:rPr>
          <w:spacing w:val="-2"/>
        </w:rPr>
        <w:t>2022,</w:t>
      </w:r>
      <w:r w:rsidRPr="00EB2BD8">
        <w:rPr>
          <w:spacing w:val="-9"/>
        </w:rPr>
        <w:t xml:space="preserve"> </w:t>
      </w:r>
      <w:r w:rsidRPr="00EB2BD8">
        <w:rPr>
          <w:spacing w:val="-2"/>
        </w:rPr>
        <w:t>contributed</w:t>
      </w:r>
      <w:r w:rsidRPr="00EB2BD8">
        <w:rPr>
          <w:spacing w:val="-9"/>
        </w:rPr>
        <w:t xml:space="preserve"> </w:t>
      </w:r>
      <w:r w:rsidRPr="00EB2BD8">
        <w:rPr>
          <w:spacing w:val="-2"/>
        </w:rPr>
        <w:t xml:space="preserve">to </w:t>
      </w:r>
      <w:r w:rsidRPr="00EB2BD8">
        <w:t>the increase of $8.9 million.</w:t>
      </w:r>
    </w:p>
    <w:p w14:paraId="3DC5705E" w14:textId="77777777" w:rsidR="00084F36" w:rsidRPr="00EB2BD8" w:rsidRDefault="00EB2BD8">
      <w:pPr>
        <w:rPr>
          <w:sz w:val="20"/>
        </w:rPr>
      </w:pPr>
      <w:r w:rsidRPr="00EB2BD8">
        <w:br w:type="column"/>
      </w:r>
    </w:p>
    <w:p w14:paraId="5A749DD0" w14:textId="77777777" w:rsidR="00084F36" w:rsidRPr="00EB2BD8" w:rsidRDefault="00084F36">
      <w:pPr>
        <w:pStyle w:val="BodyText"/>
        <w:rPr>
          <w:sz w:val="20"/>
        </w:rPr>
      </w:pPr>
    </w:p>
    <w:p w14:paraId="46D72255" w14:textId="77777777" w:rsidR="00084F36" w:rsidRPr="00EB2BD8" w:rsidRDefault="00EB2BD8">
      <w:pPr>
        <w:pStyle w:val="BodyText"/>
        <w:spacing w:before="141" w:line="261" w:lineRule="auto"/>
        <w:ind w:left="431" w:right="668"/>
      </w:pPr>
      <w:r w:rsidRPr="00EB2BD8">
        <w:rPr>
          <w:spacing w:val="-2"/>
        </w:rPr>
        <w:t>Interest</w:t>
      </w:r>
      <w:r w:rsidRPr="00EB2BD8">
        <w:rPr>
          <w:spacing w:val="-13"/>
        </w:rPr>
        <w:t xml:space="preserve"> </w:t>
      </w:r>
      <w:r w:rsidRPr="00EB2BD8">
        <w:rPr>
          <w:spacing w:val="-2"/>
        </w:rPr>
        <w:t>income</w:t>
      </w:r>
      <w:r w:rsidRPr="00EB2BD8">
        <w:rPr>
          <w:spacing w:val="-12"/>
        </w:rPr>
        <w:t xml:space="preserve"> </w:t>
      </w:r>
      <w:r w:rsidRPr="00EB2BD8">
        <w:rPr>
          <w:spacing w:val="-2"/>
        </w:rPr>
        <w:t>increased</w:t>
      </w:r>
      <w:r w:rsidRPr="00EB2BD8">
        <w:rPr>
          <w:spacing w:val="-12"/>
        </w:rPr>
        <w:t xml:space="preserve"> </w:t>
      </w:r>
      <w:r w:rsidRPr="00EB2BD8">
        <w:rPr>
          <w:spacing w:val="-2"/>
        </w:rPr>
        <w:t>$1.5</w:t>
      </w:r>
      <w:r w:rsidRPr="00EB2BD8">
        <w:rPr>
          <w:spacing w:val="-12"/>
        </w:rPr>
        <w:t xml:space="preserve"> </w:t>
      </w:r>
      <w:r w:rsidRPr="00EB2BD8">
        <w:rPr>
          <w:spacing w:val="-2"/>
        </w:rPr>
        <w:t>million</w:t>
      </w:r>
      <w:r w:rsidRPr="00EB2BD8">
        <w:rPr>
          <w:spacing w:val="-13"/>
        </w:rPr>
        <w:t xml:space="preserve"> </w:t>
      </w:r>
      <w:r w:rsidRPr="00EB2BD8">
        <w:rPr>
          <w:spacing w:val="-2"/>
        </w:rPr>
        <w:t>due</w:t>
      </w:r>
      <w:r w:rsidRPr="00EB2BD8">
        <w:rPr>
          <w:spacing w:val="-12"/>
        </w:rPr>
        <w:t xml:space="preserve"> </w:t>
      </w:r>
      <w:r w:rsidRPr="00EB2BD8">
        <w:rPr>
          <w:spacing w:val="-2"/>
        </w:rPr>
        <w:t>to</w:t>
      </w:r>
      <w:r w:rsidRPr="00EB2BD8">
        <w:rPr>
          <w:spacing w:val="-12"/>
        </w:rPr>
        <w:t xml:space="preserve"> </w:t>
      </w:r>
      <w:r w:rsidRPr="00EB2BD8">
        <w:rPr>
          <w:spacing w:val="-2"/>
        </w:rPr>
        <w:t xml:space="preserve">higher </w:t>
      </w:r>
      <w:r w:rsidRPr="00EB2BD8">
        <w:t>interest rates during the year.</w:t>
      </w:r>
    </w:p>
    <w:p w14:paraId="464CF4B0" w14:textId="77777777" w:rsidR="00084F36" w:rsidRPr="00EB2BD8" w:rsidRDefault="00EB2BD8">
      <w:pPr>
        <w:pStyle w:val="BodyText"/>
        <w:spacing w:before="111" w:line="261" w:lineRule="auto"/>
        <w:ind w:left="431" w:right="934"/>
      </w:pPr>
      <w:r w:rsidRPr="00EB2BD8">
        <w:t>Grant</w:t>
      </w:r>
      <w:r w:rsidRPr="00EB2BD8">
        <w:rPr>
          <w:spacing w:val="-3"/>
        </w:rPr>
        <w:t xml:space="preserve"> </w:t>
      </w:r>
      <w:r w:rsidRPr="00EB2BD8">
        <w:t>income</w:t>
      </w:r>
      <w:r w:rsidRPr="00EB2BD8">
        <w:rPr>
          <w:spacing w:val="-3"/>
        </w:rPr>
        <w:t xml:space="preserve"> </w:t>
      </w:r>
      <w:r w:rsidRPr="00EB2BD8">
        <w:t>received</w:t>
      </w:r>
      <w:r w:rsidRPr="00EB2BD8">
        <w:rPr>
          <w:spacing w:val="-3"/>
        </w:rPr>
        <w:t xml:space="preserve"> </w:t>
      </w:r>
      <w:r w:rsidRPr="00EB2BD8">
        <w:t>from</w:t>
      </w:r>
      <w:r w:rsidRPr="00EB2BD8">
        <w:rPr>
          <w:spacing w:val="-3"/>
        </w:rPr>
        <w:t xml:space="preserve"> </w:t>
      </w:r>
      <w:r w:rsidRPr="00EB2BD8">
        <w:t>the</w:t>
      </w:r>
      <w:r w:rsidRPr="00EB2BD8">
        <w:rPr>
          <w:spacing w:val="-3"/>
        </w:rPr>
        <w:t xml:space="preserve"> </w:t>
      </w:r>
      <w:r w:rsidRPr="00EB2BD8">
        <w:t>Department</w:t>
      </w:r>
      <w:r w:rsidRPr="00EB2BD8">
        <w:rPr>
          <w:spacing w:val="-3"/>
        </w:rPr>
        <w:t xml:space="preserve"> </w:t>
      </w:r>
      <w:r w:rsidRPr="00EB2BD8">
        <w:t>of</w:t>
      </w:r>
      <w:r w:rsidRPr="00EB2BD8">
        <w:rPr>
          <w:spacing w:val="-3"/>
        </w:rPr>
        <w:t xml:space="preserve"> </w:t>
      </w:r>
      <w:r w:rsidRPr="00EB2BD8">
        <w:t>Energy, Environment and Climate Action (DEECA) (formerly known as Department of Environment, Land, Water</w:t>
      </w:r>
      <w:r w:rsidRPr="00EB2BD8">
        <w:rPr>
          <w:spacing w:val="40"/>
        </w:rPr>
        <w:t xml:space="preserve"> </w:t>
      </w:r>
      <w:r w:rsidRPr="00EB2BD8">
        <w:t xml:space="preserve">and Planning (DELWP)), on behalf of the Victorian </w:t>
      </w:r>
      <w:r w:rsidRPr="00EB2BD8">
        <w:rPr>
          <w:spacing w:val="-2"/>
        </w:rPr>
        <w:t>Government</w:t>
      </w:r>
      <w:r w:rsidRPr="00EB2BD8">
        <w:rPr>
          <w:spacing w:val="-6"/>
        </w:rPr>
        <w:t xml:space="preserve"> </w:t>
      </w:r>
      <w:r w:rsidRPr="00EB2BD8">
        <w:rPr>
          <w:spacing w:val="-2"/>
        </w:rPr>
        <w:t>totalled</w:t>
      </w:r>
      <w:r w:rsidRPr="00EB2BD8">
        <w:rPr>
          <w:spacing w:val="-6"/>
        </w:rPr>
        <w:t xml:space="preserve"> </w:t>
      </w:r>
      <w:r w:rsidRPr="00EB2BD8">
        <w:rPr>
          <w:spacing w:val="-2"/>
        </w:rPr>
        <w:t>$23</w:t>
      </w:r>
      <w:r w:rsidRPr="00EB2BD8">
        <w:rPr>
          <w:spacing w:val="-6"/>
        </w:rPr>
        <w:t xml:space="preserve"> </w:t>
      </w:r>
      <w:r w:rsidRPr="00EB2BD8">
        <w:rPr>
          <w:spacing w:val="-2"/>
        </w:rPr>
        <w:t>million,</w:t>
      </w:r>
      <w:r w:rsidRPr="00EB2BD8">
        <w:rPr>
          <w:spacing w:val="-6"/>
        </w:rPr>
        <w:t xml:space="preserve"> </w:t>
      </w:r>
      <w:r w:rsidRPr="00EB2BD8">
        <w:rPr>
          <w:spacing w:val="-2"/>
        </w:rPr>
        <w:t>an</w:t>
      </w:r>
      <w:r w:rsidRPr="00EB2BD8">
        <w:rPr>
          <w:spacing w:val="-6"/>
        </w:rPr>
        <w:t xml:space="preserve"> </w:t>
      </w:r>
      <w:r w:rsidRPr="00EB2BD8">
        <w:rPr>
          <w:spacing w:val="-2"/>
        </w:rPr>
        <w:t>increase</w:t>
      </w:r>
      <w:r w:rsidRPr="00EB2BD8">
        <w:rPr>
          <w:spacing w:val="-6"/>
        </w:rPr>
        <w:t xml:space="preserve"> </w:t>
      </w:r>
      <w:r w:rsidRPr="00EB2BD8">
        <w:rPr>
          <w:spacing w:val="-2"/>
        </w:rPr>
        <w:t>of</w:t>
      </w:r>
      <w:r w:rsidRPr="00EB2BD8">
        <w:rPr>
          <w:spacing w:val="-6"/>
        </w:rPr>
        <w:t xml:space="preserve"> </w:t>
      </w:r>
      <w:r w:rsidRPr="00EB2BD8">
        <w:rPr>
          <w:spacing w:val="-2"/>
        </w:rPr>
        <w:t xml:space="preserve">$11.1 </w:t>
      </w:r>
      <w:r w:rsidRPr="00EB2BD8">
        <w:t>million compared to the previous year.</w:t>
      </w:r>
    </w:p>
    <w:p w14:paraId="1153EDAA" w14:textId="77777777" w:rsidR="00084F36" w:rsidRPr="00EB2BD8" w:rsidRDefault="00EB2BD8">
      <w:pPr>
        <w:pStyle w:val="BodyText"/>
        <w:spacing w:before="108" w:line="261" w:lineRule="auto"/>
        <w:ind w:left="431" w:right="778"/>
      </w:pPr>
      <w:r w:rsidRPr="00EB2BD8">
        <w:rPr>
          <w:spacing w:val="-6"/>
        </w:rPr>
        <w:t>Total</w:t>
      </w:r>
      <w:r w:rsidRPr="00EB2BD8">
        <w:rPr>
          <w:spacing w:val="-11"/>
        </w:rPr>
        <w:t xml:space="preserve"> </w:t>
      </w:r>
      <w:r w:rsidRPr="00EB2BD8">
        <w:rPr>
          <w:spacing w:val="-6"/>
        </w:rPr>
        <w:t>expenditure</w:t>
      </w:r>
      <w:r w:rsidRPr="00EB2BD8">
        <w:rPr>
          <w:spacing w:val="-11"/>
        </w:rPr>
        <w:t xml:space="preserve"> </w:t>
      </w:r>
      <w:r w:rsidRPr="00EB2BD8">
        <w:rPr>
          <w:spacing w:val="-6"/>
        </w:rPr>
        <w:t>for</w:t>
      </w:r>
      <w:r w:rsidRPr="00EB2BD8">
        <w:rPr>
          <w:spacing w:val="-11"/>
        </w:rPr>
        <w:t xml:space="preserve"> </w:t>
      </w:r>
      <w:r w:rsidRPr="00EB2BD8">
        <w:rPr>
          <w:spacing w:val="-6"/>
        </w:rPr>
        <w:t>2022-23</w:t>
      </w:r>
      <w:r w:rsidRPr="00EB2BD8">
        <w:rPr>
          <w:spacing w:val="-11"/>
        </w:rPr>
        <w:t xml:space="preserve"> </w:t>
      </w:r>
      <w:r w:rsidRPr="00EB2BD8">
        <w:rPr>
          <w:spacing w:val="-6"/>
        </w:rPr>
        <w:t>was</w:t>
      </w:r>
      <w:r w:rsidRPr="00EB2BD8">
        <w:rPr>
          <w:spacing w:val="-11"/>
        </w:rPr>
        <w:t xml:space="preserve"> </w:t>
      </w:r>
      <w:r w:rsidRPr="00EB2BD8">
        <w:rPr>
          <w:spacing w:val="-6"/>
        </w:rPr>
        <w:t>$105.3</w:t>
      </w:r>
      <w:r w:rsidRPr="00EB2BD8">
        <w:rPr>
          <w:spacing w:val="-11"/>
        </w:rPr>
        <w:t xml:space="preserve"> </w:t>
      </w:r>
      <w:r w:rsidRPr="00EB2BD8">
        <w:rPr>
          <w:spacing w:val="-6"/>
        </w:rPr>
        <w:t xml:space="preserve">million, </w:t>
      </w:r>
      <w:r w:rsidRPr="00EB2BD8">
        <w:rPr>
          <w:spacing w:val="-2"/>
        </w:rPr>
        <w:t>compared</w:t>
      </w:r>
      <w:r w:rsidRPr="00EB2BD8">
        <w:rPr>
          <w:spacing w:val="-13"/>
        </w:rPr>
        <w:t xml:space="preserve"> </w:t>
      </w:r>
      <w:r w:rsidRPr="00EB2BD8">
        <w:rPr>
          <w:spacing w:val="-2"/>
        </w:rPr>
        <w:t>to</w:t>
      </w:r>
      <w:r w:rsidRPr="00EB2BD8">
        <w:rPr>
          <w:spacing w:val="-12"/>
        </w:rPr>
        <w:t xml:space="preserve"> </w:t>
      </w:r>
      <w:r w:rsidRPr="00EB2BD8">
        <w:rPr>
          <w:spacing w:val="-2"/>
        </w:rPr>
        <w:t>$98.2</w:t>
      </w:r>
      <w:r w:rsidRPr="00EB2BD8">
        <w:rPr>
          <w:spacing w:val="-12"/>
        </w:rPr>
        <w:t xml:space="preserve"> </w:t>
      </w:r>
      <w:r w:rsidRPr="00EB2BD8">
        <w:rPr>
          <w:spacing w:val="-2"/>
        </w:rPr>
        <w:t>million</w:t>
      </w:r>
      <w:r w:rsidRPr="00EB2BD8">
        <w:rPr>
          <w:spacing w:val="-12"/>
        </w:rPr>
        <w:t xml:space="preserve"> </w:t>
      </w:r>
      <w:r w:rsidRPr="00EB2BD8">
        <w:rPr>
          <w:spacing w:val="-2"/>
        </w:rPr>
        <w:t>for</w:t>
      </w:r>
      <w:r w:rsidRPr="00EB2BD8">
        <w:rPr>
          <w:spacing w:val="-12"/>
        </w:rPr>
        <w:t xml:space="preserve"> </w:t>
      </w:r>
      <w:r w:rsidRPr="00EB2BD8">
        <w:rPr>
          <w:spacing w:val="-2"/>
        </w:rPr>
        <w:t>the</w:t>
      </w:r>
      <w:r w:rsidRPr="00EB2BD8">
        <w:rPr>
          <w:spacing w:val="-12"/>
        </w:rPr>
        <w:t xml:space="preserve"> </w:t>
      </w:r>
      <w:r w:rsidRPr="00EB2BD8">
        <w:rPr>
          <w:spacing w:val="-2"/>
        </w:rPr>
        <w:t>previous</w:t>
      </w:r>
      <w:r w:rsidRPr="00EB2BD8">
        <w:rPr>
          <w:spacing w:val="-12"/>
        </w:rPr>
        <w:t xml:space="preserve"> </w:t>
      </w:r>
      <w:r w:rsidRPr="00EB2BD8">
        <w:rPr>
          <w:spacing w:val="-4"/>
        </w:rPr>
        <w:t>year.</w:t>
      </w:r>
    </w:p>
    <w:p w14:paraId="5BD1518C" w14:textId="77777777" w:rsidR="00084F36" w:rsidRPr="00EB2BD8" w:rsidRDefault="00EB2BD8">
      <w:pPr>
        <w:pStyle w:val="BodyText"/>
        <w:spacing w:before="111" w:line="261" w:lineRule="auto"/>
        <w:ind w:left="431" w:right="778"/>
      </w:pPr>
      <w:r w:rsidRPr="00EB2BD8">
        <w:t>The</w:t>
      </w:r>
      <w:r w:rsidRPr="00EB2BD8">
        <w:rPr>
          <w:spacing w:val="-5"/>
        </w:rPr>
        <w:t xml:space="preserve"> </w:t>
      </w:r>
      <w:r w:rsidRPr="00EB2BD8">
        <w:t>increase</w:t>
      </w:r>
      <w:r w:rsidRPr="00EB2BD8">
        <w:rPr>
          <w:spacing w:val="-5"/>
        </w:rPr>
        <w:t xml:space="preserve"> </w:t>
      </w:r>
      <w:r w:rsidRPr="00EB2BD8">
        <w:t>was</w:t>
      </w:r>
      <w:r w:rsidRPr="00EB2BD8">
        <w:rPr>
          <w:spacing w:val="-5"/>
        </w:rPr>
        <w:t xml:space="preserve"> </w:t>
      </w:r>
      <w:r w:rsidRPr="00EB2BD8">
        <w:t>attributable</w:t>
      </w:r>
      <w:r w:rsidRPr="00EB2BD8">
        <w:rPr>
          <w:spacing w:val="-5"/>
        </w:rPr>
        <w:t xml:space="preserve"> </w:t>
      </w:r>
      <w:r w:rsidRPr="00EB2BD8">
        <w:t>to</w:t>
      </w:r>
      <w:r w:rsidRPr="00EB2BD8">
        <w:rPr>
          <w:spacing w:val="-5"/>
        </w:rPr>
        <w:t xml:space="preserve"> </w:t>
      </w:r>
      <w:r w:rsidRPr="00EB2BD8">
        <w:t>employee</w:t>
      </w:r>
      <w:r w:rsidRPr="00EB2BD8">
        <w:rPr>
          <w:spacing w:val="-5"/>
        </w:rPr>
        <w:t xml:space="preserve"> </w:t>
      </w:r>
      <w:r w:rsidRPr="00EB2BD8">
        <w:t>benefits, investment in IT on new digital systems, and the commencement of new government programs.</w:t>
      </w:r>
    </w:p>
    <w:p w14:paraId="083249F2" w14:textId="77777777" w:rsidR="00084F36" w:rsidRPr="00EB2BD8" w:rsidRDefault="00084F36">
      <w:pPr>
        <w:spacing w:line="261" w:lineRule="auto"/>
        <w:sectPr w:rsidR="00084F36" w:rsidRPr="00EB2BD8" w:rsidSect="006D75B2">
          <w:type w:val="continuous"/>
          <w:pgSz w:w="11910" w:h="16840"/>
          <w:pgMar w:top="1920" w:right="0" w:bottom="280" w:left="0" w:header="0" w:footer="0" w:gutter="0"/>
          <w:cols w:num="2" w:space="720" w:equalWidth="0">
            <w:col w:w="5708" w:space="40"/>
            <w:col w:w="6162"/>
          </w:cols>
        </w:sectPr>
      </w:pPr>
    </w:p>
    <w:p w14:paraId="0C4B737A" w14:textId="6AB0C072" w:rsidR="00084F36" w:rsidRPr="00EB2BD8" w:rsidRDefault="00084F36">
      <w:pPr>
        <w:pStyle w:val="BodyText"/>
        <w:rPr>
          <w:sz w:val="20"/>
        </w:rPr>
      </w:pPr>
    </w:p>
    <w:p w14:paraId="4599C964" w14:textId="77777777" w:rsidR="00084F36" w:rsidRPr="00EB2BD8" w:rsidRDefault="00084F36">
      <w:pPr>
        <w:pStyle w:val="BodyText"/>
        <w:rPr>
          <w:sz w:val="20"/>
        </w:rPr>
      </w:pPr>
    </w:p>
    <w:p w14:paraId="37CFD267" w14:textId="77777777" w:rsidR="00084F36" w:rsidRPr="00EB2BD8" w:rsidRDefault="00084F36">
      <w:pPr>
        <w:pStyle w:val="BodyText"/>
        <w:rPr>
          <w:sz w:val="20"/>
        </w:rPr>
      </w:pPr>
    </w:p>
    <w:p w14:paraId="3AC7816D" w14:textId="77777777" w:rsidR="00084F36" w:rsidRPr="00EB2BD8" w:rsidRDefault="00084F36">
      <w:pPr>
        <w:pStyle w:val="BodyText"/>
        <w:rPr>
          <w:sz w:val="20"/>
        </w:rPr>
      </w:pPr>
    </w:p>
    <w:p w14:paraId="12BCFB6E" w14:textId="77777777" w:rsidR="00084F36" w:rsidRPr="00EB2BD8" w:rsidRDefault="00084F36">
      <w:pPr>
        <w:pStyle w:val="BodyText"/>
        <w:rPr>
          <w:sz w:val="20"/>
        </w:rPr>
      </w:pPr>
    </w:p>
    <w:p w14:paraId="770673B7" w14:textId="77777777" w:rsidR="00084F36" w:rsidRPr="00EB2BD8" w:rsidRDefault="00084F36">
      <w:pPr>
        <w:pStyle w:val="BodyText"/>
        <w:rPr>
          <w:sz w:val="20"/>
        </w:rPr>
      </w:pPr>
    </w:p>
    <w:p w14:paraId="4D921BA1" w14:textId="77777777" w:rsidR="00084F36" w:rsidRPr="00EB2BD8" w:rsidRDefault="00084F36">
      <w:pPr>
        <w:pStyle w:val="BodyText"/>
        <w:rPr>
          <w:sz w:val="20"/>
        </w:rPr>
      </w:pPr>
    </w:p>
    <w:p w14:paraId="793ADBE8" w14:textId="77777777" w:rsidR="00084F36" w:rsidRPr="00EB2BD8" w:rsidRDefault="00084F36">
      <w:pPr>
        <w:pStyle w:val="BodyText"/>
        <w:rPr>
          <w:sz w:val="20"/>
        </w:rPr>
      </w:pPr>
    </w:p>
    <w:p w14:paraId="62134D1D" w14:textId="77777777" w:rsidR="00084F36" w:rsidRPr="00EB2BD8" w:rsidRDefault="00084F36">
      <w:pPr>
        <w:pStyle w:val="BodyText"/>
        <w:rPr>
          <w:sz w:val="20"/>
        </w:rPr>
      </w:pPr>
    </w:p>
    <w:p w14:paraId="198238DD" w14:textId="77777777" w:rsidR="00084F36" w:rsidRPr="00EB2BD8" w:rsidRDefault="00084F36">
      <w:pPr>
        <w:pStyle w:val="BodyText"/>
        <w:rPr>
          <w:sz w:val="20"/>
        </w:rPr>
      </w:pPr>
    </w:p>
    <w:p w14:paraId="33CC3C45" w14:textId="77777777" w:rsidR="00084F36" w:rsidRPr="00EB2BD8" w:rsidRDefault="00084F36">
      <w:pPr>
        <w:pStyle w:val="BodyText"/>
        <w:rPr>
          <w:sz w:val="20"/>
        </w:rPr>
      </w:pPr>
    </w:p>
    <w:p w14:paraId="3D30EF92" w14:textId="77777777" w:rsidR="00084F36" w:rsidRPr="00EB2BD8" w:rsidRDefault="00084F36">
      <w:pPr>
        <w:pStyle w:val="BodyText"/>
        <w:rPr>
          <w:sz w:val="20"/>
        </w:rPr>
      </w:pPr>
    </w:p>
    <w:p w14:paraId="196378FA" w14:textId="77777777" w:rsidR="00084F36" w:rsidRPr="00EB2BD8" w:rsidRDefault="00084F36">
      <w:pPr>
        <w:pStyle w:val="BodyText"/>
        <w:rPr>
          <w:sz w:val="20"/>
        </w:rPr>
      </w:pPr>
    </w:p>
    <w:p w14:paraId="1824C67F" w14:textId="77777777" w:rsidR="00084F36" w:rsidRPr="00EB2BD8" w:rsidRDefault="00084F36">
      <w:pPr>
        <w:pStyle w:val="BodyText"/>
        <w:rPr>
          <w:sz w:val="20"/>
        </w:rPr>
      </w:pPr>
    </w:p>
    <w:p w14:paraId="55DFA80A" w14:textId="77777777" w:rsidR="00084F36" w:rsidRPr="00EB2BD8" w:rsidRDefault="00084F36">
      <w:pPr>
        <w:pStyle w:val="BodyText"/>
        <w:rPr>
          <w:sz w:val="20"/>
        </w:rPr>
      </w:pPr>
    </w:p>
    <w:p w14:paraId="003E606D" w14:textId="77777777" w:rsidR="00084F36" w:rsidRPr="00EB2BD8" w:rsidRDefault="00084F36">
      <w:pPr>
        <w:pStyle w:val="BodyText"/>
        <w:rPr>
          <w:sz w:val="20"/>
        </w:rPr>
      </w:pPr>
    </w:p>
    <w:p w14:paraId="7405F270" w14:textId="77777777" w:rsidR="00084F36" w:rsidRPr="00EB2BD8" w:rsidRDefault="00084F36">
      <w:pPr>
        <w:pStyle w:val="BodyText"/>
        <w:rPr>
          <w:sz w:val="20"/>
        </w:rPr>
      </w:pPr>
    </w:p>
    <w:p w14:paraId="23329F69" w14:textId="77777777" w:rsidR="00084F36" w:rsidRPr="00EB2BD8" w:rsidRDefault="00084F36">
      <w:pPr>
        <w:pStyle w:val="BodyText"/>
        <w:rPr>
          <w:sz w:val="20"/>
        </w:rPr>
      </w:pPr>
    </w:p>
    <w:p w14:paraId="681A5695" w14:textId="77777777" w:rsidR="00084F36" w:rsidRPr="00EB2BD8" w:rsidRDefault="00084F36">
      <w:pPr>
        <w:pStyle w:val="BodyText"/>
        <w:rPr>
          <w:sz w:val="20"/>
        </w:rPr>
      </w:pPr>
    </w:p>
    <w:p w14:paraId="5578915B" w14:textId="77777777" w:rsidR="00084F36" w:rsidRPr="00EB2BD8" w:rsidRDefault="00084F36">
      <w:pPr>
        <w:pStyle w:val="BodyText"/>
        <w:rPr>
          <w:sz w:val="20"/>
        </w:rPr>
      </w:pPr>
    </w:p>
    <w:p w14:paraId="0D6D3A3C" w14:textId="77777777" w:rsidR="00084F36" w:rsidRPr="00EB2BD8" w:rsidRDefault="00084F36">
      <w:pPr>
        <w:pStyle w:val="BodyText"/>
        <w:rPr>
          <w:sz w:val="20"/>
        </w:rPr>
      </w:pPr>
    </w:p>
    <w:p w14:paraId="325FD209" w14:textId="77777777" w:rsidR="00084F36" w:rsidRPr="00EB2BD8" w:rsidRDefault="00084F36">
      <w:pPr>
        <w:pStyle w:val="BodyText"/>
        <w:rPr>
          <w:sz w:val="20"/>
        </w:rPr>
      </w:pPr>
    </w:p>
    <w:p w14:paraId="21096CA0" w14:textId="77777777" w:rsidR="00084F36" w:rsidRPr="00EB2BD8" w:rsidRDefault="00084F36">
      <w:pPr>
        <w:pStyle w:val="BodyText"/>
        <w:rPr>
          <w:sz w:val="20"/>
        </w:rPr>
      </w:pPr>
    </w:p>
    <w:p w14:paraId="0199094D" w14:textId="77777777" w:rsidR="00084F36" w:rsidRPr="00EB2BD8" w:rsidRDefault="00084F36">
      <w:pPr>
        <w:pStyle w:val="BodyText"/>
        <w:rPr>
          <w:sz w:val="20"/>
        </w:rPr>
      </w:pPr>
    </w:p>
    <w:p w14:paraId="670673E9" w14:textId="77777777" w:rsidR="00084F36" w:rsidRPr="00EB2BD8" w:rsidRDefault="00084F36">
      <w:pPr>
        <w:pStyle w:val="BodyText"/>
        <w:rPr>
          <w:sz w:val="20"/>
        </w:rPr>
      </w:pPr>
    </w:p>
    <w:p w14:paraId="7D99A089" w14:textId="77777777" w:rsidR="00084F36" w:rsidRPr="00EB2BD8" w:rsidRDefault="00084F36">
      <w:pPr>
        <w:pStyle w:val="BodyText"/>
        <w:rPr>
          <w:sz w:val="20"/>
        </w:rPr>
      </w:pPr>
    </w:p>
    <w:p w14:paraId="09B0ACD9" w14:textId="77777777" w:rsidR="00084F36" w:rsidRPr="00EB2BD8" w:rsidRDefault="00084F36">
      <w:pPr>
        <w:pStyle w:val="BodyText"/>
        <w:rPr>
          <w:sz w:val="20"/>
        </w:rPr>
      </w:pPr>
    </w:p>
    <w:p w14:paraId="59E3A4B9" w14:textId="77777777" w:rsidR="00084F36" w:rsidRPr="00EB2BD8" w:rsidRDefault="00084F36">
      <w:pPr>
        <w:pStyle w:val="BodyText"/>
        <w:rPr>
          <w:sz w:val="20"/>
        </w:rPr>
      </w:pPr>
    </w:p>
    <w:p w14:paraId="0D332746" w14:textId="77777777" w:rsidR="00084F36" w:rsidRPr="00EB2BD8" w:rsidRDefault="00084F36">
      <w:pPr>
        <w:pStyle w:val="BodyText"/>
        <w:spacing w:before="3"/>
        <w:rPr>
          <w:sz w:val="21"/>
        </w:rPr>
      </w:pPr>
    </w:p>
    <w:p w14:paraId="1F994EF8" w14:textId="77777777" w:rsidR="00084F36" w:rsidRPr="00EB2BD8" w:rsidRDefault="00084F36">
      <w:pPr>
        <w:jc w:val="right"/>
        <w:rPr>
          <w:sz w:val="16"/>
        </w:rPr>
        <w:sectPr w:rsidR="00084F36" w:rsidRPr="00EB2BD8" w:rsidSect="006D75B2">
          <w:type w:val="continuous"/>
          <w:pgSz w:w="11910" w:h="16840"/>
          <w:pgMar w:top="1920" w:right="0" w:bottom="280" w:left="0" w:header="0" w:footer="0" w:gutter="0"/>
          <w:cols w:space="720"/>
        </w:sectPr>
      </w:pPr>
    </w:p>
    <w:p w14:paraId="57774F71" w14:textId="77777777" w:rsidR="00084F36" w:rsidRPr="00EB2BD8" w:rsidRDefault="00084F36">
      <w:pPr>
        <w:pStyle w:val="BodyText"/>
        <w:rPr>
          <w:sz w:val="20"/>
        </w:rPr>
      </w:pPr>
    </w:p>
    <w:p w14:paraId="172F899B" w14:textId="77777777" w:rsidR="00084F36" w:rsidRPr="00EB2BD8" w:rsidRDefault="00084F36">
      <w:pPr>
        <w:pStyle w:val="BodyText"/>
        <w:rPr>
          <w:sz w:val="20"/>
        </w:rPr>
      </w:pPr>
    </w:p>
    <w:p w14:paraId="15BEB3D6" w14:textId="77777777" w:rsidR="00084F36" w:rsidRPr="00EB2BD8" w:rsidRDefault="00084F36">
      <w:pPr>
        <w:pStyle w:val="BodyText"/>
        <w:rPr>
          <w:sz w:val="20"/>
        </w:rPr>
      </w:pPr>
    </w:p>
    <w:p w14:paraId="5005D8E1" w14:textId="77777777" w:rsidR="00084F36" w:rsidRPr="00EB2BD8" w:rsidRDefault="00084F36">
      <w:pPr>
        <w:pStyle w:val="BodyText"/>
        <w:rPr>
          <w:sz w:val="20"/>
        </w:rPr>
      </w:pPr>
    </w:p>
    <w:p w14:paraId="0B5E1C2A" w14:textId="77777777" w:rsidR="00084F36" w:rsidRPr="00EB2BD8" w:rsidRDefault="00084F36">
      <w:pPr>
        <w:pStyle w:val="BodyText"/>
        <w:spacing w:before="4"/>
        <w:rPr>
          <w:sz w:val="16"/>
        </w:rPr>
      </w:pPr>
    </w:p>
    <w:p w14:paraId="346B245E" w14:textId="77777777" w:rsidR="00084F36" w:rsidRPr="00EB2BD8" w:rsidRDefault="00084F36">
      <w:pPr>
        <w:rPr>
          <w:sz w:val="16"/>
        </w:rPr>
        <w:sectPr w:rsidR="00084F36" w:rsidRPr="00EB2BD8" w:rsidSect="006D75B2">
          <w:headerReference w:type="even" r:id="rId48"/>
          <w:footerReference w:type="even" r:id="rId49"/>
          <w:footerReference w:type="default" r:id="rId50"/>
          <w:pgSz w:w="11910" w:h="16840"/>
          <w:pgMar w:top="1100" w:right="0" w:bottom="700" w:left="0" w:header="0" w:footer="515" w:gutter="0"/>
          <w:pgNumType w:start="20"/>
          <w:cols w:space="720"/>
        </w:sectPr>
      </w:pPr>
    </w:p>
    <w:p w14:paraId="0D5EEAF7" w14:textId="77777777" w:rsidR="00084F36" w:rsidRPr="00EB2BD8" w:rsidRDefault="00EB2BD8" w:rsidP="001975DF">
      <w:pPr>
        <w:pStyle w:val="Heading2"/>
      </w:pPr>
      <w:bookmarkStart w:id="52" w:name="_Toc150762354"/>
      <w:r w:rsidRPr="00EB2BD8">
        <w:t>Financial</w:t>
      </w:r>
      <w:r w:rsidRPr="00EB2BD8">
        <w:rPr>
          <w:spacing w:val="-18"/>
        </w:rPr>
        <w:t xml:space="preserve"> </w:t>
      </w:r>
      <w:r w:rsidRPr="00EB2BD8">
        <w:t>position</w:t>
      </w:r>
      <w:r w:rsidRPr="00EB2BD8">
        <w:rPr>
          <w:spacing w:val="-17"/>
        </w:rPr>
        <w:t xml:space="preserve"> </w:t>
      </w:r>
      <w:r w:rsidRPr="00EB2BD8">
        <w:t>–</w:t>
      </w:r>
      <w:r w:rsidRPr="00EB2BD8">
        <w:rPr>
          <w:spacing w:val="-18"/>
        </w:rPr>
        <w:t xml:space="preserve"> </w:t>
      </w:r>
      <w:r w:rsidRPr="00EB2BD8">
        <w:t>cash</w:t>
      </w:r>
      <w:r w:rsidRPr="00EB2BD8">
        <w:rPr>
          <w:spacing w:val="-17"/>
        </w:rPr>
        <w:t xml:space="preserve"> </w:t>
      </w:r>
      <w:r w:rsidRPr="00EB2BD8">
        <w:t>holdings</w:t>
      </w:r>
      <w:bookmarkEnd w:id="52"/>
    </w:p>
    <w:p w14:paraId="0D68BDC8" w14:textId="77777777" w:rsidR="00084F36" w:rsidRPr="00EB2BD8" w:rsidRDefault="00EB2BD8">
      <w:pPr>
        <w:pStyle w:val="BodyText"/>
        <w:spacing w:before="169" w:line="261" w:lineRule="auto"/>
        <w:ind w:left="850"/>
      </w:pPr>
      <w:r w:rsidRPr="00EB2BD8">
        <w:rPr>
          <w:spacing w:val="-2"/>
        </w:rPr>
        <w:t>Cash</w:t>
      </w:r>
      <w:r w:rsidRPr="00EB2BD8">
        <w:rPr>
          <w:spacing w:val="-10"/>
        </w:rPr>
        <w:t xml:space="preserve"> </w:t>
      </w:r>
      <w:r w:rsidRPr="00EB2BD8">
        <w:rPr>
          <w:spacing w:val="-2"/>
        </w:rPr>
        <w:t>holdings</w:t>
      </w:r>
      <w:r w:rsidRPr="00EB2BD8">
        <w:rPr>
          <w:spacing w:val="-10"/>
        </w:rPr>
        <w:t xml:space="preserve"> </w:t>
      </w:r>
      <w:r w:rsidRPr="00EB2BD8">
        <w:rPr>
          <w:spacing w:val="-2"/>
        </w:rPr>
        <w:t>at</w:t>
      </w:r>
      <w:r w:rsidRPr="00EB2BD8">
        <w:rPr>
          <w:spacing w:val="-10"/>
        </w:rPr>
        <w:t xml:space="preserve"> </w:t>
      </w:r>
      <w:r w:rsidRPr="00EB2BD8">
        <w:rPr>
          <w:spacing w:val="-2"/>
        </w:rPr>
        <w:t>the</w:t>
      </w:r>
      <w:r w:rsidRPr="00EB2BD8">
        <w:rPr>
          <w:spacing w:val="-10"/>
        </w:rPr>
        <w:t xml:space="preserve"> </w:t>
      </w:r>
      <w:r w:rsidRPr="00EB2BD8">
        <w:rPr>
          <w:spacing w:val="-2"/>
        </w:rPr>
        <w:t>end</w:t>
      </w:r>
      <w:r w:rsidRPr="00EB2BD8">
        <w:rPr>
          <w:spacing w:val="-10"/>
        </w:rPr>
        <w:t xml:space="preserve"> </w:t>
      </w:r>
      <w:r w:rsidRPr="00EB2BD8">
        <w:rPr>
          <w:spacing w:val="-2"/>
        </w:rPr>
        <w:t>of</w:t>
      </w:r>
      <w:r w:rsidRPr="00EB2BD8">
        <w:rPr>
          <w:spacing w:val="-10"/>
        </w:rPr>
        <w:t xml:space="preserve"> </w:t>
      </w:r>
      <w:r w:rsidRPr="00EB2BD8">
        <w:rPr>
          <w:spacing w:val="-2"/>
        </w:rPr>
        <w:t>the</w:t>
      </w:r>
      <w:r w:rsidRPr="00EB2BD8">
        <w:rPr>
          <w:spacing w:val="-10"/>
        </w:rPr>
        <w:t xml:space="preserve"> </w:t>
      </w:r>
      <w:r w:rsidRPr="00EB2BD8">
        <w:rPr>
          <w:spacing w:val="-2"/>
        </w:rPr>
        <w:t>year</w:t>
      </w:r>
      <w:r w:rsidRPr="00EB2BD8">
        <w:rPr>
          <w:spacing w:val="-10"/>
        </w:rPr>
        <w:t xml:space="preserve"> </w:t>
      </w:r>
      <w:r w:rsidRPr="00EB2BD8">
        <w:rPr>
          <w:spacing w:val="-2"/>
        </w:rPr>
        <w:t>were</w:t>
      </w:r>
      <w:r w:rsidRPr="00EB2BD8">
        <w:rPr>
          <w:spacing w:val="-10"/>
        </w:rPr>
        <w:t xml:space="preserve"> </w:t>
      </w:r>
      <w:r w:rsidRPr="00EB2BD8">
        <w:rPr>
          <w:spacing w:val="-2"/>
        </w:rPr>
        <w:t>$59.7</w:t>
      </w:r>
      <w:r w:rsidRPr="00EB2BD8">
        <w:rPr>
          <w:spacing w:val="-10"/>
        </w:rPr>
        <w:t xml:space="preserve"> </w:t>
      </w:r>
      <w:r w:rsidRPr="00EB2BD8">
        <w:rPr>
          <w:spacing w:val="-2"/>
        </w:rPr>
        <w:t xml:space="preserve">million, </w:t>
      </w:r>
      <w:r w:rsidRPr="00EB2BD8">
        <w:t>primarily driven by an increase in receipt of funding for</w:t>
      </w:r>
      <w:r w:rsidRPr="00EB2BD8">
        <w:rPr>
          <w:spacing w:val="-15"/>
        </w:rPr>
        <w:t xml:space="preserve"> </w:t>
      </w:r>
      <w:r w:rsidRPr="00EB2BD8">
        <w:t>new</w:t>
      </w:r>
      <w:r w:rsidRPr="00EB2BD8">
        <w:rPr>
          <w:spacing w:val="-14"/>
        </w:rPr>
        <w:t xml:space="preserve"> </w:t>
      </w:r>
      <w:r w:rsidRPr="00EB2BD8">
        <w:t>government</w:t>
      </w:r>
      <w:r w:rsidRPr="00EB2BD8">
        <w:rPr>
          <w:spacing w:val="-14"/>
        </w:rPr>
        <w:t xml:space="preserve"> </w:t>
      </w:r>
      <w:r w:rsidRPr="00EB2BD8">
        <w:t>programs</w:t>
      </w:r>
      <w:r w:rsidRPr="00EB2BD8">
        <w:rPr>
          <w:spacing w:val="-14"/>
        </w:rPr>
        <w:t xml:space="preserve"> </w:t>
      </w:r>
      <w:r w:rsidRPr="00EB2BD8">
        <w:t>worth</w:t>
      </w:r>
      <w:r w:rsidRPr="00EB2BD8">
        <w:rPr>
          <w:spacing w:val="-15"/>
        </w:rPr>
        <w:t xml:space="preserve"> </w:t>
      </w:r>
      <w:r w:rsidRPr="00EB2BD8">
        <w:rPr>
          <w:w w:val="95"/>
        </w:rPr>
        <w:t>$11.1</w:t>
      </w:r>
      <w:r w:rsidRPr="00EB2BD8">
        <w:rPr>
          <w:spacing w:val="-11"/>
          <w:w w:val="95"/>
        </w:rPr>
        <w:t xml:space="preserve"> </w:t>
      </w:r>
      <w:r w:rsidRPr="00EB2BD8">
        <w:t>million.</w:t>
      </w:r>
    </w:p>
    <w:p w14:paraId="0645500A" w14:textId="77777777" w:rsidR="00084F36" w:rsidRPr="00EB2BD8" w:rsidRDefault="00EB2BD8">
      <w:pPr>
        <w:pStyle w:val="BodyText"/>
        <w:spacing w:line="261" w:lineRule="auto"/>
        <w:ind w:left="850" w:right="145"/>
      </w:pPr>
      <w:r w:rsidRPr="00EB2BD8">
        <w:rPr>
          <w:spacing w:val="-2"/>
        </w:rPr>
        <w:t>With</w:t>
      </w:r>
      <w:r w:rsidRPr="00EB2BD8">
        <w:rPr>
          <w:spacing w:val="-6"/>
        </w:rPr>
        <w:t xml:space="preserve"> </w:t>
      </w:r>
      <w:r w:rsidRPr="00EB2BD8">
        <w:rPr>
          <w:spacing w:val="-2"/>
        </w:rPr>
        <w:t>Balance</w:t>
      </w:r>
      <w:r w:rsidRPr="00EB2BD8">
        <w:rPr>
          <w:spacing w:val="-6"/>
        </w:rPr>
        <w:t xml:space="preserve"> </w:t>
      </w:r>
      <w:r w:rsidRPr="00EB2BD8">
        <w:rPr>
          <w:spacing w:val="-2"/>
        </w:rPr>
        <w:t>sheet</w:t>
      </w:r>
      <w:r w:rsidRPr="00EB2BD8">
        <w:rPr>
          <w:spacing w:val="-6"/>
        </w:rPr>
        <w:t xml:space="preserve"> </w:t>
      </w:r>
      <w:r w:rsidRPr="00EB2BD8">
        <w:rPr>
          <w:spacing w:val="-2"/>
        </w:rPr>
        <w:t>assets</w:t>
      </w:r>
      <w:r w:rsidRPr="00EB2BD8">
        <w:rPr>
          <w:spacing w:val="-6"/>
        </w:rPr>
        <w:t xml:space="preserve"> </w:t>
      </w:r>
      <w:r w:rsidRPr="00EB2BD8">
        <w:rPr>
          <w:spacing w:val="-2"/>
        </w:rPr>
        <w:t>totalling</w:t>
      </w:r>
      <w:r w:rsidRPr="00EB2BD8">
        <w:rPr>
          <w:spacing w:val="-6"/>
        </w:rPr>
        <w:t xml:space="preserve"> </w:t>
      </w:r>
      <w:r w:rsidRPr="00EB2BD8">
        <w:rPr>
          <w:spacing w:val="-2"/>
        </w:rPr>
        <w:t>$79.2</w:t>
      </w:r>
      <w:r w:rsidRPr="00EB2BD8">
        <w:rPr>
          <w:spacing w:val="-6"/>
        </w:rPr>
        <w:t xml:space="preserve"> </w:t>
      </w:r>
      <w:r w:rsidRPr="00EB2BD8">
        <w:rPr>
          <w:spacing w:val="-2"/>
        </w:rPr>
        <w:t>million,</w:t>
      </w:r>
      <w:r w:rsidRPr="00EB2BD8">
        <w:rPr>
          <w:spacing w:val="-6"/>
        </w:rPr>
        <w:t xml:space="preserve"> </w:t>
      </w:r>
      <w:r w:rsidRPr="00EB2BD8">
        <w:rPr>
          <w:spacing w:val="-2"/>
        </w:rPr>
        <w:t xml:space="preserve">and </w:t>
      </w:r>
      <w:r w:rsidRPr="00EB2BD8">
        <w:t>liabilities of $49.1 million from increased Payables and Contract Liabilities, VBA has sufficient cash to</w:t>
      </w:r>
    </w:p>
    <w:p w14:paraId="2C1C53D2" w14:textId="77777777" w:rsidR="00084F36" w:rsidRPr="00EB2BD8" w:rsidRDefault="00EB2BD8">
      <w:pPr>
        <w:pStyle w:val="BodyText"/>
        <w:spacing w:line="261" w:lineRule="auto"/>
        <w:ind w:left="850" w:right="56"/>
        <w:jc w:val="both"/>
      </w:pPr>
      <w:r w:rsidRPr="00EB2BD8">
        <w:t>meet</w:t>
      </w:r>
      <w:r w:rsidRPr="00EB2BD8">
        <w:rPr>
          <w:spacing w:val="-12"/>
        </w:rPr>
        <w:t xml:space="preserve"> </w:t>
      </w:r>
      <w:r w:rsidRPr="00EB2BD8">
        <w:t>its</w:t>
      </w:r>
      <w:r w:rsidRPr="00EB2BD8">
        <w:rPr>
          <w:spacing w:val="-12"/>
        </w:rPr>
        <w:t xml:space="preserve"> </w:t>
      </w:r>
      <w:r w:rsidRPr="00EB2BD8">
        <w:t>short-term</w:t>
      </w:r>
      <w:r w:rsidRPr="00EB2BD8">
        <w:rPr>
          <w:spacing w:val="-12"/>
        </w:rPr>
        <w:t xml:space="preserve"> </w:t>
      </w:r>
      <w:r w:rsidRPr="00EB2BD8">
        <w:t>liabilities</w:t>
      </w:r>
      <w:r w:rsidRPr="00EB2BD8">
        <w:rPr>
          <w:spacing w:val="-12"/>
        </w:rPr>
        <w:t xml:space="preserve"> </w:t>
      </w:r>
      <w:r w:rsidRPr="00EB2BD8">
        <w:t>and</w:t>
      </w:r>
      <w:r w:rsidRPr="00EB2BD8">
        <w:rPr>
          <w:spacing w:val="-12"/>
        </w:rPr>
        <w:t xml:space="preserve"> </w:t>
      </w:r>
      <w:r w:rsidRPr="00EB2BD8">
        <w:t>continues</w:t>
      </w:r>
      <w:r w:rsidRPr="00EB2BD8">
        <w:rPr>
          <w:spacing w:val="-12"/>
        </w:rPr>
        <w:t xml:space="preserve"> </w:t>
      </w:r>
      <w:r w:rsidRPr="00EB2BD8">
        <w:t>to</w:t>
      </w:r>
      <w:r w:rsidRPr="00EB2BD8">
        <w:rPr>
          <w:spacing w:val="-12"/>
        </w:rPr>
        <w:t xml:space="preserve"> </w:t>
      </w:r>
      <w:r w:rsidRPr="00EB2BD8">
        <w:t>explore opportunities</w:t>
      </w:r>
      <w:r w:rsidRPr="00EB2BD8">
        <w:rPr>
          <w:spacing w:val="-13"/>
        </w:rPr>
        <w:t xml:space="preserve"> </w:t>
      </w:r>
      <w:r w:rsidRPr="00EB2BD8">
        <w:t>to</w:t>
      </w:r>
      <w:r w:rsidRPr="00EB2BD8">
        <w:rPr>
          <w:spacing w:val="-13"/>
        </w:rPr>
        <w:t xml:space="preserve"> </w:t>
      </w:r>
      <w:r w:rsidRPr="00EB2BD8">
        <w:t>improve</w:t>
      </w:r>
      <w:r w:rsidRPr="00EB2BD8">
        <w:rPr>
          <w:spacing w:val="-13"/>
        </w:rPr>
        <w:t xml:space="preserve"> </w:t>
      </w:r>
      <w:r w:rsidRPr="00EB2BD8">
        <w:t>its</w:t>
      </w:r>
      <w:r w:rsidRPr="00EB2BD8">
        <w:rPr>
          <w:spacing w:val="-13"/>
        </w:rPr>
        <w:t xml:space="preserve"> </w:t>
      </w:r>
      <w:r w:rsidRPr="00EB2BD8">
        <w:t>financial</w:t>
      </w:r>
      <w:r w:rsidRPr="00EB2BD8">
        <w:rPr>
          <w:spacing w:val="-13"/>
        </w:rPr>
        <w:t xml:space="preserve"> </w:t>
      </w:r>
      <w:r w:rsidRPr="00EB2BD8">
        <w:t>sustainability</w:t>
      </w:r>
      <w:r w:rsidRPr="00EB2BD8">
        <w:rPr>
          <w:spacing w:val="-13"/>
        </w:rPr>
        <w:t xml:space="preserve"> </w:t>
      </w:r>
      <w:r w:rsidRPr="00EB2BD8">
        <w:t>for the longer term.</w:t>
      </w:r>
    </w:p>
    <w:p w14:paraId="55C85E01" w14:textId="77777777" w:rsidR="00084F36" w:rsidRPr="00EB2BD8" w:rsidRDefault="00EB2BD8" w:rsidP="001975DF">
      <w:pPr>
        <w:pStyle w:val="Heading2"/>
        <w:ind w:left="567"/>
      </w:pPr>
      <w:r w:rsidRPr="00EB2BD8">
        <w:br w:type="column"/>
      </w:r>
      <w:bookmarkStart w:id="53" w:name="_Toc150762355"/>
      <w:r w:rsidRPr="00EB2BD8">
        <w:t>Contributions,</w:t>
      </w:r>
      <w:r w:rsidRPr="00EB2BD8">
        <w:rPr>
          <w:spacing w:val="-24"/>
        </w:rPr>
        <w:t xml:space="preserve"> </w:t>
      </w:r>
      <w:r w:rsidRPr="00EB2BD8">
        <w:t>Transfers</w:t>
      </w:r>
      <w:r w:rsidRPr="00EB2BD8">
        <w:rPr>
          <w:spacing w:val="-22"/>
        </w:rPr>
        <w:t xml:space="preserve"> </w:t>
      </w:r>
      <w:r w:rsidRPr="00EB2BD8">
        <w:t>and Research Grant Payments</w:t>
      </w:r>
      <w:bookmarkEnd w:id="53"/>
    </w:p>
    <w:p w14:paraId="02CB277B" w14:textId="77777777" w:rsidR="00084F36" w:rsidRPr="00EB2BD8" w:rsidRDefault="00EB2BD8">
      <w:pPr>
        <w:pStyle w:val="BodyText"/>
        <w:spacing w:before="174" w:line="261" w:lineRule="auto"/>
        <w:ind w:left="506" w:right="925"/>
      </w:pPr>
      <w:r w:rsidRPr="00EB2BD8">
        <w:t>The</w:t>
      </w:r>
      <w:r w:rsidRPr="00EB2BD8">
        <w:rPr>
          <w:spacing w:val="-3"/>
        </w:rPr>
        <w:t xml:space="preserve"> </w:t>
      </w:r>
      <w:r w:rsidRPr="00EB2BD8">
        <w:t>VBA</w:t>
      </w:r>
      <w:r w:rsidRPr="00EB2BD8">
        <w:rPr>
          <w:spacing w:val="-3"/>
        </w:rPr>
        <w:t xml:space="preserve"> </w:t>
      </w:r>
      <w:r w:rsidRPr="00EB2BD8">
        <w:t>contributed</w:t>
      </w:r>
      <w:r w:rsidRPr="00EB2BD8">
        <w:rPr>
          <w:spacing w:val="-3"/>
        </w:rPr>
        <w:t xml:space="preserve"> </w:t>
      </w:r>
      <w:r w:rsidRPr="00EB2BD8">
        <w:t>$1</w:t>
      </w:r>
      <w:r w:rsidRPr="00EB2BD8">
        <w:rPr>
          <w:spacing w:val="-3"/>
        </w:rPr>
        <w:t xml:space="preserve"> </w:t>
      </w:r>
      <w:r w:rsidRPr="00EB2BD8">
        <w:t>million</w:t>
      </w:r>
      <w:r w:rsidRPr="00EB2BD8">
        <w:rPr>
          <w:spacing w:val="-3"/>
        </w:rPr>
        <w:t xml:space="preserve"> </w:t>
      </w:r>
      <w:r w:rsidRPr="00EB2BD8">
        <w:t>to</w:t>
      </w:r>
      <w:r w:rsidRPr="00EB2BD8">
        <w:rPr>
          <w:spacing w:val="-3"/>
        </w:rPr>
        <w:t xml:space="preserve"> </w:t>
      </w:r>
      <w:r w:rsidRPr="00EB2BD8">
        <w:t>the</w:t>
      </w:r>
      <w:r w:rsidRPr="00EB2BD8">
        <w:rPr>
          <w:spacing w:val="-3"/>
        </w:rPr>
        <w:t xml:space="preserve"> </w:t>
      </w:r>
      <w:r w:rsidRPr="00EB2BD8">
        <w:t>Department</w:t>
      </w:r>
      <w:r w:rsidRPr="00EB2BD8">
        <w:rPr>
          <w:spacing w:val="-3"/>
        </w:rPr>
        <w:t xml:space="preserve"> </w:t>
      </w:r>
      <w:r w:rsidRPr="00EB2BD8">
        <w:t>of Industry,</w:t>
      </w:r>
      <w:r w:rsidRPr="00EB2BD8">
        <w:rPr>
          <w:spacing w:val="-11"/>
        </w:rPr>
        <w:t xml:space="preserve"> </w:t>
      </w:r>
      <w:r w:rsidRPr="00EB2BD8">
        <w:t>Science,</w:t>
      </w:r>
      <w:r w:rsidRPr="00EB2BD8">
        <w:rPr>
          <w:spacing w:val="-11"/>
        </w:rPr>
        <w:t xml:space="preserve"> </w:t>
      </w:r>
      <w:r w:rsidRPr="00EB2BD8">
        <w:t>Energy</w:t>
      </w:r>
      <w:r w:rsidRPr="00EB2BD8">
        <w:rPr>
          <w:spacing w:val="-11"/>
        </w:rPr>
        <w:t xml:space="preserve"> </w:t>
      </w:r>
      <w:r w:rsidRPr="00EB2BD8">
        <w:t>and</w:t>
      </w:r>
      <w:r w:rsidRPr="00EB2BD8">
        <w:rPr>
          <w:spacing w:val="-11"/>
        </w:rPr>
        <w:t xml:space="preserve"> </w:t>
      </w:r>
      <w:r w:rsidRPr="00EB2BD8">
        <w:t>Resources,</w:t>
      </w:r>
      <w:r w:rsidRPr="00EB2BD8">
        <w:rPr>
          <w:spacing w:val="-11"/>
        </w:rPr>
        <w:t xml:space="preserve"> </w:t>
      </w:r>
      <w:r w:rsidRPr="00EB2BD8">
        <w:t>as</w:t>
      </w:r>
      <w:r w:rsidRPr="00EB2BD8">
        <w:rPr>
          <w:spacing w:val="-11"/>
        </w:rPr>
        <w:t xml:space="preserve"> </w:t>
      </w:r>
      <w:r w:rsidRPr="00EB2BD8">
        <w:t>Victoria’s contribution to the Australian Building Codes Board (ABCB) on behalf of the Victorian Government.</w:t>
      </w:r>
    </w:p>
    <w:p w14:paraId="46B6485D" w14:textId="77777777" w:rsidR="00084F36" w:rsidRPr="00EB2BD8" w:rsidRDefault="00EB2BD8">
      <w:pPr>
        <w:pStyle w:val="BodyText"/>
        <w:spacing w:before="166" w:line="261" w:lineRule="auto"/>
        <w:ind w:left="506" w:right="831"/>
      </w:pPr>
      <w:r w:rsidRPr="00EB2BD8">
        <w:rPr>
          <w:spacing w:val="-2"/>
        </w:rPr>
        <w:t>In</w:t>
      </w:r>
      <w:r w:rsidRPr="00EB2BD8">
        <w:rPr>
          <w:spacing w:val="-13"/>
        </w:rPr>
        <w:t xml:space="preserve"> </w:t>
      </w:r>
      <w:r w:rsidRPr="00EB2BD8">
        <w:rPr>
          <w:spacing w:val="-2"/>
        </w:rPr>
        <w:t>addition,</w:t>
      </w:r>
      <w:r w:rsidRPr="00EB2BD8">
        <w:rPr>
          <w:spacing w:val="-12"/>
        </w:rPr>
        <w:t xml:space="preserve"> </w:t>
      </w:r>
      <w:r w:rsidRPr="00EB2BD8">
        <w:rPr>
          <w:spacing w:val="-2"/>
        </w:rPr>
        <w:t>the</w:t>
      </w:r>
      <w:r w:rsidRPr="00EB2BD8">
        <w:rPr>
          <w:spacing w:val="-12"/>
        </w:rPr>
        <w:t xml:space="preserve"> </w:t>
      </w:r>
      <w:r w:rsidRPr="00EB2BD8">
        <w:rPr>
          <w:spacing w:val="-2"/>
        </w:rPr>
        <w:t>VBA</w:t>
      </w:r>
      <w:r w:rsidRPr="00EB2BD8">
        <w:rPr>
          <w:spacing w:val="-12"/>
        </w:rPr>
        <w:t xml:space="preserve"> </w:t>
      </w:r>
      <w:r w:rsidRPr="00EB2BD8">
        <w:rPr>
          <w:spacing w:val="-2"/>
        </w:rPr>
        <w:t>contributed</w:t>
      </w:r>
      <w:r w:rsidRPr="00EB2BD8">
        <w:rPr>
          <w:spacing w:val="-13"/>
        </w:rPr>
        <w:t xml:space="preserve"> </w:t>
      </w:r>
      <w:r w:rsidRPr="00EB2BD8">
        <w:rPr>
          <w:spacing w:val="-2"/>
        </w:rPr>
        <w:t>$1.6</w:t>
      </w:r>
      <w:r w:rsidRPr="00EB2BD8">
        <w:rPr>
          <w:spacing w:val="-12"/>
        </w:rPr>
        <w:t xml:space="preserve"> </w:t>
      </w:r>
      <w:r w:rsidRPr="00EB2BD8">
        <w:rPr>
          <w:spacing w:val="-2"/>
        </w:rPr>
        <w:t>million</w:t>
      </w:r>
      <w:r w:rsidRPr="00EB2BD8">
        <w:rPr>
          <w:spacing w:val="-12"/>
        </w:rPr>
        <w:t xml:space="preserve"> </w:t>
      </w:r>
      <w:r w:rsidRPr="00EB2BD8">
        <w:rPr>
          <w:spacing w:val="-2"/>
        </w:rPr>
        <w:t>to</w:t>
      </w:r>
      <w:r w:rsidRPr="00EB2BD8">
        <w:rPr>
          <w:spacing w:val="-12"/>
        </w:rPr>
        <w:t xml:space="preserve"> </w:t>
      </w:r>
      <w:r w:rsidRPr="00EB2BD8">
        <w:rPr>
          <w:spacing w:val="-2"/>
        </w:rPr>
        <w:t xml:space="preserve">DEECA, </w:t>
      </w:r>
      <w:r w:rsidRPr="00EB2BD8">
        <w:t>formerly DELWP Building Policy Unit.</w:t>
      </w:r>
    </w:p>
    <w:p w14:paraId="5A02F7D8" w14:textId="77777777" w:rsidR="00084F36" w:rsidRPr="00EB2BD8" w:rsidRDefault="00EB2BD8">
      <w:pPr>
        <w:pStyle w:val="BodyText"/>
        <w:spacing w:before="111" w:line="261" w:lineRule="auto"/>
        <w:ind w:left="506" w:right="925"/>
      </w:pPr>
      <w:r w:rsidRPr="00EB2BD8">
        <w:rPr>
          <w:spacing w:val="-2"/>
        </w:rPr>
        <w:t>The</w:t>
      </w:r>
      <w:r w:rsidRPr="00EB2BD8">
        <w:rPr>
          <w:spacing w:val="-10"/>
        </w:rPr>
        <w:t xml:space="preserve"> </w:t>
      </w:r>
      <w:r w:rsidRPr="00EB2BD8">
        <w:rPr>
          <w:spacing w:val="-2"/>
        </w:rPr>
        <w:t>VBA</w:t>
      </w:r>
      <w:r w:rsidRPr="00EB2BD8">
        <w:rPr>
          <w:spacing w:val="-10"/>
        </w:rPr>
        <w:t xml:space="preserve"> </w:t>
      </w:r>
      <w:r w:rsidRPr="00EB2BD8">
        <w:rPr>
          <w:spacing w:val="-2"/>
        </w:rPr>
        <w:t>paid</w:t>
      </w:r>
      <w:r w:rsidRPr="00EB2BD8">
        <w:rPr>
          <w:spacing w:val="-10"/>
        </w:rPr>
        <w:t xml:space="preserve"> </w:t>
      </w:r>
      <w:r w:rsidRPr="00EB2BD8">
        <w:rPr>
          <w:spacing w:val="-2"/>
        </w:rPr>
        <w:t>$0.18</w:t>
      </w:r>
      <w:r w:rsidRPr="00EB2BD8">
        <w:rPr>
          <w:spacing w:val="-10"/>
        </w:rPr>
        <w:t xml:space="preserve"> </w:t>
      </w:r>
      <w:r w:rsidRPr="00EB2BD8">
        <w:rPr>
          <w:spacing w:val="-2"/>
        </w:rPr>
        <w:t>million</w:t>
      </w:r>
      <w:r w:rsidRPr="00EB2BD8">
        <w:rPr>
          <w:spacing w:val="-10"/>
        </w:rPr>
        <w:t xml:space="preserve"> </w:t>
      </w:r>
      <w:r w:rsidRPr="00EB2BD8">
        <w:rPr>
          <w:spacing w:val="-2"/>
        </w:rPr>
        <w:t>in</w:t>
      </w:r>
      <w:r w:rsidRPr="00EB2BD8">
        <w:rPr>
          <w:spacing w:val="-10"/>
        </w:rPr>
        <w:t xml:space="preserve"> </w:t>
      </w:r>
      <w:r w:rsidRPr="00EB2BD8">
        <w:rPr>
          <w:spacing w:val="-2"/>
        </w:rPr>
        <w:t>grants</w:t>
      </w:r>
      <w:r w:rsidRPr="00EB2BD8">
        <w:rPr>
          <w:spacing w:val="-10"/>
        </w:rPr>
        <w:t xml:space="preserve"> </w:t>
      </w:r>
      <w:r w:rsidRPr="00EB2BD8">
        <w:rPr>
          <w:spacing w:val="-2"/>
        </w:rPr>
        <w:t>to</w:t>
      </w:r>
      <w:r w:rsidRPr="00EB2BD8">
        <w:rPr>
          <w:spacing w:val="-10"/>
        </w:rPr>
        <w:t xml:space="preserve"> </w:t>
      </w:r>
      <w:r w:rsidRPr="00EB2BD8">
        <w:rPr>
          <w:spacing w:val="-2"/>
        </w:rPr>
        <w:t>four</w:t>
      </w:r>
      <w:r w:rsidRPr="00EB2BD8">
        <w:rPr>
          <w:spacing w:val="-10"/>
        </w:rPr>
        <w:t xml:space="preserve"> </w:t>
      </w:r>
      <w:r w:rsidRPr="00EB2BD8">
        <w:rPr>
          <w:spacing w:val="-2"/>
        </w:rPr>
        <w:t xml:space="preserve">universities </w:t>
      </w:r>
      <w:r w:rsidRPr="00EB2BD8">
        <w:t>under its Research Grant Program to support research that will help provide an evidence base to inform regulatory decisions and influence improvements to the building regulatory system and quality of the built environment in Victoria.</w:t>
      </w:r>
    </w:p>
    <w:p w14:paraId="3EEB0511" w14:textId="77777777" w:rsidR="00084F36" w:rsidRPr="00EB2BD8" w:rsidRDefault="00EB2BD8">
      <w:pPr>
        <w:pStyle w:val="BodyText"/>
        <w:spacing w:before="107" w:line="261" w:lineRule="auto"/>
        <w:ind w:left="506" w:right="831"/>
      </w:pPr>
      <w:r w:rsidRPr="00EB2BD8">
        <w:t xml:space="preserve">The VBA continued to collect and transfer the Cladding Rectification Levy to CSV monthly. In 2022-23, the levy </w:t>
      </w:r>
      <w:r w:rsidRPr="00EB2BD8">
        <w:rPr>
          <w:spacing w:val="-4"/>
        </w:rPr>
        <w:t>paid</w:t>
      </w:r>
      <w:r w:rsidRPr="00EB2BD8">
        <w:rPr>
          <w:spacing w:val="-6"/>
        </w:rPr>
        <w:t xml:space="preserve"> </w:t>
      </w:r>
      <w:r w:rsidRPr="00EB2BD8">
        <w:rPr>
          <w:spacing w:val="-4"/>
        </w:rPr>
        <w:t>to</w:t>
      </w:r>
      <w:r w:rsidRPr="00EB2BD8">
        <w:rPr>
          <w:spacing w:val="-6"/>
        </w:rPr>
        <w:t xml:space="preserve"> </w:t>
      </w:r>
      <w:r w:rsidRPr="00EB2BD8">
        <w:rPr>
          <w:spacing w:val="-4"/>
        </w:rPr>
        <w:t>CSV</w:t>
      </w:r>
      <w:r w:rsidRPr="00EB2BD8">
        <w:rPr>
          <w:spacing w:val="-6"/>
        </w:rPr>
        <w:t xml:space="preserve"> </w:t>
      </w:r>
      <w:r w:rsidRPr="00EB2BD8">
        <w:rPr>
          <w:spacing w:val="-4"/>
        </w:rPr>
        <w:t>was</w:t>
      </w:r>
      <w:r w:rsidRPr="00EB2BD8">
        <w:rPr>
          <w:spacing w:val="-6"/>
        </w:rPr>
        <w:t xml:space="preserve"> </w:t>
      </w:r>
      <w:r w:rsidRPr="00EB2BD8">
        <w:rPr>
          <w:spacing w:val="-4"/>
        </w:rPr>
        <w:t>$92.0</w:t>
      </w:r>
      <w:r w:rsidRPr="00EB2BD8">
        <w:rPr>
          <w:spacing w:val="-6"/>
        </w:rPr>
        <w:t xml:space="preserve"> </w:t>
      </w:r>
      <w:r w:rsidRPr="00EB2BD8">
        <w:rPr>
          <w:spacing w:val="-4"/>
        </w:rPr>
        <w:t>million,</w:t>
      </w:r>
      <w:r w:rsidRPr="00EB2BD8">
        <w:rPr>
          <w:spacing w:val="-6"/>
        </w:rPr>
        <w:t xml:space="preserve"> </w:t>
      </w:r>
      <w:r w:rsidRPr="00EB2BD8">
        <w:rPr>
          <w:spacing w:val="-4"/>
        </w:rPr>
        <w:t>compared</w:t>
      </w:r>
      <w:r w:rsidRPr="00EB2BD8">
        <w:rPr>
          <w:spacing w:val="-6"/>
        </w:rPr>
        <w:t xml:space="preserve"> </w:t>
      </w:r>
      <w:r w:rsidRPr="00EB2BD8">
        <w:rPr>
          <w:spacing w:val="-4"/>
        </w:rPr>
        <w:t>to</w:t>
      </w:r>
      <w:r w:rsidRPr="00EB2BD8">
        <w:rPr>
          <w:spacing w:val="-6"/>
        </w:rPr>
        <w:t xml:space="preserve"> </w:t>
      </w:r>
      <w:r w:rsidRPr="00EB2BD8">
        <w:rPr>
          <w:spacing w:val="-4"/>
        </w:rPr>
        <w:t>$78.3</w:t>
      </w:r>
      <w:r w:rsidRPr="00EB2BD8">
        <w:rPr>
          <w:spacing w:val="-6"/>
        </w:rPr>
        <w:t xml:space="preserve"> </w:t>
      </w:r>
      <w:r w:rsidRPr="00EB2BD8">
        <w:rPr>
          <w:spacing w:val="-4"/>
        </w:rPr>
        <w:t xml:space="preserve">million </w:t>
      </w:r>
      <w:r w:rsidRPr="00EB2BD8">
        <w:t>paid in the previous year.</w:t>
      </w:r>
    </w:p>
    <w:p w14:paraId="592E30B8" w14:textId="26366908" w:rsidR="00084F36" w:rsidRPr="00EB2BD8" w:rsidRDefault="00EB2BD8">
      <w:pPr>
        <w:pStyle w:val="BodyText"/>
        <w:spacing w:before="109" w:line="261" w:lineRule="auto"/>
        <w:ind w:left="506" w:right="952"/>
      </w:pPr>
      <w:r w:rsidRPr="00EB2BD8">
        <w:t>The VBA also collected a portion of building permit levies and domestic building registration fees to fund services by DBDRV, costs relating to the Victorian Civil and Administrative Tribunal (VCAT) under its Building and Property List, and other costs for administration</w:t>
      </w:r>
      <w:r w:rsidRPr="00EB2BD8">
        <w:rPr>
          <w:spacing w:val="40"/>
        </w:rPr>
        <w:t xml:space="preserve"> </w:t>
      </w:r>
      <w:r w:rsidRPr="00EB2BD8">
        <w:t xml:space="preserve">of the </w:t>
      </w:r>
      <w:r w:rsidRPr="00EB2BD8">
        <w:rPr>
          <w:i/>
        </w:rPr>
        <w:t>Domestic Contracts Act 1995</w:t>
      </w:r>
      <w:r w:rsidRPr="00EB2BD8">
        <w:t>. These funds are transferred</w:t>
      </w:r>
      <w:r w:rsidRPr="00EB2BD8">
        <w:rPr>
          <w:spacing w:val="-10"/>
        </w:rPr>
        <w:t xml:space="preserve"> </w:t>
      </w:r>
      <w:r w:rsidRPr="00EB2BD8">
        <w:t>to</w:t>
      </w:r>
      <w:r w:rsidRPr="00EB2BD8">
        <w:rPr>
          <w:spacing w:val="-10"/>
        </w:rPr>
        <w:t xml:space="preserve"> </w:t>
      </w:r>
      <w:r w:rsidRPr="00EB2BD8">
        <w:t>CAV</w:t>
      </w:r>
      <w:r w:rsidRPr="00EB2BD8">
        <w:rPr>
          <w:spacing w:val="-10"/>
        </w:rPr>
        <w:t xml:space="preserve"> </w:t>
      </w:r>
      <w:r w:rsidRPr="00EB2BD8">
        <w:t>every</w:t>
      </w:r>
      <w:r w:rsidRPr="00EB2BD8">
        <w:rPr>
          <w:spacing w:val="-10"/>
        </w:rPr>
        <w:t xml:space="preserve"> </w:t>
      </w:r>
      <w:r w:rsidRPr="00EB2BD8">
        <w:t>month</w:t>
      </w:r>
      <w:r w:rsidRPr="00EB2BD8">
        <w:rPr>
          <w:spacing w:val="-10"/>
        </w:rPr>
        <w:t xml:space="preserve"> </w:t>
      </w:r>
      <w:r w:rsidRPr="00EB2BD8">
        <w:t>to</w:t>
      </w:r>
      <w:r w:rsidRPr="00EB2BD8">
        <w:rPr>
          <w:spacing w:val="-10"/>
        </w:rPr>
        <w:t xml:space="preserve"> </w:t>
      </w:r>
      <w:r w:rsidRPr="00EB2BD8">
        <w:t>administer</w:t>
      </w:r>
      <w:r w:rsidRPr="00EB2BD8">
        <w:rPr>
          <w:spacing w:val="-10"/>
        </w:rPr>
        <w:t xml:space="preserve"> </w:t>
      </w:r>
      <w:r w:rsidRPr="00EB2BD8">
        <w:t>under</w:t>
      </w:r>
      <w:r w:rsidRPr="00EB2BD8">
        <w:rPr>
          <w:spacing w:val="-10"/>
        </w:rPr>
        <w:t xml:space="preserve"> </w:t>
      </w:r>
      <w:r w:rsidRPr="00EB2BD8">
        <w:t xml:space="preserve">its </w:t>
      </w:r>
      <w:r w:rsidRPr="00EB2BD8">
        <w:rPr>
          <w:spacing w:val="-2"/>
        </w:rPr>
        <w:t>Domestic</w:t>
      </w:r>
      <w:r w:rsidRPr="00EB2BD8">
        <w:rPr>
          <w:spacing w:val="-11"/>
        </w:rPr>
        <w:t xml:space="preserve"> </w:t>
      </w:r>
      <w:r w:rsidRPr="00EB2BD8">
        <w:rPr>
          <w:spacing w:val="-2"/>
        </w:rPr>
        <w:t>Builders</w:t>
      </w:r>
      <w:r w:rsidRPr="00EB2BD8">
        <w:rPr>
          <w:spacing w:val="-11"/>
        </w:rPr>
        <w:t xml:space="preserve"> </w:t>
      </w:r>
      <w:r w:rsidRPr="00EB2BD8">
        <w:rPr>
          <w:spacing w:val="-2"/>
        </w:rPr>
        <w:t>Fund.</w:t>
      </w:r>
      <w:r w:rsidRPr="00EB2BD8">
        <w:rPr>
          <w:spacing w:val="-11"/>
        </w:rPr>
        <w:t xml:space="preserve"> </w:t>
      </w:r>
      <w:r w:rsidRPr="00EB2BD8">
        <w:rPr>
          <w:spacing w:val="-2"/>
        </w:rPr>
        <w:t>For</w:t>
      </w:r>
      <w:r w:rsidRPr="00EB2BD8">
        <w:rPr>
          <w:spacing w:val="-11"/>
        </w:rPr>
        <w:t xml:space="preserve"> </w:t>
      </w:r>
      <w:r w:rsidRPr="00EB2BD8">
        <w:rPr>
          <w:spacing w:val="-2"/>
        </w:rPr>
        <w:t>2022-23,</w:t>
      </w:r>
      <w:r w:rsidRPr="00EB2BD8">
        <w:rPr>
          <w:spacing w:val="-11"/>
        </w:rPr>
        <w:t xml:space="preserve"> </w:t>
      </w:r>
      <w:r w:rsidRPr="00EB2BD8">
        <w:rPr>
          <w:spacing w:val="-2"/>
        </w:rPr>
        <w:t>$20.2</w:t>
      </w:r>
      <w:r w:rsidRPr="00EB2BD8">
        <w:rPr>
          <w:spacing w:val="-11"/>
        </w:rPr>
        <w:t xml:space="preserve"> </w:t>
      </w:r>
      <w:r w:rsidRPr="00EB2BD8">
        <w:rPr>
          <w:spacing w:val="-2"/>
        </w:rPr>
        <w:t>million</w:t>
      </w:r>
      <w:r w:rsidRPr="00EB2BD8">
        <w:rPr>
          <w:spacing w:val="-11"/>
        </w:rPr>
        <w:t xml:space="preserve"> </w:t>
      </w:r>
      <w:r w:rsidRPr="00EB2BD8">
        <w:rPr>
          <w:spacing w:val="-2"/>
        </w:rPr>
        <w:t xml:space="preserve">was </w:t>
      </w:r>
      <w:r w:rsidRPr="00EB2BD8">
        <w:t>transferred to CAV for this purpose.</w:t>
      </w:r>
    </w:p>
    <w:p w14:paraId="5C0FF0FD" w14:textId="77777777" w:rsidR="00084F36" w:rsidRPr="00EB2BD8" w:rsidRDefault="00084F36">
      <w:pPr>
        <w:spacing w:line="261" w:lineRule="auto"/>
        <w:sectPr w:rsidR="00084F36" w:rsidRPr="00EB2BD8" w:rsidSect="006D75B2">
          <w:type w:val="continuous"/>
          <w:pgSz w:w="11910" w:h="16840"/>
          <w:pgMar w:top="1920" w:right="0" w:bottom="280" w:left="0" w:header="0" w:footer="0" w:gutter="0"/>
          <w:cols w:num="2" w:space="720" w:equalWidth="0">
            <w:col w:w="5633" w:space="40"/>
            <w:col w:w="6237"/>
          </w:cols>
        </w:sectPr>
      </w:pPr>
    </w:p>
    <w:p w14:paraId="6A9CF432" w14:textId="5E869F3B" w:rsidR="00084F36" w:rsidRPr="00EB2BD8" w:rsidRDefault="00084F36">
      <w:pPr>
        <w:pStyle w:val="BodyText"/>
        <w:rPr>
          <w:sz w:val="20"/>
        </w:rPr>
      </w:pPr>
    </w:p>
    <w:p w14:paraId="22511DA6" w14:textId="77777777" w:rsidR="00084F36" w:rsidRPr="00EB2BD8" w:rsidRDefault="00084F36">
      <w:pPr>
        <w:pStyle w:val="BodyText"/>
        <w:rPr>
          <w:sz w:val="20"/>
        </w:rPr>
      </w:pPr>
    </w:p>
    <w:p w14:paraId="1CEB29F8" w14:textId="77777777" w:rsidR="00084F36" w:rsidRPr="00EB2BD8" w:rsidRDefault="00084F36">
      <w:pPr>
        <w:pStyle w:val="BodyText"/>
        <w:rPr>
          <w:sz w:val="20"/>
        </w:rPr>
      </w:pPr>
    </w:p>
    <w:p w14:paraId="04B5DF92" w14:textId="77777777" w:rsidR="00084F36" w:rsidRPr="00EB2BD8" w:rsidRDefault="00084F36">
      <w:pPr>
        <w:pStyle w:val="BodyText"/>
        <w:spacing w:before="6" w:after="1"/>
        <w:rPr>
          <w:sz w:val="11"/>
        </w:rPr>
      </w:pPr>
    </w:p>
    <w:p w14:paraId="504E9AA9" w14:textId="558468D0" w:rsidR="00084F36" w:rsidRPr="00EB2BD8" w:rsidRDefault="00084F36">
      <w:pPr>
        <w:pStyle w:val="BodyText"/>
        <w:spacing w:line="228" w:lineRule="exact"/>
        <w:ind w:left="10250"/>
        <w:rPr>
          <w:sz w:val="20"/>
        </w:rPr>
      </w:pPr>
    </w:p>
    <w:p w14:paraId="72902F31" w14:textId="77777777" w:rsidR="00084F36" w:rsidRPr="00EB2BD8" w:rsidRDefault="00084F36">
      <w:pPr>
        <w:pStyle w:val="BodyText"/>
        <w:rPr>
          <w:sz w:val="14"/>
        </w:rPr>
      </w:pPr>
    </w:p>
    <w:p w14:paraId="6A6679C4" w14:textId="65E17846" w:rsidR="00084F36" w:rsidRPr="00DB0F6B" w:rsidRDefault="00EB2BD8" w:rsidP="00DB0F6B">
      <w:pPr>
        <w:pStyle w:val="Heading1"/>
      </w:pPr>
      <w:bookmarkStart w:id="54" w:name="_Toc150762356"/>
      <w:r w:rsidRPr="00DB0F6B">
        <w:t>2/</w:t>
      </w:r>
      <w:r w:rsidR="001975DF" w:rsidRPr="00DB0F6B">
        <w:t xml:space="preserve"> </w:t>
      </w:r>
      <w:r w:rsidRPr="00DB0F6B">
        <w:t>Performance</w:t>
      </w:r>
      <w:bookmarkEnd w:id="54"/>
    </w:p>
    <w:p w14:paraId="785A52D4" w14:textId="77777777" w:rsidR="00084F36" w:rsidRPr="00EB2BD8" w:rsidRDefault="00084F36">
      <w:pPr>
        <w:pStyle w:val="BodyText"/>
        <w:rPr>
          <w:rFonts w:ascii="Tahoma"/>
          <w:b/>
          <w:sz w:val="20"/>
        </w:rPr>
      </w:pPr>
    </w:p>
    <w:p w14:paraId="3C288E2B" w14:textId="77777777" w:rsidR="00084F36" w:rsidRPr="00EB2BD8" w:rsidRDefault="00084F36">
      <w:pPr>
        <w:pStyle w:val="BodyText"/>
        <w:rPr>
          <w:rFonts w:ascii="Tahoma"/>
          <w:b/>
          <w:sz w:val="20"/>
        </w:rPr>
      </w:pPr>
    </w:p>
    <w:p w14:paraId="7AE2EAE6" w14:textId="77777777" w:rsidR="00084F36" w:rsidRPr="00EB2BD8" w:rsidRDefault="00084F36">
      <w:pPr>
        <w:pStyle w:val="BodyText"/>
        <w:rPr>
          <w:rFonts w:ascii="Tahoma"/>
          <w:b/>
          <w:sz w:val="20"/>
        </w:rPr>
      </w:pPr>
    </w:p>
    <w:p w14:paraId="6E5A6D3E" w14:textId="77777777" w:rsidR="00084F36" w:rsidRPr="00EB2BD8" w:rsidRDefault="00084F36">
      <w:pPr>
        <w:pStyle w:val="BodyText"/>
        <w:rPr>
          <w:rFonts w:ascii="Tahoma"/>
          <w:b/>
          <w:sz w:val="20"/>
        </w:rPr>
      </w:pPr>
    </w:p>
    <w:p w14:paraId="1E1DCEC0" w14:textId="77777777" w:rsidR="00084F36" w:rsidRPr="00EB2BD8" w:rsidRDefault="00084F36">
      <w:pPr>
        <w:pStyle w:val="BodyText"/>
        <w:rPr>
          <w:rFonts w:ascii="Tahoma"/>
          <w:b/>
          <w:sz w:val="20"/>
        </w:rPr>
      </w:pPr>
    </w:p>
    <w:p w14:paraId="78914C86" w14:textId="77777777" w:rsidR="00084F36" w:rsidRPr="00EB2BD8" w:rsidRDefault="00084F36">
      <w:pPr>
        <w:pStyle w:val="BodyText"/>
        <w:rPr>
          <w:rFonts w:ascii="Tahoma"/>
          <w:b/>
          <w:sz w:val="20"/>
        </w:rPr>
      </w:pPr>
    </w:p>
    <w:p w14:paraId="7931BA65" w14:textId="77777777" w:rsidR="00084F36" w:rsidRPr="00EB2BD8" w:rsidRDefault="00084F36">
      <w:pPr>
        <w:pStyle w:val="BodyText"/>
        <w:rPr>
          <w:rFonts w:ascii="Tahoma"/>
          <w:b/>
          <w:sz w:val="20"/>
        </w:rPr>
      </w:pPr>
    </w:p>
    <w:p w14:paraId="03C8AF81" w14:textId="77777777" w:rsidR="00084F36" w:rsidRPr="00EB2BD8" w:rsidRDefault="00084F36">
      <w:pPr>
        <w:pStyle w:val="BodyText"/>
        <w:rPr>
          <w:rFonts w:ascii="Tahoma"/>
          <w:b/>
          <w:sz w:val="20"/>
        </w:rPr>
      </w:pPr>
    </w:p>
    <w:p w14:paraId="45019040" w14:textId="77777777" w:rsidR="00084F36" w:rsidRPr="00EB2BD8" w:rsidRDefault="00084F36">
      <w:pPr>
        <w:pStyle w:val="BodyText"/>
        <w:rPr>
          <w:rFonts w:ascii="Tahoma"/>
          <w:b/>
          <w:sz w:val="20"/>
        </w:rPr>
      </w:pPr>
    </w:p>
    <w:p w14:paraId="6807BD6A" w14:textId="77777777" w:rsidR="00084F36" w:rsidRPr="00EB2BD8" w:rsidRDefault="00084F36">
      <w:pPr>
        <w:pStyle w:val="BodyText"/>
        <w:rPr>
          <w:rFonts w:ascii="Tahoma"/>
          <w:b/>
          <w:sz w:val="20"/>
        </w:rPr>
      </w:pPr>
    </w:p>
    <w:p w14:paraId="0BFA875E" w14:textId="77777777" w:rsidR="00084F36" w:rsidRPr="00EB2BD8" w:rsidRDefault="00084F36">
      <w:pPr>
        <w:pStyle w:val="BodyText"/>
        <w:rPr>
          <w:rFonts w:ascii="Tahoma"/>
          <w:b/>
          <w:sz w:val="20"/>
        </w:rPr>
      </w:pPr>
    </w:p>
    <w:p w14:paraId="2527DE4B" w14:textId="77777777" w:rsidR="00084F36" w:rsidRPr="00EB2BD8" w:rsidRDefault="00084F36">
      <w:pPr>
        <w:pStyle w:val="BodyText"/>
        <w:rPr>
          <w:rFonts w:ascii="Tahoma"/>
          <w:b/>
          <w:sz w:val="20"/>
        </w:rPr>
      </w:pPr>
    </w:p>
    <w:p w14:paraId="05879F1E" w14:textId="77777777" w:rsidR="00084F36" w:rsidRPr="00EB2BD8" w:rsidRDefault="00084F36">
      <w:pPr>
        <w:pStyle w:val="BodyText"/>
        <w:rPr>
          <w:rFonts w:ascii="Tahoma"/>
          <w:b/>
          <w:sz w:val="20"/>
        </w:rPr>
      </w:pPr>
    </w:p>
    <w:p w14:paraId="3EEFFA65" w14:textId="77777777" w:rsidR="00084F36" w:rsidRPr="00EB2BD8" w:rsidRDefault="00084F36">
      <w:pPr>
        <w:pStyle w:val="BodyText"/>
        <w:rPr>
          <w:rFonts w:ascii="Tahoma"/>
          <w:b/>
          <w:sz w:val="20"/>
        </w:rPr>
      </w:pPr>
    </w:p>
    <w:p w14:paraId="1765CCE3" w14:textId="77777777" w:rsidR="00084F36" w:rsidRPr="00EB2BD8" w:rsidRDefault="00084F36">
      <w:pPr>
        <w:pStyle w:val="BodyText"/>
        <w:rPr>
          <w:rFonts w:ascii="Tahoma"/>
          <w:b/>
          <w:sz w:val="20"/>
        </w:rPr>
      </w:pPr>
    </w:p>
    <w:p w14:paraId="3771CBED" w14:textId="77777777" w:rsidR="00084F36" w:rsidRPr="00EB2BD8" w:rsidRDefault="00084F36">
      <w:pPr>
        <w:pStyle w:val="BodyText"/>
        <w:rPr>
          <w:rFonts w:ascii="Tahoma"/>
          <w:b/>
          <w:sz w:val="20"/>
        </w:rPr>
      </w:pPr>
    </w:p>
    <w:p w14:paraId="23A90410" w14:textId="77777777" w:rsidR="00084F36" w:rsidRPr="00EB2BD8" w:rsidRDefault="00084F36">
      <w:pPr>
        <w:pStyle w:val="BodyText"/>
        <w:rPr>
          <w:rFonts w:ascii="Tahoma"/>
          <w:b/>
          <w:sz w:val="20"/>
        </w:rPr>
      </w:pPr>
    </w:p>
    <w:p w14:paraId="260D9FCC" w14:textId="77777777" w:rsidR="00084F36" w:rsidRPr="00EB2BD8" w:rsidRDefault="00084F36">
      <w:pPr>
        <w:pStyle w:val="BodyText"/>
        <w:rPr>
          <w:rFonts w:ascii="Tahoma"/>
          <w:b/>
          <w:sz w:val="20"/>
        </w:rPr>
      </w:pPr>
    </w:p>
    <w:p w14:paraId="73B8219C" w14:textId="77777777" w:rsidR="00084F36" w:rsidRPr="00EB2BD8" w:rsidRDefault="00084F36">
      <w:pPr>
        <w:pStyle w:val="BodyText"/>
        <w:rPr>
          <w:rFonts w:ascii="Tahoma"/>
          <w:b/>
          <w:sz w:val="20"/>
        </w:rPr>
      </w:pPr>
    </w:p>
    <w:p w14:paraId="79EE48F7" w14:textId="77777777" w:rsidR="00084F36" w:rsidRPr="00EB2BD8" w:rsidRDefault="00084F36">
      <w:pPr>
        <w:pStyle w:val="BodyText"/>
        <w:rPr>
          <w:rFonts w:ascii="Tahoma"/>
          <w:b/>
          <w:sz w:val="20"/>
        </w:rPr>
      </w:pPr>
    </w:p>
    <w:p w14:paraId="45723021" w14:textId="77777777" w:rsidR="00084F36" w:rsidRPr="00EB2BD8" w:rsidRDefault="00084F36">
      <w:pPr>
        <w:pStyle w:val="BodyText"/>
        <w:rPr>
          <w:rFonts w:ascii="Tahoma"/>
          <w:b/>
          <w:sz w:val="20"/>
        </w:rPr>
      </w:pPr>
    </w:p>
    <w:p w14:paraId="48AD3A54" w14:textId="77777777" w:rsidR="00084F36" w:rsidRPr="00EB2BD8" w:rsidRDefault="00084F36">
      <w:pPr>
        <w:pStyle w:val="BodyText"/>
        <w:rPr>
          <w:rFonts w:ascii="Tahoma"/>
          <w:b/>
          <w:sz w:val="20"/>
        </w:rPr>
      </w:pPr>
    </w:p>
    <w:p w14:paraId="38A38846" w14:textId="77777777" w:rsidR="00084F36" w:rsidRPr="00EB2BD8" w:rsidRDefault="00084F36">
      <w:pPr>
        <w:pStyle w:val="BodyText"/>
        <w:rPr>
          <w:rFonts w:ascii="Tahoma"/>
          <w:b/>
          <w:sz w:val="20"/>
        </w:rPr>
      </w:pPr>
    </w:p>
    <w:p w14:paraId="74AFC483" w14:textId="77777777" w:rsidR="00084F36" w:rsidRPr="00EB2BD8" w:rsidRDefault="00084F36">
      <w:pPr>
        <w:pStyle w:val="BodyText"/>
        <w:rPr>
          <w:rFonts w:ascii="Tahoma"/>
          <w:b/>
          <w:sz w:val="20"/>
        </w:rPr>
      </w:pPr>
    </w:p>
    <w:p w14:paraId="1612C2B0" w14:textId="77777777" w:rsidR="00084F36" w:rsidRPr="00EB2BD8" w:rsidRDefault="00084F36">
      <w:pPr>
        <w:pStyle w:val="BodyText"/>
        <w:rPr>
          <w:rFonts w:ascii="Tahoma"/>
          <w:b/>
          <w:sz w:val="20"/>
        </w:rPr>
      </w:pPr>
    </w:p>
    <w:p w14:paraId="68C39F65" w14:textId="77777777" w:rsidR="00084F36" w:rsidRPr="00EB2BD8" w:rsidRDefault="00084F36">
      <w:pPr>
        <w:pStyle w:val="BodyText"/>
        <w:rPr>
          <w:rFonts w:ascii="Tahoma"/>
          <w:b/>
          <w:sz w:val="20"/>
        </w:rPr>
      </w:pPr>
    </w:p>
    <w:p w14:paraId="33C6CE24" w14:textId="77777777" w:rsidR="00084F36" w:rsidRPr="00EB2BD8" w:rsidRDefault="00084F36">
      <w:pPr>
        <w:pStyle w:val="BodyText"/>
        <w:rPr>
          <w:rFonts w:ascii="Tahoma"/>
          <w:b/>
          <w:sz w:val="20"/>
        </w:rPr>
      </w:pPr>
    </w:p>
    <w:p w14:paraId="6CDF1CDB" w14:textId="77777777" w:rsidR="00084F36" w:rsidRPr="00EB2BD8" w:rsidRDefault="00084F36">
      <w:pPr>
        <w:pStyle w:val="BodyText"/>
        <w:rPr>
          <w:rFonts w:ascii="Tahoma"/>
          <w:b/>
          <w:sz w:val="20"/>
        </w:rPr>
      </w:pPr>
    </w:p>
    <w:p w14:paraId="4662FF56" w14:textId="77777777" w:rsidR="00084F36" w:rsidRPr="00EB2BD8" w:rsidRDefault="00084F36">
      <w:pPr>
        <w:pStyle w:val="BodyText"/>
        <w:rPr>
          <w:rFonts w:ascii="Tahoma"/>
          <w:b/>
          <w:sz w:val="20"/>
        </w:rPr>
      </w:pPr>
    </w:p>
    <w:p w14:paraId="5EEA50CB" w14:textId="77777777" w:rsidR="00084F36" w:rsidRPr="00EB2BD8" w:rsidRDefault="00084F36">
      <w:pPr>
        <w:pStyle w:val="BodyText"/>
        <w:rPr>
          <w:rFonts w:ascii="Tahoma"/>
          <w:b/>
          <w:sz w:val="20"/>
        </w:rPr>
      </w:pPr>
    </w:p>
    <w:p w14:paraId="5E2A71AF" w14:textId="77777777" w:rsidR="00084F36" w:rsidRPr="00EB2BD8" w:rsidRDefault="00084F36">
      <w:pPr>
        <w:pStyle w:val="BodyText"/>
        <w:rPr>
          <w:rFonts w:ascii="Tahoma"/>
          <w:b/>
          <w:sz w:val="20"/>
        </w:rPr>
      </w:pPr>
    </w:p>
    <w:p w14:paraId="1D581CAB" w14:textId="77777777" w:rsidR="00084F36" w:rsidRPr="00EB2BD8" w:rsidRDefault="00084F36">
      <w:pPr>
        <w:pStyle w:val="BodyText"/>
        <w:rPr>
          <w:rFonts w:ascii="Tahoma"/>
          <w:b/>
          <w:sz w:val="20"/>
        </w:rPr>
      </w:pPr>
    </w:p>
    <w:p w14:paraId="58509AA5" w14:textId="77777777" w:rsidR="00084F36" w:rsidRPr="00EB2BD8" w:rsidRDefault="00084F36">
      <w:pPr>
        <w:pStyle w:val="BodyText"/>
        <w:rPr>
          <w:rFonts w:ascii="Tahoma"/>
          <w:b/>
          <w:sz w:val="20"/>
        </w:rPr>
      </w:pPr>
    </w:p>
    <w:p w14:paraId="27499392" w14:textId="77777777" w:rsidR="00084F36" w:rsidRPr="00EB2BD8" w:rsidRDefault="00084F36">
      <w:pPr>
        <w:pStyle w:val="BodyText"/>
        <w:rPr>
          <w:rFonts w:ascii="Tahoma"/>
          <w:b/>
          <w:sz w:val="20"/>
        </w:rPr>
      </w:pPr>
    </w:p>
    <w:p w14:paraId="4CAF0388" w14:textId="77777777" w:rsidR="00084F36" w:rsidRPr="00EB2BD8" w:rsidRDefault="00084F36">
      <w:pPr>
        <w:pStyle w:val="BodyText"/>
        <w:rPr>
          <w:rFonts w:ascii="Tahoma"/>
          <w:b/>
          <w:sz w:val="20"/>
        </w:rPr>
      </w:pPr>
    </w:p>
    <w:p w14:paraId="71275AC9" w14:textId="77777777" w:rsidR="00084F36" w:rsidRPr="00EB2BD8" w:rsidRDefault="00084F36">
      <w:pPr>
        <w:pStyle w:val="BodyText"/>
        <w:rPr>
          <w:rFonts w:ascii="Tahoma"/>
          <w:b/>
          <w:sz w:val="20"/>
        </w:rPr>
      </w:pPr>
    </w:p>
    <w:p w14:paraId="0DD2BDD2" w14:textId="77777777" w:rsidR="00084F36" w:rsidRPr="00EB2BD8" w:rsidRDefault="00084F36">
      <w:pPr>
        <w:pStyle w:val="BodyText"/>
        <w:rPr>
          <w:rFonts w:ascii="Tahoma"/>
          <w:b/>
          <w:sz w:val="20"/>
        </w:rPr>
      </w:pPr>
    </w:p>
    <w:p w14:paraId="68C8CADF" w14:textId="77777777" w:rsidR="00084F36" w:rsidRPr="00EB2BD8" w:rsidRDefault="00084F36">
      <w:pPr>
        <w:pStyle w:val="BodyText"/>
        <w:rPr>
          <w:rFonts w:ascii="Tahoma"/>
          <w:b/>
          <w:sz w:val="20"/>
        </w:rPr>
      </w:pPr>
    </w:p>
    <w:p w14:paraId="7A1BC5F1" w14:textId="77777777" w:rsidR="00084F36" w:rsidRPr="00EB2BD8" w:rsidRDefault="00084F36">
      <w:pPr>
        <w:pStyle w:val="BodyText"/>
        <w:rPr>
          <w:rFonts w:ascii="Tahoma"/>
          <w:b/>
          <w:sz w:val="20"/>
        </w:rPr>
      </w:pPr>
    </w:p>
    <w:p w14:paraId="1685B533" w14:textId="77777777" w:rsidR="00084F36" w:rsidRPr="00EB2BD8" w:rsidRDefault="00084F36">
      <w:pPr>
        <w:pStyle w:val="BodyText"/>
        <w:rPr>
          <w:rFonts w:ascii="Tahoma"/>
          <w:b/>
          <w:sz w:val="20"/>
        </w:rPr>
      </w:pPr>
    </w:p>
    <w:p w14:paraId="228528BD" w14:textId="77777777" w:rsidR="00084F36" w:rsidRPr="00EB2BD8" w:rsidRDefault="00084F36">
      <w:pPr>
        <w:pStyle w:val="BodyText"/>
        <w:rPr>
          <w:rFonts w:ascii="Tahoma"/>
          <w:b/>
          <w:sz w:val="20"/>
        </w:rPr>
      </w:pPr>
    </w:p>
    <w:p w14:paraId="6978B1E0" w14:textId="77777777" w:rsidR="00084F36" w:rsidRPr="00EB2BD8" w:rsidRDefault="00084F36">
      <w:pPr>
        <w:pStyle w:val="BodyText"/>
        <w:rPr>
          <w:rFonts w:ascii="Tahoma"/>
          <w:b/>
          <w:sz w:val="20"/>
        </w:rPr>
      </w:pPr>
    </w:p>
    <w:p w14:paraId="564CC8B2" w14:textId="77777777" w:rsidR="00084F36" w:rsidRPr="00EB2BD8" w:rsidRDefault="00084F36">
      <w:pPr>
        <w:pStyle w:val="BodyText"/>
        <w:rPr>
          <w:rFonts w:ascii="Tahoma"/>
          <w:b/>
          <w:sz w:val="20"/>
        </w:rPr>
      </w:pPr>
    </w:p>
    <w:p w14:paraId="5ABC4B33" w14:textId="77777777" w:rsidR="00084F36" w:rsidRPr="00EB2BD8" w:rsidRDefault="00084F36">
      <w:pPr>
        <w:pStyle w:val="BodyText"/>
        <w:rPr>
          <w:rFonts w:ascii="Tahoma"/>
          <w:b/>
          <w:sz w:val="20"/>
        </w:rPr>
      </w:pPr>
    </w:p>
    <w:p w14:paraId="049DCB02" w14:textId="77777777" w:rsidR="00084F36" w:rsidRPr="00EB2BD8" w:rsidRDefault="00084F36">
      <w:pPr>
        <w:pStyle w:val="BodyText"/>
        <w:rPr>
          <w:rFonts w:ascii="Tahoma"/>
          <w:b/>
          <w:sz w:val="20"/>
        </w:rPr>
      </w:pPr>
    </w:p>
    <w:p w14:paraId="3481B949" w14:textId="77777777" w:rsidR="00084F36" w:rsidRPr="00EB2BD8" w:rsidRDefault="00084F36">
      <w:pPr>
        <w:pStyle w:val="BodyText"/>
        <w:rPr>
          <w:rFonts w:ascii="Tahoma"/>
          <w:b/>
          <w:sz w:val="20"/>
        </w:rPr>
      </w:pPr>
    </w:p>
    <w:p w14:paraId="6FADE9C7" w14:textId="77777777" w:rsidR="00084F36" w:rsidRPr="00EB2BD8" w:rsidRDefault="00084F36">
      <w:pPr>
        <w:pStyle w:val="BodyText"/>
        <w:rPr>
          <w:rFonts w:ascii="Tahoma"/>
          <w:b/>
          <w:sz w:val="20"/>
        </w:rPr>
      </w:pPr>
    </w:p>
    <w:p w14:paraId="7DEE6356" w14:textId="77777777" w:rsidR="00084F36" w:rsidRPr="00EB2BD8" w:rsidRDefault="00084F36">
      <w:pPr>
        <w:pStyle w:val="BodyText"/>
        <w:spacing w:before="9"/>
        <w:rPr>
          <w:rFonts w:ascii="Tahoma"/>
          <w:b/>
          <w:sz w:val="28"/>
        </w:rPr>
      </w:pPr>
    </w:p>
    <w:p w14:paraId="5FA5E7E4" w14:textId="77777777" w:rsidR="00B83018" w:rsidRDefault="00B83018">
      <w:pPr>
        <w:spacing w:before="96"/>
        <w:ind w:right="888"/>
        <w:jc w:val="right"/>
        <w:rPr>
          <w:spacing w:val="-5"/>
          <w:w w:val="80"/>
          <w:sz w:val="16"/>
        </w:rPr>
      </w:pPr>
    </w:p>
    <w:p w14:paraId="703D3630" w14:textId="7B9E3CFD" w:rsidR="00084F36" w:rsidRPr="00EB2BD8" w:rsidRDefault="00084F36">
      <w:pPr>
        <w:pStyle w:val="BodyText"/>
        <w:spacing w:before="9"/>
        <w:rPr>
          <w:sz w:val="27"/>
        </w:rPr>
      </w:pPr>
    </w:p>
    <w:p w14:paraId="7754B26A" w14:textId="77777777" w:rsidR="00084F36" w:rsidRPr="00DB0F6B" w:rsidRDefault="00EB2BD8" w:rsidP="003A7244">
      <w:pPr>
        <w:pStyle w:val="Heading2"/>
      </w:pPr>
      <w:bookmarkStart w:id="55" w:name="_Toc150762357"/>
      <w:r w:rsidRPr="00DB0F6B">
        <w:lastRenderedPageBreak/>
        <w:t>The VBA as</w:t>
      </w:r>
      <w:bookmarkEnd w:id="55"/>
    </w:p>
    <w:p w14:paraId="074D8AC4" w14:textId="77777777" w:rsidR="00084F36" w:rsidRPr="00DB0F6B" w:rsidRDefault="00EB2BD8" w:rsidP="003A7244">
      <w:pPr>
        <w:pStyle w:val="Heading2"/>
      </w:pPr>
      <w:bookmarkStart w:id="56" w:name="_Toc150762358"/>
      <w:r w:rsidRPr="00DB0F6B">
        <w:t>a Trusted Regulator</w:t>
      </w:r>
      <w:bookmarkEnd w:id="56"/>
    </w:p>
    <w:p w14:paraId="44D1373A" w14:textId="77777777" w:rsidR="00084F36" w:rsidRPr="00EB2BD8" w:rsidRDefault="00084F36">
      <w:pPr>
        <w:pStyle w:val="BodyText"/>
        <w:rPr>
          <w:rFonts w:ascii="Tahoma"/>
          <w:b/>
          <w:sz w:val="20"/>
        </w:rPr>
      </w:pPr>
    </w:p>
    <w:p w14:paraId="2940847D" w14:textId="77777777" w:rsidR="00084F36" w:rsidRPr="00EB2BD8" w:rsidRDefault="00084F36">
      <w:pPr>
        <w:pStyle w:val="BodyText"/>
        <w:rPr>
          <w:rFonts w:ascii="Tahoma"/>
          <w:b/>
          <w:sz w:val="20"/>
        </w:rPr>
      </w:pPr>
    </w:p>
    <w:p w14:paraId="2B276FC6" w14:textId="77777777" w:rsidR="00084F36" w:rsidRPr="00EB2BD8" w:rsidRDefault="00084F36">
      <w:pPr>
        <w:pStyle w:val="BodyText"/>
        <w:rPr>
          <w:rFonts w:ascii="Tahoma"/>
          <w:b/>
          <w:sz w:val="20"/>
        </w:rPr>
      </w:pPr>
    </w:p>
    <w:p w14:paraId="22F7D9E5" w14:textId="77777777" w:rsidR="00084F36" w:rsidRPr="00EB2BD8" w:rsidRDefault="00084F36">
      <w:pPr>
        <w:pStyle w:val="BodyText"/>
        <w:rPr>
          <w:rFonts w:ascii="Tahoma"/>
          <w:b/>
          <w:sz w:val="20"/>
        </w:rPr>
      </w:pPr>
    </w:p>
    <w:p w14:paraId="15ED7ADD" w14:textId="1EB74A04" w:rsidR="001975DF" w:rsidRPr="00DB0F6B" w:rsidRDefault="001975DF" w:rsidP="00DB0F6B">
      <w:pPr>
        <w:pStyle w:val="Heading2"/>
        <w:rPr>
          <w:b w:val="0"/>
          <w:bCs w:val="0"/>
        </w:rPr>
      </w:pPr>
      <w:bookmarkStart w:id="57" w:name="_Toc150762359"/>
      <w:r w:rsidRPr="00DB0F6B">
        <w:rPr>
          <w:b w:val="0"/>
          <w:bCs w:val="0"/>
        </w:rPr>
        <w:t>We are a proactive regulator</w:t>
      </w:r>
      <w:r w:rsidRPr="00DB0F6B">
        <w:rPr>
          <w:b w:val="0"/>
          <w:bCs w:val="0"/>
          <w:spacing w:val="-29"/>
        </w:rPr>
        <w:t xml:space="preserve"> </w:t>
      </w:r>
      <w:r w:rsidRPr="00DB0F6B">
        <w:rPr>
          <w:b w:val="0"/>
          <w:bCs w:val="0"/>
        </w:rPr>
        <w:t>delivering positive</w:t>
      </w:r>
      <w:r w:rsidRPr="00DB0F6B">
        <w:rPr>
          <w:b w:val="0"/>
          <w:bCs w:val="0"/>
          <w:spacing w:val="-7"/>
        </w:rPr>
        <w:t xml:space="preserve"> </w:t>
      </w:r>
      <w:r w:rsidRPr="00DB0F6B">
        <w:rPr>
          <w:b w:val="0"/>
          <w:bCs w:val="0"/>
        </w:rPr>
        <w:t xml:space="preserve">outcomes for </w:t>
      </w:r>
      <w:r w:rsidR="00DB0F6B">
        <w:rPr>
          <w:b w:val="0"/>
          <w:bCs w:val="0"/>
        </w:rPr>
        <w:br/>
      </w:r>
      <w:r w:rsidRPr="00DB0F6B">
        <w:rPr>
          <w:b w:val="0"/>
          <w:bCs w:val="0"/>
        </w:rPr>
        <w:t xml:space="preserve">Victorians. We </w:t>
      </w:r>
      <w:r w:rsidRPr="00DB0F6B">
        <w:rPr>
          <w:b w:val="0"/>
          <w:bCs w:val="0"/>
          <w:spacing w:val="-8"/>
        </w:rPr>
        <w:t>deliver</w:t>
      </w:r>
      <w:r w:rsidRPr="00DB0F6B">
        <w:rPr>
          <w:b w:val="0"/>
          <w:bCs w:val="0"/>
          <w:spacing w:val="-28"/>
        </w:rPr>
        <w:t xml:space="preserve"> </w:t>
      </w:r>
      <w:r w:rsidRPr="00DB0F6B">
        <w:rPr>
          <w:b w:val="0"/>
          <w:bCs w:val="0"/>
          <w:spacing w:val="-8"/>
        </w:rPr>
        <w:t xml:space="preserve">sophisticated </w:t>
      </w:r>
      <w:r w:rsidRPr="00DB0F6B">
        <w:rPr>
          <w:b w:val="0"/>
          <w:bCs w:val="0"/>
        </w:rPr>
        <w:t xml:space="preserve">and targeted enforcement that </w:t>
      </w:r>
      <w:r w:rsidR="00DB0F6B">
        <w:rPr>
          <w:b w:val="0"/>
          <w:bCs w:val="0"/>
        </w:rPr>
        <w:br/>
      </w:r>
      <w:r w:rsidRPr="00DB0F6B">
        <w:rPr>
          <w:b w:val="0"/>
          <w:bCs w:val="0"/>
          <w:spacing w:val="-2"/>
        </w:rPr>
        <w:t>results</w:t>
      </w:r>
      <w:r w:rsidRPr="00DB0F6B">
        <w:rPr>
          <w:b w:val="0"/>
          <w:bCs w:val="0"/>
          <w:spacing w:val="-26"/>
        </w:rPr>
        <w:t xml:space="preserve"> </w:t>
      </w:r>
      <w:r w:rsidRPr="00DB0F6B">
        <w:rPr>
          <w:b w:val="0"/>
          <w:bCs w:val="0"/>
          <w:spacing w:val="-2"/>
        </w:rPr>
        <w:t>in</w:t>
      </w:r>
      <w:r w:rsidRPr="00DB0F6B">
        <w:rPr>
          <w:b w:val="0"/>
          <w:bCs w:val="0"/>
          <w:spacing w:val="-26"/>
        </w:rPr>
        <w:t xml:space="preserve"> </w:t>
      </w:r>
      <w:r w:rsidRPr="00DB0F6B">
        <w:rPr>
          <w:b w:val="0"/>
          <w:bCs w:val="0"/>
          <w:spacing w:val="-2"/>
        </w:rPr>
        <w:t xml:space="preserve">behavioural </w:t>
      </w:r>
      <w:r w:rsidRPr="00DB0F6B">
        <w:rPr>
          <w:b w:val="0"/>
          <w:bCs w:val="0"/>
        </w:rPr>
        <w:t>change.</w:t>
      </w:r>
      <w:r w:rsidRPr="00DB0F6B">
        <w:rPr>
          <w:b w:val="0"/>
          <w:bCs w:val="0"/>
          <w:spacing w:val="-3"/>
        </w:rPr>
        <w:t xml:space="preserve"> </w:t>
      </w:r>
      <w:r w:rsidRPr="00DB0F6B">
        <w:rPr>
          <w:b w:val="0"/>
          <w:bCs w:val="0"/>
        </w:rPr>
        <w:t>We</w:t>
      </w:r>
      <w:r w:rsidRPr="00DB0F6B">
        <w:rPr>
          <w:b w:val="0"/>
          <w:bCs w:val="0"/>
          <w:spacing w:val="-3"/>
        </w:rPr>
        <w:t xml:space="preserve"> </w:t>
      </w:r>
      <w:r w:rsidRPr="00DB0F6B">
        <w:rPr>
          <w:b w:val="0"/>
          <w:bCs w:val="0"/>
        </w:rPr>
        <w:t>do</w:t>
      </w:r>
      <w:r w:rsidRPr="00DB0F6B">
        <w:rPr>
          <w:b w:val="0"/>
          <w:bCs w:val="0"/>
          <w:spacing w:val="-3"/>
        </w:rPr>
        <w:t xml:space="preserve"> </w:t>
      </w:r>
      <w:r w:rsidRPr="00DB0F6B">
        <w:rPr>
          <w:b w:val="0"/>
          <w:bCs w:val="0"/>
        </w:rPr>
        <w:t xml:space="preserve">this </w:t>
      </w:r>
      <w:r w:rsidRPr="00DB0F6B">
        <w:rPr>
          <w:b w:val="0"/>
          <w:bCs w:val="0"/>
          <w:spacing w:val="-8"/>
        </w:rPr>
        <w:t>through</w:t>
      </w:r>
      <w:r w:rsidRPr="00DB0F6B">
        <w:rPr>
          <w:b w:val="0"/>
          <w:bCs w:val="0"/>
          <w:spacing w:val="-30"/>
        </w:rPr>
        <w:t xml:space="preserve"> </w:t>
      </w:r>
      <w:r w:rsidRPr="00DB0F6B">
        <w:rPr>
          <w:b w:val="0"/>
          <w:bCs w:val="0"/>
          <w:spacing w:val="-8"/>
        </w:rPr>
        <w:t xml:space="preserve">proportionate </w:t>
      </w:r>
      <w:r w:rsidR="00DB0F6B">
        <w:rPr>
          <w:b w:val="0"/>
          <w:bCs w:val="0"/>
          <w:spacing w:val="-8"/>
        </w:rPr>
        <w:br/>
      </w:r>
      <w:r w:rsidRPr="00DB0F6B">
        <w:rPr>
          <w:b w:val="0"/>
          <w:bCs w:val="0"/>
        </w:rPr>
        <w:t>regulatory</w:t>
      </w:r>
      <w:r w:rsidRPr="00DB0F6B">
        <w:rPr>
          <w:b w:val="0"/>
          <w:bCs w:val="0"/>
          <w:spacing w:val="-29"/>
        </w:rPr>
        <w:t xml:space="preserve"> </w:t>
      </w:r>
      <w:r w:rsidRPr="00DB0F6B">
        <w:rPr>
          <w:b w:val="0"/>
          <w:bCs w:val="0"/>
        </w:rPr>
        <w:t xml:space="preserve">responses and providing </w:t>
      </w:r>
      <w:r w:rsidRPr="00DB0F6B">
        <w:rPr>
          <w:b w:val="0"/>
          <w:bCs w:val="0"/>
          <w:spacing w:val="-2"/>
        </w:rPr>
        <w:t xml:space="preserve">authoritative </w:t>
      </w:r>
      <w:r w:rsidRPr="00DB0F6B">
        <w:rPr>
          <w:b w:val="0"/>
          <w:bCs w:val="0"/>
        </w:rPr>
        <w:t>guidance and advice.</w:t>
      </w:r>
      <w:bookmarkEnd w:id="57"/>
    </w:p>
    <w:p w14:paraId="196EED4D" w14:textId="77777777" w:rsidR="00084F36" w:rsidRPr="00EB2BD8" w:rsidRDefault="00084F36">
      <w:pPr>
        <w:pStyle w:val="BodyText"/>
        <w:rPr>
          <w:rFonts w:ascii="Tahoma"/>
          <w:b/>
          <w:sz w:val="20"/>
        </w:rPr>
      </w:pPr>
    </w:p>
    <w:p w14:paraId="4F9264E9" w14:textId="7937CA1C" w:rsidR="00084F36" w:rsidRPr="00EB2BD8" w:rsidRDefault="00084F36">
      <w:pPr>
        <w:pStyle w:val="BodyText"/>
        <w:spacing w:before="1"/>
        <w:rPr>
          <w:rFonts w:ascii="Tahoma"/>
          <w:b/>
          <w:sz w:val="15"/>
        </w:rPr>
      </w:pPr>
    </w:p>
    <w:p w14:paraId="3E36127D" w14:textId="77777777" w:rsidR="00084F36" w:rsidRPr="00EB2BD8" w:rsidRDefault="00084F36">
      <w:pPr>
        <w:pStyle w:val="BodyText"/>
        <w:rPr>
          <w:rFonts w:ascii="Tahoma"/>
          <w:b/>
          <w:sz w:val="20"/>
        </w:rPr>
      </w:pPr>
    </w:p>
    <w:p w14:paraId="3B702911" w14:textId="77777777" w:rsidR="00084F36" w:rsidRPr="00EB2BD8" w:rsidRDefault="00084F36">
      <w:pPr>
        <w:pStyle w:val="BodyText"/>
        <w:rPr>
          <w:rFonts w:ascii="Tahoma"/>
          <w:b/>
          <w:sz w:val="20"/>
        </w:rPr>
      </w:pPr>
    </w:p>
    <w:p w14:paraId="58E43AFB" w14:textId="77777777" w:rsidR="00084F36" w:rsidRPr="00EB2BD8" w:rsidRDefault="00084F36">
      <w:pPr>
        <w:pStyle w:val="BodyText"/>
        <w:rPr>
          <w:rFonts w:ascii="Tahoma"/>
          <w:b/>
          <w:sz w:val="20"/>
        </w:rPr>
      </w:pPr>
    </w:p>
    <w:p w14:paraId="46B785CD" w14:textId="77777777" w:rsidR="00084F36" w:rsidRPr="00EB2BD8" w:rsidRDefault="00084F36">
      <w:pPr>
        <w:pStyle w:val="BodyText"/>
        <w:rPr>
          <w:rFonts w:ascii="Tahoma"/>
          <w:b/>
          <w:sz w:val="20"/>
        </w:rPr>
      </w:pPr>
    </w:p>
    <w:p w14:paraId="0994E26B" w14:textId="77777777" w:rsidR="00084F36" w:rsidRPr="00EB2BD8" w:rsidRDefault="00084F36">
      <w:pPr>
        <w:pStyle w:val="BodyText"/>
        <w:rPr>
          <w:rFonts w:ascii="Tahoma"/>
          <w:b/>
          <w:sz w:val="20"/>
        </w:rPr>
      </w:pPr>
    </w:p>
    <w:p w14:paraId="2FBEC74A" w14:textId="77777777" w:rsidR="00084F36" w:rsidRPr="00EB2BD8" w:rsidRDefault="00084F36">
      <w:pPr>
        <w:pStyle w:val="BodyText"/>
        <w:rPr>
          <w:rFonts w:ascii="Tahoma"/>
          <w:b/>
          <w:sz w:val="20"/>
        </w:rPr>
      </w:pPr>
    </w:p>
    <w:p w14:paraId="44F02000" w14:textId="77777777" w:rsidR="00084F36" w:rsidRPr="00EB2BD8" w:rsidRDefault="00084F36">
      <w:pPr>
        <w:pStyle w:val="BodyText"/>
        <w:rPr>
          <w:rFonts w:ascii="Tahoma"/>
          <w:b/>
          <w:sz w:val="20"/>
        </w:rPr>
      </w:pPr>
    </w:p>
    <w:p w14:paraId="4B0869BB" w14:textId="77777777" w:rsidR="00084F36" w:rsidRPr="00EB2BD8" w:rsidRDefault="00084F36">
      <w:pPr>
        <w:pStyle w:val="BodyText"/>
        <w:rPr>
          <w:rFonts w:ascii="Tahoma"/>
          <w:b/>
          <w:sz w:val="20"/>
        </w:rPr>
      </w:pPr>
    </w:p>
    <w:p w14:paraId="1CCCFA96" w14:textId="77777777" w:rsidR="00084F36" w:rsidRPr="00EB2BD8" w:rsidRDefault="00084F36">
      <w:pPr>
        <w:pStyle w:val="BodyText"/>
        <w:rPr>
          <w:rFonts w:ascii="Tahoma"/>
          <w:b/>
          <w:sz w:val="20"/>
        </w:rPr>
      </w:pPr>
    </w:p>
    <w:p w14:paraId="7EB60330" w14:textId="77777777" w:rsidR="00084F36" w:rsidRPr="00EB2BD8" w:rsidRDefault="00084F36">
      <w:pPr>
        <w:pStyle w:val="BodyText"/>
        <w:rPr>
          <w:rFonts w:ascii="Tahoma"/>
          <w:b/>
          <w:sz w:val="20"/>
        </w:rPr>
      </w:pPr>
    </w:p>
    <w:p w14:paraId="27A53935" w14:textId="77777777" w:rsidR="00084F36" w:rsidRPr="00EB2BD8" w:rsidRDefault="00084F36">
      <w:pPr>
        <w:pStyle w:val="BodyText"/>
        <w:rPr>
          <w:rFonts w:ascii="Tahoma"/>
          <w:b/>
          <w:sz w:val="20"/>
        </w:rPr>
      </w:pPr>
    </w:p>
    <w:p w14:paraId="089067F8" w14:textId="77777777" w:rsidR="00084F36" w:rsidRPr="00EB2BD8" w:rsidRDefault="00084F36">
      <w:pPr>
        <w:pStyle w:val="BodyText"/>
        <w:rPr>
          <w:rFonts w:ascii="Tahoma"/>
          <w:b/>
          <w:sz w:val="20"/>
        </w:rPr>
      </w:pPr>
    </w:p>
    <w:p w14:paraId="26F15409" w14:textId="36E6705B" w:rsidR="00084F36" w:rsidRDefault="00084F36">
      <w:pPr>
        <w:pStyle w:val="BodyText"/>
        <w:rPr>
          <w:rFonts w:ascii="Tahoma"/>
          <w:b/>
          <w:sz w:val="20"/>
        </w:rPr>
      </w:pPr>
    </w:p>
    <w:p w14:paraId="4171252E" w14:textId="2CAC328C" w:rsidR="00F52505" w:rsidRDefault="00F52505">
      <w:pPr>
        <w:pStyle w:val="BodyText"/>
        <w:rPr>
          <w:rFonts w:ascii="Tahoma"/>
          <w:b/>
          <w:sz w:val="20"/>
        </w:rPr>
      </w:pPr>
    </w:p>
    <w:p w14:paraId="651C00B8" w14:textId="7E548734" w:rsidR="00F52505" w:rsidRDefault="00F52505">
      <w:pPr>
        <w:pStyle w:val="BodyText"/>
        <w:rPr>
          <w:rFonts w:ascii="Tahoma"/>
          <w:b/>
          <w:sz w:val="20"/>
        </w:rPr>
      </w:pPr>
    </w:p>
    <w:p w14:paraId="0BD3D978" w14:textId="594A8292" w:rsidR="00F52505" w:rsidRDefault="00F52505">
      <w:pPr>
        <w:pStyle w:val="BodyText"/>
        <w:rPr>
          <w:rFonts w:ascii="Tahoma"/>
          <w:b/>
          <w:sz w:val="20"/>
        </w:rPr>
      </w:pPr>
    </w:p>
    <w:p w14:paraId="1A7FFACD" w14:textId="3AC54332" w:rsidR="00F52505" w:rsidRDefault="00F52505">
      <w:pPr>
        <w:pStyle w:val="BodyText"/>
        <w:rPr>
          <w:rFonts w:ascii="Tahoma"/>
          <w:b/>
          <w:sz w:val="20"/>
        </w:rPr>
      </w:pPr>
    </w:p>
    <w:p w14:paraId="3CAF9BE6" w14:textId="37FC8C04" w:rsidR="00F52505" w:rsidRDefault="00F52505">
      <w:pPr>
        <w:pStyle w:val="BodyText"/>
        <w:rPr>
          <w:rFonts w:ascii="Tahoma"/>
          <w:b/>
          <w:sz w:val="20"/>
        </w:rPr>
      </w:pPr>
    </w:p>
    <w:p w14:paraId="6E94378A" w14:textId="47238AEA" w:rsidR="00F52505" w:rsidRDefault="00F52505">
      <w:pPr>
        <w:pStyle w:val="BodyText"/>
        <w:rPr>
          <w:rFonts w:ascii="Tahoma"/>
          <w:b/>
          <w:sz w:val="20"/>
        </w:rPr>
      </w:pPr>
    </w:p>
    <w:p w14:paraId="39950E7F" w14:textId="2659EFA9" w:rsidR="00F52505" w:rsidRDefault="00F52505">
      <w:pPr>
        <w:pStyle w:val="BodyText"/>
        <w:rPr>
          <w:rFonts w:ascii="Tahoma"/>
          <w:b/>
          <w:sz w:val="20"/>
        </w:rPr>
      </w:pPr>
    </w:p>
    <w:p w14:paraId="634BF1D8" w14:textId="7389E84C" w:rsidR="00F52505" w:rsidRDefault="00F52505">
      <w:pPr>
        <w:pStyle w:val="BodyText"/>
        <w:rPr>
          <w:rFonts w:ascii="Tahoma"/>
          <w:b/>
          <w:sz w:val="20"/>
        </w:rPr>
      </w:pPr>
    </w:p>
    <w:p w14:paraId="0CA19CFB" w14:textId="2F0FF5EB" w:rsidR="00F52505" w:rsidRDefault="00F52505">
      <w:pPr>
        <w:pStyle w:val="BodyText"/>
        <w:rPr>
          <w:rFonts w:ascii="Tahoma"/>
          <w:b/>
          <w:sz w:val="20"/>
        </w:rPr>
      </w:pPr>
    </w:p>
    <w:p w14:paraId="1259FCB5" w14:textId="21407868" w:rsidR="00F52505" w:rsidRDefault="00F52505">
      <w:pPr>
        <w:pStyle w:val="BodyText"/>
        <w:rPr>
          <w:rFonts w:ascii="Tahoma"/>
          <w:b/>
          <w:sz w:val="20"/>
        </w:rPr>
      </w:pPr>
    </w:p>
    <w:p w14:paraId="415800A7" w14:textId="681DDC75" w:rsidR="00F52505" w:rsidRDefault="00F52505">
      <w:pPr>
        <w:pStyle w:val="BodyText"/>
        <w:rPr>
          <w:rFonts w:ascii="Tahoma"/>
          <w:b/>
          <w:sz w:val="20"/>
        </w:rPr>
      </w:pPr>
    </w:p>
    <w:p w14:paraId="5C9F73E1" w14:textId="6C2D76D9" w:rsidR="00F52505" w:rsidRDefault="00F52505">
      <w:pPr>
        <w:pStyle w:val="BodyText"/>
        <w:rPr>
          <w:rFonts w:ascii="Tahoma"/>
          <w:b/>
          <w:sz w:val="20"/>
        </w:rPr>
      </w:pPr>
    </w:p>
    <w:p w14:paraId="27354331" w14:textId="415F790E" w:rsidR="00F52505" w:rsidRDefault="00F52505">
      <w:pPr>
        <w:pStyle w:val="BodyText"/>
        <w:rPr>
          <w:rFonts w:ascii="Tahoma"/>
          <w:b/>
          <w:sz w:val="20"/>
        </w:rPr>
      </w:pPr>
    </w:p>
    <w:p w14:paraId="06B3E827" w14:textId="3EDDE062" w:rsidR="00F52505" w:rsidRDefault="00F52505">
      <w:pPr>
        <w:pStyle w:val="BodyText"/>
        <w:rPr>
          <w:rFonts w:ascii="Tahoma"/>
          <w:b/>
          <w:sz w:val="20"/>
        </w:rPr>
      </w:pPr>
    </w:p>
    <w:p w14:paraId="60F5DCA0" w14:textId="531DDBD6" w:rsidR="00F52505" w:rsidRDefault="00F52505">
      <w:pPr>
        <w:pStyle w:val="BodyText"/>
        <w:rPr>
          <w:rFonts w:ascii="Tahoma"/>
          <w:b/>
          <w:sz w:val="20"/>
        </w:rPr>
      </w:pPr>
    </w:p>
    <w:p w14:paraId="3B87884B" w14:textId="59848022" w:rsidR="00F52505" w:rsidRDefault="00F52505">
      <w:pPr>
        <w:pStyle w:val="BodyText"/>
        <w:rPr>
          <w:rFonts w:ascii="Tahoma"/>
          <w:b/>
          <w:sz w:val="20"/>
        </w:rPr>
      </w:pPr>
    </w:p>
    <w:p w14:paraId="4B347EDA" w14:textId="37F35D9E" w:rsidR="00F52505" w:rsidRDefault="00F52505">
      <w:pPr>
        <w:pStyle w:val="BodyText"/>
        <w:rPr>
          <w:rFonts w:ascii="Tahoma"/>
          <w:b/>
          <w:sz w:val="20"/>
        </w:rPr>
      </w:pPr>
    </w:p>
    <w:p w14:paraId="0E5B49DF" w14:textId="77777777" w:rsidR="00F52505" w:rsidRPr="00EB2BD8" w:rsidRDefault="00F52505">
      <w:pPr>
        <w:pStyle w:val="BodyText"/>
        <w:rPr>
          <w:rFonts w:ascii="Tahoma"/>
          <w:b/>
          <w:sz w:val="20"/>
        </w:rPr>
      </w:pPr>
    </w:p>
    <w:p w14:paraId="1331A6ED" w14:textId="77777777" w:rsidR="00084F36" w:rsidRPr="00EB2BD8" w:rsidRDefault="00084F36">
      <w:pPr>
        <w:pStyle w:val="BodyText"/>
        <w:rPr>
          <w:rFonts w:ascii="Tahoma"/>
          <w:b/>
          <w:sz w:val="20"/>
        </w:rPr>
      </w:pPr>
    </w:p>
    <w:p w14:paraId="72DD9AC6" w14:textId="77777777" w:rsidR="00084F36" w:rsidRPr="00EB2BD8" w:rsidRDefault="00084F36">
      <w:pPr>
        <w:pStyle w:val="BodyText"/>
        <w:rPr>
          <w:rFonts w:ascii="Tahoma"/>
          <w:b/>
          <w:sz w:val="20"/>
        </w:rPr>
      </w:pPr>
    </w:p>
    <w:p w14:paraId="3A87A57A" w14:textId="77777777" w:rsidR="00084F36" w:rsidRPr="00EB2BD8" w:rsidRDefault="00084F36">
      <w:pPr>
        <w:pStyle w:val="BodyText"/>
        <w:spacing w:before="5"/>
        <w:rPr>
          <w:rFonts w:ascii="Tahoma"/>
          <w:b/>
        </w:rPr>
      </w:pPr>
    </w:p>
    <w:p w14:paraId="6EDC8D54" w14:textId="77777777" w:rsidR="00B83018" w:rsidRDefault="00B83018">
      <w:pPr>
        <w:tabs>
          <w:tab w:val="left" w:pos="1906"/>
        </w:tabs>
        <w:spacing w:before="91"/>
        <w:ind w:left="842"/>
        <w:rPr>
          <w:spacing w:val="-5"/>
          <w:sz w:val="16"/>
        </w:rPr>
      </w:pPr>
    </w:p>
    <w:p w14:paraId="51EA585E" w14:textId="77777777" w:rsidR="00B83018" w:rsidRDefault="00B83018">
      <w:pPr>
        <w:tabs>
          <w:tab w:val="left" w:pos="1906"/>
        </w:tabs>
        <w:spacing w:before="91"/>
        <w:ind w:left="842"/>
        <w:rPr>
          <w:spacing w:val="-5"/>
          <w:sz w:val="16"/>
        </w:rPr>
      </w:pPr>
    </w:p>
    <w:p w14:paraId="09C40CD3" w14:textId="77777777" w:rsidR="00760550" w:rsidRDefault="00760550" w:rsidP="001975DF">
      <w:pPr>
        <w:pStyle w:val="Heading2"/>
      </w:pPr>
    </w:p>
    <w:p w14:paraId="6D1217C6" w14:textId="77777777" w:rsidR="00760550" w:rsidRDefault="00760550" w:rsidP="001975DF">
      <w:pPr>
        <w:pStyle w:val="Heading2"/>
      </w:pPr>
    </w:p>
    <w:p w14:paraId="75637F71" w14:textId="77777777" w:rsidR="00760550" w:rsidRDefault="00760550" w:rsidP="001975DF">
      <w:pPr>
        <w:pStyle w:val="Heading2"/>
      </w:pPr>
    </w:p>
    <w:p w14:paraId="58892080" w14:textId="6A270123" w:rsidR="00084F36" w:rsidRPr="00EB2BD8" w:rsidRDefault="00760550" w:rsidP="001975DF">
      <w:pPr>
        <w:pStyle w:val="Heading2"/>
      </w:pPr>
      <w:bookmarkStart w:id="58" w:name="_Toc150762360"/>
      <w:r>
        <w:lastRenderedPageBreak/>
        <w:t>P</w:t>
      </w:r>
      <w:r w:rsidR="00EB2BD8" w:rsidRPr="00EB2BD8">
        <w:t>roactive</w:t>
      </w:r>
      <w:r w:rsidR="00EB2BD8" w:rsidRPr="00EB2BD8">
        <w:rPr>
          <w:spacing w:val="-22"/>
        </w:rPr>
        <w:t xml:space="preserve"> </w:t>
      </w:r>
      <w:r w:rsidR="00EB2BD8" w:rsidRPr="00EB2BD8">
        <w:t>regulation</w:t>
      </w:r>
      <w:r w:rsidR="00EB2BD8" w:rsidRPr="00EB2BD8">
        <w:rPr>
          <w:spacing w:val="-22"/>
        </w:rPr>
        <w:t xml:space="preserve"> </w:t>
      </w:r>
      <w:r w:rsidR="00EB2BD8" w:rsidRPr="00EB2BD8">
        <w:t>to</w:t>
      </w:r>
      <w:r w:rsidR="00EB2BD8" w:rsidRPr="00EB2BD8">
        <w:rPr>
          <w:spacing w:val="-22"/>
        </w:rPr>
        <w:t xml:space="preserve"> </w:t>
      </w:r>
      <w:r w:rsidR="00EB2BD8" w:rsidRPr="00EB2BD8">
        <w:t>enhance community safety</w:t>
      </w:r>
      <w:bookmarkEnd w:id="58"/>
    </w:p>
    <w:p w14:paraId="1FB0A1AC" w14:textId="77777777" w:rsidR="00084F36" w:rsidRPr="00EB2BD8" w:rsidRDefault="00EB2BD8">
      <w:pPr>
        <w:pStyle w:val="BodyText"/>
        <w:spacing w:before="134" w:line="261" w:lineRule="auto"/>
        <w:ind w:left="846" w:right="672"/>
      </w:pPr>
      <w:r w:rsidRPr="00EB2BD8">
        <w:t>The</w:t>
      </w:r>
      <w:r w:rsidRPr="00EB2BD8">
        <w:rPr>
          <w:spacing w:val="26"/>
        </w:rPr>
        <w:t xml:space="preserve"> </w:t>
      </w:r>
      <w:r w:rsidRPr="00EB2BD8">
        <w:t>Proactive</w:t>
      </w:r>
      <w:r w:rsidRPr="00EB2BD8">
        <w:rPr>
          <w:spacing w:val="26"/>
        </w:rPr>
        <w:t xml:space="preserve"> </w:t>
      </w:r>
      <w:r w:rsidRPr="00EB2BD8">
        <w:t>Inspections</w:t>
      </w:r>
      <w:r w:rsidRPr="00EB2BD8">
        <w:rPr>
          <w:spacing w:val="26"/>
        </w:rPr>
        <w:t xml:space="preserve"> </w:t>
      </w:r>
      <w:r w:rsidRPr="00EB2BD8">
        <w:t>Program</w:t>
      </w:r>
      <w:r w:rsidRPr="00EB2BD8">
        <w:rPr>
          <w:spacing w:val="26"/>
        </w:rPr>
        <w:t xml:space="preserve"> </w:t>
      </w:r>
      <w:r w:rsidRPr="00EB2BD8">
        <w:t>(PIP)</w:t>
      </w:r>
      <w:r w:rsidRPr="00EB2BD8">
        <w:rPr>
          <w:spacing w:val="26"/>
        </w:rPr>
        <w:t xml:space="preserve"> </w:t>
      </w:r>
      <w:r w:rsidRPr="00EB2BD8">
        <w:t>and the Plumbing Audit Program (PAP) focus on the identification and rectification of non-compliant building, plumbing and drainage works on site.</w:t>
      </w:r>
    </w:p>
    <w:p w14:paraId="56370EC9" w14:textId="77777777" w:rsidR="00084F36" w:rsidRPr="00EB2BD8" w:rsidRDefault="00EB2BD8">
      <w:pPr>
        <w:pStyle w:val="BodyText"/>
        <w:spacing w:before="166" w:line="261" w:lineRule="auto"/>
        <w:ind w:left="846"/>
      </w:pPr>
      <w:r w:rsidRPr="00EB2BD8">
        <w:t>The VBA’s Inspection Services team includes highly skilled</w:t>
      </w:r>
      <w:r w:rsidRPr="00EB2BD8">
        <w:rPr>
          <w:spacing w:val="-7"/>
        </w:rPr>
        <w:t xml:space="preserve"> </w:t>
      </w:r>
      <w:r w:rsidRPr="00EB2BD8">
        <w:t>and</w:t>
      </w:r>
      <w:r w:rsidRPr="00EB2BD8">
        <w:rPr>
          <w:spacing w:val="-7"/>
        </w:rPr>
        <w:t xml:space="preserve"> </w:t>
      </w:r>
      <w:r w:rsidRPr="00EB2BD8">
        <w:t>experienced</w:t>
      </w:r>
      <w:r w:rsidRPr="00EB2BD8">
        <w:rPr>
          <w:spacing w:val="-7"/>
        </w:rPr>
        <w:t xml:space="preserve"> </w:t>
      </w:r>
      <w:r w:rsidRPr="00EB2BD8">
        <w:t>registered</w:t>
      </w:r>
      <w:r w:rsidRPr="00EB2BD8">
        <w:rPr>
          <w:spacing w:val="-7"/>
        </w:rPr>
        <w:t xml:space="preserve"> </w:t>
      </w:r>
      <w:r w:rsidRPr="00EB2BD8">
        <w:t>building</w:t>
      </w:r>
      <w:r w:rsidRPr="00EB2BD8">
        <w:rPr>
          <w:spacing w:val="-7"/>
        </w:rPr>
        <w:t xml:space="preserve"> </w:t>
      </w:r>
      <w:r w:rsidRPr="00EB2BD8">
        <w:t>inspectors, building surveyors and licensed plumbers. This team undertakes</w:t>
      </w:r>
      <w:r w:rsidRPr="00EB2BD8">
        <w:rPr>
          <w:spacing w:val="-5"/>
        </w:rPr>
        <w:t xml:space="preserve"> </w:t>
      </w:r>
      <w:r w:rsidRPr="00EB2BD8">
        <w:t>a</w:t>
      </w:r>
      <w:r w:rsidRPr="00EB2BD8">
        <w:rPr>
          <w:spacing w:val="-5"/>
        </w:rPr>
        <w:t xml:space="preserve"> </w:t>
      </w:r>
      <w:r w:rsidRPr="00EB2BD8">
        <w:t>large</w:t>
      </w:r>
      <w:r w:rsidRPr="00EB2BD8">
        <w:rPr>
          <w:spacing w:val="-5"/>
        </w:rPr>
        <w:t xml:space="preserve"> </w:t>
      </w:r>
      <w:r w:rsidRPr="00EB2BD8">
        <w:t>volume</w:t>
      </w:r>
      <w:r w:rsidRPr="00EB2BD8">
        <w:rPr>
          <w:spacing w:val="-5"/>
        </w:rPr>
        <w:t xml:space="preserve"> </w:t>
      </w:r>
      <w:r w:rsidRPr="00EB2BD8">
        <w:t>of</w:t>
      </w:r>
      <w:r w:rsidRPr="00EB2BD8">
        <w:rPr>
          <w:spacing w:val="-5"/>
        </w:rPr>
        <w:t xml:space="preserve"> </w:t>
      </w:r>
      <w:r w:rsidRPr="00EB2BD8">
        <w:t>inspections</w:t>
      </w:r>
      <w:r w:rsidRPr="00EB2BD8">
        <w:rPr>
          <w:spacing w:val="-5"/>
        </w:rPr>
        <w:t xml:space="preserve"> </w:t>
      </w:r>
      <w:r w:rsidRPr="00EB2BD8">
        <w:t>and</w:t>
      </w:r>
      <w:r w:rsidRPr="00EB2BD8">
        <w:rPr>
          <w:spacing w:val="-5"/>
        </w:rPr>
        <w:t xml:space="preserve"> </w:t>
      </w:r>
      <w:r w:rsidRPr="00EB2BD8">
        <w:t>audits</w:t>
      </w:r>
      <w:r w:rsidRPr="00EB2BD8">
        <w:rPr>
          <w:spacing w:val="-5"/>
        </w:rPr>
        <w:t xml:space="preserve"> </w:t>
      </w:r>
      <w:r w:rsidRPr="00EB2BD8">
        <w:t>of both domestic and commercial building sites.</w:t>
      </w:r>
    </w:p>
    <w:p w14:paraId="193F23EB" w14:textId="77777777" w:rsidR="00084F36" w:rsidRPr="00EB2BD8" w:rsidRDefault="00EB2BD8">
      <w:pPr>
        <w:pStyle w:val="BodyText"/>
        <w:spacing w:before="108" w:line="261" w:lineRule="auto"/>
        <w:ind w:left="846" w:right="22"/>
      </w:pPr>
      <w:r w:rsidRPr="00EB2BD8">
        <w:t>The most prevalent non-compliant areas identified by Inspection Services were consistent across the year and the</w:t>
      </w:r>
      <w:r w:rsidRPr="00EB2BD8">
        <w:rPr>
          <w:spacing w:val="-8"/>
        </w:rPr>
        <w:t xml:space="preserve"> </w:t>
      </w:r>
      <w:r w:rsidRPr="00EB2BD8">
        <w:t>VBA</w:t>
      </w:r>
      <w:r w:rsidRPr="00EB2BD8">
        <w:rPr>
          <w:spacing w:val="-8"/>
        </w:rPr>
        <w:t xml:space="preserve"> </w:t>
      </w:r>
      <w:r w:rsidRPr="00EB2BD8">
        <w:t>continues</w:t>
      </w:r>
      <w:r w:rsidRPr="00EB2BD8">
        <w:rPr>
          <w:spacing w:val="-8"/>
        </w:rPr>
        <w:t xml:space="preserve"> </w:t>
      </w:r>
      <w:r w:rsidRPr="00EB2BD8">
        <w:t>to</w:t>
      </w:r>
      <w:r w:rsidRPr="00EB2BD8">
        <w:rPr>
          <w:spacing w:val="-8"/>
        </w:rPr>
        <w:t xml:space="preserve"> </w:t>
      </w:r>
      <w:r w:rsidRPr="00EB2BD8">
        <w:t>work</w:t>
      </w:r>
      <w:r w:rsidRPr="00EB2BD8">
        <w:rPr>
          <w:spacing w:val="-8"/>
        </w:rPr>
        <w:t xml:space="preserve"> </w:t>
      </w:r>
      <w:r w:rsidRPr="00EB2BD8">
        <w:t>with</w:t>
      </w:r>
      <w:r w:rsidRPr="00EB2BD8">
        <w:rPr>
          <w:spacing w:val="-8"/>
        </w:rPr>
        <w:t xml:space="preserve"> </w:t>
      </w:r>
      <w:r w:rsidRPr="00EB2BD8">
        <w:t>industry</w:t>
      </w:r>
      <w:r w:rsidRPr="00EB2BD8">
        <w:rPr>
          <w:spacing w:val="-8"/>
        </w:rPr>
        <w:t xml:space="preserve"> </w:t>
      </w:r>
      <w:r w:rsidRPr="00EB2BD8">
        <w:t>stakeholders</w:t>
      </w:r>
      <w:r w:rsidRPr="00EB2BD8">
        <w:rPr>
          <w:spacing w:val="-8"/>
        </w:rPr>
        <w:t xml:space="preserve"> </w:t>
      </w:r>
      <w:r w:rsidRPr="00EB2BD8">
        <w:t>to consider</w:t>
      </w:r>
      <w:r w:rsidRPr="00EB2BD8">
        <w:rPr>
          <w:spacing w:val="-3"/>
        </w:rPr>
        <w:t xml:space="preserve"> </w:t>
      </w:r>
      <w:r w:rsidRPr="00EB2BD8">
        <w:t>options</w:t>
      </w:r>
      <w:r w:rsidRPr="00EB2BD8">
        <w:rPr>
          <w:spacing w:val="-3"/>
        </w:rPr>
        <w:t xml:space="preserve"> </w:t>
      </w:r>
      <w:r w:rsidRPr="00EB2BD8">
        <w:t>that</w:t>
      </w:r>
      <w:r w:rsidRPr="00EB2BD8">
        <w:rPr>
          <w:spacing w:val="-3"/>
        </w:rPr>
        <w:t xml:space="preserve"> </w:t>
      </w:r>
      <w:r w:rsidRPr="00EB2BD8">
        <w:t>may</w:t>
      </w:r>
      <w:r w:rsidRPr="00EB2BD8">
        <w:rPr>
          <w:spacing w:val="-3"/>
        </w:rPr>
        <w:t xml:space="preserve"> </w:t>
      </w:r>
      <w:r w:rsidRPr="00EB2BD8">
        <w:t>assist</w:t>
      </w:r>
      <w:r w:rsidRPr="00EB2BD8">
        <w:rPr>
          <w:spacing w:val="-3"/>
        </w:rPr>
        <w:t xml:space="preserve"> </w:t>
      </w:r>
      <w:r w:rsidRPr="00EB2BD8">
        <w:t>practitioners</w:t>
      </w:r>
      <w:r w:rsidRPr="00EB2BD8">
        <w:rPr>
          <w:spacing w:val="-3"/>
        </w:rPr>
        <w:t xml:space="preserve"> </w:t>
      </w:r>
      <w:r w:rsidRPr="00EB2BD8">
        <w:t>to</w:t>
      </w:r>
      <w:r w:rsidRPr="00EB2BD8">
        <w:rPr>
          <w:spacing w:val="-3"/>
        </w:rPr>
        <w:t xml:space="preserve"> </w:t>
      </w:r>
      <w:r w:rsidRPr="00EB2BD8">
        <w:t>reduce areas of non-compliance. Building non-compliances related to timber framing, waterproofing and external weatherproofing, fire separations and wall cladding</w:t>
      </w:r>
      <w:r w:rsidRPr="00EB2BD8">
        <w:rPr>
          <w:spacing w:val="80"/>
        </w:rPr>
        <w:t xml:space="preserve"> </w:t>
      </w:r>
      <w:r w:rsidRPr="00EB2BD8">
        <w:t>and</w:t>
      </w:r>
      <w:r w:rsidRPr="00EB2BD8">
        <w:rPr>
          <w:spacing w:val="-3"/>
        </w:rPr>
        <w:t xml:space="preserve"> </w:t>
      </w:r>
      <w:r w:rsidRPr="00EB2BD8">
        <w:t>footings</w:t>
      </w:r>
      <w:r w:rsidRPr="00EB2BD8">
        <w:rPr>
          <w:spacing w:val="-3"/>
        </w:rPr>
        <w:t xml:space="preserve"> </w:t>
      </w:r>
      <w:r w:rsidRPr="00EB2BD8">
        <w:t>and</w:t>
      </w:r>
      <w:r w:rsidRPr="00EB2BD8">
        <w:rPr>
          <w:spacing w:val="-3"/>
        </w:rPr>
        <w:t xml:space="preserve"> </w:t>
      </w:r>
      <w:r w:rsidRPr="00EB2BD8">
        <w:t>slabs</w:t>
      </w:r>
      <w:r w:rsidRPr="00EB2BD8">
        <w:rPr>
          <w:spacing w:val="-3"/>
        </w:rPr>
        <w:t xml:space="preserve"> </w:t>
      </w:r>
      <w:r w:rsidRPr="00EB2BD8">
        <w:t>were</w:t>
      </w:r>
      <w:r w:rsidRPr="00EB2BD8">
        <w:rPr>
          <w:spacing w:val="-3"/>
        </w:rPr>
        <w:t xml:space="preserve"> </w:t>
      </w:r>
      <w:r w:rsidRPr="00EB2BD8">
        <w:t>among</w:t>
      </w:r>
      <w:r w:rsidRPr="00EB2BD8">
        <w:rPr>
          <w:spacing w:val="-3"/>
        </w:rPr>
        <w:t xml:space="preserve"> </w:t>
      </w:r>
      <w:r w:rsidRPr="00EB2BD8">
        <w:t>the</w:t>
      </w:r>
      <w:r w:rsidRPr="00EB2BD8">
        <w:rPr>
          <w:spacing w:val="-3"/>
        </w:rPr>
        <w:t xml:space="preserve"> </w:t>
      </w:r>
      <w:r w:rsidRPr="00EB2BD8">
        <w:t>most</w:t>
      </w:r>
      <w:r w:rsidRPr="00EB2BD8">
        <w:rPr>
          <w:spacing w:val="-3"/>
        </w:rPr>
        <w:t xml:space="preserve"> </w:t>
      </w:r>
      <w:r w:rsidRPr="00EB2BD8">
        <w:t>prevalent. General gas installation, sanitary plumbing systems</w:t>
      </w:r>
      <w:r w:rsidRPr="00EB2BD8">
        <w:rPr>
          <w:spacing w:val="80"/>
        </w:rPr>
        <w:t xml:space="preserve"> </w:t>
      </w:r>
      <w:r w:rsidRPr="00EB2BD8">
        <w:t>and roof drainage systems were among the most prevalent plumbing non-compliances identified.</w:t>
      </w:r>
    </w:p>
    <w:p w14:paraId="26519B41" w14:textId="77777777" w:rsidR="00084F36" w:rsidRPr="00EB2BD8" w:rsidRDefault="00EB2BD8">
      <w:pPr>
        <w:pStyle w:val="BodyText"/>
        <w:spacing w:before="102" w:line="261" w:lineRule="auto"/>
        <w:ind w:left="846" w:right="217"/>
      </w:pPr>
      <w:r w:rsidRPr="00EB2BD8">
        <w:t>By</w:t>
      </w:r>
      <w:r w:rsidRPr="00EB2BD8">
        <w:rPr>
          <w:spacing w:val="-6"/>
        </w:rPr>
        <w:t xml:space="preserve"> </w:t>
      </w:r>
      <w:r w:rsidRPr="00EB2BD8">
        <w:t>proactively</w:t>
      </w:r>
      <w:r w:rsidRPr="00EB2BD8">
        <w:rPr>
          <w:spacing w:val="-6"/>
        </w:rPr>
        <w:t xml:space="preserve"> </w:t>
      </w:r>
      <w:r w:rsidRPr="00EB2BD8">
        <w:t>inspecting</w:t>
      </w:r>
      <w:r w:rsidRPr="00EB2BD8">
        <w:rPr>
          <w:spacing w:val="-6"/>
        </w:rPr>
        <w:t xml:space="preserve"> </w:t>
      </w:r>
      <w:r w:rsidRPr="00EB2BD8">
        <w:t>building</w:t>
      </w:r>
      <w:r w:rsidRPr="00EB2BD8">
        <w:rPr>
          <w:spacing w:val="-6"/>
        </w:rPr>
        <w:t xml:space="preserve"> </w:t>
      </w:r>
      <w:r w:rsidRPr="00EB2BD8">
        <w:t>and</w:t>
      </w:r>
      <w:r w:rsidRPr="00EB2BD8">
        <w:rPr>
          <w:spacing w:val="-6"/>
        </w:rPr>
        <w:t xml:space="preserve"> </w:t>
      </w:r>
      <w:r w:rsidRPr="00EB2BD8">
        <w:t>plumbing</w:t>
      </w:r>
      <w:r w:rsidRPr="00EB2BD8">
        <w:rPr>
          <w:spacing w:val="-6"/>
        </w:rPr>
        <w:t xml:space="preserve"> </w:t>
      </w:r>
      <w:r w:rsidRPr="00EB2BD8">
        <w:t>work during construction, the VBA engages with industry</w:t>
      </w:r>
      <w:r w:rsidRPr="00EB2BD8">
        <w:rPr>
          <w:spacing w:val="40"/>
        </w:rPr>
        <w:t xml:space="preserve"> </w:t>
      </w:r>
      <w:r w:rsidRPr="00EB2BD8">
        <w:t>to build trust, educates building and plumbing practitioners as the construction industry evolves</w:t>
      </w:r>
      <w:r w:rsidRPr="00EB2BD8">
        <w:rPr>
          <w:spacing w:val="80"/>
        </w:rPr>
        <w:t xml:space="preserve"> </w:t>
      </w:r>
      <w:r w:rsidRPr="00EB2BD8">
        <w:t>and ensures practitioners meet their obligations and</w:t>
      </w:r>
    </w:p>
    <w:p w14:paraId="23BDDEE3" w14:textId="77777777" w:rsidR="00084F36" w:rsidRPr="00EB2BD8" w:rsidRDefault="00EB2BD8">
      <w:pPr>
        <w:spacing w:line="207" w:lineRule="exact"/>
        <w:ind w:left="846"/>
        <w:rPr>
          <w:sz w:val="18"/>
        </w:rPr>
      </w:pPr>
      <w:r w:rsidRPr="00EB2BD8">
        <w:rPr>
          <w:spacing w:val="-2"/>
          <w:sz w:val="18"/>
        </w:rPr>
        <w:t>functions</w:t>
      </w:r>
      <w:r w:rsidRPr="00EB2BD8">
        <w:rPr>
          <w:spacing w:val="-5"/>
          <w:sz w:val="18"/>
        </w:rPr>
        <w:t xml:space="preserve"> </w:t>
      </w:r>
      <w:r w:rsidRPr="00EB2BD8">
        <w:rPr>
          <w:spacing w:val="-2"/>
          <w:sz w:val="18"/>
        </w:rPr>
        <w:t>under</w:t>
      </w:r>
      <w:r w:rsidRPr="00EB2BD8">
        <w:rPr>
          <w:spacing w:val="-4"/>
          <w:sz w:val="18"/>
        </w:rPr>
        <w:t xml:space="preserve"> </w:t>
      </w:r>
      <w:r w:rsidRPr="00EB2BD8">
        <w:rPr>
          <w:spacing w:val="-2"/>
          <w:sz w:val="18"/>
        </w:rPr>
        <w:t>the</w:t>
      </w:r>
      <w:r w:rsidRPr="00EB2BD8">
        <w:rPr>
          <w:spacing w:val="-5"/>
          <w:sz w:val="18"/>
        </w:rPr>
        <w:t xml:space="preserve"> </w:t>
      </w:r>
      <w:r w:rsidRPr="00EB2BD8">
        <w:rPr>
          <w:i/>
          <w:spacing w:val="-2"/>
          <w:sz w:val="18"/>
        </w:rPr>
        <w:t>Building</w:t>
      </w:r>
      <w:r w:rsidRPr="00EB2BD8">
        <w:rPr>
          <w:i/>
          <w:spacing w:val="-4"/>
          <w:sz w:val="18"/>
        </w:rPr>
        <w:t xml:space="preserve"> </w:t>
      </w:r>
      <w:r w:rsidRPr="00EB2BD8">
        <w:rPr>
          <w:i/>
          <w:spacing w:val="-2"/>
          <w:sz w:val="18"/>
        </w:rPr>
        <w:t>Act</w:t>
      </w:r>
      <w:r w:rsidRPr="00EB2BD8">
        <w:rPr>
          <w:i/>
          <w:spacing w:val="-5"/>
          <w:sz w:val="18"/>
        </w:rPr>
        <w:t xml:space="preserve"> </w:t>
      </w:r>
      <w:r w:rsidRPr="00EB2BD8">
        <w:rPr>
          <w:i/>
          <w:spacing w:val="-2"/>
          <w:sz w:val="18"/>
        </w:rPr>
        <w:t>1993</w:t>
      </w:r>
      <w:r w:rsidRPr="00EB2BD8">
        <w:rPr>
          <w:i/>
          <w:spacing w:val="-4"/>
          <w:sz w:val="18"/>
        </w:rPr>
        <w:t xml:space="preserve"> </w:t>
      </w:r>
      <w:r w:rsidRPr="00EB2BD8">
        <w:rPr>
          <w:spacing w:val="-2"/>
          <w:sz w:val="18"/>
        </w:rPr>
        <w:t>and</w:t>
      </w:r>
      <w:r w:rsidRPr="00EB2BD8">
        <w:rPr>
          <w:spacing w:val="-4"/>
          <w:sz w:val="18"/>
        </w:rPr>
        <w:t xml:space="preserve"> </w:t>
      </w:r>
      <w:r w:rsidRPr="00EB2BD8">
        <w:rPr>
          <w:spacing w:val="-2"/>
          <w:sz w:val="18"/>
        </w:rPr>
        <w:t>Regulations.</w:t>
      </w:r>
    </w:p>
    <w:p w14:paraId="461C6EE0" w14:textId="77777777" w:rsidR="00084F36" w:rsidRPr="00EB2BD8" w:rsidRDefault="00EB2BD8">
      <w:pPr>
        <w:pStyle w:val="BodyText"/>
        <w:spacing w:before="131" w:line="261" w:lineRule="auto"/>
        <w:ind w:left="846" w:right="144"/>
      </w:pPr>
      <w:r w:rsidRPr="00EB2BD8">
        <w:t>The</w:t>
      </w:r>
      <w:r w:rsidRPr="00EB2BD8">
        <w:rPr>
          <w:spacing w:val="-2"/>
        </w:rPr>
        <w:t xml:space="preserve"> </w:t>
      </w:r>
      <w:r w:rsidRPr="00EB2BD8">
        <w:t>VBA</w:t>
      </w:r>
      <w:r w:rsidRPr="00EB2BD8">
        <w:rPr>
          <w:spacing w:val="-2"/>
        </w:rPr>
        <w:t xml:space="preserve"> </w:t>
      </w:r>
      <w:r w:rsidRPr="00EB2BD8">
        <w:t>publishes</w:t>
      </w:r>
      <w:r w:rsidRPr="00EB2BD8">
        <w:rPr>
          <w:spacing w:val="-2"/>
        </w:rPr>
        <w:t xml:space="preserve"> </w:t>
      </w:r>
      <w:r w:rsidRPr="00EB2BD8">
        <w:t>quarterly</w:t>
      </w:r>
      <w:r w:rsidRPr="00EB2BD8">
        <w:rPr>
          <w:spacing w:val="-2"/>
        </w:rPr>
        <w:t xml:space="preserve"> </w:t>
      </w:r>
      <w:r w:rsidRPr="00EB2BD8">
        <w:t>PIP</w:t>
      </w:r>
      <w:r w:rsidRPr="00EB2BD8">
        <w:rPr>
          <w:spacing w:val="-2"/>
        </w:rPr>
        <w:t xml:space="preserve"> </w:t>
      </w:r>
      <w:r w:rsidRPr="00EB2BD8">
        <w:t>reports</w:t>
      </w:r>
      <w:r w:rsidRPr="00EB2BD8">
        <w:rPr>
          <w:spacing w:val="-2"/>
        </w:rPr>
        <w:t xml:space="preserve"> </w:t>
      </w:r>
      <w:r w:rsidRPr="00EB2BD8">
        <w:t>that</w:t>
      </w:r>
      <w:r w:rsidRPr="00EB2BD8">
        <w:rPr>
          <w:spacing w:val="-2"/>
        </w:rPr>
        <w:t xml:space="preserve"> </w:t>
      </w:r>
      <w:r w:rsidRPr="00EB2BD8">
        <w:t xml:space="preserve">empower and educate both practitioners and consumers, supporting a robust and high-quality construction sector. The reports are available on the VBA website: </w:t>
      </w:r>
      <w:r w:rsidRPr="00EB2BD8">
        <w:rPr>
          <w:spacing w:val="-2"/>
        </w:rPr>
        <w:t>vba.vic.gov.au/plumbing/proactive-inspections- program/quarterly-reports.</w:t>
      </w:r>
    </w:p>
    <w:p w14:paraId="4BD65AFF" w14:textId="77777777" w:rsidR="00084F36" w:rsidRPr="00EB2BD8" w:rsidRDefault="00EB2BD8">
      <w:pPr>
        <w:pStyle w:val="BodyText"/>
        <w:spacing w:before="108" w:line="261" w:lineRule="auto"/>
        <w:ind w:left="846" w:right="144"/>
      </w:pPr>
      <w:r w:rsidRPr="00EB2BD8">
        <w:t>In</w:t>
      </w:r>
      <w:r w:rsidRPr="00EB2BD8">
        <w:rPr>
          <w:spacing w:val="-14"/>
        </w:rPr>
        <w:t xml:space="preserve"> </w:t>
      </w:r>
      <w:r w:rsidRPr="00EB2BD8">
        <w:t>2022-23,</w:t>
      </w:r>
      <w:r w:rsidRPr="00EB2BD8">
        <w:rPr>
          <w:spacing w:val="-14"/>
        </w:rPr>
        <w:t xml:space="preserve"> </w:t>
      </w:r>
      <w:r w:rsidRPr="00EB2BD8">
        <w:t>the</w:t>
      </w:r>
      <w:r w:rsidRPr="00EB2BD8">
        <w:rPr>
          <w:spacing w:val="-14"/>
        </w:rPr>
        <w:t xml:space="preserve"> </w:t>
      </w:r>
      <w:r w:rsidRPr="00EB2BD8">
        <w:t>VBA</w:t>
      </w:r>
      <w:r w:rsidRPr="00EB2BD8">
        <w:rPr>
          <w:spacing w:val="-14"/>
        </w:rPr>
        <w:t xml:space="preserve"> </w:t>
      </w:r>
      <w:r w:rsidRPr="00EB2BD8">
        <w:t>inspected</w:t>
      </w:r>
      <w:r w:rsidRPr="00EB2BD8">
        <w:rPr>
          <w:spacing w:val="-14"/>
        </w:rPr>
        <w:t xml:space="preserve"> </w:t>
      </w:r>
      <w:r w:rsidRPr="00EB2BD8">
        <w:t>8,233</w:t>
      </w:r>
      <w:r w:rsidRPr="00EB2BD8">
        <w:rPr>
          <w:spacing w:val="-14"/>
        </w:rPr>
        <w:t xml:space="preserve"> </w:t>
      </w:r>
      <w:r w:rsidRPr="00EB2BD8">
        <w:t>building</w:t>
      </w:r>
      <w:r w:rsidRPr="00EB2BD8">
        <w:rPr>
          <w:spacing w:val="-14"/>
        </w:rPr>
        <w:t xml:space="preserve"> </w:t>
      </w:r>
      <w:r w:rsidRPr="00EB2BD8">
        <w:t xml:space="preserve">permits, </w:t>
      </w:r>
      <w:r w:rsidRPr="00EB2BD8">
        <w:rPr>
          <w:spacing w:val="-2"/>
        </w:rPr>
        <w:t>or</w:t>
      </w:r>
      <w:r w:rsidRPr="00EB2BD8">
        <w:rPr>
          <w:spacing w:val="-12"/>
        </w:rPr>
        <w:t xml:space="preserve"> </w:t>
      </w:r>
      <w:r w:rsidRPr="00EB2BD8">
        <w:rPr>
          <w:spacing w:val="-2"/>
        </w:rPr>
        <w:t>7.67</w:t>
      </w:r>
      <w:r w:rsidRPr="00EB2BD8">
        <w:rPr>
          <w:spacing w:val="-12"/>
        </w:rPr>
        <w:t xml:space="preserve"> </w:t>
      </w:r>
      <w:r w:rsidRPr="00EB2BD8">
        <w:rPr>
          <w:spacing w:val="-2"/>
        </w:rPr>
        <w:t>per</w:t>
      </w:r>
      <w:r w:rsidRPr="00EB2BD8">
        <w:rPr>
          <w:spacing w:val="-12"/>
        </w:rPr>
        <w:t xml:space="preserve"> </w:t>
      </w:r>
      <w:r w:rsidRPr="00EB2BD8">
        <w:rPr>
          <w:spacing w:val="-2"/>
        </w:rPr>
        <w:t>cent</w:t>
      </w:r>
      <w:r w:rsidRPr="00EB2BD8">
        <w:rPr>
          <w:spacing w:val="-12"/>
        </w:rPr>
        <w:t xml:space="preserve"> </w:t>
      </w:r>
      <w:r w:rsidRPr="00EB2BD8">
        <w:rPr>
          <w:spacing w:val="-2"/>
        </w:rPr>
        <w:t>of</w:t>
      </w:r>
      <w:r w:rsidRPr="00EB2BD8">
        <w:rPr>
          <w:spacing w:val="-12"/>
        </w:rPr>
        <w:t xml:space="preserve"> </w:t>
      </w:r>
      <w:r w:rsidRPr="00EB2BD8">
        <w:rPr>
          <w:spacing w:val="-2"/>
        </w:rPr>
        <w:t>all</w:t>
      </w:r>
      <w:r w:rsidRPr="00EB2BD8">
        <w:rPr>
          <w:spacing w:val="-12"/>
        </w:rPr>
        <w:t xml:space="preserve"> </w:t>
      </w:r>
      <w:r w:rsidRPr="00EB2BD8">
        <w:rPr>
          <w:spacing w:val="-2"/>
        </w:rPr>
        <w:t>permits</w:t>
      </w:r>
      <w:r w:rsidRPr="00EB2BD8">
        <w:rPr>
          <w:spacing w:val="-12"/>
        </w:rPr>
        <w:t xml:space="preserve"> </w:t>
      </w:r>
      <w:r w:rsidRPr="00EB2BD8">
        <w:rPr>
          <w:spacing w:val="-2"/>
        </w:rPr>
        <w:t>issued</w:t>
      </w:r>
      <w:r w:rsidRPr="00EB2BD8">
        <w:rPr>
          <w:spacing w:val="-12"/>
        </w:rPr>
        <w:t xml:space="preserve"> </w:t>
      </w:r>
      <w:r w:rsidRPr="00EB2BD8">
        <w:rPr>
          <w:spacing w:val="-2"/>
        </w:rPr>
        <w:t>this</w:t>
      </w:r>
      <w:r w:rsidRPr="00EB2BD8">
        <w:rPr>
          <w:spacing w:val="-12"/>
        </w:rPr>
        <w:t xml:space="preserve"> </w:t>
      </w:r>
      <w:r w:rsidRPr="00EB2BD8">
        <w:rPr>
          <w:spacing w:val="-2"/>
        </w:rPr>
        <w:t>financial</w:t>
      </w:r>
      <w:r w:rsidRPr="00EB2BD8">
        <w:rPr>
          <w:spacing w:val="-12"/>
        </w:rPr>
        <w:t xml:space="preserve"> </w:t>
      </w:r>
      <w:r w:rsidRPr="00EB2BD8">
        <w:rPr>
          <w:spacing w:val="-2"/>
        </w:rPr>
        <w:t xml:space="preserve">year. </w:t>
      </w:r>
      <w:r w:rsidRPr="00EB2BD8">
        <w:t>The VBA has adopted a greater focus on a harms- based approach to inspections activities. The VBA identifies harms in the built environment and focuses</w:t>
      </w:r>
    </w:p>
    <w:p w14:paraId="796DB762" w14:textId="77777777" w:rsidR="00084F36" w:rsidRPr="00EB2BD8" w:rsidRDefault="00EB2BD8">
      <w:pPr>
        <w:pStyle w:val="BodyText"/>
        <w:spacing w:line="261" w:lineRule="auto"/>
        <w:ind w:left="846"/>
      </w:pPr>
      <w:r w:rsidRPr="00EB2BD8">
        <w:t>its</w:t>
      </w:r>
      <w:r w:rsidRPr="00EB2BD8">
        <w:rPr>
          <w:spacing w:val="-3"/>
        </w:rPr>
        <w:t xml:space="preserve"> </w:t>
      </w:r>
      <w:r w:rsidRPr="00EB2BD8">
        <w:t>resources</w:t>
      </w:r>
      <w:r w:rsidRPr="00EB2BD8">
        <w:rPr>
          <w:spacing w:val="-3"/>
        </w:rPr>
        <w:t xml:space="preserve"> </w:t>
      </w:r>
      <w:r w:rsidRPr="00EB2BD8">
        <w:t>on</w:t>
      </w:r>
      <w:r w:rsidRPr="00EB2BD8">
        <w:rPr>
          <w:spacing w:val="-3"/>
        </w:rPr>
        <w:t xml:space="preserve"> </w:t>
      </w:r>
      <w:r w:rsidRPr="00EB2BD8">
        <w:t>activities</w:t>
      </w:r>
      <w:r w:rsidRPr="00EB2BD8">
        <w:rPr>
          <w:spacing w:val="-3"/>
        </w:rPr>
        <w:t xml:space="preserve"> </w:t>
      </w:r>
      <w:r w:rsidRPr="00EB2BD8">
        <w:t>and</w:t>
      </w:r>
      <w:r w:rsidRPr="00EB2BD8">
        <w:rPr>
          <w:spacing w:val="-3"/>
        </w:rPr>
        <w:t xml:space="preserve"> </w:t>
      </w:r>
      <w:r w:rsidRPr="00EB2BD8">
        <w:t>behaviours</w:t>
      </w:r>
      <w:r w:rsidRPr="00EB2BD8">
        <w:rPr>
          <w:spacing w:val="-3"/>
        </w:rPr>
        <w:t xml:space="preserve"> </w:t>
      </w:r>
      <w:r w:rsidRPr="00EB2BD8">
        <w:t>that</w:t>
      </w:r>
      <w:r w:rsidRPr="00EB2BD8">
        <w:rPr>
          <w:spacing w:val="-3"/>
        </w:rPr>
        <w:t xml:space="preserve"> </w:t>
      </w:r>
      <w:r w:rsidRPr="00EB2BD8">
        <w:t>pose</w:t>
      </w:r>
      <w:r w:rsidRPr="00EB2BD8">
        <w:rPr>
          <w:spacing w:val="-3"/>
        </w:rPr>
        <w:t xml:space="preserve"> </w:t>
      </w:r>
      <w:r w:rsidRPr="00EB2BD8">
        <w:t>the greatest harm, or risk of harm, in accordance with our risk appetite and other risk management strategies.</w:t>
      </w:r>
    </w:p>
    <w:p w14:paraId="6FFF8701" w14:textId="051D0931" w:rsidR="00084F36" w:rsidRPr="00EB2BD8" w:rsidRDefault="00EB2BD8" w:rsidP="00760550">
      <w:pPr>
        <w:pStyle w:val="BodyText"/>
        <w:spacing w:before="108" w:line="261" w:lineRule="auto"/>
        <w:ind w:left="394" w:right="685"/>
      </w:pPr>
      <w:r w:rsidRPr="00EB2BD8">
        <w:br w:type="column"/>
      </w:r>
      <w:r w:rsidRPr="00EB2BD8">
        <w:lastRenderedPageBreak/>
        <w:t>As</w:t>
      </w:r>
      <w:r w:rsidRPr="00760550">
        <w:t xml:space="preserve"> </w:t>
      </w:r>
      <w:r w:rsidRPr="00EB2BD8">
        <w:t>a</w:t>
      </w:r>
      <w:r w:rsidRPr="00760550">
        <w:t xml:space="preserve"> </w:t>
      </w:r>
      <w:r w:rsidRPr="00EB2BD8">
        <w:t>result,</w:t>
      </w:r>
      <w:r w:rsidRPr="00760550">
        <w:t xml:space="preserve"> </w:t>
      </w:r>
      <w:r w:rsidRPr="00EB2BD8">
        <w:t>3,389</w:t>
      </w:r>
      <w:r w:rsidRPr="00760550">
        <w:t xml:space="preserve"> </w:t>
      </w:r>
      <w:r w:rsidRPr="00EB2BD8">
        <w:t>notifications</w:t>
      </w:r>
      <w:r w:rsidRPr="00760550">
        <w:t xml:space="preserve"> </w:t>
      </w:r>
      <w:r w:rsidRPr="00EB2BD8">
        <w:t>were</w:t>
      </w:r>
      <w:r w:rsidRPr="00760550">
        <w:t xml:space="preserve"> </w:t>
      </w:r>
      <w:r w:rsidRPr="00EB2BD8">
        <w:t>sent</w:t>
      </w:r>
      <w:r w:rsidRPr="00760550">
        <w:t xml:space="preserve"> </w:t>
      </w:r>
      <w:r w:rsidRPr="00EB2BD8">
        <w:t>to</w:t>
      </w:r>
      <w:r w:rsidRPr="00760550">
        <w:t xml:space="preserve"> </w:t>
      </w:r>
      <w:r w:rsidRPr="00EB2BD8">
        <w:t>1,602 practitioners,</w:t>
      </w:r>
      <w:r w:rsidRPr="00760550">
        <w:t xml:space="preserve"> </w:t>
      </w:r>
      <w:r w:rsidRPr="00EB2BD8">
        <w:t>requiring</w:t>
      </w:r>
      <w:r w:rsidRPr="00760550">
        <w:t xml:space="preserve"> </w:t>
      </w:r>
      <w:r w:rsidRPr="00EB2BD8">
        <w:t>compliance</w:t>
      </w:r>
      <w:r w:rsidRPr="00760550">
        <w:t xml:space="preserve"> </w:t>
      </w:r>
      <w:r w:rsidRPr="00EB2BD8">
        <w:t>risks</w:t>
      </w:r>
      <w:r w:rsidRPr="00760550">
        <w:t xml:space="preserve"> </w:t>
      </w:r>
      <w:r w:rsidRPr="00EB2BD8">
        <w:t>to</w:t>
      </w:r>
      <w:r w:rsidRPr="00760550">
        <w:t xml:space="preserve"> </w:t>
      </w:r>
      <w:r w:rsidRPr="00EB2BD8">
        <w:t>be</w:t>
      </w:r>
      <w:r w:rsidRPr="00760550">
        <w:t xml:space="preserve"> </w:t>
      </w:r>
      <w:r w:rsidRPr="00EB2BD8">
        <w:t>addressed. The VBA conducted 7,422 plumbing audits and drain inspections</w:t>
      </w:r>
      <w:r w:rsidRPr="00760550">
        <w:t xml:space="preserve"> </w:t>
      </w:r>
      <w:r w:rsidRPr="00EB2BD8">
        <w:t>as</w:t>
      </w:r>
      <w:r w:rsidRPr="00760550">
        <w:t xml:space="preserve"> </w:t>
      </w:r>
      <w:r w:rsidRPr="00EB2BD8">
        <w:t>part</w:t>
      </w:r>
      <w:r w:rsidRPr="00760550">
        <w:t xml:space="preserve"> </w:t>
      </w:r>
      <w:r w:rsidRPr="00EB2BD8">
        <w:t>of</w:t>
      </w:r>
      <w:r w:rsidRPr="00760550">
        <w:t xml:space="preserve"> </w:t>
      </w:r>
      <w:r w:rsidRPr="00EB2BD8">
        <w:t>PAP,</w:t>
      </w:r>
      <w:r w:rsidRPr="00760550">
        <w:t xml:space="preserve"> </w:t>
      </w:r>
      <w:r w:rsidRPr="00EB2BD8">
        <w:t>with</w:t>
      </w:r>
      <w:r w:rsidRPr="00760550">
        <w:t xml:space="preserve"> </w:t>
      </w:r>
      <w:r w:rsidRPr="00EB2BD8">
        <w:t>2.1</w:t>
      </w:r>
      <w:r w:rsidRPr="00760550">
        <w:t xml:space="preserve"> </w:t>
      </w:r>
      <w:r w:rsidRPr="00EB2BD8">
        <w:t>per</w:t>
      </w:r>
      <w:r w:rsidRPr="00760550">
        <w:t xml:space="preserve"> </w:t>
      </w:r>
      <w:r w:rsidRPr="00EB2BD8">
        <w:t>cent</w:t>
      </w:r>
      <w:r w:rsidRPr="00760550">
        <w:t xml:space="preserve"> </w:t>
      </w:r>
      <w:r w:rsidRPr="00EB2BD8">
        <w:t>of</w:t>
      </w:r>
      <w:r w:rsidRPr="00760550">
        <w:t xml:space="preserve"> </w:t>
      </w:r>
      <w:r w:rsidRPr="00EB2BD8">
        <w:t>lodged compliance certificates inspected in 2022-23.</w:t>
      </w:r>
    </w:p>
    <w:p w14:paraId="38EB3649" w14:textId="77777777" w:rsidR="00084F36" w:rsidRPr="00EB2BD8" w:rsidRDefault="00EB2BD8">
      <w:pPr>
        <w:pStyle w:val="BodyText"/>
        <w:spacing w:before="108" w:line="261" w:lineRule="auto"/>
        <w:ind w:left="394" w:right="685"/>
      </w:pPr>
      <w:r w:rsidRPr="00EB2BD8">
        <w:t>The use of technology in plumbing audits continued an expansion</w:t>
      </w:r>
      <w:r w:rsidRPr="00760550">
        <w:t xml:space="preserve"> </w:t>
      </w:r>
      <w:r w:rsidRPr="00EB2BD8">
        <w:t>to</w:t>
      </w:r>
      <w:r w:rsidRPr="00760550">
        <w:t xml:space="preserve"> </w:t>
      </w:r>
      <w:r w:rsidRPr="00EB2BD8">
        <w:t>the</w:t>
      </w:r>
      <w:r w:rsidRPr="00760550">
        <w:t xml:space="preserve"> </w:t>
      </w:r>
      <w:r w:rsidRPr="00EB2BD8">
        <w:t>capability</w:t>
      </w:r>
      <w:r w:rsidRPr="00760550">
        <w:t xml:space="preserve"> </w:t>
      </w:r>
      <w:r w:rsidRPr="00EB2BD8">
        <w:t>of</w:t>
      </w:r>
      <w:r w:rsidRPr="00760550">
        <w:t xml:space="preserve"> </w:t>
      </w:r>
      <w:r w:rsidRPr="00EB2BD8">
        <w:t>the</w:t>
      </w:r>
      <w:r w:rsidRPr="00760550">
        <w:t xml:space="preserve"> </w:t>
      </w:r>
      <w:r w:rsidRPr="00EB2BD8">
        <w:t>PAP.</w:t>
      </w:r>
      <w:r w:rsidRPr="00760550">
        <w:t xml:space="preserve"> </w:t>
      </w:r>
      <w:r w:rsidRPr="00EB2BD8">
        <w:t>This</w:t>
      </w:r>
      <w:r w:rsidRPr="00760550">
        <w:t xml:space="preserve"> </w:t>
      </w:r>
      <w:r w:rsidRPr="00EB2BD8">
        <w:t>complements the work VBA plumbing auditors do on the ground, with site visits still necessary for a range of works, including roofing, drainage and carbon monoxide testing.</w:t>
      </w:r>
    </w:p>
    <w:p w14:paraId="328E715A" w14:textId="77777777" w:rsidR="00084F36" w:rsidRPr="00EB2BD8" w:rsidRDefault="00EB2BD8">
      <w:pPr>
        <w:pStyle w:val="BodyText"/>
        <w:spacing w:line="261" w:lineRule="auto"/>
        <w:ind w:left="394" w:right="169"/>
      </w:pPr>
      <w:r w:rsidRPr="00EB2BD8">
        <w:t>Where</w:t>
      </w:r>
      <w:r w:rsidRPr="00EB2BD8">
        <w:rPr>
          <w:spacing w:val="-6"/>
        </w:rPr>
        <w:t xml:space="preserve"> </w:t>
      </w:r>
      <w:r w:rsidRPr="00EB2BD8">
        <w:t>suitable,</w:t>
      </w:r>
      <w:r w:rsidRPr="00EB2BD8">
        <w:rPr>
          <w:spacing w:val="-6"/>
        </w:rPr>
        <w:t xml:space="preserve"> </w:t>
      </w:r>
      <w:r w:rsidRPr="00EB2BD8">
        <w:t>the</w:t>
      </w:r>
      <w:r w:rsidRPr="00EB2BD8">
        <w:rPr>
          <w:spacing w:val="-6"/>
        </w:rPr>
        <w:t xml:space="preserve"> </w:t>
      </w:r>
      <w:r w:rsidRPr="00EB2BD8">
        <w:t>VBA</w:t>
      </w:r>
      <w:r w:rsidRPr="00EB2BD8">
        <w:rPr>
          <w:spacing w:val="-6"/>
        </w:rPr>
        <w:t xml:space="preserve"> </w:t>
      </w:r>
      <w:r w:rsidRPr="00EB2BD8">
        <w:t>continued</w:t>
      </w:r>
      <w:r w:rsidRPr="00EB2BD8">
        <w:rPr>
          <w:spacing w:val="-6"/>
        </w:rPr>
        <w:t xml:space="preserve"> </w:t>
      </w:r>
      <w:r w:rsidRPr="00EB2BD8">
        <w:t>to</w:t>
      </w:r>
      <w:r w:rsidRPr="00EB2BD8">
        <w:rPr>
          <w:spacing w:val="-6"/>
        </w:rPr>
        <w:t xml:space="preserve"> </w:t>
      </w:r>
      <w:r w:rsidRPr="00EB2BD8">
        <w:t>undertake</w:t>
      </w:r>
      <w:r w:rsidRPr="00EB2BD8">
        <w:rPr>
          <w:spacing w:val="-6"/>
        </w:rPr>
        <w:t xml:space="preserve"> </w:t>
      </w:r>
      <w:r w:rsidRPr="00EB2BD8">
        <w:t>virtual plumbing</w:t>
      </w:r>
      <w:r w:rsidRPr="00EB2BD8">
        <w:rPr>
          <w:spacing w:val="-8"/>
        </w:rPr>
        <w:t xml:space="preserve"> </w:t>
      </w:r>
      <w:r w:rsidRPr="00EB2BD8">
        <w:t>audits,</w:t>
      </w:r>
      <w:r w:rsidRPr="00EB2BD8">
        <w:rPr>
          <w:spacing w:val="-8"/>
        </w:rPr>
        <w:t xml:space="preserve"> </w:t>
      </w:r>
      <w:r w:rsidRPr="00EB2BD8">
        <w:t>with</w:t>
      </w:r>
      <w:r w:rsidRPr="00EB2BD8">
        <w:rPr>
          <w:spacing w:val="-8"/>
        </w:rPr>
        <w:t xml:space="preserve"> </w:t>
      </w:r>
      <w:r w:rsidRPr="00EB2BD8">
        <w:t>738</w:t>
      </w:r>
      <w:r w:rsidRPr="00EB2BD8">
        <w:rPr>
          <w:spacing w:val="-8"/>
        </w:rPr>
        <w:t xml:space="preserve"> </w:t>
      </w:r>
      <w:r w:rsidRPr="00EB2BD8">
        <w:t>carried</w:t>
      </w:r>
      <w:r w:rsidRPr="00EB2BD8">
        <w:rPr>
          <w:spacing w:val="-8"/>
        </w:rPr>
        <w:t xml:space="preserve"> </w:t>
      </w:r>
      <w:r w:rsidRPr="00EB2BD8">
        <w:t>out</w:t>
      </w:r>
      <w:r w:rsidRPr="00EB2BD8">
        <w:rPr>
          <w:spacing w:val="-8"/>
        </w:rPr>
        <w:t xml:space="preserve"> </w:t>
      </w:r>
      <w:r w:rsidRPr="00EB2BD8">
        <w:t>in</w:t>
      </w:r>
      <w:r w:rsidRPr="00EB2BD8">
        <w:rPr>
          <w:spacing w:val="-8"/>
        </w:rPr>
        <w:t xml:space="preserve"> </w:t>
      </w:r>
      <w:r w:rsidRPr="00EB2BD8">
        <w:t>2022-23.</w:t>
      </w:r>
    </w:p>
    <w:p w14:paraId="1D9F5394" w14:textId="77777777" w:rsidR="00084F36" w:rsidRPr="00EB2BD8" w:rsidRDefault="00EB2BD8">
      <w:pPr>
        <w:pStyle w:val="BodyText"/>
        <w:spacing w:before="106" w:line="261" w:lineRule="auto"/>
        <w:ind w:left="394" w:right="685"/>
      </w:pPr>
      <w:r w:rsidRPr="00EB2BD8">
        <w:t>The VBA does not use technology for roof plumbing, as the works for inspection are too extensive to be covered by remote viewing and it would present an unacceptable safety</w:t>
      </w:r>
      <w:r w:rsidRPr="00EB2BD8">
        <w:rPr>
          <w:spacing w:val="-11"/>
        </w:rPr>
        <w:t xml:space="preserve"> </w:t>
      </w:r>
      <w:r w:rsidRPr="00EB2BD8">
        <w:t>risk</w:t>
      </w:r>
      <w:r w:rsidRPr="00EB2BD8">
        <w:rPr>
          <w:spacing w:val="-11"/>
        </w:rPr>
        <w:t xml:space="preserve"> </w:t>
      </w:r>
      <w:r w:rsidRPr="00EB2BD8">
        <w:t>to</w:t>
      </w:r>
      <w:r w:rsidRPr="00EB2BD8">
        <w:rPr>
          <w:spacing w:val="-11"/>
        </w:rPr>
        <w:t xml:space="preserve"> </w:t>
      </w:r>
      <w:r w:rsidRPr="00EB2BD8">
        <w:t>ask</w:t>
      </w:r>
      <w:r w:rsidRPr="00EB2BD8">
        <w:rPr>
          <w:spacing w:val="-11"/>
        </w:rPr>
        <w:t xml:space="preserve"> </w:t>
      </w:r>
      <w:r w:rsidRPr="00EB2BD8">
        <w:t>a</w:t>
      </w:r>
      <w:r w:rsidRPr="00EB2BD8">
        <w:rPr>
          <w:spacing w:val="-11"/>
        </w:rPr>
        <w:t xml:space="preserve"> </w:t>
      </w:r>
      <w:r w:rsidRPr="00EB2BD8">
        <w:t>plumbing</w:t>
      </w:r>
      <w:r w:rsidRPr="00EB2BD8">
        <w:rPr>
          <w:spacing w:val="-11"/>
        </w:rPr>
        <w:t xml:space="preserve"> </w:t>
      </w:r>
      <w:r w:rsidRPr="00EB2BD8">
        <w:t>practitioner</w:t>
      </w:r>
      <w:r w:rsidRPr="00EB2BD8">
        <w:rPr>
          <w:spacing w:val="-11"/>
        </w:rPr>
        <w:t xml:space="preserve"> </w:t>
      </w:r>
      <w:r w:rsidRPr="00EB2BD8">
        <w:t>to</w:t>
      </w:r>
      <w:r w:rsidRPr="00EB2BD8">
        <w:rPr>
          <w:spacing w:val="-11"/>
        </w:rPr>
        <w:t xml:space="preserve"> </w:t>
      </w:r>
      <w:r w:rsidRPr="00EB2BD8">
        <w:t>work</w:t>
      </w:r>
      <w:r w:rsidRPr="00EB2BD8">
        <w:rPr>
          <w:spacing w:val="-11"/>
        </w:rPr>
        <w:t xml:space="preserve"> </w:t>
      </w:r>
      <w:r w:rsidRPr="00EB2BD8">
        <w:t>across/ around</w:t>
      </w:r>
      <w:r w:rsidRPr="00EB2BD8">
        <w:rPr>
          <w:spacing w:val="-8"/>
        </w:rPr>
        <w:t xml:space="preserve"> </w:t>
      </w:r>
      <w:r w:rsidRPr="00EB2BD8">
        <w:t>an</w:t>
      </w:r>
      <w:r w:rsidRPr="00EB2BD8">
        <w:rPr>
          <w:spacing w:val="-8"/>
        </w:rPr>
        <w:t xml:space="preserve"> </w:t>
      </w:r>
      <w:r w:rsidRPr="00EB2BD8">
        <w:t>unprotected</w:t>
      </w:r>
      <w:r w:rsidRPr="00EB2BD8">
        <w:rPr>
          <w:spacing w:val="-8"/>
        </w:rPr>
        <w:t xml:space="preserve"> </w:t>
      </w:r>
      <w:r w:rsidRPr="00EB2BD8">
        <w:t>roof</w:t>
      </w:r>
      <w:r w:rsidRPr="00EB2BD8">
        <w:rPr>
          <w:spacing w:val="-8"/>
        </w:rPr>
        <w:t xml:space="preserve"> </w:t>
      </w:r>
      <w:r w:rsidRPr="00EB2BD8">
        <w:t>while</w:t>
      </w:r>
      <w:r w:rsidRPr="00EB2BD8">
        <w:rPr>
          <w:spacing w:val="-8"/>
        </w:rPr>
        <w:t xml:space="preserve"> </w:t>
      </w:r>
      <w:r w:rsidRPr="00EB2BD8">
        <w:t>being</w:t>
      </w:r>
      <w:r w:rsidRPr="00EB2BD8">
        <w:rPr>
          <w:spacing w:val="-8"/>
        </w:rPr>
        <w:t xml:space="preserve"> </w:t>
      </w:r>
      <w:r w:rsidRPr="00EB2BD8">
        <w:t>directed</w:t>
      </w:r>
      <w:r w:rsidRPr="00EB2BD8">
        <w:rPr>
          <w:spacing w:val="-8"/>
        </w:rPr>
        <w:t xml:space="preserve"> </w:t>
      </w:r>
      <w:r w:rsidRPr="00EB2BD8">
        <w:t>to</w:t>
      </w:r>
      <w:r w:rsidRPr="00EB2BD8">
        <w:rPr>
          <w:spacing w:val="-8"/>
        </w:rPr>
        <w:t xml:space="preserve"> </w:t>
      </w:r>
      <w:r w:rsidRPr="00EB2BD8">
        <w:t>point the camera in certain areas. Technology has not and is not being used for any building inspections undertaken by the VBA.</w:t>
      </w:r>
    </w:p>
    <w:p w14:paraId="04560BFE" w14:textId="77777777" w:rsidR="00084F36" w:rsidRPr="00EB2BD8" w:rsidRDefault="00084F36">
      <w:pPr>
        <w:pStyle w:val="BodyText"/>
        <w:spacing w:before="9"/>
        <w:rPr>
          <w:sz w:val="20"/>
        </w:rPr>
      </w:pPr>
    </w:p>
    <w:p w14:paraId="7416BDBA" w14:textId="52958D0C" w:rsidR="00084F36" w:rsidRPr="00EB2BD8" w:rsidRDefault="00EB2BD8" w:rsidP="00B83018">
      <w:pPr>
        <w:pStyle w:val="Heading2"/>
        <w:ind w:left="394"/>
      </w:pPr>
      <w:bookmarkStart w:id="59" w:name="_Toc150762361"/>
      <w:r w:rsidRPr="00EB2BD8">
        <w:t>Building</w:t>
      </w:r>
      <w:r w:rsidRPr="00EB2BD8">
        <w:rPr>
          <w:spacing w:val="-22"/>
        </w:rPr>
        <w:t xml:space="preserve"> </w:t>
      </w:r>
      <w:r w:rsidRPr="00EB2BD8">
        <w:t>Surveyor</w:t>
      </w:r>
      <w:r w:rsidRPr="00EB2BD8">
        <w:rPr>
          <w:spacing w:val="-22"/>
        </w:rPr>
        <w:t xml:space="preserve"> </w:t>
      </w:r>
      <w:r w:rsidRPr="00EB2BD8">
        <w:t>Audit</w:t>
      </w:r>
      <w:r w:rsidRPr="00EB2BD8">
        <w:rPr>
          <w:spacing w:val="-22"/>
        </w:rPr>
        <w:t xml:space="preserve"> </w:t>
      </w:r>
      <w:r w:rsidR="00B83018">
        <w:rPr>
          <w:spacing w:val="-22"/>
        </w:rPr>
        <w:br/>
      </w:r>
      <w:r w:rsidRPr="00EB2BD8">
        <w:t>Program</w:t>
      </w:r>
      <w:bookmarkEnd w:id="59"/>
    </w:p>
    <w:p w14:paraId="27797A17" w14:textId="77777777" w:rsidR="00084F36" w:rsidRPr="00EB2BD8" w:rsidRDefault="00EB2BD8">
      <w:pPr>
        <w:pStyle w:val="BodyText"/>
        <w:spacing w:before="129" w:line="261" w:lineRule="auto"/>
        <w:ind w:left="394" w:right="1011"/>
      </w:pPr>
      <w:r w:rsidRPr="00EB2BD8">
        <w:t>The Building Surveyor Audit Program (BSAP) is a regulatory initiative that identifies and reduces non- compliant building work in Victoria. The program involves the review of building and occupancy permit documentation for work in Victoria and uses an intelligence-led,</w:t>
      </w:r>
      <w:r w:rsidRPr="00EB2BD8">
        <w:rPr>
          <w:spacing w:val="-6"/>
        </w:rPr>
        <w:t xml:space="preserve"> </w:t>
      </w:r>
      <w:r w:rsidRPr="00EB2BD8">
        <w:t>risk-based</w:t>
      </w:r>
      <w:r w:rsidRPr="00EB2BD8">
        <w:rPr>
          <w:spacing w:val="-6"/>
        </w:rPr>
        <w:t xml:space="preserve"> </w:t>
      </w:r>
      <w:r w:rsidRPr="00EB2BD8">
        <w:t>regulatory</w:t>
      </w:r>
      <w:r w:rsidRPr="00EB2BD8">
        <w:rPr>
          <w:spacing w:val="-6"/>
        </w:rPr>
        <w:t xml:space="preserve"> </w:t>
      </w:r>
      <w:r w:rsidRPr="00EB2BD8">
        <w:t>model</w:t>
      </w:r>
      <w:r w:rsidRPr="00EB2BD8">
        <w:rPr>
          <w:spacing w:val="-6"/>
        </w:rPr>
        <w:t xml:space="preserve"> </w:t>
      </w:r>
      <w:r w:rsidRPr="00EB2BD8">
        <w:t>to</w:t>
      </w:r>
      <w:r w:rsidRPr="00EB2BD8">
        <w:rPr>
          <w:spacing w:val="-6"/>
        </w:rPr>
        <w:t xml:space="preserve"> </w:t>
      </w:r>
      <w:r w:rsidRPr="00EB2BD8">
        <w:t xml:space="preserve">target areas that generate the highest risks to industry and </w:t>
      </w:r>
      <w:r w:rsidRPr="00EB2BD8">
        <w:rPr>
          <w:spacing w:val="-2"/>
        </w:rPr>
        <w:t>consumers.</w:t>
      </w:r>
    </w:p>
    <w:p w14:paraId="7A4D7F05" w14:textId="77777777" w:rsidR="00084F36" w:rsidRPr="00EB2BD8" w:rsidRDefault="00EB2BD8">
      <w:pPr>
        <w:pStyle w:val="BodyText"/>
        <w:spacing w:before="161" w:line="261" w:lineRule="auto"/>
        <w:ind w:left="394" w:right="781"/>
      </w:pPr>
      <w:r w:rsidRPr="00EB2BD8">
        <w:t xml:space="preserve">The BSAP conducted </w:t>
      </w:r>
      <w:r w:rsidRPr="00EB2BD8">
        <w:rPr>
          <w:w w:val="90"/>
        </w:rPr>
        <w:t xml:space="preserve">110 </w:t>
      </w:r>
      <w:r w:rsidRPr="00EB2BD8">
        <w:t xml:space="preserve">desktop documentation </w:t>
      </w:r>
      <w:r w:rsidRPr="00EB2BD8">
        <w:rPr>
          <w:spacing w:val="-2"/>
        </w:rPr>
        <w:t>building</w:t>
      </w:r>
      <w:r w:rsidRPr="00EB2BD8">
        <w:rPr>
          <w:spacing w:val="-8"/>
        </w:rPr>
        <w:t xml:space="preserve"> </w:t>
      </w:r>
      <w:r w:rsidRPr="00EB2BD8">
        <w:rPr>
          <w:spacing w:val="-2"/>
        </w:rPr>
        <w:t>audits</w:t>
      </w:r>
      <w:r w:rsidRPr="00EB2BD8">
        <w:rPr>
          <w:spacing w:val="-8"/>
        </w:rPr>
        <w:t xml:space="preserve"> </w:t>
      </w:r>
      <w:r w:rsidRPr="00EB2BD8">
        <w:rPr>
          <w:spacing w:val="-2"/>
        </w:rPr>
        <w:t>in</w:t>
      </w:r>
      <w:r w:rsidRPr="00EB2BD8">
        <w:rPr>
          <w:spacing w:val="-8"/>
        </w:rPr>
        <w:t xml:space="preserve"> </w:t>
      </w:r>
      <w:r w:rsidRPr="00EB2BD8">
        <w:rPr>
          <w:spacing w:val="-2"/>
        </w:rPr>
        <w:t>2022-23,</w:t>
      </w:r>
      <w:r w:rsidRPr="00EB2BD8">
        <w:rPr>
          <w:spacing w:val="-8"/>
        </w:rPr>
        <w:t xml:space="preserve"> </w:t>
      </w:r>
      <w:r w:rsidRPr="00EB2BD8">
        <w:rPr>
          <w:spacing w:val="-2"/>
        </w:rPr>
        <w:t>which</w:t>
      </w:r>
      <w:r w:rsidRPr="00EB2BD8">
        <w:rPr>
          <w:spacing w:val="-8"/>
        </w:rPr>
        <w:t xml:space="preserve"> </w:t>
      </w:r>
      <w:r w:rsidRPr="00EB2BD8">
        <w:rPr>
          <w:spacing w:val="-2"/>
        </w:rPr>
        <w:t>focused</w:t>
      </w:r>
      <w:r w:rsidRPr="00EB2BD8">
        <w:rPr>
          <w:spacing w:val="-8"/>
        </w:rPr>
        <w:t xml:space="preserve"> </w:t>
      </w:r>
      <w:r w:rsidRPr="00EB2BD8">
        <w:rPr>
          <w:spacing w:val="-2"/>
        </w:rPr>
        <w:t>on</w:t>
      </w:r>
      <w:r w:rsidRPr="00EB2BD8">
        <w:rPr>
          <w:spacing w:val="-8"/>
        </w:rPr>
        <w:t xml:space="preserve"> </w:t>
      </w:r>
      <w:r w:rsidRPr="00EB2BD8">
        <w:rPr>
          <w:spacing w:val="-2"/>
        </w:rPr>
        <w:t xml:space="preserve">compliance </w:t>
      </w:r>
      <w:r w:rsidRPr="00EB2BD8">
        <w:t>with</w:t>
      </w:r>
      <w:r w:rsidRPr="00EB2BD8">
        <w:rPr>
          <w:spacing w:val="-6"/>
        </w:rPr>
        <w:t xml:space="preserve"> </w:t>
      </w:r>
      <w:r w:rsidRPr="00EB2BD8">
        <w:t>the</w:t>
      </w:r>
      <w:r w:rsidRPr="00EB2BD8">
        <w:rPr>
          <w:spacing w:val="-6"/>
        </w:rPr>
        <w:t xml:space="preserve"> </w:t>
      </w:r>
      <w:r w:rsidRPr="00EB2BD8">
        <w:t>NCC</w:t>
      </w:r>
      <w:r w:rsidRPr="00EB2BD8">
        <w:rPr>
          <w:spacing w:val="-6"/>
        </w:rPr>
        <w:t xml:space="preserve"> </w:t>
      </w:r>
      <w:r w:rsidRPr="00EB2BD8">
        <w:t>volume</w:t>
      </w:r>
      <w:r w:rsidRPr="00EB2BD8">
        <w:rPr>
          <w:spacing w:val="-6"/>
        </w:rPr>
        <w:t xml:space="preserve"> </w:t>
      </w:r>
      <w:r w:rsidRPr="00EB2BD8">
        <w:rPr>
          <w:w w:val="90"/>
        </w:rPr>
        <w:t>1</w:t>
      </w:r>
      <w:r w:rsidRPr="00EB2BD8">
        <w:rPr>
          <w:spacing w:val="-1"/>
          <w:w w:val="90"/>
        </w:rPr>
        <w:t xml:space="preserve"> </w:t>
      </w:r>
      <w:r w:rsidRPr="00EB2BD8">
        <w:t>and</w:t>
      </w:r>
      <w:r w:rsidRPr="00EB2BD8">
        <w:rPr>
          <w:spacing w:val="-6"/>
        </w:rPr>
        <w:t xml:space="preserve"> </w:t>
      </w:r>
      <w:r w:rsidRPr="00EB2BD8">
        <w:t>2</w:t>
      </w:r>
      <w:r w:rsidRPr="00EB2BD8">
        <w:rPr>
          <w:spacing w:val="-6"/>
        </w:rPr>
        <w:t xml:space="preserve"> </w:t>
      </w:r>
      <w:r w:rsidRPr="00EB2BD8">
        <w:t>and</w:t>
      </w:r>
      <w:r w:rsidRPr="00EB2BD8">
        <w:rPr>
          <w:spacing w:val="-6"/>
        </w:rPr>
        <w:t xml:space="preserve"> </w:t>
      </w:r>
      <w:r w:rsidRPr="00EB2BD8">
        <w:t>the</w:t>
      </w:r>
      <w:r w:rsidRPr="00EB2BD8">
        <w:rPr>
          <w:spacing w:val="-6"/>
        </w:rPr>
        <w:t xml:space="preserve"> </w:t>
      </w:r>
      <w:r w:rsidRPr="00EB2BD8">
        <w:t>AS-1926</w:t>
      </w:r>
      <w:r w:rsidRPr="00EB2BD8">
        <w:rPr>
          <w:spacing w:val="-6"/>
        </w:rPr>
        <w:t xml:space="preserve"> </w:t>
      </w:r>
      <w:r w:rsidRPr="00EB2BD8">
        <w:t>series</w:t>
      </w:r>
      <w:r w:rsidRPr="00EB2BD8">
        <w:rPr>
          <w:spacing w:val="-6"/>
        </w:rPr>
        <w:t xml:space="preserve"> </w:t>
      </w:r>
      <w:r w:rsidRPr="00EB2BD8">
        <w:t xml:space="preserve">for swimming pools. The audits identified documentation and compliance gaps with application of the NCC references to Australian Standards, which have been detailed in BSAP public reports, Class 10b Swimming Pools, Volume </w:t>
      </w:r>
      <w:r w:rsidRPr="00EB2BD8">
        <w:rPr>
          <w:w w:val="90"/>
        </w:rPr>
        <w:t xml:space="preserve">1 </w:t>
      </w:r>
      <w:r w:rsidRPr="00EB2BD8">
        <w:t>Class 2-9 buildings and BSAP Class 1a.</w:t>
      </w:r>
    </w:p>
    <w:p w14:paraId="0A0EEBA4" w14:textId="77777777" w:rsidR="00084F36" w:rsidRPr="00EB2BD8" w:rsidRDefault="00EB2BD8">
      <w:pPr>
        <w:pStyle w:val="BodyText"/>
        <w:spacing w:line="261" w:lineRule="auto"/>
        <w:ind w:left="394" w:right="770"/>
      </w:pPr>
      <w:r w:rsidRPr="00EB2BD8">
        <w:t>The reports are available on the VBA website: vba.vic. gov.au/about/vba-reports.</w:t>
      </w:r>
      <w:r w:rsidRPr="00EB2BD8">
        <w:rPr>
          <w:spacing w:val="-14"/>
        </w:rPr>
        <w:t xml:space="preserve"> </w:t>
      </w:r>
      <w:r w:rsidRPr="00EB2BD8">
        <w:t>These</w:t>
      </w:r>
      <w:r w:rsidRPr="00EB2BD8">
        <w:rPr>
          <w:spacing w:val="-14"/>
        </w:rPr>
        <w:t xml:space="preserve"> </w:t>
      </w:r>
      <w:r w:rsidRPr="00EB2BD8">
        <w:t>findings</w:t>
      </w:r>
      <w:r w:rsidRPr="00EB2BD8">
        <w:rPr>
          <w:spacing w:val="-14"/>
        </w:rPr>
        <w:t xml:space="preserve"> </w:t>
      </w:r>
      <w:r w:rsidRPr="00EB2BD8">
        <w:t>have</w:t>
      </w:r>
      <w:r w:rsidRPr="00EB2BD8">
        <w:rPr>
          <w:spacing w:val="-14"/>
        </w:rPr>
        <w:t xml:space="preserve"> </w:t>
      </w:r>
      <w:r w:rsidRPr="00EB2BD8">
        <w:t>informed the VBA and industry of education priorities, especially in</w:t>
      </w:r>
      <w:r w:rsidRPr="00EB2BD8">
        <w:rPr>
          <w:spacing w:val="-1"/>
        </w:rPr>
        <w:t xml:space="preserve"> </w:t>
      </w:r>
      <w:r w:rsidRPr="00EB2BD8">
        <w:t>documentation</w:t>
      </w:r>
      <w:r w:rsidRPr="00EB2BD8">
        <w:rPr>
          <w:spacing w:val="-1"/>
        </w:rPr>
        <w:t xml:space="preserve"> </w:t>
      </w:r>
      <w:r w:rsidRPr="00EB2BD8">
        <w:t>standards,</w:t>
      </w:r>
      <w:r w:rsidRPr="00EB2BD8">
        <w:rPr>
          <w:spacing w:val="-1"/>
        </w:rPr>
        <w:t xml:space="preserve"> </w:t>
      </w:r>
      <w:r w:rsidRPr="00EB2BD8">
        <w:t>which</w:t>
      </w:r>
      <w:r w:rsidRPr="00EB2BD8">
        <w:rPr>
          <w:spacing w:val="-1"/>
        </w:rPr>
        <w:t xml:space="preserve"> </w:t>
      </w:r>
      <w:r w:rsidRPr="00EB2BD8">
        <w:t>was</w:t>
      </w:r>
      <w:r w:rsidRPr="00EB2BD8">
        <w:rPr>
          <w:spacing w:val="-1"/>
        </w:rPr>
        <w:t xml:space="preserve"> </w:t>
      </w:r>
      <w:r w:rsidRPr="00EB2BD8">
        <w:t>included</w:t>
      </w:r>
      <w:r w:rsidRPr="00EB2BD8">
        <w:rPr>
          <w:spacing w:val="-1"/>
        </w:rPr>
        <w:t xml:space="preserve"> </w:t>
      </w:r>
      <w:r w:rsidRPr="00EB2BD8">
        <w:t>as</w:t>
      </w:r>
      <w:r w:rsidRPr="00EB2BD8">
        <w:rPr>
          <w:spacing w:val="-1"/>
        </w:rPr>
        <w:t xml:space="preserve"> </w:t>
      </w:r>
      <w:r w:rsidRPr="00EB2BD8">
        <w:t xml:space="preserve">part of a Practitioner Education Series webinar in December 2022, </w:t>
      </w:r>
      <w:r w:rsidRPr="00EB2BD8">
        <w:rPr>
          <w:i/>
        </w:rPr>
        <w:t>Swimming Pool Compliance</w:t>
      </w:r>
      <w:r w:rsidRPr="00EB2BD8">
        <w:t>.</w:t>
      </w:r>
    </w:p>
    <w:p w14:paraId="3C81CDF8" w14:textId="77777777" w:rsidR="00084F36" w:rsidRPr="00EB2BD8" w:rsidRDefault="00084F36">
      <w:pPr>
        <w:pStyle w:val="BodyText"/>
        <w:rPr>
          <w:sz w:val="20"/>
        </w:rPr>
      </w:pPr>
    </w:p>
    <w:p w14:paraId="5AC76DF2" w14:textId="77777777" w:rsidR="00084F36" w:rsidRPr="00EB2BD8" w:rsidRDefault="00084F36">
      <w:pPr>
        <w:pStyle w:val="BodyText"/>
        <w:rPr>
          <w:sz w:val="20"/>
        </w:rPr>
      </w:pPr>
    </w:p>
    <w:p w14:paraId="2FD1C85D" w14:textId="77777777" w:rsidR="00084F36" w:rsidRPr="00EB2BD8" w:rsidRDefault="00084F36">
      <w:pPr>
        <w:pStyle w:val="BodyText"/>
        <w:rPr>
          <w:sz w:val="20"/>
        </w:rPr>
      </w:pPr>
    </w:p>
    <w:p w14:paraId="1E005D65" w14:textId="77777777" w:rsidR="00084F36" w:rsidRPr="00EB2BD8" w:rsidRDefault="00084F36">
      <w:pPr>
        <w:pStyle w:val="BodyText"/>
        <w:rPr>
          <w:sz w:val="20"/>
        </w:rPr>
      </w:pPr>
    </w:p>
    <w:p w14:paraId="0F0BBBB8" w14:textId="77777777" w:rsidR="00084F36" w:rsidRPr="00EB2BD8" w:rsidRDefault="00084F36">
      <w:pPr>
        <w:pStyle w:val="BodyText"/>
        <w:spacing w:before="4"/>
        <w:rPr>
          <w:sz w:val="16"/>
        </w:rPr>
      </w:pPr>
    </w:p>
    <w:p w14:paraId="502D3505" w14:textId="77777777" w:rsidR="00084F36" w:rsidRPr="00EB2BD8" w:rsidRDefault="00084F36">
      <w:pPr>
        <w:rPr>
          <w:sz w:val="16"/>
        </w:rPr>
        <w:sectPr w:rsidR="00084F36" w:rsidRPr="00EB2BD8" w:rsidSect="0019412D">
          <w:footerReference w:type="default" r:id="rId51"/>
          <w:pgSz w:w="11910" w:h="16840"/>
          <w:pgMar w:top="1100" w:right="0" w:bottom="700" w:left="0" w:header="0" w:footer="1191" w:gutter="0"/>
          <w:cols w:space="720"/>
          <w:docGrid w:linePitch="299"/>
        </w:sectPr>
      </w:pPr>
    </w:p>
    <w:p w14:paraId="7157DCFA" w14:textId="77777777" w:rsidR="00084F36" w:rsidRPr="00EB2BD8" w:rsidRDefault="00EB2BD8" w:rsidP="001975DF">
      <w:pPr>
        <w:pStyle w:val="Heading2"/>
      </w:pPr>
      <w:bookmarkStart w:id="60" w:name="_Toc150762362"/>
      <w:r w:rsidRPr="00EB2BD8">
        <w:t>Holding</w:t>
      </w:r>
      <w:r w:rsidRPr="00EB2BD8">
        <w:rPr>
          <w:spacing w:val="-14"/>
        </w:rPr>
        <w:t xml:space="preserve"> </w:t>
      </w:r>
      <w:r w:rsidRPr="00EB2BD8">
        <w:t>practitioners</w:t>
      </w:r>
      <w:r w:rsidRPr="00EB2BD8">
        <w:rPr>
          <w:spacing w:val="-14"/>
        </w:rPr>
        <w:t xml:space="preserve"> </w:t>
      </w:r>
      <w:r w:rsidRPr="00EB2BD8">
        <w:t>to</w:t>
      </w:r>
      <w:r w:rsidRPr="00EB2BD8">
        <w:rPr>
          <w:spacing w:val="-14"/>
        </w:rPr>
        <w:t xml:space="preserve"> </w:t>
      </w:r>
      <w:r w:rsidRPr="00EB2BD8">
        <w:t>account</w:t>
      </w:r>
      <w:bookmarkEnd w:id="60"/>
    </w:p>
    <w:p w14:paraId="52C54CB1" w14:textId="77777777" w:rsidR="00084F36" w:rsidRPr="00EB2BD8" w:rsidRDefault="00EB2BD8">
      <w:pPr>
        <w:pStyle w:val="BodyText"/>
        <w:spacing w:before="129" w:line="261" w:lineRule="auto"/>
        <w:ind w:left="850" w:right="73"/>
      </w:pPr>
      <w:r w:rsidRPr="00EB2BD8">
        <w:t xml:space="preserve">The VBA is responsible for monitoring and enforcing compliance with the </w:t>
      </w:r>
      <w:r w:rsidRPr="00EB2BD8">
        <w:rPr>
          <w:i/>
        </w:rPr>
        <w:t xml:space="preserve">Building Act 1993 </w:t>
      </w:r>
      <w:r w:rsidRPr="00EB2BD8">
        <w:t>(the Act) and associated regulations and guidelines, including the National Construction Code and Code of Conduct for Building</w:t>
      </w:r>
      <w:r w:rsidRPr="00EB2BD8">
        <w:rPr>
          <w:spacing w:val="-12"/>
        </w:rPr>
        <w:t xml:space="preserve"> </w:t>
      </w:r>
      <w:r w:rsidRPr="00EB2BD8">
        <w:t>Surveyors</w:t>
      </w:r>
      <w:r w:rsidRPr="00EB2BD8">
        <w:rPr>
          <w:spacing w:val="-12"/>
        </w:rPr>
        <w:t xml:space="preserve"> </w:t>
      </w:r>
      <w:r w:rsidRPr="00EB2BD8">
        <w:t>in</w:t>
      </w:r>
      <w:r w:rsidRPr="00EB2BD8">
        <w:rPr>
          <w:spacing w:val="-12"/>
        </w:rPr>
        <w:t xml:space="preserve"> </w:t>
      </w:r>
      <w:r w:rsidRPr="00EB2BD8">
        <w:t>Victoria.</w:t>
      </w:r>
      <w:r w:rsidRPr="00EB2BD8">
        <w:rPr>
          <w:spacing w:val="-12"/>
        </w:rPr>
        <w:t xml:space="preserve"> </w:t>
      </w:r>
      <w:r w:rsidRPr="00EB2BD8">
        <w:t>The</w:t>
      </w:r>
      <w:r w:rsidRPr="00EB2BD8">
        <w:rPr>
          <w:spacing w:val="-12"/>
        </w:rPr>
        <w:t xml:space="preserve"> </w:t>
      </w:r>
      <w:r w:rsidRPr="00EB2BD8">
        <w:t>Act</w:t>
      </w:r>
      <w:r w:rsidRPr="00EB2BD8">
        <w:rPr>
          <w:spacing w:val="-12"/>
        </w:rPr>
        <w:t xml:space="preserve"> </w:t>
      </w:r>
      <w:r w:rsidRPr="00EB2BD8">
        <w:t>provides</w:t>
      </w:r>
      <w:r w:rsidRPr="00EB2BD8">
        <w:rPr>
          <w:spacing w:val="-12"/>
        </w:rPr>
        <w:t xml:space="preserve"> </w:t>
      </w:r>
      <w:r w:rsidRPr="00EB2BD8">
        <w:t xml:space="preserve">various enforcement tools to be used where individuals or companies fail to comply with its requirements. The VBA’s enforcement decisions are made according to the Compliance and Enforcement Policy. The VBA also publishes a biannual Compliance and Enforcement Report that is designed to give industry, practitioners and the community an insight into our activities. The reports are available on the VBA website: </w:t>
      </w:r>
      <w:r w:rsidRPr="00EB2BD8">
        <w:rPr>
          <w:spacing w:val="-2"/>
        </w:rPr>
        <w:t>vba.vic.gov.au/about/vba-reports.</w:t>
      </w:r>
    </w:p>
    <w:p w14:paraId="761C1576" w14:textId="77777777" w:rsidR="00084F36" w:rsidRPr="00EB2BD8" w:rsidRDefault="00EB2BD8">
      <w:pPr>
        <w:pStyle w:val="BodyText"/>
        <w:spacing w:before="156" w:line="261" w:lineRule="auto"/>
        <w:ind w:left="850"/>
      </w:pPr>
      <w:r w:rsidRPr="00EB2BD8">
        <w:t>The Compliance and Enforcement function includes Complaints, Investigations, Prosecutions, Statutory Referrals, Terminations, Transfer of Functions, Levy Audits, the Building Activity Team, Practitioner Intelligence</w:t>
      </w:r>
      <w:r w:rsidRPr="00EB2BD8">
        <w:rPr>
          <w:spacing w:val="-12"/>
        </w:rPr>
        <w:t xml:space="preserve"> </w:t>
      </w:r>
      <w:r w:rsidRPr="00EB2BD8">
        <w:t>Unit,</w:t>
      </w:r>
      <w:r w:rsidRPr="00EB2BD8">
        <w:rPr>
          <w:spacing w:val="-12"/>
        </w:rPr>
        <w:t xml:space="preserve"> </w:t>
      </w:r>
      <w:r w:rsidRPr="00EB2BD8">
        <w:t>Building</w:t>
      </w:r>
      <w:r w:rsidRPr="00EB2BD8">
        <w:rPr>
          <w:spacing w:val="-12"/>
        </w:rPr>
        <w:t xml:space="preserve"> </w:t>
      </w:r>
      <w:r w:rsidRPr="00EB2BD8">
        <w:t>Practitioner</w:t>
      </w:r>
      <w:r w:rsidRPr="00EB2BD8">
        <w:rPr>
          <w:spacing w:val="-12"/>
        </w:rPr>
        <w:t xml:space="preserve"> </w:t>
      </w:r>
      <w:r w:rsidRPr="00EB2BD8">
        <w:t>Discipline</w:t>
      </w:r>
      <w:r w:rsidRPr="00EB2BD8">
        <w:rPr>
          <w:spacing w:val="-12"/>
        </w:rPr>
        <w:t xml:space="preserve"> </w:t>
      </w:r>
      <w:r w:rsidRPr="00EB2BD8">
        <w:t>and Plumbing</w:t>
      </w:r>
      <w:r w:rsidRPr="00EB2BD8">
        <w:rPr>
          <w:spacing w:val="-6"/>
        </w:rPr>
        <w:t xml:space="preserve"> </w:t>
      </w:r>
      <w:r w:rsidRPr="00EB2BD8">
        <w:t>Inquiries.</w:t>
      </w:r>
    </w:p>
    <w:p w14:paraId="2E70570A" w14:textId="77777777" w:rsidR="00084F36" w:rsidRPr="00EB2BD8" w:rsidRDefault="00EB2BD8">
      <w:pPr>
        <w:pStyle w:val="BodyText"/>
        <w:spacing w:before="107" w:line="261" w:lineRule="auto"/>
        <w:ind w:left="850"/>
      </w:pPr>
      <w:r w:rsidRPr="00EB2BD8">
        <w:t>In</w:t>
      </w:r>
      <w:r w:rsidRPr="00EB2BD8">
        <w:rPr>
          <w:spacing w:val="-15"/>
        </w:rPr>
        <w:t xml:space="preserve"> </w:t>
      </w:r>
      <w:r w:rsidRPr="00EB2BD8">
        <w:t>2022-23,</w:t>
      </w:r>
      <w:r w:rsidRPr="00EB2BD8">
        <w:rPr>
          <w:spacing w:val="-14"/>
        </w:rPr>
        <w:t xml:space="preserve"> </w:t>
      </w:r>
      <w:r w:rsidRPr="00EB2BD8">
        <w:t>the</w:t>
      </w:r>
      <w:r w:rsidRPr="00EB2BD8">
        <w:rPr>
          <w:spacing w:val="-14"/>
        </w:rPr>
        <w:t xml:space="preserve"> </w:t>
      </w:r>
      <w:r w:rsidRPr="00EB2BD8">
        <w:t>VBA</w:t>
      </w:r>
      <w:r w:rsidRPr="00EB2BD8">
        <w:rPr>
          <w:spacing w:val="-14"/>
        </w:rPr>
        <w:t xml:space="preserve"> </w:t>
      </w:r>
      <w:r w:rsidRPr="00EB2BD8">
        <w:t>continued</w:t>
      </w:r>
      <w:r w:rsidRPr="00EB2BD8">
        <w:rPr>
          <w:spacing w:val="-14"/>
        </w:rPr>
        <w:t xml:space="preserve"> </w:t>
      </w:r>
      <w:r w:rsidRPr="00EB2BD8">
        <w:t>to</w:t>
      </w:r>
      <w:r w:rsidRPr="00EB2BD8">
        <w:rPr>
          <w:spacing w:val="-15"/>
        </w:rPr>
        <w:t xml:space="preserve"> </w:t>
      </w:r>
      <w:r w:rsidRPr="00EB2BD8">
        <w:t>refine</w:t>
      </w:r>
      <w:r w:rsidRPr="00EB2BD8">
        <w:rPr>
          <w:spacing w:val="-14"/>
        </w:rPr>
        <w:t xml:space="preserve"> </w:t>
      </w:r>
      <w:r w:rsidRPr="00EB2BD8">
        <w:t>its</w:t>
      </w:r>
      <w:r w:rsidRPr="00EB2BD8">
        <w:rPr>
          <w:spacing w:val="-14"/>
        </w:rPr>
        <w:t xml:space="preserve"> </w:t>
      </w:r>
      <w:r w:rsidRPr="00EB2BD8">
        <w:t>intelligence- led</w:t>
      </w:r>
      <w:r w:rsidRPr="00EB2BD8">
        <w:rPr>
          <w:spacing w:val="-6"/>
        </w:rPr>
        <w:t xml:space="preserve"> </w:t>
      </w:r>
      <w:r w:rsidRPr="00EB2BD8">
        <w:t>approach,</w:t>
      </w:r>
      <w:r w:rsidRPr="00EB2BD8">
        <w:rPr>
          <w:spacing w:val="-6"/>
        </w:rPr>
        <w:t xml:space="preserve"> </w:t>
      </w:r>
      <w:r w:rsidRPr="00EB2BD8">
        <w:t>noting</w:t>
      </w:r>
      <w:r w:rsidRPr="00EB2BD8">
        <w:rPr>
          <w:spacing w:val="-6"/>
        </w:rPr>
        <w:t xml:space="preserve"> </w:t>
      </w:r>
      <w:r w:rsidRPr="00EB2BD8">
        <w:t>that</w:t>
      </w:r>
      <w:r w:rsidRPr="00EB2BD8">
        <w:rPr>
          <w:spacing w:val="-6"/>
        </w:rPr>
        <w:t xml:space="preserve"> </w:t>
      </w:r>
      <w:r w:rsidRPr="00EB2BD8">
        <w:t>regulating</w:t>
      </w:r>
      <w:r w:rsidRPr="00EB2BD8">
        <w:rPr>
          <w:spacing w:val="-6"/>
        </w:rPr>
        <w:t xml:space="preserve"> </w:t>
      </w:r>
      <w:r w:rsidRPr="00EB2BD8">
        <w:t>tens</w:t>
      </w:r>
      <w:r w:rsidRPr="00EB2BD8">
        <w:rPr>
          <w:spacing w:val="-6"/>
        </w:rPr>
        <w:t xml:space="preserve"> </w:t>
      </w:r>
      <w:r w:rsidRPr="00EB2BD8">
        <w:t>of</w:t>
      </w:r>
      <w:r w:rsidRPr="00EB2BD8">
        <w:rPr>
          <w:spacing w:val="-6"/>
        </w:rPr>
        <w:t xml:space="preserve"> </w:t>
      </w:r>
      <w:r w:rsidRPr="00EB2BD8">
        <w:t>thousands of practitioners and their activities every year is a challenge. The use of established and new sources</w:t>
      </w:r>
    </w:p>
    <w:p w14:paraId="26C7E82F" w14:textId="77777777" w:rsidR="00084F36" w:rsidRPr="00EB2BD8" w:rsidRDefault="00EB2BD8">
      <w:pPr>
        <w:pStyle w:val="BodyText"/>
        <w:spacing w:line="261" w:lineRule="auto"/>
        <w:ind w:left="850" w:right="42"/>
      </w:pPr>
      <w:r w:rsidRPr="00EB2BD8">
        <w:t>of data and intelligence to identify practitioners of interest enabled us to take a risk-based approach to our compliance and enforcement activities. The VBA’s profiling activities led to increased inspections or audits</w:t>
      </w:r>
      <w:r w:rsidRPr="00EB2BD8">
        <w:rPr>
          <w:spacing w:val="-6"/>
        </w:rPr>
        <w:t xml:space="preserve"> </w:t>
      </w:r>
      <w:r w:rsidRPr="00EB2BD8">
        <w:t>on</w:t>
      </w:r>
      <w:r w:rsidRPr="00EB2BD8">
        <w:rPr>
          <w:spacing w:val="-6"/>
        </w:rPr>
        <w:t xml:space="preserve"> </w:t>
      </w:r>
      <w:r w:rsidRPr="00EB2BD8">
        <w:t>work</w:t>
      </w:r>
      <w:r w:rsidRPr="00EB2BD8">
        <w:rPr>
          <w:spacing w:val="-6"/>
        </w:rPr>
        <w:t xml:space="preserve"> </w:t>
      </w:r>
      <w:r w:rsidRPr="00EB2BD8">
        <w:t>performed</w:t>
      </w:r>
      <w:r w:rsidRPr="00EB2BD8">
        <w:rPr>
          <w:spacing w:val="-6"/>
        </w:rPr>
        <w:t xml:space="preserve"> </w:t>
      </w:r>
      <w:r w:rsidRPr="00EB2BD8">
        <w:t>by</w:t>
      </w:r>
      <w:r w:rsidRPr="00EB2BD8">
        <w:rPr>
          <w:spacing w:val="-6"/>
        </w:rPr>
        <w:t xml:space="preserve"> </w:t>
      </w:r>
      <w:r w:rsidRPr="00EB2BD8">
        <w:t>those</w:t>
      </w:r>
      <w:r w:rsidRPr="00EB2BD8">
        <w:rPr>
          <w:spacing w:val="-6"/>
        </w:rPr>
        <w:t xml:space="preserve"> </w:t>
      </w:r>
      <w:r w:rsidRPr="00EB2BD8">
        <w:t>perceived</w:t>
      </w:r>
      <w:r w:rsidRPr="00EB2BD8">
        <w:rPr>
          <w:spacing w:val="-6"/>
        </w:rPr>
        <w:t xml:space="preserve"> </w:t>
      </w:r>
      <w:r w:rsidRPr="00EB2BD8">
        <w:t>high-risk practitioners,</w:t>
      </w:r>
      <w:r w:rsidRPr="00EB2BD8">
        <w:rPr>
          <w:spacing w:val="-1"/>
        </w:rPr>
        <w:t xml:space="preserve"> </w:t>
      </w:r>
      <w:r w:rsidRPr="00EB2BD8">
        <w:t>who</w:t>
      </w:r>
      <w:r w:rsidRPr="00EB2BD8">
        <w:rPr>
          <w:spacing w:val="-1"/>
        </w:rPr>
        <w:t xml:space="preserve"> </w:t>
      </w:r>
      <w:r w:rsidRPr="00EB2BD8">
        <w:t>may</w:t>
      </w:r>
      <w:r w:rsidRPr="00EB2BD8">
        <w:rPr>
          <w:spacing w:val="-1"/>
        </w:rPr>
        <w:t xml:space="preserve"> </w:t>
      </w:r>
      <w:r w:rsidRPr="00EB2BD8">
        <w:t>pose</w:t>
      </w:r>
      <w:r w:rsidRPr="00EB2BD8">
        <w:rPr>
          <w:spacing w:val="-1"/>
        </w:rPr>
        <w:t xml:space="preserve"> </w:t>
      </w:r>
      <w:r w:rsidRPr="00EB2BD8">
        <w:t>a</w:t>
      </w:r>
      <w:r w:rsidRPr="00EB2BD8">
        <w:rPr>
          <w:spacing w:val="-1"/>
        </w:rPr>
        <w:t xml:space="preserve"> </w:t>
      </w:r>
      <w:r w:rsidRPr="00EB2BD8">
        <w:t>disproportionate</w:t>
      </w:r>
      <w:r w:rsidRPr="00EB2BD8">
        <w:rPr>
          <w:spacing w:val="-1"/>
        </w:rPr>
        <w:t xml:space="preserve"> </w:t>
      </w:r>
      <w:r w:rsidRPr="00EB2BD8">
        <w:t>risk</w:t>
      </w:r>
      <w:r w:rsidRPr="00EB2BD8">
        <w:rPr>
          <w:spacing w:val="-1"/>
        </w:rPr>
        <w:t xml:space="preserve"> </w:t>
      </w:r>
      <w:r w:rsidRPr="00EB2BD8">
        <w:t xml:space="preserve">to </w:t>
      </w:r>
      <w:r w:rsidRPr="00EB2BD8">
        <w:rPr>
          <w:spacing w:val="-2"/>
        </w:rPr>
        <w:t>consumers.</w:t>
      </w:r>
    </w:p>
    <w:p w14:paraId="5E232CD6" w14:textId="77777777" w:rsidR="00084F36" w:rsidRPr="00EB2BD8" w:rsidRDefault="00EB2BD8">
      <w:pPr>
        <w:pStyle w:val="BodyText"/>
        <w:spacing w:before="102" w:line="261" w:lineRule="auto"/>
        <w:ind w:left="850"/>
      </w:pPr>
      <w:r w:rsidRPr="00EB2BD8">
        <w:t>The use of a multi-disciplinary inspection team of subject</w:t>
      </w:r>
      <w:r w:rsidRPr="00EB2BD8">
        <w:rPr>
          <w:spacing w:val="-5"/>
        </w:rPr>
        <w:t xml:space="preserve"> </w:t>
      </w:r>
      <w:r w:rsidRPr="00EB2BD8">
        <w:t>matter</w:t>
      </w:r>
      <w:r w:rsidRPr="00EB2BD8">
        <w:rPr>
          <w:spacing w:val="-5"/>
        </w:rPr>
        <w:t xml:space="preserve"> </w:t>
      </w:r>
      <w:r w:rsidRPr="00EB2BD8">
        <w:t>experts</w:t>
      </w:r>
      <w:r w:rsidRPr="00EB2BD8">
        <w:rPr>
          <w:spacing w:val="-5"/>
        </w:rPr>
        <w:t xml:space="preserve"> </w:t>
      </w:r>
      <w:r w:rsidRPr="00EB2BD8">
        <w:t>from</w:t>
      </w:r>
      <w:r w:rsidRPr="00EB2BD8">
        <w:rPr>
          <w:spacing w:val="-5"/>
        </w:rPr>
        <w:t xml:space="preserve"> </w:t>
      </w:r>
      <w:r w:rsidRPr="00EB2BD8">
        <w:t>across</w:t>
      </w:r>
      <w:r w:rsidRPr="00EB2BD8">
        <w:rPr>
          <w:spacing w:val="-5"/>
        </w:rPr>
        <w:t xml:space="preserve"> </w:t>
      </w:r>
      <w:r w:rsidRPr="00EB2BD8">
        <w:t>the</w:t>
      </w:r>
      <w:r w:rsidRPr="00EB2BD8">
        <w:rPr>
          <w:spacing w:val="-5"/>
        </w:rPr>
        <w:t xml:space="preserve"> </w:t>
      </w:r>
      <w:r w:rsidRPr="00EB2BD8">
        <w:t>VBA</w:t>
      </w:r>
      <w:r w:rsidRPr="00EB2BD8">
        <w:rPr>
          <w:spacing w:val="-5"/>
        </w:rPr>
        <w:t xml:space="preserve"> </w:t>
      </w:r>
      <w:r w:rsidRPr="00EB2BD8">
        <w:t>was</w:t>
      </w:r>
      <w:r w:rsidRPr="00EB2BD8">
        <w:rPr>
          <w:spacing w:val="-5"/>
        </w:rPr>
        <w:t xml:space="preserve"> </w:t>
      </w:r>
      <w:r w:rsidRPr="00EB2BD8">
        <w:t>piloted this year. This team included building inspectors, plumbing inspectors, building auditors, investigators, building surveyors and structural and fire safety engineers. The pilot program intended to test an inspection approach aimed at identifying serious non- compliances</w:t>
      </w:r>
      <w:r w:rsidRPr="00EB2BD8">
        <w:rPr>
          <w:spacing w:val="-8"/>
        </w:rPr>
        <w:t xml:space="preserve"> </w:t>
      </w:r>
      <w:r w:rsidRPr="00EB2BD8">
        <w:t>at</w:t>
      </w:r>
      <w:r w:rsidRPr="00EB2BD8">
        <w:rPr>
          <w:spacing w:val="-8"/>
        </w:rPr>
        <w:t xml:space="preserve"> </w:t>
      </w:r>
      <w:r w:rsidRPr="00EB2BD8">
        <w:t>key</w:t>
      </w:r>
      <w:r w:rsidRPr="00EB2BD8">
        <w:rPr>
          <w:spacing w:val="-8"/>
        </w:rPr>
        <w:t xml:space="preserve"> </w:t>
      </w:r>
      <w:r w:rsidRPr="00EB2BD8">
        <w:t>stages</w:t>
      </w:r>
      <w:r w:rsidRPr="00EB2BD8">
        <w:rPr>
          <w:spacing w:val="-8"/>
        </w:rPr>
        <w:t xml:space="preserve"> </w:t>
      </w:r>
      <w:r w:rsidRPr="00EB2BD8">
        <w:t>of</w:t>
      </w:r>
      <w:r w:rsidRPr="00EB2BD8">
        <w:rPr>
          <w:spacing w:val="-8"/>
        </w:rPr>
        <w:t xml:space="preserve"> </w:t>
      </w:r>
      <w:r w:rsidRPr="00EB2BD8">
        <w:t>building</w:t>
      </w:r>
      <w:r w:rsidRPr="00EB2BD8">
        <w:rPr>
          <w:spacing w:val="-8"/>
        </w:rPr>
        <w:t xml:space="preserve"> </w:t>
      </w:r>
      <w:r w:rsidRPr="00EB2BD8">
        <w:t>on</w:t>
      </w:r>
      <w:r w:rsidRPr="00EB2BD8">
        <w:rPr>
          <w:spacing w:val="-8"/>
        </w:rPr>
        <w:t xml:space="preserve"> </w:t>
      </w:r>
      <w:r w:rsidRPr="00EB2BD8">
        <w:t>several</w:t>
      </w:r>
      <w:r w:rsidRPr="00EB2BD8">
        <w:rPr>
          <w:spacing w:val="-8"/>
        </w:rPr>
        <w:t xml:space="preserve"> </w:t>
      </w:r>
      <w:r w:rsidRPr="00EB2BD8">
        <w:t>class</w:t>
      </w:r>
      <w:r w:rsidRPr="00EB2BD8">
        <w:rPr>
          <w:spacing w:val="-8"/>
        </w:rPr>
        <w:t xml:space="preserve"> </w:t>
      </w:r>
      <w:r w:rsidRPr="00EB2BD8">
        <w:t>2 building</w:t>
      </w:r>
      <w:r w:rsidRPr="00EB2BD8">
        <w:rPr>
          <w:spacing w:val="-7"/>
        </w:rPr>
        <w:t xml:space="preserve"> </w:t>
      </w:r>
      <w:r w:rsidRPr="00EB2BD8">
        <w:t>sites,</w:t>
      </w:r>
      <w:r w:rsidRPr="00EB2BD8">
        <w:rPr>
          <w:spacing w:val="-7"/>
        </w:rPr>
        <w:t xml:space="preserve"> </w:t>
      </w:r>
      <w:r w:rsidRPr="00EB2BD8">
        <w:t>and</w:t>
      </w:r>
      <w:r w:rsidRPr="00EB2BD8">
        <w:rPr>
          <w:spacing w:val="-7"/>
        </w:rPr>
        <w:t xml:space="preserve"> </w:t>
      </w:r>
      <w:r w:rsidRPr="00EB2BD8">
        <w:t>to</w:t>
      </w:r>
      <w:r w:rsidRPr="00EB2BD8">
        <w:rPr>
          <w:spacing w:val="-7"/>
        </w:rPr>
        <w:t xml:space="preserve"> </w:t>
      </w:r>
      <w:r w:rsidRPr="00EB2BD8">
        <w:t>ensure</w:t>
      </w:r>
      <w:r w:rsidRPr="00EB2BD8">
        <w:rPr>
          <w:spacing w:val="-7"/>
        </w:rPr>
        <w:t xml:space="preserve"> </w:t>
      </w:r>
      <w:r w:rsidRPr="00EB2BD8">
        <w:t>those</w:t>
      </w:r>
      <w:r w:rsidRPr="00EB2BD8">
        <w:rPr>
          <w:spacing w:val="-7"/>
        </w:rPr>
        <w:t xml:space="preserve"> </w:t>
      </w:r>
      <w:r w:rsidRPr="00EB2BD8">
        <w:t>issues</w:t>
      </w:r>
      <w:r w:rsidRPr="00EB2BD8">
        <w:rPr>
          <w:spacing w:val="-7"/>
        </w:rPr>
        <w:t xml:space="preserve"> </w:t>
      </w:r>
      <w:r w:rsidRPr="00EB2BD8">
        <w:t>were</w:t>
      </w:r>
      <w:r w:rsidRPr="00EB2BD8">
        <w:rPr>
          <w:spacing w:val="-7"/>
        </w:rPr>
        <w:t xml:space="preserve"> </w:t>
      </w:r>
      <w:r w:rsidRPr="00EB2BD8">
        <w:t>rectified before being transferred to purchasers. The VBA is reviewing</w:t>
      </w:r>
      <w:r w:rsidRPr="00EB2BD8">
        <w:rPr>
          <w:spacing w:val="-2"/>
        </w:rPr>
        <w:t xml:space="preserve"> </w:t>
      </w:r>
      <w:r w:rsidRPr="00EB2BD8">
        <w:t>the</w:t>
      </w:r>
      <w:r w:rsidRPr="00EB2BD8">
        <w:rPr>
          <w:spacing w:val="-2"/>
        </w:rPr>
        <w:t xml:space="preserve"> </w:t>
      </w:r>
      <w:r w:rsidRPr="00EB2BD8">
        <w:t>learnings</w:t>
      </w:r>
      <w:r w:rsidRPr="00EB2BD8">
        <w:rPr>
          <w:spacing w:val="-2"/>
        </w:rPr>
        <w:t xml:space="preserve"> </w:t>
      </w:r>
      <w:r w:rsidRPr="00EB2BD8">
        <w:t>from</w:t>
      </w:r>
      <w:r w:rsidRPr="00EB2BD8">
        <w:rPr>
          <w:spacing w:val="-2"/>
        </w:rPr>
        <w:t xml:space="preserve"> </w:t>
      </w:r>
      <w:r w:rsidRPr="00EB2BD8">
        <w:t>this</w:t>
      </w:r>
      <w:r w:rsidRPr="00EB2BD8">
        <w:rPr>
          <w:spacing w:val="-2"/>
        </w:rPr>
        <w:t xml:space="preserve"> </w:t>
      </w:r>
      <w:r w:rsidRPr="00EB2BD8">
        <w:t>work</w:t>
      </w:r>
      <w:r w:rsidRPr="00EB2BD8">
        <w:rPr>
          <w:spacing w:val="-2"/>
        </w:rPr>
        <w:t xml:space="preserve"> </w:t>
      </w:r>
      <w:r w:rsidRPr="00EB2BD8">
        <w:t>to</w:t>
      </w:r>
      <w:r w:rsidRPr="00EB2BD8">
        <w:rPr>
          <w:spacing w:val="-2"/>
        </w:rPr>
        <w:t xml:space="preserve"> </w:t>
      </w:r>
      <w:r w:rsidRPr="00EB2BD8">
        <w:t>inform</w:t>
      </w:r>
      <w:r w:rsidRPr="00EB2BD8">
        <w:rPr>
          <w:spacing w:val="-2"/>
        </w:rPr>
        <w:t xml:space="preserve"> </w:t>
      </w:r>
      <w:r w:rsidRPr="00EB2BD8">
        <w:t xml:space="preserve">future </w:t>
      </w:r>
      <w:r w:rsidRPr="00EB2BD8">
        <w:rPr>
          <w:spacing w:val="-2"/>
        </w:rPr>
        <w:t>activities.</w:t>
      </w:r>
    </w:p>
    <w:p w14:paraId="067BFED0" w14:textId="77777777" w:rsidR="00084F36" w:rsidRPr="00EB2BD8" w:rsidRDefault="00EB2BD8">
      <w:pPr>
        <w:pStyle w:val="BodyText"/>
        <w:spacing w:before="101" w:line="261" w:lineRule="auto"/>
        <w:ind w:left="850" w:right="73"/>
      </w:pPr>
      <w:r w:rsidRPr="00EB2BD8">
        <w:t xml:space="preserve">The VBA received 1,746 plumbing complaints and </w:t>
      </w:r>
      <w:r w:rsidRPr="00EB2BD8">
        <w:rPr>
          <w:spacing w:val="-6"/>
        </w:rPr>
        <w:t>1,791</w:t>
      </w:r>
      <w:r w:rsidRPr="00EB2BD8">
        <w:rPr>
          <w:spacing w:val="-13"/>
        </w:rPr>
        <w:t xml:space="preserve"> </w:t>
      </w:r>
      <w:r w:rsidRPr="00EB2BD8">
        <w:rPr>
          <w:spacing w:val="-6"/>
        </w:rPr>
        <w:t>building</w:t>
      </w:r>
      <w:r w:rsidRPr="00EB2BD8">
        <w:rPr>
          <w:spacing w:val="-11"/>
        </w:rPr>
        <w:t xml:space="preserve"> </w:t>
      </w:r>
      <w:r w:rsidRPr="00EB2BD8">
        <w:rPr>
          <w:spacing w:val="-6"/>
        </w:rPr>
        <w:t>complaints</w:t>
      </w:r>
      <w:r w:rsidRPr="00EB2BD8">
        <w:rPr>
          <w:spacing w:val="-11"/>
        </w:rPr>
        <w:t xml:space="preserve"> </w:t>
      </w:r>
      <w:r w:rsidRPr="00EB2BD8">
        <w:rPr>
          <w:spacing w:val="-6"/>
        </w:rPr>
        <w:t>in</w:t>
      </w:r>
      <w:r w:rsidRPr="00EB2BD8">
        <w:rPr>
          <w:spacing w:val="-11"/>
        </w:rPr>
        <w:t xml:space="preserve"> </w:t>
      </w:r>
      <w:r w:rsidRPr="00EB2BD8">
        <w:rPr>
          <w:spacing w:val="-6"/>
        </w:rPr>
        <w:t>2022-23.</w:t>
      </w:r>
      <w:r w:rsidRPr="00EB2BD8">
        <w:rPr>
          <w:spacing w:val="-11"/>
        </w:rPr>
        <w:t xml:space="preserve"> </w:t>
      </w:r>
      <w:r w:rsidRPr="00EB2BD8">
        <w:rPr>
          <w:spacing w:val="-6"/>
        </w:rPr>
        <w:t>The</w:t>
      </w:r>
      <w:r w:rsidRPr="00EB2BD8">
        <w:rPr>
          <w:spacing w:val="-11"/>
        </w:rPr>
        <w:t xml:space="preserve"> </w:t>
      </w:r>
      <w:r w:rsidRPr="00EB2BD8">
        <w:rPr>
          <w:spacing w:val="-6"/>
        </w:rPr>
        <w:t>number</w:t>
      </w:r>
      <w:r w:rsidRPr="00EB2BD8">
        <w:rPr>
          <w:spacing w:val="-11"/>
        </w:rPr>
        <w:t xml:space="preserve"> </w:t>
      </w:r>
      <w:r w:rsidRPr="00EB2BD8">
        <w:rPr>
          <w:spacing w:val="-6"/>
        </w:rPr>
        <w:t xml:space="preserve">of </w:t>
      </w:r>
      <w:r w:rsidRPr="00EB2BD8">
        <w:t>plumbing</w:t>
      </w:r>
      <w:r w:rsidRPr="00EB2BD8">
        <w:rPr>
          <w:spacing w:val="-7"/>
        </w:rPr>
        <w:t xml:space="preserve"> </w:t>
      </w:r>
      <w:r w:rsidRPr="00EB2BD8">
        <w:t>complaints</w:t>
      </w:r>
      <w:r w:rsidRPr="00EB2BD8">
        <w:rPr>
          <w:spacing w:val="-7"/>
        </w:rPr>
        <w:t xml:space="preserve"> </w:t>
      </w:r>
      <w:r w:rsidRPr="00EB2BD8">
        <w:t>has</w:t>
      </w:r>
      <w:r w:rsidRPr="00EB2BD8">
        <w:rPr>
          <w:spacing w:val="-7"/>
        </w:rPr>
        <w:t xml:space="preserve"> </w:t>
      </w:r>
      <w:r w:rsidRPr="00EB2BD8">
        <w:t>increased</w:t>
      </w:r>
      <w:r w:rsidRPr="00EB2BD8">
        <w:rPr>
          <w:spacing w:val="-7"/>
        </w:rPr>
        <w:t xml:space="preserve"> </w:t>
      </w:r>
      <w:r w:rsidRPr="00EB2BD8">
        <w:t>by</w:t>
      </w:r>
      <w:r w:rsidRPr="00EB2BD8">
        <w:rPr>
          <w:spacing w:val="-7"/>
        </w:rPr>
        <w:t xml:space="preserve"> </w:t>
      </w:r>
      <w:r w:rsidRPr="00EB2BD8">
        <w:t>21</w:t>
      </w:r>
      <w:r w:rsidRPr="00EB2BD8">
        <w:rPr>
          <w:spacing w:val="-7"/>
        </w:rPr>
        <w:t xml:space="preserve"> </w:t>
      </w:r>
      <w:r w:rsidRPr="00EB2BD8">
        <w:t>per</w:t>
      </w:r>
      <w:r w:rsidRPr="00EB2BD8">
        <w:rPr>
          <w:spacing w:val="-7"/>
        </w:rPr>
        <w:t xml:space="preserve"> </w:t>
      </w:r>
      <w:r w:rsidRPr="00EB2BD8">
        <w:t>cent compared to last year, while building complaints</w:t>
      </w:r>
    </w:p>
    <w:p w14:paraId="5DEB28B5" w14:textId="77777777" w:rsidR="00084F36" w:rsidRPr="00EB2BD8" w:rsidRDefault="00EB2BD8">
      <w:pPr>
        <w:pStyle w:val="BodyText"/>
        <w:spacing w:line="261" w:lineRule="auto"/>
        <w:ind w:left="850" w:right="12"/>
      </w:pPr>
      <w:r w:rsidRPr="00EB2BD8">
        <w:t>reduced by three per cent compared to last year. One of the reasons for the increase in plumbing complaints has been consumers seeking plumbing compliance certificates</w:t>
      </w:r>
      <w:r w:rsidRPr="00EB2BD8">
        <w:rPr>
          <w:spacing w:val="-4"/>
        </w:rPr>
        <w:t xml:space="preserve"> </w:t>
      </w:r>
      <w:r w:rsidRPr="00EB2BD8">
        <w:t>after</w:t>
      </w:r>
      <w:r w:rsidRPr="00EB2BD8">
        <w:rPr>
          <w:spacing w:val="-4"/>
        </w:rPr>
        <w:t xml:space="preserve"> </w:t>
      </w:r>
      <w:r w:rsidRPr="00EB2BD8">
        <w:t>building</w:t>
      </w:r>
      <w:r w:rsidRPr="00EB2BD8">
        <w:rPr>
          <w:spacing w:val="-4"/>
        </w:rPr>
        <w:t xml:space="preserve"> </w:t>
      </w:r>
      <w:r w:rsidRPr="00EB2BD8">
        <w:t>work</w:t>
      </w:r>
      <w:r w:rsidRPr="00EB2BD8">
        <w:rPr>
          <w:spacing w:val="-4"/>
        </w:rPr>
        <w:t xml:space="preserve"> </w:t>
      </w:r>
      <w:r w:rsidRPr="00EB2BD8">
        <w:t>on</w:t>
      </w:r>
      <w:r w:rsidRPr="00EB2BD8">
        <w:rPr>
          <w:spacing w:val="-4"/>
        </w:rPr>
        <w:t xml:space="preserve"> </w:t>
      </w:r>
      <w:r w:rsidRPr="00EB2BD8">
        <w:t>their</w:t>
      </w:r>
      <w:r w:rsidRPr="00EB2BD8">
        <w:rPr>
          <w:spacing w:val="-4"/>
        </w:rPr>
        <w:t xml:space="preserve"> </w:t>
      </w:r>
      <w:r w:rsidRPr="00EB2BD8">
        <w:t>site</w:t>
      </w:r>
      <w:r w:rsidRPr="00EB2BD8">
        <w:rPr>
          <w:spacing w:val="-4"/>
        </w:rPr>
        <w:t xml:space="preserve"> </w:t>
      </w:r>
      <w:r w:rsidRPr="00EB2BD8">
        <w:t>ceased</w:t>
      </w:r>
      <w:r w:rsidRPr="00EB2BD8">
        <w:rPr>
          <w:spacing w:val="-4"/>
        </w:rPr>
        <w:t xml:space="preserve"> </w:t>
      </w:r>
      <w:r w:rsidRPr="00EB2BD8">
        <w:t>as</w:t>
      </w:r>
      <w:r w:rsidRPr="00EB2BD8">
        <w:rPr>
          <w:spacing w:val="-4"/>
        </w:rPr>
        <w:t xml:space="preserve"> </w:t>
      </w:r>
      <w:r w:rsidRPr="00EB2BD8">
        <w:t>a result of builder insolvency.</w:t>
      </w:r>
    </w:p>
    <w:p w14:paraId="21859BF8" w14:textId="77777777" w:rsidR="00084F36" w:rsidRPr="00EB2BD8" w:rsidRDefault="00EB2BD8">
      <w:pPr>
        <w:rPr>
          <w:sz w:val="20"/>
        </w:rPr>
      </w:pPr>
      <w:r w:rsidRPr="00EB2BD8">
        <w:br w:type="column"/>
      </w:r>
    </w:p>
    <w:p w14:paraId="1DBD485F" w14:textId="77777777" w:rsidR="00084F36" w:rsidRPr="00EB2BD8" w:rsidRDefault="00084F36">
      <w:pPr>
        <w:pStyle w:val="BodyText"/>
        <w:spacing w:before="9"/>
        <w:rPr>
          <w:sz w:val="28"/>
        </w:rPr>
      </w:pPr>
    </w:p>
    <w:p w14:paraId="018E1EBC" w14:textId="77777777" w:rsidR="00084F36" w:rsidRPr="00EB2BD8" w:rsidRDefault="00EB2BD8">
      <w:pPr>
        <w:pStyle w:val="BodyText"/>
        <w:spacing w:line="261" w:lineRule="auto"/>
        <w:ind w:left="427" w:right="1457"/>
      </w:pPr>
      <w:r w:rsidRPr="00EB2BD8">
        <w:t>Referrals for investigation continue to decline due</w:t>
      </w:r>
      <w:r w:rsidRPr="00EB2BD8">
        <w:rPr>
          <w:spacing w:val="-3"/>
        </w:rPr>
        <w:t xml:space="preserve"> </w:t>
      </w:r>
      <w:r w:rsidRPr="00EB2BD8">
        <w:t>to</w:t>
      </w:r>
      <w:r w:rsidRPr="00EB2BD8">
        <w:rPr>
          <w:spacing w:val="-3"/>
        </w:rPr>
        <w:t xml:space="preserve"> </w:t>
      </w:r>
      <w:r w:rsidRPr="00EB2BD8">
        <w:t>a</w:t>
      </w:r>
      <w:r w:rsidRPr="00EB2BD8">
        <w:rPr>
          <w:spacing w:val="-3"/>
        </w:rPr>
        <w:t xml:space="preserve"> </w:t>
      </w:r>
      <w:r w:rsidRPr="00EB2BD8">
        <w:t>pre</w:t>
      </w:r>
      <w:r w:rsidRPr="00EB2BD8">
        <w:rPr>
          <w:spacing w:val="-3"/>
        </w:rPr>
        <w:t xml:space="preserve"> </w:t>
      </w:r>
      <w:r w:rsidRPr="00EB2BD8">
        <w:t>investigation</w:t>
      </w:r>
      <w:r w:rsidRPr="00EB2BD8">
        <w:rPr>
          <w:spacing w:val="-3"/>
        </w:rPr>
        <w:t xml:space="preserve"> </w:t>
      </w:r>
      <w:r w:rsidRPr="00EB2BD8">
        <w:t>process</w:t>
      </w:r>
      <w:r w:rsidRPr="00EB2BD8">
        <w:rPr>
          <w:spacing w:val="-3"/>
        </w:rPr>
        <w:t xml:space="preserve"> </w:t>
      </w:r>
      <w:r w:rsidRPr="00EB2BD8">
        <w:t>that</w:t>
      </w:r>
      <w:r w:rsidRPr="00EB2BD8">
        <w:rPr>
          <w:spacing w:val="-3"/>
        </w:rPr>
        <w:t xml:space="preserve"> </w:t>
      </w:r>
      <w:r w:rsidRPr="00EB2BD8">
        <w:t>facilitates earlier complaint resolution. This process sees early intervention by a plumbing investigator</w:t>
      </w:r>
      <w:r w:rsidRPr="00EB2BD8">
        <w:rPr>
          <w:spacing w:val="40"/>
        </w:rPr>
        <w:t xml:space="preserve"> </w:t>
      </w:r>
      <w:r w:rsidRPr="00EB2BD8">
        <w:t>and engagement with the practitioner to achieve</w:t>
      </w:r>
    </w:p>
    <w:p w14:paraId="443DCAF1" w14:textId="77777777" w:rsidR="00084F36" w:rsidRPr="00EB2BD8" w:rsidRDefault="00EB2BD8">
      <w:pPr>
        <w:pStyle w:val="BodyText"/>
        <w:spacing w:line="261" w:lineRule="auto"/>
        <w:ind w:left="427" w:right="847"/>
      </w:pPr>
      <w:r w:rsidRPr="00EB2BD8">
        <w:t>rectification</w:t>
      </w:r>
      <w:r w:rsidRPr="00EB2BD8">
        <w:rPr>
          <w:spacing w:val="-13"/>
        </w:rPr>
        <w:t xml:space="preserve"> </w:t>
      </w:r>
      <w:r w:rsidRPr="00EB2BD8">
        <w:t>without</w:t>
      </w:r>
      <w:r w:rsidRPr="00EB2BD8">
        <w:rPr>
          <w:spacing w:val="-13"/>
        </w:rPr>
        <w:t xml:space="preserve"> </w:t>
      </w:r>
      <w:r w:rsidRPr="00EB2BD8">
        <w:t>the</w:t>
      </w:r>
      <w:r w:rsidRPr="00EB2BD8">
        <w:rPr>
          <w:spacing w:val="-13"/>
        </w:rPr>
        <w:t xml:space="preserve"> </w:t>
      </w:r>
      <w:r w:rsidRPr="00EB2BD8">
        <w:t>necessity</w:t>
      </w:r>
      <w:r w:rsidRPr="00EB2BD8">
        <w:rPr>
          <w:spacing w:val="-13"/>
        </w:rPr>
        <w:t xml:space="preserve"> </w:t>
      </w:r>
      <w:r w:rsidRPr="00EB2BD8">
        <w:t>for</w:t>
      </w:r>
      <w:r w:rsidRPr="00EB2BD8">
        <w:rPr>
          <w:spacing w:val="-13"/>
        </w:rPr>
        <w:t xml:space="preserve"> </w:t>
      </w:r>
      <w:r w:rsidRPr="00EB2BD8">
        <w:t>investigation.</w:t>
      </w:r>
      <w:r w:rsidRPr="00EB2BD8">
        <w:rPr>
          <w:spacing w:val="-13"/>
        </w:rPr>
        <w:t xml:space="preserve"> </w:t>
      </w:r>
      <w:r w:rsidRPr="00EB2BD8">
        <w:t>The most common plumbing work complaints related to failure to receive a compliance certificate, roofing and storm water drainage.</w:t>
      </w:r>
    </w:p>
    <w:p w14:paraId="119F65AF" w14:textId="77777777" w:rsidR="00084F36" w:rsidRPr="00EB2BD8" w:rsidRDefault="00EB2BD8">
      <w:pPr>
        <w:pStyle w:val="BodyText"/>
        <w:spacing w:before="105" w:line="261" w:lineRule="auto"/>
        <w:ind w:left="427" w:right="847"/>
      </w:pPr>
      <w:r w:rsidRPr="00EB2BD8">
        <w:t>One hundred and fifty-one building complaints were escalated</w:t>
      </w:r>
      <w:r w:rsidRPr="00EB2BD8">
        <w:rPr>
          <w:spacing w:val="-7"/>
        </w:rPr>
        <w:t xml:space="preserve"> </w:t>
      </w:r>
      <w:r w:rsidRPr="00EB2BD8">
        <w:t>for</w:t>
      </w:r>
      <w:r w:rsidRPr="00EB2BD8">
        <w:rPr>
          <w:spacing w:val="-7"/>
        </w:rPr>
        <w:t xml:space="preserve"> </w:t>
      </w:r>
      <w:r w:rsidRPr="00EB2BD8">
        <w:t>investigation</w:t>
      </w:r>
      <w:r w:rsidRPr="00EB2BD8">
        <w:rPr>
          <w:spacing w:val="-7"/>
        </w:rPr>
        <w:t xml:space="preserve"> </w:t>
      </w:r>
      <w:r w:rsidRPr="00EB2BD8">
        <w:t>or</w:t>
      </w:r>
      <w:r w:rsidRPr="00EB2BD8">
        <w:rPr>
          <w:spacing w:val="-7"/>
        </w:rPr>
        <w:t xml:space="preserve"> </w:t>
      </w:r>
      <w:r w:rsidRPr="00EB2BD8">
        <w:t>practitioner</w:t>
      </w:r>
      <w:r w:rsidRPr="00EB2BD8">
        <w:rPr>
          <w:spacing w:val="-7"/>
        </w:rPr>
        <w:t xml:space="preserve"> </w:t>
      </w:r>
      <w:r w:rsidRPr="00EB2BD8">
        <w:t>discipline</w:t>
      </w:r>
      <w:r w:rsidRPr="00EB2BD8">
        <w:rPr>
          <w:spacing w:val="-7"/>
        </w:rPr>
        <w:t xml:space="preserve"> </w:t>
      </w:r>
      <w:r w:rsidRPr="00EB2BD8">
        <w:t xml:space="preserve">this year, compared to 188 last year, as a greater emphasis was placed on early education and warnings to prevent repeat conduct. The most common building work complaints related to frame or structure, roofing and </w:t>
      </w:r>
      <w:r w:rsidRPr="00EB2BD8">
        <w:rPr>
          <w:spacing w:val="-2"/>
        </w:rPr>
        <w:t>footings.</w:t>
      </w:r>
    </w:p>
    <w:p w14:paraId="2B0C9942" w14:textId="77777777" w:rsidR="00084F36" w:rsidRPr="00EB2BD8" w:rsidRDefault="00EB2BD8">
      <w:pPr>
        <w:pStyle w:val="BodyText"/>
        <w:spacing w:before="106" w:line="261" w:lineRule="auto"/>
        <w:ind w:left="427" w:right="1104"/>
      </w:pPr>
      <w:r w:rsidRPr="00EB2BD8">
        <w:t>The VBA conducts investigations to determine if there is sufficient evidence to prove that a person has contravened relevant legislation. Referrals for investigation may be received as an escalated complaint, as an internal referral or from external agencies. Enforcement actions include warnings, issuing</w:t>
      </w:r>
      <w:r w:rsidRPr="00EB2BD8">
        <w:rPr>
          <w:spacing w:val="-15"/>
        </w:rPr>
        <w:t xml:space="preserve"> </w:t>
      </w:r>
      <w:r w:rsidRPr="00EB2BD8">
        <w:t>rectification</w:t>
      </w:r>
      <w:r w:rsidRPr="00EB2BD8">
        <w:rPr>
          <w:spacing w:val="-14"/>
        </w:rPr>
        <w:t xml:space="preserve"> </w:t>
      </w:r>
      <w:r w:rsidRPr="00EB2BD8">
        <w:t>notices,</w:t>
      </w:r>
      <w:r w:rsidRPr="00EB2BD8">
        <w:rPr>
          <w:spacing w:val="-14"/>
        </w:rPr>
        <w:t xml:space="preserve"> </w:t>
      </w:r>
      <w:r w:rsidRPr="00EB2BD8">
        <w:t>referrals</w:t>
      </w:r>
      <w:r w:rsidRPr="00EB2BD8">
        <w:rPr>
          <w:spacing w:val="-14"/>
        </w:rPr>
        <w:t xml:space="preserve"> </w:t>
      </w:r>
      <w:r w:rsidRPr="00EB2BD8">
        <w:t>for</w:t>
      </w:r>
      <w:r w:rsidRPr="00EB2BD8">
        <w:rPr>
          <w:spacing w:val="-15"/>
        </w:rPr>
        <w:t xml:space="preserve"> </w:t>
      </w:r>
      <w:r w:rsidRPr="00EB2BD8">
        <w:t>disciplinary inquiry and referral for prosecution. The VBA issues</w:t>
      </w:r>
    </w:p>
    <w:p w14:paraId="1D6032AC" w14:textId="77777777" w:rsidR="00084F36" w:rsidRPr="00EB2BD8" w:rsidRDefault="00EB2BD8">
      <w:pPr>
        <w:pStyle w:val="BodyText"/>
        <w:spacing w:line="261" w:lineRule="auto"/>
        <w:ind w:left="427" w:right="847"/>
      </w:pPr>
      <w:r w:rsidRPr="00EB2BD8">
        <w:t>infringement</w:t>
      </w:r>
      <w:r w:rsidRPr="00EB2BD8">
        <w:rPr>
          <w:spacing w:val="-7"/>
        </w:rPr>
        <w:t xml:space="preserve"> </w:t>
      </w:r>
      <w:r w:rsidRPr="00EB2BD8">
        <w:t>notices</w:t>
      </w:r>
      <w:r w:rsidRPr="00EB2BD8">
        <w:rPr>
          <w:spacing w:val="-7"/>
        </w:rPr>
        <w:t xml:space="preserve"> </w:t>
      </w:r>
      <w:r w:rsidRPr="00EB2BD8">
        <w:t>to</w:t>
      </w:r>
      <w:r w:rsidRPr="00EB2BD8">
        <w:rPr>
          <w:spacing w:val="-7"/>
        </w:rPr>
        <w:t xml:space="preserve"> </w:t>
      </w:r>
      <w:r w:rsidRPr="00EB2BD8">
        <w:t>licensed</w:t>
      </w:r>
      <w:r w:rsidRPr="00EB2BD8">
        <w:rPr>
          <w:spacing w:val="-7"/>
        </w:rPr>
        <w:t xml:space="preserve"> </w:t>
      </w:r>
      <w:r w:rsidRPr="00EB2BD8">
        <w:t>plumbers</w:t>
      </w:r>
      <w:r w:rsidRPr="00EB2BD8">
        <w:rPr>
          <w:spacing w:val="-7"/>
        </w:rPr>
        <w:t xml:space="preserve"> </w:t>
      </w:r>
      <w:r w:rsidRPr="00EB2BD8">
        <w:t>for</w:t>
      </w:r>
      <w:r w:rsidRPr="00EB2BD8">
        <w:rPr>
          <w:spacing w:val="-7"/>
        </w:rPr>
        <w:t xml:space="preserve"> </w:t>
      </w:r>
      <w:r w:rsidRPr="00EB2BD8">
        <w:t>breaches of the Act, which informs the number of penalty units that may be issued for identified breaches.</w:t>
      </w:r>
    </w:p>
    <w:p w14:paraId="0E84C515" w14:textId="77777777" w:rsidR="00084F36" w:rsidRPr="00EB2BD8" w:rsidRDefault="00EB2BD8">
      <w:pPr>
        <w:pStyle w:val="BodyText"/>
        <w:spacing w:before="102" w:line="261" w:lineRule="auto"/>
        <w:ind w:left="427" w:right="873"/>
      </w:pPr>
      <w:r w:rsidRPr="00EB2BD8">
        <w:t>The VBA continued to address a large volume of investigation and discipline cases throughout the year, prioritising</w:t>
      </w:r>
      <w:r w:rsidRPr="00EB2BD8">
        <w:rPr>
          <w:spacing w:val="-12"/>
        </w:rPr>
        <w:t xml:space="preserve"> </w:t>
      </w:r>
      <w:r w:rsidRPr="00EB2BD8">
        <w:t>those</w:t>
      </w:r>
      <w:r w:rsidRPr="00EB2BD8">
        <w:rPr>
          <w:spacing w:val="-12"/>
        </w:rPr>
        <w:t xml:space="preserve"> </w:t>
      </w:r>
      <w:r w:rsidRPr="00EB2BD8">
        <w:t>matters</w:t>
      </w:r>
      <w:r w:rsidRPr="00EB2BD8">
        <w:rPr>
          <w:spacing w:val="-12"/>
        </w:rPr>
        <w:t xml:space="preserve"> </w:t>
      </w:r>
      <w:r w:rsidRPr="00EB2BD8">
        <w:t>which</w:t>
      </w:r>
      <w:r w:rsidRPr="00EB2BD8">
        <w:rPr>
          <w:spacing w:val="-12"/>
        </w:rPr>
        <w:t xml:space="preserve"> </w:t>
      </w:r>
      <w:r w:rsidRPr="00EB2BD8">
        <w:t>raised</w:t>
      </w:r>
      <w:r w:rsidRPr="00EB2BD8">
        <w:rPr>
          <w:spacing w:val="-12"/>
        </w:rPr>
        <w:t xml:space="preserve"> </w:t>
      </w:r>
      <w:r w:rsidRPr="00EB2BD8">
        <w:t>the</w:t>
      </w:r>
      <w:r w:rsidRPr="00EB2BD8">
        <w:rPr>
          <w:spacing w:val="-12"/>
        </w:rPr>
        <w:t xml:space="preserve"> </w:t>
      </w:r>
      <w:r w:rsidRPr="00EB2BD8">
        <w:t>most</w:t>
      </w:r>
      <w:r w:rsidRPr="00EB2BD8">
        <w:rPr>
          <w:spacing w:val="-12"/>
        </w:rPr>
        <w:t xml:space="preserve"> </w:t>
      </w:r>
      <w:r w:rsidRPr="00EB2BD8">
        <w:t>serious risks to the community. Positive progress has been made throughout the year to reduce the number of backlogged cases, which are expected to be finalised by</w:t>
      </w:r>
      <w:r w:rsidRPr="00EB2BD8">
        <w:rPr>
          <w:spacing w:val="-6"/>
        </w:rPr>
        <w:t xml:space="preserve"> </w:t>
      </w:r>
      <w:r w:rsidRPr="00EB2BD8">
        <w:t>2024.</w:t>
      </w:r>
    </w:p>
    <w:p w14:paraId="16896CE1" w14:textId="77777777" w:rsidR="00084F36" w:rsidRPr="00EB2BD8" w:rsidRDefault="00EB2BD8">
      <w:pPr>
        <w:pStyle w:val="BodyText"/>
        <w:spacing w:before="106" w:line="261" w:lineRule="auto"/>
        <w:ind w:left="427" w:right="873"/>
      </w:pPr>
      <w:r w:rsidRPr="00EB2BD8">
        <w:t>At</w:t>
      </w:r>
      <w:r w:rsidRPr="00EB2BD8">
        <w:rPr>
          <w:spacing w:val="-11"/>
        </w:rPr>
        <w:t xml:space="preserve"> </w:t>
      </w:r>
      <w:r w:rsidRPr="00EB2BD8">
        <w:t>the</w:t>
      </w:r>
      <w:r w:rsidRPr="00EB2BD8">
        <w:rPr>
          <w:spacing w:val="-11"/>
        </w:rPr>
        <w:t xml:space="preserve"> </w:t>
      </w:r>
      <w:r w:rsidRPr="00EB2BD8">
        <w:t>end</w:t>
      </w:r>
      <w:r w:rsidRPr="00EB2BD8">
        <w:rPr>
          <w:spacing w:val="-11"/>
        </w:rPr>
        <w:t xml:space="preserve"> </w:t>
      </w:r>
      <w:r w:rsidRPr="00EB2BD8">
        <w:t>of</w:t>
      </w:r>
      <w:r w:rsidRPr="00EB2BD8">
        <w:rPr>
          <w:spacing w:val="-11"/>
        </w:rPr>
        <w:t xml:space="preserve"> </w:t>
      </w:r>
      <w:r w:rsidRPr="00EB2BD8">
        <w:t>2022-23,</w:t>
      </w:r>
      <w:r w:rsidRPr="00EB2BD8">
        <w:rPr>
          <w:spacing w:val="-11"/>
        </w:rPr>
        <w:t xml:space="preserve"> </w:t>
      </w:r>
      <w:r w:rsidRPr="00EB2BD8">
        <w:t>341</w:t>
      </w:r>
      <w:r w:rsidRPr="00EB2BD8">
        <w:rPr>
          <w:spacing w:val="-11"/>
        </w:rPr>
        <w:t xml:space="preserve"> </w:t>
      </w:r>
      <w:r w:rsidRPr="00EB2BD8">
        <w:t>plumbing</w:t>
      </w:r>
      <w:r w:rsidRPr="00EB2BD8">
        <w:rPr>
          <w:spacing w:val="-11"/>
        </w:rPr>
        <w:t xml:space="preserve"> </w:t>
      </w:r>
      <w:r w:rsidRPr="00EB2BD8">
        <w:t>investigations were completed during the year and 212 building investigations were completed. The most common plumbing work investigated was drains not being available for inspection at the agreed time, non- compliant</w:t>
      </w:r>
      <w:r w:rsidRPr="00EB2BD8">
        <w:rPr>
          <w:spacing w:val="-15"/>
        </w:rPr>
        <w:t xml:space="preserve"> </w:t>
      </w:r>
      <w:r w:rsidRPr="00EB2BD8">
        <w:t>plumbing</w:t>
      </w:r>
      <w:r w:rsidRPr="00EB2BD8">
        <w:rPr>
          <w:spacing w:val="-14"/>
        </w:rPr>
        <w:t xml:space="preserve"> </w:t>
      </w:r>
      <w:r w:rsidRPr="00EB2BD8">
        <w:t>work,</w:t>
      </w:r>
      <w:r w:rsidRPr="00EB2BD8">
        <w:rPr>
          <w:spacing w:val="-14"/>
        </w:rPr>
        <w:t xml:space="preserve"> </w:t>
      </w:r>
      <w:r w:rsidRPr="00EB2BD8">
        <w:t>and</w:t>
      </w:r>
      <w:r w:rsidRPr="00EB2BD8">
        <w:rPr>
          <w:spacing w:val="-14"/>
        </w:rPr>
        <w:t xml:space="preserve"> </w:t>
      </w:r>
      <w:r w:rsidRPr="00EB2BD8">
        <w:t>plumbing</w:t>
      </w:r>
      <w:r w:rsidRPr="00EB2BD8">
        <w:rPr>
          <w:spacing w:val="-15"/>
        </w:rPr>
        <w:t xml:space="preserve"> </w:t>
      </w:r>
      <w:r w:rsidRPr="00EB2BD8">
        <w:t>work</w:t>
      </w:r>
      <w:r w:rsidRPr="00EB2BD8">
        <w:rPr>
          <w:spacing w:val="-14"/>
        </w:rPr>
        <w:t xml:space="preserve"> </w:t>
      </w:r>
      <w:r w:rsidRPr="00EB2BD8">
        <w:t>being undertaken by unregistered or unlicensed people.</w:t>
      </w:r>
    </w:p>
    <w:p w14:paraId="3122BAB2" w14:textId="77777777" w:rsidR="00084F36" w:rsidRPr="00EB2BD8" w:rsidRDefault="00EB2BD8">
      <w:pPr>
        <w:pStyle w:val="BodyText"/>
        <w:spacing w:line="261" w:lineRule="auto"/>
        <w:ind w:left="427" w:right="690"/>
      </w:pPr>
      <w:r w:rsidRPr="00EB2BD8">
        <w:t>Building without a permit, unregistered or uninsured people</w:t>
      </w:r>
      <w:r w:rsidRPr="00EB2BD8">
        <w:rPr>
          <w:spacing w:val="-3"/>
        </w:rPr>
        <w:t xml:space="preserve"> </w:t>
      </w:r>
      <w:r w:rsidRPr="00EB2BD8">
        <w:t>undertaking</w:t>
      </w:r>
      <w:r w:rsidRPr="00EB2BD8">
        <w:rPr>
          <w:spacing w:val="-3"/>
        </w:rPr>
        <w:t xml:space="preserve"> </w:t>
      </w:r>
      <w:r w:rsidRPr="00EB2BD8">
        <w:t>building</w:t>
      </w:r>
      <w:r w:rsidRPr="00EB2BD8">
        <w:rPr>
          <w:spacing w:val="-3"/>
        </w:rPr>
        <w:t xml:space="preserve"> </w:t>
      </w:r>
      <w:r w:rsidRPr="00EB2BD8">
        <w:t>work</w:t>
      </w:r>
      <w:r w:rsidRPr="00EB2BD8">
        <w:rPr>
          <w:spacing w:val="-3"/>
        </w:rPr>
        <w:t xml:space="preserve"> </w:t>
      </w:r>
      <w:r w:rsidRPr="00EB2BD8">
        <w:t>and</w:t>
      </w:r>
      <w:r w:rsidRPr="00EB2BD8">
        <w:rPr>
          <w:spacing w:val="-3"/>
        </w:rPr>
        <w:t xml:space="preserve"> </w:t>
      </w:r>
      <w:r w:rsidRPr="00EB2BD8">
        <w:t>protection</w:t>
      </w:r>
      <w:r w:rsidRPr="00EB2BD8">
        <w:rPr>
          <w:spacing w:val="-3"/>
        </w:rPr>
        <w:t xml:space="preserve"> </w:t>
      </w:r>
      <w:r w:rsidRPr="00EB2BD8">
        <w:t>work not</w:t>
      </w:r>
      <w:r w:rsidRPr="00EB2BD8">
        <w:rPr>
          <w:spacing w:val="-5"/>
        </w:rPr>
        <w:t xml:space="preserve"> </w:t>
      </w:r>
      <w:r w:rsidRPr="00EB2BD8">
        <w:t>being</w:t>
      </w:r>
      <w:r w:rsidRPr="00EB2BD8">
        <w:rPr>
          <w:spacing w:val="-5"/>
        </w:rPr>
        <w:t xml:space="preserve"> </w:t>
      </w:r>
      <w:r w:rsidRPr="00EB2BD8">
        <w:t>completed</w:t>
      </w:r>
      <w:r w:rsidRPr="00EB2BD8">
        <w:rPr>
          <w:spacing w:val="-5"/>
        </w:rPr>
        <w:t xml:space="preserve"> </w:t>
      </w:r>
      <w:r w:rsidRPr="00EB2BD8">
        <w:t>as</w:t>
      </w:r>
      <w:r w:rsidRPr="00EB2BD8">
        <w:rPr>
          <w:spacing w:val="-5"/>
        </w:rPr>
        <w:t xml:space="preserve"> </w:t>
      </w:r>
      <w:r w:rsidRPr="00EB2BD8">
        <w:t>required</w:t>
      </w:r>
      <w:r w:rsidRPr="00EB2BD8">
        <w:rPr>
          <w:spacing w:val="-5"/>
        </w:rPr>
        <w:t xml:space="preserve"> </w:t>
      </w:r>
      <w:r w:rsidRPr="00EB2BD8">
        <w:t>were</w:t>
      </w:r>
      <w:r w:rsidRPr="00EB2BD8">
        <w:rPr>
          <w:spacing w:val="-5"/>
        </w:rPr>
        <w:t xml:space="preserve"> </w:t>
      </w:r>
      <w:r w:rsidRPr="00EB2BD8">
        <w:t>among</w:t>
      </w:r>
      <w:r w:rsidRPr="00EB2BD8">
        <w:rPr>
          <w:spacing w:val="-5"/>
        </w:rPr>
        <w:t xml:space="preserve"> </w:t>
      </w:r>
      <w:r w:rsidRPr="00EB2BD8">
        <w:t>the</w:t>
      </w:r>
      <w:r w:rsidRPr="00EB2BD8">
        <w:rPr>
          <w:spacing w:val="-5"/>
        </w:rPr>
        <w:t xml:space="preserve"> </w:t>
      </w:r>
      <w:r w:rsidRPr="00EB2BD8">
        <w:t>most common types of building work investigated.</w:t>
      </w:r>
    </w:p>
    <w:p w14:paraId="1C611908" w14:textId="77777777" w:rsidR="00084F36" w:rsidRPr="00EB2BD8" w:rsidRDefault="00EB2BD8">
      <w:pPr>
        <w:pStyle w:val="BodyText"/>
        <w:spacing w:before="102" w:line="261" w:lineRule="auto"/>
        <w:ind w:left="427" w:right="847"/>
      </w:pPr>
      <w:r w:rsidRPr="00EB2BD8">
        <w:t xml:space="preserve">The VBA may file charges against a person or body corporate for breaches of the Act and regulations. A VBA prosecution is a criminal proceeding that is heard </w:t>
      </w:r>
      <w:r w:rsidRPr="00EB2BD8">
        <w:rPr>
          <w:spacing w:val="-2"/>
        </w:rPr>
        <w:t>in</w:t>
      </w:r>
      <w:r w:rsidRPr="00EB2BD8">
        <w:rPr>
          <w:spacing w:val="-12"/>
        </w:rPr>
        <w:t xml:space="preserve"> </w:t>
      </w:r>
      <w:r w:rsidRPr="00EB2BD8">
        <w:rPr>
          <w:spacing w:val="-2"/>
        </w:rPr>
        <w:t>the</w:t>
      </w:r>
      <w:r w:rsidRPr="00EB2BD8">
        <w:rPr>
          <w:spacing w:val="-13"/>
        </w:rPr>
        <w:t xml:space="preserve"> </w:t>
      </w:r>
      <w:r w:rsidRPr="00EB2BD8">
        <w:rPr>
          <w:spacing w:val="-2"/>
        </w:rPr>
        <w:t>Magistrates’</w:t>
      </w:r>
      <w:r w:rsidRPr="00EB2BD8">
        <w:rPr>
          <w:spacing w:val="-12"/>
        </w:rPr>
        <w:t xml:space="preserve"> </w:t>
      </w:r>
      <w:r w:rsidRPr="00EB2BD8">
        <w:rPr>
          <w:spacing w:val="-2"/>
        </w:rPr>
        <w:t>Court</w:t>
      </w:r>
      <w:r w:rsidRPr="00EB2BD8">
        <w:rPr>
          <w:spacing w:val="-12"/>
        </w:rPr>
        <w:t xml:space="preserve"> </w:t>
      </w:r>
      <w:r w:rsidRPr="00EB2BD8">
        <w:rPr>
          <w:spacing w:val="-2"/>
        </w:rPr>
        <w:t>of</w:t>
      </w:r>
      <w:r w:rsidRPr="00EB2BD8">
        <w:rPr>
          <w:spacing w:val="-12"/>
        </w:rPr>
        <w:t xml:space="preserve"> </w:t>
      </w:r>
      <w:r w:rsidRPr="00EB2BD8">
        <w:rPr>
          <w:spacing w:val="-2"/>
        </w:rPr>
        <w:t>Victoria.</w:t>
      </w:r>
      <w:r w:rsidRPr="00EB2BD8">
        <w:rPr>
          <w:spacing w:val="-12"/>
        </w:rPr>
        <w:t xml:space="preserve"> </w:t>
      </w:r>
      <w:r w:rsidRPr="00EB2BD8">
        <w:rPr>
          <w:spacing w:val="-2"/>
        </w:rPr>
        <w:t>In</w:t>
      </w:r>
      <w:r w:rsidRPr="00EB2BD8">
        <w:rPr>
          <w:spacing w:val="-12"/>
        </w:rPr>
        <w:t xml:space="preserve"> </w:t>
      </w:r>
      <w:r w:rsidRPr="00EB2BD8">
        <w:rPr>
          <w:spacing w:val="-2"/>
        </w:rPr>
        <w:t>2022-23,</w:t>
      </w:r>
      <w:r w:rsidRPr="00EB2BD8">
        <w:rPr>
          <w:spacing w:val="-13"/>
        </w:rPr>
        <w:t xml:space="preserve"> </w:t>
      </w:r>
      <w:r w:rsidRPr="00EB2BD8">
        <w:rPr>
          <w:spacing w:val="-2"/>
        </w:rPr>
        <w:t>the</w:t>
      </w:r>
      <w:r w:rsidRPr="00EB2BD8">
        <w:rPr>
          <w:spacing w:val="-12"/>
        </w:rPr>
        <w:t xml:space="preserve"> </w:t>
      </w:r>
      <w:r w:rsidRPr="00EB2BD8">
        <w:rPr>
          <w:spacing w:val="-2"/>
        </w:rPr>
        <w:t xml:space="preserve">VBA </w:t>
      </w:r>
      <w:r w:rsidRPr="00EB2BD8">
        <w:t>completed four plumbing prosecutions.</w:t>
      </w:r>
    </w:p>
    <w:p w14:paraId="5409FDA1" w14:textId="77777777" w:rsidR="00084F36" w:rsidRPr="00EB2BD8" w:rsidRDefault="00084F36">
      <w:pPr>
        <w:spacing w:line="261" w:lineRule="auto"/>
        <w:sectPr w:rsidR="00084F36" w:rsidRPr="00EB2BD8" w:rsidSect="006D75B2">
          <w:footerReference w:type="default" r:id="rId52"/>
          <w:type w:val="continuous"/>
          <w:pgSz w:w="11910" w:h="16840"/>
          <w:pgMar w:top="1920" w:right="0" w:bottom="280" w:left="0" w:header="0" w:footer="528" w:gutter="0"/>
          <w:cols w:num="2" w:space="720" w:equalWidth="0">
            <w:col w:w="5713" w:space="40"/>
            <w:col w:w="6157"/>
          </w:cols>
        </w:sectPr>
      </w:pPr>
    </w:p>
    <w:p w14:paraId="1E53EC65" w14:textId="77777777" w:rsidR="00084F36" w:rsidRPr="00EB2BD8" w:rsidRDefault="00084F36">
      <w:pPr>
        <w:pStyle w:val="BodyText"/>
        <w:rPr>
          <w:sz w:val="20"/>
        </w:rPr>
      </w:pPr>
    </w:p>
    <w:p w14:paraId="14A0AF8B" w14:textId="77777777" w:rsidR="00084F36" w:rsidRPr="00EB2BD8" w:rsidRDefault="00084F36">
      <w:pPr>
        <w:pStyle w:val="BodyText"/>
        <w:rPr>
          <w:sz w:val="20"/>
        </w:rPr>
      </w:pPr>
    </w:p>
    <w:p w14:paraId="737B1A98" w14:textId="77777777" w:rsidR="00084F36" w:rsidRPr="00EB2BD8" w:rsidRDefault="00084F36">
      <w:pPr>
        <w:pStyle w:val="BodyText"/>
        <w:rPr>
          <w:sz w:val="20"/>
        </w:rPr>
      </w:pPr>
    </w:p>
    <w:p w14:paraId="54B834C6" w14:textId="77777777" w:rsidR="00084F36" w:rsidRPr="00EB2BD8" w:rsidRDefault="00084F36">
      <w:pPr>
        <w:pStyle w:val="BodyText"/>
        <w:rPr>
          <w:sz w:val="20"/>
        </w:rPr>
      </w:pPr>
    </w:p>
    <w:p w14:paraId="39CD7E00" w14:textId="77777777" w:rsidR="00084F36" w:rsidRPr="00EB2BD8" w:rsidRDefault="00084F36">
      <w:pPr>
        <w:pStyle w:val="BodyText"/>
        <w:spacing w:before="7"/>
        <w:rPr>
          <w:sz w:val="17"/>
        </w:rPr>
      </w:pPr>
    </w:p>
    <w:p w14:paraId="1B679953" w14:textId="77777777" w:rsidR="00084F36" w:rsidRPr="00EB2BD8" w:rsidRDefault="00084F36">
      <w:pPr>
        <w:rPr>
          <w:sz w:val="17"/>
        </w:rPr>
        <w:sectPr w:rsidR="00084F36" w:rsidRPr="00EB2BD8" w:rsidSect="006D75B2">
          <w:headerReference w:type="even" r:id="rId53"/>
          <w:headerReference w:type="default" r:id="rId54"/>
          <w:footerReference w:type="even" r:id="rId55"/>
          <w:footerReference w:type="default" r:id="rId56"/>
          <w:pgSz w:w="11910" w:h="16840"/>
          <w:pgMar w:top="1080" w:right="0" w:bottom="720" w:left="0" w:header="0" w:footer="528" w:gutter="0"/>
          <w:pgNumType w:start="25"/>
          <w:cols w:space="720"/>
        </w:sectPr>
      </w:pPr>
    </w:p>
    <w:p w14:paraId="7071B807" w14:textId="77777777" w:rsidR="00084F36" w:rsidRPr="00EB2BD8" w:rsidRDefault="00084F36">
      <w:pPr>
        <w:pStyle w:val="BodyText"/>
        <w:rPr>
          <w:sz w:val="20"/>
        </w:rPr>
      </w:pPr>
    </w:p>
    <w:p w14:paraId="55ADCB32" w14:textId="77777777" w:rsidR="00084F36" w:rsidRPr="00EB2BD8" w:rsidRDefault="00084F36">
      <w:pPr>
        <w:pStyle w:val="BodyText"/>
        <w:spacing w:before="6"/>
        <w:rPr>
          <w:sz w:val="28"/>
        </w:rPr>
      </w:pPr>
    </w:p>
    <w:p w14:paraId="07591150" w14:textId="77777777" w:rsidR="00084F36" w:rsidRPr="00EB2BD8" w:rsidRDefault="00EB2BD8">
      <w:pPr>
        <w:pStyle w:val="BodyText"/>
        <w:spacing w:line="261" w:lineRule="auto"/>
        <w:ind w:left="850" w:right="397"/>
      </w:pPr>
      <w:r w:rsidRPr="00EB2BD8">
        <w:t>Plumbing Inquiries are disciplinary proceedings into</w:t>
      </w:r>
      <w:r w:rsidRPr="00EB2BD8">
        <w:rPr>
          <w:spacing w:val="-11"/>
        </w:rPr>
        <w:t xml:space="preserve"> </w:t>
      </w:r>
      <w:r w:rsidRPr="00EB2BD8">
        <w:t>the</w:t>
      </w:r>
      <w:r w:rsidRPr="00EB2BD8">
        <w:rPr>
          <w:spacing w:val="-11"/>
        </w:rPr>
        <w:t xml:space="preserve"> </w:t>
      </w:r>
      <w:r w:rsidRPr="00EB2BD8">
        <w:t>conduct</w:t>
      </w:r>
      <w:r w:rsidRPr="00EB2BD8">
        <w:rPr>
          <w:spacing w:val="-11"/>
        </w:rPr>
        <w:t xml:space="preserve"> </w:t>
      </w:r>
      <w:r w:rsidRPr="00EB2BD8">
        <w:t>of</w:t>
      </w:r>
      <w:r w:rsidRPr="00EB2BD8">
        <w:rPr>
          <w:spacing w:val="-11"/>
        </w:rPr>
        <w:t xml:space="preserve"> </w:t>
      </w:r>
      <w:r w:rsidRPr="00EB2BD8">
        <w:t>licensed</w:t>
      </w:r>
      <w:r w:rsidRPr="00EB2BD8">
        <w:rPr>
          <w:spacing w:val="-11"/>
        </w:rPr>
        <w:t xml:space="preserve"> </w:t>
      </w:r>
      <w:r w:rsidRPr="00EB2BD8">
        <w:t>or</w:t>
      </w:r>
      <w:r w:rsidRPr="00EB2BD8">
        <w:rPr>
          <w:spacing w:val="-11"/>
        </w:rPr>
        <w:t xml:space="preserve"> </w:t>
      </w:r>
      <w:r w:rsidRPr="00EB2BD8">
        <w:t>registered</w:t>
      </w:r>
      <w:r w:rsidRPr="00EB2BD8">
        <w:rPr>
          <w:spacing w:val="-11"/>
        </w:rPr>
        <w:t xml:space="preserve"> </w:t>
      </w:r>
      <w:r w:rsidRPr="00EB2BD8">
        <w:t>plumbing</w:t>
      </w:r>
    </w:p>
    <w:p w14:paraId="7EF9DCDC" w14:textId="77777777" w:rsidR="00084F36" w:rsidRPr="00EB2BD8" w:rsidRDefault="00EB2BD8">
      <w:pPr>
        <w:pStyle w:val="BodyText"/>
        <w:spacing w:line="261" w:lineRule="auto"/>
        <w:ind w:left="850"/>
      </w:pPr>
      <w:r w:rsidRPr="00EB2BD8">
        <w:t>practitioners,</w:t>
      </w:r>
      <w:r w:rsidRPr="00EB2BD8">
        <w:rPr>
          <w:spacing w:val="-1"/>
        </w:rPr>
        <w:t xml:space="preserve"> </w:t>
      </w:r>
      <w:r w:rsidRPr="00EB2BD8">
        <w:t>commenced</w:t>
      </w:r>
      <w:r w:rsidRPr="00EB2BD8">
        <w:rPr>
          <w:spacing w:val="-1"/>
        </w:rPr>
        <w:t xml:space="preserve"> </w:t>
      </w:r>
      <w:r w:rsidRPr="00EB2BD8">
        <w:t>by</w:t>
      </w:r>
      <w:r w:rsidRPr="00EB2BD8">
        <w:rPr>
          <w:spacing w:val="-1"/>
        </w:rPr>
        <w:t xml:space="preserve"> </w:t>
      </w:r>
      <w:r w:rsidRPr="00EB2BD8">
        <w:t>the</w:t>
      </w:r>
      <w:r w:rsidRPr="00EB2BD8">
        <w:rPr>
          <w:spacing w:val="-1"/>
        </w:rPr>
        <w:t xml:space="preserve"> </w:t>
      </w:r>
      <w:r w:rsidRPr="00EB2BD8">
        <w:t>VBA</w:t>
      </w:r>
      <w:r w:rsidRPr="00EB2BD8">
        <w:rPr>
          <w:spacing w:val="-1"/>
        </w:rPr>
        <w:t xml:space="preserve"> </w:t>
      </w:r>
      <w:r w:rsidRPr="00EB2BD8">
        <w:t>and</w:t>
      </w:r>
      <w:r w:rsidRPr="00EB2BD8">
        <w:rPr>
          <w:spacing w:val="-1"/>
        </w:rPr>
        <w:t xml:space="preserve"> </w:t>
      </w:r>
      <w:r w:rsidRPr="00EB2BD8">
        <w:t>heard</w:t>
      </w:r>
      <w:r w:rsidRPr="00EB2BD8">
        <w:rPr>
          <w:spacing w:val="-1"/>
        </w:rPr>
        <w:t xml:space="preserve"> </w:t>
      </w:r>
      <w:r w:rsidRPr="00EB2BD8">
        <w:t>before a VBA delegate. Thirty Plumbing Inquiries were held</w:t>
      </w:r>
    </w:p>
    <w:p w14:paraId="529AE9F8" w14:textId="77777777" w:rsidR="00084F36" w:rsidRPr="00EB2BD8" w:rsidRDefault="00EB2BD8">
      <w:pPr>
        <w:pStyle w:val="BodyText"/>
        <w:spacing w:line="261" w:lineRule="auto"/>
        <w:ind w:left="850"/>
      </w:pPr>
      <w:r w:rsidRPr="00EB2BD8">
        <w:t>in</w:t>
      </w:r>
      <w:r w:rsidRPr="00EB2BD8">
        <w:rPr>
          <w:spacing w:val="-8"/>
        </w:rPr>
        <w:t xml:space="preserve"> </w:t>
      </w:r>
      <w:r w:rsidRPr="00EB2BD8">
        <w:t>2022-23,</w:t>
      </w:r>
      <w:r w:rsidRPr="00EB2BD8">
        <w:rPr>
          <w:spacing w:val="-8"/>
        </w:rPr>
        <w:t xml:space="preserve"> </w:t>
      </w:r>
      <w:r w:rsidRPr="00EB2BD8">
        <w:t>and</w:t>
      </w:r>
      <w:r w:rsidRPr="00EB2BD8">
        <w:rPr>
          <w:spacing w:val="-8"/>
        </w:rPr>
        <w:t xml:space="preserve"> </w:t>
      </w:r>
      <w:r w:rsidRPr="00EB2BD8">
        <w:t>disciplinary</w:t>
      </w:r>
      <w:r w:rsidRPr="00EB2BD8">
        <w:rPr>
          <w:spacing w:val="-8"/>
        </w:rPr>
        <w:t xml:space="preserve"> </w:t>
      </w:r>
      <w:r w:rsidRPr="00EB2BD8">
        <w:t>outcomes</w:t>
      </w:r>
      <w:r w:rsidRPr="00EB2BD8">
        <w:rPr>
          <w:spacing w:val="-8"/>
        </w:rPr>
        <w:t xml:space="preserve"> </w:t>
      </w:r>
      <w:r w:rsidRPr="00EB2BD8">
        <w:t>ranged</w:t>
      </w:r>
      <w:r w:rsidRPr="00EB2BD8">
        <w:rPr>
          <w:spacing w:val="-8"/>
        </w:rPr>
        <w:t xml:space="preserve"> </w:t>
      </w:r>
      <w:r w:rsidRPr="00EB2BD8">
        <w:t>from</w:t>
      </w:r>
      <w:r w:rsidRPr="00EB2BD8">
        <w:rPr>
          <w:spacing w:val="-8"/>
        </w:rPr>
        <w:t xml:space="preserve"> </w:t>
      </w:r>
      <w:r w:rsidRPr="00EB2BD8">
        <w:t>a reprimand and monetary penalty to cancellation of a plumbing</w:t>
      </w:r>
      <w:r w:rsidRPr="00EB2BD8">
        <w:rPr>
          <w:spacing w:val="-10"/>
        </w:rPr>
        <w:t xml:space="preserve"> </w:t>
      </w:r>
      <w:r w:rsidRPr="00EB2BD8">
        <w:t>registration</w:t>
      </w:r>
      <w:r w:rsidRPr="00EB2BD8">
        <w:rPr>
          <w:spacing w:val="-10"/>
        </w:rPr>
        <w:t xml:space="preserve"> </w:t>
      </w:r>
      <w:r w:rsidRPr="00EB2BD8">
        <w:t>or</w:t>
      </w:r>
      <w:r w:rsidRPr="00EB2BD8">
        <w:rPr>
          <w:spacing w:val="-10"/>
        </w:rPr>
        <w:t xml:space="preserve"> </w:t>
      </w:r>
      <w:r w:rsidRPr="00EB2BD8">
        <w:t>licence</w:t>
      </w:r>
      <w:r w:rsidRPr="00EB2BD8">
        <w:rPr>
          <w:spacing w:val="-9"/>
        </w:rPr>
        <w:t xml:space="preserve"> </w:t>
      </w:r>
      <w:r w:rsidRPr="00EB2BD8">
        <w:t>for</w:t>
      </w:r>
      <w:r w:rsidRPr="00EB2BD8">
        <w:rPr>
          <w:spacing w:val="-10"/>
        </w:rPr>
        <w:t xml:space="preserve"> </w:t>
      </w:r>
      <w:r w:rsidRPr="00EB2BD8">
        <w:t>up</w:t>
      </w:r>
      <w:r w:rsidRPr="00EB2BD8">
        <w:rPr>
          <w:spacing w:val="-10"/>
        </w:rPr>
        <w:t xml:space="preserve"> </w:t>
      </w:r>
      <w:r w:rsidRPr="00EB2BD8">
        <w:t>to</w:t>
      </w:r>
      <w:r w:rsidRPr="00EB2BD8">
        <w:rPr>
          <w:spacing w:val="-10"/>
        </w:rPr>
        <w:t xml:space="preserve"> </w:t>
      </w:r>
      <w:r w:rsidRPr="00EB2BD8">
        <w:t>three</w:t>
      </w:r>
      <w:r w:rsidRPr="00EB2BD8">
        <w:rPr>
          <w:spacing w:val="-9"/>
        </w:rPr>
        <w:t xml:space="preserve"> </w:t>
      </w:r>
      <w:r w:rsidRPr="00EB2BD8">
        <w:rPr>
          <w:spacing w:val="-2"/>
        </w:rPr>
        <w:t>years.</w:t>
      </w:r>
    </w:p>
    <w:p w14:paraId="1C0EA749" w14:textId="77777777" w:rsidR="00084F36" w:rsidRPr="00EB2BD8" w:rsidRDefault="00EB2BD8">
      <w:pPr>
        <w:pStyle w:val="BodyText"/>
        <w:spacing w:before="106" w:line="261" w:lineRule="auto"/>
        <w:ind w:left="850" w:right="80"/>
      </w:pPr>
      <w:r w:rsidRPr="00EB2BD8">
        <w:t>The VBA also takes disciplinary action against registered building practitioners through its practitioner</w:t>
      </w:r>
      <w:r w:rsidRPr="00EB2BD8">
        <w:rPr>
          <w:spacing w:val="-15"/>
        </w:rPr>
        <w:t xml:space="preserve"> </w:t>
      </w:r>
      <w:r w:rsidRPr="00EB2BD8">
        <w:t>discipline</w:t>
      </w:r>
      <w:r w:rsidRPr="00EB2BD8">
        <w:rPr>
          <w:spacing w:val="-14"/>
        </w:rPr>
        <w:t xml:space="preserve"> </w:t>
      </w:r>
      <w:r w:rsidRPr="00EB2BD8">
        <w:t>function.</w:t>
      </w:r>
      <w:r w:rsidRPr="00EB2BD8">
        <w:rPr>
          <w:spacing w:val="-14"/>
        </w:rPr>
        <w:t xml:space="preserve"> </w:t>
      </w:r>
      <w:r w:rsidRPr="00EB2BD8">
        <w:t>This</w:t>
      </w:r>
      <w:r w:rsidRPr="00EB2BD8">
        <w:rPr>
          <w:spacing w:val="-14"/>
        </w:rPr>
        <w:t xml:space="preserve"> </w:t>
      </w:r>
      <w:r w:rsidRPr="00EB2BD8">
        <w:t>formal</w:t>
      </w:r>
      <w:r w:rsidRPr="00EB2BD8">
        <w:rPr>
          <w:spacing w:val="-15"/>
        </w:rPr>
        <w:t xml:space="preserve"> </w:t>
      </w:r>
      <w:r w:rsidRPr="00EB2BD8">
        <w:t>disciplinary action process commences with a show cause notice, which provides procedural fairness to practitioners</w:t>
      </w:r>
      <w:r w:rsidRPr="00EB2BD8">
        <w:rPr>
          <w:spacing w:val="40"/>
        </w:rPr>
        <w:t xml:space="preserve"> </w:t>
      </w:r>
      <w:r w:rsidRPr="00EB2BD8">
        <w:t>and</w:t>
      </w:r>
      <w:r w:rsidRPr="00EB2BD8">
        <w:rPr>
          <w:spacing w:val="-7"/>
        </w:rPr>
        <w:t xml:space="preserve"> </w:t>
      </w:r>
      <w:r w:rsidRPr="00EB2BD8">
        <w:t>affords</w:t>
      </w:r>
      <w:r w:rsidRPr="00EB2BD8">
        <w:rPr>
          <w:spacing w:val="-7"/>
        </w:rPr>
        <w:t xml:space="preserve"> </w:t>
      </w:r>
      <w:r w:rsidRPr="00EB2BD8">
        <w:t>them</w:t>
      </w:r>
      <w:r w:rsidRPr="00EB2BD8">
        <w:rPr>
          <w:spacing w:val="-7"/>
        </w:rPr>
        <w:t xml:space="preserve"> </w:t>
      </w:r>
      <w:r w:rsidRPr="00EB2BD8">
        <w:t>the</w:t>
      </w:r>
      <w:r w:rsidRPr="00EB2BD8">
        <w:rPr>
          <w:spacing w:val="-7"/>
        </w:rPr>
        <w:t xml:space="preserve"> </w:t>
      </w:r>
      <w:r w:rsidRPr="00EB2BD8">
        <w:t>opportunity</w:t>
      </w:r>
      <w:r w:rsidRPr="00EB2BD8">
        <w:rPr>
          <w:spacing w:val="-7"/>
        </w:rPr>
        <w:t xml:space="preserve"> </w:t>
      </w:r>
      <w:r w:rsidRPr="00EB2BD8">
        <w:t>to</w:t>
      </w:r>
      <w:r w:rsidRPr="00EB2BD8">
        <w:rPr>
          <w:spacing w:val="-7"/>
        </w:rPr>
        <w:t xml:space="preserve"> </w:t>
      </w:r>
      <w:r w:rsidRPr="00EB2BD8">
        <w:t>respond</w:t>
      </w:r>
      <w:r w:rsidRPr="00EB2BD8">
        <w:rPr>
          <w:spacing w:val="-7"/>
        </w:rPr>
        <w:t xml:space="preserve"> </w:t>
      </w:r>
      <w:r w:rsidRPr="00EB2BD8">
        <w:t>in</w:t>
      </w:r>
      <w:r w:rsidRPr="00EB2BD8">
        <w:rPr>
          <w:spacing w:val="-7"/>
        </w:rPr>
        <w:t xml:space="preserve"> </w:t>
      </w:r>
      <w:r w:rsidRPr="00EB2BD8">
        <w:t>writing or orally. Following this response, a decision to take disciplinary action is subject to both internal review and review in the Victorian Civil and Administrative Tribunal</w:t>
      </w:r>
      <w:r w:rsidRPr="00EB2BD8">
        <w:rPr>
          <w:spacing w:val="-6"/>
        </w:rPr>
        <w:t xml:space="preserve"> </w:t>
      </w:r>
      <w:r w:rsidRPr="00EB2BD8">
        <w:t>(VCAT).</w:t>
      </w:r>
    </w:p>
    <w:p w14:paraId="79346D57" w14:textId="77777777" w:rsidR="00084F36" w:rsidRPr="00EB2BD8" w:rsidRDefault="00EB2BD8">
      <w:pPr>
        <w:pStyle w:val="BodyText"/>
        <w:spacing w:before="103" w:line="261" w:lineRule="auto"/>
        <w:ind w:left="850"/>
      </w:pPr>
      <w:r w:rsidRPr="00EB2BD8">
        <w:t>Taking a risk-based approach to discipline, some disciplinable matters, typically less serious and first- time conduct, are resolved by giving a caution. The conduct of concern is detailed in the caution letter to the</w:t>
      </w:r>
      <w:r w:rsidRPr="00EB2BD8">
        <w:rPr>
          <w:spacing w:val="-4"/>
        </w:rPr>
        <w:t xml:space="preserve"> </w:t>
      </w:r>
      <w:r w:rsidRPr="00EB2BD8">
        <w:t>practitioner,</w:t>
      </w:r>
      <w:r w:rsidRPr="00EB2BD8">
        <w:rPr>
          <w:spacing w:val="-4"/>
        </w:rPr>
        <w:t xml:space="preserve"> </w:t>
      </w:r>
      <w:r w:rsidRPr="00EB2BD8">
        <w:t>and</w:t>
      </w:r>
      <w:r w:rsidRPr="00EB2BD8">
        <w:rPr>
          <w:spacing w:val="-4"/>
        </w:rPr>
        <w:t xml:space="preserve"> </w:t>
      </w:r>
      <w:r w:rsidRPr="00EB2BD8">
        <w:t>in</w:t>
      </w:r>
      <w:r w:rsidRPr="00EB2BD8">
        <w:rPr>
          <w:spacing w:val="-4"/>
        </w:rPr>
        <w:t xml:space="preserve"> </w:t>
      </w:r>
      <w:r w:rsidRPr="00EB2BD8">
        <w:t>a</w:t>
      </w:r>
      <w:r w:rsidRPr="00EB2BD8">
        <w:rPr>
          <w:spacing w:val="-4"/>
        </w:rPr>
        <w:t xml:space="preserve"> </w:t>
      </w:r>
      <w:r w:rsidRPr="00EB2BD8">
        <w:t>letter</w:t>
      </w:r>
      <w:r w:rsidRPr="00EB2BD8">
        <w:rPr>
          <w:spacing w:val="-4"/>
        </w:rPr>
        <w:t xml:space="preserve"> </w:t>
      </w:r>
      <w:r w:rsidRPr="00EB2BD8">
        <w:t>of</w:t>
      </w:r>
      <w:r w:rsidRPr="00EB2BD8">
        <w:rPr>
          <w:spacing w:val="-4"/>
        </w:rPr>
        <w:t xml:space="preserve"> </w:t>
      </w:r>
      <w:r w:rsidRPr="00EB2BD8">
        <w:t>advice</w:t>
      </w:r>
      <w:r w:rsidRPr="00EB2BD8">
        <w:rPr>
          <w:spacing w:val="-4"/>
        </w:rPr>
        <w:t xml:space="preserve"> </w:t>
      </w:r>
      <w:r w:rsidRPr="00EB2BD8">
        <w:t>to</w:t>
      </w:r>
      <w:r w:rsidRPr="00EB2BD8">
        <w:rPr>
          <w:spacing w:val="-4"/>
        </w:rPr>
        <w:t xml:space="preserve"> </w:t>
      </w:r>
      <w:r w:rsidRPr="00EB2BD8">
        <w:t>the</w:t>
      </w:r>
      <w:r w:rsidRPr="00EB2BD8">
        <w:rPr>
          <w:spacing w:val="-4"/>
        </w:rPr>
        <w:t xml:space="preserve"> </w:t>
      </w:r>
      <w:r w:rsidRPr="00EB2BD8">
        <w:t>person who raised the concern. Practitioners are advised that cautions</w:t>
      </w:r>
      <w:r w:rsidRPr="00EB2BD8">
        <w:rPr>
          <w:spacing w:val="-10"/>
        </w:rPr>
        <w:t xml:space="preserve"> </w:t>
      </w:r>
      <w:r w:rsidRPr="00EB2BD8">
        <w:t>will</w:t>
      </w:r>
      <w:r w:rsidRPr="00EB2BD8">
        <w:rPr>
          <w:spacing w:val="-10"/>
        </w:rPr>
        <w:t xml:space="preserve"> </w:t>
      </w:r>
      <w:r w:rsidRPr="00EB2BD8">
        <w:t>inform</w:t>
      </w:r>
      <w:r w:rsidRPr="00EB2BD8">
        <w:rPr>
          <w:spacing w:val="-10"/>
        </w:rPr>
        <w:t xml:space="preserve"> </w:t>
      </w:r>
      <w:r w:rsidRPr="00EB2BD8">
        <w:t>the</w:t>
      </w:r>
      <w:r w:rsidRPr="00EB2BD8">
        <w:rPr>
          <w:spacing w:val="-10"/>
        </w:rPr>
        <w:t xml:space="preserve"> </w:t>
      </w:r>
      <w:r w:rsidRPr="00EB2BD8">
        <w:t>VBA’s</w:t>
      </w:r>
      <w:r w:rsidRPr="00EB2BD8">
        <w:rPr>
          <w:spacing w:val="-10"/>
        </w:rPr>
        <w:t xml:space="preserve"> </w:t>
      </w:r>
      <w:r w:rsidRPr="00EB2BD8">
        <w:t>approach</w:t>
      </w:r>
      <w:r w:rsidRPr="00EB2BD8">
        <w:rPr>
          <w:spacing w:val="-10"/>
        </w:rPr>
        <w:t xml:space="preserve"> </w:t>
      </w:r>
      <w:r w:rsidRPr="00EB2BD8">
        <w:t>to</w:t>
      </w:r>
      <w:r w:rsidRPr="00EB2BD8">
        <w:rPr>
          <w:spacing w:val="-10"/>
        </w:rPr>
        <w:t xml:space="preserve"> </w:t>
      </w:r>
      <w:r w:rsidRPr="00EB2BD8">
        <w:t>subsequent conduct of concern.</w:t>
      </w:r>
    </w:p>
    <w:p w14:paraId="6B5389EE" w14:textId="77777777" w:rsidR="00084F36" w:rsidRPr="00EB2BD8" w:rsidRDefault="00EB2BD8">
      <w:pPr>
        <w:pStyle w:val="BodyText"/>
        <w:spacing w:before="105" w:line="261" w:lineRule="auto"/>
        <w:ind w:left="850" w:right="100"/>
      </w:pPr>
      <w:r w:rsidRPr="00EB2BD8">
        <w:rPr>
          <w:spacing w:val="-2"/>
        </w:rPr>
        <w:t>In</w:t>
      </w:r>
      <w:r w:rsidRPr="00EB2BD8">
        <w:rPr>
          <w:spacing w:val="-11"/>
        </w:rPr>
        <w:t xml:space="preserve"> </w:t>
      </w:r>
      <w:r w:rsidRPr="00EB2BD8">
        <w:rPr>
          <w:spacing w:val="-2"/>
        </w:rPr>
        <w:t>2022-23,</w:t>
      </w:r>
      <w:r w:rsidRPr="00EB2BD8">
        <w:rPr>
          <w:spacing w:val="-11"/>
        </w:rPr>
        <w:t xml:space="preserve"> </w:t>
      </w:r>
      <w:r w:rsidRPr="00EB2BD8">
        <w:rPr>
          <w:spacing w:val="-2"/>
        </w:rPr>
        <w:t>130</w:t>
      </w:r>
      <w:r w:rsidRPr="00EB2BD8">
        <w:rPr>
          <w:spacing w:val="-11"/>
        </w:rPr>
        <w:t xml:space="preserve"> </w:t>
      </w:r>
      <w:r w:rsidRPr="00EB2BD8">
        <w:rPr>
          <w:spacing w:val="-2"/>
        </w:rPr>
        <w:t>show</w:t>
      </w:r>
      <w:r w:rsidRPr="00EB2BD8">
        <w:rPr>
          <w:spacing w:val="-11"/>
        </w:rPr>
        <w:t xml:space="preserve"> </w:t>
      </w:r>
      <w:r w:rsidRPr="00EB2BD8">
        <w:rPr>
          <w:spacing w:val="-2"/>
        </w:rPr>
        <w:t>cause</w:t>
      </w:r>
      <w:r w:rsidRPr="00EB2BD8">
        <w:rPr>
          <w:spacing w:val="-11"/>
        </w:rPr>
        <w:t xml:space="preserve"> </w:t>
      </w:r>
      <w:r w:rsidRPr="00EB2BD8">
        <w:rPr>
          <w:spacing w:val="-2"/>
        </w:rPr>
        <w:t>notices</w:t>
      </w:r>
      <w:r w:rsidRPr="00EB2BD8">
        <w:rPr>
          <w:spacing w:val="-11"/>
        </w:rPr>
        <w:t xml:space="preserve"> </w:t>
      </w:r>
      <w:r w:rsidRPr="00EB2BD8">
        <w:rPr>
          <w:spacing w:val="-2"/>
        </w:rPr>
        <w:t>were</w:t>
      </w:r>
      <w:r w:rsidRPr="00EB2BD8">
        <w:rPr>
          <w:spacing w:val="-11"/>
        </w:rPr>
        <w:t xml:space="preserve"> </w:t>
      </w:r>
      <w:r w:rsidRPr="00EB2BD8">
        <w:rPr>
          <w:spacing w:val="-2"/>
        </w:rPr>
        <w:t>issued</w:t>
      </w:r>
      <w:r w:rsidRPr="00EB2BD8">
        <w:rPr>
          <w:spacing w:val="-11"/>
        </w:rPr>
        <w:t xml:space="preserve"> </w:t>
      </w:r>
      <w:r w:rsidRPr="00EB2BD8">
        <w:rPr>
          <w:spacing w:val="-2"/>
        </w:rPr>
        <w:t>and 119</w:t>
      </w:r>
      <w:r w:rsidRPr="00EB2BD8">
        <w:rPr>
          <w:spacing w:val="-10"/>
        </w:rPr>
        <w:t xml:space="preserve"> </w:t>
      </w:r>
      <w:r w:rsidRPr="00EB2BD8">
        <w:rPr>
          <w:spacing w:val="-2"/>
        </w:rPr>
        <w:t>discipline</w:t>
      </w:r>
      <w:r w:rsidRPr="00EB2BD8">
        <w:rPr>
          <w:spacing w:val="-10"/>
        </w:rPr>
        <w:t xml:space="preserve"> </w:t>
      </w:r>
      <w:r w:rsidRPr="00EB2BD8">
        <w:rPr>
          <w:spacing w:val="-2"/>
        </w:rPr>
        <w:t>decisions</w:t>
      </w:r>
      <w:r w:rsidRPr="00EB2BD8">
        <w:rPr>
          <w:spacing w:val="-9"/>
        </w:rPr>
        <w:t xml:space="preserve"> </w:t>
      </w:r>
      <w:r w:rsidRPr="00EB2BD8">
        <w:rPr>
          <w:spacing w:val="-2"/>
        </w:rPr>
        <w:t>issued</w:t>
      </w:r>
      <w:r w:rsidRPr="00EB2BD8">
        <w:rPr>
          <w:spacing w:val="-10"/>
        </w:rPr>
        <w:t xml:space="preserve"> </w:t>
      </w:r>
      <w:r w:rsidRPr="00EB2BD8">
        <w:rPr>
          <w:spacing w:val="-2"/>
        </w:rPr>
        <w:t>(across</w:t>
      </w:r>
      <w:r w:rsidRPr="00EB2BD8">
        <w:rPr>
          <w:spacing w:val="-10"/>
        </w:rPr>
        <w:t xml:space="preserve"> </w:t>
      </w:r>
      <w:r w:rsidRPr="00EB2BD8">
        <w:rPr>
          <w:spacing w:val="-2"/>
        </w:rPr>
        <w:t>all</w:t>
      </w:r>
      <w:r w:rsidRPr="00EB2BD8">
        <w:rPr>
          <w:spacing w:val="-9"/>
        </w:rPr>
        <w:t xml:space="preserve"> </w:t>
      </w:r>
      <w:r w:rsidRPr="00EB2BD8">
        <w:rPr>
          <w:spacing w:val="-2"/>
        </w:rPr>
        <w:t>streams</w:t>
      </w:r>
      <w:r w:rsidRPr="00EB2BD8">
        <w:rPr>
          <w:spacing w:val="-10"/>
        </w:rPr>
        <w:t xml:space="preserve"> </w:t>
      </w:r>
      <w:r w:rsidRPr="00EB2BD8">
        <w:rPr>
          <w:spacing w:val="-5"/>
        </w:rPr>
        <w:t>of</w:t>
      </w:r>
    </w:p>
    <w:p w14:paraId="7EDF5BE1" w14:textId="77777777" w:rsidR="00084F36" w:rsidRPr="00EB2BD8" w:rsidRDefault="00EB2BD8">
      <w:pPr>
        <w:pStyle w:val="BodyText"/>
        <w:spacing w:line="261" w:lineRule="auto"/>
        <w:ind w:left="850" w:right="100"/>
      </w:pPr>
      <w:r w:rsidRPr="00EB2BD8">
        <w:t>building</w:t>
      </w:r>
      <w:r w:rsidRPr="00EB2BD8">
        <w:rPr>
          <w:spacing w:val="-15"/>
        </w:rPr>
        <w:t xml:space="preserve"> </w:t>
      </w:r>
      <w:r w:rsidRPr="00EB2BD8">
        <w:t>discipline,</w:t>
      </w:r>
      <w:r w:rsidRPr="00EB2BD8">
        <w:rPr>
          <w:spacing w:val="-14"/>
        </w:rPr>
        <w:t xml:space="preserve"> </w:t>
      </w:r>
      <w:r w:rsidRPr="00EB2BD8">
        <w:t>including</w:t>
      </w:r>
      <w:r w:rsidRPr="00EB2BD8">
        <w:rPr>
          <w:spacing w:val="-14"/>
        </w:rPr>
        <w:t xml:space="preserve"> </w:t>
      </w:r>
      <w:r w:rsidRPr="00EB2BD8">
        <w:t>cladding).</w:t>
      </w:r>
      <w:r w:rsidRPr="00EB2BD8">
        <w:rPr>
          <w:spacing w:val="-14"/>
        </w:rPr>
        <w:t xml:space="preserve"> </w:t>
      </w:r>
      <w:r w:rsidRPr="00EB2BD8">
        <w:t>These</w:t>
      </w:r>
      <w:r w:rsidRPr="00EB2BD8">
        <w:rPr>
          <w:spacing w:val="-15"/>
        </w:rPr>
        <w:t xml:space="preserve"> </w:t>
      </w:r>
      <w:r w:rsidRPr="00EB2BD8">
        <w:t>included 18 cancellations of registration and 16 suspensions</w:t>
      </w:r>
    </w:p>
    <w:p w14:paraId="59D4C0A5" w14:textId="77777777" w:rsidR="00084F36" w:rsidRPr="00EB2BD8" w:rsidRDefault="00EB2BD8">
      <w:pPr>
        <w:pStyle w:val="BodyText"/>
        <w:spacing w:line="261" w:lineRule="auto"/>
        <w:ind w:left="850" w:right="397"/>
      </w:pPr>
      <w:r w:rsidRPr="00EB2BD8">
        <w:t>of</w:t>
      </w:r>
      <w:r w:rsidRPr="00EB2BD8">
        <w:rPr>
          <w:spacing w:val="-9"/>
        </w:rPr>
        <w:t xml:space="preserve"> </w:t>
      </w:r>
      <w:r w:rsidRPr="00EB2BD8">
        <w:t>registration.</w:t>
      </w:r>
      <w:r w:rsidRPr="00EB2BD8">
        <w:rPr>
          <w:spacing w:val="-9"/>
        </w:rPr>
        <w:t xml:space="preserve"> </w:t>
      </w:r>
      <w:r w:rsidRPr="00EB2BD8">
        <w:t>Sixty-four</w:t>
      </w:r>
      <w:r w:rsidRPr="00EB2BD8">
        <w:rPr>
          <w:spacing w:val="-9"/>
        </w:rPr>
        <w:t xml:space="preserve"> </w:t>
      </w:r>
      <w:r w:rsidRPr="00EB2BD8">
        <w:t>monetary</w:t>
      </w:r>
      <w:r w:rsidRPr="00EB2BD8">
        <w:rPr>
          <w:spacing w:val="-9"/>
        </w:rPr>
        <w:t xml:space="preserve"> </w:t>
      </w:r>
      <w:r w:rsidRPr="00EB2BD8">
        <w:t>penalties</w:t>
      </w:r>
      <w:r w:rsidRPr="00EB2BD8">
        <w:rPr>
          <w:spacing w:val="-9"/>
        </w:rPr>
        <w:t xml:space="preserve"> </w:t>
      </w:r>
      <w:r w:rsidRPr="00EB2BD8">
        <w:t>were imposed, valued at $385,034.</w:t>
      </w:r>
    </w:p>
    <w:p w14:paraId="51EF6829" w14:textId="4CDE8C09" w:rsidR="00084F36" w:rsidRPr="00EB2BD8" w:rsidRDefault="00EB2BD8" w:rsidP="00DB0F6B">
      <w:pPr>
        <w:pStyle w:val="Heading2"/>
        <w:ind w:left="0"/>
      </w:pPr>
      <w:r w:rsidRPr="00EB2BD8">
        <w:br w:type="column"/>
      </w:r>
      <w:r w:rsidR="00DB0F6B">
        <w:t xml:space="preserve">    </w:t>
      </w:r>
      <w:bookmarkStart w:id="61" w:name="_Toc150762363"/>
      <w:r w:rsidRPr="00EB2BD8">
        <w:t>Building</w:t>
      </w:r>
      <w:r w:rsidRPr="00EB2BD8">
        <w:rPr>
          <w:spacing w:val="-19"/>
        </w:rPr>
        <w:t xml:space="preserve"> </w:t>
      </w:r>
      <w:r w:rsidRPr="00EB2BD8">
        <w:t>permit</w:t>
      </w:r>
      <w:r w:rsidRPr="00EB2BD8">
        <w:rPr>
          <w:spacing w:val="-19"/>
        </w:rPr>
        <w:t xml:space="preserve"> </w:t>
      </w:r>
      <w:r w:rsidRPr="00EB2BD8">
        <w:t>activity</w:t>
      </w:r>
      <w:bookmarkEnd w:id="61"/>
    </w:p>
    <w:p w14:paraId="687BCE26" w14:textId="77777777" w:rsidR="00084F36" w:rsidRPr="00EB2BD8" w:rsidRDefault="00EB2BD8">
      <w:pPr>
        <w:pStyle w:val="BodyText"/>
        <w:spacing w:before="128" w:line="261" w:lineRule="auto"/>
        <w:ind w:left="416" w:right="860"/>
      </w:pPr>
      <w:r w:rsidRPr="00EB2BD8">
        <w:rPr>
          <w:spacing w:val="-2"/>
        </w:rPr>
        <w:t>In</w:t>
      </w:r>
      <w:r w:rsidRPr="00EB2BD8">
        <w:rPr>
          <w:spacing w:val="-13"/>
        </w:rPr>
        <w:t xml:space="preserve"> </w:t>
      </w:r>
      <w:r w:rsidRPr="00EB2BD8">
        <w:rPr>
          <w:spacing w:val="-2"/>
        </w:rPr>
        <w:t>2022-23,</w:t>
      </w:r>
      <w:r w:rsidRPr="00EB2BD8">
        <w:rPr>
          <w:spacing w:val="-12"/>
        </w:rPr>
        <w:t xml:space="preserve"> </w:t>
      </w:r>
      <w:r w:rsidRPr="00EB2BD8">
        <w:rPr>
          <w:spacing w:val="-2"/>
        </w:rPr>
        <w:t>105,514</w:t>
      </w:r>
      <w:r w:rsidRPr="00EB2BD8">
        <w:rPr>
          <w:spacing w:val="-12"/>
        </w:rPr>
        <w:t xml:space="preserve"> </w:t>
      </w:r>
      <w:r w:rsidRPr="00EB2BD8">
        <w:rPr>
          <w:spacing w:val="-2"/>
        </w:rPr>
        <w:t>building</w:t>
      </w:r>
      <w:r w:rsidRPr="00EB2BD8">
        <w:rPr>
          <w:spacing w:val="-12"/>
        </w:rPr>
        <w:t xml:space="preserve"> </w:t>
      </w:r>
      <w:r w:rsidRPr="00EB2BD8">
        <w:rPr>
          <w:spacing w:val="-2"/>
        </w:rPr>
        <w:t>permits</w:t>
      </w:r>
      <w:r w:rsidRPr="00EB2BD8">
        <w:rPr>
          <w:spacing w:val="-13"/>
        </w:rPr>
        <w:t xml:space="preserve"> </w:t>
      </w:r>
      <w:r w:rsidRPr="00EB2BD8">
        <w:rPr>
          <w:spacing w:val="-2"/>
        </w:rPr>
        <w:t>were</w:t>
      </w:r>
      <w:r w:rsidRPr="00EB2BD8">
        <w:rPr>
          <w:spacing w:val="-12"/>
        </w:rPr>
        <w:t xml:space="preserve"> </w:t>
      </w:r>
      <w:r w:rsidRPr="00EB2BD8">
        <w:rPr>
          <w:spacing w:val="-2"/>
        </w:rPr>
        <w:t>issued</w:t>
      </w:r>
      <w:r w:rsidRPr="00EB2BD8">
        <w:rPr>
          <w:spacing w:val="-12"/>
        </w:rPr>
        <w:t xml:space="preserve"> </w:t>
      </w:r>
      <w:r w:rsidRPr="00EB2BD8">
        <w:rPr>
          <w:spacing w:val="-2"/>
        </w:rPr>
        <w:t xml:space="preserve">in </w:t>
      </w:r>
      <w:r w:rsidRPr="00EB2BD8">
        <w:t>Victoria,</w:t>
      </w:r>
      <w:r w:rsidRPr="00EB2BD8">
        <w:rPr>
          <w:spacing w:val="-13"/>
        </w:rPr>
        <w:t xml:space="preserve"> </w:t>
      </w:r>
      <w:r w:rsidRPr="00EB2BD8">
        <w:t>with</w:t>
      </w:r>
      <w:r w:rsidRPr="00EB2BD8">
        <w:rPr>
          <w:spacing w:val="-13"/>
        </w:rPr>
        <w:t xml:space="preserve"> </w:t>
      </w:r>
      <w:r w:rsidRPr="00EB2BD8">
        <w:t>a</w:t>
      </w:r>
      <w:r w:rsidRPr="00EB2BD8">
        <w:rPr>
          <w:spacing w:val="-13"/>
        </w:rPr>
        <w:t xml:space="preserve"> </w:t>
      </w:r>
      <w:r w:rsidRPr="00EB2BD8">
        <w:t>total</w:t>
      </w:r>
      <w:r w:rsidRPr="00EB2BD8">
        <w:rPr>
          <w:spacing w:val="-13"/>
        </w:rPr>
        <w:t xml:space="preserve"> </w:t>
      </w:r>
      <w:r w:rsidRPr="00EB2BD8">
        <w:t>cost</w:t>
      </w:r>
      <w:r w:rsidRPr="00EB2BD8">
        <w:rPr>
          <w:spacing w:val="-13"/>
        </w:rPr>
        <w:t xml:space="preserve"> </w:t>
      </w:r>
      <w:r w:rsidRPr="00EB2BD8">
        <w:t>of</w:t>
      </w:r>
      <w:r w:rsidRPr="00EB2BD8">
        <w:rPr>
          <w:spacing w:val="-13"/>
        </w:rPr>
        <w:t xml:space="preserve"> </w:t>
      </w:r>
      <w:r w:rsidRPr="00EB2BD8">
        <w:t>works</w:t>
      </w:r>
      <w:r w:rsidRPr="00EB2BD8">
        <w:rPr>
          <w:spacing w:val="-13"/>
        </w:rPr>
        <w:t xml:space="preserve"> </w:t>
      </w:r>
      <w:r w:rsidRPr="00EB2BD8">
        <w:t>valued</w:t>
      </w:r>
      <w:r w:rsidRPr="00EB2BD8">
        <w:rPr>
          <w:spacing w:val="-13"/>
        </w:rPr>
        <w:t xml:space="preserve"> </w:t>
      </w:r>
      <w:r w:rsidRPr="00EB2BD8">
        <w:t>at</w:t>
      </w:r>
      <w:r w:rsidRPr="00EB2BD8">
        <w:rPr>
          <w:spacing w:val="-13"/>
        </w:rPr>
        <w:t xml:space="preserve"> </w:t>
      </w:r>
      <w:r w:rsidRPr="00EB2BD8">
        <w:t>almost</w:t>
      </w:r>
      <w:r w:rsidRPr="00EB2BD8">
        <w:rPr>
          <w:spacing w:val="-13"/>
        </w:rPr>
        <w:t xml:space="preserve"> </w:t>
      </w:r>
      <w:r w:rsidRPr="00EB2BD8">
        <w:t>$48 billion. While the number of building permits issued</w:t>
      </w:r>
    </w:p>
    <w:p w14:paraId="70A07F2A" w14:textId="77777777" w:rsidR="00084F36" w:rsidRPr="00EB2BD8" w:rsidRDefault="00EB2BD8">
      <w:pPr>
        <w:pStyle w:val="BodyText"/>
        <w:spacing w:line="261" w:lineRule="auto"/>
        <w:ind w:left="416" w:right="1056"/>
      </w:pPr>
      <w:r w:rsidRPr="00EB2BD8">
        <w:t>for</w:t>
      </w:r>
      <w:r w:rsidRPr="00EB2BD8">
        <w:rPr>
          <w:spacing w:val="-8"/>
        </w:rPr>
        <w:t xml:space="preserve"> </w:t>
      </w:r>
      <w:r w:rsidRPr="00EB2BD8">
        <w:t>new</w:t>
      </w:r>
      <w:r w:rsidRPr="00EB2BD8">
        <w:rPr>
          <w:spacing w:val="-8"/>
        </w:rPr>
        <w:t xml:space="preserve"> </w:t>
      </w:r>
      <w:r w:rsidRPr="00EB2BD8">
        <w:t>builds</w:t>
      </w:r>
      <w:r w:rsidRPr="00EB2BD8">
        <w:rPr>
          <w:spacing w:val="-8"/>
        </w:rPr>
        <w:t xml:space="preserve"> </w:t>
      </w:r>
      <w:r w:rsidRPr="00EB2BD8">
        <w:t>reduced</w:t>
      </w:r>
      <w:r w:rsidRPr="00EB2BD8">
        <w:rPr>
          <w:spacing w:val="-8"/>
        </w:rPr>
        <w:t xml:space="preserve"> </w:t>
      </w:r>
      <w:r w:rsidRPr="00EB2BD8">
        <w:t>year-on-year</w:t>
      </w:r>
      <w:r w:rsidRPr="00EB2BD8">
        <w:rPr>
          <w:spacing w:val="-8"/>
        </w:rPr>
        <w:t xml:space="preserve"> </w:t>
      </w:r>
      <w:r w:rsidRPr="00EB2BD8">
        <w:t>by</w:t>
      </w:r>
      <w:r w:rsidRPr="00EB2BD8">
        <w:rPr>
          <w:spacing w:val="-8"/>
        </w:rPr>
        <w:t xml:space="preserve"> </w:t>
      </w:r>
      <w:r w:rsidRPr="00EB2BD8">
        <w:t>12</w:t>
      </w:r>
      <w:r w:rsidRPr="00EB2BD8">
        <w:rPr>
          <w:spacing w:val="-8"/>
        </w:rPr>
        <w:t xml:space="preserve"> </w:t>
      </w:r>
      <w:r w:rsidRPr="00EB2BD8">
        <w:t>per</w:t>
      </w:r>
      <w:r w:rsidRPr="00EB2BD8">
        <w:rPr>
          <w:spacing w:val="-8"/>
        </w:rPr>
        <w:t xml:space="preserve"> </w:t>
      </w:r>
      <w:r w:rsidRPr="00EB2BD8">
        <w:t>cent</w:t>
      </w:r>
      <w:r w:rsidRPr="00EB2BD8">
        <w:rPr>
          <w:spacing w:val="-8"/>
        </w:rPr>
        <w:t xml:space="preserve"> </w:t>
      </w:r>
      <w:r w:rsidRPr="00EB2BD8">
        <w:t>to 62,334,</w:t>
      </w:r>
      <w:r w:rsidRPr="00EB2BD8">
        <w:rPr>
          <w:spacing w:val="-15"/>
        </w:rPr>
        <w:t xml:space="preserve"> </w:t>
      </w:r>
      <w:r w:rsidRPr="00EB2BD8">
        <w:t>overall</w:t>
      </w:r>
      <w:r w:rsidRPr="00EB2BD8">
        <w:rPr>
          <w:spacing w:val="-14"/>
        </w:rPr>
        <w:t xml:space="preserve"> </w:t>
      </w:r>
      <w:r w:rsidRPr="00EB2BD8">
        <w:t>cost</w:t>
      </w:r>
      <w:r w:rsidRPr="00EB2BD8">
        <w:rPr>
          <w:spacing w:val="-14"/>
        </w:rPr>
        <w:t xml:space="preserve"> </w:t>
      </w:r>
      <w:r w:rsidRPr="00EB2BD8">
        <w:t>of</w:t>
      </w:r>
      <w:r w:rsidRPr="00EB2BD8">
        <w:rPr>
          <w:spacing w:val="-14"/>
        </w:rPr>
        <w:t xml:space="preserve"> </w:t>
      </w:r>
      <w:r w:rsidRPr="00EB2BD8">
        <w:t>works</w:t>
      </w:r>
      <w:r w:rsidRPr="00EB2BD8">
        <w:rPr>
          <w:spacing w:val="-15"/>
        </w:rPr>
        <w:t xml:space="preserve"> </w:t>
      </w:r>
      <w:r w:rsidRPr="00EB2BD8">
        <w:t>increased</w:t>
      </w:r>
      <w:r w:rsidRPr="00EB2BD8">
        <w:rPr>
          <w:spacing w:val="-14"/>
        </w:rPr>
        <w:t xml:space="preserve"> </w:t>
      </w:r>
      <w:r w:rsidRPr="00EB2BD8">
        <w:t>more</w:t>
      </w:r>
      <w:r w:rsidRPr="00EB2BD8">
        <w:rPr>
          <w:spacing w:val="-14"/>
        </w:rPr>
        <w:t xml:space="preserve"> </w:t>
      </w:r>
      <w:r w:rsidRPr="00EB2BD8">
        <w:t>than</w:t>
      </w:r>
      <w:r w:rsidRPr="00EB2BD8">
        <w:rPr>
          <w:spacing w:val="-14"/>
        </w:rPr>
        <w:t xml:space="preserve"> </w:t>
      </w:r>
      <w:r w:rsidRPr="00EB2BD8">
        <w:t>five per cent. This underscored the challenges faced by industry this year, including increased material and labour costs and supply shortages.</w:t>
      </w:r>
    </w:p>
    <w:p w14:paraId="583B55A8" w14:textId="77777777" w:rsidR="00084F36" w:rsidRPr="00EB2BD8" w:rsidRDefault="00EB2BD8">
      <w:pPr>
        <w:pStyle w:val="BodyText"/>
        <w:spacing w:before="162" w:line="261" w:lineRule="auto"/>
        <w:ind w:left="416" w:right="860"/>
      </w:pPr>
      <w:r w:rsidRPr="00EB2BD8">
        <w:t>Building</w:t>
      </w:r>
      <w:r w:rsidRPr="00EB2BD8">
        <w:rPr>
          <w:spacing w:val="-15"/>
        </w:rPr>
        <w:t xml:space="preserve"> </w:t>
      </w:r>
      <w:r w:rsidRPr="00EB2BD8">
        <w:t>activity</w:t>
      </w:r>
      <w:r w:rsidRPr="00EB2BD8">
        <w:rPr>
          <w:spacing w:val="-14"/>
        </w:rPr>
        <w:t xml:space="preserve"> </w:t>
      </w:r>
      <w:r w:rsidRPr="00EB2BD8">
        <w:t>in</w:t>
      </w:r>
      <w:r w:rsidRPr="00EB2BD8">
        <w:rPr>
          <w:spacing w:val="-14"/>
        </w:rPr>
        <w:t xml:space="preserve"> </w:t>
      </w:r>
      <w:r w:rsidRPr="00EB2BD8">
        <w:t>hospital/healthcare</w:t>
      </w:r>
      <w:r w:rsidRPr="00EB2BD8">
        <w:rPr>
          <w:spacing w:val="-14"/>
        </w:rPr>
        <w:t xml:space="preserve"> </w:t>
      </w:r>
      <w:r w:rsidRPr="00EB2BD8">
        <w:t>(14</w:t>
      </w:r>
      <w:r w:rsidRPr="00EB2BD8">
        <w:rPr>
          <w:spacing w:val="-15"/>
        </w:rPr>
        <w:t xml:space="preserve"> </w:t>
      </w:r>
      <w:r w:rsidRPr="00EB2BD8">
        <w:t>per</w:t>
      </w:r>
      <w:r w:rsidRPr="00EB2BD8">
        <w:rPr>
          <w:spacing w:val="-14"/>
        </w:rPr>
        <w:t xml:space="preserve"> </w:t>
      </w:r>
      <w:r w:rsidRPr="00EB2BD8">
        <w:t>cent), public buildings (three per cent) and retail (two</w:t>
      </w:r>
    </w:p>
    <w:p w14:paraId="77520158" w14:textId="77777777" w:rsidR="00084F36" w:rsidRPr="00EB2BD8" w:rsidRDefault="00EB2BD8">
      <w:pPr>
        <w:pStyle w:val="BodyText"/>
        <w:spacing w:line="261" w:lineRule="auto"/>
        <w:ind w:left="416" w:right="1442"/>
      </w:pPr>
      <w:r w:rsidRPr="00EB2BD8">
        <w:t>per cent) sectors increased as work returned to pre-pandemic</w:t>
      </w:r>
      <w:r w:rsidRPr="00EB2BD8">
        <w:rPr>
          <w:spacing w:val="-9"/>
        </w:rPr>
        <w:t xml:space="preserve"> </w:t>
      </w:r>
      <w:r w:rsidRPr="00EB2BD8">
        <w:t>levels.</w:t>
      </w:r>
      <w:r w:rsidRPr="00EB2BD8">
        <w:rPr>
          <w:spacing w:val="-9"/>
        </w:rPr>
        <w:t xml:space="preserve"> </w:t>
      </w:r>
      <w:r w:rsidRPr="00EB2BD8">
        <w:t>This</w:t>
      </w:r>
      <w:r w:rsidRPr="00EB2BD8">
        <w:rPr>
          <w:spacing w:val="-9"/>
        </w:rPr>
        <w:t xml:space="preserve"> </w:t>
      </w:r>
      <w:r w:rsidRPr="00EB2BD8">
        <w:t>reflects</w:t>
      </w:r>
      <w:r w:rsidRPr="00EB2BD8">
        <w:rPr>
          <w:spacing w:val="-9"/>
        </w:rPr>
        <w:t xml:space="preserve"> </w:t>
      </w:r>
      <w:r w:rsidRPr="00EB2BD8">
        <w:t>the</w:t>
      </w:r>
      <w:r w:rsidRPr="00EB2BD8">
        <w:rPr>
          <w:spacing w:val="-9"/>
        </w:rPr>
        <w:t xml:space="preserve"> </w:t>
      </w:r>
      <w:r w:rsidRPr="00EB2BD8">
        <w:t>high</w:t>
      </w:r>
      <w:r w:rsidRPr="00EB2BD8">
        <w:rPr>
          <w:spacing w:val="-9"/>
        </w:rPr>
        <w:t xml:space="preserve"> </w:t>
      </w:r>
      <w:r w:rsidRPr="00EB2BD8">
        <w:t>public</w:t>
      </w:r>
    </w:p>
    <w:p w14:paraId="200A7BB7" w14:textId="77777777" w:rsidR="00084F36" w:rsidRPr="00EB2BD8" w:rsidRDefault="00EB2BD8">
      <w:pPr>
        <w:pStyle w:val="BodyText"/>
        <w:spacing w:line="261" w:lineRule="auto"/>
        <w:ind w:left="416" w:right="860"/>
      </w:pPr>
      <w:r w:rsidRPr="00EB2BD8">
        <w:t>investment</w:t>
      </w:r>
      <w:r w:rsidRPr="00EB2BD8">
        <w:rPr>
          <w:spacing w:val="-3"/>
        </w:rPr>
        <w:t xml:space="preserve"> </w:t>
      </w:r>
      <w:r w:rsidRPr="00EB2BD8">
        <w:t>and</w:t>
      </w:r>
      <w:r w:rsidRPr="00EB2BD8">
        <w:rPr>
          <w:spacing w:val="-3"/>
        </w:rPr>
        <w:t xml:space="preserve"> </w:t>
      </w:r>
      <w:r w:rsidRPr="00EB2BD8">
        <w:t>pipeline</w:t>
      </w:r>
      <w:r w:rsidRPr="00EB2BD8">
        <w:rPr>
          <w:spacing w:val="-3"/>
        </w:rPr>
        <w:t xml:space="preserve"> </w:t>
      </w:r>
      <w:r w:rsidRPr="00EB2BD8">
        <w:t>of</w:t>
      </w:r>
      <w:r w:rsidRPr="00EB2BD8">
        <w:rPr>
          <w:spacing w:val="-3"/>
        </w:rPr>
        <w:t xml:space="preserve"> </w:t>
      </w:r>
      <w:r w:rsidRPr="00EB2BD8">
        <w:t>major</w:t>
      </w:r>
      <w:r w:rsidRPr="00EB2BD8">
        <w:rPr>
          <w:spacing w:val="-3"/>
        </w:rPr>
        <w:t xml:space="preserve"> </w:t>
      </w:r>
      <w:r w:rsidRPr="00EB2BD8">
        <w:t>projects</w:t>
      </w:r>
      <w:r w:rsidRPr="00EB2BD8">
        <w:rPr>
          <w:spacing w:val="-3"/>
        </w:rPr>
        <w:t xml:space="preserve"> </w:t>
      </w:r>
      <w:r w:rsidRPr="00EB2BD8">
        <w:t>underway across</w:t>
      </w:r>
      <w:r w:rsidRPr="00EB2BD8">
        <w:rPr>
          <w:spacing w:val="-6"/>
        </w:rPr>
        <w:t xml:space="preserve"> </w:t>
      </w:r>
      <w:r w:rsidRPr="00EB2BD8">
        <w:t>Victoria.</w:t>
      </w:r>
    </w:p>
    <w:p w14:paraId="4D38E0F0" w14:textId="77777777" w:rsidR="00084F36" w:rsidRPr="00EB2BD8" w:rsidRDefault="00EB2BD8">
      <w:pPr>
        <w:pStyle w:val="BodyText"/>
        <w:spacing w:before="107" w:line="261" w:lineRule="auto"/>
        <w:ind w:left="416" w:right="860"/>
      </w:pPr>
      <w:r w:rsidRPr="00EB2BD8">
        <w:rPr>
          <w:spacing w:val="-2"/>
        </w:rPr>
        <w:t>In</w:t>
      </w:r>
      <w:r w:rsidRPr="00EB2BD8">
        <w:rPr>
          <w:spacing w:val="-13"/>
        </w:rPr>
        <w:t xml:space="preserve"> </w:t>
      </w:r>
      <w:r w:rsidRPr="00EB2BD8">
        <w:rPr>
          <w:spacing w:val="-2"/>
        </w:rPr>
        <w:t>regional</w:t>
      </w:r>
      <w:r w:rsidRPr="00EB2BD8">
        <w:rPr>
          <w:spacing w:val="-12"/>
        </w:rPr>
        <w:t xml:space="preserve"> </w:t>
      </w:r>
      <w:r w:rsidRPr="00EB2BD8">
        <w:rPr>
          <w:spacing w:val="-2"/>
        </w:rPr>
        <w:t>Victoria,</w:t>
      </w:r>
      <w:r w:rsidRPr="00EB2BD8">
        <w:rPr>
          <w:spacing w:val="-12"/>
        </w:rPr>
        <w:t xml:space="preserve"> </w:t>
      </w:r>
      <w:r w:rsidRPr="00EB2BD8">
        <w:rPr>
          <w:spacing w:val="-2"/>
        </w:rPr>
        <w:t>36,332</w:t>
      </w:r>
      <w:r w:rsidRPr="00EB2BD8">
        <w:rPr>
          <w:spacing w:val="-12"/>
        </w:rPr>
        <w:t xml:space="preserve"> </w:t>
      </w:r>
      <w:r w:rsidRPr="00EB2BD8">
        <w:rPr>
          <w:spacing w:val="-2"/>
        </w:rPr>
        <w:t>building</w:t>
      </w:r>
      <w:r w:rsidRPr="00EB2BD8">
        <w:rPr>
          <w:spacing w:val="-13"/>
        </w:rPr>
        <w:t xml:space="preserve"> </w:t>
      </w:r>
      <w:r w:rsidRPr="00EB2BD8">
        <w:rPr>
          <w:spacing w:val="-2"/>
        </w:rPr>
        <w:t>permits</w:t>
      </w:r>
      <w:r w:rsidRPr="00EB2BD8">
        <w:rPr>
          <w:spacing w:val="-12"/>
        </w:rPr>
        <w:t xml:space="preserve"> </w:t>
      </w:r>
      <w:r w:rsidRPr="00EB2BD8">
        <w:rPr>
          <w:spacing w:val="-2"/>
        </w:rPr>
        <w:t>were</w:t>
      </w:r>
      <w:r w:rsidRPr="00EB2BD8">
        <w:rPr>
          <w:spacing w:val="-12"/>
        </w:rPr>
        <w:t xml:space="preserve"> </w:t>
      </w:r>
      <w:r w:rsidRPr="00EB2BD8">
        <w:rPr>
          <w:spacing w:val="-2"/>
        </w:rPr>
        <w:t xml:space="preserve">issued, </w:t>
      </w:r>
      <w:r w:rsidRPr="00EB2BD8">
        <w:t>a decrease of 14 per cent compared to a year ago. Of the five regional areas, the South-West had the highest number</w:t>
      </w:r>
      <w:r w:rsidRPr="00EB2BD8">
        <w:rPr>
          <w:spacing w:val="-5"/>
        </w:rPr>
        <w:t xml:space="preserve"> </w:t>
      </w:r>
      <w:r w:rsidRPr="00EB2BD8">
        <w:t>of</w:t>
      </w:r>
      <w:r w:rsidRPr="00EB2BD8">
        <w:rPr>
          <w:spacing w:val="-5"/>
        </w:rPr>
        <w:t xml:space="preserve"> </w:t>
      </w:r>
      <w:r w:rsidRPr="00EB2BD8">
        <w:t>building</w:t>
      </w:r>
      <w:r w:rsidRPr="00EB2BD8">
        <w:rPr>
          <w:spacing w:val="-5"/>
        </w:rPr>
        <w:t xml:space="preserve"> </w:t>
      </w:r>
      <w:r w:rsidRPr="00EB2BD8">
        <w:t>permits</w:t>
      </w:r>
      <w:r w:rsidRPr="00EB2BD8">
        <w:rPr>
          <w:spacing w:val="-5"/>
        </w:rPr>
        <w:t xml:space="preserve"> </w:t>
      </w:r>
      <w:r w:rsidRPr="00EB2BD8">
        <w:t>approved,</w:t>
      </w:r>
      <w:r w:rsidRPr="00EB2BD8">
        <w:rPr>
          <w:spacing w:val="-5"/>
        </w:rPr>
        <w:t xml:space="preserve"> </w:t>
      </w:r>
      <w:r w:rsidRPr="00EB2BD8">
        <w:t>with</w:t>
      </w:r>
      <w:r w:rsidRPr="00EB2BD8">
        <w:rPr>
          <w:spacing w:val="-5"/>
        </w:rPr>
        <w:t xml:space="preserve"> </w:t>
      </w:r>
      <w:r w:rsidRPr="00EB2BD8">
        <w:t>10,433.</w:t>
      </w:r>
      <w:r w:rsidRPr="00EB2BD8">
        <w:rPr>
          <w:spacing w:val="-5"/>
        </w:rPr>
        <w:t xml:space="preserve"> </w:t>
      </w:r>
      <w:r w:rsidRPr="00EB2BD8">
        <w:t>In metropolitan</w:t>
      </w:r>
      <w:r w:rsidRPr="00EB2BD8">
        <w:rPr>
          <w:spacing w:val="-9"/>
        </w:rPr>
        <w:t xml:space="preserve"> </w:t>
      </w:r>
      <w:r w:rsidRPr="00EB2BD8">
        <w:t>Melbourne,</w:t>
      </w:r>
      <w:r w:rsidRPr="00EB2BD8">
        <w:rPr>
          <w:spacing w:val="-9"/>
        </w:rPr>
        <w:t xml:space="preserve"> </w:t>
      </w:r>
      <w:r w:rsidRPr="00EB2BD8">
        <w:t>69,182</w:t>
      </w:r>
      <w:r w:rsidRPr="00EB2BD8">
        <w:rPr>
          <w:spacing w:val="-9"/>
        </w:rPr>
        <w:t xml:space="preserve"> </w:t>
      </w:r>
      <w:r w:rsidRPr="00EB2BD8">
        <w:t>building</w:t>
      </w:r>
      <w:r w:rsidRPr="00EB2BD8">
        <w:rPr>
          <w:spacing w:val="-9"/>
        </w:rPr>
        <w:t xml:space="preserve"> </w:t>
      </w:r>
      <w:r w:rsidRPr="00EB2BD8">
        <w:t>permits</w:t>
      </w:r>
      <w:r w:rsidRPr="00EB2BD8">
        <w:rPr>
          <w:spacing w:val="-9"/>
        </w:rPr>
        <w:t xml:space="preserve"> </w:t>
      </w:r>
      <w:r w:rsidRPr="00EB2BD8">
        <w:t xml:space="preserve">were approved, which represented an </w:t>
      </w:r>
      <w:r w:rsidRPr="00EB2BD8">
        <w:rPr>
          <w:w w:val="95"/>
        </w:rPr>
        <w:t xml:space="preserve">11 </w:t>
      </w:r>
      <w:r w:rsidRPr="00EB2BD8">
        <w:t>per cent reduction compared to a year ago, however cost of works increased eight per cent.</w:t>
      </w:r>
    </w:p>
    <w:p w14:paraId="1A1A3FA4" w14:textId="77777777" w:rsidR="00084F36" w:rsidRPr="00EB2BD8" w:rsidRDefault="00EB2BD8">
      <w:pPr>
        <w:pStyle w:val="BodyText"/>
        <w:spacing w:before="105" w:line="261" w:lineRule="auto"/>
        <w:ind w:left="416" w:right="1072"/>
        <w:jc w:val="both"/>
      </w:pPr>
      <w:r w:rsidRPr="00EB2BD8">
        <w:t>The VBA publishes a range of datasets and statistics about</w:t>
      </w:r>
      <w:r w:rsidRPr="00EB2BD8">
        <w:rPr>
          <w:spacing w:val="-4"/>
        </w:rPr>
        <w:t xml:space="preserve"> </w:t>
      </w:r>
      <w:r w:rsidRPr="00EB2BD8">
        <w:t>our</w:t>
      </w:r>
      <w:r w:rsidRPr="00EB2BD8">
        <w:rPr>
          <w:spacing w:val="-4"/>
        </w:rPr>
        <w:t xml:space="preserve"> </w:t>
      </w:r>
      <w:r w:rsidRPr="00EB2BD8">
        <w:t>Building</w:t>
      </w:r>
      <w:r w:rsidRPr="00EB2BD8">
        <w:rPr>
          <w:spacing w:val="-4"/>
        </w:rPr>
        <w:t xml:space="preserve"> </w:t>
      </w:r>
      <w:r w:rsidRPr="00EB2BD8">
        <w:t>Permit</w:t>
      </w:r>
      <w:r w:rsidRPr="00EB2BD8">
        <w:rPr>
          <w:spacing w:val="-4"/>
        </w:rPr>
        <w:t xml:space="preserve"> </w:t>
      </w:r>
      <w:r w:rsidRPr="00EB2BD8">
        <w:t>Activity</w:t>
      </w:r>
      <w:r w:rsidRPr="00EB2BD8">
        <w:rPr>
          <w:spacing w:val="-4"/>
        </w:rPr>
        <w:t xml:space="preserve"> </w:t>
      </w:r>
      <w:r w:rsidRPr="00EB2BD8">
        <w:t>Data,</w:t>
      </w:r>
      <w:r w:rsidRPr="00EB2BD8">
        <w:rPr>
          <w:spacing w:val="-4"/>
        </w:rPr>
        <w:t xml:space="preserve"> </w:t>
      </w:r>
      <w:r w:rsidRPr="00EB2BD8">
        <w:t>which</w:t>
      </w:r>
      <w:r w:rsidRPr="00EB2BD8">
        <w:rPr>
          <w:spacing w:val="-4"/>
        </w:rPr>
        <w:t xml:space="preserve"> </w:t>
      </w:r>
      <w:r w:rsidRPr="00EB2BD8">
        <w:t>can</w:t>
      </w:r>
      <w:r w:rsidRPr="00EB2BD8">
        <w:rPr>
          <w:spacing w:val="-4"/>
        </w:rPr>
        <w:t xml:space="preserve"> </w:t>
      </w:r>
      <w:r w:rsidRPr="00EB2BD8">
        <w:t xml:space="preserve">be found at </w:t>
      </w:r>
      <w:hyperlink r:id="rId57">
        <w:r w:rsidRPr="00EB2BD8">
          <w:t>vba.vic.gov.au/about/data.</w:t>
        </w:r>
      </w:hyperlink>
    </w:p>
    <w:p w14:paraId="7C0831FE" w14:textId="77777777" w:rsidR="00084F36" w:rsidRPr="00EB2BD8" w:rsidRDefault="00084F36">
      <w:pPr>
        <w:spacing w:line="261" w:lineRule="auto"/>
        <w:jc w:val="both"/>
        <w:sectPr w:rsidR="00084F36" w:rsidRPr="00EB2BD8" w:rsidSect="006D75B2">
          <w:type w:val="continuous"/>
          <w:pgSz w:w="11910" w:h="16840"/>
          <w:pgMar w:top="1920" w:right="0" w:bottom="280" w:left="0" w:header="0" w:footer="515" w:gutter="0"/>
          <w:cols w:num="2" w:space="720" w:equalWidth="0">
            <w:col w:w="5724" w:space="40"/>
            <w:col w:w="6146"/>
          </w:cols>
        </w:sectPr>
      </w:pPr>
    </w:p>
    <w:p w14:paraId="6172DF0C" w14:textId="77777777" w:rsidR="00084F36" w:rsidRPr="00EB2BD8" w:rsidRDefault="00084F36">
      <w:pPr>
        <w:pStyle w:val="BodyText"/>
        <w:rPr>
          <w:sz w:val="20"/>
        </w:rPr>
      </w:pPr>
    </w:p>
    <w:p w14:paraId="0EE3C048" w14:textId="77777777" w:rsidR="00084F36" w:rsidRPr="00EB2BD8" w:rsidRDefault="00084F36">
      <w:pPr>
        <w:pStyle w:val="BodyText"/>
        <w:rPr>
          <w:sz w:val="20"/>
        </w:rPr>
      </w:pPr>
    </w:p>
    <w:p w14:paraId="5254335E" w14:textId="77777777" w:rsidR="00084F36" w:rsidRPr="00EB2BD8" w:rsidRDefault="00084F36">
      <w:pPr>
        <w:pStyle w:val="BodyText"/>
        <w:rPr>
          <w:sz w:val="20"/>
        </w:rPr>
      </w:pPr>
    </w:p>
    <w:p w14:paraId="0343733F" w14:textId="77777777" w:rsidR="00084F36" w:rsidRPr="00EB2BD8" w:rsidRDefault="00084F36">
      <w:pPr>
        <w:pStyle w:val="BodyText"/>
        <w:rPr>
          <w:sz w:val="20"/>
        </w:rPr>
      </w:pPr>
    </w:p>
    <w:p w14:paraId="4DA8E00C" w14:textId="77777777" w:rsidR="00084F36" w:rsidRPr="00EB2BD8" w:rsidRDefault="00084F36">
      <w:pPr>
        <w:pStyle w:val="BodyText"/>
        <w:spacing w:before="4"/>
        <w:rPr>
          <w:sz w:val="16"/>
        </w:rPr>
      </w:pPr>
    </w:p>
    <w:p w14:paraId="62A813FC" w14:textId="77777777" w:rsidR="00084F36" w:rsidRPr="00EB2BD8" w:rsidRDefault="00084F36">
      <w:pPr>
        <w:rPr>
          <w:sz w:val="16"/>
        </w:rPr>
        <w:sectPr w:rsidR="00084F36" w:rsidRPr="00EB2BD8" w:rsidSect="006D75B2">
          <w:footerReference w:type="default" r:id="rId58"/>
          <w:pgSz w:w="11910" w:h="16840"/>
          <w:pgMar w:top="1100" w:right="0" w:bottom="700" w:left="0" w:header="0" w:footer="515" w:gutter="0"/>
          <w:cols w:space="720"/>
        </w:sectPr>
      </w:pPr>
    </w:p>
    <w:p w14:paraId="6513A367" w14:textId="77777777" w:rsidR="00084F36" w:rsidRPr="00EB2BD8" w:rsidRDefault="00EB2BD8" w:rsidP="001975DF">
      <w:pPr>
        <w:pStyle w:val="Heading2"/>
      </w:pPr>
      <w:bookmarkStart w:id="62" w:name="_Toc150762364"/>
      <w:r w:rsidRPr="00EB2BD8">
        <w:t>Victoria's</w:t>
      </w:r>
      <w:r w:rsidRPr="00EB2BD8">
        <w:rPr>
          <w:spacing w:val="-22"/>
        </w:rPr>
        <w:t xml:space="preserve"> </w:t>
      </w:r>
      <w:r w:rsidRPr="00EB2BD8">
        <w:t>world-leading</w:t>
      </w:r>
      <w:r w:rsidRPr="00EB2BD8">
        <w:rPr>
          <w:spacing w:val="-22"/>
        </w:rPr>
        <w:t xml:space="preserve"> </w:t>
      </w:r>
      <w:r w:rsidRPr="00EB2BD8">
        <w:t>response to combustible cladding</w:t>
      </w:r>
      <w:bookmarkEnd w:id="62"/>
    </w:p>
    <w:p w14:paraId="3D70A619" w14:textId="77777777" w:rsidR="00084F36" w:rsidRPr="00EB2BD8" w:rsidRDefault="00EB2BD8">
      <w:pPr>
        <w:pStyle w:val="BodyText"/>
        <w:spacing w:before="130" w:line="261" w:lineRule="auto"/>
        <w:ind w:left="850"/>
      </w:pPr>
      <w:r w:rsidRPr="00EB2BD8">
        <w:t>There</w:t>
      </w:r>
      <w:r w:rsidRPr="00EB2BD8">
        <w:rPr>
          <w:spacing w:val="-1"/>
        </w:rPr>
        <w:t xml:space="preserve"> </w:t>
      </w:r>
      <w:r w:rsidRPr="00EB2BD8">
        <w:t>is</w:t>
      </w:r>
      <w:r w:rsidRPr="00EB2BD8">
        <w:rPr>
          <w:spacing w:val="-1"/>
        </w:rPr>
        <w:t xml:space="preserve"> </w:t>
      </w:r>
      <w:r w:rsidRPr="00EB2BD8">
        <w:t>nothing</w:t>
      </w:r>
      <w:r w:rsidRPr="00EB2BD8">
        <w:rPr>
          <w:spacing w:val="-1"/>
        </w:rPr>
        <w:t xml:space="preserve"> </w:t>
      </w:r>
      <w:r w:rsidRPr="00EB2BD8">
        <w:t>the</w:t>
      </w:r>
      <w:r w:rsidRPr="00EB2BD8">
        <w:rPr>
          <w:spacing w:val="-1"/>
        </w:rPr>
        <w:t xml:space="preserve"> </w:t>
      </w:r>
      <w:r w:rsidRPr="00EB2BD8">
        <w:t>VBA</w:t>
      </w:r>
      <w:r w:rsidRPr="00EB2BD8">
        <w:rPr>
          <w:spacing w:val="-1"/>
        </w:rPr>
        <w:t xml:space="preserve"> </w:t>
      </w:r>
      <w:r w:rsidRPr="00EB2BD8">
        <w:t>takes</w:t>
      </w:r>
      <w:r w:rsidRPr="00EB2BD8">
        <w:rPr>
          <w:spacing w:val="-1"/>
        </w:rPr>
        <w:t xml:space="preserve"> </w:t>
      </w:r>
      <w:r w:rsidRPr="00EB2BD8">
        <w:t>more</w:t>
      </w:r>
      <w:r w:rsidRPr="00EB2BD8">
        <w:rPr>
          <w:spacing w:val="-1"/>
        </w:rPr>
        <w:t xml:space="preserve"> </w:t>
      </w:r>
      <w:r w:rsidRPr="00EB2BD8">
        <w:t>seriously</w:t>
      </w:r>
      <w:r w:rsidRPr="00EB2BD8">
        <w:rPr>
          <w:spacing w:val="-1"/>
        </w:rPr>
        <w:t xml:space="preserve"> </w:t>
      </w:r>
      <w:r w:rsidRPr="00EB2BD8">
        <w:t>than</w:t>
      </w:r>
      <w:r w:rsidRPr="00EB2BD8">
        <w:rPr>
          <w:spacing w:val="-1"/>
        </w:rPr>
        <w:t xml:space="preserve"> </w:t>
      </w:r>
      <w:r w:rsidRPr="00EB2BD8">
        <w:t>the safety</w:t>
      </w:r>
      <w:r w:rsidRPr="00EB2BD8">
        <w:rPr>
          <w:spacing w:val="-9"/>
        </w:rPr>
        <w:t xml:space="preserve"> </w:t>
      </w:r>
      <w:r w:rsidRPr="00EB2BD8">
        <w:t>of</w:t>
      </w:r>
      <w:r w:rsidRPr="00EB2BD8">
        <w:rPr>
          <w:spacing w:val="-9"/>
        </w:rPr>
        <w:t xml:space="preserve"> </w:t>
      </w:r>
      <w:r w:rsidRPr="00EB2BD8">
        <w:t>the</w:t>
      </w:r>
      <w:r w:rsidRPr="00EB2BD8">
        <w:rPr>
          <w:spacing w:val="-9"/>
        </w:rPr>
        <w:t xml:space="preserve"> </w:t>
      </w:r>
      <w:r w:rsidRPr="00EB2BD8">
        <w:t>Victorian</w:t>
      </w:r>
      <w:r w:rsidRPr="00EB2BD8">
        <w:rPr>
          <w:spacing w:val="-9"/>
        </w:rPr>
        <w:t xml:space="preserve"> </w:t>
      </w:r>
      <w:r w:rsidRPr="00EB2BD8">
        <w:t>community,</w:t>
      </w:r>
      <w:r w:rsidRPr="00EB2BD8">
        <w:rPr>
          <w:spacing w:val="-9"/>
        </w:rPr>
        <w:t xml:space="preserve"> </w:t>
      </w:r>
      <w:r w:rsidRPr="00EB2BD8">
        <w:t>and</w:t>
      </w:r>
      <w:r w:rsidRPr="00EB2BD8">
        <w:rPr>
          <w:spacing w:val="-9"/>
        </w:rPr>
        <w:t xml:space="preserve"> </w:t>
      </w:r>
      <w:r w:rsidRPr="00EB2BD8">
        <w:t>this</w:t>
      </w:r>
      <w:r w:rsidRPr="00EB2BD8">
        <w:rPr>
          <w:spacing w:val="-9"/>
        </w:rPr>
        <w:t xml:space="preserve"> </w:t>
      </w:r>
      <w:r w:rsidRPr="00EB2BD8">
        <w:t>includes</w:t>
      </w:r>
      <w:r w:rsidRPr="00EB2BD8">
        <w:rPr>
          <w:spacing w:val="-9"/>
        </w:rPr>
        <w:t xml:space="preserve"> </w:t>
      </w:r>
      <w:r w:rsidRPr="00EB2BD8">
        <w:t>the risk posed to occupants and the wider community by the presence of combustible cladding on buildings.</w:t>
      </w:r>
    </w:p>
    <w:p w14:paraId="25A0D457" w14:textId="77777777" w:rsidR="00084F36" w:rsidRPr="00EB2BD8" w:rsidRDefault="00EB2BD8">
      <w:pPr>
        <w:pStyle w:val="BodyText"/>
        <w:spacing w:before="166" w:line="261" w:lineRule="auto"/>
        <w:ind w:left="850" w:right="68"/>
      </w:pPr>
      <w:r w:rsidRPr="00EB2BD8">
        <w:t>In response to the recommendation in the Victorian Cladding Taskforce interim report, the VBA was appointed to lead the Statewide Cladding Audit (SCA) in December 2017.</w:t>
      </w:r>
    </w:p>
    <w:p w14:paraId="25FEDD7B" w14:textId="77777777" w:rsidR="00084F36" w:rsidRPr="00EB2BD8" w:rsidRDefault="00EB2BD8">
      <w:pPr>
        <w:pStyle w:val="BodyText"/>
        <w:spacing w:before="109" w:line="261" w:lineRule="auto"/>
        <w:ind w:left="850" w:right="39"/>
      </w:pPr>
      <w:r w:rsidRPr="00EB2BD8">
        <w:t>The purpose of the SCA was to identify the possible use of combustible cladding material, specifically expanded polystyrene (EPS) and aluminium composite panels (ACP) for further assessment by municipal building</w:t>
      </w:r>
      <w:r w:rsidRPr="00EB2BD8">
        <w:rPr>
          <w:spacing w:val="-2"/>
        </w:rPr>
        <w:t xml:space="preserve"> </w:t>
      </w:r>
      <w:r w:rsidRPr="00EB2BD8">
        <w:t>surveyors</w:t>
      </w:r>
      <w:r w:rsidRPr="00EB2BD8">
        <w:rPr>
          <w:spacing w:val="-2"/>
        </w:rPr>
        <w:t xml:space="preserve"> </w:t>
      </w:r>
      <w:r w:rsidRPr="00EB2BD8">
        <w:t>in</w:t>
      </w:r>
      <w:r w:rsidRPr="00EB2BD8">
        <w:rPr>
          <w:spacing w:val="-2"/>
        </w:rPr>
        <w:t xml:space="preserve"> </w:t>
      </w:r>
      <w:r w:rsidRPr="00EB2BD8">
        <w:t>councils.</w:t>
      </w:r>
      <w:r w:rsidRPr="00EB2BD8">
        <w:rPr>
          <w:spacing w:val="-2"/>
        </w:rPr>
        <w:t xml:space="preserve"> </w:t>
      </w:r>
      <w:r w:rsidRPr="00EB2BD8">
        <w:t>For</w:t>
      </w:r>
      <w:r w:rsidRPr="00EB2BD8">
        <w:rPr>
          <w:spacing w:val="-2"/>
        </w:rPr>
        <w:t xml:space="preserve"> </w:t>
      </w:r>
      <w:r w:rsidRPr="00EB2BD8">
        <w:t>a</w:t>
      </w:r>
      <w:r w:rsidRPr="00EB2BD8">
        <w:rPr>
          <w:spacing w:val="-2"/>
        </w:rPr>
        <w:t xml:space="preserve"> </w:t>
      </w:r>
      <w:r w:rsidRPr="00EB2BD8">
        <w:t>limited</w:t>
      </w:r>
      <w:r w:rsidRPr="00EB2BD8">
        <w:rPr>
          <w:spacing w:val="-2"/>
        </w:rPr>
        <w:t xml:space="preserve"> </w:t>
      </w:r>
      <w:r w:rsidRPr="00EB2BD8">
        <w:t>number</w:t>
      </w:r>
      <w:r w:rsidRPr="00EB2BD8">
        <w:rPr>
          <w:spacing w:val="-2"/>
        </w:rPr>
        <w:t xml:space="preserve"> </w:t>
      </w:r>
      <w:r w:rsidRPr="00EB2BD8">
        <w:t>of buildings,</w:t>
      </w:r>
      <w:r w:rsidRPr="00EB2BD8">
        <w:rPr>
          <w:spacing w:val="-13"/>
        </w:rPr>
        <w:t xml:space="preserve"> </w:t>
      </w:r>
      <w:r w:rsidRPr="00EB2BD8">
        <w:t>the</w:t>
      </w:r>
      <w:r w:rsidRPr="00EB2BD8">
        <w:rPr>
          <w:spacing w:val="-13"/>
        </w:rPr>
        <w:t xml:space="preserve"> </w:t>
      </w:r>
      <w:r w:rsidRPr="00EB2BD8">
        <w:t>VBA</w:t>
      </w:r>
      <w:r w:rsidRPr="00EB2BD8">
        <w:rPr>
          <w:spacing w:val="-13"/>
        </w:rPr>
        <w:t xml:space="preserve"> </w:t>
      </w:r>
      <w:r w:rsidRPr="00EB2BD8">
        <w:t>is</w:t>
      </w:r>
      <w:r w:rsidRPr="00EB2BD8">
        <w:rPr>
          <w:spacing w:val="-13"/>
        </w:rPr>
        <w:t xml:space="preserve"> </w:t>
      </w:r>
      <w:r w:rsidRPr="00EB2BD8">
        <w:t>performing</w:t>
      </w:r>
      <w:r w:rsidRPr="00EB2BD8">
        <w:rPr>
          <w:spacing w:val="-13"/>
        </w:rPr>
        <w:t xml:space="preserve"> </w:t>
      </w:r>
      <w:r w:rsidRPr="00EB2BD8">
        <w:t>the</w:t>
      </w:r>
      <w:r w:rsidRPr="00EB2BD8">
        <w:rPr>
          <w:spacing w:val="-13"/>
        </w:rPr>
        <w:t xml:space="preserve"> </w:t>
      </w:r>
      <w:r w:rsidRPr="00EB2BD8">
        <w:t>municipal</w:t>
      </w:r>
      <w:r w:rsidRPr="00EB2BD8">
        <w:rPr>
          <w:spacing w:val="-13"/>
        </w:rPr>
        <w:t xml:space="preserve"> </w:t>
      </w:r>
      <w:r w:rsidRPr="00EB2BD8">
        <w:t>building surveyor</w:t>
      </w:r>
      <w:r w:rsidRPr="00EB2BD8">
        <w:rPr>
          <w:spacing w:val="-6"/>
        </w:rPr>
        <w:t xml:space="preserve"> </w:t>
      </w:r>
      <w:r w:rsidRPr="00EB2BD8">
        <w:t>(MBS)</w:t>
      </w:r>
      <w:r w:rsidRPr="00EB2BD8">
        <w:rPr>
          <w:spacing w:val="-6"/>
        </w:rPr>
        <w:t xml:space="preserve"> </w:t>
      </w:r>
      <w:r w:rsidRPr="00EB2BD8">
        <w:t>function</w:t>
      </w:r>
      <w:r w:rsidRPr="00EB2BD8">
        <w:rPr>
          <w:spacing w:val="-6"/>
        </w:rPr>
        <w:t xml:space="preserve"> </w:t>
      </w:r>
      <w:r w:rsidRPr="00EB2BD8">
        <w:t>on</w:t>
      </w:r>
      <w:r w:rsidRPr="00EB2BD8">
        <w:rPr>
          <w:spacing w:val="-6"/>
        </w:rPr>
        <w:t xml:space="preserve"> </w:t>
      </w:r>
      <w:r w:rsidRPr="00EB2BD8">
        <w:t>behalf</w:t>
      </w:r>
      <w:r w:rsidRPr="00EB2BD8">
        <w:rPr>
          <w:spacing w:val="-6"/>
        </w:rPr>
        <w:t xml:space="preserve"> </w:t>
      </w:r>
      <w:r w:rsidRPr="00EB2BD8">
        <w:t>of</w:t>
      </w:r>
      <w:r w:rsidRPr="00EB2BD8">
        <w:rPr>
          <w:spacing w:val="-6"/>
        </w:rPr>
        <w:t xml:space="preserve"> </w:t>
      </w:r>
      <w:r w:rsidRPr="00EB2BD8">
        <w:t>councils</w:t>
      </w:r>
      <w:r w:rsidRPr="00EB2BD8">
        <w:rPr>
          <w:spacing w:val="-6"/>
        </w:rPr>
        <w:t xml:space="preserve"> </w:t>
      </w:r>
      <w:r w:rsidRPr="00EB2BD8">
        <w:t>by</w:t>
      </w:r>
      <w:r w:rsidRPr="00EB2BD8">
        <w:rPr>
          <w:spacing w:val="-6"/>
        </w:rPr>
        <w:t xml:space="preserve"> </w:t>
      </w:r>
      <w:r w:rsidRPr="00EB2BD8">
        <w:t>way</w:t>
      </w:r>
      <w:r w:rsidRPr="00EB2BD8">
        <w:rPr>
          <w:spacing w:val="-6"/>
        </w:rPr>
        <w:t xml:space="preserve"> </w:t>
      </w:r>
      <w:r w:rsidRPr="00EB2BD8">
        <w:t>of Ministerial</w:t>
      </w:r>
      <w:r w:rsidRPr="00EB2BD8">
        <w:rPr>
          <w:spacing w:val="-6"/>
        </w:rPr>
        <w:t xml:space="preserve"> </w:t>
      </w:r>
      <w:r w:rsidRPr="00EB2BD8">
        <w:t>Declaration.</w:t>
      </w:r>
    </w:p>
    <w:p w14:paraId="3D838349" w14:textId="77777777" w:rsidR="00084F36" w:rsidRPr="00EB2BD8" w:rsidRDefault="00EB2BD8">
      <w:pPr>
        <w:pStyle w:val="BodyText"/>
        <w:spacing w:before="105" w:line="261" w:lineRule="auto"/>
        <w:ind w:left="850" w:right="68"/>
      </w:pPr>
      <w:r w:rsidRPr="00EB2BD8">
        <w:t>The scope of the SCA was focused on residential apartment buildings, short stay accommodation and vulnerable persons for buildings constructed and occupancy</w:t>
      </w:r>
      <w:r w:rsidRPr="00EB2BD8">
        <w:rPr>
          <w:spacing w:val="-12"/>
        </w:rPr>
        <w:t xml:space="preserve"> </w:t>
      </w:r>
      <w:r w:rsidRPr="00EB2BD8">
        <w:t>permits</w:t>
      </w:r>
      <w:r w:rsidRPr="00EB2BD8">
        <w:rPr>
          <w:spacing w:val="-12"/>
        </w:rPr>
        <w:t xml:space="preserve"> </w:t>
      </w:r>
      <w:r w:rsidRPr="00EB2BD8">
        <w:t>issued</w:t>
      </w:r>
      <w:r w:rsidRPr="00EB2BD8">
        <w:rPr>
          <w:spacing w:val="-12"/>
        </w:rPr>
        <w:t xml:space="preserve"> </w:t>
      </w:r>
      <w:r w:rsidRPr="00EB2BD8">
        <w:t>between</w:t>
      </w:r>
      <w:r w:rsidRPr="00EB2BD8">
        <w:rPr>
          <w:spacing w:val="-12"/>
        </w:rPr>
        <w:t xml:space="preserve"> </w:t>
      </w:r>
      <w:r w:rsidRPr="00EB2BD8">
        <w:t>March</w:t>
      </w:r>
      <w:r w:rsidRPr="00EB2BD8">
        <w:rPr>
          <w:spacing w:val="-12"/>
        </w:rPr>
        <w:t xml:space="preserve"> </w:t>
      </w:r>
      <w:r w:rsidRPr="00EB2BD8">
        <w:t>1997</w:t>
      </w:r>
      <w:r w:rsidRPr="00EB2BD8">
        <w:rPr>
          <w:spacing w:val="-12"/>
        </w:rPr>
        <w:t xml:space="preserve"> </w:t>
      </w:r>
      <w:r w:rsidRPr="00EB2BD8">
        <w:t>and</w:t>
      </w:r>
      <w:r w:rsidRPr="00EB2BD8">
        <w:rPr>
          <w:spacing w:val="-12"/>
        </w:rPr>
        <w:t xml:space="preserve"> </w:t>
      </w:r>
      <w:r w:rsidRPr="00EB2BD8">
        <w:t>30 June 2018 for the following building classifications:</w:t>
      </w:r>
    </w:p>
    <w:p w14:paraId="79506BEC" w14:textId="77777777" w:rsidR="00084F36" w:rsidRPr="00EB2BD8" w:rsidRDefault="00EB2BD8">
      <w:pPr>
        <w:pStyle w:val="ListParagraph"/>
        <w:numPr>
          <w:ilvl w:val="0"/>
          <w:numId w:val="69"/>
        </w:numPr>
        <w:tabs>
          <w:tab w:val="left" w:pos="1133"/>
        </w:tabs>
        <w:spacing w:before="99" w:line="261" w:lineRule="auto"/>
        <w:ind w:right="982"/>
        <w:rPr>
          <w:sz w:val="18"/>
        </w:rPr>
      </w:pPr>
      <w:r w:rsidRPr="00EB2BD8">
        <w:rPr>
          <w:sz w:val="18"/>
        </w:rPr>
        <w:t>Class</w:t>
      </w:r>
      <w:r w:rsidRPr="00EB2BD8">
        <w:rPr>
          <w:spacing w:val="-15"/>
          <w:sz w:val="18"/>
        </w:rPr>
        <w:t xml:space="preserve"> </w:t>
      </w:r>
      <w:r w:rsidRPr="00EB2BD8">
        <w:rPr>
          <w:sz w:val="18"/>
        </w:rPr>
        <w:t>2</w:t>
      </w:r>
      <w:r w:rsidRPr="00EB2BD8">
        <w:rPr>
          <w:spacing w:val="-14"/>
          <w:sz w:val="18"/>
        </w:rPr>
        <w:t xml:space="preserve"> </w:t>
      </w:r>
      <w:r w:rsidRPr="00EB2BD8">
        <w:rPr>
          <w:sz w:val="18"/>
        </w:rPr>
        <w:t>buildings</w:t>
      </w:r>
      <w:r w:rsidRPr="00EB2BD8">
        <w:rPr>
          <w:spacing w:val="-14"/>
          <w:sz w:val="18"/>
        </w:rPr>
        <w:t xml:space="preserve"> </w:t>
      </w:r>
      <w:r w:rsidRPr="00EB2BD8">
        <w:rPr>
          <w:sz w:val="18"/>
        </w:rPr>
        <w:t>of</w:t>
      </w:r>
      <w:r w:rsidRPr="00EB2BD8">
        <w:rPr>
          <w:spacing w:val="-14"/>
          <w:sz w:val="18"/>
        </w:rPr>
        <w:t xml:space="preserve"> </w:t>
      </w:r>
      <w:r w:rsidRPr="00EB2BD8">
        <w:rPr>
          <w:sz w:val="18"/>
        </w:rPr>
        <w:t>three</w:t>
      </w:r>
      <w:r w:rsidRPr="00EB2BD8">
        <w:rPr>
          <w:spacing w:val="-15"/>
          <w:sz w:val="18"/>
        </w:rPr>
        <w:t xml:space="preserve"> </w:t>
      </w:r>
      <w:r w:rsidRPr="00EB2BD8">
        <w:rPr>
          <w:sz w:val="18"/>
        </w:rPr>
        <w:t>or</w:t>
      </w:r>
      <w:r w:rsidRPr="00EB2BD8">
        <w:rPr>
          <w:spacing w:val="-14"/>
          <w:sz w:val="18"/>
        </w:rPr>
        <w:t xml:space="preserve"> </w:t>
      </w:r>
      <w:r w:rsidRPr="00EB2BD8">
        <w:rPr>
          <w:sz w:val="18"/>
        </w:rPr>
        <w:t>more</w:t>
      </w:r>
      <w:r w:rsidRPr="00EB2BD8">
        <w:rPr>
          <w:spacing w:val="-14"/>
          <w:sz w:val="18"/>
        </w:rPr>
        <w:t xml:space="preserve"> </w:t>
      </w:r>
      <w:r w:rsidRPr="00EB2BD8">
        <w:rPr>
          <w:sz w:val="18"/>
        </w:rPr>
        <w:t>storeys (residential apartments); or</w:t>
      </w:r>
    </w:p>
    <w:p w14:paraId="1D4925DC" w14:textId="77777777" w:rsidR="00084F36" w:rsidRPr="00EB2BD8" w:rsidRDefault="00EB2BD8">
      <w:pPr>
        <w:pStyle w:val="ListParagraph"/>
        <w:numPr>
          <w:ilvl w:val="0"/>
          <w:numId w:val="69"/>
        </w:numPr>
        <w:tabs>
          <w:tab w:val="left" w:pos="1133"/>
        </w:tabs>
        <w:spacing w:before="68" w:line="261" w:lineRule="auto"/>
        <w:ind w:right="279"/>
        <w:rPr>
          <w:sz w:val="18"/>
        </w:rPr>
      </w:pPr>
      <w:r w:rsidRPr="00EB2BD8">
        <w:rPr>
          <w:spacing w:val="-2"/>
          <w:sz w:val="18"/>
        </w:rPr>
        <w:t>Class</w:t>
      </w:r>
      <w:r w:rsidRPr="00EB2BD8">
        <w:rPr>
          <w:spacing w:val="-8"/>
          <w:sz w:val="18"/>
        </w:rPr>
        <w:t xml:space="preserve"> </w:t>
      </w:r>
      <w:r w:rsidRPr="00EB2BD8">
        <w:rPr>
          <w:spacing w:val="-2"/>
          <w:sz w:val="18"/>
        </w:rPr>
        <w:t>3</w:t>
      </w:r>
      <w:r w:rsidRPr="00EB2BD8">
        <w:rPr>
          <w:spacing w:val="-8"/>
          <w:sz w:val="18"/>
        </w:rPr>
        <w:t xml:space="preserve"> </w:t>
      </w:r>
      <w:r w:rsidRPr="00EB2BD8">
        <w:rPr>
          <w:spacing w:val="-2"/>
          <w:sz w:val="18"/>
        </w:rPr>
        <w:t>buildings</w:t>
      </w:r>
      <w:r w:rsidRPr="00EB2BD8">
        <w:rPr>
          <w:spacing w:val="-8"/>
          <w:sz w:val="18"/>
        </w:rPr>
        <w:t xml:space="preserve"> </w:t>
      </w:r>
      <w:r w:rsidRPr="00EB2BD8">
        <w:rPr>
          <w:spacing w:val="-2"/>
          <w:sz w:val="18"/>
        </w:rPr>
        <w:t>of</w:t>
      </w:r>
      <w:r w:rsidRPr="00EB2BD8">
        <w:rPr>
          <w:spacing w:val="-8"/>
          <w:sz w:val="18"/>
        </w:rPr>
        <w:t xml:space="preserve"> </w:t>
      </w:r>
      <w:r w:rsidRPr="00EB2BD8">
        <w:rPr>
          <w:spacing w:val="-2"/>
          <w:sz w:val="18"/>
        </w:rPr>
        <w:t>three</w:t>
      </w:r>
      <w:r w:rsidRPr="00EB2BD8">
        <w:rPr>
          <w:spacing w:val="-8"/>
          <w:sz w:val="18"/>
        </w:rPr>
        <w:t xml:space="preserve"> </w:t>
      </w:r>
      <w:r w:rsidRPr="00EB2BD8">
        <w:rPr>
          <w:spacing w:val="-2"/>
          <w:sz w:val="18"/>
        </w:rPr>
        <w:t>or</w:t>
      </w:r>
      <w:r w:rsidRPr="00EB2BD8">
        <w:rPr>
          <w:spacing w:val="-8"/>
          <w:sz w:val="18"/>
        </w:rPr>
        <w:t xml:space="preserve"> </w:t>
      </w:r>
      <w:r w:rsidRPr="00EB2BD8">
        <w:rPr>
          <w:spacing w:val="-2"/>
          <w:sz w:val="18"/>
        </w:rPr>
        <w:t>more</w:t>
      </w:r>
      <w:r w:rsidRPr="00EB2BD8">
        <w:rPr>
          <w:spacing w:val="-8"/>
          <w:sz w:val="18"/>
        </w:rPr>
        <w:t xml:space="preserve"> </w:t>
      </w:r>
      <w:r w:rsidRPr="00EB2BD8">
        <w:rPr>
          <w:spacing w:val="-2"/>
          <w:sz w:val="18"/>
        </w:rPr>
        <w:t>storeys</w:t>
      </w:r>
      <w:r w:rsidRPr="00EB2BD8">
        <w:rPr>
          <w:spacing w:val="-8"/>
          <w:sz w:val="18"/>
        </w:rPr>
        <w:t xml:space="preserve"> </w:t>
      </w:r>
      <w:r w:rsidRPr="00EB2BD8">
        <w:rPr>
          <w:spacing w:val="-2"/>
          <w:sz w:val="18"/>
        </w:rPr>
        <w:t xml:space="preserve">(Hotels, </w:t>
      </w:r>
      <w:r w:rsidRPr="00EB2BD8">
        <w:rPr>
          <w:sz w:val="18"/>
        </w:rPr>
        <w:t>Motels and Student accommodation); or</w:t>
      </w:r>
    </w:p>
    <w:p w14:paraId="1A3E3CC5" w14:textId="77777777" w:rsidR="00084F36" w:rsidRPr="00EB2BD8" w:rsidRDefault="00EB2BD8">
      <w:pPr>
        <w:pStyle w:val="ListParagraph"/>
        <w:numPr>
          <w:ilvl w:val="0"/>
          <w:numId w:val="69"/>
        </w:numPr>
        <w:tabs>
          <w:tab w:val="left" w:pos="1133"/>
        </w:tabs>
        <w:spacing w:before="67" w:line="261" w:lineRule="auto"/>
        <w:ind w:right="158"/>
        <w:rPr>
          <w:sz w:val="18"/>
        </w:rPr>
      </w:pPr>
      <w:r w:rsidRPr="00EB2BD8">
        <w:rPr>
          <w:spacing w:val="-2"/>
          <w:sz w:val="18"/>
        </w:rPr>
        <w:t>Class</w:t>
      </w:r>
      <w:r w:rsidRPr="00EB2BD8">
        <w:rPr>
          <w:spacing w:val="-8"/>
          <w:sz w:val="18"/>
        </w:rPr>
        <w:t xml:space="preserve"> </w:t>
      </w:r>
      <w:r w:rsidRPr="00EB2BD8">
        <w:rPr>
          <w:spacing w:val="-2"/>
          <w:sz w:val="18"/>
        </w:rPr>
        <w:t>9</w:t>
      </w:r>
      <w:r w:rsidRPr="00EB2BD8">
        <w:rPr>
          <w:spacing w:val="-8"/>
          <w:sz w:val="18"/>
        </w:rPr>
        <w:t xml:space="preserve"> </w:t>
      </w:r>
      <w:r w:rsidRPr="00EB2BD8">
        <w:rPr>
          <w:spacing w:val="-2"/>
          <w:sz w:val="18"/>
        </w:rPr>
        <w:t>buildings</w:t>
      </w:r>
      <w:r w:rsidRPr="00EB2BD8">
        <w:rPr>
          <w:spacing w:val="-8"/>
          <w:sz w:val="18"/>
        </w:rPr>
        <w:t xml:space="preserve"> </w:t>
      </w:r>
      <w:r w:rsidRPr="00EB2BD8">
        <w:rPr>
          <w:spacing w:val="-2"/>
          <w:sz w:val="18"/>
        </w:rPr>
        <w:t>of</w:t>
      </w:r>
      <w:r w:rsidRPr="00EB2BD8">
        <w:rPr>
          <w:spacing w:val="-8"/>
          <w:sz w:val="18"/>
        </w:rPr>
        <w:t xml:space="preserve"> </w:t>
      </w:r>
      <w:r w:rsidRPr="00EB2BD8">
        <w:rPr>
          <w:spacing w:val="-2"/>
          <w:sz w:val="18"/>
        </w:rPr>
        <w:t>two</w:t>
      </w:r>
      <w:r w:rsidRPr="00EB2BD8">
        <w:rPr>
          <w:spacing w:val="-8"/>
          <w:sz w:val="18"/>
        </w:rPr>
        <w:t xml:space="preserve"> </w:t>
      </w:r>
      <w:r w:rsidRPr="00EB2BD8">
        <w:rPr>
          <w:spacing w:val="-2"/>
          <w:sz w:val="18"/>
        </w:rPr>
        <w:t>or</w:t>
      </w:r>
      <w:r w:rsidRPr="00EB2BD8">
        <w:rPr>
          <w:spacing w:val="-8"/>
          <w:sz w:val="18"/>
        </w:rPr>
        <w:t xml:space="preserve"> </w:t>
      </w:r>
      <w:r w:rsidRPr="00EB2BD8">
        <w:rPr>
          <w:spacing w:val="-2"/>
          <w:sz w:val="18"/>
        </w:rPr>
        <w:t>more</w:t>
      </w:r>
      <w:r w:rsidRPr="00EB2BD8">
        <w:rPr>
          <w:spacing w:val="-8"/>
          <w:sz w:val="18"/>
        </w:rPr>
        <w:t xml:space="preserve"> </w:t>
      </w:r>
      <w:r w:rsidRPr="00EB2BD8">
        <w:rPr>
          <w:spacing w:val="-2"/>
          <w:sz w:val="18"/>
        </w:rPr>
        <w:t>storeys</w:t>
      </w:r>
      <w:r w:rsidRPr="00EB2BD8">
        <w:rPr>
          <w:spacing w:val="-8"/>
          <w:sz w:val="18"/>
        </w:rPr>
        <w:t xml:space="preserve"> </w:t>
      </w:r>
      <w:r w:rsidRPr="00EB2BD8">
        <w:rPr>
          <w:spacing w:val="-2"/>
          <w:sz w:val="18"/>
        </w:rPr>
        <w:t xml:space="preserve">(Hospitals, </w:t>
      </w:r>
      <w:r w:rsidRPr="00EB2BD8">
        <w:rPr>
          <w:sz w:val="18"/>
        </w:rPr>
        <w:t>Schools and Aged Care facilities).</w:t>
      </w:r>
    </w:p>
    <w:p w14:paraId="60AE0EDB" w14:textId="77777777" w:rsidR="00084F36" w:rsidRPr="00EB2BD8" w:rsidRDefault="00EB2BD8">
      <w:pPr>
        <w:pStyle w:val="BodyText"/>
        <w:spacing w:before="128" w:line="261" w:lineRule="auto"/>
        <w:ind w:left="850" w:right="68"/>
      </w:pPr>
      <w:r w:rsidRPr="00EB2BD8">
        <w:t>All</w:t>
      </w:r>
      <w:r w:rsidRPr="00EB2BD8">
        <w:rPr>
          <w:spacing w:val="-7"/>
        </w:rPr>
        <w:t xml:space="preserve"> </w:t>
      </w:r>
      <w:r w:rsidRPr="00EB2BD8">
        <w:t>remaining</w:t>
      </w:r>
      <w:r w:rsidRPr="00EB2BD8">
        <w:rPr>
          <w:spacing w:val="-7"/>
        </w:rPr>
        <w:t xml:space="preserve"> </w:t>
      </w:r>
      <w:r w:rsidRPr="00EB2BD8">
        <w:t>SCA</w:t>
      </w:r>
      <w:r w:rsidRPr="00EB2BD8">
        <w:rPr>
          <w:spacing w:val="-7"/>
        </w:rPr>
        <w:t xml:space="preserve"> </w:t>
      </w:r>
      <w:r w:rsidRPr="00EB2BD8">
        <w:t>building</w:t>
      </w:r>
      <w:r w:rsidRPr="00EB2BD8">
        <w:rPr>
          <w:spacing w:val="-7"/>
        </w:rPr>
        <w:t xml:space="preserve"> </w:t>
      </w:r>
      <w:r w:rsidRPr="00EB2BD8">
        <w:t>stock</w:t>
      </w:r>
      <w:r w:rsidRPr="00EB2BD8">
        <w:rPr>
          <w:spacing w:val="-7"/>
        </w:rPr>
        <w:t xml:space="preserve"> </w:t>
      </w:r>
      <w:r w:rsidRPr="00EB2BD8">
        <w:t>data</w:t>
      </w:r>
      <w:r w:rsidRPr="00EB2BD8">
        <w:rPr>
          <w:spacing w:val="-7"/>
        </w:rPr>
        <w:t xml:space="preserve"> </w:t>
      </w:r>
      <w:r w:rsidRPr="00EB2BD8">
        <w:t>was</w:t>
      </w:r>
      <w:r w:rsidRPr="00EB2BD8">
        <w:rPr>
          <w:spacing w:val="-7"/>
        </w:rPr>
        <w:t xml:space="preserve"> </w:t>
      </w:r>
      <w:r w:rsidRPr="00EB2BD8">
        <w:t>transferred to CSV on 16 June 2023.</w:t>
      </w:r>
    </w:p>
    <w:p w14:paraId="107CD7BB" w14:textId="77777777" w:rsidR="00084F36" w:rsidRPr="00EB2BD8" w:rsidRDefault="00EB2BD8">
      <w:pPr>
        <w:pStyle w:val="BodyText"/>
        <w:spacing w:before="112" w:line="261" w:lineRule="auto"/>
        <w:ind w:left="850"/>
      </w:pPr>
      <w:r w:rsidRPr="00EB2BD8">
        <w:t>The</w:t>
      </w:r>
      <w:r w:rsidRPr="00EB2BD8">
        <w:rPr>
          <w:spacing w:val="-11"/>
        </w:rPr>
        <w:t xml:space="preserve"> </w:t>
      </w:r>
      <w:r w:rsidRPr="00EB2BD8">
        <w:t>VBA</w:t>
      </w:r>
      <w:r w:rsidRPr="00EB2BD8">
        <w:rPr>
          <w:spacing w:val="-11"/>
        </w:rPr>
        <w:t xml:space="preserve"> </w:t>
      </w:r>
      <w:r w:rsidRPr="00EB2BD8">
        <w:t>continues</w:t>
      </w:r>
      <w:r w:rsidRPr="00EB2BD8">
        <w:rPr>
          <w:spacing w:val="-11"/>
        </w:rPr>
        <w:t xml:space="preserve"> </w:t>
      </w:r>
      <w:r w:rsidRPr="00EB2BD8">
        <w:t>to</w:t>
      </w:r>
      <w:r w:rsidRPr="00EB2BD8">
        <w:rPr>
          <w:spacing w:val="-11"/>
        </w:rPr>
        <w:t xml:space="preserve"> </w:t>
      </w:r>
      <w:r w:rsidRPr="00EB2BD8">
        <w:t>perform</w:t>
      </w:r>
      <w:r w:rsidRPr="00EB2BD8">
        <w:rPr>
          <w:spacing w:val="-11"/>
        </w:rPr>
        <w:t xml:space="preserve"> </w:t>
      </w:r>
      <w:r w:rsidRPr="00EB2BD8">
        <w:t>the</w:t>
      </w:r>
      <w:r w:rsidRPr="00EB2BD8">
        <w:rPr>
          <w:spacing w:val="-11"/>
        </w:rPr>
        <w:t xml:space="preserve"> </w:t>
      </w:r>
      <w:r w:rsidRPr="00EB2BD8">
        <w:t>MBS</w:t>
      </w:r>
      <w:r w:rsidRPr="00EB2BD8">
        <w:rPr>
          <w:spacing w:val="-11"/>
        </w:rPr>
        <w:t xml:space="preserve"> </w:t>
      </w:r>
      <w:r w:rsidRPr="00EB2BD8">
        <w:t>function</w:t>
      </w:r>
      <w:r w:rsidRPr="00EB2BD8">
        <w:rPr>
          <w:spacing w:val="-11"/>
        </w:rPr>
        <w:t xml:space="preserve"> </w:t>
      </w:r>
      <w:r w:rsidRPr="00EB2BD8">
        <w:t>for</w:t>
      </w:r>
      <w:r w:rsidRPr="00EB2BD8">
        <w:rPr>
          <w:spacing w:val="-11"/>
        </w:rPr>
        <w:t xml:space="preserve"> </w:t>
      </w:r>
      <w:r w:rsidRPr="00EB2BD8">
        <w:t>332 buildings</w:t>
      </w:r>
      <w:r w:rsidRPr="00EB2BD8">
        <w:rPr>
          <w:spacing w:val="-13"/>
        </w:rPr>
        <w:t xml:space="preserve"> </w:t>
      </w:r>
      <w:r w:rsidRPr="00EB2BD8">
        <w:t>considered</w:t>
      </w:r>
      <w:r w:rsidRPr="00EB2BD8">
        <w:rPr>
          <w:spacing w:val="-13"/>
        </w:rPr>
        <w:t xml:space="preserve"> </w:t>
      </w:r>
      <w:r w:rsidRPr="00EB2BD8">
        <w:t>higher</w:t>
      </w:r>
      <w:r w:rsidRPr="00EB2BD8">
        <w:rPr>
          <w:spacing w:val="-13"/>
        </w:rPr>
        <w:t xml:space="preserve"> </w:t>
      </w:r>
      <w:r w:rsidRPr="00EB2BD8">
        <w:t>risk.</w:t>
      </w:r>
      <w:r w:rsidRPr="00EB2BD8">
        <w:rPr>
          <w:spacing w:val="-13"/>
        </w:rPr>
        <w:t xml:space="preserve"> </w:t>
      </w:r>
      <w:r w:rsidRPr="00EB2BD8">
        <w:t>Of</w:t>
      </w:r>
      <w:r w:rsidRPr="00EB2BD8">
        <w:rPr>
          <w:spacing w:val="-13"/>
        </w:rPr>
        <w:t xml:space="preserve"> </w:t>
      </w:r>
      <w:r w:rsidRPr="00EB2BD8">
        <w:t>these,</w:t>
      </w:r>
      <w:r w:rsidRPr="00EB2BD8">
        <w:rPr>
          <w:spacing w:val="-13"/>
        </w:rPr>
        <w:t xml:space="preserve"> </w:t>
      </w:r>
      <w:r w:rsidRPr="00EB2BD8">
        <w:t>143</w:t>
      </w:r>
      <w:r w:rsidRPr="00EB2BD8">
        <w:rPr>
          <w:spacing w:val="-13"/>
        </w:rPr>
        <w:t xml:space="preserve"> </w:t>
      </w:r>
      <w:r w:rsidRPr="00EB2BD8">
        <w:t>have</w:t>
      </w:r>
      <w:r w:rsidRPr="00EB2BD8">
        <w:rPr>
          <w:spacing w:val="-13"/>
        </w:rPr>
        <w:t xml:space="preserve"> </w:t>
      </w:r>
      <w:r w:rsidRPr="00EB2BD8">
        <w:t>no outstanding cladding enforcement as these buildings have had cladding risks rectified or deemed a low and acceptable</w:t>
      </w:r>
      <w:r w:rsidRPr="00EB2BD8">
        <w:rPr>
          <w:spacing w:val="-6"/>
        </w:rPr>
        <w:t xml:space="preserve"> </w:t>
      </w:r>
      <w:r w:rsidRPr="00EB2BD8">
        <w:t>risk.</w:t>
      </w:r>
    </w:p>
    <w:p w14:paraId="206CD131" w14:textId="77777777" w:rsidR="00084F36" w:rsidRPr="00EB2BD8" w:rsidRDefault="00EB2BD8">
      <w:pPr>
        <w:pStyle w:val="BodyText"/>
        <w:spacing w:before="108" w:line="261" w:lineRule="auto"/>
        <w:ind w:left="850" w:right="296"/>
      </w:pPr>
      <w:r w:rsidRPr="00EB2BD8">
        <w:t>Whilst undertaking SCA cladding inspections the VBA</w:t>
      </w:r>
      <w:r w:rsidRPr="00EB2BD8">
        <w:rPr>
          <w:spacing w:val="-4"/>
        </w:rPr>
        <w:t xml:space="preserve"> </w:t>
      </w:r>
      <w:r w:rsidRPr="00EB2BD8">
        <w:t>has</w:t>
      </w:r>
      <w:r w:rsidRPr="00EB2BD8">
        <w:rPr>
          <w:spacing w:val="-3"/>
        </w:rPr>
        <w:t xml:space="preserve"> </w:t>
      </w:r>
      <w:r w:rsidRPr="00EB2BD8">
        <w:t>not</w:t>
      </w:r>
      <w:r w:rsidRPr="00EB2BD8">
        <w:rPr>
          <w:spacing w:val="-3"/>
        </w:rPr>
        <w:t xml:space="preserve"> </w:t>
      </w:r>
      <w:r w:rsidRPr="00EB2BD8">
        <w:t>only</w:t>
      </w:r>
      <w:r w:rsidRPr="00EB2BD8">
        <w:rPr>
          <w:spacing w:val="-4"/>
        </w:rPr>
        <w:t xml:space="preserve"> </w:t>
      </w:r>
      <w:r w:rsidRPr="00EB2BD8">
        <w:t>discovered</w:t>
      </w:r>
      <w:r w:rsidRPr="00EB2BD8">
        <w:rPr>
          <w:spacing w:val="-3"/>
        </w:rPr>
        <w:t xml:space="preserve"> </w:t>
      </w:r>
      <w:r w:rsidRPr="00EB2BD8">
        <w:t>risks</w:t>
      </w:r>
      <w:r w:rsidRPr="00EB2BD8">
        <w:rPr>
          <w:spacing w:val="-3"/>
        </w:rPr>
        <w:t xml:space="preserve"> </w:t>
      </w:r>
      <w:r w:rsidRPr="00EB2BD8">
        <w:t>associated</w:t>
      </w:r>
      <w:r w:rsidRPr="00EB2BD8">
        <w:rPr>
          <w:spacing w:val="-4"/>
        </w:rPr>
        <w:t xml:space="preserve"> with</w:t>
      </w:r>
    </w:p>
    <w:p w14:paraId="09A1F762" w14:textId="77777777" w:rsidR="00084F36" w:rsidRPr="00EB2BD8" w:rsidRDefault="00EB2BD8">
      <w:pPr>
        <w:pStyle w:val="BodyText"/>
        <w:spacing w:line="261" w:lineRule="auto"/>
        <w:ind w:left="850" w:right="7"/>
      </w:pPr>
      <w:r w:rsidRPr="00EB2BD8">
        <w:t>combustible</w:t>
      </w:r>
      <w:r w:rsidRPr="00EB2BD8">
        <w:rPr>
          <w:spacing w:val="-7"/>
        </w:rPr>
        <w:t xml:space="preserve"> </w:t>
      </w:r>
      <w:r w:rsidRPr="00EB2BD8">
        <w:t>cladding,</w:t>
      </w:r>
      <w:r w:rsidRPr="00EB2BD8">
        <w:rPr>
          <w:spacing w:val="-7"/>
        </w:rPr>
        <w:t xml:space="preserve"> </w:t>
      </w:r>
      <w:r w:rsidRPr="00EB2BD8">
        <w:t>but</w:t>
      </w:r>
      <w:r w:rsidRPr="00EB2BD8">
        <w:rPr>
          <w:spacing w:val="-7"/>
        </w:rPr>
        <w:t xml:space="preserve"> </w:t>
      </w:r>
      <w:r w:rsidRPr="00EB2BD8">
        <w:t>also</w:t>
      </w:r>
      <w:r w:rsidRPr="00EB2BD8">
        <w:rPr>
          <w:spacing w:val="-7"/>
        </w:rPr>
        <w:t xml:space="preserve"> </w:t>
      </w:r>
      <w:r w:rsidRPr="00EB2BD8">
        <w:t>unmaintained,</w:t>
      </w:r>
      <w:r w:rsidRPr="00EB2BD8">
        <w:rPr>
          <w:spacing w:val="-7"/>
        </w:rPr>
        <w:t xml:space="preserve"> </w:t>
      </w:r>
      <w:r w:rsidRPr="00EB2BD8">
        <w:t>defective fire and building safety measures, water damage and mould. Routinely inspecting, testing and maintaining the operation of a building’s safety features is critical to occupant safety. For the 332 buildings for which the VBA is delegated as the MBS, we work collaboratively with owners and owners’ corporations to action and resolve identified safety risks. The safety of building occupants and adjoining properties is paramount.</w:t>
      </w:r>
    </w:p>
    <w:p w14:paraId="6EF8F0EE" w14:textId="4E43FC85" w:rsidR="00084F36" w:rsidRPr="00DB0F6B" w:rsidRDefault="00EB2BD8" w:rsidP="008E535F">
      <w:pPr>
        <w:pStyle w:val="Heading2"/>
      </w:pPr>
      <w:r w:rsidRPr="00EB2BD8">
        <w:br w:type="column"/>
      </w:r>
      <w:bookmarkStart w:id="63" w:name="_Toc150762365"/>
      <w:r w:rsidRPr="00EB2BD8">
        <w:t>Cladding enforcement</w:t>
      </w:r>
      <w:bookmarkEnd w:id="63"/>
    </w:p>
    <w:p w14:paraId="5F3FCA8D" w14:textId="77777777" w:rsidR="00084F36" w:rsidRPr="00EB2BD8" w:rsidRDefault="00EB2BD8">
      <w:pPr>
        <w:pStyle w:val="BodyText"/>
        <w:spacing w:before="138" w:line="261" w:lineRule="auto"/>
        <w:ind w:left="429" w:right="874"/>
      </w:pPr>
      <w:r w:rsidRPr="00EB2BD8">
        <w:t>Practitioners who have approved or installed non- compliant or unauthorised combustible cladding have been subject to disciplinary action by the VBA. This year, the VBA commenced five disciplinary actions against building practitioners who had been involved</w:t>
      </w:r>
      <w:r w:rsidRPr="00EB2BD8">
        <w:rPr>
          <w:spacing w:val="80"/>
        </w:rPr>
        <w:t xml:space="preserve"> </w:t>
      </w:r>
      <w:r w:rsidRPr="00EB2BD8">
        <w:t>in</w:t>
      </w:r>
      <w:r w:rsidRPr="00EB2BD8">
        <w:rPr>
          <w:spacing w:val="-14"/>
        </w:rPr>
        <w:t xml:space="preserve"> </w:t>
      </w:r>
      <w:r w:rsidRPr="00EB2BD8">
        <w:t>the</w:t>
      </w:r>
      <w:r w:rsidRPr="00EB2BD8">
        <w:rPr>
          <w:spacing w:val="-14"/>
        </w:rPr>
        <w:t xml:space="preserve"> </w:t>
      </w:r>
      <w:r w:rsidRPr="00EB2BD8">
        <w:t>design,</w:t>
      </w:r>
      <w:r w:rsidRPr="00EB2BD8">
        <w:rPr>
          <w:spacing w:val="-14"/>
        </w:rPr>
        <w:t xml:space="preserve"> </w:t>
      </w:r>
      <w:r w:rsidRPr="00EB2BD8">
        <w:t>approval</w:t>
      </w:r>
      <w:r w:rsidRPr="00EB2BD8">
        <w:rPr>
          <w:spacing w:val="-14"/>
        </w:rPr>
        <w:t xml:space="preserve"> </w:t>
      </w:r>
      <w:r w:rsidRPr="00EB2BD8">
        <w:t>or</w:t>
      </w:r>
      <w:r w:rsidRPr="00EB2BD8">
        <w:rPr>
          <w:spacing w:val="-14"/>
        </w:rPr>
        <w:t xml:space="preserve"> </w:t>
      </w:r>
      <w:r w:rsidRPr="00EB2BD8">
        <w:t>construction</w:t>
      </w:r>
      <w:r w:rsidRPr="00EB2BD8">
        <w:rPr>
          <w:spacing w:val="-14"/>
        </w:rPr>
        <w:t xml:space="preserve"> </w:t>
      </w:r>
      <w:r w:rsidRPr="00EB2BD8">
        <w:t>of</w:t>
      </w:r>
      <w:r w:rsidRPr="00EB2BD8">
        <w:rPr>
          <w:spacing w:val="-14"/>
        </w:rPr>
        <w:t xml:space="preserve"> </w:t>
      </w:r>
      <w:r w:rsidRPr="00EB2BD8">
        <w:t>buildings</w:t>
      </w:r>
      <w:r w:rsidRPr="00EB2BD8">
        <w:rPr>
          <w:spacing w:val="-14"/>
        </w:rPr>
        <w:t xml:space="preserve"> </w:t>
      </w:r>
      <w:r w:rsidRPr="00EB2BD8">
        <w:t>with combustible cladding issues at nine sites.</w:t>
      </w:r>
    </w:p>
    <w:p w14:paraId="2D4A793C" w14:textId="77777777" w:rsidR="00084F36" w:rsidRPr="00EB2BD8" w:rsidRDefault="00EB2BD8">
      <w:pPr>
        <w:pStyle w:val="BodyText"/>
        <w:spacing w:before="106" w:line="261" w:lineRule="auto"/>
        <w:ind w:left="429" w:right="798"/>
      </w:pPr>
      <w:r w:rsidRPr="00EB2BD8">
        <w:t>The</w:t>
      </w:r>
      <w:r w:rsidRPr="00EB2BD8">
        <w:rPr>
          <w:spacing w:val="-15"/>
        </w:rPr>
        <w:t xml:space="preserve"> </w:t>
      </w:r>
      <w:r w:rsidRPr="00EB2BD8">
        <w:t>VBA</w:t>
      </w:r>
      <w:r w:rsidRPr="00EB2BD8">
        <w:rPr>
          <w:spacing w:val="-14"/>
        </w:rPr>
        <w:t xml:space="preserve"> </w:t>
      </w:r>
      <w:r w:rsidRPr="00EB2BD8">
        <w:t>issued</w:t>
      </w:r>
      <w:r w:rsidRPr="00EB2BD8">
        <w:rPr>
          <w:spacing w:val="-14"/>
        </w:rPr>
        <w:t xml:space="preserve"> </w:t>
      </w:r>
      <w:r w:rsidRPr="00EB2BD8">
        <w:t>16</w:t>
      </w:r>
      <w:r w:rsidRPr="00EB2BD8">
        <w:rPr>
          <w:spacing w:val="-14"/>
        </w:rPr>
        <w:t xml:space="preserve"> </w:t>
      </w:r>
      <w:r w:rsidRPr="00EB2BD8">
        <w:t>decisions</w:t>
      </w:r>
      <w:r w:rsidRPr="00EB2BD8">
        <w:rPr>
          <w:spacing w:val="-15"/>
        </w:rPr>
        <w:t xml:space="preserve"> </w:t>
      </w:r>
      <w:r w:rsidRPr="00EB2BD8">
        <w:t>in</w:t>
      </w:r>
      <w:r w:rsidRPr="00EB2BD8">
        <w:rPr>
          <w:spacing w:val="-14"/>
        </w:rPr>
        <w:t xml:space="preserve"> </w:t>
      </w:r>
      <w:r w:rsidRPr="00EB2BD8">
        <w:t>disciplinary</w:t>
      </w:r>
      <w:r w:rsidRPr="00EB2BD8">
        <w:rPr>
          <w:spacing w:val="-14"/>
        </w:rPr>
        <w:t xml:space="preserve"> </w:t>
      </w:r>
      <w:r w:rsidRPr="00EB2BD8">
        <w:t>actions arising from combustible cladding issues during</w:t>
      </w:r>
    </w:p>
    <w:p w14:paraId="1D19CFDC" w14:textId="77777777" w:rsidR="00084F36" w:rsidRPr="00EB2BD8" w:rsidRDefault="00EB2BD8">
      <w:pPr>
        <w:pStyle w:val="BodyText"/>
        <w:spacing w:line="261" w:lineRule="auto"/>
        <w:ind w:left="429" w:right="798"/>
      </w:pPr>
      <w:r w:rsidRPr="00EB2BD8">
        <w:t>2022-23.</w:t>
      </w:r>
      <w:r w:rsidRPr="00EB2BD8">
        <w:rPr>
          <w:spacing w:val="-10"/>
        </w:rPr>
        <w:t xml:space="preserve"> </w:t>
      </w:r>
      <w:r w:rsidRPr="00EB2BD8">
        <w:t>Some</w:t>
      </w:r>
      <w:r w:rsidRPr="00EB2BD8">
        <w:rPr>
          <w:spacing w:val="-10"/>
        </w:rPr>
        <w:t xml:space="preserve"> </w:t>
      </w:r>
      <w:r w:rsidRPr="00EB2BD8">
        <w:t>practitioners</w:t>
      </w:r>
      <w:r w:rsidRPr="00EB2BD8">
        <w:rPr>
          <w:spacing w:val="-10"/>
        </w:rPr>
        <w:t xml:space="preserve"> </w:t>
      </w:r>
      <w:r w:rsidRPr="00EB2BD8">
        <w:t>sought</w:t>
      </w:r>
      <w:r w:rsidRPr="00EB2BD8">
        <w:rPr>
          <w:spacing w:val="-10"/>
        </w:rPr>
        <w:t xml:space="preserve"> </w:t>
      </w:r>
      <w:r w:rsidRPr="00EB2BD8">
        <w:t>review</w:t>
      </w:r>
      <w:r w:rsidRPr="00EB2BD8">
        <w:rPr>
          <w:spacing w:val="-10"/>
        </w:rPr>
        <w:t xml:space="preserve"> </w:t>
      </w:r>
      <w:r w:rsidRPr="00EB2BD8">
        <w:t>of</w:t>
      </w:r>
      <w:r w:rsidRPr="00EB2BD8">
        <w:rPr>
          <w:spacing w:val="-10"/>
        </w:rPr>
        <w:t xml:space="preserve"> </w:t>
      </w:r>
      <w:r w:rsidRPr="00EB2BD8">
        <w:t>the</w:t>
      </w:r>
      <w:r w:rsidRPr="00EB2BD8">
        <w:rPr>
          <w:spacing w:val="-10"/>
        </w:rPr>
        <w:t xml:space="preserve"> </w:t>
      </w:r>
      <w:r w:rsidRPr="00EB2BD8">
        <w:t>VBA’s decision in the Victorian Civil and Administrative Tribunal</w:t>
      </w:r>
      <w:r w:rsidRPr="00EB2BD8">
        <w:rPr>
          <w:spacing w:val="-12"/>
        </w:rPr>
        <w:t xml:space="preserve"> </w:t>
      </w:r>
      <w:r w:rsidRPr="00EB2BD8">
        <w:t>(VCAT).</w:t>
      </w:r>
      <w:r w:rsidRPr="00EB2BD8">
        <w:rPr>
          <w:spacing w:val="-12"/>
        </w:rPr>
        <w:t xml:space="preserve"> </w:t>
      </w:r>
      <w:r w:rsidRPr="00EB2BD8">
        <w:t>Those</w:t>
      </w:r>
      <w:r w:rsidRPr="00EB2BD8">
        <w:rPr>
          <w:spacing w:val="-12"/>
        </w:rPr>
        <w:t xml:space="preserve"> </w:t>
      </w:r>
      <w:r w:rsidRPr="00EB2BD8">
        <w:t>cases</w:t>
      </w:r>
      <w:r w:rsidRPr="00EB2BD8">
        <w:rPr>
          <w:spacing w:val="-12"/>
        </w:rPr>
        <w:t xml:space="preserve"> </w:t>
      </w:r>
      <w:r w:rsidRPr="00EB2BD8">
        <w:t>were</w:t>
      </w:r>
      <w:r w:rsidRPr="00EB2BD8">
        <w:rPr>
          <w:spacing w:val="-12"/>
        </w:rPr>
        <w:t xml:space="preserve"> </w:t>
      </w:r>
      <w:r w:rsidRPr="00EB2BD8">
        <w:t>still</w:t>
      </w:r>
      <w:r w:rsidRPr="00EB2BD8">
        <w:rPr>
          <w:spacing w:val="-12"/>
        </w:rPr>
        <w:t xml:space="preserve"> </w:t>
      </w:r>
      <w:r w:rsidRPr="00EB2BD8">
        <w:t>ongoing</w:t>
      </w:r>
      <w:r w:rsidRPr="00EB2BD8">
        <w:rPr>
          <w:spacing w:val="-12"/>
        </w:rPr>
        <w:t xml:space="preserve"> </w:t>
      </w:r>
      <w:r w:rsidRPr="00EB2BD8">
        <w:t>as</w:t>
      </w:r>
      <w:r w:rsidRPr="00EB2BD8">
        <w:rPr>
          <w:spacing w:val="-12"/>
        </w:rPr>
        <w:t xml:space="preserve"> </w:t>
      </w:r>
      <w:r w:rsidRPr="00EB2BD8">
        <w:t>at</w:t>
      </w:r>
      <w:r w:rsidRPr="00EB2BD8">
        <w:rPr>
          <w:spacing w:val="-12"/>
        </w:rPr>
        <w:t xml:space="preserve"> </w:t>
      </w:r>
      <w:r w:rsidRPr="00EB2BD8">
        <w:t>30 June</w:t>
      </w:r>
      <w:r w:rsidRPr="00EB2BD8">
        <w:rPr>
          <w:spacing w:val="-6"/>
        </w:rPr>
        <w:t xml:space="preserve"> </w:t>
      </w:r>
      <w:r w:rsidRPr="00EB2BD8">
        <w:t>2023.</w:t>
      </w:r>
    </w:p>
    <w:p w14:paraId="0247F554" w14:textId="77777777" w:rsidR="00084F36" w:rsidRPr="00EB2BD8" w:rsidRDefault="00084F36">
      <w:pPr>
        <w:spacing w:line="261" w:lineRule="auto"/>
        <w:sectPr w:rsidR="00084F36" w:rsidRPr="00EB2BD8" w:rsidSect="006D75B2">
          <w:type w:val="continuous"/>
          <w:pgSz w:w="11910" w:h="16840"/>
          <w:pgMar w:top="1920" w:right="0" w:bottom="280" w:left="0" w:header="0" w:footer="528" w:gutter="0"/>
          <w:cols w:num="2" w:space="720" w:equalWidth="0">
            <w:col w:w="5710" w:space="40"/>
            <w:col w:w="6160"/>
          </w:cols>
        </w:sectPr>
      </w:pPr>
    </w:p>
    <w:p w14:paraId="1D9B5928" w14:textId="77777777" w:rsidR="00084F36" w:rsidRPr="00EB2BD8" w:rsidRDefault="00084F36">
      <w:pPr>
        <w:pStyle w:val="BodyText"/>
        <w:rPr>
          <w:sz w:val="20"/>
        </w:rPr>
      </w:pPr>
    </w:p>
    <w:p w14:paraId="6BB80B81" w14:textId="77777777" w:rsidR="00084F36" w:rsidRPr="00EB2BD8" w:rsidRDefault="00084F36">
      <w:pPr>
        <w:pStyle w:val="BodyText"/>
        <w:rPr>
          <w:sz w:val="20"/>
        </w:rPr>
      </w:pPr>
    </w:p>
    <w:p w14:paraId="0E9E38A5" w14:textId="77777777" w:rsidR="00084F36" w:rsidRPr="00EB2BD8" w:rsidRDefault="00084F36">
      <w:pPr>
        <w:pStyle w:val="BodyText"/>
        <w:rPr>
          <w:sz w:val="20"/>
        </w:rPr>
      </w:pPr>
    </w:p>
    <w:p w14:paraId="66EFD141" w14:textId="77777777" w:rsidR="00084F36" w:rsidRPr="00EB2BD8" w:rsidRDefault="00084F36">
      <w:pPr>
        <w:pStyle w:val="BodyText"/>
        <w:rPr>
          <w:sz w:val="20"/>
        </w:rPr>
      </w:pPr>
    </w:p>
    <w:p w14:paraId="193B971D" w14:textId="77777777" w:rsidR="00084F36" w:rsidRPr="00EB2BD8" w:rsidRDefault="00084F36">
      <w:pPr>
        <w:pStyle w:val="BodyText"/>
        <w:spacing w:before="7"/>
        <w:rPr>
          <w:sz w:val="17"/>
        </w:rPr>
      </w:pPr>
    </w:p>
    <w:p w14:paraId="1E20E79D" w14:textId="77777777" w:rsidR="00084F36" w:rsidRPr="00EB2BD8" w:rsidRDefault="00084F36">
      <w:pPr>
        <w:rPr>
          <w:sz w:val="17"/>
        </w:rPr>
        <w:sectPr w:rsidR="00084F36" w:rsidRPr="00EB2BD8" w:rsidSect="006D75B2">
          <w:footerReference w:type="default" r:id="rId59"/>
          <w:pgSz w:w="11910" w:h="16840"/>
          <w:pgMar w:top="1080" w:right="0" w:bottom="720" w:left="0" w:header="0" w:footer="528" w:gutter="0"/>
          <w:cols w:space="720"/>
        </w:sectPr>
      </w:pPr>
    </w:p>
    <w:p w14:paraId="6F622EB9" w14:textId="77777777" w:rsidR="00084F36" w:rsidRPr="00EB2BD8" w:rsidRDefault="00EB2BD8" w:rsidP="001975DF">
      <w:pPr>
        <w:pStyle w:val="Heading2"/>
      </w:pPr>
      <w:bookmarkStart w:id="64" w:name="_Toc150762366"/>
      <w:r w:rsidRPr="00EB2BD8">
        <w:t>Contributing</w:t>
      </w:r>
      <w:r w:rsidRPr="00EB2BD8">
        <w:rPr>
          <w:spacing w:val="-18"/>
        </w:rPr>
        <w:t xml:space="preserve"> </w:t>
      </w:r>
      <w:r w:rsidRPr="00EB2BD8">
        <w:t>to</w:t>
      </w:r>
      <w:r w:rsidRPr="00EB2BD8">
        <w:rPr>
          <w:spacing w:val="-18"/>
        </w:rPr>
        <w:t xml:space="preserve"> </w:t>
      </w:r>
      <w:r w:rsidRPr="00EB2BD8">
        <w:t>building</w:t>
      </w:r>
      <w:r w:rsidRPr="00EB2BD8">
        <w:rPr>
          <w:spacing w:val="-18"/>
        </w:rPr>
        <w:t xml:space="preserve"> </w:t>
      </w:r>
      <w:r w:rsidRPr="00EB2BD8">
        <w:t>reforms</w:t>
      </w:r>
      <w:bookmarkEnd w:id="64"/>
    </w:p>
    <w:p w14:paraId="24A7745B" w14:textId="77777777" w:rsidR="00084F36" w:rsidRPr="00EB2BD8" w:rsidRDefault="00EB2BD8">
      <w:pPr>
        <w:pStyle w:val="BodyText"/>
        <w:spacing w:before="128" w:line="261" w:lineRule="auto"/>
        <w:ind w:left="850"/>
      </w:pPr>
      <w:r w:rsidRPr="00EB2BD8">
        <w:t>The VBA contributes to the Victorian Government’s building reforms, aimed at providing stronger protections for Victorians who are building or renovating their homes and reshaping the Victorian building</w:t>
      </w:r>
      <w:r w:rsidRPr="00EB2BD8">
        <w:rPr>
          <w:spacing w:val="-10"/>
        </w:rPr>
        <w:t xml:space="preserve"> </w:t>
      </w:r>
      <w:r w:rsidRPr="00EB2BD8">
        <w:t>system</w:t>
      </w:r>
      <w:r w:rsidRPr="00EB2BD8">
        <w:rPr>
          <w:spacing w:val="-10"/>
        </w:rPr>
        <w:t xml:space="preserve"> </w:t>
      </w:r>
      <w:r w:rsidRPr="00EB2BD8">
        <w:t>to</w:t>
      </w:r>
      <w:r w:rsidRPr="00EB2BD8">
        <w:rPr>
          <w:spacing w:val="-10"/>
        </w:rPr>
        <w:t xml:space="preserve"> </w:t>
      </w:r>
      <w:r w:rsidRPr="00EB2BD8">
        <w:t>deliver</w:t>
      </w:r>
      <w:r w:rsidRPr="00EB2BD8">
        <w:rPr>
          <w:spacing w:val="-10"/>
        </w:rPr>
        <w:t xml:space="preserve"> </w:t>
      </w:r>
      <w:r w:rsidRPr="00EB2BD8">
        <w:t>safe,</w:t>
      </w:r>
      <w:r w:rsidRPr="00EB2BD8">
        <w:rPr>
          <w:spacing w:val="-10"/>
        </w:rPr>
        <w:t xml:space="preserve"> </w:t>
      </w:r>
      <w:r w:rsidRPr="00EB2BD8">
        <w:t>compliant</w:t>
      </w:r>
      <w:r w:rsidRPr="00EB2BD8">
        <w:rPr>
          <w:spacing w:val="-10"/>
        </w:rPr>
        <w:t xml:space="preserve"> </w:t>
      </w:r>
      <w:r w:rsidRPr="00EB2BD8">
        <w:t>and</w:t>
      </w:r>
      <w:r w:rsidRPr="00EB2BD8">
        <w:rPr>
          <w:spacing w:val="-10"/>
        </w:rPr>
        <w:t xml:space="preserve"> </w:t>
      </w:r>
      <w:r w:rsidRPr="00EB2BD8">
        <w:t xml:space="preserve">durable buildings. In March 2023, the </w:t>
      </w:r>
      <w:r w:rsidRPr="00EB2BD8">
        <w:rPr>
          <w:i/>
        </w:rPr>
        <w:t xml:space="preserve">Building Reform Expert Panel’s final report on Stage One </w:t>
      </w:r>
      <w:r w:rsidRPr="00EB2BD8">
        <w:t>of the review of the building</w:t>
      </w:r>
      <w:r w:rsidRPr="00EB2BD8">
        <w:rPr>
          <w:spacing w:val="-13"/>
        </w:rPr>
        <w:t xml:space="preserve"> </w:t>
      </w:r>
      <w:r w:rsidRPr="00EB2BD8">
        <w:t>system</w:t>
      </w:r>
      <w:r w:rsidRPr="00EB2BD8">
        <w:rPr>
          <w:spacing w:val="-13"/>
        </w:rPr>
        <w:t xml:space="preserve"> </w:t>
      </w:r>
      <w:r w:rsidRPr="00EB2BD8">
        <w:t>was</w:t>
      </w:r>
      <w:r w:rsidRPr="00EB2BD8">
        <w:rPr>
          <w:spacing w:val="-13"/>
        </w:rPr>
        <w:t xml:space="preserve"> </w:t>
      </w:r>
      <w:r w:rsidRPr="00EB2BD8">
        <w:t>released.</w:t>
      </w:r>
      <w:r w:rsidRPr="00EB2BD8">
        <w:rPr>
          <w:spacing w:val="-13"/>
        </w:rPr>
        <w:t xml:space="preserve"> </w:t>
      </w:r>
      <w:r w:rsidRPr="00EB2BD8">
        <w:t>The</w:t>
      </w:r>
      <w:r w:rsidRPr="00EB2BD8">
        <w:rPr>
          <w:spacing w:val="-13"/>
        </w:rPr>
        <w:t xml:space="preserve"> </w:t>
      </w:r>
      <w:r w:rsidRPr="00EB2BD8">
        <w:t>VBA</w:t>
      </w:r>
      <w:r w:rsidRPr="00EB2BD8">
        <w:rPr>
          <w:spacing w:val="-13"/>
        </w:rPr>
        <w:t xml:space="preserve"> </w:t>
      </w:r>
      <w:r w:rsidRPr="00EB2BD8">
        <w:t>is</w:t>
      </w:r>
      <w:r w:rsidRPr="00EB2BD8">
        <w:rPr>
          <w:spacing w:val="-13"/>
        </w:rPr>
        <w:t xml:space="preserve"> </w:t>
      </w:r>
      <w:r w:rsidRPr="00EB2BD8">
        <w:t>working</w:t>
      </w:r>
      <w:r w:rsidRPr="00EB2BD8">
        <w:rPr>
          <w:spacing w:val="-13"/>
        </w:rPr>
        <w:t xml:space="preserve"> </w:t>
      </w:r>
      <w:r w:rsidRPr="00EB2BD8">
        <w:t>with the Department of Transport and Planning and other stakeholders to implement the reforms to address</w:t>
      </w:r>
    </w:p>
    <w:p w14:paraId="4727985B" w14:textId="77777777" w:rsidR="00084F36" w:rsidRPr="00EB2BD8" w:rsidRDefault="00EB2BD8">
      <w:pPr>
        <w:pStyle w:val="BodyText"/>
        <w:spacing w:line="261" w:lineRule="auto"/>
        <w:ind w:left="850"/>
      </w:pPr>
      <w:r w:rsidRPr="00EB2BD8">
        <w:t>key issues identified in Stage One and will continue to work</w:t>
      </w:r>
      <w:r w:rsidRPr="00EB2BD8">
        <w:rPr>
          <w:spacing w:val="-12"/>
        </w:rPr>
        <w:t xml:space="preserve"> </w:t>
      </w:r>
      <w:r w:rsidRPr="00EB2BD8">
        <w:t>with</w:t>
      </w:r>
      <w:r w:rsidRPr="00EB2BD8">
        <w:rPr>
          <w:spacing w:val="-12"/>
        </w:rPr>
        <w:t xml:space="preserve"> </w:t>
      </w:r>
      <w:r w:rsidRPr="00EB2BD8">
        <w:t>the</w:t>
      </w:r>
      <w:r w:rsidRPr="00EB2BD8">
        <w:rPr>
          <w:spacing w:val="-12"/>
        </w:rPr>
        <w:t xml:space="preserve"> </w:t>
      </w:r>
      <w:r w:rsidRPr="00EB2BD8">
        <w:t>Expert</w:t>
      </w:r>
      <w:r w:rsidRPr="00EB2BD8">
        <w:rPr>
          <w:spacing w:val="-12"/>
        </w:rPr>
        <w:t xml:space="preserve"> </w:t>
      </w:r>
      <w:r w:rsidRPr="00EB2BD8">
        <w:t>Panel</w:t>
      </w:r>
      <w:r w:rsidRPr="00EB2BD8">
        <w:rPr>
          <w:spacing w:val="-12"/>
        </w:rPr>
        <w:t xml:space="preserve"> </w:t>
      </w:r>
      <w:r w:rsidRPr="00EB2BD8">
        <w:t>in</w:t>
      </w:r>
      <w:r w:rsidRPr="00EB2BD8">
        <w:rPr>
          <w:spacing w:val="-12"/>
        </w:rPr>
        <w:t xml:space="preserve"> </w:t>
      </w:r>
      <w:r w:rsidRPr="00EB2BD8">
        <w:t>its</w:t>
      </w:r>
      <w:r w:rsidRPr="00EB2BD8">
        <w:rPr>
          <w:spacing w:val="-12"/>
        </w:rPr>
        <w:t xml:space="preserve"> </w:t>
      </w:r>
      <w:r w:rsidRPr="00EB2BD8">
        <w:t>work</w:t>
      </w:r>
      <w:r w:rsidRPr="00EB2BD8">
        <w:rPr>
          <w:spacing w:val="-12"/>
        </w:rPr>
        <w:t xml:space="preserve"> </w:t>
      </w:r>
      <w:r w:rsidRPr="00EB2BD8">
        <w:t>on</w:t>
      </w:r>
      <w:r w:rsidRPr="00EB2BD8">
        <w:rPr>
          <w:spacing w:val="-12"/>
        </w:rPr>
        <w:t xml:space="preserve"> </w:t>
      </w:r>
      <w:r w:rsidRPr="00EB2BD8">
        <w:t>reforming</w:t>
      </w:r>
      <w:r w:rsidRPr="00EB2BD8">
        <w:rPr>
          <w:spacing w:val="-12"/>
        </w:rPr>
        <w:t xml:space="preserve"> </w:t>
      </w:r>
      <w:r w:rsidRPr="00EB2BD8">
        <w:t>the building</w:t>
      </w:r>
      <w:r w:rsidRPr="00EB2BD8">
        <w:rPr>
          <w:spacing w:val="-6"/>
        </w:rPr>
        <w:t xml:space="preserve"> </w:t>
      </w:r>
      <w:r w:rsidRPr="00EB2BD8">
        <w:t>industry.</w:t>
      </w:r>
    </w:p>
    <w:p w14:paraId="550CB7F8" w14:textId="77777777" w:rsidR="00084F36" w:rsidRPr="00EB2BD8" w:rsidRDefault="00EB2BD8">
      <w:pPr>
        <w:pStyle w:val="BodyText"/>
        <w:spacing w:before="157" w:line="261" w:lineRule="auto"/>
        <w:ind w:left="850" w:right="56"/>
      </w:pPr>
      <w:r w:rsidRPr="00EB2BD8">
        <w:t>The reforms offer greater protections to consumers and</w:t>
      </w:r>
      <w:r w:rsidRPr="00EB2BD8">
        <w:rPr>
          <w:spacing w:val="-14"/>
        </w:rPr>
        <w:t xml:space="preserve"> </w:t>
      </w:r>
      <w:r w:rsidRPr="00EB2BD8">
        <w:t>will</w:t>
      </w:r>
      <w:r w:rsidRPr="00EB2BD8">
        <w:rPr>
          <w:spacing w:val="-14"/>
        </w:rPr>
        <w:t xml:space="preserve"> </w:t>
      </w:r>
      <w:r w:rsidRPr="00EB2BD8">
        <w:t>result</w:t>
      </w:r>
      <w:r w:rsidRPr="00EB2BD8">
        <w:rPr>
          <w:spacing w:val="-14"/>
        </w:rPr>
        <w:t xml:space="preserve"> </w:t>
      </w:r>
      <w:r w:rsidRPr="00EB2BD8">
        <w:t>in</w:t>
      </w:r>
      <w:r w:rsidRPr="00EB2BD8">
        <w:rPr>
          <w:spacing w:val="-14"/>
        </w:rPr>
        <w:t xml:space="preserve"> </w:t>
      </w:r>
      <w:r w:rsidRPr="00EB2BD8">
        <w:t>an</w:t>
      </w:r>
      <w:r w:rsidRPr="00EB2BD8">
        <w:rPr>
          <w:spacing w:val="-14"/>
        </w:rPr>
        <w:t xml:space="preserve"> </w:t>
      </w:r>
      <w:r w:rsidRPr="00EB2BD8">
        <w:t>overall</w:t>
      </w:r>
      <w:r w:rsidRPr="00EB2BD8">
        <w:rPr>
          <w:spacing w:val="-14"/>
        </w:rPr>
        <w:t xml:space="preserve"> </w:t>
      </w:r>
      <w:r w:rsidRPr="00EB2BD8">
        <w:t>improvement</w:t>
      </w:r>
      <w:r w:rsidRPr="00EB2BD8">
        <w:rPr>
          <w:spacing w:val="-14"/>
        </w:rPr>
        <w:t xml:space="preserve"> </w:t>
      </w:r>
      <w:r w:rsidRPr="00EB2BD8">
        <w:t>in</w:t>
      </w:r>
      <w:r w:rsidRPr="00EB2BD8">
        <w:rPr>
          <w:spacing w:val="-14"/>
        </w:rPr>
        <w:t xml:space="preserve"> </w:t>
      </w:r>
      <w:r w:rsidRPr="00EB2BD8">
        <w:t>the</w:t>
      </w:r>
      <w:r w:rsidRPr="00EB2BD8">
        <w:rPr>
          <w:spacing w:val="-14"/>
        </w:rPr>
        <w:t xml:space="preserve"> </w:t>
      </w:r>
      <w:r w:rsidRPr="00EB2BD8">
        <w:t>building industry’s standards. Legislative amendments to</w:t>
      </w:r>
    </w:p>
    <w:p w14:paraId="63FA87EC" w14:textId="77777777" w:rsidR="00084F36" w:rsidRPr="00EB2BD8" w:rsidRDefault="00EB2BD8">
      <w:pPr>
        <w:pStyle w:val="BodyText"/>
        <w:spacing w:line="261" w:lineRule="auto"/>
        <w:ind w:left="850"/>
      </w:pPr>
      <w:r w:rsidRPr="00EB2BD8">
        <w:t>the</w:t>
      </w:r>
      <w:r w:rsidRPr="00EB2BD8">
        <w:rPr>
          <w:spacing w:val="-2"/>
        </w:rPr>
        <w:t xml:space="preserve"> </w:t>
      </w:r>
      <w:r w:rsidRPr="00EB2BD8">
        <w:rPr>
          <w:i/>
        </w:rPr>
        <w:t>Building</w:t>
      </w:r>
      <w:r w:rsidRPr="00EB2BD8">
        <w:rPr>
          <w:i/>
          <w:spacing w:val="-2"/>
        </w:rPr>
        <w:t xml:space="preserve"> </w:t>
      </w:r>
      <w:r w:rsidRPr="00EB2BD8">
        <w:rPr>
          <w:i/>
        </w:rPr>
        <w:t>Act</w:t>
      </w:r>
      <w:r w:rsidRPr="00EB2BD8">
        <w:rPr>
          <w:i/>
          <w:spacing w:val="-2"/>
        </w:rPr>
        <w:t xml:space="preserve"> </w:t>
      </w:r>
      <w:r w:rsidRPr="00EB2BD8">
        <w:rPr>
          <w:i/>
        </w:rPr>
        <w:t>199</w:t>
      </w:r>
      <w:r w:rsidRPr="00EB2BD8">
        <w:t>3</w:t>
      </w:r>
      <w:r w:rsidRPr="00EB2BD8">
        <w:rPr>
          <w:spacing w:val="-2"/>
        </w:rPr>
        <w:t xml:space="preserve"> </w:t>
      </w:r>
      <w:r w:rsidRPr="00EB2BD8">
        <w:t>introduced</w:t>
      </w:r>
      <w:r w:rsidRPr="00EB2BD8">
        <w:rPr>
          <w:spacing w:val="-2"/>
        </w:rPr>
        <w:t xml:space="preserve"> </w:t>
      </w:r>
      <w:r w:rsidRPr="00EB2BD8">
        <w:t>in</w:t>
      </w:r>
      <w:r w:rsidRPr="00EB2BD8">
        <w:rPr>
          <w:spacing w:val="-2"/>
        </w:rPr>
        <w:t xml:space="preserve"> </w:t>
      </w:r>
      <w:r w:rsidRPr="00EB2BD8">
        <w:t>early</w:t>
      </w:r>
      <w:r w:rsidRPr="00EB2BD8">
        <w:rPr>
          <w:spacing w:val="-2"/>
        </w:rPr>
        <w:t xml:space="preserve"> </w:t>
      </w:r>
      <w:r w:rsidRPr="00EB2BD8">
        <w:t>2023</w:t>
      </w:r>
      <w:r w:rsidRPr="00EB2BD8">
        <w:rPr>
          <w:spacing w:val="-2"/>
        </w:rPr>
        <w:t xml:space="preserve"> </w:t>
      </w:r>
      <w:r w:rsidRPr="00EB2BD8">
        <w:t>will improve oversight of building construction, increase accountability for all construction industry participants and improve consumer confidence. These reforms introduce</w:t>
      </w:r>
      <w:r w:rsidRPr="00EB2BD8">
        <w:rPr>
          <w:spacing w:val="-10"/>
        </w:rPr>
        <w:t xml:space="preserve"> </w:t>
      </w:r>
      <w:r w:rsidRPr="00EB2BD8">
        <w:t>a</w:t>
      </w:r>
      <w:r w:rsidRPr="00EB2BD8">
        <w:rPr>
          <w:spacing w:val="-10"/>
        </w:rPr>
        <w:t xml:space="preserve"> </w:t>
      </w:r>
      <w:r w:rsidRPr="00EB2BD8">
        <w:t>statutory</w:t>
      </w:r>
      <w:r w:rsidRPr="00EB2BD8">
        <w:rPr>
          <w:spacing w:val="-10"/>
        </w:rPr>
        <w:t xml:space="preserve"> </w:t>
      </w:r>
      <w:r w:rsidRPr="00EB2BD8">
        <w:t>role</w:t>
      </w:r>
      <w:r w:rsidRPr="00EB2BD8">
        <w:rPr>
          <w:spacing w:val="-10"/>
        </w:rPr>
        <w:t xml:space="preserve"> </w:t>
      </w:r>
      <w:r w:rsidRPr="00EB2BD8">
        <w:t>of</w:t>
      </w:r>
      <w:r w:rsidRPr="00EB2BD8">
        <w:rPr>
          <w:spacing w:val="-10"/>
        </w:rPr>
        <w:t xml:space="preserve"> </w:t>
      </w:r>
      <w:r w:rsidRPr="00EB2BD8">
        <w:t>the</w:t>
      </w:r>
      <w:r w:rsidRPr="00EB2BD8">
        <w:rPr>
          <w:spacing w:val="-10"/>
        </w:rPr>
        <w:t xml:space="preserve"> </w:t>
      </w:r>
      <w:r w:rsidRPr="00EB2BD8">
        <w:t>State</w:t>
      </w:r>
      <w:r w:rsidRPr="00EB2BD8">
        <w:rPr>
          <w:spacing w:val="-10"/>
        </w:rPr>
        <w:t xml:space="preserve"> </w:t>
      </w:r>
      <w:r w:rsidRPr="00EB2BD8">
        <w:t>Building</w:t>
      </w:r>
      <w:r w:rsidRPr="00EB2BD8">
        <w:rPr>
          <w:spacing w:val="-10"/>
        </w:rPr>
        <w:t xml:space="preserve"> </w:t>
      </w:r>
      <w:r w:rsidRPr="00EB2BD8">
        <w:t>Surveyor, new or changed categories of registration, improved information sharing arrangements and building manuals for higher risk buildings.</w:t>
      </w:r>
    </w:p>
    <w:p w14:paraId="1D3D58FB" w14:textId="77777777" w:rsidR="00084F36" w:rsidRPr="00EB2BD8" w:rsidRDefault="00EB2BD8">
      <w:pPr>
        <w:pStyle w:val="BodyText"/>
        <w:spacing w:before="102" w:line="261" w:lineRule="auto"/>
        <w:ind w:left="850" w:right="7"/>
      </w:pPr>
      <w:r w:rsidRPr="00EB2BD8">
        <w:t>Building on this ongoing reform program, additional reforms announced in May 2023 will enable the VBA to have additional regulatory powers to ensure builders are</w:t>
      </w:r>
      <w:r w:rsidRPr="00EB2BD8">
        <w:rPr>
          <w:spacing w:val="-7"/>
        </w:rPr>
        <w:t xml:space="preserve"> </w:t>
      </w:r>
      <w:r w:rsidRPr="00EB2BD8">
        <w:t>meeting</w:t>
      </w:r>
      <w:r w:rsidRPr="00EB2BD8">
        <w:rPr>
          <w:spacing w:val="-7"/>
        </w:rPr>
        <w:t xml:space="preserve"> </w:t>
      </w:r>
      <w:r w:rsidRPr="00EB2BD8">
        <w:t>their</w:t>
      </w:r>
      <w:r w:rsidRPr="00EB2BD8">
        <w:rPr>
          <w:spacing w:val="-7"/>
        </w:rPr>
        <w:t xml:space="preserve"> </w:t>
      </w:r>
      <w:r w:rsidRPr="00EB2BD8">
        <w:t>obligations</w:t>
      </w:r>
      <w:r w:rsidRPr="00EB2BD8">
        <w:rPr>
          <w:spacing w:val="-7"/>
        </w:rPr>
        <w:t xml:space="preserve"> </w:t>
      </w:r>
      <w:r w:rsidRPr="00EB2BD8">
        <w:t>under</w:t>
      </w:r>
      <w:r w:rsidRPr="00EB2BD8">
        <w:rPr>
          <w:spacing w:val="-7"/>
        </w:rPr>
        <w:t xml:space="preserve"> </w:t>
      </w:r>
      <w:r w:rsidRPr="00EB2BD8">
        <w:t>the</w:t>
      </w:r>
      <w:r w:rsidRPr="00EB2BD8">
        <w:rPr>
          <w:spacing w:val="-7"/>
        </w:rPr>
        <w:t xml:space="preserve"> </w:t>
      </w:r>
      <w:r w:rsidRPr="00EB2BD8">
        <w:t>Act,</w:t>
      </w:r>
      <w:r w:rsidRPr="00EB2BD8">
        <w:rPr>
          <w:spacing w:val="-7"/>
        </w:rPr>
        <w:t xml:space="preserve"> </w:t>
      </w:r>
      <w:r w:rsidRPr="00EB2BD8">
        <w:t>particularly those</w:t>
      </w:r>
      <w:r w:rsidRPr="00EB2BD8">
        <w:rPr>
          <w:spacing w:val="-5"/>
        </w:rPr>
        <w:t xml:space="preserve"> </w:t>
      </w:r>
      <w:r w:rsidRPr="00EB2BD8">
        <w:t>related</w:t>
      </w:r>
      <w:r w:rsidRPr="00EB2BD8">
        <w:rPr>
          <w:spacing w:val="-5"/>
        </w:rPr>
        <w:t xml:space="preserve"> </w:t>
      </w:r>
      <w:r w:rsidRPr="00EB2BD8">
        <w:t>to</w:t>
      </w:r>
      <w:r w:rsidRPr="00EB2BD8">
        <w:rPr>
          <w:spacing w:val="-5"/>
        </w:rPr>
        <w:t xml:space="preserve"> </w:t>
      </w:r>
      <w:r w:rsidRPr="00EB2BD8">
        <w:t>taking</w:t>
      </w:r>
      <w:r w:rsidRPr="00EB2BD8">
        <w:rPr>
          <w:spacing w:val="-5"/>
        </w:rPr>
        <w:t xml:space="preserve"> </w:t>
      </w:r>
      <w:r w:rsidRPr="00EB2BD8">
        <w:t>out</w:t>
      </w:r>
      <w:r w:rsidRPr="00EB2BD8">
        <w:rPr>
          <w:spacing w:val="-5"/>
        </w:rPr>
        <w:t xml:space="preserve"> </w:t>
      </w:r>
      <w:r w:rsidRPr="00EB2BD8">
        <w:t>domestic</w:t>
      </w:r>
      <w:r w:rsidRPr="00EB2BD8">
        <w:rPr>
          <w:spacing w:val="-5"/>
        </w:rPr>
        <w:t xml:space="preserve"> </w:t>
      </w:r>
      <w:r w:rsidRPr="00EB2BD8">
        <w:t>building</w:t>
      </w:r>
      <w:r w:rsidRPr="00EB2BD8">
        <w:rPr>
          <w:spacing w:val="-5"/>
        </w:rPr>
        <w:t xml:space="preserve"> </w:t>
      </w:r>
      <w:r w:rsidRPr="00EB2BD8">
        <w:t>insurance prior and upon collection of deposits. This however</w:t>
      </w:r>
    </w:p>
    <w:p w14:paraId="558B4C68" w14:textId="77777777" w:rsidR="00084F36" w:rsidRPr="00EB2BD8" w:rsidRDefault="00EB2BD8">
      <w:pPr>
        <w:pStyle w:val="BodyText"/>
        <w:spacing w:line="261" w:lineRule="auto"/>
        <w:ind w:left="850"/>
      </w:pPr>
      <w:r w:rsidRPr="00EB2BD8">
        <w:t>is</w:t>
      </w:r>
      <w:r w:rsidRPr="00EB2BD8">
        <w:rPr>
          <w:spacing w:val="-15"/>
        </w:rPr>
        <w:t xml:space="preserve"> </w:t>
      </w:r>
      <w:r w:rsidRPr="00EB2BD8">
        <w:t>subject</w:t>
      </w:r>
      <w:r w:rsidRPr="00EB2BD8">
        <w:rPr>
          <w:spacing w:val="-14"/>
        </w:rPr>
        <w:t xml:space="preserve"> </w:t>
      </w:r>
      <w:r w:rsidRPr="00EB2BD8">
        <w:t>to</w:t>
      </w:r>
      <w:r w:rsidRPr="00EB2BD8">
        <w:rPr>
          <w:spacing w:val="-14"/>
        </w:rPr>
        <w:t xml:space="preserve"> </w:t>
      </w:r>
      <w:r w:rsidRPr="00EB2BD8">
        <w:t>the</w:t>
      </w:r>
      <w:r w:rsidRPr="00EB2BD8">
        <w:rPr>
          <w:spacing w:val="-14"/>
        </w:rPr>
        <w:t xml:space="preserve"> </w:t>
      </w:r>
      <w:r w:rsidRPr="00EB2BD8">
        <w:t>introduction</w:t>
      </w:r>
      <w:r w:rsidRPr="00EB2BD8">
        <w:rPr>
          <w:spacing w:val="-14"/>
        </w:rPr>
        <w:t xml:space="preserve"> </w:t>
      </w:r>
      <w:r w:rsidRPr="00EB2BD8">
        <w:t>of</w:t>
      </w:r>
      <w:r w:rsidRPr="00EB2BD8">
        <w:rPr>
          <w:spacing w:val="-15"/>
        </w:rPr>
        <w:t xml:space="preserve"> </w:t>
      </w:r>
      <w:r w:rsidRPr="00EB2BD8">
        <w:t>further</w:t>
      </w:r>
      <w:r w:rsidRPr="00EB2BD8">
        <w:rPr>
          <w:spacing w:val="-14"/>
        </w:rPr>
        <w:t xml:space="preserve"> </w:t>
      </w:r>
      <w:r w:rsidRPr="00EB2BD8">
        <w:t xml:space="preserve">legislative </w:t>
      </w:r>
      <w:r w:rsidRPr="00EB2BD8">
        <w:rPr>
          <w:spacing w:val="-2"/>
        </w:rPr>
        <w:t>amendments.</w:t>
      </w:r>
    </w:p>
    <w:p w14:paraId="5BFF0699" w14:textId="77777777" w:rsidR="00084F36" w:rsidRPr="00EB2BD8" w:rsidRDefault="00EB2BD8">
      <w:pPr>
        <w:pStyle w:val="BodyText"/>
        <w:spacing w:before="105" w:line="261" w:lineRule="auto"/>
        <w:ind w:left="850" w:right="359"/>
      </w:pPr>
      <w:r w:rsidRPr="00EB2BD8">
        <w:t>The reform package is an opportunity for the VBA to</w:t>
      </w:r>
      <w:r w:rsidRPr="00EB2BD8">
        <w:rPr>
          <w:spacing w:val="-9"/>
        </w:rPr>
        <w:t xml:space="preserve"> </w:t>
      </w:r>
      <w:r w:rsidRPr="00EB2BD8">
        <w:t>support</w:t>
      </w:r>
      <w:r w:rsidRPr="00EB2BD8">
        <w:rPr>
          <w:spacing w:val="-9"/>
        </w:rPr>
        <w:t xml:space="preserve"> </w:t>
      </w:r>
      <w:r w:rsidRPr="00EB2BD8">
        <w:t>the</w:t>
      </w:r>
      <w:r w:rsidRPr="00EB2BD8">
        <w:rPr>
          <w:spacing w:val="-9"/>
        </w:rPr>
        <w:t xml:space="preserve"> </w:t>
      </w:r>
      <w:r w:rsidRPr="00EB2BD8">
        <w:t>effective</w:t>
      </w:r>
      <w:r w:rsidRPr="00EB2BD8">
        <w:rPr>
          <w:spacing w:val="-9"/>
        </w:rPr>
        <w:t xml:space="preserve"> </w:t>
      </w:r>
      <w:r w:rsidRPr="00EB2BD8">
        <w:t>delivery</w:t>
      </w:r>
      <w:r w:rsidRPr="00EB2BD8">
        <w:rPr>
          <w:spacing w:val="-9"/>
        </w:rPr>
        <w:t xml:space="preserve"> </w:t>
      </w:r>
      <w:r w:rsidRPr="00EB2BD8">
        <w:t>of</w:t>
      </w:r>
      <w:r w:rsidRPr="00EB2BD8">
        <w:rPr>
          <w:spacing w:val="-9"/>
        </w:rPr>
        <w:t xml:space="preserve"> </w:t>
      </w:r>
      <w:r w:rsidRPr="00EB2BD8">
        <w:t>changes</w:t>
      </w:r>
      <w:r w:rsidRPr="00EB2BD8">
        <w:rPr>
          <w:spacing w:val="-9"/>
        </w:rPr>
        <w:t xml:space="preserve"> </w:t>
      </w:r>
      <w:r w:rsidRPr="00EB2BD8">
        <w:t>that</w:t>
      </w:r>
      <w:r w:rsidRPr="00EB2BD8">
        <w:rPr>
          <w:spacing w:val="-9"/>
        </w:rPr>
        <w:t xml:space="preserve"> </w:t>
      </w:r>
      <w:r w:rsidRPr="00EB2BD8">
        <w:t>will</w:t>
      </w:r>
    </w:p>
    <w:p w14:paraId="61AD0D19" w14:textId="77777777" w:rsidR="00084F36" w:rsidRPr="00EB2BD8" w:rsidRDefault="00EB2BD8">
      <w:pPr>
        <w:pStyle w:val="BodyText"/>
        <w:spacing w:line="261" w:lineRule="auto"/>
        <w:ind w:left="850"/>
      </w:pPr>
      <w:r w:rsidRPr="00EB2BD8">
        <w:t>drive</w:t>
      </w:r>
      <w:r w:rsidRPr="00EB2BD8">
        <w:rPr>
          <w:spacing w:val="-6"/>
        </w:rPr>
        <w:t xml:space="preserve"> </w:t>
      </w:r>
      <w:r w:rsidRPr="00EB2BD8">
        <w:t>improvements</w:t>
      </w:r>
      <w:r w:rsidRPr="00EB2BD8">
        <w:rPr>
          <w:spacing w:val="-6"/>
        </w:rPr>
        <w:t xml:space="preserve"> </w:t>
      </w:r>
      <w:r w:rsidRPr="00EB2BD8">
        <w:t>to</w:t>
      </w:r>
      <w:r w:rsidRPr="00EB2BD8">
        <w:rPr>
          <w:spacing w:val="-6"/>
        </w:rPr>
        <w:t xml:space="preserve"> </w:t>
      </w:r>
      <w:r w:rsidRPr="00EB2BD8">
        <w:t>industry</w:t>
      </w:r>
      <w:r w:rsidRPr="00EB2BD8">
        <w:rPr>
          <w:spacing w:val="-6"/>
        </w:rPr>
        <w:t xml:space="preserve"> </w:t>
      </w:r>
      <w:r w:rsidRPr="00EB2BD8">
        <w:t>practices</w:t>
      </w:r>
      <w:r w:rsidRPr="00EB2BD8">
        <w:rPr>
          <w:spacing w:val="-6"/>
        </w:rPr>
        <w:t xml:space="preserve"> </w:t>
      </w:r>
      <w:r w:rsidRPr="00EB2BD8">
        <w:t>and</w:t>
      </w:r>
      <w:r w:rsidRPr="00EB2BD8">
        <w:rPr>
          <w:spacing w:val="-6"/>
        </w:rPr>
        <w:t xml:space="preserve"> </w:t>
      </w:r>
      <w:r w:rsidRPr="00EB2BD8">
        <w:t>rebuild consumer confidence in the building and plumbing industry in Victoria.</w:t>
      </w:r>
    </w:p>
    <w:p w14:paraId="46DC590A" w14:textId="77777777" w:rsidR="00084F36" w:rsidRPr="00EB2BD8" w:rsidRDefault="00084F36">
      <w:pPr>
        <w:pStyle w:val="BodyText"/>
        <w:spacing w:before="2"/>
        <w:rPr>
          <w:sz w:val="23"/>
        </w:rPr>
      </w:pPr>
    </w:p>
    <w:p w14:paraId="0E50B020" w14:textId="77777777" w:rsidR="00084F36" w:rsidRPr="00EB2BD8" w:rsidRDefault="00EB2BD8" w:rsidP="001975DF">
      <w:pPr>
        <w:pStyle w:val="Heading2"/>
      </w:pPr>
      <w:bookmarkStart w:id="65" w:name="_Toc150762367"/>
      <w:r w:rsidRPr="00EB2BD8">
        <w:t>AMR,</w:t>
      </w:r>
      <w:r w:rsidRPr="00EB2BD8">
        <w:rPr>
          <w:spacing w:val="-22"/>
        </w:rPr>
        <w:t xml:space="preserve"> </w:t>
      </w:r>
      <w:r w:rsidRPr="00EB2BD8">
        <w:t>Establishing</w:t>
      </w:r>
      <w:r w:rsidRPr="00EB2BD8">
        <w:rPr>
          <w:spacing w:val="-22"/>
        </w:rPr>
        <w:t xml:space="preserve"> </w:t>
      </w:r>
      <w:r w:rsidRPr="00EB2BD8">
        <w:t>the</w:t>
      </w:r>
      <w:r w:rsidRPr="00EB2BD8">
        <w:rPr>
          <w:spacing w:val="-22"/>
        </w:rPr>
        <w:t xml:space="preserve"> </w:t>
      </w:r>
      <w:r w:rsidRPr="00EB2BD8">
        <w:t>OSBS</w:t>
      </w:r>
      <w:r w:rsidRPr="00EB2BD8">
        <w:rPr>
          <w:spacing w:val="-22"/>
        </w:rPr>
        <w:t xml:space="preserve"> </w:t>
      </w:r>
      <w:r w:rsidRPr="00EB2BD8">
        <w:t>and Building</w:t>
      </w:r>
      <w:r w:rsidRPr="00EB2BD8">
        <w:rPr>
          <w:spacing w:val="-12"/>
        </w:rPr>
        <w:t xml:space="preserve"> </w:t>
      </w:r>
      <w:r w:rsidRPr="00EB2BD8">
        <w:t>Approvals</w:t>
      </w:r>
      <w:bookmarkEnd w:id="65"/>
    </w:p>
    <w:p w14:paraId="488166C9" w14:textId="77777777" w:rsidR="00084F36" w:rsidRPr="00EB2BD8" w:rsidRDefault="00EB2BD8">
      <w:pPr>
        <w:pStyle w:val="BodyText"/>
        <w:spacing w:before="134" w:line="261" w:lineRule="auto"/>
        <w:ind w:left="850" w:right="50"/>
      </w:pPr>
      <w:r w:rsidRPr="00EB2BD8">
        <w:t>In</w:t>
      </w:r>
      <w:r w:rsidRPr="00EB2BD8">
        <w:rPr>
          <w:spacing w:val="-1"/>
        </w:rPr>
        <w:t xml:space="preserve"> </w:t>
      </w:r>
      <w:r w:rsidRPr="00EB2BD8">
        <w:t>the</w:t>
      </w:r>
      <w:r w:rsidRPr="00EB2BD8">
        <w:rPr>
          <w:spacing w:val="-1"/>
        </w:rPr>
        <w:t xml:space="preserve"> </w:t>
      </w:r>
      <w:r w:rsidRPr="00EB2BD8">
        <w:t>2022-23</w:t>
      </w:r>
      <w:r w:rsidRPr="00EB2BD8">
        <w:rPr>
          <w:spacing w:val="-1"/>
        </w:rPr>
        <w:t xml:space="preserve"> </w:t>
      </w:r>
      <w:r w:rsidRPr="00EB2BD8">
        <w:t>Victorian</w:t>
      </w:r>
      <w:r w:rsidRPr="00EB2BD8">
        <w:rPr>
          <w:spacing w:val="-1"/>
        </w:rPr>
        <w:t xml:space="preserve"> </w:t>
      </w:r>
      <w:r w:rsidRPr="00EB2BD8">
        <w:t>Budget,</w:t>
      </w:r>
      <w:r w:rsidRPr="00EB2BD8">
        <w:rPr>
          <w:spacing w:val="-1"/>
        </w:rPr>
        <w:t xml:space="preserve"> </w:t>
      </w:r>
      <w:r w:rsidRPr="00EB2BD8">
        <w:t>the</w:t>
      </w:r>
      <w:r w:rsidRPr="00EB2BD8">
        <w:rPr>
          <w:spacing w:val="-1"/>
        </w:rPr>
        <w:t xml:space="preserve"> </w:t>
      </w:r>
      <w:r w:rsidRPr="00EB2BD8">
        <w:t>Victorian</w:t>
      </w:r>
      <w:r w:rsidRPr="00EB2BD8">
        <w:rPr>
          <w:spacing w:val="-1"/>
        </w:rPr>
        <w:t xml:space="preserve"> </w:t>
      </w:r>
      <w:r w:rsidRPr="00EB2BD8">
        <w:t>Building Authority (VBA) was provided with funding over two financial years to introduce measures to strengthen</w:t>
      </w:r>
      <w:r w:rsidRPr="00EB2BD8">
        <w:rPr>
          <w:spacing w:val="40"/>
        </w:rPr>
        <w:t xml:space="preserve"> </w:t>
      </w:r>
      <w:r w:rsidRPr="00EB2BD8">
        <w:t>the</w:t>
      </w:r>
      <w:r w:rsidRPr="00EB2BD8">
        <w:rPr>
          <w:spacing w:val="-5"/>
        </w:rPr>
        <w:t xml:space="preserve"> </w:t>
      </w:r>
      <w:r w:rsidRPr="00EB2BD8">
        <w:t>building</w:t>
      </w:r>
      <w:r w:rsidRPr="00EB2BD8">
        <w:rPr>
          <w:spacing w:val="-5"/>
        </w:rPr>
        <w:t xml:space="preserve"> </w:t>
      </w:r>
      <w:r w:rsidRPr="00EB2BD8">
        <w:t>approvals</w:t>
      </w:r>
      <w:r w:rsidRPr="00EB2BD8">
        <w:rPr>
          <w:spacing w:val="-5"/>
        </w:rPr>
        <w:t xml:space="preserve"> </w:t>
      </w:r>
      <w:r w:rsidRPr="00EB2BD8">
        <w:t>process</w:t>
      </w:r>
      <w:r w:rsidRPr="00EB2BD8">
        <w:rPr>
          <w:spacing w:val="-5"/>
        </w:rPr>
        <w:t xml:space="preserve"> </w:t>
      </w:r>
      <w:r w:rsidRPr="00EB2BD8">
        <w:t>and</w:t>
      </w:r>
      <w:r w:rsidRPr="00EB2BD8">
        <w:rPr>
          <w:spacing w:val="-5"/>
        </w:rPr>
        <w:t xml:space="preserve"> </w:t>
      </w:r>
      <w:r w:rsidRPr="00EB2BD8">
        <w:t>establish</w:t>
      </w:r>
      <w:r w:rsidRPr="00EB2BD8">
        <w:rPr>
          <w:spacing w:val="-5"/>
        </w:rPr>
        <w:t xml:space="preserve"> </w:t>
      </w:r>
      <w:r w:rsidRPr="00EB2BD8">
        <w:t>the</w:t>
      </w:r>
      <w:r w:rsidRPr="00EB2BD8">
        <w:rPr>
          <w:spacing w:val="-5"/>
        </w:rPr>
        <w:t xml:space="preserve"> </w:t>
      </w:r>
      <w:r w:rsidRPr="00EB2BD8">
        <w:t>Office of the State Building Surveyor (OSBS). Funds were received to implement automatic mutual recognition (AMR)</w:t>
      </w:r>
      <w:r w:rsidRPr="00EB2BD8">
        <w:rPr>
          <w:spacing w:val="-15"/>
        </w:rPr>
        <w:t xml:space="preserve"> </w:t>
      </w:r>
      <w:r w:rsidRPr="00EB2BD8">
        <w:t>for</w:t>
      </w:r>
      <w:r w:rsidRPr="00EB2BD8">
        <w:rPr>
          <w:spacing w:val="-14"/>
        </w:rPr>
        <w:t xml:space="preserve"> </w:t>
      </w:r>
      <w:r w:rsidRPr="00EB2BD8">
        <w:t>2022-23.</w:t>
      </w:r>
      <w:r w:rsidRPr="00EB2BD8">
        <w:rPr>
          <w:spacing w:val="-14"/>
        </w:rPr>
        <w:t xml:space="preserve"> </w:t>
      </w:r>
      <w:r w:rsidRPr="00EB2BD8">
        <w:t>These</w:t>
      </w:r>
      <w:r w:rsidRPr="00EB2BD8">
        <w:rPr>
          <w:spacing w:val="-14"/>
        </w:rPr>
        <w:t xml:space="preserve"> </w:t>
      </w:r>
      <w:r w:rsidRPr="00EB2BD8">
        <w:t>work</w:t>
      </w:r>
      <w:r w:rsidRPr="00EB2BD8">
        <w:rPr>
          <w:spacing w:val="-15"/>
        </w:rPr>
        <w:t xml:space="preserve"> </w:t>
      </w:r>
      <w:r w:rsidRPr="00EB2BD8">
        <w:t>streams</w:t>
      </w:r>
      <w:r w:rsidRPr="00EB2BD8">
        <w:rPr>
          <w:spacing w:val="-14"/>
        </w:rPr>
        <w:t xml:space="preserve"> </w:t>
      </w:r>
      <w:r w:rsidRPr="00EB2BD8">
        <w:t>will</w:t>
      </w:r>
      <w:r w:rsidRPr="00EB2BD8">
        <w:rPr>
          <w:spacing w:val="-14"/>
        </w:rPr>
        <w:t xml:space="preserve"> </w:t>
      </w:r>
      <w:r w:rsidRPr="00EB2BD8">
        <w:t>help</w:t>
      </w:r>
      <w:r w:rsidRPr="00EB2BD8">
        <w:rPr>
          <w:spacing w:val="-14"/>
        </w:rPr>
        <w:t xml:space="preserve"> </w:t>
      </w:r>
      <w:r w:rsidRPr="00EB2BD8">
        <w:t>ensure practitioners are constructing buildings that are consistently well-built, safe and fit for purpose.</w:t>
      </w:r>
    </w:p>
    <w:p w14:paraId="2750F879" w14:textId="77777777" w:rsidR="00084F36" w:rsidRPr="00EB2BD8" w:rsidRDefault="00EB2BD8">
      <w:pPr>
        <w:rPr>
          <w:sz w:val="20"/>
        </w:rPr>
      </w:pPr>
      <w:r w:rsidRPr="00EB2BD8">
        <w:br w:type="column"/>
      </w:r>
    </w:p>
    <w:p w14:paraId="6859106C" w14:textId="77777777" w:rsidR="00084F36" w:rsidRPr="00EB2BD8" w:rsidRDefault="00084F36">
      <w:pPr>
        <w:pStyle w:val="BodyText"/>
        <w:spacing w:before="3"/>
        <w:rPr>
          <w:sz w:val="26"/>
        </w:rPr>
      </w:pPr>
    </w:p>
    <w:p w14:paraId="3BD7F09A" w14:textId="77777777" w:rsidR="00084F36" w:rsidRPr="00EB2BD8" w:rsidRDefault="00EB2BD8">
      <w:pPr>
        <w:pStyle w:val="BodyText"/>
        <w:spacing w:line="261" w:lineRule="auto"/>
        <w:ind w:left="413" w:right="903"/>
      </w:pPr>
      <w:r w:rsidRPr="00EB2BD8">
        <w:t>In Establishing the OSBS, the VBA has expanded the volume of technical education material and advice provided to practitioners. This included publishing Practice Notes and expansion of the Practitioner Education Series webinars, with a record total of more than</w:t>
      </w:r>
      <w:r w:rsidRPr="00EB2BD8">
        <w:rPr>
          <w:spacing w:val="-3"/>
        </w:rPr>
        <w:t xml:space="preserve"> </w:t>
      </w:r>
      <w:r w:rsidRPr="00EB2BD8">
        <w:t>11,000</w:t>
      </w:r>
      <w:r w:rsidRPr="00EB2BD8">
        <w:rPr>
          <w:spacing w:val="-3"/>
        </w:rPr>
        <w:t xml:space="preserve"> </w:t>
      </w:r>
      <w:r w:rsidRPr="00EB2BD8">
        <w:t>attendees.</w:t>
      </w:r>
      <w:r w:rsidRPr="00EB2BD8">
        <w:rPr>
          <w:spacing w:val="-3"/>
        </w:rPr>
        <w:t xml:space="preserve"> </w:t>
      </w:r>
      <w:r w:rsidRPr="00EB2BD8">
        <w:t>The</w:t>
      </w:r>
      <w:r w:rsidRPr="00EB2BD8">
        <w:rPr>
          <w:spacing w:val="-3"/>
        </w:rPr>
        <w:t xml:space="preserve"> </w:t>
      </w:r>
      <w:r w:rsidRPr="00EB2BD8">
        <w:t>regulatory</w:t>
      </w:r>
      <w:r w:rsidRPr="00EB2BD8">
        <w:rPr>
          <w:spacing w:val="-3"/>
        </w:rPr>
        <w:t xml:space="preserve"> </w:t>
      </w:r>
      <w:r w:rsidRPr="00EB2BD8">
        <w:t>role</w:t>
      </w:r>
      <w:r w:rsidRPr="00EB2BD8">
        <w:rPr>
          <w:spacing w:val="-3"/>
        </w:rPr>
        <w:t xml:space="preserve"> </w:t>
      </w:r>
      <w:r w:rsidRPr="00EB2BD8">
        <w:t>of</w:t>
      </w:r>
      <w:r w:rsidRPr="00EB2BD8">
        <w:rPr>
          <w:spacing w:val="-3"/>
        </w:rPr>
        <w:t xml:space="preserve"> </w:t>
      </w:r>
      <w:r w:rsidRPr="00EB2BD8">
        <w:t>the</w:t>
      </w:r>
      <w:r w:rsidRPr="00EB2BD8">
        <w:rPr>
          <w:spacing w:val="-3"/>
        </w:rPr>
        <w:t xml:space="preserve"> </w:t>
      </w:r>
      <w:r w:rsidRPr="00EB2BD8">
        <w:t>OSBS was</w:t>
      </w:r>
      <w:r w:rsidRPr="00EB2BD8">
        <w:rPr>
          <w:spacing w:val="26"/>
        </w:rPr>
        <w:t xml:space="preserve"> </w:t>
      </w:r>
      <w:r w:rsidRPr="00EB2BD8">
        <w:t>analysed</w:t>
      </w:r>
      <w:r w:rsidRPr="00EB2BD8">
        <w:rPr>
          <w:spacing w:val="26"/>
        </w:rPr>
        <w:t xml:space="preserve"> </w:t>
      </w:r>
      <w:r w:rsidRPr="00EB2BD8">
        <w:t>considering</w:t>
      </w:r>
      <w:r w:rsidRPr="00EB2BD8">
        <w:rPr>
          <w:spacing w:val="26"/>
        </w:rPr>
        <w:t xml:space="preserve"> </w:t>
      </w:r>
      <w:r w:rsidRPr="00EB2BD8">
        <w:t>proposed</w:t>
      </w:r>
      <w:r w:rsidRPr="00EB2BD8">
        <w:rPr>
          <w:spacing w:val="26"/>
        </w:rPr>
        <w:t xml:space="preserve"> </w:t>
      </w:r>
      <w:r w:rsidRPr="00EB2BD8">
        <w:t>SBS</w:t>
      </w:r>
      <w:r w:rsidRPr="00EB2BD8">
        <w:rPr>
          <w:spacing w:val="26"/>
        </w:rPr>
        <w:t xml:space="preserve"> </w:t>
      </w:r>
      <w:r w:rsidRPr="00EB2BD8">
        <w:t>functions such as binding determinations. The VBA embedded a Principal</w:t>
      </w:r>
      <w:r w:rsidRPr="00EB2BD8">
        <w:rPr>
          <w:spacing w:val="-9"/>
        </w:rPr>
        <w:t xml:space="preserve"> </w:t>
      </w:r>
      <w:r w:rsidRPr="00EB2BD8">
        <w:t>Plumbing</w:t>
      </w:r>
      <w:r w:rsidRPr="00EB2BD8">
        <w:rPr>
          <w:spacing w:val="-9"/>
        </w:rPr>
        <w:t xml:space="preserve"> </w:t>
      </w:r>
      <w:r w:rsidRPr="00EB2BD8">
        <w:t>Specialist</w:t>
      </w:r>
      <w:r w:rsidRPr="00EB2BD8">
        <w:rPr>
          <w:spacing w:val="-9"/>
        </w:rPr>
        <w:t xml:space="preserve"> </w:t>
      </w:r>
      <w:r w:rsidRPr="00EB2BD8">
        <w:t>role,</w:t>
      </w:r>
      <w:r w:rsidRPr="00EB2BD8">
        <w:rPr>
          <w:spacing w:val="-9"/>
        </w:rPr>
        <w:t xml:space="preserve"> </w:t>
      </w:r>
      <w:r w:rsidRPr="00EB2BD8">
        <w:t>focused</w:t>
      </w:r>
      <w:r w:rsidRPr="00EB2BD8">
        <w:rPr>
          <w:spacing w:val="-9"/>
        </w:rPr>
        <w:t xml:space="preserve"> </w:t>
      </w:r>
      <w:r w:rsidRPr="00EB2BD8">
        <w:t>on</w:t>
      </w:r>
      <w:r w:rsidRPr="00EB2BD8">
        <w:rPr>
          <w:spacing w:val="-9"/>
        </w:rPr>
        <w:t xml:space="preserve"> </w:t>
      </w:r>
      <w:r w:rsidRPr="00EB2BD8">
        <w:t>providing leadership in plumbing matters, representing Victoria in the National Plumbing Code Committee, supporting technical research and training materials and</w:t>
      </w:r>
      <w:r w:rsidRPr="00EB2BD8">
        <w:rPr>
          <w:spacing w:val="80"/>
        </w:rPr>
        <w:t xml:space="preserve"> </w:t>
      </w:r>
      <w:r w:rsidRPr="00EB2BD8">
        <w:t>providing input into key reform considerations.</w:t>
      </w:r>
    </w:p>
    <w:p w14:paraId="663616F7" w14:textId="77777777" w:rsidR="00084F36" w:rsidRPr="00EB2BD8" w:rsidRDefault="00EB2BD8">
      <w:pPr>
        <w:pStyle w:val="BodyText"/>
        <w:spacing w:before="100" w:line="261" w:lineRule="auto"/>
        <w:ind w:left="413" w:right="920"/>
      </w:pPr>
      <w:r w:rsidRPr="00EB2BD8">
        <w:t>Strengthening</w:t>
      </w:r>
      <w:r w:rsidRPr="00EB2BD8">
        <w:rPr>
          <w:spacing w:val="-6"/>
        </w:rPr>
        <w:t xml:space="preserve"> </w:t>
      </w:r>
      <w:r w:rsidRPr="00EB2BD8">
        <w:t>the</w:t>
      </w:r>
      <w:r w:rsidRPr="00EB2BD8">
        <w:rPr>
          <w:spacing w:val="-6"/>
        </w:rPr>
        <w:t xml:space="preserve"> </w:t>
      </w:r>
      <w:r w:rsidRPr="00EB2BD8">
        <w:t>building</w:t>
      </w:r>
      <w:r w:rsidRPr="00EB2BD8">
        <w:rPr>
          <w:spacing w:val="-6"/>
        </w:rPr>
        <w:t xml:space="preserve"> </w:t>
      </w:r>
      <w:r w:rsidRPr="00EB2BD8">
        <w:t>approvals</w:t>
      </w:r>
      <w:r w:rsidRPr="00EB2BD8">
        <w:rPr>
          <w:spacing w:val="-6"/>
        </w:rPr>
        <w:t xml:space="preserve"> </w:t>
      </w:r>
      <w:r w:rsidRPr="00EB2BD8">
        <w:t>process</w:t>
      </w:r>
      <w:r w:rsidRPr="00EB2BD8">
        <w:rPr>
          <w:spacing w:val="-6"/>
        </w:rPr>
        <w:t xml:space="preserve"> </w:t>
      </w:r>
      <w:r w:rsidRPr="00EB2BD8">
        <w:t>is</w:t>
      </w:r>
      <w:r w:rsidRPr="00EB2BD8">
        <w:rPr>
          <w:spacing w:val="-6"/>
        </w:rPr>
        <w:t xml:space="preserve"> </w:t>
      </w:r>
      <w:r w:rsidRPr="00EB2BD8">
        <w:t>a</w:t>
      </w:r>
      <w:r w:rsidRPr="00EB2BD8">
        <w:rPr>
          <w:spacing w:val="-6"/>
        </w:rPr>
        <w:t xml:space="preserve"> </w:t>
      </w:r>
      <w:r w:rsidRPr="00EB2BD8">
        <w:t>key part of the Government’s building reform agenda.</w:t>
      </w:r>
    </w:p>
    <w:p w14:paraId="441BE576" w14:textId="77777777" w:rsidR="00084F36" w:rsidRPr="00EB2BD8" w:rsidRDefault="00EB2BD8">
      <w:pPr>
        <w:pStyle w:val="BodyText"/>
        <w:spacing w:line="261" w:lineRule="auto"/>
        <w:ind w:left="413" w:right="1353"/>
      </w:pPr>
      <w:r w:rsidRPr="00EB2BD8">
        <w:t>Significant</w:t>
      </w:r>
      <w:r w:rsidRPr="00EB2BD8">
        <w:rPr>
          <w:spacing w:val="-3"/>
        </w:rPr>
        <w:t xml:space="preserve"> </w:t>
      </w:r>
      <w:r w:rsidRPr="00EB2BD8">
        <w:t>foundation</w:t>
      </w:r>
      <w:r w:rsidRPr="00EB2BD8">
        <w:rPr>
          <w:spacing w:val="-3"/>
        </w:rPr>
        <w:t xml:space="preserve"> </w:t>
      </w:r>
      <w:r w:rsidRPr="00EB2BD8">
        <w:t>initiatives</w:t>
      </w:r>
      <w:r w:rsidRPr="00EB2BD8">
        <w:rPr>
          <w:spacing w:val="-3"/>
        </w:rPr>
        <w:t xml:space="preserve"> </w:t>
      </w:r>
      <w:r w:rsidRPr="00EB2BD8">
        <w:t>were</w:t>
      </w:r>
      <w:r w:rsidRPr="00EB2BD8">
        <w:rPr>
          <w:spacing w:val="-3"/>
        </w:rPr>
        <w:t xml:space="preserve"> </w:t>
      </w:r>
      <w:r w:rsidRPr="00EB2BD8">
        <w:t>developed in 2022-23 for implementation next year. Works</w:t>
      </w:r>
    </w:p>
    <w:p w14:paraId="7D3EB0A3" w14:textId="77777777" w:rsidR="00084F36" w:rsidRPr="00EB2BD8" w:rsidRDefault="00EB2BD8">
      <w:pPr>
        <w:pStyle w:val="BodyText"/>
        <w:spacing w:line="261" w:lineRule="auto"/>
        <w:ind w:left="413" w:right="1020"/>
      </w:pPr>
      <w:r w:rsidRPr="00EB2BD8">
        <w:t>completed</w:t>
      </w:r>
      <w:r w:rsidRPr="00EB2BD8">
        <w:rPr>
          <w:spacing w:val="-12"/>
        </w:rPr>
        <w:t xml:space="preserve"> </w:t>
      </w:r>
      <w:r w:rsidRPr="00EB2BD8">
        <w:t>included:</w:t>
      </w:r>
      <w:r w:rsidRPr="00EB2BD8">
        <w:rPr>
          <w:spacing w:val="-12"/>
        </w:rPr>
        <w:t xml:space="preserve"> </w:t>
      </w:r>
      <w:r w:rsidRPr="00EB2BD8">
        <w:t>three</w:t>
      </w:r>
      <w:r w:rsidRPr="00EB2BD8">
        <w:rPr>
          <w:spacing w:val="-12"/>
        </w:rPr>
        <w:t xml:space="preserve"> </w:t>
      </w:r>
      <w:r w:rsidRPr="00EB2BD8">
        <w:t>integrated,</w:t>
      </w:r>
      <w:r w:rsidRPr="00EB2BD8">
        <w:rPr>
          <w:spacing w:val="-12"/>
        </w:rPr>
        <w:t xml:space="preserve"> </w:t>
      </w:r>
      <w:r w:rsidRPr="00EB2BD8">
        <w:t>intensive</w:t>
      </w:r>
      <w:r w:rsidRPr="00EB2BD8">
        <w:rPr>
          <w:spacing w:val="-12"/>
        </w:rPr>
        <w:t xml:space="preserve"> </w:t>
      </w:r>
      <w:r w:rsidRPr="00EB2BD8">
        <w:t>audits of apartment buildings as part of a pilot involving specialist OSBS resources and Audit and Inspection team members, initiation of a business case for upgrading Audit and Inspection scheduling, field work</w:t>
      </w:r>
      <w:r w:rsidRPr="00EB2BD8">
        <w:rPr>
          <w:spacing w:val="-4"/>
        </w:rPr>
        <w:t xml:space="preserve"> </w:t>
      </w:r>
      <w:r w:rsidRPr="00EB2BD8">
        <w:t>and</w:t>
      </w:r>
      <w:r w:rsidRPr="00EB2BD8">
        <w:rPr>
          <w:spacing w:val="-4"/>
        </w:rPr>
        <w:t xml:space="preserve"> </w:t>
      </w:r>
      <w:r w:rsidRPr="00EB2BD8">
        <w:t>reporting</w:t>
      </w:r>
      <w:r w:rsidRPr="00EB2BD8">
        <w:rPr>
          <w:spacing w:val="-4"/>
        </w:rPr>
        <w:t xml:space="preserve"> </w:t>
      </w:r>
      <w:r w:rsidRPr="00EB2BD8">
        <w:t>systems</w:t>
      </w:r>
      <w:r w:rsidRPr="00EB2BD8">
        <w:rPr>
          <w:spacing w:val="-4"/>
        </w:rPr>
        <w:t xml:space="preserve"> </w:t>
      </w:r>
      <w:r w:rsidRPr="00EB2BD8">
        <w:t>and</w:t>
      </w:r>
      <w:r w:rsidRPr="00EB2BD8">
        <w:rPr>
          <w:spacing w:val="-4"/>
        </w:rPr>
        <w:t xml:space="preserve"> </w:t>
      </w:r>
      <w:r w:rsidRPr="00EB2BD8">
        <w:t>iAuditor</w:t>
      </w:r>
      <w:r w:rsidRPr="00EB2BD8">
        <w:rPr>
          <w:spacing w:val="-4"/>
        </w:rPr>
        <w:t xml:space="preserve"> </w:t>
      </w:r>
      <w:r w:rsidRPr="00EB2BD8">
        <w:t>field</w:t>
      </w:r>
      <w:r w:rsidRPr="00EB2BD8">
        <w:rPr>
          <w:spacing w:val="-4"/>
        </w:rPr>
        <w:t xml:space="preserve"> </w:t>
      </w:r>
      <w:r w:rsidRPr="00EB2BD8">
        <w:t>system upgrades to update and streamline checklists.</w:t>
      </w:r>
    </w:p>
    <w:p w14:paraId="690B5612" w14:textId="77777777" w:rsidR="00084F36" w:rsidRPr="00EB2BD8" w:rsidRDefault="00EB2BD8">
      <w:pPr>
        <w:pStyle w:val="BodyText"/>
        <w:spacing w:before="102" w:line="261" w:lineRule="auto"/>
        <w:ind w:left="413" w:right="1190"/>
      </w:pPr>
      <w:r w:rsidRPr="00EB2BD8">
        <w:t>Foundation initiatives were also implemented for the</w:t>
      </w:r>
      <w:r w:rsidRPr="00EB2BD8">
        <w:rPr>
          <w:spacing w:val="-9"/>
        </w:rPr>
        <w:t xml:space="preserve"> </w:t>
      </w:r>
      <w:r w:rsidRPr="00EB2BD8">
        <w:t>delivery</w:t>
      </w:r>
      <w:r w:rsidRPr="00EB2BD8">
        <w:rPr>
          <w:spacing w:val="-9"/>
        </w:rPr>
        <w:t xml:space="preserve"> </w:t>
      </w:r>
      <w:r w:rsidRPr="00EB2BD8">
        <w:t>of</w:t>
      </w:r>
      <w:r w:rsidRPr="00EB2BD8">
        <w:rPr>
          <w:spacing w:val="-9"/>
        </w:rPr>
        <w:t xml:space="preserve"> </w:t>
      </w:r>
      <w:r w:rsidRPr="00EB2BD8">
        <w:t>consumer</w:t>
      </w:r>
      <w:r w:rsidRPr="00EB2BD8">
        <w:rPr>
          <w:spacing w:val="-9"/>
        </w:rPr>
        <w:t xml:space="preserve"> </w:t>
      </w:r>
      <w:r w:rsidRPr="00EB2BD8">
        <w:t>support</w:t>
      </w:r>
      <w:r w:rsidRPr="00EB2BD8">
        <w:rPr>
          <w:spacing w:val="-9"/>
        </w:rPr>
        <w:t xml:space="preserve"> </w:t>
      </w:r>
      <w:r w:rsidRPr="00EB2BD8">
        <w:t>reforms</w:t>
      </w:r>
      <w:r w:rsidRPr="00EB2BD8">
        <w:rPr>
          <w:spacing w:val="-9"/>
        </w:rPr>
        <w:t xml:space="preserve"> </w:t>
      </w:r>
      <w:r w:rsidRPr="00EB2BD8">
        <w:t>regarding detached permits. These included development of an action plan for sector engagement workshops, completion of a pilot triage service for detached permits to identify individual consumer resolution</w:t>
      </w:r>
    </w:p>
    <w:p w14:paraId="72F1F04A" w14:textId="77777777" w:rsidR="00084F36" w:rsidRPr="00EB2BD8" w:rsidRDefault="00EB2BD8">
      <w:pPr>
        <w:pStyle w:val="BodyText"/>
        <w:spacing w:line="261" w:lineRule="auto"/>
        <w:ind w:left="413" w:right="860"/>
      </w:pPr>
      <w:r w:rsidRPr="00EB2BD8">
        <w:t xml:space="preserve">pathways and a detailed review of building permit data </w:t>
      </w:r>
      <w:r w:rsidRPr="00EB2BD8">
        <w:rPr>
          <w:w w:val="105"/>
        </w:rPr>
        <w:t>to</w:t>
      </w:r>
      <w:r w:rsidRPr="00EB2BD8">
        <w:rPr>
          <w:spacing w:val="-4"/>
          <w:w w:val="105"/>
        </w:rPr>
        <w:t xml:space="preserve"> </w:t>
      </w:r>
      <w:r w:rsidRPr="00EB2BD8">
        <w:rPr>
          <w:w w:val="105"/>
        </w:rPr>
        <w:t>validate</w:t>
      </w:r>
      <w:r w:rsidRPr="00EB2BD8">
        <w:rPr>
          <w:spacing w:val="-4"/>
          <w:w w:val="105"/>
        </w:rPr>
        <w:t xml:space="preserve"> </w:t>
      </w:r>
      <w:r w:rsidRPr="00EB2BD8">
        <w:rPr>
          <w:w w:val="105"/>
        </w:rPr>
        <w:t>recent</w:t>
      </w:r>
      <w:r w:rsidRPr="00EB2BD8">
        <w:rPr>
          <w:spacing w:val="-4"/>
          <w:w w:val="105"/>
        </w:rPr>
        <w:t xml:space="preserve"> </w:t>
      </w:r>
      <w:r w:rsidRPr="00EB2BD8">
        <w:rPr>
          <w:w w:val="105"/>
        </w:rPr>
        <w:t>detached</w:t>
      </w:r>
      <w:r w:rsidRPr="00EB2BD8">
        <w:rPr>
          <w:spacing w:val="-4"/>
          <w:w w:val="105"/>
        </w:rPr>
        <w:t xml:space="preserve"> </w:t>
      </w:r>
      <w:r w:rsidRPr="00EB2BD8">
        <w:rPr>
          <w:w w:val="105"/>
        </w:rPr>
        <w:t>permit</w:t>
      </w:r>
      <w:r w:rsidRPr="00EB2BD8">
        <w:rPr>
          <w:spacing w:val="-4"/>
          <w:w w:val="105"/>
        </w:rPr>
        <w:t xml:space="preserve"> </w:t>
      </w:r>
      <w:r w:rsidRPr="00EB2BD8">
        <w:rPr>
          <w:w w:val="105"/>
        </w:rPr>
        <w:t>numbers.</w:t>
      </w:r>
    </w:p>
    <w:p w14:paraId="469C3B79" w14:textId="77777777" w:rsidR="00084F36" w:rsidRPr="00EB2BD8" w:rsidRDefault="00EB2BD8">
      <w:pPr>
        <w:pStyle w:val="BodyText"/>
        <w:spacing w:before="105" w:line="261" w:lineRule="auto"/>
        <w:ind w:left="413" w:right="920"/>
      </w:pPr>
      <w:r w:rsidRPr="00EB2BD8">
        <w:t>The VBA ensured it was ready to deliver services to interstate</w:t>
      </w:r>
      <w:r w:rsidRPr="00EB2BD8">
        <w:rPr>
          <w:spacing w:val="-12"/>
        </w:rPr>
        <w:t xml:space="preserve"> </w:t>
      </w:r>
      <w:r w:rsidRPr="00EB2BD8">
        <w:t>practitioners</w:t>
      </w:r>
      <w:r w:rsidRPr="00EB2BD8">
        <w:rPr>
          <w:spacing w:val="-12"/>
        </w:rPr>
        <w:t xml:space="preserve"> </w:t>
      </w:r>
      <w:r w:rsidRPr="00EB2BD8">
        <w:t>who</w:t>
      </w:r>
      <w:r w:rsidRPr="00EB2BD8">
        <w:rPr>
          <w:spacing w:val="-12"/>
        </w:rPr>
        <w:t xml:space="preserve"> </w:t>
      </w:r>
      <w:r w:rsidRPr="00EB2BD8">
        <w:t>sought</w:t>
      </w:r>
      <w:r w:rsidRPr="00EB2BD8">
        <w:rPr>
          <w:spacing w:val="-12"/>
        </w:rPr>
        <w:t xml:space="preserve"> </w:t>
      </w:r>
      <w:r w:rsidRPr="00EB2BD8">
        <w:t>to</w:t>
      </w:r>
      <w:r w:rsidRPr="00EB2BD8">
        <w:rPr>
          <w:spacing w:val="-12"/>
        </w:rPr>
        <w:t xml:space="preserve"> </w:t>
      </w:r>
      <w:r w:rsidRPr="00EB2BD8">
        <w:t>work</w:t>
      </w:r>
      <w:r w:rsidRPr="00EB2BD8">
        <w:rPr>
          <w:spacing w:val="-12"/>
        </w:rPr>
        <w:t xml:space="preserve"> </w:t>
      </w:r>
      <w:r w:rsidRPr="00EB2BD8">
        <w:t>in</w:t>
      </w:r>
      <w:r w:rsidRPr="00EB2BD8">
        <w:rPr>
          <w:spacing w:val="-12"/>
        </w:rPr>
        <w:t xml:space="preserve"> </w:t>
      </w:r>
      <w:r w:rsidRPr="00EB2BD8">
        <w:t>Victoria under the AMR scheme. This included establishing necessary internal systems and processes for AMR practitioners, an online register and processes for notifications to be made to the VBA by practitioners coming</w:t>
      </w:r>
      <w:r w:rsidRPr="00EB2BD8">
        <w:rPr>
          <w:spacing w:val="-14"/>
        </w:rPr>
        <w:t xml:space="preserve"> </w:t>
      </w:r>
      <w:r w:rsidRPr="00EB2BD8">
        <w:t>to</w:t>
      </w:r>
      <w:r w:rsidRPr="00EB2BD8">
        <w:rPr>
          <w:spacing w:val="-14"/>
        </w:rPr>
        <w:t xml:space="preserve"> </w:t>
      </w:r>
      <w:r w:rsidRPr="00EB2BD8">
        <w:t>work</w:t>
      </w:r>
      <w:r w:rsidRPr="00EB2BD8">
        <w:rPr>
          <w:spacing w:val="-14"/>
        </w:rPr>
        <w:t xml:space="preserve"> </w:t>
      </w:r>
      <w:r w:rsidRPr="00EB2BD8">
        <w:t>in</w:t>
      </w:r>
      <w:r w:rsidRPr="00EB2BD8">
        <w:rPr>
          <w:spacing w:val="-14"/>
        </w:rPr>
        <w:t xml:space="preserve"> </w:t>
      </w:r>
      <w:r w:rsidRPr="00EB2BD8">
        <w:t>Victoria.</w:t>
      </w:r>
      <w:r w:rsidRPr="00EB2BD8">
        <w:rPr>
          <w:spacing w:val="-14"/>
        </w:rPr>
        <w:t xml:space="preserve"> </w:t>
      </w:r>
      <w:r w:rsidRPr="00EB2BD8">
        <w:t>The</w:t>
      </w:r>
      <w:r w:rsidRPr="00EB2BD8">
        <w:rPr>
          <w:spacing w:val="-14"/>
        </w:rPr>
        <w:t xml:space="preserve"> </w:t>
      </w:r>
      <w:r w:rsidRPr="00EB2BD8">
        <w:t>VBA</w:t>
      </w:r>
      <w:r w:rsidRPr="00EB2BD8">
        <w:rPr>
          <w:spacing w:val="-14"/>
        </w:rPr>
        <w:t xml:space="preserve"> </w:t>
      </w:r>
      <w:r w:rsidRPr="00EB2BD8">
        <w:t>continues</w:t>
      </w:r>
      <w:r w:rsidRPr="00EB2BD8">
        <w:rPr>
          <w:spacing w:val="-14"/>
        </w:rPr>
        <w:t xml:space="preserve"> </w:t>
      </w:r>
      <w:r w:rsidRPr="00EB2BD8">
        <w:t>to</w:t>
      </w:r>
      <w:r w:rsidRPr="00EB2BD8">
        <w:rPr>
          <w:spacing w:val="-14"/>
        </w:rPr>
        <w:t xml:space="preserve"> </w:t>
      </w:r>
      <w:r w:rsidRPr="00EB2BD8">
        <w:t>work to integrate our AMR systems and processes with the new Salesforce-based technology, which will enable</w:t>
      </w:r>
    </w:p>
    <w:p w14:paraId="72A25CB5" w14:textId="77777777" w:rsidR="00084F36" w:rsidRPr="00EB2BD8" w:rsidRDefault="00EB2BD8">
      <w:pPr>
        <w:pStyle w:val="BodyText"/>
        <w:spacing w:line="261" w:lineRule="auto"/>
        <w:ind w:left="413" w:right="920"/>
      </w:pPr>
      <w:r w:rsidRPr="00EB2BD8">
        <w:t>a</w:t>
      </w:r>
      <w:r w:rsidRPr="00EB2BD8">
        <w:rPr>
          <w:spacing w:val="-3"/>
        </w:rPr>
        <w:t xml:space="preserve"> </w:t>
      </w:r>
      <w:r w:rsidRPr="00EB2BD8">
        <w:t>richer,</w:t>
      </w:r>
      <w:r w:rsidRPr="00EB2BD8">
        <w:rPr>
          <w:spacing w:val="-3"/>
        </w:rPr>
        <w:t xml:space="preserve"> </w:t>
      </w:r>
      <w:r w:rsidRPr="00EB2BD8">
        <w:t>digital-based</w:t>
      </w:r>
      <w:r w:rsidRPr="00EB2BD8">
        <w:rPr>
          <w:spacing w:val="-3"/>
        </w:rPr>
        <w:t xml:space="preserve"> </w:t>
      </w:r>
      <w:r w:rsidRPr="00EB2BD8">
        <w:t>experience</w:t>
      </w:r>
      <w:r w:rsidRPr="00EB2BD8">
        <w:rPr>
          <w:spacing w:val="-3"/>
        </w:rPr>
        <w:t xml:space="preserve"> </w:t>
      </w:r>
      <w:r w:rsidRPr="00EB2BD8">
        <w:t>for</w:t>
      </w:r>
      <w:r w:rsidRPr="00EB2BD8">
        <w:rPr>
          <w:spacing w:val="-3"/>
        </w:rPr>
        <w:t xml:space="preserve"> </w:t>
      </w:r>
      <w:r w:rsidRPr="00EB2BD8">
        <w:t>practitioners coming to Victoria.</w:t>
      </w:r>
    </w:p>
    <w:p w14:paraId="59CB7E18" w14:textId="77777777" w:rsidR="00084F36" w:rsidRPr="00EB2BD8" w:rsidRDefault="00EB2BD8">
      <w:pPr>
        <w:pStyle w:val="BodyText"/>
        <w:spacing w:before="102" w:line="261" w:lineRule="auto"/>
        <w:ind w:left="413" w:right="920"/>
      </w:pPr>
      <w:r w:rsidRPr="00EB2BD8">
        <w:t>The VBA will continue to progress these initiatives in 2023-24</w:t>
      </w:r>
      <w:r w:rsidRPr="00EB2BD8">
        <w:rPr>
          <w:spacing w:val="-15"/>
        </w:rPr>
        <w:t xml:space="preserve"> </w:t>
      </w:r>
      <w:r w:rsidRPr="00EB2BD8">
        <w:t>and</w:t>
      </w:r>
      <w:r w:rsidRPr="00EB2BD8">
        <w:rPr>
          <w:spacing w:val="-14"/>
        </w:rPr>
        <w:t xml:space="preserve"> </w:t>
      </w:r>
      <w:r w:rsidRPr="00EB2BD8">
        <w:t>maintain</w:t>
      </w:r>
      <w:r w:rsidRPr="00EB2BD8">
        <w:rPr>
          <w:spacing w:val="-14"/>
        </w:rPr>
        <w:t xml:space="preserve"> </w:t>
      </w:r>
      <w:r w:rsidRPr="00EB2BD8">
        <w:t>its</w:t>
      </w:r>
      <w:r w:rsidRPr="00EB2BD8">
        <w:rPr>
          <w:spacing w:val="-14"/>
        </w:rPr>
        <w:t xml:space="preserve"> </w:t>
      </w:r>
      <w:r w:rsidRPr="00EB2BD8">
        <w:t>focus</w:t>
      </w:r>
      <w:r w:rsidRPr="00EB2BD8">
        <w:rPr>
          <w:spacing w:val="-15"/>
        </w:rPr>
        <w:t xml:space="preserve"> </w:t>
      </w:r>
      <w:r w:rsidRPr="00EB2BD8">
        <w:t>on</w:t>
      </w:r>
      <w:r w:rsidRPr="00EB2BD8">
        <w:rPr>
          <w:spacing w:val="-14"/>
        </w:rPr>
        <w:t xml:space="preserve"> </w:t>
      </w:r>
      <w:r w:rsidRPr="00EB2BD8">
        <w:t>improving</w:t>
      </w:r>
      <w:r w:rsidRPr="00EB2BD8">
        <w:rPr>
          <w:spacing w:val="-14"/>
        </w:rPr>
        <w:t xml:space="preserve"> </w:t>
      </w:r>
      <w:r w:rsidRPr="00EB2BD8">
        <w:t>consumer outcomes and creating improvements to Victoria’s building</w:t>
      </w:r>
      <w:r w:rsidRPr="00EB2BD8">
        <w:rPr>
          <w:spacing w:val="-6"/>
        </w:rPr>
        <w:t xml:space="preserve"> </w:t>
      </w:r>
      <w:r w:rsidRPr="00EB2BD8">
        <w:t>system.</w:t>
      </w:r>
    </w:p>
    <w:p w14:paraId="6EB13FC0"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2" w:space="720" w:equalWidth="0">
            <w:col w:w="5727" w:space="40"/>
            <w:col w:w="6143"/>
          </w:cols>
        </w:sectPr>
      </w:pPr>
    </w:p>
    <w:p w14:paraId="20E78B35" w14:textId="77777777" w:rsidR="00084F36" w:rsidRPr="00EB2BD8" w:rsidRDefault="00084F36">
      <w:pPr>
        <w:pStyle w:val="BodyText"/>
        <w:rPr>
          <w:sz w:val="20"/>
        </w:rPr>
      </w:pPr>
    </w:p>
    <w:p w14:paraId="6DD43DCD" w14:textId="77777777" w:rsidR="00084F36" w:rsidRPr="00EB2BD8" w:rsidRDefault="00084F36">
      <w:pPr>
        <w:pStyle w:val="BodyText"/>
        <w:rPr>
          <w:sz w:val="20"/>
        </w:rPr>
      </w:pPr>
    </w:p>
    <w:p w14:paraId="0253E19B" w14:textId="77777777" w:rsidR="00084F36" w:rsidRPr="00EB2BD8" w:rsidRDefault="00084F36">
      <w:pPr>
        <w:pStyle w:val="BodyText"/>
        <w:rPr>
          <w:sz w:val="20"/>
        </w:rPr>
      </w:pPr>
    </w:p>
    <w:p w14:paraId="67029BCC" w14:textId="77777777" w:rsidR="00084F36" w:rsidRPr="00EB2BD8" w:rsidRDefault="00084F36">
      <w:pPr>
        <w:pStyle w:val="BodyText"/>
        <w:rPr>
          <w:sz w:val="20"/>
        </w:rPr>
      </w:pPr>
    </w:p>
    <w:p w14:paraId="6A1FCC8F" w14:textId="77777777" w:rsidR="00084F36" w:rsidRPr="00EB2BD8" w:rsidRDefault="00084F36">
      <w:pPr>
        <w:rPr>
          <w:sz w:val="20"/>
        </w:rPr>
        <w:sectPr w:rsidR="00084F36" w:rsidRPr="00EB2BD8" w:rsidSect="006D75B2">
          <w:footerReference w:type="default" r:id="rId60"/>
          <w:pgSz w:w="11910" w:h="16840"/>
          <w:pgMar w:top="1100" w:right="0" w:bottom="700" w:left="0" w:header="0" w:footer="515" w:gutter="0"/>
          <w:cols w:space="720"/>
        </w:sectPr>
      </w:pPr>
    </w:p>
    <w:p w14:paraId="60F7668F" w14:textId="77777777" w:rsidR="00084F36" w:rsidRPr="00EB2BD8" w:rsidRDefault="00EB2BD8" w:rsidP="001975DF">
      <w:pPr>
        <w:pStyle w:val="Heading2"/>
      </w:pPr>
      <w:bookmarkStart w:id="66" w:name="_Toc150762368"/>
      <w:r w:rsidRPr="00EB2BD8">
        <w:t>Victoria's</w:t>
      </w:r>
      <w:r w:rsidRPr="00EB2BD8">
        <w:rPr>
          <w:spacing w:val="-17"/>
        </w:rPr>
        <w:t xml:space="preserve"> </w:t>
      </w:r>
      <w:r w:rsidRPr="00EB2BD8">
        <w:t>Building</w:t>
      </w:r>
      <w:r w:rsidRPr="00EB2BD8">
        <w:rPr>
          <w:spacing w:val="-16"/>
        </w:rPr>
        <w:t xml:space="preserve"> </w:t>
      </w:r>
      <w:r w:rsidRPr="00EB2BD8">
        <w:t>System</w:t>
      </w:r>
      <w:r w:rsidRPr="00EB2BD8">
        <w:rPr>
          <w:spacing w:val="-17"/>
        </w:rPr>
        <w:t xml:space="preserve"> </w:t>
      </w:r>
      <w:r w:rsidRPr="00EB2BD8">
        <w:t>Review</w:t>
      </w:r>
      <w:bookmarkEnd w:id="66"/>
    </w:p>
    <w:p w14:paraId="0E266946" w14:textId="77777777" w:rsidR="00084F36" w:rsidRPr="00EB2BD8" w:rsidRDefault="00EB2BD8">
      <w:pPr>
        <w:pStyle w:val="BodyText"/>
        <w:spacing w:before="128" w:line="261" w:lineRule="auto"/>
        <w:ind w:left="842" w:right="144"/>
      </w:pPr>
      <w:r w:rsidRPr="00EB2BD8">
        <w:t>Established in late 2020, the Victorian Government’s Building</w:t>
      </w:r>
      <w:r w:rsidRPr="00EB2BD8">
        <w:rPr>
          <w:spacing w:val="-2"/>
        </w:rPr>
        <w:t xml:space="preserve"> </w:t>
      </w:r>
      <w:r w:rsidRPr="00EB2BD8">
        <w:t>System</w:t>
      </w:r>
      <w:r w:rsidRPr="00EB2BD8">
        <w:rPr>
          <w:spacing w:val="-2"/>
        </w:rPr>
        <w:t xml:space="preserve"> </w:t>
      </w:r>
      <w:r w:rsidRPr="00EB2BD8">
        <w:t>Review</w:t>
      </w:r>
      <w:r w:rsidRPr="00EB2BD8">
        <w:rPr>
          <w:spacing w:val="-2"/>
        </w:rPr>
        <w:t xml:space="preserve"> </w:t>
      </w:r>
      <w:r w:rsidRPr="00EB2BD8">
        <w:t>released</w:t>
      </w:r>
      <w:r w:rsidRPr="00EB2BD8">
        <w:rPr>
          <w:spacing w:val="-2"/>
        </w:rPr>
        <w:t xml:space="preserve"> </w:t>
      </w:r>
      <w:r w:rsidRPr="00EB2BD8">
        <w:t>Stage</w:t>
      </w:r>
      <w:r w:rsidRPr="00EB2BD8">
        <w:rPr>
          <w:spacing w:val="-2"/>
        </w:rPr>
        <w:t xml:space="preserve"> </w:t>
      </w:r>
      <w:r w:rsidRPr="00EB2BD8">
        <w:t>One</w:t>
      </w:r>
      <w:r w:rsidRPr="00EB2BD8">
        <w:rPr>
          <w:spacing w:val="-2"/>
        </w:rPr>
        <w:t xml:space="preserve"> </w:t>
      </w:r>
      <w:r w:rsidRPr="00EB2BD8">
        <w:t>of</w:t>
      </w:r>
      <w:r w:rsidRPr="00EB2BD8">
        <w:rPr>
          <w:spacing w:val="-2"/>
        </w:rPr>
        <w:t xml:space="preserve"> </w:t>
      </w:r>
      <w:r w:rsidRPr="00EB2BD8">
        <w:t>its</w:t>
      </w:r>
      <w:r w:rsidRPr="00EB2BD8">
        <w:rPr>
          <w:spacing w:val="-2"/>
        </w:rPr>
        <w:t xml:space="preserve"> </w:t>
      </w:r>
      <w:r w:rsidRPr="00EB2BD8">
        <w:t xml:space="preserve">final </w:t>
      </w:r>
      <w:r w:rsidRPr="00EB2BD8">
        <w:rPr>
          <w:spacing w:val="-2"/>
        </w:rPr>
        <w:t>report,</w:t>
      </w:r>
      <w:r w:rsidRPr="00EB2BD8">
        <w:rPr>
          <w:spacing w:val="-8"/>
        </w:rPr>
        <w:t xml:space="preserve"> </w:t>
      </w:r>
      <w:r w:rsidRPr="00EB2BD8">
        <w:rPr>
          <w:spacing w:val="-2"/>
        </w:rPr>
        <w:t>which</w:t>
      </w:r>
      <w:r w:rsidRPr="00EB2BD8">
        <w:rPr>
          <w:spacing w:val="-8"/>
        </w:rPr>
        <w:t xml:space="preserve"> </w:t>
      </w:r>
      <w:r w:rsidRPr="00EB2BD8">
        <w:rPr>
          <w:spacing w:val="-2"/>
        </w:rPr>
        <w:t>outlined</w:t>
      </w:r>
      <w:r w:rsidRPr="00EB2BD8">
        <w:rPr>
          <w:spacing w:val="-8"/>
        </w:rPr>
        <w:t xml:space="preserve"> </w:t>
      </w:r>
      <w:r w:rsidRPr="00EB2BD8">
        <w:rPr>
          <w:spacing w:val="-2"/>
        </w:rPr>
        <w:t>16</w:t>
      </w:r>
      <w:r w:rsidRPr="00EB2BD8">
        <w:rPr>
          <w:spacing w:val="-7"/>
        </w:rPr>
        <w:t xml:space="preserve"> </w:t>
      </w:r>
      <w:r w:rsidRPr="00EB2BD8">
        <w:rPr>
          <w:spacing w:val="-2"/>
        </w:rPr>
        <w:t>recommendations</w:t>
      </w:r>
      <w:r w:rsidRPr="00EB2BD8">
        <w:rPr>
          <w:spacing w:val="-8"/>
        </w:rPr>
        <w:t xml:space="preserve"> </w:t>
      </w:r>
      <w:r w:rsidRPr="00EB2BD8">
        <w:rPr>
          <w:spacing w:val="-2"/>
        </w:rPr>
        <w:t>for</w:t>
      </w:r>
      <w:r w:rsidRPr="00EB2BD8">
        <w:rPr>
          <w:spacing w:val="-8"/>
        </w:rPr>
        <w:t xml:space="preserve"> </w:t>
      </w:r>
      <w:r w:rsidRPr="00EB2BD8">
        <w:rPr>
          <w:spacing w:val="-2"/>
        </w:rPr>
        <w:t>reform.</w:t>
      </w:r>
    </w:p>
    <w:p w14:paraId="72A1566D" w14:textId="77777777" w:rsidR="00084F36" w:rsidRPr="00EB2BD8" w:rsidRDefault="00EB2BD8">
      <w:pPr>
        <w:pStyle w:val="BodyText"/>
        <w:spacing w:before="111" w:line="261" w:lineRule="auto"/>
        <w:ind w:left="842" w:right="144"/>
      </w:pPr>
      <w:r w:rsidRPr="00EB2BD8">
        <w:rPr>
          <w:w w:val="105"/>
        </w:rPr>
        <w:t>The</w:t>
      </w:r>
      <w:r w:rsidRPr="00EB2BD8">
        <w:rPr>
          <w:spacing w:val="-12"/>
          <w:w w:val="105"/>
        </w:rPr>
        <w:t xml:space="preserve"> </w:t>
      </w:r>
      <w:r w:rsidRPr="00EB2BD8">
        <w:rPr>
          <w:w w:val="105"/>
        </w:rPr>
        <w:t>Building</w:t>
      </w:r>
      <w:r w:rsidRPr="00EB2BD8">
        <w:rPr>
          <w:spacing w:val="-12"/>
          <w:w w:val="105"/>
        </w:rPr>
        <w:t xml:space="preserve"> </w:t>
      </w:r>
      <w:r w:rsidRPr="00EB2BD8">
        <w:rPr>
          <w:w w:val="105"/>
        </w:rPr>
        <w:t>System</w:t>
      </w:r>
      <w:r w:rsidRPr="00EB2BD8">
        <w:rPr>
          <w:spacing w:val="-12"/>
          <w:w w:val="105"/>
        </w:rPr>
        <w:t xml:space="preserve"> </w:t>
      </w:r>
      <w:r w:rsidRPr="00EB2BD8">
        <w:rPr>
          <w:w w:val="105"/>
        </w:rPr>
        <w:t>Review</w:t>
      </w:r>
      <w:r w:rsidRPr="00EB2BD8">
        <w:rPr>
          <w:spacing w:val="-12"/>
          <w:w w:val="105"/>
        </w:rPr>
        <w:t xml:space="preserve"> </w:t>
      </w:r>
      <w:r w:rsidRPr="00EB2BD8">
        <w:rPr>
          <w:w w:val="105"/>
        </w:rPr>
        <w:t>represents</w:t>
      </w:r>
      <w:r w:rsidRPr="00EB2BD8">
        <w:rPr>
          <w:spacing w:val="-12"/>
          <w:w w:val="105"/>
        </w:rPr>
        <w:t xml:space="preserve"> </w:t>
      </w:r>
      <w:r w:rsidRPr="00EB2BD8">
        <w:rPr>
          <w:w w:val="105"/>
        </w:rPr>
        <w:t>a</w:t>
      </w:r>
      <w:r w:rsidRPr="00EB2BD8">
        <w:rPr>
          <w:spacing w:val="-12"/>
          <w:w w:val="105"/>
        </w:rPr>
        <w:t xml:space="preserve"> </w:t>
      </w:r>
      <w:r w:rsidRPr="00EB2BD8">
        <w:rPr>
          <w:w w:val="105"/>
        </w:rPr>
        <w:t xml:space="preserve">once-in-a- </w:t>
      </w:r>
      <w:r w:rsidRPr="00EB2BD8">
        <w:t xml:space="preserve">generation opportunity to collaborate, co-design and </w:t>
      </w:r>
      <w:r w:rsidRPr="00EB2BD8">
        <w:rPr>
          <w:w w:val="105"/>
        </w:rPr>
        <w:t>build</w:t>
      </w:r>
      <w:r w:rsidRPr="00EB2BD8">
        <w:rPr>
          <w:spacing w:val="-1"/>
          <w:w w:val="105"/>
        </w:rPr>
        <w:t xml:space="preserve"> </w:t>
      </w:r>
      <w:r w:rsidRPr="00EB2BD8">
        <w:rPr>
          <w:w w:val="105"/>
        </w:rPr>
        <w:t>an</w:t>
      </w:r>
      <w:r w:rsidRPr="00EB2BD8">
        <w:rPr>
          <w:spacing w:val="-1"/>
          <w:w w:val="105"/>
        </w:rPr>
        <w:t xml:space="preserve"> </w:t>
      </w:r>
      <w:r w:rsidRPr="00EB2BD8">
        <w:rPr>
          <w:w w:val="105"/>
        </w:rPr>
        <w:t>end-to-end,</w:t>
      </w:r>
      <w:r w:rsidRPr="00EB2BD8">
        <w:rPr>
          <w:spacing w:val="-1"/>
          <w:w w:val="105"/>
        </w:rPr>
        <w:t xml:space="preserve"> </w:t>
      </w:r>
      <w:r w:rsidRPr="00EB2BD8">
        <w:rPr>
          <w:w w:val="105"/>
        </w:rPr>
        <w:t>holistic</w:t>
      </w:r>
      <w:r w:rsidRPr="00EB2BD8">
        <w:rPr>
          <w:spacing w:val="-1"/>
          <w:w w:val="105"/>
        </w:rPr>
        <w:t xml:space="preserve"> </w:t>
      </w:r>
      <w:r w:rsidRPr="00EB2BD8">
        <w:rPr>
          <w:w w:val="105"/>
        </w:rPr>
        <w:t>and</w:t>
      </w:r>
      <w:r w:rsidRPr="00EB2BD8">
        <w:rPr>
          <w:spacing w:val="-1"/>
          <w:w w:val="105"/>
        </w:rPr>
        <w:t xml:space="preserve"> </w:t>
      </w:r>
      <w:r w:rsidRPr="00EB2BD8">
        <w:rPr>
          <w:w w:val="105"/>
        </w:rPr>
        <w:t>balanced</w:t>
      </w:r>
      <w:r w:rsidRPr="00EB2BD8">
        <w:rPr>
          <w:spacing w:val="-1"/>
          <w:w w:val="105"/>
        </w:rPr>
        <w:t xml:space="preserve"> </w:t>
      </w:r>
      <w:r w:rsidRPr="00EB2BD8">
        <w:rPr>
          <w:w w:val="105"/>
        </w:rPr>
        <w:t xml:space="preserve">system </w:t>
      </w:r>
      <w:r w:rsidRPr="00EB2BD8">
        <w:t>that</w:t>
      </w:r>
      <w:r w:rsidRPr="00EB2BD8">
        <w:rPr>
          <w:spacing w:val="-2"/>
        </w:rPr>
        <w:t xml:space="preserve"> </w:t>
      </w:r>
      <w:r w:rsidRPr="00EB2BD8">
        <w:t>puts</w:t>
      </w:r>
      <w:r w:rsidRPr="00EB2BD8">
        <w:rPr>
          <w:spacing w:val="-2"/>
        </w:rPr>
        <w:t xml:space="preserve"> </w:t>
      </w:r>
      <w:r w:rsidRPr="00EB2BD8">
        <w:t>consumers</w:t>
      </w:r>
      <w:r w:rsidRPr="00EB2BD8">
        <w:rPr>
          <w:spacing w:val="-2"/>
        </w:rPr>
        <w:t xml:space="preserve"> </w:t>
      </w:r>
      <w:r w:rsidRPr="00EB2BD8">
        <w:t>front</w:t>
      </w:r>
      <w:r w:rsidRPr="00EB2BD8">
        <w:rPr>
          <w:spacing w:val="-2"/>
        </w:rPr>
        <w:t xml:space="preserve"> </w:t>
      </w:r>
      <w:r w:rsidRPr="00EB2BD8">
        <w:t>and</w:t>
      </w:r>
      <w:r w:rsidRPr="00EB2BD8">
        <w:rPr>
          <w:spacing w:val="-2"/>
        </w:rPr>
        <w:t xml:space="preserve"> </w:t>
      </w:r>
      <w:r w:rsidRPr="00EB2BD8">
        <w:t>centre</w:t>
      </w:r>
      <w:r w:rsidRPr="00EB2BD8">
        <w:rPr>
          <w:spacing w:val="-2"/>
        </w:rPr>
        <w:t xml:space="preserve"> </w:t>
      </w:r>
      <w:r w:rsidRPr="00EB2BD8">
        <w:t>and</w:t>
      </w:r>
      <w:r w:rsidRPr="00EB2BD8">
        <w:rPr>
          <w:spacing w:val="-2"/>
        </w:rPr>
        <w:t xml:space="preserve"> </w:t>
      </w:r>
      <w:r w:rsidRPr="00EB2BD8">
        <w:t>supports</w:t>
      </w:r>
      <w:r w:rsidRPr="00EB2BD8">
        <w:rPr>
          <w:spacing w:val="-2"/>
        </w:rPr>
        <w:t xml:space="preserve"> </w:t>
      </w:r>
      <w:r w:rsidRPr="00EB2BD8">
        <w:t xml:space="preserve">a </w:t>
      </w:r>
      <w:r w:rsidRPr="00EB2BD8">
        <w:rPr>
          <w:w w:val="105"/>
        </w:rPr>
        <w:t>thriving</w:t>
      </w:r>
      <w:r w:rsidRPr="00EB2BD8">
        <w:rPr>
          <w:spacing w:val="-2"/>
          <w:w w:val="105"/>
        </w:rPr>
        <w:t xml:space="preserve"> </w:t>
      </w:r>
      <w:r w:rsidRPr="00EB2BD8">
        <w:rPr>
          <w:w w:val="105"/>
        </w:rPr>
        <w:t>and</w:t>
      </w:r>
      <w:r w:rsidRPr="00EB2BD8">
        <w:rPr>
          <w:spacing w:val="-2"/>
          <w:w w:val="105"/>
        </w:rPr>
        <w:t xml:space="preserve"> </w:t>
      </w:r>
      <w:r w:rsidRPr="00EB2BD8">
        <w:rPr>
          <w:w w:val="105"/>
        </w:rPr>
        <w:t>sustainable</w:t>
      </w:r>
      <w:r w:rsidRPr="00EB2BD8">
        <w:rPr>
          <w:spacing w:val="-2"/>
          <w:w w:val="105"/>
        </w:rPr>
        <w:t xml:space="preserve"> </w:t>
      </w:r>
      <w:r w:rsidRPr="00EB2BD8">
        <w:rPr>
          <w:w w:val="105"/>
        </w:rPr>
        <w:t>industry.</w:t>
      </w:r>
    </w:p>
    <w:p w14:paraId="327D960D" w14:textId="77777777" w:rsidR="00084F36" w:rsidRPr="00EB2BD8" w:rsidRDefault="00EB2BD8">
      <w:pPr>
        <w:pStyle w:val="BodyText"/>
        <w:spacing w:before="108" w:line="261" w:lineRule="auto"/>
        <w:ind w:left="842"/>
      </w:pPr>
      <w:r w:rsidRPr="00EB2BD8">
        <w:t>The</w:t>
      </w:r>
      <w:r w:rsidRPr="00EB2BD8">
        <w:rPr>
          <w:spacing w:val="-5"/>
        </w:rPr>
        <w:t xml:space="preserve"> </w:t>
      </w:r>
      <w:r w:rsidRPr="00EB2BD8">
        <w:t>VBA</w:t>
      </w:r>
      <w:r w:rsidRPr="00EB2BD8">
        <w:rPr>
          <w:spacing w:val="-5"/>
        </w:rPr>
        <w:t xml:space="preserve"> </w:t>
      </w:r>
      <w:r w:rsidRPr="00EB2BD8">
        <w:t>made</w:t>
      </w:r>
      <w:r w:rsidRPr="00EB2BD8">
        <w:rPr>
          <w:spacing w:val="-5"/>
        </w:rPr>
        <w:t xml:space="preserve"> </w:t>
      </w:r>
      <w:r w:rsidRPr="00EB2BD8">
        <w:t>detailed</w:t>
      </w:r>
      <w:r w:rsidRPr="00EB2BD8">
        <w:rPr>
          <w:spacing w:val="-5"/>
        </w:rPr>
        <w:t xml:space="preserve"> </w:t>
      </w:r>
      <w:r w:rsidRPr="00EB2BD8">
        <w:t>submissions</w:t>
      </w:r>
      <w:r w:rsidRPr="00EB2BD8">
        <w:rPr>
          <w:spacing w:val="-5"/>
        </w:rPr>
        <w:t xml:space="preserve"> </w:t>
      </w:r>
      <w:r w:rsidRPr="00EB2BD8">
        <w:t>on</w:t>
      </w:r>
      <w:r w:rsidRPr="00EB2BD8">
        <w:rPr>
          <w:spacing w:val="-5"/>
        </w:rPr>
        <w:t xml:space="preserve"> </w:t>
      </w:r>
      <w:r w:rsidRPr="00EB2BD8">
        <w:t>the</w:t>
      </w:r>
      <w:r w:rsidRPr="00EB2BD8">
        <w:rPr>
          <w:spacing w:val="-5"/>
        </w:rPr>
        <w:t xml:space="preserve"> </w:t>
      </w:r>
      <w:r w:rsidRPr="00EB2BD8">
        <w:t>proposed reforms</w:t>
      </w:r>
      <w:r w:rsidRPr="00EB2BD8">
        <w:rPr>
          <w:spacing w:val="-3"/>
        </w:rPr>
        <w:t xml:space="preserve"> </w:t>
      </w:r>
      <w:r w:rsidRPr="00EB2BD8">
        <w:t>outlined</w:t>
      </w:r>
      <w:r w:rsidRPr="00EB2BD8">
        <w:rPr>
          <w:spacing w:val="-3"/>
        </w:rPr>
        <w:t xml:space="preserve"> </w:t>
      </w:r>
      <w:r w:rsidRPr="00EB2BD8">
        <w:t>in</w:t>
      </w:r>
      <w:r w:rsidRPr="00EB2BD8">
        <w:rPr>
          <w:spacing w:val="-3"/>
        </w:rPr>
        <w:t xml:space="preserve"> </w:t>
      </w:r>
      <w:r w:rsidRPr="00EB2BD8">
        <w:t>the</w:t>
      </w:r>
      <w:r w:rsidRPr="00EB2BD8">
        <w:rPr>
          <w:spacing w:val="-3"/>
        </w:rPr>
        <w:t xml:space="preserve"> </w:t>
      </w:r>
      <w:r w:rsidRPr="00EB2BD8">
        <w:t>draft</w:t>
      </w:r>
      <w:r w:rsidRPr="00EB2BD8">
        <w:rPr>
          <w:spacing w:val="-3"/>
        </w:rPr>
        <w:t xml:space="preserve"> </w:t>
      </w:r>
      <w:r w:rsidRPr="00EB2BD8">
        <w:t>report</w:t>
      </w:r>
      <w:r w:rsidRPr="00EB2BD8">
        <w:rPr>
          <w:spacing w:val="-3"/>
        </w:rPr>
        <w:t xml:space="preserve"> </w:t>
      </w:r>
      <w:r w:rsidRPr="00EB2BD8">
        <w:t>in</w:t>
      </w:r>
      <w:r w:rsidRPr="00EB2BD8">
        <w:rPr>
          <w:spacing w:val="-3"/>
        </w:rPr>
        <w:t xml:space="preserve"> </w:t>
      </w:r>
      <w:r w:rsidRPr="00EB2BD8">
        <w:t>2021.</w:t>
      </w:r>
    </w:p>
    <w:p w14:paraId="16F22D58" w14:textId="77777777" w:rsidR="00084F36" w:rsidRPr="00EB2BD8" w:rsidRDefault="00EB2BD8">
      <w:pPr>
        <w:pStyle w:val="BodyText"/>
        <w:spacing w:before="111" w:line="261" w:lineRule="auto"/>
        <w:ind w:left="842"/>
      </w:pPr>
      <w:r w:rsidRPr="00EB2BD8">
        <w:t>The</w:t>
      </w:r>
      <w:r w:rsidRPr="00EB2BD8">
        <w:rPr>
          <w:spacing w:val="-7"/>
        </w:rPr>
        <w:t xml:space="preserve"> </w:t>
      </w:r>
      <w:r w:rsidRPr="00EB2BD8">
        <w:t>16</w:t>
      </w:r>
      <w:r w:rsidRPr="00EB2BD8">
        <w:rPr>
          <w:spacing w:val="-7"/>
        </w:rPr>
        <w:t xml:space="preserve"> </w:t>
      </w:r>
      <w:r w:rsidRPr="00EB2BD8">
        <w:t>recommendations</w:t>
      </w:r>
      <w:r w:rsidRPr="00EB2BD8">
        <w:rPr>
          <w:spacing w:val="-7"/>
        </w:rPr>
        <w:t xml:space="preserve"> </w:t>
      </w:r>
      <w:r w:rsidRPr="00EB2BD8">
        <w:t>made</w:t>
      </w:r>
      <w:r w:rsidRPr="00EB2BD8">
        <w:rPr>
          <w:spacing w:val="-7"/>
        </w:rPr>
        <w:t xml:space="preserve"> </w:t>
      </w:r>
      <w:r w:rsidRPr="00EB2BD8">
        <w:t>in</w:t>
      </w:r>
      <w:r w:rsidRPr="00EB2BD8">
        <w:rPr>
          <w:spacing w:val="-7"/>
        </w:rPr>
        <w:t xml:space="preserve"> </w:t>
      </w:r>
      <w:r w:rsidRPr="00EB2BD8">
        <w:t>the</w:t>
      </w:r>
      <w:r w:rsidRPr="00EB2BD8">
        <w:rPr>
          <w:spacing w:val="-7"/>
        </w:rPr>
        <w:t xml:space="preserve"> </w:t>
      </w:r>
      <w:r w:rsidRPr="00EB2BD8">
        <w:t>Stage</w:t>
      </w:r>
      <w:r w:rsidRPr="00EB2BD8">
        <w:rPr>
          <w:spacing w:val="-7"/>
        </w:rPr>
        <w:t xml:space="preserve"> </w:t>
      </w:r>
      <w:r w:rsidRPr="00EB2BD8">
        <w:t>One</w:t>
      </w:r>
      <w:r w:rsidRPr="00EB2BD8">
        <w:rPr>
          <w:spacing w:val="-7"/>
        </w:rPr>
        <w:t xml:space="preserve"> </w:t>
      </w:r>
      <w:r w:rsidRPr="00EB2BD8">
        <w:t>report are grouped under four key elements: practitioner registration, building approvals, regulatory oversight and consumer representation and advocacy.</w:t>
      </w:r>
    </w:p>
    <w:p w14:paraId="63C23A6B" w14:textId="77777777" w:rsidR="00084F36" w:rsidRPr="00EB2BD8" w:rsidRDefault="00EB2BD8">
      <w:pPr>
        <w:pStyle w:val="BodyText"/>
        <w:spacing w:before="110" w:line="261" w:lineRule="auto"/>
        <w:ind w:left="842" w:right="45"/>
      </w:pPr>
      <w:r w:rsidRPr="00EB2BD8">
        <w:t>The recommendations have the potential to reshape the regulatory landscape in Victoria by strengthening regulatory oversight and the regulatory framework, modernising</w:t>
      </w:r>
      <w:r w:rsidRPr="00EB2BD8">
        <w:rPr>
          <w:spacing w:val="-11"/>
        </w:rPr>
        <w:t xml:space="preserve"> </w:t>
      </w:r>
      <w:r w:rsidRPr="00EB2BD8">
        <w:t>the</w:t>
      </w:r>
      <w:r w:rsidRPr="00EB2BD8">
        <w:rPr>
          <w:spacing w:val="-11"/>
        </w:rPr>
        <w:t xml:space="preserve"> </w:t>
      </w:r>
      <w:r w:rsidRPr="00EB2BD8">
        <w:t>building</w:t>
      </w:r>
      <w:r w:rsidRPr="00EB2BD8">
        <w:rPr>
          <w:spacing w:val="-11"/>
        </w:rPr>
        <w:t xml:space="preserve"> </w:t>
      </w:r>
      <w:r w:rsidRPr="00EB2BD8">
        <w:t>approvals</w:t>
      </w:r>
      <w:r w:rsidRPr="00EB2BD8">
        <w:rPr>
          <w:spacing w:val="-11"/>
        </w:rPr>
        <w:t xml:space="preserve"> </w:t>
      </w:r>
      <w:r w:rsidRPr="00EB2BD8">
        <w:t>process,</w:t>
      </w:r>
      <w:r w:rsidRPr="00EB2BD8">
        <w:rPr>
          <w:spacing w:val="-11"/>
        </w:rPr>
        <w:t xml:space="preserve"> </w:t>
      </w:r>
      <w:r w:rsidRPr="00EB2BD8">
        <w:t>increasing accountability in the practitioner licensing and registration schemes, and enhancing consumer representation and advocacy. As a whole, the recommendations seek to protect consumers from poor practices and ensure they are empowered to understand and exercise their rights.</w:t>
      </w:r>
    </w:p>
    <w:p w14:paraId="2D481694" w14:textId="77777777" w:rsidR="00084F36" w:rsidRPr="00EB2BD8" w:rsidRDefault="00084F36">
      <w:pPr>
        <w:pStyle w:val="BodyText"/>
        <w:spacing w:before="1"/>
      </w:pPr>
    </w:p>
    <w:p w14:paraId="41970155" w14:textId="77777777" w:rsidR="00084F36" w:rsidRPr="00EB2BD8" w:rsidRDefault="00EB2BD8" w:rsidP="001975DF">
      <w:pPr>
        <w:pStyle w:val="Heading2"/>
      </w:pPr>
      <w:bookmarkStart w:id="67" w:name="_Toc150762369"/>
      <w:r w:rsidRPr="00EB2BD8">
        <w:t>Recently</w:t>
      </w:r>
      <w:r w:rsidRPr="00EB2BD8">
        <w:rPr>
          <w:spacing w:val="-14"/>
        </w:rPr>
        <w:t xml:space="preserve"> </w:t>
      </w:r>
      <w:r w:rsidRPr="00EB2BD8">
        <w:t>introduced</w:t>
      </w:r>
      <w:r w:rsidRPr="00EB2BD8">
        <w:rPr>
          <w:spacing w:val="-14"/>
        </w:rPr>
        <w:t xml:space="preserve"> </w:t>
      </w:r>
      <w:r w:rsidRPr="00EB2BD8">
        <w:t>reforms</w:t>
      </w:r>
      <w:bookmarkEnd w:id="67"/>
    </w:p>
    <w:p w14:paraId="591B045A" w14:textId="77777777" w:rsidR="00084F36" w:rsidRPr="00EB2BD8" w:rsidRDefault="00EB2BD8">
      <w:pPr>
        <w:pStyle w:val="BodyText"/>
        <w:spacing w:before="129" w:line="261" w:lineRule="auto"/>
        <w:ind w:left="842"/>
      </w:pPr>
      <w:r w:rsidRPr="00EB2BD8">
        <w:t xml:space="preserve">In June 2023, the </w:t>
      </w:r>
      <w:r w:rsidRPr="00EB2BD8">
        <w:rPr>
          <w:i/>
        </w:rPr>
        <w:t xml:space="preserve">Building Legislation Amendment Act 2023 </w:t>
      </w:r>
      <w:r w:rsidRPr="00EB2BD8">
        <w:t>(the Act) was passed in the Victorian Parliament and</w:t>
      </w:r>
      <w:r w:rsidRPr="00EB2BD8">
        <w:rPr>
          <w:spacing w:val="-7"/>
        </w:rPr>
        <w:t xml:space="preserve"> </w:t>
      </w:r>
      <w:r w:rsidRPr="00EB2BD8">
        <w:t>implemented</w:t>
      </w:r>
      <w:r w:rsidRPr="00EB2BD8">
        <w:rPr>
          <w:spacing w:val="-7"/>
        </w:rPr>
        <w:t xml:space="preserve"> </w:t>
      </w:r>
      <w:r w:rsidRPr="00EB2BD8">
        <w:t>a</w:t>
      </w:r>
      <w:r w:rsidRPr="00EB2BD8">
        <w:rPr>
          <w:spacing w:val="-7"/>
        </w:rPr>
        <w:t xml:space="preserve"> </w:t>
      </w:r>
      <w:r w:rsidRPr="00EB2BD8">
        <w:t>number</w:t>
      </w:r>
      <w:r w:rsidRPr="00EB2BD8">
        <w:rPr>
          <w:spacing w:val="-7"/>
        </w:rPr>
        <w:t xml:space="preserve"> </w:t>
      </w:r>
      <w:r w:rsidRPr="00EB2BD8">
        <w:t>of</w:t>
      </w:r>
      <w:r w:rsidRPr="00EB2BD8">
        <w:rPr>
          <w:spacing w:val="-7"/>
        </w:rPr>
        <w:t xml:space="preserve"> </w:t>
      </w:r>
      <w:r w:rsidRPr="00EB2BD8">
        <w:t>reforms</w:t>
      </w:r>
      <w:r w:rsidRPr="00EB2BD8">
        <w:rPr>
          <w:spacing w:val="-7"/>
        </w:rPr>
        <w:t xml:space="preserve"> </w:t>
      </w:r>
      <w:r w:rsidRPr="00EB2BD8">
        <w:t>that</w:t>
      </w:r>
      <w:r w:rsidRPr="00EB2BD8">
        <w:rPr>
          <w:spacing w:val="-7"/>
        </w:rPr>
        <w:t xml:space="preserve"> </w:t>
      </w:r>
      <w:r w:rsidRPr="00EB2BD8">
        <w:t>will</w:t>
      </w:r>
      <w:r w:rsidRPr="00EB2BD8">
        <w:rPr>
          <w:spacing w:val="-7"/>
        </w:rPr>
        <w:t xml:space="preserve"> </w:t>
      </w:r>
      <w:r w:rsidRPr="00EB2BD8">
        <w:t>reshape the</w:t>
      </w:r>
      <w:r w:rsidRPr="00EB2BD8">
        <w:rPr>
          <w:spacing w:val="-8"/>
        </w:rPr>
        <w:t xml:space="preserve"> </w:t>
      </w:r>
      <w:r w:rsidRPr="00EB2BD8">
        <w:t>regulatory</w:t>
      </w:r>
      <w:r w:rsidRPr="00EB2BD8">
        <w:rPr>
          <w:spacing w:val="-8"/>
        </w:rPr>
        <w:t xml:space="preserve"> </w:t>
      </w:r>
      <w:r w:rsidRPr="00EB2BD8">
        <w:t>landscape</w:t>
      </w:r>
      <w:r w:rsidRPr="00EB2BD8">
        <w:rPr>
          <w:spacing w:val="-8"/>
        </w:rPr>
        <w:t xml:space="preserve"> </w:t>
      </w:r>
      <w:r w:rsidRPr="00EB2BD8">
        <w:t>in</w:t>
      </w:r>
      <w:r w:rsidRPr="00EB2BD8">
        <w:rPr>
          <w:spacing w:val="-8"/>
        </w:rPr>
        <w:t xml:space="preserve"> </w:t>
      </w:r>
      <w:r w:rsidRPr="00EB2BD8">
        <w:t>Victoria,</w:t>
      </w:r>
      <w:r w:rsidRPr="00EB2BD8">
        <w:rPr>
          <w:spacing w:val="-8"/>
        </w:rPr>
        <w:t xml:space="preserve"> </w:t>
      </w:r>
      <w:r w:rsidRPr="00EB2BD8">
        <w:t>with</w:t>
      </w:r>
      <w:r w:rsidRPr="00EB2BD8">
        <w:rPr>
          <w:spacing w:val="-8"/>
        </w:rPr>
        <w:t xml:space="preserve"> </w:t>
      </w:r>
      <w:r w:rsidRPr="00EB2BD8">
        <w:t>a</w:t>
      </w:r>
      <w:r w:rsidRPr="00EB2BD8">
        <w:rPr>
          <w:spacing w:val="-8"/>
        </w:rPr>
        <w:t xml:space="preserve"> </w:t>
      </w:r>
      <w:r w:rsidRPr="00EB2BD8">
        <w:t>key</w:t>
      </w:r>
      <w:r w:rsidRPr="00EB2BD8">
        <w:rPr>
          <w:spacing w:val="-8"/>
        </w:rPr>
        <w:t xml:space="preserve"> </w:t>
      </w:r>
      <w:r w:rsidRPr="00EB2BD8">
        <w:t>focus</w:t>
      </w:r>
      <w:r w:rsidRPr="00EB2BD8">
        <w:rPr>
          <w:spacing w:val="-8"/>
        </w:rPr>
        <w:t xml:space="preserve"> </w:t>
      </w:r>
      <w:r w:rsidRPr="00EB2BD8">
        <w:t>on consumer</w:t>
      </w:r>
      <w:r w:rsidRPr="00EB2BD8">
        <w:rPr>
          <w:spacing w:val="-6"/>
        </w:rPr>
        <w:t xml:space="preserve"> </w:t>
      </w:r>
      <w:r w:rsidRPr="00EB2BD8">
        <w:t>protection.</w:t>
      </w:r>
    </w:p>
    <w:p w14:paraId="7C82CECD" w14:textId="77777777" w:rsidR="00084F36" w:rsidRPr="00EB2BD8" w:rsidRDefault="00EB2BD8">
      <w:pPr>
        <w:pStyle w:val="BodyText"/>
        <w:spacing w:before="108" w:line="261" w:lineRule="auto"/>
        <w:ind w:left="842" w:right="223"/>
      </w:pPr>
      <w:r w:rsidRPr="00EB2BD8">
        <w:t>Led by the Department of Transport and Planning and</w:t>
      </w:r>
      <w:r w:rsidRPr="00EB2BD8">
        <w:rPr>
          <w:spacing w:val="-3"/>
        </w:rPr>
        <w:t xml:space="preserve"> </w:t>
      </w:r>
      <w:r w:rsidRPr="00EB2BD8">
        <w:t>the</w:t>
      </w:r>
      <w:r w:rsidRPr="00EB2BD8">
        <w:rPr>
          <w:spacing w:val="-3"/>
        </w:rPr>
        <w:t xml:space="preserve"> </w:t>
      </w:r>
      <w:r w:rsidRPr="00EB2BD8">
        <w:t>Victorian</w:t>
      </w:r>
      <w:r w:rsidRPr="00EB2BD8">
        <w:rPr>
          <w:spacing w:val="-3"/>
        </w:rPr>
        <w:t xml:space="preserve"> </w:t>
      </w:r>
      <w:r w:rsidRPr="00EB2BD8">
        <w:t>Government,</w:t>
      </w:r>
      <w:r w:rsidRPr="00EB2BD8">
        <w:rPr>
          <w:spacing w:val="-3"/>
        </w:rPr>
        <w:t xml:space="preserve"> </w:t>
      </w:r>
      <w:r w:rsidRPr="00EB2BD8">
        <w:t>the</w:t>
      </w:r>
      <w:r w:rsidRPr="00EB2BD8">
        <w:rPr>
          <w:spacing w:val="-3"/>
        </w:rPr>
        <w:t xml:space="preserve"> </w:t>
      </w:r>
      <w:r w:rsidRPr="00EB2BD8">
        <w:t>Act</w:t>
      </w:r>
      <w:r w:rsidRPr="00EB2BD8">
        <w:rPr>
          <w:spacing w:val="-3"/>
        </w:rPr>
        <w:t xml:space="preserve"> </w:t>
      </w:r>
      <w:r w:rsidRPr="00EB2BD8">
        <w:t>is</w:t>
      </w:r>
      <w:r w:rsidRPr="00EB2BD8">
        <w:rPr>
          <w:spacing w:val="-3"/>
        </w:rPr>
        <w:t xml:space="preserve"> </w:t>
      </w:r>
      <w:r w:rsidRPr="00EB2BD8">
        <w:t>an</w:t>
      </w:r>
      <w:r w:rsidRPr="00EB2BD8">
        <w:rPr>
          <w:spacing w:val="-3"/>
        </w:rPr>
        <w:t xml:space="preserve"> </w:t>
      </w:r>
      <w:r w:rsidRPr="00EB2BD8">
        <w:t>outcome of</w:t>
      </w:r>
      <w:r w:rsidRPr="00EB2BD8">
        <w:rPr>
          <w:spacing w:val="-2"/>
        </w:rPr>
        <w:t xml:space="preserve"> </w:t>
      </w:r>
      <w:r w:rsidRPr="00EB2BD8">
        <w:t>a</w:t>
      </w:r>
      <w:r w:rsidRPr="00EB2BD8">
        <w:rPr>
          <w:spacing w:val="-2"/>
        </w:rPr>
        <w:t xml:space="preserve"> </w:t>
      </w:r>
      <w:r w:rsidRPr="00EB2BD8">
        <w:t>three-year</w:t>
      </w:r>
      <w:r w:rsidRPr="00EB2BD8">
        <w:rPr>
          <w:spacing w:val="-2"/>
        </w:rPr>
        <w:t xml:space="preserve"> </w:t>
      </w:r>
      <w:r w:rsidRPr="00EB2BD8">
        <w:t>process</w:t>
      </w:r>
      <w:r w:rsidRPr="00EB2BD8">
        <w:rPr>
          <w:spacing w:val="-2"/>
        </w:rPr>
        <w:t xml:space="preserve"> </w:t>
      </w:r>
      <w:r w:rsidRPr="00EB2BD8">
        <w:t>to</w:t>
      </w:r>
      <w:r w:rsidRPr="00EB2BD8">
        <w:rPr>
          <w:spacing w:val="-2"/>
        </w:rPr>
        <w:t xml:space="preserve"> </w:t>
      </w:r>
      <w:r w:rsidRPr="00EB2BD8">
        <w:t>identify</w:t>
      </w:r>
      <w:r w:rsidRPr="00EB2BD8">
        <w:rPr>
          <w:spacing w:val="-2"/>
        </w:rPr>
        <w:t xml:space="preserve"> </w:t>
      </w:r>
      <w:r w:rsidRPr="00EB2BD8">
        <w:t>and</w:t>
      </w:r>
      <w:r w:rsidRPr="00EB2BD8">
        <w:rPr>
          <w:spacing w:val="-2"/>
        </w:rPr>
        <w:t xml:space="preserve"> </w:t>
      </w:r>
      <w:r w:rsidRPr="00EB2BD8">
        <w:t>remedy</w:t>
      </w:r>
      <w:r w:rsidRPr="00EB2BD8">
        <w:rPr>
          <w:spacing w:val="-2"/>
        </w:rPr>
        <w:t xml:space="preserve"> </w:t>
      </w:r>
      <w:r w:rsidRPr="00EB2BD8">
        <w:t>issues relating to building regulation, and implements numerous</w:t>
      </w:r>
      <w:r w:rsidRPr="00EB2BD8">
        <w:rPr>
          <w:spacing w:val="-9"/>
        </w:rPr>
        <w:t xml:space="preserve"> </w:t>
      </w:r>
      <w:r w:rsidRPr="00EB2BD8">
        <w:t>reforms,</w:t>
      </w:r>
      <w:r w:rsidRPr="00EB2BD8">
        <w:rPr>
          <w:spacing w:val="-9"/>
        </w:rPr>
        <w:t xml:space="preserve"> </w:t>
      </w:r>
      <w:r w:rsidRPr="00EB2BD8">
        <w:t>including</w:t>
      </w:r>
      <w:r w:rsidRPr="00EB2BD8">
        <w:rPr>
          <w:spacing w:val="-9"/>
        </w:rPr>
        <w:t xml:space="preserve"> </w:t>
      </w:r>
      <w:r w:rsidRPr="00EB2BD8">
        <w:t>several</w:t>
      </w:r>
      <w:r w:rsidRPr="00EB2BD8">
        <w:rPr>
          <w:spacing w:val="-9"/>
        </w:rPr>
        <w:t xml:space="preserve"> </w:t>
      </w:r>
      <w:r w:rsidRPr="00EB2BD8">
        <w:t>arising</w:t>
      </w:r>
      <w:r w:rsidRPr="00EB2BD8">
        <w:rPr>
          <w:spacing w:val="-9"/>
        </w:rPr>
        <w:t xml:space="preserve"> </w:t>
      </w:r>
      <w:r w:rsidRPr="00EB2BD8">
        <w:t>from</w:t>
      </w:r>
      <w:r w:rsidRPr="00EB2BD8">
        <w:rPr>
          <w:spacing w:val="-9"/>
        </w:rPr>
        <w:t xml:space="preserve"> </w:t>
      </w:r>
      <w:r w:rsidRPr="00EB2BD8">
        <w:t>the Stage One report delivered by the Expert Panel.</w:t>
      </w:r>
    </w:p>
    <w:p w14:paraId="41449412" w14:textId="77777777" w:rsidR="00084F36" w:rsidRPr="00EB2BD8" w:rsidRDefault="00EB2BD8">
      <w:pPr>
        <w:pStyle w:val="BodyText"/>
        <w:spacing w:before="107" w:line="261" w:lineRule="auto"/>
        <w:ind w:left="842"/>
      </w:pPr>
      <w:r w:rsidRPr="00EB2BD8">
        <w:t>The Act creates a number of provisions, which are currently</w:t>
      </w:r>
      <w:r w:rsidRPr="00EB2BD8">
        <w:rPr>
          <w:spacing w:val="-15"/>
        </w:rPr>
        <w:t xml:space="preserve"> </w:t>
      </w:r>
      <w:r w:rsidRPr="00EB2BD8">
        <w:t>proposed</w:t>
      </w:r>
      <w:r w:rsidRPr="00EB2BD8">
        <w:rPr>
          <w:spacing w:val="-14"/>
        </w:rPr>
        <w:t xml:space="preserve"> </w:t>
      </w:r>
      <w:r w:rsidRPr="00EB2BD8">
        <w:t>for</w:t>
      </w:r>
      <w:r w:rsidRPr="00EB2BD8">
        <w:rPr>
          <w:spacing w:val="-14"/>
        </w:rPr>
        <w:t xml:space="preserve"> </w:t>
      </w:r>
      <w:r w:rsidRPr="00EB2BD8">
        <w:t>proclamation</w:t>
      </w:r>
      <w:r w:rsidRPr="00EB2BD8">
        <w:rPr>
          <w:spacing w:val="-14"/>
        </w:rPr>
        <w:t xml:space="preserve"> </w:t>
      </w:r>
      <w:r w:rsidRPr="00EB2BD8">
        <w:t>in</w:t>
      </w:r>
      <w:r w:rsidRPr="00EB2BD8">
        <w:rPr>
          <w:spacing w:val="-15"/>
        </w:rPr>
        <w:t xml:space="preserve"> </w:t>
      </w:r>
      <w:r w:rsidRPr="00EB2BD8">
        <w:t>February</w:t>
      </w:r>
      <w:r w:rsidRPr="00EB2BD8">
        <w:rPr>
          <w:spacing w:val="-14"/>
        </w:rPr>
        <w:t xml:space="preserve"> </w:t>
      </w:r>
      <w:r w:rsidRPr="00EB2BD8">
        <w:t>2024.</w:t>
      </w:r>
    </w:p>
    <w:p w14:paraId="7EF14B48" w14:textId="77777777" w:rsidR="00084F36" w:rsidRPr="00EB2BD8" w:rsidRDefault="00EB2BD8">
      <w:pPr>
        <w:pStyle w:val="BodyText"/>
        <w:spacing w:before="112"/>
        <w:ind w:left="842"/>
      </w:pPr>
      <w:r w:rsidRPr="00EB2BD8">
        <w:t>The</w:t>
      </w:r>
      <w:r w:rsidRPr="00EB2BD8">
        <w:rPr>
          <w:spacing w:val="-11"/>
        </w:rPr>
        <w:t xml:space="preserve"> </w:t>
      </w:r>
      <w:r w:rsidRPr="00EB2BD8">
        <w:t>Act</w:t>
      </w:r>
      <w:r w:rsidRPr="00EB2BD8">
        <w:rPr>
          <w:spacing w:val="-10"/>
        </w:rPr>
        <w:t xml:space="preserve"> </w:t>
      </w:r>
      <w:r w:rsidRPr="00EB2BD8">
        <w:t>creates</w:t>
      </w:r>
      <w:r w:rsidRPr="00EB2BD8">
        <w:rPr>
          <w:spacing w:val="-10"/>
        </w:rPr>
        <w:t xml:space="preserve"> </w:t>
      </w:r>
      <w:r w:rsidRPr="00EB2BD8">
        <w:t>the</w:t>
      </w:r>
      <w:r w:rsidRPr="00EB2BD8">
        <w:rPr>
          <w:spacing w:val="-10"/>
        </w:rPr>
        <w:t xml:space="preserve"> </w:t>
      </w:r>
      <w:r w:rsidRPr="00EB2BD8">
        <w:t>following</w:t>
      </w:r>
      <w:r w:rsidRPr="00EB2BD8">
        <w:rPr>
          <w:spacing w:val="-11"/>
        </w:rPr>
        <w:t xml:space="preserve"> </w:t>
      </w:r>
      <w:r w:rsidRPr="00EB2BD8">
        <w:rPr>
          <w:spacing w:val="-2"/>
        </w:rPr>
        <w:t>provisions:</w:t>
      </w:r>
    </w:p>
    <w:p w14:paraId="09E1F3B5" w14:textId="77777777" w:rsidR="00084F36" w:rsidRPr="00EB2BD8" w:rsidRDefault="00EB2BD8">
      <w:pPr>
        <w:pStyle w:val="ListParagraph"/>
        <w:numPr>
          <w:ilvl w:val="0"/>
          <w:numId w:val="69"/>
        </w:numPr>
        <w:tabs>
          <w:tab w:val="left" w:pos="1125"/>
        </w:tabs>
        <w:spacing w:before="48" w:line="261" w:lineRule="auto"/>
        <w:ind w:left="1125" w:right="546"/>
        <w:rPr>
          <w:sz w:val="18"/>
        </w:rPr>
      </w:pPr>
      <w:r w:rsidRPr="00EB2BD8">
        <w:rPr>
          <w:sz w:val="18"/>
        </w:rPr>
        <w:t>Creates</w:t>
      </w:r>
      <w:r w:rsidRPr="00EB2BD8">
        <w:rPr>
          <w:spacing w:val="-6"/>
          <w:sz w:val="18"/>
        </w:rPr>
        <w:t xml:space="preserve"> </w:t>
      </w:r>
      <w:r w:rsidRPr="00EB2BD8">
        <w:rPr>
          <w:sz w:val="18"/>
        </w:rPr>
        <w:t>the</w:t>
      </w:r>
      <w:r w:rsidRPr="00EB2BD8">
        <w:rPr>
          <w:spacing w:val="-6"/>
          <w:sz w:val="18"/>
        </w:rPr>
        <w:t xml:space="preserve"> </w:t>
      </w:r>
      <w:r w:rsidRPr="00EB2BD8">
        <w:rPr>
          <w:sz w:val="18"/>
        </w:rPr>
        <w:t>statutory</w:t>
      </w:r>
      <w:r w:rsidRPr="00EB2BD8">
        <w:rPr>
          <w:spacing w:val="-6"/>
          <w:sz w:val="18"/>
        </w:rPr>
        <w:t xml:space="preserve"> </w:t>
      </w:r>
      <w:r w:rsidRPr="00EB2BD8">
        <w:rPr>
          <w:sz w:val="18"/>
        </w:rPr>
        <w:t>role</w:t>
      </w:r>
      <w:r w:rsidRPr="00EB2BD8">
        <w:rPr>
          <w:spacing w:val="-6"/>
          <w:sz w:val="18"/>
        </w:rPr>
        <w:t xml:space="preserve"> </w:t>
      </w:r>
      <w:r w:rsidRPr="00EB2BD8">
        <w:rPr>
          <w:sz w:val="18"/>
        </w:rPr>
        <w:t>of</w:t>
      </w:r>
      <w:r w:rsidRPr="00EB2BD8">
        <w:rPr>
          <w:spacing w:val="-6"/>
          <w:sz w:val="18"/>
        </w:rPr>
        <w:t xml:space="preserve"> </w:t>
      </w:r>
      <w:r w:rsidRPr="00EB2BD8">
        <w:rPr>
          <w:sz w:val="18"/>
        </w:rPr>
        <w:t>the</w:t>
      </w:r>
      <w:r w:rsidRPr="00EB2BD8">
        <w:rPr>
          <w:spacing w:val="-6"/>
          <w:sz w:val="18"/>
        </w:rPr>
        <w:t xml:space="preserve"> </w:t>
      </w:r>
      <w:r w:rsidRPr="00EB2BD8">
        <w:rPr>
          <w:sz w:val="18"/>
        </w:rPr>
        <w:t>State</w:t>
      </w:r>
      <w:r w:rsidRPr="00EB2BD8">
        <w:rPr>
          <w:spacing w:val="-6"/>
          <w:sz w:val="18"/>
        </w:rPr>
        <w:t xml:space="preserve"> </w:t>
      </w:r>
      <w:r w:rsidRPr="00EB2BD8">
        <w:rPr>
          <w:sz w:val="18"/>
        </w:rPr>
        <w:t>Building Surveyor</w:t>
      </w:r>
      <w:r w:rsidRPr="00EB2BD8">
        <w:rPr>
          <w:spacing w:val="-6"/>
          <w:sz w:val="18"/>
        </w:rPr>
        <w:t xml:space="preserve"> </w:t>
      </w:r>
      <w:r w:rsidRPr="00EB2BD8">
        <w:rPr>
          <w:sz w:val="18"/>
        </w:rPr>
        <w:t>(SBS)</w:t>
      </w:r>
    </w:p>
    <w:p w14:paraId="3C4F259F" w14:textId="77777777" w:rsidR="00084F36" w:rsidRPr="00EB2BD8" w:rsidRDefault="00EB2BD8">
      <w:pPr>
        <w:pStyle w:val="ListParagraph"/>
        <w:numPr>
          <w:ilvl w:val="1"/>
          <w:numId w:val="69"/>
        </w:numPr>
        <w:tabs>
          <w:tab w:val="left" w:pos="1324"/>
          <w:tab w:val="left" w:pos="1345"/>
        </w:tabs>
        <w:spacing w:before="60" w:line="261" w:lineRule="auto"/>
        <w:ind w:right="119" w:hanging="277"/>
        <w:rPr>
          <w:sz w:val="18"/>
        </w:rPr>
      </w:pPr>
      <w:r w:rsidRPr="00EB2BD8">
        <w:rPr>
          <w:sz w:val="18"/>
        </w:rPr>
        <w:t>This</w:t>
      </w:r>
      <w:r w:rsidRPr="00EB2BD8">
        <w:rPr>
          <w:spacing w:val="-10"/>
          <w:sz w:val="18"/>
        </w:rPr>
        <w:t xml:space="preserve"> </w:t>
      </w:r>
      <w:r w:rsidRPr="00EB2BD8">
        <w:rPr>
          <w:sz w:val="18"/>
        </w:rPr>
        <w:t>reform</w:t>
      </w:r>
      <w:r w:rsidRPr="00EB2BD8">
        <w:rPr>
          <w:spacing w:val="-10"/>
          <w:sz w:val="18"/>
        </w:rPr>
        <w:t xml:space="preserve"> </w:t>
      </w:r>
      <w:r w:rsidRPr="00EB2BD8">
        <w:rPr>
          <w:sz w:val="18"/>
        </w:rPr>
        <w:t>recognises</w:t>
      </w:r>
      <w:r w:rsidRPr="00EB2BD8">
        <w:rPr>
          <w:spacing w:val="-10"/>
          <w:sz w:val="18"/>
        </w:rPr>
        <w:t xml:space="preserve"> </w:t>
      </w:r>
      <w:r w:rsidRPr="00EB2BD8">
        <w:rPr>
          <w:sz w:val="18"/>
        </w:rPr>
        <w:t>the</w:t>
      </w:r>
      <w:r w:rsidRPr="00EB2BD8">
        <w:rPr>
          <w:spacing w:val="-10"/>
          <w:sz w:val="18"/>
        </w:rPr>
        <w:t xml:space="preserve"> </w:t>
      </w:r>
      <w:r w:rsidRPr="00EB2BD8">
        <w:rPr>
          <w:sz w:val="18"/>
        </w:rPr>
        <w:t>SBS</w:t>
      </w:r>
      <w:r w:rsidRPr="00EB2BD8">
        <w:rPr>
          <w:spacing w:val="-10"/>
          <w:sz w:val="18"/>
        </w:rPr>
        <w:t xml:space="preserve"> </w:t>
      </w:r>
      <w:r w:rsidRPr="00EB2BD8">
        <w:rPr>
          <w:sz w:val="18"/>
        </w:rPr>
        <w:t>in</w:t>
      </w:r>
      <w:r w:rsidRPr="00EB2BD8">
        <w:rPr>
          <w:spacing w:val="-10"/>
          <w:sz w:val="18"/>
        </w:rPr>
        <w:t xml:space="preserve"> </w:t>
      </w:r>
      <w:r w:rsidRPr="00EB2BD8">
        <w:rPr>
          <w:sz w:val="18"/>
        </w:rPr>
        <w:t>legislation</w:t>
      </w:r>
      <w:r w:rsidRPr="00EB2BD8">
        <w:rPr>
          <w:spacing w:val="-10"/>
          <w:sz w:val="18"/>
        </w:rPr>
        <w:t xml:space="preserve"> </w:t>
      </w:r>
      <w:r w:rsidRPr="00EB2BD8">
        <w:rPr>
          <w:sz w:val="18"/>
        </w:rPr>
        <w:t>with statutory objectives and functions.</w:t>
      </w:r>
    </w:p>
    <w:p w14:paraId="43630773" w14:textId="77777777" w:rsidR="00084F36" w:rsidRPr="00EB2BD8" w:rsidRDefault="00EB2BD8">
      <w:pPr>
        <w:pStyle w:val="ListParagraph"/>
        <w:numPr>
          <w:ilvl w:val="1"/>
          <w:numId w:val="69"/>
        </w:numPr>
        <w:tabs>
          <w:tab w:val="left" w:pos="1324"/>
          <w:tab w:val="left" w:pos="1345"/>
        </w:tabs>
        <w:spacing w:before="82" w:line="261" w:lineRule="auto"/>
        <w:ind w:right="108" w:hanging="277"/>
        <w:rPr>
          <w:sz w:val="18"/>
        </w:rPr>
      </w:pPr>
      <w:r w:rsidRPr="00EB2BD8">
        <w:rPr>
          <w:sz w:val="18"/>
        </w:rPr>
        <w:t>The</w:t>
      </w:r>
      <w:r w:rsidRPr="00EB2BD8">
        <w:rPr>
          <w:spacing w:val="-4"/>
          <w:sz w:val="18"/>
        </w:rPr>
        <w:t xml:space="preserve"> </w:t>
      </w:r>
      <w:r w:rsidRPr="00EB2BD8">
        <w:rPr>
          <w:sz w:val="18"/>
        </w:rPr>
        <w:t>SBS</w:t>
      </w:r>
      <w:r w:rsidRPr="00EB2BD8">
        <w:rPr>
          <w:spacing w:val="-4"/>
          <w:sz w:val="18"/>
        </w:rPr>
        <w:t xml:space="preserve"> </w:t>
      </w:r>
      <w:r w:rsidRPr="00EB2BD8">
        <w:rPr>
          <w:sz w:val="18"/>
        </w:rPr>
        <w:t>will</w:t>
      </w:r>
      <w:r w:rsidRPr="00EB2BD8">
        <w:rPr>
          <w:spacing w:val="-4"/>
          <w:sz w:val="18"/>
        </w:rPr>
        <w:t xml:space="preserve"> </w:t>
      </w:r>
      <w:r w:rsidRPr="00EB2BD8">
        <w:rPr>
          <w:sz w:val="18"/>
        </w:rPr>
        <w:t>be</w:t>
      </w:r>
      <w:r w:rsidRPr="00EB2BD8">
        <w:rPr>
          <w:spacing w:val="-4"/>
          <w:sz w:val="18"/>
        </w:rPr>
        <w:t xml:space="preserve"> </w:t>
      </w:r>
      <w:r w:rsidRPr="00EB2BD8">
        <w:rPr>
          <w:sz w:val="18"/>
        </w:rPr>
        <w:t>the</w:t>
      </w:r>
      <w:r w:rsidRPr="00EB2BD8">
        <w:rPr>
          <w:spacing w:val="-4"/>
          <w:sz w:val="18"/>
        </w:rPr>
        <w:t xml:space="preserve"> </w:t>
      </w:r>
      <w:r w:rsidRPr="00EB2BD8">
        <w:rPr>
          <w:sz w:val="18"/>
        </w:rPr>
        <w:t>Government’s</w:t>
      </w:r>
      <w:r w:rsidRPr="00EB2BD8">
        <w:rPr>
          <w:spacing w:val="-4"/>
          <w:sz w:val="18"/>
        </w:rPr>
        <w:t xml:space="preserve"> </w:t>
      </w:r>
      <w:r w:rsidRPr="00EB2BD8">
        <w:rPr>
          <w:sz w:val="18"/>
        </w:rPr>
        <w:t>primary</w:t>
      </w:r>
      <w:r w:rsidRPr="00EB2BD8">
        <w:rPr>
          <w:spacing w:val="-4"/>
          <w:sz w:val="18"/>
        </w:rPr>
        <w:t xml:space="preserve"> </w:t>
      </w:r>
      <w:r w:rsidRPr="00EB2BD8">
        <w:rPr>
          <w:sz w:val="18"/>
        </w:rPr>
        <w:t>source of technical expertise and guidance for the building and plumbing industries.</w:t>
      </w:r>
    </w:p>
    <w:p w14:paraId="49219394" w14:textId="77777777" w:rsidR="00084F36" w:rsidRPr="00EB2BD8" w:rsidRDefault="00EB2BD8">
      <w:pPr>
        <w:pStyle w:val="ListParagraph"/>
        <w:numPr>
          <w:ilvl w:val="1"/>
          <w:numId w:val="69"/>
        </w:numPr>
        <w:tabs>
          <w:tab w:val="left" w:pos="1324"/>
          <w:tab w:val="left" w:pos="1345"/>
        </w:tabs>
        <w:spacing w:before="80" w:line="261" w:lineRule="auto"/>
        <w:ind w:right="311" w:hanging="277"/>
        <w:rPr>
          <w:sz w:val="18"/>
        </w:rPr>
      </w:pPr>
      <w:r w:rsidRPr="00EB2BD8">
        <w:rPr>
          <w:sz w:val="18"/>
        </w:rPr>
        <w:t>The role will also be empowered to issue determinations</w:t>
      </w:r>
      <w:r w:rsidRPr="00EB2BD8">
        <w:rPr>
          <w:spacing w:val="-4"/>
          <w:sz w:val="18"/>
        </w:rPr>
        <w:t xml:space="preserve"> </w:t>
      </w:r>
      <w:r w:rsidRPr="00EB2BD8">
        <w:rPr>
          <w:sz w:val="18"/>
        </w:rPr>
        <w:t>as</w:t>
      </w:r>
      <w:r w:rsidRPr="00EB2BD8">
        <w:rPr>
          <w:spacing w:val="-4"/>
          <w:sz w:val="18"/>
        </w:rPr>
        <w:t xml:space="preserve"> </w:t>
      </w:r>
      <w:r w:rsidRPr="00EB2BD8">
        <w:rPr>
          <w:sz w:val="18"/>
        </w:rPr>
        <w:t>needed,</w:t>
      </w:r>
      <w:r w:rsidRPr="00EB2BD8">
        <w:rPr>
          <w:spacing w:val="-4"/>
          <w:sz w:val="18"/>
        </w:rPr>
        <w:t xml:space="preserve"> </w:t>
      </w:r>
      <w:r w:rsidRPr="00EB2BD8">
        <w:rPr>
          <w:sz w:val="18"/>
        </w:rPr>
        <w:t>providing</w:t>
      </w:r>
      <w:r w:rsidRPr="00EB2BD8">
        <w:rPr>
          <w:spacing w:val="-4"/>
          <w:sz w:val="18"/>
        </w:rPr>
        <w:t xml:space="preserve"> </w:t>
      </w:r>
      <w:r w:rsidRPr="00EB2BD8">
        <w:rPr>
          <w:sz w:val="18"/>
        </w:rPr>
        <w:t>technical interpretations of building and plumbing standards and requirements.</w:t>
      </w:r>
    </w:p>
    <w:p w14:paraId="28277593" w14:textId="77777777" w:rsidR="00084F36" w:rsidRPr="00EB2BD8" w:rsidRDefault="00EB2BD8">
      <w:pPr>
        <w:rPr>
          <w:sz w:val="20"/>
        </w:rPr>
      </w:pPr>
      <w:r w:rsidRPr="00EB2BD8">
        <w:br w:type="column"/>
      </w:r>
    </w:p>
    <w:p w14:paraId="0CD655F5" w14:textId="77777777" w:rsidR="00084F36" w:rsidRPr="00EB2BD8" w:rsidRDefault="00084F36">
      <w:pPr>
        <w:pStyle w:val="BodyText"/>
        <w:rPr>
          <w:sz w:val="20"/>
        </w:rPr>
      </w:pPr>
    </w:p>
    <w:p w14:paraId="15AC4B68" w14:textId="77777777" w:rsidR="00084F36" w:rsidRPr="00EB2BD8" w:rsidRDefault="00084F36">
      <w:pPr>
        <w:pStyle w:val="BodyText"/>
        <w:spacing w:before="10"/>
      </w:pPr>
    </w:p>
    <w:p w14:paraId="0DD59F7D" w14:textId="77777777" w:rsidR="00084F36" w:rsidRPr="00EB2BD8" w:rsidRDefault="00EB2BD8">
      <w:pPr>
        <w:pStyle w:val="ListParagraph"/>
        <w:numPr>
          <w:ilvl w:val="0"/>
          <w:numId w:val="68"/>
        </w:numPr>
        <w:tabs>
          <w:tab w:val="left" w:pos="697"/>
        </w:tabs>
        <w:ind w:hanging="283"/>
        <w:rPr>
          <w:sz w:val="18"/>
        </w:rPr>
      </w:pPr>
      <w:r w:rsidRPr="00EB2BD8">
        <w:rPr>
          <w:sz w:val="18"/>
        </w:rPr>
        <w:t>Establishes</w:t>
      </w:r>
      <w:r w:rsidRPr="00EB2BD8">
        <w:rPr>
          <w:spacing w:val="1"/>
          <w:sz w:val="18"/>
        </w:rPr>
        <w:t xml:space="preserve"> </w:t>
      </w:r>
      <w:r w:rsidRPr="00EB2BD8">
        <w:rPr>
          <w:sz w:val="18"/>
        </w:rPr>
        <w:t>a</w:t>
      </w:r>
      <w:r w:rsidRPr="00EB2BD8">
        <w:rPr>
          <w:spacing w:val="2"/>
          <w:sz w:val="18"/>
        </w:rPr>
        <w:t xml:space="preserve"> </w:t>
      </w:r>
      <w:r w:rsidRPr="00EB2BD8">
        <w:rPr>
          <w:sz w:val="18"/>
        </w:rPr>
        <w:t>Building</w:t>
      </w:r>
      <w:r w:rsidRPr="00EB2BD8">
        <w:rPr>
          <w:spacing w:val="1"/>
          <w:sz w:val="18"/>
        </w:rPr>
        <w:t xml:space="preserve"> </w:t>
      </w:r>
      <w:r w:rsidRPr="00EB2BD8">
        <w:rPr>
          <w:spacing w:val="-2"/>
          <w:sz w:val="18"/>
        </w:rPr>
        <w:t>Monitor</w:t>
      </w:r>
    </w:p>
    <w:p w14:paraId="5754358E" w14:textId="77777777" w:rsidR="00084F36" w:rsidRPr="00EB2BD8" w:rsidRDefault="00EB2BD8">
      <w:pPr>
        <w:pStyle w:val="ListParagraph"/>
        <w:numPr>
          <w:ilvl w:val="1"/>
          <w:numId w:val="68"/>
        </w:numPr>
        <w:tabs>
          <w:tab w:val="left" w:pos="896"/>
          <w:tab w:val="left" w:pos="917"/>
        </w:tabs>
        <w:spacing w:before="82" w:line="261" w:lineRule="auto"/>
        <w:ind w:right="1417" w:hanging="277"/>
        <w:rPr>
          <w:sz w:val="18"/>
        </w:rPr>
      </w:pPr>
      <w:r w:rsidRPr="00EB2BD8">
        <w:rPr>
          <w:sz w:val="18"/>
        </w:rPr>
        <w:t>This Act introduces a Building Monitor to represent and advocate for consumers at a systemic</w:t>
      </w:r>
      <w:r w:rsidRPr="00EB2BD8">
        <w:rPr>
          <w:spacing w:val="-6"/>
          <w:sz w:val="18"/>
        </w:rPr>
        <w:t xml:space="preserve"> </w:t>
      </w:r>
      <w:r w:rsidRPr="00EB2BD8">
        <w:rPr>
          <w:sz w:val="18"/>
        </w:rPr>
        <w:t>level.</w:t>
      </w:r>
    </w:p>
    <w:p w14:paraId="54977CCC" w14:textId="77777777" w:rsidR="00084F36" w:rsidRPr="00EB2BD8" w:rsidRDefault="00EB2BD8">
      <w:pPr>
        <w:pStyle w:val="ListParagraph"/>
        <w:numPr>
          <w:ilvl w:val="1"/>
          <w:numId w:val="68"/>
        </w:numPr>
        <w:tabs>
          <w:tab w:val="left" w:pos="896"/>
          <w:tab w:val="left" w:pos="917"/>
        </w:tabs>
        <w:spacing w:before="80" w:line="261" w:lineRule="auto"/>
        <w:ind w:right="854" w:hanging="277"/>
        <w:rPr>
          <w:sz w:val="18"/>
        </w:rPr>
      </w:pPr>
      <w:r w:rsidRPr="00EB2BD8">
        <w:rPr>
          <w:sz w:val="18"/>
        </w:rPr>
        <w:t>The VBA will have a statutory role to support the Building</w:t>
      </w:r>
      <w:r w:rsidRPr="00EB2BD8">
        <w:rPr>
          <w:spacing w:val="-9"/>
          <w:sz w:val="18"/>
        </w:rPr>
        <w:t xml:space="preserve"> </w:t>
      </w:r>
      <w:r w:rsidRPr="00EB2BD8">
        <w:rPr>
          <w:sz w:val="18"/>
        </w:rPr>
        <w:t>Monitor</w:t>
      </w:r>
      <w:r w:rsidRPr="00EB2BD8">
        <w:rPr>
          <w:spacing w:val="-9"/>
          <w:sz w:val="18"/>
        </w:rPr>
        <w:t xml:space="preserve"> </w:t>
      </w:r>
      <w:r w:rsidRPr="00EB2BD8">
        <w:rPr>
          <w:sz w:val="18"/>
        </w:rPr>
        <w:t>in</w:t>
      </w:r>
      <w:r w:rsidRPr="00EB2BD8">
        <w:rPr>
          <w:spacing w:val="-9"/>
          <w:sz w:val="18"/>
        </w:rPr>
        <w:t xml:space="preserve"> </w:t>
      </w:r>
      <w:r w:rsidRPr="00EB2BD8">
        <w:rPr>
          <w:sz w:val="18"/>
        </w:rPr>
        <w:t>their</w:t>
      </w:r>
      <w:r w:rsidRPr="00EB2BD8">
        <w:rPr>
          <w:spacing w:val="-9"/>
          <w:sz w:val="18"/>
        </w:rPr>
        <w:t xml:space="preserve"> </w:t>
      </w:r>
      <w:r w:rsidRPr="00EB2BD8">
        <w:rPr>
          <w:sz w:val="18"/>
        </w:rPr>
        <w:t>role,</w:t>
      </w:r>
      <w:r w:rsidRPr="00EB2BD8">
        <w:rPr>
          <w:spacing w:val="-9"/>
          <w:sz w:val="18"/>
        </w:rPr>
        <w:t xml:space="preserve"> </w:t>
      </w:r>
      <w:r w:rsidRPr="00EB2BD8">
        <w:rPr>
          <w:sz w:val="18"/>
        </w:rPr>
        <w:t>and</w:t>
      </w:r>
      <w:r w:rsidRPr="00EB2BD8">
        <w:rPr>
          <w:spacing w:val="-9"/>
          <w:sz w:val="18"/>
        </w:rPr>
        <w:t xml:space="preserve"> </w:t>
      </w:r>
      <w:r w:rsidRPr="00EB2BD8">
        <w:rPr>
          <w:sz w:val="18"/>
        </w:rPr>
        <w:t>we</w:t>
      </w:r>
      <w:r w:rsidRPr="00EB2BD8">
        <w:rPr>
          <w:spacing w:val="-9"/>
          <w:sz w:val="18"/>
        </w:rPr>
        <w:t xml:space="preserve"> </w:t>
      </w:r>
      <w:r w:rsidRPr="00EB2BD8">
        <w:rPr>
          <w:sz w:val="18"/>
        </w:rPr>
        <w:t>expect</w:t>
      </w:r>
      <w:r w:rsidRPr="00EB2BD8">
        <w:rPr>
          <w:spacing w:val="-9"/>
          <w:sz w:val="18"/>
        </w:rPr>
        <w:t xml:space="preserve"> </w:t>
      </w:r>
      <w:r w:rsidRPr="00EB2BD8">
        <w:rPr>
          <w:sz w:val="18"/>
        </w:rPr>
        <w:t>to</w:t>
      </w:r>
      <w:r w:rsidRPr="00EB2BD8">
        <w:rPr>
          <w:spacing w:val="-9"/>
          <w:sz w:val="18"/>
        </w:rPr>
        <w:t xml:space="preserve"> </w:t>
      </w:r>
      <w:r w:rsidRPr="00EB2BD8">
        <w:rPr>
          <w:sz w:val="18"/>
        </w:rPr>
        <w:t>do this</w:t>
      </w:r>
      <w:r w:rsidRPr="00EB2BD8">
        <w:rPr>
          <w:spacing w:val="-15"/>
          <w:sz w:val="18"/>
        </w:rPr>
        <w:t xml:space="preserve"> </w:t>
      </w:r>
      <w:r w:rsidRPr="00EB2BD8">
        <w:rPr>
          <w:sz w:val="18"/>
        </w:rPr>
        <w:t>primarily</w:t>
      </w:r>
      <w:r w:rsidRPr="00EB2BD8">
        <w:rPr>
          <w:spacing w:val="-14"/>
          <w:sz w:val="18"/>
        </w:rPr>
        <w:t xml:space="preserve"> </w:t>
      </w:r>
      <w:r w:rsidRPr="00EB2BD8">
        <w:rPr>
          <w:sz w:val="18"/>
        </w:rPr>
        <w:t>through</w:t>
      </w:r>
      <w:r w:rsidRPr="00EB2BD8">
        <w:rPr>
          <w:spacing w:val="-14"/>
          <w:sz w:val="18"/>
        </w:rPr>
        <w:t xml:space="preserve"> </w:t>
      </w:r>
      <w:r w:rsidRPr="00EB2BD8">
        <w:rPr>
          <w:sz w:val="18"/>
        </w:rPr>
        <w:t>the</w:t>
      </w:r>
      <w:r w:rsidRPr="00EB2BD8">
        <w:rPr>
          <w:spacing w:val="-14"/>
          <w:sz w:val="18"/>
        </w:rPr>
        <w:t xml:space="preserve"> </w:t>
      </w:r>
      <w:r w:rsidRPr="00EB2BD8">
        <w:rPr>
          <w:sz w:val="18"/>
        </w:rPr>
        <w:t>provision</w:t>
      </w:r>
      <w:r w:rsidRPr="00EB2BD8">
        <w:rPr>
          <w:spacing w:val="-15"/>
          <w:sz w:val="18"/>
        </w:rPr>
        <w:t xml:space="preserve"> </w:t>
      </w:r>
      <w:r w:rsidRPr="00EB2BD8">
        <w:rPr>
          <w:sz w:val="18"/>
        </w:rPr>
        <w:t>of</w:t>
      </w:r>
      <w:r w:rsidRPr="00EB2BD8">
        <w:rPr>
          <w:spacing w:val="-14"/>
          <w:sz w:val="18"/>
        </w:rPr>
        <w:t xml:space="preserve"> </w:t>
      </w:r>
      <w:r w:rsidRPr="00EB2BD8">
        <w:rPr>
          <w:sz w:val="18"/>
        </w:rPr>
        <w:t>information and</w:t>
      </w:r>
      <w:r w:rsidRPr="00EB2BD8">
        <w:rPr>
          <w:spacing w:val="-6"/>
          <w:sz w:val="18"/>
        </w:rPr>
        <w:t xml:space="preserve"> </w:t>
      </w:r>
      <w:r w:rsidRPr="00EB2BD8">
        <w:rPr>
          <w:sz w:val="18"/>
        </w:rPr>
        <w:t>data.</w:t>
      </w:r>
    </w:p>
    <w:p w14:paraId="529B93BF" w14:textId="77777777" w:rsidR="00084F36" w:rsidRPr="00EB2BD8" w:rsidRDefault="00EB2BD8">
      <w:pPr>
        <w:pStyle w:val="ListParagraph"/>
        <w:numPr>
          <w:ilvl w:val="1"/>
          <w:numId w:val="68"/>
        </w:numPr>
        <w:tabs>
          <w:tab w:val="left" w:pos="896"/>
          <w:tab w:val="left" w:pos="917"/>
        </w:tabs>
        <w:spacing w:before="79" w:line="261" w:lineRule="auto"/>
        <w:ind w:right="857" w:hanging="277"/>
        <w:rPr>
          <w:sz w:val="18"/>
        </w:rPr>
      </w:pPr>
      <w:r w:rsidRPr="00EB2BD8">
        <w:rPr>
          <w:sz w:val="18"/>
        </w:rPr>
        <w:t>The Building Monitor will make recommendations for</w:t>
      </w:r>
      <w:r w:rsidRPr="00EB2BD8">
        <w:rPr>
          <w:spacing w:val="-13"/>
          <w:sz w:val="18"/>
        </w:rPr>
        <w:t xml:space="preserve"> </w:t>
      </w:r>
      <w:r w:rsidRPr="00EB2BD8">
        <w:rPr>
          <w:sz w:val="18"/>
        </w:rPr>
        <w:t>improvements</w:t>
      </w:r>
      <w:r w:rsidRPr="00EB2BD8">
        <w:rPr>
          <w:spacing w:val="-13"/>
          <w:sz w:val="18"/>
        </w:rPr>
        <w:t xml:space="preserve"> </w:t>
      </w:r>
      <w:r w:rsidRPr="00EB2BD8">
        <w:rPr>
          <w:sz w:val="18"/>
        </w:rPr>
        <w:t>to</w:t>
      </w:r>
      <w:r w:rsidRPr="00EB2BD8">
        <w:rPr>
          <w:spacing w:val="-13"/>
          <w:sz w:val="18"/>
        </w:rPr>
        <w:t xml:space="preserve"> </w:t>
      </w:r>
      <w:r w:rsidRPr="00EB2BD8">
        <w:rPr>
          <w:sz w:val="18"/>
        </w:rPr>
        <w:t>the</w:t>
      </w:r>
      <w:r w:rsidRPr="00EB2BD8">
        <w:rPr>
          <w:spacing w:val="-13"/>
          <w:sz w:val="18"/>
        </w:rPr>
        <w:t xml:space="preserve"> </w:t>
      </w:r>
      <w:r w:rsidRPr="00EB2BD8">
        <w:rPr>
          <w:sz w:val="18"/>
        </w:rPr>
        <w:t>regulation</w:t>
      </w:r>
      <w:r w:rsidRPr="00EB2BD8">
        <w:rPr>
          <w:spacing w:val="-13"/>
          <w:sz w:val="18"/>
        </w:rPr>
        <w:t xml:space="preserve"> </w:t>
      </w:r>
      <w:r w:rsidRPr="00EB2BD8">
        <w:rPr>
          <w:sz w:val="18"/>
        </w:rPr>
        <w:t>of</w:t>
      </w:r>
      <w:r w:rsidRPr="00EB2BD8">
        <w:rPr>
          <w:spacing w:val="-13"/>
          <w:sz w:val="18"/>
        </w:rPr>
        <w:t xml:space="preserve"> </w:t>
      </w:r>
      <w:r w:rsidRPr="00EB2BD8">
        <w:rPr>
          <w:sz w:val="18"/>
        </w:rPr>
        <w:t>the</w:t>
      </w:r>
      <w:r w:rsidRPr="00EB2BD8">
        <w:rPr>
          <w:spacing w:val="-13"/>
          <w:sz w:val="18"/>
        </w:rPr>
        <w:t xml:space="preserve"> </w:t>
      </w:r>
      <w:r w:rsidRPr="00EB2BD8">
        <w:rPr>
          <w:sz w:val="18"/>
        </w:rPr>
        <w:t>industry and the VBA expects to work collaboratively</w:t>
      </w:r>
    </w:p>
    <w:p w14:paraId="357FE6F8" w14:textId="77777777" w:rsidR="00084F36" w:rsidRPr="00EB2BD8" w:rsidRDefault="00EB2BD8">
      <w:pPr>
        <w:pStyle w:val="BodyText"/>
        <w:spacing w:line="261" w:lineRule="auto"/>
        <w:ind w:left="917" w:right="730"/>
      </w:pPr>
      <w:r w:rsidRPr="00EB2BD8">
        <w:t>with</w:t>
      </w:r>
      <w:r w:rsidRPr="00EB2BD8">
        <w:rPr>
          <w:spacing w:val="-11"/>
        </w:rPr>
        <w:t xml:space="preserve"> </w:t>
      </w:r>
      <w:r w:rsidRPr="00EB2BD8">
        <w:t>that</w:t>
      </w:r>
      <w:r w:rsidRPr="00EB2BD8">
        <w:rPr>
          <w:spacing w:val="-11"/>
        </w:rPr>
        <w:t xml:space="preserve"> </w:t>
      </w:r>
      <w:r w:rsidRPr="00EB2BD8">
        <w:t>office</w:t>
      </w:r>
      <w:r w:rsidRPr="00EB2BD8">
        <w:rPr>
          <w:spacing w:val="-11"/>
        </w:rPr>
        <w:t xml:space="preserve"> </w:t>
      </w:r>
      <w:r w:rsidRPr="00EB2BD8">
        <w:t>in</w:t>
      </w:r>
      <w:r w:rsidRPr="00EB2BD8">
        <w:rPr>
          <w:spacing w:val="-11"/>
        </w:rPr>
        <w:t xml:space="preserve"> </w:t>
      </w:r>
      <w:r w:rsidRPr="00EB2BD8">
        <w:t>identifying</w:t>
      </w:r>
      <w:r w:rsidRPr="00EB2BD8">
        <w:rPr>
          <w:spacing w:val="-11"/>
        </w:rPr>
        <w:t xml:space="preserve"> </w:t>
      </w:r>
      <w:r w:rsidRPr="00EB2BD8">
        <w:t>and</w:t>
      </w:r>
      <w:r w:rsidRPr="00EB2BD8">
        <w:rPr>
          <w:spacing w:val="-11"/>
        </w:rPr>
        <w:t xml:space="preserve"> </w:t>
      </w:r>
      <w:r w:rsidRPr="00EB2BD8">
        <w:t>implementing such</w:t>
      </w:r>
      <w:r w:rsidRPr="00EB2BD8">
        <w:rPr>
          <w:spacing w:val="-6"/>
        </w:rPr>
        <w:t xml:space="preserve"> </w:t>
      </w:r>
      <w:r w:rsidRPr="00EB2BD8">
        <w:t>reforms.</w:t>
      </w:r>
    </w:p>
    <w:p w14:paraId="06CC971B" w14:textId="77777777" w:rsidR="00084F36" w:rsidRPr="00EB2BD8" w:rsidRDefault="00EB2BD8">
      <w:pPr>
        <w:pStyle w:val="ListParagraph"/>
        <w:numPr>
          <w:ilvl w:val="0"/>
          <w:numId w:val="68"/>
        </w:numPr>
        <w:tabs>
          <w:tab w:val="left" w:pos="697"/>
        </w:tabs>
        <w:spacing w:before="95" w:line="261" w:lineRule="auto"/>
        <w:ind w:right="1074"/>
        <w:rPr>
          <w:sz w:val="18"/>
        </w:rPr>
      </w:pPr>
      <w:r w:rsidRPr="00EB2BD8">
        <w:rPr>
          <w:sz w:val="18"/>
        </w:rPr>
        <w:t>Enhances the building approvals process by introducing further safeguards to better inform consumers,</w:t>
      </w:r>
      <w:r w:rsidRPr="00EB2BD8">
        <w:rPr>
          <w:spacing w:val="-8"/>
          <w:sz w:val="18"/>
        </w:rPr>
        <w:t xml:space="preserve"> </w:t>
      </w:r>
      <w:r w:rsidRPr="00EB2BD8">
        <w:rPr>
          <w:sz w:val="18"/>
        </w:rPr>
        <w:t>in</w:t>
      </w:r>
      <w:r w:rsidRPr="00EB2BD8">
        <w:rPr>
          <w:spacing w:val="-8"/>
          <w:sz w:val="18"/>
        </w:rPr>
        <w:t xml:space="preserve"> </w:t>
      </w:r>
      <w:r w:rsidRPr="00EB2BD8">
        <w:rPr>
          <w:sz w:val="18"/>
        </w:rPr>
        <w:t>particular</w:t>
      </w:r>
      <w:r w:rsidRPr="00EB2BD8">
        <w:rPr>
          <w:spacing w:val="-8"/>
          <w:sz w:val="18"/>
        </w:rPr>
        <w:t xml:space="preserve"> </w:t>
      </w:r>
      <w:r w:rsidRPr="00EB2BD8">
        <w:rPr>
          <w:sz w:val="18"/>
        </w:rPr>
        <w:t>the</w:t>
      </w:r>
      <w:r w:rsidRPr="00EB2BD8">
        <w:rPr>
          <w:spacing w:val="-8"/>
          <w:sz w:val="18"/>
        </w:rPr>
        <w:t xml:space="preserve"> </w:t>
      </w:r>
      <w:r w:rsidRPr="00EB2BD8">
        <w:rPr>
          <w:sz w:val="18"/>
        </w:rPr>
        <w:t>creation</w:t>
      </w:r>
      <w:r w:rsidRPr="00EB2BD8">
        <w:rPr>
          <w:spacing w:val="-8"/>
          <w:sz w:val="18"/>
        </w:rPr>
        <w:t xml:space="preserve"> </w:t>
      </w:r>
      <w:r w:rsidRPr="00EB2BD8">
        <w:rPr>
          <w:sz w:val="18"/>
        </w:rPr>
        <w:t>of</w:t>
      </w:r>
      <w:r w:rsidRPr="00EB2BD8">
        <w:rPr>
          <w:spacing w:val="-8"/>
          <w:sz w:val="18"/>
        </w:rPr>
        <w:t xml:space="preserve"> </w:t>
      </w:r>
      <w:r w:rsidRPr="00EB2BD8">
        <w:rPr>
          <w:sz w:val="18"/>
        </w:rPr>
        <w:t>a</w:t>
      </w:r>
      <w:r w:rsidRPr="00EB2BD8">
        <w:rPr>
          <w:spacing w:val="-8"/>
          <w:sz w:val="18"/>
        </w:rPr>
        <w:t xml:space="preserve"> </w:t>
      </w:r>
      <w:r w:rsidRPr="00EB2BD8">
        <w:rPr>
          <w:sz w:val="18"/>
        </w:rPr>
        <w:t xml:space="preserve">building </w:t>
      </w:r>
      <w:r w:rsidRPr="00EB2BD8">
        <w:rPr>
          <w:spacing w:val="-2"/>
          <w:sz w:val="18"/>
        </w:rPr>
        <w:t>manual</w:t>
      </w:r>
    </w:p>
    <w:p w14:paraId="71CDA692" w14:textId="77777777" w:rsidR="00084F36" w:rsidRPr="00EB2BD8" w:rsidRDefault="00EB2BD8">
      <w:pPr>
        <w:pStyle w:val="ListParagraph"/>
        <w:numPr>
          <w:ilvl w:val="1"/>
          <w:numId w:val="68"/>
        </w:numPr>
        <w:tabs>
          <w:tab w:val="left" w:pos="896"/>
          <w:tab w:val="left" w:pos="917"/>
        </w:tabs>
        <w:spacing w:before="59" w:line="261" w:lineRule="auto"/>
        <w:ind w:right="889" w:hanging="277"/>
        <w:rPr>
          <w:sz w:val="18"/>
        </w:rPr>
      </w:pPr>
      <w:r w:rsidRPr="00EB2BD8">
        <w:rPr>
          <w:sz w:val="18"/>
        </w:rPr>
        <w:t>This Act introduces a requirement that a draft building manual be prepared by the applicant for an occupancy permit and provided to the</w:t>
      </w:r>
      <w:r w:rsidRPr="00EB2BD8">
        <w:rPr>
          <w:spacing w:val="40"/>
          <w:sz w:val="18"/>
        </w:rPr>
        <w:t xml:space="preserve"> </w:t>
      </w:r>
      <w:r w:rsidRPr="00EB2BD8">
        <w:rPr>
          <w:sz w:val="18"/>
        </w:rPr>
        <w:t>relevant building surveyor for approval.</w:t>
      </w:r>
    </w:p>
    <w:p w14:paraId="797C1EFB" w14:textId="77777777" w:rsidR="00084F36" w:rsidRPr="00EB2BD8" w:rsidRDefault="00EB2BD8">
      <w:pPr>
        <w:pStyle w:val="ListParagraph"/>
        <w:numPr>
          <w:ilvl w:val="1"/>
          <w:numId w:val="68"/>
        </w:numPr>
        <w:tabs>
          <w:tab w:val="left" w:pos="896"/>
          <w:tab w:val="left" w:pos="917"/>
        </w:tabs>
        <w:spacing w:before="79" w:line="261" w:lineRule="auto"/>
        <w:ind w:right="1091" w:hanging="277"/>
        <w:rPr>
          <w:sz w:val="18"/>
        </w:rPr>
      </w:pPr>
      <w:r w:rsidRPr="00EB2BD8">
        <w:rPr>
          <w:sz w:val="18"/>
        </w:rPr>
        <w:t>Building manuals are intended to be a single repository</w:t>
      </w:r>
      <w:r w:rsidRPr="00EB2BD8">
        <w:rPr>
          <w:spacing w:val="-14"/>
          <w:sz w:val="18"/>
        </w:rPr>
        <w:t xml:space="preserve"> </w:t>
      </w:r>
      <w:r w:rsidRPr="00EB2BD8">
        <w:rPr>
          <w:sz w:val="18"/>
        </w:rPr>
        <w:t>of</w:t>
      </w:r>
      <w:r w:rsidRPr="00EB2BD8">
        <w:rPr>
          <w:spacing w:val="-14"/>
          <w:sz w:val="18"/>
        </w:rPr>
        <w:t xml:space="preserve"> </w:t>
      </w:r>
      <w:r w:rsidRPr="00EB2BD8">
        <w:rPr>
          <w:sz w:val="18"/>
        </w:rPr>
        <w:t>all</w:t>
      </w:r>
      <w:r w:rsidRPr="00EB2BD8">
        <w:rPr>
          <w:spacing w:val="-14"/>
          <w:sz w:val="18"/>
        </w:rPr>
        <w:t xml:space="preserve"> </w:t>
      </w:r>
      <w:r w:rsidRPr="00EB2BD8">
        <w:rPr>
          <w:sz w:val="18"/>
        </w:rPr>
        <w:t>relevant</w:t>
      </w:r>
      <w:r w:rsidRPr="00EB2BD8">
        <w:rPr>
          <w:spacing w:val="-14"/>
          <w:sz w:val="18"/>
        </w:rPr>
        <w:t xml:space="preserve"> </w:t>
      </w:r>
      <w:r w:rsidRPr="00EB2BD8">
        <w:rPr>
          <w:sz w:val="18"/>
        </w:rPr>
        <w:t>information</w:t>
      </w:r>
      <w:r w:rsidRPr="00EB2BD8">
        <w:rPr>
          <w:spacing w:val="-14"/>
          <w:sz w:val="18"/>
        </w:rPr>
        <w:t xml:space="preserve"> </w:t>
      </w:r>
      <w:r w:rsidRPr="00EB2BD8">
        <w:rPr>
          <w:sz w:val="18"/>
        </w:rPr>
        <w:t>relating</w:t>
      </w:r>
      <w:r w:rsidRPr="00EB2BD8">
        <w:rPr>
          <w:spacing w:val="-14"/>
          <w:sz w:val="18"/>
        </w:rPr>
        <w:t xml:space="preserve"> </w:t>
      </w:r>
      <w:r w:rsidRPr="00EB2BD8">
        <w:rPr>
          <w:sz w:val="18"/>
        </w:rPr>
        <w:t>to the design, construction and ongoing maintenance of a building and will be of great benefit to industry and consumers.</w:t>
      </w:r>
    </w:p>
    <w:p w14:paraId="29BD6B69" w14:textId="77777777" w:rsidR="00084F36" w:rsidRPr="00EB2BD8" w:rsidRDefault="00EB2BD8">
      <w:pPr>
        <w:pStyle w:val="ListParagraph"/>
        <w:numPr>
          <w:ilvl w:val="0"/>
          <w:numId w:val="68"/>
        </w:numPr>
        <w:tabs>
          <w:tab w:val="left" w:pos="697"/>
        </w:tabs>
        <w:spacing w:before="104" w:line="261" w:lineRule="auto"/>
        <w:ind w:right="894"/>
        <w:rPr>
          <w:sz w:val="18"/>
        </w:rPr>
      </w:pPr>
      <w:r w:rsidRPr="00EB2BD8">
        <w:rPr>
          <w:sz w:val="18"/>
        </w:rPr>
        <w:t>Expands the categories of building practitioner that will be required to be registered</w:t>
      </w:r>
    </w:p>
    <w:p w14:paraId="62CE6818" w14:textId="77777777" w:rsidR="00084F36" w:rsidRPr="00EB2BD8" w:rsidRDefault="00EB2BD8">
      <w:pPr>
        <w:pStyle w:val="ListParagraph"/>
        <w:numPr>
          <w:ilvl w:val="1"/>
          <w:numId w:val="68"/>
        </w:numPr>
        <w:tabs>
          <w:tab w:val="left" w:pos="896"/>
          <w:tab w:val="left" w:pos="917"/>
        </w:tabs>
        <w:spacing w:before="62" w:line="261" w:lineRule="auto"/>
        <w:ind w:right="1019" w:hanging="277"/>
        <w:rPr>
          <w:sz w:val="18"/>
        </w:rPr>
      </w:pPr>
      <w:r w:rsidRPr="00EB2BD8">
        <w:rPr>
          <w:sz w:val="18"/>
        </w:rPr>
        <w:t>This</w:t>
      </w:r>
      <w:r w:rsidRPr="00EB2BD8">
        <w:rPr>
          <w:spacing w:val="-15"/>
          <w:sz w:val="18"/>
        </w:rPr>
        <w:t xml:space="preserve"> </w:t>
      </w:r>
      <w:r w:rsidRPr="00EB2BD8">
        <w:rPr>
          <w:sz w:val="18"/>
        </w:rPr>
        <w:t>Act</w:t>
      </w:r>
      <w:r w:rsidRPr="00EB2BD8">
        <w:rPr>
          <w:spacing w:val="-14"/>
          <w:sz w:val="18"/>
        </w:rPr>
        <w:t xml:space="preserve"> </w:t>
      </w:r>
      <w:r w:rsidRPr="00EB2BD8">
        <w:rPr>
          <w:sz w:val="18"/>
        </w:rPr>
        <w:t>introduces</w:t>
      </w:r>
      <w:r w:rsidRPr="00EB2BD8">
        <w:rPr>
          <w:spacing w:val="-14"/>
          <w:sz w:val="18"/>
        </w:rPr>
        <w:t xml:space="preserve"> </w:t>
      </w:r>
      <w:r w:rsidRPr="00EB2BD8">
        <w:rPr>
          <w:sz w:val="18"/>
        </w:rPr>
        <w:t>two</w:t>
      </w:r>
      <w:r w:rsidRPr="00EB2BD8">
        <w:rPr>
          <w:spacing w:val="-14"/>
          <w:sz w:val="18"/>
        </w:rPr>
        <w:t xml:space="preserve"> </w:t>
      </w:r>
      <w:r w:rsidRPr="00EB2BD8">
        <w:rPr>
          <w:sz w:val="18"/>
        </w:rPr>
        <w:t>new</w:t>
      </w:r>
      <w:r w:rsidRPr="00EB2BD8">
        <w:rPr>
          <w:spacing w:val="-15"/>
          <w:sz w:val="18"/>
        </w:rPr>
        <w:t xml:space="preserve"> </w:t>
      </w:r>
      <w:r w:rsidRPr="00EB2BD8">
        <w:rPr>
          <w:sz w:val="18"/>
        </w:rPr>
        <w:t>registration</w:t>
      </w:r>
      <w:r w:rsidRPr="00EB2BD8">
        <w:rPr>
          <w:spacing w:val="-14"/>
          <w:sz w:val="18"/>
        </w:rPr>
        <w:t xml:space="preserve"> </w:t>
      </w:r>
      <w:r w:rsidRPr="00EB2BD8">
        <w:rPr>
          <w:sz w:val="18"/>
        </w:rPr>
        <w:t>classes: Site Supervisor and Building Consultant and changes the name of two existing classes to Project Manager and Building Designer.</w:t>
      </w:r>
    </w:p>
    <w:p w14:paraId="237C4F77" w14:textId="77777777" w:rsidR="00084F36" w:rsidRPr="00EB2BD8" w:rsidRDefault="00EB2BD8">
      <w:pPr>
        <w:pStyle w:val="ListParagraph"/>
        <w:numPr>
          <w:ilvl w:val="1"/>
          <w:numId w:val="68"/>
        </w:numPr>
        <w:tabs>
          <w:tab w:val="left" w:pos="896"/>
          <w:tab w:val="left" w:pos="917"/>
        </w:tabs>
        <w:spacing w:before="79" w:line="261" w:lineRule="auto"/>
        <w:ind w:right="1125" w:hanging="277"/>
        <w:rPr>
          <w:sz w:val="18"/>
        </w:rPr>
      </w:pPr>
      <w:r w:rsidRPr="00EB2BD8">
        <w:rPr>
          <w:sz w:val="18"/>
        </w:rPr>
        <w:t>This will expand the building practitioner registration</w:t>
      </w:r>
      <w:r w:rsidRPr="00EB2BD8">
        <w:rPr>
          <w:spacing w:val="-2"/>
          <w:sz w:val="18"/>
        </w:rPr>
        <w:t xml:space="preserve"> </w:t>
      </w:r>
      <w:r w:rsidRPr="00EB2BD8">
        <w:rPr>
          <w:sz w:val="18"/>
        </w:rPr>
        <w:t>system</w:t>
      </w:r>
      <w:r w:rsidRPr="00EB2BD8">
        <w:rPr>
          <w:spacing w:val="-2"/>
          <w:sz w:val="18"/>
        </w:rPr>
        <w:t xml:space="preserve"> </w:t>
      </w:r>
      <w:r w:rsidRPr="00EB2BD8">
        <w:rPr>
          <w:sz w:val="18"/>
        </w:rPr>
        <w:t>to</w:t>
      </w:r>
      <w:r w:rsidRPr="00EB2BD8">
        <w:rPr>
          <w:spacing w:val="-2"/>
          <w:sz w:val="18"/>
        </w:rPr>
        <w:t xml:space="preserve"> </w:t>
      </w:r>
      <w:r w:rsidRPr="00EB2BD8">
        <w:rPr>
          <w:sz w:val="18"/>
        </w:rPr>
        <w:t>achieve</w:t>
      </w:r>
      <w:r w:rsidRPr="00EB2BD8">
        <w:rPr>
          <w:spacing w:val="-2"/>
          <w:sz w:val="18"/>
        </w:rPr>
        <w:t xml:space="preserve"> </w:t>
      </w:r>
      <w:r w:rsidRPr="00EB2BD8">
        <w:rPr>
          <w:sz w:val="18"/>
        </w:rPr>
        <w:t>greater</w:t>
      </w:r>
      <w:r w:rsidRPr="00EB2BD8">
        <w:rPr>
          <w:spacing w:val="-2"/>
          <w:sz w:val="18"/>
        </w:rPr>
        <w:t xml:space="preserve"> </w:t>
      </w:r>
      <w:r w:rsidRPr="00EB2BD8">
        <w:rPr>
          <w:sz w:val="18"/>
        </w:rPr>
        <w:t>national consistency and improve compliance with national building standards, while facilitating national labour mobility.</w:t>
      </w:r>
    </w:p>
    <w:p w14:paraId="73014D89" w14:textId="77777777" w:rsidR="00084F36" w:rsidRPr="00EB2BD8" w:rsidRDefault="00EB2BD8">
      <w:pPr>
        <w:pStyle w:val="ListParagraph"/>
        <w:numPr>
          <w:ilvl w:val="1"/>
          <w:numId w:val="68"/>
        </w:numPr>
        <w:tabs>
          <w:tab w:val="left" w:pos="896"/>
          <w:tab w:val="left" w:pos="917"/>
        </w:tabs>
        <w:spacing w:before="78" w:line="261" w:lineRule="auto"/>
        <w:ind w:right="880" w:hanging="277"/>
        <w:rPr>
          <w:sz w:val="18"/>
        </w:rPr>
      </w:pPr>
      <w:r w:rsidRPr="00EB2BD8">
        <w:rPr>
          <w:sz w:val="18"/>
        </w:rPr>
        <w:t>This VBA will work with industry to ensure the relevant practitioners and impacted companies are familiar with any new registration requirements</w:t>
      </w:r>
      <w:r w:rsidRPr="00EB2BD8">
        <w:rPr>
          <w:spacing w:val="-7"/>
          <w:sz w:val="18"/>
        </w:rPr>
        <w:t xml:space="preserve"> </w:t>
      </w:r>
      <w:r w:rsidRPr="00EB2BD8">
        <w:rPr>
          <w:sz w:val="18"/>
        </w:rPr>
        <w:t>and</w:t>
      </w:r>
      <w:r w:rsidRPr="00EB2BD8">
        <w:rPr>
          <w:spacing w:val="-7"/>
          <w:sz w:val="18"/>
        </w:rPr>
        <w:t xml:space="preserve"> </w:t>
      </w:r>
      <w:r w:rsidRPr="00EB2BD8">
        <w:rPr>
          <w:sz w:val="18"/>
        </w:rPr>
        <w:t>their</w:t>
      </w:r>
      <w:r w:rsidRPr="00EB2BD8">
        <w:rPr>
          <w:spacing w:val="-7"/>
          <w:sz w:val="18"/>
        </w:rPr>
        <w:t xml:space="preserve"> </w:t>
      </w:r>
      <w:r w:rsidRPr="00EB2BD8">
        <w:rPr>
          <w:sz w:val="18"/>
        </w:rPr>
        <w:t>obligations.</w:t>
      </w:r>
      <w:r w:rsidRPr="00EB2BD8">
        <w:rPr>
          <w:spacing w:val="-7"/>
          <w:sz w:val="18"/>
        </w:rPr>
        <w:t xml:space="preserve"> </w:t>
      </w:r>
      <w:r w:rsidRPr="00EB2BD8">
        <w:rPr>
          <w:sz w:val="18"/>
        </w:rPr>
        <w:t>Concurrently, the</w:t>
      </w:r>
      <w:r w:rsidRPr="00EB2BD8">
        <w:rPr>
          <w:spacing w:val="-6"/>
          <w:sz w:val="18"/>
        </w:rPr>
        <w:t xml:space="preserve"> </w:t>
      </w:r>
      <w:r w:rsidRPr="00EB2BD8">
        <w:rPr>
          <w:sz w:val="18"/>
        </w:rPr>
        <w:t>VBA</w:t>
      </w:r>
      <w:r w:rsidRPr="00EB2BD8">
        <w:rPr>
          <w:spacing w:val="-6"/>
          <w:sz w:val="18"/>
        </w:rPr>
        <w:t xml:space="preserve"> </w:t>
      </w:r>
      <w:r w:rsidRPr="00EB2BD8">
        <w:rPr>
          <w:sz w:val="18"/>
        </w:rPr>
        <w:t>will</w:t>
      </w:r>
      <w:r w:rsidRPr="00EB2BD8">
        <w:rPr>
          <w:spacing w:val="-6"/>
          <w:sz w:val="18"/>
        </w:rPr>
        <w:t xml:space="preserve"> </w:t>
      </w:r>
      <w:r w:rsidRPr="00EB2BD8">
        <w:rPr>
          <w:sz w:val="18"/>
        </w:rPr>
        <w:t>ensure</w:t>
      </w:r>
      <w:r w:rsidRPr="00EB2BD8">
        <w:rPr>
          <w:spacing w:val="-6"/>
          <w:sz w:val="18"/>
        </w:rPr>
        <w:t xml:space="preserve"> </w:t>
      </w:r>
      <w:r w:rsidRPr="00EB2BD8">
        <w:rPr>
          <w:sz w:val="18"/>
        </w:rPr>
        <w:t>consumers</w:t>
      </w:r>
      <w:r w:rsidRPr="00EB2BD8">
        <w:rPr>
          <w:spacing w:val="-6"/>
          <w:sz w:val="18"/>
        </w:rPr>
        <w:t xml:space="preserve"> </w:t>
      </w:r>
      <w:r w:rsidRPr="00EB2BD8">
        <w:rPr>
          <w:sz w:val="18"/>
        </w:rPr>
        <w:t>are</w:t>
      </w:r>
      <w:r w:rsidRPr="00EB2BD8">
        <w:rPr>
          <w:spacing w:val="-6"/>
          <w:sz w:val="18"/>
        </w:rPr>
        <w:t xml:space="preserve"> </w:t>
      </w:r>
      <w:r w:rsidRPr="00EB2BD8">
        <w:rPr>
          <w:sz w:val="18"/>
        </w:rPr>
        <w:t>aware</w:t>
      </w:r>
      <w:r w:rsidRPr="00EB2BD8">
        <w:rPr>
          <w:spacing w:val="-6"/>
          <w:sz w:val="18"/>
        </w:rPr>
        <w:t xml:space="preserve"> </w:t>
      </w:r>
      <w:r w:rsidRPr="00EB2BD8">
        <w:rPr>
          <w:sz w:val="18"/>
        </w:rPr>
        <w:t>of</w:t>
      </w:r>
      <w:r w:rsidRPr="00EB2BD8">
        <w:rPr>
          <w:spacing w:val="-6"/>
          <w:sz w:val="18"/>
        </w:rPr>
        <w:t xml:space="preserve"> </w:t>
      </w:r>
      <w:r w:rsidRPr="00EB2BD8">
        <w:rPr>
          <w:sz w:val="18"/>
        </w:rPr>
        <w:t>these changes and their impacts.</w:t>
      </w:r>
    </w:p>
    <w:p w14:paraId="140881A6" w14:textId="77777777" w:rsidR="00084F36" w:rsidRPr="00EB2BD8" w:rsidRDefault="00EB2BD8">
      <w:pPr>
        <w:pStyle w:val="BodyText"/>
        <w:spacing w:before="107" w:line="261" w:lineRule="auto"/>
        <w:ind w:left="414" w:right="845"/>
      </w:pPr>
      <w:r w:rsidRPr="00EB2BD8">
        <w:t>The</w:t>
      </w:r>
      <w:r w:rsidRPr="00EB2BD8">
        <w:rPr>
          <w:spacing w:val="-8"/>
        </w:rPr>
        <w:t xml:space="preserve"> </w:t>
      </w:r>
      <w:r w:rsidRPr="00EB2BD8">
        <w:t>VBA</w:t>
      </w:r>
      <w:r w:rsidRPr="00EB2BD8">
        <w:rPr>
          <w:spacing w:val="-8"/>
        </w:rPr>
        <w:t xml:space="preserve"> </w:t>
      </w:r>
      <w:r w:rsidRPr="00EB2BD8">
        <w:t>is</w:t>
      </w:r>
      <w:r w:rsidRPr="00EB2BD8">
        <w:rPr>
          <w:spacing w:val="-8"/>
        </w:rPr>
        <w:t xml:space="preserve"> </w:t>
      </w:r>
      <w:r w:rsidRPr="00EB2BD8">
        <w:t>committed</w:t>
      </w:r>
      <w:r w:rsidRPr="00EB2BD8">
        <w:rPr>
          <w:spacing w:val="-8"/>
        </w:rPr>
        <w:t xml:space="preserve"> </w:t>
      </w:r>
      <w:r w:rsidRPr="00EB2BD8">
        <w:t>to</w:t>
      </w:r>
      <w:r w:rsidRPr="00EB2BD8">
        <w:rPr>
          <w:spacing w:val="-8"/>
        </w:rPr>
        <w:t xml:space="preserve"> </w:t>
      </w:r>
      <w:r w:rsidRPr="00EB2BD8">
        <w:t>the</w:t>
      </w:r>
      <w:r w:rsidRPr="00EB2BD8">
        <w:rPr>
          <w:spacing w:val="-8"/>
        </w:rPr>
        <w:t xml:space="preserve"> </w:t>
      </w:r>
      <w:r w:rsidRPr="00EB2BD8">
        <w:t>successful</w:t>
      </w:r>
      <w:r w:rsidRPr="00EB2BD8">
        <w:rPr>
          <w:spacing w:val="-8"/>
        </w:rPr>
        <w:t xml:space="preserve"> </w:t>
      </w:r>
      <w:r w:rsidRPr="00EB2BD8">
        <w:t>implementation of these provisions and work is underway to plan how these provisions will be adopted.</w:t>
      </w:r>
    </w:p>
    <w:p w14:paraId="256280F8" w14:textId="77777777" w:rsidR="00084F36" w:rsidRPr="00EB2BD8" w:rsidRDefault="00084F36">
      <w:pPr>
        <w:spacing w:line="261" w:lineRule="auto"/>
        <w:sectPr w:rsidR="00084F36" w:rsidRPr="00EB2BD8" w:rsidSect="006D75B2">
          <w:type w:val="continuous"/>
          <w:pgSz w:w="11910" w:h="16840"/>
          <w:pgMar w:top="1920" w:right="0" w:bottom="280" w:left="0" w:header="0" w:footer="528" w:gutter="0"/>
          <w:cols w:num="2" w:space="720" w:equalWidth="0">
            <w:col w:w="5726" w:space="40"/>
            <w:col w:w="6144"/>
          </w:cols>
        </w:sectPr>
      </w:pPr>
    </w:p>
    <w:p w14:paraId="4EFA5E65" w14:textId="77777777" w:rsidR="00084F36" w:rsidRPr="00EB2BD8" w:rsidRDefault="00084F36">
      <w:pPr>
        <w:pStyle w:val="BodyText"/>
        <w:rPr>
          <w:sz w:val="20"/>
        </w:rPr>
      </w:pPr>
    </w:p>
    <w:p w14:paraId="76041A49" w14:textId="77777777" w:rsidR="00084F36" w:rsidRPr="00EB2BD8" w:rsidRDefault="00084F36">
      <w:pPr>
        <w:pStyle w:val="BodyText"/>
        <w:rPr>
          <w:sz w:val="20"/>
        </w:rPr>
      </w:pPr>
    </w:p>
    <w:p w14:paraId="16715B4F" w14:textId="77777777" w:rsidR="00084F36" w:rsidRPr="00EB2BD8" w:rsidRDefault="00084F36">
      <w:pPr>
        <w:pStyle w:val="BodyText"/>
        <w:rPr>
          <w:sz w:val="20"/>
        </w:rPr>
      </w:pPr>
    </w:p>
    <w:p w14:paraId="15C891AF" w14:textId="77777777" w:rsidR="00084F36" w:rsidRPr="00EB2BD8" w:rsidRDefault="00084F36">
      <w:pPr>
        <w:pStyle w:val="BodyText"/>
        <w:rPr>
          <w:sz w:val="20"/>
        </w:rPr>
      </w:pPr>
    </w:p>
    <w:p w14:paraId="4A89B1F4" w14:textId="77777777" w:rsidR="00084F36" w:rsidRPr="00EB2BD8" w:rsidRDefault="00084F36">
      <w:pPr>
        <w:pStyle w:val="BodyText"/>
        <w:spacing w:before="6"/>
        <w:rPr>
          <w:sz w:val="15"/>
        </w:rPr>
      </w:pPr>
    </w:p>
    <w:p w14:paraId="1F7CAD24" w14:textId="77777777" w:rsidR="00084F36" w:rsidRPr="00EB2BD8" w:rsidRDefault="00084F36">
      <w:pPr>
        <w:rPr>
          <w:sz w:val="15"/>
        </w:rPr>
        <w:sectPr w:rsidR="00084F36" w:rsidRPr="00EB2BD8" w:rsidSect="006D75B2">
          <w:footerReference w:type="default" r:id="rId61"/>
          <w:pgSz w:w="11910" w:h="16840"/>
          <w:pgMar w:top="1080" w:right="0" w:bottom="720" w:left="0" w:header="0" w:footer="528" w:gutter="0"/>
          <w:cols w:space="720"/>
        </w:sectPr>
      </w:pPr>
    </w:p>
    <w:p w14:paraId="0D0B0D35" w14:textId="77777777" w:rsidR="00084F36" w:rsidRPr="00EB2BD8" w:rsidRDefault="00EB2BD8" w:rsidP="001975DF">
      <w:pPr>
        <w:pStyle w:val="Heading2"/>
      </w:pPr>
      <w:bookmarkStart w:id="68" w:name="_Toc150762370"/>
      <w:r w:rsidRPr="00EB2BD8">
        <w:t>Practitioner</w:t>
      </w:r>
      <w:r w:rsidRPr="00EB2BD8">
        <w:rPr>
          <w:spacing w:val="-20"/>
        </w:rPr>
        <w:t xml:space="preserve"> </w:t>
      </w:r>
      <w:r w:rsidRPr="00EB2BD8">
        <w:t>Education</w:t>
      </w:r>
      <w:r w:rsidRPr="00EB2BD8">
        <w:rPr>
          <w:spacing w:val="-20"/>
        </w:rPr>
        <w:t xml:space="preserve"> </w:t>
      </w:r>
      <w:r w:rsidRPr="00EB2BD8">
        <w:t>Series</w:t>
      </w:r>
      <w:bookmarkEnd w:id="68"/>
    </w:p>
    <w:p w14:paraId="7C065688" w14:textId="77777777" w:rsidR="00084F36" w:rsidRPr="00EB2BD8" w:rsidRDefault="00EB2BD8">
      <w:pPr>
        <w:pStyle w:val="BodyText"/>
        <w:spacing w:before="129" w:line="261" w:lineRule="auto"/>
        <w:ind w:left="850" w:right="185"/>
      </w:pPr>
      <w:r w:rsidRPr="00EB2BD8">
        <w:t>The Practitioner Education Series webinars hosted by VBA technical and subject matter experts continued to</w:t>
      </w:r>
      <w:r w:rsidRPr="00EB2BD8">
        <w:rPr>
          <w:spacing w:val="-3"/>
        </w:rPr>
        <w:t xml:space="preserve"> </w:t>
      </w:r>
      <w:r w:rsidRPr="00EB2BD8">
        <w:t>prove</w:t>
      </w:r>
      <w:r w:rsidRPr="00EB2BD8">
        <w:rPr>
          <w:spacing w:val="-3"/>
        </w:rPr>
        <w:t xml:space="preserve"> </w:t>
      </w:r>
      <w:r w:rsidRPr="00EB2BD8">
        <w:t>popular</w:t>
      </w:r>
      <w:r w:rsidRPr="00EB2BD8">
        <w:rPr>
          <w:spacing w:val="-3"/>
        </w:rPr>
        <w:t xml:space="preserve"> </w:t>
      </w:r>
      <w:r w:rsidRPr="00EB2BD8">
        <w:t>this</w:t>
      </w:r>
      <w:r w:rsidRPr="00EB2BD8">
        <w:rPr>
          <w:spacing w:val="-3"/>
        </w:rPr>
        <w:t xml:space="preserve"> </w:t>
      </w:r>
      <w:r w:rsidRPr="00EB2BD8">
        <w:t>year,</w:t>
      </w:r>
      <w:r w:rsidRPr="00EB2BD8">
        <w:rPr>
          <w:spacing w:val="-3"/>
        </w:rPr>
        <w:t xml:space="preserve"> </w:t>
      </w:r>
      <w:r w:rsidRPr="00EB2BD8">
        <w:t>with</w:t>
      </w:r>
      <w:r w:rsidRPr="00EB2BD8">
        <w:rPr>
          <w:spacing w:val="-3"/>
        </w:rPr>
        <w:t xml:space="preserve"> </w:t>
      </w:r>
      <w:r w:rsidRPr="00EB2BD8">
        <w:t>more</w:t>
      </w:r>
      <w:r w:rsidRPr="00EB2BD8">
        <w:rPr>
          <w:spacing w:val="-3"/>
        </w:rPr>
        <w:t xml:space="preserve"> </w:t>
      </w:r>
      <w:r w:rsidRPr="00EB2BD8">
        <w:t>than</w:t>
      </w:r>
      <w:r w:rsidRPr="00EB2BD8">
        <w:rPr>
          <w:spacing w:val="-3"/>
        </w:rPr>
        <w:t xml:space="preserve"> </w:t>
      </w:r>
      <w:r w:rsidRPr="00EB2BD8">
        <w:t>11,000 participants</w:t>
      </w:r>
      <w:r w:rsidRPr="00EB2BD8">
        <w:rPr>
          <w:spacing w:val="-9"/>
        </w:rPr>
        <w:t xml:space="preserve"> </w:t>
      </w:r>
      <w:r w:rsidRPr="00EB2BD8">
        <w:t>attending</w:t>
      </w:r>
      <w:r w:rsidRPr="00EB2BD8">
        <w:rPr>
          <w:spacing w:val="-9"/>
        </w:rPr>
        <w:t xml:space="preserve"> </w:t>
      </w:r>
      <w:r w:rsidRPr="00EB2BD8">
        <w:rPr>
          <w:w w:val="95"/>
        </w:rPr>
        <w:t>11</w:t>
      </w:r>
      <w:r w:rsidRPr="00EB2BD8">
        <w:rPr>
          <w:spacing w:val="-6"/>
          <w:w w:val="95"/>
        </w:rPr>
        <w:t xml:space="preserve"> </w:t>
      </w:r>
      <w:r w:rsidRPr="00EB2BD8">
        <w:t>webinars,</w:t>
      </w:r>
      <w:r w:rsidRPr="00EB2BD8">
        <w:rPr>
          <w:spacing w:val="-9"/>
        </w:rPr>
        <w:t xml:space="preserve"> </w:t>
      </w:r>
      <w:r w:rsidRPr="00EB2BD8">
        <w:t>representing</w:t>
      </w:r>
      <w:r w:rsidRPr="00EB2BD8">
        <w:rPr>
          <w:spacing w:val="-9"/>
        </w:rPr>
        <w:t xml:space="preserve"> </w:t>
      </w:r>
      <w:r w:rsidRPr="00EB2BD8">
        <w:t>a</w:t>
      </w:r>
      <w:r w:rsidRPr="00EB2BD8">
        <w:rPr>
          <w:spacing w:val="-9"/>
        </w:rPr>
        <w:t xml:space="preserve"> </w:t>
      </w:r>
      <w:r w:rsidRPr="00EB2BD8">
        <w:t xml:space="preserve">67 per cent increase in attendance compared to a year </w:t>
      </w:r>
      <w:r w:rsidRPr="00EB2BD8">
        <w:rPr>
          <w:spacing w:val="-4"/>
        </w:rPr>
        <w:t>ago.</w:t>
      </w:r>
    </w:p>
    <w:p w14:paraId="1A32AD06" w14:textId="77777777" w:rsidR="00084F36" w:rsidRPr="00EB2BD8" w:rsidRDefault="00EB2BD8">
      <w:pPr>
        <w:pStyle w:val="BodyText"/>
        <w:spacing w:before="107" w:line="261" w:lineRule="auto"/>
        <w:ind w:left="850" w:right="14"/>
      </w:pPr>
      <w:r w:rsidRPr="00EB2BD8">
        <w:t>The</w:t>
      </w:r>
      <w:r w:rsidRPr="00EB2BD8">
        <w:rPr>
          <w:spacing w:val="-4"/>
        </w:rPr>
        <w:t xml:space="preserve"> </w:t>
      </w:r>
      <w:r w:rsidRPr="00EB2BD8">
        <w:t>webinars</w:t>
      </w:r>
      <w:r w:rsidRPr="00EB2BD8">
        <w:rPr>
          <w:spacing w:val="-4"/>
        </w:rPr>
        <w:t xml:space="preserve"> </w:t>
      </w:r>
      <w:r w:rsidRPr="00EB2BD8">
        <w:t>supported</w:t>
      </w:r>
      <w:r w:rsidRPr="00EB2BD8">
        <w:rPr>
          <w:spacing w:val="-4"/>
        </w:rPr>
        <w:t xml:space="preserve"> </w:t>
      </w:r>
      <w:r w:rsidRPr="00EB2BD8">
        <w:t>industry</w:t>
      </w:r>
      <w:r w:rsidRPr="00EB2BD8">
        <w:rPr>
          <w:spacing w:val="-4"/>
        </w:rPr>
        <w:t xml:space="preserve"> </w:t>
      </w:r>
      <w:r w:rsidRPr="00EB2BD8">
        <w:t>by</w:t>
      </w:r>
      <w:r w:rsidRPr="00EB2BD8">
        <w:rPr>
          <w:spacing w:val="-4"/>
        </w:rPr>
        <w:t xml:space="preserve"> </w:t>
      </w:r>
      <w:r w:rsidRPr="00EB2BD8">
        <w:t>providing</w:t>
      </w:r>
      <w:r w:rsidRPr="00EB2BD8">
        <w:rPr>
          <w:spacing w:val="-4"/>
        </w:rPr>
        <w:t xml:space="preserve"> </w:t>
      </w:r>
      <w:r w:rsidRPr="00EB2BD8">
        <w:t>practical insights, evidence-based strategies and useful resources, with a particular focus on emerging risks and topics related to the adoption of NCC 2022.</w:t>
      </w:r>
    </w:p>
    <w:p w14:paraId="25247E59" w14:textId="77777777" w:rsidR="00084F36" w:rsidRPr="00EB2BD8" w:rsidRDefault="00EB2BD8">
      <w:pPr>
        <w:pStyle w:val="BodyText"/>
        <w:spacing w:before="109" w:line="261" w:lineRule="auto"/>
        <w:ind w:left="850" w:right="447"/>
      </w:pPr>
      <w:r w:rsidRPr="00EB2BD8">
        <w:t>Survey data obtained by the VBA following the</w:t>
      </w:r>
      <w:r w:rsidRPr="00EB2BD8">
        <w:rPr>
          <w:spacing w:val="40"/>
        </w:rPr>
        <w:t xml:space="preserve"> </w:t>
      </w:r>
      <w:r w:rsidRPr="00EB2BD8">
        <w:t>first</w:t>
      </w:r>
      <w:r w:rsidRPr="00EB2BD8">
        <w:rPr>
          <w:spacing w:val="-15"/>
        </w:rPr>
        <w:t xml:space="preserve"> </w:t>
      </w:r>
      <w:r w:rsidRPr="00EB2BD8">
        <w:t>five</w:t>
      </w:r>
      <w:r w:rsidRPr="00EB2BD8">
        <w:rPr>
          <w:spacing w:val="-14"/>
        </w:rPr>
        <w:t xml:space="preserve"> </w:t>
      </w:r>
      <w:r w:rsidRPr="00EB2BD8">
        <w:t>webinars</w:t>
      </w:r>
      <w:r w:rsidRPr="00EB2BD8">
        <w:rPr>
          <w:spacing w:val="-14"/>
        </w:rPr>
        <w:t xml:space="preserve"> </w:t>
      </w:r>
      <w:r w:rsidRPr="00EB2BD8">
        <w:t>in</w:t>
      </w:r>
      <w:r w:rsidRPr="00EB2BD8">
        <w:rPr>
          <w:spacing w:val="-14"/>
        </w:rPr>
        <w:t xml:space="preserve"> </w:t>
      </w:r>
      <w:r w:rsidRPr="00EB2BD8">
        <w:t>2023</w:t>
      </w:r>
      <w:r w:rsidRPr="00EB2BD8">
        <w:rPr>
          <w:spacing w:val="-15"/>
        </w:rPr>
        <w:t xml:space="preserve"> </w:t>
      </w:r>
      <w:r w:rsidRPr="00EB2BD8">
        <w:t>found</w:t>
      </w:r>
      <w:r w:rsidRPr="00EB2BD8">
        <w:rPr>
          <w:spacing w:val="-14"/>
        </w:rPr>
        <w:t xml:space="preserve"> </w:t>
      </w:r>
      <w:r w:rsidRPr="00EB2BD8">
        <w:t>that</w:t>
      </w:r>
      <w:r w:rsidRPr="00EB2BD8">
        <w:rPr>
          <w:spacing w:val="-14"/>
        </w:rPr>
        <w:t xml:space="preserve"> </w:t>
      </w:r>
      <w:r w:rsidRPr="00EB2BD8">
        <w:t>89</w:t>
      </w:r>
      <w:r w:rsidRPr="00EB2BD8">
        <w:rPr>
          <w:spacing w:val="-14"/>
        </w:rPr>
        <w:t xml:space="preserve"> </w:t>
      </w:r>
      <w:r w:rsidRPr="00EB2BD8">
        <w:t>per</w:t>
      </w:r>
      <w:r w:rsidRPr="00EB2BD8">
        <w:rPr>
          <w:spacing w:val="-15"/>
        </w:rPr>
        <w:t xml:space="preserve"> </w:t>
      </w:r>
      <w:r w:rsidRPr="00EB2BD8">
        <w:t>cent</w:t>
      </w:r>
      <w:r w:rsidRPr="00EB2BD8">
        <w:rPr>
          <w:spacing w:val="-14"/>
        </w:rPr>
        <w:t xml:space="preserve"> </w:t>
      </w:r>
      <w:r w:rsidRPr="00EB2BD8">
        <w:t>of attendees would join a webinar again, 82 per cent</w:t>
      </w:r>
    </w:p>
    <w:p w14:paraId="040FD488" w14:textId="77777777" w:rsidR="00084F36" w:rsidRPr="00EB2BD8" w:rsidRDefault="00EB2BD8">
      <w:pPr>
        <w:pStyle w:val="BodyText"/>
        <w:spacing w:line="261" w:lineRule="auto"/>
        <w:ind w:left="850" w:right="80"/>
      </w:pPr>
      <w:r w:rsidRPr="00EB2BD8">
        <w:t>were satisfied with the content presented and 83 per cent advised that the depth and relevance of the webinar was sufficient. The VBA continued to receive feedback</w:t>
      </w:r>
      <w:r w:rsidRPr="00EB2BD8">
        <w:rPr>
          <w:spacing w:val="-6"/>
        </w:rPr>
        <w:t xml:space="preserve"> </w:t>
      </w:r>
      <w:r w:rsidRPr="00EB2BD8">
        <w:t>about</w:t>
      </w:r>
      <w:r w:rsidRPr="00EB2BD8">
        <w:rPr>
          <w:spacing w:val="-6"/>
        </w:rPr>
        <w:t xml:space="preserve"> </w:t>
      </w:r>
      <w:r w:rsidRPr="00EB2BD8">
        <w:t>its</w:t>
      </w:r>
      <w:r w:rsidRPr="00EB2BD8">
        <w:rPr>
          <w:spacing w:val="-6"/>
        </w:rPr>
        <w:t xml:space="preserve"> </w:t>
      </w:r>
      <w:r w:rsidRPr="00EB2BD8">
        <w:t>webinar</w:t>
      </w:r>
      <w:r w:rsidRPr="00EB2BD8">
        <w:rPr>
          <w:spacing w:val="-6"/>
        </w:rPr>
        <w:t xml:space="preserve"> </w:t>
      </w:r>
      <w:r w:rsidRPr="00EB2BD8">
        <w:t>series</w:t>
      </w:r>
      <w:r w:rsidRPr="00EB2BD8">
        <w:rPr>
          <w:spacing w:val="-6"/>
        </w:rPr>
        <w:t xml:space="preserve"> </w:t>
      </w:r>
      <w:r w:rsidRPr="00EB2BD8">
        <w:t>throughout</w:t>
      </w:r>
      <w:r w:rsidRPr="00EB2BD8">
        <w:rPr>
          <w:spacing w:val="-6"/>
        </w:rPr>
        <w:t xml:space="preserve"> </w:t>
      </w:r>
      <w:r w:rsidRPr="00EB2BD8">
        <w:t>the</w:t>
      </w:r>
      <w:r w:rsidRPr="00EB2BD8">
        <w:rPr>
          <w:spacing w:val="-6"/>
        </w:rPr>
        <w:t xml:space="preserve"> </w:t>
      </w:r>
      <w:r w:rsidRPr="00EB2BD8">
        <w:t xml:space="preserve">year, including topics practitioners were interested to learn more about. This feedback was incorporated into the planning of future webinars. To supplement the live webinar, recordings are available on the </w:t>
      </w:r>
      <w:hyperlink r:id="rId62">
        <w:r w:rsidRPr="00EB2BD8">
          <w:t>VBA website</w:t>
        </w:r>
      </w:hyperlink>
      <w:r w:rsidRPr="00EB2BD8">
        <w:t xml:space="preserve"> (vba.vic.gov.au/building/PES-previous-sessions)</w:t>
      </w:r>
      <w:r w:rsidRPr="00EB2BD8">
        <w:rPr>
          <w:spacing w:val="-6"/>
        </w:rPr>
        <w:t xml:space="preserve"> </w:t>
      </w:r>
      <w:r w:rsidRPr="00EB2BD8">
        <w:t>and VBA YouTube channel. A question-and-answer fact sheet was also developed and shared with attendees, which</w:t>
      </w:r>
      <w:r w:rsidRPr="00EB2BD8">
        <w:rPr>
          <w:spacing w:val="-14"/>
        </w:rPr>
        <w:t xml:space="preserve"> </w:t>
      </w:r>
      <w:r w:rsidRPr="00EB2BD8">
        <w:t>addressed</w:t>
      </w:r>
      <w:r w:rsidRPr="00EB2BD8">
        <w:rPr>
          <w:spacing w:val="-14"/>
        </w:rPr>
        <w:t xml:space="preserve"> </w:t>
      </w:r>
      <w:r w:rsidRPr="00EB2BD8">
        <w:t>their</w:t>
      </w:r>
      <w:r w:rsidRPr="00EB2BD8">
        <w:rPr>
          <w:spacing w:val="-14"/>
        </w:rPr>
        <w:t xml:space="preserve"> </w:t>
      </w:r>
      <w:r w:rsidRPr="00EB2BD8">
        <w:t>key</w:t>
      </w:r>
      <w:r w:rsidRPr="00EB2BD8">
        <w:rPr>
          <w:spacing w:val="-14"/>
        </w:rPr>
        <w:t xml:space="preserve"> </w:t>
      </w:r>
      <w:r w:rsidRPr="00EB2BD8">
        <w:t>questions</w:t>
      </w:r>
      <w:r w:rsidRPr="00EB2BD8">
        <w:rPr>
          <w:spacing w:val="-14"/>
        </w:rPr>
        <w:t xml:space="preserve"> </w:t>
      </w:r>
      <w:r w:rsidRPr="00EB2BD8">
        <w:t>from</w:t>
      </w:r>
      <w:r w:rsidRPr="00EB2BD8">
        <w:rPr>
          <w:spacing w:val="-14"/>
        </w:rPr>
        <w:t xml:space="preserve"> </w:t>
      </w:r>
      <w:r w:rsidRPr="00EB2BD8">
        <w:t>the</w:t>
      </w:r>
      <w:r w:rsidRPr="00EB2BD8">
        <w:rPr>
          <w:spacing w:val="-14"/>
        </w:rPr>
        <w:t xml:space="preserve"> </w:t>
      </w:r>
      <w:r w:rsidRPr="00EB2BD8">
        <w:t>sessions.</w:t>
      </w:r>
    </w:p>
    <w:p w14:paraId="6E5921B9" w14:textId="77777777" w:rsidR="00084F36" w:rsidRPr="00EB2BD8" w:rsidRDefault="00EB2BD8">
      <w:pPr>
        <w:pStyle w:val="BodyText"/>
        <w:spacing w:before="98" w:line="261" w:lineRule="auto"/>
        <w:ind w:left="850" w:right="121"/>
      </w:pPr>
      <w:r w:rsidRPr="00EB2BD8">
        <w:t>As an effective connector between practitioners and industry, the VBA welcomed the opportunity to revise the Terms of Reference for the Education Resources Working Groups (Building and Plumbing). This</w:t>
      </w:r>
      <w:r w:rsidRPr="00EB2BD8">
        <w:rPr>
          <w:spacing w:val="40"/>
        </w:rPr>
        <w:t xml:space="preserve"> </w:t>
      </w:r>
      <w:r w:rsidRPr="00EB2BD8">
        <w:t>ensured</w:t>
      </w:r>
      <w:r w:rsidRPr="00EB2BD8">
        <w:rPr>
          <w:spacing w:val="-6"/>
        </w:rPr>
        <w:t xml:space="preserve"> </w:t>
      </w:r>
      <w:r w:rsidRPr="00EB2BD8">
        <w:t>industry</w:t>
      </w:r>
      <w:r w:rsidRPr="00EB2BD8">
        <w:rPr>
          <w:spacing w:val="-6"/>
        </w:rPr>
        <w:t xml:space="preserve"> </w:t>
      </w:r>
      <w:r w:rsidRPr="00EB2BD8">
        <w:t>feedback</w:t>
      </w:r>
      <w:r w:rsidRPr="00EB2BD8">
        <w:rPr>
          <w:spacing w:val="-6"/>
        </w:rPr>
        <w:t xml:space="preserve"> </w:t>
      </w:r>
      <w:r w:rsidRPr="00EB2BD8">
        <w:t>and</w:t>
      </w:r>
      <w:r w:rsidRPr="00EB2BD8">
        <w:rPr>
          <w:spacing w:val="-6"/>
        </w:rPr>
        <w:t xml:space="preserve"> </w:t>
      </w:r>
      <w:r w:rsidRPr="00EB2BD8">
        <w:t>input</w:t>
      </w:r>
      <w:r w:rsidRPr="00EB2BD8">
        <w:rPr>
          <w:spacing w:val="-6"/>
        </w:rPr>
        <w:t xml:space="preserve"> </w:t>
      </w:r>
      <w:r w:rsidRPr="00EB2BD8">
        <w:t>is</w:t>
      </w:r>
      <w:r w:rsidRPr="00EB2BD8">
        <w:rPr>
          <w:spacing w:val="-6"/>
        </w:rPr>
        <w:t xml:space="preserve"> </w:t>
      </w:r>
      <w:r w:rsidRPr="00EB2BD8">
        <w:t>included</w:t>
      </w:r>
      <w:r w:rsidRPr="00EB2BD8">
        <w:rPr>
          <w:spacing w:val="-6"/>
        </w:rPr>
        <w:t xml:space="preserve"> </w:t>
      </w:r>
      <w:r w:rsidRPr="00EB2BD8">
        <w:t>in</w:t>
      </w:r>
      <w:r w:rsidRPr="00EB2BD8">
        <w:rPr>
          <w:spacing w:val="-6"/>
        </w:rPr>
        <w:t xml:space="preserve"> </w:t>
      </w:r>
      <w:r w:rsidRPr="00EB2BD8">
        <w:t>the development</w:t>
      </w:r>
      <w:r w:rsidRPr="00EB2BD8">
        <w:rPr>
          <w:spacing w:val="-3"/>
        </w:rPr>
        <w:t xml:space="preserve"> </w:t>
      </w:r>
      <w:r w:rsidRPr="00EB2BD8">
        <w:t>of</w:t>
      </w:r>
      <w:r w:rsidRPr="00EB2BD8">
        <w:rPr>
          <w:spacing w:val="-2"/>
        </w:rPr>
        <w:t xml:space="preserve"> </w:t>
      </w:r>
      <w:r w:rsidRPr="00EB2BD8">
        <w:t>webinar</w:t>
      </w:r>
      <w:r w:rsidRPr="00EB2BD8">
        <w:rPr>
          <w:spacing w:val="-2"/>
        </w:rPr>
        <w:t xml:space="preserve"> </w:t>
      </w:r>
      <w:r w:rsidRPr="00EB2BD8">
        <w:t>topics</w:t>
      </w:r>
      <w:r w:rsidRPr="00EB2BD8">
        <w:rPr>
          <w:spacing w:val="-3"/>
        </w:rPr>
        <w:t xml:space="preserve"> </w:t>
      </w:r>
      <w:r w:rsidRPr="00EB2BD8">
        <w:t>and</w:t>
      </w:r>
      <w:r w:rsidRPr="00EB2BD8">
        <w:rPr>
          <w:spacing w:val="-2"/>
        </w:rPr>
        <w:t xml:space="preserve"> </w:t>
      </w:r>
      <w:r w:rsidRPr="00EB2BD8">
        <w:t>that</w:t>
      </w:r>
      <w:r w:rsidRPr="00EB2BD8">
        <w:rPr>
          <w:spacing w:val="-2"/>
        </w:rPr>
        <w:t xml:space="preserve"> </w:t>
      </w:r>
      <w:r w:rsidRPr="00EB2BD8">
        <w:t>industry</w:t>
      </w:r>
      <w:r w:rsidRPr="00EB2BD8">
        <w:rPr>
          <w:spacing w:val="-3"/>
        </w:rPr>
        <w:t xml:space="preserve"> </w:t>
      </w:r>
      <w:r w:rsidRPr="00EB2BD8">
        <w:rPr>
          <w:spacing w:val="-4"/>
        </w:rPr>
        <w:t>were</w:t>
      </w:r>
    </w:p>
    <w:p w14:paraId="6C6F9883" w14:textId="77777777" w:rsidR="00084F36" w:rsidRPr="00EB2BD8" w:rsidRDefault="00EB2BD8">
      <w:pPr>
        <w:pStyle w:val="BodyText"/>
        <w:spacing w:line="261" w:lineRule="auto"/>
        <w:ind w:left="850" w:right="4"/>
      </w:pPr>
      <w:r w:rsidRPr="00EB2BD8">
        <w:t>involved</w:t>
      </w:r>
      <w:r w:rsidRPr="00EB2BD8">
        <w:rPr>
          <w:spacing w:val="-10"/>
        </w:rPr>
        <w:t xml:space="preserve"> </w:t>
      </w:r>
      <w:r w:rsidRPr="00EB2BD8">
        <w:t>in</w:t>
      </w:r>
      <w:r w:rsidRPr="00EB2BD8">
        <w:rPr>
          <w:spacing w:val="-10"/>
        </w:rPr>
        <w:t xml:space="preserve"> </w:t>
      </w:r>
      <w:r w:rsidRPr="00EB2BD8">
        <w:t>the</w:t>
      </w:r>
      <w:r w:rsidRPr="00EB2BD8">
        <w:rPr>
          <w:spacing w:val="-10"/>
        </w:rPr>
        <w:t xml:space="preserve"> </w:t>
      </w:r>
      <w:r w:rsidRPr="00EB2BD8">
        <w:t>development</w:t>
      </w:r>
      <w:r w:rsidRPr="00EB2BD8">
        <w:rPr>
          <w:spacing w:val="-10"/>
        </w:rPr>
        <w:t xml:space="preserve"> </w:t>
      </w:r>
      <w:r w:rsidRPr="00EB2BD8">
        <w:t>or</w:t>
      </w:r>
      <w:r w:rsidRPr="00EB2BD8">
        <w:rPr>
          <w:spacing w:val="-10"/>
        </w:rPr>
        <w:t xml:space="preserve"> </w:t>
      </w:r>
      <w:r w:rsidRPr="00EB2BD8">
        <w:t>review</w:t>
      </w:r>
      <w:r w:rsidRPr="00EB2BD8">
        <w:rPr>
          <w:spacing w:val="-10"/>
        </w:rPr>
        <w:t xml:space="preserve"> </w:t>
      </w:r>
      <w:r w:rsidRPr="00EB2BD8">
        <w:t>of</w:t>
      </w:r>
      <w:r w:rsidRPr="00EB2BD8">
        <w:rPr>
          <w:spacing w:val="-10"/>
        </w:rPr>
        <w:t xml:space="preserve"> </w:t>
      </w:r>
      <w:r w:rsidRPr="00EB2BD8">
        <w:t>Practice</w:t>
      </w:r>
      <w:r w:rsidRPr="00EB2BD8">
        <w:rPr>
          <w:spacing w:val="-10"/>
        </w:rPr>
        <w:t xml:space="preserve"> </w:t>
      </w:r>
      <w:r w:rsidRPr="00EB2BD8">
        <w:t>Notes. To</w:t>
      </w:r>
      <w:r w:rsidRPr="00EB2BD8">
        <w:rPr>
          <w:spacing w:val="-8"/>
        </w:rPr>
        <w:t xml:space="preserve"> </w:t>
      </w:r>
      <w:r w:rsidRPr="00EB2BD8">
        <w:t>date,</w:t>
      </w:r>
      <w:r w:rsidRPr="00EB2BD8">
        <w:rPr>
          <w:spacing w:val="-8"/>
        </w:rPr>
        <w:t xml:space="preserve"> </w:t>
      </w:r>
      <w:r w:rsidRPr="00EB2BD8">
        <w:t>industry</w:t>
      </w:r>
      <w:r w:rsidRPr="00EB2BD8">
        <w:rPr>
          <w:spacing w:val="-8"/>
        </w:rPr>
        <w:t xml:space="preserve"> </w:t>
      </w:r>
      <w:r w:rsidRPr="00EB2BD8">
        <w:t>submitted</w:t>
      </w:r>
      <w:r w:rsidRPr="00EB2BD8">
        <w:rPr>
          <w:spacing w:val="-8"/>
        </w:rPr>
        <w:t xml:space="preserve"> </w:t>
      </w:r>
      <w:r w:rsidRPr="00EB2BD8">
        <w:t>four</w:t>
      </w:r>
      <w:r w:rsidRPr="00EB2BD8">
        <w:rPr>
          <w:spacing w:val="-8"/>
        </w:rPr>
        <w:t xml:space="preserve"> </w:t>
      </w:r>
      <w:r w:rsidRPr="00EB2BD8">
        <w:t>requests</w:t>
      </w:r>
      <w:r w:rsidRPr="00EB2BD8">
        <w:rPr>
          <w:spacing w:val="-8"/>
        </w:rPr>
        <w:t xml:space="preserve"> </w:t>
      </w:r>
      <w:r w:rsidRPr="00EB2BD8">
        <w:t>for</w:t>
      </w:r>
      <w:r w:rsidRPr="00EB2BD8">
        <w:rPr>
          <w:spacing w:val="-8"/>
        </w:rPr>
        <w:t xml:space="preserve"> </w:t>
      </w:r>
      <w:r w:rsidRPr="00EB2BD8">
        <w:t xml:space="preserve">education resources, with three future webinars planned, one Technical Bulletin article published and one new Practice Note scheduled to meet NCC 2022 provisions which are currently proposed to be adopted on </w:t>
      </w:r>
      <w:r w:rsidRPr="00EB2BD8">
        <w:rPr>
          <w:w w:val="95"/>
        </w:rPr>
        <w:t>1</w:t>
      </w:r>
    </w:p>
    <w:p w14:paraId="103ABF6C" w14:textId="77777777" w:rsidR="00084F36" w:rsidRPr="00EB2BD8" w:rsidRDefault="00EB2BD8">
      <w:pPr>
        <w:pStyle w:val="BodyText"/>
        <w:spacing w:line="261" w:lineRule="auto"/>
        <w:ind w:left="850"/>
      </w:pPr>
      <w:r w:rsidRPr="00EB2BD8">
        <w:t>May 2024. This collaboration demonstrated the VBA’s ongoing commitment to developing useful, tailored educational resources that are up-to-date and relevant to</w:t>
      </w:r>
      <w:r w:rsidRPr="00EB2BD8">
        <w:rPr>
          <w:spacing w:val="-6"/>
        </w:rPr>
        <w:t xml:space="preserve"> </w:t>
      </w:r>
      <w:r w:rsidRPr="00EB2BD8">
        <w:t>practitioners.</w:t>
      </w:r>
    </w:p>
    <w:p w14:paraId="38CE4004" w14:textId="77777777" w:rsidR="00084F36" w:rsidRPr="00EB2BD8" w:rsidRDefault="00EB2BD8" w:rsidP="00DB0F6B">
      <w:pPr>
        <w:pStyle w:val="Heading3"/>
        <w:ind w:left="0" w:firstLine="413"/>
      </w:pPr>
      <w:r w:rsidRPr="00EB2BD8">
        <w:br w:type="column"/>
      </w:r>
      <w:bookmarkStart w:id="69" w:name="_Toc150762371"/>
      <w:r w:rsidRPr="00EB2BD8">
        <w:t>Practice</w:t>
      </w:r>
      <w:r w:rsidRPr="00EB2BD8">
        <w:rPr>
          <w:spacing w:val="-20"/>
        </w:rPr>
        <w:t xml:space="preserve"> </w:t>
      </w:r>
      <w:r w:rsidRPr="00EB2BD8">
        <w:t>Notes</w:t>
      </w:r>
      <w:r w:rsidRPr="00EB2BD8">
        <w:rPr>
          <w:spacing w:val="-20"/>
        </w:rPr>
        <w:t xml:space="preserve"> </w:t>
      </w:r>
      <w:r w:rsidRPr="00EB2BD8">
        <w:t>and</w:t>
      </w:r>
      <w:r w:rsidRPr="00EB2BD8">
        <w:rPr>
          <w:spacing w:val="-20"/>
        </w:rPr>
        <w:t xml:space="preserve"> </w:t>
      </w:r>
      <w:r w:rsidRPr="00EB2BD8">
        <w:t>technical queries</w:t>
      </w:r>
      <w:bookmarkEnd w:id="69"/>
    </w:p>
    <w:p w14:paraId="5B7AB29E" w14:textId="77777777" w:rsidR="00084F36" w:rsidRPr="00EB2BD8" w:rsidRDefault="00EB2BD8">
      <w:pPr>
        <w:pStyle w:val="BodyText"/>
        <w:spacing w:before="133" w:line="261" w:lineRule="auto"/>
        <w:ind w:left="413" w:right="926"/>
      </w:pPr>
      <w:r w:rsidRPr="00EB2BD8">
        <w:t>To ensure practitioners keep pace with industry change, the VBA published 44 new and updated Practice</w:t>
      </w:r>
      <w:r w:rsidRPr="00EB2BD8">
        <w:rPr>
          <w:spacing w:val="-7"/>
        </w:rPr>
        <w:t xml:space="preserve"> </w:t>
      </w:r>
      <w:r w:rsidRPr="00EB2BD8">
        <w:t>Notes</w:t>
      </w:r>
      <w:r w:rsidRPr="00EB2BD8">
        <w:rPr>
          <w:spacing w:val="-7"/>
        </w:rPr>
        <w:t xml:space="preserve"> </w:t>
      </w:r>
      <w:r w:rsidRPr="00EB2BD8">
        <w:t>on</w:t>
      </w:r>
      <w:r w:rsidRPr="00EB2BD8">
        <w:rPr>
          <w:spacing w:val="-7"/>
        </w:rPr>
        <w:t xml:space="preserve"> </w:t>
      </w:r>
      <w:r w:rsidRPr="00EB2BD8">
        <w:t>its</w:t>
      </w:r>
      <w:r w:rsidRPr="00EB2BD8">
        <w:rPr>
          <w:spacing w:val="-7"/>
        </w:rPr>
        <w:t xml:space="preserve"> </w:t>
      </w:r>
      <w:r w:rsidRPr="00EB2BD8">
        <w:t>website.</w:t>
      </w:r>
      <w:r w:rsidRPr="00EB2BD8">
        <w:rPr>
          <w:spacing w:val="-7"/>
        </w:rPr>
        <w:t xml:space="preserve"> </w:t>
      </w:r>
      <w:r w:rsidRPr="00EB2BD8">
        <w:t>This</w:t>
      </w:r>
      <w:r w:rsidRPr="00EB2BD8">
        <w:rPr>
          <w:spacing w:val="-7"/>
        </w:rPr>
        <w:t xml:space="preserve"> </w:t>
      </w:r>
      <w:r w:rsidRPr="00EB2BD8">
        <w:t>included</w:t>
      </w:r>
      <w:r w:rsidRPr="00EB2BD8">
        <w:rPr>
          <w:spacing w:val="-7"/>
        </w:rPr>
        <w:t xml:space="preserve"> </w:t>
      </w:r>
      <w:r w:rsidRPr="00EB2BD8">
        <w:t>updates</w:t>
      </w:r>
      <w:r w:rsidRPr="00EB2BD8">
        <w:rPr>
          <w:spacing w:val="-7"/>
        </w:rPr>
        <w:t xml:space="preserve"> </w:t>
      </w:r>
      <w:r w:rsidRPr="00EB2BD8">
        <w:t>to 27</w:t>
      </w:r>
      <w:r w:rsidRPr="00EB2BD8">
        <w:rPr>
          <w:spacing w:val="-11"/>
        </w:rPr>
        <w:t xml:space="preserve"> </w:t>
      </w:r>
      <w:r w:rsidRPr="00EB2BD8">
        <w:t>Building</w:t>
      </w:r>
      <w:r w:rsidRPr="00EB2BD8">
        <w:rPr>
          <w:spacing w:val="-11"/>
        </w:rPr>
        <w:t xml:space="preserve"> </w:t>
      </w:r>
      <w:r w:rsidRPr="00EB2BD8">
        <w:t>Practice</w:t>
      </w:r>
      <w:r w:rsidRPr="00EB2BD8">
        <w:rPr>
          <w:spacing w:val="-11"/>
        </w:rPr>
        <w:t xml:space="preserve"> </w:t>
      </w:r>
      <w:r w:rsidRPr="00EB2BD8">
        <w:t>Notes,</w:t>
      </w:r>
      <w:r w:rsidRPr="00EB2BD8">
        <w:rPr>
          <w:spacing w:val="-11"/>
        </w:rPr>
        <w:t xml:space="preserve"> </w:t>
      </w:r>
      <w:r w:rsidRPr="00EB2BD8">
        <w:t>13</w:t>
      </w:r>
      <w:r w:rsidRPr="00EB2BD8">
        <w:rPr>
          <w:spacing w:val="-11"/>
        </w:rPr>
        <w:t xml:space="preserve"> </w:t>
      </w:r>
      <w:r w:rsidRPr="00EB2BD8">
        <w:t>Plumbing</w:t>
      </w:r>
      <w:r w:rsidRPr="00EB2BD8">
        <w:rPr>
          <w:spacing w:val="-11"/>
        </w:rPr>
        <w:t xml:space="preserve"> </w:t>
      </w:r>
      <w:r w:rsidRPr="00EB2BD8">
        <w:t>Practice</w:t>
      </w:r>
      <w:r w:rsidRPr="00EB2BD8">
        <w:rPr>
          <w:spacing w:val="-11"/>
        </w:rPr>
        <w:t xml:space="preserve"> </w:t>
      </w:r>
      <w:r w:rsidRPr="00EB2BD8">
        <w:t>Notes and four new Energy Efficiency Practice Notes. In June 2023, the VBA commenced the process of including superseded and archived Practice Notes within the Building and Plumbing Resource Hubs.</w:t>
      </w:r>
    </w:p>
    <w:p w14:paraId="0D233716" w14:textId="77777777" w:rsidR="00084F36" w:rsidRPr="00EB2BD8" w:rsidRDefault="00EB2BD8">
      <w:pPr>
        <w:pStyle w:val="BodyText"/>
        <w:spacing w:before="105" w:line="261" w:lineRule="auto"/>
        <w:ind w:left="413" w:right="1176"/>
      </w:pPr>
      <w:r w:rsidRPr="00EB2BD8">
        <w:t>In May 2023, the VBA commenced communicating to</w:t>
      </w:r>
      <w:r w:rsidRPr="00EB2BD8">
        <w:rPr>
          <w:spacing w:val="-1"/>
        </w:rPr>
        <w:t xml:space="preserve"> </w:t>
      </w:r>
      <w:r w:rsidRPr="00EB2BD8">
        <w:t>practitioners</w:t>
      </w:r>
      <w:r w:rsidRPr="00EB2BD8">
        <w:rPr>
          <w:spacing w:val="-1"/>
        </w:rPr>
        <w:t xml:space="preserve"> </w:t>
      </w:r>
      <w:r w:rsidRPr="00EB2BD8">
        <w:t>via</w:t>
      </w:r>
      <w:r w:rsidRPr="00EB2BD8">
        <w:rPr>
          <w:spacing w:val="-1"/>
        </w:rPr>
        <w:t xml:space="preserve"> </w:t>
      </w:r>
      <w:r w:rsidRPr="00EB2BD8">
        <w:t>email</w:t>
      </w:r>
      <w:r w:rsidRPr="00EB2BD8">
        <w:rPr>
          <w:spacing w:val="-1"/>
        </w:rPr>
        <w:t xml:space="preserve"> </w:t>
      </w:r>
      <w:r w:rsidRPr="00EB2BD8">
        <w:t>when</w:t>
      </w:r>
      <w:r w:rsidRPr="00EB2BD8">
        <w:rPr>
          <w:spacing w:val="-1"/>
        </w:rPr>
        <w:t xml:space="preserve"> </w:t>
      </w:r>
      <w:r w:rsidRPr="00EB2BD8">
        <w:t>Practice</w:t>
      </w:r>
      <w:r w:rsidRPr="00EB2BD8">
        <w:rPr>
          <w:spacing w:val="-1"/>
        </w:rPr>
        <w:t xml:space="preserve"> </w:t>
      </w:r>
      <w:r w:rsidRPr="00EB2BD8">
        <w:t>Notes</w:t>
      </w:r>
      <w:r w:rsidRPr="00EB2BD8">
        <w:rPr>
          <w:spacing w:val="-1"/>
        </w:rPr>
        <w:t xml:space="preserve"> </w:t>
      </w:r>
      <w:r w:rsidRPr="00EB2BD8">
        <w:t>were reviewed</w:t>
      </w:r>
      <w:r w:rsidRPr="00EB2BD8">
        <w:rPr>
          <w:spacing w:val="-13"/>
        </w:rPr>
        <w:t xml:space="preserve"> </w:t>
      </w:r>
      <w:r w:rsidRPr="00EB2BD8">
        <w:t>or</w:t>
      </w:r>
      <w:r w:rsidRPr="00EB2BD8">
        <w:rPr>
          <w:spacing w:val="-13"/>
        </w:rPr>
        <w:t xml:space="preserve"> </w:t>
      </w:r>
      <w:r w:rsidRPr="00EB2BD8">
        <w:t>newly</w:t>
      </w:r>
      <w:r w:rsidRPr="00EB2BD8">
        <w:rPr>
          <w:spacing w:val="-13"/>
        </w:rPr>
        <w:t xml:space="preserve"> </w:t>
      </w:r>
      <w:r w:rsidRPr="00EB2BD8">
        <w:t>developed.</w:t>
      </w:r>
      <w:r w:rsidRPr="00EB2BD8">
        <w:rPr>
          <w:spacing w:val="-13"/>
        </w:rPr>
        <w:t xml:space="preserve"> </w:t>
      </w:r>
      <w:r w:rsidRPr="00EB2BD8">
        <w:t>This</w:t>
      </w:r>
      <w:r w:rsidRPr="00EB2BD8">
        <w:rPr>
          <w:spacing w:val="-13"/>
        </w:rPr>
        <w:t xml:space="preserve"> </w:t>
      </w:r>
      <w:r w:rsidRPr="00EB2BD8">
        <w:t>resulted</w:t>
      </w:r>
      <w:r w:rsidRPr="00EB2BD8">
        <w:rPr>
          <w:spacing w:val="-13"/>
        </w:rPr>
        <w:t xml:space="preserve"> </w:t>
      </w:r>
      <w:r w:rsidRPr="00EB2BD8">
        <w:t>in</w:t>
      </w:r>
      <w:r w:rsidRPr="00EB2BD8">
        <w:rPr>
          <w:spacing w:val="-13"/>
        </w:rPr>
        <w:t xml:space="preserve"> </w:t>
      </w:r>
      <w:r w:rsidRPr="00EB2BD8">
        <w:t>a</w:t>
      </w:r>
      <w:r w:rsidRPr="00EB2BD8">
        <w:rPr>
          <w:spacing w:val="-13"/>
        </w:rPr>
        <w:t xml:space="preserve"> </w:t>
      </w:r>
      <w:r w:rsidRPr="00EB2BD8">
        <w:t>110</w:t>
      </w:r>
    </w:p>
    <w:p w14:paraId="1B04F8BF" w14:textId="77777777" w:rsidR="00084F36" w:rsidRPr="00EB2BD8" w:rsidRDefault="00EB2BD8">
      <w:pPr>
        <w:pStyle w:val="BodyText"/>
        <w:spacing w:line="261" w:lineRule="auto"/>
        <w:ind w:left="413" w:right="883"/>
      </w:pPr>
      <w:r w:rsidRPr="00EB2BD8">
        <w:t>per cent increase in the number of views for Plumbing Practice Notes and a 58 per cent increase in the number</w:t>
      </w:r>
      <w:r w:rsidRPr="00EB2BD8">
        <w:rPr>
          <w:spacing w:val="-11"/>
        </w:rPr>
        <w:t xml:space="preserve"> </w:t>
      </w:r>
      <w:r w:rsidRPr="00EB2BD8">
        <w:t>of</w:t>
      </w:r>
      <w:r w:rsidRPr="00EB2BD8">
        <w:rPr>
          <w:spacing w:val="-11"/>
        </w:rPr>
        <w:t xml:space="preserve"> </w:t>
      </w:r>
      <w:r w:rsidRPr="00EB2BD8">
        <w:t>views</w:t>
      </w:r>
      <w:r w:rsidRPr="00EB2BD8">
        <w:rPr>
          <w:spacing w:val="-11"/>
        </w:rPr>
        <w:t xml:space="preserve"> </w:t>
      </w:r>
      <w:r w:rsidRPr="00EB2BD8">
        <w:t>for</w:t>
      </w:r>
      <w:r w:rsidRPr="00EB2BD8">
        <w:rPr>
          <w:spacing w:val="-11"/>
        </w:rPr>
        <w:t xml:space="preserve"> </w:t>
      </w:r>
      <w:r w:rsidRPr="00EB2BD8">
        <w:t>Building</w:t>
      </w:r>
      <w:r w:rsidRPr="00EB2BD8">
        <w:rPr>
          <w:spacing w:val="-11"/>
        </w:rPr>
        <w:t xml:space="preserve"> </w:t>
      </w:r>
      <w:r w:rsidRPr="00EB2BD8">
        <w:t>Practice</w:t>
      </w:r>
      <w:r w:rsidRPr="00EB2BD8">
        <w:rPr>
          <w:spacing w:val="-11"/>
        </w:rPr>
        <w:t xml:space="preserve"> </w:t>
      </w:r>
      <w:r w:rsidRPr="00EB2BD8">
        <w:t>Notes.</w:t>
      </w:r>
      <w:r w:rsidRPr="00EB2BD8">
        <w:rPr>
          <w:spacing w:val="-11"/>
        </w:rPr>
        <w:t xml:space="preserve"> </w:t>
      </w:r>
      <w:r w:rsidRPr="00EB2BD8">
        <w:t>This</w:t>
      </w:r>
      <w:r w:rsidRPr="00EB2BD8">
        <w:rPr>
          <w:spacing w:val="-11"/>
        </w:rPr>
        <w:t xml:space="preserve"> </w:t>
      </w:r>
      <w:r w:rsidRPr="00EB2BD8">
        <w:t xml:space="preserve">model will be continued as it has demonstrated to be an effective way to engage practitioners with educational </w:t>
      </w:r>
      <w:r w:rsidRPr="00EB2BD8">
        <w:rPr>
          <w:spacing w:val="-2"/>
        </w:rPr>
        <w:t>material.</w:t>
      </w:r>
    </w:p>
    <w:p w14:paraId="28C7823E" w14:textId="77777777" w:rsidR="00084F36" w:rsidRPr="00EB2BD8" w:rsidRDefault="00EB2BD8">
      <w:pPr>
        <w:pStyle w:val="BodyText"/>
        <w:spacing w:before="105" w:line="261" w:lineRule="auto"/>
        <w:ind w:left="413" w:right="926"/>
      </w:pPr>
      <w:r w:rsidRPr="00EB2BD8">
        <w:t>VBA Technical and Regulation experts also responded to more than 25,000 telephone and email enquiries from practitioners this year. The advice provided assists</w:t>
      </w:r>
      <w:r w:rsidRPr="00EB2BD8">
        <w:rPr>
          <w:spacing w:val="-8"/>
        </w:rPr>
        <w:t xml:space="preserve"> </w:t>
      </w:r>
      <w:r w:rsidRPr="00EB2BD8">
        <w:t>practitioners</w:t>
      </w:r>
      <w:r w:rsidRPr="00EB2BD8">
        <w:rPr>
          <w:spacing w:val="-8"/>
        </w:rPr>
        <w:t xml:space="preserve"> </w:t>
      </w:r>
      <w:r w:rsidRPr="00EB2BD8">
        <w:t>with</w:t>
      </w:r>
      <w:r w:rsidRPr="00EB2BD8">
        <w:rPr>
          <w:spacing w:val="-8"/>
        </w:rPr>
        <w:t xml:space="preserve"> </w:t>
      </w:r>
      <w:r w:rsidRPr="00EB2BD8">
        <w:t>remaining</w:t>
      </w:r>
      <w:r w:rsidRPr="00EB2BD8">
        <w:rPr>
          <w:spacing w:val="-8"/>
        </w:rPr>
        <w:t xml:space="preserve"> </w:t>
      </w:r>
      <w:r w:rsidRPr="00EB2BD8">
        <w:t>compliant</w:t>
      </w:r>
      <w:r w:rsidRPr="00EB2BD8">
        <w:rPr>
          <w:spacing w:val="-8"/>
        </w:rPr>
        <w:t xml:space="preserve"> </w:t>
      </w:r>
      <w:r w:rsidRPr="00EB2BD8">
        <w:t>with</w:t>
      </w:r>
      <w:r w:rsidRPr="00EB2BD8">
        <w:rPr>
          <w:spacing w:val="-8"/>
        </w:rPr>
        <w:t xml:space="preserve"> </w:t>
      </w:r>
      <w:r w:rsidRPr="00EB2BD8">
        <w:t>the Act</w:t>
      </w:r>
      <w:r w:rsidRPr="00EB2BD8">
        <w:rPr>
          <w:spacing w:val="27"/>
        </w:rPr>
        <w:t xml:space="preserve"> </w:t>
      </w:r>
      <w:r w:rsidRPr="00EB2BD8">
        <w:t>and</w:t>
      </w:r>
      <w:r w:rsidRPr="00EB2BD8">
        <w:rPr>
          <w:spacing w:val="27"/>
        </w:rPr>
        <w:t xml:space="preserve"> </w:t>
      </w:r>
      <w:r w:rsidRPr="00EB2BD8">
        <w:t>relevant</w:t>
      </w:r>
      <w:r w:rsidRPr="00EB2BD8">
        <w:rPr>
          <w:spacing w:val="27"/>
        </w:rPr>
        <w:t xml:space="preserve"> </w:t>
      </w:r>
      <w:r w:rsidRPr="00EB2BD8">
        <w:t>Regulations</w:t>
      </w:r>
      <w:r w:rsidRPr="00EB2BD8">
        <w:rPr>
          <w:spacing w:val="27"/>
        </w:rPr>
        <w:t xml:space="preserve"> </w:t>
      </w:r>
      <w:r w:rsidRPr="00EB2BD8">
        <w:t>and</w:t>
      </w:r>
      <w:r w:rsidRPr="00EB2BD8">
        <w:rPr>
          <w:spacing w:val="27"/>
        </w:rPr>
        <w:t xml:space="preserve"> </w:t>
      </w:r>
      <w:r w:rsidRPr="00EB2BD8">
        <w:t>afforded</w:t>
      </w:r>
      <w:r w:rsidRPr="00EB2BD8">
        <w:rPr>
          <w:spacing w:val="27"/>
        </w:rPr>
        <w:t xml:space="preserve"> </w:t>
      </w:r>
      <w:r w:rsidRPr="00EB2BD8">
        <w:t>the</w:t>
      </w:r>
      <w:r w:rsidRPr="00EB2BD8">
        <w:rPr>
          <w:spacing w:val="27"/>
        </w:rPr>
        <w:t xml:space="preserve"> </w:t>
      </w:r>
      <w:r w:rsidRPr="00EB2BD8">
        <w:t xml:space="preserve">VBA the opportunity to educate practitioners about best </w:t>
      </w:r>
      <w:r w:rsidRPr="00EB2BD8">
        <w:rPr>
          <w:spacing w:val="-2"/>
        </w:rPr>
        <w:t>practice.</w:t>
      </w:r>
    </w:p>
    <w:p w14:paraId="08DC499C"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2" w:space="720" w:equalWidth="0">
            <w:col w:w="5726" w:space="40"/>
            <w:col w:w="6144"/>
          </w:cols>
        </w:sectPr>
      </w:pPr>
    </w:p>
    <w:p w14:paraId="0600AB49" w14:textId="253480C6" w:rsidR="00084F36" w:rsidRPr="00EB2BD8" w:rsidRDefault="00084F36">
      <w:pPr>
        <w:pStyle w:val="BodyText"/>
        <w:rPr>
          <w:sz w:val="20"/>
        </w:rPr>
      </w:pPr>
    </w:p>
    <w:p w14:paraId="62B7B92E" w14:textId="77777777" w:rsidR="00084F36" w:rsidRPr="00EB2BD8" w:rsidRDefault="00084F36">
      <w:pPr>
        <w:pStyle w:val="BodyText"/>
        <w:rPr>
          <w:sz w:val="20"/>
        </w:rPr>
      </w:pPr>
    </w:p>
    <w:p w14:paraId="3D47F340" w14:textId="77777777" w:rsidR="00084F36" w:rsidRPr="00EB2BD8" w:rsidRDefault="00084F36">
      <w:pPr>
        <w:pStyle w:val="BodyText"/>
        <w:rPr>
          <w:sz w:val="20"/>
        </w:rPr>
      </w:pPr>
    </w:p>
    <w:p w14:paraId="0C4BBA6A" w14:textId="77777777" w:rsidR="00084F36" w:rsidRPr="00EB2BD8" w:rsidRDefault="00084F36">
      <w:pPr>
        <w:pStyle w:val="BodyText"/>
        <w:rPr>
          <w:sz w:val="20"/>
        </w:rPr>
      </w:pPr>
    </w:p>
    <w:p w14:paraId="503B3804" w14:textId="77777777" w:rsidR="00084F36" w:rsidRPr="00EB2BD8" w:rsidRDefault="00084F36">
      <w:pPr>
        <w:pStyle w:val="BodyText"/>
        <w:rPr>
          <w:sz w:val="20"/>
        </w:rPr>
      </w:pPr>
    </w:p>
    <w:p w14:paraId="0AE0E48C" w14:textId="77777777" w:rsidR="00084F36" w:rsidRPr="00EB2BD8" w:rsidRDefault="00084F36">
      <w:pPr>
        <w:pStyle w:val="BodyText"/>
        <w:rPr>
          <w:sz w:val="20"/>
        </w:rPr>
      </w:pPr>
    </w:p>
    <w:p w14:paraId="70AC8255" w14:textId="77777777" w:rsidR="00084F36" w:rsidRPr="00EB2BD8" w:rsidRDefault="00084F36">
      <w:pPr>
        <w:pStyle w:val="BodyText"/>
        <w:rPr>
          <w:sz w:val="20"/>
        </w:rPr>
      </w:pPr>
    </w:p>
    <w:p w14:paraId="2510EEEA" w14:textId="66EF12B3" w:rsidR="00084F36" w:rsidRPr="00EB2BD8" w:rsidRDefault="00084F36">
      <w:pPr>
        <w:pStyle w:val="BodyText"/>
        <w:rPr>
          <w:sz w:val="20"/>
        </w:rPr>
      </w:pPr>
    </w:p>
    <w:p w14:paraId="15AA608D" w14:textId="4FBCC1F0" w:rsidR="00084F36" w:rsidRPr="00EB2BD8" w:rsidRDefault="00084F36">
      <w:pPr>
        <w:pStyle w:val="BodyText"/>
        <w:rPr>
          <w:sz w:val="20"/>
        </w:rPr>
      </w:pPr>
    </w:p>
    <w:p w14:paraId="4446B705" w14:textId="5BB11E49" w:rsidR="00084F36" w:rsidRPr="00EB2BD8" w:rsidRDefault="00084F36">
      <w:pPr>
        <w:pStyle w:val="BodyText"/>
        <w:rPr>
          <w:sz w:val="20"/>
        </w:rPr>
      </w:pPr>
    </w:p>
    <w:p w14:paraId="67E824B0" w14:textId="77777777" w:rsidR="00084F36" w:rsidRPr="00EB2BD8" w:rsidRDefault="00084F36">
      <w:pPr>
        <w:pStyle w:val="BodyText"/>
        <w:rPr>
          <w:sz w:val="20"/>
        </w:rPr>
      </w:pPr>
    </w:p>
    <w:p w14:paraId="4FD46707" w14:textId="77777777" w:rsidR="00084F36" w:rsidRPr="00EB2BD8" w:rsidRDefault="00084F36">
      <w:pPr>
        <w:pStyle w:val="BodyText"/>
        <w:rPr>
          <w:sz w:val="20"/>
        </w:rPr>
      </w:pPr>
    </w:p>
    <w:p w14:paraId="22815162" w14:textId="77777777" w:rsidR="00084F36" w:rsidRPr="00EB2BD8" w:rsidRDefault="00084F36">
      <w:pPr>
        <w:pStyle w:val="BodyText"/>
        <w:rPr>
          <w:sz w:val="20"/>
        </w:rPr>
      </w:pPr>
    </w:p>
    <w:p w14:paraId="561BEE46" w14:textId="77777777" w:rsidR="00084F36" w:rsidRPr="00EB2BD8" w:rsidRDefault="00084F36">
      <w:pPr>
        <w:pStyle w:val="BodyText"/>
        <w:rPr>
          <w:sz w:val="20"/>
        </w:rPr>
      </w:pPr>
    </w:p>
    <w:p w14:paraId="0890CCD3" w14:textId="6A3CE014" w:rsidR="00084F36" w:rsidRPr="00EB2BD8" w:rsidRDefault="00084F36">
      <w:pPr>
        <w:pStyle w:val="BodyText"/>
        <w:rPr>
          <w:sz w:val="20"/>
        </w:rPr>
      </w:pPr>
    </w:p>
    <w:p w14:paraId="360E6284" w14:textId="77777777" w:rsidR="00084F36" w:rsidRPr="00EB2BD8" w:rsidRDefault="00084F36">
      <w:pPr>
        <w:pStyle w:val="BodyText"/>
        <w:rPr>
          <w:sz w:val="20"/>
        </w:rPr>
      </w:pPr>
    </w:p>
    <w:p w14:paraId="60E62DB4" w14:textId="77777777" w:rsidR="00084F36" w:rsidRPr="00EB2BD8" w:rsidRDefault="00084F36">
      <w:pPr>
        <w:pStyle w:val="BodyText"/>
        <w:rPr>
          <w:sz w:val="20"/>
        </w:rPr>
      </w:pPr>
    </w:p>
    <w:p w14:paraId="797444BA" w14:textId="77777777" w:rsidR="00084F36" w:rsidRPr="00EB2BD8" w:rsidRDefault="00084F36">
      <w:pPr>
        <w:pStyle w:val="BodyText"/>
        <w:rPr>
          <w:sz w:val="20"/>
        </w:rPr>
      </w:pPr>
    </w:p>
    <w:p w14:paraId="7C7D9AD0" w14:textId="77777777" w:rsidR="00084F36" w:rsidRPr="00EB2BD8" w:rsidRDefault="00084F36">
      <w:pPr>
        <w:pStyle w:val="BodyText"/>
        <w:rPr>
          <w:sz w:val="20"/>
        </w:rPr>
      </w:pPr>
    </w:p>
    <w:p w14:paraId="79A91884" w14:textId="77777777" w:rsidR="00084F36" w:rsidRPr="00EB2BD8" w:rsidRDefault="00084F36">
      <w:pPr>
        <w:pStyle w:val="BodyText"/>
        <w:rPr>
          <w:sz w:val="20"/>
        </w:rPr>
      </w:pPr>
    </w:p>
    <w:p w14:paraId="671E8300" w14:textId="77777777" w:rsidR="00084F36" w:rsidRPr="00EB2BD8" w:rsidRDefault="00084F36">
      <w:pPr>
        <w:pStyle w:val="BodyText"/>
        <w:rPr>
          <w:sz w:val="20"/>
        </w:rPr>
      </w:pPr>
    </w:p>
    <w:p w14:paraId="18948B5E" w14:textId="2E3C2CAE" w:rsidR="00084F36" w:rsidRPr="00EB2BD8" w:rsidRDefault="00084F36">
      <w:pPr>
        <w:pStyle w:val="BodyText"/>
        <w:rPr>
          <w:sz w:val="20"/>
        </w:rPr>
      </w:pPr>
    </w:p>
    <w:p w14:paraId="15B34C00" w14:textId="77777777" w:rsidR="00084F36" w:rsidRPr="00EB2BD8" w:rsidRDefault="00084F36">
      <w:pPr>
        <w:pStyle w:val="BodyText"/>
        <w:rPr>
          <w:sz w:val="20"/>
        </w:rPr>
      </w:pPr>
    </w:p>
    <w:p w14:paraId="558ACADA" w14:textId="77777777" w:rsidR="00FA0E9B" w:rsidRPr="001975DF" w:rsidRDefault="00FA0E9B" w:rsidP="00FA0E9B">
      <w:pPr>
        <w:pStyle w:val="Heading1"/>
      </w:pPr>
      <w:bookmarkStart w:id="70" w:name="_Toc150762372"/>
      <w:r w:rsidRPr="001975DF">
        <w:t>Spotlight</w:t>
      </w:r>
      <w:r w:rsidRPr="001975DF">
        <w:rPr>
          <w:spacing w:val="-20"/>
        </w:rPr>
        <w:t xml:space="preserve"> </w:t>
      </w:r>
      <w:r w:rsidRPr="001975DF">
        <w:rPr>
          <w:spacing w:val="-5"/>
        </w:rPr>
        <w:t>on:</w:t>
      </w:r>
      <w:bookmarkEnd w:id="70"/>
    </w:p>
    <w:p w14:paraId="4894FD83" w14:textId="77777777" w:rsidR="00FA0E9B" w:rsidRPr="001975DF" w:rsidRDefault="00FA0E9B" w:rsidP="00FA0E9B">
      <w:pPr>
        <w:pStyle w:val="Heading1"/>
      </w:pPr>
      <w:bookmarkStart w:id="71" w:name="_Toc150762373"/>
      <w:r w:rsidRPr="001975DF">
        <w:t>NCC</w:t>
      </w:r>
      <w:r w:rsidRPr="001975DF">
        <w:rPr>
          <w:spacing w:val="22"/>
        </w:rPr>
        <w:t xml:space="preserve"> </w:t>
      </w:r>
      <w:r w:rsidRPr="001975DF">
        <w:t>implementation</w:t>
      </w:r>
      <w:bookmarkEnd w:id="71"/>
    </w:p>
    <w:p w14:paraId="1A774DFB" w14:textId="4809950B" w:rsidR="00084F36" w:rsidRPr="00EB2BD8" w:rsidRDefault="00084F36">
      <w:pPr>
        <w:pStyle w:val="BodyText"/>
        <w:rPr>
          <w:sz w:val="20"/>
        </w:rPr>
      </w:pPr>
    </w:p>
    <w:p w14:paraId="47A7AD52" w14:textId="77777777" w:rsidR="00084F36" w:rsidRPr="00EB2BD8" w:rsidRDefault="00084F36">
      <w:pPr>
        <w:pStyle w:val="BodyText"/>
        <w:rPr>
          <w:sz w:val="20"/>
        </w:rPr>
      </w:pPr>
    </w:p>
    <w:p w14:paraId="06B0FF1B" w14:textId="77777777" w:rsidR="00084F36" w:rsidRPr="00EB2BD8" w:rsidRDefault="00084F36">
      <w:pPr>
        <w:pStyle w:val="BodyText"/>
        <w:rPr>
          <w:sz w:val="20"/>
        </w:rPr>
      </w:pPr>
    </w:p>
    <w:p w14:paraId="4F3759E4" w14:textId="77777777" w:rsidR="00084F36" w:rsidRPr="00EB2BD8" w:rsidRDefault="00084F36">
      <w:pPr>
        <w:pStyle w:val="BodyText"/>
        <w:spacing w:before="11"/>
        <w:rPr>
          <w:sz w:val="24"/>
        </w:rPr>
      </w:pPr>
    </w:p>
    <w:p w14:paraId="19806AAE" w14:textId="77777777" w:rsidR="00084F36" w:rsidRPr="00EB2BD8" w:rsidRDefault="00084F36">
      <w:pPr>
        <w:rPr>
          <w:sz w:val="24"/>
        </w:rPr>
        <w:sectPr w:rsidR="00084F36" w:rsidRPr="00EB2BD8" w:rsidSect="006D75B2">
          <w:headerReference w:type="even" r:id="rId63"/>
          <w:footerReference w:type="even" r:id="rId64"/>
          <w:footerReference w:type="default" r:id="rId65"/>
          <w:pgSz w:w="11910" w:h="16840"/>
          <w:pgMar w:top="0" w:right="0" w:bottom="700" w:left="0" w:header="0" w:footer="515" w:gutter="0"/>
          <w:pgNumType w:start="30"/>
          <w:cols w:space="720"/>
        </w:sectPr>
      </w:pPr>
    </w:p>
    <w:p w14:paraId="6E89496F" w14:textId="60BAA315" w:rsidR="00084F36" w:rsidRPr="00EB2BD8" w:rsidRDefault="00EB2BD8">
      <w:pPr>
        <w:pStyle w:val="BodyText"/>
        <w:spacing w:before="95" w:line="261" w:lineRule="auto"/>
        <w:ind w:left="863"/>
      </w:pPr>
      <w:r w:rsidRPr="00EB2BD8">
        <w:t>The National Construction Code (NCC) sets out the requirements for the design and construction of a building</w:t>
      </w:r>
      <w:r w:rsidRPr="00EB2BD8">
        <w:rPr>
          <w:spacing w:val="-12"/>
        </w:rPr>
        <w:t xml:space="preserve"> </w:t>
      </w:r>
      <w:r w:rsidRPr="00EB2BD8">
        <w:t>in</w:t>
      </w:r>
      <w:r w:rsidRPr="00EB2BD8">
        <w:rPr>
          <w:spacing w:val="-12"/>
        </w:rPr>
        <w:t xml:space="preserve"> </w:t>
      </w:r>
      <w:r w:rsidRPr="00EB2BD8">
        <w:t>Australia,</w:t>
      </w:r>
      <w:r w:rsidRPr="00EB2BD8">
        <w:rPr>
          <w:spacing w:val="-12"/>
        </w:rPr>
        <w:t xml:space="preserve"> </w:t>
      </w:r>
      <w:r w:rsidRPr="00EB2BD8">
        <w:t>including</w:t>
      </w:r>
      <w:r w:rsidRPr="00EB2BD8">
        <w:rPr>
          <w:spacing w:val="-12"/>
        </w:rPr>
        <w:t xml:space="preserve"> </w:t>
      </w:r>
      <w:r w:rsidRPr="00EB2BD8">
        <w:t>plumbing</w:t>
      </w:r>
      <w:r w:rsidRPr="00EB2BD8">
        <w:rPr>
          <w:spacing w:val="-12"/>
        </w:rPr>
        <w:t xml:space="preserve"> </w:t>
      </w:r>
      <w:r w:rsidRPr="00EB2BD8">
        <w:t>and</w:t>
      </w:r>
      <w:r w:rsidRPr="00EB2BD8">
        <w:rPr>
          <w:spacing w:val="-12"/>
        </w:rPr>
        <w:t xml:space="preserve"> </w:t>
      </w:r>
      <w:r w:rsidRPr="00EB2BD8">
        <w:t>drainage work.</w:t>
      </w:r>
      <w:r w:rsidRPr="00EB2BD8">
        <w:rPr>
          <w:spacing w:val="-12"/>
        </w:rPr>
        <w:t xml:space="preserve"> </w:t>
      </w:r>
      <w:r w:rsidRPr="00EB2BD8">
        <w:t>It</w:t>
      </w:r>
      <w:r w:rsidRPr="00EB2BD8">
        <w:rPr>
          <w:spacing w:val="-12"/>
        </w:rPr>
        <w:t xml:space="preserve"> </w:t>
      </w:r>
      <w:r w:rsidRPr="00EB2BD8">
        <w:t>sets</w:t>
      </w:r>
      <w:r w:rsidRPr="00EB2BD8">
        <w:rPr>
          <w:spacing w:val="-12"/>
        </w:rPr>
        <w:t xml:space="preserve"> </w:t>
      </w:r>
      <w:r w:rsidRPr="00EB2BD8">
        <w:t>the</w:t>
      </w:r>
      <w:r w:rsidRPr="00EB2BD8">
        <w:rPr>
          <w:spacing w:val="-12"/>
        </w:rPr>
        <w:t xml:space="preserve"> </w:t>
      </w:r>
      <w:r w:rsidRPr="00EB2BD8">
        <w:t>minimum</w:t>
      </w:r>
      <w:r w:rsidRPr="00EB2BD8">
        <w:rPr>
          <w:spacing w:val="-12"/>
        </w:rPr>
        <w:t xml:space="preserve"> </w:t>
      </w:r>
      <w:r w:rsidRPr="00EB2BD8">
        <w:t>required</w:t>
      </w:r>
      <w:r w:rsidRPr="00EB2BD8">
        <w:rPr>
          <w:spacing w:val="-12"/>
        </w:rPr>
        <w:t xml:space="preserve"> </w:t>
      </w:r>
      <w:r w:rsidRPr="00EB2BD8">
        <w:t>level</w:t>
      </w:r>
      <w:r w:rsidRPr="00EB2BD8">
        <w:rPr>
          <w:spacing w:val="-12"/>
        </w:rPr>
        <w:t xml:space="preserve"> </w:t>
      </w:r>
      <w:r w:rsidRPr="00EB2BD8">
        <w:t>for</w:t>
      </w:r>
      <w:r w:rsidRPr="00EB2BD8">
        <w:rPr>
          <w:spacing w:val="-12"/>
        </w:rPr>
        <w:t xml:space="preserve"> </w:t>
      </w:r>
      <w:r w:rsidRPr="00EB2BD8">
        <w:t>the</w:t>
      </w:r>
      <w:r w:rsidRPr="00EB2BD8">
        <w:rPr>
          <w:spacing w:val="-12"/>
        </w:rPr>
        <w:t xml:space="preserve"> </w:t>
      </w:r>
      <w:r w:rsidRPr="00EB2BD8">
        <w:t>safety, health, amenity, accessibility and sustainability of certain</w:t>
      </w:r>
      <w:r w:rsidRPr="00EB2BD8">
        <w:rPr>
          <w:spacing w:val="-6"/>
        </w:rPr>
        <w:t xml:space="preserve"> </w:t>
      </w:r>
      <w:r w:rsidRPr="00EB2BD8">
        <w:t>buildings.</w:t>
      </w:r>
    </w:p>
    <w:p w14:paraId="23D31851" w14:textId="77777777" w:rsidR="00084F36" w:rsidRPr="00EB2BD8" w:rsidRDefault="00EB2BD8">
      <w:pPr>
        <w:pStyle w:val="BodyText"/>
        <w:spacing w:before="107" w:line="261" w:lineRule="auto"/>
        <w:ind w:left="863" w:right="80"/>
      </w:pPr>
      <w:r w:rsidRPr="00EB2BD8">
        <w:t>The Australian Building Codes Board (ABCB) produces and maintains the NCC on behalf of the Australian state and territory governments.</w:t>
      </w:r>
    </w:p>
    <w:p w14:paraId="7458B1F7" w14:textId="77777777" w:rsidR="00084F36" w:rsidRPr="00EB2BD8" w:rsidRDefault="00EB2BD8">
      <w:pPr>
        <w:pStyle w:val="BodyText"/>
        <w:spacing w:before="110" w:line="261" w:lineRule="auto"/>
        <w:ind w:left="863" w:right="122"/>
      </w:pPr>
      <w:r w:rsidRPr="00EB2BD8">
        <w:t xml:space="preserve">Updated every three years, NCC 2022 was published </w:t>
      </w:r>
      <w:r w:rsidRPr="00EB2BD8">
        <w:rPr>
          <w:spacing w:val="-4"/>
        </w:rPr>
        <w:t>on</w:t>
      </w:r>
      <w:r w:rsidRPr="00EB2BD8">
        <w:rPr>
          <w:spacing w:val="-7"/>
        </w:rPr>
        <w:t xml:space="preserve"> </w:t>
      </w:r>
      <w:r w:rsidRPr="00EB2BD8">
        <w:rPr>
          <w:spacing w:val="-4"/>
        </w:rPr>
        <w:t>1</w:t>
      </w:r>
      <w:r w:rsidRPr="00EB2BD8">
        <w:rPr>
          <w:spacing w:val="-7"/>
        </w:rPr>
        <w:t xml:space="preserve"> </w:t>
      </w:r>
      <w:r w:rsidRPr="00EB2BD8">
        <w:rPr>
          <w:spacing w:val="-4"/>
        </w:rPr>
        <w:t>October</w:t>
      </w:r>
      <w:r w:rsidRPr="00EB2BD8">
        <w:rPr>
          <w:spacing w:val="-7"/>
        </w:rPr>
        <w:t xml:space="preserve"> </w:t>
      </w:r>
      <w:r w:rsidRPr="00EB2BD8">
        <w:rPr>
          <w:spacing w:val="-4"/>
        </w:rPr>
        <w:t>2022</w:t>
      </w:r>
      <w:r w:rsidRPr="00EB2BD8">
        <w:rPr>
          <w:spacing w:val="-7"/>
        </w:rPr>
        <w:t xml:space="preserve"> </w:t>
      </w:r>
      <w:r w:rsidRPr="00EB2BD8">
        <w:rPr>
          <w:spacing w:val="-4"/>
        </w:rPr>
        <w:t>and</w:t>
      </w:r>
      <w:r w:rsidRPr="00EB2BD8">
        <w:rPr>
          <w:spacing w:val="-7"/>
        </w:rPr>
        <w:t xml:space="preserve"> </w:t>
      </w:r>
      <w:r w:rsidRPr="00EB2BD8">
        <w:rPr>
          <w:spacing w:val="-4"/>
        </w:rPr>
        <w:t>adopted,</w:t>
      </w:r>
      <w:r w:rsidRPr="00EB2BD8">
        <w:rPr>
          <w:spacing w:val="-7"/>
        </w:rPr>
        <w:t xml:space="preserve"> </w:t>
      </w:r>
      <w:r w:rsidRPr="00EB2BD8">
        <w:rPr>
          <w:spacing w:val="-4"/>
        </w:rPr>
        <w:t>in</w:t>
      </w:r>
      <w:r w:rsidRPr="00EB2BD8">
        <w:rPr>
          <w:spacing w:val="-7"/>
        </w:rPr>
        <w:t xml:space="preserve"> </w:t>
      </w:r>
      <w:r w:rsidRPr="00EB2BD8">
        <w:rPr>
          <w:spacing w:val="-4"/>
        </w:rPr>
        <w:t>part,</w:t>
      </w:r>
      <w:r w:rsidRPr="00EB2BD8">
        <w:rPr>
          <w:spacing w:val="-7"/>
        </w:rPr>
        <w:t xml:space="preserve"> </w:t>
      </w:r>
      <w:r w:rsidRPr="00EB2BD8">
        <w:rPr>
          <w:spacing w:val="-4"/>
        </w:rPr>
        <w:t>in</w:t>
      </w:r>
      <w:r w:rsidRPr="00EB2BD8">
        <w:rPr>
          <w:spacing w:val="-7"/>
        </w:rPr>
        <w:t xml:space="preserve"> </w:t>
      </w:r>
      <w:r w:rsidRPr="00EB2BD8">
        <w:rPr>
          <w:spacing w:val="-4"/>
        </w:rPr>
        <w:t>Victoria</w:t>
      </w:r>
      <w:r w:rsidRPr="00EB2BD8">
        <w:rPr>
          <w:spacing w:val="-7"/>
        </w:rPr>
        <w:t xml:space="preserve"> </w:t>
      </w:r>
      <w:r w:rsidRPr="00EB2BD8">
        <w:rPr>
          <w:spacing w:val="-4"/>
        </w:rPr>
        <w:t>on</w:t>
      </w:r>
      <w:r w:rsidRPr="00EB2BD8">
        <w:rPr>
          <w:spacing w:val="-7"/>
        </w:rPr>
        <w:t xml:space="preserve"> </w:t>
      </w:r>
      <w:r w:rsidRPr="00EB2BD8">
        <w:rPr>
          <w:spacing w:val="-4"/>
        </w:rPr>
        <w:t xml:space="preserve">1 </w:t>
      </w:r>
      <w:r w:rsidRPr="00EB2BD8">
        <w:t>May</w:t>
      </w:r>
      <w:r w:rsidRPr="00EB2BD8">
        <w:rPr>
          <w:spacing w:val="-6"/>
        </w:rPr>
        <w:t xml:space="preserve"> </w:t>
      </w:r>
      <w:r w:rsidRPr="00EB2BD8">
        <w:t>2023.</w:t>
      </w:r>
    </w:p>
    <w:p w14:paraId="09B04912" w14:textId="77777777" w:rsidR="00084F36" w:rsidRPr="00EB2BD8" w:rsidRDefault="00EB2BD8">
      <w:pPr>
        <w:pStyle w:val="BodyText"/>
        <w:spacing w:before="110" w:line="261" w:lineRule="auto"/>
        <w:ind w:left="863" w:right="7"/>
      </w:pPr>
      <w:r w:rsidRPr="00EB2BD8">
        <w:t xml:space="preserve">NCC 2022 includes a transition for energy efficiency, livable housing and condensation management, which </w:t>
      </w:r>
      <w:r w:rsidRPr="00EB2BD8">
        <w:rPr>
          <w:spacing w:val="-2"/>
        </w:rPr>
        <w:t>is</w:t>
      </w:r>
      <w:r w:rsidRPr="00EB2BD8">
        <w:rPr>
          <w:spacing w:val="-9"/>
        </w:rPr>
        <w:t xml:space="preserve"> </w:t>
      </w:r>
      <w:r w:rsidRPr="00EB2BD8">
        <w:rPr>
          <w:spacing w:val="-2"/>
        </w:rPr>
        <w:t>currently</w:t>
      </w:r>
      <w:r w:rsidRPr="00EB2BD8">
        <w:rPr>
          <w:spacing w:val="-9"/>
        </w:rPr>
        <w:t xml:space="preserve"> </w:t>
      </w:r>
      <w:r w:rsidRPr="00EB2BD8">
        <w:rPr>
          <w:spacing w:val="-2"/>
        </w:rPr>
        <w:t>proposed</w:t>
      </w:r>
      <w:r w:rsidRPr="00EB2BD8">
        <w:rPr>
          <w:spacing w:val="-9"/>
        </w:rPr>
        <w:t xml:space="preserve"> </w:t>
      </w:r>
      <w:r w:rsidRPr="00EB2BD8">
        <w:rPr>
          <w:spacing w:val="-2"/>
        </w:rPr>
        <w:t>to</w:t>
      </w:r>
      <w:r w:rsidRPr="00EB2BD8">
        <w:rPr>
          <w:spacing w:val="-9"/>
        </w:rPr>
        <w:t xml:space="preserve"> </w:t>
      </w:r>
      <w:r w:rsidRPr="00EB2BD8">
        <w:rPr>
          <w:spacing w:val="-2"/>
        </w:rPr>
        <w:t>be</w:t>
      </w:r>
      <w:r w:rsidRPr="00EB2BD8">
        <w:rPr>
          <w:spacing w:val="-9"/>
        </w:rPr>
        <w:t xml:space="preserve"> </w:t>
      </w:r>
      <w:r w:rsidRPr="00EB2BD8">
        <w:rPr>
          <w:spacing w:val="-2"/>
        </w:rPr>
        <w:t>adopted</w:t>
      </w:r>
      <w:r w:rsidRPr="00EB2BD8">
        <w:rPr>
          <w:spacing w:val="-9"/>
        </w:rPr>
        <w:t xml:space="preserve"> </w:t>
      </w:r>
      <w:r w:rsidRPr="00EB2BD8">
        <w:rPr>
          <w:spacing w:val="-2"/>
        </w:rPr>
        <w:t>on</w:t>
      </w:r>
      <w:r w:rsidRPr="00EB2BD8">
        <w:rPr>
          <w:spacing w:val="-9"/>
        </w:rPr>
        <w:t xml:space="preserve"> </w:t>
      </w:r>
      <w:r w:rsidRPr="00EB2BD8">
        <w:rPr>
          <w:spacing w:val="-2"/>
          <w:w w:val="95"/>
        </w:rPr>
        <w:t>1</w:t>
      </w:r>
      <w:r w:rsidRPr="00EB2BD8">
        <w:rPr>
          <w:spacing w:val="-7"/>
          <w:w w:val="95"/>
        </w:rPr>
        <w:t xml:space="preserve"> </w:t>
      </w:r>
      <w:r w:rsidRPr="00EB2BD8">
        <w:rPr>
          <w:spacing w:val="-2"/>
        </w:rPr>
        <w:t>May</w:t>
      </w:r>
      <w:r w:rsidRPr="00EB2BD8">
        <w:rPr>
          <w:spacing w:val="-9"/>
        </w:rPr>
        <w:t xml:space="preserve"> </w:t>
      </w:r>
      <w:r w:rsidRPr="00EB2BD8">
        <w:rPr>
          <w:spacing w:val="-2"/>
        </w:rPr>
        <w:t>2024.</w:t>
      </w:r>
      <w:r w:rsidRPr="00EB2BD8">
        <w:rPr>
          <w:spacing w:val="-9"/>
        </w:rPr>
        <w:t xml:space="preserve"> </w:t>
      </w:r>
      <w:r w:rsidRPr="00EB2BD8">
        <w:rPr>
          <w:spacing w:val="-2"/>
        </w:rPr>
        <w:t xml:space="preserve">New </w:t>
      </w:r>
      <w:r w:rsidRPr="00EB2BD8">
        <w:t xml:space="preserve">lead free plumbing product requirements is proposed to be adopted on </w:t>
      </w:r>
      <w:r w:rsidRPr="00EB2BD8">
        <w:rPr>
          <w:w w:val="95"/>
        </w:rPr>
        <w:t xml:space="preserve">1 </w:t>
      </w:r>
      <w:r w:rsidRPr="00EB2BD8">
        <w:t>May 2026.</w:t>
      </w:r>
    </w:p>
    <w:p w14:paraId="4AEFE03A" w14:textId="77777777" w:rsidR="00084F36" w:rsidRPr="00EB2BD8" w:rsidRDefault="00EB2BD8">
      <w:pPr>
        <w:pStyle w:val="BodyText"/>
        <w:spacing w:before="109" w:line="261" w:lineRule="auto"/>
        <w:ind w:left="863"/>
      </w:pPr>
      <w:r w:rsidRPr="00EB2BD8">
        <w:t>The VBA prepared our people and building and plumbing practitioners for the most significant amendments to the NCC since its inception in 1996. Guidance materials enabling practitioners to better navigate NCC 2022 were published and shared with practitioners</w:t>
      </w:r>
      <w:r w:rsidRPr="00EB2BD8">
        <w:rPr>
          <w:spacing w:val="-1"/>
        </w:rPr>
        <w:t xml:space="preserve"> </w:t>
      </w:r>
      <w:r w:rsidRPr="00EB2BD8">
        <w:t>and</w:t>
      </w:r>
      <w:r w:rsidRPr="00EB2BD8">
        <w:rPr>
          <w:spacing w:val="-1"/>
        </w:rPr>
        <w:t xml:space="preserve"> </w:t>
      </w:r>
      <w:r w:rsidRPr="00EB2BD8">
        <w:t>consumers</w:t>
      </w:r>
      <w:r w:rsidRPr="00EB2BD8">
        <w:rPr>
          <w:spacing w:val="-1"/>
        </w:rPr>
        <w:t xml:space="preserve"> </w:t>
      </w:r>
      <w:r w:rsidRPr="00EB2BD8">
        <w:t>ahead</w:t>
      </w:r>
      <w:r w:rsidRPr="00EB2BD8">
        <w:rPr>
          <w:spacing w:val="-1"/>
        </w:rPr>
        <w:t xml:space="preserve"> </w:t>
      </w:r>
      <w:r w:rsidRPr="00EB2BD8">
        <w:t>of</w:t>
      </w:r>
      <w:r w:rsidRPr="00EB2BD8">
        <w:rPr>
          <w:spacing w:val="-1"/>
        </w:rPr>
        <w:t xml:space="preserve"> </w:t>
      </w:r>
      <w:r w:rsidRPr="00EB2BD8">
        <w:t>their</w:t>
      </w:r>
      <w:r w:rsidRPr="00EB2BD8">
        <w:rPr>
          <w:spacing w:val="-1"/>
        </w:rPr>
        <w:t xml:space="preserve"> </w:t>
      </w:r>
      <w:r w:rsidRPr="00EB2BD8">
        <w:t>adoption</w:t>
      </w:r>
      <w:r w:rsidRPr="00EB2BD8">
        <w:rPr>
          <w:spacing w:val="-1"/>
        </w:rPr>
        <w:t xml:space="preserve"> </w:t>
      </w:r>
      <w:r w:rsidRPr="00EB2BD8">
        <w:t xml:space="preserve">in </w:t>
      </w:r>
      <w:r w:rsidRPr="00EB2BD8">
        <w:rPr>
          <w:spacing w:val="-2"/>
        </w:rPr>
        <w:t>Victoria.</w:t>
      </w:r>
    </w:p>
    <w:p w14:paraId="6F79DCBF" w14:textId="77777777" w:rsidR="00084F36" w:rsidRPr="00EB2BD8" w:rsidRDefault="00EB2BD8">
      <w:pPr>
        <w:pStyle w:val="BodyText"/>
        <w:spacing w:before="106" w:line="261" w:lineRule="auto"/>
        <w:ind w:left="863" w:right="144"/>
      </w:pPr>
      <w:r w:rsidRPr="00EB2BD8">
        <w:t>The VBA undertook numerous initiatives during the year</w:t>
      </w:r>
      <w:r w:rsidRPr="00EB2BD8">
        <w:rPr>
          <w:spacing w:val="-10"/>
        </w:rPr>
        <w:t xml:space="preserve"> </w:t>
      </w:r>
      <w:r w:rsidRPr="00EB2BD8">
        <w:t>to</w:t>
      </w:r>
      <w:r w:rsidRPr="00EB2BD8">
        <w:rPr>
          <w:spacing w:val="-10"/>
        </w:rPr>
        <w:t xml:space="preserve"> </w:t>
      </w:r>
      <w:r w:rsidRPr="00EB2BD8">
        <w:t>educate</w:t>
      </w:r>
      <w:r w:rsidRPr="00EB2BD8">
        <w:rPr>
          <w:spacing w:val="-10"/>
        </w:rPr>
        <w:t xml:space="preserve"> </w:t>
      </w:r>
      <w:r w:rsidRPr="00EB2BD8">
        <w:t>practitioners</w:t>
      </w:r>
      <w:r w:rsidRPr="00EB2BD8">
        <w:rPr>
          <w:spacing w:val="-10"/>
        </w:rPr>
        <w:t xml:space="preserve"> </w:t>
      </w:r>
      <w:r w:rsidRPr="00EB2BD8">
        <w:t>about</w:t>
      </w:r>
      <w:r w:rsidRPr="00EB2BD8">
        <w:rPr>
          <w:spacing w:val="-10"/>
        </w:rPr>
        <w:t xml:space="preserve"> </w:t>
      </w:r>
      <w:r w:rsidRPr="00EB2BD8">
        <w:t>NCC</w:t>
      </w:r>
      <w:r w:rsidRPr="00EB2BD8">
        <w:rPr>
          <w:spacing w:val="-10"/>
        </w:rPr>
        <w:t xml:space="preserve"> </w:t>
      </w:r>
      <w:r w:rsidRPr="00EB2BD8">
        <w:t>2022,</w:t>
      </w:r>
      <w:r w:rsidRPr="00EB2BD8">
        <w:rPr>
          <w:spacing w:val="-10"/>
        </w:rPr>
        <w:t xml:space="preserve"> </w:t>
      </w:r>
      <w:r w:rsidRPr="00EB2BD8">
        <w:t xml:space="preserve">which </w:t>
      </w:r>
      <w:r w:rsidRPr="00EB2BD8">
        <w:rPr>
          <w:spacing w:val="-2"/>
        </w:rPr>
        <w:t>included:</w:t>
      </w:r>
    </w:p>
    <w:p w14:paraId="311676C3" w14:textId="77777777" w:rsidR="00084F36" w:rsidRPr="00EB2BD8" w:rsidRDefault="00EB2BD8">
      <w:pPr>
        <w:pStyle w:val="ListParagraph"/>
        <w:numPr>
          <w:ilvl w:val="2"/>
          <w:numId w:val="68"/>
        </w:numPr>
        <w:tabs>
          <w:tab w:val="left" w:pos="1147"/>
        </w:tabs>
        <w:spacing w:before="110" w:line="261" w:lineRule="auto"/>
        <w:ind w:right="69"/>
        <w:rPr>
          <w:sz w:val="18"/>
        </w:rPr>
      </w:pPr>
      <w:r w:rsidRPr="00EB2BD8">
        <w:rPr>
          <w:spacing w:val="-2"/>
          <w:w w:val="105"/>
          <w:sz w:val="18"/>
        </w:rPr>
        <w:t>Participation</w:t>
      </w:r>
      <w:r w:rsidRPr="00EB2BD8">
        <w:rPr>
          <w:spacing w:val="-9"/>
          <w:w w:val="105"/>
          <w:sz w:val="18"/>
        </w:rPr>
        <w:t xml:space="preserve"> </w:t>
      </w:r>
      <w:r w:rsidRPr="00EB2BD8">
        <w:rPr>
          <w:spacing w:val="-2"/>
          <w:w w:val="105"/>
          <w:sz w:val="18"/>
        </w:rPr>
        <w:t>in</w:t>
      </w:r>
      <w:r w:rsidRPr="00EB2BD8">
        <w:rPr>
          <w:spacing w:val="-9"/>
          <w:w w:val="105"/>
          <w:sz w:val="18"/>
        </w:rPr>
        <w:t xml:space="preserve"> </w:t>
      </w:r>
      <w:r w:rsidRPr="00EB2BD8">
        <w:rPr>
          <w:spacing w:val="-2"/>
          <w:w w:val="105"/>
          <w:sz w:val="18"/>
        </w:rPr>
        <w:t>the</w:t>
      </w:r>
      <w:r w:rsidRPr="00EB2BD8">
        <w:rPr>
          <w:spacing w:val="-9"/>
          <w:w w:val="105"/>
          <w:sz w:val="18"/>
        </w:rPr>
        <w:t xml:space="preserve"> </w:t>
      </w:r>
      <w:r w:rsidRPr="00EB2BD8">
        <w:rPr>
          <w:spacing w:val="-2"/>
          <w:w w:val="105"/>
          <w:sz w:val="18"/>
        </w:rPr>
        <w:t>ABCB</w:t>
      </w:r>
      <w:r w:rsidRPr="00EB2BD8">
        <w:rPr>
          <w:spacing w:val="-9"/>
          <w:w w:val="105"/>
          <w:sz w:val="18"/>
        </w:rPr>
        <w:t xml:space="preserve"> </w:t>
      </w:r>
      <w:r w:rsidRPr="00EB2BD8">
        <w:rPr>
          <w:spacing w:val="-2"/>
          <w:w w:val="105"/>
          <w:sz w:val="18"/>
        </w:rPr>
        <w:t>NCC</w:t>
      </w:r>
      <w:r w:rsidRPr="00EB2BD8">
        <w:rPr>
          <w:spacing w:val="-9"/>
          <w:w w:val="105"/>
          <w:sz w:val="18"/>
        </w:rPr>
        <w:t xml:space="preserve"> </w:t>
      </w:r>
      <w:r w:rsidRPr="00EB2BD8">
        <w:rPr>
          <w:spacing w:val="-2"/>
          <w:w w:val="105"/>
          <w:sz w:val="18"/>
        </w:rPr>
        <w:t>2022</w:t>
      </w:r>
      <w:r w:rsidRPr="00EB2BD8">
        <w:rPr>
          <w:spacing w:val="-9"/>
          <w:w w:val="105"/>
          <w:sz w:val="18"/>
        </w:rPr>
        <w:t xml:space="preserve"> </w:t>
      </w:r>
      <w:r w:rsidRPr="00EB2BD8">
        <w:rPr>
          <w:spacing w:val="-2"/>
          <w:w w:val="105"/>
          <w:sz w:val="18"/>
        </w:rPr>
        <w:t>seminars</w:t>
      </w:r>
      <w:r w:rsidRPr="00EB2BD8">
        <w:rPr>
          <w:spacing w:val="-9"/>
          <w:w w:val="105"/>
          <w:sz w:val="18"/>
        </w:rPr>
        <w:t xml:space="preserve"> </w:t>
      </w:r>
      <w:r w:rsidRPr="00EB2BD8">
        <w:rPr>
          <w:spacing w:val="-2"/>
          <w:w w:val="105"/>
          <w:sz w:val="18"/>
        </w:rPr>
        <w:t xml:space="preserve">held </w:t>
      </w:r>
      <w:r w:rsidRPr="00EB2BD8">
        <w:rPr>
          <w:sz w:val="18"/>
        </w:rPr>
        <w:t>at</w:t>
      </w:r>
      <w:r w:rsidRPr="00EB2BD8">
        <w:rPr>
          <w:spacing w:val="-4"/>
          <w:sz w:val="18"/>
        </w:rPr>
        <w:t xml:space="preserve"> </w:t>
      </w:r>
      <w:r w:rsidRPr="00EB2BD8">
        <w:rPr>
          <w:sz w:val="18"/>
        </w:rPr>
        <w:t>the</w:t>
      </w:r>
      <w:r w:rsidRPr="00EB2BD8">
        <w:rPr>
          <w:spacing w:val="-4"/>
          <w:sz w:val="18"/>
        </w:rPr>
        <w:t xml:space="preserve"> </w:t>
      </w:r>
      <w:r w:rsidRPr="00EB2BD8">
        <w:rPr>
          <w:sz w:val="18"/>
        </w:rPr>
        <w:t>Melbourne</w:t>
      </w:r>
      <w:r w:rsidRPr="00EB2BD8">
        <w:rPr>
          <w:spacing w:val="-4"/>
          <w:sz w:val="18"/>
        </w:rPr>
        <w:t xml:space="preserve"> </w:t>
      </w:r>
      <w:r w:rsidRPr="00EB2BD8">
        <w:rPr>
          <w:sz w:val="18"/>
        </w:rPr>
        <w:t>Convention</w:t>
      </w:r>
      <w:r w:rsidRPr="00EB2BD8">
        <w:rPr>
          <w:spacing w:val="-4"/>
          <w:sz w:val="18"/>
        </w:rPr>
        <w:t xml:space="preserve"> </w:t>
      </w:r>
      <w:r w:rsidRPr="00EB2BD8">
        <w:rPr>
          <w:sz w:val="18"/>
        </w:rPr>
        <w:t>and</w:t>
      </w:r>
      <w:r w:rsidRPr="00EB2BD8">
        <w:rPr>
          <w:spacing w:val="-4"/>
          <w:sz w:val="18"/>
        </w:rPr>
        <w:t xml:space="preserve"> </w:t>
      </w:r>
      <w:r w:rsidRPr="00EB2BD8">
        <w:rPr>
          <w:sz w:val="18"/>
        </w:rPr>
        <w:t>Exhibition</w:t>
      </w:r>
      <w:r w:rsidRPr="00EB2BD8">
        <w:rPr>
          <w:spacing w:val="-4"/>
          <w:sz w:val="18"/>
        </w:rPr>
        <w:t xml:space="preserve"> </w:t>
      </w:r>
      <w:r w:rsidRPr="00EB2BD8">
        <w:rPr>
          <w:sz w:val="18"/>
        </w:rPr>
        <w:t xml:space="preserve">Centre </w:t>
      </w:r>
      <w:r w:rsidRPr="00EB2BD8">
        <w:rPr>
          <w:w w:val="105"/>
          <w:sz w:val="18"/>
        </w:rPr>
        <w:t>in July 2022.</w:t>
      </w:r>
    </w:p>
    <w:p w14:paraId="45D6D58E" w14:textId="77777777" w:rsidR="00084F36" w:rsidRPr="00EB2BD8" w:rsidRDefault="00EB2BD8">
      <w:pPr>
        <w:pStyle w:val="ListParagraph"/>
        <w:numPr>
          <w:ilvl w:val="0"/>
          <w:numId w:val="68"/>
        </w:numPr>
        <w:tabs>
          <w:tab w:val="left" w:pos="710"/>
        </w:tabs>
        <w:spacing w:before="96"/>
        <w:ind w:left="710"/>
        <w:rPr>
          <w:sz w:val="18"/>
        </w:rPr>
      </w:pPr>
      <w:r w:rsidRPr="00EB2BD8">
        <w:br w:type="column"/>
      </w:r>
      <w:r w:rsidRPr="00EB2BD8">
        <w:rPr>
          <w:sz w:val="18"/>
        </w:rPr>
        <w:t>Creation</w:t>
      </w:r>
      <w:r w:rsidRPr="00EB2BD8">
        <w:rPr>
          <w:spacing w:val="-10"/>
          <w:sz w:val="18"/>
        </w:rPr>
        <w:t xml:space="preserve"> </w:t>
      </w:r>
      <w:r w:rsidRPr="00EB2BD8">
        <w:rPr>
          <w:sz w:val="18"/>
        </w:rPr>
        <w:t>of</w:t>
      </w:r>
      <w:r w:rsidRPr="00EB2BD8">
        <w:rPr>
          <w:spacing w:val="-9"/>
          <w:sz w:val="18"/>
        </w:rPr>
        <w:t xml:space="preserve"> </w:t>
      </w:r>
      <w:r w:rsidRPr="00EB2BD8">
        <w:rPr>
          <w:sz w:val="18"/>
        </w:rPr>
        <w:t>an</w:t>
      </w:r>
      <w:r w:rsidRPr="00EB2BD8">
        <w:rPr>
          <w:spacing w:val="-10"/>
          <w:sz w:val="18"/>
        </w:rPr>
        <w:t xml:space="preserve"> </w:t>
      </w:r>
      <w:r w:rsidRPr="00EB2BD8">
        <w:rPr>
          <w:sz w:val="18"/>
        </w:rPr>
        <w:t>NCC</w:t>
      </w:r>
      <w:r w:rsidRPr="00EB2BD8">
        <w:rPr>
          <w:spacing w:val="-9"/>
          <w:sz w:val="18"/>
        </w:rPr>
        <w:t xml:space="preserve"> </w:t>
      </w:r>
      <w:r w:rsidRPr="00EB2BD8">
        <w:rPr>
          <w:sz w:val="18"/>
        </w:rPr>
        <w:t>2022</w:t>
      </w:r>
      <w:r w:rsidRPr="00EB2BD8">
        <w:rPr>
          <w:spacing w:val="-9"/>
          <w:sz w:val="18"/>
        </w:rPr>
        <w:t xml:space="preserve"> </w:t>
      </w:r>
      <w:r w:rsidRPr="00EB2BD8">
        <w:rPr>
          <w:sz w:val="18"/>
        </w:rPr>
        <w:t>hub</w:t>
      </w:r>
      <w:r w:rsidRPr="00EB2BD8">
        <w:rPr>
          <w:spacing w:val="-10"/>
          <w:sz w:val="18"/>
        </w:rPr>
        <w:t xml:space="preserve"> </w:t>
      </w:r>
      <w:r w:rsidRPr="00EB2BD8">
        <w:rPr>
          <w:sz w:val="18"/>
        </w:rPr>
        <w:t>on</w:t>
      </w:r>
      <w:r w:rsidRPr="00EB2BD8">
        <w:rPr>
          <w:spacing w:val="-9"/>
          <w:sz w:val="18"/>
        </w:rPr>
        <w:t xml:space="preserve"> </w:t>
      </w:r>
      <w:r w:rsidRPr="00EB2BD8">
        <w:rPr>
          <w:sz w:val="18"/>
        </w:rPr>
        <w:t>the</w:t>
      </w:r>
      <w:r w:rsidRPr="00EB2BD8">
        <w:rPr>
          <w:spacing w:val="-9"/>
          <w:sz w:val="18"/>
        </w:rPr>
        <w:t xml:space="preserve"> </w:t>
      </w:r>
      <w:r w:rsidRPr="00EB2BD8">
        <w:rPr>
          <w:sz w:val="18"/>
        </w:rPr>
        <w:t>VBA</w:t>
      </w:r>
      <w:r w:rsidRPr="00EB2BD8">
        <w:rPr>
          <w:spacing w:val="-10"/>
          <w:sz w:val="18"/>
        </w:rPr>
        <w:t xml:space="preserve"> </w:t>
      </w:r>
      <w:r w:rsidRPr="00EB2BD8">
        <w:rPr>
          <w:spacing w:val="-2"/>
          <w:sz w:val="18"/>
        </w:rPr>
        <w:t>website.</w:t>
      </w:r>
    </w:p>
    <w:p w14:paraId="5DCB83B2" w14:textId="77777777" w:rsidR="00084F36" w:rsidRPr="00EB2BD8" w:rsidRDefault="00EB2BD8">
      <w:pPr>
        <w:pStyle w:val="ListParagraph"/>
        <w:numPr>
          <w:ilvl w:val="0"/>
          <w:numId w:val="68"/>
        </w:numPr>
        <w:tabs>
          <w:tab w:val="left" w:pos="710"/>
        </w:tabs>
        <w:spacing w:before="68" w:line="261" w:lineRule="auto"/>
        <w:ind w:left="710" w:right="861"/>
        <w:rPr>
          <w:sz w:val="18"/>
        </w:rPr>
      </w:pPr>
      <w:r w:rsidRPr="00EB2BD8">
        <w:rPr>
          <w:sz w:val="18"/>
        </w:rPr>
        <w:t>Engaging with registered training organisations on updating</w:t>
      </w:r>
      <w:r w:rsidRPr="00EB2BD8">
        <w:rPr>
          <w:spacing w:val="-5"/>
          <w:sz w:val="18"/>
        </w:rPr>
        <w:t xml:space="preserve"> </w:t>
      </w:r>
      <w:r w:rsidRPr="00EB2BD8">
        <w:rPr>
          <w:sz w:val="18"/>
        </w:rPr>
        <w:t>their</w:t>
      </w:r>
      <w:r w:rsidRPr="00EB2BD8">
        <w:rPr>
          <w:spacing w:val="-5"/>
          <w:sz w:val="18"/>
        </w:rPr>
        <w:t xml:space="preserve"> </w:t>
      </w:r>
      <w:r w:rsidRPr="00EB2BD8">
        <w:rPr>
          <w:sz w:val="18"/>
        </w:rPr>
        <w:t>course</w:t>
      </w:r>
      <w:r w:rsidRPr="00EB2BD8">
        <w:rPr>
          <w:spacing w:val="-5"/>
          <w:sz w:val="18"/>
        </w:rPr>
        <w:t xml:space="preserve"> </w:t>
      </w:r>
      <w:r w:rsidRPr="00EB2BD8">
        <w:rPr>
          <w:sz w:val="18"/>
        </w:rPr>
        <w:t>and</w:t>
      </w:r>
      <w:r w:rsidRPr="00EB2BD8">
        <w:rPr>
          <w:spacing w:val="-5"/>
          <w:sz w:val="18"/>
        </w:rPr>
        <w:t xml:space="preserve"> </w:t>
      </w:r>
      <w:r w:rsidRPr="00EB2BD8">
        <w:rPr>
          <w:sz w:val="18"/>
        </w:rPr>
        <w:t>exam</w:t>
      </w:r>
      <w:r w:rsidRPr="00EB2BD8">
        <w:rPr>
          <w:spacing w:val="-5"/>
          <w:sz w:val="18"/>
        </w:rPr>
        <w:t xml:space="preserve"> </w:t>
      </w:r>
      <w:r w:rsidRPr="00EB2BD8">
        <w:rPr>
          <w:sz w:val="18"/>
        </w:rPr>
        <w:t>content</w:t>
      </w:r>
      <w:r w:rsidRPr="00EB2BD8">
        <w:rPr>
          <w:spacing w:val="-5"/>
          <w:sz w:val="18"/>
        </w:rPr>
        <w:t xml:space="preserve"> </w:t>
      </w:r>
      <w:r w:rsidRPr="00EB2BD8">
        <w:rPr>
          <w:sz w:val="18"/>
        </w:rPr>
        <w:t>to</w:t>
      </w:r>
      <w:r w:rsidRPr="00EB2BD8">
        <w:rPr>
          <w:spacing w:val="-5"/>
          <w:sz w:val="18"/>
        </w:rPr>
        <w:t xml:space="preserve"> </w:t>
      </w:r>
      <w:r w:rsidRPr="00EB2BD8">
        <w:rPr>
          <w:sz w:val="18"/>
        </w:rPr>
        <w:t>ensure</w:t>
      </w:r>
      <w:r w:rsidRPr="00EB2BD8">
        <w:rPr>
          <w:spacing w:val="-5"/>
          <w:sz w:val="18"/>
        </w:rPr>
        <w:t xml:space="preserve"> </w:t>
      </w:r>
      <w:r w:rsidRPr="00EB2BD8">
        <w:rPr>
          <w:sz w:val="18"/>
        </w:rPr>
        <w:t>it includes NCC 2022 detail.</w:t>
      </w:r>
    </w:p>
    <w:p w14:paraId="63883F12" w14:textId="77777777" w:rsidR="00084F36" w:rsidRPr="00EB2BD8" w:rsidRDefault="00EB2BD8">
      <w:pPr>
        <w:pStyle w:val="ListParagraph"/>
        <w:numPr>
          <w:ilvl w:val="0"/>
          <w:numId w:val="68"/>
        </w:numPr>
        <w:tabs>
          <w:tab w:val="left" w:pos="710"/>
        </w:tabs>
        <w:spacing w:before="47" w:line="261" w:lineRule="auto"/>
        <w:ind w:left="710" w:right="1186"/>
        <w:rPr>
          <w:sz w:val="18"/>
        </w:rPr>
      </w:pPr>
      <w:r w:rsidRPr="00EB2BD8">
        <w:rPr>
          <w:sz w:val="18"/>
        </w:rPr>
        <w:t>Providing</w:t>
      </w:r>
      <w:r w:rsidRPr="00EB2BD8">
        <w:rPr>
          <w:spacing w:val="-1"/>
          <w:sz w:val="18"/>
        </w:rPr>
        <w:t xml:space="preserve"> </w:t>
      </w:r>
      <w:r w:rsidRPr="00EB2BD8">
        <w:rPr>
          <w:sz w:val="18"/>
        </w:rPr>
        <w:t>regular</w:t>
      </w:r>
      <w:r w:rsidRPr="00EB2BD8">
        <w:rPr>
          <w:spacing w:val="-1"/>
          <w:sz w:val="18"/>
        </w:rPr>
        <w:t xml:space="preserve"> </w:t>
      </w:r>
      <w:r w:rsidRPr="00EB2BD8">
        <w:rPr>
          <w:sz w:val="18"/>
        </w:rPr>
        <w:t>updates</w:t>
      </w:r>
      <w:r w:rsidRPr="00EB2BD8">
        <w:rPr>
          <w:spacing w:val="-1"/>
          <w:sz w:val="18"/>
        </w:rPr>
        <w:t xml:space="preserve"> </w:t>
      </w:r>
      <w:r w:rsidRPr="00EB2BD8">
        <w:rPr>
          <w:sz w:val="18"/>
        </w:rPr>
        <w:t>to</w:t>
      </w:r>
      <w:r w:rsidRPr="00EB2BD8">
        <w:rPr>
          <w:spacing w:val="-1"/>
          <w:sz w:val="18"/>
        </w:rPr>
        <w:t xml:space="preserve"> </w:t>
      </w:r>
      <w:r w:rsidRPr="00EB2BD8">
        <w:rPr>
          <w:sz w:val="18"/>
        </w:rPr>
        <w:t>practitioners</w:t>
      </w:r>
      <w:r w:rsidRPr="00EB2BD8">
        <w:rPr>
          <w:spacing w:val="-1"/>
          <w:sz w:val="18"/>
        </w:rPr>
        <w:t xml:space="preserve"> </w:t>
      </w:r>
      <w:r w:rsidRPr="00EB2BD8">
        <w:rPr>
          <w:sz w:val="18"/>
        </w:rPr>
        <w:t>about NCC 2022 and adoption dates via Technical Bulletins and VBA Mail.</w:t>
      </w:r>
    </w:p>
    <w:p w14:paraId="7CE87598" w14:textId="77777777" w:rsidR="00084F36" w:rsidRPr="00EB2BD8" w:rsidRDefault="00EB2BD8">
      <w:pPr>
        <w:pStyle w:val="ListParagraph"/>
        <w:numPr>
          <w:ilvl w:val="0"/>
          <w:numId w:val="68"/>
        </w:numPr>
        <w:tabs>
          <w:tab w:val="left" w:pos="710"/>
        </w:tabs>
        <w:spacing w:before="47" w:line="261" w:lineRule="auto"/>
        <w:ind w:left="710" w:right="1216"/>
        <w:jc w:val="both"/>
        <w:rPr>
          <w:sz w:val="18"/>
        </w:rPr>
      </w:pPr>
      <w:r w:rsidRPr="00EB2BD8">
        <w:rPr>
          <w:sz w:val="18"/>
        </w:rPr>
        <w:t>Promotion</w:t>
      </w:r>
      <w:r w:rsidRPr="00EB2BD8">
        <w:rPr>
          <w:spacing w:val="-11"/>
          <w:sz w:val="18"/>
        </w:rPr>
        <w:t xml:space="preserve"> </w:t>
      </w:r>
      <w:r w:rsidRPr="00EB2BD8">
        <w:rPr>
          <w:sz w:val="18"/>
        </w:rPr>
        <w:t>of</w:t>
      </w:r>
      <w:r w:rsidRPr="00EB2BD8">
        <w:rPr>
          <w:spacing w:val="-11"/>
          <w:sz w:val="18"/>
        </w:rPr>
        <w:t xml:space="preserve"> </w:t>
      </w:r>
      <w:r w:rsidRPr="00EB2BD8">
        <w:rPr>
          <w:sz w:val="18"/>
        </w:rPr>
        <w:t>the</w:t>
      </w:r>
      <w:r w:rsidRPr="00EB2BD8">
        <w:rPr>
          <w:spacing w:val="-11"/>
          <w:sz w:val="18"/>
        </w:rPr>
        <w:t xml:space="preserve"> </w:t>
      </w:r>
      <w:r w:rsidRPr="00EB2BD8">
        <w:rPr>
          <w:sz w:val="18"/>
        </w:rPr>
        <w:t>ABCB</w:t>
      </w:r>
      <w:r w:rsidRPr="00EB2BD8">
        <w:rPr>
          <w:spacing w:val="-11"/>
          <w:sz w:val="18"/>
        </w:rPr>
        <w:t xml:space="preserve"> </w:t>
      </w:r>
      <w:r w:rsidRPr="00EB2BD8">
        <w:rPr>
          <w:sz w:val="18"/>
        </w:rPr>
        <w:t>NCC</w:t>
      </w:r>
      <w:r w:rsidRPr="00EB2BD8">
        <w:rPr>
          <w:spacing w:val="-11"/>
          <w:sz w:val="18"/>
        </w:rPr>
        <w:t xml:space="preserve"> </w:t>
      </w:r>
      <w:r w:rsidRPr="00EB2BD8">
        <w:rPr>
          <w:sz w:val="18"/>
        </w:rPr>
        <w:t>2022</w:t>
      </w:r>
      <w:r w:rsidRPr="00EB2BD8">
        <w:rPr>
          <w:spacing w:val="-11"/>
          <w:sz w:val="18"/>
        </w:rPr>
        <w:t xml:space="preserve"> </w:t>
      </w:r>
      <w:r w:rsidRPr="00EB2BD8">
        <w:rPr>
          <w:sz w:val="18"/>
        </w:rPr>
        <w:t>webinar</w:t>
      </w:r>
      <w:r w:rsidRPr="00EB2BD8">
        <w:rPr>
          <w:spacing w:val="-11"/>
          <w:sz w:val="18"/>
        </w:rPr>
        <w:t xml:space="preserve"> </w:t>
      </w:r>
      <w:r w:rsidRPr="00EB2BD8">
        <w:rPr>
          <w:sz w:val="18"/>
        </w:rPr>
        <w:t xml:space="preserve">series recordings and useful handbooks and guidance </w:t>
      </w:r>
      <w:r w:rsidRPr="00EB2BD8">
        <w:rPr>
          <w:spacing w:val="-2"/>
          <w:sz w:val="18"/>
        </w:rPr>
        <w:t>materials.</w:t>
      </w:r>
    </w:p>
    <w:p w14:paraId="7CF4432C" w14:textId="77777777" w:rsidR="00084F36" w:rsidRPr="00EB2BD8" w:rsidRDefault="00EB2BD8">
      <w:pPr>
        <w:pStyle w:val="ListParagraph"/>
        <w:numPr>
          <w:ilvl w:val="0"/>
          <w:numId w:val="68"/>
        </w:numPr>
        <w:tabs>
          <w:tab w:val="left" w:pos="709"/>
        </w:tabs>
        <w:spacing w:before="47"/>
        <w:ind w:left="709" w:hanging="283"/>
        <w:jc w:val="both"/>
        <w:rPr>
          <w:sz w:val="18"/>
        </w:rPr>
      </w:pPr>
      <w:r w:rsidRPr="00EB2BD8">
        <w:rPr>
          <w:sz w:val="18"/>
        </w:rPr>
        <w:t>Contributed</w:t>
      </w:r>
      <w:r w:rsidRPr="00EB2BD8">
        <w:rPr>
          <w:spacing w:val="-5"/>
          <w:sz w:val="18"/>
        </w:rPr>
        <w:t xml:space="preserve"> </w:t>
      </w:r>
      <w:r w:rsidRPr="00EB2BD8">
        <w:rPr>
          <w:sz w:val="18"/>
        </w:rPr>
        <w:t>to</w:t>
      </w:r>
      <w:r w:rsidRPr="00EB2BD8">
        <w:rPr>
          <w:spacing w:val="-4"/>
          <w:sz w:val="18"/>
        </w:rPr>
        <w:t xml:space="preserve"> </w:t>
      </w:r>
      <w:r w:rsidRPr="00EB2BD8">
        <w:rPr>
          <w:sz w:val="18"/>
        </w:rPr>
        <w:t>industry</w:t>
      </w:r>
      <w:r w:rsidRPr="00EB2BD8">
        <w:rPr>
          <w:spacing w:val="-5"/>
          <w:sz w:val="18"/>
        </w:rPr>
        <w:t xml:space="preserve"> </w:t>
      </w:r>
      <w:r w:rsidRPr="00EB2BD8">
        <w:rPr>
          <w:sz w:val="18"/>
        </w:rPr>
        <w:t>group</w:t>
      </w:r>
      <w:r w:rsidRPr="00EB2BD8">
        <w:rPr>
          <w:spacing w:val="-4"/>
          <w:sz w:val="18"/>
        </w:rPr>
        <w:t xml:space="preserve"> </w:t>
      </w:r>
      <w:r w:rsidRPr="00EB2BD8">
        <w:rPr>
          <w:sz w:val="18"/>
        </w:rPr>
        <w:t>NCC</w:t>
      </w:r>
      <w:r w:rsidRPr="00EB2BD8">
        <w:rPr>
          <w:spacing w:val="-5"/>
          <w:sz w:val="18"/>
        </w:rPr>
        <w:t xml:space="preserve"> </w:t>
      </w:r>
      <w:r w:rsidRPr="00EB2BD8">
        <w:rPr>
          <w:spacing w:val="-2"/>
          <w:sz w:val="18"/>
        </w:rPr>
        <w:t>Seminars</w:t>
      </w:r>
    </w:p>
    <w:p w14:paraId="41C1F209" w14:textId="77777777" w:rsidR="00084F36" w:rsidRPr="00EB2BD8" w:rsidRDefault="00EB2BD8">
      <w:pPr>
        <w:pStyle w:val="ListParagraph"/>
        <w:numPr>
          <w:ilvl w:val="0"/>
          <w:numId w:val="68"/>
        </w:numPr>
        <w:tabs>
          <w:tab w:val="left" w:pos="709"/>
        </w:tabs>
        <w:spacing w:before="68"/>
        <w:ind w:left="709" w:hanging="283"/>
        <w:jc w:val="both"/>
        <w:rPr>
          <w:sz w:val="18"/>
        </w:rPr>
      </w:pPr>
      <w:r w:rsidRPr="00EB2BD8">
        <w:rPr>
          <w:sz w:val="18"/>
        </w:rPr>
        <w:t>Hosting</w:t>
      </w:r>
      <w:r w:rsidRPr="00EB2BD8">
        <w:rPr>
          <w:spacing w:val="7"/>
          <w:sz w:val="18"/>
        </w:rPr>
        <w:t xml:space="preserve"> </w:t>
      </w:r>
      <w:r w:rsidRPr="00EB2BD8">
        <w:rPr>
          <w:sz w:val="18"/>
        </w:rPr>
        <w:t>a</w:t>
      </w:r>
      <w:r w:rsidRPr="00EB2BD8">
        <w:rPr>
          <w:spacing w:val="8"/>
          <w:sz w:val="18"/>
        </w:rPr>
        <w:t xml:space="preserve"> </w:t>
      </w:r>
      <w:r w:rsidRPr="00EB2BD8">
        <w:rPr>
          <w:sz w:val="18"/>
        </w:rPr>
        <w:t>Practitioner</w:t>
      </w:r>
      <w:r w:rsidRPr="00EB2BD8">
        <w:rPr>
          <w:spacing w:val="8"/>
          <w:sz w:val="18"/>
        </w:rPr>
        <w:t xml:space="preserve"> </w:t>
      </w:r>
      <w:r w:rsidRPr="00EB2BD8">
        <w:rPr>
          <w:sz w:val="18"/>
        </w:rPr>
        <w:t>Education</w:t>
      </w:r>
      <w:r w:rsidRPr="00EB2BD8">
        <w:rPr>
          <w:spacing w:val="8"/>
          <w:sz w:val="18"/>
        </w:rPr>
        <w:t xml:space="preserve"> </w:t>
      </w:r>
      <w:r w:rsidRPr="00EB2BD8">
        <w:rPr>
          <w:sz w:val="18"/>
        </w:rPr>
        <w:t>Series</w:t>
      </w:r>
      <w:r w:rsidRPr="00EB2BD8">
        <w:rPr>
          <w:spacing w:val="8"/>
          <w:sz w:val="18"/>
        </w:rPr>
        <w:t xml:space="preserve"> </w:t>
      </w:r>
      <w:r w:rsidRPr="00EB2BD8">
        <w:rPr>
          <w:spacing w:val="-2"/>
          <w:sz w:val="18"/>
        </w:rPr>
        <w:t>webinar,</w:t>
      </w:r>
    </w:p>
    <w:p w14:paraId="486F1145" w14:textId="77777777" w:rsidR="00084F36" w:rsidRPr="00EB2BD8" w:rsidRDefault="00EB2BD8">
      <w:pPr>
        <w:spacing w:before="18"/>
        <w:ind w:left="710"/>
        <w:jc w:val="both"/>
        <w:rPr>
          <w:sz w:val="18"/>
        </w:rPr>
      </w:pPr>
      <w:r w:rsidRPr="00EB2BD8">
        <w:rPr>
          <w:i/>
          <w:sz w:val="18"/>
        </w:rPr>
        <w:t>Waterproofing</w:t>
      </w:r>
      <w:r w:rsidRPr="00EB2BD8">
        <w:rPr>
          <w:i/>
          <w:spacing w:val="-6"/>
          <w:sz w:val="18"/>
        </w:rPr>
        <w:t xml:space="preserve"> </w:t>
      </w:r>
      <w:r w:rsidRPr="00EB2BD8">
        <w:rPr>
          <w:i/>
          <w:sz w:val="18"/>
        </w:rPr>
        <w:t>of</w:t>
      </w:r>
      <w:r w:rsidRPr="00EB2BD8">
        <w:rPr>
          <w:i/>
          <w:spacing w:val="-5"/>
          <w:sz w:val="18"/>
        </w:rPr>
        <w:t xml:space="preserve"> </w:t>
      </w:r>
      <w:r w:rsidRPr="00EB2BD8">
        <w:rPr>
          <w:i/>
          <w:sz w:val="18"/>
        </w:rPr>
        <w:t>Wet</w:t>
      </w:r>
      <w:r w:rsidRPr="00EB2BD8">
        <w:rPr>
          <w:i/>
          <w:spacing w:val="-6"/>
          <w:sz w:val="18"/>
        </w:rPr>
        <w:t xml:space="preserve"> </w:t>
      </w:r>
      <w:r w:rsidRPr="00EB2BD8">
        <w:rPr>
          <w:i/>
          <w:spacing w:val="-2"/>
          <w:sz w:val="18"/>
        </w:rPr>
        <w:t>Areas</w:t>
      </w:r>
      <w:r w:rsidRPr="00EB2BD8">
        <w:rPr>
          <w:spacing w:val="-2"/>
          <w:sz w:val="18"/>
        </w:rPr>
        <w:t>.</w:t>
      </w:r>
    </w:p>
    <w:p w14:paraId="67F66146" w14:textId="77777777" w:rsidR="00084F36" w:rsidRPr="00EB2BD8" w:rsidRDefault="00EB2BD8">
      <w:pPr>
        <w:pStyle w:val="BodyText"/>
        <w:spacing w:before="131" w:line="261" w:lineRule="auto"/>
        <w:ind w:left="426" w:right="845"/>
      </w:pPr>
      <w:r w:rsidRPr="00EB2BD8">
        <w:t>In September and October 2022, the VBA hosted the NCC Roadshow. Fifteen in-person events were held across</w:t>
      </w:r>
      <w:r w:rsidRPr="00EB2BD8">
        <w:rPr>
          <w:spacing w:val="-5"/>
        </w:rPr>
        <w:t xml:space="preserve"> </w:t>
      </w:r>
      <w:r w:rsidRPr="00EB2BD8">
        <w:t>the</w:t>
      </w:r>
      <w:r w:rsidRPr="00EB2BD8">
        <w:rPr>
          <w:spacing w:val="-5"/>
        </w:rPr>
        <w:t xml:space="preserve"> </w:t>
      </w:r>
      <w:r w:rsidRPr="00EB2BD8">
        <w:t>state</w:t>
      </w:r>
      <w:r w:rsidRPr="00EB2BD8">
        <w:rPr>
          <w:spacing w:val="-5"/>
        </w:rPr>
        <w:t xml:space="preserve"> </w:t>
      </w:r>
      <w:r w:rsidRPr="00EB2BD8">
        <w:t>to</w:t>
      </w:r>
      <w:r w:rsidRPr="00EB2BD8">
        <w:rPr>
          <w:spacing w:val="-5"/>
        </w:rPr>
        <w:t xml:space="preserve"> </w:t>
      </w:r>
      <w:r w:rsidRPr="00EB2BD8">
        <w:t>deliver</w:t>
      </w:r>
      <w:r w:rsidRPr="00EB2BD8">
        <w:rPr>
          <w:spacing w:val="-5"/>
        </w:rPr>
        <w:t xml:space="preserve"> </w:t>
      </w:r>
      <w:r w:rsidRPr="00EB2BD8">
        <w:t>important</w:t>
      </w:r>
      <w:r w:rsidRPr="00EB2BD8">
        <w:rPr>
          <w:spacing w:val="-5"/>
        </w:rPr>
        <w:t xml:space="preserve"> </w:t>
      </w:r>
      <w:r w:rsidRPr="00EB2BD8">
        <w:t>information</w:t>
      </w:r>
      <w:r w:rsidRPr="00EB2BD8">
        <w:rPr>
          <w:spacing w:val="-5"/>
        </w:rPr>
        <w:t xml:space="preserve"> </w:t>
      </w:r>
      <w:r w:rsidRPr="00EB2BD8">
        <w:t>about key building and plumbing changes to the National Construction Code (NCC 2022).</w:t>
      </w:r>
    </w:p>
    <w:p w14:paraId="71FEB921" w14:textId="77777777" w:rsidR="00084F36" w:rsidRPr="00EB2BD8" w:rsidRDefault="00EB2BD8">
      <w:pPr>
        <w:pStyle w:val="BodyText"/>
        <w:spacing w:before="109" w:line="261" w:lineRule="auto"/>
        <w:ind w:left="426" w:right="845"/>
      </w:pPr>
      <w:r w:rsidRPr="00EB2BD8">
        <w:t>The VBA strives to make the complex building system easier to navigate for practitioners and the Roadshow served</w:t>
      </w:r>
      <w:r w:rsidRPr="00EB2BD8">
        <w:rPr>
          <w:spacing w:val="-2"/>
        </w:rPr>
        <w:t xml:space="preserve"> </w:t>
      </w:r>
      <w:r w:rsidRPr="00EB2BD8">
        <w:t>as</w:t>
      </w:r>
      <w:r w:rsidRPr="00EB2BD8">
        <w:rPr>
          <w:spacing w:val="-1"/>
        </w:rPr>
        <w:t xml:space="preserve"> </w:t>
      </w:r>
      <w:r w:rsidRPr="00EB2BD8">
        <w:t>an</w:t>
      </w:r>
      <w:r w:rsidRPr="00EB2BD8">
        <w:rPr>
          <w:spacing w:val="-2"/>
        </w:rPr>
        <w:t xml:space="preserve"> </w:t>
      </w:r>
      <w:r w:rsidRPr="00EB2BD8">
        <w:t>opportunity</w:t>
      </w:r>
      <w:r w:rsidRPr="00EB2BD8">
        <w:rPr>
          <w:spacing w:val="-1"/>
        </w:rPr>
        <w:t xml:space="preserve"> </w:t>
      </w:r>
      <w:r w:rsidRPr="00EB2BD8">
        <w:t>to</w:t>
      </w:r>
      <w:r w:rsidRPr="00EB2BD8">
        <w:rPr>
          <w:spacing w:val="-2"/>
        </w:rPr>
        <w:t xml:space="preserve"> </w:t>
      </w:r>
      <w:r w:rsidRPr="00EB2BD8">
        <w:t>engage</w:t>
      </w:r>
      <w:r w:rsidRPr="00EB2BD8">
        <w:rPr>
          <w:spacing w:val="-1"/>
        </w:rPr>
        <w:t xml:space="preserve"> </w:t>
      </w:r>
      <w:r w:rsidRPr="00EB2BD8">
        <w:t>with</w:t>
      </w:r>
      <w:r w:rsidRPr="00EB2BD8">
        <w:rPr>
          <w:spacing w:val="-1"/>
        </w:rPr>
        <w:t xml:space="preserve"> </w:t>
      </w:r>
      <w:r w:rsidRPr="00EB2BD8">
        <w:rPr>
          <w:spacing w:val="-2"/>
        </w:rPr>
        <w:t>practitioners.</w:t>
      </w:r>
    </w:p>
    <w:p w14:paraId="54112D1C" w14:textId="77777777" w:rsidR="00084F36" w:rsidRPr="00EB2BD8" w:rsidRDefault="00EB2BD8">
      <w:pPr>
        <w:pStyle w:val="BodyText"/>
        <w:spacing w:before="110" w:line="261" w:lineRule="auto"/>
        <w:ind w:left="426" w:right="845"/>
      </w:pPr>
      <w:r w:rsidRPr="00EB2BD8">
        <w:t>Presentations were delivered by VBA Technical and Regulation experts and question time provided additional value to attendees. To supplement the Roadshow, two webinars were held for practitioners who could not attend the in-person events. Three thousand practitioners attended an NCC seminar or webinar,</w:t>
      </w:r>
      <w:r w:rsidRPr="00EB2BD8">
        <w:rPr>
          <w:spacing w:val="-12"/>
        </w:rPr>
        <w:t xml:space="preserve"> </w:t>
      </w:r>
      <w:r w:rsidRPr="00EB2BD8">
        <w:t>which</w:t>
      </w:r>
      <w:r w:rsidRPr="00EB2BD8">
        <w:rPr>
          <w:spacing w:val="-12"/>
        </w:rPr>
        <w:t xml:space="preserve"> </w:t>
      </w:r>
      <w:r w:rsidRPr="00EB2BD8">
        <w:t>demonstrated</w:t>
      </w:r>
      <w:r w:rsidRPr="00EB2BD8">
        <w:rPr>
          <w:spacing w:val="-12"/>
        </w:rPr>
        <w:t xml:space="preserve"> </w:t>
      </w:r>
      <w:r w:rsidRPr="00EB2BD8">
        <w:t>industry’s</w:t>
      </w:r>
      <w:r w:rsidRPr="00EB2BD8">
        <w:rPr>
          <w:spacing w:val="-12"/>
        </w:rPr>
        <w:t xml:space="preserve"> </w:t>
      </w:r>
      <w:r w:rsidRPr="00EB2BD8">
        <w:t>interest</w:t>
      </w:r>
      <w:r w:rsidRPr="00EB2BD8">
        <w:rPr>
          <w:spacing w:val="-12"/>
        </w:rPr>
        <w:t xml:space="preserve"> </w:t>
      </w:r>
      <w:r w:rsidRPr="00EB2BD8">
        <w:t>and appetite for educational material.</w:t>
      </w:r>
    </w:p>
    <w:p w14:paraId="31FC6A68" w14:textId="77777777" w:rsidR="00084F36" w:rsidRPr="00EB2BD8" w:rsidRDefault="00084F36">
      <w:pPr>
        <w:spacing w:line="261" w:lineRule="auto"/>
        <w:sectPr w:rsidR="00084F36" w:rsidRPr="00EB2BD8" w:rsidSect="006D75B2">
          <w:type w:val="continuous"/>
          <w:pgSz w:w="11910" w:h="16840"/>
          <w:pgMar w:top="1920" w:right="0" w:bottom="280" w:left="0" w:header="0" w:footer="528" w:gutter="0"/>
          <w:cols w:num="2" w:space="720" w:equalWidth="0">
            <w:col w:w="5726" w:space="40"/>
            <w:col w:w="6144"/>
          </w:cols>
        </w:sectPr>
      </w:pPr>
    </w:p>
    <w:p w14:paraId="46007E0C" w14:textId="77777777" w:rsidR="00084F36" w:rsidRPr="00EB2BD8" w:rsidRDefault="00084F36">
      <w:pPr>
        <w:pStyle w:val="BodyText"/>
        <w:spacing w:before="7"/>
        <w:rPr>
          <w:sz w:val="17"/>
        </w:rPr>
      </w:pPr>
    </w:p>
    <w:p w14:paraId="1BF060A9" w14:textId="77777777" w:rsidR="00084F36" w:rsidRPr="00EB2BD8" w:rsidRDefault="00084F36">
      <w:pPr>
        <w:rPr>
          <w:sz w:val="17"/>
        </w:rPr>
        <w:sectPr w:rsidR="00084F36" w:rsidRPr="00EB2BD8" w:rsidSect="006D75B2">
          <w:headerReference w:type="even" r:id="rId66"/>
          <w:headerReference w:type="default" r:id="rId67"/>
          <w:footerReference w:type="default" r:id="rId68"/>
          <w:pgSz w:w="11910" w:h="16840"/>
          <w:pgMar w:top="1080" w:right="0" w:bottom="720" w:left="0" w:header="0" w:footer="528" w:gutter="0"/>
          <w:cols w:space="720"/>
        </w:sectPr>
      </w:pPr>
    </w:p>
    <w:p w14:paraId="6FB9061D" w14:textId="77777777" w:rsidR="00084F36" w:rsidRPr="00EB2BD8" w:rsidRDefault="00EB2BD8" w:rsidP="001975DF">
      <w:pPr>
        <w:pStyle w:val="Heading2"/>
      </w:pPr>
      <w:bookmarkStart w:id="72" w:name="_Toc150762374"/>
      <w:r w:rsidRPr="00EB2BD8">
        <w:t>Practitioner</w:t>
      </w:r>
      <w:r w:rsidRPr="00EB2BD8">
        <w:rPr>
          <w:spacing w:val="-14"/>
        </w:rPr>
        <w:t xml:space="preserve"> </w:t>
      </w:r>
      <w:r w:rsidRPr="00EB2BD8">
        <w:t>licensing</w:t>
      </w:r>
      <w:r w:rsidRPr="00EB2BD8">
        <w:rPr>
          <w:spacing w:val="-14"/>
        </w:rPr>
        <w:t xml:space="preserve"> </w:t>
      </w:r>
      <w:r w:rsidRPr="00EB2BD8">
        <w:t xml:space="preserve">and </w:t>
      </w:r>
      <w:r w:rsidRPr="00EB2BD8">
        <w:rPr>
          <w:spacing w:val="-2"/>
        </w:rPr>
        <w:t>registration</w:t>
      </w:r>
      <w:bookmarkEnd w:id="72"/>
    </w:p>
    <w:p w14:paraId="282C74C2" w14:textId="77777777" w:rsidR="00084F36" w:rsidRPr="00EB2BD8" w:rsidRDefault="00EB2BD8">
      <w:pPr>
        <w:pStyle w:val="BodyText"/>
        <w:spacing w:before="130" w:line="261" w:lineRule="auto"/>
        <w:ind w:left="850"/>
      </w:pPr>
      <w:r w:rsidRPr="00EB2BD8">
        <w:t>The VBA registered or licensed 66,104 building and plumbing</w:t>
      </w:r>
      <w:r w:rsidRPr="00EB2BD8">
        <w:rPr>
          <w:spacing w:val="-12"/>
        </w:rPr>
        <w:t xml:space="preserve"> </w:t>
      </w:r>
      <w:r w:rsidRPr="00EB2BD8">
        <w:t>practitioners</w:t>
      </w:r>
      <w:r w:rsidRPr="00EB2BD8">
        <w:rPr>
          <w:spacing w:val="-12"/>
        </w:rPr>
        <w:t xml:space="preserve"> </w:t>
      </w:r>
      <w:r w:rsidRPr="00EB2BD8">
        <w:t>this</w:t>
      </w:r>
      <w:r w:rsidRPr="00EB2BD8">
        <w:rPr>
          <w:spacing w:val="-12"/>
        </w:rPr>
        <w:t xml:space="preserve"> </w:t>
      </w:r>
      <w:r w:rsidRPr="00EB2BD8">
        <w:t>year,</w:t>
      </w:r>
      <w:r w:rsidRPr="00EB2BD8">
        <w:rPr>
          <w:spacing w:val="-12"/>
        </w:rPr>
        <w:t xml:space="preserve"> </w:t>
      </w:r>
      <w:r w:rsidRPr="00EB2BD8">
        <w:t>a</w:t>
      </w:r>
      <w:r w:rsidRPr="00EB2BD8">
        <w:rPr>
          <w:spacing w:val="-12"/>
        </w:rPr>
        <w:t xml:space="preserve"> </w:t>
      </w:r>
      <w:r w:rsidRPr="00EB2BD8">
        <w:t>2.3</w:t>
      </w:r>
      <w:r w:rsidRPr="00EB2BD8">
        <w:rPr>
          <w:spacing w:val="-12"/>
        </w:rPr>
        <w:t xml:space="preserve"> </w:t>
      </w:r>
      <w:r w:rsidRPr="00EB2BD8">
        <w:t>per</w:t>
      </w:r>
      <w:r w:rsidRPr="00EB2BD8">
        <w:rPr>
          <w:spacing w:val="-12"/>
        </w:rPr>
        <w:t xml:space="preserve"> </w:t>
      </w:r>
      <w:r w:rsidRPr="00EB2BD8">
        <w:t>cent</w:t>
      </w:r>
      <w:r w:rsidRPr="00EB2BD8">
        <w:rPr>
          <w:spacing w:val="-12"/>
        </w:rPr>
        <w:t xml:space="preserve"> </w:t>
      </w:r>
      <w:r w:rsidRPr="00EB2BD8">
        <w:t>increase compared to last year.</w:t>
      </w:r>
    </w:p>
    <w:p w14:paraId="4C87F172" w14:textId="77777777" w:rsidR="00084F36" w:rsidRPr="00EB2BD8" w:rsidRDefault="00EB2BD8">
      <w:pPr>
        <w:pStyle w:val="BodyText"/>
        <w:spacing w:before="111" w:line="261" w:lineRule="auto"/>
        <w:ind w:left="850" w:right="-6"/>
      </w:pPr>
      <w:r w:rsidRPr="00EB2BD8">
        <w:t>The</w:t>
      </w:r>
      <w:r w:rsidRPr="00EB2BD8">
        <w:rPr>
          <w:spacing w:val="-10"/>
        </w:rPr>
        <w:t xml:space="preserve"> </w:t>
      </w:r>
      <w:r w:rsidRPr="00EB2BD8">
        <w:t>registration</w:t>
      </w:r>
      <w:r w:rsidRPr="00EB2BD8">
        <w:rPr>
          <w:spacing w:val="-10"/>
        </w:rPr>
        <w:t xml:space="preserve"> </w:t>
      </w:r>
      <w:r w:rsidRPr="00EB2BD8">
        <w:t>of</w:t>
      </w:r>
      <w:r w:rsidRPr="00EB2BD8">
        <w:rPr>
          <w:spacing w:val="-10"/>
        </w:rPr>
        <w:t xml:space="preserve"> </w:t>
      </w:r>
      <w:r w:rsidRPr="00EB2BD8">
        <w:t>natural</w:t>
      </w:r>
      <w:r w:rsidRPr="00EB2BD8">
        <w:rPr>
          <w:spacing w:val="-10"/>
        </w:rPr>
        <w:t xml:space="preserve"> </w:t>
      </w:r>
      <w:r w:rsidRPr="00EB2BD8">
        <w:t>person</w:t>
      </w:r>
      <w:r w:rsidRPr="00EB2BD8">
        <w:rPr>
          <w:spacing w:val="-10"/>
        </w:rPr>
        <w:t xml:space="preserve"> </w:t>
      </w:r>
      <w:r w:rsidRPr="00EB2BD8">
        <w:t>building</w:t>
      </w:r>
      <w:r w:rsidRPr="00EB2BD8">
        <w:rPr>
          <w:spacing w:val="-10"/>
        </w:rPr>
        <w:t xml:space="preserve"> </w:t>
      </w:r>
      <w:r w:rsidRPr="00EB2BD8">
        <w:t>practitioners increased</w:t>
      </w:r>
      <w:r w:rsidRPr="00EB2BD8">
        <w:rPr>
          <w:spacing w:val="-15"/>
        </w:rPr>
        <w:t xml:space="preserve"> </w:t>
      </w:r>
      <w:r w:rsidRPr="00EB2BD8">
        <w:t>by</w:t>
      </w:r>
      <w:r w:rsidRPr="00EB2BD8">
        <w:rPr>
          <w:spacing w:val="-14"/>
        </w:rPr>
        <w:t xml:space="preserve"> </w:t>
      </w:r>
      <w:r w:rsidRPr="00EB2BD8">
        <w:t>3.5</w:t>
      </w:r>
      <w:r w:rsidRPr="00EB2BD8">
        <w:rPr>
          <w:spacing w:val="-14"/>
        </w:rPr>
        <w:t xml:space="preserve"> </w:t>
      </w:r>
      <w:r w:rsidRPr="00EB2BD8">
        <w:t>per</w:t>
      </w:r>
      <w:r w:rsidRPr="00EB2BD8">
        <w:rPr>
          <w:spacing w:val="-14"/>
        </w:rPr>
        <w:t xml:space="preserve"> </w:t>
      </w:r>
      <w:r w:rsidRPr="00EB2BD8">
        <w:t>cent</w:t>
      </w:r>
      <w:r w:rsidRPr="00EB2BD8">
        <w:rPr>
          <w:spacing w:val="-15"/>
        </w:rPr>
        <w:t xml:space="preserve"> </w:t>
      </w:r>
      <w:r w:rsidRPr="00EB2BD8">
        <w:t>to</w:t>
      </w:r>
      <w:r w:rsidRPr="00EB2BD8">
        <w:rPr>
          <w:spacing w:val="-14"/>
        </w:rPr>
        <w:t xml:space="preserve"> </w:t>
      </w:r>
      <w:r w:rsidRPr="00EB2BD8">
        <w:t>23,097,</w:t>
      </w:r>
      <w:r w:rsidRPr="00EB2BD8">
        <w:rPr>
          <w:spacing w:val="-14"/>
        </w:rPr>
        <w:t xml:space="preserve"> </w:t>
      </w:r>
      <w:r w:rsidRPr="00EB2BD8">
        <w:t>while</w:t>
      </w:r>
      <w:r w:rsidRPr="00EB2BD8">
        <w:rPr>
          <w:spacing w:val="-14"/>
        </w:rPr>
        <w:t xml:space="preserve"> </w:t>
      </w:r>
      <w:r w:rsidRPr="00EB2BD8">
        <w:t>the</w:t>
      </w:r>
      <w:r w:rsidRPr="00EB2BD8">
        <w:rPr>
          <w:spacing w:val="-15"/>
        </w:rPr>
        <w:t xml:space="preserve"> </w:t>
      </w:r>
      <w:r w:rsidRPr="00EB2BD8">
        <w:t>number</w:t>
      </w:r>
      <w:r w:rsidRPr="00EB2BD8">
        <w:rPr>
          <w:spacing w:val="-14"/>
        </w:rPr>
        <w:t xml:space="preserve"> </w:t>
      </w:r>
      <w:r w:rsidRPr="00EB2BD8">
        <w:t>of building</w:t>
      </w:r>
      <w:r w:rsidRPr="00EB2BD8">
        <w:rPr>
          <w:spacing w:val="-3"/>
        </w:rPr>
        <w:t xml:space="preserve"> </w:t>
      </w:r>
      <w:r w:rsidRPr="00EB2BD8">
        <w:t>company</w:t>
      </w:r>
      <w:r w:rsidRPr="00EB2BD8">
        <w:rPr>
          <w:spacing w:val="-3"/>
        </w:rPr>
        <w:t xml:space="preserve"> </w:t>
      </w:r>
      <w:r w:rsidRPr="00EB2BD8">
        <w:t>practitioners</w:t>
      </w:r>
      <w:r w:rsidRPr="00EB2BD8">
        <w:rPr>
          <w:spacing w:val="-3"/>
        </w:rPr>
        <w:t xml:space="preserve"> </w:t>
      </w:r>
      <w:r w:rsidRPr="00EB2BD8">
        <w:t>grew</w:t>
      </w:r>
      <w:r w:rsidRPr="00EB2BD8">
        <w:rPr>
          <w:spacing w:val="-3"/>
        </w:rPr>
        <w:t xml:space="preserve"> </w:t>
      </w:r>
      <w:r w:rsidRPr="00EB2BD8">
        <w:t>by</w:t>
      </w:r>
      <w:r w:rsidRPr="00EB2BD8">
        <w:rPr>
          <w:spacing w:val="-3"/>
        </w:rPr>
        <w:t xml:space="preserve"> </w:t>
      </w:r>
      <w:r w:rsidRPr="00EB2BD8">
        <w:t>one</w:t>
      </w:r>
      <w:r w:rsidRPr="00EB2BD8">
        <w:rPr>
          <w:spacing w:val="-3"/>
        </w:rPr>
        <w:t xml:space="preserve"> </w:t>
      </w:r>
      <w:r w:rsidRPr="00EB2BD8">
        <w:t>per</w:t>
      </w:r>
      <w:r w:rsidRPr="00EB2BD8">
        <w:rPr>
          <w:spacing w:val="-3"/>
        </w:rPr>
        <w:t xml:space="preserve"> </w:t>
      </w:r>
      <w:r w:rsidRPr="00EB2BD8">
        <w:t>cent</w:t>
      </w:r>
      <w:r w:rsidRPr="00EB2BD8">
        <w:rPr>
          <w:spacing w:val="-3"/>
        </w:rPr>
        <w:t xml:space="preserve"> </w:t>
      </w:r>
      <w:r w:rsidRPr="00EB2BD8">
        <w:t xml:space="preserve">to </w:t>
      </w:r>
      <w:r w:rsidRPr="00EB2BD8">
        <w:rPr>
          <w:spacing w:val="-2"/>
        </w:rPr>
        <w:t>12,065.</w:t>
      </w:r>
    </w:p>
    <w:p w14:paraId="16467A62" w14:textId="77777777" w:rsidR="00084F36" w:rsidRPr="00EB2BD8" w:rsidRDefault="00EB2BD8">
      <w:pPr>
        <w:pStyle w:val="BodyText"/>
        <w:spacing w:before="109" w:line="261" w:lineRule="auto"/>
        <w:ind w:left="850"/>
      </w:pPr>
      <w:r w:rsidRPr="00EB2BD8">
        <w:t>Changes</w:t>
      </w:r>
      <w:r w:rsidRPr="00EB2BD8">
        <w:rPr>
          <w:spacing w:val="-15"/>
        </w:rPr>
        <w:t xml:space="preserve"> </w:t>
      </w:r>
      <w:r w:rsidRPr="00EB2BD8">
        <w:t>to</w:t>
      </w:r>
      <w:r w:rsidRPr="00EB2BD8">
        <w:rPr>
          <w:spacing w:val="-14"/>
        </w:rPr>
        <w:t xml:space="preserve"> </w:t>
      </w:r>
      <w:r w:rsidRPr="00EB2BD8">
        <w:t>the</w:t>
      </w:r>
      <w:r w:rsidRPr="00EB2BD8">
        <w:rPr>
          <w:spacing w:val="-14"/>
        </w:rPr>
        <w:t xml:space="preserve"> </w:t>
      </w:r>
      <w:r w:rsidRPr="00EB2BD8">
        <w:t>Building</w:t>
      </w:r>
      <w:r w:rsidRPr="00EB2BD8">
        <w:rPr>
          <w:spacing w:val="-14"/>
        </w:rPr>
        <w:t xml:space="preserve"> </w:t>
      </w:r>
      <w:r w:rsidRPr="00EB2BD8">
        <w:t>Regulations</w:t>
      </w:r>
      <w:r w:rsidRPr="00EB2BD8">
        <w:rPr>
          <w:spacing w:val="-15"/>
        </w:rPr>
        <w:t xml:space="preserve"> </w:t>
      </w:r>
      <w:r w:rsidRPr="00EB2BD8">
        <w:t>announced</w:t>
      </w:r>
      <w:r w:rsidRPr="00EB2BD8">
        <w:rPr>
          <w:spacing w:val="-14"/>
        </w:rPr>
        <w:t xml:space="preserve"> </w:t>
      </w:r>
      <w:r w:rsidRPr="00EB2BD8">
        <w:t>in</w:t>
      </w:r>
      <w:r w:rsidRPr="00EB2BD8">
        <w:rPr>
          <w:spacing w:val="-14"/>
        </w:rPr>
        <w:t xml:space="preserve"> </w:t>
      </w:r>
      <w:r w:rsidRPr="00EB2BD8">
        <w:t>2017 resulted in the Domestic Builder – Manager (DB-M) registration class being phased out on 30 June 2022.</w:t>
      </w:r>
    </w:p>
    <w:p w14:paraId="28D1BE85" w14:textId="77777777" w:rsidR="00084F36" w:rsidRPr="00EB2BD8" w:rsidRDefault="00EB2BD8">
      <w:pPr>
        <w:pStyle w:val="BodyText"/>
        <w:spacing w:line="261" w:lineRule="auto"/>
        <w:ind w:left="850" w:right="359"/>
      </w:pPr>
      <w:r w:rsidRPr="00EB2BD8">
        <w:t>Practitioners</w:t>
      </w:r>
      <w:r w:rsidRPr="00EB2BD8">
        <w:rPr>
          <w:spacing w:val="-8"/>
        </w:rPr>
        <w:t xml:space="preserve"> </w:t>
      </w:r>
      <w:r w:rsidRPr="00EB2BD8">
        <w:t>were</w:t>
      </w:r>
      <w:r w:rsidRPr="00EB2BD8">
        <w:rPr>
          <w:spacing w:val="-8"/>
        </w:rPr>
        <w:t xml:space="preserve"> </w:t>
      </w:r>
      <w:r w:rsidRPr="00EB2BD8">
        <w:t>given</w:t>
      </w:r>
      <w:r w:rsidRPr="00EB2BD8">
        <w:rPr>
          <w:spacing w:val="-8"/>
        </w:rPr>
        <w:t xml:space="preserve"> </w:t>
      </w:r>
      <w:r w:rsidRPr="00EB2BD8">
        <w:t>five</w:t>
      </w:r>
      <w:r w:rsidRPr="00EB2BD8">
        <w:rPr>
          <w:spacing w:val="-8"/>
        </w:rPr>
        <w:t xml:space="preserve"> </w:t>
      </w:r>
      <w:r w:rsidRPr="00EB2BD8">
        <w:t>years</w:t>
      </w:r>
      <w:r w:rsidRPr="00EB2BD8">
        <w:rPr>
          <w:spacing w:val="-8"/>
        </w:rPr>
        <w:t xml:space="preserve"> </w:t>
      </w:r>
      <w:r w:rsidRPr="00EB2BD8">
        <w:t>to</w:t>
      </w:r>
      <w:r w:rsidRPr="00EB2BD8">
        <w:rPr>
          <w:spacing w:val="-8"/>
        </w:rPr>
        <w:t xml:space="preserve"> </w:t>
      </w:r>
      <w:r w:rsidRPr="00EB2BD8">
        <w:t>transition</w:t>
      </w:r>
      <w:r w:rsidRPr="00EB2BD8">
        <w:rPr>
          <w:spacing w:val="-8"/>
        </w:rPr>
        <w:t xml:space="preserve"> </w:t>
      </w:r>
      <w:r w:rsidRPr="00EB2BD8">
        <w:t>to new</w:t>
      </w:r>
      <w:r w:rsidRPr="00EB2BD8">
        <w:rPr>
          <w:spacing w:val="-12"/>
        </w:rPr>
        <w:t xml:space="preserve"> </w:t>
      </w:r>
      <w:r w:rsidRPr="00EB2BD8">
        <w:t>classes</w:t>
      </w:r>
      <w:r w:rsidRPr="00EB2BD8">
        <w:rPr>
          <w:spacing w:val="-11"/>
        </w:rPr>
        <w:t xml:space="preserve"> </w:t>
      </w:r>
      <w:r w:rsidRPr="00EB2BD8">
        <w:t>of</w:t>
      </w:r>
      <w:r w:rsidRPr="00EB2BD8">
        <w:rPr>
          <w:spacing w:val="-11"/>
        </w:rPr>
        <w:t xml:space="preserve"> </w:t>
      </w:r>
      <w:r w:rsidRPr="00EB2BD8">
        <w:t>registration.</w:t>
      </w:r>
      <w:r w:rsidRPr="00EB2BD8">
        <w:rPr>
          <w:spacing w:val="-11"/>
        </w:rPr>
        <w:t xml:space="preserve"> </w:t>
      </w:r>
      <w:r w:rsidRPr="00EB2BD8">
        <w:t>This</w:t>
      </w:r>
      <w:r w:rsidRPr="00EB2BD8">
        <w:rPr>
          <w:spacing w:val="-11"/>
        </w:rPr>
        <w:t xml:space="preserve"> </w:t>
      </w:r>
      <w:r w:rsidRPr="00EB2BD8">
        <w:t>year,</w:t>
      </w:r>
      <w:r w:rsidRPr="00EB2BD8">
        <w:rPr>
          <w:spacing w:val="-11"/>
        </w:rPr>
        <w:t xml:space="preserve"> </w:t>
      </w:r>
      <w:r w:rsidRPr="00EB2BD8">
        <w:t>some</w:t>
      </w:r>
      <w:r w:rsidRPr="00EB2BD8">
        <w:rPr>
          <w:spacing w:val="-12"/>
        </w:rPr>
        <w:t xml:space="preserve"> </w:t>
      </w:r>
      <w:r w:rsidRPr="00EB2BD8">
        <w:t>DB-</w:t>
      </w:r>
      <w:r w:rsidRPr="00EB2BD8">
        <w:rPr>
          <w:spacing w:val="-10"/>
        </w:rPr>
        <w:t>M</w:t>
      </w:r>
    </w:p>
    <w:p w14:paraId="1186C1A5" w14:textId="77777777" w:rsidR="00084F36" w:rsidRPr="00EB2BD8" w:rsidRDefault="00EB2BD8">
      <w:pPr>
        <w:pStyle w:val="BodyText"/>
        <w:spacing w:line="261" w:lineRule="auto"/>
        <w:ind w:left="850"/>
      </w:pPr>
      <w:r w:rsidRPr="00EB2BD8">
        <w:t>practitioners</w:t>
      </w:r>
      <w:r w:rsidRPr="00EB2BD8">
        <w:rPr>
          <w:spacing w:val="-9"/>
        </w:rPr>
        <w:t xml:space="preserve"> </w:t>
      </w:r>
      <w:r w:rsidRPr="00EB2BD8">
        <w:t>were</w:t>
      </w:r>
      <w:r w:rsidRPr="00EB2BD8">
        <w:rPr>
          <w:spacing w:val="-9"/>
        </w:rPr>
        <w:t xml:space="preserve"> </w:t>
      </w:r>
      <w:r w:rsidRPr="00EB2BD8">
        <w:t>permitted</w:t>
      </w:r>
      <w:r w:rsidRPr="00EB2BD8">
        <w:rPr>
          <w:spacing w:val="-9"/>
        </w:rPr>
        <w:t xml:space="preserve"> </w:t>
      </w:r>
      <w:r w:rsidRPr="00EB2BD8">
        <w:t>to</w:t>
      </w:r>
      <w:r w:rsidRPr="00EB2BD8">
        <w:rPr>
          <w:spacing w:val="-9"/>
        </w:rPr>
        <w:t xml:space="preserve"> </w:t>
      </w:r>
      <w:r w:rsidRPr="00EB2BD8">
        <w:t>retain</w:t>
      </w:r>
      <w:r w:rsidRPr="00EB2BD8">
        <w:rPr>
          <w:spacing w:val="-9"/>
        </w:rPr>
        <w:t xml:space="preserve"> </w:t>
      </w:r>
      <w:r w:rsidRPr="00EB2BD8">
        <w:t>their</w:t>
      </w:r>
      <w:r w:rsidRPr="00EB2BD8">
        <w:rPr>
          <w:spacing w:val="-9"/>
        </w:rPr>
        <w:t xml:space="preserve"> </w:t>
      </w:r>
      <w:r w:rsidRPr="00EB2BD8">
        <w:t>registration to facilitate the closure of open permits. Immediately prior</w:t>
      </w:r>
      <w:r w:rsidRPr="00EB2BD8">
        <w:rPr>
          <w:spacing w:val="-13"/>
        </w:rPr>
        <w:t xml:space="preserve"> </w:t>
      </w:r>
      <w:r w:rsidRPr="00EB2BD8">
        <w:t>to</w:t>
      </w:r>
      <w:r w:rsidRPr="00EB2BD8">
        <w:rPr>
          <w:spacing w:val="-13"/>
        </w:rPr>
        <w:t xml:space="preserve"> </w:t>
      </w:r>
      <w:r w:rsidRPr="00EB2BD8">
        <w:t>this</w:t>
      </w:r>
      <w:r w:rsidRPr="00EB2BD8">
        <w:rPr>
          <w:spacing w:val="-13"/>
        </w:rPr>
        <w:t xml:space="preserve"> </w:t>
      </w:r>
      <w:r w:rsidRPr="00EB2BD8">
        <w:t>change,</w:t>
      </w:r>
      <w:r w:rsidRPr="00EB2BD8">
        <w:rPr>
          <w:spacing w:val="-13"/>
        </w:rPr>
        <w:t xml:space="preserve"> </w:t>
      </w:r>
      <w:r w:rsidRPr="00EB2BD8">
        <w:t>there</w:t>
      </w:r>
      <w:r w:rsidRPr="00EB2BD8">
        <w:rPr>
          <w:spacing w:val="-13"/>
        </w:rPr>
        <w:t xml:space="preserve"> </w:t>
      </w:r>
      <w:r w:rsidRPr="00EB2BD8">
        <w:t>were</w:t>
      </w:r>
      <w:r w:rsidRPr="00EB2BD8">
        <w:rPr>
          <w:spacing w:val="-13"/>
        </w:rPr>
        <w:t xml:space="preserve"> </w:t>
      </w:r>
      <w:r w:rsidRPr="00EB2BD8">
        <w:t>551</w:t>
      </w:r>
      <w:r w:rsidRPr="00EB2BD8">
        <w:rPr>
          <w:spacing w:val="-13"/>
        </w:rPr>
        <w:t xml:space="preserve"> </w:t>
      </w:r>
      <w:r w:rsidRPr="00EB2BD8">
        <w:t>natural</w:t>
      </w:r>
      <w:r w:rsidRPr="00EB2BD8">
        <w:rPr>
          <w:spacing w:val="-13"/>
        </w:rPr>
        <w:t xml:space="preserve"> </w:t>
      </w:r>
      <w:r w:rsidRPr="00EB2BD8">
        <w:t>person</w:t>
      </w:r>
      <w:r w:rsidRPr="00EB2BD8">
        <w:rPr>
          <w:spacing w:val="-13"/>
        </w:rPr>
        <w:t xml:space="preserve"> </w:t>
      </w:r>
      <w:r w:rsidRPr="00EB2BD8">
        <w:t>and 327 company practitioners registered in this class.</w:t>
      </w:r>
    </w:p>
    <w:p w14:paraId="79BF9BCC" w14:textId="77777777" w:rsidR="00084F36" w:rsidRPr="00EB2BD8" w:rsidRDefault="00EB2BD8">
      <w:pPr>
        <w:pStyle w:val="BodyText"/>
        <w:spacing w:before="104" w:line="261" w:lineRule="auto"/>
        <w:ind w:left="850" w:right="135"/>
      </w:pPr>
      <w:r w:rsidRPr="00EB2BD8">
        <w:t>Following the transfer of the registration of engineers from the VBA to the Business Licensing Authority</w:t>
      </w:r>
      <w:r w:rsidRPr="00EB2BD8">
        <w:rPr>
          <w:spacing w:val="40"/>
        </w:rPr>
        <w:t xml:space="preserve"> </w:t>
      </w:r>
      <w:r w:rsidRPr="00EB2BD8">
        <w:t xml:space="preserve">(BLA) on </w:t>
      </w:r>
      <w:r w:rsidRPr="00EB2BD8">
        <w:rPr>
          <w:w w:val="95"/>
        </w:rPr>
        <w:t xml:space="preserve">1 </w:t>
      </w:r>
      <w:r w:rsidRPr="00EB2BD8">
        <w:t>July 2021, the VBA continues to provide endorsement</w:t>
      </w:r>
      <w:r w:rsidRPr="00EB2BD8">
        <w:rPr>
          <w:spacing w:val="-8"/>
        </w:rPr>
        <w:t xml:space="preserve"> </w:t>
      </w:r>
      <w:r w:rsidRPr="00EB2BD8">
        <w:t>for</w:t>
      </w:r>
      <w:r w:rsidRPr="00EB2BD8">
        <w:rPr>
          <w:spacing w:val="-8"/>
        </w:rPr>
        <w:t xml:space="preserve"> </w:t>
      </w:r>
      <w:r w:rsidRPr="00EB2BD8">
        <w:t>the</w:t>
      </w:r>
      <w:r w:rsidRPr="00EB2BD8">
        <w:rPr>
          <w:spacing w:val="-8"/>
        </w:rPr>
        <w:t xml:space="preserve"> </w:t>
      </w:r>
      <w:r w:rsidRPr="00EB2BD8">
        <w:t>increasing</w:t>
      </w:r>
      <w:r w:rsidRPr="00EB2BD8">
        <w:rPr>
          <w:spacing w:val="-8"/>
        </w:rPr>
        <w:t xml:space="preserve"> </w:t>
      </w:r>
      <w:r w:rsidRPr="00EB2BD8">
        <w:t>numbers</w:t>
      </w:r>
      <w:r w:rsidRPr="00EB2BD8">
        <w:rPr>
          <w:spacing w:val="-8"/>
        </w:rPr>
        <w:t xml:space="preserve"> </w:t>
      </w:r>
      <w:r w:rsidRPr="00EB2BD8">
        <w:t>of</w:t>
      </w:r>
      <w:r w:rsidRPr="00EB2BD8">
        <w:rPr>
          <w:spacing w:val="-8"/>
        </w:rPr>
        <w:t xml:space="preserve"> </w:t>
      </w:r>
      <w:r w:rsidRPr="00EB2BD8">
        <w:t>registered</w:t>
      </w:r>
    </w:p>
    <w:p w14:paraId="46C8DE8A" w14:textId="77777777" w:rsidR="00084F36" w:rsidRPr="00EB2BD8" w:rsidRDefault="00EB2BD8">
      <w:pPr>
        <w:pStyle w:val="BodyText"/>
        <w:spacing w:line="261" w:lineRule="auto"/>
        <w:ind w:left="850"/>
      </w:pPr>
      <w:r w:rsidRPr="00EB2BD8">
        <w:rPr>
          <w:spacing w:val="-2"/>
        </w:rPr>
        <w:t>engineers</w:t>
      </w:r>
      <w:r w:rsidRPr="00EB2BD8">
        <w:rPr>
          <w:spacing w:val="-8"/>
        </w:rPr>
        <w:t xml:space="preserve"> </w:t>
      </w:r>
      <w:r w:rsidRPr="00EB2BD8">
        <w:rPr>
          <w:spacing w:val="-2"/>
        </w:rPr>
        <w:t>who</w:t>
      </w:r>
      <w:r w:rsidRPr="00EB2BD8">
        <w:rPr>
          <w:spacing w:val="-8"/>
        </w:rPr>
        <w:t xml:space="preserve"> </w:t>
      </w:r>
      <w:r w:rsidRPr="00EB2BD8">
        <w:rPr>
          <w:spacing w:val="-2"/>
        </w:rPr>
        <w:t>wish</w:t>
      </w:r>
      <w:r w:rsidRPr="00EB2BD8">
        <w:rPr>
          <w:spacing w:val="-8"/>
        </w:rPr>
        <w:t xml:space="preserve"> </w:t>
      </w:r>
      <w:r w:rsidRPr="00EB2BD8">
        <w:rPr>
          <w:spacing w:val="-2"/>
        </w:rPr>
        <w:t>to</w:t>
      </w:r>
      <w:r w:rsidRPr="00EB2BD8">
        <w:rPr>
          <w:spacing w:val="-8"/>
        </w:rPr>
        <w:t xml:space="preserve"> </w:t>
      </w:r>
      <w:r w:rsidRPr="00EB2BD8">
        <w:rPr>
          <w:spacing w:val="-2"/>
        </w:rPr>
        <w:t>work</w:t>
      </w:r>
      <w:r w:rsidRPr="00EB2BD8">
        <w:rPr>
          <w:spacing w:val="-8"/>
        </w:rPr>
        <w:t xml:space="preserve"> </w:t>
      </w:r>
      <w:r w:rsidRPr="00EB2BD8">
        <w:rPr>
          <w:spacing w:val="-2"/>
        </w:rPr>
        <w:t>in</w:t>
      </w:r>
      <w:r w:rsidRPr="00EB2BD8">
        <w:rPr>
          <w:spacing w:val="-8"/>
        </w:rPr>
        <w:t xml:space="preserve"> </w:t>
      </w:r>
      <w:r w:rsidRPr="00EB2BD8">
        <w:rPr>
          <w:spacing w:val="-2"/>
        </w:rPr>
        <w:t>the</w:t>
      </w:r>
      <w:r w:rsidRPr="00EB2BD8">
        <w:rPr>
          <w:spacing w:val="-8"/>
        </w:rPr>
        <w:t xml:space="preserve"> </w:t>
      </w:r>
      <w:r w:rsidRPr="00EB2BD8">
        <w:rPr>
          <w:spacing w:val="-2"/>
        </w:rPr>
        <w:t>building</w:t>
      </w:r>
      <w:r w:rsidRPr="00EB2BD8">
        <w:rPr>
          <w:spacing w:val="-8"/>
        </w:rPr>
        <w:t xml:space="preserve"> </w:t>
      </w:r>
      <w:r w:rsidRPr="00EB2BD8">
        <w:rPr>
          <w:spacing w:val="-2"/>
        </w:rPr>
        <w:t>industry.</w:t>
      </w:r>
      <w:r w:rsidRPr="00EB2BD8">
        <w:rPr>
          <w:spacing w:val="-8"/>
        </w:rPr>
        <w:t xml:space="preserve"> </w:t>
      </w:r>
      <w:r w:rsidRPr="00EB2BD8">
        <w:rPr>
          <w:spacing w:val="-2"/>
        </w:rPr>
        <w:t xml:space="preserve">The </w:t>
      </w:r>
      <w:r w:rsidRPr="00EB2BD8">
        <w:t>VBA recorded 4,245 engineer endorsements this year,</w:t>
      </w:r>
    </w:p>
    <w:p w14:paraId="230E30AC" w14:textId="77777777" w:rsidR="00084F36" w:rsidRPr="00EB2BD8" w:rsidRDefault="00EB2BD8">
      <w:pPr>
        <w:pStyle w:val="BodyText"/>
        <w:spacing w:line="261" w:lineRule="auto"/>
        <w:ind w:left="850"/>
      </w:pPr>
      <w:r w:rsidRPr="00EB2BD8">
        <w:t>a</w:t>
      </w:r>
      <w:r w:rsidRPr="00EB2BD8">
        <w:rPr>
          <w:spacing w:val="-6"/>
        </w:rPr>
        <w:t xml:space="preserve"> </w:t>
      </w:r>
      <w:r w:rsidRPr="00EB2BD8">
        <w:t>15</w:t>
      </w:r>
      <w:r w:rsidRPr="00EB2BD8">
        <w:rPr>
          <w:spacing w:val="-6"/>
        </w:rPr>
        <w:t xml:space="preserve"> </w:t>
      </w:r>
      <w:r w:rsidRPr="00EB2BD8">
        <w:t>per</w:t>
      </w:r>
      <w:r w:rsidRPr="00EB2BD8">
        <w:rPr>
          <w:spacing w:val="-6"/>
        </w:rPr>
        <w:t xml:space="preserve"> </w:t>
      </w:r>
      <w:r w:rsidRPr="00EB2BD8">
        <w:t>cent</w:t>
      </w:r>
      <w:r w:rsidRPr="00EB2BD8">
        <w:rPr>
          <w:spacing w:val="-6"/>
        </w:rPr>
        <w:t xml:space="preserve"> </w:t>
      </w:r>
      <w:r w:rsidRPr="00EB2BD8">
        <w:t>increase</w:t>
      </w:r>
      <w:r w:rsidRPr="00EB2BD8">
        <w:rPr>
          <w:spacing w:val="-6"/>
        </w:rPr>
        <w:t xml:space="preserve"> </w:t>
      </w:r>
      <w:r w:rsidRPr="00EB2BD8">
        <w:t>compared</w:t>
      </w:r>
      <w:r w:rsidRPr="00EB2BD8">
        <w:rPr>
          <w:spacing w:val="-6"/>
        </w:rPr>
        <w:t xml:space="preserve"> </w:t>
      </w:r>
      <w:r w:rsidRPr="00EB2BD8">
        <w:t>to</w:t>
      </w:r>
      <w:r w:rsidRPr="00EB2BD8">
        <w:rPr>
          <w:spacing w:val="-6"/>
        </w:rPr>
        <w:t xml:space="preserve"> </w:t>
      </w:r>
      <w:r w:rsidRPr="00EB2BD8">
        <w:t>last</w:t>
      </w:r>
      <w:r w:rsidRPr="00EB2BD8">
        <w:rPr>
          <w:spacing w:val="-6"/>
        </w:rPr>
        <w:t xml:space="preserve"> </w:t>
      </w:r>
      <w:r w:rsidRPr="00EB2BD8">
        <w:t>year.</w:t>
      </w:r>
      <w:r w:rsidRPr="00EB2BD8">
        <w:rPr>
          <w:spacing w:val="-6"/>
        </w:rPr>
        <w:t xml:space="preserve"> </w:t>
      </w:r>
      <w:r w:rsidRPr="00EB2BD8">
        <w:t>To</w:t>
      </w:r>
      <w:r w:rsidRPr="00EB2BD8">
        <w:rPr>
          <w:spacing w:val="-6"/>
        </w:rPr>
        <w:t xml:space="preserve"> </w:t>
      </w:r>
      <w:r w:rsidRPr="00EB2BD8">
        <w:t>ensure engineers remain abreast of relevant information relating to the building and plumbing industries, the VBA</w:t>
      </w:r>
      <w:r w:rsidRPr="00EB2BD8">
        <w:rPr>
          <w:spacing w:val="-10"/>
        </w:rPr>
        <w:t xml:space="preserve"> </w:t>
      </w:r>
      <w:r w:rsidRPr="00EB2BD8">
        <w:t>regularly</w:t>
      </w:r>
      <w:r w:rsidRPr="00EB2BD8">
        <w:rPr>
          <w:spacing w:val="-10"/>
        </w:rPr>
        <w:t xml:space="preserve"> </w:t>
      </w:r>
      <w:r w:rsidRPr="00EB2BD8">
        <w:t>sends</w:t>
      </w:r>
      <w:r w:rsidRPr="00EB2BD8">
        <w:rPr>
          <w:spacing w:val="-10"/>
        </w:rPr>
        <w:t xml:space="preserve"> </w:t>
      </w:r>
      <w:r w:rsidRPr="00EB2BD8">
        <w:t>technical</w:t>
      </w:r>
      <w:r w:rsidRPr="00EB2BD8">
        <w:rPr>
          <w:spacing w:val="-10"/>
        </w:rPr>
        <w:t xml:space="preserve"> </w:t>
      </w:r>
      <w:r w:rsidRPr="00EB2BD8">
        <w:t>bulletins,</w:t>
      </w:r>
      <w:r w:rsidRPr="00EB2BD8">
        <w:rPr>
          <w:spacing w:val="-10"/>
        </w:rPr>
        <w:t xml:space="preserve"> </w:t>
      </w:r>
      <w:r w:rsidRPr="00EB2BD8">
        <w:t>newsletters</w:t>
      </w:r>
      <w:r w:rsidRPr="00EB2BD8">
        <w:rPr>
          <w:spacing w:val="-10"/>
        </w:rPr>
        <w:t xml:space="preserve"> </w:t>
      </w:r>
      <w:r w:rsidRPr="00EB2BD8">
        <w:t>and news alerts to engineers.</w:t>
      </w:r>
    </w:p>
    <w:p w14:paraId="726DF678" w14:textId="77777777" w:rsidR="00084F36" w:rsidRPr="00EB2BD8" w:rsidRDefault="00EB2BD8">
      <w:pPr>
        <w:rPr>
          <w:sz w:val="20"/>
        </w:rPr>
      </w:pPr>
      <w:r w:rsidRPr="00EB2BD8">
        <w:br w:type="column"/>
      </w:r>
    </w:p>
    <w:p w14:paraId="7F955E70" w14:textId="77777777" w:rsidR="00084F36" w:rsidRPr="00EB2BD8" w:rsidRDefault="00084F36">
      <w:pPr>
        <w:pStyle w:val="BodyText"/>
        <w:rPr>
          <w:sz w:val="20"/>
        </w:rPr>
      </w:pPr>
    </w:p>
    <w:p w14:paraId="2054F0D7" w14:textId="77777777" w:rsidR="00084F36" w:rsidRPr="00EB2BD8" w:rsidRDefault="00084F36">
      <w:pPr>
        <w:pStyle w:val="BodyText"/>
        <w:rPr>
          <w:sz w:val="20"/>
        </w:rPr>
      </w:pPr>
    </w:p>
    <w:p w14:paraId="75A82F36" w14:textId="77777777" w:rsidR="00084F36" w:rsidRPr="00EB2BD8" w:rsidRDefault="00EB2BD8">
      <w:pPr>
        <w:pStyle w:val="BodyText"/>
        <w:spacing w:before="164" w:line="261" w:lineRule="auto"/>
        <w:ind w:left="413" w:right="920"/>
      </w:pPr>
      <w:r w:rsidRPr="00EB2BD8">
        <w:t>More than 600 new registered or licensed plumbers resulted in a record 30,942 plumbers in Victoria. This represented a two per cent increase in the number of registered</w:t>
      </w:r>
      <w:r w:rsidRPr="00EB2BD8">
        <w:rPr>
          <w:spacing w:val="-9"/>
        </w:rPr>
        <w:t xml:space="preserve"> </w:t>
      </w:r>
      <w:r w:rsidRPr="00EB2BD8">
        <w:t>or</w:t>
      </w:r>
      <w:r w:rsidRPr="00EB2BD8">
        <w:rPr>
          <w:spacing w:val="-9"/>
        </w:rPr>
        <w:t xml:space="preserve"> </w:t>
      </w:r>
      <w:r w:rsidRPr="00EB2BD8">
        <w:t>licensed</w:t>
      </w:r>
      <w:r w:rsidRPr="00EB2BD8">
        <w:rPr>
          <w:spacing w:val="-9"/>
        </w:rPr>
        <w:t xml:space="preserve"> </w:t>
      </w:r>
      <w:r w:rsidRPr="00EB2BD8">
        <w:t>plumbers</w:t>
      </w:r>
      <w:r w:rsidRPr="00EB2BD8">
        <w:rPr>
          <w:spacing w:val="-9"/>
        </w:rPr>
        <w:t xml:space="preserve"> </w:t>
      </w:r>
      <w:r w:rsidRPr="00EB2BD8">
        <w:t>compared</w:t>
      </w:r>
      <w:r w:rsidRPr="00EB2BD8">
        <w:rPr>
          <w:spacing w:val="-9"/>
        </w:rPr>
        <w:t xml:space="preserve"> </w:t>
      </w:r>
      <w:r w:rsidRPr="00EB2BD8">
        <w:t>to</w:t>
      </w:r>
      <w:r w:rsidRPr="00EB2BD8">
        <w:rPr>
          <w:spacing w:val="-9"/>
        </w:rPr>
        <w:t xml:space="preserve"> </w:t>
      </w:r>
      <w:r w:rsidRPr="00EB2BD8">
        <w:t>last</w:t>
      </w:r>
      <w:r w:rsidRPr="00EB2BD8">
        <w:rPr>
          <w:spacing w:val="-9"/>
        </w:rPr>
        <w:t xml:space="preserve"> </w:t>
      </w:r>
      <w:r w:rsidRPr="00EB2BD8">
        <w:t>year. There was an increase in registrations or licenses in most plumbing classes, with gas fitting work (3.7 per cent increase) and water supply work (2.6 per cent increase) the most notable.</w:t>
      </w:r>
    </w:p>
    <w:p w14:paraId="502812EB" w14:textId="77777777" w:rsidR="00084F36" w:rsidRPr="00EB2BD8" w:rsidRDefault="00EB2BD8">
      <w:pPr>
        <w:pStyle w:val="BodyText"/>
        <w:spacing w:before="105" w:line="261" w:lineRule="auto"/>
        <w:ind w:left="413" w:right="711"/>
      </w:pPr>
      <w:r w:rsidRPr="00EB2BD8">
        <w:t>The VBA continued to inform prospective building practitioners about registration through 18 pre- registration webinars. More than 550 participants attended these sessions, which provided a clear understanding</w:t>
      </w:r>
      <w:r w:rsidRPr="00EB2BD8">
        <w:rPr>
          <w:spacing w:val="-7"/>
        </w:rPr>
        <w:t xml:space="preserve"> </w:t>
      </w:r>
      <w:r w:rsidRPr="00EB2BD8">
        <w:t>of</w:t>
      </w:r>
      <w:r w:rsidRPr="00EB2BD8">
        <w:rPr>
          <w:spacing w:val="-7"/>
        </w:rPr>
        <w:t xml:space="preserve"> </w:t>
      </w:r>
      <w:r w:rsidRPr="00EB2BD8">
        <w:t>the</w:t>
      </w:r>
      <w:r w:rsidRPr="00EB2BD8">
        <w:rPr>
          <w:spacing w:val="-7"/>
        </w:rPr>
        <w:t xml:space="preserve"> </w:t>
      </w:r>
      <w:r w:rsidRPr="00EB2BD8">
        <w:t>requirements</w:t>
      </w:r>
      <w:r w:rsidRPr="00EB2BD8">
        <w:rPr>
          <w:spacing w:val="-7"/>
        </w:rPr>
        <w:t xml:space="preserve"> </w:t>
      </w:r>
      <w:r w:rsidRPr="00EB2BD8">
        <w:t>for</w:t>
      </w:r>
      <w:r w:rsidRPr="00EB2BD8">
        <w:rPr>
          <w:spacing w:val="-7"/>
        </w:rPr>
        <w:t xml:space="preserve"> </w:t>
      </w:r>
      <w:r w:rsidRPr="00EB2BD8">
        <w:t>registration</w:t>
      </w:r>
      <w:r w:rsidRPr="00EB2BD8">
        <w:rPr>
          <w:spacing w:val="-7"/>
        </w:rPr>
        <w:t xml:space="preserve"> </w:t>
      </w:r>
      <w:r w:rsidRPr="00EB2BD8">
        <w:t xml:space="preserve">and </w:t>
      </w:r>
      <w:r w:rsidRPr="00EB2BD8">
        <w:rPr>
          <w:spacing w:val="-2"/>
        </w:rPr>
        <w:t>licensing.</w:t>
      </w:r>
    </w:p>
    <w:p w14:paraId="2C6A9538"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2" w:space="720" w:equalWidth="0">
            <w:col w:w="5727" w:space="40"/>
            <w:col w:w="6143"/>
          </w:cols>
        </w:sectPr>
      </w:pPr>
    </w:p>
    <w:p w14:paraId="0FEB42A3" w14:textId="77777777" w:rsidR="00084F36" w:rsidRPr="00EB2BD8" w:rsidRDefault="00084F36">
      <w:pPr>
        <w:pStyle w:val="BodyText"/>
        <w:rPr>
          <w:sz w:val="20"/>
        </w:rPr>
      </w:pPr>
    </w:p>
    <w:p w14:paraId="4F683105" w14:textId="77777777" w:rsidR="00084F36" w:rsidRPr="00EB2BD8" w:rsidRDefault="00084F36">
      <w:pPr>
        <w:pStyle w:val="BodyText"/>
        <w:rPr>
          <w:sz w:val="20"/>
        </w:rPr>
      </w:pPr>
    </w:p>
    <w:p w14:paraId="6B2D636E" w14:textId="77777777" w:rsidR="00084F36" w:rsidRPr="00EB2BD8" w:rsidRDefault="00084F36">
      <w:pPr>
        <w:pStyle w:val="BodyText"/>
        <w:rPr>
          <w:sz w:val="20"/>
        </w:rPr>
      </w:pPr>
    </w:p>
    <w:p w14:paraId="474C7244" w14:textId="77777777" w:rsidR="00084F36" w:rsidRPr="00EB2BD8" w:rsidRDefault="00084F36">
      <w:pPr>
        <w:pStyle w:val="BodyText"/>
        <w:rPr>
          <w:sz w:val="20"/>
        </w:rPr>
      </w:pPr>
    </w:p>
    <w:p w14:paraId="5AC8658E" w14:textId="77777777" w:rsidR="00084F36" w:rsidRPr="00EB2BD8" w:rsidRDefault="00084F36">
      <w:pPr>
        <w:pStyle w:val="BodyText"/>
        <w:spacing w:before="1"/>
        <w:rPr>
          <w:sz w:val="16"/>
        </w:rPr>
      </w:pPr>
    </w:p>
    <w:p w14:paraId="54ECE408" w14:textId="77777777" w:rsidR="00084F36" w:rsidRPr="00EB2BD8" w:rsidRDefault="00EB2BD8" w:rsidP="00EB2BD8">
      <w:pPr>
        <w:pStyle w:val="Heading3"/>
      </w:pPr>
      <w:bookmarkStart w:id="73" w:name="_Toc150762375"/>
      <w:r w:rsidRPr="00EB2BD8">
        <w:t>Table</w:t>
      </w:r>
      <w:r w:rsidRPr="00EB2BD8">
        <w:rPr>
          <w:spacing w:val="-11"/>
        </w:rPr>
        <w:t xml:space="preserve"> </w:t>
      </w:r>
      <w:r w:rsidRPr="00EB2BD8">
        <w:t>2:</w:t>
      </w:r>
      <w:r w:rsidRPr="00EB2BD8">
        <w:rPr>
          <w:spacing w:val="41"/>
        </w:rPr>
        <w:t xml:space="preserve"> </w:t>
      </w:r>
      <w:r w:rsidRPr="00EB2BD8">
        <w:t>Building</w:t>
      </w:r>
      <w:r w:rsidRPr="00EB2BD8">
        <w:rPr>
          <w:spacing w:val="-11"/>
        </w:rPr>
        <w:t xml:space="preserve"> </w:t>
      </w:r>
      <w:r w:rsidRPr="00EB2BD8">
        <w:t>and</w:t>
      </w:r>
      <w:r w:rsidRPr="00EB2BD8">
        <w:rPr>
          <w:spacing w:val="-11"/>
        </w:rPr>
        <w:t xml:space="preserve"> </w:t>
      </w:r>
      <w:r w:rsidRPr="00EB2BD8">
        <w:t>plumbing</w:t>
      </w:r>
      <w:r w:rsidRPr="00EB2BD8">
        <w:rPr>
          <w:spacing w:val="-11"/>
        </w:rPr>
        <w:t xml:space="preserve"> </w:t>
      </w:r>
      <w:r w:rsidRPr="00EB2BD8">
        <w:t>registration</w:t>
      </w:r>
      <w:r w:rsidRPr="00EB2BD8">
        <w:rPr>
          <w:spacing w:val="-11"/>
        </w:rPr>
        <w:t xml:space="preserve"> </w:t>
      </w:r>
      <w:r w:rsidRPr="00EB2BD8">
        <w:t>and</w:t>
      </w:r>
      <w:r w:rsidRPr="00EB2BD8">
        <w:rPr>
          <w:spacing w:val="-10"/>
        </w:rPr>
        <w:t xml:space="preserve"> </w:t>
      </w:r>
      <w:r w:rsidRPr="00EB2BD8">
        <w:t>licensing</w:t>
      </w:r>
      <w:r w:rsidRPr="00EB2BD8">
        <w:rPr>
          <w:spacing w:val="-11"/>
        </w:rPr>
        <w:t xml:space="preserve"> </w:t>
      </w:r>
      <w:r w:rsidRPr="00EB2BD8">
        <w:rPr>
          <w:spacing w:val="-2"/>
        </w:rPr>
        <w:t>activity</w:t>
      </w:r>
      <w:bookmarkEnd w:id="73"/>
    </w:p>
    <w:p w14:paraId="1EF4F2E1" w14:textId="77777777" w:rsidR="00084F36" w:rsidRPr="00EB2BD8" w:rsidRDefault="00EB2BD8">
      <w:pPr>
        <w:pStyle w:val="BodyText"/>
        <w:spacing w:before="6"/>
      </w:pPr>
      <w:r w:rsidRPr="00EB2BD8">
        <w:rPr>
          <w:noProof/>
        </w:rPr>
        <mc:AlternateContent>
          <mc:Choice Requires="wps">
            <w:drawing>
              <wp:anchor distT="0" distB="0" distL="0" distR="0" simplePos="0" relativeHeight="251940864" behindDoc="1" locked="0" layoutInCell="1" allowOverlap="1" wp14:anchorId="349ABE5D" wp14:editId="2B12CD11">
                <wp:simplePos x="0" y="0"/>
                <wp:positionH relativeFrom="page">
                  <wp:posOffset>540000</wp:posOffset>
                </wp:positionH>
                <wp:positionV relativeFrom="paragraph">
                  <wp:posOffset>153677</wp:posOffset>
                </wp:positionV>
                <wp:extent cx="6552565" cy="245745"/>
                <wp:effectExtent l="0" t="0" r="0" b="0"/>
                <wp:wrapTopAndBottom/>
                <wp:docPr id="288" name="Textbox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2565" cy="245745"/>
                        </a:xfrm>
                        <a:prstGeom prst="rect">
                          <a:avLst/>
                        </a:prstGeom>
                        <a:solidFill>
                          <a:srgbClr val="005F83"/>
                        </a:solidFill>
                      </wps:spPr>
                      <wps:txbx>
                        <w:txbxContent>
                          <w:p w14:paraId="43BA4F29" w14:textId="77777777" w:rsidR="00084F36" w:rsidRDefault="00EB2BD8">
                            <w:pPr>
                              <w:tabs>
                                <w:tab w:val="left" w:pos="5952"/>
                              </w:tabs>
                              <w:spacing w:before="118"/>
                              <w:ind w:left="113"/>
                              <w:rPr>
                                <w:color w:val="000000"/>
                                <w:sz w:val="16"/>
                              </w:rPr>
                            </w:pPr>
                            <w:r>
                              <w:rPr>
                                <w:color w:val="FFFFFF"/>
                                <w:sz w:val="16"/>
                              </w:rPr>
                              <w:t>Building</w:t>
                            </w:r>
                            <w:r>
                              <w:rPr>
                                <w:color w:val="FFFFFF"/>
                                <w:spacing w:val="-6"/>
                                <w:sz w:val="16"/>
                              </w:rPr>
                              <w:t xml:space="preserve"> </w:t>
                            </w:r>
                            <w:r>
                              <w:rPr>
                                <w:color w:val="FFFFFF"/>
                                <w:spacing w:val="-2"/>
                                <w:sz w:val="16"/>
                              </w:rPr>
                              <w:t>practitioner</w:t>
                            </w:r>
                            <w:r>
                              <w:rPr>
                                <w:color w:val="FFFFFF"/>
                                <w:sz w:val="16"/>
                              </w:rPr>
                              <w:tab/>
                              <w:t>Plumbing</w:t>
                            </w:r>
                            <w:r>
                              <w:rPr>
                                <w:color w:val="FFFFFF"/>
                                <w:spacing w:val="2"/>
                                <w:sz w:val="16"/>
                              </w:rPr>
                              <w:t xml:space="preserve"> </w:t>
                            </w:r>
                            <w:r>
                              <w:rPr>
                                <w:color w:val="FFFFFF"/>
                                <w:spacing w:val="-2"/>
                                <w:sz w:val="16"/>
                              </w:rPr>
                              <w:t>practitioner</w:t>
                            </w:r>
                          </w:p>
                        </w:txbxContent>
                      </wps:txbx>
                      <wps:bodyPr wrap="square" lIns="0" tIns="0" rIns="0" bIns="0" rtlCol="0">
                        <a:noAutofit/>
                      </wps:bodyPr>
                    </wps:wsp>
                  </a:graphicData>
                </a:graphic>
              </wp:anchor>
            </w:drawing>
          </mc:Choice>
          <mc:Fallback>
            <w:pict>
              <v:shapetype w14:anchorId="349ABE5D" id="_x0000_t202" coordsize="21600,21600" o:spt="202" path="m,l,21600r21600,l21600,xe">
                <v:stroke joinstyle="miter"/>
                <v:path gradientshapeok="t" o:connecttype="rect"/>
              </v:shapetype>
              <v:shape id="Textbox 288" o:spid="_x0000_s1026" type="#_x0000_t202" alt="&quot;&quot;" style="position:absolute;margin-left:42.5pt;margin-top:12.1pt;width:515.95pt;height:19.35pt;z-index:-25137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" fillcolor="#005f83" stroked="f">
                <v:textbox inset="0,0,0,0">
                  <w:txbxContent>
                    <w:p w14:paraId="43BA4F29" w14:textId="77777777" w:rsidR="00084F36" w:rsidRDefault="00EB2BD8">
                      <w:pPr>
                        <w:tabs>
                          <w:tab w:val="left" w:pos="5952"/>
                        </w:tabs>
                        <w:spacing w:before="118"/>
                        <w:ind w:left="113"/>
                        <w:rPr>
                          <w:color w:val="000000"/>
                          <w:sz w:val="16"/>
                        </w:rPr>
                      </w:pPr>
                      <w:r>
                        <w:rPr>
                          <w:color w:val="FFFFFF"/>
                          <w:sz w:val="16"/>
                        </w:rPr>
                        <w:t>Building</w:t>
                      </w:r>
                      <w:r>
                        <w:rPr>
                          <w:color w:val="FFFFFF"/>
                          <w:spacing w:val="-6"/>
                          <w:sz w:val="16"/>
                        </w:rPr>
                        <w:t xml:space="preserve"> </w:t>
                      </w:r>
                      <w:r>
                        <w:rPr>
                          <w:color w:val="FFFFFF"/>
                          <w:spacing w:val="-2"/>
                          <w:sz w:val="16"/>
                        </w:rPr>
                        <w:t>practitioner</w:t>
                      </w:r>
                      <w:r>
                        <w:rPr>
                          <w:color w:val="FFFFFF"/>
                          <w:sz w:val="16"/>
                        </w:rPr>
                        <w:tab/>
                        <w:t>Plumbing</w:t>
                      </w:r>
                      <w:r>
                        <w:rPr>
                          <w:color w:val="FFFFFF"/>
                          <w:spacing w:val="2"/>
                          <w:sz w:val="16"/>
                        </w:rPr>
                        <w:t xml:space="preserve"> </w:t>
                      </w:r>
                      <w:r>
                        <w:rPr>
                          <w:color w:val="FFFFFF"/>
                          <w:spacing w:val="-2"/>
                          <w:sz w:val="16"/>
                        </w:rPr>
                        <w:t>practitioner</w:t>
                      </w:r>
                    </w:p>
                  </w:txbxContent>
                </v:textbox>
                <w10:wrap type="topAndBottom" anchorx="page"/>
              </v:shape>
            </w:pict>
          </mc:Fallback>
        </mc:AlternateContent>
      </w:r>
    </w:p>
    <w:p w14:paraId="361671C3" w14:textId="77777777" w:rsidR="00084F36" w:rsidRPr="00EB2BD8" w:rsidRDefault="00EB2BD8">
      <w:pPr>
        <w:tabs>
          <w:tab w:val="left" w:pos="1496"/>
        </w:tabs>
        <w:spacing w:before="118"/>
        <w:ind w:right="5461"/>
        <w:jc w:val="right"/>
        <w:rPr>
          <w:sz w:val="16"/>
        </w:rPr>
      </w:pPr>
      <w:r w:rsidRPr="00EB2BD8">
        <w:rPr>
          <w:spacing w:val="-2"/>
          <w:w w:val="105"/>
          <w:sz w:val="16"/>
        </w:rPr>
        <w:t>Company</w:t>
      </w:r>
      <w:r w:rsidRPr="00EB2BD8">
        <w:rPr>
          <w:sz w:val="16"/>
        </w:rPr>
        <w:tab/>
      </w:r>
      <w:r w:rsidRPr="00EB2BD8">
        <w:rPr>
          <w:spacing w:val="-2"/>
          <w:w w:val="105"/>
          <w:sz w:val="16"/>
        </w:rPr>
        <w:t>Natural</w:t>
      </w:r>
      <w:r w:rsidRPr="00EB2BD8">
        <w:rPr>
          <w:spacing w:val="-8"/>
          <w:w w:val="105"/>
          <w:sz w:val="16"/>
        </w:rPr>
        <w:t xml:space="preserve"> </w:t>
      </w:r>
      <w:r w:rsidRPr="00EB2BD8">
        <w:rPr>
          <w:spacing w:val="-2"/>
          <w:w w:val="105"/>
          <w:sz w:val="16"/>
        </w:rPr>
        <w:t>person</w:t>
      </w:r>
    </w:p>
    <w:p w14:paraId="16171F62" w14:textId="77777777" w:rsidR="00084F36" w:rsidRPr="00EB2BD8" w:rsidRDefault="00084F36">
      <w:pPr>
        <w:pStyle w:val="BodyText"/>
        <w:spacing w:before="9"/>
        <w:rPr>
          <w:sz w:val="6"/>
        </w:rPr>
      </w:pPr>
    </w:p>
    <w:tbl>
      <w:tblPr>
        <w:tblW w:w="0" w:type="auto"/>
        <w:tblInd w:w="857" w:type="dxa"/>
        <w:tblLayout w:type="fixed"/>
        <w:tblCellMar>
          <w:left w:w="0" w:type="dxa"/>
          <w:right w:w="0" w:type="dxa"/>
        </w:tblCellMar>
        <w:tblLook w:val="01E0" w:firstRow="1" w:lastRow="1" w:firstColumn="1" w:lastColumn="1" w:noHBand="0" w:noVBand="0"/>
      </w:tblPr>
      <w:tblGrid>
        <w:gridCol w:w="2521"/>
        <w:gridCol w:w="819"/>
        <w:gridCol w:w="835"/>
        <w:gridCol w:w="865"/>
        <w:gridCol w:w="798"/>
        <w:gridCol w:w="2822"/>
        <w:gridCol w:w="856"/>
        <w:gridCol w:w="797"/>
      </w:tblGrid>
      <w:tr w:rsidR="00EB2BD8" w:rsidRPr="00EB2BD8" w14:paraId="556384BA" w14:textId="77777777">
        <w:trPr>
          <w:trHeight w:val="323"/>
        </w:trPr>
        <w:tc>
          <w:tcPr>
            <w:tcW w:w="3340" w:type="dxa"/>
            <w:gridSpan w:val="2"/>
            <w:shd w:val="clear" w:color="auto" w:fill="E5F5FF"/>
          </w:tcPr>
          <w:p w14:paraId="101BA867" w14:textId="77777777" w:rsidR="00084F36" w:rsidRPr="00EB2BD8" w:rsidRDefault="00EB2BD8">
            <w:pPr>
              <w:pStyle w:val="TableParagraph"/>
              <w:spacing w:before="85"/>
              <w:ind w:right="130"/>
              <w:jc w:val="right"/>
              <w:rPr>
                <w:sz w:val="16"/>
              </w:rPr>
            </w:pPr>
            <w:r w:rsidRPr="00EB2BD8">
              <w:rPr>
                <w:spacing w:val="-2"/>
                <w:sz w:val="16"/>
              </w:rPr>
              <w:t>2022–23</w:t>
            </w:r>
          </w:p>
        </w:tc>
        <w:tc>
          <w:tcPr>
            <w:tcW w:w="835" w:type="dxa"/>
            <w:shd w:val="clear" w:color="auto" w:fill="E5F5FF"/>
          </w:tcPr>
          <w:p w14:paraId="10183AEE" w14:textId="77777777" w:rsidR="00084F36" w:rsidRPr="00EB2BD8" w:rsidRDefault="00EB2BD8">
            <w:pPr>
              <w:pStyle w:val="TableParagraph"/>
              <w:spacing w:before="85"/>
              <w:ind w:right="115"/>
              <w:jc w:val="right"/>
              <w:rPr>
                <w:sz w:val="16"/>
              </w:rPr>
            </w:pPr>
            <w:r w:rsidRPr="00EB2BD8">
              <w:rPr>
                <w:spacing w:val="-2"/>
                <w:w w:val="95"/>
                <w:sz w:val="16"/>
              </w:rPr>
              <w:t>2021–22</w:t>
            </w:r>
          </w:p>
        </w:tc>
        <w:tc>
          <w:tcPr>
            <w:tcW w:w="865" w:type="dxa"/>
            <w:shd w:val="clear" w:color="auto" w:fill="E5F5FF"/>
          </w:tcPr>
          <w:p w14:paraId="0C998931" w14:textId="77777777" w:rsidR="00084F36" w:rsidRPr="00EB2BD8" w:rsidRDefault="00EB2BD8">
            <w:pPr>
              <w:pStyle w:val="TableParagraph"/>
              <w:spacing w:before="85"/>
              <w:ind w:right="129"/>
              <w:jc w:val="right"/>
              <w:rPr>
                <w:sz w:val="16"/>
              </w:rPr>
            </w:pPr>
            <w:r w:rsidRPr="00EB2BD8">
              <w:rPr>
                <w:spacing w:val="-2"/>
                <w:sz w:val="16"/>
              </w:rPr>
              <w:t>2022–23</w:t>
            </w:r>
          </w:p>
        </w:tc>
        <w:tc>
          <w:tcPr>
            <w:tcW w:w="798" w:type="dxa"/>
            <w:shd w:val="clear" w:color="auto" w:fill="E5F5FF"/>
          </w:tcPr>
          <w:p w14:paraId="7930D046" w14:textId="77777777" w:rsidR="00084F36" w:rsidRPr="00EB2BD8" w:rsidRDefault="00EB2BD8">
            <w:pPr>
              <w:pStyle w:val="TableParagraph"/>
              <w:spacing w:before="85"/>
              <w:ind w:left="132"/>
              <w:rPr>
                <w:sz w:val="16"/>
              </w:rPr>
            </w:pPr>
            <w:r w:rsidRPr="00EB2BD8">
              <w:rPr>
                <w:spacing w:val="-2"/>
                <w:w w:val="95"/>
                <w:sz w:val="16"/>
              </w:rPr>
              <w:t>2021–22</w:t>
            </w:r>
          </w:p>
        </w:tc>
        <w:tc>
          <w:tcPr>
            <w:tcW w:w="3678" w:type="dxa"/>
            <w:gridSpan w:val="2"/>
            <w:shd w:val="clear" w:color="auto" w:fill="E5F5FF"/>
          </w:tcPr>
          <w:p w14:paraId="60B30577" w14:textId="77777777" w:rsidR="00084F36" w:rsidRPr="00EB2BD8" w:rsidRDefault="00EB2BD8">
            <w:pPr>
              <w:pStyle w:val="TableParagraph"/>
              <w:spacing w:before="85"/>
              <w:ind w:right="127"/>
              <w:jc w:val="right"/>
              <w:rPr>
                <w:sz w:val="16"/>
              </w:rPr>
            </w:pPr>
            <w:r w:rsidRPr="00EB2BD8">
              <w:rPr>
                <w:spacing w:val="-2"/>
                <w:sz w:val="16"/>
              </w:rPr>
              <w:t>2022–23</w:t>
            </w:r>
          </w:p>
        </w:tc>
        <w:tc>
          <w:tcPr>
            <w:tcW w:w="797" w:type="dxa"/>
            <w:shd w:val="clear" w:color="auto" w:fill="E5F5FF"/>
          </w:tcPr>
          <w:p w14:paraId="4EE57FC5" w14:textId="77777777" w:rsidR="00084F36" w:rsidRPr="00EB2BD8" w:rsidRDefault="00EB2BD8">
            <w:pPr>
              <w:pStyle w:val="TableParagraph"/>
              <w:spacing w:before="85"/>
              <w:ind w:right="73"/>
              <w:jc w:val="right"/>
              <w:rPr>
                <w:sz w:val="16"/>
              </w:rPr>
            </w:pPr>
            <w:r w:rsidRPr="00EB2BD8">
              <w:rPr>
                <w:spacing w:val="-2"/>
                <w:w w:val="95"/>
                <w:sz w:val="16"/>
              </w:rPr>
              <w:t>2021–22</w:t>
            </w:r>
          </w:p>
        </w:tc>
      </w:tr>
      <w:tr w:rsidR="00EB2BD8" w:rsidRPr="00EB2BD8" w14:paraId="5C6D139F" w14:textId="77777777">
        <w:trPr>
          <w:trHeight w:val="329"/>
        </w:trPr>
        <w:tc>
          <w:tcPr>
            <w:tcW w:w="2521" w:type="dxa"/>
          </w:tcPr>
          <w:p w14:paraId="65E7BD71" w14:textId="77777777" w:rsidR="00084F36" w:rsidRPr="00EB2BD8" w:rsidRDefault="00EB2BD8">
            <w:pPr>
              <w:pStyle w:val="TableParagraph"/>
              <w:spacing w:before="118"/>
              <w:ind w:left="113"/>
              <w:rPr>
                <w:sz w:val="16"/>
              </w:rPr>
            </w:pPr>
            <w:r w:rsidRPr="00EB2BD8">
              <w:rPr>
                <w:spacing w:val="-2"/>
                <w:sz w:val="16"/>
              </w:rPr>
              <w:t>Registration</w:t>
            </w:r>
            <w:r w:rsidRPr="00EB2BD8">
              <w:rPr>
                <w:spacing w:val="8"/>
                <w:sz w:val="16"/>
              </w:rPr>
              <w:t xml:space="preserve"> </w:t>
            </w:r>
            <w:r w:rsidRPr="00EB2BD8">
              <w:rPr>
                <w:spacing w:val="-2"/>
                <w:sz w:val="16"/>
              </w:rPr>
              <w:t>applications</w:t>
            </w:r>
          </w:p>
        </w:tc>
        <w:tc>
          <w:tcPr>
            <w:tcW w:w="819" w:type="dxa"/>
          </w:tcPr>
          <w:p w14:paraId="065B8B25" w14:textId="77777777" w:rsidR="00084F36" w:rsidRPr="00EB2BD8" w:rsidRDefault="00EB2BD8">
            <w:pPr>
              <w:pStyle w:val="TableParagraph"/>
              <w:spacing w:before="118"/>
              <w:ind w:right="164"/>
              <w:jc w:val="right"/>
              <w:rPr>
                <w:sz w:val="16"/>
              </w:rPr>
            </w:pPr>
            <w:r w:rsidRPr="00EB2BD8">
              <w:rPr>
                <w:spacing w:val="-4"/>
                <w:w w:val="90"/>
                <w:sz w:val="16"/>
              </w:rPr>
              <w:t>1,028</w:t>
            </w:r>
          </w:p>
        </w:tc>
        <w:tc>
          <w:tcPr>
            <w:tcW w:w="835" w:type="dxa"/>
          </w:tcPr>
          <w:p w14:paraId="00F5BDEC" w14:textId="77777777" w:rsidR="00084F36" w:rsidRPr="00EB2BD8" w:rsidRDefault="00EB2BD8">
            <w:pPr>
              <w:pStyle w:val="TableParagraph"/>
              <w:spacing w:before="118"/>
              <w:ind w:right="148"/>
              <w:jc w:val="right"/>
              <w:rPr>
                <w:sz w:val="16"/>
              </w:rPr>
            </w:pPr>
            <w:r w:rsidRPr="00EB2BD8">
              <w:rPr>
                <w:spacing w:val="-4"/>
                <w:w w:val="90"/>
                <w:sz w:val="16"/>
              </w:rPr>
              <w:t>1,636</w:t>
            </w:r>
          </w:p>
        </w:tc>
        <w:tc>
          <w:tcPr>
            <w:tcW w:w="865" w:type="dxa"/>
          </w:tcPr>
          <w:p w14:paraId="6E83B20A" w14:textId="77777777" w:rsidR="00084F36" w:rsidRPr="00EB2BD8" w:rsidRDefault="00EB2BD8">
            <w:pPr>
              <w:pStyle w:val="TableParagraph"/>
              <w:spacing w:before="118"/>
              <w:ind w:right="163"/>
              <w:jc w:val="right"/>
              <w:rPr>
                <w:sz w:val="16"/>
              </w:rPr>
            </w:pPr>
            <w:r w:rsidRPr="00EB2BD8">
              <w:rPr>
                <w:spacing w:val="-2"/>
                <w:w w:val="85"/>
                <w:sz w:val="16"/>
              </w:rPr>
              <w:t>1,780</w:t>
            </w:r>
          </w:p>
        </w:tc>
        <w:tc>
          <w:tcPr>
            <w:tcW w:w="798" w:type="dxa"/>
          </w:tcPr>
          <w:p w14:paraId="4D522963" w14:textId="77777777" w:rsidR="00084F36" w:rsidRPr="00EB2BD8" w:rsidRDefault="00EB2BD8">
            <w:pPr>
              <w:pStyle w:val="TableParagraph"/>
              <w:spacing w:before="118"/>
              <w:ind w:left="347"/>
              <w:rPr>
                <w:sz w:val="16"/>
              </w:rPr>
            </w:pPr>
            <w:r w:rsidRPr="00EB2BD8">
              <w:rPr>
                <w:spacing w:val="-2"/>
                <w:w w:val="85"/>
                <w:sz w:val="16"/>
              </w:rPr>
              <w:t>2,142</w:t>
            </w:r>
          </w:p>
        </w:tc>
        <w:tc>
          <w:tcPr>
            <w:tcW w:w="2822" w:type="dxa"/>
            <w:shd w:val="clear" w:color="auto" w:fill="D1E9F1"/>
          </w:tcPr>
          <w:p w14:paraId="640A94CD" w14:textId="77777777" w:rsidR="00084F36" w:rsidRPr="00EB2BD8" w:rsidRDefault="00EB2BD8">
            <w:pPr>
              <w:pStyle w:val="TableParagraph"/>
              <w:spacing w:before="118"/>
              <w:ind w:left="114"/>
              <w:rPr>
                <w:sz w:val="16"/>
              </w:rPr>
            </w:pPr>
            <w:r w:rsidRPr="00EB2BD8">
              <w:rPr>
                <w:spacing w:val="-2"/>
                <w:sz w:val="16"/>
              </w:rPr>
              <w:t>Registration</w:t>
            </w:r>
            <w:r w:rsidRPr="00EB2BD8">
              <w:rPr>
                <w:spacing w:val="-1"/>
                <w:sz w:val="16"/>
              </w:rPr>
              <w:t xml:space="preserve"> </w:t>
            </w:r>
            <w:r w:rsidRPr="00EB2BD8">
              <w:rPr>
                <w:spacing w:val="-2"/>
                <w:sz w:val="16"/>
              </w:rPr>
              <w:t>or</w:t>
            </w:r>
            <w:r w:rsidRPr="00EB2BD8">
              <w:rPr>
                <w:spacing w:val="-1"/>
                <w:sz w:val="16"/>
              </w:rPr>
              <w:t xml:space="preserve"> </w:t>
            </w:r>
            <w:r w:rsidRPr="00EB2BD8">
              <w:rPr>
                <w:spacing w:val="-2"/>
                <w:sz w:val="16"/>
              </w:rPr>
              <w:t>licensing</w:t>
            </w:r>
          </w:p>
        </w:tc>
        <w:tc>
          <w:tcPr>
            <w:tcW w:w="856" w:type="dxa"/>
            <w:shd w:val="clear" w:color="auto" w:fill="D1E9F1"/>
          </w:tcPr>
          <w:p w14:paraId="04FB7483" w14:textId="77777777" w:rsidR="00084F36" w:rsidRPr="00EB2BD8" w:rsidRDefault="00EB2BD8">
            <w:pPr>
              <w:pStyle w:val="TableParagraph"/>
              <w:spacing w:before="118"/>
              <w:ind w:right="160"/>
              <w:jc w:val="right"/>
              <w:rPr>
                <w:sz w:val="16"/>
              </w:rPr>
            </w:pPr>
            <w:r w:rsidRPr="00EB2BD8">
              <w:rPr>
                <w:spacing w:val="-2"/>
                <w:w w:val="85"/>
                <w:sz w:val="16"/>
              </w:rPr>
              <w:t>3,128</w:t>
            </w:r>
          </w:p>
        </w:tc>
        <w:tc>
          <w:tcPr>
            <w:tcW w:w="797" w:type="dxa"/>
            <w:shd w:val="clear" w:color="auto" w:fill="D1E9F1"/>
          </w:tcPr>
          <w:p w14:paraId="3DB1789E" w14:textId="77777777" w:rsidR="00084F36" w:rsidRPr="00EB2BD8" w:rsidRDefault="00EB2BD8">
            <w:pPr>
              <w:pStyle w:val="TableParagraph"/>
              <w:spacing w:before="118"/>
              <w:ind w:right="106"/>
              <w:jc w:val="right"/>
              <w:rPr>
                <w:sz w:val="16"/>
              </w:rPr>
            </w:pPr>
            <w:r w:rsidRPr="00EB2BD8">
              <w:rPr>
                <w:spacing w:val="-2"/>
                <w:w w:val="95"/>
                <w:sz w:val="16"/>
              </w:rPr>
              <w:t>2,708</w:t>
            </w:r>
          </w:p>
        </w:tc>
      </w:tr>
      <w:tr w:rsidR="00EB2BD8" w:rsidRPr="00EB2BD8" w14:paraId="2CFD58BA" w14:textId="77777777">
        <w:trPr>
          <w:trHeight w:val="285"/>
        </w:trPr>
        <w:tc>
          <w:tcPr>
            <w:tcW w:w="3340" w:type="dxa"/>
            <w:gridSpan w:val="2"/>
            <w:tcBorders>
              <w:bottom w:val="single" w:sz="2" w:space="0" w:color="000000"/>
            </w:tcBorders>
          </w:tcPr>
          <w:p w14:paraId="5F96ACE0" w14:textId="7DD5E027" w:rsidR="00084F36" w:rsidRPr="00EB2BD8" w:rsidRDefault="00DB0F6B">
            <w:pPr>
              <w:pStyle w:val="TableParagraph"/>
              <w:spacing w:before="19"/>
              <w:ind w:left="113"/>
              <w:rPr>
                <w:sz w:val="16"/>
              </w:rPr>
            </w:pPr>
            <w:r w:rsidRPr="00EB2BD8">
              <w:rPr>
                <w:spacing w:val="-2"/>
                <w:w w:val="105"/>
                <w:sz w:val="16"/>
              </w:rPr>
              <w:t>R</w:t>
            </w:r>
            <w:r w:rsidR="00EB2BD8" w:rsidRPr="00EB2BD8">
              <w:rPr>
                <w:spacing w:val="-2"/>
                <w:w w:val="105"/>
                <w:sz w:val="16"/>
              </w:rPr>
              <w:t>eceived</w:t>
            </w:r>
          </w:p>
        </w:tc>
        <w:tc>
          <w:tcPr>
            <w:tcW w:w="835" w:type="dxa"/>
            <w:tcBorders>
              <w:bottom w:val="single" w:sz="2" w:space="0" w:color="000000"/>
            </w:tcBorders>
          </w:tcPr>
          <w:p w14:paraId="3272FFB7" w14:textId="77777777" w:rsidR="00084F36" w:rsidRPr="00EB2BD8" w:rsidRDefault="00084F36">
            <w:pPr>
              <w:pStyle w:val="TableParagraph"/>
              <w:rPr>
                <w:rFonts w:ascii="Times New Roman"/>
                <w:sz w:val="16"/>
              </w:rPr>
            </w:pPr>
          </w:p>
        </w:tc>
        <w:tc>
          <w:tcPr>
            <w:tcW w:w="865" w:type="dxa"/>
            <w:tcBorders>
              <w:bottom w:val="single" w:sz="2" w:space="0" w:color="000000"/>
            </w:tcBorders>
          </w:tcPr>
          <w:p w14:paraId="00C8F05E" w14:textId="77777777" w:rsidR="00084F36" w:rsidRPr="00EB2BD8" w:rsidRDefault="00084F36">
            <w:pPr>
              <w:pStyle w:val="TableParagraph"/>
              <w:rPr>
                <w:rFonts w:ascii="Times New Roman"/>
                <w:sz w:val="16"/>
              </w:rPr>
            </w:pPr>
          </w:p>
        </w:tc>
        <w:tc>
          <w:tcPr>
            <w:tcW w:w="798" w:type="dxa"/>
            <w:tcBorders>
              <w:bottom w:val="single" w:sz="2" w:space="0" w:color="000000"/>
            </w:tcBorders>
          </w:tcPr>
          <w:p w14:paraId="37B9F44E" w14:textId="77777777" w:rsidR="00084F36" w:rsidRPr="00EB2BD8" w:rsidRDefault="00084F36">
            <w:pPr>
              <w:pStyle w:val="TableParagraph"/>
              <w:rPr>
                <w:rFonts w:ascii="Times New Roman"/>
                <w:sz w:val="16"/>
              </w:rPr>
            </w:pPr>
          </w:p>
        </w:tc>
        <w:tc>
          <w:tcPr>
            <w:tcW w:w="4475" w:type="dxa"/>
            <w:gridSpan w:val="3"/>
            <w:tcBorders>
              <w:bottom w:val="single" w:sz="2" w:space="0" w:color="000000"/>
            </w:tcBorders>
            <w:shd w:val="clear" w:color="auto" w:fill="D1E9F1"/>
          </w:tcPr>
          <w:p w14:paraId="73DE29FA" w14:textId="77777777" w:rsidR="00084F36" w:rsidRPr="00EB2BD8" w:rsidRDefault="00EB2BD8">
            <w:pPr>
              <w:pStyle w:val="TableParagraph"/>
              <w:spacing w:before="19"/>
              <w:ind w:left="114"/>
              <w:rPr>
                <w:sz w:val="9"/>
              </w:rPr>
            </w:pPr>
            <w:r w:rsidRPr="00EB2BD8">
              <w:rPr>
                <w:sz w:val="16"/>
              </w:rPr>
              <w:t>applications</w:t>
            </w:r>
            <w:r w:rsidRPr="00EB2BD8">
              <w:rPr>
                <w:spacing w:val="5"/>
                <w:sz w:val="16"/>
              </w:rPr>
              <w:t xml:space="preserve"> </w:t>
            </w:r>
            <w:r w:rsidRPr="00EB2BD8">
              <w:rPr>
                <w:spacing w:val="-2"/>
                <w:sz w:val="16"/>
              </w:rPr>
              <w:t>received</w:t>
            </w:r>
            <w:r w:rsidRPr="00EB2BD8">
              <w:rPr>
                <w:spacing w:val="-2"/>
                <w:position w:val="5"/>
                <w:sz w:val="9"/>
              </w:rPr>
              <w:t>8</w:t>
            </w:r>
          </w:p>
        </w:tc>
      </w:tr>
      <w:tr w:rsidR="00EB2BD8" w:rsidRPr="00EB2BD8" w14:paraId="51CF947C" w14:textId="77777777">
        <w:trPr>
          <w:trHeight w:val="326"/>
        </w:trPr>
        <w:tc>
          <w:tcPr>
            <w:tcW w:w="2521" w:type="dxa"/>
            <w:tcBorders>
              <w:top w:val="single" w:sz="2" w:space="0" w:color="000000"/>
            </w:tcBorders>
          </w:tcPr>
          <w:p w14:paraId="0E41A99F" w14:textId="77777777" w:rsidR="00084F36" w:rsidRPr="00EB2BD8" w:rsidRDefault="00EB2BD8">
            <w:pPr>
              <w:pStyle w:val="TableParagraph"/>
              <w:spacing w:before="116"/>
              <w:ind w:left="113"/>
              <w:rPr>
                <w:sz w:val="16"/>
              </w:rPr>
            </w:pPr>
            <w:r w:rsidRPr="00EB2BD8">
              <w:rPr>
                <w:spacing w:val="-2"/>
                <w:sz w:val="16"/>
              </w:rPr>
              <w:t>Registration</w:t>
            </w:r>
            <w:r w:rsidRPr="00EB2BD8">
              <w:rPr>
                <w:spacing w:val="8"/>
                <w:sz w:val="16"/>
              </w:rPr>
              <w:t xml:space="preserve"> </w:t>
            </w:r>
            <w:r w:rsidRPr="00EB2BD8">
              <w:rPr>
                <w:spacing w:val="-2"/>
                <w:sz w:val="16"/>
              </w:rPr>
              <w:t>applications</w:t>
            </w:r>
          </w:p>
        </w:tc>
        <w:tc>
          <w:tcPr>
            <w:tcW w:w="819" w:type="dxa"/>
            <w:tcBorders>
              <w:top w:val="single" w:sz="2" w:space="0" w:color="000000"/>
            </w:tcBorders>
          </w:tcPr>
          <w:p w14:paraId="0814E845" w14:textId="77777777" w:rsidR="00084F36" w:rsidRPr="00EB2BD8" w:rsidRDefault="00EB2BD8">
            <w:pPr>
              <w:pStyle w:val="TableParagraph"/>
              <w:spacing w:before="116"/>
              <w:ind w:right="164"/>
              <w:jc w:val="right"/>
              <w:rPr>
                <w:sz w:val="16"/>
              </w:rPr>
            </w:pPr>
            <w:r w:rsidRPr="00EB2BD8">
              <w:rPr>
                <w:spacing w:val="-4"/>
                <w:w w:val="90"/>
                <w:sz w:val="16"/>
              </w:rPr>
              <w:t>1,043</w:t>
            </w:r>
          </w:p>
        </w:tc>
        <w:tc>
          <w:tcPr>
            <w:tcW w:w="835" w:type="dxa"/>
            <w:tcBorders>
              <w:top w:val="single" w:sz="2" w:space="0" w:color="000000"/>
            </w:tcBorders>
          </w:tcPr>
          <w:p w14:paraId="251F58B0" w14:textId="77777777" w:rsidR="00084F36" w:rsidRPr="00EB2BD8" w:rsidRDefault="00EB2BD8">
            <w:pPr>
              <w:pStyle w:val="TableParagraph"/>
              <w:spacing w:before="116"/>
              <w:ind w:right="148"/>
              <w:jc w:val="right"/>
              <w:rPr>
                <w:sz w:val="16"/>
              </w:rPr>
            </w:pPr>
            <w:r w:rsidRPr="00EB2BD8">
              <w:rPr>
                <w:spacing w:val="-2"/>
                <w:w w:val="85"/>
                <w:sz w:val="16"/>
              </w:rPr>
              <w:t>1,573</w:t>
            </w:r>
          </w:p>
        </w:tc>
        <w:tc>
          <w:tcPr>
            <w:tcW w:w="865" w:type="dxa"/>
            <w:tcBorders>
              <w:top w:val="single" w:sz="2" w:space="0" w:color="000000"/>
            </w:tcBorders>
          </w:tcPr>
          <w:p w14:paraId="3E9A2590" w14:textId="77777777" w:rsidR="00084F36" w:rsidRPr="00EB2BD8" w:rsidRDefault="00EB2BD8">
            <w:pPr>
              <w:pStyle w:val="TableParagraph"/>
              <w:spacing w:before="116"/>
              <w:ind w:right="163"/>
              <w:jc w:val="right"/>
              <w:rPr>
                <w:sz w:val="16"/>
              </w:rPr>
            </w:pPr>
            <w:r w:rsidRPr="00EB2BD8">
              <w:rPr>
                <w:spacing w:val="-2"/>
                <w:w w:val="85"/>
                <w:sz w:val="16"/>
              </w:rPr>
              <w:t>1,789</w:t>
            </w:r>
          </w:p>
        </w:tc>
        <w:tc>
          <w:tcPr>
            <w:tcW w:w="798" w:type="dxa"/>
            <w:tcBorders>
              <w:top w:val="single" w:sz="2" w:space="0" w:color="000000"/>
            </w:tcBorders>
          </w:tcPr>
          <w:p w14:paraId="3A9FE60C" w14:textId="77777777" w:rsidR="00084F36" w:rsidRPr="00EB2BD8" w:rsidRDefault="00EB2BD8">
            <w:pPr>
              <w:pStyle w:val="TableParagraph"/>
              <w:spacing w:before="116"/>
              <w:ind w:left="345"/>
              <w:rPr>
                <w:sz w:val="16"/>
              </w:rPr>
            </w:pPr>
            <w:r w:rsidRPr="00EB2BD8">
              <w:rPr>
                <w:spacing w:val="-2"/>
                <w:w w:val="85"/>
                <w:sz w:val="16"/>
              </w:rPr>
              <w:t>2,185</w:t>
            </w:r>
          </w:p>
        </w:tc>
        <w:tc>
          <w:tcPr>
            <w:tcW w:w="2822" w:type="dxa"/>
            <w:tcBorders>
              <w:top w:val="single" w:sz="2" w:space="0" w:color="000000"/>
            </w:tcBorders>
            <w:shd w:val="clear" w:color="auto" w:fill="D1E9F1"/>
          </w:tcPr>
          <w:p w14:paraId="234920F2" w14:textId="77777777" w:rsidR="00084F36" w:rsidRPr="00EB2BD8" w:rsidRDefault="00EB2BD8">
            <w:pPr>
              <w:pStyle w:val="TableParagraph"/>
              <w:spacing w:before="116"/>
              <w:ind w:left="114"/>
              <w:rPr>
                <w:sz w:val="16"/>
              </w:rPr>
            </w:pPr>
            <w:r w:rsidRPr="00EB2BD8">
              <w:rPr>
                <w:spacing w:val="-2"/>
                <w:sz w:val="16"/>
              </w:rPr>
              <w:t>Registration</w:t>
            </w:r>
            <w:r w:rsidRPr="00EB2BD8">
              <w:rPr>
                <w:spacing w:val="-1"/>
                <w:sz w:val="16"/>
              </w:rPr>
              <w:t xml:space="preserve"> </w:t>
            </w:r>
            <w:r w:rsidRPr="00EB2BD8">
              <w:rPr>
                <w:spacing w:val="-2"/>
                <w:sz w:val="16"/>
              </w:rPr>
              <w:t>or</w:t>
            </w:r>
            <w:r w:rsidRPr="00EB2BD8">
              <w:rPr>
                <w:spacing w:val="-1"/>
                <w:sz w:val="16"/>
              </w:rPr>
              <w:t xml:space="preserve"> </w:t>
            </w:r>
            <w:r w:rsidRPr="00EB2BD8">
              <w:rPr>
                <w:spacing w:val="-2"/>
                <w:sz w:val="16"/>
              </w:rPr>
              <w:t>licensing</w:t>
            </w:r>
          </w:p>
        </w:tc>
        <w:tc>
          <w:tcPr>
            <w:tcW w:w="856" w:type="dxa"/>
            <w:tcBorders>
              <w:top w:val="single" w:sz="2" w:space="0" w:color="000000"/>
            </w:tcBorders>
            <w:shd w:val="clear" w:color="auto" w:fill="D1E9F1"/>
          </w:tcPr>
          <w:p w14:paraId="47819B70" w14:textId="77777777" w:rsidR="00084F36" w:rsidRPr="00EB2BD8" w:rsidRDefault="00EB2BD8">
            <w:pPr>
              <w:pStyle w:val="TableParagraph"/>
              <w:spacing w:before="116"/>
              <w:ind w:right="159"/>
              <w:jc w:val="right"/>
              <w:rPr>
                <w:sz w:val="16"/>
              </w:rPr>
            </w:pPr>
            <w:r w:rsidRPr="00EB2BD8">
              <w:rPr>
                <w:spacing w:val="-2"/>
                <w:w w:val="95"/>
                <w:sz w:val="16"/>
              </w:rPr>
              <w:t>3,018</w:t>
            </w:r>
          </w:p>
        </w:tc>
        <w:tc>
          <w:tcPr>
            <w:tcW w:w="797" w:type="dxa"/>
            <w:tcBorders>
              <w:top w:val="single" w:sz="2" w:space="0" w:color="000000"/>
            </w:tcBorders>
            <w:shd w:val="clear" w:color="auto" w:fill="D1E9F1"/>
          </w:tcPr>
          <w:p w14:paraId="5234E204" w14:textId="77777777" w:rsidR="00084F36" w:rsidRPr="00EB2BD8" w:rsidRDefault="00EB2BD8">
            <w:pPr>
              <w:pStyle w:val="TableParagraph"/>
              <w:spacing w:before="116"/>
              <w:ind w:right="107"/>
              <w:jc w:val="right"/>
              <w:rPr>
                <w:sz w:val="16"/>
              </w:rPr>
            </w:pPr>
            <w:r w:rsidRPr="00EB2BD8">
              <w:rPr>
                <w:spacing w:val="-4"/>
                <w:w w:val="90"/>
                <w:sz w:val="16"/>
              </w:rPr>
              <w:t>2,877</w:t>
            </w:r>
          </w:p>
        </w:tc>
      </w:tr>
      <w:tr w:rsidR="00EB2BD8" w:rsidRPr="00EB2BD8" w14:paraId="1FA3D366" w14:textId="77777777">
        <w:trPr>
          <w:trHeight w:val="285"/>
        </w:trPr>
        <w:tc>
          <w:tcPr>
            <w:tcW w:w="3340" w:type="dxa"/>
            <w:gridSpan w:val="2"/>
            <w:tcBorders>
              <w:bottom w:val="single" w:sz="2" w:space="0" w:color="000000"/>
            </w:tcBorders>
          </w:tcPr>
          <w:p w14:paraId="23803B81" w14:textId="6430C088" w:rsidR="00084F36" w:rsidRPr="00EB2BD8" w:rsidRDefault="00DB0F6B">
            <w:pPr>
              <w:pStyle w:val="TableParagraph"/>
              <w:spacing w:before="19"/>
              <w:ind w:left="113"/>
              <w:rPr>
                <w:sz w:val="16"/>
              </w:rPr>
            </w:pPr>
            <w:r>
              <w:rPr>
                <w:spacing w:val="-2"/>
                <w:sz w:val="16"/>
              </w:rPr>
              <w:t>Finalized</w:t>
            </w:r>
          </w:p>
        </w:tc>
        <w:tc>
          <w:tcPr>
            <w:tcW w:w="835" w:type="dxa"/>
            <w:tcBorders>
              <w:bottom w:val="single" w:sz="2" w:space="0" w:color="000000"/>
            </w:tcBorders>
          </w:tcPr>
          <w:p w14:paraId="09779145" w14:textId="77777777" w:rsidR="00084F36" w:rsidRPr="00EB2BD8" w:rsidRDefault="00084F36">
            <w:pPr>
              <w:pStyle w:val="TableParagraph"/>
              <w:rPr>
                <w:rFonts w:ascii="Times New Roman"/>
                <w:sz w:val="16"/>
              </w:rPr>
            </w:pPr>
          </w:p>
        </w:tc>
        <w:tc>
          <w:tcPr>
            <w:tcW w:w="865" w:type="dxa"/>
            <w:tcBorders>
              <w:bottom w:val="single" w:sz="2" w:space="0" w:color="000000"/>
            </w:tcBorders>
          </w:tcPr>
          <w:p w14:paraId="4B0CA988" w14:textId="77777777" w:rsidR="00084F36" w:rsidRPr="00EB2BD8" w:rsidRDefault="00084F36">
            <w:pPr>
              <w:pStyle w:val="TableParagraph"/>
              <w:rPr>
                <w:rFonts w:ascii="Times New Roman"/>
                <w:sz w:val="16"/>
              </w:rPr>
            </w:pPr>
          </w:p>
        </w:tc>
        <w:tc>
          <w:tcPr>
            <w:tcW w:w="798" w:type="dxa"/>
            <w:tcBorders>
              <w:bottom w:val="single" w:sz="2" w:space="0" w:color="000000"/>
            </w:tcBorders>
          </w:tcPr>
          <w:p w14:paraId="3FD0995A" w14:textId="77777777" w:rsidR="00084F36" w:rsidRPr="00EB2BD8" w:rsidRDefault="00084F36">
            <w:pPr>
              <w:pStyle w:val="TableParagraph"/>
              <w:rPr>
                <w:rFonts w:ascii="Times New Roman"/>
                <w:sz w:val="16"/>
              </w:rPr>
            </w:pPr>
          </w:p>
        </w:tc>
        <w:tc>
          <w:tcPr>
            <w:tcW w:w="4475" w:type="dxa"/>
            <w:gridSpan w:val="3"/>
            <w:tcBorders>
              <w:bottom w:val="single" w:sz="2" w:space="0" w:color="000000"/>
            </w:tcBorders>
            <w:shd w:val="clear" w:color="auto" w:fill="D1E9F1"/>
          </w:tcPr>
          <w:p w14:paraId="4097EE75" w14:textId="77777777" w:rsidR="00084F36" w:rsidRPr="00EB2BD8" w:rsidRDefault="00EB2BD8">
            <w:pPr>
              <w:pStyle w:val="TableParagraph"/>
              <w:spacing w:before="19"/>
              <w:ind w:left="114"/>
              <w:rPr>
                <w:sz w:val="16"/>
              </w:rPr>
            </w:pPr>
            <w:r w:rsidRPr="00EB2BD8">
              <w:rPr>
                <w:sz w:val="16"/>
              </w:rPr>
              <w:t>applications</w:t>
            </w:r>
            <w:r w:rsidRPr="00EB2BD8">
              <w:rPr>
                <w:spacing w:val="5"/>
                <w:sz w:val="16"/>
              </w:rPr>
              <w:t xml:space="preserve"> </w:t>
            </w:r>
            <w:r w:rsidRPr="00EB2BD8">
              <w:rPr>
                <w:spacing w:val="-2"/>
                <w:sz w:val="16"/>
              </w:rPr>
              <w:t>finalised</w:t>
            </w:r>
          </w:p>
        </w:tc>
      </w:tr>
      <w:tr w:rsidR="00EB2BD8" w:rsidRPr="00EB2BD8" w14:paraId="4BC54092" w14:textId="77777777">
        <w:trPr>
          <w:trHeight w:val="326"/>
        </w:trPr>
        <w:tc>
          <w:tcPr>
            <w:tcW w:w="2521" w:type="dxa"/>
            <w:tcBorders>
              <w:top w:val="single" w:sz="2" w:space="0" w:color="000000"/>
            </w:tcBorders>
          </w:tcPr>
          <w:p w14:paraId="6AF1C22C" w14:textId="77777777" w:rsidR="00084F36" w:rsidRPr="00EB2BD8" w:rsidRDefault="00EB2BD8">
            <w:pPr>
              <w:pStyle w:val="TableParagraph"/>
              <w:spacing w:before="116"/>
              <w:ind w:left="113"/>
              <w:rPr>
                <w:sz w:val="16"/>
              </w:rPr>
            </w:pPr>
            <w:r w:rsidRPr="00EB2BD8">
              <w:rPr>
                <w:sz w:val="16"/>
              </w:rPr>
              <w:t>Number</w:t>
            </w:r>
            <w:r w:rsidRPr="00EB2BD8">
              <w:rPr>
                <w:spacing w:val="-12"/>
                <w:sz w:val="16"/>
              </w:rPr>
              <w:t xml:space="preserve"> </w:t>
            </w:r>
            <w:r w:rsidRPr="00EB2BD8">
              <w:rPr>
                <w:sz w:val="16"/>
              </w:rPr>
              <w:t>of</w:t>
            </w:r>
            <w:r w:rsidRPr="00EB2BD8">
              <w:rPr>
                <w:spacing w:val="-11"/>
                <w:sz w:val="16"/>
              </w:rPr>
              <w:t xml:space="preserve"> </w:t>
            </w:r>
            <w:r w:rsidRPr="00EB2BD8">
              <w:rPr>
                <w:spacing w:val="-2"/>
                <w:sz w:val="16"/>
              </w:rPr>
              <w:t>practitioners</w:t>
            </w:r>
          </w:p>
        </w:tc>
        <w:tc>
          <w:tcPr>
            <w:tcW w:w="819" w:type="dxa"/>
            <w:tcBorders>
              <w:top w:val="single" w:sz="2" w:space="0" w:color="000000"/>
            </w:tcBorders>
          </w:tcPr>
          <w:p w14:paraId="57B3152F" w14:textId="77777777" w:rsidR="00084F36" w:rsidRPr="00EB2BD8" w:rsidRDefault="00EB2BD8">
            <w:pPr>
              <w:pStyle w:val="TableParagraph"/>
              <w:spacing w:before="116"/>
              <w:ind w:right="164"/>
              <w:jc w:val="right"/>
              <w:rPr>
                <w:sz w:val="16"/>
              </w:rPr>
            </w:pPr>
            <w:r w:rsidRPr="00EB2BD8">
              <w:rPr>
                <w:spacing w:val="-2"/>
                <w:w w:val="90"/>
                <w:sz w:val="16"/>
              </w:rPr>
              <w:t>12,065</w:t>
            </w:r>
          </w:p>
        </w:tc>
        <w:tc>
          <w:tcPr>
            <w:tcW w:w="835" w:type="dxa"/>
            <w:tcBorders>
              <w:top w:val="single" w:sz="2" w:space="0" w:color="000000"/>
            </w:tcBorders>
          </w:tcPr>
          <w:p w14:paraId="0C408804" w14:textId="77777777" w:rsidR="00084F36" w:rsidRPr="00EB2BD8" w:rsidRDefault="00EB2BD8">
            <w:pPr>
              <w:pStyle w:val="TableParagraph"/>
              <w:spacing w:before="116"/>
              <w:ind w:right="148"/>
              <w:jc w:val="right"/>
              <w:rPr>
                <w:sz w:val="16"/>
              </w:rPr>
            </w:pPr>
            <w:r w:rsidRPr="00EB2BD8">
              <w:rPr>
                <w:spacing w:val="-2"/>
                <w:w w:val="85"/>
                <w:sz w:val="16"/>
              </w:rPr>
              <w:t>11,962</w:t>
            </w:r>
          </w:p>
        </w:tc>
        <w:tc>
          <w:tcPr>
            <w:tcW w:w="865" w:type="dxa"/>
            <w:tcBorders>
              <w:top w:val="single" w:sz="2" w:space="0" w:color="000000"/>
            </w:tcBorders>
          </w:tcPr>
          <w:p w14:paraId="22AEB010" w14:textId="77777777" w:rsidR="00084F36" w:rsidRPr="00EB2BD8" w:rsidRDefault="00EB2BD8">
            <w:pPr>
              <w:pStyle w:val="TableParagraph"/>
              <w:spacing w:before="116"/>
              <w:ind w:right="166"/>
              <w:jc w:val="right"/>
              <w:rPr>
                <w:sz w:val="16"/>
              </w:rPr>
            </w:pPr>
            <w:r w:rsidRPr="00EB2BD8">
              <w:rPr>
                <w:spacing w:val="-2"/>
                <w:sz w:val="16"/>
              </w:rPr>
              <w:t>23,097</w:t>
            </w:r>
          </w:p>
        </w:tc>
        <w:tc>
          <w:tcPr>
            <w:tcW w:w="798" w:type="dxa"/>
            <w:tcBorders>
              <w:top w:val="single" w:sz="2" w:space="0" w:color="000000"/>
            </w:tcBorders>
          </w:tcPr>
          <w:p w14:paraId="22A5088B" w14:textId="77777777" w:rsidR="00084F36" w:rsidRPr="00EB2BD8" w:rsidRDefault="00EB2BD8">
            <w:pPr>
              <w:pStyle w:val="TableParagraph"/>
              <w:spacing w:before="116"/>
              <w:ind w:left="247"/>
              <w:rPr>
                <w:sz w:val="16"/>
              </w:rPr>
            </w:pPr>
            <w:r w:rsidRPr="00EB2BD8">
              <w:rPr>
                <w:spacing w:val="-2"/>
                <w:w w:val="85"/>
                <w:sz w:val="16"/>
              </w:rPr>
              <w:t>22,319</w:t>
            </w:r>
          </w:p>
        </w:tc>
        <w:tc>
          <w:tcPr>
            <w:tcW w:w="2822" w:type="dxa"/>
            <w:tcBorders>
              <w:top w:val="single" w:sz="2" w:space="0" w:color="000000"/>
            </w:tcBorders>
            <w:shd w:val="clear" w:color="auto" w:fill="D1E9F1"/>
          </w:tcPr>
          <w:p w14:paraId="30456ED9" w14:textId="77777777" w:rsidR="00084F36" w:rsidRPr="00EB2BD8" w:rsidRDefault="00EB2BD8">
            <w:pPr>
              <w:pStyle w:val="TableParagraph"/>
              <w:spacing w:before="116"/>
              <w:ind w:left="114"/>
              <w:rPr>
                <w:sz w:val="16"/>
              </w:rPr>
            </w:pPr>
            <w:r w:rsidRPr="00EB2BD8">
              <w:rPr>
                <w:sz w:val="16"/>
              </w:rPr>
              <w:t>Number</w:t>
            </w:r>
            <w:r w:rsidRPr="00EB2BD8">
              <w:rPr>
                <w:spacing w:val="-12"/>
                <w:sz w:val="16"/>
              </w:rPr>
              <w:t xml:space="preserve"> </w:t>
            </w:r>
            <w:r w:rsidRPr="00EB2BD8">
              <w:rPr>
                <w:sz w:val="16"/>
              </w:rPr>
              <w:t>of</w:t>
            </w:r>
            <w:r w:rsidRPr="00EB2BD8">
              <w:rPr>
                <w:spacing w:val="-11"/>
                <w:sz w:val="16"/>
              </w:rPr>
              <w:t xml:space="preserve"> </w:t>
            </w:r>
            <w:r w:rsidRPr="00EB2BD8">
              <w:rPr>
                <w:spacing w:val="-2"/>
                <w:sz w:val="16"/>
              </w:rPr>
              <w:t>registered/licensed</w:t>
            </w:r>
          </w:p>
        </w:tc>
        <w:tc>
          <w:tcPr>
            <w:tcW w:w="856" w:type="dxa"/>
            <w:tcBorders>
              <w:top w:val="single" w:sz="2" w:space="0" w:color="000000"/>
            </w:tcBorders>
            <w:shd w:val="clear" w:color="auto" w:fill="D1E9F1"/>
          </w:tcPr>
          <w:p w14:paraId="72BA5711" w14:textId="77777777" w:rsidR="00084F36" w:rsidRPr="00EB2BD8" w:rsidRDefault="00EB2BD8">
            <w:pPr>
              <w:pStyle w:val="TableParagraph"/>
              <w:spacing w:before="116"/>
              <w:ind w:right="160"/>
              <w:jc w:val="right"/>
              <w:rPr>
                <w:sz w:val="16"/>
              </w:rPr>
            </w:pPr>
            <w:r w:rsidRPr="00EB2BD8">
              <w:rPr>
                <w:spacing w:val="-2"/>
                <w:sz w:val="16"/>
              </w:rPr>
              <w:t>30,942</w:t>
            </w:r>
          </w:p>
        </w:tc>
        <w:tc>
          <w:tcPr>
            <w:tcW w:w="797" w:type="dxa"/>
            <w:tcBorders>
              <w:top w:val="single" w:sz="2" w:space="0" w:color="000000"/>
            </w:tcBorders>
            <w:shd w:val="clear" w:color="auto" w:fill="D1E9F1"/>
          </w:tcPr>
          <w:p w14:paraId="71AB1804" w14:textId="77777777" w:rsidR="00084F36" w:rsidRPr="00EB2BD8" w:rsidRDefault="00EB2BD8">
            <w:pPr>
              <w:pStyle w:val="TableParagraph"/>
              <w:spacing w:before="116"/>
              <w:ind w:right="107"/>
              <w:jc w:val="right"/>
              <w:rPr>
                <w:sz w:val="16"/>
              </w:rPr>
            </w:pPr>
            <w:r w:rsidRPr="00EB2BD8">
              <w:rPr>
                <w:spacing w:val="-2"/>
                <w:w w:val="90"/>
                <w:sz w:val="16"/>
              </w:rPr>
              <w:t>30,312</w:t>
            </w:r>
          </w:p>
        </w:tc>
      </w:tr>
      <w:tr w:rsidR="00EB2BD8" w:rsidRPr="00EB2BD8" w14:paraId="48EA0B3C" w14:textId="77777777">
        <w:trPr>
          <w:trHeight w:val="229"/>
        </w:trPr>
        <w:tc>
          <w:tcPr>
            <w:tcW w:w="3340" w:type="dxa"/>
            <w:gridSpan w:val="2"/>
          </w:tcPr>
          <w:p w14:paraId="694B0943" w14:textId="77777777" w:rsidR="00084F36" w:rsidRPr="00EB2BD8" w:rsidRDefault="00EB2BD8">
            <w:pPr>
              <w:pStyle w:val="TableParagraph"/>
              <w:spacing w:before="19"/>
              <w:ind w:left="113"/>
              <w:rPr>
                <w:sz w:val="16"/>
              </w:rPr>
            </w:pPr>
            <w:r w:rsidRPr="00EB2BD8">
              <w:rPr>
                <w:sz w:val="16"/>
              </w:rPr>
              <w:t>as</w:t>
            </w:r>
            <w:r w:rsidRPr="00EB2BD8">
              <w:rPr>
                <w:spacing w:val="-5"/>
                <w:sz w:val="16"/>
              </w:rPr>
              <w:t xml:space="preserve"> </w:t>
            </w:r>
            <w:r w:rsidRPr="00EB2BD8">
              <w:rPr>
                <w:sz w:val="16"/>
              </w:rPr>
              <w:t>at</w:t>
            </w:r>
            <w:r w:rsidRPr="00EB2BD8">
              <w:rPr>
                <w:spacing w:val="-5"/>
                <w:sz w:val="16"/>
              </w:rPr>
              <w:t xml:space="preserve"> </w:t>
            </w:r>
            <w:r w:rsidRPr="00EB2BD8">
              <w:rPr>
                <w:sz w:val="16"/>
              </w:rPr>
              <w:t>30</w:t>
            </w:r>
            <w:r w:rsidRPr="00EB2BD8">
              <w:rPr>
                <w:spacing w:val="-5"/>
                <w:sz w:val="16"/>
              </w:rPr>
              <w:t xml:space="preserve"> </w:t>
            </w:r>
            <w:r w:rsidRPr="00EB2BD8">
              <w:rPr>
                <w:spacing w:val="-4"/>
                <w:sz w:val="16"/>
              </w:rPr>
              <w:t>June</w:t>
            </w:r>
          </w:p>
        </w:tc>
        <w:tc>
          <w:tcPr>
            <w:tcW w:w="835" w:type="dxa"/>
          </w:tcPr>
          <w:p w14:paraId="7EAF4293" w14:textId="77777777" w:rsidR="00084F36" w:rsidRPr="00EB2BD8" w:rsidRDefault="00084F36">
            <w:pPr>
              <w:pStyle w:val="TableParagraph"/>
              <w:rPr>
                <w:rFonts w:ascii="Times New Roman"/>
                <w:sz w:val="16"/>
              </w:rPr>
            </w:pPr>
          </w:p>
        </w:tc>
        <w:tc>
          <w:tcPr>
            <w:tcW w:w="865" w:type="dxa"/>
          </w:tcPr>
          <w:p w14:paraId="249A0F8B" w14:textId="77777777" w:rsidR="00084F36" w:rsidRPr="00EB2BD8" w:rsidRDefault="00084F36">
            <w:pPr>
              <w:pStyle w:val="TableParagraph"/>
              <w:rPr>
                <w:rFonts w:ascii="Times New Roman"/>
                <w:sz w:val="16"/>
              </w:rPr>
            </w:pPr>
          </w:p>
        </w:tc>
        <w:tc>
          <w:tcPr>
            <w:tcW w:w="798" w:type="dxa"/>
          </w:tcPr>
          <w:p w14:paraId="45531100" w14:textId="77777777" w:rsidR="00084F36" w:rsidRPr="00EB2BD8" w:rsidRDefault="00084F36">
            <w:pPr>
              <w:pStyle w:val="TableParagraph"/>
              <w:rPr>
                <w:rFonts w:ascii="Times New Roman"/>
                <w:sz w:val="16"/>
              </w:rPr>
            </w:pPr>
          </w:p>
        </w:tc>
        <w:tc>
          <w:tcPr>
            <w:tcW w:w="4475" w:type="dxa"/>
            <w:gridSpan w:val="3"/>
            <w:shd w:val="clear" w:color="auto" w:fill="D1E9F1"/>
          </w:tcPr>
          <w:p w14:paraId="1EC00E1C" w14:textId="77777777" w:rsidR="00084F36" w:rsidRPr="00EB2BD8" w:rsidRDefault="00EB2BD8">
            <w:pPr>
              <w:pStyle w:val="TableParagraph"/>
              <w:spacing w:before="19"/>
              <w:ind w:left="114"/>
              <w:rPr>
                <w:sz w:val="16"/>
              </w:rPr>
            </w:pPr>
            <w:r w:rsidRPr="00EB2BD8">
              <w:rPr>
                <w:sz w:val="16"/>
              </w:rPr>
              <w:t>plumbers</w:t>
            </w:r>
            <w:r w:rsidRPr="00EB2BD8">
              <w:rPr>
                <w:spacing w:val="-11"/>
                <w:sz w:val="16"/>
              </w:rPr>
              <w:t xml:space="preserve"> </w:t>
            </w:r>
            <w:r w:rsidRPr="00EB2BD8">
              <w:rPr>
                <w:sz w:val="16"/>
              </w:rPr>
              <w:t>as</w:t>
            </w:r>
            <w:r w:rsidRPr="00EB2BD8">
              <w:rPr>
                <w:spacing w:val="-11"/>
                <w:sz w:val="16"/>
              </w:rPr>
              <w:t xml:space="preserve"> </w:t>
            </w:r>
            <w:r w:rsidRPr="00EB2BD8">
              <w:rPr>
                <w:spacing w:val="-5"/>
                <w:sz w:val="16"/>
              </w:rPr>
              <w:t>at</w:t>
            </w:r>
          </w:p>
        </w:tc>
      </w:tr>
      <w:tr w:rsidR="00EB2BD8" w:rsidRPr="00EB2BD8" w14:paraId="6D407B74" w14:textId="77777777">
        <w:trPr>
          <w:trHeight w:val="287"/>
        </w:trPr>
        <w:tc>
          <w:tcPr>
            <w:tcW w:w="3340" w:type="dxa"/>
            <w:gridSpan w:val="2"/>
          </w:tcPr>
          <w:p w14:paraId="55BDC613" w14:textId="77777777" w:rsidR="00084F36" w:rsidRPr="00EB2BD8" w:rsidRDefault="00084F36">
            <w:pPr>
              <w:pStyle w:val="TableParagraph"/>
              <w:rPr>
                <w:rFonts w:ascii="Times New Roman"/>
                <w:sz w:val="16"/>
              </w:rPr>
            </w:pPr>
          </w:p>
        </w:tc>
        <w:tc>
          <w:tcPr>
            <w:tcW w:w="835" w:type="dxa"/>
          </w:tcPr>
          <w:p w14:paraId="6C64B977" w14:textId="77777777" w:rsidR="00084F36" w:rsidRPr="00EB2BD8" w:rsidRDefault="00084F36">
            <w:pPr>
              <w:pStyle w:val="TableParagraph"/>
              <w:rPr>
                <w:rFonts w:ascii="Times New Roman"/>
                <w:sz w:val="16"/>
              </w:rPr>
            </w:pPr>
          </w:p>
        </w:tc>
        <w:tc>
          <w:tcPr>
            <w:tcW w:w="865" w:type="dxa"/>
          </w:tcPr>
          <w:p w14:paraId="6F2C0004" w14:textId="77777777" w:rsidR="00084F36" w:rsidRPr="00EB2BD8" w:rsidRDefault="00084F36">
            <w:pPr>
              <w:pStyle w:val="TableParagraph"/>
              <w:rPr>
                <w:rFonts w:ascii="Times New Roman"/>
                <w:sz w:val="16"/>
              </w:rPr>
            </w:pPr>
          </w:p>
        </w:tc>
        <w:tc>
          <w:tcPr>
            <w:tcW w:w="798" w:type="dxa"/>
          </w:tcPr>
          <w:p w14:paraId="060987FA" w14:textId="77777777" w:rsidR="00084F36" w:rsidRPr="00EB2BD8" w:rsidRDefault="00084F36">
            <w:pPr>
              <w:pStyle w:val="TableParagraph"/>
              <w:rPr>
                <w:rFonts w:ascii="Times New Roman"/>
                <w:sz w:val="16"/>
              </w:rPr>
            </w:pPr>
          </w:p>
        </w:tc>
        <w:tc>
          <w:tcPr>
            <w:tcW w:w="4475" w:type="dxa"/>
            <w:gridSpan w:val="3"/>
            <w:shd w:val="clear" w:color="auto" w:fill="D1E9F1"/>
          </w:tcPr>
          <w:p w14:paraId="36B2324D" w14:textId="77777777" w:rsidR="00084F36" w:rsidRPr="00EB2BD8" w:rsidRDefault="00EB2BD8">
            <w:pPr>
              <w:pStyle w:val="TableParagraph"/>
              <w:spacing w:before="19"/>
              <w:ind w:left="114"/>
              <w:rPr>
                <w:sz w:val="16"/>
              </w:rPr>
            </w:pPr>
            <w:r w:rsidRPr="00EB2BD8">
              <w:rPr>
                <w:w w:val="95"/>
                <w:sz w:val="16"/>
              </w:rPr>
              <w:t>30</w:t>
            </w:r>
            <w:r w:rsidRPr="00EB2BD8">
              <w:rPr>
                <w:spacing w:val="-3"/>
                <w:w w:val="95"/>
                <w:sz w:val="16"/>
              </w:rPr>
              <w:t xml:space="preserve"> </w:t>
            </w:r>
            <w:r w:rsidRPr="00EB2BD8">
              <w:rPr>
                <w:spacing w:val="-4"/>
                <w:w w:val="110"/>
                <w:sz w:val="16"/>
              </w:rPr>
              <w:t>June</w:t>
            </w:r>
          </w:p>
        </w:tc>
      </w:tr>
      <w:tr w:rsidR="00EB2BD8" w:rsidRPr="00EB2BD8" w14:paraId="732ED315" w14:textId="77777777">
        <w:trPr>
          <w:trHeight w:val="320"/>
        </w:trPr>
        <w:tc>
          <w:tcPr>
            <w:tcW w:w="3340" w:type="dxa"/>
            <w:gridSpan w:val="2"/>
            <w:shd w:val="clear" w:color="auto" w:fill="E5F5FF"/>
          </w:tcPr>
          <w:p w14:paraId="5DCCF5EB" w14:textId="77777777" w:rsidR="00084F36" w:rsidRPr="00EB2BD8" w:rsidRDefault="00EB2BD8">
            <w:pPr>
              <w:pStyle w:val="TableParagraph"/>
              <w:spacing w:before="85"/>
              <w:ind w:left="79"/>
              <w:rPr>
                <w:sz w:val="16"/>
              </w:rPr>
            </w:pPr>
            <w:r w:rsidRPr="00EB2BD8">
              <w:rPr>
                <w:sz w:val="16"/>
              </w:rPr>
              <w:t>Number</w:t>
            </w:r>
            <w:r w:rsidRPr="00EB2BD8">
              <w:rPr>
                <w:spacing w:val="-3"/>
                <w:sz w:val="16"/>
              </w:rPr>
              <w:t xml:space="preserve"> </w:t>
            </w:r>
            <w:r w:rsidRPr="00EB2BD8">
              <w:rPr>
                <w:sz w:val="16"/>
              </w:rPr>
              <w:t>of</w:t>
            </w:r>
            <w:r w:rsidRPr="00EB2BD8">
              <w:rPr>
                <w:spacing w:val="-2"/>
                <w:sz w:val="16"/>
              </w:rPr>
              <w:t xml:space="preserve"> </w:t>
            </w:r>
            <w:r w:rsidRPr="00EB2BD8">
              <w:rPr>
                <w:sz w:val="16"/>
              </w:rPr>
              <w:t>registrations</w:t>
            </w:r>
            <w:r w:rsidRPr="00EB2BD8">
              <w:rPr>
                <w:spacing w:val="-3"/>
                <w:sz w:val="16"/>
              </w:rPr>
              <w:t xml:space="preserve"> </w:t>
            </w:r>
            <w:r w:rsidRPr="00EB2BD8">
              <w:rPr>
                <w:sz w:val="16"/>
              </w:rPr>
              <w:t>as</w:t>
            </w:r>
            <w:r w:rsidRPr="00EB2BD8">
              <w:rPr>
                <w:spacing w:val="-2"/>
                <w:sz w:val="16"/>
              </w:rPr>
              <w:t xml:space="preserve"> </w:t>
            </w:r>
            <w:r w:rsidRPr="00EB2BD8">
              <w:rPr>
                <w:sz w:val="16"/>
              </w:rPr>
              <w:t>at</w:t>
            </w:r>
            <w:r w:rsidRPr="00EB2BD8">
              <w:rPr>
                <w:spacing w:val="-2"/>
                <w:sz w:val="16"/>
              </w:rPr>
              <w:t xml:space="preserve"> </w:t>
            </w:r>
            <w:r w:rsidRPr="00EB2BD8">
              <w:rPr>
                <w:sz w:val="16"/>
              </w:rPr>
              <w:t>30</w:t>
            </w:r>
            <w:r w:rsidRPr="00EB2BD8">
              <w:rPr>
                <w:spacing w:val="-3"/>
                <w:sz w:val="16"/>
              </w:rPr>
              <w:t xml:space="preserve"> </w:t>
            </w:r>
            <w:r w:rsidRPr="00EB2BD8">
              <w:rPr>
                <w:spacing w:val="-4"/>
                <w:sz w:val="16"/>
              </w:rPr>
              <w:t>June</w:t>
            </w:r>
          </w:p>
        </w:tc>
        <w:tc>
          <w:tcPr>
            <w:tcW w:w="835" w:type="dxa"/>
            <w:shd w:val="clear" w:color="auto" w:fill="E5F5FF"/>
          </w:tcPr>
          <w:p w14:paraId="1B031E0D" w14:textId="77777777" w:rsidR="00084F36" w:rsidRPr="00EB2BD8" w:rsidRDefault="00084F36">
            <w:pPr>
              <w:pStyle w:val="TableParagraph"/>
              <w:rPr>
                <w:rFonts w:ascii="Times New Roman"/>
                <w:sz w:val="16"/>
              </w:rPr>
            </w:pPr>
          </w:p>
        </w:tc>
        <w:tc>
          <w:tcPr>
            <w:tcW w:w="865" w:type="dxa"/>
            <w:shd w:val="clear" w:color="auto" w:fill="E5F5FF"/>
          </w:tcPr>
          <w:p w14:paraId="61A49EDB" w14:textId="77777777" w:rsidR="00084F36" w:rsidRPr="00EB2BD8" w:rsidRDefault="00084F36">
            <w:pPr>
              <w:pStyle w:val="TableParagraph"/>
              <w:rPr>
                <w:rFonts w:ascii="Times New Roman"/>
                <w:sz w:val="16"/>
              </w:rPr>
            </w:pPr>
          </w:p>
        </w:tc>
        <w:tc>
          <w:tcPr>
            <w:tcW w:w="798" w:type="dxa"/>
            <w:shd w:val="clear" w:color="auto" w:fill="E5F5FF"/>
          </w:tcPr>
          <w:p w14:paraId="036F1200" w14:textId="77777777" w:rsidR="00084F36" w:rsidRPr="00EB2BD8" w:rsidRDefault="00084F36">
            <w:pPr>
              <w:pStyle w:val="TableParagraph"/>
              <w:rPr>
                <w:rFonts w:ascii="Times New Roman"/>
                <w:sz w:val="16"/>
              </w:rPr>
            </w:pPr>
          </w:p>
        </w:tc>
        <w:tc>
          <w:tcPr>
            <w:tcW w:w="4475" w:type="dxa"/>
            <w:gridSpan w:val="3"/>
            <w:shd w:val="clear" w:color="auto" w:fill="E5F5FF"/>
          </w:tcPr>
          <w:p w14:paraId="571246B1" w14:textId="77777777" w:rsidR="00084F36" w:rsidRPr="00EB2BD8" w:rsidRDefault="00EB2BD8">
            <w:pPr>
              <w:pStyle w:val="TableParagraph"/>
              <w:spacing w:before="85"/>
              <w:ind w:left="81"/>
              <w:rPr>
                <w:sz w:val="16"/>
              </w:rPr>
            </w:pPr>
            <w:r w:rsidRPr="00EB2BD8">
              <w:rPr>
                <w:sz w:val="16"/>
              </w:rPr>
              <w:t>Number</w:t>
            </w:r>
            <w:r w:rsidRPr="00EB2BD8">
              <w:rPr>
                <w:spacing w:val="-2"/>
                <w:sz w:val="16"/>
              </w:rPr>
              <w:t xml:space="preserve"> </w:t>
            </w:r>
            <w:r w:rsidRPr="00EB2BD8">
              <w:rPr>
                <w:sz w:val="16"/>
              </w:rPr>
              <w:t>of</w:t>
            </w:r>
            <w:r w:rsidRPr="00EB2BD8">
              <w:rPr>
                <w:spacing w:val="-1"/>
                <w:sz w:val="16"/>
              </w:rPr>
              <w:t xml:space="preserve"> </w:t>
            </w:r>
            <w:r w:rsidRPr="00EB2BD8">
              <w:rPr>
                <w:sz w:val="16"/>
              </w:rPr>
              <w:t>registration</w:t>
            </w:r>
            <w:r w:rsidRPr="00EB2BD8">
              <w:rPr>
                <w:spacing w:val="-1"/>
                <w:sz w:val="16"/>
              </w:rPr>
              <w:t xml:space="preserve"> </w:t>
            </w:r>
            <w:r w:rsidRPr="00EB2BD8">
              <w:rPr>
                <w:sz w:val="16"/>
              </w:rPr>
              <w:t>and</w:t>
            </w:r>
            <w:r w:rsidRPr="00EB2BD8">
              <w:rPr>
                <w:spacing w:val="-1"/>
                <w:sz w:val="16"/>
              </w:rPr>
              <w:t xml:space="preserve"> </w:t>
            </w:r>
            <w:r w:rsidRPr="00EB2BD8">
              <w:rPr>
                <w:sz w:val="16"/>
              </w:rPr>
              <w:t>licences</w:t>
            </w:r>
            <w:r w:rsidRPr="00EB2BD8">
              <w:rPr>
                <w:spacing w:val="-2"/>
                <w:sz w:val="16"/>
              </w:rPr>
              <w:t xml:space="preserve"> </w:t>
            </w:r>
            <w:r w:rsidRPr="00EB2BD8">
              <w:rPr>
                <w:sz w:val="16"/>
              </w:rPr>
              <w:t>as</w:t>
            </w:r>
            <w:r w:rsidRPr="00EB2BD8">
              <w:rPr>
                <w:spacing w:val="-1"/>
                <w:sz w:val="16"/>
              </w:rPr>
              <w:t xml:space="preserve"> </w:t>
            </w:r>
            <w:r w:rsidRPr="00EB2BD8">
              <w:rPr>
                <w:sz w:val="16"/>
              </w:rPr>
              <w:t>at</w:t>
            </w:r>
            <w:r w:rsidRPr="00EB2BD8">
              <w:rPr>
                <w:spacing w:val="-1"/>
                <w:sz w:val="16"/>
              </w:rPr>
              <w:t xml:space="preserve"> </w:t>
            </w:r>
            <w:r w:rsidRPr="00EB2BD8">
              <w:rPr>
                <w:sz w:val="16"/>
              </w:rPr>
              <w:t>30</w:t>
            </w:r>
            <w:r w:rsidRPr="00EB2BD8">
              <w:rPr>
                <w:spacing w:val="-1"/>
                <w:sz w:val="16"/>
              </w:rPr>
              <w:t xml:space="preserve"> </w:t>
            </w:r>
            <w:r w:rsidRPr="00EB2BD8">
              <w:rPr>
                <w:spacing w:val="-4"/>
                <w:sz w:val="16"/>
              </w:rPr>
              <w:t>June</w:t>
            </w:r>
          </w:p>
        </w:tc>
      </w:tr>
      <w:tr w:rsidR="00EB2BD8" w:rsidRPr="00EB2BD8" w14:paraId="6F9AD372" w14:textId="77777777">
        <w:trPr>
          <w:trHeight w:val="384"/>
        </w:trPr>
        <w:tc>
          <w:tcPr>
            <w:tcW w:w="2521" w:type="dxa"/>
            <w:tcBorders>
              <w:bottom w:val="single" w:sz="2" w:space="0" w:color="000000"/>
            </w:tcBorders>
          </w:tcPr>
          <w:p w14:paraId="6664C436" w14:textId="77777777" w:rsidR="00084F36" w:rsidRPr="00EB2BD8" w:rsidRDefault="00EB2BD8">
            <w:pPr>
              <w:pStyle w:val="TableParagraph"/>
              <w:spacing w:before="118"/>
              <w:ind w:left="113"/>
              <w:rPr>
                <w:sz w:val="16"/>
              </w:rPr>
            </w:pPr>
            <w:r w:rsidRPr="00EB2BD8">
              <w:rPr>
                <w:sz w:val="16"/>
              </w:rPr>
              <w:t>Builder</w:t>
            </w:r>
            <w:r w:rsidRPr="00EB2BD8">
              <w:rPr>
                <w:spacing w:val="-1"/>
                <w:sz w:val="16"/>
              </w:rPr>
              <w:t xml:space="preserve"> </w:t>
            </w:r>
            <w:r w:rsidRPr="00EB2BD8">
              <w:rPr>
                <w:sz w:val="16"/>
              </w:rPr>
              <w:t>–</w:t>
            </w:r>
            <w:r w:rsidRPr="00EB2BD8">
              <w:rPr>
                <w:spacing w:val="-1"/>
                <w:sz w:val="16"/>
              </w:rPr>
              <w:t xml:space="preserve"> </w:t>
            </w:r>
            <w:r w:rsidRPr="00EB2BD8">
              <w:rPr>
                <w:spacing w:val="-2"/>
                <w:sz w:val="16"/>
              </w:rPr>
              <w:t>Commercial</w:t>
            </w:r>
          </w:p>
        </w:tc>
        <w:tc>
          <w:tcPr>
            <w:tcW w:w="819" w:type="dxa"/>
            <w:tcBorders>
              <w:bottom w:val="single" w:sz="2" w:space="0" w:color="000000"/>
            </w:tcBorders>
          </w:tcPr>
          <w:p w14:paraId="42C847EC" w14:textId="77777777" w:rsidR="00084F36" w:rsidRPr="00EB2BD8" w:rsidRDefault="00EB2BD8">
            <w:pPr>
              <w:pStyle w:val="TableParagraph"/>
              <w:spacing w:before="118"/>
              <w:ind w:right="163"/>
              <w:jc w:val="right"/>
              <w:rPr>
                <w:sz w:val="16"/>
              </w:rPr>
            </w:pPr>
            <w:r w:rsidRPr="00EB2BD8">
              <w:rPr>
                <w:spacing w:val="-4"/>
                <w:w w:val="90"/>
                <w:sz w:val="16"/>
              </w:rPr>
              <w:t>2,702</w:t>
            </w:r>
          </w:p>
        </w:tc>
        <w:tc>
          <w:tcPr>
            <w:tcW w:w="835" w:type="dxa"/>
            <w:tcBorders>
              <w:bottom w:val="single" w:sz="2" w:space="0" w:color="000000"/>
            </w:tcBorders>
          </w:tcPr>
          <w:p w14:paraId="187C0FB0" w14:textId="77777777" w:rsidR="00084F36" w:rsidRPr="00EB2BD8" w:rsidRDefault="00EB2BD8">
            <w:pPr>
              <w:pStyle w:val="TableParagraph"/>
              <w:spacing w:before="118"/>
              <w:ind w:right="148"/>
              <w:jc w:val="right"/>
              <w:rPr>
                <w:sz w:val="16"/>
              </w:rPr>
            </w:pPr>
            <w:r w:rsidRPr="00EB2BD8">
              <w:rPr>
                <w:spacing w:val="-4"/>
                <w:w w:val="90"/>
                <w:sz w:val="16"/>
              </w:rPr>
              <w:t>2,784</w:t>
            </w:r>
          </w:p>
        </w:tc>
        <w:tc>
          <w:tcPr>
            <w:tcW w:w="865" w:type="dxa"/>
            <w:tcBorders>
              <w:bottom w:val="single" w:sz="2" w:space="0" w:color="000000"/>
            </w:tcBorders>
          </w:tcPr>
          <w:p w14:paraId="6A729C71" w14:textId="77777777" w:rsidR="00084F36" w:rsidRPr="00EB2BD8" w:rsidRDefault="00EB2BD8">
            <w:pPr>
              <w:pStyle w:val="TableParagraph"/>
              <w:spacing w:before="118"/>
              <w:ind w:right="163"/>
              <w:jc w:val="right"/>
              <w:rPr>
                <w:sz w:val="16"/>
              </w:rPr>
            </w:pPr>
            <w:r w:rsidRPr="00EB2BD8">
              <w:rPr>
                <w:spacing w:val="-2"/>
                <w:w w:val="95"/>
                <w:sz w:val="16"/>
              </w:rPr>
              <w:t>5,686</w:t>
            </w:r>
          </w:p>
        </w:tc>
        <w:tc>
          <w:tcPr>
            <w:tcW w:w="798" w:type="dxa"/>
            <w:tcBorders>
              <w:bottom w:val="single" w:sz="2" w:space="0" w:color="000000"/>
            </w:tcBorders>
          </w:tcPr>
          <w:p w14:paraId="49E87C28" w14:textId="77777777" w:rsidR="00084F36" w:rsidRPr="00EB2BD8" w:rsidRDefault="00EB2BD8">
            <w:pPr>
              <w:pStyle w:val="TableParagraph"/>
              <w:spacing w:before="118"/>
              <w:ind w:left="340"/>
              <w:rPr>
                <w:sz w:val="16"/>
              </w:rPr>
            </w:pPr>
            <w:r w:rsidRPr="00EB2BD8">
              <w:rPr>
                <w:spacing w:val="-2"/>
                <w:w w:val="85"/>
                <w:sz w:val="16"/>
              </w:rPr>
              <w:t>5,921</w:t>
            </w:r>
          </w:p>
        </w:tc>
        <w:tc>
          <w:tcPr>
            <w:tcW w:w="2822" w:type="dxa"/>
            <w:tcBorders>
              <w:bottom w:val="single" w:sz="2" w:space="0" w:color="000000"/>
            </w:tcBorders>
            <w:shd w:val="clear" w:color="auto" w:fill="D1E9F1"/>
          </w:tcPr>
          <w:p w14:paraId="76EFF3F4" w14:textId="77777777" w:rsidR="00084F36" w:rsidRPr="00EB2BD8" w:rsidRDefault="00EB2BD8">
            <w:pPr>
              <w:pStyle w:val="TableParagraph"/>
              <w:spacing w:before="118"/>
              <w:ind w:left="114"/>
              <w:rPr>
                <w:sz w:val="16"/>
              </w:rPr>
            </w:pPr>
            <w:r w:rsidRPr="00EB2BD8">
              <w:rPr>
                <w:sz w:val="16"/>
              </w:rPr>
              <w:t>Drainage</w:t>
            </w:r>
            <w:r w:rsidRPr="00EB2BD8">
              <w:rPr>
                <w:spacing w:val="4"/>
                <w:sz w:val="16"/>
              </w:rPr>
              <w:t xml:space="preserve"> </w:t>
            </w:r>
            <w:r w:rsidRPr="00EB2BD8">
              <w:rPr>
                <w:spacing w:val="-4"/>
                <w:sz w:val="16"/>
              </w:rPr>
              <w:t>work</w:t>
            </w:r>
          </w:p>
        </w:tc>
        <w:tc>
          <w:tcPr>
            <w:tcW w:w="856" w:type="dxa"/>
            <w:tcBorders>
              <w:bottom w:val="single" w:sz="2" w:space="0" w:color="000000"/>
            </w:tcBorders>
            <w:shd w:val="clear" w:color="auto" w:fill="D1E9F1"/>
          </w:tcPr>
          <w:p w14:paraId="6E6EC748" w14:textId="77777777" w:rsidR="00084F36" w:rsidRPr="00EB2BD8" w:rsidRDefault="00EB2BD8">
            <w:pPr>
              <w:pStyle w:val="TableParagraph"/>
              <w:spacing w:before="118"/>
              <w:ind w:right="160"/>
              <w:jc w:val="right"/>
              <w:rPr>
                <w:sz w:val="16"/>
              </w:rPr>
            </w:pPr>
            <w:r w:rsidRPr="00EB2BD8">
              <w:rPr>
                <w:spacing w:val="-2"/>
                <w:sz w:val="16"/>
              </w:rPr>
              <w:t>23,003</w:t>
            </w:r>
          </w:p>
        </w:tc>
        <w:tc>
          <w:tcPr>
            <w:tcW w:w="797" w:type="dxa"/>
            <w:tcBorders>
              <w:bottom w:val="single" w:sz="2" w:space="0" w:color="000000"/>
            </w:tcBorders>
            <w:shd w:val="clear" w:color="auto" w:fill="D1E9F1"/>
          </w:tcPr>
          <w:p w14:paraId="2AE007E0" w14:textId="77777777" w:rsidR="00084F36" w:rsidRPr="00EB2BD8" w:rsidRDefault="00EB2BD8">
            <w:pPr>
              <w:pStyle w:val="TableParagraph"/>
              <w:spacing w:before="118"/>
              <w:ind w:right="107"/>
              <w:jc w:val="right"/>
              <w:rPr>
                <w:sz w:val="16"/>
              </w:rPr>
            </w:pPr>
            <w:r w:rsidRPr="00EB2BD8">
              <w:rPr>
                <w:spacing w:val="-2"/>
                <w:w w:val="90"/>
                <w:sz w:val="16"/>
              </w:rPr>
              <w:t>22,482</w:t>
            </w:r>
          </w:p>
        </w:tc>
      </w:tr>
      <w:tr w:rsidR="00EB2BD8" w:rsidRPr="00EB2BD8" w14:paraId="4352F2CA" w14:textId="77777777">
        <w:trPr>
          <w:trHeight w:val="381"/>
        </w:trPr>
        <w:tc>
          <w:tcPr>
            <w:tcW w:w="2521" w:type="dxa"/>
            <w:tcBorders>
              <w:top w:val="single" w:sz="2" w:space="0" w:color="000000"/>
              <w:bottom w:val="single" w:sz="2" w:space="0" w:color="000000"/>
            </w:tcBorders>
          </w:tcPr>
          <w:p w14:paraId="21AEA9A9" w14:textId="77777777" w:rsidR="00084F36" w:rsidRPr="00EB2BD8" w:rsidRDefault="00EB2BD8">
            <w:pPr>
              <w:pStyle w:val="TableParagraph"/>
              <w:spacing w:before="116"/>
              <w:ind w:left="113"/>
              <w:rPr>
                <w:sz w:val="16"/>
              </w:rPr>
            </w:pPr>
            <w:r w:rsidRPr="00EB2BD8">
              <w:rPr>
                <w:sz w:val="16"/>
              </w:rPr>
              <w:t>Builder</w:t>
            </w:r>
            <w:r w:rsidRPr="00EB2BD8">
              <w:rPr>
                <w:spacing w:val="-1"/>
                <w:sz w:val="16"/>
              </w:rPr>
              <w:t xml:space="preserve"> </w:t>
            </w:r>
            <w:r w:rsidRPr="00EB2BD8">
              <w:rPr>
                <w:sz w:val="16"/>
              </w:rPr>
              <w:t>–</w:t>
            </w:r>
            <w:r w:rsidRPr="00EB2BD8">
              <w:rPr>
                <w:spacing w:val="-1"/>
                <w:sz w:val="16"/>
              </w:rPr>
              <w:t xml:space="preserve"> </w:t>
            </w:r>
            <w:r w:rsidRPr="00EB2BD8">
              <w:rPr>
                <w:spacing w:val="-2"/>
                <w:sz w:val="16"/>
              </w:rPr>
              <w:t>Demolisher</w:t>
            </w:r>
          </w:p>
        </w:tc>
        <w:tc>
          <w:tcPr>
            <w:tcW w:w="819" w:type="dxa"/>
            <w:tcBorders>
              <w:top w:val="single" w:sz="2" w:space="0" w:color="000000"/>
              <w:bottom w:val="single" w:sz="2" w:space="0" w:color="000000"/>
            </w:tcBorders>
          </w:tcPr>
          <w:p w14:paraId="44AF8BF1" w14:textId="77777777" w:rsidR="00084F36" w:rsidRPr="00EB2BD8" w:rsidRDefault="00EB2BD8">
            <w:pPr>
              <w:pStyle w:val="TableParagraph"/>
              <w:spacing w:before="116"/>
              <w:ind w:right="164"/>
              <w:jc w:val="right"/>
              <w:rPr>
                <w:sz w:val="16"/>
              </w:rPr>
            </w:pPr>
            <w:r w:rsidRPr="00EB2BD8">
              <w:rPr>
                <w:spacing w:val="-5"/>
                <w:w w:val="90"/>
                <w:sz w:val="16"/>
              </w:rPr>
              <w:t>165</w:t>
            </w:r>
          </w:p>
        </w:tc>
        <w:tc>
          <w:tcPr>
            <w:tcW w:w="835" w:type="dxa"/>
            <w:tcBorders>
              <w:top w:val="single" w:sz="2" w:space="0" w:color="000000"/>
              <w:bottom w:val="single" w:sz="2" w:space="0" w:color="000000"/>
            </w:tcBorders>
          </w:tcPr>
          <w:p w14:paraId="1D986456" w14:textId="77777777" w:rsidR="00084F36" w:rsidRPr="00EB2BD8" w:rsidRDefault="00EB2BD8">
            <w:pPr>
              <w:pStyle w:val="TableParagraph"/>
              <w:spacing w:before="116"/>
              <w:ind w:right="148"/>
              <w:jc w:val="right"/>
              <w:rPr>
                <w:sz w:val="16"/>
              </w:rPr>
            </w:pPr>
            <w:r w:rsidRPr="00EB2BD8">
              <w:rPr>
                <w:spacing w:val="-5"/>
                <w:w w:val="90"/>
                <w:sz w:val="16"/>
              </w:rPr>
              <w:t>168</w:t>
            </w:r>
          </w:p>
        </w:tc>
        <w:tc>
          <w:tcPr>
            <w:tcW w:w="865" w:type="dxa"/>
            <w:tcBorders>
              <w:top w:val="single" w:sz="2" w:space="0" w:color="000000"/>
              <w:bottom w:val="single" w:sz="2" w:space="0" w:color="000000"/>
            </w:tcBorders>
          </w:tcPr>
          <w:p w14:paraId="7A4DEB2A" w14:textId="77777777" w:rsidR="00084F36" w:rsidRPr="00EB2BD8" w:rsidRDefault="00EB2BD8">
            <w:pPr>
              <w:pStyle w:val="TableParagraph"/>
              <w:spacing w:before="116"/>
              <w:ind w:right="166"/>
              <w:jc w:val="right"/>
              <w:rPr>
                <w:sz w:val="16"/>
              </w:rPr>
            </w:pPr>
            <w:r w:rsidRPr="00EB2BD8">
              <w:rPr>
                <w:spacing w:val="-5"/>
                <w:sz w:val="16"/>
              </w:rPr>
              <w:t>447</w:t>
            </w:r>
          </w:p>
        </w:tc>
        <w:tc>
          <w:tcPr>
            <w:tcW w:w="798" w:type="dxa"/>
            <w:tcBorders>
              <w:top w:val="single" w:sz="2" w:space="0" w:color="000000"/>
              <w:bottom w:val="single" w:sz="2" w:space="0" w:color="000000"/>
            </w:tcBorders>
          </w:tcPr>
          <w:p w14:paraId="1A43A5BE" w14:textId="77777777" w:rsidR="00084F36" w:rsidRPr="00EB2BD8" w:rsidRDefault="00EB2BD8">
            <w:pPr>
              <w:pStyle w:val="TableParagraph"/>
              <w:spacing w:before="116"/>
              <w:ind w:left="403"/>
              <w:rPr>
                <w:sz w:val="16"/>
              </w:rPr>
            </w:pPr>
            <w:r w:rsidRPr="00EB2BD8">
              <w:rPr>
                <w:spacing w:val="-5"/>
                <w:sz w:val="16"/>
              </w:rPr>
              <w:t>435</w:t>
            </w:r>
          </w:p>
        </w:tc>
        <w:tc>
          <w:tcPr>
            <w:tcW w:w="2822" w:type="dxa"/>
            <w:tcBorders>
              <w:top w:val="single" w:sz="2" w:space="0" w:color="000000"/>
              <w:bottom w:val="single" w:sz="2" w:space="0" w:color="000000"/>
            </w:tcBorders>
            <w:shd w:val="clear" w:color="auto" w:fill="D1E9F1"/>
          </w:tcPr>
          <w:p w14:paraId="303A2AB0" w14:textId="77777777" w:rsidR="00084F36" w:rsidRPr="00EB2BD8" w:rsidRDefault="00EB2BD8">
            <w:pPr>
              <w:pStyle w:val="TableParagraph"/>
              <w:spacing w:before="116"/>
              <w:ind w:left="114"/>
              <w:rPr>
                <w:sz w:val="16"/>
              </w:rPr>
            </w:pPr>
            <w:r w:rsidRPr="00EB2BD8">
              <w:rPr>
                <w:spacing w:val="-2"/>
                <w:sz w:val="16"/>
              </w:rPr>
              <w:t>Fire</w:t>
            </w:r>
            <w:r w:rsidRPr="00EB2BD8">
              <w:rPr>
                <w:spacing w:val="-3"/>
                <w:sz w:val="16"/>
              </w:rPr>
              <w:t xml:space="preserve"> </w:t>
            </w:r>
            <w:r w:rsidRPr="00EB2BD8">
              <w:rPr>
                <w:spacing w:val="-2"/>
                <w:sz w:val="16"/>
              </w:rPr>
              <w:t>protection</w:t>
            </w:r>
            <w:r w:rsidRPr="00EB2BD8">
              <w:rPr>
                <w:spacing w:val="-3"/>
                <w:sz w:val="16"/>
              </w:rPr>
              <w:t xml:space="preserve"> </w:t>
            </w:r>
            <w:r w:rsidRPr="00EB2BD8">
              <w:rPr>
                <w:spacing w:val="-4"/>
                <w:sz w:val="16"/>
              </w:rPr>
              <w:t>work</w:t>
            </w:r>
          </w:p>
        </w:tc>
        <w:tc>
          <w:tcPr>
            <w:tcW w:w="856" w:type="dxa"/>
            <w:tcBorders>
              <w:top w:val="single" w:sz="2" w:space="0" w:color="000000"/>
              <w:bottom w:val="single" w:sz="2" w:space="0" w:color="000000"/>
            </w:tcBorders>
            <w:shd w:val="clear" w:color="auto" w:fill="D1E9F1"/>
          </w:tcPr>
          <w:p w14:paraId="42847269" w14:textId="77777777" w:rsidR="00084F36" w:rsidRPr="00EB2BD8" w:rsidRDefault="00EB2BD8">
            <w:pPr>
              <w:pStyle w:val="TableParagraph"/>
              <w:spacing w:before="116"/>
              <w:ind w:right="160"/>
              <w:jc w:val="right"/>
              <w:rPr>
                <w:sz w:val="16"/>
              </w:rPr>
            </w:pPr>
            <w:r w:rsidRPr="00EB2BD8">
              <w:rPr>
                <w:spacing w:val="-2"/>
                <w:w w:val="85"/>
                <w:sz w:val="16"/>
              </w:rPr>
              <w:t>1,031</w:t>
            </w:r>
          </w:p>
        </w:tc>
        <w:tc>
          <w:tcPr>
            <w:tcW w:w="797" w:type="dxa"/>
            <w:tcBorders>
              <w:top w:val="single" w:sz="2" w:space="0" w:color="000000"/>
              <w:bottom w:val="single" w:sz="2" w:space="0" w:color="000000"/>
            </w:tcBorders>
            <w:shd w:val="clear" w:color="auto" w:fill="D1E9F1"/>
          </w:tcPr>
          <w:p w14:paraId="6E260321" w14:textId="77777777" w:rsidR="00084F36" w:rsidRPr="00EB2BD8" w:rsidRDefault="00EB2BD8">
            <w:pPr>
              <w:pStyle w:val="TableParagraph"/>
              <w:spacing w:before="116"/>
              <w:ind w:right="107"/>
              <w:jc w:val="right"/>
              <w:rPr>
                <w:sz w:val="16"/>
              </w:rPr>
            </w:pPr>
            <w:r w:rsidRPr="00EB2BD8">
              <w:rPr>
                <w:spacing w:val="-5"/>
                <w:sz w:val="16"/>
              </w:rPr>
              <w:t>999</w:t>
            </w:r>
          </w:p>
        </w:tc>
      </w:tr>
      <w:tr w:rsidR="00EB2BD8" w:rsidRPr="00EB2BD8" w14:paraId="2C421775" w14:textId="77777777">
        <w:trPr>
          <w:trHeight w:val="381"/>
        </w:trPr>
        <w:tc>
          <w:tcPr>
            <w:tcW w:w="2521" w:type="dxa"/>
            <w:tcBorders>
              <w:top w:val="single" w:sz="2" w:space="0" w:color="000000"/>
              <w:bottom w:val="single" w:sz="2" w:space="0" w:color="000000"/>
            </w:tcBorders>
          </w:tcPr>
          <w:p w14:paraId="6038F524" w14:textId="77777777" w:rsidR="00084F36" w:rsidRPr="00EB2BD8" w:rsidRDefault="00EB2BD8">
            <w:pPr>
              <w:pStyle w:val="TableParagraph"/>
              <w:spacing w:before="116"/>
              <w:ind w:left="113"/>
              <w:rPr>
                <w:sz w:val="16"/>
              </w:rPr>
            </w:pPr>
            <w:r w:rsidRPr="00EB2BD8">
              <w:rPr>
                <w:sz w:val="16"/>
              </w:rPr>
              <w:t>Builder</w:t>
            </w:r>
            <w:r w:rsidRPr="00EB2BD8">
              <w:rPr>
                <w:spacing w:val="-1"/>
                <w:sz w:val="16"/>
              </w:rPr>
              <w:t xml:space="preserve"> </w:t>
            </w:r>
            <w:r w:rsidRPr="00EB2BD8">
              <w:rPr>
                <w:sz w:val="16"/>
              </w:rPr>
              <w:t>–</w:t>
            </w:r>
            <w:r w:rsidRPr="00EB2BD8">
              <w:rPr>
                <w:spacing w:val="-1"/>
                <w:sz w:val="16"/>
              </w:rPr>
              <w:t xml:space="preserve"> </w:t>
            </w:r>
            <w:r w:rsidRPr="00EB2BD8">
              <w:rPr>
                <w:spacing w:val="-2"/>
                <w:sz w:val="16"/>
              </w:rPr>
              <w:t>Domestic</w:t>
            </w:r>
          </w:p>
        </w:tc>
        <w:tc>
          <w:tcPr>
            <w:tcW w:w="819" w:type="dxa"/>
            <w:tcBorders>
              <w:top w:val="single" w:sz="2" w:space="0" w:color="000000"/>
              <w:bottom w:val="single" w:sz="2" w:space="0" w:color="000000"/>
            </w:tcBorders>
          </w:tcPr>
          <w:p w14:paraId="0421440B" w14:textId="77777777" w:rsidR="00084F36" w:rsidRPr="00EB2BD8" w:rsidRDefault="00EB2BD8">
            <w:pPr>
              <w:pStyle w:val="TableParagraph"/>
              <w:spacing w:before="116"/>
              <w:ind w:right="164"/>
              <w:jc w:val="right"/>
              <w:rPr>
                <w:sz w:val="16"/>
              </w:rPr>
            </w:pPr>
            <w:r w:rsidRPr="00EB2BD8">
              <w:rPr>
                <w:spacing w:val="-2"/>
                <w:w w:val="90"/>
                <w:sz w:val="16"/>
              </w:rPr>
              <w:t>10,736</w:t>
            </w:r>
          </w:p>
        </w:tc>
        <w:tc>
          <w:tcPr>
            <w:tcW w:w="835" w:type="dxa"/>
            <w:tcBorders>
              <w:top w:val="single" w:sz="2" w:space="0" w:color="000000"/>
              <w:bottom w:val="single" w:sz="2" w:space="0" w:color="000000"/>
            </w:tcBorders>
          </w:tcPr>
          <w:p w14:paraId="0B3C04EF" w14:textId="77777777" w:rsidR="00084F36" w:rsidRPr="00EB2BD8" w:rsidRDefault="00EB2BD8">
            <w:pPr>
              <w:pStyle w:val="TableParagraph"/>
              <w:spacing w:before="116"/>
              <w:ind w:right="148"/>
              <w:jc w:val="right"/>
              <w:rPr>
                <w:sz w:val="16"/>
              </w:rPr>
            </w:pPr>
            <w:r w:rsidRPr="00EB2BD8">
              <w:rPr>
                <w:spacing w:val="-2"/>
                <w:w w:val="95"/>
                <w:sz w:val="16"/>
              </w:rPr>
              <w:t>10,802</w:t>
            </w:r>
          </w:p>
        </w:tc>
        <w:tc>
          <w:tcPr>
            <w:tcW w:w="865" w:type="dxa"/>
            <w:tcBorders>
              <w:top w:val="single" w:sz="2" w:space="0" w:color="000000"/>
              <w:bottom w:val="single" w:sz="2" w:space="0" w:color="000000"/>
            </w:tcBorders>
          </w:tcPr>
          <w:p w14:paraId="1895FB60" w14:textId="77777777" w:rsidR="00084F36" w:rsidRPr="00EB2BD8" w:rsidRDefault="00EB2BD8">
            <w:pPr>
              <w:pStyle w:val="TableParagraph"/>
              <w:spacing w:before="116"/>
              <w:ind w:right="163"/>
              <w:jc w:val="right"/>
              <w:rPr>
                <w:sz w:val="16"/>
              </w:rPr>
            </w:pPr>
            <w:r w:rsidRPr="00EB2BD8">
              <w:rPr>
                <w:spacing w:val="-2"/>
                <w:w w:val="90"/>
                <w:sz w:val="16"/>
              </w:rPr>
              <w:t>17,045</w:t>
            </w:r>
          </w:p>
        </w:tc>
        <w:tc>
          <w:tcPr>
            <w:tcW w:w="798" w:type="dxa"/>
            <w:tcBorders>
              <w:top w:val="single" w:sz="2" w:space="0" w:color="000000"/>
              <w:bottom w:val="single" w:sz="2" w:space="0" w:color="000000"/>
            </w:tcBorders>
          </w:tcPr>
          <w:p w14:paraId="4CD94E57" w14:textId="77777777" w:rsidR="00084F36" w:rsidRPr="00EB2BD8" w:rsidRDefault="00EB2BD8">
            <w:pPr>
              <w:pStyle w:val="TableParagraph"/>
              <w:spacing w:before="116"/>
              <w:ind w:left="257"/>
              <w:rPr>
                <w:sz w:val="16"/>
              </w:rPr>
            </w:pPr>
            <w:r w:rsidRPr="00EB2BD8">
              <w:rPr>
                <w:spacing w:val="-2"/>
                <w:w w:val="90"/>
                <w:sz w:val="16"/>
              </w:rPr>
              <w:t>17,545</w:t>
            </w:r>
          </w:p>
        </w:tc>
        <w:tc>
          <w:tcPr>
            <w:tcW w:w="2822" w:type="dxa"/>
            <w:tcBorders>
              <w:top w:val="single" w:sz="2" w:space="0" w:color="000000"/>
              <w:bottom w:val="single" w:sz="2" w:space="0" w:color="000000"/>
            </w:tcBorders>
            <w:shd w:val="clear" w:color="auto" w:fill="D1E9F1"/>
          </w:tcPr>
          <w:p w14:paraId="479F4FD9" w14:textId="77777777" w:rsidR="00084F36" w:rsidRPr="00EB2BD8" w:rsidRDefault="00EB2BD8">
            <w:pPr>
              <w:pStyle w:val="TableParagraph"/>
              <w:spacing w:before="116"/>
              <w:ind w:left="114"/>
              <w:rPr>
                <w:sz w:val="16"/>
              </w:rPr>
            </w:pPr>
            <w:r w:rsidRPr="00EB2BD8">
              <w:rPr>
                <w:sz w:val="16"/>
              </w:rPr>
              <w:t>Gas</w:t>
            </w:r>
            <w:r w:rsidRPr="00EB2BD8">
              <w:rPr>
                <w:spacing w:val="-11"/>
                <w:sz w:val="16"/>
              </w:rPr>
              <w:t xml:space="preserve"> </w:t>
            </w:r>
            <w:r w:rsidRPr="00EB2BD8">
              <w:rPr>
                <w:sz w:val="16"/>
              </w:rPr>
              <w:t>fitting</w:t>
            </w:r>
            <w:r w:rsidRPr="00EB2BD8">
              <w:rPr>
                <w:spacing w:val="-10"/>
                <w:sz w:val="16"/>
              </w:rPr>
              <w:t xml:space="preserve"> </w:t>
            </w:r>
            <w:r w:rsidRPr="00EB2BD8">
              <w:rPr>
                <w:spacing w:val="-4"/>
                <w:sz w:val="16"/>
              </w:rPr>
              <w:t>work</w:t>
            </w:r>
          </w:p>
        </w:tc>
        <w:tc>
          <w:tcPr>
            <w:tcW w:w="856" w:type="dxa"/>
            <w:tcBorders>
              <w:top w:val="single" w:sz="2" w:space="0" w:color="000000"/>
              <w:bottom w:val="single" w:sz="2" w:space="0" w:color="000000"/>
            </w:tcBorders>
            <w:shd w:val="clear" w:color="auto" w:fill="D1E9F1"/>
          </w:tcPr>
          <w:p w14:paraId="45C7156B" w14:textId="77777777" w:rsidR="00084F36" w:rsidRPr="00EB2BD8" w:rsidRDefault="00EB2BD8">
            <w:pPr>
              <w:pStyle w:val="TableParagraph"/>
              <w:spacing w:before="116"/>
              <w:ind w:right="159"/>
              <w:jc w:val="right"/>
              <w:rPr>
                <w:sz w:val="16"/>
              </w:rPr>
            </w:pPr>
            <w:r w:rsidRPr="00EB2BD8">
              <w:rPr>
                <w:spacing w:val="-2"/>
                <w:w w:val="90"/>
                <w:sz w:val="16"/>
              </w:rPr>
              <w:t>21,374</w:t>
            </w:r>
          </w:p>
        </w:tc>
        <w:tc>
          <w:tcPr>
            <w:tcW w:w="797" w:type="dxa"/>
            <w:tcBorders>
              <w:top w:val="single" w:sz="2" w:space="0" w:color="000000"/>
              <w:bottom w:val="single" w:sz="2" w:space="0" w:color="000000"/>
            </w:tcBorders>
            <w:shd w:val="clear" w:color="auto" w:fill="D1E9F1"/>
          </w:tcPr>
          <w:p w14:paraId="018D7EB2" w14:textId="77777777" w:rsidR="00084F36" w:rsidRPr="00EB2BD8" w:rsidRDefault="00EB2BD8">
            <w:pPr>
              <w:pStyle w:val="TableParagraph"/>
              <w:spacing w:before="116"/>
              <w:ind w:right="106"/>
              <w:jc w:val="right"/>
              <w:rPr>
                <w:sz w:val="16"/>
              </w:rPr>
            </w:pPr>
            <w:r w:rsidRPr="00EB2BD8">
              <w:rPr>
                <w:spacing w:val="-2"/>
                <w:w w:val="95"/>
                <w:sz w:val="16"/>
              </w:rPr>
              <w:t>20,610</w:t>
            </w:r>
          </w:p>
        </w:tc>
      </w:tr>
      <w:tr w:rsidR="00EB2BD8" w:rsidRPr="00EB2BD8" w14:paraId="3665EAC9" w14:textId="77777777">
        <w:trPr>
          <w:trHeight w:val="381"/>
        </w:trPr>
        <w:tc>
          <w:tcPr>
            <w:tcW w:w="2521" w:type="dxa"/>
            <w:tcBorders>
              <w:top w:val="single" w:sz="2" w:space="0" w:color="000000"/>
              <w:bottom w:val="single" w:sz="2" w:space="0" w:color="000000"/>
            </w:tcBorders>
          </w:tcPr>
          <w:p w14:paraId="7E8A9E18" w14:textId="77777777" w:rsidR="00084F36" w:rsidRPr="00EB2BD8" w:rsidRDefault="00EB2BD8">
            <w:pPr>
              <w:pStyle w:val="TableParagraph"/>
              <w:spacing w:before="116"/>
              <w:ind w:left="113"/>
              <w:rPr>
                <w:sz w:val="16"/>
              </w:rPr>
            </w:pPr>
            <w:r w:rsidRPr="00EB2BD8">
              <w:rPr>
                <w:spacing w:val="-2"/>
                <w:sz w:val="16"/>
              </w:rPr>
              <w:t>Building</w:t>
            </w:r>
            <w:r w:rsidRPr="00EB2BD8">
              <w:rPr>
                <w:spacing w:val="-1"/>
                <w:sz w:val="16"/>
              </w:rPr>
              <w:t xml:space="preserve"> </w:t>
            </w:r>
            <w:r w:rsidRPr="00EB2BD8">
              <w:rPr>
                <w:spacing w:val="-2"/>
                <w:sz w:val="16"/>
              </w:rPr>
              <w:t>Inspector</w:t>
            </w:r>
          </w:p>
        </w:tc>
        <w:tc>
          <w:tcPr>
            <w:tcW w:w="819" w:type="dxa"/>
            <w:tcBorders>
              <w:top w:val="single" w:sz="2" w:space="0" w:color="000000"/>
              <w:bottom w:val="single" w:sz="2" w:space="0" w:color="000000"/>
            </w:tcBorders>
          </w:tcPr>
          <w:p w14:paraId="26E00C13" w14:textId="77777777" w:rsidR="00084F36" w:rsidRPr="00EB2BD8" w:rsidRDefault="00EB2BD8">
            <w:pPr>
              <w:pStyle w:val="TableParagraph"/>
              <w:spacing w:before="116"/>
              <w:ind w:right="164"/>
              <w:jc w:val="right"/>
              <w:rPr>
                <w:sz w:val="16"/>
              </w:rPr>
            </w:pPr>
            <w:r w:rsidRPr="00EB2BD8">
              <w:rPr>
                <w:spacing w:val="-5"/>
                <w:sz w:val="16"/>
              </w:rPr>
              <w:t>39</w:t>
            </w:r>
          </w:p>
        </w:tc>
        <w:tc>
          <w:tcPr>
            <w:tcW w:w="835" w:type="dxa"/>
            <w:tcBorders>
              <w:top w:val="single" w:sz="2" w:space="0" w:color="000000"/>
              <w:bottom w:val="single" w:sz="2" w:space="0" w:color="000000"/>
            </w:tcBorders>
          </w:tcPr>
          <w:p w14:paraId="7C3BEED2" w14:textId="77777777" w:rsidR="00084F36" w:rsidRPr="00EB2BD8" w:rsidRDefault="00EB2BD8">
            <w:pPr>
              <w:pStyle w:val="TableParagraph"/>
              <w:spacing w:before="116"/>
              <w:ind w:right="152"/>
              <w:jc w:val="right"/>
              <w:rPr>
                <w:sz w:val="16"/>
              </w:rPr>
            </w:pPr>
            <w:r w:rsidRPr="00EB2BD8">
              <w:rPr>
                <w:spacing w:val="-5"/>
                <w:w w:val="95"/>
                <w:sz w:val="16"/>
              </w:rPr>
              <w:t>47</w:t>
            </w:r>
          </w:p>
        </w:tc>
        <w:tc>
          <w:tcPr>
            <w:tcW w:w="865" w:type="dxa"/>
            <w:tcBorders>
              <w:top w:val="single" w:sz="2" w:space="0" w:color="000000"/>
              <w:bottom w:val="single" w:sz="2" w:space="0" w:color="000000"/>
            </w:tcBorders>
          </w:tcPr>
          <w:p w14:paraId="2245D7CA" w14:textId="77777777" w:rsidR="00084F36" w:rsidRPr="00EB2BD8" w:rsidRDefault="00EB2BD8">
            <w:pPr>
              <w:pStyle w:val="TableParagraph"/>
              <w:spacing w:before="116"/>
              <w:ind w:right="163"/>
              <w:jc w:val="right"/>
              <w:rPr>
                <w:sz w:val="16"/>
              </w:rPr>
            </w:pPr>
            <w:r w:rsidRPr="00EB2BD8">
              <w:rPr>
                <w:spacing w:val="-4"/>
                <w:w w:val="90"/>
                <w:sz w:val="16"/>
              </w:rPr>
              <w:t>1,008</w:t>
            </w:r>
          </w:p>
        </w:tc>
        <w:tc>
          <w:tcPr>
            <w:tcW w:w="798" w:type="dxa"/>
            <w:tcBorders>
              <w:top w:val="single" w:sz="2" w:space="0" w:color="000000"/>
              <w:bottom w:val="single" w:sz="2" w:space="0" w:color="000000"/>
            </w:tcBorders>
          </w:tcPr>
          <w:p w14:paraId="6C7430A1" w14:textId="77777777" w:rsidR="00084F36" w:rsidRPr="00EB2BD8" w:rsidRDefault="00EB2BD8">
            <w:pPr>
              <w:pStyle w:val="TableParagraph"/>
              <w:spacing w:before="116"/>
              <w:ind w:left="457"/>
              <w:rPr>
                <w:sz w:val="16"/>
              </w:rPr>
            </w:pPr>
            <w:r w:rsidRPr="00EB2BD8">
              <w:rPr>
                <w:spacing w:val="-5"/>
                <w:w w:val="85"/>
                <w:sz w:val="16"/>
              </w:rPr>
              <w:t>917</w:t>
            </w:r>
          </w:p>
        </w:tc>
        <w:tc>
          <w:tcPr>
            <w:tcW w:w="2822" w:type="dxa"/>
            <w:tcBorders>
              <w:top w:val="single" w:sz="2" w:space="0" w:color="000000"/>
              <w:bottom w:val="single" w:sz="2" w:space="0" w:color="000000"/>
            </w:tcBorders>
            <w:shd w:val="clear" w:color="auto" w:fill="D1E9F1"/>
          </w:tcPr>
          <w:p w14:paraId="407A7EEF" w14:textId="77777777" w:rsidR="00084F36" w:rsidRPr="00EB2BD8" w:rsidRDefault="00EB2BD8">
            <w:pPr>
              <w:pStyle w:val="TableParagraph"/>
              <w:spacing w:before="116"/>
              <w:ind w:left="114"/>
              <w:rPr>
                <w:sz w:val="16"/>
              </w:rPr>
            </w:pPr>
            <w:r w:rsidRPr="00EB2BD8">
              <w:rPr>
                <w:sz w:val="16"/>
              </w:rPr>
              <w:t>Irrigation</w:t>
            </w:r>
            <w:r w:rsidRPr="00EB2BD8">
              <w:rPr>
                <w:spacing w:val="-10"/>
                <w:sz w:val="16"/>
              </w:rPr>
              <w:t xml:space="preserve"> </w:t>
            </w:r>
            <w:r w:rsidRPr="00EB2BD8">
              <w:rPr>
                <w:sz w:val="16"/>
              </w:rPr>
              <w:t>(non-agricultural)</w:t>
            </w:r>
            <w:r w:rsidRPr="00EB2BD8">
              <w:rPr>
                <w:spacing w:val="-9"/>
                <w:sz w:val="16"/>
              </w:rPr>
              <w:t xml:space="preserve"> </w:t>
            </w:r>
            <w:r w:rsidRPr="00EB2BD8">
              <w:rPr>
                <w:spacing w:val="-4"/>
                <w:sz w:val="16"/>
              </w:rPr>
              <w:t>work</w:t>
            </w:r>
          </w:p>
        </w:tc>
        <w:tc>
          <w:tcPr>
            <w:tcW w:w="856" w:type="dxa"/>
            <w:tcBorders>
              <w:top w:val="single" w:sz="2" w:space="0" w:color="000000"/>
              <w:bottom w:val="single" w:sz="2" w:space="0" w:color="000000"/>
            </w:tcBorders>
            <w:shd w:val="clear" w:color="auto" w:fill="D1E9F1"/>
          </w:tcPr>
          <w:p w14:paraId="366466C6" w14:textId="77777777" w:rsidR="00084F36" w:rsidRPr="00EB2BD8" w:rsidRDefault="00EB2BD8">
            <w:pPr>
              <w:pStyle w:val="TableParagraph"/>
              <w:spacing w:before="116"/>
              <w:ind w:right="159"/>
              <w:jc w:val="right"/>
              <w:rPr>
                <w:sz w:val="16"/>
              </w:rPr>
            </w:pPr>
            <w:r w:rsidRPr="00EB2BD8">
              <w:rPr>
                <w:spacing w:val="-2"/>
                <w:w w:val="90"/>
                <w:sz w:val="16"/>
              </w:rPr>
              <w:t>23,776</w:t>
            </w:r>
          </w:p>
        </w:tc>
        <w:tc>
          <w:tcPr>
            <w:tcW w:w="797" w:type="dxa"/>
            <w:tcBorders>
              <w:top w:val="single" w:sz="2" w:space="0" w:color="000000"/>
              <w:bottom w:val="single" w:sz="2" w:space="0" w:color="000000"/>
            </w:tcBorders>
            <w:shd w:val="clear" w:color="auto" w:fill="D1E9F1"/>
          </w:tcPr>
          <w:p w14:paraId="44C78C80" w14:textId="77777777" w:rsidR="00084F36" w:rsidRPr="00EB2BD8" w:rsidRDefault="00EB2BD8">
            <w:pPr>
              <w:pStyle w:val="TableParagraph"/>
              <w:spacing w:before="116"/>
              <w:ind w:right="107"/>
              <w:jc w:val="right"/>
              <w:rPr>
                <w:sz w:val="16"/>
              </w:rPr>
            </w:pPr>
            <w:r w:rsidRPr="00EB2BD8">
              <w:rPr>
                <w:spacing w:val="-2"/>
                <w:w w:val="95"/>
                <w:sz w:val="16"/>
              </w:rPr>
              <w:t>23,266</w:t>
            </w:r>
          </w:p>
        </w:tc>
      </w:tr>
      <w:tr w:rsidR="00EB2BD8" w:rsidRPr="00EB2BD8" w14:paraId="345AEC32" w14:textId="77777777">
        <w:trPr>
          <w:trHeight w:val="381"/>
        </w:trPr>
        <w:tc>
          <w:tcPr>
            <w:tcW w:w="2521" w:type="dxa"/>
            <w:tcBorders>
              <w:top w:val="single" w:sz="2" w:space="0" w:color="000000"/>
              <w:bottom w:val="single" w:sz="2" w:space="0" w:color="000000"/>
            </w:tcBorders>
          </w:tcPr>
          <w:p w14:paraId="7EECE427" w14:textId="77777777" w:rsidR="00084F36" w:rsidRPr="00EB2BD8" w:rsidRDefault="00EB2BD8">
            <w:pPr>
              <w:pStyle w:val="TableParagraph"/>
              <w:spacing w:before="116"/>
              <w:ind w:left="113"/>
              <w:rPr>
                <w:sz w:val="16"/>
              </w:rPr>
            </w:pPr>
            <w:r w:rsidRPr="00EB2BD8">
              <w:rPr>
                <w:sz w:val="16"/>
              </w:rPr>
              <w:t>Building</w:t>
            </w:r>
            <w:r w:rsidRPr="00EB2BD8">
              <w:rPr>
                <w:spacing w:val="-13"/>
                <w:sz w:val="16"/>
              </w:rPr>
              <w:t xml:space="preserve"> </w:t>
            </w:r>
            <w:r w:rsidRPr="00EB2BD8">
              <w:rPr>
                <w:sz w:val="16"/>
              </w:rPr>
              <w:t>Surveyor</w:t>
            </w:r>
            <w:r w:rsidRPr="00EB2BD8">
              <w:rPr>
                <w:spacing w:val="-12"/>
                <w:sz w:val="16"/>
              </w:rPr>
              <w:t xml:space="preserve"> </w:t>
            </w:r>
            <w:r w:rsidRPr="00EB2BD8">
              <w:rPr>
                <w:spacing w:val="-2"/>
                <w:sz w:val="16"/>
              </w:rPr>
              <w:t>(limited)</w:t>
            </w:r>
          </w:p>
        </w:tc>
        <w:tc>
          <w:tcPr>
            <w:tcW w:w="819" w:type="dxa"/>
            <w:tcBorders>
              <w:top w:val="single" w:sz="2" w:space="0" w:color="000000"/>
              <w:bottom w:val="single" w:sz="2" w:space="0" w:color="000000"/>
            </w:tcBorders>
          </w:tcPr>
          <w:p w14:paraId="60F9A2C7" w14:textId="77777777" w:rsidR="00084F36" w:rsidRPr="00EB2BD8" w:rsidRDefault="00EB2BD8">
            <w:pPr>
              <w:pStyle w:val="TableParagraph"/>
              <w:spacing w:before="116"/>
              <w:ind w:right="164"/>
              <w:jc w:val="right"/>
              <w:rPr>
                <w:sz w:val="16"/>
              </w:rPr>
            </w:pPr>
            <w:r w:rsidRPr="00EB2BD8">
              <w:rPr>
                <w:spacing w:val="-5"/>
                <w:w w:val="85"/>
                <w:sz w:val="16"/>
              </w:rPr>
              <w:t>19</w:t>
            </w:r>
          </w:p>
        </w:tc>
        <w:tc>
          <w:tcPr>
            <w:tcW w:w="835" w:type="dxa"/>
            <w:tcBorders>
              <w:top w:val="single" w:sz="2" w:space="0" w:color="000000"/>
              <w:bottom w:val="single" w:sz="2" w:space="0" w:color="000000"/>
            </w:tcBorders>
          </w:tcPr>
          <w:p w14:paraId="63E69ACF" w14:textId="77777777" w:rsidR="00084F36" w:rsidRPr="00EB2BD8" w:rsidRDefault="00EB2BD8">
            <w:pPr>
              <w:pStyle w:val="TableParagraph"/>
              <w:spacing w:before="116"/>
              <w:ind w:right="148"/>
              <w:jc w:val="right"/>
              <w:rPr>
                <w:sz w:val="16"/>
              </w:rPr>
            </w:pPr>
            <w:r w:rsidRPr="00EB2BD8">
              <w:rPr>
                <w:spacing w:val="-5"/>
                <w:w w:val="85"/>
                <w:sz w:val="16"/>
              </w:rPr>
              <w:t>19</w:t>
            </w:r>
          </w:p>
        </w:tc>
        <w:tc>
          <w:tcPr>
            <w:tcW w:w="865" w:type="dxa"/>
            <w:tcBorders>
              <w:top w:val="single" w:sz="2" w:space="0" w:color="000000"/>
              <w:bottom w:val="single" w:sz="2" w:space="0" w:color="000000"/>
            </w:tcBorders>
          </w:tcPr>
          <w:p w14:paraId="20CDF455" w14:textId="77777777" w:rsidR="00084F36" w:rsidRPr="00EB2BD8" w:rsidRDefault="00EB2BD8">
            <w:pPr>
              <w:pStyle w:val="TableParagraph"/>
              <w:spacing w:before="116"/>
              <w:ind w:right="163"/>
              <w:jc w:val="right"/>
              <w:rPr>
                <w:sz w:val="16"/>
              </w:rPr>
            </w:pPr>
            <w:r w:rsidRPr="00EB2BD8">
              <w:rPr>
                <w:spacing w:val="-5"/>
                <w:w w:val="85"/>
                <w:sz w:val="16"/>
              </w:rPr>
              <w:t>219</w:t>
            </w:r>
          </w:p>
        </w:tc>
        <w:tc>
          <w:tcPr>
            <w:tcW w:w="798" w:type="dxa"/>
            <w:tcBorders>
              <w:top w:val="single" w:sz="2" w:space="0" w:color="000000"/>
              <w:bottom w:val="single" w:sz="2" w:space="0" w:color="000000"/>
            </w:tcBorders>
          </w:tcPr>
          <w:p w14:paraId="18232165" w14:textId="77777777" w:rsidR="00084F36" w:rsidRPr="00EB2BD8" w:rsidRDefault="00EB2BD8">
            <w:pPr>
              <w:pStyle w:val="TableParagraph"/>
              <w:spacing w:before="116"/>
              <w:ind w:left="393"/>
              <w:rPr>
                <w:sz w:val="16"/>
              </w:rPr>
            </w:pPr>
            <w:r w:rsidRPr="00EB2BD8">
              <w:rPr>
                <w:spacing w:val="-5"/>
                <w:sz w:val="16"/>
              </w:rPr>
              <w:t>200</w:t>
            </w:r>
          </w:p>
        </w:tc>
        <w:tc>
          <w:tcPr>
            <w:tcW w:w="2822" w:type="dxa"/>
            <w:tcBorders>
              <w:top w:val="single" w:sz="2" w:space="0" w:color="000000"/>
              <w:bottom w:val="single" w:sz="2" w:space="0" w:color="000000"/>
            </w:tcBorders>
            <w:shd w:val="clear" w:color="auto" w:fill="D1E9F1"/>
          </w:tcPr>
          <w:p w14:paraId="16C4E23B" w14:textId="77777777" w:rsidR="00084F36" w:rsidRPr="00EB2BD8" w:rsidRDefault="00EB2BD8">
            <w:pPr>
              <w:pStyle w:val="TableParagraph"/>
              <w:spacing w:before="116"/>
              <w:ind w:left="114"/>
              <w:rPr>
                <w:sz w:val="16"/>
              </w:rPr>
            </w:pPr>
            <w:r w:rsidRPr="00EB2BD8">
              <w:rPr>
                <w:sz w:val="16"/>
              </w:rPr>
              <w:t>Mechanical</w:t>
            </w:r>
            <w:r w:rsidRPr="00EB2BD8">
              <w:rPr>
                <w:spacing w:val="3"/>
                <w:sz w:val="16"/>
              </w:rPr>
              <w:t xml:space="preserve"> </w:t>
            </w:r>
            <w:r w:rsidRPr="00EB2BD8">
              <w:rPr>
                <w:sz w:val="16"/>
              </w:rPr>
              <w:t>services</w:t>
            </w:r>
            <w:r w:rsidRPr="00EB2BD8">
              <w:rPr>
                <w:spacing w:val="3"/>
                <w:sz w:val="16"/>
              </w:rPr>
              <w:t xml:space="preserve"> </w:t>
            </w:r>
            <w:r w:rsidRPr="00EB2BD8">
              <w:rPr>
                <w:spacing w:val="-4"/>
                <w:sz w:val="16"/>
              </w:rPr>
              <w:t>work</w:t>
            </w:r>
          </w:p>
        </w:tc>
        <w:tc>
          <w:tcPr>
            <w:tcW w:w="856" w:type="dxa"/>
            <w:tcBorders>
              <w:top w:val="single" w:sz="2" w:space="0" w:color="000000"/>
              <w:bottom w:val="single" w:sz="2" w:space="0" w:color="000000"/>
            </w:tcBorders>
            <w:shd w:val="clear" w:color="auto" w:fill="D1E9F1"/>
          </w:tcPr>
          <w:p w14:paraId="1A27B04D" w14:textId="77777777" w:rsidR="00084F36" w:rsidRPr="00EB2BD8" w:rsidRDefault="00EB2BD8">
            <w:pPr>
              <w:pStyle w:val="TableParagraph"/>
              <w:spacing w:before="116"/>
              <w:ind w:right="160"/>
              <w:jc w:val="right"/>
              <w:rPr>
                <w:sz w:val="16"/>
              </w:rPr>
            </w:pPr>
            <w:r w:rsidRPr="00EB2BD8">
              <w:rPr>
                <w:spacing w:val="-2"/>
                <w:w w:val="85"/>
                <w:sz w:val="16"/>
              </w:rPr>
              <w:t>15,622</w:t>
            </w:r>
          </w:p>
        </w:tc>
        <w:tc>
          <w:tcPr>
            <w:tcW w:w="797" w:type="dxa"/>
            <w:tcBorders>
              <w:top w:val="single" w:sz="2" w:space="0" w:color="000000"/>
              <w:bottom w:val="single" w:sz="2" w:space="0" w:color="000000"/>
            </w:tcBorders>
            <w:shd w:val="clear" w:color="auto" w:fill="D1E9F1"/>
          </w:tcPr>
          <w:p w14:paraId="7FA33CA8" w14:textId="77777777" w:rsidR="00084F36" w:rsidRPr="00EB2BD8" w:rsidRDefault="00EB2BD8">
            <w:pPr>
              <w:pStyle w:val="TableParagraph"/>
              <w:spacing w:before="116"/>
              <w:ind w:right="107"/>
              <w:jc w:val="right"/>
              <w:rPr>
                <w:sz w:val="16"/>
              </w:rPr>
            </w:pPr>
            <w:r w:rsidRPr="00EB2BD8">
              <w:rPr>
                <w:spacing w:val="-2"/>
                <w:w w:val="90"/>
                <w:sz w:val="16"/>
              </w:rPr>
              <w:t>15,605</w:t>
            </w:r>
          </w:p>
        </w:tc>
      </w:tr>
      <w:tr w:rsidR="00EB2BD8" w:rsidRPr="00EB2BD8" w14:paraId="0F1CC5DB" w14:textId="77777777">
        <w:trPr>
          <w:trHeight w:val="611"/>
        </w:trPr>
        <w:tc>
          <w:tcPr>
            <w:tcW w:w="2521" w:type="dxa"/>
            <w:tcBorders>
              <w:top w:val="single" w:sz="2" w:space="0" w:color="000000"/>
              <w:bottom w:val="single" w:sz="2" w:space="0" w:color="000000"/>
            </w:tcBorders>
          </w:tcPr>
          <w:p w14:paraId="1F241B0C" w14:textId="77777777" w:rsidR="00084F36" w:rsidRPr="00EB2BD8" w:rsidRDefault="00EB2BD8">
            <w:pPr>
              <w:pStyle w:val="TableParagraph"/>
              <w:spacing w:before="116"/>
              <w:ind w:left="113"/>
              <w:rPr>
                <w:sz w:val="16"/>
              </w:rPr>
            </w:pPr>
            <w:r w:rsidRPr="00EB2BD8">
              <w:rPr>
                <w:spacing w:val="-2"/>
                <w:sz w:val="16"/>
              </w:rPr>
              <w:t>Building</w:t>
            </w:r>
            <w:r w:rsidRPr="00EB2BD8">
              <w:rPr>
                <w:sz w:val="16"/>
              </w:rPr>
              <w:t xml:space="preserve"> </w:t>
            </w:r>
            <w:r w:rsidRPr="00EB2BD8">
              <w:rPr>
                <w:spacing w:val="-2"/>
                <w:sz w:val="16"/>
              </w:rPr>
              <w:t>Surveyor</w:t>
            </w:r>
            <w:r w:rsidRPr="00EB2BD8">
              <w:rPr>
                <w:spacing w:val="1"/>
                <w:sz w:val="16"/>
              </w:rPr>
              <w:t xml:space="preserve"> </w:t>
            </w:r>
            <w:r w:rsidRPr="00EB2BD8">
              <w:rPr>
                <w:spacing w:val="-2"/>
                <w:sz w:val="16"/>
              </w:rPr>
              <w:t>(unlimited)</w:t>
            </w:r>
          </w:p>
        </w:tc>
        <w:tc>
          <w:tcPr>
            <w:tcW w:w="819" w:type="dxa"/>
            <w:tcBorders>
              <w:top w:val="single" w:sz="2" w:space="0" w:color="000000"/>
              <w:bottom w:val="single" w:sz="2" w:space="0" w:color="000000"/>
            </w:tcBorders>
          </w:tcPr>
          <w:p w14:paraId="472E6FE1" w14:textId="77777777" w:rsidR="00084F36" w:rsidRPr="00EB2BD8" w:rsidRDefault="00EB2BD8">
            <w:pPr>
              <w:pStyle w:val="TableParagraph"/>
              <w:spacing w:before="116"/>
              <w:ind w:right="164"/>
              <w:jc w:val="right"/>
              <w:rPr>
                <w:sz w:val="16"/>
              </w:rPr>
            </w:pPr>
            <w:r w:rsidRPr="00EB2BD8">
              <w:rPr>
                <w:spacing w:val="-5"/>
                <w:sz w:val="16"/>
              </w:rPr>
              <w:t>96</w:t>
            </w:r>
          </w:p>
        </w:tc>
        <w:tc>
          <w:tcPr>
            <w:tcW w:w="835" w:type="dxa"/>
            <w:tcBorders>
              <w:top w:val="single" w:sz="2" w:space="0" w:color="000000"/>
              <w:bottom w:val="single" w:sz="2" w:space="0" w:color="000000"/>
            </w:tcBorders>
          </w:tcPr>
          <w:p w14:paraId="5B86E061" w14:textId="77777777" w:rsidR="00084F36" w:rsidRPr="00EB2BD8" w:rsidRDefault="00EB2BD8">
            <w:pPr>
              <w:pStyle w:val="TableParagraph"/>
              <w:spacing w:before="116"/>
              <w:ind w:right="148"/>
              <w:jc w:val="right"/>
              <w:rPr>
                <w:sz w:val="16"/>
              </w:rPr>
            </w:pPr>
            <w:r w:rsidRPr="00EB2BD8">
              <w:rPr>
                <w:spacing w:val="-5"/>
                <w:w w:val="95"/>
                <w:sz w:val="16"/>
              </w:rPr>
              <w:t>104</w:t>
            </w:r>
          </w:p>
        </w:tc>
        <w:tc>
          <w:tcPr>
            <w:tcW w:w="865" w:type="dxa"/>
            <w:tcBorders>
              <w:top w:val="single" w:sz="2" w:space="0" w:color="000000"/>
              <w:bottom w:val="single" w:sz="2" w:space="0" w:color="000000"/>
            </w:tcBorders>
          </w:tcPr>
          <w:p w14:paraId="605ADAAE" w14:textId="77777777" w:rsidR="00084F36" w:rsidRPr="00EB2BD8" w:rsidRDefault="00EB2BD8">
            <w:pPr>
              <w:pStyle w:val="TableParagraph"/>
              <w:spacing w:before="116"/>
              <w:ind w:right="163"/>
              <w:jc w:val="right"/>
              <w:rPr>
                <w:sz w:val="16"/>
              </w:rPr>
            </w:pPr>
            <w:r w:rsidRPr="00EB2BD8">
              <w:rPr>
                <w:spacing w:val="-5"/>
                <w:sz w:val="16"/>
              </w:rPr>
              <w:t>493</w:t>
            </w:r>
          </w:p>
        </w:tc>
        <w:tc>
          <w:tcPr>
            <w:tcW w:w="798" w:type="dxa"/>
            <w:tcBorders>
              <w:top w:val="single" w:sz="2" w:space="0" w:color="000000"/>
              <w:bottom w:val="single" w:sz="2" w:space="0" w:color="000000"/>
            </w:tcBorders>
          </w:tcPr>
          <w:p w14:paraId="18841F34" w14:textId="77777777" w:rsidR="00084F36" w:rsidRPr="00EB2BD8" w:rsidRDefault="00EB2BD8">
            <w:pPr>
              <w:pStyle w:val="TableParagraph"/>
              <w:spacing w:before="116"/>
              <w:ind w:left="410"/>
              <w:rPr>
                <w:sz w:val="16"/>
              </w:rPr>
            </w:pPr>
            <w:r w:rsidRPr="00EB2BD8">
              <w:rPr>
                <w:spacing w:val="-5"/>
                <w:sz w:val="16"/>
              </w:rPr>
              <w:t>502</w:t>
            </w:r>
          </w:p>
        </w:tc>
        <w:tc>
          <w:tcPr>
            <w:tcW w:w="2822" w:type="dxa"/>
            <w:tcBorders>
              <w:top w:val="single" w:sz="2" w:space="0" w:color="000000"/>
              <w:bottom w:val="single" w:sz="2" w:space="0" w:color="000000"/>
            </w:tcBorders>
            <w:shd w:val="clear" w:color="auto" w:fill="D1E9F1"/>
          </w:tcPr>
          <w:p w14:paraId="1FADC723" w14:textId="77777777" w:rsidR="00084F36" w:rsidRPr="00EB2BD8" w:rsidRDefault="00EB2BD8">
            <w:pPr>
              <w:pStyle w:val="TableParagraph"/>
              <w:spacing w:before="116"/>
              <w:ind w:left="114"/>
              <w:rPr>
                <w:sz w:val="16"/>
              </w:rPr>
            </w:pPr>
            <w:r w:rsidRPr="00EB2BD8">
              <w:rPr>
                <w:spacing w:val="-2"/>
                <w:w w:val="105"/>
                <w:sz w:val="16"/>
              </w:rPr>
              <w:t>Refrigerated</w:t>
            </w:r>
          </w:p>
          <w:p w14:paraId="68BD5ADC" w14:textId="77777777" w:rsidR="00084F36" w:rsidRPr="00EB2BD8" w:rsidRDefault="00EB2BD8">
            <w:pPr>
              <w:pStyle w:val="TableParagraph"/>
              <w:spacing w:before="41"/>
              <w:ind w:left="114"/>
              <w:rPr>
                <w:sz w:val="16"/>
              </w:rPr>
            </w:pPr>
            <w:r w:rsidRPr="00EB2BD8">
              <w:rPr>
                <w:sz w:val="16"/>
              </w:rPr>
              <w:t>air-conditioning</w:t>
            </w:r>
            <w:r w:rsidRPr="00EB2BD8">
              <w:rPr>
                <w:spacing w:val="1"/>
                <w:sz w:val="16"/>
              </w:rPr>
              <w:t xml:space="preserve"> </w:t>
            </w:r>
            <w:r w:rsidRPr="00EB2BD8">
              <w:rPr>
                <w:spacing w:val="-4"/>
                <w:sz w:val="16"/>
              </w:rPr>
              <w:t>work</w:t>
            </w:r>
          </w:p>
        </w:tc>
        <w:tc>
          <w:tcPr>
            <w:tcW w:w="856" w:type="dxa"/>
            <w:tcBorders>
              <w:top w:val="single" w:sz="2" w:space="0" w:color="000000"/>
              <w:bottom w:val="single" w:sz="2" w:space="0" w:color="000000"/>
            </w:tcBorders>
            <w:shd w:val="clear" w:color="auto" w:fill="D1E9F1"/>
          </w:tcPr>
          <w:p w14:paraId="43539F42" w14:textId="77777777" w:rsidR="00084F36" w:rsidRPr="00EB2BD8" w:rsidRDefault="00EB2BD8">
            <w:pPr>
              <w:pStyle w:val="TableParagraph"/>
              <w:spacing w:before="116"/>
              <w:ind w:right="160"/>
              <w:jc w:val="right"/>
              <w:rPr>
                <w:sz w:val="16"/>
              </w:rPr>
            </w:pPr>
            <w:r w:rsidRPr="00EB2BD8">
              <w:rPr>
                <w:spacing w:val="-2"/>
                <w:w w:val="85"/>
                <w:sz w:val="16"/>
              </w:rPr>
              <w:t>2,148</w:t>
            </w:r>
          </w:p>
        </w:tc>
        <w:tc>
          <w:tcPr>
            <w:tcW w:w="797" w:type="dxa"/>
            <w:tcBorders>
              <w:top w:val="single" w:sz="2" w:space="0" w:color="000000"/>
              <w:bottom w:val="single" w:sz="2" w:space="0" w:color="000000"/>
            </w:tcBorders>
            <w:shd w:val="clear" w:color="auto" w:fill="D1E9F1"/>
          </w:tcPr>
          <w:p w14:paraId="7A11920C" w14:textId="77777777" w:rsidR="00084F36" w:rsidRPr="00EB2BD8" w:rsidRDefault="00EB2BD8">
            <w:pPr>
              <w:pStyle w:val="TableParagraph"/>
              <w:spacing w:before="116"/>
              <w:ind w:right="107"/>
              <w:jc w:val="right"/>
              <w:rPr>
                <w:sz w:val="16"/>
              </w:rPr>
            </w:pPr>
            <w:r w:rsidRPr="00EB2BD8">
              <w:rPr>
                <w:spacing w:val="-2"/>
                <w:w w:val="80"/>
                <w:sz w:val="16"/>
              </w:rPr>
              <w:t>2,116</w:t>
            </w:r>
          </w:p>
        </w:tc>
      </w:tr>
      <w:tr w:rsidR="00EB2BD8" w:rsidRPr="00EB2BD8" w14:paraId="26517AF9" w14:textId="77777777">
        <w:trPr>
          <w:trHeight w:val="381"/>
        </w:trPr>
        <w:tc>
          <w:tcPr>
            <w:tcW w:w="2521" w:type="dxa"/>
            <w:tcBorders>
              <w:top w:val="single" w:sz="2" w:space="0" w:color="000000"/>
              <w:bottom w:val="single" w:sz="2" w:space="0" w:color="000000"/>
            </w:tcBorders>
          </w:tcPr>
          <w:p w14:paraId="5DDF20D3" w14:textId="77777777" w:rsidR="00084F36" w:rsidRPr="00EB2BD8" w:rsidRDefault="00EB2BD8">
            <w:pPr>
              <w:pStyle w:val="TableParagraph"/>
              <w:spacing w:before="116"/>
              <w:ind w:left="113"/>
              <w:rPr>
                <w:sz w:val="16"/>
              </w:rPr>
            </w:pPr>
            <w:r w:rsidRPr="00EB2BD8">
              <w:rPr>
                <w:spacing w:val="-2"/>
                <w:sz w:val="16"/>
              </w:rPr>
              <w:t>Draftsperson</w:t>
            </w:r>
          </w:p>
        </w:tc>
        <w:tc>
          <w:tcPr>
            <w:tcW w:w="819" w:type="dxa"/>
            <w:tcBorders>
              <w:top w:val="single" w:sz="2" w:space="0" w:color="000000"/>
              <w:bottom w:val="single" w:sz="2" w:space="0" w:color="000000"/>
            </w:tcBorders>
          </w:tcPr>
          <w:p w14:paraId="53FB1651" w14:textId="77777777" w:rsidR="00084F36" w:rsidRPr="00EB2BD8" w:rsidRDefault="00EB2BD8">
            <w:pPr>
              <w:pStyle w:val="TableParagraph"/>
              <w:spacing w:before="116"/>
              <w:ind w:right="164"/>
              <w:jc w:val="right"/>
              <w:rPr>
                <w:sz w:val="16"/>
              </w:rPr>
            </w:pPr>
            <w:r w:rsidRPr="00EB2BD8">
              <w:rPr>
                <w:spacing w:val="-5"/>
                <w:w w:val="95"/>
                <w:sz w:val="16"/>
              </w:rPr>
              <w:t>164</w:t>
            </w:r>
          </w:p>
        </w:tc>
        <w:tc>
          <w:tcPr>
            <w:tcW w:w="835" w:type="dxa"/>
            <w:tcBorders>
              <w:top w:val="single" w:sz="2" w:space="0" w:color="000000"/>
              <w:bottom w:val="single" w:sz="2" w:space="0" w:color="000000"/>
            </w:tcBorders>
          </w:tcPr>
          <w:p w14:paraId="62940F32" w14:textId="77777777" w:rsidR="00084F36" w:rsidRPr="00EB2BD8" w:rsidRDefault="00EB2BD8">
            <w:pPr>
              <w:pStyle w:val="TableParagraph"/>
              <w:spacing w:before="116"/>
              <w:ind w:right="149"/>
              <w:jc w:val="right"/>
              <w:rPr>
                <w:sz w:val="16"/>
              </w:rPr>
            </w:pPr>
            <w:r w:rsidRPr="00EB2BD8">
              <w:rPr>
                <w:spacing w:val="-5"/>
                <w:w w:val="85"/>
                <w:sz w:val="16"/>
              </w:rPr>
              <w:t>175</w:t>
            </w:r>
          </w:p>
        </w:tc>
        <w:tc>
          <w:tcPr>
            <w:tcW w:w="865" w:type="dxa"/>
            <w:tcBorders>
              <w:top w:val="single" w:sz="2" w:space="0" w:color="000000"/>
              <w:bottom w:val="single" w:sz="2" w:space="0" w:color="000000"/>
            </w:tcBorders>
          </w:tcPr>
          <w:p w14:paraId="6517CEF9" w14:textId="77777777" w:rsidR="00084F36" w:rsidRPr="00EB2BD8" w:rsidRDefault="00EB2BD8">
            <w:pPr>
              <w:pStyle w:val="TableParagraph"/>
              <w:spacing w:before="116"/>
              <w:ind w:right="162"/>
              <w:jc w:val="right"/>
              <w:rPr>
                <w:sz w:val="16"/>
              </w:rPr>
            </w:pPr>
            <w:r w:rsidRPr="00EB2BD8">
              <w:rPr>
                <w:spacing w:val="-2"/>
                <w:w w:val="95"/>
                <w:sz w:val="16"/>
              </w:rPr>
              <w:t>2,383</w:t>
            </w:r>
          </w:p>
        </w:tc>
        <w:tc>
          <w:tcPr>
            <w:tcW w:w="798" w:type="dxa"/>
            <w:tcBorders>
              <w:top w:val="single" w:sz="2" w:space="0" w:color="000000"/>
              <w:bottom w:val="single" w:sz="2" w:space="0" w:color="000000"/>
            </w:tcBorders>
          </w:tcPr>
          <w:p w14:paraId="5D6C102E" w14:textId="77777777" w:rsidR="00084F36" w:rsidRPr="00EB2BD8" w:rsidRDefault="00EB2BD8">
            <w:pPr>
              <w:pStyle w:val="TableParagraph"/>
              <w:spacing w:before="116"/>
              <w:ind w:left="321"/>
              <w:rPr>
                <w:sz w:val="16"/>
              </w:rPr>
            </w:pPr>
            <w:r w:rsidRPr="00EB2BD8">
              <w:rPr>
                <w:spacing w:val="-2"/>
                <w:w w:val="85"/>
                <w:sz w:val="16"/>
              </w:rPr>
              <w:t>2,461</w:t>
            </w:r>
          </w:p>
        </w:tc>
        <w:tc>
          <w:tcPr>
            <w:tcW w:w="2822" w:type="dxa"/>
            <w:tcBorders>
              <w:top w:val="single" w:sz="2" w:space="0" w:color="000000"/>
              <w:bottom w:val="single" w:sz="2" w:space="0" w:color="000000"/>
            </w:tcBorders>
            <w:shd w:val="clear" w:color="auto" w:fill="D1E9F1"/>
          </w:tcPr>
          <w:p w14:paraId="15B599DE" w14:textId="77777777" w:rsidR="00084F36" w:rsidRPr="00EB2BD8" w:rsidRDefault="00EB2BD8">
            <w:pPr>
              <w:pStyle w:val="TableParagraph"/>
              <w:spacing w:before="116"/>
              <w:ind w:left="114"/>
              <w:rPr>
                <w:sz w:val="16"/>
              </w:rPr>
            </w:pPr>
            <w:r w:rsidRPr="00EB2BD8">
              <w:rPr>
                <w:spacing w:val="-2"/>
                <w:sz w:val="16"/>
              </w:rPr>
              <w:t>Roofing (stormwater)</w:t>
            </w:r>
            <w:r w:rsidRPr="00EB2BD8">
              <w:rPr>
                <w:spacing w:val="-1"/>
                <w:sz w:val="16"/>
              </w:rPr>
              <w:t xml:space="preserve"> </w:t>
            </w:r>
            <w:r w:rsidRPr="00EB2BD8">
              <w:rPr>
                <w:spacing w:val="-4"/>
                <w:sz w:val="16"/>
              </w:rPr>
              <w:t>work</w:t>
            </w:r>
          </w:p>
        </w:tc>
        <w:tc>
          <w:tcPr>
            <w:tcW w:w="856" w:type="dxa"/>
            <w:tcBorders>
              <w:top w:val="single" w:sz="2" w:space="0" w:color="000000"/>
              <w:bottom w:val="single" w:sz="2" w:space="0" w:color="000000"/>
            </w:tcBorders>
            <w:shd w:val="clear" w:color="auto" w:fill="D1E9F1"/>
          </w:tcPr>
          <w:p w14:paraId="72DC955D" w14:textId="77777777" w:rsidR="00084F36" w:rsidRPr="00EB2BD8" w:rsidRDefault="00EB2BD8">
            <w:pPr>
              <w:pStyle w:val="TableParagraph"/>
              <w:spacing w:before="116"/>
              <w:ind w:right="160"/>
              <w:jc w:val="right"/>
              <w:rPr>
                <w:sz w:val="16"/>
              </w:rPr>
            </w:pPr>
            <w:r w:rsidRPr="00EB2BD8">
              <w:rPr>
                <w:spacing w:val="-2"/>
                <w:w w:val="85"/>
                <w:sz w:val="16"/>
              </w:rPr>
              <w:t>22,871</w:t>
            </w:r>
          </w:p>
        </w:tc>
        <w:tc>
          <w:tcPr>
            <w:tcW w:w="797" w:type="dxa"/>
            <w:tcBorders>
              <w:top w:val="single" w:sz="2" w:space="0" w:color="000000"/>
              <w:bottom w:val="single" w:sz="2" w:space="0" w:color="000000"/>
            </w:tcBorders>
            <w:shd w:val="clear" w:color="auto" w:fill="D1E9F1"/>
          </w:tcPr>
          <w:p w14:paraId="135B0813" w14:textId="77777777" w:rsidR="00084F36" w:rsidRPr="00EB2BD8" w:rsidRDefault="00EB2BD8">
            <w:pPr>
              <w:pStyle w:val="TableParagraph"/>
              <w:spacing w:before="116"/>
              <w:ind w:right="107"/>
              <w:jc w:val="right"/>
              <w:rPr>
                <w:sz w:val="16"/>
              </w:rPr>
            </w:pPr>
            <w:r w:rsidRPr="00EB2BD8">
              <w:rPr>
                <w:spacing w:val="-2"/>
                <w:w w:val="95"/>
                <w:sz w:val="16"/>
              </w:rPr>
              <w:t>22,403</w:t>
            </w:r>
          </w:p>
        </w:tc>
      </w:tr>
      <w:tr w:rsidR="00EB2BD8" w:rsidRPr="00EB2BD8" w14:paraId="767709DF" w14:textId="77777777">
        <w:trPr>
          <w:trHeight w:val="611"/>
        </w:trPr>
        <w:tc>
          <w:tcPr>
            <w:tcW w:w="2521" w:type="dxa"/>
            <w:tcBorders>
              <w:top w:val="single" w:sz="2" w:space="0" w:color="000000"/>
              <w:bottom w:val="single" w:sz="2" w:space="0" w:color="000000"/>
            </w:tcBorders>
          </w:tcPr>
          <w:p w14:paraId="1EE77388" w14:textId="77777777" w:rsidR="00084F36" w:rsidRPr="00EB2BD8" w:rsidRDefault="00EB2BD8">
            <w:pPr>
              <w:pStyle w:val="TableParagraph"/>
              <w:spacing w:before="116" w:line="292" w:lineRule="auto"/>
              <w:ind w:left="113" w:right="662"/>
              <w:rPr>
                <w:sz w:val="16"/>
              </w:rPr>
            </w:pPr>
            <w:r w:rsidRPr="00EB2BD8">
              <w:rPr>
                <w:sz w:val="16"/>
              </w:rPr>
              <w:t>Erector or Supervisor (temporary</w:t>
            </w:r>
            <w:r w:rsidRPr="00EB2BD8">
              <w:rPr>
                <w:spacing w:val="-13"/>
                <w:sz w:val="16"/>
              </w:rPr>
              <w:t xml:space="preserve"> </w:t>
            </w:r>
            <w:r w:rsidRPr="00EB2BD8">
              <w:rPr>
                <w:sz w:val="16"/>
              </w:rPr>
              <w:t>structures)</w:t>
            </w:r>
          </w:p>
        </w:tc>
        <w:tc>
          <w:tcPr>
            <w:tcW w:w="819" w:type="dxa"/>
            <w:tcBorders>
              <w:top w:val="single" w:sz="2" w:space="0" w:color="000000"/>
              <w:bottom w:val="single" w:sz="2" w:space="0" w:color="000000"/>
            </w:tcBorders>
          </w:tcPr>
          <w:p w14:paraId="3047F06A" w14:textId="77777777" w:rsidR="00084F36" w:rsidRPr="00EB2BD8" w:rsidRDefault="00EB2BD8">
            <w:pPr>
              <w:pStyle w:val="TableParagraph"/>
              <w:spacing w:before="116"/>
              <w:ind w:right="163"/>
              <w:jc w:val="right"/>
              <w:rPr>
                <w:sz w:val="16"/>
              </w:rPr>
            </w:pPr>
            <w:r w:rsidRPr="00EB2BD8">
              <w:rPr>
                <w:w w:val="96"/>
                <w:sz w:val="16"/>
              </w:rPr>
              <w:t>7</w:t>
            </w:r>
          </w:p>
        </w:tc>
        <w:tc>
          <w:tcPr>
            <w:tcW w:w="835" w:type="dxa"/>
            <w:tcBorders>
              <w:top w:val="single" w:sz="2" w:space="0" w:color="000000"/>
              <w:bottom w:val="single" w:sz="2" w:space="0" w:color="000000"/>
            </w:tcBorders>
          </w:tcPr>
          <w:p w14:paraId="52DEDB56" w14:textId="77777777" w:rsidR="00084F36" w:rsidRPr="00EB2BD8" w:rsidRDefault="00EB2BD8">
            <w:pPr>
              <w:pStyle w:val="TableParagraph"/>
              <w:spacing w:before="116"/>
              <w:ind w:right="147"/>
              <w:jc w:val="right"/>
              <w:rPr>
                <w:sz w:val="16"/>
              </w:rPr>
            </w:pPr>
            <w:r w:rsidRPr="00EB2BD8">
              <w:rPr>
                <w:w w:val="77"/>
                <w:sz w:val="16"/>
              </w:rPr>
              <w:t>7</w:t>
            </w:r>
          </w:p>
        </w:tc>
        <w:tc>
          <w:tcPr>
            <w:tcW w:w="865" w:type="dxa"/>
            <w:tcBorders>
              <w:top w:val="single" w:sz="2" w:space="0" w:color="000000"/>
              <w:bottom w:val="single" w:sz="2" w:space="0" w:color="000000"/>
            </w:tcBorders>
          </w:tcPr>
          <w:p w14:paraId="4A91615C" w14:textId="77777777" w:rsidR="00084F36" w:rsidRPr="00EB2BD8" w:rsidRDefault="00EB2BD8">
            <w:pPr>
              <w:pStyle w:val="TableParagraph"/>
              <w:spacing w:before="116"/>
              <w:ind w:right="163"/>
              <w:jc w:val="right"/>
              <w:rPr>
                <w:sz w:val="16"/>
              </w:rPr>
            </w:pPr>
            <w:r w:rsidRPr="00EB2BD8">
              <w:rPr>
                <w:spacing w:val="-5"/>
                <w:sz w:val="16"/>
              </w:rPr>
              <w:t>90</w:t>
            </w:r>
          </w:p>
        </w:tc>
        <w:tc>
          <w:tcPr>
            <w:tcW w:w="798" w:type="dxa"/>
            <w:tcBorders>
              <w:top w:val="single" w:sz="2" w:space="0" w:color="000000"/>
              <w:bottom w:val="single" w:sz="2" w:space="0" w:color="000000"/>
            </w:tcBorders>
          </w:tcPr>
          <w:p w14:paraId="4650EE92" w14:textId="77777777" w:rsidR="00084F36" w:rsidRPr="00EB2BD8" w:rsidRDefault="00EB2BD8">
            <w:pPr>
              <w:pStyle w:val="TableParagraph"/>
              <w:spacing w:before="116"/>
              <w:ind w:left="490"/>
              <w:rPr>
                <w:sz w:val="16"/>
              </w:rPr>
            </w:pPr>
            <w:r w:rsidRPr="00EB2BD8">
              <w:rPr>
                <w:spacing w:val="-5"/>
                <w:sz w:val="16"/>
              </w:rPr>
              <w:t>94</w:t>
            </w:r>
          </w:p>
        </w:tc>
        <w:tc>
          <w:tcPr>
            <w:tcW w:w="2822" w:type="dxa"/>
            <w:tcBorders>
              <w:top w:val="single" w:sz="2" w:space="0" w:color="000000"/>
              <w:bottom w:val="single" w:sz="2" w:space="0" w:color="000000"/>
            </w:tcBorders>
            <w:shd w:val="clear" w:color="auto" w:fill="D1E9F1"/>
          </w:tcPr>
          <w:p w14:paraId="29DD4350" w14:textId="77777777" w:rsidR="00084F36" w:rsidRPr="00EB2BD8" w:rsidRDefault="00EB2BD8">
            <w:pPr>
              <w:pStyle w:val="TableParagraph"/>
              <w:spacing w:before="116"/>
              <w:ind w:left="114"/>
              <w:rPr>
                <w:sz w:val="16"/>
              </w:rPr>
            </w:pPr>
            <w:r w:rsidRPr="00EB2BD8">
              <w:rPr>
                <w:sz w:val="16"/>
              </w:rPr>
              <w:t>Type</w:t>
            </w:r>
            <w:r w:rsidRPr="00EB2BD8">
              <w:rPr>
                <w:spacing w:val="-11"/>
                <w:sz w:val="16"/>
              </w:rPr>
              <w:t xml:space="preserve"> </w:t>
            </w:r>
            <w:r w:rsidRPr="00EB2BD8">
              <w:rPr>
                <w:sz w:val="16"/>
              </w:rPr>
              <w:t>B</w:t>
            </w:r>
            <w:r w:rsidRPr="00EB2BD8">
              <w:rPr>
                <w:spacing w:val="-10"/>
                <w:sz w:val="16"/>
              </w:rPr>
              <w:t xml:space="preserve"> </w:t>
            </w:r>
            <w:r w:rsidRPr="00EB2BD8">
              <w:rPr>
                <w:sz w:val="16"/>
              </w:rPr>
              <w:t>gas</w:t>
            </w:r>
            <w:r w:rsidRPr="00EB2BD8">
              <w:rPr>
                <w:spacing w:val="-11"/>
                <w:sz w:val="16"/>
              </w:rPr>
              <w:t xml:space="preserve"> </w:t>
            </w:r>
            <w:r w:rsidRPr="00EB2BD8">
              <w:rPr>
                <w:sz w:val="16"/>
              </w:rPr>
              <w:t>fitting</w:t>
            </w:r>
            <w:r w:rsidRPr="00EB2BD8">
              <w:rPr>
                <w:spacing w:val="-10"/>
                <w:sz w:val="16"/>
              </w:rPr>
              <w:t xml:space="preserve"> </w:t>
            </w:r>
            <w:r w:rsidRPr="00EB2BD8">
              <w:rPr>
                <w:spacing w:val="-4"/>
                <w:sz w:val="16"/>
              </w:rPr>
              <w:t>work</w:t>
            </w:r>
          </w:p>
        </w:tc>
        <w:tc>
          <w:tcPr>
            <w:tcW w:w="856" w:type="dxa"/>
            <w:tcBorders>
              <w:top w:val="single" w:sz="2" w:space="0" w:color="000000"/>
              <w:bottom w:val="single" w:sz="2" w:space="0" w:color="000000"/>
            </w:tcBorders>
            <w:shd w:val="clear" w:color="auto" w:fill="D1E9F1"/>
          </w:tcPr>
          <w:p w14:paraId="286C1999" w14:textId="77777777" w:rsidR="00084F36" w:rsidRPr="00EB2BD8" w:rsidRDefault="00EB2BD8">
            <w:pPr>
              <w:pStyle w:val="TableParagraph"/>
              <w:spacing w:before="116"/>
              <w:ind w:right="160"/>
              <w:jc w:val="right"/>
              <w:rPr>
                <w:sz w:val="16"/>
              </w:rPr>
            </w:pPr>
            <w:r w:rsidRPr="00EB2BD8">
              <w:rPr>
                <w:spacing w:val="-5"/>
                <w:sz w:val="16"/>
              </w:rPr>
              <w:t>598</w:t>
            </w:r>
          </w:p>
        </w:tc>
        <w:tc>
          <w:tcPr>
            <w:tcW w:w="797" w:type="dxa"/>
            <w:tcBorders>
              <w:top w:val="single" w:sz="2" w:space="0" w:color="000000"/>
              <w:bottom w:val="single" w:sz="2" w:space="0" w:color="000000"/>
            </w:tcBorders>
            <w:shd w:val="clear" w:color="auto" w:fill="D1E9F1"/>
          </w:tcPr>
          <w:p w14:paraId="561ECBA3" w14:textId="77777777" w:rsidR="00084F36" w:rsidRPr="00EB2BD8" w:rsidRDefault="00EB2BD8">
            <w:pPr>
              <w:pStyle w:val="TableParagraph"/>
              <w:spacing w:before="116"/>
              <w:ind w:right="106"/>
              <w:jc w:val="right"/>
              <w:rPr>
                <w:sz w:val="16"/>
              </w:rPr>
            </w:pPr>
            <w:r w:rsidRPr="00EB2BD8">
              <w:rPr>
                <w:spacing w:val="-5"/>
                <w:w w:val="90"/>
                <w:sz w:val="16"/>
              </w:rPr>
              <w:t>613</w:t>
            </w:r>
          </w:p>
        </w:tc>
      </w:tr>
      <w:tr w:rsidR="00EB2BD8" w:rsidRPr="00EB2BD8" w14:paraId="1368DA0E" w14:textId="77777777">
        <w:trPr>
          <w:trHeight w:val="381"/>
        </w:trPr>
        <w:tc>
          <w:tcPr>
            <w:tcW w:w="2521" w:type="dxa"/>
            <w:tcBorders>
              <w:top w:val="single" w:sz="2" w:space="0" w:color="000000"/>
              <w:bottom w:val="single" w:sz="2" w:space="0" w:color="000000"/>
            </w:tcBorders>
          </w:tcPr>
          <w:p w14:paraId="4FC2B229" w14:textId="77777777" w:rsidR="00084F36" w:rsidRPr="00EB2BD8" w:rsidRDefault="00EB2BD8">
            <w:pPr>
              <w:pStyle w:val="TableParagraph"/>
              <w:spacing w:before="116"/>
              <w:ind w:left="113"/>
              <w:rPr>
                <w:sz w:val="16"/>
              </w:rPr>
            </w:pPr>
            <w:r w:rsidRPr="00EB2BD8">
              <w:rPr>
                <w:sz w:val="16"/>
              </w:rPr>
              <w:t xml:space="preserve">Quantity </w:t>
            </w:r>
            <w:r w:rsidRPr="00EB2BD8">
              <w:rPr>
                <w:spacing w:val="-2"/>
                <w:sz w:val="16"/>
              </w:rPr>
              <w:t>Surveyor</w:t>
            </w:r>
          </w:p>
        </w:tc>
        <w:tc>
          <w:tcPr>
            <w:tcW w:w="819" w:type="dxa"/>
            <w:tcBorders>
              <w:top w:val="single" w:sz="2" w:space="0" w:color="000000"/>
              <w:bottom w:val="single" w:sz="2" w:space="0" w:color="000000"/>
            </w:tcBorders>
          </w:tcPr>
          <w:p w14:paraId="7B39BC5D" w14:textId="77777777" w:rsidR="00084F36" w:rsidRPr="00EB2BD8" w:rsidRDefault="00EB2BD8">
            <w:pPr>
              <w:pStyle w:val="TableParagraph"/>
              <w:spacing w:before="116"/>
              <w:ind w:right="164"/>
              <w:jc w:val="right"/>
              <w:rPr>
                <w:sz w:val="16"/>
              </w:rPr>
            </w:pPr>
            <w:r w:rsidRPr="00EB2BD8">
              <w:rPr>
                <w:spacing w:val="-5"/>
                <w:w w:val="85"/>
                <w:sz w:val="16"/>
              </w:rPr>
              <w:t>16</w:t>
            </w:r>
          </w:p>
        </w:tc>
        <w:tc>
          <w:tcPr>
            <w:tcW w:w="835" w:type="dxa"/>
            <w:tcBorders>
              <w:top w:val="single" w:sz="2" w:space="0" w:color="000000"/>
              <w:bottom w:val="single" w:sz="2" w:space="0" w:color="000000"/>
            </w:tcBorders>
          </w:tcPr>
          <w:p w14:paraId="70FC2415" w14:textId="77777777" w:rsidR="00084F36" w:rsidRPr="00EB2BD8" w:rsidRDefault="00EB2BD8">
            <w:pPr>
              <w:pStyle w:val="TableParagraph"/>
              <w:spacing w:before="116"/>
              <w:ind w:right="148"/>
              <w:jc w:val="right"/>
              <w:rPr>
                <w:sz w:val="16"/>
              </w:rPr>
            </w:pPr>
            <w:r w:rsidRPr="00EB2BD8">
              <w:rPr>
                <w:spacing w:val="-5"/>
                <w:w w:val="85"/>
                <w:sz w:val="16"/>
              </w:rPr>
              <w:t>14</w:t>
            </w:r>
          </w:p>
        </w:tc>
        <w:tc>
          <w:tcPr>
            <w:tcW w:w="865" w:type="dxa"/>
            <w:tcBorders>
              <w:top w:val="single" w:sz="2" w:space="0" w:color="000000"/>
              <w:bottom w:val="single" w:sz="2" w:space="0" w:color="000000"/>
            </w:tcBorders>
          </w:tcPr>
          <w:p w14:paraId="140133D7" w14:textId="77777777" w:rsidR="00084F36" w:rsidRPr="00EB2BD8" w:rsidRDefault="00EB2BD8">
            <w:pPr>
              <w:pStyle w:val="TableParagraph"/>
              <w:spacing w:before="116"/>
              <w:ind w:right="163"/>
              <w:jc w:val="right"/>
              <w:rPr>
                <w:sz w:val="16"/>
              </w:rPr>
            </w:pPr>
            <w:r w:rsidRPr="00EB2BD8">
              <w:rPr>
                <w:spacing w:val="-5"/>
                <w:w w:val="85"/>
                <w:sz w:val="16"/>
              </w:rPr>
              <w:t>142</w:t>
            </w:r>
          </w:p>
        </w:tc>
        <w:tc>
          <w:tcPr>
            <w:tcW w:w="798" w:type="dxa"/>
            <w:tcBorders>
              <w:top w:val="single" w:sz="2" w:space="0" w:color="000000"/>
              <w:bottom w:val="single" w:sz="2" w:space="0" w:color="000000"/>
            </w:tcBorders>
          </w:tcPr>
          <w:p w14:paraId="0D2E7C7A" w14:textId="77777777" w:rsidR="00084F36" w:rsidRPr="00EB2BD8" w:rsidRDefault="00EB2BD8">
            <w:pPr>
              <w:pStyle w:val="TableParagraph"/>
              <w:spacing w:before="116"/>
              <w:ind w:left="440"/>
              <w:rPr>
                <w:sz w:val="16"/>
              </w:rPr>
            </w:pPr>
            <w:r w:rsidRPr="00EB2BD8">
              <w:rPr>
                <w:spacing w:val="-5"/>
                <w:w w:val="90"/>
                <w:sz w:val="16"/>
              </w:rPr>
              <w:t>139</w:t>
            </w:r>
          </w:p>
        </w:tc>
        <w:tc>
          <w:tcPr>
            <w:tcW w:w="2822" w:type="dxa"/>
            <w:tcBorders>
              <w:top w:val="single" w:sz="2" w:space="0" w:color="000000"/>
              <w:bottom w:val="single" w:sz="2" w:space="0" w:color="000000"/>
            </w:tcBorders>
            <w:shd w:val="clear" w:color="auto" w:fill="D1E9F1"/>
          </w:tcPr>
          <w:p w14:paraId="4B69FEBB" w14:textId="77777777" w:rsidR="00084F36" w:rsidRPr="00EB2BD8" w:rsidRDefault="00EB2BD8">
            <w:pPr>
              <w:pStyle w:val="TableParagraph"/>
              <w:spacing w:before="116"/>
              <w:ind w:left="114"/>
              <w:rPr>
                <w:sz w:val="16"/>
              </w:rPr>
            </w:pPr>
            <w:r w:rsidRPr="00EB2BD8">
              <w:rPr>
                <w:sz w:val="16"/>
              </w:rPr>
              <w:t>Water</w:t>
            </w:r>
            <w:r w:rsidRPr="00EB2BD8">
              <w:rPr>
                <w:spacing w:val="-6"/>
                <w:sz w:val="16"/>
              </w:rPr>
              <w:t xml:space="preserve"> </w:t>
            </w:r>
            <w:r w:rsidRPr="00EB2BD8">
              <w:rPr>
                <w:sz w:val="16"/>
              </w:rPr>
              <w:t>supply</w:t>
            </w:r>
            <w:r w:rsidRPr="00EB2BD8">
              <w:rPr>
                <w:spacing w:val="-5"/>
                <w:sz w:val="16"/>
              </w:rPr>
              <w:t xml:space="preserve"> </w:t>
            </w:r>
            <w:r w:rsidRPr="00EB2BD8">
              <w:rPr>
                <w:spacing w:val="-4"/>
                <w:sz w:val="16"/>
              </w:rPr>
              <w:t>work</w:t>
            </w:r>
          </w:p>
        </w:tc>
        <w:tc>
          <w:tcPr>
            <w:tcW w:w="856" w:type="dxa"/>
            <w:tcBorders>
              <w:top w:val="single" w:sz="2" w:space="0" w:color="000000"/>
              <w:bottom w:val="single" w:sz="2" w:space="0" w:color="000000"/>
            </w:tcBorders>
            <w:shd w:val="clear" w:color="auto" w:fill="D1E9F1"/>
          </w:tcPr>
          <w:p w14:paraId="3C5E1E6E" w14:textId="77777777" w:rsidR="00084F36" w:rsidRPr="00EB2BD8" w:rsidRDefault="00EB2BD8">
            <w:pPr>
              <w:pStyle w:val="TableParagraph"/>
              <w:spacing w:before="116"/>
              <w:ind w:right="159"/>
              <w:jc w:val="right"/>
              <w:rPr>
                <w:sz w:val="16"/>
              </w:rPr>
            </w:pPr>
            <w:r w:rsidRPr="00EB2BD8">
              <w:rPr>
                <w:spacing w:val="-2"/>
                <w:w w:val="90"/>
                <w:sz w:val="16"/>
              </w:rPr>
              <w:t>24,183</w:t>
            </w:r>
          </w:p>
        </w:tc>
        <w:tc>
          <w:tcPr>
            <w:tcW w:w="797" w:type="dxa"/>
            <w:tcBorders>
              <w:top w:val="single" w:sz="2" w:space="0" w:color="000000"/>
              <w:bottom w:val="single" w:sz="2" w:space="0" w:color="000000"/>
            </w:tcBorders>
            <w:shd w:val="clear" w:color="auto" w:fill="D1E9F1"/>
          </w:tcPr>
          <w:p w14:paraId="01C23B48" w14:textId="77777777" w:rsidR="00084F36" w:rsidRPr="00EB2BD8" w:rsidRDefault="00EB2BD8">
            <w:pPr>
              <w:pStyle w:val="TableParagraph"/>
              <w:spacing w:before="116"/>
              <w:ind w:right="106"/>
              <w:jc w:val="right"/>
              <w:rPr>
                <w:sz w:val="16"/>
              </w:rPr>
            </w:pPr>
            <w:r w:rsidRPr="00EB2BD8">
              <w:rPr>
                <w:spacing w:val="-2"/>
                <w:w w:val="95"/>
                <w:sz w:val="16"/>
              </w:rPr>
              <w:t>23,579</w:t>
            </w:r>
          </w:p>
        </w:tc>
      </w:tr>
      <w:tr w:rsidR="00EB2BD8" w:rsidRPr="00EB2BD8" w14:paraId="34509C3F" w14:textId="77777777">
        <w:trPr>
          <w:trHeight w:val="384"/>
        </w:trPr>
        <w:tc>
          <w:tcPr>
            <w:tcW w:w="2521" w:type="dxa"/>
            <w:tcBorders>
              <w:top w:val="single" w:sz="2" w:space="0" w:color="000000"/>
            </w:tcBorders>
          </w:tcPr>
          <w:p w14:paraId="3881F499" w14:textId="77777777" w:rsidR="00084F36" w:rsidRPr="00EB2BD8" w:rsidRDefault="00EB2BD8">
            <w:pPr>
              <w:pStyle w:val="TableParagraph"/>
              <w:spacing w:before="116"/>
              <w:ind w:left="113"/>
              <w:rPr>
                <w:sz w:val="16"/>
              </w:rPr>
            </w:pPr>
            <w:r w:rsidRPr="00EB2BD8">
              <w:rPr>
                <w:sz w:val="16"/>
              </w:rPr>
              <w:t>Project</w:t>
            </w:r>
            <w:r w:rsidRPr="00EB2BD8">
              <w:rPr>
                <w:spacing w:val="7"/>
                <w:sz w:val="16"/>
              </w:rPr>
              <w:t xml:space="preserve"> </w:t>
            </w:r>
            <w:r w:rsidRPr="00EB2BD8">
              <w:rPr>
                <w:sz w:val="16"/>
              </w:rPr>
              <w:t>Manager</w:t>
            </w:r>
            <w:r w:rsidRPr="00EB2BD8">
              <w:rPr>
                <w:spacing w:val="7"/>
                <w:sz w:val="16"/>
              </w:rPr>
              <w:t xml:space="preserve"> </w:t>
            </w:r>
            <w:r w:rsidRPr="00EB2BD8">
              <w:rPr>
                <w:spacing w:val="-2"/>
                <w:sz w:val="16"/>
              </w:rPr>
              <w:t>(domestic)</w:t>
            </w:r>
          </w:p>
        </w:tc>
        <w:tc>
          <w:tcPr>
            <w:tcW w:w="819" w:type="dxa"/>
            <w:tcBorders>
              <w:top w:val="single" w:sz="2" w:space="0" w:color="000000"/>
            </w:tcBorders>
          </w:tcPr>
          <w:p w14:paraId="6C91742F" w14:textId="77777777" w:rsidR="00084F36" w:rsidRPr="00EB2BD8" w:rsidRDefault="00EB2BD8">
            <w:pPr>
              <w:pStyle w:val="TableParagraph"/>
              <w:spacing w:before="116"/>
              <w:ind w:right="163"/>
              <w:jc w:val="right"/>
              <w:rPr>
                <w:sz w:val="16"/>
              </w:rPr>
            </w:pPr>
            <w:r w:rsidRPr="00EB2BD8">
              <w:rPr>
                <w:w w:val="105"/>
                <w:sz w:val="16"/>
              </w:rPr>
              <w:t>0</w:t>
            </w:r>
          </w:p>
        </w:tc>
        <w:tc>
          <w:tcPr>
            <w:tcW w:w="835" w:type="dxa"/>
            <w:tcBorders>
              <w:top w:val="single" w:sz="2" w:space="0" w:color="000000"/>
            </w:tcBorders>
          </w:tcPr>
          <w:p w14:paraId="232330C7" w14:textId="77777777" w:rsidR="00084F36" w:rsidRPr="00EB2BD8" w:rsidRDefault="00EB2BD8">
            <w:pPr>
              <w:pStyle w:val="TableParagraph"/>
              <w:spacing w:before="116"/>
              <w:ind w:right="147"/>
              <w:jc w:val="right"/>
              <w:rPr>
                <w:sz w:val="16"/>
              </w:rPr>
            </w:pPr>
            <w:r w:rsidRPr="00EB2BD8">
              <w:rPr>
                <w:w w:val="105"/>
                <w:sz w:val="16"/>
              </w:rPr>
              <w:t>0</w:t>
            </w:r>
          </w:p>
        </w:tc>
        <w:tc>
          <w:tcPr>
            <w:tcW w:w="865" w:type="dxa"/>
            <w:tcBorders>
              <w:top w:val="single" w:sz="2" w:space="0" w:color="000000"/>
            </w:tcBorders>
          </w:tcPr>
          <w:p w14:paraId="181305F5" w14:textId="77777777" w:rsidR="00084F36" w:rsidRPr="00EB2BD8" w:rsidRDefault="00EB2BD8">
            <w:pPr>
              <w:pStyle w:val="TableParagraph"/>
              <w:spacing w:before="116"/>
              <w:ind w:right="161"/>
              <w:jc w:val="right"/>
              <w:rPr>
                <w:sz w:val="16"/>
              </w:rPr>
            </w:pPr>
            <w:r w:rsidRPr="00EB2BD8">
              <w:rPr>
                <w:spacing w:val="-5"/>
                <w:sz w:val="16"/>
              </w:rPr>
              <w:t>33</w:t>
            </w:r>
          </w:p>
        </w:tc>
        <w:tc>
          <w:tcPr>
            <w:tcW w:w="798" w:type="dxa"/>
            <w:tcBorders>
              <w:top w:val="single" w:sz="2" w:space="0" w:color="000000"/>
            </w:tcBorders>
          </w:tcPr>
          <w:p w14:paraId="2CD83C4E" w14:textId="77777777" w:rsidR="00084F36" w:rsidRPr="00EB2BD8" w:rsidRDefault="00EB2BD8">
            <w:pPr>
              <w:pStyle w:val="TableParagraph"/>
              <w:spacing w:before="116"/>
              <w:ind w:left="495"/>
              <w:rPr>
                <w:sz w:val="16"/>
              </w:rPr>
            </w:pPr>
            <w:r w:rsidRPr="00EB2BD8">
              <w:rPr>
                <w:spacing w:val="-5"/>
                <w:sz w:val="16"/>
              </w:rPr>
              <w:t>33</w:t>
            </w:r>
          </w:p>
        </w:tc>
        <w:tc>
          <w:tcPr>
            <w:tcW w:w="4475" w:type="dxa"/>
            <w:gridSpan w:val="3"/>
            <w:tcBorders>
              <w:top w:val="single" w:sz="2" w:space="0" w:color="000000"/>
            </w:tcBorders>
            <w:shd w:val="clear" w:color="auto" w:fill="D1E9F1"/>
          </w:tcPr>
          <w:p w14:paraId="7E8E4DEE" w14:textId="77777777" w:rsidR="00084F36" w:rsidRPr="00EB2BD8" w:rsidRDefault="00084F36">
            <w:pPr>
              <w:pStyle w:val="TableParagraph"/>
              <w:rPr>
                <w:rFonts w:ascii="Times New Roman"/>
                <w:sz w:val="16"/>
              </w:rPr>
            </w:pPr>
          </w:p>
        </w:tc>
      </w:tr>
      <w:tr w:rsidR="00F007BF" w:rsidRPr="00EB2BD8" w14:paraId="38E8EBA8" w14:textId="77777777">
        <w:trPr>
          <w:trHeight w:val="384"/>
        </w:trPr>
        <w:tc>
          <w:tcPr>
            <w:tcW w:w="2521" w:type="dxa"/>
            <w:tcBorders>
              <w:top w:val="single" w:sz="2" w:space="0" w:color="000000"/>
            </w:tcBorders>
          </w:tcPr>
          <w:p w14:paraId="04D5AAD9" w14:textId="77777777" w:rsidR="00F007BF" w:rsidRPr="00EB2BD8" w:rsidRDefault="00F007BF">
            <w:pPr>
              <w:pStyle w:val="TableParagraph"/>
              <w:spacing w:before="116"/>
              <w:ind w:left="113"/>
              <w:rPr>
                <w:sz w:val="16"/>
              </w:rPr>
            </w:pPr>
          </w:p>
        </w:tc>
        <w:tc>
          <w:tcPr>
            <w:tcW w:w="819" w:type="dxa"/>
            <w:tcBorders>
              <w:top w:val="single" w:sz="2" w:space="0" w:color="000000"/>
            </w:tcBorders>
          </w:tcPr>
          <w:p w14:paraId="1407F37E" w14:textId="77777777" w:rsidR="00F007BF" w:rsidRPr="00EB2BD8" w:rsidRDefault="00F007BF">
            <w:pPr>
              <w:pStyle w:val="TableParagraph"/>
              <w:spacing w:before="116"/>
              <w:ind w:right="163"/>
              <w:jc w:val="right"/>
              <w:rPr>
                <w:w w:val="105"/>
                <w:sz w:val="16"/>
              </w:rPr>
            </w:pPr>
          </w:p>
        </w:tc>
        <w:tc>
          <w:tcPr>
            <w:tcW w:w="835" w:type="dxa"/>
            <w:tcBorders>
              <w:top w:val="single" w:sz="2" w:space="0" w:color="000000"/>
            </w:tcBorders>
          </w:tcPr>
          <w:p w14:paraId="1014E625" w14:textId="77777777" w:rsidR="00F007BF" w:rsidRPr="00EB2BD8" w:rsidRDefault="00F007BF">
            <w:pPr>
              <w:pStyle w:val="TableParagraph"/>
              <w:spacing w:before="116"/>
              <w:ind w:right="147"/>
              <w:jc w:val="right"/>
              <w:rPr>
                <w:w w:val="105"/>
                <w:sz w:val="16"/>
              </w:rPr>
            </w:pPr>
          </w:p>
        </w:tc>
        <w:tc>
          <w:tcPr>
            <w:tcW w:w="865" w:type="dxa"/>
            <w:tcBorders>
              <w:top w:val="single" w:sz="2" w:space="0" w:color="000000"/>
            </w:tcBorders>
          </w:tcPr>
          <w:p w14:paraId="0CCDC3DB" w14:textId="77777777" w:rsidR="00F007BF" w:rsidRPr="00EB2BD8" w:rsidRDefault="00F007BF">
            <w:pPr>
              <w:pStyle w:val="TableParagraph"/>
              <w:spacing w:before="116"/>
              <w:ind w:right="161"/>
              <w:jc w:val="right"/>
              <w:rPr>
                <w:spacing w:val="-5"/>
                <w:sz w:val="16"/>
              </w:rPr>
            </w:pPr>
          </w:p>
        </w:tc>
        <w:tc>
          <w:tcPr>
            <w:tcW w:w="798" w:type="dxa"/>
            <w:tcBorders>
              <w:top w:val="single" w:sz="2" w:space="0" w:color="000000"/>
            </w:tcBorders>
          </w:tcPr>
          <w:p w14:paraId="4CDF54B1" w14:textId="77777777" w:rsidR="00F007BF" w:rsidRPr="00EB2BD8" w:rsidRDefault="00F007BF">
            <w:pPr>
              <w:pStyle w:val="TableParagraph"/>
              <w:spacing w:before="116"/>
              <w:ind w:left="495"/>
              <w:rPr>
                <w:spacing w:val="-5"/>
                <w:sz w:val="16"/>
              </w:rPr>
            </w:pPr>
          </w:p>
        </w:tc>
        <w:tc>
          <w:tcPr>
            <w:tcW w:w="4475" w:type="dxa"/>
            <w:gridSpan w:val="3"/>
            <w:tcBorders>
              <w:top w:val="single" w:sz="2" w:space="0" w:color="000000"/>
            </w:tcBorders>
            <w:shd w:val="clear" w:color="auto" w:fill="D1E9F1"/>
          </w:tcPr>
          <w:p w14:paraId="2EC0E39E" w14:textId="77777777" w:rsidR="00F007BF" w:rsidRPr="00EB2BD8" w:rsidRDefault="00F007BF">
            <w:pPr>
              <w:pStyle w:val="TableParagraph"/>
              <w:rPr>
                <w:rFonts w:ascii="Times New Roman"/>
                <w:sz w:val="16"/>
              </w:rPr>
            </w:pPr>
          </w:p>
        </w:tc>
      </w:tr>
      <w:tr w:rsidR="00EB2BD8" w:rsidRPr="00EB2BD8" w14:paraId="3A949C2D" w14:textId="77777777" w:rsidTr="00F007BF">
        <w:trPr>
          <w:trHeight w:val="386"/>
        </w:trPr>
        <w:tc>
          <w:tcPr>
            <w:tcW w:w="10313" w:type="dxa"/>
            <w:gridSpan w:val="8"/>
            <w:shd w:val="clear" w:color="auto" w:fill="FFFFFF" w:themeFill="background1"/>
          </w:tcPr>
          <w:p w14:paraId="1386EF3C" w14:textId="77777777" w:rsidR="00084F36" w:rsidRPr="00F007BF" w:rsidRDefault="00EB2BD8">
            <w:pPr>
              <w:pStyle w:val="TableParagraph"/>
              <w:spacing w:before="118"/>
              <w:ind w:left="113"/>
              <w:rPr>
                <w:b/>
                <w:bCs/>
                <w:sz w:val="16"/>
              </w:rPr>
            </w:pPr>
            <w:r w:rsidRPr="00F007BF">
              <w:rPr>
                <w:b/>
                <w:bCs/>
                <w:sz w:val="16"/>
              </w:rPr>
              <w:t>Owner-builder</w:t>
            </w:r>
            <w:r w:rsidRPr="00F007BF">
              <w:rPr>
                <w:b/>
                <w:bCs/>
                <w:spacing w:val="10"/>
                <w:sz w:val="16"/>
              </w:rPr>
              <w:t xml:space="preserve"> </w:t>
            </w:r>
            <w:r w:rsidRPr="00F007BF">
              <w:rPr>
                <w:b/>
                <w:bCs/>
                <w:spacing w:val="-2"/>
                <w:sz w:val="16"/>
              </w:rPr>
              <w:t>activity</w:t>
            </w:r>
          </w:p>
        </w:tc>
      </w:tr>
      <w:tr w:rsidR="00EB2BD8" w:rsidRPr="00EB2BD8" w14:paraId="5D4F8E1D" w14:textId="77777777">
        <w:trPr>
          <w:trHeight w:val="320"/>
        </w:trPr>
        <w:tc>
          <w:tcPr>
            <w:tcW w:w="3340" w:type="dxa"/>
            <w:gridSpan w:val="2"/>
            <w:shd w:val="clear" w:color="auto" w:fill="E5F5FF"/>
          </w:tcPr>
          <w:p w14:paraId="723839D8" w14:textId="77777777" w:rsidR="00084F36" w:rsidRPr="00EB2BD8" w:rsidRDefault="00084F36">
            <w:pPr>
              <w:pStyle w:val="TableParagraph"/>
              <w:rPr>
                <w:rFonts w:ascii="Times New Roman"/>
                <w:sz w:val="16"/>
              </w:rPr>
            </w:pPr>
          </w:p>
        </w:tc>
        <w:tc>
          <w:tcPr>
            <w:tcW w:w="835" w:type="dxa"/>
            <w:shd w:val="clear" w:color="auto" w:fill="E5F5FF"/>
          </w:tcPr>
          <w:p w14:paraId="721008F4" w14:textId="77777777" w:rsidR="00084F36" w:rsidRPr="00EB2BD8" w:rsidRDefault="00084F36">
            <w:pPr>
              <w:pStyle w:val="TableParagraph"/>
              <w:rPr>
                <w:rFonts w:ascii="Times New Roman"/>
                <w:sz w:val="16"/>
              </w:rPr>
            </w:pPr>
          </w:p>
        </w:tc>
        <w:tc>
          <w:tcPr>
            <w:tcW w:w="865" w:type="dxa"/>
            <w:shd w:val="clear" w:color="auto" w:fill="E5F5FF"/>
          </w:tcPr>
          <w:p w14:paraId="6C3471A6" w14:textId="77777777" w:rsidR="00084F36" w:rsidRPr="00EB2BD8" w:rsidRDefault="00084F36">
            <w:pPr>
              <w:pStyle w:val="TableParagraph"/>
              <w:rPr>
                <w:rFonts w:ascii="Times New Roman"/>
                <w:sz w:val="16"/>
              </w:rPr>
            </w:pPr>
          </w:p>
        </w:tc>
        <w:tc>
          <w:tcPr>
            <w:tcW w:w="798" w:type="dxa"/>
            <w:shd w:val="clear" w:color="auto" w:fill="E5F5FF"/>
          </w:tcPr>
          <w:p w14:paraId="32F8D4A2" w14:textId="77777777" w:rsidR="00084F36" w:rsidRPr="00EB2BD8" w:rsidRDefault="00EB2BD8">
            <w:pPr>
              <w:pStyle w:val="TableParagraph"/>
              <w:spacing w:before="85"/>
              <w:ind w:left="152"/>
              <w:rPr>
                <w:sz w:val="16"/>
              </w:rPr>
            </w:pPr>
            <w:r w:rsidRPr="00EB2BD8">
              <w:rPr>
                <w:spacing w:val="-9"/>
                <w:sz w:val="16"/>
              </w:rPr>
              <w:t>2022–23</w:t>
            </w:r>
          </w:p>
        </w:tc>
        <w:tc>
          <w:tcPr>
            <w:tcW w:w="4475" w:type="dxa"/>
            <w:gridSpan w:val="3"/>
            <w:shd w:val="clear" w:color="auto" w:fill="E5F5FF"/>
          </w:tcPr>
          <w:p w14:paraId="0F0210EA" w14:textId="77777777" w:rsidR="00084F36" w:rsidRPr="00EB2BD8" w:rsidRDefault="00EB2BD8">
            <w:pPr>
              <w:pStyle w:val="TableParagraph"/>
              <w:spacing w:before="85"/>
              <w:ind w:right="73"/>
              <w:jc w:val="right"/>
              <w:rPr>
                <w:sz w:val="16"/>
              </w:rPr>
            </w:pPr>
            <w:r w:rsidRPr="00EB2BD8">
              <w:rPr>
                <w:spacing w:val="-2"/>
                <w:w w:val="95"/>
                <w:sz w:val="16"/>
              </w:rPr>
              <w:t>2021–22</w:t>
            </w:r>
          </w:p>
        </w:tc>
      </w:tr>
    </w:tbl>
    <w:p w14:paraId="500BD5B6" w14:textId="77777777" w:rsidR="00084F36" w:rsidRPr="00EB2BD8" w:rsidRDefault="00EB2BD8">
      <w:pPr>
        <w:tabs>
          <w:tab w:val="left" w:pos="6263"/>
          <w:tab w:val="left" w:pos="10700"/>
        </w:tabs>
        <w:spacing w:before="130"/>
        <w:ind w:left="963"/>
        <w:rPr>
          <w:sz w:val="16"/>
        </w:rPr>
      </w:pPr>
      <w:r w:rsidRPr="00EB2BD8">
        <w:rPr>
          <w:sz w:val="16"/>
        </w:rPr>
        <w:t>Owner-builder</w:t>
      </w:r>
      <w:r w:rsidRPr="00EB2BD8">
        <w:rPr>
          <w:spacing w:val="-7"/>
          <w:sz w:val="16"/>
        </w:rPr>
        <w:t xml:space="preserve"> </w:t>
      </w:r>
      <w:r w:rsidRPr="00EB2BD8">
        <w:rPr>
          <w:sz w:val="16"/>
        </w:rPr>
        <w:t>certificates</w:t>
      </w:r>
      <w:r w:rsidRPr="00EB2BD8">
        <w:rPr>
          <w:spacing w:val="-7"/>
          <w:sz w:val="16"/>
        </w:rPr>
        <w:t xml:space="preserve"> </w:t>
      </w:r>
      <w:r w:rsidRPr="00EB2BD8">
        <w:rPr>
          <w:sz w:val="16"/>
        </w:rPr>
        <w:t>of</w:t>
      </w:r>
      <w:r w:rsidRPr="00EB2BD8">
        <w:rPr>
          <w:spacing w:val="-6"/>
          <w:sz w:val="16"/>
        </w:rPr>
        <w:t xml:space="preserve"> </w:t>
      </w:r>
      <w:r w:rsidRPr="00EB2BD8">
        <w:rPr>
          <w:sz w:val="16"/>
        </w:rPr>
        <w:t>consent</w:t>
      </w:r>
      <w:r w:rsidRPr="00EB2BD8">
        <w:rPr>
          <w:spacing w:val="-7"/>
          <w:sz w:val="16"/>
        </w:rPr>
        <w:t xml:space="preserve"> </w:t>
      </w:r>
      <w:r w:rsidRPr="00EB2BD8">
        <w:rPr>
          <w:spacing w:val="-2"/>
          <w:sz w:val="16"/>
        </w:rPr>
        <w:t>issued</w:t>
      </w:r>
      <w:r w:rsidRPr="00EB2BD8">
        <w:rPr>
          <w:sz w:val="16"/>
        </w:rPr>
        <w:tab/>
      </w:r>
      <w:r w:rsidRPr="00EB2BD8">
        <w:rPr>
          <w:spacing w:val="-2"/>
          <w:sz w:val="16"/>
        </w:rPr>
        <w:t>4,815</w:t>
      </w:r>
      <w:r w:rsidRPr="00EB2BD8">
        <w:rPr>
          <w:sz w:val="16"/>
        </w:rPr>
        <w:tab/>
      </w:r>
      <w:r w:rsidRPr="00EB2BD8">
        <w:rPr>
          <w:spacing w:val="-2"/>
          <w:sz w:val="16"/>
        </w:rPr>
        <w:t>5,021</w:t>
      </w:r>
    </w:p>
    <w:p w14:paraId="71128586" w14:textId="77777777" w:rsidR="00084F36" w:rsidRPr="00EB2BD8" w:rsidRDefault="00EB2BD8">
      <w:pPr>
        <w:pStyle w:val="BodyText"/>
        <w:spacing w:before="6"/>
        <w:rPr>
          <w:sz w:val="4"/>
        </w:rPr>
      </w:pPr>
      <w:r w:rsidRPr="00EB2BD8">
        <w:rPr>
          <w:noProof/>
        </w:rPr>
        <mc:AlternateContent>
          <mc:Choice Requires="wpg">
            <w:drawing>
              <wp:anchor distT="0" distB="0" distL="0" distR="0" simplePos="0" relativeHeight="251949056" behindDoc="1" locked="0" layoutInCell="1" allowOverlap="1" wp14:anchorId="38AF3F00" wp14:editId="14A5ABB9">
                <wp:simplePos x="0" y="0"/>
                <wp:positionH relativeFrom="page">
                  <wp:posOffset>540000</wp:posOffset>
                </wp:positionH>
                <wp:positionV relativeFrom="paragraph">
                  <wp:posOffset>49478</wp:posOffset>
                </wp:positionV>
                <wp:extent cx="6552565" cy="3175"/>
                <wp:effectExtent l="0" t="0" r="0" b="0"/>
                <wp:wrapTopAndBottom/>
                <wp:docPr id="289" name="Group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565" cy="3175"/>
                          <a:chOff x="0" y="0"/>
                          <a:chExt cx="6552565" cy="3175"/>
                        </a:xfrm>
                      </wpg:grpSpPr>
                      <wps:wsp>
                        <wps:cNvPr id="290" name="Graphic 290"/>
                        <wps:cNvSpPr/>
                        <wps:spPr>
                          <a:xfrm>
                            <a:off x="0" y="1587"/>
                            <a:ext cx="1548130" cy="1270"/>
                          </a:xfrm>
                          <a:custGeom>
                            <a:avLst/>
                            <a:gdLst/>
                            <a:ahLst/>
                            <a:cxnLst/>
                            <a:rect l="l" t="t" r="r" b="b"/>
                            <a:pathLst>
                              <a:path w="1548130">
                                <a:moveTo>
                                  <a:pt x="0" y="0"/>
                                </a:moveTo>
                                <a:lnTo>
                                  <a:pt x="1548003" y="0"/>
                                </a:lnTo>
                              </a:path>
                            </a:pathLst>
                          </a:custGeom>
                          <a:ln w="3175">
                            <a:solidFill>
                              <a:srgbClr val="000000"/>
                            </a:solidFill>
                            <a:prstDash val="solid"/>
                          </a:ln>
                        </wps:spPr>
                        <wps:bodyPr wrap="square" lIns="0" tIns="0" rIns="0" bIns="0" rtlCol="0">
                          <a:prstTxWarp prst="textNoShape">
                            <a:avLst/>
                          </a:prstTxWarp>
                          <a:noAutofit/>
                        </wps:bodyPr>
                      </wps:wsp>
                      <wps:wsp>
                        <wps:cNvPr id="291" name="Graphic 291"/>
                        <wps:cNvSpPr/>
                        <wps:spPr>
                          <a:xfrm>
                            <a:off x="1548000" y="1587"/>
                            <a:ext cx="540385" cy="1270"/>
                          </a:xfrm>
                          <a:custGeom>
                            <a:avLst/>
                            <a:gdLst/>
                            <a:ahLst/>
                            <a:cxnLst/>
                            <a:rect l="l" t="t" r="r" b="b"/>
                            <a:pathLst>
                              <a:path w="540385">
                                <a:moveTo>
                                  <a:pt x="0" y="0"/>
                                </a:moveTo>
                                <a:lnTo>
                                  <a:pt x="540004" y="0"/>
                                </a:lnTo>
                              </a:path>
                            </a:pathLst>
                          </a:custGeom>
                          <a:ln w="3175">
                            <a:solidFill>
                              <a:srgbClr val="000000"/>
                            </a:solidFill>
                            <a:prstDash val="solid"/>
                          </a:ln>
                        </wps:spPr>
                        <wps:bodyPr wrap="square" lIns="0" tIns="0" rIns="0" bIns="0" rtlCol="0">
                          <a:prstTxWarp prst="textNoShape">
                            <a:avLst/>
                          </a:prstTxWarp>
                          <a:noAutofit/>
                        </wps:bodyPr>
                      </wps:wsp>
                      <wps:wsp>
                        <wps:cNvPr id="292" name="Graphic 292"/>
                        <wps:cNvSpPr/>
                        <wps:spPr>
                          <a:xfrm>
                            <a:off x="2087999" y="1587"/>
                            <a:ext cx="540385" cy="1270"/>
                          </a:xfrm>
                          <a:custGeom>
                            <a:avLst/>
                            <a:gdLst/>
                            <a:ahLst/>
                            <a:cxnLst/>
                            <a:rect l="l" t="t" r="r" b="b"/>
                            <a:pathLst>
                              <a:path w="540385">
                                <a:moveTo>
                                  <a:pt x="0" y="0"/>
                                </a:moveTo>
                                <a:lnTo>
                                  <a:pt x="540004" y="0"/>
                                </a:lnTo>
                              </a:path>
                            </a:pathLst>
                          </a:custGeom>
                          <a:ln w="3175">
                            <a:solidFill>
                              <a:srgbClr val="000000"/>
                            </a:solidFill>
                            <a:prstDash val="solid"/>
                          </a:ln>
                        </wps:spPr>
                        <wps:bodyPr wrap="square" lIns="0" tIns="0" rIns="0" bIns="0" rtlCol="0">
                          <a:prstTxWarp prst="textNoShape">
                            <a:avLst/>
                          </a:prstTxWarp>
                          <a:noAutofit/>
                        </wps:bodyPr>
                      </wps:wsp>
                      <wps:wsp>
                        <wps:cNvPr id="293" name="Graphic 293"/>
                        <wps:cNvSpPr/>
                        <wps:spPr>
                          <a:xfrm>
                            <a:off x="2627999" y="1587"/>
                            <a:ext cx="27305" cy="1270"/>
                          </a:xfrm>
                          <a:custGeom>
                            <a:avLst/>
                            <a:gdLst/>
                            <a:ahLst/>
                            <a:cxnLst/>
                            <a:rect l="l" t="t" r="r" b="b"/>
                            <a:pathLst>
                              <a:path w="27305">
                                <a:moveTo>
                                  <a:pt x="0" y="0"/>
                                </a:moveTo>
                                <a:lnTo>
                                  <a:pt x="27063" y="0"/>
                                </a:lnTo>
                              </a:path>
                            </a:pathLst>
                          </a:custGeom>
                          <a:ln w="3175">
                            <a:solidFill>
                              <a:srgbClr val="000000"/>
                            </a:solidFill>
                            <a:prstDash val="solid"/>
                          </a:ln>
                        </wps:spPr>
                        <wps:bodyPr wrap="square" lIns="0" tIns="0" rIns="0" bIns="0" rtlCol="0">
                          <a:prstTxWarp prst="textNoShape">
                            <a:avLst/>
                          </a:prstTxWarp>
                          <a:noAutofit/>
                        </wps:bodyPr>
                      </wps:wsp>
                      <wps:wsp>
                        <wps:cNvPr id="294" name="Graphic 294"/>
                        <wps:cNvSpPr/>
                        <wps:spPr>
                          <a:xfrm>
                            <a:off x="2655060" y="1587"/>
                            <a:ext cx="513080" cy="1270"/>
                          </a:xfrm>
                          <a:custGeom>
                            <a:avLst/>
                            <a:gdLst/>
                            <a:ahLst/>
                            <a:cxnLst/>
                            <a:rect l="l" t="t" r="r" b="b"/>
                            <a:pathLst>
                              <a:path w="513080">
                                <a:moveTo>
                                  <a:pt x="0" y="0"/>
                                </a:moveTo>
                                <a:lnTo>
                                  <a:pt x="512940" y="0"/>
                                </a:lnTo>
                              </a:path>
                            </a:pathLst>
                          </a:custGeom>
                          <a:ln w="3175">
                            <a:solidFill>
                              <a:srgbClr val="000000"/>
                            </a:solidFill>
                            <a:prstDash val="solid"/>
                          </a:ln>
                        </wps:spPr>
                        <wps:bodyPr wrap="square" lIns="0" tIns="0" rIns="0" bIns="0" rtlCol="0">
                          <a:prstTxWarp prst="textNoShape">
                            <a:avLst/>
                          </a:prstTxWarp>
                          <a:noAutofit/>
                        </wps:bodyPr>
                      </wps:wsp>
                      <wps:wsp>
                        <wps:cNvPr id="295" name="Graphic 295"/>
                        <wps:cNvSpPr/>
                        <wps:spPr>
                          <a:xfrm>
                            <a:off x="3167999" y="1587"/>
                            <a:ext cx="33020" cy="1270"/>
                          </a:xfrm>
                          <a:custGeom>
                            <a:avLst/>
                            <a:gdLst/>
                            <a:ahLst/>
                            <a:cxnLst/>
                            <a:rect l="l" t="t" r="r" b="b"/>
                            <a:pathLst>
                              <a:path w="33020">
                                <a:moveTo>
                                  <a:pt x="0" y="0"/>
                                </a:moveTo>
                                <a:lnTo>
                                  <a:pt x="32969" y="0"/>
                                </a:lnTo>
                              </a:path>
                            </a:pathLst>
                          </a:custGeom>
                          <a:ln w="3175">
                            <a:solidFill>
                              <a:srgbClr val="000000"/>
                            </a:solidFill>
                            <a:prstDash val="solid"/>
                          </a:ln>
                        </wps:spPr>
                        <wps:bodyPr wrap="square" lIns="0" tIns="0" rIns="0" bIns="0" rtlCol="0">
                          <a:prstTxWarp prst="textNoShape">
                            <a:avLst/>
                          </a:prstTxWarp>
                          <a:noAutofit/>
                        </wps:bodyPr>
                      </wps:wsp>
                      <wps:wsp>
                        <wps:cNvPr id="296" name="Graphic 296"/>
                        <wps:cNvSpPr/>
                        <wps:spPr>
                          <a:xfrm>
                            <a:off x="3200970" y="1587"/>
                            <a:ext cx="507365" cy="1270"/>
                          </a:xfrm>
                          <a:custGeom>
                            <a:avLst/>
                            <a:gdLst/>
                            <a:ahLst/>
                            <a:cxnLst/>
                            <a:rect l="l" t="t" r="r" b="b"/>
                            <a:pathLst>
                              <a:path w="507365">
                                <a:moveTo>
                                  <a:pt x="0" y="0"/>
                                </a:moveTo>
                                <a:lnTo>
                                  <a:pt x="507034" y="0"/>
                                </a:lnTo>
                              </a:path>
                            </a:pathLst>
                          </a:custGeom>
                          <a:ln w="3175">
                            <a:solidFill>
                              <a:srgbClr val="000000"/>
                            </a:solidFill>
                            <a:prstDash val="solid"/>
                          </a:ln>
                        </wps:spPr>
                        <wps:bodyPr wrap="square" lIns="0" tIns="0" rIns="0" bIns="0" rtlCol="0">
                          <a:prstTxWarp prst="textNoShape">
                            <a:avLst/>
                          </a:prstTxWarp>
                          <a:noAutofit/>
                        </wps:bodyPr>
                      </wps:wsp>
                      <wps:wsp>
                        <wps:cNvPr id="297" name="Graphic 297"/>
                        <wps:cNvSpPr/>
                        <wps:spPr>
                          <a:xfrm>
                            <a:off x="3708000" y="1587"/>
                            <a:ext cx="31750" cy="1270"/>
                          </a:xfrm>
                          <a:custGeom>
                            <a:avLst/>
                            <a:gdLst/>
                            <a:ahLst/>
                            <a:cxnLst/>
                            <a:rect l="l" t="t" r="r" b="b"/>
                            <a:pathLst>
                              <a:path w="31750">
                                <a:moveTo>
                                  <a:pt x="0" y="0"/>
                                </a:moveTo>
                                <a:lnTo>
                                  <a:pt x="31750" y="0"/>
                                </a:lnTo>
                              </a:path>
                            </a:pathLst>
                          </a:custGeom>
                          <a:ln w="3175">
                            <a:solidFill>
                              <a:srgbClr val="000000"/>
                            </a:solidFill>
                            <a:prstDash val="solid"/>
                          </a:ln>
                        </wps:spPr>
                        <wps:bodyPr wrap="square" lIns="0" tIns="0" rIns="0" bIns="0" rtlCol="0">
                          <a:prstTxWarp prst="textNoShape">
                            <a:avLst/>
                          </a:prstTxWarp>
                          <a:noAutofit/>
                        </wps:bodyPr>
                      </wps:wsp>
                      <wps:wsp>
                        <wps:cNvPr id="298" name="Graphic 298"/>
                        <wps:cNvSpPr/>
                        <wps:spPr>
                          <a:xfrm>
                            <a:off x="3739750" y="1587"/>
                            <a:ext cx="1732280" cy="1270"/>
                          </a:xfrm>
                          <a:custGeom>
                            <a:avLst/>
                            <a:gdLst/>
                            <a:ahLst/>
                            <a:cxnLst/>
                            <a:rect l="l" t="t" r="r" b="b"/>
                            <a:pathLst>
                              <a:path w="1732280">
                                <a:moveTo>
                                  <a:pt x="0" y="0"/>
                                </a:moveTo>
                                <a:lnTo>
                                  <a:pt x="1732254" y="0"/>
                                </a:lnTo>
                              </a:path>
                            </a:pathLst>
                          </a:custGeom>
                          <a:ln w="3175">
                            <a:solidFill>
                              <a:srgbClr val="000000"/>
                            </a:solidFill>
                            <a:prstDash val="solid"/>
                          </a:ln>
                        </wps:spPr>
                        <wps:bodyPr wrap="square" lIns="0" tIns="0" rIns="0" bIns="0" rtlCol="0">
                          <a:prstTxWarp prst="textNoShape">
                            <a:avLst/>
                          </a:prstTxWarp>
                          <a:noAutofit/>
                        </wps:bodyPr>
                      </wps:wsp>
                      <wps:wsp>
                        <wps:cNvPr id="299" name="Graphic 299"/>
                        <wps:cNvSpPr/>
                        <wps:spPr>
                          <a:xfrm>
                            <a:off x="5471999" y="1587"/>
                            <a:ext cx="540385" cy="1270"/>
                          </a:xfrm>
                          <a:custGeom>
                            <a:avLst/>
                            <a:gdLst/>
                            <a:ahLst/>
                            <a:cxnLst/>
                            <a:rect l="l" t="t" r="r" b="b"/>
                            <a:pathLst>
                              <a:path w="540385">
                                <a:moveTo>
                                  <a:pt x="0" y="0"/>
                                </a:moveTo>
                                <a:lnTo>
                                  <a:pt x="540004" y="0"/>
                                </a:lnTo>
                              </a:path>
                            </a:pathLst>
                          </a:custGeom>
                          <a:ln w="3175">
                            <a:solidFill>
                              <a:srgbClr val="000000"/>
                            </a:solidFill>
                            <a:prstDash val="solid"/>
                          </a:ln>
                        </wps:spPr>
                        <wps:bodyPr wrap="square" lIns="0" tIns="0" rIns="0" bIns="0" rtlCol="0">
                          <a:prstTxWarp prst="textNoShape">
                            <a:avLst/>
                          </a:prstTxWarp>
                          <a:noAutofit/>
                        </wps:bodyPr>
                      </wps:wsp>
                      <wps:wsp>
                        <wps:cNvPr id="300" name="Graphic 300"/>
                        <wps:cNvSpPr/>
                        <wps:spPr>
                          <a:xfrm>
                            <a:off x="6011999" y="1587"/>
                            <a:ext cx="540385" cy="1270"/>
                          </a:xfrm>
                          <a:custGeom>
                            <a:avLst/>
                            <a:gdLst/>
                            <a:ahLst/>
                            <a:cxnLst/>
                            <a:rect l="l" t="t" r="r" b="b"/>
                            <a:pathLst>
                              <a:path w="540385">
                                <a:moveTo>
                                  <a:pt x="0" y="0"/>
                                </a:moveTo>
                                <a:lnTo>
                                  <a:pt x="5400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AB798A" id="Group 289" o:spid="_x0000_s1026" alt="&quot;&quot;" style="position:absolute;margin-left:42.5pt;margin-top:3.9pt;width:515.95pt;height:.25pt;z-index:-251367424;mso-wrap-distance-left:0;mso-wrap-distance-right:0;mso-position-horizontal-relative:page" coordsize="655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">
                <v:shape id="Graphic 290" o:spid="_x0000_s1027" style="position:absolute;top:15;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" path="m,l1548003,e" filled="f" strokeweight=".25pt">
                  <v:path arrowok="t"/>
                </v:shape>
                <v:shape id="Graphic 291" o:spid="_x0000_s1028" style="position:absolute;left:15480;top:15;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" path="m,l540004,e" filled="f" strokeweight=".25pt">
                  <v:path arrowok="t"/>
                </v:shape>
                <v:shape id="Graphic 292" o:spid="_x0000_s1029" style="position:absolute;left:20879;top:15;width:5404;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" path="m,l540004,e" filled="f" strokeweight=".25pt">
                  <v:path arrowok="t"/>
                </v:shape>
                <v:shape id="Graphic 293" o:spid="_x0000_s1030" style="position:absolute;left:26279;top:15;width:274;height:13;visibility:visible;mso-wrap-style:square;v-text-anchor:top" coordsize="27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" path="m,l27063,e" filled="f" strokeweight=".25pt">
                  <v:path arrowok="t"/>
                </v:shape>
                <v:shape id="Graphic 294" o:spid="_x0000_s1031" style="position:absolute;left:26550;top:15;width:5131;height:13;visibility:visible;mso-wrap-style:square;v-text-anchor:top" coordsize="513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" path="m,l512940,e" filled="f" strokeweight=".25pt">
                  <v:path arrowok="t"/>
                </v:shape>
                <v:shape id="Graphic 295" o:spid="_x0000_s1032" style="position:absolute;left:31679;top:15;width:331;height:13;visibility:visible;mso-wrap-style:square;v-text-anchor:top" coordsize="33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" path="m,l32969,e" filled="f" strokeweight=".25pt">
                  <v:path arrowok="t"/>
                </v:shape>
                <v:shape id="Graphic 296" o:spid="_x0000_s1033" style="position:absolute;left:32009;top:15;width:5074;height:13;visibility:visible;mso-wrap-style:square;v-text-anchor:top" coordsize="507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" path="m,l507034,e" filled="f" strokeweight=".25pt">
                  <v:path arrowok="t"/>
                </v:shape>
                <v:shape id="Graphic 297" o:spid="_x0000_s1034" style="position:absolute;left:37080;top:15;width:317;height:13;visibility:visible;mso-wrap-style:square;v-text-anchor:top" coordsize="3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" path="m,l31750,e" filled="f" strokeweight=".25pt">
                  <v:path arrowok="t"/>
                </v:shape>
                <v:shape id="Graphic 298" o:spid="_x0000_s1035" style="position:absolute;left:37397;top:15;width:17323;height:13;visibility:visible;mso-wrap-style:square;v-text-anchor:top" coordsize="1732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" path="m,l1732254,e" filled="f" strokeweight=".25pt">
                  <v:path arrowok="t"/>
                </v:shape>
                <v:shape id="Graphic 299" o:spid="_x0000_s1036" style="position:absolute;left:54719;top:15;width:5404;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" path="m,l540004,e" filled="f" strokeweight=".25pt">
                  <v:path arrowok="t"/>
                </v:shape>
                <v:shape id="Graphic 300" o:spid="_x0000_s1037" style="position:absolute;left:60119;top:15;width:5404;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" path="m,l540004,e" filled="f" strokeweight=".25pt">
                  <v:path arrowok="t"/>
                </v:shape>
                <w10:wrap type="topAndBottom" anchorx="page"/>
              </v:group>
            </w:pict>
          </mc:Fallback>
        </mc:AlternateContent>
      </w:r>
    </w:p>
    <w:p w14:paraId="6E9960C9" w14:textId="77777777" w:rsidR="00084F36" w:rsidRPr="00EB2BD8" w:rsidRDefault="00084F36">
      <w:pPr>
        <w:pStyle w:val="BodyText"/>
      </w:pPr>
    </w:p>
    <w:p w14:paraId="0D22E9A5" w14:textId="77777777" w:rsidR="00084F36" w:rsidRPr="00EB2BD8" w:rsidRDefault="00084F36">
      <w:pPr>
        <w:pStyle w:val="BodyText"/>
        <w:spacing w:before="7"/>
        <w:rPr>
          <w:sz w:val="14"/>
        </w:rPr>
      </w:pPr>
    </w:p>
    <w:p w14:paraId="0F6A24B4" w14:textId="33677D7F" w:rsidR="00084F36" w:rsidRPr="00EB2BD8" w:rsidRDefault="00EB2BD8">
      <w:pPr>
        <w:spacing w:before="1"/>
        <w:ind w:right="5516"/>
        <w:jc w:val="right"/>
        <w:rPr>
          <w:i/>
          <w:sz w:val="14"/>
        </w:rPr>
      </w:pPr>
      <w:r w:rsidRPr="00EB2BD8">
        <w:rPr>
          <w:i/>
          <w:sz w:val="14"/>
        </w:rPr>
        <w:t>8</w:t>
      </w:r>
      <w:r w:rsidR="00DF2803">
        <w:rPr>
          <w:i/>
          <w:sz w:val="14"/>
        </w:rPr>
        <w:t>-</w:t>
      </w:r>
      <w:r w:rsidRPr="00EB2BD8">
        <w:rPr>
          <w:i/>
          <w:sz w:val="14"/>
        </w:rPr>
        <w:t>For</w:t>
      </w:r>
      <w:r w:rsidRPr="00EB2BD8">
        <w:rPr>
          <w:i/>
          <w:spacing w:val="-6"/>
          <w:sz w:val="14"/>
        </w:rPr>
        <w:t xml:space="preserve"> </w:t>
      </w:r>
      <w:r w:rsidRPr="00EB2BD8">
        <w:rPr>
          <w:i/>
          <w:sz w:val="14"/>
        </w:rPr>
        <w:t>year-on-year</w:t>
      </w:r>
      <w:r w:rsidRPr="00EB2BD8">
        <w:rPr>
          <w:i/>
          <w:spacing w:val="-5"/>
          <w:sz w:val="14"/>
        </w:rPr>
        <w:t xml:space="preserve"> </w:t>
      </w:r>
      <w:r w:rsidRPr="00EB2BD8">
        <w:rPr>
          <w:i/>
          <w:sz w:val="14"/>
        </w:rPr>
        <w:t>comparison,</w:t>
      </w:r>
      <w:r w:rsidRPr="00EB2BD8">
        <w:rPr>
          <w:i/>
          <w:spacing w:val="-5"/>
          <w:sz w:val="14"/>
        </w:rPr>
        <w:t xml:space="preserve"> </w:t>
      </w:r>
      <w:r w:rsidRPr="00EB2BD8">
        <w:rPr>
          <w:i/>
          <w:sz w:val="14"/>
        </w:rPr>
        <w:t>this</w:t>
      </w:r>
      <w:r w:rsidRPr="00EB2BD8">
        <w:rPr>
          <w:i/>
          <w:spacing w:val="-5"/>
          <w:sz w:val="14"/>
        </w:rPr>
        <w:t xml:space="preserve"> </w:t>
      </w:r>
      <w:r w:rsidRPr="00EB2BD8">
        <w:rPr>
          <w:i/>
          <w:sz w:val="14"/>
        </w:rPr>
        <w:t>figure</w:t>
      </w:r>
      <w:r w:rsidRPr="00EB2BD8">
        <w:rPr>
          <w:i/>
          <w:spacing w:val="-6"/>
          <w:sz w:val="14"/>
        </w:rPr>
        <w:t xml:space="preserve"> </w:t>
      </w:r>
      <w:r w:rsidRPr="00EB2BD8">
        <w:rPr>
          <w:i/>
          <w:sz w:val="14"/>
        </w:rPr>
        <w:t>does</w:t>
      </w:r>
      <w:r w:rsidRPr="00EB2BD8">
        <w:rPr>
          <w:i/>
          <w:spacing w:val="-5"/>
          <w:sz w:val="14"/>
        </w:rPr>
        <w:t xml:space="preserve"> </w:t>
      </w:r>
      <w:r w:rsidRPr="00EB2BD8">
        <w:rPr>
          <w:i/>
          <w:sz w:val="14"/>
        </w:rPr>
        <w:t>not</w:t>
      </w:r>
      <w:r w:rsidRPr="00EB2BD8">
        <w:rPr>
          <w:i/>
          <w:spacing w:val="-5"/>
          <w:sz w:val="14"/>
        </w:rPr>
        <w:t xml:space="preserve"> </w:t>
      </w:r>
      <w:r w:rsidRPr="00EB2BD8">
        <w:rPr>
          <w:i/>
          <w:sz w:val="14"/>
        </w:rPr>
        <w:t>include</w:t>
      </w:r>
      <w:r w:rsidRPr="00EB2BD8">
        <w:rPr>
          <w:i/>
          <w:spacing w:val="-5"/>
          <w:sz w:val="14"/>
        </w:rPr>
        <w:t xml:space="preserve"> </w:t>
      </w:r>
      <w:r w:rsidRPr="00EB2BD8">
        <w:rPr>
          <w:i/>
          <w:sz w:val="14"/>
        </w:rPr>
        <w:t>returned</w:t>
      </w:r>
      <w:r w:rsidRPr="00EB2BD8">
        <w:rPr>
          <w:i/>
          <w:spacing w:val="-6"/>
          <w:sz w:val="14"/>
        </w:rPr>
        <w:t xml:space="preserve"> </w:t>
      </w:r>
      <w:r w:rsidRPr="00EB2BD8">
        <w:rPr>
          <w:i/>
          <w:spacing w:val="-2"/>
          <w:sz w:val="14"/>
        </w:rPr>
        <w:t>applications.</w:t>
      </w:r>
    </w:p>
    <w:p w14:paraId="760EC4FC" w14:textId="77777777" w:rsidR="00084F36" w:rsidRPr="00EB2BD8" w:rsidRDefault="00084F36">
      <w:pPr>
        <w:jc w:val="right"/>
        <w:rPr>
          <w:sz w:val="14"/>
        </w:rPr>
        <w:sectPr w:rsidR="00084F36" w:rsidRPr="00EB2BD8" w:rsidSect="006D75B2">
          <w:footerReference w:type="even" r:id="rId69"/>
          <w:footerReference w:type="default" r:id="rId70"/>
          <w:pgSz w:w="11910" w:h="16840"/>
          <w:pgMar w:top="1100" w:right="0" w:bottom="700" w:left="0" w:header="0" w:footer="515" w:gutter="0"/>
          <w:pgNumType w:start="32"/>
          <w:cols w:space="720"/>
        </w:sectPr>
      </w:pPr>
    </w:p>
    <w:p w14:paraId="2FA7EF35" w14:textId="77777777" w:rsidR="00084F36" w:rsidRPr="00EB2BD8" w:rsidRDefault="00084F36">
      <w:pPr>
        <w:pStyle w:val="BodyText"/>
        <w:rPr>
          <w:i/>
          <w:sz w:val="20"/>
        </w:rPr>
      </w:pPr>
    </w:p>
    <w:p w14:paraId="5890A13D" w14:textId="77777777" w:rsidR="00084F36" w:rsidRPr="00EB2BD8" w:rsidRDefault="00084F36">
      <w:pPr>
        <w:pStyle w:val="BodyText"/>
        <w:rPr>
          <w:i/>
          <w:sz w:val="20"/>
        </w:rPr>
      </w:pPr>
    </w:p>
    <w:p w14:paraId="3F868AF6" w14:textId="77777777" w:rsidR="00084F36" w:rsidRPr="00EB2BD8" w:rsidRDefault="00084F36">
      <w:pPr>
        <w:pStyle w:val="BodyText"/>
        <w:rPr>
          <w:i/>
          <w:sz w:val="20"/>
        </w:rPr>
      </w:pPr>
    </w:p>
    <w:p w14:paraId="278DC521" w14:textId="77777777" w:rsidR="00084F36" w:rsidRPr="00EB2BD8" w:rsidRDefault="00084F36">
      <w:pPr>
        <w:pStyle w:val="BodyText"/>
        <w:rPr>
          <w:i/>
          <w:sz w:val="20"/>
        </w:rPr>
      </w:pPr>
    </w:p>
    <w:p w14:paraId="04D03A97" w14:textId="77777777" w:rsidR="00084F36" w:rsidRPr="00EB2BD8" w:rsidRDefault="00084F36">
      <w:pPr>
        <w:pStyle w:val="BodyText"/>
        <w:spacing w:before="4"/>
        <w:rPr>
          <w:i/>
          <w:sz w:val="17"/>
        </w:rPr>
      </w:pPr>
    </w:p>
    <w:p w14:paraId="43645DCA" w14:textId="77777777" w:rsidR="00084F36" w:rsidRPr="00EB2BD8" w:rsidRDefault="00EB2BD8" w:rsidP="00EB2BD8">
      <w:pPr>
        <w:pStyle w:val="Heading3"/>
      </w:pPr>
      <w:bookmarkStart w:id="74" w:name="_Toc150762376"/>
      <w:r w:rsidRPr="00EB2BD8">
        <w:t>Table</w:t>
      </w:r>
      <w:r w:rsidRPr="00EB2BD8">
        <w:rPr>
          <w:spacing w:val="-13"/>
        </w:rPr>
        <w:t xml:space="preserve"> </w:t>
      </w:r>
      <w:r w:rsidRPr="00EB2BD8">
        <w:t>3:</w:t>
      </w:r>
      <w:r w:rsidRPr="00EB2BD8">
        <w:rPr>
          <w:spacing w:val="38"/>
        </w:rPr>
        <w:t xml:space="preserve"> </w:t>
      </w:r>
      <w:r w:rsidRPr="00EB2BD8">
        <w:t>Building</w:t>
      </w:r>
      <w:r w:rsidRPr="00EB2BD8">
        <w:rPr>
          <w:spacing w:val="-13"/>
        </w:rPr>
        <w:t xml:space="preserve"> </w:t>
      </w:r>
      <w:r w:rsidRPr="00EB2BD8">
        <w:t>and</w:t>
      </w:r>
      <w:r w:rsidRPr="00EB2BD8">
        <w:rPr>
          <w:spacing w:val="-13"/>
        </w:rPr>
        <w:t xml:space="preserve"> </w:t>
      </w:r>
      <w:r w:rsidRPr="00EB2BD8">
        <w:t>Plumbing</w:t>
      </w:r>
      <w:r w:rsidRPr="00EB2BD8">
        <w:rPr>
          <w:spacing w:val="-12"/>
        </w:rPr>
        <w:t xml:space="preserve"> </w:t>
      </w:r>
      <w:r w:rsidRPr="00EB2BD8">
        <w:rPr>
          <w:spacing w:val="-2"/>
        </w:rPr>
        <w:t>Activity</w:t>
      </w:r>
      <w:bookmarkEnd w:id="74"/>
    </w:p>
    <w:p w14:paraId="7C6EEB4A" w14:textId="77777777" w:rsidR="00084F36" w:rsidRPr="00EB2BD8" w:rsidRDefault="00084F36">
      <w:pPr>
        <w:pStyle w:val="BodyText"/>
        <w:spacing w:before="2" w:after="1"/>
        <w:rPr>
          <w:sz w:val="22"/>
        </w:rPr>
      </w:pPr>
    </w:p>
    <w:tbl>
      <w:tblPr>
        <w:tblW w:w="0" w:type="auto"/>
        <w:tblInd w:w="857" w:type="dxa"/>
        <w:tblLayout w:type="fixed"/>
        <w:tblCellMar>
          <w:left w:w="0" w:type="dxa"/>
          <w:right w:w="0" w:type="dxa"/>
        </w:tblCellMar>
        <w:tblLook w:val="01E0" w:firstRow="1" w:lastRow="1" w:firstColumn="1" w:lastColumn="1" w:noHBand="0" w:noVBand="0"/>
      </w:tblPr>
      <w:tblGrid>
        <w:gridCol w:w="2318"/>
        <w:gridCol w:w="1482"/>
        <w:gridCol w:w="1302"/>
        <w:gridCol w:w="2469"/>
        <w:gridCol w:w="1549"/>
        <w:gridCol w:w="1085"/>
      </w:tblGrid>
      <w:tr w:rsidR="00EB2BD8" w:rsidRPr="00EB2BD8" w14:paraId="6E0394E1" w14:textId="77777777">
        <w:trPr>
          <w:trHeight w:val="386"/>
        </w:trPr>
        <w:tc>
          <w:tcPr>
            <w:tcW w:w="2318" w:type="dxa"/>
            <w:shd w:val="clear" w:color="auto" w:fill="005F83"/>
          </w:tcPr>
          <w:p w14:paraId="46457F14" w14:textId="77777777" w:rsidR="00084F36" w:rsidRPr="00DB0F6B" w:rsidRDefault="00EB2BD8">
            <w:pPr>
              <w:pStyle w:val="TableParagraph"/>
              <w:spacing w:before="118"/>
              <w:ind w:left="113"/>
              <w:rPr>
                <w:color w:val="FFFFFF" w:themeColor="background1"/>
                <w:sz w:val="16"/>
              </w:rPr>
            </w:pPr>
            <w:r w:rsidRPr="00DB0F6B">
              <w:rPr>
                <w:color w:val="FFFFFF" w:themeColor="background1"/>
                <w:spacing w:val="-2"/>
                <w:sz w:val="16"/>
              </w:rPr>
              <w:t>Building</w:t>
            </w:r>
          </w:p>
        </w:tc>
        <w:tc>
          <w:tcPr>
            <w:tcW w:w="1482" w:type="dxa"/>
            <w:shd w:val="clear" w:color="auto" w:fill="005F83"/>
          </w:tcPr>
          <w:p w14:paraId="7328EC38" w14:textId="77777777" w:rsidR="00084F36" w:rsidRPr="00DB0F6B" w:rsidRDefault="00084F36">
            <w:pPr>
              <w:pStyle w:val="TableParagraph"/>
              <w:rPr>
                <w:rFonts w:ascii="Times New Roman"/>
                <w:color w:val="FFFFFF" w:themeColor="background1"/>
                <w:sz w:val="14"/>
              </w:rPr>
            </w:pPr>
          </w:p>
        </w:tc>
        <w:tc>
          <w:tcPr>
            <w:tcW w:w="1302" w:type="dxa"/>
            <w:shd w:val="clear" w:color="auto" w:fill="005F83"/>
          </w:tcPr>
          <w:p w14:paraId="03FB04E7" w14:textId="77777777" w:rsidR="00084F36" w:rsidRPr="00DB0F6B" w:rsidRDefault="00084F36">
            <w:pPr>
              <w:pStyle w:val="TableParagraph"/>
              <w:rPr>
                <w:rFonts w:ascii="Times New Roman"/>
                <w:color w:val="FFFFFF" w:themeColor="background1"/>
                <w:sz w:val="14"/>
              </w:rPr>
            </w:pPr>
          </w:p>
        </w:tc>
        <w:tc>
          <w:tcPr>
            <w:tcW w:w="5103" w:type="dxa"/>
            <w:gridSpan w:val="3"/>
            <w:shd w:val="clear" w:color="auto" w:fill="005F83"/>
          </w:tcPr>
          <w:p w14:paraId="4FF7BC67" w14:textId="77777777" w:rsidR="00084F36" w:rsidRPr="00DB0F6B" w:rsidRDefault="00EB2BD8">
            <w:pPr>
              <w:pStyle w:val="TableParagraph"/>
              <w:spacing w:before="118"/>
              <w:ind w:left="113"/>
              <w:rPr>
                <w:color w:val="FFFFFF" w:themeColor="background1"/>
                <w:sz w:val="16"/>
              </w:rPr>
            </w:pPr>
            <w:r w:rsidRPr="00DB0F6B">
              <w:rPr>
                <w:color w:val="FFFFFF" w:themeColor="background1"/>
                <w:spacing w:val="-2"/>
                <w:sz w:val="16"/>
              </w:rPr>
              <w:t>Plumbing</w:t>
            </w:r>
          </w:p>
        </w:tc>
      </w:tr>
      <w:tr w:rsidR="00EB2BD8" w:rsidRPr="00EB2BD8" w14:paraId="7F62AC1B" w14:textId="77777777">
        <w:trPr>
          <w:trHeight w:val="320"/>
        </w:trPr>
        <w:tc>
          <w:tcPr>
            <w:tcW w:w="2318" w:type="dxa"/>
            <w:shd w:val="clear" w:color="auto" w:fill="E5F5FF"/>
          </w:tcPr>
          <w:p w14:paraId="1A73774C" w14:textId="77777777" w:rsidR="00084F36" w:rsidRPr="00EB2BD8" w:rsidRDefault="00084F36">
            <w:pPr>
              <w:pStyle w:val="TableParagraph"/>
              <w:rPr>
                <w:rFonts w:ascii="Times New Roman"/>
                <w:sz w:val="14"/>
              </w:rPr>
            </w:pPr>
          </w:p>
        </w:tc>
        <w:tc>
          <w:tcPr>
            <w:tcW w:w="1482" w:type="dxa"/>
            <w:shd w:val="clear" w:color="auto" w:fill="E5F5FF"/>
          </w:tcPr>
          <w:p w14:paraId="5AB46650" w14:textId="77777777" w:rsidR="00084F36" w:rsidRPr="00EB2BD8" w:rsidRDefault="00EB2BD8">
            <w:pPr>
              <w:pStyle w:val="TableParagraph"/>
              <w:spacing w:before="85"/>
              <w:ind w:right="193"/>
              <w:jc w:val="right"/>
              <w:rPr>
                <w:sz w:val="16"/>
              </w:rPr>
            </w:pPr>
            <w:r w:rsidRPr="00EB2BD8">
              <w:rPr>
                <w:spacing w:val="-2"/>
                <w:sz w:val="16"/>
              </w:rPr>
              <w:t>2022–23</w:t>
            </w:r>
          </w:p>
        </w:tc>
        <w:tc>
          <w:tcPr>
            <w:tcW w:w="1302" w:type="dxa"/>
            <w:shd w:val="clear" w:color="auto" w:fill="E5F5FF"/>
          </w:tcPr>
          <w:p w14:paraId="55C604BF" w14:textId="77777777" w:rsidR="00084F36" w:rsidRPr="00EB2BD8" w:rsidRDefault="00EB2BD8">
            <w:pPr>
              <w:pStyle w:val="TableParagraph"/>
              <w:spacing w:before="85"/>
              <w:ind w:right="78"/>
              <w:jc w:val="right"/>
              <w:rPr>
                <w:sz w:val="16"/>
              </w:rPr>
            </w:pPr>
            <w:r w:rsidRPr="00EB2BD8">
              <w:rPr>
                <w:w w:val="85"/>
                <w:sz w:val="16"/>
              </w:rPr>
              <w:t>2021-</w:t>
            </w:r>
            <w:r w:rsidRPr="00EB2BD8">
              <w:rPr>
                <w:spacing w:val="-5"/>
                <w:w w:val="95"/>
                <w:sz w:val="16"/>
              </w:rPr>
              <w:t>22</w:t>
            </w:r>
          </w:p>
        </w:tc>
        <w:tc>
          <w:tcPr>
            <w:tcW w:w="2469" w:type="dxa"/>
            <w:shd w:val="clear" w:color="auto" w:fill="E5F5FF"/>
          </w:tcPr>
          <w:p w14:paraId="28B0ECA1" w14:textId="77777777" w:rsidR="00084F36" w:rsidRPr="00EB2BD8" w:rsidRDefault="00084F36">
            <w:pPr>
              <w:pStyle w:val="TableParagraph"/>
              <w:rPr>
                <w:rFonts w:ascii="Times New Roman"/>
                <w:sz w:val="14"/>
              </w:rPr>
            </w:pPr>
          </w:p>
        </w:tc>
        <w:tc>
          <w:tcPr>
            <w:tcW w:w="1549" w:type="dxa"/>
            <w:shd w:val="clear" w:color="auto" w:fill="E5F5FF"/>
          </w:tcPr>
          <w:p w14:paraId="26729CC7" w14:textId="77777777" w:rsidR="00084F36" w:rsidRPr="00EB2BD8" w:rsidRDefault="00EB2BD8">
            <w:pPr>
              <w:pStyle w:val="TableParagraph"/>
              <w:spacing w:before="85"/>
              <w:ind w:right="411"/>
              <w:jc w:val="right"/>
              <w:rPr>
                <w:sz w:val="16"/>
              </w:rPr>
            </w:pPr>
            <w:r w:rsidRPr="00EB2BD8">
              <w:rPr>
                <w:spacing w:val="-2"/>
                <w:sz w:val="16"/>
              </w:rPr>
              <w:t>2022–23</w:t>
            </w:r>
          </w:p>
        </w:tc>
        <w:tc>
          <w:tcPr>
            <w:tcW w:w="1085" w:type="dxa"/>
            <w:shd w:val="clear" w:color="auto" w:fill="E5F5FF"/>
          </w:tcPr>
          <w:p w14:paraId="15F5524A" w14:textId="77777777" w:rsidR="00084F36" w:rsidRPr="00EB2BD8" w:rsidRDefault="00EB2BD8">
            <w:pPr>
              <w:pStyle w:val="TableParagraph"/>
              <w:spacing w:before="85"/>
              <w:ind w:right="79"/>
              <w:jc w:val="right"/>
              <w:rPr>
                <w:sz w:val="16"/>
              </w:rPr>
            </w:pPr>
            <w:r w:rsidRPr="00EB2BD8">
              <w:rPr>
                <w:w w:val="85"/>
                <w:sz w:val="16"/>
              </w:rPr>
              <w:t>2021-</w:t>
            </w:r>
            <w:r w:rsidRPr="00EB2BD8">
              <w:rPr>
                <w:spacing w:val="-5"/>
                <w:w w:val="95"/>
                <w:sz w:val="16"/>
              </w:rPr>
              <w:t>22</w:t>
            </w:r>
          </w:p>
        </w:tc>
      </w:tr>
      <w:tr w:rsidR="00EB2BD8" w:rsidRPr="00EB2BD8" w14:paraId="5D9E207B" w14:textId="77777777">
        <w:trPr>
          <w:trHeight w:val="844"/>
        </w:trPr>
        <w:tc>
          <w:tcPr>
            <w:tcW w:w="2318" w:type="dxa"/>
            <w:tcBorders>
              <w:bottom w:val="single" w:sz="2" w:space="0" w:color="000000"/>
            </w:tcBorders>
          </w:tcPr>
          <w:p w14:paraId="0771961A" w14:textId="77777777" w:rsidR="00084F36" w:rsidRPr="00EB2BD8" w:rsidRDefault="00EB2BD8">
            <w:pPr>
              <w:pStyle w:val="TableParagraph"/>
              <w:spacing w:before="119"/>
              <w:ind w:left="113"/>
              <w:rPr>
                <w:sz w:val="16"/>
              </w:rPr>
            </w:pPr>
            <w:r w:rsidRPr="00EB2BD8">
              <w:rPr>
                <w:spacing w:val="-2"/>
                <w:sz w:val="16"/>
              </w:rPr>
              <w:t>Building</w:t>
            </w:r>
            <w:r w:rsidRPr="00EB2BD8">
              <w:rPr>
                <w:spacing w:val="-3"/>
                <w:sz w:val="16"/>
              </w:rPr>
              <w:t xml:space="preserve"> </w:t>
            </w:r>
            <w:r w:rsidRPr="00EB2BD8">
              <w:rPr>
                <w:spacing w:val="-2"/>
                <w:sz w:val="16"/>
              </w:rPr>
              <w:t>permits reported</w:t>
            </w:r>
          </w:p>
        </w:tc>
        <w:tc>
          <w:tcPr>
            <w:tcW w:w="1482" w:type="dxa"/>
            <w:tcBorders>
              <w:bottom w:val="single" w:sz="2" w:space="0" w:color="000000"/>
            </w:tcBorders>
          </w:tcPr>
          <w:p w14:paraId="2B981486" w14:textId="77777777" w:rsidR="00084F36" w:rsidRPr="00EB2BD8" w:rsidRDefault="00EB2BD8">
            <w:pPr>
              <w:pStyle w:val="TableParagraph"/>
              <w:spacing w:before="119"/>
              <w:ind w:right="227"/>
              <w:jc w:val="right"/>
              <w:rPr>
                <w:sz w:val="16"/>
              </w:rPr>
            </w:pPr>
            <w:r w:rsidRPr="00EB2BD8">
              <w:rPr>
                <w:spacing w:val="-2"/>
                <w:w w:val="90"/>
                <w:sz w:val="16"/>
              </w:rPr>
              <w:t>105,514</w:t>
            </w:r>
          </w:p>
        </w:tc>
        <w:tc>
          <w:tcPr>
            <w:tcW w:w="1302" w:type="dxa"/>
            <w:tcBorders>
              <w:bottom w:val="single" w:sz="2" w:space="0" w:color="000000"/>
            </w:tcBorders>
          </w:tcPr>
          <w:p w14:paraId="0458318C" w14:textId="77777777" w:rsidR="00084F36" w:rsidRPr="00EB2BD8" w:rsidRDefault="00EB2BD8">
            <w:pPr>
              <w:pStyle w:val="TableParagraph"/>
              <w:spacing w:before="119"/>
              <w:ind w:right="111"/>
              <w:jc w:val="right"/>
              <w:rPr>
                <w:sz w:val="16"/>
              </w:rPr>
            </w:pPr>
            <w:r w:rsidRPr="00EB2BD8">
              <w:rPr>
                <w:spacing w:val="-2"/>
                <w:w w:val="90"/>
                <w:sz w:val="16"/>
              </w:rPr>
              <w:t>119,970</w:t>
            </w:r>
          </w:p>
        </w:tc>
        <w:tc>
          <w:tcPr>
            <w:tcW w:w="2469" w:type="dxa"/>
            <w:tcBorders>
              <w:bottom w:val="single" w:sz="2" w:space="0" w:color="000000"/>
            </w:tcBorders>
            <w:shd w:val="clear" w:color="auto" w:fill="D1E9F1"/>
          </w:tcPr>
          <w:p w14:paraId="46718BAB" w14:textId="77777777" w:rsidR="00084F36" w:rsidRPr="00EB2BD8" w:rsidRDefault="00EB2BD8">
            <w:pPr>
              <w:pStyle w:val="TableParagraph"/>
              <w:spacing w:before="119" w:line="292" w:lineRule="auto"/>
              <w:ind w:left="113" w:right="179"/>
              <w:rPr>
                <w:sz w:val="16"/>
              </w:rPr>
            </w:pPr>
            <w:r w:rsidRPr="00EB2BD8">
              <w:rPr>
                <w:sz w:val="16"/>
              </w:rPr>
              <w:t>Compliance</w:t>
            </w:r>
            <w:r w:rsidRPr="00EB2BD8">
              <w:rPr>
                <w:spacing w:val="-13"/>
                <w:sz w:val="16"/>
              </w:rPr>
              <w:t xml:space="preserve"> </w:t>
            </w:r>
            <w:r w:rsidRPr="00EB2BD8">
              <w:rPr>
                <w:sz w:val="16"/>
              </w:rPr>
              <w:t>certificates lodged by licensed plumbing</w:t>
            </w:r>
            <w:r w:rsidRPr="00EB2BD8">
              <w:rPr>
                <w:spacing w:val="-13"/>
                <w:sz w:val="16"/>
              </w:rPr>
              <w:t xml:space="preserve"> </w:t>
            </w:r>
            <w:r w:rsidRPr="00EB2BD8">
              <w:rPr>
                <w:sz w:val="16"/>
              </w:rPr>
              <w:t>practitioners</w:t>
            </w:r>
          </w:p>
        </w:tc>
        <w:tc>
          <w:tcPr>
            <w:tcW w:w="1549" w:type="dxa"/>
            <w:tcBorders>
              <w:bottom w:val="single" w:sz="2" w:space="0" w:color="000000"/>
            </w:tcBorders>
            <w:shd w:val="clear" w:color="auto" w:fill="D1E9F1"/>
          </w:tcPr>
          <w:p w14:paraId="0D0807B9" w14:textId="77777777" w:rsidR="00084F36" w:rsidRPr="00EB2BD8" w:rsidRDefault="00EB2BD8">
            <w:pPr>
              <w:pStyle w:val="TableParagraph"/>
              <w:spacing w:before="118"/>
              <w:ind w:right="445"/>
              <w:jc w:val="right"/>
              <w:rPr>
                <w:sz w:val="16"/>
              </w:rPr>
            </w:pPr>
            <w:r w:rsidRPr="00EB2BD8">
              <w:rPr>
                <w:spacing w:val="-2"/>
                <w:w w:val="90"/>
                <w:sz w:val="16"/>
              </w:rPr>
              <w:t>528,106</w:t>
            </w:r>
          </w:p>
        </w:tc>
        <w:tc>
          <w:tcPr>
            <w:tcW w:w="1085" w:type="dxa"/>
            <w:tcBorders>
              <w:bottom w:val="single" w:sz="2" w:space="0" w:color="000000"/>
            </w:tcBorders>
            <w:shd w:val="clear" w:color="auto" w:fill="D1E9F1"/>
          </w:tcPr>
          <w:p w14:paraId="081D0D91" w14:textId="77777777" w:rsidR="00084F36" w:rsidRPr="00EB2BD8" w:rsidRDefault="00EB2BD8">
            <w:pPr>
              <w:pStyle w:val="TableParagraph"/>
              <w:spacing w:before="118"/>
              <w:ind w:right="112"/>
              <w:jc w:val="right"/>
              <w:rPr>
                <w:sz w:val="16"/>
              </w:rPr>
            </w:pPr>
            <w:r w:rsidRPr="00EB2BD8">
              <w:rPr>
                <w:spacing w:val="-2"/>
                <w:w w:val="95"/>
                <w:sz w:val="16"/>
              </w:rPr>
              <w:t>480,381</w:t>
            </w:r>
          </w:p>
        </w:tc>
      </w:tr>
      <w:tr w:rsidR="00EB2BD8" w:rsidRPr="00EB2BD8" w14:paraId="100B6572" w14:textId="77777777">
        <w:trPr>
          <w:trHeight w:val="611"/>
        </w:trPr>
        <w:tc>
          <w:tcPr>
            <w:tcW w:w="2318" w:type="dxa"/>
            <w:tcBorders>
              <w:top w:val="single" w:sz="2" w:space="0" w:color="000000"/>
              <w:bottom w:val="single" w:sz="2" w:space="0" w:color="000000"/>
            </w:tcBorders>
          </w:tcPr>
          <w:p w14:paraId="1651005A" w14:textId="77777777" w:rsidR="00084F36" w:rsidRPr="00EB2BD8" w:rsidRDefault="00EB2BD8">
            <w:pPr>
              <w:pStyle w:val="TableParagraph"/>
              <w:spacing w:before="116" w:line="292" w:lineRule="auto"/>
              <w:ind w:left="113" w:right="214"/>
              <w:rPr>
                <w:sz w:val="16"/>
              </w:rPr>
            </w:pPr>
            <w:r w:rsidRPr="00EB2BD8">
              <w:rPr>
                <w:spacing w:val="-2"/>
                <w:sz w:val="16"/>
              </w:rPr>
              <w:t>Building</w:t>
            </w:r>
            <w:r w:rsidRPr="00EB2BD8">
              <w:rPr>
                <w:spacing w:val="-8"/>
                <w:sz w:val="16"/>
              </w:rPr>
              <w:t xml:space="preserve"> </w:t>
            </w:r>
            <w:r w:rsidRPr="00EB2BD8">
              <w:rPr>
                <w:spacing w:val="-2"/>
                <w:sz w:val="16"/>
              </w:rPr>
              <w:t>permits</w:t>
            </w:r>
            <w:r w:rsidRPr="00EB2BD8">
              <w:rPr>
                <w:spacing w:val="-8"/>
                <w:sz w:val="16"/>
              </w:rPr>
              <w:t xml:space="preserve"> </w:t>
            </w:r>
            <w:r w:rsidRPr="00EB2BD8">
              <w:rPr>
                <w:spacing w:val="-2"/>
                <w:sz w:val="16"/>
              </w:rPr>
              <w:t xml:space="preserve">reported </w:t>
            </w:r>
            <w:r w:rsidRPr="00EB2BD8">
              <w:rPr>
                <w:sz w:val="16"/>
              </w:rPr>
              <w:t>–</w:t>
            </w:r>
            <w:r w:rsidRPr="00EB2BD8">
              <w:rPr>
                <w:spacing w:val="-7"/>
                <w:sz w:val="16"/>
              </w:rPr>
              <w:t xml:space="preserve"> </w:t>
            </w:r>
            <w:r w:rsidRPr="00EB2BD8">
              <w:rPr>
                <w:sz w:val="16"/>
              </w:rPr>
              <w:t>cost</w:t>
            </w:r>
            <w:r w:rsidRPr="00EB2BD8">
              <w:rPr>
                <w:spacing w:val="-7"/>
                <w:sz w:val="16"/>
              </w:rPr>
              <w:t xml:space="preserve"> </w:t>
            </w:r>
            <w:r w:rsidRPr="00EB2BD8">
              <w:rPr>
                <w:sz w:val="16"/>
              </w:rPr>
              <w:t>of</w:t>
            </w:r>
            <w:r w:rsidRPr="00EB2BD8">
              <w:rPr>
                <w:spacing w:val="-7"/>
                <w:sz w:val="16"/>
              </w:rPr>
              <w:t xml:space="preserve"> </w:t>
            </w:r>
            <w:r w:rsidRPr="00EB2BD8">
              <w:rPr>
                <w:sz w:val="16"/>
              </w:rPr>
              <w:t>works</w:t>
            </w:r>
            <w:r w:rsidRPr="00EB2BD8">
              <w:rPr>
                <w:spacing w:val="-7"/>
                <w:sz w:val="16"/>
              </w:rPr>
              <w:t xml:space="preserve"> </w:t>
            </w:r>
            <w:r w:rsidRPr="00EB2BD8">
              <w:rPr>
                <w:sz w:val="16"/>
              </w:rPr>
              <w:t>($</w:t>
            </w:r>
            <w:r w:rsidRPr="00EB2BD8">
              <w:rPr>
                <w:spacing w:val="-7"/>
                <w:sz w:val="16"/>
              </w:rPr>
              <w:t xml:space="preserve"> </w:t>
            </w:r>
            <w:r w:rsidRPr="00EB2BD8">
              <w:rPr>
                <w:sz w:val="16"/>
              </w:rPr>
              <w:t>billion)</w:t>
            </w:r>
          </w:p>
        </w:tc>
        <w:tc>
          <w:tcPr>
            <w:tcW w:w="1482" w:type="dxa"/>
            <w:tcBorders>
              <w:top w:val="single" w:sz="2" w:space="0" w:color="000000"/>
              <w:bottom w:val="single" w:sz="2" w:space="0" w:color="000000"/>
            </w:tcBorders>
          </w:tcPr>
          <w:p w14:paraId="3C87453A" w14:textId="77777777" w:rsidR="00084F36" w:rsidRPr="00EB2BD8" w:rsidRDefault="00EB2BD8">
            <w:pPr>
              <w:pStyle w:val="TableParagraph"/>
              <w:spacing w:before="116"/>
              <w:ind w:right="226"/>
              <w:jc w:val="right"/>
              <w:rPr>
                <w:sz w:val="16"/>
              </w:rPr>
            </w:pPr>
            <w:r w:rsidRPr="00EB2BD8">
              <w:rPr>
                <w:spacing w:val="-4"/>
                <w:w w:val="95"/>
                <w:sz w:val="16"/>
              </w:rPr>
              <w:t>47.8</w:t>
            </w:r>
          </w:p>
        </w:tc>
        <w:tc>
          <w:tcPr>
            <w:tcW w:w="1302" w:type="dxa"/>
            <w:tcBorders>
              <w:top w:val="single" w:sz="2" w:space="0" w:color="000000"/>
              <w:bottom w:val="single" w:sz="2" w:space="0" w:color="000000"/>
            </w:tcBorders>
          </w:tcPr>
          <w:p w14:paraId="2C779551" w14:textId="77777777" w:rsidR="00084F36" w:rsidRPr="00EB2BD8" w:rsidRDefault="00EB2BD8">
            <w:pPr>
              <w:pStyle w:val="TableParagraph"/>
              <w:spacing w:before="116"/>
              <w:ind w:right="112"/>
              <w:jc w:val="right"/>
              <w:rPr>
                <w:sz w:val="16"/>
              </w:rPr>
            </w:pPr>
            <w:r w:rsidRPr="00EB2BD8">
              <w:rPr>
                <w:spacing w:val="-4"/>
                <w:w w:val="95"/>
                <w:sz w:val="16"/>
              </w:rPr>
              <w:t>45.5</w:t>
            </w:r>
          </w:p>
        </w:tc>
        <w:tc>
          <w:tcPr>
            <w:tcW w:w="2469" w:type="dxa"/>
            <w:tcBorders>
              <w:top w:val="single" w:sz="2" w:space="0" w:color="000000"/>
              <w:bottom w:val="single" w:sz="2" w:space="0" w:color="000000"/>
            </w:tcBorders>
            <w:shd w:val="clear" w:color="auto" w:fill="D1E9F1"/>
          </w:tcPr>
          <w:p w14:paraId="02A816B3" w14:textId="77777777" w:rsidR="00084F36" w:rsidRPr="00EB2BD8" w:rsidRDefault="00EB2BD8">
            <w:pPr>
              <w:pStyle w:val="TableParagraph"/>
              <w:spacing w:before="116" w:line="292" w:lineRule="auto"/>
              <w:ind w:left="113" w:right="179"/>
              <w:rPr>
                <w:sz w:val="9"/>
              </w:rPr>
            </w:pPr>
            <w:r w:rsidRPr="00EB2BD8">
              <w:rPr>
                <w:spacing w:val="-2"/>
                <w:sz w:val="16"/>
              </w:rPr>
              <w:t>Plumbing</w:t>
            </w:r>
            <w:r w:rsidRPr="00EB2BD8">
              <w:rPr>
                <w:spacing w:val="-12"/>
                <w:sz w:val="16"/>
              </w:rPr>
              <w:t xml:space="preserve"> </w:t>
            </w:r>
            <w:r w:rsidRPr="00EB2BD8">
              <w:rPr>
                <w:spacing w:val="-2"/>
                <w:sz w:val="16"/>
              </w:rPr>
              <w:t>modification declarations</w:t>
            </w:r>
            <w:r w:rsidRPr="00EB2BD8">
              <w:rPr>
                <w:spacing w:val="-2"/>
                <w:position w:val="5"/>
                <w:sz w:val="9"/>
              </w:rPr>
              <w:t>9</w:t>
            </w:r>
          </w:p>
        </w:tc>
        <w:tc>
          <w:tcPr>
            <w:tcW w:w="1549" w:type="dxa"/>
            <w:tcBorders>
              <w:top w:val="single" w:sz="2" w:space="0" w:color="000000"/>
              <w:bottom w:val="single" w:sz="2" w:space="0" w:color="000000"/>
            </w:tcBorders>
            <w:shd w:val="clear" w:color="auto" w:fill="D1E9F1"/>
          </w:tcPr>
          <w:p w14:paraId="057B9571" w14:textId="77777777" w:rsidR="00084F36" w:rsidRPr="00EB2BD8" w:rsidRDefault="00EB2BD8">
            <w:pPr>
              <w:pStyle w:val="TableParagraph"/>
              <w:spacing w:before="116"/>
              <w:ind w:right="444"/>
              <w:jc w:val="right"/>
              <w:rPr>
                <w:sz w:val="16"/>
              </w:rPr>
            </w:pPr>
            <w:r w:rsidRPr="00EB2BD8">
              <w:rPr>
                <w:spacing w:val="-5"/>
                <w:w w:val="95"/>
                <w:sz w:val="16"/>
              </w:rPr>
              <w:t>25</w:t>
            </w:r>
          </w:p>
        </w:tc>
        <w:tc>
          <w:tcPr>
            <w:tcW w:w="1085" w:type="dxa"/>
            <w:tcBorders>
              <w:top w:val="single" w:sz="2" w:space="0" w:color="000000"/>
              <w:bottom w:val="single" w:sz="2" w:space="0" w:color="000000"/>
            </w:tcBorders>
            <w:shd w:val="clear" w:color="auto" w:fill="D1E9F1"/>
          </w:tcPr>
          <w:p w14:paraId="7120BD4F" w14:textId="77777777" w:rsidR="00084F36" w:rsidRPr="00EB2BD8" w:rsidRDefault="00EB2BD8">
            <w:pPr>
              <w:pStyle w:val="TableParagraph"/>
              <w:spacing w:before="116"/>
              <w:ind w:right="112"/>
              <w:jc w:val="right"/>
              <w:rPr>
                <w:sz w:val="16"/>
              </w:rPr>
            </w:pPr>
            <w:r w:rsidRPr="00EB2BD8">
              <w:rPr>
                <w:spacing w:val="-5"/>
                <w:w w:val="95"/>
                <w:sz w:val="16"/>
              </w:rPr>
              <w:t>32</w:t>
            </w:r>
          </w:p>
        </w:tc>
      </w:tr>
      <w:tr w:rsidR="00EB2BD8" w:rsidRPr="00EB2BD8" w14:paraId="2CA75580" w14:textId="77777777">
        <w:trPr>
          <w:trHeight w:val="324"/>
        </w:trPr>
        <w:tc>
          <w:tcPr>
            <w:tcW w:w="2318" w:type="dxa"/>
            <w:tcBorders>
              <w:top w:val="single" w:sz="2" w:space="0" w:color="000000"/>
            </w:tcBorders>
          </w:tcPr>
          <w:p w14:paraId="203F8462" w14:textId="77777777" w:rsidR="00084F36" w:rsidRPr="00EB2BD8" w:rsidRDefault="00EB2BD8">
            <w:pPr>
              <w:pStyle w:val="TableParagraph"/>
              <w:spacing w:before="116" w:line="188" w:lineRule="exact"/>
              <w:ind w:left="113"/>
              <w:rPr>
                <w:sz w:val="16"/>
              </w:rPr>
            </w:pPr>
            <w:r w:rsidRPr="00EB2BD8">
              <w:rPr>
                <w:spacing w:val="-2"/>
                <w:sz w:val="16"/>
              </w:rPr>
              <w:t>Building</w:t>
            </w:r>
            <w:r w:rsidRPr="00EB2BD8">
              <w:rPr>
                <w:spacing w:val="-3"/>
                <w:sz w:val="16"/>
              </w:rPr>
              <w:t xml:space="preserve"> </w:t>
            </w:r>
            <w:r w:rsidRPr="00EB2BD8">
              <w:rPr>
                <w:spacing w:val="-2"/>
                <w:sz w:val="16"/>
              </w:rPr>
              <w:t>permit</w:t>
            </w:r>
            <w:r w:rsidRPr="00EB2BD8">
              <w:rPr>
                <w:spacing w:val="-3"/>
                <w:sz w:val="16"/>
              </w:rPr>
              <w:t xml:space="preserve"> </w:t>
            </w:r>
            <w:r w:rsidRPr="00EB2BD8">
              <w:rPr>
                <w:spacing w:val="-2"/>
                <w:sz w:val="16"/>
              </w:rPr>
              <w:t>numbers</w:t>
            </w:r>
          </w:p>
        </w:tc>
        <w:tc>
          <w:tcPr>
            <w:tcW w:w="1482" w:type="dxa"/>
            <w:tcBorders>
              <w:top w:val="single" w:sz="2" w:space="0" w:color="000000"/>
            </w:tcBorders>
          </w:tcPr>
          <w:p w14:paraId="3FC65F65" w14:textId="77777777" w:rsidR="00084F36" w:rsidRPr="00EB2BD8" w:rsidRDefault="00EB2BD8">
            <w:pPr>
              <w:pStyle w:val="TableParagraph"/>
              <w:spacing w:before="116" w:line="188" w:lineRule="exact"/>
              <w:ind w:right="227"/>
              <w:jc w:val="right"/>
              <w:rPr>
                <w:sz w:val="16"/>
              </w:rPr>
            </w:pPr>
            <w:r w:rsidRPr="00EB2BD8">
              <w:rPr>
                <w:spacing w:val="-2"/>
                <w:w w:val="95"/>
                <w:sz w:val="16"/>
              </w:rPr>
              <w:t>105,665</w:t>
            </w:r>
          </w:p>
        </w:tc>
        <w:tc>
          <w:tcPr>
            <w:tcW w:w="1302" w:type="dxa"/>
            <w:tcBorders>
              <w:top w:val="single" w:sz="2" w:space="0" w:color="000000"/>
            </w:tcBorders>
          </w:tcPr>
          <w:p w14:paraId="38467D95" w14:textId="77777777" w:rsidR="00084F36" w:rsidRPr="00EB2BD8" w:rsidRDefault="00EB2BD8">
            <w:pPr>
              <w:pStyle w:val="TableParagraph"/>
              <w:spacing w:before="116" w:line="188" w:lineRule="exact"/>
              <w:ind w:right="112"/>
              <w:jc w:val="right"/>
              <w:rPr>
                <w:sz w:val="16"/>
              </w:rPr>
            </w:pPr>
            <w:r w:rsidRPr="00EB2BD8">
              <w:rPr>
                <w:spacing w:val="-2"/>
                <w:w w:val="80"/>
                <w:sz w:val="16"/>
              </w:rPr>
              <w:t>121,138</w:t>
            </w:r>
          </w:p>
        </w:tc>
        <w:tc>
          <w:tcPr>
            <w:tcW w:w="5103" w:type="dxa"/>
            <w:gridSpan w:val="3"/>
            <w:vMerge w:val="restart"/>
            <w:tcBorders>
              <w:top w:val="single" w:sz="2" w:space="0" w:color="000000"/>
              <w:bottom w:val="single" w:sz="2" w:space="0" w:color="000000"/>
            </w:tcBorders>
            <w:shd w:val="clear" w:color="auto" w:fill="D1E9F1"/>
          </w:tcPr>
          <w:p w14:paraId="034C9972" w14:textId="77777777" w:rsidR="00084F36" w:rsidRPr="00EB2BD8" w:rsidRDefault="00084F36">
            <w:pPr>
              <w:pStyle w:val="TableParagraph"/>
              <w:rPr>
                <w:rFonts w:ascii="Times New Roman"/>
                <w:sz w:val="14"/>
              </w:rPr>
            </w:pPr>
          </w:p>
        </w:tc>
      </w:tr>
      <w:tr w:rsidR="00EB2BD8" w:rsidRPr="00EB2BD8" w14:paraId="1A0039D0" w14:textId="77777777">
        <w:trPr>
          <w:trHeight w:val="282"/>
        </w:trPr>
        <w:tc>
          <w:tcPr>
            <w:tcW w:w="2318" w:type="dxa"/>
            <w:tcBorders>
              <w:bottom w:val="single" w:sz="2" w:space="0" w:color="000000"/>
            </w:tcBorders>
          </w:tcPr>
          <w:p w14:paraId="2A87D3FD" w14:textId="77777777" w:rsidR="00084F36" w:rsidRPr="00EB2BD8" w:rsidRDefault="00EB2BD8">
            <w:pPr>
              <w:pStyle w:val="TableParagraph"/>
              <w:spacing w:before="17"/>
              <w:ind w:left="113"/>
              <w:rPr>
                <w:sz w:val="16"/>
              </w:rPr>
            </w:pPr>
            <w:r w:rsidRPr="00EB2BD8">
              <w:rPr>
                <w:spacing w:val="-2"/>
                <w:sz w:val="16"/>
              </w:rPr>
              <w:t>issued</w:t>
            </w:r>
          </w:p>
        </w:tc>
        <w:tc>
          <w:tcPr>
            <w:tcW w:w="1482" w:type="dxa"/>
            <w:tcBorders>
              <w:bottom w:val="single" w:sz="2" w:space="0" w:color="000000"/>
            </w:tcBorders>
          </w:tcPr>
          <w:p w14:paraId="37DC5C24" w14:textId="77777777" w:rsidR="00084F36" w:rsidRPr="00EB2BD8" w:rsidRDefault="00084F36">
            <w:pPr>
              <w:pStyle w:val="TableParagraph"/>
              <w:rPr>
                <w:rFonts w:ascii="Times New Roman"/>
                <w:sz w:val="14"/>
              </w:rPr>
            </w:pPr>
          </w:p>
        </w:tc>
        <w:tc>
          <w:tcPr>
            <w:tcW w:w="1302" w:type="dxa"/>
            <w:tcBorders>
              <w:bottom w:val="single" w:sz="2" w:space="0" w:color="000000"/>
            </w:tcBorders>
          </w:tcPr>
          <w:p w14:paraId="1BC792A5" w14:textId="77777777" w:rsidR="00084F36" w:rsidRPr="00EB2BD8" w:rsidRDefault="00084F36">
            <w:pPr>
              <w:pStyle w:val="TableParagraph"/>
              <w:rPr>
                <w:rFonts w:ascii="Times New Roman"/>
                <w:sz w:val="14"/>
              </w:rPr>
            </w:pPr>
          </w:p>
        </w:tc>
        <w:tc>
          <w:tcPr>
            <w:tcW w:w="5103" w:type="dxa"/>
            <w:gridSpan w:val="3"/>
            <w:vMerge/>
            <w:tcBorders>
              <w:top w:val="nil"/>
              <w:bottom w:val="single" w:sz="2" w:space="0" w:color="000000"/>
            </w:tcBorders>
            <w:shd w:val="clear" w:color="auto" w:fill="D1E9F1"/>
          </w:tcPr>
          <w:p w14:paraId="525174F2" w14:textId="77777777" w:rsidR="00084F36" w:rsidRPr="00EB2BD8" w:rsidRDefault="00084F36">
            <w:pPr>
              <w:rPr>
                <w:sz w:val="2"/>
                <w:szCs w:val="2"/>
              </w:rPr>
            </w:pPr>
          </w:p>
        </w:tc>
      </w:tr>
      <w:tr w:rsidR="00EB2BD8" w:rsidRPr="00EB2BD8" w14:paraId="57B8DCAC" w14:textId="77777777">
        <w:trPr>
          <w:trHeight w:val="324"/>
        </w:trPr>
        <w:tc>
          <w:tcPr>
            <w:tcW w:w="2318" w:type="dxa"/>
            <w:tcBorders>
              <w:top w:val="single" w:sz="2" w:space="0" w:color="000000"/>
            </w:tcBorders>
          </w:tcPr>
          <w:p w14:paraId="15B6A87F" w14:textId="77777777" w:rsidR="00084F36" w:rsidRPr="00EB2BD8" w:rsidRDefault="00EB2BD8">
            <w:pPr>
              <w:pStyle w:val="TableParagraph"/>
              <w:spacing w:before="116" w:line="188" w:lineRule="exact"/>
              <w:ind w:left="113"/>
              <w:rPr>
                <w:sz w:val="16"/>
              </w:rPr>
            </w:pPr>
            <w:r w:rsidRPr="00EB2BD8">
              <w:rPr>
                <w:spacing w:val="-2"/>
                <w:sz w:val="16"/>
              </w:rPr>
              <w:t>Building</w:t>
            </w:r>
            <w:r w:rsidRPr="00EB2BD8">
              <w:rPr>
                <w:spacing w:val="-3"/>
                <w:sz w:val="16"/>
              </w:rPr>
              <w:t xml:space="preserve"> </w:t>
            </w:r>
            <w:r w:rsidRPr="00EB2BD8">
              <w:rPr>
                <w:spacing w:val="-2"/>
                <w:sz w:val="16"/>
              </w:rPr>
              <w:t>permit</w:t>
            </w:r>
            <w:r w:rsidRPr="00EB2BD8">
              <w:rPr>
                <w:spacing w:val="-3"/>
                <w:sz w:val="16"/>
              </w:rPr>
              <w:t xml:space="preserve"> </w:t>
            </w:r>
            <w:r w:rsidRPr="00EB2BD8">
              <w:rPr>
                <w:spacing w:val="-2"/>
                <w:sz w:val="16"/>
              </w:rPr>
              <w:t>numbers</w:t>
            </w:r>
          </w:p>
        </w:tc>
        <w:tc>
          <w:tcPr>
            <w:tcW w:w="1482" w:type="dxa"/>
            <w:tcBorders>
              <w:top w:val="single" w:sz="2" w:space="0" w:color="000000"/>
            </w:tcBorders>
          </w:tcPr>
          <w:p w14:paraId="1B6AD200" w14:textId="77777777" w:rsidR="00084F36" w:rsidRPr="00EB2BD8" w:rsidRDefault="00EB2BD8">
            <w:pPr>
              <w:pStyle w:val="TableParagraph"/>
              <w:spacing w:before="116" w:line="188" w:lineRule="exact"/>
              <w:ind w:right="227"/>
              <w:jc w:val="right"/>
              <w:rPr>
                <w:sz w:val="16"/>
              </w:rPr>
            </w:pPr>
            <w:r w:rsidRPr="00EB2BD8">
              <w:rPr>
                <w:spacing w:val="-4"/>
                <w:sz w:val="16"/>
              </w:rPr>
              <w:t>46.8</w:t>
            </w:r>
          </w:p>
        </w:tc>
        <w:tc>
          <w:tcPr>
            <w:tcW w:w="1302" w:type="dxa"/>
            <w:tcBorders>
              <w:top w:val="single" w:sz="2" w:space="0" w:color="000000"/>
            </w:tcBorders>
          </w:tcPr>
          <w:p w14:paraId="6C0716E0" w14:textId="77777777" w:rsidR="00084F36" w:rsidRPr="00EB2BD8" w:rsidRDefault="00EB2BD8">
            <w:pPr>
              <w:pStyle w:val="TableParagraph"/>
              <w:spacing w:before="116" w:line="188" w:lineRule="exact"/>
              <w:ind w:right="111"/>
              <w:jc w:val="right"/>
              <w:rPr>
                <w:sz w:val="16"/>
              </w:rPr>
            </w:pPr>
            <w:r w:rsidRPr="00EB2BD8">
              <w:rPr>
                <w:spacing w:val="-4"/>
                <w:sz w:val="16"/>
              </w:rPr>
              <w:t>44.6</w:t>
            </w:r>
          </w:p>
        </w:tc>
        <w:tc>
          <w:tcPr>
            <w:tcW w:w="5103" w:type="dxa"/>
            <w:gridSpan w:val="3"/>
            <w:vMerge/>
            <w:tcBorders>
              <w:top w:val="nil"/>
              <w:bottom w:val="single" w:sz="2" w:space="0" w:color="000000"/>
            </w:tcBorders>
            <w:shd w:val="clear" w:color="auto" w:fill="D1E9F1"/>
          </w:tcPr>
          <w:p w14:paraId="67057726" w14:textId="77777777" w:rsidR="00084F36" w:rsidRPr="00EB2BD8" w:rsidRDefault="00084F36">
            <w:pPr>
              <w:rPr>
                <w:sz w:val="2"/>
                <w:szCs w:val="2"/>
              </w:rPr>
            </w:pPr>
          </w:p>
        </w:tc>
      </w:tr>
      <w:tr w:rsidR="00EB2BD8" w:rsidRPr="00EB2BD8" w14:paraId="53E3DE40" w14:textId="77777777">
        <w:trPr>
          <w:trHeight w:val="224"/>
        </w:trPr>
        <w:tc>
          <w:tcPr>
            <w:tcW w:w="2318" w:type="dxa"/>
          </w:tcPr>
          <w:p w14:paraId="69F69397" w14:textId="77777777" w:rsidR="00084F36" w:rsidRPr="00EB2BD8" w:rsidRDefault="00EB2BD8">
            <w:pPr>
              <w:pStyle w:val="TableParagraph"/>
              <w:spacing w:before="17" w:line="188" w:lineRule="exact"/>
              <w:ind w:left="113"/>
              <w:rPr>
                <w:sz w:val="16"/>
              </w:rPr>
            </w:pPr>
            <w:r w:rsidRPr="00EB2BD8">
              <w:rPr>
                <w:sz w:val="16"/>
              </w:rPr>
              <w:t>issued</w:t>
            </w:r>
            <w:r w:rsidRPr="00EB2BD8">
              <w:rPr>
                <w:spacing w:val="-10"/>
                <w:sz w:val="16"/>
              </w:rPr>
              <w:t xml:space="preserve"> </w:t>
            </w:r>
            <w:r w:rsidRPr="00EB2BD8">
              <w:rPr>
                <w:sz w:val="16"/>
              </w:rPr>
              <w:t>–</w:t>
            </w:r>
            <w:r w:rsidRPr="00EB2BD8">
              <w:rPr>
                <w:spacing w:val="-9"/>
                <w:sz w:val="16"/>
              </w:rPr>
              <w:t xml:space="preserve"> </w:t>
            </w:r>
            <w:r w:rsidRPr="00EB2BD8">
              <w:rPr>
                <w:sz w:val="16"/>
              </w:rPr>
              <w:t>cost</w:t>
            </w:r>
            <w:r w:rsidRPr="00EB2BD8">
              <w:rPr>
                <w:spacing w:val="-10"/>
                <w:sz w:val="16"/>
              </w:rPr>
              <w:t xml:space="preserve"> </w:t>
            </w:r>
            <w:r w:rsidRPr="00EB2BD8">
              <w:rPr>
                <w:sz w:val="16"/>
              </w:rPr>
              <w:t>of</w:t>
            </w:r>
            <w:r w:rsidRPr="00EB2BD8">
              <w:rPr>
                <w:spacing w:val="-9"/>
                <w:sz w:val="16"/>
              </w:rPr>
              <w:t xml:space="preserve"> </w:t>
            </w:r>
            <w:r w:rsidRPr="00EB2BD8">
              <w:rPr>
                <w:spacing w:val="-4"/>
                <w:sz w:val="16"/>
              </w:rPr>
              <w:t>works</w:t>
            </w:r>
          </w:p>
        </w:tc>
        <w:tc>
          <w:tcPr>
            <w:tcW w:w="1482" w:type="dxa"/>
          </w:tcPr>
          <w:p w14:paraId="3388F148" w14:textId="77777777" w:rsidR="00084F36" w:rsidRPr="00EB2BD8" w:rsidRDefault="00084F36">
            <w:pPr>
              <w:pStyle w:val="TableParagraph"/>
              <w:rPr>
                <w:rFonts w:ascii="Times New Roman"/>
                <w:sz w:val="14"/>
              </w:rPr>
            </w:pPr>
          </w:p>
        </w:tc>
        <w:tc>
          <w:tcPr>
            <w:tcW w:w="1302" w:type="dxa"/>
          </w:tcPr>
          <w:p w14:paraId="279D2070" w14:textId="77777777" w:rsidR="00084F36" w:rsidRPr="00EB2BD8" w:rsidRDefault="00084F36">
            <w:pPr>
              <w:pStyle w:val="TableParagraph"/>
              <w:rPr>
                <w:rFonts w:ascii="Times New Roman"/>
                <w:sz w:val="14"/>
              </w:rPr>
            </w:pPr>
          </w:p>
        </w:tc>
        <w:tc>
          <w:tcPr>
            <w:tcW w:w="5103" w:type="dxa"/>
            <w:gridSpan w:val="3"/>
            <w:vMerge/>
            <w:tcBorders>
              <w:top w:val="nil"/>
              <w:bottom w:val="single" w:sz="2" w:space="0" w:color="000000"/>
            </w:tcBorders>
            <w:shd w:val="clear" w:color="auto" w:fill="D1E9F1"/>
          </w:tcPr>
          <w:p w14:paraId="51F234E4" w14:textId="77777777" w:rsidR="00084F36" w:rsidRPr="00EB2BD8" w:rsidRDefault="00084F36">
            <w:pPr>
              <w:rPr>
                <w:sz w:val="2"/>
                <w:szCs w:val="2"/>
              </w:rPr>
            </w:pPr>
          </w:p>
        </w:tc>
      </w:tr>
      <w:tr w:rsidR="00EB2BD8" w:rsidRPr="00EB2BD8" w14:paraId="25EB9B52" w14:textId="77777777">
        <w:trPr>
          <w:trHeight w:val="282"/>
        </w:trPr>
        <w:tc>
          <w:tcPr>
            <w:tcW w:w="2318" w:type="dxa"/>
            <w:tcBorders>
              <w:bottom w:val="single" w:sz="2" w:space="0" w:color="000000"/>
            </w:tcBorders>
          </w:tcPr>
          <w:p w14:paraId="67D22BC4" w14:textId="77777777" w:rsidR="00084F36" w:rsidRPr="00EB2BD8" w:rsidRDefault="00EB2BD8">
            <w:pPr>
              <w:pStyle w:val="TableParagraph"/>
              <w:spacing w:before="17"/>
              <w:ind w:left="113"/>
              <w:rPr>
                <w:sz w:val="16"/>
              </w:rPr>
            </w:pPr>
            <w:r w:rsidRPr="00EB2BD8">
              <w:rPr>
                <w:spacing w:val="-5"/>
                <w:sz w:val="16"/>
              </w:rPr>
              <w:t>($</w:t>
            </w:r>
            <w:r w:rsidRPr="00EB2BD8">
              <w:rPr>
                <w:spacing w:val="-10"/>
                <w:sz w:val="16"/>
              </w:rPr>
              <w:t xml:space="preserve"> </w:t>
            </w:r>
            <w:r w:rsidRPr="00EB2BD8">
              <w:rPr>
                <w:spacing w:val="-2"/>
                <w:sz w:val="16"/>
              </w:rPr>
              <w:t>billion)</w:t>
            </w:r>
          </w:p>
        </w:tc>
        <w:tc>
          <w:tcPr>
            <w:tcW w:w="1482" w:type="dxa"/>
            <w:tcBorders>
              <w:bottom w:val="single" w:sz="2" w:space="0" w:color="000000"/>
            </w:tcBorders>
          </w:tcPr>
          <w:p w14:paraId="04E5FB56" w14:textId="77777777" w:rsidR="00084F36" w:rsidRPr="00EB2BD8" w:rsidRDefault="00084F36">
            <w:pPr>
              <w:pStyle w:val="TableParagraph"/>
              <w:rPr>
                <w:rFonts w:ascii="Times New Roman"/>
                <w:sz w:val="14"/>
              </w:rPr>
            </w:pPr>
          </w:p>
        </w:tc>
        <w:tc>
          <w:tcPr>
            <w:tcW w:w="1302" w:type="dxa"/>
            <w:tcBorders>
              <w:bottom w:val="single" w:sz="2" w:space="0" w:color="000000"/>
            </w:tcBorders>
          </w:tcPr>
          <w:p w14:paraId="05E7D2C2" w14:textId="77777777" w:rsidR="00084F36" w:rsidRPr="00EB2BD8" w:rsidRDefault="00084F36">
            <w:pPr>
              <w:pStyle w:val="TableParagraph"/>
              <w:rPr>
                <w:rFonts w:ascii="Times New Roman"/>
                <w:sz w:val="14"/>
              </w:rPr>
            </w:pPr>
          </w:p>
        </w:tc>
        <w:tc>
          <w:tcPr>
            <w:tcW w:w="5103" w:type="dxa"/>
            <w:gridSpan w:val="3"/>
            <w:vMerge/>
            <w:tcBorders>
              <w:top w:val="nil"/>
              <w:bottom w:val="single" w:sz="2" w:space="0" w:color="000000"/>
            </w:tcBorders>
            <w:shd w:val="clear" w:color="auto" w:fill="D1E9F1"/>
          </w:tcPr>
          <w:p w14:paraId="298D1F04" w14:textId="77777777" w:rsidR="00084F36" w:rsidRPr="00EB2BD8" w:rsidRDefault="00084F36">
            <w:pPr>
              <w:rPr>
                <w:sz w:val="2"/>
                <w:szCs w:val="2"/>
              </w:rPr>
            </w:pPr>
          </w:p>
        </w:tc>
      </w:tr>
      <w:tr w:rsidR="00EB2BD8" w:rsidRPr="00EB2BD8" w14:paraId="349EB61F" w14:textId="77777777">
        <w:trPr>
          <w:trHeight w:val="323"/>
        </w:trPr>
        <w:tc>
          <w:tcPr>
            <w:tcW w:w="2318" w:type="dxa"/>
            <w:tcBorders>
              <w:top w:val="single" w:sz="2" w:space="0" w:color="000000"/>
            </w:tcBorders>
          </w:tcPr>
          <w:p w14:paraId="5AB25B79" w14:textId="77777777" w:rsidR="00084F36" w:rsidRPr="00EB2BD8" w:rsidRDefault="00EB2BD8">
            <w:pPr>
              <w:pStyle w:val="TableParagraph"/>
              <w:spacing w:before="116" w:line="188" w:lineRule="exact"/>
              <w:ind w:left="113"/>
              <w:rPr>
                <w:sz w:val="16"/>
              </w:rPr>
            </w:pPr>
            <w:r w:rsidRPr="00EB2BD8">
              <w:rPr>
                <w:spacing w:val="-2"/>
                <w:sz w:val="16"/>
              </w:rPr>
              <w:t>Temporary</w:t>
            </w:r>
            <w:r w:rsidRPr="00EB2BD8">
              <w:rPr>
                <w:sz w:val="16"/>
              </w:rPr>
              <w:t xml:space="preserve"> </w:t>
            </w:r>
            <w:r w:rsidRPr="00EB2BD8">
              <w:rPr>
                <w:spacing w:val="-2"/>
                <w:sz w:val="16"/>
              </w:rPr>
              <w:t>structure</w:t>
            </w:r>
          </w:p>
        </w:tc>
        <w:tc>
          <w:tcPr>
            <w:tcW w:w="1482" w:type="dxa"/>
            <w:tcBorders>
              <w:top w:val="single" w:sz="2" w:space="0" w:color="000000"/>
            </w:tcBorders>
          </w:tcPr>
          <w:p w14:paraId="076C2420" w14:textId="77777777" w:rsidR="00084F36" w:rsidRPr="00EB2BD8" w:rsidRDefault="00EB2BD8">
            <w:pPr>
              <w:pStyle w:val="TableParagraph"/>
              <w:spacing w:before="116" w:line="188" w:lineRule="exact"/>
              <w:ind w:right="227"/>
              <w:jc w:val="right"/>
              <w:rPr>
                <w:sz w:val="16"/>
              </w:rPr>
            </w:pPr>
            <w:r w:rsidRPr="00EB2BD8">
              <w:rPr>
                <w:spacing w:val="-5"/>
                <w:sz w:val="16"/>
              </w:rPr>
              <w:t>93</w:t>
            </w:r>
          </w:p>
        </w:tc>
        <w:tc>
          <w:tcPr>
            <w:tcW w:w="1302" w:type="dxa"/>
            <w:tcBorders>
              <w:top w:val="single" w:sz="2" w:space="0" w:color="000000"/>
            </w:tcBorders>
          </w:tcPr>
          <w:p w14:paraId="5AB29A11" w14:textId="77777777" w:rsidR="00084F36" w:rsidRPr="00EB2BD8" w:rsidRDefault="00EB2BD8">
            <w:pPr>
              <w:pStyle w:val="TableParagraph"/>
              <w:spacing w:before="116" w:line="188" w:lineRule="exact"/>
              <w:ind w:right="112"/>
              <w:jc w:val="right"/>
              <w:rPr>
                <w:sz w:val="16"/>
              </w:rPr>
            </w:pPr>
            <w:r w:rsidRPr="00EB2BD8">
              <w:rPr>
                <w:spacing w:val="-5"/>
                <w:sz w:val="16"/>
              </w:rPr>
              <w:t>54</w:t>
            </w:r>
          </w:p>
        </w:tc>
        <w:tc>
          <w:tcPr>
            <w:tcW w:w="5103" w:type="dxa"/>
            <w:gridSpan w:val="3"/>
            <w:vMerge/>
            <w:tcBorders>
              <w:top w:val="nil"/>
              <w:bottom w:val="single" w:sz="2" w:space="0" w:color="000000"/>
            </w:tcBorders>
            <w:shd w:val="clear" w:color="auto" w:fill="D1E9F1"/>
          </w:tcPr>
          <w:p w14:paraId="10CD7218" w14:textId="77777777" w:rsidR="00084F36" w:rsidRPr="00EB2BD8" w:rsidRDefault="00084F36">
            <w:pPr>
              <w:rPr>
                <w:sz w:val="2"/>
                <w:szCs w:val="2"/>
              </w:rPr>
            </w:pPr>
          </w:p>
        </w:tc>
      </w:tr>
      <w:tr w:rsidR="00EB2BD8" w:rsidRPr="00EB2BD8" w14:paraId="61AD1663" w14:textId="77777777">
        <w:trPr>
          <w:trHeight w:val="282"/>
        </w:trPr>
        <w:tc>
          <w:tcPr>
            <w:tcW w:w="2318" w:type="dxa"/>
            <w:tcBorders>
              <w:bottom w:val="single" w:sz="2" w:space="0" w:color="000000"/>
            </w:tcBorders>
          </w:tcPr>
          <w:p w14:paraId="47BD8DF7" w14:textId="77777777" w:rsidR="00084F36" w:rsidRPr="00EB2BD8" w:rsidRDefault="00EB2BD8">
            <w:pPr>
              <w:pStyle w:val="TableParagraph"/>
              <w:spacing w:before="17"/>
              <w:ind w:left="113"/>
              <w:rPr>
                <w:sz w:val="16"/>
              </w:rPr>
            </w:pPr>
            <w:r w:rsidRPr="00EB2BD8">
              <w:rPr>
                <w:sz w:val="16"/>
              </w:rPr>
              <w:t>occupancy</w:t>
            </w:r>
            <w:r w:rsidRPr="00EB2BD8">
              <w:rPr>
                <w:spacing w:val="4"/>
                <w:sz w:val="16"/>
              </w:rPr>
              <w:t xml:space="preserve"> </w:t>
            </w:r>
            <w:r w:rsidRPr="00EB2BD8">
              <w:rPr>
                <w:sz w:val="16"/>
              </w:rPr>
              <w:t>permits</w:t>
            </w:r>
            <w:r w:rsidRPr="00EB2BD8">
              <w:rPr>
                <w:spacing w:val="5"/>
                <w:sz w:val="16"/>
              </w:rPr>
              <w:t xml:space="preserve"> </w:t>
            </w:r>
            <w:r w:rsidRPr="00EB2BD8">
              <w:rPr>
                <w:spacing w:val="-2"/>
                <w:sz w:val="16"/>
              </w:rPr>
              <w:t>issued</w:t>
            </w:r>
          </w:p>
        </w:tc>
        <w:tc>
          <w:tcPr>
            <w:tcW w:w="1482" w:type="dxa"/>
            <w:tcBorders>
              <w:bottom w:val="single" w:sz="2" w:space="0" w:color="000000"/>
            </w:tcBorders>
          </w:tcPr>
          <w:p w14:paraId="4DFC1A3E" w14:textId="77777777" w:rsidR="00084F36" w:rsidRPr="00EB2BD8" w:rsidRDefault="00084F36">
            <w:pPr>
              <w:pStyle w:val="TableParagraph"/>
              <w:rPr>
                <w:rFonts w:ascii="Times New Roman"/>
                <w:sz w:val="14"/>
              </w:rPr>
            </w:pPr>
          </w:p>
        </w:tc>
        <w:tc>
          <w:tcPr>
            <w:tcW w:w="1302" w:type="dxa"/>
            <w:tcBorders>
              <w:bottom w:val="single" w:sz="2" w:space="0" w:color="000000"/>
            </w:tcBorders>
          </w:tcPr>
          <w:p w14:paraId="5B878A5F" w14:textId="77777777" w:rsidR="00084F36" w:rsidRPr="00EB2BD8" w:rsidRDefault="00084F36">
            <w:pPr>
              <w:pStyle w:val="TableParagraph"/>
              <w:rPr>
                <w:rFonts w:ascii="Times New Roman"/>
                <w:sz w:val="14"/>
              </w:rPr>
            </w:pPr>
          </w:p>
        </w:tc>
        <w:tc>
          <w:tcPr>
            <w:tcW w:w="5103" w:type="dxa"/>
            <w:gridSpan w:val="3"/>
            <w:vMerge/>
            <w:tcBorders>
              <w:top w:val="nil"/>
              <w:bottom w:val="single" w:sz="2" w:space="0" w:color="000000"/>
            </w:tcBorders>
            <w:shd w:val="clear" w:color="auto" w:fill="D1E9F1"/>
          </w:tcPr>
          <w:p w14:paraId="79D45425" w14:textId="77777777" w:rsidR="00084F36" w:rsidRPr="00EB2BD8" w:rsidRDefault="00084F36">
            <w:pPr>
              <w:rPr>
                <w:sz w:val="2"/>
                <w:szCs w:val="2"/>
              </w:rPr>
            </w:pPr>
          </w:p>
        </w:tc>
      </w:tr>
      <w:tr w:rsidR="00EB2BD8" w:rsidRPr="00EB2BD8" w14:paraId="665A3C60" w14:textId="77777777">
        <w:trPr>
          <w:trHeight w:val="611"/>
        </w:trPr>
        <w:tc>
          <w:tcPr>
            <w:tcW w:w="2318" w:type="dxa"/>
            <w:tcBorders>
              <w:top w:val="single" w:sz="2" w:space="0" w:color="000000"/>
              <w:bottom w:val="single" w:sz="2" w:space="0" w:color="000000"/>
            </w:tcBorders>
          </w:tcPr>
          <w:p w14:paraId="4840B30C" w14:textId="77777777" w:rsidR="00084F36" w:rsidRPr="00EB2BD8" w:rsidRDefault="00EB2BD8">
            <w:pPr>
              <w:pStyle w:val="TableParagraph"/>
              <w:spacing w:before="116" w:line="292" w:lineRule="auto"/>
              <w:ind w:left="113" w:right="886"/>
              <w:rPr>
                <w:sz w:val="16"/>
              </w:rPr>
            </w:pPr>
            <w:r w:rsidRPr="00EB2BD8">
              <w:rPr>
                <w:spacing w:val="-2"/>
                <w:w w:val="105"/>
                <w:sz w:val="16"/>
              </w:rPr>
              <w:t>Technical</w:t>
            </w:r>
            <w:r w:rsidRPr="00EB2BD8">
              <w:rPr>
                <w:spacing w:val="-15"/>
                <w:w w:val="105"/>
                <w:sz w:val="16"/>
              </w:rPr>
              <w:t xml:space="preserve"> </w:t>
            </w:r>
            <w:r w:rsidRPr="00EB2BD8">
              <w:rPr>
                <w:spacing w:val="-2"/>
                <w:w w:val="105"/>
                <w:sz w:val="16"/>
              </w:rPr>
              <w:t xml:space="preserve">advice </w:t>
            </w:r>
            <w:r w:rsidRPr="00EB2BD8">
              <w:rPr>
                <w:sz w:val="16"/>
              </w:rPr>
              <w:t>–</w:t>
            </w:r>
            <w:r w:rsidRPr="00EB2BD8">
              <w:rPr>
                <w:spacing w:val="-1"/>
                <w:sz w:val="16"/>
              </w:rPr>
              <w:t xml:space="preserve"> </w:t>
            </w:r>
            <w:r w:rsidRPr="00EB2BD8">
              <w:rPr>
                <w:sz w:val="16"/>
              </w:rPr>
              <w:t xml:space="preserve">email </w:t>
            </w:r>
            <w:r w:rsidRPr="00EB2BD8">
              <w:rPr>
                <w:spacing w:val="-2"/>
                <w:sz w:val="16"/>
              </w:rPr>
              <w:t>enquiries</w:t>
            </w:r>
          </w:p>
        </w:tc>
        <w:tc>
          <w:tcPr>
            <w:tcW w:w="1482" w:type="dxa"/>
            <w:tcBorders>
              <w:top w:val="single" w:sz="2" w:space="0" w:color="000000"/>
              <w:bottom w:val="single" w:sz="2" w:space="0" w:color="000000"/>
            </w:tcBorders>
          </w:tcPr>
          <w:p w14:paraId="7521C074" w14:textId="77777777" w:rsidR="00084F36" w:rsidRPr="00EB2BD8" w:rsidRDefault="00EB2BD8">
            <w:pPr>
              <w:pStyle w:val="TableParagraph"/>
              <w:spacing w:before="116"/>
              <w:ind w:right="227"/>
              <w:jc w:val="right"/>
              <w:rPr>
                <w:sz w:val="16"/>
              </w:rPr>
            </w:pPr>
            <w:r w:rsidRPr="00EB2BD8">
              <w:rPr>
                <w:spacing w:val="-2"/>
                <w:w w:val="85"/>
                <w:sz w:val="16"/>
              </w:rPr>
              <w:t>4,521</w:t>
            </w:r>
          </w:p>
        </w:tc>
        <w:tc>
          <w:tcPr>
            <w:tcW w:w="1302" w:type="dxa"/>
            <w:tcBorders>
              <w:top w:val="single" w:sz="2" w:space="0" w:color="000000"/>
              <w:bottom w:val="single" w:sz="2" w:space="0" w:color="000000"/>
            </w:tcBorders>
          </w:tcPr>
          <w:p w14:paraId="2AE10DF7" w14:textId="77777777" w:rsidR="00084F36" w:rsidRPr="00EB2BD8" w:rsidRDefault="00EB2BD8">
            <w:pPr>
              <w:pStyle w:val="TableParagraph"/>
              <w:spacing w:before="116"/>
              <w:ind w:right="112"/>
              <w:jc w:val="right"/>
              <w:rPr>
                <w:sz w:val="16"/>
              </w:rPr>
            </w:pPr>
            <w:r w:rsidRPr="00EB2BD8">
              <w:rPr>
                <w:spacing w:val="-4"/>
                <w:w w:val="90"/>
                <w:sz w:val="16"/>
              </w:rPr>
              <w:t>5,150</w:t>
            </w:r>
          </w:p>
        </w:tc>
        <w:tc>
          <w:tcPr>
            <w:tcW w:w="2469" w:type="dxa"/>
            <w:tcBorders>
              <w:top w:val="single" w:sz="2" w:space="0" w:color="000000"/>
              <w:bottom w:val="single" w:sz="2" w:space="0" w:color="000000"/>
            </w:tcBorders>
            <w:shd w:val="clear" w:color="auto" w:fill="D1E9F1"/>
          </w:tcPr>
          <w:p w14:paraId="16E17EE5" w14:textId="77777777" w:rsidR="00084F36" w:rsidRPr="00EB2BD8" w:rsidRDefault="00EB2BD8">
            <w:pPr>
              <w:pStyle w:val="TableParagraph"/>
              <w:spacing w:before="116" w:line="292" w:lineRule="auto"/>
              <w:ind w:left="113" w:right="1037" w:hanging="1"/>
              <w:rPr>
                <w:sz w:val="16"/>
              </w:rPr>
            </w:pPr>
            <w:r w:rsidRPr="00EB2BD8">
              <w:rPr>
                <w:spacing w:val="-2"/>
                <w:w w:val="105"/>
                <w:sz w:val="16"/>
              </w:rPr>
              <w:t>Technical</w:t>
            </w:r>
            <w:r w:rsidRPr="00EB2BD8">
              <w:rPr>
                <w:spacing w:val="-15"/>
                <w:w w:val="105"/>
                <w:sz w:val="16"/>
              </w:rPr>
              <w:t xml:space="preserve"> </w:t>
            </w:r>
            <w:r w:rsidRPr="00EB2BD8">
              <w:rPr>
                <w:spacing w:val="-2"/>
                <w:w w:val="105"/>
                <w:sz w:val="16"/>
              </w:rPr>
              <w:t xml:space="preserve">advice </w:t>
            </w:r>
            <w:r w:rsidRPr="00EB2BD8">
              <w:rPr>
                <w:sz w:val="16"/>
              </w:rPr>
              <w:t>–</w:t>
            </w:r>
            <w:r w:rsidRPr="00EB2BD8">
              <w:rPr>
                <w:spacing w:val="-1"/>
                <w:sz w:val="16"/>
              </w:rPr>
              <w:t xml:space="preserve"> </w:t>
            </w:r>
            <w:r w:rsidRPr="00EB2BD8">
              <w:rPr>
                <w:sz w:val="16"/>
              </w:rPr>
              <w:t xml:space="preserve">email </w:t>
            </w:r>
            <w:r w:rsidRPr="00EB2BD8">
              <w:rPr>
                <w:spacing w:val="-2"/>
                <w:sz w:val="16"/>
              </w:rPr>
              <w:t>enquiries</w:t>
            </w:r>
          </w:p>
        </w:tc>
        <w:tc>
          <w:tcPr>
            <w:tcW w:w="1549" w:type="dxa"/>
            <w:tcBorders>
              <w:top w:val="single" w:sz="2" w:space="0" w:color="000000"/>
              <w:bottom w:val="single" w:sz="2" w:space="0" w:color="000000"/>
            </w:tcBorders>
            <w:shd w:val="clear" w:color="auto" w:fill="D1E9F1"/>
          </w:tcPr>
          <w:p w14:paraId="63CDD993" w14:textId="77777777" w:rsidR="00084F36" w:rsidRPr="00EB2BD8" w:rsidRDefault="00EB2BD8">
            <w:pPr>
              <w:pStyle w:val="TableParagraph"/>
              <w:spacing w:before="116"/>
              <w:ind w:right="444"/>
              <w:jc w:val="right"/>
              <w:rPr>
                <w:sz w:val="16"/>
              </w:rPr>
            </w:pPr>
            <w:r w:rsidRPr="00EB2BD8">
              <w:rPr>
                <w:spacing w:val="-4"/>
                <w:w w:val="90"/>
                <w:sz w:val="16"/>
              </w:rPr>
              <w:t>2,027</w:t>
            </w:r>
          </w:p>
        </w:tc>
        <w:tc>
          <w:tcPr>
            <w:tcW w:w="1085" w:type="dxa"/>
            <w:tcBorders>
              <w:top w:val="single" w:sz="2" w:space="0" w:color="000000"/>
              <w:bottom w:val="single" w:sz="2" w:space="0" w:color="000000"/>
            </w:tcBorders>
            <w:shd w:val="clear" w:color="auto" w:fill="D1E9F1"/>
          </w:tcPr>
          <w:p w14:paraId="6B20DA0E" w14:textId="77777777" w:rsidR="00084F36" w:rsidRPr="00EB2BD8" w:rsidRDefault="00EB2BD8">
            <w:pPr>
              <w:pStyle w:val="TableParagraph"/>
              <w:spacing w:before="116"/>
              <w:ind w:right="112"/>
              <w:jc w:val="right"/>
              <w:rPr>
                <w:sz w:val="16"/>
              </w:rPr>
            </w:pPr>
            <w:r w:rsidRPr="00EB2BD8">
              <w:rPr>
                <w:spacing w:val="-2"/>
                <w:w w:val="85"/>
                <w:sz w:val="16"/>
              </w:rPr>
              <w:t>1,299</w:t>
            </w:r>
          </w:p>
        </w:tc>
      </w:tr>
      <w:tr w:rsidR="00EB2BD8" w:rsidRPr="00EB2BD8" w14:paraId="12BDF513" w14:textId="77777777">
        <w:trPr>
          <w:trHeight w:val="611"/>
        </w:trPr>
        <w:tc>
          <w:tcPr>
            <w:tcW w:w="2318" w:type="dxa"/>
            <w:tcBorders>
              <w:top w:val="single" w:sz="2" w:space="0" w:color="000000"/>
              <w:bottom w:val="single" w:sz="2" w:space="0" w:color="000000"/>
            </w:tcBorders>
          </w:tcPr>
          <w:p w14:paraId="2ECB214B" w14:textId="77777777" w:rsidR="00084F36" w:rsidRPr="00EB2BD8" w:rsidRDefault="00EB2BD8">
            <w:pPr>
              <w:pStyle w:val="TableParagraph"/>
              <w:spacing w:before="116"/>
              <w:ind w:left="113"/>
              <w:rPr>
                <w:sz w:val="16"/>
              </w:rPr>
            </w:pPr>
            <w:r w:rsidRPr="00EB2BD8">
              <w:rPr>
                <w:sz w:val="16"/>
              </w:rPr>
              <w:t>Technical</w:t>
            </w:r>
            <w:r w:rsidRPr="00EB2BD8">
              <w:rPr>
                <w:spacing w:val="-11"/>
                <w:sz w:val="16"/>
              </w:rPr>
              <w:t xml:space="preserve"> </w:t>
            </w:r>
            <w:r w:rsidRPr="00EB2BD8">
              <w:rPr>
                <w:spacing w:val="-2"/>
                <w:sz w:val="16"/>
              </w:rPr>
              <w:t>advice</w:t>
            </w:r>
          </w:p>
          <w:p w14:paraId="41C8FBBC" w14:textId="77777777" w:rsidR="00084F36" w:rsidRPr="00EB2BD8" w:rsidRDefault="00EB2BD8">
            <w:pPr>
              <w:pStyle w:val="TableParagraph"/>
              <w:spacing w:before="41"/>
              <w:ind w:left="113"/>
              <w:rPr>
                <w:sz w:val="16"/>
              </w:rPr>
            </w:pPr>
            <w:r w:rsidRPr="00EB2BD8">
              <w:rPr>
                <w:sz w:val="16"/>
              </w:rPr>
              <w:t>–</w:t>
            </w:r>
            <w:r w:rsidRPr="00EB2BD8">
              <w:rPr>
                <w:spacing w:val="-5"/>
                <w:sz w:val="16"/>
              </w:rPr>
              <w:t xml:space="preserve"> </w:t>
            </w:r>
            <w:r w:rsidRPr="00EB2BD8">
              <w:rPr>
                <w:sz w:val="16"/>
              </w:rPr>
              <w:t>telephone</w:t>
            </w:r>
            <w:r w:rsidRPr="00EB2BD8">
              <w:rPr>
                <w:spacing w:val="-5"/>
                <w:sz w:val="16"/>
              </w:rPr>
              <w:t xml:space="preserve"> </w:t>
            </w:r>
            <w:r w:rsidRPr="00EB2BD8">
              <w:rPr>
                <w:spacing w:val="-2"/>
                <w:sz w:val="16"/>
              </w:rPr>
              <w:t>enquiries</w:t>
            </w:r>
          </w:p>
        </w:tc>
        <w:tc>
          <w:tcPr>
            <w:tcW w:w="1482" w:type="dxa"/>
            <w:tcBorders>
              <w:top w:val="single" w:sz="2" w:space="0" w:color="000000"/>
              <w:bottom w:val="single" w:sz="2" w:space="0" w:color="000000"/>
            </w:tcBorders>
          </w:tcPr>
          <w:p w14:paraId="566E2BB2" w14:textId="77777777" w:rsidR="00084F36" w:rsidRPr="00EB2BD8" w:rsidRDefault="00EB2BD8">
            <w:pPr>
              <w:pStyle w:val="TableParagraph"/>
              <w:spacing w:before="116"/>
              <w:ind w:right="227"/>
              <w:jc w:val="right"/>
              <w:rPr>
                <w:sz w:val="16"/>
              </w:rPr>
            </w:pPr>
            <w:r w:rsidRPr="00EB2BD8">
              <w:rPr>
                <w:spacing w:val="-2"/>
                <w:w w:val="95"/>
                <w:sz w:val="16"/>
              </w:rPr>
              <w:t>9,587</w:t>
            </w:r>
          </w:p>
        </w:tc>
        <w:tc>
          <w:tcPr>
            <w:tcW w:w="1302" w:type="dxa"/>
            <w:tcBorders>
              <w:top w:val="single" w:sz="2" w:space="0" w:color="000000"/>
              <w:bottom w:val="single" w:sz="2" w:space="0" w:color="000000"/>
            </w:tcBorders>
          </w:tcPr>
          <w:p w14:paraId="5B8F21AE" w14:textId="77777777" w:rsidR="00084F36" w:rsidRPr="00EB2BD8" w:rsidRDefault="00EB2BD8">
            <w:pPr>
              <w:pStyle w:val="TableParagraph"/>
              <w:spacing w:before="116"/>
              <w:ind w:right="112"/>
              <w:jc w:val="right"/>
              <w:rPr>
                <w:sz w:val="16"/>
              </w:rPr>
            </w:pPr>
            <w:r w:rsidRPr="00EB2BD8">
              <w:rPr>
                <w:spacing w:val="-2"/>
                <w:sz w:val="16"/>
              </w:rPr>
              <w:t>9,984</w:t>
            </w:r>
          </w:p>
        </w:tc>
        <w:tc>
          <w:tcPr>
            <w:tcW w:w="2469" w:type="dxa"/>
            <w:tcBorders>
              <w:top w:val="single" w:sz="2" w:space="0" w:color="000000"/>
              <w:bottom w:val="single" w:sz="2" w:space="0" w:color="000000"/>
            </w:tcBorders>
            <w:shd w:val="clear" w:color="auto" w:fill="D1E9F1"/>
          </w:tcPr>
          <w:p w14:paraId="1D0BFE22" w14:textId="77777777" w:rsidR="00084F36" w:rsidRPr="00EB2BD8" w:rsidRDefault="00EB2BD8">
            <w:pPr>
              <w:pStyle w:val="TableParagraph"/>
              <w:spacing w:before="116"/>
              <w:ind w:left="153"/>
              <w:rPr>
                <w:sz w:val="16"/>
              </w:rPr>
            </w:pPr>
            <w:r w:rsidRPr="00EB2BD8">
              <w:rPr>
                <w:sz w:val="16"/>
              </w:rPr>
              <w:t>Technical</w:t>
            </w:r>
            <w:r w:rsidRPr="00EB2BD8">
              <w:rPr>
                <w:spacing w:val="-11"/>
                <w:sz w:val="16"/>
              </w:rPr>
              <w:t xml:space="preserve"> </w:t>
            </w:r>
            <w:r w:rsidRPr="00EB2BD8">
              <w:rPr>
                <w:spacing w:val="-2"/>
                <w:sz w:val="16"/>
              </w:rPr>
              <w:t>advice</w:t>
            </w:r>
          </w:p>
          <w:p w14:paraId="702123BC" w14:textId="77777777" w:rsidR="00084F36" w:rsidRPr="00EB2BD8" w:rsidRDefault="00EB2BD8">
            <w:pPr>
              <w:pStyle w:val="TableParagraph"/>
              <w:spacing w:before="41"/>
              <w:ind w:left="113"/>
              <w:rPr>
                <w:sz w:val="16"/>
              </w:rPr>
            </w:pPr>
            <w:r w:rsidRPr="00EB2BD8">
              <w:rPr>
                <w:sz w:val="16"/>
              </w:rPr>
              <w:t>–</w:t>
            </w:r>
            <w:r w:rsidRPr="00EB2BD8">
              <w:rPr>
                <w:spacing w:val="-5"/>
                <w:sz w:val="16"/>
              </w:rPr>
              <w:t xml:space="preserve"> </w:t>
            </w:r>
            <w:r w:rsidRPr="00EB2BD8">
              <w:rPr>
                <w:sz w:val="16"/>
              </w:rPr>
              <w:t>telephone</w:t>
            </w:r>
            <w:r w:rsidRPr="00EB2BD8">
              <w:rPr>
                <w:spacing w:val="-5"/>
                <w:sz w:val="16"/>
              </w:rPr>
              <w:t xml:space="preserve"> </w:t>
            </w:r>
            <w:r w:rsidRPr="00EB2BD8">
              <w:rPr>
                <w:spacing w:val="-2"/>
                <w:sz w:val="16"/>
              </w:rPr>
              <w:t>enquiries</w:t>
            </w:r>
          </w:p>
        </w:tc>
        <w:tc>
          <w:tcPr>
            <w:tcW w:w="1549" w:type="dxa"/>
            <w:tcBorders>
              <w:top w:val="single" w:sz="2" w:space="0" w:color="000000"/>
              <w:bottom w:val="single" w:sz="2" w:space="0" w:color="000000"/>
            </w:tcBorders>
            <w:shd w:val="clear" w:color="auto" w:fill="D1E9F1"/>
          </w:tcPr>
          <w:p w14:paraId="4264C4C7" w14:textId="77777777" w:rsidR="00084F36" w:rsidRPr="00EB2BD8" w:rsidRDefault="00EB2BD8">
            <w:pPr>
              <w:pStyle w:val="TableParagraph"/>
              <w:spacing w:before="116"/>
              <w:ind w:right="445"/>
              <w:jc w:val="right"/>
              <w:rPr>
                <w:sz w:val="16"/>
              </w:rPr>
            </w:pPr>
            <w:r w:rsidRPr="00EB2BD8">
              <w:rPr>
                <w:spacing w:val="-2"/>
                <w:sz w:val="16"/>
              </w:rPr>
              <w:t>8,960</w:t>
            </w:r>
          </w:p>
        </w:tc>
        <w:tc>
          <w:tcPr>
            <w:tcW w:w="1085" w:type="dxa"/>
            <w:tcBorders>
              <w:top w:val="single" w:sz="2" w:space="0" w:color="000000"/>
              <w:bottom w:val="single" w:sz="2" w:space="0" w:color="000000"/>
            </w:tcBorders>
            <w:shd w:val="clear" w:color="auto" w:fill="D1E9F1"/>
          </w:tcPr>
          <w:p w14:paraId="2EDDEC46" w14:textId="77777777" w:rsidR="00084F36" w:rsidRPr="00EB2BD8" w:rsidRDefault="00EB2BD8">
            <w:pPr>
              <w:pStyle w:val="TableParagraph"/>
              <w:spacing w:before="116"/>
              <w:ind w:right="112"/>
              <w:jc w:val="right"/>
              <w:rPr>
                <w:sz w:val="16"/>
              </w:rPr>
            </w:pPr>
            <w:r w:rsidRPr="00EB2BD8">
              <w:rPr>
                <w:spacing w:val="-2"/>
                <w:w w:val="80"/>
                <w:sz w:val="16"/>
              </w:rPr>
              <w:t>7,178</w:t>
            </w:r>
          </w:p>
        </w:tc>
      </w:tr>
      <w:tr w:rsidR="00EB2BD8" w:rsidRPr="00EB2BD8" w14:paraId="72653B97" w14:textId="77777777">
        <w:trPr>
          <w:trHeight w:val="611"/>
        </w:trPr>
        <w:tc>
          <w:tcPr>
            <w:tcW w:w="2318" w:type="dxa"/>
            <w:tcBorders>
              <w:top w:val="single" w:sz="2" w:space="0" w:color="000000"/>
              <w:bottom w:val="single" w:sz="2" w:space="0" w:color="000000"/>
            </w:tcBorders>
          </w:tcPr>
          <w:p w14:paraId="1C6FA3DC" w14:textId="77777777" w:rsidR="00084F36" w:rsidRPr="00EB2BD8" w:rsidRDefault="00EB2BD8">
            <w:pPr>
              <w:pStyle w:val="TableParagraph"/>
              <w:spacing w:before="116" w:line="292" w:lineRule="auto"/>
              <w:ind w:left="113"/>
              <w:rPr>
                <w:sz w:val="16"/>
              </w:rPr>
            </w:pPr>
            <w:r w:rsidRPr="00EB2BD8">
              <w:rPr>
                <w:w w:val="105"/>
                <w:sz w:val="16"/>
              </w:rPr>
              <w:t>Attendees</w:t>
            </w:r>
            <w:r w:rsidRPr="00EB2BD8">
              <w:rPr>
                <w:spacing w:val="-15"/>
                <w:w w:val="105"/>
                <w:sz w:val="16"/>
              </w:rPr>
              <w:t xml:space="preserve"> </w:t>
            </w:r>
            <w:r w:rsidRPr="00EB2BD8">
              <w:rPr>
                <w:w w:val="105"/>
                <w:sz w:val="16"/>
              </w:rPr>
              <w:t>at</w:t>
            </w:r>
            <w:r w:rsidRPr="00EB2BD8">
              <w:rPr>
                <w:spacing w:val="-15"/>
                <w:w w:val="105"/>
                <w:sz w:val="16"/>
              </w:rPr>
              <w:t xml:space="preserve"> </w:t>
            </w:r>
            <w:r w:rsidRPr="00EB2BD8">
              <w:rPr>
                <w:w w:val="105"/>
                <w:sz w:val="16"/>
              </w:rPr>
              <w:t xml:space="preserve">Building </w:t>
            </w:r>
            <w:r w:rsidRPr="00EB2BD8">
              <w:rPr>
                <w:spacing w:val="-2"/>
                <w:sz w:val="16"/>
              </w:rPr>
              <w:t>Surveyors’</w:t>
            </w:r>
            <w:r w:rsidRPr="00EB2BD8">
              <w:rPr>
                <w:spacing w:val="-9"/>
                <w:sz w:val="16"/>
              </w:rPr>
              <w:t xml:space="preserve"> </w:t>
            </w:r>
            <w:r w:rsidRPr="00EB2BD8">
              <w:rPr>
                <w:spacing w:val="-2"/>
                <w:sz w:val="16"/>
              </w:rPr>
              <w:t>Conference</w:t>
            </w:r>
          </w:p>
        </w:tc>
        <w:tc>
          <w:tcPr>
            <w:tcW w:w="1482" w:type="dxa"/>
            <w:tcBorders>
              <w:top w:val="single" w:sz="2" w:space="0" w:color="000000"/>
              <w:bottom w:val="single" w:sz="2" w:space="0" w:color="000000"/>
            </w:tcBorders>
          </w:tcPr>
          <w:p w14:paraId="01EDED1E" w14:textId="77777777" w:rsidR="00084F36" w:rsidRPr="00EB2BD8" w:rsidRDefault="00EB2BD8">
            <w:pPr>
              <w:pStyle w:val="TableParagraph"/>
              <w:spacing w:before="113"/>
              <w:ind w:right="226"/>
              <w:jc w:val="right"/>
              <w:rPr>
                <w:sz w:val="9"/>
              </w:rPr>
            </w:pPr>
            <w:r w:rsidRPr="00EB2BD8">
              <w:rPr>
                <w:spacing w:val="-5"/>
                <w:position w:val="-4"/>
                <w:sz w:val="16"/>
              </w:rPr>
              <w:t>0</w:t>
            </w:r>
            <w:r w:rsidRPr="00EB2BD8">
              <w:rPr>
                <w:spacing w:val="-5"/>
                <w:sz w:val="9"/>
              </w:rPr>
              <w:t>10</w:t>
            </w:r>
          </w:p>
        </w:tc>
        <w:tc>
          <w:tcPr>
            <w:tcW w:w="1302" w:type="dxa"/>
            <w:tcBorders>
              <w:top w:val="single" w:sz="2" w:space="0" w:color="000000"/>
              <w:bottom w:val="single" w:sz="2" w:space="0" w:color="000000"/>
            </w:tcBorders>
          </w:tcPr>
          <w:p w14:paraId="1FAE423C" w14:textId="77777777" w:rsidR="00084F36" w:rsidRPr="00EB2BD8" w:rsidRDefault="00EB2BD8">
            <w:pPr>
              <w:pStyle w:val="TableParagraph"/>
              <w:spacing w:before="116"/>
              <w:ind w:right="111"/>
              <w:jc w:val="right"/>
              <w:rPr>
                <w:sz w:val="9"/>
              </w:rPr>
            </w:pPr>
            <w:r w:rsidRPr="00EB2BD8">
              <w:rPr>
                <w:spacing w:val="-2"/>
                <w:w w:val="90"/>
                <w:sz w:val="16"/>
              </w:rPr>
              <w:t>695</w:t>
            </w:r>
            <w:r w:rsidRPr="00EB2BD8">
              <w:rPr>
                <w:spacing w:val="-2"/>
                <w:w w:val="90"/>
                <w:position w:val="5"/>
                <w:sz w:val="9"/>
              </w:rPr>
              <w:t>11</w:t>
            </w:r>
          </w:p>
        </w:tc>
        <w:tc>
          <w:tcPr>
            <w:tcW w:w="5103" w:type="dxa"/>
            <w:gridSpan w:val="3"/>
            <w:tcBorders>
              <w:top w:val="single" w:sz="2" w:space="0" w:color="000000"/>
              <w:bottom w:val="single" w:sz="2" w:space="0" w:color="000000"/>
            </w:tcBorders>
            <w:shd w:val="clear" w:color="auto" w:fill="D1E9F1"/>
          </w:tcPr>
          <w:p w14:paraId="7B2FC353" w14:textId="77777777" w:rsidR="00084F36" w:rsidRPr="00EB2BD8" w:rsidRDefault="00084F36">
            <w:pPr>
              <w:pStyle w:val="TableParagraph"/>
              <w:rPr>
                <w:rFonts w:ascii="Times New Roman"/>
                <w:sz w:val="14"/>
              </w:rPr>
            </w:pPr>
          </w:p>
        </w:tc>
      </w:tr>
      <w:tr w:rsidR="00EB2BD8" w:rsidRPr="00EB2BD8" w14:paraId="02164611" w14:textId="77777777">
        <w:trPr>
          <w:trHeight w:val="841"/>
        </w:trPr>
        <w:tc>
          <w:tcPr>
            <w:tcW w:w="2318" w:type="dxa"/>
            <w:tcBorders>
              <w:top w:val="single" w:sz="2" w:space="0" w:color="000000"/>
              <w:bottom w:val="single" w:sz="2" w:space="0" w:color="000000"/>
            </w:tcBorders>
          </w:tcPr>
          <w:p w14:paraId="30ABF430" w14:textId="77777777" w:rsidR="00084F36" w:rsidRPr="00EB2BD8" w:rsidRDefault="00EB2BD8">
            <w:pPr>
              <w:pStyle w:val="TableParagraph"/>
              <w:spacing w:before="116" w:line="292" w:lineRule="auto"/>
              <w:ind w:left="113" w:right="214"/>
              <w:rPr>
                <w:sz w:val="16"/>
              </w:rPr>
            </w:pPr>
            <w:r w:rsidRPr="00EB2BD8">
              <w:rPr>
                <w:sz w:val="16"/>
              </w:rPr>
              <w:t>Registration</w:t>
            </w:r>
            <w:r w:rsidRPr="00EB2BD8">
              <w:rPr>
                <w:spacing w:val="-13"/>
                <w:sz w:val="16"/>
              </w:rPr>
              <w:t xml:space="preserve"> </w:t>
            </w:r>
            <w:r w:rsidRPr="00EB2BD8">
              <w:rPr>
                <w:sz w:val="16"/>
              </w:rPr>
              <w:t xml:space="preserve">information </w:t>
            </w:r>
            <w:r w:rsidRPr="00EB2BD8">
              <w:rPr>
                <w:spacing w:val="-2"/>
                <w:sz w:val="16"/>
              </w:rPr>
              <w:t>for</w:t>
            </w:r>
            <w:r w:rsidRPr="00EB2BD8">
              <w:rPr>
                <w:spacing w:val="-6"/>
                <w:sz w:val="16"/>
              </w:rPr>
              <w:t xml:space="preserve"> </w:t>
            </w:r>
            <w:r w:rsidRPr="00EB2BD8">
              <w:rPr>
                <w:spacing w:val="-2"/>
                <w:sz w:val="16"/>
              </w:rPr>
              <w:t>aspiring</w:t>
            </w:r>
            <w:r w:rsidRPr="00EB2BD8">
              <w:rPr>
                <w:spacing w:val="-6"/>
                <w:sz w:val="16"/>
              </w:rPr>
              <w:t xml:space="preserve"> </w:t>
            </w:r>
            <w:r w:rsidRPr="00EB2BD8">
              <w:rPr>
                <w:spacing w:val="-2"/>
                <w:sz w:val="16"/>
              </w:rPr>
              <w:t>practitioners</w:t>
            </w:r>
          </w:p>
        </w:tc>
        <w:tc>
          <w:tcPr>
            <w:tcW w:w="1482" w:type="dxa"/>
            <w:tcBorders>
              <w:top w:val="single" w:sz="2" w:space="0" w:color="000000"/>
              <w:bottom w:val="single" w:sz="2" w:space="0" w:color="000000"/>
            </w:tcBorders>
          </w:tcPr>
          <w:p w14:paraId="4FC3914E" w14:textId="77777777" w:rsidR="00084F36" w:rsidRPr="00EB2BD8" w:rsidRDefault="00EB2BD8">
            <w:pPr>
              <w:pStyle w:val="TableParagraph"/>
              <w:spacing w:before="116"/>
              <w:ind w:right="226"/>
              <w:jc w:val="right"/>
              <w:rPr>
                <w:sz w:val="16"/>
              </w:rPr>
            </w:pPr>
            <w:r w:rsidRPr="00EB2BD8">
              <w:rPr>
                <w:w w:val="70"/>
                <w:sz w:val="16"/>
              </w:rPr>
              <w:t>18</w:t>
            </w:r>
            <w:r w:rsidRPr="00EB2BD8">
              <w:rPr>
                <w:spacing w:val="-5"/>
                <w:w w:val="95"/>
                <w:sz w:val="16"/>
              </w:rPr>
              <w:t xml:space="preserve"> </w:t>
            </w:r>
            <w:r w:rsidRPr="00EB2BD8">
              <w:rPr>
                <w:spacing w:val="-2"/>
                <w:w w:val="95"/>
                <w:sz w:val="16"/>
              </w:rPr>
              <w:t>webinars</w:t>
            </w:r>
          </w:p>
          <w:p w14:paraId="1CAA3C33" w14:textId="77777777" w:rsidR="00084F36" w:rsidRPr="00EB2BD8" w:rsidRDefault="00EB2BD8">
            <w:pPr>
              <w:pStyle w:val="TableParagraph"/>
              <w:spacing w:before="41"/>
              <w:ind w:right="227"/>
              <w:jc w:val="right"/>
              <w:rPr>
                <w:sz w:val="16"/>
              </w:rPr>
            </w:pPr>
            <w:r w:rsidRPr="00EB2BD8">
              <w:rPr>
                <w:spacing w:val="-4"/>
                <w:w w:val="95"/>
                <w:sz w:val="16"/>
              </w:rPr>
              <w:t>(577</w:t>
            </w:r>
          </w:p>
          <w:p w14:paraId="49D4225B" w14:textId="77777777" w:rsidR="00084F36" w:rsidRPr="00EB2BD8" w:rsidRDefault="00EB2BD8">
            <w:pPr>
              <w:pStyle w:val="TableParagraph"/>
              <w:spacing w:before="42"/>
              <w:ind w:right="226"/>
              <w:jc w:val="right"/>
              <w:rPr>
                <w:sz w:val="9"/>
              </w:rPr>
            </w:pPr>
            <w:r w:rsidRPr="00EB2BD8">
              <w:rPr>
                <w:spacing w:val="-2"/>
                <w:sz w:val="16"/>
              </w:rPr>
              <w:t>Participants)</w:t>
            </w:r>
            <w:r w:rsidRPr="00EB2BD8">
              <w:rPr>
                <w:spacing w:val="-2"/>
                <w:position w:val="5"/>
                <w:sz w:val="9"/>
              </w:rPr>
              <w:t>12</w:t>
            </w:r>
          </w:p>
        </w:tc>
        <w:tc>
          <w:tcPr>
            <w:tcW w:w="1302" w:type="dxa"/>
            <w:tcBorders>
              <w:top w:val="single" w:sz="2" w:space="0" w:color="000000"/>
              <w:bottom w:val="single" w:sz="2" w:space="0" w:color="000000"/>
            </w:tcBorders>
          </w:tcPr>
          <w:p w14:paraId="6A36CEE1" w14:textId="77777777" w:rsidR="00084F36" w:rsidRPr="00EB2BD8" w:rsidRDefault="00EB2BD8">
            <w:pPr>
              <w:pStyle w:val="TableParagraph"/>
              <w:spacing w:before="116"/>
              <w:ind w:right="111"/>
              <w:jc w:val="right"/>
              <w:rPr>
                <w:sz w:val="16"/>
              </w:rPr>
            </w:pPr>
            <w:r w:rsidRPr="00EB2BD8">
              <w:rPr>
                <w:spacing w:val="-2"/>
                <w:w w:val="80"/>
                <w:sz w:val="16"/>
              </w:rPr>
              <w:t>22</w:t>
            </w:r>
            <w:r w:rsidRPr="00EB2BD8">
              <w:rPr>
                <w:spacing w:val="-9"/>
                <w:sz w:val="16"/>
              </w:rPr>
              <w:t xml:space="preserve"> </w:t>
            </w:r>
            <w:r w:rsidRPr="00EB2BD8">
              <w:rPr>
                <w:spacing w:val="-2"/>
                <w:sz w:val="16"/>
              </w:rPr>
              <w:t>webinars</w:t>
            </w:r>
          </w:p>
          <w:p w14:paraId="53AB7510" w14:textId="77777777" w:rsidR="00084F36" w:rsidRPr="00EB2BD8" w:rsidRDefault="00EB2BD8">
            <w:pPr>
              <w:pStyle w:val="TableParagraph"/>
              <w:spacing w:before="41"/>
              <w:ind w:right="111"/>
              <w:jc w:val="right"/>
              <w:rPr>
                <w:sz w:val="16"/>
              </w:rPr>
            </w:pPr>
            <w:r w:rsidRPr="00EB2BD8">
              <w:rPr>
                <w:spacing w:val="-4"/>
                <w:w w:val="95"/>
                <w:sz w:val="16"/>
              </w:rPr>
              <w:t>(681</w:t>
            </w:r>
          </w:p>
          <w:p w14:paraId="73B6D328" w14:textId="77777777" w:rsidR="00084F36" w:rsidRPr="00EB2BD8" w:rsidRDefault="00EB2BD8">
            <w:pPr>
              <w:pStyle w:val="TableParagraph"/>
              <w:spacing w:before="42"/>
              <w:ind w:right="111"/>
              <w:jc w:val="right"/>
              <w:rPr>
                <w:sz w:val="16"/>
              </w:rPr>
            </w:pPr>
            <w:r w:rsidRPr="00EB2BD8">
              <w:rPr>
                <w:spacing w:val="-2"/>
                <w:w w:val="105"/>
                <w:sz w:val="16"/>
              </w:rPr>
              <w:t>participants)</w:t>
            </w:r>
          </w:p>
        </w:tc>
        <w:tc>
          <w:tcPr>
            <w:tcW w:w="5103" w:type="dxa"/>
            <w:gridSpan w:val="3"/>
            <w:tcBorders>
              <w:top w:val="single" w:sz="2" w:space="0" w:color="000000"/>
              <w:bottom w:val="single" w:sz="2" w:space="0" w:color="000000"/>
            </w:tcBorders>
            <w:shd w:val="clear" w:color="auto" w:fill="D1E9F1"/>
          </w:tcPr>
          <w:p w14:paraId="47CF9865" w14:textId="77777777" w:rsidR="00084F36" w:rsidRPr="00EB2BD8" w:rsidRDefault="00084F36">
            <w:pPr>
              <w:pStyle w:val="TableParagraph"/>
              <w:rPr>
                <w:rFonts w:ascii="Times New Roman"/>
                <w:sz w:val="14"/>
              </w:rPr>
            </w:pPr>
          </w:p>
        </w:tc>
      </w:tr>
    </w:tbl>
    <w:p w14:paraId="2B8AB8D1" w14:textId="77777777" w:rsidR="00084F36" w:rsidRPr="00EB2BD8" w:rsidRDefault="00084F36">
      <w:pPr>
        <w:pStyle w:val="BodyText"/>
        <w:rPr>
          <w:sz w:val="22"/>
        </w:rPr>
      </w:pPr>
    </w:p>
    <w:p w14:paraId="03E0FE14" w14:textId="15675B83" w:rsidR="00084F36" w:rsidRPr="00EB2BD8" w:rsidRDefault="00EB2BD8">
      <w:pPr>
        <w:spacing w:line="261" w:lineRule="auto"/>
        <w:ind w:left="920" w:right="858" w:hanging="71"/>
        <w:rPr>
          <w:i/>
          <w:sz w:val="14"/>
        </w:rPr>
      </w:pPr>
      <w:r w:rsidRPr="00EB2BD8">
        <w:rPr>
          <w:i/>
          <w:sz w:val="14"/>
        </w:rPr>
        <w:t>9</w:t>
      </w:r>
      <w:r w:rsidR="00DF2803">
        <w:rPr>
          <w:i/>
          <w:sz w:val="14"/>
        </w:rPr>
        <w:t>-</w:t>
      </w:r>
      <w:r w:rsidRPr="00EB2BD8">
        <w:rPr>
          <w:i/>
          <w:sz w:val="14"/>
        </w:rPr>
        <w:t>The</w:t>
      </w:r>
      <w:r w:rsidRPr="00EB2BD8">
        <w:rPr>
          <w:i/>
          <w:spacing w:val="-6"/>
          <w:sz w:val="14"/>
        </w:rPr>
        <w:t xml:space="preserve"> </w:t>
      </w:r>
      <w:r w:rsidRPr="00EB2BD8">
        <w:rPr>
          <w:i/>
          <w:sz w:val="14"/>
        </w:rPr>
        <w:t>new</w:t>
      </w:r>
      <w:r w:rsidRPr="00EB2BD8">
        <w:rPr>
          <w:i/>
          <w:spacing w:val="-6"/>
          <w:sz w:val="14"/>
        </w:rPr>
        <w:t xml:space="preserve"> </w:t>
      </w:r>
      <w:r w:rsidRPr="00EB2BD8">
        <w:rPr>
          <w:i/>
          <w:sz w:val="14"/>
        </w:rPr>
        <w:t>Plumbing</w:t>
      </w:r>
      <w:r w:rsidRPr="00EB2BD8">
        <w:rPr>
          <w:i/>
          <w:spacing w:val="-6"/>
          <w:sz w:val="14"/>
        </w:rPr>
        <w:t xml:space="preserve"> </w:t>
      </w:r>
      <w:r w:rsidRPr="00EB2BD8">
        <w:rPr>
          <w:i/>
          <w:sz w:val="14"/>
        </w:rPr>
        <w:t>Regulations</w:t>
      </w:r>
      <w:r w:rsidRPr="00EB2BD8">
        <w:rPr>
          <w:i/>
          <w:spacing w:val="-6"/>
          <w:sz w:val="14"/>
        </w:rPr>
        <w:t xml:space="preserve"> </w:t>
      </w:r>
      <w:r w:rsidRPr="00EB2BD8">
        <w:rPr>
          <w:i/>
          <w:sz w:val="14"/>
        </w:rPr>
        <w:t>2018</w:t>
      </w:r>
      <w:r w:rsidRPr="00EB2BD8">
        <w:rPr>
          <w:i/>
          <w:spacing w:val="-6"/>
          <w:sz w:val="14"/>
        </w:rPr>
        <w:t xml:space="preserve"> </w:t>
      </w:r>
      <w:r w:rsidRPr="00EB2BD8">
        <w:rPr>
          <w:i/>
          <w:sz w:val="14"/>
        </w:rPr>
        <w:t>removed</w:t>
      </w:r>
      <w:r w:rsidRPr="00EB2BD8">
        <w:rPr>
          <w:i/>
          <w:spacing w:val="-6"/>
          <w:sz w:val="14"/>
        </w:rPr>
        <w:t xml:space="preserve"> </w:t>
      </w:r>
      <w:r w:rsidRPr="00EB2BD8">
        <w:rPr>
          <w:i/>
          <w:sz w:val="14"/>
        </w:rPr>
        <w:t>the</w:t>
      </w:r>
      <w:r w:rsidRPr="00EB2BD8">
        <w:rPr>
          <w:i/>
          <w:spacing w:val="-6"/>
          <w:sz w:val="14"/>
        </w:rPr>
        <w:t xml:space="preserve"> </w:t>
      </w:r>
      <w:r w:rsidRPr="00EB2BD8">
        <w:rPr>
          <w:i/>
          <w:sz w:val="14"/>
        </w:rPr>
        <w:t>need</w:t>
      </w:r>
      <w:r w:rsidRPr="00EB2BD8">
        <w:rPr>
          <w:i/>
          <w:spacing w:val="-6"/>
          <w:sz w:val="14"/>
        </w:rPr>
        <w:t xml:space="preserve"> </w:t>
      </w:r>
      <w:r w:rsidRPr="00EB2BD8">
        <w:rPr>
          <w:i/>
          <w:sz w:val="14"/>
        </w:rPr>
        <w:t>to</w:t>
      </w:r>
      <w:r w:rsidRPr="00EB2BD8">
        <w:rPr>
          <w:i/>
          <w:spacing w:val="-6"/>
          <w:sz w:val="14"/>
        </w:rPr>
        <w:t xml:space="preserve"> </w:t>
      </w:r>
      <w:r w:rsidRPr="00EB2BD8">
        <w:rPr>
          <w:i/>
          <w:sz w:val="14"/>
        </w:rPr>
        <w:t>apply</w:t>
      </w:r>
      <w:r w:rsidRPr="00EB2BD8">
        <w:rPr>
          <w:i/>
          <w:spacing w:val="-6"/>
          <w:sz w:val="14"/>
        </w:rPr>
        <w:t xml:space="preserve"> </w:t>
      </w:r>
      <w:r w:rsidRPr="00EB2BD8">
        <w:rPr>
          <w:i/>
          <w:sz w:val="14"/>
        </w:rPr>
        <w:t>for</w:t>
      </w:r>
      <w:r w:rsidRPr="00EB2BD8">
        <w:rPr>
          <w:i/>
          <w:spacing w:val="-6"/>
          <w:sz w:val="14"/>
        </w:rPr>
        <w:t xml:space="preserve"> </w:t>
      </w:r>
      <w:r w:rsidRPr="00EB2BD8">
        <w:rPr>
          <w:i/>
          <w:sz w:val="14"/>
        </w:rPr>
        <w:t>modifications</w:t>
      </w:r>
      <w:r w:rsidRPr="00EB2BD8">
        <w:rPr>
          <w:i/>
          <w:spacing w:val="-6"/>
          <w:sz w:val="14"/>
        </w:rPr>
        <w:t xml:space="preserve"> </w:t>
      </w:r>
      <w:r w:rsidRPr="00EB2BD8">
        <w:rPr>
          <w:i/>
          <w:sz w:val="14"/>
        </w:rPr>
        <w:t>for</w:t>
      </w:r>
      <w:r w:rsidRPr="00EB2BD8">
        <w:rPr>
          <w:i/>
          <w:spacing w:val="-6"/>
          <w:sz w:val="14"/>
        </w:rPr>
        <w:t xml:space="preserve"> </w:t>
      </w:r>
      <w:r w:rsidRPr="00EB2BD8">
        <w:rPr>
          <w:i/>
          <w:sz w:val="14"/>
        </w:rPr>
        <w:t>installation</w:t>
      </w:r>
      <w:r w:rsidRPr="00EB2BD8">
        <w:rPr>
          <w:i/>
          <w:spacing w:val="-6"/>
          <w:sz w:val="14"/>
        </w:rPr>
        <w:t xml:space="preserve"> </w:t>
      </w:r>
      <w:r w:rsidRPr="00EB2BD8">
        <w:rPr>
          <w:i/>
          <w:sz w:val="14"/>
        </w:rPr>
        <w:t>of</w:t>
      </w:r>
      <w:r w:rsidRPr="00EB2BD8">
        <w:rPr>
          <w:i/>
          <w:spacing w:val="-6"/>
          <w:sz w:val="14"/>
        </w:rPr>
        <w:t xml:space="preserve"> </w:t>
      </w:r>
      <w:r w:rsidRPr="00EB2BD8">
        <w:rPr>
          <w:i/>
          <w:sz w:val="14"/>
        </w:rPr>
        <w:t>sanitary</w:t>
      </w:r>
      <w:r w:rsidRPr="00EB2BD8">
        <w:rPr>
          <w:i/>
          <w:spacing w:val="-6"/>
          <w:sz w:val="14"/>
        </w:rPr>
        <w:t xml:space="preserve"> </w:t>
      </w:r>
      <w:r w:rsidRPr="00EB2BD8">
        <w:rPr>
          <w:i/>
          <w:sz w:val="14"/>
        </w:rPr>
        <w:t>drains</w:t>
      </w:r>
      <w:r w:rsidRPr="00EB2BD8">
        <w:rPr>
          <w:i/>
          <w:spacing w:val="-6"/>
          <w:sz w:val="14"/>
        </w:rPr>
        <w:t xml:space="preserve"> </w:t>
      </w:r>
      <w:r w:rsidRPr="00EB2BD8">
        <w:rPr>
          <w:i/>
          <w:sz w:val="14"/>
        </w:rPr>
        <w:t>to</w:t>
      </w:r>
      <w:r w:rsidRPr="00EB2BD8">
        <w:rPr>
          <w:i/>
          <w:spacing w:val="-6"/>
          <w:sz w:val="14"/>
        </w:rPr>
        <w:t xml:space="preserve"> </w:t>
      </w:r>
      <w:r w:rsidRPr="00EB2BD8">
        <w:rPr>
          <w:i/>
          <w:sz w:val="14"/>
        </w:rPr>
        <w:t>service</w:t>
      </w:r>
      <w:r w:rsidRPr="00EB2BD8">
        <w:rPr>
          <w:i/>
          <w:spacing w:val="-6"/>
          <w:sz w:val="14"/>
        </w:rPr>
        <w:t xml:space="preserve"> </w:t>
      </w:r>
      <w:r w:rsidRPr="00EB2BD8">
        <w:rPr>
          <w:i/>
          <w:sz w:val="14"/>
        </w:rPr>
        <w:t>more</w:t>
      </w:r>
      <w:r w:rsidRPr="00EB2BD8">
        <w:rPr>
          <w:i/>
          <w:spacing w:val="-6"/>
          <w:sz w:val="14"/>
        </w:rPr>
        <w:t xml:space="preserve"> </w:t>
      </w:r>
      <w:r w:rsidRPr="00EB2BD8">
        <w:rPr>
          <w:i/>
          <w:sz w:val="14"/>
        </w:rPr>
        <w:t>than</w:t>
      </w:r>
      <w:r w:rsidRPr="00EB2BD8">
        <w:rPr>
          <w:i/>
          <w:spacing w:val="-6"/>
          <w:sz w:val="14"/>
        </w:rPr>
        <w:t xml:space="preserve"> </w:t>
      </w:r>
      <w:r w:rsidRPr="00EB2BD8">
        <w:rPr>
          <w:i/>
          <w:sz w:val="14"/>
        </w:rPr>
        <w:t>one</w:t>
      </w:r>
      <w:r w:rsidRPr="00EB2BD8">
        <w:rPr>
          <w:i/>
          <w:spacing w:val="-6"/>
          <w:sz w:val="14"/>
        </w:rPr>
        <w:t xml:space="preserve"> </w:t>
      </w:r>
      <w:r w:rsidRPr="00EB2BD8">
        <w:rPr>
          <w:i/>
          <w:sz w:val="14"/>
        </w:rPr>
        <w:t>dwelling if specific requirements are met, reducing the number of modification applications.</w:t>
      </w:r>
    </w:p>
    <w:p w14:paraId="697FE8B4" w14:textId="408FDC10" w:rsidR="00084F36" w:rsidRPr="00EB2BD8" w:rsidRDefault="00EB2BD8">
      <w:pPr>
        <w:spacing w:before="21" w:line="290" w:lineRule="auto"/>
        <w:ind w:left="850" w:right="6287"/>
        <w:rPr>
          <w:i/>
          <w:sz w:val="14"/>
        </w:rPr>
      </w:pPr>
      <w:r w:rsidRPr="00EB2BD8">
        <w:rPr>
          <w:i/>
          <w:spacing w:val="-2"/>
          <w:sz w:val="14"/>
        </w:rPr>
        <w:t>10</w:t>
      </w:r>
      <w:r w:rsidR="00DF2803">
        <w:rPr>
          <w:i/>
          <w:spacing w:val="-2"/>
          <w:sz w:val="14"/>
        </w:rPr>
        <w:t xml:space="preserve">- </w:t>
      </w:r>
      <w:r w:rsidRPr="00EB2BD8">
        <w:rPr>
          <w:i/>
          <w:spacing w:val="-2"/>
          <w:sz w:val="14"/>
        </w:rPr>
        <w:t>The</w:t>
      </w:r>
      <w:r w:rsidRPr="00EB2BD8">
        <w:rPr>
          <w:i/>
          <w:spacing w:val="-10"/>
          <w:sz w:val="14"/>
        </w:rPr>
        <w:t xml:space="preserve"> </w:t>
      </w:r>
      <w:r w:rsidRPr="00EB2BD8">
        <w:rPr>
          <w:i/>
          <w:spacing w:val="-2"/>
          <w:sz w:val="14"/>
        </w:rPr>
        <w:t>2023</w:t>
      </w:r>
      <w:r w:rsidRPr="00EB2BD8">
        <w:rPr>
          <w:i/>
          <w:spacing w:val="-10"/>
          <w:sz w:val="14"/>
        </w:rPr>
        <w:t xml:space="preserve"> </w:t>
      </w:r>
      <w:r w:rsidRPr="00EB2BD8">
        <w:rPr>
          <w:i/>
          <w:spacing w:val="-2"/>
          <w:sz w:val="14"/>
        </w:rPr>
        <w:t>Building</w:t>
      </w:r>
      <w:r w:rsidRPr="00EB2BD8">
        <w:rPr>
          <w:i/>
          <w:spacing w:val="-10"/>
          <w:sz w:val="14"/>
        </w:rPr>
        <w:t xml:space="preserve"> </w:t>
      </w:r>
      <w:r w:rsidRPr="00EB2BD8">
        <w:rPr>
          <w:i/>
          <w:spacing w:val="-2"/>
          <w:sz w:val="14"/>
        </w:rPr>
        <w:t>Surveyors</w:t>
      </w:r>
      <w:r w:rsidRPr="00EB2BD8">
        <w:rPr>
          <w:i/>
          <w:spacing w:val="-10"/>
          <w:sz w:val="14"/>
        </w:rPr>
        <w:t xml:space="preserve"> </w:t>
      </w:r>
      <w:r w:rsidRPr="00EB2BD8">
        <w:rPr>
          <w:i/>
          <w:spacing w:val="-2"/>
          <w:sz w:val="14"/>
        </w:rPr>
        <w:t>Conference</w:t>
      </w:r>
      <w:r w:rsidRPr="00EB2BD8">
        <w:rPr>
          <w:i/>
          <w:spacing w:val="-10"/>
          <w:sz w:val="14"/>
        </w:rPr>
        <w:t xml:space="preserve"> </w:t>
      </w:r>
      <w:r w:rsidRPr="00EB2BD8">
        <w:rPr>
          <w:i/>
          <w:spacing w:val="-2"/>
          <w:sz w:val="14"/>
        </w:rPr>
        <w:t>will</w:t>
      </w:r>
      <w:r w:rsidRPr="00EB2BD8">
        <w:rPr>
          <w:i/>
          <w:spacing w:val="-10"/>
          <w:sz w:val="14"/>
        </w:rPr>
        <w:t xml:space="preserve"> </w:t>
      </w:r>
      <w:r w:rsidRPr="00EB2BD8">
        <w:rPr>
          <w:i/>
          <w:spacing w:val="-2"/>
          <w:sz w:val="14"/>
        </w:rPr>
        <w:t>be</w:t>
      </w:r>
      <w:r w:rsidRPr="00EB2BD8">
        <w:rPr>
          <w:i/>
          <w:spacing w:val="-10"/>
          <w:sz w:val="14"/>
        </w:rPr>
        <w:t xml:space="preserve"> </w:t>
      </w:r>
      <w:r w:rsidRPr="00EB2BD8">
        <w:rPr>
          <w:i/>
          <w:spacing w:val="-2"/>
          <w:sz w:val="14"/>
        </w:rPr>
        <w:t>held</w:t>
      </w:r>
      <w:r w:rsidRPr="00EB2BD8">
        <w:rPr>
          <w:i/>
          <w:spacing w:val="-10"/>
          <w:sz w:val="14"/>
        </w:rPr>
        <w:t xml:space="preserve"> </w:t>
      </w:r>
      <w:r w:rsidRPr="00EB2BD8">
        <w:rPr>
          <w:i/>
          <w:spacing w:val="-2"/>
          <w:sz w:val="14"/>
        </w:rPr>
        <w:t>in</w:t>
      </w:r>
      <w:r w:rsidRPr="00EB2BD8">
        <w:rPr>
          <w:i/>
          <w:spacing w:val="-10"/>
          <w:sz w:val="14"/>
        </w:rPr>
        <w:t xml:space="preserve"> </w:t>
      </w:r>
      <w:r w:rsidRPr="00EB2BD8">
        <w:rPr>
          <w:i/>
          <w:spacing w:val="-2"/>
          <w:sz w:val="14"/>
        </w:rPr>
        <w:t>August</w:t>
      </w:r>
      <w:r w:rsidRPr="00EB2BD8">
        <w:rPr>
          <w:i/>
          <w:spacing w:val="-10"/>
          <w:sz w:val="14"/>
        </w:rPr>
        <w:t xml:space="preserve"> </w:t>
      </w:r>
      <w:r w:rsidRPr="00EB2BD8">
        <w:rPr>
          <w:i/>
          <w:spacing w:val="-2"/>
          <w:sz w:val="14"/>
        </w:rPr>
        <w:t xml:space="preserve">2023. </w:t>
      </w:r>
      <w:r w:rsidRPr="00EB2BD8">
        <w:rPr>
          <w:i/>
          <w:sz w:val="14"/>
        </w:rPr>
        <w:t>1</w:t>
      </w:r>
      <w:r w:rsidR="00DF2803">
        <w:rPr>
          <w:i/>
          <w:sz w:val="14"/>
        </w:rPr>
        <w:t>1-</w:t>
      </w:r>
      <w:r w:rsidRPr="00EB2BD8">
        <w:rPr>
          <w:i/>
          <w:sz w:val="14"/>
        </w:rPr>
        <w:t>All</w:t>
      </w:r>
      <w:r w:rsidRPr="00EB2BD8">
        <w:rPr>
          <w:i/>
          <w:spacing w:val="-10"/>
          <w:sz w:val="14"/>
        </w:rPr>
        <w:t xml:space="preserve"> </w:t>
      </w:r>
      <w:r w:rsidRPr="00EB2BD8">
        <w:rPr>
          <w:i/>
          <w:sz w:val="14"/>
        </w:rPr>
        <w:t>695</w:t>
      </w:r>
      <w:r w:rsidRPr="00EB2BD8">
        <w:rPr>
          <w:i/>
          <w:spacing w:val="-10"/>
          <w:sz w:val="14"/>
        </w:rPr>
        <w:t xml:space="preserve"> </w:t>
      </w:r>
      <w:r w:rsidRPr="00EB2BD8">
        <w:rPr>
          <w:i/>
          <w:sz w:val="14"/>
        </w:rPr>
        <w:t>attendees</w:t>
      </w:r>
      <w:r w:rsidRPr="00EB2BD8">
        <w:rPr>
          <w:i/>
          <w:spacing w:val="-10"/>
          <w:sz w:val="14"/>
        </w:rPr>
        <w:t xml:space="preserve"> </w:t>
      </w:r>
      <w:r w:rsidRPr="00EB2BD8">
        <w:rPr>
          <w:i/>
          <w:sz w:val="14"/>
        </w:rPr>
        <w:t>participated</w:t>
      </w:r>
      <w:r w:rsidRPr="00EB2BD8">
        <w:rPr>
          <w:i/>
          <w:spacing w:val="-10"/>
          <w:sz w:val="14"/>
        </w:rPr>
        <w:t xml:space="preserve"> </w:t>
      </w:r>
      <w:r w:rsidRPr="00EB2BD8">
        <w:rPr>
          <w:i/>
          <w:sz w:val="14"/>
        </w:rPr>
        <w:t>virtually.</w:t>
      </w:r>
    </w:p>
    <w:p w14:paraId="6B0F3E5E" w14:textId="3632AADF" w:rsidR="00084F36" w:rsidRPr="00EB2BD8" w:rsidRDefault="00EB2BD8">
      <w:pPr>
        <w:spacing w:before="1"/>
        <w:ind w:left="850"/>
        <w:rPr>
          <w:i/>
          <w:sz w:val="14"/>
        </w:rPr>
      </w:pPr>
      <w:r w:rsidRPr="00EB2BD8">
        <w:rPr>
          <w:i/>
          <w:spacing w:val="-2"/>
          <w:sz w:val="14"/>
        </w:rPr>
        <w:t>12</w:t>
      </w:r>
      <w:r w:rsidR="00DF2803">
        <w:rPr>
          <w:i/>
          <w:spacing w:val="-2"/>
          <w:sz w:val="14"/>
        </w:rPr>
        <w:t xml:space="preserve">- </w:t>
      </w:r>
      <w:r w:rsidRPr="00EB2BD8">
        <w:rPr>
          <w:i/>
          <w:spacing w:val="-2"/>
          <w:sz w:val="14"/>
        </w:rPr>
        <w:t>Five</w:t>
      </w:r>
      <w:r w:rsidRPr="00EB2BD8">
        <w:rPr>
          <w:i/>
          <w:spacing w:val="-3"/>
          <w:sz w:val="14"/>
        </w:rPr>
        <w:t xml:space="preserve"> </w:t>
      </w:r>
      <w:r w:rsidRPr="00EB2BD8">
        <w:rPr>
          <w:i/>
          <w:spacing w:val="-2"/>
          <w:sz w:val="14"/>
        </w:rPr>
        <w:t>of</w:t>
      </w:r>
      <w:r w:rsidRPr="00EB2BD8">
        <w:rPr>
          <w:i/>
          <w:spacing w:val="-3"/>
          <w:sz w:val="14"/>
        </w:rPr>
        <w:t xml:space="preserve"> </w:t>
      </w:r>
      <w:r w:rsidRPr="00EB2BD8">
        <w:rPr>
          <w:i/>
          <w:spacing w:val="-2"/>
          <w:sz w:val="14"/>
        </w:rPr>
        <w:t>these</w:t>
      </w:r>
      <w:r w:rsidRPr="00EB2BD8">
        <w:rPr>
          <w:i/>
          <w:spacing w:val="-3"/>
          <w:sz w:val="14"/>
        </w:rPr>
        <w:t xml:space="preserve"> </w:t>
      </w:r>
      <w:r w:rsidRPr="00EB2BD8">
        <w:rPr>
          <w:i/>
          <w:spacing w:val="-2"/>
          <w:sz w:val="14"/>
        </w:rPr>
        <w:t>sessions were</w:t>
      </w:r>
      <w:r w:rsidRPr="00EB2BD8">
        <w:rPr>
          <w:i/>
          <w:spacing w:val="-3"/>
          <w:sz w:val="14"/>
        </w:rPr>
        <w:t xml:space="preserve"> </w:t>
      </w:r>
      <w:r w:rsidRPr="00EB2BD8">
        <w:rPr>
          <w:i/>
          <w:spacing w:val="-2"/>
          <w:sz w:val="14"/>
        </w:rPr>
        <w:t>hosted</w:t>
      </w:r>
      <w:r w:rsidRPr="00EB2BD8">
        <w:rPr>
          <w:i/>
          <w:spacing w:val="-3"/>
          <w:sz w:val="14"/>
        </w:rPr>
        <w:t xml:space="preserve"> </w:t>
      </w:r>
      <w:r w:rsidRPr="00EB2BD8">
        <w:rPr>
          <w:i/>
          <w:spacing w:val="-2"/>
          <w:sz w:val="14"/>
        </w:rPr>
        <w:t>by</w:t>
      </w:r>
      <w:r w:rsidRPr="00EB2BD8">
        <w:rPr>
          <w:i/>
          <w:spacing w:val="-3"/>
          <w:sz w:val="14"/>
        </w:rPr>
        <w:t xml:space="preserve"> </w:t>
      </w:r>
      <w:r w:rsidRPr="00EB2BD8">
        <w:rPr>
          <w:i/>
          <w:spacing w:val="-2"/>
          <w:sz w:val="14"/>
        </w:rPr>
        <w:t>external stakeholders.</w:t>
      </w:r>
    </w:p>
    <w:p w14:paraId="42D89B74" w14:textId="77777777" w:rsidR="00084F36" w:rsidRPr="00EB2BD8" w:rsidRDefault="00084F36">
      <w:pPr>
        <w:rPr>
          <w:sz w:val="14"/>
        </w:rPr>
        <w:sectPr w:rsidR="00084F36" w:rsidRPr="00EB2BD8" w:rsidSect="006D75B2">
          <w:footerReference w:type="default" r:id="rId71"/>
          <w:pgSz w:w="11910" w:h="16840"/>
          <w:pgMar w:top="1080" w:right="0" w:bottom="720" w:left="0" w:header="0" w:footer="528" w:gutter="0"/>
          <w:cols w:space="720"/>
        </w:sectPr>
      </w:pPr>
    </w:p>
    <w:p w14:paraId="0AD07BFF" w14:textId="77777777" w:rsidR="00084F36" w:rsidRPr="00EB2BD8" w:rsidRDefault="00084F36">
      <w:pPr>
        <w:pStyle w:val="BodyText"/>
        <w:rPr>
          <w:i/>
          <w:sz w:val="20"/>
        </w:rPr>
      </w:pPr>
    </w:p>
    <w:p w14:paraId="7B31AAB8" w14:textId="77777777" w:rsidR="00084F36" w:rsidRPr="00EB2BD8" w:rsidRDefault="00084F36">
      <w:pPr>
        <w:pStyle w:val="BodyText"/>
        <w:rPr>
          <w:i/>
          <w:sz w:val="20"/>
        </w:rPr>
      </w:pPr>
    </w:p>
    <w:p w14:paraId="3B6F40D1" w14:textId="77777777" w:rsidR="00084F36" w:rsidRPr="00EB2BD8" w:rsidRDefault="00084F36">
      <w:pPr>
        <w:pStyle w:val="BodyText"/>
        <w:rPr>
          <w:i/>
          <w:sz w:val="20"/>
        </w:rPr>
      </w:pPr>
    </w:p>
    <w:p w14:paraId="36166206" w14:textId="77777777" w:rsidR="00084F36" w:rsidRPr="00EB2BD8" w:rsidRDefault="00084F36">
      <w:pPr>
        <w:pStyle w:val="BodyText"/>
        <w:rPr>
          <w:i/>
          <w:sz w:val="20"/>
        </w:rPr>
      </w:pPr>
    </w:p>
    <w:p w14:paraId="167917FB" w14:textId="77777777" w:rsidR="00084F36" w:rsidRPr="00EB2BD8" w:rsidRDefault="00EB2BD8" w:rsidP="00EB2BD8">
      <w:pPr>
        <w:pStyle w:val="Heading3"/>
      </w:pPr>
      <w:bookmarkStart w:id="75" w:name="_Toc150762377"/>
      <w:r w:rsidRPr="00EB2BD8">
        <w:t>Table</w:t>
      </w:r>
      <w:r w:rsidRPr="00EB2BD8">
        <w:rPr>
          <w:spacing w:val="-12"/>
        </w:rPr>
        <w:t xml:space="preserve"> </w:t>
      </w:r>
      <w:r w:rsidRPr="00EB2BD8">
        <w:t>4A:</w:t>
      </w:r>
      <w:r w:rsidRPr="00EB2BD8">
        <w:rPr>
          <w:spacing w:val="-12"/>
        </w:rPr>
        <w:t xml:space="preserve"> </w:t>
      </w:r>
      <w:r w:rsidRPr="00EB2BD8">
        <w:t>2022–23</w:t>
      </w:r>
      <w:r w:rsidRPr="00EB2BD8">
        <w:rPr>
          <w:spacing w:val="-12"/>
        </w:rPr>
        <w:t xml:space="preserve"> </w:t>
      </w:r>
      <w:r w:rsidRPr="00EB2BD8">
        <w:t>Practitioner</w:t>
      </w:r>
      <w:r w:rsidRPr="00EB2BD8">
        <w:rPr>
          <w:spacing w:val="-12"/>
        </w:rPr>
        <w:t xml:space="preserve"> </w:t>
      </w:r>
      <w:r w:rsidRPr="00EB2BD8">
        <w:t>Education</w:t>
      </w:r>
      <w:r w:rsidRPr="00EB2BD8">
        <w:rPr>
          <w:spacing w:val="-12"/>
        </w:rPr>
        <w:t xml:space="preserve"> </w:t>
      </w:r>
      <w:r w:rsidRPr="00EB2BD8">
        <w:t>Series</w:t>
      </w:r>
      <w:r w:rsidRPr="00EB2BD8">
        <w:rPr>
          <w:spacing w:val="-12"/>
        </w:rPr>
        <w:t xml:space="preserve"> </w:t>
      </w:r>
      <w:r w:rsidRPr="00EB2BD8">
        <w:rPr>
          <w:spacing w:val="-2"/>
        </w:rPr>
        <w:t>webinars</w:t>
      </w:r>
      <w:bookmarkEnd w:id="75"/>
    </w:p>
    <w:p w14:paraId="3E99BC12" w14:textId="77777777" w:rsidR="00084F36" w:rsidRPr="00EB2BD8" w:rsidRDefault="00EB2BD8">
      <w:pPr>
        <w:pStyle w:val="BodyText"/>
        <w:spacing w:before="6"/>
      </w:pPr>
      <w:r w:rsidRPr="00EB2BD8">
        <w:rPr>
          <w:noProof/>
        </w:rPr>
        <mc:AlternateContent>
          <mc:Choice Requires="wpg">
            <w:drawing>
              <wp:anchor distT="0" distB="0" distL="0" distR="0" simplePos="0" relativeHeight="251957248" behindDoc="1" locked="0" layoutInCell="1" allowOverlap="1" wp14:anchorId="39A5473D" wp14:editId="32B99234">
                <wp:simplePos x="0" y="0"/>
                <wp:positionH relativeFrom="page">
                  <wp:posOffset>539998</wp:posOffset>
                </wp:positionH>
                <wp:positionV relativeFrom="paragraph">
                  <wp:posOffset>153677</wp:posOffset>
                </wp:positionV>
                <wp:extent cx="6480175" cy="448945"/>
                <wp:effectExtent l="0" t="0" r="0" b="0"/>
                <wp:wrapTopAndBottom/>
                <wp:docPr id="301" name="Group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48945"/>
                          <a:chOff x="0" y="0"/>
                          <a:chExt cx="6480175" cy="448945"/>
                        </a:xfrm>
                      </wpg:grpSpPr>
                      <wps:wsp>
                        <wps:cNvPr id="302" name="Graphic 302"/>
                        <wps:cNvSpPr/>
                        <wps:spPr>
                          <a:xfrm>
                            <a:off x="5" y="245592"/>
                            <a:ext cx="6466205" cy="203200"/>
                          </a:xfrm>
                          <a:custGeom>
                            <a:avLst/>
                            <a:gdLst/>
                            <a:ahLst/>
                            <a:cxnLst/>
                            <a:rect l="l" t="t" r="r" b="b"/>
                            <a:pathLst>
                              <a:path w="6466205" h="203200">
                                <a:moveTo>
                                  <a:pt x="6465595" y="0"/>
                                </a:moveTo>
                                <a:lnTo>
                                  <a:pt x="4413605" y="0"/>
                                </a:lnTo>
                                <a:lnTo>
                                  <a:pt x="0" y="0"/>
                                </a:lnTo>
                                <a:lnTo>
                                  <a:pt x="0" y="203200"/>
                                </a:lnTo>
                                <a:lnTo>
                                  <a:pt x="4413593" y="203200"/>
                                </a:lnTo>
                                <a:lnTo>
                                  <a:pt x="6465595" y="203200"/>
                                </a:lnTo>
                                <a:lnTo>
                                  <a:pt x="6465595" y="0"/>
                                </a:lnTo>
                                <a:close/>
                              </a:path>
                            </a:pathLst>
                          </a:custGeom>
                          <a:solidFill>
                            <a:srgbClr val="E5F5FF"/>
                          </a:solidFill>
                        </wps:spPr>
                        <wps:bodyPr wrap="square" lIns="0" tIns="0" rIns="0" bIns="0" rtlCol="0">
                          <a:prstTxWarp prst="textNoShape">
                            <a:avLst/>
                          </a:prstTxWarp>
                          <a:noAutofit/>
                        </wps:bodyPr>
                      </wps:wsp>
                      <wps:wsp>
                        <wps:cNvPr id="303" name="Textbox 303"/>
                        <wps:cNvSpPr txBox="1"/>
                        <wps:spPr>
                          <a:xfrm>
                            <a:off x="6023221" y="302834"/>
                            <a:ext cx="403860" cy="116839"/>
                          </a:xfrm>
                          <a:prstGeom prst="rect">
                            <a:avLst/>
                          </a:prstGeom>
                        </wps:spPr>
                        <wps:txbx>
                          <w:txbxContent>
                            <w:p w14:paraId="6BCBDD12" w14:textId="77777777" w:rsidR="00084F36" w:rsidRDefault="00EB2BD8">
                              <w:pPr>
                                <w:spacing w:line="183" w:lineRule="exact"/>
                                <w:rPr>
                                  <w:sz w:val="16"/>
                                </w:rPr>
                              </w:pPr>
                              <w:r>
                                <w:rPr>
                                  <w:spacing w:val="-10"/>
                                  <w:sz w:val="16"/>
                                </w:rPr>
                                <w:t>2022–23</w:t>
                              </w:r>
                            </w:p>
                          </w:txbxContent>
                        </wps:txbx>
                        <wps:bodyPr wrap="square" lIns="0" tIns="0" rIns="0" bIns="0" rtlCol="0">
                          <a:noAutofit/>
                        </wps:bodyPr>
                      </wps:wsp>
                      <wps:wsp>
                        <wps:cNvPr id="304" name="Textbox 304"/>
                        <wps:cNvSpPr txBox="1"/>
                        <wps:spPr>
                          <a:xfrm>
                            <a:off x="50766" y="302834"/>
                            <a:ext cx="644525" cy="116839"/>
                          </a:xfrm>
                          <a:prstGeom prst="rect">
                            <a:avLst/>
                          </a:prstGeom>
                        </wps:spPr>
                        <wps:txbx>
                          <w:txbxContent>
                            <w:p w14:paraId="4CAAB7F6" w14:textId="77777777" w:rsidR="00084F36" w:rsidRDefault="00EB2BD8">
                              <w:pPr>
                                <w:spacing w:line="183" w:lineRule="exact"/>
                                <w:rPr>
                                  <w:sz w:val="16"/>
                                </w:rPr>
                              </w:pPr>
                              <w:r>
                                <w:rPr>
                                  <w:spacing w:val="-2"/>
                                  <w:w w:val="105"/>
                                  <w:sz w:val="16"/>
                                </w:rPr>
                                <w:t>Webinar</w:t>
                              </w:r>
                              <w:r>
                                <w:rPr>
                                  <w:spacing w:val="-13"/>
                                  <w:w w:val="105"/>
                                  <w:sz w:val="16"/>
                                </w:rPr>
                                <w:t xml:space="preserve"> </w:t>
                              </w:r>
                              <w:r>
                                <w:rPr>
                                  <w:spacing w:val="-2"/>
                                  <w:w w:val="105"/>
                                  <w:sz w:val="16"/>
                                </w:rPr>
                                <w:t>title</w:t>
                              </w:r>
                            </w:p>
                          </w:txbxContent>
                        </wps:txbx>
                        <wps:bodyPr wrap="square" lIns="0" tIns="0" rIns="0" bIns="0" rtlCol="0">
                          <a:noAutofit/>
                        </wps:bodyPr>
                      </wps:wsp>
                      <wps:wsp>
                        <wps:cNvPr id="305" name="Textbox 305"/>
                        <wps:cNvSpPr txBox="1"/>
                        <wps:spPr>
                          <a:xfrm>
                            <a:off x="0" y="0"/>
                            <a:ext cx="6480175" cy="245745"/>
                          </a:xfrm>
                          <a:prstGeom prst="rect">
                            <a:avLst/>
                          </a:prstGeom>
                          <a:solidFill>
                            <a:srgbClr val="005F83"/>
                          </a:solidFill>
                        </wps:spPr>
                        <wps:txbx>
                          <w:txbxContent>
                            <w:p w14:paraId="1F87630B" w14:textId="77777777" w:rsidR="00084F36" w:rsidRDefault="00EB2BD8">
                              <w:pPr>
                                <w:spacing w:before="118"/>
                                <w:ind w:left="113"/>
                                <w:rPr>
                                  <w:color w:val="000000"/>
                                  <w:sz w:val="16"/>
                                </w:rPr>
                              </w:pPr>
                              <w:r>
                                <w:rPr>
                                  <w:color w:val="FFFFFF"/>
                                  <w:sz w:val="16"/>
                                </w:rPr>
                                <w:t>Practitioner</w:t>
                              </w:r>
                              <w:r>
                                <w:rPr>
                                  <w:color w:val="FFFFFF"/>
                                  <w:spacing w:val="22"/>
                                  <w:sz w:val="16"/>
                                </w:rPr>
                                <w:t xml:space="preserve"> </w:t>
                              </w:r>
                              <w:r>
                                <w:rPr>
                                  <w:color w:val="FFFFFF"/>
                                  <w:sz w:val="16"/>
                                </w:rPr>
                                <w:t>Education</w:t>
                              </w:r>
                              <w:r>
                                <w:rPr>
                                  <w:color w:val="FFFFFF"/>
                                  <w:spacing w:val="22"/>
                                  <w:sz w:val="16"/>
                                </w:rPr>
                                <w:t xml:space="preserve"> </w:t>
                              </w:r>
                              <w:r>
                                <w:rPr>
                                  <w:color w:val="FFFFFF"/>
                                  <w:sz w:val="16"/>
                                </w:rPr>
                                <w:t>Series</w:t>
                              </w:r>
                              <w:r>
                                <w:rPr>
                                  <w:color w:val="FFFFFF"/>
                                  <w:spacing w:val="22"/>
                                  <w:sz w:val="16"/>
                                </w:rPr>
                                <w:t xml:space="preserve"> </w:t>
                              </w:r>
                              <w:r>
                                <w:rPr>
                                  <w:color w:val="FFFFFF"/>
                                  <w:spacing w:val="-2"/>
                                  <w:sz w:val="16"/>
                                </w:rPr>
                                <w:t>(Webinars)</w:t>
                              </w:r>
                            </w:p>
                          </w:txbxContent>
                        </wps:txbx>
                        <wps:bodyPr wrap="square" lIns="0" tIns="0" rIns="0" bIns="0" rtlCol="0">
                          <a:noAutofit/>
                        </wps:bodyPr>
                      </wps:wsp>
                    </wpg:wgp>
                  </a:graphicData>
                </a:graphic>
              </wp:anchor>
            </w:drawing>
          </mc:Choice>
          <mc:Fallback>
            <w:pict>
              <v:group w14:anchorId="39A5473D" id="Group 301" o:spid="_x0000_s1027" alt="&quot;&quot;" style="position:absolute;margin-left:42.5pt;margin-top:12.1pt;width:510.25pt;height:35.35pt;z-index:-251359232;mso-wrap-distance-left:0;mso-wrap-distance-right:0;mso-position-horizontal-relative:page" coordsize="64801,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">
                <v:shape id="Graphic 302" o:spid="_x0000_s1028" style="position:absolute;top:2455;width:64662;height:2032;visibility:visible;mso-wrap-style:square;v-text-anchor:top" coordsize="646620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" path="m6465595,l4413605,,,,,203200r4413593,l6465595,203200,6465595,xe" fillcolor="#e5f5ff" stroked="f">
                  <v:path arrowok="t"/>
                </v:shape>
                <v:shape id="Textbox 303" o:spid="_x0000_s1029" type="#_x0000_t202" style="position:absolute;left:60232;top:3028;width:403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6BCBDD12" w14:textId="77777777" w:rsidR="00084F36" w:rsidRDefault="00EB2BD8">
                        <w:pPr>
                          <w:spacing w:line="183" w:lineRule="exact"/>
                          <w:rPr>
                            <w:sz w:val="16"/>
                          </w:rPr>
                        </w:pPr>
                        <w:r>
                          <w:rPr>
                            <w:spacing w:val="-10"/>
                            <w:sz w:val="16"/>
                          </w:rPr>
                          <w:t>2022–23</w:t>
                        </w:r>
                      </w:p>
                    </w:txbxContent>
                  </v:textbox>
                </v:shape>
                <v:shape id="Textbox 304" o:spid="_x0000_s1030" type="#_x0000_t202" style="position:absolute;left:507;top:3028;width:644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4CAAB7F6" w14:textId="77777777" w:rsidR="00084F36" w:rsidRDefault="00EB2BD8">
                        <w:pPr>
                          <w:spacing w:line="183" w:lineRule="exact"/>
                          <w:rPr>
                            <w:sz w:val="16"/>
                          </w:rPr>
                        </w:pPr>
                        <w:r>
                          <w:rPr>
                            <w:spacing w:val="-2"/>
                            <w:w w:val="105"/>
                            <w:sz w:val="16"/>
                          </w:rPr>
                          <w:t>Webinar</w:t>
                        </w:r>
                        <w:r>
                          <w:rPr>
                            <w:spacing w:val="-13"/>
                            <w:w w:val="105"/>
                            <w:sz w:val="16"/>
                          </w:rPr>
                          <w:t xml:space="preserve"> </w:t>
                        </w:r>
                        <w:r>
                          <w:rPr>
                            <w:spacing w:val="-2"/>
                            <w:w w:val="105"/>
                            <w:sz w:val="16"/>
                          </w:rPr>
                          <w:t>title</w:t>
                        </w:r>
                      </w:p>
                    </w:txbxContent>
                  </v:textbox>
                </v:shape>
                <v:shape id="Textbox 305" o:spid="_x0000_s1031" type="#_x0000_t202" style="position:absolute;width:648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" fillcolor="#005f83" stroked="f">
                  <v:textbox inset="0,0,0,0">
                    <w:txbxContent>
                      <w:p w14:paraId="1F87630B" w14:textId="77777777" w:rsidR="00084F36" w:rsidRDefault="00EB2BD8">
                        <w:pPr>
                          <w:spacing w:before="118"/>
                          <w:ind w:left="113"/>
                          <w:rPr>
                            <w:color w:val="000000"/>
                            <w:sz w:val="16"/>
                          </w:rPr>
                        </w:pPr>
                        <w:r>
                          <w:rPr>
                            <w:color w:val="FFFFFF"/>
                            <w:sz w:val="16"/>
                          </w:rPr>
                          <w:t>Practitioner</w:t>
                        </w:r>
                        <w:r>
                          <w:rPr>
                            <w:color w:val="FFFFFF"/>
                            <w:spacing w:val="22"/>
                            <w:sz w:val="16"/>
                          </w:rPr>
                          <w:t xml:space="preserve"> </w:t>
                        </w:r>
                        <w:r>
                          <w:rPr>
                            <w:color w:val="FFFFFF"/>
                            <w:sz w:val="16"/>
                          </w:rPr>
                          <w:t>Education</w:t>
                        </w:r>
                        <w:r>
                          <w:rPr>
                            <w:color w:val="FFFFFF"/>
                            <w:spacing w:val="22"/>
                            <w:sz w:val="16"/>
                          </w:rPr>
                          <w:t xml:space="preserve"> </w:t>
                        </w:r>
                        <w:r>
                          <w:rPr>
                            <w:color w:val="FFFFFF"/>
                            <w:sz w:val="16"/>
                          </w:rPr>
                          <w:t>Series</w:t>
                        </w:r>
                        <w:r>
                          <w:rPr>
                            <w:color w:val="FFFFFF"/>
                            <w:spacing w:val="22"/>
                            <w:sz w:val="16"/>
                          </w:rPr>
                          <w:t xml:space="preserve"> </w:t>
                        </w:r>
                        <w:r>
                          <w:rPr>
                            <w:color w:val="FFFFFF"/>
                            <w:spacing w:val="-2"/>
                            <w:sz w:val="16"/>
                          </w:rPr>
                          <w:t>(Webinars)</w:t>
                        </w:r>
                      </w:p>
                    </w:txbxContent>
                  </v:textbox>
                </v:shape>
                <w10:wrap type="topAndBottom" anchorx="page"/>
              </v:group>
            </w:pict>
          </mc:Fallback>
        </mc:AlternateContent>
      </w:r>
    </w:p>
    <w:p w14:paraId="2AD0C7BF" w14:textId="106986E1" w:rsidR="00084F36" w:rsidRPr="00EB2BD8" w:rsidRDefault="00EB2BD8">
      <w:pPr>
        <w:tabs>
          <w:tab w:val="left" w:pos="9663"/>
        </w:tabs>
        <w:spacing w:before="119"/>
        <w:ind w:left="963"/>
        <w:rPr>
          <w:sz w:val="16"/>
        </w:rPr>
      </w:pPr>
      <w:r w:rsidRPr="00EB2BD8">
        <w:rPr>
          <w:sz w:val="16"/>
        </w:rPr>
        <w:t>Proactive</w:t>
      </w:r>
      <w:r w:rsidRPr="00EB2BD8">
        <w:rPr>
          <w:spacing w:val="-10"/>
          <w:sz w:val="16"/>
        </w:rPr>
        <w:t xml:space="preserve"> </w:t>
      </w:r>
      <w:r w:rsidRPr="00EB2BD8">
        <w:rPr>
          <w:sz w:val="16"/>
        </w:rPr>
        <w:t>Inspections</w:t>
      </w:r>
      <w:r w:rsidRPr="00EB2BD8">
        <w:rPr>
          <w:spacing w:val="-9"/>
          <w:sz w:val="16"/>
        </w:rPr>
        <w:t xml:space="preserve"> </w:t>
      </w:r>
      <w:r w:rsidRPr="00EB2BD8">
        <w:rPr>
          <w:sz w:val="16"/>
        </w:rPr>
        <w:t>Program:</w:t>
      </w:r>
      <w:r w:rsidRPr="00EB2BD8">
        <w:rPr>
          <w:spacing w:val="-9"/>
          <w:sz w:val="16"/>
        </w:rPr>
        <w:t xml:space="preserve"> </w:t>
      </w:r>
      <w:r w:rsidRPr="00EB2BD8">
        <w:rPr>
          <w:sz w:val="16"/>
        </w:rPr>
        <w:t>Building</w:t>
      </w:r>
      <w:r w:rsidRPr="00EB2BD8">
        <w:rPr>
          <w:spacing w:val="-10"/>
          <w:sz w:val="16"/>
        </w:rPr>
        <w:t xml:space="preserve"> </w:t>
      </w:r>
      <w:r w:rsidRPr="00EB2BD8">
        <w:rPr>
          <w:sz w:val="16"/>
        </w:rPr>
        <w:t>and</w:t>
      </w:r>
      <w:r w:rsidRPr="00EB2BD8">
        <w:rPr>
          <w:spacing w:val="-9"/>
          <w:sz w:val="16"/>
        </w:rPr>
        <w:t xml:space="preserve"> </w:t>
      </w:r>
      <w:r w:rsidRPr="00EB2BD8">
        <w:rPr>
          <w:sz w:val="16"/>
        </w:rPr>
        <w:t>Plumbing</w:t>
      </w:r>
      <w:r w:rsidRPr="00EB2BD8">
        <w:rPr>
          <w:spacing w:val="-9"/>
          <w:sz w:val="16"/>
        </w:rPr>
        <w:t xml:space="preserve"> </w:t>
      </w:r>
      <w:r w:rsidRPr="00EB2BD8">
        <w:rPr>
          <w:spacing w:val="-2"/>
          <w:sz w:val="16"/>
        </w:rPr>
        <w:t>performance</w:t>
      </w:r>
      <w:r w:rsidRPr="00EB2BD8">
        <w:rPr>
          <w:sz w:val="16"/>
        </w:rPr>
        <w:tab/>
      </w:r>
      <w:r w:rsidRPr="00EB2BD8">
        <w:rPr>
          <w:spacing w:val="-2"/>
          <w:w w:val="90"/>
          <w:sz w:val="16"/>
        </w:rPr>
        <w:t>623</w:t>
      </w:r>
      <w:r w:rsidRPr="00EB2BD8">
        <w:rPr>
          <w:spacing w:val="-3"/>
          <w:w w:val="90"/>
          <w:sz w:val="16"/>
        </w:rPr>
        <w:t xml:space="preserve"> </w:t>
      </w:r>
      <w:r w:rsidRPr="00EB2BD8">
        <w:rPr>
          <w:spacing w:val="-2"/>
          <w:sz w:val="16"/>
        </w:rPr>
        <w:t>participants</w:t>
      </w:r>
    </w:p>
    <w:p w14:paraId="268BAF9F"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1965440" behindDoc="1" locked="0" layoutInCell="1" allowOverlap="1" wp14:anchorId="73FF986C" wp14:editId="142A9EFF">
                <wp:simplePos x="0" y="0"/>
                <wp:positionH relativeFrom="page">
                  <wp:posOffset>540000</wp:posOffset>
                </wp:positionH>
                <wp:positionV relativeFrom="paragraph">
                  <wp:posOffset>48796</wp:posOffset>
                </wp:positionV>
                <wp:extent cx="6466205" cy="3175"/>
                <wp:effectExtent l="0" t="0" r="0" b="0"/>
                <wp:wrapTopAndBottom/>
                <wp:docPr id="306" name="Group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6205" cy="3175"/>
                          <a:chOff x="0" y="0"/>
                          <a:chExt cx="6466205" cy="3175"/>
                        </a:xfrm>
                      </wpg:grpSpPr>
                      <wps:wsp>
                        <wps:cNvPr id="307" name="Graphic 307"/>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08" name="Graphic 308"/>
                        <wps:cNvSpPr/>
                        <wps:spPr>
                          <a:xfrm>
                            <a:off x="4413599" y="1587"/>
                            <a:ext cx="2052320" cy="1270"/>
                          </a:xfrm>
                          <a:custGeom>
                            <a:avLst/>
                            <a:gdLst/>
                            <a:ahLst/>
                            <a:cxnLst/>
                            <a:rect l="l" t="t" r="r" b="b"/>
                            <a:pathLst>
                              <a:path w="2052320">
                                <a:moveTo>
                                  <a:pt x="0" y="0"/>
                                </a:moveTo>
                                <a:lnTo>
                                  <a:pt x="2052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A2181C" id="Group 306" o:spid="_x0000_s1026" alt="&quot;&quot;" style="position:absolute;margin-left:42.5pt;margin-top:3.85pt;width:509.15pt;height:.25pt;z-index:-251351040;mso-wrap-distance-left:0;mso-wrap-distance-right:0;mso-position-horizontal-relative:page" coordsize="646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">
                <v:shape id="Graphic 307"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" path="m,l4413605,e" filled="f" strokeweight=".25pt">
                  <v:path arrowok="t"/>
                </v:shape>
                <v:shape id="Graphic 308" o:spid="_x0000_s1028" style="position:absolute;left:44135;top:15;width:20524;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" path="m,l2052002,e" filled="f" strokeweight=".25pt">
                  <v:path arrowok="t"/>
                </v:shape>
                <w10:wrap type="topAndBottom" anchorx="page"/>
              </v:group>
            </w:pict>
          </mc:Fallback>
        </mc:AlternateContent>
      </w:r>
    </w:p>
    <w:p w14:paraId="57DD3A4E" w14:textId="77777777" w:rsidR="00084F36" w:rsidRPr="00EB2BD8" w:rsidRDefault="00EB2BD8">
      <w:pPr>
        <w:tabs>
          <w:tab w:val="left" w:pos="9576"/>
        </w:tabs>
        <w:spacing w:before="116"/>
        <w:ind w:left="963"/>
        <w:rPr>
          <w:sz w:val="16"/>
        </w:rPr>
      </w:pPr>
      <w:r w:rsidRPr="00EB2BD8">
        <w:rPr>
          <w:sz w:val="16"/>
        </w:rPr>
        <w:t>Building</w:t>
      </w:r>
      <w:r w:rsidRPr="00EB2BD8">
        <w:rPr>
          <w:spacing w:val="-3"/>
          <w:sz w:val="16"/>
        </w:rPr>
        <w:t xml:space="preserve"> </w:t>
      </w:r>
      <w:r w:rsidRPr="00EB2BD8">
        <w:rPr>
          <w:sz w:val="16"/>
        </w:rPr>
        <w:t>Permit</w:t>
      </w:r>
      <w:r w:rsidRPr="00EB2BD8">
        <w:rPr>
          <w:spacing w:val="-3"/>
          <w:sz w:val="16"/>
        </w:rPr>
        <w:t xml:space="preserve"> </w:t>
      </w:r>
      <w:r w:rsidRPr="00EB2BD8">
        <w:rPr>
          <w:sz w:val="16"/>
        </w:rPr>
        <w:t>Process</w:t>
      </w:r>
      <w:r w:rsidRPr="00EB2BD8">
        <w:rPr>
          <w:spacing w:val="-3"/>
          <w:sz w:val="16"/>
        </w:rPr>
        <w:t xml:space="preserve"> </w:t>
      </w:r>
      <w:r w:rsidRPr="00EB2BD8">
        <w:rPr>
          <w:w w:val="105"/>
          <w:sz w:val="16"/>
        </w:rPr>
        <w:t>-</w:t>
      </w:r>
      <w:r w:rsidRPr="00EB2BD8">
        <w:rPr>
          <w:spacing w:val="-5"/>
          <w:w w:val="105"/>
          <w:sz w:val="16"/>
        </w:rPr>
        <w:t xml:space="preserve"> </w:t>
      </w:r>
      <w:r w:rsidRPr="00EB2BD8">
        <w:rPr>
          <w:sz w:val="16"/>
        </w:rPr>
        <w:t>Back</w:t>
      </w:r>
      <w:r w:rsidRPr="00EB2BD8">
        <w:rPr>
          <w:spacing w:val="-2"/>
          <w:sz w:val="16"/>
        </w:rPr>
        <w:t xml:space="preserve"> </w:t>
      </w:r>
      <w:r w:rsidRPr="00EB2BD8">
        <w:rPr>
          <w:sz w:val="16"/>
        </w:rPr>
        <w:t>to</w:t>
      </w:r>
      <w:r w:rsidRPr="00EB2BD8">
        <w:rPr>
          <w:spacing w:val="-3"/>
          <w:sz w:val="16"/>
        </w:rPr>
        <w:t xml:space="preserve"> </w:t>
      </w:r>
      <w:r w:rsidRPr="00EB2BD8">
        <w:rPr>
          <w:spacing w:val="-2"/>
          <w:w w:val="95"/>
          <w:sz w:val="16"/>
        </w:rPr>
        <w:t>Basics</w:t>
      </w:r>
      <w:r w:rsidRPr="00EB2BD8">
        <w:rPr>
          <w:sz w:val="16"/>
        </w:rPr>
        <w:tab/>
      </w:r>
      <w:r w:rsidRPr="00EB2BD8">
        <w:rPr>
          <w:w w:val="75"/>
          <w:sz w:val="16"/>
        </w:rPr>
        <w:t>1,432</w:t>
      </w:r>
      <w:r w:rsidRPr="00EB2BD8">
        <w:rPr>
          <w:sz w:val="16"/>
        </w:rPr>
        <w:t xml:space="preserve"> </w:t>
      </w:r>
      <w:r w:rsidRPr="00EB2BD8">
        <w:rPr>
          <w:spacing w:val="-2"/>
          <w:sz w:val="16"/>
        </w:rPr>
        <w:t>participants</w:t>
      </w:r>
    </w:p>
    <w:p w14:paraId="5D12B07B"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1973632" behindDoc="1" locked="0" layoutInCell="1" allowOverlap="1" wp14:anchorId="78BD63AD" wp14:editId="422268C4">
                <wp:simplePos x="0" y="0"/>
                <wp:positionH relativeFrom="page">
                  <wp:posOffset>540000</wp:posOffset>
                </wp:positionH>
                <wp:positionV relativeFrom="paragraph">
                  <wp:posOffset>49107</wp:posOffset>
                </wp:positionV>
                <wp:extent cx="6466205" cy="3175"/>
                <wp:effectExtent l="0" t="0" r="0" b="0"/>
                <wp:wrapTopAndBottom/>
                <wp:docPr id="309" name="Group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6205" cy="3175"/>
                          <a:chOff x="0" y="0"/>
                          <a:chExt cx="6466205" cy="3175"/>
                        </a:xfrm>
                      </wpg:grpSpPr>
                      <wps:wsp>
                        <wps:cNvPr id="310" name="Graphic 310"/>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11" name="Graphic 311"/>
                        <wps:cNvSpPr/>
                        <wps:spPr>
                          <a:xfrm>
                            <a:off x="4413599" y="1587"/>
                            <a:ext cx="2052320" cy="1270"/>
                          </a:xfrm>
                          <a:custGeom>
                            <a:avLst/>
                            <a:gdLst/>
                            <a:ahLst/>
                            <a:cxnLst/>
                            <a:rect l="l" t="t" r="r" b="b"/>
                            <a:pathLst>
                              <a:path w="2052320">
                                <a:moveTo>
                                  <a:pt x="0" y="0"/>
                                </a:moveTo>
                                <a:lnTo>
                                  <a:pt x="2052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900946" id="Group 309" o:spid="_x0000_s1026" alt="&quot;&quot;" style="position:absolute;margin-left:42.5pt;margin-top:3.85pt;width:509.15pt;height:.25pt;z-index:-251342848;mso-wrap-distance-left:0;mso-wrap-distance-right:0;mso-position-horizontal-relative:page" coordsize="646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">
                <v:shape id="Graphic 310"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" path="m,l4413605,e" filled="f" strokeweight=".25pt">
                  <v:path arrowok="t"/>
                </v:shape>
                <v:shape id="Graphic 311" o:spid="_x0000_s1028" style="position:absolute;left:44135;top:15;width:20524;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" path="m,l2052002,e" filled="f" strokeweight=".25pt">
                  <v:path arrowok="t"/>
                </v:shape>
                <w10:wrap type="topAndBottom" anchorx="page"/>
              </v:group>
            </w:pict>
          </mc:Fallback>
        </mc:AlternateContent>
      </w:r>
    </w:p>
    <w:p w14:paraId="310938F9" w14:textId="77777777" w:rsidR="00084F36" w:rsidRPr="00EB2BD8" w:rsidRDefault="00EB2BD8">
      <w:pPr>
        <w:tabs>
          <w:tab w:val="left" w:pos="9747"/>
        </w:tabs>
        <w:spacing w:before="116"/>
        <w:ind w:left="963"/>
        <w:rPr>
          <w:sz w:val="16"/>
        </w:rPr>
      </w:pPr>
      <w:r w:rsidRPr="00EB2BD8">
        <w:rPr>
          <w:sz w:val="16"/>
        </w:rPr>
        <w:t>NCC</w:t>
      </w:r>
      <w:r w:rsidRPr="00EB2BD8">
        <w:rPr>
          <w:spacing w:val="-9"/>
          <w:sz w:val="16"/>
        </w:rPr>
        <w:t xml:space="preserve"> </w:t>
      </w:r>
      <w:r w:rsidRPr="00EB2BD8">
        <w:rPr>
          <w:sz w:val="16"/>
        </w:rPr>
        <w:t>Final</w:t>
      </w:r>
      <w:r w:rsidRPr="00EB2BD8">
        <w:rPr>
          <w:spacing w:val="-8"/>
          <w:sz w:val="16"/>
        </w:rPr>
        <w:t xml:space="preserve"> </w:t>
      </w:r>
      <w:r w:rsidRPr="00EB2BD8">
        <w:rPr>
          <w:sz w:val="16"/>
        </w:rPr>
        <w:t>webinar</w:t>
      </w:r>
      <w:r w:rsidRPr="00EB2BD8">
        <w:rPr>
          <w:spacing w:val="-8"/>
          <w:sz w:val="16"/>
        </w:rPr>
        <w:t xml:space="preserve"> </w:t>
      </w:r>
      <w:r w:rsidRPr="00EB2BD8">
        <w:rPr>
          <w:sz w:val="16"/>
        </w:rPr>
        <w:t>Volume</w:t>
      </w:r>
      <w:r w:rsidRPr="00EB2BD8">
        <w:rPr>
          <w:spacing w:val="-9"/>
          <w:sz w:val="16"/>
        </w:rPr>
        <w:t xml:space="preserve"> </w:t>
      </w:r>
      <w:r w:rsidRPr="00EB2BD8">
        <w:rPr>
          <w:spacing w:val="-10"/>
          <w:sz w:val="16"/>
        </w:rPr>
        <w:t>3</w:t>
      </w:r>
      <w:r w:rsidRPr="00EB2BD8">
        <w:rPr>
          <w:sz w:val="16"/>
        </w:rPr>
        <w:tab/>
      </w:r>
      <w:r w:rsidRPr="00EB2BD8">
        <w:rPr>
          <w:w w:val="60"/>
          <w:sz w:val="16"/>
        </w:rPr>
        <w:t>117</w:t>
      </w:r>
      <w:r w:rsidRPr="00EB2BD8">
        <w:rPr>
          <w:spacing w:val="-8"/>
          <w:sz w:val="16"/>
        </w:rPr>
        <w:t xml:space="preserve"> </w:t>
      </w:r>
      <w:r w:rsidRPr="00EB2BD8">
        <w:rPr>
          <w:spacing w:val="-2"/>
          <w:sz w:val="16"/>
        </w:rPr>
        <w:t>participants</w:t>
      </w:r>
    </w:p>
    <w:p w14:paraId="49DB7D93"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1981824" behindDoc="1" locked="0" layoutInCell="1" allowOverlap="1" wp14:anchorId="38D1D393" wp14:editId="3D19EFA9">
                <wp:simplePos x="0" y="0"/>
                <wp:positionH relativeFrom="page">
                  <wp:posOffset>540000</wp:posOffset>
                </wp:positionH>
                <wp:positionV relativeFrom="paragraph">
                  <wp:posOffset>49106</wp:posOffset>
                </wp:positionV>
                <wp:extent cx="6466205" cy="3175"/>
                <wp:effectExtent l="0" t="0" r="0" b="0"/>
                <wp:wrapTopAndBottom/>
                <wp:docPr id="312" name="Group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6205" cy="3175"/>
                          <a:chOff x="0" y="0"/>
                          <a:chExt cx="6466205" cy="3175"/>
                        </a:xfrm>
                      </wpg:grpSpPr>
                      <wps:wsp>
                        <wps:cNvPr id="313" name="Graphic 313"/>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14" name="Graphic 314"/>
                        <wps:cNvSpPr/>
                        <wps:spPr>
                          <a:xfrm>
                            <a:off x="4413599" y="1587"/>
                            <a:ext cx="2052320" cy="1270"/>
                          </a:xfrm>
                          <a:custGeom>
                            <a:avLst/>
                            <a:gdLst/>
                            <a:ahLst/>
                            <a:cxnLst/>
                            <a:rect l="l" t="t" r="r" b="b"/>
                            <a:pathLst>
                              <a:path w="2052320">
                                <a:moveTo>
                                  <a:pt x="0" y="0"/>
                                </a:moveTo>
                                <a:lnTo>
                                  <a:pt x="2052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23EDE1" id="Group 312" o:spid="_x0000_s1026" alt="&quot;&quot;" style="position:absolute;margin-left:42.5pt;margin-top:3.85pt;width:509.15pt;height:.25pt;z-index:-251334656;mso-wrap-distance-left:0;mso-wrap-distance-right:0;mso-position-horizontal-relative:page" coordsize="646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">
                <v:shape id="Graphic 313"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" path="m,l4413605,e" filled="f" strokeweight=".25pt">
                  <v:path arrowok="t"/>
                </v:shape>
                <v:shape id="Graphic 314" o:spid="_x0000_s1028" style="position:absolute;left:44135;top:15;width:20524;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" path="m,l2052002,e" filled="f" strokeweight=".25pt">
                  <v:path arrowok="t"/>
                </v:shape>
                <w10:wrap type="topAndBottom" anchorx="page"/>
              </v:group>
            </w:pict>
          </mc:Fallback>
        </mc:AlternateContent>
      </w:r>
    </w:p>
    <w:p w14:paraId="046D576F" w14:textId="77777777" w:rsidR="00084F36" w:rsidRPr="00EB2BD8" w:rsidRDefault="00EB2BD8">
      <w:pPr>
        <w:tabs>
          <w:tab w:val="left" w:pos="9573"/>
        </w:tabs>
        <w:spacing w:before="116"/>
        <w:ind w:left="963"/>
        <w:rPr>
          <w:sz w:val="16"/>
        </w:rPr>
      </w:pPr>
      <w:r w:rsidRPr="00EB2BD8">
        <w:rPr>
          <w:sz w:val="16"/>
        </w:rPr>
        <w:t>NCC</w:t>
      </w:r>
      <w:r w:rsidRPr="00EB2BD8">
        <w:rPr>
          <w:spacing w:val="-9"/>
          <w:sz w:val="16"/>
        </w:rPr>
        <w:t xml:space="preserve"> </w:t>
      </w:r>
      <w:r w:rsidRPr="00EB2BD8">
        <w:rPr>
          <w:sz w:val="16"/>
        </w:rPr>
        <w:t>Final</w:t>
      </w:r>
      <w:r w:rsidRPr="00EB2BD8">
        <w:rPr>
          <w:spacing w:val="-9"/>
          <w:sz w:val="16"/>
        </w:rPr>
        <w:t xml:space="preserve"> </w:t>
      </w:r>
      <w:r w:rsidRPr="00EB2BD8">
        <w:rPr>
          <w:sz w:val="16"/>
        </w:rPr>
        <w:t>webinar</w:t>
      </w:r>
      <w:r w:rsidRPr="00EB2BD8">
        <w:rPr>
          <w:spacing w:val="-9"/>
          <w:sz w:val="16"/>
        </w:rPr>
        <w:t xml:space="preserve"> </w:t>
      </w:r>
      <w:r w:rsidRPr="00EB2BD8">
        <w:rPr>
          <w:sz w:val="16"/>
        </w:rPr>
        <w:t>Volumes</w:t>
      </w:r>
      <w:r w:rsidRPr="00EB2BD8">
        <w:rPr>
          <w:spacing w:val="-8"/>
          <w:sz w:val="16"/>
        </w:rPr>
        <w:t xml:space="preserve"> </w:t>
      </w:r>
      <w:r w:rsidRPr="00EB2BD8">
        <w:rPr>
          <w:spacing w:val="-5"/>
          <w:sz w:val="16"/>
        </w:rPr>
        <w:t>1&amp;2</w:t>
      </w:r>
      <w:r w:rsidRPr="00EB2BD8">
        <w:rPr>
          <w:sz w:val="16"/>
        </w:rPr>
        <w:tab/>
      </w:r>
      <w:r w:rsidRPr="00EB2BD8">
        <w:rPr>
          <w:w w:val="75"/>
          <w:sz w:val="16"/>
        </w:rPr>
        <w:t>1,653</w:t>
      </w:r>
      <w:r w:rsidRPr="00EB2BD8">
        <w:rPr>
          <w:spacing w:val="3"/>
          <w:sz w:val="16"/>
        </w:rPr>
        <w:t xml:space="preserve"> </w:t>
      </w:r>
      <w:r w:rsidRPr="00EB2BD8">
        <w:rPr>
          <w:spacing w:val="-2"/>
          <w:sz w:val="16"/>
        </w:rPr>
        <w:t>participants</w:t>
      </w:r>
    </w:p>
    <w:p w14:paraId="71BFE76E"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1990016" behindDoc="1" locked="0" layoutInCell="1" allowOverlap="1" wp14:anchorId="158B3143" wp14:editId="3B6829C6">
                <wp:simplePos x="0" y="0"/>
                <wp:positionH relativeFrom="page">
                  <wp:posOffset>540000</wp:posOffset>
                </wp:positionH>
                <wp:positionV relativeFrom="paragraph">
                  <wp:posOffset>49107</wp:posOffset>
                </wp:positionV>
                <wp:extent cx="6466205" cy="3175"/>
                <wp:effectExtent l="0" t="0" r="0" b="0"/>
                <wp:wrapTopAndBottom/>
                <wp:docPr id="315" name="Group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6205" cy="3175"/>
                          <a:chOff x="0" y="0"/>
                          <a:chExt cx="6466205" cy="3175"/>
                        </a:xfrm>
                      </wpg:grpSpPr>
                      <wps:wsp>
                        <wps:cNvPr id="316" name="Graphic 316"/>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17" name="Graphic 317"/>
                        <wps:cNvSpPr/>
                        <wps:spPr>
                          <a:xfrm>
                            <a:off x="4413599" y="1587"/>
                            <a:ext cx="2052320" cy="1270"/>
                          </a:xfrm>
                          <a:custGeom>
                            <a:avLst/>
                            <a:gdLst/>
                            <a:ahLst/>
                            <a:cxnLst/>
                            <a:rect l="l" t="t" r="r" b="b"/>
                            <a:pathLst>
                              <a:path w="2052320">
                                <a:moveTo>
                                  <a:pt x="0" y="0"/>
                                </a:moveTo>
                                <a:lnTo>
                                  <a:pt x="2052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EEBD74" id="Group 315" o:spid="_x0000_s1026" alt="&quot;&quot;" style="position:absolute;margin-left:42.5pt;margin-top:3.85pt;width:509.15pt;height:.25pt;z-index:-251326464;mso-wrap-distance-left:0;mso-wrap-distance-right:0;mso-position-horizontal-relative:page" coordsize="646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">
                <v:shape id="Graphic 316"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" path="m,l4413605,e" filled="f" strokeweight=".25pt">
                  <v:path arrowok="t"/>
                </v:shape>
                <v:shape id="Graphic 317" o:spid="_x0000_s1028" style="position:absolute;left:44135;top:15;width:20524;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" path="m,l2052002,e" filled="f" strokeweight=".25pt">
                  <v:path arrowok="t"/>
                </v:shape>
                <w10:wrap type="topAndBottom" anchorx="page"/>
              </v:group>
            </w:pict>
          </mc:Fallback>
        </mc:AlternateContent>
      </w:r>
    </w:p>
    <w:p w14:paraId="6A1E6A4F" w14:textId="77777777" w:rsidR="00084F36" w:rsidRPr="00EB2BD8" w:rsidRDefault="00EB2BD8">
      <w:pPr>
        <w:tabs>
          <w:tab w:val="left" w:pos="9667"/>
        </w:tabs>
        <w:spacing w:before="116"/>
        <w:ind w:left="963"/>
        <w:rPr>
          <w:sz w:val="16"/>
        </w:rPr>
      </w:pPr>
      <w:r w:rsidRPr="00EB2BD8">
        <w:rPr>
          <w:w w:val="95"/>
          <w:sz w:val="16"/>
        </w:rPr>
        <w:t>Building</w:t>
      </w:r>
      <w:r w:rsidRPr="00EB2BD8">
        <w:rPr>
          <w:spacing w:val="8"/>
          <w:sz w:val="16"/>
        </w:rPr>
        <w:t xml:space="preserve"> </w:t>
      </w:r>
      <w:r w:rsidRPr="00EB2BD8">
        <w:rPr>
          <w:w w:val="95"/>
          <w:sz w:val="16"/>
        </w:rPr>
        <w:t>Audit</w:t>
      </w:r>
      <w:r w:rsidRPr="00EB2BD8">
        <w:rPr>
          <w:spacing w:val="8"/>
          <w:sz w:val="16"/>
        </w:rPr>
        <w:t xml:space="preserve"> </w:t>
      </w:r>
      <w:r w:rsidRPr="00EB2BD8">
        <w:rPr>
          <w:w w:val="95"/>
          <w:sz w:val="16"/>
        </w:rPr>
        <w:t>Findings:</w:t>
      </w:r>
      <w:r w:rsidRPr="00EB2BD8">
        <w:rPr>
          <w:spacing w:val="9"/>
          <w:sz w:val="16"/>
        </w:rPr>
        <w:t xml:space="preserve"> </w:t>
      </w:r>
      <w:r w:rsidRPr="00EB2BD8">
        <w:rPr>
          <w:w w:val="95"/>
          <w:sz w:val="16"/>
        </w:rPr>
        <w:t>Swimming</w:t>
      </w:r>
      <w:r w:rsidRPr="00EB2BD8">
        <w:rPr>
          <w:spacing w:val="9"/>
          <w:sz w:val="16"/>
        </w:rPr>
        <w:t xml:space="preserve"> </w:t>
      </w:r>
      <w:r w:rsidRPr="00EB2BD8">
        <w:rPr>
          <w:w w:val="95"/>
          <w:sz w:val="16"/>
        </w:rPr>
        <w:t>Pool</w:t>
      </w:r>
      <w:r w:rsidRPr="00EB2BD8">
        <w:rPr>
          <w:spacing w:val="9"/>
          <w:sz w:val="16"/>
        </w:rPr>
        <w:t xml:space="preserve"> </w:t>
      </w:r>
      <w:r w:rsidRPr="00EB2BD8">
        <w:rPr>
          <w:spacing w:val="-2"/>
          <w:w w:val="95"/>
          <w:sz w:val="16"/>
        </w:rPr>
        <w:t>Compliance</w:t>
      </w:r>
      <w:r w:rsidRPr="00EB2BD8">
        <w:rPr>
          <w:sz w:val="16"/>
        </w:rPr>
        <w:tab/>
      </w:r>
      <w:r w:rsidRPr="00EB2BD8">
        <w:rPr>
          <w:w w:val="85"/>
          <w:sz w:val="16"/>
        </w:rPr>
        <w:t>382</w:t>
      </w:r>
      <w:r w:rsidRPr="00EB2BD8">
        <w:rPr>
          <w:spacing w:val="-5"/>
          <w:sz w:val="16"/>
        </w:rPr>
        <w:t xml:space="preserve"> </w:t>
      </w:r>
      <w:r w:rsidRPr="00EB2BD8">
        <w:rPr>
          <w:spacing w:val="-2"/>
          <w:sz w:val="16"/>
        </w:rPr>
        <w:t>participants</w:t>
      </w:r>
    </w:p>
    <w:p w14:paraId="2BE14293"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1998208" behindDoc="1" locked="0" layoutInCell="1" allowOverlap="1" wp14:anchorId="0E04B056" wp14:editId="26176813">
                <wp:simplePos x="0" y="0"/>
                <wp:positionH relativeFrom="page">
                  <wp:posOffset>540000</wp:posOffset>
                </wp:positionH>
                <wp:positionV relativeFrom="paragraph">
                  <wp:posOffset>49107</wp:posOffset>
                </wp:positionV>
                <wp:extent cx="6466205" cy="3175"/>
                <wp:effectExtent l="0" t="0" r="0" b="0"/>
                <wp:wrapTopAndBottom/>
                <wp:docPr id="318" name="Group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6205" cy="3175"/>
                          <a:chOff x="0" y="0"/>
                          <a:chExt cx="6466205" cy="3175"/>
                        </a:xfrm>
                      </wpg:grpSpPr>
                      <wps:wsp>
                        <wps:cNvPr id="319" name="Graphic 319"/>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20" name="Graphic 320"/>
                        <wps:cNvSpPr/>
                        <wps:spPr>
                          <a:xfrm>
                            <a:off x="4413599" y="1587"/>
                            <a:ext cx="2052320" cy="1270"/>
                          </a:xfrm>
                          <a:custGeom>
                            <a:avLst/>
                            <a:gdLst/>
                            <a:ahLst/>
                            <a:cxnLst/>
                            <a:rect l="l" t="t" r="r" b="b"/>
                            <a:pathLst>
                              <a:path w="2052320">
                                <a:moveTo>
                                  <a:pt x="0" y="0"/>
                                </a:moveTo>
                                <a:lnTo>
                                  <a:pt x="2052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0FA317" id="Group 318" o:spid="_x0000_s1026" alt="&quot;&quot;" style="position:absolute;margin-left:42.5pt;margin-top:3.85pt;width:509.15pt;height:.25pt;z-index:-251318272;mso-wrap-distance-left:0;mso-wrap-distance-right:0;mso-position-horizontal-relative:page" coordsize="646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">
                <v:shape id="Graphic 319"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" path="m,l4413605,e" filled="f" strokeweight=".25pt">
                  <v:path arrowok="t"/>
                </v:shape>
                <v:shape id="Graphic 320" o:spid="_x0000_s1028" style="position:absolute;left:44135;top:15;width:20524;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" path="m,l2052002,e" filled="f" strokeweight=".25pt">
                  <v:path arrowok="t"/>
                </v:shape>
                <w10:wrap type="topAndBottom" anchorx="page"/>
              </v:group>
            </w:pict>
          </mc:Fallback>
        </mc:AlternateContent>
      </w:r>
    </w:p>
    <w:p w14:paraId="7BC3CE20" w14:textId="77777777" w:rsidR="00084F36" w:rsidRPr="00EB2BD8" w:rsidRDefault="00EB2BD8">
      <w:pPr>
        <w:tabs>
          <w:tab w:val="left" w:pos="9581"/>
        </w:tabs>
        <w:spacing w:before="116"/>
        <w:ind w:left="963"/>
        <w:rPr>
          <w:sz w:val="16"/>
        </w:rPr>
      </w:pPr>
      <w:r w:rsidRPr="00EB2BD8">
        <w:rPr>
          <w:sz w:val="16"/>
        </w:rPr>
        <w:t>Research</w:t>
      </w:r>
      <w:r w:rsidRPr="00EB2BD8">
        <w:rPr>
          <w:spacing w:val="-11"/>
          <w:sz w:val="16"/>
        </w:rPr>
        <w:t xml:space="preserve"> </w:t>
      </w:r>
      <w:r w:rsidRPr="00EB2BD8">
        <w:rPr>
          <w:sz w:val="16"/>
        </w:rPr>
        <w:t>insights:</w:t>
      </w:r>
      <w:r w:rsidRPr="00EB2BD8">
        <w:rPr>
          <w:spacing w:val="-11"/>
          <w:sz w:val="16"/>
        </w:rPr>
        <w:t xml:space="preserve"> </w:t>
      </w:r>
      <w:r w:rsidRPr="00EB2BD8">
        <w:rPr>
          <w:sz w:val="16"/>
        </w:rPr>
        <w:t>Water</w:t>
      </w:r>
      <w:r w:rsidRPr="00EB2BD8">
        <w:rPr>
          <w:spacing w:val="-10"/>
          <w:sz w:val="16"/>
        </w:rPr>
        <w:t xml:space="preserve"> </w:t>
      </w:r>
      <w:r w:rsidRPr="00EB2BD8">
        <w:rPr>
          <w:sz w:val="16"/>
        </w:rPr>
        <w:t>damage</w:t>
      </w:r>
      <w:r w:rsidRPr="00EB2BD8">
        <w:rPr>
          <w:spacing w:val="-11"/>
          <w:sz w:val="16"/>
        </w:rPr>
        <w:t xml:space="preserve"> </w:t>
      </w:r>
      <w:r w:rsidRPr="00EB2BD8">
        <w:rPr>
          <w:sz w:val="16"/>
        </w:rPr>
        <w:t>and</w:t>
      </w:r>
      <w:r w:rsidRPr="00EB2BD8">
        <w:rPr>
          <w:spacing w:val="-10"/>
          <w:sz w:val="16"/>
        </w:rPr>
        <w:t xml:space="preserve"> </w:t>
      </w:r>
      <w:r w:rsidRPr="00EB2BD8">
        <w:rPr>
          <w:sz w:val="16"/>
        </w:rPr>
        <w:t>the</w:t>
      </w:r>
      <w:r w:rsidRPr="00EB2BD8">
        <w:rPr>
          <w:spacing w:val="-11"/>
          <w:sz w:val="16"/>
        </w:rPr>
        <w:t xml:space="preserve"> </w:t>
      </w:r>
      <w:r w:rsidRPr="00EB2BD8">
        <w:rPr>
          <w:sz w:val="16"/>
        </w:rPr>
        <w:t>risk</w:t>
      </w:r>
      <w:r w:rsidRPr="00EB2BD8">
        <w:rPr>
          <w:spacing w:val="-11"/>
          <w:sz w:val="16"/>
        </w:rPr>
        <w:t xml:space="preserve"> </w:t>
      </w:r>
      <w:r w:rsidRPr="00EB2BD8">
        <w:rPr>
          <w:sz w:val="16"/>
        </w:rPr>
        <w:t>of</w:t>
      </w:r>
      <w:r w:rsidRPr="00EB2BD8">
        <w:rPr>
          <w:spacing w:val="-10"/>
          <w:sz w:val="16"/>
        </w:rPr>
        <w:t xml:space="preserve"> </w:t>
      </w:r>
      <w:r w:rsidRPr="00EB2BD8">
        <w:rPr>
          <w:sz w:val="16"/>
        </w:rPr>
        <w:t>mould</w:t>
      </w:r>
      <w:r w:rsidRPr="00EB2BD8">
        <w:rPr>
          <w:spacing w:val="-11"/>
          <w:sz w:val="16"/>
        </w:rPr>
        <w:t xml:space="preserve"> </w:t>
      </w:r>
      <w:r w:rsidRPr="00EB2BD8">
        <w:rPr>
          <w:sz w:val="16"/>
        </w:rPr>
        <w:t>in</w:t>
      </w:r>
      <w:r w:rsidRPr="00EB2BD8">
        <w:rPr>
          <w:spacing w:val="-10"/>
          <w:sz w:val="16"/>
        </w:rPr>
        <w:t xml:space="preserve"> </w:t>
      </w:r>
      <w:r w:rsidRPr="00EB2BD8">
        <w:rPr>
          <w:spacing w:val="-2"/>
          <w:sz w:val="16"/>
        </w:rPr>
        <w:t>buildings</w:t>
      </w:r>
      <w:r w:rsidRPr="00EB2BD8">
        <w:rPr>
          <w:sz w:val="16"/>
        </w:rPr>
        <w:tab/>
      </w:r>
      <w:r w:rsidRPr="00EB2BD8">
        <w:rPr>
          <w:w w:val="75"/>
          <w:sz w:val="16"/>
        </w:rPr>
        <w:t>1,324</w:t>
      </w:r>
      <w:r w:rsidRPr="00EB2BD8">
        <w:rPr>
          <w:spacing w:val="-3"/>
          <w:sz w:val="16"/>
        </w:rPr>
        <w:t xml:space="preserve"> </w:t>
      </w:r>
      <w:r w:rsidRPr="00EB2BD8">
        <w:rPr>
          <w:spacing w:val="-2"/>
          <w:sz w:val="16"/>
        </w:rPr>
        <w:t>participants</w:t>
      </w:r>
    </w:p>
    <w:p w14:paraId="21C7A1D4"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2006400" behindDoc="1" locked="0" layoutInCell="1" allowOverlap="1" wp14:anchorId="06C938DB" wp14:editId="6B005DE4">
                <wp:simplePos x="0" y="0"/>
                <wp:positionH relativeFrom="page">
                  <wp:posOffset>540000</wp:posOffset>
                </wp:positionH>
                <wp:positionV relativeFrom="paragraph">
                  <wp:posOffset>49107</wp:posOffset>
                </wp:positionV>
                <wp:extent cx="6466205" cy="3175"/>
                <wp:effectExtent l="0" t="0" r="0" b="0"/>
                <wp:wrapTopAndBottom/>
                <wp:docPr id="321" name="Group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6205" cy="3175"/>
                          <a:chOff x="0" y="0"/>
                          <a:chExt cx="6466205" cy="3175"/>
                        </a:xfrm>
                      </wpg:grpSpPr>
                      <wps:wsp>
                        <wps:cNvPr id="322" name="Graphic 322"/>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23" name="Graphic 323"/>
                        <wps:cNvSpPr/>
                        <wps:spPr>
                          <a:xfrm>
                            <a:off x="4413599" y="1587"/>
                            <a:ext cx="2052320" cy="1270"/>
                          </a:xfrm>
                          <a:custGeom>
                            <a:avLst/>
                            <a:gdLst/>
                            <a:ahLst/>
                            <a:cxnLst/>
                            <a:rect l="l" t="t" r="r" b="b"/>
                            <a:pathLst>
                              <a:path w="2052320">
                                <a:moveTo>
                                  <a:pt x="0" y="0"/>
                                </a:moveTo>
                                <a:lnTo>
                                  <a:pt x="2052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4F7C4F" id="Group 321" o:spid="_x0000_s1026" alt="&quot;&quot;" style="position:absolute;margin-left:42.5pt;margin-top:3.85pt;width:509.15pt;height:.25pt;z-index:-251310080;mso-wrap-distance-left:0;mso-wrap-distance-right:0;mso-position-horizontal-relative:page" coordsize="646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">
                <v:shape id="Graphic 322"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" path="m,l4413605,e" filled="f" strokeweight=".25pt">
                  <v:path arrowok="t"/>
                </v:shape>
                <v:shape id="Graphic 323" o:spid="_x0000_s1028" style="position:absolute;left:44135;top:15;width:20524;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" path="m,l2052002,e" filled="f" strokeweight=".25pt">
                  <v:path arrowok="t"/>
                </v:shape>
                <w10:wrap type="topAndBottom" anchorx="page"/>
              </v:group>
            </w:pict>
          </mc:Fallback>
        </mc:AlternateContent>
      </w:r>
    </w:p>
    <w:p w14:paraId="029813C4" w14:textId="77777777" w:rsidR="00084F36" w:rsidRPr="00EB2BD8" w:rsidRDefault="00EB2BD8">
      <w:pPr>
        <w:tabs>
          <w:tab w:val="left" w:pos="9622"/>
        </w:tabs>
        <w:spacing w:before="116"/>
        <w:ind w:left="963"/>
        <w:rPr>
          <w:sz w:val="16"/>
        </w:rPr>
      </w:pPr>
      <w:r w:rsidRPr="00EB2BD8">
        <w:rPr>
          <w:sz w:val="16"/>
        </w:rPr>
        <w:t>Common</w:t>
      </w:r>
      <w:r w:rsidRPr="00EB2BD8">
        <w:rPr>
          <w:spacing w:val="-10"/>
          <w:sz w:val="16"/>
        </w:rPr>
        <w:t xml:space="preserve"> </w:t>
      </w:r>
      <w:r w:rsidRPr="00EB2BD8">
        <w:rPr>
          <w:sz w:val="16"/>
        </w:rPr>
        <w:t>roof</w:t>
      </w:r>
      <w:r w:rsidRPr="00EB2BD8">
        <w:rPr>
          <w:spacing w:val="-9"/>
          <w:sz w:val="16"/>
        </w:rPr>
        <w:t xml:space="preserve"> </w:t>
      </w:r>
      <w:r w:rsidRPr="00EB2BD8">
        <w:rPr>
          <w:sz w:val="16"/>
        </w:rPr>
        <w:t>drainage</w:t>
      </w:r>
      <w:r w:rsidRPr="00EB2BD8">
        <w:rPr>
          <w:spacing w:val="-9"/>
          <w:sz w:val="16"/>
        </w:rPr>
        <w:t xml:space="preserve"> </w:t>
      </w:r>
      <w:r w:rsidRPr="00EB2BD8">
        <w:rPr>
          <w:sz w:val="16"/>
        </w:rPr>
        <w:t>enquiries</w:t>
      </w:r>
      <w:r w:rsidRPr="00EB2BD8">
        <w:rPr>
          <w:spacing w:val="-9"/>
          <w:sz w:val="16"/>
        </w:rPr>
        <w:t xml:space="preserve"> </w:t>
      </w:r>
      <w:r w:rsidRPr="00EB2BD8">
        <w:rPr>
          <w:sz w:val="16"/>
        </w:rPr>
        <w:t>and</w:t>
      </w:r>
      <w:r w:rsidRPr="00EB2BD8">
        <w:rPr>
          <w:spacing w:val="-9"/>
          <w:sz w:val="16"/>
        </w:rPr>
        <w:t xml:space="preserve"> </w:t>
      </w:r>
      <w:r w:rsidRPr="00EB2BD8">
        <w:rPr>
          <w:sz w:val="16"/>
        </w:rPr>
        <w:t>faults</w:t>
      </w:r>
      <w:r w:rsidRPr="00EB2BD8">
        <w:rPr>
          <w:spacing w:val="-10"/>
          <w:sz w:val="16"/>
        </w:rPr>
        <w:t xml:space="preserve"> </w:t>
      </w:r>
      <w:r w:rsidRPr="00EB2BD8">
        <w:rPr>
          <w:sz w:val="16"/>
        </w:rPr>
        <w:t>–</w:t>
      </w:r>
      <w:r w:rsidRPr="00EB2BD8">
        <w:rPr>
          <w:spacing w:val="-9"/>
          <w:sz w:val="16"/>
        </w:rPr>
        <w:t xml:space="preserve"> </w:t>
      </w:r>
      <w:r w:rsidRPr="00EB2BD8">
        <w:rPr>
          <w:sz w:val="16"/>
        </w:rPr>
        <w:t>box</w:t>
      </w:r>
      <w:r w:rsidRPr="00EB2BD8">
        <w:rPr>
          <w:spacing w:val="-9"/>
          <w:sz w:val="16"/>
        </w:rPr>
        <w:t xml:space="preserve"> </w:t>
      </w:r>
      <w:r w:rsidRPr="00EB2BD8">
        <w:rPr>
          <w:spacing w:val="-2"/>
          <w:sz w:val="16"/>
        </w:rPr>
        <w:t>gutters</w:t>
      </w:r>
      <w:r w:rsidRPr="00EB2BD8">
        <w:rPr>
          <w:sz w:val="16"/>
        </w:rPr>
        <w:tab/>
      </w:r>
      <w:r w:rsidRPr="00EB2BD8">
        <w:rPr>
          <w:w w:val="65"/>
          <w:sz w:val="16"/>
        </w:rPr>
        <w:t>1,471</w:t>
      </w:r>
      <w:r w:rsidRPr="00EB2BD8">
        <w:rPr>
          <w:spacing w:val="1"/>
          <w:sz w:val="16"/>
        </w:rPr>
        <w:t xml:space="preserve"> </w:t>
      </w:r>
      <w:r w:rsidRPr="00EB2BD8">
        <w:rPr>
          <w:spacing w:val="-2"/>
          <w:sz w:val="16"/>
        </w:rPr>
        <w:t>participants</w:t>
      </w:r>
    </w:p>
    <w:p w14:paraId="1F3B0033"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2014592" behindDoc="1" locked="0" layoutInCell="1" allowOverlap="1" wp14:anchorId="681D4342" wp14:editId="081EEE7D">
                <wp:simplePos x="0" y="0"/>
                <wp:positionH relativeFrom="page">
                  <wp:posOffset>540000</wp:posOffset>
                </wp:positionH>
                <wp:positionV relativeFrom="paragraph">
                  <wp:posOffset>49107</wp:posOffset>
                </wp:positionV>
                <wp:extent cx="6466205" cy="3175"/>
                <wp:effectExtent l="0" t="0" r="0" b="0"/>
                <wp:wrapTopAndBottom/>
                <wp:docPr id="324" name="Group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6205" cy="3175"/>
                          <a:chOff x="0" y="0"/>
                          <a:chExt cx="6466205" cy="3175"/>
                        </a:xfrm>
                      </wpg:grpSpPr>
                      <wps:wsp>
                        <wps:cNvPr id="325" name="Graphic 325"/>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26" name="Graphic 326"/>
                        <wps:cNvSpPr/>
                        <wps:spPr>
                          <a:xfrm>
                            <a:off x="4413599" y="1587"/>
                            <a:ext cx="2052320" cy="1270"/>
                          </a:xfrm>
                          <a:custGeom>
                            <a:avLst/>
                            <a:gdLst/>
                            <a:ahLst/>
                            <a:cxnLst/>
                            <a:rect l="l" t="t" r="r" b="b"/>
                            <a:pathLst>
                              <a:path w="2052320">
                                <a:moveTo>
                                  <a:pt x="0" y="0"/>
                                </a:moveTo>
                                <a:lnTo>
                                  <a:pt x="2052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40CA45" id="Group 324" o:spid="_x0000_s1026" alt="&quot;&quot;" style="position:absolute;margin-left:42.5pt;margin-top:3.85pt;width:509.15pt;height:.25pt;z-index:-251301888;mso-wrap-distance-left:0;mso-wrap-distance-right:0;mso-position-horizontal-relative:page" coordsize="646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">
                <v:shape id="Graphic 325"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" path="m,l4413605,e" filled="f" strokeweight=".25pt">
                  <v:path arrowok="t"/>
                </v:shape>
                <v:shape id="Graphic 326" o:spid="_x0000_s1028" style="position:absolute;left:44135;top:15;width:20524;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" path="m,l2052002,e" filled="f" strokeweight=".25pt">
                  <v:path arrowok="t"/>
                </v:shape>
                <w10:wrap type="topAndBottom" anchorx="page"/>
              </v:group>
            </w:pict>
          </mc:Fallback>
        </mc:AlternateContent>
      </w:r>
    </w:p>
    <w:p w14:paraId="35836EA2" w14:textId="77777777" w:rsidR="00084F36" w:rsidRPr="00EB2BD8" w:rsidRDefault="00EB2BD8">
      <w:pPr>
        <w:tabs>
          <w:tab w:val="left" w:pos="9588"/>
        </w:tabs>
        <w:spacing w:before="116"/>
        <w:ind w:left="963"/>
        <w:rPr>
          <w:sz w:val="16"/>
        </w:rPr>
      </w:pPr>
      <w:r w:rsidRPr="00EB2BD8">
        <w:rPr>
          <w:sz w:val="16"/>
        </w:rPr>
        <w:t>Waterproofing</w:t>
      </w:r>
      <w:r w:rsidRPr="00EB2BD8">
        <w:rPr>
          <w:spacing w:val="-11"/>
          <w:sz w:val="16"/>
        </w:rPr>
        <w:t xml:space="preserve"> </w:t>
      </w:r>
      <w:r w:rsidRPr="00EB2BD8">
        <w:rPr>
          <w:sz w:val="16"/>
        </w:rPr>
        <w:t>of</w:t>
      </w:r>
      <w:r w:rsidRPr="00EB2BD8">
        <w:rPr>
          <w:spacing w:val="-10"/>
          <w:sz w:val="16"/>
        </w:rPr>
        <w:t xml:space="preserve"> </w:t>
      </w:r>
      <w:r w:rsidRPr="00EB2BD8">
        <w:rPr>
          <w:sz w:val="16"/>
        </w:rPr>
        <w:t>Wet</w:t>
      </w:r>
      <w:r w:rsidRPr="00EB2BD8">
        <w:rPr>
          <w:spacing w:val="-11"/>
          <w:sz w:val="16"/>
        </w:rPr>
        <w:t xml:space="preserve"> </w:t>
      </w:r>
      <w:r w:rsidRPr="00EB2BD8">
        <w:rPr>
          <w:spacing w:val="-4"/>
          <w:sz w:val="16"/>
        </w:rPr>
        <w:t>Areas</w:t>
      </w:r>
      <w:r w:rsidRPr="00EB2BD8">
        <w:rPr>
          <w:sz w:val="16"/>
        </w:rPr>
        <w:tab/>
      </w:r>
      <w:r w:rsidRPr="00EB2BD8">
        <w:rPr>
          <w:w w:val="75"/>
          <w:sz w:val="16"/>
        </w:rPr>
        <w:t>1,673</w:t>
      </w:r>
      <w:r w:rsidRPr="00EB2BD8">
        <w:rPr>
          <w:spacing w:val="-10"/>
          <w:sz w:val="16"/>
        </w:rPr>
        <w:t xml:space="preserve"> </w:t>
      </w:r>
      <w:r w:rsidRPr="00EB2BD8">
        <w:rPr>
          <w:spacing w:val="-2"/>
          <w:sz w:val="16"/>
        </w:rPr>
        <w:t>participants</w:t>
      </w:r>
    </w:p>
    <w:p w14:paraId="0E381FFC"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2022784" behindDoc="1" locked="0" layoutInCell="1" allowOverlap="1" wp14:anchorId="29B0DECE" wp14:editId="25AFF23A">
                <wp:simplePos x="0" y="0"/>
                <wp:positionH relativeFrom="page">
                  <wp:posOffset>540000</wp:posOffset>
                </wp:positionH>
                <wp:positionV relativeFrom="paragraph">
                  <wp:posOffset>49106</wp:posOffset>
                </wp:positionV>
                <wp:extent cx="6466205" cy="3175"/>
                <wp:effectExtent l="0" t="0" r="0" b="0"/>
                <wp:wrapTopAndBottom/>
                <wp:docPr id="327" name="Group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6205" cy="3175"/>
                          <a:chOff x="0" y="0"/>
                          <a:chExt cx="6466205" cy="3175"/>
                        </a:xfrm>
                      </wpg:grpSpPr>
                      <wps:wsp>
                        <wps:cNvPr id="328" name="Graphic 328"/>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29" name="Graphic 329"/>
                        <wps:cNvSpPr/>
                        <wps:spPr>
                          <a:xfrm>
                            <a:off x="4413599" y="1587"/>
                            <a:ext cx="2052320" cy="1270"/>
                          </a:xfrm>
                          <a:custGeom>
                            <a:avLst/>
                            <a:gdLst/>
                            <a:ahLst/>
                            <a:cxnLst/>
                            <a:rect l="l" t="t" r="r" b="b"/>
                            <a:pathLst>
                              <a:path w="2052320">
                                <a:moveTo>
                                  <a:pt x="0" y="0"/>
                                </a:moveTo>
                                <a:lnTo>
                                  <a:pt x="2052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5B08C3" id="Group 327" o:spid="_x0000_s1026" alt="&quot;&quot;" style="position:absolute;margin-left:42.5pt;margin-top:3.85pt;width:509.15pt;height:.25pt;z-index:-251293696;mso-wrap-distance-left:0;mso-wrap-distance-right:0;mso-position-horizontal-relative:page" coordsize="646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">
                <v:shape id="Graphic 328"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" path="m,l4413605,e" filled="f" strokeweight=".25pt">
                  <v:path arrowok="t"/>
                </v:shape>
                <v:shape id="Graphic 329" o:spid="_x0000_s1028" style="position:absolute;left:44135;top:15;width:20524;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" path="m,l2052002,e" filled="f" strokeweight=".25pt">
                  <v:path arrowok="t"/>
                </v:shape>
                <w10:wrap type="topAndBottom" anchorx="page"/>
              </v:group>
            </w:pict>
          </mc:Fallback>
        </mc:AlternateContent>
      </w:r>
    </w:p>
    <w:p w14:paraId="1A2FC5F0" w14:textId="77777777" w:rsidR="00084F36" w:rsidRPr="00EB2BD8" w:rsidRDefault="00EB2BD8">
      <w:pPr>
        <w:tabs>
          <w:tab w:val="left" w:pos="9612"/>
        </w:tabs>
        <w:spacing w:before="116"/>
        <w:ind w:left="963"/>
        <w:rPr>
          <w:sz w:val="16"/>
        </w:rPr>
      </w:pPr>
      <w:r w:rsidRPr="00EB2BD8">
        <w:rPr>
          <w:spacing w:val="-2"/>
          <w:sz w:val="16"/>
        </w:rPr>
        <w:t>Building</w:t>
      </w:r>
      <w:r w:rsidRPr="00EB2BD8">
        <w:rPr>
          <w:spacing w:val="-1"/>
          <w:sz w:val="16"/>
        </w:rPr>
        <w:t xml:space="preserve"> </w:t>
      </w:r>
      <w:r w:rsidRPr="00EB2BD8">
        <w:rPr>
          <w:spacing w:val="-2"/>
          <w:sz w:val="16"/>
        </w:rPr>
        <w:t>Permit</w:t>
      </w:r>
      <w:r w:rsidRPr="00EB2BD8">
        <w:rPr>
          <w:sz w:val="16"/>
        </w:rPr>
        <w:tab/>
      </w:r>
      <w:r w:rsidRPr="00EB2BD8">
        <w:rPr>
          <w:w w:val="70"/>
          <w:sz w:val="16"/>
        </w:rPr>
        <w:t>1,021</w:t>
      </w:r>
      <w:r w:rsidRPr="00EB2BD8">
        <w:rPr>
          <w:spacing w:val="-10"/>
          <w:sz w:val="16"/>
        </w:rPr>
        <w:t xml:space="preserve"> </w:t>
      </w:r>
      <w:r w:rsidRPr="00EB2BD8">
        <w:rPr>
          <w:spacing w:val="-2"/>
          <w:sz w:val="16"/>
        </w:rPr>
        <w:t>participants</w:t>
      </w:r>
    </w:p>
    <w:p w14:paraId="35C9554A"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2030976" behindDoc="1" locked="0" layoutInCell="1" allowOverlap="1" wp14:anchorId="674B3978" wp14:editId="69EC531D">
                <wp:simplePos x="0" y="0"/>
                <wp:positionH relativeFrom="page">
                  <wp:posOffset>540000</wp:posOffset>
                </wp:positionH>
                <wp:positionV relativeFrom="paragraph">
                  <wp:posOffset>49107</wp:posOffset>
                </wp:positionV>
                <wp:extent cx="6466205" cy="3175"/>
                <wp:effectExtent l="0" t="0" r="0" b="0"/>
                <wp:wrapTopAndBottom/>
                <wp:docPr id="330" name="Group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6205" cy="3175"/>
                          <a:chOff x="0" y="0"/>
                          <a:chExt cx="6466205" cy="3175"/>
                        </a:xfrm>
                      </wpg:grpSpPr>
                      <wps:wsp>
                        <wps:cNvPr id="331" name="Graphic 331"/>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32" name="Graphic 332"/>
                        <wps:cNvSpPr/>
                        <wps:spPr>
                          <a:xfrm>
                            <a:off x="4413599" y="1587"/>
                            <a:ext cx="2052320" cy="1270"/>
                          </a:xfrm>
                          <a:custGeom>
                            <a:avLst/>
                            <a:gdLst/>
                            <a:ahLst/>
                            <a:cxnLst/>
                            <a:rect l="l" t="t" r="r" b="b"/>
                            <a:pathLst>
                              <a:path w="2052320">
                                <a:moveTo>
                                  <a:pt x="0" y="0"/>
                                </a:moveTo>
                                <a:lnTo>
                                  <a:pt x="2052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733033" id="Group 330" o:spid="_x0000_s1026" alt="&quot;&quot;" style="position:absolute;margin-left:42.5pt;margin-top:3.85pt;width:509.15pt;height:.25pt;z-index:-251285504;mso-wrap-distance-left:0;mso-wrap-distance-right:0;mso-position-horizontal-relative:page" coordsize="646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">
                <v:shape id="Graphic 331"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" path="m,l4413605,e" filled="f" strokeweight=".25pt">
                  <v:path arrowok="t"/>
                </v:shape>
                <v:shape id="Graphic 332" o:spid="_x0000_s1028" style="position:absolute;left:44135;top:15;width:20524;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" path="m,l2052002,e" filled="f" strokeweight=".25pt">
                  <v:path arrowok="t"/>
                </v:shape>
                <w10:wrap type="topAndBottom" anchorx="page"/>
              </v:group>
            </w:pict>
          </mc:Fallback>
        </mc:AlternateContent>
      </w:r>
    </w:p>
    <w:p w14:paraId="07D9CE34" w14:textId="77777777" w:rsidR="00084F36" w:rsidRPr="00EB2BD8" w:rsidRDefault="00EB2BD8">
      <w:pPr>
        <w:tabs>
          <w:tab w:val="left" w:pos="9670"/>
        </w:tabs>
        <w:spacing w:before="116"/>
        <w:ind w:left="963"/>
        <w:rPr>
          <w:sz w:val="16"/>
        </w:rPr>
      </w:pPr>
      <w:r w:rsidRPr="00EB2BD8">
        <w:rPr>
          <w:sz w:val="16"/>
        </w:rPr>
        <w:t>Plumbing</w:t>
      </w:r>
      <w:r w:rsidRPr="00EB2BD8">
        <w:rPr>
          <w:spacing w:val="-3"/>
          <w:sz w:val="16"/>
        </w:rPr>
        <w:t xml:space="preserve"> </w:t>
      </w:r>
      <w:r w:rsidRPr="00EB2BD8">
        <w:rPr>
          <w:sz w:val="16"/>
        </w:rPr>
        <w:t>Compliance</w:t>
      </w:r>
      <w:r w:rsidRPr="00EB2BD8">
        <w:rPr>
          <w:spacing w:val="-4"/>
          <w:sz w:val="16"/>
        </w:rPr>
        <w:t xml:space="preserve"> </w:t>
      </w:r>
      <w:r w:rsidRPr="00EB2BD8">
        <w:rPr>
          <w:sz w:val="16"/>
        </w:rPr>
        <w:t>Certificates</w:t>
      </w:r>
      <w:r w:rsidRPr="00EB2BD8">
        <w:rPr>
          <w:spacing w:val="-3"/>
          <w:sz w:val="16"/>
        </w:rPr>
        <w:t xml:space="preserve"> </w:t>
      </w:r>
      <w:r w:rsidRPr="00EB2BD8">
        <w:rPr>
          <w:sz w:val="16"/>
        </w:rPr>
        <w:t>–Obligations</w:t>
      </w:r>
      <w:r w:rsidRPr="00EB2BD8">
        <w:rPr>
          <w:spacing w:val="-3"/>
          <w:sz w:val="16"/>
        </w:rPr>
        <w:t xml:space="preserve"> </w:t>
      </w:r>
      <w:r w:rsidRPr="00EB2BD8">
        <w:rPr>
          <w:sz w:val="16"/>
        </w:rPr>
        <w:t>and</w:t>
      </w:r>
      <w:r w:rsidRPr="00EB2BD8">
        <w:rPr>
          <w:spacing w:val="-3"/>
          <w:sz w:val="16"/>
        </w:rPr>
        <w:t xml:space="preserve"> </w:t>
      </w:r>
      <w:r w:rsidRPr="00EB2BD8">
        <w:rPr>
          <w:sz w:val="16"/>
        </w:rPr>
        <w:t>common</w:t>
      </w:r>
      <w:r w:rsidRPr="00EB2BD8">
        <w:rPr>
          <w:spacing w:val="-3"/>
          <w:sz w:val="16"/>
        </w:rPr>
        <w:t xml:space="preserve"> </w:t>
      </w:r>
      <w:r w:rsidRPr="00EB2BD8">
        <w:rPr>
          <w:spacing w:val="-2"/>
          <w:sz w:val="16"/>
        </w:rPr>
        <w:t>enquiries</w:t>
      </w:r>
      <w:r w:rsidRPr="00EB2BD8">
        <w:rPr>
          <w:sz w:val="16"/>
        </w:rPr>
        <w:tab/>
      </w:r>
      <w:r w:rsidRPr="00EB2BD8">
        <w:rPr>
          <w:w w:val="85"/>
          <w:sz w:val="16"/>
        </w:rPr>
        <w:t>873</w:t>
      </w:r>
      <w:r w:rsidRPr="00EB2BD8">
        <w:rPr>
          <w:spacing w:val="-1"/>
          <w:w w:val="85"/>
          <w:sz w:val="16"/>
        </w:rPr>
        <w:t xml:space="preserve"> </w:t>
      </w:r>
      <w:r w:rsidRPr="00EB2BD8">
        <w:rPr>
          <w:spacing w:val="-2"/>
          <w:sz w:val="16"/>
        </w:rPr>
        <w:t>participants</w:t>
      </w:r>
    </w:p>
    <w:p w14:paraId="49C85DF5"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2039168" behindDoc="1" locked="0" layoutInCell="1" allowOverlap="1" wp14:anchorId="35528799" wp14:editId="2A3D7AA5">
                <wp:simplePos x="0" y="0"/>
                <wp:positionH relativeFrom="page">
                  <wp:posOffset>540000</wp:posOffset>
                </wp:positionH>
                <wp:positionV relativeFrom="paragraph">
                  <wp:posOffset>49107</wp:posOffset>
                </wp:positionV>
                <wp:extent cx="6466205" cy="3175"/>
                <wp:effectExtent l="0" t="0" r="0" b="0"/>
                <wp:wrapTopAndBottom/>
                <wp:docPr id="333" name="Group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6205" cy="3175"/>
                          <a:chOff x="0" y="0"/>
                          <a:chExt cx="6466205" cy="3175"/>
                        </a:xfrm>
                      </wpg:grpSpPr>
                      <wps:wsp>
                        <wps:cNvPr id="334" name="Graphic 334"/>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35" name="Graphic 335"/>
                        <wps:cNvSpPr/>
                        <wps:spPr>
                          <a:xfrm>
                            <a:off x="4413599" y="1587"/>
                            <a:ext cx="2052320" cy="1270"/>
                          </a:xfrm>
                          <a:custGeom>
                            <a:avLst/>
                            <a:gdLst/>
                            <a:ahLst/>
                            <a:cxnLst/>
                            <a:rect l="l" t="t" r="r" b="b"/>
                            <a:pathLst>
                              <a:path w="2052320">
                                <a:moveTo>
                                  <a:pt x="0" y="0"/>
                                </a:moveTo>
                                <a:lnTo>
                                  <a:pt x="2052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0F8C85" id="Group 333" o:spid="_x0000_s1026" alt="&quot;&quot;" style="position:absolute;margin-left:42.5pt;margin-top:3.85pt;width:509.15pt;height:.25pt;z-index:-251277312;mso-wrap-distance-left:0;mso-wrap-distance-right:0;mso-position-horizontal-relative:page" coordsize="646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">
                <v:shape id="Graphic 334"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" path="m,l4413605,e" filled="f" strokeweight=".25pt">
                  <v:path arrowok="t"/>
                </v:shape>
                <v:shape id="Graphic 335" o:spid="_x0000_s1028" style="position:absolute;left:44135;top:15;width:20524;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" path="m,l2052002,e" filled="f" strokeweight=".25pt">
                  <v:path arrowok="t"/>
                </v:shape>
                <w10:wrap type="topAndBottom" anchorx="page"/>
              </v:group>
            </w:pict>
          </mc:Fallback>
        </mc:AlternateContent>
      </w:r>
    </w:p>
    <w:p w14:paraId="26C95B45" w14:textId="77777777" w:rsidR="00084F36" w:rsidRPr="00EB2BD8" w:rsidRDefault="00EB2BD8">
      <w:pPr>
        <w:tabs>
          <w:tab w:val="left" w:pos="9728"/>
        </w:tabs>
        <w:spacing w:before="115"/>
        <w:ind w:left="963"/>
        <w:rPr>
          <w:sz w:val="16"/>
        </w:rPr>
      </w:pPr>
      <w:r w:rsidRPr="00EB2BD8">
        <w:rPr>
          <w:spacing w:val="-2"/>
          <w:sz w:val="16"/>
        </w:rPr>
        <w:t>NCC</w:t>
      </w:r>
      <w:r w:rsidRPr="00EB2BD8">
        <w:rPr>
          <w:spacing w:val="-7"/>
          <w:sz w:val="16"/>
        </w:rPr>
        <w:t xml:space="preserve"> </w:t>
      </w:r>
      <w:r w:rsidRPr="00EB2BD8">
        <w:rPr>
          <w:spacing w:val="-2"/>
          <w:sz w:val="16"/>
        </w:rPr>
        <w:t>2022</w:t>
      </w:r>
      <w:r w:rsidRPr="00EB2BD8">
        <w:rPr>
          <w:spacing w:val="-6"/>
          <w:sz w:val="16"/>
        </w:rPr>
        <w:t xml:space="preserve"> </w:t>
      </w:r>
      <w:r w:rsidRPr="00EB2BD8">
        <w:rPr>
          <w:spacing w:val="-2"/>
          <w:sz w:val="16"/>
        </w:rPr>
        <w:t>Energy</w:t>
      </w:r>
      <w:r w:rsidRPr="00EB2BD8">
        <w:rPr>
          <w:spacing w:val="-6"/>
          <w:sz w:val="16"/>
        </w:rPr>
        <w:t xml:space="preserve"> </w:t>
      </w:r>
      <w:r w:rsidRPr="00EB2BD8">
        <w:rPr>
          <w:spacing w:val="-2"/>
          <w:sz w:val="16"/>
        </w:rPr>
        <w:t>Efficiency</w:t>
      </w:r>
      <w:r w:rsidRPr="00EB2BD8">
        <w:rPr>
          <w:spacing w:val="-6"/>
          <w:sz w:val="16"/>
        </w:rPr>
        <w:t xml:space="preserve"> </w:t>
      </w:r>
      <w:r w:rsidRPr="00EB2BD8">
        <w:rPr>
          <w:spacing w:val="-2"/>
          <w:sz w:val="16"/>
        </w:rPr>
        <w:t>Volume</w:t>
      </w:r>
      <w:r w:rsidRPr="00EB2BD8">
        <w:rPr>
          <w:spacing w:val="-6"/>
          <w:sz w:val="16"/>
        </w:rPr>
        <w:t xml:space="preserve"> </w:t>
      </w:r>
      <w:r w:rsidRPr="00EB2BD8">
        <w:rPr>
          <w:spacing w:val="-10"/>
          <w:w w:val="95"/>
          <w:sz w:val="16"/>
        </w:rPr>
        <w:t>1</w:t>
      </w:r>
      <w:r w:rsidRPr="00EB2BD8">
        <w:rPr>
          <w:sz w:val="16"/>
        </w:rPr>
        <w:tab/>
      </w:r>
      <w:r w:rsidRPr="00EB2BD8">
        <w:rPr>
          <w:w w:val="85"/>
          <w:sz w:val="16"/>
        </w:rPr>
        <w:t>582</w:t>
      </w:r>
      <w:r w:rsidRPr="00EB2BD8">
        <w:rPr>
          <w:spacing w:val="-1"/>
          <w:w w:val="85"/>
          <w:sz w:val="16"/>
        </w:rPr>
        <w:t xml:space="preserve"> </w:t>
      </w:r>
      <w:r w:rsidRPr="00EB2BD8">
        <w:rPr>
          <w:spacing w:val="-2"/>
          <w:sz w:val="16"/>
        </w:rPr>
        <w:t>participants</w:t>
      </w:r>
    </w:p>
    <w:p w14:paraId="15BF22B0" w14:textId="77777777" w:rsidR="00084F36" w:rsidRPr="00EB2BD8" w:rsidRDefault="00EB2BD8">
      <w:pPr>
        <w:pStyle w:val="BodyText"/>
        <w:spacing w:before="6"/>
        <w:rPr>
          <w:sz w:val="4"/>
        </w:rPr>
      </w:pPr>
      <w:r w:rsidRPr="00EB2BD8">
        <w:rPr>
          <w:noProof/>
        </w:rPr>
        <mc:AlternateContent>
          <mc:Choice Requires="wpg">
            <w:drawing>
              <wp:anchor distT="0" distB="0" distL="0" distR="0" simplePos="0" relativeHeight="252047360" behindDoc="1" locked="0" layoutInCell="1" allowOverlap="1" wp14:anchorId="470F9998" wp14:editId="1396D021">
                <wp:simplePos x="0" y="0"/>
                <wp:positionH relativeFrom="page">
                  <wp:posOffset>540000</wp:posOffset>
                </wp:positionH>
                <wp:positionV relativeFrom="paragraph">
                  <wp:posOffset>49742</wp:posOffset>
                </wp:positionV>
                <wp:extent cx="6466205" cy="3175"/>
                <wp:effectExtent l="0" t="0" r="0" b="0"/>
                <wp:wrapTopAndBottom/>
                <wp:docPr id="336" name="Group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6205" cy="3175"/>
                          <a:chOff x="0" y="0"/>
                          <a:chExt cx="6466205" cy="3175"/>
                        </a:xfrm>
                      </wpg:grpSpPr>
                      <wps:wsp>
                        <wps:cNvPr id="337" name="Graphic 337"/>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38" name="Graphic 338"/>
                        <wps:cNvSpPr/>
                        <wps:spPr>
                          <a:xfrm>
                            <a:off x="4413599" y="1587"/>
                            <a:ext cx="2052320" cy="1270"/>
                          </a:xfrm>
                          <a:custGeom>
                            <a:avLst/>
                            <a:gdLst/>
                            <a:ahLst/>
                            <a:cxnLst/>
                            <a:rect l="l" t="t" r="r" b="b"/>
                            <a:pathLst>
                              <a:path w="2052320">
                                <a:moveTo>
                                  <a:pt x="0" y="0"/>
                                </a:moveTo>
                                <a:lnTo>
                                  <a:pt x="2052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71F85A" id="Group 336" o:spid="_x0000_s1026" alt="&quot;&quot;" style="position:absolute;margin-left:42.5pt;margin-top:3.9pt;width:509.15pt;height:.25pt;z-index:-251269120;mso-wrap-distance-left:0;mso-wrap-distance-right:0;mso-position-horizontal-relative:page" coordsize="646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">
                <v:shape id="Graphic 337"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" path="m,l4413605,e" filled="f" strokeweight=".25pt">
                  <v:path arrowok="t"/>
                </v:shape>
                <v:shape id="Graphic 338" o:spid="_x0000_s1028" style="position:absolute;left:44135;top:15;width:20524;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" path="m,l2052002,e" filled="f" strokeweight=".25pt">
                  <v:path arrowok="t"/>
                </v:shape>
                <w10:wrap type="topAndBottom" anchorx="page"/>
              </v:group>
            </w:pict>
          </mc:Fallback>
        </mc:AlternateContent>
      </w:r>
    </w:p>
    <w:p w14:paraId="60A26B63" w14:textId="77777777" w:rsidR="00084F36" w:rsidRPr="00EB2BD8" w:rsidRDefault="00EB2BD8">
      <w:pPr>
        <w:tabs>
          <w:tab w:val="left" w:pos="9633"/>
        </w:tabs>
        <w:spacing w:before="115"/>
        <w:ind w:left="963"/>
        <w:rPr>
          <w:sz w:val="16"/>
        </w:rPr>
      </w:pPr>
      <w:r w:rsidRPr="00EB2BD8">
        <w:rPr>
          <w:spacing w:val="-2"/>
          <w:sz w:val="16"/>
        </w:rPr>
        <w:t>TOTAL</w:t>
      </w:r>
      <w:r w:rsidRPr="00EB2BD8">
        <w:rPr>
          <w:sz w:val="16"/>
        </w:rPr>
        <w:tab/>
      </w:r>
      <w:r w:rsidRPr="00EB2BD8">
        <w:rPr>
          <w:w w:val="60"/>
          <w:sz w:val="16"/>
        </w:rPr>
        <w:t>11,151</w:t>
      </w:r>
      <w:r w:rsidRPr="00EB2BD8">
        <w:rPr>
          <w:spacing w:val="-9"/>
          <w:sz w:val="16"/>
        </w:rPr>
        <w:t xml:space="preserve"> </w:t>
      </w:r>
      <w:r w:rsidRPr="00EB2BD8">
        <w:rPr>
          <w:spacing w:val="-2"/>
          <w:sz w:val="16"/>
        </w:rPr>
        <w:t>participants</w:t>
      </w:r>
    </w:p>
    <w:p w14:paraId="51FEB0AC" w14:textId="77777777" w:rsidR="00084F36" w:rsidRPr="00EB2BD8" w:rsidRDefault="00EB2BD8">
      <w:pPr>
        <w:pStyle w:val="BodyText"/>
        <w:spacing w:before="6"/>
        <w:rPr>
          <w:sz w:val="4"/>
        </w:rPr>
      </w:pPr>
      <w:r w:rsidRPr="00EB2BD8">
        <w:rPr>
          <w:noProof/>
        </w:rPr>
        <mc:AlternateContent>
          <mc:Choice Requires="wpg">
            <w:drawing>
              <wp:anchor distT="0" distB="0" distL="0" distR="0" simplePos="0" relativeHeight="252055552" behindDoc="1" locked="0" layoutInCell="1" allowOverlap="1" wp14:anchorId="35C49E83" wp14:editId="1BBB40B5">
                <wp:simplePos x="0" y="0"/>
                <wp:positionH relativeFrom="page">
                  <wp:posOffset>540000</wp:posOffset>
                </wp:positionH>
                <wp:positionV relativeFrom="paragraph">
                  <wp:posOffset>49742</wp:posOffset>
                </wp:positionV>
                <wp:extent cx="6466205" cy="3175"/>
                <wp:effectExtent l="0" t="0" r="0" b="0"/>
                <wp:wrapTopAndBottom/>
                <wp:docPr id="339" name="Group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6205" cy="3175"/>
                          <a:chOff x="0" y="0"/>
                          <a:chExt cx="6466205" cy="3175"/>
                        </a:xfrm>
                      </wpg:grpSpPr>
                      <wps:wsp>
                        <wps:cNvPr id="340" name="Graphic 340"/>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41" name="Graphic 341"/>
                        <wps:cNvSpPr/>
                        <wps:spPr>
                          <a:xfrm>
                            <a:off x="4413599" y="1587"/>
                            <a:ext cx="2052320" cy="1270"/>
                          </a:xfrm>
                          <a:custGeom>
                            <a:avLst/>
                            <a:gdLst/>
                            <a:ahLst/>
                            <a:cxnLst/>
                            <a:rect l="l" t="t" r="r" b="b"/>
                            <a:pathLst>
                              <a:path w="2052320">
                                <a:moveTo>
                                  <a:pt x="0" y="0"/>
                                </a:moveTo>
                                <a:lnTo>
                                  <a:pt x="2052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F7213A" id="Group 339" o:spid="_x0000_s1026" alt="&quot;&quot;" style="position:absolute;margin-left:42.5pt;margin-top:3.9pt;width:509.15pt;height:.25pt;z-index:-251260928;mso-wrap-distance-left:0;mso-wrap-distance-right:0;mso-position-horizontal-relative:page" coordsize="646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">
                <v:shape id="Graphic 340"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" path="m,l4413605,e" filled="f" strokeweight=".25pt">
                  <v:path arrowok="t"/>
                </v:shape>
                <v:shape id="Graphic 341" o:spid="_x0000_s1028" style="position:absolute;left:44135;top:15;width:20524;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" path="m,l2052002,e" filled="f" strokeweight=".25pt">
                  <v:path arrowok="t"/>
                </v:shape>
                <w10:wrap type="topAndBottom" anchorx="page"/>
              </v:group>
            </w:pict>
          </mc:Fallback>
        </mc:AlternateContent>
      </w:r>
    </w:p>
    <w:p w14:paraId="32CC8C0E" w14:textId="77777777" w:rsidR="00084F36" w:rsidRPr="00EB2BD8" w:rsidRDefault="00084F36">
      <w:pPr>
        <w:pStyle w:val="BodyText"/>
      </w:pPr>
    </w:p>
    <w:p w14:paraId="2B62800D" w14:textId="45029B7E" w:rsidR="00084F36" w:rsidRPr="00EB2BD8" w:rsidRDefault="00EB2BD8" w:rsidP="00EB2BD8">
      <w:pPr>
        <w:pStyle w:val="Heading3"/>
      </w:pPr>
      <w:bookmarkStart w:id="76" w:name="_Toc150762378"/>
      <w:r w:rsidRPr="00EB2BD8">
        <w:t>Table</w:t>
      </w:r>
      <w:r w:rsidRPr="00EB2BD8">
        <w:rPr>
          <w:spacing w:val="-11"/>
        </w:rPr>
        <w:t xml:space="preserve"> </w:t>
      </w:r>
      <w:r w:rsidRPr="00EB2BD8">
        <w:t>4B:</w:t>
      </w:r>
      <w:r w:rsidRPr="00EB2BD8">
        <w:rPr>
          <w:spacing w:val="-10"/>
        </w:rPr>
        <w:t xml:space="preserve"> </w:t>
      </w:r>
      <w:r w:rsidRPr="00EB2BD8">
        <w:t>2020–21</w:t>
      </w:r>
      <w:r w:rsidRPr="00EB2BD8">
        <w:rPr>
          <w:spacing w:val="-11"/>
        </w:rPr>
        <w:t xml:space="preserve"> </w:t>
      </w:r>
      <w:r w:rsidRPr="00EB2BD8">
        <w:t>Practitioner</w:t>
      </w:r>
      <w:r w:rsidRPr="00EB2BD8">
        <w:rPr>
          <w:spacing w:val="-10"/>
        </w:rPr>
        <w:t xml:space="preserve"> </w:t>
      </w:r>
      <w:r w:rsidRPr="00EB2BD8">
        <w:t>Education</w:t>
      </w:r>
      <w:r w:rsidRPr="00EB2BD8">
        <w:rPr>
          <w:spacing w:val="-11"/>
        </w:rPr>
        <w:t xml:space="preserve"> </w:t>
      </w:r>
      <w:r w:rsidRPr="00EB2BD8">
        <w:t>Series</w:t>
      </w:r>
      <w:r w:rsidRPr="00EB2BD8">
        <w:rPr>
          <w:spacing w:val="-10"/>
        </w:rPr>
        <w:t xml:space="preserve"> </w:t>
      </w:r>
      <w:r w:rsidRPr="00EB2BD8">
        <w:rPr>
          <w:spacing w:val="-2"/>
        </w:rPr>
        <w:t>webinars</w:t>
      </w:r>
      <w:r w:rsidR="00DB0F6B" w:rsidRPr="00DB0F6B">
        <w:rPr>
          <w:spacing w:val="-2"/>
          <w:position w:val="5"/>
          <w:sz w:val="15"/>
          <w:szCs w:val="15"/>
        </w:rPr>
        <w:t>13</w:t>
      </w:r>
      <w:bookmarkEnd w:id="76"/>
    </w:p>
    <w:p w14:paraId="7CD7316F" w14:textId="77777777" w:rsidR="00084F36" w:rsidRPr="00EB2BD8" w:rsidRDefault="00EB2BD8">
      <w:pPr>
        <w:pStyle w:val="BodyText"/>
        <w:spacing w:before="5"/>
      </w:pPr>
      <w:r w:rsidRPr="00EB2BD8">
        <w:rPr>
          <w:noProof/>
        </w:rPr>
        <mc:AlternateContent>
          <mc:Choice Requires="wpg">
            <w:drawing>
              <wp:anchor distT="0" distB="0" distL="0" distR="0" simplePos="0" relativeHeight="252063744" behindDoc="1" locked="0" layoutInCell="1" allowOverlap="1" wp14:anchorId="08E1B9C5" wp14:editId="79AE1480">
                <wp:simplePos x="0" y="0"/>
                <wp:positionH relativeFrom="page">
                  <wp:posOffset>539998</wp:posOffset>
                </wp:positionH>
                <wp:positionV relativeFrom="paragraph">
                  <wp:posOffset>153506</wp:posOffset>
                </wp:positionV>
                <wp:extent cx="6480175" cy="448945"/>
                <wp:effectExtent l="0" t="0" r="0" b="0"/>
                <wp:wrapTopAndBottom/>
                <wp:docPr id="342" name="Group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48945"/>
                          <a:chOff x="0" y="0"/>
                          <a:chExt cx="6480175" cy="448945"/>
                        </a:xfrm>
                      </wpg:grpSpPr>
                      <wps:wsp>
                        <wps:cNvPr id="343" name="Graphic 343"/>
                        <wps:cNvSpPr/>
                        <wps:spPr>
                          <a:xfrm>
                            <a:off x="5" y="245592"/>
                            <a:ext cx="6480175" cy="203200"/>
                          </a:xfrm>
                          <a:custGeom>
                            <a:avLst/>
                            <a:gdLst/>
                            <a:ahLst/>
                            <a:cxnLst/>
                            <a:rect l="l" t="t" r="r" b="b"/>
                            <a:pathLst>
                              <a:path w="6480175" h="203200">
                                <a:moveTo>
                                  <a:pt x="6479997" y="0"/>
                                </a:moveTo>
                                <a:lnTo>
                                  <a:pt x="4413605" y="0"/>
                                </a:lnTo>
                                <a:lnTo>
                                  <a:pt x="0" y="0"/>
                                </a:lnTo>
                                <a:lnTo>
                                  <a:pt x="0" y="203200"/>
                                </a:lnTo>
                                <a:lnTo>
                                  <a:pt x="4413593" y="203200"/>
                                </a:lnTo>
                                <a:lnTo>
                                  <a:pt x="6479997" y="203200"/>
                                </a:lnTo>
                                <a:lnTo>
                                  <a:pt x="6479997" y="0"/>
                                </a:lnTo>
                                <a:close/>
                              </a:path>
                            </a:pathLst>
                          </a:custGeom>
                          <a:solidFill>
                            <a:srgbClr val="E5F5FF"/>
                          </a:solidFill>
                        </wps:spPr>
                        <wps:bodyPr wrap="square" lIns="0" tIns="0" rIns="0" bIns="0" rtlCol="0">
                          <a:prstTxWarp prst="textNoShape">
                            <a:avLst/>
                          </a:prstTxWarp>
                          <a:noAutofit/>
                        </wps:bodyPr>
                      </wps:wsp>
                      <wps:wsp>
                        <wps:cNvPr id="344" name="Textbox 344"/>
                        <wps:cNvSpPr txBox="1"/>
                        <wps:spPr>
                          <a:xfrm>
                            <a:off x="6056646" y="302831"/>
                            <a:ext cx="384810" cy="116839"/>
                          </a:xfrm>
                          <a:prstGeom prst="rect">
                            <a:avLst/>
                          </a:prstGeom>
                        </wps:spPr>
                        <wps:txbx>
                          <w:txbxContent>
                            <w:p w14:paraId="24FD0BF7" w14:textId="77777777" w:rsidR="00084F36" w:rsidRDefault="00EB2BD8">
                              <w:pPr>
                                <w:spacing w:line="183" w:lineRule="exact"/>
                                <w:rPr>
                                  <w:sz w:val="16"/>
                                </w:rPr>
                              </w:pPr>
                              <w:r>
                                <w:rPr>
                                  <w:spacing w:val="-2"/>
                                  <w:w w:val="85"/>
                                  <w:sz w:val="16"/>
                                </w:rPr>
                                <w:t>2021–22</w:t>
                              </w:r>
                            </w:p>
                          </w:txbxContent>
                        </wps:txbx>
                        <wps:bodyPr wrap="square" lIns="0" tIns="0" rIns="0" bIns="0" rtlCol="0">
                          <a:noAutofit/>
                        </wps:bodyPr>
                      </wps:wsp>
                      <wps:wsp>
                        <wps:cNvPr id="345" name="Textbox 345"/>
                        <wps:cNvSpPr txBox="1"/>
                        <wps:spPr>
                          <a:xfrm>
                            <a:off x="50765" y="302831"/>
                            <a:ext cx="644525" cy="116839"/>
                          </a:xfrm>
                          <a:prstGeom prst="rect">
                            <a:avLst/>
                          </a:prstGeom>
                        </wps:spPr>
                        <wps:txbx>
                          <w:txbxContent>
                            <w:p w14:paraId="7000AB11" w14:textId="77777777" w:rsidR="00084F36" w:rsidRDefault="00EB2BD8">
                              <w:pPr>
                                <w:spacing w:line="183" w:lineRule="exact"/>
                                <w:rPr>
                                  <w:sz w:val="16"/>
                                </w:rPr>
                              </w:pPr>
                              <w:r>
                                <w:rPr>
                                  <w:spacing w:val="-2"/>
                                  <w:w w:val="105"/>
                                  <w:sz w:val="16"/>
                                </w:rPr>
                                <w:t>Webinar</w:t>
                              </w:r>
                              <w:r>
                                <w:rPr>
                                  <w:spacing w:val="-13"/>
                                  <w:w w:val="105"/>
                                  <w:sz w:val="16"/>
                                </w:rPr>
                                <w:t xml:space="preserve"> </w:t>
                              </w:r>
                              <w:r>
                                <w:rPr>
                                  <w:spacing w:val="-2"/>
                                  <w:w w:val="105"/>
                                  <w:sz w:val="16"/>
                                </w:rPr>
                                <w:t>title</w:t>
                              </w:r>
                            </w:p>
                          </w:txbxContent>
                        </wps:txbx>
                        <wps:bodyPr wrap="square" lIns="0" tIns="0" rIns="0" bIns="0" rtlCol="0">
                          <a:noAutofit/>
                        </wps:bodyPr>
                      </wps:wsp>
                      <wps:wsp>
                        <wps:cNvPr id="346" name="Textbox 346"/>
                        <wps:cNvSpPr txBox="1"/>
                        <wps:spPr>
                          <a:xfrm>
                            <a:off x="0" y="0"/>
                            <a:ext cx="6480175" cy="245745"/>
                          </a:xfrm>
                          <a:prstGeom prst="rect">
                            <a:avLst/>
                          </a:prstGeom>
                          <a:solidFill>
                            <a:srgbClr val="005F83"/>
                          </a:solidFill>
                        </wps:spPr>
                        <wps:txbx>
                          <w:txbxContent>
                            <w:p w14:paraId="415A250E" w14:textId="77777777" w:rsidR="00084F36" w:rsidRDefault="00EB2BD8">
                              <w:pPr>
                                <w:spacing w:before="118"/>
                                <w:ind w:left="113"/>
                                <w:rPr>
                                  <w:color w:val="000000"/>
                                  <w:sz w:val="16"/>
                                </w:rPr>
                              </w:pPr>
                              <w:r>
                                <w:rPr>
                                  <w:color w:val="FFFFFF"/>
                                  <w:sz w:val="16"/>
                                </w:rPr>
                                <w:t>Practitioner</w:t>
                              </w:r>
                              <w:r>
                                <w:rPr>
                                  <w:color w:val="FFFFFF"/>
                                  <w:spacing w:val="22"/>
                                  <w:sz w:val="16"/>
                                </w:rPr>
                                <w:t xml:space="preserve"> </w:t>
                              </w:r>
                              <w:r>
                                <w:rPr>
                                  <w:color w:val="FFFFFF"/>
                                  <w:sz w:val="16"/>
                                </w:rPr>
                                <w:t>Education</w:t>
                              </w:r>
                              <w:r>
                                <w:rPr>
                                  <w:color w:val="FFFFFF"/>
                                  <w:spacing w:val="22"/>
                                  <w:sz w:val="16"/>
                                </w:rPr>
                                <w:t xml:space="preserve"> </w:t>
                              </w:r>
                              <w:r>
                                <w:rPr>
                                  <w:color w:val="FFFFFF"/>
                                  <w:sz w:val="16"/>
                                </w:rPr>
                                <w:t>Series</w:t>
                              </w:r>
                              <w:r>
                                <w:rPr>
                                  <w:color w:val="FFFFFF"/>
                                  <w:spacing w:val="22"/>
                                  <w:sz w:val="16"/>
                                </w:rPr>
                                <w:t xml:space="preserve"> </w:t>
                              </w:r>
                              <w:r>
                                <w:rPr>
                                  <w:color w:val="FFFFFF"/>
                                  <w:spacing w:val="-2"/>
                                  <w:sz w:val="16"/>
                                </w:rPr>
                                <w:t>(Webinars)</w:t>
                              </w:r>
                            </w:p>
                          </w:txbxContent>
                        </wps:txbx>
                        <wps:bodyPr wrap="square" lIns="0" tIns="0" rIns="0" bIns="0" rtlCol="0">
                          <a:noAutofit/>
                        </wps:bodyPr>
                      </wps:wsp>
                    </wpg:wgp>
                  </a:graphicData>
                </a:graphic>
              </wp:anchor>
            </w:drawing>
          </mc:Choice>
          <mc:Fallback>
            <w:pict>
              <v:group w14:anchorId="08E1B9C5" id="Group 342" o:spid="_x0000_s1032" alt="&quot;&quot;" style="position:absolute;margin-left:42.5pt;margin-top:12.1pt;width:510.25pt;height:35.35pt;z-index:-251252736;mso-wrap-distance-left:0;mso-wrap-distance-right:0;mso-position-horizontal-relative:page" coordsize="64801,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">
                <v:shape id="Graphic 343" o:spid="_x0000_s1033" style="position:absolute;top:2455;width:64801;height:2032;visibility:visible;mso-wrap-style:square;v-text-anchor:top" coordsize="648017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" path="m6479997,l4413605,,,,,203200r4413593,l6479997,203200,6479997,xe" fillcolor="#e5f5ff" stroked="f">
                  <v:path arrowok="t"/>
                </v:shape>
                <v:shape id="Textbox 344" o:spid="_x0000_s1034" type="#_x0000_t202" style="position:absolute;left:60566;top:3028;width:384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4FD0BF7" w14:textId="77777777" w:rsidR="00084F36" w:rsidRDefault="00EB2BD8">
                        <w:pPr>
                          <w:spacing w:line="183" w:lineRule="exact"/>
                          <w:rPr>
                            <w:sz w:val="16"/>
                          </w:rPr>
                        </w:pPr>
                        <w:r>
                          <w:rPr>
                            <w:spacing w:val="-2"/>
                            <w:w w:val="85"/>
                            <w:sz w:val="16"/>
                          </w:rPr>
                          <w:t>2021–22</w:t>
                        </w:r>
                      </w:p>
                    </w:txbxContent>
                  </v:textbox>
                </v:shape>
                <v:shape id="Textbox 345" o:spid="_x0000_s1035" type="#_x0000_t202" style="position:absolute;left:507;top:3028;width:644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7000AB11" w14:textId="77777777" w:rsidR="00084F36" w:rsidRDefault="00EB2BD8">
                        <w:pPr>
                          <w:spacing w:line="183" w:lineRule="exact"/>
                          <w:rPr>
                            <w:sz w:val="16"/>
                          </w:rPr>
                        </w:pPr>
                        <w:r>
                          <w:rPr>
                            <w:spacing w:val="-2"/>
                            <w:w w:val="105"/>
                            <w:sz w:val="16"/>
                          </w:rPr>
                          <w:t>Webinar</w:t>
                        </w:r>
                        <w:r>
                          <w:rPr>
                            <w:spacing w:val="-13"/>
                            <w:w w:val="105"/>
                            <w:sz w:val="16"/>
                          </w:rPr>
                          <w:t xml:space="preserve"> </w:t>
                        </w:r>
                        <w:r>
                          <w:rPr>
                            <w:spacing w:val="-2"/>
                            <w:w w:val="105"/>
                            <w:sz w:val="16"/>
                          </w:rPr>
                          <w:t>title</w:t>
                        </w:r>
                      </w:p>
                    </w:txbxContent>
                  </v:textbox>
                </v:shape>
                <v:shape id="Textbox 346" o:spid="_x0000_s1036" type="#_x0000_t202" style="position:absolute;width:648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" fillcolor="#005f83" stroked="f">
                  <v:textbox inset="0,0,0,0">
                    <w:txbxContent>
                      <w:p w14:paraId="415A250E" w14:textId="77777777" w:rsidR="00084F36" w:rsidRDefault="00EB2BD8">
                        <w:pPr>
                          <w:spacing w:before="118"/>
                          <w:ind w:left="113"/>
                          <w:rPr>
                            <w:color w:val="000000"/>
                            <w:sz w:val="16"/>
                          </w:rPr>
                        </w:pPr>
                        <w:r>
                          <w:rPr>
                            <w:color w:val="FFFFFF"/>
                            <w:sz w:val="16"/>
                          </w:rPr>
                          <w:t>Practitioner</w:t>
                        </w:r>
                        <w:r>
                          <w:rPr>
                            <w:color w:val="FFFFFF"/>
                            <w:spacing w:val="22"/>
                            <w:sz w:val="16"/>
                          </w:rPr>
                          <w:t xml:space="preserve"> </w:t>
                        </w:r>
                        <w:r>
                          <w:rPr>
                            <w:color w:val="FFFFFF"/>
                            <w:sz w:val="16"/>
                          </w:rPr>
                          <w:t>Education</w:t>
                        </w:r>
                        <w:r>
                          <w:rPr>
                            <w:color w:val="FFFFFF"/>
                            <w:spacing w:val="22"/>
                            <w:sz w:val="16"/>
                          </w:rPr>
                          <w:t xml:space="preserve"> </w:t>
                        </w:r>
                        <w:r>
                          <w:rPr>
                            <w:color w:val="FFFFFF"/>
                            <w:sz w:val="16"/>
                          </w:rPr>
                          <w:t>Series</w:t>
                        </w:r>
                        <w:r>
                          <w:rPr>
                            <w:color w:val="FFFFFF"/>
                            <w:spacing w:val="22"/>
                            <w:sz w:val="16"/>
                          </w:rPr>
                          <w:t xml:space="preserve"> </w:t>
                        </w:r>
                        <w:r>
                          <w:rPr>
                            <w:color w:val="FFFFFF"/>
                            <w:spacing w:val="-2"/>
                            <w:sz w:val="16"/>
                          </w:rPr>
                          <w:t>(Webinars)</w:t>
                        </w:r>
                      </w:p>
                    </w:txbxContent>
                  </v:textbox>
                </v:shape>
                <w10:wrap type="topAndBottom" anchorx="page"/>
              </v:group>
            </w:pict>
          </mc:Fallback>
        </mc:AlternateContent>
      </w:r>
    </w:p>
    <w:p w14:paraId="669070CC" w14:textId="77777777" w:rsidR="00084F36" w:rsidRPr="00EB2BD8" w:rsidRDefault="00EB2BD8">
      <w:pPr>
        <w:tabs>
          <w:tab w:val="left" w:pos="9674"/>
        </w:tabs>
        <w:spacing w:before="119"/>
        <w:ind w:left="963"/>
        <w:rPr>
          <w:sz w:val="16"/>
        </w:rPr>
      </w:pPr>
      <w:r w:rsidRPr="00EB2BD8">
        <w:rPr>
          <w:sz w:val="16"/>
        </w:rPr>
        <w:t>Site</w:t>
      </w:r>
      <w:r w:rsidRPr="00EB2BD8">
        <w:rPr>
          <w:spacing w:val="-12"/>
          <w:sz w:val="16"/>
        </w:rPr>
        <w:t xml:space="preserve"> </w:t>
      </w:r>
      <w:r w:rsidRPr="00EB2BD8">
        <w:rPr>
          <w:sz w:val="16"/>
        </w:rPr>
        <w:t>inspections</w:t>
      </w:r>
      <w:r w:rsidRPr="00EB2BD8">
        <w:rPr>
          <w:spacing w:val="-11"/>
          <w:sz w:val="16"/>
        </w:rPr>
        <w:t xml:space="preserve"> </w:t>
      </w:r>
      <w:r w:rsidRPr="00EB2BD8">
        <w:rPr>
          <w:sz w:val="16"/>
        </w:rPr>
        <w:t>and</w:t>
      </w:r>
      <w:r w:rsidRPr="00EB2BD8">
        <w:rPr>
          <w:spacing w:val="-11"/>
          <w:sz w:val="16"/>
        </w:rPr>
        <w:t xml:space="preserve"> </w:t>
      </w:r>
      <w:r w:rsidRPr="00EB2BD8">
        <w:rPr>
          <w:sz w:val="16"/>
        </w:rPr>
        <w:t>enforcement</w:t>
      </w:r>
      <w:r w:rsidRPr="00EB2BD8">
        <w:rPr>
          <w:spacing w:val="-11"/>
          <w:sz w:val="16"/>
        </w:rPr>
        <w:t xml:space="preserve"> </w:t>
      </w:r>
      <w:r w:rsidRPr="00EB2BD8">
        <w:rPr>
          <w:sz w:val="16"/>
        </w:rPr>
        <w:t>–</w:t>
      </w:r>
      <w:r w:rsidRPr="00EB2BD8">
        <w:rPr>
          <w:spacing w:val="-11"/>
          <w:sz w:val="16"/>
        </w:rPr>
        <w:t xml:space="preserve"> </w:t>
      </w:r>
      <w:r w:rsidRPr="00EB2BD8">
        <w:rPr>
          <w:sz w:val="16"/>
        </w:rPr>
        <w:t>follow</w:t>
      </w:r>
      <w:r w:rsidRPr="00EB2BD8">
        <w:rPr>
          <w:spacing w:val="-12"/>
          <w:sz w:val="16"/>
        </w:rPr>
        <w:t xml:space="preserve"> </w:t>
      </w:r>
      <w:r w:rsidRPr="00EB2BD8">
        <w:rPr>
          <w:sz w:val="16"/>
        </w:rPr>
        <w:t>up</w:t>
      </w:r>
      <w:r w:rsidRPr="00EB2BD8">
        <w:rPr>
          <w:spacing w:val="-11"/>
          <w:sz w:val="16"/>
        </w:rPr>
        <w:t xml:space="preserve"> </w:t>
      </w:r>
      <w:r w:rsidRPr="00EB2BD8">
        <w:rPr>
          <w:spacing w:val="-2"/>
          <w:sz w:val="16"/>
        </w:rPr>
        <w:t>session</w:t>
      </w:r>
      <w:r w:rsidRPr="00EB2BD8">
        <w:rPr>
          <w:sz w:val="16"/>
        </w:rPr>
        <w:tab/>
      </w:r>
      <w:r w:rsidRPr="00EB2BD8">
        <w:rPr>
          <w:w w:val="90"/>
          <w:sz w:val="16"/>
        </w:rPr>
        <w:t>902</w:t>
      </w:r>
      <w:r w:rsidRPr="00EB2BD8">
        <w:rPr>
          <w:spacing w:val="-8"/>
          <w:w w:val="105"/>
          <w:sz w:val="16"/>
        </w:rPr>
        <w:t xml:space="preserve"> </w:t>
      </w:r>
      <w:r w:rsidRPr="00EB2BD8">
        <w:rPr>
          <w:spacing w:val="-2"/>
          <w:w w:val="105"/>
          <w:sz w:val="16"/>
        </w:rPr>
        <w:t>participants</w:t>
      </w:r>
    </w:p>
    <w:p w14:paraId="4E443D84"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2071936" behindDoc="1" locked="0" layoutInCell="1" allowOverlap="1" wp14:anchorId="611DEB06" wp14:editId="26556DE9">
                <wp:simplePos x="0" y="0"/>
                <wp:positionH relativeFrom="page">
                  <wp:posOffset>539998</wp:posOffset>
                </wp:positionH>
                <wp:positionV relativeFrom="paragraph">
                  <wp:posOffset>48793</wp:posOffset>
                </wp:positionV>
                <wp:extent cx="6480175" cy="3175"/>
                <wp:effectExtent l="0" t="0" r="0" b="0"/>
                <wp:wrapTopAndBottom/>
                <wp:docPr id="347" name="Group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75"/>
                          <a:chOff x="0" y="0"/>
                          <a:chExt cx="6480175" cy="3175"/>
                        </a:xfrm>
                      </wpg:grpSpPr>
                      <wps:wsp>
                        <wps:cNvPr id="348" name="Graphic 348"/>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49" name="Graphic 349"/>
                        <wps:cNvSpPr/>
                        <wps:spPr>
                          <a:xfrm>
                            <a:off x="4413599" y="1587"/>
                            <a:ext cx="2066925" cy="1270"/>
                          </a:xfrm>
                          <a:custGeom>
                            <a:avLst/>
                            <a:gdLst/>
                            <a:ahLst/>
                            <a:cxnLst/>
                            <a:rect l="l" t="t" r="r" b="b"/>
                            <a:pathLst>
                              <a:path w="2066925">
                                <a:moveTo>
                                  <a:pt x="0" y="0"/>
                                </a:moveTo>
                                <a:lnTo>
                                  <a:pt x="2066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55B8BB" id="Group 347" o:spid="_x0000_s1026" alt="&quot;&quot;" style="position:absolute;margin-left:42.5pt;margin-top:3.85pt;width:510.25pt;height:.25pt;z-index:-251244544;mso-wrap-distance-left:0;mso-wrap-distance-right:0;mso-position-horizontal-relative:page" coordsize="64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">
                <v:shape id="Graphic 348"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" path="m,l4413605,e" filled="f" strokeweight=".25pt">
                  <v:path arrowok="t"/>
                </v:shape>
                <v:shape id="Graphic 349" o:spid="_x0000_s1028" style="position:absolute;left:44135;top:15;width:20670;height:13;visibility:visible;mso-wrap-style:square;v-text-anchor:top" coordsize="2066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" path="m,l2066404,e" filled="f" strokeweight=".25pt">
                  <v:path arrowok="t"/>
                </v:shape>
                <w10:wrap type="topAndBottom" anchorx="page"/>
              </v:group>
            </w:pict>
          </mc:Fallback>
        </mc:AlternateContent>
      </w:r>
    </w:p>
    <w:p w14:paraId="2AF8D103" w14:textId="77777777" w:rsidR="00084F36" w:rsidRPr="00EB2BD8" w:rsidRDefault="00EB2BD8">
      <w:pPr>
        <w:tabs>
          <w:tab w:val="left" w:pos="9667"/>
        </w:tabs>
        <w:spacing w:before="116"/>
        <w:ind w:left="963"/>
        <w:rPr>
          <w:sz w:val="16"/>
        </w:rPr>
      </w:pPr>
      <w:r w:rsidRPr="00EB2BD8">
        <w:rPr>
          <w:sz w:val="16"/>
        </w:rPr>
        <w:t>Virtual</w:t>
      </w:r>
      <w:r w:rsidRPr="00EB2BD8">
        <w:rPr>
          <w:spacing w:val="-12"/>
          <w:sz w:val="16"/>
        </w:rPr>
        <w:t xml:space="preserve"> </w:t>
      </w:r>
      <w:r w:rsidRPr="00EB2BD8">
        <w:rPr>
          <w:sz w:val="16"/>
        </w:rPr>
        <w:t>Inspections</w:t>
      </w:r>
      <w:r w:rsidRPr="00EB2BD8">
        <w:rPr>
          <w:spacing w:val="-11"/>
          <w:sz w:val="16"/>
        </w:rPr>
        <w:t xml:space="preserve"> </w:t>
      </w:r>
      <w:r w:rsidRPr="00EB2BD8">
        <w:rPr>
          <w:sz w:val="16"/>
        </w:rPr>
        <w:t>and</w:t>
      </w:r>
      <w:r w:rsidRPr="00EB2BD8">
        <w:rPr>
          <w:spacing w:val="-11"/>
          <w:sz w:val="16"/>
        </w:rPr>
        <w:t xml:space="preserve"> </w:t>
      </w:r>
      <w:r w:rsidRPr="00EB2BD8">
        <w:rPr>
          <w:spacing w:val="-2"/>
          <w:sz w:val="16"/>
        </w:rPr>
        <w:t>Audits</w:t>
      </w:r>
      <w:r w:rsidRPr="00EB2BD8">
        <w:rPr>
          <w:sz w:val="16"/>
        </w:rPr>
        <w:tab/>
      </w:r>
      <w:r w:rsidRPr="00EB2BD8">
        <w:rPr>
          <w:spacing w:val="-6"/>
          <w:sz w:val="16"/>
        </w:rPr>
        <w:t>966</w:t>
      </w:r>
      <w:r w:rsidRPr="00EB2BD8">
        <w:rPr>
          <w:spacing w:val="-9"/>
          <w:sz w:val="16"/>
        </w:rPr>
        <w:t xml:space="preserve"> </w:t>
      </w:r>
      <w:r w:rsidRPr="00EB2BD8">
        <w:rPr>
          <w:spacing w:val="-2"/>
          <w:sz w:val="16"/>
        </w:rPr>
        <w:t>participants</w:t>
      </w:r>
    </w:p>
    <w:p w14:paraId="267734B0"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2080128" behindDoc="1" locked="0" layoutInCell="1" allowOverlap="1" wp14:anchorId="27ADDBCA" wp14:editId="36663D6A">
                <wp:simplePos x="0" y="0"/>
                <wp:positionH relativeFrom="page">
                  <wp:posOffset>539998</wp:posOffset>
                </wp:positionH>
                <wp:positionV relativeFrom="paragraph">
                  <wp:posOffset>49106</wp:posOffset>
                </wp:positionV>
                <wp:extent cx="6480175" cy="3175"/>
                <wp:effectExtent l="0" t="0" r="0" b="0"/>
                <wp:wrapTopAndBottom/>
                <wp:docPr id="350" name="Group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75"/>
                          <a:chOff x="0" y="0"/>
                          <a:chExt cx="6480175" cy="3175"/>
                        </a:xfrm>
                      </wpg:grpSpPr>
                      <wps:wsp>
                        <wps:cNvPr id="351" name="Graphic 351"/>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52" name="Graphic 352"/>
                        <wps:cNvSpPr/>
                        <wps:spPr>
                          <a:xfrm>
                            <a:off x="4413599" y="1587"/>
                            <a:ext cx="2066925" cy="1270"/>
                          </a:xfrm>
                          <a:custGeom>
                            <a:avLst/>
                            <a:gdLst/>
                            <a:ahLst/>
                            <a:cxnLst/>
                            <a:rect l="l" t="t" r="r" b="b"/>
                            <a:pathLst>
                              <a:path w="2066925">
                                <a:moveTo>
                                  <a:pt x="0" y="0"/>
                                </a:moveTo>
                                <a:lnTo>
                                  <a:pt x="2066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05F73B" id="Group 350" o:spid="_x0000_s1026" alt="&quot;&quot;" style="position:absolute;margin-left:42.5pt;margin-top:3.85pt;width:510.25pt;height:.25pt;z-index:-251236352;mso-wrap-distance-left:0;mso-wrap-distance-right:0;mso-position-horizontal-relative:page" coordsize="64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">
                <v:shape id="Graphic 351"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" path="m,l4413605,e" filled="f" strokeweight=".25pt">
                  <v:path arrowok="t"/>
                </v:shape>
                <v:shape id="Graphic 352" o:spid="_x0000_s1028" style="position:absolute;left:44135;top:15;width:20670;height:13;visibility:visible;mso-wrap-style:square;v-text-anchor:top" coordsize="2066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" path="m,l2066404,e" filled="f" strokeweight=".25pt">
                  <v:path arrowok="t"/>
                </v:shape>
                <w10:wrap type="topAndBottom" anchorx="page"/>
              </v:group>
            </w:pict>
          </mc:Fallback>
        </mc:AlternateContent>
      </w:r>
    </w:p>
    <w:p w14:paraId="462CFA2F" w14:textId="77777777" w:rsidR="00084F36" w:rsidRPr="00EB2BD8" w:rsidRDefault="00EB2BD8">
      <w:pPr>
        <w:tabs>
          <w:tab w:val="left" w:pos="9728"/>
        </w:tabs>
        <w:spacing w:before="116"/>
        <w:ind w:left="963"/>
        <w:rPr>
          <w:sz w:val="16"/>
        </w:rPr>
      </w:pPr>
      <w:r w:rsidRPr="00EB2BD8">
        <w:rPr>
          <w:sz w:val="16"/>
        </w:rPr>
        <w:t>Proactive</w:t>
      </w:r>
      <w:r w:rsidRPr="00EB2BD8">
        <w:rPr>
          <w:spacing w:val="-7"/>
          <w:sz w:val="16"/>
        </w:rPr>
        <w:t xml:space="preserve"> </w:t>
      </w:r>
      <w:r w:rsidRPr="00EB2BD8">
        <w:rPr>
          <w:sz w:val="16"/>
        </w:rPr>
        <w:t>Inspections</w:t>
      </w:r>
      <w:r w:rsidRPr="00EB2BD8">
        <w:rPr>
          <w:spacing w:val="-7"/>
          <w:sz w:val="16"/>
        </w:rPr>
        <w:t xml:space="preserve"> </w:t>
      </w:r>
      <w:r w:rsidRPr="00EB2BD8">
        <w:rPr>
          <w:sz w:val="16"/>
        </w:rPr>
        <w:t>Program</w:t>
      </w:r>
      <w:r w:rsidRPr="00EB2BD8">
        <w:rPr>
          <w:spacing w:val="-6"/>
          <w:sz w:val="16"/>
        </w:rPr>
        <w:t xml:space="preserve"> </w:t>
      </w:r>
      <w:r w:rsidRPr="00EB2BD8">
        <w:rPr>
          <w:sz w:val="16"/>
        </w:rPr>
        <w:t>Findings</w:t>
      </w:r>
      <w:r w:rsidRPr="00EB2BD8">
        <w:rPr>
          <w:spacing w:val="-7"/>
          <w:sz w:val="16"/>
        </w:rPr>
        <w:t xml:space="preserve"> </w:t>
      </w:r>
      <w:r w:rsidRPr="00EB2BD8">
        <w:rPr>
          <w:sz w:val="16"/>
        </w:rPr>
        <w:t>–</w:t>
      </w:r>
      <w:r w:rsidRPr="00EB2BD8">
        <w:rPr>
          <w:spacing w:val="-6"/>
          <w:sz w:val="16"/>
        </w:rPr>
        <w:t xml:space="preserve"> </w:t>
      </w:r>
      <w:r w:rsidRPr="00EB2BD8">
        <w:rPr>
          <w:sz w:val="16"/>
        </w:rPr>
        <w:t>Timber</w:t>
      </w:r>
      <w:r w:rsidRPr="00EB2BD8">
        <w:rPr>
          <w:spacing w:val="-7"/>
          <w:sz w:val="16"/>
        </w:rPr>
        <w:t xml:space="preserve"> </w:t>
      </w:r>
      <w:r w:rsidRPr="00EB2BD8">
        <w:rPr>
          <w:spacing w:val="-2"/>
          <w:sz w:val="16"/>
        </w:rPr>
        <w:t>Framing</w:t>
      </w:r>
      <w:r w:rsidRPr="00EB2BD8">
        <w:rPr>
          <w:sz w:val="16"/>
        </w:rPr>
        <w:tab/>
      </w:r>
      <w:r w:rsidRPr="00EB2BD8">
        <w:rPr>
          <w:spacing w:val="-2"/>
          <w:w w:val="75"/>
          <w:sz w:val="16"/>
        </w:rPr>
        <w:t>821</w:t>
      </w:r>
      <w:r w:rsidRPr="00EB2BD8">
        <w:rPr>
          <w:spacing w:val="-11"/>
          <w:w w:val="105"/>
          <w:sz w:val="16"/>
        </w:rPr>
        <w:t xml:space="preserve"> </w:t>
      </w:r>
      <w:r w:rsidRPr="00EB2BD8">
        <w:rPr>
          <w:spacing w:val="-2"/>
          <w:w w:val="105"/>
          <w:sz w:val="16"/>
        </w:rPr>
        <w:t>participants</w:t>
      </w:r>
    </w:p>
    <w:p w14:paraId="4686CA65"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2088320" behindDoc="1" locked="0" layoutInCell="1" allowOverlap="1" wp14:anchorId="447E956D" wp14:editId="0B4EE713">
                <wp:simplePos x="0" y="0"/>
                <wp:positionH relativeFrom="page">
                  <wp:posOffset>539998</wp:posOffset>
                </wp:positionH>
                <wp:positionV relativeFrom="paragraph">
                  <wp:posOffset>49107</wp:posOffset>
                </wp:positionV>
                <wp:extent cx="6480175" cy="3175"/>
                <wp:effectExtent l="0" t="0" r="0" b="0"/>
                <wp:wrapTopAndBottom/>
                <wp:docPr id="353" name="Group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75"/>
                          <a:chOff x="0" y="0"/>
                          <a:chExt cx="6480175" cy="3175"/>
                        </a:xfrm>
                      </wpg:grpSpPr>
                      <wps:wsp>
                        <wps:cNvPr id="354" name="Graphic 354"/>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55" name="Graphic 355"/>
                        <wps:cNvSpPr/>
                        <wps:spPr>
                          <a:xfrm>
                            <a:off x="4413599" y="1587"/>
                            <a:ext cx="2066925" cy="1270"/>
                          </a:xfrm>
                          <a:custGeom>
                            <a:avLst/>
                            <a:gdLst/>
                            <a:ahLst/>
                            <a:cxnLst/>
                            <a:rect l="l" t="t" r="r" b="b"/>
                            <a:pathLst>
                              <a:path w="2066925">
                                <a:moveTo>
                                  <a:pt x="0" y="0"/>
                                </a:moveTo>
                                <a:lnTo>
                                  <a:pt x="2066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79DFA2" id="Group 353" o:spid="_x0000_s1026" alt="&quot;&quot;" style="position:absolute;margin-left:42.5pt;margin-top:3.85pt;width:510.25pt;height:.25pt;z-index:-251228160;mso-wrap-distance-left:0;mso-wrap-distance-right:0;mso-position-horizontal-relative:page" coordsize="64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">
                <v:shape id="Graphic 354"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" path="m,l4413605,e" filled="f" strokeweight=".25pt">
                  <v:path arrowok="t"/>
                </v:shape>
                <v:shape id="Graphic 355" o:spid="_x0000_s1028" style="position:absolute;left:44135;top:15;width:20670;height:13;visibility:visible;mso-wrap-style:square;v-text-anchor:top" coordsize="2066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" path="m,l2066404,e" filled="f" strokeweight=".25pt">
                  <v:path arrowok="t"/>
                </v:shape>
                <w10:wrap type="topAndBottom" anchorx="page"/>
              </v:group>
            </w:pict>
          </mc:Fallback>
        </mc:AlternateContent>
      </w:r>
    </w:p>
    <w:p w14:paraId="3C0F5F0E" w14:textId="77777777" w:rsidR="00084F36" w:rsidRPr="00EB2BD8" w:rsidRDefault="00EB2BD8">
      <w:pPr>
        <w:tabs>
          <w:tab w:val="left" w:pos="9702"/>
        </w:tabs>
        <w:spacing w:before="116"/>
        <w:ind w:left="963"/>
        <w:rPr>
          <w:sz w:val="16"/>
        </w:rPr>
      </w:pPr>
      <w:r w:rsidRPr="00EB2BD8">
        <w:rPr>
          <w:sz w:val="16"/>
        </w:rPr>
        <w:t>Proactive</w:t>
      </w:r>
      <w:r w:rsidRPr="00EB2BD8">
        <w:rPr>
          <w:spacing w:val="-6"/>
          <w:sz w:val="16"/>
        </w:rPr>
        <w:t xml:space="preserve"> </w:t>
      </w:r>
      <w:r w:rsidRPr="00EB2BD8">
        <w:rPr>
          <w:sz w:val="16"/>
        </w:rPr>
        <w:t>Inspections</w:t>
      </w:r>
      <w:r w:rsidRPr="00EB2BD8">
        <w:rPr>
          <w:spacing w:val="-6"/>
          <w:sz w:val="16"/>
        </w:rPr>
        <w:t xml:space="preserve"> </w:t>
      </w:r>
      <w:r w:rsidRPr="00EB2BD8">
        <w:rPr>
          <w:sz w:val="16"/>
        </w:rPr>
        <w:t>Program</w:t>
      </w:r>
      <w:r w:rsidRPr="00EB2BD8">
        <w:rPr>
          <w:spacing w:val="-5"/>
          <w:sz w:val="16"/>
        </w:rPr>
        <w:t xml:space="preserve"> </w:t>
      </w:r>
      <w:r w:rsidRPr="00EB2BD8">
        <w:rPr>
          <w:sz w:val="16"/>
        </w:rPr>
        <w:t>Findings</w:t>
      </w:r>
      <w:r w:rsidRPr="00EB2BD8">
        <w:rPr>
          <w:spacing w:val="-6"/>
          <w:sz w:val="16"/>
        </w:rPr>
        <w:t xml:space="preserve"> </w:t>
      </w:r>
      <w:r w:rsidRPr="00EB2BD8">
        <w:rPr>
          <w:sz w:val="16"/>
        </w:rPr>
        <w:t>–</w:t>
      </w:r>
      <w:r w:rsidRPr="00EB2BD8">
        <w:rPr>
          <w:spacing w:val="-6"/>
          <w:sz w:val="16"/>
        </w:rPr>
        <w:t xml:space="preserve"> </w:t>
      </w:r>
      <w:r w:rsidRPr="00EB2BD8">
        <w:rPr>
          <w:sz w:val="16"/>
        </w:rPr>
        <w:t>Fire</w:t>
      </w:r>
      <w:r w:rsidRPr="00EB2BD8">
        <w:rPr>
          <w:spacing w:val="-5"/>
          <w:sz w:val="16"/>
        </w:rPr>
        <w:t xml:space="preserve"> </w:t>
      </w:r>
      <w:r w:rsidRPr="00EB2BD8">
        <w:rPr>
          <w:spacing w:val="-2"/>
          <w:sz w:val="16"/>
        </w:rPr>
        <w:t>Separation</w:t>
      </w:r>
      <w:r w:rsidRPr="00EB2BD8">
        <w:rPr>
          <w:sz w:val="16"/>
        </w:rPr>
        <w:tab/>
      </w:r>
      <w:r w:rsidRPr="00EB2BD8">
        <w:rPr>
          <w:w w:val="80"/>
          <w:sz w:val="16"/>
        </w:rPr>
        <w:t>927</w:t>
      </w:r>
      <w:r w:rsidRPr="00EB2BD8">
        <w:rPr>
          <w:spacing w:val="-5"/>
          <w:w w:val="105"/>
          <w:sz w:val="16"/>
        </w:rPr>
        <w:t xml:space="preserve"> </w:t>
      </w:r>
      <w:r w:rsidRPr="00EB2BD8">
        <w:rPr>
          <w:spacing w:val="-2"/>
          <w:w w:val="105"/>
          <w:sz w:val="16"/>
        </w:rPr>
        <w:t>participants</w:t>
      </w:r>
    </w:p>
    <w:p w14:paraId="34BE782C"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2100608" behindDoc="1" locked="0" layoutInCell="1" allowOverlap="1" wp14:anchorId="30A843C4" wp14:editId="38D3D83D">
                <wp:simplePos x="0" y="0"/>
                <wp:positionH relativeFrom="page">
                  <wp:posOffset>539998</wp:posOffset>
                </wp:positionH>
                <wp:positionV relativeFrom="paragraph">
                  <wp:posOffset>49107</wp:posOffset>
                </wp:positionV>
                <wp:extent cx="6480175" cy="3175"/>
                <wp:effectExtent l="0" t="0" r="0" b="0"/>
                <wp:wrapTopAndBottom/>
                <wp:docPr id="356" name="Group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75"/>
                          <a:chOff x="0" y="0"/>
                          <a:chExt cx="6480175" cy="3175"/>
                        </a:xfrm>
                      </wpg:grpSpPr>
                      <wps:wsp>
                        <wps:cNvPr id="357" name="Graphic 357"/>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58" name="Graphic 358"/>
                        <wps:cNvSpPr/>
                        <wps:spPr>
                          <a:xfrm>
                            <a:off x="4413599" y="1587"/>
                            <a:ext cx="2066925" cy="1270"/>
                          </a:xfrm>
                          <a:custGeom>
                            <a:avLst/>
                            <a:gdLst/>
                            <a:ahLst/>
                            <a:cxnLst/>
                            <a:rect l="l" t="t" r="r" b="b"/>
                            <a:pathLst>
                              <a:path w="2066925">
                                <a:moveTo>
                                  <a:pt x="0" y="0"/>
                                </a:moveTo>
                                <a:lnTo>
                                  <a:pt x="2066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848AF8" id="Group 356" o:spid="_x0000_s1026" alt="&quot;&quot;" style="position:absolute;margin-left:42.5pt;margin-top:3.85pt;width:510.25pt;height:.25pt;z-index:-251215872;mso-wrap-distance-left:0;mso-wrap-distance-right:0;mso-position-horizontal-relative:page" coordsize="64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">
                <v:shape id="Graphic 357"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" path="m,l4413605,e" filled="f" strokeweight=".25pt">
                  <v:path arrowok="t"/>
                </v:shape>
                <v:shape id="Graphic 358" o:spid="_x0000_s1028" style="position:absolute;left:44135;top:15;width:20670;height:13;visibility:visible;mso-wrap-style:square;v-text-anchor:top" coordsize="2066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" path="m,l2066404,e" filled="f" strokeweight=".25pt">
                  <v:path arrowok="t"/>
                </v:shape>
                <w10:wrap type="topAndBottom" anchorx="page"/>
              </v:group>
            </w:pict>
          </mc:Fallback>
        </mc:AlternateContent>
      </w:r>
    </w:p>
    <w:p w14:paraId="0A1512E5" w14:textId="77777777" w:rsidR="00084F36" w:rsidRPr="00EB2BD8" w:rsidRDefault="00EB2BD8">
      <w:pPr>
        <w:tabs>
          <w:tab w:val="left" w:pos="9681"/>
        </w:tabs>
        <w:spacing w:before="116"/>
        <w:ind w:left="963"/>
        <w:rPr>
          <w:sz w:val="16"/>
        </w:rPr>
      </w:pPr>
      <w:r w:rsidRPr="00EB2BD8">
        <w:rPr>
          <w:sz w:val="16"/>
        </w:rPr>
        <w:t>Plumbing</w:t>
      </w:r>
      <w:r w:rsidRPr="00EB2BD8">
        <w:rPr>
          <w:spacing w:val="-5"/>
          <w:sz w:val="16"/>
        </w:rPr>
        <w:t xml:space="preserve"> </w:t>
      </w:r>
      <w:r w:rsidRPr="00EB2BD8">
        <w:rPr>
          <w:sz w:val="16"/>
        </w:rPr>
        <w:t>Performance</w:t>
      </w:r>
      <w:r w:rsidRPr="00EB2BD8">
        <w:rPr>
          <w:spacing w:val="-4"/>
          <w:sz w:val="16"/>
        </w:rPr>
        <w:t xml:space="preserve"> </w:t>
      </w:r>
      <w:r w:rsidRPr="00EB2BD8">
        <w:rPr>
          <w:sz w:val="16"/>
        </w:rPr>
        <w:t>Solutions</w:t>
      </w:r>
      <w:r w:rsidRPr="00EB2BD8">
        <w:rPr>
          <w:spacing w:val="-4"/>
          <w:sz w:val="16"/>
        </w:rPr>
        <w:t xml:space="preserve"> </w:t>
      </w:r>
      <w:r w:rsidRPr="00EB2BD8">
        <w:rPr>
          <w:sz w:val="16"/>
        </w:rPr>
        <w:t>–</w:t>
      </w:r>
      <w:r w:rsidRPr="00EB2BD8">
        <w:rPr>
          <w:spacing w:val="-4"/>
          <w:sz w:val="16"/>
        </w:rPr>
        <w:t xml:space="preserve"> </w:t>
      </w:r>
      <w:r w:rsidRPr="00EB2BD8">
        <w:rPr>
          <w:sz w:val="16"/>
        </w:rPr>
        <w:t>Understanding</w:t>
      </w:r>
      <w:r w:rsidRPr="00EB2BD8">
        <w:rPr>
          <w:spacing w:val="-5"/>
          <w:sz w:val="16"/>
        </w:rPr>
        <w:t xml:space="preserve"> </w:t>
      </w:r>
      <w:r w:rsidRPr="00EB2BD8">
        <w:rPr>
          <w:sz w:val="16"/>
        </w:rPr>
        <w:t>the</w:t>
      </w:r>
      <w:r w:rsidRPr="00EB2BD8">
        <w:rPr>
          <w:spacing w:val="-4"/>
          <w:sz w:val="16"/>
        </w:rPr>
        <w:t xml:space="preserve"> </w:t>
      </w:r>
      <w:r w:rsidRPr="00EB2BD8">
        <w:rPr>
          <w:sz w:val="16"/>
        </w:rPr>
        <w:t>Victorian</w:t>
      </w:r>
      <w:r w:rsidRPr="00EB2BD8">
        <w:rPr>
          <w:spacing w:val="-4"/>
          <w:sz w:val="16"/>
        </w:rPr>
        <w:t xml:space="preserve"> </w:t>
      </w:r>
      <w:r w:rsidRPr="00EB2BD8">
        <w:rPr>
          <w:sz w:val="16"/>
        </w:rPr>
        <w:t>Regulatory</w:t>
      </w:r>
      <w:r w:rsidRPr="00EB2BD8">
        <w:rPr>
          <w:spacing w:val="-4"/>
          <w:sz w:val="16"/>
        </w:rPr>
        <w:t xml:space="preserve"> </w:t>
      </w:r>
      <w:r w:rsidRPr="00EB2BD8">
        <w:rPr>
          <w:spacing w:val="-2"/>
          <w:sz w:val="16"/>
        </w:rPr>
        <w:t>Framework</w:t>
      </w:r>
      <w:r w:rsidRPr="00EB2BD8">
        <w:rPr>
          <w:sz w:val="16"/>
        </w:rPr>
        <w:tab/>
      </w:r>
      <w:r w:rsidRPr="00EB2BD8">
        <w:rPr>
          <w:w w:val="90"/>
          <w:sz w:val="16"/>
        </w:rPr>
        <w:t>538</w:t>
      </w:r>
      <w:r w:rsidRPr="00EB2BD8">
        <w:rPr>
          <w:spacing w:val="-6"/>
          <w:w w:val="90"/>
          <w:sz w:val="16"/>
        </w:rPr>
        <w:t xml:space="preserve"> </w:t>
      </w:r>
      <w:r w:rsidRPr="00EB2BD8">
        <w:rPr>
          <w:spacing w:val="-2"/>
          <w:sz w:val="16"/>
        </w:rPr>
        <w:t>participants</w:t>
      </w:r>
    </w:p>
    <w:p w14:paraId="658285AC"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2112896" behindDoc="1" locked="0" layoutInCell="1" allowOverlap="1" wp14:anchorId="259D4821" wp14:editId="321B7301">
                <wp:simplePos x="0" y="0"/>
                <wp:positionH relativeFrom="page">
                  <wp:posOffset>539998</wp:posOffset>
                </wp:positionH>
                <wp:positionV relativeFrom="paragraph">
                  <wp:posOffset>49107</wp:posOffset>
                </wp:positionV>
                <wp:extent cx="6480175" cy="3175"/>
                <wp:effectExtent l="0" t="0" r="0" b="0"/>
                <wp:wrapTopAndBottom/>
                <wp:docPr id="359" name="Group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75"/>
                          <a:chOff x="0" y="0"/>
                          <a:chExt cx="6480175" cy="3175"/>
                        </a:xfrm>
                      </wpg:grpSpPr>
                      <wps:wsp>
                        <wps:cNvPr id="360" name="Graphic 360"/>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61" name="Graphic 361"/>
                        <wps:cNvSpPr/>
                        <wps:spPr>
                          <a:xfrm>
                            <a:off x="4413599" y="1587"/>
                            <a:ext cx="2066925" cy="1270"/>
                          </a:xfrm>
                          <a:custGeom>
                            <a:avLst/>
                            <a:gdLst/>
                            <a:ahLst/>
                            <a:cxnLst/>
                            <a:rect l="l" t="t" r="r" b="b"/>
                            <a:pathLst>
                              <a:path w="2066925">
                                <a:moveTo>
                                  <a:pt x="0" y="0"/>
                                </a:moveTo>
                                <a:lnTo>
                                  <a:pt x="2066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5DD063" id="Group 359" o:spid="_x0000_s1026" alt="&quot;&quot;" style="position:absolute;margin-left:42.5pt;margin-top:3.85pt;width:510.25pt;height:.25pt;z-index:-251203584;mso-wrap-distance-left:0;mso-wrap-distance-right:0;mso-position-horizontal-relative:page" coordsize="64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">
                <v:shape id="Graphic 360"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" path="m,l4413605,e" filled="f" strokeweight=".25pt">
                  <v:path arrowok="t"/>
                </v:shape>
                <v:shape id="Graphic 361" o:spid="_x0000_s1028" style="position:absolute;left:44135;top:15;width:20670;height:13;visibility:visible;mso-wrap-style:square;v-text-anchor:top" coordsize="2066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" path="m,l2066404,e" filled="f" strokeweight=".25pt">
                  <v:path arrowok="t"/>
                </v:shape>
                <w10:wrap type="topAndBottom" anchorx="page"/>
              </v:group>
            </w:pict>
          </mc:Fallback>
        </mc:AlternateContent>
      </w:r>
    </w:p>
    <w:p w14:paraId="5B4F1750" w14:textId="77777777" w:rsidR="00084F36" w:rsidRPr="00EB2BD8" w:rsidRDefault="00EB2BD8">
      <w:pPr>
        <w:tabs>
          <w:tab w:val="left" w:pos="9690"/>
        </w:tabs>
        <w:spacing w:before="116"/>
        <w:ind w:left="963"/>
        <w:rPr>
          <w:sz w:val="16"/>
        </w:rPr>
      </w:pPr>
      <w:r w:rsidRPr="00EB2BD8">
        <w:rPr>
          <w:sz w:val="16"/>
        </w:rPr>
        <w:t>Engagement</w:t>
      </w:r>
      <w:r w:rsidRPr="00EB2BD8">
        <w:rPr>
          <w:spacing w:val="-7"/>
          <w:sz w:val="16"/>
        </w:rPr>
        <w:t xml:space="preserve"> </w:t>
      </w:r>
      <w:r w:rsidRPr="00EB2BD8">
        <w:rPr>
          <w:sz w:val="16"/>
        </w:rPr>
        <w:t>of</w:t>
      </w:r>
      <w:r w:rsidRPr="00EB2BD8">
        <w:rPr>
          <w:spacing w:val="-6"/>
          <w:sz w:val="16"/>
        </w:rPr>
        <w:t xml:space="preserve"> </w:t>
      </w:r>
      <w:r w:rsidRPr="00EB2BD8">
        <w:rPr>
          <w:sz w:val="16"/>
        </w:rPr>
        <w:t>Stakeholders</w:t>
      </w:r>
      <w:r w:rsidRPr="00EB2BD8">
        <w:rPr>
          <w:spacing w:val="-7"/>
          <w:sz w:val="16"/>
        </w:rPr>
        <w:t xml:space="preserve"> </w:t>
      </w:r>
      <w:r w:rsidRPr="00EB2BD8">
        <w:rPr>
          <w:sz w:val="16"/>
        </w:rPr>
        <w:t>in</w:t>
      </w:r>
      <w:r w:rsidRPr="00EB2BD8">
        <w:rPr>
          <w:spacing w:val="-6"/>
          <w:sz w:val="16"/>
        </w:rPr>
        <w:t xml:space="preserve"> </w:t>
      </w:r>
      <w:r w:rsidRPr="00EB2BD8">
        <w:rPr>
          <w:sz w:val="16"/>
        </w:rPr>
        <w:t>the</w:t>
      </w:r>
      <w:r w:rsidRPr="00EB2BD8">
        <w:rPr>
          <w:spacing w:val="-7"/>
          <w:sz w:val="16"/>
        </w:rPr>
        <w:t xml:space="preserve"> </w:t>
      </w:r>
      <w:r w:rsidRPr="00EB2BD8">
        <w:rPr>
          <w:sz w:val="16"/>
        </w:rPr>
        <w:t>Development</w:t>
      </w:r>
      <w:r w:rsidRPr="00EB2BD8">
        <w:rPr>
          <w:spacing w:val="-6"/>
          <w:sz w:val="16"/>
        </w:rPr>
        <w:t xml:space="preserve"> </w:t>
      </w:r>
      <w:r w:rsidRPr="00EB2BD8">
        <w:rPr>
          <w:sz w:val="16"/>
        </w:rPr>
        <w:t>of</w:t>
      </w:r>
      <w:r w:rsidRPr="00EB2BD8">
        <w:rPr>
          <w:spacing w:val="-6"/>
          <w:sz w:val="16"/>
        </w:rPr>
        <w:t xml:space="preserve"> </w:t>
      </w:r>
      <w:r w:rsidRPr="00EB2BD8">
        <w:rPr>
          <w:sz w:val="16"/>
        </w:rPr>
        <w:t>Plumbing</w:t>
      </w:r>
      <w:r w:rsidRPr="00EB2BD8">
        <w:rPr>
          <w:spacing w:val="-7"/>
          <w:sz w:val="16"/>
        </w:rPr>
        <w:t xml:space="preserve"> </w:t>
      </w:r>
      <w:r w:rsidRPr="00EB2BD8">
        <w:rPr>
          <w:sz w:val="16"/>
        </w:rPr>
        <w:t>Performance</w:t>
      </w:r>
      <w:r w:rsidRPr="00EB2BD8">
        <w:rPr>
          <w:spacing w:val="-6"/>
          <w:sz w:val="16"/>
        </w:rPr>
        <w:t xml:space="preserve"> </w:t>
      </w:r>
      <w:r w:rsidRPr="00EB2BD8">
        <w:rPr>
          <w:spacing w:val="-2"/>
          <w:sz w:val="16"/>
        </w:rPr>
        <w:t>Solutions</w:t>
      </w:r>
      <w:r w:rsidRPr="00EB2BD8">
        <w:rPr>
          <w:sz w:val="16"/>
        </w:rPr>
        <w:tab/>
      </w:r>
      <w:r w:rsidRPr="00EB2BD8">
        <w:rPr>
          <w:w w:val="85"/>
          <w:sz w:val="16"/>
        </w:rPr>
        <w:t>473</w:t>
      </w:r>
      <w:r w:rsidRPr="00EB2BD8">
        <w:rPr>
          <w:spacing w:val="-5"/>
          <w:sz w:val="16"/>
        </w:rPr>
        <w:t xml:space="preserve"> </w:t>
      </w:r>
      <w:r w:rsidRPr="00EB2BD8">
        <w:rPr>
          <w:spacing w:val="-2"/>
          <w:sz w:val="16"/>
        </w:rPr>
        <w:t>participants</w:t>
      </w:r>
    </w:p>
    <w:p w14:paraId="043E2D43"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2125184" behindDoc="1" locked="0" layoutInCell="1" allowOverlap="1" wp14:anchorId="732300EB" wp14:editId="6217B4D8">
                <wp:simplePos x="0" y="0"/>
                <wp:positionH relativeFrom="page">
                  <wp:posOffset>539998</wp:posOffset>
                </wp:positionH>
                <wp:positionV relativeFrom="paragraph">
                  <wp:posOffset>49107</wp:posOffset>
                </wp:positionV>
                <wp:extent cx="6480175" cy="3175"/>
                <wp:effectExtent l="0" t="0" r="0" b="0"/>
                <wp:wrapTopAndBottom/>
                <wp:docPr id="362" name="Group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75"/>
                          <a:chOff x="0" y="0"/>
                          <a:chExt cx="6480175" cy="3175"/>
                        </a:xfrm>
                      </wpg:grpSpPr>
                      <wps:wsp>
                        <wps:cNvPr id="363" name="Graphic 363"/>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64" name="Graphic 364"/>
                        <wps:cNvSpPr/>
                        <wps:spPr>
                          <a:xfrm>
                            <a:off x="4413599" y="1587"/>
                            <a:ext cx="2066925" cy="1270"/>
                          </a:xfrm>
                          <a:custGeom>
                            <a:avLst/>
                            <a:gdLst/>
                            <a:ahLst/>
                            <a:cxnLst/>
                            <a:rect l="l" t="t" r="r" b="b"/>
                            <a:pathLst>
                              <a:path w="2066925">
                                <a:moveTo>
                                  <a:pt x="0" y="0"/>
                                </a:moveTo>
                                <a:lnTo>
                                  <a:pt x="2066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7C1BBF" id="Group 362" o:spid="_x0000_s1026" alt="&quot;&quot;" style="position:absolute;margin-left:42.5pt;margin-top:3.85pt;width:510.25pt;height:.25pt;z-index:-251191296;mso-wrap-distance-left:0;mso-wrap-distance-right:0;mso-position-horizontal-relative:page" coordsize="64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">
                <v:shape id="Graphic 363"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" path="m,l4413605,e" filled="f" strokeweight=".25pt">
                  <v:path arrowok="t"/>
                </v:shape>
                <v:shape id="Graphic 364" o:spid="_x0000_s1028" style="position:absolute;left:44135;top:15;width:20670;height:13;visibility:visible;mso-wrap-style:square;v-text-anchor:top" coordsize="2066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" path="m,l2066404,e" filled="f" strokeweight=".25pt">
                  <v:path arrowok="t"/>
                </v:shape>
                <w10:wrap type="topAndBottom" anchorx="page"/>
              </v:group>
            </w:pict>
          </mc:Fallback>
        </mc:AlternateContent>
      </w:r>
    </w:p>
    <w:p w14:paraId="605B049B" w14:textId="77777777" w:rsidR="00084F36" w:rsidRPr="00EB2BD8" w:rsidRDefault="00EB2BD8">
      <w:pPr>
        <w:tabs>
          <w:tab w:val="left" w:pos="9679"/>
        </w:tabs>
        <w:spacing w:before="116"/>
        <w:ind w:left="963"/>
        <w:rPr>
          <w:sz w:val="16"/>
        </w:rPr>
      </w:pPr>
      <w:r w:rsidRPr="00EB2BD8">
        <w:rPr>
          <w:sz w:val="16"/>
        </w:rPr>
        <w:t>Plumbing</w:t>
      </w:r>
      <w:r w:rsidRPr="00EB2BD8">
        <w:rPr>
          <w:spacing w:val="-5"/>
          <w:sz w:val="16"/>
        </w:rPr>
        <w:t xml:space="preserve"> </w:t>
      </w:r>
      <w:r w:rsidRPr="00EB2BD8">
        <w:rPr>
          <w:sz w:val="16"/>
        </w:rPr>
        <w:t>Performance</w:t>
      </w:r>
      <w:r w:rsidRPr="00EB2BD8">
        <w:rPr>
          <w:spacing w:val="-4"/>
          <w:sz w:val="16"/>
        </w:rPr>
        <w:t xml:space="preserve"> </w:t>
      </w:r>
      <w:r w:rsidRPr="00EB2BD8">
        <w:rPr>
          <w:sz w:val="16"/>
        </w:rPr>
        <w:t>Solutions</w:t>
      </w:r>
      <w:r w:rsidRPr="00EB2BD8">
        <w:rPr>
          <w:spacing w:val="-4"/>
          <w:sz w:val="16"/>
        </w:rPr>
        <w:t xml:space="preserve"> </w:t>
      </w:r>
      <w:r w:rsidRPr="00EB2BD8">
        <w:rPr>
          <w:sz w:val="16"/>
        </w:rPr>
        <w:t>–</w:t>
      </w:r>
      <w:r w:rsidRPr="00EB2BD8">
        <w:rPr>
          <w:spacing w:val="-5"/>
          <w:sz w:val="16"/>
        </w:rPr>
        <w:t xml:space="preserve"> </w:t>
      </w:r>
      <w:r w:rsidRPr="00EB2BD8">
        <w:rPr>
          <w:sz w:val="16"/>
        </w:rPr>
        <w:t>How</w:t>
      </w:r>
      <w:r w:rsidRPr="00EB2BD8">
        <w:rPr>
          <w:spacing w:val="-4"/>
          <w:sz w:val="16"/>
        </w:rPr>
        <w:t xml:space="preserve"> </w:t>
      </w:r>
      <w:r w:rsidRPr="00EB2BD8">
        <w:rPr>
          <w:sz w:val="16"/>
        </w:rPr>
        <w:t>to</w:t>
      </w:r>
      <w:r w:rsidRPr="00EB2BD8">
        <w:rPr>
          <w:spacing w:val="-5"/>
          <w:sz w:val="16"/>
        </w:rPr>
        <w:t xml:space="preserve"> </w:t>
      </w:r>
      <w:r w:rsidRPr="00EB2BD8">
        <w:rPr>
          <w:sz w:val="16"/>
        </w:rPr>
        <w:t>Document</w:t>
      </w:r>
      <w:r w:rsidRPr="00EB2BD8">
        <w:rPr>
          <w:spacing w:val="-4"/>
          <w:sz w:val="16"/>
        </w:rPr>
        <w:t xml:space="preserve"> </w:t>
      </w:r>
      <w:r w:rsidRPr="00EB2BD8">
        <w:rPr>
          <w:sz w:val="16"/>
        </w:rPr>
        <w:t>Performance</w:t>
      </w:r>
      <w:r w:rsidRPr="00EB2BD8">
        <w:rPr>
          <w:spacing w:val="-4"/>
          <w:sz w:val="16"/>
        </w:rPr>
        <w:t xml:space="preserve"> </w:t>
      </w:r>
      <w:r w:rsidRPr="00EB2BD8">
        <w:rPr>
          <w:spacing w:val="-2"/>
          <w:sz w:val="16"/>
        </w:rPr>
        <w:t>Solutions</w:t>
      </w:r>
      <w:r w:rsidRPr="00EB2BD8">
        <w:rPr>
          <w:sz w:val="16"/>
        </w:rPr>
        <w:tab/>
      </w:r>
      <w:r w:rsidRPr="00EB2BD8">
        <w:rPr>
          <w:w w:val="90"/>
          <w:sz w:val="16"/>
        </w:rPr>
        <w:t>353</w:t>
      </w:r>
      <w:r w:rsidRPr="00EB2BD8">
        <w:rPr>
          <w:spacing w:val="-3"/>
          <w:w w:val="90"/>
          <w:sz w:val="16"/>
        </w:rPr>
        <w:t xml:space="preserve"> </w:t>
      </w:r>
      <w:r w:rsidRPr="00EB2BD8">
        <w:rPr>
          <w:spacing w:val="-2"/>
          <w:w w:val="105"/>
          <w:sz w:val="16"/>
        </w:rPr>
        <w:t>participants</w:t>
      </w:r>
    </w:p>
    <w:p w14:paraId="1ECCA107"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2137472" behindDoc="1" locked="0" layoutInCell="1" allowOverlap="1" wp14:anchorId="5F6BC9AC" wp14:editId="4281A73F">
                <wp:simplePos x="0" y="0"/>
                <wp:positionH relativeFrom="page">
                  <wp:posOffset>539998</wp:posOffset>
                </wp:positionH>
                <wp:positionV relativeFrom="paragraph">
                  <wp:posOffset>49107</wp:posOffset>
                </wp:positionV>
                <wp:extent cx="6480175" cy="3175"/>
                <wp:effectExtent l="0" t="0" r="0" b="0"/>
                <wp:wrapTopAndBottom/>
                <wp:docPr id="365" name="Group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75"/>
                          <a:chOff x="0" y="0"/>
                          <a:chExt cx="6480175" cy="3175"/>
                        </a:xfrm>
                      </wpg:grpSpPr>
                      <wps:wsp>
                        <wps:cNvPr id="366" name="Graphic 366"/>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67" name="Graphic 367"/>
                        <wps:cNvSpPr/>
                        <wps:spPr>
                          <a:xfrm>
                            <a:off x="4413599" y="1587"/>
                            <a:ext cx="2066925" cy="1270"/>
                          </a:xfrm>
                          <a:custGeom>
                            <a:avLst/>
                            <a:gdLst/>
                            <a:ahLst/>
                            <a:cxnLst/>
                            <a:rect l="l" t="t" r="r" b="b"/>
                            <a:pathLst>
                              <a:path w="2066925">
                                <a:moveTo>
                                  <a:pt x="0" y="0"/>
                                </a:moveTo>
                                <a:lnTo>
                                  <a:pt x="2066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022BFC" id="Group 365" o:spid="_x0000_s1026" alt="&quot;&quot;" style="position:absolute;margin-left:42.5pt;margin-top:3.85pt;width:510.25pt;height:.25pt;z-index:-251179008;mso-wrap-distance-left:0;mso-wrap-distance-right:0;mso-position-horizontal-relative:page" coordsize="64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">
                <v:shape id="Graphic 366"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" path="m,l4413605,e" filled="f" strokeweight=".25pt">
                  <v:path arrowok="t"/>
                </v:shape>
                <v:shape id="Graphic 367" o:spid="_x0000_s1028" style="position:absolute;left:44135;top:15;width:20670;height:13;visibility:visible;mso-wrap-style:square;v-text-anchor:top" coordsize="2066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" path="m,l2066404,e" filled="f" strokeweight=".25pt">
                  <v:path arrowok="t"/>
                </v:shape>
                <w10:wrap type="topAndBottom" anchorx="page"/>
              </v:group>
            </w:pict>
          </mc:Fallback>
        </mc:AlternateContent>
      </w:r>
    </w:p>
    <w:p w14:paraId="2B4A408B" w14:textId="77777777" w:rsidR="00084F36" w:rsidRPr="00EB2BD8" w:rsidRDefault="00EB2BD8">
      <w:pPr>
        <w:tabs>
          <w:tab w:val="left" w:pos="9686"/>
        </w:tabs>
        <w:spacing w:before="116"/>
        <w:ind w:left="963"/>
        <w:rPr>
          <w:sz w:val="16"/>
        </w:rPr>
      </w:pPr>
      <w:r w:rsidRPr="00EB2BD8">
        <w:rPr>
          <w:spacing w:val="-2"/>
          <w:sz w:val="16"/>
        </w:rPr>
        <w:t>Building</w:t>
      </w:r>
      <w:r w:rsidRPr="00EB2BD8">
        <w:rPr>
          <w:spacing w:val="-1"/>
          <w:sz w:val="16"/>
        </w:rPr>
        <w:t xml:space="preserve"> </w:t>
      </w:r>
      <w:r w:rsidRPr="00EB2BD8">
        <w:rPr>
          <w:spacing w:val="-2"/>
          <w:sz w:val="16"/>
        </w:rPr>
        <w:t>Enforcement</w:t>
      </w:r>
      <w:r w:rsidRPr="00EB2BD8">
        <w:rPr>
          <w:sz w:val="16"/>
        </w:rPr>
        <w:tab/>
      </w:r>
      <w:r w:rsidRPr="00EB2BD8">
        <w:rPr>
          <w:w w:val="85"/>
          <w:sz w:val="16"/>
        </w:rPr>
        <w:t>799</w:t>
      </w:r>
      <w:r w:rsidRPr="00EB2BD8">
        <w:rPr>
          <w:spacing w:val="-1"/>
          <w:sz w:val="16"/>
        </w:rPr>
        <w:t xml:space="preserve"> </w:t>
      </w:r>
      <w:r w:rsidRPr="00EB2BD8">
        <w:rPr>
          <w:spacing w:val="-2"/>
          <w:sz w:val="16"/>
        </w:rPr>
        <w:t>participants</w:t>
      </w:r>
    </w:p>
    <w:p w14:paraId="5A9AD469"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2147712" behindDoc="1" locked="0" layoutInCell="1" allowOverlap="1" wp14:anchorId="297CD79C" wp14:editId="02FA017E">
                <wp:simplePos x="0" y="0"/>
                <wp:positionH relativeFrom="page">
                  <wp:posOffset>539998</wp:posOffset>
                </wp:positionH>
                <wp:positionV relativeFrom="paragraph">
                  <wp:posOffset>49106</wp:posOffset>
                </wp:positionV>
                <wp:extent cx="6480175" cy="3175"/>
                <wp:effectExtent l="0" t="0" r="0" b="0"/>
                <wp:wrapTopAndBottom/>
                <wp:docPr id="368" name="Group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75"/>
                          <a:chOff x="0" y="0"/>
                          <a:chExt cx="6480175" cy="3175"/>
                        </a:xfrm>
                      </wpg:grpSpPr>
                      <wps:wsp>
                        <wps:cNvPr id="369" name="Graphic 369"/>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70" name="Graphic 370"/>
                        <wps:cNvSpPr/>
                        <wps:spPr>
                          <a:xfrm>
                            <a:off x="4413599" y="1587"/>
                            <a:ext cx="2066925" cy="1270"/>
                          </a:xfrm>
                          <a:custGeom>
                            <a:avLst/>
                            <a:gdLst/>
                            <a:ahLst/>
                            <a:cxnLst/>
                            <a:rect l="l" t="t" r="r" b="b"/>
                            <a:pathLst>
                              <a:path w="2066925">
                                <a:moveTo>
                                  <a:pt x="0" y="0"/>
                                </a:moveTo>
                                <a:lnTo>
                                  <a:pt x="2066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D2F413" id="Group 368" o:spid="_x0000_s1026" alt="&quot;&quot;" style="position:absolute;margin-left:42.5pt;margin-top:3.85pt;width:510.25pt;height:.25pt;z-index:-251168768;mso-wrap-distance-left:0;mso-wrap-distance-right:0;mso-position-horizontal-relative:page" coordsize="64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">
                <v:shape id="Graphic 369"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" path="m,l4413605,e" filled="f" strokeweight=".25pt">
                  <v:path arrowok="t"/>
                </v:shape>
                <v:shape id="Graphic 370" o:spid="_x0000_s1028" style="position:absolute;left:44135;top:15;width:20670;height:13;visibility:visible;mso-wrap-style:square;v-text-anchor:top" coordsize="2066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" path="m,l2066404,e" filled="f" strokeweight=".25pt">
                  <v:path arrowok="t"/>
                </v:shape>
                <w10:wrap type="topAndBottom" anchorx="page"/>
              </v:group>
            </w:pict>
          </mc:Fallback>
        </mc:AlternateContent>
      </w:r>
    </w:p>
    <w:p w14:paraId="00D397AA" w14:textId="77777777" w:rsidR="00084F36" w:rsidRPr="00EB2BD8" w:rsidRDefault="00EB2BD8">
      <w:pPr>
        <w:tabs>
          <w:tab w:val="left" w:pos="9681"/>
        </w:tabs>
        <w:spacing w:before="116"/>
        <w:ind w:left="963"/>
        <w:rPr>
          <w:sz w:val="16"/>
        </w:rPr>
      </w:pPr>
      <w:r w:rsidRPr="00EB2BD8">
        <w:rPr>
          <w:sz w:val="16"/>
        </w:rPr>
        <w:t>Proactive</w:t>
      </w:r>
      <w:r w:rsidRPr="00EB2BD8">
        <w:rPr>
          <w:spacing w:val="-6"/>
          <w:sz w:val="16"/>
        </w:rPr>
        <w:t xml:space="preserve"> </w:t>
      </w:r>
      <w:r w:rsidRPr="00EB2BD8">
        <w:rPr>
          <w:sz w:val="16"/>
        </w:rPr>
        <w:t>Inspections</w:t>
      </w:r>
      <w:r w:rsidRPr="00EB2BD8">
        <w:rPr>
          <w:spacing w:val="-6"/>
          <w:sz w:val="16"/>
        </w:rPr>
        <w:t xml:space="preserve"> </w:t>
      </w:r>
      <w:r w:rsidRPr="00EB2BD8">
        <w:rPr>
          <w:sz w:val="16"/>
        </w:rPr>
        <w:t>Program</w:t>
      </w:r>
      <w:r w:rsidRPr="00EB2BD8">
        <w:rPr>
          <w:spacing w:val="-5"/>
          <w:sz w:val="16"/>
        </w:rPr>
        <w:t xml:space="preserve"> </w:t>
      </w:r>
      <w:r w:rsidRPr="00EB2BD8">
        <w:rPr>
          <w:sz w:val="16"/>
        </w:rPr>
        <w:t>Findings</w:t>
      </w:r>
      <w:r w:rsidRPr="00EB2BD8">
        <w:rPr>
          <w:spacing w:val="-6"/>
          <w:sz w:val="16"/>
        </w:rPr>
        <w:t xml:space="preserve"> </w:t>
      </w:r>
      <w:r w:rsidRPr="00EB2BD8">
        <w:rPr>
          <w:sz w:val="16"/>
        </w:rPr>
        <w:t>–</w:t>
      </w:r>
      <w:r w:rsidRPr="00EB2BD8">
        <w:rPr>
          <w:spacing w:val="-6"/>
          <w:sz w:val="16"/>
        </w:rPr>
        <w:t xml:space="preserve"> </w:t>
      </w:r>
      <w:r w:rsidRPr="00EB2BD8">
        <w:rPr>
          <w:sz w:val="16"/>
        </w:rPr>
        <w:t>Plumbing</w:t>
      </w:r>
      <w:r w:rsidRPr="00EB2BD8">
        <w:rPr>
          <w:spacing w:val="-5"/>
          <w:sz w:val="16"/>
        </w:rPr>
        <w:t xml:space="preserve"> </w:t>
      </w:r>
      <w:r w:rsidRPr="00EB2BD8">
        <w:rPr>
          <w:spacing w:val="-2"/>
          <w:sz w:val="16"/>
        </w:rPr>
        <w:t>Findings</w:t>
      </w:r>
      <w:r w:rsidRPr="00EB2BD8">
        <w:rPr>
          <w:sz w:val="16"/>
        </w:rPr>
        <w:tab/>
      </w:r>
      <w:r w:rsidRPr="00EB2BD8">
        <w:rPr>
          <w:w w:val="90"/>
          <w:sz w:val="16"/>
        </w:rPr>
        <w:t>583</w:t>
      </w:r>
      <w:r w:rsidRPr="00EB2BD8">
        <w:rPr>
          <w:spacing w:val="-7"/>
          <w:w w:val="90"/>
          <w:sz w:val="16"/>
        </w:rPr>
        <w:t xml:space="preserve"> </w:t>
      </w:r>
      <w:r w:rsidRPr="00EB2BD8">
        <w:rPr>
          <w:spacing w:val="-2"/>
          <w:w w:val="105"/>
          <w:sz w:val="16"/>
        </w:rPr>
        <w:t>participants</w:t>
      </w:r>
    </w:p>
    <w:p w14:paraId="506E0E3A"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2155904" behindDoc="1" locked="0" layoutInCell="1" allowOverlap="1" wp14:anchorId="7E6EB6B7" wp14:editId="4C17FDF0">
                <wp:simplePos x="0" y="0"/>
                <wp:positionH relativeFrom="page">
                  <wp:posOffset>539998</wp:posOffset>
                </wp:positionH>
                <wp:positionV relativeFrom="paragraph">
                  <wp:posOffset>49107</wp:posOffset>
                </wp:positionV>
                <wp:extent cx="6480175" cy="3175"/>
                <wp:effectExtent l="0" t="0" r="0" b="0"/>
                <wp:wrapTopAndBottom/>
                <wp:docPr id="371"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75"/>
                          <a:chOff x="0" y="0"/>
                          <a:chExt cx="6480175" cy="3175"/>
                        </a:xfrm>
                      </wpg:grpSpPr>
                      <wps:wsp>
                        <wps:cNvPr id="372" name="Graphic 372"/>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73" name="Graphic 373"/>
                        <wps:cNvSpPr/>
                        <wps:spPr>
                          <a:xfrm>
                            <a:off x="4413599" y="1587"/>
                            <a:ext cx="2066925" cy="1270"/>
                          </a:xfrm>
                          <a:custGeom>
                            <a:avLst/>
                            <a:gdLst/>
                            <a:ahLst/>
                            <a:cxnLst/>
                            <a:rect l="l" t="t" r="r" b="b"/>
                            <a:pathLst>
                              <a:path w="2066925">
                                <a:moveTo>
                                  <a:pt x="0" y="0"/>
                                </a:moveTo>
                                <a:lnTo>
                                  <a:pt x="2066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152141" id="Group 371" o:spid="_x0000_s1026" alt="&quot;&quot;" style="position:absolute;margin-left:42.5pt;margin-top:3.85pt;width:510.25pt;height:.25pt;z-index:-251160576;mso-wrap-distance-left:0;mso-wrap-distance-right:0;mso-position-horizontal-relative:page" coordsize="64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">
                <v:shape id="Graphic 372"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" path="m,l4413605,e" filled="f" strokeweight=".25pt">
                  <v:path arrowok="t"/>
                </v:shape>
                <v:shape id="Graphic 373" o:spid="_x0000_s1028" style="position:absolute;left:44135;top:15;width:20670;height:13;visibility:visible;mso-wrap-style:square;v-text-anchor:top" coordsize="2066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" path="m,l2066404,e" filled="f" strokeweight=".25pt">
                  <v:path arrowok="t"/>
                </v:shape>
                <w10:wrap type="topAndBottom" anchorx="page"/>
              </v:group>
            </w:pict>
          </mc:Fallback>
        </mc:AlternateContent>
      </w:r>
    </w:p>
    <w:p w14:paraId="2924AD20" w14:textId="77777777" w:rsidR="00084F36" w:rsidRPr="00EB2BD8" w:rsidRDefault="00EB2BD8">
      <w:pPr>
        <w:tabs>
          <w:tab w:val="left" w:pos="9704"/>
        </w:tabs>
        <w:spacing w:before="116"/>
        <w:ind w:left="963"/>
        <w:rPr>
          <w:sz w:val="16"/>
        </w:rPr>
      </w:pPr>
      <w:r w:rsidRPr="00EB2BD8">
        <w:rPr>
          <w:sz w:val="16"/>
        </w:rPr>
        <w:t>Seismic</w:t>
      </w:r>
      <w:r w:rsidRPr="00EB2BD8">
        <w:rPr>
          <w:spacing w:val="-3"/>
          <w:sz w:val="16"/>
        </w:rPr>
        <w:t xml:space="preserve"> </w:t>
      </w:r>
      <w:r w:rsidRPr="00EB2BD8">
        <w:rPr>
          <w:spacing w:val="-2"/>
          <w:sz w:val="16"/>
        </w:rPr>
        <w:t>Detailing</w:t>
      </w:r>
      <w:r w:rsidRPr="00EB2BD8">
        <w:rPr>
          <w:sz w:val="16"/>
        </w:rPr>
        <w:tab/>
      </w:r>
      <w:r w:rsidRPr="00EB2BD8">
        <w:rPr>
          <w:w w:val="80"/>
          <w:sz w:val="16"/>
        </w:rPr>
        <w:t>327</w:t>
      </w:r>
      <w:r w:rsidRPr="00EB2BD8">
        <w:rPr>
          <w:spacing w:val="-5"/>
          <w:sz w:val="16"/>
        </w:rPr>
        <w:t xml:space="preserve"> </w:t>
      </w:r>
      <w:r w:rsidRPr="00EB2BD8">
        <w:rPr>
          <w:spacing w:val="-2"/>
          <w:sz w:val="16"/>
        </w:rPr>
        <w:t>participants</w:t>
      </w:r>
    </w:p>
    <w:p w14:paraId="7F1272B2" w14:textId="77777777" w:rsidR="00084F36" w:rsidRPr="00EB2BD8" w:rsidRDefault="00EB2BD8">
      <w:pPr>
        <w:pStyle w:val="BodyText"/>
        <w:spacing w:before="5"/>
        <w:rPr>
          <w:sz w:val="4"/>
        </w:rPr>
      </w:pPr>
      <w:r w:rsidRPr="00EB2BD8">
        <w:rPr>
          <w:noProof/>
        </w:rPr>
        <mc:AlternateContent>
          <mc:Choice Requires="wpg">
            <w:drawing>
              <wp:anchor distT="0" distB="0" distL="0" distR="0" simplePos="0" relativeHeight="252164096" behindDoc="1" locked="0" layoutInCell="1" allowOverlap="1" wp14:anchorId="44544B75" wp14:editId="4F75BEC0">
                <wp:simplePos x="0" y="0"/>
                <wp:positionH relativeFrom="page">
                  <wp:posOffset>539998</wp:posOffset>
                </wp:positionH>
                <wp:positionV relativeFrom="paragraph">
                  <wp:posOffset>49107</wp:posOffset>
                </wp:positionV>
                <wp:extent cx="6480175" cy="3175"/>
                <wp:effectExtent l="0" t="0" r="0" b="0"/>
                <wp:wrapTopAndBottom/>
                <wp:docPr id="374" name="Group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75"/>
                          <a:chOff x="0" y="0"/>
                          <a:chExt cx="6480175" cy="3175"/>
                        </a:xfrm>
                      </wpg:grpSpPr>
                      <wps:wsp>
                        <wps:cNvPr id="375" name="Graphic 375"/>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76" name="Graphic 376"/>
                        <wps:cNvSpPr/>
                        <wps:spPr>
                          <a:xfrm>
                            <a:off x="4413599" y="1587"/>
                            <a:ext cx="2066925" cy="1270"/>
                          </a:xfrm>
                          <a:custGeom>
                            <a:avLst/>
                            <a:gdLst/>
                            <a:ahLst/>
                            <a:cxnLst/>
                            <a:rect l="l" t="t" r="r" b="b"/>
                            <a:pathLst>
                              <a:path w="2066925">
                                <a:moveTo>
                                  <a:pt x="0" y="0"/>
                                </a:moveTo>
                                <a:lnTo>
                                  <a:pt x="2066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B3DDFB" id="Group 374" o:spid="_x0000_s1026" alt="&quot;&quot;" style="position:absolute;margin-left:42.5pt;margin-top:3.85pt;width:510.25pt;height:.25pt;z-index:-251152384;mso-wrap-distance-left:0;mso-wrap-distance-right:0;mso-position-horizontal-relative:page" coordsize="64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">
                <v:shape id="Graphic 375"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" path="m,l4413605,e" filled="f" strokeweight=".25pt">
                  <v:path arrowok="t"/>
                </v:shape>
                <v:shape id="Graphic 376" o:spid="_x0000_s1028" style="position:absolute;left:44135;top:15;width:20670;height:13;visibility:visible;mso-wrap-style:square;v-text-anchor:top" coordsize="2066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" path="m,l2066404,e" filled="f" strokeweight=".25pt">
                  <v:path arrowok="t"/>
                </v:shape>
                <w10:wrap type="topAndBottom" anchorx="page"/>
              </v:group>
            </w:pict>
          </mc:Fallback>
        </mc:AlternateContent>
      </w:r>
    </w:p>
    <w:p w14:paraId="01C72136" w14:textId="77777777" w:rsidR="00084F36" w:rsidRPr="00EB2BD8" w:rsidRDefault="00EB2BD8">
      <w:pPr>
        <w:tabs>
          <w:tab w:val="left" w:pos="9589"/>
        </w:tabs>
        <w:spacing w:before="115"/>
        <w:ind w:left="963"/>
        <w:rPr>
          <w:sz w:val="16"/>
        </w:rPr>
      </w:pPr>
      <w:r w:rsidRPr="00EB2BD8">
        <w:rPr>
          <w:spacing w:val="-2"/>
          <w:sz w:val="16"/>
        </w:rPr>
        <w:t>TOTAL</w:t>
      </w:r>
      <w:r w:rsidRPr="00EB2BD8">
        <w:rPr>
          <w:sz w:val="16"/>
        </w:rPr>
        <w:tab/>
      </w:r>
      <w:r w:rsidRPr="00EB2BD8">
        <w:rPr>
          <w:spacing w:val="-2"/>
          <w:w w:val="90"/>
          <w:sz w:val="16"/>
        </w:rPr>
        <w:t>6,689</w:t>
      </w:r>
      <w:r w:rsidRPr="00EB2BD8">
        <w:rPr>
          <w:spacing w:val="-3"/>
          <w:w w:val="90"/>
          <w:sz w:val="16"/>
        </w:rPr>
        <w:t xml:space="preserve"> </w:t>
      </w:r>
      <w:r w:rsidRPr="00EB2BD8">
        <w:rPr>
          <w:spacing w:val="-2"/>
          <w:sz w:val="16"/>
        </w:rPr>
        <w:t>participants</w:t>
      </w:r>
    </w:p>
    <w:p w14:paraId="4F51C28C" w14:textId="77777777" w:rsidR="00084F36" w:rsidRPr="00EB2BD8" w:rsidRDefault="00EB2BD8">
      <w:pPr>
        <w:pStyle w:val="BodyText"/>
        <w:spacing w:before="6"/>
        <w:rPr>
          <w:sz w:val="4"/>
        </w:rPr>
      </w:pPr>
      <w:r w:rsidRPr="00EB2BD8">
        <w:rPr>
          <w:noProof/>
        </w:rPr>
        <mc:AlternateContent>
          <mc:Choice Requires="wpg">
            <w:drawing>
              <wp:anchor distT="0" distB="0" distL="0" distR="0" simplePos="0" relativeHeight="252172288" behindDoc="1" locked="0" layoutInCell="1" allowOverlap="1" wp14:anchorId="4CC20FB6" wp14:editId="73239F11">
                <wp:simplePos x="0" y="0"/>
                <wp:positionH relativeFrom="page">
                  <wp:posOffset>539998</wp:posOffset>
                </wp:positionH>
                <wp:positionV relativeFrom="paragraph">
                  <wp:posOffset>49742</wp:posOffset>
                </wp:positionV>
                <wp:extent cx="6480175" cy="3175"/>
                <wp:effectExtent l="0" t="0" r="0" b="0"/>
                <wp:wrapTopAndBottom/>
                <wp:docPr id="377" name="Group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75"/>
                          <a:chOff x="0" y="0"/>
                          <a:chExt cx="6480175" cy="3175"/>
                        </a:xfrm>
                      </wpg:grpSpPr>
                      <wps:wsp>
                        <wps:cNvPr id="378" name="Graphic 378"/>
                        <wps:cNvSpPr/>
                        <wps:spPr>
                          <a:xfrm>
                            <a:off x="0" y="1587"/>
                            <a:ext cx="4413885" cy="1270"/>
                          </a:xfrm>
                          <a:custGeom>
                            <a:avLst/>
                            <a:gdLst/>
                            <a:ahLst/>
                            <a:cxnLst/>
                            <a:rect l="l" t="t" r="r" b="b"/>
                            <a:pathLst>
                              <a:path w="4413885">
                                <a:moveTo>
                                  <a:pt x="0" y="0"/>
                                </a:moveTo>
                                <a:lnTo>
                                  <a:pt x="4413605" y="0"/>
                                </a:lnTo>
                              </a:path>
                            </a:pathLst>
                          </a:custGeom>
                          <a:ln w="3175">
                            <a:solidFill>
                              <a:srgbClr val="000000"/>
                            </a:solidFill>
                            <a:prstDash val="solid"/>
                          </a:ln>
                        </wps:spPr>
                        <wps:bodyPr wrap="square" lIns="0" tIns="0" rIns="0" bIns="0" rtlCol="0">
                          <a:prstTxWarp prst="textNoShape">
                            <a:avLst/>
                          </a:prstTxWarp>
                          <a:noAutofit/>
                        </wps:bodyPr>
                      </wps:wsp>
                      <wps:wsp>
                        <wps:cNvPr id="379" name="Graphic 379"/>
                        <wps:cNvSpPr/>
                        <wps:spPr>
                          <a:xfrm>
                            <a:off x="4413599" y="1587"/>
                            <a:ext cx="2066925" cy="1270"/>
                          </a:xfrm>
                          <a:custGeom>
                            <a:avLst/>
                            <a:gdLst/>
                            <a:ahLst/>
                            <a:cxnLst/>
                            <a:rect l="l" t="t" r="r" b="b"/>
                            <a:pathLst>
                              <a:path w="2066925">
                                <a:moveTo>
                                  <a:pt x="0" y="0"/>
                                </a:moveTo>
                                <a:lnTo>
                                  <a:pt x="2066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56980B" id="Group 377" o:spid="_x0000_s1026" alt="&quot;&quot;" style="position:absolute;margin-left:42.5pt;margin-top:3.9pt;width:510.25pt;height:.25pt;z-index:-251144192;mso-wrap-distance-left:0;mso-wrap-distance-right:0;mso-position-horizontal-relative:page" coordsize="64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">
                <v:shape id="Graphic 378" o:spid="_x0000_s1027" style="position:absolute;top:15;width:44138;height:13;visibility:visible;mso-wrap-style:square;v-text-anchor:top" coordsize="4413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" path="m,l4413605,e" filled="f" strokeweight=".25pt">
                  <v:path arrowok="t"/>
                </v:shape>
                <v:shape id="Graphic 379" o:spid="_x0000_s1028" style="position:absolute;left:44135;top:15;width:20670;height:13;visibility:visible;mso-wrap-style:square;v-text-anchor:top" coordsize="2066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" path="m,l2066404,e" filled="f" strokeweight=".25pt">
                  <v:path arrowok="t"/>
                </v:shape>
                <w10:wrap type="topAndBottom" anchorx="page"/>
              </v:group>
            </w:pict>
          </mc:Fallback>
        </mc:AlternateContent>
      </w:r>
    </w:p>
    <w:p w14:paraId="0EA15BF7" w14:textId="77777777" w:rsidR="00084F36" w:rsidRPr="00EB2BD8" w:rsidRDefault="00084F36">
      <w:pPr>
        <w:pStyle w:val="BodyText"/>
      </w:pPr>
    </w:p>
    <w:p w14:paraId="5F51DACF" w14:textId="77777777" w:rsidR="00084F36" w:rsidRPr="00EB2BD8" w:rsidRDefault="00084F36">
      <w:pPr>
        <w:pStyle w:val="BodyText"/>
        <w:spacing w:before="7"/>
        <w:rPr>
          <w:sz w:val="14"/>
        </w:rPr>
      </w:pPr>
    </w:p>
    <w:p w14:paraId="62442D5C" w14:textId="777848A2" w:rsidR="00084F36" w:rsidRPr="00EB2BD8" w:rsidRDefault="00DF2803">
      <w:pPr>
        <w:spacing w:before="1"/>
        <w:ind w:left="850"/>
        <w:rPr>
          <w:i/>
          <w:sz w:val="14"/>
        </w:rPr>
      </w:pPr>
      <w:r>
        <w:rPr>
          <w:i/>
          <w:sz w:val="14"/>
        </w:rPr>
        <w:t>13- D</w:t>
      </w:r>
      <w:r w:rsidR="00EB2BD8" w:rsidRPr="00EB2BD8">
        <w:rPr>
          <w:i/>
          <w:sz w:val="14"/>
        </w:rPr>
        <w:t>irect</w:t>
      </w:r>
      <w:r w:rsidR="00EB2BD8" w:rsidRPr="00EB2BD8">
        <w:rPr>
          <w:i/>
          <w:spacing w:val="-1"/>
          <w:sz w:val="14"/>
        </w:rPr>
        <w:t xml:space="preserve"> </w:t>
      </w:r>
      <w:r w:rsidR="00EB2BD8" w:rsidRPr="00EB2BD8">
        <w:rPr>
          <w:i/>
          <w:sz w:val="14"/>
        </w:rPr>
        <w:t>year-on-year</w:t>
      </w:r>
      <w:r w:rsidR="00EB2BD8" w:rsidRPr="00EB2BD8">
        <w:rPr>
          <w:i/>
          <w:spacing w:val="-1"/>
          <w:sz w:val="14"/>
        </w:rPr>
        <w:t xml:space="preserve"> </w:t>
      </w:r>
      <w:r w:rsidR="00EB2BD8" w:rsidRPr="00EB2BD8">
        <w:rPr>
          <w:i/>
          <w:sz w:val="14"/>
        </w:rPr>
        <w:t>participation comparison</w:t>
      </w:r>
      <w:r w:rsidR="00EB2BD8" w:rsidRPr="00EB2BD8">
        <w:rPr>
          <w:i/>
          <w:spacing w:val="-1"/>
          <w:sz w:val="14"/>
        </w:rPr>
        <w:t xml:space="preserve"> </w:t>
      </w:r>
      <w:r w:rsidR="00EB2BD8" w:rsidRPr="00EB2BD8">
        <w:rPr>
          <w:i/>
          <w:sz w:val="14"/>
        </w:rPr>
        <w:t>is not</w:t>
      </w:r>
      <w:r w:rsidR="00EB2BD8" w:rsidRPr="00EB2BD8">
        <w:rPr>
          <w:i/>
          <w:spacing w:val="-1"/>
          <w:sz w:val="14"/>
        </w:rPr>
        <w:t xml:space="preserve"> </w:t>
      </w:r>
      <w:r w:rsidR="00EB2BD8" w:rsidRPr="00EB2BD8">
        <w:rPr>
          <w:i/>
          <w:sz w:val="14"/>
        </w:rPr>
        <w:t>possible due</w:t>
      </w:r>
      <w:r w:rsidR="00EB2BD8" w:rsidRPr="00EB2BD8">
        <w:rPr>
          <w:i/>
          <w:spacing w:val="-1"/>
          <w:sz w:val="14"/>
        </w:rPr>
        <w:t xml:space="preserve"> </w:t>
      </w:r>
      <w:r w:rsidR="00EB2BD8" w:rsidRPr="00EB2BD8">
        <w:rPr>
          <w:i/>
          <w:sz w:val="14"/>
        </w:rPr>
        <w:t>to</w:t>
      </w:r>
      <w:r w:rsidR="00EB2BD8" w:rsidRPr="00EB2BD8">
        <w:rPr>
          <w:i/>
          <w:spacing w:val="-1"/>
          <w:sz w:val="14"/>
        </w:rPr>
        <w:t xml:space="preserve"> </w:t>
      </w:r>
      <w:r w:rsidR="00EB2BD8" w:rsidRPr="00EB2BD8">
        <w:rPr>
          <w:i/>
          <w:sz w:val="14"/>
        </w:rPr>
        <w:t>Practitioner Education</w:t>
      </w:r>
      <w:r w:rsidR="00EB2BD8" w:rsidRPr="00EB2BD8">
        <w:rPr>
          <w:i/>
          <w:spacing w:val="-1"/>
          <w:sz w:val="14"/>
        </w:rPr>
        <w:t xml:space="preserve"> </w:t>
      </w:r>
      <w:r w:rsidR="00EB2BD8" w:rsidRPr="00EB2BD8">
        <w:rPr>
          <w:i/>
          <w:sz w:val="14"/>
        </w:rPr>
        <w:t>Series webinar</w:t>
      </w:r>
      <w:r w:rsidR="00EB2BD8" w:rsidRPr="00EB2BD8">
        <w:rPr>
          <w:i/>
          <w:spacing w:val="-1"/>
          <w:sz w:val="14"/>
        </w:rPr>
        <w:t xml:space="preserve"> </w:t>
      </w:r>
      <w:r w:rsidR="00EB2BD8" w:rsidRPr="00EB2BD8">
        <w:rPr>
          <w:i/>
          <w:sz w:val="14"/>
        </w:rPr>
        <w:t>topics changing</w:t>
      </w:r>
      <w:r w:rsidR="00EB2BD8" w:rsidRPr="00EB2BD8">
        <w:rPr>
          <w:i/>
          <w:spacing w:val="-1"/>
          <w:sz w:val="14"/>
        </w:rPr>
        <w:t xml:space="preserve"> </w:t>
      </w:r>
      <w:r w:rsidR="00EB2BD8" w:rsidRPr="00EB2BD8">
        <w:rPr>
          <w:i/>
          <w:spacing w:val="-2"/>
          <w:sz w:val="14"/>
        </w:rPr>
        <w:t>annually.</w:t>
      </w:r>
    </w:p>
    <w:p w14:paraId="6C8D0D6B" w14:textId="77777777" w:rsidR="00084F36" w:rsidRPr="00EB2BD8" w:rsidRDefault="00084F36">
      <w:pPr>
        <w:rPr>
          <w:sz w:val="14"/>
        </w:rPr>
        <w:sectPr w:rsidR="00084F36" w:rsidRPr="00EB2BD8" w:rsidSect="006D75B2">
          <w:footerReference w:type="default" r:id="rId72"/>
          <w:pgSz w:w="11910" w:h="16840"/>
          <w:pgMar w:top="1100" w:right="0" w:bottom="700" w:left="0" w:header="0" w:footer="515" w:gutter="0"/>
          <w:cols w:space="720"/>
        </w:sectPr>
      </w:pPr>
    </w:p>
    <w:p w14:paraId="7A48AA65" w14:textId="77777777" w:rsidR="00084F36" w:rsidRPr="00EB2BD8" w:rsidRDefault="00084F36">
      <w:pPr>
        <w:pStyle w:val="BodyText"/>
        <w:rPr>
          <w:i/>
          <w:sz w:val="20"/>
        </w:rPr>
      </w:pPr>
    </w:p>
    <w:p w14:paraId="50BDCD84" w14:textId="77777777" w:rsidR="00084F36" w:rsidRPr="00EB2BD8" w:rsidRDefault="00084F36">
      <w:pPr>
        <w:pStyle w:val="BodyText"/>
        <w:rPr>
          <w:i/>
          <w:sz w:val="20"/>
        </w:rPr>
      </w:pPr>
    </w:p>
    <w:p w14:paraId="1C821F4A" w14:textId="77777777" w:rsidR="00084F36" w:rsidRPr="00EB2BD8" w:rsidRDefault="00084F36">
      <w:pPr>
        <w:pStyle w:val="BodyText"/>
        <w:rPr>
          <w:i/>
          <w:sz w:val="20"/>
        </w:rPr>
      </w:pPr>
    </w:p>
    <w:p w14:paraId="46F727A9" w14:textId="77777777" w:rsidR="00084F36" w:rsidRPr="00EB2BD8" w:rsidRDefault="00084F36">
      <w:pPr>
        <w:pStyle w:val="BodyText"/>
        <w:rPr>
          <w:i/>
          <w:sz w:val="20"/>
        </w:rPr>
      </w:pPr>
    </w:p>
    <w:p w14:paraId="12B946B4" w14:textId="77777777" w:rsidR="00084F36" w:rsidRPr="00EB2BD8" w:rsidRDefault="00084F36">
      <w:pPr>
        <w:pStyle w:val="BodyText"/>
        <w:spacing w:before="4"/>
        <w:rPr>
          <w:i/>
          <w:sz w:val="17"/>
        </w:rPr>
      </w:pPr>
    </w:p>
    <w:p w14:paraId="68DA25BB" w14:textId="77777777" w:rsidR="00084F36" w:rsidRPr="00EB2BD8" w:rsidRDefault="00EB2BD8" w:rsidP="00EB2BD8">
      <w:pPr>
        <w:pStyle w:val="Heading3"/>
      </w:pPr>
      <w:bookmarkStart w:id="77" w:name="_Toc150762379"/>
      <w:r w:rsidRPr="00EB2BD8">
        <w:t>Table</w:t>
      </w:r>
      <w:r w:rsidRPr="00EB2BD8">
        <w:rPr>
          <w:spacing w:val="-8"/>
        </w:rPr>
        <w:t xml:space="preserve"> </w:t>
      </w:r>
      <w:r w:rsidRPr="00EB2BD8">
        <w:t>5:</w:t>
      </w:r>
      <w:r w:rsidRPr="00EB2BD8">
        <w:rPr>
          <w:spacing w:val="-8"/>
        </w:rPr>
        <w:t xml:space="preserve"> </w:t>
      </w:r>
      <w:r w:rsidRPr="00EB2BD8">
        <w:t>Building</w:t>
      </w:r>
      <w:r w:rsidRPr="00EB2BD8">
        <w:rPr>
          <w:spacing w:val="-8"/>
        </w:rPr>
        <w:t xml:space="preserve"> </w:t>
      </w:r>
      <w:r w:rsidRPr="00EB2BD8">
        <w:t>and</w:t>
      </w:r>
      <w:r w:rsidRPr="00EB2BD8">
        <w:rPr>
          <w:spacing w:val="-8"/>
        </w:rPr>
        <w:t xml:space="preserve"> </w:t>
      </w:r>
      <w:r w:rsidRPr="00EB2BD8">
        <w:t>Plumbing</w:t>
      </w:r>
      <w:r w:rsidRPr="00EB2BD8">
        <w:rPr>
          <w:spacing w:val="-8"/>
        </w:rPr>
        <w:t xml:space="preserve"> </w:t>
      </w:r>
      <w:r w:rsidRPr="00EB2BD8">
        <w:t>Compliance</w:t>
      </w:r>
      <w:r w:rsidRPr="00EB2BD8">
        <w:rPr>
          <w:spacing w:val="-8"/>
        </w:rPr>
        <w:t xml:space="preserve"> </w:t>
      </w:r>
      <w:r w:rsidRPr="00EB2BD8">
        <w:t>Activity</w:t>
      </w:r>
      <w:r w:rsidRPr="00EB2BD8">
        <w:rPr>
          <w:spacing w:val="-8"/>
        </w:rPr>
        <w:t xml:space="preserve"> </w:t>
      </w:r>
      <w:r w:rsidRPr="00EB2BD8">
        <w:t>(Inspections,</w:t>
      </w:r>
      <w:r w:rsidRPr="00EB2BD8">
        <w:rPr>
          <w:spacing w:val="-8"/>
        </w:rPr>
        <w:t xml:space="preserve"> </w:t>
      </w:r>
      <w:r w:rsidRPr="00EB2BD8">
        <w:t>Audits,</w:t>
      </w:r>
      <w:r w:rsidRPr="00EB2BD8">
        <w:rPr>
          <w:spacing w:val="-8"/>
        </w:rPr>
        <w:t xml:space="preserve"> </w:t>
      </w:r>
      <w:r w:rsidRPr="00EB2BD8">
        <w:t>and</w:t>
      </w:r>
      <w:r w:rsidRPr="00EB2BD8">
        <w:rPr>
          <w:spacing w:val="-8"/>
        </w:rPr>
        <w:t xml:space="preserve"> </w:t>
      </w:r>
      <w:r w:rsidRPr="00EB2BD8">
        <w:rPr>
          <w:spacing w:val="-2"/>
        </w:rPr>
        <w:t>Investigations)</w:t>
      </w:r>
      <w:bookmarkEnd w:id="77"/>
    </w:p>
    <w:p w14:paraId="13E65592" w14:textId="77777777" w:rsidR="00084F36" w:rsidRPr="00EB2BD8" w:rsidRDefault="00084F36">
      <w:pPr>
        <w:pStyle w:val="BodyText"/>
        <w:spacing w:before="3"/>
        <w:rPr>
          <w:sz w:val="20"/>
        </w:rPr>
      </w:pPr>
    </w:p>
    <w:tbl>
      <w:tblPr>
        <w:tblW w:w="0" w:type="auto"/>
        <w:tblInd w:w="857" w:type="dxa"/>
        <w:tblLayout w:type="fixed"/>
        <w:tblCellMar>
          <w:left w:w="0" w:type="dxa"/>
          <w:right w:w="0" w:type="dxa"/>
        </w:tblCellMar>
        <w:tblLook w:val="01E0" w:firstRow="1" w:lastRow="1" w:firstColumn="1" w:lastColumn="1" w:noHBand="0" w:noVBand="0"/>
      </w:tblPr>
      <w:tblGrid>
        <w:gridCol w:w="2872"/>
        <w:gridCol w:w="1259"/>
        <w:gridCol w:w="972"/>
        <w:gridCol w:w="2717"/>
        <w:gridCol w:w="1414"/>
        <w:gridCol w:w="971"/>
      </w:tblGrid>
      <w:tr w:rsidR="00EB2BD8" w:rsidRPr="00EB2BD8" w14:paraId="330ADE53" w14:textId="77777777">
        <w:trPr>
          <w:trHeight w:val="386"/>
        </w:trPr>
        <w:tc>
          <w:tcPr>
            <w:tcW w:w="2872" w:type="dxa"/>
            <w:shd w:val="clear" w:color="auto" w:fill="005F83"/>
          </w:tcPr>
          <w:p w14:paraId="066D8554" w14:textId="77777777" w:rsidR="00084F36" w:rsidRPr="00DB0F6B" w:rsidRDefault="00EB2BD8">
            <w:pPr>
              <w:pStyle w:val="TableParagraph"/>
              <w:spacing w:before="118"/>
              <w:ind w:left="113"/>
              <w:rPr>
                <w:color w:val="FFFFFF" w:themeColor="background1"/>
                <w:sz w:val="16"/>
              </w:rPr>
            </w:pPr>
            <w:r w:rsidRPr="00DB0F6B">
              <w:rPr>
                <w:color w:val="FFFFFF" w:themeColor="background1"/>
                <w:spacing w:val="-2"/>
                <w:sz w:val="16"/>
              </w:rPr>
              <w:t>Building</w:t>
            </w:r>
          </w:p>
        </w:tc>
        <w:tc>
          <w:tcPr>
            <w:tcW w:w="1259" w:type="dxa"/>
            <w:shd w:val="clear" w:color="auto" w:fill="005F83"/>
          </w:tcPr>
          <w:p w14:paraId="32A09F57" w14:textId="77777777" w:rsidR="00084F36" w:rsidRPr="00DB0F6B" w:rsidRDefault="00084F36">
            <w:pPr>
              <w:pStyle w:val="TableParagraph"/>
              <w:rPr>
                <w:rFonts w:ascii="Times New Roman"/>
                <w:color w:val="FFFFFF" w:themeColor="background1"/>
                <w:sz w:val="14"/>
              </w:rPr>
            </w:pPr>
          </w:p>
        </w:tc>
        <w:tc>
          <w:tcPr>
            <w:tcW w:w="972" w:type="dxa"/>
            <w:shd w:val="clear" w:color="auto" w:fill="005F83"/>
          </w:tcPr>
          <w:p w14:paraId="570D8C71" w14:textId="77777777" w:rsidR="00084F36" w:rsidRPr="00DB0F6B" w:rsidRDefault="00084F36">
            <w:pPr>
              <w:pStyle w:val="TableParagraph"/>
              <w:rPr>
                <w:rFonts w:ascii="Times New Roman"/>
                <w:color w:val="FFFFFF" w:themeColor="background1"/>
                <w:sz w:val="14"/>
              </w:rPr>
            </w:pPr>
          </w:p>
        </w:tc>
        <w:tc>
          <w:tcPr>
            <w:tcW w:w="5102" w:type="dxa"/>
            <w:gridSpan w:val="3"/>
            <w:shd w:val="clear" w:color="auto" w:fill="005F83"/>
          </w:tcPr>
          <w:p w14:paraId="3DD1C1F6" w14:textId="77777777" w:rsidR="00084F36" w:rsidRPr="00DB0F6B" w:rsidRDefault="00EB2BD8">
            <w:pPr>
              <w:pStyle w:val="TableParagraph"/>
              <w:spacing w:before="118"/>
              <w:ind w:left="112"/>
              <w:rPr>
                <w:color w:val="FFFFFF" w:themeColor="background1"/>
                <w:sz w:val="16"/>
              </w:rPr>
            </w:pPr>
            <w:r w:rsidRPr="00DB0F6B">
              <w:rPr>
                <w:color w:val="FFFFFF" w:themeColor="background1"/>
                <w:spacing w:val="-2"/>
                <w:sz w:val="16"/>
              </w:rPr>
              <w:t>Plumbing</w:t>
            </w:r>
          </w:p>
        </w:tc>
      </w:tr>
      <w:tr w:rsidR="00EB2BD8" w:rsidRPr="00EB2BD8" w14:paraId="7FA6DB9D" w14:textId="77777777">
        <w:trPr>
          <w:trHeight w:val="319"/>
        </w:trPr>
        <w:tc>
          <w:tcPr>
            <w:tcW w:w="2872" w:type="dxa"/>
            <w:shd w:val="clear" w:color="auto" w:fill="E5F5FF"/>
          </w:tcPr>
          <w:p w14:paraId="42FFD578" w14:textId="77777777" w:rsidR="00084F36" w:rsidRPr="00EB2BD8" w:rsidRDefault="00084F36">
            <w:pPr>
              <w:pStyle w:val="TableParagraph"/>
              <w:rPr>
                <w:rFonts w:ascii="Times New Roman"/>
                <w:sz w:val="14"/>
              </w:rPr>
            </w:pPr>
          </w:p>
        </w:tc>
        <w:tc>
          <w:tcPr>
            <w:tcW w:w="1259" w:type="dxa"/>
            <w:shd w:val="clear" w:color="auto" w:fill="E5F5FF"/>
          </w:tcPr>
          <w:p w14:paraId="6BAD22B9" w14:textId="77777777" w:rsidR="00084F36" w:rsidRPr="00EB2BD8" w:rsidRDefault="00EB2BD8">
            <w:pPr>
              <w:pStyle w:val="TableParagraph"/>
              <w:spacing w:before="85"/>
              <w:ind w:right="297"/>
              <w:jc w:val="right"/>
              <w:rPr>
                <w:sz w:val="16"/>
              </w:rPr>
            </w:pPr>
            <w:r w:rsidRPr="00EB2BD8">
              <w:rPr>
                <w:spacing w:val="-2"/>
                <w:sz w:val="16"/>
              </w:rPr>
              <w:t>2022–23</w:t>
            </w:r>
          </w:p>
        </w:tc>
        <w:tc>
          <w:tcPr>
            <w:tcW w:w="972" w:type="dxa"/>
            <w:shd w:val="clear" w:color="auto" w:fill="E5F5FF"/>
          </w:tcPr>
          <w:p w14:paraId="6C1A1402" w14:textId="77777777" w:rsidR="00084F36" w:rsidRPr="00EB2BD8" w:rsidRDefault="00EB2BD8">
            <w:pPr>
              <w:pStyle w:val="TableParagraph"/>
              <w:spacing w:before="85"/>
              <w:ind w:right="78"/>
              <w:jc w:val="right"/>
              <w:rPr>
                <w:sz w:val="16"/>
              </w:rPr>
            </w:pPr>
            <w:r w:rsidRPr="00EB2BD8">
              <w:rPr>
                <w:spacing w:val="-2"/>
                <w:w w:val="95"/>
                <w:sz w:val="16"/>
              </w:rPr>
              <w:t>2021–22</w:t>
            </w:r>
          </w:p>
        </w:tc>
        <w:tc>
          <w:tcPr>
            <w:tcW w:w="2717" w:type="dxa"/>
            <w:shd w:val="clear" w:color="auto" w:fill="E5F5FF"/>
          </w:tcPr>
          <w:p w14:paraId="3F7E73DB" w14:textId="77777777" w:rsidR="00084F36" w:rsidRPr="00EB2BD8" w:rsidRDefault="00084F36">
            <w:pPr>
              <w:pStyle w:val="TableParagraph"/>
              <w:rPr>
                <w:rFonts w:ascii="Times New Roman"/>
                <w:sz w:val="14"/>
              </w:rPr>
            </w:pPr>
          </w:p>
        </w:tc>
        <w:tc>
          <w:tcPr>
            <w:tcW w:w="1414" w:type="dxa"/>
            <w:shd w:val="clear" w:color="auto" w:fill="E5F5FF"/>
          </w:tcPr>
          <w:p w14:paraId="712F7E62" w14:textId="77777777" w:rsidR="00084F36" w:rsidRPr="00EB2BD8" w:rsidRDefault="00EB2BD8">
            <w:pPr>
              <w:pStyle w:val="TableParagraph"/>
              <w:spacing w:before="85"/>
              <w:ind w:right="297"/>
              <w:jc w:val="right"/>
              <w:rPr>
                <w:sz w:val="16"/>
              </w:rPr>
            </w:pPr>
            <w:r w:rsidRPr="00EB2BD8">
              <w:rPr>
                <w:spacing w:val="-2"/>
                <w:sz w:val="16"/>
              </w:rPr>
              <w:t>2022–23</w:t>
            </w:r>
          </w:p>
        </w:tc>
        <w:tc>
          <w:tcPr>
            <w:tcW w:w="971" w:type="dxa"/>
            <w:shd w:val="clear" w:color="auto" w:fill="E5F5FF"/>
          </w:tcPr>
          <w:p w14:paraId="46107009" w14:textId="77777777" w:rsidR="00084F36" w:rsidRPr="00EB2BD8" w:rsidRDefault="00EB2BD8">
            <w:pPr>
              <w:pStyle w:val="TableParagraph"/>
              <w:spacing w:before="85"/>
              <w:ind w:right="78"/>
              <w:jc w:val="right"/>
              <w:rPr>
                <w:sz w:val="16"/>
              </w:rPr>
            </w:pPr>
            <w:r w:rsidRPr="00EB2BD8">
              <w:rPr>
                <w:spacing w:val="-2"/>
                <w:w w:val="95"/>
                <w:sz w:val="16"/>
              </w:rPr>
              <w:t>2021–22</w:t>
            </w:r>
          </w:p>
        </w:tc>
      </w:tr>
      <w:tr w:rsidR="00EB2BD8" w:rsidRPr="00EB2BD8" w14:paraId="6C27F69C" w14:textId="77777777">
        <w:trPr>
          <w:trHeight w:val="385"/>
        </w:trPr>
        <w:tc>
          <w:tcPr>
            <w:tcW w:w="5103" w:type="dxa"/>
            <w:gridSpan w:val="3"/>
            <w:tcBorders>
              <w:bottom w:val="single" w:sz="2" w:space="0" w:color="000000"/>
            </w:tcBorders>
          </w:tcPr>
          <w:p w14:paraId="3F4407C7" w14:textId="77777777" w:rsidR="00084F36" w:rsidRPr="00EB2BD8" w:rsidRDefault="00EB2BD8">
            <w:pPr>
              <w:pStyle w:val="TableParagraph"/>
              <w:spacing w:before="119"/>
              <w:ind w:left="113"/>
              <w:rPr>
                <w:sz w:val="16"/>
              </w:rPr>
            </w:pPr>
            <w:r w:rsidRPr="00EB2BD8">
              <w:rPr>
                <w:spacing w:val="-2"/>
                <w:sz w:val="16"/>
              </w:rPr>
              <w:t>Building</w:t>
            </w:r>
            <w:r w:rsidRPr="00EB2BD8">
              <w:rPr>
                <w:spacing w:val="-3"/>
                <w:sz w:val="16"/>
              </w:rPr>
              <w:t xml:space="preserve"> </w:t>
            </w:r>
            <w:r w:rsidRPr="00EB2BD8">
              <w:rPr>
                <w:spacing w:val="-2"/>
                <w:sz w:val="16"/>
              </w:rPr>
              <w:t>Audit</w:t>
            </w:r>
            <w:r w:rsidRPr="00EB2BD8">
              <w:rPr>
                <w:spacing w:val="-3"/>
                <w:sz w:val="16"/>
              </w:rPr>
              <w:t xml:space="preserve"> </w:t>
            </w:r>
            <w:r w:rsidRPr="00EB2BD8">
              <w:rPr>
                <w:spacing w:val="-2"/>
                <w:sz w:val="16"/>
              </w:rPr>
              <w:t>Program</w:t>
            </w:r>
          </w:p>
        </w:tc>
        <w:tc>
          <w:tcPr>
            <w:tcW w:w="5102" w:type="dxa"/>
            <w:gridSpan w:val="3"/>
            <w:tcBorders>
              <w:bottom w:val="single" w:sz="2" w:space="0" w:color="000000"/>
            </w:tcBorders>
            <w:shd w:val="clear" w:color="auto" w:fill="D1E9F1"/>
          </w:tcPr>
          <w:p w14:paraId="2FEB2CF1" w14:textId="77777777" w:rsidR="00084F36" w:rsidRPr="00EB2BD8" w:rsidRDefault="00EB2BD8">
            <w:pPr>
              <w:pStyle w:val="TableParagraph"/>
              <w:spacing w:before="119"/>
              <w:ind w:left="112"/>
              <w:rPr>
                <w:sz w:val="16"/>
              </w:rPr>
            </w:pPr>
            <w:r w:rsidRPr="00EB2BD8">
              <w:rPr>
                <w:sz w:val="16"/>
              </w:rPr>
              <w:t>Plumbing</w:t>
            </w:r>
            <w:r w:rsidRPr="00EB2BD8">
              <w:rPr>
                <w:spacing w:val="-5"/>
                <w:sz w:val="16"/>
              </w:rPr>
              <w:t xml:space="preserve"> </w:t>
            </w:r>
            <w:r w:rsidRPr="00EB2BD8">
              <w:rPr>
                <w:sz w:val="16"/>
              </w:rPr>
              <w:t>Audit</w:t>
            </w:r>
            <w:r w:rsidRPr="00EB2BD8">
              <w:rPr>
                <w:spacing w:val="-4"/>
                <w:sz w:val="16"/>
              </w:rPr>
              <w:t xml:space="preserve"> </w:t>
            </w:r>
            <w:r w:rsidRPr="00EB2BD8">
              <w:rPr>
                <w:sz w:val="16"/>
              </w:rPr>
              <w:t>Program</w:t>
            </w:r>
            <w:r w:rsidRPr="00EB2BD8">
              <w:rPr>
                <w:spacing w:val="-4"/>
                <w:sz w:val="16"/>
              </w:rPr>
              <w:t xml:space="preserve"> (PAP)</w:t>
            </w:r>
          </w:p>
        </w:tc>
      </w:tr>
      <w:tr w:rsidR="00EB2BD8" w:rsidRPr="00EB2BD8" w14:paraId="2ACD6B7F" w14:textId="77777777">
        <w:trPr>
          <w:trHeight w:val="326"/>
        </w:trPr>
        <w:tc>
          <w:tcPr>
            <w:tcW w:w="2872" w:type="dxa"/>
            <w:tcBorders>
              <w:top w:val="single" w:sz="2" w:space="0" w:color="000000"/>
            </w:tcBorders>
          </w:tcPr>
          <w:p w14:paraId="542CAF70" w14:textId="77777777" w:rsidR="00084F36" w:rsidRPr="00EB2BD8" w:rsidRDefault="00EB2BD8">
            <w:pPr>
              <w:pStyle w:val="TableParagraph"/>
              <w:spacing w:before="116"/>
              <w:ind w:left="113"/>
              <w:rPr>
                <w:sz w:val="16"/>
              </w:rPr>
            </w:pPr>
            <w:r w:rsidRPr="00EB2BD8">
              <w:rPr>
                <w:sz w:val="16"/>
              </w:rPr>
              <w:t>Building</w:t>
            </w:r>
            <w:r w:rsidRPr="00EB2BD8">
              <w:rPr>
                <w:spacing w:val="-12"/>
                <w:sz w:val="16"/>
              </w:rPr>
              <w:t xml:space="preserve"> </w:t>
            </w:r>
            <w:r w:rsidRPr="00EB2BD8">
              <w:rPr>
                <w:sz w:val="16"/>
              </w:rPr>
              <w:t>audits</w:t>
            </w:r>
            <w:r w:rsidRPr="00EB2BD8">
              <w:rPr>
                <w:spacing w:val="-12"/>
                <w:sz w:val="16"/>
              </w:rPr>
              <w:t xml:space="preserve"> </w:t>
            </w:r>
            <w:r w:rsidRPr="00EB2BD8">
              <w:rPr>
                <w:spacing w:val="-2"/>
                <w:sz w:val="16"/>
              </w:rPr>
              <w:t>(permits)</w:t>
            </w:r>
          </w:p>
        </w:tc>
        <w:tc>
          <w:tcPr>
            <w:tcW w:w="1259" w:type="dxa"/>
            <w:tcBorders>
              <w:top w:val="single" w:sz="2" w:space="0" w:color="000000"/>
            </w:tcBorders>
          </w:tcPr>
          <w:p w14:paraId="515343C3" w14:textId="77777777" w:rsidR="00084F36" w:rsidRPr="00EB2BD8" w:rsidRDefault="00EB2BD8">
            <w:pPr>
              <w:pStyle w:val="TableParagraph"/>
              <w:spacing w:before="116"/>
              <w:ind w:right="331"/>
              <w:jc w:val="right"/>
              <w:rPr>
                <w:sz w:val="16"/>
              </w:rPr>
            </w:pPr>
            <w:r w:rsidRPr="00EB2BD8">
              <w:rPr>
                <w:spacing w:val="-5"/>
                <w:w w:val="80"/>
                <w:sz w:val="16"/>
              </w:rPr>
              <w:t>110</w:t>
            </w:r>
          </w:p>
        </w:tc>
        <w:tc>
          <w:tcPr>
            <w:tcW w:w="972" w:type="dxa"/>
            <w:tcBorders>
              <w:top w:val="single" w:sz="2" w:space="0" w:color="000000"/>
            </w:tcBorders>
          </w:tcPr>
          <w:p w14:paraId="025B7526" w14:textId="77777777" w:rsidR="00084F36" w:rsidRPr="00EB2BD8" w:rsidRDefault="00EB2BD8">
            <w:pPr>
              <w:pStyle w:val="TableParagraph"/>
              <w:spacing w:before="116"/>
              <w:ind w:right="112"/>
              <w:jc w:val="right"/>
              <w:rPr>
                <w:sz w:val="16"/>
              </w:rPr>
            </w:pPr>
            <w:r w:rsidRPr="00EB2BD8">
              <w:rPr>
                <w:spacing w:val="-5"/>
                <w:w w:val="95"/>
                <w:sz w:val="16"/>
              </w:rPr>
              <w:t>287</w:t>
            </w:r>
          </w:p>
        </w:tc>
        <w:tc>
          <w:tcPr>
            <w:tcW w:w="2717" w:type="dxa"/>
            <w:tcBorders>
              <w:top w:val="single" w:sz="2" w:space="0" w:color="000000"/>
            </w:tcBorders>
            <w:shd w:val="clear" w:color="auto" w:fill="D1E9F1"/>
          </w:tcPr>
          <w:p w14:paraId="09A9D619" w14:textId="77777777" w:rsidR="00084F36" w:rsidRPr="00EB2BD8" w:rsidRDefault="00EB2BD8">
            <w:pPr>
              <w:pStyle w:val="TableParagraph"/>
              <w:spacing w:before="116"/>
              <w:ind w:left="112"/>
              <w:rPr>
                <w:sz w:val="16"/>
              </w:rPr>
            </w:pPr>
            <w:r w:rsidRPr="00EB2BD8">
              <w:rPr>
                <w:sz w:val="16"/>
              </w:rPr>
              <w:t>Plumbing</w:t>
            </w:r>
            <w:r w:rsidRPr="00EB2BD8">
              <w:rPr>
                <w:spacing w:val="-6"/>
                <w:sz w:val="16"/>
              </w:rPr>
              <w:t xml:space="preserve"> </w:t>
            </w:r>
            <w:r w:rsidRPr="00EB2BD8">
              <w:rPr>
                <w:sz w:val="16"/>
              </w:rPr>
              <w:t>audits</w:t>
            </w:r>
            <w:r w:rsidRPr="00EB2BD8">
              <w:rPr>
                <w:spacing w:val="-5"/>
                <w:sz w:val="16"/>
              </w:rPr>
              <w:t xml:space="preserve"> </w:t>
            </w:r>
            <w:r w:rsidRPr="00EB2BD8">
              <w:rPr>
                <w:sz w:val="16"/>
              </w:rPr>
              <w:t>and</w:t>
            </w:r>
            <w:r w:rsidRPr="00EB2BD8">
              <w:rPr>
                <w:spacing w:val="-5"/>
                <w:sz w:val="16"/>
              </w:rPr>
              <w:t xml:space="preserve"> </w:t>
            </w:r>
            <w:r w:rsidRPr="00EB2BD8">
              <w:rPr>
                <w:spacing w:val="-4"/>
                <w:sz w:val="16"/>
              </w:rPr>
              <w:t>drain</w:t>
            </w:r>
          </w:p>
        </w:tc>
        <w:tc>
          <w:tcPr>
            <w:tcW w:w="1414" w:type="dxa"/>
            <w:tcBorders>
              <w:top w:val="single" w:sz="2" w:space="0" w:color="000000"/>
            </w:tcBorders>
            <w:shd w:val="clear" w:color="auto" w:fill="D1E9F1"/>
          </w:tcPr>
          <w:p w14:paraId="538745C4" w14:textId="77777777" w:rsidR="00084F36" w:rsidRPr="00EB2BD8" w:rsidRDefault="00EB2BD8">
            <w:pPr>
              <w:pStyle w:val="TableParagraph"/>
              <w:spacing w:before="116"/>
              <w:ind w:right="332"/>
              <w:jc w:val="right"/>
              <w:rPr>
                <w:sz w:val="16"/>
              </w:rPr>
            </w:pPr>
            <w:r w:rsidRPr="00EB2BD8">
              <w:rPr>
                <w:spacing w:val="-4"/>
                <w:w w:val="90"/>
                <w:sz w:val="16"/>
              </w:rPr>
              <w:t>7,422</w:t>
            </w:r>
          </w:p>
        </w:tc>
        <w:tc>
          <w:tcPr>
            <w:tcW w:w="971" w:type="dxa"/>
            <w:tcBorders>
              <w:top w:val="single" w:sz="2" w:space="0" w:color="000000"/>
            </w:tcBorders>
            <w:shd w:val="clear" w:color="auto" w:fill="D1E9F1"/>
          </w:tcPr>
          <w:p w14:paraId="078C4205" w14:textId="77777777" w:rsidR="00084F36" w:rsidRPr="00EB2BD8" w:rsidRDefault="00EB2BD8">
            <w:pPr>
              <w:pStyle w:val="TableParagraph"/>
              <w:spacing w:before="116"/>
              <w:ind w:right="112"/>
              <w:jc w:val="right"/>
              <w:rPr>
                <w:sz w:val="16"/>
              </w:rPr>
            </w:pPr>
            <w:r w:rsidRPr="00EB2BD8">
              <w:rPr>
                <w:spacing w:val="-2"/>
                <w:sz w:val="16"/>
              </w:rPr>
              <w:t>9,849</w:t>
            </w:r>
          </w:p>
        </w:tc>
      </w:tr>
      <w:tr w:rsidR="00EB2BD8" w:rsidRPr="00EB2BD8" w14:paraId="4ED55D2A" w14:textId="77777777">
        <w:trPr>
          <w:trHeight w:val="368"/>
        </w:trPr>
        <w:tc>
          <w:tcPr>
            <w:tcW w:w="2872" w:type="dxa"/>
          </w:tcPr>
          <w:p w14:paraId="25A1AB06" w14:textId="77777777" w:rsidR="00084F36" w:rsidRPr="00EB2BD8" w:rsidRDefault="00EB2BD8">
            <w:pPr>
              <w:pStyle w:val="TableParagraph"/>
              <w:spacing w:before="139"/>
              <w:ind w:left="113"/>
              <w:rPr>
                <w:sz w:val="16"/>
              </w:rPr>
            </w:pPr>
            <w:r w:rsidRPr="00EB2BD8">
              <w:rPr>
                <w:sz w:val="16"/>
              </w:rPr>
              <w:t>Levy</w:t>
            </w:r>
            <w:r w:rsidRPr="00EB2BD8">
              <w:rPr>
                <w:spacing w:val="-10"/>
                <w:sz w:val="16"/>
              </w:rPr>
              <w:t xml:space="preserve"> </w:t>
            </w:r>
            <w:r w:rsidRPr="00EB2BD8">
              <w:rPr>
                <w:sz w:val="16"/>
              </w:rPr>
              <w:t>audit</w:t>
            </w:r>
            <w:r w:rsidRPr="00EB2BD8">
              <w:rPr>
                <w:spacing w:val="-10"/>
                <w:sz w:val="16"/>
              </w:rPr>
              <w:t xml:space="preserve"> </w:t>
            </w:r>
            <w:r w:rsidRPr="00EB2BD8">
              <w:rPr>
                <w:sz w:val="16"/>
              </w:rPr>
              <w:t>(building</w:t>
            </w:r>
            <w:r w:rsidRPr="00EB2BD8">
              <w:rPr>
                <w:spacing w:val="-9"/>
                <w:sz w:val="16"/>
              </w:rPr>
              <w:t xml:space="preserve"> </w:t>
            </w:r>
            <w:r w:rsidRPr="00EB2BD8">
              <w:rPr>
                <w:spacing w:val="-2"/>
                <w:sz w:val="16"/>
              </w:rPr>
              <w:t>surveyors)</w:t>
            </w:r>
          </w:p>
        </w:tc>
        <w:tc>
          <w:tcPr>
            <w:tcW w:w="1259" w:type="dxa"/>
          </w:tcPr>
          <w:p w14:paraId="462ACE62" w14:textId="77777777" w:rsidR="00084F36" w:rsidRPr="00EB2BD8" w:rsidRDefault="00EB2BD8">
            <w:pPr>
              <w:pStyle w:val="TableParagraph"/>
              <w:spacing w:before="139"/>
              <w:ind w:right="331"/>
              <w:jc w:val="right"/>
              <w:rPr>
                <w:sz w:val="16"/>
              </w:rPr>
            </w:pPr>
            <w:r w:rsidRPr="00EB2BD8">
              <w:rPr>
                <w:spacing w:val="-4"/>
                <w:w w:val="60"/>
                <w:sz w:val="16"/>
              </w:rPr>
              <w:t>1114</w:t>
            </w:r>
          </w:p>
        </w:tc>
        <w:tc>
          <w:tcPr>
            <w:tcW w:w="972" w:type="dxa"/>
          </w:tcPr>
          <w:p w14:paraId="733C7132" w14:textId="77777777" w:rsidR="00084F36" w:rsidRPr="00EB2BD8" w:rsidRDefault="00EB2BD8">
            <w:pPr>
              <w:pStyle w:val="TableParagraph"/>
              <w:spacing w:before="139"/>
              <w:ind w:right="111"/>
              <w:jc w:val="right"/>
              <w:rPr>
                <w:sz w:val="16"/>
              </w:rPr>
            </w:pPr>
            <w:r w:rsidRPr="00EB2BD8">
              <w:rPr>
                <w:w w:val="105"/>
                <w:sz w:val="16"/>
              </w:rPr>
              <w:t>0</w:t>
            </w:r>
          </w:p>
        </w:tc>
        <w:tc>
          <w:tcPr>
            <w:tcW w:w="2717" w:type="dxa"/>
            <w:shd w:val="clear" w:color="auto" w:fill="D1E9F1"/>
          </w:tcPr>
          <w:p w14:paraId="70CF8512" w14:textId="77777777" w:rsidR="00084F36" w:rsidRPr="00EB2BD8" w:rsidRDefault="00EB2BD8">
            <w:pPr>
              <w:pStyle w:val="TableParagraph"/>
              <w:spacing w:before="19"/>
              <w:ind w:left="112"/>
              <w:rPr>
                <w:sz w:val="16"/>
              </w:rPr>
            </w:pPr>
            <w:r w:rsidRPr="00EB2BD8">
              <w:rPr>
                <w:spacing w:val="-2"/>
                <w:sz w:val="16"/>
              </w:rPr>
              <w:t>inspections</w:t>
            </w:r>
            <w:r w:rsidRPr="00EB2BD8">
              <w:rPr>
                <w:sz w:val="16"/>
              </w:rPr>
              <w:t xml:space="preserve"> </w:t>
            </w:r>
            <w:r w:rsidRPr="00EB2BD8">
              <w:rPr>
                <w:spacing w:val="-2"/>
                <w:sz w:val="16"/>
              </w:rPr>
              <w:t>completed</w:t>
            </w:r>
          </w:p>
        </w:tc>
        <w:tc>
          <w:tcPr>
            <w:tcW w:w="1414" w:type="dxa"/>
            <w:shd w:val="clear" w:color="auto" w:fill="D1E9F1"/>
          </w:tcPr>
          <w:p w14:paraId="6430F1C2" w14:textId="77777777" w:rsidR="00084F36" w:rsidRPr="00EB2BD8" w:rsidRDefault="00084F36">
            <w:pPr>
              <w:pStyle w:val="TableParagraph"/>
              <w:rPr>
                <w:rFonts w:ascii="Times New Roman"/>
                <w:sz w:val="14"/>
              </w:rPr>
            </w:pPr>
          </w:p>
        </w:tc>
        <w:tc>
          <w:tcPr>
            <w:tcW w:w="971" w:type="dxa"/>
            <w:shd w:val="clear" w:color="auto" w:fill="D1E9F1"/>
          </w:tcPr>
          <w:p w14:paraId="44B780CF" w14:textId="77777777" w:rsidR="00084F36" w:rsidRPr="00EB2BD8" w:rsidRDefault="00084F36">
            <w:pPr>
              <w:pStyle w:val="TableParagraph"/>
              <w:rPr>
                <w:rFonts w:ascii="Times New Roman"/>
                <w:sz w:val="14"/>
              </w:rPr>
            </w:pPr>
          </w:p>
        </w:tc>
      </w:tr>
      <w:tr w:rsidR="00EB2BD8" w:rsidRPr="00EB2BD8" w14:paraId="743D2C25" w14:textId="77777777">
        <w:trPr>
          <w:trHeight w:val="248"/>
        </w:trPr>
        <w:tc>
          <w:tcPr>
            <w:tcW w:w="2872" w:type="dxa"/>
          </w:tcPr>
          <w:p w14:paraId="6A63F789" w14:textId="77777777" w:rsidR="00084F36" w:rsidRPr="00EB2BD8" w:rsidRDefault="00084F36">
            <w:pPr>
              <w:pStyle w:val="TableParagraph"/>
              <w:rPr>
                <w:rFonts w:ascii="Times New Roman"/>
                <w:sz w:val="14"/>
              </w:rPr>
            </w:pPr>
          </w:p>
        </w:tc>
        <w:tc>
          <w:tcPr>
            <w:tcW w:w="1259" w:type="dxa"/>
          </w:tcPr>
          <w:p w14:paraId="181C3676" w14:textId="77777777" w:rsidR="00084F36" w:rsidRPr="00EB2BD8" w:rsidRDefault="00084F36">
            <w:pPr>
              <w:pStyle w:val="TableParagraph"/>
              <w:rPr>
                <w:rFonts w:ascii="Times New Roman"/>
                <w:sz w:val="14"/>
              </w:rPr>
            </w:pPr>
          </w:p>
        </w:tc>
        <w:tc>
          <w:tcPr>
            <w:tcW w:w="972" w:type="dxa"/>
          </w:tcPr>
          <w:p w14:paraId="0D6211BB" w14:textId="77777777" w:rsidR="00084F36" w:rsidRPr="00EB2BD8" w:rsidRDefault="00084F36">
            <w:pPr>
              <w:pStyle w:val="TableParagraph"/>
              <w:rPr>
                <w:rFonts w:ascii="Times New Roman"/>
                <w:sz w:val="14"/>
              </w:rPr>
            </w:pPr>
          </w:p>
        </w:tc>
        <w:tc>
          <w:tcPr>
            <w:tcW w:w="2717" w:type="dxa"/>
            <w:shd w:val="clear" w:color="auto" w:fill="D1E9F1"/>
          </w:tcPr>
          <w:p w14:paraId="064EE3A4" w14:textId="77777777" w:rsidR="00084F36" w:rsidRPr="00EB2BD8" w:rsidRDefault="00EB2BD8">
            <w:pPr>
              <w:pStyle w:val="TableParagraph"/>
              <w:spacing w:before="38"/>
              <w:ind w:left="112"/>
              <w:rPr>
                <w:sz w:val="16"/>
              </w:rPr>
            </w:pPr>
            <w:r w:rsidRPr="00EB2BD8">
              <w:rPr>
                <w:sz w:val="16"/>
              </w:rPr>
              <w:t>Plumbing</w:t>
            </w:r>
            <w:r w:rsidRPr="00EB2BD8">
              <w:rPr>
                <w:spacing w:val="-6"/>
                <w:sz w:val="16"/>
              </w:rPr>
              <w:t xml:space="preserve"> </w:t>
            </w:r>
            <w:r w:rsidRPr="00EB2BD8">
              <w:rPr>
                <w:sz w:val="16"/>
              </w:rPr>
              <w:t>audits</w:t>
            </w:r>
            <w:r w:rsidRPr="00EB2BD8">
              <w:rPr>
                <w:spacing w:val="-5"/>
                <w:sz w:val="16"/>
              </w:rPr>
              <w:t xml:space="preserve"> </w:t>
            </w:r>
            <w:r w:rsidRPr="00EB2BD8">
              <w:rPr>
                <w:sz w:val="16"/>
              </w:rPr>
              <w:t>and</w:t>
            </w:r>
            <w:r w:rsidRPr="00EB2BD8">
              <w:rPr>
                <w:spacing w:val="-5"/>
                <w:sz w:val="16"/>
              </w:rPr>
              <w:t xml:space="preserve"> </w:t>
            </w:r>
            <w:r w:rsidRPr="00EB2BD8">
              <w:rPr>
                <w:spacing w:val="-4"/>
                <w:sz w:val="16"/>
              </w:rPr>
              <w:t>drain</w:t>
            </w:r>
          </w:p>
        </w:tc>
        <w:tc>
          <w:tcPr>
            <w:tcW w:w="1414" w:type="dxa"/>
            <w:shd w:val="clear" w:color="auto" w:fill="D1E9F1"/>
          </w:tcPr>
          <w:p w14:paraId="1B7FC09B" w14:textId="77777777" w:rsidR="00084F36" w:rsidRPr="00EB2BD8" w:rsidRDefault="00EB2BD8">
            <w:pPr>
              <w:pStyle w:val="TableParagraph"/>
              <w:spacing w:before="37"/>
              <w:ind w:right="331"/>
              <w:jc w:val="right"/>
              <w:rPr>
                <w:sz w:val="16"/>
              </w:rPr>
            </w:pPr>
            <w:r w:rsidRPr="00EB2BD8">
              <w:rPr>
                <w:spacing w:val="-2"/>
                <w:w w:val="95"/>
                <w:sz w:val="16"/>
              </w:rPr>
              <w:t>2.10%</w:t>
            </w:r>
          </w:p>
        </w:tc>
        <w:tc>
          <w:tcPr>
            <w:tcW w:w="971" w:type="dxa"/>
            <w:shd w:val="clear" w:color="auto" w:fill="D1E9F1"/>
          </w:tcPr>
          <w:p w14:paraId="0F0CAC5D" w14:textId="77777777" w:rsidR="00084F36" w:rsidRPr="00EB2BD8" w:rsidRDefault="00EB2BD8">
            <w:pPr>
              <w:pStyle w:val="TableParagraph"/>
              <w:spacing w:before="37"/>
              <w:ind w:right="111"/>
              <w:jc w:val="right"/>
              <w:rPr>
                <w:sz w:val="16"/>
              </w:rPr>
            </w:pPr>
            <w:r w:rsidRPr="00EB2BD8">
              <w:rPr>
                <w:spacing w:val="-2"/>
                <w:sz w:val="16"/>
              </w:rPr>
              <w:t>2.01%</w:t>
            </w:r>
          </w:p>
        </w:tc>
      </w:tr>
      <w:tr w:rsidR="00EB2BD8" w:rsidRPr="00EB2BD8" w14:paraId="104D29CA" w14:textId="77777777">
        <w:trPr>
          <w:trHeight w:val="229"/>
        </w:trPr>
        <w:tc>
          <w:tcPr>
            <w:tcW w:w="2872" w:type="dxa"/>
          </w:tcPr>
          <w:p w14:paraId="69D388C4" w14:textId="77777777" w:rsidR="00084F36" w:rsidRPr="00EB2BD8" w:rsidRDefault="00084F36">
            <w:pPr>
              <w:pStyle w:val="TableParagraph"/>
              <w:rPr>
                <w:rFonts w:ascii="Times New Roman"/>
                <w:sz w:val="14"/>
              </w:rPr>
            </w:pPr>
          </w:p>
        </w:tc>
        <w:tc>
          <w:tcPr>
            <w:tcW w:w="1259" w:type="dxa"/>
          </w:tcPr>
          <w:p w14:paraId="7332B4D2" w14:textId="77777777" w:rsidR="00084F36" w:rsidRPr="00EB2BD8" w:rsidRDefault="00084F36">
            <w:pPr>
              <w:pStyle w:val="TableParagraph"/>
              <w:rPr>
                <w:rFonts w:ascii="Times New Roman"/>
                <w:sz w:val="14"/>
              </w:rPr>
            </w:pPr>
          </w:p>
        </w:tc>
        <w:tc>
          <w:tcPr>
            <w:tcW w:w="972" w:type="dxa"/>
          </w:tcPr>
          <w:p w14:paraId="7B4FD286" w14:textId="77777777" w:rsidR="00084F36" w:rsidRPr="00EB2BD8" w:rsidRDefault="00084F36">
            <w:pPr>
              <w:pStyle w:val="TableParagraph"/>
              <w:rPr>
                <w:rFonts w:ascii="Times New Roman"/>
                <w:sz w:val="14"/>
              </w:rPr>
            </w:pPr>
          </w:p>
        </w:tc>
        <w:tc>
          <w:tcPr>
            <w:tcW w:w="2717" w:type="dxa"/>
            <w:shd w:val="clear" w:color="auto" w:fill="D1E9F1"/>
          </w:tcPr>
          <w:p w14:paraId="404C50CC" w14:textId="77777777" w:rsidR="00084F36" w:rsidRPr="00EB2BD8" w:rsidRDefault="00EB2BD8">
            <w:pPr>
              <w:pStyle w:val="TableParagraph"/>
              <w:spacing w:before="19"/>
              <w:ind w:left="112"/>
              <w:rPr>
                <w:sz w:val="16"/>
              </w:rPr>
            </w:pPr>
            <w:r w:rsidRPr="00EB2BD8">
              <w:rPr>
                <w:sz w:val="16"/>
              </w:rPr>
              <w:t>inspections</w:t>
            </w:r>
            <w:r w:rsidRPr="00EB2BD8">
              <w:rPr>
                <w:spacing w:val="-11"/>
                <w:sz w:val="16"/>
              </w:rPr>
              <w:t xml:space="preserve"> </w:t>
            </w:r>
            <w:r w:rsidRPr="00EB2BD8">
              <w:rPr>
                <w:sz w:val="16"/>
              </w:rPr>
              <w:t>completed</w:t>
            </w:r>
            <w:r w:rsidRPr="00EB2BD8">
              <w:rPr>
                <w:spacing w:val="-10"/>
                <w:sz w:val="16"/>
              </w:rPr>
              <w:t xml:space="preserve"> </w:t>
            </w:r>
            <w:r w:rsidRPr="00EB2BD8">
              <w:rPr>
                <w:sz w:val="16"/>
              </w:rPr>
              <w:t>as</w:t>
            </w:r>
            <w:r w:rsidRPr="00EB2BD8">
              <w:rPr>
                <w:spacing w:val="-10"/>
                <w:sz w:val="16"/>
              </w:rPr>
              <w:t xml:space="preserve"> a</w:t>
            </w:r>
          </w:p>
        </w:tc>
        <w:tc>
          <w:tcPr>
            <w:tcW w:w="1414" w:type="dxa"/>
            <w:shd w:val="clear" w:color="auto" w:fill="D1E9F1"/>
          </w:tcPr>
          <w:p w14:paraId="4AC46E29" w14:textId="77777777" w:rsidR="00084F36" w:rsidRPr="00EB2BD8" w:rsidRDefault="00084F36">
            <w:pPr>
              <w:pStyle w:val="TableParagraph"/>
              <w:rPr>
                <w:rFonts w:ascii="Times New Roman"/>
                <w:sz w:val="14"/>
              </w:rPr>
            </w:pPr>
          </w:p>
        </w:tc>
        <w:tc>
          <w:tcPr>
            <w:tcW w:w="971" w:type="dxa"/>
            <w:shd w:val="clear" w:color="auto" w:fill="D1E9F1"/>
          </w:tcPr>
          <w:p w14:paraId="6CC302BE" w14:textId="77777777" w:rsidR="00084F36" w:rsidRPr="00EB2BD8" w:rsidRDefault="00084F36">
            <w:pPr>
              <w:pStyle w:val="TableParagraph"/>
              <w:rPr>
                <w:rFonts w:ascii="Times New Roman"/>
                <w:sz w:val="14"/>
              </w:rPr>
            </w:pPr>
          </w:p>
        </w:tc>
      </w:tr>
      <w:tr w:rsidR="00EB2BD8" w:rsidRPr="00EB2BD8" w14:paraId="7371EB01" w14:textId="77777777">
        <w:trPr>
          <w:trHeight w:val="229"/>
        </w:trPr>
        <w:tc>
          <w:tcPr>
            <w:tcW w:w="2872" w:type="dxa"/>
          </w:tcPr>
          <w:p w14:paraId="7B48DA1C" w14:textId="77777777" w:rsidR="00084F36" w:rsidRPr="00EB2BD8" w:rsidRDefault="00084F36">
            <w:pPr>
              <w:pStyle w:val="TableParagraph"/>
              <w:rPr>
                <w:rFonts w:ascii="Times New Roman"/>
                <w:sz w:val="14"/>
              </w:rPr>
            </w:pPr>
          </w:p>
        </w:tc>
        <w:tc>
          <w:tcPr>
            <w:tcW w:w="1259" w:type="dxa"/>
          </w:tcPr>
          <w:p w14:paraId="34E45910" w14:textId="77777777" w:rsidR="00084F36" w:rsidRPr="00EB2BD8" w:rsidRDefault="00084F36">
            <w:pPr>
              <w:pStyle w:val="TableParagraph"/>
              <w:rPr>
                <w:rFonts w:ascii="Times New Roman"/>
                <w:sz w:val="14"/>
              </w:rPr>
            </w:pPr>
          </w:p>
        </w:tc>
        <w:tc>
          <w:tcPr>
            <w:tcW w:w="972" w:type="dxa"/>
          </w:tcPr>
          <w:p w14:paraId="37397C13" w14:textId="77777777" w:rsidR="00084F36" w:rsidRPr="00EB2BD8" w:rsidRDefault="00084F36">
            <w:pPr>
              <w:pStyle w:val="TableParagraph"/>
              <w:rPr>
                <w:rFonts w:ascii="Times New Roman"/>
                <w:sz w:val="14"/>
              </w:rPr>
            </w:pPr>
          </w:p>
        </w:tc>
        <w:tc>
          <w:tcPr>
            <w:tcW w:w="2717" w:type="dxa"/>
            <w:shd w:val="clear" w:color="auto" w:fill="D1E9F1"/>
          </w:tcPr>
          <w:p w14:paraId="3359C6C3" w14:textId="77777777" w:rsidR="00084F36" w:rsidRPr="00EB2BD8" w:rsidRDefault="00EB2BD8">
            <w:pPr>
              <w:pStyle w:val="TableParagraph"/>
              <w:spacing w:before="19"/>
              <w:ind w:left="112"/>
              <w:rPr>
                <w:sz w:val="16"/>
              </w:rPr>
            </w:pPr>
            <w:r w:rsidRPr="00EB2BD8">
              <w:rPr>
                <w:sz w:val="16"/>
              </w:rPr>
              <w:t>percentage</w:t>
            </w:r>
            <w:r w:rsidRPr="00EB2BD8">
              <w:rPr>
                <w:spacing w:val="-4"/>
                <w:sz w:val="16"/>
              </w:rPr>
              <w:t xml:space="preserve"> </w:t>
            </w:r>
            <w:r w:rsidRPr="00EB2BD8">
              <w:rPr>
                <w:sz w:val="16"/>
              </w:rPr>
              <w:t>of</w:t>
            </w:r>
            <w:r w:rsidRPr="00EB2BD8">
              <w:rPr>
                <w:spacing w:val="-4"/>
                <w:sz w:val="16"/>
              </w:rPr>
              <w:t xml:space="preserve"> </w:t>
            </w:r>
            <w:r w:rsidRPr="00EB2BD8">
              <w:rPr>
                <w:spacing w:val="-2"/>
                <w:sz w:val="16"/>
              </w:rPr>
              <w:t>lodged</w:t>
            </w:r>
          </w:p>
        </w:tc>
        <w:tc>
          <w:tcPr>
            <w:tcW w:w="1414" w:type="dxa"/>
            <w:shd w:val="clear" w:color="auto" w:fill="D1E9F1"/>
          </w:tcPr>
          <w:p w14:paraId="162AE2DC" w14:textId="77777777" w:rsidR="00084F36" w:rsidRPr="00EB2BD8" w:rsidRDefault="00084F36">
            <w:pPr>
              <w:pStyle w:val="TableParagraph"/>
              <w:rPr>
                <w:rFonts w:ascii="Times New Roman"/>
                <w:sz w:val="14"/>
              </w:rPr>
            </w:pPr>
          </w:p>
        </w:tc>
        <w:tc>
          <w:tcPr>
            <w:tcW w:w="971" w:type="dxa"/>
            <w:shd w:val="clear" w:color="auto" w:fill="D1E9F1"/>
          </w:tcPr>
          <w:p w14:paraId="064DD85C" w14:textId="77777777" w:rsidR="00084F36" w:rsidRPr="00EB2BD8" w:rsidRDefault="00084F36">
            <w:pPr>
              <w:pStyle w:val="TableParagraph"/>
              <w:rPr>
                <w:rFonts w:ascii="Times New Roman"/>
                <w:sz w:val="14"/>
              </w:rPr>
            </w:pPr>
          </w:p>
        </w:tc>
      </w:tr>
      <w:tr w:rsidR="00EB2BD8" w:rsidRPr="00EB2BD8" w14:paraId="2C80C1CF" w14:textId="77777777">
        <w:trPr>
          <w:trHeight w:val="285"/>
        </w:trPr>
        <w:tc>
          <w:tcPr>
            <w:tcW w:w="2872" w:type="dxa"/>
            <w:tcBorders>
              <w:bottom w:val="single" w:sz="2" w:space="0" w:color="000000"/>
            </w:tcBorders>
          </w:tcPr>
          <w:p w14:paraId="74517E4B" w14:textId="77777777" w:rsidR="00084F36" w:rsidRPr="00EB2BD8" w:rsidRDefault="00084F36">
            <w:pPr>
              <w:pStyle w:val="TableParagraph"/>
              <w:rPr>
                <w:rFonts w:ascii="Times New Roman"/>
                <w:sz w:val="14"/>
              </w:rPr>
            </w:pPr>
          </w:p>
        </w:tc>
        <w:tc>
          <w:tcPr>
            <w:tcW w:w="1259" w:type="dxa"/>
            <w:tcBorders>
              <w:bottom w:val="single" w:sz="2" w:space="0" w:color="000000"/>
            </w:tcBorders>
          </w:tcPr>
          <w:p w14:paraId="75670A0A" w14:textId="77777777" w:rsidR="00084F36" w:rsidRPr="00EB2BD8" w:rsidRDefault="00084F36">
            <w:pPr>
              <w:pStyle w:val="TableParagraph"/>
              <w:rPr>
                <w:rFonts w:ascii="Times New Roman"/>
                <w:sz w:val="14"/>
              </w:rPr>
            </w:pPr>
          </w:p>
        </w:tc>
        <w:tc>
          <w:tcPr>
            <w:tcW w:w="972" w:type="dxa"/>
            <w:tcBorders>
              <w:bottom w:val="single" w:sz="2" w:space="0" w:color="000000"/>
            </w:tcBorders>
          </w:tcPr>
          <w:p w14:paraId="0CF91926" w14:textId="77777777" w:rsidR="00084F36" w:rsidRPr="00EB2BD8" w:rsidRDefault="00084F36">
            <w:pPr>
              <w:pStyle w:val="TableParagraph"/>
              <w:rPr>
                <w:rFonts w:ascii="Times New Roman"/>
                <w:sz w:val="14"/>
              </w:rPr>
            </w:pPr>
          </w:p>
        </w:tc>
        <w:tc>
          <w:tcPr>
            <w:tcW w:w="2717" w:type="dxa"/>
            <w:tcBorders>
              <w:bottom w:val="single" w:sz="2" w:space="0" w:color="000000"/>
            </w:tcBorders>
            <w:shd w:val="clear" w:color="auto" w:fill="D1E9F1"/>
          </w:tcPr>
          <w:p w14:paraId="4B466F7E" w14:textId="77777777" w:rsidR="00084F36" w:rsidRPr="00EB2BD8" w:rsidRDefault="00EB2BD8">
            <w:pPr>
              <w:pStyle w:val="TableParagraph"/>
              <w:spacing w:before="19"/>
              <w:ind w:left="112"/>
              <w:rPr>
                <w:sz w:val="16"/>
              </w:rPr>
            </w:pPr>
            <w:r w:rsidRPr="00EB2BD8">
              <w:rPr>
                <w:sz w:val="16"/>
              </w:rPr>
              <w:t>compliance</w:t>
            </w:r>
            <w:r w:rsidRPr="00EB2BD8">
              <w:rPr>
                <w:spacing w:val="5"/>
                <w:sz w:val="16"/>
              </w:rPr>
              <w:t xml:space="preserve"> </w:t>
            </w:r>
            <w:r w:rsidRPr="00EB2BD8">
              <w:rPr>
                <w:spacing w:val="-2"/>
                <w:sz w:val="16"/>
              </w:rPr>
              <w:t>certificates</w:t>
            </w:r>
          </w:p>
        </w:tc>
        <w:tc>
          <w:tcPr>
            <w:tcW w:w="1414" w:type="dxa"/>
            <w:tcBorders>
              <w:bottom w:val="single" w:sz="2" w:space="0" w:color="000000"/>
            </w:tcBorders>
            <w:shd w:val="clear" w:color="auto" w:fill="D1E9F1"/>
          </w:tcPr>
          <w:p w14:paraId="68300073" w14:textId="77777777" w:rsidR="00084F36" w:rsidRPr="00EB2BD8" w:rsidRDefault="00084F36">
            <w:pPr>
              <w:pStyle w:val="TableParagraph"/>
              <w:rPr>
                <w:rFonts w:ascii="Times New Roman"/>
                <w:sz w:val="14"/>
              </w:rPr>
            </w:pPr>
          </w:p>
        </w:tc>
        <w:tc>
          <w:tcPr>
            <w:tcW w:w="971" w:type="dxa"/>
            <w:tcBorders>
              <w:bottom w:val="single" w:sz="2" w:space="0" w:color="000000"/>
            </w:tcBorders>
            <w:shd w:val="clear" w:color="auto" w:fill="D1E9F1"/>
          </w:tcPr>
          <w:p w14:paraId="148E2727" w14:textId="77777777" w:rsidR="00084F36" w:rsidRPr="00EB2BD8" w:rsidRDefault="00084F36">
            <w:pPr>
              <w:pStyle w:val="TableParagraph"/>
              <w:rPr>
                <w:rFonts w:ascii="Times New Roman"/>
                <w:sz w:val="14"/>
              </w:rPr>
            </w:pPr>
          </w:p>
        </w:tc>
      </w:tr>
      <w:tr w:rsidR="00EB2BD8" w:rsidRPr="00EB2BD8" w14:paraId="74CB6308" w14:textId="77777777">
        <w:trPr>
          <w:trHeight w:val="381"/>
        </w:trPr>
        <w:tc>
          <w:tcPr>
            <w:tcW w:w="5103" w:type="dxa"/>
            <w:gridSpan w:val="3"/>
            <w:tcBorders>
              <w:top w:val="single" w:sz="2" w:space="0" w:color="000000"/>
              <w:bottom w:val="single" w:sz="2" w:space="0" w:color="000000"/>
            </w:tcBorders>
          </w:tcPr>
          <w:p w14:paraId="6297F658" w14:textId="77777777" w:rsidR="00084F36" w:rsidRPr="00EB2BD8" w:rsidRDefault="00EB2BD8">
            <w:pPr>
              <w:pStyle w:val="TableParagraph"/>
              <w:spacing w:before="116"/>
              <w:ind w:left="113"/>
              <w:rPr>
                <w:sz w:val="16"/>
              </w:rPr>
            </w:pPr>
            <w:r w:rsidRPr="00EB2BD8">
              <w:rPr>
                <w:sz w:val="16"/>
              </w:rPr>
              <w:t>Building</w:t>
            </w:r>
            <w:r w:rsidRPr="00EB2BD8">
              <w:rPr>
                <w:spacing w:val="-14"/>
                <w:sz w:val="16"/>
              </w:rPr>
              <w:t xml:space="preserve"> </w:t>
            </w:r>
            <w:r w:rsidRPr="00EB2BD8">
              <w:rPr>
                <w:sz w:val="16"/>
              </w:rPr>
              <w:t>investigations</w:t>
            </w:r>
            <w:r w:rsidRPr="00EB2BD8">
              <w:rPr>
                <w:spacing w:val="-13"/>
                <w:sz w:val="16"/>
              </w:rPr>
              <w:t xml:space="preserve"> </w:t>
            </w:r>
            <w:r w:rsidRPr="00EB2BD8">
              <w:rPr>
                <w:spacing w:val="-2"/>
                <w:sz w:val="16"/>
              </w:rPr>
              <w:t>completed</w:t>
            </w:r>
          </w:p>
        </w:tc>
        <w:tc>
          <w:tcPr>
            <w:tcW w:w="5102" w:type="dxa"/>
            <w:gridSpan w:val="3"/>
            <w:tcBorders>
              <w:top w:val="single" w:sz="2" w:space="0" w:color="000000"/>
              <w:bottom w:val="single" w:sz="2" w:space="0" w:color="000000"/>
            </w:tcBorders>
            <w:shd w:val="clear" w:color="auto" w:fill="D1E9F1"/>
          </w:tcPr>
          <w:p w14:paraId="7AD26721" w14:textId="77777777" w:rsidR="00084F36" w:rsidRPr="00EB2BD8" w:rsidRDefault="00EB2BD8">
            <w:pPr>
              <w:pStyle w:val="TableParagraph"/>
              <w:spacing w:before="116"/>
              <w:ind w:left="113"/>
              <w:rPr>
                <w:sz w:val="16"/>
              </w:rPr>
            </w:pPr>
            <w:r w:rsidRPr="00EB2BD8">
              <w:rPr>
                <w:sz w:val="16"/>
              </w:rPr>
              <w:t>Plumbing</w:t>
            </w:r>
            <w:r w:rsidRPr="00EB2BD8">
              <w:rPr>
                <w:spacing w:val="-9"/>
                <w:sz w:val="16"/>
              </w:rPr>
              <w:t xml:space="preserve"> </w:t>
            </w:r>
            <w:r w:rsidRPr="00EB2BD8">
              <w:rPr>
                <w:sz w:val="16"/>
              </w:rPr>
              <w:t>investigations</w:t>
            </w:r>
            <w:r w:rsidRPr="00EB2BD8">
              <w:rPr>
                <w:spacing w:val="-9"/>
                <w:sz w:val="16"/>
              </w:rPr>
              <w:t xml:space="preserve"> </w:t>
            </w:r>
            <w:r w:rsidRPr="00EB2BD8">
              <w:rPr>
                <w:spacing w:val="-2"/>
                <w:sz w:val="16"/>
              </w:rPr>
              <w:t>completed</w:t>
            </w:r>
          </w:p>
        </w:tc>
      </w:tr>
      <w:tr w:rsidR="00EB2BD8" w:rsidRPr="00EB2BD8" w14:paraId="4422A47D" w14:textId="77777777">
        <w:trPr>
          <w:trHeight w:val="611"/>
        </w:trPr>
        <w:tc>
          <w:tcPr>
            <w:tcW w:w="2872" w:type="dxa"/>
            <w:tcBorders>
              <w:top w:val="single" w:sz="2" w:space="0" w:color="000000"/>
              <w:bottom w:val="single" w:sz="2" w:space="0" w:color="000000"/>
            </w:tcBorders>
          </w:tcPr>
          <w:p w14:paraId="39A32876" w14:textId="77777777" w:rsidR="00084F36" w:rsidRPr="00EB2BD8" w:rsidRDefault="00EB2BD8">
            <w:pPr>
              <w:pStyle w:val="TableParagraph"/>
              <w:spacing w:before="116" w:line="292" w:lineRule="auto"/>
              <w:ind w:left="113" w:right="160"/>
              <w:rPr>
                <w:sz w:val="16"/>
              </w:rPr>
            </w:pPr>
            <w:r w:rsidRPr="00EB2BD8">
              <w:rPr>
                <w:sz w:val="16"/>
              </w:rPr>
              <w:t>Building</w:t>
            </w:r>
            <w:r w:rsidRPr="00EB2BD8">
              <w:rPr>
                <w:spacing w:val="-13"/>
                <w:sz w:val="16"/>
              </w:rPr>
              <w:t xml:space="preserve"> </w:t>
            </w:r>
            <w:r w:rsidRPr="00EB2BD8">
              <w:rPr>
                <w:sz w:val="16"/>
              </w:rPr>
              <w:t xml:space="preserve">practitioner </w:t>
            </w:r>
            <w:r w:rsidRPr="00EB2BD8">
              <w:rPr>
                <w:spacing w:val="-2"/>
                <w:sz w:val="16"/>
              </w:rPr>
              <w:t>investigations</w:t>
            </w:r>
            <w:r w:rsidRPr="00EB2BD8">
              <w:rPr>
                <w:spacing w:val="-12"/>
                <w:sz w:val="16"/>
              </w:rPr>
              <w:t xml:space="preserve"> </w:t>
            </w:r>
            <w:r w:rsidRPr="00EB2BD8">
              <w:rPr>
                <w:spacing w:val="-2"/>
                <w:sz w:val="16"/>
              </w:rPr>
              <w:t>completed</w:t>
            </w:r>
          </w:p>
        </w:tc>
        <w:tc>
          <w:tcPr>
            <w:tcW w:w="1259" w:type="dxa"/>
            <w:tcBorders>
              <w:top w:val="single" w:sz="2" w:space="0" w:color="000000"/>
              <w:bottom w:val="single" w:sz="2" w:space="0" w:color="000000"/>
            </w:tcBorders>
          </w:tcPr>
          <w:p w14:paraId="435408C4" w14:textId="562B072E" w:rsidR="00084F36" w:rsidRPr="00EB2BD8" w:rsidRDefault="00EB2BD8">
            <w:pPr>
              <w:pStyle w:val="TableParagraph"/>
              <w:spacing w:before="116"/>
              <w:ind w:right="331"/>
              <w:jc w:val="right"/>
              <w:rPr>
                <w:sz w:val="16"/>
              </w:rPr>
            </w:pPr>
            <w:r w:rsidRPr="00EB2BD8">
              <w:rPr>
                <w:spacing w:val="-2"/>
                <w:w w:val="70"/>
                <w:sz w:val="16"/>
              </w:rPr>
              <w:t>212</w:t>
            </w:r>
            <w:r w:rsidR="00DF2803" w:rsidRPr="00DB0F6B">
              <w:rPr>
                <w:rFonts w:cs="Arial"/>
                <w:spacing w:val="-2"/>
                <w:position w:val="5"/>
                <w:sz w:val="13"/>
                <w:szCs w:val="13"/>
              </w:rPr>
              <w:t>1</w:t>
            </w:r>
            <w:r w:rsidR="00DF2803">
              <w:rPr>
                <w:rFonts w:cs="Arial"/>
                <w:spacing w:val="-2"/>
                <w:position w:val="5"/>
                <w:sz w:val="13"/>
                <w:szCs w:val="13"/>
              </w:rPr>
              <w:t>5</w:t>
            </w:r>
          </w:p>
        </w:tc>
        <w:tc>
          <w:tcPr>
            <w:tcW w:w="972" w:type="dxa"/>
            <w:tcBorders>
              <w:top w:val="single" w:sz="2" w:space="0" w:color="000000"/>
              <w:bottom w:val="single" w:sz="2" w:space="0" w:color="000000"/>
            </w:tcBorders>
          </w:tcPr>
          <w:p w14:paraId="09E10F23" w14:textId="77777777" w:rsidR="00084F36" w:rsidRPr="00EB2BD8" w:rsidRDefault="00EB2BD8">
            <w:pPr>
              <w:pStyle w:val="TableParagraph"/>
              <w:spacing w:before="116"/>
              <w:ind w:right="112"/>
              <w:jc w:val="right"/>
              <w:rPr>
                <w:sz w:val="16"/>
              </w:rPr>
            </w:pPr>
            <w:r w:rsidRPr="00EB2BD8">
              <w:rPr>
                <w:spacing w:val="-5"/>
                <w:sz w:val="16"/>
              </w:rPr>
              <w:t>362</w:t>
            </w:r>
          </w:p>
        </w:tc>
        <w:tc>
          <w:tcPr>
            <w:tcW w:w="2717" w:type="dxa"/>
            <w:tcBorders>
              <w:top w:val="single" w:sz="2" w:space="0" w:color="000000"/>
              <w:bottom w:val="single" w:sz="2" w:space="0" w:color="000000"/>
            </w:tcBorders>
            <w:shd w:val="clear" w:color="auto" w:fill="D1E9F1"/>
          </w:tcPr>
          <w:p w14:paraId="1A0E7394" w14:textId="77777777" w:rsidR="00084F36" w:rsidRPr="00EB2BD8" w:rsidRDefault="00EB2BD8">
            <w:pPr>
              <w:pStyle w:val="TableParagraph"/>
              <w:spacing w:before="116" w:line="292" w:lineRule="auto"/>
              <w:ind w:left="113"/>
              <w:rPr>
                <w:sz w:val="16"/>
              </w:rPr>
            </w:pPr>
            <w:r w:rsidRPr="00EB2BD8">
              <w:rPr>
                <w:sz w:val="16"/>
              </w:rPr>
              <w:t>Plumbing</w:t>
            </w:r>
            <w:r w:rsidRPr="00EB2BD8">
              <w:rPr>
                <w:spacing w:val="-13"/>
                <w:sz w:val="16"/>
              </w:rPr>
              <w:t xml:space="preserve"> </w:t>
            </w:r>
            <w:r w:rsidRPr="00EB2BD8">
              <w:rPr>
                <w:sz w:val="16"/>
              </w:rPr>
              <w:t xml:space="preserve">practitioner </w:t>
            </w:r>
            <w:r w:rsidRPr="00EB2BD8">
              <w:rPr>
                <w:spacing w:val="-2"/>
                <w:sz w:val="16"/>
              </w:rPr>
              <w:t>investigations</w:t>
            </w:r>
            <w:r w:rsidRPr="00EB2BD8">
              <w:rPr>
                <w:spacing w:val="-12"/>
                <w:sz w:val="16"/>
              </w:rPr>
              <w:t xml:space="preserve"> </w:t>
            </w:r>
            <w:r w:rsidRPr="00EB2BD8">
              <w:rPr>
                <w:spacing w:val="-2"/>
                <w:sz w:val="16"/>
              </w:rPr>
              <w:t>completed</w:t>
            </w:r>
          </w:p>
        </w:tc>
        <w:tc>
          <w:tcPr>
            <w:tcW w:w="1414" w:type="dxa"/>
            <w:tcBorders>
              <w:top w:val="single" w:sz="2" w:space="0" w:color="000000"/>
              <w:bottom w:val="single" w:sz="2" w:space="0" w:color="000000"/>
            </w:tcBorders>
            <w:shd w:val="clear" w:color="auto" w:fill="D1E9F1"/>
          </w:tcPr>
          <w:p w14:paraId="3774C1A5" w14:textId="5C4B1FB6" w:rsidR="00084F36" w:rsidRPr="00EB2BD8" w:rsidRDefault="00EB2BD8">
            <w:pPr>
              <w:pStyle w:val="TableParagraph"/>
              <w:spacing w:before="116"/>
              <w:ind w:right="331"/>
              <w:jc w:val="right"/>
              <w:rPr>
                <w:sz w:val="16"/>
              </w:rPr>
            </w:pPr>
            <w:r w:rsidRPr="00EB2BD8">
              <w:rPr>
                <w:spacing w:val="-2"/>
                <w:w w:val="75"/>
                <w:sz w:val="16"/>
              </w:rPr>
              <w:t>341</w:t>
            </w:r>
            <w:r w:rsidR="00DF2803" w:rsidRPr="00DB0F6B">
              <w:rPr>
                <w:rFonts w:cs="Arial"/>
                <w:spacing w:val="-2"/>
                <w:position w:val="5"/>
                <w:sz w:val="13"/>
                <w:szCs w:val="13"/>
              </w:rPr>
              <w:t>1</w:t>
            </w:r>
            <w:r w:rsidR="00DF2803">
              <w:rPr>
                <w:rFonts w:cs="Arial"/>
                <w:spacing w:val="-2"/>
                <w:position w:val="5"/>
                <w:sz w:val="13"/>
                <w:szCs w:val="13"/>
              </w:rPr>
              <w:t>4</w:t>
            </w:r>
          </w:p>
        </w:tc>
        <w:tc>
          <w:tcPr>
            <w:tcW w:w="971" w:type="dxa"/>
            <w:tcBorders>
              <w:top w:val="single" w:sz="2" w:space="0" w:color="000000"/>
              <w:bottom w:val="single" w:sz="2" w:space="0" w:color="000000"/>
            </w:tcBorders>
            <w:shd w:val="clear" w:color="auto" w:fill="D1E9F1"/>
          </w:tcPr>
          <w:p w14:paraId="1535985B" w14:textId="77777777" w:rsidR="00084F36" w:rsidRPr="00EB2BD8" w:rsidRDefault="00EB2BD8">
            <w:pPr>
              <w:pStyle w:val="TableParagraph"/>
              <w:spacing w:before="116"/>
              <w:ind w:right="111"/>
              <w:jc w:val="right"/>
              <w:rPr>
                <w:sz w:val="16"/>
              </w:rPr>
            </w:pPr>
            <w:r w:rsidRPr="00EB2BD8">
              <w:rPr>
                <w:spacing w:val="-5"/>
                <w:w w:val="95"/>
                <w:sz w:val="16"/>
              </w:rPr>
              <w:t>573</w:t>
            </w:r>
          </w:p>
        </w:tc>
      </w:tr>
      <w:tr w:rsidR="00EB2BD8" w:rsidRPr="00EB2BD8" w14:paraId="5777D7B0" w14:textId="77777777">
        <w:trPr>
          <w:trHeight w:val="327"/>
        </w:trPr>
        <w:tc>
          <w:tcPr>
            <w:tcW w:w="5103" w:type="dxa"/>
            <w:gridSpan w:val="3"/>
            <w:tcBorders>
              <w:top w:val="single" w:sz="2" w:space="0" w:color="000000"/>
            </w:tcBorders>
          </w:tcPr>
          <w:p w14:paraId="000D298E" w14:textId="77777777" w:rsidR="00084F36" w:rsidRPr="00EB2BD8" w:rsidRDefault="00EB2BD8">
            <w:pPr>
              <w:pStyle w:val="TableParagraph"/>
              <w:spacing w:before="116"/>
              <w:ind w:left="113"/>
              <w:rPr>
                <w:sz w:val="16"/>
              </w:rPr>
            </w:pPr>
            <w:r w:rsidRPr="00EB2BD8">
              <w:rPr>
                <w:sz w:val="16"/>
              </w:rPr>
              <w:t>Proactive</w:t>
            </w:r>
            <w:r w:rsidRPr="00EB2BD8">
              <w:rPr>
                <w:spacing w:val="7"/>
                <w:sz w:val="16"/>
              </w:rPr>
              <w:t xml:space="preserve"> </w:t>
            </w:r>
            <w:r w:rsidRPr="00EB2BD8">
              <w:rPr>
                <w:sz w:val="16"/>
              </w:rPr>
              <w:t>Inspections</w:t>
            </w:r>
            <w:r w:rsidRPr="00EB2BD8">
              <w:rPr>
                <w:spacing w:val="7"/>
                <w:sz w:val="16"/>
              </w:rPr>
              <w:t xml:space="preserve"> </w:t>
            </w:r>
            <w:r w:rsidRPr="00EB2BD8">
              <w:rPr>
                <w:sz w:val="16"/>
              </w:rPr>
              <w:t>Program</w:t>
            </w:r>
            <w:r w:rsidRPr="00EB2BD8">
              <w:rPr>
                <w:spacing w:val="8"/>
                <w:sz w:val="16"/>
              </w:rPr>
              <w:t xml:space="preserve"> </w:t>
            </w:r>
            <w:r w:rsidRPr="00EB2BD8">
              <w:rPr>
                <w:spacing w:val="-2"/>
                <w:sz w:val="16"/>
              </w:rPr>
              <w:t>(PIP)</w:t>
            </w:r>
          </w:p>
        </w:tc>
        <w:tc>
          <w:tcPr>
            <w:tcW w:w="5102" w:type="dxa"/>
            <w:gridSpan w:val="3"/>
            <w:vMerge w:val="restart"/>
            <w:tcBorders>
              <w:top w:val="single" w:sz="2" w:space="0" w:color="000000"/>
            </w:tcBorders>
            <w:shd w:val="clear" w:color="auto" w:fill="D1E9F1"/>
          </w:tcPr>
          <w:p w14:paraId="13FFCD68" w14:textId="77777777" w:rsidR="00084F36" w:rsidRPr="00EB2BD8" w:rsidRDefault="00084F36">
            <w:pPr>
              <w:pStyle w:val="TableParagraph"/>
              <w:rPr>
                <w:rFonts w:ascii="Times New Roman"/>
                <w:sz w:val="14"/>
              </w:rPr>
            </w:pPr>
          </w:p>
        </w:tc>
      </w:tr>
      <w:tr w:rsidR="00EB2BD8" w:rsidRPr="00EB2BD8" w14:paraId="008F5B7E" w14:textId="77777777">
        <w:trPr>
          <w:trHeight w:val="284"/>
        </w:trPr>
        <w:tc>
          <w:tcPr>
            <w:tcW w:w="5103" w:type="dxa"/>
            <w:gridSpan w:val="3"/>
            <w:tcBorders>
              <w:bottom w:val="single" w:sz="2" w:space="0" w:color="000000"/>
            </w:tcBorders>
          </w:tcPr>
          <w:p w14:paraId="2B9A5852" w14:textId="77777777" w:rsidR="00084F36" w:rsidRPr="00EB2BD8" w:rsidRDefault="00EB2BD8">
            <w:pPr>
              <w:pStyle w:val="TableParagraph"/>
              <w:spacing w:before="18"/>
              <w:ind w:left="113"/>
              <w:rPr>
                <w:sz w:val="16"/>
              </w:rPr>
            </w:pPr>
            <w:r w:rsidRPr="00EB2BD8">
              <w:rPr>
                <w:sz w:val="16"/>
              </w:rPr>
              <w:t>(building</w:t>
            </w:r>
            <w:r w:rsidRPr="00EB2BD8">
              <w:rPr>
                <w:spacing w:val="-12"/>
                <w:sz w:val="16"/>
              </w:rPr>
              <w:t xml:space="preserve"> </w:t>
            </w:r>
            <w:r w:rsidRPr="00EB2BD8">
              <w:rPr>
                <w:sz w:val="16"/>
              </w:rPr>
              <w:t>and</w:t>
            </w:r>
            <w:r w:rsidRPr="00EB2BD8">
              <w:rPr>
                <w:spacing w:val="-12"/>
                <w:sz w:val="16"/>
              </w:rPr>
              <w:t xml:space="preserve"> </w:t>
            </w:r>
            <w:r w:rsidRPr="00EB2BD8">
              <w:rPr>
                <w:spacing w:val="-2"/>
                <w:sz w:val="16"/>
              </w:rPr>
              <w:t>plumbing)</w:t>
            </w:r>
          </w:p>
        </w:tc>
        <w:tc>
          <w:tcPr>
            <w:tcW w:w="5102" w:type="dxa"/>
            <w:gridSpan w:val="3"/>
            <w:vMerge/>
            <w:tcBorders>
              <w:top w:val="nil"/>
            </w:tcBorders>
            <w:shd w:val="clear" w:color="auto" w:fill="D1E9F1"/>
          </w:tcPr>
          <w:p w14:paraId="5B3AF9D6" w14:textId="77777777" w:rsidR="00084F36" w:rsidRPr="00EB2BD8" w:rsidRDefault="00084F36">
            <w:pPr>
              <w:rPr>
                <w:sz w:val="2"/>
                <w:szCs w:val="2"/>
              </w:rPr>
            </w:pPr>
          </w:p>
        </w:tc>
      </w:tr>
      <w:tr w:rsidR="00EB2BD8" w:rsidRPr="00EB2BD8" w14:paraId="0B591398" w14:textId="77777777">
        <w:trPr>
          <w:trHeight w:val="404"/>
        </w:trPr>
        <w:tc>
          <w:tcPr>
            <w:tcW w:w="2872" w:type="dxa"/>
            <w:tcBorders>
              <w:top w:val="single" w:sz="2" w:space="0" w:color="000000"/>
            </w:tcBorders>
          </w:tcPr>
          <w:p w14:paraId="16B58E99" w14:textId="77777777" w:rsidR="00084F36" w:rsidRPr="00EB2BD8" w:rsidRDefault="00EB2BD8">
            <w:pPr>
              <w:pStyle w:val="TableParagraph"/>
              <w:spacing w:before="116"/>
              <w:ind w:left="113"/>
              <w:rPr>
                <w:sz w:val="16"/>
              </w:rPr>
            </w:pPr>
            <w:r w:rsidRPr="00EB2BD8">
              <w:rPr>
                <w:spacing w:val="-2"/>
                <w:sz w:val="16"/>
              </w:rPr>
              <w:t>Building</w:t>
            </w:r>
            <w:r w:rsidRPr="00EB2BD8">
              <w:rPr>
                <w:spacing w:val="-3"/>
                <w:sz w:val="16"/>
              </w:rPr>
              <w:t xml:space="preserve"> </w:t>
            </w:r>
            <w:r w:rsidRPr="00EB2BD8">
              <w:rPr>
                <w:spacing w:val="-2"/>
                <w:sz w:val="16"/>
              </w:rPr>
              <w:t>permits inspected</w:t>
            </w:r>
          </w:p>
        </w:tc>
        <w:tc>
          <w:tcPr>
            <w:tcW w:w="1259" w:type="dxa"/>
            <w:tcBorders>
              <w:top w:val="single" w:sz="2" w:space="0" w:color="000000"/>
            </w:tcBorders>
          </w:tcPr>
          <w:p w14:paraId="4E2C424C" w14:textId="77777777" w:rsidR="00084F36" w:rsidRPr="00EB2BD8" w:rsidRDefault="00EB2BD8">
            <w:pPr>
              <w:pStyle w:val="TableParagraph"/>
              <w:spacing w:before="116"/>
              <w:ind w:right="330"/>
              <w:jc w:val="right"/>
              <w:rPr>
                <w:sz w:val="16"/>
              </w:rPr>
            </w:pPr>
            <w:r w:rsidRPr="00EB2BD8">
              <w:rPr>
                <w:spacing w:val="-2"/>
                <w:w w:val="95"/>
                <w:sz w:val="16"/>
              </w:rPr>
              <w:t>8,233</w:t>
            </w:r>
          </w:p>
        </w:tc>
        <w:tc>
          <w:tcPr>
            <w:tcW w:w="972" w:type="dxa"/>
            <w:tcBorders>
              <w:top w:val="single" w:sz="2" w:space="0" w:color="000000"/>
            </w:tcBorders>
          </w:tcPr>
          <w:p w14:paraId="12F8443A" w14:textId="77777777" w:rsidR="00084F36" w:rsidRPr="00EB2BD8" w:rsidRDefault="00EB2BD8">
            <w:pPr>
              <w:pStyle w:val="TableParagraph"/>
              <w:spacing w:before="116"/>
              <w:ind w:right="111"/>
              <w:jc w:val="right"/>
              <w:rPr>
                <w:sz w:val="16"/>
              </w:rPr>
            </w:pPr>
            <w:r w:rsidRPr="00EB2BD8">
              <w:rPr>
                <w:spacing w:val="-2"/>
                <w:w w:val="80"/>
                <w:sz w:val="16"/>
              </w:rPr>
              <w:t>13,157</w:t>
            </w:r>
          </w:p>
        </w:tc>
        <w:tc>
          <w:tcPr>
            <w:tcW w:w="5102" w:type="dxa"/>
            <w:gridSpan w:val="3"/>
            <w:vMerge/>
            <w:tcBorders>
              <w:top w:val="nil"/>
            </w:tcBorders>
            <w:shd w:val="clear" w:color="auto" w:fill="D1E9F1"/>
          </w:tcPr>
          <w:p w14:paraId="595E225C" w14:textId="77777777" w:rsidR="00084F36" w:rsidRPr="00EB2BD8" w:rsidRDefault="00084F36">
            <w:pPr>
              <w:rPr>
                <w:sz w:val="2"/>
                <w:szCs w:val="2"/>
              </w:rPr>
            </w:pPr>
          </w:p>
        </w:tc>
      </w:tr>
      <w:tr w:rsidR="00EB2BD8" w:rsidRPr="00EB2BD8" w14:paraId="1495EC0C" w14:textId="77777777">
        <w:trPr>
          <w:trHeight w:val="308"/>
        </w:trPr>
        <w:tc>
          <w:tcPr>
            <w:tcW w:w="2872" w:type="dxa"/>
          </w:tcPr>
          <w:p w14:paraId="73515E78" w14:textId="77777777" w:rsidR="00084F36" w:rsidRPr="00EB2BD8" w:rsidRDefault="00EB2BD8">
            <w:pPr>
              <w:pStyle w:val="TableParagraph"/>
              <w:spacing w:before="98"/>
              <w:ind w:left="114"/>
              <w:rPr>
                <w:sz w:val="16"/>
              </w:rPr>
            </w:pPr>
            <w:r w:rsidRPr="00EB2BD8">
              <w:rPr>
                <w:sz w:val="16"/>
              </w:rPr>
              <w:t>Building</w:t>
            </w:r>
            <w:r w:rsidRPr="00EB2BD8">
              <w:rPr>
                <w:spacing w:val="-10"/>
                <w:sz w:val="16"/>
              </w:rPr>
              <w:t xml:space="preserve"> </w:t>
            </w:r>
            <w:r w:rsidRPr="00EB2BD8">
              <w:rPr>
                <w:sz w:val="16"/>
              </w:rPr>
              <w:t>permits</w:t>
            </w:r>
            <w:r w:rsidRPr="00EB2BD8">
              <w:rPr>
                <w:spacing w:val="-9"/>
                <w:sz w:val="16"/>
              </w:rPr>
              <w:t xml:space="preserve"> </w:t>
            </w:r>
            <w:r w:rsidRPr="00EB2BD8">
              <w:rPr>
                <w:sz w:val="16"/>
              </w:rPr>
              <w:t>inspected</w:t>
            </w:r>
            <w:r w:rsidRPr="00EB2BD8">
              <w:rPr>
                <w:spacing w:val="-10"/>
                <w:sz w:val="16"/>
              </w:rPr>
              <w:t xml:space="preserve"> </w:t>
            </w:r>
            <w:r w:rsidRPr="00EB2BD8">
              <w:rPr>
                <w:sz w:val="16"/>
              </w:rPr>
              <w:t>as</w:t>
            </w:r>
            <w:r w:rsidRPr="00EB2BD8">
              <w:rPr>
                <w:spacing w:val="-9"/>
                <w:sz w:val="16"/>
              </w:rPr>
              <w:t xml:space="preserve"> </w:t>
            </w:r>
            <w:r w:rsidRPr="00EB2BD8">
              <w:rPr>
                <w:spacing w:val="-10"/>
                <w:sz w:val="16"/>
              </w:rPr>
              <w:t>a</w:t>
            </w:r>
          </w:p>
        </w:tc>
        <w:tc>
          <w:tcPr>
            <w:tcW w:w="1259" w:type="dxa"/>
          </w:tcPr>
          <w:p w14:paraId="13A220E6" w14:textId="77777777" w:rsidR="00084F36" w:rsidRPr="00EB2BD8" w:rsidRDefault="00EB2BD8">
            <w:pPr>
              <w:pStyle w:val="TableParagraph"/>
              <w:spacing w:before="97"/>
              <w:ind w:right="329"/>
              <w:jc w:val="right"/>
              <w:rPr>
                <w:sz w:val="16"/>
              </w:rPr>
            </w:pPr>
            <w:r w:rsidRPr="00EB2BD8">
              <w:rPr>
                <w:spacing w:val="-2"/>
                <w:sz w:val="16"/>
              </w:rPr>
              <w:t>7.67%</w:t>
            </w:r>
          </w:p>
        </w:tc>
        <w:tc>
          <w:tcPr>
            <w:tcW w:w="972" w:type="dxa"/>
          </w:tcPr>
          <w:p w14:paraId="4DD4E268" w14:textId="77777777" w:rsidR="00084F36" w:rsidRPr="00EB2BD8" w:rsidRDefault="00EB2BD8">
            <w:pPr>
              <w:pStyle w:val="TableParagraph"/>
              <w:spacing w:before="97"/>
              <w:ind w:right="111"/>
              <w:jc w:val="right"/>
              <w:rPr>
                <w:sz w:val="16"/>
              </w:rPr>
            </w:pPr>
            <w:r w:rsidRPr="00EB2BD8">
              <w:rPr>
                <w:spacing w:val="-2"/>
                <w:sz w:val="16"/>
              </w:rPr>
              <w:t>10.97%</w:t>
            </w:r>
          </w:p>
        </w:tc>
        <w:tc>
          <w:tcPr>
            <w:tcW w:w="5102" w:type="dxa"/>
            <w:gridSpan w:val="3"/>
            <w:vMerge/>
            <w:tcBorders>
              <w:top w:val="nil"/>
            </w:tcBorders>
            <w:shd w:val="clear" w:color="auto" w:fill="D1E9F1"/>
          </w:tcPr>
          <w:p w14:paraId="7AFE9B3A" w14:textId="77777777" w:rsidR="00084F36" w:rsidRPr="00EB2BD8" w:rsidRDefault="00084F36">
            <w:pPr>
              <w:rPr>
                <w:sz w:val="2"/>
                <w:szCs w:val="2"/>
              </w:rPr>
            </w:pPr>
          </w:p>
        </w:tc>
      </w:tr>
      <w:tr w:rsidR="00EB2BD8" w:rsidRPr="00EB2BD8" w14:paraId="34C7FB71" w14:textId="77777777">
        <w:trPr>
          <w:trHeight w:val="229"/>
        </w:trPr>
        <w:tc>
          <w:tcPr>
            <w:tcW w:w="2872" w:type="dxa"/>
          </w:tcPr>
          <w:p w14:paraId="568D3218" w14:textId="77777777" w:rsidR="00084F36" w:rsidRPr="00EB2BD8" w:rsidRDefault="00EB2BD8">
            <w:pPr>
              <w:pStyle w:val="TableParagraph"/>
              <w:spacing w:before="19"/>
              <w:ind w:left="114"/>
              <w:rPr>
                <w:sz w:val="16"/>
              </w:rPr>
            </w:pPr>
            <w:r w:rsidRPr="00EB2BD8">
              <w:rPr>
                <w:sz w:val="16"/>
              </w:rPr>
              <w:t>percentage</w:t>
            </w:r>
            <w:r w:rsidRPr="00EB2BD8">
              <w:rPr>
                <w:spacing w:val="-11"/>
                <w:sz w:val="16"/>
              </w:rPr>
              <w:t xml:space="preserve"> </w:t>
            </w:r>
            <w:r w:rsidRPr="00EB2BD8">
              <w:rPr>
                <w:sz w:val="16"/>
              </w:rPr>
              <w:t>of</w:t>
            </w:r>
            <w:r w:rsidRPr="00EB2BD8">
              <w:rPr>
                <w:spacing w:val="-11"/>
                <w:sz w:val="16"/>
              </w:rPr>
              <w:t xml:space="preserve"> </w:t>
            </w:r>
            <w:r w:rsidRPr="00EB2BD8">
              <w:rPr>
                <w:sz w:val="16"/>
              </w:rPr>
              <w:t>building</w:t>
            </w:r>
            <w:r w:rsidRPr="00EB2BD8">
              <w:rPr>
                <w:spacing w:val="-11"/>
                <w:sz w:val="16"/>
              </w:rPr>
              <w:t xml:space="preserve"> </w:t>
            </w:r>
            <w:r w:rsidRPr="00EB2BD8">
              <w:rPr>
                <w:spacing w:val="-2"/>
                <w:sz w:val="16"/>
              </w:rPr>
              <w:t>permits</w:t>
            </w:r>
          </w:p>
        </w:tc>
        <w:tc>
          <w:tcPr>
            <w:tcW w:w="1259" w:type="dxa"/>
          </w:tcPr>
          <w:p w14:paraId="01C7A33B" w14:textId="77777777" w:rsidR="00084F36" w:rsidRPr="00EB2BD8" w:rsidRDefault="00084F36">
            <w:pPr>
              <w:pStyle w:val="TableParagraph"/>
              <w:rPr>
                <w:rFonts w:ascii="Times New Roman"/>
                <w:sz w:val="14"/>
              </w:rPr>
            </w:pPr>
          </w:p>
        </w:tc>
        <w:tc>
          <w:tcPr>
            <w:tcW w:w="972" w:type="dxa"/>
          </w:tcPr>
          <w:p w14:paraId="62CDC01C" w14:textId="77777777" w:rsidR="00084F36" w:rsidRPr="00EB2BD8" w:rsidRDefault="00084F36">
            <w:pPr>
              <w:pStyle w:val="TableParagraph"/>
              <w:rPr>
                <w:rFonts w:ascii="Times New Roman"/>
                <w:sz w:val="14"/>
              </w:rPr>
            </w:pPr>
          </w:p>
        </w:tc>
        <w:tc>
          <w:tcPr>
            <w:tcW w:w="5102" w:type="dxa"/>
            <w:gridSpan w:val="3"/>
            <w:vMerge/>
            <w:tcBorders>
              <w:top w:val="nil"/>
            </w:tcBorders>
            <w:shd w:val="clear" w:color="auto" w:fill="D1E9F1"/>
          </w:tcPr>
          <w:p w14:paraId="0A4FDC6D" w14:textId="77777777" w:rsidR="00084F36" w:rsidRPr="00EB2BD8" w:rsidRDefault="00084F36">
            <w:pPr>
              <w:rPr>
                <w:sz w:val="2"/>
                <w:szCs w:val="2"/>
              </w:rPr>
            </w:pPr>
          </w:p>
        </w:tc>
      </w:tr>
      <w:tr w:rsidR="00EB2BD8" w:rsidRPr="00EB2BD8" w14:paraId="5EDED66C" w14:textId="77777777">
        <w:trPr>
          <w:trHeight w:val="285"/>
        </w:trPr>
        <w:tc>
          <w:tcPr>
            <w:tcW w:w="2872" w:type="dxa"/>
            <w:tcBorders>
              <w:bottom w:val="single" w:sz="2" w:space="0" w:color="000000"/>
            </w:tcBorders>
          </w:tcPr>
          <w:p w14:paraId="77060094" w14:textId="77777777" w:rsidR="00084F36" w:rsidRPr="00EB2BD8" w:rsidRDefault="00EB2BD8">
            <w:pPr>
              <w:pStyle w:val="TableParagraph"/>
              <w:spacing w:before="19"/>
              <w:ind w:left="114"/>
              <w:rPr>
                <w:sz w:val="16"/>
              </w:rPr>
            </w:pPr>
            <w:r w:rsidRPr="00EB2BD8">
              <w:rPr>
                <w:spacing w:val="-2"/>
                <w:sz w:val="16"/>
              </w:rPr>
              <w:t>reported</w:t>
            </w:r>
            <w:r w:rsidRPr="00EB2BD8">
              <w:rPr>
                <w:spacing w:val="-7"/>
                <w:sz w:val="16"/>
              </w:rPr>
              <w:t xml:space="preserve"> </w:t>
            </w:r>
            <w:r w:rsidRPr="00EB2BD8">
              <w:rPr>
                <w:spacing w:val="-2"/>
                <w:sz w:val="16"/>
              </w:rPr>
              <w:t>(Target:</w:t>
            </w:r>
            <w:r w:rsidRPr="00EB2BD8">
              <w:rPr>
                <w:spacing w:val="-6"/>
                <w:sz w:val="16"/>
              </w:rPr>
              <w:t xml:space="preserve"> </w:t>
            </w:r>
            <w:r w:rsidRPr="00EB2BD8">
              <w:rPr>
                <w:spacing w:val="-4"/>
                <w:sz w:val="16"/>
              </w:rPr>
              <w:t>10%)</w:t>
            </w:r>
          </w:p>
        </w:tc>
        <w:tc>
          <w:tcPr>
            <w:tcW w:w="1259" w:type="dxa"/>
            <w:tcBorders>
              <w:bottom w:val="single" w:sz="2" w:space="0" w:color="000000"/>
            </w:tcBorders>
          </w:tcPr>
          <w:p w14:paraId="3C512880" w14:textId="77777777" w:rsidR="00084F36" w:rsidRPr="00EB2BD8" w:rsidRDefault="00084F36">
            <w:pPr>
              <w:pStyle w:val="TableParagraph"/>
              <w:rPr>
                <w:rFonts w:ascii="Times New Roman"/>
                <w:sz w:val="14"/>
              </w:rPr>
            </w:pPr>
          </w:p>
        </w:tc>
        <w:tc>
          <w:tcPr>
            <w:tcW w:w="972" w:type="dxa"/>
            <w:tcBorders>
              <w:bottom w:val="single" w:sz="2" w:space="0" w:color="000000"/>
            </w:tcBorders>
          </w:tcPr>
          <w:p w14:paraId="108B7E5C" w14:textId="77777777" w:rsidR="00084F36" w:rsidRPr="00EB2BD8" w:rsidRDefault="00084F36">
            <w:pPr>
              <w:pStyle w:val="TableParagraph"/>
              <w:rPr>
                <w:rFonts w:ascii="Times New Roman"/>
                <w:sz w:val="14"/>
              </w:rPr>
            </w:pPr>
          </w:p>
        </w:tc>
        <w:tc>
          <w:tcPr>
            <w:tcW w:w="5102" w:type="dxa"/>
            <w:gridSpan w:val="3"/>
            <w:vMerge/>
            <w:tcBorders>
              <w:top w:val="nil"/>
            </w:tcBorders>
            <w:shd w:val="clear" w:color="auto" w:fill="D1E9F1"/>
          </w:tcPr>
          <w:p w14:paraId="527B4A51" w14:textId="77777777" w:rsidR="00084F36" w:rsidRPr="00EB2BD8" w:rsidRDefault="00084F36">
            <w:pPr>
              <w:rPr>
                <w:sz w:val="2"/>
                <w:szCs w:val="2"/>
              </w:rPr>
            </w:pPr>
          </w:p>
        </w:tc>
      </w:tr>
    </w:tbl>
    <w:p w14:paraId="25D4D4A3" w14:textId="77777777" w:rsidR="00084F36" w:rsidRPr="00EB2BD8" w:rsidRDefault="00084F36">
      <w:pPr>
        <w:pStyle w:val="BodyText"/>
        <w:rPr>
          <w:sz w:val="22"/>
        </w:rPr>
      </w:pPr>
    </w:p>
    <w:p w14:paraId="70EE3E2A" w14:textId="11D4B3CC" w:rsidR="00084F36" w:rsidRPr="00EB2BD8" w:rsidRDefault="00EB2BD8">
      <w:pPr>
        <w:spacing w:before="137"/>
        <w:ind w:left="850"/>
        <w:rPr>
          <w:i/>
          <w:sz w:val="14"/>
        </w:rPr>
      </w:pPr>
      <w:r w:rsidRPr="00EB2BD8">
        <w:rPr>
          <w:i/>
          <w:sz w:val="14"/>
        </w:rPr>
        <w:t>1</w:t>
      </w:r>
      <w:r w:rsidR="00DF2803">
        <w:rPr>
          <w:i/>
          <w:sz w:val="14"/>
        </w:rPr>
        <w:t xml:space="preserve">4- </w:t>
      </w:r>
      <w:r w:rsidRPr="00EB2BD8">
        <w:rPr>
          <w:i/>
          <w:sz w:val="14"/>
        </w:rPr>
        <w:t>The</w:t>
      </w:r>
      <w:r w:rsidRPr="00EB2BD8">
        <w:rPr>
          <w:i/>
          <w:spacing w:val="-9"/>
          <w:sz w:val="14"/>
        </w:rPr>
        <w:t xml:space="preserve"> </w:t>
      </w:r>
      <w:r w:rsidRPr="00EB2BD8">
        <w:rPr>
          <w:i/>
          <w:sz w:val="14"/>
        </w:rPr>
        <w:t>VBA</w:t>
      </w:r>
      <w:r w:rsidRPr="00EB2BD8">
        <w:rPr>
          <w:i/>
          <w:spacing w:val="-9"/>
          <w:sz w:val="14"/>
        </w:rPr>
        <w:t xml:space="preserve"> </w:t>
      </w:r>
      <w:r w:rsidRPr="00EB2BD8">
        <w:rPr>
          <w:i/>
          <w:sz w:val="14"/>
        </w:rPr>
        <w:t>recommenced</w:t>
      </w:r>
      <w:r w:rsidRPr="00EB2BD8">
        <w:rPr>
          <w:i/>
          <w:spacing w:val="-8"/>
          <w:sz w:val="14"/>
        </w:rPr>
        <w:t xml:space="preserve"> </w:t>
      </w:r>
      <w:r w:rsidRPr="00EB2BD8">
        <w:rPr>
          <w:i/>
          <w:sz w:val="14"/>
        </w:rPr>
        <w:t>levy</w:t>
      </w:r>
      <w:r w:rsidRPr="00EB2BD8">
        <w:rPr>
          <w:i/>
          <w:spacing w:val="-9"/>
          <w:sz w:val="14"/>
        </w:rPr>
        <w:t xml:space="preserve"> </w:t>
      </w:r>
      <w:r w:rsidRPr="00EB2BD8">
        <w:rPr>
          <w:i/>
          <w:sz w:val="14"/>
        </w:rPr>
        <w:t>audit</w:t>
      </w:r>
      <w:r w:rsidRPr="00EB2BD8">
        <w:rPr>
          <w:i/>
          <w:spacing w:val="-8"/>
          <w:sz w:val="14"/>
        </w:rPr>
        <w:t xml:space="preserve"> </w:t>
      </w:r>
      <w:r w:rsidRPr="00EB2BD8">
        <w:rPr>
          <w:i/>
          <w:sz w:val="14"/>
        </w:rPr>
        <w:t>following</w:t>
      </w:r>
      <w:r w:rsidRPr="00EB2BD8">
        <w:rPr>
          <w:i/>
          <w:spacing w:val="-9"/>
          <w:sz w:val="14"/>
        </w:rPr>
        <w:t xml:space="preserve"> </w:t>
      </w:r>
      <w:r w:rsidRPr="00EB2BD8">
        <w:rPr>
          <w:i/>
          <w:sz w:val="14"/>
        </w:rPr>
        <w:t>establishment</w:t>
      </w:r>
      <w:r w:rsidRPr="00EB2BD8">
        <w:rPr>
          <w:i/>
          <w:spacing w:val="-8"/>
          <w:sz w:val="14"/>
        </w:rPr>
        <w:t xml:space="preserve"> </w:t>
      </w:r>
      <w:r w:rsidRPr="00EB2BD8">
        <w:rPr>
          <w:i/>
          <w:sz w:val="14"/>
        </w:rPr>
        <w:t>of</w:t>
      </w:r>
      <w:r w:rsidRPr="00EB2BD8">
        <w:rPr>
          <w:i/>
          <w:spacing w:val="-9"/>
          <w:sz w:val="14"/>
        </w:rPr>
        <w:t xml:space="preserve"> </w:t>
      </w:r>
      <w:r w:rsidRPr="00EB2BD8">
        <w:rPr>
          <w:i/>
          <w:sz w:val="14"/>
        </w:rPr>
        <w:t>the</w:t>
      </w:r>
      <w:r w:rsidRPr="00EB2BD8">
        <w:rPr>
          <w:i/>
          <w:spacing w:val="-8"/>
          <w:sz w:val="14"/>
        </w:rPr>
        <w:t xml:space="preserve"> </w:t>
      </w:r>
      <w:r w:rsidRPr="00EB2BD8">
        <w:rPr>
          <w:i/>
          <w:sz w:val="14"/>
        </w:rPr>
        <w:t>levy</w:t>
      </w:r>
      <w:r w:rsidRPr="00EB2BD8">
        <w:rPr>
          <w:i/>
          <w:spacing w:val="-9"/>
          <w:sz w:val="14"/>
        </w:rPr>
        <w:t xml:space="preserve"> </w:t>
      </w:r>
      <w:r w:rsidRPr="00EB2BD8">
        <w:rPr>
          <w:i/>
          <w:sz w:val="14"/>
        </w:rPr>
        <w:t>reassessment</w:t>
      </w:r>
      <w:r w:rsidRPr="00EB2BD8">
        <w:rPr>
          <w:i/>
          <w:spacing w:val="-8"/>
          <w:sz w:val="14"/>
        </w:rPr>
        <w:t xml:space="preserve"> </w:t>
      </w:r>
      <w:r w:rsidRPr="00EB2BD8">
        <w:rPr>
          <w:i/>
          <w:spacing w:val="-2"/>
          <w:sz w:val="14"/>
        </w:rPr>
        <w:t>function.</w:t>
      </w:r>
    </w:p>
    <w:p w14:paraId="7ED3C000" w14:textId="4E88C7E4" w:rsidR="00084F36" w:rsidRPr="00EB2BD8" w:rsidRDefault="00DF2803">
      <w:pPr>
        <w:spacing w:before="16"/>
        <w:ind w:left="850"/>
        <w:rPr>
          <w:i/>
          <w:sz w:val="14"/>
        </w:rPr>
      </w:pPr>
      <w:r>
        <w:rPr>
          <w:i/>
          <w:spacing w:val="-2"/>
          <w:sz w:val="14"/>
        </w:rPr>
        <w:t>15- T</w:t>
      </w:r>
      <w:r w:rsidR="00EB2BD8" w:rsidRPr="00EB2BD8">
        <w:rPr>
          <w:i/>
          <w:spacing w:val="-2"/>
          <w:sz w:val="14"/>
        </w:rPr>
        <w:t>he VBA is</w:t>
      </w:r>
      <w:r w:rsidR="00EB2BD8" w:rsidRPr="00EB2BD8">
        <w:rPr>
          <w:i/>
          <w:spacing w:val="-1"/>
          <w:sz w:val="14"/>
        </w:rPr>
        <w:t xml:space="preserve"> </w:t>
      </w:r>
      <w:r w:rsidR="00EB2BD8" w:rsidRPr="00EB2BD8">
        <w:rPr>
          <w:i/>
          <w:spacing w:val="-2"/>
          <w:sz w:val="14"/>
        </w:rPr>
        <w:t>reviewing its</w:t>
      </w:r>
      <w:r w:rsidR="00EB2BD8" w:rsidRPr="00EB2BD8">
        <w:rPr>
          <w:i/>
          <w:spacing w:val="-1"/>
          <w:sz w:val="14"/>
        </w:rPr>
        <w:t xml:space="preserve"> </w:t>
      </w:r>
      <w:r w:rsidR="00EB2BD8" w:rsidRPr="00EB2BD8">
        <w:rPr>
          <w:i/>
          <w:spacing w:val="-2"/>
          <w:sz w:val="14"/>
        </w:rPr>
        <w:t>criteria for</w:t>
      </w:r>
      <w:r w:rsidR="00EB2BD8" w:rsidRPr="00EB2BD8">
        <w:rPr>
          <w:i/>
          <w:spacing w:val="-1"/>
          <w:sz w:val="14"/>
        </w:rPr>
        <w:t xml:space="preserve"> </w:t>
      </w:r>
      <w:r w:rsidR="00EB2BD8" w:rsidRPr="00EB2BD8">
        <w:rPr>
          <w:i/>
          <w:spacing w:val="-2"/>
          <w:sz w:val="14"/>
        </w:rPr>
        <w:t>the recording</w:t>
      </w:r>
      <w:r w:rsidR="00EB2BD8" w:rsidRPr="00EB2BD8">
        <w:rPr>
          <w:i/>
          <w:spacing w:val="-1"/>
          <w:sz w:val="14"/>
        </w:rPr>
        <w:t xml:space="preserve"> </w:t>
      </w:r>
      <w:r w:rsidR="00EB2BD8" w:rsidRPr="00EB2BD8">
        <w:rPr>
          <w:i/>
          <w:spacing w:val="-2"/>
          <w:sz w:val="14"/>
        </w:rPr>
        <w:t>of investigations.</w:t>
      </w:r>
      <w:r w:rsidR="00EB2BD8" w:rsidRPr="00EB2BD8">
        <w:rPr>
          <w:i/>
          <w:spacing w:val="-1"/>
          <w:sz w:val="14"/>
        </w:rPr>
        <w:t xml:space="preserve"> </w:t>
      </w:r>
      <w:r w:rsidR="00EB2BD8" w:rsidRPr="00EB2BD8">
        <w:rPr>
          <w:i/>
          <w:spacing w:val="-2"/>
          <w:sz w:val="14"/>
        </w:rPr>
        <w:t>The figure represented</w:t>
      </w:r>
      <w:r w:rsidR="00EB2BD8" w:rsidRPr="00EB2BD8">
        <w:rPr>
          <w:i/>
          <w:spacing w:val="-1"/>
          <w:sz w:val="14"/>
        </w:rPr>
        <w:t xml:space="preserve"> </w:t>
      </w:r>
      <w:r w:rsidR="00EB2BD8" w:rsidRPr="00EB2BD8">
        <w:rPr>
          <w:i/>
          <w:spacing w:val="-2"/>
          <w:sz w:val="14"/>
        </w:rPr>
        <w:t>is based</w:t>
      </w:r>
      <w:r w:rsidR="00EB2BD8" w:rsidRPr="00EB2BD8">
        <w:rPr>
          <w:i/>
          <w:spacing w:val="-1"/>
          <w:sz w:val="14"/>
        </w:rPr>
        <w:t xml:space="preserve"> </w:t>
      </w:r>
      <w:r w:rsidR="00EB2BD8" w:rsidRPr="00EB2BD8">
        <w:rPr>
          <w:i/>
          <w:spacing w:val="-2"/>
          <w:sz w:val="14"/>
        </w:rPr>
        <w:t>on current</w:t>
      </w:r>
      <w:r w:rsidR="00EB2BD8" w:rsidRPr="00EB2BD8">
        <w:rPr>
          <w:i/>
          <w:spacing w:val="-1"/>
          <w:sz w:val="14"/>
        </w:rPr>
        <w:t xml:space="preserve"> </w:t>
      </w:r>
      <w:r w:rsidR="00EB2BD8" w:rsidRPr="00EB2BD8">
        <w:rPr>
          <w:i/>
          <w:spacing w:val="-2"/>
          <w:sz w:val="14"/>
        </w:rPr>
        <w:t>criteria and</w:t>
      </w:r>
      <w:r w:rsidR="00EB2BD8" w:rsidRPr="00EB2BD8">
        <w:rPr>
          <w:i/>
          <w:spacing w:val="-1"/>
          <w:sz w:val="14"/>
        </w:rPr>
        <w:t xml:space="preserve"> </w:t>
      </w:r>
      <w:r w:rsidR="00EB2BD8" w:rsidRPr="00EB2BD8">
        <w:rPr>
          <w:i/>
          <w:spacing w:val="-2"/>
          <w:sz w:val="14"/>
        </w:rPr>
        <w:t>practice.</w:t>
      </w:r>
    </w:p>
    <w:p w14:paraId="1C79ABD3" w14:textId="77777777" w:rsidR="00084F36" w:rsidRPr="00EB2BD8" w:rsidRDefault="00084F36">
      <w:pPr>
        <w:rPr>
          <w:sz w:val="14"/>
        </w:rPr>
        <w:sectPr w:rsidR="00084F36" w:rsidRPr="00EB2BD8" w:rsidSect="006D75B2">
          <w:footerReference w:type="default" r:id="rId73"/>
          <w:pgSz w:w="11910" w:h="16840"/>
          <w:pgMar w:top="1080" w:right="0" w:bottom="720" w:left="0" w:header="0" w:footer="528" w:gutter="0"/>
          <w:cols w:space="720"/>
        </w:sectPr>
      </w:pPr>
    </w:p>
    <w:p w14:paraId="02C17FD1" w14:textId="77777777" w:rsidR="00084F36" w:rsidRPr="00EB2BD8" w:rsidRDefault="00084F36">
      <w:pPr>
        <w:pStyle w:val="BodyText"/>
        <w:rPr>
          <w:i/>
          <w:sz w:val="20"/>
        </w:rPr>
      </w:pPr>
    </w:p>
    <w:p w14:paraId="54513750" w14:textId="77777777" w:rsidR="00084F36" w:rsidRPr="00EB2BD8" w:rsidRDefault="00084F36">
      <w:pPr>
        <w:pStyle w:val="BodyText"/>
        <w:rPr>
          <w:i/>
          <w:sz w:val="20"/>
        </w:rPr>
      </w:pPr>
    </w:p>
    <w:p w14:paraId="4AC3CF5B" w14:textId="77777777" w:rsidR="00084F36" w:rsidRPr="00EB2BD8" w:rsidRDefault="00084F36">
      <w:pPr>
        <w:pStyle w:val="BodyText"/>
        <w:rPr>
          <w:i/>
          <w:sz w:val="20"/>
        </w:rPr>
      </w:pPr>
    </w:p>
    <w:p w14:paraId="54F6B7FD" w14:textId="77777777" w:rsidR="00084F36" w:rsidRPr="00EB2BD8" w:rsidRDefault="00084F36">
      <w:pPr>
        <w:pStyle w:val="BodyText"/>
        <w:rPr>
          <w:i/>
          <w:sz w:val="20"/>
        </w:rPr>
      </w:pPr>
    </w:p>
    <w:p w14:paraId="17FD4E43" w14:textId="77777777" w:rsidR="00084F36" w:rsidRPr="00EB2BD8" w:rsidRDefault="00084F36">
      <w:pPr>
        <w:pStyle w:val="BodyText"/>
        <w:spacing w:before="1"/>
        <w:rPr>
          <w:i/>
          <w:sz w:val="16"/>
        </w:rPr>
      </w:pPr>
    </w:p>
    <w:p w14:paraId="6BB022A6" w14:textId="77777777" w:rsidR="00084F36" w:rsidRPr="00EB2BD8" w:rsidRDefault="00EB2BD8" w:rsidP="00EB2BD8">
      <w:pPr>
        <w:pStyle w:val="Heading3"/>
      </w:pPr>
      <w:bookmarkStart w:id="78" w:name="_Toc150762380"/>
      <w:r w:rsidRPr="00EB2BD8">
        <w:t>Table</w:t>
      </w:r>
      <w:r w:rsidRPr="00EB2BD8">
        <w:rPr>
          <w:spacing w:val="-5"/>
        </w:rPr>
        <w:t xml:space="preserve"> </w:t>
      </w:r>
      <w:r w:rsidRPr="00EB2BD8">
        <w:t>6:</w:t>
      </w:r>
      <w:r w:rsidRPr="00EB2BD8">
        <w:rPr>
          <w:spacing w:val="-5"/>
        </w:rPr>
        <w:t xml:space="preserve"> </w:t>
      </w:r>
      <w:r w:rsidRPr="00EB2BD8">
        <w:t>Building</w:t>
      </w:r>
      <w:r w:rsidRPr="00EB2BD8">
        <w:rPr>
          <w:spacing w:val="-5"/>
        </w:rPr>
        <w:t xml:space="preserve"> </w:t>
      </w:r>
      <w:r w:rsidRPr="00EB2BD8">
        <w:t>and</w:t>
      </w:r>
      <w:r w:rsidRPr="00EB2BD8">
        <w:rPr>
          <w:spacing w:val="-5"/>
        </w:rPr>
        <w:t xml:space="preserve"> </w:t>
      </w:r>
      <w:r w:rsidRPr="00EB2BD8">
        <w:t>Plumbing</w:t>
      </w:r>
      <w:r w:rsidRPr="00EB2BD8">
        <w:rPr>
          <w:spacing w:val="-5"/>
        </w:rPr>
        <w:t xml:space="preserve"> </w:t>
      </w:r>
      <w:r w:rsidRPr="00EB2BD8">
        <w:t>Enforcement</w:t>
      </w:r>
      <w:r w:rsidRPr="00EB2BD8">
        <w:rPr>
          <w:spacing w:val="-5"/>
        </w:rPr>
        <w:t xml:space="preserve"> </w:t>
      </w:r>
      <w:r w:rsidRPr="00EB2BD8">
        <w:rPr>
          <w:spacing w:val="-2"/>
        </w:rPr>
        <w:t>Activity</w:t>
      </w:r>
      <w:bookmarkEnd w:id="78"/>
    </w:p>
    <w:p w14:paraId="5F2E30FD" w14:textId="77777777" w:rsidR="00084F36" w:rsidRPr="00EB2BD8" w:rsidRDefault="00084F36">
      <w:pPr>
        <w:pStyle w:val="BodyText"/>
        <w:spacing w:before="3" w:after="1"/>
        <w:rPr>
          <w:sz w:val="20"/>
        </w:rPr>
      </w:pPr>
    </w:p>
    <w:tbl>
      <w:tblPr>
        <w:tblW w:w="0" w:type="auto"/>
        <w:tblInd w:w="857" w:type="dxa"/>
        <w:tblLayout w:type="fixed"/>
        <w:tblCellMar>
          <w:left w:w="0" w:type="dxa"/>
          <w:right w:w="0" w:type="dxa"/>
        </w:tblCellMar>
        <w:tblLook w:val="01E0" w:firstRow="1" w:lastRow="1" w:firstColumn="1" w:lastColumn="1" w:noHBand="0" w:noVBand="0"/>
      </w:tblPr>
      <w:tblGrid>
        <w:gridCol w:w="2925"/>
        <w:gridCol w:w="1222"/>
        <w:gridCol w:w="955"/>
        <w:gridCol w:w="2906"/>
        <w:gridCol w:w="1242"/>
        <w:gridCol w:w="955"/>
      </w:tblGrid>
      <w:tr w:rsidR="00EB2BD8" w:rsidRPr="00EB2BD8" w14:paraId="49C0663D" w14:textId="77777777">
        <w:trPr>
          <w:trHeight w:val="386"/>
        </w:trPr>
        <w:tc>
          <w:tcPr>
            <w:tcW w:w="2925" w:type="dxa"/>
            <w:shd w:val="clear" w:color="auto" w:fill="005F83"/>
          </w:tcPr>
          <w:p w14:paraId="0A1A4F54" w14:textId="77777777" w:rsidR="00084F36" w:rsidRPr="00DF2803" w:rsidRDefault="00EB2BD8">
            <w:pPr>
              <w:pStyle w:val="TableParagraph"/>
              <w:spacing w:before="118"/>
              <w:ind w:left="113"/>
              <w:rPr>
                <w:color w:val="FFFFFF" w:themeColor="background1"/>
                <w:sz w:val="16"/>
              </w:rPr>
            </w:pPr>
            <w:r w:rsidRPr="00DF2803">
              <w:rPr>
                <w:color w:val="FFFFFF" w:themeColor="background1"/>
                <w:spacing w:val="-2"/>
                <w:sz w:val="16"/>
              </w:rPr>
              <w:t>Building</w:t>
            </w:r>
          </w:p>
        </w:tc>
        <w:tc>
          <w:tcPr>
            <w:tcW w:w="1222" w:type="dxa"/>
            <w:shd w:val="clear" w:color="auto" w:fill="005F83"/>
          </w:tcPr>
          <w:p w14:paraId="2E61EED5" w14:textId="77777777" w:rsidR="00084F36" w:rsidRPr="00DF2803" w:rsidRDefault="00084F36">
            <w:pPr>
              <w:pStyle w:val="TableParagraph"/>
              <w:rPr>
                <w:rFonts w:ascii="Times New Roman"/>
                <w:color w:val="FFFFFF" w:themeColor="background1"/>
                <w:sz w:val="14"/>
              </w:rPr>
            </w:pPr>
          </w:p>
        </w:tc>
        <w:tc>
          <w:tcPr>
            <w:tcW w:w="955" w:type="dxa"/>
            <w:shd w:val="clear" w:color="auto" w:fill="005F83"/>
          </w:tcPr>
          <w:p w14:paraId="7E142662" w14:textId="77777777" w:rsidR="00084F36" w:rsidRPr="00DF2803" w:rsidRDefault="00084F36">
            <w:pPr>
              <w:pStyle w:val="TableParagraph"/>
              <w:rPr>
                <w:rFonts w:ascii="Times New Roman"/>
                <w:color w:val="FFFFFF" w:themeColor="background1"/>
                <w:sz w:val="14"/>
              </w:rPr>
            </w:pPr>
          </w:p>
        </w:tc>
        <w:tc>
          <w:tcPr>
            <w:tcW w:w="5103" w:type="dxa"/>
            <w:gridSpan w:val="3"/>
            <w:shd w:val="clear" w:color="auto" w:fill="005F83"/>
          </w:tcPr>
          <w:p w14:paraId="661188F7" w14:textId="77777777" w:rsidR="00084F36" w:rsidRPr="00DF2803" w:rsidRDefault="00EB2BD8">
            <w:pPr>
              <w:pStyle w:val="TableParagraph"/>
              <w:spacing w:before="118"/>
              <w:ind w:left="113"/>
              <w:rPr>
                <w:color w:val="FFFFFF" w:themeColor="background1"/>
                <w:sz w:val="16"/>
              </w:rPr>
            </w:pPr>
            <w:r w:rsidRPr="00DF2803">
              <w:rPr>
                <w:color w:val="FFFFFF" w:themeColor="background1"/>
                <w:spacing w:val="-2"/>
                <w:sz w:val="16"/>
              </w:rPr>
              <w:t>Plumbing</w:t>
            </w:r>
          </w:p>
        </w:tc>
      </w:tr>
      <w:tr w:rsidR="00EB2BD8" w:rsidRPr="00EB2BD8" w14:paraId="44814A60" w14:textId="77777777">
        <w:trPr>
          <w:trHeight w:val="370"/>
        </w:trPr>
        <w:tc>
          <w:tcPr>
            <w:tcW w:w="2925" w:type="dxa"/>
            <w:shd w:val="clear" w:color="auto" w:fill="E5F5FF"/>
          </w:tcPr>
          <w:p w14:paraId="751F0B52" w14:textId="77777777" w:rsidR="00084F36" w:rsidRPr="00EB2BD8" w:rsidRDefault="00084F36">
            <w:pPr>
              <w:pStyle w:val="TableParagraph"/>
              <w:rPr>
                <w:rFonts w:ascii="Times New Roman"/>
                <w:sz w:val="14"/>
              </w:rPr>
            </w:pPr>
          </w:p>
        </w:tc>
        <w:tc>
          <w:tcPr>
            <w:tcW w:w="1222" w:type="dxa"/>
            <w:shd w:val="clear" w:color="auto" w:fill="E5F5FF"/>
          </w:tcPr>
          <w:p w14:paraId="43024ED6" w14:textId="77777777" w:rsidR="00084F36" w:rsidRPr="00EB2BD8" w:rsidRDefault="00EB2BD8">
            <w:pPr>
              <w:pStyle w:val="TableParagraph"/>
              <w:spacing w:before="85"/>
              <w:ind w:right="314"/>
              <w:jc w:val="right"/>
              <w:rPr>
                <w:sz w:val="16"/>
              </w:rPr>
            </w:pPr>
            <w:r w:rsidRPr="00EB2BD8">
              <w:rPr>
                <w:spacing w:val="-2"/>
                <w:w w:val="90"/>
                <w:sz w:val="16"/>
              </w:rPr>
              <w:t>2022-</w:t>
            </w:r>
            <w:r w:rsidRPr="00EB2BD8">
              <w:rPr>
                <w:spacing w:val="-5"/>
                <w:sz w:val="16"/>
              </w:rPr>
              <w:t>23</w:t>
            </w:r>
          </w:p>
        </w:tc>
        <w:tc>
          <w:tcPr>
            <w:tcW w:w="955" w:type="dxa"/>
            <w:shd w:val="clear" w:color="auto" w:fill="E5F5FF"/>
          </w:tcPr>
          <w:p w14:paraId="4A973FEF" w14:textId="77777777" w:rsidR="00084F36" w:rsidRPr="00EB2BD8" w:rsidRDefault="00EB2BD8">
            <w:pPr>
              <w:pStyle w:val="TableParagraph"/>
              <w:spacing w:before="85"/>
              <w:ind w:right="78"/>
              <w:jc w:val="right"/>
              <w:rPr>
                <w:sz w:val="16"/>
              </w:rPr>
            </w:pPr>
            <w:r w:rsidRPr="00EB2BD8">
              <w:rPr>
                <w:w w:val="85"/>
                <w:sz w:val="16"/>
              </w:rPr>
              <w:t>2021-</w:t>
            </w:r>
            <w:r w:rsidRPr="00EB2BD8">
              <w:rPr>
                <w:spacing w:val="-5"/>
                <w:w w:val="95"/>
                <w:sz w:val="16"/>
              </w:rPr>
              <w:t>22</w:t>
            </w:r>
          </w:p>
        </w:tc>
        <w:tc>
          <w:tcPr>
            <w:tcW w:w="2906" w:type="dxa"/>
            <w:shd w:val="clear" w:color="auto" w:fill="E5F5FF"/>
          </w:tcPr>
          <w:p w14:paraId="277C85A6" w14:textId="77777777" w:rsidR="00084F36" w:rsidRPr="00EB2BD8" w:rsidRDefault="00084F36">
            <w:pPr>
              <w:pStyle w:val="TableParagraph"/>
              <w:rPr>
                <w:rFonts w:ascii="Times New Roman"/>
                <w:sz w:val="14"/>
              </w:rPr>
            </w:pPr>
          </w:p>
        </w:tc>
        <w:tc>
          <w:tcPr>
            <w:tcW w:w="1242" w:type="dxa"/>
            <w:shd w:val="clear" w:color="auto" w:fill="E5F5FF"/>
          </w:tcPr>
          <w:p w14:paraId="6F1FF244" w14:textId="77777777" w:rsidR="00084F36" w:rsidRPr="00EB2BD8" w:rsidRDefault="00EB2BD8">
            <w:pPr>
              <w:pStyle w:val="TableParagraph"/>
              <w:spacing w:before="85"/>
              <w:ind w:right="314"/>
              <w:jc w:val="right"/>
              <w:rPr>
                <w:sz w:val="16"/>
              </w:rPr>
            </w:pPr>
            <w:r w:rsidRPr="00EB2BD8">
              <w:rPr>
                <w:spacing w:val="-2"/>
                <w:w w:val="90"/>
                <w:sz w:val="16"/>
              </w:rPr>
              <w:t>2022-</w:t>
            </w:r>
            <w:r w:rsidRPr="00EB2BD8">
              <w:rPr>
                <w:spacing w:val="-5"/>
                <w:sz w:val="16"/>
              </w:rPr>
              <w:t>23</w:t>
            </w:r>
          </w:p>
        </w:tc>
        <w:tc>
          <w:tcPr>
            <w:tcW w:w="955" w:type="dxa"/>
            <w:shd w:val="clear" w:color="auto" w:fill="E5F5FF"/>
          </w:tcPr>
          <w:p w14:paraId="379E070D" w14:textId="77777777" w:rsidR="00084F36" w:rsidRPr="00EB2BD8" w:rsidRDefault="00EB2BD8">
            <w:pPr>
              <w:pStyle w:val="TableParagraph"/>
              <w:spacing w:before="85"/>
              <w:ind w:right="79"/>
              <w:jc w:val="right"/>
              <w:rPr>
                <w:sz w:val="16"/>
              </w:rPr>
            </w:pPr>
            <w:r w:rsidRPr="00EB2BD8">
              <w:rPr>
                <w:w w:val="85"/>
                <w:sz w:val="16"/>
              </w:rPr>
              <w:t>2021-</w:t>
            </w:r>
            <w:r w:rsidRPr="00EB2BD8">
              <w:rPr>
                <w:spacing w:val="-5"/>
                <w:w w:val="95"/>
                <w:sz w:val="16"/>
              </w:rPr>
              <w:t>22</w:t>
            </w:r>
          </w:p>
        </w:tc>
      </w:tr>
      <w:tr w:rsidR="00EB2BD8" w:rsidRPr="00EB2BD8" w14:paraId="1FCAE9C1" w14:textId="77777777">
        <w:trPr>
          <w:trHeight w:val="386"/>
        </w:trPr>
        <w:tc>
          <w:tcPr>
            <w:tcW w:w="2925" w:type="dxa"/>
            <w:shd w:val="clear" w:color="auto" w:fill="005F83"/>
          </w:tcPr>
          <w:p w14:paraId="2F0F17BF" w14:textId="77777777" w:rsidR="00084F36" w:rsidRPr="00DF2803" w:rsidRDefault="00EB2BD8">
            <w:pPr>
              <w:pStyle w:val="TableParagraph"/>
              <w:spacing w:before="118"/>
              <w:ind w:left="113"/>
              <w:rPr>
                <w:color w:val="FFFFFF" w:themeColor="background1"/>
                <w:sz w:val="16"/>
              </w:rPr>
            </w:pPr>
            <w:r w:rsidRPr="00DF2803">
              <w:rPr>
                <w:color w:val="FFFFFF" w:themeColor="background1"/>
                <w:sz w:val="16"/>
              </w:rPr>
              <w:t>Building</w:t>
            </w:r>
            <w:r w:rsidRPr="00DF2803">
              <w:rPr>
                <w:color w:val="FFFFFF" w:themeColor="background1"/>
                <w:spacing w:val="-6"/>
                <w:sz w:val="16"/>
              </w:rPr>
              <w:t xml:space="preserve"> </w:t>
            </w:r>
            <w:r w:rsidRPr="00DF2803">
              <w:rPr>
                <w:color w:val="FFFFFF" w:themeColor="background1"/>
                <w:spacing w:val="-2"/>
                <w:sz w:val="16"/>
              </w:rPr>
              <w:t>enforcement</w:t>
            </w:r>
          </w:p>
        </w:tc>
        <w:tc>
          <w:tcPr>
            <w:tcW w:w="1222" w:type="dxa"/>
            <w:shd w:val="clear" w:color="auto" w:fill="005F83"/>
          </w:tcPr>
          <w:p w14:paraId="710ED02D" w14:textId="77777777" w:rsidR="00084F36" w:rsidRPr="00DF2803" w:rsidRDefault="00084F36">
            <w:pPr>
              <w:pStyle w:val="TableParagraph"/>
              <w:rPr>
                <w:rFonts w:ascii="Times New Roman"/>
                <w:color w:val="FFFFFF" w:themeColor="background1"/>
                <w:sz w:val="14"/>
              </w:rPr>
            </w:pPr>
          </w:p>
        </w:tc>
        <w:tc>
          <w:tcPr>
            <w:tcW w:w="955" w:type="dxa"/>
            <w:shd w:val="clear" w:color="auto" w:fill="005F83"/>
          </w:tcPr>
          <w:p w14:paraId="60554DB9" w14:textId="77777777" w:rsidR="00084F36" w:rsidRPr="00DF2803" w:rsidRDefault="00084F36">
            <w:pPr>
              <w:pStyle w:val="TableParagraph"/>
              <w:rPr>
                <w:rFonts w:ascii="Times New Roman"/>
                <w:color w:val="FFFFFF" w:themeColor="background1"/>
                <w:sz w:val="14"/>
              </w:rPr>
            </w:pPr>
          </w:p>
        </w:tc>
        <w:tc>
          <w:tcPr>
            <w:tcW w:w="2906" w:type="dxa"/>
            <w:shd w:val="clear" w:color="auto" w:fill="005F83"/>
          </w:tcPr>
          <w:p w14:paraId="4393AA51" w14:textId="77777777" w:rsidR="00084F36" w:rsidRPr="00DF2803" w:rsidRDefault="00EB2BD8">
            <w:pPr>
              <w:pStyle w:val="TableParagraph"/>
              <w:spacing w:before="118"/>
              <w:ind w:left="113"/>
              <w:rPr>
                <w:color w:val="FFFFFF" w:themeColor="background1"/>
                <w:sz w:val="16"/>
              </w:rPr>
            </w:pPr>
            <w:r w:rsidRPr="00DF2803">
              <w:rPr>
                <w:color w:val="FFFFFF" w:themeColor="background1"/>
                <w:sz w:val="16"/>
              </w:rPr>
              <w:t>Plumbing</w:t>
            </w:r>
            <w:r w:rsidRPr="00DF2803">
              <w:rPr>
                <w:color w:val="FFFFFF" w:themeColor="background1"/>
                <w:spacing w:val="2"/>
                <w:sz w:val="16"/>
              </w:rPr>
              <w:t xml:space="preserve"> </w:t>
            </w:r>
            <w:r w:rsidRPr="00DF2803">
              <w:rPr>
                <w:color w:val="FFFFFF" w:themeColor="background1"/>
                <w:spacing w:val="-2"/>
                <w:sz w:val="16"/>
              </w:rPr>
              <w:t>enforcement</w:t>
            </w:r>
          </w:p>
        </w:tc>
        <w:tc>
          <w:tcPr>
            <w:tcW w:w="1242" w:type="dxa"/>
            <w:shd w:val="clear" w:color="auto" w:fill="005F83"/>
          </w:tcPr>
          <w:p w14:paraId="12F9C5C9" w14:textId="77777777" w:rsidR="00084F36" w:rsidRPr="00DF2803" w:rsidRDefault="00084F36">
            <w:pPr>
              <w:pStyle w:val="TableParagraph"/>
              <w:rPr>
                <w:rFonts w:ascii="Times New Roman"/>
                <w:color w:val="FFFFFF" w:themeColor="background1"/>
                <w:sz w:val="14"/>
              </w:rPr>
            </w:pPr>
          </w:p>
        </w:tc>
        <w:tc>
          <w:tcPr>
            <w:tcW w:w="955" w:type="dxa"/>
            <w:shd w:val="clear" w:color="auto" w:fill="005F83"/>
          </w:tcPr>
          <w:p w14:paraId="13257A20" w14:textId="77777777" w:rsidR="00084F36" w:rsidRPr="00DF2803" w:rsidRDefault="00084F36">
            <w:pPr>
              <w:pStyle w:val="TableParagraph"/>
              <w:rPr>
                <w:rFonts w:ascii="Times New Roman"/>
                <w:color w:val="FFFFFF" w:themeColor="background1"/>
                <w:sz w:val="14"/>
              </w:rPr>
            </w:pPr>
          </w:p>
        </w:tc>
      </w:tr>
      <w:tr w:rsidR="00EB2BD8" w:rsidRPr="00EB2BD8" w14:paraId="3A3F963E" w14:textId="77777777">
        <w:trPr>
          <w:trHeight w:val="614"/>
        </w:trPr>
        <w:tc>
          <w:tcPr>
            <w:tcW w:w="2925" w:type="dxa"/>
            <w:tcBorders>
              <w:bottom w:val="single" w:sz="2" w:space="0" w:color="000000"/>
            </w:tcBorders>
          </w:tcPr>
          <w:p w14:paraId="46765992" w14:textId="77777777" w:rsidR="00084F36" w:rsidRPr="00EB2BD8" w:rsidRDefault="00EB2BD8">
            <w:pPr>
              <w:pStyle w:val="TableParagraph"/>
              <w:spacing w:before="118" w:line="292" w:lineRule="auto"/>
              <w:ind w:left="113" w:right="307"/>
              <w:rPr>
                <w:sz w:val="16"/>
              </w:rPr>
            </w:pPr>
            <w:r w:rsidRPr="00EB2BD8">
              <w:rPr>
                <w:sz w:val="16"/>
              </w:rPr>
              <w:t>Building</w:t>
            </w:r>
            <w:r w:rsidRPr="00EB2BD8">
              <w:rPr>
                <w:spacing w:val="-17"/>
                <w:sz w:val="16"/>
              </w:rPr>
              <w:t xml:space="preserve"> </w:t>
            </w:r>
            <w:r w:rsidRPr="00EB2BD8">
              <w:rPr>
                <w:sz w:val="16"/>
              </w:rPr>
              <w:t>practitioner</w:t>
            </w:r>
            <w:r w:rsidRPr="00EB2BD8">
              <w:rPr>
                <w:spacing w:val="-17"/>
                <w:sz w:val="16"/>
              </w:rPr>
              <w:t xml:space="preserve"> </w:t>
            </w:r>
            <w:r w:rsidRPr="00EB2BD8">
              <w:rPr>
                <w:sz w:val="16"/>
              </w:rPr>
              <w:t>disciplinary hearings held by the BPB</w:t>
            </w:r>
          </w:p>
        </w:tc>
        <w:tc>
          <w:tcPr>
            <w:tcW w:w="1222" w:type="dxa"/>
            <w:tcBorders>
              <w:bottom w:val="single" w:sz="2" w:space="0" w:color="000000"/>
            </w:tcBorders>
          </w:tcPr>
          <w:p w14:paraId="45570251" w14:textId="77777777" w:rsidR="00084F36" w:rsidRPr="00EB2BD8" w:rsidRDefault="00EB2BD8">
            <w:pPr>
              <w:pStyle w:val="TableParagraph"/>
              <w:spacing w:before="118"/>
              <w:ind w:right="347"/>
              <w:jc w:val="right"/>
              <w:rPr>
                <w:sz w:val="9"/>
              </w:rPr>
            </w:pPr>
            <w:r w:rsidRPr="00EB2BD8">
              <w:rPr>
                <w:spacing w:val="-2"/>
                <w:w w:val="95"/>
                <w:sz w:val="16"/>
              </w:rPr>
              <w:t>N/A</w:t>
            </w:r>
            <w:r w:rsidRPr="00EB2BD8">
              <w:rPr>
                <w:spacing w:val="-2"/>
                <w:w w:val="95"/>
                <w:position w:val="5"/>
                <w:sz w:val="9"/>
              </w:rPr>
              <w:t>16</w:t>
            </w:r>
          </w:p>
        </w:tc>
        <w:tc>
          <w:tcPr>
            <w:tcW w:w="955" w:type="dxa"/>
            <w:tcBorders>
              <w:bottom w:val="single" w:sz="2" w:space="0" w:color="000000"/>
            </w:tcBorders>
          </w:tcPr>
          <w:p w14:paraId="3600B3D2" w14:textId="77777777" w:rsidR="00084F36" w:rsidRPr="00EB2BD8" w:rsidRDefault="00EB2BD8">
            <w:pPr>
              <w:pStyle w:val="TableParagraph"/>
              <w:spacing w:before="118"/>
              <w:ind w:right="111"/>
              <w:jc w:val="right"/>
              <w:rPr>
                <w:sz w:val="16"/>
              </w:rPr>
            </w:pPr>
            <w:r w:rsidRPr="00EB2BD8">
              <w:rPr>
                <w:w w:val="55"/>
                <w:sz w:val="16"/>
              </w:rPr>
              <w:t>1</w:t>
            </w:r>
          </w:p>
        </w:tc>
        <w:tc>
          <w:tcPr>
            <w:tcW w:w="2906" w:type="dxa"/>
            <w:tcBorders>
              <w:bottom w:val="single" w:sz="2" w:space="0" w:color="000000"/>
            </w:tcBorders>
            <w:shd w:val="clear" w:color="auto" w:fill="D1E9F1"/>
          </w:tcPr>
          <w:p w14:paraId="53FF4353" w14:textId="77777777" w:rsidR="00084F36" w:rsidRPr="00EB2BD8" w:rsidRDefault="00EB2BD8">
            <w:pPr>
              <w:pStyle w:val="TableParagraph"/>
              <w:spacing w:before="118"/>
              <w:ind w:left="113"/>
              <w:rPr>
                <w:sz w:val="16"/>
              </w:rPr>
            </w:pPr>
            <w:r w:rsidRPr="00EB2BD8">
              <w:rPr>
                <w:sz w:val="16"/>
              </w:rPr>
              <w:t>Plumbing</w:t>
            </w:r>
            <w:r w:rsidRPr="00EB2BD8">
              <w:rPr>
                <w:spacing w:val="-12"/>
                <w:sz w:val="16"/>
              </w:rPr>
              <w:t xml:space="preserve"> </w:t>
            </w:r>
            <w:r w:rsidRPr="00EB2BD8">
              <w:rPr>
                <w:spacing w:val="-2"/>
                <w:sz w:val="16"/>
              </w:rPr>
              <w:t>inquiries</w:t>
            </w:r>
          </w:p>
        </w:tc>
        <w:tc>
          <w:tcPr>
            <w:tcW w:w="1242" w:type="dxa"/>
            <w:tcBorders>
              <w:bottom w:val="single" w:sz="2" w:space="0" w:color="000000"/>
            </w:tcBorders>
            <w:shd w:val="clear" w:color="auto" w:fill="D1E9F1"/>
          </w:tcPr>
          <w:p w14:paraId="02C69E4C" w14:textId="77777777" w:rsidR="00084F36" w:rsidRPr="00EB2BD8" w:rsidRDefault="00EB2BD8">
            <w:pPr>
              <w:pStyle w:val="TableParagraph"/>
              <w:spacing w:before="118"/>
              <w:ind w:right="348"/>
              <w:jc w:val="right"/>
              <w:rPr>
                <w:sz w:val="16"/>
              </w:rPr>
            </w:pPr>
            <w:r w:rsidRPr="00EB2BD8">
              <w:rPr>
                <w:spacing w:val="-5"/>
                <w:sz w:val="16"/>
              </w:rPr>
              <w:t>30</w:t>
            </w:r>
          </w:p>
        </w:tc>
        <w:tc>
          <w:tcPr>
            <w:tcW w:w="955" w:type="dxa"/>
            <w:tcBorders>
              <w:bottom w:val="single" w:sz="2" w:space="0" w:color="000000"/>
            </w:tcBorders>
            <w:shd w:val="clear" w:color="auto" w:fill="D1E9F1"/>
          </w:tcPr>
          <w:p w14:paraId="18B3869B" w14:textId="77777777" w:rsidR="00084F36" w:rsidRPr="00EB2BD8" w:rsidRDefault="00EB2BD8">
            <w:pPr>
              <w:pStyle w:val="TableParagraph"/>
              <w:spacing w:before="118"/>
              <w:ind w:right="112"/>
              <w:jc w:val="right"/>
              <w:rPr>
                <w:sz w:val="16"/>
              </w:rPr>
            </w:pPr>
            <w:r w:rsidRPr="00EB2BD8">
              <w:rPr>
                <w:spacing w:val="-5"/>
                <w:sz w:val="16"/>
              </w:rPr>
              <w:t>20</w:t>
            </w:r>
          </w:p>
        </w:tc>
      </w:tr>
      <w:tr w:rsidR="00EB2BD8" w:rsidRPr="00EB2BD8" w14:paraId="7197B94A" w14:textId="77777777">
        <w:trPr>
          <w:trHeight w:val="381"/>
        </w:trPr>
        <w:tc>
          <w:tcPr>
            <w:tcW w:w="2925" w:type="dxa"/>
            <w:tcBorders>
              <w:top w:val="single" w:sz="2" w:space="0" w:color="000000"/>
              <w:bottom w:val="single" w:sz="2" w:space="0" w:color="000000"/>
            </w:tcBorders>
          </w:tcPr>
          <w:p w14:paraId="3473A044" w14:textId="77777777" w:rsidR="00084F36" w:rsidRPr="00EB2BD8" w:rsidRDefault="00EB2BD8">
            <w:pPr>
              <w:pStyle w:val="TableParagraph"/>
              <w:spacing w:before="116"/>
              <w:ind w:left="113"/>
              <w:rPr>
                <w:sz w:val="9"/>
              </w:rPr>
            </w:pPr>
            <w:r w:rsidRPr="00EB2BD8">
              <w:rPr>
                <w:sz w:val="16"/>
              </w:rPr>
              <w:t>Show</w:t>
            </w:r>
            <w:r w:rsidRPr="00EB2BD8">
              <w:rPr>
                <w:spacing w:val="-4"/>
                <w:sz w:val="16"/>
              </w:rPr>
              <w:t xml:space="preserve"> </w:t>
            </w:r>
            <w:r w:rsidRPr="00EB2BD8">
              <w:rPr>
                <w:sz w:val="16"/>
              </w:rPr>
              <w:t>cause</w:t>
            </w:r>
            <w:r w:rsidRPr="00EB2BD8">
              <w:rPr>
                <w:spacing w:val="-3"/>
                <w:sz w:val="16"/>
              </w:rPr>
              <w:t xml:space="preserve"> </w:t>
            </w:r>
            <w:r w:rsidRPr="00EB2BD8">
              <w:rPr>
                <w:sz w:val="16"/>
              </w:rPr>
              <w:t>notices</w:t>
            </w:r>
            <w:r w:rsidRPr="00EB2BD8">
              <w:rPr>
                <w:spacing w:val="-3"/>
                <w:sz w:val="16"/>
              </w:rPr>
              <w:t xml:space="preserve"> </w:t>
            </w:r>
            <w:r w:rsidRPr="00EB2BD8">
              <w:rPr>
                <w:spacing w:val="-2"/>
                <w:sz w:val="16"/>
              </w:rPr>
              <w:t>issued</w:t>
            </w:r>
            <w:r w:rsidRPr="00EB2BD8">
              <w:rPr>
                <w:spacing w:val="-2"/>
                <w:position w:val="5"/>
                <w:sz w:val="9"/>
              </w:rPr>
              <w:t>17</w:t>
            </w:r>
          </w:p>
        </w:tc>
        <w:tc>
          <w:tcPr>
            <w:tcW w:w="1222" w:type="dxa"/>
            <w:tcBorders>
              <w:top w:val="single" w:sz="2" w:space="0" w:color="000000"/>
              <w:bottom w:val="single" w:sz="2" w:space="0" w:color="000000"/>
            </w:tcBorders>
          </w:tcPr>
          <w:p w14:paraId="52D81F14" w14:textId="77777777" w:rsidR="00084F36" w:rsidRPr="00EB2BD8" w:rsidRDefault="00EB2BD8">
            <w:pPr>
              <w:pStyle w:val="TableParagraph"/>
              <w:spacing w:before="116"/>
              <w:ind w:right="347"/>
              <w:jc w:val="right"/>
              <w:rPr>
                <w:sz w:val="16"/>
              </w:rPr>
            </w:pPr>
            <w:r w:rsidRPr="00EB2BD8">
              <w:rPr>
                <w:spacing w:val="-5"/>
                <w:w w:val="95"/>
                <w:sz w:val="16"/>
              </w:rPr>
              <w:t>130</w:t>
            </w:r>
          </w:p>
        </w:tc>
        <w:tc>
          <w:tcPr>
            <w:tcW w:w="955" w:type="dxa"/>
            <w:tcBorders>
              <w:top w:val="single" w:sz="2" w:space="0" w:color="000000"/>
              <w:bottom w:val="single" w:sz="2" w:space="0" w:color="000000"/>
            </w:tcBorders>
          </w:tcPr>
          <w:p w14:paraId="482D1BF4" w14:textId="77777777" w:rsidR="00084F36" w:rsidRPr="00EB2BD8" w:rsidRDefault="00EB2BD8">
            <w:pPr>
              <w:pStyle w:val="TableParagraph"/>
              <w:spacing w:before="116"/>
              <w:ind w:right="111"/>
              <w:jc w:val="right"/>
              <w:rPr>
                <w:sz w:val="16"/>
              </w:rPr>
            </w:pPr>
            <w:r w:rsidRPr="00EB2BD8">
              <w:rPr>
                <w:spacing w:val="-5"/>
                <w:w w:val="90"/>
                <w:sz w:val="16"/>
              </w:rPr>
              <w:t>156</w:t>
            </w:r>
          </w:p>
        </w:tc>
        <w:tc>
          <w:tcPr>
            <w:tcW w:w="5103" w:type="dxa"/>
            <w:gridSpan w:val="3"/>
            <w:tcBorders>
              <w:top w:val="single" w:sz="2" w:space="0" w:color="000000"/>
              <w:bottom w:val="single" w:sz="2" w:space="0" w:color="000000"/>
            </w:tcBorders>
            <w:shd w:val="clear" w:color="auto" w:fill="D1E9F1"/>
          </w:tcPr>
          <w:p w14:paraId="059649BE" w14:textId="77777777" w:rsidR="00084F36" w:rsidRPr="00EB2BD8" w:rsidRDefault="00084F36">
            <w:pPr>
              <w:pStyle w:val="TableParagraph"/>
              <w:rPr>
                <w:rFonts w:ascii="Times New Roman"/>
                <w:sz w:val="14"/>
              </w:rPr>
            </w:pPr>
          </w:p>
        </w:tc>
      </w:tr>
      <w:tr w:rsidR="00EB2BD8" w:rsidRPr="00EB2BD8" w14:paraId="4A5302B9" w14:textId="77777777">
        <w:trPr>
          <w:trHeight w:val="381"/>
        </w:trPr>
        <w:tc>
          <w:tcPr>
            <w:tcW w:w="2925" w:type="dxa"/>
            <w:tcBorders>
              <w:top w:val="single" w:sz="2" w:space="0" w:color="000000"/>
              <w:bottom w:val="single" w:sz="2" w:space="0" w:color="000000"/>
            </w:tcBorders>
          </w:tcPr>
          <w:p w14:paraId="64AC3FB8" w14:textId="77777777" w:rsidR="00084F36" w:rsidRPr="00EB2BD8" w:rsidRDefault="00EB2BD8">
            <w:pPr>
              <w:pStyle w:val="TableParagraph"/>
              <w:spacing w:before="116"/>
              <w:ind w:left="113"/>
              <w:rPr>
                <w:sz w:val="16"/>
              </w:rPr>
            </w:pPr>
            <w:r w:rsidRPr="00EB2BD8">
              <w:rPr>
                <w:sz w:val="16"/>
              </w:rPr>
              <w:t>Prosecutions</w:t>
            </w:r>
            <w:r w:rsidRPr="00EB2BD8">
              <w:rPr>
                <w:spacing w:val="-6"/>
                <w:sz w:val="16"/>
              </w:rPr>
              <w:t xml:space="preserve"> </w:t>
            </w:r>
            <w:r w:rsidRPr="00EB2BD8">
              <w:rPr>
                <w:spacing w:val="-2"/>
                <w:sz w:val="16"/>
              </w:rPr>
              <w:t>completed</w:t>
            </w:r>
          </w:p>
        </w:tc>
        <w:tc>
          <w:tcPr>
            <w:tcW w:w="1222" w:type="dxa"/>
            <w:tcBorders>
              <w:top w:val="single" w:sz="2" w:space="0" w:color="000000"/>
              <w:bottom w:val="single" w:sz="2" w:space="0" w:color="000000"/>
            </w:tcBorders>
          </w:tcPr>
          <w:p w14:paraId="3F156F27" w14:textId="77777777" w:rsidR="00084F36" w:rsidRPr="00EB2BD8" w:rsidRDefault="00EB2BD8">
            <w:pPr>
              <w:pStyle w:val="TableParagraph"/>
              <w:spacing w:before="113"/>
              <w:ind w:right="347"/>
              <w:jc w:val="right"/>
              <w:rPr>
                <w:sz w:val="9"/>
              </w:rPr>
            </w:pPr>
            <w:r w:rsidRPr="00EB2BD8">
              <w:rPr>
                <w:spacing w:val="-5"/>
                <w:w w:val="95"/>
                <w:position w:val="-4"/>
                <w:sz w:val="16"/>
              </w:rPr>
              <w:t>9</w:t>
            </w:r>
            <w:r w:rsidRPr="00EB2BD8">
              <w:rPr>
                <w:spacing w:val="-5"/>
                <w:w w:val="95"/>
                <w:sz w:val="9"/>
              </w:rPr>
              <w:t>18</w:t>
            </w:r>
          </w:p>
        </w:tc>
        <w:tc>
          <w:tcPr>
            <w:tcW w:w="955" w:type="dxa"/>
            <w:tcBorders>
              <w:top w:val="single" w:sz="2" w:space="0" w:color="000000"/>
              <w:bottom w:val="single" w:sz="2" w:space="0" w:color="000000"/>
            </w:tcBorders>
          </w:tcPr>
          <w:p w14:paraId="345607EE" w14:textId="77777777" w:rsidR="00084F36" w:rsidRPr="00EB2BD8" w:rsidRDefault="00EB2BD8">
            <w:pPr>
              <w:pStyle w:val="TableParagraph"/>
              <w:spacing w:before="116"/>
              <w:ind w:right="111"/>
              <w:jc w:val="right"/>
              <w:rPr>
                <w:sz w:val="16"/>
              </w:rPr>
            </w:pPr>
            <w:r w:rsidRPr="00EB2BD8">
              <w:rPr>
                <w:spacing w:val="-5"/>
                <w:w w:val="65"/>
                <w:sz w:val="16"/>
              </w:rPr>
              <w:t>11</w:t>
            </w:r>
          </w:p>
        </w:tc>
        <w:tc>
          <w:tcPr>
            <w:tcW w:w="2906" w:type="dxa"/>
            <w:tcBorders>
              <w:top w:val="single" w:sz="2" w:space="0" w:color="000000"/>
              <w:bottom w:val="single" w:sz="2" w:space="0" w:color="000000"/>
            </w:tcBorders>
            <w:shd w:val="clear" w:color="auto" w:fill="D1E9F1"/>
          </w:tcPr>
          <w:p w14:paraId="637B0A5A" w14:textId="77777777" w:rsidR="00084F36" w:rsidRPr="00EB2BD8" w:rsidRDefault="00EB2BD8">
            <w:pPr>
              <w:pStyle w:val="TableParagraph"/>
              <w:spacing w:before="116"/>
              <w:ind w:left="113"/>
              <w:rPr>
                <w:sz w:val="16"/>
              </w:rPr>
            </w:pPr>
            <w:r w:rsidRPr="00EB2BD8">
              <w:rPr>
                <w:sz w:val="16"/>
              </w:rPr>
              <w:t>Prosecutions</w:t>
            </w:r>
            <w:r w:rsidRPr="00EB2BD8">
              <w:rPr>
                <w:spacing w:val="-6"/>
                <w:sz w:val="16"/>
              </w:rPr>
              <w:t xml:space="preserve"> </w:t>
            </w:r>
            <w:r w:rsidRPr="00EB2BD8">
              <w:rPr>
                <w:spacing w:val="-2"/>
                <w:sz w:val="16"/>
              </w:rPr>
              <w:t>completed</w:t>
            </w:r>
          </w:p>
        </w:tc>
        <w:tc>
          <w:tcPr>
            <w:tcW w:w="1242" w:type="dxa"/>
            <w:tcBorders>
              <w:top w:val="single" w:sz="2" w:space="0" w:color="000000"/>
              <w:bottom w:val="single" w:sz="2" w:space="0" w:color="000000"/>
            </w:tcBorders>
            <w:shd w:val="clear" w:color="auto" w:fill="D1E9F1"/>
          </w:tcPr>
          <w:p w14:paraId="0249172F" w14:textId="77777777" w:rsidR="00084F36" w:rsidRPr="00EB2BD8" w:rsidRDefault="00EB2BD8">
            <w:pPr>
              <w:pStyle w:val="TableParagraph"/>
              <w:spacing w:before="116"/>
              <w:ind w:right="347"/>
              <w:jc w:val="right"/>
              <w:rPr>
                <w:sz w:val="16"/>
              </w:rPr>
            </w:pPr>
            <w:r w:rsidRPr="00EB2BD8">
              <w:rPr>
                <w:w w:val="98"/>
                <w:sz w:val="16"/>
              </w:rPr>
              <w:t>4</w:t>
            </w:r>
          </w:p>
        </w:tc>
        <w:tc>
          <w:tcPr>
            <w:tcW w:w="955" w:type="dxa"/>
            <w:tcBorders>
              <w:top w:val="single" w:sz="2" w:space="0" w:color="000000"/>
              <w:bottom w:val="single" w:sz="2" w:space="0" w:color="000000"/>
            </w:tcBorders>
            <w:shd w:val="clear" w:color="auto" w:fill="D1E9F1"/>
          </w:tcPr>
          <w:p w14:paraId="490B1C8C" w14:textId="77777777" w:rsidR="00084F36" w:rsidRPr="00EB2BD8" w:rsidRDefault="00EB2BD8">
            <w:pPr>
              <w:pStyle w:val="TableParagraph"/>
              <w:spacing w:before="116"/>
              <w:ind w:right="111"/>
              <w:jc w:val="right"/>
              <w:rPr>
                <w:sz w:val="16"/>
              </w:rPr>
            </w:pPr>
            <w:r w:rsidRPr="00EB2BD8">
              <w:rPr>
                <w:w w:val="93"/>
                <w:sz w:val="16"/>
              </w:rPr>
              <w:t>3</w:t>
            </w:r>
          </w:p>
        </w:tc>
      </w:tr>
      <w:tr w:rsidR="00EB2BD8" w:rsidRPr="00EB2BD8" w14:paraId="1FA0FCCE" w14:textId="77777777">
        <w:trPr>
          <w:trHeight w:val="841"/>
        </w:trPr>
        <w:tc>
          <w:tcPr>
            <w:tcW w:w="2925" w:type="dxa"/>
            <w:tcBorders>
              <w:top w:val="single" w:sz="2" w:space="0" w:color="000000"/>
              <w:bottom w:val="single" w:sz="2" w:space="0" w:color="000000"/>
            </w:tcBorders>
          </w:tcPr>
          <w:p w14:paraId="6D9C5835" w14:textId="77777777" w:rsidR="00084F36" w:rsidRPr="00EB2BD8" w:rsidRDefault="00EB2BD8">
            <w:pPr>
              <w:pStyle w:val="TableParagraph"/>
              <w:spacing w:before="116" w:line="292" w:lineRule="auto"/>
              <w:ind w:left="113" w:right="307"/>
              <w:rPr>
                <w:sz w:val="9"/>
              </w:rPr>
            </w:pPr>
            <w:r w:rsidRPr="00EB2BD8">
              <w:rPr>
                <w:sz w:val="16"/>
              </w:rPr>
              <w:t>Building</w:t>
            </w:r>
            <w:r w:rsidRPr="00EB2BD8">
              <w:rPr>
                <w:spacing w:val="-13"/>
                <w:sz w:val="16"/>
              </w:rPr>
              <w:t xml:space="preserve"> </w:t>
            </w:r>
            <w:r w:rsidRPr="00EB2BD8">
              <w:rPr>
                <w:sz w:val="16"/>
              </w:rPr>
              <w:t>prosecutions commenced,</w:t>
            </w:r>
            <w:r w:rsidRPr="00EB2BD8">
              <w:rPr>
                <w:spacing w:val="-13"/>
                <w:sz w:val="16"/>
              </w:rPr>
              <w:t xml:space="preserve"> </w:t>
            </w:r>
            <w:r w:rsidRPr="00EB2BD8">
              <w:rPr>
                <w:sz w:val="16"/>
              </w:rPr>
              <w:t>but</w:t>
            </w:r>
            <w:r w:rsidRPr="00EB2BD8">
              <w:rPr>
                <w:spacing w:val="-13"/>
                <w:sz w:val="16"/>
              </w:rPr>
              <w:t xml:space="preserve"> </w:t>
            </w:r>
            <w:r w:rsidRPr="00EB2BD8">
              <w:rPr>
                <w:sz w:val="16"/>
              </w:rPr>
              <w:t>not</w:t>
            </w:r>
            <w:r w:rsidRPr="00EB2BD8">
              <w:rPr>
                <w:spacing w:val="-12"/>
                <w:sz w:val="16"/>
              </w:rPr>
              <w:t xml:space="preserve"> </w:t>
            </w:r>
            <w:r w:rsidRPr="00EB2BD8">
              <w:rPr>
                <w:sz w:val="16"/>
              </w:rPr>
              <w:t>completed as at 30 June</w:t>
            </w:r>
            <w:r w:rsidRPr="00EB2BD8">
              <w:rPr>
                <w:position w:val="5"/>
                <w:sz w:val="9"/>
              </w:rPr>
              <w:t>19</w:t>
            </w:r>
          </w:p>
        </w:tc>
        <w:tc>
          <w:tcPr>
            <w:tcW w:w="1222" w:type="dxa"/>
            <w:tcBorders>
              <w:top w:val="single" w:sz="2" w:space="0" w:color="000000"/>
              <w:bottom w:val="single" w:sz="2" w:space="0" w:color="000000"/>
            </w:tcBorders>
          </w:tcPr>
          <w:p w14:paraId="21F0E3C4" w14:textId="77777777" w:rsidR="00084F36" w:rsidRPr="00EB2BD8" w:rsidRDefault="00EB2BD8">
            <w:pPr>
              <w:pStyle w:val="TableParagraph"/>
              <w:spacing w:before="116"/>
              <w:ind w:right="346"/>
              <w:jc w:val="right"/>
              <w:rPr>
                <w:sz w:val="16"/>
              </w:rPr>
            </w:pPr>
            <w:r w:rsidRPr="00EB2BD8">
              <w:rPr>
                <w:w w:val="96"/>
                <w:sz w:val="16"/>
              </w:rPr>
              <w:t>6</w:t>
            </w:r>
          </w:p>
        </w:tc>
        <w:tc>
          <w:tcPr>
            <w:tcW w:w="955" w:type="dxa"/>
            <w:tcBorders>
              <w:top w:val="single" w:sz="2" w:space="0" w:color="000000"/>
              <w:bottom w:val="single" w:sz="2" w:space="0" w:color="000000"/>
            </w:tcBorders>
          </w:tcPr>
          <w:p w14:paraId="315E8915" w14:textId="77777777" w:rsidR="00084F36" w:rsidRPr="00EB2BD8" w:rsidRDefault="00EB2BD8">
            <w:pPr>
              <w:pStyle w:val="TableParagraph"/>
              <w:spacing w:before="116"/>
              <w:ind w:right="111"/>
              <w:jc w:val="right"/>
              <w:rPr>
                <w:sz w:val="16"/>
              </w:rPr>
            </w:pPr>
            <w:r w:rsidRPr="00EB2BD8">
              <w:rPr>
                <w:spacing w:val="-5"/>
                <w:sz w:val="16"/>
              </w:rPr>
              <w:t>66</w:t>
            </w:r>
          </w:p>
        </w:tc>
        <w:tc>
          <w:tcPr>
            <w:tcW w:w="2906" w:type="dxa"/>
            <w:tcBorders>
              <w:top w:val="single" w:sz="2" w:space="0" w:color="000000"/>
              <w:bottom w:val="single" w:sz="2" w:space="0" w:color="000000"/>
            </w:tcBorders>
            <w:shd w:val="clear" w:color="auto" w:fill="D1E9F1"/>
          </w:tcPr>
          <w:p w14:paraId="12BDAAEC" w14:textId="77777777" w:rsidR="00084F36" w:rsidRPr="00EB2BD8" w:rsidRDefault="00EB2BD8">
            <w:pPr>
              <w:pStyle w:val="TableParagraph"/>
              <w:spacing w:before="116" w:line="292" w:lineRule="auto"/>
              <w:ind w:left="113" w:right="206"/>
              <w:rPr>
                <w:sz w:val="16"/>
              </w:rPr>
            </w:pPr>
            <w:r w:rsidRPr="00EB2BD8">
              <w:rPr>
                <w:sz w:val="16"/>
              </w:rPr>
              <w:t>Plumbing</w:t>
            </w:r>
            <w:r w:rsidRPr="00EB2BD8">
              <w:rPr>
                <w:spacing w:val="-13"/>
                <w:sz w:val="16"/>
              </w:rPr>
              <w:t xml:space="preserve"> </w:t>
            </w:r>
            <w:r w:rsidRPr="00EB2BD8">
              <w:rPr>
                <w:sz w:val="16"/>
              </w:rPr>
              <w:t>prosecutions commenced,</w:t>
            </w:r>
            <w:r w:rsidRPr="00EB2BD8">
              <w:rPr>
                <w:spacing w:val="-13"/>
                <w:sz w:val="16"/>
              </w:rPr>
              <w:t xml:space="preserve"> </w:t>
            </w:r>
            <w:r w:rsidRPr="00EB2BD8">
              <w:rPr>
                <w:sz w:val="16"/>
              </w:rPr>
              <w:t>but</w:t>
            </w:r>
            <w:r w:rsidRPr="00EB2BD8">
              <w:rPr>
                <w:spacing w:val="-13"/>
                <w:sz w:val="16"/>
              </w:rPr>
              <w:t xml:space="preserve"> </w:t>
            </w:r>
            <w:r w:rsidRPr="00EB2BD8">
              <w:rPr>
                <w:sz w:val="16"/>
              </w:rPr>
              <w:t>not</w:t>
            </w:r>
            <w:r w:rsidRPr="00EB2BD8">
              <w:rPr>
                <w:spacing w:val="-12"/>
                <w:sz w:val="16"/>
              </w:rPr>
              <w:t xml:space="preserve"> </w:t>
            </w:r>
            <w:r w:rsidRPr="00EB2BD8">
              <w:rPr>
                <w:sz w:val="16"/>
              </w:rPr>
              <w:t>completed as at 30 June</w:t>
            </w:r>
          </w:p>
        </w:tc>
        <w:tc>
          <w:tcPr>
            <w:tcW w:w="1242" w:type="dxa"/>
            <w:tcBorders>
              <w:top w:val="single" w:sz="2" w:space="0" w:color="000000"/>
              <w:bottom w:val="single" w:sz="2" w:space="0" w:color="000000"/>
            </w:tcBorders>
            <w:shd w:val="clear" w:color="auto" w:fill="D1E9F1"/>
          </w:tcPr>
          <w:p w14:paraId="1152CD5E" w14:textId="77777777" w:rsidR="00084F36" w:rsidRPr="00EB2BD8" w:rsidRDefault="00EB2BD8">
            <w:pPr>
              <w:pStyle w:val="TableParagraph"/>
              <w:spacing w:before="116"/>
              <w:ind w:right="347"/>
              <w:jc w:val="right"/>
              <w:rPr>
                <w:sz w:val="16"/>
              </w:rPr>
            </w:pPr>
            <w:r w:rsidRPr="00EB2BD8">
              <w:rPr>
                <w:w w:val="98"/>
                <w:sz w:val="16"/>
              </w:rPr>
              <w:t>4</w:t>
            </w:r>
          </w:p>
        </w:tc>
        <w:tc>
          <w:tcPr>
            <w:tcW w:w="955" w:type="dxa"/>
            <w:tcBorders>
              <w:top w:val="single" w:sz="2" w:space="0" w:color="000000"/>
              <w:bottom w:val="single" w:sz="2" w:space="0" w:color="000000"/>
            </w:tcBorders>
            <w:shd w:val="clear" w:color="auto" w:fill="D1E9F1"/>
          </w:tcPr>
          <w:p w14:paraId="309D5A61" w14:textId="77777777" w:rsidR="00084F36" w:rsidRPr="00EB2BD8" w:rsidRDefault="00EB2BD8">
            <w:pPr>
              <w:pStyle w:val="TableParagraph"/>
              <w:spacing w:before="116"/>
              <w:ind w:right="112"/>
              <w:jc w:val="right"/>
              <w:rPr>
                <w:sz w:val="16"/>
              </w:rPr>
            </w:pPr>
            <w:r w:rsidRPr="00EB2BD8">
              <w:rPr>
                <w:spacing w:val="-5"/>
                <w:w w:val="75"/>
                <w:sz w:val="16"/>
              </w:rPr>
              <w:t>21</w:t>
            </w:r>
          </w:p>
        </w:tc>
      </w:tr>
    </w:tbl>
    <w:p w14:paraId="7E0F1BD6" w14:textId="77777777" w:rsidR="00084F36" w:rsidRPr="00EB2BD8" w:rsidRDefault="00084F36">
      <w:pPr>
        <w:pStyle w:val="BodyText"/>
        <w:rPr>
          <w:sz w:val="22"/>
        </w:rPr>
      </w:pPr>
    </w:p>
    <w:p w14:paraId="24ABD901" w14:textId="7DDBCA28" w:rsidR="00084F36" w:rsidRPr="00EB2BD8" w:rsidRDefault="00EB2BD8">
      <w:pPr>
        <w:spacing w:before="132"/>
        <w:ind w:left="850"/>
        <w:rPr>
          <w:i/>
          <w:sz w:val="14"/>
        </w:rPr>
      </w:pPr>
      <w:r w:rsidRPr="00EB2BD8">
        <w:rPr>
          <w:i/>
          <w:sz w:val="14"/>
        </w:rPr>
        <w:t>16</w:t>
      </w:r>
      <w:r w:rsidR="00DF2803">
        <w:rPr>
          <w:i/>
          <w:sz w:val="14"/>
        </w:rPr>
        <w:t xml:space="preserve">- </w:t>
      </w:r>
      <w:r w:rsidRPr="00EB2BD8">
        <w:rPr>
          <w:i/>
          <w:sz w:val="14"/>
        </w:rPr>
        <w:t>BPB</w:t>
      </w:r>
      <w:r w:rsidRPr="00EB2BD8">
        <w:rPr>
          <w:i/>
          <w:spacing w:val="-11"/>
          <w:sz w:val="14"/>
        </w:rPr>
        <w:t xml:space="preserve"> </w:t>
      </w:r>
      <w:r w:rsidRPr="00EB2BD8">
        <w:rPr>
          <w:i/>
          <w:sz w:val="14"/>
        </w:rPr>
        <w:t>no</w:t>
      </w:r>
      <w:r w:rsidRPr="00EB2BD8">
        <w:rPr>
          <w:i/>
          <w:spacing w:val="-11"/>
          <w:sz w:val="14"/>
        </w:rPr>
        <w:t xml:space="preserve"> </w:t>
      </w:r>
      <w:r w:rsidRPr="00EB2BD8">
        <w:rPr>
          <w:i/>
          <w:sz w:val="14"/>
        </w:rPr>
        <w:t>longer</w:t>
      </w:r>
      <w:r w:rsidRPr="00EB2BD8">
        <w:rPr>
          <w:i/>
          <w:spacing w:val="-11"/>
          <w:sz w:val="14"/>
        </w:rPr>
        <w:t xml:space="preserve"> </w:t>
      </w:r>
      <w:r w:rsidRPr="00EB2BD8">
        <w:rPr>
          <w:i/>
          <w:sz w:val="14"/>
        </w:rPr>
        <w:t>exists</w:t>
      </w:r>
      <w:r w:rsidRPr="00EB2BD8">
        <w:rPr>
          <w:i/>
          <w:spacing w:val="-10"/>
          <w:sz w:val="14"/>
        </w:rPr>
        <w:t xml:space="preserve"> </w:t>
      </w:r>
      <w:r w:rsidRPr="00EB2BD8">
        <w:rPr>
          <w:i/>
          <w:sz w:val="14"/>
        </w:rPr>
        <w:t>and</w:t>
      </w:r>
      <w:r w:rsidRPr="00EB2BD8">
        <w:rPr>
          <w:i/>
          <w:spacing w:val="-11"/>
          <w:sz w:val="14"/>
        </w:rPr>
        <w:t xml:space="preserve"> </w:t>
      </w:r>
      <w:r w:rsidRPr="00EB2BD8">
        <w:rPr>
          <w:i/>
          <w:sz w:val="14"/>
        </w:rPr>
        <w:t>legacy</w:t>
      </w:r>
      <w:r w:rsidRPr="00EB2BD8">
        <w:rPr>
          <w:i/>
          <w:spacing w:val="-11"/>
          <w:sz w:val="14"/>
        </w:rPr>
        <w:t xml:space="preserve"> </w:t>
      </w:r>
      <w:r w:rsidRPr="00EB2BD8">
        <w:rPr>
          <w:i/>
          <w:sz w:val="14"/>
        </w:rPr>
        <w:t>matters</w:t>
      </w:r>
      <w:r w:rsidRPr="00EB2BD8">
        <w:rPr>
          <w:i/>
          <w:spacing w:val="-10"/>
          <w:sz w:val="14"/>
        </w:rPr>
        <w:t xml:space="preserve"> </w:t>
      </w:r>
      <w:r w:rsidRPr="00EB2BD8">
        <w:rPr>
          <w:i/>
          <w:sz w:val="14"/>
        </w:rPr>
        <w:t>are</w:t>
      </w:r>
      <w:r w:rsidRPr="00EB2BD8">
        <w:rPr>
          <w:i/>
          <w:spacing w:val="-11"/>
          <w:sz w:val="14"/>
        </w:rPr>
        <w:t xml:space="preserve"> </w:t>
      </w:r>
      <w:r w:rsidRPr="00EB2BD8">
        <w:rPr>
          <w:i/>
          <w:sz w:val="14"/>
        </w:rPr>
        <w:t>now</w:t>
      </w:r>
      <w:r w:rsidRPr="00EB2BD8">
        <w:rPr>
          <w:i/>
          <w:spacing w:val="-11"/>
          <w:sz w:val="14"/>
        </w:rPr>
        <w:t xml:space="preserve"> </w:t>
      </w:r>
      <w:r w:rsidRPr="00EB2BD8">
        <w:rPr>
          <w:i/>
          <w:spacing w:val="-2"/>
          <w:sz w:val="14"/>
        </w:rPr>
        <w:t>finalised.</w:t>
      </w:r>
    </w:p>
    <w:p w14:paraId="6FB0C35E" w14:textId="38E49D71" w:rsidR="00084F36" w:rsidRPr="00EB2BD8" w:rsidRDefault="00EB2BD8">
      <w:pPr>
        <w:spacing w:before="35" w:line="290" w:lineRule="auto"/>
        <w:ind w:left="850" w:right="6160"/>
        <w:rPr>
          <w:i/>
          <w:sz w:val="14"/>
        </w:rPr>
      </w:pPr>
      <w:r w:rsidRPr="00EB2BD8">
        <w:rPr>
          <w:i/>
          <w:sz w:val="14"/>
        </w:rPr>
        <w:t>17</w:t>
      </w:r>
      <w:r w:rsidR="00DF2803">
        <w:rPr>
          <w:i/>
          <w:sz w:val="14"/>
        </w:rPr>
        <w:t xml:space="preserve">- </w:t>
      </w:r>
      <w:r w:rsidRPr="00EB2BD8">
        <w:rPr>
          <w:i/>
          <w:sz w:val="14"/>
        </w:rPr>
        <w:t>Show cause notices issued include those issued on cladding matters. 18</w:t>
      </w:r>
      <w:r w:rsidR="00DF2803">
        <w:rPr>
          <w:i/>
          <w:sz w:val="14"/>
        </w:rPr>
        <w:t xml:space="preserve">- </w:t>
      </w:r>
      <w:r w:rsidRPr="00EB2BD8">
        <w:rPr>
          <w:i/>
          <w:sz w:val="14"/>
        </w:rPr>
        <w:t>The</w:t>
      </w:r>
      <w:r w:rsidRPr="00EB2BD8">
        <w:rPr>
          <w:i/>
          <w:spacing w:val="-12"/>
          <w:sz w:val="14"/>
        </w:rPr>
        <w:t xml:space="preserve"> </w:t>
      </w:r>
      <w:r w:rsidRPr="00EB2BD8">
        <w:rPr>
          <w:i/>
          <w:sz w:val="14"/>
        </w:rPr>
        <w:t>number</w:t>
      </w:r>
      <w:r w:rsidRPr="00EB2BD8">
        <w:rPr>
          <w:i/>
          <w:spacing w:val="-11"/>
          <w:sz w:val="14"/>
        </w:rPr>
        <w:t xml:space="preserve"> </w:t>
      </w:r>
      <w:r w:rsidRPr="00EB2BD8">
        <w:rPr>
          <w:i/>
          <w:sz w:val="14"/>
        </w:rPr>
        <w:t>of</w:t>
      </w:r>
      <w:r w:rsidRPr="00EB2BD8">
        <w:rPr>
          <w:i/>
          <w:spacing w:val="-11"/>
          <w:sz w:val="14"/>
        </w:rPr>
        <w:t xml:space="preserve"> </w:t>
      </w:r>
      <w:r w:rsidRPr="00EB2BD8">
        <w:rPr>
          <w:i/>
          <w:sz w:val="14"/>
        </w:rPr>
        <w:t>inquiries</w:t>
      </w:r>
      <w:r w:rsidRPr="00EB2BD8">
        <w:rPr>
          <w:i/>
          <w:spacing w:val="-11"/>
          <w:sz w:val="14"/>
        </w:rPr>
        <w:t xml:space="preserve"> </w:t>
      </w:r>
      <w:r w:rsidRPr="00EB2BD8">
        <w:rPr>
          <w:i/>
          <w:sz w:val="14"/>
        </w:rPr>
        <w:t>held</w:t>
      </w:r>
      <w:r w:rsidRPr="00EB2BD8">
        <w:rPr>
          <w:i/>
          <w:spacing w:val="-11"/>
          <w:sz w:val="14"/>
        </w:rPr>
        <w:t xml:space="preserve"> </w:t>
      </w:r>
      <w:r w:rsidRPr="00EB2BD8">
        <w:rPr>
          <w:i/>
          <w:sz w:val="14"/>
        </w:rPr>
        <w:t>was</w:t>
      </w:r>
      <w:r w:rsidRPr="00EB2BD8">
        <w:rPr>
          <w:i/>
          <w:spacing w:val="-11"/>
          <w:sz w:val="14"/>
        </w:rPr>
        <w:t xml:space="preserve"> </w:t>
      </w:r>
      <w:r w:rsidRPr="00EB2BD8">
        <w:rPr>
          <w:i/>
          <w:sz w:val="14"/>
        </w:rPr>
        <w:t>impacted</w:t>
      </w:r>
      <w:r w:rsidRPr="00EB2BD8">
        <w:rPr>
          <w:i/>
          <w:spacing w:val="-11"/>
          <w:sz w:val="14"/>
        </w:rPr>
        <w:t xml:space="preserve"> </w:t>
      </w:r>
      <w:r w:rsidRPr="00EB2BD8">
        <w:rPr>
          <w:i/>
          <w:sz w:val="14"/>
        </w:rPr>
        <w:t>due</w:t>
      </w:r>
      <w:r w:rsidRPr="00EB2BD8">
        <w:rPr>
          <w:i/>
          <w:spacing w:val="-11"/>
          <w:sz w:val="14"/>
        </w:rPr>
        <w:t xml:space="preserve"> </w:t>
      </w:r>
      <w:r w:rsidRPr="00EB2BD8">
        <w:rPr>
          <w:i/>
          <w:sz w:val="14"/>
        </w:rPr>
        <w:t>to</w:t>
      </w:r>
      <w:r w:rsidRPr="00EB2BD8">
        <w:rPr>
          <w:i/>
          <w:spacing w:val="-11"/>
          <w:sz w:val="14"/>
        </w:rPr>
        <w:t xml:space="preserve"> </w:t>
      </w:r>
      <w:r w:rsidRPr="00EB2BD8">
        <w:rPr>
          <w:i/>
          <w:sz w:val="14"/>
        </w:rPr>
        <w:t>resource</w:t>
      </w:r>
      <w:r w:rsidR="00DF2803">
        <w:rPr>
          <w:i/>
          <w:spacing w:val="-11"/>
          <w:sz w:val="14"/>
        </w:rPr>
        <w:t xml:space="preserve"> </w:t>
      </w:r>
      <w:r w:rsidRPr="00EB2BD8">
        <w:rPr>
          <w:i/>
          <w:sz w:val="14"/>
        </w:rPr>
        <w:t>allocation.</w:t>
      </w:r>
    </w:p>
    <w:p w14:paraId="6B43DC57" w14:textId="78551B45" w:rsidR="00084F36" w:rsidRPr="00EB2BD8" w:rsidRDefault="00EB2BD8">
      <w:pPr>
        <w:spacing w:before="1"/>
        <w:ind w:left="850"/>
        <w:rPr>
          <w:i/>
          <w:sz w:val="14"/>
        </w:rPr>
      </w:pPr>
      <w:r w:rsidRPr="00EB2BD8">
        <w:rPr>
          <w:i/>
          <w:sz w:val="14"/>
        </w:rPr>
        <w:t>19</w:t>
      </w:r>
      <w:r w:rsidR="00DF2803">
        <w:rPr>
          <w:i/>
          <w:sz w:val="14"/>
        </w:rPr>
        <w:t xml:space="preserve">- </w:t>
      </w:r>
      <w:r w:rsidRPr="00EB2BD8">
        <w:rPr>
          <w:i/>
          <w:sz w:val="14"/>
        </w:rPr>
        <w:t>This</w:t>
      </w:r>
      <w:r w:rsidRPr="00EB2BD8">
        <w:rPr>
          <w:i/>
          <w:spacing w:val="-6"/>
          <w:sz w:val="14"/>
        </w:rPr>
        <w:t xml:space="preserve"> </w:t>
      </w:r>
      <w:r w:rsidRPr="00EB2BD8">
        <w:rPr>
          <w:i/>
          <w:sz w:val="14"/>
        </w:rPr>
        <w:t>list</w:t>
      </w:r>
      <w:r w:rsidRPr="00EB2BD8">
        <w:rPr>
          <w:i/>
          <w:spacing w:val="-5"/>
          <w:sz w:val="14"/>
        </w:rPr>
        <w:t xml:space="preserve"> </w:t>
      </w:r>
      <w:r w:rsidRPr="00EB2BD8">
        <w:rPr>
          <w:i/>
          <w:sz w:val="14"/>
        </w:rPr>
        <w:t>does</w:t>
      </w:r>
      <w:r w:rsidRPr="00EB2BD8">
        <w:rPr>
          <w:i/>
          <w:spacing w:val="-5"/>
          <w:sz w:val="14"/>
        </w:rPr>
        <w:t xml:space="preserve"> </w:t>
      </w:r>
      <w:r w:rsidRPr="00EB2BD8">
        <w:rPr>
          <w:i/>
          <w:sz w:val="14"/>
        </w:rPr>
        <w:t>not</w:t>
      </w:r>
      <w:r w:rsidRPr="00EB2BD8">
        <w:rPr>
          <w:i/>
          <w:spacing w:val="-6"/>
          <w:sz w:val="14"/>
        </w:rPr>
        <w:t xml:space="preserve"> </w:t>
      </w:r>
      <w:r w:rsidRPr="00EB2BD8">
        <w:rPr>
          <w:i/>
          <w:sz w:val="14"/>
        </w:rPr>
        <w:t>include</w:t>
      </w:r>
      <w:r w:rsidRPr="00EB2BD8">
        <w:rPr>
          <w:i/>
          <w:spacing w:val="-5"/>
          <w:sz w:val="14"/>
        </w:rPr>
        <w:t xml:space="preserve"> </w:t>
      </w:r>
      <w:r w:rsidRPr="00EB2BD8">
        <w:rPr>
          <w:i/>
          <w:sz w:val="14"/>
        </w:rPr>
        <w:t>prosecutions</w:t>
      </w:r>
      <w:r w:rsidRPr="00EB2BD8">
        <w:rPr>
          <w:i/>
          <w:spacing w:val="-5"/>
          <w:sz w:val="14"/>
        </w:rPr>
        <w:t xml:space="preserve"> </w:t>
      </w:r>
      <w:r w:rsidRPr="00EB2BD8">
        <w:rPr>
          <w:i/>
          <w:sz w:val="14"/>
        </w:rPr>
        <w:t>commenced</w:t>
      </w:r>
      <w:r w:rsidRPr="00EB2BD8">
        <w:rPr>
          <w:i/>
          <w:spacing w:val="-6"/>
          <w:sz w:val="14"/>
        </w:rPr>
        <w:t xml:space="preserve"> </w:t>
      </w:r>
      <w:r w:rsidRPr="00EB2BD8">
        <w:rPr>
          <w:i/>
          <w:sz w:val="14"/>
        </w:rPr>
        <w:t>by</w:t>
      </w:r>
      <w:r w:rsidRPr="00EB2BD8">
        <w:rPr>
          <w:i/>
          <w:spacing w:val="-5"/>
          <w:sz w:val="14"/>
        </w:rPr>
        <w:t xml:space="preserve"> </w:t>
      </w:r>
      <w:r w:rsidRPr="00EB2BD8">
        <w:rPr>
          <w:i/>
          <w:sz w:val="14"/>
        </w:rPr>
        <w:t>the</w:t>
      </w:r>
      <w:r w:rsidRPr="00EB2BD8">
        <w:rPr>
          <w:i/>
          <w:spacing w:val="-5"/>
          <w:sz w:val="14"/>
        </w:rPr>
        <w:t xml:space="preserve"> </w:t>
      </w:r>
      <w:r w:rsidRPr="00EB2BD8">
        <w:rPr>
          <w:i/>
          <w:sz w:val="14"/>
        </w:rPr>
        <w:t>VBA</w:t>
      </w:r>
      <w:r w:rsidRPr="00EB2BD8">
        <w:rPr>
          <w:i/>
          <w:spacing w:val="-6"/>
          <w:sz w:val="14"/>
        </w:rPr>
        <w:t xml:space="preserve"> </w:t>
      </w:r>
      <w:r w:rsidRPr="00EB2BD8">
        <w:rPr>
          <w:i/>
          <w:sz w:val="14"/>
        </w:rPr>
        <w:t>which</w:t>
      </w:r>
      <w:r w:rsidRPr="00EB2BD8">
        <w:rPr>
          <w:i/>
          <w:spacing w:val="-5"/>
          <w:sz w:val="14"/>
        </w:rPr>
        <w:t xml:space="preserve"> </w:t>
      </w:r>
      <w:r w:rsidRPr="00EB2BD8">
        <w:rPr>
          <w:i/>
          <w:sz w:val="14"/>
        </w:rPr>
        <w:t>were</w:t>
      </w:r>
      <w:r w:rsidRPr="00EB2BD8">
        <w:rPr>
          <w:i/>
          <w:spacing w:val="-5"/>
          <w:sz w:val="14"/>
        </w:rPr>
        <w:t xml:space="preserve"> </w:t>
      </w:r>
      <w:r w:rsidRPr="00EB2BD8">
        <w:rPr>
          <w:i/>
          <w:sz w:val="14"/>
        </w:rPr>
        <w:t>subsequently</w:t>
      </w:r>
      <w:r w:rsidRPr="00EB2BD8">
        <w:rPr>
          <w:i/>
          <w:spacing w:val="-5"/>
          <w:sz w:val="14"/>
        </w:rPr>
        <w:t xml:space="preserve"> </w:t>
      </w:r>
      <w:r w:rsidRPr="00EB2BD8">
        <w:rPr>
          <w:i/>
          <w:spacing w:val="-2"/>
          <w:sz w:val="14"/>
        </w:rPr>
        <w:t>withdrawn.</w:t>
      </w:r>
    </w:p>
    <w:p w14:paraId="2568E4BA" w14:textId="77777777" w:rsidR="00084F36" w:rsidRPr="00EB2BD8" w:rsidRDefault="00084F36">
      <w:pPr>
        <w:pStyle w:val="BodyText"/>
        <w:rPr>
          <w:i/>
          <w:sz w:val="16"/>
        </w:rPr>
      </w:pPr>
    </w:p>
    <w:p w14:paraId="441B756F" w14:textId="77777777" w:rsidR="00084F36" w:rsidRPr="00EB2BD8" w:rsidRDefault="00084F36">
      <w:pPr>
        <w:pStyle w:val="BodyText"/>
        <w:rPr>
          <w:i/>
          <w:sz w:val="16"/>
        </w:rPr>
      </w:pPr>
    </w:p>
    <w:p w14:paraId="6C74F033" w14:textId="77777777" w:rsidR="00084F36" w:rsidRPr="00EB2BD8" w:rsidRDefault="00084F36">
      <w:pPr>
        <w:pStyle w:val="BodyText"/>
        <w:spacing w:before="8"/>
        <w:rPr>
          <w:i/>
          <w:sz w:val="20"/>
        </w:rPr>
      </w:pPr>
    </w:p>
    <w:p w14:paraId="5D2FBC4D" w14:textId="77777777" w:rsidR="00084F36" w:rsidRPr="00EB2BD8" w:rsidRDefault="00EB2BD8" w:rsidP="00EB2BD8">
      <w:pPr>
        <w:pStyle w:val="Heading3"/>
      </w:pPr>
      <w:bookmarkStart w:id="79" w:name="_Toc150762381"/>
      <w:r w:rsidRPr="00EB2BD8">
        <w:t>Table</w:t>
      </w:r>
      <w:r w:rsidRPr="00EB2BD8">
        <w:rPr>
          <w:spacing w:val="-12"/>
        </w:rPr>
        <w:t xml:space="preserve"> </w:t>
      </w:r>
      <w:r w:rsidRPr="00EB2BD8">
        <w:t>7:</w:t>
      </w:r>
      <w:r w:rsidRPr="00EB2BD8">
        <w:rPr>
          <w:spacing w:val="-12"/>
        </w:rPr>
        <w:t xml:space="preserve"> </w:t>
      </w:r>
      <w:r w:rsidRPr="00EB2BD8">
        <w:t>Building</w:t>
      </w:r>
      <w:r w:rsidRPr="00EB2BD8">
        <w:rPr>
          <w:spacing w:val="-12"/>
        </w:rPr>
        <w:t xml:space="preserve"> </w:t>
      </w:r>
      <w:r w:rsidRPr="00EB2BD8">
        <w:t>and</w:t>
      </w:r>
      <w:r w:rsidRPr="00EB2BD8">
        <w:rPr>
          <w:spacing w:val="-12"/>
        </w:rPr>
        <w:t xml:space="preserve"> </w:t>
      </w:r>
      <w:r w:rsidRPr="00EB2BD8">
        <w:t>Plumbing</w:t>
      </w:r>
      <w:r w:rsidRPr="00EB2BD8">
        <w:rPr>
          <w:spacing w:val="-11"/>
        </w:rPr>
        <w:t xml:space="preserve"> </w:t>
      </w:r>
      <w:r w:rsidRPr="00EB2BD8">
        <w:t>Community</w:t>
      </w:r>
      <w:r w:rsidRPr="00EB2BD8">
        <w:rPr>
          <w:spacing w:val="-12"/>
        </w:rPr>
        <w:t xml:space="preserve"> </w:t>
      </w:r>
      <w:r w:rsidRPr="00EB2BD8">
        <w:rPr>
          <w:spacing w:val="-2"/>
        </w:rPr>
        <w:t>Activity</w:t>
      </w:r>
      <w:bookmarkEnd w:id="79"/>
    </w:p>
    <w:tbl>
      <w:tblPr>
        <w:tblW w:w="0" w:type="auto"/>
        <w:tblInd w:w="857" w:type="dxa"/>
        <w:tblLayout w:type="fixed"/>
        <w:tblCellMar>
          <w:left w:w="0" w:type="dxa"/>
          <w:right w:w="0" w:type="dxa"/>
        </w:tblCellMar>
        <w:tblLook w:val="01E0" w:firstRow="1" w:lastRow="1" w:firstColumn="1" w:lastColumn="1" w:noHBand="0" w:noVBand="0"/>
      </w:tblPr>
      <w:tblGrid>
        <w:gridCol w:w="2790"/>
        <w:gridCol w:w="1357"/>
        <w:gridCol w:w="954"/>
        <w:gridCol w:w="2843"/>
        <w:gridCol w:w="1304"/>
        <w:gridCol w:w="955"/>
      </w:tblGrid>
      <w:tr w:rsidR="00EB2BD8" w:rsidRPr="00EB2BD8" w14:paraId="5B87C30A" w14:textId="77777777">
        <w:trPr>
          <w:trHeight w:val="386"/>
        </w:trPr>
        <w:tc>
          <w:tcPr>
            <w:tcW w:w="10203" w:type="dxa"/>
            <w:gridSpan w:val="6"/>
            <w:shd w:val="clear" w:color="auto" w:fill="005F83"/>
          </w:tcPr>
          <w:p w14:paraId="414DAA36" w14:textId="77777777" w:rsidR="00084F36" w:rsidRPr="00EB2BD8" w:rsidRDefault="00EB2BD8">
            <w:pPr>
              <w:pStyle w:val="TableParagraph"/>
              <w:tabs>
                <w:tab w:val="left" w:pos="5215"/>
              </w:tabs>
              <w:spacing w:before="118"/>
              <w:ind w:left="113"/>
              <w:rPr>
                <w:sz w:val="16"/>
              </w:rPr>
            </w:pPr>
            <w:r w:rsidRPr="00DF2803">
              <w:rPr>
                <w:color w:val="FFFFFF" w:themeColor="background1"/>
                <w:spacing w:val="-2"/>
                <w:sz w:val="16"/>
              </w:rPr>
              <w:t>Building</w:t>
            </w:r>
            <w:r w:rsidRPr="00DF2803">
              <w:rPr>
                <w:color w:val="FFFFFF" w:themeColor="background1"/>
                <w:sz w:val="16"/>
              </w:rPr>
              <w:tab/>
            </w:r>
            <w:r w:rsidRPr="00DF2803">
              <w:rPr>
                <w:color w:val="FFFFFF" w:themeColor="background1"/>
                <w:spacing w:val="-2"/>
                <w:sz w:val="16"/>
              </w:rPr>
              <w:t>Plumbing</w:t>
            </w:r>
          </w:p>
        </w:tc>
      </w:tr>
      <w:tr w:rsidR="00EB2BD8" w:rsidRPr="00EB2BD8" w14:paraId="25368F22" w14:textId="77777777">
        <w:trPr>
          <w:trHeight w:val="320"/>
        </w:trPr>
        <w:tc>
          <w:tcPr>
            <w:tcW w:w="2790" w:type="dxa"/>
            <w:shd w:val="clear" w:color="auto" w:fill="E5F5FF"/>
          </w:tcPr>
          <w:p w14:paraId="02524648" w14:textId="77777777" w:rsidR="00084F36" w:rsidRPr="00EB2BD8" w:rsidRDefault="00084F36">
            <w:pPr>
              <w:pStyle w:val="TableParagraph"/>
              <w:rPr>
                <w:rFonts w:ascii="Times New Roman"/>
                <w:sz w:val="14"/>
              </w:rPr>
            </w:pPr>
          </w:p>
        </w:tc>
        <w:tc>
          <w:tcPr>
            <w:tcW w:w="1357" w:type="dxa"/>
            <w:shd w:val="clear" w:color="auto" w:fill="E5F5FF"/>
          </w:tcPr>
          <w:p w14:paraId="295EDDFF" w14:textId="77777777" w:rsidR="00084F36" w:rsidRPr="00EB2BD8" w:rsidRDefault="00EB2BD8">
            <w:pPr>
              <w:pStyle w:val="TableParagraph"/>
              <w:spacing w:before="85"/>
              <w:ind w:right="314"/>
              <w:jc w:val="right"/>
              <w:rPr>
                <w:sz w:val="16"/>
              </w:rPr>
            </w:pPr>
            <w:r w:rsidRPr="00EB2BD8">
              <w:rPr>
                <w:spacing w:val="-2"/>
                <w:w w:val="90"/>
                <w:sz w:val="16"/>
              </w:rPr>
              <w:t>2022-</w:t>
            </w:r>
            <w:r w:rsidRPr="00EB2BD8">
              <w:rPr>
                <w:spacing w:val="-5"/>
                <w:sz w:val="16"/>
              </w:rPr>
              <w:t>23</w:t>
            </w:r>
          </w:p>
        </w:tc>
        <w:tc>
          <w:tcPr>
            <w:tcW w:w="954" w:type="dxa"/>
            <w:shd w:val="clear" w:color="auto" w:fill="E5F5FF"/>
          </w:tcPr>
          <w:p w14:paraId="37774F10" w14:textId="77777777" w:rsidR="00084F36" w:rsidRPr="00EB2BD8" w:rsidRDefault="00EB2BD8">
            <w:pPr>
              <w:pStyle w:val="TableParagraph"/>
              <w:spacing w:before="85"/>
              <w:ind w:right="77"/>
              <w:jc w:val="right"/>
              <w:rPr>
                <w:sz w:val="16"/>
              </w:rPr>
            </w:pPr>
            <w:r w:rsidRPr="00EB2BD8">
              <w:rPr>
                <w:w w:val="85"/>
                <w:sz w:val="16"/>
              </w:rPr>
              <w:t>2021-</w:t>
            </w:r>
            <w:r w:rsidRPr="00EB2BD8">
              <w:rPr>
                <w:spacing w:val="-5"/>
                <w:w w:val="95"/>
                <w:sz w:val="16"/>
              </w:rPr>
              <w:t>22</w:t>
            </w:r>
          </w:p>
        </w:tc>
        <w:tc>
          <w:tcPr>
            <w:tcW w:w="2843" w:type="dxa"/>
            <w:shd w:val="clear" w:color="auto" w:fill="E5F5FF"/>
          </w:tcPr>
          <w:p w14:paraId="7720F7F8" w14:textId="77777777" w:rsidR="00084F36" w:rsidRPr="00EB2BD8" w:rsidRDefault="00084F36">
            <w:pPr>
              <w:pStyle w:val="TableParagraph"/>
              <w:rPr>
                <w:rFonts w:ascii="Times New Roman"/>
                <w:sz w:val="14"/>
              </w:rPr>
            </w:pPr>
          </w:p>
        </w:tc>
        <w:tc>
          <w:tcPr>
            <w:tcW w:w="1304" w:type="dxa"/>
            <w:shd w:val="clear" w:color="auto" w:fill="E5F5FF"/>
          </w:tcPr>
          <w:p w14:paraId="46D5D928" w14:textId="77777777" w:rsidR="00084F36" w:rsidRPr="00EB2BD8" w:rsidRDefault="00EB2BD8">
            <w:pPr>
              <w:pStyle w:val="TableParagraph"/>
              <w:spacing w:before="85"/>
              <w:ind w:right="312"/>
              <w:jc w:val="right"/>
              <w:rPr>
                <w:sz w:val="16"/>
              </w:rPr>
            </w:pPr>
            <w:r w:rsidRPr="00EB2BD8">
              <w:rPr>
                <w:spacing w:val="-2"/>
                <w:w w:val="90"/>
                <w:sz w:val="16"/>
              </w:rPr>
              <w:t>2022-</w:t>
            </w:r>
            <w:r w:rsidRPr="00EB2BD8">
              <w:rPr>
                <w:spacing w:val="-5"/>
                <w:sz w:val="16"/>
              </w:rPr>
              <w:t>23</w:t>
            </w:r>
          </w:p>
        </w:tc>
        <w:tc>
          <w:tcPr>
            <w:tcW w:w="955" w:type="dxa"/>
            <w:shd w:val="clear" w:color="auto" w:fill="E5F5FF"/>
          </w:tcPr>
          <w:p w14:paraId="14F8BB4F" w14:textId="77777777" w:rsidR="00084F36" w:rsidRPr="00EB2BD8" w:rsidRDefault="00EB2BD8">
            <w:pPr>
              <w:pStyle w:val="TableParagraph"/>
              <w:spacing w:before="85"/>
              <w:ind w:right="77"/>
              <w:jc w:val="right"/>
              <w:rPr>
                <w:sz w:val="16"/>
              </w:rPr>
            </w:pPr>
            <w:r w:rsidRPr="00EB2BD8">
              <w:rPr>
                <w:w w:val="85"/>
                <w:sz w:val="16"/>
              </w:rPr>
              <w:t>2021-</w:t>
            </w:r>
            <w:r w:rsidRPr="00EB2BD8">
              <w:rPr>
                <w:spacing w:val="-5"/>
                <w:w w:val="95"/>
                <w:sz w:val="16"/>
              </w:rPr>
              <w:t>22</w:t>
            </w:r>
          </w:p>
        </w:tc>
      </w:tr>
      <w:tr w:rsidR="00EB2BD8" w:rsidRPr="00EB2BD8" w14:paraId="6B40CB83" w14:textId="77777777">
        <w:trPr>
          <w:trHeight w:val="384"/>
        </w:trPr>
        <w:tc>
          <w:tcPr>
            <w:tcW w:w="2790" w:type="dxa"/>
            <w:tcBorders>
              <w:bottom w:val="single" w:sz="2" w:space="0" w:color="000000"/>
            </w:tcBorders>
          </w:tcPr>
          <w:p w14:paraId="391DBF21" w14:textId="77777777" w:rsidR="00084F36" w:rsidRPr="00EB2BD8" w:rsidRDefault="00EB2BD8">
            <w:pPr>
              <w:pStyle w:val="TableParagraph"/>
              <w:spacing w:before="119"/>
              <w:ind w:left="113"/>
              <w:rPr>
                <w:sz w:val="16"/>
              </w:rPr>
            </w:pPr>
            <w:r w:rsidRPr="00EB2BD8">
              <w:rPr>
                <w:spacing w:val="-2"/>
                <w:sz w:val="16"/>
              </w:rPr>
              <w:t>Building</w:t>
            </w:r>
            <w:r w:rsidRPr="00EB2BD8">
              <w:rPr>
                <w:spacing w:val="3"/>
                <w:sz w:val="16"/>
              </w:rPr>
              <w:t xml:space="preserve"> </w:t>
            </w:r>
            <w:r w:rsidRPr="00EB2BD8">
              <w:rPr>
                <w:spacing w:val="-2"/>
                <w:sz w:val="16"/>
              </w:rPr>
              <w:t>complaints</w:t>
            </w:r>
            <w:r w:rsidRPr="00EB2BD8">
              <w:rPr>
                <w:spacing w:val="4"/>
                <w:sz w:val="16"/>
              </w:rPr>
              <w:t xml:space="preserve"> </w:t>
            </w:r>
            <w:r w:rsidRPr="00EB2BD8">
              <w:rPr>
                <w:spacing w:val="-2"/>
                <w:sz w:val="16"/>
              </w:rPr>
              <w:t>received</w:t>
            </w:r>
          </w:p>
        </w:tc>
        <w:tc>
          <w:tcPr>
            <w:tcW w:w="1357" w:type="dxa"/>
            <w:tcBorders>
              <w:bottom w:val="single" w:sz="2" w:space="0" w:color="000000"/>
            </w:tcBorders>
          </w:tcPr>
          <w:p w14:paraId="453A1C2C" w14:textId="77777777" w:rsidR="00084F36" w:rsidRPr="00EB2BD8" w:rsidRDefault="00EB2BD8">
            <w:pPr>
              <w:pStyle w:val="TableParagraph"/>
              <w:spacing w:before="119"/>
              <w:ind w:right="346"/>
              <w:jc w:val="right"/>
              <w:rPr>
                <w:sz w:val="16"/>
              </w:rPr>
            </w:pPr>
            <w:r w:rsidRPr="00EB2BD8">
              <w:rPr>
                <w:spacing w:val="-2"/>
                <w:w w:val="80"/>
                <w:sz w:val="16"/>
              </w:rPr>
              <w:t>1,791</w:t>
            </w:r>
          </w:p>
        </w:tc>
        <w:tc>
          <w:tcPr>
            <w:tcW w:w="954" w:type="dxa"/>
            <w:tcBorders>
              <w:bottom w:val="single" w:sz="2" w:space="0" w:color="000000"/>
            </w:tcBorders>
          </w:tcPr>
          <w:p w14:paraId="61578CE3" w14:textId="77777777" w:rsidR="00084F36" w:rsidRPr="00EB2BD8" w:rsidRDefault="00EB2BD8">
            <w:pPr>
              <w:pStyle w:val="TableParagraph"/>
              <w:spacing w:before="119"/>
              <w:ind w:right="109"/>
              <w:jc w:val="right"/>
              <w:rPr>
                <w:sz w:val="16"/>
              </w:rPr>
            </w:pPr>
            <w:r w:rsidRPr="00EB2BD8">
              <w:rPr>
                <w:spacing w:val="-4"/>
                <w:w w:val="90"/>
                <w:sz w:val="16"/>
              </w:rPr>
              <w:t>1,847</w:t>
            </w:r>
          </w:p>
        </w:tc>
        <w:tc>
          <w:tcPr>
            <w:tcW w:w="2843" w:type="dxa"/>
            <w:tcBorders>
              <w:bottom w:val="single" w:sz="2" w:space="0" w:color="000000"/>
            </w:tcBorders>
            <w:shd w:val="clear" w:color="auto" w:fill="D1E9F1"/>
          </w:tcPr>
          <w:p w14:paraId="76C4D68C" w14:textId="77777777" w:rsidR="00084F36" w:rsidRPr="00EB2BD8" w:rsidRDefault="00EB2BD8">
            <w:pPr>
              <w:pStyle w:val="TableParagraph"/>
              <w:spacing w:before="119"/>
              <w:ind w:left="114"/>
              <w:rPr>
                <w:sz w:val="16"/>
              </w:rPr>
            </w:pPr>
            <w:r w:rsidRPr="00EB2BD8">
              <w:rPr>
                <w:sz w:val="16"/>
              </w:rPr>
              <w:t>Plumbing</w:t>
            </w:r>
            <w:r w:rsidRPr="00EB2BD8">
              <w:rPr>
                <w:spacing w:val="-13"/>
                <w:sz w:val="16"/>
              </w:rPr>
              <w:t xml:space="preserve"> </w:t>
            </w:r>
            <w:r w:rsidRPr="00EB2BD8">
              <w:rPr>
                <w:sz w:val="16"/>
              </w:rPr>
              <w:t>complaints</w:t>
            </w:r>
            <w:r w:rsidRPr="00EB2BD8">
              <w:rPr>
                <w:spacing w:val="-12"/>
                <w:sz w:val="16"/>
              </w:rPr>
              <w:t xml:space="preserve"> </w:t>
            </w:r>
            <w:r w:rsidRPr="00EB2BD8">
              <w:rPr>
                <w:spacing w:val="-2"/>
                <w:sz w:val="16"/>
              </w:rPr>
              <w:t>received</w:t>
            </w:r>
          </w:p>
        </w:tc>
        <w:tc>
          <w:tcPr>
            <w:tcW w:w="1304" w:type="dxa"/>
            <w:tcBorders>
              <w:bottom w:val="single" w:sz="2" w:space="0" w:color="000000"/>
            </w:tcBorders>
            <w:shd w:val="clear" w:color="auto" w:fill="D1E9F1"/>
          </w:tcPr>
          <w:p w14:paraId="7867C340" w14:textId="77777777" w:rsidR="00084F36" w:rsidRPr="00EB2BD8" w:rsidRDefault="00EB2BD8">
            <w:pPr>
              <w:pStyle w:val="TableParagraph"/>
              <w:spacing w:before="119"/>
              <w:ind w:right="346"/>
              <w:jc w:val="right"/>
              <w:rPr>
                <w:sz w:val="16"/>
              </w:rPr>
            </w:pPr>
            <w:r w:rsidRPr="00EB2BD8">
              <w:rPr>
                <w:spacing w:val="-2"/>
                <w:w w:val="85"/>
                <w:sz w:val="16"/>
              </w:rPr>
              <w:t>1,746</w:t>
            </w:r>
          </w:p>
        </w:tc>
        <w:tc>
          <w:tcPr>
            <w:tcW w:w="955" w:type="dxa"/>
            <w:tcBorders>
              <w:bottom w:val="single" w:sz="2" w:space="0" w:color="000000"/>
            </w:tcBorders>
            <w:shd w:val="clear" w:color="auto" w:fill="D1E9F1"/>
          </w:tcPr>
          <w:p w14:paraId="3FBA5AF9" w14:textId="77777777" w:rsidR="00084F36" w:rsidRPr="00EB2BD8" w:rsidRDefault="00EB2BD8">
            <w:pPr>
              <w:pStyle w:val="TableParagraph"/>
              <w:spacing w:before="119"/>
              <w:ind w:right="110"/>
              <w:jc w:val="right"/>
              <w:rPr>
                <w:sz w:val="16"/>
              </w:rPr>
            </w:pPr>
            <w:r w:rsidRPr="00EB2BD8">
              <w:rPr>
                <w:spacing w:val="-4"/>
                <w:w w:val="90"/>
                <w:sz w:val="16"/>
              </w:rPr>
              <w:t>1,439</w:t>
            </w:r>
          </w:p>
        </w:tc>
      </w:tr>
    </w:tbl>
    <w:p w14:paraId="2FCC3E40" w14:textId="77777777" w:rsidR="00084F36" w:rsidRPr="00EB2BD8" w:rsidRDefault="00084F36">
      <w:pPr>
        <w:jc w:val="right"/>
        <w:rPr>
          <w:sz w:val="16"/>
        </w:rPr>
        <w:sectPr w:rsidR="00084F36" w:rsidRPr="00EB2BD8" w:rsidSect="006D75B2">
          <w:footerReference w:type="default" r:id="rId74"/>
          <w:pgSz w:w="11910" w:h="16840"/>
          <w:pgMar w:top="1100" w:right="0" w:bottom="700" w:left="0" w:header="0" w:footer="515" w:gutter="0"/>
          <w:cols w:space="720"/>
        </w:sectPr>
      </w:pPr>
    </w:p>
    <w:p w14:paraId="497CF930" w14:textId="77777777" w:rsidR="00084F36" w:rsidRPr="00EB2BD8" w:rsidRDefault="00084F36">
      <w:pPr>
        <w:pStyle w:val="BodyText"/>
        <w:rPr>
          <w:sz w:val="20"/>
        </w:rPr>
      </w:pPr>
    </w:p>
    <w:p w14:paraId="5A707B68" w14:textId="77777777" w:rsidR="00084F36" w:rsidRPr="00EB2BD8" w:rsidRDefault="00084F36">
      <w:pPr>
        <w:pStyle w:val="BodyText"/>
        <w:rPr>
          <w:sz w:val="20"/>
        </w:rPr>
      </w:pPr>
    </w:p>
    <w:p w14:paraId="283B1DDF" w14:textId="77777777" w:rsidR="00084F36" w:rsidRPr="00EB2BD8" w:rsidRDefault="00084F36">
      <w:pPr>
        <w:pStyle w:val="BodyText"/>
        <w:rPr>
          <w:sz w:val="20"/>
        </w:rPr>
      </w:pPr>
    </w:p>
    <w:p w14:paraId="7EF5CCB9" w14:textId="77777777" w:rsidR="00084F36" w:rsidRPr="00EB2BD8" w:rsidRDefault="00084F36">
      <w:pPr>
        <w:pStyle w:val="BodyText"/>
        <w:rPr>
          <w:sz w:val="20"/>
        </w:rPr>
      </w:pPr>
    </w:p>
    <w:p w14:paraId="36BBD7CF" w14:textId="77777777" w:rsidR="00084F36" w:rsidRPr="00EB2BD8" w:rsidRDefault="00084F36">
      <w:pPr>
        <w:rPr>
          <w:sz w:val="20"/>
        </w:rPr>
        <w:sectPr w:rsidR="00084F36" w:rsidRPr="00EB2BD8" w:rsidSect="006D75B2">
          <w:footerReference w:type="default" r:id="rId75"/>
          <w:pgSz w:w="11910" w:h="16840"/>
          <w:pgMar w:top="1080" w:right="0" w:bottom="720" w:left="0" w:header="0" w:footer="528" w:gutter="0"/>
          <w:cols w:space="720"/>
        </w:sectPr>
      </w:pPr>
    </w:p>
    <w:p w14:paraId="5F52EAC0" w14:textId="77777777" w:rsidR="00084F36" w:rsidRPr="00EB2BD8" w:rsidRDefault="00EB2BD8" w:rsidP="001975DF">
      <w:pPr>
        <w:pStyle w:val="Heading2"/>
      </w:pPr>
      <w:bookmarkStart w:id="80" w:name="_Toc150762382"/>
      <w:r w:rsidRPr="00EB2BD8">
        <w:t>Security</w:t>
      </w:r>
      <w:r w:rsidRPr="00EB2BD8">
        <w:rPr>
          <w:spacing w:val="-16"/>
        </w:rPr>
        <w:t xml:space="preserve"> </w:t>
      </w:r>
      <w:r w:rsidRPr="00EB2BD8">
        <w:t>of</w:t>
      </w:r>
      <w:r w:rsidRPr="00EB2BD8">
        <w:rPr>
          <w:spacing w:val="-15"/>
        </w:rPr>
        <w:t xml:space="preserve"> </w:t>
      </w:r>
      <w:r w:rsidRPr="00EB2BD8">
        <w:t>Payment</w:t>
      </w:r>
      <w:bookmarkEnd w:id="80"/>
    </w:p>
    <w:p w14:paraId="0B04BDB1" w14:textId="77777777" w:rsidR="00084F36" w:rsidRPr="00EB2BD8" w:rsidRDefault="00EB2BD8">
      <w:pPr>
        <w:pStyle w:val="BodyText"/>
        <w:spacing w:before="128" w:line="261" w:lineRule="auto"/>
        <w:ind w:left="850" w:right="63"/>
      </w:pPr>
      <w:r w:rsidRPr="00EB2BD8">
        <w:t xml:space="preserve">The </w:t>
      </w:r>
      <w:r w:rsidRPr="00EB2BD8">
        <w:rPr>
          <w:i/>
        </w:rPr>
        <w:t>Building and Construction Industry Security of Payment</w:t>
      </w:r>
      <w:r w:rsidRPr="00EB2BD8">
        <w:rPr>
          <w:i/>
          <w:spacing w:val="-7"/>
        </w:rPr>
        <w:t xml:space="preserve"> </w:t>
      </w:r>
      <w:r w:rsidRPr="00EB2BD8">
        <w:rPr>
          <w:i/>
        </w:rPr>
        <w:t>Act</w:t>
      </w:r>
      <w:r w:rsidRPr="00EB2BD8">
        <w:rPr>
          <w:i/>
          <w:spacing w:val="-7"/>
        </w:rPr>
        <w:t xml:space="preserve"> </w:t>
      </w:r>
      <w:r w:rsidRPr="00EB2BD8">
        <w:rPr>
          <w:i/>
        </w:rPr>
        <w:t>2022</w:t>
      </w:r>
      <w:r w:rsidRPr="00EB2BD8">
        <w:rPr>
          <w:i/>
          <w:spacing w:val="-7"/>
        </w:rPr>
        <w:t xml:space="preserve"> </w:t>
      </w:r>
      <w:r w:rsidRPr="00EB2BD8">
        <w:t>(Vic)</w:t>
      </w:r>
      <w:r w:rsidRPr="00EB2BD8">
        <w:rPr>
          <w:spacing w:val="-7"/>
        </w:rPr>
        <w:t xml:space="preserve"> </w:t>
      </w:r>
      <w:r w:rsidRPr="00EB2BD8">
        <w:t>(SoP</w:t>
      </w:r>
      <w:r w:rsidRPr="00EB2BD8">
        <w:rPr>
          <w:spacing w:val="-7"/>
        </w:rPr>
        <w:t xml:space="preserve"> </w:t>
      </w:r>
      <w:r w:rsidRPr="00EB2BD8">
        <w:t>Act)</w:t>
      </w:r>
      <w:r w:rsidRPr="00EB2BD8">
        <w:rPr>
          <w:spacing w:val="-7"/>
        </w:rPr>
        <w:t xml:space="preserve"> </w:t>
      </w:r>
      <w:r w:rsidRPr="00EB2BD8">
        <w:t>provides</w:t>
      </w:r>
      <w:r w:rsidRPr="00EB2BD8">
        <w:rPr>
          <w:spacing w:val="-7"/>
        </w:rPr>
        <w:t xml:space="preserve"> </w:t>
      </w:r>
      <w:r w:rsidRPr="00EB2BD8">
        <w:t>mechanisms for building practitioners and contractors to obtain payment for work undertaken or for the supply of related goods and services. The objective of the SoP Act is to enable better and prompt payment practices, which</w:t>
      </w:r>
      <w:r w:rsidRPr="00EB2BD8">
        <w:rPr>
          <w:spacing w:val="-1"/>
        </w:rPr>
        <w:t xml:space="preserve"> </w:t>
      </w:r>
      <w:r w:rsidRPr="00EB2BD8">
        <w:t>benefit</w:t>
      </w:r>
      <w:r w:rsidRPr="00EB2BD8">
        <w:rPr>
          <w:spacing w:val="-1"/>
        </w:rPr>
        <w:t xml:space="preserve"> </w:t>
      </w:r>
      <w:r w:rsidRPr="00EB2BD8">
        <w:t>the</w:t>
      </w:r>
      <w:r w:rsidRPr="00EB2BD8">
        <w:rPr>
          <w:spacing w:val="-1"/>
        </w:rPr>
        <w:t xml:space="preserve"> </w:t>
      </w:r>
      <w:r w:rsidRPr="00EB2BD8">
        <w:t>industry</w:t>
      </w:r>
      <w:r w:rsidRPr="00EB2BD8">
        <w:rPr>
          <w:spacing w:val="-1"/>
        </w:rPr>
        <w:t xml:space="preserve"> </w:t>
      </w:r>
      <w:r w:rsidRPr="00EB2BD8">
        <w:t>and,</w:t>
      </w:r>
      <w:r w:rsidRPr="00EB2BD8">
        <w:rPr>
          <w:spacing w:val="-1"/>
        </w:rPr>
        <w:t xml:space="preserve"> </w:t>
      </w:r>
      <w:r w:rsidRPr="00EB2BD8">
        <w:t>ultimately,</w:t>
      </w:r>
      <w:r w:rsidRPr="00EB2BD8">
        <w:rPr>
          <w:spacing w:val="-1"/>
        </w:rPr>
        <w:t xml:space="preserve"> </w:t>
      </w:r>
      <w:r w:rsidRPr="00EB2BD8">
        <w:t>the</w:t>
      </w:r>
      <w:r w:rsidRPr="00EB2BD8">
        <w:rPr>
          <w:spacing w:val="-1"/>
        </w:rPr>
        <w:t xml:space="preserve"> </w:t>
      </w:r>
      <w:r w:rsidRPr="00EB2BD8">
        <w:t xml:space="preserve">broader </w:t>
      </w:r>
      <w:r w:rsidRPr="00EB2BD8">
        <w:rPr>
          <w:spacing w:val="-2"/>
        </w:rPr>
        <w:t>community.</w:t>
      </w:r>
    </w:p>
    <w:p w14:paraId="4FEDDF08" w14:textId="77777777" w:rsidR="00084F36" w:rsidRPr="00EB2BD8" w:rsidRDefault="00EB2BD8">
      <w:pPr>
        <w:pStyle w:val="BodyText"/>
        <w:spacing w:before="106" w:line="261" w:lineRule="auto"/>
        <w:ind w:left="850" w:right="87"/>
      </w:pPr>
      <w:r w:rsidRPr="00EB2BD8">
        <w:t>The intention of the security of payment mechanisms is to enable construction industry contractors to be paid promptly for their work or the supply of related goods and services. These mechanisms are crucial to ensuring contractors have working capital so they can participate</w:t>
      </w:r>
      <w:r w:rsidRPr="00EB2BD8">
        <w:rPr>
          <w:spacing w:val="-2"/>
        </w:rPr>
        <w:t xml:space="preserve"> </w:t>
      </w:r>
      <w:r w:rsidRPr="00EB2BD8">
        <w:t>fully</w:t>
      </w:r>
      <w:r w:rsidRPr="00EB2BD8">
        <w:rPr>
          <w:spacing w:val="-2"/>
        </w:rPr>
        <w:t xml:space="preserve"> </w:t>
      </w:r>
      <w:r w:rsidRPr="00EB2BD8">
        <w:t>in</w:t>
      </w:r>
      <w:r w:rsidRPr="00EB2BD8">
        <w:rPr>
          <w:spacing w:val="-2"/>
        </w:rPr>
        <w:t xml:space="preserve"> </w:t>
      </w:r>
      <w:r w:rsidRPr="00EB2BD8">
        <w:t>a</w:t>
      </w:r>
      <w:r w:rsidRPr="00EB2BD8">
        <w:rPr>
          <w:spacing w:val="-2"/>
        </w:rPr>
        <w:t xml:space="preserve"> </w:t>
      </w:r>
      <w:r w:rsidRPr="00EB2BD8">
        <w:t>dynamic</w:t>
      </w:r>
      <w:r w:rsidRPr="00EB2BD8">
        <w:rPr>
          <w:spacing w:val="-2"/>
        </w:rPr>
        <w:t xml:space="preserve"> </w:t>
      </w:r>
      <w:r w:rsidRPr="00EB2BD8">
        <w:t>industry</w:t>
      </w:r>
      <w:r w:rsidRPr="00EB2BD8">
        <w:rPr>
          <w:spacing w:val="-2"/>
        </w:rPr>
        <w:t xml:space="preserve"> </w:t>
      </w:r>
      <w:r w:rsidRPr="00EB2BD8">
        <w:t>that</w:t>
      </w:r>
      <w:r w:rsidRPr="00EB2BD8">
        <w:rPr>
          <w:spacing w:val="-2"/>
        </w:rPr>
        <w:t xml:space="preserve"> </w:t>
      </w:r>
      <w:r w:rsidRPr="00EB2BD8">
        <w:t>contributes to a productive economy.</w:t>
      </w:r>
    </w:p>
    <w:p w14:paraId="7392046E" w14:textId="77777777" w:rsidR="00084F36" w:rsidRPr="00EB2BD8" w:rsidRDefault="00084F36">
      <w:pPr>
        <w:pStyle w:val="BodyText"/>
        <w:spacing w:before="4"/>
        <w:rPr>
          <w:sz w:val="24"/>
        </w:rPr>
      </w:pPr>
    </w:p>
    <w:p w14:paraId="43C0D796" w14:textId="77777777" w:rsidR="00084F36" w:rsidRPr="00EB2BD8" w:rsidRDefault="00EB2BD8" w:rsidP="00EB2BD8">
      <w:pPr>
        <w:pStyle w:val="Heading3"/>
      </w:pPr>
      <w:bookmarkStart w:id="81" w:name="_Toc150762383"/>
      <w:r w:rsidRPr="00EB2BD8">
        <w:t>Adjudication</w:t>
      </w:r>
      <w:r w:rsidRPr="00EB2BD8">
        <w:rPr>
          <w:spacing w:val="13"/>
        </w:rPr>
        <w:t xml:space="preserve"> </w:t>
      </w:r>
      <w:r w:rsidRPr="00EB2BD8">
        <w:rPr>
          <w:spacing w:val="-2"/>
        </w:rPr>
        <w:t>applications</w:t>
      </w:r>
      <w:bookmarkEnd w:id="81"/>
    </w:p>
    <w:p w14:paraId="581B776C" w14:textId="77777777" w:rsidR="00084F36" w:rsidRPr="00EB2BD8" w:rsidRDefault="00EB2BD8">
      <w:pPr>
        <w:pStyle w:val="BodyText"/>
        <w:spacing w:before="138" w:line="261" w:lineRule="auto"/>
        <w:ind w:left="850"/>
      </w:pPr>
      <w:r w:rsidRPr="00EB2BD8">
        <w:t>The Security of Payment adjudication process is managed</w:t>
      </w:r>
      <w:r w:rsidRPr="00EB2BD8">
        <w:rPr>
          <w:spacing w:val="-15"/>
        </w:rPr>
        <w:t xml:space="preserve"> </w:t>
      </w:r>
      <w:r w:rsidRPr="00EB2BD8">
        <w:t>by</w:t>
      </w:r>
      <w:r w:rsidRPr="00EB2BD8">
        <w:rPr>
          <w:spacing w:val="-14"/>
        </w:rPr>
        <w:t xml:space="preserve"> </w:t>
      </w:r>
      <w:r w:rsidRPr="00EB2BD8">
        <w:t>Authorised</w:t>
      </w:r>
      <w:r w:rsidRPr="00EB2BD8">
        <w:rPr>
          <w:spacing w:val="-14"/>
        </w:rPr>
        <w:t xml:space="preserve"> </w:t>
      </w:r>
      <w:r w:rsidRPr="00EB2BD8">
        <w:t>Nominating</w:t>
      </w:r>
      <w:r w:rsidRPr="00EB2BD8">
        <w:rPr>
          <w:spacing w:val="-14"/>
        </w:rPr>
        <w:t xml:space="preserve"> </w:t>
      </w:r>
      <w:r w:rsidRPr="00EB2BD8">
        <w:t>Authorities</w:t>
      </w:r>
      <w:r w:rsidRPr="00EB2BD8">
        <w:rPr>
          <w:spacing w:val="-15"/>
        </w:rPr>
        <w:t xml:space="preserve"> </w:t>
      </w:r>
      <w:r w:rsidRPr="00EB2BD8">
        <w:t>(ANAs), who are authorised to perform this service by the</w:t>
      </w:r>
    </w:p>
    <w:p w14:paraId="30C15396" w14:textId="77777777" w:rsidR="00084F36" w:rsidRPr="00EB2BD8" w:rsidRDefault="00EB2BD8">
      <w:pPr>
        <w:pStyle w:val="BodyText"/>
        <w:spacing w:line="261" w:lineRule="auto"/>
        <w:ind w:left="850" w:right="56"/>
      </w:pPr>
      <w:r w:rsidRPr="00EB2BD8">
        <w:t>VBA. It is intended to provide a fast and inexpensive adjudication service for claimants (those owed payment) to recover payment from respondents (those owing payment) without the need for lawyers.</w:t>
      </w:r>
    </w:p>
    <w:p w14:paraId="03B063CF" w14:textId="77777777" w:rsidR="00084F36" w:rsidRPr="00EB2BD8" w:rsidRDefault="00EB2BD8">
      <w:pPr>
        <w:pStyle w:val="BodyText"/>
        <w:spacing w:before="106" w:line="261" w:lineRule="auto"/>
        <w:ind w:left="850"/>
      </w:pPr>
      <w:r w:rsidRPr="00EB2BD8">
        <w:t xml:space="preserve">The VBA analyses ANA data as part of the adjudication </w:t>
      </w:r>
      <w:r w:rsidRPr="00EB2BD8">
        <w:rPr>
          <w:spacing w:val="-2"/>
          <w:w w:val="105"/>
        </w:rPr>
        <w:t>process.</w:t>
      </w:r>
    </w:p>
    <w:p w14:paraId="20F1A629" w14:textId="77777777" w:rsidR="00084F36" w:rsidRPr="00EB2BD8" w:rsidRDefault="00EB2BD8">
      <w:pPr>
        <w:pStyle w:val="BodyText"/>
        <w:spacing w:before="111" w:line="261" w:lineRule="auto"/>
        <w:ind w:left="850" w:right="70"/>
      </w:pPr>
      <w:r w:rsidRPr="00EB2BD8">
        <w:t>The number of adjudication applications in 2022-23 increased</w:t>
      </w:r>
      <w:r w:rsidRPr="00EB2BD8">
        <w:rPr>
          <w:spacing w:val="-15"/>
        </w:rPr>
        <w:t xml:space="preserve"> </w:t>
      </w:r>
      <w:r w:rsidRPr="00EB2BD8">
        <w:t>by</w:t>
      </w:r>
      <w:r w:rsidRPr="00EB2BD8">
        <w:rPr>
          <w:spacing w:val="-14"/>
        </w:rPr>
        <w:t xml:space="preserve"> </w:t>
      </w:r>
      <w:r w:rsidRPr="00EB2BD8">
        <w:t>18.5</w:t>
      </w:r>
      <w:r w:rsidRPr="00EB2BD8">
        <w:rPr>
          <w:spacing w:val="-14"/>
        </w:rPr>
        <w:t xml:space="preserve"> </w:t>
      </w:r>
      <w:r w:rsidRPr="00EB2BD8">
        <w:t>per</w:t>
      </w:r>
      <w:r w:rsidRPr="00EB2BD8">
        <w:rPr>
          <w:spacing w:val="-14"/>
        </w:rPr>
        <w:t xml:space="preserve"> </w:t>
      </w:r>
      <w:r w:rsidRPr="00EB2BD8">
        <w:t>cent</w:t>
      </w:r>
      <w:r w:rsidRPr="00EB2BD8">
        <w:rPr>
          <w:spacing w:val="-15"/>
        </w:rPr>
        <w:t xml:space="preserve"> </w:t>
      </w:r>
      <w:r w:rsidRPr="00EB2BD8">
        <w:t>compared</w:t>
      </w:r>
      <w:r w:rsidRPr="00EB2BD8">
        <w:rPr>
          <w:spacing w:val="-14"/>
        </w:rPr>
        <w:t xml:space="preserve"> </w:t>
      </w:r>
      <w:r w:rsidRPr="00EB2BD8">
        <w:t>to</w:t>
      </w:r>
      <w:r w:rsidRPr="00EB2BD8">
        <w:rPr>
          <w:spacing w:val="-14"/>
        </w:rPr>
        <w:t xml:space="preserve"> </w:t>
      </w:r>
      <w:r w:rsidRPr="00EB2BD8">
        <w:t>last</w:t>
      </w:r>
      <w:r w:rsidRPr="00EB2BD8">
        <w:rPr>
          <w:spacing w:val="-14"/>
        </w:rPr>
        <w:t xml:space="preserve"> </w:t>
      </w:r>
      <w:r w:rsidRPr="00EB2BD8">
        <w:t>year.</w:t>
      </w:r>
      <w:r w:rsidRPr="00EB2BD8">
        <w:rPr>
          <w:spacing w:val="-15"/>
        </w:rPr>
        <w:t xml:space="preserve"> </w:t>
      </w:r>
      <w:r w:rsidRPr="00EB2BD8">
        <w:t>There was a slight increase in the percentage of applications not proceeding to an adjudication determination in 2022-23 compared with a year ago (40 per cent in</w:t>
      </w:r>
    </w:p>
    <w:p w14:paraId="718041F1" w14:textId="77777777" w:rsidR="00084F36" w:rsidRPr="00EB2BD8" w:rsidRDefault="00EB2BD8">
      <w:pPr>
        <w:pStyle w:val="BodyText"/>
        <w:spacing w:line="261" w:lineRule="auto"/>
        <w:ind w:left="850"/>
      </w:pPr>
      <w:r w:rsidRPr="00EB2BD8">
        <w:t>2022-23). This suggests claimants continue to use the application</w:t>
      </w:r>
      <w:r w:rsidRPr="00EB2BD8">
        <w:rPr>
          <w:spacing w:val="-5"/>
        </w:rPr>
        <w:t xml:space="preserve"> </w:t>
      </w:r>
      <w:r w:rsidRPr="00EB2BD8">
        <w:t>process</w:t>
      </w:r>
      <w:r w:rsidRPr="00EB2BD8">
        <w:rPr>
          <w:spacing w:val="-5"/>
        </w:rPr>
        <w:t xml:space="preserve"> </w:t>
      </w:r>
      <w:r w:rsidRPr="00EB2BD8">
        <w:t>to</w:t>
      </w:r>
      <w:r w:rsidRPr="00EB2BD8">
        <w:rPr>
          <w:spacing w:val="-5"/>
        </w:rPr>
        <w:t xml:space="preserve"> </w:t>
      </w:r>
      <w:r w:rsidRPr="00EB2BD8">
        <w:t>resolve</w:t>
      </w:r>
      <w:r w:rsidRPr="00EB2BD8">
        <w:rPr>
          <w:spacing w:val="-5"/>
        </w:rPr>
        <w:t xml:space="preserve"> </w:t>
      </w:r>
      <w:r w:rsidRPr="00EB2BD8">
        <w:t>and</w:t>
      </w:r>
      <w:r w:rsidRPr="00EB2BD8">
        <w:rPr>
          <w:spacing w:val="-5"/>
        </w:rPr>
        <w:t xml:space="preserve"> </w:t>
      </w:r>
      <w:r w:rsidRPr="00EB2BD8">
        <w:t>settle</w:t>
      </w:r>
      <w:r w:rsidRPr="00EB2BD8">
        <w:rPr>
          <w:spacing w:val="-5"/>
        </w:rPr>
        <w:t xml:space="preserve"> </w:t>
      </w:r>
      <w:r w:rsidRPr="00EB2BD8">
        <w:t>matters</w:t>
      </w:r>
      <w:r w:rsidRPr="00EB2BD8">
        <w:rPr>
          <w:spacing w:val="-5"/>
        </w:rPr>
        <w:t xml:space="preserve"> </w:t>
      </w:r>
      <w:r w:rsidRPr="00EB2BD8">
        <w:t>before adjudication determinations are made by adjudicators. In 2022-23, adjudication application activity continued to be spread across a broad spectrum of claim values. However, most claims (91 per cent) were for amounts less</w:t>
      </w:r>
      <w:r w:rsidRPr="00EB2BD8">
        <w:rPr>
          <w:spacing w:val="-1"/>
        </w:rPr>
        <w:t xml:space="preserve"> </w:t>
      </w:r>
      <w:r w:rsidRPr="00EB2BD8">
        <w:t>than</w:t>
      </w:r>
      <w:r w:rsidRPr="00EB2BD8">
        <w:rPr>
          <w:spacing w:val="-1"/>
        </w:rPr>
        <w:t xml:space="preserve"> </w:t>
      </w:r>
      <w:r w:rsidRPr="00EB2BD8">
        <w:t>$500,000,</w:t>
      </w:r>
      <w:r w:rsidRPr="00EB2BD8">
        <w:rPr>
          <w:spacing w:val="-1"/>
        </w:rPr>
        <w:t xml:space="preserve"> </w:t>
      </w:r>
      <w:r w:rsidRPr="00EB2BD8">
        <w:t>and</w:t>
      </w:r>
      <w:r w:rsidRPr="00EB2BD8">
        <w:rPr>
          <w:spacing w:val="-1"/>
        </w:rPr>
        <w:t xml:space="preserve"> </w:t>
      </w:r>
      <w:r w:rsidRPr="00EB2BD8">
        <w:t>15</w:t>
      </w:r>
      <w:r w:rsidRPr="00EB2BD8">
        <w:rPr>
          <w:spacing w:val="-1"/>
        </w:rPr>
        <w:t xml:space="preserve"> </w:t>
      </w:r>
      <w:r w:rsidRPr="00EB2BD8">
        <w:t>per</w:t>
      </w:r>
      <w:r w:rsidRPr="00EB2BD8">
        <w:rPr>
          <w:spacing w:val="-1"/>
        </w:rPr>
        <w:t xml:space="preserve"> </w:t>
      </w:r>
      <w:r w:rsidRPr="00EB2BD8">
        <w:t>cent</w:t>
      </w:r>
      <w:r w:rsidRPr="00EB2BD8">
        <w:rPr>
          <w:spacing w:val="-1"/>
        </w:rPr>
        <w:t xml:space="preserve"> </w:t>
      </w:r>
      <w:r w:rsidRPr="00EB2BD8">
        <w:t>of</w:t>
      </w:r>
      <w:r w:rsidRPr="00EB2BD8">
        <w:rPr>
          <w:spacing w:val="-1"/>
        </w:rPr>
        <w:t xml:space="preserve"> </w:t>
      </w:r>
      <w:r w:rsidRPr="00EB2BD8">
        <w:t>all</w:t>
      </w:r>
      <w:r w:rsidRPr="00EB2BD8">
        <w:rPr>
          <w:spacing w:val="-1"/>
        </w:rPr>
        <w:t xml:space="preserve"> </w:t>
      </w:r>
      <w:r w:rsidRPr="00EB2BD8">
        <w:t>claims</w:t>
      </w:r>
      <w:r w:rsidRPr="00EB2BD8">
        <w:rPr>
          <w:spacing w:val="-1"/>
        </w:rPr>
        <w:t xml:space="preserve"> </w:t>
      </w:r>
      <w:r w:rsidRPr="00EB2BD8">
        <w:t>were for less than $10,000.</w:t>
      </w:r>
    </w:p>
    <w:p w14:paraId="606EAC97" w14:textId="77777777" w:rsidR="00084F36" w:rsidRPr="00EB2BD8" w:rsidRDefault="00EB2BD8">
      <w:pPr>
        <w:pStyle w:val="BodyText"/>
        <w:spacing w:before="100" w:line="261" w:lineRule="auto"/>
        <w:ind w:left="850"/>
      </w:pPr>
      <w:r w:rsidRPr="00EB2BD8">
        <w:t>Evidence suggests that industry practitioners are using the SoP Act for a wide variety of claims across the industry.</w:t>
      </w:r>
      <w:r w:rsidRPr="00EB2BD8">
        <w:rPr>
          <w:spacing w:val="-14"/>
        </w:rPr>
        <w:t xml:space="preserve"> </w:t>
      </w:r>
      <w:r w:rsidRPr="00EB2BD8">
        <w:t>For</w:t>
      </w:r>
      <w:r w:rsidRPr="00EB2BD8">
        <w:rPr>
          <w:spacing w:val="-14"/>
        </w:rPr>
        <w:t xml:space="preserve"> </w:t>
      </w:r>
      <w:r w:rsidRPr="00EB2BD8">
        <w:t>example,</w:t>
      </w:r>
      <w:r w:rsidRPr="00EB2BD8">
        <w:rPr>
          <w:spacing w:val="-14"/>
        </w:rPr>
        <w:t xml:space="preserve"> </w:t>
      </w:r>
      <w:r w:rsidRPr="00EB2BD8">
        <w:t>analysis</w:t>
      </w:r>
      <w:r w:rsidRPr="00EB2BD8">
        <w:rPr>
          <w:spacing w:val="-14"/>
        </w:rPr>
        <w:t xml:space="preserve"> </w:t>
      </w:r>
      <w:r w:rsidRPr="00EB2BD8">
        <w:t>of</w:t>
      </w:r>
      <w:r w:rsidRPr="00EB2BD8">
        <w:rPr>
          <w:spacing w:val="-14"/>
        </w:rPr>
        <w:t xml:space="preserve"> </w:t>
      </w:r>
      <w:r w:rsidRPr="00EB2BD8">
        <w:t>2022-23</w:t>
      </w:r>
      <w:r w:rsidRPr="00EB2BD8">
        <w:rPr>
          <w:spacing w:val="-14"/>
        </w:rPr>
        <w:t xml:space="preserve"> </w:t>
      </w:r>
      <w:r w:rsidRPr="00EB2BD8">
        <w:t>adjudication applications</w:t>
      </w:r>
      <w:r w:rsidRPr="00EB2BD8">
        <w:rPr>
          <w:spacing w:val="-6"/>
        </w:rPr>
        <w:t xml:space="preserve"> </w:t>
      </w:r>
      <w:r w:rsidRPr="00EB2BD8">
        <w:t>indicated:</w:t>
      </w:r>
    </w:p>
    <w:p w14:paraId="10E00861" w14:textId="77777777" w:rsidR="00084F36" w:rsidRPr="00EB2BD8" w:rsidRDefault="00EB2BD8">
      <w:pPr>
        <w:pStyle w:val="ListParagraph"/>
        <w:numPr>
          <w:ilvl w:val="0"/>
          <w:numId w:val="67"/>
        </w:numPr>
        <w:tabs>
          <w:tab w:val="left" w:pos="1133"/>
        </w:tabs>
        <w:spacing w:before="66" w:line="261" w:lineRule="auto"/>
        <w:ind w:right="217"/>
        <w:rPr>
          <w:sz w:val="18"/>
        </w:rPr>
      </w:pPr>
      <w:r w:rsidRPr="00EB2BD8">
        <w:rPr>
          <w:sz w:val="18"/>
        </w:rPr>
        <w:t>Contractors of all sizes and types (predominately companies)</w:t>
      </w:r>
      <w:r w:rsidRPr="00EB2BD8">
        <w:rPr>
          <w:spacing w:val="-4"/>
          <w:sz w:val="18"/>
        </w:rPr>
        <w:t xml:space="preserve"> </w:t>
      </w:r>
      <w:r w:rsidRPr="00EB2BD8">
        <w:rPr>
          <w:sz w:val="18"/>
        </w:rPr>
        <w:t>are</w:t>
      </w:r>
      <w:r w:rsidRPr="00EB2BD8">
        <w:rPr>
          <w:spacing w:val="-4"/>
          <w:sz w:val="18"/>
        </w:rPr>
        <w:t xml:space="preserve"> </w:t>
      </w:r>
      <w:r w:rsidRPr="00EB2BD8">
        <w:rPr>
          <w:sz w:val="18"/>
        </w:rPr>
        <w:t>using</w:t>
      </w:r>
      <w:r w:rsidRPr="00EB2BD8">
        <w:rPr>
          <w:spacing w:val="-4"/>
          <w:sz w:val="18"/>
        </w:rPr>
        <w:t xml:space="preserve"> </w:t>
      </w:r>
      <w:r w:rsidRPr="00EB2BD8">
        <w:rPr>
          <w:sz w:val="18"/>
        </w:rPr>
        <w:t>the</w:t>
      </w:r>
      <w:r w:rsidRPr="00EB2BD8">
        <w:rPr>
          <w:spacing w:val="-4"/>
          <w:sz w:val="18"/>
        </w:rPr>
        <w:t xml:space="preserve"> </w:t>
      </w:r>
      <w:r w:rsidRPr="00EB2BD8">
        <w:rPr>
          <w:sz w:val="18"/>
        </w:rPr>
        <w:t>SoP</w:t>
      </w:r>
      <w:r w:rsidRPr="00EB2BD8">
        <w:rPr>
          <w:spacing w:val="-4"/>
          <w:sz w:val="18"/>
        </w:rPr>
        <w:t xml:space="preserve"> </w:t>
      </w:r>
      <w:r w:rsidRPr="00EB2BD8">
        <w:rPr>
          <w:sz w:val="18"/>
        </w:rPr>
        <w:t>Act,</w:t>
      </w:r>
      <w:r w:rsidRPr="00EB2BD8">
        <w:rPr>
          <w:spacing w:val="-4"/>
          <w:sz w:val="18"/>
        </w:rPr>
        <w:t xml:space="preserve"> </w:t>
      </w:r>
      <w:r w:rsidRPr="00EB2BD8">
        <w:rPr>
          <w:sz w:val="18"/>
        </w:rPr>
        <w:t>however</w:t>
      </w:r>
      <w:r w:rsidRPr="00EB2BD8">
        <w:rPr>
          <w:spacing w:val="-4"/>
          <w:sz w:val="18"/>
        </w:rPr>
        <w:t xml:space="preserve"> </w:t>
      </w:r>
      <w:r w:rsidRPr="00EB2BD8">
        <w:rPr>
          <w:sz w:val="18"/>
        </w:rPr>
        <w:t>claims are predominantly brought by subcontractors.</w:t>
      </w:r>
    </w:p>
    <w:p w14:paraId="7DAE3DD0" w14:textId="77777777" w:rsidR="00084F36" w:rsidRPr="00EB2BD8" w:rsidRDefault="00EB2BD8">
      <w:pPr>
        <w:pStyle w:val="ListParagraph"/>
        <w:numPr>
          <w:ilvl w:val="0"/>
          <w:numId w:val="67"/>
        </w:numPr>
        <w:tabs>
          <w:tab w:val="left" w:pos="1133"/>
        </w:tabs>
        <w:spacing w:before="67" w:line="261" w:lineRule="auto"/>
        <w:ind w:right="235"/>
        <w:rPr>
          <w:sz w:val="18"/>
        </w:rPr>
      </w:pPr>
      <w:r w:rsidRPr="00EB2BD8">
        <w:rPr>
          <w:sz w:val="18"/>
        </w:rPr>
        <w:t>Subcontractors</w:t>
      </w:r>
      <w:r w:rsidRPr="00EB2BD8">
        <w:rPr>
          <w:spacing w:val="-3"/>
          <w:sz w:val="18"/>
        </w:rPr>
        <w:t xml:space="preserve"> </w:t>
      </w:r>
      <w:r w:rsidRPr="00EB2BD8">
        <w:rPr>
          <w:sz w:val="18"/>
        </w:rPr>
        <w:t>continue</w:t>
      </w:r>
      <w:r w:rsidRPr="00EB2BD8">
        <w:rPr>
          <w:spacing w:val="-3"/>
          <w:sz w:val="18"/>
        </w:rPr>
        <w:t xml:space="preserve"> </w:t>
      </w:r>
      <w:r w:rsidRPr="00EB2BD8">
        <w:rPr>
          <w:sz w:val="18"/>
        </w:rPr>
        <w:t>to</w:t>
      </w:r>
      <w:r w:rsidRPr="00EB2BD8">
        <w:rPr>
          <w:spacing w:val="-3"/>
          <w:sz w:val="18"/>
        </w:rPr>
        <w:t xml:space="preserve"> </w:t>
      </w:r>
      <w:r w:rsidRPr="00EB2BD8">
        <w:rPr>
          <w:sz w:val="18"/>
        </w:rPr>
        <w:t>be</w:t>
      </w:r>
      <w:r w:rsidRPr="00EB2BD8">
        <w:rPr>
          <w:spacing w:val="-3"/>
          <w:sz w:val="18"/>
        </w:rPr>
        <w:t xml:space="preserve"> </w:t>
      </w:r>
      <w:r w:rsidRPr="00EB2BD8">
        <w:rPr>
          <w:sz w:val="18"/>
        </w:rPr>
        <w:t>the</w:t>
      </w:r>
      <w:r w:rsidRPr="00EB2BD8">
        <w:rPr>
          <w:spacing w:val="-3"/>
          <w:sz w:val="18"/>
        </w:rPr>
        <w:t xml:space="preserve"> </w:t>
      </w:r>
      <w:r w:rsidRPr="00EB2BD8">
        <w:rPr>
          <w:sz w:val="18"/>
        </w:rPr>
        <w:t>most</w:t>
      </w:r>
      <w:r w:rsidRPr="00EB2BD8">
        <w:rPr>
          <w:spacing w:val="-3"/>
          <w:sz w:val="18"/>
        </w:rPr>
        <w:t xml:space="preserve"> </w:t>
      </w:r>
      <w:r w:rsidRPr="00EB2BD8">
        <w:rPr>
          <w:sz w:val="18"/>
        </w:rPr>
        <w:t>prevalent users of adjudication process with 54 per cent</w:t>
      </w:r>
    </w:p>
    <w:p w14:paraId="208646D5" w14:textId="77777777" w:rsidR="00084F36" w:rsidRPr="00EB2BD8" w:rsidRDefault="00EB2BD8">
      <w:pPr>
        <w:pStyle w:val="BodyText"/>
        <w:spacing w:line="261" w:lineRule="auto"/>
        <w:ind w:left="1133" w:right="359"/>
      </w:pPr>
      <w:r w:rsidRPr="00EB2BD8">
        <w:t>of</w:t>
      </w:r>
      <w:r w:rsidRPr="00EB2BD8">
        <w:rPr>
          <w:spacing w:val="-15"/>
        </w:rPr>
        <w:t xml:space="preserve"> </w:t>
      </w:r>
      <w:r w:rsidRPr="00EB2BD8">
        <w:t>claimants</w:t>
      </w:r>
      <w:r w:rsidRPr="00EB2BD8">
        <w:rPr>
          <w:spacing w:val="-14"/>
        </w:rPr>
        <w:t xml:space="preserve"> </w:t>
      </w:r>
      <w:r w:rsidRPr="00EB2BD8">
        <w:t>being</w:t>
      </w:r>
      <w:r w:rsidRPr="00EB2BD8">
        <w:rPr>
          <w:spacing w:val="-14"/>
        </w:rPr>
        <w:t xml:space="preserve"> </w:t>
      </w:r>
      <w:r w:rsidRPr="00EB2BD8">
        <w:t>trade</w:t>
      </w:r>
      <w:r w:rsidRPr="00EB2BD8">
        <w:rPr>
          <w:spacing w:val="-14"/>
        </w:rPr>
        <w:t xml:space="preserve"> </w:t>
      </w:r>
      <w:r w:rsidRPr="00EB2BD8">
        <w:t>subcontractors,</w:t>
      </w:r>
      <w:r w:rsidRPr="00EB2BD8">
        <w:rPr>
          <w:spacing w:val="-15"/>
        </w:rPr>
        <w:t xml:space="preserve"> </w:t>
      </w:r>
      <w:r w:rsidRPr="00EB2BD8">
        <w:t>18</w:t>
      </w:r>
      <w:r w:rsidRPr="00EB2BD8">
        <w:rPr>
          <w:spacing w:val="-14"/>
        </w:rPr>
        <w:t xml:space="preserve"> </w:t>
      </w:r>
      <w:r w:rsidRPr="00EB2BD8">
        <w:t xml:space="preserve">per cent head contractors and 17 per cent major </w:t>
      </w:r>
      <w:r w:rsidRPr="00EB2BD8">
        <w:rPr>
          <w:spacing w:val="-2"/>
        </w:rPr>
        <w:t>subcontractors.</w:t>
      </w:r>
    </w:p>
    <w:p w14:paraId="5A580D01" w14:textId="77777777" w:rsidR="00084F36" w:rsidRPr="00EB2BD8" w:rsidRDefault="00EB2BD8">
      <w:pPr>
        <w:rPr>
          <w:sz w:val="20"/>
        </w:rPr>
      </w:pPr>
      <w:r w:rsidRPr="00EB2BD8">
        <w:br w:type="column"/>
      </w:r>
    </w:p>
    <w:p w14:paraId="0166279C" w14:textId="77777777" w:rsidR="00084F36" w:rsidRPr="00EB2BD8" w:rsidRDefault="00084F36">
      <w:pPr>
        <w:pStyle w:val="BodyText"/>
        <w:spacing w:before="7"/>
        <w:rPr>
          <w:sz w:val="21"/>
        </w:rPr>
      </w:pPr>
    </w:p>
    <w:p w14:paraId="470A345C" w14:textId="77777777" w:rsidR="00084F36" w:rsidRPr="00EB2BD8" w:rsidRDefault="00EB2BD8">
      <w:pPr>
        <w:pStyle w:val="ListParagraph"/>
        <w:numPr>
          <w:ilvl w:val="0"/>
          <w:numId w:val="66"/>
        </w:numPr>
        <w:tabs>
          <w:tab w:val="left" w:pos="697"/>
        </w:tabs>
        <w:spacing w:line="261" w:lineRule="auto"/>
        <w:ind w:right="940"/>
        <w:rPr>
          <w:sz w:val="18"/>
        </w:rPr>
      </w:pPr>
      <w:r w:rsidRPr="00EB2BD8">
        <w:rPr>
          <w:sz w:val="18"/>
        </w:rPr>
        <w:t>Adjudication applications are predominately brought</w:t>
      </w:r>
      <w:r w:rsidRPr="00EB2BD8">
        <w:rPr>
          <w:spacing w:val="-2"/>
          <w:sz w:val="18"/>
        </w:rPr>
        <w:t xml:space="preserve"> </w:t>
      </w:r>
      <w:r w:rsidRPr="00EB2BD8">
        <w:rPr>
          <w:sz w:val="18"/>
        </w:rPr>
        <w:t>against</w:t>
      </w:r>
      <w:r w:rsidRPr="00EB2BD8">
        <w:rPr>
          <w:spacing w:val="-2"/>
          <w:sz w:val="18"/>
        </w:rPr>
        <w:t xml:space="preserve"> </w:t>
      </w:r>
      <w:r w:rsidRPr="00EB2BD8">
        <w:rPr>
          <w:sz w:val="18"/>
        </w:rPr>
        <w:t>head</w:t>
      </w:r>
      <w:r w:rsidRPr="00EB2BD8">
        <w:rPr>
          <w:spacing w:val="-2"/>
          <w:sz w:val="18"/>
        </w:rPr>
        <w:t xml:space="preserve"> </w:t>
      </w:r>
      <w:r w:rsidRPr="00EB2BD8">
        <w:rPr>
          <w:sz w:val="18"/>
        </w:rPr>
        <w:t>contractors</w:t>
      </w:r>
      <w:r w:rsidRPr="00EB2BD8">
        <w:rPr>
          <w:spacing w:val="-2"/>
          <w:sz w:val="18"/>
        </w:rPr>
        <w:t xml:space="preserve"> </w:t>
      </w:r>
      <w:r w:rsidRPr="00EB2BD8">
        <w:rPr>
          <w:sz w:val="18"/>
        </w:rPr>
        <w:t>(57</w:t>
      </w:r>
      <w:r w:rsidRPr="00EB2BD8">
        <w:rPr>
          <w:spacing w:val="-2"/>
          <w:sz w:val="18"/>
        </w:rPr>
        <w:t xml:space="preserve"> </w:t>
      </w:r>
      <w:r w:rsidRPr="00EB2BD8">
        <w:rPr>
          <w:sz w:val="18"/>
        </w:rPr>
        <w:t>per</w:t>
      </w:r>
      <w:r w:rsidRPr="00EB2BD8">
        <w:rPr>
          <w:spacing w:val="-2"/>
          <w:sz w:val="18"/>
        </w:rPr>
        <w:t xml:space="preserve"> </w:t>
      </w:r>
      <w:r w:rsidRPr="00EB2BD8">
        <w:rPr>
          <w:sz w:val="18"/>
        </w:rPr>
        <w:t>cent)</w:t>
      </w:r>
      <w:r w:rsidRPr="00EB2BD8">
        <w:rPr>
          <w:spacing w:val="-2"/>
          <w:sz w:val="18"/>
        </w:rPr>
        <w:t xml:space="preserve"> </w:t>
      </w:r>
      <w:r w:rsidRPr="00EB2BD8">
        <w:rPr>
          <w:sz w:val="18"/>
        </w:rPr>
        <w:t>and developers (21 per cent).</w:t>
      </w:r>
    </w:p>
    <w:p w14:paraId="6D877919" w14:textId="77777777" w:rsidR="00084F36" w:rsidRPr="00EB2BD8" w:rsidRDefault="00EB2BD8">
      <w:pPr>
        <w:pStyle w:val="ListParagraph"/>
        <w:numPr>
          <w:ilvl w:val="0"/>
          <w:numId w:val="66"/>
        </w:numPr>
        <w:tabs>
          <w:tab w:val="left" w:pos="697"/>
        </w:tabs>
        <w:spacing w:before="67"/>
        <w:rPr>
          <w:sz w:val="18"/>
        </w:rPr>
      </w:pPr>
      <w:r w:rsidRPr="00EB2BD8">
        <w:rPr>
          <w:sz w:val="18"/>
        </w:rPr>
        <w:t>The</w:t>
      </w:r>
      <w:r w:rsidRPr="00EB2BD8">
        <w:rPr>
          <w:spacing w:val="-3"/>
          <w:sz w:val="18"/>
        </w:rPr>
        <w:t xml:space="preserve"> </w:t>
      </w:r>
      <w:r w:rsidRPr="00EB2BD8">
        <w:rPr>
          <w:sz w:val="18"/>
        </w:rPr>
        <w:t>most</w:t>
      </w:r>
      <w:r w:rsidRPr="00EB2BD8">
        <w:rPr>
          <w:spacing w:val="-3"/>
          <w:sz w:val="18"/>
        </w:rPr>
        <w:t xml:space="preserve"> </w:t>
      </w:r>
      <w:r w:rsidRPr="00EB2BD8">
        <w:rPr>
          <w:sz w:val="18"/>
        </w:rPr>
        <w:t>common</w:t>
      </w:r>
      <w:r w:rsidRPr="00EB2BD8">
        <w:rPr>
          <w:spacing w:val="-3"/>
          <w:sz w:val="18"/>
        </w:rPr>
        <w:t xml:space="preserve"> </w:t>
      </w:r>
      <w:r w:rsidRPr="00EB2BD8">
        <w:rPr>
          <w:sz w:val="18"/>
        </w:rPr>
        <w:t>amounts</w:t>
      </w:r>
      <w:r w:rsidRPr="00EB2BD8">
        <w:rPr>
          <w:spacing w:val="-3"/>
          <w:sz w:val="18"/>
        </w:rPr>
        <w:t xml:space="preserve"> </w:t>
      </w:r>
      <w:r w:rsidRPr="00EB2BD8">
        <w:rPr>
          <w:sz w:val="18"/>
        </w:rPr>
        <w:t>claimed</w:t>
      </w:r>
      <w:r w:rsidRPr="00EB2BD8">
        <w:rPr>
          <w:spacing w:val="-3"/>
          <w:sz w:val="18"/>
        </w:rPr>
        <w:t xml:space="preserve"> </w:t>
      </w:r>
      <w:r w:rsidRPr="00EB2BD8">
        <w:rPr>
          <w:sz w:val="18"/>
        </w:rPr>
        <w:t>were</w:t>
      </w:r>
      <w:r w:rsidRPr="00EB2BD8">
        <w:rPr>
          <w:spacing w:val="-3"/>
          <w:sz w:val="18"/>
        </w:rPr>
        <w:t xml:space="preserve"> </w:t>
      </w:r>
      <w:r w:rsidRPr="00EB2BD8">
        <w:rPr>
          <w:spacing w:val="-2"/>
          <w:sz w:val="18"/>
        </w:rPr>
        <w:t>between</w:t>
      </w:r>
    </w:p>
    <w:p w14:paraId="013DAAEC" w14:textId="77777777" w:rsidR="00084F36" w:rsidRPr="00EB2BD8" w:rsidRDefault="00EB2BD8">
      <w:pPr>
        <w:pStyle w:val="BodyText"/>
        <w:spacing w:before="18" w:line="261" w:lineRule="auto"/>
        <w:ind w:left="697" w:right="920"/>
      </w:pPr>
      <w:r w:rsidRPr="00EB2BD8">
        <w:rPr>
          <w:spacing w:val="-2"/>
        </w:rPr>
        <w:t>$40,000</w:t>
      </w:r>
      <w:r w:rsidRPr="00EB2BD8">
        <w:rPr>
          <w:spacing w:val="-9"/>
        </w:rPr>
        <w:t xml:space="preserve"> </w:t>
      </w:r>
      <w:r w:rsidRPr="00EB2BD8">
        <w:rPr>
          <w:spacing w:val="-2"/>
        </w:rPr>
        <w:t>and</w:t>
      </w:r>
      <w:r w:rsidRPr="00EB2BD8">
        <w:rPr>
          <w:spacing w:val="-9"/>
        </w:rPr>
        <w:t xml:space="preserve"> </w:t>
      </w:r>
      <w:r w:rsidRPr="00EB2BD8">
        <w:rPr>
          <w:spacing w:val="-2"/>
        </w:rPr>
        <w:t>$99,999</w:t>
      </w:r>
      <w:r w:rsidRPr="00EB2BD8">
        <w:rPr>
          <w:spacing w:val="-9"/>
        </w:rPr>
        <w:t xml:space="preserve"> </w:t>
      </w:r>
      <w:r w:rsidRPr="00EB2BD8">
        <w:rPr>
          <w:spacing w:val="-2"/>
        </w:rPr>
        <w:t>brought</w:t>
      </w:r>
      <w:r w:rsidRPr="00EB2BD8">
        <w:rPr>
          <w:spacing w:val="-9"/>
        </w:rPr>
        <w:t xml:space="preserve"> </w:t>
      </w:r>
      <w:r w:rsidRPr="00EB2BD8">
        <w:rPr>
          <w:spacing w:val="-2"/>
        </w:rPr>
        <w:t>predominantly</w:t>
      </w:r>
      <w:r w:rsidRPr="00EB2BD8">
        <w:rPr>
          <w:spacing w:val="-9"/>
        </w:rPr>
        <w:t xml:space="preserve"> </w:t>
      </w:r>
      <w:r w:rsidRPr="00EB2BD8">
        <w:rPr>
          <w:spacing w:val="-2"/>
        </w:rPr>
        <w:t xml:space="preserve">by </w:t>
      </w:r>
      <w:r w:rsidRPr="00EB2BD8">
        <w:rPr>
          <w:w w:val="105"/>
        </w:rPr>
        <w:t>trade subcontractors across a wide variety of disciplines against head contractors.</w:t>
      </w:r>
    </w:p>
    <w:p w14:paraId="35D2D682" w14:textId="77777777" w:rsidR="00084F36" w:rsidRPr="00EB2BD8" w:rsidRDefault="00EB2BD8">
      <w:pPr>
        <w:pStyle w:val="ListParagraph"/>
        <w:numPr>
          <w:ilvl w:val="0"/>
          <w:numId w:val="66"/>
        </w:numPr>
        <w:tabs>
          <w:tab w:val="left" w:pos="697"/>
        </w:tabs>
        <w:spacing w:before="67" w:line="261" w:lineRule="auto"/>
        <w:ind w:right="918"/>
        <w:rPr>
          <w:sz w:val="18"/>
        </w:rPr>
      </w:pPr>
      <w:r w:rsidRPr="00EB2BD8">
        <w:rPr>
          <w:sz w:val="18"/>
        </w:rPr>
        <w:t>Claims</w:t>
      </w:r>
      <w:r w:rsidRPr="00EB2BD8">
        <w:rPr>
          <w:spacing w:val="-12"/>
          <w:sz w:val="18"/>
        </w:rPr>
        <w:t xml:space="preserve"> </w:t>
      </w:r>
      <w:r w:rsidRPr="00EB2BD8">
        <w:rPr>
          <w:sz w:val="18"/>
        </w:rPr>
        <w:t>for</w:t>
      </w:r>
      <w:r w:rsidRPr="00EB2BD8">
        <w:rPr>
          <w:spacing w:val="-12"/>
          <w:sz w:val="18"/>
        </w:rPr>
        <w:t xml:space="preserve"> </w:t>
      </w:r>
      <w:r w:rsidRPr="00EB2BD8">
        <w:rPr>
          <w:sz w:val="18"/>
        </w:rPr>
        <w:t>more</w:t>
      </w:r>
      <w:r w:rsidRPr="00EB2BD8">
        <w:rPr>
          <w:spacing w:val="-12"/>
          <w:sz w:val="18"/>
        </w:rPr>
        <w:t xml:space="preserve"> </w:t>
      </w:r>
      <w:r w:rsidRPr="00EB2BD8">
        <w:rPr>
          <w:sz w:val="18"/>
        </w:rPr>
        <w:t>than</w:t>
      </w:r>
      <w:r w:rsidRPr="00EB2BD8">
        <w:rPr>
          <w:spacing w:val="-12"/>
          <w:sz w:val="18"/>
        </w:rPr>
        <w:t xml:space="preserve"> </w:t>
      </w:r>
      <w:r w:rsidRPr="00EB2BD8">
        <w:rPr>
          <w:sz w:val="18"/>
        </w:rPr>
        <w:t>$500,000</w:t>
      </w:r>
      <w:r w:rsidRPr="00EB2BD8">
        <w:rPr>
          <w:spacing w:val="-12"/>
          <w:sz w:val="18"/>
        </w:rPr>
        <w:t xml:space="preserve"> </w:t>
      </w:r>
      <w:r w:rsidRPr="00EB2BD8">
        <w:rPr>
          <w:sz w:val="18"/>
        </w:rPr>
        <w:t>were</w:t>
      </w:r>
      <w:r w:rsidRPr="00EB2BD8">
        <w:rPr>
          <w:spacing w:val="-12"/>
          <w:sz w:val="18"/>
        </w:rPr>
        <w:t xml:space="preserve"> </w:t>
      </w:r>
      <w:r w:rsidRPr="00EB2BD8">
        <w:rPr>
          <w:sz w:val="18"/>
        </w:rPr>
        <w:t>predominantly brought by head contractors (56 per cent) and major contractors (24 per cent) against developers (56 per cent) and head contractors (29 per cent), with these larger value claims accounting for 50</w:t>
      </w:r>
      <w:r w:rsidRPr="00EB2BD8">
        <w:rPr>
          <w:spacing w:val="40"/>
          <w:sz w:val="18"/>
        </w:rPr>
        <w:t xml:space="preserve"> </w:t>
      </w:r>
      <w:r w:rsidRPr="00EB2BD8">
        <w:rPr>
          <w:sz w:val="18"/>
        </w:rPr>
        <w:t>per</w:t>
      </w:r>
      <w:r w:rsidRPr="00EB2BD8">
        <w:rPr>
          <w:spacing w:val="-5"/>
          <w:sz w:val="18"/>
        </w:rPr>
        <w:t xml:space="preserve"> </w:t>
      </w:r>
      <w:r w:rsidRPr="00EB2BD8">
        <w:rPr>
          <w:sz w:val="18"/>
        </w:rPr>
        <w:t>cent</w:t>
      </w:r>
      <w:r w:rsidRPr="00EB2BD8">
        <w:rPr>
          <w:spacing w:val="-5"/>
          <w:sz w:val="18"/>
        </w:rPr>
        <w:t xml:space="preserve"> </w:t>
      </w:r>
      <w:r w:rsidRPr="00EB2BD8">
        <w:rPr>
          <w:sz w:val="18"/>
        </w:rPr>
        <w:t>of</w:t>
      </w:r>
      <w:r w:rsidRPr="00EB2BD8">
        <w:rPr>
          <w:spacing w:val="-5"/>
          <w:sz w:val="18"/>
        </w:rPr>
        <w:t xml:space="preserve"> </w:t>
      </w:r>
      <w:r w:rsidRPr="00EB2BD8">
        <w:rPr>
          <w:sz w:val="18"/>
        </w:rPr>
        <w:t>the</w:t>
      </w:r>
      <w:r w:rsidRPr="00EB2BD8">
        <w:rPr>
          <w:spacing w:val="-5"/>
          <w:sz w:val="18"/>
        </w:rPr>
        <w:t xml:space="preserve"> </w:t>
      </w:r>
      <w:r w:rsidRPr="00EB2BD8">
        <w:rPr>
          <w:sz w:val="18"/>
        </w:rPr>
        <w:t>total</w:t>
      </w:r>
      <w:r w:rsidRPr="00EB2BD8">
        <w:rPr>
          <w:spacing w:val="-5"/>
          <w:sz w:val="18"/>
        </w:rPr>
        <w:t xml:space="preserve"> </w:t>
      </w:r>
      <w:r w:rsidRPr="00EB2BD8">
        <w:rPr>
          <w:sz w:val="18"/>
        </w:rPr>
        <w:t>amount</w:t>
      </w:r>
      <w:r w:rsidRPr="00EB2BD8">
        <w:rPr>
          <w:spacing w:val="-5"/>
          <w:sz w:val="18"/>
        </w:rPr>
        <w:t xml:space="preserve"> </w:t>
      </w:r>
      <w:r w:rsidRPr="00EB2BD8">
        <w:rPr>
          <w:sz w:val="18"/>
        </w:rPr>
        <w:t>claimed</w:t>
      </w:r>
      <w:r w:rsidRPr="00EB2BD8">
        <w:rPr>
          <w:spacing w:val="-5"/>
          <w:sz w:val="18"/>
        </w:rPr>
        <w:t xml:space="preserve"> </w:t>
      </w:r>
      <w:r w:rsidRPr="00EB2BD8">
        <w:rPr>
          <w:sz w:val="18"/>
        </w:rPr>
        <w:t>in</w:t>
      </w:r>
      <w:r w:rsidRPr="00EB2BD8">
        <w:rPr>
          <w:spacing w:val="-5"/>
          <w:sz w:val="18"/>
        </w:rPr>
        <w:t xml:space="preserve"> </w:t>
      </w:r>
      <w:r w:rsidRPr="00EB2BD8">
        <w:rPr>
          <w:sz w:val="18"/>
        </w:rPr>
        <w:t>2022-23</w:t>
      </w:r>
      <w:r w:rsidRPr="00EB2BD8">
        <w:rPr>
          <w:spacing w:val="-5"/>
          <w:sz w:val="18"/>
        </w:rPr>
        <w:t xml:space="preserve"> </w:t>
      </w:r>
      <w:r w:rsidRPr="00EB2BD8">
        <w:rPr>
          <w:sz w:val="18"/>
        </w:rPr>
        <w:t>for</w:t>
      </w:r>
    </w:p>
    <w:p w14:paraId="747C0A99" w14:textId="77777777" w:rsidR="00084F36" w:rsidRPr="00EB2BD8" w:rsidRDefault="00EB2BD8">
      <w:pPr>
        <w:pStyle w:val="BodyText"/>
        <w:spacing w:line="261" w:lineRule="auto"/>
        <w:ind w:left="697" w:right="711"/>
      </w:pPr>
      <w:r w:rsidRPr="00EB2BD8">
        <w:t>projects</w:t>
      </w:r>
      <w:r w:rsidRPr="00EB2BD8">
        <w:rPr>
          <w:spacing w:val="-1"/>
        </w:rPr>
        <w:t xml:space="preserve"> </w:t>
      </w:r>
      <w:r w:rsidRPr="00EB2BD8">
        <w:t>located</w:t>
      </w:r>
      <w:r w:rsidRPr="00EB2BD8">
        <w:rPr>
          <w:spacing w:val="-1"/>
        </w:rPr>
        <w:t xml:space="preserve"> </w:t>
      </w:r>
      <w:r w:rsidRPr="00EB2BD8">
        <w:t>across</w:t>
      </w:r>
      <w:r w:rsidRPr="00EB2BD8">
        <w:rPr>
          <w:spacing w:val="-1"/>
        </w:rPr>
        <w:t xml:space="preserve"> </w:t>
      </w:r>
      <w:r w:rsidRPr="00EB2BD8">
        <w:t>metropolitan</w:t>
      </w:r>
      <w:r w:rsidRPr="00EB2BD8">
        <w:rPr>
          <w:spacing w:val="-1"/>
        </w:rPr>
        <w:t xml:space="preserve"> </w:t>
      </w:r>
      <w:r w:rsidRPr="00EB2BD8">
        <w:t>Melbourne</w:t>
      </w:r>
      <w:r w:rsidRPr="00EB2BD8">
        <w:rPr>
          <w:spacing w:val="-1"/>
        </w:rPr>
        <w:t xml:space="preserve"> </w:t>
      </w:r>
      <w:r w:rsidRPr="00EB2BD8">
        <w:t>and regional</w:t>
      </w:r>
      <w:r w:rsidRPr="00EB2BD8">
        <w:rPr>
          <w:spacing w:val="-6"/>
        </w:rPr>
        <w:t xml:space="preserve"> </w:t>
      </w:r>
      <w:r w:rsidRPr="00EB2BD8">
        <w:t>Victoria.</w:t>
      </w:r>
    </w:p>
    <w:p w14:paraId="55AF7EED" w14:textId="77777777" w:rsidR="00084F36" w:rsidRPr="00EB2BD8" w:rsidRDefault="00EB2BD8">
      <w:pPr>
        <w:pStyle w:val="ListParagraph"/>
        <w:numPr>
          <w:ilvl w:val="0"/>
          <w:numId w:val="66"/>
        </w:numPr>
        <w:tabs>
          <w:tab w:val="left" w:pos="697"/>
        </w:tabs>
        <w:spacing w:before="82" w:line="261" w:lineRule="auto"/>
        <w:ind w:right="1506"/>
        <w:rPr>
          <w:sz w:val="18"/>
        </w:rPr>
      </w:pPr>
      <w:r w:rsidRPr="00EB2BD8">
        <w:rPr>
          <w:sz w:val="18"/>
        </w:rPr>
        <w:t>The</w:t>
      </w:r>
      <w:r w:rsidRPr="00EB2BD8">
        <w:rPr>
          <w:spacing w:val="-6"/>
          <w:sz w:val="18"/>
        </w:rPr>
        <w:t xml:space="preserve"> </w:t>
      </w:r>
      <w:r w:rsidRPr="00EB2BD8">
        <w:rPr>
          <w:sz w:val="18"/>
        </w:rPr>
        <w:t>two</w:t>
      </w:r>
      <w:r w:rsidRPr="00EB2BD8">
        <w:rPr>
          <w:spacing w:val="-6"/>
          <w:sz w:val="18"/>
        </w:rPr>
        <w:t xml:space="preserve"> </w:t>
      </w:r>
      <w:r w:rsidRPr="00EB2BD8">
        <w:rPr>
          <w:sz w:val="18"/>
        </w:rPr>
        <w:t>largest</w:t>
      </w:r>
      <w:r w:rsidRPr="00EB2BD8">
        <w:rPr>
          <w:spacing w:val="-6"/>
          <w:sz w:val="18"/>
        </w:rPr>
        <w:t xml:space="preserve"> </w:t>
      </w:r>
      <w:r w:rsidRPr="00EB2BD8">
        <w:rPr>
          <w:sz w:val="18"/>
        </w:rPr>
        <w:t>claims</w:t>
      </w:r>
      <w:r w:rsidRPr="00EB2BD8">
        <w:rPr>
          <w:spacing w:val="-6"/>
          <w:sz w:val="18"/>
        </w:rPr>
        <w:t xml:space="preserve"> </w:t>
      </w:r>
      <w:r w:rsidRPr="00EB2BD8">
        <w:rPr>
          <w:sz w:val="18"/>
        </w:rPr>
        <w:t>were</w:t>
      </w:r>
      <w:r w:rsidRPr="00EB2BD8">
        <w:rPr>
          <w:spacing w:val="-6"/>
          <w:sz w:val="18"/>
        </w:rPr>
        <w:t xml:space="preserve"> </w:t>
      </w:r>
      <w:r w:rsidRPr="00EB2BD8">
        <w:rPr>
          <w:sz w:val="18"/>
        </w:rPr>
        <w:t>brought</w:t>
      </w:r>
      <w:r w:rsidRPr="00EB2BD8">
        <w:rPr>
          <w:spacing w:val="-6"/>
          <w:sz w:val="18"/>
        </w:rPr>
        <w:t xml:space="preserve"> </w:t>
      </w:r>
      <w:r w:rsidRPr="00EB2BD8">
        <w:rPr>
          <w:sz w:val="18"/>
        </w:rPr>
        <w:t>by</w:t>
      </w:r>
      <w:r w:rsidRPr="00EB2BD8">
        <w:rPr>
          <w:spacing w:val="-6"/>
          <w:sz w:val="18"/>
        </w:rPr>
        <w:t xml:space="preserve"> </w:t>
      </w:r>
      <w:r w:rsidRPr="00EB2BD8">
        <w:rPr>
          <w:sz w:val="18"/>
        </w:rPr>
        <w:t xml:space="preserve">head contractors for more than $5 million against </w:t>
      </w:r>
      <w:r w:rsidRPr="00EB2BD8">
        <w:rPr>
          <w:spacing w:val="-2"/>
          <w:sz w:val="18"/>
        </w:rPr>
        <w:t>developers.</w:t>
      </w:r>
    </w:p>
    <w:p w14:paraId="48A520F0" w14:textId="77777777" w:rsidR="00084F36" w:rsidRPr="00EB2BD8" w:rsidRDefault="00084F36">
      <w:pPr>
        <w:spacing w:line="261" w:lineRule="auto"/>
        <w:rPr>
          <w:sz w:val="18"/>
        </w:rPr>
        <w:sectPr w:rsidR="00084F36" w:rsidRPr="00EB2BD8" w:rsidSect="006D75B2">
          <w:type w:val="continuous"/>
          <w:pgSz w:w="11910" w:h="16840"/>
          <w:pgMar w:top="1920" w:right="0" w:bottom="280" w:left="0" w:header="0" w:footer="515" w:gutter="0"/>
          <w:cols w:num="2" w:space="720" w:equalWidth="0">
            <w:col w:w="5727" w:space="40"/>
            <w:col w:w="6143"/>
          </w:cols>
        </w:sectPr>
      </w:pPr>
    </w:p>
    <w:p w14:paraId="01ED8509" w14:textId="77777777" w:rsidR="00084F36" w:rsidRPr="00EB2BD8" w:rsidRDefault="00084F36">
      <w:pPr>
        <w:pStyle w:val="BodyText"/>
        <w:rPr>
          <w:sz w:val="20"/>
        </w:rPr>
      </w:pPr>
    </w:p>
    <w:p w14:paraId="101568B0" w14:textId="77777777" w:rsidR="00084F36" w:rsidRPr="00EB2BD8" w:rsidRDefault="00084F36">
      <w:pPr>
        <w:pStyle w:val="BodyText"/>
        <w:rPr>
          <w:sz w:val="20"/>
        </w:rPr>
      </w:pPr>
    </w:p>
    <w:p w14:paraId="205DE72E" w14:textId="77777777" w:rsidR="00084F36" w:rsidRPr="00EB2BD8" w:rsidRDefault="00084F36">
      <w:pPr>
        <w:pStyle w:val="BodyText"/>
        <w:rPr>
          <w:sz w:val="20"/>
        </w:rPr>
      </w:pPr>
    </w:p>
    <w:p w14:paraId="4D7AA5E1" w14:textId="77777777" w:rsidR="00084F36" w:rsidRPr="00EB2BD8" w:rsidRDefault="00084F36">
      <w:pPr>
        <w:pStyle w:val="BodyText"/>
        <w:rPr>
          <w:sz w:val="20"/>
        </w:rPr>
      </w:pPr>
    </w:p>
    <w:p w14:paraId="753A7E3B" w14:textId="77777777" w:rsidR="00084F36" w:rsidRPr="00EB2BD8" w:rsidRDefault="00084F36">
      <w:pPr>
        <w:pStyle w:val="BodyText"/>
        <w:spacing w:before="7"/>
        <w:rPr>
          <w:sz w:val="24"/>
        </w:rPr>
      </w:pPr>
    </w:p>
    <w:tbl>
      <w:tblPr>
        <w:tblW w:w="0" w:type="auto"/>
        <w:tblInd w:w="857" w:type="dxa"/>
        <w:tblLayout w:type="fixed"/>
        <w:tblCellMar>
          <w:left w:w="0" w:type="dxa"/>
          <w:right w:w="0" w:type="dxa"/>
        </w:tblCellMar>
        <w:tblLook w:val="01E0" w:firstRow="1" w:lastRow="1" w:firstColumn="1" w:lastColumn="1" w:noHBand="0" w:noVBand="0"/>
      </w:tblPr>
      <w:tblGrid>
        <w:gridCol w:w="5081"/>
        <w:gridCol w:w="3580"/>
        <w:gridCol w:w="1543"/>
      </w:tblGrid>
      <w:tr w:rsidR="00EB2BD8" w:rsidRPr="00EB2BD8" w14:paraId="27073CBB" w14:textId="77777777">
        <w:trPr>
          <w:trHeight w:val="470"/>
        </w:trPr>
        <w:tc>
          <w:tcPr>
            <w:tcW w:w="5081" w:type="dxa"/>
          </w:tcPr>
          <w:p w14:paraId="600980F0" w14:textId="77777777" w:rsidR="00084F36" w:rsidRPr="00EB2BD8" w:rsidRDefault="00EB2BD8" w:rsidP="00E13356">
            <w:pPr>
              <w:pStyle w:val="Heading3"/>
              <w:ind w:left="0"/>
            </w:pPr>
            <w:bookmarkStart w:id="82" w:name="_Toc150762384"/>
            <w:r w:rsidRPr="00EB2BD8">
              <w:t>Table</w:t>
            </w:r>
            <w:r w:rsidRPr="00EB2BD8">
              <w:rPr>
                <w:spacing w:val="-14"/>
              </w:rPr>
              <w:t xml:space="preserve"> </w:t>
            </w:r>
            <w:r w:rsidRPr="00EB2BD8">
              <w:t>8:</w:t>
            </w:r>
            <w:r w:rsidRPr="00EB2BD8">
              <w:rPr>
                <w:spacing w:val="-13"/>
              </w:rPr>
              <w:t xml:space="preserve"> </w:t>
            </w:r>
            <w:r w:rsidRPr="00EB2BD8">
              <w:t>Security</w:t>
            </w:r>
            <w:r w:rsidRPr="00EB2BD8">
              <w:rPr>
                <w:spacing w:val="-14"/>
              </w:rPr>
              <w:t xml:space="preserve"> </w:t>
            </w:r>
            <w:r w:rsidRPr="00EB2BD8">
              <w:t>of</w:t>
            </w:r>
            <w:r w:rsidRPr="00EB2BD8">
              <w:rPr>
                <w:spacing w:val="-13"/>
              </w:rPr>
              <w:t xml:space="preserve"> </w:t>
            </w:r>
            <w:r w:rsidRPr="00EB2BD8">
              <w:rPr>
                <w:spacing w:val="-2"/>
              </w:rPr>
              <w:t>Payment</w:t>
            </w:r>
            <w:bookmarkEnd w:id="82"/>
          </w:p>
        </w:tc>
        <w:tc>
          <w:tcPr>
            <w:tcW w:w="5123" w:type="dxa"/>
            <w:gridSpan w:val="2"/>
          </w:tcPr>
          <w:p w14:paraId="67A4596B" w14:textId="77777777" w:rsidR="00084F36" w:rsidRPr="00EB2BD8" w:rsidRDefault="00084F36">
            <w:pPr>
              <w:pStyle w:val="TableParagraph"/>
              <w:rPr>
                <w:rFonts w:ascii="Times New Roman"/>
                <w:sz w:val="16"/>
              </w:rPr>
            </w:pPr>
          </w:p>
        </w:tc>
      </w:tr>
      <w:tr w:rsidR="00EB2BD8" w:rsidRPr="00EB2BD8" w14:paraId="027B6203" w14:textId="77777777">
        <w:trPr>
          <w:trHeight w:val="386"/>
        </w:trPr>
        <w:tc>
          <w:tcPr>
            <w:tcW w:w="5081" w:type="dxa"/>
            <w:shd w:val="clear" w:color="auto" w:fill="005F83"/>
          </w:tcPr>
          <w:p w14:paraId="5BB1AA1F" w14:textId="77777777" w:rsidR="00084F36" w:rsidRPr="00C1767B" w:rsidRDefault="00084F36">
            <w:pPr>
              <w:pStyle w:val="TableParagraph"/>
              <w:rPr>
                <w:rFonts w:ascii="Times New Roman"/>
                <w:color w:val="FFFFFF" w:themeColor="background1"/>
                <w:sz w:val="16"/>
              </w:rPr>
            </w:pPr>
          </w:p>
        </w:tc>
        <w:tc>
          <w:tcPr>
            <w:tcW w:w="3580" w:type="dxa"/>
            <w:shd w:val="clear" w:color="auto" w:fill="005F83"/>
          </w:tcPr>
          <w:p w14:paraId="49D85F72" w14:textId="77777777" w:rsidR="00084F36" w:rsidRPr="00C1767B" w:rsidRDefault="00EB2BD8">
            <w:pPr>
              <w:pStyle w:val="TableParagraph"/>
              <w:spacing w:before="118"/>
              <w:ind w:right="835"/>
              <w:jc w:val="right"/>
              <w:rPr>
                <w:color w:val="FFFFFF" w:themeColor="background1"/>
                <w:sz w:val="16"/>
              </w:rPr>
            </w:pPr>
            <w:r w:rsidRPr="00C1767B">
              <w:rPr>
                <w:color w:val="FFFFFF" w:themeColor="background1"/>
                <w:w w:val="90"/>
                <w:sz w:val="16"/>
              </w:rPr>
              <w:t>2022-</w:t>
            </w:r>
            <w:r w:rsidRPr="00C1767B">
              <w:rPr>
                <w:color w:val="FFFFFF" w:themeColor="background1"/>
                <w:spacing w:val="-5"/>
                <w:sz w:val="16"/>
              </w:rPr>
              <w:t>23</w:t>
            </w:r>
          </w:p>
        </w:tc>
        <w:tc>
          <w:tcPr>
            <w:tcW w:w="1543" w:type="dxa"/>
            <w:shd w:val="clear" w:color="auto" w:fill="005F83"/>
          </w:tcPr>
          <w:p w14:paraId="0CD27FBE" w14:textId="77777777" w:rsidR="00084F36" w:rsidRPr="00C1767B" w:rsidRDefault="00EB2BD8">
            <w:pPr>
              <w:pStyle w:val="TableParagraph"/>
              <w:spacing w:before="118"/>
              <w:ind w:right="110"/>
              <w:jc w:val="right"/>
              <w:rPr>
                <w:color w:val="FFFFFF" w:themeColor="background1"/>
                <w:sz w:val="16"/>
              </w:rPr>
            </w:pPr>
            <w:r w:rsidRPr="00C1767B">
              <w:rPr>
                <w:color w:val="FFFFFF" w:themeColor="background1"/>
                <w:spacing w:val="-2"/>
                <w:w w:val="95"/>
                <w:sz w:val="16"/>
              </w:rPr>
              <w:t>2021–22</w:t>
            </w:r>
          </w:p>
        </w:tc>
      </w:tr>
      <w:tr w:rsidR="00EB2BD8" w:rsidRPr="00EB2BD8" w14:paraId="5C9EFAA3" w14:textId="77777777">
        <w:trPr>
          <w:trHeight w:val="384"/>
        </w:trPr>
        <w:tc>
          <w:tcPr>
            <w:tcW w:w="5081" w:type="dxa"/>
            <w:tcBorders>
              <w:bottom w:val="single" w:sz="2" w:space="0" w:color="000000"/>
            </w:tcBorders>
          </w:tcPr>
          <w:p w14:paraId="526BB33A" w14:textId="77777777" w:rsidR="00084F36" w:rsidRPr="00EB2BD8" w:rsidRDefault="00EB2BD8">
            <w:pPr>
              <w:pStyle w:val="TableParagraph"/>
              <w:spacing w:before="118"/>
              <w:ind w:left="113"/>
              <w:rPr>
                <w:sz w:val="16"/>
              </w:rPr>
            </w:pPr>
            <w:r w:rsidRPr="00EB2BD8">
              <w:rPr>
                <w:sz w:val="16"/>
              </w:rPr>
              <w:t>Number</w:t>
            </w:r>
            <w:r w:rsidRPr="00EB2BD8">
              <w:rPr>
                <w:spacing w:val="-6"/>
                <w:sz w:val="16"/>
              </w:rPr>
              <w:t xml:space="preserve"> </w:t>
            </w:r>
            <w:r w:rsidRPr="00EB2BD8">
              <w:rPr>
                <w:sz w:val="16"/>
              </w:rPr>
              <w:t>of</w:t>
            </w:r>
            <w:r w:rsidRPr="00EB2BD8">
              <w:rPr>
                <w:spacing w:val="-6"/>
                <w:sz w:val="16"/>
              </w:rPr>
              <w:t xml:space="preserve"> </w:t>
            </w:r>
            <w:r w:rsidRPr="00EB2BD8">
              <w:rPr>
                <w:sz w:val="16"/>
              </w:rPr>
              <w:t>adjudication</w:t>
            </w:r>
            <w:r w:rsidRPr="00EB2BD8">
              <w:rPr>
                <w:spacing w:val="-5"/>
                <w:sz w:val="16"/>
              </w:rPr>
              <w:t xml:space="preserve"> </w:t>
            </w:r>
            <w:r w:rsidRPr="00EB2BD8">
              <w:rPr>
                <w:spacing w:val="-2"/>
                <w:sz w:val="16"/>
              </w:rPr>
              <w:t>applications</w:t>
            </w:r>
          </w:p>
        </w:tc>
        <w:tc>
          <w:tcPr>
            <w:tcW w:w="3580" w:type="dxa"/>
            <w:tcBorders>
              <w:bottom w:val="single" w:sz="2" w:space="0" w:color="000000"/>
            </w:tcBorders>
          </w:tcPr>
          <w:p w14:paraId="08C7A360" w14:textId="77777777" w:rsidR="00084F36" w:rsidRPr="00EB2BD8" w:rsidRDefault="00EB2BD8">
            <w:pPr>
              <w:pStyle w:val="TableParagraph"/>
              <w:spacing w:before="118"/>
              <w:ind w:right="836"/>
              <w:jc w:val="right"/>
              <w:rPr>
                <w:sz w:val="16"/>
              </w:rPr>
            </w:pPr>
            <w:r w:rsidRPr="00EB2BD8">
              <w:rPr>
                <w:spacing w:val="-5"/>
                <w:sz w:val="16"/>
              </w:rPr>
              <w:t>384</w:t>
            </w:r>
          </w:p>
        </w:tc>
        <w:tc>
          <w:tcPr>
            <w:tcW w:w="1543" w:type="dxa"/>
            <w:tcBorders>
              <w:bottom w:val="single" w:sz="2" w:space="0" w:color="000000"/>
            </w:tcBorders>
          </w:tcPr>
          <w:p w14:paraId="6DD3422F" w14:textId="77777777" w:rsidR="00084F36" w:rsidRPr="00EB2BD8" w:rsidRDefault="00EB2BD8">
            <w:pPr>
              <w:pStyle w:val="TableParagraph"/>
              <w:spacing w:before="118"/>
              <w:ind w:right="114"/>
              <w:jc w:val="right"/>
              <w:rPr>
                <w:sz w:val="16"/>
              </w:rPr>
            </w:pPr>
            <w:r w:rsidRPr="00EB2BD8">
              <w:rPr>
                <w:spacing w:val="-5"/>
                <w:sz w:val="16"/>
              </w:rPr>
              <w:t>324</w:t>
            </w:r>
          </w:p>
        </w:tc>
      </w:tr>
      <w:tr w:rsidR="00EB2BD8" w:rsidRPr="00EB2BD8" w14:paraId="03BC0879" w14:textId="77777777">
        <w:trPr>
          <w:trHeight w:val="381"/>
        </w:trPr>
        <w:tc>
          <w:tcPr>
            <w:tcW w:w="5081" w:type="dxa"/>
            <w:tcBorders>
              <w:top w:val="single" w:sz="2" w:space="0" w:color="000000"/>
              <w:bottom w:val="single" w:sz="2" w:space="0" w:color="000000"/>
            </w:tcBorders>
          </w:tcPr>
          <w:p w14:paraId="5A0218E7" w14:textId="77777777" w:rsidR="00084F36" w:rsidRPr="00EB2BD8" w:rsidRDefault="00EB2BD8">
            <w:pPr>
              <w:pStyle w:val="TableParagraph"/>
              <w:spacing w:before="116"/>
              <w:ind w:left="113"/>
              <w:rPr>
                <w:sz w:val="16"/>
              </w:rPr>
            </w:pPr>
            <w:r w:rsidRPr="00EB2BD8">
              <w:rPr>
                <w:sz w:val="16"/>
              </w:rPr>
              <w:t>Total</w:t>
            </w:r>
            <w:r w:rsidRPr="00EB2BD8">
              <w:rPr>
                <w:spacing w:val="-11"/>
                <w:sz w:val="16"/>
              </w:rPr>
              <w:t xml:space="preserve"> </w:t>
            </w:r>
            <w:r w:rsidRPr="00EB2BD8">
              <w:rPr>
                <w:sz w:val="16"/>
              </w:rPr>
              <w:t>value</w:t>
            </w:r>
            <w:r w:rsidRPr="00EB2BD8">
              <w:rPr>
                <w:spacing w:val="-11"/>
                <w:sz w:val="16"/>
              </w:rPr>
              <w:t xml:space="preserve"> </w:t>
            </w:r>
            <w:r w:rsidRPr="00EB2BD8">
              <w:rPr>
                <w:sz w:val="16"/>
              </w:rPr>
              <w:t>of</w:t>
            </w:r>
            <w:r w:rsidRPr="00EB2BD8">
              <w:rPr>
                <w:spacing w:val="-11"/>
                <w:sz w:val="16"/>
              </w:rPr>
              <w:t xml:space="preserve"> </w:t>
            </w:r>
            <w:r w:rsidRPr="00EB2BD8">
              <w:rPr>
                <w:sz w:val="16"/>
              </w:rPr>
              <w:t>amounts</w:t>
            </w:r>
            <w:r w:rsidRPr="00EB2BD8">
              <w:rPr>
                <w:spacing w:val="-11"/>
                <w:sz w:val="16"/>
              </w:rPr>
              <w:t xml:space="preserve"> </w:t>
            </w:r>
            <w:r w:rsidRPr="00EB2BD8">
              <w:rPr>
                <w:sz w:val="16"/>
              </w:rPr>
              <w:t>claimed</w:t>
            </w:r>
            <w:r w:rsidRPr="00EB2BD8">
              <w:rPr>
                <w:spacing w:val="-11"/>
                <w:sz w:val="16"/>
              </w:rPr>
              <w:t xml:space="preserve"> </w:t>
            </w:r>
            <w:r w:rsidRPr="00EB2BD8">
              <w:rPr>
                <w:spacing w:val="-2"/>
                <w:sz w:val="16"/>
              </w:rPr>
              <w:t>($million)</w:t>
            </w:r>
          </w:p>
        </w:tc>
        <w:tc>
          <w:tcPr>
            <w:tcW w:w="3580" w:type="dxa"/>
            <w:tcBorders>
              <w:top w:val="single" w:sz="2" w:space="0" w:color="000000"/>
              <w:bottom w:val="single" w:sz="2" w:space="0" w:color="000000"/>
            </w:tcBorders>
          </w:tcPr>
          <w:p w14:paraId="1D824005" w14:textId="77777777" w:rsidR="00084F36" w:rsidRPr="00EB2BD8" w:rsidRDefault="00EB2BD8">
            <w:pPr>
              <w:pStyle w:val="TableParagraph"/>
              <w:spacing w:before="116"/>
              <w:ind w:right="843"/>
              <w:jc w:val="right"/>
              <w:rPr>
                <w:sz w:val="16"/>
              </w:rPr>
            </w:pPr>
            <w:r w:rsidRPr="00EB2BD8">
              <w:rPr>
                <w:spacing w:val="-5"/>
                <w:w w:val="95"/>
                <w:sz w:val="16"/>
              </w:rPr>
              <w:t>74</w:t>
            </w:r>
          </w:p>
        </w:tc>
        <w:tc>
          <w:tcPr>
            <w:tcW w:w="1543" w:type="dxa"/>
            <w:tcBorders>
              <w:top w:val="single" w:sz="2" w:space="0" w:color="000000"/>
              <w:bottom w:val="single" w:sz="2" w:space="0" w:color="000000"/>
            </w:tcBorders>
          </w:tcPr>
          <w:p w14:paraId="28DEBB16" w14:textId="77777777" w:rsidR="00084F36" w:rsidRPr="00EB2BD8" w:rsidRDefault="00EB2BD8">
            <w:pPr>
              <w:pStyle w:val="TableParagraph"/>
              <w:spacing w:before="116"/>
              <w:ind w:right="111"/>
              <w:jc w:val="right"/>
              <w:rPr>
                <w:sz w:val="16"/>
              </w:rPr>
            </w:pPr>
            <w:r w:rsidRPr="00EB2BD8">
              <w:rPr>
                <w:spacing w:val="-5"/>
                <w:w w:val="80"/>
                <w:sz w:val="16"/>
              </w:rPr>
              <w:t>116</w:t>
            </w:r>
          </w:p>
        </w:tc>
      </w:tr>
      <w:tr w:rsidR="00EB2BD8" w:rsidRPr="00EB2BD8" w14:paraId="10B833B6" w14:textId="77777777">
        <w:trPr>
          <w:trHeight w:val="381"/>
        </w:trPr>
        <w:tc>
          <w:tcPr>
            <w:tcW w:w="5081" w:type="dxa"/>
            <w:tcBorders>
              <w:top w:val="single" w:sz="2" w:space="0" w:color="000000"/>
              <w:bottom w:val="single" w:sz="2" w:space="0" w:color="000000"/>
            </w:tcBorders>
          </w:tcPr>
          <w:p w14:paraId="5F9DB663" w14:textId="77777777" w:rsidR="00084F36" w:rsidRPr="00EB2BD8" w:rsidRDefault="00EB2BD8">
            <w:pPr>
              <w:pStyle w:val="TableParagraph"/>
              <w:spacing w:before="116"/>
              <w:ind w:left="113"/>
              <w:rPr>
                <w:sz w:val="16"/>
              </w:rPr>
            </w:pPr>
            <w:r w:rsidRPr="00EB2BD8">
              <w:rPr>
                <w:sz w:val="16"/>
              </w:rPr>
              <w:t>Number</w:t>
            </w:r>
            <w:r w:rsidRPr="00EB2BD8">
              <w:rPr>
                <w:spacing w:val="-10"/>
                <w:sz w:val="16"/>
              </w:rPr>
              <w:t xml:space="preserve"> </w:t>
            </w:r>
            <w:r w:rsidRPr="00EB2BD8">
              <w:rPr>
                <w:sz w:val="16"/>
              </w:rPr>
              <w:t>of</w:t>
            </w:r>
            <w:r w:rsidRPr="00EB2BD8">
              <w:rPr>
                <w:spacing w:val="-10"/>
                <w:sz w:val="16"/>
              </w:rPr>
              <w:t xml:space="preserve"> </w:t>
            </w:r>
            <w:r w:rsidRPr="00EB2BD8">
              <w:rPr>
                <w:sz w:val="16"/>
              </w:rPr>
              <w:t>matters</w:t>
            </w:r>
            <w:r w:rsidRPr="00EB2BD8">
              <w:rPr>
                <w:spacing w:val="-9"/>
                <w:sz w:val="16"/>
              </w:rPr>
              <w:t xml:space="preserve"> </w:t>
            </w:r>
            <w:r w:rsidRPr="00EB2BD8">
              <w:rPr>
                <w:spacing w:val="-2"/>
                <w:sz w:val="16"/>
              </w:rPr>
              <w:t>adjudicated</w:t>
            </w:r>
          </w:p>
        </w:tc>
        <w:tc>
          <w:tcPr>
            <w:tcW w:w="3580" w:type="dxa"/>
            <w:tcBorders>
              <w:top w:val="single" w:sz="2" w:space="0" w:color="000000"/>
              <w:bottom w:val="single" w:sz="2" w:space="0" w:color="000000"/>
            </w:tcBorders>
          </w:tcPr>
          <w:p w14:paraId="406AE927" w14:textId="77777777" w:rsidR="00084F36" w:rsidRPr="00EB2BD8" w:rsidRDefault="00EB2BD8">
            <w:pPr>
              <w:pStyle w:val="TableParagraph"/>
              <w:spacing w:before="116"/>
              <w:ind w:right="836"/>
              <w:jc w:val="right"/>
              <w:rPr>
                <w:sz w:val="16"/>
              </w:rPr>
            </w:pPr>
            <w:r w:rsidRPr="00EB2BD8">
              <w:rPr>
                <w:spacing w:val="-5"/>
                <w:w w:val="80"/>
                <w:sz w:val="16"/>
              </w:rPr>
              <w:t>212</w:t>
            </w:r>
          </w:p>
        </w:tc>
        <w:tc>
          <w:tcPr>
            <w:tcW w:w="1543" w:type="dxa"/>
            <w:tcBorders>
              <w:top w:val="single" w:sz="2" w:space="0" w:color="000000"/>
              <w:bottom w:val="single" w:sz="2" w:space="0" w:color="000000"/>
            </w:tcBorders>
          </w:tcPr>
          <w:p w14:paraId="607F5A4D" w14:textId="77777777" w:rsidR="00084F36" w:rsidRPr="00EB2BD8" w:rsidRDefault="00EB2BD8">
            <w:pPr>
              <w:pStyle w:val="TableParagraph"/>
              <w:spacing w:before="116"/>
              <w:ind w:right="111"/>
              <w:jc w:val="right"/>
              <w:rPr>
                <w:sz w:val="16"/>
              </w:rPr>
            </w:pPr>
            <w:r w:rsidRPr="00EB2BD8">
              <w:rPr>
                <w:spacing w:val="-5"/>
                <w:w w:val="90"/>
                <w:sz w:val="16"/>
              </w:rPr>
              <w:t>199</w:t>
            </w:r>
          </w:p>
        </w:tc>
      </w:tr>
      <w:tr w:rsidR="00EB2BD8" w:rsidRPr="00EB2BD8" w14:paraId="4E1479BD" w14:textId="77777777">
        <w:trPr>
          <w:trHeight w:val="381"/>
        </w:trPr>
        <w:tc>
          <w:tcPr>
            <w:tcW w:w="5081" w:type="dxa"/>
            <w:tcBorders>
              <w:top w:val="single" w:sz="2" w:space="0" w:color="000000"/>
              <w:bottom w:val="single" w:sz="2" w:space="0" w:color="000000"/>
            </w:tcBorders>
          </w:tcPr>
          <w:p w14:paraId="05A48AA3" w14:textId="77777777" w:rsidR="00084F36" w:rsidRPr="00EB2BD8" w:rsidRDefault="00EB2BD8">
            <w:pPr>
              <w:pStyle w:val="TableParagraph"/>
              <w:spacing w:before="116"/>
              <w:ind w:left="113"/>
              <w:rPr>
                <w:sz w:val="16"/>
              </w:rPr>
            </w:pPr>
            <w:r w:rsidRPr="00EB2BD8">
              <w:rPr>
                <w:sz w:val="16"/>
              </w:rPr>
              <w:t>Total</w:t>
            </w:r>
            <w:r w:rsidRPr="00EB2BD8">
              <w:rPr>
                <w:spacing w:val="-8"/>
                <w:sz w:val="16"/>
              </w:rPr>
              <w:t xml:space="preserve"> </w:t>
            </w:r>
            <w:r w:rsidRPr="00EB2BD8">
              <w:rPr>
                <w:sz w:val="16"/>
              </w:rPr>
              <w:t>value</w:t>
            </w:r>
            <w:r w:rsidRPr="00EB2BD8">
              <w:rPr>
                <w:spacing w:val="-7"/>
                <w:sz w:val="16"/>
              </w:rPr>
              <w:t xml:space="preserve"> </w:t>
            </w:r>
            <w:r w:rsidRPr="00EB2BD8">
              <w:rPr>
                <w:sz w:val="16"/>
              </w:rPr>
              <w:t>of</w:t>
            </w:r>
            <w:r w:rsidRPr="00EB2BD8">
              <w:rPr>
                <w:spacing w:val="-7"/>
                <w:sz w:val="16"/>
              </w:rPr>
              <w:t xml:space="preserve"> </w:t>
            </w:r>
            <w:r w:rsidRPr="00EB2BD8">
              <w:rPr>
                <w:sz w:val="16"/>
              </w:rPr>
              <w:t>adjudicated</w:t>
            </w:r>
            <w:r w:rsidRPr="00EB2BD8">
              <w:rPr>
                <w:spacing w:val="-7"/>
                <w:sz w:val="16"/>
              </w:rPr>
              <w:t xml:space="preserve"> </w:t>
            </w:r>
            <w:r w:rsidRPr="00EB2BD8">
              <w:rPr>
                <w:sz w:val="16"/>
              </w:rPr>
              <w:t>amounts</w:t>
            </w:r>
            <w:r w:rsidRPr="00EB2BD8">
              <w:rPr>
                <w:spacing w:val="-7"/>
                <w:sz w:val="16"/>
              </w:rPr>
              <w:t xml:space="preserve"> </w:t>
            </w:r>
            <w:r w:rsidRPr="00EB2BD8">
              <w:rPr>
                <w:spacing w:val="-2"/>
                <w:sz w:val="16"/>
              </w:rPr>
              <w:t>($million)</w:t>
            </w:r>
          </w:p>
        </w:tc>
        <w:tc>
          <w:tcPr>
            <w:tcW w:w="3580" w:type="dxa"/>
            <w:tcBorders>
              <w:top w:val="single" w:sz="2" w:space="0" w:color="000000"/>
              <w:bottom w:val="single" w:sz="2" w:space="0" w:color="000000"/>
            </w:tcBorders>
          </w:tcPr>
          <w:p w14:paraId="14674790" w14:textId="77777777" w:rsidR="00084F36" w:rsidRPr="00EB2BD8" w:rsidRDefault="00EB2BD8">
            <w:pPr>
              <w:pStyle w:val="TableParagraph"/>
              <w:spacing w:before="116"/>
              <w:ind w:right="836"/>
              <w:jc w:val="right"/>
              <w:rPr>
                <w:sz w:val="16"/>
              </w:rPr>
            </w:pPr>
            <w:r w:rsidRPr="00EB2BD8">
              <w:rPr>
                <w:spacing w:val="-5"/>
                <w:w w:val="95"/>
                <w:sz w:val="16"/>
              </w:rPr>
              <w:t>25</w:t>
            </w:r>
          </w:p>
        </w:tc>
        <w:tc>
          <w:tcPr>
            <w:tcW w:w="1543" w:type="dxa"/>
            <w:tcBorders>
              <w:top w:val="single" w:sz="2" w:space="0" w:color="000000"/>
              <w:bottom w:val="single" w:sz="2" w:space="0" w:color="000000"/>
            </w:tcBorders>
          </w:tcPr>
          <w:p w14:paraId="59312991" w14:textId="77777777" w:rsidR="00084F36" w:rsidRPr="00EB2BD8" w:rsidRDefault="00EB2BD8">
            <w:pPr>
              <w:pStyle w:val="TableParagraph"/>
              <w:spacing w:before="116"/>
              <w:ind w:right="111"/>
              <w:jc w:val="right"/>
              <w:rPr>
                <w:sz w:val="16"/>
              </w:rPr>
            </w:pPr>
            <w:r w:rsidRPr="00EB2BD8">
              <w:rPr>
                <w:spacing w:val="-5"/>
                <w:sz w:val="16"/>
              </w:rPr>
              <w:t>30</w:t>
            </w:r>
          </w:p>
        </w:tc>
      </w:tr>
      <w:tr w:rsidR="00084F36" w:rsidRPr="00EB2BD8" w14:paraId="49C2007D" w14:textId="77777777">
        <w:trPr>
          <w:trHeight w:val="919"/>
        </w:trPr>
        <w:tc>
          <w:tcPr>
            <w:tcW w:w="5081" w:type="dxa"/>
            <w:tcBorders>
              <w:top w:val="single" w:sz="2" w:space="0" w:color="000000"/>
            </w:tcBorders>
          </w:tcPr>
          <w:p w14:paraId="028F2E3E" w14:textId="77777777" w:rsidR="00084F36" w:rsidRPr="00EB2BD8" w:rsidRDefault="00084F36">
            <w:pPr>
              <w:pStyle w:val="TableParagraph"/>
              <w:rPr>
                <w:sz w:val="26"/>
              </w:rPr>
            </w:pPr>
          </w:p>
          <w:p w14:paraId="49EDA730" w14:textId="77777777" w:rsidR="00084F36" w:rsidRPr="00EB2BD8" w:rsidRDefault="00084F36">
            <w:pPr>
              <w:pStyle w:val="TableParagraph"/>
              <w:spacing w:before="1"/>
              <w:rPr>
                <w:sz w:val="29"/>
              </w:rPr>
            </w:pPr>
          </w:p>
          <w:p w14:paraId="3D33ABCA" w14:textId="7DEA9B98" w:rsidR="00084F36" w:rsidRPr="00EB2BD8" w:rsidRDefault="00EB2BD8" w:rsidP="00E13356">
            <w:pPr>
              <w:pStyle w:val="Heading3"/>
              <w:ind w:left="0"/>
            </w:pPr>
            <w:bookmarkStart w:id="83" w:name="_Toc150762385"/>
            <w:r w:rsidRPr="00EB2BD8">
              <w:t>Registered</w:t>
            </w:r>
            <w:r w:rsidRPr="00EB2BD8">
              <w:rPr>
                <w:spacing w:val="-5"/>
              </w:rPr>
              <w:t xml:space="preserve"> </w:t>
            </w:r>
            <w:r w:rsidRPr="00EB2BD8">
              <w:t>building</w:t>
            </w:r>
            <w:r w:rsidRPr="00EB2BD8">
              <w:rPr>
                <w:spacing w:val="-5"/>
              </w:rPr>
              <w:t xml:space="preserve"> </w:t>
            </w:r>
            <w:r w:rsidRPr="00EB2BD8">
              <w:t>practitioners</w:t>
            </w:r>
            <w:r w:rsidRPr="00EB2BD8">
              <w:rPr>
                <w:spacing w:val="-5"/>
              </w:rPr>
              <w:t xml:space="preserve"> </w:t>
            </w:r>
            <w:r w:rsidRPr="00EB2BD8">
              <w:t>using</w:t>
            </w:r>
            <w:r w:rsidRPr="00EB2BD8">
              <w:rPr>
                <w:spacing w:val="-5"/>
              </w:rPr>
              <w:t xml:space="preserve"> the</w:t>
            </w:r>
            <w:r w:rsidR="00E13356">
              <w:rPr>
                <w:spacing w:val="-5"/>
              </w:rPr>
              <w:t xml:space="preserve"> SoP Act</w:t>
            </w:r>
            <w:bookmarkEnd w:id="83"/>
          </w:p>
        </w:tc>
        <w:tc>
          <w:tcPr>
            <w:tcW w:w="3580" w:type="dxa"/>
            <w:tcBorders>
              <w:top w:val="single" w:sz="2" w:space="0" w:color="000000"/>
            </w:tcBorders>
          </w:tcPr>
          <w:p w14:paraId="02523C94" w14:textId="77777777" w:rsidR="00084F36" w:rsidRPr="00EB2BD8" w:rsidRDefault="00084F36">
            <w:pPr>
              <w:pStyle w:val="TableParagraph"/>
              <w:rPr>
                <w:sz w:val="26"/>
              </w:rPr>
            </w:pPr>
          </w:p>
          <w:p w14:paraId="27EAA53A" w14:textId="77777777" w:rsidR="00084F36" w:rsidRPr="00EB2BD8" w:rsidRDefault="00084F36">
            <w:pPr>
              <w:pStyle w:val="TableParagraph"/>
              <w:spacing w:before="5"/>
              <w:rPr>
                <w:sz w:val="27"/>
              </w:rPr>
            </w:pPr>
          </w:p>
          <w:p w14:paraId="6FD16308" w14:textId="0886EA16" w:rsidR="00084F36" w:rsidRPr="00EB2BD8" w:rsidRDefault="00E13356" w:rsidP="00E13356">
            <w:pPr>
              <w:pStyle w:val="Heading3"/>
              <w:ind w:left="0"/>
            </w:pPr>
            <w:r>
              <w:t xml:space="preserve">     </w:t>
            </w:r>
            <w:bookmarkStart w:id="84" w:name="_Toc150762386"/>
            <w:r w:rsidR="00EB2BD8" w:rsidRPr="00EB2BD8">
              <w:t>Legislative</w:t>
            </w:r>
            <w:r w:rsidR="00EB2BD8" w:rsidRPr="00EB2BD8">
              <w:rPr>
                <w:spacing w:val="25"/>
              </w:rPr>
              <w:t xml:space="preserve"> </w:t>
            </w:r>
            <w:r w:rsidR="00EB2BD8" w:rsidRPr="00EB2BD8">
              <w:rPr>
                <w:spacing w:val="-2"/>
              </w:rPr>
              <w:t>activity</w:t>
            </w:r>
            <w:bookmarkEnd w:id="84"/>
          </w:p>
        </w:tc>
        <w:tc>
          <w:tcPr>
            <w:tcW w:w="1543" w:type="dxa"/>
            <w:tcBorders>
              <w:top w:val="single" w:sz="2" w:space="0" w:color="000000"/>
            </w:tcBorders>
          </w:tcPr>
          <w:p w14:paraId="4ED12D41" w14:textId="77777777" w:rsidR="00084F36" w:rsidRPr="00EB2BD8" w:rsidRDefault="00084F36">
            <w:pPr>
              <w:pStyle w:val="TableParagraph"/>
              <w:rPr>
                <w:rFonts w:ascii="Times New Roman"/>
                <w:sz w:val="16"/>
              </w:rPr>
            </w:pPr>
          </w:p>
        </w:tc>
      </w:tr>
    </w:tbl>
    <w:p w14:paraId="32998823" w14:textId="77777777" w:rsidR="00084F36" w:rsidRPr="00EB2BD8" w:rsidRDefault="00084F36">
      <w:pPr>
        <w:rPr>
          <w:rFonts w:ascii="Times New Roman"/>
          <w:sz w:val="16"/>
        </w:rPr>
        <w:sectPr w:rsidR="00084F36" w:rsidRPr="00EB2BD8" w:rsidSect="006D75B2">
          <w:footerReference w:type="default" r:id="rId76"/>
          <w:pgSz w:w="11910" w:h="16840"/>
          <w:pgMar w:top="1100" w:right="0" w:bottom="700" w:left="0" w:header="0" w:footer="515" w:gutter="0"/>
          <w:cols w:space="720"/>
        </w:sectPr>
      </w:pPr>
    </w:p>
    <w:p w14:paraId="2C389942" w14:textId="77777777" w:rsidR="00084F36" w:rsidRPr="00EB2BD8" w:rsidRDefault="00EB2BD8">
      <w:pPr>
        <w:pStyle w:val="BodyText"/>
        <w:spacing w:before="137" w:line="261" w:lineRule="auto"/>
        <w:ind w:left="850" w:right="596"/>
      </w:pPr>
      <w:r w:rsidRPr="00EB2BD8">
        <w:t>In 2019-20, the VBA began collating data about the</w:t>
      </w:r>
      <w:r w:rsidRPr="00EB2BD8">
        <w:rPr>
          <w:spacing w:val="-5"/>
        </w:rPr>
        <w:t xml:space="preserve"> </w:t>
      </w:r>
      <w:r w:rsidRPr="00EB2BD8">
        <w:t>registration</w:t>
      </w:r>
      <w:r w:rsidRPr="00EB2BD8">
        <w:rPr>
          <w:spacing w:val="-5"/>
        </w:rPr>
        <w:t xml:space="preserve"> </w:t>
      </w:r>
      <w:r w:rsidRPr="00EB2BD8">
        <w:t>status</w:t>
      </w:r>
      <w:r w:rsidRPr="00EB2BD8">
        <w:rPr>
          <w:spacing w:val="-5"/>
        </w:rPr>
        <w:t xml:space="preserve"> </w:t>
      </w:r>
      <w:r w:rsidRPr="00EB2BD8">
        <w:t>of</w:t>
      </w:r>
      <w:r w:rsidRPr="00EB2BD8">
        <w:rPr>
          <w:spacing w:val="-5"/>
        </w:rPr>
        <w:t xml:space="preserve"> </w:t>
      </w:r>
      <w:r w:rsidRPr="00EB2BD8">
        <w:t>parties</w:t>
      </w:r>
      <w:r w:rsidRPr="00EB2BD8">
        <w:rPr>
          <w:spacing w:val="-5"/>
        </w:rPr>
        <w:t xml:space="preserve"> </w:t>
      </w:r>
      <w:r w:rsidRPr="00EB2BD8">
        <w:t>to</w:t>
      </w:r>
      <w:r w:rsidRPr="00EB2BD8">
        <w:rPr>
          <w:spacing w:val="-5"/>
        </w:rPr>
        <w:t xml:space="preserve"> </w:t>
      </w:r>
      <w:r w:rsidRPr="00EB2BD8">
        <w:t>adjudication</w:t>
      </w:r>
    </w:p>
    <w:p w14:paraId="125C525E" w14:textId="77777777" w:rsidR="00084F36" w:rsidRPr="00EB2BD8" w:rsidRDefault="00EB2BD8">
      <w:pPr>
        <w:pStyle w:val="BodyText"/>
        <w:spacing w:line="261" w:lineRule="auto"/>
        <w:ind w:left="850" w:right="234"/>
      </w:pPr>
      <w:r w:rsidRPr="00EB2BD8">
        <w:t>applications.</w:t>
      </w:r>
      <w:r w:rsidRPr="00EB2BD8">
        <w:rPr>
          <w:spacing w:val="-2"/>
        </w:rPr>
        <w:t xml:space="preserve"> </w:t>
      </w:r>
      <w:r w:rsidRPr="00EB2BD8">
        <w:t>The</w:t>
      </w:r>
      <w:r w:rsidRPr="00EB2BD8">
        <w:rPr>
          <w:spacing w:val="-2"/>
        </w:rPr>
        <w:t xml:space="preserve"> </w:t>
      </w:r>
      <w:r w:rsidRPr="00EB2BD8">
        <w:t>data</w:t>
      </w:r>
      <w:r w:rsidRPr="00EB2BD8">
        <w:rPr>
          <w:spacing w:val="-2"/>
        </w:rPr>
        <w:t xml:space="preserve"> </w:t>
      </w:r>
      <w:r w:rsidRPr="00EB2BD8">
        <w:t>helps</w:t>
      </w:r>
      <w:r w:rsidRPr="00EB2BD8">
        <w:rPr>
          <w:spacing w:val="-2"/>
        </w:rPr>
        <w:t xml:space="preserve"> </w:t>
      </w:r>
      <w:r w:rsidRPr="00EB2BD8">
        <w:t>the</w:t>
      </w:r>
      <w:r w:rsidRPr="00EB2BD8">
        <w:rPr>
          <w:spacing w:val="-2"/>
        </w:rPr>
        <w:t xml:space="preserve"> </w:t>
      </w:r>
      <w:r w:rsidRPr="00EB2BD8">
        <w:t>VBA</w:t>
      </w:r>
      <w:r w:rsidRPr="00EB2BD8">
        <w:rPr>
          <w:spacing w:val="-2"/>
        </w:rPr>
        <w:t xml:space="preserve"> </w:t>
      </w:r>
      <w:r w:rsidRPr="00EB2BD8">
        <w:t>understand</w:t>
      </w:r>
      <w:r w:rsidRPr="00EB2BD8">
        <w:rPr>
          <w:spacing w:val="-2"/>
        </w:rPr>
        <w:t xml:space="preserve"> </w:t>
      </w:r>
      <w:r w:rsidRPr="00EB2BD8">
        <w:t>who is using the SoP Act and how, as well as how many practitioners are not paying.</w:t>
      </w:r>
    </w:p>
    <w:p w14:paraId="7AD0AE5F" w14:textId="77777777" w:rsidR="00084F36" w:rsidRPr="00EB2BD8" w:rsidRDefault="00EB2BD8">
      <w:pPr>
        <w:pStyle w:val="BodyText"/>
        <w:spacing w:before="108" w:line="261" w:lineRule="auto"/>
        <w:ind w:left="850"/>
      </w:pPr>
      <w:r w:rsidRPr="00EB2BD8">
        <w:t>Data</w:t>
      </w:r>
      <w:r w:rsidRPr="00EB2BD8">
        <w:rPr>
          <w:spacing w:val="-3"/>
        </w:rPr>
        <w:t xml:space="preserve"> </w:t>
      </w:r>
      <w:r w:rsidRPr="00EB2BD8">
        <w:t>from</w:t>
      </w:r>
      <w:r w:rsidRPr="00EB2BD8">
        <w:rPr>
          <w:spacing w:val="-3"/>
        </w:rPr>
        <w:t xml:space="preserve"> </w:t>
      </w:r>
      <w:r w:rsidRPr="00EB2BD8">
        <w:t>2022-23</w:t>
      </w:r>
      <w:r w:rsidRPr="00EB2BD8">
        <w:rPr>
          <w:spacing w:val="-3"/>
        </w:rPr>
        <w:t xml:space="preserve"> </w:t>
      </w:r>
      <w:r w:rsidRPr="00EB2BD8">
        <w:t>showed</w:t>
      </w:r>
      <w:r w:rsidRPr="00EB2BD8">
        <w:rPr>
          <w:spacing w:val="-3"/>
        </w:rPr>
        <w:t xml:space="preserve"> </w:t>
      </w:r>
      <w:r w:rsidRPr="00EB2BD8">
        <w:t>an</w:t>
      </w:r>
      <w:r w:rsidRPr="00EB2BD8">
        <w:rPr>
          <w:spacing w:val="-3"/>
        </w:rPr>
        <w:t xml:space="preserve"> </w:t>
      </w:r>
      <w:r w:rsidRPr="00EB2BD8">
        <w:t>increase</w:t>
      </w:r>
      <w:r w:rsidRPr="00EB2BD8">
        <w:rPr>
          <w:spacing w:val="-3"/>
        </w:rPr>
        <w:t xml:space="preserve"> </w:t>
      </w:r>
      <w:r w:rsidRPr="00EB2BD8">
        <w:t>of</w:t>
      </w:r>
      <w:r w:rsidRPr="00EB2BD8">
        <w:rPr>
          <w:spacing w:val="-3"/>
        </w:rPr>
        <w:t xml:space="preserve"> </w:t>
      </w:r>
      <w:r w:rsidRPr="00EB2BD8">
        <w:t>claimants</w:t>
      </w:r>
      <w:r w:rsidRPr="00EB2BD8">
        <w:rPr>
          <w:spacing w:val="-3"/>
        </w:rPr>
        <w:t xml:space="preserve"> </w:t>
      </w:r>
      <w:r w:rsidRPr="00EB2BD8">
        <w:t>who were</w:t>
      </w:r>
      <w:r w:rsidRPr="00EB2BD8">
        <w:rPr>
          <w:spacing w:val="-2"/>
        </w:rPr>
        <w:t xml:space="preserve"> </w:t>
      </w:r>
      <w:r w:rsidRPr="00EB2BD8">
        <w:t>registered</w:t>
      </w:r>
      <w:r w:rsidRPr="00EB2BD8">
        <w:rPr>
          <w:spacing w:val="-2"/>
        </w:rPr>
        <w:t xml:space="preserve"> </w:t>
      </w:r>
      <w:r w:rsidRPr="00EB2BD8">
        <w:t>building</w:t>
      </w:r>
      <w:r w:rsidRPr="00EB2BD8">
        <w:rPr>
          <w:spacing w:val="-2"/>
        </w:rPr>
        <w:t xml:space="preserve"> </w:t>
      </w:r>
      <w:r w:rsidRPr="00EB2BD8">
        <w:t>practitioners</w:t>
      </w:r>
      <w:r w:rsidRPr="00EB2BD8">
        <w:rPr>
          <w:spacing w:val="-2"/>
        </w:rPr>
        <w:t xml:space="preserve"> </w:t>
      </w:r>
      <w:r w:rsidRPr="00EB2BD8">
        <w:t>(RBPs)</w:t>
      </w:r>
      <w:r w:rsidRPr="00EB2BD8">
        <w:rPr>
          <w:spacing w:val="-2"/>
        </w:rPr>
        <w:t xml:space="preserve"> </w:t>
      </w:r>
      <w:r w:rsidRPr="00EB2BD8">
        <w:t>from</w:t>
      </w:r>
      <w:r w:rsidRPr="00EB2BD8">
        <w:rPr>
          <w:spacing w:val="-2"/>
        </w:rPr>
        <w:t xml:space="preserve"> </w:t>
      </w:r>
      <w:r w:rsidRPr="00EB2BD8">
        <w:t>10</w:t>
      </w:r>
      <w:r w:rsidRPr="00EB2BD8">
        <w:rPr>
          <w:spacing w:val="-2"/>
        </w:rPr>
        <w:t xml:space="preserve"> </w:t>
      </w:r>
      <w:r w:rsidRPr="00EB2BD8">
        <w:t>per cent</w:t>
      </w:r>
      <w:r w:rsidRPr="00EB2BD8">
        <w:rPr>
          <w:spacing w:val="-15"/>
        </w:rPr>
        <w:t xml:space="preserve"> </w:t>
      </w:r>
      <w:r w:rsidRPr="00EB2BD8">
        <w:t>in</w:t>
      </w:r>
      <w:r w:rsidRPr="00EB2BD8">
        <w:rPr>
          <w:spacing w:val="-14"/>
        </w:rPr>
        <w:t xml:space="preserve"> </w:t>
      </w:r>
      <w:r w:rsidRPr="00EB2BD8">
        <w:t>2021-2022</w:t>
      </w:r>
      <w:r w:rsidRPr="00EB2BD8">
        <w:rPr>
          <w:spacing w:val="-14"/>
        </w:rPr>
        <w:t xml:space="preserve"> </w:t>
      </w:r>
      <w:r w:rsidRPr="00EB2BD8">
        <w:t>to</w:t>
      </w:r>
      <w:r w:rsidRPr="00EB2BD8">
        <w:rPr>
          <w:spacing w:val="-14"/>
        </w:rPr>
        <w:t xml:space="preserve"> </w:t>
      </w:r>
      <w:r w:rsidRPr="00EB2BD8">
        <w:t>20</w:t>
      </w:r>
      <w:r w:rsidRPr="00EB2BD8">
        <w:rPr>
          <w:spacing w:val="-15"/>
        </w:rPr>
        <w:t xml:space="preserve"> </w:t>
      </w:r>
      <w:r w:rsidRPr="00EB2BD8">
        <w:t>per</w:t>
      </w:r>
      <w:r w:rsidRPr="00EB2BD8">
        <w:rPr>
          <w:spacing w:val="-14"/>
        </w:rPr>
        <w:t xml:space="preserve"> </w:t>
      </w:r>
      <w:r w:rsidRPr="00EB2BD8">
        <w:t>cent</w:t>
      </w:r>
      <w:r w:rsidRPr="00EB2BD8">
        <w:rPr>
          <w:spacing w:val="-14"/>
        </w:rPr>
        <w:t xml:space="preserve"> </w:t>
      </w:r>
      <w:r w:rsidRPr="00EB2BD8">
        <w:t>2022-23,</w:t>
      </w:r>
      <w:r w:rsidRPr="00EB2BD8">
        <w:rPr>
          <w:spacing w:val="-14"/>
        </w:rPr>
        <w:t xml:space="preserve"> </w:t>
      </w:r>
      <w:r w:rsidRPr="00EB2BD8">
        <w:t>while</w:t>
      </w:r>
      <w:r w:rsidRPr="00EB2BD8">
        <w:rPr>
          <w:spacing w:val="-15"/>
        </w:rPr>
        <w:t xml:space="preserve"> </w:t>
      </w:r>
      <w:r w:rsidRPr="00EB2BD8">
        <w:t>the</w:t>
      </w:r>
      <w:r w:rsidRPr="00EB2BD8">
        <w:rPr>
          <w:spacing w:val="-14"/>
        </w:rPr>
        <w:t xml:space="preserve"> </w:t>
      </w:r>
      <w:r w:rsidRPr="00EB2BD8">
        <w:t xml:space="preserve">same percentage of respondents were RBPs in 2022-23 and </w:t>
      </w:r>
      <w:r w:rsidRPr="00EB2BD8">
        <w:rPr>
          <w:spacing w:val="-2"/>
        </w:rPr>
        <w:t>2021-22</w:t>
      </w:r>
      <w:r w:rsidRPr="00EB2BD8">
        <w:rPr>
          <w:spacing w:val="-13"/>
        </w:rPr>
        <w:t xml:space="preserve"> </w:t>
      </w:r>
      <w:r w:rsidRPr="00EB2BD8">
        <w:rPr>
          <w:spacing w:val="-2"/>
        </w:rPr>
        <w:t>(44</w:t>
      </w:r>
      <w:r w:rsidRPr="00EB2BD8">
        <w:rPr>
          <w:spacing w:val="-12"/>
        </w:rPr>
        <w:t xml:space="preserve"> </w:t>
      </w:r>
      <w:r w:rsidRPr="00EB2BD8">
        <w:rPr>
          <w:spacing w:val="-2"/>
        </w:rPr>
        <w:t>per</w:t>
      </w:r>
      <w:r w:rsidRPr="00EB2BD8">
        <w:rPr>
          <w:spacing w:val="-12"/>
        </w:rPr>
        <w:t xml:space="preserve"> </w:t>
      </w:r>
      <w:r w:rsidRPr="00EB2BD8">
        <w:rPr>
          <w:spacing w:val="-2"/>
        </w:rPr>
        <w:t>cent).</w:t>
      </w:r>
      <w:r w:rsidRPr="00EB2BD8">
        <w:rPr>
          <w:spacing w:val="-12"/>
        </w:rPr>
        <w:t xml:space="preserve"> </w:t>
      </w:r>
      <w:r w:rsidRPr="00EB2BD8">
        <w:rPr>
          <w:spacing w:val="-2"/>
        </w:rPr>
        <w:t>Consistent</w:t>
      </w:r>
      <w:r w:rsidRPr="00EB2BD8">
        <w:rPr>
          <w:spacing w:val="-13"/>
        </w:rPr>
        <w:t xml:space="preserve"> </w:t>
      </w:r>
      <w:r w:rsidRPr="00EB2BD8">
        <w:rPr>
          <w:spacing w:val="-2"/>
        </w:rPr>
        <w:t>with</w:t>
      </w:r>
      <w:r w:rsidRPr="00EB2BD8">
        <w:rPr>
          <w:spacing w:val="-12"/>
        </w:rPr>
        <w:t xml:space="preserve"> </w:t>
      </w:r>
      <w:r w:rsidRPr="00EB2BD8">
        <w:rPr>
          <w:spacing w:val="-2"/>
        </w:rPr>
        <w:t>2021-22,</w:t>
      </w:r>
      <w:r w:rsidRPr="00EB2BD8">
        <w:rPr>
          <w:spacing w:val="-12"/>
        </w:rPr>
        <w:t xml:space="preserve"> </w:t>
      </w:r>
      <w:r w:rsidRPr="00EB2BD8">
        <w:rPr>
          <w:spacing w:val="-2"/>
        </w:rPr>
        <w:t>this</w:t>
      </w:r>
      <w:r w:rsidRPr="00EB2BD8">
        <w:rPr>
          <w:spacing w:val="-12"/>
        </w:rPr>
        <w:t xml:space="preserve"> </w:t>
      </w:r>
      <w:r w:rsidRPr="00EB2BD8">
        <w:rPr>
          <w:spacing w:val="-2"/>
        </w:rPr>
        <w:t xml:space="preserve">year’s </w:t>
      </w:r>
      <w:r w:rsidRPr="00EB2BD8">
        <w:t>data</w:t>
      </w:r>
      <w:r w:rsidRPr="00EB2BD8">
        <w:rPr>
          <w:spacing w:val="-2"/>
        </w:rPr>
        <w:t xml:space="preserve"> </w:t>
      </w:r>
      <w:r w:rsidRPr="00EB2BD8">
        <w:t>also</w:t>
      </w:r>
      <w:r w:rsidRPr="00EB2BD8">
        <w:rPr>
          <w:spacing w:val="-2"/>
        </w:rPr>
        <w:t xml:space="preserve"> </w:t>
      </w:r>
      <w:r w:rsidRPr="00EB2BD8">
        <w:t>showed</w:t>
      </w:r>
      <w:r w:rsidRPr="00EB2BD8">
        <w:rPr>
          <w:spacing w:val="-2"/>
        </w:rPr>
        <w:t xml:space="preserve"> </w:t>
      </w:r>
      <w:r w:rsidRPr="00EB2BD8">
        <w:t>that</w:t>
      </w:r>
      <w:r w:rsidRPr="00EB2BD8">
        <w:rPr>
          <w:spacing w:val="-2"/>
        </w:rPr>
        <w:t xml:space="preserve"> </w:t>
      </w:r>
      <w:r w:rsidRPr="00EB2BD8">
        <w:t>it</w:t>
      </w:r>
      <w:r w:rsidRPr="00EB2BD8">
        <w:rPr>
          <w:spacing w:val="-2"/>
        </w:rPr>
        <w:t xml:space="preserve"> </w:t>
      </w:r>
      <w:r w:rsidRPr="00EB2BD8">
        <w:t>is</w:t>
      </w:r>
      <w:r w:rsidRPr="00EB2BD8">
        <w:rPr>
          <w:spacing w:val="-2"/>
        </w:rPr>
        <w:t xml:space="preserve"> </w:t>
      </w:r>
      <w:r w:rsidRPr="00EB2BD8">
        <w:t>predominantly</w:t>
      </w:r>
      <w:r w:rsidRPr="00EB2BD8">
        <w:rPr>
          <w:spacing w:val="-2"/>
        </w:rPr>
        <w:t xml:space="preserve"> </w:t>
      </w:r>
      <w:r w:rsidRPr="00EB2BD8">
        <w:t>subcontractors (who mostly do not need to be registered) who make adjudication applications, accounting for 54 per cent of adjudication applications in 2022-23.</w:t>
      </w:r>
    </w:p>
    <w:p w14:paraId="32BE64A1" w14:textId="77777777" w:rsidR="00084F36" w:rsidRPr="00EB2BD8" w:rsidRDefault="00EB2BD8">
      <w:pPr>
        <w:pStyle w:val="BodyText"/>
        <w:spacing w:before="104" w:line="261" w:lineRule="auto"/>
        <w:ind w:left="850"/>
      </w:pPr>
      <w:r w:rsidRPr="00EB2BD8">
        <w:t xml:space="preserve">The VBA can refuse applications for RBP registration and </w:t>
      </w:r>
      <w:r w:rsidRPr="00EB2BD8">
        <w:rPr>
          <w:w w:val="105"/>
        </w:rPr>
        <w:t>can</w:t>
      </w:r>
      <w:r w:rsidRPr="00EB2BD8">
        <w:rPr>
          <w:spacing w:val="-5"/>
          <w:w w:val="105"/>
        </w:rPr>
        <w:t xml:space="preserve"> </w:t>
      </w:r>
      <w:r w:rsidRPr="00EB2BD8">
        <w:rPr>
          <w:w w:val="105"/>
        </w:rPr>
        <w:t>take</w:t>
      </w:r>
      <w:r w:rsidRPr="00EB2BD8">
        <w:rPr>
          <w:spacing w:val="-5"/>
          <w:w w:val="105"/>
        </w:rPr>
        <w:t xml:space="preserve"> </w:t>
      </w:r>
      <w:r w:rsidRPr="00EB2BD8">
        <w:rPr>
          <w:w w:val="105"/>
        </w:rPr>
        <w:t>disciplinary</w:t>
      </w:r>
      <w:r w:rsidRPr="00EB2BD8">
        <w:rPr>
          <w:spacing w:val="-5"/>
          <w:w w:val="105"/>
        </w:rPr>
        <w:t xml:space="preserve"> </w:t>
      </w:r>
      <w:r w:rsidRPr="00EB2BD8">
        <w:rPr>
          <w:w w:val="105"/>
        </w:rPr>
        <w:t>action</w:t>
      </w:r>
      <w:r w:rsidRPr="00EB2BD8">
        <w:rPr>
          <w:spacing w:val="-5"/>
          <w:w w:val="105"/>
        </w:rPr>
        <w:t xml:space="preserve"> </w:t>
      </w:r>
      <w:r w:rsidRPr="00EB2BD8">
        <w:rPr>
          <w:w w:val="105"/>
        </w:rPr>
        <w:t>against</w:t>
      </w:r>
      <w:r w:rsidRPr="00EB2BD8">
        <w:rPr>
          <w:spacing w:val="-5"/>
          <w:w w:val="105"/>
        </w:rPr>
        <w:t xml:space="preserve"> </w:t>
      </w:r>
      <w:r w:rsidRPr="00EB2BD8">
        <w:rPr>
          <w:w w:val="105"/>
        </w:rPr>
        <w:t>RBPs</w:t>
      </w:r>
      <w:r w:rsidRPr="00EB2BD8">
        <w:rPr>
          <w:spacing w:val="-5"/>
          <w:w w:val="105"/>
        </w:rPr>
        <w:t xml:space="preserve"> </w:t>
      </w:r>
      <w:r w:rsidRPr="00EB2BD8">
        <w:rPr>
          <w:w w:val="105"/>
        </w:rPr>
        <w:t>for</w:t>
      </w:r>
      <w:r w:rsidRPr="00EB2BD8">
        <w:rPr>
          <w:spacing w:val="-5"/>
          <w:w w:val="105"/>
        </w:rPr>
        <w:t xml:space="preserve"> </w:t>
      </w:r>
      <w:r w:rsidRPr="00EB2BD8">
        <w:rPr>
          <w:w w:val="105"/>
        </w:rPr>
        <w:t>failure</w:t>
      </w:r>
      <w:r w:rsidRPr="00EB2BD8">
        <w:rPr>
          <w:spacing w:val="-5"/>
          <w:w w:val="105"/>
        </w:rPr>
        <w:t xml:space="preserve"> </w:t>
      </w:r>
      <w:r w:rsidRPr="00EB2BD8">
        <w:rPr>
          <w:w w:val="105"/>
        </w:rPr>
        <w:t>to pay an adjudicated amount under the SoP Act.</w:t>
      </w:r>
    </w:p>
    <w:p w14:paraId="4D27408A" w14:textId="77777777" w:rsidR="00084F36" w:rsidRPr="00EB2BD8" w:rsidRDefault="00EB2BD8">
      <w:pPr>
        <w:spacing w:before="6"/>
        <w:rPr>
          <w:sz w:val="17"/>
        </w:rPr>
      </w:pPr>
      <w:r w:rsidRPr="00EB2BD8">
        <w:br w:type="column"/>
      </w:r>
    </w:p>
    <w:p w14:paraId="75E3D5FB" w14:textId="77777777" w:rsidR="00084F36" w:rsidRPr="00EB2BD8" w:rsidRDefault="00EB2BD8">
      <w:pPr>
        <w:pStyle w:val="BodyText"/>
        <w:spacing w:line="261" w:lineRule="auto"/>
        <w:ind w:left="321" w:right="892"/>
      </w:pPr>
      <w:r w:rsidRPr="00EB2BD8">
        <w:t>In early 2023, the Legislative Assembly referred an inquiry to the Legislative Assembly Environment and Planning Committee into employers and contractors who</w:t>
      </w:r>
      <w:r w:rsidRPr="00EB2BD8">
        <w:rPr>
          <w:spacing w:val="-7"/>
        </w:rPr>
        <w:t xml:space="preserve"> </w:t>
      </w:r>
      <w:r w:rsidRPr="00EB2BD8">
        <w:t>refuse</w:t>
      </w:r>
      <w:r w:rsidRPr="00EB2BD8">
        <w:rPr>
          <w:spacing w:val="-7"/>
        </w:rPr>
        <w:t xml:space="preserve"> </w:t>
      </w:r>
      <w:r w:rsidRPr="00EB2BD8">
        <w:t>to</w:t>
      </w:r>
      <w:r w:rsidRPr="00EB2BD8">
        <w:rPr>
          <w:spacing w:val="-7"/>
        </w:rPr>
        <w:t xml:space="preserve"> </w:t>
      </w:r>
      <w:r w:rsidRPr="00EB2BD8">
        <w:t>pay</w:t>
      </w:r>
      <w:r w:rsidRPr="00EB2BD8">
        <w:rPr>
          <w:spacing w:val="-7"/>
        </w:rPr>
        <w:t xml:space="preserve"> </w:t>
      </w:r>
      <w:r w:rsidRPr="00EB2BD8">
        <w:t>their</w:t>
      </w:r>
      <w:r w:rsidRPr="00EB2BD8">
        <w:rPr>
          <w:spacing w:val="-7"/>
        </w:rPr>
        <w:t xml:space="preserve"> </w:t>
      </w:r>
      <w:r w:rsidRPr="00EB2BD8">
        <w:t>subcontractors</w:t>
      </w:r>
      <w:r w:rsidRPr="00EB2BD8">
        <w:rPr>
          <w:spacing w:val="-7"/>
        </w:rPr>
        <w:t xml:space="preserve"> </w:t>
      </w:r>
      <w:r w:rsidRPr="00EB2BD8">
        <w:t>for</w:t>
      </w:r>
      <w:r w:rsidRPr="00EB2BD8">
        <w:rPr>
          <w:spacing w:val="-7"/>
        </w:rPr>
        <w:t xml:space="preserve"> </w:t>
      </w:r>
      <w:r w:rsidRPr="00EB2BD8">
        <w:t>completed works. At the invitation of the Committee, the VBA attended a public hearing as part of a joint session with the Department of Transport and Planning and provided a presentation to the Committee. The final</w:t>
      </w:r>
    </w:p>
    <w:p w14:paraId="4094F4F2" w14:textId="77777777" w:rsidR="00084F36" w:rsidRPr="00EB2BD8" w:rsidRDefault="00EB2BD8">
      <w:pPr>
        <w:pStyle w:val="BodyText"/>
        <w:spacing w:line="261" w:lineRule="auto"/>
        <w:ind w:left="321" w:right="644"/>
      </w:pPr>
      <w:r w:rsidRPr="00EB2BD8">
        <w:t>report</w:t>
      </w:r>
      <w:r w:rsidRPr="00EB2BD8">
        <w:rPr>
          <w:spacing w:val="-6"/>
        </w:rPr>
        <w:t xml:space="preserve"> </w:t>
      </w:r>
      <w:r w:rsidRPr="00EB2BD8">
        <w:t>of</w:t>
      </w:r>
      <w:r w:rsidRPr="00EB2BD8">
        <w:rPr>
          <w:spacing w:val="-6"/>
        </w:rPr>
        <w:t xml:space="preserve"> </w:t>
      </w:r>
      <w:r w:rsidRPr="00EB2BD8">
        <w:t>the</w:t>
      </w:r>
      <w:r w:rsidRPr="00EB2BD8">
        <w:rPr>
          <w:spacing w:val="-6"/>
        </w:rPr>
        <w:t xml:space="preserve"> </w:t>
      </w:r>
      <w:r w:rsidRPr="00EB2BD8">
        <w:t>Committee</w:t>
      </w:r>
      <w:r w:rsidRPr="00EB2BD8">
        <w:rPr>
          <w:spacing w:val="-6"/>
        </w:rPr>
        <w:t xml:space="preserve"> </w:t>
      </w:r>
      <w:r w:rsidRPr="00EB2BD8">
        <w:t>is</w:t>
      </w:r>
      <w:r w:rsidRPr="00EB2BD8">
        <w:rPr>
          <w:spacing w:val="-6"/>
        </w:rPr>
        <w:t xml:space="preserve"> </w:t>
      </w:r>
      <w:r w:rsidRPr="00EB2BD8">
        <w:t>to</w:t>
      </w:r>
      <w:r w:rsidRPr="00EB2BD8">
        <w:rPr>
          <w:spacing w:val="-6"/>
        </w:rPr>
        <w:t xml:space="preserve"> </w:t>
      </w:r>
      <w:r w:rsidRPr="00EB2BD8">
        <w:t>be</w:t>
      </w:r>
      <w:r w:rsidRPr="00EB2BD8">
        <w:rPr>
          <w:spacing w:val="-6"/>
        </w:rPr>
        <w:t xml:space="preserve"> </w:t>
      </w:r>
      <w:r w:rsidRPr="00EB2BD8">
        <w:t>tabled</w:t>
      </w:r>
      <w:r w:rsidRPr="00EB2BD8">
        <w:rPr>
          <w:spacing w:val="-6"/>
        </w:rPr>
        <w:t xml:space="preserve"> </w:t>
      </w:r>
      <w:r w:rsidRPr="00EB2BD8">
        <w:t>in</w:t>
      </w:r>
      <w:r w:rsidRPr="00EB2BD8">
        <w:rPr>
          <w:spacing w:val="-6"/>
        </w:rPr>
        <w:t xml:space="preserve"> </w:t>
      </w:r>
      <w:r w:rsidRPr="00EB2BD8">
        <w:t>Parliament</w:t>
      </w:r>
      <w:r w:rsidRPr="00EB2BD8">
        <w:rPr>
          <w:spacing w:val="-6"/>
        </w:rPr>
        <w:t xml:space="preserve"> </w:t>
      </w:r>
      <w:r w:rsidRPr="00EB2BD8">
        <w:t>by 31 December 2023.</w:t>
      </w:r>
    </w:p>
    <w:p w14:paraId="2D85BE02" w14:textId="77777777" w:rsidR="00084F36" w:rsidRPr="00EB2BD8" w:rsidRDefault="00EB2BD8">
      <w:pPr>
        <w:spacing w:before="103" w:line="261" w:lineRule="auto"/>
        <w:ind w:left="321" w:right="1284"/>
        <w:rPr>
          <w:sz w:val="18"/>
        </w:rPr>
      </w:pPr>
      <w:r w:rsidRPr="00EB2BD8">
        <w:rPr>
          <w:sz w:val="18"/>
        </w:rPr>
        <w:t xml:space="preserve">The </w:t>
      </w:r>
      <w:r w:rsidRPr="00EB2BD8">
        <w:rPr>
          <w:i/>
          <w:sz w:val="18"/>
        </w:rPr>
        <w:t>Building and Construction Industry Security</w:t>
      </w:r>
      <w:r w:rsidRPr="00EB2BD8">
        <w:rPr>
          <w:i/>
          <w:spacing w:val="40"/>
          <w:sz w:val="18"/>
        </w:rPr>
        <w:t xml:space="preserve"> </w:t>
      </w:r>
      <w:r w:rsidRPr="00EB2BD8">
        <w:rPr>
          <w:i/>
          <w:sz w:val="18"/>
        </w:rPr>
        <w:t>of</w:t>
      </w:r>
      <w:r w:rsidRPr="00EB2BD8">
        <w:rPr>
          <w:i/>
          <w:spacing w:val="-13"/>
          <w:sz w:val="18"/>
        </w:rPr>
        <w:t xml:space="preserve"> </w:t>
      </w:r>
      <w:r w:rsidRPr="00EB2BD8">
        <w:rPr>
          <w:i/>
          <w:sz w:val="18"/>
        </w:rPr>
        <w:t>Payment</w:t>
      </w:r>
      <w:r w:rsidRPr="00EB2BD8">
        <w:rPr>
          <w:i/>
          <w:spacing w:val="-13"/>
          <w:sz w:val="18"/>
        </w:rPr>
        <w:t xml:space="preserve"> </w:t>
      </w:r>
      <w:r w:rsidRPr="00EB2BD8">
        <w:rPr>
          <w:i/>
          <w:sz w:val="18"/>
        </w:rPr>
        <w:t>Regulations</w:t>
      </w:r>
      <w:r w:rsidRPr="00EB2BD8">
        <w:rPr>
          <w:i/>
          <w:spacing w:val="-13"/>
          <w:sz w:val="18"/>
        </w:rPr>
        <w:t xml:space="preserve"> </w:t>
      </w:r>
      <w:r w:rsidRPr="00EB2BD8">
        <w:rPr>
          <w:i/>
          <w:sz w:val="18"/>
        </w:rPr>
        <w:t>2013</w:t>
      </w:r>
      <w:r w:rsidRPr="00EB2BD8">
        <w:rPr>
          <w:i/>
          <w:spacing w:val="-13"/>
          <w:sz w:val="18"/>
        </w:rPr>
        <w:t xml:space="preserve"> </w:t>
      </w:r>
      <w:r w:rsidRPr="00EB2BD8">
        <w:rPr>
          <w:sz w:val="18"/>
        </w:rPr>
        <w:t>were</w:t>
      </w:r>
      <w:r w:rsidRPr="00EB2BD8">
        <w:rPr>
          <w:spacing w:val="-13"/>
          <w:sz w:val="18"/>
        </w:rPr>
        <w:t xml:space="preserve"> </w:t>
      </w:r>
      <w:r w:rsidRPr="00EB2BD8">
        <w:rPr>
          <w:sz w:val="18"/>
        </w:rPr>
        <w:t>remade</w:t>
      </w:r>
      <w:r w:rsidRPr="00EB2BD8">
        <w:rPr>
          <w:spacing w:val="-13"/>
          <w:sz w:val="18"/>
        </w:rPr>
        <w:t xml:space="preserve"> </w:t>
      </w:r>
      <w:r w:rsidRPr="00EB2BD8">
        <w:rPr>
          <w:sz w:val="18"/>
        </w:rPr>
        <w:t>with</w:t>
      </w:r>
      <w:r w:rsidRPr="00EB2BD8">
        <w:rPr>
          <w:spacing w:val="-13"/>
          <w:sz w:val="18"/>
        </w:rPr>
        <w:t xml:space="preserve"> </w:t>
      </w:r>
      <w:r w:rsidRPr="00EB2BD8">
        <w:rPr>
          <w:sz w:val="18"/>
        </w:rPr>
        <w:t>no</w:t>
      </w:r>
    </w:p>
    <w:p w14:paraId="7ED7213F" w14:textId="77777777" w:rsidR="00084F36" w:rsidRPr="00EB2BD8" w:rsidRDefault="00EB2BD8">
      <w:pPr>
        <w:pStyle w:val="BodyText"/>
        <w:spacing w:line="261" w:lineRule="auto"/>
        <w:ind w:left="321" w:right="1026"/>
        <w:jc w:val="both"/>
      </w:pPr>
      <w:r w:rsidRPr="00EB2BD8">
        <w:t>changes</w:t>
      </w:r>
      <w:r w:rsidRPr="00EB2BD8">
        <w:rPr>
          <w:spacing w:val="-15"/>
        </w:rPr>
        <w:t xml:space="preserve"> </w:t>
      </w:r>
      <w:r w:rsidRPr="00EB2BD8">
        <w:t>on</w:t>
      </w:r>
      <w:r w:rsidRPr="00EB2BD8">
        <w:rPr>
          <w:spacing w:val="-14"/>
        </w:rPr>
        <w:t xml:space="preserve"> </w:t>
      </w:r>
      <w:r w:rsidRPr="00EB2BD8">
        <w:t>23</w:t>
      </w:r>
      <w:r w:rsidRPr="00EB2BD8">
        <w:rPr>
          <w:spacing w:val="-14"/>
        </w:rPr>
        <w:t xml:space="preserve"> </w:t>
      </w:r>
      <w:r w:rsidRPr="00EB2BD8">
        <w:t>May</w:t>
      </w:r>
      <w:r w:rsidRPr="00EB2BD8">
        <w:rPr>
          <w:spacing w:val="-14"/>
        </w:rPr>
        <w:t xml:space="preserve"> </w:t>
      </w:r>
      <w:r w:rsidRPr="00EB2BD8">
        <w:t>2023,</w:t>
      </w:r>
      <w:r w:rsidRPr="00EB2BD8">
        <w:rPr>
          <w:spacing w:val="-15"/>
        </w:rPr>
        <w:t xml:space="preserve"> </w:t>
      </w:r>
      <w:r w:rsidRPr="00EB2BD8">
        <w:t>ahead</w:t>
      </w:r>
      <w:r w:rsidRPr="00EB2BD8">
        <w:rPr>
          <w:spacing w:val="-14"/>
        </w:rPr>
        <w:t xml:space="preserve"> </w:t>
      </w:r>
      <w:r w:rsidRPr="00EB2BD8">
        <w:t>of</w:t>
      </w:r>
      <w:r w:rsidRPr="00EB2BD8">
        <w:rPr>
          <w:spacing w:val="-14"/>
        </w:rPr>
        <w:t xml:space="preserve"> </w:t>
      </w:r>
      <w:r w:rsidRPr="00EB2BD8">
        <w:t>the</w:t>
      </w:r>
      <w:r w:rsidRPr="00EB2BD8">
        <w:rPr>
          <w:spacing w:val="-14"/>
        </w:rPr>
        <w:t xml:space="preserve"> </w:t>
      </w:r>
      <w:r w:rsidRPr="00EB2BD8">
        <w:t>10-year</w:t>
      </w:r>
      <w:r w:rsidRPr="00EB2BD8">
        <w:rPr>
          <w:spacing w:val="-15"/>
        </w:rPr>
        <w:t xml:space="preserve"> </w:t>
      </w:r>
      <w:r w:rsidRPr="00EB2BD8">
        <w:t>sunset period</w:t>
      </w:r>
      <w:r w:rsidRPr="00EB2BD8">
        <w:rPr>
          <w:spacing w:val="-10"/>
        </w:rPr>
        <w:t xml:space="preserve"> </w:t>
      </w:r>
      <w:r w:rsidRPr="00EB2BD8">
        <w:t>and</w:t>
      </w:r>
      <w:r w:rsidRPr="00EB2BD8">
        <w:rPr>
          <w:spacing w:val="-10"/>
        </w:rPr>
        <w:t xml:space="preserve"> </w:t>
      </w:r>
      <w:r w:rsidRPr="00EB2BD8">
        <w:t>expiry</w:t>
      </w:r>
      <w:r w:rsidRPr="00EB2BD8">
        <w:rPr>
          <w:spacing w:val="-10"/>
        </w:rPr>
        <w:t xml:space="preserve"> </w:t>
      </w:r>
      <w:r w:rsidRPr="00EB2BD8">
        <w:t>date</w:t>
      </w:r>
      <w:r w:rsidRPr="00EB2BD8">
        <w:rPr>
          <w:spacing w:val="-10"/>
        </w:rPr>
        <w:t xml:space="preserve"> </w:t>
      </w:r>
      <w:r w:rsidRPr="00EB2BD8">
        <w:t>of</w:t>
      </w:r>
      <w:r w:rsidRPr="00EB2BD8">
        <w:rPr>
          <w:spacing w:val="-10"/>
        </w:rPr>
        <w:t xml:space="preserve"> </w:t>
      </w:r>
      <w:r w:rsidRPr="00EB2BD8">
        <w:t>28</w:t>
      </w:r>
      <w:r w:rsidRPr="00EB2BD8">
        <w:rPr>
          <w:spacing w:val="-10"/>
        </w:rPr>
        <w:t xml:space="preserve"> </w:t>
      </w:r>
      <w:r w:rsidRPr="00EB2BD8">
        <w:t>May</w:t>
      </w:r>
      <w:r w:rsidRPr="00EB2BD8">
        <w:rPr>
          <w:spacing w:val="-10"/>
        </w:rPr>
        <w:t xml:space="preserve"> </w:t>
      </w:r>
      <w:r w:rsidRPr="00EB2BD8">
        <w:t>2023</w:t>
      </w:r>
      <w:r w:rsidRPr="00EB2BD8">
        <w:rPr>
          <w:spacing w:val="-10"/>
        </w:rPr>
        <w:t xml:space="preserve"> </w:t>
      </w:r>
      <w:r w:rsidRPr="00EB2BD8">
        <w:t>and</w:t>
      </w:r>
      <w:r w:rsidRPr="00EB2BD8">
        <w:rPr>
          <w:spacing w:val="-10"/>
        </w:rPr>
        <w:t xml:space="preserve"> </w:t>
      </w:r>
      <w:r w:rsidRPr="00EB2BD8">
        <w:t>came</w:t>
      </w:r>
      <w:r w:rsidRPr="00EB2BD8">
        <w:rPr>
          <w:spacing w:val="-10"/>
        </w:rPr>
        <w:t xml:space="preserve"> </w:t>
      </w:r>
      <w:r w:rsidRPr="00EB2BD8">
        <w:t>into operation on 27 May 2023.</w:t>
      </w:r>
    </w:p>
    <w:p w14:paraId="1E237BE1" w14:textId="77777777" w:rsidR="00084F36" w:rsidRPr="00EB2BD8" w:rsidRDefault="00084F36">
      <w:pPr>
        <w:spacing w:line="261" w:lineRule="auto"/>
        <w:jc w:val="both"/>
        <w:sectPr w:rsidR="00084F36" w:rsidRPr="00EB2BD8" w:rsidSect="006D75B2">
          <w:type w:val="continuous"/>
          <w:pgSz w:w="11910" w:h="16840"/>
          <w:pgMar w:top="1920" w:right="0" w:bottom="280" w:left="0" w:header="0" w:footer="528" w:gutter="0"/>
          <w:cols w:num="2" w:space="720" w:equalWidth="0">
            <w:col w:w="5859" w:space="40"/>
            <w:col w:w="6011"/>
          </w:cols>
        </w:sectPr>
      </w:pPr>
    </w:p>
    <w:p w14:paraId="5254224E" w14:textId="77777777" w:rsidR="00084F36" w:rsidRPr="00EB2BD8" w:rsidRDefault="00084F36">
      <w:pPr>
        <w:pStyle w:val="BodyText"/>
        <w:rPr>
          <w:sz w:val="20"/>
        </w:rPr>
      </w:pPr>
    </w:p>
    <w:p w14:paraId="00B4F3B0" w14:textId="77777777" w:rsidR="00084F36" w:rsidRPr="00EB2BD8" w:rsidRDefault="00084F36">
      <w:pPr>
        <w:pStyle w:val="BodyText"/>
        <w:rPr>
          <w:sz w:val="20"/>
        </w:rPr>
      </w:pPr>
    </w:p>
    <w:p w14:paraId="38F56940" w14:textId="77777777" w:rsidR="00084F36" w:rsidRPr="00EB2BD8" w:rsidRDefault="00084F36">
      <w:pPr>
        <w:pStyle w:val="BodyText"/>
        <w:rPr>
          <w:sz w:val="20"/>
        </w:rPr>
      </w:pPr>
    </w:p>
    <w:p w14:paraId="39D38C93" w14:textId="77777777" w:rsidR="00084F36" w:rsidRPr="00EB2BD8" w:rsidRDefault="00084F36">
      <w:pPr>
        <w:pStyle w:val="BodyText"/>
        <w:rPr>
          <w:sz w:val="20"/>
        </w:rPr>
      </w:pPr>
    </w:p>
    <w:p w14:paraId="03C4BDEB" w14:textId="77777777" w:rsidR="00084F36" w:rsidRPr="00EB2BD8" w:rsidRDefault="00084F36">
      <w:pPr>
        <w:pStyle w:val="BodyText"/>
        <w:spacing w:before="11"/>
        <w:rPr>
          <w:sz w:val="15"/>
        </w:rPr>
      </w:pPr>
    </w:p>
    <w:p w14:paraId="2DB6A408" w14:textId="77777777" w:rsidR="00084F36" w:rsidRPr="00EB2BD8" w:rsidRDefault="00084F36">
      <w:pPr>
        <w:rPr>
          <w:sz w:val="15"/>
        </w:rPr>
        <w:sectPr w:rsidR="00084F36" w:rsidRPr="00EB2BD8" w:rsidSect="006D75B2">
          <w:footerReference w:type="default" r:id="rId77"/>
          <w:pgSz w:w="11910" w:h="16840"/>
          <w:pgMar w:top="1080" w:right="0" w:bottom="720" w:left="0" w:header="0" w:footer="528" w:gutter="0"/>
          <w:cols w:space="720"/>
        </w:sectPr>
      </w:pPr>
    </w:p>
    <w:p w14:paraId="52BFA192" w14:textId="77777777" w:rsidR="00084F36" w:rsidRPr="00EB2BD8" w:rsidRDefault="00EB2BD8" w:rsidP="001975DF">
      <w:pPr>
        <w:pStyle w:val="Heading2"/>
      </w:pPr>
      <w:bookmarkStart w:id="85" w:name="_Toc150762387"/>
      <w:r w:rsidRPr="00EB2BD8">
        <w:t>Internal</w:t>
      </w:r>
      <w:r w:rsidRPr="00EB2BD8">
        <w:rPr>
          <w:spacing w:val="-10"/>
        </w:rPr>
        <w:t xml:space="preserve"> </w:t>
      </w:r>
      <w:r w:rsidRPr="00EB2BD8">
        <w:rPr>
          <w:spacing w:val="-2"/>
        </w:rPr>
        <w:t>review</w:t>
      </w:r>
      <w:bookmarkEnd w:id="85"/>
    </w:p>
    <w:p w14:paraId="1CA62FA3" w14:textId="77777777" w:rsidR="00084F36" w:rsidRPr="00EB2BD8" w:rsidRDefault="00EB2BD8">
      <w:pPr>
        <w:pStyle w:val="BodyText"/>
        <w:spacing w:before="169" w:line="261" w:lineRule="auto"/>
        <w:ind w:left="850"/>
      </w:pPr>
      <w:r w:rsidRPr="00EB2BD8">
        <w:t>The internal review process allows persons directly affected by certain VBA decisions to seek independent review within the VBA. The internal reviewer is functionally</w:t>
      </w:r>
      <w:r w:rsidRPr="00EB2BD8">
        <w:rPr>
          <w:spacing w:val="-4"/>
        </w:rPr>
        <w:t xml:space="preserve"> </w:t>
      </w:r>
      <w:r w:rsidRPr="00EB2BD8">
        <w:t>separate</w:t>
      </w:r>
      <w:r w:rsidRPr="00EB2BD8">
        <w:rPr>
          <w:spacing w:val="-4"/>
        </w:rPr>
        <w:t xml:space="preserve"> </w:t>
      </w:r>
      <w:r w:rsidRPr="00EB2BD8">
        <w:t>from</w:t>
      </w:r>
      <w:r w:rsidRPr="00EB2BD8">
        <w:rPr>
          <w:spacing w:val="-4"/>
        </w:rPr>
        <w:t xml:space="preserve"> </w:t>
      </w:r>
      <w:r w:rsidRPr="00EB2BD8">
        <w:t>the</w:t>
      </w:r>
      <w:r w:rsidRPr="00EB2BD8">
        <w:rPr>
          <w:spacing w:val="-4"/>
        </w:rPr>
        <w:t xml:space="preserve"> </w:t>
      </w:r>
      <w:r w:rsidRPr="00EB2BD8">
        <w:t>primary</w:t>
      </w:r>
      <w:r w:rsidRPr="00EB2BD8">
        <w:rPr>
          <w:spacing w:val="-4"/>
        </w:rPr>
        <w:t xml:space="preserve"> </w:t>
      </w:r>
      <w:r w:rsidRPr="00EB2BD8">
        <w:t>decision-maker.</w:t>
      </w:r>
    </w:p>
    <w:p w14:paraId="2E7E52A3" w14:textId="77777777" w:rsidR="00084F36" w:rsidRPr="00EB2BD8" w:rsidRDefault="00EB2BD8">
      <w:pPr>
        <w:pStyle w:val="BodyText"/>
        <w:spacing w:before="109" w:line="261" w:lineRule="auto"/>
        <w:ind w:left="850" w:right="258"/>
      </w:pPr>
      <w:r w:rsidRPr="00EB2BD8">
        <w:t>The</w:t>
      </w:r>
      <w:r w:rsidRPr="00EB2BD8">
        <w:rPr>
          <w:spacing w:val="-3"/>
        </w:rPr>
        <w:t xml:space="preserve"> </w:t>
      </w:r>
      <w:r w:rsidRPr="00EB2BD8">
        <w:t>review</w:t>
      </w:r>
      <w:r w:rsidRPr="00EB2BD8">
        <w:rPr>
          <w:spacing w:val="-3"/>
        </w:rPr>
        <w:t xml:space="preserve"> </w:t>
      </w:r>
      <w:r w:rsidRPr="00EB2BD8">
        <w:t>process</w:t>
      </w:r>
      <w:r w:rsidRPr="00EB2BD8">
        <w:rPr>
          <w:spacing w:val="-3"/>
        </w:rPr>
        <w:t xml:space="preserve"> </w:t>
      </w:r>
      <w:r w:rsidRPr="00EB2BD8">
        <w:t>is</w:t>
      </w:r>
      <w:r w:rsidRPr="00EB2BD8">
        <w:rPr>
          <w:spacing w:val="-3"/>
        </w:rPr>
        <w:t xml:space="preserve"> </w:t>
      </w:r>
      <w:r w:rsidRPr="00EB2BD8">
        <w:t>an</w:t>
      </w:r>
      <w:r w:rsidRPr="00EB2BD8">
        <w:rPr>
          <w:spacing w:val="-3"/>
        </w:rPr>
        <w:t xml:space="preserve"> </w:t>
      </w:r>
      <w:r w:rsidRPr="00EB2BD8">
        <w:t>important</w:t>
      </w:r>
      <w:r w:rsidRPr="00EB2BD8">
        <w:rPr>
          <w:spacing w:val="-3"/>
        </w:rPr>
        <w:t xml:space="preserve"> </w:t>
      </w:r>
      <w:r w:rsidRPr="00EB2BD8">
        <w:t>safeguard</w:t>
      </w:r>
      <w:r w:rsidRPr="00EB2BD8">
        <w:rPr>
          <w:spacing w:val="-3"/>
        </w:rPr>
        <w:t xml:space="preserve"> </w:t>
      </w:r>
      <w:r w:rsidRPr="00EB2BD8">
        <w:t>under the</w:t>
      </w:r>
      <w:r w:rsidRPr="00EB2BD8">
        <w:rPr>
          <w:spacing w:val="-3"/>
        </w:rPr>
        <w:t xml:space="preserve"> </w:t>
      </w:r>
      <w:r w:rsidRPr="00EB2BD8">
        <w:rPr>
          <w:i/>
        </w:rPr>
        <w:t>Building</w:t>
      </w:r>
      <w:r w:rsidRPr="00EB2BD8">
        <w:rPr>
          <w:i/>
          <w:spacing w:val="-3"/>
        </w:rPr>
        <w:t xml:space="preserve"> </w:t>
      </w:r>
      <w:r w:rsidRPr="00EB2BD8">
        <w:rPr>
          <w:i/>
        </w:rPr>
        <w:t>Act</w:t>
      </w:r>
      <w:r w:rsidRPr="00EB2BD8">
        <w:rPr>
          <w:i/>
          <w:spacing w:val="-3"/>
        </w:rPr>
        <w:t xml:space="preserve"> </w:t>
      </w:r>
      <w:r w:rsidRPr="00EB2BD8">
        <w:rPr>
          <w:i/>
        </w:rPr>
        <w:t>1993</w:t>
      </w:r>
      <w:r w:rsidRPr="00EB2BD8">
        <w:t>.</w:t>
      </w:r>
      <w:r w:rsidRPr="00EB2BD8">
        <w:rPr>
          <w:spacing w:val="-3"/>
        </w:rPr>
        <w:t xml:space="preserve"> </w:t>
      </w:r>
      <w:r w:rsidRPr="00EB2BD8">
        <w:t>Internal</w:t>
      </w:r>
      <w:r w:rsidRPr="00EB2BD8">
        <w:rPr>
          <w:spacing w:val="-3"/>
        </w:rPr>
        <w:t xml:space="preserve"> </w:t>
      </w:r>
      <w:r w:rsidRPr="00EB2BD8">
        <w:t>review</w:t>
      </w:r>
      <w:r w:rsidRPr="00EB2BD8">
        <w:rPr>
          <w:spacing w:val="-3"/>
        </w:rPr>
        <w:t xml:space="preserve"> </w:t>
      </w:r>
      <w:r w:rsidRPr="00EB2BD8">
        <w:t>is</w:t>
      </w:r>
      <w:r w:rsidRPr="00EB2BD8">
        <w:rPr>
          <w:spacing w:val="-3"/>
        </w:rPr>
        <w:t xml:space="preserve"> </w:t>
      </w:r>
      <w:r w:rsidRPr="00EB2BD8">
        <w:t>intended</w:t>
      </w:r>
      <w:r w:rsidRPr="00EB2BD8">
        <w:rPr>
          <w:spacing w:val="-3"/>
        </w:rPr>
        <w:t xml:space="preserve"> </w:t>
      </w:r>
      <w:r w:rsidRPr="00EB2BD8">
        <w:t>to be quick and cost-effective for the affected person. It also helps the VBA to promptly identify areas for improvement in its decision-making processes.</w:t>
      </w:r>
    </w:p>
    <w:p w14:paraId="3F350990" w14:textId="77777777" w:rsidR="00084F36" w:rsidRPr="00EB2BD8" w:rsidRDefault="00EB2BD8">
      <w:pPr>
        <w:rPr>
          <w:sz w:val="20"/>
        </w:rPr>
      </w:pPr>
      <w:r w:rsidRPr="00EB2BD8">
        <w:br w:type="column"/>
      </w:r>
    </w:p>
    <w:p w14:paraId="70BCA4B0" w14:textId="77777777" w:rsidR="00084F36" w:rsidRPr="00EB2BD8" w:rsidRDefault="00084F36">
      <w:pPr>
        <w:pStyle w:val="BodyText"/>
        <w:rPr>
          <w:sz w:val="20"/>
        </w:rPr>
      </w:pPr>
    </w:p>
    <w:p w14:paraId="1006E9CE" w14:textId="77777777" w:rsidR="00084F36" w:rsidRPr="00EB2BD8" w:rsidRDefault="00EB2BD8">
      <w:pPr>
        <w:pStyle w:val="BodyText"/>
        <w:spacing w:before="127" w:line="261" w:lineRule="auto"/>
        <w:ind w:left="456" w:right="873"/>
      </w:pPr>
      <w:r w:rsidRPr="00EB2BD8">
        <w:t>Internal</w:t>
      </w:r>
      <w:r w:rsidRPr="00EB2BD8">
        <w:rPr>
          <w:spacing w:val="-1"/>
        </w:rPr>
        <w:t xml:space="preserve"> </w:t>
      </w:r>
      <w:r w:rsidRPr="00EB2BD8">
        <w:t>review</w:t>
      </w:r>
      <w:r w:rsidRPr="00EB2BD8">
        <w:rPr>
          <w:spacing w:val="-1"/>
        </w:rPr>
        <w:t xml:space="preserve"> </w:t>
      </w:r>
      <w:r w:rsidRPr="00EB2BD8">
        <w:t>is</w:t>
      </w:r>
      <w:r w:rsidRPr="00EB2BD8">
        <w:rPr>
          <w:spacing w:val="-1"/>
        </w:rPr>
        <w:t xml:space="preserve"> </w:t>
      </w:r>
      <w:r w:rsidRPr="00EB2BD8">
        <w:t>available</w:t>
      </w:r>
      <w:r w:rsidRPr="00EB2BD8">
        <w:rPr>
          <w:spacing w:val="-1"/>
        </w:rPr>
        <w:t xml:space="preserve"> </w:t>
      </w:r>
      <w:r w:rsidRPr="00EB2BD8">
        <w:t>under</w:t>
      </w:r>
      <w:r w:rsidRPr="00EB2BD8">
        <w:rPr>
          <w:spacing w:val="-1"/>
        </w:rPr>
        <w:t xml:space="preserve"> </w:t>
      </w:r>
      <w:r w:rsidRPr="00EB2BD8">
        <w:t>the</w:t>
      </w:r>
      <w:r w:rsidRPr="00EB2BD8">
        <w:rPr>
          <w:spacing w:val="-1"/>
        </w:rPr>
        <w:t xml:space="preserve"> </w:t>
      </w:r>
      <w:r w:rsidRPr="00EB2BD8">
        <w:rPr>
          <w:i/>
        </w:rPr>
        <w:t>Building</w:t>
      </w:r>
      <w:r w:rsidRPr="00EB2BD8">
        <w:rPr>
          <w:i/>
          <w:spacing w:val="-1"/>
        </w:rPr>
        <w:t xml:space="preserve"> </w:t>
      </w:r>
      <w:r w:rsidRPr="00EB2BD8">
        <w:rPr>
          <w:i/>
        </w:rPr>
        <w:t>Act</w:t>
      </w:r>
      <w:r w:rsidRPr="00EB2BD8">
        <w:rPr>
          <w:i/>
          <w:spacing w:val="-1"/>
        </w:rPr>
        <w:t xml:space="preserve"> </w:t>
      </w:r>
      <w:r w:rsidRPr="00EB2BD8">
        <w:rPr>
          <w:i/>
        </w:rPr>
        <w:t xml:space="preserve">1993 </w:t>
      </w:r>
      <w:r w:rsidRPr="00EB2BD8">
        <w:t>for</w:t>
      </w:r>
      <w:r w:rsidRPr="00EB2BD8">
        <w:rPr>
          <w:spacing w:val="-12"/>
        </w:rPr>
        <w:t xml:space="preserve"> </w:t>
      </w:r>
      <w:r w:rsidRPr="00EB2BD8">
        <w:t>review</w:t>
      </w:r>
      <w:r w:rsidRPr="00EB2BD8">
        <w:rPr>
          <w:spacing w:val="-12"/>
        </w:rPr>
        <w:t xml:space="preserve"> </w:t>
      </w:r>
      <w:r w:rsidRPr="00EB2BD8">
        <w:t>of</w:t>
      </w:r>
      <w:r w:rsidRPr="00EB2BD8">
        <w:rPr>
          <w:spacing w:val="-12"/>
        </w:rPr>
        <w:t xml:space="preserve"> </w:t>
      </w:r>
      <w:r w:rsidRPr="00EB2BD8">
        <w:t>“reviewable</w:t>
      </w:r>
      <w:r w:rsidRPr="00EB2BD8">
        <w:rPr>
          <w:spacing w:val="-12"/>
        </w:rPr>
        <w:t xml:space="preserve"> </w:t>
      </w:r>
      <w:r w:rsidRPr="00EB2BD8">
        <w:t>decisions”.</w:t>
      </w:r>
      <w:r w:rsidRPr="00EB2BD8">
        <w:rPr>
          <w:spacing w:val="-12"/>
        </w:rPr>
        <w:t xml:space="preserve"> </w:t>
      </w:r>
      <w:r w:rsidRPr="00EB2BD8">
        <w:t>These</w:t>
      </w:r>
      <w:r w:rsidRPr="00EB2BD8">
        <w:rPr>
          <w:spacing w:val="-12"/>
        </w:rPr>
        <w:t xml:space="preserve"> </w:t>
      </w:r>
      <w:r w:rsidRPr="00EB2BD8">
        <w:t>are</w:t>
      </w:r>
      <w:r w:rsidRPr="00EB2BD8">
        <w:rPr>
          <w:spacing w:val="-12"/>
        </w:rPr>
        <w:t xml:space="preserve"> </w:t>
      </w:r>
      <w:r w:rsidRPr="00EB2BD8">
        <w:t xml:space="preserve">generally decisions relating to registration applications or decisions to take disciplinary action against registered building practitioners. Reviewers may consider new information not previously available to the primary decision-maker. In some instances, practitioners engage legal representation, raise legal issues or otherwise respond to the VBA for the first time at the internal review stage. Internal reviews of infringement notices are a separate process and are carried out under the </w:t>
      </w:r>
      <w:r w:rsidRPr="00EB2BD8">
        <w:rPr>
          <w:i/>
        </w:rPr>
        <w:t>Infringements Act 2006</w:t>
      </w:r>
      <w:r w:rsidRPr="00EB2BD8">
        <w:t>. All infringement internal reviews conducted in 2022-23 relate to plumbing</w:t>
      </w:r>
      <w:r w:rsidRPr="00EB2BD8">
        <w:rPr>
          <w:spacing w:val="-6"/>
        </w:rPr>
        <w:t xml:space="preserve"> </w:t>
      </w:r>
      <w:r w:rsidRPr="00EB2BD8">
        <w:t>offences.</w:t>
      </w:r>
    </w:p>
    <w:p w14:paraId="74442CAB"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2" w:space="720" w:equalWidth="0">
            <w:col w:w="5683" w:space="40"/>
            <w:col w:w="6187"/>
          </w:cols>
        </w:sectPr>
      </w:pPr>
    </w:p>
    <w:p w14:paraId="76729C18" w14:textId="77777777" w:rsidR="00084F36" w:rsidRPr="00EB2BD8" w:rsidRDefault="00084F36">
      <w:pPr>
        <w:pStyle w:val="BodyText"/>
        <w:rPr>
          <w:sz w:val="20"/>
        </w:rPr>
      </w:pPr>
    </w:p>
    <w:p w14:paraId="25DB4E37" w14:textId="77777777" w:rsidR="00084F36" w:rsidRPr="00EB2BD8" w:rsidRDefault="00084F36">
      <w:pPr>
        <w:pStyle w:val="BodyText"/>
        <w:rPr>
          <w:sz w:val="20"/>
        </w:rPr>
      </w:pPr>
    </w:p>
    <w:p w14:paraId="69545371" w14:textId="77777777" w:rsidR="00084F36" w:rsidRPr="00EB2BD8" w:rsidRDefault="00084F36">
      <w:pPr>
        <w:pStyle w:val="BodyText"/>
        <w:spacing w:before="6"/>
        <w:rPr>
          <w:sz w:val="24"/>
        </w:rPr>
      </w:pPr>
    </w:p>
    <w:p w14:paraId="6312107B" w14:textId="77777777" w:rsidR="00084F36" w:rsidRPr="00EB2BD8" w:rsidRDefault="00EB2BD8" w:rsidP="00EB2BD8">
      <w:pPr>
        <w:pStyle w:val="Heading3"/>
      </w:pPr>
      <w:bookmarkStart w:id="86" w:name="_Toc150762388"/>
      <w:r w:rsidRPr="00EB2BD8">
        <w:t>Table</w:t>
      </w:r>
      <w:r w:rsidRPr="00EB2BD8">
        <w:rPr>
          <w:spacing w:val="-10"/>
        </w:rPr>
        <w:t xml:space="preserve"> </w:t>
      </w:r>
      <w:r w:rsidRPr="00EB2BD8">
        <w:t>9:</w:t>
      </w:r>
      <w:r w:rsidRPr="00EB2BD8">
        <w:rPr>
          <w:spacing w:val="-9"/>
        </w:rPr>
        <w:t xml:space="preserve"> </w:t>
      </w:r>
      <w:r w:rsidRPr="00EB2BD8">
        <w:t>Internal</w:t>
      </w:r>
      <w:r w:rsidRPr="00EB2BD8">
        <w:rPr>
          <w:spacing w:val="-9"/>
        </w:rPr>
        <w:t xml:space="preserve"> </w:t>
      </w:r>
      <w:r w:rsidRPr="00EB2BD8">
        <w:t>Review</w:t>
      </w:r>
      <w:bookmarkEnd w:id="86"/>
    </w:p>
    <w:p w14:paraId="470F373E" w14:textId="77777777" w:rsidR="00084F36" w:rsidRPr="00EB2BD8" w:rsidRDefault="00084F36">
      <w:pPr>
        <w:pStyle w:val="BodyText"/>
        <w:spacing w:before="5"/>
        <w:rPr>
          <w:sz w:val="20"/>
        </w:rPr>
      </w:pPr>
    </w:p>
    <w:tbl>
      <w:tblPr>
        <w:tblW w:w="0" w:type="auto"/>
        <w:tblInd w:w="857" w:type="dxa"/>
        <w:tblLayout w:type="fixed"/>
        <w:tblCellMar>
          <w:left w:w="0" w:type="dxa"/>
          <w:right w:w="0" w:type="dxa"/>
        </w:tblCellMar>
        <w:tblLook w:val="01E0" w:firstRow="1" w:lastRow="1" w:firstColumn="1" w:lastColumn="1" w:noHBand="0" w:noVBand="0"/>
      </w:tblPr>
      <w:tblGrid>
        <w:gridCol w:w="5651"/>
        <w:gridCol w:w="2998"/>
        <w:gridCol w:w="1555"/>
      </w:tblGrid>
      <w:tr w:rsidR="00EB2BD8" w:rsidRPr="00EB2BD8" w14:paraId="37DE2B63" w14:textId="77777777">
        <w:trPr>
          <w:trHeight w:val="386"/>
        </w:trPr>
        <w:tc>
          <w:tcPr>
            <w:tcW w:w="5651" w:type="dxa"/>
            <w:shd w:val="clear" w:color="auto" w:fill="005F83"/>
          </w:tcPr>
          <w:p w14:paraId="2DC72954" w14:textId="77777777" w:rsidR="00084F36" w:rsidRPr="00C1767B" w:rsidRDefault="00EB2BD8">
            <w:pPr>
              <w:pStyle w:val="TableParagraph"/>
              <w:spacing w:before="118"/>
              <w:ind w:left="113"/>
              <w:rPr>
                <w:color w:val="FFFFFF" w:themeColor="background1"/>
                <w:sz w:val="16"/>
              </w:rPr>
            </w:pPr>
            <w:r w:rsidRPr="00C1767B">
              <w:rPr>
                <w:color w:val="FFFFFF" w:themeColor="background1"/>
                <w:sz w:val="16"/>
              </w:rPr>
              <w:t>Internal</w:t>
            </w:r>
            <w:r w:rsidRPr="00C1767B">
              <w:rPr>
                <w:color w:val="FFFFFF" w:themeColor="background1"/>
                <w:spacing w:val="-2"/>
                <w:sz w:val="16"/>
              </w:rPr>
              <w:t xml:space="preserve"> reviews</w:t>
            </w:r>
          </w:p>
        </w:tc>
        <w:tc>
          <w:tcPr>
            <w:tcW w:w="2998" w:type="dxa"/>
            <w:shd w:val="clear" w:color="auto" w:fill="005F83"/>
          </w:tcPr>
          <w:p w14:paraId="4C895342" w14:textId="77777777" w:rsidR="00084F36" w:rsidRPr="00C1767B" w:rsidRDefault="00EB2BD8">
            <w:pPr>
              <w:pStyle w:val="TableParagraph"/>
              <w:spacing w:before="118"/>
              <w:ind w:right="823"/>
              <w:jc w:val="right"/>
              <w:rPr>
                <w:color w:val="FFFFFF" w:themeColor="background1"/>
                <w:sz w:val="16"/>
              </w:rPr>
            </w:pPr>
            <w:r w:rsidRPr="00C1767B">
              <w:rPr>
                <w:color w:val="FFFFFF" w:themeColor="background1"/>
                <w:spacing w:val="-2"/>
                <w:sz w:val="16"/>
              </w:rPr>
              <w:t>2022–23</w:t>
            </w:r>
          </w:p>
        </w:tc>
        <w:tc>
          <w:tcPr>
            <w:tcW w:w="1555" w:type="dxa"/>
            <w:shd w:val="clear" w:color="auto" w:fill="005F83"/>
          </w:tcPr>
          <w:p w14:paraId="4B4BD95A" w14:textId="77777777" w:rsidR="00084F36" w:rsidRPr="00C1767B" w:rsidRDefault="00EB2BD8">
            <w:pPr>
              <w:pStyle w:val="TableParagraph"/>
              <w:spacing w:before="118"/>
              <w:ind w:right="110"/>
              <w:jc w:val="right"/>
              <w:rPr>
                <w:color w:val="FFFFFF" w:themeColor="background1"/>
                <w:sz w:val="16"/>
              </w:rPr>
            </w:pPr>
            <w:r w:rsidRPr="00C1767B">
              <w:rPr>
                <w:color w:val="FFFFFF" w:themeColor="background1"/>
                <w:spacing w:val="-2"/>
                <w:sz w:val="16"/>
              </w:rPr>
              <w:t>2020–21</w:t>
            </w:r>
          </w:p>
        </w:tc>
      </w:tr>
      <w:tr w:rsidR="00EB2BD8" w:rsidRPr="00EB2BD8" w14:paraId="209849CF" w14:textId="77777777">
        <w:trPr>
          <w:trHeight w:val="384"/>
        </w:trPr>
        <w:tc>
          <w:tcPr>
            <w:tcW w:w="5651" w:type="dxa"/>
            <w:tcBorders>
              <w:bottom w:val="single" w:sz="2" w:space="0" w:color="000000"/>
            </w:tcBorders>
          </w:tcPr>
          <w:p w14:paraId="613338B3" w14:textId="77777777" w:rsidR="00084F36" w:rsidRPr="00EB2BD8" w:rsidRDefault="00EB2BD8">
            <w:pPr>
              <w:pStyle w:val="TableParagraph"/>
              <w:spacing w:before="118"/>
              <w:ind w:left="113"/>
              <w:rPr>
                <w:sz w:val="16"/>
              </w:rPr>
            </w:pPr>
            <w:r w:rsidRPr="00EB2BD8">
              <w:rPr>
                <w:spacing w:val="-2"/>
                <w:sz w:val="16"/>
              </w:rPr>
              <w:t>Internal</w:t>
            </w:r>
            <w:r w:rsidRPr="00EB2BD8">
              <w:rPr>
                <w:spacing w:val="-3"/>
                <w:sz w:val="16"/>
              </w:rPr>
              <w:t xml:space="preserve"> </w:t>
            </w:r>
            <w:r w:rsidRPr="00EB2BD8">
              <w:rPr>
                <w:spacing w:val="-2"/>
                <w:sz w:val="16"/>
              </w:rPr>
              <w:t>reviews received for registration decisions</w:t>
            </w:r>
          </w:p>
        </w:tc>
        <w:tc>
          <w:tcPr>
            <w:tcW w:w="2998" w:type="dxa"/>
            <w:tcBorders>
              <w:bottom w:val="single" w:sz="2" w:space="0" w:color="000000"/>
            </w:tcBorders>
          </w:tcPr>
          <w:p w14:paraId="05130CAA" w14:textId="77777777" w:rsidR="00084F36" w:rsidRPr="00EB2BD8" w:rsidRDefault="00EB2BD8">
            <w:pPr>
              <w:pStyle w:val="TableParagraph"/>
              <w:spacing w:before="118"/>
              <w:ind w:right="824"/>
              <w:jc w:val="right"/>
              <w:rPr>
                <w:sz w:val="16"/>
              </w:rPr>
            </w:pPr>
            <w:r w:rsidRPr="00EB2BD8">
              <w:rPr>
                <w:spacing w:val="-5"/>
                <w:w w:val="80"/>
                <w:sz w:val="16"/>
              </w:rPr>
              <w:t>119</w:t>
            </w:r>
          </w:p>
        </w:tc>
        <w:tc>
          <w:tcPr>
            <w:tcW w:w="1555" w:type="dxa"/>
            <w:tcBorders>
              <w:bottom w:val="single" w:sz="2" w:space="0" w:color="000000"/>
            </w:tcBorders>
          </w:tcPr>
          <w:p w14:paraId="46D97CDF" w14:textId="77777777" w:rsidR="00084F36" w:rsidRPr="00EB2BD8" w:rsidRDefault="00EB2BD8">
            <w:pPr>
              <w:pStyle w:val="TableParagraph"/>
              <w:spacing w:before="118"/>
              <w:ind w:right="110"/>
              <w:jc w:val="right"/>
              <w:rPr>
                <w:sz w:val="16"/>
              </w:rPr>
            </w:pPr>
            <w:r w:rsidRPr="00EB2BD8">
              <w:rPr>
                <w:spacing w:val="-5"/>
                <w:w w:val="90"/>
                <w:sz w:val="16"/>
              </w:rPr>
              <w:t>134</w:t>
            </w:r>
          </w:p>
        </w:tc>
      </w:tr>
      <w:tr w:rsidR="00EB2BD8" w:rsidRPr="00EB2BD8" w14:paraId="0E66F224" w14:textId="77777777">
        <w:trPr>
          <w:trHeight w:val="381"/>
        </w:trPr>
        <w:tc>
          <w:tcPr>
            <w:tcW w:w="5651" w:type="dxa"/>
            <w:tcBorders>
              <w:top w:val="single" w:sz="2" w:space="0" w:color="000000"/>
              <w:bottom w:val="single" w:sz="2" w:space="0" w:color="000000"/>
            </w:tcBorders>
          </w:tcPr>
          <w:p w14:paraId="0D545907" w14:textId="77777777" w:rsidR="00084F36" w:rsidRPr="00EB2BD8" w:rsidRDefault="00EB2BD8">
            <w:pPr>
              <w:pStyle w:val="TableParagraph"/>
              <w:spacing w:before="116"/>
              <w:ind w:left="113"/>
              <w:rPr>
                <w:sz w:val="16"/>
              </w:rPr>
            </w:pPr>
            <w:r w:rsidRPr="00EB2BD8">
              <w:rPr>
                <w:spacing w:val="-2"/>
                <w:sz w:val="16"/>
              </w:rPr>
              <w:t>As</w:t>
            </w:r>
            <w:r w:rsidRPr="00EB2BD8">
              <w:rPr>
                <w:spacing w:val="-6"/>
                <w:sz w:val="16"/>
              </w:rPr>
              <w:t xml:space="preserve"> </w:t>
            </w:r>
            <w:r w:rsidRPr="00EB2BD8">
              <w:rPr>
                <w:spacing w:val="-2"/>
                <w:sz w:val="16"/>
              </w:rPr>
              <w:t>a</w:t>
            </w:r>
            <w:r w:rsidRPr="00EB2BD8">
              <w:rPr>
                <w:spacing w:val="-6"/>
                <w:sz w:val="16"/>
              </w:rPr>
              <w:t xml:space="preserve"> </w:t>
            </w:r>
            <w:r w:rsidRPr="00EB2BD8">
              <w:rPr>
                <w:spacing w:val="-2"/>
                <w:sz w:val="16"/>
              </w:rPr>
              <w:t>proportion</w:t>
            </w:r>
            <w:r w:rsidRPr="00EB2BD8">
              <w:rPr>
                <w:spacing w:val="-6"/>
                <w:sz w:val="16"/>
              </w:rPr>
              <w:t xml:space="preserve"> </w:t>
            </w:r>
            <w:r w:rsidRPr="00EB2BD8">
              <w:rPr>
                <w:spacing w:val="-2"/>
                <w:sz w:val="16"/>
              </w:rPr>
              <w:t>of</w:t>
            </w:r>
            <w:r w:rsidRPr="00EB2BD8">
              <w:rPr>
                <w:spacing w:val="-6"/>
                <w:sz w:val="16"/>
              </w:rPr>
              <w:t xml:space="preserve"> </w:t>
            </w:r>
            <w:r w:rsidRPr="00EB2BD8">
              <w:rPr>
                <w:spacing w:val="-2"/>
                <w:sz w:val="16"/>
              </w:rPr>
              <w:t>registrations</w:t>
            </w:r>
            <w:r w:rsidRPr="00EB2BD8">
              <w:rPr>
                <w:spacing w:val="-6"/>
                <w:sz w:val="16"/>
              </w:rPr>
              <w:t xml:space="preserve"> </w:t>
            </w:r>
            <w:r w:rsidRPr="00EB2BD8">
              <w:rPr>
                <w:spacing w:val="-2"/>
                <w:sz w:val="16"/>
              </w:rPr>
              <w:t>refused</w:t>
            </w:r>
          </w:p>
        </w:tc>
        <w:tc>
          <w:tcPr>
            <w:tcW w:w="2998" w:type="dxa"/>
            <w:tcBorders>
              <w:top w:val="single" w:sz="2" w:space="0" w:color="000000"/>
              <w:bottom w:val="single" w:sz="2" w:space="0" w:color="000000"/>
            </w:tcBorders>
          </w:tcPr>
          <w:p w14:paraId="77E81850" w14:textId="77777777" w:rsidR="00084F36" w:rsidRPr="00EB2BD8" w:rsidRDefault="00EB2BD8">
            <w:pPr>
              <w:pStyle w:val="TableParagraph"/>
              <w:spacing w:before="116"/>
              <w:ind w:right="824"/>
              <w:jc w:val="right"/>
              <w:rPr>
                <w:sz w:val="16"/>
              </w:rPr>
            </w:pPr>
            <w:r w:rsidRPr="00EB2BD8">
              <w:rPr>
                <w:spacing w:val="-5"/>
                <w:sz w:val="16"/>
              </w:rPr>
              <w:t>21%</w:t>
            </w:r>
          </w:p>
        </w:tc>
        <w:tc>
          <w:tcPr>
            <w:tcW w:w="1555" w:type="dxa"/>
            <w:tcBorders>
              <w:top w:val="single" w:sz="2" w:space="0" w:color="000000"/>
              <w:bottom w:val="single" w:sz="2" w:space="0" w:color="000000"/>
            </w:tcBorders>
          </w:tcPr>
          <w:p w14:paraId="1DF9ACCD" w14:textId="77777777" w:rsidR="00084F36" w:rsidRPr="00EB2BD8" w:rsidRDefault="00EB2BD8">
            <w:pPr>
              <w:pStyle w:val="TableParagraph"/>
              <w:spacing w:before="116"/>
              <w:ind w:right="110"/>
              <w:jc w:val="right"/>
              <w:rPr>
                <w:sz w:val="16"/>
              </w:rPr>
            </w:pPr>
            <w:r w:rsidRPr="00EB2BD8">
              <w:rPr>
                <w:spacing w:val="-5"/>
                <w:sz w:val="16"/>
              </w:rPr>
              <w:t>26%</w:t>
            </w:r>
          </w:p>
        </w:tc>
      </w:tr>
      <w:tr w:rsidR="00EB2BD8" w:rsidRPr="00EB2BD8" w14:paraId="0EFCDB46" w14:textId="77777777">
        <w:trPr>
          <w:trHeight w:val="381"/>
        </w:trPr>
        <w:tc>
          <w:tcPr>
            <w:tcW w:w="5651" w:type="dxa"/>
            <w:tcBorders>
              <w:top w:val="single" w:sz="2" w:space="0" w:color="000000"/>
              <w:bottom w:val="single" w:sz="2" w:space="0" w:color="000000"/>
            </w:tcBorders>
          </w:tcPr>
          <w:p w14:paraId="1E64155D" w14:textId="77777777" w:rsidR="00084F36" w:rsidRPr="00EB2BD8" w:rsidRDefault="00EB2BD8">
            <w:pPr>
              <w:pStyle w:val="TableParagraph"/>
              <w:spacing w:before="116"/>
              <w:ind w:left="113"/>
              <w:rPr>
                <w:sz w:val="16"/>
              </w:rPr>
            </w:pPr>
            <w:r w:rsidRPr="00EB2BD8">
              <w:rPr>
                <w:spacing w:val="-4"/>
                <w:sz w:val="16"/>
              </w:rPr>
              <w:t>Completed</w:t>
            </w:r>
            <w:r w:rsidRPr="00EB2BD8">
              <w:rPr>
                <w:spacing w:val="-3"/>
                <w:sz w:val="16"/>
              </w:rPr>
              <w:t xml:space="preserve"> </w:t>
            </w:r>
            <w:r w:rsidRPr="00EB2BD8">
              <w:rPr>
                <w:spacing w:val="-4"/>
                <w:sz w:val="16"/>
              </w:rPr>
              <w:t>within</w:t>
            </w:r>
            <w:r w:rsidRPr="00EB2BD8">
              <w:rPr>
                <w:spacing w:val="-3"/>
                <w:sz w:val="16"/>
              </w:rPr>
              <w:t xml:space="preserve"> </w:t>
            </w:r>
            <w:r w:rsidRPr="00EB2BD8">
              <w:rPr>
                <w:spacing w:val="-4"/>
                <w:sz w:val="16"/>
              </w:rPr>
              <w:t>28</w:t>
            </w:r>
            <w:r w:rsidRPr="00EB2BD8">
              <w:rPr>
                <w:spacing w:val="-3"/>
                <w:sz w:val="16"/>
              </w:rPr>
              <w:t xml:space="preserve"> </w:t>
            </w:r>
            <w:r w:rsidRPr="00EB2BD8">
              <w:rPr>
                <w:spacing w:val="-4"/>
                <w:sz w:val="16"/>
              </w:rPr>
              <w:t>days:</w:t>
            </w:r>
          </w:p>
        </w:tc>
        <w:tc>
          <w:tcPr>
            <w:tcW w:w="2998" w:type="dxa"/>
            <w:tcBorders>
              <w:top w:val="single" w:sz="2" w:space="0" w:color="000000"/>
              <w:bottom w:val="single" w:sz="2" w:space="0" w:color="000000"/>
            </w:tcBorders>
          </w:tcPr>
          <w:p w14:paraId="009452CD" w14:textId="77777777" w:rsidR="00084F36" w:rsidRPr="00EB2BD8" w:rsidRDefault="00084F36">
            <w:pPr>
              <w:pStyle w:val="TableParagraph"/>
              <w:rPr>
                <w:rFonts w:ascii="Times New Roman"/>
                <w:sz w:val="16"/>
              </w:rPr>
            </w:pPr>
          </w:p>
        </w:tc>
        <w:tc>
          <w:tcPr>
            <w:tcW w:w="1555" w:type="dxa"/>
            <w:tcBorders>
              <w:top w:val="single" w:sz="2" w:space="0" w:color="000000"/>
              <w:bottom w:val="single" w:sz="2" w:space="0" w:color="000000"/>
            </w:tcBorders>
          </w:tcPr>
          <w:p w14:paraId="553936EC" w14:textId="77777777" w:rsidR="00084F36" w:rsidRPr="00EB2BD8" w:rsidRDefault="00084F36">
            <w:pPr>
              <w:pStyle w:val="TableParagraph"/>
              <w:rPr>
                <w:rFonts w:ascii="Times New Roman"/>
                <w:sz w:val="16"/>
              </w:rPr>
            </w:pPr>
          </w:p>
        </w:tc>
      </w:tr>
      <w:tr w:rsidR="00EB2BD8" w:rsidRPr="00EB2BD8" w14:paraId="4AE8AFC7" w14:textId="77777777">
        <w:trPr>
          <w:trHeight w:val="381"/>
        </w:trPr>
        <w:tc>
          <w:tcPr>
            <w:tcW w:w="5651" w:type="dxa"/>
            <w:tcBorders>
              <w:top w:val="single" w:sz="2" w:space="0" w:color="000000"/>
              <w:bottom w:val="single" w:sz="2" w:space="0" w:color="000000"/>
            </w:tcBorders>
          </w:tcPr>
          <w:p w14:paraId="1574BBB6" w14:textId="77777777" w:rsidR="00084F36" w:rsidRPr="00EB2BD8" w:rsidRDefault="00EB2BD8">
            <w:pPr>
              <w:pStyle w:val="TableParagraph"/>
              <w:spacing w:before="116"/>
              <w:ind w:left="288"/>
              <w:rPr>
                <w:sz w:val="9"/>
              </w:rPr>
            </w:pPr>
            <w:r w:rsidRPr="00EB2BD8">
              <w:rPr>
                <w:spacing w:val="-2"/>
                <w:sz w:val="16"/>
              </w:rPr>
              <w:t>Affirmed</w:t>
            </w:r>
            <w:r w:rsidRPr="00EB2BD8">
              <w:rPr>
                <w:spacing w:val="-2"/>
                <w:position w:val="5"/>
                <w:sz w:val="9"/>
              </w:rPr>
              <w:t>20</w:t>
            </w:r>
          </w:p>
        </w:tc>
        <w:tc>
          <w:tcPr>
            <w:tcW w:w="2998" w:type="dxa"/>
            <w:tcBorders>
              <w:top w:val="single" w:sz="2" w:space="0" w:color="000000"/>
              <w:bottom w:val="single" w:sz="2" w:space="0" w:color="000000"/>
            </w:tcBorders>
          </w:tcPr>
          <w:p w14:paraId="3A520032" w14:textId="77777777" w:rsidR="00084F36" w:rsidRPr="00EB2BD8" w:rsidRDefault="00EB2BD8">
            <w:pPr>
              <w:pStyle w:val="TableParagraph"/>
              <w:spacing w:before="116"/>
              <w:ind w:right="824"/>
              <w:jc w:val="right"/>
              <w:rPr>
                <w:sz w:val="16"/>
              </w:rPr>
            </w:pPr>
            <w:r w:rsidRPr="00EB2BD8">
              <w:rPr>
                <w:spacing w:val="-5"/>
                <w:w w:val="95"/>
                <w:sz w:val="16"/>
              </w:rPr>
              <w:t>108</w:t>
            </w:r>
          </w:p>
        </w:tc>
        <w:tc>
          <w:tcPr>
            <w:tcW w:w="1555" w:type="dxa"/>
            <w:tcBorders>
              <w:top w:val="single" w:sz="2" w:space="0" w:color="000000"/>
              <w:bottom w:val="single" w:sz="2" w:space="0" w:color="000000"/>
            </w:tcBorders>
          </w:tcPr>
          <w:p w14:paraId="76DE5826" w14:textId="77777777" w:rsidR="00084F36" w:rsidRPr="00EB2BD8" w:rsidRDefault="00EB2BD8">
            <w:pPr>
              <w:pStyle w:val="TableParagraph"/>
              <w:spacing w:before="116"/>
              <w:ind w:right="112"/>
              <w:jc w:val="right"/>
              <w:rPr>
                <w:sz w:val="16"/>
              </w:rPr>
            </w:pPr>
            <w:r w:rsidRPr="00EB2BD8">
              <w:rPr>
                <w:spacing w:val="-5"/>
                <w:w w:val="85"/>
                <w:sz w:val="16"/>
              </w:rPr>
              <w:t>91</w:t>
            </w:r>
          </w:p>
        </w:tc>
      </w:tr>
      <w:tr w:rsidR="00EB2BD8" w:rsidRPr="00EB2BD8" w14:paraId="544EAFD1" w14:textId="77777777">
        <w:trPr>
          <w:trHeight w:val="381"/>
        </w:trPr>
        <w:tc>
          <w:tcPr>
            <w:tcW w:w="5651" w:type="dxa"/>
            <w:tcBorders>
              <w:top w:val="single" w:sz="2" w:space="0" w:color="000000"/>
              <w:bottom w:val="single" w:sz="2" w:space="0" w:color="000000"/>
            </w:tcBorders>
          </w:tcPr>
          <w:p w14:paraId="5BAC3670" w14:textId="77777777" w:rsidR="00084F36" w:rsidRPr="00EB2BD8" w:rsidRDefault="00EB2BD8">
            <w:pPr>
              <w:pStyle w:val="TableParagraph"/>
              <w:spacing w:before="116"/>
              <w:ind w:left="288"/>
              <w:rPr>
                <w:sz w:val="9"/>
              </w:rPr>
            </w:pPr>
            <w:r w:rsidRPr="00EB2BD8">
              <w:rPr>
                <w:spacing w:val="-2"/>
                <w:sz w:val="16"/>
              </w:rPr>
              <w:t>Amended</w:t>
            </w:r>
            <w:r w:rsidRPr="00EB2BD8">
              <w:rPr>
                <w:spacing w:val="-2"/>
                <w:position w:val="5"/>
                <w:sz w:val="9"/>
              </w:rPr>
              <w:t>21</w:t>
            </w:r>
          </w:p>
        </w:tc>
        <w:tc>
          <w:tcPr>
            <w:tcW w:w="2998" w:type="dxa"/>
            <w:tcBorders>
              <w:top w:val="single" w:sz="2" w:space="0" w:color="000000"/>
              <w:bottom w:val="single" w:sz="2" w:space="0" w:color="000000"/>
            </w:tcBorders>
          </w:tcPr>
          <w:p w14:paraId="78B15C06" w14:textId="77777777" w:rsidR="00084F36" w:rsidRPr="00EB2BD8" w:rsidRDefault="00EB2BD8">
            <w:pPr>
              <w:pStyle w:val="TableParagraph"/>
              <w:spacing w:before="116"/>
              <w:ind w:right="823"/>
              <w:jc w:val="right"/>
              <w:rPr>
                <w:sz w:val="16"/>
              </w:rPr>
            </w:pPr>
            <w:r w:rsidRPr="00EB2BD8">
              <w:rPr>
                <w:w w:val="105"/>
                <w:sz w:val="16"/>
              </w:rPr>
              <w:t>0</w:t>
            </w:r>
          </w:p>
        </w:tc>
        <w:tc>
          <w:tcPr>
            <w:tcW w:w="1555" w:type="dxa"/>
            <w:tcBorders>
              <w:top w:val="single" w:sz="2" w:space="0" w:color="000000"/>
              <w:bottom w:val="single" w:sz="2" w:space="0" w:color="000000"/>
            </w:tcBorders>
          </w:tcPr>
          <w:p w14:paraId="47243D41" w14:textId="77777777" w:rsidR="00084F36" w:rsidRPr="00EB2BD8" w:rsidRDefault="00EB2BD8">
            <w:pPr>
              <w:pStyle w:val="TableParagraph"/>
              <w:spacing w:before="116"/>
              <w:ind w:right="110"/>
              <w:jc w:val="right"/>
              <w:rPr>
                <w:sz w:val="16"/>
              </w:rPr>
            </w:pPr>
            <w:r w:rsidRPr="00EB2BD8">
              <w:rPr>
                <w:w w:val="105"/>
                <w:sz w:val="16"/>
              </w:rPr>
              <w:t>0</w:t>
            </w:r>
          </w:p>
        </w:tc>
      </w:tr>
      <w:tr w:rsidR="00EB2BD8" w:rsidRPr="00EB2BD8" w14:paraId="0D13557D" w14:textId="77777777">
        <w:trPr>
          <w:trHeight w:val="381"/>
        </w:trPr>
        <w:tc>
          <w:tcPr>
            <w:tcW w:w="5651" w:type="dxa"/>
            <w:tcBorders>
              <w:top w:val="single" w:sz="2" w:space="0" w:color="000000"/>
              <w:bottom w:val="single" w:sz="2" w:space="0" w:color="000000"/>
            </w:tcBorders>
          </w:tcPr>
          <w:p w14:paraId="69BBD085" w14:textId="77777777" w:rsidR="00084F36" w:rsidRPr="00EB2BD8" w:rsidRDefault="00EB2BD8">
            <w:pPr>
              <w:pStyle w:val="TableParagraph"/>
              <w:spacing w:before="116"/>
              <w:ind w:left="288"/>
              <w:rPr>
                <w:sz w:val="9"/>
              </w:rPr>
            </w:pPr>
            <w:r w:rsidRPr="00EB2BD8">
              <w:rPr>
                <w:spacing w:val="-2"/>
                <w:sz w:val="16"/>
              </w:rPr>
              <w:t>Substituted</w:t>
            </w:r>
            <w:r w:rsidRPr="00EB2BD8">
              <w:rPr>
                <w:spacing w:val="-2"/>
                <w:position w:val="5"/>
                <w:sz w:val="9"/>
              </w:rPr>
              <w:t>22</w:t>
            </w:r>
          </w:p>
        </w:tc>
        <w:tc>
          <w:tcPr>
            <w:tcW w:w="2998" w:type="dxa"/>
            <w:tcBorders>
              <w:top w:val="single" w:sz="2" w:space="0" w:color="000000"/>
              <w:bottom w:val="single" w:sz="2" w:space="0" w:color="000000"/>
            </w:tcBorders>
          </w:tcPr>
          <w:p w14:paraId="653B7839" w14:textId="77777777" w:rsidR="00084F36" w:rsidRPr="00EB2BD8" w:rsidRDefault="00EB2BD8">
            <w:pPr>
              <w:pStyle w:val="TableParagraph"/>
              <w:spacing w:before="116"/>
              <w:ind w:right="824"/>
              <w:jc w:val="right"/>
              <w:rPr>
                <w:sz w:val="16"/>
              </w:rPr>
            </w:pPr>
            <w:r w:rsidRPr="00EB2BD8">
              <w:rPr>
                <w:spacing w:val="-5"/>
                <w:w w:val="85"/>
                <w:sz w:val="16"/>
              </w:rPr>
              <w:t>31</w:t>
            </w:r>
          </w:p>
        </w:tc>
        <w:tc>
          <w:tcPr>
            <w:tcW w:w="1555" w:type="dxa"/>
            <w:tcBorders>
              <w:top w:val="single" w:sz="2" w:space="0" w:color="000000"/>
              <w:bottom w:val="single" w:sz="2" w:space="0" w:color="000000"/>
            </w:tcBorders>
          </w:tcPr>
          <w:p w14:paraId="358010DA" w14:textId="77777777" w:rsidR="00084F36" w:rsidRPr="00EB2BD8" w:rsidRDefault="00EB2BD8">
            <w:pPr>
              <w:pStyle w:val="TableParagraph"/>
              <w:spacing w:before="116"/>
              <w:ind w:right="111"/>
              <w:jc w:val="right"/>
              <w:rPr>
                <w:sz w:val="16"/>
              </w:rPr>
            </w:pPr>
            <w:r w:rsidRPr="00EB2BD8">
              <w:rPr>
                <w:spacing w:val="-5"/>
                <w:sz w:val="16"/>
              </w:rPr>
              <w:t>34</w:t>
            </w:r>
          </w:p>
        </w:tc>
      </w:tr>
      <w:tr w:rsidR="00EB2BD8" w:rsidRPr="00EB2BD8" w14:paraId="39B86643" w14:textId="77777777">
        <w:trPr>
          <w:trHeight w:val="381"/>
        </w:trPr>
        <w:tc>
          <w:tcPr>
            <w:tcW w:w="5651" w:type="dxa"/>
            <w:tcBorders>
              <w:top w:val="single" w:sz="2" w:space="0" w:color="000000"/>
              <w:bottom w:val="single" w:sz="2" w:space="0" w:color="000000"/>
            </w:tcBorders>
          </w:tcPr>
          <w:p w14:paraId="39C34B2B" w14:textId="77777777" w:rsidR="00084F36" w:rsidRPr="00EB2BD8" w:rsidRDefault="00EB2BD8">
            <w:pPr>
              <w:pStyle w:val="TableParagraph"/>
              <w:spacing w:before="116"/>
              <w:ind w:left="113"/>
              <w:rPr>
                <w:sz w:val="16"/>
              </w:rPr>
            </w:pPr>
            <w:r w:rsidRPr="00EB2BD8">
              <w:rPr>
                <w:sz w:val="16"/>
              </w:rPr>
              <w:t>Total</w:t>
            </w:r>
            <w:r w:rsidRPr="00EB2BD8">
              <w:rPr>
                <w:spacing w:val="-14"/>
                <w:sz w:val="16"/>
              </w:rPr>
              <w:t xml:space="preserve"> </w:t>
            </w:r>
            <w:r w:rsidRPr="00EB2BD8">
              <w:rPr>
                <w:sz w:val="16"/>
              </w:rPr>
              <w:t>registration</w:t>
            </w:r>
            <w:r w:rsidRPr="00EB2BD8">
              <w:rPr>
                <w:spacing w:val="-13"/>
                <w:sz w:val="16"/>
              </w:rPr>
              <w:t xml:space="preserve"> </w:t>
            </w:r>
            <w:r w:rsidRPr="00EB2BD8">
              <w:rPr>
                <w:sz w:val="16"/>
              </w:rPr>
              <w:t>reviews</w:t>
            </w:r>
            <w:r w:rsidRPr="00EB2BD8">
              <w:rPr>
                <w:spacing w:val="-14"/>
                <w:sz w:val="16"/>
              </w:rPr>
              <w:t xml:space="preserve"> </w:t>
            </w:r>
            <w:r w:rsidRPr="00EB2BD8">
              <w:rPr>
                <w:spacing w:val="-2"/>
                <w:sz w:val="16"/>
              </w:rPr>
              <w:t>completed</w:t>
            </w:r>
          </w:p>
        </w:tc>
        <w:tc>
          <w:tcPr>
            <w:tcW w:w="2998" w:type="dxa"/>
            <w:tcBorders>
              <w:top w:val="single" w:sz="2" w:space="0" w:color="000000"/>
              <w:bottom w:val="single" w:sz="2" w:space="0" w:color="000000"/>
            </w:tcBorders>
          </w:tcPr>
          <w:p w14:paraId="1427714A" w14:textId="77777777" w:rsidR="00084F36" w:rsidRPr="00EB2BD8" w:rsidRDefault="00EB2BD8">
            <w:pPr>
              <w:pStyle w:val="TableParagraph"/>
              <w:spacing w:before="116"/>
              <w:ind w:right="824"/>
              <w:jc w:val="right"/>
              <w:rPr>
                <w:sz w:val="16"/>
              </w:rPr>
            </w:pPr>
            <w:r w:rsidRPr="00EB2BD8">
              <w:rPr>
                <w:spacing w:val="-5"/>
                <w:w w:val="90"/>
                <w:sz w:val="16"/>
              </w:rPr>
              <w:t>139</w:t>
            </w:r>
          </w:p>
        </w:tc>
        <w:tc>
          <w:tcPr>
            <w:tcW w:w="1555" w:type="dxa"/>
            <w:tcBorders>
              <w:top w:val="single" w:sz="2" w:space="0" w:color="000000"/>
              <w:bottom w:val="single" w:sz="2" w:space="0" w:color="000000"/>
            </w:tcBorders>
          </w:tcPr>
          <w:p w14:paraId="4831CDFE" w14:textId="77777777" w:rsidR="00084F36" w:rsidRPr="00EB2BD8" w:rsidRDefault="00EB2BD8">
            <w:pPr>
              <w:pStyle w:val="TableParagraph"/>
              <w:spacing w:before="116"/>
              <w:ind w:right="111"/>
              <w:jc w:val="right"/>
              <w:rPr>
                <w:sz w:val="16"/>
              </w:rPr>
            </w:pPr>
            <w:r w:rsidRPr="00EB2BD8">
              <w:rPr>
                <w:spacing w:val="-5"/>
                <w:w w:val="85"/>
                <w:sz w:val="16"/>
              </w:rPr>
              <w:t>125</w:t>
            </w:r>
          </w:p>
        </w:tc>
      </w:tr>
      <w:tr w:rsidR="00EB2BD8" w:rsidRPr="00EB2BD8" w14:paraId="304419BE" w14:textId="77777777">
        <w:trPr>
          <w:trHeight w:val="381"/>
        </w:trPr>
        <w:tc>
          <w:tcPr>
            <w:tcW w:w="5651" w:type="dxa"/>
            <w:tcBorders>
              <w:top w:val="single" w:sz="2" w:space="0" w:color="000000"/>
              <w:bottom w:val="single" w:sz="2" w:space="0" w:color="000000"/>
            </w:tcBorders>
          </w:tcPr>
          <w:p w14:paraId="7237DBC6" w14:textId="77777777" w:rsidR="00084F36" w:rsidRPr="00EB2BD8" w:rsidRDefault="00EB2BD8">
            <w:pPr>
              <w:pStyle w:val="TableParagraph"/>
              <w:spacing w:before="116"/>
              <w:ind w:left="113"/>
              <w:rPr>
                <w:sz w:val="16"/>
              </w:rPr>
            </w:pPr>
            <w:r w:rsidRPr="00EB2BD8">
              <w:rPr>
                <w:spacing w:val="-2"/>
                <w:sz w:val="16"/>
              </w:rPr>
              <w:t>Internal</w:t>
            </w:r>
            <w:r w:rsidRPr="00EB2BD8">
              <w:rPr>
                <w:spacing w:val="-1"/>
                <w:sz w:val="16"/>
              </w:rPr>
              <w:t xml:space="preserve"> </w:t>
            </w:r>
            <w:r w:rsidRPr="00EB2BD8">
              <w:rPr>
                <w:spacing w:val="-2"/>
                <w:sz w:val="16"/>
              </w:rPr>
              <w:t>reviews</w:t>
            </w:r>
            <w:r w:rsidRPr="00EB2BD8">
              <w:rPr>
                <w:sz w:val="16"/>
              </w:rPr>
              <w:t xml:space="preserve"> </w:t>
            </w:r>
            <w:r w:rsidRPr="00EB2BD8">
              <w:rPr>
                <w:spacing w:val="-2"/>
                <w:sz w:val="16"/>
              </w:rPr>
              <w:t>received</w:t>
            </w:r>
            <w:r w:rsidRPr="00EB2BD8">
              <w:rPr>
                <w:spacing w:val="-1"/>
                <w:sz w:val="16"/>
              </w:rPr>
              <w:t xml:space="preserve"> </w:t>
            </w:r>
            <w:r w:rsidRPr="00EB2BD8">
              <w:rPr>
                <w:spacing w:val="-2"/>
                <w:sz w:val="16"/>
              </w:rPr>
              <w:t>for</w:t>
            </w:r>
            <w:r w:rsidRPr="00EB2BD8">
              <w:rPr>
                <w:sz w:val="16"/>
              </w:rPr>
              <w:t xml:space="preserve"> </w:t>
            </w:r>
            <w:r w:rsidRPr="00EB2BD8">
              <w:rPr>
                <w:spacing w:val="-2"/>
                <w:sz w:val="16"/>
              </w:rPr>
              <w:t>disciplinary</w:t>
            </w:r>
            <w:r w:rsidRPr="00EB2BD8">
              <w:rPr>
                <w:sz w:val="16"/>
              </w:rPr>
              <w:t xml:space="preserve"> </w:t>
            </w:r>
            <w:r w:rsidRPr="00EB2BD8">
              <w:rPr>
                <w:spacing w:val="-2"/>
                <w:sz w:val="16"/>
              </w:rPr>
              <w:t>decisions</w:t>
            </w:r>
          </w:p>
        </w:tc>
        <w:tc>
          <w:tcPr>
            <w:tcW w:w="2998" w:type="dxa"/>
            <w:tcBorders>
              <w:top w:val="single" w:sz="2" w:space="0" w:color="000000"/>
              <w:bottom w:val="single" w:sz="2" w:space="0" w:color="000000"/>
            </w:tcBorders>
          </w:tcPr>
          <w:p w14:paraId="63F7270D" w14:textId="77777777" w:rsidR="00084F36" w:rsidRPr="00EB2BD8" w:rsidRDefault="00EB2BD8">
            <w:pPr>
              <w:pStyle w:val="TableParagraph"/>
              <w:spacing w:before="116"/>
              <w:ind w:right="824"/>
              <w:jc w:val="right"/>
              <w:rPr>
                <w:sz w:val="16"/>
              </w:rPr>
            </w:pPr>
            <w:r w:rsidRPr="00EB2BD8">
              <w:rPr>
                <w:spacing w:val="-5"/>
                <w:w w:val="95"/>
                <w:sz w:val="16"/>
              </w:rPr>
              <w:t>32</w:t>
            </w:r>
          </w:p>
        </w:tc>
        <w:tc>
          <w:tcPr>
            <w:tcW w:w="1555" w:type="dxa"/>
            <w:tcBorders>
              <w:top w:val="single" w:sz="2" w:space="0" w:color="000000"/>
              <w:bottom w:val="single" w:sz="2" w:space="0" w:color="000000"/>
            </w:tcBorders>
          </w:tcPr>
          <w:p w14:paraId="1BA1FBC3" w14:textId="77777777" w:rsidR="00084F36" w:rsidRPr="00EB2BD8" w:rsidRDefault="00EB2BD8">
            <w:pPr>
              <w:pStyle w:val="TableParagraph"/>
              <w:spacing w:before="116"/>
              <w:ind w:right="111"/>
              <w:jc w:val="right"/>
              <w:rPr>
                <w:sz w:val="16"/>
              </w:rPr>
            </w:pPr>
            <w:r w:rsidRPr="00EB2BD8">
              <w:rPr>
                <w:spacing w:val="-5"/>
                <w:sz w:val="16"/>
              </w:rPr>
              <w:t>55</w:t>
            </w:r>
          </w:p>
        </w:tc>
      </w:tr>
      <w:tr w:rsidR="00EB2BD8" w:rsidRPr="00EB2BD8" w14:paraId="0E5A8828" w14:textId="77777777">
        <w:trPr>
          <w:trHeight w:val="381"/>
        </w:trPr>
        <w:tc>
          <w:tcPr>
            <w:tcW w:w="5651" w:type="dxa"/>
            <w:tcBorders>
              <w:top w:val="single" w:sz="2" w:space="0" w:color="000000"/>
              <w:bottom w:val="single" w:sz="2" w:space="0" w:color="000000"/>
            </w:tcBorders>
          </w:tcPr>
          <w:p w14:paraId="3F9C66D0" w14:textId="77777777" w:rsidR="00084F36" w:rsidRPr="00EB2BD8" w:rsidRDefault="00EB2BD8">
            <w:pPr>
              <w:pStyle w:val="TableParagraph"/>
              <w:spacing w:before="116"/>
              <w:ind w:left="113"/>
              <w:rPr>
                <w:sz w:val="16"/>
              </w:rPr>
            </w:pPr>
            <w:r w:rsidRPr="00EB2BD8">
              <w:rPr>
                <w:sz w:val="16"/>
              </w:rPr>
              <w:t>As</w:t>
            </w:r>
            <w:r w:rsidRPr="00EB2BD8">
              <w:rPr>
                <w:spacing w:val="-13"/>
                <w:sz w:val="16"/>
              </w:rPr>
              <w:t xml:space="preserve"> </w:t>
            </w:r>
            <w:r w:rsidRPr="00EB2BD8">
              <w:rPr>
                <w:sz w:val="16"/>
              </w:rPr>
              <w:t>a</w:t>
            </w:r>
            <w:r w:rsidRPr="00EB2BD8">
              <w:rPr>
                <w:spacing w:val="-12"/>
                <w:sz w:val="16"/>
              </w:rPr>
              <w:t xml:space="preserve"> </w:t>
            </w:r>
            <w:r w:rsidRPr="00EB2BD8">
              <w:rPr>
                <w:sz w:val="16"/>
              </w:rPr>
              <w:t>proportion</w:t>
            </w:r>
            <w:r w:rsidRPr="00EB2BD8">
              <w:rPr>
                <w:spacing w:val="-12"/>
                <w:sz w:val="16"/>
              </w:rPr>
              <w:t xml:space="preserve"> </w:t>
            </w:r>
            <w:r w:rsidRPr="00EB2BD8">
              <w:rPr>
                <w:sz w:val="16"/>
              </w:rPr>
              <w:t>of</w:t>
            </w:r>
            <w:r w:rsidRPr="00EB2BD8">
              <w:rPr>
                <w:spacing w:val="-12"/>
                <w:sz w:val="16"/>
              </w:rPr>
              <w:t xml:space="preserve"> </w:t>
            </w:r>
            <w:r w:rsidRPr="00EB2BD8">
              <w:rPr>
                <w:sz w:val="16"/>
              </w:rPr>
              <w:t>show</w:t>
            </w:r>
            <w:r w:rsidRPr="00EB2BD8">
              <w:rPr>
                <w:spacing w:val="-12"/>
                <w:sz w:val="16"/>
              </w:rPr>
              <w:t xml:space="preserve"> </w:t>
            </w:r>
            <w:r w:rsidRPr="00EB2BD8">
              <w:rPr>
                <w:sz w:val="16"/>
              </w:rPr>
              <w:t>cause</w:t>
            </w:r>
            <w:r w:rsidRPr="00EB2BD8">
              <w:rPr>
                <w:spacing w:val="-12"/>
                <w:sz w:val="16"/>
              </w:rPr>
              <w:t xml:space="preserve"> </w:t>
            </w:r>
            <w:r w:rsidRPr="00EB2BD8">
              <w:rPr>
                <w:spacing w:val="-2"/>
                <w:sz w:val="16"/>
              </w:rPr>
              <w:t>decisions</w:t>
            </w:r>
          </w:p>
        </w:tc>
        <w:tc>
          <w:tcPr>
            <w:tcW w:w="2998" w:type="dxa"/>
            <w:tcBorders>
              <w:top w:val="single" w:sz="2" w:space="0" w:color="000000"/>
              <w:bottom w:val="single" w:sz="2" w:space="0" w:color="000000"/>
            </w:tcBorders>
          </w:tcPr>
          <w:p w14:paraId="6E211CC4" w14:textId="77777777" w:rsidR="00084F36" w:rsidRPr="00EB2BD8" w:rsidRDefault="00EB2BD8">
            <w:pPr>
              <w:pStyle w:val="TableParagraph"/>
              <w:spacing w:before="116"/>
              <w:ind w:right="825"/>
              <w:jc w:val="right"/>
              <w:rPr>
                <w:sz w:val="16"/>
              </w:rPr>
            </w:pPr>
            <w:r w:rsidRPr="00EB2BD8">
              <w:rPr>
                <w:spacing w:val="-5"/>
                <w:sz w:val="16"/>
              </w:rPr>
              <w:t>25%</w:t>
            </w:r>
          </w:p>
        </w:tc>
        <w:tc>
          <w:tcPr>
            <w:tcW w:w="1555" w:type="dxa"/>
            <w:tcBorders>
              <w:top w:val="single" w:sz="2" w:space="0" w:color="000000"/>
              <w:bottom w:val="single" w:sz="2" w:space="0" w:color="000000"/>
            </w:tcBorders>
          </w:tcPr>
          <w:p w14:paraId="075977EE" w14:textId="77777777" w:rsidR="00084F36" w:rsidRPr="00EB2BD8" w:rsidRDefault="00EB2BD8">
            <w:pPr>
              <w:pStyle w:val="TableParagraph"/>
              <w:spacing w:before="116"/>
              <w:ind w:right="110"/>
              <w:jc w:val="right"/>
              <w:rPr>
                <w:sz w:val="16"/>
              </w:rPr>
            </w:pPr>
            <w:r w:rsidRPr="00EB2BD8">
              <w:rPr>
                <w:spacing w:val="-5"/>
                <w:sz w:val="16"/>
              </w:rPr>
              <w:t>37%</w:t>
            </w:r>
          </w:p>
        </w:tc>
      </w:tr>
      <w:tr w:rsidR="00EB2BD8" w:rsidRPr="00EB2BD8" w14:paraId="151747FC" w14:textId="77777777">
        <w:trPr>
          <w:trHeight w:val="381"/>
        </w:trPr>
        <w:tc>
          <w:tcPr>
            <w:tcW w:w="5651" w:type="dxa"/>
            <w:tcBorders>
              <w:top w:val="single" w:sz="2" w:space="0" w:color="000000"/>
              <w:bottom w:val="single" w:sz="2" w:space="0" w:color="000000"/>
            </w:tcBorders>
          </w:tcPr>
          <w:p w14:paraId="42261DD4" w14:textId="77777777" w:rsidR="00084F36" w:rsidRPr="00EB2BD8" w:rsidRDefault="00EB2BD8">
            <w:pPr>
              <w:pStyle w:val="TableParagraph"/>
              <w:spacing w:before="116"/>
              <w:ind w:left="113"/>
              <w:rPr>
                <w:sz w:val="16"/>
              </w:rPr>
            </w:pPr>
            <w:r w:rsidRPr="00EB2BD8">
              <w:rPr>
                <w:spacing w:val="-4"/>
                <w:sz w:val="16"/>
              </w:rPr>
              <w:t>Completed</w:t>
            </w:r>
            <w:r w:rsidRPr="00EB2BD8">
              <w:rPr>
                <w:spacing w:val="-3"/>
                <w:sz w:val="16"/>
              </w:rPr>
              <w:t xml:space="preserve"> </w:t>
            </w:r>
            <w:r w:rsidRPr="00EB2BD8">
              <w:rPr>
                <w:spacing w:val="-4"/>
                <w:sz w:val="16"/>
              </w:rPr>
              <w:t>within</w:t>
            </w:r>
            <w:r w:rsidRPr="00EB2BD8">
              <w:rPr>
                <w:spacing w:val="-3"/>
                <w:sz w:val="16"/>
              </w:rPr>
              <w:t xml:space="preserve"> </w:t>
            </w:r>
            <w:r w:rsidRPr="00EB2BD8">
              <w:rPr>
                <w:spacing w:val="-4"/>
                <w:sz w:val="16"/>
              </w:rPr>
              <w:t>28</w:t>
            </w:r>
            <w:r w:rsidRPr="00EB2BD8">
              <w:rPr>
                <w:spacing w:val="-3"/>
                <w:sz w:val="16"/>
              </w:rPr>
              <w:t xml:space="preserve"> </w:t>
            </w:r>
            <w:r w:rsidRPr="00EB2BD8">
              <w:rPr>
                <w:spacing w:val="-4"/>
                <w:sz w:val="16"/>
              </w:rPr>
              <w:t>days:</w:t>
            </w:r>
          </w:p>
        </w:tc>
        <w:tc>
          <w:tcPr>
            <w:tcW w:w="2998" w:type="dxa"/>
            <w:tcBorders>
              <w:top w:val="single" w:sz="2" w:space="0" w:color="000000"/>
              <w:bottom w:val="single" w:sz="2" w:space="0" w:color="000000"/>
            </w:tcBorders>
          </w:tcPr>
          <w:p w14:paraId="4B5329CD" w14:textId="77777777" w:rsidR="00084F36" w:rsidRPr="00EB2BD8" w:rsidRDefault="00084F36">
            <w:pPr>
              <w:pStyle w:val="TableParagraph"/>
              <w:rPr>
                <w:rFonts w:ascii="Times New Roman"/>
                <w:sz w:val="16"/>
              </w:rPr>
            </w:pPr>
          </w:p>
        </w:tc>
        <w:tc>
          <w:tcPr>
            <w:tcW w:w="1555" w:type="dxa"/>
            <w:tcBorders>
              <w:top w:val="single" w:sz="2" w:space="0" w:color="000000"/>
              <w:bottom w:val="single" w:sz="2" w:space="0" w:color="000000"/>
            </w:tcBorders>
          </w:tcPr>
          <w:p w14:paraId="50778ADE" w14:textId="77777777" w:rsidR="00084F36" w:rsidRPr="00EB2BD8" w:rsidRDefault="00084F36">
            <w:pPr>
              <w:pStyle w:val="TableParagraph"/>
              <w:rPr>
                <w:rFonts w:ascii="Times New Roman"/>
                <w:sz w:val="16"/>
              </w:rPr>
            </w:pPr>
          </w:p>
        </w:tc>
      </w:tr>
      <w:tr w:rsidR="00EB2BD8" w:rsidRPr="00EB2BD8" w14:paraId="503660A6" w14:textId="77777777">
        <w:trPr>
          <w:trHeight w:val="381"/>
        </w:trPr>
        <w:tc>
          <w:tcPr>
            <w:tcW w:w="5651" w:type="dxa"/>
            <w:tcBorders>
              <w:top w:val="single" w:sz="2" w:space="0" w:color="000000"/>
              <w:bottom w:val="single" w:sz="2" w:space="0" w:color="000000"/>
            </w:tcBorders>
          </w:tcPr>
          <w:p w14:paraId="39314026" w14:textId="77777777" w:rsidR="00084F36" w:rsidRPr="00EB2BD8" w:rsidRDefault="00EB2BD8">
            <w:pPr>
              <w:pStyle w:val="TableParagraph"/>
              <w:spacing w:before="116"/>
              <w:ind w:left="288"/>
              <w:rPr>
                <w:sz w:val="16"/>
              </w:rPr>
            </w:pPr>
            <w:r w:rsidRPr="00EB2BD8">
              <w:rPr>
                <w:spacing w:val="-2"/>
                <w:sz w:val="16"/>
              </w:rPr>
              <w:t>Affirmed</w:t>
            </w:r>
          </w:p>
        </w:tc>
        <w:tc>
          <w:tcPr>
            <w:tcW w:w="2998" w:type="dxa"/>
            <w:tcBorders>
              <w:top w:val="single" w:sz="2" w:space="0" w:color="000000"/>
              <w:bottom w:val="single" w:sz="2" w:space="0" w:color="000000"/>
            </w:tcBorders>
          </w:tcPr>
          <w:p w14:paraId="3176D516" w14:textId="77777777" w:rsidR="00084F36" w:rsidRPr="00EB2BD8" w:rsidRDefault="00EB2BD8">
            <w:pPr>
              <w:pStyle w:val="TableParagraph"/>
              <w:spacing w:before="116"/>
              <w:ind w:right="824"/>
              <w:jc w:val="right"/>
              <w:rPr>
                <w:sz w:val="16"/>
              </w:rPr>
            </w:pPr>
            <w:r w:rsidRPr="00EB2BD8">
              <w:rPr>
                <w:spacing w:val="-5"/>
                <w:w w:val="85"/>
                <w:sz w:val="16"/>
              </w:rPr>
              <w:t>16</w:t>
            </w:r>
          </w:p>
        </w:tc>
        <w:tc>
          <w:tcPr>
            <w:tcW w:w="1555" w:type="dxa"/>
            <w:tcBorders>
              <w:top w:val="single" w:sz="2" w:space="0" w:color="000000"/>
              <w:bottom w:val="single" w:sz="2" w:space="0" w:color="000000"/>
            </w:tcBorders>
          </w:tcPr>
          <w:p w14:paraId="36D97A52" w14:textId="77777777" w:rsidR="00084F36" w:rsidRPr="00EB2BD8" w:rsidRDefault="00EB2BD8">
            <w:pPr>
              <w:pStyle w:val="TableParagraph"/>
              <w:spacing w:before="116"/>
              <w:ind w:right="111"/>
              <w:jc w:val="right"/>
              <w:rPr>
                <w:sz w:val="16"/>
              </w:rPr>
            </w:pPr>
            <w:r w:rsidRPr="00EB2BD8">
              <w:rPr>
                <w:spacing w:val="-5"/>
                <w:w w:val="85"/>
                <w:sz w:val="16"/>
              </w:rPr>
              <w:t>14</w:t>
            </w:r>
          </w:p>
        </w:tc>
      </w:tr>
      <w:tr w:rsidR="00EB2BD8" w:rsidRPr="00EB2BD8" w14:paraId="62D28ED2" w14:textId="77777777">
        <w:trPr>
          <w:trHeight w:val="381"/>
        </w:trPr>
        <w:tc>
          <w:tcPr>
            <w:tcW w:w="5651" w:type="dxa"/>
            <w:tcBorders>
              <w:top w:val="single" w:sz="2" w:space="0" w:color="000000"/>
              <w:bottom w:val="single" w:sz="2" w:space="0" w:color="000000"/>
            </w:tcBorders>
          </w:tcPr>
          <w:p w14:paraId="5126975F" w14:textId="77777777" w:rsidR="00084F36" w:rsidRPr="00EB2BD8" w:rsidRDefault="00EB2BD8">
            <w:pPr>
              <w:pStyle w:val="TableParagraph"/>
              <w:spacing w:before="116"/>
              <w:ind w:left="288"/>
              <w:rPr>
                <w:sz w:val="16"/>
              </w:rPr>
            </w:pPr>
            <w:r w:rsidRPr="00EB2BD8">
              <w:rPr>
                <w:spacing w:val="-2"/>
                <w:sz w:val="16"/>
              </w:rPr>
              <w:t>Amended</w:t>
            </w:r>
          </w:p>
        </w:tc>
        <w:tc>
          <w:tcPr>
            <w:tcW w:w="2998" w:type="dxa"/>
            <w:tcBorders>
              <w:top w:val="single" w:sz="2" w:space="0" w:color="000000"/>
              <w:bottom w:val="single" w:sz="2" w:space="0" w:color="000000"/>
            </w:tcBorders>
          </w:tcPr>
          <w:p w14:paraId="5089F3E6" w14:textId="77777777" w:rsidR="00084F36" w:rsidRPr="00EB2BD8" w:rsidRDefault="00EB2BD8">
            <w:pPr>
              <w:pStyle w:val="TableParagraph"/>
              <w:spacing w:before="116"/>
              <w:ind w:right="824"/>
              <w:jc w:val="right"/>
              <w:rPr>
                <w:sz w:val="16"/>
              </w:rPr>
            </w:pPr>
            <w:r w:rsidRPr="00EB2BD8">
              <w:rPr>
                <w:spacing w:val="-5"/>
                <w:w w:val="85"/>
                <w:sz w:val="16"/>
              </w:rPr>
              <w:t>14</w:t>
            </w:r>
          </w:p>
        </w:tc>
        <w:tc>
          <w:tcPr>
            <w:tcW w:w="1555" w:type="dxa"/>
            <w:tcBorders>
              <w:top w:val="single" w:sz="2" w:space="0" w:color="000000"/>
              <w:bottom w:val="single" w:sz="2" w:space="0" w:color="000000"/>
            </w:tcBorders>
          </w:tcPr>
          <w:p w14:paraId="575E96F8" w14:textId="77777777" w:rsidR="00084F36" w:rsidRPr="00EB2BD8" w:rsidRDefault="00EB2BD8">
            <w:pPr>
              <w:pStyle w:val="TableParagraph"/>
              <w:spacing w:before="116"/>
              <w:ind w:right="111"/>
              <w:jc w:val="right"/>
              <w:rPr>
                <w:sz w:val="16"/>
              </w:rPr>
            </w:pPr>
            <w:r w:rsidRPr="00EB2BD8">
              <w:rPr>
                <w:spacing w:val="-5"/>
                <w:sz w:val="16"/>
              </w:rPr>
              <w:t>26</w:t>
            </w:r>
          </w:p>
        </w:tc>
      </w:tr>
      <w:tr w:rsidR="00EB2BD8" w:rsidRPr="00EB2BD8" w14:paraId="11E83F4A" w14:textId="77777777">
        <w:trPr>
          <w:trHeight w:val="381"/>
        </w:trPr>
        <w:tc>
          <w:tcPr>
            <w:tcW w:w="5651" w:type="dxa"/>
            <w:tcBorders>
              <w:top w:val="single" w:sz="2" w:space="0" w:color="000000"/>
              <w:bottom w:val="single" w:sz="2" w:space="0" w:color="000000"/>
            </w:tcBorders>
          </w:tcPr>
          <w:p w14:paraId="42BDE941" w14:textId="77777777" w:rsidR="00084F36" w:rsidRPr="00EB2BD8" w:rsidRDefault="00EB2BD8">
            <w:pPr>
              <w:pStyle w:val="TableParagraph"/>
              <w:spacing w:before="116"/>
              <w:ind w:left="288"/>
              <w:rPr>
                <w:sz w:val="16"/>
              </w:rPr>
            </w:pPr>
            <w:r w:rsidRPr="00EB2BD8">
              <w:rPr>
                <w:spacing w:val="-2"/>
                <w:sz w:val="16"/>
              </w:rPr>
              <w:t>Substituted</w:t>
            </w:r>
          </w:p>
        </w:tc>
        <w:tc>
          <w:tcPr>
            <w:tcW w:w="2998" w:type="dxa"/>
            <w:tcBorders>
              <w:top w:val="single" w:sz="2" w:space="0" w:color="000000"/>
              <w:bottom w:val="single" w:sz="2" w:space="0" w:color="000000"/>
            </w:tcBorders>
          </w:tcPr>
          <w:p w14:paraId="0AAA29B9" w14:textId="77777777" w:rsidR="00084F36" w:rsidRPr="00EB2BD8" w:rsidRDefault="00EB2BD8">
            <w:pPr>
              <w:pStyle w:val="TableParagraph"/>
              <w:spacing w:before="116"/>
              <w:ind w:right="824"/>
              <w:jc w:val="right"/>
              <w:rPr>
                <w:sz w:val="16"/>
              </w:rPr>
            </w:pPr>
            <w:r w:rsidRPr="00EB2BD8">
              <w:rPr>
                <w:spacing w:val="-5"/>
                <w:w w:val="85"/>
                <w:sz w:val="16"/>
              </w:rPr>
              <w:t>13</w:t>
            </w:r>
          </w:p>
        </w:tc>
        <w:tc>
          <w:tcPr>
            <w:tcW w:w="1555" w:type="dxa"/>
            <w:tcBorders>
              <w:top w:val="single" w:sz="2" w:space="0" w:color="000000"/>
              <w:bottom w:val="single" w:sz="2" w:space="0" w:color="000000"/>
            </w:tcBorders>
          </w:tcPr>
          <w:p w14:paraId="3D0F6025" w14:textId="77777777" w:rsidR="00084F36" w:rsidRPr="00EB2BD8" w:rsidRDefault="00EB2BD8">
            <w:pPr>
              <w:pStyle w:val="TableParagraph"/>
              <w:spacing w:before="116"/>
              <w:ind w:right="111"/>
              <w:jc w:val="right"/>
              <w:rPr>
                <w:sz w:val="16"/>
              </w:rPr>
            </w:pPr>
            <w:r w:rsidRPr="00EB2BD8">
              <w:rPr>
                <w:spacing w:val="-5"/>
                <w:w w:val="75"/>
                <w:sz w:val="16"/>
              </w:rPr>
              <w:t>923</w:t>
            </w:r>
          </w:p>
        </w:tc>
      </w:tr>
      <w:tr w:rsidR="00EB2BD8" w:rsidRPr="00EB2BD8" w14:paraId="2D9188F7" w14:textId="77777777">
        <w:trPr>
          <w:trHeight w:val="381"/>
        </w:trPr>
        <w:tc>
          <w:tcPr>
            <w:tcW w:w="5651" w:type="dxa"/>
            <w:tcBorders>
              <w:top w:val="single" w:sz="2" w:space="0" w:color="000000"/>
              <w:bottom w:val="single" w:sz="2" w:space="0" w:color="000000"/>
            </w:tcBorders>
          </w:tcPr>
          <w:p w14:paraId="15D0B72D" w14:textId="77777777" w:rsidR="00084F36" w:rsidRPr="00EB2BD8" w:rsidRDefault="00EB2BD8">
            <w:pPr>
              <w:pStyle w:val="TableParagraph"/>
              <w:spacing w:before="115"/>
              <w:ind w:left="113"/>
              <w:rPr>
                <w:sz w:val="16"/>
              </w:rPr>
            </w:pPr>
            <w:r w:rsidRPr="00EB2BD8">
              <w:rPr>
                <w:sz w:val="16"/>
              </w:rPr>
              <w:t>Total</w:t>
            </w:r>
            <w:r w:rsidRPr="00EB2BD8">
              <w:rPr>
                <w:spacing w:val="-12"/>
                <w:sz w:val="16"/>
              </w:rPr>
              <w:t xml:space="preserve"> </w:t>
            </w:r>
            <w:r w:rsidRPr="00EB2BD8">
              <w:rPr>
                <w:sz w:val="16"/>
              </w:rPr>
              <w:t>disciplinary</w:t>
            </w:r>
            <w:r w:rsidRPr="00EB2BD8">
              <w:rPr>
                <w:spacing w:val="-12"/>
                <w:sz w:val="16"/>
              </w:rPr>
              <w:t xml:space="preserve"> </w:t>
            </w:r>
            <w:r w:rsidRPr="00EB2BD8">
              <w:rPr>
                <w:sz w:val="16"/>
              </w:rPr>
              <w:t>reviews</w:t>
            </w:r>
            <w:r w:rsidRPr="00EB2BD8">
              <w:rPr>
                <w:spacing w:val="-12"/>
                <w:sz w:val="16"/>
              </w:rPr>
              <w:t xml:space="preserve"> </w:t>
            </w:r>
            <w:r w:rsidRPr="00EB2BD8">
              <w:rPr>
                <w:spacing w:val="-2"/>
                <w:sz w:val="16"/>
              </w:rPr>
              <w:t>completed</w:t>
            </w:r>
          </w:p>
        </w:tc>
        <w:tc>
          <w:tcPr>
            <w:tcW w:w="2998" w:type="dxa"/>
            <w:tcBorders>
              <w:top w:val="single" w:sz="2" w:space="0" w:color="000000"/>
              <w:bottom w:val="single" w:sz="2" w:space="0" w:color="000000"/>
            </w:tcBorders>
          </w:tcPr>
          <w:p w14:paraId="03100328" w14:textId="77777777" w:rsidR="00084F36" w:rsidRPr="00EB2BD8" w:rsidRDefault="00EB2BD8">
            <w:pPr>
              <w:pStyle w:val="TableParagraph"/>
              <w:spacing w:before="115"/>
              <w:ind w:right="824"/>
              <w:jc w:val="right"/>
              <w:rPr>
                <w:sz w:val="16"/>
              </w:rPr>
            </w:pPr>
            <w:r w:rsidRPr="00EB2BD8">
              <w:rPr>
                <w:spacing w:val="-5"/>
                <w:sz w:val="16"/>
              </w:rPr>
              <w:t>43</w:t>
            </w:r>
          </w:p>
        </w:tc>
        <w:tc>
          <w:tcPr>
            <w:tcW w:w="1555" w:type="dxa"/>
            <w:tcBorders>
              <w:top w:val="single" w:sz="2" w:space="0" w:color="000000"/>
              <w:bottom w:val="single" w:sz="2" w:space="0" w:color="000000"/>
            </w:tcBorders>
          </w:tcPr>
          <w:p w14:paraId="1855C5CA" w14:textId="77777777" w:rsidR="00084F36" w:rsidRPr="00EB2BD8" w:rsidRDefault="00EB2BD8">
            <w:pPr>
              <w:pStyle w:val="TableParagraph"/>
              <w:spacing w:before="115"/>
              <w:ind w:right="111"/>
              <w:jc w:val="right"/>
              <w:rPr>
                <w:sz w:val="16"/>
              </w:rPr>
            </w:pPr>
            <w:r w:rsidRPr="00EB2BD8">
              <w:rPr>
                <w:spacing w:val="-5"/>
                <w:sz w:val="16"/>
              </w:rPr>
              <w:t>49</w:t>
            </w:r>
          </w:p>
        </w:tc>
      </w:tr>
      <w:tr w:rsidR="00EB2BD8" w:rsidRPr="00EB2BD8" w14:paraId="51177521" w14:textId="77777777">
        <w:trPr>
          <w:trHeight w:val="381"/>
        </w:trPr>
        <w:tc>
          <w:tcPr>
            <w:tcW w:w="5651" w:type="dxa"/>
            <w:tcBorders>
              <w:top w:val="single" w:sz="2" w:space="0" w:color="000000"/>
              <w:bottom w:val="single" w:sz="2" w:space="0" w:color="000000"/>
            </w:tcBorders>
          </w:tcPr>
          <w:p w14:paraId="43402726" w14:textId="77777777" w:rsidR="00084F36" w:rsidRPr="00EB2BD8" w:rsidRDefault="00EB2BD8">
            <w:pPr>
              <w:pStyle w:val="TableParagraph"/>
              <w:spacing w:before="115"/>
              <w:ind w:left="113"/>
              <w:rPr>
                <w:sz w:val="16"/>
              </w:rPr>
            </w:pPr>
            <w:r w:rsidRPr="00EB2BD8">
              <w:rPr>
                <w:sz w:val="16"/>
              </w:rPr>
              <w:t>Internal</w:t>
            </w:r>
            <w:r w:rsidRPr="00EB2BD8">
              <w:rPr>
                <w:spacing w:val="-14"/>
                <w:sz w:val="16"/>
              </w:rPr>
              <w:t xml:space="preserve"> </w:t>
            </w:r>
            <w:r w:rsidRPr="00EB2BD8">
              <w:rPr>
                <w:sz w:val="16"/>
              </w:rPr>
              <w:t>reviews</w:t>
            </w:r>
            <w:r w:rsidRPr="00EB2BD8">
              <w:rPr>
                <w:spacing w:val="-13"/>
                <w:sz w:val="16"/>
              </w:rPr>
              <w:t xml:space="preserve"> </w:t>
            </w:r>
            <w:r w:rsidRPr="00EB2BD8">
              <w:rPr>
                <w:sz w:val="16"/>
              </w:rPr>
              <w:t>completed</w:t>
            </w:r>
            <w:r w:rsidRPr="00EB2BD8">
              <w:rPr>
                <w:spacing w:val="-13"/>
                <w:sz w:val="16"/>
              </w:rPr>
              <w:t xml:space="preserve"> </w:t>
            </w:r>
            <w:r w:rsidRPr="00EB2BD8">
              <w:rPr>
                <w:sz w:val="16"/>
              </w:rPr>
              <w:t>for</w:t>
            </w:r>
            <w:r w:rsidRPr="00EB2BD8">
              <w:rPr>
                <w:spacing w:val="-13"/>
                <w:sz w:val="16"/>
              </w:rPr>
              <w:t xml:space="preserve"> </w:t>
            </w:r>
            <w:r w:rsidRPr="00EB2BD8">
              <w:rPr>
                <w:sz w:val="16"/>
              </w:rPr>
              <w:t>infringement</w:t>
            </w:r>
            <w:r w:rsidRPr="00EB2BD8">
              <w:rPr>
                <w:spacing w:val="-13"/>
                <w:sz w:val="16"/>
              </w:rPr>
              <w:t xml:space="preserve"> </w:t>
            </w:r>
            <w:r w:rsidRPr="00EB2BD8">
              <w:rPr>
                <w:spacing w:val="-2"/>
                <w:sz w:val="16"/>
              </w:rPr>
              <w:t>notices</w:t>
            </w:r>
          </w:p>
        </w:tc>
        <w:tc>
          <w:tcPr>
            <w:tcW w:w="2998" w:type="dxa"/>
            <w:tcBorders>
              <w:top w:val="single" w:sz="2" w:space="0" w:color="000000"/>
              <w:bottom w:val="single" w:sz="2" w:space="0" w:color="000000"/>
            </w:tcBorders>
          </w:tcPr>
          <w:p w14:paraId="0F2AB838" w14:textId="77777777" w:rsidR="00084F36" w:rsidRPr="00EB2BD8" w:rsidRDefault="00EB2BD8">
            <w:pPr>
              <w:pStyle w:val="TableParagraph"/>
              <w:spacing w:before="115"/>
              <w:ind w:right="824"/>
              <w:jc w:val="right"/>
              <w:rPr>
                <w:sz w:val="16"/>
              </w:rPr>
            </w:pPr>
            <w:r w:rsidRPr="00EB2BD8">
              <w:rPr>
                <w:spacing w:val="-5"/>
                <w:w w:val="90"/>
                <w:sz w:val="16"/>
              </w:rPr>
              <w:t>22</w:t>
            </w:r>
          </w:p>
        </w:tc>
        <w:tc>
          <w:tcPr>
            <w:tcW w:w="1555" w:type="dxa"/>
            <w:tcBorders>
              <w:top w:val="single" w:sz="2" w:space="0" w:color="000000"/>
              <w:bottom w:val="single" w:sz="2" w:space="0" w:color="000000"/>
            </w:tcBorders>
          </w:tcPr>
          <w:p w14:paraId="74EA06E5" w14:textId="77777777" w:rsidR="00084F36" w:rsidRPr="00EB2BD8" w:rsidRDefault="00EB2BD8">
            <w:pPr>
              <w:pStyle w:val="TableParagraph"/>
              <w:spacing w:before="115"/>
              <w:ind w:right="111"/>
              <w:jc w:val="right"/>
              <w:rPr>
                <w:sz w:val="16"/>
              </w:rPr>
            </w:pPr>
            <w:r w:rsidRPr="00EB2BD8">
              <w:rPr>
                <w:spacing w:val="-5"/>
                <w:sz w:val="16"/>
              </w:rPr>
              <w:t>56</w:t>
            </w:r>
          </w:p>
        </w:tc>
      </w:tr>
      <w:tr w:rsidR="00084F36" w:rsidRPr="00EB2BD8" w14:paraId="5A6A5202" w14:textId="77777777">
        <w:trPr>
          <w:trHeight w:val="381"/>
        </w:trPr>
        <w:tc>
          <w:tcPr>
            <w:tcW w:w="5651" w:type="dxa"/>
            <w:tcBorders>
              <w:top w:val="single" w:sz="2" w:space="0" w:color="000000"/>
              <w:bottom w:val="single" w:sz="2" w:space="0" w:color="000000"/>
            </w:tcBorders>
          </w:tcPr>
          <w:p w14:paraId="0BF5493C" w14:textId="77777777" w:rsidR="00084F36" w:rsidRPr="00EB2BD8" w:rsidRDefault="00EB2BD8">
            <w:pPr>
              <w:pStyle w:val="TableParagraph"/>
              <w:spacing w:before="115"/>
              <w:ind w:left="113"/>
              <w:rPr>
                <w:sz w:val="16"/>
              </w:rPr>
            </w:pPr>
            <w:r w:rsidRPr="00EB2BD8">
              <w:rPr>
                <w:spacing w:val="-2"/>
                <w:sz w:val="16"/>
              </w:rPr>
              <w:t>Total internal reviews completed</w:t>
            </w:r>
          </w:p>
        </w:tc>
        <w:tc>
          <w:tcPr>
            <w:tcW w:w="2998" w:type="dxa"/>
            <w:tcBorders>
              <w:top w:val="single" w:sz="2" w:space="0" w:color="000000"/>
              <w:bottom w:val="single" w:sz="2" w:space="0" w:color="000000"/>
            </w:tcBorders>
          </w:tcPr>
          <w:p w14:paraId="5C0738E5" w14:textId="77777777" w:rsidR="00084F36" w:rsidRPr="00EB2BD8" w:rsidRDefault="00EB2BD8">
            <w:pPr>
              <w:pStyle w:val="TableParagraph"/>
              <w:spacing w:before="115"/>
              <w:ind w:right="823"/>
              <w:jc w:val="right"/>
              <w:rPr>
                <w:sz w:val="16"/>
              </w:rPr>
            </w:pPr>
            <w:r w:rsidRPr="00EB2BD8">
              <w:rPr>
                <w:spacing w:val="-5"/>
                <w:sz w:val="16"/>
              </w:rPr>
              <w:t>204</w:t>
            </w:r>
          </w:p>
        </w:tc>
        <w:tc>
          <w:tcPr>
            <w:tcW w:w="1555" w:type="dxa"/>
            <w:tcBorders>
              <w:top w:val="single" w:sz="2" w:space="0" w:color="000000"/>
              <w:bottom w:val="single" w:sz="2" w:space="0" w:color="000000"/>
            </w:tcBorders>
          </w:tcPr>
          <w:p w14:paraId="1C1E8894" w14:textId="77777777" w:rsidR="00084F36" w:rsidRPr="00EB2BD8" w:rsidRDefault="00EB2BD8">
            <w:pPr>
              <w:pStyle w:val="TableParagraph"/>
              <w:spacing w:before="115"/>
              <w:ind w:right="111"/>
              <w:jc w:val="right"/>
              <w:rPr>
                <w:sz w:val="16"/>
              </w:rPr>
            </w:pPr>
            <w:r w:rsidRPr="00EB2BD8">
              <w:rPr>
                <w:spacing w:val="-5"/>
                <w:sz w:val="16"/>
              </w:rPr>
              <w:t>230</w:t>
            </w:r>
          </w:p>
        </w:tc>
      </w:tr>
    </w:tbl>
    <w:p w14:paraId="3BD8F211" w14:textId="77777777" w:rsidR="00084F36" w:rsidRPr="00EB2BD8" w:rsidRDefault="00084F36">
      <w:pPr>
        <w:pStyle w:val="BodyText"/>
        <w:rPr>
          <w:sz w:val="22"/>
        </w:rPr>
      </w:pPr>
    </w:p>
    <w:p w14:paraId="0CCB39C4" w14:textId="4650C986" w:rsidR="00084F36" w:rsidRPr="00EB2BD8" w:rsidRDefault="00EB2BD8">
      <w:pPr>
        <w:spacing w:before="138"/>
        <w:ind w:left="850"/>
        <w:rPr>
          <w:i/>
          <w:sz w:val="14"/>
        </w:rPr>
      </w:pPr>
      <w:r w:rsidRPr="00EB2BD8">
        <w:rPr>
          <w:i/>
          <w:spacing w:val="-2"/>
          <w:sz w:val="14"/>
        </w:rPr>
        <w:t>20</w:t>
      </w:r>
      <w:r w:rsidR="00C1767B">
        <w:rPr>
          <w:i/>
          <w:spacing w:val="-2"/>
          <w:sz w:val="14"/>
        </w:rPr>
        <w:t xml:space="preserve">- </w:t>
      </w:r>
      <w:r w:rsidRPr="00EB2BD8">
        <w:rPr>
          <w:i/>
          <w:spacing w:val="-2"/>
          <w:sz w:val="14"/>
        </w:rPr>
        <w:t>Affirmed</w:t>
      </w:r>
      <w:r w:rsidRPr="00EB2BD8">
        <w:rPr>
          <w:i/>
          <w:spacing w:val="-10"/>
          <w:sz w:val="14"/>
        </w:rPr>
        <w:t xml:space="preserve"> </w:t>
      </w:r>
      <w:r w:rsidRPr="00EB2BD8">
        <w:rPr>
          <w:i/>
          <w:spacing w:val="-2"/>
          <w:sz w:val="14"/>
        </w:rPr>
        <w:t>is</w:t>
      </w:r>
      <w:r w:rsidRPr="00EB2BD8">
        <w:rPr>
          <w:i/>
          <w:spacing w:val="-9"/>
          <w:sz w:val="14"/>
        </w:rPr>
        <w:t xml:space="preserve"> </w:t>
      </w:r>
      <w:r w:rsidRPr="00EB2BD8">
        <w:rPr>
          <w:i/>
          <w:spacing w:val="-2"/>
          <w:sz w:val="14"/>
        </w:rPr>
        <w:t>when</w:t>
      </w:r>
      <w:r w:rsidRPr="00EB2BD8">
        <w:rPr>
          <w:i/>
          <w:spacing w:val="-9"/>
          <w:sz w:val="14"/>
        </w:rPr>
        <w:t xml:space="preserve"> </w:t>
      </w:r>
      <w:r w:rsidRPr="00EB2BD8">
        <w:rPr>
          <w:i/>
          <w:spacing w:val="-2"/>
          <w:sz w:val="14"/>
        </w:rPr>
        <w:t>a</w:t>
      </w:r>
      <w:r w:rsidRPr="00EB2BD8">
        <w:rPr>
          <w:i/>
          <w:spacing w:val="-10"/>
          <w:sz w:val="14"/>
        </w:rPr>
        <w:t xml:space="preserve"> </w:t>
      </w:r>
      <w:r w:rsidRPr="00EB2BD8">
        <w:rPr>
          <w:i/>
          <w:spacing w:val="-2"/>
          <w:sz w:val="14"/>
        </w:rPr>
        <w:t>VBA</w:t>
      </w:r>
      <w:r w:rsidRPr="00EB2BD8">
        <w:rPr>
          <w:i/>
          <w:spacing w:val="-9"/>
          <w:sz w:val="14"/>
        </w:rPr>
        <w:t xml:space="preserve"> </w:t>
      </w:r>
      <w:r w:rsidRPr="00EB2BD8">
        <w:rPr>
          <w:i/>
          <w:spacing w:val="-2"/>
          <w:sz w:val="14"/>
        </w:rPr>
        <w:t>decision</w:t>
      </w:r>
      <w:r w:rsidRPr="00EB2BD8">
        <w:rPr>
          <w:i/>
          <w:spacing w:val="-9"/>
          <w:sz w:val="14"/>
        </w:rPr>
        <w:t xml:space="preserve"> </w:t>
      </w:r>
      <w:r w:rsidRPr="00EB2BD8">
        <w:rPr>
          <w:i/>
          <w:spacing w:val="-2"/>
          <w:sz w:val="14"/>
        </w:rPr>
        <w:t>remains</w:t>
      </w:r>
      <w:r w:rsidRPr="00EB2BD8">
        <w:rPr>
          <w:i/>
          <w:spacing w:val="-10"/>
          <w:sz w:val="14"/>
        </w:rPr>
        <w:t xml:space="preserve"> </w:t>
      </w:r>
      <w:r w:rsidRPr="00EB2BD8">
        <w:rPr>
          <w:i/>
          <w:spacing w:val="-2"/>
          <w:sz w:val="14"/>
        </w:rPr>
        <w:t>unchanged.</w:t>
      </w:r>
    </w:p>
    <w:p w14:paraId="6B73C188" w14:textId="74C3C45D" w:rsidR="00084F36" w:rsidRPr="00EB2BD8" w:rsidRDefault="00EB2BD8">
      <w:pPr>
        <w:spacing w:before="35"/>
        <w:ind w:left="850"/>
        <w:rPr>
          <w:i/>
          <w:sz w:val="14"/>
        </w:rPr>
      </w:pPr>
      <w:r w:rsidRPr="00EB2BD8">
        <w:rPr>
          <w:i/>
          <w:sz w:val="14"/>
        </w:rPr>
        <w:t>21</w:t>
      </w:r>
      <w:r w:rsidR="00C1767B">
        <w:rPr>
          <w:i/>
          <w:sz w:val="14"/>
        </w:rPr>
        <w:t xml:space="preserve">- </w:t>
      </w:r>
      <w:r w:rsidRPr="00EB2BD8">
        <w:rPr>
          <w:i/>
          <w:sz w:val="14"/>
        </w:rPr>
        <w:t>Amended</w:t>
      </w:r>
      <w:r w:rsidRPr="00EB2BD8">
        <w:rPr>
          <w:i/>
          <w:spacing w:val="-11"/>
          <w:sz w:val="14"/>
        </w:rPr>
        <w:t xml:space="preserve"> </w:t>
      </w:r>
      <w:r w:rsidRPr="00EB2BD8">
        <w:rPr>
          <w:i/>
          <w:sz w:val="14"/>
        </w:rPr>
        <w:t>is</w:t>
      </w:r>
      <w:r w:rsidRPr="00EB2BD8">
        <w:rPr>
          <w:i/>
          <w:spacing w:val="-10"/>
          <w:sz w:val="14"/>
        </w:rPr>
        <w:t xml:space="preserve"> </w:t>
      </w:r>
      <w:r w:rsidRPr="00EB2BD8">
        <w:rPr>
          <w:i/>
          <w:sz w:val="14"/>
        </w:rPr>
        <w:t>when</w:t>
      </w:r>
      <w:r w:rsidRPr="00EB2BD8">
        <w:rPr>
          <w:i/>
          <w:spacing w:val="-10"/>
          <w:sz w:val="14"/>
        </w:rPr>
        <w:t xml:space="preserve"> </w:t>
      </w:r>
      <w:r w:rsidRPr="00EB2BD8">
        <w:rPr>
          <w:i/>
          <w:sz w:val="14"/>
        </w:rPr>
        <w:t>some</w:t>
      </w:r>
      <w:r w:rsidRPr="00EB2BD8">
        <w:rPr>
          <w:i/>
          <w:spacing w:val="-11"/>
          <w:sz w:val="14"/>
        </w:rPr>
        <w:t xml:space="preserve"> </w:t>
      </w:r>
      <w:r w:rsidRPr="00EB2BD8">
        <w:rPr>
          <w:i/>
          <w:sz w:val="14"/>
        </w:rPr>
        <w:t>changes</w:t>
      </w:r>
      <w:r w:rsidRPr="00EB2BD8">
        <w:rPr>
          <w:i/>
          <w:spacing w:val="-10"/>
          <w:sz w:val="14"/>
        </w:rPr>
        <w:t xml:space="preserve"> </w:t>
      </w:r>
      <w:r w:rsidRPr="00EB2BD8">
        <w:rPr>
          <w:i/>
          <w:sz w:val="14"/>
        </w:rPr>
        <w:t>are</w:t>
      </w:r>
      <w:r w:rsidRPr="00EB2BD8">
        <w:rPr>
          <w:i/>
          <w:spacing w:val="-10"/>
          <w:sz w:val="14"/>
        </w:rPr>
        <w:t xml:space="preserve"> </w:t>
      </w:r>
      <w:r w:rsidRPr="00EB2BD8">
        <w:rPr>
          <w:i/>
          <w:sz w:val="14"/>
        </w:rPr>
        <w:t>made</w:t>
      </w:r>
      <w:r w:rsidRPr="00EB2BD8">
        <w:rPr>
          <w:i/>
          <w:spacing w:val="-11"/>
          <w:sz w:val="14"/>
        </w:rPr>
        <w:t xml:space="preserve"> </w:t>
      </w:r>
      <w:r w:rsidRPr="00EB2BD8">
        <w:rPr>
          <w:i/>
          <w:sz w:val="14"/>
        </w:rPr>
        <w:t>to</w:t>
      </w:r>
      <w:r w:rsidRPr="00EB2BD8">
        <w:rPr>
          <w:i/>
          <w:spacing w:val="-10"/>
          <w:sz w:val="14"/>
        </w:rPr>
        <w:t xml:space="preserve"> </w:t>
      </w:r>
      <w:r w:rsidRPr="00EB2BD8">
        <w:rPr>
          <w:i/>
          <w:sz w:val="14"/>
        </w:rPr>
        <w:t>the</w:t>
      </w:r>
      <w:r w:rsidRPr="00EB2BD8">
        <w:rPr>
          <w:i/>
          <w:spacing w:val="-10"/>
          <w:sz w:val="14"/>
        </w:rPr>
        <w:t xml:space="preserve"> </w:t>
      </w:r>
      <w:r w:rsidRPr="00EB2BD8">
        <w:rPr>
          <w:i/>
          <w:sz w:val="14"/>
        </w:rPr>
        <w:t>original</w:t>
      </w:r>
      <w:r w:rsidRPr="00EB2BD8">
        <w:rPr>
          <w:i/>
          <w:spacing w:val="-11"/>
          <w:sz w:val="14"/>
        </w:rPr>
        <w:t xml:space="preserve"> </w:t>
      </w:r>
      <w:r w:rsidRPr="00EB2BD8">
        <w:rPr>
          <w:i/>
          <w:sz w:val="14"/>
        </w:rPr>
        <w:t>VBA</w:t>
      </w:r>
      <w:r w:rsidRPr="00EB2BD8">
        <w:rPr>
          <w:i/>
          <w:spacing w:val="-10"/>
          <w:sz w:val="14"/>
        </w:rPr>
        <w:t xml:space="preserve"> </w:t>
      </w:r>
      <w:r w:rsidRPr="00EB2BD8">
        <w:rPr>
          <w:i/>
          <w:spacing w:val="-2"/>
          <w:sz w:val="14"/>
        </w:rPr>
        <w:t>decision.</w:t>
      </w:r>
    </w:p>
    <w:p w14:paraId="52D47A7D" w14:textId="13FFDF6D" w:rsidR="00084F36" w:rsidRPr="00EB2BD8" w:rsidRDefault="00EB2BD8">
      <w:pPr>
        <w:spacing w:before="35" w:line="290" w:lineRule="auto"/>
        <w:ind w:left="850" w:right="4502"/>
        <w:rPr>
          <w:i/>
          <w:sz w:val="14"/>
        </w:rPr>
      </w:pPr>
      <w:r w:rsidRPr="00EB2BD8">
        <w:rPr>
          <w:i/>
          <w:sz w:val="14"/>
        </w:rPr>
        <w:t>22</w:t>
      </w:r>
      <w:r w:rsidR="00C1767B">
        <w:rPr>
          <w:i/>
          <w:sz w:val="14"/>
        </w:rPr>
        <w:t xml:space="preserve">- </w:t>
      </w:r>
      <w:r w:rsidRPr="00EB2BD8">
        <w:rPr>
          <w:i/>
          <w:sz w:val="14"/>
        </w:rPr>
        <w:t>Substituted</w:t>
      </w:r>
      <w:r w:rsidRPr="00EB2BD8">
        <w:rPr>
          <w:i/>
          <w:spacing w:val="-10"/>
          <w:sz w:val="14"/>
        </w:rPr>
        <w:t xml:space="preserve"> </w:t>
      </w:r>
      <w:r w:rsidRPr="00EB2BD8">
        <w:rPr>
          <w:i/>
          <w:sz w:val="14"/>
        </w:rPr>
        <w:t>means</w:t>
      </w:r>
      <w:r w:rsidRPr="00EB2BD8">
        <w:rPr>
          <w:i/>
          <w:spacing w:val="-10"/>
          <w:sz w:val="14"/>
        </w:rPr>
        <w:t xml:space="preserve"> </w:t>
      </w:r>
      <w:r w:rsidRPr="00EB2BD8">
        <w:rPr>
          <w:i/>
          <w:sz w:val="14"/>
        </w:rPr>
        <w:t>when</w:t>
      </w:r>
      <w:r w:rsidRPr="00EB2BD8">
        <w:rPr>
          <w:i/>
          <w:spacing w:val="-10"/>
          <w:sz w:val="14"/>
        </w:rPr>
        <w:t xml:space="preserve"> </w:t>
      </w:r>
      <w:r w:rsidRPr="00EB2BD8">
        <w:rPr>
          <w:i/>
          <w:sz w:val="14"/>
        </w:rPr>
        <w:t>the</w:t>
      </w:r>
      <w:r w:rsidRPr="00EB2BD8">
        <w:rPr>
          <w:i/>
          <w:spacing w:val="-10"/>
          <w:sz w:val="14"/>
        </w:rPr>
        <w:t xml:space="preserve"> </w:t>
      </w:r>
      <w:r w:rsidRPr="00EB2BD8">
        <w:rPr>
          <w:i/>
          <w:sz w:val="14"/>
        </w:rPr>
        <w:t>VBA’s</w:t>
      </w:r>
      <w:r w:rsidRPr="00EB2BD8">
        <w:rPr>
          <w:i/>
          <w:spacing w:val="-10"/>
          <w:sz w:val="14"/>
        </w:rPr>
        <w:t xml:space="preserve"> </w:t>
      </w:r>
      <w:r w:rsidRPr="00EB2BD8">
        <w:rPr>
          <w:i/>
          <w:sz w:val="14"/>
        </w:rPr>
        <w:t>original</w:t>
      </w:r>
      <w:r w:rsidRPr="00EB2BD8">
        <w:rPr>
          <w:i/>
          <w:spacing w:val="-10"/>
          <w:sz w:val="14"/>
        </w:rPr>
        <w:t xml:space="preserve"> </w:t>
      </w:r>
      <w:r w:rsidRPr="00EB2BD8">
        <w:rPr>
          <w:i/>
          <w:sz w:val="14"/>
        </w:rPr>
        <w:t>decision</w:t>
      </w:r>
      <w:r w:rsidRPr="00EB2BD8">
        <w:rPr>
          <w:i/>
          <w:spacing w:val="-10"/>
          <w:sz w:val="14"/>
        </w:rPr>
        <w:t xml:space="preserve"> </w:t>
      </w:r>
      <w:r w:rsidRPr="00EB2BD8">
        <w:rPr>
          <w:i/>
          <w:sz w:val="14"/>
        </w:rPr>
        <w:t>is</w:t>
      </w:r>
      <w:r w:rsidRPr="00EB2BD8">
        <w:rPr>
          <w:i/>
          <w:spacing w:val="-10"/>
          <w:sz w:val="14"/>
        </w:rPr>
        <w:t xml:space="preserve"> </w:t>
      </w:r>
      <w:r w:rsidRPr="00EB2BD8">
        <w:rPr>
          <w:i/>
          <w:sz w:val="14"/>
        </w:rPr>
        <w:t>replaced</w:t>
      </w:r>
      <w:r w:rsidRPr="00EB2BD8">
        <w:rPr>
          <w:i/>
          <w:spacing w:val="-10"/>
          <w:sz w:val="14"/>
        </w:rPr>
        <w:t xml:space="preserve"> </w:t>
      </w:r>
      <w:r w:rsidRPr="00EB2BD8">
        <w:rPr>
          <w:i/>
          <w:sz w:val="14"/>
        </w:rPr>
        <w:t>with</w:t>
      </w:r>
      <w:r w:rsidRPr="00EB2BD8">
        <w:rPr>
          <w:i/>
          <w:spacing w:val="-10"/>
          <w:sz w:val="14"/>
        </w:rPr>
        <w:t xml:space="preserve"> </w:t>
      </w:r>
      <w:r w:rsidRPr="00EB2BD8">
        <w:rPr>
          <w:i/>
          <w:sz w:val="14"/>
        </w:rPr>
        <w:t>a</w:t>
      </w:r>
      <w:r w:rsidRPr="00EB2BD8">
        <w:rPr>
          <w:i/>
          <w:spacing w:val="-10"/>
          <w:sz w:val="14"/>
        </w:rPr>
        <w:t xml:space="preserve"> </w:t>
      </w:r>
      <w:r w:rsidRPr="00EB2BD8">
        <w:rPr>
          <w:i/>
          <w:sz w:val="14"/>
        </w:rPr>
        <w:t>different</w:t>
      </w:r>
      <w:r w:rsidRPr="00EB2BD8">
        <w:rPr>
          <w:i/>
          <w:spacing w:val="-10"/>
          <w:sz w:val="14"/>
        </w:rPr>
        <w:t xml:space="preserve"> </w:t>
      </w:r>
      <w:r w:rsidRPr="00EB2BD8">
        <w:rPr>
          <w:i/>
          <w:sz w:val="14"/>
        </w:rPr>
        <w:t xml:space="preserve">decision. </w:t>
      </w:r>
      <w:r w:rsidR="00C1767B">
        <w:rPr>
          <w:i/>
          <w:sz w:val="14"/>
        </w:rPr>
        <w:br/>
      </w:r>
      <w:r w:rsidRPr="00EB2BD8">
        <w:rPr>
          <w:i/>
          <w:sz w:val="14"/>
        </w:rPr>
        <w:t>2</w:t>
      </w:r>
      <w:r w:rsidR="00C1767B">
        <w:rPr>
          <w:i/>
          <w:sz w:val="14"/>
        </w:rPr>
        <w:t xml:space="preserve">3- </w:t>
      </w:r>
      <w:r w:rsidRPr="00EB2BD8">
        <w:rPr>
          <w:i/>
          <w:sz w:val="14"/>
        </w:rPr>
        <w:t>Data</w:t>
      </w:r>
      <w:r w:rsidRPr="00EB2BD8">
        <w:rPr>
          <w:i/>
          <w:spacing w:val="-11"/>
          <w:sz w:val="14"/>
        </w:rPr>
        <w:t xml:space="preserve"> </w:t>
      </w:r>
      <w:r w:rsidRPr="00EB2BD8">
        <w:rPr>
          <w:i/>
          <w:sz w:val="14"/>
        </w:rPr>
        <w:t>correction</w:t>
      </w:r>
      <w:r w:rsidRPr="00EB2BD8">
        <w:rPr>
          <w:i/>
          <w:spacing w:val="-11"/>
          <w:sz w:val="14"/>
        </w:rPr>
        <w:t xml:space="preserve"> </w:t>
      </w:r>
      <w:r w:rsidRPr="00EB2BD8">
        <w:rPr>
          <w:i/>
          <w:sz w:val="14"/>
        </w:rPr>
        <w:t>from</w:t>
      </w:r>
      <w:r w:rsidRPr="00EB2BD8">
        <w:rPr>
          <w:i/>
          <w:spacing w:val="-11"/>
          <w:sz w:val="14"/>
        </w:rPr>
        <w:t xml:space="preserve"> </w:t>
      </w:r>
      <w:r w:rsidRPr="00EB2BD8">
        <w:rPr>
          <w:i/>
          <w:sz w:val="14"/>
        </w:rPr>
        <w:t>figure</w:t>
      </w:r>
      <w:r w:rsidRPr="00EB2BD8">
        <w:rPr>
          <w:i/>
          <w:spacing w:val="-11"/>
          <w:sz w:val="14"/>
        </w:rPr>
        <w:t xml:space="preserve"> </w:t>
      </w:r>
      <w:r w:rsidRPr="00EB2BD8">
        <w:rPr>
          <w:i/>
          <w:sz w:val="14"/>
        </w:rPr>
        <w:t>published</w:t>
      </w:r>
      <w:r w:rsidRPr="00EB2BD8">
        <w:rPr>
          <w:i/>
          <w:spacing w:val="-11"/>
          <w:sz w:val="14"/>
        </w:rPr>
        <w:t xml:space="preserve"> </w:t>
      </w:r>
      <w:r w:rsidRPr="00EB2BD8">
        <w:rPr>
          <w:i/>
          <w:sz w:val="14"/>
        </w:rPr>
        <w:t>in</w:t>
      </w:r>
      <w:r w:rsidRPr="00EB2BD8">
        <w:rPr>
          <w:i/>
          <w:spacing w:val="-11"/>
          <w:sz w:val="14"/>
        </w:rPr>
        <w:t xml:space="preserve"> </w:t>
      </w:r>
      <w:r w:rsidRPr="00EB2BD8">
        <w:rPr>
          <w:i/>
          <w:sz w:val="14"/>
        </w:rPr>
        <w:t>the</w:t>
      </w:r>
      <w:r w:rsidRPr="00EB2BD8">
        <w:rPr>
          <w:i/>
          <w:spacing w:val="-11"/>
          <w:sz w:val="14"/>
        </w:rPr>
        <w:t xml:space="preserve"> </w:t>
      </w:r>
      <w:r w:rsidRPr="00EB2BD8">
        <w:rPr>
          <w:i/>
          <w:sz w:val="14"/>
        </w:rPr>
        <w:t>2021-22</w:t>
      </w:r>
      <w:r w:rsidRPr="00EB2BD8">
        <w:rPr>
          <w:i/>
          <w:spacing w:val="-11"/>
          <w:sz w:val="14"/>
        </w:rPr>
        <w:t xml:space="preserve"> </w:t>
      </w:r>
      <w:r w:rsidRPr="00EB2BD8">
        <w:rPr>
          <w:i/>
          <w:sz w:val="14"/>
        </w:rPr>
        <w:t>Annual</w:t>
      </w:r>
      <w:r w:rsidRPr="00EB2BD8">
        <w:rPr>
          <w:i/>
          <w:spacing w:val="-11"/>
          <w:sz w:val="14"/>
        </w:rPr>
        <w:t xml:space="preserve"> </w:t>
      </w:r>
      <w:r w:rsidRPr="00EB2BD8">
        <w:rPr>
          <w:i/>
          <w:sz w:val="14"/>
        </w:rPr>
        <w:t>Report.</w:t>
      </w:r>
    </w:p>
    <w:p w14:paraId="3C6BDF75" w14:textId="77777777" w:rsidR="00084F36" w:rsidRPr="00EB2BD8" w:rsidRDefault="00084F36">
      <w:pPr>
        <w:spacing w:line="290" w:lineRule="auto"/>
        <w:rPr>
          <w:sz w:val="14"/>
        </w:rPr>
        <w:sectPr w:rsidR="00084F36" w:rsidRPr="00EB2BD8" w:rsidSect="006D75B2">
          <w:type w:val="continuous"/>
          <w:pgSz w:w="11910" w:h="16840"/>
          <w:pgMar w:top="1920" w:right="0" w:bottom="280" w:left="0" w:header="0" w:footer="515" w:gutter="0"/>
          <w:cols w:space="720"/>
        </w:sectPr>
      </w:pPr>
    </w:p>
    <w:p w14:paraId="309DDF9B" w14:textId="77777777" w:rsidR="00E13356" w:rsidRDefault="00E13356" w:rsidP="00E13356">
      <w:pPr>
        <w:pStyle w:val="Heading1"/>
        <w:ind w:left="0"/>
      </w:pPr>
    </w:p>
    <w:p w14:paraId="11686160" w14:textId="3ACEF51B" w:rsidR="00084F36" w:rsidRPr="00EB2BD8" w:rsidRDefault="00EB2BD8" w:rsidP="00E13356">
      <w:pPr>
        <w:pStyle w:val="Heading1"/>
        <w:ind w:left="0"/>
      </w:pPr>
      <w:bookmarkStart w:id="87" w:name="_Toc150762389"/>
      <w:r w:rsidRPr="00EB2BD8">
        <w:t xml:space="preserve">The VBA as a </w:t>
      </w:r>
      <w:r w:rsidRPr="00EB2BD8">
        <w:rPr>
          <w:spacing w:val="-4"/>
        </w:rPr>
        <w:t xml:space="preserve">Knowledge </w:t>
      </w:r>
      <w:r w:rsidRPr="00EB2BD8">
        <w:t>Organisation</w:t>
      </w:r>
      <w:bookmarkEnd w:id="87"/>
    </w:p>
    <w:p w14:paraId="6C6C597E" w14:textId="77777777" w:rsidR="00084F36" w:rsidRPr="00EB2BD8" w:rsidRDefault="00084F36">
      <w:pPr>
        <w:pStyle w:val="BodyText"/>
        <w:rPr>
          <w:rFonts w:ascii="Tahoma"/>
          <w:b/>
          <w:sz w:val="20"/>
        </w:rPr>
      </w:pPr>
    </w:p>
    <w:p w14:paraId="13B22AC4" w14:textId="77777777" w:rsidR="00084F36" w:rsidRPr="00EB2BD8" w:rsidRDefault="00084F36">
      <w:pPr>
        <w:pStyle w:val="BodyText"/>
        <w:rPr>
          <w:rFonts w:ascii="Tahoma"/>
          <w:b/>
          <w:sz w:val="20"/>
        </w:rPr>
      </w:pPr>
    </w:p>
    <w:p w14:paraId="351F5B93" w14:textId="77777777" w:rsidR="00084F36" w:rsidRPr="00EB2BD8" w:rsidRDefault="00084F36">
      <w:pPr>
        <w:pStyle w:val="BodyText"/>
        <w:rPr>
          <w:rFonts w:ascii="Tahoma"/>
          <w:bCs/>
          <w:sz w:val="20"/>
        </w:rPr>
      </w:pPr>
    </w:p>
    <w:p w14:paraId="7D2EE710" w14:textId="5A2B1789" w:rsidR="001975DF" w:rsidRPr="00C1767B" w:rsidRDefault="001975DF" w:rsidP="00C1767B">
      <w:pPr>
        <w:pStyle w:val="Heading3"/>
        <w:ind w:left="0"/>
        <w:rPr>
          <w:b w:val="0"/>
          <w:bCs/>
        </w:rPr>
      </w:pPr>
      <w:bookmarkStart w:id="88" w:name="_Toc150762390"/>
      <w:r w:rsidRPr="00C1767B">
        <w:rPr>
          <w:b w:val="0"/>
          <w:bCs/>
        </w:rPr>
        <w:t>We’re a data- driven, evidence and</w:t>
      </w:r>
      <w:r w:rsidRPr="00C1767B">
        <w:rPr>
          <w:b w:val="0"/>
          <w:bCs/>
          <w:spacing w:val="-30"/>
        </w:rPr>
        <w:t xml:space="preserve"> </w:t>
      </w:r>
      <w:r w:rsidRPr="00C1767B">
        <w:rPr>
          <w:b w:val="0"/>
          <w:bCs/>
        </w:rPr>
        <w:t xml:space="preserve">intelligence-led organisation. We create and share knowledge and </w:t>
      </w:r>
      <w:r w:rsidR="00C1767B" w:rsidRPr="00C1767B">
        <w:rPr>
          <w:b w:val="0"/>
          <w:bCs/>
        </w:rPr>
        <w:br/>
      </w:r>
      <w:r w:rsidRPr="00C1767B">
        <w:rPr>
          <w:b w:val="0"/>
          <w:bCs/>
          <w:spacing w:val="-10"/>
        </w:rPr>
        <w:t>learn</w:t>
      </w:r>
      <w:r w:rsidRPr="00C1767B">
        <w:rPr>
          <w:b w:val="0"/>
          <w:bCs/>
          <w:spacing w:val="-28"/>
        </w:rPr>
        <w:t xml:space="preserve"> </w:t>
      </w:r>
      <w:r w:rsidRPr="00C1767B">
        <w:rPr>
          <w:b w:val="0"/>
          <w:bCs/>
          <w:spacing w:val="-10"/>
        </w:rPr>
        <w:t>from</w:t>
      </w:r>
      <w:r w:rsidRPr="00C1767B">
        <w:rPr>
          <w:b w:val="0"/>
          <w:bCs/>
          <w:spacing w:val="-28"/>
        </w:rPr>
        <w:t xml:space="preserve"> </w:t>
      </w:r>
      <w:r w:rsidRPr="00C1767B">
        <w:rPr>
          <w:b w:val="0"/>
          <w:bCs/>
          <w:spacing w:val="-10"/>
        </w:rPr>
        <w:t>others</w:t>
      </w:r>
      <w:r w:rsidRPr="00C1767B">
        <w:rPr>
          <w:b w:val="0"/>
          <w:bCs/>
          <w:spacing w:val="-28"/>
        </w:rPr>
        <w:t xml:space="preserve"> </w:t>
      </w:r>
      <w:r w:rsidRPr="00C1767B">
        <w:rPr>
          <w:b w:val="0"/>
          <w:bCs/>
          <w:spacing w:val="-10"/>
        </w:rPr>
        <w:t xml:space="preserve">to </w:t>
      </w:r>
      <w:r w:rsidRPr="00C1767B">
        <w:rPr>
          <w:b w:val="0"/>
          <w:bCs/>
          <w:spacing w:val="-2"/>
        </w:rPr>
        <w:t>continuously</w:t>
      </w:r>
      <w:r w:rsidRPr="00C1767B">
        <w:rPr>
          <w:b w:val="0"/>
          <w:bCs/>
          <w:spacing w:val="-28"/>
        </w:rPr>
        <w:t xml:space="preserve"> </w:t>
      </w:r>
      <w:r w:rsidRPr="00C1767B">
        <w:rPr>
          <w:b w:val="0"/>
          <w:bCs/>
          <w:spacing w:val="-2"/>
        </w:rPr>
        <w:t xml:space="preserve">improve </w:t>
      </w:r>
      <w:r w:rsidRPr="00C1767B">
        <w:rPr>
          <w:b w:val="0"/>
          <w:bCs/>
          <w:spacing w:val="-10"/>
        </w:rPr>
        <w:t>our</w:t>
      </w:r>
      <w:r w:rsidRPr="00C1767B">
        <w:rPr>
          <w:b w:val="0"/>
          <w:bCs/>
          <w:spacing w:val="-28"/>
        </w:rPr>
        <w:t xml:space="preserve"> </w:t>
      </w:r>
      <w:r w:rsidRPr="00C1767B">
        <w:rPr>
          <w:b w:val="0"/>
          <w:bCs/>
          <w:spacing w:val="-10"/>
        </w:rPr>
        <w:t>work.</w:t>
      </w:r>
      <w:r w:rsidRPr="00C1767B">
        <w:rPr>
          <w:b w:val="0"/>
          <w:bCs/>
          <w:spacing w:val="-28"/>
        </w:rPr>
        <w:t xml:space="preserve"> </w:t>
      </w:r>
      <w:r w:rsidRPr="00C1767B">
        <w:rPr>
          <w:b w:val="0"/>
          <w:bCs/>
          <w:spacing w:val="-10"/>
        </w:rPr>
        <w:t>The</w:t>
      </w:r>
      <w:r w:rsidRPr="00C1767B">
        <w:rPr>
          <w:b w:val="0"/>
          <w:bCs/>
          <w:spacing w:val="-28"/>
        </w:rPr>
        <w:t xml:space="preserve"> </w:t>
      </w:r>
      <w:r w:rsidRPr="00C1767B">
        <w:rPr>
          <w:b w:val="0"/>
          <w:bCs/>
          <w:spacing w:val="-10"/>
        </w:rPr>
        <w:t xml:space="preserve">research </w:t>
      </w:r>
      <w:r w:rsidRPr="00C1767B">
        <w:rPr>
          <w:b w:val="0"/>
          <w:bCs/>
        </w:rPr>
        <w:t xml:space="preserve">and data we collect </w:t>
      </w:r>
      <w:r w:rsidRPr="00C1767B">
        <w:rPr>
          <w:b w:val="0"/>
          <w:bCs/>
          <w:spacing w:val="-4"/>
        </w:rPr>
        <w:t>and</w:t>
      </w:r>
      <w:r w:rsidRPr="00C1767B">
        <w:rPr>
          <w:b w:val="0"/>
          <w:bCs/>
          <w:spacing w:val="-28"/>
        </w:rPr>
        <w:t xml:space="preserve"> </w:t>
      </w:r>
      <w:r w:rsidRPr="00C1767B">
        <w:rPr>
          <w:b w:val="0"/>
          <w:bCs/>
          <w:spacing w:val="-4"/>
        </w:rPr>
        <w:t>analyse</w:t>
      </w:r>
      <w:r w:rsidRPr="00C1767B">
        <w:rPr>
          <w:b w:val="0"/>
          <w:bCs/>
          <w:spacing w:val="-28"/>
        </w:rPr>
        <w:t xml:space="preserve"> </w:t>
      </w:r>
      <w:r w:rsidRPr="00C1767B">
        <w:rPr>
          <w:b w:val="0"/>
          <w:bCs/>
          <w:spacing w:val="-4"/>
        </w:rPr>
        <w:t xml:space="preserve">translates </w:t>
      </w:r>
      <w:r w:rsidRPr="00C1767B">
        <w:rPr>
          <w:b w:val="0"/>
          <w:bCs/>
        </w:rPr>
        <w:t>into</w:t>
      </w:r>
      <w:r w:rsidRPr="00C1767B">
        <w:rPr>
          <w:b w:val="0"/>
          <w:bCs/>
          <w:spacing w:val="-19"/>
        </w:rPr>
        <w:t xml:space="preserve"> </w:t>
      </w:r>
      <w:r w:rsidRPr="00C1767B">
        <w:rPr>
          <w:b w:val="0"/>
          <w:bCs/>
        </w:rPr>
        <w:t>practical,</w:t>
      </w:r>
      <w:r w:rsidRPr="00C1767B">
        <w:rPr>
          <w:b w:val="0"/>
          <w:bCs/>
          <w:spacing w:val="-19"/>
        </w:rPr>
        <w:t xml:space="preserve"> </w:t>
      </w:r>
      <w:r w:rsidRPr="00C1767B">
        <w:rPr>
          <w:b w:val="0"/>
          <w:bCs/>
        </w:rPr>
        <w:t>real-life solutions,</w:t>
      </w:r>
      <w:r w:rsidRPr="00C1767B">
        <w:rPr>
          <w:b w:val="0"/>
          <w:bCs/>
          <w:spacing w:val="-23"/>
        </w:rPr>
        <w:t xml:space="preserve"> </w:t>
      </w:r>
      <w:r w:rsidRPr="00C1767B">
        <w:rPr>
          <w:b w:val="0"/>
          <w:bCs/>
        </w:rPr>
        <w:t>facilitates industry</w:t>
      </w:r>
      <w:r w:rsidRPr="00C1767B">
        <w:rPr>
          <w:b w:val="0"/>
          <w:bCs/>
          <w:spacing w:val="-29"/>
        </w:rPr>
        <w:t xml:space="preserve"> </w:t>
      </w:r>
      <w:r w:rsidRPr="00C1767B">
        <w:rPr>
          <w:b w:val="0"/>
          <w:bCs/>
        </w:rPr>
        <w:t>innovation and</w:t>
      </w:r>
      <w:r w:rsidRPr="00C1767B">
        <w:rPr>
          <w:b w:val="0"/>
          <w:bCs/>
          <w:spacing w:val="-22"/>
        </w:rPr>
        <w:t xml:space="preserve"> </w:t>
      </w:r>
      <w:r w:rsidRPr="00C1767B">
        <w:rPr>
          <w:b w:val="0"/>
          <w:bCs/>
        </w:rPr>
        <w:t>helps</w:t>
      </w:r>
      <w:r w:rsidRPr="00C1767B">
        <w:rPr>
          <w:b w:val="0"/>
          <w:bCs/>
          <w:spacing w:val="-22"/>
        </w:rPr>
        <w:t xml:space="preserve"> </w:t>
      </w:r>
      <w:r w:rsidRPr="00C1767B">
        <w:rPr>
          <w:b w:val="0"/>
          <w:bCs/>
        </w:rPr>
        <w:t>inform government</w:t>
      </w:r>
      <w:r w:rsidRPr="00C1767B">
        <w:rPr>
          <w:b w:val="0"/>
          <w:bCs/>
          <w:spacing w:val="-26"/>
        </w:rPr>
        <w:t xml:space="preserve"> </w:t>
      </w:r>
      <w:r w:rsidRPr="00C1767B">
        <w:rPr>
          <w:b w:val="0"/>
          <w:bCs/>
        </w:rPr>
        <w:t>policy.</w:t>
      </w:r>
      <w:bookmarkEnd w:id="88"/>
    </w:p>
    <w:p w14:paraId="0F08DCFD" w14:textId="77777777" w:rsidR="00084F36" w:rsidRPr="00EB2BD8" w:rsidRDefault="00084F36">
      <w:pPr>
        <w:pStyle w:val="BodyText"/>
        <w:rPr>
          <w:rFonts w:ascii="Tahoma"/>
          <w:bCs/>
          <w:sz w:val="20"/>
        </w:rPr>
      </w:pPr>
    </w:p>
    <w:p w14:paraId="62128D6E" w14:textId="77777777" w:rsidR="00084F36" w:rsidRPr="00EB2BD8" w:rsidRDefault="00084F36">
      <w:pPr>
        <w:pStyle w:val="BodyText"/>
        <w:rPr>
          <w:rFonts w:ascii="Tahoma"/>
          <w:b/>
          <w:sz w:val="20"/>
        </w:rPr>
      </w:pPr>
    </w:p>
    <w:p w14:paraId="7CC8A5A6" w14:textId="0B634CD3" w:rsidR="00084F36" w:rsidRPr="00EB2BD8" w:rsidRDefault="00084F36">
      <w:pPr>
        <w:pStyle w:val="BodyText"/>
        <w:rPr>
          <w:rFonts w:ascii="Tahoma"/>
          <w:b/>
          <w:sz w:val="24"/>
        </w:rPr>
      </w:pPr>
    </w:p>
    <w:p w14:paraId="3887D8B3" w14:textId="77777777" w:rsidR="00084F36" w:rsidRPr="00EB2BD8" w:rsidRDefault="00084F36">
      <w:pPr>
        <w:pStyle w:val="BodyText"/>
        <w:rPr>
          <w:rFonts w:ascii="Tahoma"/>
          <w:b/>
          <w:sz w:val="20"/>
        </w:rPr>
      </w:pPr>
    </w:p>
    <w:p w14:paraId="4E912D8F" w14:textId="77777777" w:rsidR="00084F36" w:rsidRPr="00EB2BD8" w:rsidRDefault="00084F36">
      <w:pPr>
        <w:pStyle w:val="BodyText"/>
        <w:rPr>
          <w:rFonts w:ascii="Tahoma"/>
          <w:b/>
          <w:sz w:val="20"/>
        </w:rPr>
      </w:pPr>
    </w:p>
    <w:p w14:paraId="328D9B52" w14:textId="77777777" w:rsidR="00084F36" w:rsidRPr="00EB2BD8" w:rsidRDefault="00084F36">
      <w:pPr>
        <w:pStyle w:val="BodyText"/>
        <w:rPr>
          <w:rFonts w:ascii="Tahoma"/>
          <w:b/>
          <w:sz w:val="20"/>
        </w:rPr>
      </w:pPr>
    </w:p>
    <w:p w14:paraId="7D8C607E" w14:textId="77777777" w:rsidR="00084F36" w:rsidRPr="00EB2BD8" w:rsidRDefault="00084F36">
      <w:pPr>
        <w:pStyle w:val="BodyText"/>
        <w:rPr>
          <w:rFonts w:ascii="Tahoma"/>
          <w:b/>
          <w:sz w:val="20"/>
        </w:rPr>
      </w:pPr>
    </w:p>
    <w:p w14:paraId="0D5EBB76" w14:textId="77777777" w:rsidR="00084F36" w:rsidRPr="00EB2BD8" w:rsidRDefault="00084F36">
      <w:pPr>
        <w:pStyle w:val="BodyText"/>
        <w:rPr>
          <w:rFonts w:ascii="Tahoma"/>
          <w:b/>
          <w:sz w:val="20"/>
        </w:rPr>
      </w:pPr>
    </w:p>
    <w:p w14:paraId="064A50BF" w14:textId="77777777" w:rsidR="00084F36" w:rsidRPr="00EB2BD8" w:rsidRDefault="00084F36">
      <w:pPr>
        <w:pStyle w:val="BodyText"/>
        <w:rPr>
          <w:rFonts w:ascii="Tahoma"/>
          <w:b/>
          <w:sz w:val="20"/>
        </w:rPr>
      </w:pPr>
    </w:p>
    <w:p w14:paraId="6C086FAC" w14:textId="77777777" w:rsidR="00084F36" w:rsidRPr="00EB2BD8" w:rsidRDefault="00084F36">
      <w:pPr>
        <w:pStyle w:val="BodyText"/>
        <w:rPr>
          <w:rFonts w:ascii="Tahoma"/>
          <w:b/>
          <w:sz w:val="20"/>
        </w:rPr>
      </w:pPr>
    </w:p>
    <w:p w14:paraId="1AB113D8" w14:textId="77777777" w:rsidR="00084F36" w:rsidRPr="00EB2BD8" w:rsidRDefault="00084F36">
      <w:pPr>
        <w:pStyle w:val="BodyText"/>
        <w:rPr>
          <w:rFonts w:ascii="Tahoma"/>
          <w:b/>
          <w:sz w:val="20"/>
        </w:rPr>
      </w:pPr>
    </w:p>
    <w:p w14:paraId="165310C6" w14:textId="01E87590" w:rsidR="00084F36" w:rsidRDefault="00084F36">
      <w:pPr>
        <w:pStyle w:val="BodyText"/>
        <w:rPr>
          <w:rFonts w:ascii="Tahoma"/>
          <w:b/>
          <w:sz w:val="20"/>
        </w:rPr>
      </w:pPr>
    </w:p>
    <w:p w14:paraId="4DF2C770" w14:textId="77777777" w:rsidR="00C1767B" w:rsidRPr="00EB2BD8" w:rsidRDefault="00C1767B">
      <w:pPr>
        <w:pStyle w:val="BodyText"/>
        <w:rPr>
          <w:rFonts w:ascii="Tahoma"/>
          <w:b/>
          <w:sz w:val="20"/>
        </w:rPr>
      </w:pPr>
    </w:p>
    <w:p w14:paraId="0BB74477" w14:textId="77777777" w:rsidR="00084F36" w:rsidRPr="00EB2BD8" w:rsidRDefault="00084F36">
      <w:pPr>
        <w:pStyle w:val="BodyText"/>
        <w:rPr>
          <w:rFonts w:ascii="Tahoma"/>
          <w:b/>
          <w:sz w:val="20"/>
        </w:rPr>
      </w:pPr>
    </w:p>
    <w:p w14:paraId="10CA361E" w14:textId="77777777" w:rsidR="00084F36" w:rsidRPr="00EB2BD8" w:rsidRDefault="00084F36">
      <w:pPr>
        <w:pStyle w:val="BodyText"/>
        <w:rPr>
          <w:rFonts w:ascii="Tahoma"/>
          <w:b/>
          <w:sz w:val="20"/>
        </w:rPr>
      </w:pPr>
    </w:p>
    <w:p w14:paraId="388AC8CF" w14:textId="77777777" w:rsidR="00084F36" w:rsidRPr="00EB2BD8" w:rsidRDefault="00084F36">
      <w:pPr>
        <w:pStyle w:val="BodyText"/>
        <w:spacing w:before="8"/>
        <w:rPr>
          <w:rFonts w:ascii="Tahoma"/>
          <w:b/>
          <w:sz w:val="25"/>
        </w:rPr>
      </w:pPr>
    </w:p>
    <w:p w14:paraId="0C81414C" w14:textId="77777777" w:rsidR="00084F36" w:rsidRPr="00EB2BD8" w:rsidRDefault="00084F36">
      <w:pPr>
        <w:rPr>
          <w:sz w:val="16"/>
        </w:rPr>
        <w:sectPr w:rsidR="00084F36" w:rsidRPr="00EB2BD8" w:rsidSect="0019412D">
          <w:headerReference w:type="even" r:id="rId78"/>
          <w:footerReference w:type="even" r:id="rId79"/>
          <w:footerReference w:type="default" r:id="rId80"/>
          <w:pgSz w:w="11910" w:h="16840"/>
          <w:pgMar w:top="1340" w:right="0" w:bottom="280" w:left="567" w:header="0" w:footer="907" w:gutter="0"/>
          <w:cols w:space="720"/>
          <w:docGrid w:linePitch="299"/>
        </w:sectPr>
      </w:pPr>
    </w:p>
    <w:p w14:paraId="55B2A8FF" w14:textId="77777777" w:rsidR="00084F36" w:rsidRPr="00EB2BD8" w:rsidRDefault="00084F36">
      <w:pPr>
        <w:pStyle w:val="BodyText"/>
        <w:rPr>
          <w:b/>
          <w:sz w:val="20"/>
        </w:rPr>
      </w:pPr>
    </w:p>
    <w:p w14:paraId="420A14CE" w14:textId="77777777" w:rsidR="00084F36" w:rsidRPr="00EB2BD8" w:rsidRDefault="00084F36">
      <w:pPr>
        <w:pStyle w:val="BodyText"/>
        <w:rPr>
          <w:b/>
          <w:sz w:val="20"/>
        </w:rPr>
      </w:pPr>
    </w:p>
    <w:p w14:paraId="17CCF855" w14:textId="77777777" w:rsidR="00084F36" w:rsidRPr="00EB2BD8" w:rsidRDefault="00084F36">
      <w:pPr>
        <w:pStyle w:val="BodyText"/>
        <w:rPr>
          <w:b/>
          <w:sz w:val="20"/>
        </w:rPr>
      </w:pPr>
    </w:p>
    <w:p w14:paraId="2D5F9206" w14:textId="77777777" w:rsidR="00084F36" w:rsidRPr="00EB2BD8" w:rsidRDefault="00084F36">
      <w:pPr>
        <w:pStyle w:val="BodyText"/>
        <w:rPr>
          <w:b/>
          <w:sz w:val="20"/>
        </w:rPr>
      </w:pPr>
    </w:p>
    <w:p w14:paraId="4671AC0C" w14:textId="77777777" w:rsidR="00084F36" w:rsidRPr="00EB2BD8" w:rsidRDefault="00084F36">
      <w:pPr>
        <w:pStyle w:val="BodyText"/>
        <w:spacing w:before="7"/>
        <w:rPr>
          <w:b/>
          <w:sz w:val="17"/>
        </w:rPr>
      </w:pPr>
    </w:p>
    <w:p w14:paraId="11E22739" w14:textId="77777777" w:rsidR="00084F36" w:rsidRPr="00EB2BD8" w:rsidRDefault="00084F36">
      <w:pPr>
        <w:rPr>
          <w:sz w:val="17"/>
        </w:rPr>
        <w:sectPr w:rsidR="00084F36" w:rsidRPr="00EB2BD8" w:rsidSect="006D75B2">
          <w:headerReference w:type="even" r:id="rId81"/>
          <w:headerReference w:type="default" r:id="rId82"/>
          <w:footerReference w:type="even" r:id="rId83"/>
          <w:footerReference w:type="default" r:id="rId84"/>
          <w:pgSz w:w="11910" w:h="16840"/>
          <w:pgMar w:top="1080" w:right="0" w:bottom="720" w:left="0" w:header="0" w:footer="528" w:gutter="0"/>
          <w:pgNumType w:start="41"/>
          <w:cols w:space="720"/>
        </w:sectPr>
      </w:pPr>
    </w:p>
    <w:p w14:paraId="2C076789" w14:textId="0434432B" w:rsidR="00084F36" w:rsidRPr="00EB2BD8" w:rsidRDefault="00EB2BD8" w:rsidP="001975DF">
      <w:pPr>
        <w:pStyle w:val="Heading2"/>
      </w:pPr>
      <w:bookmarkStart w:id="89" w:name="_Toc150762391"/>
      <w:r w:rsidRPr="00EB2BD8">
        <w:t>Addressing</w:t>
      </w:r>
      <w:r w:rsidRPr="00EB2BD8">
        <w:rPr>
          <w:spacing w:val="-17"/>
        </w:rPr>
        <w:t xml:space="preserve"> </w:t>
      </w:r>
      <w:r w:rsidRPr="00EB2BD8">
        <w:t>waterproofing</w:t>
      </w:r>
      <w:r w:rsidRPr="00EB2BD8">
        <w:rPr>
          <w:spacing w:val="-17"/>
        </w:rPr>
        <w:t xml:space="preserve"> </w:t>
      </w:r>
      <w:r w:rsidRPr="00EB2BD8">
        <w:t>and water ingress</w:t>
      </w:r>
      <w:bookmarkEnd w:id="89"/>
    </w:p>
    <w:p w14:paraId="331BC498" w14:textId="77777777" w:rsidR="00084F36" w:rsidRPr="00EB2BD8" w:rsidRDefault="00EB2BD8">
      <w:pPr>
        <w:pStyle w:val="BodyText"/>
        <w:spacing w:before="134" w:line="261" w:lineRule="auto"/>
        <w:ind w:left="850"/>
      </w:pPr>
      <w:r w:rsidRPr="00EB2BD8">
        <w:t>The VBA performs on average, 12,000 inspections of buildings</w:t>
      </w:r>
      <w:r w:rsidRPr="00EB2BD8">
        <w:rPr>
          <w:spacing w:val="-12"/>
        </w:rPr>
        <w:t xml:space="preserve"> </w:t>
      </w:r>
      <w:r w:rsidRPr="00EB2BD8">
        <w:t>under</w:t>
      </w:r>
      <w:r w:rsidRPr="00EB2BD8">
        <w:rPr>
          <w:spacing w:val="-12"/>
        </w:rPr>
        <w:t xml:space="preserve"> </w:t>
      </w:r>
      <w:r w:rsidRPr="00EB2BD8">
        <w:t>construction</w:t>
      </w:r>
      <w:r w:rsidRPr="00EB2BD8">
        <w:rPr>
          <w:spacing w:val="-12"/>
        </w:rPr>
        <w:t xml:space="preserve"> </w:t>
      </w:r>
      <w:r w:rsidRPr="00EB2BD8">
        <w:t>yearly,</w:t>
      </w:r>
      <w:r w:rsidRPr="00EB2BD8">
        <w:rPr>
          <w:spacing w:val="-12"/>
        </w:rPr>
        <w:t xml:space="preserve"> </w:t>
      </w:r>
      <w:r w:rsidRPr="00EB2BD8">
        <w:t>and</w:t>
      </w:r>
      <w:r w:rsidRPr="00EB2BD8">
        <w:rPr>
          <w:spacing w:val="-12"/>
        </w:rPr>
        <w:t xml:space="preserve"> </w:t>
      </w:r>
      <w:r w:rsidRPr="00EB2BD8">
        <w:t>waterproofing and weatherproofing continue to be areas of high compliance</w:t>
      </w:r>
      <w:r w:rsidRPr="00EB2BD8">
        <w:rPr>
          <w:spacing w:val="-6"/>
        </w:rPr>
        <w:t xml:space="preserve"> </w:t>
      </w:r>
      <w:r w:rsidRPr="00EB2BD8">
        <w:t>risk.</w:t>
      </w:r>
    </w:p>
    <w:p w14:paraId="4B51BC2E" w14:textId="77777777" w:rsidR="00084F36" w:rsidRPr="00EB2BD8" w:rsidRDefault="00EB2BD8">
      <w:pPr>
        <w:pStyle w:val="BodyText"/>
        <w:spacing w:before="109" w:line="261" w:lineRule="auto"/>
        <w:ind w:left="850"/>
      </w:pPr>
      <w:r w:rsidRPr="00EB2BD8">
        <w:t>Water ingress and its consequent damage routinely tops the list of defects encountered in buildings, in complaints</w:t>
      </w:r>
      <w:r w:rsidRPr="00EB2BD8">
        <w:rPr>
          <w:spacing w:val="-8"/>
        </w:rPr>
        <w:t xml:space="preserve"> </w:t>
      </w:r>
      <w:r w:rsidRPr="00EB2BD8">
        <w:t>received</w:t>
      </w:r>
      <w:r w:rsidRPr="00EB2BD8">
        <w:rPr>
          <w:spacing w:val="-8"/>
        </w:rPr>
        <w:t xml:space="preserve"> </w:t>
      </w:r>
      <w:r w:rsidRPr="00EB2BD8">
        <w:t>by</w:t>
      </w:r>
      <w:r w:rsidRPr="00EB2BD8">
        <w:rPr>
          <w:spacing w:val="-8"/>
        </w:rPr>
        <w:t xml:space="preserve"> </w:t>
      </w:r>
      <w:r w:rsidRPr="00EB2BD8">
        <w:t>the</w:t>
      </w:r>
      <w:r w:rsidRPr="00EB2BD8">
        <w:rPr>
          <w:spacing w:val="-8"/>
        </w:rPr>
        <w:t xml:space="preserve"> </w:t>
      </w:r>
      <w:r w:rsidRPr="00EB2BD8">
        <w:t>VBA</w:t>
      </w:r>
      <w:r w:rsidRPr="00EB2BD8">
        <w:rPr>
          <w:spacing w:val="-8"/>
        </w:rPr>
        <w:t xml:space="preserve"> </w:t>
      </w:r>
      <w:r w:rsidRPr="00EB2BD8">
        <w:t>and</w:t>
      </w:r>
      <w:r w:rsidRPr="00EB2BD8">
        <w:rPr>
          <w:spacing w:val="-8"/>
        </w:rPr>
        <w:t xml:space="preserve"> </w:t>
      </w:r>
      <w:r w:rsidRPr="00EB2BD8">
        <w:t>in</w:t>
      </w:r>
      <w:r w:rsidRPr="00EB2BD8">
        <w:rPr>
          <w:spacing w:val="-8"/>
        </w:rPr>
        <w:t xml:space="preserve"> </w:t>
      </w:r>
      <w:r w:rsidRPr="00EB2BD8">
        <w:t>claims</w:t>
      </w:r>
      <w:r w:rsidRPr="00EB2BD8">
        <w:rPr>
          <w:spacing w:val="-8"/>
        </w:rPr>
        <w:t xml:space="preserve"> </w:t>
      </w:r>
      <w:r w:rsidRPr="00EB2BD8">
        <w:t>to</w:t>
      </w:r>
      <w:r w:rsidRPr="00EB2BD8">
        <w:rPr>
          <w:spacing w:val="-8"/>
        </w:rPr>
        <w:t xml:space="preserve"> </w:t>
      </w:r>
      <w:r w:rsidRPr="00EB2BD8">
        <w:t>VMIA. Water ingress through balconies, decks and terraces has been identified as a common area of concern,</w:t>
      </w:r>
    </w:p>
    <w:p w14:paraId="19AD1D0F" w14:textId="77777777" w:rsidR="00084F36" w:rsidRPr="00EB2BD8" w:rsidRDefault="00EB2BD8">
      <w:pPr>
        <w:pStyle w:val="BodyText"/>
        <w:spacing w:line="261" w:lineRule="auto"/>
        <w:ind w:left="850" w:right="387"/>
      </w:pPr>
      <w:r w:rsidRPr="00EB2BD8">
        <w:t>as</w:t>
      </w:r>
      <w:r w:rsidRPr="00EB2BD8">
        <w:rPr>
          <w:spacing w:val="-9"/>
        </w:rPr>
        <w:t xml:space="preserve"> </w:t>
      </w:r>
      <w:r w:rsidRPr="00EB2BD8">
        <w:t>well</w:t>
      </w:r>
      <w:r w:rsidRPr="00EB2BD8">
        <w:rPr>
          <w:spacing w:val="-9"/>
        </w:rPr>
        <w:t xml:space="preserve"> </w:t>
      </w:r>
      <w:r w:rsidRPr="00EB2BD8">
        <w:t>as</w:t>
      </w:r>
      <w:r w:rsidRPr="00EB2BD8">
        <w:rPr>
          <w:spacing w:val="-9"/>
        </w:rPr>
        <w:t xml:space="preserve"> </w:t>
      </w:r>
      <w:r w:rsidRPr="00EB2BD8">
        <w:t>problems</w:t>
      </w:r>
      <w:r w:rsidRPr="00EB2BD8">
        <w:rPr>
          <w:spacing w:val="-9"/>
        </w:rPr>
        <w:t xml:space="preserve"> </w:t>
      </w:r>
      <w:r w:rsidRPr="00EB2BD8">
        <w:t>associated</w:t>
      </w:r>
      <w:r w:rsidRPr="00EB2BD8">
        <w:rPr>
          <w:spacing w:val="-9"/>
        </w:rPr>
        <w:t xml:space="preserve"> </w:t>
      </w:r>
      <w:r w:rsidRPr="00EB2BD8">
        <w:t>with</w:t>
      </w:r>
      <w:r w:rsidRPr="00EB2BD8">
        <w:rPr>
          <w:spacing w:val="-9"/>
        </w:rPr>
        <w:t xml:space="preserve"> </w:t>
      </w:r>
      <w:r w:rsidRPr="00EB2BD8">
        <w:t>roof</w:t>
      </w:r>
      <w:r w:rsidRPr="00EB2BD8">
        <w:rPr>
          <w:spacing w:val="-9"/>
        </w:rPr>
        <w:t xml:space="preserve"> </w:t>
      </w:r>
      <w:r w:rsidRPr="00EB2BD8">
        <w:t>design and drainage, and poor installation of flashing, waterproofing and cladding materials.</w:t>
      </w:r>
    </w:p>
    <w:p w14:paraId="214094F4" w14:textId="77777777" w:rsidR="00084F36" w:rsidRPr="00EB2BD8" w:rsidRDefault="00EB2BD8">
      <w:pPr>
        <w:pStyle w:val="BodyText"/>
        <w:spacing w:before="105" w:line="261" w:lineRule="auto"/>
        <w:ind w:left="850"/>
      </w:pPr>
      <w:r w:rsidRPr="00EB2BD8">
        <w:t>If left untreated, water ingress may lead to severe structural damage, expensive repairs and negatively affects health due to mould growth.</w:t>
      </w:r>
    </w:p>
    <w:p w14:paraId="459F1993" w14:textId="77777777" w:rsidR="00084F36" w:rsidRPr="00EB2BD8" w:rsidRDefault="00EB2BD8">
      <w:pPr>
        <w:pStyle w:val="BodyText"/>
        <w:spacing w:before="110" w:line="261" w:lineRule="auto"/>
        <w:ind w:left="850" w:right="18"/>
      </w:pPr>
      <w:r w:rsidRPr="00EB2BD8">
        <w:t>The</w:t>
      </w:r>
      <w:r w:rsidRPr="00EB2BD8">
        <w:rPr>
          <w:spacing w:val="-8"/>
        </w:rPr>
        <w:t xml:space="preserve"> </w:t>
      </w:r>
      <w:r w:rsidRPr="00EB2BD8">
        <w:t>legislative</w:t>
      </w:r>
      <w:r w:rsidRPr="00EB2BD8">
        <w:rPr>
          <w:spacing w:val="-8"/>
        </w:rPr>
        <w:t xml:space="preserve"> </w:t>
      </w:r>
      <w:r w:rsidRPr="00EB2BD8">
        <w:t>provisions</w:t>
      </w:r>
      <w:r w:rsidRPr="00EB2BD8">
        <w:rPr>
          <w:spacing w:val="-8"/>
        </w:rPr>
        <w:t xml:space="preserve"> </w:t>
      </w:r>
      <w:r w:rsidRPr="00EB2BD8">
        <w:t>for</w:t>
      </w:r>
      <w:r w:rsidRPr="00EB2BD8">
        <w:rPr>
          <w:spacing w:val="-8"/>
        </w:rPr>
        <w:t xml:space="preserve"> </w:t>
      </w:r>
      <w:r w:rsidRPr="00EB2BD8">
        <w:t>construction</w:t>
      </w:r>
      <w:r w:rsidRPr="00EB2BD8">
        <w:rPr>
          <w:spacing w:val="-8"/>
        </w:rPr>
        <w:t xml:space="preserve"> </w:t>
      </w:r>
      <w:r w:rsidRPr="00EB2BD8">
        <w:t>dealing</w:t>
      </w:r>
      <w:r w:rsidRPr="00EB2BD8">
        <w:rPr>
          <w:spacing w:val="-8"/>
        </w:rPr>
        <w:t xml:space="preserve"> </w:t>
      </w:r>
      <w:r w:rsidRPr="00EB2BD8">
        <w:t xml:space="preserve">with waterproofing, weatherproofing and water ingress were not previously well addressed. The changes incorporated in the National Construction Code 2022, </w:t>
      </w:r>
      <w:r w:rsidRPr="00EB2BD8">
        <w:rPr>
          <w:spacing w:val="-2"/>
        </w:rPr>
        <w:t>adopted</w:t>
      </w:r>
      <w:r w:rsidRPr="00EB2BD8">
        <w:rPr>
          <w:spacing w:val="-8"/>
        </w:rPr>
        <w:t xml:space="preserve"> </w:t>
      </w:r>
      <w:r w:rsidRPr="00EB2BD8">
        <w:rPr>
          <w:spacing w:val="-2"/>
        </w:rPr>
        <w:t>on</w:t>
      </w:r>
      <w:r w:rsidRPr="00EB2BD8">
        <w:rPr>
          <w:spacing w:val="-8"/>
        </w:rPr>
        <w:t xml:space="preserve"> </w:t>
      </w:r>
      <w:r w:rsidRPr="00EB2BD8">
        <w:rPr>
          <w:spacing w:val="-2"/>
          <w:w w:val="95"/>
        </w:rPr>
        <w:t>1</w:t>
      </w:r>
      <w:r w:rsidRPr="00EB2BD8">
        <w:rPr>
          <w:spacing w:val="-5"/>
          <w:w w:val="95"/>
        </w:rPr>
        <w:t xml:space="preserve"> </w:t>
      </w:r>
      <w:r w:rsidRPr="00EB2BD8">
        <w:rPr>
          <w:spacing w:val="-2"/>
        </w:rPr>
        <w:t>May</w:t>
      </w:r>
      <w:r w:rsidRPr="00EB2BD8">
        <w:rPr>
          <w:spacing w:val="-8"/>
        </w:rPr>
        <w:t xml:space="preserve"> </w:t>
      </w:r>
      <w:r w:rsidRPr="00EB2BD8">
        <w:rPr>
          <w:spacing w:val="-2"/>
        </w:rPr>
        <w:t>2023,</w:t>
      </w:r>
      <w:r w:rsidRPr="00EB2BD8">
        <w:rPr>
          <w:spacing w:val="-8"/>
        </w:rPr>
        <w:t xml:space="preserve"> </w:t>
      </w:r>
      <w:r w:rsidRPr="00EB2BD8">
        <w:rPr>
          <w:spacing w:val="-2"/>
        </w:rPr>
        <w:t>saw</w:t>
      </w:r>
      <w:r w:rsidRPr="00EB2BD8">
        <w:rPr>
          <w:spacing w:val="-8"/>
        </w:rPr>
        <w:t xml:space="preserve"> </w:t>
      </w:r>
      <w:r w:rsidRPr="00EB2BD8">
        <w:rPr>
          <w:spacing w:val="-2"/>
        </w:rPr>
        <w:t>the</w:t>
      </w:r>
      <w:r w:rsidRPr="00EB2BD8">
        <w:rPr>
          <w:spacing w:val="-8"/>
        </w:rPr>
        <w:t xml:space="preserve"> </w:t>
      </w:r>
      <w:r w:rsidRPr="00EB2BD8">
        <w:rPr>
          <w:spacing w:val="-2"/>
        </w:rPr>
        <w:t>introduction</w:t>
      </w:r>
      <w:r w:rsidRPr="00EB2BD8">
        <w:rPr>
          <w:spacing w:val="-8"/>
        </w:rPr>
        <w:t xml:space="preserve"> </w:t>
      </w:r>
      <w:r w:rsidRPr="00EB2BD8">
        <w:rPr>
          <w:spacing w:val="-2"/>
        </w:rPr>
        <w:t>of</w:t>
      </w:r>
      <w:r w:rsidRPr="00EB2BD8">
        <w:rPr>
          <w:spacing w:val="-8"/>
        </w:rPr>
        <w:t xml:space="preserve"> </w:t>
      </w:r>
      <w:r w:rsidRPr="00EB2BD8">
        <w:rPr>
          <w:spacing w:val="-2"/>
        </w:rPr>
        <w:t xml:space="preserve">greater </w:t>
      </w:r>
      <w:r w:rsidRPr="00EB2BD8">
        <w:t>controls in this area.</w:t>
      </w:r>
    </w:p>
    <w:p w14:paraId="03A4FA71" w14:textId="77777777" w:rsidR="00084F36" w:rsidRPr="00EB2BD8" w:rsidRDefault="00EB2BD8">
      <w:pPr>
        <w:pStyle w:val="BodyText"/>
        <w:spacing w:before="108" w:line="261" w:lineRule="auto"/>
        <w:ind w:left="850" w:right="79"/>
      </w:pPr>
      <w:r w:rsidRPr="00EB2BD8">
        <w:t xml:space="preserve">With these changes came the need to provide education and training for the building industry, including designers, engineers, building surveyors and building practitioners, to ensure buildings are constructed to safeguard occupants against illness or </w:t>
      </w:r>
      <w:r w:rsidRPr="00EB2BD8">
        <w:rPr>
          <w:spacing w:val="-2"/>
        </w:rPr>
        <w:t>injury.</w:t>
      </w:r>
    </w:p>
    <w:p w14:paraId="6B2872F3" w14:textId="77777777" w:rsidR="00084F36" w:rsidRPr="00EB2BD8" w:rsidRDefault="00EB2BD8">
      <w:pPr>
        <w:spacing w:before="107" w:line="261" w:lineRule="auto"/>
        <w:ind w:left="850" w:right="120"/>
        <w:rPr>
          <w:sz w:val="18"/>
        </w:rPr>
      </w:pPr>
      <w:r w:rsidRPr="00EB2BD8">
        <w:rPr>
          <w:sz w:val="18"/>
        </w:rPr>
        <w:t>The VBA established a team to focus on practitioner education via the Practitioner Education Series webinars, updating relevant Practice Notes and communicating</w:t>
      </w:r>
      <w:r w:rsidRPr="00EB2BD8">
        <w:rPr>
          <w:spacing w:val="-3"/>
          <w:sz w:val="18"/>
        </w:rPr>
        <w:t xml:space="preserve"> </w:t>
      </w:r>
      <w:r w:rsidRPr="00EB2BD8">
        <w:rPr>
          <w:sz w:val="18"/>
        </w:rPr>
        <w:t>the</w:t>
      </w:r>
      <w:r w:rsidRPr="00EB2BD8">
        <w:rPr>
          <w:spacing w:val="-3"/>
          <w:sz w:val="18"/>
        </w:rPr>
        <w:t xml:space="preserve"> </w:t>
      </w:r>
      <w:r w:rsidRPr="00EB2BD8">
        <w:rPr>
          <w:sz w:val="18"/>
        </w:rPr>
        <w:t>detail</w:t>
      </w:r>
      <w:r w:rsidRPr="00EB2BD8">
        <w:rPr>
          <w:spacing w:val="-3"/>
          <w:sz w:val="18"/>
        </w:rPr>
        <w:t xml:space="preserve"> </w:t>
      </w:r>
      <w:r w:rsidRPr="00EB2BD8">
        <w:rPr>
          <w:sz w:val="18"/>
        </w:rPr>
        <w:t>of</w:t>
      </w:r>
      <w:r w:rsidRPr="00EB2BD8">
        <w:rPr>
          <w:spacing w:val="-3"/>
          <w:sz w:val="18"/>
        </w:rPr>
        <w:t xml:space="preserve"> </w:t>
      </w:r>
      <w:r w:rsidRPr="00EB2BD8">
        <w:rPr>
          <w:sz w:val="18"/>
        </w:rPr>
        <w:t>these</w:t>
      </w:r>
      <w:r w:rsidRPr="00EB2BD8">
        <w:rPr>
          <w:spacing w:val="-3"/>
          <w:sz w:val="18"/>
        </w:rPr>
        <w:t xml:space="preserve"> </w:t>
      </w:r>
      <w:r w:rsidRPr="00EB2BD8">
        <w:rPr>
          <w:sz w:val="18"/>
        </w:rPr>
        <w:t>provisions</w:t>
      </w:r>
      <w:r w:rsidRPr="00EB2BD8">
        <w:rPr>
          <w:spacing w:val="-3"/>
          <w:sz w:val="18"/>
        </w:rPr>
        <w:t xml:space="preserve"> </w:t>
      </w:r>
      <w:r w:rsidRPr="00EB2BD8">
        <w:rPr>
          <w:sz w:val="18"/>
        </w:rPr>
        <w:t>and</w:t>
      </w:r>
      <w:r w:rsidRPr="00EB2BD8">
        <w:rPr>
          <w:spacing w:val="-3"/>
          <w:sz w:val="18"/>
        </w:rPr>
        <w:t xml:space="preserve"> </w:t>
      </w:r>
      <w:r w:rsidRPr="00EB2BD8">
        <w:rPr>
          <w:sz w:val="18"/>
        </w:rPr>
        <w:t>the broader NCC 2022 changes at in-person seminars and webinars held in September and October 2022. Webinars with a particular focus on water ingress included,</w:t>
      </w:r>
      <w:r w:rsidRPr="00EB2BD8">
        <w:rPr>
          <w:spacing w:val="-10"/>
          <w:sz w:val="18"/>
        </w:rPr>
        <w:t xml:space="preserve"> </w:t>
      </w:r>
      <w:r w:rsidRPr="00EB2BD8">
        <w:rPr>
          <w:i/>
          <w:sz w:val="18"/>
        </w:rPr>
        <w:t>Waterproofing</w:t>
      </w:r>
      <w:r w:rsidRPr="00EB2BD8">
        <w:rPr>
          <w:i/>
          <w:spacing w:val="-10"/>
          <w:sz w:val="18"/>
        </w:rPr>
        <w:t xml:space="preserve"> </w:t>
      </w:r>
      <w:r w:rsidRPr="00EB2BD8">
        <w:rPr>
          <w:i/>
          <w:sz w:val="18"/>
        </w:rPr>
        <w:t>of</w:t>
      </w:r>
      <w:r w:rsidRPr="00EB2BD8">
        <w:rPr>
          <w:i/>
          <w:spacing w:val="-10"/>
          <w:sz w:val="18"/>
        </w:rPr>
        <w:t xml:space="preserve"> </w:t>
      </w:r>
      <w:r w:rsidRPr="00EB2BD8">
        <w:rPr>
          <w:i/>
          <w:sz w:val="18"/>
        </w:rPr>
        <w:t>Wet</w:t>
      </w:r>
      <w:r w:rsidRPr="00EB2BD8">
        <w:rPr>
          <w:i/>
          <w:spacing w:val="-10"/>
          <w:sz w:val="18"/>
        </w:rPr>
        <w:t xml:space="preserve"> </w:t>
      </w:r>
      <w:r w:rsidRPr="00EB2BD8">
        <w:rPr>
          <w:i/>
          <w:sz w:val="18"/>
        </w:rPr>
        <w:t>Areas,</w:t>
      </w:r>
      <w:r w:rsidRPr="00EB2BD8">
        <w:rPr>
          <w:i/>
          <w:spacing w:val="-10"/>
          <w:sz w:val="18"/>
        </w:rPr>
        <w:t xml:space="preserve"> </w:t>
      </w:r>
      <w:r w:rsidRPr="00EB2BD8">
        <w:rPr>
          <w:i/>
          <w:sz w:val="18"/>
        </w:rPr>
        <w:t>Water</w:t>
      </w:r>
      <w:r w:rsidRPr="00EB2BD8">
        <w:rPr>
          <w:i/>
          <w:spacing w:val="-10"/>
          <w:sz w:val="18"/>
        </w:rPr>
        <w:t xml:space="preserve"> </w:t>
      </w:r>
      <w:r w:rsidRPr="00EB2BD8">
        <w:rPr>
          <w:i/>
          <w:sz w:val="18"/>
        </w:rPr>
        <w:t>Damage and</w:t>
      </w:r>
      <w:r w:rsidRPr="00EB2BD8">
        <w:rPr>
          <w:i/>
          <w:spacing w:val="-4"/>
          <w:sz w:val="18"/>
        </w:rPr>
        <w:t xml:space="preserve"> </w:t>
      </w:r>
      <w:r w:rsidRPr="00EB2BD8">
        <w:rPr>
          <w:i/>
          <w:sz w:val="18"/>
        </w:rPr>
        <w:t>the</w:t>
      </w:r>
      <w:r w:rsidRPr="00EB2BD8">
        <w:rPr>
          <w:i/>
          <w:spacing w:val="-4"/>
          <w:sz w:val="18"/>
        </w:rPr>
        <w:t xml:space="preserve"> </w:t>
      </w:r>
      <w:r w:rsidRPr="00EB2BD8">
        <w:rPr>
          <w:i/>
          <w:sz w:val="18"/>
        </w:rPr>
        <w:t>Risk</w:t>
      </w:r>
      <w:r w:rsidRPr="00EB2BD8">
        <w:rPr>
          <w:i/>
          <w:spacing w:val="-4"/>
          <w:sz w:val="18"/>
        </w:rPr>
        <w:t xml:space="preserve"> </w:t>
      </w:r>
      <w:r w:rsidRPr="00EB2BD8">
        <w:rPr>
          <w:i/>
          <w:sz w:val="18"/>
        </w:rPr>
        <w:t>of</w:t>
      </w:r>
      <w:r w:rsidRPr="00EB2BD8">
        <w:rPr>
          <w:i/>
          <w:spacing w:val="-4"/>
          <w:sz w:val="18"/>
        </w:rPr>
        <w:t xml:space="preserve"> </w:t>
      </w:r>
      <w:r w:rsidRPr="00EB2BD8">
        <w:rPr>
          <w:i/>
          <w:sz w:val="18"/>
        </w:rPr>
        <w:t>Mould</w:t>
      </w:r>
      <w:r w:rsidRPr="00EB2BD8">
        <w:rPr>
          <w:i/>
          <w:spacing w:val="-4"/>
          <w:sz w:val="18"/>
        </w:rPr>
        <w:t xml:space="preserve"> </w:t>
      </w:r>
      <w:r w:rsidRPr="00EB2BD8">
        <w:rPr>
          <w:i/>
          <w:sz w:val="18"/>
        </w:rPr>
        <w:t>in</w:t>
      </w:r>
      <w:r w:rsidRPr="00EB2BD8">
        <w:rPr>
          <w:i/>
          <w:spacing w:val="-4"/>
          <w:sz w:val="18"/>
        </w:rPr>
        <w:t xml:space="preserve"> </w:t>
      </w:r>
      <w:r w:rsidRPr="00EB2BD8">
        <w:rPr>
          <w:i/>
          <w:sz w:val="18"/>
        </w:rPr>
        <w:t>Buildings,</w:t>
      </w:r>
      <w:r w:rsidRPr="00EB2BD8">
        <w:rPr>
          <w:i/>
          <w:spacing w:val="-4"/>
          <w:sz w:val="18"/>
        </w:rPr>
        <w:t xml:space="preserve"> </w:t>
      </w:r>
      <w:r w:rsidRPr="00EB2BD8">
        <w:rPr>
          <w:i/>
          <w:sz w:val="18"/>
        </w:rPr>
        <w:t>and</w:t>
      </w:r>
      <w:r w:rsidRPr="00EB2BD8">
        <w:rPr>
          <w:i/>
          <w:spacing w:val="-4"/>
          <w:sz w:val="18"/>
        </w:rPr>
        <w:t xml:space="preserve"> </w:t>
      </w:r>
      <w:r w:rsidRPr="00EB2BD8">
        <w:rPr>
          <w:i/>
          <w:sz w:val="18"/>
        </w:rPr>
        <w:t>Common</w:t>
      </w:r>
      <w:r w:rsidRPr="00EB2BD8">
        <w:rPr>
          <w:i/>
          <w:spacing w:val="-4"/>
          <w:sz w:val="18"/>
        </w:rPr>
        <w:t xml:space="preserve"> </w:t>
      </w:r>
      <w:r w:rsidRPr="00EB2BD8">
        <w:rPr>
          <w:i/>
          <w:sz w:val="18"/>
        </w:rPr>
        <w:t>Roof Drainage Faults &amp; Enquiries – Box Gutters</w:t>
      </w:r>
      <w:r w:rsidRPr="00EB2BD8">
        <w:rPr>
          <w:sz w:val="18"/>
        </w:rPr>
        <w:t>.</w:t>
      </w:r>
    </w:p>
    <w:p w14:paraId="09CED36F" w14:textId="77777777" w:rsidR="00084F36" w:rsidRPr="00EB2BD8" w:rsidRDefault="00EB2BD8">
      <w:pPr>
        <w:pStyle w:val="BodyText"/>
        <w:spacing w:before="103" w:line="261" w:lineRule="auto"/>
        <w:ind w:left="850" w:right="193"/>
      </w:pPr>
      <w:r w:rsidRPr="00EB2BD8">
        <w:t>In conjunction with CSV and industry groups, the VBA published a new consumer safety guide that raised</w:t>
      </w:r>
      <w:r w:rsidRPr="00EB2BD8">
        <w:rPr>
          <w:spacing w:val="-6"/>
        </w:rPr>
        <w:t xml:space="preserve"> </w:t>
      </w:r>
      <w:r w:rsidRPr="00EB2BD8">
        <w:t>awareness</w:t>
      </w:r>
      <w:r w:rsidRPr="00EB2BD8">
        <w:rPr>
          <w:spacing w:val="-6"/>
        </w:rPr>
        <w:t xml:space="preserve"> </w:t>
      </w:r>
      <w:r w:rsidRPr="00EB2BD8">
        <w:t>and</w:t>
      </w:r>
      <w:r w:rsidRPr="00EB2BD8">
        <w:rPr>
          <w:spacing w:val="-6"/>
        </w:rPr>
        <w:t xml:space="preserve"> </w:t>
      </w:r>
      <w:r w:rsidRPr="00EB2BD8">
        <w:t>highlighted</w:t>
      </w:r>
      <w:r w:rsidRPr="00EB2BD8">
        <w:rPr>
          <w:spacing w:val="-6"/>
        </w:rPr>
        <w:t xml:space="preserve"> </w:t>
      </w:r>
      <w:r w:rsidRPr="00EB2BD8">
        <w:t>the</w:t>
      </w:r>
      <w:r w:rsidRPr="00EB2BD8">
        <w:rPr>
          <w:spacing w:val="-6"/>
        </w:rPr>
        <w:t xml:space="preserve"> </w:t>
      </w:r>
      <w:r w:rsidRPr="00EB2BD8">
        <w:t>potential</w:t>
      </w:r>
      <w:r w:rsidRPr="00EB2BD8">
        <w:rPr>
          <w:spacing w:val="-6"/>
        </w:rPr>
        <w:t xml:space="preserve"> </w:t>
      </w:r>
      <w:r w:rsidRPr="00EB2BD8">
        <w:t>risks associated</w:t>
      </w:r>
      <w:r w:rsidRPr="00EB2BD8">
        <w:rPr>
          <w:spacing w:val="-2"/>
        </w:rPr>
        <w:t xml:space="preserve"> </w:t>
      </w:r>
      <w:r w:rsidRPr="00EB2BD8">
        <w:t>with</w:t>
      </w:r>
      <w:r w:rsidRPr="00EB2BD8">
        <w:rPr>
          <w:spacing w:val="-2"/>
        </w:rPr>
        <w:t xml:space="preserve"> </w:t>
      </w:r>
      <w:r w:rsidRPr="00EB2BD8">
        <w:t>water</w:t>
      </w:r>
      <w:r w:rsidRPr="00EB2BD8">
        <w:rPr>
          <w:spacing w:val="-2"/>
        </w:rPr>
        <w:t xml:space="preserve"> </w:t>
      </w:r>
      <w:r w:rsidRPr="00EB2BD8">
        <w:t>ingress</w:t>
      </w:r>
      <w:r w:rsidRPr="00EB2BD8">
        <w:rPr>
          <w:spacing w:val="-2"/>
        </w:rPr>
        <w:t xml:space="preserve"> </w:t>
      </w:r>
      <w:r w:rsidRPr="00EB2BD8">
        <w:t>from</w:t>
      </w:r>
      <w:r w:rsidRPr="00EB2BD8">
        <w:rPr>
          <w:spacing w:val="-2"/>
        </w:rPr>
        <w:t xml:space="preserve"> </w:t>
      </w:r>
      <w:r w:rsidRPr="00EB2BD8">
        <w:t>balconies,</w:t>
      </w:r>
      <w:r w:rsidRPr="00EB2BD8">
        <w:rPr>
          <w:spacing w:val="-2"/>
        </w:rPr>
        <w:t xml:space="preserve"> </w:t>
      </w:r>
      <w:r w:rsidRPr="00EB2BD8">
        <w:t>decks and</w:t>
      </w:r>
      <w:r w:rsidRPr="00EB2BD8">
        <w:rPr>
          <w:spacing w:val="-6"/>
        </w:rPr>
        <w:t xml:space="preserve"> </w:t>
      </w:r>
      <w:r w:rsidRPr="00EB2BD8">
        <w:t>terraces.</w:t>
      </w:r>
    </w:p>
    <w:p w14:paraId="5E92063D" w14:textId="77777777" w:rsidR="00084F36" w:rsidRPr="00EB2BD8" w:rsidRDefault="00EB2BD8">
      <w:pPr>
        <w:pStyle w:val="BodyText"/>
        <w:spacing w:before="108" w:line="261" w:lineRule="auto"/>
        <w:ind w:left="850" w:right="193"/>
      </w:pPr>
      <w:r w:rsidRPr="00EB2BD8">
        <w:t>To</w:t>
      </w:r>
      <w:r w:rsidRPr="00EB2BD8">
        <w:rPr>
          <w:spacing w:val="-9"/>
        </w:rPr>
        <w:t xml:space="preserve"> </w:t>
      </w:r>
      <w:r w:rsidRPr="00EB2BD8">
        <w:t>further</w:t>
      </w:r>
      <w:r w:rsidRPr="00EB2BD8">
        <w:rPr>
          <w:spacing w:val="-9"/>
        </w:rPr>
        <w:t xml:space="preserve"> </w:t>
      </w:r>
      <w:r w:rsidRPr="00EB2BD8">
        <w:t>amplify</w:t>
      </w:r>
      <w:r w:rsidRPr="00EB2BD8">
        <w:rPr>
          <w:spacing w:val="-9"/>
        </w:rPr>
        <w:t xml:space="preserve"> </w:t>
      </w:r>
      <w:r w:rsidRPr="00EB2BD8">
        <w:t>the</w:t>
      </w:r>
      <w:r w:rsidRPr="00EB2BD8">
        <w:rPr>
          <w:spacing w:val="-9"/>
        </w:rPr>
        <w:t xml:space="preserve"> </w:t>
      </w:r>
      <w:r w:rsidRPr="00EB2BD8">
        <w:t>message,</w:t>
      </w:r>
      <w:r w:rsidRPr="00EB2BD8">
        <w:rPr>
          <w:spacing w:val="-9"/>
        </w:rPr>
        <w:t xml:space="preserve"> </w:t>
      </w:r>
      <w:r w:rsidRPr="00EB2BD8">
        <w:t>the</w:t>
      </w:r>
      <w:r w:rsidRPr="00EB2BD8">
        <w:rPr>
          <w:spacing w:val="-9"/>
        </w:rPr>
        <w:t xml:space="preserve"> </w:t>
      </w:r>
      <w:r w:rsidRPr="00EB2BD8">
        <w:t>VBA</w:t>
      </w:r>
      <w:r w:rsidRPr="00EB2BD8">
        <w:rPr>
          <w:spacing w:val="-9"/>
        </w:rPr>
        <w:t xml:space="preserve"> </w:t>
      </w:r>
      <w:r w:rsidRPr="00EB2BD8">
        <w:t>leveraged powerful visuals to maximise reach and impact of this information, via a social media campaign that commenced in May 2023.</w:t>
      </w:r>
    </w:p>
    <w:p w14:paraId="230645DA" w14:textId="77777777" w:rsidR="00084F36" w:rsidRPr="00EB2BD8" w:rsidRDefault="00EB2BD8">
      <w:pPr>
        <w:rPr>
          <w:sz w:val="20"/>
        </w:rPr>
      </w:pPr>
      <w:r w:rsidRPr="00EB2BD8">
        <w:br w:type="column"/>
      </w:r>
    </w:p>
    <w:p w14:paraId="42B2810E" w14:textId="77777777" w:rsidR="00084F36" w:rsidRPr="00EB2BD8" w:rsidRDefault="00084F36">
      <w:pPr>
        <w:pStyle w:val="BodyText"/>
        <w:rPr>
          <w:sz w:val="23"/>
        </w:rPr>
      </w:pPr>
    </w:p>
    <w:p w14:paraId="550DCD27" w14:textId="77777777" w:rsidR="00084F36" w:rsidRPr="00EB2BD8" w:rsidRDefault="00EB2BD8">
      <w:pPr>
        <w:pStyle w:val="BodyText"/>
        <w:spacing w:line="261" w:lineRule="auto"/>
        <w:ind w:left="508" w:right="803"/>
      </w:pPr>
      <w:r w:rsidRPr="00EB2BD8">
        <w:t>In addition, the VBA provides input to three current Australian Building Codes Board (ABCB) Building Codes Committees (BCCs); Waterproofing, Weatherproofing and Condensation. The three committees include and collaborate with manufacturers, suppliers and building associations to address and close gaps in knowledge and practices. The VBA also undertakes regulator reviews and oversight through the Technical Review Committees of the three BCCs.</w:t>
      </w:r>
    </w:p>
    <w:p w14:paraId="0D842D8F" w14:textId="77777777" w:rsidR="00084F36" w:rsidRPr="00EB2BD8" w:rsidRDefault="00084F36">
      <w:pPr>
        <w:pStyle w:val="BodyText"/>
        <w:spacing w:before="8"/>
        <w:rPr>
          <w:sz w:val="20"/>
        </w:rPr>
      </w:pPr>
    </w:p>
    <w:p w14:paraId="22D47901" w14:textId="23EFAF0F" w:rsidR="00084F36" w:rsidRPr="00EB2BD8" w:rsidRDefault="00C1767B" w:rsidP="00C1767B">
      <w:pPr>
        <w:pStyle w:val="Heading2"/>
        <w:ind w:left="0"/>
      </w:pPr>
      <w:r>
        <w:t xml:space="preserve">     </w:t>
      </w:r>
      <w:bookmarkStart w:id="90" w:name="_Toc150762392"/>
      <w:r w:rsidR="00EB2BD8" w:rsidRPr="00EB2BD8">
        <w:t>Online</w:t>
      </w:r>
      <w:r w:rsidR="00EB2BD8" w:rsidRPr="00EB2BD8">
        <w:rPr>
          <w:spacing w:val="-17"/>
        </w:rPr>
        <w:t xml:space="preserve"> </w:t>
      </w:r>
      <w:r w:rsidR="00EB2BD8" w:rsidRPr="00EB2BD8">
        <w:t>exams</w:t>
      </w:r>
      <w:r w:rsidR="00EB2BD8" w:rsidRPr="00EB2BD8">
        <w:rPr>
          <w:spacing w:val="-17"/>
        </w:rPr>
        <w:t xml:space="preserve"> </w:t>
      </w:r>
      <w:r w:rsidR="00EB2BD8" w:rsidRPr="00EB2BD8">
        <w:t>making</w:t>
      </w:r>
      <w:r w:rsidR="00EB2BD8" w:rsidRPr="00EB2BD8">
        <w:rPr>
          <w:spacing w:val="-17"/>
        </w:rPr>
        <w:t xml:space="preserve"> </w:t>
      </w:r>
      <w:r w:rsidR="00EB2BD8" w:rsidRPr="00EB2BD8">
        <w:t>a</w:t>
      </w:r>
      <w:r w:rsidR="00EB2BD8" w:rsidRPr="00EB2BD8">
        <w:rPr>
          <w:spacing w:val="-17"/>
        </w:rPr>
        <w:t xml:space="preserve"> </w:t>
      </w:r>
      <w:r>
        <w:rPr>
          <w:spacing w:val="-17"/>
        </w:rPr>
        <w:br/>
        <w:t xml:space="preserve">      </w:t>
      </w:r>
      <w:r w:rsidR="00EB2BD8" w:rsidRPr="00EB2BD8">
        <w:t>difference</w:t>
      </w:r>
      <w:bookmarkEnd w:id="90"/>
    </w:p>
    <w:p w14:paraId="4C32DBBA" w14:textId="77777777" w:rsidR="00084F36" w:rsidRPr="00EB2BD8" w:rsidRDefault="00EB2BD8">
      <w:pPr>
        <w:pStyle w:val="BodyText"/>
        <w:spacing w:before="99" w:line="261" w:lineRule="auto"/>
        <w:ind w:left="508" w:right="888"/>
      </w:pPr>
      <w:r w:rsidRPr="00EB2BD8">
        <w:t xml:space="preserve">The VBA has continued its successful online examination format that makes it quicker and easier for applicants to sit their registration and licensing exams. Utilising digital infrastructure to administer </w:t>
      </w:r>
      <w:r w:rsidRPr="00EB2BD8">
        <w:rPr>
          <w:spacing w:val="-2"/>
        </w:rPr>
        <w:t>more</w:t>
      </w:r>
      <w:r w:rsidRPr="00EB2BD8">
        <w:rPr>
          <w:spacing w:val="-7"/>
        </w:rPr>
        <w:t xml:space="preserve"> </w:t>
      </w:r>
      <w:r w:rsidRPr="00EB2BD8">
        <w:rPr>
          <w:spacing w:val="-2"/>
        </w:rPr>
        <w:t>effective</w:t>
      </w:r>
      <w:r w:rsidRPr="00EB2BD8">
        <w:rPr>
          <w:spacing w:val="-7"/>
        </w:rPr>
        <w:t xml:space="preserve"> </w:t>
      </w:r>
      <w:r w:rsidRPr="00EB2BD8">
        <w:rPr>
          <w:spacing w:val="-2"/>
        </w:rPr>
        <w:t>regulatory</w:t>
      </w:r>
      <w:r w:rsidRPr="00EB2BD8">
        <w:rPr>
          <w:spacing w:val="-7"/>
        </w:rPr>
        <w:t xml:space="preserve"> </w:t>
      </w:r>
      <w:r w:rsidRPr="00EB2BD8">
        <w:rPr>
          <w:spacing w:val="-2"/>
        </w:rPr>
        <w:t>practices,</w:t>
      </w:r>
      <w:r w:rsidRPr="00EB2BD8">
        <w:rPr>
          <w:spacing w:val="-7"/>
        </w:rPr>
        <w:t xml:space="preserve"> </w:t>
      </w:r>
      <w:r w:rsidRPr="00EB2BD8">
        <w:rPr>
          <w:spacing w:val="-2"/>
        </w:rPr>
        <w:t>681</w:t>
      </w:r>
      <w:r w:rsidRPr="00EB2BD8">
        <w:rPr>
          <w:spacing w:val="-7"/>
        </w:rPr>
        <w:t xml:space="preserve"> </w:t>
      </w:r>
      <w:r w:rsidRPr="00EB2BD8">
        <w:rPr>
          <w:spacing w:val="-2"/>
        </w:rPr>
        <w:t>online</w:t>
      </w:r>
      <w:r w:rsidRPr="00EB2BD8">
        <w:rPr>
          <w:spacing w:val="-7"/>
        </w:rPr>
        <w:t xml:space="preserve"> </w:t>
      </w:r>
      <w:r w:rsidRPr="00EB2BD8">
        <w:rPr>
          <w:spacing w:val="-2"/>
        </w:rPr>
        <w:t xml:space="preserve">building </w:t>
      </w:r>
      <w:r w:rsidRPr="00EB2BD8">
        <w:t>exams were undertaken this year. These remotely supervised, secure online exams were monitored live by a real person and included identity verification</w:t>
      </w:r>
    </w:p>
    <w:p w14:paraId="56244988" w14:textId="77777777" w:rsidR="00084F36" w:rsidRPr="00EB2BD8" w:rsidRDefault="00EB2BD8">
      <w:pPr>
        <w:pStyle w:val="BodyText"/>
        <w:spacing w:line="261" w:lineRule="auto"/>
        <w:ind w:left="508" w:right="1338"/>
      </w:pPr>
      <w:r w:rsidRPr="00EB2BD8">
        <w:t>and environment security scans. Online exams</w:t>
      </w:r>
      <w:r w:rsidRPr="00EB2BD8">
        <w:rPr>
          <w:spacing w:val="80"/>
        </w:rPr>
        <w:t xml:space="preserve"> </w:t>
      </w:r>
      <w:r w:rsidRPr="00EB2BD8">
        <w:t>are</w:t>
      </w:r>
      <w:r w:rsidRPr="00EB2BD8">
        <w:rPr>
          <w:spacing w:val="-2"/>
        </w:rPr>
        <w:t xml:space="preserve"> </w:t>
      </w:r>
      <w:r w:rsidRPr="00EB2BD8">
        <w:t>now</w:t>
      </w:r>
      <w:r w:rsidRPr="00EB2BD8">
        <w:rPr>
          <w:spacing w:val="-2"/>
        </w:rPr>
        <w:t xml:space="preserve"> </w:t>
      </w:r>
      <w:r w:rsidRPr="00EB2BD8">
        <w:t>available</w:t>
      </w:r>
      <w:r w:rsidRPr="00EB2BD8">
        <w:rPr>
          <w:spacing w:val="-1"/>
        </w:rPr>
        <w:t xml:space="preserve"> </w:t>
      </w:r>
      <w:r w:rsidRPr="00EB2BD8">
        <w:t>for</w:t>
      </w:r>
      <w:r w:rsidRPr="00EB2BD8">
        <w:rPr>
          <w:spacing w:val="-2"/>
        </w:rPr>
        <w:t xml:space="preserve"> </w:t>
      </w:r>
      <w:r w:rsidRPr="00EB2BD8">
        <w:t>all</w:t>
      </w:r>
      <w:r w:rsidRPr="00EB2BD8">
        <w:rPr>
          <w:spacing w:val="-2"/>
        </w:rPr>
        <w:t xml:space="preserve"> </w:t>
      </w:r>
      <w:r w:rsidRPr="00EB2BD8">
        <w:t>domestic</w:t>
      </w:r>
      <w:r w:rsidRPr="00EB2BD8">
        <w:rPr>
          <w:spacing w:val="-1"/>
        </w:rPr>
        <w:t xml:space="preserve"> </w:t>
      </w:r>
      <w:r w:rsidRPr="00EB2BD8">
        <w:t>and</w:t>
      </w:r>
      <w:r w:rsidRPr="00EB2BD8">
        <w:rPr>
          <w:spacing w:val="-2"/>
        </w:rPr>
        <w:t xml:space="preserve"> commercial</w:t>
      </w:r>
    </w:p>
    <w:p w14:paraId="4925D3E0" w14:textId="77777777" w:rsidR="00084F36" w:rsidRPr="00EB2BD8" w:rsidRDefault="00EB2BD8">
      <w:pPr>
        <w:pStyle w:val="BodyText"/>
        <w:spacing w:line="261" w:lineRule="auto"/>
        <w:ind w:left="508" w:right="1032"/>
      </w:pPr>
      <w:r w:rsidRPr="00EB2BD8">
        <w:t xml:space="preserve">building classes, except low volume classes, and for the Draftsperson and Building Inspector (Pool Safety) </w:t>
      </w:r>
      <w:r w:rsidRPr="00EB2BD8">
        <w:rPr>
          <w:spacing w:val="-2"/>
        </w:rPr>
        <w:t>categories.</w:t>
      </w:r>
    </w:p>
    <w:p w14:paraId="4B3E20AD" w14:textId="77777777" w:rsidR="00084F36" w:rsidRPr="00EB2BD8" w:rsidRDefault="00EB2BD8">
      <w:pPr>
        <w:pStyle w:val="BodyText"/>
        <w:spacing w:before="100" w:line="261" w:lineRule="auto"/>
        <w:ind w:left="508" w:right="1108"/>
      </w:pPr>
      <w:r w:rsidRPr="00EB2BD8">
        <w:t>The majority (94 per cent) of all exams conducted for domestic builder assessments were conducted online, with on premises exams available for applicants, to meet their individual requirements. The</w:t>
      </w:r>
      <w:r w:rsidRPr="00EB2BD8">
        <w:rPr>
          <w:spacing w:val="-9"/>
        </w:rPr>
        <w:t xml:space="preserve"> </w:t>
      </w:r>
      <w:r w:rsidRPr="00EB2BD8">
        <w:t>flexibility</w:t>
      </w:r>
      <w:r w:rsidRPr="00EB2BD8">
        <w:rPr>
          <w:spacing w:val="-10"/>
        </w:rPr>
        <w:t xml:space="preserve"> </w:t>
      </w:r>
      <w:r w:rsidRPr="00EB2BD8">
        <w:t>offered</w:t>
      </w:r>
      <w:r w:rsidRPr="00EB2BD8">
        <w:rPr>
          <w:spacing w:val="-9"/>
        </w:rPr>
        <w:t xml:space="preserve"> </w:t>
      </w:r>
      <w:r w:rsidRPr="00EB2BD8">
        <w:t>by</w:t>
      </w:r>
      <w:r w:rsidRPr="00EB2BD8">
        <w:rPr>
          <w:spacing w:val="-10"/>
        </w:rPr>
        <w:t xml:space="preserve"> </w:t>
      </w:r>
      <w:r w:rsidRPr="00EB2BD8">
        <w:t>online</w:t>
      </w:r>
      <w:r w:rsidRPr="00EB2BD8">
        <w:rPr>
          <w:spacing w:val="-9"/>
        </w:rPr>
        <w:t xml:space="preserve"> </w:t>
      </w:r>
      <w:r w:rsidRPr="00EB2BD8">
        <w:t>exams</w:t>
      </w:r>
      <w:r w:rsidRPr="00EB2BD8">
        <w:rPr>
          <w:spacing w:val="-10"/>
        </w:rPr>
        <w:t xml:space="preserve"> </w:t>
      </w:r>
      <w:r w:rsidRPr="00EB2BD8">
        <w:t>continued</w:t>
      </w:r>
      <w:r w:rsidRPr="00EB2BD8">
        <w:rPr>
          <w:spacing w:val="-9"/>
        </w:rPr>
        <w:t xml:space="preserve"> </w:t>
      </w:r>
      <w:r w:rsidRPr="00EB2BD8">
        <w:t>to benefit</w:t>
      </w:r>
      <w:r w:rsidRPr="00EB2BD8">
        <w:rPr>
          <w:spacing w:val="-7"/>
        </w:rPr>
        <w:t xml:space="preserve"> </w:t>
      </w:r>
      <w:r w:rsidRPr="00EB2BD8">
        <w:t>applicants,</w:t>
      </w:r>
      <w:r w:rsidRPr="00EB2BD8">
        <w:rPr>
          <w:spacing w:val="-7"/>
        </w:rPr>
        <w:t xml:space="preserve"> </w:t>
      </w:r>
      <w:r w:rsidRPr="00EB2BD8">
        <w:t>with</w:t>
      </w:r>
      <w:r w:rsidRPr="00EB2BD8">
        <w:rPr>
          <w:spacing w:val="-7"/>
        </w:rPr>
        <w:t xml:space="preserve"> </w:t>
      </w:r>
      <w:r w:rsidRPr="00EB2BD8">
        <w:t>about</w:t>
      </w:r>
      <w:r w:rsidRPr="00EB2BD8">
        <w:rPr>
          <w:spacing w:val="-7"/>
        </w:rPr>
        <w:t xml:space="preserve"> </w:t>
      </w:r>
      <w:r w:rsidRPr="00EB2BD8">
        <w:t>30</w:t>
      </w:r>
      <w:r w:rsidRPr="00EB2BD8">
        <w:rPr>
          <w:spacing w:val="-7"/>
        </w:rPr>
        <w:t xml:space="preserve"> </w:t>
      </w:r>
      <w:r w:rsidRPr="00EB2BD8">
        <w:t>per</w:t>
      </w:r>
      <w:r w:rsidRPr="00EB2BD8">
        <w:rPr>
          <w:spacing w:val="-7"/>
        </w:rPr>
        <w:t xml:space="preserve"> </w:t>
      </w:r>
      <w:r w:rsidRPr="00EB2BD8">
        <w:t>cent</w:t>
      </w:r>
      <w:r w:rsidRPr="00EB2BD8">
        <w:rPr>
          <w:spacing w:val="-7"/>
        </w:rPr>
        <w:t xml:space="preserve"> </w:t>
      </w:r>
      <w:r w:rsidRPr="00EB2BD8">
        <w:t>choosing to complete an exam on the weekend or outside of business</w:t>
      </w:r>
      <w:r w:rsidRPr="00EB2BD8">
        <w:rPr>
          <w:spacing w:val="-6"/>
        </w:rPr>
        <w:t xml:space="preserve"> </w:t>
      </w:r>
      <w:r w:rsidRPr="00EB2BD8">
        <w:t>hours.</w:t>
      </w:r>
    </w:p>
    <w:p w14:paraId="297860B2" w14:textId="77777777" w:rsidR="00084F36" w:rsidRPr="00EB2BD8" w:rsidRDefault="00EB2BD8">
      <w:pPr>
        <w:pStyle w:val="BodyText"/>
        <w:spacing w:before="105" w:line="261" w:lineRule="auto"/>
        <w:ind w:left="508" w:right="803"/>
      </w:pPr>
      <w:r w:rsidRPr="00EB2BD8">
        <w:t>Online exam improvements and updates were made throughout</w:t>
      </w:r>
      <w:r w:rsidRPr="00EB2BD8">
        <w:rPr>
          <w:spacing w:val="-6"/>
        </w:rPr>
        <w:t xml:space="preserve"> </w:t>
      </w:r>
      <w:r w:rsidRPr="00EB2BD8">
        <w:t>the</w:t>
      </w:r>
      <w:r w:rsidRPr="00EB2BD8">
        <w:rPr>
          <w:spacing w:val="-6"/>
        </w:rPr>
        <w:t xml:space="preserve"> </w:t>
      </w:r>
      <w:r w:rsidRPr="00EB2BD8">
        <w:t>year</w:t>
      </w:r>
      <w:r w:rsidRPr="00EB2BD8">
        <w:rPr>
          <w:spacing w:val="-6"/>
        </w:rPr>
        <w:t xml:space="preserve"> </w:t>
      </w:r>
      <w:r w:rsidRPr="00EB2BD8">
        <w:t>to</w:t>
      </w:r>
      <w:r w:rsidRPr="00EB2BD8">
        <w:rPr>
          <w:spacing w:val="-6"/>
        </w:rPr>
        <w:t xml:space="preserve"> </w:t>
      </w:r>
      <w:r w:rsidRPr="00EB2BD8">
        <w:t>align</w:t>
      </w:r>
      <w:r w:rsidRPr="00EB2BD8">
        <w:rPr>
          <w:spacing w:val="-6"/>
        </w:rPr>
        <w:t xml:space="preserve"> </w:t>
      </w:r>
      <w:r w:rsidRPr="00EB2BD8">
        <w:t>exam</w:t>
      </w:r>
      <w:r w:rsidRPr="00EB2BD8">
        <w:rPr>
          <w:spacing w:val="-6"/>
        </w:rPr>
        <w:t xml:space="preserve"> </w:t>
      </w:r>
      <w:r w:rsidRPr="00EB2BD8">
        <w:t>content</w:t>
      </w:r>
      <w:r w:rsidRPr="00EB2BD8">
        <w:rPr>
          <w:spacing w:val="-6"/>
        </w:rPr>
        <w:t xml:space="preserve"> </w:t>
      </w:r>
      <w:r w:rsidRPr="00EB2BD8">
        <w:t>to</w:t>
      </w:r>
      <w:r w:rsidRPr="00EB2BD8">
        <w:rPr>
          <w:spacing w:val="-6"/>
        </w:rPr>
        <w:t xml:space="preserve"> </w:t>
      </w:r>
      <w:r w:rsidRPr="00EB2BD8">
        <w:t>the</w:t>
      </w:r>
      <w:r w:rsidRPr="00EB2BD8">
        <w:rPr>
          <w:spacing w:val="-6"/>
        </w:rPr>
        <w:t xml:space="preserve"> </w:t>
      </w:r>
      <w:r w:rsidRPr="00EB2BD8">
        <w:t>NCC 2022</w:t>
      </w:r>
      <w:r w:rsidRPr="00EB2BD8">
        <w:rPr>
          <w:spacing w:val="-5"/>
        </w:rPr>
        <w:t xml:space="preserve"> </w:t>
      </w:r>
      <w:r w:rsidRPr="00EB2BD8">
        <w:t>changes,</w:t>
      </w:r>
      <w:r w:rsidRPr="00EB2BD8">
        <w:rPr>
          <w:spacing w:val="-5"/>
        </w:rPr>
        <w:t xml:space="preserve"> </w:t>
      </w:r>
      <w:r w:rsidRPr="00EB2BD8">
        <w:t>expand</w:t>
      </w:r>
      <w:r w:rsidRPr="00EB2BD8">
        <w:rPr>
          <w:spacing w:val="-5"/>
        </w:rPr>
        <w:t xml:space="preserve"> </w:t>
      </w:r>
      <w:r w:rsidRPr="00EB2BD8">
        <w:t>question</w:t>
      </w:r>
      <w:r w:rsidRPr="00EB2BD8">
        <w:rPr>
          <w:spacing w:val="-5"/>
        </w:rPr>
        <w:t xml:space="preserve"> </w:t>
      </w:r>
      <w:r w:rsidRPr="00EB2BD8">
        <w:t>sets</w:t>
      </w:r>
      <w:r w:rsidRPr="00EB2BD8">
        <w:rPr>
          <w:spacing w:val="-5"/>
        </w:rPr>
        <w:t xml:space="preserve"> </w:t>
      </w:r>
      <w:r w:rsidRPr="00EB2BD8">
        <w:t>and</w:t>
      </w:r>
      <w:r w:rsidRPr="00EB2BD8">
        <w:rPr>
          <w:spacing w:val="-5"/>
        </w:rPr>
        <w:t xml:space="preserve"> </w:t>
      </w:r>
      <w:r w:rsidRPr="00EB2BD8">
        <w:t>enhance</w:t>
      </w:r>
      <w:r w:rsidRPr="00EB2BD8">
        <w:rPr>
          <w:spacing w:val="-5"/>
        </w:rPr>
        <w:t xml:space="preserve"> </w:t>
      </w:r>
      <w:r w:rsidRPr="00EB2BD8">
        <w:t>the user</w:t>
      </w:r>
      <w:r w:rsidRPr="00EB2BD8">
        <w:rPr>
          <w:spacing w:val="-6"/>
        </w:rPr>
        <w:t xml:space="preserve"> </w:t>
      </w:r>
      <w:r w:rsidRPr="00EB2BD8">
        <w:t>experience.</w:t>
      </w:r>
    </w:p>
    <w:p w14:paraId="0A2249F6" w14:textId="77777777" w:rsidR="00084F36" w:rsidRPr="00EB2BD8" w:rsidRDefault="00EB2BD8">
      <w:pPr>
        <w:pStyle w:val="BodyText"/>
        <w:spacing w:before="109" w:line="261" w:lineRule="auto"/>
        <w:ind w:left="508" w:right="803"/>
      </w:pPr>
      <w:r w:rsidRPr="00EB2BD8">
        <w:t>The VBA’s online exam offering expanded to include a trial</w:t>
      </w:r>
      <w:r w:rsidRPr="00EB2BD8">
        <w:rPr>
          <w:spacing w:val="-10"/>
        </w:rPr>
        <w:t xml:space="preserve"> </w:t>
      </w:r>
      <w:r w:rsidRPr="00EB2BD8">
        <w:t>for</w:t>
      </w:r>
      <w:r w:rsidRPr="00EB2BD8">
        <w:rPr>
          <w:spacing w:val="-10"/>
        </w:rPr>
        <w:t xml:space="preserve"> </w:t>
      </w:r>
      <w:r w:rsidRPr="00EB2BD8">
        <w:t>plumbing</w:t>
      </w:r>
      <w:r w:rsidRPr="00EB2BD8">
        <w:rPr>
          <w:spacing w:val="-10"/>
        </w:rPr>
        <w:t xml:space="preserve"> </w:t>
      </w:r>
      <w:r w:rsidRPr="00EB2BD8">
        <w:t>licence</w:t>
      </w:r>
      <w:r w:rsidRPr="00EB2BD8">
        <w:rPr>
          <w:spacing w:val="-10"/>
        </w:rPr>
        <w:t xml:space="preserve"> </w:t>
      </w:r>
      <w:r w:rsidRPr="00EB2BD8">
        <w:t>assessments.</w:t>
      </w:r>
      <w:r w:rsidRPr="00EB2BD8">
        <w:rPr>
          <w:spacing w:val="-10"/>
        </w:rPr>
        <w:t xml:space="preserve"> </w:t>
      </w:r>
      <w:r w:rsidRPr="00EB2BD8">
        <w:t>Conducted</w:t>
      </w:r>
      <w:r w:rsidRPr="00EB2BD8">
        <w:rPr>
          <w:spacing w:val="-10"/>
        </w:rPr>
        <w:t xml:space="preserve"> </w:t>
      </w:r>
      <w:r w:rsidRPr="00EB2BD8">
        <w:t>from November</w:t>
      </w:r>
      <w:r w:rsidRPr="00EB2BD8">
        <w:rPr>
          <w:spacing w:val="-4"/>
        </w:rPr>
        <w:t xml:space="preserve"> </w:t>
      </w:r>
      <w:r w:rsidRPr="00EB2BD8">
        <w:t>2022</w:t>
      </w:r>
      <w:r w:rsidRPr="00EB2BD8">
        <w:rPr>
          <w:spacing w:val="-4"/>
        </w:rPr>
        <w:t xml:space="preserve"> </w:t>
      </w:r>
      <w:r w:rsidRPr="00EB2BD8">
        <w:t>to</w:t>
      </w:r>
      <w:r w:rsidRPr="00EB2BD8">
        <w:rPr>
          <w:spacing w:val="-4"/>
        </w:rPr>
        <w:t xml:space="preserve"> </w:t>
      </w:r>
      <w:r w:rsidRPr="00EB2BD8">
        <w:t>May</w:t>
      </w:r>
      <w:r w:rsidRPr="00EB2BD8">
        <w:rPr>
          <w:spacing w:val="-4"/>
        </w:rPr>
        <w:t xml:space="preserve"> </w:t>
      </w:r>
      <w:r w:rsidRPr="00EB2BD8">
        <w:t>2023,</w:t>
      </w:r>
      <w:r w:rsidRPr="00EB2BD8">
        <w:rPr>
          <w:spacing w:val="-4"/>
        </w:rPr>
        <w:t xml:space="preserve"> </w:t>
      </w:r>
      <w:r w:rsidRPr="00EB2BD8">
        <w:t>the</w:t>
      </w:r>
      <w:r w:rsidRPr="00EB2BD8">
        <w:rPr>
          <w:spacing w:val="-4"/>
        </w:rPr>
        <w:t xml:space="preserve"> </w:t>
      </w:r>
      <w:r w:rsidRPr="00EB2BD8">
        <w:t>trial</w:t>
      </w:r>
      <w:r w:rsidRPr="00EB2BD8">
        <w:rPr>
          <w:spacing w:val="-4"/>
        </w:rPr>
        <w:t xml:space="preserve"> </w:t>
      </w:r>
      <w:r w:rsidRPr="00EB2BD8">
        <w:t>utilised</w:t>
      </w:r>
      <w:r w:rsidRPr="00EB2BD8">
        <w:rPr>
          <w:spacing w:val="-4"/>
        </w:rPr>
        <w:t xml:space="preserve"> </w:t>
      </w:r>
      <w:r w:rsidRPr="00EB2BD8">
        <w:t>a</w:t>
      </w:r>
      <w:r w:rsidRPr="00EB2BD8">
        <w:rPr>
          <w:spacing w:val="-4"/>
        </w:rPr>
        <w:t xml:space="preserve"> </w:t>
      </w:r>
      <w:r w:rsidRPr="00EB2BD8">
        <w:t>suite</w:t>
      </w:r>
    </w:p>
    <w:p w14:paraId="607C05CE" w14:textId="77777777" w:rsidR="00084F36" w:rsidRPr="00EB2BD8" w:rsidRDefault="00EB2BD8">
      <w:pPr>
        <w:pStyle w:val="BodyText"/>
        <w:spacing w:line="261" w:lineRule="auto"/>
        <w:ind w:left="508" w:right="1032"/>
      </w:pPr>
      <w:r w:rsidRPr="00EB2BD8">
        <w:t>of</w:t>
      </w:r>
      <w:r w:rsidRPr="00EB2BD8">
        <w:rPr>
          <w:spacing w:val="-3"/>
        </w:rPr>
        <w:t xml:space="preserve"> </w:t>
      </w:r>
      <w:r w:rsidRPr="00EB2BD8">
        <w:t>exams</w:t>
      </w:r>
      <w:r w:rsidRPr="00EB2BD8">
        <w:rPr>
          <w:spacing w:val="-3"/>
        </w:rPr>
        <w:t xml:space="preserve"> </w:t>
      </w:r>
      <w:r w:rsidRPr="00EB2BD8">
        <w:t>for</w:t>
      </w:r>
      <w:r w:rsidRPr="00EB2BD8">
        <w:rPr>
          <w:spacing w:val="-3"/>
        </w:rPr>
        <w:t xml:space="preserve"> </w:t>
      </w:r>
      <w:r w:rsidRPr="00EB2BD8">
        <w:t>all</w:t>
      </w:r>
      <w:r w:rsidRPr="00EB2BD8">
        <w:rPr>
          <w:spacing w:val="-3"/>
        </w:rPr>
        <w:t xml:space="preserve"> </w:t>
      </w:r>
      <w:r w:rsidRPr="00EB2BD8">
        <w:t>main</w:t>
      </w:r>
      <w:r w:rsidRPr="00EB2BD8">
        <w:rPr>
          <w:spacing w:val="-3"/>
        </w:rPr>
        <w:t xml:space="preserve"> </w:t>
      </w:r>
      <w:r w:rsidRPr="00EB2BD8">
        <w:t>plumbing</w:t>
      </w:r>
      <w:r w:rsidRPr="00EB2BD8">
        <w:rPr>
          <w:spacing w:val="-3"/>
        </w:rPr>
        <w:t xml:space="preserve"> </w:t>
      </w:r>
      <w:r w:rsidRPr="00EB2BD8">
        <w:t>classes,</w:t>
      </w:r>
      <w:r w:rsidRPr="00EB2BD8">
        <w:rPr>
          <w:spacing w:val="-3"/>
        </w:rPr>
        <w:t xml:space="preserve"> </w:t>
      </w:r>
      <w:r w:rsidRPr="00EB2BD8">
        <w:t>with</w:t>
      </w:r>
      <w:r w:rsidRPr="00EB2BD8">
        <w:rPr>
          <w:spacing w:val="-3"/>
        </w:rPr>
        <w:t xml:space="preserve"> </w:t>
      </w:r>
      <w:r w:rsidRPr="00EB2BD8">
        <w:t>a</w:t>
      </w:r>
      <w:r w:rsidRPr="00EB2BD8">
        <w:rPr>
          <w:spacing w:val="-3"/>
        </w:rPr>
        <w:t xml:space="preserve"> </w:t>
      </w:r>
      <w:r w:rsidRPr="00EB2BD8">
        <w:t>focus on developing new exam collateral that was suitable for</w:t>
      </w:r>
      <w:r w:rsidRPr="00EB2BD8">
        <w:rPr>
          <w:spacing w:val="-10"/>
        </w:rPr>
        <w:t xml:space="preserve"> </w:t>
      </w:r>
      <w:r w:rsidRPr="00EB2BD8">
        <w:t>an</w:t>
      </w:r>
      <w:r w:rsidRPr="00EB2BD8">
        <w:rPr>
          <w:spacing w:val="-10"/>
        </w:rPr>
        <w:t xml:space="preserve"> </w:t>
      </w:r>
      <w:r w:rsidRPr="00EB2BD8">
        <w:t>online</w:t>
      </w:r>
      <w:r w:rsidRPr="00EB2BD8">
        <w:rPr>
          <w:spacing w:val="-10"/>
        </w:rPr>
        <w:t xml:space="preserve"> </w:t>
      </w:r>
      <w:r w:rsidRPr="00EB2BD8">
        <w:t>format.</w:t>
      </w:r>
      <w:r w:rsidRPr="00EB2BD8">
        <w:rPr>
          <w:spacing w:val="-10"/>
        </w:rPr>
        <w:t xml:space="preserve"> </w:t>
      </w:r>
      <w:r w:rsidRPr="00EB2BD8">
        <w:t>The</w:t>
      </w:r>
      <w:r w:rsidRPr="00EB2BD8">
        <w:rPr>
          <w:spacing w:val="-10"/>
        </w:rPr>
        <w:t xml:space="preserve"> </w:t>
      </w:r>
      <w:r w:rsidRPr="00EB2BD8">
        <w:t>trial</w:t>
      </w:r>
      <w:r w:rsidRPr="00EB2BD8">
        <w:rPr>
          <w:spacing w:val="-10"/>
        </w:rPr>
        <w:t xml:space="preserve"> </w:t>
      </w:r>
      <w:r w:rsidRPr="00EB2BD8">
        <w:t>at</w:t>
      </w:r>
      <w:r w:rsidRPr="00EB2BD8">
        <w:rPr>
          <w:spacing w:val="-10"/>
        </w:rPr>
        <w:t xml:space="preserve"> </w:t>
      </w:r>
      <w:r w:rsidRPr="00EB2BD8">
        <w:t>a</w:t>
      </w:r>
      <w:r w:rsidRPr="00EB2BD8">
        <w:rPr>
          <w:spacing w:val="-10"/>
        </w:rPr>
        <w:t xml:space="preserve"> </w:t>
      </w:r>
      <w:r w:rsidRPr="00EB2BD8">
        <w:t>registered</w:t>
      </w:r>
      <w:r w:rsidRPr="00EB2BD8">
        <w:rPr>
          <w:spacing w:val="-10"/>
        </w:rPr>
        <w:t xml:space="preserve"> </w:t>
      </w:r>
      <w:r w:rsidRPr="00EB2BD8">
        <w:t>training organisation and at VBA premises, was undertaken for Gasfitting, Roofing, Drainage and Water Supply</w:t>
      </w:r>
    </w:p>
    <w:p w14:paraId="10F7ACD2" w14:textId="77777777" w:rsidR="00084F36" w:rsidRPr="00EB2BD8" w:rsidRDefault="00EB2BD8">
      <w:pPr>
        <w:pStyle w:val="BodyText"/>
        <w:spacing w:line="261" w:lineRule="auto"/>
        <w:ind w:left="508" w:right="803"/>
      </w:pPr>
      <w:r w:rsidRPr="00EB2BD8">
        <w:t>exams.</w:t>
      </w:r>
      <w:r w:rsidRPr="00EB2BD8">
        <w:rPr>
          <w:spacing w:val="-5"/>
        </w:rPr>
        <w:t xml:space="preserve"> </w:t>
      </w:r>
      <w:r w:rsidRPr="00EB2BD8">
        <w:t>Trial</w:t>
      </w:r>
      <w:r w:rsidRPr="00EB2BD8">
        <w:rPr>
          <w:spacing w:val="-5"/>
        </w:rPr>
        <w:t xml:space="preserve"> </w:t>
      </w:r>
      <w:r w:rsidRPr="00EB2BD8">
        <w:t>candidates</w:t>
      </w:r>
      <w:r w:rsidRPr="00EB2BD8">
        <w:rPr>
          <w:spacing w:val="-5"/>
        </w:rPr>
        <w:t xml:space="preserve"> </w:t>
      </w:r>
      <w:r w:rsidRPr="00EB2BD8">
        <w:t>provided</w:t>
      </w:r>
      <w:r w:rsidRPr="00EB2BD8">
        <w:rPr>
          <w:spacing w:val="-5"/>
        </w:rPr>
        <w:t xml:space="preserve"> </w:t>
      </w:r>
      <w:r w:rsidRPr="00EB2BD8">
        <w:t>positive</w:t>
      </w:r>
      <w:r w:rsidRPr="00EB2BD8">
        <w:rPr>
          <w:spacing w:val="-5"/>
        </w:rPr>
        <w:t xml:space="preserve"> </w:t>
      </w:r>
      <w:r w:rsidRPr="00EB2BD8">
        <w:t>feedback</w:t>
      </w:r>
      <w:r w:rsidRPr="00EB2BD8">
        <w:rPr>
          <w:spacing w:val="-5"/>
        </w:rPr>
        <w:t xml:space="preserve"> </w:t>
      </w:r>
      <w:r w:rsidRPr="00EB2BD8">
        <w:t>on the online exam format and presentation, with results returned to applicants sooner because of automatic exam</w:t>
      </w:r>
      <w:r w:rsidRPr="00EB2BD8">
        <w:rPr>
          <w:spacing w:val="-9"/>
        </w:rPr>
        <w:t xml:space="preserve"> </w:t>
      </w:r>
      <w:r w:rsidRPr="00EB2BD8">
        <w:t>marketing.</w:t>
      </w:r>
      <w:r w:rsidRPr="00EB2BD8">
        <w:rPr>
          <w:spacing w:val="-9"/>
        </w:rPr>
        <w:t xml:space="preserve"> </w:t>
      </w:r>
      <w:r w:rsidRPr="00EB2BD8">
        <w:t>The</w:t>
      </w:r>
      <w:r w:rsidRPr="00EB2BD8">
        <w:rPr>
          <w:spacing w:val="-9"/>
        </w:rPr>
        <w:t xml:space="preserve"> </w:t>
      </w:r>
      <w:r w:rsidRPr="00EB2BD8">
        <w:t>VBA</w:t>
      </w:r>
      <w:r w:rsidRPr="00EB2BD8">
        <w:rPr>
          <w:spacing w:val="-9"/>
        </w:rPr>
        <w:t xml:space="preserve"> </w:t>
      </w:r>
      <w:r w:rsidRPr="00EB2BD8">
        <w:t>expects</w:t>
      </w:r>
      <w:r w:rsidRPr="00EB2BD8">
        <w:rPr>
          <w:spacing w:val="-9"/>
        </w:rPr>
        <w:t xml:space="preserve"> </w:t>
      </w:r>
      <w:r w:rsidRPr="00EB2BD8">
        <w:t>to</w:t>
      </w:r>
      <w:r w:rsidRPr="00EB2BD8">
        <w:rPr>
          <w:spacing w:val="-9"/>
        </w:rPr>
        <w:t xml:space="preserve"> </w:t>
      </w:r>
      <w:r w:rsidRPr="00EB2BD8">
        <w:t>expand</w:t>
      </w:r>
      <w:r w:rsidRPr="00EB2BD8">
        <w:rPr>
          <w:spacing w:val="-9"/>
        </w:rPr>
        <w:t xml:space="preserve"> </w:t>
      </w:r>
      <w:r w:rsidRPr="00EB2BD8">
        <w:t>its</w:t>
      </w:r>
      <w:r w:rsidRPr="00EB2BD8">
        <w:rPr>
          <w:spacing w:val="-9"/>
        </w:rPr>
        <w:t xml:space="preserve"> </w:t>
      </w:r>
      <w:r w:rsidRPr="00EB2BD8">
        <w:t>online exam offering in 2023-24.</w:t>
      </w:r>
    </w:p>
    <w:p w14:paraId="08ADA6DF"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2" w:space="720" w:equalWidth="0">
            <w:col w:w="5656" w:space="40"/>
            <w:col w:w="6214"/>
          </w:cols>
        </w:sectPr>
      </w:pPr>
    </w:p>
    <w:p w14:paraId="08E75D6E" w14:textId="77777777" w:rsidR="00084F36" w:rsidRPr="00EB2BD8" w:rsidRDefault="00084F36">
      <w:pPr>
        <w:pStyle w:val="BodyText"/>
        <w:rPr>
          <w:sz w:val="20"/>
        </w:rPr>
      </w:pPr>
    </w:p>
    <w:p w14:paraId="2EF80314" w14:textId="77777777" w:rsidR="00084F36" w:rsidRPr="00EB2BD8" w:rsidRDefault="00084F36">
      <w:pPr>
        <w:pStyle w:val="BodyText"/>
        <w:rPr>
          <w:sz w:val="20"/>
        </w:rPr>
      </w:pPr>
    </w:p>
    <w:p w14:paraId="7B9ADFFE" w14:textId="77777777" w:rsidR="00084F36" w:rsidRPr="00EB2BD8" w:rsidRDefault="00084F36">
      <w:pPr>
        <w:pStyle w:val="BodyText"/>
        <w:rPr>
          <w:sz w:val="20"/>
        </w:rPr>
      </w:pPr>
    </w:p>
    <w:p w14:paraId="7F900948" w14:textId="77777777" w:rsidR="00084F36" w:rsidRPr="00EB2BD8" w:rsidRDefault="00084F36">
      <w:pPr>
        <w:pStyle w:val="BodyText"/>
        <w:spacing w:before="6"/>
        <w:rPr>
          <w:sz w:val="29"/>
        </w:rPr>
      </w:pPr>
    </w:p>
    <w:p w14:paraId="53C112A8" w14:textId="77777777" w:rsidR="00084F36" w:rsidRPr="00EB2BD8" w:rsidRDefault="00084F36">
      <w:pPr>
        <w:rPr>
          <w:sz w:val="29"/>
        </w:rPr>
        <w:sectPr w:rsidR="00084F36" w:rsidRPr="00EB2BD8" w:rsidSect="006D75B2">
          <w:footerReference w:type="default" r:id="rId85"/>
          <w:pgSz w:w="11910" w:h="16840"/>
          <w:pgMar w:top="1100" w:right="0" w:bottom="700" w:left="0" w:header="0" w:footer="515" w:gutter="0"/>
          <w:cols w:space="720"/>
        </w:sectPr>
      </w:pPr>
    </w:p>
    <w:p w14:paraId="30F5887B" w14:textId="77777777" w:rsidR="00084F36" w:rsidRPr="00EB2BD8" w:rsidRDefault="00EB2BD8" w:rsidP="001975DF">
      <w:pPr>
        <w:pStyle w:val="Heading2"/>
      </w:pPr>
      <w:bookmarkStart w:id="91" w:name="_Toc150762393"/>
      <w:r w:rsidRPr="00EB2BD8">
        <w:t xml:space="preserve">VRQA Memorandum of </w:t>
      </w:r>
      <w:r w:rsidRPr="00EB2BD8">
        <w:rPr>
          <w:spacing w:val="-4"/>
        </w:rPr>
        <w:t>Understanding</w:t>
      </w:r>
      <w:r w:rsidRPr="00EB2BD8">
        <w:rPr>
          <w:spacing w:val="-22"/>
        </w:rPr>
        <w:t xml:space="preserve"> </w:t>
      </w:r>
      <w:r w:rsidRPr="00EB2BD8">
        <w:rPr>
          <w:spacing w:val="-4"/>
        </w:rPr>
        <w:t>to</w:t>
      </w:r>
      <w:r w:rsidRPr="00EB2BD8">
        <w:rPr>
          <w:spacing w:val="-22"/>
        </w:rPr>
        <w:t xml:space="preserve"> </w:t>
      </w:r>
      <w:r w:rsidRPr="00EB2BD8">
        <w:rPr>
          <w:spacing w:val="-4"/>
        </w:rPr>
        <w:t>share</w:t>
      </w:r>
      <w:r w:rsidRPr="00EB2BD8">
        <w:rPr>
          <w:spacing w:val="-22"/>
        </w:rPr>
        <w:t xml:space="preserve"> </w:t>
      </w:r>
      <w:r w:rsidRPr="00EB2BD8">
        <w:rPr>
          <w:spacing w:val="-4"/>
        </w:rPr>
        <w:t xml:space="preserve">data </w:t>
      </w:r>
      <w:r w:rsidRPr="00EB2BD8">
        <w:t>between</w:t>
      </w:r>
      <w:r w:rsidRPr="00EB2BD8">
        <w:rPr>
          <w:spacing w:val="-11"/>
        </w:rPr>
        <w:t xml:space="preserve"> </w:t>
      </w:r>
      <w:r w:rsidRPr="00EB2BD8">
        <w:t>the</w:t>
      </w:r>
      <w:r w:rsidRPr="00EB2BD8">
        <w:rPr>
          <w:spacing w:val="-11"/>
        </w:rPr>
        <w:t xml:space="preserve"> </w:t>
      </w:r>
      <w:r w:rsidRPr="00EB2BD8">
        <w:t>VBA</w:t>
      </w:r>
      <w:r w:rsidRPr="00EB2BD8">
        <w:rPr>
          <w:spacing w:val="-11"/>
        </w:rPr>
        <w:t xml:space="preserve"> </w:t>
      </w:r>
      <w:r w:rsidRPr="00EB2BD8">
        <w:t>and</w:t>
      </w:r>
      <w:r w:rsidRPr="00EB2BD8">
        <w:rPr>
          <w:spacing w:val="-11"/>
        </w:rPr>
        <w:t xml:space="preserve"> </w:t>
      </w:r>
      <w:r w:rsidRPr="00EB2BD8">
        <w:t>VRQA supporting apprentices</w:t>
      </w:r>
      <w:bookmarkEnd w:id="91"/>
    </w:p>
    <w:p w14:paraId="56819B2B" w14:textId="77777777" w:rsidR="00084F36" w:rsidRPr="00EB2BD8" w:rsidRDefault="00EB2BD8">
      <w:pPr>
        <w:pStyle w:val="BodyText"/>
        <w:spacing w:before="174" w:line="261" w:lineRule="auto"/>
        <w:ind w:left="850"/>
      </w:pPr>
      <w:r w:rsidRPr="00EB2BD8">
        <w:t>To assist the VBA to administer the registration and licensing</w:t>
      </w:r>
      <w:r w:rsidRPr="00EB2BD8">
        <w:rPr>
          <w:spacing w:val="-11"/>
        </w:rPr>
        <w:t xml:space="preserve"> </w:t>
      </w:r>
      <w:r w:rsidRPr="00EB2BD8">
        <w:t>schemes</w:t>
      </w:r>
      <w:r w:rsidRPr="00EB2BD8">
        <w:rPr>
          <w:spacing w:val="-11"/>
        </w:rPr>
        <w:t xml:space="preserve"> </w:t>
      </w:r>
      <w:r w:rsidRPr="00EB2BD8">
        <w:t>for</w:t>
      </w:r>
      <w:r w:rsidRPr="00EB2BD8">
        <w:rPr>
          <w:spacing w:val="-11"/>
        </w:rPr>
        <w:t xml:space="preserve"> </w:t>
      </w:r>
      <w:r w:rsidRPr="00EB2BD8">
        <w:t>building,</w:t>
      </w:r>
      <w:r w:rsidRPr="00EB2BD8">
        <w:rPr>
          <w:spacing w:val="-11"/>
        </w:rPr>
        <w:t xml:space="preserve"> </w:t>
      </w:r>
      <w:r w:rsidRPr="00EB2BD8">
        <w:t>plumbing</w:t>
      </w:r>
      <w:r w:rsidRPr="00EB2BD8">
        <w:rPr>
          <w:spacing w:val="-11"/>
        </w:rPr>
        <w:t xml:space="preserve"> </w:t>
      </w:r>
      <w:r w:rsidRPr="00EB2BD8">
        <w:t>and</w:t>
      </w:r>
      <w:r w:rsidRPr="00EB2BD8">
        <w:rPr>
          <w:spacing w:val="-11"/>
        </w:rPr>
        <w:t xml:space="preserve"> </w:t>
      </w:r>
      <w:r w:rsidRPr="00EB2BD8">
        <w:t>other</w:t>
      </w:r>
      <w:r w:rsidRPr="00EB2BD8">
        <w:rPr>
          <w:spacing w:val="-11"/>
        </w:rPr>
        <w:t xml:space="preserve"> </w:t>
      </w:r>
      <w:r w:rsidRPr="00EB2BD8">
        <w:t>trade practitioners and to better engage with apprentices, a Memorandum of Understanding (MoU) between the VBA and Victorian Registration and Qualifications Authority (VRQA) was executed on 28 March 2023.</w:t>
      </w:r>
    </w:p>
    <w:p w14:paraId="452A9B36" w14:textId="77777777" w:rsidR="00084F36" w:rsidRPr="00EB2BD8" w:rsidRDefault="00EB2BD8">
      <w:pPr>
        <w:pStyle w:val="BodyText"/>
        <w:spacing w:before="107" w:line="261" w:lineRule="auto"/>
        <w:ind w:left="850" w:right="386"/>
      </w:pPr>
      <w:r w:rsidRPr="00EB2BD8">
        <w:t>This has allowed for the exchange of information and data between the VBA and VRQA, as the VRQA</w:t>
      </w:r>
    </w:p>
    <w:p w14:paraId="0E913140" w14:textId="77777777" w:rsidR="00084F36" w:rsidRPr="00EB2BD8" w:rsidRDefault="00EB2BD8">
      <w:pPr>
        <w:pStyle w:val="BodyText"/>
        <w:spacing w:line="261" w:lineRule="auto"/>
        <w:ind w:left="850"/>
      </w:pPr>
      <w:r w:rsidRPr="00EB2BD8">
        <w:t>registers and regulates the Victorian apprenticeship and traineeship</w:t>
      </w:r>
      <w:r w:rsidRPr="00EB2BD8">
        <w:rPr>
          <w:spacing w:val="-6"/>
        </w:rPr>
        <w:t xml:space="preserve"> </w:t>
      </w:r>
      <w:r w:rsidRPr="00EB2BD8">
        <w:t>system.</w:t>
      </w:r>
    </w:p>
    <w:p w14:paraId="731B146D" w14:textId="77777777" w:rsidR="00084F36" w:rsidRPr="00EB2BD8" w:rsidRDefault="00084F36">
      <w:pPr>
        <w:pStyle w:val="BodyText"/>
        <w:spacing w:before="8"/>
        <w:rPr>
          <w:sz w:val="24"/>
        </w:rPr>
      </w:pPr>
    </w:p>
    <w:p w14:paraId="70EB91EE" w14:textId="77777777" w:rsidR="00084F36" w:rsidRPr="00EB2BD8" w:rsidRDefault="00EB2BD8" w:rsidP="00E13356">
      <w:pPr>
        <w:pStyle w:val="Heading3"/>
      </w:pPr>
      <w:bookmarkStart w:id="92" w:name="_Toc150762394"/>
      <w:r w:rsidRPr="00EB2BD8">
        <w:t xml:space="preserve">Examiner forecasting and enriching audits, </w:t>
      </w:r>
      <w:r w:rsidRPr="00EB2BD8">
        <w:rPr>
          <w:w w:val="105"/>
        </w:rPr>
        <w:t>inspections and compliance programs</w:t>
      </w:r>
      <w:bookmarkEnd w:id="92"/>
    </w:p>
    <w:p w14:paraId="184A4CE0" w14:textId="77777777" w:rsidR="00084F36" w:rsidRPr="00EB2BD8" w:rsidRDefault="00EB2BD8">
      <w:pPr>
        <w:pStyle w:val="BodyText"/>
        <w:spacing w:before="180" w:line="261" w:lineRule="auto"/>
        <w:ind w:left="850" w:right="193"/>
      </w:pPr>
      <w:r w:rsidRPr="00EB2BD8">
        <w:t>Additionally, the data supplied by VRQA will assist in understanding how many apprentices are nearing the completion of their apprenticeship. This enables the effective management of examiner resources, which are</w:t>
      </w:r>
      <w:r w:rsidRPr="00EB2BD8">
        <w:rPr>
          <w:spacing w:val="-3"/>
        </w:rPr>
        <w:t xml:space="preserve"> </w:t>
      </w:r>
      <w:r w:rsidRPr="00EB2BD8">
        <w:t>needed</w:t>
      </w:r>
      <w:r w:rsidRPr="00EB2BD8">
        <w:rPr>
          <w:spacing w:val="-3"/>
        </w:rPr>
        <w:t xml:space="preserve"> </w:t>
      </w:r>
      <w:r w:rsidRPr="00EB2BD8">
        <w:t>to</w:t>
      </w:r>
      <w:r w:rsidRPr="00EB2BD8">
        <w:rPr>
          <w:spacing w:val="-3"/>
        </w:rPr>
        <w:t xml:space="preserve"> </w:t>
      </w:r>
      <w:r w:rsidRPr="00EB2BD8">
        <w:t>support</w:t>
      </w:r>
      <w:r w:rsidRPr="00EB2BD8">
        <w:rPr>
          <w:spacing w:val="-3"/>
        </w:rPr>
        <w:t xml:space="preserve"> </w:t>
      </w:r>
      <w:r w:rsidRPr="00EB2BD8">
        <w:t>the</w:t>
      </w:r>
      <w:r w:rsidRPr="00EB2BD8">
        <w:rPr>
          <w:spacing w:val="-3"/>
        </w:rPr>
        <w:t xml:space="preserve"> </w:t>
      </w:r>
      <w:r w:rsidRPr="00EB2BD8">
        <w:t>assessment</w:t>
      </w:r>
      <w:r w:rsidRPr="00EB2BD8">
        <w:rPr>
          <w:spacing w:val="-3"/>
        </w:rPr>
        <w:t xml:space="preserve"> </w:t>
      </w:r>
      <w:r w:rsidRPr="00EB2BD8">
        <w:t>of</w:t>
      </w:r>
      <w:r w:rsidRPr="00EB2BD8">
        <w:rPr>
          <w:spacing w:val="-3"/>
        </w:rPr>
        <w:t xml:space="preserve"> </w:t>
      </w:r>
      <w:r w:rsidRPr="00EB2BD8">
        <w:t>applicants</w:t>
      </w:r>
      <w:r w:rsidRPr="00EB2BD8">
        <w:rPr>
          <w:spacing w:val="-3"/>
        </w:rPr>
        <w:t xml:space="preserve"> </w:t>
      </w:r>
      <w:r w:rsidRPr="00EB2BD8">
        <w:t>in the Apprentice Registration Exam, conducted at each Registered Training Organisation (RTO). This MoU will also provide the VBA and VRQA with an opportunity</w:t>
      </w:r>
    </w:p>
    <w:p w14:paraId="7573F920" w14:textId="77777777" w:rsidR="00084F36" w:rsidRPr="00EB2BD8" w:rsidRDefault="00EB2BD8">
      <w:pPr>
        <w:pStyle w:val="BodyText"/>
        <w:spacing w:line="261" w:lineRule="auto"/>
        <w:ind w:left="850" w:right="193"/>
      </w:pPr>
      <w:r w:rsidRPr="00EB2BD8">
        <w:t>to invest and collaborate in proactive and reactive inspection opportunities and VRQA’s participation in multi-agency</w:t>
      </w:r>
      <w:r w:rsidRPr="00EB2BD8">
        <w:rPr>
          <w:spacing w:val="-2"/>
        </w:rPr>
        <w:t xml:space="preserve"> </w:t>
      </w:r>
      <w:r w:rsidRPr="00EB2BD8">
        <w:t>enforcement</w:t>
      </w:r>
      <w:r w:rsidRPr="00EB2BD8">
        <w:rPr>
          <w:spacing w:val="-2"/>
        </w:rPr>
        <w:t xml:space="preserve"> </w:t>
      </w:r>
      <w:r w:rsidRPr="00EB2BD8">
        <w:t>initiatives,</w:t>
      </w:r>
      <w:r w:rsidRPr="00EB2BD8">
        <w:rPr>
          <w:spacing w:val="-2"/>
        </w:rPr>
        <w:t xml:space="preserve"> </w:t>
      </w:r>
      <w:r w:rsidRPr="00EB2BD8">
        <w:t>such</w:t>
      </w:r>
      <w:r w:rsidRPr="00EB2BD8">
        <w:rPr>
          <w:spacing w:val="-2"/>
        </w:rPr>
        <w:t xml:space="preserve"> </w:t>
      </w:r>
      <w:r w:rsidRPr="00EB2BD8">
        <w:t>as</w:t>
      </w:r>
      <w:r w:rsidRPr="00EB2BD8">
        <w:rPr>
          <w:spacing w:val="-2"/>
        </w:rPr>
        <w:t xml:space="preserve"> </w:t>
      </w:r>
      <w:r w:rsidRPr="00EB2BD8">
        <w:t>the</w:t>
      </w:r>
      <w:r w:rsidRPr="00EB2BD8">
        <w:rPr>
          <w:spacing w:val="-2"/>
        </w:rPr>
        <w:t xml:space="preserve"> </w:t>
      </w:r>
      <w:r w:rsidRPr="00EB2BD8">
        <w:t>Build Aware</w:t>
      </w:r>
      <w:r w:rsidRPr="00EB2BD8">
        <w:rPr>
          <w:spacing w:val="-6"/>
        </w:rPr>
        <w:t xml:space="preserve"> </w:t>
      </w:r>
      <w:r w:rsidRPr="00EB2BD8">
        <w:t>campaign.</w:t>
      </w:r>
    </w:p>
    <w:p w14:paraId="7D2932F6" w14:textId="3D1B967C" w:rsidR="00084F36" w:rsidRPr="00EB2BD8" w:rsidRDefault="00EB2BD8" w:rsidP="00C1767B">
      <w:pPr>
        <w:pStyle w:val="Heading2"/>
        <w:ind w:left="294"/>
      </w:pPr>
      <w:r w:rsidRPr="00EB2BD8">
        <w:br w:type="column"/>
      </w:r>
      <w:bookmarkStart w:id="93" w:name="_Toc150762395"/>
      <w:r w:rsidRPr="00EB2BD8">
        <w:t>Digital</w:t>
      </w:r>
      <w:r w:rsidRPr="00EB2BD8">
        <w:rPr>
          <w:spacing w:val="-14"/>
        </w:rPr>
        <w:t xml:space="preserve"> </w:t>
      </w:r>
      <w:r w:rsidRPr="00EB2BD8">
        <w:t>Renewal</w:t>
      </w:r>
      <w:r w:rsidRPr="00EB2BD8">
        <w:rPr>
          <w:spacing w:val="-14"/>
        </w:rPr>
        <w:t xml:space="preserve"> </w:t>
      </w:r>
      <w:r w:rsidRPr="00EB2BD8">
        <w:t>program</w:t>
      </w:r>
      <w:r w:rsidRPr="00EB2BD8">
        <w:rPr>
          <w:spacing w:val="-14"/>
        </w:rPr>
        <w:t xml:space="preserve"> </w:t>
      </w:r>
      <w:r w:rsidR="00C1767B">
        <w:rPr>
          <w:spacing w:val="-14"/>
        </w:rPr>
        <w:br/>
      </w:r>
      <w:r w:rsidRPr="00EB2BD8">
        <w:t>continues</w:t>
      </w:r>
      <w:bookmarkEnd w:id="93"/>
    </w:p>
    <w:p w14:paraId="30950EC4" w14:textId="77777777" w:rsidR="00084F36" w:rsidRPr="00EB2BD8" w:rsidRDefault="00EB2BD8">
      <w:pPr>
        <w:pStyle w:val="BodyText"/>
        <w:spacing w:before="128" w:line="261" w:lineRule="auto"/>
        <w:ind w:left="294" w:right="659"/>
      </w:pPr>
      <w:r w:rsidRPr="00EB2BD8">
        <w:rPr>
          <w:spacing w:val="-2"/>
        </w:rPr>
        <w:t>In</w:t>
      </w:r>
      <w:r w:rsidRPr="00EB2BD8">
        <w:rPr>
          <w:spacing w:val="-11"/>
        </w:rPr>
        <w:t xml:space="preserve"> </w:t>
      </w:r>
      <w:r w:rsidRPr="00EB2BD8">
        <w:rPr>
          <w:spacing w:val="-2"/>
        </w:rPr>
        <w:t>2022-23,</w:t>
      </w:r>
      <w:r w:rsidRPr="00EB2BD8">
        <w:rPr>
          <w:spacing w:val="-11"/>
        </w:rPr>
        <w:t xml:space="preserve"> </w:t>
      </w:r>
      <w:r w:rsidRPr="00EB2BD8">
        <w:rPr>
          <w:spacing w:val="-2"/>
        </w:rPr>
        <w:t>the</w:t>
      </w:r>
      <w:r w:rsidRPr="00EB2BD8">
        <w:rPr>
          <w:spacing w:val="-11"/>
        </w:rPr>
        <w:t xml:space="preserve"> </w:t>
      </w:r>
      <w:r w:rsidRPr="00EB2BD8">
        <w:rPr>
          <w:spacing w:val="-2"/>
        </w:rPr>
        <w:t>VBA</w:t>
      </w:r>
      <w:r w:rsidRPr="00EB2BD8">
        <w:rPr>
          <w:spacing w:val="-11"/>
        </w:rPr>
        <w:t xml:space="preserve"> </w:t>
      </w:r>
      <w:r w:rsidRPr="00EB2BD8">
        <w:rPr>
          <w:spacing w:val="-2"/>
        </w:rPr>
        <w:t>continued</w:t>
      </w:r>
      <w:r w:rsidRPr="00EB2BD8">
        <w:rPr>
          <w:spacing w:val="-11"/>
        </w:rPr>
        <w:t xml:space="preserve"> </w:t>
      </w:r>
      <w:r w:rsidRPr="00EB2BD8">
        <w:rPr>
          <w:spacing w:val="-2"/>
        </w:rPr>
        <w:t>its</w:t>
      </w:r>
      <w:r w:rsidRPr="00EB2BD8">
        <w:rPr>
          <w:spacing w:val="-11"/>
        </w:rPr>
        <w:t xml:space="preserve"> </w:t>
      </w:r>
      <w:r w:rsidRPr="00EB2BD8">
        <w:rPr>
          <w:spacing w:val="-2"/>
        </w:rPr>
        <w:t>digital</w:t>
      </w:r>
      <w:r w:rsidRPr="00EB2BD8">
        <w:rPr>
          <w:spacing w:val="-11"/>
        </w:rPr>
        <w:t xml:space="preserve"> </w:t>
      </w:r>
      <w:r w:rsidRPr="00EB2BD8">
        <w:rPr>
          <w:spacing w:val="-2"/>
        </w:rPr>
        <w:t>renewal</w:t>
      </w:r>
      <w:r w:rsidRPr="00EB2BD8">
        <w:rPr>
          <w:spacing w:val="-11"/>
        </w:rPr>
        <w:t xml:space="preserve"> </w:t>
      </w:r>
      <w:r w:rsidRPr="00EB2BD8">
        <w:rPr>
          <w:spacing w:val="-2"/>
        </w:rPr>
        <w:t xml:space="preserve">program. </w:t>
      </w:r>
      <w:r w:rsidRPr="00EB2BD8">
        <w:t>The consumer interactions that have been digitalised include more online exam options, a new Channel Management System for voice calls and emails, new plumbing practitioner and licensee search function,</w:t>
      </w:r>
    </w:p>
    <w:p w14:paraId="6164315E" w14:textId="77777777" w:rsidR="00084F36" w:rsidRPr="00EB2BD8" w:rsidRDefault="00EB2BD8">
      <w:pPr>
        <w:pStyle w:val="BodyText"/>
        <w:spacing w:line="261" w:lineRule="auto"/>
        <w:ind w:left="294" w:right="659"/>
      </w:pPr>
      <w:r w:rsidRPr="00EB2BD8">
        <w:t>a</w:t>
      </w:r>
      <w:r w:rsidRPr="00EB2BD8">
        <w:rPr>
          <w:spacing w:val="-10"/>
        </w:rPr>
        <w:t xml:space="preserve"> </w:t>
      </w:r>
      <w:r w:rsidRPr="00EB2BD8">
        <w:t>pilot</w:t>
      </w:r>
      <w:r w:rsidRPr="00EB2BD8">
        <w:rPr>
          <w:spacing w:val="-10"/>
        </w:rPr>
        <w:t xml:space="preserve"> </w:t>
      </w:r>
      <w:r w:rsidRPr="00EB2BD8">
        <w:t>of</w:t>
      </w:r>
      <w:r w:rsidRPr="00EB2BD8">
        <w:rPr>
          <w:spacing w:val="-10"/>
        </w:rPr>
        <w:t xml:space="preserve"> </w:t>
      </w:r>
      <w:r w:rsidRPr="00EB2BD8">
        <w:t>new</w:t>
      </w:r>
      <w:r w:rsidRPr="00EB2BD8">
        <w:rPr>
          <w:spacing w:val="-10"/>
        </w:rPr>
        <w:t xml:space="preserve"> </w:t>
      </w:r>
      <w:r w:rsidRPr="00EB2BD8">
        <w:t>online</w:t>
      </w:r>
      <w:r w:rsidRPr="00EB2BD8">
        <w:rPr>
          <w:spacing w:val="-10"/>
        </w:rPr>
        <w:t xml:space="preserve"> </w:t>
      </w:r>
      <w:r w:rsidRPr="00EB2BD8">
        <w:t>interactive</w:t>
      </w:r>
      <w:r w:rsidRPr="00EB2BD8">
        <w:rPr>
          <w:spacing w:val="-10"/>
        </w:rPr>
        <w:t xml:space="preserve"> </w:t>
      </w:r>
      <w:r w:rsidRPr="00EB2BD8">
        <w:t>forms</w:t>
      </w:r>
      <w:r w:rsidRPr="00EB2BD8">
        <w:rPr>
          <w:spacing w:val="-10"/>
        </w:rPr>
        <w:t xml:space="preserve"> </w:t>
      </w:r>
      <w:r w:rsidRPr="00EB2BD8">
        <w:t>and</w:t>
      </w:r>
      <w:r w:rsidRPr="00EB2BD8">
        <w:rPr>
          <w:spacing w:val="-10"/>
        </w:rPr>
        <w:t xml:space="preserve"> </w:t>
      </w:r>
      <w:r w:rsidRPr="00EB2BD8">
        <w:t>portal</w:t>
      </w:r>
      <w:r w:rsidRPr="00EB2BD8">
        <w:rPr>
          <w:spacing w:val="-10"/>
        </w:rPr>
        <w:t xml:space="preserve"> </w:t>
      </w:r>
      <w:r w:rsidRPr="00EB2BD8">
        <w:t>for building</w:t>
      </w:r>
      <w:r w:rsidRPr="00EB2BD8">
        <w:rPr>
          <w:spacing w:val="-6"/>
        </w:rPr>
        <w:t xml:space="preserve"> </w:t>
      </w:r>
      <w:r w:rsidRPr="00EB2BD8">
        <w:t>practitioners.</w:t>
      </w:r>
    </w:p>
    <w:p w14:paraId="5BC6DDE1" w14:textId="77777777" w:rsidR="00084F36" w:rsidRPr="00EB2BD8" w:rsidRDefault="00EB2BD8">
      <w:pPr>
        <w:pStyle w:val="BodyText"/>
        <w:spacing w:before="107" w:line="261" w:lineRule="auto"/>
        <w:ind w:left="294" w:right="822"/>
      </w:pPr>
      <w:r w:rsidRPr="00EB2BD8">
        <w:t>The licensing and registration processes for building practitioners have been developed onto the VBA consolidated regulatory platform based on Salesforce. This has been tested and will be scheduled for final migration around other key events such as five-year renewals and the end of financial year reporting. The management of Automatic Mutual Recognition (AMR) practitioners has commenced development on the</w:t>
      </w:r>
      <w:r w:rsidRPr="00EB2BD8">
        <w:rPr>
          <w:spacing w:val="80"/>
        </w:rPr>
        <w:t xml:space="preserve"> </w:t>
      </w:r>
      <w:r w:rsidRPr="00EB2BD8">
        <w:t>same platform and based on the features developed for building practitioners. Data for plumbing practitioners</w:t>
      </w:r>
    </w:p>
    <w:p w14:paraId="773AEECE" w14:textId="77777777" w:rsidR="00084F36" w:rsidRPr="00EB2BD8" w:rsidRDefault="00EB2BD8">
      <w:pPr>
        <w:pStyle w:val="BodyText"/>
        <w:spacing w:line="261" w:lineRule="auto"/>
        <w:ind w:left="294" w:right="659"/>
      </w:pPr>
      <w:r w:rsidRPr="00EB2BD8">
        <w:t>has been synchronised near real-time to the consolidated regulatory platform so that legislative reform that includes</w:t>
      </w:r>
      <w:r w:rsidRPr="00EB2BD8">
        <w:rPr>
          <w:spacing w:val="-2"/>
        </w:rPr>
        <w:t xml:space="preserve"> </w:t>
      </w:r>
      <w:r w:rsidRPr="00EB2BD8">
        <w:t>plumbers</w:t>
      </w:r>
      <w:r w:rsidRPr="00EB2BD8">
        <w:rPr>
          <w:spacing w:val="-2"/>
        </w:rPr>
        <w:t xml:space="preserve"> </w:t>
      </w:r>
      <w:r w:rsidRPr="00EB2BD8">
        <w:t>can</w:t>
      </w:r>
      <w:r w:rsidRPr="00EB2BD8">
        <w:rPr>
          <w:spacing w:val="-2"/>
        </w:rPr>
        <w:t xml:space="preserve"> </w:t>
      </w:r>
      <w:r w:rsidRPr="00EB2BD8">
        <w:t>be</w:t>
      </w:r>
      <w:r w:rsidRPr="00EB2BD8">
        <w:rPr>
          <w:spacing w:val="-2"/>
        </w:rPr>
        <w:t xml:space="preserve"> </w:t>
      </w:r>
      <w:r w:rsidRPr="00EB2BD8">
        <w:t>managed</w:t>
      </w:r>
      <w:r w:rsidRPr="00EB2BD8">
        <w:rPr>
          <w:spacing w:val="-2"/>
        </w:rPr>
        <w:t xml:space="preserve"> </w:t>
      </w:r>
      <w:r w:rsidRPr="00EB2BD8">
        <w:t>from</w:t>
      </w:r>
      <w:r w:rsidRPr="00EB2BD8">
        <w:rPr>
          <w:spacing w:val="-2"/>
        </w:rPr>
        <w:t xml:space="preserve"> </w:t>
      </w:r>
      <w:r w:rsidRPr="00EB2BD8">
        <w:t>a</w:t>
      </w:r>
      <w:r w:rsidRPr="00EB2BD8">
        <w:rPr>
          <w:spacing w:val="-2"/>
        </w:rPr>
        <w:t xml:space="preserve"> </w:t>
      </w:r>
      <w:r w:rsidRPr="00EB2BD8">
        <w:t>single</w:t>
      </w:r>
      <w:r w:rsidRPr="00EB2BD8">
        <w:rPr>
          <w:spacing w:val="-2"/>
        </w:rPr>
        <w:t xml:space="preserve"> </w:t>
      </w:r>
      <w:r w:rsidRPr="00EB2BD8">
        <w:t xml:space="preserve">modern </w:t>
      </w:r>
      <w:r w:rsidRPr="00EB2BD8">
        <w:rPr>
          <w:spacing w:val="-2"/>
        </w:rPr>
        <w:t>system.</w:t>
      </w:r>
    </w:p>
    <w:p w14:paraId="2AE84E85" w14:textId="77777777" w:rsidR="00084F36" w:rsidRPr="00EB2BD8" w:rsidRDefault="00EB2BD8">
      <w:pPr>
        <w:pStyle w:val="BodyText"/>
        <w:spacing w:before="99" w:line="261" w:lineRule="auto"/>
        <w:ind w:left="294" w:right="685"/>
      </w:pPr>
      <w:r w:rsidRPr="00EB2BD8">
        <w:t>The VBA has also moved information system hosting</w:t>
      </w:r>
      <w:r w:rsidRPr="00EB2BD8">
        <w:rPr>
          <w:spacing w:val="40"/>
        </w:rPr>
        <w:t xml:space="preserve"> </w:t>
      </w:r>
      <w:r w:rsidRPr="00EB2BD8">
        <w:t>from</w:t>
      </w:r>
      <w:r w:rsidRPr="00EB2BD8">
        <w:rPr>
          <w:spacing w:val="-10"/>
        </w:rPr>
        <w:t xml:space="preserve"> </w:t>
      </w:r>
      <w:r w:rsidRPr="00EB2BD8">
        <w:t>the</w:t>
      </w:r>
      <w:r w:rsidRPr="00EB2BD8">
        <w:rPr>
          <w:spacing w:val="-10"/>
        </w:rPr>
        <w:t xml:space="preserve"> </w:t>
      </w:r>
      <w:r w:rsidRPr="00EB2BD8">
        <w:t>VBA</w:t>
      </w:r>
      <w:r w:rsidRPr="00EB2BD8">
        <w:rPr>
          <w:spacing w:val="-10"/>
        </w:rPr>
        <w:t xml:space="preserve"> </w:t>
      </w:r>
      <w:r w:rsidRPr="00EB2BD8">
        <w:t>data</w:t>
      </w:r>
      <w:r w:rsidRPr="00EB2BD8">
        <w:rPr>
          <w:spacing w:val="-10"/>
        </w:rPr>
        <w:t xml:space="preserve"> </w:t>
      </w:r>
      <w:r w:rsidRPr="00EB2BD8">
        <w:t>centre</w:t>
      </w:r>
      <w:r w:rsidRPr="00EB2BD8">
        <w:rPr>
          <w:spacing w:val="-10"/>
        </w:rPr>
        <w:t xml:space="preserve"> </w:t>
      </w:r>
      <w:r w:rsidRPr="00EB2BD8">
        <w:t>to</w:t>
      </w:r>
      <w:r w:rsidRPr="00EB2BD8">
        <w:rPr>
          <w:spacing w:val="-10"/>
        </w:rPr>
        <w:t xml:space="preserve"> </w:t>
      </w:r>
      <w:r w:rsidRPr="00EB2BD8">
        <w:t>a</w:t>
      </w:r>
      <w:r w:rsidRPr="00EB2BD8">
        <w:rPr>
          <w:spacing w:val="-10"/>
        </w:rPr>
        <w:t xml:space="preserve"> </w:t>
      </w:r>
      <w:r w:rsidRPr="00EB2BD8">
        <w:t>cloud</w:t>
      </w:r>
      <w:r w:rsidRPr="00EB2BD8">
        <w:rPr>
          <w:spacing w:val="-10"/>
        </w:rPr>
        <w:t xml:space="preserve"> </w:t>
      </w:r>
      <w:r w:rsidRPr="00EB2BD8">
        <w:t>hosting</w:t>
      </w:r>
      <w:r w:rsidRPr="00EB2BD8">
        <w:rPr>
          <w:spacing w:val="-10"/>
        </w:rPr>
        <w:t xml:space="preserve"> </w:t>
      </w:r>
      <w:r w:rsidRPr="00EB2BD8">
        <w:t>provider.</w:t>
      </w:r>
      <w:r w:rsidRPr="00EB2BD8">
        <w:rPr>
          <w:spacing w:val="-10"/>
        </w:rPr>
        <w:t xml:space="preserve"> </w:t>
      </w:r>
      <w:r w:rsidRPr="00EB2BD8">
        <w:t>This provides</w:t>
      </w:r>
      <w:r w:rsidRPr="00EB2BD8">
        <w:rPr>
          <w:spacing w:val="-2"/>
        </w:rPr>
        <w:t xml:space="preserve"> </w:t>
      </w:r>
      <w:r w:rsidRPr="00EB2BD8">
        <w:t>the</w:t>
      </w:r>
      <w:r w:rsidRPr="00EB2BD8">
        <w:rPr>
          <w:spacing w:val="-2"/>
        </w:rPr>
        <w:t xml:space="preserve"> </w:t>
      </w:r>
      <w:r w:rsidRPr="00EB2BD8">
        <w:t>VBA</w:t>
      </w:r>
      <w:r w:rsidRPr="00EB2BD8">
        <w:rPr>
          <w:spacing w:val="-2"/>
        </w:rPr>
        <w:t xml:space="preserve"> </w:t>
      </w:r>
      <w:r w:rsidRPr="00EB2BD8">
        <w:t>improved</w:t>
      </w:r>
      <w:r w:rsidRPr="00EB2BD8">
        <w:rPr>
          <w:spacing w:val="-2"/>
        </w:rPr>
        <w:t xml:space="preserve"> </w:t>
      </w:r>
      <w:r w:rsidRPr="00EB2BD8">
        <w:t>agility</w:t>
      </w:r>
      <w:r w:rsidRPr="00EB2BD8">
        <w:rPr>
          <w:spacing w:val="-2"/>
        </w:rPr>
        <w:t xml:space="preserve"> </w:t>
      </w:r>
      <w:r w:rsidRPr="00EB2BD8">
        <w:t>in</w:t>
      </w:r>
      <w:r w:rsidRPr="00EB2BD8">
        <w:rPr>
          <w:spacing w:val="-2"/>
        </w:rPr>
        <w:t xml:space="preserve"> </w:t>
      </w:r>
      <w:r w:rsidRPr="00EB2BD8">
        <w:t>changing</w:t>
      </w:r>
      <w:r w:rsidRPr="00EB2BD8">
        <w:rPr>
          <w:spacing w:val="-2"/>
        </w:rPr>
        <w:t xml:space="preserve"> </w:t>
      </w:r>
      <w:r w:rsidRPr="00EB2BD8">
        <w:t>systems</w:t>
      </w:r>
      <w:r w:rsidRPr="00EB2BD8">
        <w:rPr>
          <w:spacing w:val="-2"/>
        </w:rPr>
        <w:t xml:space="preserve"> </w:t>
      </w:r>
      <w:r w:rsidRPr="00EB2BD8">
        <w:t>to suit legislative reform and organisational changes.</w:t>
      </w:r>
    </w:p>
    <w:p w14:paraId="2D191D8F" w14:textId="77777777" w:rsidR="00084F36" w:rsidRPr="00EB2BD8" w:rsidRDefault="00EB2BD8">
      <w:pPr>
        <w:pStyle w:val="BodyText"/>
        <w:spacing w:before="109" w:line="261" w:lineRule="auto"/>
        <w:ind w:left="294" w:right="675"/>
      </w:pPr>
      <w:r w:rsidRPr="00EB2BD8">
        <w:t xml:space="preserve">The Data Analytics Platform has been expanded to include performance analytics dashboards. Work continues to refine the data validation controls on </w:t>
      </w:r>
      <w:r w:rsidRPr="00EB2BD8">
        <w:rPr>
          <w:spacing w:val="-2"/>
        </w:rPr>
        <w:t>existing</w:t>
      </w:r>
      <w:r w:rsidRPr="00EB2BD8">
        <w:rPr>
          <w:spacing w:val="-6"/>
        </w:rPr>
        <w:t xml:space="preserve"> </w:t>
      </w:r>
      <w:r w:rsidRPr="00EB2BD8">
        <w:rPr>
          <w:spacing w:val="-2"/>
        </w:rPr>
        <w:t>information</w:t>
      </w:r>
      <w:r w:rsidRPr="00EB2BD8">
        <w:rPr>
          <w:spacing w:val="-6"/>
        </w:rPr>
        <w:t xml:space="preserve"> </w:t>
      </w:r>
      <w:r w:rsidRPr="00EB2BD8">
        <w:rPr>
          <w:spacing w:val="-2"/>
        </w:rPr>
        <w:t>systems</w:t>
      </w:r>
      <w:r w:rsidRPr="00EB2BD8">
        <w:rPr>
          <w:spacing w:val="-6"/>
        </w:rPr>
        <w:t xml:space="preserve"> </w:t>
      </w:r>
      <w:r w:rsidRPr="00EB2BD8">
        <w:rPr>
          <w:spacing w:val="-2"/>
        </w:rPr>
        <w:t>which</w:t>
      </w:r>
      <w:r w:rsidRPr="00EB2BD8">
        <w:rPr>
          <w:spacing w:val="-6"/>
        </w:rPr>
        <w:t xml:space="preserve"> </w:t>
      </w:r>
      <w:r w:rsidRPr="00EB2BD8">
        <w:rPr>
          <w:spacing w:val="-2"/>
        </w:rPr>
        <w:t>will</w:t>
      </w:r>
      <w:r w:rsidRPr="00EB2BD8">
        <w:rPr>
          <w:spacing w:val="-6"/>
        </w:rPr>
        <w:t xml:space="preserve"> </w:t>
      </w:r>
      <w:r w:rsidRPr="00EB2BD8">
        <w:rPr>
          <w:spacing w:val="-2"/>
        </w:rPr>
        <w:t>support</w:t>
      </w:r>
      <w:r w:rsidRPr="00EB2BD8">
        <w:rPr>
          <w:spacing w:val="-6"/>
        </w:rPr>
        <w:t xml:space="preserve"> </w:t>
      </w:r>
      <w:r w:rsidRPr="00EB2BD8">
        <w:rPr>
          <w:spacing w:val="-2"/>
        </w:rPr>
        <w:t>future</w:t>
      </w:r>
      <w:r w:rsidRPr="00EB2BD8">
        <w:rPr>
          <w:spacing w:val="-6"/>
        </w:rPr>
        <w:t xml:space="preserve"> </w:t>
      </w:r>
      <w:r w:rsidRPr="00EB2BD8">
        <w:rPr>
          <w:spacing w:val="-2"/>
        </w:rPr>
        <w:t>risk profiling.</w:t>
      </w:r>
    </w:p>
    <w:p w14:paraId="378FB73D" w14:textId="77777777" w:rsidR="00084F36" w:rsidRPr="00EB2BD8" w:rsidRDefault="00084F36">
      <w:pPr>
        <w:spacing w:line="261" w:lineRule="auto"/>
        <w:sectPr w:rsidR="00084F36" w:rsidRPr="00EB2BD8" w:rsidSect="006D75B2">
          <w:type w:val="continuous"/>
          <w:pgSz w:w="11910" w:h="16840"/>
          <w:pgMar w:top="1920" w:right="0" w:bottom="280" w:left="0" w:header="0" w:footer="528" w:gutter="0"/>
          <w:cols w:num="2" w:space="720" w:equalWidth="0">
            <w:col w:w="5846" w:space="40"/>
            <w:col w:w="6024"/>
          </w:cols>
        </w:sectPr>
      </w:pPr>
    </w:p>
    <w:p w14:paraId="1F757328" w14:textId="77777777" w:rsidR="00084F36" w:rsidRPr="00EB2BD8" w:rsidRDefault="00084F36">
      <w:pPr>
        <w:pStyle w:val="BodyText"/>
        <w:rPr>
          <w:sz w:val="20"/>
        </w:rPr>
      </w:pPr>
    </w:p>
    <w:p w14:paraId="77CF90C2" w14:textId="77777777" w:rsidR="00084F36" w:rsidRPr="00EB2BD8" w:rsidRDefault="00084F36">
      <w:pPr>
        <w:pStyle w:val="BodyText"/>
        <w:rPr>
          <w:sz w:val="20"/>
        </w:rPr>
      </w:pPr>
    </w:p>
    <w:p w14:paraId="70F14A66" w14:textId="77777777" w:rsidR="00084F36" w:rsidRPr="00EB2BD8" w:rsidRDefault="00084F36">
      <w:pPr>
        <w:pStyle w:val="BodyText"/>
        <w:rPr>
          <w:sz w:val="20"/>
        </w:rPr>
      </w:pPr>
    </w:p>
    <w:p w14:paraId="73C028DB" w14:textId="77777777" w:rsidR="00084F36" w:rsidRPr="00EB2BD8" w:rsidRDefault="00084F36">
      <w:pPr>
        <w:pStyle w:val="BodyText"/>
        <w:rPr>
          <w:sz w:val="20"/>
        </w:rPr>
      </w:pPr>
    </w:p>
    <w:p w14:paraId="2DEC58DD" w14:textId="77777777" w:rsidR="00084F36" w:rsidRPr="00EB2BD8" w:rsidRDefault="00084F36">
      <w:pPr>
        <w:rPr>
          <w:sz w:val="20"/>
        </w:rPr>
        <w:sectPr w:rsidR="00084F36" w:rsidRPr="00EB2BD8" w:rsidSect="006D75B2">
          <w:headerReference w:type="even" r:id="rId86"/>
          <w:headerReference w:type="default" r:id="rId87"/>
          <w:footerReference w:type="even" r:id="rId88"/>
          <w:footerReference w:type="default" r:id="rId89"/>
          <w:pgSz w:w="11910" w:h="16840"/>
          <w:pgMar w:top="1080" w:right="0" w:bottom="720" w:left="0" w:header="0" w:footer="528" w:gutter="0"/>
          <w:pgNumType w:start="43"/>
          <w:cols w:space="720"/>
        </w:sectPr>
      </w:pPr>
    </w:p>
    <w:p w14:paraId="5F19E123" w14:textId="77777777" w:rsidR="00084F36" w:rsidRPr="00EB2BD8" w:rsidRDefault="00EB2BD8" w:rsidP="001975DF">
      <w:pPr>
        <w:pStyle w:val="Heading2"/>
      </w:pPr>
      <w:bookmarkStart w:id="94" w:name="_Toc150762396"/>
      <w:r w:rsidRPr="00EB2BD8">
        <w:t>Research</w:t>
      </w:r>
      <w:r w:rsidRPr="00EB2BD8">
        <w:rPr>
          <w:spacing w:val="-14"/>
        </w:rPr>
        <w:t xml:space="preserve"> </w:t>
      </w:r>
      <w:r w:rsidRPr="00EB2BD8">
        <w:t>at</w:t>
      </w:r>
      <w:r w:rsidRPr="00EB2BD8">
        <w:rPr>
          <w:spacing w:val="-14"/>
        </w:rPr>
        <w:t xml:space="preserve"> </w:t>
      </w:r>
      <w:r w:rsidRPr="00EB2BD8">
        <w:t>the</w:t>
      </w:r>
      <w:r w:rsidRPr="00EB2BD8">
        <w:rPr>
          <w:spacing w:val="-14"/>
        </w:rPr>
        <w:t xml:space="preserve"> </w:t>
      </w:r>
      <w:r w:rsidRPr="00EB2BD8">
        <w:rPr>
          <w:spacing w:val="-5"/>
        </w:rPr>
        <w:t>VBA</w:t>
      </w:r>
      <w:bookmarkEnd w:id="94"/>
    </w:p>
    <w:p w14:paraId="7EDEE729" w14:textId="28B40A40" w:rsidR="00084F36" w:rsidRPr="00EB2BD8" w:rsidRDefault="00EB2BD8">
      <w:pPr>
        <w:pStyle w:val="BodyText"/>
        <w:spacing w:before="128" w:line="261" w:lineRule="auto"/>
        <w:ind w:left="850" w:right="232"/>
      </w:pPr>
      <w:r w:rsidRPr="00EB2BD8">
        <w:t>Through research projects and collaborations over the last five years, the VBA’s research network had expanded</w:t>
      </w:r>
      <w:r w:rsidRPr="00EB2BD8">
        <w:rPr>
          <w:spacing w:val="-12"/>
        </w:rPr>
        <w:t xml:space="preserve"> </w:t>
      </w:r>
      <w:r w:rsidRPr="00EB2BD8">
        <w:t>to</w:t>
      </w:r>
      <w:r w:rsidRPr="00EB2BD8">
        <w:rPr>
          <w:spacing w:val="-12"/>
        </w:rPr>
        <w:t xml:space="preserve"> </w:t>
      </w:r>
      <w:r w:rsidRPr="00EB2BD8">
        <w:t>include</w:t>
      </w:r>
      <w:r w:rsidRPr="00EB2BD8">
        <w:rPr>
          <w:spacing w:val="-12"/>
        </w:rPr>
        <w:t xml:space="preserve"> </w:t>
      </w:r>
      <w:r w:rsidRPr="00EB2BD8">
        <w:t>around</w:t>
      </w:r>
      <w:r w:rsidRPr="00EB2BD8">
        <w:rPr>
          <w:spacing w:val="-12"/>
        </w:rPr>
        <w:t xml:space="preserve"> </w:t>
      </w:r>
      <w:r w:rsidRPr="00EB2BD8">
        <w:t>50</w:t>
      </w:r>
      <w:r w:rsidRPr="00EB2BD8">
        <w:rPr>
          <w:spacing w:val="-12"/>
        </w:rPr>
        <w:t xml:space="preserve"> </w:t>
      </w:r>
      <w:r w:rsidRPr="00EB2BD8">
        <w:t>research</w:t>
      </w:r>
      <w:r w:rsidRPr="00EB2BD8">
        <w:rPr>
          <w:spacing w:val="-12"/>
        </w:rPr>
        <w:t xml:space="preserve"> </w:t>
      </w:r>
      <w:r w:rsidRPr="00EB2BD8">
        <w:t>institutions, government and industry partners.</w:t>
      </w:r>
      <w:r w:rsidR="00C1767B">
        <w:tab/>
      </w:r>
    </w:p>
    <w:p w14:paraId="4856FBDE" w14:textId="77777777" w:rsidR="00084F36" w:rsidRPr="00EB2BD8" w:rsidRDefault="00EB2BD8">
      <w:pPr>
        <w:pStyle w:val="BodyText"/>
        <w:spacing w:before="110" w:line="261" w:lineRule="auto"/>
        <w:ind w:left="850"/>
      </w:pPr>
      <w:r w:rsidRPr="00EB2BD8">
        <w:t>Reducing water ingress and moisture damage in buildings</w:t>
      </w:r>
      <w:r w:rsidRPr="00EB2BD8">
        <w:rPr>
          <w:spacing w:val="-15"/>
        </w:rPr>
        <w:t xml:space="preserve"> </w:t>
      </w:r>
      <w:r w:rsidRPr="00EB2BD8">
        <w:t>was</w:t>
      </w:r>
      <w:r w:rsidRPr="00EB2BD8">
        <w:rPr>
          <w:spacing w:val="-14"/>
        </w:rPr>
        <w:t xml:space="preserve"> </w:t>
      </w:r>
      <w:r w:rsidRPr="00EB2BD8">
        <w:t>a</w:t>
      </w:r>
      <w:r w:rsidRPr="00EB2BD8">
        <w:rPr>
          <w:spacing w:val="-14"/>
        </w:rPr>
        <w:t xml:space="preserve"> </w:t>
      </w:r>
      <w:r w:rsidRPr="00EB2BD8">
        <w:t>focus</w:t>
      </w:r>
      <w:r w:rsidRPr="00EB2BD8">
        <w:rPr>
          <w:spacing w:val="-14"/>
        </w:rPr>
        <w:t xml:space="preserve"> </w:t>
      </w:r>
      <w:r w:rsidRPr="00EB2BD8">
        <w:t>area</w:t>
      </w:r>
      <w:r w:rsidRPr="00EB2BD8">
        <w:rPr>
          <w:spacing w:val="-15"/>
        </w:rPr>
        <w:t xml:space="preserve"> </w:t>
      </w:r>
      <w:r w:rsidRPr="00EB2BD8">
        <w:t>for</w:t>
      </w:r>
      <w:r w:rsidRPr="00EB2BD8">
        <w:rPr>
          <w:spacing w:val="-14"/>
        </w:rPr>
        <w:t xml:space="preserve"> </w:t>
      </w:r>
      <w:r w:rsidRPr="00EB2BD8">
        <w:t>VBA</w:t>
      </w:r>
      <w:r w:rsidRPr="00EB2BD8">
        <w:rPr>
          <w:spacing w:val="-14"/>
        </w:rPr>
        <w:t xml:space="preserve"> </w:t>
      </w:r>
      <w:r w:rsidRPr="00EB2BD8">
        <w:t>research</w:t>
      </w:r>
      <w:r w:rsidRPr="00EB2BD8">
        <w:rPr>
          <w:spacing w:val="-14"/>
        </w:rPr>
        <w:t xml:space="preserve"> </w:t>
      </w:r>
      <w:r w:rsidRPr="00EB2BD8">
        <w:t>in</w:t>
      </w:r>
      <w:r w:rsidRPr="00EB2BD8">
        <w:rPr>
          <w:spacing w:val="-15"/>
        </w:rPr>
        <w:t xml:space="preserve"> </w:t>
      </w:r>
      <w:r w:rsidRPr="00EB2BD8">
        <w:t>2022-23.</w:t>
      </w:r>
    </w:p>
    <w:p w14:paraId="4C0943BF" w14:textId="77777777" w:rsidR="00084F36" w:rsidRPr="00EB2BD8" w:rsidRDefault="00084F36">
      <w:pPr>
        <w:pStyle w:val="BodyText"/>
        <w:rPr>
          <w:sz w:val="20"/>
        </w:rPr>
      </w:pPr>
    </w:p>
    <w:p w14:paraId="1A78D6E6" w14:textId="77777777" w:rsidR="00084F36" w:rsidRPr="00EB2BD8" w:rsidRDefault="00EB2BD8" w:rsidP="001975DF">
      <w:pPr>
        <w:pStyle w:val="Heading2"/>
      </w:pPr>
      <w:bookmarkStart w:id="95" w:name="_Toc150762397"/>
      <w:r w:rsidRPr="00EB2BD8">
        <w:t>Research</w:t>
      </w:r>
      <w:r w:rsidRPr="00EB2BD8">
        <w:rPr>
          <w:spacing w:val="-13"/>
        </w:rPr>
        <w:t xml:space="preserve"> </w:t>
      </w:r>
      <w:r w:rsidRPr="00EB2BD8">
        <w:t>Grant</w:t>
      </w:r>
      <w:r w:rsidRPr="00EB2BD8">
        <w:rPr>
          <w:spacing w:val="-13"/>
        </w:rPr>
        <w:t xml:space="preserve"> </w:t>
      </w:r>
      <w:r w:rsidRPr="00EB2BD8">
        <w:t>Program</w:t>
      </w:r>
      <w:bookmarkEnd w:id="95"/>
    </w:p>
    <w:p w14:paraId="28D8E73C" w14:textId="77777777" w:rsidR="00084F36" w:rsidRPr="00EB2BD8" w:rsidRDefault="00EB2BD8">
      <w:pPr>
        <w:pStyle w:val="BodyText"/>
        <w:spacing w:before="129" w:line="261" w:lineRule="auto"/>
        <w:ind w:left="850" w:right="589"/>
      </w:pPr>
      <w:r w:rsidRPr="00EB2BD8">
        <w:t>The VBA launched its inaugural Research Grant Program</w:t>
      </w:r>
      <w:r w:rsidRPr="00EB2BD8">
        <w:rPr>
          <w:spacing w:val="-9"/>
        </w:rPr>
        <w:t xml:space="preserve"> </w:t>
      </w:r>
      <w:r w:rsidRPr="00EB2BD8">
        <w:t>in</w:t>
      </w:r>
      <w:r w:rsidRPr="00EB2BD8">
        <w:rPr>
          <w:spacing w:val="-9"/>
        </w:rPr>
        <w:t xml:space="preserve"> </w:t>
      </w:r>
      <w:r w:rsidRPr="00EB2BD8">
        <w:t>late</w:t>
      </w:r>
      <w:r w:rsidRPr="00EB2BD8">
        <w:rPr>
          <w:spacing w:val="-9"/>
        </w:rPr>
        <w:t xml:space="preserve"> </w:t>
      </w:r>
      <w:r w:rsidRPr="00EB2BD8">
        <w:t>2020</w:t>
      </w:r>
      <w:r w:rsidRPr="00EB2BD8">
        <w:rPr>
          <w:spacing w:val="-9"/>
        </w:rPr>
        <w:t xml:space="preserve"> </w:t>
      </w:r>
      <w:r w:rsidRPr="00EB2BD8">
        <w:t>for</w:t>
      </w:r>
      <w:r w:rsidRPr="00EB2BD8">
        <w:rPr>
          <w:spacing w:val="-9"/>
        </w:rPr>
        <w:t xml:space="preserve"> </w:t>
      </w:r>
      <w:r w:rsidRPr="00EB2BD8">
        <w:t>commencement</w:t>
      </w:r>
      <w:r w:rsidRPr="00EB2BD8">
        <w:rPr>
          <w:spacing w:val="-9"/>
        </w:rPr>
        <w:t xml:space="preserve"> </w:t>
      </w:r>
      <w:r w:rsidRPr="00EB2BD8">
        <w:t>in</w:t>
      </w:r>
      <w:r w:rsidRPr="00EB2BD8">
        <w:rPr>
          <w:spacing w:val="-9"/>
        </w:rPr>
        <w:t xml:space="preserve"> </w:t>
      </w:r>
      <w:r w:rsidRPr="00EB2BD8">
        <w:t xml:space="preserve">early </w:t>
      </w:r>
      <w:r w:rsidRPr="00EB2BD8">
        <w:rPr>
          <w:spacing w:val="-2"/>
        </w:rPr>
        <w:t>2021-22.</w:t>
      </w:r>
    </w:p>
    <w:p w14:paraId="242BACAF" w14:textId="77777777" w:rsidR="00084F36" w:rsidRPr="00EB2BD8" w:rsidRDefault="00EB2BD8">
      <w:pPr>
        <w:pStyle w:val="BodyText"/>
        <w:spacing w:before="110" w:line="261" w:lineRule="auto"/>
        <w:ind w:left="850" w:right="232"/>
      </w:pPr>
      <w:r w:rsidRPr="00EB2BD8">
        <w:t>To</w:t>
      </w:r>
      <w:r w:rsidRPr="00EB2BD8">
        <w:rPr>
          <w:spacing w:val="-11"/>
        </w:rPr>
        <w:t xml:space="preserve"> </w:t>
      </w:r>
      <w:r w:rsidRPr="00EB2BD8">
        <w:t>date,</w:t>
      </w:r>
      <w:r w:rsidRPr="00EB2BD8">
        <w:rPr>
          <w:spacing w:val="-11"/>
        </w:rPr>
        <w:t xml:space="preserve"> </w:t>
      </w:r>
      <w:r w:rsidRPr="00EB2BD8">
        <w:t>the</w:t>
      </w:r>
      <w:r w:rsidRPr="00EB2BD8">
        <w:rPr>
          <w:spacing w:val="-11"/>
        </w:rPr>
        <w:t xml:space="preserve"> </w:t>
      </w:r>
      <w:r w:rsidRPr="00EB2BD8">
        <w:t>VBA</w:t>
      </w:r>
      <w:r w:rsidRPr="00EB2BD8">
        <w:rPr>
          <w:spacing w:val="-11"/>
        </w:rPr>
        <w:t xml:space="preserve"> </w:t>
      </w:r>
      <w:r w:rsidRPr="00EB2BD8">
        <w:t>has</w:t>
      </w:r>
      <w:r w:rsidRPr="00EB2BD8">
        <w:rPr>
          <w:spacing w:val="-11"/>
        </w:rPr>
        <w:t xml:space="preserve"> </w:t>
      </w:r>
      <w:r w:rsidRPr="00EB2BD8">
        <w:t>undertaken</w:t>
      </w:r>
      <w:r w:rsidRPr="00EB2BD8">
        <w:rPr>
          <w:spacing w:val="-11"/>
        </w:rPr>
        <w:t xml:space="preserve"> </w:t>
      </w:r>
      <w:r w:rsidRPr="00EB2BD8">
        <w:t>two</w:t>
      </w:r>
      <w:r w:rsidRPr="00EB2BD8">
        <w:rPr>
          <w:spacing w:val="-11"/>
        </w:rPr>
        <w:t xml:space="preserve"> </w:t>
      </w:r>
      <w:r w:rsidRPr="00EB2BD8">
        <w:t>rounds</w:t>
      </w:r>
      <w:r w:rsidRPr="00EB2BD8">
        <w:rPr>
          <w:spacing w:val="-11"/>
        </w:rPr>
        <w:t xml:space="preserve"> </w:t>
      </w:r>
      <w:r w:rsidRPr="00EB2BD8">
        <w:t>of</w:t>
      </w:r>
      <w:r w:rsidRPr="00EB2BD8">
        <w:rPr>
          <w:spacing w:val="-11"/>
        </w:rPr>
        <w:t xml:space="preserve"> </w:t>
      </w:r>
      <w:r w:rsidRPr="00EB2BD8">
        <w:t>the Grant</w:t>
      </w:r>
      <w:r w:rsidRPr="00EB2BD8">
        <w:rPr>
          <w:spacing w:val="-13"/>
        </w:rPr>
        <w:t xml:space="preserve"> </w:t>
      </w:r>
      <w:r w:rsidRPr="00EB2BD8">
        <w:t>Program,</w:t>
      </w:r>
      <w:r w:rsidRPr="00EB2BD8">
        <w:rPr>
          <w:spacing w:val="-13"/>
        </w:rPr>
        <w:t xml:space="preserve"> </w:t>
      </w:r>
      <w:r w:rsidRPr="00EB2BD8">
        <w:t>in</w:t>
      </w:r>
      <w:r w:rsidRPr="00EB2BD8">
        <w:rPr>
          <w:spacing w:val="-13"/>
        </w:rPr>
        <w:t xml:space="preserve"> </w:t>
      </w:r>
      <w:r w:rsidRPr="00EB2BD8">
        <w:t>2021-22</w:t>
      </w:r>
      <w:r w:rsidRPr="00EB2BD8">
        <w:rPr>
          <w:spacing w:val="-13"/>
        </w:rPr>
        <w:t xml:space="preserve"> </w:t>
      </w:r>
      <w:r w:rsidRPr="00EB2BD8">
        <w:t>and</w:t>
      </w:r>
      <w:r w:rsidRPr="00EB2BD8">
        <w:rPr>
          <w:spacing w:val="-13"/>
        </w:rPr>
        <w:t xml:space="preserve"> </w:t>
      </w:r>
      <w:r w:rsidRPr="00EB2BD8">
        <w:t>2022-23.</w:t>
      </w:r>
    </w:p>
    <w:p w14:paraId="3A8C7EC8" w14:textId="77777777" w:rsidR="00084F36" w:rsidRPr="00EB2BD8" w:rsidRDefault="00EB2BD8">
      <w:pPr>
        <w:pStyle w:val="BodyText"/>
        <w:spacing w:before="111" w:line="261" w:lineRule="auto"/>
        <w:ind w:left="850" w:right="62"/>
      </w:pPr>
      <w:r w:rsidRPr="00EB2BD8">
        <w:t>Under the Grant Program, the VBA invites researchers at Australian educational institutions to apply for grants</w:t>
      </w:r>
      <w:r w:rsidRPr="00EB2BD8">
        <w:rPr>
          <w:spacing w:val="-8"/>
        </w:rPr>
        <w:t xml:space="preserve"> </w:t>
      </w:r>
      <w:r w:rsidRPr="00EB2BD8">
        <w:t>of</w:t>
      </w:r>
      <w:r w:rsidRPr="00EB2BD8">
        <w:rPr>
          <w:spacing w:val="-8"/>
        </w:rPr>
        <w:t xml:space="preserve"> </w:t>
      </w:r>
      <w:r w:rsidRPr="00EB2BD8">
        <w:t>financial</w:t>
      </w:r>
      <w:r w:rsidRPr="00EB2BD8">
        <w:rPr>
          <w:spacing w:val="-8"/>
        </w:rPr>
        <w:t xml:space="preserve"> </w:t>
      </w:r>
      <w:r w:rsidRPr="00EB2BD8">
        <w:t>and/or</w:t>
      </w:r>
      <w:r w:rsidRPr="00EB2BD8">
        <w:rPr>
          <w:spacing w:val="-8"/>
        </w:rPr>
        <w:t xml:space="preserve"> </w:t>
      </w:r>
      <w:r w:rsidRPr="00EB2BD8">
        <w:t>in-kind</w:t>
      </w:r>
      <w:r w:rsidRPr="00EB2BD8">
        <w:rPr>
          <w:spacing w:val="-8"/>
        </w:rPr>
        <w:t xml:space="preserve"> </w:t>
      </w:r>
      <w:r w:rsidRPr="00EB2BD8">
        <w:t>support</w:t>
      </w:r>
      <w:r w:rsidRPr="00EB2BD8">
        <w:rPr>
          <w:spacing w:val="-8"/>
        </w:rPr>
        <w:t xml:space="preserve"> </w:t>
      </w:r>
      <w:r w:rsidRPr="00EB2BD8">
        <w:t>for</w:t>
      </w:r>
      <w:r w:rsidRPr="00EB2BD8">
        <w:rPr>
          <w:spacing w:val="-8"/>
        </w:rPr>
        <w:t xml:space="preserve"> </w:t>
      </w:r>
      <w:r w:rsidRPr="00EB2BD8">
        <w:t>research that helps provide an evidence base to inform regulatory decisions and influence improvements to the building regulatory system and the quality of the built environment in Victoria.</w:t>
      </w:r>
    </w:p>
    <w:p w14:paraId="3AE883E4" w14:textId="77777777" w:rsidR="00084F36" w:rsidRPr="00EB2BD8" w:rsidRDefault="00EB2BD8">
      <w:pPr>
        <w:pStyle w:val="BodyText"/>
        <w:spacing w:before="107" w:line="261" w:lineRule="auto"/>
        <w:ind w:left="850"/>
      </w:pPr>
      <w:r w:rsidRPr="00EB2BD8">
        <w:t>The</w:t>
      </w:r>
      <w:r w:rsidRPr="00EB2BD8">
        <w:rPr>
          <w:spacing w:val="-10"/>
        </w:rPr>
        <w:t xml:space="preserve"> </w:t>
      </w:r>
      <w:r w:rsidRPr="00EB2BD8">
        <w:t>2022-23</w:t>
      </w:r>
      <w:r w:rsidRPr="00EB2BD8">
        <w:rPr>
          <w:spacing w:val="-10"/>
        </w:rPr>
        <w:t xml:space="preserve"> </w:t>
      </w:r>
      <w:r w:rsidRPr="00EB2BD8">
        <w:t>Grant</w:t>
      </w:r>
      <w:r w:rsidRPr="00EB2BD8">
        <w:rPr>
          <w:spacing w:val="-10"/>
        </w:rPr>
        <w:t xml:space="preserve"> </w:t>
      </w:r>
      <w:r w:rsidRPr="00EB2BD8">
        <w:t>Program</w:t>
      </w:r>
      <w:r w:rsidRPr="00EB2BD8">
        <w:rPr>
          <w:spacing w:val="-10"/>
        </w:rPr>
        <w:t xml:space="preserve"> </w:t>
      </w:r>
      <w:r w:rsidRPr="00EB2BD8">
        <w:t>focused</w:t>
      </w:r>
      <w:r w:rsidRPr="00EB2BD8">
        <w:rPr>
          <w:spacing w:val="-10"/>
        </w:rPr>
        <w:t xml:space="preserve"> </w:t>
      </w:r>
      <w:r w:rsidRPr="00EB2BD8">
        <w:t>on</w:t>
      </w:r>
      <w:r w:rsidRPr="00EB2BD8">
        <w:rPr>
          <w:spacing w:val="-10"/>
        </w:rPr>
        <w:t xml:space="preserve"> </w:t>
      </w:r>
      <w:r w:rsidRPr="00EB2BD8">
        <w:t>research</w:t>
      </w:r>
      <w:r w:rsidRPr="00EB2BD8">
        <w:rPr>
          <w:spacing w:val="-10"/>
        </w:rPr>
        <w:t xml:space="preserve"> </w:t>
      </w:r>
      <w:r w:rsidRPr="00EB2BD8">
        <w:t>that will assist in reducing moisture ingress and water damage</w:t>
      </w:r>
      <w:r w:rsidRPr="00EB2BD8">
        <w:rPr>
          <w:spacing w:val="-1"/>
        </w:rPr>
        <w:t xml:space="preserve"> </w:t>
      </w:r>
      <w:r w:rsidRPr="00EB2BD8">
        <w:t>in</w:t>
      </w:r>
      <w:r w:rsidRPr="00EB2BD8">
        <w:rPr>
          <w:spacing w:val="-1"/>
        </w:rPr>
        <w:t xml:space="preserve"> </w:t>
      </w:r>
      <w:r w:rsidRPr="00EB2BD8">
        <w:t>Victorian</w:t>
      </w:r>
      <w:r w:rsidRPr="00EB2BD8">
        <w:rPr>
          <w:spacing w:val="-1"/>
        </w:rPr>
        <w:t xml:space="preserve"> </w:t>
      </w:r>
      <w:r w:rsidRPr="00EB2BD8">
        <w:t>buildings.</w:t>
      </w:r>
      <w:r w:rsidRPr="00EB2BD8">
        <w:rPr>
          <w:spacing w:val="-1"/>
        </w:rPr>
        <w:t xml:space="preserve"> </w:t>
      </w:r>
      <w:r w:rsidRPr="00EB2BD8">
        <w:t>Moisture</w:t>
      </w:r>
      <w:r w:rsidRPr="00EB2BD8">
        <w:rPr>
          <w:spacing w:val="-1"/>
        </w:rPr>
        <w:t xml:space="preserve"> </w:t>
      </w:r>
      <w:r w:rsidRPr="00EB2BD8">
        <w:t>damage</w:t>
      </w:r>
      <w:r w:rsidRPr="00EB2BD8">
        <w:rPr>
          <w:spacing w:val="-1"/>
        </w:rPr>
        <w:t xml:space="preserve"> </w:t>
      </w:r>
      <w:r w:rsidRPr="00EB2BD8">
        <w:t>and water</w:t>
      </w:r>
      <w:r w:rsidRPr="00EB2BD8">
        <w:rPr>
          <w:spacing w:val="-7"/>
        </w:rPr>
        <w:t xml:space="preserve"> </w:t>
      </w:r>
      <w:r w:rsidRPr="00EB2BD8">
        <w:t>ingress</w:t>
      </w:r>
      <w:r w:rsidRPr="00EB2BD8">
        <w:rPr>
          <w:spacing w:val="-7"/>
        </w:rPr>
        <w:t xml:space="preserve"> </w:t>
      </w:r>
      <w:r w:rsidRPr="00EB2BD8">
        <w:t>is</w:t>
      </w:r>
      <w:r w:rsidRPr="00EB2BD8">
        <w:rPr>
          <w:spacing w:val="-7"/>
        </w:rPr>
        <w:t xml:space="preserve"> </w:t>
      </w:r>
      <w:r w:rsidRPr="00EB2BD8">
        <w:t>linked</w:t>
      </w:r>
      <w:r w:rsidRPr="00EB2BD8">
        <w:rPr>
          <w:spacing w:val="-7"/>
        </w:rPr>
        <w:t xml:space="preserve"> </w:t>
      </w:r>
      <w:r w:rsidRPr="00EB2BD8">
        <w:t>to</w:t>
      </w:r>
      <w:r w:rsidRPr="00EB2BD8">
        <w:rPr>
          <w:spacing w:val="-7"/>
        </w:rPr>
        <w:t xml:space="preserve"> </w:t>
      </w:r>
      <w:r w:rsidRPr="00EB2BD8">
        <w:t>negative</w:t>
      </w:r>
      <w:r w:rsidRPr="00EB2BD8">
        <w:rPr>
          <w:spacing w:val="-7"/>
        </w:rPr>
        <w:t xml:space="preserve"> </w:t>
      </w:r>
      <w:r w:rsidRPr="00EB2BD8">
        <w:t>impacts</w:t>
      </w:r>
      <w:r w:rsidRPr="00EB2BD8">
        <w:rPr>
          <w:spacing w:val="-7"/>
        </w:rPr>
        <w:t xml:space="preserve"> </w:t>
      </w:r>
      <w:r w:rsidRPr="00EB2BD8">
        <w:t>on</w:t>
      </w:r>
      <w:r w:rsidRPr="00EB2BD8">
        <w:rPr>
          <w:spacing w:val="-7"/>
        </w:rPr>
        <w:t xml:space="preserve"> </w:t>
      </w:r>
      <w:r w:rsidRPr="00EB2BD8">
        <w:t xml:space="preserve">human health and amenity, as well as building structural </w:t>
      </w:r>
      <w:r w:rsidRPr="00EB2BD8">
        <w:rPr>
          <w:spacing w:val="-2"/>
        </w:rPr>
        <w:t>integrity.</w:t>
      </w:r>
    </w:p>
    <w:p w14:paraId="05189561" w14:textId="77777777" w:rsidR="00084F36" w:rsidRPr="00EB2BD8" w:rsidRDefault="00EB2BD8">
      <w:pPr>
        <w:pStyle w:val="BodyText"/>
        <w:spacing w:before="107" w:line="261" w:lineRule="auto"/>
        <w:ind w:left="850" w:right="232"/>
      </w:pPr>
      <w:r w:rsidRPr="00EB2BD8">
        <w:t>Grant</w:t>
      </w:r>
      <w:r w:rsidRPr="00EB2BD8">
        <w:rPr>
          <w:spacing w:val="-11"/>
        </w:rPr>
        <w:t xml:space="preserve"> </w:t>
      </w:r>
      <w:r w:rsidRPr="00EB2BD8">
        <w:t>recipients</w:t>
      </w:r>
      <w:r w:rsidRPr="00EB2BD8">
        <w:rPr>
          <w:spacing w:val="-11"/>
        </w:rPr>
        <w:t xml:space="preserve"> </w:t>
      </w:r>
      <w:r w:rsidRPr="00EB2BD8">
        <w:t>under</w:t>
      </w:r>
      <w:r w:rsidRPr="00EB2BD8">
        <w:rPr>
          <w:spacing w:val="-11"/>
        </w:rPr>
        <w:t xml:space="preserve"> </w:t>
      </w:r>
      <w:r w:rsidRPr="00EB2BD8">
        <w:t>the</w:t>
      </w:r>
      <w:r w:rsidRPr="00EB2BD8">
        <w:rPr>
          <w:spacing w:val="-11"/>
        </w:rPr>
        <w:t xml:space="preserve"> </w:t>
      </w:r>
      <w:r w:rsidRPr="00EB2BD8">
        <w:t>2022-23</w:t>
      </w:r>
      <w:r w:rsidRPr="00EB2BD8">
        <w:rPr>
          <w:spacing w:val="-11"/>
        </w:rPr>
        <w:t xml:space="preserve"> </w:t>
      </w:r>
      <w:r w:rsidRPr="00EB2BD8">
        <w:t>Grant</w:t>
      </w:r>
      <w:r w:rsidRPr="00EB2BD8">
        <w:rPr>
          <w:spacing w:val="-11"/>
        </w:rPr>
        <w:t xml:space="preserve"> </w:t>
      </w:r>
      <w:r w:rsidRPr="00EB2BD8">
        <w:t xml:space="preserve">Program </w:t>
      </w:r>
      <w:r w:rsidRPr="00EB2BD8">
        <w:rPr>
          <w:spacing w:val="-2"/>
        </w:rPr>
        <w:t>were:</w:t>
      </w:r>
    </w:p>
    <w:p w14:paraId="1B274BA9" w14:textId="77777777" w:rsidR="00084F36" w:rsidRPr="00EB2BD8" w:rsidRDefault="00EB2BD8">
      <w:pPr>
        <w:pStyle w:val="ListParagraph"/>
        <w:numPr>
          <w:ilvl w:val="0"/>
          <w:numId w:val="65"/>
        </w:numPr>
        <w:tabs>
          <w:tab w:val="left" w:pos="1133"/>
        </w:tabs>
        <w:spacing w:before="68" w:line="261" w:lineRule="auto"/>
        <w:ind w:right="181"/>
        <w:jc w:val="both"/>
        <w:rPr>
          <w:i/>
          <w:sz w:val="18"/>
        </w:rPr>
      </w:pPr>
      <w:r w:rsidRPr="00EB2BD8">
        <w:rPr>
          <w:sz w:val="18"/>
        </w:rPr>
        <w:t>RMIT</w:t>
      </w:r>
      <w:r w:rsidRPr="00EB2BD8">
        <w:rPr>
          <w:spacing w:val="-7"/>
          <w:sz w:val="18"/>
        </w:rPr>
        <w:t xml:space="preserve"> </w:t>
      </w:r>
      <w:r w:rsidRPr="00EB2BD8">
        <w:rPr>
          <w:sz w:val="18"/>
        </w:rPr>
        <w:t>University</w:t>
      </w:r>
      <w:r w:rsidRPr="00EB2BD8">
        <w:rPr>
          <w:spacing w:val="-7"/>
          <w:sz w:val="18"/>
        </w:rPr>
        <w:t xml:space="preserve"> </w:t>
      </w:r>
      <w:r w:rsidRPr="00EB2BD8">
        <w:rPr>
          <w:sz w:val="18"/>
        </w:rPr>
        <w:t>–</w:t>
      </w:r>
      <w:r w:rsidRPr="00EB2BD8">
        <w:rPr>
          <w:spacing w:val="-7"/>
          <w:sz w:val="18"/>
        </w:rPr>
        <w:t xml:space="preserve"> </w:t>
      </w:r>
      <w:hyperlink r:id="rId90">
        <w:r w:rsidRPr="00EB2BD8">
          <w:rPr>
            <w:i/>
            <w:sz w:val="18"/>
          </w:rPr>
          <w:t>Developing</w:t>
        </w:r>
        <w:r w:rsidRPr="00EB2BD8">
          <w:rPr>
            <w:i/>
            <w:spacing w:val="-7"/>
            <w:sz w:val="18"/>
          </w:rPr>
          <w:t xml:space="preserve"> </w:t>
        </w:r>
        <w:r w:rsidRPr="00EB2BD8">
          <w:rPr>
            <w:i/>
            <w:sz w:val="18"/>
          </w:rPr>
          <w:t>a</w:t>
        </w:r>
        <w:r w:rsidRPr="00EB2BD8">
          <w:rPr>
            <w:i/>
            <w:spacing w:val="-7"/>
            <w:sz w:val="18"/>
          </w:rPr>
          <w:t xml:space="preserve"> </w:t>
        </w:r>
        <w:r w:rsidRPr="00EB2BD8">
          <w:rPr>
            <w:i/>
            <w:sz w:val="18"/>
          </w:rPr>
          <w:t>Virtual</w:t>
        </w:r>
        <w:r w:rsidRPr="00EB2BD8">
          <w:rPr>
            <w:i/>
            <w:spacing w:val="-7"/>
            <w:sz w:val="18"/>
          </w:rPr>
          <w:t xml:space="preserve"> </w:t>
        </w:r>
        <w:r w:rsidRPr="00EB2BD8">
          <w:rPr>
            <w:i/>
            <w:sz w:val="18"/>
          </w:rPr>
          <w:t>Reality</w:t>
        </w:r>
        <w:r w:rsidRPr="00EB2BD8">
          <w:rPr>
            <w:i/>
            <w:spacing w:val="-7"/>
            <w:sz w:val="18"/>
          </w:rPr>
          <w:t xml:space="preserve"> </w:t>
        </w:r>
        <w:r w:rsidRPr="00EB2BD8">
          <w:rPr>
            <w:i/>
            <w:sz w:val="18"/>
          </w:rPr>
          <w:t>self-</w:t>
        </w:r>
      </w:hyperlink>
      <w:r w:rsidRPr="00EB2BD8">
        <w:rPr>
          <w:i/>
          <w:sz w:val="18"/>
        </w:rPr>
        <w:t xml:space="preserve"> </w:t>
      </w:r>
      <w:hyperlink r:id="rId91">
        <w:r w:rsidRPr="00EB2BD8">
          <w:rPr>
            <w:i/>
            <w:sz w:val="18"/>
          </w:rPr>
          <w:t>assessment platform to reduce compliance risk of</w:t>
        </w:r>
      </w:hyperlink>
      <w:r w:rsidRPr="00EB2BD8">
        <w:rPr>
          <w:i/>
          <w:sz w:val="18"/>
        </w:rPr>
        <w:t xml:space="preserve"> </w:t>
      </w:r>
      <w:hyperlink r:id="rId92">
        <w:r w:rsidRPr="00EB2BD8">
          <w:rPr>
            <w:i/>
            <w:w w:val="105"/>
            <w:sz w:val="18"/>
          </w:rPr>
          <w:t>building and plumbing work</w:t>
        </w:r>
      </w:hyperlink>
    </w:p>
    <w:p w14:paraId="4D8E4652" w14:textId="77777777" w:rsidR="00084F36" w:rsidRPr="00EB2BD8" w:rsidRDefault="00EB2BD8">
      <w:pPr>
        <w:pStyle w:val="ListParagraph"/>
        <w:numPr>
          <w:ilvl w:val="0"/>
          <w:numId w:val="65"/>
        </w:numPr>
        <w:tabs>
          <w:tab w:val="left" w:pos="1133"/>
        </w:tabs>
        <w:spacing w:before="67" w:line="261" w:lineRule="auto"/>
        <w:rPr>
          <w:i/>
          <w:sz w:val="18"/>
        </w:rPr>
      </w:pPr>
      <w:r w:rsidRPr="00EB2BD8">
        <w:rPr>
          <w:sz w:val="18"/>
        </w:rPr>
        <w:t xml:space="preserve">Swinburne University of Technology – </w:t>
      </w:r>
      <w:hyperlink r:id="rId93">
        <w:r w:rsidRPr="00EB2BD8">
          <w:rPr>
            <w:i/>
            <w:sz w:val="18"/>
          </w:rPr>
          <w:t>Investigation</w:t>
        </w:r>
      </w:hyperlink>
      <w:r w:rsidRPr="00EB2BD8">
        <w:rPr>
          <w:i/>
          <w:sz w:val="18"/>
        </w:rPr>
        <w:t xml:space="preserve"> </w:t>
      </w:r>
      <w:hyperlink r:id="rId94">
        <w:r w:rsidRPr="00EB2BD8">
          <w:rPr>
            <w:i/>
            <w:sz w:val="18"/>
          </w:rPr>
          <w:t>of</w:t>
        </w:r>
        <w:r w:rsidRPr="00EB2BD8">
          <w:rPr>
            <w:i/>
            <w:spacing w:val="-2"/>
            <w:sz w:val="18"/>
          </w:rPr>
          <w:t xml:space="preserve"> </w:t>
        </w:r>
        <w:r w:rsidRPr="00EB2BD8">
          <w:rPr>
            <w:i/>
            <w:sz w:val="18"/>
          </w:rPr>
          <w:t>water</w:t>
        </w:r>
        <w:r w:rsidRPr="00EB2BD8">
          <w:rPr>
            <w:i/>
            <w:spacing w:val="-2"/>
            <w:sz w:val="18"/>
          </w:rPr>
          <w:t xml:space="preserve"> </w:t>
        </w:r>
        <w:r w:rsidRPr="00EB2BD8">
          <w:rPr>
            <w:i/>
            <w:sz w:val="18"/>
          </w:rPr>
          <w:t>leakage</w:t>
        </w:r>
        <w:r w:rsidRPr="00EB2BD8">
          <w:rPr>
            <w:i/>
            <w:spacing w:val="-2"/>
            <w:sz w:val="18"/>
          </w:rPr>
          <w:t xml:space="preserve"> </w:t>
        </w:r>
        <w:r w:rsidRPr="00EB2BD8">
          <w:rPr>
            <w:i/>
            <w:sz w:val="18"/>
          </w:rPr>
          <w:t>in</w:t>
        </w:r>
        <w:r w:rsidRPr="00EB2BD8">
          <w:rPr>
            <w:i/>
            <w:spacing w:val="-2"/>
            <w:sz w:val="18"/>
          </w:rPr>
          <w:t xml:space="preserve"> </w:t>
        </w:r>
        <w:r w:rsidRPr="00EB2BD8">
          <w:rPr>
            <w:i/>
            <w:sz w:val="18"/>
          </w:rPr>
          <w:t>residential</w:t>
        </w:r>
        <w:r w:rsidRPr="00EB2BD8">
          <w:rPr>
            <w:i/>
            <w:spacing w:val="-2"/>
            <w:sz w:val="18"/>
          </w:rPr>
          <w:t xml:space="preserve"> </w:t>
        </w:r>
        <w:r w:rsidRPr="00EB2BD8">
          <w:rPr>
            <w:i/>
            <w:sz w:val="18"/>
          </w:rPr>
          <w:t>apartment</w:t>
        </w:r>
        <w:r w:rsidRPr="00EB2BD8">
          <w:rPr>
            <w:i/>
            <w:spacing w:val="-2"/>
            <w:sz w:val="18"/>
          </w:rPr>
          <w:t xml:space="preserve"> </w:t>
        </w:r>
        <w:r w:rsidRPr="00EB2BD8">
          <w:rPr>
            <w:i/>
            <w:sz w:val="18"/>
          </w:rPr>
          <w:t>(concrete)</w:t>
        </w:r>
      </w:hyperlink>
      <w:r w:rsidRPr="00EB2BD8">
        <w:rPr>
          <w:i/>
          <w:sz w:val="18"/>
        </w:rPr>
        <w:t xml:space="preserve"> </w:t>
      </w:r>
      <w:hyperlink r:id="rId95">
        <w:r w:rsidRPr="00EB2BD8">
          <w:rPr>
            <w:i/>
            <w:spacing w:val="-2"/>
            <w:sz w:val="18"/>
          </w:rPr>
          <w:t>balconies</w:t>
        </w:r>
      </w:hyperlink>
    </w:p>
    <w:p w14:paraId="662C8CE8" w14:textId="77777777" w:rsidR="00084F36" w:rsidRPr="00EB2BD8" w:rsidRDefault="00EB2BD8">
      <w:pPr>
        <w:pStyle w:val="ListParagraph"/>
        <w:numPr>
          <w:ilvl w:val="0"/>
          <w:numId w:val="65"/>
        </w:numPr>
        <w:tabs>
          <w:tab w:val="left" w:pos="1133"/>
        </w:tabs>
        <w:spacing w:before="67" w:line="261" w:lineRule="auto"/>
        <w:ind w:right="81"/>
        <w:rPr>
          <w:i/>
          <w:sz w:val="18"/>
        </w:rPr>
      </w:pPr>
      <w:r w:rsidRPr="00EB2BD8">
        <w:rPr>
          <w:sz w:val="18"/>
        </w:rPr>
        <w:t xml:space="preserve">University of Sydney – </w:t>
      </w:r>
      <w:hyperlink r:id="rId96">
        <w:r w:rsidRPr="00EB2BD8">
          <w:rPr>
            <w:i/>
            <w:sz w:val="18"/>
          </w:rPr>
          <w:t>Increasing building envelope</w:t>
        </w:r>
      </w:hyperlink>
      <w:r w:rsidRPr="00EB2BD8">
        <w:rPr>
          <w:i/>
          <w:sz w:val="18"/>
        </w:rPr>
        <w:t xml:space="preserve"> </w:t>
      </w:r>
      <w:hyperlink r:id="rId97">
        <w:r w:rsidRPr="00EB2BD8">
          <w:rPr>
            <w:i/>
            <w:w w:val="105"/>
            <w:sz w:val="18"/>
          </w:rPr>
          <w:t>resilience to moisture damage</w:t>
        </w:r>
      </w:hyperlink>
    </w:p>
    <w:p w14:paraId="5626874E" w14:textId="77777777" w:rsidR="00084F36" w:rsidRPr="00EB2BD8" w:rsidRDefault="00EB2BD8">
      <w:pPr>
        <w:pStyle w:val="BodyText"/>
        <w:spacing w:before="111" w:line="261" w:lineRule="auto"/>
        <w:ind w:left="850"/>
      </w:pPr>
      <w:r w:rsidRPr="00EB2BD8">
        <w:t>Through the 2022-23 Grant Program, the VBA supported</w:t>
      </w:r>
      <w:r w:rsidRPr="00EB2BD8">
        <w:rPr>
          <w:spacing w:val="-5"/>
        </w:rPr>
        <w:t xml:space="preserve"> </w:t>
      </w:r>
      <w:r w:rsidRPr="00EB2BD8">
        <w:t>research</w:t>
      </w:r>
      <w:r w:rsidRPr="00EB2BD8">
        <w:rPr>
          <w:spacing w:val="-5"/>
        </w:rPr>
        <w:t xml:space="preserve"> </w:t>
      </w:r>
      <w:r w:rsidRPr="00EB2BD8">
        <w:t>that</w:t>
      </w:r>
      <w:r w:rsidRPr="00EB2BD8">
        <w:rPr>
          <w:spacing w:val="-5"/>
        </w:rPr>
        <w:t xml:space="preserve"> </w:t>
      </w:r>
      <w:r w:rsidRPr="00EB2BD8">
        <w:t>will</w:t>
      </w:r>
      <w:r w:rsidRPr="00EB2BD8">
        <w:rPr>
          <w:spacing w:val="-5"/>
        </w:rPr>
        <w:t xml:space="preserve"> </w:t>
      </w:r>
      <w:r w:rsidRPr="00EB2BD8">
        <w:t>find,</w:t>
      </w:r>
      <w:r w:rsidRPr="00EB2BD8">
        <w:rPr>
          <w:spacing w:val="-5"/>
        </w:rPr>
        <w:t xml:space="preserve"> </w:t>
      </w:r>
      <w:r w:rsidRPr="00EB2BD8">
        <w:t>or</w:t>
      </w:r>
      <w:r w:rsidRPr="00EB2BD8">
        <w:rPr>
          <w:spacing w:val="-5"/>
        </w:rPr>
        <w:t xml:space="preserve"> </w:t>
      </w:r>
      <w:r w:rsidRPr="00EB2BD8">
        <w:t>contribute</w:t>
      </w:r>
      <w:r w:rsidRPr="00EB2BD8">
        <w:rPr>
          <w:spacing w:val="-5"/>
        </w:rPr>
        <w:t xml:space="preserve"> </w:t>
      </w:r>
      <w:r w:rsidRPr="00EB2BD8">
        <w:t>to,</w:t>
      </w:r>
      <w:r w:rsidRPr="00EB2BD8">
        <w:rPr>
          <w:spacing w:val="-5"/>
        </w:rPr>
        <w:t xml:space="preserve"> </w:t>
      </w:r>
      <w:r w:rsidRPr="00EB2BD8">
        <w:t>new and innovative solutions to minimise moisture ingress and water damage. This will help provide the evidence base</w:t>
      </w:r>
      <w:r w:rsidRPr="00EB2BD8">
        <w:rPr>
          <w:spacing w:val="-4"/>
        </w:rPr>
        <w:t xml:space="preserve"> </w:t>
      </w:r>
      <w:r w:rsidRPr="00EB2BD8">
        <w:t>to</w:t>
      </w:r>
      <w:r w:rsidRPr="00EB2BD8">
        <w:rPr>
          <w:spacing w:val="-4"/>
        </w:rPr>
        <w:t xml:space="preserve"> </w:t>
      </w:r>
      <w:r w:rsidRPr="00EB2BD8">
        <w:t>inform</w:t>
      </w:r>
      <w:r w:rsidRPr="00EB2BD8">
        <w:rPr>
          <w:spacing w:val="-4"/>
        </w:rPr>
        <w:t xml:space="preserve"> </w:t>
      </w:r>
      <w:r w:rsidRPr="00EB2BD8">
        <w:t>regulatory</w:t>
      </w:r>
      <w:r w:rsidRPr="00EB2BD8">
        <w:rPr>
          <w:spacing w:val="-4"/>
        </w:rPr>
        <w:t xml:space="preserve"> </w:t>
      </w:r>
      <w:r w:rsidRPr="00EB2BD8">
        <w:t>decisions</w:t>
      </w:r>
      <w:r w:rsidRPr="00EB2BD8">
        <w:rPr>
          <w:spacing w:val="-4"/>
        </w:rPr>
        <w:t xml:space="preserve"> </w:t>
      </w:r>
      <w:r w:rsidRPr="00EB2BD8">
        <w:t>and</w:t>
      </w:r>
      <w:r w:rsidRPr="00EB2BD8">
        <w:rPr>
          <w:spacing w:val="-4"/>
        </w:rPr>
        <w:t xml:space="preserve"> </w:t>
      </w:r>
      <w:r w:rsidRPr="00EB2BD8">
        <w:t>improvements to</w:t>
      </w:r>
      <w:r w:rsidRPr="00EB2BD8">
        <w:rPr>
          <w:spacing w:val="-9"/>
        </w:rPr>
        <w:t xml:space="preserve"> </w:t>
      </w:r>
      <w:r w:rsidRPr="00EB2BD8">
        <w:t>the</w:t>
      </w:r>
      <w:r w:rsidRPr="00EB2BD8">
        <w:rPr>
          <w:spacing w:val="-9"/>
        </w:rPr>
        <w:t xml:space="preserve"> </w:t>
      </w:r>
      <w:r w:rsidRPr="00EB2BD8">
        <w:t>building</w:t>
      </w:r>
      <w:r w:rsidRPr="00EB2BD8">
        <w:rPr>
          <w:spacing w:val="-9"/>
        </w:rPr>
        <w:t xml:space="preserve"> </w:t>
      </w:r>
      <w:r w:rsidRPr="00EB2BD8">
        <w:t>regulatory</w:t>
      </w:r>
      <w:r w:rsidRPr="00EB2BD8">
        <w:rPr>
          <w:spacing w:val="-9"/>
        </w:rPr>
        <w:t xml:space="preserve"> </w:t>
      </w:r>
      <w:r w:rsidRPr="00EB2BD8">
        <w:t>system</w:t>
      </w:r>
      <w:r w:rsidRPr="00EB2BD8">
        <w:rPr>
          <w:spacing w:val="-9"/>
        </w:rPr>
        <w:t xml:space="preserve"> </w:t>
      </w:r>
      <w:r w:rsidRPr="00EB2BD8">
        <w:t>and</w:t>
      </w:r>
      <w:r w:rsidRPr="00EB2BD8">
        <w:rPr>
          <w:spacing w:val="-9"/>
        </w:rPr>
        <w:t xml:space="preserve"> </w:t>
      </w:r>
      <w:r w:rsidRPr="00EB2BD8">
        <w:t>the</w:t>
      </w:r>
      <w:r w:rsidRPr="00EB2BD8">
        <w:rPr>
          <w:spacing w:val="-9"/>
        </w:rPr>
        <w:t xml:space="preserve"> </w:t>
      </w:r>
      <w:r w:rsidRPr="00EB2BD8">
        <w:t>quality</w:t>
      </w:r>
      <w:r w:rsidRPr="00EB2BD8">
        <w:rPr>
          <w:spacing w:val="-9"/>
        </w:rPr>
        <w:t xml:space="preserve"> </w:t>
      </w:r>
      <w:r w:rsidRPr="00EB2BD8">
        <w:t>of</w:t>
      </w:r>
      <w:r w:rsidRPr="00EB2BD8">
        <w:rPr>
          <w:spacing w:val="-9"/>
        </w:rPr>
        <w:t xml:space="preserve"> </w:t>
      </w:r>
      <w:r w:rsidRPr="00EB2BD8">
        <w:t>the built environment in Victoria.</w:t>
      </w:r>
    </w:p>
    <w:p w14:paraId="1F21B22D" w14:textId="77777777" w:rsidR="00084F36" w:rsidRPr="00EB2BD8" w:rsidRDefault="00EB2BD8" w:rsidP="001975DF">
      <w:pPr>
        <w:pStyle w:val="Heading2"/>
        <w:ind w:left="426"/>
      </w:pPr>
      <w:r w:rsidRPr="00EB2BD8">
        <w:br w:type="column"/>
      </w:r>
      <w:bookmarkStart w:id="96" w:name="_Toc150762398"/>
      <w:r w:rsidRPr="00EB2BD8">
        <w:t>Safer</w:t>
      </w:r>
      <w:r w:rsidRPr="00EB2BD8">
        <w:rPr>
          <w:spacing w:val="-23"/>
        </w:rPr>
        <w:t xml:space="preserve"> </w:t>
      </w:r>
      <w:r w:rsidRPr="00EB2BD8">
        <w:t>building</w:t>
      </w:r>
      <w:r w:rsidRPr="00EB2BD8">
        <w:rPr>
          <w:spacing w:val="-23"/>
        </w:rPr>
        <w:t xml:space="preserve"> </w:t>
      </w:r>
      <w:r w:rsidRPr="00EB2BD8">
        <w:t>and</w:t>
      </w:r>
      <w:r w:rsidRPr="00EB2BD8">
        <w:rPr>
          <w:spacing w:val="-23"/>
        </w:rPr>
        <w:t xml:space="preserve"> </w:t>
      </w:r>
      <w:r w:rsidRPr="00EB2BD8">
        <w:t xml:space="preserve">plumbing </w:t>
      </w:r>
      <w:r w:rsidRPr="00EB2BD8">
        <w:rPr>
          <w:spacing w:val="-10"/>
        </w:rPr>
        <w:t>work</w:t>
      </w:r>
      <w:r w:rsidRPr="00EB2BD8">
        <w:rPr>
          <w:spacing w:val="-19"/>
        </w:rPr>
        <w:t xml:space="preserve"> </w:t>
      </w:r>
      <w:r w:rsidRPr="00EB2BD8">
        <w:rPr>
          <w:spacing w:val="-10"/>
        </w:rPr>
        <w:t>with</w:t>
      </w:r>
      <w:r w:rsidRPr="00EB2BD8">
        <w:rPr>
          <w:spacing w:val="-19"/>
        </w:rPr>
        <w:t xml:space="preserve"> </w:t>
      </w:r>
      <w:r w:rsidRPr="00EB2BD8">
        <w:rPr>
          <w:spacing w:val="-10"/>
        </w:rPr>
        <w:t>fewer</w:t>
      </w:r>
      <w:r w:rsidRPr="00EB2BD8">
        <w:rPr>
          <w:spacing w:val="-19"/>
        </w:rPr>
        <w:t xml:space="preserve"> </w:t>
      </w:r>
      <w:r w:rsidRPr="00EB2BD8">
        <w:rPr>
          <w:spacing w:val="-10"/>
        </w:rPr>
        <w:t>major</w:t>
      </w:r>
      <w:r w:rsidRPr="00EB2BD8">
        <w:rPr>
          <w:spacing w:val="-19"/>
        </w:rPr>
        <w:t xml:space="preserve"> </w:t>
      </w:r>
      <w:r w:rsidRPr="00EB2BD8">
        <w:rPr>
          <w:spacing w:val="-10"/>
        </w:rPr>
        <w:t>defects</w:t>
      </w:r>
      <w:bookmarkEnd w:id="96"/>
    </w:p>
    <w:p w14:paraId="6ABD1EF8" w14:textId="77777777" w:rsidR="00084F36" w:rsidRPr="00EB2BD8" w:rsidRDefault="00EB2BD8" w:rsidP="00C1767B">
      <w:pPr>
        <w:pStyle w:val="Heading3"/>
        <w:ind w:left="426"/>
      </w:pPr>
      <w:bookmarkStart w:id="97" w:name="_Toc150762399"/>
      <w:r w:rsidRPr="00EB2BD8">
        <w:t>Investigating</w:t>
      </w:r>
      <w:r w:rsidRPr="00EB2BD8">
        <w:rPr>
          <w:spacing w:val="-21"/>
        </w:rPr>
        <w:t xml:space="preserve"> </w:t>
      </w:r>
      <w:r w:rsidRPr="00EB2BD8">
        <w:t>passive</w:t>
      </w:r>
      <w:r w:rsidRPr="00EB2BD8">
        <w:rPr>
          <w:spacing w:val="-19"/>
        </w:rPr>
        <w:t xml:space="preserve"> </w:t>
      </w:r>
      <w:r w:rsidRPr="00EB2BD8">
        <w:t>fire</w:t>
      </w:r>
      <w:r w:rsidRPr="00EB2BD8">
        <w:rPr>
          <w:spacing w:val="-19"/>
        </w:rPr>
        <w:t xml:space="preserve"> </w:t>
      </w:r>
      <w:r w:rsidRPr="00EB2BD8">
        <w:t>protection defects</w:t>
      </w:r>
      <w:r w:rsidRPr="00EB2BD8">
        <w:rPr>
          <w:spacing w:val="-13"/>
        </w:rPr>
        <w:t xml:space="preserve"> </w:t>
      </w:r>
      <w:r w:rsidRPr="00EB2BD8">
        <w:t>in</w:t>
      </w:r>
      <w:r w:rsidRPr="00EB2BD8">
        <w:rPr>
          <w:spacing w:val="-13"/>
        </w:rPr>
        <w:t xml:space="preserve"> </w:t>
      </w:r>
      <w:r w:rsidRPr="00EB2BD8">
        <w:t>residential</w:t>
      </w:r>
      <w:r w:rsidRPr="00EB2BD8">
        <w:rPr>
          <w:spacing w:val="-13"/>
        </w:rPr>
        <w:t xml:space="preserve"> </w:t>
      </w:r>
      <w:r w:rsidRPr="00EB2BD8">
        <w:t xml:space="preserve">multi-owned </w:t>
      </w:r>
      <w:r w:rsidRPr="00EB2BD8">
        <w:rPr>
          <w:spacing w:val="-2"/>
        </w:rPr>
        <w:t>properties</w:t>
      </w:r>
      <w:bookmarkEnd w:id="97"/>
    </w:p>
    <w:p w14:paraId="7459F9E4" w14:textId="177D8D59" w:rsidR="00084F36" w:rsidRPr="00EB2BD8" w:rsidRDefault="00E13356" w:rsidP="00E13356">
      <w:pPr>
        <w:pStyle w:val="Heading3"/>
        <w:ind w:left="0"/>
      </w:pPr>
      <w:r>
        <w:t xml:space="preserve">       </w:t>
      </w:r>
      <w:bookmarkStart w:id="98" w:name="_Toc150762400"/>
      <w:r w:rsidR="00EB2BD8" w:rsidRPr="00EB2BD8">
        <w:t>What</w:t>
      </w:r>
      <w:r w:rsidR="00EB2BD8" w:rsidRPr="00EB2BD8">
        <w:rPr>
          <w:spacing w:val="-15"/>
        </w:rPr>
        <w:t xml:space="preserve"> </w:t>
      </w:r>
      <w:r w:rsidR="00EB2BD8" w:rsidRPr="00EB2BD8">
        <w:t>we</w:t>
      </w:r>
      <w:r w:rsidR="00EB2BD8" w:rsidRPr="00EB2BD8">
        <w:rPr>
          <w:spacing w:val="-14"/>
        </w:rPr>
        <w:t xml:space="preserve"> </w:t>
      </w:r>
      <w:r w:rsidR="00EB2BD8" w:rsidRPr="00EB2BD8">
        <w:t>did</w:t>
      </w:r>
      <w:r w:rsidR="00EB2BD8" w:rsidRPr="00EB2BD8">
        <w:rPr>
          <w:spacing w:val="-14"/>
        </w:rPr>
        <w:t xml:space="preserve"> </w:t>
      </w:r>
      <w:r w:rsidR="00EB2BD8" w:rsidRPr="00EB2BD8">
        <w:t>and</w:t>
      </w:r>
      <w:r w:rsidR="00EB2BD8" w:rsidRPr="00EB2BD8">
        <w:rPr>
          <w:spacing w:val="-15"/>
        </w:rPr>
        <w:t xml:space="preserve"> </w:t>
      </w:r>
      <w:r w:rsidR="00EB2BD8" w:rsidRPr="00EB2BD8">
        <w:rPr>
          <w:spacing w:val="-5"/>
        </w:rPr>
        <w:t>why</w:t>
      </w:r>
      <w:bookmarkEnd w:id="98"/>
    </w:p>
    <w:p w14:paraId="3AD48BF3" w14:textId="77777777" w:rsidR="00084F36" w:rsidRPr="00EB2BD8" w:rsidRDefault="00EB2BD8">
      <w:pPr>
        <w:pStyle w:val="BodyText"/>
        <w:spacing w:before="124" w:line="261" w:lineRule="auto"/>
        <w:ind w:left="421" w:right="852"/>
      </w:pPr>
      <w:r w:rsidRPr="00EB2BD8">
        <w:t>The VBA supported research by Deakin University, through a research grant awarded in 2021, to better understand the types and prevalence of defects in passive</w:t>
      </w:r>
      <w:r w:rsidRPr="00EB2BD8">
        <w:rPr>
          <w:spacing w:val="-3"/>
        </w:rPr>
        <w:t xml:space="preserve"> </w:t>
      </w:r>
      <w:r w:rsidRPr="00EB2BD8">
        <w:t>fire</w:t>
      </w:r>
      <w:r w:rsidRPr="00EB2BD8">
        <w:rPr>
          <w:spacing w:val="-3"/>
        </w:rPr>
        <w:t xml:space="preserve"> </w:t>
      </w:r>
      <w:r w:rsidRPr="00EB2BD8">
        <w:t>protection</w:t>
      </w:r>
      <w:r w:rsidRPr="00EB2BD8">
        <w:rPr>
          <w:spacing w:val="-3"/>
        </w:rPr>
        <w:t xml:space="preserve"> </w:t>
      </w:r>
      <w:r w:rsidRPr="00EB2BD8">
        <w:t>systems</w:t>
      </w:r>
      <w:r w:rsidRPr="00EB2BD8">
        <w:rPr>
          <w:spacing w:val="-3"/>
        </w:rPr>
        <w:t xml:space="preserve"> </w:t>
      </w:r>
      <w:r w:rsidRPr="00EB2BD8">
        <w:t>in</w:t>
      </w:r>
      <w:r w:rsidRPr="00EB2BD8">
        <w:rPr>
          <w:spacing w:val="-3"/>
        </w:rPr>
        <w:t xml:space="preserve"> </w:t>
      </w:r>
      <w:r w:rsidRPr="00EB2BD8">
        <w:t>Victorian</w:t>
      </w:r>
      <w:r w:rsidRPr="00EB2BD8">
        <w:rPr>
          <w:spacing w:val="-3"/>
        </w:rPr>
        <w:t xml:space="preserve"> </w:t>
      </w:r>
      <w:r w:rsidRPr="00EB2BD8">
        <w:t>apartment buildings across the building lifecycle.</w:t>
      </w:r>
    </w:p>
    <w:p w14:paraId="0709C751" w14:textId="77777777" w:rsidR="00084F36" w:rsidRPr="00EB2BD8" w:rsidRDefault="00EB2BD8">
      <w:pPr>
        <w:pStyle w:val="BodyText"/>
        <w:spacing w:before="108" w:line="261" w:lineRule="auto"/>
        <w:ind w:left="421" w:right="852"/>
      </w:pPr>
      <w:r w:rsidRPr="00EB2BD8">
        <w:t>An</w:t>
      </w:r>
      <w:r w:rsidRPr="00EB2BD8">
        <w:rPr>
          <w:spacing w:val="-7"/>
        </w:rPr>
        <w:t xml:space="preserve"> </w:t>
      </w:r>
      <w:r w:rsidRPr="00EB2BD8">
        <w:t>adequate</w:t>
      </w:r>
      <w:r w:rsidRPr="00EB2BD8">
        <w:rPr>
          <w:spacing w:val="-7"/>
        </w:rPr>
        <w:t xml:space="preserve"> </w:t>
      </w:r>
      <w:r w:rsidRPr="00EB2BD8">
        <w:t>level</w:t>
      </w:r>
      <w:r w:rsidRPr="00EB2BD8">
        <w:rPr>
          <w:spacing w:val="-7"/>
        </w:rPr>
        <w:t xml:space="preserve"> </w:t>
      </w:r>
      <w:r w:rsidRPr="00EB2BD8">
        <w:t>of</w:t>
      </w:r>
      <w:r w:rsidRPr="00EB2BD8">
        <w:rPr>
          <w:spacing w:val="-7"/>
        </w:rPr>
        <w:t xml:space="preserve"> </w:t>
      </w:r>
      <w:r w:rsidRPr="00EB2BD8">
        <w:t>fire</w:t>
      </w:r>
      <w:r w:rsidRPr="00EB2BD8">
        <w:rPr>
          <w:spacing w:val="-7"/>
        </w:rPr>
        <w:t xml:space="preserve"> </w:t>
      </w:r>
      <w:r w:rsidRPr="00EB2BD8">
        <w:t>safety</w:t>
      </w:r>
      <w:r w:rsidRPr="00EB2BD8">
        <w:rPr>
          <w:spacing w:val="-7"/>
        </w:rPr>
        <w:t xml:space="preserve"> </w:t>
      </w:r>
      <w:r w:rsidRPr="00EB2BD8">
        <w:t>requires</w:t>
      </w:r>
      <w:r w:rsidRPr="00EB2BD8">
        <w:rPr>
          <w:spacing w:val="-7"/>
        </w:rPr>
        <w:t xml:space="preserve"> </w:t>
      </w:r>
      <w:r w:rsidRPr="00EB2BD8">
        <w:t>all</w:t>
      </w:r>
      <w:r w:rsidRPr="00EB2BD8">
        <w:rPr>
          <w:spacing w:val="-7"/>
        </w:rPr>
        <w:t xml:space="preserve"> </w:t>
      </w:r>
      <w:r w:rsidRPr="00EB2BD8">
        <w:t xml:space="preserve">components </w:t>
      </w:r>
      <w:r w:rsidRPr="00EB2BD8">
        <w:rPr>
          <w:w w:val="105"/>
        </w:rPr>
        <w:t>of</w:t>
      </w:r>
      <w:r w:rsidRPr="00EB2BD8">
        <w:rPr>
          <w:spacing w:val="-15"/>
          <w:w w:val="105"/>
        </w:rPr>
        <w:t xml:space="preserve"> </w:t>
      </w:r>
      <w:r w:rsidRPr="00EB2BD8">
        <w:rPr>
          <w:w w:val="105"/>
        </w:rPr>
        <w:t>the</w:t>
      </w:r>
      <w:r w:rsidRPr="00EB2BD8">
        <w:rPr>
          <w:spacing w:val="-15"/>
          <w:w w:val="105"/>
        </w:rPr>
        <w:t xml:space="preserve"> </w:t>
      </w:r>
      <w:r w:rsidRPr="00EB2BD8">
        <w:rPr>
          <w:w w:val="105"/>
        </w:rPr>
        <w:t>building’s</w:t>
      </w:r>
      <w:r w:rsidRPr="00EB2BD8">
        <w:rPr>
          <w:spacing w:val="-15"/>
          <w:w w:val="105"/>
        </w:rPr>
        <w:t xml:space="preserve"> </w:t>
      </w:r>
      <w:r w:rsidRPr="00EB2BD8">
        <w:rPr>
          <w:w w:val="105"/>
        </w:rPr>
        <w:t>fire</w:t>
      </w:r>
      <w:r w:rsidRPr="00EB2BD8">
        <w:rPr>
          <w:spacing w:val="-15"/>
          <w:w w:val="105"/>
        </w:rPr>
        <w:t xml:space="preserve"> </w:t>
      </w:r>
      <w:r w:rsidRPr="00EB2BD8">
        <w:rPr>
          <w:w w:val="105"/>
        </w:rPr>
        <w:t>safety</w:t>
      </w:r>
      <w:r w:rsidRPr="00EB2BD8">
        <w:rPr>
          <w:spacing w:val="-15"/>
          <w:w w:val="105"/>
        </w:rPr>
        <w:t xml:space="preserve"> </w:t>
      </w:r>
      <w:r w:rsidRPr="00EB2BD8">
        <w:rPr>
          <w:w w:val="105"/>
        </w:rPr>
        <w:t>system</w:t>
      </w:r>
      <w:r w:rsidRPr="00EB2BD8">
        <w:rPr>
          <w:spacing w:val="-15"/>
          <w:w w:val="105"/>
        </w:rPr>
        <w:t xml:space="preserve"> </w:t>
      </w:r>
      <w:r w:rsidRPr="00EB2BD8">
        <w:rPr>
          <w:w w:val="105"/>
        </w:rPr>
        <w:t>to</w:t>
      </w:r>
      <w:r w:rsidRPr="00EB2BD8">
        <w:rPr>
          <w:spacing w:val="-15"/>
          <w:w w:val="105"/>
        </w:rPr>
        <w:t xml:space="preserve"> </w:t>
      </w:r>
      <w:r w:rsidRPr="00EB2BD8">
        <w:rPr>
          <w:w w:val="105"/>
        </w:rPr>
        <w:t>function</w:t>
      </w:r>
      <w:r w:rsidRPr="00EB2BD8">
        <w:rPr>
          <w:spacing w:val="-15"/>
          <w:w w:val="105"/>
        </w:rPr>
        <w:t xml:space="preserve"> </w:t>
      </w:r>
      <w:r w:rsidRPr="00EB2BD8">
        <w:rPr>
          <w:w w:val="105"/>
        </w:rPr>
        <w:t>in</w:t>
      </w:r>
      <w:r w:rsidRPr="00EB2BD8">
        <w:rPr>
          <w:spacing w:val="-15"/>
          <w:w w:val="105"/>
        </w:rPr>
        <w:t xml:space="preserve"> </w:t>
      </w:r>
      <w:r w:rsidRPr="00EB2BD8">
        <w:rPr>
          <w:w w:val="105"/>
        </w:rPr>
        <w:t>a coordinated</w:t>
      </w:r>
      <w:r w:rsidRPr="00EB2BD8">
        <w:rPr>
          <w:spacing w:val="-13"/>
          <w:w w:val="105"/>
        </w:rPr>
        <w:t xml:space="preserve"> </w:t>
      </w:r>
      <w:r w:rsidRPr="00EB2BD8">
        <w:rPr>
          <w:w w:val="105"/>
        </w:rPr>
        <w:t>way.</w:t>
      </w:r>
      <w:r w:rsidRPr="00EB2BD8">
        <w:rPr>
          <w:spacing w:val="-13"/>
          <w:w w:val="105"/>
        </w:rPr>
        <w:t xml:space="preserve"> </w:t>
      </w:r>
      <w:r w:rsidRPr="00EB2BD8">
        <w:rPr>
          <w:w w:val="105"/>
        </w:rPr>
        <w:t>While</w:t>
      </w:r>
      <w:r w:rsidRPr="00EB2BD8">
        <w:rPr>
          <w:spacing w:val="-13"/>
          <w:w w:val="105"/>
        </w:rPr>
        <w:t xml:space="preserve"> </w:t>
      </w:r>
      <w:r w:rsidRPr="00EB2BD8">
        <w:rPr>
          <w:w w:val="105"/>
        </w:rPr>
        <w:t>active</w:t>
      </w:r>
      <w:r w:rsidRPr="00EB2BD8">
        <w:rPr>
          <w:spacing w:val="-13"/>
          <w:w w:val="105"/>
        </w:rPr>
        <w:t xml:space="preserve"> </w:t>
      </w:r>
      <w:r w:rsidRPr="00EB2BD8">
        <w:rPr>
          <w:w w:val="105"/>
        </w:rPr>
        <w:t>systems</w:t>
      </w:r>
      <w:r w:rsidRPr="00EB2BD8">
        <w:rPr>
          <w:spacing w:val="-13"/>
          <w:w w:val="105"/>
        </w:rPr>
        <w:t xml:space="preserve"> </w:t>
      </w:r>
      <w:r w:rsidRPr="00EB2BD8">
        <w:rPr>
          <w:w w:val="105"/>
        </w:rPr>
        <w:t>such</w:t>
      </w:r>
      <w:r w:rsidRPr="00EB2BD8">
        <w:rPr>
          <w:spacing w:val="-13"/>
          <w:w w:val="105"/>
        </w:rPr>
        <w:t xml:space="preserve"> </w:t>
      </w:r>
      <w:r w:rsidRPr="00EB2BD8">
        <w:rPr>
          <w:w w:val="105"/>
        </w:rPr>
        <w:t>as</w:t>
      </w:r>
      <w:r w:rsidRPr="00EB2BD8">
        <w:rPr>
          <w:spacing w:val="-13"/>
          <w:w w:val="105"/>
        </w:rPr>
        <w:t xml:space="preserve"> </w:t>
      </w:r>
      <w:r w:rsidRPr="00EB2BD8">
        <w:rPr>
          <w:w w:val="105"/>
        </w:rPr>
        <w:t>smoke alarms</w:t>
      </w:r>
      <w:r w:rsidRPr="00EB2BD8">
        <w:rPr>
          <w:spacing w:val="-7"/>
          <w:w w:val="105"/>
        </w:rPr>
        <w:t xml:space="preserve"> </w:t>
      </w:r>
      <w:r w:rsidRPr="00EB2BD8">
        <w:rPr>
          <w:w w:val="105"/>
        </w:rPr>
        <w:t>and</w:t>
      </w:r>
      <w:r w:rsidRPr="00EB2BD8">
        <w:rPr>
          <w:spacing w:val="-7"/>
          <w:w w:val="105"/>
        </w:rPr>
        <w:t xml:space="preserve"> </w:t>
      </w:r>
      <w:r w:rsidRPr="00EB2BD8">
        <w:rPr>
          <w:w w:val="105"/>
        </w:rPr>
        <w:t>sprinklers</w:t>
      </w:r>
      <w:r w:rsidRPr="00EB2BD8">
        <w:rPr>
          <w:spacing w:val="-7"/>
          <w:w w:val="105"/>
        </w:rPr>
        <w:t xml:space="preserve"> </w:t>
      </w:r>
      <w:r w:rsidRPr="00EB2BD8">
        <w:rPr>
          <w:w w:val="105"/>
        </w:rPr>
        <w:t>are</w:t>
      </w:r>
      <w:r w:rsidRPr="00EB2BD8">
        <w:rPr>
          <w:spacing w:val="-7"/>
          <w:w w:val="105"/>
        </w:rPr>
        <w:t xml:space="preserve"> </w:t>
      </w:r>
      <w:r w:rsidRPr="00EB2BD8">
        <w:rPr>
          <w:w w:val="105"/>
        </w:rPr>
        <w:t>activated</w:t>
      </w:r>
      <w:r w:rsidRPr="00EB2BD8">
        <w:rPr>
          <w:spacing w:val="-7"/>
          <w:w w:val="105"/>
        </w:rPr>
        <w:t xml:space="preserve"> </w:t>
      </w:r>
      <w:r w:rsidRPr="00EB2BD8">
        <w:rPr>
          <w:w w:val="105"/>
        </w:rPr>
        <w:t>when</w:t>
      </w:r>
      <w:r w:rsidRPr="00EB2BD8">
        <w:rPr>
          <w:spacing w:val="-7"/>
          <w:w w:val="105"/>
        </w:rPr>
        <w:t xml:space="preserve"> </w:t>
      </w:r>
      <w:r w:rsidRPr="00EB2BD8">
        <w:rPr>
          <w:w w:val="105"/>
        </w:rPr>
        <w:t>exposed</w:t>
      </w:r>
      <w:r w:rsidRPr="00EB2BD8">
        <w:rPr>
          <w:spacing w:val="-7"/>
          <w:w w:val="105"/>
        </w:rPr>
        <w:t xml:space="preserve"> </w:t>
      </w:r>
      <w:r w:rsidRPr="00EB2BD8">
        <w:rPr>
          <w:w w:val="105"/>
        </w:rPr>
        <w:t>to heat,</w:t>
      </w:r>
      <w:r w:rsidRPr="00EB2BD8">
        <w:rPr>
          <w:spacing w:val="-15"/>
          <w:w w:val="105"/>
        </w:rPr>
        <w:t xml:space="preserve"> </w:t>
      </w:r>
      <w:r w:rsidRPr="00EB2BD8">
        <w:rPr>
          <w:w w:val="105"/>
        </w:rPr>
        <w:t>smoke</w:t>
      </w:r>
      <w:r w:rsidRPr="00EB2BD8">
        <w:rPr>
          <w:spacing w:val="-15"/>
          <w:w w:val="105"/>
        </w:rPr>
        <w:t xml:space="preserve"> </w:t>
      </w:r>
      <w:r w:rsidRPr="00EB2BD8">
        <w:rPr>
          <w:w w:val="105"/>
        </w:rPr>
        <w:t>and</w:t>
      </w:r>
      <w:r w:rsidRPr="00EB2BD8">
        <w:rPr>
          <w:spacing w:val="-15"/>
          <w:w w:val="105"/>
        </w:rPr>
        <w:t xml:space="preserve"> </w:t>
      </w:r>
      <w:r w:rsidRPr="00EB2BD8">
        <w:rPr>
          <w:w w:val="105"/>
        </w:rPr>
        <w:t>toxic</w:t>
      </w:r>
      <w:r w:rsidRPr="00EB2BD8">
        <w:rPr>
          <w:spacing w:val="-15"/>
          <w:w w:val="105"/>
        </w:rPr>
        <w:t xml:space="preserve"> </w:t>
      </w:r>
      <w:r w:rsidRPr="00EB2BD8">
        <w:rPr>
          <w:w w:val="105"/>
        </w:rPr>
        <w:t>gases,</w:t>
      </w:r>
      <w:r w:rsidRPr="00EB2BD8">
        <w:rPr>
          <w:spacing w:val="-15"/>
          <w:w w:val="105"/>
        </w:rPr>
        <w:t xml:space="preserve"> </w:t>
      </w:r>
      <w:r w:rsidRPr="00EB2BD8">
        <w:rPr>
          <w:w w:val="105"/>
        </w:rPr>
        <w:t>passive</w:t>
      </w:r>
      <w:r w:rsidRPr="00EB2BD8">
        <w:rPr>
          <w:spacing w:val="-15"/>
          <w:w w:val="105"/>
        </w:rPr>
        <w:t xml:space="preserve"> </w:t>
      </w:r>
      <w:r w:rsidRPr="00EB2BD8">
        <w:rPr>
          <w:w w:val="105"/>
        </w:rPr>
        <w:t>fire</w:t>
      </w:r>
      <w:r w:rsidRPr="00EB2BD8">
        <w:rPr>
          <w:spacing w:val="-15"/>
          <w:w w:val="105"/>
        </w:rPr>
        <w:t xml:space="preserve"> </w:t>
      </w:r>
      <w:r w:rsidRPr="00EB2BD8">
        <w:rPr>
          <w:w w:val="105"/>
        </w:rPr>
        <w:t>protection systems</w:t>
      </w:r>
      <w:r w:rsidRPr="00EB2BD8">
        <w:rPr>
          <w:spacing w:val="-6"/>
          <w:w w:val="105"/>
        </w:rPr>
        <w:t xml:space="preserve"> </w:t>
      </w:r>
      <w:r w:rsidRPr="00EB2BD8">
        <w:rPr>
          <w:w w:val="105"/>
        </w:rPr>
        <w:t>don’t</w:t>
      </w:r>
      <w:r w:rsidRPr="00EB2BD8">
        <w:rPr>
          <w:spacing w:val="-6"/>
          <w:w w:val="105"/>
        </w:rPr>
        <w:t xml:space="preserve"> </w:t>
      </w:r>
      <w:r w:rsidRPr="00EB2BD8">
        <w:rPr>
          <w:w w:val="105"/>
        </w:rPr>
        <w:t>need</w:t>
      </w:r>
      <w:r w:rsidRPr="00EB2BD8">
        <w:rPr>
          <w:spacing w:val="-6"/>
          <w:w w:val="105"/>
        </w:rPr>
        <w:t xml:space="preserve"> </w:t>
      </w:r>
      <w:r w:rsidRPr="00EB2BD8">
        <w:rPr>
          <w:w w:val="105"/>
        </w:rPr>
        <w:t>to</w:t>
      </w:r>
      <w:r w:rsidRPr="00EB2BD8">
        <w:rPr>
          <w:spacing w:val="-6"/>
          <w:w w:val="105"/>
        </w:rPr>
        <w:t xml:space="preserve"> </w:t>
      </w:r>
      <w:r w:rsidRPr="00EB2BD8">
        <w:rPr>
          <w:w w:val="105"/>
        </w:rPr>
        <w:t>be</w:t>
      </w:r>
      <w:r w:rsidRPr="00EB2BD8">
        <w:rPr>
          <w:spacing w:val="-6"/>
          <w:w w:val="105"/>
        </w:rPr>
        <w:t xml:space="preserve"> </w:t>
      </w:r>
      <w:r w:rsidRPr="00EB2BD8">
        <w:rPr>
          <w:w w:val="105"/>
        </w:rPr>
        <w:t>activated</w:t>
      </w:r>
      <w:r w:rsidRPr="00EB2BD8">
        <w:rPr>
          <w:spacing w:val="-6"/>
          <w:w w:val="105"/>
        </w:rPr>
        <w:t xml:space="preserve"> </w:t>
      </w:r>
      <w:r w:rsidRPr="00EB2BD8">
        <w:rPr>
          <w:w w:val="105"/>
        </w:rPr>
        <w:t>manually</w:t>
      </w:r>
      <w:r w:rsidRPr="00EB2BD8">
        <w:rPr>
          <w:spacing w:val="-6"/>
          <w:w w:val="105"/>
        </w:rPr>
        <w:t xml:space="preserve"> </w:t>
      </w:r>
      <w:r w:rsidRPr="00EB2BD8">
        <w:rPr>
          <w:w w:val="105"/>
        </w:rPr>
        <w:t>or automatically</w:t>
      </w:r>
      <w:r w:rsidRPr="00EB2BD8">
        <w:rPr>
          <w:spacing w:val="-15"/>
          <w:w w:val="105"/>
        </w:rPr>
        <w:t xml:space="preserve"> </w:t>
      </w:r>
      <w:r w:rsidRPr="00EB2BD8">
        <w:rPr>
          <w:w w:val="105"/>
        </w:rPr>
        <w:t>because</w:t>
      </w:r>
      <w:r w:rsidRPr="00EB2BD8">
        <w:rPr>
          <w:spacing w:val="-15"/>
          <w:w w:val="105"/>
        </w:rPr>
        <w:t xml:space="preserve"> </w:t>
      </w:r>
      <w:r w:rsidRPr="00EB2BD8">
        <w:rPr>
          <w:w w:val="105"/>
        </w:rPr>
        <w:t>they</w:t>
      </w:r>
      <w:r w:rsidRPr="00EB2BD8">
        <w:rPr>
          <w:spacing w:val="-15"/>
          <w:w w:val="105"/>
        </w:rPr>
        <w:t xml:space="preserve"> </w:t>
      </w:r>
      <w:r w:rsidRPr="00EB2BD8">
        <w:rPr>
          <w:w w:val="105"/>
        </w:rPr>
        <w:t>are</w:t>
      </w:r>
      <w:r w:rsidRPr="00EB2BD8">
        <w:rPr>
          <w:spacing w:val="-15"/>
          <w:w w:val="105"/>
        </w:rPr>
        <w:t xml:space="preserve"> </w:t>
      </w:r>
      <w:r w:rsidRPr="00EB2BD8">
        <w:rPr>
          <w:w w:val="105"/>
        </w:rPr>
        <w:t>built</w:t>
      </w:r>
      <w:r w:rsidRPr="00EB2BD8">
        <w:rPr>
          <w:spacing w:val="-15"/>
          <w:w w:val="105"/>
        </w:rPr>
        <w:t xml:space="preserve"> </w:t>
      </w:r>
      <w:r w:rsidRPr="00EB2BD8">
        <w:rPr>
          <w:w w:val="105"/>
        </w:rPr>
        <w:t>into</w:t>
      </w:r>
      <w:r w:rsidRPr="00EB2BD8">
        <w:rPr>
          <w:spacing w:val="-15"/>
          <w:w w:val="105"/>
        </w:rPr>
        <w:t xml:space="preserve"> </w:t>
      </w:r>
      <w:r w:rsidRPr="00EB2BD8">
        <w:rPr>
          <w:w w:val="105"/>
        </w:rPr>
        <w:t>the</w:t>
      </w:r>
      <w:r w:rsidRPr="00EB2BD8">
        <w:rPr>
          <w:spacing w:val="-15"/>
          <w:w w:val="105"/>
        </w:rPr>
        <w:t xml:space="preserve"> </w:t>
      </w:r>
      <w:r w:rsidRPr="00EB2BD8">
        <w:rPr>
          <w:w w:val="105"/>
        </w:rPr>
        <w:t>structure and</w:t>
      </w:r>
      <w:r w:rsidRPr="00EB2BD8">
        <w:rPr>
          <w:spacing w:val="-15"/>
          <w:w w:val="105"/>
        </w:rPr>
        <w:t xml:space="preserve"> </w:t>
      </w:r>
      <w:r w:rsidRPr="00EB2BD8">
        <w:rPr>
          <w:w w:val="105"/>
        </w:rPr>
        <w:t>fixtures</w:t>
      </w:r>
      <w:r w:rsidRPr="00EB2BD8">
        <w:rPr>
          <w:spacing w:val="-15"/>
          <w:w w:val="105"/>
        </w:rPr>
        <w:t xml:space="preserve"> </w:t>
      </w:r>
      <w:r w:rsidRPr="00EB2BD8">
        <w:rPr>
          <w:w w:val="105"/>
        </w:rPr>
        <w:t>of</w:t>
      </w:r>
      <w:r w:rsidRPr="00EB2BD8">
        <w:rPr>
          <w:spacing w:val="-15"/>
          <w:w w:val="105"/>
        </w:rPr>
        <w:t xml:space="preserve"> </w:t>
      </w:r>
      <w:r w:rsidRPr="00EB2BD8">
        <w:rPr>
          <w:w w:val="105"/>
        </w:rPr>
        <w:t>the</w:t>
      </w:r>
      <w:r w:rsidRPr="00EB2BD8">
        <w:rPr>
          <w:spacing w:val="-15"/>
          <w:w w:val="105"/>
        </w:rPr>
        <w:t xml:space="preserve"> </w:t>
      </w:r>
      <w:r w:rsidRPr="00EB2BD8">
        <w:rPr>
          <w:w w:val="105"/>
        </w:rPr>
        <w:t>building.</w:t>
      </w:r>
      <w:r w:rsidRPr="00EB2BD8">
        <w:rPr>
          <w:spacing w:val="-15"/>
          <w:w w:val="105"/>
        </w:rPr>
        <w:t xml:space="preserve"> </w:t>
      </w:r>
      <w:r w:rsidRPr="00EB2BD8">
        <w:rPr>
          <w:w w:val="105"/>
        </w:rPr>
        <w:t>Passive</w:t>
      </w:r>
      <w:r w:rsidRPr="00EB2BD8">
        <w:rPr>
          <w:spacing w:val="-15"/>
          <w:w w:val="105"/>
        </w:rPr>
        <w:t xml:space="preserve"> </w:t>
      </w:r>
      <w:r w:rsidRPr="00EB2BD8">
        <w:rPr>
          <w:w w:val="105"/>
        </w:rPr>
        <w:t>elements</w:t>
      </w:r>
      <w:r w:rsidRPr="00EB2BD8">
        <w:rPr>
          <w:spacing w:val="-15"/>
          <w:w w:val="105"/>
        </w:rPr>
        <w:t xml:space="preserve"> </w:t>
      </w:r>
      <w:r w:rsidRPr="00EB2BD8">
        <w:rPr>
          <w:w w:val="105"/>
        </w:rPr>
        <w:t>include fire</w:t>
      </w:r>
      <w:r w:rsidRPr="00EB2BD8">
        <w:rPr>
          <w:spacing w:val="-13"/>
          <w:w w:val="105"/>
        </w:rPr>
        <w:t xml:space="preserve"> </w:t>
      </w:r>
      <w:r w:rsidRPr="00EB2BD8">
        <w:rPr>
          <w:w w:val="105"/>
        </w:rPr>
        <w:t>isolated</w:t>
      </w:r>
      <w:r w:rsidRPr="00EB2BD8">
        <w:rPr>
          <w:spacing w:val="-13"/>
          <w:w w:val="105"/>
        </w:rPr>
        <w:t xml:space="preserve"> </w:t>
      </w:r>
      <w:r w:rsidRPr="00EB2BD8">
        <w:rPr>
          <w:w w:val="105"/>
        </w:rPr>
        <w:t>stairways,</w:t>
      </w:r>
      <w:r w:rsidRPr="00EB2BD8">
        <w:rPr>
          <w:spacing w:val="-13"/>
          <w:w w:val="105"/>
        </w:rPr>
        <w:t xml:space="preserve"> </w:t>
      </w:r>
      <w:r w:rsidRPr="00EB2BD8">
        <w:rPr>
          <w:w w:val="105"/>
        </w:rPr>
        <w:t>fire-rated</w:t>
      </w:r>
      <w:r w:rsidRPr="00EB2BD8">
        <w:rPr>
          <w:spacing w:val="-13"/>
          <w:w w:val="105"/>
        </w:rPr>
        <w:t xml:space="preserve"> </w:t>
      </w:r>
      <w:r w:rsidRPr="00EB2BD8">
        <w:rPr>
          <w:w w:val="105"/>
        </w:rPr>
        <w:t>walls</w:t>
      </w:r>
      <w:r w:rsidRPr="00EB2BD8">
        <w:rPr>
          <w:spacing w:val="-13"/>
          <w:w w:val="105"/>
        </w:rPr>
        <w:t xml:space="preserve"> </w:t>
      </w:r>
      <w:r w:rsidRPr="00EB2BD8">
        <w:rPr>
          <w:w w:val="105"/>
        </w:rPr>
        <w:t>and</w:t>
      </w:r>
      <w:r w:rsidRPr="00EB2BD8">
        <w:rPr>
          <w:spacing w:val="-13"/>
          <w:w w:val="105"/>
        </w:rPr>
        <w:t xml:space="preserve"> </w:t>
      </w:r>
      <w:r w:rsidRPr="00EB2BD8">
        <w:rPr>
          <w:w w:val="105"/>
        </w:rPr>
        <w:t xml:space="preserve">separating </w:t>
      </w:r>
      <w:r w:rsidRPr="00EB2BD8">
        <w:t xml:space="preserve">floors, self-closing fire or smoke doors, door smoke </w:t>
      </w:r>
      <w:r w:rsidRPr="00EB2BD8">
        <w:rPr>
          <w:w w:val="105"/>
        </w:rPr>
        <w:t>seals and appropriate exit widths.</w:t>
      </w:r>
    </w:p>
    <w:p w14:paraId="1D302055" w14:textId="77777777" w:rsidR="00084F36" w:rsidRPr="00EB2BD8" w:rsidRDefault="00EB2BD8">
      <w:pPr>
        <w:pStyle w:val="BodyText"/>
        <w:spacing w:before="102" w:line="261" w:lineRule="auto"/>
        <w:ind w:left="421" w:right="1174"/>
      </w:pPr>
      <w:r w:rsidRPr="00EB2BD8">
        <w:t>The</w:t>
      </w:r>
      <w:r w:rsidRPr="00EB2BD8">
        <w:rPr>
          <w:spacing w:val="-7"/>
        </w:rPr>
        <w:t xml:space="preserve"> </w:t>
      </w:r>
      <w:r w:rsidRPr="00EB2BD8">
        <w:t>research,</w:t>
      </w:r>
      <w:r w:rsidRPr="00EB2BD8">
        <w:rPr>
          <w:spacing w:val="-7"/>
        </w:rPr>
        <w:t xml:space="preserve"> </w:t>
      </w:r>
      <w:r w:rsidRPr="00EB2BD8">
        <w:t>led</w:t>
      </w:r>
      <w:r w:rsidRPr="00EB2BD8">
        <w:rPr>
          <w:spacing w:val="-7"/>
        </w:rPr>
        <w:t xml:space="preserve"> </w:t>
      </w:r>
      <w:r w:rsidRPr="00EB2BD8">
        <w:t>by</w:t>
      </w:r>
      <w:r w:rsidRPr="00EB2BD8">
        <w:rPr>
          <w:spacing w:val="-7"/>
        </w:rPr>
        <w:t xml:space="preserve"> </w:t>
      </w:r>
      <w:r w:rsidRPr="00EB2BD8">
        <w:t>Dr</w:t>
      </w:r>
      <w:r w:rsidRPr="00EB2BD8">
        <w:rPr>
          <w:spacing w:val="-7"/>
        </w:rPr>
        <w:t xml:space="preserve"> </w:t>
      </w:r>
      <w:r w:rsidRPr="00EB2BD8">
        <w:t>Nicole</w:t>
      </w:r>
      <w:r w:rsidRPr="00EB2BD8">
        <w:rPr>
          <w:spacing w:val="-7"/>
        </w:rPr>
        <w:t xml:space="preserve"> </w:t>
      </w:r>
      <w:r w:rsidRPr="00EB2BD8">
        <w:t>Johnston,</w:t>
      </w:r>
      <w:r w:rsidRPr="00EB2BD8">
        <w:rPr>
          <w:spacing w:val="-7"/>
        </w:rPr>
        <w:t xml:space="preserve"> </w:t>
      </w:r>
      <w:r w:rsidRPr="00EB2BD8">
        <w:t>reviewed the regulatory system to identify any regulatory gaps and recommend reforms and solutions to</w:t>
      </w:r>
    </w:p>
    <w:p w14:paraId="5A550F4E" w14:textId="77777777" w:rsidR="00084F36" w:rsidRPr="00EB2BD8" w:rsidRDefault="00EB2BD8">
      <w:pPr>
        <w:pStyle w:val="BodyText"/>
        <w:spacing w:line="261" w:lineRule="auto"/>
        <w:ind w:left="421" w:right="1014"/>
      </w:pPr>
      <w:r w:rsidRPr="00EB2BD8">
        <w:t>mitigate</w:t>
      </w:r>
      <w:r w:rsidRPr="00EB2BD8">
        <w:rPr>
          <w:spacing w:val="-7"/>
        </w:rPr>
        <w:t xml:space="preserve"> </w:t>
      </w:r>
      <w:r w:rsidRPr="00EB2BD8">
        <w:t>these</w:t>
      </w:r>
      <w:r w:rsidRPr="00EB2BD8">
        <w:rPr>
          <w:spacing w:val="-7"/>
        </w:rPr>
        <w:t xml:space="preserve"> </w:t>
      </w:r>
      <w:r w:rsidRPr="00EB2BD8">
        <w:t>types</w:t>
      </w:r>
      <w:r w:rsidRPr="00EB2BD8">
        <w:rPr>
          <w:spacing w:val="-7"/>
        </w:rPr>
        <w:t xml:space="preserve"> </w:t>
      </w:r>
      <w:r w:rsidRPr="00EB2BD8">
        <w:t>of</w:t>
      </w:r>
      <w:r w:rsidRPr="00EB2BD8">
        <w:rPr>
          <w:spacing w:val="-7"/>
        </w:rPr>
        <w:t xml:space="preserve"> </w:t>
      </w:r>
      <w:r w:rsidRPr="00EB2BD8">
        <w:t>defects.</w:t>
      </w:r>
      <w:r w:rsidRPr="00EB2BD8">
        <w:rPr>
          <w:spacing w:val="-7"/>
        </w:rPr>
        <w:t xml:space="preserve"> </w:t>
      </w:r>
      <w:r w:rsidRPr="00EB2BD8">
        <w:t>It</w:t>
      </w:r>
      <w:r w:rsidRPr="00EB2BD8">
        <w:rPr>
          <w:spacing w:val="-7"/>
        </w:rPr>
        <w:t xml:space="preserve"> </w:t>
      </w:r>
      <w:r w:rsidRPr="00EB2BD8">
        <w:t>used</w:t>
      </w:r>
      <w:r w:rsidRPr="00EB2BD8">
        <w:rPr>
          <w:spacing w:val="-7"/>
        </w:rPr>
        <w:t xml:space="preserve"> </w:t>
      </w:r>
      <w:r w:rsidRPr="00EB2BD8">
        <w:t>an</w:t>
      </w:r>
      <w:r w:rsidRPr="00EB2BD8">
        <w:rPr>
          <w:spacing w:val="-7"/>
        </w:rPr>
        <w:t xml:space="preserve"> </w:t>
      </w:r>
      <w:r w:rsidRPr="00EB2BD8">
        <w:t>exploratory research design with a mix of approaches including comparative jurisdictional analysis of regulatory frameworks, analysis of audit and inspection data, and</w:t>
      </w:r>
      <w:r w:rsidRPr="00EB2BD8">
        <w:rPr>
          <w:spacing w:val="-5"/>
        </w:rPr>
        <w:t xml:space="preserve"> </w:t>
      </w:r>
      <w:r w:rsidRPr="00EB2BD8">
        <w:t>semi-structured</w:t>
      </w:r>
      <w:r w:rsidRPr="00EB2BD8">
        <w:rPr>
          <w:spacing w:val="-5"/>
        </w:rPr>
        <w:t xml:space="preserve"> </w:t>
      </w:r>
      <w:r w:rsidRPr="00EB2BD8">
        <w:t>interviews</w:t>
      </w:r>
      <w:r w:rsidRPr="00EB2BD8">
        <w:rPr>
          <w:spacing w:val="-5"/>
        </w:rPr>
        <w:t xml:space="preserve"> </w:t>
      </w:r>
      <w:r w:rsidRPr="00EB2BD8">
        <w:t>with</w:t>
      </w:r>
      <w:r w:rsidRPr="00EB2BD8">
        <w:rPr>
          <w:spacing w:val="-5"/>
        </w:rPr>
        <w:t xml:space="preserve"> </w:t>
      </w:r>
      <w:r w:rsidRPr="00EB2BD8">
        <w:t>a</w:t>
      </w:r>
      <w:r w:rsidRPr="00EB2BD8">
        <w:rPr>
          <w:spacing w:val="-5"/>
        </w:rPr>
        <w:t xml:space="preserve"> </w:t>
      </w:r>
      <w:r w:rsidRPr="00EB2BD8">
        <w:t>cross</w:t>
      </w:r>
      <w:r w:rsidRPr="00EB2BD8">
        <w:rPr>
          <w:spacing w:val="-5"/>
        </w:rPr>
        <w:t xml:space="preserve"> </w:t>
      </w:r>
      <w:r w:rsidRPr="00EB2BD8">
        <w:t>section</w:t>
      </w:r>
      <w:r w:rsidRPr="00EB2BD8">
        <w:rPr>
          <w:spacing w:val="-5"/>
        </w:rPr>
        <w:t xml:space="preserve"> </w:t>
      </w:r>
      <w:r w:rsidRPr="00EB2BD8">
        <w:t xml:space="preserve">of </w:t>
      </w:r>
      <w:r w:rsidRPr="00EB2BD8">
        <w:rPr>
          <w:spacing w:val="-2"/>
        </w:rPr>
        <w:t>professionals.</w:t>
      </w:r>
    </w:p>
    <w:p w14:paraId="0C39068B" w14:textId="77777777" w:rsidR="00084F36" w:rsidRPr="00EB2BD8" w:rsidRDefault="00EB2BD8">
      <w:pPr>
        <w:pStyle w:val="BodyText"/>
        <w:spacing w:before="104"/>
        <w:ind w:left="421"/>
      </w:pPr>
      <w:r w:rsidRPr="00EB2BD8">
        <w:t>The</w:t>
      </w:r>
      <w:r w:rsidRPr="00EB2BD8">
        <w:rPr>
          <w:spacing w:val="-3"/>
        </w:rPr>
        <w:t xml:space="preserve"> </w:t>
      </w:r>
      <w:hyperlink r:id="rId98">
        <w:r w:rsidRPr="00EB2BD8">
          <w:t>research</w:t>
        </w:r>
        <w:r w:rsidRPr="00EB2BD8">
          <w:rPr>
            <w:spacing w:val="-3"/>
          </w:rPr>
          <w:t xml:space="preserve"> </w:t>
        </w:r>
        <w:r w:rsidRPr="00EB2BD8">
          <w:t>report</w:t>
        </w:r>
      </w:hyperlink>
      <w:r w:rsidRPr="00EB2BD8">
        <w:rPr>
          <w:spacing w:val="-3"/>
        </w:rPr>
        <w:t xml:space="preserve"> </w:t>
      </w:r>
      <w:r w:rsidRPr="00EB2BD8">
        <w:t>was</w:t>
      </w:r>
      <w:r w:rsidRPr="00EB2BD8">
        <w:rPr>
          <w:spacing w:val="-3"/>
        </w:rPr>
        <w:t xml:space="preserve"> </w:t>
      </w:r>
      <w:r w:rsidRPr="00EB2BD8">
        <w:t>published</w:t>
      </w:r>
      <w:r w:rsidRPr="00EB2BD8">
        <w:rPr>
          <w:spacing w:val="-3"/>
        </w:rPr>
        <w:t xml:space="preserve"> </w:t>
      </w:r>
      <w:r w:rsidRPr="00EB2BD8">
        <w:t>in</w:t>
      </w:r>
      <w:r w:rsidRPr="00EB2BD8">
        <w:rPr>
          <w:spacing w:val="-3"/>
        </w:rPr>
        <w:t xml:space="preserve"> </w:t>
      </w:r>
      <w:r w:rsidRPr="00EB2BD8">
        <w:t>March</w:t>
      </w:r>
      <w:r w:rsidRPr="00EB2BD8">
        <w:rPr>
          <w:spacing w:val="-3"/>
        </w:rPr>
        <w:t xml:space="preserve"> </w:t>
      </w:r>
      <w:r w:rsidRPr="00EB2BD8">
        <w:rPr>
          <w:spacing w:val="-4"/>
        </w:rPr>
        <w:t>2023.</w:t>
      </w:r>
    </w:p>
    <w:p w14:paraId="02BCC8DC" w14:textId="0E43ACA0" w:rsidR="00084F36" w:rsidRPr="00C1767B" w:rsidRDefault="00EB2BD8" w:rsidP="00C1767B">
      <w:pPr>
        <w:pStyle w:val="Heading3"/>
        <w:ind w:left="0" w:firstLine="421"/>
      </w:pPr>
      <w:bookmarkStart w:id="99" w:name="_Toc150762401"/>
      <w:r w:rsidRPr="00C1767B">
        <w:t>What we found</w:t>
      </w:r>
      <w:bookmarkEnd w:id="99"/>
    </w:p>
    <w:p w14:paraId="1F72428B" w14:textId="77777777" w:rsidR="00084F36" w:rsidRPr="00EB2BD8" w:rsidRDefault="00EB2BD8">
      <w:pPr>
        <w:pStyle w:val="BodyText"/>
        <w:spacing w:before="121" w:line="261" w:lineRule="auto"/>
        <w:ind w:left="421" w:right="852"/>
      </w:pPr>
      <w:r w:rsidRPr="00EB2BD8">
        <w:t>Although</w:t>
      </w:r>
      <w:r w:rsidRPr="00EB2BD8">
        <w:rPr>
          <w:spacing w:val="-15"/>
        </w:rPr>
        <w:t xml:space="preserve"> </w:t>
      </w:r>
      <w:r w:rsidRPr="00EB2BD8">
        <w:t>difficult</w:t>
      </w:r>
      <w:r w:rsidRPr="00EB2BD8">
        <w:rPr>
          <w:spacing w:val="-14"/>
        </w:rPr>
        <w:t xml:space="preserve"> </w:t>
      </w:r>
      <w:r w:rsidRPr="00EB2BD8">
        <w:t>to</w:t>
      </w:r>
      <w:r w:rsidRPr="00EB2BD8">
        <w:rPr>
          <w:spacing w:val="-14"/>
        </w:rPr>
        <w:t xml:space="preserve"> </w:t>
      </w:r>
      <w:r w:rsidRPr="00EB2BD8">
        <w:t>quantify,</w:t>
      </w:r>
      <w:r w:rsidRPr="00EB2BD8">
        <w:rPr>
          <w:spacing w:val="-14"/>
        </w:rPr>
        <w:t xml:space="preserve"> </w:t>
      </w:r>
      <w:r w:rsidRPr="00EB2BD8">
        <w:t>the</w:t>
      </w:r>
      <w:r w:rsidRPr="00EB2BD8">
        <w:rPr>
          <w:spacing w:val="-15"/>
        </w:rPr>
        <w:t xml:space="preserve"> </w:t>
      </w:r>
      <w:r w:rsidRPr="00EB2BD8">
        <w:t>research</w:t>
      </w:r>
      <w:r w:rsidRPr="00EB2BD8">
        <w:rPr>
          <w:spacing w:val="-14"/>
        </w:rPr>
        <w:t xml:space="preserve"> </w:t>
      </w:r>
      <w:r w:rsidRPr="00EB2BD8">
        <w:t>identified evidence to suggest that a large number of Class</w:t>
      </w:r>
    </w:p>
    <w:p w14:paraId="7D6F7ED3" w14:textId="77777777" w:rsidR="00084F36" w:rsidRPr="00EB2BD8" w:rsidRDefault="00EB2BD8">
      <w:pPr>
        <w:pStyle w:val="BodyText"/>
        <w:spacing w:line="261" w:lineRule="auto"/>
        <w:ind w:left="421" w:right="852"/>
      </w:pPr>
      <w:r w:rsidRPr="00EB2BD8">
        <w:t>2</w:t>
      </w:r>
      <w:r w:rsidRPr="00EB2BD8">
        <w:rPr>
          <w:spacing w:val="-7"/>
        </w:rPr>
        <w:t xml:space="preserve"> </w:t>
      </w:r>
      <w:r w:rsidRPr="00EB2BD8">
        <w:t>buildings</w:t>
      </w:r>
      <w:r w:rsidRPr="00EB2BD8">
        <w:rPr>
          <w:spacing w:val="-7"/>
        </w:rPr>
        <w:t xml:space="preserve"> </w:t>
      </w:r>
      <w:r w:rsidRPr="00EB2BD8">
        <w:t>in</w:t>
      </w:r>
      <w:r w:rsidRPr="00EB2BD8">
        <w:rPr>
          <w:spacing w:val="-7"/>
        </w:rPr>
        <w:t xml:space="preserve"> </w:t>
      </w:r>
      <w:r w:rsidRPr="00EB2BD8">
        <w:t>Victoria</w:t>
      </w:r>
      <w:r w:rsidRPr="00EB2BD8">
        <w:rPr>
          <w:spacing w:val="-7"/>
        </w:rPr>
        <w:t xml:space="preserve"> </w:t>
      </w:r>
      <w:r w:rsidRPr="00EB2BD8">
        <w:t>are</w:t>
      </w:r>
      <w:r w:rsidRPr="00EB2BD8">
        <w:rPr>
          <w:spacing w:val="-7"/>
        </w:rPr>
        <w:t xml:space="preserve"> </w:t>
      </w:r>
      <w:r w:rsidRPr="00EB2BD8">
        <w:t>likely</w:t>
      </w:r>
      <w:r w:rsidRPr="00EB2BD8">
        <w:rPr>
          <w:spacing w:val="-7"/>
        </w:rPr>
        <w:t xml:space="preserve"> </w:t>
      </w:r>
      <w:r w:rsidRPr="00EB2BD8">
        <w:t>to</w:t>
      </w:r>
      <w:r w:rsidRPr="00EB2BD8">
        <w:rPr>
          <w:spacing w:val="-7"/>
        </w:rPr>
        <w:t xml:space="preserve"> </w:t>
      </w:r>
      <w:r w:rsidRPr="00EB2BD8">
        <w:t>have</w:t>
      </w:r>
      <w:r w:rsidRPr="00EB2BD8">
        <w:rPr>
          <w:spacing w:val="-7"/>
        </w:rPr>
        <w:t xml:space="preserve"> </w:t>
      </w:r>
      <w:r w:rsidRPr="00EB2BD8">
        <w:t>passive</w:t>
      </w:r>
      <w:r w:rsidRPr="00EB2BD8">
        <w:rPr>
          <w:spacing w:val="-7"/>
        </w:rPr>
        <w:t xml:space="preserve"> </w:t>
      </w:r>
      <w:r w:rsidRPr="00EB2BD8">
        <w:t>fire protection (PFP) defects, with most of these likely relating</w:t>
      </w:r>
      <w:r w:rsidRPr="00EB2BD8">
        <w:rPr>
          <w:spacing w:val="-10"/>
        </w:rPr>
        <w:t xml:space="preserve"> </w:t>
      </w:r>
      <w:r w:rsidRPr="00EB2BD8">
        <w:t>to</w:t>
      </w:r>
      <w:r w:rsidRPr="00EB2BD8">
        <w:rPr>
          <w:spacing w:val="-10"/>
        </w:rPr>
        <w:t xml:space="preserve"> </w:t>
      </w:r>
      <w:r w:rsidRPr="00EB2BD8">
        <w:t>improper</w:t>
      </w:r>
      <w:r w:rsidRPr="00EB2BD8">
        <w:rPr>
          <w:spacing w:val="-10"/>
        </w:rPr>
        <w:t xml:space="preserve"> </w:t>
      </w:r>
      <w:r w:rsidRPr="00EB2BD8">
        <w:t>penetrations</w:t>
      </w:r>
      <w:r w:rsidRPr="00EB2BD8">
        <w:rPr>
          <w:spacing w:val="-10"/>
        </w:rPr>
        <w:t xml:space="preserve"> </w:t>
      </w:r>
      <w:r w:rsidRPr="00EB2BD8">
        <w:t>of</w:t>
      </w:r>
      <w:r w:rsidRPr="00EB2BD8">
        <w:rPr>
          <w:spacing w:val="-10"/>
        </w:rPr>
        <w:t xml:space="preserve"> </w:t>
      </w:r>
      <w:r w:rsidRPr="00EB2BD8">
        <w:t>fire</w:t>
      </w:r>
      <w:r w:rsidRPr="00EB2BD8">
        <w:rPr>
          <w:spacing w:val="-10"/>
        </w:rPr>
        <w:t xml:space="preserve"> </w:t>
      </w:r>
      <w:r w:rsidRPr="00EB2BD8">
        <w:t>and</w:t>
      </w:r>
      <w:r w:rsidRPr="00EB2BD8">
        <w:rPr>
          <w:spacing w:val="-10"/>
        </w:rPr>
        <w:t xml:space="preserve"> </w:t>
      </w:r>
      <w:r w:rsidRPr="00EB2BD8">
        <w:t>smoke rated</w:t>
      </w:r>
      <w:r w:rsidRPr="00EB2BD8">
        <w:rPr>
          <w:spacing w:val="-6"/>
        </w:rPr>
        <w:t xml:space="preserve"> </w:t>
      </w:r>
      <w:r w:rsidRPr="00EB2BD8">
        <w:t>walls.</w:t>
      </w:r>
    </w:p>
    <w:p w14:paraId="39615B90" w14:textId="77777777" w:rsidR="00084F36" w:rsidRPr="00EB2BD8" w:rsidRDefault="00EB2BD8">
      <w:pPr>
        <w:pStyle w:val="BodyText"/>
        <w:spacing w:before="107" w:line="261" w:lineRule="auto"/>
        <w:ind w:left="421" w:right="852"/>
      </w:pPr>
      <w:r w:rsidRPr="00EB2BD8">
        <w:t>The research identified causes and contributors to PFP defects, drivers of compliance and opportunities to reduce</w:t>
      </w:r>
      <w:r w:rsidRPr="00EB2BD8">
        <w:rPr>
          <w:spacing w:val="-6"/>
        </w:rPr>
        <w:t xml:space="preserve"> </w:t>
      </w:r>
      <w:r w:rsidRPr="00EB2BD8">
        <w:t>causes.</w:t>
      </w:r>
    </w:p>
    <w:p w14:paraId="67028757" w14:textId="77777777" w:rsidR="00084F36" w:rsidRPr="00EB2BD8" w:rsidRDefault="00EB2BD8">
      <w:pPr>
        <w:pStyle w:val="BodyText"/>
        <w:spacing w:before="110" w:line="261" w:lineRule="auto"/>
        <w:ind w:left="421" w:right="820"/>
      </w:pPr>
      <w:r w:rsidRPr="00EB2BD8">
        <w:t>The causes of PFP defects include building practitioner lack of knowledge about passive fire safety requirements and poor construction practices as key contributors. The research identified opportunities to reduce these causes through:</w:t>
      </w:r>
    </w:p>
    <w:p w14:paraId="670F0140"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2" w:space="720" w:equalWidth="0">
            <w:col w:w="5718" w:space="40"/>
            <w:col w:w="6152"/>
          </w:cols>
        </w:sectPr>
      </w:pPr>
    </w:p>
    <w:p w14:paraId="45AFDCA0" w14:textId="77777777" w:rsidR="00084F36" w:rsidRPr="00EB2BD8" w:rsidRDefault="00084F36">
      <w:pPr>
        <w:pStyle w:val="BodyText"/>
        <w:rPr>
          <w:sz w:val="20"/>
        </w:rPr>
      </w:pPr>
    </w:p>
    <w:p w14:paraId="06AFC0F1" w14:textId="77777777" w:rsidR="00084F36" w:rsidRPr="00EB2BD8" w:rsidRDefault="00084F36">
      <w:pPr>
        <w:pStyle w:val="BodyText"/>
        <w:rPr>
          <w:sz w:val="20"/>
        </w:rPr>
      </w:pPr>
    </w:p>
    <w:p w14:paraId="1F8996B9" w14:textId="77777777" w:rsidR="00084F36" w:rsidRPr="00EB2BD8" w:rsidRDefault="00084F36">
      <w:pPr>
        <w:pStyle w:val="BodyText"/>
        <w:rPr>
          <w:sz w:val="20"/>
        </w:rPr>
      </w:pPr>
    </w:p>
    <w:p w14:paraId="7C680162" w14:textId="77777777" w:rsidR="00084F36" w:rsidRPr="00EB2BD8" w:rsidRDefault="00084F36">
      <w:pPr>
        <w:pStyle w:val="BodyText"/>
        <w:rPr>
          <w:sz w:val="20"/>
        </w:rPr>
      </w:pPr>
    </w:p>
    <w:p w14:paraId="3D0A0610" w14:textId="77777777" w:rsidR="00084F36" w:rsidRPr="00EB2BD8" w:rsidRDefault="00084F36">
      <w:pPr>
        <w:pStyle w:val="BodyText"/>
        <w:rPr>
          <w:sz w:val="16"/>
        </w:rPr>
      </w:pPr>
    </w:p>
    <w:p w14:paraId="44975839" w14:textId="77777777" w:rsidR="00084F36" w:rsidRPr="00EB2BD8" w:rsidRDefault="00084F36">
      <w:pPr>
        <w:rPr>
          <w:sz w:val="16"/>
        </w:rPr>
        <w:sectPr w:rsidR="00084F36" w:rsidRPr="00EB2BD8" w:rsidSect="006D75B2">
          <w:footerReference w:type="default" r:id="rId99"/>
          <w:pgSz w:w="11910" w:h="16840"/>
          <w:pgMar w:top="1100" w:right="0" w:bottom="700" w:left="0" w:header="0" w:footer="515" w:gutter="0"/>
          <w:cols w:space="720"/>
        </w:sectPr>
      </w:pPr>
    </w:p>
    <w:p w14:paraId="7D205653" w14:textId="77777777" w:rsidR="00084F36" w:rsidRPr="00EB2BD8" w:rsidRDefault="00EB2BD8">
      <w:pPr>
        <w:pStyle w:val="ListParagraph"/>
        <w:numPr>
          <w:ilvl w:val="0"/>
          <w:numId w:val="11"/>
        </w:numPr>
        <w:tabs>
          <w:tab w:val="left" w:pos="1133"/>
        </w:tabs>
        <w:spacing w:before="95" w:line="261" w:lineRule="auto"/>
        <w:ind w:right="275"/>
        <w:rPr>
          <w:sz w:val="18"/>
        </w:rPr>
      </w:pPr>
      <w:r w:rsidRPr="00EB2BD8">
        <w:rPr>
          <w:sz w:val="18"/>
        </w:rPr>
        <w:t>Increased practitioner education and licensing of passive fire safety practitioners.</w:t>
      </w:r>
    </w:p>
    <w:p w14:paraId="5C9CA344" w14:textId="77777777" w:rsidR="00084F36" w:rsidRPr="00EB2BD8" w:rsidRDefault="00EB2BD8">
      <w:pPr>
        <w:pStyle w:val="ListParagraph"/>
        <w:numPr>
          <w:ilvl w:val="0"/>
          <w:numId w:val="11"/>
        </w:numPr>
        <w:tabs>
          <w:tab w:val="left" w:pos="1133"/>
        </w:tabs>
        <w:spacing w:before="68" w:line="261" w:lineRule="auto"/>
        <w:ind w:right="196"/>
        <w:rPr>
          <w:sz w:val="18"/>
        </w:rPr>
      </w:pPr>
      <w:r w:rsidRPr="00EB2BD8">
        <w:rPr>
          <w:sz w:val="18"/>
        </w:rPr>
        <w:t>Improved pathways to access relevant documents throughout construction and post-occupancy.</w:t>
      </w:r>
    </w:p>
    <w:p w14:paraId="00303DF3" w14:textId="77777777" w:rsidR="00084F36" w:rsidRPr="00EB2BD8" w:rsidRDefault="00EB2BD8">
      <w:pPr>
        <w:pStyle w:val="ListParagraph"/>
        <w:numPr>
          <w:ilvl w:val="0"/>
          <w:numId w:val="11"/>
        </w:numPr>
        <w:tabs>
          <w:tab w:val="left" w:pos="1133"/>
        </w:tabs>
        <w:spacing w:before="68" w:line="261" w:lineRule="auto"/>
        <w:ind w:right="328"/>
        <w:rPr>
          <w:sz w:val="18"/>
        </w:rPr>
      </w:pPr>
      <w:r w:rsidRPr="00EB2BD8">
        <w:rPr>
          <w:sz w:val="18"/>
        </w:rPr>
        <w:t xml:space="preserve">The testing, accreditation and verification of PFP </w:t>
      </w:r>
      <w:r w:rsidRPr="00EB2BD8">
        <w:rPr>
          <w:spacing w:val="-2"/>
          <w:w w:val="105"/>
          <w:sz w:val="18"/>
        </w:rPr>
        <w:t>systems.</w:t>
      </w:r>
    </w:p>
    <w:p w14:paraId="55C54960" w14:textId="77777777" w:rsidR="00084F36" w:rsidRPr="00EB2BD8" w:rsidRDefault="00EB2BD8">
      <w:pPr>
        <w:pStyle w:val="ListParagraph"/>
        <w:numPr>
          <w:ilvl w:val="0"/>
          <w:numId w:val="11"/>
        </w:numPr>
        <w:tabs>
          <w:tab w:val="left" w:pos="1133"/>
        </w:tabs>
        <w:spacing w:before="68"/>
        <w:ind w:hanging="283"/>
        <w:rPr>
          <w:sz w:val="18"/>
        </w:rPr>
      </w:pPr>
      <w:r w:rsidRPr="00EB2BD8">
        <w:rPr>
          <w:sz w:val="18"/>
        </w:rPr>
        <w:t>Proactive</w:t>
      </w:r>
      <w:r w:rsidRPr="00EB2BD8">
        <w:rPr>
          <w:spacing w:val="9"/>
          <w:sz w:val="18"/>
        </w:rPr>
        <w:t xml:space="preserve"> </w:t>
      </w:r>
      <w:r w:rsidRPr="00EB2BD8">
        <w:rPr>
          <w:sz w:val="18"/>
        </w:rPr>
        <w:t>quality</w:t>
      </w:r>
      <w:r w:rsidRPr="00EB2BD8">
        <w:rPr>
          <w:spacing w:val="10"/>
          <w:sz w:val="18"/>
        </w:rPr>
        <w:t xml:space="preserve"> </w:t>
      </w:r>
      <w:r w:rsidRPr="00EB2BD8">
        <w:rPr>
          <w:sz w:val="18"/>
        </w:rPr>
        <w:t>assurance</w:t>
      </w:r>
      <w:r w:rsidRPr="00EB2BD8">
        <w:rPr>
          <w:spacing w:val="10"/>
          <w:sz w:val="18"/>
        </w:rPr>
        <w:t xml:space="preserve"> </w:t>
      </w:r>
      <w:r w:rsidRPr="00EB2BD8">
        <w:rPr>
          <w:sz w:val="18"/>
        </w:rPr>
        <w:t>during</w:t>
      </w:r>
      <w:r w:rsidRPr="00EB2BD8">
        <w:rPr>
          <w:spacing w:val="10"/>
          <w:sz w:val="18"/>
        </w:rPr>
        <w:t xml:space="preserve"> </w:t>
      </w:r>
      <w:r w:rsidRPr="00EB2BD8">
        <w:rPr>
          <w:spacing w:val="-2"/>
          <w:sz w:val="18"/>
        </w:rPr>
        <w:t>construction.</w:t>
      </w:r>
    </w:p>
    <w:p w14:paraId="0C9CC743" w14:textId="77777777" w:rsidR="00084F36" w:rsidRPr="00EB2BD8" w:rsidRDefault="00EB2BD8">
      <w:pPr>
        <w:pStyle w:val="ListParagraph"/>
        <w:numPr>
          <w:ilvl w:val="0"/>
          <w:numId w:val="11"/>
        </w:numPr>
        <w:tabs>
          <w:tab w:val="left" w:pos="1133"/>
        </w:tabs>
        <w:spacing w:before="88" w:line="261" w:lineRule="auto"/>
        <w:ind w:right="263"/>
        <w:rPr>
          <w:sz w:val="18"/>
        </w:rPr>
      </w:pPr>
      <w:r w:rsidRPr="00EB2BD8">
        <w:rPr>
          <w:sz w:val="18"/>
        </w:rPr>
        <w:t>Shared</w:t>
      </w:r>
      <w:r w:rsidRPr="00EB2BD8">
        <w:rPr>
          <w:spacing w:val="-7"/>
          <w:sz w:val="18"/>
        </w:rPr>
        <w:t xml:space="preserve"> </w:t>
      </w:r>
      <w:r w:rsidRPr="00EB2BD8">
        <w:rPr>
          <w:sz w:val="18"/>
        </w:rPr>
        <w:t>responsibility</w:t>
      </w:r>
      <w:r w:rsidRPr="00EB2BD8">
        <w:rPr>
          <w:spacing w:val="-7"/>
          <w:sz w:val="18"/>
        </w:rPr>
        <w:t xml:space="preserve"> </w:t>
      </w:r>
      <w:r w:rsidRPr="00EB2BD8">
        <w:rPr>
          <w:sz w:val="18"/>
        </w:rPr>
        <w:t>and</w:t>
      </w:r>
      <w:r w:rsidRPr="00EB2BD8">
        <w:rPr>
          <w:spacing w:val="-7"/>
          <w:sz w:val="18"/>
        </w:rPr>
        <w:t xml:space="preserve"> </w:t>
      </w:r>
      <w:r w:rsidRPr="00EB2BD8">
        <w:rPr>
          <w:sz w:val="18"/>
        </w:rPr>
        <w:t>liability</w:t>
      </w:r>
      <w:r w:rsidRPr="00EB2BD8">
        <w:rPr>
          <w:spacing w:val="-7"/>
          <w:sz w:val="18"/>
        </w:rPr>
        <w:t xml:space="preserve"> </w:t>
      </w:r>
      <w:r w:rsidRPr="00EB2BD8">
        <w:rPr>
          <w:sz w:val="18"/>
        </w:rPr>
        <w:t>across</w:t>
      </w:r>
      <w:r w:rsidRPr="00EB2BD8">
        <w:rPr>
          <w:spacing w:val="-7"/>
          <w:sz w:val="18"/>
        </w:rPr>
        <w:t xml:space="preserve"> </w:t>
      </w:r>
      <w:r w:rsidRPr="00EB2BD8">
        <w:rPr>
          <w:sz w:val="18"/>
        </w:rPr>
        <w:t xml:space="preserve">different </w:t>
      </w:r>
      <w:r w:rsidRPr="00EB2BD8">
        <w:rPr>
          <w:spacing w:val="-2"/>
          <w:sz w:val="18"/>
        </w:rPr>
        <w:t>practitioners.</w:t>
      </w:r>
    </w:p>
    <w:p w14:paraId="75951FF7" w14:textId="77777777" w:rsidR="00084F36" w:rsidRPr="00EB2BD8" w:rsidRDefault="00EB2BD8" w:rsidP="00EB2BD8">
      <w:pPr>
        <w:pStyle w:val="Heading3"/>
      </w:pPr>
      <w:bookmarkStart w:id="100" w:name="_Toc150762402"/>
      <w:r w:rsidRPr="00EB2BD8">
        <w:t>What</w:t>
      </w:r>
      <w:r w:rsidRPr="00EB2BD8">
        <w:rPr>
          <w:spacing w:val="-18"/>
        </w:rPr>
        <w:t xml:space="preserve"> </w:t>
      </w:r>
      <w:r w:rsidRPr="00EB2BD8">
        <w:t>difference</w:t>
      </w:r>
      <w:r w:rsidRPr="00EB2BD8">
        <w:rPr>
          <w:spacing w:val="-17"/>
        </w:rPr>
        <w:t xml:space="preserve"> </w:t>
      </w:r>
      <w:r w:rsidRPr="00EB2BD8">
        <w:t>this</w:t>
      </w:r>
      <w:r w:rsidRPr="00EB2BD8">
        <w:rPr>
          <w:spacing w:val="-17"/>
        </w:rPr>
        <w:t xml:space="preserve"> </w:t>
      </w:r>
      <w:r w:rsidRPr="00EB2BD8">
        <w:t>made</w:t>
      </w:r>
      <w:bookmarkEnd w:id="100"/>
    </w:p>
    <w:p w14:paraId="74F843A2" w14:textId="77777777" w:rsidR="00084F36" w:rsidRPr="00EB2BD8" w:rsidRDefault="00EB2BD8">
      <w:pPr>
        <w:pStyle w:val="BodyText"/>
        <w:spacing w:before="124" w:line="261" w:lineRule="auto"/>
        <w:ind w:left="850" w:right="341"/>
      </w:pPr>
      <w:r w:rsidRPr="00EB2BD8">
        <w:t xml:space="preserve">The research supports the VBA’s regulatory focus on </w:t>
      </w:r>
      <w:hyperlink r:id="rId100">
        <w:r w:rsidRPr="00EB2BD8">
          <w:t>reducing improper service penetrations during</w:t>
        </w:r>
      </w:hyperlink>
      <w:r w:rsidRPr="00EB2BD8">
        <w:t xml:space="preserve"> </w:t>
      </w:r>
      <w:hyperlink r:id="rId101">
        <w:r w:rsidRPr="00EB2BD8">
          <w:t>construction</w:t>
        </w:r>
        <w:r w:rsidRPr="00EB2BD8">
          <w:rPr>
            <w:spacing w:val="-3"/>
          </w:rPr>
          <w:t xml:space="preserve"> </w:t>
        </w:r>
        <w:r w:rsidRPr="00EB2BD8">
          <w:t>through</w:t>
        </w:r>
        <w:r w:rsidRPr="00EB2BD8">
          <w:rPr>
            <w:spacing w:val="-3"/>
          </w:rPr>
          <w:t xml:space="preserve"> </w:t>
        </w:r>
        <w:r w:rsidRPr="00EB2BD8">
          <w:t>behavioural</w:t>
        </w:r>
        <w:r w:rsidRPr="00EB2BD8">
          <w:rPr>
            <w:spacing w:val="-3"/>
          </w:rPr>
          <w:t xml:space="preserve"> </w:t>
        </w:r>
        <w:r w:rsidRPr="00EB2BD8">
          <w:t>interventions</w:t>
        </w:r>
      </w:hyperlink>
      <w:r w:rsidRPr="00EB2BD8">
        <w:rPr>
          <w:spacing w:val="-3"/>
        </w:rPr>
        <w:t xml:space="preserve"> </w:t>
      </w:r>
      <w:r w:rsidRPr="00EB2BD8">
        <w:t xml:space="preserve">and the continuing focus of our </w:t>
      </w:r>
      <w:hyperlink r:id="rId102">
        <w:r w:rsidRPr="00EB2BD8">
          <w:t>Proactive Inspections</w:t>
        </w:r>
      </w:hyperlink>
    </w:p>
    <w:p w14:paraId="73479642" w14:textId="77777777" w:rsidR="00084F36" w:rsidRPr="00EB2BD8" w:rsidRDefault="00562DC8">
      <w:pPr>
        <w:pStyle w:val="BodyText"/>
        <w:spacing w:line="261" w:lineRule="auto"/>
        <w:ind w:left="850"/>
      </w:pPr>
      <w:hyperlink r:id="rId103">
        <w:r w:rsidR="00EB2BD8" w:rsidRPr="00EB2BD8">
          <w:t>Program</w:t>
        </w:r>
      </w:hyperlink>
      <w:r w:rsidR="00EB2BD8" w:rsidRPr="00EB2BD8">
        <w:t xml:space="preserve"> on areas of compliance risk such as service </w:t>
      </w:r>
      <w:r w:rsidR="00EB2BD8" w:rsidRPr="00EB2BD8">
        <w:rPr>
          <w:spacing w:val="-2"/>
        </w:rPr>
        <w:t>penetrations.</w:t>
      </w:r>
    </w:p>
    <w:p w14:paraId="1C5C5E49" w14:textId="77777777" w:rsidR="00084F36" w:rsidRPr="00EB2BD8" w:rsidRDefault="00EB2BD8">
      <w:pPr>
        <w:pStyle w:val="BodyText"/>
        <w:spacing w:before="107" w:line="261" w:lineRule="auto"/>
        <w:ind w:left="850" w:right="3"/>
      </w:pPr>
      <w:r w:rsidRPr="00EB2BD8">
        <w:t xml:space="preserve">The VBA launched a </w:t>
      </w:r>
      <w:hyperlink r:id="rId104">
        <w:r w:rsidRPr="00EB2BD8">
          <w:t>communications campaign</w:t>
        </w:r>
      </w:hyperlink>
      <w:r w:rsidRPr="00EB2BD8">
        <w:t xml:space="preserve"> in March</w:t>
      </w:r>
      <w:r w:rsidRPr="00EB2BD8">
        <w:rPr>
          <w:spacing w:val="-6"/>
        </w:rPr>
        <w:t xml:space="preserve"> </w:t>
      </w:r>
      <w:r w:rsidRPr="00EB2BD8">
        <w:t>2023</w:t>
      </w:r>
      <w:r w:rsidRPr="00EB2BD8">
        <w:rPr>
          <w:spacing w:val="-6"/>
        </w:rPr>
        <w:t xml:space="preserve"> </w:t>
      </w:r>
      <w:r w:rsidRPr="00EB2BD8">
        <w:t>to</w:t>
      </w:r>
      <w:r w:rsidRPr="00EB2BD8">
        <w:rPr>
          <w:spacing w:val="-6"/>
        </w:rPr>
        <w:t xml:space="preserve"> </w:t>
      </w:r>
      <w:r w:rsidRPr="00EB2BD8">
        <w:t>increase</w:t>
      </w:r>
      <w:r w:rsidRPr="00EB2BD8">
        <w:rPr>
          <w:spacing w:val="-6"/>
        </w:rPr>
        <w:t xml:space="preserve"> </w:t>
      </w:r>
      <w:r w:rsidRPr="00EB2BD8">
        <w:t>awareness</w:t>
      </w:r>
      <w:r w:rsidRPr="00EB2BD8">
        <w:rPr>
          <w:spacing w:val="-6"/>
        </w:rPr>
        <w:t xml:space="preserve"> </w:t>
      </w:r>
      <w:r w:rsidRPr="00EB2BD8">
        <w:t>of</w:t>
      </w:r>
      <w:r w:rsidRPr="00EB2BD8">
        <w:rPr>
          <w:spacing w:val="-6"/>
        </w:rPr>
        <w:t xml:space="preserve"> </w:t>
      </w:r>
      <w:r w:rsidRPr="00EB2BD8">
        <w:t>the</w:t>
      </w:r>
      <w:r w:rsidRPr="00EB2BD8">
        <w:rPr>
          <w:spacing w:val="-6"/>
        </w:rPr>
        <w:t xml:space="preserve"> </w:t>
      </w:r>
      <w:r w:rsidRPr="00EB2BD8">
        <w:t>consequences of improper service penetrations and increase individual practitioner responsibility for compliance during the performance of service penetrations.</w:t>
      </w:r>
    </w:p>
    <w:p w14:paraId="1E99D72F" w14:textId="77777777" w:rsidR="00084F36" w:rsidRPr="00EB2BD8" w:rsidRDefault="00EB2BD8">
      <w:pPr>
        <w:pStyle w:val="BodyText"/>
        <w:spacing w:before="108" w:line="261" w:lineRule="auto"/>
        <w:ind w:left="850" w:right="56"/>
      </w:pPr>
      <w:r w:rsidRPr="00EB2BD8">
        <w:t>The</w:t>
      </w:r>
      <w:r w:rsidRPr="00EB2BD8">
        <w:rPr>
          <w:spacing w:val="-9"/>
        </w:rPr>
        <w:t xml:space="preserve"> </w:t>
      </w:r>
      <w:r w:rsidRPr="00EB2BD8">
        <w:t>VBA</w:t>
      </w:r>
      <w:r w:rsidRPr="00EB2BD8">
        <w:rPr>
          <w:spacing w:val="-9"/>
        </w:rPr>
        <w:t xml:space="preserve"> </w:t>
      </w:r>
      <w:r w:rsidRPr="00EB2BD8">
        <w:t>shared</w:t>
      </w:r>
      <w:r w:rsidRPr="00EB2BD8">
        <w:rPr>
          <w:spacing w:val="-9"/>
        </w:rPr>
        <w:t xml:space="preserve"> </w:t>
      </w:r>
      <w:r w:rsidRPr="00EB2BD8">
        <w:t>the</w:t>
      </w:r>
      <w:r w:rsidRPr="00EB2BD8">
        <w:rPr>
          <w:spacing w:val="-9"/>
        </w:rPr>
        <w:t xml:space="preserve"> </w:t>
      </w:r>
      <w:r w:rsidRPr="00EB2BD8">
        <w:t>report</w:t>
      </w:r>
      <w:r w:rsidRPr="00EB2BD8">
        <w:rPr>
          <w:spacing w:val="-9"/>
        </w:rPr>
        <w:t xml:space="preserve"> </w:t>
      </w:r>
      <w:r w:rsidRPr="00EB2BD8">
        <w:t>and</w:t>
      </w:r>
      <w:r w:rsidRPr="00EB2BD8">
        <w:rPr>
          <w:spacing w:val="-9"/>
        </w:rPr>
        <w:t xml:space="preserve"> </w:t>
      </w:r>
      <w:r w:rsidRPr="00EB2BD8">
        <w:t>its</w:t>
      </w:r>
      <w:r w:rsidRPr="00EB2BD8">
        <w:rPr>
          <w:spacing w:val="-9"/>
        </w:rPr>
        <w:t xml:space="preserve"> </w:t>
      </w:r>
      <w:r w:rsidRPr="00EB2BD8">
        <w:t>insights</w:t>
      </w:r>
      <w:r w:rsidRPr="00EB2BD8">
        <w:rPr>
          <w:spacing w:val="-9"/>
        </w:rPr>
        <w:t xml:space="preserve"> </w:t>
      </w:r>
      <w:r w:rsidRPr="00EB2BD8">
        <w:t>with</w:t>
      </w:r>
      <w:r w:rsidRPr="00EB2BD8">
        <w:rPr>
          <w:spacing w:val="-9"/>
        </w:rPr>
        <w:t xml:space="preserve"> </w:t>
      </w:r>
      <w:r w:rsidRPr="00EB2BD8">
        <w:t>key regulators and stakeholders to help inform policy, regulatory and fire-safety considerations in multi- storey residential buildings.</w:t>
      </w:r>
    </w:p>
    <w:p w14:paraId="0EE0F68D" w14:textId="77777777" w:rsidR="00084F36" w:rsidRPr="00EB2BD8" w:rsidRDefault="00EB2BD8">
      <w:pPr>
        <w:pStyle w:val="BodyText"/>
        <w:spacing w:before="110" w:line="261" w:lineRule="auto"/>
        <w:ind w:left="850" w:right="56"/>
      </w:pPr>
      <w:r w:rsidRPr="00EB2BD8">
        <w:t xml:space="preserve">A Practice Note about Service penetration installations in </w:t>
      </w:r>
      <w:hyperlink r:id="rId105">
        <w:r w:rsidRPr="00EB2BD8">
          <w:t>fire rated and smoke proof walls</w:t>
        </w:r>
      </w:hyperlink>
      <w:r w:rsidRPr="00EB2BD8">
        <w:t xml:space="preserve"> was issued in December</w:t>
      </w:r>
      <w:r w:rsidRPr="00EB2BD8">
        <w:rPr>
          <w:spacing w:val="-13"/>
        </w:rPr>
        <w:t xml:space="preserve"> </w:t>
      </w:r>
      <w:r w:rsidRPr="00EB2BD8">
        <w:t>2022</w:t>
      </w:r>
      <w:r w:rsidRPr="00EB2BD8">
        <w:rPr>
          <w:spacing w:val="-13"/>
        </w:rPr>
        <w:t xml:space="preserve"> </w:t>
      </w:r>
      <w:r w:rsidRPr="00EB2BD8">
        <w:t>to</w:t>
      </w:r>
      <w:r w:rsidRPr="00EB2BD8">
        <w:rPr>
          <w:spacing w:val="-13"/>
        </w:rPr>
        <w:t xml:space="preserve"> </w:t>
      </w:r>
      <w:r w:rsidRPr="00EB2BD8">
        <w:t>provide</w:t>
      </w:r>
      <w:r w:rsidRPr="00EB2BD8">
        <w:rPr>
          <w:spacing w:val="-13"/>
        </w:rPr>
        <w:t xml:space="preserve"> </w:t>
      </w:r>
      <w:r w:rsidRPr="00EB2BD8">
        <w:t>guidance</w:t>
      </w:r>
      <w:r w:rsidRPr="00EB2BD8">
        <w:rPr>
          <w:spacing w:val="-13"/>
        </w:rPr>
        <w:t xml:space="preserve"> </w:t>
      </w:r>
      <w:r w:rsidRPr="00EB2BD8">
        <w:t>to</w:t>
      </w:r>
      <w:r w:rsidRPr="00EB2BD8">
        <w:rPr>
          <w:spacing w:val="-13"/>
        </w:rPr>
        <w:t xml:space="preserve"> </w:t>
      </w:r>
      <w:r w:rsidRPr="00EB2BD8">
        <w:t>practitioners</w:t>
      </w:r>
      <w:r w:rsidRPr="00EB2BD8">
        <w:rPr>
          <w:spacing w:val="-13"/>
        </w:rPr>
        <w:t xml:space="preserve"> </w:t>
      </w:r>
      <w:r w:rsidRPr="00EB2BD8">
        <w:t>on selection</w:t>
      </w:r>
      <w:r w:rsidRPr="00EB2BD8">
        <w:rPr>
          <w:spacing w:val="-4"/>
        </w:rPr>
        <w:t xml:space="preserve"> </w:t>
      </w:r>
      <w:r w:rsidRPr="00EB2BD8">
        <w:t>and</w:t>
      </w:r>
      <w:r w:rsidRPr="00EB2BD8">
        <w:rPr>
          <w:spacing w:val="-4"/>
        </w:rPr>
        <w:t xml:space="preserve"> </w:t>
      </w:r>
      <w:r w:rsidRPr="00EB2BD8">
        <w:t>installation</w:t>
      </w:r>
      <w:r w:rsidRPr="00EB2BD8">
        <w:rPr>
          <w:spacing w:val="-4"/>
        </w:rPr>
        <w:t xml:space="preserve"> </w:t>
      </w:r>
      <w:r w:rsidRPr="00EB2BD8">
        <w:t>of</w:t>
      </w:r>
      <w:r w:rsidRPr="00EB2BD8">
        <w:rPr>
          <w:spacing w:val="-4"/>
        </w:rPr>
        <w:t xml:space="preserve"> </w:t>
      </w:r>
      <w:r w:rsidRPr="00EB2BD8">
        <w:t>service</w:t>
      </w:r>
      <w:r w:rsidRPr="00EB2BD8">
        <w:rPr>
          <w:spacing w:val="-4"/>
        </w:rPr>
        <w:t xml:space="preserve"> </w:t>
      </w:r>
      <w:r w:rsidRPr="00EB2BD8">
        <w:t>penetrations</w:t>
      </w:r>
      <w:r w:rsidRPr="00EB2BD8">
        <w:rPr>
          <w:spacing w:val="-4"/>
        </w:rPr>
        <w:t xml:space="preserve"> </w:t>
      </w:r>
      <w:r w:rsidRPr="00EB2BD8">
        <w:t>in</w:t>
      </w:r>
      <w:r w:rsidRPr="00EB2BD8">
        <w:rPr>
          <w:spacing w:val="-4"/>
        </w:rPr>
        <w:t xml:space="preserve"> </w:t>
      </w:r>
      <w:r w:rsidRPr="00EB2BD8">
        <w:t>fire rated and smoke-proof walls.</w:t>
      </w:r>
    </w:p>
    <w:p w14:paraId="675F35D8" w14:textId="77777777" w:rsidR="00084F36" w:rsidRPr="00EB2BD8" w:rsidRDefault="00EB2BD8" w:rsidP="001975DF">
      <w:pPr>
        <w:pStyle w:val="Heading2"/>
        <w:ind w:left="426"/>
      </w:pPr>
      <w:r w:rsidRPr="00EB2BD8">
        <w:br w:type="column"/>
      </w:r>
      <w:bookmarkStart w:id="101" w:name="_Toc150762403"/>
      <w:r w:rsidRPr="00EB2BD8">
        <w:t>Examining</w:t>
      </w:r>
      <w:r w:rsidRPr="00EB2BD8">
        <w:rPr>
          <w:spacing w:val="-20"/>
        </w:rPr>
        <w:t xml:space="preserve"> </w:t>
      </w:r>
      <w:r w:rsidRPr="00EB2BD8">
        <w:t>indoor</w:t>
      </w:r>
      <w:r w:rsidRPr="00EB2BD8">
        <w:rPr>
          <w:spacing w:val="-19"/>
        </w:rPr>
        <w:t xml:space="preserve"> </w:t>
      </w:r>
      <w:r w:rsidRPr="00EB2BD8">
        <w:t>mould</w:t>
      </w:r>
      <w:r w:rsidRPr="00EB2BD8">
        <w:rPr>
          <w:spacing w:val="-19"/>
        </w:rPr>
        <w:t xml:space="preserve"> </w:t>
      </w:r>
      <w:r w:rsidRPr="00EB2BD8">
        <w:t>and</w:t>
      </w:r>
      <w:r w:rsidRPr="00EB2BD8">
        <w:rPr>
          <w:spacing w:val="-19"/>
        </w:rPr>
        <w:t xml:space="preserve"> </w:t>
      </w:r>
      <w:r w:rsidRPr="00EB2BD8">
        <w:t>moisture damage</w:t>
      </w:r>
      <w:r w:rsidRPr="00EB2BD8">
        <w:rPr>
          <w:spacing w:val="-13"/>
        </w:rPr>
        <w:t xml:space="preserve"> </w:t>
      </w:r>
      <w:r w:rsidRPr="00EB2BD8">
        <w:t>in</w:t>
      </w:r>
      <w:r w:rsidRPr="00EB2BD8">
        <w:rPr>
          <w:spacing w:val="-13"/>
        </w:rPr>
        <w:t xml:space="preserve"> </w:t>
      </w:r>
      <w:r w:rsidRPr="00EB2BD8">
        <w:t>Victorian</w:t>
      </w:r>
      <w:r w:rsidRPr="00EB2BD8">
        <w:rPr>
          <w:spacing w:val="-13"/>
        </w:rPr>
        <w:t xml:space="preserve"> </w:t>
      </w:r>
      <w:r w:rsidRPr="00EB2BD8">
        <w:t>residential</w:t>
      </w:r>
      <w:r w:rsidRPr="00EB2BD8">
        <w:rPr>
          <w:spacing w:val="-13"/>
        </w:rPr>
        <w:t xml:space="preserve"> </w:t>
      </w:r>
      <w:r w:rsidRPr="00EB2BD8">
        <w:t>buildings</w:t>
      </w:r>
      <w:bookmarkEnd w:id="101"/>
    </w:p>
    <w:p w14:paraId="4AA18944" w14:textId="09AA9B72" w:rsidR="00084F36" w:rsidRPr="00EB2BD8" w:rsidRDefault="00E13356" w:rsidP="00E13356">
      <w:pPr>
        <w:pStyle w:val="Heading3"/>
        <w:ind w:left="0"/>
      </w:pPr>
      <w:r>
        <w:t xml:space="preserve">        </w:t>
      </w:r>
      <w:bookmarkStart w:id="102" w:name="_Toc150762404"/>
      <w:r w:rsidR="00EB2BD8" w:rsidRPr="00EB2BD8">
        <w:t>What</w:t>
      </w:r>
      <w:r w:rsidR="00EB2BD8" w:rsidRPr="00EB2BD8">
        <w:rPr>
          <w:spacing w:val="-15"/>
        </w:rPr>
        <w:t xml:space="preserve"> </w:t>
      </w:r>
      <w:r w:rsidR="00EB2BD8" w:rsidRPr="00EB2BD8">
        <w:t>we</w:t>
      </w:r>
      <w:r w:rsidR="00EB2BD8" w:rsidRPr="00EB2BD8">
        <w:rPr>
          <w:spacing w:val="-14"/>
        </w:rPr>
        <w:t xml:space="preserve"> </w:t>
      </w:r>
      <w:r w:rsidR="00EB2BD8" w:rsidRPr="00EB2BD8">
        <w:t>did</w:t>
      </w:r>
      <w:r w:rsidR="00EB2BD8" w:rsidRPr="00EB2BD8">
        <w:rPr>
          <w:spacing w:val="-14"/>
        </w:rPr>
        <w:t xml:space="preserve"> </w:t>
      </w:r>
      <w:r w:rsidR="00EB2BD8" w:rsidRPr="00EB2BD8">
        <w:t>and</w:t>
      </w:r>
      <w:r w:rsidR="00EB2BD8" w:rsidRPr="00EB2BD8">
        <w:rPr>
          <w:spacing w:val="-15"/>
        </w:rPr>
        <w:t xml:space="preserve"> </w:t>
      </w:r>
      <w:r w:rsidR="00EB2BD8" w:rsidRPr="00EB2BD8">
        <w:rPr>
          <w:spacing w:val="-5"/>
        </w:rPr>
        <w:t>why</w:t>
      </w:r>
      <w:bookmarkEnd w:id="102"/>
    </w:p>
    <w:p w14:paraId="321BE1D3" w14:textId="77777777" w:rsidR="00084F36" w:rsidRPr="00EB2BD8" w:rsidRDefault="00EB2BD8">
      <w:pPr>
        <w:pStyle w:val="BodyText"/>
        <w:spacing w:before="124" w:line="261" w:lineRule="auto"/>
        <w:ind w:left="432" w:right="860"/>
      </w:pPr>
      <w:r w:rsidRPr="00EB2BD8">
        <w:t>The VBA partnered with Victoria University and the VMIA</w:t>
      </w:r>
      <w:r w:rsidRPr="00EB2BD8">
        <w:rPr>
          <w:spacing w:val="-15"/>
        </w:rPr>
        <w:t xml:space="preserve"> </w:t>
      </w:r>
      <w:r w:rsidRPr="00EB2BD8">
        <w:t>in</w:t>
      </w:r>
      <w:r w:rsidRPr="00EB2BD8">
        <w:rPr>
          <w:spacing w:val="-14"/>
        </w:rPr>
        <w:t xml:space="preserve"> </w:t>
      </w:r>
      <w:r w:rsidRPr="00EB2BD8">
        <w:t>2021</w:t>
      </w:r>
      <w:r w:rsidRPr="00EB2BD8">
        <w:rPr>
          <w:spacing w:val="-14"/>
        </w:rPr>
        <w:t xml:space="preserve"> </w:t>
      </w:r>
      <w:r w:rsidRPr="00EB2BD8">
        <w:t>to</w:t>
      </w:r>
      <w:r w:rsidRPr="00EB2BD8">
        <w:rPr>
          <w:spacing w:val="-14"/>
        </w:rPr>
        <w:t xml:space="preserve"> </w:t>
      </w:r>
      <w:r w:rsidRPr="00EB2BD8">
        <w:t>undertake</w:t>
      </w:r>
      <w:r w:rsidRPr="00EB2BD8">
        <w:rPr>
          <w:spacing w:val="-15"/>
        </w:rPr>
        <w:t xml:space="preserve"> </w:t>
      </w:r>
      <w:r w:rsidRPr="00EB2BD8">
        <w:t>research</w:t>
      </w:r>
      <w:r w:rsidRPr="00EB2BD8">
        <w:rPr>
          <w:spacing w:val="-14"/>
        </w:rPr>
        <w:t xml:space="preserve"> </w:t>
      </w:r>
      <w:r w:rsidRPr="00EB2BD8">
        <w:t>on</w:t>
      </w:r>
      <w:r w:rsidRPr="00EB2BD8">
        <w:rPr>
          <w:spacing w:val="-14"/>
        </w:rPr>
        <w:t xml:space="preserve"> </w:t>
      </w:r>
      <w:r w:rsidRPr="00EB2BD8">
        <w:t>the</w:t>
      </w:r>
      <w:r w:rsidRPr="00EB2BD8">
        <w:rPr>
          <w:spacing w:val="-14"/>
        </w:rPr>
        <w:t xml:space="preserve"> </w:t>
      </w:r>
      <w:r w:rsidRPr="00EB2BD8">
        <w:t>scope</w:t>
      </w:r>
      <w:r w:rsidRPr="00EB2BD8">
        <w:rPr>
          <w:spacing w:val="-15"/>
        </w:rPr>
        <w:t xml:space="preserve"> </w:t>
      </w:r>
      <w:r w:rsidRPr="00EB2BD8">
        <w:t>and causes of indoor mould and moisture damage in Victorian residential buildings.</w:t>
      </w:r>
    </w:p>
    <w:p w14:paraId="72B3399C" w14:textId="77777777" w:rsidR="00084F36" w:rsidRPr="00EB2BD8" w:rsidRDefault="00EB2BD8">
      <w:pPr>
        <w:pStyle w:val="BodyText"/>
        <w:spacing w:before="110" w:line="261" w:lineRule="auto"/>
        <w:ind w:left="432" w:right="908"/>
      </w:pPr>
      <w:r w:rsidRPr="00EB2BD8">
        <w:t>The research, led by Dr Tim Law, examined VMIA accepted claims against domestic building insurance overlaid with building permit information from the VBA, to better understand the scope and causes of indoor mould in residential buildings and to identify opportunities for improvement.</w:t>
      </w:r>
    </w:p>
    <w:p w14:paraId="60B60D55" w14:textId="77777777" w:rsidR="00084F36" w:rsidRPr="00EB2BD8" w:rsidRDefault="00EB2BD8">
      <w:pPr>
        <w:pStyle w:val="BodyText"/>
        <w:spacing w:before="177"/>
        <w:ind w:left="432"/>
      </w:pPr>
      <w:r w:rsidRPr="00EB2BD8">
        <w:t>The</w:t>
      </w:r>
      <w:r w:rsidRPr="00EB2BD8">
        <w:rPr>
          <w:spacing w:val="-3"/>
        </w:rPr>
        <w:t xml:space="preserve"> </w:t>
      </w:r>
      <w:hyperlink r:id="rId106">
        <w:r w:rsidRPr="00EB2BD8">
          <w:t>research</w:t>
        </w:r>
        <w:r w:rsidRPr="00EB2BD8">
          <w:rPr>
            <w:spacing w:val="-1"/>
          </w:rPr>
          <w:t xml:space="preserve"> </w:t>
        </w:r>
        <w:r w:rsidRPr="00EB2BD8">
          <w:t>report</w:t>
        </w:r>
      </w:hyperlink>
      <w:r w:rsidRPr="00EB2BD8">
        <w:rPr>
          <w:spacing w:val="-1"/>
        </w:rPr>
        <w:t xml:space="preserve"> </w:t>
      </w:r>
      <w:r w:rsidRPr="00EB2BD8">
        <w:t>was</w:t>
      </w:r>
      <w:r w:rsidRPr="00EB2BD8">
        <w:rPr>
          <w:spacing w:val="-1"/>
        </w:rPr>
        <w:t xml:space="preserve"> </w:t>
      </w:r>
      <w:r w:rsidRPr="00EB2BD8">
        <w:t>published</w:t>
      </w:r>
      <w:r w:rsidRPr="00EB2BD8">
        <w:rPr>
          <w:spacing w:val="-1"/>
        </w:rPr>
        <w:t xml:space="preserve"> </w:t>
      </w:r>
      <w:r w:rsidRPr="00EB2BD8">
        <w:t>in</w:t>
      </w:r>
      <w:r w:rsidRPr="00EB2BD8">
        <w:rPr>
          <w:spacing w:val="-1"/>
        </w:rPr>
        <w:t xml:space="preserve"> </w:t>
      </w:r>
      <w:r w:rsidRPr="00EB2BD8">
        <w:t>February</w:t>
      </w:r>
      <w:r w:rsidRPr="00EB2BD8">
        <w:rPr>
          <w:spacing w:val="-1"/>
        </w:rPr>
        <w:t xml:space="preserve"> </w:t>
      </w:r>
      <w:r w:rsidRPr="00EB2BD8">
        <w:rPr>
          <w:spacing w:val="-4"/>
        </w:rPr>
        <w:t>2023.</w:t>
      </w:r>
    </w:p>
    <w:p w14:paraId="432A52DD" w14:textId="541BE56D" w:rsidR="00084F36" w:rsidRPr="00EB2BD8" w:rsidRDefault="00E13356" w:rsidP="00E13356">
      <w:pPr>
        <w:pStyle w:val="Heading3"/>
        <w:ind w:left="0"/>
      </w:pPr>
      <w:r>
        <w:t xml:space="preserve">       </w:t>
      </w:r>
      <w:bookmarkStart w:id="103" w:name="_Toc150762405"/>
      <w:r w:rsidR="00EB2BD8" w:rsidRPr="00EB2BD8">
        <w:t>What</w:t>
      </w:r>
      <w:r w:rsidR="00EB2BD8" w:rsidRPr="00EB2BD8">
        <w:rPr>
          <w:spacing w:val="-18"/>
        </w:rPr>
        <w:t xml:space="preserve"> </w:t>
      </w:r>
      <w:r w:rsidR="00EB2BD8" w:rsidRPr="00EB2BD8">
        <w:t>we</w:t>
      </w:r>
      <w:r w:rsidR="00EB2BD8" w:rsidRPr="00EB2BD8">
        <w:rPr>
          <w:spacing w:val="-17"/>
        </w:rPr>
        <w:t xml:space="preserve"> </w:t>
      </w:r>
      <w:r w:rsidR="00EB2BD8" w:rsidRPr="00EB2BD8">
        <w:t>found</w:t>
      </w:r>
      <w:bookmarkEnd w:id="103"/>
    </w:p>
    <w:p w14:paraId="49B9D215" w14:textId="77777777" w:rsidR="00084F36" w:rsidRPr="00EB2BD8" w:rsidRDefault="00EB2BD8">
      <w:pPr>
        <w:pStyle w:val="BodyText"/>
        <w:spacing w:before="124" w:line="261" w:lineRule="auto"/>
        <w:ind w:left="432" w:right="920"/>
      </w:pPr>
      <w:r w:rsidRPr="00EB2BD8">
        <w:t>The research identified problematic building design and</w:t>
      </w:r>
      <w:r w:rsidRPr="00EB2BD8">
        <w:rPr>
          <w:spacing w:val="-5"/>
        </w:rPr>
        <w:t xml:space="preserve"> </w:t>
      </w:r>
      <w:r w:rsidRPr="00EB2BD8">
        <w:t>construction</w:t>
      </w:r>
      <w:r w:rsidRPr="00EB2BD8">
        <w:rPr>
          <w:spacing w:val="-5"/>
        </w:rPr>
        <w:t xml:space="preserve"> </w:t>
      </w:r>
      <w:r w:rsidRPr="00EB2BD8">
        <w:t>in</w:t>
      </w:r>
      <w:r w:rsidRPr="00EB2BD8">
        <w:rPr>
          <w:spacing w:val="-5"/>
        </w:rPr>
        <w:t xml:space="preserve"> </w:t>
      </w:r>
      <w:r w:rsidRPr="00EB2BD8">
        <w:t>Victorian</w:t>
      </w:r>
      <w:r w:rsidRPr="00EB2BD8">
        <w:rPr>
          <w:spacing w:val="-5"/>
        </w:rPr>
        <w:t xml:space="preserve"> </w:t>
      </w:r>
      <w:r w:rsidRPr="00EB2BD8">
        <w:t>residential</w:t>
      </w:r>
      <w:r w:rsidRPr="00EB2BD8">
        <w:rPr>
          <w:spacing w:val="-5"/>
        </w:rPr>
        <w:t xml:space="preserve"> </w:t>
      </w:r>
      <w:r w:rsidRPr="00EB2BD8">
        <w:t>buildings</w:t>
      </w:r>
      <w:r w:rsidRPr="00EB2BD8">
        <w:rPr>
          <w:spacing w:val="-5"/>
        </w:rPr>
        <w:t xml:space="preserve"> </w:t>
      </w:r>
      <w:r w:rsidRPr="00EB2BD8">
        <w:t>that would lead to water ingress and indoor mould.</w:t>
      </w:r>
    </w:p>
    <w:p w14:paraId="78BD5BBF" w14:textId="77777777" w:rsidR="00084F36" w:rsidRPr="00EB2BD8" w:rsidRDefault="00EB2BD8">
      <w:pPr>
        <w:pStyle w:val="BodyText"/>
        <w:spacing w:before="110" w:line="261" w:lineRule="auto"/>
        <w:ind w:left="432" w:right="1102"/>
      </w:pPr>
      <w:r w:rsidRPr="00EB2BD8">
        <w:t>Through analysis of data and a representative sample of VMIA claims and supporting insurance inspection</w:t>
      </w:r>
      <w:r w:rsidRPr="00EB2BD8">
        <w:rPr>
          <w:spacing w:val="-10"/>
        </w:rPr>
        <w:t xml:space="preserve"> </w:t>
      </w:r>
      <w:r w:rsidRPr="00EB2BD8">
        <w:t>reports,</w:t>
      </w:r>
      <w:r w:rsidRPr="00EB2BD8">
        <w:rPr>
          <w:spacing w:val="-10"/>
        </w:rPr>
        <w:t xml:space="preserve"> </w:t>
      </w:r>
      <w:r w:rsidRPr="00EB2BD8">
        <w:t>photographs</w:t>
      </w:r>
      <w:r w:rsidRPr="00EB2BD8">
        <w:rPr>
          <w:spacing w:val="-10"/>
        </w:rPr>
        <w:t xml:space="preserve"> </w:t>
      </w:r>
      <w:r w:rsidRPr="00EB2BD8">
        <w:t>and</w:t>
      </w:r>
      <w:r w:rsidRPr="00EB2BD8">
        <w:rPr>
          <w:spacing w:val="-10"/>
        </w:rPr>
        <w:t xml:space="preserve"> </w:t>
      </w:r>
      <w:r w:rsidRPr="00EB2BD8">
        <w:t>building</w:t>
      </w:r>
      <w:r w:rsidRPr="00EB2BD8">
        <w:rPr>
          <w:spacing w:val="-10"/>
        </w:rPr>
        <w:t xml:space="preserve"> </w:t>
      </w:r>
      <w:r w:rsidRPr="00EB2BD8">
        <w:t>permit documentation, the research identified patterns and clusters of problematic building work that are likely to</w:t>
      </w:r>
      <w:r w:rsidRPr="00EB2BD8">
        <w:rPr>
          <w:spacing w:val="-5"/>
        </w:rPr>
        <w:t xml:space="preserve"> </w:t>
      </w:r>
      <w:r w:rsidRPr="00EB2BD8">
        <w:t>result</w:t>
      </w:r>
      <w:r w:rsidRPr="00EB2BD8">
        <w:rPr>
          <w:spacing w:val="-5"/>
        </w:rPr>
        <w:t xml:space="preserve"> </w:t>
      </w:r>
      <w:r w:rsidRPr="00EB2BD8">
        <w:t>in</w:t>
      </w:r>
      <w:r w:rsidRPr="00EB2BD8">
        <w:rPr>
          <w:spacing w:val="-5"/>
        </w:rPr>
        <w:t xml:space="preserve"> </w:t>
      </w:r>
      <w:r w:rsidRPr="00EB2BD8">
        <w:t>moisture</w:t>
      </w:r>
      <w:r w:rsidRPr="00EB2BD8">
        <w:rPr>
          <w:spacing w:val="-5"/>
        </w:rPr>
        <w:t xml:space="preserve"> </w:t>
      </w:r>
      <w:r w:rsidRPr="00EB2BD8">
        <w:t>damage</w:t>
      </w:r>
      <w:r w:rsidRPr="00EB2BD8">
        <w:rPr>
          <w:spacing w:val="-5"/>
        </w:rPr>
        <w:t xml:space="preserve"> </w:t>
      </w:r>
      <w:r w:rsidRPr="00EB2BD8">
        <w:t>and</w:t>
      </w:r>
      <w:r w:rsidRPr="00EB2BD8">
        <w:rPr>
          <w:spacing w:val="-5"/>
        </w:rPr>
        <w:t xml:space="preserve"> </w:t>
      </w:r>
      <w:r w:rsidRPr="00EB2BD8">
        <w:t>indoor</w:t>
      </w:r>
      <w:r w:rsidRPr="00EB2BD8">
        <w:rPr>
          <w:spacing w:val="-5"/>
        </w:rPr>
        <w:t xml:space="preserve"> </w:t>
      </w:r>
      <w:r w:rsidRPr="00EB2BD8">
        <w:t>mould,</w:t>
      </w:r>
      <w:r w:rsidRPr="00EB2BD8">
        <w:rPr>
          <w:spacing w:val="-5"/>
        </w:rPr>
        <w:t xml:space="preserve"> </w:t>
      </w:r>
      <w:r w:rsidRPr="00EB2BD8">
        <w:t>and opportunities for improving:</w:t>
      </w:r>
    </w:p>
    <w:p w14:paraId="1375B2B7" w14:textId="77777777" w:rsidR="00084F36" w:rsidRPr="00EB2BD8" w:rsidRDefault="00EB2BD8">
      <w:pPr>
        <w:pStyle w:val="ListParagraph"/>
        <w:numPr>
          <w:ilvl w:val="0"/>
          <w:numId w:val="64"/>
        </w:numPr>
        <w:tabs>
          <w:tab w:val="left" w:pos="715"/>
        </w:tabs>
        <w:spacing w:before="83" w:line="261" w:lineRule="auto"/>
        <w:ind w:right="872"/>
        <w:jc w:val="both"/>
        <w:rPr>
          <w:sz w:val="18"/>
        </w:rPr>
      </w:pPr>
      <w:r w:rsidRPr="00EB2BD8">
        <w:rPr>
          <w:sz w:val="18"/>
        </w:rPr>
        <w:t>Practitioner education and awareness around high- risk areas such as balcony design and construction and watertightness of external building envelopes.</w:t>
      </w:r>
    </w:p>
    <w:p w14:paraId="2555C191" w14:textId="77777777" w:rsidR="00084F36" w:rsidRPr="00EB2BD8" w:rsidRDefault="00EB2BD8">
      <w:pPr>
        <w:pStyle w:val="ListParagraph"/>
        <w:numPr>
          <w:ilvl w:val="0"/>
          <w:numId w:val="64"/>
        </w:numPr>
        <w:tabs>
          <w:tab w:val="left" w:pos="715"/>
        </w:tabs>
        <w:spacing w:before="67" w:line="261" w:lineRule="auto"/>
        <w:ind w:right="1324"/>
        <w:rPr>
          <w:sz w:val="18"/>
        </w:rPr>
      </w:pPr>
      <w:r w:rsidRPr="00EB2BD8">
        <w:rPr>
          <w:spacing w:val="-2"/>
          <w:sz w:val="18"/>
        </w:rPr>
        <w:t>Inclusion</w:t>
      </w:r>
      <w:r w:rsidRPr="00EB2BD8">
        <w:rPr>
          <w:spacing w:val="-3"/>
          <w:sz w:val="18"/>
        </w:rPr>
        <w:t xml:space="preserve"> </w:t>
      </w:r>
      <w:r w:rsidRPr="00EB2BD8">
        <w:rPr>
          <w:spacing w:val="-2"/>
          <w:sz w:val="18"/>
        </w:rPr>
        <w:t>of</w:t>
      </w:r>
      <w:r w:rsidRPr="00EB2BD8">
        <w:rPr>
          <w:spacing w:val="-3"/>
          <w:sz w:val="18"/>
        </w:rPr>
        <w:t xml:space="preserve"> </w:t>
      </w:r>
      <w:r w:rsidRPr="00EB2BD8">
        <w:rPr>
          <w:spacing w:val="-2"/>
          <w:sz w:val="18"/>
        </w:rPr>
        <w:t>critical</w:t>
      </w:r>
      <w:r w:rsidRPr="00EB2BD8">
        <w:rPr>
          <w:spacing w:val="-3"/>
          <w:sz w:val="18"/>
        </w:rPr>
        <w:t xml:space="preserve"> </w:t>
      </w:r>
      <w:r w:rsidRPr="00EB2BD8">
        <w:rPr>
          <w:spacing w:val="-2"/>
          <w:sz w:val="18"/>
        </w:rPr>
        <w:t>details</w:t>
      </w:r>
      <w:r w:rsidRPr="00EB2BD8">
        <w:rPr>
          <w:spacing w:val="-3"/>
          <w:sz w:val="18"/>
        </w:rPr>
        <w:t xml:space="preserve"> </w:t>
      </w:r>
      <w:r w:rsidRPr="00EB2BD8">
        <w:rPr>
          <w:spacing w:val="-2"/>
          <w:sz w:val="18"/>
        </w:rPr>
        <w:t>in</w:t>
      </w:r>
      <w:r w:rsidRPr="00EB2BD8">
        <w:rPr>
          <w:spacing w:val="-3"/>
          <w:sz w:val="18"/>
        </w:rPr>
        <w:t xml:space="preserve"> </w:t>
      </w:r>
      <w:r w:rsidRPr="00EB2BD8">
        <w:rPr>
          <w:spacing w:val="-2"/>
          <w:sz w:val="18"/>
        </w:rPr>
        <w:t>drawings/building plans.</w:t>
      </w:r>
    </w:p>
    <w:p w14:paraId="65EF9C29" w14:textId="77777777" w:rsidR="00084F36" w:rsidRPr="00EB2BD8" w:rsidRDefault="00EB2BD8">
      <w:pPr>
        <w:pStyle w:val="ListParagraph"/>
        <w:numPr>
          <w:ilvl w:val="0"/>
          <w:numId w:val="64"/>
        </w:numPr>
        <w:tabs>
          <w:tab w:val="left" w:pos="715"/>
        </w:tabs>
        <w:spacing w:before="68" w:line="261" w:lineRule="auto"/>
        <w:ind w:right="1205"/>
        <w:rPr>
          <w:sz w:val="18"/>
        </w:rPr>
      </w:pPr>
      <w:r w:rsidRPr="00EB2BD8">
        <w:rPr>
          <w:sz w:val="18"/>
        </w:rPr>
        <w:t>Supervision of the design and construction of balconies</w:t>
      </w:r>
      <w:r w:rsidRPr="00EB2BD8">
        <w:rPr>
          <w:spacing w:val="-10"/>
          <w:sz w:val="18"/>
        </w:rPr>
        <w:t xml:space="preserve"> </w:t>
      </w:r>
      <w:r w:rsidRPr="00EB2BD8">
        <w:rPr>
          <w:sz w:val="18"/>
        </w:rPr>
        <w:t>and</w:t>
      </w:r>
      <w:r w:rsidRPr="00EB2BD8">
        <w:rPr>
          <w:spacing w:val="-10"/>
          <w:sz w:val="18"/>
        </w:rPr>
        <w:t xml:space="preserve"> </w:t>
      </w:r>
      <w:r w:rsidRPr="00EB2BD8">
        <w:rPr>
          <w:sz w:val="18"/>
        </w:rPr>
        <w:t>other</w:t>
      </w:r>
      <w:r w:rsidRPr="00EB2BD8">
        <w:rPr>
          <w:spacing w:val="-10"/>
          <w:sz w:val="18"/>
        </w:rPr>
        <w:t xml:space="preserve"> </w:t>
      </w:r>
      <w:r w:rsidRPr="00EB2BD8">
        <w:rPr>
          <w:sz w:val="18"/>
        </w:rPr>
        <w:t>high-risk</w:t>
      </w:r>
      <w:r w:rsidRPr="00EB2BD8">
        <w:rPr>
          <w:spacing w:val="-10"/>
          <w:sz w:val="18"/>
        </w:rPr>
        <w:t xml:space="preserve"> </w:t>
      </w:r>
      <w:r w:rsidRPr="00EB2BD8">
        <w:rPr>
          <w:sz w:val="18"/>
        </w:rPr>
        <w:t>building</w:t>
      </w:r>
      <w:r w:rsidRPr="00EB2BD8">
        <w:rPr>
          <w:spacing w:val="-10"/>
          <w:sz w:val="18"/>
        </w:rPr>
        <w:t xml:space="preserve"> </w:t>
      </w:r>
      <w:r w:rsidRPr="00EB2BD8">
        <w:rPr>
          <w:sz w:val="18"/>
        </w:rPr>
        <w:t>elements.</w:t>
      </w:r>
    </w:p>
    <w:p w14:paraId="3446AB7C" w14:textId="77777777" w:rsidR="00084F36" w:rsidRPr="00EB2BD8" w:rsidRDefault="00EB2BD8" w:rsidP="00C1767B">
      <w:pPr>
        <w:pStyle w:val="Heading3"/>
        <w:ind w:left="0" w:firstLine="431"/>
      </w:pPr>
      <w:bookmarkStart w:id="104" w:name="_Toc150762406"/>
      <w:r w:rsidRPr="00EB2BD8">
        <w:t>What</w:t>
      </w:r>
      <w:r w:rsidRPr="00EB2BD8">
        <w:rPr>
          <w:spacing w:val="-18"/>
        </w:rPr>
        <w:t xml:space="preserve"> </w:t>
      </w:r>
      <w:r w:rsidRPr="00EB2BD8">
        <w:t>difference</w:t>
      </w:r>
      <w:r w:rsidRPr="00EB2BD8">
        <w:rPr>
          <w:spacing w:val="-17"/>
        </w:rPr>
        <w:t xml:space="preserve"> </w:t>
      </w:r>
      <w:r w:rsidRPr="00EB2BD8">
        <w:t>this</w:t>
      </w:r>
      <w:r w:rsidRPr="00EB2BD8">
        <w:rPr>
          <w:spacing w:val="-17"/>
        </w:rPr>
        <w:t xml:space="preserve"> </w:t>
      </w:r>
      <w:r w:rsidRPr="00EB2BD8">
        <w:t>made</w:t>
      </w:r>
      <w:bookmarkEnd w:id="104"/>
    </w:p>
    <w:p w14:paraId="162D7EAE" w14:textId="77777777" w:rsidR="00084F36" w:rsidRPr="00EB2BD8" w:rsidRDefault="00EB2BD8">
      <w:pPr>
        <w:pStyle w:val="BodyText"/>
        <w:spacing w:before="124" w:line="261" w:lineRule="auto"/>
        <w:ind w:left="432" w:right="920"/>
      </w:pPr>
      <w:r w:rsidRPr="00EB2BD8">
        <w:t>The</w:t>
      </w:r>
      <w:r w:rsidRPr="00EB2BD8">
        <w:rPr>
          <w:spacing w:val="-9"/>
        </w:rPr>
        <w:t xml:space="preserve"> </w:t>
      </w:r>
      <w:r w:rsidRPr="00EB2BD8">
        <w:t>research</w:t>
      </w:r>
      <w:r w:rsidRPr="00EB2BD8">
        <w:rPr>
          <w:spacing w:val="-9"/>
        </w:rPr>
        <w:t xml:space="preserve"> </w:t>
      </w:r>
      <w:r w:rsidRPr="00EB2BD8">
        <w:t>identified</w:t>
      </w:r>
      <w:r w:rsidRPr="00EB2BD8">
        <w:rPr>
          <w:spacing w:val="-9"/>
        </w:rPr>
        <w:t xml:space="preserve"> </w:t>
      </w:r>
      <w:r w:rsidRPr="00EB2BD8">
        <w:t>improvement</w:t>
      </w:r>
      <w:r w:rsidRPr="00EB2BD8">
        <w:rPr>
          <w:spacing w:val="-9"/>
        </w:rPr>
        <w:t xml:space="preserve"> </w:t>
      </w:r>
      <w:r w:rsidRPr="00EB2BD8">
        <w:t>opportunities</w:t>
      </w:r>
      <w:r w:rsidRPr="00EB2BD8">
        <w:rPr>
          <w:spacing w:val="-9"/>
        </w:rPr>
        <w:t xml:space="preserve"> </w:t>
      </w:r>
      <w:r w:rsidRPr="00EB2BD8">
        <w:t>for building</w:t>
      </w:r>
      <w:r w:rsidRPr="00EB2BD8">
        <w:rPr>
          <w:spacing w:val="-3"/>
        </w:rPr>
        <w:t xml:space="preserve"> </w:t>
      </w:r>
      <w:r w:rsidRPr="00EB2BD8">
        <w:t>design,</w:t>
      </w:r>
      <w:r w:rsidRPr="00EB2BD8">
        <w:rPr>
          <w:spacing w:val="-3"/>
        </w:rPr>
        <w:t xml:space="preserve"> </w:t>
      </w:r>
      <w:r w:rsidRPr="00EB2BD8">
        <w:t>certification,</w:t>
      </w:r>
      <w:r w:rsidRPr="00EB2BD8">
        <w:rPr>
          <w:spacing w:val="-3"/>
        </w:rPr>
        <w:t xml:space="preserve"> </w:t>
      </w:r>
      <w:r w:rsidRPr="00EB2BD8">
        <w:t>construction,</w:t>
      </w:r>
      <w:r w:rsidRPr="00EB2BD8">
        <w:rPr>
          <w:spacing w:val="-3"/>
        </w:rPr>
        <w:t xml:space="preserve"> </w:t>
      </w:r>
      <w:r w:rsidRPr="00EB2BD8">
        <w:t>inspection and improved guidance for waterproofing.</w:t>
      </w:r>
    </w:p>
    <w:p w14:paraId="6A618963" w14:textId="77777777" w:rsidR="00084F36" w:rsidRPr="00EB2BD8" w:rsidRDefault="00EB2BD8">
      <w:pPr>
        <w:pStyle w:val="BodyText"/>
        <w:spacing w:before="110" w:line="261" w:lineRule="auto"/>
        <w:ind w:left="432" w:right="920"/>
      </w:pPr>
      <w:r w:rsidRPr="00EB2BD8">
        <w:t>We</w:t>
      </w:r>
      <w:r w:rsidRPr="00EB2BD8">
        <w:rPr>
          <w:spacing w:val="-7"/>
        </w:rPr>
        <w:t xml:space="preserve"> </w:t>
      </w:r>
      <w:r w:rsidRPr="00EB2BD8">
        <w:t>shared</w:t>
      </w:r>
      <w:r w:rsidRPr="00EB2BD8">
        <w:rPr>
          <w:spacing w:val="-7"/>
        </w:rPr>
        <w:t xml:space="preserve"> </w:t>
      </w:r>
      <w:r w:rsidRPr="00EB2BD8">
        <w:t>the</w:t>
      </w:r>
      <w:r w:rsidRPr="00EB2BD8">
        <w:rPr>
          <w:spacing w:val="-7"/>
        </w:rPr>
        <w:t xml:space="preserve"> </w:t>
      </w:r>
      <w:r w:rsidRPr="00EB2BD8">
        <w:t>report</w:t>
      </w:r>
      <w:r w:rsidRPr="00EB2BD8">
        <w:rPr>
          <w:spacing w:val="-7"/>
        </w:rPr>
        <w:t xml:space="preserve"> </w:t>
      </w:r>
      <w:r w:rsidRPr="00EB2BD8">
        <w:t>and</w:t>
      </w:r>
      <w:r w:rsidRPr="00EB2BD8">
        <w:rPr>
          <w:spacing w:val="-7"/>
        </w:rPr>
        <w:t xml:space="preserve"> </w:t>
      </w:r>
      <w:r w:rsidRPr="00EB2BD8">
        <w:t>its</w:t>
      </w:r>
      <w:r w:rsidRPr="00EB2BD8">
        <w:rPr>
          <w:spacing w:val="-7"/>
        </w:rPr>
        <w:t xml:space="preserve"> </w:t>
      </w:r>
      <w:r w:rsidRPr="00EB2BD8">
        <w:t>insights</w:t>
      </w:r>
      <w:r w:rsidRPr="00EB2BD8">
        <w:rPr>
          <w:spacing w:val="-7"/>
        </w:rPr>
        <w:t xml:space="preserve"> </w:t>
      </w:r>
      <w:r w:rsidRPr="00EB2BD8">
        <w:t>with</w:t>
      </w:r>
      <w:r w:rsidRPr="00EB2BD8">
        <w:rPr>
          <w:spacing w:val="-7"/>
        </w:rPr>
        <w:t xml:space="preserve"> </w:t>
      </w:r>
      <w:r w:rsidRPr="00EB2BD8">
        <w:t>government and industry stakeholders to raise awareness of</w:t>
      </w:r>
    </w:p>
    <w:p w14:paraId="3AE0934D" w14:textId="77777777" w:rsidR="00084F36" w:rsidRPr="00EB2BD8" w:rsidRDefault="00EB2BD8">
      <w:pPr>
        <w:pStyle w:val="BodyText"/>
        <w:spacing w:line="261" w:lineRule="auto"/>
        <w:ind w:left="432" w:right="920"/>
      </w:pPr>
      <w:r w:rsidRPr="00EB2BD8">
        <w:t>the</w:t>
      </w:r>
      <w:r w:rsidRPr="00EB2BD8">
        <w:rPr>
          <w:spacing w:val="-8"/>
        </w:rPr>
        <w:t xml:space="preserve"> </w:t>
      </w:r>
      <w:r w:rsidRPr="00EB2BD8">
        <w:t>risks</w:t>
      </w:r>
      <w:r w:rsidRPr="00EB2BD8">
        <w:rPr>
          <w:spacing w:val="-8"/>
        </w:rPr>
        <w:t xml:space="preserve"> </w:t>
      </w:r>
      <w:r w:rsidRPr="00EB2BD8">
        <w:t>of</w:t>
      </w:r>
      <w:r w:rsidRPr="00EB2BD8">
        <w:rPr>
          <w:spacing w:val="-8"/>
        </w:rPr>
        <w:t xml:space="preserve"> </w:t>
      </w:r>
      <w:r w:rsidRPr="00EB2BD8">
        <w:t>water</w:t>
      </w:r>
      <w:r w:rsidRPr="00EB2BD8">
        <w:rPr>
          <w:spacing w:val="-8"/>
        </w:rPr>
        <w:t xml:space="preserve"> </w:t>
      </w:r>
      <w:r w:rsidRPr="00EB2BD8">
        <w:t>ingress</w:t>
      </w:r>
      <w:r w:rsidRPr="00EB2BD8">
        <w:rPr>
          <w:spacing w:val="-8"/>
        </w:rPr>
        <w:t xml:space="preserve"> </w:t>
      </w:r>
      <w:r w:rsidRPr="00EB2BD8">
        <w:t>and</w:t>
      </w:r>
      <w:r w:rsidRPr="00EB2BD8">
        <w:rPr>
          <w:spacing w:val="-8"/>
        </w:rPr>
        <w:t xml:space="preserve"> </w:t>
      </w:r>
      <w:r w:rsidRPr="00EB2BD8">
        <w:t>moisture</w:t>
      </w:r>
      <w:r w:rsidRPr="00EB2BD8">
        <w:rPr>
          <w:spacing w:val="-8"/>
        </w:rPr>
        <w:t xml:space="preserve"> </w:t>
      </w:r>
      <w:r w:rsidRPr="00EB2BD8">
        <w:t>damage</w:t>
      </w:r>
      <w:r w:rsidRPr="00EB2BD8">
        <w:rPr>
          <w:spacing w:val="-8"/>
        </w:rPr>
        <w:t xml:space="preserve"> </w:t>
      </w:r>
      <w:r w:rsidRPr="00EB2BD8">
        <w:t>in buildings and measures that should be taken to improve occupant health and safety.</w:t>
      </w:r>
    </w:p>
    <w:p w14:paraId="547FBFDF" w14:textId="77777777" w:rsidR="00084F36" w:rsidRPr="00EB2BD8" w:rsidRDefault="00EB2BD8">
      <w:pPr>
        <w:pStyle w:val="BodyText"/>
        <w:spacing w:before="108" w:line="261" w:lineRule="auto"/>
        <w:ind w:left="432" w:right="711"/>
      </w:pPr>
      <w:r w:rsidRPr="00EB2BD8">
        <w:t xml:space="preserve">We are using the research insights to inform our </w:t>
      </w:r>
      <w:hyperlink r:id="rId107">
        <w:r w:rsidRPr="00EB2BD8">
          <w:t>Proactive Inspections Program</w:t>
        </w:r>
      </w:hyperlink>
      <w:r w:rsidRPr="00EB2BD8">
        <w:t xml:space="preserve"> and its continuing focus on areas of compliance risk that could cause water ingress and moisture damage.</w:t>
      </w:r>
    </w:p>
    <w:p w14:paraId="43F0B21E" w14:textId="77777777" w:rsidR="00084F36" w:rsidRPr="00EB2BD8" w:rsidRDefault="00084F36">
      <w:pPr>
        <w:spacing w:line="261" w:lineRule="auto"/>
        <w:sectPr w:rsidR="00084F36" w:rsidRPr="00EB2BD8" w:rsidSect="006D75B2">
          <w:type w:val="continuous"/>
          <w:pgSz w:w="11910" w:h="16840"/>
          <w:pgMar w:top="1920" w:right="0" w:bottom="280" w:left="0" w:header="0" w:footer="528" w:gutter="0"/>
          <w:cols w:num="2" w:space="720" w:equalWidth="0">
            <w:col w:w="5727" w:space="40"/>
            <w:col w:w="6143"/>
          </w:cols>
        </w:sectPr>
      </w:pPr>
    </w:p>
    <w:p w14:paraId="03EDF627" w14:textId="77777777" w:rsidR="00084F36" w:rsidRPr="00EB2BD8" w:rsidRDefault="00084F36">
      <w:pPr>
        <w:pStyle w:val="BodyText"/>
        <w:rPr>
          <w:sz w:val="20"/>
        </w:rPr>
      </w:pPr>
    </w:p>
    <w:p w14:paraId="5B08F40F" w14:textId="77777777" w:rsidR="00084F36" w:rsidRPr="00EB2BD8" w:rsidRDefault="00084F36">
      <w:pPr>
        <w:pStyle w:val="BodyText"/>
        <w:rPr>
          <w:sz w:val="20"/>
        </w:rPr>
      </w:pPr>
    </w:p>
    <w:p w14:paraId="0187BEA4" w14:textId="77777777" w:rsidR="00084F36" w:rsidRPr="00EB2BD8" w:rsidRDefault="00084F36">
      <w:pPr>
        <w:pStyle w:val="BodyText"/>
        <w:rPr>
          <w:sz w:val="20"/>
        </w:rPr>
      </w:pPr>
    </w:p>
    <w:p w14:paraId="4FA94F3A" w14:textId="77777777" w:rsidR="00084F36" w:rsidRPr="00EB2BD8" w:rsidRDefault="00084F36">
      <w:pPr>
        <w:pStyle w:val="BodyText"/>
        <w:rPr>
          <w:sz w:val="20"/>
        </w:rPr>
      </w:pPr>
    </w:p>
    <w:p w14:paraId="2D514003" w14:textId="77777777" w:rsidR="00084F36" w:rsidRPr="00EB2BD8" w:rsidRDefault="00084F36">
      <w:pPr>
        <w:pStyle w:val="BodyText"/>
        <w:spacing w:before="11"/>
        <w:rPr>
          <w:sz w:val="16"/>
        </w:rPr>
      </w:pPr>
    </w:p>
    <w:p w14:paraId="21116D29" w14:textId="77777777" w:rsidR="00084F36" w:rsidRPr="00EB2BD8" w:rsidRDefault="00084F36">
      <w:pPr>
        <w:rPr>
          <w:sz w:val="16"/>
        </w:rPr>
        <w:sectPr w:rsidR="00084F36" w:rsidRPr="00EB2BD8" w:rsidSect="006D75B2">
          <w:footerReference w:type="default" r:id="rId108"/>
          <w:pgSz w:w="11910" w:h="16840"/>
          <w:pgMar w:top="1080" w:right="0" w:bottom="720" w:left="0" w:header="0" w:footer="528" w:gutter="0"/>
          <w:cols w:space="720"/>
        </w:sectPr>
      </w:pPr>
    </w:p>
    <w:p w14:paraId="34958EF8" w14:textId="77777777" w:rsidR="00084F36" w:rsidRPr="00EB2BD8" w:rsidRDefault="00EB2BD8">
      <w:pPr>
        <w:pStyle w:val="BodyText"/>
        <w:spacing w:before="113" w:line="261" w:lineRule="auto"/>
        <w:ind w:left="850" w:right="1"/>
      </w:pPr>
      <w:r w:rsidRPr="00EB2BD8">
        <w:t xml:space="preserve">A </w:t>
      </w:r>
      <w:hyperlink r:id="rId109">
        <w:r w:rsidRPr="00EB2BD8">
          <w:t>Practitioner Education Series webinar</w:t>
        </w:r>
      </w:hyperlink>
      <w:r w:rsidRPr="00EB2BD8">
        <w:t xml:space="preserve"> in February </w:t>
      </w:r>
      <w:r w:rsidRPr="00EB2BD8">
        <w:rPr>
          <w:spacing w:val="-2"/>
        </w:rPr>
        <w:t>2023</w:t>
      </w:r>
      <w:r w:rsidRPr="00EB2BD8">
        <w:rPr>
          <w:spacing w:val="-8"/>
        </w:rPr>
        <w:t xml:space="preserve"> </w:t>
      </w:r>
      <w:r w:rsidRPr="00EB2BD8">
        <w:rPr>
          <w:spacing w:val="-2"/>
        </w:rPr>
        <w:t>provided</w:t>
      </w:r>
      <w:r w:rsidRPr="00EB2BD8">
        <w:rPr>
          <w:spacing w:val="-8"/>
        </w:rPr>
        <w:t xml:space="preserve"> </w:t>
      </w:r>
      <w:r w:rsidRPr="00EB2BD8">
        <w:rPr>
          <w:spacing w:val="-2"/>
        </w:rPr>
        <w:t>more</w:t>
      </w:r>
      <w:r w:rsidRPr="00EB2BD8">
        <w:rPr>
          <w:spacing w:val="-8"/>
        </w:rPr>
        <w:t xml:space="preserve"> </w:t>
      </w:r>
      <w:r w:rsidRPr="00EB2BD8">
        <w:rPr>
          <w:spacing w:val="-2"/>
        </w:rPr>
        <w:t>than</w:t>
      </w:r>
      <w:r w:rsidRPr="00EB2BD8">
        <w:rPr>
          <w:spacing w:val="-8"/>
        </w:rPr>
        <w:t xml:space="preserve"> </w:t>
      </w:r>
      <w:r w:rsidRPr="00EB2BD8">
        <w:rPr>
          <w:spacing w:val="-2"/>
        </w:rPr>
        <w:t>1,300</w:t>
      </w:r>
      <w:r w:rsidRPr="00EB2BD8">
        <w:rPr>
          <w:spacing w:val="-8"/>
        </w:rPr>
        <w:t xml:space="preserve"> </w:t>
      </w:r>
      <w:r w:rsidRPr="00EB2BD8">
        <w:rPr>
          <w:spacing w:val="-2"/>
        </w:rPr>
        <w:t>attendees</w:t>
      </w:r>
      <w:r w:rsidRPr="00EB2BD8">
        <w:rPr>
          <w:spacing w:val="-8"/>
        </w:rPr>
        <w:t xml:space="preserve"> </w:t>
      </w:r>
      <w:r w:rsidRPr="00EB2BD8">
        <w:rPr>
          <w:spacing w:val="-2"/>
        </w:rPr>
        <w:t>with</w:t>
      </w:r>
      <w:r w:rsidRPr="00EB2BD8">
        <w:rPr>
          <w:spacing w:val="-8"/>
        </w:rPr>
        <w:t xml:space="preserve"> </w:t>
      </w:r>
      <w:r w:rsidRPr="00EB2BD8">
        <w:rPr>
          <w:spacing w:val="-2"/>
        </w:rPr>
        <w:t xml:space="preserve">valuable </w:t>
      </w:r>
      <w:r w:rsidRPr="00EB2BD8">
        <w:t>learnings on the research insights and the causes and impacts of indoor mould in residential buildings.</w:t>
      </w:r>
    </w:p>
    <w:p w14:paraId="689A8819" w14:textId="77777777" w:rsidR="00084F36" w:rsidRPr="00EB2BD8" w:rsidRDefault="00EB2BD8">
      <w:pPr>
        <w:pStyle w:val="BodyText"/>
        <w:spacing w:before="110" w:line="261" w:lineRule="auto"/>
        <w:ind w:left="850" w:right="1"/>
      </w:pPr>
      <w:r w:rsidRPr="00EB2BD8">
        <w:t xml:space="preserve">The research informed our </w:t>
      </w:r>
      <w:hyperlink r:id="rId110">
        <w:r w:rsidRPr="00EB2BD8">
          <w:t>consumer safety guide</w:t>
        </w:r>
      </w:hyperlink>
      <w:r w:rsidRPr="00EB2BD8">
        <w:t xml:space="preserve"> on water ingress issued in April 2023 and targeted social media campaign, to improve consumer understanding of</w:t>
      </w:r>
      <w:r w:rsidRPr="00EB2BD8">
        <w:rPr>
          <w:spacing w:val="-9"/>
        </w:rPr>
        <w:t xml:space="preserve"> </w:t>
      </w:r>
      <w:r w:rsidRPr="00EB2BD8">
        <w:t>water</w:t>
      </w:r>
      <w:r w:rsidRPr="00EB2BD8">
        <w:rPr>
          <w:spacing w:val="-9"/>
        </w:rPr>
        <w:t xml:space="preserve"> </w:t>
      </w:r>
      <w:r w:rsidRPr="00EB2BD8">
        <w:t>ingress</w:t>
      </w:r>
      <w:r w:rsidRPr="00EB2BD8">
        <w:rPr>
          <w:spacing w:val="-9"/>
        </w:rPr>
        <w:t xml:space="preserve"> </w:t>
      </w:r>
      <w:r w:rsidRPr="00EB2BD8">
        <w:t>implications</w:t>
      </w:r>
      <w:r w:rsidRPr="00EB2BD8">
        <w:rPr>
          <w:spacing w:val="-9"/>
        </w:rPr>
        <w:t xml:space="preserve"> </w:t>
      </w:r>
      <w:r w:rsidRPr="00EB2BD8">
        <w:t>on</w:t>
      </w:r>
      <w:r w:rsidRPr="00EB2BD8">
        <w:rPr>
          <w:spacing w:val="-9"/>
        </w:rPr>
        <w:t xml:space="preserve"> </w:t>
      </w:r>
      <w:r w:rsidRPr="00EB2BD8">
        <w:t>the</w:t>
      </w:r>
      <w:r w:rsidRPr="00EB2BD8">
        <w:rPr>
          <w:spacing w:val="-9"/>
        </w:rPr>
        <w:t xml:space="preserve"> </w:t>
      </w:r>
      <w:r w:rsidRPr="00EB2BD8">
        <w:t>structural</w:t>
      </w:r>
      <w:r w:rsidRPr="00EB2BD8">
        <w:rPr>
          <w:spacing w:val="-9"/>
        </w:rPr>
        <w:t xml:space="preserve"> </w:t>
      </w:r>
      <w:r w:rsidRPr="00EB2BD8">
        <w:t>safety</w:t>
      </w:r>
      <w:r w:rsidRPr="00EB2BD8">
        <w:rPr>
          <w:spacing w:val="-9"/>
        </w:rPr>
        <w:t xml:space="preserve"> </w:t>
      </w:r>
      <w:r w:rsidRPr="00EB2BD8">
        <w:t>of balconies,</w:t>
      </w:r>
      <w:r w:rsidRPr="00EB2BD8">
        <w:rPr>
          <w:spacing w:val="-3"/>
        </w:rPr>
        <w:t xml:space="preserve"> </w:t>
      </w:r>
      <w:r w:rsidRPr="00EB2BD8">
        <w:t>decks</w:t>
      </w:r>
      <w:r w:rsidRPr="00EB2BD8">
        <w:rPr>
          <w:spacing w:val="-3"/>
        </w:rPr>
        <w:t xml:space="preserve"> </w:t>
      </w:r>
      <w:r w:rsidRPr="00EB2BD8">
        <w:t>and</w:t>
      </w:r>
      <w:r w:rsidRPr="00EB2BD8">
        <w:rPr>
          <w:spacing w:val="-3"/>
        </w:rPr>
        <w:t xml:space="preserve"> </w:t>
      </w:r>
      <w:r w:rsidRPr="00EB2BD8">
        <w:t>terraces,</w:t>
      </w:r>
      <w:r w:rsidRPr="00EB2BD8">
        <w:rPr>
          <w:spacing w:val="-3"/>
        </w:rPr>
        <w:t xml:space="preserve"> </w:t>
      </w:r>
      <w:r w:rsidRPr="00EB2BD8">
        <w:t>and</w:t>
      </w:r>
      <w:r w:rsidRPr="00EB2BD8">
        <w:rPr>
          <w:spacing w:val="-3"/>
        </w:rPr>
        <w:t xml:space="preserve"> </w:t>
      </w:r>
      <w:r w:rsidRPr="00EB2BD8">
        <w:t>what</w:t>
      </w:r>
      <w:r w:rsidRPr="00EB2BD8">
        <w:rPr>
          <w:spacing w:val="-3"/>
        </w:rPr>
        <w:t xml:space="preserve"> </w:t>
      </w:r>
      <w:r w:rsidRPr="00EB2BD8">
        <w:t>they</w:t>
      </w:r>
      <w:r w:rsidRPr="00EB2BD8">
        <w:rPr>
          <w:spacing w:val="-3"/>
        </w:rPr>
        <w:t xml:space="preserve"> </w:t>
      </w:r>
      <w:r w:rsidRPr="00EB2BD8">
        <w:t>can</w:t>
      </w:r>
      <w:r w:rsidRPr="00EB2BD8">
        <w:rPr>
          <w:spacing w:val="-3"/>
        </w:rPr>
        <w:t xml:space="preserve"> </w:t>
      </w:r>
      <w:r w:rsidRPr="00EB2BD8">
        <w:t>do</w:t>
      </w:r>
      <w:r w:rsidRPr="00EB2BD8">
        <w:rPr>
          <w:spacing w:val="-3"/>
        </w:rPr>
        <w:t xml:space="preserve"> </w:t>
      </w:r>
      <w:r w:rsidRPr="00EB2BD8">
        <w:t>to protect their property.</w:t>
      </w:r>
    </w:p>
    <w:p w14:paraId="0B641647" w14:textId="77777777" w:rsidR="00084F36" w:rsidRPr="00EB2BD8" w:rsidRDefault="00EB2BD8">
      <w:pPr>
        <w:pStyle w:val="BodyText"/>
        <w:spacing w:before="107" w:line="261" w:lineRule="auto"/>
        <w:ind w:left="850" w:right="133"/>
      </w:pPr>
      <w:r w:rsidRPr="00EB2BD8">
        <w:t xml:space="preserve">The research insights informed our decision to focus the 2022-23 </w:t>
      </w:r>
      <w:hyperlink r:id="rId111">
        <w:r w:rsidRPr="00EB2BD8">
          <w:t>Research Grant Program</w:t>
        </w:r>
      </w:hyperlink>
      <w:r w:rsidRPr="00EB2BD8">
        <w:t xml:space="preserve"> on research</w:t>
      </w:r>
      <w:r w:rsidRPr="00EB2BD8">
        <w:rPr>
          <w:spacing w:val="40"/>
        </w:rPr>
        <w:t xml:space="preserve"> </w:t>
      </w:r>
      <w:r w:rsidRPr="00EB2BD8">
        <w:t>that</w:t>
      </w:r>
      <w:r w:rsidRPr="00EB2BD8">
        <w:rPr>
          <w:spacing w:val="-11"/>
        </w:rPr>
        <w:t xml:space="preserve"> </w:t>
      </w:r>
      <w:r w:rsidRPr="00EB2BD8">
        <w:t>will</w:t>
      </w:r>
      <w:r w:rsidRPr="00EB2BD8">
        <w:rPr>
          <w:spacing w:val="-11"/>
        </w:rPr>
        <w:t xml:space="preserve"> </w:t>
      </w:r>
      <w:r w:rsidRPr="00EB2BD8">
        <w:t>assist</w:t>
      </w:r>
      <w:r w:rsidRPr="00EB2BD8">
        <w:rPr>
          <w:spacing w:val="-11"/>
        </w:rPr>
        <w:t xml:space="preserve"> </w:t>
      </w:r>
      <w:r w:rsidRPr="00EB2BD8">
        <w:t>in</w:t>
      </w:r>
      <w:r w:rsidRPr="00EB2BD8">
        <w:rPr>
          <w:spacing w:val="-11"/>
        </w:rPr>
        <w:t xml:space="preserve"> </w:t>
      </w:r>
      <w:r w:rsidRPr="00EB2BD8">
        <w:t>reducing</w:t>
      </w:r>
      <w:r w:rsidRPr="00EB2BD8">
        <w:rPr>
          <w:spacing w:val="-11"/>
        </w:rPr>
        <w:t xml:space="preserve"> </w:t>
      </w:r>
      <w:r w:rsidRPr="00EB2BD8">
        <w:t>moisture</w:t>
      </w:r>
      <w:r w:rsidRPr="00EB2BD8">
        <w:rPr>
          <w:spacing w:val="-11"/>
        </w:rPr>
        <w:t xml:space="preserve"> </w:t>
      </w:r>
      <w:r w:rsidRPr="00EB2BD8">
        <w:t>ingress</w:t>
      </w:r>
      <w:r w:rsidRPr="00EB2BD8">
        <w:rPr>
          <w:spacing w:val="-11"/>
        </w:rPr>
        <w:t xml:space="preserve"> </w:t>
      </w:r>
      <w:r w:rsidRPr="00EB2BD8">
        <w:t>and</w:t>
      </w:r>
      <w:r w:rsidRPr="00EB2BD8">
        <w:rPr>
          <w:spacing w:val="-11"/>
        </w:rPr>
        <w:t xml:space="preserve"> </w:t>
      </w:r>
      <w:r w:rsidRPr="00EB2BD8">
        <w:t>water damage in Victorian buildings.</w:t>
      </w:r>
    </w:p>
    <w:p w14:paraId="19B76A8D" w14:textId="09063B76" w:rsidR="00084F36" w:rsidRPr="00EB2BD8" w:rsidRDefault="00EB2BD8" w:rsidP="001975DF">
      <w:pPr>
        <w:pStyle w:val="Heading2"/>
        <w:ind w:left="426"/>
      </w:pPr>
      <w:r w:rsidRPr="00EB2BD8">
        <w:br w:type="column"/>
      </w:r>
      <w:bookmarkStart w:id="105" w:name="_Toc150762407"/>
      <w:r w:rsidRPr="00EB2BD8">
        <w:rPr>
          <w:spacing w:val="-4"/>
        </w:rPr>
        <w:t>Assessment</w:t>
      </w:r>
      <w:r w:rsidRPr="00EB2BD8">
        <w:rPr>
          <w:spacing w:val="-18"/>
        </w:rPr>
        <w:t xml:space="preserve"> </w:t>
      </w:r>
      <w:r w:rsidRPr="00EB2BD8">
        <w:rPr>
          <w:spacing w:val="-4"/>
        </w:rPr>
        <w:t>of</w:t>
      </w:r>
      <w:r w:rsidRPr="00EB2BD8">
        <w:rPr>
          <w:spacing w:val="-18"/>
        </w:rPr>
        <w:t xml:space="preserve"> </w:t>
      </w:r>
      <w:r w:rsidRPr="00EB2BD8">
        <w:rPr>
          <w:spacing w:val="-4"/>
        </w:rPr>
        <w:t>mould</w:t>
      </w:r>
      <w:r w:rsidRPr="00EB2BD8">
        <w:rPr>
          <w:spacing w:val="-18"/>
        </w:rPr>
        <w:t xml:space="preserve"> </w:t>
      </w:r>
      <w:r w:rsidRPr="00EB2BD8">
        <w:rPr>
          <w:spacing w:val="-4"/>
        </w:rPr>
        <w:t>growth</w:t>
      </w:r>
      <w:r w:rsidRPr="00EB2BD8">
        <w:rPr>
          <w:spacing w:val="-18"/>
        </w:rPr>
        <w:t xml:space="preserve"> </w:t>
      </w:r>
      <w:r w:rsidR="00C1767B">
        <w:rPr>
          <w:spacing w:val="-18"/>
        </w:rPr>
        <w:br/>
      </w:r>
      <w:r w:rsidRPr="00EB2BD8">
        <w:rPr>
          <w:spacing w:val="-4"/>
        </w:rPr>
        <w:t>risk</w:t>
      </w:r>
      <w:r w:rsidRPr="00EB2BD8">
        <w:rPr>
          <w:spacing w:val="-18"/>
        </w:rPr>
        <w:t xml:space="preserve"> </w:t>
      </w:r>
      <w:r w:rsidRPr="00EB2BD8">
        <w:rPr>
          <w:spacing w:val="-4"/>
        </w:rPr>
        <w:t xml:space="preserve">in </w:t>
      </w:r>
      <w:r w:rsidRPr="00EB2BD8">
        <w:t>regulatory</w:t>
      </w:r>
      <w:r w:rsidRPr="00EB2BD8">
        <w:rPr>
          <w:spacing w:val="-19"/>
        </w:rPr>
        <w:t xml:space="preserve"> </w:t>
      </w:r>
      <w:r w:rsidRPr="00EB2BD8">
        <w:t>compliant</w:t>
      </w:r>
      <w:r w:rsidRPr="00EB2BD8">
        <w:rPr>
          <w:spacing w:val="-19"/>
        </w:rPr>
        <w:t xml:space="preserve"> </w:t>
      </w:r>
      <w:r w:rsidRPr="00EB2BD8">
        <w:t>6</w:t>
      </w:r>
      <w:r w:rsidRPr="00EB2BD8">
        <w:rPr>
          <w:spacing w:val="-19"/>
        </w:rPr>
        <w:t xml:space="preserve"> </w:t>
      </w:r>
      <w:r w:rsidR="00C1767B">
        <w:rPr>
          <w:spacing w:val="-19"/>
        </w:rPr>
        <w:br/>
      </w:r>
      <w:r w:rsidRPr="00EB2BD8">
        <w:t>Star</w:t>
      </w:r>
      <w:r w:rsidRPr="00EB2BD8">
        <w:rPr>
          <w:spacing w:val="-19"/>
        </w:rPr>
        <w:t xml:space="preserve"> </w:t>
      </w:r>
      <w:r w:rsidRPr="00EB2BD8">
        <w:t>and</w:t>
      </w:r>
      <w:r w:rsidRPr="00EB2BD8">
        <w:rPr>
          <w:spacing w:val="-19"/>
        </w:rPr>
        <w:t xml:space="preserve"> </w:t>
      </w:r>
      <w:r w:rsidRPr="00EB2BD8">
        <w:t>7</w:t>
      </w:r>
      <w:r w:rsidRPr="00EB2BD8">
        <w:rPr>
          <w:spacing w:val="-19"/>
        </w:rPr>
        <w:t xml:space="preserve"> </w:t>
      </w:r>
      <w:r w:rsidRPr="00EB2BD8">
        <w:t>Star new</w:t>
      </w:r>
      <w:r w:rsidRPr="00EB2BD8">
        <w:rPr>
          <w:spacing w:val="-20"/>
        </w:rPr>
        <w:t xml:space="preserve"> </w:t>
      </w:r>
      <w:r w:rsidRPr="00EB2BD8">
        <w:t>homes</w:t>
      </w:r>
      <w:r w:rsidRPr="00EB2BD8">
        <w:rPr>
          <w:spacing w:val="-19"/>
        </w:rPr>
        <w:t xml:space="preserve"> </w:t>
      </w:r>
      <w:r w:rsidRPr="00EB2BD8">
        <w:t>in</w:t>
      </w:r>
      <w:r w:rsidRPr="00EB2BD8">
        <w:rPr>
          <w:spacing w:val="-19"/>
        </w:rPr>
        <w:t xml:space="preserve"> </w:t>
      </w:r>
      <w:r w:rsidRPr="00EB2BD8">
        <w:t>Victoria</w:t>
      </w:r>
      <w:r w:rsidRPr="00EB2BD8">
        <w:rPr>
          <w:spacing w:val="-19"/>
        </w:rPr>
        <w:t xml:space="preserve"> </w:t>
      </w:r>
      <w:r w:rsidRPr="00EB2BD8">
        <w:t>(in</w:t>
      </w:r>
      <w:r w:rsidRPr="00EB2BD8">
        <w:rPr>
          <w:spacing w:val="-19"/>
        </w:rPr>
        <w:t xml:space="preserve"> </w:t>
      </w:r>
      <w:r w:rsidRPr="00EB2BD8">
        <w:t>progress)</w:t>
      </w:r>
      <w:bookmarkEnd w:id="105"/>
    </w:p>
    <w:p w14:paraId="2C7F6503" w14:textId="7EFD89B8" w:rsidR="00084F36" w:rsidRPr="00EB2BD8" w:rsidRDefault="00E13356" w:rsidP="00E13356">
      <w:pPr>
        <w:pStyle w:val="Heading3"/>
        <w:ind w:left="0"/>
      </w:pPr>
      <w:r>
        <w:t xml:space="preserve">        </w:t>
      </w:r>
      <w:bookmarkStart w:id="106" w:name="_Toc150762408"/>
      <w:r w:rsidR="00EB2BD8" w:rsidRPr="00EB2BD8">
        <w:t>What</w:t>
      </w:r>
      <w:r w:rsidR="00EB2BD8" w:rsidRPr="00EB2BD8">
        <w:rPr>
          <w:spacing w:val="-17"/>
        </w:rPr>
        <w:t xml:space="preserve"> </w:t>
      </w:r>
      <w:r w:rsidR="00EB2BD8" w:rsidRPr="00EB2BD8">
        <w:t>we</w:t>
      </w:r>
      <w:r w:rsidR="00EB2BD8" w:rsidRPr="00EB2BD8">
        <w:rPr>
          <w:spacing w:val="-17"/>
        </w:rPr>
        <w:t xml:space="preserve"> </w:t>
      </w:r>
      <w:r w:rsidR="00EB2BD8" w:rsidRPr="00EB2BD8">
        <w:t>are</w:t>
      </w:r>
      <w:r w:rsidR="00EB2BD8" w:rsidRPr="00EB2BD8">
        <w:rPr>
          <w:spacing w:val="-17"/>
        </w:rPr>
        <w:t xml:space="preserve"> </w:t>
      </w:r>
      <w:r w:rsidR="00EB2BD8" w:rsidRPr="00EB2BD8">
        <w:t>doing</w:t>
      </w:r>
      <w:r w:rsidR="00EB2BD8" w:rsidRPr="00EB2BD8">
        <w:rPr>
          <w:spacing w:val="-17"/>
        </w:rPr>
        <w:t xml:space="preserve"> </w:t>
      </w:r>
      <w:r w:rsidR="00EB2BD8" w:rsidRPr="00EB2BD8">
        <w:t>and</w:t>
      </w:r>
      <w:r w:rsidR="00EB2BD8" w:rsidRPr="00EB2BD8">
        <w:rPr>
          <w:spacing w:val="-17"/>
        </w:rPr>
        <w:t xml:space="preserve"> </w:t>
      </w:r>
      <w:r w:rsidR="00EB2BD8" w:rsidRPr="00EB2BD8">
        <w:rPr>
          <w:spacing w:val="-5"/>
        </w:rPr>
        <w:t>why</w:t>
      </w:r>
      <w:bookmarkEnd w:id="106"/>
    </w:p>
    <w:p w14:paraId="2E52EA00" w14:textId="77777777" w:rsidR="00084F36" w:rsidRPr="00EB2BD8" w:rsidRDefault="00EB2BD8">
      <w:pPr>
        <w:pStyle w:val="BodyText"/>
        <w:spacing w:before="124" w:line="261" w:lineRule="auto"/>
        <w:ind w:left="491" w:right="799"/>
      </w:pPr>
      <w:r w:rsidRPr="00EB2BD8">
        <w:t>The VBA supported research by The University of Tasmania,</w:t>
      </w:r>
      <w:r w:rsidRPr="00EB2BD8">
        <w:rPr>
          <w:spacing w:val="-15"/>
        </w:rPr>
        <w:t xml:space="preserve"> </w:t>
      </w:r>
      <w:r w:rsidRPr="00EB2BD8">
        <w:t>through</w:t>
      </w:r>
      <w:r w:rsidRPr="00EB2BD8">
        <w:rPr>
          <w:spacing w:val="-14"/>
        </w:rPr>
        <w:t xml:space="preserve"> </w:t>
      </w:r>
      <w:r w:rsidRPr="00EB2BD8">
        <w:t>a</w:t>
      </w:r>
      <w:r w:rsidRPr="00EB2BD8">
        <w:rPr>
          <w:spacing w:val="-14"/>
        </w:rPr>
        <w:t xml:space="preserve"> </w:t>
      </w:r>
      <w:r w:rsidRPr="00EB2BD8">
        <w:t>research</w:t>
      </w:r>
      <w:r w:rsidRPr="00EB2BD8">
        <w:rPr>
          <w:spacing w:val="-14"/>
        </w:rPr>
        <w:t xml:space="preserve"> </w:t>
      </w:r>
      <w:r w:rsidRPr="00EB2BD8">
        <w:t>grant</w:t>
      </w:r>
      <w:r w:rsidRPr="00EB2BD8">
        <w:rPr>
          <w:spacing w:val="-15"/>
        </w:rPr>
        <w:t xml:space="preserve"> </w:t>
      </w:r>
      <w:r w:rsidRPr="00EB2BD8">
        <w:t>awarded</w:t>
      </w:r>
      <w:r w:rsidRPr="00EB2BD8">
        <w:rPr>
          <w:spacing w:val="-14"/>
        </w:rPr>
        <w:t xml:space="preserve"> </w:t>
      </w:r>
      <w:r w:rsidRPr="00EB2BD8">
        <w:t>in</w:t>
      </w:r>
      <w:r w:rsidRPr="00EB2BD8">
        <w:rPr>
          <w:spacing w:val="-14"/>
        </w:rPr>
        <w:t xml:space="preserve"> </w:t>
      </w:r>
      <w:r w:rsidRPr="00EB2BD8">
        <w:t>2021,</w:t>
      </w:r>
      <w:r w:rsidRPr="00EB2BD8">
        <w:rPr>
          <w:spacing w:val="-14"/>
        </w:rPr>
        <w:t xml:space="preserve"> </w:t>
      </w:r>
      <w:r w:rsidRPr="00EB2BD8">
        <w:t>to assess</w:t>
      </w:r>
      <w:r w:rsidRPr="00EB2BD8">
        <w:rPr>
          <w:spacing w:val="-15"/>
        </w:rPr>
        <w:t xml:space="preserve"> </w:t>
      </w:r>
      <w:r w:rsidRPr="00EB2BD8">
        <w:t>the</w:t>
      </w:r>
      <w:r w:rsidRPr="00EB2BD8">
        <w:rPr>
          <w:spacing w:val="-14"/>
        </w:rPr>
        <w:t xml:space="preserve"> </w:t>
      </w:r>
      <w:r w:rsidRPr="00EB2BD8">
        <w:t>risk</w:t>
      </w:r>
      <w:r w:rsidRPr="00EB2BD8">
        <w:rPr>
          <w:spacing w:val="-14"/>
        </w:rPr>
        <w:t xml:space="preserve"> </w:t>
      </w:r>
      <w:r w:rsidRPr="00EB2BD8">
        <w:t>of</w:t>
      </w:r>
      <w:r w:rsidRPr="00EB2BD8">
        <w:rPr>
          <w:spacing w:val="-14"/>
        </w:rPr>
        <w:t xml:space="preserve"> </w:t>
      </w:r>
      <w:r w:rsidRPr="00EB2BD8">
        <w:t>mould</w:t>
      </w:r>
      <w:r w:rsidRPr="00EB2BD8">
        <w:rPr>
          <w:spacing w:val="-15"/>
        </w:rPr>
        <w:t xml:space="preserve"> </w:t>
      </w:r>
      <w:r w:rsidRPr="00EB2BD8">
        <w:t>growth</w:t>
      </w:r>
      <w:r w:rsidRPr="00EB2BD8">
        <w:rPr>
          <w:spacing w:val="-14"/>
        </w:rPr>
        <w:t xml:space="preserve"> </w:t>
      </w:r>
      <w:r w:rsidRPr="00EB2BD8">
        <w:t>in</w:t>
      </w:r>
      <w:r w:rsidRPr="00EB2BD8">
        <w:rPr>
          <w:spacing w:val="-14"/>
        </w:rPr>
        <w:t xml:space="preserve"> </w:t>
      </w:r>
      <w:r w:rsidRPr="00EB2BD8">
        <w:t>external</w:t>
      </w:r>
      <w:r w:rsidRPr="00EB2BD8">
        <w:rPr>
          <w:spacing w:val="-14"/>
        </w:rPr>
        <w:t xml:space="preserve"> </w:t>
      </w:r>
      <w:r w:rsidRPr="00EB2BD8">
        <w:t>wall</w:t>
      </w:r>
      <w:r w:rsidRPr="00EB2BD8">
        <w:rPr>
          <w:spacing w:val="-15"/>
        </w:rPr>
        <w:t xml:space="preserve"> </w:t>
      </w:r>
      <w:r w:rsidRPr="00EB2BD8">
        <w:t>systems used</w:t>
      </w:r>
      <w:r w:rsidRPr="00EB2BD8">
        <w:rPr>
          <w:spacing w:val="-3"/>
        </w:rPr>
        <w:t xml:space="preserve"> </w:t>
      </w:r>
      <w:r w:rsidRPr="00EB2BD8">
        <w:t>in</w:t>
      </w:r>
      <w:r w:rsidRPr="00EB2BD8">
        <w:rPr>
          <w:spacing w:val="-3"/>
        </w:rPr>
        <w:t xml:space="preserve"> </w:t>
      </w:r>
      <w:r w:rsidRPr="00EB2BD8">
        <w:t>the</w:t>
      </w:r>
      <w:r w:rsidRPr="00EB2BD8">
        <w:rPr>
          <w:spacing w:val="-3"/>
        </w:rPr>
        <w:t xml:space="preserve"> </w:t>
      </w:r>
      <w:r w:rsidRPr="00EB2BD8">
        <w:t>construction</w:t>
      </w:r>
      <w:r w:rsidRPr="00EB2BD8">
        <w:rPr>
          <w:spacing w:val="-3"/>
        </w:rPr>
        <w:t xml:space="preserve"> </w:t>
      </w:r>
      <w:r w:rsidRPr="00EB2BD8">
        <w:t>of</w:t>
      </w:r>
      <w:r w:rsidRPr="00EB2BD8">
        <w:rPr>
          <w:spacing w:val="-3"/>
        </w:rPr>
        <w:t xml:space="preserve"> </w:t>
      </w:r>
      <w:r w:rsidRPr="00EB2BD8">
        <w:t>new</w:t>
      </w:r>
      <w:r w:rsidRPr="00EB2BD8">
        <w:rPr>
          <w:spacing w:val="-3"/>
        </w:rPr>
        <w:t xml:space="preserve"> </w:t>
      </w:r>
      <w:r w:rsidRPr="00EB2BD8">
        <w:t>housing</w:t>
      </w:r>
      <w:r w:rsidRPr="00EB2BD8">
        <w:rPr>
          <w:spacing w:val="-3"/>
        </w:rPr>
        <w:t xml:space="preserve"> </w:t>
      </w:r>
      <w:r w:rsidRPr="00EB2BD8">
        <w:t>in</w:t>
      </w:r>
      <w:r w:rsidRPr="00EB2BD8">
        <w:rPr>
          <w:spacing w:val="-3"/>
        </w:rPr>
        <w:t xml:space="preserve"> </w:t>
      </w:r>
      <w:r w:rsidRPr="00EB2BD8">
        <w:t>Victoria</w:t>
      </w:r>
      <w:r w:rsidRPr="00EB2BD8">
        <w:rPr>
          <w:spacing w:val="-3"/>
        </w:rPr>
        <w:t xml:space="preserve"> </w:t>
      </w:r>
      <w:r w:rsidRPr="00EB2BD8">
        <w:t>and identify ways to mitigate the risk of mould growth in new</w:t>
      </w:r>
      <w:r w:rsidRPr="00EB2BD8">
        <w:rPr>
          <w:spacing w:val="-6"/>
        </w:rPr>
        <w:t xml:space="preserve"> </w:t>
      </w:r>
      <w:r w:rsidRPr="00EB2BD8">
        <w:t>homes.</w:t>
      </w:r>
    </w:p>
    <w:p w14:paraId="3DE7C789" w14:textId="77777777" w:rsidR="00084F36" w:rsidRPr="00EB2BD8" w:rsidRDefault="00EB2BD8">
      <w:pPr>
        <w:pStyle w:val="BodyText"/>
        <w:spacing w:before="108" w:line="261" w:lineRule="auto"/>
        <w:ind w:left="491" w:right="869"/>
      </w:pPr>
      <w:r w:rsidRPr="00EB2BD8">
        <w:t>The research, led by Dr Mark Dewsbury, is analysing Victorian housing information, climate types, and the requirements of the National Construction Code (NCC) to assess the risk of surface and interstitial mould growth within typical external wall systems for new housing in Victoria.</w:t>
      </w:r>
    </w:p>
    <w:p w14:paraId="7FDE9BD2" w14:textId="77777777" w:rsidR="00084F36" w:rsidRPr="00EB2BD8" w:rsidRDefault="00EB2BD8">
      <w:pPr>
        <w:pStyle w:val="BodyText"/>
        <w:spacing w:before="107" w:line="261" w:lineRule="auto"/>
        <w:ind w:left="491" w:right="799"/>
      </w:pPr>
      <w:r w:rsidRPr="00EB2BD8">
        <w:t xml:space="preserve">This research is an international and national collaboration between the University of Tasmania, research organisations, industry and the VBA. Other research partners are the Fraunhofer Institute of Building Physics (Germany), Commonwealth Scientific and Industrial Research Organisation (Australia), the Master Builders Victoria and Forest and Wood Products </w:t>
      </w:r>
      <w:r w:rsidRPr="00EB2BD8">
        <w:rPr>
          <w:spacing w:val="-2"/>
        </w:rPr>
        <w:t>Australia.</w:t>
      </w:r>
    </w:p>
    <w:p w14:paraId="1A0CCB51" w14:textId="5C5BD327" w:rsidR="00084F36" w:rsidRPr="00EB2BD8" w:rsidRDefault="00E13356" w:rsidP="00E13356">
      <w:pPr>
        <w:pStyle w:val="Heading3"/>
        <w:ind w:left="0"/>
      </w:pPr>
      <w:r>
        <w:t xml:space="preserve">        </w:t>
      </w:r>
      <w:bookmarkStart w:id="107" w:name="_Toc150762409"/>
      <w:r w:rsidR="00EB2BD8" w:rsidRPr="00EB2BD8">
        <w:t>What</w:t>
      </w:r>
      <w:r w:rsidR="00EB2BD8" w:rsidRPr="00EB2BD8">
        <w:rPr>
          <w:spacing w:val="-19"/>
        </w:rPr>
        <w:t xml:space="preserve"> </w:t>
      </w:r>
      <w:r w:rsidR="00EB2BD8" w:rsidRPr="00EB2BD8">
        <w:t>we</w:t>
      </w:r>
      <w:r w:rsidR="00EB2BD8" w:rsidRPr="00EB2BD8">
        <w:rPr>
          <w:spacing w:val="-19"/>
        </w:rPr>
        <w:t xml:space="preserve"> </w:t>
      </w:r>
      <w:r w:rsidR="00EB2BD8" w:rsidRPr="00EB2BD8">
        <w:t>have</w:t>
      </w:r>
      <w:r w:rsidR="00EB2BD8" w:rsidRPr="00EB2BD8">
        <w:rPr>
          <w:spacing w:val="-19"/>
        </w:rPr>
        <w:t xml:space="preserve"> </w:t>
      </w:r>
      <w:r w:rsidR="00EB2BD8" w:rsidRPr="00EB2BD8">
        <w:t>achieved</w:t>
      </w:r>
      <w:r w:rsidR="00EB2BD8" w:rsidRPr="00EB2BD8">
        <w:rPr>
          <w:spacing w:val="-19"/>
        </w:rPr>
        <w:t xml:space="preserve"> </w:t>
      </w:r>
      <w:r w:rsidR="00EB2BD8" w:rsidRPr="00EB2BD8">
        <w:t>so</w:t>
      </w:r>
      <w:r w:rsidR="00EB2BD8" w:rsidRPr="00EB2BD8">
        <w:rPr>
          <w:spacing w:val="-18"/>
        </w:rPr>
        <w:t xml:space="preserve"> </w:t>
      </w:r>
      <w:r w:rsidR="00EB2BD8" w:rsidRPr="00EB2BD8">
        <w:rPr>
          <w:spacing w:val="-5"/>
        </w:rPr>
        <w:t>far</w:t>
      </w:r>
      <w:bookmarkEnd w:id="107"/>
    </w:p>
    <w:p w14:paraId="77E097FF" w14:textId="77777777" w:rsidR="00084F36" w:rsidRPr="00EB2BD8" w:rsidRDefault="00EB2BD8">
      <w:pPr>
        <w:pStyle w:val="BodyText"/>
        <w:spacing w:before="124" w:line="261" w:lineRule="auto"/>
        <w:ind w:left="491" w:right="919"/>
      </w:pPr>
      <w:r w:rsidRPr="00EB2BD8">
        <w:t xml:space="preserve">The research has examined whether common external wall systems for Class </w:t>
      </w:r>
      <w:r w:rsidRPr="00EB2BD8">
        <w:rPr>
          <w:w w:val="95"/>
        </w:rPr>
        <w:t xml:space="preserve">1 </w:t>
      </w:r>
      <w:r w:rsidRPr="00EB2BD8">
        <w:t>and 2 residential buildings constructed in Victoria in accordance with regulatory requirements, may or may not promote moisture accumulation</w:t>
      </w:r>
      <w:r w:rsidRPr="00EB2BD8">
        <w:rPr>
          <w:spacing w:val="-12"/>
        </w:rPr>
        <w:t xml:space="preserve"> </w:t>
      </w:r>
      <w:r w:rsidRPr="00EB2BD8">
        <w:t>and/or</w:t>
      </w:r>
      <w:r w:rsidRPr="00EB2BD8">
        <w:rPr>
          <w:spacing w:val="-12"/>
        </w:rPr>
        <w:t xml:space="preserve"> </w:t>
      </w:r>
      <w:r w:rsidRPr="00EB2BD8">
        <w:t>mould</w:t>
      </w:r>
      <w:r w:rsidRPr="00EB2BD8">
        <w:rPr>
          <w:spacing w:val="-12"/>
        </w:rPr>
        <w:t xml:space="preserve"> </w:t>
      </w:r>
      <w:r w:rsidRPr="00EB2BD8">
        <w:t>growth</w:t>
      </w:r>
      <w:r w:rsidRPr="00EB2BD8">
        <w:rPr>
          <w:spacing w:val="-12"/>
        </w:rPr>
        <w:t xml:space="preserve"> </w:t>
      </w:r>
      <w:r w:rsidRPr="00EB2BD8">
        <w:t>in</w:t>
      </w:r>
      <w:r w:rsidRPr="00EB2BD8">
        <w:rPr>
          <w:spacing w:val="-12"/>
        </w:rPr>
        <w:t xml:space="preserve"> </w:t>
      </w:r>
      <w:r w:rsidRPr="00EB2BD8">
        <w:t>the</w:t>
      </w:r>
      <w:r w:rsidRPr="00EB2BD8">
        <w:rPr>
          <w:spacing w:val="-12"/>
        </w:rPr>
        <w:t xml:space="preserve"> </w:t>
      </w:r>
      <w:r w:rsidRPr="00EB2BD8">
        <w:t>external</w:t>
      </w:r>
      <w:r w:rsidRPr="00EB2BD8">
        <w:rPr>
          <w:spacing w:val="-12"/>
        </w:rPr>
        <w:t xml:space="preserve"> </w:t>
      </w:r>
      <w:r w:rsidRPr="00EB2BD8">
        <w:t>wall system through hygrothermal and bio-hygrothermal simulation-based</w:t>
      </w:r>
      <w:r w:rsidRPr="00EB2BD8">
        <w:rPr>
          <w:spacing w:val="-6"/>
        </w:rPr>
        <w:t xml:space="preserve"> </w:t>
      </w:r>
      <w:r w:rsidRPr="00EB2BD8">
        <w:t>analysis.</w:t>
      </w:r>
    </w:p>
    <w:p w14:paraId="7E340CF7" w14:textId="77777777" w:rsidR="00084F36" w:rsidRPr="00EB2BD8" w:rsidRDefault="00EB2BD8">
      <w:pPr>
        <w:pStyle w:val="BodyText"/>
        <w:spacing w:before="107" w:line="261" w:lineRule="auto"/>
        <w:ind w:left="491" w:right="847"/>
      </w:pPr>
      <w:r w:rsidRPr="00EB2BD8">
        <w:t>Hygrothermal analysis assesses the risk of condensation</w:t>
      </w:r>
      <w:r w:rsidRPr="00EB2BD8">
        <w:rPr>
          <w:spacing w:val="-1"/>
        </w:rPr>
        <w:t xml:space="preserve"> </w:t>
      </w:r>
      <w:r w:rsidRPr="00EB2BD8">
        <w:t>formation</w:t>
      </w:r>
      <w:r w:rsidRPr="00EB2BD8">
        <w:rPr>
          <w:spacing w:val="-1"/>
        </w:rPr>
        <w:t xml:space="preserve"> </w:t>
      </w:r>
      <w:r w:rsidRPr="00EB2BD8">
        <w:t>by</w:t>
      </w:r>
      <w:r w:rsidRPr="00EB2BD8">
        <w:rPr>
          <w:spacing w:val="-1"/>
        </w:rPr>
        <w:t xml:space="preserve"> </w:t>
      </w:r>
      <w:r w:rsidRPr="00EB2BD8">
        <w:t>studying</w:t>
      </w:r>
      <w:r w:rsidRPr="00EB2BD8">
        <w:rPr>
          <w:spacing w:val="-1"/>
        </w:rPr>
        <w:t xml:space="preserve"> </w:t>
      </w:r>
      <w:r w:rsidRPr="00EB2BD8">
        <w:t>heat</w:t>
      </w:r>
      <w:r w:rsidRPr="00EB2BD8">
        <w:rPr>
          <w:spacing w:val="-1"/>
        </w:rPr>
        <w:t xml:space="preserve"> </w:t>
      </w:r>
      <w:r w:rsidRPr="00EB2BD8">
        <w:t>and</w:t>
      </w:r>
      <w:r w:rsidRPr="00EB2BD8">
        <w:rPr>
          <w:spacing w:val="-1"/>
        </w:rPr>
        <w:t xml:space="preserve"> </w:t>
      </w:r>
      <w:r w:rsidRPr="00EB2BD8">
        <w:t>moisture movement within built spaces, and the diffusion of moisture and water vapour through the built fabric.</w:t>
      </w:r>
    </w:p>
    <w:p w14:paraId="2DE25F56" w14:textId="77777777" w:rsidR="00084F36" w:rsidRPr="00EB2BD8" w:rsidRDefault="00EB2BD8">
      <w:pPr>
        <w:pStyle w:val="BodyText"/>
        <w:spacing w:line="261" w:lineRule="auto"/>
        <w:ind w:left="491" w:right="869"/>
      </w:pPr>
      <w:r w:rsidRPr="00EB2BD8">
        <w:t>Bio-hygrothermal</w:t>
      </w:r>
      <w:r w:rsidRPr="00EB2BD8">
        <w:rPr>
          <w:spacing w:val="-1"/>
        </w:rPr>
        <w:t xml:space="preserve"> </w:t>
      </w:r>
      <w:r w:rsidRPr="00EB2BD8">
        <w:t>analysis</w:t>
      </w:r>
      <w:r w:rsidRPr="00EB2BD8">
        <w:rPr>
          <w:spacing w:val="-1"/>
        </w:rPr>
        <w:t xml:space="preserve"> </w:t>
      </w:r>
      <w:r w:rsidRPr="00EB2BD8">
        <w:t>evaluates</w:t>
      </w:r>
      <w:r w:rsidRPr="00EB2BD8">
        <w:rPr>
          <w:spacing w:val="-1"/>
        </w:rPr>
        <w:t xml:space="preserve"> </w:t>
      </w:r>
      <w:r w:rsidRPr="00EB2BD8">
        <w:t>the</w:t>
      </w:r>
      <w:r w:rsidRPr="00EB2BD8">
        <w:rPr>
          <w:spacing w:val="-1"/>
        </w:rPr>
        <w:t xml:space="preserve"> </w:t>
      </w:r>
      <w:r w:rsidRPr="00EB2BD8">
        <w:t>risk</w:t>
      </w:r>
      <w:r w:rsidRPr="00EB2BD8">
        <w:rPr>
          <w:spacing w:val="-1"/>
        </w:rPr>
        <w:t xml:space="preserve"> </w:t>
      </w:r>
      <w:r w:rsidRPr="00EB2BD8">
        <w:t>of</w:t>
      </w:r>
      <w:r w:rsidRPr="00EB2BD8">
        <w:rPr>
          <w:spacing w:val="-1"/>
        </w:rPr>
        <w:t xml:space="preserve"> </w:t>
      </w:r>
      <w:r w:rsidRPr="00EB2BD8">
        <w:t>mould growth by considering heat and moisture conditions, combined</w:t>
      </w:r>
      <w:r w:rsidRPr="00EB2BD8">
        <w:rPr>
          <w:spacing w:val="-2"/>
        </w:rPr>
        <w:t xml:space="preserve"> </w:t>
      </w:r>
      <w:r w:rsidRPr="00EB2BD8">
        <w:t>with</w:t>
      </w:r>
      <w:r w:rsidRPr="00EB2BD8">
        <w:rPr>
          <w:spacing w:val="-2"/>
        </w:rPr>
        <w:t xml:space="preserve"> </w:t>
      </w:r>
      <w:r w:rsidRPr="00EB2BD8">
        <w:t>material</w:t>
      </w:r>
      <w:r w:rsidRPr="00EB2BD8">
        <w:rPr>
          <w:spacing w:val="-2"/>
        </w:rPr>
        <w:t xml:space="preserve"> </w:t>
      </w:r>
      <w:r w:rsidRPr="00EB2BD8">
        <w:t>properties,</w:t>
      </w:r>
      <w:r w:rsidRPr="00EB2BD8">
        <w:rPr>
          <w:spacing w:val="-2"/>
        </w:rPr>
        <w:t xml:space="preserve"> </w:t>
      </w:r>
      <w:r w:rsidRPr="00EB2BD8">
        <w:t>that</w:t>
      </w:r>
      <w:r w:rsidRPr="00EB2BD8">
        <w:rPr>
          <w:spacing w:val="-2"/>
        </w:rPr>
        <w:t xml:space="preserve"> </w:t>
      </w:r>
      <w:r w:rsidRPr="00EB2BD8">
        <w:t>may</w:t>
      </w:r>
      <w:r w:rsidRPr="00EB2BD8">
        <w:rPr>
          <w:spacing w:val="-2"/>
        </w:rPr>
        <w:t xml:space="preserve"> </w:t>
      </w:r>
      <w:r w:rsidRPr="00EB2BD8">
        <w:t>promote mould</w:t>
      </w:r>
      <w:r w:rsidRPr="00EB2BD8">
        <w:rPr>
          <w:spacing w:val="-9"/>
        </w:rPr>
        <w:t xml:space="preserve"> </w:t>
      </w:r>
      <w:r w:rsidRPr="00EB2BD8">
        <w:t>growth</w:t>
      </w:r>
      <w:r w:rsidRPr="00EB2BD8">
        <w:rPr>
          <w:spacing w:val="-9"/>
        </w:rPr>
        <w:t xml:space="preserve"> </w:t>
      </w:r>
      <w:r w:rsidRPr="00EB2BD8">
        <w:t>on</w:t>
      </w:r>
      <w:r w:rsidRPr="00EB2BD8">
        <w:rPr>
          <w:spacing w:val="-9"/>
        </w:rPr>
        <w:t xml:space="preserve"> </w:t>
      </w:r>
      <w:r w:rsidRPr="00EB2BD8">
        <w:t>the</w:t>
      </w:r>
      <w:r w:rsidRPr="00EB2BD8">
        <w:rPr>
          <w:spacing w:val="-9"/>
        </w:rPr>
        <w:t xml:space="preserve"> </w:t>
      </w:r>
      <w:r w:rsidRPr="00EB2BD8">
        <w:t>surfaces</w:t>
      </w:r>
      <w:r w:rsidRPr="00EB2BD8">
        <w:rPr>
          <w:spacing w:val="-9"/>
        </w:rPr>
        <w:t xml:space="preserve"> </w:t>
      </w:r>
      <w:r w:rsidRPr="00EB2BD8">
        <w:t>of</w:t>
      </w:r>
      <w:r w:rsidRPr="00EB2BD8">
        <w:rPr>
          <w:spacing w:val="-9"/>
        </w:rPr>
        <w:t xml:space="preserve"> </w:t>
      </w:r>
      <w:r w:rsidRPr="00EB2BD8">
        <w:t>and</w:t>
      </w:r>
      <w:r w:rsidRPr="00EB2BD8">
        <w:rPr>
          <w:spacing w:val="-9"/>
        </w:rPr>
        <w:t xml:space="preserve"> </w:t>
      </w:r>
      <w:r w:rsidRPr="00EB2BD8">
        <w:t>within</w:t>
      </w:r>
      <w:r w:rsidRPr="00EB2BD8">
        <w:rPr>
          <w:spacing w:val="-9"/>
        </w:rPr>
        <w:t xml:space="preserve"> </w:t>
      </w:r>
      <w:r w:rsidRPr="00EB2BD8">
        <w:t>wall,</w:t>
      </w:r>
      <w:r w:rsidRPr="00EB2BD8">
        <w:rPr>
          <w:spacing w:val="-9"/>
        </w:rPr>
        <w:t xml:space="preserve"> </w:t>
      </w:r>
      <w:r w:rsidRPr="00EB2BD8">
        <w:t>floor or roof systems.</w:t>
      </w:r>
    </w:p>
    <w:p w14:paraId="6070269B" w14:textId="77777777" w:rsidR="00084F36" w:rsidRPr="00EB2BD8" w:rsidRDefault="00EB2BD8">
      <w:pPr>
        <w:pStyle w:val="BodyText"/>
        <w:spacing w:before="104"/>
        <w:ind w:left="491"/>
      </w:pPr>
      <w:r w:rsidRPr="00EB2BD8">
        <w:t>The</w:t>
      </w:r>
      <w:r w:rsidRPr="00EB2BD8">
        <w:rPr>
          <w:spacing w:val="-13"/>
        </w:rPr>
        <w:t xml:space="preserve"> </w:t>
      </w:r>
      <w:r w:rsidRPr="00EB2BD8">
        <w:t>research</w:t>
      </w:r>
      <w:r w:rsidRPr="00EB2BD8">
        <w:rPr>
          <w:spacing w:val="-13"/>
        </w:rPr>
        <w:t xml:space="preserve"> </w:t>
      </w:r>
      <w:r w:rsidRPr="00EB2BD8">
        <w:t>is</w:t>
      </w:r>
      <w:r w:rsidRPr="00EB2BD8">
        <w:rPr>
          <w:spacing w:val="-12"/>
        </w:rPr>
        <w:t xml:space="preserve"> </w:t>
      </w:r>
      <w:r w:rsidRPr="00EB2BD8">
        <w:t>due</w:t>
      </w:r>
      <w:r w:rsidRPr="00EB2BD8">
        <w:rPr>
          <w:spacing w:val="-13"/>
        </w:rPr>
        <w:t xml:space="preserve"> </w:t>
      </w:r>
      <w:r w:rsidRPr="00EB2BD8">
        <w:t>for</w:t>
      </w:r>
      <w:r w:rsidRPr="00EB2BD8">
        <w:rPr>
          <w:spacing w:val="-12"/>
        </w:rPr>
        <w:t xml:space="preserve"> </w:t>
      </w:r>
      <w:r w:rsidRPr="00EB2BD8">
        <w:t>completion</w:t>
      </w:r>
      <w:r w:rsidRPr="00EB2BD8">
        <w:rPr>
          <w:spacing w:val="-13"/>
        </w:rPr>
        <w:t xml:space="preserve"> </w:t>
      </w:r>
      <w:r w:rsidRPr="00EB2BD8">
        <w:t>in</w:t>
      </w:r>
      <w:r w:rsidRPr="00EB2BD8">
        <w:rPr>
          <w:spacing w:val="-12"/>
        </w:rPr>
        <w:t xml:space="preserve"> </w:t>
      </w:r>
      <w:r w:rsidRPr="00EB2BD8">
        <w:t>2023-</w:t>
      </w:r>
      <w:r w:rsidRPr="00EB2BD8">
        <w:rPr>
          <w:spacing w:val="-5"/>
        </w:rPr>
        <w:t>24.</w:t>
      </w:r>
    </w:p>
    <w:p w14:paraId="4985E345" w14:textId="77777777" w:rsidR="00084F36" w:rsidRPr="00EB2BD8" w:rsidRDefault="00084F36">
      <w:pPr>
        <w:sectPr w:rsidR="00084F36" w:rsidRPr="00EB2BD8" w:rsidSect="006D75B2">
          <w:type w:val="continuous"/>
          <w:pgSz w:w="11910" w:h="16840"/>
          <w:pgMar w:top="1920" w:right="0" w:bottom="280" w:left="0" w:header="0" w:footer="515" w:gutter="0"/>
          <w:cols w:num="2" w:space="720" w:equalWidth="0">
            <w:col w:w="5669" w:space="40"/>
            <w:col w:w="6201"/>
          </w:cols>
        </w:sectPr>
      </w:pPr>
    </w:p>
    <w:p w14:paraId="306CBB8A" w14:textId="77777777" w:rsidR="00084F36" w:rsidRPr="00EB2BD8" w:rsidRDefault="00084F36">
      <w:pPr>
        <w:pStyle w:val="BodyText"/>
        <w:rPr>
          <w:sz w:val="20"/>
        </w:rPr>
      </w:pPr>
    </w:p>
    <w:p w14:paraId="56635F12" w14:textId="77777777" w:rsidR="00084F36" w:rsidRPr="00EB2BD8" w:rsidRDefault="00084F36">
      <w:pPr>
        <w:pStyle w:val="BodyText"/>
        <w:rPr>
          <w:sz w:val="20"/>
        </w:rPr>
      </w:pPr>
    </w:p>
    <w:p w14:paraId="3D430962" w14:textId="77777777" w:rsidR="00084F36" w:rsidRPr="00EB2BD8" w:rsidRDefault="00084F36">
      <w:pPr>
        <w:pStyle w:val="BodyText"/>
        <w:rPr>
          <w:sz w:val="20"/>
        </w:rPr>
      </w:pPr>
    </w:p>
    <w:p w14:paraId="4FCBD841" w14:textId="77777777" w:rsidR="00084F36" w:rsidRPr="00EB2BD8" w:rsidRDefault="00084F36">
      <w:pPr>
        <w:pStyle w:val="BodyText"/>
        <w:rPr>
          <w:sz w:val="20"/>
        </w:rPr>
      </w:pPr>
    </w:p>
    <w:p w14:paraId="5A3425C8" w14:textId="77777777" w:rsidR="00084F36" w:rsidRPr="00EB2BD8" w:rsidRDefault="00084F36">
      <w:pPr>
        <w:pStyle w:val="BodyText"/>
        <w:spacing w:before="2"/>
        <w:rPr>
          <w:sz w:val="16"/>
        </w:rPr>
      </w:pPr>
    </w:p>
    <w:p w14:paraId="1D9A4047" w14:textId="77777777" w:rsidR="00084F36" w:rsidRPr="00EB2BD8" w:rsidRDefault="00084F36">
      <w:pPr>
        <w:rPr>
          <w:sz w:val="16"/>
        </w:rPr>
        <w:sectPr w:rsidR="00084F36" w:rsidRPr="00EB2BD8" w:rsidSect="006D75B2">
          <w:footerReference w:type="default" r:id="rId112"/>
          <w:pgSz w:w="11910" w:h="16840"/>
          <w:pgMar w:top="1100" w:right="0" w:bottom="700" w:left="0" w:header="0" w:footer="515" w:gutter="0"/>
          <w:cols w:space="720"/>
        </w:sectPr>
      </w:pPr>
    </w:p>
    <w:p w14:paraId="41A0965F" w14:textId="77777777" w:rsidR="00084F36" w:rsidRPr="00EB2BD8" w:rsidRDefault="00EB2BD8" w:rsidP="001975DF">
      <w:pPr>
        <w:pStyle w:val="Heading2"/>
      </w:pPr>
      <w:bookmarkStart w:id="108" w:name="_Toc150762410"/>
      <w:r w:rsidRPr="00EB2BD8">
        <w:t>Improving</w:t>
      </w:r>
      <w:r w:rsidRPr="00EB2BD8">
        <w:rPr>
          <w:spacing w:val="-19"/>
        </w:rPr>
        <w:t xml:space="preserve"> </w:t>
      </w:r>
      <w:r w:rsidRPr="00EB2BD8">
        <w:t>building</w:t>
      </w:r>
      <w:r w:rsidRPr="00EB2BD8">
        <w:rPr>
          <w:spacing w:val="-19"/>
        </w:rPr>
        <w:t xml:space="preserve"> </w:t>
      </w:r>
      <w:r w:rsidRPr="00EB2BD8">
        <w:t>envelope</w:t>
      </w:r>
      <w:r w:rsidRPr="00EB2BD8">
        <w:rPr>
          <w:spacing w:val="-19"/>
        </w:rPr>
        <w:t xml:space="preserve"> </w:t>
      </w:r>
      <w:r w:rsidRPr="00EB2BD8">
        <w:t>resilience</w:t>
      </w:r>
      <w:r w:rsidRPr="00EB2BD8">
        <w:rPr>
          <w:spacing w:val="-19"/>
        </w:rPr>
        <w:t xml:space="preserve"> </w:t>
      </w:r>
      <w:r w:rsidRPr="00EB2BD8">
        <w:t>to moisture</w:t>
      </w:r>
      <w:r w:rsidRPr="00EB2BD8">
        <w:rPr>
          <w:spacing w:val="-15"/>
        </w:rPr>
        <w:t xml:space="preserve"> </w:t>
      </w:r>
      <w:r w:rsidRPr="00EB2BD8">
        <w:t>damage</w:t>
      </w:r>
      <w:r w:rsidRPr="00EB2BD8">
        <w:rPr>
          <w:spacing w:val="-15"/>
        </w:rPr>
        <w:t xml:space="preserve"> </w:t>
      </w:r>
      <w:r w:rsidRPr="00EB2BD8">
        <w:t>(in</w:t>
      </w:r>
      <w:r w:rsidRPr="00EB2BD8">
        <w:rPr>
          <w:spacing w:val="-15"/>
        </w:rPr>
        <w:t xml:space="preserve"> </w:t>
      </w:r>
      <w:r w:rsidRPr="00EB2BD8">
        <w:t>progress)</w:t>
      </w:r>
      <w:bookmarkEnd w:id="108"/>
    </w:p>
    <w:p w14:paraId="48B5854A" w14:textId="77777777" w:rsidR="00084F36" w:rsidRPr="00EB2BD8" w:rsidRDefault="00EB2BD8" w:rsidP="00EB2BD8">
      <w:pPr>
        <w:pStyle w:val="Heading3"/>
      </w:pPr>
      <w:bookmarkStart w:id="109" w:name="_Toc150762411"/>
      <w:r w:rsidRPr="00EB2BD8">
        <w:t>What</w:t>
      </w:r>
      <w:r w:rsidRPr="00EB2BD8">
        <w:rPr>
          <w:spacing w:val="-17"/>
        </w:rPr>
        <w:t xml:space="preserve"> </w:t>
      </w:r>
      <w:r w:rsidRPr="00EB2BD8">
        <w:t>we</w:t>
      </w:r>
      <w:r w:rsidRPr="00EB2BD8">
        <w:rPr>
          <w:spacing w:val="-17"/>
        </w:rPr>
        <w:t xml:space="preserve"> </w:t>
      </w:r>
      <w:r w:rsidRPr="00EB2BD8">
        <w:t>are</w:t>
      </w:r>
      <w:r w:rsidRPr="00EB2BD8">
        <w:rPr>
          <w:spacing w:val="-17"/>
        </w:rPr>
        <w:t xml:space="preserve"> </w:t>
      </w:r>
      <w:r w:rsidRPr="00EB2BD8">
        <w:t>doing</w:t>
      </w:r>
      <w:r w:rsidRPr="00EB2BD8">
        <w:rPr>
          <w:spacing w:val="-17"/>
        </w:rPr>
        <w:t xml:space="preserve"> </w:t>
      </w:r>
      <w:r w:rsidRPr="00EB2BD8">
        <w:t>and</w:t>
      </w:r>
      <w:r w:rsidRPr="00EB2BD8">
        <w:rPr>
          <w:spacing w:val="-17"/>
        </w:rPr>
        <w:t xml:space="preserve"> </w:t>
      </w:r>
      <w:r w:rsidRPr="00EB2BD8">
        <w:rPr>
          <w:spacing w:val="-5"/>
        </w:rPr>
        <w:t>why</w:t>
      </w:r>
      <w:bookmarkEnd w:id="109"/>
    </w:p>
    <w:p w14:paraId="76C74C5C" w14:textId="77777777" w:rsidR="00084F36" w:rsidRPr="00EB2BD8" w:rsidRDefault="00EB2BD8">
      <w:pPr>
        <w:pStyle w:val="BodyText"/>
        <w:spacing w:before="124" w:line="261" w:lineRule="auto"/>
        <w:ind w:left="850"/>
      </w:pPr>
      <w:r w:rsidRPr="00EB2BD8">
        <w:t>The VBA supported research by The University of Sydney’s School of Architecture, Design and Planning, through</w:t>
      </w:r>
      <w:r w:rsidRPr="00EB2BD8">
        <w:rPr>
          <w:spacing w:val="-6"/>
        </w:rPr>
        <w:t xml:space="preserve"> </w:t>
      </w:r>
      <w:r w:rsidRPr="00EB2BD8">
        <w:t>a</w:t>
      </w:r>
      <w:r w:rsidRPr="00EB2BD8">
        <w:rPr>
          <w:spacing w:val="-6"/>
        </w:rPr>
        <w:t xml:space="preserve"> </w:t>
      </w:r>
      <w:hyperlink r:id="rId113">
        <w:r w:rsidRPr="00EB2BD8">
          <w:t>research</w:t>
        </w:r>
        <w:r w:rsidRPr="00EB2BD8">
          <w:rPr>
            <w:spacing w:val="-6"/>
          </w:rPr>
          <w:t xml:space="preserve"> </w:t>
        </w:r>
        <w:r w:rsidRPr="00EB2BD8">
          <w:t>grant</w:t>
        </w:r>
        <w:r w:rsidRPr="00EB2BD8">
          <w:rPr>
            <w:spacing w:val="-6"/>
          </w:rPr>
          <w:t xml:space="preserve"> </w:t>
        </w:r>
        <w:r w:rsidRPr="00EB2BD8">
          <w:t>awarded</w:t>
        </w:r>
        <w:r w:rsidRPr="00EB2BD8">
          <w:rPr>
            <w:spacing w:val="-6"/>
          </w:rPr>
          <w:t xml:space="preserve"> </w:t>
        </w:r>
        <w:r w:rsidRPr="00EB2BD8">
          <w:t>in</w:t>
        </w:r>
        <w:r w:rsidRPr="00EB2BD8">
          <w:rPr>
            <w:spacing w:val="-6"/>
          </w:rPr>
          <w:t xml:space="preserve"> </w:t>
        </w:r>
        <w:r w:rsidRPr="00EB2BD8">
          <w:t>2022</w:t>
        </w:r>
      </w:hyperlink>
      <w:r w:rsidRPr="00EB2BD8">
        <w:t>,</w:t>
      </w:r>
      <w:r w:rsidRPr="00EB2BD8">
        <w:rPr>
          <w:spacing w:val="-6"/>
        </w:rPr>
        <w:t xml:space="preserve"> </w:t>
      </w:r>
      <w:r w:rsidRPr="00EB2BD8">
        <w:t>to</w:t>
      </w:r>
      <w:r w:rsidRPr="00EB2BD8">
        <w:rPr>
          <w:spacing w:val="-6"/>
        </w:rPr>
        <w:t xml:space="preserve"> </w:t>
      </w:r>
      <w:r w:rsidRPr="00EB2BD8">
        <w:t>increase the</w:t>
      </w:r>
      <w:r w:rsidRPr="00EB2BD8">
        <w:rPr>
          <w:spacing w:val="-12"/>
        </w:rPr>
        <w:t xml:space="preserve"> </w:t>
      </w:r>
      <w:r w:rsidRPr="00EB2BD8">
        <w:t>resilience</w:t>
      </w:r>
      <w:r w:rsidRPr="00EB2BD8">
        <w:rPr>
          <w:spacing w:val="-12"/>
        </w:rPr>
        <w:t xml:space="preserve"> </w:t>
      </w:r>
      <w:r w:rsidRPr="00EB2BD8">
        <w:t>of</w:t>
      </w:r>
      <w:r w:rsidRPr="00EB2BD8">
        <w:rPr>
          <w:spacing w:val="-12"/>
        </w:rPr>
        <w:t xml:space="preserve"> </w:t>
      </w:r>
      <w:r w:rsidRPr="00EB2BD8">
        <w:t>external</w:t>
      </w:r>
      <w:r w:rsidRPr="00EB2BD8">
        <w:rPr>
          <w:spacing w:val="-12"/>
        </w:rPr>
        <w:t xml:space="preserve"> </w:t>
      </w:r>
      <w:r w:rsidRPr="00EB2BD8">
        <w:t>building</w:t>
      </w:r>
      <w:r w:rsidRPr="00EB2BD8">
        <w:rPr>
          <w:spacing w:val="-12"/>
        </w:rPr>
        <w:t xml:space="preserve"> </w:t>
      </w:r>
      <w:r w:rsidRPr="00EB2BD8">
        <w:t>envelopes</w:t>
      </w:r>
      <w:r w:rsidRPr="00EB2BD8">
        <w:rPr>
          <w:spacing w:val="-12"/>
        </w:rPr>
        <w:t xml:space="preserve"> </w:t>
      </w:r>
      <w:r w:rsidRPr="00EB2BD8">
        <w:t>(walls</w:t>
      </w:r>
      <w:r w:rsidRPr="00EB2BD8">
        <w:rPr>
          <w:spacing w:val="-12"/>
        </w:rPr>
        <w:t xml:space="preserve"> </w:t>
      </w:r>
      <w:r w:rsidRPr="00EB2BD8">
        <w:t>and roofs) to moisture damage.</w:t>
      </w:r>
    </w:p>
    <w:p w14:paraId="56C95583" w14:textId="77777777" w:rsidR="00084F36" w:rsidRPr="00EB2BD8" w:rsidRDefault="00EB2BD8">
      <w:pPr>
        <w:pStyle w:val="BodyText"/>
        <w:spacing w:before="108" w:line="261" w:lineRule="auto"/>
        <w:ind w:left="850" w:right="527"/>
      </w:pPr>
      <w:r w:rsidRPr="00EB2BD8">
        <w:t>The research, led by Associate Professor Arianna Brambilla, aims to develop comprehensive recommendations for the design, construction and maintenance of climate-appropriate building envelopes methods in Victoria to increase the</w:t>
      </w:r>
    </w:p>
    <w:p w14:paraId="04E2789B" w14:textId="77777777" w:rsidR="00084F36" w:rsidRPr="00EB2BD8" w:rsidRDefault="00EB2BD8">
      <w:pPr>
        <w:pStyle w:val="BodyText"/>
        <w:spacing w:line="261" w:lineRule="auto"/>
        <w:ind w:left="850"/>
      </w:pPr>
      <w:r w:rsidRPr="00EB2BD8">
        <w:t>moisture</w:t>
      </w:r>
      <w:r w:rsidRPr="00EB2BD8">
        <w:rPr>
          <w:spacing w:val="-7"/>
        </w:rPr>
        <w:t xml:space="preserve"> </w:t>
      </w:r>
      <w:r w:rsidRPr="00EB2BD8">
        <w:t>resilience</w:t>
      </w:r>
      <w:r w:rsidRPr="00EB2BD8">
        <w:rPr>
          <w:spacing w:val="-7"/>
        </w:rPr>
        <w:t xml:space="preserve"> </w:t>
      </w:r>
      <w:r w:rsidRPr="00EB2BD8">
        <w:t>of</w:t>
      </w:r>
      <w:r w:rsidRPr="00EB2BD8">
        <w:rPr>
          <w:spacing w:val="-7"/>
        </w:rPr>
        <w:t xml:space="preserve"> </w:t>
      </w:r>
      <w:r w:rsidRPr="00EB2BD8">
        <w:t>the</w:t>
      </w:r>
      <w:r w:rsidRPr="00EB2BD8">
        <w:rPr>
          <w:spacing w:val="-7"/>
        </w:rPr>
        <w:t xml:space="preserve"> </w:t>
      </w:r>
      <w:r w:rsidRPr="00EB2BD8">
        <w:t>external</w:t>
      </w:r>
      <w:r w:rsidRPr="00EB2BD8">
        <w:rPr>
          <w:spacing w:val="-7"/>
        </w:rPr>
        <w:t xml:space="preserve"> </w:t>
      </w:r>
      <w:r w:rsidRPr="00EB2BD8">
        <w:t>building</w:t>
      </w:r>
      <w:r w:rsidRPr="00EB2BD8">
        <w:rPr>
          <w:spacing w:val="-7"/>
        </w:rPr>
        <w:t xml:space="preserve"> </w:t>
      </w:r>
      <w:r w:rsidRPr="00EB2BD8">
        <w:t>envelope.</w:t>
      </w:r>
      <w:r w:rsidRPr="00EB2BD8">
        <w:rPr>
          <w:spacing w:val="-7"/>
        </w:rPr>
        <w:t xml:space="preserve"> </w:t>
      </w:r>
      <w:r w:rsidRPr="00EB2BD8">
        <w:t>It includes both one-dimensional and two-dimensional hygrothermal analysis of balconies and wall/roof intersections, with a particular focus on the placement and</w:t>
      </w:r>
      <w:r w:rsidRPr="00EB2BD8">
        <w:rPr>
          <w:spacing w:val="-4"/>
        </w:rPr>
        <w:t xml:space="preserve"> </w:t>
      </w:r>
      <w:r w:rsidRPr="00EB2BD8">
        <w:t>permeability</w:t>
      </w:r>
      <w:r w:rsidRPr="00EB2BD8">
        <w:rPr>
          <w:spacing w:val="-4"/>
        </w:rPr>
        <w:t xml:space="preserve"> </w:t>
      </w:r>
      <w:r w:rsidRPr="00EB2BD8">
        <w:t>requirements</w:t>
      </w:r>
      <w:r w:rsidRPr="00EB2BD8">
        <w:rPr>
          <w:spacing w:val="-4"/>
        </w:rPr>
        <w:t xml:space="preserve"> </w:t>
      </w:r>
      <w:r w:rsidRPr="00EB2BD8">
        <w:t>of</w:t>
      </w:r>
      <w:r w:rsidRPr="00EB2BD8">
        <w:rPr>
          <w:spacing w:val="-4"/>
        </w:rPr>
        <w:t xml:space="preserve"> </w:t>
      </w:r>
      <w:r w:rsidRPr="00EB2BD8">
        <w:t>vapour</w:t>
      </w:r>
      <w:r w:rsidRPr="00EB2BD8">
        <w:rPr>
          <w:spacing w:val="-4"/>
        </w:rPr>
        <w:t xml:space="preserve"> </w:t>
      </w:r>
      <w:r w:rsidRPr="00EB2BD8">
        <w:t>control</w:t>
      </w:r>
      <w:r w:rsidRPr="00EB2BD8">
        <w:rPr>
          <w:spacing w:val="-4"/>
        </w:rPr>
        <w:t xml:space="preserve"> </w:t>
      </w:r>
      <w:r w:rsidRPr="00EB2BD8">
        <w:t xml:space="preserve">layers in walls, roofs and floors, and air cavities in walls and </w:t>
      </w:r>
      <w:r w:rsidRPr="00EB2BD8">
        <w:rPr>
          <w:spacing w:val="-2"/>
        </w:rPr>
        <w:t>roofs.</w:t>
      </w:r>
    </w:p>
    <w:p w14:paraId="7F398901" w14:textId="77777777" w:rsidR="00084F36" w:rsidRPr="00EB2BD8" w:rsidRDefault="00EB2BD8" w:rsidP="00EB2BD8">
      <w:pPr>
        <w:pStyle w:val="Heading3"/>
      </w:pPr>
      <w:bookmarkStart w:id="110" w:name="_Toc150762412"/>
      <w:r w:rsidRPr="00EB2BD8">
        <w:t>What</w:t>
      </w:r>
      <w:r w:rsidRPr="00EB2BD8">
        <w:rPr>
          <w:spacing w:val="-19"/>
        </w:rPr>
        <w:t xml:space="preserve"> </w:t>
      </w:r>
      <w:r w:rsidRPr="00EB2BD8">
        <w:t>we</w:t>
      </w:r>
      <w:r w:rsidRPr="00EB2BD8">
        <w:rPr>
          <w:spacing w:val="-19"/>
        </w:rPr>
        <w:t xml:space="preserve"> </w:t>
      </w:r>
      <w:r w:rsidRPr="00EB2BD8">
        <w:t>have</w:t>
      </w:r>
      <w:r w:rsidRPr="00EB2BD8">
        <w:rPr>
          <w:spacing w:val="-19"/>
        </w:rPr>
        <w:t xml:space="preserve"> </w:t>
      </w:r>
      <w:r w:rsidRPr="00EB2BD8">
        <w:t>achieved</w:t>
      </w:r>
      <w:r w:rsidRPr="00EB2BD8">
        <w:rPr>
          <w:spacing w:val="-19"/>
        </w:rPr>
        <w:t xml:space="preserve"> </w:t>
      </w:r>
      <w:r w:rsidRPr="00EB2BD8">
        <w:t>so</w:t>
      </w:r>
      <w:r w:rsidRPr="00EB2BD8">
        <w:rPr>
          <w:spacing w:val="-18"/>
        </w:rPr>
        <w:t xml:space="preserve"> </w:t>
      </w:r>
      <w:r w:rsidRPr="00EB2BD8">
        <w:rPr>
          <w:spacing w:val="-5"/>
        </w:rPr>
        <w:t>far</w:t>
      </w:r>
      <w:bookmarkEnd w:id="110"/>
    </w:p>
    <w:p w14:paraId="5D49DC21" w14:textId="77777777" w:rsidR="00084F36" w:rsidRPr="00EB2BD8" w:rsidRDefault="00EB2BD8">
      <w:pPr>
        <w:pStyle w:val="BodyText"/>
        <w:spacing w:before="23" w:line="344" w:lineRule="exact"/>
        <w:ind w:left="850" w:right="527"/>
      </w:pPr>
      <w:r w:rsidRPr="00EB2BD8">
        <w:rPr>
          <w:spacing w:val="-2"/>
        </w:rPr>
        <w:t>The</w:t>
      </w:r>
      <w:r w:rsidRPr="00EB2BD8">
        <w:rPr>
          <w:spacing w:val="-12"/>
        </w:rPr>
        <w:t xml:space="preserve"> </w:t>
      </w:r>
      <w:r w:rsidRPr="00EB2BD8">
        <w:rPr>
          <w:spacing w:val="-2"/>
        </w:rPr>
        <w:t>research</w:t>
      </w:r>
      <w:r w:rsidRPr="00EB2BD8">
        <w:rPr>
          <w:spacing w:val="-12"/>
        </w:rPr>
        <w:t xml:space="preserve"> </w:t>
      </w:r>
      <w:r w:rsidRPr="00EB2BD8">
        <w:rPr>
          <w:spacing w:val="-2"/>
        </w:rPr>
        <w:t>is</w:t>
      </w:r>
      <w:r w:rsidRPr="00EB2BD8">
        <w:rPr>
          <w:spacing w:val="-12"/>
        </w:rPr>
        <w:t xml:space="preserve"> </w:t>
      </w:r>
      <w:r w:rsidRPr="00EB2BD8">
        <w:rPr>
          <w:spacing w:val="-2"/>
        </w:rPr>
        <w:t>due</w:t>
      </w:r>
      <w:r w:rsidRPr="00EB2BD8">
        <w:rPr>
          <w:spacing w:val="-12"/>
        </w:rPr>
        <w:t xml:space="preserve"> </w:t>
      </w:r>
      <w:r w:rsidRPr="00EB2BD8">
        <w:rPr>
          <w:spacing w:val="-2"/>
        </w:rPr>
        <w:t>for</w:t>
      </w:r>
      <w:r w:rsidRPr="00EB2BD8">
        <w:rPr>
          <w:spacing w:val="-12"/>
        </w:rPr>
        <w:t xml:space="preserve"> </w:t>
      </w:r>
      <w:r w:rsidRPr="00EB2BD8">
        <w:rPr>
          <w:spacing w:val="-2"/>
        </w:rPr>
        <w:t>completion</w:t>
      </w:r>
      <w:r w:rsidRPr="00EB2BD8">
        <w:rPr>
          <w:spacing w:val="-12"/>
        </w:rPr>
        <w:t xml:space="preserve"> </w:t>
      </w:r>
      <w:r w:rsidRPr="00EB2BD8">
        <w:rPr>
          <w:spacing w:val="-2"/>
        </w:rPr>
        <w:t>in</w:t>
      </w:r>
      <w:r w:rsidRPr="00EB2BD8">
        <w:rPr>
          <w:spacing w:val="-12"/>
        </w:rPr>
        <w:t xml:space="preserve"> </w:t>
      </w:r>
      <w:r w:rsidRPr="00EB2BD8">
        <w:rPr>
          <w:spacing w:val="-2"/>
        </w:rPr>
        <w:t xml:space="preserve">2024-25. </w:t>
      </w:r>
      <w:r w:rsidRPr="00EB2BD8">
        <w:t>This</w:t>
      </w:r>
      <w:r w:rsidRPr="00EB2BD8">
        <w:rPr>
          <w:spacing w:val="-7"/>
        </w:rPr>
        <w:t xml:space="preserve"> </w:t>
      </w:r>
      <w:r w:rsidRPr="00EB2BD8">
        <w:t>research</w:t>
      </w:r>
      <w:r w:rsidRPr="00EB2BD8">
        <w:rPr>
          <w:spacing w:val="-7"/>
        </w:rPr>
        <w:t xml:space="preserve"> </w:t>
      </w:r>
      <w:r w:rsidRPr="00EB2BD8">
        <w:t>will</w:t>
      </w:r>
      <w:r w:rsidRPr="00EB2BD8">
        <w:rPr>
          <w:spacing w:val="-7"/>
        </w:rPr>
        <w:t xml:space="preserve"> </w:t>
      </w:r>
      <w:r w:rsidRPr="00EB2BD8">
        <w:t>build</w:t>
      </w:r>
      <w:r w:rsidRPr="00EB2BD8">
        <w:rPr>
          <w:spacing w:val="-7"/>
        </w:rPr>
        <w:t xml:space="preserve"> </w:t>
      </w:r>
      <w:r w:rsidRPr="00EB2BD8">
        <w:t>upon</w:t>
      </w:r>
      <w:r w:rsidRPr="00EB2BD8">
        <w:rPr>
          <w:spacing w:val="-7"/>
        </w:rPr>
        <w:t xml:space="preserve"> </w:t>
      </w:r>
      <w:r w:rsidRPr="00EB2BD8">
        <w:t>the</w:t>
      </w:r>
      <w:r w:rsidRPr="00EB2BD8">
        <w:rPr>
          <w:spacing w:val="-7"/>
        </w:rPr>
        <w:t xml:space="preserve"> </w:t>
      </w:r>
      <w:r w:rsidRPr="00EB2BD8">
        <w:t>University</w:t>
      </w:r>
      <w:r w:rsidRPr="00EB2BD8">
        <w:rPr>
          <w:spacing w:val="-7"/>
        </w:rPr>
        <w:t xml:space="preserve"> </w:t>
      </w:r>
      <w:r w:rsidRPr="00EB2BD8">
        <w:t>of</w:t>
      </w:r>
    </w:p>
    <w:p w14:paraId="758EC610" w14:textId="77777777" w:rsidR="00084F36" w:rsidRPr="00EB2BD8" w:rsidRDefault="00EB2BD8">
      <w:pPr>
        <w:pStyle w:val="BodyText"/>
        <w:spacing w:line="199" w:lineRule="exact"/>
        <w:ind w:left="850"/>
      </w:pPr>
      <w:r w:rsidRPr="00EB2BD8">
        <w:t>Tasmania’s</w:t>
      </w:r>
      <w:r w:rsidRPr="00EB2BD8">
        <w:rPr>
          <w:spacing w:val="-10"/>
        </w:rPr>
        <w:t xml:space="preserve"> </w:t>
      </w:r>
      <w:r w:rsidRPr="00EB2BD8">
        <w:t>research</w:t>
      </w:r>
      <w:r w:rsidRPr="00EB2BD8">
        <w:rPr>
          <w:spacing w:val="-10"/>
        </w:rPr>
        <w:t xml:space="preserve"> </w:t>
      </w:r>
      <w:r w:rsidRPr="00EB2BD8">
        <w:t>assessing</w:t>
      </w:r>
      <w:r w:rsidRPr="00EB2BD8">
        <w:rPr>
          <w:spacing w:val="-10"/>
        </w:rPr>
        <w:t xml:space="preserve"> </w:t>
      </w:r>
      <w:r w:rsidRPr="00EB2BD8">
        <w:t>mould</w:t>
      </w:r>
      <w:r w:rsidRPr="00EB2BD8">
        <w:rPr>
          <w:spacing w:val="-9"/>
        </w:rPr>
        <w:t xml:space="preserve"> </w:t>
      </w:r>
      <w:r w:rsidRPr="00EB2BD8">
        <w:t>growth</w:t>
      </w:r>
      <w:r w:rsidRPr="00EB2BD8">
        <w:rPr>
          <w:spacing w:val="-10"/>
        </w:rPr>
        <w:t xml:space="preserve"> </w:t>
      </w:r>
      <w:r w:rsidRPr="00EB2BD8">
        <w:t>risk</w:t>
      </w:r>
      <w:r w:rsidRPr="00EB2BD8">
        <w:rPr>
          <w:spacing w:val="-10"/>
        </w:rPr>
        <w:t xml:space="preserve"> </w:t>
      </w:r>
      <w:r w:rsidRPr="00EB2BD8">
        <w:rPr>
          <w:spacing w:val="-5"/>
        </w:rPr>
        <w:t>in</w:t>
      </w:r>
    </w:p>
    <w:p w14:paraId="0151391F" w14:textId="77777777" w:rsidR="00084F36" w:rsidRPr="00EB2BD8" w:rsidRDefault="00EB2BD8">
      <w:pPr>
        <w:pStyle w:val="BodyText"/>
        <w:spacing w:before="18" w:line="261" w:lineRule="auto"/>
        <w:ind w:left="850"/>
      </w:pPr>
      <w:r w:rsidRPr="00EB2BD8">
        <w:t>external</w:t>
      </w:r>
      <w:r w:rsidRPr="00EB2BD8">
        <w:rPr>
          <w:spacing w:val="-12"/>
        </w:rPr>
        <w:t xml:space="preserve"> </w:t>
      </w:r>
      <w:r w:rsidRPr="00EB2BD8">
        <w:t>wall</w:t>
      </w:r>
      <w:r w:rsidRPr="00EB2BD8">
        <w:rPr>
          <w:spacing w:val="-12"/>
        </w:rPr>
        <w:t xml:space="preserve"> </w:t>
      </w:r>
      <w:r w:rsidRPr="00EB2BD8">
        <w:t>systems</w:t>
      </w:r>
      <w:r w:rsidRPr="00EB2BD8">
        <w:rPr>
          <w:spacing w:val="-12"/>
        </w:rPr>
        <w:t xml:space="preserve"> </w:t>
      </w:r>
      <w:r w:rsidRPr="00EB2BD8">
        <w:t>of</w:t>
      </w:r>
      <w:r w:rsidRPr="00EB2BD8">
        <w:rPr>
          <w:spacing w:val="-12"/>
        </w:rPr>
        <w:t xml:space="preserve"> </w:t>
      </w:r>
      <w:r w:rsidRPr="00EB2BD8">
        <w:t>6</w:t>
      </w:r>
      <w:r w:rsidRPr="00EB2BD8">
        <w:rPr>
          <w:spacing w:val="-12"/>
        </w:rPr>
        <w:t xml:space="preserve"> </w:t>
      </w:r>
      <w:r w:rsidRPr="00EB2BD8">
        <w:t>and</w:t>
      </w:r>
      <w:r w:rsidRPr="00EB2BD8">
        <w:rPr>
          <w:spacing w:val="-12"/>
        </w:rPr>
        <w:t xml:space="preserve"> </w:t>
      </w:r>
      <w:r w:rsidRPr="00EB2BD8">
        <w:t>7</w:t>
      </w:r>
      <w:r w:rsidRPr="00EB2BD8">
        <w:rPr>
          <w:spacing w:val="-12"/>
        </w:rPr>
        <w:t xml:space="preserve"> </w:t>
      </w:r>
      <w:r w:rsidRPr="00EB2BD8">
        <w:t>Star</w:t>
      </w:r>
      <w:r w:rsidRPr="00EB2BD8">
        <w:rPr>
          <w:spacing w:val="-12"/>
        </w:rPr>
        <w:t xml:space="preserve"> </w:t>
      </w:r>
      <w:r w:rsidRPr="00EB2BD8">
        <w:t>new</w:t>
      </w:r>
      <w:r w:rsidRPr="00EB2BD8">
        <w:rPr>
          <w:spacing w:val="-12"/>
        </w:rPr>
        <w:t xml:space="preserve"> </w:t>
      </w:r>
      <w:r w:rsidRPr="00EB2BD8">
        <w:t>homes</w:t>
      </w:r>
      <w:r w:rsidRPr="00EB2BD8">
        <w:rPr>
          <w:spacing w:val="-12"/>
        </w:rPr>
        <w:t xml:space="preserve"> </w:t>
      </w:r>
      <w:r w:rsidRPr="00EB2BD8">
        <w:t xml:space="preserve">in </w:t>
      </w:r>
      <w:r w:rsidRPr="00EB2BD8">
        <w:rPr>
          <w:spacing w:val="-2"/>
        </w:rPr>
        <w:t>Victoria.</w:t>
      </w:r>
    </w:p>
    <w:p w14:paraId="2408FD8E" w14:textId="1B7604FB" w:rsidR="00084F36" w:rsidRPr="00EB2BD8" w:rsidRDefault="00EB2BD8" w:rsidP="00E13356">
      <w:pPr>
        <w:pStyle w:val="Heading2"/>
        <w:ind w:left="0"/>
      </w:pPr>
      <w:r w:rsidRPr="00EB2BD8">
        <w:br w:type="column"/>
      </w:r>
      <w:r w:rsidR="00E13356">
        <w:t xml:space="preserve"> </w:t>
      </w:r>
      <w:bookmarkStart w:id="111" w:name="_Toc150762413"/>
      <w:r w:rsidRPr="00EB2BD8">
        <w:t>Investigation</w:t>
      </w:r>
      <w:r w:rsidRPr="00EB2BD8">
        <w:rPr>
          <w:spacing w:val="-12"/>
        </w:rPr>
        <w:t xml:space="preserve"> </w:t>
      </w:r>
      <w:r w:rsidRPr="00EB2BD8">
        <w:t>of</w:t>
      </w:r>
      <w:r w:rsidRPr="00EB2BD8">
        <w:rPr>
          <w:spacing w:val="-12"/>
        </w:rPr>
        <w:t xml:space="preserve"> </w:t>
      </w:r>
      <w:r w:rsidRPr="00EB2BD8">
        <w:t>water</w:t>
      </w:r>
      <w:r w:rsidRPr="00EB2BD8">
        <w:rPr>
          <w:spacing w:val="-12"/>
        </w:rPr>
        <w:t xml:space="preserve"> </w:t>
      </w:r>
      <w:r w:rsidRPr="00EB2BD8">
        <w:t>leakage</w:t>
      </w:r>
      <w:r w:rsidRPr="00EB2BD8">
        <w:rPr>
          <w:spacing w:val="-12"/>
        </w:rPr>
        <w:t xml:space="preserve"> </w:t>
      </w:r>
      <w:r w:rsidR="00E13356">
        <w:rPr>
          <w:spacing w:val="-12"/>
        </w:rPr>
        <w:br/>
        <w:t xml:space="preserve"> </w:t>
      </w:r>
      <w:r w:rsidRPr="00EB2BD8">
        <w:t>in</w:t>
      </w:r>
      <w:r w:rsidR="00E13356">
        <w:t xml:space="preserve"> </w:t>
      </w:r>
      <w:r w:rsidRPr="00EB2BD8">
        <w:rPr>
          <w:spacing w:val="-4"/>
        </w:rPr>
        <w:t>residential</w:t>
      </w:r>
      <w:r w:rsidRPr="00EB2BD8">
        <w:t xml:space="preserve"> </w:t>
      </w:r>
      <w:r w:rsidRPr="00EB2BD8">
        <w:rPr>
          <w:spacing w:val="-4"/>
        </w:rPr>
        <w:t>apartment</w:t>
      </w:r>
      <w:r w:rsidRPr="00EB2BD8">
        <w:t xml:space="preserve"> </w:t>
      </w:r>
      <w:r w:rsidRPr="00EB2BD8">
        <w:rPr>
          <w:spacing w:val="-4"/>
        </w:rPr>
        <w:t>(concrete)</w:t>
      </w:r>
      <w:r w:rsidR="00E13356">
        <w:rPr>
          <w:spacing w:val="-4"/>
        </w:rPr>
        <w:br/>
        <w:t xml:space="preserve"> </w:t>
      </w:r>
      <w:r w:rsidRPr="00EB2BD8">
        <w:t>balconies</w:t>
      </w:r>
      <w:r w:rsidRPr="00EB2BD8">
        <w:rPr>
          <w:spacing w:val="-8"/>
        </w:rPr>
        <w:t xml:space="preserve"> </w:t>
      </w:r>
      <w:r w:rsidRPr="00EB2BD8">
        <w:t>(in</w:t>
      </w:r>
      <w:r w:rsidRPr="00EB2BD8">
        <w:rPr>
          <w:spacing w:val="-8"/>
        </w:rPr>
        <w:t xml:space="preserve"> </w:t>
      </w:r>
      <w:r w:rsidRPr="00EB2BD8">
        <w:t>progress)</w:t>
      </w:r>
      <w:bookmarkEnd w:id="111"/>
    </w:p>
    <w:p w14:paraId="07F3F945" w14:textId="0C4456C0" w:rsidR="00084F36" w:rsidRPr="00EB2BD8" w:rsidRDefault="00E13356" w:rsidP="00E13356">
      <w:pPr>
        <w:pStyle w:val="Heading3"/>
        <w:ind w:left="0"/>
      </w:pPr>
      <w:r>
        <w:t xml:space="preserve">       </w:t>
      </w:r>
      <w:bookmarkStart w:id="112" w:name="_Toc150762414"/>
      <w:r w:rsidR="00EB2BD8" w:rsidRPr="00EB2BD8">
        <w:t>What</w:t>
      </w:r>
      <w:r w:rsidR="00EB2BD8" w:rsidRPr="00EB2BD8">
        <w:rPr>
          <w:spacing w:val="-17"/>
        </w:rPr>
        <w:t xml:space="preserve"> </w:t>
      </w:r>
      <w:r w:rsidR="00EB2BD8" w:rsidRPr="00EB2BD8">
        <w:t>we</w:t>
      </w:r>
      <w:r w:rsidR="00EB2BD8" w:rsidRPr="00EB2BD8">
        <w:rPr>
          <w:spacing w:val="-17"/>
        </w:rPr>
        <w:t xml:space="preserve"> </w:t>
      </w:r>
      <w:r w:rsidR="00EB2BD8" w:rsidRPr="00EB2BD8">
        <w:t>are</w:t>
      </w:r>
      <w:r w:rsidR="00EB2BD8" w:rsidRPr="00EB2BD8">
        <w:rPr>
          <w:spacing w:val="-17"/>
        </w:rPr>
        <w:t xml:space="preserve"> </w:t>
      </w:r>
      <w:r w:rsidR="00EB2BD8" w:rsidRPr="00EB2BD8">
        <w:t>doing</w:t>
      </w:r>
      <w:r w:rsidR="00EB2BD8" w:rsidRPr="00EB2BD8">
        <w:rPr>
          <w:spacing w:val="-17"/>
        </w:rPr>
        <w:t xml:space="preserve"> </w:t>
      </w:r>
      <w:r w:rsidR="00EB2BD8" w:rsidRPr="00EB2BD8">
        <w:t>and</w:t>
      </w:r>
      <w:r w:rsidR="00EB2BD8" w:rsidRPr="00EB2BD8">
        <w:rPr>
          <w:spacing w:val="-17"/>
        </w:rPr>
        <w:t xml:space="preserve"> </w:t>
      </w:r>
      <w:r w:rsidR="00EB2BD8" w:rsidRPr="00EB2BD8">
        <w:rPr>
          <w:spacing w:val="-5"/>
        </w:rPr>
        <w:t>why</w:t>
      </w:r>
      <w:bookmarkEnd w:id="112"/>
    </w:p>
    <w:p w14:paraId="35AE9263" w14:textId="77777777" w:rsidR="00084F36" w:rsidRPr="00EB2BD8" w:rsidRDefault="00EB2BD8">
      <w:pPr>
        <w:pStyle w:val="BodyText"/>
        <w:spacing w:before="124" w:line="261" w:lineRule="auto"/>
        <w:ind w:left="447" w:right="909"/>
      </w:pPr>
      <w:r w:rsidRPr="00EB2BD8">
        <w:t xml:space="preserve">The VBA supported research by Swinburne University of Technology, through a </w:t>
      </w:r>
      <w:hyperlink r:id="rId114">
        <w:r w:rsidRPr="00EB2BD8">
          <w:t>research grant awarded in</w:t>
        </w:r>
      </w:hyperlink>
      <w:r w:rsidRPr="00EB2BD8">
        <w:t xml:space="preserve"> </w:t>
      </w:r>
      <w:hyperlink r:id="rId115">
        <w:r w:rsidRPr="00EB2BD8">
          <w:t>2022</w:t>
        </w:r>
      </w:hyperlink>
      <w:r w:rsidRPr="00EB2BD8">
        <w:t>,</w:t>
      </w:r>
      <w:r w:rsidRPr="00EB2BD8">
        <w:rPr>
          <w:spacing w:val="-15"/>
        </w:rPr>
        <w:t xml:space="preserve"> </w:t>
      </w:r>
      <w:r w:rsidRPr="00EB2BD8">
        <w:t>to</w:t>
      </w:r>
      <w:r w:rsidRPr="00EB2BD8">
        <w:rPr>
          <w:spacing w:val="-14"/>
        </w:rPr>
        <w:t xml:space="preserve"> </w:t>
      </w:r>
      <w:r w:rsidRPr="00EB2BD8">
        <w:t>identify</w:t>
      </w:r>
      <w:r w:rsidRPr="00EB2BD8">
        <w:rPr>
          <w:spacing w:val="-14"/>
        </w:rPr>
        <w:t xml:space="preserve"> </w:t>
      </w:r>
      <w:r w:rsidRPr="00EB2BD8">
        <w:t>the</w:t>
      </w:r>
      <w:r w:rsidRPr="00EB2BD8">
        <w:rPr>
          <w:spacing w:val="-14"/>
        </w:rPr>
        <w:t xml:space="preserve"> </w:t>
      </w:r>
      <w:r w:rsidRPr="00EB2BD8">
        <w:t>causes</w:t>
      </w:r>
      <w:r w:rsidRPr="00EB2BD8">
        <w:rPr>
          <w:spacing w:val="-15"/>
        </w:rPr>
        <w:t xml:space="preserve"> </w:t>
      </w:r>
      <w:r w:rsidRPr="00EB2BD8">
        <w:t>of</w:t>
      </w:r>
      <w:r w:rsidRPr="00EB2BD8">
        <w:rPr>
          <w:spacing w:val="-14"/>
        </w:rPr>
        <w:t xml:space="preserve"> </w:t>
      </w:r>
      <w:r w:rsidRPr="00EB2BD8">
        <w:t>water</w:t>
      </w:r>
      <w:r w:rsidRPr="00EB2BD8">
        <w:rPr>
          <w:spacing w:val="-14"/>
        </w:rPr>
        <w:t xml:space="preserve"> </w:t>
      </w:r>
      <w:r w:rsidRPr="00EB2BD8">
        <w:t>ingress</w:t>
      </w:r>
      <w:r w:rsidRPr="00EB2BD8">
        <w:rPr>
          <w:spacing w:val="-14"/>
        </w:rPr>
        <w:t xml:space="preserve"> </w:t>
      </w:r>
      <w:r w:rsidRPr="00EB2BD8">
        <w:t>in</w:t>
      </w:r>
      <w:r w:rsidRPr="00EB2BD8">
        <w:rPr>
          <w:spacing w:val="-15"/>
        </w:rPr>
        <w:t xml:space="preserve"> </w:t>
      </w:r>
      <w:r w:rsidRPr="00EB2BD8">
        <w:t>concrete balconies in Class 2 buildings and opportunities</w:t>
      </w:r>
    </w:p>
    <w:p w14:paraId="0532B8A5" w14:textId="77777777" w:rsidR="00084F36" w:rsidRPr="00EB2BD8" w:rsidRDefault="00EB2BD8">
      <w:pPr>
        <w:pStyle w:val="BodyText"/>
        <w:spacing w:line="261" w:lineRule="auto"/>
        <w:ind w:left="447" w:right="1344"/>
        <w:jc w:val="both"/>
      </w:pPr>
      <w:r w:rsidRPr="00EB2BD8">
        <w:t>for</w:t>
      </w:r>
      <w:r w:rsidRPr="00EB2BD8">
        <w:rPr>
          <w:spacing w:val="-12"/>
        </w:rPr>
        <w:t xml:space="preserve"> </w:t>
      </w:r>
      <w:r w:rsidRPr="00EB2BD8">
        <w:t>improvement</w:t>
      </w:r>
      <w:r w:rsidRPr="00EB2BD8">
        <w:rPr>
          <w:spacing w:val="-12"/>
        </w:rPr>
        <w:t xml:space="preserve"> </w:t>
      </w:r>
      <w:r w:rsidRPr="00EB2BD8">
        <w:t>to</w:t>
      </w:r>
      <w:r w:rsidRPr="00EB2BD8">
        <w:rPr>
          <w:spacing w:val="-12"/>
        </w:rPr>
        <w:t xml:space="preserve"> </w:t>
      </w:r>
      <w:r w:rsidRPr="00EB2BD8">
        <w:t>current</w:t>
      </w:r>
      <w:r w:rsidRPr="00EB2BD8">
        <w:rPr>
          <w:spacing w:val="-12"/>
        </w:rPr>
        <w:t xml:space="preserve"> </w:t>
      </w:r>
      <w:r w:rsidRPr="00EB2BD8">
        <w:t>regulations,</w:t>
      </w:r>
      <w:r w:rsidRPr="00EB2BD8">
        <w:rPr>
          <w:spacing w:val="-12"/>
        </w:rPr>
        <w:t xml:space="preserve"> </w:t>
      </w:r>
      <w:r w:rsidRPr="00EB2BD8">
        <w:t>standards and work practice in concrete balcony design and construction</w:t>
      </w:r>
      <w:r w:rsidRPr="00EB2BD8">
        <w:rPr>
          <w:spacing w:val="-3"/>
        </w:rPr>
        <w:t xml:space="preserve"> </w:t>
      </w:r>
      <w:r w:rsidRPr="00EB2BD8">
        <w:t>to</w:t>
      </w:r>
      <w:r w:rsidRPr="00EB2BD8">
        <w:rPr>
          <w:spacing w:val="-3"/>
        </w:rPr>
        <w:t xml:space="preserve"> </w:t>
      </w:r>
      <w:r w:rsidRPr="00EB2BD8">
        <w:t>reduce</w:t>
      </w:r>
      <w:r w:rsidRPr="00EB2BD8">
        <w:rPr>
          <w:spacing w:val="-3"/>
        </w:rPr>
        <w:t xml:space="preserve"> </w:t>
      </w:r>
      <w:r w:rsidRPr="00EB2BD8">
        <w:t>or</w:t>
      </w:r>
      <w:r w:rsidRPr="00EB2BD8">
        <w:rPr>
          <w:spacing w:val="-3"/>
        </w:rPr>
        <w:t xml:space="preserve"> </w:t>
      </w:r>
      <w:r w:rsidRPr="00EB2BD8">
        <w:t>eliminate</w:t>
      </w:r>
      <w:r w:rsidRPr="00EB2BD8">
        <w:rPr>
          <w:spacing w:val="-3"/>
        </w:rPr>
        <w:t xml:space="preserve"> </w:t>
      </w:r>
      <w:r w:rsidRPr="00EB2BD8">
        <w:t>water</w:t>
      </w:r>
      <w:r w:rsidRPr="00EB2BD8">
        <w:rPr>
          <w:spacing w:val="-3"/>
        </w:rPr>
        <w:t xml:space="preserve"> </w:t>
      </w:r>
      <w:r w:rsidRPr="00EB2BD8">
        <w:t>ingress.</w:t>
      </w:r>
    </w:p>
    <w:p w14:paraId="05E2577B" w14:textId="77777777" w:rsidR="00084F36" w:rsidRPr="00EB2BD8" w:rsidRDefault="00EB2BD8">
      <w:pPr>
        <w:pStyle w:val="BodyText"/>
        <w:spacing w:before="106" w:line="261" w:lineRule="auto"/>
        <w:ind w:left="447" w:right="900"/>
      </w:pPr>
      <w:r w:rsidRPr="00EB2BD8">
        <w:t>The research, led by Professor Shan Shanmugananthakumar, aims to identify opportunities for improvement in the performance of concrete balcony build materials and construction methods (such</w:t>
      </w:r>
      <w:r w:rsidRPr="00EB2BD8">
        <w:rPr>
          <w:spacing w:val="-6"/>
        </w:rPr>
        <w:t xml:space="preserve"> </w:t>
      </w:r>
      <w:r w:rsidRPr="00EB2BD8">
        <w:t>as</w:t>
      </w:r>
      <w:r w:rsidRPr="00EB2BD8">
        <w:rPr>
          <w:spacing w:val="-6"/>
        </w:rPr>
        <w:t xml:space="preserve"> </w:t>
      </w:r>
      <w:r w:rsidRPr="00EB2BD8">
        <w:t>concrete</w:t>
      </w:r>
      <w:r w:rsidRPr="00EB2BD8">
        <w:rPr>
          <w:spacing w:val="-6"/>
        </w:rPr>
        <w:t xml:space="preserve"> </w:t>
      </w:r>
      <w:r w:rsidRPr="00EB2BD8">
        <w:t>mix</w:t>
      </w:r>
      <w:r w:rsidRPr="00EB2BD8">
        <w:rPr>
          <w:spacing w:val="-6"/>
        </w:rPr>
        <w:t xml:space="preserve"> </w:t>
      </w:r>
      <w:r w:rsidRPr="00EB2BD8">
        <w:t>design,</w:t>
      </w:r>
      <w:r w:rsidRPr="00EB2BD8">
        <w:rPr>
          <w:spacing w:val="-6"/>
        </w:rPr>
        <w:t xml:space="preserve"> </w:t>
      </w:r>
      <w:r w:rsidRPr="00EB2BD8">
        <w:t>falls</w:t>
      </w:r>
      <w:r w:rsidRPr="00EB2BD8">
        <w:rPr>
          <w:spacing w:val="-6"/>
        </w:rPr>
        <w:t xml:space="preserve"> </w:t>
      </w:r>
      <w:r w:rsidRPr="00EB2BD8">
        <w:t>and</w:t>
      </w:r>
      <w:r w:rsidRPr="00EB2BD8">
        <w:rPr>
          <w:spacing w:val="-6"/>
        </w:rPr>
        <w:t xml:space="preserve"> </w:t>
      </w:r>
      <w:r w:rsidRPr="00EB2BD8">
        <w:t>drains),</w:t>
      </w:r>
      <w:r w:rsidRPr="00EB2BD8">
        <w:rPr>
          <w:spacing w:val="-6"/>
        </w:rPr>
        <w:t xml:space="preserve"> </w:t>
      </w:r>
      <w:r w:rsidRPr="00EB2BD8">
        <w:t>identify different structural systems to limit balcony water ingress, and quantify the efficacies of waterproofing methods across the building lifecycle.</w:t>
      </w:r>
    </w:p>
    <w:p w14:paraId="5742AC60" w14:textId="315C015C" w:rsidR="00084F36" w:rsidRPr="00EB2BD8" w:rsidRDefault="00E13356" w:rsidP="00E13356">
      <w:pPr>
        <w:pStyle w:val="Heading3"/>
        <w:ind w:left="0"/>
      </w:pPr>
      <w:r>
        <w:t xml:space="preserve">        </w:t>
      </w:r>
      <w:bookmarkStart w:id="113" w:name="_Toc150762415"/>
      <w:r w:rsidR="00EB2BD8" w:rsidRPr="00EB2BD8">
        <w:t>What</w:t>
      </w:r>
      <w:r w:rsidR="00EB2BD8" w:rsidRPr="00EB2BD8">
        <w:rPr>
          <w:spacing w:val="-19"/>
        </w:rPr>
        <w:t xml:space="preserve"> </w:t>
      </w:r>
      <w:r w:rsidR="00EB2BD8" w:rsidRPr="00EB2BD8">
        <w:t>we</w:t>
      </w:r>
      <w:r w:rsidR="00EB2BD8" w:rsidRPr="00EB2BD8">
        <w:rPr>
          <w:spacing w:val="-19"/>
        </w:rPr>
        <w:t xml:space="preserve"> </w:t>
      </w:r>
      <w:r w:rsidR="00EB2BD8" w:rsidRPr="00EB2BD8">
        <w:t>have</w:t>
      </w:r>
      <w:r w:rsidR="00EB2BD8" w:rsidRPr="00EB2BD8">
        <w:rPr>
          <w:spacing w:val="-19"/>
        </w:rPr>
        <w:t xml:space="preserve"> </w:t>
      </w:r>
      <w:r w:rsidR="00EB2BD8" w:rsidRPr="00EB2BD8">
        <w:t>achieved</w:t>
      </w:r>
      <w:r w:rsidR="00EB2BD8" w:rsidRPr="00EB2BD8">
        <w:rPr>
          <w:spacing w:val="-19"/>
        </w:rPr>
        <w:t xml:space="preserve"> </w:t>
      </w:r>
      <w:r w:rsidR="00EB2BD8" w:rsidRPr="00EB2BD8">
        <w:t>so</w:t>
      </w:r>
      <w:r w:rsidR="00EB2BD8" w:rsidRPr="00EB2BD8">
        <w:rPr>
          <w:spacing w:val="-18"/>
        </w:rPr>
        <w:t xml:space="preserve"> </w:t>
      </w:r>
      <w:r w:rsidR="00EB2BD8" w:rsidRPr="00EB2BD8">
        <w:rPr>
          <w:spacing w:val="-5"/>
        </w:rPr>
        <w:t>far</w:t>
      </w:r>
      <w:bookmarkEnd w:id="113"/>
    </w:p>
    <w:p w14:paraId="33DBBC89" w14:textId="77777777" w:rsidR="00084F36" w:rsidRPr="00EB2BD8" w:rsidRDefault="00EB2BD8">
      <w:pPr>
        <w:pStyle w:val="BodyText"/>
        <w:spacing w:before="124"/>
        <w:ind w:left="447"/>
        <w:jc w:val="both"/>
      </w:pPr>
      <w:r w:rsidRPr="00EB2BD8">
        <w:t>The</w:t>
      </w:r>
      <w:r w:rsidRPr="00EB2BD8">
        <w:rPr>
          <w:spacing w:val="-13"/>
        </w:rPr>
        <w:t xml:space="preserve"> </w:t>
      </w:r>
      <w:r w:rsidRPr="00EB2BD8">
        <w:t>research</w:t>
      </w:r>
      <w:r w:rsidRPr="00EB2BD8">
        <w:rPr>
          <w:spacing w:val="-13"/>
        </w:rPr>
        <w:t xml:space="preserve"> </w:t>
      </w:r>
      <w:r w:rsidRPr="00EB2BD8">
        <w:t>is</w:t>
      </w:r>
      <w:r w:rsidRPr="00EB2BD8">
        <w:rPr>
          <w:spacing w:val="-12"/>
        </w:rPr>
        <w:t xml:space="preserve"> </w:t>
      </w:r>
      <w:r w:rsidRPr="00EB2BD8">
        <w:t>due</w:t>
      </w:r>
      <w:r w:rsidRPr="00EB2BD8">
        <w:rPr>
          <w:spacing w:val="-13"/>
        </w:rPr>
        <w:t xml:space="preserve"> </w:t>
      </w:r>
      <w:r w:rsidRPr="00EB2BD8">
        <w:t>for</w:t>
      </w:r>
      <w:r w:rsidRPr="00EB2BD8">
        <w:rPr>
          <w:spacing w:val="-12"/>
        </w:rPr>
        <w:t xml:space="preserve"> </w:t>
      </w:r>
      <w:r w:rsidRPr="00EB2BD8">
        <w:t>completion</w:t>
      </w:r>
      <w:r w:rsidRPr="00EB2BD8">
        <w:rPr>
          <w:spacing w:val="-13"/>
        </w:rPr>
        <w:t xml:space="preserve"> </w:t>
      </w:r>
      <w:r w:rsidRPr="00EB2BD8">
        <w:t>in</w:t>
      </w:r>
      <w:r w:rsidRPr="00EB2BD8">
        <w:rPr>
          <w:spacing w:val="-12"/>
        </w:rPr>
        <w:t xml:space="preserve"> </w:t>
      </w:r>
      <w:r w:rsidRPr="00EB2BD8">
        <w:t>2023-</w:t>
      </w:r>
      <w:r w:rsidRPr="00EB2BD8">
        <w:rPr>
          <w:spacing w:val="-5"/>
        </w:rPr>
        <w:t>24.</w:t>
      </w:r>
    </w:p>
    <w:p w14:paraId="0FDCAF8F" w14:textId="77777777" w:rsidR="00084F36" w:rsidRPr="00EB2BD8" w:rsidRDefault="00EB2BD8">
      <w:pPr>
        <w:pStyle w:val="BodyText"/>
        <w:spacing w:before="131" w:line="261" w:lineRule="auto"/>
        <w:ind w:left="447" w:right="802"/>
      </w:pPr>
      <w:r w:rsidRPr="00EB2BD8">
        <w:t>The research complements other research by the VBA that</w:t>
      </w:r>
      <w:r w:rsidRPr="00EB2BD8">
        <w:rPr>
          <w:spacing w:val="-8"/>
        </w:rPr>
        <w:t xml:space="preserve"> </w:t>
      </w:r>
      <w:r w:rsidRPr="00EB2BD8">
        <w:t>aims</w:t>
      </w:r>
      <w:r w:rsidRPr="00EB2BD8">
        <w:rPr>
          <w:spacing w:val="-8"/>
        </w:rPr>
        <w:t xml:space="preserve"> </w:t>
      </w:r>
      <w:r w:rsidRPr="00EB2BD8">
        <w:t>to</w:t>
      </w:r>
      <w:r w:rsidRPr="00EB2BD8">
        <w:rPr>
          <w:spacing w:val="-8"/>
        </w:rPr>
        <w:t xml:space="preserve"> </w:t>
      </w:r>
      <w:r w:rsidRPr="00EB2BD8">
        <w:t>contribute</w:t>
      </w:r>
      <w:r w:rsidRPr="00EB2BD8">
        <w:rPr>
          <w:spacing w:val="-8"/>
        </w:rPr>
        <w:t xml:space="preserve"> </w:t>
      </w:r>
      <w:r w:rsidRPr="00EB2BD8">
        <w:t>to</w:t>
      </w:r>
      <w:r w:rsidRPr="00EB2BD8">
        <w:rPr>
          <w:spacing w:val="-8"/>
        </w:rPr>
        <w:t xml:space="preserve"> </w:t>
      </w:r>
      <w:r w:rsidRPr="00EB2BD8">
        <w:t>new</w:t>
      </w:r>
      <w:r w:rsidRPr="00EB2BD8">
        <w:rPr>
          <w:spacing w:val="-8"/>
        </w:rPr>
        <w:t xml:space="preserve"> </w:t>
      </w:r>
      <w:r w:rsidRPr="00EB2BD8">
        <w:t>and</w:t>
      </w:r>
      <w:r w:rsidRPr="00EB2BD8">
        <w:rPr>
          <w:spacing w:val="-8"/>
        </w:rPr>
        <w:t xml:space="preserve"> </w:t>
      </w:r>
      <w:r w:rsidRPr="00EB2BD8">
        <w:t>innovative</w:t>
      </w:r>
      <w:r w:rsidRPr="00EB2BD8">
        <w:rPr>
          <w:spacing w:val="-8"/>
        </w:rPr>
        <w:t xml:space="preserve"> </w:t>
      </w:r>
      <w:r w:rsidRPr="00EB2BD8">
        <w:t>solutions to minimise moisture ingress and water damage in Victorian</w:t>
      </w:r>
      <w:r w:rsidRPr="00EB2BD8">
        <w:rPr>
          <w:spacing w:val="-6"/>
        </w:rPr>
        <w:t xml:space="preserve"> </w:t>
      </w:r>
      <w:r w:rsidRPr="00EB2BD8">
        <w:t>buildings.</w:t>
      </w:r>
    </w:p>
    <w:p w14:paraId="2047C7FC" w14:textId="77777777" w:rsidR="00084F36" w:rsidRPr="00EB2BD8" w:rsidRDefault="00084F36">
      <w:pPr>
        <w:spacing w:line="261" w:lineRule="auto"/>
        <w:sectPr w:rsidR="00084F36" w:rsidRPr="00EB2BD8" w:rsidSect="006D75B2">
          <w:type w:val="continuous"/>
          <w:pgSz w:w="11910" w:h="16840"/>
          <w:pgMar w:top="1920" w:right="0" w:bottom="280" w:left="0" w:header="0" w:footer="528" w:gutter="0"/>
          <w:cols w:num="2" w:space="720" w:equalWidth="0">
            <w:col w:w="5692" w:space="40"/>
            <w:col w:w="6178"/>
          </w:cols>
        </w:sectPr>
      </w:pPr>
    </w:p>
    <w:p w14:paraId="7CCFC983" w14:textId="77777777" w:rsidR="00084F36" w:rsidRPr="00EB2BD8" w:rsidRDefault="00084F36">
      <w:pPr>
        <w:pStyle w:val="BodyText"/>
        <w:rPr>
          <w:sz w:val="20"/>
        </w:rPr>
      </w:pPr>
    </w:p>
    <w:p w14:paraId="4A72A4EB" w14:textId="77777777" w:rsidR="00084F36" w:rsidRPr="00EB2BD8" w:rsidRDefault="00084F36">
      <w:pPr>
        <w:pStyle w:val="BodyText"/>
        <w:rPr>
          <w:sz w:val="20"/>
        </w:rPr>
      </w:pPr>
    </w:p>
    <w:p w14:paraId="2B2DAECD" w14:textId="77777777" w:rsidR="00084F36" w:rsidRPr="00EB2BD8" w:rsidRDefault="00084F36">
      <w:pPr>
        <w:pStyle w:val="BodyText"/>
        <w:rPr>
          <w:sz w:val="20"/>
        </w:rPr>
      </w:pPr>
    </w:p>
    <w:p w14:paraId="1297C9BD" w14:textId="77777777" w:rsidR="00084F36" w:rsidRPr="00EB2BD8" w:rsidRDefault="00084F36">
      <w:pPr>
        <w:pStyle w:val="BodyText"/>
        <w:rPr>
          <w:sz w:val="20"/>
        </w:rPr>
      </w:pPr>
    </w:p>
    <w:p w14:paraId="64231446" w14:textId="77777777" w:rsidR="00084F36" w:rsidRPr="00EB2BD8" w:rsidRDefault="00084F36">
      <w:pPr>
        <w:pStyle w:val="BodyText"/>
        <w:rPr>
          <w:sz w:val="16"/>
        </w:rPr>
      </w:pPr>
    </w:p>
    <w:p w14:paraId="30CDBF9C" w14:textId="77777777" w:rsidR="00084F36" w:rsidRPr="00EB2BD8" w:rsidRDefault="00084F36">
      <w:pPr>
        <w:rPr>
          <w:sz w:val="16"/>
        </w:rPr>
        <w:sectPr w:rsidR="00084F36" w:rsidRPr="00EB2BD8" w:rsidSect="006D75B2">
          <w:footerReference w:type="default" r:id="rId116"/>
          <w:pgSz w:w="11910" w:h="16840"/>
          <w:pgMar w:top="1080" w:right="0" w:bottom="720" w:left="0" w:header="0" w:footer="528" w:gutter="0"/>
          <w:cols w:space="720"/>
        </w:sectPr>
      </w:pPr>
    </w:p>
    <w:p w14:paraId="603C9903" w14:textId="77777777" w:rsidR="00084F36" w:rsidRPr="00EB2BD8" w:rsidRDefault="00EB2BD8" w:rsidP="001975DF">
      <w:pPr>
        <w:pStyle w:val="Heading2"/>
      </w:pPr>
      <w:bookmarkStart w:id="114" w:name="_Toc150762416"/>
      <w:r w:rsidRPr="00EB2BD8">
        <w:t>Skilled</w:t>
      </w:r>
      <w:r w:rsidRPr="00EB2BD8">
        <w:rPr>
          <w:spacing w:val="-23"/>
        </w:rPr>
        <w:t xml:space="preserve"> </w:t>
      </w:r>
      <w:r w:rsidRPr="00EB2BD8">
        <w:t>and</w:t>
      </w:r>
      <w:r w:rsidRPr="00EB2BD8">
        <w:rPr>
          <w:spacing w:val="-23"/>
        </w:rPr>
        <w:t xml:space="preserve"> </w:t>
      </w:r>
      <w:r w:rsidRPr="00EB2BD8">
        <w:t xml:space="preserve">competent </w:t>
      </w:r>
      <w:r w:rsidRPr="00EB2BD8">
        <w:rPr>
          <w:spacing w:val="-2"/>
        </w:rPr>
        <w:t>practitioners</w:t>
      </w:r>
      <w:bookmarkEnd w:id="114"/>
    </w:p>
    <w:p w14:paraId="0FC70406" w14:textId="77777777" w:rsidR="00084F36" w:rsidRPr="006E2D36" w:rsidRDefault="00EB2BD8" w:rsidP="006E2D36">
      <w:pPr>
        <w:pStyle w:val="Heading3"/>
      </w:pPr>
      <w:bookmarkStart w:id="115" w:name="_Toc150762417"/>
      <w:r w:rsidRPr="006E2D36">
        <w:t>Use of behavioural insights to reduce improper service penetrations</w:t>
      </w:r>
      <w:bookmarkEnd w:id="115"/>
    </w:p>
    <w:p w14:paraId="60F21E4A" w14:textId="77777777" w:rsidR="00084F36" w:rsidRPr="00EB2BD8" w:rsidRDefault="00EB2BD8" w:rsidP="00EB2BD8">
      <w:pPr>
        <w:pStyle w:val="Heading4"/>
      </w:pPr>
      <w:r w:rsidRPr="00EB2BD8">
        <w:t>What we did and why</w:t>
      </w:r>
    </w:p>
    <w:p w14:paraId="4380DAFE" w14:textId="77777777" w:rsidR="00084F36" w:rsidRPr="00EB2BD8" w:rsidRDefault="00EB2BD8">
      <w:pPr>
        <w:pStyle w:val="BodyText"/>
        <w:spacing w:before="124" w:line="261" w:lineRule="auto"/>
        <w:ind w:left="850"/>
      </w:pPr>
      <w:r w:rsidRPr="00EB2BD8">
        <w:t>Through our proactive inspections and the Statewide Cladding Audit, the VBA identified frequently occurring service</w:t>
      </w:r>
      <w:r w:rsidRPr="00EB2BD8">
        <w:rPr>
          <w:spacing w:val="-4"/>
        </w:rPr>
        <w:t xml:space="preserve"> </w:t>
      </w:r>
      <w:r w:rsidRPr="00EB2BD8">
        <w:t>penetrations</w:t>
      </w:r>
      <w:r w:rsidRPr="00EB2BD8">
        <w:rPr>
          <w:spacing w:val="-4"/>
        </w:rPr>
        <w:t xml:space="preserve"> </w:t>
      </w:r>
      <w:r w:rsidRPr="00EB2BD8">
        <w:t>(plumbing,</w:t>
      </w:r>
      <w:r w:rsidRPr="00EB2BD8">
        <w:rPr>
          <w:spacing w:val="-4"/>
        </w:rPr>
        <w:t xml:space="preserve"> </w:t>
      </w:r>
      <w:r w:rsidRPr="00EB2BD8">
        <w:t>electrical,</w:t>
      </w:r>
      <w:r w:rsidRPr="00EB2BD8">
        <w:rPr>
          <w:spacing w:val="-4"/>
        </w:rPr>
        <w:t xml:space="preserve"> </w:t>
      </w:r>
      <w:r w:rsidRPr="00EB2BD8">
        <w:t>gas)</w:t>
      </w:r>
      <w:r w:rsidRPr="00EB2BD8">
        <w:rPr>
          <w:spacing w:val="-4"/>
        </w:rPr>
        <w:t xml:space="preserve"> </w:t>
      </w:r>
      <w:r w:rsidRPr="00EB2BD8">
        <w:t>that</w:t>
      </w:r>
      <w:r w:rsidRPr="00EB2BD8">
        <w:rPr>
          <w:spacing w:val="-4"/>
        </w:rPr>
        <w:t xml:space="preserve"> </w:t>
      </w:r>
      <w:r w:rsidRPr="00EB2BD8">
        <w:t>can compromise</w:t>
      </w:r>
      <w:r w:rsidRPr="00EB2BD8">
        <w:rPr>
          <w:spacing w:val="-12"/>
        </w:rPr>
        <w:t xml:space="preserve"> </w:t>
      </w:r>
      <w:r w:rsidRPr="00EB2BD8">
        <w:t>the</w:t>
      </w:r>
      <w:r w:rsidRPr="00EB2BD8">
        <w:rPr>
          <w:spacing w:val="-12"/>
        </w:rPr>
        <w:t xml:space="preserve"> </w:t>
      </w:r>
      <w:r w:rsidRPr="00EB2BD8">
        <w:t>fire</w:t>
      </w:r>
      <w:r w:rsidRPr="00EB2BD8">
        <w:rPr>
          <w:spacing w:val="-12"/>
        </w:rPr>
        <w:t xml:space="preserve"> </w:t>
      </w:r>
      <w:r w:rsidRPr="00EB2BD8">
        <w:t>safety</w:t>
      </w:r>
      <w:r w:rsidRPr="00EB2BD8">
        <w:rPr>
          <w:spacing w:val="-12"/>
        </w:rPr>
        <w:t xml:space="preserve"> </w:t>
      </w:r>
      <w:r w:rsidRPr="00EB2BD8">
        <w:t>of</w:t>
      </w:r>
      <w:r w:rsidRPr="00EB2BD8">
        <w:rPr>
          <w:spacing w:val="-12"/>
        </w:rPr>
        <w:t xml:space="preserve"> </w:t>
      </w:r>
      <w:r w:rsidRPr="00EB2BD8">
        <w:t>internal</w:t>
      </w:r>
      <w:r w:rsidRPr="00EB2BD8">
        <w:rPr>
          <w:spacing w:val="-12"/>
        </w:rPr>
        <w:t xml:space="preserve"> </w:t>
      </w:r>
      <w:r w:rsidRPr="00EB2BD8">
        <w:t>walls</w:t>
      </w:r>
      <w:r w:rsidRPr="00EB2BD8">
        <w:rPr>
          <w:spacing w:val="-12"/>
        </w:rPr>
        <w:t xml:space="preserve"> </w:t>
      </w:r>
      <w:r w:rsidRPr="00EB2BD8">
        <w:t>in</w:t>
      </w:r>
      <w:r w:rsidRPr="00EB2BD8">
        <w:rPr>
          <w:spacing w:val="-12"/>
        </w:rPr>
        <w:t xml:space="preserve"> </w:t>
      </w:r>
      <w:r w:rsidRPr="00EB2BD8">
        <w:t>Class</w:t>
      </w:r>
      <w:r w:rsidRPr="00EB2BD8">
        <w:rPr>
          <w:spacing w:val="-12"/>
        </w:rPr>
        <w:t xml:space="preserve"> </w:t>
      </w:r>
      <w:r w:rsidRPr="00EB2BD8">
        <w:t>2</w:t>
      </w:r>
      <w:r w:rsidRPr="00EB2BD8">
        <w:rPr>
          <w:spacing w:val="-12"/>
        </w:rPr>
        <w:t xml:space="preserve"> </w:t>
      </w:r>
      <w:r w:rsidRPr="00EB2BD8">
        <w:t>to 9</w:t>
      </w:r>
      <w:r w:rsidRPr="00EB2BD8">
        <w:rPr>
          <w:spacing w:val="-6"/>
        </w:rPr>
        <w:t xml:space="preserve"> </w:t>
      </w:r>
      <w:r w:rsidRPr="00EB2BD8">
        <w:t>buildings.</w:t>
      </w:r>
    </w:p>
    <w:p w14:paraId="415E2182" w14:textId="77777777" w:rsidR="00084F36" w:rsidRPr="00EB2BD8" w:rsidRDefault="00EB2BD8">
      <w:pPr>
        <w:pStyle w:val="BodyText"/>
        <w:spacing w:before="108" w:line="261" w:lineRule="auto"/>
        <w:ind w:left="850"/>
      </w:pPr>
      <w:r w:rsidRPr="00EB2BD8">
        <w:t>In</w:t>
      </w:r>
      <w:r w:rsidRPr="00EB2BD8">
        <w:rPr>
          <w:spacing w:val="-9"/>
        </w:rPr>
        <w:t xml:space="preserve"> </w:t>
      </w:r>
      <w:r w:rsidRPr="00EB2BD8">
        <w:t>the</w:t>
      </w:r>
      <w:r w:rsidRPr="00EB2BD8">
        <w:rPr>
          <w:spacing w:val="-9"/>
        </w:rPr>
        <w:t xml:space="preserve"> </w:t>
      </w:r>
      <w:r w:rsidRPr="00EB2BD8">
        <w:t>event</w:t>
      </w:r>
      <w:r w:rsidRPr="00EB2BD8">
        <w:rPr>
          <w:spacing w:val="-9"/>
        </w:rPr>
        <w:t xml:space="preserve"> </w:t>
      </w:r>
      <w:r w:rsidRPr="00EB2BD8">
        <w:t>of</w:t>
      </w:r>
      <w:r w:rsidRPr="00EB2BD8">
        <w:rPr>
          <w:spacing w:val="-9"/>
        </w:rPr>
        <w:t xml:space="preserve"> </w:t>
      </w:r>
      <w:r w:rsidRPr="00EB2BD8">
        <w:t>a</w:t>
      </w:r>
      <w:r w:rsidRPr="00EB2BD8">
        <w:rPr>
          <w:spacing w:val="-9"/>
        </w:rPr>
        <w:t xml:space="preserve"> </w:t>
      </w:r>
      <w:r w:rsidRPr="00EB2BD8">
        <w:t>fire,</w:t>
      </w:r>
      <w:r w:rsidRPr="00EB2BD8">
        <w:rPr>
          <w:spacing w:val="-9"/>
        </w:rPr>
        <w:t xml:space="preserve"> </w:t>
      </w:r>
      <w:r w:rsidRPr="00EB2BD8">
        <w:t>a</w:t>
      </w:r>
      <w:r w:rsidRPr="00EB2BD8">
        <w:rPr>
          <w:spacing w:val="-9"/>
        </w:rPr>
        <w:t xml:space="preserve"> </w:t>
      </w:r>
      <w:r w:rsidRPr="00EB2BD8">
        <w:t>compliant</w:t>
      </w:r>
      <w:r w:rsidRPr="00EB2BD8">
        <w:rPr>
          <w:spacing w:val="-9"/>
        </w:rPr>
        <w:t xml:space="preserve"> </w:t>
      </w:r>
      <w:r w:rsidRPr="00EB2BD8">
        <w:t>fire-rated</w:t>
      </w:r>
      <w:r w:rsidRPr="00EB2BD8">
        <w:rPr>
          <w:spacing w:val="-9"/>
        </w:rPr>
        <w:t xml:space="preserve"> </w:t>
      </w:r>
      <w:r w:rsidRPr="00EB2BD8">
        <w:t>wall</w:t>
      </w:r>
      <w:r w:rsidRPr="00EB2BD8">
        <w:rPr>
          <w:spacing w:val="-9"/>
        </w:rPr>
        <w:t xml:space="preserve"> </w:t>
      </w:r>
      <w:r w:rsidRPr="00EB2BD8">
        <w:t xml:space="preserve">should </w:t>
      </w:r>
      <w:r w:rsidRPr="00EB2BD8">
        <w:rPr>
          <w:w w:val="105"/>
        </w:rPr>
        <w:t>contain</w:t>
      </w:r>
      <w:r w:rsidRPr="00EB2BD8">
        <w:rPr>
          <w:spacing w:val="-8"/>
          <w:w w:val="105"/>
        </w:rPr>
        <w:t xml:space="preserve"> </w:t>
      </w:r>
      <w:r w:rsidRPr="00EB2BD8">
        <w:rPr>
          <w:w w:val="105"/>
        </w:rPr>
        <w:t>the</w:t>
      </w:r>
      <w:r w:rsidRPr="00EB2BD8">
        <w:rPr>
          <w:spacing w:val="-8"/>
          <w:w w:val="105"/>
        </w:rPr>
        <w:t xml:space="preserve"> </w:t>
      </w:r>
      <w:r w:rsidRPr="00EB2BD8">
        <w:rPr>
          <w:w w:val="105"/>
        </w:rPr>
        <w:t>fire</w:t>
      </w:r>
      <w:r w:rsidRPr="00EB2BD8">
        <w:rPr>
          <w:spacing w:val="-8"/>
          <w:w w:val="105"/>
        </w:rPr>
        <w:t xml:space="preserve"> </w:t>
      </w:r>
      <w:r w:rsidRPr="00EB2BD8">
        <w:rPr>
          <w:w w:val="105"/>
        </w:rPr>
        <w:t>to</w:t>
      </w:r>
      <w:r w:rsidRPr="00EB2BD8">
        <w:rPr>
          <w:spacing w:val="-8"/>
          <w:w w:val="105"/>
        </w:rPr>
        <w:t xml:space="preserve"> </w:t>
      </w:r>
      <w:r w:rsidRPr="00EB2BD8">
        <w:rPr>
          <w:w w:val="105"/>
        </w:rPr>
        <w:t>a</w:t>
      </w:r>
      <w:r w:rsidRPr="00EB2BD8">
        <w:rPr>
          <w:spacing w:val="-8"/>
          <w:w w:val="105"/>
        </w:rPr>
        <w:t xml:space="preserve"> </w:t>
      </w:r>
      <w:r w:rsidRPr="00EB2BD8">
        <w:rPr>
          <w:w w:val="105"/>
        </w:rPr>
        <w:t>particular</w:t>
      </w:r>
      <w:r w:rsidRPr="00EB2BD8">
        <w:rPr>
          <w:spacing w:val="-8"/>
          <w:w w:val="105"/>
        </w:rPr>
        <w:t xml:space="preserve"> </w:t>
      </w:r>
      <w:r w:rsidRPr="00EB2BD8">
        <w:rPr>
          <w:w w:val="105"/>
        </w:rPr>
        <w:t>area</w:t>
      </w:r>
      <w:r w:rsidRPr="00EB2BD8">
        <w:rPr>
          <w:spacing w:val="-8"/>
          <w:w w:val="105"/>
        </w:rPr>
        <w:t xml:space="preserve"> </w:t>
      </w:r>
      <w:r w:rsidRPr="00EB2BD8">
        <w:rPr>
          <w:w w:val="105"/>
        </w:rPr>
        <w:t>of</w:t>
      </w:r>
      <w:r w:rsidRPr="00EB2BD8">
        <w:rPr>
          <w:spacing w:val="-8"/>
          <w:w w:val="105"/>
        </w:rPr>
        <w:t xml:space="preserve"> </w:t>
      </w:r>
      <w:r w:rsidRPr="00EB2BD8">
        <w:rPr>
          <w:w w:val="105"/>
        </w:rPr>
        <w:t>a</w:t>
      </w:r>
      <w:r w:rsidRPr="00EB2BD8">
        <w:rPr>
          <w:spacing w:val="-8"/>
          <w:w w:val="105"/>
        </w:rPr>
        <w:t xml:space="preserve"> </w:t>
      </w:r>
      <w:r w:rsidRPr="00EB2BD8">
        <w:rPr>
          <w:w w:val="105"/>
        </w:rPr>
        <w:t>building</w:t>
      </w:r>
      <w:r w:rsidRPr="00EB2BD8">
        <w:rPr>
          <w:spacing w:val="-8"/>
          <w:w w:val="105"/>
        </w:rPr>
        <w:t xml:space="preserve"> </w:t>
      </w:r>
      <w:r w:rsidRPr="00EB2BD8">
        <w:rPr>
          <w:w w:val="105"/>
        </w:rPr>
        <w:t>for</w:t>
      </w:r>
    </w:p>
    <w:p w14:paraId="53384CE5" w14:textId="77777777" w:rsidR="00084F36" w:rsidRPr="00EB2BD8" w:rsidRDefault="00EB2BD8">
      <w:pPr>
        <w:pStyle w:val="BodyText"/>
        <w:spacing w:line="261" w:lineRule="auto"/>
        <w:ind w:left="850"/>
      </w:pPr>
      <w:r w:rsidRPr="00EB2BD8">
        <w:t>a specified time period. A service penetration occurs when a service such as cabling, conduit or plumbing passes</w:t>
      </w:r>
      <w:r w:rsidRPr="00EB2BD8">
        <w:rPr>
          <w:spacing w:val="-8"/>
        </w:rPr>
        <w:t xml:space="preserve"> </w:t>
      </w:r>
      <w:r w:rsidRPr="00EB2BD8">
        <w:t>through</w:t>
      </w:r>
      <w:r w:rsidRPr="00EB2BD8">
        <w:rPr>
          <w:spacing w:val="-8"/>
        </w:rPr>
        <w:t xml:space="preserve"> </w:t>
      </w:r>
      <w:r w:rsidRPr="00EB2BD8">
        <w:t>a</w:t>
      </w:r>
      <w:r w:rsidRPr="00EB2BD8">
        <w:rPr>
          <w:spacing w:val="-8"/>
        </w:rPr>
        <w:t xml:space="preserve"> </w:t>
      </w:r>
      <w:r w:rsidRPr="00EB2BD8">
        <w:t>wall.</w:t>
      </w:r>
      <w:r w:rsidRPr="00EB2BD8">
        <w:rPr>
          <w:spacing w:val="-8"/>
        </w:rPr>
        <w:t xml:space="preserve"> </w:t>
      </w:r>
      <w:r w:rsidRPr="00EB2BD8">
        <w:t>An</w:t>
      </w:r>
      <w:r w:rsidRPr="00EB2BD8">
        <w:rPr>
          <w:spacing w:val="-8"/>
        </w:rPr>
        <w:t xml:space="preserve"> </w:t>
      </w:r>
      <w:r w:rsidRPr="00EB2BD8">
        <w:t>improper</w:t>
      </w:r>
      <w:r w:rsidRPr="00EB2BD8">
        <w:rPr>
          <w:spacing w:val="-8"/>
        </w:rPr>
        <w:t xml:space="preserve"> </w:t>
      </w:r>
      <w:r w:rsidRPr="00EB2BD8">
        <w:t>service</w:t>
      </w:r>
      <w:r w:rsidRPr="00EB2BD8">
        <w:rPr>
          <w:spacing w:val="-8"/>
        </w:rPr>
        <w:t xml:space="preserve"> </w:t>
      </w:r>
      <w:r w:rsidRPr="00EB2BD8">
        <w:t>penetration occurs when a fire or smoke wall is penetrated with a service but is not properly sealed. The Building Code</w:t>
      </w:r>
    </w:p>
    <w:p w14:paraId="31EAD0C6" w14:textId="77777777" w:rsidR="00084F36" w:rsidRPr="00EB2BD8" w:rsidRDefault="00EB2BD8">
      <w:pPr>
        <w:pStyle w:val="BodyText"/>
        <w:spacing w:line="261" w:lineRule="auto"/>
        <w:ind w:left="850"/>
      </w:pPr>
      <w:r w:rsidRPr="00EB2BD8">
        <w:t>of</w:t>
      </w:r>
      <w:r w:rsidRPr="00EB2BD8">
        <w:rPr>
          <w:spacing w:val="-8"/>
        </w:rPr>
        <w:t xml:space="preserve"> </w:t>
      </w:r>
      <w:r w:rsidRPr="00EB2BD8">
        <w:t>Australia</w:t>
      </w:r>
      <w:r w:rsidRPr="00EB2BD8">
        <w:rPr>
          <w:spacing w:val="-8"/>
        </w:rPr>
        <w:t xml:space="preserve"> </w:t>
      </w:r>
      <w:r w:rsidRPr="00EB2BD8">
        <w:t>sets</w:t>
      </w:r>
      <w:r w:rsidRPr="00EB2BD8">
        <w:rPr>
          <w:spacing w:val="-8"/>
        </w:rPr>
        <w:t xml:space="preserve"> </w:t>
      </w:r>
      <w:r w:rsidRPr="00EB2BD8">
        <w:t>out</w:t>
      </w:r>
      <w:r w:rsidRPr="00EB2BD8">
        <w:rPr>
          <w:spacing w:val="-8"/>
        </w:rPr>
        <w:t xml:space="preserve"> </w:t>
      </w:r>
      <w:r w:rsidRPr="00EB2BD8">
        <w:t>minimum</w:t>
      </w:r>
      <w:r w:rsidRPr="00EB2BD8">
        <w:rPr>
          <w:spacing w:val="-8"/>
        </w:rPr>
        <w:t xml:space="preserve"> </w:t>
      </w:r>
      <w:r w:rsidRPr="00EB2BD8">
        <w:t>standards</w:t>
      </w:r>
      <w:r w:rsidRPr="00EB2BD8">
        <w:rPr>
          <w:spacing w:val="-8"/>
        </w:rPr>
        <w:t xml:space="preserve"> </w:t>
      </w:r>
      <w:r w:rsidRPr="00EB2BD8">
        <w:t>to</w:t>
      </w:r>
      <w:r w:rsidRPr="00EB2BD8">
        <w:rPr>
          <w:spacing w:val="-8"/>
        </w:rPr>
        <w:t xml:space="preserve"> </w:t>
      </w:r>
      <w:r w:rsidRPr="00EB2BD8">
        <w:t>reduce</w:t>
      </w:r>
      <w:r w:rsidRPr="00EB2BD8">
        <w:rPr>
          <w:spacing w:val="-8"/>
        </w:rPr>
        <w:t xml:space="preserve"> </w:t>
      </w:r>
      <w:r w:rsidRPr="00EB2BD8">
        <w:t>the impact of service penetrations.</w:t>
      </w:r>
    </w:p>
    <w:p w14:paraId="1857FEC5" w14:textId="77777777" w:rsidR="00084F36" w:rsidRPr="00EB2BD8" w:rsidRDefault="00EB2BD8">
      <w:pPr>
        <w:pStyle w:val="BodyText"/>
        <w:spacing w:before="104" w:line="261" w:lineRule="auto"/>
        <w:ind w:left="850" w:right="107"/>
      </w:pPr>
      <w:r w:rsidRPr="00EB2BD8">
        <w:t>An improper service penetration of a fire-rated wall can</w:t>
      </w:r>
      <w:r w:rsidRPr="00EB2BD8">
        <w:rPr>
          <w:spacing w:val="19"/>
        </w:rPr>
        <w:t xml:space="preserve"> </w:t>
      </w:r>
      <w:r w:rsidRPr="00EB2BD8">
        <w:t>create</w:t>
      </w:r>
      <w:r w:rsidRPr="00EB2BD8">
        <w:rPr>
          <w:spacing w:val="19"/>
        </w:rPr>
        <w:t xml:space="preserve"> </w:t>
      </w:r>
      <w:r w:rsidRPr="00EB2BD8">
        <w:t>a</w:t>
      </w:r>
      <w:r w:rsidRPr="00EB2BD8">
        <w:rPr>
          <w:spacing w:val="19"/>
        </w:rPr>
        <w:t xml:space="preserve"> </w:t>
      </w:r>
      <w:r w:rsidRPr="00EB2BD8">
        <w:t>weak</w:t>
      </w:r>
      <w:r w:rsidRPr="00EB2BD8">
        <w:rPr>
          <w:spacing w:val="19"/>
        </w:rPr>
        <w:t xml:space="preserve"> </w:t>
      </w:r>
      <w:r w:rsidRPr="00EB2BD8">
        <w:t>point</w:t>
      </w:r>
      <w:r w:rsidRPr="00EB2BD8">
        <w:rPr>
          <w:spacing w:val="19"/>
        </w:rPr>
        <w:t xml:space="preserve"> </w:t>
      </w:r>
      <w:r w:rsidRPr="00EB2BD8">
        <w:t>in</w:t>
      </w:r>
      <w:r w:rsidRPr="00EB2BD8">
        <w:rPr>
          <w:spacing w:val="19"/>
        </w:rPr>
        <w:t xml:space="preserve"> </w:t>
      </w:r>
      <w:r w:rsidRPr="00EB2BD8">
        <w:t>a</w:t>
      </w:r>
      <w:r w:rsidRPr="00EB2BD8">
        <w:rPr>
          <w:spacing w:val="19"/>
        </w:rPr>
        <w:t xml:space="preserve"> </w:t>
      </w:r>
      <w:r w:rsidRPr="00EB2BD8">
        <w:t>fire-rated</w:t>
      </w:r>
      <w:r w:rsidRPr="00EB2BD8">
        <w:rPr>
          <w:spacing w:val="19"/>
        </w:rPr>
        <w:t xml:space="preserve"> </w:t>
      </w:r>
      <w:r w:rsidRPr="00EB2BD8">
        <w:t>wall,</w:t>
      </w:r>
      <w:r w:rsidRPr="00EB2BD8">
        <w:rPr>
          <w:spacing w:val="19"/>
        </w:rPr>
        <w:t xml:space="preserve"> </w:t>
      </w:r>
      <w:r w:rsidRPr="00EB2BD8">
        <w:t>which can allow fire and smoke to spread. Improper service penetrations</w:t>
      </w:r>
      <w:r w:rsidRPr="00EB2BD8">
        <w:rPr>
          <w:spacing w:val="-5"/>
        </w:rPr>
        <w:t xml:space="preserve"> </w:t>
      </w:r>
      <w:r w:rsidRPr="00EB2BD8">
        <w:t>present</w:t>
      </w:r>
      <w:r w:rsidRPr="00EB2BD8">
        <w:rPr>
          <w:spacing w:val="-5"/>
        </w:rPr>
        <w:t xml:space="preserve"> </w:t>
      </w:r>
      <w:r w:rsidRPr="00EB2BD8">
        <w:t>a</w:t>
      </w:r>
      <w:r w:rsidRPr="00EB2BD8">
        <w:rPr>
          <w:spacing w:val="-5"/>
        </w:rPr>
        <w:t xml:space="preserve"> </w:t>
      </w:r>
      <w:r w:rsidRPr="00EB2BD8">
        <w:t>risk</w:t>
      </w:r>
      <w:r w:rsidRPr="00EB2BD8">
        <w:rPr>
          <w:spacing w:val="-5"/>
        </w:rPr>
        <w:t xml:space="preserve"> </w:t>
      </w:r>
      <w:r w:rsidRPr="00EB2BD8">
        <w:t>to</w:t>
      </w:r>
      <w:r w:rsidRPr="00EB2BD8">
        <w:rPr>
          <w:spacing w:val="-5"/>
        </w:rPr>
        <w:t xml:space="preserve"> </w:t>
      </w:r>
      <w:r w:rsidRPr="00EB2BD8">
        <w:t>the</w:t>
      </w:r>
      <w:r w:rsidRPr="00EB2BD8">
        <w:rPr>
          <w:spacing w:val="-5"/>
        </w:rPr>
        <w:t xml:space="preserve"> </w:t>
      </w:r>
      <w:r w:rsidRPr="00EB2BD8">
        <w:t>health</w:t>
      </w:r>
      <w:r w:rsidRPr="00EB2BD8">
        <w:rPr>
          <w:spacing w:val="-5"/>
        </w:rPr>
        <w:t xml:space="preserve"> </w:t>
      </w:r>
      <w:r w:rsidRPr="00EB2BD8">
        <w:t>and</w:t>
      </w:r>
      <w:r w:rsidRPr="00EB2BD8">
        <w:rPr>
          <w:spacing w:val="-5"/>
        </w:rPr>
        <w:t xml:space="preserve"> </w:t>
      </w:r>
      <w:r w:rsidRPr="00EB2BD8">
        <w:t>safety</w:t>
      </w:r>
      <w:r w:rsidRPr="00EB2BD8">
        <w:rPr>
          <w:spacing w:val="-5"/>
        </w:rPr>
        <w:t xml:space="preserve"> </w:t>
      </w:r>
      <w:r w:rsidRPr="00EB2BD8">
        <w:t>of building occupants, and to the structure itself.</w:t>
      </w:r>
    </w:p>
    <w:p w14:paraId="02D57FF2" w14:textId="77777777" w:rsidR="00084F36" w:rsidRPr="00EB2BD8" w:rsidRDefault="00EB2BD8">
      <w:pPr>
        <w:pStyle w:val="BodyText"/>
        <w:spacing w:before="108" w:line="261" w:lineRule="auto"/>
        <w:ind w:left="850" w:right="357"/>
        <w:jc w:val="both"/>
      </w:pPr>
      <w:r w:rsidRPr="00EB2BD8">
        <w:t xml:space="preserve">The VBA partnered with BehaviourWorks Australia, </w:t>
      </w:r>
      <w:r w:rsidRPr="00EB2BD8">
        <w:rPr>
          <w:spacing w:val="-2"/>
          <w:w w:val="105"/>
        </w:rPr>
        <w:t>a</w:t>
      </w:r>
      <w:r w:rsidRPr="00EB2BD8">
        <w:rPr>
          <w:spacing w:val="-6"/>
          <w:w w:val="105"/>
        </w:rPr>
        <w:t xml:space="preserve"> </w:t>
      </w:r>
      <w:r w:rsidRPr="00EB2BD8">
        <w:rPr>
          <w:spacing w:val="-2"/>
          <w:w w:val="105"/>
        </w:rPr>
        <w:t>leading</w:t>
      </w:r>
      <w:r w:rsidRPr="00EB2BD8">
        <w:rPr>
          <w:spacing w:val="-6"/>
          <w:w w:val="105"/>
        </w:rPr>
        <w:t xml:space="preserve"> </w:t>
      </w:r>
      <w:r w:rsidRPr="00EB2BD8">
        <w:rPr>
          <w:spacing w:val="-2"/>
          <w:w w:val="105"/>
        </w:rPr>
        <w:t>behaviour</w:t>
      </w:r>
      <w:r w:rsidRPr="00EB2BD8">
        <w:rPr>
          <w:spacing w:val="-6"/>
          <w:w w:val="105"/>
        </w:rPr>
        <w:t xml:space="preserve"> </w:t>
      </w:r>
      <w:r w:rsidRPr="00EB2BD8">
        <w:rPr>
          <w:spacing w:val="-2"/>
          <w:w w:val="105"/>
        </w:rPr>
        <w:t>change</w:t>
      </w:r>
      <w:r w:rsidRPr="00EB2BD8">
        <w:rPr>
          <w:spacing w:val="-6"/>
          <w:w w:val="105"/>
        </w:rPr>
        <w:t xml:space="preserve"> </w:t>
      </w:r>
      <w:r w:rsidRPr="00EB2BD8">
        <w:rPr>
          <w:spacing w:val="-2"/>
          <w:w w:val="105"/>
        </w:rPr>
        <w:t>research</w:t>
      </w:r>
      <w:r w:rsidRPr="00EB2BD8">
        <w:rPr>
          <w:spacing w:val="-6"/>
          <w:w w:val="105"/>
        </w:rPr>
        <w:t xml:space="preserve"> </w:t>
      </w:r>
      <w:r w:rsidRPr="00EB2BD8">
        <w:rPr>
          <w:spacing w:val="-2"/>
          <w:w w:val="105"/>
        </w:rPr>
        <w:t>enterprise</w:t>
      </w:r>
      <w:r w:rsidRPr="00EB2BD8">
        <w:rPr>
          <w:spacing w:val="-6"/>
          <w:w w:val="105"/>
        </w:rPr>
        <w:t xml:space="preserve"> </w:t>
      </w:r>
      <w:r w:rsidRPr="00EB2BD8">
        <w:rPr>
          <w:spacing w:val="-2"/>
          <w:w w:val="105"/>
        </w:rPr>
        <w:t xml:space="preserve">at </w:t>
      </w:r>
      <w:r w:rsidRPr="00EB2BD8">
        <w:t>Monash</w:t>
      </w:r>
      <w:r w:rsidRPr="00EB2BD8">
        <w:rPr>
          <w:spacing w:val="-15"/>
        </w:rPr>
        <w:t xml:space="preserve"> </w:t>
      </w:r>
      <w:r w:rsidRPr="00EB2BD8">
        <w:t>University,</w:t>
      </w:r>
      <w:r w:rsidRPr="00EB2BD8">
        <w:rPr>
          <w:spacing w:val="-14"/>
        </w:rPr>
        <w:t xml:space="preserve"> </w:t>
      </w:r>
      <w:r w:rsidRPr="00EB2BD8">
        <w:t>to</w:t>
      </w:r>
      <w:r w:rsidRPr="00EB2BD8">
        <w:rPr>
          <w:spacing w:val="-14"/>
        </w:rPr>
        <w:t xml:space="preserve"> </w:t>
      </w:r>
      <w:r w:rsidRPr="00EB2BD8">
        <w:t>find</w:t>
      </w:r>
      <w:r w:rsidRPr="00EB2BD8">
        <w:rPr>
          <w:spacing w:val="-14"/>
        </w:rPr>
        <w:t xml:space="preserve"> </w:t>
      </w:r>
      <w:r w:rsidRPr="00EB2BD8">
        <w:t>out</w:t>
      </w:r>
      <w:r w:rsidRPr="00EB2BD8">
        <w:rPr>
          <w:spacing w:val="-15"/>
        </w:rPr>
        <w:t xml:space="preserve"> </w:t>
      </w:r>
      <w:r w:rsidRPr="00EB2BD8">
        <w:t>how</w:t>
      </w:r>
      <w:r w:rsidRPr="00EB2BD8">
        <w:rPr>
          <w:spacing w:val="-14"/>
        </w:rPr>
        <w:t xml:space="preserve"> </w:t>
      </w:r>
      <w:r w:rsidRPr="00EB2BD8">
        <w:t>improper</w:t>
      </w:r>
      <w:r w:rsidRPr="00EB2BD8">
        <w:rPr>
          <w:spacing w:val="-14"/>
        </w:rPr>
        <w:t xml:space="preserve"> </w:t>
      </w:r>
      <w:r w:rsidRPr="00EB2BD8">
        <w:t>service penetration</w:t>
      </w:r>
      <w:r w:rsidRPr="00EB2BD8">
        <w:rPr>
          <w:spacing w:val="-3"/>
        </w:rPr>
        <w:t xml:space="preserve"> </w:t>
      </w:r>
      <w:r w:rsidRPr="00EB2BD8">
        <w:t>of</w:t>
      </w:r>
      <w:r w:rsidRPr="00EB2BD8">
        <w:rPr>
          <w:spacing w:val="-3"/>
        </w:rPr>
        <w:t xml:space="preserve"> </w:t>
      </w:r>
      <w:r w:rsidRPr="00EB2BD8">
        <w:t>fire</w:t>
      </w:r>
      <w:r w:rsidRPr="00EB2BD8">
        <w:rPr>
          <w:spacing w:val="-3"/>
        </w:rPr>
        <w:t xml:space="preserve"> </w:t>
      </w:r>
      <w:r w:rsidRPr="00EB2BD8">
        <w:t>and</w:t>
      </w:r>
      <w:r w:rsidRPr="00EB2BD8">
        <w:rPr>
          <w:spacing w:val="-3"/>
        </w:rPr>
        <w:t xml:space="preserve"> </w:t>
      </w:r>
      <w:r w:rsidRPr="00EB2BD8">
        <w:t>smoke</w:t>
      </w:r>
      <w:r w:rsidRPr="00EB2BD8">
        <w:rPr>
          <w:spacing w:val="-3"/>
        </w:rPr>
        <w:t xml:space="preserve"> </w:t>
      </w:r>
      <w:r w:rsidRPr="00EB2BD8">
        <w:t>walls</w:t>
      </w:r>
      <w:r w:rsidRPr="00EB2BD8">
        <w:rPr>
          <w:spacing w:val="-3"/>
        </w:rPr>
        <w:t xml:space="preserve"> </w:t>
      </w:r>
      <w:r w:rsidRPr="00EB2BD8">
        <w:t>can</w:t>
      </w:r>
      <w:r w:rsidRPr="00EB2BD8">
        <w:rPr>
          <w:spacing w:val="-3"/>
        </w:rPr>
        <w:t xml:space="preserve"> </w:t>
      </w:r>
      <w:r w:rsidRPr="00EB2BD8">
        <w:t>be</w:t>
      </w:r>
      <w:r w:rsidRPr="00EB2BD8">
        <w:rPr>
          <w:spacing w:val="-3"/>
        </w:rPr>
        <w:t xml:space="preserve"> </w:t>
      </w:r>
      <w:r w:rsidRPr="00EB2BD8">
        <w:t xml:space="preserve">reduced </w:t>
      </w:r>
      <w:r w:rsidRPr="00EB2BD8">
        <w:rPr>
          <w:w w:val="105"/>
        </w:rPr>
        <w:t>through behavioural insights.</w:t>
      </w:r>
    </w:p>
    <w:p w14:paraId="539A191D" w14:textId="77777777" w:rsidR="00084F36" w:rsidRPr="00EB2BD8" w:rsidRDefault="00EB2BD8" w:rsidP="00EB2BD8">
      <w:pPr>
        <w:pStyle w:val="Heading4"/>
      </w:pPr>
      <w:r w:rsidRPr="00EB2BD8">
        <w:t>What</w:t>
      </w:r>
      <w:r w:rsidRPr="00EB2BD8">
        <w:rPr>
          <w:spacing w:val="-18"/>
        </w:rPr>
        <w:t xml:space="preserve"> </w:t>
      </w:r>
      <w:r w:rsidRPr="00EB2BD8">
        <w:t>we</w:t>
      </w:r>
      <w:r w:rsidRPr="00EB2BD8">
        <w:rPr>
          <w:spacing w:val="-17"/>
        </w:rPr>
        <w:t xml:space="preserve"> </w:t>
      </w:r>
      <w:r w:rsidRPr="00EB2BD8">
        <w:t>found</w:t>
      </w:r>
    </w:p>
    <w:p w14:paraId="59C26233" w14:textId="77777777" w:rsidR="00084F36" w:rsidRPr="00EB2BD8" w:rsidRDefault="00EB2BD8">
      <w:pPr>
        <w:pStyle w:val="BodyText"/>
        <w:spacing w:before="124" w:line="261" w:lineRule="auto"/>
        <w:ind w:left="850" w:right="107"/>
      </w:pPr>
      <w:r w:rsidRPr="00EB2BD8">
        <w:t xml:space="preserve">The research analysed what drives these behaviours and the types of interventions that could make a </w:t>
      </w:r>
      <w:r w:rsidRPr="00EB2BD8">
        <w:rPr>
          <w:spacing w:val="-2"/>
        </w:rPr>
        <w:t>difference.</w:t>
      </w:r>
    </w:p>
    <w:p w14:paraId="113E2841" w14:textId="77777777" w:rsidR="00084F36" w:rsidRPr="00EB2BD8" w:rsidRDefault="00EB2BD8">
      <w:pPr>
        <w:pStyle w:val="BodyText"/>
        <w:spacing w:before="110" w:line="261" w:lineRule="auto"/>
        <w:ind w:left="850"/>
      </w:pPr>
      <w:r w:rsidRPr="00EB2BD8">
        <w:t>The VBA engaged extensively with a wide range of stakeholders to create a shared understanding of the behaviours that lead</w:t>
      </w:r>
      <w:r w:rsidRPr="00EB2BD8">
        <w:rPr>
          <w:spacing w:val="1"/>
        </w:rPr>
        <w:t xml:space="preserve"> </w:t>
      </w:r>
      <w:r w:rsidRPr="00EB2BD8">
        <w:t>to improper service</w:t>
      </w:r>
      <w:r w:rsidRPr="00EB2BD8">
        <w:rPr>
          <w:spacing w:val="1"/>
        </w:rPr>
        <w:t xml:space="preserve"> </w:t>
      </w:r>
      <w:r w:rsidRPr="00EB2BD8">
        <w:rPr>
          <w:spacing w:val="-2"/>
        </w:rPr>
        <w:t>penetrations.</w:t>
      </w:r>
    </w:p>
    <w:p w14:paraId="189B0468" w14:textId="77777777" w:rsidR="00084F36" w:rsidRPr="00EB2BD8" w:rsidRDefault="00EB2BD8">
      <w:pPr>
        <w:pStyle w:val="BodyText"/>
        <w:spacing w:before="111" w:line="261" w:lineRule="auto"/>
        <w:ind w:left="850"/>
      </w:pPr>
      <w:r w:rsidRPr="00EB2BD8">
        <w:rPr>
          <w:w w:val="105"/>
        </w:rPr>
        <w:t>Through</w:t>
      </w:r>
      <w:r w:rsidRPr="00EB2BD8">
        <w:rPr>
          <w:spacing w:val="-11"/>
          <w:w w:val="105"/>
        </w:rPr>
        <w:t xml:space="preserve"> </w:t>
      </w:r>
      <w:r w:rsidRPr="00EB2BD8">
        <w:rPr>
          <w:w w:val="105"/>
        </w:rPr>
        <w:t>a</w:t>
      </w:r>
      <w:r w:rsidRPr="00EB2BD8">
        <w:rPr>
          <w:spacing w:val="-11"/>
          <w:w w:val="105"/>
        </w:rPr>
        <w:t xml:space="preserve"> </w:t>
      </w:r>
      <w:r w:rsidRPr="00EB2BD8">
        <w:rPr>
          <w:w w:val="105"/>
        </w:rPr>
        <w:t>literature</w:t>
      </w:r>
      <w:r w:rsidRPr="00EB2BD8">
        <w:rPr>
          <w:spacing w:val="-11"/>
          <w:w w:val="105"/>
        </w:rPr>
        <w:t xml:space="preserve"> </w:t>
      </w:r>
      <w:r w:rsidRPr="00EB2BD8">
        <w:rPr>
          <w:w w:val="105"/>
        </w:rPr>
        <w:t>review</w:t>
      </w:r>
      <w:r w:rsidRPr="00EB2BD8">
        <w:rPr>
          <w:spacing w:val="-11"/>
          <w:w w:val="105"/>
        </w:rPr>
        <w:t xml:space="preserve"> </w:t>
      </w:r>
      <w:r w:rsidRPr="00EB2BD8">
        <w:rPr>
          <w:w w:val="105"/>
        </w:rPr>
        <w:t>and</w:t>
      </w:r>
      <w:r w:rsidRPr="00EB2BD8">
        <w:rPr>
          <w:spacing w:val="-11"/>
          <w:w w:val="105"/>
        </w:rPr>
        <w:t xml:space="preserve"> </w:t>
      </w:r>
      <w:r w:rsidRPr="00EB2BD8">
        <w:rPr>
          <w:w w:val="105"/>
        </w:rPr>
        <w:t>dialogues</w:t>
      </w:r>
      <w:r w:rsidRPr="00EB2BD8">
        <w:rPr>
          <w:spacing w:val="-11"/>
          <w:w w:val="105"/>
        </w:rPr>
        <w:t xml:space="preserve"> </w:t>
      </w:r>
      <w:r w:rsidRPr="00EB2BD8">
        <w:rPr>
          <w:w w:val="105"/>
        </w:rPr>
        <w:t xml:space="preserve">with </w:t>
      </w:r>
      <w:r w:rsidRPr="00EB2BD8">
        <w:t>stakeholders</w:t>
      </w:r>
      <w:r w:rsidRPr="00EB2BD8">
        <w:rPr>
          <w:spacing w:val="-3"/>
        </w:rPr>
        <w:t xml:space="preserve"> </w:t>
      </w:r>
      <w:r w:rsidRPr="00EB2BD8">
        <w:t>and</w:t>
      </w:r>
      <w:r w:rsidRPr="00EB2BD8">
        <w:rPr>
          <w:spacing w:val="-3"/>
        </w:rPr>
        <w:t xml:space="preserve"> </w:t>
      </w:r>
      <w:r w:rsidRPr="00EB2BD8">
        <w:t>the</w:t>
      </w:r>
      <w:r w:rsidRPr="00EB2BD8">
        <w:rPr>
          <w:spacing w:val="-3"/>
        </w:rPr>
        <w:t xml:space="preserve"> </w:t>
      </w:r>
      <w:r w:rsidRPr="00EB2BD8">
        <w:t>VBA,</w:t>
      </w:r>
      <w:r w:rsidRPr="00EB2BD8">
        <w:rPr>
          <w:spacing w:val="-3"/>
        </w:rPr>
        <w:t xml:space="preserve"> </w:t>
      </w:r>
      <w:hyperlink r:id="rId117">
        <w:r w:rsidRPr="00EB2BD8">
          <w:t>BehaviourWorks</w:t>
        </w:r>
        <w:r w:rsidRPr="00EB2BD8">
          <w:rPr>
            <w:spacing w:val="-3"/>
          </w:rPr>
          <w:t xml:space="preserve"> </w:t>
        </w:r>
        <w:r w:rsidRPr="00EB2BD8">
          <w:t>Australia</w:t>
        </w:r>
      </w:hyperlink>
      <w:r w:rsidRPr="00EB2BD8">
        <w:t xml:space="preserve"> </w:t>
      </w:r>
      <w:r w:rsidRPr="00EB2BD8">
        <w:rPr>
          <w:w w:val="105"/>
        </w:rPr>
        <w:t>identified three key themes:</w:t>
      </w:r>
    </w:p>
    <w:p w14:paraId="0E04C581" w14:textId="77777777" w:rsidR="00084F36" w:rsidRPr="00EB2BD8" w:rsidRDefault="00EB2BD8">
      <w:pPr>
        <w:pStyle w:val="ListParagraph"/>
        <w:numPr>
          <w:ilvl w:val="0"/>
          <w:numId w:val="63"/>
        </w:numPr>
        <w:tabs>
          <w:tab w:val="left" w:pos="1133"/>
        </w:tabs>
        <w:spacing w:before="86" w:line="261" w:lineRule="auto"/>
        <w:ind w:right="179"/>
        <w:rPr>
          <w:sz w:val="18"/>
        </w:rPr>
      </w:pPr>
      <w:r w:rsidRPr="00EB2BD8">
        <w:rPr>
          <w:sz w:val="18"/>
        </w:rPr>
        <w:t>The</w:t>
      </w:r>
      <w:r w:rsidRPr="00EB2BD8">
        <w:rPr>
          <w:spacing w:val="-9"/>
          <w:sz w:val="18"/>
        </w:rPr>
        <w:t xml:space="preserve"> </w:t>
      </w:r>
      <w:r w:rsidRPr="00EB2BD8">
        <w:rPr>
          <w:sz w:val="18"/>
        </w:rPr>
        <w:t>‘design</w:t>
      </w:r>
      <w:r w:rsidRPr="00EB2BD8">
        <w:rPr>
          <w:spacing w:val="-9"/>
          <w:sz w:val="18"/>
        </w:rPr>
        <w:t xml:space="preserve"> </w:t>
      </w:r>
      <w:r w:rsidRPr="00EB2BD8">
        <w:rPr>
          <w:sz w:val="18"/>
        </w:rPr>
        <w:t>and</w:t>
      </w:r>
      <w:r w:rsidRPr="00EB2BD8">
        <w:rPr>
          <w:spacing w:val="-9"/>
          <w:sz w:val="18"/>
        </w:rPr>
        <w:t xml:space="preserve"> </w:t>
      </w:r>
      <w:r w:rsidRPr="00EB2BD8">
        <w:rPr>
          <w:sz w:val="18"/>
        </w:rPr>
        <w:t>construct’</w:t>
      </w:r>
      <w:r w:rsidRPr="00EB2BD8">
        <w:rPr>
          <w:spacing w:val="-9"/>
          <w:sz w:val="18"/>
        </w:rPr>
        <w:t xml:space="preserve"> </w:t>
      </w:r>
      <w:r w:rsidRPr="00EB2BD8">
        <w:rPr>
          <w:sz w:val="18"/>
        </w:rPr>
        <w:t>model</w:t>
      </w:r>
      <w:r w:rsidRPr="00EB2BD8">
        <w:rPr>
          <w:spacing w:val="-9"/>
          <w:sz w:val="18"/>
        </w:rPr>
        <w:t xml:space="preserve"> </w:t>
      </w:r>
      <w:r w:rsidRPr="00EB2BD8">
        <w:rPr>
          <w:sz w:val="18"/>
        </w:rPr>
        <w:t>has</w:t>
      </w:r>
      <w:r w:rsidRPr="00EB2BD8">
        <w:rPr>
          <w:spacing w:val="-9"/>
          <w:sz w:val="18"/>
        </w:rPr>
        <w:t xml:space="preserve"> </w:t>
      </w:r>
      <w:r w:rsidRPr="00EB2BD8">
        <w:rPr>
          <w:sz w:val="18"/>
        </w:rPr>
        <w:t>implications for</w:t>
      </w:r>
      <w:r w:rsidRPr="00EB2BD8">
        <w:rPr>
          <w:spacing w:val="-6"/>
          <w:sz w:val="18"/>
        </w:rPr>
        <w:t xml:space="preserve"> </w:t>
      </w:r>
      <w:r w:rsidRPr="00EB2BD8">
        <w:rPr>
          <w:sz w:val="18"/>
        </w:rPr>
        <w:t>behaviour.</w:t>
      </w:r>
    </w:p>
    <w:p w14:paraId="6819906C" w14:textId="77777777" w:rsidR="00084F36" w:rsidRPr="00EB2BD8" w:rsidRDefault="00EB2BD8">
      <w:pPr>
        <w:pStyle w:val="ListParagraph"/>
        <w:numPr>
          <w:ilvl w:val="0"/>
          <w:numId w:val="63"/>
        </w:numPr>
        <w:tabs>
          <w:tab w:val="left" w:pos="1133"/>
        </w:tabs>
        <w:spacing w:before="68"/>
        <w:ind w:hanging="283"/>
        <w:rPr>
          <w:sz w:val="18"/>
        </w:rPr>
      </w:pPr>
      <w:r w:rsidRPr="00EB2BD8">
        <w:rPr>
          <w:sz w:val="18"/>
        </w:rPr>
        <w:t>Ambiguous</w:t>
      </w:r>
      <w:r w:rsidRPr="00EB2BD8">
        <w:rPr>
          <w:spacing w:val="-5"/>
          <w:sz w:val="18"/>
        </w:rPr>
        <w:t xml:space="preserve"> </w:t>
      </w:r>
      <w:r w:rsidRPr="00EB2BD8">
        <w:rPr>
          <w:sz w:val="18"/>
        </w:rPr>
        <w:t>regulation</w:t>
      </w:r>
      <w:r w:rsidRPr="00EB2BD8">
        <w:rPr>
          <w:spacing w:val="-4"/>
          <w:sz w:val="18"/>
        </w:rPr>
        <w:t xml:space="preserve"> </w:t>
      </w:r>
      <w:r w:rsidRPr="00EB2BD8">
        <w:rPr>
          <w:sz w:val="18"/>
        </w:rPr>
        <w:t>and</w:t>
      </w:r>
      <w:r w:rsidRPr="00EB2BD8">
        <w:rPr>
          <w:spacing w:val="-5"/>
          <w:sz w:val="18"/>
        </w:rPr>
        <w:t xml:space="preserve"> </w:t>
      </w:r>
      <w:r w:rsidRPr="00EB2BD8">
        <w:rPr>
          <w:sz w:val="18"/>
        </w:rPr>
        <w:t>guidelines</w:t>
      </w:r>
      <w:r w:rsidRPr="00EB2BD8">
        <w:rPr>
          <w:spacing w:val="-4"/>
          <w:sz w:val="18"/>
        </w:rPr>
        <w:t xml:space="preserve"> </w:t>
      </w:r>
      <w:r w:rsidRPr="00EB2BD8">
        <w:rPr>
          <w:sz w:val="18"/>
        </w:rPr>
        <w:t>may</w:t>
      </w:r>
      <w:r w:rsidRPr="00EB2BD8">
        <w:rPr>
          <w:spacing w:val="-5"/>
          <w:sz w:val="18"/>
        </w:rPr>
        <w:t xml:space="preserve"> </w:t>
      </w:r>
      <w:r w:rsidRPr="00EB2BD8">
        <w:rPr>
          <w:spacing w:val="-2"/>
          <w:sz w:val="18"/>
        </w:rPr>
        <w:t>exist.</w:t>
      </w:r>
    </w:p>
    <w:p w14:paraId="37C65FAB" w14:textId="77777777" w:rsidR="00084F36" w:rsidRPr="00EB2BD8" w:rsidRDefault="00EB2BD8">
      <w:pPr>
        <w:pStyle w:val="ListParagraph"/>
        <w:numPr>
          <w:ilvl w:val="0"/>
          <w:numId w:val="63"/>
        </w:numPr>
        <w:tabs>
          <w:tab w:val="left" w:pos="1133"/>
        </w:tabs>
        <w:spacing w:before="88"/>
        <w:ind w:hanging="283"/>
        <w:rPr>
          <w:sz w:val="18"/>
        </w:rPr>
      </w:pPr>
      <w:r w:rsidRPr="00EB2BD8">
        <w:rPr>
          <w:sz w:val="18"/>
        </w:rPr>
        <w:t>Knowledge</w:t>
      </w:r>
      <w:r w:rsidRPr="00EB2BD8">
        <w:rPr>
          <w:spacing w:val="-1"/>
          <w:sz w:val="18"/>
        </w:rPr>
        <w:t xml:space="preserve"> </w:t>
      </w:r>
      <w:r w:rsidRPr="00EB2BD8">
        <w:rPr>
          <w:sz w:val="18"/>
        </w:rPr>
        <w:t>gaps may drive</w:t>
      </w:r>
      <w:r w:rsidRPr="00EB2BD8">
        <w:rPr>
          <w:spacing w:val="-1"/>
          <w:sz w:val="18"/>
        </w:rPr>
        <w:t xml:space="preserve"> </w:t>
      </w:r>
      <w:r w:rsidRPr="00EB2BD8">
        <w:rPr>
          <w:spacing w:val="-2"/>
          <w:sz w:val="18"/>
        </w:rPr>
        <w:t>behaviour.</w:t>
      </w:r>
    </w:p>
    <w:p w14:paraId="5050F431" w14:textId="77777777" w:rsidR="00084F36" w:rsidRPr="00EB2BD8" w:rsidRDefault="00EB2BD8">
      <w:pPr>
        <w:pStyle w:val="BodyText"/>
        <w:spacing w:before="132" w:line="261" w:lineRule="auto"/>
        <w:ind w:left="850" w:right="279"/>
      </w:pPr>
      <w:r w:rsidRPr="00EB2BD8">
        <w:t>Our stakeholders shared what they know about these</w:t>
      </w:r>
      <w:r w:rsidRPr="00EB2BD8">
        <w:rPr>
          <w:spacing w:val="-5"/>
        </w:rPr>
        <w:t xml:space="preserve"> </w:t>
      </w:r>
      <w:r w:rsidRPr="00EB2BD8">
        <w:t>themes</w:t>
      </w:r>
      <w:r w:rsidRPr="00EB2BD8">
        <w:rPr>
          <w:spacing w:val="-5"/>
        </w:rPr>
        <w:t xml:space="preserve"> </w:t>
      </w:r>
      <w:r w:rsidRPr="00EB2BD8">
        <w:t>and</w:t>
      </w:r>
      <w:r w:rsidRPr="00EB2BD8">
        <w:rPr>
          <w:spacing w:val="-5"/>
        </w:rPr>
        <w:t xml:space="preserve"> </w:t>
      </w:r>
      <w:r w:rsidRPr="00EB2BD8">
        <w:t>told</w:t>
      </w:r>
      <w:r w:rsidRPr="00EB2BD8">
        <w:rPr>
          <w:spacing w:val="-5"/>
        </w:rPr>
        <w:t xml:space="preserve"> </w:t>
      </w:r>
      <w:r w:rsidRPr="00EB2BD8">
        <w:t>us</w:t>
      </w:r>
      <w:r w:rsidRPr="00EB2BD8">
        <w:rPr>
          <w:spacing w:val="-5"/>
        </w:rPr>
        <w:t xml:space="preserve"> </w:t>
      </w:r>
      <w:r w:rsidRPr="00EB2BD8">
        <w:t>how</w:t>
      </w:r>
      <w:r w:rsidRPr="00EB2BD8">
        <w:rPr>
          <w:spacing w:val="-5"/>
        </w:rPr>
        <w:t xml:space="preserve"> </w:t>
      </w:r>
      <w:r w:rsidRPr="00EB2BD8">
        <w:t>we</w:t>
      </w:r>
      <w:r w:rsidRPr="00EB2BD8">
        <w:rPr>
          <w:spacing w:val="-5"/>
        </w:rPr>
        <w:t xml:space="preserve"> </w:t>
      </w:r>
      <w:r w:rsidRPr="00EB2BD8">
        <w:t>could</w:t>
      </w:r>
      <w:r w:rsidRPr="00EB2BD8">
        <w:rPr>
          <w:spacing w:val="-5"/>
        </w:rPr>
        <w:t xml:space="preserve"> </w:t>
      </w:r>
      <w:r w:rsidRPr="00EB2BD8">
        <w:t>reach</w:t>
      </w:r>
      <w:r w:rsidRPr="00EB2BD8">
        <w:rPr>
          <w:spacing w:val="-5"/>
        </w:rPr>
        <w:t xml:space="preserve"> </w:t>
      </w:r>
      <w:r w:rsidRPr="00EB2BD8">
        <w:t>target groups.</w:t>
      </w:r>
      <w:r w:rsidRPr="00EB2BD8">
        <w:rPr>
          <w:spacing w:val="-15"/>
        </w:rPr>
        <w:t xml:space="preserve"> </w:t>
      </w:r>
      <w:r w:rsidRPr="00EB2BD8">
        <w:t>They</w:t>
      </w:r>
      <w:r w:rsidRPr="00EB2BD8">
        <w:rPr>
          <w:spacing w:val="-14"/>
        </w:rPr>
        <w:t xml:space="preserve"> </w:t>
      </w:r>
      <w:r w:rsidRPr="00EB2BD8">
        <w:t>also</w:t>
      </w:r>
      <w:r w:rsidRPr="00EB2BD8">
        <w:rPr>
          <w:spacing w:val="-14"/>
        </w:rPr>
        <w:t xml:space="preserve"> </w:t>
      </w:r>
      <w:r w:rsidRPr="00EB2BD8">
        <w:t>suggested</w:t>
      </w:r>
      <w:r w:rsidRPr="00EB2BD8">
        <w:rPr>
          <w:spacing w:val="-14"/>
        </w:rPr>
        <w:t xml:space="preserve"> </w:t>
      </w:r>
      <w:r w:rsidRPr="00EB2BD8">
        <w:t>ways</w:t>
      </w:r>
      <w:r w:rsidRPr="00EB2BD8">
        <w:rPr>
          <w:spacing w:val="-15"/>
        </w:rPr>
        <w:t xml:space="preserve"> </w:t>
      </w:r>
      <w:r w:rsidRPr="00EB2BD8">
        <w:t>to</w:t>
      </w:r>
      <w:r w:rsidRPr="00EB2BD8">
        <w:rPr>
          <w:spacing w:val="-14"/>
        </w:rPr>
        <w:t xml:space="preserve"> </w:t>
      </w:r>
      <w:r w:rsidRPr="00EB2BD8">
        <w:t>promote</w:t>
      </w:r>
      <w:r w:rsidRPr="00EB2BD8">
        <w:rPr>
          <w:spacing w:val="-14"/>
        </w:rPr>
        <w:t xml:space="preserve"> </w:t>
      </w:r>
      <w:r w:rsidRPr="00EB2BD8">
        <w:t>‘good’ behaviours that will lead to correct work practices.</w:t>
      </w:r>
    </w:p>
    <w:p w14:paraId="4CB4EA2B" w14:textId="77777777" w:rsidR="00084F36" w:rsidRPr="00EB2BD8" w:rsidRDefault="00EB2BD8">
      <w:pPr>
        <w:spacing w:before="1" w:after="24"/>
        <w:rPr>
          <w:sz w:val="5"/>
        </w:rPr>
      </w:pPr>
      <w:r w:rsidRPr="00EB2BD8">
        <w:br w:type="column"/>
      </w:r>
    </w:p>
    <w:p w14:paraId="538862D0" w14:textId="77777777" w:rsidR="00084F36" w:rsidRPr="00EB2BD8" w:rsidRDefault="00EB2BD8">
      <w:pPr>
        <w:pStyle w:val="BodyText"/>
        <w:ind w:left="822"/>
        <w:rPr>
          <w:sz w:val="20"/>
        </w:rPr>
      </w:pPr>
      <w:r w:rsidRPr="00EB2BD8">
        <w:rPr>
          <w:noProof/>
          <w:sz w:val="20"/>
        </w:rPr>
        <mc:AlternateContent>
          <mc:Choice Requires="wpg">
            <w:drawing>
              <wp:inline distT="0" distB="0" distL="0" distR="0" wp14:anchorId="19F2788D" wp14:editId="75F84038">
                <wp:extent cx="2367915" cy="2366645"/>
                <wp:effectExtent l="0" t="0" r="0" b="5080"/>
                <wp:docPr id="412" name="Group 412" descr="Poster &quot;Don't give fire an opening&quot; Seal every penetration the right way.&#10;Every penetration into a fire or smoke resisting wall, floor or ceiling creates a weak point that could allow fire or smoke to enter. So seal it right and make it saf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7915" cy="2366645"/>
                          <a:chOff x="0" y="0"/>
                          <a:chExt cx="2367915" cy="2366645"/>
                        </a:xfrm>
                      </wpg:grpSpPr>
                      <pic:pic xmlns:pic="http://schemas.openxmlformats.org/drawingml/2006/picture">
                        <pic:nvPicPr>
                          <pic:cNvPr id="413" name="Image 413"/>
                          <pic:cNvPicPr/>
                        </pic:nvPicPr>
                        <pic:blipFill>
                          <a:blip r:embed="rId118" cstate="print"/>
                          <a:stretch>
                            <a:fillRect/>
                          </a:stretch>
                        </pic:blipFill>
                        <pic:spPr>
                          <a:xfrm>
                            <a:off x="5" y="0"/>
                            <a:ext cx="2367915" cy="2366511"/>
                          </a:xfrm>
                          <a:prstGeom prst="rect">
                            <a:avLst/>
                          </a:prstGeom>
                        </pic:spPr>
                      </pic:pic>
                      <wps:wsp>
                        <wps:cNvPr id="414" name="Graphic 414"/>
                        <wps:cNvSpPr/>
                        <wps:spPr>
                          <a:xfrm>
                            <a:off x="0" y="1812229"/>
                            <a:ext cx="2367915" cy="554355"/>
                          </a:xfrm>
                          <a:custGeom>
                            <a:avLst/>
                            <a:gdLst/>
                            <a:ahLst/>
                            <a:cxnLst/>
                            <a:rect l="l" t="t" r="r" b="b"/>
                            <a:pathLst>
                              <a:path w="2367915" h="554355">
                                <a:moveTo>
                                  <a:pt x="2367915" y="38"/>
                                </a:moveTo>
                                <a:lnTo>
                                  <a:pt x="261111" y="0"/>
                                </a:lnTo>
                                <a:lnTo>
                                  <a:pt x="0" y="554215"/>
                                </a:lnTo>
                                <a:lnTo>
                                  <a:pt x="2367915" y="554266"/>
                                </a:lnTo>
                                <a:lnTo>
                                  <a:pt x="2367915" y="38"/>
                                </a:lnTo>
                                <a:close/>
                              </a:path>
                            </a:pathLst>
                          </a:custGeom>
                          <a:solidFill>
                            <a:srgbClr val="000000"/>
                          </a:solidFill>
                        </wps:spPr>
                        <wps:bodyPr wrap="square" lIns="0" tIns="0" rIns="0" bIns="0" rtlCol="0">
                          <a:prstTxWarp prst="textNoShape">
                            <a:avLst/>
                          </a:prstTxWarp>
                          <a:noAutofit/>
                        </wps:bodyPr>
                      </wps:wsp>
                      <wps:wsp>
                        <wps:cNvPr id="415" name="Textbox 415"/>
                        <wps:cNvSpPr txBox="1"/>
                        <wps:spPr>
                          <a:xfrm>
                            <a:off x="0" y="0"/>
                            <a:ext cx="2367915" cy="2366645"/>
                          </a:xfrm>
                          <a:prstGeom prst="rect">
                            <a:avLst/>
                          </a:prstGeom>
                        </wps:spPr>
                        <wps:txbx>
                          <w:txbxContent>
                            <w:p w14:paraId="4C1F7175" w14:textId="77777777" w:rsidR="00084F36" w:rsidRDefault="00084F36">
                              <w:pPr>
                                <w:rPr>
                                  <w:sz w:val="42"/>
                                </w:rPr>
                              </w:pPr>
                            </w:p>
                            <w:p w14:paraId="6D508239" w14:textId="77777777" w:rsidR="00084F36" w:rsidRDefault="00084F36">
                              <w:pPr>
                                <w:rPr>
                                  <w:sz w:val="42"/>
                                </w:rPr>
                              </w:pPr>
                            </w:p>
                            <w:p w14:paraId="44A0B40D" w14:textId="77777777" w:rsidR="00084F36" w:rsidRDefault="00084F36">
                              <w:pPr>
                                <w:rPr>
                                  <w:sz w:val="42"/>
                                </w:rPr>
                              </w:pPr>
                            </w:p>
                            <w:p w14:paraId="64282D90" w14:textId="77777777" w:rsidR="00084F36" w:rsidRDefault="00084F36">
                              <w:pPr>
                                <w:rPr>
                                  <w:sz w:val="42"/>
                                </w:rPr>
                              </w:pPr>
                            </w:p>
                            <w:p w14:paraId="7468DB28" w14:textId="77777777" w:rsidR="00084F36" w:rsidRDefault="00084F36">
                              <w:pPr>
                                <w:rPr>
                                  <w:sz w:val="42"/>
                                </w:rPr>
                              </w:pPr>
                            </w:p>
                            <w:p w14:paraId="75AC724F" w14:textId="77777777" w:rsidR="00084F36" w:rsidRDefault="00084F36">
                              <w:pPr>
                                <w:spacing w:before="8"/>
                                <w:rPr>
                                  <w:sz w:val="44"/>
                                </w:rPr>
                              </w:pPr>
                            </w:p>
                            <w:p w14:paraId="73AA2660" w14:textId="77777777" w:rsidR="00084F36" w:rsidRDefault="00EB2BD8">
                              <w:pPr>
                                <w:spacing w:line="177" w:lineRule="auto"/>
                                <w:ind w:left="518"/>
                                <w:rPr>
                                  <w:b/>
                                  <w:sz w:val="37"/>
                                </w:rPr>
                              </w:pPr>
                              <w:r>
                                <w:rPr>
                                  <w:b/>
                                  <w:color w:val="FFFFFF"/>
                                  <w:spacing w:val="-6"/>
                                  <w:sz w:val="37"/>
                                </w:rPr>
                                <w:t>DON’T</w:t>
                              </w:r>
                              <w:r>
                                <w:rPr>
                                  <w:b/>
                                  <w:color w:val="FFFFFF"/>
                                  <w:spacing w:val="-39"/>
                                  <w:sz w:val="37"/>
                                </w:rPr>
                                <w:t xml:space="preserve"> </w:t>
                              </w:r>
                              <w:r>
                                <w:rPr>
                                  <w:b/>
                                  <w:color w:val="FFFFFF"/>
                                  <w:spacing w:val="-6"/>
                                  <w:sz w:val="37"/>
                                </w:rPr>
                                <w:t>GIVE</w:t>
                              </w:r>
                              <w:r>
                                <w:rPr>
                                  <w:b/>
                                  <w:color w:val="FFFFFF"/>
                                  <w:spacing w:val="-39"/>
                                  <w:sz w:val="37"/>
                                </w:rPr>
                                <w:t xml:space="preserve"> </w:t>
                              </w:r>
                              <w:r>
                                <w:rPr>
                                  <w:b/>
                                  <w:color w:val="FFFFFF"/>
                                  <w:spacing w:val="-6"/>
                                  <w:sz w:val="37"/>
                                </w:rPr>
                                <w:t xml:space="preserve">FIRE </w:t>
                              </w:r>
                              <w:r>
                                <w:rPr>
                                  <w:b/>
                                  <w:color w:val="FFFFFF"/>
                                  <w:sz w:val="37"/>
                                </w:rPr>
                                <w:t>AN OPENING</w:t>
                              </w:r>
                            </w:p>
                          </w:txbxContent>
                        </wps:txbx>
                        <wps:bodyPr wrap="square" lIns="0" tIns="0" rIns="0" bIns="0" rtlCol="0">
                          <a:noAutofit/>
                        </wps:bodyPr>
                      </wps:wsp>
                    </wpg:wgp>
                  </a:graphicData>
                </a:graphic>
              </wp:inline>
            </w:drawing>
          </mc:Choice>
          <mc:Fallback>
            <w:pict>
              <v:group w14:anchorId="19F2788D" id="Group 412" o:spid="_x0000_s1037" alt="Poster &quot;Don't give fire an opening&quot; Seal every penetration the right way.&#10;Every penetration into a fire or smoke resisting wall, floor or ceiling creates a weak point that could allow fire or smoke to enter. So seal it right and make it safe.&#10;" style="width:186.45pt;height:186.35pt;mso-position-horizontal-relative:char;mso-position-vertical-relative:line" coordsize="23679,23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3" o:spid="_x0000_s1038" type="#_x0000_t75" style="position:absolute;width:23679;height:2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">
                  <v:imagedata r:id="rId119" o:title=""/>
                </v:shape>
                <v:shape id="Graphic 414" o:spid="_x0000_s1039" style="position:absolute;top:18122;width:23679;height:5543;visibility:visible;mso-wrap-style:square;v-text-anchor:top" coordsize="2367915,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" path="m2367915,38l261111,,,554215r2367915,51l2367915,38xe" fillcolor="black" stroked="f">
                  <v:path arrowok="t"/>
                </v:shape>
                <v:shape id="Textbox 415" o:spid="_x0000_s1040" type="#_x0000_t202" style="position:absolute;width:23679;height:2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4C1F7175" w14:textId="77777777" w:rsidR="00084F36" w:rsidRDefault="00084F36">
                        <w:pPr>
                          <w:rPr>
                            <w:sz w:val="42"/>
                          </w:rPr>
                        </w:pPr>
                      </w:p>
                      <w:p w14:paraId="6D508239" w14:textId="77777777" w:rsidR="00084F36" w:rsidRDefault="00084F36">
                        <w:pPr>
                          <w:rPr>
                            <w:sz w:val="42"/>
                          </w:rPr>
                        </w:pPr>
                      </w:p>
                      <w:p w14:paraId="44A0B40D" w14:textId="77777777" w:rsidR="00084F36" w:rsidRDefault="00084F36">
                        <w:pPr>
                          <w:rPr>
                            <w:sz w:val="42"/>
                          </w:rPr>
                        </w:pPr>
                      </w:p>
                      <w:p w14:paraId="64282D90" w14:textId="77777777" w:rsidR="00084F36" w:rsidRDefault="00084F36">
                        <w:pPr>
                          <w:rPr>
                            <w:sz w:val="42"/>
                          </w:rPr>
                        </w:pPr>
                      </w:p>
                      <w:p w14:paraId="7468DB28" w14:textId="77777777" w:rsidR="00084F36" w:rsidRDefault="00084F36">
                        <w:pPr>
                          <w:rPr>
                            <w:sz w:val="42"/>
                          </w:rPr>
                        </w:pPr>
                      </w:p>
                      <w:p w14:paraId="75AC724F" w14:textId="77777777" w:rsidR="00084F36" w:rsidRDefault="00084F36">
                        <w:pPr>
                          <w:spacing w:before="8"/>
                          <w:rPr>
                            <w:sz w:val="44"/>
                          </w:rPr>
                        </w:pPr>
                      </w:p>
                      <w:p w14:paraId="73AA2660" w14:textId="77777777" w:rsidR="00084F36" w:rsidRDefault="00EB2BD8">
                        <w:pPr>
                          <w:spacing w:line="177" w:lineRule="auto"/>
                          <w:ind w:left="518"/>
                          <w:rPr>
                            <w:b/>
                            <w:sz w:val="37"/>
                          </w:rPr>
                        </w:pPr>
                        <w:r>
                          <w:rPr>
                            <w:b/>
                            <w:color w:val="FFFFFF"/>
                            <w:spacing w:val="-6"/>
                            <w:sz w:val="37"/>
                          </w:rPr>
                          <w:t>DON’T</w:t>
                        </w:r>
                        <w:r>
                          <w:rPr>
                            <w:b/>
                            <w:color w:val="FFFFFF"/>
                            <w:spacing w:val="-39"/>
                            <w:sz w:val="37"/>
                          </w:rPr>
                          <w:t xml:space="preserve"> </w:t>
                        </w:r>
                        <w:r>
                          <w:rPr>
                            <w:b/>
                            <w:color w:val="FFFFFF"/>
                            <w:spacing w:val="-6"/>
                            <w:sz w:val="37"/>
                          </w:rPr>
                          <w:t>GIVE</w:t>
                        </w:r>
                        <w:r>
                          <w:rPr>
                            <w:b/>
                            <w:color w:val="FFFFFF"/>
                            <w:spacing w:val="-39"/>
                            <w:sz w:val="37"/>
                          </w:rPr>
                          <w:t xml:space="preserve"> </w:t>
                        </w:r>
                        <w:r>
                          <w:rPr>
                            <w:b/>
                            <w:color w:val="FFFFFF"/>
                            <w:spacing w:val="-6"/>
                            <w:sz w:val="37"/>
                          </w:rPr>
                          <w:t xml:space="preserve">FIRE </w:t>
                        </w:r>
                        <w:r>
                          <w:rPr>
                            <w:b/>
                            <w:color w:val="FFFFFF"/>
                            <w:sz w:val="37"/>
                          </w:rPr>
                          <w:t>AN OPENING</w:t>
                        </w:r>
                      </w:p>
                    </w:txbxContent>
                  </v:textbox>
                </v:shape>
                <w10:anchorlock/>
              </v:group>
            </w:pict>
          </mc:Fallback>
        </mc:AlternateContent>
      </w:r>
    </w:p>
    <w:p w14:paraId="3243B4AF" w14:textId="77777777" w:rsidR="00084F36" w:rsidRPr="00EB2BD8" w:rsidRDefault="00EB2BD8">
      <w:pPr>
        <w:spacing w:before="52"/>
        <w:ind w:left="1343"/>
        <w:rPr>
          <w:b/>
          <w:sz w:val="15"/>
        </w:rPr>
      </w:pPr>
      <w:r w:rsidRPr="00EB2BD8">
        <w:rPr>
          <w:b/>
          <w:spacing w:val="-8"/>
          <w:sz w:val="15"/>
        </w:rPr>
        <w:t>Seal</w:t>
      </w:r>
      <w:r w:rsidRPr="00EB2BD8">
        <w:rPr>
          <w:b/>
          <w:spacing w:val="-18"/>
          <w:sz w:val="15"/>
        </w:rPr>
        <w:t xml:space="preserve"> </w:t>
      </w:r>
      <w:r w:rsidRPr="00EB2BD8">
        <w:rPr>
          <w:b/>
          <w:spacing w:val="-8"/>
          <w:sz w:val="15"/>
        </w:rPr>
        <w:t>every</w:t>
      </w:r>
      <w:r w:rsidRPr="00EB2BD8">
        <w:rPr>
          <w:b/>
          <w:spacing w:val="-17"/>
          <w:sz w:val="15"/>
        </w:rPr>
        <w:t xml:space="preserve"> </w:t>
      </w:r>
      <w:r w:rsidRPr="00EB2BD8">
        <w:rPr>
          <w:b/>
          <w:spacing w:val="-8"/>
          <w:sz w:val="15"/>
        </w:rPr>
        <w:t>penetration</w:t>
      </w:r>
      <w:r w:rsidRPr="00EB2BD8">
        <w:rPr>
          <w:b/>
          <w:spacing w:val="-17"/>
          <w:sz w:val="15"/>
        </w:rPr>
        <w:t xml:space="preserve"> </w:t>
      </w:r>
      <w:r w:rsidRPr="00EB2BD8">
        <w:rPr>
          <w:b/>
          <w:spacing w:val="-8"/>
          <w:sz w:val="15"/>
        </w:rPr>
        <w:t>the</w:t>
      </w:r>
      <w:r w:rsidRPr="00EB2BD8">
        <w:rPr>
          <w:b/>
          <w:spacing w:val="-17"/>
          <w:sz w:val="15"/>
        </w:rPr>
        <w:t xml:space="preserve"> </w:t>
      </w:r>
      <w:r w:rsidRPr="00EB2BD8">
        <w:rPr>
          <w:b/>
          <w:spacing w:val="-8"/>
          <w:sz w:val="15"/>
        </w:rPr>
        <w:t>right</w:t>
      </w:r>
      <w:r w:rsidRPr="00EB2BD8">
        <w:rPr>
          <w:b/>
          <w:spacing w:val="-17"/>
          <w:sz w:val="15"/>
        </w:rPr>
        <w:t xml:space="preserve"> </w:t>
      </w:r>
      <w:r w:rsidRPr="00EB2BD8">
        <w:rPr>
          <w:b/>
          <w:spacing w:val="-8"/>
          <w:sz w:val="15"/>
        </w:rPr>
        <w:t>way.</w:t>
      </w:r>
    </w:p>
    <w:p w14:paraId="6A775F5C" w14:textId="77777777" w:rsidR="00084F36" w:rsidRPr="00EB2BD8" w:rsidRDefault="00EB2BD8">
      <w:pPr>
        <w:spacing w:before="49" w:line="261" w:lineRule="auto"/>
        <w:ind w:left="1343" w:right="1823"/>
        <w:rPr>
          <w:sz w:val="11"/>
        </w:rPr>
      </w:pPr>
      <w:r w:rsidRPr="00EB2BD8">
        <w:rPr>
          <w:spacing w:val="-4"/>
          <w:w w:val="105"/>
          <w:sz w:val="11"/>
        </w:rPr>
        <w:t>Every</w:t>
      </w:r>
      <w:r w:rsidRPr="00EB2BD8">
        <w:rPr>
          <w:spacing w:val="-15"/>
          <w:w w:val="105"/>
          <w:sz w:val="11"/>
        </w:rPr>
        <w:t xml:space="preserve"> </w:t>
      </w:r>
      <w:r w:rsidRPr="00EB2BD8">
        <w:rPr>
          <w:spacing w:val="-4"/>
          <w:w w:val="105"/>
          <w:sz w:val="11"/>
        </w:rPr>
        <w:t>penetration</w:t>
      </w:r>
      <w:r w:rsidRPr="00EB2BD8">
        <w:rPr>
          <w:spacing w:val="-15"/>
          <w:w w:val="105"/>
          <w:sz w:val="11"/>
        </w:rPr>
        <w:t xml:space="preserve"> </w:t>
      </w:r>
      <w:r w:rsidRPr="00EB2BD8">
        <w:rPr>
          <w:spacing w:val="-4"/>
          <w:w w:val="105"/>
          <w:sz w:val="11"/>
        </w:rPr>
        <w:t>into</w:t>
      </w:r>
      <w:r w:rsidRPr="00EB2BD8">
        <w:rPr>
          <w:spacing w:val="-15"/>
          <w:w w:val="105"/>
          <w:sz w:val="11"/>
        </w:rPr>
        <w:t xml:space="preserve"> </w:t>
      </w:r>
      <w:r w:rsidRPr="00EB2BD8">
        <w:rPr>
          <w:spacing w:val="-4"/>
          <w:w w:val="105"/>
          <w:sz w:val="11"/>
        </w:rPr>
        <w:t>a</w:t>
      </w:r>
      <w:r w:rsidRPr="00EB2BD8">
        <w:rPr>
          <w:spacing w:val="-14"/>
          <w:w w:val="105"/>
          <w:sz w:val="11"/>
        </w:rPr>
        <w:t xml:space="preserve"> </w:t>
      </w:r>
      <w:r w:rsidRPr="00EB2BD8">
        <w:rPr>
          <w:spacing w:val="-4"/>
          <w:w w:val="105"/>
          <w:sz w:val="11"/>
        </w:rPr>
        <w:t>fire</w:t>
      </w:r>
      <w:r w:rsidRPr="00EB2BD8">
        <w:rPr>
          <w:spacing w:val="-15"/>
          <w:w w:val="105"/>
          <w:sz w:val="11"/>
        </w:rPr>
        <w:t xml:space="preserve"> </w:t>
      </w:r>
      <w:r w:rsidRPr="00EB2BD8">
        <w:rPr>
          <w:spacing w:val="-4"/>
          <w:w w:val="105"/>
          <w:sz w:val="11"/>
        </w:rPr>
        <w:t>or</w:t>
      </w:r>
      <w:r w:rsidRPr="00EB2BD8">
        <w:rPr>
          <w:spacing w:val="-15"/>
          <w:w w:val="105"/>
          <w:sz w:val="11"/>
        </w:rPr>
        <w:t xml:space="preserve"> </w:t>
      </w:r>
      <w:r w:rsidRPr="00EB2BD8">
        <w:rPr>
          <w:spacing w:val="-4"/>
          <w:w w:val="105"/>
          <w:sz w:val="11"/>
        </w:rPr>
        <w:t>smoke</w:t>
      </w:r>
      <w:r w:rsidRPr="00EB2BD8">
        <w:rPr>
          <w:spacing w:val="-15"/>
          <w:w w:val="105"/>
          <w:sz w:val="11"/>
        </w:rPr>
        <w:t xml:space="preserve"> </w:t>
      </w:r>
      <w:r w:rsidRPr="00EB2BD8">
        <w:rPr>
          <w:spacing w:val="-4"/>
          <w:w w:val="105"/>
          <w:sz w:val="11"/>
        </w:rPr>
        <w:t>resisting</w:t>
      </w:r>
      <w:r w:rsidRPr="00EB2BD8">
        <w:rPr>
          <w:spacing w:val="-14"/>
          <w:w w:val="105"/>
          <w:sz w:val="11"/>
        </w:rPr>
        <w:t xml:space="preserve"> </w:t>
      </w:r>
      <w:r w:rsidRPr="00EB2BD8">
        <w:rPr>
          <w:spacing w:val="-4"/>
          <w:w w:val="105"/>
          <w:sz w:val="11"/>
        </w:rPr>
        <w:t>wall,</w:t>
      </w:r>
      <w:r w:rsidRPr="00EB2BD8">
        <w:rPr>
          <w:spacing w:val="-15"/>
          <w:w w:val="105"/>
          <w:sz w:val="11"/>
        </w:rPr>
        <w:t xml:space="preserve"> </w:t>
      </w:r>
      <w:r w:rsidRPr="00EB2BD8">
        <w:rPr>
          <w:spacing w:val="-4"/>
          <w:w w:val="105"/>
          <w:sz w:val="11"/>
        </w:rPr>
        <w:t>floor</w:t>
      </w:r>
      <w:r w:rsidRPr="00EB2BD8">
        <w:rPr>
          <w:spacing w:val="40"/>
          <w:w w:val="105"/>
          <w:sz w:val="11"/>
        </w:rPr>
        <w:t xml:space="preserve"> </w:t>
      </w:r>
      <w:r w:rsidRPr="00EB2BD8">
        <w:rPr>
          <w:spacing w:val="-2"/>
          <w:w w:val="105"/>
          <w:sz w:val="11"/>
        </w:rPr>
        <w:t>or</w:t>
      </w:r>
      <w:r w:rsidRPr="00EB2BD8">
        <w:rPr>
          <w:spacing w:val="-10"/>
          <w:w w:val="105"/>
          <w:sz w:val="11"/>
        </w:rPr>
        <w:t xml:space="preserve"> </w:t>
      </w:r>
      <w:r w:rsidRPr="00EB2BD8">
        <w:rPr>
          <w:spacing w:val="-2"/>
          <w:w w:val="105"/>
          <w:sz w:val="11"/>
        </w:rPr>
        <w:t>ceiling</w:t>
      </w:r>
      <w:r w:rsidRPr="00EB2BD8">
        <w:rPr>
          <w:spacing w:val="-10"/>
          <w:w w:val="105"/>
          <w:sz w:val="11"/>
        </w:rPr>
        <w:t xml:space="preserve"> </w:t>
      </w:r>
      <w:r w:rsidRPr="00EB2BD8">
        <w:rPr>
          <w:spacing w:val="-2"/>
          <w:w w:val="105"/>
          <w:sz w:val="11"/>
        </w:rPr>
        <w:t>creates</w:t>
      </w:r>
      <w:r w:rsidRPr="00EB2BD8">
        <w:rPr>
          <w:spacing w:val="-10"/>
          <w:w w:val="105"/>
          <w:sz w:val="11"/>
        </w:rPr>
        <w:t xml:space="preserve"> </w:t>
      </w:r>
      <w:r w:rsidRPr="00EB2BD8">
        <w:rPr>
          <w:spacing w:val="-2"/>
          <w:w w:val="105"/>
          <w:sz w:val="11"/>
        </w:rPr>
        <w:t>a</w:t>
      </w:r>
      <w:r w:rsidRPr="00EB2BD8">
        <w:rPr>
          <w:spacing w:val="-10"/>
          <w:w w:val="105"/>
          <w:sz w:val="11"/>
        </w:rPr>
        <w:t xml:space="preserve"> </w:t>
      </w:r>
      <w:r w:rsidRPr="00EB2BD8">
        <w:rPr>
          <w:spacing w:val="-2"/>
          <w:w w:val="105"/>
          <w:sz w:val="11"/>
        </w:rPr>
        <w:t>weak</w:t>
      </w:r>
      <w:r w:rsidRPr="00EB2BD8">
        <w:rPr>
          <w:spacing w:val="-10"/>
          <w:w w:val="105"/>
          <w:sz w:val="11"/>
        </w:rPr>
        <w:t xml:space="preserve"> </w:t>
      </w:r>
      <w:r w:rsidRPr="00EB2BD8">
        <w:rPr>
          <w:spacing w:val="-2"/>
          <w:w w:val="105"/>
          <w:sz w:val="11"/>
        </w:rPr>
        <w:t>point</w:t>
      </w:r>
      <w:r w:rsidRPr="00EB2BD8">
        <w:rPr>
          <w:spacing w:val="-10"/>
          <w:w w:val="105"/>
          <w:sz w:val="11"/>
        </w:rPr>
        <w:t xml:space="preserve"> </w:t>
      </w:r>
      <w:r w:rsidRPr="00EB2BD8">
        <w:rPr>
          <w:spacing w:val="-2"/>
          <w:w w:val="105"/>
          <w:sz w:val="11"/>
        </w:rPr>
        <w:t>that</w:t>
      </w:r>
      <w:r w:rsidRPr="00EB2BD8">
        <w:rPr>
          <w:spacing w:val="-10"/>
          <w:w w:val="105"/>
          <w:sz w:val="11"/>
        </w:rPr>
        <w:t xml:space="preserve"> </w:t>
      </w:r>
      <w:r w:rsidRPr="00EB2BD8">
        <w:rPr>
          <w:spacing w:val="-2"/>
          <w:w w:val="105"/>
          <w:sz w:val="11"/>
        </w:rPr>
        <w:t>could</w:t>
      </w:r>
      <w:r w:rsidRPr="00EB2BD8">
        <w:rPr>
          <w:spacing w:val="-10"/>
          <w:w w:val="105"/>
          <w:sz w:val="11"/>
        </w:rPr>
        <w:t xml:space="preserve"> </w:t>
      </w:r>
      <w:r w:rsidRPr="00EB2BD8">
        <w:rPr>
          <w:spacing w:val="-2"/>
          <w:w w:val="105"/>
          <w:sz w:val="11"/>
        </w:rPr>
        <w:t>allow</w:t>
      </w:r>
      <w:r w:rsidRPr="00EB2BD8">
        <w:rPr>
          <w:spacing w:val="-10"/>
          <w:w w:val="105"/>
          <w:sz w:val="11"/>
        </w:rPr>
        <w:t xml:space="preserve"> </w:t>
      </w:r>
      <w:r w:rsidRPr="00EB2BD8">
        <w:rPr>
          <w:spacing w:val="-2"/>
          <w:w w:val="105"/>
          <w:sz w:val="11"/>
        </w:rPr>
        <w:t>fire</w:t>
      </w:r>
      <w:r w:rsidRPr="00EB2BD8">
        <w:rPr>
          <w:spacing w:val="-10"/>
          <w:w w:val="105"/>
          <w:sz w:val="11"/>
        </w:rPr>
        <w:t xml:space="preserve"> </w:t>
      </w:r>
      <w:r w:rsidRPr="00EB2BD8">
        <w:rPr>
          <w:spacing w:val="-2"/>
          <w:w w:val="105"/>
          <w:sz w:val="11"/>
        </w:rPr>
        <w:t>or</w:t>
      </w:r>
      <w:r w:rsidRPr="00EB2BD8">
        <w:rPr>
          <w:spacing w:val="40"/>
          <w:w w:val="105"/>
          <w:sz w:val="11"/>
        </w:rPr>
        <w:t xml:space="preserve"> </w:t>
      </w:r>
      <w:r w:rsidRPr="00EB2BD8">
        <w:rPr>
          <w:spacing w:val="-2"/>
          <w:w w:val="105"/>
          <w:sz w:val="11"/>
        </w:rPr>
        <w:t>smoke</w:t>
      </w:r>
      <w:r w:rsidRPr="00EB2BD8">
        <w:rPr>
          <w:spacing w:val="-12"/>
          <w:w w:val="105"/>
          <w:sz w:val="11"/>
        </w:rPr>
        <w:t xml:space="preserve"> </w:t>
      </w:r>
      <w:r w:rsidRPr="00EB2BD8">
        <w:rPr>
          <w:spacing w:val="-2"/>
          <w:w w:val="105"/>
          <w:sz w:val="11"/>
        </w:rPr>
        <w:t>to</w:t>
      </w:r>
      <w:r w:rsidRPr="00EB2BD8">
        <w:rPr>
          <w:spacing w:val="-12"/>
          <w:w w:val="105"/>
          <w:sz w:val="11"/>
        </w:rPr>
        <w:t xml:space="preserve"> </w:t>
      </w:r>
      <w:r w:rsidRPr="00EB2BD8">
        <w:rPr>
          <w:spacing w:val="-2"/>
          <w:w w:val="105"/>
          <w:sz w:val="11"/>
        </w:rPr>
        <w:t>enter.</w:t>
      </w:r>
      <w:r w:rsidRPr="00EB2BD8">
        <w:rPr>
          <w:spacing w:val="-12"/>
          <w:w w:val="105"/>
          <w:sz w:val="11"/>
        </w:rPr>
        <w:t xml:space="preserve"> </w:t>
      </w:r>
      <w:r w:rsidRPr="00EB2BD8">
        <w:rPr>
          <w:spacing w:val="-2"/>
          <w:w w:val="105"/>
          <w:sz w:val="11"/>
        </w:rPr>
        <w:t>So</w:t>
      </w:r>
      <w:r w:rsidRPr="00EB2BD8">
        <w:rPr>
          <w:spacing w:val="-12"/>
          <w:w w:val="105"/>
          <w:sz w:val="11"/>
        </w:rPr>
        <w:t xml:space="preserve"> </w:t>
      </w:r>
      <w:r w:rsidRPr="00EB2BD8">
        <w:rPr>
          <w:spacing w:val="-2"/>
          <w:w w:val="105"/>
          <w:sz w:val="11"/>
        </w:rPr>
        <w:t>seal</w:t>
      </w:r>
      <w:r w:rsidRPr="00EB2BD8">
        <w:rPr>
          <w:spacing w:val="-12"/>
          <w:w w:val="105"/>
          <w:sz w:val="11"/>
        </w:rPr>
        <w:t xml:space="preserve"> </w:t>
      </w:r>
      <w:r w:rsidRPr="00EB2BD8">
        <w:rPr>
          <w:spacing w:val="-2"/>
          <w:w w:val="105"/>
          <w:sz w:val="11"/>
        </w:rPr>
        <w:t>it</w:t>
      </w:r>
      <w:r w:rsidRPr="00EB2BD8">
        <w:rPr>
          <w:spacing w:val="-12"/>
          <w:w w:val="105"/>
          <w:sz w:val="11"/>
        </w:rPr>
        <w:t xml:space="preserve"> </w:t>
      </w:r>
      <w:r w:rsidRPr="00EB2BD8">
        <w:rPr>
          <w:spacing w:val="-2"/>
          <w:w w:val="105"/>
          <w:sz w:val="11"/>
        </w:rPr>
        <w:t>right</w:t>
      </w:r>
      <w:r w:rsidRPr="00EB2BD8">
        <w:rPr>
          <w:spacing w:val="-12"/>
          <w:w w:val="105"/>
          <w:sz w:val="11"/>
        </w:rPr>
        <w:t xml:space="preserve"> </w:t>
      </w:r>
      <w:r w:rsidRPr="00EB2BD8">
        <w:rPr>
          <w:spacing w:val="-2"/>
          <w:w w:val="105"/>
          <w:sz w:val="11"/>
        </w:rPr>
        <w:t>and</w:t>
      </w:r>
      <w:r w:rsidRPr="00EB2BD8">
        <w:rPr>
          <w:spacing w:val="-12"/>
          <w:w w:val="105"/>
          <w:sz w:val="11"/>
        </w:rPr>
        <w:t xml:space="preserve"> </w:t>
      </w:r>
      <w:r w:rsidRPr="00EB2BD8">
        <w:rPr>
          <w:spacing w:val="-2"/>
          <w:w w:val="105"/>
          <w:sz w:val="11"/>
        </w:rPr>
        <w:t>make</w:t>
      </w:r>
      <w:r w:rsidRPr="00EB2BD8">
        <w:rPr>
          <w:spacing w:val="-12"/>
          <w:w w:val="105"/>
          <w:sz w:val="11"/>
        </w:rPr>
        <w:t xml:space="preserve"> </w:t>
      </w:r>
      <w:r w:rsidRPr="00EB2BD8">
        <w:rPr>
          <w:spacing w:val="-2"/>
          <w:w w:val="105"/>
          <w:sz w:val="11"/>
        </w:rPr>
        <w:t>it</w:t>
      </w:r>
      <w:r w:rsidRPr="00EB2BD8">
        <w:rPr>
          <w:spacing w:val="-12"/>
          <w:w w:val="105"/>
          <w:sz w:val="11"/>
        </w:rPr>
        <w:t xml:space="preserve"> </w:t>
      </w:r>
      <w:r w:rsidRPr="00EB2BD8">
        <w:rPr>
          <w:spacing w:val="-2"/>
          <w:w w:val="105"/>
          <w:sz w:val="11"/>
        </w:rPr>
        <w:t>safe.</w:t>
      </w:r>
    </w:p>
    <w:p w14:paraId="009238B3" w14:textId="19846812" w:rsidR="00084F36" w:rsidRPr="00EB2BD8" w:rsidRDefault="00084F36">
      <w:pPr>
        <w:pStyle w:val="BodyText"/>
        <w:spacing w:before="10"/>
        <w:rPr>
          <w:sz w:val="17"/>
        </w:rPr>
      </w:pPr>
    </w:p>
    <w:p w14:paraId="0495CA34" w14:textId="77777777" w:rsidR="00084F36" w:rsidRPr="00EB2BD8" w:rsidRDefault="00084F36">
      <w:pPr>
        <w:pStyle w:val="BodyText"/>
        <w:spacing w:before="9"/>
        <w:rPr>
          <w:sz w:val="17"/>
        </w:rPr>
      </w:pPr>
    </w:p>
    <w:p w14:paraId="017ACF96" w14:textId="77777777" w:rsidR="00084F36" w:rsidRPr="00EB2BD8" w:rsidRDefault="00EB2BD8">
      <w:pPr>
        <w:spacing w:line="264" w:lineRule="auto"/>
        <w:ind w:left="433" w:right="856"/>
        <w:rPr>
          <w:i/>
          <w:sz w:val="20"/>
        </w:rPr>
      </w:pPr>
      <w:r w:rsidRPr="00EB2BD8">
        <w:rPr>
          <w:i/>
          <w:sz w:val="20"/>
        </w:rPr>
        <w:t>'Don't</w:t>
      </w:r>
      <w:r w:rsidRPr="00EB2BD8">
        <w:rPr>
          <w:i/>
          <w:spacing w:val="-3"/>
          <w:sz w:val="20"/>
        </w:rPr>
        <w:t xml:space="preserve"> </w:t>
      </w:r>
      <w:r w:rsidRPr="00EB2BD8">
        <w:rPr>
          <w:i/>
          <w:sz w:val="20"/>
        </w:rPr>
        <w:t>give</w:t>
      </w:r>
      <w:r w:rsidRPr="00EB2BD8">
        <w:rPr>
          <w:i/>
          <w:spacing w:val="-3"/>
          <w:sz w:val="20"/>
        </w:rPr>
        <w:t xml:space="preserve"> </w:t>
      </w:r>
      <w:r w:rsidRPr="00EB2BD8">
        <w:rPr>
          <w:i/>
          <w:sz w:val="20"/>
        </w:rPr>
        <w:t>fire</w:t>
      </w:r>
      <w:r w:rsidRPr="00EB2BD8">
        <w:rPr>
          <w:i/>
          <w:spacing w:val="-3"/>
          <w:sz w:val="20"/>
        </w:rPr>
        <w:t xml:space="preserve"> </w:t>
      </w:r>
      <w:r w:rsidRPr="00EB2BD8">
        <w:rPr>
          <w:i/>
          <w:sz w:val="20"/>
        </w:rPr>
        <w:t>an</w:t>
      </w:r>
      <w:r w:rsidRPr="00EB2BD8">
        <w:rPr>
          <w:i/>
          <w:spacing w:val="-3"/>
          <w:sz w:val="20"/>
        </w:rPr>
        <w:t xml:space="preserve"> </w:t>
      </w:r>
      <w:r w:rsidRPr="00EB2BD8">
        <w:rPr>
          <w:i/>
          <w:sz w:val="20"/>
        </w:rPr>
        <w:t>opening'</w:t>
      </w:r>
      <w:r w:rsidRPr="00EB2BD8">
        <w:rPr>
          <w:i/>
          <w:spacing w:val="-3"/>
          <w:sz w:val="20"/>
        </w:rPr>
        <w:t xml:space="preserve"> </w:t>
      </w:r>
      <w:r w:rsidRPr="00EB2BD8">
        <w:rPr>
          <w:i/>
          <w:sz w:val="20"/>
        </w:rPr>
        <w:t>communications campaign</w:t>
      </w:r>
      <w:r w:rsidRPr="00EB2BD8">
        <w:rPr>
          <w:i/>
          <w:spacing w:val="-3"/>
          <w:sz w:val="20"/>
        </w:rPr>
        <w:t xml:space="preserve"> </w:t>
      </w:r>
      <w:r w:rsidRPr="00EB2BD8">
        <w:rPr>
          <w:i/>
          <w:sz w:val="20"/>
        </w:rPr>
        <w:t>poster</w:t>
      </w:r>
    </w:p>
    <w:p w14:paraId="5F7A7049" w14:textId="77777777" w:rsidR="00084F36" w:rsidRPr="00EB2BD8" w:rsidRDefault="00084F36">
      <w:pPr>
        <w:pStyle w:val="BodyText"/>
        <w:rPr>
          <w:i/>
          <w:sz w:val="22"/>
        </w:rPr>
      </w:pPr>
    </w:p>
    <w:p w14:paraId="77328353" w14:textId="35997469" w:rsidR="00084F36" w:rsidRPr="00EB2BD8" w:rsidRDefault="00E13356" w:rsidP="00E13356">
      <w:pPr>
        <w:pStyle w:val="Heading4"/>
        <w:ind w:left="0"/>
      </w:pPr>
      <w:r>
        <w:t xml:space="preserve">        </w:t>
      </w:r>
      <w:r w:rsidR="00EB2BD8" w:rsidRPr="00EB2BD8">
        <w:t>What</w:t>
      </w:r>
      <w:r w:rsidR="00EB2BD8" w:rsidRPr="00EB2BD8">
        <w:rPr>
          <w:spacing w:val="-18"/>
        </w:rPr>
        <w:t xml:space="preserve"> </w:t>
      </w:r>
      <w:r w:rsidR="00EB2BD8" w:rsidRPr="00EB2BD8">
        <w:t>difference</w:t>
      </w:r>
      <w:r w:rsidR="00EB2BD8" w:rsidRPr="00EB2BD8">
        <w:rPr>
          <w:spacing w:val="-17"/>
        </w:rPr>
        <w:t xml:space="preserve"> </w:t>
      </w:r>
      <w:r w:rsidR="00EB2BD8" w:rsidRPr="00EB2BD8">
        <w:t>this</w:t>
      </w:r>
      <w:r w:rsidR="00EB2BD8" w:rsidRPr="00EB2BD8">
        <w:rPr>
          <w:spacing w:val="-17"/>
        </w:rPr>
        <w:t xml:space="preserve"> </w:t>
      </w:r>
      <w:r w:rsidR="00EB2BD8" w:rsidRPr="00EB2BD8">
        <w:t>made</w:t>
      </w:r>
    </w:p>
    <w:p w14:paraId="67E50315" w14:textId="77777777" w:rsidR="00084F36" w:rsidRPr="00EB2BD8" w:rsidRDefault="00EB2BD8">
      <w:pPr>
        <w:pStyle w:val="BodyText"/>
        <w:spacing w:before="124" w:line="261" w:lineRule="auto"/>
        <w:ind w:left="425" w:right="1049"/>
      </w:pPr>
      <w:r w:rsidRPr="00EB2BD8">
        <w:t xml:space="preserve">The VBA launched the ‘Don’t give fire an opening’ </w:t>
      </w:r>
      <w:hyperlink r:id="rId120">
        <w:r w:rsidRPr="00EB2BD8">
          <w:t>communications campaign</w:t>
        </w:r>
      </w:hyperlink>
      <w:r w:rsidRPr="00EB2BD8">
        <w:t xml:space="preserve"> for building and</w:t>
      </w:r>
      <w:r w:rsidRPr="00EB2BD8">
        <w:rPr>
          <w:spacing w:val="40"/>
        </w:rPr>
        <w:t xml:space="preserve"> </w:t>
      </w:r>
      <w:r w:rsidRPr="00EB2BD8">
        <w:t>plumbing</w:t>
      </w:r>
      <w:r w:rsidRPr="00EB2BD8">
        <w:rPr>
          <w:spacing w:val="-15"/>
        </w:rPr>
        <w:t xml:space="preserve"> </w:t>
      </w:r>
      <w:r w:rsidRPr="00EB2BD8">
        <w:t>practitioners</w:t>
      </w:r>
      <w:r w:rsidRPr="00EB2BD8">
        <w:rPr>
          <w:spacing w:val="-14"/>
        </w:rPr>
        <w:t xml:space="preserve"> </w:t>
      </w:r>
      <w:r w:rsidRPr="00EB2BD8">
        <w:t>in</w:t>
      </w:r>
      <w:r w:rsidRPr="00EB2BD8">
        <w:rPr>
          <w:spacing w:val="-14"/>
        </w:rPr>
        <w:t xml:space="preserve"> </w:t>
      </w:r>
      <w:r w:rsidRPr="00EB2BD8">
        <w:t>March</w:t>
      </w:r>
      <w:r w:rsidRPr="00EB2BD8">
        <w:rPr>
          <w:spacing w:val="-14"/>
        </w:rPr>
        <w:t xml:space="preserve"> </w:t>
      </w:r>
      <w:r w:rsidRPr="00EB2BD8">
        <w:t>2023</w:t>
      </w:r>
      <w:r w:rsidRPr="00EB2BD8">
        <w:rPr>
          <w:spacing w:val="-15"/>
        </w:rPr>
        <w:t xml:space="preserve"> </w:t>
      </w:r>
      <w:r w:rsidRPr="00EB2BD8">
        <w:t>using</w:t>
      </w:r>
      <w:r w:rsidRPr="00EB2BD8">
        <w:rPr>
          <w:spacing w:val="-14"/>
        </w:rPr>
        <w:t xml:space="preserve"> </w:t>
      </w:r>
      <w:r w:rsidRPr="00EB2BD8">
        <w:t>the</w:t>
      </w:r>
      <w:r w:rsidRPr="00EB2BD8">
        <w:rPr>
          <w:spacing w:val="-14"/>
        </w:rPr>
        <w:t xml:space="preserve"> </w:t>
      </w:r>
      <w:hyperlink r:id="rId121">
        <w:r w:rsidRPr="00EB2BD8">
          <w:t>visual</w:t>
        </w:r>
      </w:hyperlink>
      <w:r w:rsidRPr="00EB2BD8">
        <w:t xml:space="preserve"> </w:t>
      </w:r>
      <w:hyperlink r:id="rId122">
        <w:r w:rsidRPr="00EB2BD8">
          <w:t>communications materials</w:t>
        </w:r>
      </w:hyperlink>
      <w:r w:rsidRPr="00EB2BD8">
        <w:t xml:space="preserve"> developed in the research project. The campaign aimed to increase awareness of the consequences of poor service penetrations</w:t>
      </w:r>
      <w:r w:rsidRPr="00EB2BD8">
        <w:rPr>
          <w:spacing w:val="40"/>
        </w:rPr>
        <w:t xml:space="preserve"> </w:t>
      </w:r>
      <w:r w:rsidRPr="00EB2BD8">
        <w:t>and increase individual practitioner/tradesperson</w:t>
      </w:r>
    </w:p>
    <w:p w14:paraId="57B42740" w14:textId="77777777" w:rsidR="00084F36" w:rsidRPr="00EB2BD8" w:rsidRDefault="00EB2BD8">
      <w:pPr>
        <w:pStyle w:val="BodyText"/>
        <w:spacing w:line="261" w:lineRule="auto"/>
        <w:ind w:left="425" w:right="856"/>
      </w:pPr>
      <w:r w:rsidRPr="00EB2BD8">
        <w:t>responsibility</w:t>
      </w:r>
      <w:r w:rsidRPr="00EB2BD8">
        <w:rPr>
          <w:spacing w:val="-5"/>
        </w:rPr>
        <w:t xml:space="preserve"> </w:t>
      </w:r>
      <w:r w:rsidRPr="00EB2BD8">
        <w:t>for</w:t>
      </w:r>
      <w:r w:rsidRPr="00EB2BD8">
        <w:rPr>
          <w:spacing w:val="-5"/>
        </w:rPr>
        <w:t xml:space="preserve"> </w:t>
      </w:r>
      <w:r w:rsidRPr="00EB2BD8">
        <w:t>compliance</w:t>
      </w:r>
      <w:r w:rsidRPr="00EB2BD8">
        <w:rPr>
          <w:spacing w:val="-5"/>
        </w:rPr>
        <w:t xml:space="preserve"> </w:t>
      </w:r>
      <w:r w:rsidRPr="00EB2BD8">
        <w:t>when</w:t>
      </w:r>
      <w:r w:rsidRPr="00EB2BD8">
        <w:rPr>
          <w:spacing w:val="-5"/>
        </w:rPr>
        <w:t xml:space="preserve"> </w:t>
      </w:r>
      <w:r w:rsidRPr="00EB2BD8">
        <w:t>carrying</w:t>
      </w:r>
      <w:r w:rsidRPr="00EB2BD8">
        <w:rPr>
          <w:spacing w:val="-5"/>
        </w:rPr>
        <w:t xml:space="preserve"> </w:t>
      </w:r>
      <w:r w:rsidRPr="00EB2BD8">
        <w:t>out</w:t>
      </w:r>
      <w:r w:rsidRPr="00EB2BD8">
        <w:rPr>
          <w:spacing w:val="-5"/>
        </w:rPr>
        <w:t xml:space="preserve"> </w:t>
      </w:r>
      <w:r w:rsidRPr="00EB2BD8">
        <w:t xml:space="preserve">service </w:t>
      </w:r>
      <w:r w:rsidRPr="00EB2BD8">
        <w:rPr>
          <w:spacing w:val="-2"/>
        </w:rPr>
        <w:t>penetrations.</w:t>
      </w:r>
    </w:p>
    <w:p w14:paraId="3552AE4C" w14:textId="77777777" w:rsidR="00084F36" w:rsidRPr="00EB2BD8" w:rsidRDefault="00EB2BD8">
      <w:pPr>
        <w:pStyle w:val="BodyText"/>
        <w:spacing w:before="104" w:line="261" w:lineRule="auto"/>
        <w:ind w:left="425" w:right="1049"/>
      </w:pPr>
      <w:r w:rsidRPr="00EB2BD8">
        <w:t>Relying</w:t>
      </w:r>
      <w:r w:rsidRPr="00EB2BD8">
        <w:rPr>
          <w:spacing w:val="-9"/>
        </w:rPr>
        <w:t xml:space="preserve"> </w:t>
      </w:r>
      <w:r w:rsidRPr="00EB2BD8">
        <w:t>on</w:t>
      </w:r>
      <w:r w:rsidRPr="00EB2BD8">
        <w:rPr>
          <w:spacing w:val="-9"/>
        </w:rPr>
        <w:t xml:space="preserve"> </w:t>
      </w:r>
      <w:r w:rsidRPr="00EB2BD8">
        <w:t>the</w:t>
      </w:r>
      <w:r w:rsidRPr="00EB2BD8">
        <w:rPr>
          <w:spacing w:val="-9"/>
        </w:rPr>
        <w:t xml:space="preserve"> </w:t>
      </w:r>
      <w:r w:rsidRPr="00EB2BD8">
        <w:t>insights</w:t>
      </w:r>
      <w:r w:rsidRPr="00EB2BD8">
        <w:rPr>
          <w:spacing w:val="-9"/>
        </w:rPr>
        <w:t xml:space="preserve"> </w:t>
      </w:r>
      <w:r w:rsidRPr="00EB2BD8">
        <w:t>from</w:t>
      </w:r>
      <w:r w:rsidRPr="00EB2BD8">
        <w:rPr>
          <w:spacing w:val="-9"/>
        </w:rPr>
        <w:t xml:space="preserve"> </w:t>
      </w:r>
      <w:r w:rsidRPr="00EB2BD8">
        <w:t>this</w:t>
      </w:r>
      <w:r w:rsidRPr="00EB2BD8">
        <w:rPr>
          <w:spacing w:val="-9"/>
        </w:rPr>
        <w:t xml:space="preserve"> </w:t>
      </w:r>
      <w:r w:rsidRPr="00EB2BD8">
        <w:t>project,</w:t>
      </w:r>
      <w:r w:rsidRPr="00EB2BD8">
        <w:rPr>
          <w:spacing w:val="-9"/>
        </w:rPr>
        <w:t xml:space="preserve"> </w:t>
      </w:r>
      <w:r w:rsidRPr="00EB2BD8">
        <w:t>a</w:t>
      </w:r>
      <w:r w:rsidRPr="00EB2BD8">
        <w:rPr>
          <w:spacing w:val="-9"/>
        </w:rPr>
        <w:t xml:space="preserve"> </w:t>
      </w:r>
      <w:r w:rsidRPr="00EB2BD8">
        <w:t xml:space="preserve">Practice Note about </w:t>
      </w:r>
      <w:hyperlink r:id="rId123" w:anchor="safety">
        <w:r w:rsidRPr="00EB2BD8">
          <w:t>Service penetration installations in</w:t>
        </w:r>
      </w:hyperlink>
    </w:p>
    <w:p w14:paraId="3FF5709A" w14:textId="77777777" w:rsidR="00084F36" w:rsidRPr="00EB2BD8" w:rsidRDefault="00562DC8">
      <w:pPr>
        <w:pStyle w:val="BodyText"/>
        <w:spacing w:line="261" w:lineRule="auto"/>
        <w:ind w:left="425" w:right="856"/>
      </w:pPr>
      <w:hyperlink r:id="rId124" w:anchor="safety">
        <w:r w:rsidR="00EB2BD8" w:rsidRPr="00EB2BD8">
          <w:t>fire rated and smoke proof walls</w:t>
        </w:r>
      </w:hyperlink>
      <w:r w:rsidR="00EB2BD8" w:rsidRPr="00EB2BD8">
        <w:t xml:space="preserve"> was published in December 2022 that provides guidance on selection and</w:t>
      </w:r>
      <w:r w:rsidR="00EB2BD8" w:rsidRPr="00EB2BD8">
        <w:rPr>
          <w:spacing w:val="-4"/>
        </w:rPr>
        <w:t xml:space="preserve"> </w:t>
      </w:r>
      <w:r w:rsidR="00EB2BD8" w:rsidRPr="00EB2BD8">
        <w:t>installation</w:t>
      </w:r>
      <w:r w:rsidR="00EB2BD8" w:rsidRPr="00EB2BD8">
        <w:rPr>
          <w:spacing w:val="-4"/>
        </w:rPr>
        <w:t xml:space="preserve"> </w:t>
      </w:r>
      <w:r w:rsidR="00EB2BD8" w:rsidRPr="00EB2BD8">
        <w:t>of</w:t>
      </w:r>
      <w:r w:rsidR="00EB2BD8" w:rsidRPr="00EB2BD8">
        <w:rPr>
          <w:spacing w:val="-4"/>
        </w:rPr>
        <w:t xml:space="preserve"> </w:t>
      </w:r>
      <w:r w:rsidR="00EB2BD8" w:rsidRPr="00EB2BD8">
        <w:t>service</w:t>
      </w:r>
      <w:r w:rsidR="00EB2BD8" w:rsidRPr="00EB2BD8">
        <w:rPr>
          <w:spacing w:val="-4"/>
        </w:rPr>
        <w:t xml:space="preserve"> </w:t>
      </w:r>
      <w:r w:rsidR="00EB2BD8" w:rsidRPr="00EB2BD8">
        <w:t>penetrations</w:t>
      </w:r>
      <w:r w:rsidR="00EB2BD8" w:rsidRPr="00EB2BD8">
        <w:rPr>
          <w:spacing w:val="-4"/>
        </w:rPr>
        <w:t xml:space="preserve"> </w:t>
      </w:r>
      <w:r w:rsidR="00EB2BD8" w:rsidRPr="00EB2BD8">
        <w:t>in</w:t>
      </w:r>
      <w:r w:rsidR="00EB2BD8" w:rsidRPr="00EB2BD8">
        <w:rPr>
          <w:spacing w:val="-4"/>
        </w:rPr>
        <w:t xml:space="preserve"> </w:t>
      </w:r>
      <w:r w:rsidR="00EB2BD8" w:rsidRPr="00EB2BD8">
        <w:t>fire</w:t>
      </w:r>
      <w:r w:rsidR="00EB2BD8" w:rsidRPr="00EB2BD8">
        <w:rPr>
          <w:spacing w:val="-4"/>
        </w:rPr>
        <w:t xml:space="preserve"> </w:t>
      </w:r>
      <w:r w:rsidR="00EB2BD8" w:rsidRPr="00EB2BD8">
        <w:t>rated</w:t>
      </w:r>
      <w:r w:rsidR="00EB2BD8" w:rsidRPr="00EB2BD8">
        <w:rPr>
          <w:spacing w:val="-4"/>
        </w:rPr>
        <w:t xml:space="preserve"> </w:t>
      </w:r>
      <w:r w:rsidR="00EB2BD8" w:rsidRPr="00EB2BD8">
        <w:t>and smoke-proof</w:t>
      </w:r>
      <w:r w:rsidR="00EB2BD8" w:rsidRPr="00EB2BD8">
        <w:rPr>
          <w:spacing w:val="-6"/>
        </w:rPr>
        <w:t xml:space="preserve"> </w:t>
      </w:r>
      <w:r w:rsidR="00EB2BD8" w:rsidRPr="00EB2BD8">
        <w:t>walls.</w:t>
      </w:r>
    </w:p>
    <w:p w14:paraId="45ED995D" w14:textId="77777777" w:rsidR="00084F36" w:rsidRPr="00EB2BD8" w:rsidRDefault="00EB2BD8">
      <w:pPr>
        <w:pStyle w:val="BodyText"/>
        <w:spacing w:before="108" w:line="261" w:lineRule="auto"/>
        <w:ind w:left="425" w:right="995"/>
      </w:pPr>
      <w:r w:rsidRPr="00EB2BD8">
        <w:t xml:space="preserve">Insights gained from this research informed the development of an enhanced </w:t>
      </w:r>
      <w:hyperlink r:id="rId125">
        <w:r w:rsidRPr="00EB2BD8">
          <w:t>Essential Safety</w:t>
        </w:r>
      </w:hyperlink>
      <w:r w:rsidRPr="00EB2BD8">
        <w:t xml:space="preserve"> </w:t>
      </w:r>
      <w:hyperlink r:id="rId126">
        <w:r w:rsidRPr="00EB2BD8">
          <w:t>Measures (ESM) Responsibilities Framework</w:t>
        </w:r>
      </w:hyperlink>
      <w:r w:rsidRPr="00EB2BD8">
        <w:t xml:space="preserve"> to frame ongoing</w:t>
      </w:r>
      <w:r w:rsidRPr="00EB2BD8">
        <w:rPr>
          <w:spacing w:val="-3"/>
        </w:rPr>
        <w:t xml:space="preserve"> </w:t>
      </w:r>
      <w:r w:rsidRPr="00EB2BD8">
        <w:t>regulatory</w:t>
      </w:r>
      <w:r w:rsidRPr="00EB2BD8">
        <w:rPr>
          <w:spacing w:val="-3"/>
        </w:rPr>
        <w:t xml:space="preserve"> </w:t>
      </w:r>
      <w:r w:rsidRPr="00EB2BD8">
        <w:t>interventions</w:t>
      </w:r>
      <w:r w:rsidRPr="00EB2BD8">
        <w:rPr>
          <w:spacing w:val="-3"/>
        </w:rPr>
        <w:t xml:space="preserve"> </w:t>
      </w:r>
      <w:r w:rsidRPr="00EB2BD8">
        <w:t>on</w:t>
      </w:r>
      <w:r w:rsidRPr="00EB2BD8">
        <w:rPr>
          <w:spacing w:val="-3"/>
        </w:rPr>
        <w:t xml:space="preserve"> </w:t>
      </w:r>
      <w:r w:rsidRPr="00EB2BD8">
        <w:t>the</w:t>
      </w:r>
      <w:r w:rsidRPr="00EB2BD8">
        <w:rPr>
          <w:spacing w:val="-3"/>
        </w:rPr>
        <w:t xml:space="preserve"> </w:t>
      </w:r>
      <w:r w:rsidRPr="00EB2BD8">
        <w:t>maintenance of ESMs in Class 2 to 9 buildings.</w:t>
      </w:r>
    </w:p>
    <w:p w14:paraId="47216152" w14:textId="77777777" w:rsidR="00084F36" w:rsidRPr="00EB2BD8" w:rsidRDefault="00EB2BD8">
      <w:pPr>
        <w:pStyle w:val="BodyText"/>
        <w:spacing w:before="108" w:line="261" w:lineRule="auto"/>
        <w:ind w:left="425" w:right="856"/>
      </w:pPr>
      <w:r w:rsidRPr="00EB2BD8">
        <w:t>The research insights have also informed our Proactive Inspections Program and ongoing consumer education initiatives. It complements other fire safety research supported by the VBA, including Deakin University’s research</w:t>
      </w:r>
      <w:r w:rsidRPr="00EB2BD8">
        <w:rPr>
          <w:spacing w:val="-4"/>
        </w:rPr>
        <w:t xml:space="preserve"> </w:t>
      </w:r>
      <w:hyperlink r:id="rId127">
        <w:r w:rsidRPr="00EB2BD8">
          <w:t>investigating</w:t>
        </w:r>
        <w:r w:rsidRPr="00EB2BD8">
          <w:rPr>
            <w:spacing w:val="-4"/>
          </w:rPr>
          <w:t xml:space="preserve"> </w:t>
        </w:r>
        <w:r w:rsidRPr="00EB2BD8">
          <w:t>passive</w:t>
        </w:r>
        <w:r w:rsidRPr="00EB2BD8">
          <w:rPr>
            <w:spacing w:val="-4"/>
          </w:rPr>
          <w:t xml:space="preserve"> </w:t>
        </w:r>
        <w:r w:rsidRPr="00EB2BD8">
          <w:t>fire</w:t>
        </w:r>
        <w:r w:rsidRPr="00EB2BD8">
          <w:rPr>
            <w:spacing w:val="-4"/>
          </w:rPr>
          <w:t xml:space="preserve"> </w:t>
        </w:r>
        <w:r w:rsidRPr="00EB2BD8">
          <w:t>protection</w:t>
        </w:r>
        <w:r w:rsidRPr="00EB2BD8">
          <w:rPr>
            <w:spacing w:val="-4"/>
          </w:rPr>
          <w:t xml:space="preserve"> </w:t>
        </w:r>
        <w:r w:rsidRPr="00EB2BD8">
          <w:t>defects</w:t>
        </w:r>
        <w:r w:rsidRPr="00EB2BD8">
          <w:rPr>
            <w:spacing w:val="-4"/>
          </w:rPr>
          <w:t xml:space="preserve"> </w:t>
        </w:r>
        <w:r w:rsidRPr="00EB2BD8">
          <w:t>in</w:t>
        </w:r>
      </w:hyperlink>
      <w:r w:rsidRPr="00EB2BD8">
        <w:t xml:space="preserve"> </w:t>
      </w:r>
      <w:hyperlink r:id="rId128">
        <w:r w:rsidRPr="00EB2BD8">
          <w:t>residential multi-owned properties.</w:t>
        </w:r>
      </w:hyperlink>
    </w:p>
    <w:p w14:paraId="669F6D24"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2" w:space="720" w:equalWidth="0">
            <w:col w:w="5714" w:space="40"/>
            <w:col w:w="6156"/>
          </w:cols>
        </w:sectPr>
      </w:pPr>
    </w:p>
    <w:p w14:paraId="0D2ADC91" w14:textId="77777777" w:rsidR="00084F36" w:rsidRPr="00EB2BD8" w:rsidRDefault="00084F36">
      <w:pPr>
        <w:pStyle w:val="BodyText"/>
        <w:rPr>
          <w:sz w:val="20"/>
        </w:rPr>
      </w:pPr>
    </w:p>
    <w:p w14:paraId="405C5C06" w14:textId="77777777" w:rsidR="00084F36" w:rsidRPr="00EB2BD8" w:rsidRDefault="00084F36">
      <w:pPr>
        <w:pStyle w:val="BodyText"/>
        <w:rPr>
          <w:sz w:val="20"/>
        </w:rPr>
      </w:pPr>
    </w:p>
    <w:p w14:paraId="3243389C" w14:textId="77777777" w:rsidR="00084F36" w:rsidRPr="00EB2BD8" w:rsidRDefault="00084F36">
      <w:pPr>
        <w:pStyle w:val="BodyText"/>
        <w:rPr>
          <w:sz w:val="20"/>
        </w:rPr>
      </w:pPr>
    </w:p>
    <w:p w14:paraId="57DF77C3" w14:textId="77777777" w:rsidR="00084F36" w:rsidRPr="00EB2BD8" w:rsidRDefault="00084F36">
      <w:pPr>
        <w:pStyle w:val="BodyText"/>
        <w:rPr>
          <w:sz w:val="20"/>
        </w:rPr>
      </w:pPr>
    </w:p>
    <w:p w14:paraId="33024B6F" w14:textId="77777777" w:rsidR="00084F36" w:rsidRPr="00EB2BD8" w:rsidRDefault="00084F36">
      <w:pPr>
        <w:rPr>
          <w:sz w:val="20"/>
        </w:rPr>
        <w:sectPr w:rsidR="00084F36" w:rsidRPr="00EB2BD8" w:rsidSect="006D75B2">
          <w:footerReference w:type="default" r:id="rId129"/>
          <w:pgSz w:w="11910" w:h="16840"/>
          <w:pgMar w:top="1100" w:right="0" w:bottom="700" w:left="0" w:header="0" w:footer="515" w:gutter="0"/>
          <w:cols w:space="720"/>
        </w:sectPr>
      </w:pPr>
    </w:p>
    <w:p w14:paraId="7A14A1C2" w14:textId="77777777" w:rsidR="00084F36" w:rsidRPr="00EB2BD8" w:rsidRDefault="00EB2BD8" w:rsidP="00EB2BD8">
      <w:pPr>
        <w:pStyle w:val="Heading2"/>
      </w:pPr>
      <w:bookmarkStart w:id="116" w:name="_Toc150762418"/>
      <w:r w:rsidRPr="00EB2BD8">
        <w:t>Technologically</w:t>
      </w:r>
      <w:r w:rsidRPr="00EB2BD8">
        <w:rPr>
          <w:spacing w:val="-23"/>
        </w:rPr>
        <w:t xml:space="preserve"> </w:t>
      </w:r>
      <w:r w:rsidRPr="00EB2BD8">
        <w:t>advanced</w:t>
      </w:r>
      <w:r w:rsidRPr="00EB2BD8">
        <w:rPr>
          <w:spacing w:val="-23"/>
        </w:rPr>
        <w:t xml:space="preserve"> </w:t>
      </w:r>
      <w:r w:rsidRPr="00EB2BD8">
        <w:t>and innovative industry</w:t>
      </w:r>
      <w:bookmarkEnd w:id="116"/>
    </w:p>
    <w:p w14:paraId="048E97C6" w14:textId="77777777" w:rsidR="00084F36" w:rsidRPr="00EB2BD8" w:rsidRDefault="00EB2BD8" w:rsidP="00EB2BD8">
      <w:pPr>
        <w:pStyle w:val="Heading3"/>
      </w:pPr>
      <w:bookmarkStart w:id="117" w:name="_Toc150762419"/>
      <w:r w:rsidRPr="00EB2BD8">
        <w:t>Pre-normative</w:t>
      </w:r>
      <w:r w:rsidRPr="00EB2BD8">
        <w:rPr>
          <w:spacing w:val="-15"/>
        </w:rPr>
        <w:t xml:space="preserve"> </w:t>
      </w:r>
      <w:r w:rsidRPr="00EB2BD8">
        <w:t>research</w:t>
      </w:r>
      <w:r w:rsidRPr="00EB2BD8">
        <w:rPr>
          <w:spacing w:val="-15"/>
        </w:rPr>
        <w:t xml:space="preserve"> </w:t>
      </w:r>
      <w:r w:rsidRPr="00EB2BD8">
        <w:t>on</w:t>
      </w:r>
      <w:r w:rsidRPr="00EB2BD8">
        <w:rPr>
          <w:spacing w:val="-15"/>
        </w:rPr>
        <w:t xml:space="preserve"> </w:t>
      </w:r>
      <w:r w:rsidRPr="00EB2BD8">
        <w:t>the</w:t>
      </w:r>
      <w:r w:rsidRPr="00EB2BD8">
        <w:rPr>
          <w:spacing w:val="-15"/>
        </w:rPr>
        <w:t xml:space="preserve"> </w:t>
      </w:r>
      <w:r w:rsidRPr="00EB2BD8">
        <w:t>fire</w:t>
      </w:r>
      <w:r w:rsidRPr="00EB2BD8">
        <w:rPr>
          <w:spacing w:val="-15"/>
        </w:rPr>
        <w:t xml:space="preserve"> </w:t>
      </w:r>
      <w:r w:rsidRPr="00EB2BD8">
        <w:t xml:space="preserve">safety </w:t>
      </w:r>
      <w:r w:rsidRPr="00EB2BD8">
        <w:rPr>
          <w:spacing w:val="-2"/>
        </w:rPr>
        <w:t>of</w:t>
      </w:r>
      <w:r w:rsidRPr="00EB2BD8">
        <w:rPr>
          <w:spacing w:val="-16"/>
        </w:rPr>
        <w:t xml:space="preserve"> </w:t>
      </w:r>
      <w:r w:rsidRPr="00EB2BD8">
        <w:rPr>
          <w:spacing w:val="-2"/>
        </w:rPr>
        <w:t>solar</w:t>
      </w:r>
      <w:r w:rsidRPr="00EB2BD8">
        <w:rPr>
          <w:spacing w:val="-16"/>
        </w:rPr>
        <w:t xml:space="preserve"> </w:t>
      </w:r>
      <w:r w:rsidRPr="00EB2BD8">
        <w:rPr>
          <w:spacing w:val="-2"/>
        </w:rPr>
        <w:t>building</w:t>
      </w:r>
      <w:r w:rsidRPr="00EB2BD8">
        <w:rPr>
          <w:spacing w:val="-16"/>
        </w:rPr>
        <w:t xml:space="preserve"> </w:t>
      </w:r>
      <w:r w:rsidRPr="00EB2BD8">
        <w:rPr>
          <w:spacing w:val="-2"/>
        </w:rPr>
        <w:t>envelopes</w:t>
      </w:r>
      <w:bookmarkEnd w:id="117"/>
    </w:p>
    <w:p w14:paraId="6D6149FD" w14:textId="77777777" w:rsidR="00084F36" w:rsidRPr="00EB2BD8" w:rsidRDefault="00EB2BD8" w:rsidP="00EB2BD8">
      <w:pPr>
        <w:pStyle w:val="Heading4"/>
      </w:pPr>
      <w:r w:rsidRPr="00EB2BD8">
        <w:t>What</w:t>
      </w:r>
      <w:r w:rsidRPr="00EB2BD8">
        <w:rPr>
          <w:spacing w:val="-15"/>
        </w:rPr>
        <w:t xml:space="preserve"> </w:t>
      </w:r>
      <w:r w:rsidRPr="00EB2BD8">
        <w:t>we</w:t>
      </w:r>
      <w:r w:rsidRPr="00EB2BD8">
        <w:rPr>
          <w:spacing w:val="-14"/>
        </w:rPr>
        <w:t xml:space="preserve"> </w:t>
      </w:r>
      <w:r w:rsidRPr="00EB2BD8">
        <w:t>did</w:t>
      </w:r>
      <w:r w:rsidRPr="00EB2BD8">
        <w:rPr>
          <w:spacing w:val="-14"/>
        </w:rPr>
        <w:t xml:space="preserve"> </w:t>
      </w:r>
      <w:r w:rsidRPr="00EB2BD8">
        <w:t>and</w:t>
      </w:r>
      <w:r w:rsidRPr="00EB2BD8">
        <w:rPr>
          <w:spacing w:val="-15"/>
        </w:rPr>
        <w:t xml:space="preserve"> </w:t>
      </w:r>
      <w:r w:rsidRPr="00EB2BD8">
        <w:rPr>
          <w:spacing w:val="-5"/>
        </w:rPr>
        <w:t>why</w:t>
      </w:r>
    </w:p>
    <w:p w14:paraId="48605E8E" w14:textId="77777777" w:rsidR="00084F36" w:rsidRPr="00EB2BD8" w:rsidRDefault="00EB2BD8">
      <w:pPr>
        <w:pStyle w:val="BodyText"/>
        <w:spacing w:before="101" w:line="261" w:lineRule="auto"/>
        <w:ind w:left="842" w:right="391"/>
      </w:pPr>
      <w:r w:rsidRPr="00EB2BD8">
        <w:t>The VBA supported research by RMIT University, through</w:t>
      </w:r>
      <w:r w:rsidRPr="00EB2BD8">
        <w:rPr>
          <w:spacing w:val="-15"/>
        </w:rPr>
        <w:t xml:space="preserve"> </w:t>
      </w:r>
      <w:r w:rsidRPr="00EB2BD8">
        <w:t>a</w:t>
      </w:r>
      <w:r w:rsidRPr="00EB2BD8">
        <w:rPr>
          <w:spacing w:val="-14"/>
        </w:rPr>
        <w:t xml:space="preserve"> </w:t>
      </w:r>
      <w:r w:rsidRPr="00EB2BD8">
        <w:t>research</w:t>
      </w:r>
      <w:r w:rsidRPr="00EB2BD8">
        <w:rPr>
          <w:spacing w:val="-14"/>
        </w:rPr>
        <w:t xml:space="preserve"> </w:t>
      </w:r>
      <w:r w:rsidRPr="00EB2BD8">
        <w:t>grant</w:t>
      </w:r>
      <w:r w:rsidRPr="00EB2BD8">
        <w:rPr>
          <w:spacing w:val="-14"/>
        </w:rPr>
        <w:t xml:space="preserve"> </w:t>
      </w:r>
      <w:r w:rsidRPr="00EB2BD8">
        <w:t>awarded</w:t>
      </w:r>
      <w:r w:rsidRPr="00EB2BD8">
        <w:rPr>
          <w:spacing w:val="-15"/>
        </w:rPr>
        <w:t xml:space="preserve"> </w:t>
      </w:r>
      <w:r w:rsidRPr="00EB2BD8">
        <w:t>in</w:t>
      </w:r>
      <w:r w:rsidRPr="00EB2BD8">
        <w:rPr>
          <w:spacing w:val="-14"/>
        </w:rPr>
        <w:t xml:space="preserve"> </w:t>
      </w:r>
      <w:r w:rsidRPr="00EB2BD8">
        <w:t>2021,</w:t>
      </w:r>
      <w:r w:rsidRPr="00EB2BD8">
        <w:rPr>
          <w:spacing w:val="-14"/>
        </w:rPr>
        <w:t xml:space="preserve"> </w:t>
      </w:r>
      <w:r w:rsidRPr="00EB2BD8">
        <w:t>to</w:t>
      </w:r>
      <w:r w:rsidRPr="00EB2BD8">
        <w:rPr>
          <w:spacing w:val="-14"/>
        </w:rPr>
        <w:t xml:space="preserve"> </w:t>
      </w:r>
      <w:r w:rsidRPr="00EB2BD8">
        <w:t>better understand</w:t>
      </w:r>
      <w:r w:rsidRPr="00EB2BD8">
        <w:rPr>
          <w:spacing w:val="-3"/>
        </w:rPr>
        <w:t xml:space="preserve"> </w:t>
      </w:r>
      <w:r w:rsidRPr="00EB2BD8">
        <w:t>the</w:t>
      </w:r>
      <w:r w:rsidRPr="00EB2BD8">
        <w:rPr>
          <w:spacing w:val="-3"/>
        </w:rPr>
        <w:t xml:space="preserve"> </w:t>
      </w:r>
      <w:r w:rsidRPr="00EB2BD8">
        <w:t>fire</w:t>
      </w:r>
      <w:r w:rsidRPr="00EB2BD8">
        <w:rPr>
          <w:spacing w:val="-3"/>
        </w:rPr>
        <w:t xml:space="preserve"> </w:t>
      </w:r>
      <w:r w:rsidRPr="00EB2BD8">
        <w:t>safety</w:t>
      </w:r>
      <w:r w:rsidRPr="00EB2BD8">
        <w:rPr>
          <w:spacing w:val="-3"/>
        </w:rPr>
        <w:t xml:space="preserve"> </w:t>
      </w:r>
      <w:r w:rsidRPr="00EB2BD8">
        <w:t>risks</w:t>
      </w:r>
      <w:r w:rsidRPr="00EB2BD8">
        <w:rPr>
          <w:spacing w:val="-3"/>
        </w:rPr>
        <w:t xml:space="preserve"> </w:t>
      </w:r>
      <w:r w:rsidRPr="00EB2BD8">
        <w:t>associated</w:t>
      </w:r>
      <w:r w:rsidRPr="00EB2BD8">
        <w:rPr>
          <w:spacing w:val="-3"/>
        </w:rPr>
        <w:t xml:space="preserve"> </w:t>
      </w:r>
      <w:r w:rsidRPr="00EB2BD8">
        <w:t>with</w:t>
      </w:r>
      <w:r w:rsidRPr="00EB2BD8">
        <w:rPr>
          <w:spacing w:val="-3"/>
        </w:rPr>
        <w:t xml:space="preserve"> </w:t>
      </w:r>
      <w:r w:rsidRPr="00EB2BD8">
        <w:t>the installation</w:t>
      </w:r>
      <w:r w:rsidRPr="00EB2BD8">
        <w:rPr>
          <w:spacing w:val="-1"/>
        </w:rPr>
        <w:t xml:space="preserve"> </w:t>
      </w:r>
      <w:r w:rsidRPr="00EB2BD8">
        <w:t>of</w:t>
      </w:r>
      <w:r w:rsidRPr="00EB2BD8">
        <w:rPr>
          <w:spacing w:val="-1"/>
        </w:rPr>
        <w:t xml:space="preserve"> </w:t>
      </w:r>
      <w:r w:rsidRPr="00EB2BD8">
        <w:t>solar</w:t>
      </w:r>
      <w:r w:rsidRPr="00EB2BD8">
        <w:rPr>
          <w:spacing w:val="-1"/>
        </w:rPr>
        <w:t xml:space="preserve"> </w:t>
      </w:r>
      <w:r w:rsidRPr="00EB2BD8">
        <w:t>panels</w:t>
      </w:r>
      <w:r w:rsidRPr="00EB2BD8">
        <w:rPr>
          <w:spacing w:val="-1"/>
        </w:rPr>
        <w:t xml:space="preserve"> </w:t>
      </w:r>
      <w:r w:rsidRPr="00EB2BD8">
        <w:t>built</w:t>
      </w:r>
      <w:r w:rsidRPr="00EB2BD8">
        <w:rPr>
          <w:spacing w:val="-1"/>
        </w:rPr>
        <w:t xml:space="preserve"> </w:t>
      </w:r>
      <w:r w:rsidRPr="00EB2BD8">
        <w:t>into</w:t>
      </w:r>
      <w:r w:rsidRPr="00EB2BD8">
        <w:rPr>
          <w:spacing w:val="-1"/>
        </w:rPr>
        <w:t xml:space="preserve"> </w:t>
      </w:r>
      <w:r w:rsidRPr="00EB2BD8">
        <w:t>the</w:t>
      </w:r>
      <w:r w:rsidRPr="00EB2BD8">
        <w:rPr>
          <w:spacing w:val="-1"/>
        </w:rPr>
        <w:t xml:space="preserve"> </w:t>
      </w:r>
      <w:r w:rsidRPr="00EB2BD8">
        <w:t>facades</w:t>
      </w:r>
      <w:r w:rsidRPr="00EB2BD8">
        <w:rPr>
          <w:spacing w:val="-1"/>
        </w:rPr>
        <w:t xml:space="preserve"> </w:t>
      </w:r>
      <w:r w:rsidRPr="00EB2BD8">
        <w:t>of multi-storey</w:t>
      </w:r>
      <w:r w:rsidRPr="00EB2BD8">
        <w:rPr>
          <w:spacing w:val="-6"/>
        </w:rPr>
        <w:t xml:space="preserve"> </w:t>
      </w:r>
      <w:r w:rsidRPr="00EB2BD8">
        <w:t>buildings.</w:t>
      </w:r>
    </w:p>
    <w:p w14:paraId="341839F0" w14:textId="77777777" w:rsidR="00084F36" w:rsidRPr="00EB2BD8" w:rsidRDefault="00EB2BD8">
      <w:pPr>
        <w:pStyle w:val="BodyText"/>
        <w:spacing w:before="108" w:line="261" w:lineRule="auto"/>
        <w:ind w:left="842"/>
      </w:pPr>
      <w:r w:rsidRPr="00EB2BD8">
        <w:t>Building</w:t>
      </w:r>
      <w:r w:rsidRPr="00EB2BD8">
        <w:rPr>
          <w:spacing w:val="-2"/>
        </w:rPr>
        <w:t xml:space="preserve"> </w:t>
      </w:r>
      <w:r w:rsidRPr="00EB2BD8">
        <w:t>integrated</w:t>
      </w:r>
      <w:r w:rsidRPr="00EB2BD8">
        <w:rPr>
          <w:spacing w:val="-2"/>
        </w:rPr>
        <w:t xml:space="preserve"> </w:t>
      </w:r>
      <w:r w:rsidRPr="00EB2BD8">
        <w:t>photovoltaics</w:t>
      </w:r>
      <w:r w:rsidRPr="00EB2BD8">
        <w:rPr>
          <w:spacing w:val="-2"/>
        </w:rPr>
        <w:t xml:space="preserve"> </w:t>
      </w:r>
      <w:r w:rsidRPr="00EB2BD8">
        <w:t>(BIPV)</w:t>
      </w:r>
      <w:r w:rsidRPr="00EB2BD8">
        <w:rPr>
          <w:spacing w:val="-2"/>
        </w:rPr>
        <w:t xml:space="preserve"> </w:t>
      </w:r>
      <w:r w:rsidRPr="00EB2BD8">
        <w:t>is</w:t>
      </w:r>
      <w:r w:rsidRPr="00EB2BD8">
        <w:rPr>
          <w:spacing w:val="-2"/>
        </w:rPr>
        <w:t xml:space="preserve"> </w:t>
      </w:r>
      <w:r w:rsidRPr="00EB2BD8">
        <w:t>an</w:t>
      </w:r>
      <w:r w:rsidRPr="00EB2BD8">
        <w:rPr>
          <w:spacing w:val="-2"/>
        </w:rPr>
        <w:t xml:space="preserve"> </w:t>
      </w:r>
      <w:r w:rsidRPr="00EB2BD8">
        <w:t>emerging technology that integrates photovoltaics (PV) into building elements (e.g., external wall cladding, roofs)</w:t>
      </w:r>
    </w:p>
    <w:p w14:paraId="2073898D" w14:textId="77777777" w:rsidR="00084F36" w:rsidRPr="00EB2BD8" w:rsidRDefault="00EB2BD8">
      <w:pPr>
        <w:pStyle w:val="BodyText"/>
        <w:spacing w:line="261" w:lineRule="auto"/>
        <w:ind w:left="842" w:right="232"/>
      </w:pPr>
      <w:r w:rsidRPr="00EB2BD8">
        <w:t>to harvest solar energy, with the potential to meet the</w:t>
      </w:r>
      <w:r w:rsidRPr="00EB2BD8">
        <w:rPr>
          <w:spacing w:val="-8"/>
        </w:rPr>
        <w:t xml:space="preserve"> </w:t>
      </w:r>
      <w:r w:rsidRPr="00EB2BD8">
        <w:t>future</w:t>
      </w:r>
      <w:r w:rsidRPr="00EB2BD8">
        <w:rPr>
          <w:spacing w:val="-8"/>
        </w:rPr>
        <w:t xml:space="preserve"> </w:t>
      </w:r>
      <w:r w:rsidRPr="00EB2BD8">
        <w:t>energy</w:t>
      </w:r>
      <w:r w:rsidRPr="00EB2BD8">
        <w:rPr>
          <w:spacing w:val="-8"/>
        </w:rPr>
        <w:t xml:space="preserve"> </w:t>
      </w:r>
      <w:r w:rsidRPr="00EB2BD8">
        <w:t>needs</w:t>
      </w:r>
      <w:r w:rsidRPr="00EB2BD8">
        <w:rPr>
          <w:spacing w:val="-8"/>
        </w:rPr>
        <w:t xml:space="preserve"> </w:t>
      </w:r>
      <w:r w:rsidRPr="00EB2BD8">
        <w:t>of</w:t>
      </w:r>
      <w:r w:rsidRPr="00EB2BD8">
        <w:rPr>
          <w:spacing w:val="-8"/>
        </w:rPr>
        <w:t xml:space="preserve"> </w:t>
      </w:r>
      <w:r w:rsidRPr="00EB2BD8">
        <w:t>buildings.</w:t>
      </w:r>
      <w:r w:rsidRPr="00EB2BD8">
        <w:rPr>
          <w:spacing w:val="-8"/>
        </w:rPr>
        <w:t xml:space="preserve"> </w:t>
      </w:r>
      <w:r w:rsidRPr="00EB2BD8">
        <w:t>While</w:t>
      </w:r>
      <w:r w:rsidRPr="00EB2BD8">
        <w:rPr>
          <w:spacing w:val="-8"/>
        </w:rPr>
        <w:t xml:space="preserve"> </w:t>
      </w:r>
      <w:r w:rsidRPr="00EB2BD8">
        <w:t>it</w:t>
      </w:r>
      <w:r w:rsidRPr="00EB2BD8">
        <w:rPr>
          <w:spacing w:val="-8"/>
        </w:rPr>
        <w:t xml:space="preserve"> </w:t>
      </w:r>
      <w:r w:rsidRPr="00EB2BD8">
        <w:t>has</w:t>
      </w:r>
      <w:r w:rsidRPr="00EB2BD8">
        <w:rPr>
          <w:spacing w:val="-8"/>
        </w:rPr>
        <w:t xml:space="preserve"> </w:t>
      </w:r>
      <w:r w:rsidRPr="00EB2BD8">
        <w:t>not yet</w:t>
      </w:r>
      <w:r w:rsidRPr="00EB2BD8">
        <w:rPr>
          <w:spacing w:val="-9"/>
        </w:rPr>
        <w:t xml:space="preserve"> </w:t>
      </w:r>
      <w:r w:rsidRPr="00EB2BD8">
        <w:t>been</w:t>
      </w:r>
      <w:r w:rsidRPr="00EB2BD8">
        <w:rPr>
          <w:spacing w:val="-9"/>
        </w:rPr>
        <w:t xml:space="preserve"> </w:t>
      </w:r>
      <w:r w:rsidRPr="00EB2BD8">
        <w:t>widely</w:t>
      </w:r>
      <w:r w:rsidRPr="00EB2BD8">
        <w:rPr>
          <w:spacing w:val="-9"/>
        </w:rPr>
        <w:t xml:space="preserve"> </w:t>
      </w:r>
      <w:r w:rsidRPr="00EB2BD8">
        <w:t>adopted</w:t>
      </w:r>
      <w:r w:rsidRPr="00EB2BD8">
        <w:rPr>
          <w:spacing w:val="-9"/>
        </w:rPr>
        <w:t xml:space="preserve"> </w:t>
      </w:r>
      <w:r w:rsidRPr="00EB2BD8">
        <w:t>nationally</w:t>
      </w:r>
      <w:r w:rsidRPr="00EB2BD8">
        <w:rPr>
          <w:spacing w:val="-9"/>
        </w:rPr>
        <w:t xml:space="preserve"> </w:t>
      </w:r>
      <w:r w:rsidRPr="00EB2BD8">
        <w:t>or</w:t>
      </w:r>
      <w:r w:rsidRPr="00EB2BD8">
        <w:rPr>
          <w:spacing w:val="-9"/>
        </w:rPr>
        <w:t xml:space="preserve"> </w:t>
      </w:r>
      <w:r w:rsidRPr="00EB2BD8">
        <w:t>internationally, demand for its adoption will likely increase due to</w:t>
      </w:r>
    </w:p>
    <w:p w14:paraId="0B70A624" w14:textId="77777777" w:rsidR="00084F36" w:rsidRPr="00EB2BD8" w:rsidRDefault="00EB2BD8">
      <w:pPr>
        <w:pStyle w:val="BodyText"/>
        <w:spacing w:line="261" w:lineRule="auto"/>
        <w:ind w:left="842" w:right="391"/>
      </w:pPr>
      <w:r w:rsidRPr="00EB2BD8">
        <w:t>a</w:t>
      </w:r>
      <w:r w:rsidRPr="00EB2BD8">
        <w:rPr>
          <w:spacing w:val="-3"/>
        </w:rPr>
        <w:t xml:space="preserve"> </w:t>
      </w:r>
      <w:r w:rsidRPr="00EB2BD8">
        <w:t>greater</w:t>
      </w:r>
      <w:r w:rsidRPr="00EB2BD8">
        <w:rPr>
          <w:spacing w:val="-3"/>
        </w:rPr>
        <w:t xml:space="preserve"> </w:t>
      </w:r>
      <w:r w:rsidRPr="00EB2BD8">
        <w:t>need</w:t>
      </w:r>
      <w:r w:rsidRPr="00EB2BD8">
        <w:rPr>
          <w:spacing w:val="-3"/>
        </w:rPr>
        <w:t xml:space="preserve"> </w:t>
      </w:r>
      <w:r w:rsidRPr="00EB2BD8">
        <w:t>for</w:t>
      </w:r>
      <w:r w:rsidRPr="00EB2BD8">
        <w:rPr>
          <w:spacing w:val="-3"/>
        </w:rPr>
        <w:t xml:space="preserve"> </w:t>
      </w:r>
      <w:r w:rsidRPr="00EB2BD8">
        <w:t>alternative</w:t>
      </w:r>
      <w:r w:rsidRPr="00EB2BD8">
        <w:rPr>
          <w:spacing w:val="-3"/>
        </w:rPr>
        <w:t xml:space="preserve"> </w:t>
      </w:r>
      <w:r w:rsidRPr="00EB2BD8">
        <w:t>energy,</w:t>
      </w:r>
      <w:r w:rsidRPr="00EB2BD8">
        <w:rPr>
          <w:spacing w:val="-3"/>
        </w:rPr>
        <w:t xml:space="preserve"> </w:t>
      </w:r>
      <w:r w:rsidRPr="00EB2BD8">
        <w:t>particularly for high-rise commercial buildings. BIPV is not a conventional passive material in terms of how it</w:t>
      </w:r>
    </w:p>
    <w:p w14:paraId="7BA2643A" w14:textId="77777777" w:rsidR="00084F36" w:rsidRPr="00EB2BD8" w:rsidRDefault="00EB2BD8">
      <w:pPr>
        <w:pStyle w:val="BodyText"/>
        <w:spacing w:line="261" w:lineRule="auto"/>
        <w:ind w:left="842"/>
      </w:pPr>
      <w:r w:rsidRPr="00EB2BD8">
        <w:t>might</w:t>
      </w:r>
      <w:r w:rsidRPr="00EB2BD8">
        <w:rPr>
          <w:spacing w:val="-4"/>
        </w:rPr>
        <w:t xml:space="preserve"> </w:t>
      </w:r>
      <w:r w:rsidRPr="00EB2BD8">
        <w:t>react</w:t>
      </w:r>
      <w:r w:rsidRPr="00EB2BD8">
        <w:rPr>
          <w:spacing w:val="-4"/>
        </w:rPr>
        <w:t xml:space="preserve"> </w:t>
      </w:r>
      <w:r w:rsidRPr="00EB2BD8">
        <w:t>to</w:t>
      </w:r>
      <w:r w:rsidRPr="00EB2BD8">
        <w:rPr>
          <w:spacing w:val="-4"/>
        </w:rPr>
        <w:t xml:space="preserve"> </w:t>
      </w:r>
      <w:r w:rsidRPr="00EB2BD8">
        <w:t>a</w:t>
      </w:r>
      <w:r w:rsidRPr="00EB2BD8">
        <w:rPr>
          <w:spacing w:val="-4"/>
        </w:rPr>
        <w:t xml:space="preserve"> </w:t>
      </w:r>
      <w:r w:rsidRPr="00EB2BD8">
        <w:t>fire</w:t>
      </w:r>
      <w:r w:rsidRPr="00EB2BD8">
        <w:rPr>
          <w:spacing w:val="-4"/>
        </w:rPr>
        <w:t xml:space="preserve"> </w:t>
      </w:r>
      <w:r w:rsidRPr="00EB2BD8">
        <w:t>but</w:t>
      </w:r>
      <w:r w:rsidRPr="00EB2BD8">
        <w:rPr>
          <w:spacing w:val="-4"/>
        </w:rPr>
        <w:t xml:space="preserve"> </w:t>
      </w:r>
      <w:r w:rsidRPr="00EB2BD8">
        <w:t>is</w:t>
      </w:r>
      <w:r w:rsidRPr="00EB2BD8">
        <w:rPr>
          <w:spacing w:val="-4"/>
        </w:rPr>
        <w:t xml:space="preserve"> </w:t>
      </w:r>
      <w:r w:rsidRPr="00EB2BD8">
        <w:t>an</w:t>
      </w:r>
      <w:r w:rsidRPr="00EB2BD8">
        <w:rPr>
          <w:spacing w:val="-4"/>
        </w:rPr>
        <w:t xml:space="preserve"> </w:t>
      </w:r>
      <w:r w:rsidRPr="00EB2BD8">
        <w:t>active</w:t>
      </w:r>
      <w:r w:rsidRPr="00EB2BD8">
        <w:rPr>
          <w:spacing w:val="-4"/>
        </w:rPr>
        <w:t xml:space="preserve"> </w:t>
      </w:r>
      <w:r w:rsidRPr="00EB2BD8">
        <w:t>system</w:t>
      </w:r>
      <w:r w:rsidRPr="00EB2BD8">
        <w:rPr>
          <w:spacing w:val="-4"/>
        </w:rPr>
        <w:t xml:space="preserve"> </w:t>
      </w:r>
      <w:r w:rsidRPr="00EB2BD8">
        <w:t>that</w:t>
      </w:r>
      <w:r w:rsidRPr="00EB2BD8">
        <w:rPr>
          <w:spacing w:val="-4"/>
        </w:rPr>
        <w:t xml:space="preserve"> </w:t>
      </w:r>
      <w:r w:rsidRPr="00EB2BD8">
        <w:t>may contribute to fire ignition and spread.</w:t>
      </w:r>
    </w:p>
    <w:p w14:paraId="1FEC0B45" w14:textId="77777777" w:rsidR="00084F36" w:rsidRPr="00EB2BD8" w:rsidRDefault="00EB2BD8">
      <w:pPr>
        <w:pStyle w:val="BodyText"/>
        <w:spacing w:before="101" w:line="261" w:lineRule="auto"/>
        <w:ind w:left="842"/>
      </w:pPr>
      <w:r w:rsidRPr="00EB2BD8">
        <w:t>Fire safety is of vital concern in the use of BIPV in buildings. It is essential that BIPV use on building facades and roofs to replace conventional building materials does not adversely affect the safety of building occupants and fire fighters, or the structural performance</w:t>
      </w:r>
      <w:r w:rsidRPr="00EB2BD8">
        <w:rPr>
          <w:spacing w:val="-1"/>
        </w:rPr>
        <w:t xml:space="preserve"> </w:t>
      </w:r>
      <w:r w:rsidRPr="00EB2BD8">
        <w:t>of</w:t>
      </w:r>
      <w:r w:rsidRPr="00EB2BD8">
        <w:rPr>
          <w:spacing w:val="-1"/>
        </w:rPr>
        <w:t xml:space="preserve"> </w:t>
      </w:r>
      <w:r w:rsidRPr="00EB2BD8">
        <w:t>buildings.</w:t>
      </w:r>
      <w:r w:rsidRPr="00EB2BD8">
        <w:rPr>
          <w:spacing w:val="-1"/>
        </w:rPr>
        <w:t xml:space="preserve"> </w:t>
      </w:r>
      <w:r w:rsidRPr="00EB2BD8">
        <w:t>Limited</w:t>
      </w:r>
      <w:r w:rsidRPr="00EB2BD8">
        <w:rPr>
          <w:spacing w:val="-1"/>
        </w:rPr>
        <w:t xml:space="preserve"> </w:t>
      </w:r>
      <w:r w:rsidRPr="00EB2BD8">
        <w:t>studies</w:t>
      </w:r>
      <w:r w:rsidRPr="00EB2BD8">
        <w:rPr>
          <w:spacing w:val="-1"/>
        </w:rPr>
        <w:t xml:space="preserve"> </w:t>
      </w:r>
      <w:r w:rsidRPr="00EB2BD8">
        <w:t>exist</w:t>
      </w:r>
      <w:r w:rsidRPr="00EB2BD8">
        <w:rPr>
          <w:spacing w:val="-1"/>
        </w:rPr>
        <w:t xml:space="preserve"> </w:t>
      </w:r>
      <w:r w:rsidRPr="00EB2BD8">
        <w:t>for</w:t>
      </w:r>
      <w:r w:rsidRPr="00EB2BD8">
        <w:rPr>
          <w:spacing w:val="-1"/>
        </w:rPr>
        <w:t xml:space="preserve"> </w:t>
      </w:r>
      <w:r w:rsidRPr="00EB2BD8">
        <w:t>the building industry to fully understand the fire risks of BIPV</w:t>
      </w:r>
      <w:r w:rsidRPr="00EB2BD8">
        <w:rPr>
          <w:spacing w:val="-1"/>
        </w:rPr>
        <w:t xml:space="preserve"> </w:t>
      </w:r>
      <w:r w:rsidRPr="00EB2BD8">
        <w:t>and</w:t>
      </w:r>
      <w:r w:rsidRPr="00EB2BD8">
        <w:rPr>
          <w:spacing w:val="-1"/>
        </w:rPr>
        <w:t xml:space="preserve"> </w:t>
      </w:r>
      <w:r w:rsidRPr="00EB2BD8">
        <w:t>the</w:t>
      </w:r>
      <w:r w:rsidRPr="00EB2BD8">
        <w:rPr>
          <w:spacing w:val="-1"/>
        </w:rPr>
        <w:t xml:space="preserve"> </w:t>
      </w:r>
      <w:r w:rsidRPr="00EB2BD8">
        <w:t>requirements</w:t>
      </w:r>
      <w:r w:rsidRPr="00EB2BD8">
        <w:rPr>
          <w:spacing w:val="-1"/>
        </w:rPr>
        <w:t xml:space="preserve"> </w:t>
      </w:r>
      <w:r w:rsidRPr="00EB2BD8">
        <w:t>applicable</w:t>
      </w:r>
      <w:r w:rsidRPr="00EB2BD8">
        <w:rPr>
          <w:spacing w:val="-1"/>
        </w:rPr>
        <w:t xml:space="preserve"> </w:t>
      </w:r>
      <w:r w:rsidRPr="00EB2BD8">
        <w:t>to</w:t>
      </w:r>
      <w:r w:rsidRPr="00EB2BD8">
        <w:rPr>
          <w:spacing w:val="-1"/>
        </w:rPr>
        <w:t xml:space="preserve"> </w:t>
      </w:r>
      <w:r w:rsidRPr="00EB2BD8">
        <w:t>BIPV</w:t>
      </w:r>
      <w:r w:rsidRPr="00EB2BD8">
        <w:rPr>
          <w:spacing w:val="-1"/>
        </w:rPr>
        <w:t xml:space="preserve"> </w:t>
      </w:r>
      <w:r w:rsidRPr="00EB2BD8">
        <w:t>modules, both as elements for electricity production and as building</w:t>
      </w:r>
      <w:r w:rsidRPr="00EB2BD8">
        <w:rPr>
          <w:spacing w:val="-6"/>
        </w:rPr>
        <w:t xml:space="preserve"> </w:t>
      </w:r>
      <w:r w:rsidRPr="00EB2BD8">
        <w:t>elements.</w:t>
      </w:r>
    </w:p>
    <w:p w14:paraId="3D7915D5" w14:textId="77777777" w:rsidR="00084F36" w:rsidRPr="00EB2BD8" w:rsidRDefault="00EB2BD8">
      <w:pPr>
        <w:pStyle w:val="BodyText"/>
        <w:spacing w:before="103" w:line="261" w:lineRule="auto"/>
        <w:ind w:left="842"/>
      </w:pPr>
      <w:r w:rsidRPr="00EB2BD8">
        <w:t>RMIT</w:t>
      </w:r>
      <w:r w:rsidRPr="00EB2BD8">
        <w:rPr>
          <w:spacing w:val="-7"/>
        </w:rPr>
        <w:t xml:space="preserve"> </w:t>
      </w:r>
      <w:r w:rsidRPr="00EB2BD8">
        <w:t>University’s</w:t>
      </w:r>
      <w:r w:rsidRPr="00EB2BD8">
        <w:rPr>
          <w:spacing w:val="-7"/>
        </w:rPr>
        <w:t xml:space="preserve"> </w:t>
      </w:r>
      <w:r w:rsidRPr="00EB2BD8">
        <w:t>Associate</w:t>
      </w:r>
      <w:r w:rsidRPr="00EB2BD8">
        <w:rPr>
          <w:spacing w:val="-7"/>
        </w:rPr>
        <w:t xml:space="preserve"> </w:t>
      </w:r>
      <w:r w:rsidRPr="00EB2BD8">
        <w:t>Professor</w:t>
      </w:r>
      <w:r w:rsidRPr="00EB2BD8">
        <w:rPr>
          <w:spacing w:val="-7"/>
        </w:rPr>
        <w:t xml:space="preserve"> </w:t>
      </w:r>
      <w:r w:rsidRPr="00EB2BD8">
        <w:t>Rebecca</w:t>
      </w:r>
      <w:r w:rsidRPr="00EB2BD8">
        <w:rPr>
          <w:spacing w:val="-7"/>
        </w:rPr>
        <w:t xml:space="preserve"> </w:t>
      </w:r>
      <w:r w:rsidRPr="00EB2BD8">
        <w:t>Yang</w:t>
      </w:r>
      <w:r w:rsidRPr="00EB2BD8">
        <w:rPr>
          <w:spacing w:val="-7"/>
        </w:rPr>
        <w:t xml:space="preserve"> </w:t>
      </w:r>
      <w:r w:rsidRPr="00EB2BD8">
        <w:t>led the</w:t>
      </w:r>
      <w:r w:rsidRPr="00EB2BD8">
        <w:rPr>
          <w:spacing w:val="-6"/>
        </w:rPr>
        <w:t xml:space="preserve"> </w:t>
      </w:r>
      <w:r w:rsidRPr="00EB2BD8">
        <w:t>research.</w:t>
      </w:r>
    </w:p>
    <w:p w14:paraId="694755F5" w14:textId="77777777" w:rsidR="00084F36" w:rsidRPr="00EB2BD8" w:rsidRDefault="00EB2BD8">
      <w:pPr>
        <w:pStyle w:val="BodyText"/>
        <w:spacing w:before="111"/>
        <w:ind w:left="842"/>
      </w:pPr>
      <w:r w:rsidRPr="00EB2BD8">
        <w:t>The</w:t>
      </w:r>
      <w:r w:rsidRPr="00EB2BD8">
        <w:rPr>
          <w:spacing w:val="1"/>
        </w:rPr>
        <w:t xml:space="preserve"> </w:t>
      </w:r>
      <w:hyperlink r:id="rId130">
        <w:r w:rsidRPr="00EB2BD8">
          <w:t>research</w:t>
        </w:r>
        <w:r w:rsidRPr="00EB2BD8">
          <w:rPr>
            <w:spacing w:val="1"/>
          </w:rPr>
          <w:t xml:space="preserve"> </w:t>
        </w:r>
        <w:r w:rsidRPr="00EB2BD8">
          <w:t>report</w:t>
        </w:r>
      </w:hyperlink>
      <w:r w:rsidRPr="00EB2BD8">
        <w:rPr>
          <w:spacing w:val="2"/>
        </w:rPr>
        <w:t xml:space="preserve"> </w:t>
      </w:r>
      <w:r w:rsidRPr="00EB2BD8">
        <w:t>was</w:t>
      </w:r>
      <w:r w:rsidRPr="00EB2BD8">
        <w:rPr>
          <w:spacing w:val="1"/>
        </w:rPr>
        <w:t xml:space="preserve"> </w:t>
      </w:r>
      <w:r w:rsidRPr="00EB2BD8">
        <w:t>published</w:t>
      </w:r>
      <w:r w:rsidRPr="00EB2BD8">
        <w:rPr>
          <w:spacing w:val="1"/>
        </w:rPr>
        <w:t xml:space="preserve"> </w:t>
      </w:r>
      <w:r w:rsidRPr="00EB2BD8">
        <w:t>in</w:t>
      </w:r>
      <w:r w:rsidRPr="00EB2BD8">
        <w:rPr>
          <w:spacing w:val="2"/>
        </w:rPr>
        <w:t xml:space="preserve"> </w:t>
      </w:r>
      <w:r w:rsidRPr="00EB2BD8">
        <w:t>July</w:t>
      </w:r>
      <w:r w:rsidRPr="00EB2BD8">
        <w:rPr>
          <w:spacing w:val="1"/>
        </w:rPr>
        <w:t xml:space="preserve"> </w:t>
      </w:r>
      <w:r w:rsidRPr="00EB2BD8">
        <w:rPr>
          <w:spacing w:val="-4"/>
        </w:rPr>
        <w:t>2023.</w:t>
      </w:r>
    </w:p>
    <w:p w14:paraId="70B98014" w14:textId="77777777" w:rsidR="00084F36" w:rsidRPr="00EB2BD8" w:rsidRDefault="00EB2BD8" w:rsidP="00EB2BD8">
      <w:pPr>
        <w:pStyle w:val="Heading4"/>
      </w:pPr>
      <w:r w:rsidRPr="00EB2BD8">
        <w:br w:type="column"/>
      </w:r>
    </w:p>
    <w:p w14:paraId="17736492" w14:textId="7D6BBE07" w:rsidR="00084F36" w:rsidRPr="00EB2BD8" w:rsidRDefault="00E13356" w:rsidP="00E13356">
      <w:pPr>
        <w:pStyle w:val="Heading4"/>
        <w:ind w:left="0"/>
        <w:rPr>
          <w:i/>
        </w:rPr>
      </w:pPr>
      <w:r>
        <w:rPr>
          <w:i/>
          <w:spacing w:val="-2"/>
          <w:sz w:val="22"/>
        </w:rPr>
        <w:t xml:space="preserve">       </w:t>
      </w:r>
      <w:r w:rsidR="00EB2BD8" w:rsidRPr="00EB2BD8">
        <w:rPr>
          <w:i/>
          <w:spacing w:val="-2"/>
          <w:sz w:val="22"/>
        </w:rPr>
        <w:t>What</w:t>
      </w:r>
      <w:r w:rsidR="00EB2BD8" w:rsidRPr="00EB2BD8">
        <w:rPr>
          <w:i/>
          <w:spacing w:val="-18"/>
          <w:sz w:val="22"/>
        </w:rPr>
        <w:t xml:space="preserve"> </w:t>
      </w:r>
      <w:r w:rsidR="00EB2BD8" w:rsidRPr="00EB2BD8">
        <w:rPr>
          <w:i/>
          <w:spacing w:val="-2"/>
          <w:sz w:val="22"/>
        </w:rPr>
        <w:t>we</w:t>
      </w:r>
      <w:r w:rsidR="00EB2BD8" w:rsidRPr="00EB2BD8">
        <w:rPr>
          <w:i/>
          <w:spacing w:val="-17"/>
          <w:sz w:val="22"/>
        </w:rPr>
        <w:t xml:space="preserve"> </w:t>
      </w:r>
      <w:r w:rsidR="00EB2BD8" w:rsidRPr="00EB2BD8">
        <w:rPr>
          <w:i/>
          <w:spacing w:val="-2"/>
          <w:sz w:val="22"/>
        </w:rPr>
        <w:t>found</w:t>
      </w:r>
    </w:p>
    <w:p w14:paraId="40E5FEB2" w14:textId="77777777" w:rsidR="00084F36" w:rsidRPr="00EB2BD8" w:rsidRDefault="00EB2BD8">
      <w:pPr>
        <w:pStyle w:val="BodyText"/>
        <w:spacing w:before="124" w:line="261" w:lineRule="auto"/>
        <w:ind w:left="421" w:right="650"/>
      </w:pPr>
      <w:r w:rsidRPr="00EB2BD8">
        <w:t>The</w:t>
      </w:r>
      <w:r w:rsidRPr="00EB2BD8">
        <w:rPr>
          <w:spacing w:val="-3"/>
        </w:rPr>
        <w:t xml:space="preserve"> </w:t>
      </w:r>
      <w:r w:rsidRPr="00EB2BD8">
        <w:t>research</w:t>
      </w:r>
      <w:r w:rsidRPr="00EB2BD8">
        <w:rPr>
          <w:spacing w:val="-3"/>
        </w:rPr>
        <w:t xml:space="preserve"> </w:t>
      </w:r>
      <w:r w:rsidRPr="00EB2BD8">
        <w:t>identified</w:t>
      </w:r>
      <w:r w:rsidRPr="00EB2BD8">
        <w:rPr>
          <w:spacing w:val="-3"/>
        </w:rPr>
        <w:t xml:space="preserve"> </w:t>
      </w:r>
      <w:r w:rsidRPr="00EB2BD8">
        <w:t>fire</w:t>
      </w:r>
      <w:r w:rsidRPr="00EB2BD8">
        <w:rPr>
          <w:spacing w:val="-3"/>
        </w:rPr>
        <w:t xml:space="preserve"> </w:t>
      </w:r>
      <w:r w:rsidRPr="00EB2BD8">
        <w:t>safety</w:t>
      </w:r>
      <w:r w:rsidRPr="00EB2BD8">
        <w:rPr>
          <w:spacing w:val="-3"/>
        </w:rPr>
        <w:t xml:space="preserve"> </w:t>
      </w:r>
      <w:r w:rsidRPr="00EB2BD8">
        <w:t>hazards</w:t>
      </w:r>
      <w:r w:rsidRPr="00EB2BD8">
        <w:rPr>
          <w:spacing w:val="-3"/>
        </w:rPr>
        <w:t xml:space="preserve"> </w:t>
      </w:r>
      <w:r w:rsidRPr="00EB2BD8">
        <w:t>of</w:t>
      </w:r>
      <w:r w:rsidRPr="00EB2BD8">
        <w:rPr>
          <w:spacing w:val="-3"/>
        </w:rPr>
        <w:t xml:space="preserve"> </w:t>
      </w:r>
      <w:r w:rsidRPr="00EB2BD8">
        <w:t>BIPV</w:t>
      </w:r>
      <w:r w:rsidRPr="00EB2BD8">
        <w:rPr>
          <w:spacing w:val="-3"/>
        </w:rPr>
        <w:t xml:space="preserve"> </w:t>
      </w:r>
      <w:r w:rsidRPr="00EB2BD8">
        <w:t>when attached to or integrated into the external facades of Class</w:t>
      </w:r>
      <w:r w:rsidRPr="00EB2BD8">
        <w:rPr>
          <w:spacing w:val="-3"/>
        </w:rPr>
        <w:t xml:space="preserve"> </w:t>
      </w:r>
      <w:r w:rsidRPr="00EB2BD8">
        <w:t>2</w:t>
      </w:r>
      <w:r w:rsidRPr="00EB2BD8">
        <w:rPr>
          <w:spacing w:val="-3"/>
        </w:rPr>
        <w:t xml:space="preserve"> </w:t>
      </w:r>
      <w:r w:rsidRPr="00EB2BD8">
        <w:t>to</w:t>
      </w:r>
      <w:r w:rsidRPr="00EB2BD8">
        <w:rPr>
          <w:spacing w:val="-3"/>
        </w:rPr>
        <w:t xml:space="preserve"> </w:t>
      </w:r>
      <w:r w:rsidRPr="00EB2BD8">
        <w:t>9</w:t>
      </w:r>
      <w:r w:rsidRPr="00EB2BD8">
        <w:rPr>
          <w:spacing w:val="-3"/>
        </w:rPr>
        <w:t xml:space="preserve"> </w:t>
      </w:r>
      <w:r w:rsidRPr="00EB2BD8">
        <w:t>buildings</w:t>
      </w:r>
      <w:r w:rsidRPr="00EB2BD8">
        <w:rPr>
          <w:spacing w:val="-3"/>
        </w:rPr>
        <w:t xml:space="preserve"> </w:t>
      </w:r>
      <w:r w:rsidRPr="00EB2BD8">
        <w:t>in</w:t>
      </w:r>
      <w:r w:rsidRPr="00EB2BD8">
        <w:rPr>
          <w:spacing w:val="-3"/>
        </w:rPr>
        <w:t xml:space="preserve"> </w:t>
      </w:r>
      <w:r w:rsidRPr="00EB2BD8">
        <w:t>terms</w:t>
      </w:r>
      <w:r w:rsidRPr="00EB2BD8">
        <w:rPr>
          <w:spacing w:val="-3"/>
        </w:rPr>
        <w:t xml:space="preserve"> </w:t>
      </w:r>
      <w:r w:rsidRPr="00EB2BD8">
        <w:t>of</w:t>
      </w:r>
      <w:r w:rsidRPr="00EB2BD8">
        <w:rPr>
          <w:spacing w:val="-3"/>
        </w:rPr>
        <w:t xml:space="preserve"> </w:t>
      </w:r>
      <w:r w:rsidRPr="00EB2BD8">
        <w:t>ignition,</w:t>
      </w:r>
      <w:r w:rsidRPr="00EB2BD8">
        <w:rPr>
          <w:spacing w:val="-3"/>
        </w:rPr>
        <w:t xml:space="preserve"> </w:t>
      </w:r>
      <w:r w:rsidRPr="00EB2BD8">
        <w:t>propagation, and hazards to fire rescue operation.</w:t>
      </w:r>
    </w:p>
    <w:p w14:paraId="5268BB58" w14:textId="77777777" w:rsidR="00084F36" w:rsidRPr="00EB2BD8" w:rsidRDefault="00EB2BD8">
      <w:pPr>
        <w:pStyle w:val="BodyText"/>
        <w:spacing w:before="109" w:line="261" w:lineRule="auto"/>
        <w:ind w:left="421" w:right="905"/>
      </w:pPr>
      <w:r w:rsidRPr="00EB2BD8">
        <w:t>The research identified the need for further research on opportunities to reduce hazards relating to BIPV product</w:t>
      </w:r>
      <w:r w:rsidRPr="00EB2BD8">
        <w:rPr>
          <w:spacing w:val="-11"/>
        </w:rPr>
        <w:t xml:space="preserve"> </w:t>
      </w:r>
      <w:r w:rsidRPr="00EB2BD8">
        <w:t>innovation;</w:t>
      </w:r>
      <w:r w:rsidRPr="00EB2BD8">
        <w:rPr>
          <w:spacing w:val="-11"/>
        </w:rPr>
        <w:t xml:space="preserve"> </w:t>
      </w:r>
      <w:r w:rsidRPr="00EB2BD8">
        <w:t>development</w:t>
      </w:r>
      <w:r w:rsidRPr="00EB2BD8">
        <w:rPr>
          <w:spacing w:val="-11"/>
        </w:rPr>
        <w:t xml:space="preserve"> </w:t>
      </w:r>
      <w:r w:rsidRPr="00EB2BD8">
        <w:t>of</w:t>
      </w:r>
      <w:r w:rsidRPr="00EB2BD8">
        <w:rPr>
          <w:spacing w:val="-11"/>
        </w:rPr>
        <w:t xml:space="preserve"> </w:t>
      </w:r>
      <w:r w:rsidRPr="00EB2BD8">
        <w:t>test</w:t>
      </w:r>
      <w:r w:rsidRPr="00EB2BD8">
        <w:rPr>
          <w:spacing w:val="-11"/>
        </w:rPr>
        <w:t xml:space="preserve"> </w:t>
      </w:r>
      <w:r w:rsidRPr="00EB2BD8">
        <w:t>configurations to measure and mitigate the risks posed, and investigation of the impact of the risk of electrical shock, toxic gas emissions, and falling debris on evacuation and firefighting strategies.</w:t>
      </w:r>
    </w:p>
    <w:p w14:paraId="16E80027" w14:textId="77777777" w:rsidR="00084F36" w:rsidRPr="00EB2BD8" w:rsidRDefault="00EB2BD8">
      <w:pPr>
        <w:pStyle w:val="BodyText"/>
        <w:spacing w:before="107" w:line="261" w:lineRule="auto"/>
        <w:ind w:left="421" w:right="1014"/>
      </w:pPr>
      <w:r w:rsidRPr="00EB2BD8">
        <w:t>The</w:t>
      </w:r>
      <w:r w:rsidRPr="00EB2BD8">
        <w:rPr>
          <w:spacing w:val="-3"/>
        </w:rPr>
        <w:t xml:space="preserve"> </w:t>
      </w:r>
      <w:r w:rsidRPr="00EB2BD8">
        <w:t>research</w:t>
      </w:r>
      <w:r w:rsidRPr="00EB2BD8">
        <w:rPr>
          <w:spacing w:val="-3"/>
        </w:rPr>
        <w:t xml:space="preserve"> </w:t>
      </w:r>
      <w:r w:rsidRPr="00EB2BD8">
        <w:t>also</w:t>
      </w:r>
      <w:r w:rsidRPr="00EB2BD8">
        <w:rPr>
          <w:spacing w:val="-3"/>
        </w:rPr>
        <w:t xml:space="preserve"> </w:t>
      </w:r>
      <w:r w:rsidRPr="00EB2BD8">
        <w:t>identified</w:t>
      </w:r>
      <w:r w:rsidRPr="00EB2BD8">
        <w:rPr>
          <w:spacing w:val="-3"/>
        </w:rPr>
        <w:t xml:space="preserve"> </w:t>
      </w:r>
      <w:r w:rsidRPr="00EB2BD8">
        <w:t>that</w:t>
      </w:r>
      <w:r w:rsidRPr="00EB2BD8">
        <w:rPr>
          <w:spacing w:val="-3"/>
        </w:rPr>
        <w:t xml:space="preserve"> </w:t>
      </w:r>
      <w:r w:rsidRPr="00EB2BD8">
        <w:t>further</w:t>
      </w:r>
      <w:r w:rsidRPr="00EB2BD8">
        <w:rPr>
          <w:spacing w:val="-3"/>
        </w:rPr>
        <w:t xml:space="preserve"> </w:t>
      </w:r>
      <w:r w:rsidRPr="00EB2BD8">
        <w:t>research</w:t>
      </w:r>
      <w:r w:rsidRPr="00EB2BD8">
        <w:rPr>
          <w:spacing w:val="-3"/>
        </w:rPr>
        <w:t xml:space="preserve"> </w:t>
      </w:r>
      <w:r w:rsidRPr="00EB2BD8">
        <w:t>is required</w:t>
      </w:r>
      <w:r w:rsidRPr="00EB2BD8">
        <w:rPr>
          <w:spacing w:val="-6"/>
        </w:rPr>
        <w:t xml:space="preserve"> </w:t>
      </w:r>
      <w:r w:rsidRPr="00EB2BD8">
        <w:t>to:</w:t>
      </w:r>
    </w:p>
    <w:p w14:paraId="5D5AA232" w14:textId="77777777" w:rsidR="00084F36" w:rsidRPr="00EB2BD8" w:rsidRDefault="00EB2BD8">
      <w:pPr>
        <w:pStyle w:val="ListParagraph"/>
        <w:numPr>
          <w:ilvl w:val="0"/>
          <w:numId w:val="62"/>
        </w:numPr>
        <w:tabs>
          <w:tab w:val="left" w:pos="705"/>
        </w:tabs>
        <w:spacing w:before="87" w:line="261" w:lineRule="auto"/>
        <w:ind w:right="944"/>
        <w:rPr>
          <w:sz w:val="18"/>
        </w:rPr>
      </w:pPr>
      <w:r w:rsidRPr="00EB2BD8">
        <w:rPr>
          <w:sz w:val="18"/>
        </w:rPr>
        <w:t>Better</w:t>
      </w:r>
      <w:r w:rsidRPr="00EB2BD8">
        <w:rPr>
          <w:spacing w:val="-2"/>
          <w:sz w:val="18"/>
        </w:rPr>
        <w:t xml:space="preserve"> </w:t>
      </w:r>
      <w:r w:rsidRPr="00EB2BD8">
        <w:rPr>
          <w:sz w:val="18"/>
        </w:rPr>
        <w:t>understand</w:t>
      </w:r>
      <w:r w:rsidRPr="00EB2BD8">
        <w:rPr>
          <w:spacing w:val="-2"/>
          <w:sz w:val="18"/>
        </w:rPr>
        <w:t xml:space="preserve"> </w:t>
      </w:r>
      <w:r w:rsidRPr="00EB2BD8">
        <w:rPr>
          <w:sz w:val="18"/>
        </w:rPr>
        <w:t>the</w:t>
      </w:r>
      <w:r w:rsidRPr="00EB2BD8">
        <w:rPr>
          <w:spacing w:val="-2"/>
          <w:sz w:val="18"/>
        </w:rPr>
        <w:t xml:space="preserve"> </w:t>
      </w:r>
      <w:r w:rsidRPr="00EB2BD8">
        <w:rPr>
          <w:sz w:val="18"/>
        </w:rPr>
        <w:t>fire</w:t>
      </w:r>
      <w:r w:rsidRPr="00EB2BD8">
        <w:rPr>
          <w:spacing w:val="-2"/>
          <w:sz w:val="18"/>
        </w:rPr>
        <w:t xml:space="preserve"> </w:t>
      </w:r>
      <w:r w:rsidRPr="00EB2BD8">
        <w:rPr>
          <w:sz w:val="18"/>
        </w:rPr>
        <w:t>safety</w:t>
      </w:r>
      <w:r w:rsidRPr="00EB2BD8">
        <w:rPr>
          <w:spacing w:val="-2"/>
          <w:sz w:val="18"/>
        </w:rPr>
        <w:t xml:space="preserve"> </w:t>
      </w:r>
      <w:r w:rsidRPr="00EB2BD8">
        <w:rPr>
          <w:sz w:val="18"/>
        </w:rPr>
        <w:t>risks</w:t>
      </w:r>
      <w:r w:rsidRPr="00EB2BD8">
        <w:rPr>
          <w:spacing w:val="-2"/>
          <w:sz w:val="18"/>
        </w:rPr>
        <w:t xml:space="preserve"> </w:t>
      </w:r>
      <w:r w:rsidRPr="00EB2BD8">
        <w:rPr>
          <w:sz w:val="18"/>
        </w:rPr>
        <w:t>of</w:t>
      </w:r>
      <w:r w:rsidRPr="00EB2BD8">
        <w:rPr>
          <w:spacing w:val="-2"/>
          <w:sz w:val="18"/>
        </w:rPr>
        <w:t xml:space="preserve"> </w:t>
      </w:r>
      <w:r w:rsidRPr="00EB2BD8">
        <w:rPr>
          <w:sz w:val="18"/>
        </w:rPr>
        <w:t>BIPV</w:t>
      </w:r>
      <w:r w:rsidRPr="00EB2BD8">
        <w:rPr>
          <w:spacing w:val="-2"/>
          <w:sz w:val="18"/>
        </w:rPr>
        <w:t xml:space="preserve"> </w:t>
      </w:r>
      <w:r w:rsidRPr="00EB2BD8">
        <w:rPr>
          <w:sz w:val="18"/>
        </w:rPr>
        <w:t>as</w:t>
      </w:r>
      <w:r w:rsidRPr="00EB2BD8">
        <w:rPr>
          <w:spacing w:val="-2"/>
          <w:sz w:val="18"/>
        </w:rPr>
        <w:t xml:space="preserve"> </w:t>
      </w:r>
      <w:r w:rsidRPr="00EB2BD8">
        <w:rPr>
          <w:sz w:val="18"/>
        </w:rPr>
        <w:t>an active energy system in buildings.</w:t>
      </w:r>
    </w:p>
    <w:p w14:paraId="790D43AF" w14:textId="77777777" w:rsidR="00084F36" w:rsidRPr="00EB2BD8" w:rsidRDefault="00EB2BD8">
      <w:pPr>
        <w:pStyle w:val="ListParagraph"/>
        <w:numPr>
          <w:ilvl w:val="0"/>
          <w:numId w:val="62"/>
        </w:numPr>
        <w:tabs>
          <w:tab w:val="left" w:pos="705"/>
        </w:tabs>
        <w:spacing w:before="68" w:line="261" w:lineRule="auto"/>
        <w:ind w:right="966"/>
        <w:rPr>
          <w:sz w:val="18"/>
        </w:rPr>
      </w:pPr>
      <w:r w:rsidRPr="00EB2BD8">
        <w:rPr>
          <w:sz w:val="18"/>
        </w:rPr>
        <w:t>Explore how the National Construction Code (NCC) framework may be broadened or strengthened</w:t>
      </w:r>
    </w:p>
    <w:p w14:paraId="0CEA8385" w14:textId="77777777" w:rsidR="00084F36" w:rsidRPr="00EB2BD8" w:rsidRDefault="00EB2BD8">
      <w:pPr>
        <w:pStyle w:val="BodyText"/>
        <w:spacing w:line="261" w:lineRule="auto"/>
        <w:ind w:left="705" w:right="852"/>
      </w:pPr>
      <w:r w:rsidRPr="00EB2BD8">
        <w:t>to</w:t>
      </w:r>
      <w:r w:rsidRPr="00EB2BD8">
        <w:rPr>
          <w:spacing w:val="-11"/>
        </w:rPr>
        <w:t xml:space="preserve"> </w:t>
      </w:r>
      <w:r w:rsidRPr="00EB2BD8">
        <w:t>better</w:t>
      </w:r>
      <w:r w:rsidRPr="00EB2BD8">
        <w:rPr>
          <w:spacing w:val="-11"/>
        </w:rPr>
        <w:t xml:space="preserve"> </w:t>
      </w:r>
      <w:r w:rsidRPr="00EB2BD8">
        <w:t>capture</w:t>
      </w:r>
      <w:r w:rsidRPr="00EB2BD8">
        <w:rPr>
          <w:spacing w:val="-11"/>
        </w:rPr>
        <w:t xml:space="preserve"> </w:t>
      </w:r>
      <w:r w:rsidRPr="00EB2BD8">
        <w:t>potential</w:t>
      </w:r>
      <w:r w:rsidRPr="00EB2BD8">
        <w:rPr>
          <w:spacing w:val="-11"/>
        </w:rPr>
        <w:t xml:space="preserve"> </w:t>
      </w:r>
      <w:r w:rsidRPr="00EB2BD8">
        <w:t>risks</w:t>
      </w:r>
      <w:r w:rsidRPr="00EB2BD8">
        <w:rPr>
          <w:spacing w:val="-11"/>
        </w:rPr>
        <w:t xml:space="preserve"> </w:t>
      </w:r>
      <w:r w:rsidRPr="00EB2BD8">
        <w:t>of</w:t>
      </w:r>
      <w:r w:rsidRPr="00EB2BD8">
        <w:rPr>
          <w:spacing w:val="-11"/>
        </w:rPr>
        <w:t xml:space="preserve"> </w:t>
      </w:r>
      <w:r w:rsidRPr="00EB2BD8">
        <w:t>emerging technologies such as BIPV.</w:t>
      </w:r>
    </w:p>
    <w:p w14:paraId="1BC42B02" w14:textId="77777777" w:rsidR="00084F36" w:rsidRPr="00EB2BD8" w:rsidRDefault="00EB2BD8">
      <w:pPr>
        <w:pStyle w:val="ListParagraph"/>
        <w:numPr>
          <w:ilvl w:val="0"/>
          <w:numId w:val="62"/>
        </w:numPr>
        <w:tabs>
          <w:tab w:val="left" w:pos="705"/>
        </w:tabs>
        <w:spacing w:before="66" w:line="261" w:lineRule="auto"/>
        <w:ind w:right="837"/>
        <w:rPr>
          <w:sz w:val="18"/>
        </w:rPr>
      </w:pPr>
      <w:r w:rsidRPr="00EB2BD8">
        <w:rPr>
          <w:sz w:val="18"/>
        </w:rPr>
        <w:t>Identify</w:t>
      </w:r>
      <w:r w:rsidRPr="00EB2BD8">
        <w:rPr>
          <w:spacing w:val="-4"/>
          <w:sz w:val="18"/>
        </w:rPr>
        <w:t xml:space="preserve"> </w:t>
      </w:r>
      <w:r w:rsidRPr="00EB2BD8">
        <w:rPr>
          <w:sz w:val="18"/>
        </w:rPr>
        <w:t>any</w:t>
      </w:r>
      <w:r w:rsidRPr="00EB2BD8">
        <w:rPr>
          <w:spacing w:val="-4"/>
          <w:sz w:val="18"/>
        </w:rPr>
        <w:t xml:space="preserve"> </w:t>
      </w:r>
      <w:r w:rsidRPr="00EB2BD8">
        <w:rPr>
          <w:sz w:val="18"/>
        </w:rPr>
        <w:t>gaps</w:t>
      </w:r>
      <w:r w:rsidRPr="00EB2BD8">
        <w:rPr>
          <w:spacing w:val="-4"/>
          <w:sz w:val="18"/>
        </w:rPr>
        <w:t xml:space="preserve"> </w:t>
      </w:r>
      <w:r w:rsidRPr="00EB2BD8">
        <w:rPr>
          <w:sz w:val="18"/>
        </w:rPr>
        <w:t>that</w:t>
      </w:r>
      <w:r w:rsidRPr="00EB2BD8">
        <w:rPr>
          <w:spacing w:val="-4"/>
          <w:sz w:val="18"/>
        </w:rPr>
        <w:t xml:space="preserve"> </w:t>
      </w:r>
      <w:r w:rsidRPr="00EB2BD8">
        <w:rPr>
          <w:sz w:val="18"/>
        </w:rPr>
        <w:t>may</w:t>
      </w:r>
      <w:r w:rsidRPr="00EB2BD8">
        <w:rPr>
          <w:spacing w:val="-4"/>
          <w:sz w:val="18"/>
        </w:rPr>
        <w:t xml:space="preserve"> </w:t>
      </w:r>
      <w:r w:rsidRPr="00EB2BD8">
        <w:rPr>
          <w:sz w:val="18"/>
        </w:rPr>
        <w:t>exist</w:t>
      </w:r>
      <w:r w:rsidRPr="00EB2BD8">
        <w:rPr>
          <w:spacing w:val="-4"/>
          <w:sz w:val="18"/>
        </w:rPr>
        <w:t xml:space="preserve"> </w:t>
      </w:r>
      <w:r w:rsidRPr="00EB2BD8">
        <w:rPr>
          <w:sz w:val="18"/>
        </w:rPr>
        <w:t>in</w:t>
      </w:r>
      <w:r w:rsidRPr="00EB2BD8">
        <w:rPr>
          <w:spacing w:val="-4"/>
          <w:sz w:val="18"/>
        </w:rPr>
        <w:t xml:space="preserve"> </w:t>
      </w:r>
      <w:r w:rsidRPr="00EB2BD8">
        <w:rPr>
          <w:sz w:val="18"/>
        </w:rPr>
        <w:t>building</w:t>
      </w:r>
      <w:r w:rsidRPr="00EB2BD8">
        <w:rPr>
          <w:spacing w:val="-4"/>
          <w:sz w:val="18"/>
        </w:rPr>
        <w:t xml:space="preserve"> </w:t>
      </w:r>
      <w:r w:rsidRPr="00EB2BD8">
        <w:rPr>
          <w:sz w:val="18"/>
        </w:rPr>
        <w:t>approval processes that increase the likelihood of this emerging technology not being considered in a holistic way, and</w:t>
      </w:r>
    </w:p>
    <w:p w14:paraId="4FB2AD37" w14:textId="77777777" w:rsidR="00084F36" w:rsidRPr="00EB2BD8" w:rsidRDefault="00EB2BD8">
      <w:pPr>
        <w:pStyle w:val="ListParagraph"/>
        <w:numPr>
          <w:ilvl w:val="0"/>
          <w:numId w:val="62"/>
        </w:numPr>
        <w:tabs>
          <w:tab w:val="left" w:pos="705"/>
        </w:tabs>
        <w:spacing w:before="66" w:line="261" w:lineRule="auto"/>
        <w:ind w:right="1036"/>
        <w:rPr>
          <w:sz w:val="18"/>
        </w:rPr>
      </w:pPr>
      <w:r w:rsidRPr="00EB2BD8">
        <w:rPr>
          <w:sz w:val="18"/>
        </w:rPr>
        <w:t>Identify</w:t>
      </w:r>
      <w:r w:rsidRPr="00EB2BD8">
        <w:rPr>
          <w:spacing w:val="-1"/>
          <w:sz w:val="18"/>
        </w:rPr>
        <w:t xml:space="preserve"> </w:t>
      </w:r>
      <w:r w:rsidRPr="00EB2BD8">
        <w:rPr>
          <w:sz w:val="18"/>
        </w:rPr>
        <w:t>legislative</w:t>
      </w:r>
      <w:r w:rsidRPr="00EB2BD8">
        <w:rPr>
          <w:spacing w:val="-1"/>
          <w:sz w:val="18"/>
        </w:rPr>
        <w:t xml:space="preserve"> </w:t>
      </w:r>
      <w:r w:rsidRPr="00EB2BD8">
        <w:rPr>
          <w:sz w:val="18"/>
        </w:rPr>
        <w:t>or</w:t>
      </w:r>
      <w:r w:rsidRPr="00EB2BD8">
        <w:rPr>
          <w:spacing w:val="-1"/>
          <w:sz w:val="18"/>
        </w:rPr>
        <w:t xml:space="preserve"> </w:t>
      </w:r>
      <w:r w:rsidRPr="00EB2BD8">
        <w:rPr>
          <w:sz w:val="18"/>
        </w:rPr>
        <w:t>regulatory</w:t>
      </w:r>
      <w:r w:rsidRPr="00EB2BD8">
        <w:rPr>
          <w:spacing w:val="-1"/>
          <w:sz w:val="18"/>
        </w:rPr>
        <w:t xml:space="preserve"> </w:t>
      </w:r>
      <w:r w:rsidRPr="00EB2BD8">
        <w:rPr>
          <w:sz w:val="18"/>
        </w:rPr>
        <w:t>changes</w:t>
      </w:r>
      <w:r w:rsidRPr="00EB2BD8">
        <w:rPr>
          <w:spacing w:val="-1"/>
          <w:sz w:val="18"/>
        </w:rPr>
        <w:t xml:space="preserve"> </w:t>
      </w:r>
      <w:r w:rsidRPr="00EB2BD8">
        <w:rPr>
          <w:sz w:val="18"/>
        </w:rPr>
        <w:t>that</w:t>
      </w:r>
      <w:r w:rsidRPr="00EB2BD8">
        <w:rPr>
          <w:spacing w:val="-1"/>
          <w:sz w:val="18"/>
        </w:rPr>
        <w:t xml:space="preserve"> </w:t>
      </w:r>
      <w:r w:rsidRPr="00EB2BD8">
        <w:rPr>
          <w:sz w:val="18"/>
        </w:rPr>
        <w:t>may be required to ameliorate safety risks.</w:t>
      </w:r>
    </w:p>
    <w:p w14:paraId="14ABE762" w14:textId="1C1B84D0" w:rsidR="00084F36" w:rsidRPr="00EB2BD8" w:rsidRDefault="00E13356" w:rsidP="00E13356">
      <w:pPr>
        <w:pStyle w:val="Heading4"/>
        <w:ind w:left="0"/>
      </w:pPr>
      <w:r>
        <w:t xml:space="preserve">       </w:t>
      </w:r>
      <w:r w:rsidR="00EB2BD8" w:rsidRPr="00EB2BD8">
        <w:t>What</w:t>
      </w:r>
      <w:r w:rsidR="00EB2BD8" w:rsidRPr="00EB2BD8">
        <w:rPr>
          <w:spacing w:val="-18"/>
        </w:rPr>
        <w:t xml:space="preserve"> </w:t>
      </w:r>
      <w:r w:rsidR="00EB2BD8" w:rsidRPr="00EB2BD8">
        <w:t>difference</w:t>
      </w:r>
      <w:r w:rsidR="00EB2BD8" w:rsidRPr="00EB2BD8">
        <w:rPr>
          <w:spacing w:val="-17"/>
        </w:rPr>
        <w:t xml:space="preserve"> </w:t>
      </w:r>
      <w:r w:rsidR="00EB2BD8" w:rsidRPr="00EB2BD8">
        <w:t>this</w:t>
      </w:r>
      <w:r w:rsidR="00EB2BD8" w:rsidRPr="00EB2BD8">
        <w:rPr>
          <w:spacing w:val="-17"/>
        </w:rPr>
        <w:t xml:space="preserve"> </w:t>
      </w:r>
      <w:r w:rsidR="00EB2BD8" w:rsidRPr="00EB2BD8">
        <w:t>made</w:t>
      </w:r>
    </w:p>
    <w:p w14:paraId="21D84A42" w14:textId="77777777" w:rsidR="00084F36" w:rsidRPr="00EB2BD8" w:rsidRDefault="00EB2BD8">
      <w:pPr>
        <w:pStyle w:val="BodyText"/>
        <w:spacing w:before="125" w:line="261" w:lineRule="auto"/>
        <w:ind w:left="421" w:right="968"/>
        <w:jc w:val="both"/>
      </w:pPr>
      <w:r w:rsidRPr="00EB2BD8">
        <w:t>While</w:t>
      </w:r>
      <w:r w:rsidRPr="00EB2BD8">
        <w:rPr>
          <w:spacing w:val="-3"/>
        </w:rPr>
        <w:t xml:space="preserve"> </w:t>
      </w:r>
      <w:r w:rsidRPr="00EB2BD8">
        <w:t>RMIT’s</w:t>
      </w:r>
      <w:r w:rsidRPr="00EB2BD8">
        <w:rPr>
          <w:spacing w:val="-3"/>
        </w:rPr>
        <w:t xml:space="preserve"> </w:t>
      </w:r>
      <w:r w:rsidRPr="00EB2BD8">
        <w:t>research</w:t>
      </w:r>
      <w:r w:rsidRPr="00EB2BD8">
        <w:rPr>
          <w:spacing w:val="-3"/>
        </w:rPr>
        <w:t xml:space="preserve"> </w:t>
      </w:r>
      <w:r w:rsidRPr="00EB2BD8">
        <w:t>is</w:t>
      </w:r>
      <w:r w:rsidRPr="00EB2BD8">
        <w:rPr>
          <w:spacing w:val="-3"/>
        </w:rPr>
        <w:t xml:space="preserve"> </w:t>
      </w:r>
      <w:r w:rsidRPr="00EB2BD8">
        <w:t>a</w:t>
      </w:r>
      <w:r w:rsidRPr="00EB2BD8">
        <w:rPr>
          <w:spacing w:val="-3"/>
        </w:rPr>
        <w:t xml:space="preserve"> </w:t>
      </w:r>
      <w:r w:rsidRPr="00EB2BD8">
        <w:t>scoping</w:t>
      </w:r>
      <w:r w:rsidRPr="00EB2BD8">
        <w:rPr>
          <w:spacing w:val="-3"/>
        </w:rPr>
        <w:t xml:space="preserve"> </w:t>
      </w:r>
      <w:r w:rsidRPr="00EB2BD8">
        <w:t>study</w:t>
      </w:r>
      <w:r w:rsidRPr="00EB2BD8">
        <w:rPr>
          <w:spacing w:val="-3"/>
        </w:rPr>
        <w:t xml:space="preserve"> </w:t>
      </w:r>
      <w:r w:rsidRPr="00EB2BD8">
        <w:t>and</w:t>
      </w:r>
      <w:r w:rsidRPr="00EB2BD8">
        <w:rPr>
          <w:spacing w:val="-3"/>
        </w:rPr>
        <w:t xml:space="preserve"> </w:t>
      </w:r>
      <w:r w:rsidRPr="00EB2BD8">
        <w:t>confined to</w:t>
      </w:r>
      <w:r w:rsidRPr="00EB2BD8">
        <w:rPr>
          <w:spacing w:val="-1"/>
        </w:rPr>
        <w:t xml:space="preserve"> </w:t>
      </w:r>
      <w:r w:rsidRPr="00EB2BD8">
        <w:t>limited</w:t>
      </w:r>
      <w:r w:rsidRPr="00EB2BD8">
        <w:rPr>
          <w:spacing w:val="-1"/>
        </w:rPr>
        <w:t xml:space="preserve"> </w:t>
      </w:r>
      <w:r w:rsidRPr="00EB2BD8">
        <w:t>aspects</w:t>
      </w:r>
      <w:r w:rsidRPr="00EB2BD8">
        <w:rPr>
          <w:spacing w:val="-1"/>
        </w:rPr>
        <w:t xml:space="preserve"> </w:t>
      </w:r>
      <w:r w:rsidRPr="00EB2BD8">
        <w:t>of</w:t>
      </w:r>
      <w:r w:rsidRPr="00EB2BD8">
        <w:rPr>
          <w:spacing w:val="-1"/>
        </w:rPr>
        <w:t xml:space="preserve"> </w:t>
      </w:r>
      <w:r w:rsidRPr="00EB2BD8">
        <w:t>BIPV,</w:t>
      </w:r>
      <w:r w:rsidRPr="00EB2BD8">
        <w:rPr>
          <w:spacing w:val="-1"/>
        </w:rPr>
        <w:t xml:space="preserve"> </w:t>
      </w:r>
      <w:r w:rsidRPr="00EB2BD8">
        <w:t>it</w:t>
      </w:r>
      <w:r w:rsidRPr="00EB2BD8">
        <w:rPr>
          <w:spacing w:val="-1"/>
        </w:rPr>
        <w:t xml:space="preserve"> </w:t>
      </w:r>
      <w:r w:rsidRPr="00EB2BD8">
        <w:t>identified</w:t>
      </w:r>
      <w:r w:rsidRPr="00EB2BD8">
        <w:rPr>
          <w:spacing w:val="-1"/>
        </w:rPr>
        <w:t xml:space="preserve"> </w:t>
      </w:r>
      <w:r w:rsidRPr="00EB2BD8">
        <w:t>important</w:t>
      </w:r>
      <w:r w:rsidRPr="00EB2BD8">
        <w:rPr>
          <w:spacing w:val="-1"/>
        </w:rPr>
        <w:t xml:space="preserve"> </w:t>
      </w:r>
      <w:r w:rsidRPr="00EB2BD8">
        <w:t>gaps in</w:t>
      </w:r>
      <w:r w:rsidRPr="00EB2BD8">
        <w:rPr>
          <w:spacing w:val="-10"/>
        </w:rPr>
        <w:t xml:space="preserve"> </w:t>
      </w:r>
      <w:r w:rsidRPr="00EB2BD8">
        <w:t>the</w:t>
      </w:r>
      <w:r w:rsidRPr="00EB2BD8">
        <w:rPr>
          <w:spacing w:val="-10"/>
        </w:rPr>
        <w:t xml:space="preserve"> </w:t>
      </w:r>
      <w:r w:rsidRPr="00EB2BD8">
        <w:t>current</w:t>
      </w:r>
      <w:r w:rsidRPr="00EB2BD8">
        <w:rPr>
          <w:spacing w:val="-10"/>
        </w:rPr>
        <w:t xml:space="preserve"> </w:t>
      </w:r>
      <w:r w:rsidRPr="00EB2BD8">
        <w:t>knowledge</w:t>
      </w:r>
      <w:r w:rsidRPr="00EB2BD8">
        <w:rPr>
          <w:spacing w:val="-10"/>
        </w:rPr>
        <w:t xml:space="preserve"> </w:t>
      </w:r>
      <w:r w:rsidRPr="00EB2BD8">
        <w:t>of</w:t>
      </w:r>
      <w:r w:rsidRPr="00EB2BD8">
        <w:rPr>
          <w:spacing w:val="-10"/>
        </w:rPr>
        <w:t xml:space="preserve"> </w:t>
      </w:r>
      <w:r w:rsidRPr="00EB2BD8">
        <w:t>the</w:t>
      </w:r>
      <w:r w:rsidRPr="00EB2BD8">
        <w:rPr>
          <w:spacing w:val="-10"/>
        </w:rPr>
        <w:t xml:space="preserve"> </w:t>
      </w:r>
      <w:r w:rsidRPr="00EB2BD8">
        <w:t>fire</w:t>
      </w:r>
      <w:r w:rsidRPr="00EB2BD8">
        <w:rPr>
          <w:spacing w:val="-10"/>
        </w:rPr>
        <w:t xml:space="preserve"> </w:t>
      </w:r>
      <w:r w:rsidRPr="00EB2BD8">
        <w:t>safety</w:t>
      </w:r>
      <w:r w:rsidRPr="00EB2BD8">
        <w:rPr>
          <w:spacing w:val="-10"/>
        </w:rPr>
        <w:t xml:space="preserve"> </w:t>
      </w:r>
      <w:r w:rsidRPr="00EB2BD8">
        <w:t>risks</w:t>
      </w:r>
      <w:r w:rsidRPr="00EB2BD8">
        <w:rPr>
          <w:spacing w:val="-10"/>
        </w:rPr>
        <w:t xml:space="preserve"> </w:t>
      </w:r>
      <w:r w:rsidRPr="00EB2BD8">
        <w:t>of</w:t>
      </w:r>
      <w:r w:rsidRPr="00EB2BD8">
        <w:rPr>
          <w:spacing w:val="-10"/>
        </w:rPr>
        <w:t xml:space="preserve"> </w:t>
      </w:r>
      <w:r w:rsidRPr="00EB2BD8">
        <w:t>BIPV and regulatory requirements to address these risks.</w:t>
      </w:r>
    </w:p>
    <w:p w14:paraId="01A58D8A" w14:textId="77777777" w:rsidR="00084F36" w:rsidRPr="00EB2BD8" w:rsidRDefault="00EB2BD8">
      <w:pPr>
        <w:pStyle w:val="BodyText"/>
        <w:spacing w:before="109" w:line="261" w:lineRule="auto"/>
        <w:ind w:left="421" w:right="852"/>
      </w:pPr>
      <w:r w:rsidRPr="00EB2BD8">
        <w:t>The VBA shared the report and its insights with key regulators and stakeholders to help inform policy, regulatory and fire-safety considerations arising from the use of BIPV on building envelopes.</w:t>
      </w:r>
    </w:p>
    <w:p w14:paraId="47338627" w14:textId="77777777" w:rsidR="00084F36" w:rsidRPr="00EB2BD8" w:rsidRDefault="00EB2BD8">
      <w:pPr>
        <w:pStyle w:val="BodyText"/>
        <w:spacing w:before="109" w:line="261" w:lineRule="auto"/>
        <w:ind w:left="421" w:right="852"/>
      </w:pPr>
      <w:r w:rsidRPr="00EB2BD8">
        <w:t>This research complements research the VBA is already supporting to achieve a technologically advanced</w:t>
      </w:r>
    </w:p>
    <w:p w14:paraId="1EAE67A7" w14:textId="77777777" w:rsidR="00084F36" w:rsidRPr="00EB2BD8" w:rsidRDefault="00EB2BD8">
      <w:pPr>
        <w:pStyle w:val="BodyText"/>
        <w:spacing w:line="261" w:lineRule="auto"/>
        <w:ind w:left="421" w:right="852"/>
      </w:pPr>
      <w:r w:rsidRPr="00EB2BD8">
        <w:t xml:space="preserve">and innovative industry and a safe built environment including projects undertaken with the </w:t>
      </w:r>
      <w:hyperlink r:id="rId131">
        <w:r w:rsidRPr="00EB2BD8">
          <w:t>Building 4.0</w:t>
        </w:r>
      </w:hyperlink>
      <w:r w:rsidRPr="00EB2BD8">
        <w:t xml:space="preserve"> </w:t>
      </w:r>
      <w:hyperlink r:id="rId132">
        <w:r w:rsidRPr="00EB2BD8">
          <w:t>Cooperative Research Centr</w:t>
        </w:r>
      </w:hyperlink>
      <w:r w:rsidRPr="00EB2BD8">
        <w:t xml:space="preserve">e; and other fire safety research undertaken by the VBA, including the </w:t>
      </w:r>
      <w:hyperlink r:id="rId133">
        <w:r w:rsidRPr="00EB2BD8">
          <w:t>fire</w:t>
        </w:r>
      </w:hyperlink>
      <w:r w:rsidRPr="00EB2BD8">
        <w:t xml:space="preserve"> </w:t>
      </w:r>
      <w:hyperlink r:id="rId134">
        <w:r w:rsidRPr="00EB2BD8">
          <w:t>safety</w:t>
        </w:r>
        <w:r w:rsidRPr="00EB2BD8">
          <w:rPr>
            <w:spacing w:val="-9"/>
          </w:rPr>
          <w:t xml:space="preserve"> </w:t>
        </w:r>
        <w:r w:rsidRPr="00EB2BD8">
          <w:t>of</w:t>
        </w:r>
        <w:r w:rsidRPr="00EB2BD8">
          <w:rPr>
            <w:spacing w:val="-9"/>
          </w:rPr>
          <w:t xml:space="preserve"> </w:t>
        </w:r>
        <w:r w:rsidRPr="00EB2BD8">
          <w:t>rendered</w:t>
        </w:r>
        <w:r w:rsidRPr="00EB2BD8">
          <w:rPr>
            <w:spacing w:val="-9"/>
          </w:rPr>
          <w:t xml:space="preserve"> </w:t>
        </w:r>
        <w:r w:rsidRPr="00EB2BD8">
          <w:t>EPS</w:t>
        </w:r>
        <w:r w:rsidRPr="00EB2BD8">
          <w:rPr>
            <w:spacing w:val="-9"/>
          </w:rPr>
          <w:t xml:space="preserve"> </w:t>
        </w:r>
        <w:r w:rsidRPr="00EB2BD8">
          <w:t>on</w:t>
        </w:r>
        <w:r w:rsidRPr="00EB2BD8">
          <w:rPr>
            <w:spacing w:val="-9"/>
          </w:rPr>
          <w:t xml:space="preserve"> </w:t>
        </w:r>
        <w:r w:rsidRPr="00EB2BD8">
          <w:t>Class</w:t>
        </w:r>
        <w:r w:rsidRPr="00EB2BD8">
          <w:rPr>
            <w:spacing w:val="-9"/>
          </w:rPr>
          <w:t xml:space="preserve"> </w:t>
        </w:r>
        <w:r w:rsidRPr="00EB2BD8">
          <w:t>2</w:t>
        </w:r>
        <w:r w:rsidRPr="00EB2BD8">
          <w:rPr>
            <w:spacing w:val="-9"/>
          </w:rPr>
          <w:t xml:space="preserve"> </w:t>
        </w:r>
        <w:r w:rsidRPr="00EB2BD8">
          <w:t>to</w:t>
        </w:r>
        <w:r w:rsidRPr="00EB2BD8">
          <w:rPr>
            <w:spacing w:val="-9"/>
          </w:rPr>
          <w:t xml:space="preserve"> </w:t>
        </w:r>
        <w:r w:rsidRPr="00EB2BD8">
          <w:t>9</w:t>
        </w:r>
        <w:r w:rsidRPr="00EB2BD8">
          <w:rPr>
            <w:spacing w:val="-9"/>
          </w:rPr>
          <w:t xml:space="preserve"> </w:t>
        </w:r>
        <w:r w:rsidRPr="00EB2BD8">
          <w:t>buildings</w:t>
        </w:r>
        <w:r w:rsidRPr="00EB2BD8">
          <w:rPr>
            <w:spacing w:val="-9"/>
          </w:rPr>
          <w:t xml:space="preserve"> </w:t>
        </w:r>
        <w:r w:rsidRPr="00EB2BD8">
          <w:t>of</w:t>
        </w:r>
        <w:r w:rsidRPr="00EB2BD8">
          <w:rPr>
            <w:spacing w:val="-9"/>
          </w:rPr>
          <w:t xml:space="preserve"> </w:t>
        </w:r>
        <w:r w:rsidRPr="00EB2BD8">
          <w:t>Type</w:t>
        </w:r>
      </w:hyperlink>
      <w:r w:rsidRPr="00EB2BD8">
        <w:t xml:space="preserve"> </w:t>
      </w:r>
      <w:hyperlink r:id="rId135">
        <w:r w:rsidRPr="00EB2BD8">
          <w:t>A or Type B construction.</w:t>
        </w:r>
      </w:hyperlink>
    </w:p>
    <w:p w14:paraId="23CB3CAC" w14:textId="77777777" w:rsidR="00084F36" w:rsidRPr="00EB2BD8" w:rsidRDefault="00084F36">
      <w:pPr>
        <w:spacing w:line="261" w:lineRule="auto"/>
        <w:sectPr w:rsidR="00084F36" w:rsidRPr="00EB2BD8" w:rsidSect="006D75B2">
          <w:type w:val="continuous"/>
          <w:pgSz w:w="11910" w:h="16840"/>
          <w:pgMar w:top="1920" w:right="0" w:bottom="280" w:left="0" w:header="0" w:footer="528" w:gutter="0"/>
          <w:cols w:num="2" w:space="720" w:equalWidth="0">
            <w:col w:w="5718" w:space="40"/>
            <w:col w:w="6152"/>
          </w:cols>
        </w:sectPr>
      </w:pPr>
    </w:p>
    <w:p w14:paraId="46E36581" w14:textId="77777777" w:rsidR="00084F36" w:rsidRPr="00EB2BD8" w:rsidRDefault="00084F36">
      <w:pPr>
        <w:pStyle w:val="BodyText"/>
        <w:rPr>
          <w:sz w:val="20"/>
        </w:rPr>
      </w:pPr>
    </w:p>
    <w:p w14:paraId="1CB9E998" w14:textId="77777777" w:rsidR="00084F36" w:rsidRPr="00EB2BD8" w:rsidRDefault="00084F36">
      <w:pPr>
        <w:pStyle w:val="BodyText"/>
        <w:rPr>
          <w:sz w:val="20"/>
        </w:rPr>
      </w:pPr>
    </w:p>
    <w:p w14:paraId="23433CFE" w14:textId="77777777" w:rsidR="00084F36" w:rsidRPr="00EB2BD8" w:rsidRDefault="00084F36">
      <w:pPr>
        <w:pStyle w:val="BodyText"/>
        <w:rPr>
          <w:sz w:val="20"/>
        </w:rPr>
      </w:pPr>
    </w:p>
    <w:p w14:paraId="6587AEC4" w14:textId="77777777" w:rsidR="00084F36" w:rsidRPr="00EB2BD8" w:rsidRDefault="00084F36">
      <w:pPr>
        <w:pStyle w:val="BodyText"/>
        <w:rPr>
          <w:sz w:val="20"/>
        </w:rPr>
      </w:pPr>
    </w:p>
    <w:p w14:paraId="214894E2" w14:textId="77777777" w:rsidR="00084F36" w:rsidRPr="00EB2BD8" w:rsidRDefault="00084F36">
      <w:pPr>
        <w:pStyle w:val="BodyText"/>
        <w:spacing w:before="5"/>
        <w:rPr>
          <w:sz w:val="17"/>
        </w:rPr>
      </w:pPr>
    </w:p>
    <w:p w14:paraId="7884695B" w14:textId="77777777" w:rsidR="00084F36" w:rsidRPr="00EB2BD8" w:rsidRDefault="00084F36">
      <w:pPr>
        <w:rPr>
          <w:sz w:val="17"/>
        </w:rPr>
        <w:sectPr w:rsidR="00084F36" w:rsidRPr="00EB2BD8" w:rsidSect="006D75B2">
          <w:footerReference w:type="default" r:id="rId136"/>
          <w:pgSz w:w="11910" w:h="16840"/>
          <w:pgMar w:top="1080" w:right="0" w:bottom="720" w:left="0" w:header="0" w:footer="528" w:gutter="0"/>
          <w:cols w:space="720"/>
          <w:docGrid w:linePitch="299"/>
        </w:sectPr>
      </w:pPr>
    </w:p>
    <w:p w14:paraId="0ACABE4D" w14:textId="77777777" w:rsidR="00084F36" w:rsidRPr="00EB2BD8" w:rsidRDefault="00EB2BD8" w:rsidP="00EB2BD8">
      <w:pPr>
        <w:pStyle w:val="Heading2"/>
      </w:pPr>
      <w:bookmarkStart w:id="118" w:name="_Toc150762420"/>
      <w:r w:rsidRPr="00EB2BD8">
        <w:t>Developing</w:t>
      </w:r>
      <w:r w:rsidRPr="00EB2BD8">
        <w:rPr>
          <w:spacing w:val="-7"/>
        </w:rPr>
        <w:t xml:space="preserve"> </w:t>
      </w:r>
      <w:r w:rsidRPr="00EB2BD8">
        <w:t>a</w:t>
      </w:r>
      <w:r w:rsidRPr="00EB2BD8">
        <w:rPr>
          <w:spacing w:val="-7"/>
        </w:rPr>
        <w:t xml:space="preserve"> </w:t>
      </w:r>
      <w:r w:rsidRPr="00EB2BD8">
        <w:t>Virtual</w:t>
      </w:r>
      <w:r w:rsidRPr="00EB2BD8">
        <w:rPr>
          <w:spacing w:val="-7"/>
        </w:rPr>
        <w:t xml:space="preserve"> </w:t>
      </w:r>
      <w:r w:rsidRPr="00EB2BD8">
        <w:t>Reality</w:t>
      </w:r>
      <w:r w:rsidRPr="00EB2BD8">
        <w:rPr>
          <w:spacing w:val="-7"/>
        </w:rPr>
        <w:t xml:space="preserve"> </w:t>
      </w:r>
      <w:r w:rsidRPr="00EB2BD8">
        <w:t>self- evaluation platform to reduce non- compliant</w:t>
      </w:r>
      <w:r w:rsidRPr="00EB2BD8">
        <w:rPr>
          <w:spacing w:val="-14"/>
        </w:rPr>
        <w:t xml:space="preserve"> </w:t>
      </w:r>
      <w:r w:rsidRPr="00EB2BD8">
        <w:t>building</w:t>
      </w:r>
      <w:r w:rsidRPr="00EB2BD8">
        <w:rPr>
          <w:spacing w:val="-14"/>
        </w:rPr>
        <w:t xml:space="preserve"> </w:t>
      </w:r>
      <w:r w:rsidRPr="00EB2BD8">
        <w:t>and</w:t>
      </w:r>
      <w:r w:rsidRPr="00EB2BD8">
        <w:rPr>
          <w:spacing w:val="-14"/>
        </w:rPr>
        <w:t xml:space="preserve"> </w:t>
      </w:r>
      <w:r w:rsidRPr="00EB2BD8">
        <w:t>plumbing</w:t>
      </w:r>
      <w:r w:rsidRPr="00EB2BD8">
        <w:rPr>
          <w:spacing w:val="-14"/>
        </w:rPr>
        <w:t xml:space="preserve"> </w:t>
      </w:r>
      <w:r w:rsidRPr="00EB2BD8">
        <w:t>work (in</w:t>
      </w:r>
      <w:r w:rsidRPr="00EB2BD8">
        <w:rPr>
          <w:spacing w:val="-2"/>
        </w:rPr>
        <w:t xml:space="preserve"> </w:t>
      </w:r>
      <w:r w:rsidRPr="00EB2BD8">
        <w:t>progress)</w:t>
      </w:r>
      <w:bookmarkEnd w:id="118"/>
    </w:p>
    <w:p w14:paraId="1EF3355D" w14:textId="77777777" w:rsidR="00084F36" w:rsidRPr="00EB2BD8" w:rsidRDefault="00EB2BD8" w:rsidP="00EB2BD8">
      <w:pPr>
        <w:pStyle w:val="Heading3"/>
      </w:pPr>
      <w:bookmarkStart w:id="119" w:name="_Toc150762421"/>
      <w:r w:rsidRPr="00EB2BD8">
        <w:t>What</w:t>
      </w:r>
      <w:r w:rsidRPr="00EB2BD8">
        <w:rPr>
          <w:spacing w:val="-17"/>
        </w:rPr>
        <w:t xml:space="preserve"> </w:t>
      </w:r>
      <w:r w:rsidRPr="00EB2BD8">
        <w:t>we</w:t>
      </w:r>
      <w:r w:rsidRPr="00EB2BD8">
        <w:rPr>
          <w:spacing w:val="-17"/>
        </w:rPr>
        <w:t xml:space="preserve"> </w:t>
      </w:r>
      <w:r w:rsidRPr="00EB2BD8">
        <w:t>are</w:t>
      </w:r>
      <w:r w:rsidRPr="00EB2BD8">
        <w:rPr>
          <w:spacing w:val="-17"/>
        </w:rPr>
        <w:t xml:space="preserve"> </w:t>
      </w:r>
      <w:r w:rsidRPr="00EB2BD8">
        <w:t>doing</w:t>
      </w:r>
      <w:r w:rsidRPr="00EB2BD8">
        <w:rPr>
          <w:spacing w:val="-17"/>
        </w:rPr>
        <w:t xml:space="preserve"> </w:t>
      </w:r>
      <w:r w:rsidRPr="00EB2BD8">
        <w:t>and</w:t>
      </w:r>
      <w:r w:rsidRPr="00EB2BD8">
        <w:rPr>
          <w:spacing w:val="-17"/>
        </w:rPr>
        <w:t xml:space="preserve"> </w:t>
      </w:r>
      <w:r w:rsidRPr="00EB2BD8">
        <w:rPr>
          <w:spacing w:val="-5"/>
        </w:rPr>
        <w:t>why</w:t>
      </w:r>
      <w:bookmarkEnd w:id="119"/>
    </w:p>
    <w:p w14:paraId="7352FCC2" w14:textId="77777777" w:rsidR="00084F36" w:rsidRPr="00EB2BD8" w:rsidRDefault="00EB2BD8">
      <w:pPr>
        <w:pStyle w:val="BodyText"/>
        <w:spacing w:before="124" w:line="261" w:lineRule="auto"/>
        <w:ind w:left="850" w:right="173"/>
      </w:pPr>
      <w:r w:rsidRPr="00EB2BD8">
        <w:t xml:space="preserve">The VBA supported research by RMIT University, through a </w:t>
      </w:r>
      <w:hyperlink r:id="rId137">
        <w:r w:rsidRPr="00EB2BD8">
          <w:t>research grant awarded in 2022</w:t>
        </w:r>
      </w:hyperlink>
      <w:r w:rsidRPr="00EB2BD8">
        <w:t>, for a proof</w:t>
      </w:r>
      <w:r w:rsidRPr="00EB2BD8">
        <w:rPr>
          <w:spacing w:val="-1"/>
        </w:rPr>
        <w:t xml:space="preserve"> </w:t>
      </w:r>
      <w:r w:rsidRPr="00EB2BD8">
        <w:t>of</w:t>
      </w:r>
      <w:r w:rsidRPr="00EB2BD8">
        <w:rPr>
          <w:spacing w:val="-1"/>
        </w:rPr>
        <w:t xml:space="preserve"> </w:t>
      </w:r>
      <w:r w:rsidRPr="00EB2BD8">
        <w:t>concept</w:t>
      </w:r>
      <w:r w:rsidRPr="00EB2BD8">
        <w:rPr>
          <w:spacing w:val="-1"/>
        </w:rPr>
        <w:t xml:space="preserve"> </w:t>
      </w:r>
      <w:r w:rsidRPr="00EB2BD8">
        <w:t>to</w:t>
      </w:r>
      <w:r w:rsidRPr="00EB2BD8">
        <w:rPr>
          <w:spacing w:val="-1"/>
        </w:rPr>
        <w:t xml:space="preserve"> </w:t>
      </w:r>
      <w:r w:rsidRPr="00EB2BD8">
        <w:t>develop</w:t>
      </w:r>
      <w:r w:rsidRPr="00EB2BD8">
        <w:rPr>
          <w:spacing w:val="-1"/>
        </w:rPr>
        <w:t xml:space="preserve"> </w:t>
      </w:r>
      <w:r w:rsidRPr="00EB2BD8">
        <w:t>virtual</w:t>
      </w:r>
      <w:r w:rsidRPr="00EB2BD8">
        <w:rPr>
          <w:spacing w:val="-1"/>
        </w:rPr>
        <w:t xml:space="preserve"> </w:t>
      </w:r>
      <w:r w:rsidRPr="00EB2BD8">
        <w:t>reality</w:t>
      </w:r>
      <w:r w:rsidRPr="00EB2BD8">
        <w:rPr>
          <w:spacing w:val="-1"/>
        </w:rPr>
        <w:t xml:space="preserve"> </w:t>
      </w:r>
      <w:r w:rsidRPr="00EB2BD8">
        <w:t>(VR)</w:t>
      </w:r>
      <w:r w:rsidRPr="00EB2BD8">
        <w:rPr>
          <w:spacing w:val="-1"/>
        </w:rPr>
        <w:t xml:space="preserve"> </w:t>
      </w:r>
      <w:r w:rsidRPr="00EB2BD8">
        <w:t>based inspection</w:t>
      </w:r>
      <w:r w:rsidRPr="00EB2BD8">
        <w:rPr>
          <w:spacing w:val="-6"/>
        </w:rPr>
        <w:t xml:space="preserve"> </w:t>
      </w:r>
      <w:r w:rsidRPr="00EB2BD8">
        <w:t>scenarios,</w:t>
      </w:r>
      <w:r w:rsidRPr="00EB2BD8">
        <w:rPr>
          <w:spacing w:val="-6"/>
        </w:rPr>
        <w:t xml:space="preserve"> </w:t>
      </w:r>
      <w:r w:rsidRPr="00EB2BD8">
        <w:t>and</w:t>
      </w:r>
      <w:r w:rsidRPr="00EB2BD8">
        <w:rPr>
          <w:spacing w:val="-6"/>
        </w:rPr>
        <w:t xml:space="preserve"> </w:t>
      </w:r>
      <w:r w:rsidRPr="00EB2BD8">
        <w:t>a</w:t>
      </w:r>
      <w:r w:rsidRPr="00EB2BD8">
        <w:rPr>
          <w:spacing w:val="-6"/>
        </w:rPr>
        <w:t xml:space="preserve"> </w:t>
      </w:r>
      <w:r w:rsidRPr="00EB2BD8">
        <w:t>platform</w:t>
      </w:r>
      <w:r w:rsidRPr="00EB2BD8">
        <w:rPr>
          <w:spacing w:val="-6"/>
        </w:rPr>
        <w:t xml:space="preserve"> </w:t>
      </w:r>
      <w:r w:rsidRPr="00EB2BD8">
        <w:t>for</w:t>
      </w:r>
      <w:r w:rsidRPr="00EB2BD8">
        <w:rPr>
          <w:spacing w:val="-6"/>
        </w:rPr>
        <w:t xml:space="preserve"> </w:t>
      </w:r>
      <w:r w:rsidRPr="00EB2BD8">
        <w:t>building</w:t>
      </w:r>
      <w:r w:rsidRPr="00EB2BD8">
        <w:rPr>
          <w:spacing w:val="-6"/>
        </w:rPr>
        <w:t xml:space="preserve"> </w:t>
      </w:r>
      <w:r w:rsidRPr="00EB2BD8">
        <w:rPr>
          <w:spacing w:val="-5"/>
        </w:rPr>
        <w:t>and</w:t>
      </w:r>
    </w:p>
    <w:p w14:paraId="51B7A5B9" w14:textId="77777777" w:rsidR="00084F36" w:rsidRPr="00EB2BD8" w:rsidRDefault="00EB2BD8">
      <w:pPr>
        <w:pStyle w:val="BodyText"/>
        <w:spacing w:line="261" w:lineRule="auto"/>
        <w:ind w:left="850"/>
      </w:pPr>
      <w:r w:rsidRPr="00EB2BD8">
        <w:t>plumbing</w:t>
      </w:r>
      <w:r w:rsidRPr="00EB2BD8">
        <w:rPr>
          <w:spacing w:val="-9"/>
        </w:rPr>
        <w:t xml:space="preserve"> </w:t>
      </w:r>
      <w:r w:rsidRPr="00EB2BD8">
        <w:t>practitioners</w:t>
      </w:r>
      <w:r w:rsidRPr="00EB2BD8">
        <w:rPr>
          <w:spacing w:val="-9"/>
        </w:rPr>
        <w:t xml:space="preserve"> </w:t>
      </w:r>
      <w:r w:rsidRPr="00EB2BD8">
        <w:t>to</w:t>
      </w:r>
      <w:r w:rsidRPr="00EB2BD8">
        <w:rPr>
          <w:spacing w:val="-9"/>
        </w:rPr>
        <w:t xml:space="preserve"> </w:t>
      </w:r>
      <w:r w:rsidRPr="00EB2BD8">
        <w:t>use</w:t>
      </w:r>
      <w:r w:rsidRPr="00EB2BD8">
        <w:rPr>
          <w:spacing w:val="-9"/>
        </w:rPr>
        <w:t xml:space="preserve"> </w:t>
      </w:r>
      <w:r w:rsidRPr="00EB2BD8">
        <w:t>to</w:t>
      </w:r>
      <w:r w:rsidRPr="00EB2BD8">
        <w:rPr>
          <w:spacing w:val="-9"/>
        </w:rPr>
        <w:t xml:space="preserve"> </w:t>
      </w:r>
      <w:r w:rsidRPr="00EB2BD8">
        <w:t>self-assess</w:t>
      </w:r>
      <w:r w:rsidRPr="00EB2BD8">
        <w:rPr>
          <w:spacing w:val="-9"/>
        </w:rPr>
        <w:t xml:space="preserve"> </w:t>
      </w:r>
      <w:r w:rsidRPr="00EB2BD8">
        <w:t>risk</w:t>
      </w:r>
      <w:r w:rsidRPr="00EB2BD8">
        <w:rPr>
          <w:spacing w:val="-9"/>
        </w:rPr>
        <w:t xml:space="preserve"> </w:t>
      </w:r>
      <w:r w:rsidRPr="00EB2BD8">
        <w:t>of</w:t>
      </w:r>
      <w:r w:rsidRPr="00EB2BD8">
        <w:rPr>
          <w:spacing w:val="-9"/>
        </w:rPr>
        <w:t xml:space="preserve"> </w:t>
      </w:r>
      <w:r w:rsidRPr="00EB2BD8">
        <w:t>non- compliance building and plumbing work in their own projects. The proof of concept will focus on inspection scenarios targeting the risk of moisture ingress and water damage in Victorian buildings.</w:t>
      </w:r>
    </w:p>
    <w:p w14:paraId="0D5D7ECE" w14:textId="77777777" w:rsidR="00084F36" w:rsidRPr="00EB2BD8" w:rsidRDefault="00EB2BD8">
      <w:pPr>
        <w:pStyle w:val="BodyText"/>
        <w:spacing w:before="104" w:line="261" w:lineRule="auto"/>
        <w:ind w:left="850" w:right="166"/>
      </w:pPr>
      <w:r w:rsidRPr="00EB2BD8">
        <w:t>The research, led by Professor Peter SP Wong and Professor</w:t>
      </w:r>
      <w:r w:rsidRPr="00EB2BD8">
        <w:rPr>
          <w:spacing w:val="-7"/>
        </w:rPr>
        <w:t xml:space="preserve"> </w:t>
      </w:r>
      <w:r w:rsidRPr="00EB2BD8">
        <w:t>Ron</w:t>
      </w:r>
      <w:r w:rsidRPr="00EB2BD8">
        <w:rPr>
          <w:spacing w:val="-7"/>
        </w:rPr>
        <w:t xml:space="preserve"> </w:t>
      </w:r>
      <w:r w:rsidRPr="00EB2BD8">
        <w:t>Wakefield,</w:t>
      </w:r>
      <w:r w:rsidRPr="00EB2BD8">
        <w:rPr>
          <w:spacing w:val="-7"/>
        </w:rPr>
        <w:t xml:space="preserve"> </w:t>
      </w:r>
      <w:r w:rsidRPr="00EB2BD8">
        <w:t>proposes</w:t>
      </w:r>
      <w:r w:rsidRPr="00EB2BD8">
        <w:rPr>
          <w:spacing w:val="-7"/>
        </w:rPr>
        <w:t xml:space="preserve"> </w:t>
      </w:r>
      <w:r w:rsidRPr="00EB2BD8">
        <w:t>to</w:t>
      </w:r>
      <w:r w:rsidRPr="00EB2BD8">
        <w:rPr>
          <w:spacing w:val="-7"/>
        </w:rPr>
        <w:t xml:space="preserve"> </w:t>
      </w:r>
      <w:r w:rsidRPr="00EB2BD8">
        <w:t>develop</w:t>
      </w:r>
      <w:r w:rsidRPr="00EB2BD8">
        <w:rPr>
          <w:spacing w:val="-7"/>
        </w:rPr>
        <w:t xml:space="preserve"> </w:t>
      </w:r>
      <w:r w:rsidRPr="00EB2BD8">
        <w:t>a</w:t>
      </w:r>
      <w:r w:rsidRPr="00EB2BD8">
        <w:rPr>
          <w:spacing w:val="-7"/>
        </w:rPr>
        <w:t xml:space="preserve"> </w:t>
      </w:r>
      <w:r w:rsidRPr="00EB2BD8">
        <w:t>proof of</w:t>
      </w:r>
      <w:r w:rsidRPr="00EB2BD8">
        <w:rPr>
          <w:spacing w:val="-11"/>
        </w:rPr>
        <w:t xml:space="preserve"> </w:t>
      </w:r>
      <w:r w:rsidRPr="00EB2BD8">
        <w:t>concept</w:t>
      </w:r>
      <w:r w:rsidRPr="00EB2BD8">
        <w:rPr>
          <w:spacing w:val="-11"/>
        </w:rPr>
        <w:t xml:space="preserve"> </w:t>
      </w:r>
      <w:r w:rsidRPr="00EB2BD8">
        <w:t>mobile</w:t>
      </w:r>
      <w:r w:rsidRPr="00EB2BD8">
        <w:rPr>
          <w:spacing w:val="-11"/>
        </w:rPr>
        <w:t xml:space="preserve"> </w:t>
      </w:r>
      <w:r w:rsidRPr="00EB2BD8">
        <w:t>VR</w:t>
      </w:r>
      <w:r w:rsidRPr="00EB2BD8">
        <w:rPr>
          <w:spacing w:val="-11"/>
        </w:rPr>
        <w:t xml:space="preserve"> </w:t>
      </w:r>
      <w:r w:rsidRPr="00EB2BD8">
        <w:t>app</w:t>
      </w:r>
      <w:r w:rsidRPr="00EB2BD8">
        <w:rPr>
          <w:spacing w:val="-11"/>
        </w:rPr>
        <w:t xml:space="preserve"> </w:t>
      </w:r>
      <w:r w:rsidRPr="00EB2BD8">
        <w:t>that</w:t>
      </w:r>
      <w:r w:rsidRPr="00EB2BD8">
        <w:rPr>
          <w:spacing w:val="-11"/>
        </w:rPr>
        <w:t xml:space="preserve"> </w:t>
      </w:r>
      <w:r w:rsidRPr="00EB2BD8">
        <w:t>will</w:t>
      </w:r>
      <w:r w:rsidRPr="00EB2BD8">
        <w:rPr>
          <w:spacing w:val="-11"/>
        </w:rPr>
        <w:t xml:space="preserve"> </w:t>
      </w:r>
      <w:r w:rsidRPr="00EB2BD8">
        <w:t>allow</w:t>
      </w:r>
      <w:r w:rsidRPr="00EB2BD8">
        <w:rPr>
          <w:spacing w:val="-11"/>
        </w:rPr>
        <w:t xml:space="preserve"> </w:t>
      </w:r>
      <w:r w:rsidRPr="00EB2BD8">
        <w:t>practitioners, tradespersons and students to be immersed in real site inspection scenarios and to learn to identify and self-evaluate risks of non-compliance with regulatory requirements and standards with their own building and plumbing work.</w:t>
      </w:r>
    </w:p>
    <w:p w14:paraId="56D65B15" w14:textId="77777777" w:rsidR="00084F36" w:rsidRPr="00EB2BD8" w:rsidRDefault="00EB2BD8" w:rsidP="00EB2BD8">
      <w:pPr>
        <w:pStyle w:val="Heading3"/>
      </w:pPr>
      <w:bookmarkStart w:id="120" w:name="_Toc150762422"/>
      <w:r w:rsidRPr="00EB2BD8">
        <w:t>What</w:t>
      </w:r>
      <w:r w:rsidRPr="00EB2BD8">
        <w:rPr>
          <w:spacing w:val="-19"/>
        </w:rPr>
        <w:t xml:space="preserve"> </w:t>
      </w:r>
      <w:r w:rsidRPr="00EB2BD8">
        <w:t>we</w:t>
      </w:r>
      <w:r w:rsidRPr="00EB2BD8">
        <w:rPr>
          <w:spacing w:val="-19"/>
        </w:rPr>
        <w:t xml:space="preserve"> </w:t>
      </w:r>
      <w:r w:rsidRPr="00EB2BD8">
        <w:t>have</w:t>
      </w:r>
      <w:r w:rsidRPr="00EB2BD8">
        <w:rPr>
          <w:spacing w:val="-19"/>
        </w:rPr>
        <w:t xml:space="preserve"> </w:t>
      </w:r>
      <w:r w:rsidRPr="00EB2BD8">
        <w:t>achieved</w:t>
      </w:r>
      <w:r w:rsidRPr="00EB2BD8">
        <w:rPr>
          <w:spacing w:val="-19"/>
        </w:rPr>
        <w:t xml:space="preserve"> </w:t>
      </w:r>
      <w:r w:rsidRPr="00EB2BD8">
        <w:t>so</w:t>
      </w:r>
      <w:r w:rsidRPr="00EB2BD8">
        <w:rPr>
          <w:spacing w:val="-18"/>
        </w:rPr>
        <w:t xml:space="preserve"> </w:t>
      </w:r>
      <w:r w:rsidRPr="00EB2BD8">
        <w:rPr>
          <w:spacing w:val="-5"/>
        </w:rPr>
        <w:t>far</w:t>
      </w:r>
      <w:bookmarkEnd w:id="120"/>
    </w:p>
    <w:p w14:paraId="787121F2" w14:textId="77777777" w:rsidR="00084F36" w:rsidRPr="00EB2BD8" w:rsidRDefault="00EB2BD8">
      <w:pPr>
        <w:pStyle w:val="BodyText"/>
        <w:spacing w:before="124" w:line="261" w:lineRule="auto"/>
        <w:ind w:left="850" w:right="63"/>
      </w:pPr>
      <w:r w:rsidRPr="00EB2BD8">
        <w:t>VBA auditors and inspectors assisted the researchers to identify scenarios of non-compliant building and plumbing</w:t>
      </w:r>
      <w:r w:rsidRPr="00EB2BD8">
        <w:rPr>
          <w:spacing w:val="-15"/>
        </w:rPr>
        <w:t xml:space="preserve"> </w:t>
      </w:r>
      <w:r w:rsidRPr="00EB2BD8">
        <w:t>work</w:t>
      </w:r>
      <w:r w:rsidRPr="00EB2BD8">
        <w:rPr>
          <w:spacing w:val="-14"/>
        </w:rPr>
        <w:t xml:space="preserve"> </w:t>
      </w:r>
      <w:r w:rsidRPr="00EB2BD8">
        <w:t>that</w:t>
      </w:r>
      <w:r w:rsidRPr="00EB2BD8">
        <w:rPr>
          <w:spacing w:val="-14"/>
        </w:rPr>
        <w:t xml:space="preserve"> </w:t>
      </w:r>
      <w:r w:rsidRPr="00EB2BD8">
        <w:t>was</w:t>
      </w:r>
      <w:r w:rsidRPr="00EB2BD8">
        <w:rPr>
          <w:spacing w:val="-14"/>
        </w:rPr>
        <w:t xml:space="preserve"> </w:t>
      </w:r>
      <w:r w:rsidRPr="00EB2BD8">
        <w:t>likely</w:t>
      </w:r>
      <w:r w:rsidRPr="00EB2BD8">
        <w:rPr>
          <w:spacing w:val="-15"/>
        </w:rPr>
        <w:t xml:space="preserve"> </w:t>
      </w:r>
      <w:r w:rsidRPr="00EB2BD8">
        <w:t>to</w:t>
      </w:r>
      <w:r w:rsidRPr="00EB2BD8">
        <w:rPr>
          <w:spacing w:val="-14"/>
        </w:rPr>
        <w:t xml:space="preserve"> </w:t>
      </w:r>
      <w:r w:rsidRPr="00EB2BD8">
        <w:t>result</w:t>
      </w:r>
      <w:r w:rsidRPr="00EB2BD8">
        <w:rPr>
          <w:spacing w:val="-14"/>
        </w:rPr>
        <w:t xml:space="preserve"> </w:t>
      </w:r>
      <w:r w:rsidRPr="00EB2BD8">
        <w:t>in</w:t>
      </w:r>
      <w:r w:rsidRPr="00EB2BD8">
        <w:rPr>
          <w:spacing w:val="-14"/>
        </w:rPr>
        <w:t xml:space="preserve"> </w:t>
      </w:r>
      <w:r w:rsidRPr="00EB2BD8">
        <w:t>water</w:t>
      </w:r>
      <w:r w:rsidRPr="00EB2BD8">
        <w:rPr>
          <w:spacing w:val="-15"/>
        </w:rPr>
        <w:t xml:space="preserve"> </w:t>
      </w:r>
      <w:r w:rsidRPr="00EB2BD8">
        <w:t>ingress or moisture damage post-construction. The research team</w:t>
      </w:r>
      <w:r w:rsidRPr="00EB2BD8">
        <w:rPr>
          <w:spacing w:val="-4"/>
        </w:rPr>
        <w:t xml:space="preserve"> </w:t>
      </w:r>
      <w:r w:rsidRPr="00EB2BD8">
        <w:t>then</w:t>
      </w:r>
      <w:r w:rsidRPr="00EB2BD8">
        <w:rPr>
          <w:spacing w:val="-4"/>
        </w:rPr>
        <w:t xml:space="preserve"> </w:t>
      </w:r>
      <w:r w:rsidRPr="00EB2BD8">
        <w:t>obtained</w:t>
      </w:r>
      <w:r w:rsidRPr="00EB2BD8">
        <w:rPr>
          <w:spacing w:val="-4"/>
        </w:rPr>
        <w:t xml:space="preserve"> </w:t>
      </w:r>
      <w:r w:rsidRPr="00EB2BD8">
        <w:t>4K</w:t>
      </w:r>
      <w:r w:rsidRPr="00EB2BD8">
        <w:rPr>
          <w:spacing w:val="-4"/>
        </w:rPr>
        <w:t xml:space="preserve"> </w:t>
      </w:r>
      <w:r w:rsidRPr="00EB2BD8">
        <w:t>resolution</w:t>
      </w:r>
      <w:r w:rsidRPr="00EB2BD8">
        <w:rPr>
          <w:spacing w:val="-4"/>
        </w:rPr>
        <w:t xml:space="preserve"> </w:t>
      </w:r>
      <w:r w:rsidRPr="00EB2BD8">
        <w:t>360-degree</w:t>
      </w:r>
      <w:r w:rsidRPr="00EB2BD8">
        <w:rPr>
          <w:spacing w:val="-4"/>
        </w:rPr>
        <w:t xml:space="preserve"> </w:t>
      </w:r>
      <w:r w:rsidRPr="00EB2BD8">
        <w:t>pictures from construction sites that match the scenarios identified by inspectors and auditors, and edited</w:t>
      </w:r>
    </w:p>
    <w:p w14:paraId="273041A5" w14:textId="77777777" w:rsidR="00084F36" w:rsidRPr="00EB2BD8" w:rsidRDefault="00EB2BD8">
      <w:pPr>
        <w:pStyle w:val="BodyText"/>
        <w:spacing w:line="261" w:lineRule="auto"/>
        <w:ind w:left="850" w:right="173"/>
      </w:pPr>
      <w:r w:rsidRPr="00EB2BD8">
        <w:t>them</w:t>
      </w:r>
      <w:r w:rsidRPr="00EB2BD8">
        <w:rPr>
          <w:spacing w:val="-3"/>
        </w:rPr>
        <w:t xml:space="preserve"> </w:t>
      </w:r>
      <w:r w:rsidRPr="00EB2BD8">
        <w:t>for</w:t>
      </w:r>
      <w:r w:rsidRPr="00EB2BD8">
        <w:rPr>
          <w:spacing w:val="-3"/>
        </w:rPr>
        <w:t xml:space="preserve"> </w:t>
      </w:r>
      <w:r w:rsidRPr="00EB2BD8">
        <w:t>use</w:t>
      </w:r>
      <w:r w:rsidRPr="00EB2BD8">
        <w:rPr>
          <w:spacing w:val="-3"/>
        </w:rPr>
        <w:t xml:space="preserve"> </w:t>
      </w:r>
      <w:r w:rsidRPr="00EB2BD8">
        <w:t>in</w:t>
      </w:r>
      <w:r w:rsidRPr="00EB2BD8">
        <w:rPr>
          <w:spacing w:val="-3"/>
        </w:rPr>
        <w:t xml:space="preserve"> </w:t>
      </w:r>
      <w:r w:rsidRPr="00EB2BD8">
        <w:t>a</w:t>
      </w:r>
      <w:r w:rsidRPr="00EB2BD8">
        <w:rPr>
          <w:spacing w:val="-3"/>
        </w:rPr>
        <w:t xml:space="preserve"> </w:t>
      </w:r>
      <w:r w:rsidRPr="00EB2BD8">
        <w:t>VR-based</w:t>
      </w:r>
      <w:r w:rsidRPr="00EB2BD8">
        <w:rPr>
          <w:spacing w:val="-3"/>
        </w:rPr>
        <w:t xml:space="preserve"> </w:t>
      </w:r>
      <w:r w:rsidRPr="00EB2BD8">
        <w:t>mobile</w:t>
      </w:r>
      <w:r w:rsidRPr="00EB2BD8">
        <w:rPr>
          <w:spacing w:val="-3"/>
        </w:rPr>
        <w:t xml:space="preserve"> </w:t>
      </w:r>
      <w:r w:rsidRPr="00EB2BD8">
        <w:t>app</w:t>
      </w:r>
      <w:r w:rsidRPr="00EB2BD8">
        <w:rPr>
          <w:spacing w:val="-3"/>
        </w:rPr>
        <w:t xml:space="preserve"> </w:t>
      </w:r>
      <w:r w:rsidRPr="00EB2BD8">
        <w:t>that</w:t>
      </w:r>
      <w:r w:rsidRPr="00EB2BD8">
        <w:rPr>
          <w:spacing w:val="-3"/>
        </w:rPr>
        <w:t xml:space="preserve"> </w:t>
      </w:r>
      <w:r w:rsidRPr="00EB2BD8">
        <w:t>is</w:t>
      </w:r>
      <w:r w:rsidRPr="00EB2BD8">
        <w:rPr>
          <w:spacing w:val="-3"/>
        </w:rPr>
        <w:t xml:space="preserve"> </w:t>
      </w:r>
      <w:r w:rsidRPr="00EB2BD8">
        <w:t xml:space="preserve">under </w:t>
      </w:r>
      <w:r w:rsidRPr="00EB2BD8">
        <w:rPr>
          <w:spacing w:val="-2"/>
        </w:rPr>
        <w:t>development.</w:t>
      </w:r>
    </w:p>
    <w:p w14:paraId="01530CD2" w14:textId="77777777" w:rsidR="00084F36" w:rsidRPr="00EB2BD8" w:rsidRDefault="00EB2BD8">
      <w:pPr>
        <w:pStyle w:val="BodyText"/>
        <w:spacing w:before="104"/>
        <w:ind w:left="850"/>
      </w:pPr>
      <w:r w:rsidRPr="00EB2BD8">
        <w:t>The</w:t>
      </w:r>
      <w:r w:rsidRPr="00EB2BD8">
        <w:rPr>
          <w:spacing w:val="-11"/>
        </w:rPr>
        <w:t xml:space="preserve"> </w:t>
      </w:r>
      <w:r w:rsidRPr="00EB2BD8">
        <w:t>research</w:t>
      </w:r>
      <w:r w:rsidRPr="00EB2BD8">
        <w:rPr>
          <w:spacing w:val="-11"/>
        </w:rPr>
        <w:t xml:space="preserve"> </w:t>
      </w:r>
      <w:r w:rsidRPr="00EB2BD8">
        <w:t>project</w:t>
      </w:r>
      <w:r w:rsidRPr="00EB2BD8">
        <w:rPr>
          <w:spacing w:val="-11"/>
        </w:rPr>
        <w:t xml:space="preserve"> </w:t>
      </w:r>
      <w:r w:rsidRPr="00EB2BD8">
        <w:t>is</w:t>
      </w:r>
      <w:r w:rsidRPr="00EB2BD8">
        <w:rPr>
          <w:spacing w:val="-11"/>
        </w:rPr>
        <w:t xml:space="preserve"> </w:t>
      </w:r>
      <w:r w:rsidRPr="00EB2BD8">
        <w:t>due</w:t>
      </w:r>
      <w:r w:rsidRPr="00EB2BD8">
        <w:rPr>
          <w:spacing w:val="-10"/>
        </w:rPr>
        <w:t xml:space="preserve"> </w:t>
      </w:r>
      <w:r w:rsidRPr="00EB2BD8">
        <w:t>for</w:t>
      </w:r>
      <w:r w:rsidRPr="00EB2BD8">
        <w:rPr>
          <w:spacing w:val="-11"/>
        </w:rPr>
        <w:t xml:space="preserve"> </w:t>
      </w:r>
      <w:r w:rsidRPr="00EB2BD8">
        <w:t>completion</w:t>
      </w:r>
      <w:r w:rsidRPr="00EB2BD8">
        <w:rPr>
          <w:spacing w:val="-11"/>
        </w:rPr>
        <w:t xml:space="preserve"> </w:t>
      </w:r>
      <w:r w:rsidRPr="00EB2BD8">
        <w:t>2023-</w:t>
      </w:r>
      <w:r w:rsidRPr="00EB2BD8">
        <w:rPr>
          <w:spacing w:val="-5"/>
        </w:rPr>
        <w:t>24.</w:t>
      </w:r>
    </w:p>
    <w:p w14:paraId="6A1F7867" w14:textId="4DF45C83" w:rsidR="00084F36" w:rsidRPr="00EB2BD8" w:rsidRDefault="00EB2BD8" w:rsidP="006E2D36">
      <w:pPr>
        <w:pStyle w:val="Heading2"/>
        <w:ind w:left="436"/>
      </w:pPr>
      <w:r w:rsidRPr="00EB2BD8">
        <w:br w:type="column"/>
      </w:r>
      <w:bookmarkStart w:id="121" w:name="_Toc150762423"/>
      <w:r w:rsidRPr="00EB2BD8">
        <w:t>Building</w:t>
      </w:r>
      <w:r w:rsidRPr="00EB2BD8">
        <w:rPr>
          <w:spacing w:val="-20"/>
        </w:rPr>
        <w:t xml:space="preserve"> </w:t>
      </w:r>
      <w:r w:rsidRPr="00EB2BD8">
        <w:t>4.0</w:t>
      </w:r>
      <w:r w:rsidRPr="00EB2BD8">
        <w:rPr>
          <w:spacing w:val="-20"/>
        </w:rPr>
        <w:t xml:space="preserve"> </w:t>
      </w:r>
      <w:r w:rsidRPr="00EB2BD8">
        <w:t>Cooperative</w:t>
      </w:r>
      <w:r w:rsidRPr="00EB2BD8">
        <w:rPr>
          <w:spacing w:val="-20"/>
        </w:rPr>
        <w:t xml:space="preserve"> </w:t>
      </w:r>
      <w:r w:rsidR="006E2D36">
        <w:rPr>
          <w:spacing w:val="-20"/>
        </w:rPr>
        <w:br/>
      </w:r>
      <w:r w:rsidRPr="00EB2BD8">
        <w:t xml:space="preserve">Research </w:t>
      </w:r>
      <w:r w:rsidRPr="00EB2BD8">
        <w:rPr>
          <w:spacing w:val="-2"/>
        </w:rPr>
        <w:t>Centre</w:t>
      </w:r>
      <w:bookmarkEnd w:id="121"/>
    </w:p>
    <w:p w14:paraId="545AF663" w14:textId="77777777" w:rsidR="00084F36" w:rsidRPr="00EB2BD8" w:rsidRDefault="00EB2BD8">
      <w:pPr>
        <w:pStyle w:val="BodyText"/>
        <w:spacing w:before="114"/>
        <w:ind w:left="436"/>
      </w:pPr>
      <w:r w:rsidRPr="00EB2BD8">
        <w:t>The</w:t>
      </w:r>
      <w:r w:rsidRPr="00EB2BD8">
        <w:rPr>
          <w:spacing w:val="2"/>
        </w:rPr>
        <w:t xml:space="preserve"> </w:t>
      </w:r>
      <w:r w:rsidRPr="00EB2BD8">
        <w:t>VBA</w:t>
      </w:r>
      <w:r w:rsidRPr="00EB2BD8">
        <w:rPr>
          <w:spacing w:val="2"/>
        </w:rPr>
        <w:t xml:space="preserve"> </w:t>
      </w:r>
      <w:r w:rsidRPr="00EB2BD8">
        <w:t>is</w:t>
      </w:r>
      <w:r w:rsidRPr="00EB2BD8">
        <w:rPr>
          <w:spacing w:val="2"/>
        </w:rPr>
        <w:t xml:space="preserve"> </w:t>
      </w:r>
      <w:r w:rsidRPr="00EB2BD8">
        <w:t>participating</w:t>
      </w:r>
      <w:r w:rsidRPr="00EB2BD8">
        <w:rPr>
          <w:spacing w:val="3"/>
        </w:rPr>
        <w:t xml:space="preserve"> </w:t>
      </w:r>
      <w:r w:rsidRPr="00EB2BD8">
        <w:t>in</w:t>
      </w:r>
      <w:r w:rsidRPr="00EB2BD8">
        <w:rPr>
          <w:spacing w:val="2"/>
        </w:rPr>
        <w:t xml:space="preserve"> </w:t>
      </w:r>
      <w:r w:rsidRPr="00EB2BD8">
        <w:t>the</w:t>
      </w:r>
      <w:r w:rsidRPr="00EB2BD8">
        <w:rPr>
          <w:spacing w:val="2"/>
        </w:rPr>
        <w:t xml:space="preserve"> </w:t>
      </w:r>
      <w:r w:rsidRPr="00EB2BD8">
        <w:t>seven-year</w:t>
      </w:r>
      <w:r w:rsidRPr="00EB2BD8">
        <w:rPr>
          <w:spacing w:val="2"/>
        </w:rPr>
        <w:t xml:space="preserve"> </w:t>
      </w:r>
      <w:hyperlink r:id="rId138">
        <w:r w:rsidRPr="00EB2BD8">
          <w:rPr>
            <w:spacing w:val="-2"/>
          </w:rPr>
          <w:t>Building</w:t>
        </w:r>
      </w:hyperlink>
    </w:p>
    <w:p w14:paraId="40AB19A5" w14:textId="77777777" w:rsidR="00084F36" w:rsidRPr="00EB2BD8" w:rsidRDefault="00562DC8">
      <w:pPr>
        <w:pStyle w:val="ListParagraph"/>
        <w:numPr>
          <w:ilvl w:val="1"/>
          <w:numId w:val="61"/>
        </w:numPr>
        <w:tabs>
          <w:tab w:val="left" w:pos="744"/>
        </w:tabs>
        <w:spacing w:before="18" w:line="261" w:lineRule="auto"/>
        <w:ind w:right="1136" w:firstLine="0"/>
        <w:jc w:val="left"/>
        <w:rPr>
          <w:sz w:val="18"/>
        </w:rPr>
      </w:pPr>
      <w:hyperlink r:id="rId139">
        <w:r w:rsidR="00EB2BD8" w:rsidRPr="00EB2BD8">
          <w:rPr>
            <w:sz w:val="18"/>
          </w:rPr>
          <w:t>Cooperative Research Centre</w:t>
        </w:r>
      </w:hyperlink>
      <w:r w:rsidR="00EB2BD8" w:rsidRPr="00EB2BD8">
        <w:rPr>
          <w:sz w:val="18"/>
        </w:rPr>
        <w:t xml:space="preserve"> (CRC), an industry- </w:t>
      </w:r>
      <w:r w:rsidR="00EB2BD8" w:rsidRPr="00EB2BD8">
        <w:rPr>
          <w:w w:val="105"/>
          <w:sz w:val="18"/>
        </w:rPr>
        <w:t>led</w:t>
      </w:r>
      <w:r w:rsidR="00EB2BD8" w:rsidRPr="00EB2BD8">
        <w:rPr>
          <w:spacing w:val="-5"/>
          <w:w w:val="105"/>
          <w:sz w:val="18"/>
        </w:rPr>
        <w:t xml:space="preserve"> </w:t>
      </w:r>
      <w:r w:rsidR="00EB2BD8" w:rsidRPr="00EB2BD8">
        <w:rPr>
          <w:w w:val="105"/>
          <w:sz w:val="18"/>
        </w:rPr>
        <w:t>research</w:t>
      </w:r>
      <w:r w:rsidR="00EB2BD8" w:rsidRPr="00EB2BD8">
        <w:rPr>
          <w:spacing w:val="-5"/>
          <w:w w:val="105"/>
          <w:sz w:val="18"/>
        </w:rPr>
        <w:t xml:space="preserve"> </w:t>
      </w:r>
      <w:r w:rsidR="00EB2BD8" w:rsidRPr="00EB2BD8">
        <w:rPr>
          <w:w w:val="105"/>
          <w:sz w:val="18"/>
        </w:rPr>
        <w:t>initiative</w:t>
      </w:r>
      <w:r w:rsidR="00EB2BD8" w:rsidRPr="00EB2BD8">
        <w:rPr>
          <w:spacing w:val="-5"/>
          <w:w w:val="105"/>
          <w:sz w:val="18"/>
        </w:rPr>
        <w:t xml:space="preserve"> </w:t>
      </w:r>
      <w:r w:rsidR="00EB2BD8" w:rsidRPr="00EB2BD8">
        <w:rPr>
          <w:w w:val="105"/>
          <w:sz w:val="18"/>
        </w:rPr>
        <w:t>co-funded</w:t>
      </w:r>
      <w:r w:rsidR="00EB2BD8" w:rsidRPr="00EB2BD8">
        <w:rPr>
          <w:spacing w:val="-5"/>
          <w:w w:val="105"/>
          <w:sz w:val="18"/>
        </w:rPr>
        <w:t xml:space="preserve"> </w:t>
      </w:r>
      <w:r w:rsidR="00EB2BD8" w:rsidRPr="00EB2BD8">
        <w:rPr>
          <w:w w:val="105"/>
          <w:sz w:val="18"/>
        </w:rPr>
        <w:t>by</w:t>
      </w:r>
      <w:r w:rsidR="00EB2BD8" w:rsidRPr="00EB2BD8">
        <w:rPr>
          <w:spacing w:val="-5"/>
          <w:w w:val="105"/>
          <w:sz w:val="18"/>
        </w:rPr>
        <w:t xml:space="preserve"> </w:t>
      </w:r>
      <w:r w:rsidR="00EB2BD8" w:rsidRPr="00EB2BD8">
        <w:rPr>
          <w:w w:val="105"/>
          <w:sz w:val="18"/>
        </w:rPr>
        <w:t>the</w:t>
      </w:r>
      <w:r w:rsidR="00EB2BD8" w:rsidRPr="00EB2BD8">
        <w:rPr>
          <w:spacing w:val="-5"/>
          <w:w w:val="105"/>
          <w:sz w:val="18"/>
        </w:rPr>
        <w:t xml:space="preserve"> </w:t>
      </w:r>
      <w:r w:rsidR="00EB2BD8" w:rsidRPr="00EB2BD8">
        <w:rPr>
          <w:w w:val="105"/>
          <w:sz w:val="18"/>
        </w:rPr>
        <w:t xml:space="preserve">Australian </w:t>
      </w:r>
      <w:r w:rsidR="00EB2BD8" w:rsidRPr="00EB2BD8">
        <w:rPr>
          <w:spacing w:val="-2"/>
          <w:w w:val="105"/>
          <w:sz w:val="18"/>
        </w:rPr>
        <w:t>Government.</w:t>
      </w:r>
    </w:p>
    <w:p w14:paraId="7F039512" w14:textId="77777777" w:rsidR="00084F36" w:rsidRPr="00EB2BD8" w:rsidRDefault="00EB2BD8">
      <w:pPr>
        <w:pStyle w:val="BodyText"/>
        <w:spacing w:before="110" w:line="261" w:lineRule="auto"/>
        <w:ind w:left="436" w:right="1176"/>
      </w:pPr>
      <w:r w:rsidRPr="00EB2BD8">
        <w:t>Building</w:t>
      </w:r>
      <w:r w:rsidRPr="00EB2BD8">
        <w:rPr>
          <w:spacing w:val="-8"/>
        </w:rPr>
        <w:t xml:space="preserve"> </w:t>
      </w:r>
      <w:r w:rsidRPr="00EB2BD8">
        <w:t>4.0</w:t>
      </w:r>
      <w:r w:rsidRPr="00EB2BD8">
        <w:rPr>
          <w:spacing w:val="-8"/>
        </w:rPr>
        <w:t xml:space="preserve"> </w:t>
      </w:r>
      <w:r w:rsidRPr="00EB2BD8">
        <w:t>CRC</w:t>
      </w:r>
      <w:r w:rsidRPr="00EB2BD8">
        <w:rPr>
          <w:spacing w:val="-8"/>
        </w:rPr>
        <w:t xml:space="preserve"> </w:t>
      </w:r>
      <w:r w:rsidRPr="00EB2BD8">
        <w:t>commenced</w:t>
      </w:r>
      <w:r w:rsidRPr="00EB2BD8">
        <w:rPr>
          <w:spacing w:val="-8"/>
        </w:rPr>
        <w:t xml:space="preserve"> </w:t>
      </w:r>
      <w:r w:rsidRPr="00EB2BD8">
        <w:t>in</w:t>
      </w:r>
      <w:r w:rsidRPr="00EB2BD8">
        <w:rPr>
          <w:spacing w:val="-8"/>
        </w:rPr>
        <w:t xml:space="preserve"> </w:t>
      </w:r>
      <w:r w:rsidRPr="00EB2BD8">
        <w:t>2020-21</w:t>
      </w:r>
      <w:r w:rsidRPr="00EB2BD8">
        <w:rPr>
          <w:spacing w:val="-8"/>
        </w:rPr>
        <w:t xml:space="preserve"> </w:t>
      </w:r>
      <w:r w:rsidRPr="00EB2BD8">
        <w:t>and</w:t>
      </w:r>
      <w:r w:rsidRPr="00EB2BD8">
        <w:rPr>
          <w:spacing w:val="-8"/>
        </w:rPr>
        <w:t xml:space="preserve"> </w:t>
      </w:r>
      <w:r w:rsidRPr="00EB2BD8">
        <w:t>aims to</w:t>
      </w:r>
      <w:r w:rsidRPr="00EB2BD8">
        <w:rPr>
          <w:spacing w:val="-6"/>
        </w:rPr>
        <w:t xml:space="preserve"> </w:t>
      </w:r>
      <w:r w:rsidRPr="00EB2BD8">
        <w:t>address</w:t>
      </w:r>
      <w:r w:rsidRPr="00EB2BD8">
        <w:rPr>
          <w:spacing w:val="-5"/>
        </w:rPr>
        <w:t xml:space="preserve"> </w:t>
      </w:r>
      <w:r w:rsidRPr="00EB2BD8">
        <w:t>long-standing</w:t>
      </w:r>
      <w:r w:rsidRPr="00EB2BD8">
        <w:rPr>
          <w:spacing w:val="-6"/>
        </w:rPr>
        <w:t xml:space="preserve"> </w:t>
      </w:r>
      <w:r w:rsidRPr="00EB2BD8">
        <w:t>systemic</w:t>
      </w:r>
      <w:r w:rsidRPr="00EB2BD8">
        <w:rPr>
          <w:spacing w:val="-5"/>
        </w:rPr>
        <w:t xml:space="preserve"> </w:t>
      </w:r>
      <w:r w:rsidRPr="00EB2BD8">
        <w:t>problems</w:t>
      </w:r>
      <w:r w:rsidRPr="00EB2BD8">
        <w:rPr>
          <w:spacing w:val="-5"/>
        </w:rPr>
        <w:t xml:space="preserve"> </w:t>
      </w:r>
      <w:r w:rsidRPr="00EB2BD8">
        <w:t>in</w:t>
      </w:r>
      <w:r w:rsidRPr="00EB2BD8">
        <w:rPr>
          <w:spacing w:val="-6"/>
        </w:rPr>
        <w:t xml:space="preserve"> </w:t>
      </w:r>
      <w:r w:rsidRPr="00EB2BD8">
        <w:rPr>
          <w:spacing w:val="-5"/>
        </w:rPr>
        <w:t>the</w:t>
      </w:r>
    </w:p>
    <w:p w14:paraId="477AD457" w14:textId="77777777" w:rsidR="00084F36" w:rsidRPr="00EB2BD8" w:rsidRDefault="00EB2BD8">
      <w:pPr>
        <w:pStyle w:val="BodyText"/>
        <w:spacing w:line="261" w:lineRule="auto"/>
        <w:ind w:left="436" w:right="826"/>
      </w:pPr>
      <w:r w:rsidRPr="00EB2BD8">
        <w:t>construction</w:t>
      </w:r>
      <w:r w:rsidRPr="00EB2BD8">
        <w:rPr>
          <w:spacing w:val="-12"/>
        </w:rPr>
        <w:t xml:space="preserve"> </w:t>
      </w:r>
      <w:r w:rsidRPr="00EB2BD8">
        <w:t>industry</w:t>
      </w:r>
      <w:r w:rsidRPr="00EB2BD8">
        <w:rPr>
          <w:spacing w:val="-12"/>
        </w:rPr>
        <w:t xml:space="preserve"> </w:t>
      </w:r>
      <w:r w:rsidRPr="00EB2BD8">
        <w:t>including</w:t>
      </w:r>
      <w:r w:rsidRPr="00EB2BD8">
        <w:rPr>
          <w:spacing w:val="-12"/>
        </w:rPr>
        <w:t xml:space="preserve"> </w:t>
      </w:r>
      <w:r w:rsidRPr="00EB2BD8">
        <w:t>stagnating</w:t>
      </w:r>
      <w:r w:rsidRPr="00EB2BD8">
        <w:rPr>
          <w:spacing w:val="-12"/>
        </w:rPr>
        <w:t xml:space="preserve"> </w:t>
      </w:r>
      <w:r w:rsidRPr="00EB2BD8">
        <w:t xml:space="preserve">productivity, limited digitisation or adoption of advances in manufacturing technology, and poor knowledge </w:t>
      </w:r>
      <w:r w:rsidRPr="00EB2BD8">
        <w:rPr>
          <w:spacing w:val="-2"/>
        </w:rPr>
        <w:t>transfer.</w:t>
      </w:r>
    </w:p>
    <w:p w14:paraId="4E30F0BC" w14:textId="77777777" w:rsidR="00084F36" w:rsidRPr="00EB2BD8" w:rsidRDefault="00EB2BD8">
      <w:pPr>
        <w:pStyle w:val="BodyText"/>
        <w:spacing w:before="107" w:line="261" w:lineRule="auto"/>
        <w:ind w:left="436" w:right="844"/>
      </w:pPr>
      <w:r w:rsidRPr="00EB2BD8">
        <w:t>The</w:t>
      </w:r>
      <w:r w:rsidRPr="00EB2BD8">
        <w:rPr>
          <w:spacing w:val="-3"/>
        </w:rPr>
        <w:t xml:space="preserve"> </w:t>
      </w:r>
      <w:r w:rsidRPr="00EB2BD8">
        <w:t>VBA</w:t>
      </w:r>
      <w:r w:rsidRPr="00EB2BD8">
        <w:rPr>
          <w:spacing w:val="-3"/>
        </w:rPr>
        <w:t xml:space="preserve"> </w:t>
      </w:r>
      <w:r w:rsidRPr="00EB2BD8">
        <w:t>is</w:t>
      </w:r>
      <w:r w:rsidRPr="00EB2BD8">
        <w:rPr>
          <w:spacing w:val="-3"/>
        </w:rPr>
        <w:t xml:space="preserve"> </w:t>
      </w:r>
      <w:r w:rsidRPr="00EB2BD8">
        <w:t>supporting</w:t>
      </w:r>
      <w:r w:rsidRPr="00EB2BD8">
        <w:rPr>
          <w:spacing w:val="-3"/>
        </w:rPr>
        <w:t xml:space="preserve"> </w:t>
      </w:r>
      <w:r w:rsidRPr="00EB2BD8">
        <w:t>the</w:t>
      </w:r>
      <w:r w:rsidRPr="00EB2BD8">
        <w:rPr>
          <w:spacing w:val="-3"/>
        </w:rPr>
        <w:t xml:space="preserve"> </w:t>
      </w:r>
      <w:r w:rsidRPr="00EB2BD8">
        <w:t>CRC</w:t>
      </w:r>
      <w:r w:rsidRPr="00EB2BD8">
        <w:rPr>
          <w:spacing w:val="-3"/>
        </w:rPr>
        <w:t xml:space="preserve"> </w:t>
      </w:r>
      <w:r w:rsidRPr="00EB2BD8">
        <w:t>as</w:t>
      </w:r>
      <w:r w:rsidRPr="00EB2BD8">
        <w:rPr>
          <w:spacing w:val="-3"/>
        </w:rPr>
        <w:t xml:space="preserve"> </w:t>
      </w:r>
      <w:r w:rsidRPr="00EB2BD8">
        <w:t>its</w:t>
      </w:r>
      <w:r w:rsidRPr="00EB2BD8">
        <w:rPr>
          <w:spacing w:val="-3"/>
        </w:rPr>
        <w:t xml:space="preserve"> </w:t>
      </w:r>
      <w:r w:rsidRPr="00EB2BD8">
        <w:t>research</w:t>
      </w:r>
      <w:r w:rsidRPr="00EB2BD8">
        <w:rPr>
          <w:spacing w:val="-3"/>
        </w:rPr>
        <w:t xml:space="preserve"> </w:t>
      </w:r>
      <w:r w:rsidRPr="00EB2BD8">
        <w:t>program streams (sectoral, digital and building transformation streams) are aligned to the VBA’s research focus and will</w:t>
      </w:r>
      <w:r w:rsidRPr="00EB2BD8">
        <w:rPr>
          <w:spacing w:val="-8"/>
        </w:rPr>
        <w:t xml:space="preserve"> </w:t>
      </w:r>
      <w:r w:rsidRPr="00EB2BD8">
        <w:t>help</w:t>
      </w:r>
      <w:r w:rsidRPr="00EB2BD8">
        <w:rPr>
          <w:spacing w:val="-8"/>
        </w:rPr>
        <w:t xml:space="preserve"> </w:t>
      </w:r>
      <w:r w:rsidRPr="00EB2BD8">
        <w:t>drive</w:t>
      </w:r>
      <w:r w:rsidRPr="00EB2BD8">
        <w:rPr>
          <w:spacing w:val="-8"/>
        </w:rPr>
        <w:t xml:space="preserve"> </w:t>
      </w:r>
      <w:r w:rsidRPr="00EB2BD8">
        <w:t>digital</w:t>
      </w:r>
      <w:r w:rsidRPr="00EB2BD8">
        <w:rPr>
          <w:spacing w:val="-8"/>
        </w:rPr>
        <w:t xml:space="preserve"> </w:t>
      </w:r>
      <w:r w:rsidRPr="00EB2BD8">
        <w:t>adoption</w:t>
      </w:r>
      <w:r w:rsidRPr="00EB2BD8">
        <w:rPr>
          <w:spacing w:val="-8"/>
        </w:rPr>
        <w:t xml:space="preserve"> </w:t>
      </w:r>
      <w:r w:rsidRPr="00EB2BD8">
        <w:t>and</w:t>
      </w:r>
      <w:r w:rsidRPr="00EB2BD8">
        <w:rPr>
          <w:spacing w:val="-8"/>
        </w:rPr>
        <w:t xml:space="preserve"> </w:t>
      </w:r>
      <w:r w:rsidRPr="00EB2BD8">
        <w:t>systemisation</w:t>
      </w:r>
      <w:r w:rsidRPr="00EB2BD8">
        <w:rPr>
          <w:spacing w:val="-8"/>
        </w:rPr>
        <w:t xml:space="preserve"> </w:t>
      </w:r>
      <w:r w:rsidRPr="00EB2BD8">
        <w:t>of</w:t>
      </w:r>
      <w:r w:rsidRPr="00EB2BD8">
        <w:rPr>
          <w:spacing w:val="-8"/>
        </w:rPr>
        <w:t xml:space="preserve"> </w:t>
      </w:r>
      <w:r w:rsidRPr="00EB2BD8">
        <w:t xml:space="preserve">the </w:t>
      </w:r>
      <w:r w:rsidRPr="00EB2BD8">
        <w:rPr>
          <w:spacing w:val="-2"/>
        </w:rPr>
        <w:t>industry.</w:t>
      </w:r>
    </w:p>
    <w:p w14:paraId="4690420D" w14:textId="77777777" w:rsidR="00084F36" w:rsidRPr="00EB2BD8" w:rsidRDefault="00EB2BD8">
      <w:pPr>
        <w:pStyle w:val="BodyText"/>
        <w:spacing w:before="108" w:line="261" w:lineRule="auto"/>
        <w:ind w:left="436" w:right="844"/>
      </w:pPr>
      <w:r w:rsidRPr="00EB2BD8">
        <w:t>By participating in the CRC, the VBA is working closely with industry and research leaders who have advanced digital and technological expertise.</w:t>
      </w:r>
    </w:p>
    <w:p w14:paraId="2742B9D3" w14:textId="77777777" w:rsidR="00084F36" w:rsidRPr="00EB2BD8" w:rsidRDefault="00084F36">
      <w:pPr>
        <w:pStyle w:val="BodyText"/>
        <w:spacing w:before="3"/>
        <w:rPr>
          <w:sz w:val="28"/>
        </w:rPr>
      </w:pPr>
    </w:p>
    <w:p w14:paraId="45DFA9F8" w14:textId="5CDDC699" w:rsidR="00084F36" w:rsidRPr="00EB2BD8" w:rsidRDefault="00E13356" w:rsidP="00E13356">
      <w:pPr>
        <w:pStyle w:val="Heading3"/>
        <w:ind w:left="0"/>
      </w:pPr>
      <w:r>
        <w:t xml:space="preserve">       </w:t>
      </w:r>
      <w:bookmarkStart w:id="122" w:name="_Toc150762424"/>
      <w:r w:rsidR="00EB2BD8" w:rsidRPr="00EB2BD8">
        <w:t>Scoping</w:t>
      </w:r>
      <w:r w:rsidR="00EB2BD8" w:rsidRPr="00EB2BD8">
        <w:rPr>
          <w:spacing w:val="-17"/>
        </w:rPr>
        <w:t xml:space="preserve"> </w:t>
      </w:r>
      <w:r w:rsidR="00EB2BD8" w:rsidRPr="00EB2BD8">
        <w:t>study</w:t>
      </w:r>
      <w:r w:rsidR="00EB2BD8" w:rsidRPr="00EB2BD8">
        <w:rPr>
          <w:spacing w:val="-17"/>
        </w:rPr>
        <w:t xml:space="preserve"> </w:t>
      </w:r>
      <w:r w:rsidR="00EB2BD8" w:rsidRPr="00EB2BD8">
        <w:t>for</w:t>
      </w:r>
      <w:r w:rsidR="00EB2BD8" w:rsidRPr="00EB2BD8">
        <w:rPr>
          <w:spacing w:val="-17"/>
        </w:rPr>
        <w:t xml:space="preserve"> </w:t>
      </w:r>
      <w:r w:rsidR="00EB2BD8" w:rsidRPr="00EB2BD8">
        <w:t>Building</w:t>
      </w:r>
      <w:r w:rsidR="00EB2BD8" w:rsidRPr="00EB2BD8">
        <w:rPr>
          <w:spacing w:val="-17"/>
        </w:rPr>
        <w:t xml:space="preserve"> </w:t>
      </w:r>
      <w:r w:rsidR="00EB2BD8" w:rsidRPr="00EB2BD8">
        <w:t>the</w:t>
      </w:r>
      <w:r w:rsidR="00EB2BD8" w:rsidRPr="00EB2BD8">
        <w:rPr>
          <w:spacing w:val="-17"/>
        </w:rPr>
        <w:t xml:space="preserve"> </w:t>
      </w:r>
      <w:r w:rsidR="00EB2BD8" w:rsidRPr="00EB2BD8">
        <w:t xml:space="preserve">Future: </w:t>
      </w:r>
      <w:r>
        <w:br/>
        <w:t xml:space="preserve">       </w:t>
      </w:r>
      <w:r w:rsidR="00EB2BD8" w:rsidRPr="00EB2BD8">
        <w:t>Circular</w:t>
      </w:r>
      <w:r w:rsidR="00EB2BD8" w:rsidRPr="00EB2BD8">
        <w:rPr>
          <w:spacing w:val="-12"/>
        </w:rPr>
        <w:t xml:space="preserve"> </w:t>
      </w:r>
      <w:r w:rsidR="00EB2BD8" w:rsidRPr="00EB2BD8">
        <w:t>Economy</w:t>
      </w:r>
      <w:r w:rsidR="00EB2BD8" w:rsidRPr="00EB2BD8">
        <w:rPr>
          <w:spacing w:val="-12"/>
        </w:rPr>
        <w:t xml:space="preserve"> </w:t>
      </w:r>
      <w:r w:rsidR="00EB2BD8" w:rsidRPr="00EB2BD8">
        <w:t>(in</w:t>
      </w:r>
      <w:r w:rsidR="00EB2BD8" w:rsidRPr="00EB2BD8">
        <w:rPr>
          <w:spacing w:val="-12"/>
        </w:rPr>
        <w:t xml:space="preserve"> </w:t>
      </w:r>
      <w:r w:rsidR="00EB2BD8" w:rsidRPr="00EB2BD8">
        <w:t>progress)</w:t>
      </w:r>
      <w:bookmarkEnd w:id="122"/>
    </w:p>
    <w:p w14:paraId="30887286" w14:textId="04B546F8" w:rsidR="00084F36" w:rsidRPr="00EB2BD8" w:rsidRDefault="00E13356" w:rsidP="00E13356">
      <w:pPr>
        <w:pStyle w:val="Heading4"/>
        <w:ind w:left="0"/>
      </w:pPr>
      <w:r>
        <w:t xml:space="preserve">        </w:t>
      </w:r>
      <w:r w:rsidR="00EB2BD8" w:rsidRPr="00EB2BD8">
        <w:t>What</w:t>
      </w:r>
      <w:r w:rsidR="00EB2BD8" w:rsidRPr="00EB2BD8">
        <w:rPr>
          <w:spacing w:val="-17"/>
        </w:rPr>
        <w:t xml:space="preserve"> </w:t>
      </w:r>
      <w:r w:rsidR="00EB2BD8" w:rsidRPr="00EB2BD8">
        <w:t>we</w:t>
      </w:r>
      <w:r w:rsidR="00EB2BD8" w:rsidRPr="00EB2BD8">
        <w:rPr>
          <w:spacing w:val="-17"/>
        </w:rPr>
        <w:t xml:space="preserve"> </w:t>
      </w:r>
      <w:r w:rsidR="00EB2BD8" w:rsidRPr="00EB2BD8">
        <w:t>are</w:t>
      </w:r>
      <w:r w:rsidR="00EB2BD8" w:rsidRPr="00EB2BD8">
        <w:rPr>
          <w:spacing w:val="-17"/>
        </w:rPr>
        <w:t xml:space="preserve"> </w:t>
      </w:r>
      <w:r w:rsidR="00EB2BD8" w:rsidRPr="00EB2BD8">
        <w:t>doing</w:t>
      </w:r>
      <w:r w:rsidR="00EB2BD8" w:rsidRPr="00EB2BD8">
        <w:rPr>
          <w:spacing w:val="-17"/>
        </w:rPr>
        <w:t xml:space="preserve"> </w:t>
      </w:r>
      <w:r w:rsidR="00EB2BD8" w:rsidRPr="00EB2BD8">
        <w:t>and</w:t>
      </w:r>
      <w:r w:rsidR="00EB2BD8" w:rsidRPr="00EB2BD8">
        <w:rPr>
          <w:spacing w:val="-17"/>
        </w:rPr>
        <w:t xml:space="preserve"> </w:t>
      </w:r>
      <w:r w:rsidR="00EB2BD8" w:rsidRPr="00EB2BD8">
        <w:rPr>
          <w:spacing w:val="-5"/>
        </w:rPr>
        <w:t>why</w:t>
      </w:r>
    </w:p>
    <w:p w14:paraId="7D9E59F0" w14:textId="77777777" w:rsidR="00084F36" w:rsidRPr="00EB2BD8" w:rsidRDefault="00EB2BD8">
      <w:pPr>
        <w:pStyle w:val="BodyText"/>
        <w:spacing w:before="124" w:line="261" w:lineRule="auto"/>
        <w:ind w:left="436" w:right="844"/>
      </w:pPr>
      <w:r w:rsidRPr="00EB2BD8">
        <w:t>With construction and demolition materials accounting for 44 per cent of all waste generated in Australia</w:t>
      </w:r>
    </w:p>
    <w:p w14:paraId="3EED5588" w14:textId="77777777" w:rsidR="00084F36" w:rsidRPr="00EB2BD8" w:rsidRDefault="00EB2BD8">
      <w:pPr>
        <w:pStyle w:val="BodyText"/>
        <w:spacing w:line="261" w:lineRule="auto"/>
        <w:ind w:left="436" w:right="983"/>
      </w:pPr>
      <w:r w:rsidRPr="00EB2BD8">
        <w:t>and the building sector’s energy consumption and CO2</w:t>
      </w:r>
      <w:r w:rsidRPr="00EB2BD8">
        <w:rPr>
          <w:spacing w:val="-13"/>
        </w:rPr>
        <w:t xml:space="preserve"> </w:t>
      </w:r>
      <w:r w:rsidRPr="00EB2BD8">
        <w:t>emissions</w:t>
      </w:r>
      <w:r w:rsidRPr="00EB2BD8">
        <w:rPr>
          <w:spacing w:val="-13"/>
        </w:rPr>
        <w:t xml:space="preserve"> </w:t>
      </w:r>
      <w:r w:rsidRPr="00EB2BD8">
        <w:t>at</w:t>
      </w:r>
      <w:r w:rsidRPr="00EB2BD8">
        <w:rPr>
          <w:spacing w:val="-13"/>
        </w:rPr>
        <w:t xml:space="preserve"> </w:t>
      </w:r>
      <w:r w:rsidRPr="00EB2BD8">
        <w:t>a</w:t>
      </w:r>
      <w:r w:rsidRPr="00EB2BD8">
        <w:rPr>
          <w:spacing w:val="-13"/>
        </w:rPr>
        <w:t xml:space="preserve"> </w:t>
      </w:r>
      <w:r w:rsidRPr="00EB2BD8">
        <w:t>record</w:t>
      </w:r>
      <w:r w:rsidRPr="00EB2BD8">
        <w:rPr>
          <w:spacing w:val="-13"/>
        </w:rPr>
        <w:t xml:space="preserve"> </w:t>
      </w:r>
      <w:r w:rsidRPr="00EB2BD8">
        <w:t>high,</w:t>
      </w:r>
      <w:r w:rsidRPr="00EB2BD8">
        <w:rPr>
          <w:spacing w:val="-13"/>
        </w:rPr>
        <w:t xml:space="preserve"> </w:t>
      </w:r>
      <w:r w:rsidRPr="00EB2BD8">
        <w:t>the</w:t>
      </w:r>
      <w:r w:rsidRPr="00EB2BD8">
        <w:rPr>
          <w:spacing w:val="-13"/>
        </w:rPr>
        <w:t xml:space="preserve"> </w:t>
      </w:r>
      <w:r w:rsidRPr="00EB2BD8">
        <w:t>move</w:t>
      </w:r>
      <w:r w:rsidRPr="00EB2BD8">
        <w:rPr>
          <w:spacing w:val="-13"/>
        </w:rPr>
        <w:t xml:space="preserve"> </w:t>
      </w:r>
      <w:r w:rsidRPr="00EB2BD8">
        <w:t>to</w:t>
      </w:r>
      <w:r w:rsidRPr="00EB2BD8">
        <w:rPr>
          <w:spacing w:val="-13"/>
        </w:rPr>
        <w:t xml:space="preserve"> </w:t>
      </w:r>
      <w:r w:rsidRPr="00EB2BD8">
        <w:t>a</w:t>
      </w:r>
      <w:r w:rsidRPr="00EB2BD8">
        <w:rPr>
          <w:spacing w:val="-13"/>
        </w:rPr>
        <w:t xml:space="preserve"> </w:t>
      </w:r>
      <w:r w:rsidRPr="00EB2BD8">
        <w:t>circular</w:t>
      </w:r>
    </w:p>
    <w:p w14:paraId="31F71A4C" w14:textId="77777777" w:rsidR="00084F36" w:rsidRPr="00EB2BD8" w:rsidRDefault="00EB2BD8">
      <w:pPr>
        <w:pStyle w:val="BodyText"/>
        <w:spacing w:line="261" w:lineRule="auto"/>
        <w:ind w:left="436" w:right="844"/>
      </w:pPr>
      <w:r w:rsidRPr="00EB2BD8">
        <w:t>economy</w:t>
      </w:r>
      <w:r w:rsidRPr="00EB2BD8">
        <w:rPr>
          <w:spacing w:val="-6"/>
        </w:rPr>
        <w:t xml:space="preserve"> </w:t>
      </w:r>
      <w:r w:rsidRPr="00EB2BD8">
        <w:t>presents</w:t>
      </w:r>
      <w:r w:rsidRPr="00EB2BD8">
        <w:rPr>
          <w:spacing w:val="-6"/>
        </w:rPr>
        <w:t xml:space="preserve"> </w:t>
      </w:r>
      <w:r w:rsidRPr="00EB2BD8">
        <w:t>a</w:t>
      </w:r>
      <w:r w:rsidRPr="00EB2BD8">
        <w:rPr>
          <w:spacing w:val="-6"/>
        </w:rPr>
        <w:t xml:space="preserve"> </w:t>
      </w:r>
      <w:r w:rsidRPr="00EB2BD8">
        <w:t>significant</w:t>
      </w:r>
      <w:r w:rsidRPr="00EB2BD8">
        <w:rPr>
          <w:spacing w:val="-6"/>
        </w:rPr>
        <w:t xml:space="preserve"> </w:t>
      </w:r>
      <w:r w:rsidRPr="00EB2BD8">
        <w:t>opportunity</w:t>
      </w:r>
      <w:r w:rsidRPr="00EB2BD8">
        <w:rPr>
          <w:spacing w:val="-6"/>
        </w:rPr>
        <w:t xml:space="preserve"> </w:t>
      </w:r>
      <w:r w:rsidRPr="00EB2BD8">
        <w:t>for</w:t>
      </w:r>
      <w:r w:rsidRPr="00EB2BD8">
        <w:rPr>
          <w:spacing w:val="-6"/>
        </w:rPr>
        <w:t xml:space="preserve"> </w:t>
      </w:r>
      <w:r w:rsidRPr="00EB2BD8">
        <w:t xml:space="preserve">positive </w:t>
      </w:r>
      <w:r w:rsidRPr="00EB2BD8">
        <w:rPr>
          <w:spacing w:val="-2"/>
        </w:rPr>
        <w:t>change.</w:t>
      </w:r>
    </w:p>
    <w:p w14:paraId="6FB8B1EB" w14:textId="77777777" w:rsidR="00084F36" w:rsidRPr="00EB2BD8" w:rsidRDefault="00EB2BD8">
      <w:pPr>
        <w:pStyle w:val="BodyText"/>
        <w:spacing w:before="107" w:line="261" w:lineRule="auto"/>
        <w:ind w:left="436" w:right="983"/>
      </w:pPr>
      <w:r w:rsidRPr="00EB2BD8">
        <w:t>Given the complex socio-political and economic factors at play, and the potential competing needs of key stakeholders, this scoping study will form a solid foundation on which to plan the necessary steps and actions</w:t>
      </w:r>
      <w:r w:rsidRPr="00EB2BD8">
        <w:rPr>
          <w:spacing w:val="-6"/>
        </w:rPr>
        <w:t xml:space="preserve"> </w:t>
      </w:r>
      <w:r w:rsidRPr="00EB2BD8">
        <w:t>to</w:t>
      </w:r>
      <w:r w:rsidRPr="00EB2BD8">
        <w:rPr>
          <w:spacing w:val="-6"/>
        </w:rPr>
        <w:t xml:space="preserve"> </w:t>
      </w:r>
      <w:r w:rsidRPr="00EB2BD8">
        <w:t>enable</w:t>
      </w:r>
      <w:r w:rsidRPr="00EB2BD8">
        <w:rPr>
          <w:spacing w:val="-6"/>
        </w:rPr>
        <w:t xml:space="preserve"> </w:t>
      </w:r>
      <w:r w:rsidRPr="00EB2BD8">
        <w:t>the</w:t>
      </w:r>
      <w:r w:rsidRPr="00EB2BD8">
        <w:rPr>
          <w:spacing w:val="-6"/>
        </w:rPr>
        <w:t xml:space="preserve"> </w:t>
      </w:r>
      <w:r w:rsidRPr="00EB2BD8">
        <w:t>transition</w:t>
      </w:r>
      <w:r w:rsidRPr="00EB2BD8">
        <w:rPr>
          <w:spacing w:val="-6"/>
        </w:rPr>
        <w:t xml:space="preserve"> </w:t>
      </w:r>
      <w:r w:rsidRPr="00EB2BD8">
        <w:t>to</w:t>
      </w:r>
      <w:r w:rsidRPr="00EB2BD8">
        <w:rPr>
          <w:spacing w:val="-6"/>
        </w:rPr>
        <w:t xml:space="preserve"> </w:t>
      </w:r>
      <w:r w:rsidRPr="00EB2BD8">
        <w:t>a</w:t>
      </w:r>
      <w:r w:rsidRPr="00EB2BD8">
        <w:rPr>
          <w:spacing w:val="-6"/>
        </w:rPr>
        <w:t xml:space="preserve"> </w:t>
      </w:r>
      <w:r w:rsidRPr="00EB2BD8">
        <w:t>circular</w:t>
      </w:r>
      <w:r w:rsidRPr="00EB2BD8">
        <w:rPr>
          <w:spacing w:val="-6"/>
        </w:rPr>
        <w:t xml:space="preserve"> </w:t>
      </w:r>
      <w:r w:rsidRPr="00EB2BD8">
        <w:t>economy.</w:t>
      </w:r>
    </w:p>
    <w:p w14:paraId="1B8E7C2F" w14:textId="77777777" w:rsidR="00084F36" w:rsidRPr="00EB2BD8" w:rsidRDefault="00EB2BD8">
      <w:pPr>
        <w:pStyle w:val="BodyText"/>
        <w:spacing w:before="109" w:line="261" w:lineRule="auto"/>
        <w:ind w:left="436" w:right="917"/>
      </w:pPr>
      <w:r w:rsidRPr="00EB2BD8">
        <w:t>The research, led by Queensland University of Technology’s Professor Leonie Barner, will provide a roadmap for the Australian property and construction industry</w:t>
      </w:r>
      <w:r w:rsidRPr="00EB2BD8">
        <w:rPr>
          <w:spacing w:val="-6"/>
        </w:rPr>
        <w:t xml:space="preserve"> </w:t>
      </w:r>
      <w:r w:rsidRPr="00EB2BD8">
        <w:t>to</w:t>
      </w:r>
      <w:r w:rsidRPr="00EB2BD8">
        <w:rPr>
          <w:spacing w:val="-6"/>
        </w:rPr>
        <w:t xml:space="preserve"> </w:t>
      </w:r>
      <w:r w:rsidRPr="00EB2BD8">
        <w:t>create</w:t>
      </w:r>
      <w:r w:rsidRPr="00EB2BD8">
        <w:rPr>
          <w:spacing w:val="-6"/>
        </w:rPr>
        <w:t xml:space="preserve"> </w:t>
      </w:r>
      <w:r w:rsidRPr="00EB2BD8">
        <w:t>a</w:t>
      </w:r>
      <w:r w:rsidRPr="00EB2BD8">
        <w:rPr>
          <w:spacing w:val="-6"/>
        </w:rPr>
        <w:t xml:space="preserve"> </w:t>
      </w:r>
      <w:r w:rsidRPr="00EB2BD8">
        <w:t>circular</w:t>
      </w:r>
      <w:r w:rsidRPr="00EB2BD8">
        <w:rPr>
          <w:spacing w:val="-6"/>
        </w:rPr>
        <w:t xml:space="preserve"> </w:t>
      </w:r>
      <w:r w:rsidRPr="00EB2BD8">
        <w:t>economy,</w:t>
      </w:r>
      <w:r w:rsidRPr="00EB2BD8">
        <w:rPr>
          <w:spacing w:val="-6"/>
        </w:rPr>
        <w:t xml:space="preserve"> </w:t>
      </w:r>
      <w:r w:rsidRPr="00EB2BD8">
        <w:t>which</w:t>
      </w:r>
      <w:r w:rsidRPr="00EB2BD8">
        <w:rPr>
          <w:spacing w:val="-6"/>
        </w:rPr>
        <w:t xml:space="preserve"> </w:t>
      </w:r>
      <w:r w:rsidRPr="00EB2BD8">
        <w:t>covers</w:t>
      </w:r>
      <w:r w:rsidRPr="00EB2BD8">
        <w:rPr>
          <w:spacing w:val="-6"/>
        </w:rPr>
        <w:t xml:space="preserve"> </w:t>
      </w:r>
      <w:r w:rsidRPr="00EB2BD8">
        <w:t>the end-to-end management of construction materials by maximising resource productivity and minimising or eliminating or reusing construction waste.</w:t>
      </w:r>
    </w:p>
    <w:p w14:paraId="443EDBA2" w14:textId="330ACD27" w:rsidR="00084F36" w:rsidRPr="00EB2BD8" w:rsidRDefault="00E13356" w:rsidP="00E13356">
      <w:pPr>
        <w:pStyle w:val="Heading4"/>
        <w:ind w:left="0"/>
      </w:pPr>
      <w:r>
        <w:t xml:space="preserve">        </w:t>
      </w:r>
      <w:r w:rsidR="00EB2BD8" w:rsidRPr="00EB2BD8">
        <w:t>What</w:t>
      </w:r>
      <w:r w:rsidR="00EB2BD8" w:rsidRPr="00EB2BD8">
        <w:rPr>
          <w:spacing w:val="-19"/>
        </w:rPr>
        <w:t xml:space="preserve"> </w:t>
      </w:r>
      <w:r w:rsidR="00EB2BD8" w:rsidRPr="00EB2BD8">
        <w:t>we</w:t>
      </w:r>
      <w:r w:rsidR="00EB2BD8" w:rsidRPr="00EB2BD8">
        <w:rPr>
          <w:spacing w:val="-19"/>
        </w:rPr>
        <w:t xml:space="preserve"> </w:t>
      </w:r>
      <w:r w:rsidR="00EB2BD8" w:rsidRPr="00EB2BD8">
        <w:t>have</w:t>
      </w:r>
      <w:r w:rsidR="00EB2BD8" w:rsidRPr="00EB2BD8">
        <w:rPr>
          <w:spacing w:val="-19"/>
        </w:rPr>
        <w:t xml:space="preserve"> </w:t>
      </w:r>
      <w:r w:rsidR="00EB2BD8" w:rsidRPr="00EB2BD8">
        <w:t>achieved</w:t>
      </w:r>
      <w:r w:rsidR="00EB2BD8" w:rsidRPr="00EB2BD8">
        <w:rPr>
          <w:spacing w:val="-19"/>
        </w:rPr>
        <w:t xml:space="preserve"> </w:t>
      </w:r>
      <w:r w:rsidR="00EB2BD8" w:rsidRPr="00EB2BD8">
        <w:t>so</w:t>
      </w:r>
      <w:r w:rsidR="00EB2BD8" w:rsidRPr="00EB2BD8">
        <w:rPr>
          <w:spacing w:val="-18"/>
        </w:rPr>
        <w:t xml:space="preserve"> </w:t>
      </w:r>
      <w:r w:rsidR="00EB2BD8" w:rsidRPr="00EB2BD8">
        <w:rPr>
          <w:spacing w:val="-5"/>
        </w:rPr>
        <w:t>far</w:t>
      </w:r>
    </w:p>
    <w:p w14:paraId="3A7CB769" w14:textId="77777777" w:rsidR="00084F36" w:rsidRPr="00EB2BD8" w:rsidRDefault="00EB2BD8">
      <w:pPr>
        <w:pStyle w:val="BodyText"/>
        <w:spacing w:before="124" w:line="261" w:lineRule="auto"/>
        <w:ind w:left="436" w:right="844"/>
      </w:pPr>
      <w:r w:rsidRPr="00EB2BD8">
        <w:t>This</w:t>
      </w:r>
      <w:r w:rsidRPr="00EB2BD8">
        <w:rPr>
          <w:spacing w:val="-6"/>
        </w:rPr>
        <w:t xml:space="preserve"> </w:t>
      </w:r>
      <w:r w:rsidRPr="00EB2BD8">
        <w:t>is</w:t>
      </w:r>
      <w:r w:rsidRPr="00EB2BD8">
        <w:rPr>
          <w:spacing w:val="-6"/>
        </w:rPr>
        <w:t xml:space="preserve"> </w:t>
      </w:r>
      <w:r w:rsidRPr="00EB2BD8">
        <w:t>the</w:t>
      </w:r>
      <w:r w:rsidRPr="00EB2BD8">
        <w:rPr>
          <w:spacing w:val="-6"/>
        </w:rPr>
        <w:t xml:space="preserve"> </w:t>
      </w:r>
      <w:r w:rsidRPr="00EB2BD8">
        <w:t>first</w:t>
      </w:r>
      <w:r w:rsidRPr="00EB2BD8">
        <w:rPr>
          <w:spacing w:val="-6"/>
        </w:rPr>
        <w:t xml:space="preserve"> </w:t>
      </w:r>
      <w:r w:rsidRPr="00EB2BD8">
        <w:t>project</w:t>
      </w:r>
      <w:r w:rsidRPr="00EB2BD8">
        <w:rPr>
          <w:spacing w:val="-6"/>
        </w:rPr>
        <w:t xml:space="preserve"> </w:t>
      </w:r>
      <w:r w:rsidRPr="00EB2BD8">
        <w:t>under</w:t>
      </w:r>
      <w:r w:rsidRPr="00EB2BD8">
        <w:rPr>
          <w:spacing w:val="-6"/>
        </w:rPr>
        <w:t xml:space="preserve"> </w:t>
      </w:r>
      <w:r w:rsidRPr="00EB2BD8">
        <w:t>Building</w:t>
      </w:r>
      <w:r w:rsidRPr="00EB2BD8">
        <w:rPr>
          <w:spacing w:val="-6"/>
        </w:rPr>
        <w:t xml:space="preserve"> </w:t>
      </w:r>
      <w:r w:rsidRPr="00EB2BD8">
        <w:t>4.0</w:t>
      </w:r>
      <w:r w:rsidRPr="00EB2BD8">
        <w:rPr>
          <w:spacing w:val="-6"/>
        </w:rPr>
        <w:t xml:space="preserve"> </w:t>
      </w:r>
      <w:r w:rsidRPr="00EB2BD8">
        <w:t>CRC’s</w:t>
      </w:r>
      <w:r w:rsidRPr="00EB2BD8">
        <w:rPr>
          <w:spacing w:val="-6"/>
        </w:rPr>
        <w:t xml:space="preserve"> </w:t>
      </w:r>
      <w:r w:rsidRPr="00EB2BD8">
        <w:rPr>
          <w:i/>
        </w:rPr>
        <w:t xml:space="preserve">Special Interest Projects </w:t>
      </w:r>
      <w:r w:rsidRPr="00EB2BD8">
        <w:t>(SIP) Program. SIPs have a topic of broad,</w:t>
      </w:r>
      <w:r w:rsidRPr="00EB2BD8">
        <w:rPr>
          <w:spacing w:val="-5"/>
        </w:rPr>
        <w:t xml:space="preserve"> </w:t>
      </w:r>
      <w:r w:rsidRPr="00EB2BD8">
        <w:t>mutual</w:t>
      </w:r>
      <w:r w:rsidRPr="00EB2BD8">
        <w:rPr>
          <w:spacing w:val="-5"/>
        </w:rPr>
        <w:t xml:space="preserve"> </w:t>
      </w:r>
      <w:r w:rsidRPr="00EB2BD8">
        <w:t>concern</w:t>
      </w:r>
      <w:r w:rsidRPr="00EB2BD8">
        <w:rPr>
          <w:spacing w:val="-5"/>
        </w:rPr>
        <w:t xml:space="preserve"> </w:t>
      </w:r>
      <w:r w:rsidRPr="00EB2BD8">
        <w:t>to</w:t>
      </w:r>
      <w:r w:rsidRPr="00EB2BD8">
        <w:rPr>
          <w:spacing w:val="-5"/>
        </w:rPr>
        <w:t xml:space="preserve"> </w:t>
      </w:r>
      <w:r w:rsidRPr="00EB2BD8">
        <w:t>all</w:t>
      </w:r>
      <w:r w:rsidRPr="00EB2BD8">
        <w:rPr>
          <w:spacing w:val="-5"/>
        </w:rPr>
        <w:t xml:space="preserve"> </w:t>
      </w:r>
      <w:r w:rsidRPr="00EB2BD8">
        <w:t>CRC</w:t>
      </w:r>
      <w:r w:rsidRPr="00EB2BD8">
        <w:rPr>
          <w:spacing w:val="-5"/>
        </w:rPr>
        <w:t xml:space="preserve"> </w:t>
      </w:r>
      <w:r w:rsidRPr="00EB2BD8">
        <w:t>partners</w:t>
      </w:r>
      <w:r w:rsidRPr="00EB2BD8">
        <w:rPr>
          <w:spacing w:val="-5"/>
        </w:rPr>
        <w:t xml:space="preserve"> </w:t>
      </w:r>
      <w:r w:rsidRPr="00EB2BD8">
        <w:t>and</w:t>
      </w:r>
      <w:r w:rsidRPr="00EB2BD8">
        <w:rPr>
          <w:spacing w:val="-5"/>
        </w:rPr>
        <w:t xml:space="preserve"> </w:t>
      </w:r>
      <w:r w:rsidRPr="00EB2BD8">
        <w:t>allow</w:t>
      </w:r>
      <w:r w:rsidRPr="00EB2BD8">
        <w:rPr>
          <w:spacing w:val="-5"/>
        </w:rPr>
        <w:t xml:space="preserve"> </w:t>
      </w:r>
      <w:r w:rsidRPr="00EB2BD8">
        <w:t>for collaboration and accelerated execution of the project.</w:t>
      </w:r>
    </w:p>
    <w:p w14:paraId="5D94FDA7" w14:textId="77777777" w:rsidR="00084F36" w:rsidRPr="00EB2BD8" w:rsidRDefault="00EB2BD8">
      <w:pPr>
        <w:pStyle w:val="BodyText"/>
        <w:spacing w:before="110" w:line="261" w:lineRule="auto"/>
        <w:ind w:left="436" w:right="844"/>
      </w:pPr>
      <w:r w:rsidRPr="00EB2BD8">
        <w:t>This</w:t>
      </w:r>
      <w:r w:rsidRPr="00EB2BD8">
        <w:rPr>
          <w:spacing w:val="-3"/>
        </w:rPr>
        <w:t xml:space="preserve"> </w:t>
      </w:r>
      <w:r w:rsidRPr="00EB2BD8">
        <w:t>research</w:t>
      </w:r>
      <w:r w:rsidRPr="00EB2BD8">
        <w:rPr>
          <w:spacing w:val="-3"/>
        </w:rPr>
        <w:t xml:space="preserve"> </w:t>
      </w:r>
      <w:r w:rsidRPr="00EB2BD8">
        <w:t>project</w:t>
      </w:r>
      <w:r w:rsidRPr="00EB2BD8">
        <w:rPr>
          <w:spacing w:val="-3"/>
        </w:rPr>
        <w:t xml:space="preserve"> </w:t>
      </w:r>
      <w:r w:rsidRPr="00EB2BD8">
        <w:t>commenced</w:t>
      </w:r>
      <w:r w:rsidRPr="00EB2BD8">
        <w:rPr>
          <w:spacing w:val="-3"/>
        </w:rPr>
        <w:t xml:space="preserve"> </w:t>
      </w:r>
      <w:r w:rsidRPr="00EB2BD8">
        <w:t>in</w:t>
      </w:r>
      <w:r w:rsidRPr="00EB2BD8">
        <w:rPr>
          <w:spacing w:val="-3"/>
        </w:rPr>
        <w:t xml:space="preserve"> </w:t>
      </w:r>
      <w:r w:rsidRPr="00EB2BD8">
        <w:t>June</w:t>
      </w:r>
      <w:r w:rsidRPr="00EB2BD8">
        <w:rPr>
          <w:spacing w:val="-3"/>
        </w:rPr>
        <w:t xml:space="preserve"> </w:t>
      </w:r>
      <w:r w:rsidRPr="00EB2BD8">
        <w:t>2023</w:t>
      </w:r>
      <w:r w:rsidRPr="00EB2BD8">
        <w:rPr>
          <w:spacing w:val="-3"/>
        </w:rPr>
        <w:t xml:space="preserve"> </w:t>
      </w:r>
      <w:r w:rsidRPr="00EB2BD8">
        <w:t>and</w:t>
      </w:r>
      <w:r w:rsidRPr="00EB2BD8">
        <w:rPr>
          <w:spacing w:val="-3"/>
        </w:rPr>
        <w:t xml:space="preserve"> </w:t>
      </w:r>
      <w:r w:rsidRPr="00EB2BD8">
        <w:t>is due for completion in 2023-24.</w:t>
      </w:r>
    </w:p>
    <w:p w14:paraId="37D3C696"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2" w:space="720" w:equalWidth="0">
            <w:col w:w="5703" w:space="40"/>
            <w:col w:w="6167"/>
          </w:cols>
        </w:sectPr>
      </w:pPr>
    </w:p>
    <w:p w14:paraId="527636F1" w14:textId="77777777" w:rsidR="00084F36" w:rsidRPr="00EB2BD8" w:rsidRDefault="00084F36">
      <w:pPr>
        <w:pStyle w:val="BodyText"/>
        <w:rPr>
          <w:sz w:val="20"/>
        </w:rPr>
      </w:pPr>
    </w:p>
    <w:p w14:paraId="1C269C36" w14:textId="77777777" w:rsidR="00084F36" w:rsidRPr="00EB2BD8" w:rsidRDefault="00084F36">
      <w:pPr>
        <w:pStyle w:val="BodyText"/>
        <w:rPr>
          <w:sz w:val="20"/>
        </w:rPr>
      </w:pPr>
    </w:p>
    <w:p w14:paraId="1043833C" w14:textId="77777777" w:rsidR="00084F36" w:rsidRPr="00EB2BD8" w:rsidRDefault="00084F36">
      <w:pPr>
        <w:pStyle w:val="BodyText"/>
        <w:rPr>
          <w:sz w:val="20"/>
        </w:rPr>
      </w:pPr>
    </w:p>
    <w:p w14:paraId="090E5072" w14:textId="77777777" w:rsidR="00084F36" w:rsidRPr="00EB2BD8" w:rsidRDefault="00084F36">
      <w:pPr>
        <w:pStyle w:val="BodyText"/>
        <w:rPr>
          <w:sz w:val="20"/>
        </w:rPr>
      </w:pPr>
    </w:p>
    <w:p w14:paraId="0530C902" w14:textId="77777777" w:rsidR="00084F36" w:rsidRPr="00EB2BD8" w:rsidRDefault="00084F36">
      <w:pPr>
        <w:rPr>
          <w:sz w:val="20"/>
        </w:rPr>
        <w:sectPr w:rsidR="00084F36" w:rsidRPr="00EB2BD8" w:rsidSect="006D75B2">
          <w:footerReference w:type="default" r:id="rId140"/>
          <w:pgSz w:w="11910" w:h="16840"/>
          <w:pgMar w:top="1100" w:right="0" w:bottom="700" w:left="0" w:header="0" w:footer="515" w:gutter="0"/>
          <w:cols w:space="720"/>
        </w:sectPr>
      </w:pPr>
    </w:p>
    <w:p w14:paraId="3B9C0FEB" w14:textId="77777777" w:rsidR="00084F36" w:rsidRPr="00EB2BD8" w:rsidRDefault="00EB2BD8" w:rsidP="00EB2BD8">
      <w:pPr>
        <w:pStyle w:val="Heading3"/>
      </w:pPr>
      <w:bookmarkStart w:id="123" w:name="_Toc150762425"/>
      <w:r w:rsidRPr="00EB2BD8">
        <w:t>Evaluation</w:t>
      </w:r>
      <w:r w:rsidRPr="00EB2BD8">
        <w:rPr>
          <w:spacing w:val="-21"/>
        </w:rPr>
        <w:t xml:space="preserve"> </w:t>
      </w:r>
      <w:r w:rsidRPr="00EB2BD8">
        <w:t>of</w:t>
      </w:r>
      <w:r w:rsidRPr="00EB2BD8">
        <w:rPr>
          <w:spacing w:val="-19"/>
        </w:rPr>
        <w:t xml:space="preserve"> </w:t>
      </w:r>
      <w:r w:rsidRPr="00EB2BD8">
        <w:t>emerging</w:t>
      </w:r>
      <w:r w:rsidRPr="00EB2BD8">
        <w:rPr>
          <w:spacing w:val="-19"/>
        </w:rPr>
        <w:t xml:space="preserve"> </w:t>
      </w:r>
      <w:r w:rsidRPr="00EB2BD8">
        <w:t>technologies</w:t>
      </w:r>
      <w:r w:rsidRPr="00EB2BD8">
        <w:rPr>
          <w:spacing w:val="-19"/>
        </w:rPr>
        <w:t xml:space="preserve"> </w:t>
      </w:r>
      <w:r w:rsidRPr="00EB2BD8">
        <w:t>for remote</w:t>
      </w:r>
      <w:r w:rsidRPr="00EB2BD8">
        <w:rPr>
          <w:spacing w:val="-19"/>
        </w:rPr>
        <w:t xml:space="preserve"> </w:t>
      </w:r>
      <w:r w:rsidRPr="00EB2BD8">
        <w:t>inspection</w:t>
      </w:r>
      <w:r w:rsidRPr="00EB2BD8">
        <w:rPr>
          <w:spacing w:val="-19"/>
        </w:rPr>
        <w:t xml:space="preserve"> </w:t>
      </w:r>
      <w:r w:rsidRPr="00EB2BD8">
        <w:t>of</w:t>
      </w:r>
      <w:r w:rsidRPr="00EB2BD8">
        <w:rPr>
          <w:spacing w:val="-19"/>
        </w:rPr>
        <w:t xml:space="preserve"> </w:t>
      </w:r>
      <w:r w:rsidRPr="00EB2BD8">
        <w:t>building</w:t>
      </w:r>
      <w:r w:rsidRPr="00EB2BD8">
        <w:rPr>
          <w:spacing w:val="-19"/>
        </w:rPr>
        <w:t xml:space="preserve"> </w:t>
      </w:r>
      <w:r w:rsidRPr="00EB2BD8">
        <w:t>work</w:t>
      </w:r>
      <w:r w:rsidRPr="00EB2BD8">
        <w:rPr>
          <w:spacing w:val="-19"/>
        </w:rPr>
        <w:t xml:space="preserve"> </w:t>
      </w:r>
      <w:r w:rsidRPr="00EB2BD8">
        <w:t>(in progress)</w:t>
      </w:r>
      <w:bookmarkEnd w:id="123"/>
    </w:p>
    <w:p w14:paraId="6D1B7B11" w14:textId="77777777" w:rsidR="00084F36" w:rsidRPr="00EB2BD8" w:rsidRDefault="00EB2BD8" w:rsidP="00EB2BD8">
      <w:pPr>
        <w:pStyle w:val="Heading4"/>
      </w:pPr>
      <w:r w:rsidRPr="00EB2BD8">
        <w:t>What</w:t>
      </w:r>
      <w:r w:rsidRPr="00EB2BD8">
        <w:rPr>
          <w:spacing w:val="-17"/>
        </w:rPr>
        <w:t xml:space="preserve"> </w:t>
      </w:r>
      <w:r w:rsidRPr="00EB2BD8">
        <w:t>we</w:t>
      </w:r>
      <w:r w:rsidRPr="00EB2BD8">
        <w:rPr>
          <w:spacing w:val="-17"/>
        </w:rPr>
        <w:t xml:space="preserve"> </w:t>
      </w:r>
      <w:r w:rsidRPr="00EB2BD8">
        <w:t>are</w:t>
      </w:r>
      <w:r w:rsidRPr="00EB2BD8">
        <w:rPr>
          <w:spacing w:val="-17"/>
        </w:rPr>
        <w:t xml:space="preserve"> </w:t>
      </w:r>
      <w:r w:rsidRPr="00EB2BD8">
        <w:t>doing</w:t>
      </w:r>
      <w:r w:rsidRPr="00EB2BD8">
        <w:rPr>
          <w:spacing w:val="-17"/>
        </w:rPr>
        <w:t xml:space="preserve"> </w:t>
      </w:r>
      <w:r w:rsidRPr="00EB2BD8">
        <w:t>and</w:t>
      </w:r>
      <w:r w:rsidRPr="00EB2BD8">
        <w:rPr>
          <w:spacing w:val="-17"/>
        </w:rPr>
        <w:t xml:space="preserve"> </w:t>
      </w:r>
      <w:r w:rsidRPr="00EB2BD8">
        <w:rPr>
          <w:spacing w:val="-5"/>
        </w:rPr>
        <w:t>why</w:t>
      </w:r>
    </w:p>
    <w:p w14:paraId="524D2D11" w14:textId="77777777" w:rsidR="00084F36" w:rsidRPr="00EB2BD8" w:rsidRDefault="00EB2BD8">
      <w:pPr>
        <w:pStyle w:val="BodyText"/>
        <w:spacing w:before="124" w:line="261" w:lineRule="auto"/>
        <w:ind w:left="850"/>
      </w:pPr>
      <w:r w:rsidRPr="00EB2BD8">
        <w:t>While mandatory inspections of building work during construction are currently required to be conducted in- person</w:t>
      </w:r>
      <w:r w:rsidRPr="00EB2BD8">
        <w:rPr>
          <w:spacing w:val="-4"/>
        </w:rPr>
        <w:t xml:space="preserve"> </w:t>
      </w:r>
      <w:r w:rsidRPr="00EB2BD8">
        <w:t>in</w:t>
      </w:r>
      <w:r w:rsidRPr="00EB2BD8">
        <w:rPr>
          <w:spacing w:val="-4"/>
        </w:rPr>
        <w:t xml:space="preserve"> </w:t>
      </w:r>
      <w:r w:rsidRPr="00EB2BD8">
        <w:t>Victoria,</w:t>
      </w:r>
      <w:r w:rsidRPr="00EB2BD8">
        <w:rPr>
          <w:spacing w:val="-4"/>
        </w:rPr>
        <w:t xml:space="preserve"> </w:t>
      </w:r>
      <w:r w:rsidRPr="00EB2BD8">
        <w:t>non-mandatory</w:t>
      </w:r>
      <w:r w:rsidRPr="00EB2BD8">
        <w:rPr>
          <w:spacing w:val="-4"/>
        </w:rPr>
        <w:t xml:space="preserve"> </w:t>
      </w:r>
      <w:r w:rsidRPr="00EB2BD8">
        <w:t>inspections</w:t>
      </w:r>
      <w:r w:rsidRPr="00EB2BD8">
        <w:rPr>
          <w:spacing w:val="-4"/>
        </w:rPr>
        <w:t xml:space="preserve"> </w:t>
      </w:r>
      <w:r w:rsidRPr="00EB2BD8">
        <w:t>could</w:t>
      </w:r>
      <w:r w:rsidRPr="00EB2BD8">
        <w:rPr>
          <w:spacing w:val="-4"/>
        </w:rPr>
        <w:t xml:space="preserve"> </w:t>
      </w:r>
      <w:r w:rsidRPr="00EB2BD8">
        <w:t xml:space="preserve">be conducted remotely by taking advantage of emerging </w:t>
      </w:r>
      <w:r w:rsidRPr="00EB2BD8">
        <w:rPr>
          <w:spacing w:val="-2"/>
        </w:rPr>
        <w:t>technologies.</w:t>
      </w:r>
    </w:p>
    <w:p w14:paraId="75C6C29C" w14:textId="77777777" w:rsidR="00084F36" w:rsidRPr="00EB2BD8" w:rsidRDefault="00EB2BD8">
      <w:pPr>
        <w:pStyle w:val="BodyText"/>
        <w:spacing w:before="109" w:line="261" w:lineRule="auto"/>
        <w:ind w:left="850" w:right="378"/>
      </w:pPr>
      <w:r w:rsidRPr="00EB2BD8">
        <w:t>Remote</w:t>
      </w:r>
      <w:r w:rsidRPr="00EB2BD8">
        <w:rPr>
          <w:spacing w:val="-10"/>
        </w:rPr>
        <w:t xml:space="preserve"> </w:t>
      </w:r>
      <w:r w:rsidRPr="00EB2BD8">
        <w:t>inspections</w:t>
      </w:r>
      <w:r w:rsidRPr="00EB2BD8">
        <w:rPr>
          <w:spacing w:val="-10"/>
        </w:rPr>
        <w:t xml:space="preserve"> </w:t>
      </w:r>
      <w:r w:rsidRPr="00EB2BD8">
        <w:t>of</w:t>
      </w:r>
      <w:r w:rsidRPr="00EB2BD8">
        <w:rPr>
          <w:spacing w:val="-10"/>
        </w:rPr>
        <w:t xml:space="preserve"> </w:t>
      </w:r>
      <w:r w:rsidRPr="00EB2BD8">
        <w:t>building</w:t>
      </w:r>
      <w:r w:rsidRPr="00EB2BD8">
        <w:rPr>
          <w:spacing w:val="-10"/>
        </w:rPr>
        <w:t xml:space="preserve"> </w:t>
      </w:r>
      <w:r w:rsidRPr="00EB2BD8">
        <w:t>work</w:t>
      </w:r>
      <w:r w:rsidRPr="00EB2BD8">
        <w:rPr>
          <w:spacing w:val="-10"/>
        </w:rPr>
        <w:t xml:space="preserve"> </w:t>
      </w:r>
      <w:r w:rsidRPr="00EB2BD8">
        <w:t>are</w:t>
      </w:r>
      <w:r w:rsidRPr="00EB2BD8">
        <w:rPr>
          <w:spacing w:val="-10"/>
        </w:rPr>
        <w:t xml:space="preserve"> </w:t>
      </w:r>
      <w:r w:rsidRPr="00EB2BD8">
        <w:t>expected to reduce the time and travel needs required for</w:t>
      </w:r>
    </w:p>
    <w:p w14:paraId="6524C7EA" w14:textId="77777777" w:rsidR="00084F36" w:rsidRPr="00EB2BD8" w:rsidRDefault="00EB2BD8">
      <w:pPr>
        <w:pStyle w:val="BodyText"/>
        <w:spacing w:line="261" w:lineRule="auto"/>
        <w:ind w:left="850"/>
      </w:pPr>
      <w:r w:rsidRPr="00EB2BD8">
        <w:t>traditional in-person inspections while maintaining (or enhancing) the integrity and rigor of the inspection process</w:t>
      </w:r>
      <w:r w:rsidRPr="00EB2BD8">
        <w:rPr>
          <w:spacing w:val="-5"/>
        </w:rPr>
        <w:t xml:space="preserve"> </w:t>
      </w:r>
      <w:r w:rsidRPr="00EB2BD8">
        <w:t>and</w:t>
      </w:r>
      <w:r w:rsidRPr="00EB2BD8">
        <w:rPr>
          <w:spacing w:val="-5"/>
        </w:rPr>
        <w:t xml:space="preserve"> </w:t>
      </w:r>
      <w:r w:rsidRPr="00EB2BD8">
        <w:t>outcome.</w:t>
      </w:r>
      <w:r w:rsidRPr="00EB2BD8">
        <w:rPr>
          <w:spacing w:val="-5"/>
        </w:rPr>
        <w:t xml:space="preserve"> </w:t>
      </w:r>
      <w:r w:rsidRPr="00EB2BD8">
        <w:t>The</w:t>
      </w:r>
      <w:r w:rsidRPr="00EB2BD8">
        <w:rPr>
          <w:spacing w:val="-5"/>
        </w:rPr>
        <w:t xml:space="preserve"> </w:t>
      </w:r>
      <w:r w:rsidRPr="00EB2BD8">
        <w:t>VBA</w:t>
      </w:r>
      <w:r w:rsidRPr="00EB2BD8">
        <w:rPr>
          <w:spacing w:val="-5"/>
        </w:rPr>
        <w:t xml:space="preserve"> </w:t>
      </w:r>
      <w:r w:rsidRPr="00EB2BD8">
        <w:t>is</w:t>
      </w:r>
      <w:r w:rsidRPr="00EB2BD8">
        <w:rPr>
          <w:spacing w:val="-5"/>
        </w:rPr>
        <w:t xml:space="preserve"> </w:t>
      </w:r>
      <w:r w:rsidRPr="00EB2BD8">
        <w:t>always</w:t>
      </w:r>
      <w:r w:rsidRPr="00EB2BD8">
        <w:rPr>
          <w:spacing w:val="-5"/>
        </w:rPr>
        <w:t xml:space="preserve"> </w:t>
      </w:r>
      <w:r w:rsidRPr="00EB2BD8">
        <w:t>exploring</w:t>
      </w:r>
      <w:r w:rsidRPr="00EB2BD8">
        <w:rPr>
          <w:spacing w:val="-5"/>
        </w:rPr>
        <w:t xml:space="preserve"> </w:t>
      </w:r>
      <w:r w:rsidRPr="00EB2BD8">
        <w:t>how it</w:t>
      </w:r>
      <w:r w:rsidRPr="00EB2BD8">
        <w:rPr>
          <w:spacing w:val="-6"/>
        </w:rPr>
        <w:t xml:space="preserve"> </w:t>
      </w:r>
      <w:r w:rsidRPr="00EB2BD8">
        <w:t>can</w:t>
      </w:r>
      <w:r w:rsidRPr="00EB2BD8">
        <w:rPr>
          <w:spacing w:val="-6"/>
        </w:rPr>
        <w:t xml:space="preserve"> </w:t>
      </w:r>
      <w:r w:rsidRPr="00EB2BD8">
        <w:t>use</w:t>
      </w:r>
      <w:r w:rsidRPr="00EB2BD8">
        <w:rPr>
          <w:spacing w:val="-6"/>
        </w:rPr>
        <w:t xml:space="preserve"> </w:t>
      </w:r>
      <w:r w:rsidRPr="00EB2BD8">
        <w:t>new</w:t>
      </w:r>
      <w:r w:rsidRPr="00EB2BD8">
        <w:rPr>
          <w:spacing w:val="-6"/>
        </w:rPr>
        <w:t xml:space="preserve"> </w:t>
      </w:r>
      <w:r w:rsidRPr="00EB2BD8">
        <w:t>technologies</w:t>
      </w:r>
      <w:r w:rsidRPr="00EB2BD8">
        <w:rPr>
          <w:spacing w:val="-6"/>
        </w:rPr>
        <w:t xml:space="preserve"> </w:t>
      </w:r>
      <w:r w:rsidRPr="00EB2BD8">
        <w:t>and</w:t>
      </w:r>
      <w:r w:rsidRPr="00EB2BD8">
        <w:rPr>
          <w:spacing w:val="-6"/>
        </w:rPr>
        <w:t xml:space="preserve"> </w:t>
      </w:r>
      <w:r w:rsidRPr="00EB2BD8">
        <w:t>additional</w:t>
      </w:r>
      <w:r w:rsidRPr="00EB2BD8">
        <w:rPr>
          <w:spacing w:val="-6"/>
        </w:rPr>
        <w:t xml:space="preserve"> </w:t>
      </w:r>
      <w:r w:rsidRPr="00EB2BD8">
        <w:t>tools</w:t>
      </w:r>
      <w:r w:rsidRPr="00EB2BD8">
        <w:rPr>
          <w:spacing w:val="-6"/>
        </w:rPr>
        <w:t xml:space="preserve"> </w:t>
      </w:r>
      <w:r w:rsidRPr="00EB2BD8">
        <w:t>to</w:t>
      </w:r>
      <w:r w:rsidRPr="00EB2BD8">
        <w:rPr>
          <w:spacing w:val="-6"/>
        </w:rPr>
        <w:t xml:space="preserve"> </w:t>
      </w:r>
      <w:r w:rsidRPr="00EB2BD8">
        <w:t>be</w:t>
      </w:r>
      <w:r w:rsidRPr="00EB2BD8">
        <w:rPr>
          <w:spacing w:val="-6"/>
        </w:rPr>
        <w:t xml:space="preserve"> </w:t>
      </w:r>
      <w:r w:rsidRPr="00EB2BD8">
        <w:t>a best practice regulator.</w:t>
      </w:r>
    </w:p>
    <w:p w14:paraId="4F1655EA" w14:textId="77777777" w:rsidR="00084F36" w:rsidRPr="00EB2BD8" w:rsidRDefault="00EB2BD8">
      <w:pPr>
        <w:pStyle w:val="BodyText"/>
        <w:spacing w:before="106" w:line="261" w:lineRule="auto"/>
        <w:ind w:left="850" w:right="174"/>
      </w:pPr>
      <w:r w:rsidRPr="00EB2BD8">
        <w:t>This project, led by Monash University’s Dr Yihai Fang,</w:t>
      </w:r>
      <w:r w:rsidRPr="00EB2BD8">
        <w:rPr>
          <w:spacing w:val="-4"/>
        </w:rPr>
        <w:t xml:space="preserve"> </w:t>
      </w:r>
      <w:r w:rsidRPr="00EB2BD8">
        <w:t>aims</w:t>
      </w:r>
      <w:r w:rsidRPr="00EB2BD8">
        <w:rPr>
          <w:spacing w:val="-4"/>
        </w:rPr>
        <w:t xml:space="preserve"> </w:t>
      </w:r>
      <w:r w:rsidRPr="00EB2BD8">
        <w:t>to</w:t>
      </w:r>
      <w:r w:rsidRPr="00EB2BD8">
        <w:rPr>
          <w:spacing w:val="-4"/>
        </w:rPr>
        <w:t xml:space="preserve"> </w:t>
      </w:r>
      <w:r w:rsidRPr="00EB2BD8">
        <w:t>review</w:t>
      </w:r>
      <w:r w:rsidRPr="00EB2BD8">
        <w:rPr>
          <w:spacing w:val="-4"/>
        </w:rPr>
        <w:t xml:space="preserve"> </w:t>
      </w:r>
      <w:r w:rsidRPr="00EB2BD8">
        <w:t>best</w:t>
      </w:r>
      <w:r w:rsidRPr="00EB2BD8">
        <w:rPr>
          <w:spacing w:val="-4"/>
        </w:rPr>
        <w:t xml:space="preserve"> </w:t>
      </w:r>
      <w:r w:rsidRPr="00EB2BD8">
        <w:t>practice</w:t>
      </w:r>
      <w:r w:rsidRPr="00EB2BD8">
        <w:rPr>
          <w:spacing w:val="-4"/>
        </w:rPr>
        <w:t xml:space="preserve"> </w:t>
      </w:r>
      <w:r w:rsidRPr="00EB2BD8">
        <w:t>remote</w:t>
      </w:r>
      <w:r w:rsidRPr="00EB2BD8">
        <w:rPr>
          <w:spacing w:val="-4"/>
        </w:rPr>
        <w:t xml:space="preserve"> </w:t>
      </w:r>
      <w:r w:rsidRPr="00EB2BD8">
        <w:t>inspection practices, evaluate digital technologies that enable remote inspection of building work, and develop a guideline</w:t>
      </w:r>
      <w:r w:rsidRPr="00EB2BD8">
        <w:rPr>
          <w:spacing w:val="-12"/>
        </w:rPr>
        <w:t xml:space="preserve"> </w:t>
      </w:r>
      <w:r w:rsidRPr="00EB2BD8">
        <w:t>for</w:t>
      </w:r>
      <w:r w:rsidRPr="00EB2BD8">
        <w:rPr>
          <w:spacing w:val="-12"/>
        </w:rPr>
        <w:t xml:space="preserve"> </w:t>
      </w:r>
      <w:r w:rsidRPr="00EB2BD8">
        <w:t>the</w:t>
      </w:r>
      <w:r w:rsidRPr="00EB2BD8">
        <w:rPr>
          <w:spacing w:val="-12"/>
        </w:rPr>
        <w:t xml:space="preserve"> </w:t>
      </w:r>
      <w:r w:rsidRPr="00EB2BD8">
        <w:t>effective</w:t>
      </w:r>
      <w:r w:rsidRPr="00EB2BD8">
        <w:rPr>
          <w:spacing w:val="-12"/>
        </w:rPr>
        <w:t xml:space="preserve"> </w:t>
      </w:r>
      <w:r w:rsidRPr="00EB2BD8">
        <w:t>implementation</w:t>
      </w:r>
      <w:r w:rsidRPr="00EB2BD8">
        <w:rPr>
          <w:spacing w:val="-12"/>
        </w:rPr>
        <w:t xml:space="preserve"> </w:t>
      </w:r>
      <w:r w:rsidRPr="00EB2BD8">
        <w:t>of</w:t>
      </w:r>
      <w:r w:rsidRPr="00EB2BD8">
        <w:rPr>
          <w:spacing w:val="-12"/>
        </w:rPr>
        <w:t xml:space="preserve"> </w:t>
      </w:r>
      <w:r w:rsidRPr="00EB2BD8">
        <w:t xml:space="preserve">suitable </w:t>
      </w:r>
      <w:r w:rsidRPr="00EB2BD8">
        <w:rPr>
          <w:spacing w:val="-2"/>
        </w:rPr>
        <w:t>technologies</w:t>
      </w:r>
      <w:r w:rsidRPr="00EB2BD8">
        <w:rPr>
          <w:spacing w:val="-1"/>
        </w:rPr>
        <w:t xml:space="preserve"> </w:t>
      </w:r>
      <w:r w:rsidRPr="00EB2BD8">
        <w:rPr>
          <w:spacing w:val="-2"/>
        </w:rPr>
        <w:t>for</w:t>
      </w:r>
      <w:r w:rsidRPr="00EB2BD8">
        <w:rPr>
          <w:spacing w:val="-1"/>
        </w:rPr>
        <w:t xml:space="preserve"> </w:t>
      </w:r>
      <w:r w:rsidRPr="00EB2BD8">
        <w:rPr>
          <w:spacing w:val="-2"/>
        </w:rPr>
        <w:t>remote</w:t>
      </w:r>
      <w:r w:rsidRPr="00EB2BD8">
        <w:rPr>
          <w:spacing w:val="-1"/>
        </w:rPr>
        <w:t xml:space="preserve"> </w:t>
      </w:r>
      <w:r w:rsidRPr="00EB2BD8">
        <w:rPr>
          <w:spacing w:val="-2"/>
        </w:rPr>
        <w:t>inspections</w:t>
      </w:r>
      <w:r w:rsidRPr="00EB2BD8">
        <w:rPr>
          <w:spacing w:val="-1"/>
        </w:rPr>
        <w:t xml:space="preserve"> </w:t>
      </w:r>
      <w:r w:rsidRPr="00EB2BD8">
        <w:rPr>
          <w:spacing w:val="-2"/>
        </w:rPr>
        <w:t>of</w:t>
      </w:r>
      <w:r w:rsidRPr="00EB2BD8">
        <w:rPr>
          <w:spacing w:val="-1"/>
        </w:rPr>
        <w:t xml:space="preserve"> </w:t>
      </w:r>
      <w:r w:rsidRPr="00EB2BD8">
        <w:rPr>
          <w:spacing w:val="-2"/>
        </w:rPr>
        <w:t>building</w:t>
      </w:r>
      <w:r w:rsidRPr="00EB2BD8">
        <w:rPr>
          <w:spacing w:val="-1"/>
        </w:rPr>
        <w:t xml:space="preserve"> </w:t>
      </w:r>
      <w:r w:rsidRPr="00EB2BD8">
        <w:rPr>
          <w:spacing w:val="-2"/>
        </w:rPr>
        <w:t>work.</w:t>
      </w:r>
    </w:p>
    <w:p w14:paraId="26EAE027" w14:textId="77777777" w:rsidR="00084F36" w:rsidRPr="00EB2BD8" w:rsidRDefault="00EB2BD8">
      <w:pPr>
        <w:pStyle w:val="BodyText"/>
        <w:spacing w:before="107" w:line="261" w:lineRule="auto"/>
        <w:ind w:left="850"/>
      </w:pPr>
      <w:r w:rsidRPr="00EB2BD8">
        <w:t>Outcomes</w:t>
      </w:r>
      <w:r w:rsidRPr="00EB2BD8">
        <w:rPr>
          <w:spacing w:val="-7"/>
        </w:rPr>
        <w:t xml:space="preserve"> </w:t>
      </w:r>
      <w:r w:rsidRPr="00EB2BD8">
        <w:t>from</w:t>
      </w:r>
      <w:r w:rsidRPr="00EB2BD8">
        <w:rPr>
          <w:spacing w:val="-7"/>
        </w:rPr>
        <w:t xml:space="preserve"> </w:t>
      </w:r>
      <w:r w:rsidRPr="00EB2BD8">
        <w:t>this</w:t>
      </w:r>
      <w:r w:rsidRPr="00EB2BD8">
        <w:rPr>
          <w:spacing w:val="-7"/>
        </w:rPr>
        <w:t xml:space="preserve"> </w:t>
      </w:r>
      <w:r w:rsidRPr="00EB2BD8">
        <w:t>project</w:t>
      </w:r>
      <w:r w:rsidRPr="00EB2BD8">
        <w:rPr>
          <w:spacing w:val="-7"/>
        </w:rPr>
        <w:t xml:space="preserve"> </w:t>
      </w:r>
      <w:r w:rsidRPr="00EB2BD8">
        <w:t>are</w:t>
      </w:r>
      <w:r w:rsidRPr="00EB2BD8">
        <w:rPr>
          <w:spacing w:val="-7"/>
        </w:rPr>
        <w:t xml:space="preserve"> </w:t>
      </w:r>
      <w:r w:rsidRPr="00EB2BD8">
        <w:t>expected</w:t>
      </w:r>
      <w:r w:rsidRPr="00EB2BD8">
        <w:rPr>
          <w:spacing w:val="-7"/>
        </w:rPr>
        <w:t xml:space="preserve"> </w:t>
      </w:r>
      <w:r w:rsidRPr="00EB2BD8">
        <w:t>to</w:t>
      </w:r>
      <w:r w:rsidRPr="00EB2BD8">
        <w:rPr>
          <w:spacing w:val="-7"/>
        </w:rPr>
        <w:t xml:space="preserve"> </w:t>
      </w:r>
      <w:r w:rsidRPr="00EB2BD8">
        <w:t>guide</w:t>
      </w:r>
      <w:r w:rsidRPr="00EB2BD8">
        <w:rPr>
          <w:spacing w:val="-7"/>
        </w:rPr>
        <w:t xml:space="preserve"> </w:t>
      </w:r>
      <w:r w:rsidRPr="00EB2BD8">
        <w:t>the implementation of technologies and workflows for remote inspection of building work.</w:t>
      </w:r>
    </w:p>
    <w:p w14:paraId="1BA61276" w14:textId="77777777" w:rsidR="00084F36" w:rsidRPr="00EB2BD8" w:rsidRDefault="00EB2BD8">
      <w:pPr>
        <w:rPr>
          <w:sz w:val="24"/>
        </w:rPr>
      </w:pPr>
      <w:r w:rsidRPr="00EB2BD8">
        <w:br w:type="column"/>
      </w:r>
    </w:p>
    <w:p w14:paraId="4D1EE79F" w14:textId="77777777" w:rsidR="00084F36" w:rsidRPr="00EB2BD8" w:rsidRDefault="00084F36">
      <w:pPr>
        <w:pStyle w:val="BodyText"/>
        <w:rPr>
          <w:sz w:val="24"/>
        </w:rPr>
      </w:pPr>
    </w:p>
    <w:p w14:paraId="21ED06DC" w14:textId="77777777" w:rsidR="00084F36" w:rsidRPr="00EB2BD8" w:rsidRDefault="00084F36">
      <w:pPr>
        <w:pStyle w:val="BodyText"/>
        <w:rPr>
          <w:sz w:val="24"/>
        </w:rPr>
      </w:pPr>
    </w:p>
    <w:p w14:paraId="1D2CDC8C" w14:textId="77777777" w:rsidR="00084F36" w:rsidRPr="00EB2BD8" w:rsidRDefault="00084F36">
      <w:pPr>
        <w:pStyle w:val="BodyText"/>
        <w:spacing w:before="9"/>
        <w:rPr>
          <w:sz w:val="19"/>
        </w:rPr>
      </w:pPr>
    </w:p>
    <w:p w14:paraId="5D15AA4B" w14:textId="77777777" w:rsidR="00084F36" w:rsidRPr="00EB2BD8" w:rsidRDefault="00EB2BD8" w:rsidP="006E2D36">
      <w:pPr>
        <w:pStyle w:val="Heading4"/>
        <w:ind w:left="0" w:firstLine="423"/>
      </w:pPr>
      <w:r w:rsidRPr="00EB2BD8">
        <w:t>What</w:t>
      </w:r>
      <w:r w:rsidRPr="00EB2BD8">
        <w:rPr>
          <w:spacing w:val="-19"/>
        </w:rPr>
        <w:t xml:space="preserve"> </w:t>
      </w:r>
      <w:r w:rsidRPr="00EB2BD8">
        <w:t>we</w:t>
      </w:r>
      <w:r w:rsidRPr="00EB2BD8">
        <w:rPr>
          <w:spacing w:val="-19"/>
        </w:rPr>
        <w:t xml:space="preserve"> </w:t>
      </w:r>
      <w:r w:rsidRPr="00EB2BD8">
        <w:t>have</w:t>
      </w:r>
      <w:r w:rsidRPr="00EB2BD8">
        <w:rPr>
          <w:spacing w:val="-19"/>
        </w:rPr>
        <w:t xml:space="preserve"> </w:t>
      </w:r>
      <w:r w:rsidRPr="00EB2BD8">
        <w:t>achieved</w:t>
      </w:r>
      <w:r w:rsidRPr="00EB2BD8">
        <w:rPr>
          <w:spacing w:val="-19"/>
        </w:rPr>
        <w:t xml:space="preserve"> </w:t>
      </w:r>
      <w:r w:rsidRPr="00EB2BD8">
        <w:t>so</w:t>
      </w:r>
      <w:r w:rsidRPr="00EB2BD8">
        <w:rPr>
          <w:spacing w:val="-18"/>
        </w:rPr>
        <w:t xml:space="preserve"> </w:t>
      </w:r>
      <w:r w:rsidRPr="00EB2BD8">
        <w:rPr>
          <w:spacing w:val="-5"/>
        </w:rPr>
        <w:t>far</w:t>
      </w:r>
    </w:p>
    <w:p w14:paraId="2332EB5F" w14:textId="77777777" w:rsidR="00084F36" w:rsidRPr="00EB2BD8" w:rsidRDefault="00EB2BD8">
      <w:pPr>
        <w:pStyle w:val="BodyText"/>
        <w:spacing w:before="125"/>
        <w:ind w:left="423"/>
      </w:pPr>
      <w:r w:rsidRPr="00EB2BD8">
        <w:t>The</w:t>
      </w:r>
      <w:r w:rsidRPr="00EB2BD8">
        <w:rPr>
          <w:spacing w:val="3"/>
        </w:rPr>
        <w:t xml:space="preserve"> </w:t>
      </w:r>
      <w:r w:rsidRPr="00EB2BD8">
        <w:t>research</w:t>
      </w:r>
      <w:r w:rsidRPr="00EB2BD8">
        <w:rPr>
          <w:spacing w:val="4"/>
        </w:rPr>
        <w:t xml:space="preserve"> </w:t>
      </w:r>
      <w:r w:rsidRPr="00EB2BD8">
        <w:rPr>
          <w:spacing w:val="-4"/>
        </w:rPr>
        <w:t>has:</w:t>
      </w:r>
    </w:p>
    <w:p w14:paraId="737C531B" w14:textId="77777777" w:rsidR="00084F36" w:rsidRPr="00EB2BD8" w:rsidRDefault="00EB2BD8">
      <w:pPr>
        <w:pStyle w:val="ListParagraph"/>
        <w:numPr>
          <w:ilvl w:val="0"/>
          <w:numId w:val="60"/>
        </w:numPr>
        <w:tabs>
          <w:tab w:val="left" w:pos="706"/>
        </w:tabs>
        <w:spacing w:before="47" w:line="261" w:lineRule="auto"/>
        <w:ind w:right="1277"/>
        <w:rPr>
          <w:sz w:val="18"/>
        </w:rPr>
      </w:pPr>
      <w:r w:rsidRPr="00EB2BD8">
        <w:rPr>
          <w:sz w:val="18"/>
        </w:rPr>
        <w:t>Identified national and international best practices and standards for remote inspections (in</w:t>
      </w:r>
      <w:r w:rsidRPr="00EB2BD8">
        <w:rPr>
          <w:spacing w:val="-4"/>
          <w:sz w:val="18"/>
        </w:rPr>
        <w:t xml:space="preserve"> </w:t>
      </w:r>
      <w:r w:rsidRPr="00EB2BD8">
        <w:rPr>
          <w:sz w:val="18"/>
        </w:rPr>
        <w:t>construction</w:t>
      </w:r>
      <w:r w:rsidRPr="00EB2BD8">
        <w:rPr>
          <w:spacing w:val="-4"/>
          <w:sz w:val="18"/>
        </w:rPr>
        <w:t xml:space="preserve"> </w:t>
      </w:r>
      <w:r w:rsidRPr="00EB2BD8">
        <w:rPr>
          <w:sz w:val="18"/>
        </w:rPr>
        <w:t>and</w:t>
      </w:r>
      <w:r w:rsidRPr="00EB2BD8">
        <w:rPr>
          <w:spacing w:val="-4"/>
          <w:sz w:val="18"/>
        </w:rPr>
        <w:t xml:space="preserve"> </w:t>
      </w:r>
      <w:r w:rsidRPr="00EB2BD8">
        <w:rPr>
          <w:sz w:val="18"/>
        </w:rPr>
        <w:t>other</w:t>
      </w:r>
      <w:r w:rsidRPr="00EB2BD8">
        <w:rPr>
          <w:spacing w:val="-4"/>
          <w:sz w:val="18"/>
        </w:rPr>
        <w:t xml:space="preserve"> </w:t>
      </w:r>
      <w:r w:rsidRPr="00EB2BD8">
        <w:rPr>
          <w:sz w:val="18"/>
        </w:rPr>
        <w:t>industries),</w:t>
      </w:r>
      <w:r w:rsidRPr="00EB2BD8">
        <w:rPr>
          <w:spacing w:val="-4"/>
          <w:sz w:val="18"/>
        </w:rPr>
        <w:t xml:space="preserve"> </w:t>
      </w:r>
      <w:r w:rsidRPr="00EB2BD8">
        <w:rPr>
          <w:sz w:val="18"/>
        </w:rPr>
        <w:t>assessed enabling technologies for remote inspections</w:t>
      </w:r>
      <w:r w:rsidRPr="00EB2BD8">
        <w:rPr>
          <w:spacing w:val="40"/>
          <w:sz w:val="18"/>
        </w:rPr>
        <w:t xml:space="preserve"> </w:t>
      </w:r>
      <w:r w:rsidRPr="00EB2BD8">
        <w:rPr>
          <w:sz w:val="18"/>
        </w:rPr>
        <w:t>of building work, and assessed regulatory requirements and implications of remote inspections of building work.</w:t>
      </w:r>
    </w:p>
    <w:p w14:paraId="038D2A79" w14:textId="77777777" w:rsidR="00084F36" w:rsidRPr="00EB2BD8" w:rsidRDefault="00EB2BD8">
      <w:pPr>
        <w:pStyle w:val="ListParagraph"/>
        <w:numPr>
          <w:ilvl w:val="0"/>
          <w:numId w:val="60"/>
        </w:numPr>
        <w:tabs>
          <w:tab w:val="left" w:pos="706"/>
        </w:tabs>
        <w:spacing w:before="63" w:line="261" w:lineRule="auto"/>
        <w:ind w:right="1046"/>
        <w:rPr>
          <w:sz w:val="18"/>
        </w:rPr>
      </w:pPr>
      <w:r w:rsidRPr="00EB2BD8">
        <w:rPr>
          <w:sz w:val="18"/>
        </w:rPr>
        <w:t>Conducted interviews with government,</w:t>
      </w:r>
      <w:r w:rsidRPr="00EB2BD8">
        <w:rPr>
          <w:spacing w:val="40"/>
          <w:sz w:val="18"/>
        </w:rPr>
        <w:t xml:space="preserve"> </w:t>
      </w:r>
      <w:r w:rsidRPr="00EB2BD8">
        <w:rPr>
          <w:sz w:val="18"/>
        </w:rPr>
        <w:t>regulatory</w:t>
      </w:r>
      <w:r w:rsidRPr="00EB2BD8">
        <w:rPr>
          <w:spacing w:val="-2"/>
          <w:sz w:val="18"/>
        </w:rPr>
        <w:t xml:space="preserve"> </w:t>
      </w:r>
      <w:r w:rsidRPr="00EB2BD8">
        <w:rPr>
          <w:sz w:val="18"/>
        </w:rPr>
        <w:t>and</w:t>
      </w:r>
      <w:r w:rsidRPr="00EB2BD8">
        <w:rPr>
          <w:spacing w:val="-2"/>
          <w:sz w:val="18"/>
        </w:rPr>
        <w:t xml:space="preserve"> </w:t>
      </w:r>
      <w:r w:rsidRPr="00EB2BD8">
        <w:rPr>
          <w:sz w:val="18"/>
        </w:rPr>
        <w:t>industry</w:t>
      </w:r>
      <w:r w:rsidRPr="00EB2BD8">
        <w:rPr>
          <w:spacing w:val="-2"/>
          <w:sz w:val="18"/>
        </w:rPr>
        <w:t xml:space="preserve"> </w:t>
      </w:r>
      <w:r w:rsidRPr="00EB2BD8">
        <w:rPr>
          <w:sz w:val="18"/>
        </w:rPr>
        <w:t>representatives</w:t>
      </w:r>
      <w:r w:rsidRPr="00EB2BD8">
        <w:rPr>
          <w:spacing w:val="-2"/>
          <w:sz w:val="18"/>
        </w:rPr>
        <w:t xml:space="preserve"> </w:t>
      </w:r>
      <w:r w:rsidRPr="00EB2BD8">
        <w:rPr>
          <w:sz w:val="18"/>
        </w:rPr>
        <w:t>(including</w:t>
      </w:r>
    </w:p>
    <w:p w14:paraId="59A31A94" w14:textId="77777777" w:rsidR="00084F36" w:rsidRPr="00EB2BD8" w:rsidRDefault="00EB2BD8">
      <w:pPr>
        <w:pStyle w:val="BodyText"/>
        <w:spacing w:line="261" w:lineRule="auto"/>
        <w:ind w:left="706"/>
      </w:pPr>
      <w:r w:rsidRPr="00EB2BD8">
        <w:t>practitioners),</w:t>
      </w:r>
      <w:r w:rsidRPr="00EB2BD8">
        <w:rPr>
          <w:spacing w:val="-13"/>
        </w:rPr>
        <w:t xml:space="preserve"> </w:t>
      </w:r>
      <w:r w:rsidRPr="00EB2BD8">
        <w:t>and</w:t>
      </w:r>
      <w:r w:rsidRPr="00EB2BD8">
        <w:rPr>
          <w:spacing w:val="-13"/>
        </w:rPr>
        <w:t xml:space="preserve"> </w:t>
      </w:r>
      <w:r w:rsidRPr="00EB2BD8">
        <w:t>surveys</w:t>
      </w:r>
      <w:r w:rsidRPr="00EB2BD8">
        <w:rPr>
          <w:spacing w:val="-13"/>
        </w:rPr>
        <w:t xml:space="preserve"> </w:t>
      </w:r>
      <w:r w:rsidRPr="00EB2BD8">
        <w:t>of</w:t>
      </w:r>
      <w:r w:rsidRPr="00EB2BD8">
        <w:rPr>
          <w:spacing w:val="-13"/>
        </w:rPr>
        <w:t xml:space="preserve"> </w:t>
      </w:r>
      <w:r w:rsidRPr="00EB2BD8">
        <w:t>building</w:t>
      </w:r>
      <w:r w:rsidRPr="00EB2BD8">
        <w:rPr>
          <w:spacing w:val="-13"/>
        </w:rPr>
        <w:t xml:space="preserve"> </w:t>
      </w:r>
      <w:r w:rsidRPr="00EB2BD8">
        <w:t>and</w:t>
      </w:r>
      <w:r w:rsidRPr="00EB2BD8">
        <w:rPr>
          <w:spacing w:val="-13"/>
        </w:rPr>
        <w:t xml:space="preserve"> </w:t>
      </w:r>
      <w:r w:rsidRPr="00EB2BD8">
        <w:t>plumbing practitioners, to help understand the drivers</w:t>
      </w:r>
    </w:p>
    <w:p w14:paraId="613F8990" w14:textId="77777777" w:rsidR="00084F36" w:rsidRPr="00EB2BD8" w:rsidRDefault="00EB2BD8">
      <w:pPr>
        <w:pStyle w:val="BodyText"/>
        <w:spacing w:line="261" w:lineRule="auto"/>
        <w:ind w:left="706" w:right="842"/>
      </w:pPr>
      <w:r w:rsidRPr="00EB2BD8">
        <w:t>and</w:t>
      </w:r>
      <w:r w:rsidRPr="00EB2BD8">
        <w:rPr>
          <w:spacing w:val="-5"/>
        </w:rPr>
        <w:t xml:space="preserve"> </w:t>
      </w:r>
      <w:r w:rsidRPr="00EB2BD8">
        <w:t>barriers</w:t>
      </w:r>
      <w:r w:rsidRPr="00EB2BD8">
        <w:rPr>
          <w:spacing w:val="-5"/>
        </w:rPr>
        <w:t xml:space="preserve"> </w:t>
      </w:r>
      <w:r w:rsidRPr="00EB2BD8">
        <w:t>to</w:t>
      </w:r>
      <w:r w:rsidRPr="00EB2BD8">
        <w:rPr>
          <w:spacing w:val="-5"/>
        </w:rPr>
        <w:t xml:space="preserve"> </w:t>
      </w:r>
      <w:r w:rsidRPr="00EB2BD8">
        <w:t>the</w:t>
      </w:r>
      <w:r w:rsidRPr="00EB2BD8">
        <w:rPr>
          <w:spacing w:val="-5"/>
        </w:rPr>
        <w:t xml:space="preserve"> </w:t>
      </w:r>
      <w:r w:rsidRPr="00EB2BD8">
        <w:t>adoption</w:t>
      </w:r>
      <w:r w:rsidRPr="00EB2BD8">
        <w:rPr>
          <w:spacing w:val="-5"/>
        </w:rPr>
        <w:t xml:space="preserve"> </w:t>
      </w:r>
      <w:r w:rsidRPr="00EB2BD8">
        <w:t>and</w:t>
      </w:r>
      <w:r w:rsidRPr="00EB2BD8">
        <w:rPr>
          <w:spacing w:val="-5"/>
        </w:rPr>
        <w:t xml:space="preserve"> </w:t>
      </w:r>
      <w:r w:rsidRPr="00EB2BD8">
        <w:t>use</w:t>
      </w:r>
      <w:r w:rsidRPr="00EB2BD8">
        <w:rPr>
          <w:spacing w:val="-5"/>
        </w:rPr>
        <w:t xml:space="preserve"> </w:t>
      </w:r>
      <w:r w:rsidRPr="00EB2BD8">
        <w:t>of</w:t>
      </w:r>
      <w:r w:rsidRPr="00EB2BD8">
        <w:rPr>
          <w:spacing w:val="-5"/>
        </w:rPr>
        <w:t xml:space="preserve"> </w:t>
      </w:r>
      <w:r w:rsidRPr="00EB2BD8">
        <w:t>remote inspection of building work.</w:t>
      </w:r>
    </w:p>
    <w:p w14:paraId="5D8D456F" w14:textId="77777777" w:rsidR="00084F36" w:rsidRPr="00EB2BD8" w:rsidRDefault="00EB2BD8">
      <w:pPr>
        <w:pStyle w:val="ListParagraph"/>
        <w:numPr>
          <w:ilvl w:val="0"/>
          <w:numId w:val="60"/>
        </w:numPr>
        <w:tabs>
          <w:tab w:val="left" w:pos="706"/>
        </w:tabs>
        <w:spacing w:before="44" w:line="261" w:lineRule="auto"/>
        <w:ind w:right="899"/>
        <w:rPr>
          <w:sz w:val="18"/>
        </w:rPr>
      </w:pPr>
      <w:r w:rsidRPr="00EB2BD8">
        <w:rPr>
          <w:sz w:val="18"/>
        </w:rPr>
        <w:t>Assessed the performance of selected technologies in laboratory settings, undertaken field trials and data collection to evaluate technology performance and effectiveness, and developed a framework</w:t>
      </w:r>
    </w:p>
    <w:p w14:paraId="0FAD914A" w14:textId="77777777" w:rsidR="00084F36" w:rsidRPr="00EB2BD8" w:rsidRDefault="00EB2BD8">
      <w:pPr>
        <w:pStyle w:val="BodyText"/>
        <w:spacing w:line="261" w:lineRule="auto"/>
        <w:ind w:left="706" w:right="746"/>
      </w:pPr>
      <w:r w:rsidRPr="00EB2BD8">
        <w:t>that describes integrating the technology into building</w:t>
      </w:r>
      <w:r w:rsidRPr="00EB2BD8">
        <w:rPr>
          <w:spacing w:val="-5"/>
        </w:rPr>
        <w:t xml:space="preserve"> </w:t>
      </w:r>
      <w:r w:rsidRPr="00EB2BD8">
        <w:t>inspections</w:t>
      </w:r>
      <w:r w:rsidRPr="00EB2BD8">
        <w:rPr>
          <w:spacing w:val="-5"/>
        </w:rPr>
        <w:t xml:space="preserve"> </w:t>
      </w:r>
      <w:r w:rsidRPr="00EB2BD8">
        <w:t>and</w:t>
      </w:r>
      <w:r w:rsidRPr="00EB2BD8">
        <w:rPr>
          <w:spacing w:val="-5"/>
        </w:rPr>
        <w:t xml:space="preserve"> </w:t>
      </w:r>
      <w:r w:rsidRPr="00EB2BD8">
        <w:t>a</w:t>
      </w:r>
      <w:r w:rsidRPr="00EB2BD8">
        <w:rPr>
          <w:spacing w:val="-5"/>
        </w:rPr>
        <w:t xml:space="preserve"> </w:t>
      </w:r>
      <w:r w:rsidRPr="00EB2BD8">
        <w:t>guideline</w:t>
      </w:r>
      <w:r w:rsidRPr="00EB2BD8">
        <w:rPr>
          <w:spacing w:val="-5"/>
        </w:rPr>
        <w:t xml:space="preserve"> </w:t>
      </w:r>
      <w:r w:rsidRPr="00EB2BD8">
        <w:t>that</w:t>
      </w:r>
      <w:r w:rsidRPr="00EB2BD8">
        <w:rPr>
          <w:spacing w:val="-5"/>
        </w:rPr>
        <w:t xml:space="preserve"> </w:t>
      </w:r>
      <w:r w:rsidRPr="00EB2BD8">
        <w:t>guides</w:t>
      </w:r>
      <w:r w:rsidRPr="00EB2BD8">
        <w:rPr>
          <w:spacing w:val="-5"/>
        </w:rPr>
        <w:t xml:space="preserve"> </w:t>
      </w:r>
      <w:r w:rsidRPr="00EB2BD8">
        <w:t xml:space="preserve">the </w:t>
      </w:r>
      <w:r w:rsidRPr="00EB2BD8">
        <w:rPr>
          <w:spacing w:val="-2"/>
        </w:rPr>
        <w:t>implementation.</w:t>
      </w:r>
    </w:p>
    <w:p w14:paraId="10AB6ED2" w14:textId="77777777" w:rsidR="00084F36" w:rsidRPr="00EB2BD8" w:rsidRDefault="00EB2BD8">
      <w:pPr>
        <w:pStyle w:val="BodyText"/>
        <w:spacing w:before="106"/>
        <w:ind w:left="423"/>
      </w:pPr>
      <w:r w:rsidRPr="00EB2BD8">
        <w:t>This</w:t>
      </w:r>
      <w:r w:rsidRPr="00EB2BD8">
        <w:rPr>
          <w:spacing w:val="-13"/>
        </w:rPr>
        <w:t xml:space="preserve"> </w:t>
      </w:r>
      <w:hyperlink r:id="rId141">
        <w:r w:rsidRPr="00EB2BD8">
          <w:t>research</w:t>
        </w:r>
        <w:r w:rsidRPr="00EB2BD8">
          <w:rPr>
            <w:spacing w:val="-13"/>
          </w:rPr>
          <w:t xml:space="preserve"> </w:t>
        </w:r>
        <w:r w:rsidRPr="00EB2BD8">
          <w:t>project</w:t>
        </w:r>
      </w:hyperlink>
      <w:r w:rsidRPr="00EB2BD8">
        <w:rPr>
          <w:spacing w:val="-13"/>
        </w:rPr>
        <w:t xml:space="preserve"> </w:t>
      </w:r>
      <w:r w:rsidRPr="00EB2BD8">
        <w:t>is</w:t>
      </w:r>
      <w:r w:rsidRPr="00EB2BD8">
        <w:rPr>
          <w:spacing w:val="-12"/>
        </w:rPr>
        <w:t xml:space="preserve"> </w:t>
      </w:r>
      <w:r w:rsidRPr="00EB2BD8">
        <w:t>due</w:t>
      </w:r>
      <w:r w:rsidRPr="00EB2BD8">
        <w:rPr>
          <w:spacing w:val="-13"/>
        </w:rPr>
        <w:t xml:space="preserve"> </w:t>
      </w:r>
      <w:r w:rsidRPr="00EB2BD8">
        <w:t>for</w:t>
      </w:r>
      <w:r w:rsidRPr="00EB2BD8">
        <w:rPr>
          <w:spacing w:val="-13"/>
        </w:rPr>
        <w:t xml:space="preserve"> </w:t>
      </w:r>
      <w:r w:rsidRPr="00EB2BD8">
        <w:t>completion</w:t>
      </w:r>
      <w:r w:rsidRPr="00EB2BD8">
        <w:rPr>
          <w:spacing w:val="-13"/>
        </w:rPr>
        <w:t xml:space="preserve"> </w:t>
      </w:r>
      <w:r w:rsidRPr="00EB2BD8">
        <w:t>in</w:t>
      </w:r>
      <w:r w:rsidRPr="00EB2BD8">
        <w:rPr>
          <w:spacing w:val="-12"/>
        </w:rPr>
        <w:t xml:space="preserve"> </w:t>
      </w:r>
      <w:r w:rsidRPr="00EB2BD8">
        <w:t>2023-</w:t>
      </w:r>
      <w:r w:rsidRPr="00EB2BD8">
        <w:rPr>
          <w:spacing w:val="-5"/>
        </w:rPr>
        <w:t>24.</w:t>
      </w:r>
    </w:p>
    <w:p w14:paraId="1BC724D7" w14:textId="77777777" w:rsidR="00084F36" w:rsidRPr="00EB2BD8" w:rsidRDefault="00084F36">
      <w:pPr>
        <w:sectPr w:rsidR="00084F36" w:rsidRPr="00EB2BD8" w:rsidSect="006D75B2">
          <w:type w:val="continuous"/>
          <w:pgSz w:w="11910" w:h="16840"/>
          <w:pgMar w:top="1920" w:right="0" w:bottom="280" w:left="0" w:header="0" w:footer="528" w:gutter="0"/>
          <w:cols w:num="2" w:space="720" w:equalWidth="0">
            <w:col w:w="5717" w:space="40"/>
            <w:col w:w="6153"/>
          </w:cols>
        </w:sectPr>
      </w:pPr>
    </w:p>
    <w:p w14:paraId="41DD0893" w14:textId="77777777" w:rsidR="00084F36" w:rsidRPr="00EB2BD8" w:rsidRDefault="00084F36">
      <w:pPr>
        <w:pStyle w:val="BodyText"/>
        <w:rPr>
          <w:sz w:val="20"/>
        </w:rPr>
      </w:pPr>
    </w:p>
    <w:p w14:paraId="579EB948" w14:textId="77777777" w:rsidR="00084F36" w:rsidRPr="00EB2BD8" w:rsidRDefault="00084F36">
      <w:pPr>
        <w:pStyle w:val="BodyText"/>
        <w:rPr>
          <w:sz w:val="20"/>
        </w:rPr>
      </w:pPr>
    </w:p>
    <w:p w14:paraId="7F36DCBD" w14:textId="77777777" w:rsidR="00084F36" w:rsidRPr="00EB2BD8" w:rsidRDefault="00084F36">
      <w:pPr>
        <w:pStyle w:val="BodyText"/>
        <w:rPr>
          <w:sz w:val="20"/>
        </w:rPr>
      </w:pPr>
    </w:p>
    <w:p w14:paraId="76BF39D7" w14:textId="77777777" w:rsidR="00084F36" w:rsidRPr="00EB2BD8" w:rsidRDefault="00084F36">
      <w:pPr>
        <w:pStyle w:val="BodyText"/>
        <w:rPr>
          <w:sz w:val="20"/>
        </w:rPr>
      </w:pPr>
    </w:p>
    <w:p w14:paraId="211ADEA0" w14:textId="77777777" w:rsidR="00084F36" w:rsidRPr="00EB2BD8" w:rsidRDefault="00084F36">
      <w:pPr>
        <w:pStyle w:val="BodyText"/>
        <w:spacing w:before="5"/>
        <w:rPr>
          <w:sz w:val="17"/>
        </w:rPr>
      </w:pPr>
    </w:p>
    <w:p w14:paraId="1EDB5ACC" w14:textId="77777777" w:rsidR="00084F36" w:rsidRPr="00EB2BD8" w:rsidRDefault="00084F36">
      <w:pPr>
        <w:rPr>
          <w:sz w:val="17"/>
        </w:rPr>
        <w:sectPr w:rsidR="00084F36" w:rsidRPr="00EB2BD8" w:rsidSect="006D75B2">
          <w:headerReference w:type="default" r:id="rId142"/>
          <w:footerReference w:type="default" r:id="rId143"/>
          <w:pgSz w:w="11910" w:h="16840"/>
          <w:pgMar w:top="1080" w:right="0" w:bottom="0" w:left="0" w:header="0" w:footer="0" w:gutter="0"/>
          <w:cols w:space="720"/>
        </w:sectPr>
      </w:pPr>
    </w:p>
    <w:p w14:paraId="60370033" w14:textId="77777777" w:rsidR="00084F36" w:rsidRPr="00EB2BD8" w:rsidRDefault="00EB2BD8" w:rsidP="00EB2BD8">
      <w:pPr>
        <w:pStyle w:val="Heading3"/>
      </w:pPr>
      <w:bookmarkStart w:id="124" w:name="_Toc150762426"/>
      <w:r w:rsidRPr="00EB2BD8">
        <w:rPr>
          <w:spacing w:val="-4"/>
        </w:rPr>
        <w:t>Scoping</w:t>
      </w:r>
      <w:r w:rsidRPr="00EB2BD8">
        <w:rPr>
          <w:spacing w:val="-18"/>
        </w:rPr>
        <w:t xml:space="preserve"> </w:t>
      </w:r>
      <w:r w:rsidRPr="00EB2BD8">
        <w:rPr>
          <w:spacing w:val="-4"/>
        </w:rPr>
        <w:t>study:</w:t>
      </w:r>
      <w:r w:rsidRPr="00EB2BD8">
        <w:rPr>
          <w:spacing w:val="-18"/>
        </w:rPr>
        <w:t xml:space="preserve"> </w:t>
      </w:r>
      <w:r w:rsidRPr="00EB2BD8">
        <w:rPr>
          <w:spacing w:val="-4"/>
        </w:rPr>
        <w:t>Automated</w:t>
      </w:r>
      <w:r w:rsidRPr="00EB2BD8">
        <w:rPr>
          <w:spacing w:val="-18"/>
        </w:rPr>
        <w:t xml:space="preserve"> </w:t>
      </w:r>
      <w:r w:rsidRPr="00EB2BD8">
        <w:rPr>
          <w:spacing w:val="-4"/>
        </w:rPr>
        <w:t>tracking</w:t>
      </w:r>
      <w:r w:rsidRPr="00EB2BD8">
        <w:rPr>
          <w:spacing w:val="-18"/>
        </w:rPr>
        <w:t xml:space="preserve"> </w:t>
      </w:r>
      <w:r w:rsidRPr="00EB2BD8">
        <w:rPr>
          <w:spacing w:val="-4"/>
        </w:rPr>
        <w:t xml:space="preserve">of </w:t>
      </w:r>
      <w:r w:rsidRPr="00EB2BD8">
        <w:t>construction</w:t>
      </w:r>
      <w:r w:rsidRPr="00EB2BD8">
        <w:rPr>
          <w:spacing w:val="-17"/>
        </w:rPr>
        <w:t xml:space="preserve"> </w:t>
      </w:r>
      <w:r w:rsidRPr="00EB2BD8">
        <w:t>materials</w:t>
      </w:r>
      <w:r w:rsidRPr="00EB2BD8">
        <w:rPr>
          <w:spacing w:val="-17"/>
        </w:rPr>
        <w:t xml:space="preserve"> </w:t>
      </w:r>
      <w:r w:rsidRPr="00EB2BD8">
        <w:t>for</w:t>
      </w:r>
      <w:r w:rsidRPr="00EB2BD8">
        <w:rPr>
          <w:spacing w:val="-17"/>
        </w:rPr>
        <w:t xml:space="preserve"> </w:t>
      </w:r>
      <w:r w:rsidRPr="00EB2BD8">
        <w:t>improved supply</w:t>
      </w:r>
      <w:r w:rsidRPr="00EB2BD8">
        <w:rPr>
          <w:spacing w:val="-18"/>
        </w:rPr>
        <w:t xml:space="preserve"> </w:t>
      </w:r>
      <w:r w:rsidRPr="00EB2BD8">
        <w:t>chain</w:t>
      </w:r>
      <w:r w:rsidRPr="00EB2BD8">
        <w:rPr>
          <w:spacing w:val="-18"/>
        </w:rPr>
        <w:t xml:space="preserve"> </w:t>
      </w:r>
      <w:r w:rsidRPr="00EB2BD8">
        <w:t>logistics</w:t>
      </w:r>
      <w:r w:rsidRPr="00EB2BD8">
        <w:rPr>
          <w:spacing w:val="-18"/>
        </w:rPr>
        <w:t xml:space="preserve"> </w:t>
      </w:r>
      <w:r w:rsidRPr="00EB2BD8">
        <w:t>and</w:t>
      </w:r>
      <w:r w:rsidRPr="00EB2BD8">
        <w:rPr>
          <w:spacing w:val="-18"/>
        </w:rPr>
        <w:t xml:space="preserve"> </w:t>
      </w:r>
      <w:r w:rsidRPr="00EB2BD8">
        <w:t>provenance</w:t>
      </w:r>
      <w:bookmarkEnd w:id="124"/>
    </w:p>
    <w:p w14:paraId="390F984B" w14:textId="77777777" w:rsidR="00084F36" w:rsidRPr="00EB2BD8" w:rsidRDefault="00EB2BD8" w:rsidP="00EB2BD8">
      <w:pPr>
        <w:pStyle w:val="Heading4"/>
      </w:pPr>
      <w:r w:rsidRPr="00EB2BD8">
        <w:t>What</w:t>
      </w:r>
      <w:r w:rsidRPr="00EB2BD8">
        <w:rPr>
          <w:spacing w:val="-17"/>
        </w:rPr>
        <w:t xml:space="preserve"> </w:t>
      </w:r>
      <w:r w:rsidRPr="00EB2BD8">
        <w:t>we</w:t>
      </w:r>
      <w:r w:rsidRPr="00EB2BD8">
        <w:rPr>
          <w:spacing w:val="-17"/>
        </w:rPr>
        <w:t xml:space="preserve"> </w:t>
      </w:r>
      <w:r w:rsidRPr="00EB2BD8">
        <w:t>are</w:t>
      </w:r>
      <w:r w:rsidRPr="00EB2BD8">
        <w:rPr>
          <w:spacing w:val="-17"/>
        </w:rPr>
        <w:t xml:space="preserve"> </w:t>
      </w:r>
      <w:r w:rsidRPr="00EB2BD8">
        <w:t>doing</w:t>
      </w:r>
      <w:r w:rsidRPr="00EB2BD8">
        <w:rPr>
          <w:spacing w:val="-17"/>
        </w:rPr>
        <w:t xml:space="preserve"> </w:t>
      </w:r>
      <w:r w:rsidRPr="00EB2BD8">
        <w:t>and</w:t>
      </w:r>
      <w:r w:rsidRPr="00EB2BD8">
        <w:rPr>
          <w:spacing w:val="-17"/>
        </w:rPr>
        <w:t xml:space="preserve"> </w:t>
      </w:r>
      <w:r w:rsidRPr="00EB2BD8">
        <w:rPr>
          <w:spacing w:val="-5"/>
        </w:rPr>
        <w:t>why</w:t>
      </w:r>
    </w:p>
    <w:p w14:paraId="26524113" w14:textId="77777777" w:rsidR="00084F36" w:rsidRPr="00EB2BD8" w:rsidRDefault="00EB2BD8">
      <w:pPr>
        <w:pStyle w:val="BodyText"/>
        <w:spacing w:before="124" w:line="261" w:lineRule="auto"/>
        <w:ind w:left="850"/>
      </w:pPr>
      <w:r w:rsidRPr="00EB2BD8">
        <w:t xml:space="preserve">The construction supply chain is a critical enabler for </w:t>
      </w:r>
      <w:r w:rsidRPr="00EB2BD8">
        <w:rPr>
          <w:w w:val="105"/>
        </w:rPr>
        <w:t>the</w:t>
      </w:r>
      <w:r w:rsidRPr="00EB2BD8">
        <w:rPr>
          <w:spacing w:val="-15"/>
          <w:w w:val="105"/>
        </w:rPr>
        <w:t xml:space="preserve"> </w:t>
      </w:r>
      <w:r w:rsidRPr="00EB2BD8">
        <w:rPr>
          <w:w w:val="105"/>
        </w:rPr>
        <w:t>construction</w:t>
      </w:r>
      <w:r w:rsidRPr="00EB2BD8">
        <w:rPr>
          <w:spacing w:val="-15"/>
          <w:w w:val="105"/>
        </w:rPr>
        <w:t xml:space="preserve"> </w:t>
      </w:r>
      <w:r w:rsidRPr="00EB2BD8">
        <w:rPr>
          <w:w w:val="105"/>
        </w:rPr>
        <w:t>industry,</w:t>
      </w:r>
      <w:r w:rsidRPr="00EB2BD8">
        <w:rPr>
          <w:spacing w:val="-15"/>
          <w:w w:val="105"/>
        </w:rPr>
        <w:t xml:space="preserve"> </w:t>
      </w:r>
      <w:r w:rsidRPr="00EB2BD8">
        <w:rPr>
          <w:w w:val="105"/>
        </w:rPr>
        <w:t>but</w:t>
      </w:r>
      <w:r w:rsidRPr="00EB2BD8">
        <w:rPr>
          <w:spacing w:val="-15"/>
          <w:w w:val="105"/>
        </w:rPr>
        <w:t xml:space="preserve"> </w:t>
      </w:r>
      <w:r w:rsidRPr="00EB2BD8">
        <w:rPr>
          <w:w w:val="105"/>
        </w:rPr>
        <w:t>also</w:t>
      </w:r>
      <w:r w:rsidRPr="00EB2BD8">
        <w:rPr>
          <w:spacing w:val="-15"/>
          <w:w w:val="105"/>
        </w:rPr>
        <w:t xml:space="preserve"> </w:t>
      </w:r>
      <w:r w:rsidRPr="00EB2BD8">
        <w:rPr>
          <w:w w:val="105"/>
        </w:rPr>
        <w:t>poses</w:t>
      </w:r>
      <w:r w:rsidRPr="00EB2BD8">
        <w:rPr>
          <w:spacing w:val="-15"/>
          <w:w w:val="105"/>
        </w:rPr>
        <w:t xml:space="preserve"> </w:t>
      </w:r>
      <w:r w:rsidRPr="00EB2BD8">
        <w:rPr>
          <w:w w:val="105"/>
        </w:rPr>
        <w:t>challenges and</w:t>
      </w:r>
      <w:r w:rsidRPr="00EB2BD8">
        <w:rPr>
          <w:spacing w:val="-10"/>
          <w:w w:val="105"/>
        </w:rPr>
        <w:t xml:space="preserve"> </w:t>
      </w:r>
      <w:r w:rsidRPr="00EB2BD8">
        <w:rPr>
          <w:w w:val="105"/>
        </w:rPr>
        <w:t>risks.</w:t>
      </w:r>
      <w:r w:rsidRPr="00EB2BD8">
        <w:rPr>
          <w:spacing w:val="-11"/>
          <w:w w:val="105"/>
        </w:rPr>
        <w:t xml:space="preserve"> </w:t>
      </w:r>
      <w:r w:rsidRPr="00EB2BD8">
        <w:rPr>
          <w:w w:val="105"/>
        </w:rPr>
        <w:t>This</w:t>
      </w:r>
      <w:r w:rsidRPr="00EB2BD8">
        <w:rPr>
          <w:spacing w:val="-10"/>
          <w:w w:val="105"/>
        </w:rPr>
        <w:t xml:space="preserve"> </w:t>
      </w:r>
      <w:r w:rsidRPr="00EB2BD8">
        <w:rPr>
          <w:w w:val="105"/>
        </w:rPr>
        <w:t>is</w:t>
      </w:r>
      <w:r w:rsidRPr="00EB2BD8">
        <w:rPr>
          <w:spacing w:val="-11"/>
          <w:w w:val="105"/>
        </w:rPr>
        <w:t xml:space="preserve"> </w:t>
      </w:r>
      <w:r w:rsidRPr="00EB2BD8">
        <w:rPr>
          <w:w w:val="105"/>
        </w:rPr>
        <w:t>mainly</w:t>
      </w:r>
      <w:r w:rsidRPr="00EB2BD8">
        <w:rPr>
          <w:spacing w:val="-10"/>
          <w:w w:val="105"/>
        </w:rPr>
        <w:t xml:space="preserve"> </w:t>
      </w:r>
      <w:r w:rsidRPr="00EB2BD8">
        <w:rPr>
          <w:w w:val="105"/>
        </w:rPr>
        <w:t>due</w:t>
      </w:r>
      <w:r w:rsidRPr="00EB2BD8">
        <w:rPr>
          <w:spacing w:val="-11"/>
          <w:w w:val="105"/>
        </w:rPr>
        <w:t xml:space="preserve"> </w:t>
      </w:r>
      <w:r w:rsidRPr="00EB2BD8">
        <w:rPr>
          <w:w w:val="105"/>
        </w:rPr>
        <w:t>to</w:t>
      </w:r>
      <w:r w:rsidRPr="00EB2BD8">
        <w:rPr>
          <w:spacing w:val="-10"/>
          <w:w w:val="105"/>
        </w:rPr>
        <w:t xml:space="preserve"> </w:t>
      </w:r>
      <w:r w:rsidRPr="00EB2BD8">
        <w:rPr>
          <w:w w:val="105"/>
        </w:rPr>
        <w:t>the</w:t>
      </w:r>
      <w:r w:rsidRPr="00EB2BD8">
        <w:rPr>
          <w:spacing w:val="-11"/>
          <w:w w:val="105"/>
        </w:rPr>
        <w:t xml:space="preserve"> </w:t>
      </w:r>
      <w:r w:rsidRPr="00EB2BD8">
        <w:rPr>
          <w:w w:val="105"/>
        </w:rPr>
        <w:t>typical</w:t>
      </w:r>
      <w:r w:rsidRPr="00EB2BD8">
        <w:rPr>
          <w:spacing w:val="-10"/>
          <w:w w:val="105"/>
        </w:rPr>
        <w:t xml:space="preserve"> </w:t>
      </w:r>
      <w:r w:rsidRPr="00EB2BD8">
        <w:rPr>
          <w:w w:val="105"/>
        </w:rPr>
        <w:t xml:space="preserve">make-to- </w:t>
      </w:r>
      <w:r w:rsidRPr="00EB2BD8">
        <w:t>order</w:t>
      </w:r>
      <w:r w:rsidRPr="00EB2BD8">
        <w:rPr>
          <w:spacing w:val="-11"/>
        </w:rPr>
        <w:t xml:space="preserve"> </w:t>
      </w:r>
      <w:r w:rsidRPr="00EB2BD8">
        <w:t>nature</w:t>
      </w:r>
      <w:r w:rsidRPr="00EB2BD8">
        <w:rPr>
          <w:spacing w:val="-11"/>
        </w:rPr>
        <w:t xml:space="preserve"> </w:t>
      </w:r>
      <w:r w:rsidRPr="00EB2BD8">
        <w:t>of</w:t>
      </w:r>
      <w:r w:rsidRPr="00EB2BD8">
        <w:rPr>
          <w:spacing w:val="-11"/>
        </w:rPr>
        <w:t xml:space="preserve"> </w:t>
      </w:r>
      <w:r w:rsidRPr="00EB2BD8">
        <w:t>the</w:t>
      </w:r>
      <w:r w:rsidRPr="00EB2BD8">
        <w:rPr>
          <w:spacing w:val="-11"/>
        </w:rPr>
        <w:t xml:space="preserve"> </w:t>
      </w:r>
      <w:r w:rsidRPr="00EB2BD8">
        <w:t>construction</w:t>
      </w:r>
      <w:r w:rsidRPr="00EB2BD8">
        <w:rPr>
          <w:spacing w:val="-11"/>
        </w:rPr>
        <w:t xml:space="preserve"> </w:t>
      </w:r>
      <w:r w:rsidRPr="00EB2BD8">
        <w:t>supply</w:t>
      </w:r>
      <w:r w:rsidRPr="00EB2BD8">
        <w:rPr>
          <w:spacing w:val="-11"/>
        </w:rPr>
        <w:t xml:space="preserve"> </w:t>
      </w:r>
      <w:r w:rsidRPr="00EB2BD8">
        <w:t>chain,</w:t>
      </w:r>
      <w:r w:rsidRPr="00EB2BD8">
        <w:rPr>
          <w:spacing w:val="-11"/>
        </w:rPr>
        <w:t xml:space="preserve"> </w:t>
      </w:r>
      <w:r w:rsidRPr="00EB2BD8">
        <w:t>which</w:t>
      </w:r>
      <w:r w:rsidRPr="00EB2BD8">
        <w:rPr>
          <w:spacing w:val="-11"/>
        </w:rPr>
        <w:t xml:space="preserve"> </w:t>
      </w:r>
      <w:r w:rsidRPr="00EB2BD8">
        <w:t xml:space="preserve">is often unstable, highly fragmented and geographically dispersed. The </w:t>
      </w:r>
      <w:hyperlink r:id="rId144">
        <w:r w:rsidRPr="00EB2BD8">
          <w:t>Building Confidence Report</w:t>
        </w:r>
      </w:hyperlink>
      <w:r w:rsidRPr="00EB2BD8">
        <w:t xml:space="preserve"> (2018) </w:t>
      </w:r>
      <w:r w:rsidRPr="00EB2BD8">
        <w:rPr>
          <w:w w:val="105"/>
        </w:rPr>
        <w:t>identified</w:t>
      </w:r>
      <w:r w:rsidRPr="00EB2BD8">
        <w:rPr>
          <w:spacing w:val="-8"/>
          <w:w w:val="105"/>
        </w:rPr>
        <w:t xml:space="preserve"> </w:t>
      </w:r>
      <w:r w:rsidRPr="00EB2BD8">
        <w:rPr>
          <w:w w:val="105"/>
        </w:rPr>
        <w:t>the</w:t>
      </w:r>
      <w:r w:rsidRPr="00EB2BD8">
        <w:rPr>
          <w:spacing w:val="-8"/>
          <w:w w:val="105"/>
        </w:rPr>
        <w:t xml:space="preserve"> </w:t>
      </w:r>
      <w:r w:rsidRPr="00EB2BD8">
        <w:rPr>
          <w:w w:val="105"/>
        </w:rPr>
        <w:t>need</w:t>
      </w:r>
      <w:r w:rsidRPr="00EB2BD8">
        <w:rPr>
          <w:spacing w:val="-8"/>
          <w:w w:val="105"/>
        </w:rPr>
        <w:t xml:space="preserve"> </w:t>
      </w:r>
      <w:r w:rsidRPr="00EB2BD8">
        <w:rPr>
          <w:w w:val="105"/>
        </w:rPr>
        <w:t>for</w:t>
      </w:r>
      <w:r w:rsidRPr="00EB2BD8">
        <w:rPr>
          <w:spacing w:val="-8"/>
          <w:w w:val="105"/>
        </w:rPr>
        <w:t xml:space="preserve"> </w:t>
      </w:r>
      <w:r w:rsidRPr="00EB2BD8">
        <w:rPr>
          <w:w w:val="105"/>
        </w:rPr>
        <w:t>secured</w:t>
      </w:r>
      <w:r w:rsidRPr="00EB2BD8">
        <w:rPr>
          <w:spacing w:val="-8"/>
          <w:w w:val="105"/>
        </w:rPr>
        <w:t xml:space="preserve"> </w:t>
      </w:r>
      <w:r w:rsidRPr="00EB2BD8">
        <w:rPr>
          <w:w w:val="105"/>
        </w:rPr>
        <w:t>data</w:t>
      </w:r>
      <w:r w:rsidRPr="00EB2BD8">
        <w:rPr>
          <w:spacing w:val="-8"/>
          <w:w w:val="105"/>
        </w:rPr>
        <w:t xml:space="preserve"> </w:t>
      </w:r>
      <w:r w:rsidRPr="00EB2BD8">
        <w:rPr>
          <w:w w:val="105"/>
        </w:rPr>
        <w:t>that</w:t>
      </w:r>
      <w:r w:rsidRPr="00EB2BD8">
        <w:rPr>
          <w:spacing w:val="-8"/>
          <w:w w:val="105"/>
        </w:rPr>
        <w:t xml:space="preserve"> </w:t>
      </w:r>
      <w:r w:rsidRPr="00EB2BD8">
        <w:rPr>
          <w:w w:val="105"/>
        </w:rPr>
        <w:t>identifies</w:t>
      </w:r>
    </w:p>
    <w:p w14:paraId="3C9748D9" w14:textId="77777777" w:rsidR="00084F36" w:rsidRPr="00EB2BD8" w:rsidRDefault="00EB2BD8">
      <w:pPr>
        <w:pStyle w:val="BodyText"/>
        <w:spacing w:line="261" w:lineRule="auto"/>
        <w:ind w:left="850"/>
      </w:pPr>
      <w:r w:rsidRPr="00EB2BD8">
        <w:t>the</w:t>
      </w:r>
      <w:r w:rsidRPr="00EB2BD8">
        <w:rPr>
          <w:spacing w:val="-15"/>
        </w:rPr>
        <w:t xml:space="preserve"> </w:t>
      </w:r>
      <w:r w:rsidRPr="00EB2BD8">
        <w:t>origin</w:t>
      </w:r>
      <w:r w:rsidRPr="00EB2BD8">
        <w:rPr>
          <w:spacing w:val="-14"/>
        </w:rPr>
        <w:t xml:space="preserve"> </w:t>
      </w:r>
      <w:r w:rsidRPr="00EB2BD8">
        <w:t>of</w:t>
      </w:r>
      <w:r w:rsidRPr="00EB2BD8">
        <w:rPr>
          <w:spacing w:val="-14"/>
        </w:rPr>
        <w:t xml:space="preserve"> </w:t>
      </w:r>
      <w:r w:rsidRPr="00EB2BD8">
        <w:t>materials,</w:t>
      </w:r>
      <w:r w:rsidRPr="00EB2BD8">
        <w:rPr>
          <w:spacing w:val="-14"/>
        </w:rPr>
        <w:t xml:space="preserve"> </w:t>
      </w:r>
      <w:r w:rsidRPr="00EB2BD8">
        <w:t>products,</w:t>
      </w:r>
      <w:r w:rsidRPr="00EB2BD8">
        <w:rPr>
          <w:spacing w:val="-15"/>
        </w:rPr>
        <w:t xml:space="preserve"> </w:t>
      </w:r>
      <w:r w:rsidRPr="00EB2BD8">
        <w:t>and</w:t>
      </w:r>
      <w:r w:rsidRPr="00EB2BD8">
        <w:rPr>
          <w:spacing w:val="-14"/>
        </w:rPr>
        <w:t xml:space="preserve"> </w:t>
      </w:r>
      <w:r w:rsidRPr="00EB2BD8">
        <w:t>assemblies.</w:t>
      </w:r>
      <w:r w:rsidRPr="00EB2BD8">
        <w:rPr>
          <w:spacing w:val="-14"/>
        </w:rPr>
        <w:t xml:space="preserve"> </w:t>
      </w:r>
      <w:r w:rsidRPr="00EB2BD8">
        <w:t>The ability to track and trace construction materials is becoming increasingly important as it contributes</w:t>
      </w:r>
    </w:p>
    <w:p w14:paraId="12D28999" w14:textId="77777777" w:rsidR="00084F36" w:rsidRPr="00EB2BD8" w:rsidRDefault="00EB2BD8">
      <w:pPr>
        <w:pStyle w:val="BodyText"/>
        <w:spacing w:line="261" w:lineRule="auto"/>
        <w:ind w:left="850" w:right="176"/>
      </w:pPr>
      <w:r w:rsidRPr="00EB2BD8">
        <w:t>to and is associated with project efficiency, safety and</w:t>
      </w:r>
      <w:r w:rsidRPr="00EB2BD8">
        <w:rPr>
          <w:spacing w:val="-15"/>
        </w:rPr>
        <w:t xml:space="preserve"> </w:t>
      </w:r>
      <w:r w:rsidRPr="00EB2BD8">
        <w:t>building</w:t>
      </w:r>
      <w:r w:rsidRPr="00EB2BD8">
        <w:rPr>
          <w:spacing w:val="-14"/>
        </w:rPr>
        <w:t xml:space="preserve"> </w:t>
      </w:r>
      <w:r w:rsidRPr="00EB2BD8">
        <w:t>compliance,</w:t>
      </w:r>
      <w:r w:rsidRPr="00EB2BD8">
        <w:rPr>
          <w:spacing w:val="-14"/>
        </w:rPr>
        <w:t xml:space="preserve"> </w:t>
      </w:r>
      <w:r w:rsidRPr="00EB2BD8">
        <w:t>project</w:t>
      </w:r>
      <w:r w:rsidRPr="00EB2BD8">
        <w:rPr>
          <w:spacing w:val="-14"/>
        </w:rPr>
        <w:t xml:space="preserve"> </w:t>
      </w:r>
      <w:r w:rsidRPr="00EB2BD8">
        <w:t>efficiency,</w:t>
      </w:r>
      <w:r w:rsidRPr="00EB2BD8">
        <w:rPr>
          <w:spacing w:val="-15"/>
        </w:rPr>
        <w:t xml:space="preserve"> </w:t>
      </w:r>
      <w:r w:rsidRPr="00EB2BD8">
        <w:t>safety, sustainability and performance.</w:t>
      </w:r>
    </w:p>
    <w:p w14:paraId="31F5611D" w14:textId="152C49D9" w:rsidR="00084F36" w:rsidRPr="00EB2BD8" w:rsidRDefault="00EB2BD8">
      <w:pPr>
        <w:pStyle w:val="BodyText"/>
        <w:spacing w:before="100" w:line="261" w:lineRule="auto"/>
        <w:ind w:left="850"/>
      </w:pPr>
      <w:r w:rsidRPr="00EB2BD8">
        <w:t>This research, led by The University of Melbourne’s Dr Wen Li, investigated the construction supply chain and assessed tracking technologies (e.g., sensors, visual tracking, information systems, data collection) for building-industry appropriateness. This was aimed at providing recommendations for the implementation of automated and secure material and assembly tracking to improve project performance and establish ongoing material provenance and regulatory compliance.</w:t>
      </w:r>
    </w:p>
    <w:p w14:paraId="2D9B67A8" w14:textId="77777777" w:rsidR="00084F36" w:rsidRPr="00EB2BD8" w:rsidRDefault="00EB2BD8">
      <w:pPr>
        <w:pStyle w:val="BodyText"/>
        <w:spacing w:before="104"/>
        <w:ind w:left="850"/>
      </w:pPr>
      <w:r w:rsidRPr="00EB2BD8">
        <w:t>This</w:t>
      </w:r>
      <w:r w:rsidRPr="00EB2BD8">
        <w:rPr>
          <w:spacing w:val="-2"/>
        </w:rPr>
        <w:t xml:space="preserve"> </w:t>
      </w:r>
      <w:hyperlink r:id="rId145">
        <w:r w:rsidRPr="00EB2BD8">
          <w:t>research</w:t>
        </w:r>
        <w:r w:rsidRPr="00EB2BD8">
          <w:rPr>
            <w:spacing w:val="-2"/>
          </w:rPr>
          <w:t xml:space="preserve"> </w:t>
        </w:r>
        <w:r w:rsidRPr="00EB2BD8">
          <w:t>project</w:t>
        </w:r>
      </w:hyperlink>
      <w:r w:rsidRPr="00EB2BD8">
        <w:rPr>
          <w:spacing w:val="-2"/>
        </w:rPr>
        <w:t xml:space="preserve"> </w:t>
      </w:r>
      <w:r w:rsidRPr="00EB2BD8">
        <w:t>was</w:t>
      </w:r>
      <w:r w:rsidRPr="00EB2BD8">
        <w:rPr>
          <w:spacing w:val="-2"/>
        </w:rPr>
        <w:t xml:space="preserve"> </w:t>
      </w:r>
      <w:r w:rsidRPr="00EB2BD8">
        <w:t>completed</w:t>
      </w:r>
      <w:r w:rsidRPr="00EB2BD8">
        <w:rPr>
          <w:spacing w:val="-2"/>
        </w:rPr>
        <w:t xml:space="preserve"> </w:t>
      </w:r>
      <w:r w:rsidRPr="00EB2BD8">
        <w:t>in</w:t>
      </w:r>
      <w:r w:rsidRPr="00EB2BD8">
        <w:rPr>
          <w:spacing w:val="-2"/>
        </w:rPr>
        <w:t xml:space="preserve"> </w:t>
      </w:r>
      <w:r w:rsidRPr="00EB2BD8">
        <w:t>October</w:t>
      </w:r>
      <w:r w:rsidRPr="00EB2BD8">
        <w:rPr>
          <w:spacing w:val="-2"/>
        </w:rPr>
        <w:t xml:space="preserve"> </w:t>
      </w:r>
      <w:r w:rsidRPr="00EB2BD8">
        <w:rPr>
          <w:spacing w:val="-4"/>
        </w:rPr>
        <w:t>2022.</w:t>
      </w:r>
    </w:p>
    <w:p w14:paraId="3DE474DE" w14:textId="77777777" w:rsidR="00084F36" w:rsidRPr="00EB2BD8" w:rsidRDefault="00EB2BD8">
      <w:pPr>
        <w:rPr>
          <w:sz w:val="24"/>
        </w:rPr>
      </w:pPr>
      <w:r w:rsidRPr="00EB2BD8">
        <w:br w:type="column"/>
      </w:r>
    </w:p>
    <w:p w14:paraId="00644484" w14:textId="77777777" w:rsidR="00084F36" w:rsidRPr="00EB2BD8" w:rsidRDefault="00084F36">
      <w:pPr>
        <w:pStyle w:val="BodyText"/>
        <w:rPr>
          <w:sz w:val="24"/>
        </w:rPr>
      </w:pPr>
    </w:p>
    <w:p w14:paraId="21A52398" w14:textId="77777777" w:rsidR="00084F36" w:rsidRPr="00EB2BD8" w:rsidRDefault="00084F36">
      <w:pPr>
        <w:pStyle w:val="BodyText"/>
        <w:rPr>
          <w:sz w:val="24"/>
        </w:rPr>
      </w:pPr>
    </w:p>
    <w:p w14:paraId="57533511" w14:textId="77777777" w:rsidR="00084F36" w:rsidRPr="00EB2BD8" w:rsidRDefault="00084F36">
      <w:pPr>
        <w:pStyle w:val="BodyText"/>
        <w:spacing w:before="11"/>
        <w:rPr>
          <w:sz w:val="32"/>
        </w:rPr>
      </w:pPr>
    </w:p>
    <w:p w14:paraId="2E27B3E7" w14:textId="4F3A2FBA" w:rsidR="00084F36" w:rsidRPr="00EB2BD8" w:rsidRDefault="00E13356" w:rsidP="00E13356">
      <w:pPr>
        <w:pStyle w:val="Heading4"/>
        <w:ind w:left="0"/>
      </w:pPr>
      <w:r>
        <w:t xml:space="preserve">        </w:t>
      </w:r>
      <w:r w:rsidR="00EB2BD8" w:rsidRPr="00EB2BD8">
        <w:t>What</w:t>
      </w:r>
      <w:r w:rsidR="00EB2BD8" w:rsidRPr="00EB2BD8">
        <w:rPr>
          <w:spacing w:val="-18"/>
        </w:rPr>
        <w:t xml:space="preserve"> </w:t>
      </w:r>
      <w:r w:rsidR="00EB2BD8" w:rsidRPr="00EB2BD8">
        <w:t>difference</w:t>
      </w:r>
      <w:r w:rsidR="00EB2BD8" w:rsidRPr="00EB2BD8">
        <w:rPr>
          <w:spacing w:val="-17"/>
        </w:rPr>
        <w:t xml:space="preserve"> </w:t>
      </w:r>
      <w:r w:rsidR="00EB2BD8" w:rsidRPr="00EB2BD8">
        <w:t>this</w:t>
      </w:r>
      <w:r w:rsidR="00EB2BD8" w:rsidRPr="00EB2BD8">
        <w:rPr>
          <w:spacing w:val="-17"/>
        </w:rPr>
        <w:t xml:space="preserve"> </w:t>
      </w:r>
      <w:r w:rsidR="00EB2BD8" w:rsidRPr="00EB2BD8">
        <w:t>made</w:t>
      </w:r>
    </w:p>
    <w:p w14:paraId="442D7FE2" w14:textId="77777777" w:rsidR="00084F36" w:rsidRPr="00EB2BD8" w:rsidRDefault="00EB2BD8">
      <w:pPr>
        <w:pStyle w:val="BodyText"/>
        <w:spacing w:before="125" w:line="261" w:lineRule="auto"/>
        <w:ind w:left="461" w:right="866"/>
      </w:pPr>
      <w:r w:rsidRPr="00EB2BD8">
        <w:t>The</w:t>
      </w:r>
      <w:r w:rsidRPr="00EB2BD8">
        <w:rPr>
          <w:spacing w:val="-9"/>
        </w:rPr>
        <w:t xml:space="preserve"> </w:t>
      </w:r>
      <w:r w:rsidRPr="00EB2BD8">
        <w:t>project</w:t>
      </w:r>
      <w:r w:rsidRPr="00EB2BD8">
        <w:rPr>
          <w:spacing w:val="-9"/>
        </w:rPr>
        <w:t xml:space="preserve"> </w:t>
      </w:r>
      <w:r w:rsidRPr="00EB2BD8">
        <w:t>delivered</w:t>
      </w:r>
      <w:r w:rsidRPr="00EB2BD8">
        <w:rPr>
          <w:spacing w:val="-9"/>
        </w:rPr>
        <w:t xml:space="preserve"> </w:t>
      </w:r>
      <w:r w:rsidRPr="00EB2BD8">
        <w:t>a</w:t>
      </w:r>
      <w:r w:rsidRPr="00EB2BD8">
        <w:rPr>
          <w:spacing w:val="-9"/>
        </w:rPr>
        <w:t xml:space="preserve"> </w:t>
      </w:r>
      <w:r w:rsidRPr="00EB2BD8">
        <w:t>review</w:t>
      </w:r>
      <w:r w:rsidRPr="00EB2BD8">
        <w:rPr>
          <w:spacing w:val="-9"/>
        </w:rPr>
        <w:t xml:space="preserve"> </w:t>
      </w:r>
      <w:r w:rsidRPr="00EB2BD8">
        <w:t>of</w:t>
      </w:r>
      <w:r w:rsidRPr="00EB2BD8">
        <w:rPr>
          <w:spacing w:val="-9"/>
        </w:rPr>
        <w:t xml:space="preserve"> </w:t>
      </w:r>
      <w:r w:rsidRPr="00EB2BD8">
        <w:t>industry</w:t>
      </w:r>
      <w:r w:rsidRPr="00EB2BD8">
        <w:rPr>
          <w:spacing w:val="-9"/>
        </w:rPr>
        <w:t xml:space="preserve"> </w:t>
      </w:r>
      <w:r w:rsidRPr="00EB2BD8">
        <w:t>technologies and case studies for material provenance and</w:t>
      </w:r>
    </w:p>
    <w:p w14:paraId="208FC836" w14:textId="77777777" w:rsidR="00084F36" w:rsidRPr="00EB2BD8" w:rsidRDefault="00EB2BD8">
      <w:pPr>
        <w:pStyle w:val="BodyText"/>
        <w:spacing w:line="261" w:lineRule="auto"/>
        <w:ind w:left="461" w:right="866"/>
      </w:pPr>
      <w:r w:rsidRPr="00EB2BD8">
        <w:t>supply chain efficiency, and a scalable roadmap for implementation of sensor tracking including data integration</w:t>
      </w:r>
      <w:r w:rsidRPr="00EB2BD8">
        <w:rPr>
          <w:spacing w:val="-10"/>
        </w:rPr>
        <w:t xml:space="preserve"> </w:t>
      </w:r>
      <w:r w:rsidRPr="00EB2BD8">
        <w:t>with</w:t>
      </w:r>
      <w:r w:rsidRPr="00EB2BD8">
        <w:rPr>
          <w:spacing w:val="-10"/>
        </w:rPr>
        <w:t xml:space="preserve"> </w:t>
      </w:r>
      <w:r w:rsidRPr="00EB2BD8">
        <w:t>digital</w:t>
      </w:r>
      <w:r w:rsidRPr="00EB2BD8">
        <w:rPr>
          <w:spacing w:val="-10"/>
        </w:rPr>
        <w:t xml:space="preserve"> </w:t>
      </w:r>
      <w:r w:rsidRPr="00EB2BD8">
        <w:t>twin</w:t>
      </w:r>
      <w:r w:rsidRPr="00EB2BD8">
        <w:rPr>
          <w:spacing w:val="-10"/>
        </w:rPr>
        <w:t xml:space="preserve"> </w:t>
      </w:r>
      <w:r w:rsidRPr="00EB2BD8">
        <w:t>to</w:t>
      </w:r>
      <w:r w:rsidRPr="00EB2BD8">
        <w:rPr>
          <w:spacing w:val="-10"/>
        </w:rPr>
        <w:t xml:space="preserve"> </w:t>
      </w:r>
      <w:r w:rsidRPr="00EB2BD8">
        <w:t>achieve</w:t>
      </w:r>
      <w:r w:rsidRPr="00EB2BD8">
        <w:rPr>
          <w:spacing w:val="-10"/>
        </w:rPr>
        <w:t xml:space="preserve"> </w:t>
      </w:r>
      <w:r w:rsidRPr="00EB2BD8">
        <w:t>improved</w:t>
      </w:r>
      <w:r w:rsidRPr="00EB2BD8">
        <w:rPr>
          <w:spacing w:val="-10"/>
        </w:rPr>
        <w:t xml:space="preserve"> </w:t>
      </w:r>
      <w:r w:rsidRPr="00EB2BD8">
        <w:t>quality assurance and regulatory compliance.</w:t>
      </w:r>
    </w:p>
    <w:p w14:paraId="4700818E" w14:textId="77777777" w:rsidR="00084F36" w:rsidRPr="00EB2BD8" w:rsidRDefault="00EB2BD8">
      <w:pPr>
        <w:pStyle w:val="BodyText"/>
        <w:spacing w:before="107" w:line="261" w:lineRule="auto"/>
        <w:ind w:left="461" w:right="819"/>
      </w:pPr>
      <w:r w:rsidRPr="00EB2BD8">
        <w:t>The research identifies shortcomings in the current construction supply chain, and pain points and productivity inefficiencies that could be addressed through</w:t>
      </w:r>
      <w:r w:rsidRPr="00EB2BD8">
        <w:rPr>
          <w:spacing w:val="-4"/>
        </w:rPr>
        <w:t xml:space="preserve"> </w:t>
      </w:r>
      <w:r w:rsidRPr="00EB2BD8">
        <w:t>automated</w:t>
      </w:r>
      <w:r w:rsidRPr="00EB2BD8">
        <w:rPr>
          <w:spacing w:val="-4"/>
        </w:rPr>
        <w:t xml:space="preserve"> </w:t>
      </w:r>
      <w:r w:rsidRPr="00EB2BD8">
        <w:t>materials</w:t>
      </w:r>
      <w:r w:rsidRPr="00EB2BD8">
        <w:rPr>
          <w:spacing w:val="-4"/>
        </w:rPr>
        <w:t xml:space="preserve"> </w:t>
      </w:r>
      <w:r w:rsidRPr="00EB2BD8">
        <w:t>tracking.</w:t>
      </w:r>
      <w:r w:rsidRPr="00EB2BD8">
        <w:rPr>
          <w:spacing w:val="-4"/>
        </w:rPr>
        <w:t xml:space="preserve"> </w:t>
      </w:r>
      <w:r w:rsidRPr="00EB2BD8">
        <w:t>Product</w:t>
      </w:r>
      <w:r w:rsidRPr="00EB2BD8">
        <w:rPr>
          <w:spacing w:val="-4"/>
        </w:rPr>
        <w:t xml:space="preserve"> </w:t>
      </w:r>
      <w:r w:rsidRPr="00EB2BD8">
        <w:t xml:space="preserve">safety, more accessible product information, and improved compliance, sustainability and quality are other advantages of digitalisation of construction materials </w:t>
      </w:r>
      <w:r w:rsidRPr="00EB2BD8">
        <w:rPr>
          <w:spacing w:val="-2"/>
        </w:rPr>
        <w:t>traceability.</w:t>
      </w:r>
    </w:p>
    <w:p w14:paraId="7976F86D" w14:textId="77777777" w:rsidR="00084F36" w:rsidRPr="00EB2BD8" w:rsidRDefault="00EB2BD8">
      <w:pPr>
        <w:pStyle w:val="BodyText"/>
        <w:spacing w:before="105" w:line="261" w:lineRule="auto"/>
        <w:ind w:left="461" w:right="1360"/>
      </w:pPr>
      <w:r w:rsidRPr="00EB2BD8">
        <w:rPr>
          <w:w w:val="105"/>
        </w:rPr>
        <w:t>While</w:t>
      </w:r>
      <w:r w:rsidRPr="00EB2BD8">
        <w:rPr>
          <w:spacing w:val="-4"/>
          <w:w w:val="105"/>
        </w:rPr>
        <w:t xml:space="preserve"> </w:t>
      </w:r>
      <w:r w:rsidRPr="00EB2BD8">
        <w:rPr>
          <w:w w:val="105"/>
        </w:rPr>
        <w:t>currently</w:t>
      </w:r>
      <w:r w:rsidRPr="00EB2BD8">
        <w:rPr>
          <w:spacing w:val="-4"/>
          <w:w w:val="105"/>
        </w:rPr>
        <w:t xml:space="preserve"> </w:t>
      </w:r>
      <w:r w:rsidRPr="00EB2BD8">
        <w:rPr>
          <w:w w:val="105"/>
        </w:rPr>
        <w:t>available</w:t>
      </w:r>
      <w:r w:rsidRPr="00EB2BD8">
        <w:rPr>
          <w:spacing w:val="-4"/>
          <w:w w:val="105"/>
        </w:rPr>
        <w:t xml:space="preserve"> </w:t>
      </w:r>
      <w:r w:rsidRPr="00EB2BD8">
        <w:rPr>
          <w:w w:val="105"/>
        </w:rPr>
        <w:t>sensor</w:t>
      </w:r>
      <w:r w:rsidRPr="00EB2BD8">
        <w:rPr>
          <w:spacing w:val="-4"/>
          <w:w w:val="105"/>
        </w:rPr>
        <w:t xml:space="preserve"> </w:t>
      </w:r>
      <w:r w:rsidRPr="00EB2BD8">
        <w:rPr>
          <w:w w:val="105"/>
        </w:rPr>
        <w:t xml:space="preserve">technologies </w:t>
      </w:r>
      <w:r w:rsidRPr="00EB2BD8">
        <w:rPr>
          <w:spacing w:val="-2"/>
          <w:w w:val="105"/>
        </w:rPr>
        <w:t>are</w:t>
      </w:r>
      <w:r w:rsidRPr="00EB2BD8">
        <w:rPr>
          <w:spacing w:val="-8"/>
          <w:w w:val="105"/>
        </w:rPr>
        <w:t xml:space="preserve"> </w:t>
      </w:r>
      <w:r w:rsidRPr="00EB2BD8">
        <w:rPr>
          <w:spacing w:val="-2"/>
          <w:w w:val="105"/>
        </w:rPr>
        <w:t>relatively</w:t>
      </w:r>
      <w:r w:rsidRPr="00EB2BD8">
        <w:rPr>
          <w:spacing w:val="-8"/>
          <w:w w:val="105"/>
        </w:rPr>
        <w:t xml:space="preserve"> </w:t>
      </w:r>
      <w:r w:rsidRPr="00EB2BD8">
        <w:rPr>
          <w:spacing w:val="-2"/>
          <w:w w:val="105"/>
        </w:rPr>
        <w:t>advanced</w:t>
      </w:r>
      <w:r w:rsidRPr="00EB2BD8">
        <w:rPr>
          <w:spacing w:val="-8"/>
          <w:w w:val="105"/>
        </w:rPr>
        <w:t xml:space="preserve"> </w:t>
      </w:r>
      <w:r w:rsidRPr="00EB2BD8">
        <w:rPr>
          <w:spacing w:val="-2"/>
          <w:w w:val="105"/>
        </w:rPr>
        <w:t>and</w:t>
      </w:r>
      <w:r w:rsidRPr="00EB2BD8">
        <w:rPr>
          <w:spacing w:val="-8"/>
          <w:w w:val="105"/>
        </w:rPr>
        <w:t xml:space="preserve"> </w:t>
      </w:r>
      <w:r w:rsidRPr="00EB2BD8">
        <w:rPr>
          <w:spacing w:val="-2"/>
          <w:w w:val="105"/>
        </w:rPr>
        <w:t>there</w:t>
      </w:r>
      <w:r w:rsidRPr="00EB2BD8">
        <w:rPr>
          <w:spacing w:val="-8"/>
          <w:w w:val="105"/>
        </w:rPr>
        <w:t xml:space="preserve"> </w:t>
      </w:r>
      <w:r w:rsidRPr="00EB2BD8">
        <w:rPr>
          <w:spacing w:val="-2"/>
          <w:w w:val="105"/>
        </w:rPr>
        <w:t>are</w:t>
      </w:r>
      <w:r w:rsidRPr="00EB2BD8">
        <w:rPr>
          <w:spacing w:val="-8"/>
          <w:w w:val="105"/>
        </w:rPr>
        <w:t xml:space="preserve"> </w:t>
      </w:r>
      <w:r w:rsidRPr="00EB2BD8">
        <w:rPr>
          <w:spacing w:val="-2"/>
          <w:w w:val="105"/>
        </w:rPr>
        <w:t>mandated</w:t>
      </w:r>
    </w:p>
    <w:p w14:paraId="6425779D" w14:textId="77777777" w:rsidR="00084F36" w:rsidRPr="00EB2BD8" w:rsidRDefault="00EB2BD8">
      <w:pPr>
        <w:pStyle w:val="BodyText"/>
        <w:spacing w:line="261" w:lineRule="auto"/>
        <w:ind w:left="461" w:right="819"/>
      </w:pPr>
      <w:r w:rsidRPr="00EB2BD8">
        <w:t>international standards to support traceability, the complexities in the construction industry, including complex</w:t>
      </w:r>
      <w:r w:rsidRPr="00EB2BD8">
        <w:rPr>
          <w:spacing w:val="-8"/>
        </w:rPr>
        <w:t xml:space="preserve"> </w:t>
      </w:r>
      <w:r w:rsidRPr="00EB2BD8">
        <w:t>interactions</w:t>
      </w:r>
      <w:r w:rsidRPr="00EB2BD8">
        <w:rPr>
          <w:spacing w:val="-8"/>
        </w:rPr>
        <w:t xml:space="preserve"> </w:t>
      </w:r>
      <w:r w:rsidRPr="00EB2BD8">
        <w:t>between</w:t>
      </w:r>
      <w:r w:rsidRPr="00EB2BD8">
        <w:rPr>
          <w:spacing w:val="-8"/>
        </w:rPr>
        <w:t xml:space="preserve"> </w:t>
      </w:r>
      <w:r w:rsidRPr="00EB2BD8">
        <w:t>materials,</w:t>
      </w:r>
      <w:r w:rsidRPr="00EB2BD8">
        <w:rPr>
          <w:spacing w:val="-8"/>
        </w:rPr>
        <w:t xml:space="preserve"> </w:t>
      </w:r>
      <w:r w:rsidRPr="00EB2BD8">
        <w:t>construction equipment and workers pose unique challenges.</w:t>
      </w:r>
    </w:p>
    <w:p w14:paraId="0C6AB25B" w14:textId="77777777" w:rsidR="00084F36" w:rsidRPr="00EB2BD8" w:rsidRDefault="00EB2BD8">
      <w:pPr>
        <w:pStyle w:val="BodyText"/>
        <w:spacing w:before="107" w:line="261" w:lineRule="auto"/>
        <w:ind w:left="461" w:right="866"/>
      </w:pPr>
      <w:r w:rsidRPr="00EB2BD8">
        <w:t>A</w:t>
      </w:r>
      <w:r w:rsidRPr="00EB2BD8">
        <w:rPr>
          <w:spacing w:val="-4"/>
        </w:rPr>
        <w:t xml:space="preserve"> </w:t>
      </w:r>
      <w:r w:rsidRPr="00EB2BD8">
        <w:t>summary</w:t>
      </w:r>
      <w:r w:rsidRPr="00EB2BD8">
        <w:rPr>
          <w:spacing w:val="-4"/>
        </w:rPr>
        <w:t xml:space="preserve"> </w:t>
      </w:r>
      <w:r w:rsidRPr="00EB2BD8">
        <w:t>of</w:t>
      </w:r>
      <w:r w:rsidRPr="00EB2BD8">
        <w:rPr>
          <w:spacing w:val="-4"/>
        </w:rPr>
        <w:t xml:space="preserve"> </w:t>
      </w:r>
      <w:r w:rsidRPr="00EB2BD8">
        <w:t>the</w:t>
      </w:r>
      <w:r w:rsidRPr="00EB2BD8">
        <w:rPr>
          <w:spacing w:val="-4"/>
        </w:rPr>
        <w:t xml:space="preserve"> </w:t>
      </w:r>
      <w:r w:rsidRPr="00EB2BD8">
        <w:t>research</w:t>
      </w:r>
      <w:r w:rsidRPr="00EB2BD8">
        <w:rPr>
          <w:spacing w:val="-4"/>
        </w:rPr>
        <w:t xml:space="preserve"> </w:t>
      </w:r>
      <w:r w:rsidRPr="00EB2BD8">
        <w:t>report</w:t>
      </w:r>
      <w:r w:rsidRPr="00EB2BD8">
        <w:rPr>
          <w:spacing w:val="-4"/>
        </w:rPr>
        <w:t xml:space="preserve"> </w:t>
      </w:r>
      <w:r w:rsidRPr="00EB2BD8">
        <w:t>has</w:t>
      </w:r>
      <w:r w:rsidRPr="00EB2BD8">
        <w:rPr>
          <w:spacing w:val="-4"/>
        </w:rPr>
        <w:t xml:space="preserve"> </w:t>
      </w:r>
      <w:r w:rsidRPr="00EB2BD8">
        <w:t>been</w:t>
      </w:r>
      <w:r w:rsidRPr="00EB2BD8">
        <w:rPr>
          <w:spacing w:val="-4"/>
        </w:rPr>
        <w:t xml:space="preserve"> </w:t>
      </w:r>
      <w:r w:rsidRPr="00EB2BD8">
        <w:t>published by Building 4.0 CRC.</w:t>
      </w:r>
    </w:p>
    <w:p w14:paraId="74490B3F" w14:textId="77777777" w:rsidR="00084F36" w:rsidRPr="00EB2BD8" w:rsidRDefault="00084F36">
      <w:pPr>
        <w:spacing w:line="261" w:lineRule="auto"/>
        <w:sectPr w:rsidR="00084F36" w:rsidRPr="00EB2BD8" w:rsidSect="006D75B2">
          <w:type w:val="continuous"/>
          <w:pgSz w:w="11910" w:h="16840"/>
          <w:pgMar w:top="1920" w:right="0" w:bottom="280" w:left="0" w:header="0" w:footer="0" w:gutter="0"/>
          <w:cols w:num="2" w:space="720" w:equalWidth="0">
            <w:col w:w="5679" w:space="40"/>
            <w:col w:w="6191"/>
          </w:cols>
        </w:sectPr>
      </w:pPr>
    </w:p>
    <w:p w14:paraId="314166F3" w14:textId="77777777" w:rsidR="00084F36" w:rsidRPr="00EB2BD8" w:rsidRDefault="00084F36">
      <w:pPr>
        <w:pStyle w:val="BodyText"/>
        <w:rPr>
          <w:sz w:val="20"/>
        </w:rPr>
      </w:pPr>
    </w:p>
    <w:p w14:paraId="351743E2" w14:textId="77777777" w:rsidR="00084F36" w:rsidRPr="00EB2BD8" w:rsidRDefault="00084F36">
      <w:pPr>
        <w:pStyle w:val="BodyText"/>
        <w:rPr>
          <w:sz w:val="20"/>
        </w:rPr>
      </w:pPr>
    </w:p>
    <w:p w14:paraId="5893F324" w14:textId="77777777" w:rsidR="00084F36" w:rsidRPr="00EB2BD8" w:rsidRDefault="00084F36">
      <w:pPr>
        <w:pStyle w:val="BodyText"/>
        <w:rPr>
          <w:sz w:val="20"/>
        </w:rPr>
      </w:pPr>
    </w:p>
    <w:p w14:paraId="3EE39534" w14:textId="77777777" w:rsidR="00084F36" w:rsidRPr="00EB2BD8" w:rsidRDefault="00084F36">
      <w:pPr>
        <w:pStyle w:val="BodyText"/>
        <w:rPr>
          <w:sz w:val="20"/>
        </w:rPr>
      </w:pPr>
    </w:p>
    <w:p w14:paraId="3BDFBFA9" w14:textId="77777777" w:rsidR="00084F36" w:rsidRPr="00EB2BD8" w:rsidRDefault="00084F36">
      <w:pPr>
        <w:pStyle w:val="BodyText"/>
        <w:rPr>
          <w:sz w:val="20"/>
        </w:rPr>
      </w:pPr>
    </w:p>
    <w:p w14:paraId="11C89315" w14:textId="77777777" w:rsidR="00084F36" w:rsidRPr="00EB2BD8" w:rsidRDefault="00084F36">
      <w:pPr>
        <w:pStyle w:val="BodyText"/>
        <w:rPr>
          <w:sz w:val="20"/>
        </w:rPr>
      </w:pPr>
    </w:p>
    <w:p w14:paraId="56BF5A8E" w14:textId="77777777" w:rsidR="00084F36" w:rsidRPr="00EB2BD8" w:rsidRDefault="00084F36">
      <w:pPr>
        <w:pStyle w:val="BodyText"/>
        <w:rPr>
          <w:sz w:val="20"/>
        </w:rPr>
      </w:pPr>
    </w:p>
    <w:p w14:paraId="0601CFD5" w14:textId="77777777" w:rsidR="00084F36" w:rsidRPr="00EB2BD8" w:rsidRDefault="00084F36">
      <w:pPr>
        <w:pStyle w:val="BodyText"/>
        <w:rPr>
          <w:sz w:val="20"/>
        </w:rPr>
      </w:pPr>
    </w:p>
    <w:p w14:paraId="0E8ED47B" w14:textId="77777777" w:rsidR="00084F36" w:rsidRPr="00EB2BD8" w:rsidRDefault="00084F36">
      <w:pPr>
        <w:pStyle w:val="BodyText"/>
        <w:rPr>
          <w:sz w:val="20"/>
        </w:rPr>
      </w:pPr>
    </w:p>
    <w:p w14:paraId="187A2BB5" w14:textId="77777777" w:rsidR="00084F36" w:rsidRPr="00EB2BD8" w:rsidRDefault="00084F36">
      <w:pPr>
        <w:pStyle w:val="BodyText"/>
        <w:rPr>
          <w:sz w:val="20"/>
        </w:rPr>
      </w:pPr>
    </w:p>
    <w:p w14:paraId="21EB7B00" w14:textId="77777777" w:rsidR="00084F36" w:rsidRPr="00EB2BD8" w:rsidRDefault="00084F36">
      <w:pPr>
        <w:pStyle w:val="BodyText"/>
        <w:rPr>
          <w:sz w:val="20"/>
        </w:rPr>
      </w:pPr>
    </w:p>
    <w:p w14:paraId="61DA63F9" w14:textId="77777777" w:rsidR="00084F36" w:rsidRPr="00EB2BD8" w:rsidRDefault="00084F36">
      <w:pPr>
        <w:pStyle w:val="BodyText"/>
        <w:rPr>
          <w:sz w:val="20"/>
        </w:rPr>
      </w:pPr>
    </w:p>
    <w:p w14:paraId="123A3169" w14:textId="77777777" w:rsidR="00084F36" w:rsidRPr="00EB2BD8" w:rsidRDefault="00084F36">
      <w:pPr>
        <w:pStyle w:val="BodyText"/>
        <w:rPr>
          <w:sz w:val="20"/>
        </w:rPr>
      </w:pPr>
    </w:p>
    <w:p w14:paraId="5D86367A" w14:textId="77777777" w:rsidR="00084F36" w:rsidRPr="00EB2BD8" w:rsidRDefault="00084F36">
      <w:pPr>
        <w:pStyle w:val="BodyText"/>
        <w:rPr>
          <w:sz w:val="20"/>
        </w:rPr>
      </w:pPr>
    </w:p>
    <w:p w14:paraId="00E4BC0B" w14:textId="77777777" w:rsidR="00084F36" w:rsidRPr="00EB2BD8" w:rsidRDefault="00084F36">
      <w:pPr>
        <w:pStyle w:val="BodyText"/>
        <w:rPr>
          <w:sz w:val="20"/>
        </w:rPr>
      </w:pPr>
    </w:p>
    <w:p w14:paraId="620E9DAD" w14:textId="77777777" w:rsidR="00084F36" w:rsidRPr="00EB2BD8" w:rsidRDefault="00084F36">
      <w:pPr>
        <w:pStyle w:val="BodyText"/>
        <w:rPr>
          <w:sz w:val="20"/>
        </w:rPr>
      </w:pPr>
    </w:p>
    <w:p w14:paraId="65C3F214" w14:textId="77777777" w:rsidR="00084F36" w:rsidRPr="00EB2BD8" w:rsidRDefault="00084F36">
      <w:pPr>
        <w:pStyle w:val="BodyText"/>
        <w:rPr>
          <w:sz w:val="20"/>
        </w:rPr>
      </w:pPr>
    </w:p>
    <w:p w14:paraId="292AD4B7" w14:textId="77777777" w:rsidR="00084F36" w:rsidRPr="00EB2BD8" w:rsidRDefault="00084F36">
      <w:pPr>
        <w:pStyle w:val="BodyText"/>
        <w:rPr>
          <w:sz w:val="20"/>
        </w:rPr>
      </w:pPr>
    </w:p>
    <w:p w14:paraId="6B2F3616" w14:textId="77777777" w:rsidR="00084F36" w:rsidRPr="00EB2BD8" w:rsidRDefault="00084F36">
      <w:pPr>
        <w:pStyle w:val="BodyText"/>
        <w:rPr>
          <w:sz w:val="20"/>
        </w:rPr>
      </w:pPr>
    </w:p>
    <w:p w14:paraId="0D3AE062" w14:textId="77777777" w:rsidR="00084F36" w:rsidRPr="00EB2BD8" w:rsidRDefault="00084F36">
      <w:pPr>
        <w:pStyle w:val="BodyText"/>
        <w:rPr>
          <w:sz w:val="20"/>
        </w:rPr>
      </w:pPr>
    </w:p>
    <w:p w14:paraId="26BEC2C8" w14:textId="77777777" w:rsidR="00084F36" w:rsidRPr="00EB2BD8" w:rsidRDefault="00084F36">
      <w:pPr>
        <w:pStyle w:val="BodyText"/>
        <w:rPr>
          <w:sz w:val="20"/>
        </w:rPr>
      </w:pPr>
    </w:p>
    <w:p w14:paraId="7F432874" w14:textId="77777777" w:rsidR="00084F36" w:rsidRPr="00EB2BD8" w:rsidRDefault="00084F36">
      <w:pPr>
        <w:pStyle w:val="BodyText"/>
        <w:rPr>
          <w:sz w:val="20"/>
        </w:rPr>
      </w:pPr>
    </w:p>
    <w:p w14:paraId="4E73D404" w14:textId="77777777" w:rsidR="00084F36" w:rsidRPr="00EB2BD8" w:rsidRDefault="00084F36">
      <w:pPr>
        <w:pStyle w:val="BodyText"/>
        <w:rPr>
          <w:sz w:val="20"/>
        </w:rPr>
      </w:pPr>
    </w:p>
    <w:p w14:paraId="4C996A41" w14:textId="77777777" w:rsidR="00084F36" w:rsidRPr="00EB2BD8" w:rsidRDefault="00084F36">
      <w:pPr>
        <w:pStyle w:val="BodyText"/>
        <w:rPr>
          <w:sz w:val="20"/>
        </w:rPr>
      </w:pPr>
    </w:p>
    <w:p w14:paraId="348E206C" w14:textId="77777777" w:rsidR="00084F36" w:rsidRPr="00EB2BD8" w:rsidRDefault="00084F36">
      <w:pPr>
        <w:pStyle w:val="BodyText"/>
        <w:rPr>
          <w:sz w:val="20"/>
        </w:rPr>
      </w:pPr>
    </w:p>
    <w:p w14:paraId="4B7E9CC9" w14:textId="77777777" w:rsidR="00084F36" w:rsidRPr="00EB2BD8" w:rsidRDefault="00084F36">
      <w:pPr>
        <w:pStyle w:val="BodyText"/>
        <w:rPr>
          <w:sz w:val="20"/>
        </w:rPr>
      </w:pPr>
    </w:p>
    <w:p w14:paraId="5351A4C8" w14:textId="77777777" w:rsidR="00084F36" w:rsidRPr="00EB2BD8" w:rsidRDefault="00084F36">
      <w:pPr>
        <w:pStyle w:val="BodyText"/>
        <w:rPr>
          <w:sz w:val="20"/>
        </w:rPr>
      </w:pPr>
    </w:p>
    <w:p w14:paraId="7E2B7DB8" w14:textId="77777777" w:rsidR="00084F36" w:rsidRPr="00EB2BD8" w:rsidRDefault="00084F36">
      <w:pPr>
        <w:pStyle w:val="BodyText"/>
        <w:rPr>
          <w:sz w:val="20"/>
        </w:rPr>
      </w:pPr>
    </w:p>
    <w:p w14:paraId="6582FFB7" w14:textId="77777777" w:rsidR="00084F36" w:rsidRPr="00EB2BD8" w:rsidRDefault="00084F36">
      <w:pPr>
        <w:pStyle w:val="BodyText"/>
        <w:spacing w:before="2"/>
        <w:rPr>
          <w:sz w:val="21"/>
        </w:rPr>
      </w:pPr>
    </w:p>
    <w:p w14:paraId="6D9903B1" w14:textId="77777777" w:rsidR="00084F36" w:rsidRPr="00EB2BD8" w:rsidRDefault="00EB2BD8">
      <w:pPr>
        <w:ind w:right="888"/>
        <w:jc w:val="right"/>
        <w:rPr>
          <w:sz w:val="16"/>
        </w:rPr>
      </w:pPr>
      <w:r w:rsidRPr="00EB2BD8">
        <w:rPr>
          <w:spacing w:val="-5"/>
          <w:w w:val="80"/>
          <w:sz w:val="16"/>
        </w:rPr>
        <w:t>51</w:t>
      </w:r>
    </w:p>
    <w:p w14:paraId="222F92F1" w14:textId="77777777" w:rsidR="00084F36" w:rsidRPr="00EB2BD8" w:rsidRDefault="00084F36">
      <w:pPr>
        <w:jc w:val="right"/>
        <w:rPr>
          <w:sz w:val="16"/>
        </w:rPr>
        <w:sectPr w:rsidR="00084F36" w:rsidRPr="00EB2BD8" w:rsidSect="006D75B2">
          <w:type w:val="continuous"/>
          <w:pgSz w:w="11910" w:h="16840"/>
          <w:pgMar w:top="1920" w:right="0" w:bottom="280" w:left="0" w:header="0" w:footer="0" w:gutter="0"/>
          <w:cols w:space="720"/>
        </w:sectPr>
      </w:pPr>
    </w:p>
    <w:p w14:paraId="40EA70DB" w14:textId="77777777" w:rsidR="00E13356" w:rsidRDefault="00E13356" w:rsidP="00C96154">
      <w:pPr>
        <w:pStyle w:val="Heading2"/>
      </w:pPr>
    </w:p>
    <w:p w14:paraId="604FB8C8" w14:textId="77777777" w:rsidR="00E13356" w:rsidRDefault="00E13356" w:rsidP="00C96154">
      <w:pPr>
        <w:pStyle w:val="Heading2"/>
      </w:pPr>
    </w:p>
    <w:p w14:paraId="1624E1EC" w14:textId="7CF86536" w:rsidR="00084F36" w:rsidRPr="00EB2BD8" w:rsidRDefault="00EB2BD8" w:rsidP="006E2D36">
      <w:pPr>
        <w:pStyle w:val="Heading1"/>
      </w:pPr>
      <w:bookmarkStart w:id="125" w:name="_Toc150762427"/>
      <w:r w:rsidRPr="00EB2BD8">
        <w:t xml:space="preserve">The VBA as a Forward-Thinking </w:t>
      </w:r>
      <w:r w:rsidRPr="00EB2BD8">
        <w:rPr>
          <w:spacing w:val="-2"/>
        </w:rPr>
        <w:t>Business</w:t>
      </w:r>
      <w:bookmarkEnd w:id="125"/>
    </w:p>
    <w:p w14:paraId="7C9DDA1B" w14:textId="77777777" w:rsidR="006E2D36" w:rsidRDefault="006E2D36" w:rsidP="006E2D36">
      <w:pPr>
        <w:pStyle w:val="Heading2"/>
        <w:rPr>
          <w:b w:val="0"/>
          <w:bCs w:val="0"/>
        </w:rPr>
      </w:pPr>
    </w:p>
    <w:p w14:paraId="43A980E5" w14:textId="4EC534F2" w:rsidR="00EB2BD8" w:rsidRPr="006E2D36" w:rsidRDefault="00EB2BD8" w:rsidP="006E2D36">
      <w:pPr>
        <w:pStyle w:val="Heading2"/>
        <w:rPr>
          <w:b w:val="0"/>
          <w:bCs w:val="0"/>
        </w:rPr>
      </w:pPr>
      <w:bookmarkStart w:id="126" w:name="_Toc150762428"/>
      <w:r w:rsidRPr="006E2D36">
        <w:rPr>
          <w:b w:val="0"/>
          <w:bCs w:val="0"/>
        </w:rPr>
        <w:t xml:space="preserve">We’re a contemporary </w:t>
      </w:r>
      <w:r w:rsidRPr="006E2D36">
        <w:rPr>
          <w:b w:val="0"/>
          <w:bCs w:val="0"/>
          <w:spacing w:val="-8"/>
        </w:rPr>
        <w:t>and</w:t>
      </w:r>
      <w:r w:rsidRPr="006E2D36">
        <w:rPr>
          <w:b w:val="0"/>
          <w:bCs w:val="0"/>
          <w:spacing w:val="-28"/>
        </w:rPr>
        <w:t xml:space="preserve"> </w:t>
      </w:r>
      <w:r w:rsidRPr="006E2D36">
        <w:rPr>
          <w:b w:val="0"/>
          <w:bCs w:val="0"/>
          <w:spacing w:val="-8"/>
        </w:rPr>
        <w:t>resilient</w:t>
      </w:r>
      <w:r w:rsidRPr="006E2D36">
        <w:rPr>
          <w:b w:val="0"/>
          <w:bCs w:val="0"/>
          <w:spacing w:val="-28"/>
        </w:rPr>
        <w:t xml:space="preserve"> </w:t>
      </w:r>
      <w:r w:rsidRPr="006E2D36">
        <w:rPr>
          <w:b w:val="0"/>
          <w:bCs w:val="0"/>
          <w:spacing w:val="-8"/>
        </w:rPr>
        <w:t xml:space="preserve">organisation </w:t>
      </w:r>
      <w:r w:rsidRPr="006E2D36">
        <w:rPr>
          <w:b w:val="0"/>
          <w:bCs w:val="0"/>
        </w:rPr>
        <w:t>that</w:t>
      </w:r>
      <w:r w:rsidRPr="006E2D36">
        <w:rPr>
          <w:b w:val="0"/>
          <w:bCs w:val="0"/>
          <w:spacing w:val="-1"/>
        </w:rPr>
        <w:t xml:space="preserve"> </w:t>
      </w:r>
      <w:r w:rsidRPr="006E2D36">
        <w:rPr>
          <w:b w:val="0"/>
          <w:bCs w:val="0"/>
        </w:rPr>
        <w:t>looks</w:t>
      </w:r>
      <w:r w:rsidRPr="006E2D36">
        <w:rPr>
          <w:b w:val="0"/>
          <w:bCs w:val="0"/>
          <w:spacing w:val="-1"/>
        </w:rPr>
        <w:t xml:space="preserve"> </w:t>
      </w:r>
      <w:r w:rsidRPr="006E2D36">
        <w:rPr>
          <w:b w:val="0"/>
          <w:bCs w:val="0"/>
        </w:rPr>
        <w:t>to</w:t>
      </w:r>
      <w:r w:rsidRPr="006E2D36">
        <w:rPr>
          <w:b w:val="0"/>
          <w:bCs w:val="0"/>
          <w:spacing w:val="-1"/>
        </w:rPr>
        <w:t xml:space="preserve"> </w:t>
      </w:r>
      <w:r w:rsidRPr="006E2D36">
        <w:rPr>
          <w:b w:val="0"/>
          <w:bCs w:val="0"/>
        </w:rPr>
        <w:t>the</w:t>
      </w:r>
      <w:r w:rsidR="006E2D36" w:rsidRPr="006E2D36">
        <w:rPr>
          <w:b w:val="0"/>
          <w:bCs w:val="0"/>
        </w:rPr>
        <w:t xml:space="preserve"> </w:t>
      </w:r>
      <w:r w:rsidRPr="006E2D36">
        <w:rPr>
          <w:b w:val="0"/>
          <w:bCs w:val="0"/>
          <w:spacing w:val="-2"/>
        </w:rPr>
        <w:t>future.</w:t>
      </w:r>
      <w:r w:rsidRPr="006E2D36">
        <w:rPr>
          <w:b w:val="0"/>
          <w:bCs w:val="0"/>
          <w:spacing w:val="-28"/>
        </w:rPr>
        <w:t xml:space="preserve"> </w:t>
      </w:r>
      <w:r w:rsidR="006E2D36" w:rsidRPr="006E2D36">
        <w:rPr>
          <w:b w:val="0"/>
          <w:bCs w:val="0"/>
          <w:spacing w:val="-28"/>
        </w:rPr>
        <w:br/>
      </w:r>
      <w:r w:rsidRPr="006E2D36">
        <w:rPr>
          <w:b w:val="0"/>
          <w:bCs w:val="0"/>
          <w:spacing w:val="-2"/>
        </w:rPr>
        <w:t>Our</w:t>
      </w:r>
      <w:r w:rsidRPr="006E2D36">
        <w:rPr>
          <w:b w:val="0"/>
          <w:bCs w:val="0"/>
          <w:spacing w:val="-28"/>
        </w:rPr>
        <w:t xml:space="preserve"> </w:t>
      </w:r>
      <w:r w:rsidRPr="006E2D36">
        <w:rPr>
          <w:b w:val="0"/>
          <w:bCs w:val="0"/>
          <w:spacing w:val="-2"/>
        </w:rPr>
        <w:t>robust</w:t>
      </w:r>
      <w:r w:rsidRPr="006E2D36">
        <w:rPr>
          <w:b w:val="0"/>
          <w:bCs w:val="0"/>
          <w:spacing w:val="-28"/>
        </w:rPr>
        <w:t xml:space="preserve"> </w:t>
      </w:r>
      <w:r w:rsidRPr="006E2D36">
        <w:rPr>
          <w:b w:val="0"/>
          <w:bCs w:val="0"/>
          <w:spacing w:val="-2"/>
        </w:rPr>
        <w:t xml:space="preserve">risk </w:t>
      </w:r>
      <w:r w:rsidRPr="006E2D36">
        <w:rPr>
          <w:b w:val="0"/>
          <w:bCs w:val="0"/>
        </w:rPr>
        <w:t>management, financial administration and digital</w:t>
      </w:r>
      <w:r w:rsidRPr="006E2D36">
        <w:rPr>
          <w:b w:val="0"/>
          <w:bCs w:val="0"/>
          <w:spacing w:val="-30"/>
        </w:rPr>
        <w:t xml:space="preserve"> </w:t>
      </w:r>
      <w:r w:rsidRPr="006E2D36">
        <w:rPr>
          <w:b w:val="0"/>
          <w:bCs w:val="0"/>
        </w:rPr>
        <w:t>infrastructure</w:t>
      </w:r>
      <w:r w:rsidRPr="006E2D36">
        <w:rPr>
          <w:b w:val="0"/>
          <w:bCs w:val="0"/>
          <w:spacing w:val="-28"/>
        </w:rPr>
        <w:t xml:space="preserve"> </w:t>
      </w:r>
      <w:r w:rsidRPr="006E2D36">
        <w:rPr>
          <w:b w:val="0"/>
          <w:bCs w:val="0"/>
        </w:rPr>
        <w:t>are sustainable, adaptable and future ready.</w:t>
      </w:r>
      <w:bookmarkEnd w:id="126"/>
    </w:p>
    <w:p w14:paraId="76B8565B" w14:textId="77777777" w:rsidR="00084F36" w:rsidRPr="00EB2BD8" w:rsidRDefault="00084F36">
      <w:pPr>
        <w:pStyle w:val="BodyText"/>
        <w:rPr>
          <w:rFonts w:ascii="Arial" w:hAnsi="Arial" w:cs="Arial"/>
          <w:bCs/>
          <w:sz w:val="20"/>
        </w:rPr>
      </w:pPr>
    </w:p>
    <w:p w14:paraId="18D5E9E1" w14:textId="77777777" w:rsidR="00084F36" w:rsidRPr="00EB2BD8" w:rsidRDefault="00084F36">
      <w:pPr>
        <w:pStyle w:val="BodyText"/>
        <w:rPr>
          <w:rFonts w:ascii="Arial" w:hAnsi="Arial" w:cs="Arial"/>
          <w:bCs/>
          <w:sz w:val="20"/>
        </w:rPr>
      </w:pPr>
    </w:p>
    <w:p w14:paraId="617A2A4A" w14:textId="77777777" w:rsidR="00084F36" w:rsidRPr="00EB2BD8" w:rsidRDefault="00084F36">
      <w:pPr>
        <w:pStyle w:val="BodyText"/>
        <w:rPr>
          <w:rFonts w:ascii="Arial" w:hAnsi="Arial" w:cs="Arial"/>
          <w:bCs/>
          <w:sz w:val="20"/>
        </w:rPr>
      </w:pPr>
    </w:p>
    <w:p w14:paraId="26B532A6" w14:textId="77777777" w:rsidR="00084F36" w:rsidRPr="00EB2BD8" w:rsidRDefault="00084F36">
      <w:pPr>
        <w:pStyle w:val="BodyText"/>
        <w:rPr>
          <w:rFonts w:ascii="Arial" w:hAnsi="Arial" w:cs="Arial"/>
          <w:bCs/>
          <w:sz w:val="20"/>
        </w:rPr>
      </w:pPr>
    </w:p>
    <w:p w14:paraId="1064D503" w14:textId="77777777" w:rsidR="00084F36" w:rsidRPr="00EB2BD8" w:rsidRDefault="00084F36">
      <w:pPr>
        <w:pStyle w:val="BodyText"/>
        <w:rPr>
          <w:rFonts w:ascii="Arial" w:hAnsi="Arial" w:cs="Arial"/>
          <w:bCs/>
          <w:sz w:val="20"/>
        </w:rPr>
      </w:pPr>
    </w:p>
    <w:p w14:paraId="074C8B3E" w14:textId="77777777" w:rsidR="00084F36" w:rsidRPr="00EB2BD8" w:rsidRDefault="00084F36">
      <w:pPr>
        <w:pStyle w:val="BodyText"/>
        <w:rPr>
          <w:rFonts w:ascii="Tahoma"/>
          <w:b/>
          <w:sz w:val="20"/>
        </w:rPr>
      </w:pPr>
    </w:p>
    <w:p w14:paraId="1E867103" w14:textId="77777777" w:rsidR="00084F36" w:rsidRPr="00EB2BD8" w:rsidRDefault="00084F36">
      <w:pPr>
        <w:pStyle w:val="BodyText"/>
        <w:rPr>
          <w:rFonts w:ascii="Tahoma"/>
          <w:b/>
          <w:sz w:val="20"/>
        </w:rPr>
      </w:pPr>
    </w:p>
    <w:p w14:paraId="26AA4F5E" w14:textId="77777777" w:rsidR="00084F36" w:rsidRPr="00EB2BD8" w:rsidRDefault="00084F36">
      <w:pPr>
        <w:pStyle w:val="BodyText"/>
        <w:rPr>
          <w:rFonts w:ascii="Tahoma"/>
          <w:b/>
          <w:sz w:val="20"/>
        </w:rPr>
      </w:pPr>
    </w:p>
    <w:p w14:paraId="6EB3835D" w14:textId="77777777" w:rsidR="00084F36" w:rsidRPr="00EB2BD8" w:rsidRDefault="00084F36">
      <w:pPr>
        <w:pStyle w:val="BodyText"/>
        <w:rPr>
          <w:rFonts w:ascii="Tahoma"/>
          <w:b/>
          <w:sz w:val="20"/>
        </w:rPr>
      </w:pPr>
    </w:p>
    <w:p w14:paraId="77C38C28" w14:textId="77777777" w:rsidR="00084F36" w:rsidRPr="00EB2BD8" w:rsidRDefault="00084F36">
      <w:pPr>
        <w:pStyle w:val="BodyText"/>
        <w:rPr>
          <w:rFonts w:ascii="Tahoma"/>
          <w:b/>
          <w:sz w:val="20"/>
        </w:rPr>
      </w:pPr>
    </w:p>
    <w:p w14:paraId="23E4C0A9" w14:textId="58C29F6A" w:rsidR="00084F36" w:rsidRPr="00EB2BD8" w:rsidRDefault="00084F36">
      <w:pPr>
        <w:pStyle w:val="BodyText"/>
        <w:spacing w:before="5"/>
        <w:rPr>
          <w:rFonts w:ascii="Tahoma"/>
          <w:b/>
          <w:sz w:val="25"/>
        </w:rPr>
      </w:pPr>
    </w:p>
    <w:p w14:paraId="19BFDD0D" w14:textId="77777777" w:rsidR="00084F36" w:rsidRPr="00EB2BD8" w:rsidRDefault="00084F36">
      <w:pPr>
        <w:pStyle w:val="BodyText"/>
        <w:rPr>
          <w:rFonts w:ascii="Tahoma"/>
          <w:b/>
          <w:sz w:val="20"/>
        </w:rPr>
      </w:pPr>
    </w:p>
    <w:p w14:paraId="70900467" w14:textId="77777777" w:rsidR="00084F36" w:rsidRPr="00EB2BD8" w:rsidRDefault="00084F36">
      <w:pPr>
        <w:pStyle w:val="BodyText"/>
        <w:rPr>
          <w:rFonts w:ascii="Tahoma"/>
          <w:b/>
          <w:sz w:val="20"/>
        </w:rPr>
      </w:pPr>
    </w:p>
    <w:p w14:paraId="6005C499" w14:textId="77777777" w:rsidR="00084F36" w:rsidRPr="00EB2BD8" w:rsidRDefault="00084F36">
      <w:pPr>
        <w:pStyle w:val="BodyText"/>
        <w:rPr>
          <w:rFonts w:ascii="Tahoma"/>
          <w:b/>
          <w:sz w:val="20"/>
        </w:rPr>
      </w:pPr>
    </w:p>
    <w:p w14:paraId="5854120C" w14:textId="77777777" w:rsidR="00084F36" w:rsidRPr="00EB2BD8" w:rsidRDefault="00084F36">
      <w:pPr>
        <w:pStyle w:val="BodyText"/>
        <w:rPr>
          <w:rFonts w:ascii="Tahoma"/>
          <w:b/>
          <w:sz w:val="20"/>
        </w:rPr>
      </w:pPr>
    </w:p>
    <w:p w14:paraId="2C4548DA" w14:textId="77777777" w:rsidR="00084F36" w:rsidRPr="00EB2BD8" w:rsidRDefault="00084F36">
      <w:pPr>
        <w:pStyle w:val="BodyText"/>
        <w:rPr>
          <w:rFonts w:ascii="Tahoma"/>
          <w:b/>
          <w:sz w:val="20"/>
        </w:rPr>
      </w:pPr>
    </w:p>
    <w:p w14:paraId="79089BA6" w14:textId="77777777" w:rsidR="00084F36" w:rsidRPr="00EB2BD8" w:rsidRDefault="00084F36">
      <w:pPr>
        <w:pStyle w:val="BodyText"/>
        <w:rPr>
          <w:rFonts w:ascii="Tahoma"/>
          <w:b/>
          <w:sz w:val="20"/>
        </w:rPr>
      </w:pPr>
    </w:p>
    <w:p w14:paraId="5A4821F2" w14:textId="77777777" w:rsidR="00084F36" w:rsidRPr="00EB2BD8" w:rsidRDefault="00084F36">
      <w:pPr>
        <w:pStyle w:val="BodyText"/>
        <w:rPr>
          <w:rFonts w:ascii="Tahoma"/>
          <w:b/>
          <w:sz w:val="20"/>
        </w:rPr>
      </w:pPr>
    </w:p>
    <w:p w14:paraId="1C4B1775" w14:textId="77777777" w:rsidR="00084F36" w:rsidRPr="00EB2BD8" w:rsidRDefault="00084F36">
      <w:pPr>
        <w:pStyle w:val="BodyText"/>
        <w:rPr>
          <w:rFonts w:ascii="Tahoma"/>
          <w:b/>
          <w:sz w:val="20"/>
        </w:rPr>
      </w:pPr>
    </w:p>
    <w:p w14:paraId="07CFB57B" w14:textId="77777777" w:rsidR="00084F36" w:rsidRPr="00EB2BD8" w:rsidRDefault="00084F36">
      <w:pPr>
        <w:pStyle w:val="BodyText"/>
        <w:rPr>
          <w:rFonts w:ascii="Tahoma"/>
          <w:b/>
          <w:sz w:val="20"/>
        </w:rPr>
      </w:pPr>
    </w:p>
    <w:p w14:paraId="4671D838" w14:textId="77777777" w:rsidR="00084F36" w:rsidRPr="00EB2BD8" w:rsidRDefault="00084F36">
      <w:pPr>
        <w:pStyle w:val="BodyText"/>
        <w:rPr>
          <w:rFonts w:ascii="Tahoma"/>
          <w:b/>
          <w:sz w:val="20"/>
        </w:rPr>
      </w:pPr>
    </w:p>
    <w:p w14:paraId="1880C073" w14:textId="77777777" w:rsidR="00084F36" w:rsidRPr="00EB2BD8" w:rsidRDefault="00084F36">
      <w:pPr>
        <w:pStyle w:val="BodyText"/>
        <w:rPr>
          <w:rFonts w:ascii="Tahoma"/>
          <w:b/>
          <w:sz w:val="20"/>
        </w:rPr>
      </w:pPr>
    </w:p>
    <w:p w14:paraId="1E63C908" w14:textId="77777777" w:rsidR="00084F36" w:rsidRPr="00EB2BD8" w:rsidRDefault="00084F36">
      <w:pPr>
        <w:pStyle w:val="BodyText"/>
        <w:rPr>
          <w:rFonts w:ascii="Tahoma"/>
          <w:b/>
          <w:sz w:val="20"/>
        </w:rPr>
      </w:pPr>
    </w:p>
    <w:p w14:paraId="7523F5CB" w14:textId="77777777" w:rsidR="00084F36" w:rsidRPr="00EB2BD8" w:rsidRDefault="00084F36">
      <w:pPr>
        <w:pStyle w:val="BodyText"/>
        <w:rPr>
          <w:rFonts w:ascii="Tahoma"/>
          <w:b/>
          <w:sz w:val="20"/>
        </w:rPr>
      </w:pPr>
    </w:p>
    <w:p w14:paraId="7F996E4B" w14:textId="77777777" w:rsidR="00084F36" w:rsidRPr="00EB2BD8" w:rsidRDefault="00084F36">
      <w:pPr>
        <w:pStyle w:val="BodyText"/>
        <w:rPr>
          <w:rFonts w:ascii="Tahoma"/>
          <w:b/>
          <w:sz w:val="20"/>
        </w:rPr>
      </w:pPr>
    </w:p>
    <w:p w14:paraId="3C2935B2" w14:textId="05E60396" w:rsidR="00084F36" w:rsidRDefault="00084F36">
      <w:pPr>
        <w:pStyle w:val="BodyText"/>
        <w:rPr>
          <w:rFonts w:ascii="Tahoma"/>
          <w:b/>
          <w:sz w:val="20"/>
        </w:rPr>
      </w:pPr>
    </w:p>
    <w:p w14:paraId="64244737" w14:textId="5ECCEBE2" w:rsidR="00E13356" w:rsidRDefault="00E13356">
      <w:pPr>
        <w:pStyle w:val="BodyText"/>
        <w:rPr>
          <w:rFonts w:ascii="Tahoma"/>
          <w:b/>
          <w:sz w:val="20"/>
        </w:rPr>
      </w:pPr>
    </w:p>
    <w:p w14:paraId="7682344F" w14:textId="7C1DBA86" w:rsidR="00E13356" w:rsidRDefault="00E13356">
      <w:pPr>
        <w:pStyle w:val="BodyText"/>
        <w:rPr>
          <w:rFonts w:ascii="Tahoma"/>
          <w:b/>
          <w:sz w:val="20"/>
        </w:rPr>
      </w:pPr>
    </w:p>
    <w:p w14:paraId="1B89A264" w14:textId="0A27859D" w:rsidR="00E13356" w:rsidRDefault="00E13356">
      <w:pPr>
        <w:pStyle w:val="BodyText"/>
        <w:rPr>
          <w:rFonts w:ascii="Tahoma"/>
          <w:b/>
          <w:sz w:val="20"/>
        </w:rPr>
      </w:pPr>
    </w:p>
    <w:p w14:paraId="293D7CC0" w14:textId="36E7ABBD" w:rsidR="00E13356" w:rsidRDefault="00E13356">
      <w:pPr>
        <w:pStyle w:val="BodyText"/>
        <w:rPr>
          <w:rFonts w:ascii="Tahoma"/>
          <w:b/>
          <w:sz w:val="20"/>
        </w:rPr>
      </w:pPr>
    </w:p>
    <w:p w14:paraId="70B45144" w14:textId="509E9537" w:rsidR="00E13356" w:rsidRDefault="00E13356">
      <w:pPr>
        <w:pStyle w:val="BodyText"/>
        <w:rPr>
          <w:rFonts w:ascii="Tahoma"/>
          <w:b/>
          <w:sz w:val="20"/>
        </w:rPr>
      </w:pPr>
    </w:p>
    <w:p w14:paraId="6ECF2E07" w14:textId="1D25B496" w:rsidR="00E13356" w:rsidRDefault="00E13356">
      <w:pPr>
        <w:pStyle w:val="BodyText"/>
        <w:rPr>
          <w:rFonts w:ascii="Tahoma"/>
          <w:b/>
          <w:sz w:val="20"/>
        </w:rPr>
      </w:pPr>
    </w:p>
    <w:p w14:paraId="4A8DA3A7" w14:textId="36CC0A3F" w:rsidR="00E13356" w:rsidRDefault="00E13356">
      <w:pPr>
        <w:pStyle w:val="BodyText"/>
        <w:rPr>
          <w:rFonts w:ascii="Tahoma"/>
          <w:b/>
          <w:sz w:val="20"/>
        </w:rPr>
      </w:pPr>
    </w:p>
    <w:p w14:paraId="4CB1DECA" w14:textId="5EBCC54C" w:rsidR="00E13356" w:rsidRDefault="00E13356">
      <w:pPr>
        <w:pStyle w:val="BodyText"/>
        <w:rPr>
          <w:rFonts w:ascii="Tahoma"/>
          <w:b/>
          <w:sz w:val="20"/>
        </w:rPr>
      </w:pPr>
    </w:p>
    <w:p w14:paraId="0AE9CD41" w14:textId="4673E585" w:rsidR="00E13356" w:rsidRDefault="00E13356">
      <w:pPr>
        <w:pStyle w:val="BodyText"/>
        <w:rPr>
          <w:rFonts w:ascii="Tahoma"/>
          <w:b/>
          <w:sz w:val="20"/>
        </w:rPr>
      </w:pPr>
    </w:p>
    <w:p w14:paraId="6738EDEA" w14:textId="0E0C189B" w:rsidR="00E13356" w:rsidRDefault="00E13356">
      <w:pPr>
        <w:pStyle w:val="BodyText"/>
        <w:rPr>
          <w:rFonts w:ascii="Tahoma"/>
          <w:b/>
          <w:sz w:val="20"/>
        </w:rPr>
      </w:pPr>
    </w:p>
    <w:p w14:paraId="0118A9AF" w14:textId="2A325AF8" w:rsidR="00E13356" w:rsidRDefault="00E13356">
      <w:pPr>
        <w:pStyle w:val="BodyText"/>
        <w:rPr>
          <w:rFonts w:ascii="Tahoma"/>
          <w:b/>
          <w:sz w:val="20"/>
        </w:rPr>
      </w:pPr>
    </w:p>
    <w:p w14:paraId="68D89F01" w14:textId="5958D692" w:rsidR="00E13356" w:rsidRDefault="00E13356">
      <w:pPr>
        <w:pStyle w:val="BodyText"/>
        <w:rPr>
          <w:rFonts w:ascii="Tahoma"/>
          <w:b/>
          <w:sz w:val="20"/>
        </w:rPr>
      </w:pPr>
    </w:p>
    <w:p w14:paraId="402C8218" w14:textId="0687B182" w:rsidR="00E13356" w:rsidRDefault="00E13356">
      <w:pPr>
        <w:pStyle w:val="BodyText"/>
        <w:rPr>
          <w:rFonts w:ascii="Tahoma"/>
          <w:b/>
          <w:sz w:val="20"/>
        </w:rPr>
      </w:pPr>
    </w:p>
    <w:p w14:paraId="1EB17317" w14:textId="1898E8F0" w:rsidR="00E13356" w:rsidRDefault="00E13356">
      <w:pPr>
        <w:pStyle w:val="BodyText"/>
        <w:rPr>
          <w:rFonts w:ascii="Tahoma"/>
          <w:b/>
          <w:sz w:val="20"/>
        </w:rPr>
      </w:pPr>
    </w:p>
    <w:p w14:paraId="3D2CFFC7" w14:textId="025D3ECD" w:rsidR="00E13356" w:rsidRDefault="00E13356">
      <w:pPr>
        <w:pStyle w:val="BodyText"/>
        <w:rPr>
          <w:rFonts w:ascii="Tahoma"/>
          <w:b/>
          <w:sz w:val="20"/>
        </w:rPr>
      </w:pPr>
    </w:p>
    <w:p w14:paraId="4E3EF937" w14:textId="60EB9C68" w:rsidR="00E13356" w:rsidRDefault="00E13356">
      <w:pPr>
        <w:pStyle w:val="BodyText"/>
        <w:rPr>
          <w:rFonts w:ascii="Tahoma"/>
          <w:b/>
          <w:sz w:val="20"/>
        </w:rPr>
      </w:pPr>
    </w:p>
    <w:p w14:paraId="49DC2210" w14:textId="1D13A950" w:rsidR="00E13356" w:rsidRDefault="00E13356">
      <w:pPr>
        <w:pStyle w:val="BodyText"/>
        <w:rPr>
          <w:rFonts w:ascii="Tahoma"/>
          <w:b/>
          <w:sz w:val="20"/>
        </w:rPr>
      </w:pPr>
    </w:p>
    <w:p w14:paraId="16533250" w14:textId="10BDEF26" w:rsidR="00E13356" w:rsidRDefault="00E13356">
      <w:pPr>
        <w:pStyle w:val="BodyText"/>
        <w:rPr>
          <w:rFonts w:ascii="Tahoma"/>
          <w:b/>
          <w:sz w:val="20"/>
        </w:rPr>
      </w:pPr>
    </w:p>
    <w:p w14:paraId="618C2E3D" w14:textId="59D6C528" w:rsidR="00E13356" w:rsidRDefault="00E13356">
      <w:pPr>
        <w:pStyle w:val="BodyText"/>
        <w:rPr>
          <w:rFonts w:ascii="Tahoma"/>
          <w:b/>
          <w:sz w:val="20"/>
        </w:rPr>
      </w:pPr>
    </w:p>
    <w:p w14:paraId="13FDD0A6" w14:textId="77777777" w:rsidR="00084F36" w:rsidRPr="00EB2BD8" w:rsidRDefault="00084F36">
      <w:pPr>
        <w:pStyle w:val="BodyText"/>
        <w:spacing w:before="11"/>
        <w:rPr>
          <w:rFonts w:ascii="Tahoma"/>
          <w:b/>
          <w:sz w:val="19"/>
        </w:rPr>
      </w:pPr>
    </w:p>
    <w:p w14:paraId="0B3A21C3" w14:textId="5B45C955" w:rsidR="00084F36" w:rsidRPr="00EB2BD8" w:rsidRDefault="00EB2BD8">
      <w:pPr>
        <w:tabs>
          <w:tab w:val="left" w:pos="1906"/>
        </w:tabs>
        <w:spacing w:before="92"/>
        <w:ind w:left="842"/>
        <w:rPr>
          <w:b/>
          <w:sz w:val="16"/>
        </w:rPr>
      </w:pPr>
      <w:r w:rsidRPr="00EB2BD8">
        <w:rPr>
          <w:sz w:val="16"/>
        </w:rPr>
        <w:tab/>
      </w:r>
    </w:p>
    <w:p w14:paraId="502DE4D2" w14:textId="77777777" w:rsidR="00084F36" w:rsidRPr="00EB2BD8" w:rsidRDefault="00084F36">
      <w:pPr>
        <w:rPr>
          <w:sz w:val="16"/>
        </w:rPr>
        <w:sectPr w:rsidR="00084F36" w:rsidRPr="00EB2BD8" w:rsidSect="0019412D">
          <w:headerReference w:type="even" r:id="rId146"/>
          <w:footerReference w:type="even" r:id="rId147"/>
          <w:footerReference w:type="default" r:id="rId148"/>
          <w:pgSz w:w="11910" w:h="16840"/>
          <w:pgMar w:top="1220" w:right="0" w:bottom="280" w:left="0" w:header="0" w:footer="1134" w:gutter="0"/>
          <w:cols w:space="720"/>
          <w:docGrid w:linePitch="299"/>
        </w:sectPr>
      </w:pPr>
    </w:p>
    <w:p w14:paraId="0BB021DC" w14:textId="77777777" w:rsidR="00084F36" w:rsidRPr="00EB2BD8" w:rsidRDefault="00084F36">
      <w:pPr>
        <w:pStyle w:val="BodyText"/>
        <w:rPr>
          <w:b/>
          <w:sz w:val="20"/>
        </w:rPr>
      </w:pPr>
    </w:p>
    <w:p w14:paraId="7F0FB907" w14:textId="77777777" w:rsidR="00084F36" w:rsidRPr="00EB2BD8" w:rsidRDefault="00084F36">
      <w:pPr>
        <w:pStyle w:val="BodyText"/>
        <w:rPr>
          <w:b/>
          <w:sz w:val="20"/>
        </w:rPr>
      </w:pPr>
    </w:p>
    <w:p w14:paraId="193A4605" w14:textId="77777777" w:rsidR="00084F36" w:rsidRPr="00EB2BD8" w:rsidRDefault="00084F36">
      <w:pPr>
        <w:pStyle w:val="BodyText"/>
        <w:rPr>
          <w:b/>
          <w:sz w:val="20"/>
        </w:rPr>
      </w:pPr>
    </w:p>
    <w:p w14:paraId="6B9CE6AF" w14:textId="77777777" w:rsidR="00084F36" w:rsidRPr="00EB2BD8" w:rsidRDefault="00084F36">
      <w:pPr>
        <w:pStyle w:val="BodyText"/>
        <w:rPr>
          <w:b/>
          <w:sz w:val="20"/>
        </w:rPr>
      </w:pPr>
    </w:p>
    <w:p w14:paraId="7D4AC29A" w14:textId="77777777" w:rsidR="00084F36" w:rsidRPr="00EB2BD8" w:rsidRDefault="00084F36">
      <w:pPr>
        <w:pStyle w:val="BodyText"/>
        <w:spacing w:before="7"/>
        <w:rPr>
          <w:b/>
          <w:sz w:val="17"/>
        </w:rPr>
      </w:pPr>
    </w:p>
    <w:p w14:paraId="3818980A" w14:textId="77777777" w:rsidR="00084F36" w:rsidRPr="00EB2BD8" w:rsidRDefault="00084F36">
      <w:pPr>
        <w:rPr>
          <w:sz w:val="17"/>
        </w:rPr>
        <w:sectPr w:rsidR="00084F36" w:rsidRPr="00EB2BD8" w:rsidSect="006D75B2">
          <w:headerReference w:type="even" r:id="rId149"/>
          <w:headerReference w:type="default" r:id="rId150"/>
          <w:footerReference w:type="even" r:id="rId151"/>
          <w:footerReference w:type="default" r:id="rId152"/>
          <w:pgSz w:w="11910" w:h="16840"/>
          <w:pgMar w:top="1080" w:right="0" w:bottom="720" w:left="0" w:header="0" w:footer="528" w:gutter="0"/>
          <w:pgNumType w:start="53"/>
          <w:cols w:space="720"/>
        </w:sectPr>
      </w:pPr>
    </w:p>
    <w:p w14:paraId="228D887C" w14:textId="3D6A97A0" w:rsidR="00084F36" w:rsidRPr="00EB2BD8" w:rsidRDefault="00EB2BD8" w:rsidP="00EB2BD8">
      <w:pPr>
        <w:pStyle w:val="Heading2"/>
      </w:pPr>
      <w:bookmarkStart w:id="127" w:name="_Toc150762429"/>
      <w:r w:rsidRPr="00EB2BD8">
        <w:rPr>
          <w:spacing w:val="-2"/>
        </w:rPr>
        <w:t>Technology</w:t>
      </w:r>
      <w:r w:rsidRPr="00EB2BD8">
        <w:rPr>
          <w:spacing w:val="-21"/>
        </w:rPr>
        <w:t xml:space="preserve"> </w:t>
      </w:r>
      <w:r w:rsidRPr="00EB2BD8">
        <w:rPr>
          <w:spacing w:val="-2"/>
        </w:rPr>
        <w:t>improvements</w:t>
      </w:r>
      <w:r w:rsidRPr="00EB2BD8">
        <w:rPr>
          <w:spacing w:val="-21"/>
        </w:rPr>
        <w:t xml:space="preserve"> </w:t>
      </w:r>
      <w:r w:rsidRPr="00EB2BD8">
        <w:rPr>
          <w:spacing w:val="-2"/>
        </w:rPr>
        <w:t xml:space="preserve">to </w:t>
      </w:r>
      <w:r w:rsidRPr="00EB2BD8">
        <w:t>enhance</w:t>
      </w:r>
      <w:r w:rsidRPr="00EB2BD8">
        <w:rPr>
          <w:spacing w:val="-3"/>
        </w:rPr>
        <w:t xml:space="preserve"> </w:t>
      </w:r>
      <w:r w:rsidRPr="00EB2BD8">
        <w:t>digital</w:t>
      </w:r>
      <w:r w:rsidRPr="00EB2BD8">
        <w:rPr>
          <w:spacing w:val="-3"/>
        </w:rPr>
        <w:t xml:space="preserve"> </w:t>
      </w:r>
      <w:r w:rsidRPr="00EB2BD8">
        <w:t>experience</w:t>
      </w:r>
      <w:r w:rsidRPr="00EB2BD8">
        <w:rPr>
          <w:spacing w:val="-3"/>
        </w:rPr>
        <w:t xml:space="preserve"> </w:t>
      </w:r>
      <w:r w:rsidRPr="00EB2BD8">
        <w:t xml:space="preserve">and </w:t>
      </w:r>
      <w:r w:rsidRPr="00EB2BD8">
        <w:rPr>
          <w:spacing w:val="-8"/>
        </w:rPr>
        <w:t>how</w:t>
      </w:r>
      <w:r w:rsidRPr="00EB2BD8">
        <w:rPr>
          <w:spacing w:val="-17"/>
        </w:rPr>
        <w:t xml:space="preserve"> </w:t>
      </w:r>
      <w:r w:rsidRPr="00EB2BD8">
        <w:rPr>
          <w:spacing w:val="-8"/>
        </w:rPr>
        <w:t>practitioners</w:t>
      </w:r>
      <w:r w:rsidRPr="00EB2BD8">
        <w:rPr>
          <w:spacing w:val="-17"/>
        </w:rPr>
        <w:t xml:space="preserve"> </w:t>
      </w:r>
      <w:r w:rsidRPr="00EB2BD8">
        <w:rPr>
          <w:spacing w:val="-8"/>
        </w:rPr>
        <w:t>and</w:t>
      </w:r>
      <w:r w:rsidRPr="00EB2BD8">
        <w:rPr>
          <w:spacing w:val="-17"/>
        </w:rPr>
        <w:t xml:space="preserve"> </w:t>
      </w:r>
      <w:r w:rsidRPr="00EB2BD8">
        <w:rPr>
          <w:spacing w:val="-8"/>
        </w:rPr>
        <w:t xml:space="preserve">consumers </w:t>
      </w:r>
      <w:r w:rsidRPr="00EB2BD8">
        <w:t>interact with the VBA</w:t>
      </w:r>
      <w:bookmarkEnd w:id="127"/>
    </w:p>
    <w:p w14:paraId="2AB9B026" w14:textId="77777777" w:rsidR="00084F36" w:rsidRPr="00EB2BD8" w:rsidRDefault="00EB2BD8">
      <w:pPr>
        <w:pStyle w:val="BodyText"/>
        <w:spacing w:before="134" w:line="261" w:lineRule="auto"/>
        <w:ind w:left="850"/>
      </w:pPr>
      <w:r w:rsidRPr="00EB2BD8">
        <w:t>A new, omnichannel Channel Management System (CMS) was implemented this year that allows our people to make and receive calls, send SMS messages and service enquiries via email to practitioners and consumers.</w:t>
      </w:r>
      <w:r w:rsidRPr="00EB2BD8">
        <w:rPr>
          <w:spacing w:val="-8"/>
        </w:rPr>
        <w:t xml:space="preserve"> </w:t>
      </w:r>
      <w:r w:rsidRPr="00EB2BD8">
        <w:t>The</w:t>
      </w:r>
      <w:r w:rsidRPr="00EB2BD8">
        <w:rPr>
          <w:spacing w:val="-8"/>
        </w:rPr>
        <w:t xml:space="preserve"> </w:t>
      </w:r>
      <w:r w:rsidRPr="00EB2BD8">
        <w:t>CMS</w:t>
      </w:r>
      <w:r w:rsidRPr="00EB2BD8">
        <w:rPr>
          <w:spacing w:val="-8"/>
        </w:rPr>
        <w:t xml:space="preserve"> </w:t>
      </w:r>
      <w:r w:rsidRPr="00EB2BD8">
        <w:t>has</w:t>
      </w:r>
      <w:r w:rsidRPr="00EB2BD8">
        <w:rPr>
          <w:spacing w:val="-8"/>
        </w:rPr>
        <w:t xml:space="preserve"> </w:t>
      </w:r>
      <w:r w:rsidRPr="00EB2BD8">
        <w:t>introduced</w:t>
      </w:r>
      <w:r w:rsidRPr="00EB2BD8">
        <w:rPr>
          <w:spacing w:val="-8"/>
        </w:rPr>
        <w:t xml:space="preserve"> </w:t>
      </w:r>
      <w:r w:rsidRPr="00EB2BD8">
        <w:t>efficiencies</w:t>
      </w:r>
      <w:r w:rsidRPr="00EB2BD8">
        <w:rPr>
          <w:spacing w:val="-8"/>
        </w:rPr>
        <w:t xml:space="preserve"> </w:t>
      </w:r>
      <w:r w:rsidRPr="00EB2BD8">
        <w:t>to</w:t>
      </w:r>
      <w:r w:rsidRPr="00EB2BD8">
        <w:rPr>
          <w:spacing w:val="-8"/>
        </w:rPr>
        <w:t xml:space="preserve"> </w:t>
      </w:r>
      <w:r w:rsidRPr="00EB2BD8">
        <w:t>the VBA’s</w:t>
      </w:r>
      <w:r w:rsidRPr="00EB2BD8">
        <w:rPr>
          <w:spacing w:val="-1"/>
        </w:rPr>
        <w:t xml:space="preserve"> </w:t>
      </w:r>
      <w:r w:rsidRPr="00EB2BD8">
        <w:t>customer</w:t>
      </w:r>
      <w:r w:rsidRPr="00EB2BD8">
        <w:rPr>
          <w:spacing w:val="-1"/>
        </w:rPr>
        <w:t xml:space="preserve"> </w:t>
      </w:r>
      <w:r w:rsidRPr="00EB2BD8">
        <w:t>experience</w:t>
      </w:r>
      <w:r w:rsidRPr="00EB2BD8">
        <w:rPr>
          <w:spacing w:val="-1"/>
        </w:rPr>
        <w:t xml:space="preserve"> </w:t>
      </w:r>
      <w:r w:rsidRPr="00EB2BD8">
        <w:t>by</w:t>
      </w:r>
      <w:r w:rsidRPr="00EB2BD8">
        <w:rPr>
          <w:spacing w:val="-1"/>
        </w:rPr>
        <w:t xml:space="preserve"> </w:t>
      </w:r>
      <w:r w:rsidRPr="00EB2BD8">
        <w:t>addressing</w:t>
      </w:r>
      <w:r w:rsidRPr="00EB2BD8">
        <w:rPr>
          <w:spacing w:val="-1"/>
        </w:rPr>
        <w:t xml:space="preserve"> </w:t>
      </w:r>
      <w:r w:rsidRPr="00EB2BD8">
        <w:t>enquiries</w:t>
      </w:r>
      <w:r w:rsidRPr="00EB2BD8">
        <w:rPr>
          <w:spacing w:val="-1"/>
        </w:rPr>
        <w:t xml:space="preserve"> </w:t>
      </w:r>
      <w:r w:rsidRPr="00EB2BD8">
        <w:t>in a timelier manner, while offering a system generated call back option during times where call volumes are high, improving the customer experience.</w:t>
      </w:r>
    </w:p>
    <w:p w14:paraId="30A77700" w14:textId="77777777" w:rsidR="00084F36" w:rsidRPr="00EB2BD8" w:rsidRDefault="00EB2BD8">
      <w:pPr>
        <w:pStyle w:val="BodyText"/>
        <w:spacing w:before="160" w:line="261" w:lineRule="auto"/>
        <w:ind w:left="850"/>
      </w:pPr>
      <w:r w:rsidRPr="00EB2BD8">
        <w:rPr>
          <w:w w:val="105"/>
        </w:rPr>
        <w:t>The</w:t>
      </w:r>
      <w:r w:rsidRPr="00EB2BD8">
        <w:rPr>
          <w:spacing w:val="-14"/>
          <w:w w:val="105"/>
        </w:rPr>
        <w:t xml:space="preserve"> </w:t>
      </w:r>
      <w:r w:rsidRPr="00EB2BD8">
        <w:rPr>
          <w:w w:val="105"/>
        </w:rPr>
        <w:t>VBA</w:t>
      </w:r>
      <w:r w:rsidRPr="00EB2BD8">
        <w:rPr>
          <w:spacing w:val="-14"/>
          <w:w w:val="105"/>
        </w:rPr>
        <w:t xml:space="preserve"> </w:t>
      </w:r>
      <w:r w:rsidRPr="00EB2BD8">
        <w:rPr>
          <w:w w:val="105"/>
        </w:rPr>
        <w:t>piloted</w:t>
      </w:r>
      <w:r w:rsidRPr="00EB2BD8">
        <w:rPr>
          <w:spacing w:val="-14"/>
          <w:w w:val="105"/>
        </w:rPr>
        <w:t xml:space="preserve"> </w:t>
      </w:r>
      <w:r w:rsidRPr="00EB2BD8">
        <w:rPr>
          <w:w w:val="105"/>
        </w:rPr>
        <w:t>new</w:t>
      </w:r>
      <w:r w:rsidRPr="00EB2BD8">
        <w:rPr>
          <w:spacing w:val="-14"/>
          <w:w w:val="105"/>
        </w:rPr>
        <w:t xml:space="preserve"> </w:t>
      </w:r>
      <w:r w:rsidRPr="00EB2BD8">
        <w:rPr>
          <w:w w:val="105"/>
        </w:rPr>
        <w:t>Online</w:t>
      </w:r>
      <w:r w:rsidRPr="00EB2BD8">
        <w:rPr>
          <w:spacing w:val="-14"/>
          <w:w w:val="105"/>
        </w:rPr>
        <w:t xml:space="preserve"> </w:t>
      </w:r>
      <w:r w:rsidRPr="00EB2BD8">
        <w:rPr>
          <w:w w:val="105"/>
        </w:rPr>
        <w:t>Interactive</w:t>
      </w:r>
      <w:r w:rsidRPr="00EB2BD8">
        <w:rPr>
          <w:spacing w:val="-14"/>
          <w:w w:val="105"/>
        </w:rPr>
        <w:t xml:space="preserve"> </w:t>
      </w:r>
      <w:r w:rsidRPr="00EB2BD8">
        <w:rPr>
          <w:w w:val="105"/>
        </w:rPr>
        <w:t>Forms</w:t>
      </w:r>
      <w:r w:rsidRPr="00EB2BD8">
        <w:rPr>
          <w:spacing w:val="-14"/>
          <w:w w:val="105"/>
        </w:rPr>
        <w:t xml:space="preserve"> </w:t>
      </w:r>
      <w:r w:rsidRPr="00EB2BD8">
        <w:rPr>
          <w:w w:val="105"/>
        </w:rPr>
        <w:t>for Building</w:t>
      </w:r>
      <w:r w:rsidRPr="00EB2BD8">
        <w:rPr>
          <w:spacing w:val="-15"/>
          <w:w w:val="105"/>
        </w:rPr>
        <w:t xml:space="preserve"> </w:t>
      </w:r>
      <w:r w:rsidRPr="00EB2BD8">
        <w:rPr>
          <w:w w:val="105"/>
        </w:rPr>
        <w:t>Practitioners</w:t>
      </w:r>
      <w:r w:rsidRPr="00EB2BD8">
        <w:rPr>
          <w:spacing w:val="-15"/>
          <w:w w:val="105"/>
        </w:rPr>
        <w:t xml:space="preserve"> </w:t>
      </w:r>
      <w:r w:rsidRPr="00EB2BD8">
        <w:rPr>
          <w:w w:val="105"/>
        </w:rPr>
        <w:t>to</w:t>
      </w:r>
      <w:r w:rsidRPr="00EB2BD8">
        <w:rPr>
          <w:spacing w:val="-15"/>
          <w:w w:val="105"/>
        </w:rPr>
        <w:t xml:space="preserve"> </w:t>
      </w:r>
      <w:r w:rsidRPr="00EB2BD8">
        <w:rPr>
          <w:w w:val="105"/>
        </w:rPr>
        <w:t>apply</w:t>
      </w:r>
      <w:r w:rsidRPr="00EB2BD8">
        <w:rPr>
          <w:spacing w:val="-15"/>
          <w:w w:val="105"/>
        </w:rPr>
        <w:t xml:space="preserve"> </w:t>
      </w:r>
      <w:r w:rsidRPr="00EB2BD8">
        <w:rPr>
          <w:w w:val="105"/>
        </w:rPr>
        <w:t>for</w:t>
      </w:r>
      <w:r w:rsidRPr="00EB2BD8">
        <w:rPr>
          <w:spacing w:val="-15"/>
          <w:w w:val="105"/>
        </w:rPr>
        <w:t xml:space="preserve"> </w:t>
      </w:r>
      <w:r w:rsidRPr="00EB2BD8">
        <w:rPr>
          <w:w w:val="105"/>
        </w:rPr>
        <w:t>registration.</w:t>
      </w:r>
      <w:r w:rsidRPr="00EB2BD8">
        <w:rPr>
          <w:spacing w:val="-15"/>
          <w:w w:val="105"/>
        </w:rPr>
        <w:t xml:space="preserve"> </w:t>
      </w:r>
      <w:r w:rsidRPr="00EB2BD8">
        <w:rPr>
          <w:w w:val="105"/>
        </w:rPr>
        <w:t>This pilot</w:t>
      </w:r>
      <w:r w:rsidRPr="00EB2BD8">
        <w:rPr>
          <w:spacing w:val="-8"/>
          <w:w w:val="105"/>
        </w:rPr>
        <w:t xml:space="preserve"> </w:t>
      </w:r>
      <w:r w:rsidRPr="00EB2BD8">
        <w:rPr>
          <w:w w:val="105"/>
        </w:rPr>
        <w:t>worked</w:t>
      </w:r>
      <w:r w:rsidRPr="00EB2BD8">
        <w:rPr>
          <w:spacing w:val="-8"/>
          <w:w w:val="105"/>
        </w:rPr>
        <w:t xml:space="preserve"> </w:t>
      </w:r>
      <w:r w:rsidRPr="00EB2BD8">
        <w:rPr>
          <w:w w:val="105"/>
        </w:rPr>
        <w:t>with</w:t>
      </w:r>
      <w:r w:rsidRPr="00EB2BD8">
        <w:rPr>
          <w:spacing w:val="-8"/>
          <w:w w:val="105"/>
        </w:rPr>
        <w:t xml:space="preserve"> </w:t>
      </w:r>
      <w:r w:rsidRPr="00EB2BD8">
        <w:rPr>
          <w:w w:val="105"/>
        </w:rPr>
        <w:t>specific</w:t>
      </w:r>
      <w:r w:rsidRPr="00EB2BD8">
        <w:rPr>
          <w:spacing w:val="-8"/>
          <w:w w:val="105"/>
        </w:rPr>
        <w:t xml:space="preserve"> </w:t>
      </w:r>
      <w:r w:rsidRPr="00EB2BD8">
        <w:rPr>
          <w:w w:val="105"/>
        </w:rPr>
        <w:t>applicants</w:t>
      </w:r>
      <w:r w:rsidRPr="00EB2BD8">
        <w:rPr>
          <w:spacing w:val="-8"/>
          <w:w w:val="105"/>
        </w:rPr>
        <w:t xml:space="preserve"> </w:t>
      </w:r>
      <w:r w:rsidRPr="00EB2BD8">
        <w:rPr>
          <w:w w:val="105"/>
        </w:rPr>
        <w:t>to</w:t>
      </w:r>
      <w:r w:rsidRPr="00EB2BD8">
        <w:rPr>
          <w:spacing w:val="-8"/>
          <w:w w:val="105"/>
        </w:rPr>
        <w:t xml:space="preserve"> </w:t>
      </w:r>
      <w:r w:rsidRPr="00EB2BD8">
        <w:rPr>
          <w:w w:val="105"/>
        </w:rPr>
        <w:t>manage</w:t>
      </w:r>
      <w:r w:rsidRPr="00EB2BD8">
        <w:rPr>
          <w:spacing w:val="-8"/>
          <w:w w:val="105"/>
        </w:rPr>
        <w:t xml:space="preserve"> </w:t>
      </w:r>
      <w:r w:rsidRPr="00EB2BD8">
        <w:rPr>
          <w:w w:val="105"/>
        </w:rPr>
        <w:t>any dependencies with other accreditations and gather feedback.</w:t>
      </w:r>
      <w:r w:rsidRPr="00EB2BD8">
        <w:rPr>
          <w:spacing w:val="-1"/>
          <w:w w:val="105"/>
        </w:rPr>
        <w:t xml:space="preserve"> </w:t>
      </w:r>
      <w:r w:rsidRPr="00EB2BD8">
        <w:rPr>
          <w:w w:val="105"/>
        </w:rPr>
        <w:t>Feedback</w:t>
      </w:r>
      <w:r w:rsidRPr="00EB2BD8">
        <w:rPr>
          <w:spacing w:val="-1"/>
          <w:w w:val="105"/>
        </w:rPr>
        <w:t xml:space="preserve"> </w:t>
      </w:r>
      <w:r w:rsidRPr="00EB2BD8">
        <w:rPr>
          <w:w w:val="105"/>
        </w:rPr>
        <w:t>from</w:t>
      </w:r>
      <w:r w:rsidRPr="00EB2BD8">
        <w:rPr>
          <w:spacing w:val="-1"/>
          <w:w w:val="105"/>
        </w:rPr>
        <w:t xml:space="preserve"> </w:t>
      </w:r>
      <w:r w:rsidRPr="00EB2BD8">
        <w:rPr>
          <w:w w:val="105"/>
        </w:rPr>
        <w:t>practitioners</w:t>
      </w:r>
      <w:r w:rsidRPr="00EB2BD8">
        <w:rPr>
          <w:spacing w:val="-1"/>
          <w:w w:val="105"/>
        </w:rPr>
        <w:t xml:space="preserve"> </w:t>
      </w:r>
      <w:r w:rsidRPr="00EB2BD8">
        <w:rPr>
          <w:w w:val="105"/>
        </w:rPr>
        <w:t>has</w:t>
      </w:r>
      <w:r w:rsidRPr="00EB2BD8">
        <w:rPr>
          <w:spacing w:val="-1"/>
          <w:w w:val="105"/>
        </w:rPr>
        <w:t xml:space="preserve"> </w:t>
      </w:r>
      <w:r w:rsidRPr="00EB2BD8">
        <w:rPr>
          <w:w w:val="105"/>
        </w:rPr>
        <w:t xml:space="preserve">been </w:t>
      </w:r>
      <w:r w:rsidRPr="00EB2BD8">
        <w:rPr>
          <w:spacing w:val="-2"/>
        </w:rPr>
        <w:t>positive</w:t>
      </w:r>
      <w:r w:rsidRPr="00EB2BD8">
        <w:rPr>
          <w:spacing w:val="-11"/>
        </w:rPr>
        <w:t xml:space="preserve"> </w:t>
      </w:r>
      <w:r w:rsidRPr="00EB2BD8">
        <w:rPr>
          <w:spacing w:val="-2"/>
        </w:rPr>
        <w:t>with</w:t>
      </w:r>
      <w:r w:rsidRPr="00EB2BD8">
        <w:rPr>
          <w:spacing w:val="-11"/>
        </w:rPr>
        <w:t xml:space="preserve"> </w:t>
      </w:r>
      <w:r w:rsidRPr="00EB2BD8">
        <w:rPr>
          <w:spacing w:val="-2"/>
        </w:rPr>
        <w:t>an</w:t>
      </w:r>
      <w:r w:rsidRPr="00EB2BD8">
        <w:rPr>
          <w:spacing w:val="-11"/>
        </w:rPr>
        <w:t xml:space="preserve"> </w:t>
      </w:r>
      <w:r w:rsidRPr="00EB2BD8">
        <w:rPr>
          <w:spacing w:val="-2"/>
        </w:rPr>
        <w:t>average</w:t>
      </w:r>
      <w:r w:rsidRPr="00EB2BD8">
        <w:rPr>
          <w:spacing w:val="-11"/>
        </w:rPr>
        <w:t xml:space="preserve"> </w:t>
      </w:r>
      <w:r w:rsidRPr="00EB2BD8">
        <w:rPr>
          <w:spacing w:val="-2"/>
        </w:rPr>
        <w:t>score</w:t>
      </w:r>
      <w:r w:rsidRPr="00EB2BD8">
        <w:rPr>
          <w:spacing w:val="-11"/>
        </w:rPr>
        <w:t xml:space="preserve"> </w:t>
      </w:r>
      <w:r w:rsidRPr="00EB2BD8">
        <w:rPr>
          <w:spacing w:val="-2"/>
        </w:rPr>
        <w:t>of</w:t>
      </w:r>
      <w:r w:rsidRPr="00EB2BD8">
        <w:rPr>
          <w:spacing w:val="-11"/>
        </w:rPr>
        <w:t xml:space="preserve"> </w:t>
      </w:r>
      <w:r w:rsidRPr="00EB2BD8">
        <w:rPr>
          <w:spacing w:val="-2"/>
        </w:rPr>
        <w:t>8.7</w:t>
      </w:r>
      <w:r w:rsidRPr="00EB2BD8">
        <w:rPr>
          <w:spacing w:val="-11"/>
        </w:rPr>
        <w:t xml:space="preserve"> </w:t>
      </w:r>
      <w:r w:rsidRPr="00EB2BD8">
        <w:rPr>
          <w:spacing w:val="-2"/>
        </w:rPr>
        <w:t>out</w:t>
      </w:r>
      <w:r w:rsidRPr="00EB2BD8">
        <w:rPr>
          <w:spacing w:val="-11"/>
        </w:rPr>
        <w:t xml:space="preserve"> </w:t>
      </w:r>
      <w:r w:rsidRPr="00EB2BD8">
        <w:rPr>
          <w:spacing w:val="-2"/>
        </w:rPr>
        <w:t>of</w:t>
      </w:r>
      <w:r w:rsidRPr="00EB2BD8">
        <w:rPr>
          <w:spacing w:val="-11"/>
        </w:rPr>
        <w:t xml:space="preserve"> </w:t>
      </w:r>
      <w:r w:rsidRPr="00EB2BD8">
        <w:rPr>
          <w:spacing w:val="-2"/>
        </w:rPr>
        <w:t>10</w:t>
      </w:r>
      <w:r w:rsidRPr="00EB2BD8">
        <w:rPr>
          <w:spacing w:val="-11"/>
        </w:rPr>
        <w:t xml:space="preserve"> </w:t>
      </w:r>
      <w:r w:rsidRPr="00EB2BD8">
        <w:rPr>
          <w:spacing w:val="-2"/>
        </w:rPr>
        <w:t>for</w:t>
      </w:r>
      <w:r w:rsidRPr="00EB2BD8">
        <w:rPr>
          <w:spacing w:val="-11"/>
        </w:rPr>
        <w:t xml:space="preserve"> </w:t>
      </w:r>
      <w:r w:rsidRPr="00EB2BD8">
        <w:rPr>
          <w:spacing w:val="-2"/>
        </w:rPr>
        <w:t xml:space="preserve">users </w:t>
      </w:r>
      <w:r w:rsidRPr="00EB2BD8">
        <w:rPr>
          <w:w w:val="105"/>
        </w:rPr>
        <w:t>in the financial year.</w:t>
      </w:r>
    </w:p>
    <w:p w14:paraId="238D02A2" w14:textId="77777777" w:rsidR="00084F36" w:rsidRPr="00EB2BD8" w:rsidRDefault="00EB2BD8">
      <w:pPr>
        <w:pStyle w:val="BodyText"/>
        <w:spacing w:before="107" w:line="261" w:lineRule="auto"/>
        <w:ind w:left="850" w:right="145"/>
      </w:pPr>
      <w:r w:rsidRPr="00EB2BD8">
        <w:t>A broader rollout of Online Interactive Forms for Building Practitioner applications is planned, using feedback</w:t>
      </w:r>
      <w:r w:rsidRPr="00EB2BD8">
        <w:rPr>
          <w:spacing w:val="-13"/>
        </w:rPr>
        <w:t xml:space="preserve"> </w:t>
      </w:r>
      <w:r w:rsidRPr="00EB2BD8">
        <w:t>from</w:t>
      </w:r>
      <w:r w:rsidRPr="00EB2BD8">
        <w:rPr>
          <w:spacing w:val="-13"/>
        </w:rPr>
        <w:t xml:space="preserve"> </w:t>
      </w:r>
      <w:r w:rsidRPr="00EB2BD8">
        <w:t>the</w:t>
      </w:r>
      <w:r w:rsidRPr="00EB2BD8">
        <w:rPr>
          <w:spacing w:val="-13"/>
        </w:rPr>
        <w:t xml:space="preserve"> </w:t>
      </w:r>
      <w:r w:rsidRPr="00EB2BD8">
        <w:t>pilot.</w:t>
      </w:r>
      <w:r w:rsidRPr="00EB2BD8">
        <w:rPr>
          <w:spacing w:val="-13"/>
        </w:rPr>
        <w:t xml:space="preserve"> </w:t>
      </w:r>
      <w:r w:rsidRPr="00EB2BD8">
        <w:t>This</w:t>
      </w:r>
      <w:r w:rsidRPr="00EB2BD8">
        <w:rPr>
          <w:spacing w:val="-13"/>
        </w:rPr>
        <w:t xml:space="preserve"> </w:t>
      </w:r>
      <w:r w:rsidRPr="00EB2BD8">
        <w:t>will</w:t>
      </w:r>
      <w:r w:rsidRPr="00EB2BD8">
        <w:rPr>
          <w:spacing w:val="-13"/>
        </w:rPr>
        <w:t xml:space="preserve"> </w:t>
      </w:r>
      <w:r w:rsidRPr="00EB2BD8">
        <w:t>replace</w:t>
      </w:r>
      <w:r w:rsidRPr="00EB2BD8">
        <w:rPr>
          <w:spacing w:val="-13"/>
        </w:rPr>
        <w:t xml:space="preserve"> </w:t>
      </w:r>
      <w:r w:rsidRPr="00EB2BD8">
        <w:t>more</w:t>
      </w:r>
      <w:r w:rsidRPr="00EB2BD8">
        <w:rPr>
          <w:spacing w:val="-13"/>
        </w:rPr>
        <w:t xml:space="preserve"> </w:t>
      </w:r>
      <w:r w:rsidRPr="00EB2BD8">
        <w:t>than 40 PDF forms. Key benefits for practitioners will include</w:t>
      </w:r>
      <w:r w:rsidRPr="00EB2BD8">
        <w:rPr>
          <w:spacing w:val="-4"/>
        </w:rPr>
        <w:t xml:space="preserve"> </w:t>
      </w:r>
      <w:r w:rsidRPr="00EB2BD8">
        <w:t>tracking</w:t>
      </w:r>
      <w:r w:rsidRPr="00EB2BD8">
        <w:rPr>
          <w:spacing w:val="-4"/>
        </w:rPr>
        <w:t xml:space="preserve"> </w:t>
      </w:r>
      <w:r w:rsidRPr="00EB2BD8">
        <w:t>progress</w:t>
      </w:r>
      <w:r w:rsidRPr="00EB2BD8">
        <w:rPr>
          <w:spacing w:val="-4"/>
        </w:rPr>
        <w:t xml:space="preserve"> </w:t>
      </w:r>
      <w:r w:rsidRPr="00EB2BD8">
        <w:t>of</w:t>
      </w:r>
      <w:r w:rsidRPr="00EB2BD8">
        <w:rPr>
          <w:spacing w:val="-4"/>
        </w:rPr>
        <w:t xml:space="preserve"> </w:t>
      </w:r>
      <w:r w:rsidRPr="00EB2BD8">
        <w:t>their</w:t>
      </w:r>
      <w:r w:rsidRPr="00EB2BD8">
        <w:rPr>
          <w:spacing w:val="-4"/>
        </w:rPr>
        <w:t xml:space="preserve"> </w:t>
      </w:r>
      <w:r w:rsidRPr="00EB2BD8">
        <w:t>application</w:t>
      </w:r>
      <w:r w:rsidRPr="00EB2BD8">
        <w:rPr>
          <w:spacing w:val="-4"/>
        </w:rPr>
        <w:t xml:space="preserve"> </w:t>
      </w:r>
      <w:r w:rsidRPr="00EB2BD8">
        <w:t>input and applicant guidance to improve application completeness. Complete applications result in approved applicants being registered sooner.</w:t>
      </w:r>
    </w:p>
    <w:p w14:paraId="73AACD33" w14:textId="77777777" w:rsidR="00084F36" w:rsidRPr="00EB2BD8" w:rsidRDefault="00EB2BD8" w:rsidP="00EB2BD8">
      <w:pPr>
        <w:pStyle w:val="Heading2"/>
        <w:ind w:left="426"/>
      </w:pPr>
      <w:r w:rsidRPr="00EB2BD8">
        <w:br w:type="column"/>
      </w:r>
      <w:bookmarkStart w:id="128" w:name="_Toc150762430"/>
      <w:r w:rsidRPr="00EB2BD8">
        <w:t>Partnering</w:t>
      </w:r>
      <w:r w:rsidRPr="00EB2BD8">
        <w:rPr>
          <w:spacing w:val="-22"/>
        </w:rPr>
        <w:t xml:space="preserve"> </w:t>
      </w:r>
      <w:r w:rsidRPr="00EB2BD8">
        <w:t>with</w:t>
      </w:r>
      <w:r w:rsidRPr="00EB2BD8">
        <w:rPr>
          <w:spacing w:val="-22"/>
        </w:rPr>
        <w:t xml:space="preserve"> </w:t>
      </w:r>
      <w:r w:rsidRPr="00EB2BD8">
        <w:t xml:space="preserve">Services </w:t>
      </w:r>
      <w:r w:rsidRPr="00EB2BD8">
        <w:rPr>
          <w:spacing w:val="-2"/>
        </w:rPr>
        <w:t>Victoria</w:t>
      </w:r>
      <w:bookmarkEnd w:id="128"/>
    </w:p>
    <w:p w14:paraId="7A8F213F" w14:textId="77777777" w:rsidR="00084F36" w:rsidRPr="00EB2BD8" w:rsidRDefault="00EB2BD8">
      <w:pPr>
        <w:pStyle w:val="BodyText"/>
        <w:spacing w:before="134" w:line="261" w:lineRule="auto"/>
        <w:ind w:left="507" w:right="1035"/>
      </w:pPr>
      <w:r w:rsidRPr="00EB2BD8">
        <w:t>The VBA worked with Service Victoria to implement Service Victoria user accounts as method of access</w:t>
      </w:r>
      <w:r w:rsidRPr="00EB2BD8">
        <w:rPr>
          <w:spacing w:val="80"/>
        </w:rPr>
        <w:t xml:space="preserve"> </w:t>
      </w:r>
      <w:r w:rsidRPr="00EB2BD8">
        <w:t>to</w:t>
      </w:r>
      <w:r w:rsidRPr="00EB2BD8">
        <w:rPr>
          <w:spacing w:val="-9"/>
        </w:rPr>
        <w:t xml:space="preserve"> </w:t>
      </w:r>
      <w:r w:rsidRPr="00EB2BD8">
        <w:t>the</w:t>
      </w:r>
      <w:r w:rsidRPr="00EB2BD8">
        <w:rPr>
          <w:spacing w:val="-9"/>
        </w:rPr>
        <w:t xml:space="preserve"> </w:t>
      </w:r>
      <w:r w:rsidRPr="00EB2BD8">
        <w:t>VBA</w:t>
      </w:r>
      <w:r w:rsidRPr="00EB2BD8">
        <w:rPr>
          <w:spacing w:val="-9"/>
        </w:rPr>
        <w:t xml:space="preserve"> </w:t>
      </w:r>
      <w:r w:rsidRPr="00EB2BD8">
        <w:t>consolidated</w:t>
      </w:r>
      <w:r w:rsidRPr="00EB2BD8">
        <w:rPr>
          <w:spacing w:val="-9"/>
        </w:rPr>
        <w:t xml:space="preserve"> </w:t>
      </w:r>
      <w:r w:rsidRPr="00EB2BD8">
        <w:t>regulatory</w:t>
      </w:r>
      <w:r w:rsidRPr="00EB2BD8">
        <w:rPr>
          <w:spacing w:val="-9"/>
        </w:rPr>
        <w:t xml:space="preserve"> </w:t>
      </w:r>
      <w:r w:rsidRPr="00EB2BD8">
        <w:t>platform.</w:t>
      </w:r>
      <w:r w:rsidRPr="00EB2BD8">
        <w:rPr>
          <w:spacing w:val="-9"/>
        </w:rPr>
        <w:t xml:space="preserve"> </w:t>
      </w:r>
      <w:r w:rsidRPr="00EB2BD8">
        <w:t>This</w:t>
      </w:r>
      <w:r w:rsidRPr="00EB2BD8">
        <w:rPr>
          <w:spacing w:val="-9"/>
        </w:rPr>
        <w:t xml:space="preserve"> </w:t>
      </w:r>
      <w:r w:rsidRPr="00EB2BD8">
        <w:t>was first released for users of the VBA Building Activity Management System and the Building Practitioner</w:t>
      </w:r>
    </w:p>
    <w:p w14:paraId="5FFB7AAD" w14:textId="77777777" w:rsidR="00084F36" w:rsidRPr="00EB2BD8" w:rsidRDefault="00EB2BD8">
      <w:pPr>
        <w:pStyle w:val="BodyText"/>
        <w:spacing w:line="261" w:lineRule="auto"/>
        <w:ind w:left="507" w:right="831"/>
      </w:pPr>
      <w:r w:rsidRPr="00EB2BD8">
        <w:t>Portal</w:t>
      </w:r>
      <w:r w:rsidRPr="00EB2BD8">
        <w:rPr>
          <w:spacing w:val="-7"/>
        </w:rPr>
        <w:t xml:space="preserve"> </w:t>
      </w:r>
      <w:r w:rsidRPr="00EB2BD8">
        <w:t>to</w:t>
      </w:r>
      <w:r w:rsidRPr="00EB2BD8">
        <w:rPr>
          <w:spacing w:val="-7"/>
        </w:rPr>
        <w:t xml:space="preserve"> </w:t>
      </w:r>
      <w:r w:rsidRPr="00EB2BD8">
        <w:t>login</w:t>
      </w:r>
      <w:r w:rsidRPr="00EB2BD8">
        <w:rPr>
          <w:spacing w:val="-7"/>
        </w:rPr>
        <w:t xml:space="preserve"> </w:t>
      </w:r>
      <w:r w:rsidRPr="00EB2BD8">
        <w:t>with</w:t>
      </w:r>
      <w:r w:rsidRPr="00EB2BD8">
        <w:rPr>
          <w:spacing w:val="-7"/>
        </w:rPr>
        <w:t xml:space="preserve"> </w:t>
      </w:r>
      <w:r w:rsidRPr="00EB2BD8">
        <w:t>Service</w:t>
      </w:r>
      <w:r w:rsidRPr="00EB2BD8">
        <w:rPr>
          <w:spacing w:val="-7"/>
        </w:rPr>
        <w:t xml:space="preserve"> </w:t>
      </w:r>
      <w:r w:rsidRPr="00EB2BD8">
        <w:t>Victoria</w:t>
      </w:r>
      <w:r w:rsidRPr="00EB2BD8">
        <w:rPr>
          <w:spacing w:val="-7"/>
        </w:rPr>
        <w:t xml:space="preserve"> </w:t>
      </w:r>
      <w:r w:rsidRPr="00EB2BD8">
        <w:t>user</w:t>
      </w:r>
      <w:r w:rsidRPr="00EB2BD8">
        <w:rPr>
          <w:spacing w:val="-7"/>
        </w:rPr>
        <w:t xml:space="preserve"> </w:t>
      </w:r>
      <w:r w:rsidRPr="00EB2BD8">
        <w:t>accounts.</w:t>
      </w:r>
      <w:r w:rsidRPr="00EB2BD8">
        <w:rPr>
          <w:spacing w:val="-7"/>
        </w:rPr>
        <w:t xml:space="preserve"> </w:t>
      </w:r>
      <w:r w:rsidRPr="00EB2BD8">
        <w:t>It</w:t>
      </w:r>
      <w:r w:rsidRPr="00EB2BD8">
        <w:rPr>
          <w:spacing w:val="-7"/>
        </w:rPr>
        <w:t xml:space="preserve"> </w:t>
      </w:r>
      <w:r w:rsidRPr="00EB2BD8">
        <w:t>has now been extended for the practitioners applying for registration using the Online Interactive Forms pilot.</w:t>
      </w:r>
    </w:p>
    <w:p w14:paraId="4D9E2460" w14:textId="77777777" w:rsidR="00084F36" w:rsidRPr="00EB2BD8" w:rsidRDefault="00EB2BD8">
      <w:pPr>
        <w:pStyle w:val="BodyText"/>
        <w:spacing w:before="162" w:line="261" w:lineRule="auto"/>
        <w:ind w:left="507" w:right="831"/>
      </w:pPr>
      <w:r w:rsidRPr="00EB2BD8">
        <w:t>The VBA also integrated the Services Victoria digital Identity Verification capability. This was first released for</w:t>
      </w:r>
      <w:r w:rsidRPr="00EB2BD8">
        <w:rPr>
          <w:spacing w:val="-2"/>
        </w:rPr>
        <w:t xml:space="preserve"> </w:t>
      </w:r>
      <w:r w:rsidRPr="00EB2BD8">
        <w:t>users</w:t>
      </w:r>
      <w:r w:rsidRPr="00EB2BD8">
        <w:rPr>
          <w:spacing w:val="-2"/>
        </w:rPr>
        <w:t xml:space="preserve"> </w:t>
      </w:r>
      <w:r w:rsidRPr="00EB2BD8">
        <w:t>of</w:t>
      </w:r>
      <w:r w:rsidRPr="00EB2BD8">
        <w:rPr>
          <w:spacing w:val="-2"/>
        </w:rPr>
        <w:t xml:space="preserve"> </w:t>
      </w:r>
      <w:r w:rsidRPr="00EB2BD8">
        <w:t>the</w:t>
      </w:r>
      <w:r w:rsidRPr="00EB2BD8">
        <w:rPr>
          <w:spacing w:val="-2"/>
        </w:rPr>
        <w:t xml:space="preserve"> </w:t>
      </w:r>
      <w:r w:rsidRPr="00EB2BD8">
        <w:t>Licensing</w:t>
      </w:r>
      <w:r w:rsidRPr="00EB2BD8">
        <w:rPr>
          <w:spacing w:val="-2"/>
        </w:rPr>
        <w:t xml:space="preserve"> </w:t>
      </w:r>
      <w:r w:rsidRPr="00EB2BD8">
        <w:t>Registration</w:t>
      </w:r>
      <w:r w:rsidRPr="00EB2BD8">
        <w:rPr>
          <w:spacing w:val="-2"/>
        </w:rPr>
        <w:t xml:space="preserve"> </w:t>
      </w:r>
      <w:r w:rsidRPr="00EB2BD8">
        <w:t>System</w:t>
      </w:r>
      <w:r w:rsidRPr="00EB2BD8">
        <w:rPr>
          <w:spacing w:val="-2"/>
        </w:rPr>
        <w:t xml:space="preserve"> </w:t>
      </w:r>
      <w:r w:rsidRPr="00EB2BD8">
        <w:t>(LRS)</w:t>
      </w:r>
      <w:r w:rsidRPr="00EB2BD8">
        <w:rPr>
          <w:spacing w:val="-2"/>
        </w:rPr>
        <w:t xml:space="preserve"> </w:t>
      </w:r>
      <w:r w:rsidRPr="00EB2BD8">
        <w:t>and practitioners applying for registration using the Online Interactive</w:t>
      </w:r>
      <w:r w:rsidRPr="00EB2BD8">
        <w:rPr>
          <w:spacing w:val="-14"/>
        </w:rPr>
        <w:t xml:space="preserve"> </w:t>
      </w:r>
      <w:r w:rsidRPr="00EB2BD8">
        <w:t>Forms</w:t>
      </w:r>
      <w:r w:rsidRPr="00EB2BD8">
        <w:rPr>
          <w:spacing w:val="-14"/>
        </w:rPr>
        <w:t xml:space="preserve"> </w:t>
      </w:r>
      <w:r w:rsidRPr="00EB2BD8">
        <w:t>pilot.</w:t>
      </w:r>
      <w:r w:rsidRPr="00EB2BD8">
        <w:rPr>
          <w:spacing w:val="-14"/>
        </w:rPr>
        <w:t xml:space="preserve"> </w:t>
      </w:r>
      <w:r w:rsidRPr="00EB2BD8">
        <w:t>The</w:t>
      </w:r>
      <w:r w:rsidRPr="00EB2BD8">
        <w:rPr>
          <w:spacing w:val="-14"/>
        </w:rPr>
        <w:t xml:space="preserve"> </w:t>
      </w:r>
      <w:r w:rsidRPr="00EB2BD8">
        <w:t>broader</w:t>
      </w:r>
      <w:r w:rsidRPr="00EB2BD8">
        <w:rPr>
          <w:spacing w:val="-14"/>
        </w:rPr>
        <w:t xml:space="preserve"> </w:t>
      </w:r>
      <w:r w:rsidRPr="00EB2BD8">
        <w:t>rollout</w:t>
      </w:r>
      <w:r w:rsidRPr="00EB2BD8">
        <w:rPr>
          <w:spacing w:val="-14"/>
        </w:rPr>
        <w:t xml:space="preserve"> </w:t>
      </w:r>
      <w:r w:rsidRPr="00EB2BD8">
        <w:t>of</w:t>
      </w:r>
      <w:r w:rsidRPr="00EB2BD8">
        <w:rPr>
          <w:spacing w:val="-14"/>
        </w:rPr>
        <w:t xml:space="preserve"> </w:t>
      </w:r>
      <w:r w:rsidRPr="00EB2BD8">
        <w:t>the</w:t>
      </w:r>
      <w:r w:rsidRPr="00EB2BD8">
        <w:rPr>
          <w:spacing w:val="-14"/>
        </w:rPr>
        <w:t xml:space="preserve"> </w:t>
      </w:r>
      <w:r w:rsidRPr="00EB2BD8">
        <w:t>Online Interactive</w:t>
      </w:r>
      <w:r w:rsidRPr="00EB2BD8">
        <w:rPr>
          <w:spacing w:val="-10"/>
        </w:rPr>
        <w:t xml:space="preserve"> </w:t>
      </w:r>
      <w:r w:rsidRPr="00EB2BD8">
        <w:t>Forms</w:t>
      </w:r>
      <w:r w:rsidRPr="00EB2BD8">
        <w:rPr>
          <w:spacing w:val="-10"/>
        </w:rPr>
        <w:t xml:space="preserve"> </w:t>
      </w:r>
      <w:r w:rsidRPr="00EB2BD8">
        <w:t>will</w:t>
      </w:r>
      <w:r w:rsidRPr="00EB2BD8">
        <w:rPr>
          <w:spacing w:val="-10"/>
        </w:rPr>
        <w:t xml:space="preserve"> </w:t>
      </w:r>
      <w:r w:rsidRPr="00EB2BD8">
        <w:t>offer</w:t>
      </w:r>
      <w:r w:rsidRPr="00EB2BD8">
        <w:rPr>
          <w:spacing w:val="-10"/>
        </w:rPr>
        <w:t xml:space="preserve"> </w:t>
      </w:r>
      <w:r w:rsidRPr="00EB2BD8">
        <w:t>this</w:t>
      </w:r>
      <w:r w:rsidRPr="00EB2BD8">
        <w:rPr>
          <w:spacing w:val="-10"/>
        </w:rPr>
        <w:t xml:space="preserve"> </w:t>
      </w:r>
      <w:r w:rsidRPr="00EB2BD8">
        <w:t>feature</w:t>
      </w:r>
      <w:r w:rsidRPr="00EB2BD8">
        <w:rPr>
          <w:spacing w:val="-10"/>
        </w:rPr>
        <w:t xml:space="preserve"> </w:t>
      </w:r>
      <w:r w:rsidRPr="00EB2BD8">
        <w:t>to</w:t>
      </w:r>
      <w:r w:rsidRPr="00EB2BD8">
        <w:rPr>
          <w:spacing w:val="-10"/>
        </w:rPr>
        <w:t xml:space="preserve"> </w:t>
      </w:r>
      <w:r w:rsidRPr="00EB2BD8">
        <w:t>streamline</w:t>
      </w:r>
      <w:r w:rsidRPr="00EB2BD8">
        <w:rPr>
          <w:spacing w:val="-10"/>
        </w:rPr>
        <w:t xml:space="preserve"> </w:t>
      </w:r>
      <w:r w:rsidRPr="00EB2BD8">
        <w:t>the practitioner online experience.</w:t>
      </w:r>
    </w:p>
    <w:p w14:paraId="46E6556F" w14:textId="77777777" w:rsidR="00084F36" w:rsidRPr="00EB2BD8" w:rsidRDefault="00EB2BD8">
      <w:pPr>
        <w:pStyle w:val="BodyText"/>
        <w:spacing w:before="106" w:line="261" w:lineRule="auto"/>
        <w:ind w:left="507" w:right="630"/>
      </w:pPr>
      <w:r w:rsidRPr="00EB2BD8">
        <w:t>The VBA has developed a Digital Practitioner Card with Service Victoria using their established Digital Token capability. The joint project has conducted usability testing</w:t>
      </w:r>
      <w:r w:rsidRPr="00EB2BD8">
        <w:rPr>
          <w:spacing w:val="-2"/>
        </w:rPr>
        <w:t xml:space="preserve"> </w:t>
      </w:r>
      <w:r w:rsidRPr="00EB2BD8">
        <w:t>with</w:t>
      </w:r>
      <w:r w:rsidRPr="00EB2BD8">
        <w:rPr>
          <w:spacing w:val="-2"/>
        </w:rPr>
        <w:t xml:space="preserve"> </w:t>
      </w:r>
      <w:r w:rsidRPr="00EB2BD8">
        <w:t>user</w:t>
      </w:r>
      <w:r w:rsidRPr="00EB2BD8">
        <w:rPr>
          <w:spacing w:val="-2"/>
        </w:rPr>
        <w:t xml:space="preserve"> </w:t>
      </w:r>
      <w:r w:rsidRPr="00EB2BD8">
        <w:t>candidates</w:t>
      </w:r>
      <w:r w:rsidRPr="00EB2BD8">
        <w:rPr>
          <w:spacing w:val="-2"/>
        </w:rPr>
        <w:t xml:space="preserve"> </w:t>
      </w:r>
      <w:r w:rsidRPr="00EB2BD8">
        <w:t>and</w:t>
      </w:r>
      <w:r w:rsidRPr="00EB2BD8">
        <w:rPr>
          <w:spacing w:val="-2"/>
        </w:rPr>
        <w:t xml:space="preserve"> </w:t>
      </w:r>
      <w:r w:rsidRPr="00EB2BD8">
        <w:t>engaged</w:t>
      </w:r>
      <w:r w:rsidRPr="00EB2BD8">
        <w:rPr>
          <w:spacing w:val="-2"/>
        </w:rPr>
        <w:t xml:space="preserve"> </w:t>
      </w:r>
      <w:r w:rsidRPr="00EB2BD8">
        <w:t>with</w:t>
      </w:r>
      <w:r w:rsidRPr="00EB2BD8">
        <w:rPr>
          <w:spacing w:val="-2"/>
        </w:rPr>
        <w:t xml:space="preserve"> </w:t>
      </w:r>
      <w:r w:rsidRPr="00EB2BD8">
        <w:t>industry bodies to capture the needs of stakeholders. The</w:t>
      </w:r>
    </w:p>
    <w:p w14:paraId="0D686602" w14:textId="77777777" w:rsidR="00084F36" w:rsidRPr="00EB2BD8" w:rsidRDefault="00EB2BD8">
      <w:pPr>
        <w:pStyle w:val="BodyText"/>
        <w:spacing w:line="261" w:lineRule="auto"/>
        <w:ind w:left="507" w:right="1009"/>
      </w:pPr>
      <w:r w:rsidRPr="00EB2BD8">
        <w:t>Digital</w:t>
      </w:r>
      <w:r w:rsidRPr="00EB2BD8">
        <w:rPr>
          <w:spacing w:val="-4"/>
        </w:rPr>
        <w:t xml:space="preserve"> </w:t>
      </w:r>
      <w:r w:rsidRPr="00EB2BD8">
        <w:t>Practitioner</w:t>
      </w:r>
      <w:r w:rsidRPr="00EB2BD8">
        <w:rPr>
          <w:spacing w:val="-4"/>
        </w:rPr>
        <w:t xml:space="preserve"> </w:t>
      </w:r>
      <w:r w:rsidRPr="00EB2BD8">
        <w:t>Card</w:t>
      </w:r>
      <w:r w:rsidRPr="00EB2BD8">
        <w:rPr>
          <w:spacing w:val="-4"/>
        </w:rPr>
        <w:t xml:space="preserve"> </w:t>
      </w:r>
      <w:r w:rsidRPr="00EB2BD8">
        <w:t>has</w:t>
      </w:r>
      <w:r w:rsidRPr="00EB2BD8">
        <w:rPr>
          <w:spacing w:val="-4"/>
        </w:rPr>
        <w:t xml:space="preserve"> </w:t>
      </w:r>
      <w:r w:rsidRPr="00EB2BD8">
        <w:t>undergone</w:t>
      </w:r>
      <w:r w:rsidRPr="00EB2BD8">
        <w:rPr>
          <w:spacing w:val="-4"/>
        </w:rPr>
        <w:t xml:space="preserve"> </w:t>
      </w:r>
      <w:r w:rsidRPr="00EB2BD8">
        <w:t>initial</w:t>
      </w:r>
      <w:r w:rsidRPr="00EB2BD8">
        <w:rPr>
          <w:spacing w:val="-4"/>
        </w:rPr>
        <w:t xml:space="preserve"> </w:t>
      </w:r>
      <w:r w:rsidRPr="00EB2BD8">
        <w:t>testing and is planned to pilot with selected practitioners after the Online Interactive Forms are released. Many</w:t>
      </w:r>
    </w:p>
    <w:p w14:paraId="791E16AB" w14:textId="77777777" w:rsidR="00084F36" w:rsidRPr="00EB2BD8" w:rsidRDefault="00EB2BD8">
      <w:pPr>
        <w:pStyle w:val="BodyText"/>
        <w:spacing w:line="261" w:lineRule="auto"/>
        <w:ind w:left="507" w:right="831"/>
      </w:pPr>
      <w:r w:rsidRPr="00EB2BD8">
        <w:t>practitioners</w:t>
      </w:r>
      <w:r w:rsidRPr="00EB2BD8">
        <w:rPr>
          <w:spacing w:val="-8"/>
        </w:rPr>
        <w:t xml:space="preserve"> </w:t>
      </w:r>
      <w:r w:rsidRPr="00EB2BD8">
        <w:t>are</w:t>
      </w:r>
      <w:r w:rsidRPr="00EB2BD8">
        <w:rPr>
          <w:spacing w:val="-8"/>
        </w:rPr>
        <w:t xml:space="preserve"> </w:t>
      </w:r>
      <w:r w:rsidRPr="00EB2BD8">
        <w:t>familiar</w:t>
      </w:r>
      <w:r w:rsidRPr="00EB2BD8">
        <w:rPr>
          <w:spacing w:val="-8"/>
        </w:rPr>
        <w:t xml:space="preserve"> </w:t>
      </w:r>
      <w:r w:rsidRPr="00EB2BD8">
        <w:t>with</w:t>
      </w:r>
      <w:r w:rsidRPr="00EB2BD8">
        <w:rPr>
          <w:spacing w:val="-8"/>
        </w:rPr>
        <w:t xml:space="preserve"> </w:t>
      </w:r>
      <w:r w:rsidRPr="00EB2BD8">
        <w:t>using</w:t>
      </w:r>
      <w:r w:rsidRPr="00EB2BD8">
        <w:rPr>
          <w:spacing w:val="-8"/>
        </w:rPr>
        <w:t xml:space="preserve"> </w:t>
      </w:r>
      <w:r w:rsidRPr="00EB2BD8">
        <w:t>their</w:t>
      </w:r>
      <w:r w:rsidRPr="00EB2BD8">
        <w:rPr>
          <w:spacing w:val="-8"/>
        </w:rPr>
        <w:t xml:space="preserve"> </w:t>
      </w:r>
      <w:r w:rsidRPr="00EB2BD8">
        <w:t>mobile</w:t>
      </w:r>
      <w:r w:rsidRPr="00EB2BD8">
        <w:rPr>
          <w:spacing w:val="-8"/>
        </w:rPr>
        <w:t xml:space="preserve"> </w:t>
      </w:r>
      <w:r w:rsidRPr="00EB2BD8">
        <w:t>phone in place of payment cards and joint VBA and Service Victoria</w:t>
      </w:r>
      <w:r w:rsidRPr="00EB2BD8">
        <w:rPr>
          <w:spacing w:val="-6"/>
        </w:rPr>
        <w:t xml:space="preserve"> </w:t>
      </w:r>
      <w:r w:rsidRPr="00EB2BD8">
        <w:t>initiative</w:t>
      </w:r>
      <w:r w:rsidRPr="00EB2BD8">
        <w:rPr>
          <w:spacing w:val="-6"/>
        </w:rPr>
        <w:t xml:space="preserve"> </w:t>
      </w:r>
      <w:r w:rsidRPr="00EB2BD8">
        <w:t>supports</w:t>
      </w:r>
      <w:r w:rsidRPr="00EB2BD8">
        <w:rPr>
          <w:spacing w:val="-6"/>
        </w:rPr>
        <w:t xml:space="preserve"> </w:t>
      </w:r>
      <w:r w:rsidRPr="00EB2BD8">
        <w:t>practitioners</w:t>
      </w:r>
      <w:r w:rsidRPr="00EB2BD8">
        <w:rPr>
          <w:spacing w:val="-6"/>
        </w:rPr>
        <w:t xml:space="preserve"> </w:t>
      </w:r>
      <w:r w:rsidRPr="00EB2BD8">
        <w:t>who</w:t>
      </w:r>
      <w:r w:rsidRPr="00EB2BD8">
        <w:rPr>
          <w:spacing w:val="-6"/>
        </w:rPr>
        <w:t xml:space="preserve"> </w:t>
      </w:r>
      <w:r w:rsidRPr="00EB2BD8">
        <w:t>operate</w:t>
      </w:r>
      <w:r w:rsidRPr="00EB2BD8">
        <w:rPr>
          <w:spacing w:val="-6"/>
        </w:rPr>
        <w:t xml:space="preserve"> </w:t>
      </w:r>
      <w:r w:rsidRPr="00EB2BD8">
        <w:t>in this digitally equipped approach.</w:t>
      </w:r>
    </w:p>
    <w:p w14:paraId="125883F4" w14:textId="77777777" w:rsidR="00084F36" w:rsidRPr="00EB2BD8" w:rsidRDefault="00084F36">
      <w:pPr>
        <w:spacing w:line="261" w:lineRule="auto"/>
        <w:sectPr w:rsidR="00084F36" w:rsidRPr="00EB2BD8" w:rsidSect="006D75B2">
          <w:type w:val="continuous"/>
          <w:pgSz w:w="11910" w:h="16840"/>
          <w:pgMar w:top="1920" w:right="0" w:bottom="280" w:left="0" w:header="0" w:footer="917" w:gutter="0"/>
          <w:cols w:num="2" w:space="720" w:equalWidth="0">
            <w:col w:w="5633" w:space="40"/>
            <w:col w:w="6237"/>
          </w:cols>
        </w:sectPr>
      </w:pPr>
    </w:p>
    <w:p w14:paraId="68CAD56B" w14:textId="77777777" w:rsidR="00084F36" w:rsidRPr="00EB2BD8" w:rsidRDefault="00084F36">
      <w:pPr>
        <w:pStyle w:val="BodyText"/>
        <w:rPr>
          <w:sz w:val="20"/>
        </w:rPr>
      </w:pPr>
    </w:p>
    <w:p w14:paraId="486A6966" w14:textId="77777777" w:rsidR="00084F36" w:rsidRPr="00EB2BD8" w:rsidRDefault="00084F36">
      <w:pPr>
        <w:pStyle w:val="BodyText"/>
        <w:rPr>
          <w:sz w:val="20"/>
        </w:rPr>
      </w:pPr>
    </w:p>
    <w:p w14:paraId="355A4DBD" w14:textId="77777777" w:rsidR="00084F36" w:rsidRPr="00EB2BD8" w:rsidRDefault="00084F36">
      <w:pPr>
        <w:pStyle w:val="BodyText"/>
        <w:rPr>
          <w:sz w:val="20"/>
        </w:rPr>
      </w:pPr>
    </w:p>
    <w:p w14:paraId="646523C6" w14:textId="77777777" w:rsidR="00084F36" w:rsidRPr="00EB2BD8" w:rsidRDefault="00084F36">
      <w:pPr>
        <w:pStyle w:val="BodyText"/>
        <w:rPr>
          <w:sz w:val="20"/>
        </w:rPr>
      </w:pPr>
    </w:p>
    <w:p w14:paraId="171A5426" w14:textId="77777777" w:rsidR="00084F36" w:rsidRPr="00EB2BD8" w:rsidRDefault="00084F36">
      <w:pPr>
        <w:pStyle w:val="BodyText"/>
        <w:spacing w:before="2"/>
        <w:rPr>
          <w:sz w:val="16"/>
        </w:rPr>
      </w:pPr>
    </w:p>
    <w:p w14:paraId="681AFAE3" w14:textId="77777777" w:rsidR="00084F36" w:rsidRPr="00EB2BD8" w:rsidRDefault="00084F36">
      <w:pPr>
        <w:rPr>
          <w:sz w:val="16"/>
        </w:rPr>
        <w:sectPr w:rsidR="00084F36" w:rsidRPr="00EB2BD8" w:rsidSect="006D75B2">
          <w:footerReference w:type="default" r:id="rId153"/>
          <w:pgSz w:w="11910" w:h="16840"/>
          <w:pgMar w:top="1100" w:right="0" w:bottom="700" w:left="0" w:header="0" w:footer="515" w:gutter="0"/>
          <w:cols w:space="720"/>
        </w:sectPr>
      </w:pPr>
    </w:p>
    <w:p w14:paraId="6E17C26F" w14:textId="77777777" w:rsidR="00084F36" w:rsidRPr="00EB2BD8" w:rsidRDefault="00EB2BD8" w:rsidP="00EB2BD8">
      <w:pPr>
        <w:pStyle w:val="Heading2"/>
      </w:pPr>
      <w:bookmarkStart w:id="129" w:name="_Toc150762431"/>
      <w:r w:rsidRPr="00EB2BD8">
        <w:rPr>
          <w:i/>
        </w:rPr>
        <w:t>Vision27</w:t>
      </w:r>
      <w:r w:rsidRPr="00EB2BD8">
        <w:rPr>
          <w:i/>
          <w:spacing w:val="-20"/>
        </w:rPr>
        <w:t xml:space="preserve"> </w:t>
      </w:r>
      <w:r w:rsidRPr="00EB2BD8">
        <w:t>progress</w:t>
      </w:r>
      <w:r w:rsidRPr="00EB2BD8">
        <w:rPr>
          <w:spacing w:val="-17"/>
        </w:rPr>
        <w:t xml:space="preserve"> </w:t>
      </w:r>
      <w:r w:rsidRPr="00EB2BD8">
        <w:t>update</w:t>
      </w:r>
      <w:r w:rsidRPr="00EB2BD8">
        <w:rPr>
          <w:spacing w:val="-17"/>
        </w:rPr>
        <w:t xml:space="preserve"> </w:t>
      </w:r>
      <w:r w:rsidRPr="00EB2BD8">
        <w:t>and Regulatory Priorities</w:t>
      </w:r>
      <w:bookmarkEnd w:id="129"/>
    </w:p>
    <w:p w14:paraId="208B12B7" w14:textId="77777777" w:rsidR="00084F36" w:rsidRPr="00EB2BD8" w:rsidRDefault="00EB2BD8">
      <w:pPr>
        <w:pStyle w:val="BodyText"/>
        <w:spacing w:before="123" w:line="261" w:lineRule="auto"/>
        <w:ind w:left="850" w:right="176"/>
      </w:pPr>
      <w:r w:rsidRPr="00EB2BD8">
        <w:t>The VBA continues to embed its harms-based approach</w:t>
      </w:r>
      <w:r w:rsidRPr="00EB2BD8">
        <w:rPr>
          <w:spacing w:val="-10"/>
        </w:rPr>
        <w:t xml:space="preserve"> </w:t>
      </w:r>
      <w:r w:rsidRPr="00EB2BD8">
        <w:t>to</w:t>
      </w:r>
      <w:r w:rsidRPr="00EB2BD8">
        <w:rPr>
          <w:spacing w:val="-10"/>
        </w:rPr>
        <w:t xml:space="preserve"> </w:t>
      </w:r>
      <w:r w:rsidRPr="00EB2BD8">
        <w:t>regulation</w:t>
      </w:r>
      <w:r w:rsidRPr="00EB2BD8">
        <w:rPr>
          <w:spacing w:val="-10"/>
        </w:rPr>
        <w:t xml:space="preserve"> </w:t>
      </w:r>
      <w:r w:rsidRPr="00EB2BD8">
        <w:t>and</w:t>
      </w:r>
      <w:r w:rsidRPr="00EB2BD8">
        <w:rPr>
          <w:spacing w:val="-10"/>
        </w:rPr>
        <w:t xml:space="preserve"> </w:t>
      </w:r>
      <w:r w:rsidRPr="00EB2BD8">
        <w:t>equip</w:t>
      </w:r>
      <w:r w:rsidRPr="00EB2BD8">
        <w:rPr>
          <w:spacing w:val="-10"/>
        </w:rPr>
        <w:t xml:space="preserve"> </w:t>
      </w:r>
      <w:r w:rsidRPr="00EB2BD8">
        <w:t>staff</w:t>
      </w:r>
      <w:r w:rsidRPr="00EB2BD8">
        <w:rPr>
          <w:spacing w:val="-10"/>
        </w:rPr>
        <w:t xml:space="preserve"> </w:t>
      </w:r>
      <w:r w:rsidRPr="00EB2BD8">
        <w:t>with</w:t>
      </w:r>
      <w:r w:rsidRPr="00EB2BD8">
        <w:rPr>
          <w:spacing w:val="-10"/>
        </w:rPr>
        <w:t xml:space="preserve"> </w:t>
      </w:r>
      <w:r w:rsidRPr="00EB2BD8">
        <w:t>the</w:t>
      </w:r>
      <w:r w:rsidRPr="00EB2BD8">
        <w:rPr>
          <w:spacing w:val="-10"/>
        </w:rPr>
        <w:t xml:space="preserve"> </w:t>
      </w:r>
      <w:r w:rsidRPr="00EB2BD8">
        <w:t>tools, processes and capability to optimally identify and address harms in the built environment.</w:t>
      </w:r>
    </w:p>
    <w:p w14:paraId="1259A9A9" w14:textId="77777777" w:rsidR="00084F36" w:rsidRPr="00EB2BD8" w:rsidRDefault="00EB2BD8">
      <w:pPr>
        <w:pStyle w:val="BodyText"/>
        <w:spacing w:before="110" w:line="261" w:lineRule="auto"/>
        <w:ind w:left="850"/>
      </w:pPr>
      <w:r w:rsidRPr="00EB2BD8">
        <w:t>Throughout 2022-23, the VBA developed a comprehensive framework to enable the implementation of systemic harm identification and problem solving into its planning and regulatory activities. As a regulator, the VBA is expected to understand key harms identified in the industry, protect against these harms and minimise harms by influencing practitioner and industry behaviours. The key</w:t>
      </w:r>
      <w:r w:rsidRPr="00EB2BD8">
        <w:rPr>
          <w:spacing w:val="-15"/>
        </w:rPr>
        <w:t xml:space="preserve"> </w:t>
      </w:r>
      <w:r w:rsidRPr="00EB2BD8">
        <w:t>focus</w:t>
      </w:r>
      <w:r w:rsidRPr="00EB2BD8">
        <w:rPr>
          <w:spacing w:val="-14"/>
        </w:rPr>
        <w:t xml:space="preserve"> </w:t>
      </w:r>
      <w:r w:rsidRPr="00EB2BD8">
        <w:t>of</w:t>
      </w:r>
      <w:r w:rsidRPr="00EB2BD8">
        <w:rPr>
          <w:spacing w:val="-14"/>
        </w:rPr>
        <w:t xml:space="preserve"> </w:t>
      </w:r>
      <w:r w:rsidRPr="00EB2BD8">
        <w:t>the</w:t>
      </w:r>
      <w:r w:rsidRPr="00EB2BD8">
        <w:rPr>
          <w:spacing w:val="-14"/>
        </w:rPr>
        <w:t xml:space="preserve"> </w:t>
      </w:r>
      <w:r w:rsidRPr="00EB2BD8">
        <w:t>VBA’s</w:t>
      </w:r>
      <w:r w:rsidRPr="00EB2BD8">
        <w:rPr>
          <w:spacing w:val="-15"/>
        </w:rPr>
        <w:t xml:space="preserve"> </w:t>
      </w:r>
      <w:r w:rsidRPr="00EB2BD8">
        <w:t>regulatory</w:t>
      </w:r>
      <w:r w:rsidRPr="00EB2BD8">
        <w:rPr>
          <w:spacing w:val="-14"/>
        </w:rPr>
        <w:t xml:space="preserve"> </w:t>
      </w:r>
      <w:r w:rsidRPr="00EB2BD8">
        <w:t>effort</w:t>
      </w:r>
      <w:r w:rsidRPr="00EB2BD8">
        <w:rPr>
          <w:spacing w:val="-14"/>
        </w:rPr>
        <w:t xml:space="preserve"> </w:t>
      </w:r>
      <w:r w:rsidRPr="00EB2BD8">
        <w:t>is</w:t>
      </w:r>
      <w:r w:rsidRPr="00EB2BD8">
        <w:rPr>
          <w:spacing w:val="-14"/>
        </w:rPr>
        <w:t xml:space="preserve"> </w:t>
      </w:r>
      <w:r w:rsidRPr="00EB2BD8">
        <w:t>on</w:t>
      </w:r>
      <w:r w:rsidRPr="00EB2BD8">
        <w:rPr>
          <w:spacing w:val="-15"/>
        </w:rPr>
        <w:t xml:space="preserve"> </w:t>
      </w:r>
      <w:r w:rsidRPr="00EB2BD8">
        <w:t>protecting the health and safety of building occupants and ensuring the VBA can make the greatest difference to consumers and the industry.</w:t>
      </w:r>
    </w:p>
    <w:p w14:paraId="14CE6E32" w14:textId="77777777" w:rsidR="00084F36" w:rsidRPr="00EB2BD8" w:rsidRDefault="00EB2BD8">
      <w:pPr>
        <w:pStyle w:val="BodyText"/>
        <w:spacing w:before="101" w:line="261" w:lineRule="auto"/>
        <w:ind w:left="850"/>
      </w:pPr>
      <w:r w:rsidRPr="00EB2BD8">
        <w:t>The harms-based approach to regulation is a core component to the VBA’s regulatory systems and legislative</w:t>
      </w:r>
      <w:r w:rsidRPr="00EB2BD8">
        <w:rPr>
          <w:spacing w:val="-9"/>
        </w:rPr>
        <w:t xml:space="preserve"> </w:t>
      </w:r>
      <w:r w:rsidRPr="00EB2BD8">
        <w:t>functions,</w:t>
      </w:r>
      <w:r w:rsidRPr="00EB2BD8">
        <w:rPr>
          <w:spacing w:val="-9"/>
        </w:rPr>
        <w:t xml:space="preserve"> </w:t>
      </w:r>
      <w:r w:rsidRPr="00EB2BD8">
        <w:t>and</w:t>
      </w:r>
      <w:r w:rsidRPr="00EB2BD8">
        <w:rPr>
          <w:spacing w:val="-9"/>
        </w:rPr>
        <w:t xml:space="preserve"> </w:t>
      </w:r>
      <w:r w:rsidRPr="00EB2BD8">
        <w:t>supports</w:t>
      </w:r>
      <w:r w:rsidRPr="00EB2BD8">
        <w:rPr>
          <w:spacing w:val="-9"/>
        </w:rPr>
        <w:t xml:space="preserve"> </w:t>
      </w:r>
      <w:r w:rsidRPr="00EB2BD8">
        <w:t>the</w:t>
      </w:r>
      <w:r w:rsidRPr="00EB2BD8">
        <w:rPr>
          <w:spacing w:val="-9"/>
        </w:rPr>
        <w:t xml:space="preserve"> </w:t>
      </w:r>
      <w:r w:rsidRPr="00EB2BD8">
        <w:t>allocation</w:t>
      </w:r>
      <w:r w:rsidRPr="00EB2BD8">
        <w:rPr>
          <w:spacing w:val="-9"/>
        </w:rPr>
        <w:t xml:space="preserve"> </w:t>
      </w:r>
      <w:r w:rsidRPr="00EB2BD8">
        <w:t>of resources</w:t>
      </w:r>
      <w:r w:rsidRPr="00EB2BD8">
        <w:rPr>
          <w:spacing w:val="-4"/>
        </w:rPr>
        <w:t xml:space="preserve"> </w:t>
      </w:r>
      <w:r w:rsidRPr="00EB2BD8">
        <w:t>to</w:t>
      </w:r>
      <w:r w:rsidRPr="00EB2BD8">
        <w:rPr>
          <w:spacing w:val="-4"/>
        </w:rPr>
        <w:t xml:space="preserve"> </w:t>
      </w:r>
      <w:r w:rsidRPr="00EB2BD8">
        <w:t>those</w:t>
      </w:r>
      <w:r w:rsidRPr="00EB2BD8">
        <w:rPr>
          <w:spacing w:val="-4"/>
        </w:rPr>
        <w:t xml:space="preserve"> </w:t>
      </w:r>
      <w:r w:rsidRPr="00EB2BD8">
        <w:t>areas</w:t>
      </w:r>
      <w:r w:rsidRPr="00EB2BD8">
        <w:rPr>
          <w:spacing w:val="-4"/>
        </w:rPr>
        <w:t xml:space="preserve"> </w:t>
      </w:r>
      <w:r w:rsidRPr="00EB2BD8">
        <w:t>that</w:t>
      </w:r>
      <w:r w:rsidRPr="00EB2BD8">
        <w:rPr>
          <w:spacing w:val="-4"/>
        </w:rPr>
        <w:t xml:space="preserve"> </w:t>
      </w:r>
      <w:r w:rsidRPr="00EB2BD8">
        <w:t>will</w:t>
      </w:r>
      <w:r w:rsidRPr="00EB2BD8">
        <w:rPr>
          <w:spacing w:val="-4"/>
        </w:rPr>
        <w:t xml:space="preserve"> </w:t>
      </w:r>
      <w:r w:rsidRPr="00EB2BD8">
        <w:t>have</w:t>
      </w:r>
      <w:r w:rsidRPr="00EB2BD8">
        <w:rPr>
          <w:spacing w:val="-4"/>
        </w:rPr>
        <w:t xml:space="preserve"> </w:t>
      </w:r>
      <w:r w:rsidRPr="00EB2BD8">
        <w:t>the</w:t>
      </w:r>
      <w:r w:rsidRPr="00EB2BD8">
        <w:rPr>
          <w:spacing w:val="-4"/>
        </w:rPr>
        <w:t xml:space="preserve"> </w:t>
      </w:r>
      <w:r w:rsidRPr="00EB2BD8">
        <w:t xml:space="preserve">greatest </w:t>
      </w:r>
      <w:r w:rsidRPr="00EB2BD8">
        <w:rPr>
          <w:spacing w:val="-2"/>
        </w:rPr>
        <w:t>impact.</w:t>
      </w:r>
    </w:p>
    <w:p w14:paraId="4E6637AD" w14:textId="77777777" w:rsidR="00084F36" w:rsidRPr="00EB2BD8" w:rsidRDefault="00EB2BD8">
      <w:pPr>
        <w:pStyle w:val="BodyText"/>
        <w:spacing w:before="108" w:line="261" w:lineRule="auto"/>
        <w:ind w:left="850"/>
      </w:pPr>
      <w:r w:rsidRPr="00EB2BD8">
        <w:t>The Victorian Government is encouraging all</w:t>
      </w:r>
      <w:r w:rsidRPr="00EB2BD8">
        <w:rPr>
          <w:spacing w:val="40"/>
        </w:rPr>
        <w:t xml:space="preserve"> </w:t>
      </w:r>
      <w:r w:rsidRPr="00EB2BD8">
        <w:t>regulators to become best practice regulators. The</w:t>
      </w:r>
      <w:r w:rsidRPr="00EB2BD8">
        <w:rPr>
          <w:spacing w:val="40"/>
        </w:rPr>
        <w:t xml:space="preserve"> </w:t>
      </w:r>
      <w:r w:rsidRPr="00EB2BD8">
        <w:t>VBA is committed to regulatory improvements and reducing</w:t>
      </w:r>
      <w:r w:rsidRPr="00EB2BD8">
        <w:rPr>
          <w:spacing w:val="-11"/>
        </w:rPr>
        <w:t xml:space="preserve"> </w:t>
      </w:r>
      <w:r w:rsidRPr="00EB2BD8">
        <w:t>harms</w:t>
      </w:r>
      <w:r w:rsidRPr="00EB2BD8">
        <w:rPr>
          <w:spacing w:val="-11"/>
        </w:rPr>
        <w:t xml:space="preserve"> </w:t>
      </w:r>
      <w:r w:rsidRPr="00EB2BD8">
        <w:t>to</w:t>
      </w:r>
      <w:r w:rsidRPr="00EB2BD8">
        <w:rPr>
          <w:spacing w:val="-11"/>
        </w:rPr>
        <w:t xml:space="preserve"> </w:t>
      </w:r>
      <w:r w:rsidRPr="00EB2BD8">
        <w:t>enable</w:t>
      </w:r>
      <w:r w:rsidRPr="00EB2BD8">
        <w:rPr>
          <w:spacing w:val="-11"/>
        </w:rPr>
        <w:t xml:space="preserve"> </w:t>
      </w:r>
      <w:r w:rsidRPr="00EB2BD8">
        <w:t>better</w:t>
      </w:r>
      <w:r w:rsidRPr="00EB2BD8">
        <w:rPr>
          <w:spacing w:val="-11"/>
        </w:rPr>
        <w:t xml:space="preserve"> </w:t>
      </w:r>
      <w:r w:rsidRPr="00EB2BD8">
        <w:t>outcomes</w:t>
      </w:r>
      <w:r w:rsidRPr="00EB2BD8">
        <w:rPr>
          <w:spacing w:val="-11"/>
        </w:rPr>
        <w:t xml:space="preserve"> </w:t>
      </w:r>
      <w:r w:rsidRPr="00EB2BD8">
        <w:t>for</w:t>
      </w:r>
      <w:r w:rsidRPr="00EB2BD8">
        <w:rPr>
          <w:spacing w:val="-11"/>
        </w:rPr>
        <w:t xml:space="preserve"> </w:t>
      </w:r>
      <w:r w:rsidRPr="00EB2BD8">
        <w:t>industry, practitioners and consumers. As part of this work, the VBA</w:t>
      </w:r>
      <w:r w:rsidRPr="00EB2BD8">
        <w:rPr>
          <w:spacing w:val="-4"/>
        </w:rPr>
        <w:t xml:space="preserve"> </w:t>
      </w:r>
      <w:r w:rsidRPr="00EB2BD8">
        <w:t>is</w:t>
      </w:r>
      <w:r w:rsidRPr="00EB2BD8">
        <w:rPr>
          <w:spacing w:val="-4"/>
        </w:rPr>
        <w:t xml:space="preserve"> </w:t>
      </w:r>
      <w:r w:rsidRPr="00EB2BD8">
        <w:t>working</w:t>
      </w:r>
      <w:r w:rsidRPr="00EB2BD8">
        <w:rPr>
          <w:spacing w:val="-4"/>
        </w:rPr>
        <w:t xml:space="preserve"> </w:t>
      </w:r>
      <w:r w:rsidRPr="00EB2BD8">
        <w:t>to</w:t>
      </w:r>
      <w:r w:rsidRPr="00EB2BD8">
        <w:rPr>
          <w:spacing w:val="-4"/>
        </w:rPr>
        <w:t xml:space="preserve"> </w:t>
      </w:r>
      <w:r w:rsidRPr="00EB2BD8">
        <w:t>integrate</w:t>
      </w:r>
      <w:r w:rsidRPr="00EB2BD8">
        <w:rPr>
          <w:spacing w:val="-4"/>
        </w:rPr>
        <w:t xml:space="preserve"> </w:t>
      </w:r>
      <w:hyperlink r:id="rId154">
        <w:r w:rsidRPr="00EB2BD8">
          <w:t>Better</w:t>
        </w:r>
        <w:r w:rsidRPr="00EB2BD8">
          <w:rPr>
            <w:spacing w:val="-4"/>
          </w:rPr>
          <w:t xml:space="preserve"> </w:t>
        </w:r>
        <w:r w:rsidRPr="00EB2BD8">
          <w:t>Regulation</w:t>
        </w:r>
        <w:r w:rsidRPr="00EB2BD8">
          <w:rPr>
            <w:spacing w:val="-4"/>
          </w:rPr>
          <w:t xml:space="preserve"> </w:t>
        </w:r>
        <w:r w:rsidRPr="00EB2BD8">
          <w:t>Victoria’s</w:t>
        </w:r>
      </w:hyperlink>
      <w:r w:rsidRPr="00EB2BD8">
        <w:t xml:space="preserve"> </w:t>
      </w:r>
      <w:hyperlink r:id="rId155">
        <w:r w:rsidRPr="00EB2BD8">
          <w:t>“Toward Best Practice” regulatory principles</w:t>
        </w:r>
      </w:hyperlink>
      <w:r w:rsidRPr="00EB2BD8">
        <w:t xml:space="preserve"> into its regulatory</w:t>
      </w:r>
      <w:r w:rsidRPr="00EB2BD8">
        <w:rPr>
          <w:spacing w:val="-6"/>
        </w:rPr>
        <w:t xml:space="preserve"> </w:t>
      </w:r>
      <w:r w:rsidRPr="00EB2BD8">
        <w:t>model.</w:t>
      </w:r>
    </w:p>
    <w:p w14:paraId="4272B493" w14:textId="77777777" w:rsidR="00084F36" w:rsidRPr="00EB2BD8" w:rsidRDefault="00EB2BD8" w:rsidP="00EB2BD8">
      <w:pPr>
        <w:pStyle w:val="Heading3"/>
        <w:ind w:left="426"/>
      </w:pPr>
      <w:r w:rsidRPr="00EB2BD8">
        <w:br w:type="column"/>
      </w:r>
      <w:bookmarkStart w:id="130" w:name="_Toc150762432"/>
      <w:r w:rsidRPr="00EB2BD8">
        <w:t>Regulatory</w:t>
      </w:r>
      <w:r w:rsidRPr="00EB2BD8">
        <w:rPr>
          <w:spacing w:val="22"/>
        </w:rPr>
        <w:t xml:space="preserve"> </w:t>
      </w:r>
      <w:r w:rsidRPr="00EB2BD8">
        <w:rPr>
          <w:spacing w:val="-2"/>
        </w:rPr>
        <w:t>Priorities</w:t>
      </w:r>
      <w:bookmarkEnd w:id="130"/>
    </w:p>
    <w:p w14:paraId="4586453E" w14:textId="77777777" w:rsidR="00084F36" w:rsidRPr="00EB2BD8" w:rsidRDefault="00EB2BD8">
      <w:pPr>
        <w:pStyle w:val="BodyText"/>
        <w:spacing w:before="130" w:line="261" w:lineRule="auto"/>
        <w:ind w:left="460" w:right="866"/>
      </w:pPr>
      <w:r w:rsidRPr="00EB2BD8">
        <w:t>During</w:t>
      </w:r>
      <w:r w:rsidRPr="00EB2BD8">
        <w:rPr>
          <w:spacing w:val="-15"/>
        </w:rPr>
        <w:t xml:space="preserve"> </w:t>
      </w:r>
      <w:r w:rsidRPr="00EB2BD8">
        <w:t>2022-23,</w:t>
      </w:r>
      <w:r w:rsidRPr="00EB2BD8">
        <w:rPr>
          <w:spacing w:val="-14"/>
        </w:rPr>
        <w:t xml:space="preserve"> </w:t>
      </w:r>
      <w:r w:rsidRPr="00EB2BD8">
        <w:t>the</w:t>
      </w:r>
      <w:r w:rsidRPr="00EB2BD8">
        <w:rPr>
          <w:spacing w:val="-14"/>
        </w:rPr>
        <w:t xml:space="preserve"> </w:t>
      </w:r>
      <w:r w:rsidRPr="00EB2BD8">
        <w:t>VBA</w:t>
      </w:r>
      <w:r w:rsidRPr="00EB2BD8">
        <w:rPr>
          <w:spacing w:val="-14"/>
        </w:rPr>
        <w:t xml:space="preserve"> </w:t>
      </w:r>
      <w:r w:rsidRPr="00EB2BD8">
        <w:t>identified</w:t>
      </w:r>
      <w:r w:rsidRPr="00EB2BD8">
        <w:rPr>
          <w:spacing w:val="-15"/>
        </w:rPr>
        <w:t xml:space="preserve"> </w:t>
      </w:r>
      <w:r w:rsidRPr="00EB2BD8">
        <w:t>six</w:t>
      </w:r>
      <w:r w:rsidRPr="00EB2BD8">
        <w:rPr>
          <w:spacing w:val="-14"/>
        </w:rPr>
        <w:t xml:space="preserve"> </w:t>
      </w:r>
      <w:r w:rsidRPr="00EB2BD8">
        <w:t>key</w:t>
      </w:r>
      <w:r w:rsidRPr="00EB2BD8">
        <w:rPr>
          <w:spacing w:val="-14"/>
        </w:rPr>
        <w:t xml:space="preserve"> </w:t>
      </w:r>
      <w:r w:rsidRPr="00EB2BD8">
        <w:t>priority</w:t>
      </w:r>
      <w:r w:rsidRPr="00EB2BD8">
        <w:rPr>
          <w:spacing w:val="-14"/>
        </w:rPr>
        <w:t xml:space="preserve"> </w:t>
      </w:r>
      <w:r w:rsidRPr="00EB2BD8">
        <w:t>areas on which to focus its regulatory efforts and activities and</w:t>
      </w:r>
      <w:r w:rsidRPr="00EB2BD8">
        <w:rPr>
          <w:spacing w:val="-6"/>
        </w:rPr>
        <w:t xml:space="preserve"> </w:t>
      </w:r>
      <w:r w:rsidRPr="00EB2BD8">
        <w:t>regulatory</w:t>
      </w:r>
      <w:r w:rsidRPr="00EB2BD8">
        <w:rPr>
          <w:spacing w:val="-6"/>
        </w:rPr>
        <w:t xml:space="preserve"> </w:t>
      </w:r>
      <w:r w:rsidRPr="00EB2BD8">
        <w:t>tools</w:t>
      </w:r>
      <w:r w:rsidRPr="00EB2BD8">
        <w:rPr>
          <w:spacing w:val="-6"/>
        </w:rPr>
        <w:t xml:space="preserve"> </w:t>
      </w:r>
      <w:r w:rsidRPr="00EB2BD8">
        <w:t>to</w:t>
      </w:r>
      <w:r w:rsidRPr="00EB2BD8">
        <w:rPr>
          <w:spacing w:val="-6"/>
        </w:rPr>
        <w:t xml:space="preserve"> </w:t>
      </w:r>
      <w:r w:rsidRPr="00EB2BD8">
        <w:t>address</w:t>
      </w:r>
      <w:r w:rsidRPr="00EB2BD8">
        <w:rPr>
          <w:spacing w:val="-6"/>
        </w:rPr>
        <w:t xml:space="preserve"> </w:t>
      </w:r>
      <w:r w:rsidRPr="00EB2BD8">
        <w:t>significant</w:t>
      </w:r>
      <w:r w:rsidRPr="00EB2BD8">
        <w:rPr>
          <w:spacing w:val="-6"/>
        </w:rPr>
        <w:t xml:space="preserve"> </w:t>
      </w:r>
      <w:r w:rsidRPr="00EB2BD8">
        <w:t>harms</w:t>
      </w:r>
      <w:r w:rsidRPr="00EB2BD8">
        <w:rPr>
          <w:spacing w:val="-6"/>
        </w:rPr>
        <w:t xml:space="preserve"> </w:t>
      </w:r>
      <w:r w:rsidRPr="00EB2BD8">
        <w:t>in</w:t>
      </w:r>
      <w:r w:rsidRPr="00EB2BD8">
        <w:rPr>
          <w:spacing w:val="-6"/>
        </w:rPr>
        <w:t xml:space="preserve"> </w:t>
      </w:r>
      <w:r w:rsidRPr="00EB2BD8">
        <w:t>the built environment. The regulatory priorities are based on a review of data, intelligence and research. The identified and prioritised harms included:</w:t>
      </w:r>
    </w:p>
    <w:p w14:paraId="4B1B2D32" w14:textId="77777777" w:rsidR="00084F36" w:rsidRPr="00EB2BD8" w:rsidRDefault="00EB2BD8">
      <w:pPr>
        <w:pStyle w:val="ListParagraph"/>
        <w:numPr>
          <w:ilvl w:val="0"/>
          <w:numId w:val="59"/>
        </w:numPr>
        <w:tabs>
          <w:tab w:val="left" w:pos="744"/>
        </w:tabs>
        <w:spacing w:before="137"/>
        <w:ind w:left="744"/>
        <w:rPr>
          <w:sz w:val="18"/>
        </w:rPr>
      </w:pPr>
      <w:r w:rsidRPr="00EB2BD8">
        <w:rPr>
          <w:spacing w:val="-2"/>
          <w:w w:val="105"/>
          <w:sz w:val="18"/>
        </w:rPr>
        <w:t>Water</w:t>
      </w:r>
    </w:p>
    <w:p w14:paraId="6CA1B08D" w14:textId="77777777" w:rsidR="00084F36" w:rsidRPr="00EB2BD8" w:rsidRDefault="00EB2BD8">
      <w:pPr>
        <w:pStyle w:val="ListParagraph"/>
        <w:numPr>
          <w:ilvl w:val="0"/>
          <w:numId w:val="59"/>
        </w:numPr>
        <w:tabs>
          <w:tab w:val="left" w:pos="744"/>
        </w:tabs>
        <w:spacing w:before="88"/>
        <w:ind w:left="744"/>
        <w:rPr>
          <w:sz w:val="18"/>
        </w:rPr>
      </w:pPr>
      <w:r w:rsidRPr="00EB2BD8">
        <w:rPr>
          <w:sz w:val="18"/>
        </w:rPr>
        <w:t>Fire</w:t>
      </w:r>
      <w:r w:rsidRPr="00EB2BD8">
        <w:rPr>
          <w:spacing w:val="-7"/>
          <w:sz w:val="18"/>
        </w:rPr>
        <w:t xml:space="preserve"> </w:t>
      </w:r>
      <w:r w:rsidRPr="00EB2BD8">
        <w:rPr>
          <w:spacing w:val="-2"/>
          <w:sz w:val="18"/>
        </w:rPr>
        <w:t>safety</w:t>
      </w:r>
    </w:p>
    <w:p w14:paraId="11FF05D0" w14:textId="77777777" w:rsidR="00084F36" w:rsidRPr="00EB2BD8" w:rsidRDefault="00EB2BD8">
      <w:pPr>
        <w:pStyle w:val="ListParagraph"/>
        <w:numPr>
          <w:ilvl w:val="0"/>
          <w:numId w:val="59"/>
        </w:numPr>
        <w:tabs>
          <w:tab w:val="left" w:pos="744"/>
        </w:tabs>
        <w:spacing w:before="88"/>
        <w:ind w:left="744"/>
        <w:rPr>
          <w:sz w:val="18"/>
        </w:rPr>
      </w:pPr>
      <w:r w:rsidRPr="00EB2BD8">
        <w:rPr>
          <w:sz w:val="18"/>
        </w:rPr>
        <w:t>Product</w:t>
      </w:r>
      <w:r w:rsidRPr="00EB2BD8">
        <w:rPr>
          <w:spacing w:val="9"/>
          <w:sz w:val="18"/>
        </w:rPr>
        <w:t xml:space="preserve"> </w:t>
      </w:r>
      <w:r w:rsidRPr="00EB2BD8">
        <w:rPr>
          <w:spacing w:val="-2"/>
          <w:sz w:val="18"/>
        </w:rPr>
        <w:t>safety</w:t>
      </w:r>
    </w:p>
    <w:p w14:paraId="7F8EC850" w14:textId="77777777" w:rsidR="00084F36" w:rsidRPr="00EB2BD8" w:rsidRDefault="00EB2BD8">
      <w:pPr>
        <w:pStyle w:val="ListParagraph"/>
        <w:numPr>
          <w:ilvl w:val="0"/>
          <w:numId w:val="59"/>
        </w:numPr>
        <w:tabs>
          <w:tab w:val="left" w:pos="744"/>
        </w:tabs>
        <w:spacing w:before="88"/>
        <w:ind w:left="744"/>
        <w:rPr>
          <w:sz w:val="18"/>
        </w:rPr>
      </w:pPr>
      <w:r w:rsidRPr="00EB2BD8">
        <w:rPr>
          <w:sz w:val="18"/>
        </w:rPr>
        <w:t>Solvency</w:t>
      </w:r>
      <w:r w:rsidRPr="00EB2BD8">
        <w:rPr>
          <w:spacing w:val="-8"/>
          <w:sz w:val="18"/>
        </w:rPr>
        <w:t xml:space="preserve"> </w:t>
      </w:r>
      <w:r w:rsidRPr="00EB2BD8">
        <w:rPr>
          <w:sz w:val="18"/>
        </w:rPr>
        <w:t>of</w:t>
      </w:r>
      <w:r w:rsidRPr="00EB2BD8">
        <w:rPr>
          <w:spacing w:val="-8"/>
          <w:sz w:val="18"/>
        </w:rPr>
        <w:t xml:space="preserve"> </w:t>
      </w:r>
      <w:r w:rsidRPr="00EB2BD8">
        <w:rPr>
          <w:sz w:val="18"/>
        </w:rPr>
        <w:t>building</w:t>
      </w:r>
      <w:r w:rsidRPr="00EB2BD8">
        <w:rPr>
          <w:spacing w:val="-7"/>
          <w:sz w:val="18"/>
        </w:rPr>
        <w:t xml:space="preserve"> </w:t>
      </w:r>
      <w:r w:rsidRPr="00EB2BD8">
        <w:rPr>
          <w:spacing w:val="-2"/>
          <w:sz w:val="18"/>
        </w:rPr>
        <w:t>companies</w:t>
      </w:r>
    </w:p>
    <w:p w14:paraId="23A79768" w14:textId="77777777" w:rsidR="00084F36" w:rsidRPr="00EB2BD8" w:rsidRDefault="00EB2BD8">
      <w:pPr>
        <w:pStyle w:val="ListParagraph"/>
        <w:numPr>
          <w:ilvl w:val="0"/>
          <w:numId w:val="59"/>
        </w:numPr>
        <w:tabs>
          <w:tab w:val="left" w:pos="744"/>
        </w:tabs>
        <w:spacing w:before="88"/>
        <w:ind w:left="744"/>
        <w:rPr>
          <w:sz w:val="18"/>
        </w:rPr>
      </w:pPr>
      <w:r w:rsidRPr="00EB2BD8">
        <w:rPr>
          <w:spacing w:val="-2"/>
          <w:w w:val="105"/>
          <w:sz w:val="18"/>
        </w:rPr>
        <w:t>Practitioner</w:t>
      </w:r>
      <w:r w:rsidRPr="00EB2BD8">
        <w:rPr>
          <w:spacing w:val="-1"/>
          <w:w w:val="105"/>
          <w:sz w:val="18"/>
        </w:rPr>
        <w:t xml:space="preserve"> </w:t>
      </w:r>
      <w:r w:rsidRPr="00EB2BD8">
        <w:rPr>
          <w:spacing w:val="-2"/>
          <w:w w:val="105"/>
          <w:sz w:val="18"/>
        </w:rPr>
        <w:t>capacity</w:t>
      </w:r>
      <w:r w:rsidRPr="00EB2BD8">
        <w:rPr>
          <w:w w:val="105"/>
          <w:sz w:val="18"/>
        </w:rPr>
        <w:t xml:space="preserve"> </w:t>
      </w:r>
      <w:r w:rsidRPr="00EB2BD8">
        <w:rPr>
          <w:spacing w:val="-2"/>
          <w:w w:val="105"/>
          <w:sz w:val="18"/>
        </w:rPr>
        <w:t>and</w:t>
      </w:r>
      <w:r w:rsidRPr="00EB2BD8">
        <w:rPr>
          <w:w w:val="105"/>
          <w:sz w:val="18"/>
        </w:rPr>
        <w:t xml:space="preserve"> </w:t>
      </w:r>
      <w:r w:rsidRPr="00EB2BD8">
        <w:rPr>
          <w:spacing w:val="-2"/>
          <w:w w:val="105"/>
          <w:sz w:val="18"/>
        </w:rPr>
        <w:t>capability</w:t>
      </w:r>
    </w:p>
    <w:p w14:paraId="6F682B73" w14:textId="77777777" w:rsidR="00084F36" w:rsidRPr="00EB2BD8" w:rsidRDefault="00EB2BD8">
      <w:pPr>
        <w:pStyle w:val="ListParagraph"/>
        <w:numPr>
          <w:ilvl w:val="0"/>
          <w:numId w:val="59"/>
        </w:numPr>
        <w:tabs>
          <w:tab w:val="left" w:pos="744"/>
        </w:tabs>
        <w:spacing w:before="88"/>
        <w:ind w:left="744"/>
        <w:rPr>
          <w:sz w:val="18"/>
        </w:rPr>
      </w:pPr>
      <w:r w:rsidRPr="00EB2BD8">
        <w:rPr>
          <w:sz w:val="18"/>
        </w:rPr>
        <w:t>Practitioner</w:t>
      </w:r>
      <w:r w:rsidRPr="00EB2BD8">
        <w:rPr>
          <w:spacing w:val="16"/>
          <w:sz w:val="18"/>
        </w:rPr>
        <w:t xml:space="preserve"> </w:t>
      </w:r>
      <w:r w:rsidRPr="00EB2BD8">
        <w:rPr>
          <w:spacing w:val="-2"/>
          <w:sz w:val="18"/>
        </w:rPr>
        <w:t>competency.</w:t>
      </w:r>
    </w:p>
    <w:p w14:paraId="0A57BD3D" w14:textId="77777777" w:rsidR="00084F36" w:rsidRPr="00EB2BD8" w:rsidRDefault="00084F36">
      <w:pPr>
        <w:pStyle w:val="BodyText"/>
        <w:spacing w:before="6"/>
      </w:pPr>
    </w:p>
    <w:p w14:paraId="63037459" w14:textId="77777777" w:rsidR="00084F36" w:rsidRPr="00EB2BD8" w:rsidRDefault="00EB2BD8">
      <w:pPr>
        <w:pStyle w:val="BodyText"/>
        <w:spacing w:line="261" w:lineRule="auto"/>
        <w:ind w:left="460" w:right="819"/>
      </w:pPr>
      <w:r w:rsidRPr="00EB2BD8">
        <w:t>The regulatory priorities enable industry, practitioners, consumers and other regulators to understand our current regulatory focus, aimed at addressing the most significant</w:t>
      </w:r>
      <w:r w:rsidRPr="00EB2BD8">
        <w:rPr>
          <w:spacing w:val="-7"/>
        </w:rPr>
        <w:t xml:space="preserve"> </w:t>
      </w:r>
      <w:r w:rsidRPr="00EB2BD8">
        <w:t>harms</w:t>
      </w:r>
      <w:r w:rsidRPr="00EB2BD8">
        <w:rPr>
          <w:spacing w:val="-7"/>
        </w:rPr>
        <w:t xml:space="preserve"> </w:t>
      </w:r>
      <w:r w:rsidRPr="00EB2BD8">
        <w:t>in</w:t>
      </w:r>
      <w:r w:rsidRPr="00EB2BD8">
        <w:rPr>
          <w:spacing w:val="-7"/>
        </w:rPr>
        <w:t xml:space="preserve"> </w:t>
      </w:r>
      <w:r w:rsidRPr="00EB2BD8">
        <w:t>the</w:t>
      </w:r>
      <w:r w:rsidRPr="00EB2BD8">
        <w:rPr>
          <w:spacing w:val="-7"/>
        </w:rPr>
        <w:t xml:space="preserve"> </w:t>
      </w:r>
      <w:r w:rsidRPr="00EB2BD8">
        <w:t>built</w:t>
      </w:r>
      <w:r w:rsidRPr="00EB2BD8">
        <w:rPr>
          <w:spacing w:val="-7"/>
        </w:rPr>
        <w:t xml:space="preserve"> </w:t>
      </w:r>
      <w:r w:rsidRPr="00EB2BD8">
        <w:t>environment.</w:t>
      </w:r>
      <w:r w:rsidRPr="00EB2BD8">
        <w:rPr>
          <w:spacing w:val="-7"/>
        </w:rPr>
        <w:t xml:space="preserve"> </w:t>
      </w:r>
      <w:r w:rsidRPr="00EB2BD8">
        <w:t>The</w:t>
      </w:r>
      <w:r w:rsidRPr="00EB2BD8">
        <w:rPr>
          <w:spacing w:val="-7"/>
        </w:rPr>
        <w:t xml:space="preserve"> </w:t>
      </w:r>
      <w:r w:rsidRPr="00EB2BD8">
        <w:t>VBA</w:t>
      </w:r>
      <w:r w:rsidRPr="00EB2BD8">
        <w:rPr>
          <w:spacing w:val="-7"/>
        </w:rPr>
        <w:t xml:space="preserve"> </w:t>
      </w:r>
      <w:r w:rsidRPr="00EB2BD8">
        <w:t>can prioritise</w:t>
      </w:r>
      <w:r w:rsidRPr="00EB2BD8">
        <w:rPr>
          <w:spacing w:val="-13"/>
        </w:rPr>
        <w:t xml:space="preserve"> </w:t>
      </w:r>
      <w:r w:rsidRPr="00EB2BD8">
        <w:t>its</w:t>
      </w:r>
      <w:r w:rsidRPr="00EB2BD8">
        <w:rPr>
          <w:spacing w:val="-13"/>
        </w:rPr>
        <w:t xml:space="preserve"> </w:t>
      </w:r>
      <w:r w:rsidRPr="00EB2BD8">
        <w:t>resources</w:t>
      </w:r>
      <w:r w:rsidRPr="00EB2BD8">
        <w:rPr>
          <w:spacing w:val="-13"/>
        </w:rPr>
        <w:t xml:space="preserve"> </w:t>
      </w:r>
      <w:r w:rsidRPr="00EB2BD8">
        <w:t>and</w:t>
      </w:r>
      <w:r w:rsidRPr="00EB2BD8">
        <w:rPr>
          <w:spacing w:val="-13"/>
        </w:rPr>
        <w:t xml:space="preserve"> </w:t>
      </w:r>
      <w:r w:rsidRPr="00EB2BD8">
        <w:t>focus</w:t>
      </w:r>
      <w:r w:rsidRPr="00EB2BD8">
        <w:rPr>
          <w:spacing w:val="-13"/>
        </w:rPr>
        <w:t xml:space="preserve"> </w:t>
      </w:r>
      <w:r w:rsidRPr="00EB2BD8">
        <w:t>its</w:t>
      </w:r>
      <w:r w:rsidRPr="00EB2BD8">
        <w:rPr>
          <w:spacing w:val="-13"/>
        </w:rPr>
        <w:t xml:space="preserve"> </w:t>
      </w:r>
      <w:r w:rsidRPr="00EB2BD8">
        <w:t>efforts</w:t>
      </w:r>
      <w:r w:rsidRPr="00EB2BD8">
        <w:rPr>
          <w:spacing w:val="-13"/>
        </w:rPr>
        <w:t xml:space="preserve"> </w:t>
      </w:r>
      <w:r w:rsidRPr="00EB2BD8">
        <w:t>on</w:t>
      </w:r>
      <w:r w:rsidRPr="00EB2BD8">
        <w:rPr>
          <w:spacing w:val="-13"/>
        </w:rPr>
        <w:t xml:space="preserve"> </w:t>
      </w:r>
      <w:r w:rsidRPr="00EB2BD8">
        <w:t>what</w:t>
      </w:r>
      <w:r w:rsidRPr="00EB2BD8">
        <w:rPr>
          <w:spacing w:val="-13"/>
        </w:rPr>
        <w:t xml:space="preserve"> </w:t>
      </w:r>
      <w:r w:rsidRPr="00EB2BD8">
        <w:t>is</w:t>
      </w:r>
      <w:r w:rsidRPr="00EB2BD8">
        <w:rPr>
          <w:spacing w:val="-13"/>
        </w:rPr>
        <w:t xml:space="preserve"> </w:t>
      </w:r>
      <w:r w:rsidRPr="00EB2BD8">
        <w:t>of utmost importance to the Victorian community.</w:t>
      </w:r>
    </w:p>
    <w:p w14:paraId="16935419" w14:textId="77777777" w:rsidR="00084F36" w:rsidRPr="00EB2BD8" w:rsidRDefault="00EB2BD8">
      <w:pPr>
        <w:pStyle w:val="BodyText"/>
        <w:spacing w:before="107" w:line="261" w:lineRule="auto"/>
        <w:ind w:left="460" w:right="1043"/>
      </w:pPr>
      <w:r w:rsidRPr="00EB2BD8">
        <w:t>The VBA continues to work with industry and stakeholders to review and refine the regulatory priorities to ensure it is responsive to changes impacting</w:t>
      </w:r>
      <w:r w:rsidRPr="00EB2BD8">
        <w:rPr>
          <w:spacing w:val="-11"/>
        </w:rPr>
        <w:t xml:space="preserve"> </w:t>
      </w:r>
      <w:r w:rsidRPr="00EB2BD8">
        <w:t>practitioners,</w:t>
      </w:r>
      <w:r w:rsidRPr="00EB2BD8">
        <w:rPr>
          <w:spacing w:val="-11"/>
        </w:rPr>
        <w:t xml:space="preserve"> </w:t>
      </w:r>
      <w:r w:rsidRPr="00EB2BD8">
        <w:t>consumers</w:t>
      </w:r>
      <w:r w:rsidRPr="00EB2BD8">
        <w:rPr>
          <w:spacing w:val="-11"/>
        </w:rPr>
        <w:t xml:space="preserve"> </w:t>
      </w:r>
      <w:r w:rsidRPr="00EB2BD8">
        <w:t>and</w:t>
      </w:r>
      <w:r w:rsidRPr="00EB2BD8">
        <w:rPr>
          <w:spacing w:val="-11"/>
        </w:rPr>
        <w:t xml:space="preserve"> </w:t>
      </w:r>
      <w:r w:rsidRPr="00EB2BD8">
        <w:t>the</w:t>
      </w:r>
      <w:r w:rsidRPr="00EB2BD8">
        <w:rPr>
          <w:spacing w:val="-11"/>
        </w:rPr>
        <w:t xml:space="preserve"> </w:t>
      </w:r>
      <w:r w:rsidRPr="00EB2BD8">
        <w:t>industry. It also works in collaboration with other regulators,</w:t>
      </w:r>
    </w:p>
    <w:p w14:paraId="2D0E0DC9" w14:textId="77777777" w:rsidR="00084F36" w:rsidRPr="00EB2BD8" w:rsidRDefault="00EB2BD8">
      <w:pPr>
        <w:pStyle w:val="BodyText"/>
        <w:spacing w:line="261" w:lineRule="auto"/>
        <w:ind w:left="460" w:right="819"/>
      </w:pPr>
      <w:r w:rsidRPr="00EB2BD8">
        <w:t>agencies</w:t>
      </w:r>
      <w:r w:rsidRPr="00EB2BD8">
        <w:rPr>
          <w:spacing w:val="-4"/>
        </w:rPr>
        <w:t xml:space="preserve"> </w:t>
      </w:r>
      <w:r w:rsidRPr="00EB2BD8">
        <w:t>and</w:t>
      </w:r>
      <w:r w:rsidRPr="00EB2BD8">
        <w:rPr>
          <w:spacing w:val="-4"/>
        </w:rPr>
        <w:t xml:space="preserve"> </w:t>
      </w:r>
      <w:r w:rsidRPr="00EB2BD8">
        <w:t>key</w:t>
      </w:r>
      <w:r w:rsidRPr="00EB2BD8">
        <w:rPr>
          <w:spacing w:val="-4"/>
        </w:rPr>
        <w:t xml:space="preserve"> </w:t>
      </w:r>
      <w:r w:rsidRPr="00EB2BD8">
        <w:t>stakeholders</w:t>
      </w:r>
      <w:r w:rsidRPr="00EB2BD8">
        <w:rPr>
          <w:spacing w:val="-4"/>
        </w:rPr>
        <w:t xml:space="preserve"> </w:t>
      </w:r>
      <w:r w:rsidRPr="00EB2BD8">
        <w:t>to</w:t>
      </w:r>
      <w:r w:rsidRPr="00EB2BD8">
        <w:rPr>
          <w:spacing w:val="-4"/>
        </w:rPr>
        <w:t xml:space="preserve"> </w:t>
      </w:r>
      <w:r w:rsidRPr="00EB2BD8">
        <w:t>develop</w:t>
      </w:r>
      <w:r w:rsidRPr="00EB2BD8">
        <w:rPr>
          <w:spacing w:val="-4"/>
        </w:rPr>
        <w:t xml:space="preserve"> </w:t>
      </w:r>
      <w:r w:rsidRPr="00EB2BD8">
        <w:t>strategies</w:t>
      </w:r>
      <w:r w:rsidRPr="00EB2BD8">
        <w:rPr>
          <w:spacing w:val="-4"/>
        </w:rPr>
        <w:t xml:space="preserve"> </w:t>
      </w:r>
      <w:r w:rsidRPr="00EB2BD8">
        <w:t>to prevent harms and consider joint regulatory efforts.</w:t>
      </w:r>
    </w:p>
    <w:p w14:paraId="0F33B589" w14:textId="77777777" w:rsidR="00084F36" w:rsidRPr="00EB2BD8" w:rsidRDefault="00EB2BD8">
      <w:pPr>
        <w:pStyle w:val="BodyText"/>
        <w:spacing w:before="107" w:line="261" w:lineRule="auto"/>
        <w:ind w:left="460" w:right="819"/>
      </w:pPr>
      <w:r w:rsidRPr="00EB2BD8">
        <w:t>The</w:t>
      </w:r>
      <w:r w:rsidRPr="00EB2BD8">
        <w:rPr>
          <w:spacing w:val="-8"/>
        </w:rPr>
        <w:t xml:space="preserve"> </w:t>
      </w:r>
      <w:r w:rsidRPr="00EB2BD8">
        <w:t>regulatory</w:t>
      </w:r>
      <w:r w:rsidRPr="00EB2BD8">
        <w:rPr>
          <w:spacing w:val="-8"/>
        </w:rPr>
        <w:t xml:space="preserve"> </w:t>
      </w:r>
      <w:r w:rsidRPr="00EB2BD8">
        <w:t>priorities</w:t>
      </w:r>
      <w:r w:rsidRPr="00EB2BD8">
        <w:rPr>
          <w:spacing w:val="-8"/>
        </w:rPr>
        <w:t xml:space="preserve"> </w:t>
      </w:r>
      <w:r w:rsidRPr="00EB2BD8">
        <w:t>were</w:t>
      </w:r>
      <w:r w:rsidRPr="00EB2BD8">
        <w:rPr>
          <w:spacing w:val="-8"/>
        </w:rPr>
        <w:t xml:space="preserve"> </w:t>
      </w:r>
      <w:r w:rsidRPr="00EB2BD8">
        <w:t>published</w:t>
      </w:r>
      <w:r w:rsidRPr="00EB2BD8">
        <w:rPr>
          <w:spacing w:val="-8"/>
        </w:rPr>
        <w:t xml:space="preserve"> </w:t>
      </w:r>
      <w:r w:rsidRPr="00EB2BD8">
        <w:t>on</w:t>
      </w:r>
      <w:r w:rsidRPr="00EB2BD8">
        <w:rPr>
          <w:spacing w:val="-8"/>
        </w:rPr>
        <w:t xml:space="preserve"> </w:t>
      </w:r>
      <w:r w:rsidRPr="00EB2BD8">
        <w:t>the</w:t>
      </w:r>
      <w:r w:rsidRPr="00EB2BD8">
        <w:rPr>
          <w:spacing w:val="-8"/>
        </w:rPr>
        <w:t xml:space="preserve"> </w:t>
      </w:r>
      <w:r w:rsidRPr="00EB2BD8">
        <w:t>VBA’s website in June 2023. These undergo regular review, and</w:t>
      </w:r>
      <w:r w:rsidRPr="00EB2BD8">
        <w:rPr>
          <w:spacing w:val="-5"/>
        </w:rPr>
        <w:t xml:space="preserve"> </w:t>
      </w:r>
      <w:r w:rsidRPr="00EB2BD8">
        <w:t>new</w:t>
      </w:r>
      <w:r w:rsidRPr="00EB2BD8">
        <w:rPr>
          <w:spacing w:val="-5"/>
        </w:rPr>
        <w:t xml:space="preserve"> </w:t>
      </w:r>
      <w:r w:rsidRPr="00EB2BD8">
        <w:t>or</w:t>
      </w:r>
      <w:r w:rsidRPr="00EB2BD8">
        <w:rPr>
          <w:spacing w:val="-5"/>
        </w:rPr>
        <w:t xml:space="preserve"> </w:t>
      </w:r>
      <w:r w:rsidRPr="00EB2BD8">
        <w:t>emerging</w:t>
      </w:r>
      <w:r w:rsidRPr="00EB2BD8">
        <w:rPr>
          <w:spacing w:val="-5"/>
        </w:rPr>
        <w:t xml:space="preserve"> </w:t>
      </w:r>
      <w:r w:rsidRPr="00EB2BD8">
        <w:t>priorities</w:t>
      </w:r>
      <w:r w:rsidRPr="00EB2BD8">
        <w:rPr>
          <w:spacing w:val="-5"/>
        </w:rPr>
        <w:t xml:space="preserve"> </w:t>
      </w:r>
      <w:r w:rsidRPr="00EB2BD8">
        <w:t>may</w:t>
      </w:r>
      <w:r w:rsidRPr="00EB2BD8">
        <w:rPr>
          <w:spacing w:val="-5"/>
        </w:rPr>
        <w:t xml:space="preserve"> </w:t>
      </w:r>
      <w:r w:rsidRPr="00EB2BD8">
        <w:t>be</w:t>
      </w:r>
      <w:r w:rsidRPr="00EB2BD8">
        <w:rPr>
          <w:spacing w:val="-5"/>
        </w:rPr>
        <w:t xml:space="preserve"> </w:t>
      </w:r>
      <w:r w:rsidRPr="00EB2BD8">
        <w:t>identified</w:t>
      </w:r>
      <w:r w:rsidRPr="00EB2BD8">
        <w:rPr>
          <w:spacing w:val="-5"/>
        </w:rPr>
        <w:t xml:space="preserve"> </w:t>
      </w:r>
      <w:r w:rsidRPr="00EB2BD8">
        <w:t>and integrated at any time.</w:t>
      </w:r>
    </w:p>
    <w:p w14:paraId="4DC7F042" w14:textId="77777777" w:rsidR="00084F36" w:rsidRPr="00EB2BD8" w:rsidRDefault="00084F36">
      <w:pPr>
        <w:pStyle w:val="BodyText"/>
        <w:spacing w:before="3"/>
        <w:rPr>
          <w:sz w:val="26"/>
        </w:rPr>
      </w:pPr>
    </w:p>
    <w:p w14:paraId="0A58E341" w14:textId="77777777" w:rsidR="00084F36" w:rsidRPr="00EB2BD8" w:rsidRDefault="00EB2BD8" w:rsidP="006E2D36">
      <w:pPr>
        <w:pStyle w:val="Heading3"/>
        <w:ind w:left="0" w:firstLine="460"/>
      </w:pPr>
      <w:bookmarkStart w:id="131" w:name="_Toc150762433"/>
      <w:r w:rsidRPr="00EB2BD8">
        <w:t>Regulatory</w:t>
      </w:r>
      <w:r w:rsidRPr="00EB2BD8">
        <w:rPr>
          <w:spacing w:val="17"/>
        </w:rPr>
        <w:t xml:space="preserve"> </w:t>
      </w:r>
      <w:r w:rsidRPr="00EB2BD8">
        <w:t>Policy</w:t>
      </w:r>
      <w:r w:rsidRPr="00EB2BD8">
        <w:rPr>
          <w:spacing w:val="17"/>
        </w:rPr>
        <w:t xml:space="preserve"> </w:t>
      </w:r>
      <w:r w:rsidRPr="00EB2BD8">
        <w:rPr>
          <w:spacing w:val="-2"/>
        </w:rPr>
        <w:t>Statement</w:t>
      </w:r>
      <w:bookmarkEnd w:id="131"/>
    </w:p>
    <w:p w14:paraId="0F12EED6" w14:textId="77777777" w:rsidR="00084F36" w:rsidRPr="00EB2BD8" w:rsidRDefault="00EB2BD8">
      <w:pPr>
        <w:pStyle w:val="BodyText"/>
        <w:spacing w:before="119" w:line="261" w:lineRule="auto"/>
        <w:ind w:left="460" w:right="1025"/>
      </w:pPr>
      <w:r w:rsidRPr="00EB2BD8">
        <w:t>The</w:t>
      </w:r>
      <w:r w:rsidRPr="00EB2BD8">
        <w:rPr>
          <w:spacing w:val="-5"/>
        </w:rPr>
        <w:t xml:space="preserve"> </w:t>
      </w:r>
      <w:r w:rsidRPr="00EB2BD8">
        <w:t>VBA</w:t>
      </w:r>
      <w:r w:rsidRPr="00EB2BD8">
        <w:rPr>
          <w:spacing w:val="-5"/>
        </w:rPr>
        <w:t xml:space="preserve"> </w:t>
      </w:r>
      <w:r w:rsidRPr="00EB2BD8">
        <w:t>is</w:t>
      </w:r>
      <w:r w:rsidRPr="00EB2BD8">
        <w:rPr>
          <w:spacing w:val="-5"/>
        </w:rPr>
        <w:t xml:space="preserve"> </w:t>
      </w:r>
      <w:r w:rsidRPr="00EB2BD8">
        <w:t>currently</w:t>
      </w:r>
      <w:r w:rsidRPr="00EB2BD8">
        <w:rPr>
          <w:spacing w:val="-5"/>
        </w:rPr>
        <w:t xml:space="preserve"> </w:t>
      </w:r>
      <w:r w:rsidRPr="00EB2BD8">
        <w:t>revising</w:t>
      </w:r>
      <w:r w:rsidRPr="00EB2BD8">
        <w:rPr>
          <w:spacing w:val="-5"/>
        </w:rPr>
        <w:t xml:space="preserve"> </w:t>
      </w:r>
      <w:r w:rsidRPr="00EB2BD8">
        <w:t>its</w:t>
      </w:r>
      <w:r w:rsidRPr="00EB2BD8">
        <w:rPr>
          <w:spacing w:val="-5"/>
        </w:rPr>
        <w:t xml:space="preserve"> </w:t>
      </w:r>
      <w:r w:rsidRPr="00EB2BD8">
        <w:t>regulatory</w:t>
      </w:r>
      <w:r w:rsidRPr="00EB2BD8">
        <w:rPr>
          <w:spacing w:val="-5"/>
        </w:rPr>
        <w:t xml:space="preserve"> </w:t>
      </w:r>
      <w:r w:rsidRPr="00EB2BD8">
        <w:t>approach in</w:t>
      </w:r>
      <w:r w:rsidRPr="00EB2BD8">
        <w:rPr>
          <w:spacing w:val="-9"/>
        </w:rPr>
        <w:t xml:space="preserve"> </w:t>
      </w:r>
      <w:r w:rsidRPr="00EB2BD8">
        <w:t>line</w:t>
      </w:r>
      <w:r w:rsidRPr="00EB2BD8">
        <w:rPr>
          <w:spacing w:val="-9"/>
        </w:rPr>
        <w:t xml:space="preserve"> </w:t>
      </w:r>
      <w:r w:rsidRPr="00EB2BD8">
        <w:t>with</w:t>
      </w:r>
      <w:r w:rsidRPr="00EB2BD8">
        <w:rPr>
          <w:spacing w:val="-9"/>
        </w:rPr>
        <w:t xml:space="preserve"> </w:t>
      </w:r>
      <w:r w:rsidRPr="00EB2BD8">
        <w:t>being</w:t>
      </w:r>
      <w:r w:rsidRPr="00EB2BD8">
        <w:rPr>
          <w:spacing w:val="-9"/>
        </w:rPr>
        <w:t xml:space="preserve"> </w:t>
      </w:r>
      <w:r w:rsidRPr="00EB2BD8">
        <w:t>a</w:t>
      </w:r>
      <w:r w:rsidRPr="00EB2BD8">
        <w:rPr>
          <w:spacing w:val="-9"/>
        </w:rPr>
        <w:t xml:space="preserve"> </w:t>
      </w:r>
      <w:r w:rsidRPr="00EB2BD8">
        <w:t>trusted</w:t>
      </w:r>
      <w:r w:rsidRPr="00EB2BD8">
        <w:rPr>
          <w:spacing w:val="-9"/>
        </w:rPr>
        <w:t xml:space="preserve"> </w:t>
      </w:r>
      <w:r w:rsidRPr="00EB2BD8">
        <w:t>regulator,</w:t>
      </w:r>
      <w:r w:rsidRPr="00EB2BD8">
        <w:rPr>
          <w:spacing w:val="-9"/>
        </w:rPr>
        <w:t xml:space="preserve"> </w:t>
      </w:r>
      <w:r w:rsidRPr="00EB2BD8">
        <w:t>and</w:t>
      </w:r>
      <w:r w:rsidRPr="00EB2BD8">
        <w:rPr>
          <w:spacing w:val="-9"/>
        </w:rPr>
        <w:t xml:space="preserve"> </w:t>
      </w:r>
      <w:r w:rsidRPr="00EB2BD8">
        <w:t>this</w:t>
      </w:r>
      <w:r w:rsidRPr="00EB2BD8">
        <w:rPr>
          <w:spacing w:val="-9"/>
        </w:rPr>
        <w:t xml:space="preserve"> </w:t>
      </w:r>
      <w:r w:rsidRPr="00EB2BD8">
        <w:t>will</w:t>
      </w:r>
      <w:r w:rsidRPr="00EB2BD8">
        <w:rPr>
          <w:spacing w:val="-9"/>
        </w:rPr>
        <w:t xml:space="preserve"> </w:t>
      </w:r>
      <w:r w:rsidRPr="00EB2BD8">
        <w:t>be published via a Regulatory Policy Statement. This</w:t>
      </w:r>
    </w:p>
    <w:p w14:paraId="64614063" w14:textId="77777777" w:rsidR="00084F36" w:rsidRPr="00EB2BD8" w:rsidRDefault="00EB2BD8">
      <w:pPr>
        <w:pStyle w:val="BodyText"/>
        <w:spacing w:line="261" w:lineRule="auto"/>
        <w:ind w:left="460" w:right="623"/>
      </w:pPr>
      <w:r w:rsidRPr="00EB2BD8">
        <w:t>statement</w:t>
      </w:r>
      <w:r w:rsidRPr="00EB2BD8">
        <w:rPr>
          <w:spacing w:val="-1"/>
        </w:rPr>
        <w:t xml:space="preserve"> </w:t>
      </w:r>
      <w:r w:rsidRPr="00EB2BD8">
        <w:t>will</w:t>
      </w:r>
      <w:r w:rsidRPr="00EB2BD8">
        <w:rPr>
          <w:spacing w:val="-1"/>
        </w:rPr>
        <w:t xml:space="preserve"> </w:t>
      </w:r>
      <w:r w:rsidRPr="00EB2BD8">
        <w:t>describe</w:t>
      </w:r>
      <w:r w:rsidRPr="00EB2BD8">
        <w:rPr>
          <w:spacing w:val="-1"/>
        </w:rPr>
        <w:t xml:space="preserve"> </w:t>
      </w:r>
      <w:r w:rsidRPr="00EB2BD8">
        <w:t>the</w:t>
      </w:r>
      <w:r w:rsidRPr="00EB2BD8">
        <w:rPr>
          <w:spacing w:val="-1"/>
        </w:rPr>
        <w:t xml:space="preserve"> </w:t>
      </w:r>
      <w:r w:rsidRPr="00EB2BD8">
        <w:t>foundations</w:t>
      </w:r>
      <w:r w:rsidRPr="00EB2BD8">
        <w:rPr>
          <w:spacing w:val="-1"/>
        </w:rPr>
        <w:t xml:space="preserve"> </w:t>
      </w:r>
      <w:r w:rsidRPr="00EB2BD8">
        <w:t>of</w:t>
      </w:r>
      <w:r w:rsidRPr="00EB2BD8">
        <w:rPr>
          <w:spacing w:val="-1"/>
        </w:rPr>
        <w:t xml:space="preserve"> </w:t>
      </w:r>
      <w:r w:rsidRPr="00EB2BD8">
        <w:t>how</w:t>
      </w:r>
      <w:r w:rsidRPr="00EB2BD8">
        <w:rPr>
          <w:spacing w:val="-1"/>
        </w:rPr>
        <w:t xml:space="preserve"> </w:t>
      </w:r>
      <w:r w:rsidRPr="00EB2BD8">
        <w:t>the</w:t>
      </w:r>
      <w:r w:rsidRPr="00EB2BD8">
        <w:rPr>
          <w:spacing w:val="-1"/>
        </w:rPr>
        <w:t xml:space="preserve"> </w:t>
      </w:r>
      <w:r w:rsidRPr="00EB2BD8">
        <w:t xml:space="preserve">VBA </w:t>
      </w:r>
      <w:r w:rsidRPr="00EB2BD8">
        <w:rPr>
          <w:spacing w:val="-2"/>
        </w:rPr>
        <w:t>will</w:t>
      </w:r>
      <w:r w:rsidRPr="00EB2BD8">
        <w:rPr>
          <w:spacing w:val="-13"/>
        </w:rPr>
        <w:t xml:space="preserve"> </w:t>
      </w:r>
      <w:r w:rsidRPr="00EB2BD8">
        <w:rPr>
          <w:spacing w:val="-2"/>
        </w:rPr>
        <w:t>focus</w:t>
      </w:r>
      <w:r w:rsidRPr="00EB2BD8">
        <w:rPr>
          <w:spacing w:val="-13"/>
        </w:rPr>
        <w:t xml:space="preserve"> </w:t>
      </w:r>
      <w:r w:rsidRPr="00EB2BD8">
        <w:rPr>
          <w:spacing w:val="-2"/>
        </w:rPr>
        <w:t>its</w:t>
      </w:r>
      <w:r w:rsidRPr="00EB2BD8">
        <w:rPr>
          <w:spacing w:val="-13"/>
        </w:rPr>
        <w:t xml:space="preserve"> </w:t>
      </w:r>
      <w:r w:rsidRPr="00EB2BD8">
        <w:rPr>
          <w:spacing w:val="-2"/>
        </w:rPr>
        <w:t>resources,</w:t>
      </w:r>
      <w:r w:rsidRPr="00EB2BD8">
        <w:rPr>
          <w:spacing w:val="-13"/>
        </w:rPr>
        <w:t xml:space="preserve"> </w:t>
      </w:r>
      <w:r w:rsidRPr="00EB2BD8">
        <w:rPr>
          <w:spacing w:val="-2"/>
        </w:rPr>
        <w:t>how</w:t>
      </w:r>
      <w:r w:rsidRPr="00EB2BD8">
        <w:rPr>
          <w:spacing w:val="-13"/>
        </w:rPr>
        <w:t xml:space="preserve"> </w:t>
      </w:r>
      <w:r w:rsidRPr="00EB2BD8">
        <w:rPr>
          <w:spacing w:val="-2"/>
        </w:rPr>
        <w:t>it</w:t>
      </w:r>
      <w:r w:rsidRPr="00EB2BD8">
        <w:rPr>
          <w:spacing w:val="-13"/>
        </w:rPr>
        <w:t xml:space="preserve"> </w:t>
      </w:r>
      <w:r w:rsidRPr="00EB2BD8">
        <w:rPr>
          <w:spacing w:val="-2"/>
        </w:rPr>
        <w:t>will</w:t>
      </w:r>
      <w:r w:rsidRPr="00EB2BD8">
        <w:rPr>
          <w:spacing w:val="-13"/>
        </w:rPr>
        <w:t xml:space="preserve"> </w:t>
      </w:r>
      <w:r w:rsidRPr="00EB2BD8">
        <w:rPr>
          <w:spacing w:val="-2"/>
        </w:rPr>
        <w:t>use</w:t>
      </w:r>
      <w:r w:rsidRPr="00EB2BD8">
        <w:rPr>
          <w:spacing w:val="-13"/>
        </w:rPr>
        <w:t xml:space="preserve"> </w:t>
      </w:r>
      <w:r w:rsidRPr="00EB2BD8">
        <w:rPr>
          <w:spacing w:val="-2"/>
        </w:rPr>
        <w:t>its</w:t>
      </w:r>
      <w:r w:rsidRPr="00EB2BD8">
        <w:rPr>
          <w:spacing w:val="-13"/>
        </w:rPr>
        <w:t xml:space="preserve"> </w:t>
      </w:r>
      <w:r w:rsidRPr="00EB2BD8">
        <w:rPr>
          <w:spacing w:val="-2"/>
        </w:rPr>
        <w:t>regulatory</w:t>
      </w:r>
      <w:r w:rsidRPr="00EB2BD8">
        <w:rPr>
          <w:spacing w:val="-13"/>
        </w:rPr>
        <w:t xml:space="preserve"> </w:t>
      </w:r>
      <w:r w:rsidRPr="00EB2BD8">
        <w:rPr>
          <w:spacing w:val="-2"/>
        </w:rPr>
        <w:t xml:space="preserve">tools </w:t>
      </w:r>
      <w:r w:rsidRPr="00EB2BD8">
        <w:t>and powers, and how it will engage with stakeholders.</w:t>
      </w:r>
    </w:p>
    <w:p w14:paraId="01EFFC19" w14:textId="77777777" w:rsidR="00084F36" w:rsidRPr="00EB2BD8" w:rsidRDefault="00EB2BD8">
      <w:pPr>
        <w:pStyle w:val="BodyText"/>
        <w:spacing w:line="261" w:lineRule="auto"/>
        <w:ind w:left="460" w:right="866"/>
      </w:pPr>
      <w:r w:rsidRPr="00EB2BD8">
        <w:t>This</w:t>
      </w:r>
      <w:r w:rsidRPr="00EB2BD8">
        <w:rPr>
          <w:spacing w:val="-13"/>
        </w:rPr>
        <w:t xml:space="preserve"> </w:t>
      </w:r>
      <w:r w:rsidRPr="00EB2BD8">
        <w:t>statement</w:t>
      </w:r>
      <w:r w:rsidRPr="00EB2BD8">
        <w:rPr>
          <w:spacing w:val="-13"/>
        </w:rPr>
        <w:t xml:space="preserve"> </w:t>
      </w:r>
      <w:r w:rsidRPr="00EB2BD8">
        <w:t>will</w:t>
      </w:r>
      <w:r w:rsidRPr="00EB2BD8">
        <w:rPr>
          <w:spacing w:val="-13"/>
        </w:rPr>
        <w:t xml:space="preserve"> </w:t>
      </w:r>
      <w:r w:rsidRPr="00EB2BD8">
        <w:t>leverage</w:t>
      </w:r>
      <w:r w:rsidRPr="00EB2BD8">
        <w:rPr>
          <w:spacing w:val="-13"/>
        </w:rPr>
        <w:t xml:space="preserve"> </w:t>
      </w:r>
      <w:r w:rsidRPr="00EB2BD8">
        <w:t>the</w:t>
      </w:r>
      <w:r w:rsidRPr="00EB2BD8">
        <w:rPr>
          <w:spacing w:val="-13"/>
        </w:rPr>
        <w:t xml:space="preserve"> </w:t>
      </w:r>
      <w:r w:rsidRPr="00EB2BD8">
        <w:t>regulatory</w:t>
      </w:r>
      <w:r w:rsidRPr="00EB2BD8">
        <w:rPr>
          <w:spacing w:val="-13"/>
        </w:rPr>
        <w:t xml:space="preserve"> </w:t>
      </w:r>
      <w:r w:rsidRPr="00EB2BD8">
        <w:t>priorities</w:t>
      </w:r>
      <w:r w:rsidRPr="00EB2BD8">
        <w:rPr>
          <w:spacing w:val="-13"/>
        </w:rPr>
        <w:t xml:space="preserve"> </w:t>
      </w:r>
      <w:r w:rsidRPr="00EB2BD8">
        <w:t>to guide decision making and regulatory operations.</w:t>
      </w:r>
    </w:p>
    <w:p w14:paraId="6EA6EE4C" w14:textId="77777777" w:rsidR="00084F36" w:rsidRPr="00EB2BD8" w:rsidRDefault="00EB2BD8">
      <w:pPr>
        <w:pStyle w:val="BodyText"/>
        <w:spacing w:before="162" w:line="261" w:lineRule="auto"/>
        <w:ind w:left="460" w:right="866"/>
      </w:pPr>
      <w:r w:rsidRPr="00EB2BD8">
        <w:t>The</w:t>
      </w:r>
      <w:r w:rsidRPr="00EB2BD8">
        <w:rPr>
          <w:spacing w:val="-7"/>
        </w:rPr>
        <w:t xml:space="preserve"> </w:t>
      </w:r>
      <w:hyperlink r:id="rId156">
        <w:r w:rsidRPr="00EB2BD8">
          <w:t>Regulatory</w:t>
        </w:r>
        <w:r w:rsidRPr="00EB2BD8">
          <w:rPr>
            <w:spacing w:val="-7"/>
          </w:rPr>
          <w:t xml:space="preserve"> </w:t>
        </w:r>
        <w:r w:rsidRPr="00EB2BD8">
          <w:t>Policy</w:t>
        </w:r>
        <w:r w:rsidRPr="00EB2BD8">
          <w:rPr>
            <w:spacing w:val="-7"/>
          </w:rPr>
          <w:t xml:space="preserve"> </w:t>
        </w:r>
        <w:r w:rsidRPr="00EB2BD8">
          <w:t>Statement</w:t>
        </w:r>
      </w:hyperlink>
      <w:r w:rsidRPr="00EB2BD8">
        <w:rPr>
          <w:spacing w:val="-7"/>
        </w:rPr>
        <w:t xml:space="preserve"> </w:t>
      </w:r>
      <w:r w:rsidRPr="00EB2BD8">
        <w:t>will</w:t>
      </w:r>
      <w:r w:rsidRPr="00EB2BD8">
        <w:rPr>
          <w:spacing w:val="-7"/>
        </w:rPr>
        <w:t xml:space="preserve"> </w:t>
      </w:r>
      <w:r w:rsidRPr="00EB2BD8">
        <w:t>be</w:t>
      </w:r>
      <w:r w:rsidRPr="00EB2BD8">
        <w:rPr>
          <w:spacing w:val="-7"/>
        </w:rPr>
        <w:t xml:space="preserve"> </w:t>
      </w:r>
      <w:r w:rsidRPr="00EB2BD8">
        <w:t>published</w:t>
      </w:r>
      <w:r w:rsidRPr="00EB2BD8">
        <w:rPr>
          <w:spacing w:val="-7"/>
        </w:rPr>
        <w:t xml:space="preserve"> </w:t>
      </w:r>
      <w:r w:rsidRPr="00EB2BD8">
        <w:t>first half of in 2023-24.</w:t>
      </w:r>
    </w:p>
    <w:p w14:paraId="1510C1B1" w14:textId="77777777" w:rsidR="00084F36" w:rsidRPr="00EB2BD8" w:rsidRDefault="00084F36">
      <w:pPr>
        <w:spacing w:line="261" w:lineRule="auto"/>
        <w:sectPr w:rsidR="00084F36" w:rsidRPr="00EB2BD8" w:rsidSect="006D75B2">
          <w:type w:val="continuous"/>
          <w:pgSz w:w="11910" w:h="16840"/>
          <w:pgMar w:top="1920" w:right="0" w:bottom="280" w:left="0" w:header="0" w:footer="528" w:gutter="0"/>
          <w:cols w:num="2" w:space="720" w:equalWidth="0">
            <w:col w:w="5679" w:space="40"/>
            <w:col w:w="6191"/>
          </w:cols>
        </w:sectPr>
      </w:pPr>
    </w:p>
    <w:p w14:paraId="3EE352E1" w14:textId="77777777" w:rsidR="00084F36" w:rsidRPr="00EB2BD8" w:rsidRDefault="00084F36">
      <w:pPr>
        <w:pStyle w:val="BodyText"/>
        <w:rPr>
          <w:sz w:val="20"/>
        </w:rPr>
      </w:pPr>
    </w:p>
    <w:p w14:paraId="31EF68B1" w14:textId="77777777" w:rsidR="00084F36" w:rsidRPr="00EB2BD8" w:rsidRDefault="00084F36">
      <w:pPr>
        <w:pStyle w:val="BodyText"/>
        <w:rPr>
          <w:sz w:val="20"/>
        </w:rPr>
      </w:pPr>
    </w:p>
    <w:p w14:paraId="489017CE" w14:textId="77777777" w:rsidR="00084F36" w:rsidRPr="00EB2BD8" w:rsidRDefault="00084F36">
      <w:pPr>
        <w:pStyle w:val="BodyText"/>
        <w:rPr>
          <w:sz w:val="20"/>
        </w:rPr>
      </w:pPr>
    </w:p>
    <w:p w14:paraId="5AEE1AF1" w14:textId="77777777" w:rsidR="00084F36" w:rsidRPr="00EB2BD8" w:rsidRDefault="00084F36">
      <w:pPr>
        <w:pStyle w:val="BodyText"/>
        <w:rPr>
          <w:sz w:val="20"/>
        </w:rPr>
      </w:pPr>
    </w:p>
    <w:p w14:paraId="7B8C78F9" w14:textId="77777777" w:rsidR="00084F36" w:rsidRPr="00EB2BD8" w:rsidRDefault="00084F36">
      <w:pPr>
        <w:pStyle w:val="BodyText"/>
        <w:spacing w:before="1"/>
        <w:rPr>
          <w:sz w:val="17"/>
        </w:rPr>
      </w:pPr>
    </w:p>
    <w:p w14:paraId="5709D819" w14:textId="77777777" w:rsidR="00084F36" w:rsidRPr="00EB2BD8" w:rsidRDefault="00084F36">
      <w:pPr>
        <w:rPr>
          <w:sz w:val="17"/>
        </w:rPr>
        <w:sectPr w:rsidR="00084F36" w:rsidRPr="00EB2BD8" w:rsidSect="006D75B2">
          <w:footerReference w:type="default" r:id="rId157"/>
          <w:pgSz w:w="11910" w:h="16840"/>
          <w:pgMar w:top="1080" w:right="0" w:bottom="720" w:left="0" w:header="0" w:footer="528" w:gutter="0"/>
          <w:cols w:space="720"/>
        </w:sectPr>
      </w:pPr>
    </w:p>
    <w:p w14:paraId="2FB429CC" w14:textId="436A803F" w:rsidR="00084F36" w:rsidRPr="00EB2BD8" w:rsidRDefault="00EB2BD8" w:rsidP="00EB2BD8">
      <w:pPr>
        <w:pStyle w:val="Heading2"/>
      </w:pPr>
      <w:bookmarkStart w:id="132" w:name="_Toc150762434"/>
      <w:r w:rsidRPr="00EB2BD8">
        <w:rPr>
          <w:w w:val="90"/>
        </w:rPr>
        <w:t>Maturing</w:t>
      </w:r>
      <w:r w:rsidRPr="00EB2BD8">
        <w:rPr>
          <w:spacing w:val="20"/>
        </w:rPr>
        <w:t xml:space="preserve"> </w:t>
      </w:r>
      <w:r w:rsidRPr="00EB2BD8">
        <w:rPr>
          <w:w w:val="90"/>
        </w:rPr>
        <w:t>risk</w:t>
      </w:r>
      <w:r w:rsidRPr="00EB2BD8">
        <w:rPr>
          <w:spacing w:val="20"/>
        </w:rPr>
        <w:t xml:space="preserve"> </w:t>
      </w:r>
      <w:r w:rsidRPr="00EB2BD8">
        <w:rPr>
          <w:spacing w:val="-2"/>
          <w:w w:val="90"/>
        </w:rPr>
        <w:t>processes</w:t>
      </w:r>
      <w:bookmarkEnd w:id="132"/>
    </w:p>
    <w:p w14:paraId="2DB45479" w14:textId="77777777" w:rsidR="00084F36" w:rsidRPr="00EB2BD8" w:rsidRDefault="00EB2BD8">
      <w:pPr>
        <w:pStyle w:val="BodyText"/>
        <w:spacing w:before="128" w:line="261" w:lineRule="auto"/>
        <w:ind w:left="850"/>
      </w:pPr>
      <w:r w:rsidRPr="00EB2BD8">
        <w:t>Since the commencement of its three-year risk improvement</w:t>
      </w:r>
      <w:r w:rsidRPr="00EB2BD8">
        <w:rPr>
          <w:spacing w:val="-8"/>
        </w:rPr>
        <w:t xml:space="preserve"> </w:t>
      </w:r>
      <w:r w:rsidRPr="00EB2BD8">
        <w:t>plan,</w:t>
      </w:r>
      <w:r w:rsidRPr="00EB2BD8">
        <w:rPr>
          <w:spacing w:val="-8"/>
        </w:rPr>
        <w:t xml:space="preserve"> </w:t>
      </w:r>
      <w:r w:rsidRPr="00EB2BD8">
        <w:t>the</w:t>
      </w:r>
      <w:r w:rsidRPr="00EB2BD8">
        <w:rPr>
          <w:spacing w:val="-8"/>
        </w:rPr>
        <w:t xml:space="preserve"> </w:t>
      </w:r>
      <w:r w:rsidRPr="00EB2BD8">
        <w:t>VBA</w:t>
      </w:r>
      <w:r w:rsidRPr="00EB2BD8">
        <w:rPr>
          <w:spacing w:val="-8"/>
        </w:rPr>
        <w:t xml:space="preserve"> </w:t>
      </w:r>
      <w:r w:rsidRPr="00EB2BD8">
        <w:t>has</w:t>
      </w:r>
      <w:r w:rsidRPr="00EB2BD8">
        <w:rPr>
          <w:spacing w:val="-8"/>
        </w:rPr>
        <w:t xml:space="preserve"> </w:t>
      </w:r>
      <w:r w:rsidRPr="00EB2BD8">
        <w:t>seen</w:t>
      </w:r>
      <w:r w:rsidRPr="00EB2BD8">
        <w:rPr>
          <w:spacing w:val="-8"/>
        </w:rPr>
        <w:t xml:space="preserve"> </w:t>
      </w:r>
      <w:r w:rsidRPr="00EB2BD8">
        <w:t>significant</w:t>
      </w:r>
      <w:r w:rsidRPr="00EB2BD8">
        <w:rPr>
          <w:spacing w:val="-8"/>
        </w:rPr>
        <w:t xml:space="preserve"> </w:t>
      </w:r>
      <w:r w:rsidRPr="00EB2BD8">
        <w:t>growth in its risk maturity. Based on the Victorian Managed Insurance Authority (VMIA) Risk Maturity Tool, the organisation’s capability has lifted from 56 per cent</w:t>
      </w:r>
    </w:p>
    <w:p w14:paraId="7A1965DE" w14:textId="77777777" w:rsidR="00084F36" w:rsidRPr="00EB2BD8" w:rsidRDefault="00EB2BD8">
      <w:pPr>
        <w:pStyle w:val="BodyText"/>
        <w:spacing w:line="261" w:lineRule="auto"/>
        <w:ind w:left="850" w:right="86"/>
      </w:pPr>
      <w:r w:rsidRPr="00EB2BD8">
        <w:rPr>
          <w:spacing w:val="-2"/>
        </w:rPr>
        <w:t>in</w:t>
      </w:r>
      <w:r w:rsidRPr="00EB2BD8">
        <w:rPr>
          <w:spacing w:val="-12"/>
        </w:rPr>
        <w:t xml:space="preserve"> </w:t>
      </w:r>
      <w:r w:rsidRPr="00EB2BD8">
        <w:rPr>
          <w:spacing w:val="-2"/>
        </w:rPr>
        <w:t>FY21</w:t>
      </w:r>
      <w:r w:rsidRPr="00EB2BD8">
        <w:rPr>
          <w:spacing w:val="-12"/>
        </w:rPr>
        <w:t xml:space="preserve"> </w:t>
      </w:r>
      <w:r w:rsidRPr="00EB2BD8">
        <w:rPr>
          <w:spacing w:val="-2"/>
        </w:rPr>
        <w:t>to</w:t>
      </w:r>
      <w:r w:rsidRPr="00EB2BD8">
        <w:rPr>
          <w:spacing w:val="-12"/>
        </w:rPr>
        <w:t xml:space="preserve"> </w:t>
      </w:r>
      <w:r w:rsidRPr="00EB2BD8">
        <w:rPr>
          <w:spacing w:val="-2"/>
        </w:rPr>
        <w:t>84.6</w:t>
      </w:r>
      <w:r w:rsidRPr="00EB2BD8">
        <w:rPr>
          <w:spacing w:val="-12"/>
        </w:rPr>
        <w:t xml:space="preserve"> </w:t>
      </w:r>
      <w:r w:rsidRPr="00EB2BD8">
        <w:rPr>
          <w:spacing w:val="-2"/>
        </w:rPr>
        <w:t>per</w:t>
      </w:r>
      <w:r w:rsidRPr="00EB2BD8">
        <w:rPr>
          <w:spacing w:val="-12"/>
        </w:rPr>
        <w:t xml:space="preserve"> </w:t>
      </w:r>
      <w:r w:rsidRPr="00EB2BD8">
        <w:rPr>
          <w:spacing w:val="-2"/>
        </w:rPr>
        <w:t>cent</w:t>
      </w:r>
      <w:r w:rsidRPr="00EB2BD8">
        <w:rPr>
          <w:spacing w:val="-12"/>
        </w:rPr>
        <w:t xml:space="preserve"> </w:t>
      </w:r>
      <w:r w:rsidRPr="00EB2BD8">
        <w:rPr>
          <w:spacing w:val="-2"/>
        </w:rPr>
        <w:t>this</w:t>
      </w:r>
      <w:r w:rsidRPr="00EB2BD8">
        <w:rPr>
          <w:spacing w:val="-12"/>
        </w:rPr>
        <w:t xml:space="preserve"> </w:t>
      </w:r>
      <w:r w:rsidRPr="00EB2BD8">
        <w:rPr>
          <w:spacing w:val="-2"/>
        </w:rPr>
        <w:t>year,</w:t>
      </w:r>
      <w:r w:rsidRPr="00EB2BD8">
        <w:rPr>
          <w:spacing w:val="-12"/>
        </w:rPr>
        <w:t xml:space="preserve"> </w:t>
      </w:r>
      <w:r w:rsidRPr="00EB2BD8">
        <w:rPr>
          <w:spacing w:val="-2"/>
        </w:rPr>
        <w:t>exceeding</w:t>
      </w:r>
      <w:r w:rsidRPr="00EB2BD8">
        <w:rPr>
          <w:spacing w:val="-12"/>
        </w:rPr>
        <w:t xml:space="preserve"> </w:t>
      </w:r>
      <w:r w:rsidRPr="00EB2BD8">
        <w:rPr>
          <w:spacing w:val="-2"/>
        </w:rPr>
        <w:t>the</w:t>
      </w:r>
      <w:r w:rsidRPr="00EB2BD8">
        <w:rPr>
          <w:spacing w:val="-12"/>
        </w:rPr>
        <w:t xml:space="preserve"> </w:t>
      </w:r>
      <w:r w:rsidRPr="00EB2BD8">
        <w:rPr>
          <w:spacing w:val="-2"/>
        </w:rPr>
        <w:t xml:space="preserve">target </w:t>
      </w:r>
      <w:r w:rsidRPr="00EB2BD8">
        <w:t>of 80 per cent for this period. This growth can be attributed to a range of initiatives, with our people being at the core of this success.</w:t>
      </w:r>
    </w:p>
    <w:p w14:paraId="3B65F387" w14:textId="77777777" w:rsidR="00084F36" w:rsidRPr="00EB2BD8" w:rsidRDefault="00EB2BD8">
      <w:pPr>
        <w:pStyle w:val="BodyText"/>
        <w:spacing w:before="161" w:line="261" w:lineRule="auto"/>
        <w:ind w:left="850"/>
      </w:pPr>
      <w:r w:rsidRPr="00EB2BD8">
        <w:t>Recognising</w:t>
      </w:r>
      <w:r w:rsidRPr="00EB2BD8">
        <w:rPr>
          <w:spacing w:val="-7"/>
        </w:rPr>
        <w:t xml:space="preserve"> </w:t>
      </w:r>
      <w:r w:rsidRPr="00EB2BD8">
        <w:t>the</w:t>
      </w:r>
      <w:r w:rsidRPr="00EB2BD8">
        <w:rPr>
          <w:spacing w:val="-7"/>
        </w:rPr>
        <w:t xml:space="preserve"> </w:t>
      </w:r>
      <w:r w:rsidRPr="00EB2BD8">
        <w:t>risk</w:t>
      </w:r>
      <w:r w:rsidRPr="00EB2BD8">
        <w:rPr>
          <w:spacing w:val="-7"/>
        </w:rPr>
        <w:t xml:space="preserve"> </w:t>
      </w:r>
      <w:r w:rsidRPr="00EB2BD8">
        <w:t>maturity</w:t>
      </w:r>
      <w:r w:rsidRPr="00EB2BD8">
        <w:rPr>
          <w:spacing w:val="-7"/>
        </w:rPr>
        <w:t xml:space="preserve"> </w:t>
      </w:r>
      <w:r w:rsidRPr="00EB2BD8">
        <w:t>growth</w:t>
      </w:r>
      <w:r w:rsidRPr="00EB2BD8">
        <w:rPr>
          <w:spacing w:val="-7"/>
        </w:rPr>
        <w:t xml:space="preserve"> </w:t>
      </w:r>
      <w:r w:rsidRPr="00EB2BD8">
        <w:t>that</w:t>
      </w:r>
      <w:r w:rsidRPr="00EB2BD8">
        <w:rPr>
          <w:spacing w:val="-7"/>
        </w:rPr>
        <w:t xml:space="preserve"> </w:t>
      </w:r>
      <w:r w:rsidRPr="00EB2BD8">
        <w:t>has</w:t>
      </w:r>
      <w:r w:rsidRPr="00EB2BD8">
        <w:rPr>
          <w:spacing w:val="-7"/>
        </w:rPr>
        <w:t xml:space="preserve"> </w:t>
      </w:r>
      <w:r w:rsidRPr="00EB2BD8">
        <w:t>occurred, the VBA is planning to rebaseline and expand the</w:t>
      </w:r>
      <w:r w:rsidRPr="00EB2BD8">
        <w:rPr>
          <w:spacing w:val="40"/>
        </w:rPr>
        <w:t xml:space="preserve"> </w:t>
      </w:r>
      <w:r w:rsidRPr="00EB2BD8">
        <w:t>scope</w:t>
      </w:r>
      <w:r w:rsidRPr="00EB2BD8">
        <w:rPr>
          <w:spacing w:val="-5"/>
        </w:rPr>
        <w:t xml:space="preserve"> </w:t>
      </w:r>
      <w:r w:rsidRPr="00EB2BD8">
        <w:t>of</w:t>
      </w:r>
      <w:r w:rsidRPr="00EB2BD8">
        <w:rPr>
          <w:spacing w:val="-5"/>
        </w:rPr>
        <w:t xml:space="preserve"> </w:t>
      </w:r>
      <w:r w:rsidRPr="00EB2BD8">
        <w:t>the</w:t>
      </w:r>
      <w:r w:rsidRPr="00EB2BD8">
        <w:rPr>
          <w:spacing w:val="-5"/>
        </w:rPr>
        <w:t xml:space="preserve"> </w:t>
      </w:r>
      <w:r w:rsidRPr="00EB2BD8">
        <w:t>existing</w:t>
      </w:r>
      <w:r w:rsidRPr="00EB2BD8">
        <w:rPr>
          <w:spacing w:val="-5"/>
        </w:rPr>
        <w:t xml:space="preserve"> </w:t>
      </w:r>
      <w:r w:rsidRPr="00EB2BD8">
        <w:t>three</w:t>
      </w:r>
      <w:r w:rsidRPr="00EB2BD8">
        <w:rPr>
          <w:spacing w:val="-5"/>
        </w:rPr>
        <w:t xml:space="preserve"> </w:t>
      </w:r>
      <w:r w:rsidRPr="00EB2BD8">
        <w:t>year</w:t>
      </w:r>
      <w:r w:rsidRPr="00EB2BD8">
        <w:rPr>
          <w:spacing w:val="-5"/>
        </w:rPr>
        <w:t xml:space="preserve"> </w:t>
      </w:r>
      <w:r w:rsidRPr="00EB2BD8">
        <w:t>risk</w:t>
      </w:r>
      <w:r w:rsidRPr="00EB2BD8">
        <w:rPr>
          <w:spacing w:val="-5"/>
        </w:rPr>
        <w:t xml:space="preserve"> </w:t>
      </w:r>
      <w:r w:rsidRPr="00EB2BD8">
        <w:t>plan</w:t>
      </w:r>
      <w:r w:rsidRPr="00EB2BD8">
        <w:rPr>
          <w:spacing w:val="-5"/>
        </w:rPr>
        <w:t xml:space="preserve"> </w:t>
      </w:r>
      <w:r w:rsidRPr="00EB2BD8">
        <w:t>to</w:t>
      </w:r>
      <w:r w:rsidRPr="00EB2BD8">
        <w:rPr>
          <w:spacing w:val="-5"/>
        </w:rPr>
        <w:t xml:space="preserve"> </w:t>
      </w:r>
      <w:r w:rsidRPr="00EB2BD8">
        <w:t>incorporate a broader assurance perspective, and has already</w:t>
      </w:r>
      <w:r w:rsidRPr="00EB2BD8">
        <w:rPr>
          <w:spacing w:val="80"/>
        </w:rPr>
        <w:t xml:space="preserve"> </w:t>
      </w:r>
      <w:r w:rsidRPr="00EB2BD8">
        <w:t>taken</w:t>
      </w:r>
      <w:r w:rsidRPr="00EB2BD8">
        <w:rPr>
          <w:spacing w:val="-7"/>
        </w:rPr>
        <w:t xml:space="preserve"> </w:t>
      </w:r>
      <w:r w:rsidRPr="00EB2BD8">
        <w:t>steps</w:t>
      </w:r>
      <w:r w:rsidRPr="00EB2BD8">
        <w:rPr>
          <w:spacing w:val="-7"/>
        </w:rPr>
        <w:t xml:space="preserve"> </w:t>
      </w:r>
      <w:r w:rsidRPr="00EB2BD8">
        <w:t>to</w:t>
      </w:r>
      <w:r w:rsidRPr="00EB2BD8">
        <w:rPr>
          <w:spacing w:val="-7"/>
        </w:rPr>
        <w:t xml:space="preserve"> </w:t>
      </w:r>
      <w:r w:rsidRPr="00EB2BD8">
        <w:t>support</w:t>
      </w:r>
      <w:r w:rsidRPr="00EB2BD8">
        <w:rPr>
          <w:spacing w:val="-7"/>
        </w:rPr>
        <w:t xml:space="preserve"> </w:t>
      </w:r>
      <w:r w:rsidRPr="00EB2BD8">
        <w:t>this</w:t>
      </w:r>
      <w:r w:rsidRPr="00EB2BD8">
        <w:rPr>
          <w:spacing w:val="-7"/>
        </w:rPr>
        <w:t xml:space="preserve"> </w:t>
      </w:r>
      <w:r w:rsidRPr="00EB2BD8">
        <w:t>activity</w:t>
      </w:r>
      <w:r w:rsidRPr="00EB2BD8">
        <w:rPr>
          <w:spacing w:val="-7"/>
        </w:rPr>
        <w:t xml:space="preserve"> </w:t>
      </w:r>
      <w:r w:rsidRPr="00EB2BD8">
        <w:t>through</w:t>
      </w:r>
      <w:r w:rsidRPr="00EB2BD8">
        <w:rPr>
          <w:spacing w:val="-7"/>
        </w:rPr>
        <w:t xml:space="preserve"> </w:t>
      </w:r>
      <w:r w:rsidRPr="00EB2BD8">
        <w:t>the</w:t>
      </w:r>
      <w:r w:rsidRPr="00EB2BD8">
        <w:rPr>
          <w:spacing w:val="-7"/>
        </w:rPr>
        <w:t xml:space="preserve"> </w:t>
      </w:r>
      <w:r w:rsidRPr="00EB2BD8">
        <w:t>creation of an integrated risk and assurance team this year.</w:t>
      </w:r>
    </w:p>
    <w:p w14:paraId="513C61E0" w14:textId="77777777" w:rsidR="00084F36" w:rsidRPr="00EB2BD8" w:rsidRDefault="00EB2BD8">
      <w:pPr>
        <w:pStyle w:val="BodyText"/>
        <w:spacing w:line="261" w:lineRule="auto"/>
        <w:ind w:left="850"/>
      </w:pPr>
      <w:r w:rsidRPr="00EB2BD8">
        <w:t>Through</w:t>
      </w:r>
      <w:r w:rsidRPr="00EB2BD8">
        <w:rPr>
          <w:spacing w:val="-13"/>
        </w:rPr>
        <w:t xml:space="preserve"> </w:t>
      </w:r>
      <w:r w:rsidRPr="00EB2BD8">
        <w:t>this</w:t>
      </w:r>
      <w:r w:rsidRPr="00EB2BD8">
        <w:rPr>
          <w:spacing w:val="-13"/>
        </w:rPr>
        <w:t xml:space="preserve"> </w:t>
      </w:r>
      <w:r w:rsidRPr="00EB2BD8">
        <w:t>expanded</w:t>
      </w:r>
      <w:r w:rsidRPr="00EB2BD8">
        <w:rPr>
          <w:spacing w:val="-13"/>
        </w:rPr>
        <w:t xml:space="preserve"> </w:t>
      </w:r>
      <w:r w:rsidRPr="00EB2BD8">
        <w:t>scope,</w:t>
      </w:r>
      <w:r w:rsidRPr="00EB2BD8">
        <w:rPr>
          <w:spacing w:val="-13"/>
        </w:rPr>
        <w:t xml:space="preserve"> </w:t>
      </w:r>
      <w:r w:rsidRPr="00EB2BD8">
        <w:t>the</w:t>
      </w:r>
      <w:r w:rsidRPr="00EB2BD8">
        <w:rPr>
          <w:spacing w:val="-13"/>
        </w:rPr>
        <w:t xml:space="preserve"> </w:t>
      </w:r>
      <w:r w:rsidRPr="00EB2BD8">
        <w:t>VBA</w:t>
      </w:r>
      <w:r w:rsidRPr="00EB2BD8">
        <w:rPr>
          <w:spacing w:val="-13"/>
        </w:rPr>
        <w:t xml:space="preserve"> </w:t>
      </w:r>
      <w:r w:rsidRPr="00EB2BD8">
        <w:t>will</w:t>
      </w:r>
      <w:r w:rsidRPr="00EB2BD8">
        <w:rPr>
          <w:spacing w:val="-13"/>
        </w:rPr>
        <w:t xml:space="preserve"> </w:t>
      </w:r>
      <w:r w:rsidRPr="00EB2BD8">
        <w:t>be</w:t>
      </w:r>
      <w:r w:rsidRPr="00EB2BD8">
        <w:rPr>
          <w:spacing w:val="-13"/>
        </w:rPr>
        <w:t xml:space="preserve"> </w:t>
      </w:r>
      <w:r w:rsidRPr="00EB2BD8">
        <w:t>focusing on furthering its ‘three lines of defence’ model to enhance the ability for more responsive and targeted assurance</w:t>
      </w:r>
      <w:r w:rsidRPr="00EB2BD8">
        <w:rPr>
          <w:spacing w:val="-6"/>
        </w:rPr>
        <w:t xml:space="preserve"> </w:t>
      </w:r>
      <w:r w:rsidRPr="00EB2BD8">
        <w:t>activities.</w:t>
      </w:r>
    </w:p>
    <w:p w14:paraId="1483B46E" w14:textId="2D44932D" w:rsidR="00084F36" w:rsidRPr="00EB2BD8" w:rsidRDefault="00EB2BD8" w:rsidP="00E13356">
      <w:pPr>
        <w:pStyle w:val="Heading2"/>
        <w:ind w:left="0"/>
      </w:pPr>
      <w:r w:rsidRPr="00EB2BD8">
        <w:br w:type="column"/>
      </w:r>
      <w:r w:rsidR="00E13356">
        <w:t xml:space="preserve">     </w:t>
      </w:r>
      <w:bookmarkStart w:id="133" w:name="_Toc150762435"/>
      <w:r w:rsidRPr="00EB2BD8">
        <w:t>Building</w:t>
      </w:r>
      <w:r w:rsidRPr="00EB2BD8">
        <w:rPr>
          <w:spacing w:val="-22"/>
        </w:rPr>
        <w:t xml:space="preserve"> </w:t>
      </w:r>
      <w:r w:rsidRPr="00EB2BD8">
        <w:t>Fee</w:t>
      </w:r>
      <w:r w:rsidRPr="00EB2BD8">
        <w:rPr>
          <w:spacing w:val="-21"/>
        </w:rPr>
        <w:t xml:space="preserve"> </w:t>
      </w:r>
      <w:r w:rsidRPr="00EB2BD8">
        <w:t>reset</w:t>
      </w:r>
      <w:bookmarkEnd w:id="133"/>
    </w:p>
    <w:p w14:paraId="1BADA293" w14:textId="77777777" w:rsidR="00084F36" w:rsidRPr="00EB2BD8" w:rsidRDefault="00EB2BD8">
      <w:pPr>
        <w:pStyle w:val="BodyText"/>
        <w:spacing w:before="129" w:line="261" w:lineRule="auto"/>
        <w:ind w:left="435" w:right="1070"/>
      </w:pPr>
      <w:r w:rsidRPr="00EB2BD8">
        <w:t>New</w:t>
      </w:r>
      <w:r w:rsidRPr="00EB2BD8">
        <w:rPr>
          <w:spacing w:val="-11"/>
        </w:rPr>
        <w:t xml:space="preserve"> </w:t>
      </w:r>
      <w:r w:rsidRPr="00EB2BD8">
        <w:t>building</w:t>
      </w:r>
      <w:r w:rsidRPr="00EB2BD8">
        <w:rPr>
          <w:spacing w:val="-11"/>
        </w:rPr>
        <w:t xml:space="preserve"> </w:t>
      </w:r>
      <w:r w:rsidRPr="00EB2BD8">
        <w:t>practitioner</w:t>
      </w:r>
      <w:r w:rsidRPr="00EB2BD8">
        <w:rPr>
          <w:spacing w:val="-11"/>
        </w:rPr>
        <w:t xml:space="preserve"> </w:t>
      </w:r>
      <w:r w:rsidRPr="00EB2BD8">
        <w:t>fees</w:t>
      </w:r>
      <w:r w:rsidRPr="00EB2BD8">
        <w:rPr>
          <w:spacing w:val="-11"/>
        </w:rPr>
        <w:t xml:space="preserve"> </w:t>
      </w:r>
      <w:r w:rsidRPr="00EB2BD8">
        <w:t>came</w:t>
      </w:r>
      <w:r w:rsidRPr="00EB2BD8">
        <w:rPr>
          <w:spacing w:val="-11"/>
        </w:rPr>
        <w:t xml:space="preserve"> </w:t>
      </w:r>
      <w:r w:rsidRPr="00EB2BD8">
        <w:t>into</w:t>
      </w:r>
      <w:r w:rsidRPr="00EB2BD8">
        <w:rPr>
          <w:spacing w:val="-11"/>
        </w:rPr>
        <w:t xml:space="preserve"> </w:t>
      </w:r>
      <w:r w:rsidRPr="00EB2BD8">
        <w:t>effect</w:t>
      </w:r>
      <w:r w:rsidRPr="00EB2BD8">
        <w:rPr>
          <w:spacing w:val="-11"/>
        </w:rPr>
        <w:t xml:space="preserve"> </w:t>
      </w:r>
      <w:r w:rsidRPr="00EB2BD8">
        <w:t>on</w:t>
      </w:r>
      <w:r w:rsidRPr="00EB2BD8">
        <w:rPr>
          <w:spacing w:val="-11"/>
        </w:rPr>
        <w:t xml:space="preserve"> </w:t>
      </w:r>
      <w:r w:rsidRPr="00EB2BD8">
        <w:t>2 May 2022 and affected the following fees:</w:t>
      </w:r>
    </w:p>
    <w:p w14:paraId="6F42A73C" w14:textId="77777777" w:rsidR="00084F36" w:rsidRPr="00EB2BD8" w:rsidRDefault="00EB2BD8">
      <w:pPr>
        <w:pStyle w:val="ListParagraph"/>
        <w:numPr>
          <w:ilvl w:val="0"/>
          <w:numId w:val="59"/>
        </w:numPr>
        <w:tabs>
          <w:tab w:val="left" w:pos="718"/>
        </w:tabs>
        <w:spacing w:before="138"/>
        <w:ind w:left="718" w:hanging="283"/>
        <w:rPr>
          <w:sz w:val="18"/>
        </w:rPr>
      </w:pPr>
      <w:r w:rsidRPr="00EB2BD8">
        <w:rPr>
          <w:spacing w:val="-2"/>
          <w:sz w:val="18"/>
        </w:rPr>
        <w:t>registration</w:t>
      </w:r>
    </w:p>
    <w:p w14:paraId="6B168DB9" w14:textId="77777777" w:rsidR="00084F36" w:rsidRPr="00EB2BD8" w:rsidRDefault="00EB2BD8">
      <w:pPr>
        <w:pStyle w:val="ListParagraph"/>
        <w:numPr>
          <w:ilvl w:val="0"/>
          <w:numId w:val="59"/>
        </w:numPr>
        <w:tabs>
          <w:tab w:val="left" w:pos="718"/>
        </w:tabs>
        <w:spacing w:before="88"/>
        <w:ind w:left="718" w:hanging="283"/>
        <w:rPr>
          <w:sz w:val="18"/>
        </w:rPr>
      </w:pPr>
      <w:r w:rsidRPr="00EB2BD8">
        <w:rPr>
          <w:spacing w:val="-2"/>
          <w:w w:val="105"/>
          <w:sz w:val="18"/>
        </w:rPr>
        <w:t>annual</w:t>
      </w:r>
    </w:p>
    <w:p w14:paraId="5B47E5D2" w14:textId="77777777" w:rsidR="00084F36" w:rsidRPr="00EB2BD8" w:rsidRDefault="00EB2BD8">
      <w:pPr>
        <w:pStyle w:val="ListParagraph"/>
        <w:numPr>
          <w:ilvl w:val="0"/>
          <w:numId w:val="59"/>
        </w:numPr>
        <w:tabs>
          <w:tab w:val="left" w:pos="718"/>
        </w:tabs>
        <w:spacing w:before="88"/>
        <w:ind w:left="718" w:hanging="283"/>
        <w:rPr>
          <w:sz w:val="18"/>
        </w:rPr>
      </w:pPr>
      <w:r w:rsidRPr="00EB2BD8">
        <w:rPr>
          <w:sz w:val="18"/>
        </w:rPr>
        <w:t>5-yearly</w:t>
      </w:r>
      <w:r w:rsidRPr="00EB2BD8">
        <w:rPr>
          <w:spacing w:val="-9"/>
          <w:sz w:val="18"/>
        </w:rPr>
        <w:t xml:space="preserve"> </w:t>
      </w:r>
      <w:r w:rsidRPr="00EB2BD8">
        <w:rPr>
          <w:sz w:val="18"/>
        </w:rPr>
        <w:t>renewal,</w:t>
      </w:r>
      <w:r w:rsidRPr="00EB2BD8">
        <w:rPr>
          <w:spacing w:val="-9"/>
          <w:sz w:val="18"/>
        </w:rPr>
        <w:t xml:space="preserve"> </w:t>
      </w:r>
      <w:r w:rsidRPr="00EB2BD8">
        <w:rPr>
          <w:spacing w:val="-5"/>
          <w:sz w:val="18"/>
        </w:rPr>
        <w:t>and</w:t>
      </w:r>
    </w:p>
    <w:p w14:paraId="70488D9E" w14:textId="77777777" w:rsidR="00084F36" w:rsidRPr="00EB2BD8" w:rsidRDefault="00EB2BD8">
      <w:pPr>
        <w:pStyle w:val="ListParagraph"/>
        <w:numPr>
          <w:ilvl w:val="0"/>
          <w:numId w:val="59"/>
        </w:numPr>
        <w:tabs>
          <w:tab w:val="left" w:pos="719"/>
        </w:tabs>
        <w:spacing w:before="88" w:line="261" w:lineRule="auto"/>
        <w:ind w:right="1262"/>
        <w:rPr>
          <w:sz w:val="18"/>
        </w:rPr>
      </w:pPr>
      <w:r w:rsidRPr="00EB2BD8">
        <w:rPr>
          <w:sz w:val="18"/>
        </w:rPr>
        <w:t>other</w:t>
      </w:r>
      <w:r w:rsidRPr="00EB2BD8">
        <w:rPr>
          <w:spacing w:val="-8"/>
          <w:sz w:val="18"/>
        </w:rPr>
        <w:t xml:space="preserve"> </w:t>
      </w:r>
      <w:r w:rsidRPr="00EB2BD8">
        <w:rPr>
          <w:sz w:val="18"/>
        </w:rPr>
        <w:t>fees</w:t>
      </w:r>
      <w:r w:rsidRPr="00EB2BD8">
        <w:rPr>
          <w:spacing w:val="-8"/>
          <w:sz w:val="18"/>
        </w:rPr>
        <w:t xml:space="preserve"> </w:t>
      </w:r>
      <w:r w:rsidRPr="00EB2BD8">
        <w:rPr>
          <w:sz w:val="18"/>
        </w:rPr>
        <w:t>incidental</w:t>
      </w:r>
      <w:r w:rsidRPr="00EB2BD8">
        <w:rPr>
          <w:spacing w:val="-8"/>
          <w:sz w:val="18"/>
        </w:rPr>
        <w:t xml:space="preserve"> </w:t>
      </w:r>
      <w:r w:rsidRPr="00EB2BD8">
        <w:rPr>
          <w:sz w:val="18"/>
        </w:rPr>
        <w:t>to</w:t>
      </w:r>
      <w:r w:rsidRPr="00EB2BD8">
        <w:rPr>
          <w:spacing w:val="-8"/>
          <w:sz w:val="18"/>
        </w:rPr>
        <w:t xml:space="preserve"> </w:t>
      </w:r>
      <w:r w:rsidRPr="00EB2BD8">
        <w:rPr>
          <w:sz w:val="18"/>
        </w:rPr>
        <w:t>practitioner</w:t>
      </w:r>
      <w:r w:rsidRPr="00EB2BD8">
        <w:rPr>
          <w:spacing w:val="-8"/>
          <w:sz w:val="18"/>
        </w:rPr>
        <w:t xml:space="preserve"> </w:t>
      </w:r>
      <w:r w:rsidRPr="00EB2BD8">
        <w:rPr>
          <w:sz w:val="18"/>
        </w:rPr>
        <w:t>registration such as late fees.</w:t>
      </w:r>
    </w:p>
    <w:p w14:paraId="2A6DC88E" w14:textId="77777777" w:rsidR="00084F36" w:rsidRPr="00EB2BD8" w:rsidRDefault="00084F36">
      <w:pPr>
        <w:pStyle w:val="BodyText"/>
        <w:spacing w:before="9"/>
        <w:rPr>
          <w:sz w:val="16"/>
        </w:rPr>
      </w:pPr>
    </w:p>
    <w:p w14:paraId="50B3C7A0" w14:textId="77777777" w:rsidR="00084F36" w:rsidRPr="00EB2BD8" w:rsidRDefault="00EB2BD8">
      <w:pPr>
        <w:pStyle w:val="BodyText"/>
        <w:spacing w:line="261" w:lineRule="auto"/>
        <w:ind w:left="435" w:right="1070"/>
      </w:pPr>
      <w:r w:rsidRPr="00EB2BD8">
        <w:t>The changes create a fairer building practitioner fee structure to support future growth in the building industry and follows significant growth in the value of</w:t>
      </w:r>
      <w:r w:rsidRPr="00EB2BD8">
        <w:rPr>
          <w:spacing w:val="-15"/>
        </w:rPr>
        <w:t xml:space="preserve"> </w:t>
      </w:r>
      <w:r w:rsidRPr="00EB2BD8">
        <w:t>building</w:t>
      </w:r>
      <w:r w:rsidRPr="00EB2BD8">
        <w:rPr>
          <w:spacing w:val="-14"/>
        </w:rPr>
        <w:t xml:space="preserve"> </w:t>
      </w:r>
      <w:r w:rsidRPr="00EB2BD8">
        <w:t>works</w:t>
      </w:r>
      <w:r w:rsidRPr="00EB2BD8">
        <w:rPr>
          <w:spacing w:val="-14"/>
        </w:rPr>
        <w:t xml:space="preserve"> </w:t>
      </w:r>
      <w:r w:rsidRPr="00EB2BD8">
        <w:t>(86.3</w:t>
      </w:r>
      <w:r w:rsidRPr="00EB2BD8">
        <w:rPr>
          <w:spacing w:val="-14"/>
        </w:rPr>
        <w:t xml:space="preserve"> </w:t>
      </w:r>
      <w:r w:rsidRPr="00EB2BD8">
        <w:t>per</w:t>
      </w:r>
      <w:r w:rsidRPr="00EB2BD8">
        <w:rPr>
          <w:spacing w:val="-15"/>
        </w:rPr>
        <w:t xml:space="preserve"> </w:t>
      </w:r>
      <w:r w:rsidRPr="00EB2BD8">
        <w:t>cent</w:t>
      </w:r>
      <w:r w:rsidRPr="00EB2BD8">
        <w:rPr>
          <w:spacing w:val="-14"/>
        </w:rPr>
        <w:t xml:space="preserve"> </w:t>
      </w:r>
      <w:r w:rsidRPr="00EB2BD8">
        <w:t>increase),</w:t>
      </w:r>
      <w:r w:rsidRPr="00EB2BD8">
        <w:rPr>
          <w:spacing w:val="-14"/>
        </w:rPr>
        <w:t xml:space="preserve"> </w:t>
      </w:r>
      <w:r w:rsidRPr="00EB2BD8">
        <w:t>number</w:t>
      </w:r>
      <w:r w:rsidRPr="00EB2BD8">
        <w:rPr>
          <w:spacing w:val="-14"/>
        </w:rPr>
        <w:t xml:space="preserve"> </w:t>
      </w:r>
      <w:r w:rsidRPr="00EB2BD8">
        <w:t>of</w:t>
      </w:r>
    </w:p>
    <w:p w14:paraId="1BFE2F60" w14:textId="77777777" w:rsidR="00084F36" w:rsidRPr="00EB2BD8" w:rsidRDefault="00EB2BD8">
      <w:pPr>
        <w:pStyle w:val="BodyText"/>
        <w:spacing w:line="261" w:lineRule="auto"/>
        <w:ind w:left="435" w:right="1002"/>
        <w:jc w:val="both"/>
      </w:pPr>
      <w:r w:rsidRPr="00EB2BD8">
        <w:t>building</w:t>
      </w:r>
      <w:r w:rsidRPr="00EB2BD8">
        <w:rPr>
          <w:spacing w:val="-10"/>
        </w:rPr>
        <w:t xml:space="preserve"> </w:t>
      </w:r>
      <w:r w:rsidRPr="00EB2BD8">
        <w:t>permits</w:t>
      </w:r>
      <w:r w:rsidRPr="00EB2BD8">
        <w:rPr>
          <w:spacing w:val="-10"/>
        </w:rPr>
        <w:t xml:space="preserve"> </w:t>
      </w:r>
      <w:r w:rsidRPr="00EB2BD8">
        <w:t>(31</w:t>
      </w:r>
      <w:r w:rsidRPr="00EB2BD8">
        <w:rPr>
          <w:spacing w:val="-10"/>
        </w:rPr>
        <w:t xml:space="preserve"> </w:t>
      </w:r>
      <w:r w:rsidRPr="00EB2BD8">
        <w:t>per</w:t>
      </w:r>
      <w:r w:rsidRPr="00EB2BD8">
        <w:rPr>
          <w:spacing w:val="-10"/>
        </w:rPr>
        <w:t xml:space="preserve"> </w:t>
      </w:r>
      <w:r w:rsidRPr="00EB2BD8">
        <w:t>cent</w:t>
      </w:r>
      <w:r w:rsidRPr="00EB2BD8">
        <w:rPr>
          <w:spacing w:val="-10"/>
        </w:rPr>
        <w:t xml:space="preserve"> </w:t>
      </w:r>
      <w:r w:rsidRPr="00EB2BD8">
        <w:t>increase)</w:t>
      </w:r>
      <w:r w:rsidRPr="00EB2BD8">
        <w:rPr>
          <w:spacing w:val="-10"/>
        </w:rPr>
        <w:t xml:space="preserve"> </w:t>
      </w:r>
      <w:r w:rsidRPr="00EB2BD8">
        <w:t>and</w:t>
      </w:r>
      <w:r w:rsidRPr="00EB2BD8">
        <w:rPr>
          <w:spacing w:val="-10"/>
        </w:rPr>
        <w:t xml:space="preserve"> </w:t>
      </w:r>
      <w:r w:rsidRPr="00EB2BD8">
        <w:t>number</w:t>
      </w:r>
      <w:r w:rsidRPr="00EB2BD8">
        <w:rPr>
          <w:spacing w:val="-10"/>
        </w:rPr>
        <w:t xml:space="preserve"> </w:t>
      </w:r>
      <w:r w:rsidRPr="00EB2BD8">
        <w:t>of individuals</w:t>
      </w:r>
      <w:r w:rsidRPr="00EB2BD8">
        <w:rPr>
          <w:spacing w:val="-15"/>
        </w:rPr>
        <w:t xml:space="preserve"> </w:t>
      </w:r>
      <w:r w:rsidRPr="00EB2BD8">
        <w:t>registered</w:t>
      </w:r>
      <w:r w:rsidRPr="00EB2BD8">
        <w:rPr>
          <w:spacing w:val="-14"/>
        </w:rPr>
        <w:t xml:space="preserve"> </w:t>
      </w:r>
      <w:r w:rsidRPr="00EB2BD8">
        <w:t>as</w:t>
      </w:r>
      <w:r w:rsidRPr="00EB2BD8">
        <w:rPr>
          <w:spacing w:val="-14"/>
        </w:rPr>
        <w:t xml:space="preserve"> </w:t>
      </w:r>
      <w:r w:rsidRPr="00EB2BD8">
        <w:t>building</w:t>
      </w:r>
      <w:r w:rsidRPr="00EB2BD8">
        <w:rPr>
          <w:spacing w:val="-14"/>
        </w:rPr>
        <w:t xml:space="preserve"> </w:t>
      </w:r>
      <w:r w:rsidRPr="00EB2BD8">
        <w:t>practitioners</w:t>
      </w:r>
      <w:r w:rsidRPr="00EB2BD8">
        <w:rPr>
          <w:spacing w:val="-15"/>
        </w:rPr>
        <w:t xml:space="preserve"> </w:t>
      </w:r>
      <w:r w:rsidRPr="00EB2BD8">
        <w:t>(22</w:t>
      </w:r>
      <w:r w:rsidRPr="00EB2BD8">
        <w:rPr>
          <w:spacing w:val="-14"/>
        </w:rPr>
        <w:t xml:space="preserve"> </w:t>
      </w:r>
      <w:r w:rsidRPr="00EB2BD8">
        <w:t>per cent increase) over the last eight years.</w:t>
      </w:r>
    </w:p>
    <w:p w14:paraId="016C3F16" w14:textId="77777777" w:rsidR="00084F36" w:rsidRPr="00EB2BD8" w:rsidRDefault="00EB2BD8">
      <w:pPr>
        <w:pStyle w:val="BodyText"/>
        <w:spacing w:before="106" w:line="261" w:lineRule="auto"/>
        <w:ind w:left="435" w:right="865"/>
      </w:pPr>
      <w:r w:rsidRPr="00EB2BD8">
        <w:t>The fee structure now more accurately reflects the costs involved in regulatory oversight of the building industry and aligns Victoria’s building practitioners’ fees with comparable fees for commercial and</w:t>
      </w:r>
      <w:r w:rsidRPr="00EB2BD8">
        <w:rPr>
          <w:spacing w:val="40"/>
        </w:rPr>
        <w:t xml:space="preserve"> </w:t>
      </w:r>
      <w:r w:rsidRPr="00EB2BD8">
        <w:t>domestic builders in other jurisdictions. Recognising the differences in registration categories, the new fee structure means different increases depending on the type</w:t>
      </w:r>
      <w:r w:rsidRPr="00EB2BD8">
        <w:rPr>
          <w:spacing w:val="-8"/>
        </w:rPr>
        <w:t xml:space="preserve"> </w:t>
      </w:r>
      <w:r w:rsidRPr="00EB2BD8">
        <w:t>and</w:t>
      </w:r>
      <w:r w:rsidRPr="00EB2BD8">
        <w:rPr>
          <w:spacing w:val="-8"/>
        </w:rPr>
        <w:t xml:space="preserve"> </w:t>
      </w:r>
      <w:r w:rsidRPr="00EB2BD8">
        <w:t>number</w:t>
      </w:r>
      <w:r w:rsidRPr="00EB2BD8">
        <w:rPr>
          <w:spacing w:val="-8"/>
        </w:rPr>
        <w:t xml:space="preserve"> </w:t>
      </w:r>
      <w:r w:rsidRPr="00EB2BD8">
        <w:t>of</w:t>
      </w:r>
      <w:r w:rsidRPr="00EB2BD8">
        <w:rPr>
          <w:spacing w:val="-8"/>
        </w:rPr>
        <w:t xml:space="preserve"> </w:t>
      </w:r>
      <w:r w:rsidRPr="00EB2BD8">
        <w:t>registrations</w:t>
      </w:r>
      <w:r w:rsidRPr="00EB2BD8">
        <w:rPr>
          <w:spacing w:val="-8"/>
        </w:rPr>
        <w:t xml:space="preserve"> </w:t>
      </w:r>
      <w:r w:rsidRPr="00EB2BD8">
        <w:t>held</w:t>
      </w:r>
      <w:r w:rsidRPr="00EB2BD8">
        <w:rPr>
          <w:spacing w:val="-8"/>
        </w:rPr>
        <w:t xml:space="preserve"> </w:t>
      </w:r>
      <w:r w:rsidRPr="00EB2BD8">
        <w:t>by</w:t>
      </w:r>
      <w:r w:rsidRPr="00EB2BD8">
        <w:rPr>
          <w:spacing w:val="-8"/>
        </w:rPr>
        <w:t xml:space="preserve"> </w:t>
      </w:r>
      <w:r w:rsidRPr="00EB2BD8">
        <w:t>a</w:t>
      </w:r>
      <w:r w:rsidRPr="00EB2BD8">
        <w:rPr>
          <w:spacing w:val="-8"/>
        </w:rPr>
        <w:t xml:space="preserve"> </w:t>
      </w:r>
      <w:r w:rsidRPr="00EB2BD8">
        <w:t>practitioner. Fees also differentiate a practitioner based on their business structure, with corporate fees set higher than individual fees to recognise the higher value gained from a company structure.</w:t>
      </w:r>
    </w:p>
    <w:p w14:paraId="30BCCDDD" w14:textId="77777777" w:rsidR="00084F36" w:rsidRPr="00EB2BD8" w:rsidRDefault="00EB2BD8">
      <w:pPr>
        <w:pStyle w:val="BodyText"/>
        <w:spacing w:before="101" w:line="261" w:lineRule="auto"/>
        <w:ind w:left="435" w:right="711"/>
      </w:pPr>
      <w:r w:rsidRPr="00EB2BD8">
        <w:t>The fee structure re-balances the fees across practitioners</w:t>
      </w:r>
      <w:r w:rsidRPr="00EB2BD8">
        <w:rPr>
          <w:spacing w:val="-3"/>
        </w:rPr>
        <w:t xml:space="preserve"> </w:t>
      </w:r>
      <w:r w:rsidRPr="00EB2BD8">
        <w:t>by</w:t>
      </w:r>
      <w:r w:rsidRPr="00EB2BD8">
        <w:rPr>
          <w:spacing w:val="-3"/>
        </w:rPr>
        <w:t xml:space="preserve"> </w:t>
      </w:r>
      <w:r w:rsidRPr="00EB2BD8">
        <w:t>recognising</w:t>
      </w:r>
      <w:r w:rsidRPr="00EB2BD8">
        <w:rPr>
          <w:spacing w:val="-3"/>
        </w:rPr>
        <w:t xml:space="preserve"> </w:t>
      </w:r>
      <w:r w:rsidRPr="00EB2BD8">
        <w:t>the</w:t>
      </w:r>
      <w:r w:rsidRPr="00EB2BD8">
        <w:rPr>
          <w:spacing w:val="-3"/>
        </w:rPr>
        <w:t xml:space="preserve"> </w:t>
      </w:r>
      <w:r w:rsidRPr="00EB2BD8">
        <w:t>value</w:t>
      </w:r>
      <w:r w:rsidRPr="00EB2BD8">
        <w:rPr>
          <w:spacing w:val="-3"/>
        </w:rPr>
        <w:t xml:space="preserve"> </w:t>
      </w:r>
      <w:r w:rsidRPr="00EB2BD8">
        <w:t>and</w:t>
      </w:r>
      <w:r w:rsidRPr="00EB2BD8">
        <w:rPr>
          <w:spacing w:val="-3"/>
        </w:rPr>
        <w:t xml:space="preserve"> </w:t>
      </w:r>
      <w:r w:rsidRPr="00EB2BD8">
        <w:t>benefit</w:t>
      </w:r>
      <w:r w:rsidRPr="00EB2BD8">
        <w:rPr>
          <w:spacing w:val="-3"/>
        </w:rPr>
        <w:t xml:space="preserve"> </w:t>
      </w:r>
      <w:r w:rsidRPr="00EB2BD8">
        <w:t>they gain from the scopes of each category of registration.</w:t>
      </w:r>
    </w:p>
    <w:p w14:paraId="56326AD5" w14:textId="77777777" w:rsidR="00084F36" w:rsidRPr="00EB2BD8" w:rsidRDefault="00EB2BD8">
      <w:pPr>
        <w:pStyle w:val="BodyText"/>
        <w:spacing w:before="111" w:line="261" w:lineRule="auto"/>
        <w:ind w:left="435" w:right="1148"/>
      </w:pPr>
      <w:r w:rsidRPr="00EB2BD8">
        <w:t>The new structure allows the VBA to continue to help more practitioners continuously improve their skills</w:t>
      </w:r>
      <w:r w:rsidRPr="00EB2BD8">
        <w:rPr>
          <w:spacing w:val="-9"/>
        </w:rPr>
        <w:t xml:space="preserve"> </w:t>
      </w:r>
      <w:r w:rsidRPr="00EB2BD8">
        <w:t>through</w:t>
      </w:r>
      <w:r w:rsidRPr="00EB2BD8">
        <w:rPr>
          <w:spacing w:val="-9"/>
        </w:rPr>
        <w:t xml:space="preserve"> </w:t>
      </w:r>
      <w:r w:rsidRPr="00EB2BD8">
        <w:t>our</w:t>
      </w:r>
      <w:r w:rsidRPr="00EB2BD8">
        <w:rPr>
          <w:spacing w:val="-9"/>
        </w:rPr>
        <w:t xml:space="preserve"> </w:t>
      </w:r>
      <w:r w:rsidRPr="00EB2BD8">
        <w:t>free</w:t>
      </w:r>
      <w:r w:rsidRPr="00EB2BD8">
        <w:rPr>
          <w:spacing w:val="-9"/>
        </w:rPr>
        <w:t xml:space="preserve"> </w:t>
      </w:r>
      <w:r w:rsidRPr="00EB2BD8">
        <w:t>Practitioner</w:t>
      </w:r>
      <w:r w:rsidRPr="00EB2BD8">
        <w:rPr>
          <w:spacing w:val="-9"/>
        </w:rPr>
        <w:t xml:space="preserve"> </w:t>
      </w:r>
      <w:r w:rsidRPr="00EB2BD8">
        <w:t>Education</w:t>
      </w:r>
      <w:r w:rsidRPr="00EB2BD8">
        <w:rPr>
          <w:spacing w:val="-9"/>
        </w:rPr>
        <w:t xml:space="preserve"> </w:t>
      </w:r>
      <w:r w:rsidRPr="00EB2BD8">
        <w:t>Series, technical</w:t>
      </w:r>
      <w:r w:rsidRPr="00EB2BD8">
        <w:rPr>
          <w:spacing w:val="1"/>
        </w:rPr>
        <w:t xml:space="preserve"> </w:t>
      </w:r>
      <w:r w:rsidRPr="00EB2BD8">
        <w:t>guidance</w:t>
      </w:r>
      <w:r w:rsidRPr="00EB2BD8">
        <w:rPr>
          <w:spacing w:val="2"/>
        </w:rPr>
        <w:t xml:space="preserve"> </w:t>
      </w:r>
      <w:r w:rsidRPr="00EB2BD8">
        <w:t>and</w:t>
      </w:r>
      <w:r w:rsidRPr="00EB2BD8">
        <w:rPr>
          <w:spacing w:val="2"/>
        </w:rPr>
        <w:t xml:space="preserve"> </w:t>
      </w:r>
      <w:r w:rsidRPr="00EB2BD8">
        <w:t>resources</w:t>
      </w:r>
      <w:r w:rsidRPr="00EB2BD8">
        <w:rPr>
          <w:spacing w:val="2"/>
        </w:rPr>
        <w:t xml:space="preserve"> </w:t>
      </w:r>
      <w:r w:rsidRPr="00EB2BD8">
        <w:t>hub,</w:t>
      </w:r>
      <w:r w:rsidRPr="00EB2BD8">
        <w:rPr>
          <w:spacing w:val="2"/>
        </w:rPr>
        <w:t xml:space="preserve"> </w:t>
      </w:r>
      <w:r w:rsidRPr="00EB2BD8">
        <w:t>and</w:t>
      </w:r>
      <w:r w:rsidRPr="00EB2BD8">
        <w:rPr>
          <w:spacing w:val="2"/>
        </w:rPr>
        <w:t xml:space="preserve"> </w:t>
      </w:r>
      <w:r w:rsidRPr="00EB2BD8">
        <w:rPr>
          <w:spacing w:val="-2"/>
        </w:rPr>
        <w:t>support</w:t>
      </w:r>
    </w:p>
    <w:p w14:paraId="673940A9" w14:textId="77777777" w:rsidR="00084F36" w:rsidRPr="00EB2BD8" w:rsidRDefault="00EB2BD8">
      <w:pPr>
        <w:pStyle w:val="BodyText"/>
        <w:spacing w:line="261" w:lineRule="auto"/>
        <w:ind w:left="435" w:right="711"/>
      </w:pPr>
      <w:r w:rsidRPr="00EB2BD8">
        <w:t>industry</w:t>
      </w:r>
      <w:r w:rsidRPr="00EB2BD8">
        <w:rPr>
          <w:spacing w:val="-7"/>
        </w:rPr>
        <w:t xml:space="preserve"> </w:t>
      </w:r>
      <w:r w:rsidRPr="00EB2BD8">
        <w:t>to</w:t>
      </w:r>
      <w:r w:rsidRPr="00EB2BD8">
        <w:rPr>
          <w:spacing w:val="-7"/>
        </w:rPr>
        <w:t xml:space="preserve"> </w:t>
      </w:r>
      <w:r w:rsidRPr="00EB2BD8">
        <w:t>lift</w:t>
      </w:r>
      <w:r w:rsidRPr="00EB2BD8">
        <w:rPr>
          <w:spacing w:val="-7"/>
        </w:rPr>
        <w:t xml:space="preserve"> </w:t>
      </w:r>
      <w:r w:rsidRPr="00EB2BD8">
        <w:t>standards.</w:t>
      </w:r>
      <w:r w:rsidRPr="00EB2BD8">
        <w:rPr>
          <w:spacing w:val="-7"/>
        </w:rPr>
        <w:t xml:space="preserve"> </w:t>
      </w:r>
      <w:r w:rsidRPr="00EB2BD8">
        <w:t>The</w:t>
      </w:r>
      <w:r w:rsidRPr="00EB2BD8">
        <w:rPr>
          <w:spacing w:val="-7"/>
        </w:rPr>
        <w:t xml:space="preserve"> </w:t>
      </w:r>
      <w:r w:rsidRPr="00EB2BD8">
        <w:t>new</w:t>
      </w:r>
      <w:r w:rsidRPr="00EB2BD8">
        <w:rPr>
          <w:spacing w:val="-7"/>
        </w:rPr>
        <w:t xml:space="preserve"> </w:t>
      </w:r>
      <w:r w:rsidRPr="00EB2BD8">
        <w:t>structure</w:t>
      </w:r>
      <w:r w:rsidRPr="00EB2BD8">
        <w:rPr>
          <w:spacing w:val="-7"/>
        </w:rPr>
        <w:t xml:space="preserve"> </w:t>
      </w:r>
      <w:r w:rsidRPr="00EB2BD8">
        <w:t>also</w:t>
      </w:r>
      <w:r w:rsidRPr="00EB2BD8">
        <w:rPr>
          <w:spacing w:val="-7"/>
        </w:rPr>
        <w:t xml:space="preserve"> </w:t>
      </w:r>
      <w:r w:rsidRPr="00EB2BD8">
        <w:t>allows the</w:t>
      </w:r>
      <w:r w:rsidRPr="00EB2BD8">
        <w:rPr>
          <w:spacing w:val="-7"/>
        </w:rPr>
        <w:t xml:space="preserve"> </w:t>
      </w:r>
      <w:r w:rsidRPr="00EB2BD8">
        <w:t>VBA</w:t>
      </w:r>
      <w:r w:rsidRPr="00EB2BD8">
        <w:rPr>
          <w:spacing w:val="-7"/>
        </w:rPr>
        <w:t xml:space="preserve"> </w:t>
      </w:r>
      <w:r w:rsidRPr="00EB2BD8">
        <w:t>to</w:t>
      </w:r>
      <w:r w:rsidRPr="00EB2BD8">
        <w:rPr>
          <w:spacing w:val="-7"/>
        </w:rPr>
        <w:t xml:space="preserve"> </w:t>
      </w:r>
      <w:r w:rsidRPr="00EB2BD8">
        <w:t>continue</w:t>
      </w:r>
      <w:r w:rsidRPr="00EB2BD8">
        <w:rPr>
          <w:spacing w:val="-7"/>
        </w:rPr>
        <w:t xml:space="preserve"> </w:t>
      </w:r>
      <w:r w:rsidRPr="00EB2BD8">
        <w:t>to</w:t>
      </w:r>
      <w:r w:rsidRPr="00EB2BD8">
        <w:rPr>
          <w:spacing w:val="-7"/>
        </w:rPr>
        <w:t xml:space="preserve"> </w:t>
      </w:r>
      <w:r w:rsidRPr="00EB2BD8">
        <w:t>improve</w:t>
      </w:r>
      <w:r w:rsidRPr="00EB2BD8">
        <w:rPr>
          <w:spacing w:val="-7"/>
        </w:rPr>
        <w:t xml:space="preserve"> </w:t>
      </w:r>
      <w:r w:rsidRPr="00EB2BD8">
        <w:t>processes</w:t>
      </w:r>
      <w:r w:rsidRPr="00EB2BD8">
        <w:rPr>
          <w:spacing w:val="-7"/>
        </w:rPr>
        <w:t xml:space="preserve"> </w:t>
      </w:r>
      <w:r w:rsidRPr="00EB2BD8">
        <w:t>to</w:t>
      </w:r>
      <w:r w:rsidRPr="00EB2BD8">
        <w:rPr>
          <w:spacing w:val="-7"/>
        </w:rPr>
        <w:t xml:space="preserve"> </w:t>
      </w:r>
      <w:r w:rsidRPr="00EB2BD8">
        <w:t>reduce</w:t>
      </w:r>
      <w:r w:rsidRPr="00EB2BD8">
        <w:rPr>
          <w:spacing w:val="-7"/>
        </w:rPr>
        <w:t xml:space="preserve"> </w:t>
      </w:r>
      <w:r w:rsidRPr="00EB2BD8">
        <w:t>the administrative burden on practitioners and address industry preferences for digital channels.</w:t>
      </w:r>
    </w:p>
    <w:p w14:paraId="1A727C4C"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2" w:space="720" w:equalWidth="0">
            <w:col w:w="5725" w:space="40"/>
            <w:col w:w="6145"/>
          </w:cols>
        </w:sectPr>
      </w:pPr>
    </w:p>
    <w:p w14:paraId="35172E7A" w14:textId="77777777" w:rsidR="00084F36" w:rsidRPr="00EB2BD8" w:rsidRDefault="00084F36">
      <w:pPr>
        <w:pStyle w:val="BodyText"/>
        <w:rPr>
          <w:sz w:val="20"/>
        </w:rPr>
      </w:pPr>
    </w:p>
    <w:p w14:paraId="555EC101" w14:textId="77777777" w:rsidR="00084F36" w:rsidRPr="00EB2BD8" w:rsidRDefault="00084F36">
      <w:pPr>
        <w:pStyle w:val="BodyText"/>
        <w:rPr>
          <w:sz w:val="20"/>
        </w:rPr>
      </w:pPr>
    </w:p>
    <w:p w14:paraId="2F1F3688" w14:textId="77777777" w:rsidR="00084F36" w:rsidRPr="00EB2BD8" w:rsidRDefault="00084F36">
      <w:pPr>
        <w:pStyle w:val="BodyText"/>
        <w:rPr>
          <w:sz w:val="20"/>
        </w:rPr>
      </w:pPr>
    </w:p>
    <w:p w14:paraId="5B7BB9D9" w14:textId="77777777" w:rsidR="00084F36" w:rsidRPr="00EB2BD8" w:rsidRDefault="00084F36">
      <w:pPr>
        <w:pStyle w:val="BodyText"/>
        <w:rPr>
          <w:sz w:val="20"/>
        </w:rPr>
      </w:pPr>
    </w:p>
    <w:p w14:paraId="3495ADBF" w14:textId="77777777" w:rsidR="00084F36" w:rsidRPr="00EB2BD8" w:rsidRDefault="00084F36">
      <w:pPr>
        <w:pStyle w:val="BodyText"/>
        <w:spacing w:before="4"/>
        <w:rPr>
          <w:sz w:val="16"/>
        </w:rPr>
      </w:pPr>
    </w:p>
    <w:p w14:paraId="6D375226" w14:textId="77777777" w:rsidR="00084F36" w:rsidRPr="00EB2BD8" w:rsidRDefault="00084F36">
      <w:pPr>
        <w:rPr>
          <w:sz w:val="16"/>
        </w:rPr>
        <w:sectPr w:rsidR="00084F36" w:rsidRPr="00EB2BD8" w:rsidSect="006D75B2">
          <w:footerReference w:type="default" r:id="rId158"/>
          <w:pgSz w:w="11910" w:h="16840"/>
          <w:pgMar w:top="1100" w:right="0" w:bottom="700" w:left="0" w:header="0" w:footer="515" w:gutter="0"/>
          <w:cols w:space="720"/>
        </w:sectPr>
      </w:pPr>
    </w:p>
    <w:p w14:paraId="7E576CDE" w14:textId="77777777" w:rsidR="00084F36" w:rsidRPr="00EB2BD8" w:rsidRDefault="00EB2BD8" w:rsidP="00EB2BD8">
      <w:pPr>
        <w:pStyle w:val="Heading2"/>
      </w:pPr>
      <w:bookmarkStart w:id="134" w:name="_Toc150762436"/>
      <w:r w:rsidRPr="00EB2BD8">
        <w:t>Automatic</w:t>
      </w:r>
      <w:r w:rsidRPr="00EB2BD8">
        <w:rPr>
          <w:spacing w:val="-24"/>
        </w:rPr>
        <w:t xml:space="preserve"> </w:t>
      </w:r>
      <w:r w:rsidRPr="00EB2BD8">
        <w:t>Mutual</w:t>
      </w:r>
      <w:r w:rsidRPr="00EB2BD8">
        <w:rPr>
          <w:spacing w:val="-22"/>
        </w:rPr>
        <w:t xml:space="preserve"> </w:t>
      </w:r>
      <w:r w:rsidRPr="00EB2BD8">
        <w:t xml:space="preserve">Recognition </w:t>
      </w:r>
      <w:r w:rsidRPr="00EB2BD8">
        <w:rPr>
          <w:spacing w:val="-2"/>
        </w:rPr>
        <w:t>(AMR)</w:t>
      </w:r>
      <w:bookmarkEnd w:id="134"/>
    </w:p>
    <w:p w14:paraId="7AF88498" w14:textId="77777777" w:rsidR="00084F36" w:rsidRPr="00EB2BD8" w:rsidRDefault="00EB2BD8">
      <w:pPr>
        <w:pStyle w:val="BodyText"/>
        <w:spacing w:before="119" w:line="261" w:lineRule="auto"/>
        <w:ind w:left="850" w:right="54"/>
      </w:pPr>
      <w:r w:rsidRPr="00EB2BD8">
        <w:rPr>
          <w:w w:val="105"/>
        </w:rPr>
        <w:t>Automatic</w:t>
      </w:r>
      <w:r w:rsidRPr="00EB2BD8">
        <w:rPr>
          <w:spacing w:val="-10"/>
          <w:w w:val="105"/>
        </w:rPr>
        <w:t xml:space="preserve"> </w:t>
      </w:r>
      <w:r w:rsidRPr="00EB2BD8">
        <w:rPr>
          <w:w w:val="105"/>
        </w:rPr>
        <w:t>Mutual</w:t>
      </w:r>
      <w:r w:rsidRPr="00EB2BD8">
        <w:rPr>
          <w:spacing w:val="-10"/>
          <w:w w:val="105"/>
        </w:rPr>
        <w:t xml:space="preserve"> </w:t>
      </w:r>
      <w:r w:rsidRPr="00EB2BD8">
        <w:rPr>
          <w:w w:val="105"/>
        </w:rPr>
        <w:t>Recognition</w:t>
      </w:r>
      <w:r w:rsidRPr="00EB2BD8">
        <w:rPr>
          <w:spacing w:val="-10"/>
          <w:w w:val="105"/>
        </w:rPr>
        <w:t xml:space="preserve"> </w:t>
      </w:r>
      <w:r w:rsidRPr="00EB2BD8">
        <w:rPr>
          <w:w w:val="105"/>
        </w:rPr>
        <w:t>(AMR)</w:t>
      </w:r>
      <w:r w:rsidRPr="00EB2BD8">
        <w:rPr>
          <w:spacing w:val="-10"/>
          <w:w w:val="105"/>
        </w:rPr>
        <w:t xml:space="preserve"> </w:t>
      </w:r>
      <w:r w:rsidRPr="00EB2BD8">
        <w:rPr>
          <w:w w:val="105"/>
        </w:rPr>
        <w:t>is</w:t>
      </w:r>
      <w:r w:rsidRPr="00EB2BD8">
        <w:rPr>
          <w:spacing w:val="-10"/>
          <w:w w:val="105"/>
        </w:rPr>
        <w:t xml:space="preserve"> </w:t>
      </w:r>
      <w:r w:rsidRPr="00EB2BD8">
        <w:rPr>
          <w:w w:val="105"/>
        </w:rPr>
        <w:t>a</w:t>
      </w:r>
      <w:r w:rsidRPr="00EB2BD8">
        <w:rPr>
          <w:spacing w:val="-10"/>
          <w:w w:val="105"/>
        </w:rPr>
        <w:t xml:space="preserve"> </w:t>
      </w:r>
      <w:r w:rsidRPr="00EB2BD8">
        <w:rPr>
          <w:w w:val="105"/>
        </w:rPr>
        <w:t xml:space="preserve">national </w:t>
      </w:r>
      <w:r w:rsidRPr="00EB2BD8">
        <w:t>scheme</w:t>
      </w:r>
      <w:r w:rsidRPr="00EB2BD8">
        <w:rPr>
          <w:spacing w:val="-10"/>
        </w:rPr>
        <w:t xml:space="preserve"> </w:t>
      </w:r>
      <w:r w:rsidRPr="00EB2BD8">
        <w:t>allowing</w:t>
      </w:r>
      <w:r w:rsidRPr="00EB2BD8">
        <w:rPr>
          <w:spacing w:val="-10"/>
        </w:rPr>
        <w:t xml:space="preserve"> </w:t>
      </w:r>
      <w:r w:rsidRPr="00EB2BD8">
        <w:t>individuals</w:t>
      </w:r>
      <w:r w:rsidRPr="00EB2BD8">
        <w:rPr>
          <w:spacing w:val="-10"/>
        </w:rPr>
        <w:t xml:space="preserve"> </w:t>
      </w:r>
      <w:r w:rsidRPr="00EB2BD8">
        <w:t>to</w:t>
      </w:r>
      <w:r w:rsidRPr="00EB2BD8">
        <w:rPr>
          <w:spacing w:val="-10"/>
        </w:rPr>
        <w:t xml:space="preserve"> </w:t>
      </w:r>
      <w:r w:rsidRPr="00EB2BD8">
        <w:t>use</w:t>
      </w:r>
      <w:r w:rsidRPr="00EB2BD8">
        <w:rPr>
          <w:spacing w:val="-10"/>
        </w:rPr>
        <w:t xml:space="preserve"> </w:t>
      </w:r>
      <w:r w:rsidRPr="00EB2BD8">
        <w:t>their</w:t>
      </w:r>
      <w:r w:rsidRPr="00EB2BD8">
        <w:rPr>
          <w:spacing w:val="-10"/>
        </w:rPr>
        <w:t xml:space="preserve"> </w:t>
      </w:r>
      <w:r w:rsidRPr="00EB2BD8">
        <w:t>home</w:t>
      </w:r>
      <w:r w:rsidRPr="00EB2BD8">
        <w:rPr>
          <w:spacing w:val="-10"/>
        </w:rPr>
        <w:t xml:space="preserve"> </w:t>
      </w:r>
      <w:r w:rsidRPr="00EB2BD8">
        <w:t>state</w:t>
      </w:r>
      <w:r w:rsidRPr="00EB2BD8">
        <w:rPr>
          <w:spacing w:val="-10"/>
        </w:rPr>
        <w:t xml:space="preserve"> </w:t>
      </w:r>
      <w:r w:rsidRPr="00EB2BD8">
        <w:t xml:space="preserve">or </w:t>
      </w:r>
      <w:r w:rsidRPr="00EB2BD8">
        <w:rPr>
          <w:w w:val="105"/>
        </w:rPr>
        <w:t>territory</w:t>
      </w:r>
      <w:r w:rsidRPr="00EB2BD8">
        <w:rPr>
          <w:spacing w:val="-15"/>
          <w:w w:val="105"/>
        </w:rPr>
        <w:t xml:space="preserve"> </w:t>
      </w:r>
      <w:r w:rsidRPr="00EB2BD8">
        <w:rPr>
          <w:w w:val="105"/>
        </w:rPr>
        <w:t>occupational</w:t>
      </w:r>
      <w:r w:rsidRPr="00EB2BD8">
        <w:rPr>
          <w:spacing w:val="-15"/>
          <w:w w:val="105"/>
        </w:rPr>
        <w:t xml:space="preserve"> </w:t>
      </w:r>
      <w:r w:rsidRPr="00EB2BD8">
        <w:rPr>
          <w:w w:val="105"/>
        </w:rPr>
        <w:t>registration</w:t>
      </w:r>
      <w:r w:rsidRPr="00EB2BD8">
        <w:rPr>
          <w:spacing w:val="-15"/>
          <w:w w:val="105"/>
        </w:rPr>
        <w:t xml:space="preserve"> </w:t>
      </w:r>
      <w:r w:rsidRPr="00EB2BD8">
        <w:rPr>
          <w:w w:val="105"/>
        </w:rPr>
        <w:t>or</w:t>
      </w:r>
      <w:r w:rsidRPr="00EB2BD8">
        <w:rPr>
          <w:spacing w:val="-15"/>
          <w:w w:val="105"/>
        </w:rPr>
        <w:t xml:space="preserve"> </w:t>
      </w:r>
      <w:r w:rsidRPr="00EB2BD8">
        <w:rPr>
          <w:w w:val="105"/>
        </w:rPr>
        <w:t>licence</w:t>
      </w:r>
      <w:r w:rsidRPr="00EB2BD8">
        <w:rPr>
          <w:spacing w:val="-15"/>
          <w:w w:val="105"/>
        </w:rPr>
        <w:t xml:space="preserve"> </w:t>
      </w:r>
      <w:r w:rsidRPr="00EB2BD8">
        <w:rPr>
          <w:w w:val="105"/>
        </w:rPr>
        <w:t>to</w:t>
      </w:r>
      <w:r w:rsidRPr="00EB2BD8">
        <w:rPr>
          <w:spacing w:val="-15"/>
          <w:w w:val="105"/>
        </w:rPr>
        <w:t xml:space="preserve"> </w:t>
      </w:r>
      <w:r w:rsidRPr="00EB2BD8">
        <w:rPr>
          <w:w w:val="105"/>
        </w:rPr>
        <w:t xml:space="preserve">work </w:t>
      </w:r>
      <w:r w:rsidRPr="00EB2BD8">
        <w:t>in</w:t>
      </w:r>
      <w:r w:rsidRPr="00EB2BD8">
        <w:rPr>
          <w:spacing w:val="-3"/>
        </w:rPr>
        <w:t xml:space="preserve"> </w:t>
      </w:r>
      <w:r w:rsidRPr="00EB2BD8">
        <w:t>other</w:t>
      </w:r>
      <w:r w:rsidRPr="00EB2BD8">
        <w:rPr>
          <w:spacing w:val="-3"/>
        </w:rPr>
        <w:t xml:space="preserve"> </w:t>
      </w:r>
      <w:r w:rsidRPr="00EB2BD8">
        <w:t>participating</w:t>
      </w:r>
      <w:r w:rsidRPr="00EB2BD8">
        <w:rPr>
          <w:spacing w:val="-3"/>
        </w:rPr>
        <w:t xml:space="preserve"> </w:t>
      </w:r>
      <w:r w:rsidRPr="00EB2BD8">
        <w:t>Australian</w:t>
      </w:r>
      <w:r w:rsidRPr="00EB2BD8">
        <w:rPr>
          <w:spacing w:val="-3"/>
        </w:rPr>
        <w:t xml:space="preserve"> </w:t>
      </w:r>
      <w:r w:rsidRPr="00EB2BD8">
        <w:t>states</w:t>
      </w:r>
      <w:r w:rsidRPr="00EB2BD8">
        <w:rPr>
          <w:spacing w:val="-3"/>
        </w:rPr>
        <w:t xml:space="preserve"> </w:t>
      </w:r>
      <w:r w:rsidRPr="00EB2BD8">
        <w:t>and</w:t>
      </w:r>
      <w:r w:rsidRPr="00EB2BD8">
        <w:rPr>
          <w:spacing w:val="-3"/>
        </w:rPr>
        <w:t xml:space="preserve"> </w:t>
      </w:r>
      <w:r w:rsidRPr="00EB2BD8">
        <w:t>territories.</w:t>
      </w:r>
    </w:p>
    <w:p w14:paraId="2B03B67A" w14:textId="77777777" w:rsidR="00084F36" w:rsidRPr="00EB2BD8" w:rsidRDefault="00EB2BD8">
      <w:pPr>
        <w:pStyle w:val="BodyText"/>
        <w:spacing w:line="261" w:lineRule="auto"/>
        <w:ind w:left="850" w:right="6"/>
      </w:pPr>
      <w:r w:rsidRPr="00EB2BD8">
        <w:t>AMR</w:t>
      </w:r>
      <w:r w:rsidRPr="00EB2BD8">
        <w:rPr>
          <w:spacing w:val="-14"/>
        </w:rPr>
        <w:t xml:space="preserve"> </w:t>
      </w:r>
      <w:r w:rsidRPr="00EB2BD8">
        <w:t>allows</w:t>
      </w:r>
      <w:r w:rsidRPr="00EB2BD8">
        <w:rPr>
          <w:spacing w:val="-14"/>
        </w:rPr>
        <w:t xml:space="preserve"> </w:t>
      </w:r>
      <w:r w:rsidRPr="00EB2BD8">
        <w:t>individuals</w:t>
      </w:r>
      <w:r w:rsidRPr="00EB2BD8">
        <w:rPr>
          <w:spacing w:val="-14"/>
        </w:rPr>
        <w:t xml:space="preserve"> </w:t>
      </w:r>
      <w:r w:rsidRPr="00EB2BD8">
        <w:t>who</w:t>
      </w:r>
      <w:r w:rsidRPr="00EB2BD8">
        <w:rPr>
          <w:spacing w:val="-14"/>
        </w:rPr>
        <w:t xml:space="preserve"> </w:t>
      </w:r>
      <w:r w:rsidRPr="00EB2BD8">
        <w:t>hold</w:t>
      </w:r>
      <w:r w:rsidRPr="00EB2BD8">
        <w:rPr>
          <w:spacing w:val="-14"/>
        </w:rPr>
        <w:t xml:space="preserve"> </w:t>
      </w:r>
      <w:r w:rsidRPr="00EB2BD8">
        <w:t>registration</w:t>
      </w:r>
      <w:r w:rsidRPr="00EB2BD8">
        <w:rPr>
          <w:spacing w:val="-14"/>
        </w:rPr>
        <w:t xml:space="preserve"> </w:t>
      </w:r>
      <w:r w:rsidRPr="00EB2BD8">
        <w:t>or</w:t>
      </w:r>
      <w:r w:rsidRPr="00EB2BD8">
        <w:rPr>
          <w:spacing w:val="-14"/>
        </w:rPr>
        <w:t xml:space="preserve"> </w:t>
      </w:r>
      <w:r w:rsidRPr="00EB2BD8">
        <w:t>licences in an Australian state or territory to perform those same permitted activities in another part of Australia, subject to some exceptions.</w:t>
      </w:r>
    </w:p>
    <w:p w14:paraId="487C3884" w14:textId="77777777" w:rsidR="00084F36" w:rsidRPr="00EB2BD8" w:rsidRDefault="00EB2BD8">
      <w:pPr>
        <w:pStyle w:val="BodyText"/>
        <w:spacing w:before="105" w:line="261" w:lineRule="auto"/>
        <w:ind w:left="850"/>
      </w:pPr>
      <w:r w:rsidRPr="00EB2BD8">
        <w:t xml:space="preserve">From </w:t>
      </w:r>
      <w:r w:rsidRPr="00EB2BD8">
        <w:rPr>
          <w:w w:val="95"/>
        </w:rPr>
        <w:t xml:space="preserve">1 </w:t>
      </w:r>
      <w:r w:rsidRPr="00EB2BD8">
        <w:t>July 2022, building inspectors and registered plumbers, except for those in high-risk classes such as gas</w:t>
      </w:r>
      <w:r w:rsidRPr="00EB2BD8">
        <w:rPr>
          <w:spacing w:val="-11"/>
        </w:rPr>
        <w:t xml:space="preserve"> </w:t>
      </w:r>
      <w:r w:rsidRPr="00EB2BD8">
        <w:t>fitting,</w:t>
      </w:r>
      <w:r w:rsidRPr="00EB2BD8">
        <w:rPr>
          <w:spacing w:val="-11"/>
        </w:rPr>
        <w:t xml:space="preserve"> </w:t>
      </w:r>
      <w:r w:rsidRPr="00EB2BD8">
        <w:t>became</w:t>
      </w:r>
      <w:r w:rsidRPr="00EB2BD8">
        <w:rPr>
          <w:spacing w:val="-11"/>
        </w:rPr>
        <w:t xml:space="preserve"> </w:t>
      </w:r>
      <w:r w:rsidRPr="00EB2BD8">
        <w:t>eligible</w:t>
      </w:r>
      <w:r w:rsidRPr="00EB2BD8">
        <w:rPr>
          <w:spacing w:val="-11"/>
        </w:rPr>
        <w:t xml:space="preserve"> </w:t>
      </w:r>
      <w:r w:rsidRPr="00EB2BD8">
        <w:t>to</w:t>
      </w:r>
      <w:r w:rsidRPr="00EB2BD8">
        <w:rPr>
          <w:spacing w:val="-11"/>
        </w:rPr>
        <w:t xml:space="preserve"> </w:t>
      </w:r>
      <w:r w:rsidRPr="00EB2BD8">
        <w:t>participate</w:t>
      </w:r>
      <w:r w:rsidRPr="00EB2BD8">
        <w:rPr>
          <w:spacing w:val="-11"/>
        </w:rPr>
        <w:t xml:space="preserve"> </w:t>
      </w:r>
      <w:r w:rsidRPr="00EB2BD8">
        <w:t>in</w:t>
      </w:r>
      <w:r w:rsidRPr="00EB2BD8">
        <w:rPr>
          <w:spacing w:val="-11"/>
        </w:rPr>
        <w:t xml:space="preserve"> </w:t>
      </w:r>
      <w:r w:rsidRPr="00EB2BD8">
        <w:t>AMR.</w:t>
      </w:r>
      <w:r w:rsidRPr="00EB2BD8">
        <w:rPr>
          <w:spacing w:val="-11"/>
        </w:rPr>
        <w:t xml:space="preserve"> </w:t>
      </w:r>
      <w:r w:rsidRPr="00EB2BD8">
        <w:t>These cohorts joined building practitioners, except building surveyors,</w:t>
      </w:r>
      <w:r w:rsidRPr="00EB2BD8">
        <w:rPr>
          <w:spacing w:val="-5"/>
        </w:rPr>
        <w:t xml:space="preserve"> </w:t>
      </w:r>
      <w:r w:rsidRPr="00EB2BD8">
        <w:t>who</w:t>
      </w:r>
      <w:r w:rsidRPr="00EB2BD8">
        <w:rPr>
          <w:spacing w:val="-5"/>
        </w:rPr>
        <w:t xml:space="preserve"> </w:t>
      </w:r>
      <w:r w:rsidRPr="00EB2BD8">
        <w:t>were</w:t>
      </w:r>
      <w:r w:rsidRPr="00EB2BD8">
        <w:rPr>
          <w:spacing w:val="-5"/>
        </w:rPr>
        <w:t xml:space="preserve"> </w:t>
      </w:r>
      <w:r w:rsidRPr="00EB2BD8">
        <w:t>eligible</w:t>
      </w:r>
      <w:r w:rsidRPr="00EB2BD8">
        <w:rPr>
          <w:spacing w:val="-5"/>
        </w:rPr>
        <w:t xml:space="preserve"> </w:t>
      </w:r>
      <w:r w:rsidRPr="00EB2BD8">
        <w:t>to</w:t>
      </w:r>
      <w:r w:rsidRPr="00EB2BD8">
        <w:rPr>
          <w:spacing w:val="-5"/>
        </w:rPr>
        <w:t xml:space="preserve"> </w:t>
      </w:r>
      <w:r w:rsidRPr="00EB2BD8">
        <w:t>participate</w:t>
      </w:r>
      <w:r w:rsidRPr="00EB2BD8">
        <w:rPr>
          <w:spacing w:val="-5"/>
        </w:rPr>
        <w:t xml:space="preserve"> </w:t>
      </w:r>
      <w:r w:rsidRPr="00EB2BD8">
        <w:t>in</w:t>
      </w:r>
      <w:r w:rsidRPr="00EB2BD8">
        <w:rPr>
          <w:spacing w:val="-5"/>
        </w:rPr>
        <w:t xml:space="preserve"> </w:t>
      </w:r>
      <w:r w:rsidRPr="00EB2BD8">
        <w:t>AMR</w:t>
      </w:r>
      <w:r w:rsidRPr="00EB2BD8">
        <w:rPr>
          <w:spacing w:val="-5"/>
        </w:rPr>
        <w:t xml:space="preserve"> </w:t>
      </w:r>
      <w:r w:rsidRPr="00EB2BD8">
        <w:t xml:space="preserve">from </w:t>
      </w:r>
      <w:r w:rsidRPr="00EB2BD8">
        <w:rPr>
          <w:w w:val="95"/>
        </w:rPr>
        <w:t xml:space="preserve">1 </w:t>
      </w:r>
      <w:r w:rsidRPr="00EB2BD8">
        <w:t>January 2022. Thirteen practitioners made a valid</w:t>
      </w:r>
    </w:p>
    <w:p w14:paraId="609103C2" w14:textId="77777777" w:rsidR="00084F36" w:rsidRPr="00EB2BD8" w:rsidRDefault="00EB2BD8">
      <w:pPr>
        <w:pStyle w:val="BodyText"/>
        <w:spacing w:line="261" w:lineRule="auto"/>
        <w:ind w:left="850"/>
      </w:pPr>
      <w:r w:rsidRPr="00EB2BD8">
        <w:t>AMR</w:t>
      </w:r>
      <w:r w:rsidRPr="00EB2BD8">
        <w:rPr>
          <w:spacing w:val="-14"/>
        </w:rPr>
        <w:t xml:space="preserve"> </w:t>
      </w:r>
      <w:r w:rsidRPr="00EB2BD8">
        <w:t>notification</w:t>
      </w:r>
      <w:r w:rsidRPr="00EB2BD8">
        <w:rPr>
          <w:spacing w:val="-14"/>
        </w:rPr>
        <w:t xml:space="preserve"> </w:t>
      </w:r>
      <w:r w:rsidRPr="00EB2BD8">
        <w:t>to</w:t>
      </w:r>
      <w:r w:rsidRPr="00EB2BD8">
        <w:rPr>
          <w:spacing w:val="-14"/>
        </w:rPr>
        <w:t xml:space="preserve"> </w:t>
      </w:r>
      <w:r w:rsidRPr="00EB2BD8">
        <w:t>the</w:t>
      </w:r>
      <w:r w:rsidRPr="00EB2BD8">
        <w:rPr>
          <w:spacing w:val="-14"/>
        </w:rPr>
        <w:t xml:space="preserve"> </w:t>
      </w:r>
      <w:r w:rsidRPr="00EB2BD8">
        <w:t>VBA</w:t>
      </w:r>
      <w:r w:rsidRPr="00EB2BD8">
        <w:rPr>
          <w:spacing w:val="-14"/>
        </w:rPr>
        <w:t xml:space="preserve"> </w:t>
      </w:r>
      <w:r w:rsidRPr="00EB2BD8">
        <w:t>this</w:t>
      </w:r>
      <w:r w:rsidRPr="00EB2BD8">
        <w:rPr>
          <w:spacing w:val="-14"/>
        </w:rPr>
        <w:t xml:space="preserve"> </w:t>
      </w:r>
      <w:r w:rsidRPr="00EB2BD8">
        <w:t>year,</w:t>
      </w:r>
      <w:r w:rsidRPr="00EB2BD8">
        <w:rPr>
          <w:spacing w:val="-14"/>
        </w:rPr>
        <w:t xml:space="preserve"> </w:t>
      </w:r>
      <w:r w:rsidRPr="00EB2BD8">
        <w:t>with</w:t>
      </w:r>
      <w:r w:rsidRPr="00EB2BD8">
        <w:rPr>
          <w:spacing w:val="-14"/>
        </w:rPr>
        <w:t xml:space="preserve"> </w:t>
      </w:r>
      <w:r w:rsidRPr="00EB2BD8">
        <w:t>most</w:t>
      </w:r>
      <w:r w:rsidRPr="00EB2BD8">
        <w:rPr>
          <w:spacing w:val="-14"/>
        </w:rPr>
        <w:t xml:space="preserve"> </w:t>
      </w:r>
      <w:r w:rsidRPr="00EB2BD8">
        <w:t>of</w:t>
      </w:r>
      <w:r w:rsidRPr="00EB2BD8">
        <w:rPr>
          <w:spacing w:val="-14"/>
        </w:rPr>
        <w:t xml:space="preserve"> </w:t>
      </w:r>
      <w:r w:rsidRPr="00EB2BD8">
        <w:t>these practitioners based in New South Wales.</w:t>
      </w:r>
    </w:p>
    <w:p w14:paraId="364A0138" w14:textId="77777777" w:rsidR="00084F36" w:rsidRPr="00EB2BD8" w:rsidRDefault="00EB2BD8">
      <w:pPr>
        <w:pStyle w:val="BodyText"/>
        <w:spacing w:before="105" w:line="261" w:lineRule="auto"/>
        <w:ind w:left="850" w:right="54"/>
      </w:pPr>
      <w:r w:rsidRPr="00EB2BD8">
        <w:t>The VBA has commenced a project to fully integrate AMR practitioners into our technology platforms, allowing more customer focused digital service delivery.</w:t>
      </w:r>
      <w:r w:rsidRPr="00EB2BD8">
        <w:rPr>
          <w:spacing w:val="-5"/>
        </w:rPr>
        <w:t xml:space="preserve"> </w:t>
      </w:r>
      <w:r w:rsidRPr="00EB2BD8">
        <w:t>These</w:t>
      </w:r>
      <w:r w:rsidRPr="00EB2BD8">
        <w:rPr>
          <w:spacing w:val="-5"/>
        </w:rPr>
        <w:t xml:space="preserve"> </w:t>
      </w:r>
      <w:r w:rsidRPr="00EB2BD8">
        <w:t>changes,</w:t>
      </w:r>
      <w:r w:rsidRPr="00EB2BD8">
        <w:rPr>
          <w:spacing w:val="-5"/>
        </w:rPr>
        <w:t xml:space="preserve"> </w:t>
      </w:r>
      <w:r w:rsidRPr="00EB2BD8">
        <w:t>alongside</w:t>
      </w:r>
      <w:r w:rsidRPr="00EB2BD8">
        <w:rPr>
          <w:spacing w:val="-5"/>
        </w:rPr>
        <w:t xml:space="preserve"> </w:t>
      </w:r>
      <w:r w:rsidRPr="00EB2BD8">
        <w:t>stronger</w:t>
      </w:r>
      <w:r w:rsidRPr="00EB2BD8">
        <w:rPr>
          <w:spacing w:val="-5"/>
        </w:rPr>
        <w:t xml:space="preserve"> </w:t>
      </w:r>
      <w:r w:rsidRPr="00EB2BD8">
        <w:t xml:space="preserve">consumer protection controls introduced via amendments to the </w:t>
      </w:r>
      <w:r w:rsidRPr="00EB2BD8">
        <w:rPr>
          <w:i/>
          <w:spacing w:val="-2"/>
        </w:rPr>
        <w:t>Building</w:t>
      </w:r>
      <w:r w:rsidRPr="00EB2BD8">
        <w:rPr>
          <w:i/>
          <w:spacing w:val="-7"/>
        </w:rPr>
        <w:t xml:space="preserve"> </w:t>
      </w:r>
      <w:r w:rsidRPr="00EB2BD8">
        <w:rPr>
          <w:i/>
          <w:spacing w:val="-2"/>
        </w:rPr>
        <w:t>Act</w:t>
      </w:r>
      <w:r w:rsidRPr="00EB2BD8">
        <w:rPr>
          <w:i/>
          <w:spacing w:val="-7"/>
        </w:rPr>
        <w:t xml:space="preserve"> </w:t>
      </w:r>
      <w:r w:rsidRPr="00EB2BD8">
        <w:rPr>
          <w:i/>
          <w:spacing w:val="-2"/>
        </w:rPr>
        <w:t>1993</w:t>
      </w:r>
      <w:r w:rsidRPr="00EB2BD8">
        <w:rPr>
          <w:i/>
          <w:spacing w:val="-7"/>
        </w:rPr>
        <w:t xml:space="preserve"> </w:t>
      </w:r>
      <w:r w:rsidRPr="00EB2BD8">
        <w:rPr>
          <w:spacing w:val="-2"/>
        </w:rPr>
        <w:t>ensure</w:t>
      </w:r>
      <w:r w:rsidRPr="00EB2BD8">
        <w:rPr>
          <w:spacing w:val="-7"/>
        </w:rPr>
        <w:t xml:space="preserve"> </w:t>
      </w:r>
      <w:r w:rsidRPr="00EB2BD8">
        <w:rPr>
          <w:spacing w:val="-2"/>
        </w:rPr>
        <w:t>the</w:t>
      </w:r>
      <w:r w:rsidRPr="00EB2BD8">
        <w:rPr>
          <w:spacing w:val="-7"/>
        </w:rPr>
        <w:t xml:space="preserve"> </w:t>
      </w:r>
      <w:r w:rsidRPr="00EB2BD8">
        <w:rPr>
          <w:spacing w:val="-2"/>
        </w:rPr>
        <w:t>program</w:t>
      </w:r>
      <w:r w:rsidRPr="00EB2BD8">
        <w:rPr>
          <w:spacing w:val="-7"/>
        </w:rPr>
        <w:t xml:space="preserve"> </w:t>
      </w:r>
      <w:r w:rsidRPr="00EB2BD8">
        <w:rPr>
          <w:spacing w:val="-2"/>
        </w:rPr>
        <w:t>is</w:t>
      </w:r>
      <w:r w:rsidRPr="00EB2BD8">
        <w:rPr>
          <w:spacing w:val="-7"/>
        </w:rPr>
        <w:t xml:space="preserve"> </w:t>
      </w:r>
      <w:r w:rsidRPr="00EB2BD8">
        <w:rPr>
          <w:spacing w:val="-2"/>
        </w:rPr>
        <w:t>future</w:t>
      </w:r>
      <w:r w:rsidRPr="00EB2BD8">
        <w:rPr>
          <w:spacing w:val="-7"/>
        </w:rPr>
        <w:t xml:space="preserve"> </w:t>
      </w:r>
      <w:r w:rsidRPr="00EB2BD8">
        <w:rPr>
          <w:spacing w:val="-2"/>
        </w:rPr>
        <w:t xml:space="preserve">proofed </w:t>
      </w:r>
      <w:r w:rsidRPr="00EB2BD8">
        <w:t>and set up to succeed.</w:t>
      </w:r>
    </w:p>
    <w:p w14:paraId="501D8FB8" w14:textId="5806FFED" w:rsidR="00084F36" w:rsidRPr="00EB2BD8" w:rsidRDefault="00EB2BD8" w:rsidP="00E13356">
      <w:pPr>
        <w:pStyle w:val="Heading2"/>
        <w:ind w:left="0"/>
      </w:pPr>
      <w:r w:rsidRPr="00EB2BD8">
        <w:br w:type="column"/>
      </w:r>
      <w:r w:rsidR="00E13356">
        <w:t xml:space="preserve">    </w:t>
      </w:r>
      <w:bookmarkStart w:id="135" w:name="_Toc150762437"/>
      <w:r w:rsidRPr="00EB2BD8">
        <w:t>Quality</w:t>
      </w:r>
      <w:r w:rsidRPr="00EB2BD8">
        <w:rPr>
          <w:spacing w:val="-18"/>
        </w:rPr>
        <w:t xml:space="preserve"> </w:t>
      </w:r>
      <w:r w:rsidRPr="00EB2BD8">
        <w:t>&amp;</w:t>
      </w:r>
      <w:r w:rsidRPr="00EB2BD8">
        <w:rPr>
          <w:spacing w:val="-18"/>
        </w:rPr>
        <w:t xml:space="preserve"> </w:t>
      </w:r>
      <w:r w:rsidRPr="00EB2BD8">
        <w:t>Regulatory</w:t>
      </w:r>
      <w:r w:rsidRPr="00EB2BD8">
        <w:rPr>
          <w:spacing w:val="-18"/>
        </w:rPr>
        <w:t xml:space="preserve"> </w:t>
      </w:r>
      <w:r w:rsidRPr="00EB2BD8">
        <w:t>Practice</w:t>
      </w:r>
      <w:bookmarkEnd w:id="135"/>
    </w:p>
    <w:p w14:paraId="191F5F89" w14:textId="77777777" w:rsidR="00084F36" w:rsidRPr="00EB2BD8" w:rsidRDefault="00EB2BD8">
      <w:pPr>
        <w:pStyle w:val="BodyText"/>
        <w:spacing w:before="112" w:line="261" w:lineRule="auto"/>
        <w:ind w:left="422" w:right="842"/>
      </w:pPr>
      <w:r w:rsidRPr="00EB2BD8">
        <w:t>In 2022-23, the VBA’s Quality &amp; Regulatory Practice team continued its work to ensure the VBA’s documents,</w:t>
      </w:r>
      <w:r w:rsidRPr="00EB2BD8">
        <w:rPr>
          <w:spacing w:val="-6"/>
        </w:rPr>
        <w:t xml:space="preserve"> </w:t>
      </w:r>
      <w:r w:rsidRPr="00EB2BD8">
        <w:t>policies,</w:t>
      </w:r>
      <w:r w:rsidRPr="00EB2BD8">
        <w:rPr>
          <w:spacing w:val="-6"/>
        </w:rPr>
        <w:t xml:space="preserve"> </w:t>
      </w:r>
      <w:r w:rsidRPr="00EB2BD8">
        <w:t>operational</w:t>
      </w:r>
      <w:r w:rsidRPr="00EB2BD8">
        <w:rPr>
          <w:spacing w:val="-6"/>
        </w:rPr>
        <w:t xml:space="preserve"> </w:t>
      </w:r>
      <w:r w:rsidRPr="00EB2BD8">
        <w:t>communications</w:t>
      </w:r>
      <w:r w:rsidRPr="00EB2BD8">
        <w:rPr>
          <w:spacing w:val="-6"/>
        </w:rPr>
        <w:t xml:space="preserve"> </w:t>
      </w:r>
      <w:r w:rsidRPr="00EB2BD8">
        <w:t>and business collateral was fit-for-purpose and relevant</w:t>
      </w:r>
    </w:p>
    <w:p w14:paraId="63A0CE81" w14:textId="77777777" w:rsidR="00084F36" w:rsidRPr="00EB2BD8" w:rsidRDefault="00EB2BD8">
      <w:pPr>
        <w:pStyle w:val="BodyText"/>
        <w:spacing w:line="261" w:lineRule="auto"/>
        <w:ind w:left="422" w:right="903"/>
      </w:pPr>
      <w:r w:rsidRPr="00EB2BD8">
        <w:t>to the organisation. This work included a review of all VBA policies, consolidation of the VBA’s Knowledge Management across about 2,000 work instructions, business rules, forms and quick reference guides. A Service Delivery Quality Monitoring and Reporting program monitored 10 critical processes to reduce waste and identify process gaps. More than 150 operational communications were issued, including notices of change, information alerts and training reminders to keep staff across key process changes and emerging issues. The Content Manager System is the</w:t>
      </w:r>
      <w:r w:rsidRPr="00EB2BD8">
        <w:rPr>
          <w:spacing w:val="-2"/>
        </w:rPr>
        <w:t xml:space="preserve"> </w:t>
      </w:r>
      <w:r w:rsidRPr="00EB2BD8">
        <w:t>VBA’s</w:t>
      </w:r>
      <w:r w:rsidRPr="00EB2BD8">
        <w:rPr>
          <w:spacing w:val="-2"/>
        </w:rPr>
        <w:t xml:space="preserve"> </w:t>
      </w:r>
      <w:r w:rsidRPr="00EB2BD8">
        <w:t>designated</w:t>
      </w:r>
      <w:r w:rsidRPr="00EB2BD8">
        <w:rPr>
          <w:spacing w:val="-2"/>
        </w:rPr>
        <w:t xml:space="preserve"> </w:t>
      </w:r>
      <w:r w:rsidRPr="00EB2BD8">
        <w:t>electronic</w:t>
      </w:r>
      <w:r w:rsidRPr="00EB2BD8">
        <w:rPr>
          <w:spacing w:val="-2"/>
        </w:rPr>
        <w:t xml:space="preserve"> </w:t>
      </w:r>
      <w:r w:rsidRPr="00EB2BD8">
        <w:t>document</w:t>
      </w:r>
      <w:r w:rsidRPr="00EB2BD8">
        <w:rPr>
          <w:spacing w:val="-2"/>
        </w:rPr>
        <w:t xml:space="preserve"> </w:t>
      </w:r>
      <w:r w:rsidRPr="00EB2BD8">
        <w:t>and</w:t>
      </w:r>
      <w:r w:rsidRPr="00EB2BD8">
        <w:rPr>
          <w:spacing w:val="-2"/>
        </w:rPr>
        <w:t xml:space="preserve"> </w:t>
      </w:r>
      <w:r w:rsidRPr="00EB2BD8">
        <w:t>records management system for all primary and corporate records.</w:t>
      </w:r>
      <w:r w:rsidRPr="00EB2BD8">
        <w:rPr>
          <w:spacing w:val="-12"/>
        </w:rPr>
        <w:t xml:space="preserve"> </w:t>
      </w:r>
      <w:r w:rsidRPr="00EB2BD8">
        <w:t>This</w:t>
      </w:r>
      <w:r w:rsidRPr="00EB2BD8">
        <w:rPr>
          <w:spacing w:val="-12"/>
        </w:rPr>
        <w:t xml:space="preserve"> </w:t>
      </w:r>
      <w:r w:rsidRPr="00EB2BD8">
        <w:t>year,</w:t>
      </w:r>
      <w:r w:rsidRPr="00EB2BD8">
        <w:rPr>
          <w:spacing w:val="-12"/>
        </w:rPr>
        <w:t xml:space="preserve"> </w:t>
      </w:r>
      <w:r w:rsidRPr="00EB2BD8">
        <w:t>increased</w:t>
      </w:r>
      <w:r w:rsidRPr="00EB2BD8">
        <w:rPr>
          <w:spacing w:val="-12"/>
        </w:rPr>
        <w:t xml:space="preserve"> </w:t>
      </w:r>
      <w:r w:rsidRPr="00EB2BD8">
        <w:t>training</w:t>
      </w:r>
      <w:r w:rsidRPr="00EB2BD8">
        <w:rPr>
          <w:spacing w:val="-12"/>
        </w:rPr>
        <w:t xml:space="preserve"> </w:t>
      </w:r>
      <w:r w:rsidRPr="00EB2BD8">
        <w:t>for</w:t>
      </w:r>
      <w:r w:rsidRPr="00EB2BD8">
        <w:rPr>
          <w:spacing w:val="-12"/>
        </w:rPr>
        <w:t xml:space="preserve"> </w:t>
      </w:r>
      <w:r w:rsidRPr="00EB2BD8">
        <w:t>all</w:t>
      </w:r>
      <w:r w:rsidRPr="00EB2BD8">
        <w:rPr>
          <w:spacing w:val="-12"/>
        </w:rPr>
        <w:t xml:space="preserve"> </w:t>
      </w:r>
      <w:r w:rsidRPr="00EB2BD8">
        <w:t>VBA</w:t>
      </w:r>
      <w:r w:rsidRPr="00EB2BD8">
        <w:rPr>
          <w:spacing w:val="-12"/>
        </w:rPr>
        <w:t xml:space="preserve"> </w:t>
      </w:r>
      <w:r w:rsidRPr="00EB2BD8">
        <w:t>people occurred across the system.</w:t>
      </w:r>
    </w:p>
    <w:p w14:paraId="2B1F0C7F" w14:textId="77777777" w:rsidR="00084F36" w:rsidRPr="00EB2BD8" w:rsidRDefault="00084F36">
      <w:pPr>
        <w:spacing w:line="261" w:lineRule="auto"/>
        <w:sectPr w:rsidR="00084F36" w:rsidRPr="00EB2BD8" w:rsidSect="006D75B2">
          <w:type w:val="continuous"/>
          <w:pgSz w:w="11910" w:h="16840"/>
          <w:pgMar w:top="1920" w:right="0" w:bottom="280" w:left="0" w:header="0" w:footer="528" w:gutter="0"/>
          <w:cols w:num="2" w:space="720" w:equalWidth="0">
            <w:col w:w="5717" w:space="40"/>
            <w:col w:w="6153"/>
          </w:cols>
        </w:sectPr>
      </w:pPr>
    </w:p>
    <w:p w14:paraId="612F319C" w14:textId="77777777" w:rsidR="00084F36" w:rsidRPr="00EB2BD8" w:rsidRDefault="00084F36">
      <w:pPr>
        <w:pStyle w:val="BodyText"/>
        <w:rPr>
          <w:sz w:val="20"/>
        </w:rPr>
      </w:pPr>
    </w:p>
    <w:p w14:paraId="6A8F26D4" w14:textId="77777777" w:rsidR="00084F36" w:rsidRPr="00EB2BD8" w:rsidRDefault="00084F36">
      <w:pPr>
        <w:pStyle w:val="BodyText"/>
        <w:rPr>
          <w:sz w:val="20"/>
        </w:rPr>
      </w:pPr>
    </w:p>
    <w:p w14:paraId="10D18835" w14:textId="77777777" w:rsidR="00084F36" w:rsidRPr="00EB2BD8" w:rsidRDefault="00084F36">
      <w:pPr>
        <w:pStyle w:val="BodyText"/>
        <w:rPr>
          <w:sz w:val="20"/>
        </w:rPr>
      </w:pPr>
    </w:p>
    <w:p w14:paraId="51631007" w14:textId="77777777" w:rsidR="00084F36" w:rsidRPr="00EB2BD8" w:rsidRDefault="00084F36">
      <w:pPr>
        <w:pStyle w:val="BodyText"/>
        <w:rPr>
          <w:sz w:val="20"/>
        </w:rPr>
      </w:pPr>
    </w:p>
    <w:p w14:paraId="606AADEA" w14:textId="77777777" w:rsidR="00084F36" w:rsidRPr="00EB2BD8" w:rsidRDefault="00084F36">
      <w:pPr>
        <w:pStyle w:val="BodyText"/>
        <w:rPr>
          <w:sz w:val="20"/>
        </w:rPr>
      </w:pPr>
    </w:p>
    <w:p w14:paraId="779ECDE2" w14:textId="77777777" w:rsidR="00084F36" w:rsidRPr="00EB2BD8" w:rsidRDefault="00084F36">
      <w:pPr>
        <w:pStyle w:val="BodyText"/>
        <w:rPr>
          <w:sz w:val="20"/>
        </w:rPr>
      </w:pPr>
    </w:p>
    <w:p w14:paraId="224D5C2D" w14:textId="77777777" w:rsidR="00084F36" w:rsidRPr="00EB2BD8" w:rsidRDefault="00084F36">
      <w:pPr>
        <w:pStyle w:val="BodyText"/>
        <w:rPr>
          <w:sz w:val="20"/>
        </w:rPr>
      </w:pPr>
    </w:p>
    <w:p w14:paraId="0CD5F49B" w14:textId="77777777" w:rsidR="00084F36" w:rsidRPr="00EB2BD8" w:rsidRDefault="00084F36" w:rsidP="00EB2BD8">
      <w:pPr>
        <w:pStyle w:val="Heading2"/>
      </w:pPr>
    </w:p>
    <w:p w14:paraId="07159203" w14:textId="77777777" w:rsidR="00084F36" w:rsidRPr="00EB2BD8" w:rsidRDefault="00084F36" w:rsidP="00EB2BD8">
      <w:pPr>
        <w:pStyle w:val="Heading2"/>
        <w:rPr>
          <w:sz w:val="28"/>
        </w:rPr>
      </w:pPr>
    </w:p>
    <w:p w14:paraId="618F3D4D" w14:textId="04762A63" w:rsidR="00084F36" w:rsidRPr="00EB2BD8" w:rsidRDefault="00EB2BD8" w:rsidP="00EB2BD8">
      <w:pPr>
        <w:pStyle w:val="Heading2"/>
        <w:rPr>
          <w:sz w:val="28"/>
          <w:szCs w:val="28"/>
        </w:rPr>
      </w:pPr>
      <w:bookmarkStart w:id="136" w:name="_Toc150762438"/>
      <w:r w:rsidRPr="00EB2BD8">
        <w:t>Spotlight</w:t>
      </w:r>
      <w:r w:rsidRPr="00EB2BD8">
        <w:rPr>
          <w:spacing w:val="-20"/>
        </w:rPr>
        <w:t xml:space="preserve"> </w:t>
      </w:r>
      <w:r w:rsidRPr="00EB2BD8">
        <w:rPr>
          <w:spacing w:val="-5"/>
        </w:rPr>
        <w:t>on:</w:t>
      </w:r>
      <w:bookmarkEnd w:id="136"/>
    </w:p>
    <w:p w14:paraId="4F2FA65D" w14:textId="77777777" w:rsidR="00084F36" w:rsidRPr="00EB2BD8" w:rsidRDefault="00EB2BD8" w:rsidP="00EB2BD8">
      <w:pPr>
        <w:pStyle w:val="Heading2"/>
        <w:rPr>
          <w:sz w:val="28"/>
          <w:szCs w:val="28"/>
        </w:rPr>
      </w:pPr>
      <w:bookmarkStart w:id="137" w:name="_Toc150762439"/>
      <w:r w:rsidRPr="00EB2BD8">
        <w:rPr>
          <w:spacing w:val="-2"/>
          <w:sz w:val="28"/>
          <w:szCs w:val="28"/>
        </w:rPr>
        <w:t>Harms-based</w:t>
      </w:r>
      <w:r w:rsidRPr="00EB2BD8">
        <w:rPr>
          <w:spacing w:val="-37"/>
          <w:sz w:val="28"/>
          <w:szCs w:val="28"/>
        </w:rPr>
        <w:t xml:space="preserve"> </w:t>
      </w:r>
      <w:r w:rsidRPr="00EB2BD8">
        <w:rPr>
          <w:spacing w:val="-2"/>
          <w:sz w:val="28"/>
          <w:szCs w:val="28"/>
        </w:rPr>
        <w:t>regulation</w:t>
      </w:r>
      <w:r w:rsidRPr="00EB2BD8">
        <w:rPr>
          <w:spacing w:val="-36"/>
          <w:sz w:val="28"/>
          <w:szCs w:val="28"/>
        </w:rPr>
        <w:t xml:space="preserve"> </w:t>
      </w:r>
      <w:r w:rsidRPr="00EB2BD8">
        <w:rPr>
          <w:spacing w:val="-2"/>
          <w:sz w:val="28"/>
          <w:szCs w:val="28"/>
        </w:rPr>
        <w:t>-</w:t>
      </w:r>
      <w:r w:rsidRPr="00EB2BD8">
        <w:rPr>
          <w:spacing w:val="-36"/>
          <w:sz w:val="28"/>
          <w:szCs w:val="28"/>
        </w:rPr>
        <w:t xml:space="preserve"> </w:t>
      </w:r>
      <w:r w:rsidRPr="00EB2BD8">
        <w:rPr>
          <w:spacing w:val="-2"/>
          <w:sz w:val="28"/>
          <w:szCs w:val="28"/>
        </w:rPr>
        <w:t>Industry</w:t>
      </w:r>
      <w:r w:rsidRPr="00EB2BD8">
        <w:rPr>
          <w:spacing w:val="-36"/>
          <w:sz w:val="28"/>
          <w:szCs w:val="28"/>
        </w:rPr>
        <w:t xml:space="preserve"> </w:t>
      </w:r>
      <w:r w:rsidRPr="00EB2BD8">
        <w:rPr>
          <w:spacing w:val="-2"/>
          <w:sz w:val="28"/>
          <w:szCs w:val="28"/>
        </w:rPr>
        <w:t xml:space="preserve">Harms </w:t>
      </w:r>
      <w:r w:rsidRPr="00EB2BD8">
        <w:rPr>
          <w:sz w:val="28"/>
          <w:szCs w:val="28"/>
        </w:rPr>
        <w:t>Consultative Committee</w:t>
      </w:r>
      <w:bookmarkEnd w:id="137"/>
    </w:p>
    <w:p w14:paraId="720E0D22" w14:textId="77777777" w:rsidR="00084F36" w:rsidRPr="00EB2BD8" w:rsidRDefault="00084F36">
      <w:pPr>
        <w:pStyle w:val="BodyText"/>
        <w:rPr>
          <w:rFonts w:ascii="Arial" w:hAnsi="Arial" w:cs="Arial"/>
          <w:b/>
          <w:sz w:val="28"/>
          <w:szCs w:val="28"/>
        </w:rPr>
      </w:pPr>
    </w:p>
    <w:p w14:paraId="201AB8E8" w14:textId="77777777" w:rsidR="00084F36" w:rsidRPr="00EB2BD8" w:rsidRDefault="00084F36">
      <w:pPr>
        <w:pStyle w:val="BodyText"/>
        <w:rPr>
          <w:rFonts w:ascii="Arial" w:hAnsi="Arial" w:cs="Arial"/>
          <w:b/>
          <w:sz w:val="28"/>
          <w:szCs w:val="28"/>
        </w:rPr>
      </w:pPr>
    </w:p>
    <w:p w14:paraId="3C3450F5" w14:textId="77777777" w:rsidR="00084F36" w:rsidRPr="00EB2BD8" w:rsidRDefault="00084F36">
      <w:pPr>
        <w:pStyle w:val="BodyText"/>
        <w:rPr>
          <w:rFonts w:ascii="Arial" w:hAnsi="Arial" w:cs="Arial"/>
          <w:b/>
          <w:sz w:val="28"/>
          <w:szCs w:val="28"/>
        </w:rPr>
      </w:pPr>
    </w:p>
    <w:p w14:paraId="0A875D8D" w14:textId="77777777" w:rsidR="00084F36" w:rsidRPr="00EB2BD8" w:rsidRDefault="00084F36">
      <w:pPr>
        <w:pStyle w:val="BodyText"/>
        <w:rPr>
          <w:rFonts w:ascii="Tahoma"/>
          <w:b/>
          <w:sz w:val="20"/>
        </w:rPr>
      </w:pPr>
    </w:p>
    <w:p w14:paraId="061C9B28" w14:textId="77777777" w:rsidR="00084F36" w:rsidRPr="00EB2BD8" w:rsidRDefault="00084F36">
      <w:pPr>
        <w:pStyle w:val="BodyText"/>
        <w:rPr>
          <w:rFonts w:ascii="Tahoma"/>
          <w:b/>
          <w:sz w:val="20"/>
        </w:rPr>
      </w:pPr>
    </w:p>
    <w:p w14:paraId="1278F219" w14:textId="77777777" w:rsidR="00084F36" w:rsidRPr="00EB2BD8" w:rsidRDefault="00084F36">
      <w:pPr>
        <w:pStyle w:val="BodyText"/>
        <w:spacing w:before="9"/>
        <w:rPr>
          <w:rFonts w:ascii="Tahoma"/>
          <w:b/>
          <w:sz w:val="21"/>
        </w:rPr>
      </w:pPr>
    </w:p>
    <w:p w14:paraId="44EC7522" w14:textId="77777777" w:rsidR="00084F36" w:rsidRPr="00EB2BD8" w:rsidRDefault="00084F36">
      <w:pPr>
        <w:rPr>
          <w:rFonts w:ascii="Tahoma"/>
          <w:sz w:val="21"/>
        </w:rPr>
        <w:sectPr w:rsidR="00084F36" w:rsidRPr="00EB2BD8" w:rsidSect="006D75B2">
          <w:headerReference w:type="default" r:id="rId159"/>
          <w:footerReference w:type="default" r:id="rId160"/>
          <w:pgSz w:w="11910" w:h="16840"/>
          <w:pgMar w:top="0" w:right="0" w:bottom="720" w:left="0" w:header="0" w:footer="528" w:gutter="0"/>
          <w:pgNumType w:start="57"/>
          <w:cols w:space="720"/>
        </w:sectPr>
      </w:pPr>
    </w:p>
    <w:p w14:paraId="3E568134" w14:textId="77777777" w:rsidR="00084F36" w:rsidRPr="00EB2BD8" w:rsidRDefault="00EB2BD8">
      <w:pPr>
        <w:pStyle w:val="BodyText"/>
        <w:spacing w:before="95" w:line="261" w:lineRule="auto"/>
        <w:ind w:left="850" w:right="1"/>
      </w:pPr>
      <w:r w:rsidRPr="00EB2BD8">
        <w:t>As part of embedding the harms-approach to regulation</w:t>
      </w:r>
      <w:r w:rsidRPr="00EB2BD8">
        <w:rPr>
          <w:spacing w:val="-10"/>
        </w:rPr>
        <w:t xml:space="preserve"> </w:t>
      </w:r>
      <w:r w:rsidRPr="00EB2BD8">
        <w:t>in</w:t>
      </w:r>
      <w:r w:rsidRPr="00EB2BD8">
        <w:rPr>
          <w:spacing w:val="-10"/>
        </w:rPr>
        <w:t xml:space="preserve"> </w:t>
      </w:r>
      <w:r w:rsidRPr="00EB2BD8">
        <w:t>the</w:t>
      </w:r>
      <w:r w:rsidRPr="00EB2BD8">
        <w:rPr>
          <w:spacing w:val="-10"/>
        </w:rPr>
        <w:t xml:space="preserve"> </w:t>
      </w:r>
      <w:r w:rsidRPr="00EB2BD8">
        <w:t>VBA,</w:t>
      </w:r>
      <w:r w:rsidRPr="00EB2BD8">
        <w:rPr>
          <w:spacing w:val="-10"/>
        </w:rPr>
        <w:t xml:space="preserve"> </w:t>
      </w:r>
      <w:r w:rsidRPr="00EB2BD8">
        <w:t>a</w:t>
      </w:r>
      <w:r w:rsidRPr="00EB2BD8">
        <w:rPr>
          <w:spacing w:val="-10"/>
        </w:rPr>
        <w:t xml:space="preserve"> </w:t>
      </w:r>
      <w:r w:rsidRPr="00EB2BD8">
        <w:t>new</w:t>
      </w:r>
      <w:r w:rsidRPr="00EB2BD8">
        <w:rPr>
          <w:spacing w:val="-10"/>
        </w:rPr>
        <w:t xml:space="preserve"> </w:t>
      </w:r>
      <w:r w:rsidRPr="00EB2BD8">
        <w:t>industry</w:t>
      </w:r>
      <w:r w:rsidRPr="00EB2BD8">
        <w:rPr>
          <w:spacing w:val="-10"/>
        </w:rPr>
        <w:t xml:space="preserve"> </w:t>
      </w:r>
      <w:r w:rsidRPr="00EB2BD8">
        <w:t>consultative committee was established in December 2022.</w:t>
      </w:r>
    </w:p>
    <w:p w14:paraId="17A7784B" w14:textId="77777777" w:rsidR="00084F36" w:rsidRPr="00EB2BD8" w:rsidRDefault="00EB2BD8">
      <w:pPr>
        <w:pStyle w:val="BodyText"/>
        <w:spacing w:before="110" w:line="261" w:lineRule="auto"/>
        <w:ind w:left="850" w:right="27"/>
      </w:pPr>
      <w:r w:rsidRPr="00EB2BD8">
        <w:t>The Industry Harms Consultative Committee (IHCC) was</w:t>
      </w:r>
      <w:r w:rsidRPr="00EB2BD8">
        <w:rPr>
          <w:spacing w:val="-6"/>
        </w:rPr>
        <w:t xml:space="preserve"> </w:t>
      </w:r>
      <w:r w:rsidRPr="00EB2BD8">
        <w:t>established</w:t>
      </w:r>
      <w:r w:rsidRPr="00EB2BD8">
        <w:rPr>
          <w:spacing w:val="-6"/>
        </w:rPr>
        <w:t xml:space="preserve"> </w:t>
      </w:r>
      <w:r w:rsidRPr="00EB2BD8">
        <w:t>to</w:t>
      </w:r>
      <w:r w:rsidRPr="00EB2BD8">
        <w:rPr>
          <w:spacing w:val="-6"/>
        </w:rPr>
        <w:t xml:space="preserve"> </w:t>
      </w:r>
      <w:r w:rsidRPr="00EB2BD8">
        <w:t>provide</w:t>
      </w:r>
      <w:r w:rsidRPr="00EB2BD8">
        <w:rPr>
          <w:spacing w:val="-6"/>
        </w:rPr>
        <w:t xml:space="preserve"> </w:t>
      </w:r>
      <w:r w:rsidRPr="00EB2BD8">
        <w:t>a</w:t>
      </w:r>
      <w:r w:rsidRPr="00EB2BD8">
        <w:rPr>
          <w:spacing w:val="-6"/>
        </w:rPr>
        <w:t xml:space="preserve"> </w:t>
      </w:r>
      <w:r w:rsidRPr="00EB2BD8">
        <w:t>unique</w:t>
      </w:r>
      <w:r w:rsidRPr="00EB2BD8">
        <w:rPr>
          <w:spacing w:val="-6"/>
        </w:rPr>
        <w:t xml:space="preserve"> </w:t>
      </w:r>
      <w:r w:rsidRPr="00EB2BD8">
        <w:t>forum</w:t>
      </w:r>
      <w:r w:rsidRPr="00EB2BD8">
        <w:rPr>
          <w:spacing w:val="-6"/>
        </w:rPr>
        <w:t xml:space="preserve"> </w:t>
      </w:r>
      <w:r w:rsidRPr="00EB2BD8">
        <w:t>to</w:t>
      </w:r>
      <w:r w:rsidRPr="00EB2BD8">
        <w:rPr>
          <w:spacing w:val="-6"/>
        </w:rPr>
        <w:t xml:space="preserve"> </w:t>
      </w:r>
      <w:r w:rsidRPr="00EB2BD8">
        <w:t>enable ongoing dialogue with key industry stakeholders</w:t>
      </w:r>
    </w:p>
    <w:p w14:paraId="0EBE84E7" w14:textId="77777777" w:rsidR="00084F36" w:rsidRPr="00EB2BD8" w:rsidRDefault="00EB2BD8">
      <w:pPr>
        <w:pStyle w:val="BodyText"/>
        <w:spacing w:line="261" w:lineRule="auto"/>
        <w:ind w:left="850" w:right="1"/>
      </w:pPr>
      <w:r w:rsidRPr="00EB2BD8">
        <w:t>on emerging harms, risks and issues in the built environment</w:t>
      </w:r>
      <w:r w:rsidRPr="00EB2BD8">
        <w:rPr>
          <w:spacing w:val="-2"/>
        </w:rPr>
        <w:t xml:space="preserve"> </w:t>
      </w:r>
      <w:r w:rsidRPr="00EB2BD8">
        <w:t>and</w:t>
      </w:r>
      <w:r w:rsidRPr="00EB2BD8">
        <w:rPr>
          <w:spacing w:val="-2"/>
        </w:rPr>
        <w:t xml:space="preserve"> </w:t>
      </w:r>
      <w:r w:rsidRPr="00EB2BD8">
        <w:t>to</w:t>
      </w:r>
      <w:r w:rsidRPr="00EB2BD8">
        <w:rPr>
          <w:spacing w:val="-2"/>
        </w:rPr>
        <w:t xml:space="preserve"> </w:t>
      </w:r>
      <w:r w:rsidRPr="00EB2BD8">
        <w:t>seek</w:t>
      </w:r>
      <w:r w:rsidRPr="00EB2BD8">
        <w:rPr>
          <w:spacing w:val="-2"/>
        </w:rPr>
        <w:t xml:space="preserve"> </w:t>
      </w:r>
      <w:r w:rsidRPr="00EB2BD8">
        <w:t>insights</w:t>
      </w:r>
      <w:r w:rsidRPr="00EB2BD8">
        <w:rPr>
          <w:spacing w:val="-2"/>
        </w:rPr>
        <w:t xml:space="preserve"> </w:t>
      </w:r>
      <w:r w:rsidRPr="00EB2BD8">
        <w:t>on</w:t>
      </w:r>
      <w:r w:rsidRPr="00EB2BD8">
        <w:rPr>
          <w:spacing w:val="-2"/>
        </w:rPr>
        <w:t xml:space="preserve"> </w:t>
      </w:r>
      <w:r w:rsidRPr="00EB2BD8">
        <w:t>approaches</w:t>
      </w:r>
      <w:r w:rsidRPr="00EB2BD8">
        <w:rPr>
          <w:spacing w:val="-2"/>
        </w:rPr>
        <w:t xml:space="preserve"> </w:t>
      </w:r>
      <w:r w:rsidRPr="00EB2BD8">
        <w:t>and opportunities to best address these.</w:t>
      </w:r>
    </w:p>
    <w:p w14:paraId="3DFD597A" w14:textId="77777777" w:rsidR="00084F36" w:rsidRPr="00EB2BD8" w:rsidRDefault="00EB2BD8">
      <w:pPr>
        <w:pStyle w:val="BodyText"/>
        <w:spacing w:before="108" w:line="261" w:lineRule="auto"/>
        <w:ind w:left="850" w:right="1"/>
      </w:pPr>
      <w:r w:rsidRPr="00EB2BD8">
        <w:t>The</w:t>
      </w:r>
      <w:r w:rsidRPr="00EB2BD8">
        <w:rPr>
          <w:spacing w:val="-11"/>
        </w:rPr>
        <w:t xml:space="preserve"> </w:t>
      </w:r>
      <w:r w:rsidRPr="00EB2BD8">
        <w:t>IHCC’s</w:t>
      </w:r>
      <w:r w:rsidRPr="00EB2BD8">
        <w:rPr>
          <w:spacing w:val="-11"/>
        </w:rPr>
        <w:t xml:space="preserve"> </w:t>
      </w:r>
      <w:r w:rsidRPr="00EB2BD8">
        <w:t>role</w:t>
      </w:r>
      <w:r w:rsidRPr="00EB2BD8">
        <w:rPr>
          <w:spacing w:val="-11"/>
        </w:rPr>
        <w:t xml:space="preserve"> </w:t>
      </w:r>
      <w:r w:rsidRPr="00EB2BD8">
        <w:t>is</w:t>
      </w:r>
      <w:r w:rsidRPr="00EB2BD8">
        <w:rPr>
          <w:spacing w:val="-11"/>
        </w:rPr>
        <w:t xml:space="preserve"> </w:t>
      </w:r>
      <w:r w:rsidRPr="00EB2BD8">
        <w:t>to</w:t>
      </w:r>
      <w:r w:rsidRPr="00EB2BD8">
        <w:rPr>
          <w:spacing w:val="-11"/>
        </w:rPr>
        <w:t xml:space="preserve"> </w:t>
      </w:r>
      <w:r w:rsidRPr="00EB2BD8">
        <w:t>provide</w:t>
      </w:r>
      <w:r w:rsidRPr="00EB2BD8">
        <w:rPr>
          <w:spacing w:val="-11"/>
        </w:rPr>
        <w:t xml:space="preserve"> </w:t>
      </w:r>
      <w:r w:rsidRPr="00EB2BD8">
        <w:t>feedback</w:t>
      </w:r>
      <w:r w:rsidRPr="00EB2BD8">
        <w:rPr>
          <w:spacing w:val="-11"/>
        </w:rPr>
        <w:t xml:space="preserve"> </w:t>
      </w:r>
      <w:r w:rsidRPr="00EB2BD8">
        <w:t>and</w:t>
      </w:r>
      <w:r w:rsidRPr="00EB2BD8">
        <w:rPr>
          <w:spacing w:val="-11"/>
        </w:rPr>
        <w:t xml:space="preserve"> </w:t>
      </w:r>
      <w:r w:rsidRPr="00EB2BD8">
        <w:t>input</w:t>
      </w:r>
      <w:r w:rsidRPr="00EB2BD8">
        <w:rPr>
          <w:spacing w:val="-11"/>
        </w:rPr>
        <w:t xml:space="preserve"> </w:t>
      </w:r>
      <w:r w:rsidRPr="00EB2BD8">
        <w:t>on</w:t>
      </w:r>
      <w:r w:rsidRPr="00EB2BD8">
        <w:rPr>
          <w:spacing w:val="-11"/>
        </w:rPr>
        <w:t xml:space="preserve"> </w:t>
      </w:r>
      <w:r w:rsidRPr="00EB2BD8">
        <w:t>key areas such as emerging harms, industry engagement, the VBA’s approach to regulation and its development of regulatory priorities.</w:t>
      </w:r>
    </w:p>
    <w:p w14:paraId="3B5E62B4" w14:textId="77777777" w:rsidR="00084F36" w:rsidRPr="00EB2BD8" w:rsidRDefault="00EB2BD8">
      <w:pPr>
        <w:pStyle w:val="BodyText"/>
        <w:spacing w:before="109" w:line="261" w:lineRule="auto"/>
        <w:ind w:left="850" w:right="1"/>
      </w:pPr>
      <w:r w:rsidRPr="00EB2BD8">
        <w:rPr>
          <w:spacing w:val="-2"/>
        </w:rPr>
        <w:t>Initial</w:t>
      </w:r>
      <w:r w:rsidRPr="00EB2BD8">
        <w:rPr>
          <w:spacing w:val="-10"/>
        </w:rPr>
        <w:t xml:space="preserve"> </w:t>
      </w:r>
      <w:r w:rsidRPr="00EB2BD8">
        <w:rPr>
          <w:spacing w:val="-2"/>
        </w:rPr>
        <w:t>membership</w:t>
      </w:r>
      <w:r w:rsidRPr="00EB2BD8">
        <w:rPr>
          <w:spacing w:val="-10"/>
        </w:rPr>
        <w:t xml:space="preserve"> </w:t>
      </w:r>
      <w:r w:rsidRPr="00EB2BD8">
        <w:rPr>
          <w:spacing w:val="-2"/>
        </w:rPr>
        <w:t>of</w:t>
      </w:r>
      <w:r w:rsidRPr="00EB2BD8">
        <w:rPr>
          <w:spacing w:val="-10"/>
        </w:rPr>
        <w:t xml:space="preserve"> </w:t>
      </w:r>
      <w:r w:rsidRPr="00EB2BD8">
        <w:rPr>
          <w:spacing w:val="-2"/>
        </w:rPr>
        <w:t>the</w:t>
      </w:r>
      <w:r w:rsidRPr="00EB2BD8">
        <w:rPr>
          <w:spacing w:val="-10"/>
        </w:rPr>
        <w:t xml:space="preserve"> </w:t>
      </w:r>
      <w:r w:rsidRPr="00EB2BD8">
        <w:rPr>
          <w:spacing w:val="-2"/>
        </w:rPr>
        <w:t>IHCC</w:t>
      </w:r>
      <w:r w:rsidRPr="00EB2BD8">
        <w:rPr>
          <w:spacing w:val="-10"/>
        </w:rPr>
        <w:t xml:space="preserve"> </w:t>
      </w:r>
      <w:r w:rsidRPr="00EB2BD8">
        <w:rPr>
          <w:spacing w:val="-2"/>
        </w:rPr>
        <w:t>for</w:t>
      </w:r>
      <w:r w:rsidRPr="00EB2BD8">
        <w:rPr>
          <w:spacing w:val="-10"/>
        </w:rPr>
        <w:t xml:space="preserve"> </w:t>
      </w:r>
      <w:r w:rsidRPr="00EB2BD8">
        <w:rPr>
          <w:spacing w:val="-2"/>
        </w:rPr>
        <w:t>2022-23</w:t>
      </w:r>
      <w:r w:rsidRPr="00EB2BD8">
        <w:rPr>
          <w:spacing w:val="-10"/>
        </w:rPr>
        <w:t xml:space="preserve"> </w:t>
      </w:r>
      <w:r w:rsidRPr="00EB2BD8">
        <w:rPr>
          <w:spacing w:val="-2"/>
        </w:rPr>
        <w:t xml:space="preserve">comprised </w:t>
      </w:r>
      <w:r w:rsidRPr="00EB2BD8">
        <w:t>representatives from Master Builders Association</w:t>
      </w:r>
    </w:p>
    <w:p w14:paraId="2EFD74E0" w14:textId="77777777" w:rsidR="00084F36" w:rsidRPr="00EB2BD8" w:rsidRDefault="00EB2BD8">
      <w:pPr>
        <w:pStyle w:val="BodyText"/>
        <w:spacing w:line="261" w:lineRule="auto"/>
        <w:ind w:left="850" w:right="1"/>
      </w:pPr>
      <w:r w:rsidRPr="00EB2BD8">
        <w:t>of Victoria, Housing Industry Association, Master Plumbers,</w:t>
      </w:r>
      <w:r w:rsidRPr="00EB2BD8">
        <w:rPr>
          <w:spacing w:val="-10"/>
        </w:rPr>
        <w:t xml:space="preserve"> </w:t>
      </w:r>
      <w:r w:rsidRPr="00EB2BD8">
        <w:t>the</w:t>
      </w:r>
      <w:r w:rsidRPr="00EB2BD8">
        <w:rPr>
          <w:spacing w:val="-10"/>
        </w:rPr>
        <w:t xml:space="preserve"> </w:t>
      </w:r>
      <w:r w:rsidRPr="00EB2BD8">
        <w:t>Chair</w:t>
      </w:r>
      <w:r w:rsidRPr="00EB2BD8">
        <w:rPr>
          <w:spacing w:val="-10"/>
        </w:rPr>
        <w:t xml:space="preserve"> </w:t>
      </w:r>
      <w:r w:rsidRPr="00EB2BD8">
        <w:t>of</w:t>
      </w:r>
      <w:r w:rsidRPr="00EB2BD8">
        <w:rPr>
          <w:spacing w:val="-10"/>
        </w:rPr>
        <w:t xml:space="preserve"> </w:t>
      </w:r>
      <w:r w:rsidRPr="00EB2BD8">
        <w:t>the</w:t>
      </w:r>
      <w:r w:rsidRPr="00EB2BD8">
        <w:rPr>
          <w:spacing w:val="-10"/>
        </w:rPr>
        <w:t xml:space="preserve"> </w:t>
      </w:r>
      <w:r w:rsidRPr="00EB2BD8">
        <w:t>Plumbing</w:t>
      </w:r>
      <w:r w:rsidRPr="00EB2BD8">
        <w:rPr>
          <w:spacing w:val="-10"/>
        </w:rPr>
        <w:t xml:space="preserve"> </w:t>
      </w:r>
      <w:r w:rsidRPr="00EB2BD8">
        <w:t>Advisory</w:t>
      </w:r>
      <w:r w:rsidRPr="00EB2BD8">
        <w:rPr>
          <w:spacing w:val="-10"/>
        </w:rPr>
        <w:t xml:space="preserve"> </w:t>
      </w:r>
      <w:r w:rsidRPr="00EB2BD8">
        <w:t>Council and the Royal Institution of Chartered Surveyors.</w:t>
      </w:r>
    </w:p>
    <w:p w14:paraId="4C7974EA" w14:textId="77777777" w:rsidR="00084F36" w:rsidRPr="00EB2BD8" w:rsidRDefault="00EB2BD8">
      <w:pPr>
        <w:pStyle w:val="BodyText"/>
        <w:spacing w:before="95" w:line="261" w:lineRule="auto"/>
        <w:ind w:left="471" w:right="885"/>
      </w:pPr>
      <w:r w:rsidRPr="00EB2BD8">
        <w:br w:type="column"/>
      </w:r>
      <w:r w:rsidRPr="00EB2BD8">
        <w:rPr>
          <w:spacing w:val="-2"/>
        </w:rPr>
        <w:t>Two</w:t>
      </w:r>
      <w:r w:rsidRPr="00EB2BD8">
        <w:rPr>
          <w:spacing w:val="-13"/>
        </w:rPr>
        <w:t xml:space="preserve"> </w:t>
      </w:r>
      <w:r w:rsidRPr="00EB2BD8">
        <w:rPr>
          <w:spacing w:val="-2"/>
        </w:rPr>
        <w:t>meetings</w:t>
      </w:r>
      <w:r w:rsidRPr="00EB2BD8">
        <w:rPr>
          <w:spacing w:val="-12"/>
        </w:rPr>
        <w:t xml:space="preserve"> </w:t>
      </w:r>
      <w:r w:rsidRPr="00EB2BD8">
        <w:rPr>
          <w:spacing w:val="-2"/>
        </w:rPr>
        <w:t>of</w:t>
      </w:r>
      <w:r w:rsidRPr="00EB2BD8">
        <w:rPr>
          <w:spacing w:val="-12"/>
        </w:rPr>
        <w:t xml:space="preserve"> </w:t>
      </w:r>
      <w:r w:rsidRPr="00EB2BD8">
        <w:rPr>
          <w:spacing w:val="-2"/>
        </w:rPr>
        <w:t>the</w:t>
      </w:r>
      <w:r w:rsidRPr="00EB2BD8">
        <w:rPr>
          <w:spacing w:val="-12"/>
        </w:rPr>
        <w:t xml:space="preserve"> </w:t>
      </w:r>
      <w:r w:rsidRPr="00EB2BD8">
        <w:rPr>
          <w:spacing w:val="-2"/>
        </w:rPr>
        <w:t>IHCC</w:t>
      </w:r>
      <w:r w:rsidRPr="00EB2BD8">
        <w:rPr>
          <w:spacing w:val="-13"/>
        </w:rPr>
        <w:t xml:space="preserve"> </w:t>
      </w:r>
      <w:r w:rsidRPr="00EB2BD8">
        <w:rPr>
          <w:spacing w:val="-2"/>
        </w:rPr>
        <w:t>were</w:t>
      </w:r>
      <w:r w:rsidRPr="00EB2BD8">
        <w:rPr>
          <w:spacing w:val="-12"/>
        </w:rPr>
        <w:t xml:space="preserve"> </w:t>
      </w:r>
      <w:r w:rsidRPr="00EB2BD8">
        <w:rPr>
          <w:spacing w:val="-2"/>
        </w:rPr>
        <w:t>held</w:t>
      </w:r>
      <w:r w:rsidRPr="00EB2BD8">
        <w:rPr>
          <w:spacing w:val="-12"/>
        </w:rPr>
        <w:t xml:space="preserve"> </w:t>
      </w:r>
      <w:r w:rsidRPr="00EB2BD8">
        <w:rPr>
          <w:spacing w:val="-2"/>
        </w:rPr>
        <w:t>in</w:t>
      </w:r>
      <w:r w:rsidRPr="00EB2BD8">
        <w:rPr>
          <w:spacing w:val="-12"/>
        </w:rPr>
        <w:t xml:space="preserve"> </w:t>
      </w:r>
      <w:r w:rsidRPr="00EB2BD8">
        <w:rPr>
          <w:spacing w:val="-2"/>
        </w:rPr>
        <w:t>2022-23,</w:t>
      </w:r>
      <w:r w:rsidRPr="00EB2BD8">
        <w:rPr>
          <w:spacing w:val="-13"/>
        </w:rPr>
        <w:t xml:space="preserve"> </w:t>
      </w:r>
      <w:r w:rsidRPr="00EB2BD8">
        <w:rPr>
          <w:spacing w:val="-2"/>
        </w:rPr>
        <w:t>with</w:t>
      </w:r>
      <w:r w:rsidRPr="00EB2BD8">
        <w:rPr>
          <w:spacing w:val="-12"/>
        </w:rPr>
        <w:t xml:space="preserve"> </w:t>
      </w:r>
      <w:r w:rsidRPr="00EB2BD8">
        <w:rPr>
          <w:spacing w:val="-2"/>
        </w:rPr>
        <w:t xml:space="preserve">the </w:t>
      </w:r>
      <w:r w:rsidRPr="00EB2BD8">
        <w:rPr>
          <w:w w:val="105"/>
        </w:rPr>
        <w:t>committee</w:t>
      </w:r>
      <w:r w:rsidRPr="00EB2BD8">
        <w:rPr>
          <w:spacing w:val="-15"/>
          <w:w w:val="105"/>
        </w:rPr>
        <w:t xml:space="preserve"> </w:t>
      </w:r>
      <w:r w:rsidRPr="00EB2BD8">
        <w:rPr>
          <w:w w:val="105"/>
        </w:rPr>
        <w:t>received</w:t>
      </w:r>
      <w:r w:rsidRPr="00EB2BD8">
        <w:rPr>
          <w:spacing w:val="-15"/>
          <w:w w:val="105"/>
        </w:rPr>
        <w:t xml:space="preserve"> </w:t>
      </w:r>
      <w:r w:rsidRPr="00EB2BD8">
        <w:rPr>
          <w:w w:val="105"/>
        </w:rPr>
        <w:t>favourably</w:t>
      </w:r>
      <w:r w:rsidRPr="00EB2BD8">
        <w:rPr>
          <w:spacing w:val="-15"/>
          <w:w w:val="105"/>
        </w:rPr>
        <w:t xml:space="preserve"> </w:t>
      </w:r>
      <w:r w:rsidRPr="00EB2BD8">
        <w:rPr>
          <w:w w:val="105"/>
        </w:rPr>
        <w:t>by</w:t>
      </w:r>
      <w:r w:rsidRPr="00EB2BD8">
        <w:rPr>
          <w:spacing w:val="-15"/>
          <w:w w:val="105"/>
        </w:rPr>
        <w:t xml:space="preserve"> </w:t>
      </w:r>
      <w:r w:rsidRPr="00EB2BD8">
        <w:rPr>
          <w:w w:val="105"/>
        </w:rPr>
        <w:t>industry.</w:t>
      </w:r>
      <w:r w:rsidRPr="00EB2BD8">
        <w:rPr>
          <w:spacing w:val="-15"/>
          <w:w w:val="105"/>
        </w:rPr>
        <w:t xml:space="preserve"> </w:t>
      </w:r>
      <w:r w:rsidRPr="00EB2BD8">
        <w:rPr>
          <w:w w:val="105"/>
        </w:rPr>
        <w:t>At</w:t>
      </w:r>
      <w:r w:rsidRPr="00EB2BD8">
        <w:rPr>
          <w:spacing w:val="-15"/>
          <w:w w:val="105"/>
        </w:rPr>
        <w:t xml:space="preserve"> </w:t>
      </w:r>
      <w:r w:rsidRPr="00EB2BD8">
        <w:rPr>
          <w:w w:val="105"/>
        </w:rPr>
        <w:t>these meetings,</w:t>
      </w:r>
      <w:r w:rsidRPr="00EB2BD8">
        <w:rPr>
          <w:spacing w:val="-15"/>
          <w:w w:val="105"/>
        </w:rPr>
        <w:t xml:space="preserve"> </w:t>
      </w:r>
      <w:r w:rsidRPr="00EB2BD8">
        <w:rPr>
          <w:w w:val="105"/>
        </w:rPr>
        <w:t>the</w:t>
      </w:r>
      <w:r w:rsidRPr="00EB2BD8">
        <w:rPr>
          <w:spacing w:val="-15"/>
          <w:w w:val="105"/>
        </w:rPr>
        <w:t xml:space="preserve"> </w:t>
      </w:r>
      <w:r w:rsidRPr="00EB2BD8">
        <w:rPr>
          <w:w w:val="105"/>
        </w:rPr>
        <w:t>IHCC</w:t>
      </w:r>
      <w:r w:rsidRPr="00EB2BD8">
        <w:rPr>
          <w:spacing w:val="-15"/>
          <w:w w:val="105"/>
        </w:rPr>
        <w:t xml:space="preserve"> </w:t>
      </w:r>
      <w:r w:rsidRPr="00EB2BD8">
        <w:rPr>
          <w:w w:val="105"/>
        </w:rPr>
        <w:t>settled</w:t>
      </w:r>
      <w:r w:rsidRPr="00EB2BD8">
        <w:rPr>
          <w:spacing w:val="-15"/>
          <w:w w:val="105"/>
        </w:rPr>
        <w:t xml:space="preserve"> </w:t>
      </w:r>
      <w:r w:rsidRPr="00EB2BD8">
        <w:rPr>
          <w:w w:val="105"/>
        </w:rPr>
        <w:t>its</w:t>
      </w:r>
      <w:r w:rsidRPr="00EB2BD8">
        <w:rPr>
          <w:spacing w:val="-15"/>
          <w:w w:val="105"/>
        </w:rPr>
        <w:t xml:space="preserve"> </w:t>
      </w:r>
      <w:r w:rsidRPr="00EB2BD8">
        <w:rPr>
          <w:w w:val="105"/>
        </w:rPr>
        <w:t>terms</w:t>
      </w:r>
      <w:r w:rsidRPr="00EB2BD8">
        <w:rPr>
          <w:spacing w:val="-15"/>
          <w:w w:val="105"/>
        </w:rPr>
        <w:t xml:space="preserve"> </w:t>
      </w:r>
      <w:r w:rsidRPr="00EB2BD8">
        <w:rPr>
          <w:w w:val="105"/>
        </w:rPr>
        <w:t>of</w:t>
      </w:r>
      <w:r w:rsidRPr="00EB2BD8">
        <w:rPr>
          <w:spacing w:val="-15"/>
          <w:w w:val="105"/>
        </w:rPr>
        <w:t xml:space="preserve"> </w:t>
      </w:r>
      <w:r w:rsidRPr="00EB2BD8">
        <w:rPr>
          <w:w w:val="105"/>
        </w:rPr>
        <w:t>reference</w:t>
      </w:r>
      <w:r w:rsidRPr="00EB2BD8">
        <w:rPr>
          <w:spacing w:val="-15"/>
          <w:w w:val="105"/>
        </w:rPr>
        <w:t xml:space="preserve"> </w:t>
      </w:r>
      <w:r w:rsidRPr="00EB2BD8">
        <w:rPr>
          <w:w w:val="105"/>
        </w:rPr>
        <w:t xml:space="preserve">and </w:t>
      </w:r>
      <w:r w:rsidRPr="00EB2BD8">
        <w:t>discussed</w:t>
      </w:r>
      <w:r w:rsidRPr="00EB2BD8">
        <w:rPr>
          <w:spacing w:val="-5"/>
        </w:rPr>
        <w:t xml:space="preserve"> </w:t>
      </w:r>
      <w:r w:rsidRPr="00EB2BD8">
        <w:t>updates</w:t>
      </w:r>
      <w:r w:rsidRPr="00EB2BD8">
        <w:rPr>
          <w:spacing w:val="-5"/>
        </w:rPr>
        <w:t xml:space="preserve"> </w:t>
      </w:r>
      <w:r w:rsidRPr="00EB2BD8">
        <w:t>on</w:t>
      </w:r>
      <w:r w:rsidRPr="00EB2BD8">
        <w:rPr>
          <w:spacing w:val="-5"/>
        </w:rPr>
        <w:t xml:space="preserve"> </w:t>
      </w:r>
      <w:r w:rsidRPr="00EB2BD8">
        <w:t>the</w:t>
      </w:r>
      <w:r w:rsidRPr="00EB2BD8">
        <w:rPr>
          <w:spacing w:val="-5"/>
        </w:rPr>
        <w:t xml:space="preserve"> </w:t>
      </w:r>
      <w:r w:rsidRPr="00EB2BD8">
        <w:t>VBA’s</w:t>
      </w:r>
      <w:r w:rsidRPr="00EB2BD8">
        <w:rPr>
          <w:spacing w:val="-5"/>
        </w:rPr>
        <w:t xml:space="preserve"> </w:t>
      </w:r>
      <w:r w:rsidRPr="00EB2BD8">
        <w:t>process</w:t>
      </w:r>
      <w:r w:rsidRPr="00EB2BD8">
        <w:rPr>
          <w:spacing w:val="-5"/>
        </w:rPr>
        <w:t xml:space="preserve"> </w:t>
      </w:r>
      <w:r w:rsidRPr="00EB2BD8">
        <w:t>for</w:t>
      </w:r>
      <w:r w:rsidRPr="00EB2BD8">
        <w:rPr>
          <w:spacing w:val="-5"/>
        </w:rPr>
        <w:t xml:space="preserve"> </w:t>
      </w:r>
      <w:r w:rsidRPr="00EB2BD8">
        <w:t xml:space="preserve">prioritising </w:t>
      </w:r>
      <w:r w:rsidRPr="00EB2BD8">
        <w:rPr>
          <w:w w:val="105"/>
        </w:rPr>
        <w:t>harms</w:t>
      </w:r>
      <w:r w:rsidRPr="00EB2BD8">
        <w:rPr>
          <w:spacing w:val="-15"/>
          <w:w w:val="105"/>
        </w:rPr>
        <w:t xml:space="preserve"> </w:t>
      </w:r>
      <w:r w:rsidRPr="00EB2BD8">
        <w:rPr>
          <w:w w:val="105"/>
        </w:rPr>
        <w:t>and</w:t>
      </w:r>
      <w:r w:rsidRPr="00EB2BD8">
        <w:rPr>
          <w:spacing w:val="-15"/>
          <w:w w:val="105"/>
        </w:rPr>
        <w:t xml:space="preserve"> </w:t>
      </w:r>
      <w:r w:rsidRPr="00EB2BD8">
        <w:rPr>
          <w:w w:val="105"/>
        </w:rPr>
        <w:t>developing</w:t>
      </w:r>
      <w:r w:rsidRPr="00EB2BD8">
        <w:rPr>
          <w:spacing w:val="-15"/>
          <w:w w:val="105"/>
        </w:rPr>
        <w:t xml:space="preserve"> </w:t>
      </w:r>
      <w:r w:rsidRPr="00EB2BD8">
        <w:rPr>
          <w:w w:val="105"/>
        </w:rPr>
        <w:t>its</w:t>
      </w:r>
      <w:r w:rsidRPr="00EB2BD8">
        <w:rPr>
          <w:spacing w:val="-15"/>
          <w:w w:val="105"/>
        </w:rPr>
        <w:t xml:space="preserve"> </w:t>
      </w:r>
      <w:r w:rsidRPr="00EB2BD8">
        <w:rPr>
          <w:w w:val="105"/>
        </w:rPr>
        <w:t>regulatory</w:t>
      </w:r>
      <w:r w:rsidRPr="00EB2BD8">
        <w:rPr>
          <w:spacing w:val="-15"/>
          <w:w w:val="105"/>
        </w:rPr>
        <w:t xml:space="preserve"> </w:t>
      </w:r>
      <w:r w:rsidRPr="00EB2BD8">
        <w:rPr>
          <w:w w:val="105"/>
        </w:rPr>
        <w:t>priorities.</w:t>
      </w:r>
      <w:r w:rsidRPr="00EB2BD8">
        <w:rPr>
          <w:spacing w:val="-15"/>
          <w:w w:val="105"/>
        </w:rPr>
        <w:t xml:space="preserve"> </w:t>
      </w:r>
      <w:r w:rsidRPr="00EB2BD8">
        <w:rPr>
          <w:w w:val="105"/>
        </w:rPr>
        <w:t>Future meetings</w:t>
      </w:r>
      <w:r w:rsidRPr="00EB2BD8">
        <w:rPr>
          <w:spacing w:val="-14"/>
          <w:w w:val="105"/>
        </w:rPr>
        <w:t xml:space="preserve"> </w:t>
      </w:r>
      <w:r w:rsidRPr="00EB2BD8">
        <w:rPr>
          <w:w w:val="105"/>
        </w:rPr>
        <w:t>will</w:t>
      </w:r>
      <w:r w:rsidRPr="00EB2BD8">
        <w:rPr>
          <w:spacing w:val="-14"/>
          <w:w w:val="105"/>
        </w:rPr>
        <w:t xml:space="preserve"> </w:t>
      </w:r>
      <w:r w:rsidRPr="00EB2BD8">
        <w:rPr>
          <w:w w:val="105"/>
        </w:rPr>
        <w:t>look</w:t>
      </w:r>
      <w:r w:rsidRPr="00EB2BD8">
        <w:rPr>
          <w:spacing w:val="-14"/>
          <w:w w:val="105"/>
        </w:rPr>
        <w:t xml:space="preserve"> </w:t>
      </w:r>
      <w:r w:rsidRPr="00EB2BD8">
        <w:rPr>
          <w:w w:val="105"/>
        </w:rPr>
        <w:t>at</w:t>
      </w:r>
      <w:r w:rsidRPr="00EB2BD8">
        <w:rPr>
          <w:spacing w:val="-14"/>
          <w:w w:val="105"/>
        </w:rPr>
        <w:t xml:space="preserve"> </w:t>
      </w:r>
      <w:r w:rsidRPr="00EB2BD8">
        <w:rPr>
          <w:w w:val="105"/>
        </w:rPr>
        <w:t>working</w:t>
      </w:r>
      <w:r w:rsidRPr="00EB2BD8">
        <w:rPr>
          <w:spacing w:val="-14"/>
          <w:w w:val="105"/>
        </w:rPr>
        <w:t xml:space="preserve"> </w:t>
      </w:r>
      <w:r w:rsidRPr="00EB2BD8">
        <w:rPr>
          <w:w w:val="105"/>
        </w:rPr>
        <w:t>on</w:t>
      </w:r>
      <w:r w:rsidRPr="00EB2BD8">
        <w:rPr>
          <w:spacing w:val="-14"/>
          <w:w w:val="105"/>
        </w:rPr>
        <w:t xml:space="preserve"> </w:t>
      </w:r>
      <w:r w:rsidRPr="00EB2BD8">
        <w:rPr>
          <w:w w:val="105"/>
        </w:rPr>
        <w:t>the</w:t>
      </w:r>
      <w:r w:rsidRPr="00EB2BD8">
        <w:rPr>
          <w:spacing w:val="-14"/>
          <w:w w:val="105"/>
        </w:rPr>
        <w:t xml:space="preserve"> </w:t>
      </w:r>
      <w:r w:rsidRPr="00EB2BD8">
        <w:rPr>
          <w:w w:val="105"/>
        </w:rPr>
        <w:t>causation</w:t>
      </w:r>
      <w:r w:rsidRPr="00EB2BD8">
        <w:rPr>
          <w:spacing w:val="-14"/>
          <w:w w:val="105"/>
        </w:rPr>
        <w:t xml:space="preserve"> </w:t>
      </w:r>
      <w:r w:rsidRPr="00EB2BD8">
        <w:rPr>
          <w:w w:val="105"/>
        </w:rPr>
        <w:t>and consequences</w:t>
      </w:r>
      <w:r w:rsidRPr="00EB2BD8">
        <w:rPr>
          <w:spacing w:val="-6"/>
          <w:w w:val="105"/>
        </w:rPr>
        <w:t xml:space="preserve"> </w:t>
      </w:r>
      <w:r w:rsidRPr="00EB2BD8">
        <w:rPr>
          <w:w w:val="105"/>
        </w:rPr>
        <w:t>of</w:t>
      </w:r>
      <w:r w:rsidRPr="00EB2BD8">
        <w:rPr>
          <w:spacing w:val="-6"/>
          <w:w w:val="105"/>
        </w:rPr>
        <w:t xml:space="preserve"> </w:t>
      </w:r>
      <w:r w:rsidRPr="00EB2BD8">
        <w:rPr>
          <w:w w:val="105"/>
        </w:rPr>
        <w:t>harms</w:t>
      </w:r>
      <w:r w:rsidRPr="00EB2BD8">
        <w:rPr>
          <w:spacing w:val="-6"/>
          <w:w w:val="105"/>
        </w:rPr>
        <w:t xml:space="preserve"> </w:t>
      </w:r>
      <w:r w:rsidRPr="00EB2BD8">
        <w:rPr>
          <w:w w:val="105"/>
        </w:rPr>
        <w:t>and</w:t>
      </w:r>
      <w:r w:rsidRPr="00EB2BD8">
        <w:rPr>
          <w:spacing w:val="-6"/>
          <w:w w:val="105"/>
        </w:rPr>
        <w:t xml:space="preserve"> </w:t>
      </w:r>
      <w:r w:rsidRPr="00EB2BD8">
        <w:rPr>
          <w:w w:val="105"/>
        </w:rPr>
        <w:t>potential</w:t>
      </w:r>
      <w:r w:rsidRPr="00EB2BD8">
        <w:rPr>
          <w:spacing w:val="-6"/>
          <w:w w:val="105"/>
        </w:rPr>
        <w:t xml:space="preserve"> </w:t>
      </w:r>
      <w:r w:rsidRPr="00EB2BD8">
        <w:rPr>
          <w:w w:val="105"/>
        </w:rPr>
        <w:t>strategies</w:t>
      </w:r>
      <w:r w:rsidRPr="00EB2BD8">
        <w:rPr>
          <w:spacing w:val="-6"/>
          <w:w w:val="105"/>
        </w:rPr>
        <w:t xml:space="preserve"> </w:t>
      </w:r>
      <w:r w:rsidRPr="00EB2BD8">
        <w:rPr>
          <w:w w:val="105"/>
        </w:rPr>
        <w:t>to break the chain of causation.</w:t>
      </w:r>
    </w:p>
    <w:p w14:paraId="6A87100B" w14:textId="77777777" w:rsidR="00084F36" w:rsidRPr="00EB2BD8" w:rsidRDefault="00EB2BD8">
      <w:pPr>
        <w:pStyle w:val="BodyText"/>
        <w:spacing w:before="105" w:line="261" w:lineRule="auto"/>
        <w:ind w:left="471" w:right="869"/>
      </w:pPr>
      <w:r w:rsidRPr="00EB2BD8">
        <w:t>Over</w:t>
      </w:r>
      <w:r w:rsidRPr="00EB2BD8">
        <w:rPr>
          <w:spacing w:val="-7"/>
        </w:rPr>
        <w:t xml:space="preserve"> </w:t>
      </w:r>
      <w:r w:rsidRPr="00EB2BD8">
        <w:t>time,</w:t>
      </w:r>
      <w:r w:rsidRPr="00EB2BD8">
        <w:rPr>
          <w:spacing w:val="-7"/>
        </w:rPr>
        <w:t xml:space="preserve"> </w:t>
      </w:r>
      <w:r w:rsidRPr="00EB2BD8">
        <w:t>the</w:t>
      </w:r>
      <w:r w:rsidRPr="00EB2BD8">
        <w:rPr>
          <w:spacing w:val="-7"/>
        </w:rPr>
        <w:t xml:space="preserve"> </w:t>
      </w:r>
      <w:r w:rsidRPr="00EB2BD8">
        <w:t>VBA</w:t>
      </w:r>
      <w:r w:rsidRPr="00EB2BD8">
        <w:rPr>
          <w:spacing w:val="-7"/>
        </w:rPr>
        <w:t xml:space="preserve"> </w:t>
      </w:r>
      <w:r w:rsidRPr="00EB2BD8">
        <w:t>intends</w:t>
      </w:r>
      <w:r w:rsidRPr="00EB2BD8">
        <w:rPr>
          <w:spacing w:val="-7"/>
        </w:rPr>
        <w:t xml:space="preserve"> </w:t>
      </w:r>
      <w:r w:rsidRPr="00EB2BD8">
        <w:t>to</w:t>
      </w:r>
      <w:r w:rsidRPr="00EB2BD8">
        <w:rPr>
          <w:spacing w:val="-7"/>
        </w:rPr>
        <w:t xml:space="preserve"> </w:t>
      </w:r>
      <w:r w:rsidRPr="00EB2BD8">
        <w:t>enhance</w:t>
      </w:r>
      <w:r w:rsidRPr="00EB2BD8">
        <w:rPr>
          <w:spacing w:val="-7"/>
        </w:rPr>
        <w:t xml:space="preserve"> </w:t>
      </w:r>
      <w:r w:rsidRPr="00EB2BD8">
        <w:t>the</w:t>
      </w:r>
      <w:r w:rsidRPr="00EB2BD8">
        <w:rPr>
          <w:spacing w:val="-7"/>
        </w:rPr>
        <w:t xml:space="preserve"> </w:t>
      </w:r>
      <w:r w:rsidRPr="00EB2BD8">
        <w:t>IHCC</w:t>
      </w:r>
      <w:r w:rsidRPr="00EB2BD8">
        <w:rPr>
          <w:spacing w:val="-7"/>
        </w:rPr>
        <w:t xml:space="preserve"> </w:t>
      </w:r>
      <w:r w:rsidRPr="00EB2BD8">
        <w:t>with</w:t>
      </w:r>
      <w:r w:rsidRPr="00EB2BD8">
        <w:rPr>
          <w:spacing w:val="-7"/>
        </w:rPr>
        <w:t xml:space="preserve"> </w:t>
      </w:r>
      <w:r w:rsidRPr="00EB2BD8">
        <w:t>a view to working more collaboratively with industry on strategic</w:t>
      </w:r>
      <w:r w:rsidRPr="00EB2BD8">
        <w:rPr>
          <w:spacing w:val="-6"/>
        </w:rPr>
        <w:t xml:space="preserve"> </w:t>
      </w:r>
      <w:r w:rsidRPr="00EB2BD8">
        <w:t>initiatives.</w:t>
      </w:r>
    </w:p>
    <w:p w14:paraId="5A7F6A6F"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2" w:space="720" w:equalWidth="0">
            <w:col w:w="5669" w:space="40"/>
            <w:col w:w="6201"/>
          </w:cols>
        </w:sectPr>
      </w:pPr>
    </w:p>
    <w:p w14:paraId="65230880" w14:textId="7056BCEC" w:rsidR="00084F36" w:rsidRPr="00EB2BD8" w:rsidRDefault="00EB2BD8" w:rsidP="00195BB9">
      <w:pPr>
        <w:pStyle w:val="Heading1"/>
      </w:pPr>
      <w:bookmarkStart w:id="138" w:name="_Toc150762440"/>
      <w:r w:rsidRPr="00EB2BD8">
        <w:lastRenderedPageBreak/>
        <w:t>The VBA as an Effective</w:t>
      </w:r>
      <w:r w:rsidRPr="00EB2BD8">
        <w:rPr>
          <w:spacing w:val="-69"/>
        </w:rPr>
        <w:t xml:space="preserve"> </w:t>
      </w:r>
      <w:r w:rsidRPr="00EB2BD8">
        <w:t>Connector</w:t>
      </w:r>
      <w:bookmarkEnd w:id="138"/>
    </w:p>
    <w:p w14:paraId="0C0A1116" w14:textId="77777777" w:rsidR="00084F36" w:rsidRPr="00EB2BD8" w:rsidRDefault="00084F36">
      <w:pPr>
        <w:pStyle w:val="BodyText"/>
        <w:rPr>
          <w:rFonts w:ascii="Arial" w:hAnsi="Arial" w:cs="Arial"/>
          <w:bCs/>
          <w:sz w:val="20"/>
        </w:rPr>
      </w:pPr>
    </w:p>
    <w:p w14:paraId="793E32C2" w14:textId="77777777" w:rsidR="00084F36" w:rsidRPr="00EB2BD8" w:rsidRDefault="00084F36">
      <w:pPr>
        <w:pStyle w:val="BodyText"/>
        <w:rPr>
          <w:rFonts w:ascii="Arial" w:hAnsi="Arial" w:cs="Arial"/>
          <w:bCs/>
          <w:sz w:val="20"/>
        </w:rPr>
      </w:pPr>
    </w:p>
    <w:p w14:paraId="4252A819" w14:textId="77777777" w:rsidR="00EB2BD8" w:rsidRPr="00195BB9" w:rsidRDefault="00EB2BD8" w:rsidP="00195BB9">
      <w:pPr>
        <w:pStyle w:val="Heading2"/>
        <w:rPr>
          <w:b w:val="0"/>
          <w:bCs w:val="0"/>
        </w:rPr>
      </w:pPr>
      <w:bookmarkStart w:id="139" w:name="_Toc150762441"/>
      <w:r w:rsidRPr="00195BB9">
        <w:rPr>
          <w:b w:val="0"/>
          <w:bCs w:val="0"/>
          <w:spacing w:val="-8"/>
        </w:rPr>
        <w:t>We</w:t>
      </w:r>
      <w:r w:rsidRPr="00195BB9">
        <w:rPr>
          <w:b w:val="0"/>
          <w:bCs w:val="0"/>
          <w:spacing w:val="-30"/>
        </w:rPr>
        <w:t xml:space="preserve"> </w:t>
      </w:r>
      <w:r w:rsidRPr="00195BB9">
        <w:rPr>
          <w:b w:val="0"/>
          <w:bCs w:val="0"/>
          <w:spacing w:val="-8"/>
        </w:rPr>
        <w:t>have</w:t>
      </w:r>
      <w:r w:rsidRPr="00195BB9">
        <w:rPr>
          <w:b w:val="0"/>
          <w:bCs w:val="0"/>
          <w:spacing w:val="-28"/>
        </w:rPr>
        <w:t xml:space="preserve"> </w:t>
      </w:r>
      <w:r w:rsidRPr="00195BB9">
        <w:rPr>
          <w:b w:val="0"/>
          <w:bCs w:val="0"/>
          <w:spacing w:val="-8"/>
        </w:rPr>
        <w:t>a</w:t>
      </w:r>
      <w:r w:rsidRPr="00195BB9">
        <w:rPr>
          <w:b w:val="0"/>
          <w:bCs w:val="0"/>
          <w:spacing w:val="-28"/>
        </w:rPr>
        <w:t xml:space="preserve"> </w:t>
      </w:r>
      <w:r w:rsidRPr="00195BB9">
        <w:rPr>
          <w:b w:val="0"/>
          <w:bCs w:val="0"/>
          <w:spacing w:val="-8"/>
        </w:rPr>
        <w:t>unique</w:t>
      </w:r>
      <w:r w:rsidRPr="00195BB9">
        <w:rPr>
          <w:b w:val="0"/>
          <w:bCs w:val="0"/>
          <w:spacing w:val="-28"/>
        </w:rPr>
        <w:t xml:space="preserve"> </w:t>
      </w:r>
      <w:r w:rsidRPr="00195BB9">
        <w:rPr>
          <w:b w:val="0"/>
          <w:bCs w:val="0"/>
          <w:spacing w:val="-8"/>
        </w:rPr>
        <w:t xml:space="preserve">line </w:t>
      </w:r>
      <w:r w:rsidRPr="00195BB9">
        <w:rPr>
          <w:b w:val="0"/>
          <w:bCs w:val="0"/>
        </w:rPr>
        <w:t>of</w:t>
      </w:r>
      <w:r w:rsidRPr="00195BB9">
        <w:rPr>
          <w:b w:val="0"/>
          <w:bCs w:val="0"/>
          <w:spacing w:val="-16"/>
        </w:rPr>
        <w:t xml:space="preserve"> </w:t>
      </w:r>
      <w:r w:rsidRPr="00195BB9">
        <w:rPr>
          <w:b w:val="0"/>
          <w:bCs w:val="0"/>
        </w:rPr>
        <w:t>sight</w:t>
      </w:r>
      <w:r w:rsidRPr="00195BB9">
        <w:rPr>
          <w:b w:val="0"/>
          <w:bCs w:val="0"/>
          <w:spacing w:val="-16"/>
        </w:rPr>
        <w:t xml:space="preserve"> </w:t>
      </w:r>
      <w:r w:rsidRPr="00195BB9">
        <w:rPr>
          <w:b w:val="0"/>
          <w:bCs w:val="0"/>
        </w:rPr>
        <w:t>to</w:t>
      </w:r>
      <w:r w:rsidRPr="00195BB9">
        <w:rPr>
          <w:b w:val="0"/>
          <w:bCs w:val="0"/>
          <w:spacing w:val="-16"/>
        </w:rPr>
        <w:t xml:space="preserve"> </w:t>
      </w:r>
      <w:r w:rsidRPr="00195BB9">
        <w:rPr>
          <w:b w:val="0"/>
          <w:bCs w:val="0"/>
        </w:rPr>
        <w:t xml:space="preserve">Victoria’s </w:t>
      </w:r>
      <w:r w:rsidRPr="00195BB9">
        <w:rPr>
          <w:b w:val="0"/>
          <w:bCs w:val="0"/>
          <w:spacing w:val="-2"/>
        </w:rPr>
        <w:t>building</w:t>
      </w:r>
      <w:r w:rsidRPr="00195BB9">
        <w:rPr>
          <w:b w:val="0"/>
          <w:bCs w:val="0"/>
          <w:spacing w:val="-28"/>
        </w:rPr>
        <w:t xml:space="preserve"> </w:t>
      </w:r>
      <w:r w:rsidRPr="00195BB9">
        <w:rPr>
          <w:b w:val="0"/>
          <w:bCs w:val="0"/>
          <w:spacing w:val="-2"/>
        </w:rPr>
        <w:t>industry.</w:t>
      </w:r>
      <w:bookmarkEnd w:id="139"/>
    </w:p>
    <w:p w14:paraId="55486B57" w14:textId="6BB7BB56" w:rsidR="00EB2BD8" w:rsidRPr="00195BB9" w:rsidRDefault="00EB2BD8" w:rsidP="00195BB9">
      <w:pPr>
        <w:pStyle w:val="Heading2"/>
        <w:rPr>
          <w:b w:val="0"/>
          <w:bCs w:val="0"/>
        </w:rPr>
      </w:pPr>
      <w:bookmarkStart w:id="140" w:name="_Toc150762442"/>
      <w:r w:rsidRPr="00195BB9">
        <w:rPr>
          <w:b w:val="0"/>
          <w:bCs w:val="0"/>
        </w:rPr>
        <w:t>We</w:t>
      </w:r>
      <w:r w:rsidRPr="00195BB9">
        <w:rPr>
          <w:b w:val="0"/>
          <w:bCs w:val="0"/>
          <w:spacing w:val="-9"/>
        </w:rPr>
        <w:t xml:space="preserve"> </w:t>
      </w:r>
      <w:r w:rsidRPr="00195BB9">
        <w:rPr>
          <w:b w:val="0"/>
          <w:bCs w:val="0"/>
        </w:rPr>
        <w:t>use</w:t>
      </w:r>
      <w:r w:rsidRPr="00195BB9">
        <w:rPr>
          <w:b w:val="0"/>
          <w:bCs w:val="0"/>
          <w:spacing w:val="-9"/>
        </w:rPr>
        <w:t xml:space="preserve"> </w:t>
      </w:r>
      <w:r w:rsidRPr="00195BB9">
        <w:rPr>
          <w:b w:val="0"/>
          <w:bCs w:val="0"/>
        </w:rPr>
        <w:t>the</w:t>
      </w:r>
      <w:r w:rsidRPr="00195BB9">
        <w:rPr>
          <w:b w:val="0"/>
          <w:bCs w:val="0"/>
          <w:spacing w:val="-9"/>
        </w:rPr>
        <w:t xml:space="preserve"> </w:t>
      </w:r>
      <w:r w:rsidRPr="00195BB9">
        <w:rPr>
          <w:b w:val="0"/>
          <w:bCs w:val="0"/>
        </w:rPr>
        <w:t>deep</w:t>
      </w:r>
      <w:r w:rsidRPr="00195BB9">
        <w:rPr>
          <w:b w:val="0"/>
          <w:bCs w:val="0"/>
          <w:spacing w:val="-9"/>
        </w:rPr>
        <w:t xml:space="preserve"> </w:t>
      </w:r>
      <w:r w:rsidRPr="00195BB9">
        <w:rPr>
          <w:b w:val="0"/>
          <w:bCs w:val="0"/>
        </w:rPr>
        <w:t>and diverse</w:t>
      </w:r>
      <w:r w:rsidRPr="00195BB9">
        <w:rPr>
          <w:b w:val="0"/>
          <w:bCs w:val="0"/>
          <w:spacing w:val="-5"/>
        </w:rPr>
        <w:t xml:space="preserve"> </w:t>
      </w:r>
      <w:r w:rsidRPr="00195BB9">
        <w:rPr>
          <w:b w:val="0"/>
          <w:bCs w:val="0"/>
        </w:rPr>
        <w:t>expertise</w:t>
      </w:r>
      <w:r w:rsidRPr="00195BB9">
        <w:rPr>
          <w:b w:val="0"/>
          <w:bCs w:val="0"/>
          <w:spacing w:val="-5"/>
        </w:rPr>
        <w:t xml:space="preserve"> </w:t>
      </w:r>
      <w:r w:rsidRPr="00195BB9">
        <w:rPr>
          <w:b w:val="0"/>
          <w:bCs w:val="0"/>
        </w:rPr>
        <w:t xml:space="preserve">at the VBA to engage </w:t>
      </w:r>
      <w:r w:rsidR="00E13356" w:rsidRPr="00195BB9">
        <w:rPr>
          <w:b w:val="0"/>
          <w:bCs w:val="0"/>
        </w:rPr>
        <w:br/>
      </w:r>
      <w:r w:rsidRPr="00195BB9">
        <w:rPr>
          <w:b w:val="0"/>
          <w:bCs w:val="0"/>
        </w:rPr>
        <w:t>with</w:t>
      </w:r>
      <w:r w:rsidRPr="00195BB9">
        <w:rPr>
          <w:b w:val="0"/>
          <w:bCs w:val="0"/>
          <w:spacing w:val="-16"/>
        </w:rPr>
        <w:t xml:space="preserve"> </w:t>
      </w:r>
      <w:r w:rsidRPr="00195BB9">
        <w:rPr>
          <w:b w:val="0"/>
          <w:bCs w:val="0"/>
        </w:rPr>
        <w:t xml:space="preserve">consumers, government, other regulators, and </w:t>
      </w:r>
      <w:r w:rsidRPr="00195BB9">
        <w:rPr>
          <w:b w:val="0"/>
          <w:bCs w:val="0"/>
          <w:spacing w:val="-10"/>
        </w:rPr>
        <w:t>industry</w:t>
      </w:r>
      <w:r w:rsidRPr="00195BB9">
        <w:rPr>
          <w:b w:val="0"/>
          <w:bCs w:val="0"/>
          <w:spacing w:val="-26"/>
        </w:rPr>
        <w:t xml:space="preserve"> </w:t>
      </w:r>
      <w:r w:rsidRPr="00195BB9">
        <w:rPr>
          <w:b w:val="0"/>
          <w:bCs w:val="0"/>
          <w:spacing w:val="-10"/>
        </w:rPr>
        <w:t>to</w:t>
      </w:r>
      <w:r w:rsidRPr="00195BB9">
        <w:rPr>
          <w:b w:val="0"/>
          <w:bCs w:val="0"/>
          <w:spacing w:val="-26"/>
        </w:rPr>
        <w:t xml:space="preserve"> </w:t>
      </w:r>
      <w:r w:rsidR="00195BB9">
        <w:rPr>
          <w:b w:val="0"/>
          <w:bCs w:val="0"/>
          <w:spacing w:val="-26"/>
        </w:rPr>
        <w:br/>
      </w:r>
      <w:r w:rsidRPr="00195BB9">
        <w:rPr>
          <w:b w:val="0"/>
          <w:bCs w:val="0"/>
          <w:spacing w:val="-10"/>
        </w:rPr>
        <w:t xml:space="preserve">strengthen </w:t>
      </w:r>
      <w:r w:rsidRPr="00195BB9">
        <w:rPr>
          <w:b w:val="0"/>
          <w:bCs w:val="0"/>
        </w:rPr>
        <w:t xml:space="preserve">Victoria’s building </w:t>
      </w:r>
      <w:r w:rsidRPr="00195BB9">
        <w:rPr>
          <w:b w:val="0"/>
          <w:bCs w:val="0"/>
          <w:spacing w:val="-2"/>
        </w:rPr>
        <w:t>system.</w:t>
      </w:r>
      <w:r w:rsidRPr="00195BB9">
        <w:rPr>
          <w:b w:val="0"/>
          <w:bCs w:val="0"/>
          <w:spacing w:val="-28"/>
        </w:rPr>
        <w:t xml:space="preserve"> </w:t>
      </w:r>
      <w:r w:rsidRPr="00195BB9">
        <w:rPr>
          <w:b w:val="0"/>
          <w:bCs w:val="0"/>
          <w:spacing w:val="-2"/>
        </w:rPr>
        <w:t>Togethe</w:t>
      </w:r>
      <w:r w:rsidR="00E13356" w:rsidRPr="00195BB9">
        <w:rPr>
          <w:b w:val="0"/>
          <w:bCs w:val="0"/>
          <w:spacing w:val="-2"/>
        </w:rPr>
        <w:t xml:space="preserve">r, </w:t>
      </w:r>
      <w:r w:rsidRPr="00195BB9">
        <w:rPr>
          <w:b w:val="0"/>
          <w:bCs w:val="0"/>
        </w:rPr>
        <w:t>we</w:t>
      </w:r>
      <w:r w:rsidRPr="00195BB9">
        <w:rPr>
          <w:b w:val="0"/>
          <w:bCs w:val="0"/>
          <w:spacing w:val="-24"/>
        </w:rPr>
        <w:t xml:space="preserve"> </w:t>
      </w:r>
      <w:r w:rsidRPr="00195BB9">
        <w:rPr>
          <w:b w:val="0"/>
          <w:bCs w:val="0"/>
        </w:rPr>
        <w:t>span</w:t>
      </w:r>
      <w:r w:rsidRPr="00195BB9">
        <w:rPr>
          <w:b w:val="0"/>
          <w:bCs w:val="0"/>
          <w:spacing w:val="-24"/>
        </w:rPr>
        <w:t xml:space="preserve"> </w:t>
      </w:r>
      <w:r w:rsidR="00E13356" w:rsidRPr="00195BB9">
        <w:rPr>
          <w:b w:val="0"/>
          <w:bCs w:val="0"/>
          <w:spacing w:val="-24"/>
        </w:rPr>
        <w:br/>
      </w:r>
      <w:r w:rsidRPr="00195BB9">
        <w:rPr>
          <w:b w:val="0"/>
          <w:bCs w:val="0"/>
        </w:rPr>
        <w:t>boundaries, work</w:t>
      </w:r>
      <w:r w:rsidRPr="00195BB9">
        <w:rPr>
          <w:b w:val="0"/>
          <w:bCs w:val="0"/>
          <w:spacing w:val="-29"/>
        </w:rPr>
        <w:t xml:space="preserve"> </w:t>
      </w:r>
      <w:r w:rsidRPr="00195BB9">
        <w:rPr>
          <w:b w:val="0"/>
          <w:bCs w:val="0"/>
        </w:rPr>
        <w:t>towards</w:t>
      </w:r>
      <w:r w:rsidRPr="00195BB9">
        <w:rPr>
          <w:b w:val="0"/>
          <w:bCs w:val="0"/>
          <w:spacing w:val="-29"/>
        </w:rPr>
        <w:t xml:space="preserve"> </w:t>
      </w:r>
      <w:r w:rsidRPr="00195BB9">
        <w:rPr>
          <w:b w:val="0"/>
          <w:bCs w:val="0"/>
        </w:rPr>
        <w:t xml:space="preserve">shared </w:t>
      </w:r>
      <w:r w:rsidRPr="00195BB9">
        <w:rPr>
          <w:b w:val="0"/>
          <w:bCs w:val="0"/>
          <w:spacing w:val="-8"/>
        </w:rPr>
        <w:t>outcomes</w:t>
      </w:r>
      <w:r w:rsidRPr="00195BB9">
        <w:rPr>
          <w:b w:val="0"/>
          <w:bCs w:val="0"/>
          <w:spacing w:val="-27"/>
        </w:rPr>
        <w:t xml:space="preserve"> </w:t>
      </w:r>
      <w:r w:rsidRPr="00195BB9">
        <w:rPr>
          <w:b w:val="0"/>
          <w:bCs w:val="0"/>
          <w:spacing w:val="-8"/>
        </w:rPr>
        <w:t>and</w:t>
      </w:r>
      <w:r w:rsidRPr="00195BB9">
        <w:rPr>
          <w:b w:val="0"/>
          <w:bCs w:val="0"/>
          <w:spacing w:val="-27"/>
        </w:rPr>
        <w:t xml:space="preserve"> </w:t>
      </w:r>
      <w:r w:rsidRPr="00195BB9">
        <w:rPr>
          <w:b w:val="0"/>
          <w:bCs w:val="0"/>
          <w:spacing w:val="-8"/>
        </w:rPr>
        <w:t xml:space="preserve">amplify </w:t>
      </w:r>
      <w:r w:rsidRPr="00195BB9">
        <w:rPr>
          <w:b w:val="0"/>
          <w:bCs w:val="0"/>
        </w:rPr>
        <w:t>our</w:t>
      </w:r>
      <w:r w:rsidRPr="00195BB9">
        <w:rPr>
          <w:b w:val="0"/>
          <w:bCs w:val="0"/>
          <w:spacing w:val="-2"/>
        </w:rPr>
        <w:t xml:space="preserve"> </w:t>
      </w:r>
      <w:r w:rsidR="00E13356" w:rsidRPr="00195BB9">
        <w:rPr>
          <w:b w:val="0"/>
          <w:bCs w:val="0"/>
          <w:spacing w:val="-2"/>
        </w:rPr>
        <w:br/>
      </w:r>
      <w:r w:rsidRPr="00195BB9">
        <w:rPr>
          <w:b w:val="0"/>
          <w:bCs w:val="0"/>
        </w:rPr>
        <w:t>positive</w:t>
      </w:r>
      <w:r w:rsidRPr="00195BB9">
        <w:rPr>
          <w:b w:val="0"/>
          <w:bCs w:val="0"/>
          <w:spacing w:val="-2"/>
        </w:rPr>
        <w:t xml:space="preserve"> </w:t>
      </w:r>
      <w:r w:rsidRPr="00195BB9">
        <w:rPr>
          <w:b w:val="0"/>
          <w:bCs w:val="0"/>
        </w:rPr>
        <w:t>impact.</w:t>
      </w:r>
      <w:bookmarkEnd w:id="140"/>
    </w:p>
    <w:p w14:paraId="622E3E67" w14:textId="77777777" w:rsidR="00084F36" w:rsidRPr="00195BB9" w:rsidRDefault="00084F36" w:rsidP="00195BB9">
      <w:pPr>
        <w:pStyle w:val="Heading2"/>
        <w:rPr>
          <w:b w:val="0"/>
          <w:bCs w:val="0"/>
          <w:sz w:val="20"/>
        </w:rPr>
      </w:pPr>
    </w:p>
    <w:p w14:paraId="231CCE0F" w14:textId="77777777" w:rsidR="00084F36" w:rsidRPr="00EB2BD8" w:rsidRDefault="00084F36">
      <w:pPr>
        <w:pStyle w:val="BodyText"/>
        <w:rPr>
          <w:rFonts w:ascii="Arial" w:hAnsi="Arial" w:cs="Arial"/>
          <w:bCs/>
          <w:sz w:val="20"/>
        </w:rPr>
      </w:pPr>
    </w:p>
    <w:p w14:paraId="2319EAB8" w14:textId="77777777" w:rsidR="00084F36" w:rsidRPr="00EB2BD8" w:rsidRDefault="00084F36">
      <w:pPr>
        <w:pStyle w:val="BodyText"/>
        <w:rPr>
          <w:rFonts w:ascii="Arial" w:hAnsi="Arial" w:cs="Arial"/>
          <w:bCs/>
          <w:sz w:val="20"/>
        </w:rPr>
      </w:pPr>
    </w:p>
    <w:p w14:paraId="344E6372" w14:textId="77777777" w:rsidR="00084F36" w:rsidRPr="00EB2BD8" w:rsidRDefault="00084F36">
      <w:pPr>
        <w:pStyle w:val="BodyText"/>
        <w:rPr>
          <w:rFonts w:ascii="Arial" w:hAnsi="Arial" w:cs="Arial"/>
          <w:bCs/>
          <w:sz w:val="20"/>
        </w:rPr>
      </w:pPr>
    </w:p>
    <w:p w14:paraId="3E49D4A5" w14:textId="77777777" w:rsidR="00084F36" w:rsidRPr="00EB2BD8" w:rsidRDefault="00084F36">
      <w:pPr>
        <w:pStyle w:val="BodyText"/>
        <w:rPr>
          <w:rFonts w:ascii="Arial" w:hAnsi="Arial" w:cs="Arial"/>
          <w:bCs/>
          <w:sz w:val="20"/>
        </w:rPr>
      </w:pPr>
    </w:p>
    <w:p w14:paraId="316F9BAE" w14:textId="77777777" w:rsidR="00084F36" w:rsidRPr="00EB2BD8" w:rsidRDefault="00084F36">
      <w:pPr>
        <w:pStyle w:val="BodyText"/>
        <w:rPr>
          <w:rFonts w:ascii="Tahoma"/>
          <w:b/>
          <w:sz w:val="20"/>
        </w:rPr>
      </w:pPr>
    </w:p>
    <w:p w14:paraId="21B41E9B" w14:textId="77777777" w:rsidR="00084F36" w:rsidRPr="00EB2BD8" w:rsidRDefault="00084F36">
      <w:pPr>
        <w:pStyle w:val="BodyText"/>
        <w:rPr>
          <w:rFonts w:ascii="Tahoma"/>
          <w:b/>
          <w:sz w:val="20"/>
        </w:rPr>
      </w:pPr>
    </w:p>
    <w:p w14:paraId="1606E339" w14:textId="77777777" w:rsidR="00084F36" w:rsidRPr="00EB2BD8" w:rsidRDefault="00084F36">
      <w:pPr>
        <w:pStyle w:val="BodyText"/>
        <w:rPr>
          <w:rFonts w:ascii="Tahoma"/>
          <w:b/>
          <w:sz w:val="20"/>
        </w:rPr>
      </w:pPr>
    </w:p>
    <w:p w14:paraId="2147BD0D" w14:textId="77777777" w:rsidR="00084F36" w:rsidRPr="00EB2BD8" w:rsidRDefault="00084F36">
      <w:pPr>
        <w:pStyle w:val="BodyText"/>
        <w:rPr>
          <w:rFonts w:ascii="Tahoma"/>
          <w:b/>
          <w:sz w:val="20"/>
        </w:rPr>
      </w:pPr>
    </w:p>
    <w:p w14:paraId="582C702A" w14:textId="77777777" w:rsidR="00084F36" w:rsidRPr="00EB2BD8" w:rsidRDefault="00084F36">
      <w:pPr>
        <w:pStyle w:val="BodyText"/>
        <w:rPr>
          <w:rFonts w:ascii="Tahoma"/>
          <w:b/>
          <w:sz w:val="20"/>
        </w:rPr>
      </w:pPr>
    </w:p>
    <w:p w14:paraId="3BD7F04C" w14:textId="77777777" w:rsidR="00084F36" w:rsidRPr="00EB2BD8" w:rsidRDefault="00084F36">
      <w:pPr>
        <w:pStyle w:val="BodyText"/>
        <w:rPr>
          <w:rFonts w:ascii="Tahoma"/>
          <w:b/>
          <w:sz w:val="20"/>
        </w:rPr>
      </w:pPr>
    </w:p>
    <w:p w14:paraId="662A62CE" w14:textId="77777777" w:rsidR="00084F36" w:rsidRPr="00EB2BD8" w:rsidRDefault="00084F36">
      <w:pPr>
        <w:pStyle w:val="BodyText"/>
        <w:rPr>
          <w:rFonts w:ascii="Tahoma"/>
          <w:b/>
          <w:sz w:val="20"/>
        </w:rPr>
      </w:pPr>
    </w:p>
    <w:p w14:paraId="031D78D1" w14:textId="564AC9F0" w:rsidR="00084F36" w:rsidRPr="00EB2BD8" w:rsidRDefault="00084F36">
      <w:pPr>
        <w:pStyle w:val="BodyText"/>
        <w:spacing w:before="6"/>
        <w:rPr>
          <w:rFonts w:ascii="Tahoma"/>
          <w:b/>
        </w:rPr>
      </w:pPr>
    </w:p>
    <w:p w14:paraId="1CB0A6B2" w14:textId="77777777" w:rsidR="00084F36" w:rsidRPr="00EB2BD8" w:rsidRDefault="00084F36">
      <w:pPr>
        <w:pStyle w:val="BodyText"/>
        <w:rPr>
          <w:rFonts w:ascii="Tahoma"/>
          <w:b/>
          <w:sz w:val="20"/>
        </w:rPr>
      </w:pPr>
    </w:p>
    <w:p w14:paraId="3FF7BA0E" w14:textId="77777777" w:rsidR="00084F36" w:rsidRPr="00EB2BD8" w:rsidRDefault="00084F36">
      <w:pPr>
        <w:pStyle w:val="BodyText"/>
        <w:rPr>
          <w:rFonts w:ascii="Tahoma"/>
          <w:b/>
          <w:sz w:val="20"/>
        </w:rPr>
      </w:pPr>
    </w:p>
    <w:p w14:paraId="646870BD" w14:textId="77777777" w:rsidR="00084F36" w:rsidRPr="00EB2BD8" w:rsidRDefault="00084F36">
      <w:pPr>
        <w:rPr>
          <w:sz w:val="16"/>
        </w:rPr>
        <w:sectPr w:rsidR="00084F36" w:rsidRPr="00EB2BD8" w:rsidSect="0019412D">
          <w:headerReference w:type="even" r:id="rId161"/>
          <w:footerReference w:type="even" r:id="rId162"/>
          <w:footerReference w:type="default" r:id="rId163"/>
          <w:pgSz w:w="11910" w:h="16840"/>
          <w:pgMar w:top="1920" w:right="0" w:bottom="280" w:left="0" w:header="0" w:footer="510" w:gutter="0"/>
          <w:cols w:space="720"/>
          <w:docGrid w:linePitch="299"/>
        </w:sectPr>
      </w:pPr>
    </w:p>
    <w:p w14:paraId="15B9DE9A" w14:textId="75899B9C" w:rsidR="00084F36" w:rsidRPr="00EB2BD8" w:rsidRDefault="00084F36">
      <w:pPr>
        <w:pStyle w:val="BodyText"/>
        <w:rPr>
          <w:b/>
          <w:sz w:val="20"/>
        </w:rPr>
      </w:pPr>
    </w:p>
    <w:p w14:paraId="169D688E" w14:textId="77777777" w:rsidR="00084F36" w:rsidRPr="00EB2BD8" w:rsidRDefault="00084F36">
      <w:pPr>
        <w:pStyle w:val="BodyText"/>
        <w:rPr>
          <w:b/>
          <w:sz w:val="20"/>
        </w:rPr>
      </w:pPr>
    </w:p>
    <w:p w14:paraId="2FC0C250" w14:textId="77777777" w:rsidR="00084F36" w:rsidRPr="00EB2BD8" w:rsidRDefault="00084F36">
      <w:pPr>
        <w:pStyle w:val="BodyText"/>
        <w:rPr>
          <w:b/>
          <w:sz w:val="20"/>
        </w:rPr>
      </w:pPr>
    </w:p>
    <w:p w14:paraId="10EB4FC8" w14:textId="77777777" w:rsidR="00084F36" w:rsidRPr="00EB2BD8" w:rsidRDefault="00084F36">
      <w:pPr>
        <w:pStyle w:val="BodyText"/>
        <w:rPr>
          <w:b/>
          <w:sz w:val="20"/>
        </w:rPr>
      </w:pPr>
    </w:p>
    <w:p w14:paraId="2E606188" w14:textId="77777777" w:rsidR="00084F36" w:rsidRPr="00EB2BD8" w:rsidRDefault="00084F36">
      <w:pPr>
        <w:rPr>
          <w:sz w:val="20"/>
        </w:rPr>
        <w:sectPr w:rsidR="00084F36" w:rsidRPr="00EB2BD8" w:rsidSect="006D75B2">
          <w:headerReference w:type="even" r:id="rId164"/>
          <w:headerReference w:type="default" r:id="rId165"/>
          <w:footerReference w:type="even" r:id="rId166"/>
          <w:footerReference w:type="default" r:id="rId167"/>
          <w:pgSz w:w="11910" w:h="16840"/>
          <w:pgMar w:top="1080" w:right="0" w:bottom="720" w:left="0" w:header="0" w:footer="528" w:gutter="0"/>
          <w:pgNumType w:start="59"/>
          <w:cols w:space="720"/>
        </w:sectPr>
      </w:pPr>
    </w:p>
    <w:p w14:paraId="428A68E3" w14:textId="28A4BF73" w:rsidR="00084F36" w:rsidRPr="00EB2BD8" w:rsidRDefault="00EB2BD8" w:rsidP="00EB2BD8">
      <w:pPr>
        <w:pStyle w:val="Heading2"/>
      </w:pPr>
      <w:bookmarkStart w:id="141" w:name="_Toc150762443"/>
      <w:r w:rsidRPr="00EB2BD8">
        <w:t>NCC2022</w:t>
      </w:r>
      <w:r w:rsidRPr="00EB2BD8">
        <w:rPr>
          <w:spacing w:val="-20"/>
        </w:rPr>
        <w:t xml:space="preserve"> </w:t>
      </w:r>
      <w:r w:rsidRPr="00EB2BD8">
        <w:t>implementation</w:t>
      </w:r>
      <w:r w:rsidRPr="00EB2BD8">
        <w:rPr>
          <w:spacing w:val="-20"/>
        </w:rPr>
        <w:t xml:space="preserve"> </w:t>
      </w:r>
      <w:r w:rsidRPr="00EB2BD8">
        <w:t xml:space="preserve">and </w:t>
      </w:r>
      <w:r w:rsidRPr="00EB2BD8">
        <w:rPr>
          <w:spacing w:val="-2"/>
        </w:rPr>
        <w:t>Roadshow</w:t>
      </w:r>
      <w:bookmarkEnd w:id="141"/>
    </w:p>
    <w:p w14:paraId="52E69512" w14:textId="77777777" w:rsidR="00084F36" w:rsidRPr="00EB2BD8" w:rsidRDefault="00EB2BD8">
      <w:pPr>
        <w:pStyle w:val="BodyText"/>
        <w:spacing w:before="174" w:line="261" w:lineRule="auto"/>
        <w:ind w:left="811" w:right="81"/>
      </w:pPr>
      <w:r w:rsidRPr="00EB2BD8">
        <w:t>The National Construction Code (NCC) sets out the requirements for the design and construction of a building</w:t>
      </w:r>
      <w:r w:rsidRPr="00EB2BD8">
        <w:rPr>
          <w:spacing w:val="-12"/>
        </w:rPr>
        <w:t xml:space="preserve"> </w:t>
      </w:r>
      <w:r w:rsidRPr="00EB2BD8">
        <w:t>in</w:t>
      </w:r>
      <w:r w:rsidRPr="00EB2BD8">
        <w:rPr>
          <w:spacing w:val="-12"/>
        </w:rPr>
        <w:t xml:space="preserve"> </w:t>
      </w:r>
      <w:r w:rsidRPr="00EB2BD8">
        <w:t>Australia,</w:t>
      </w:r>
      <w:r w:rsidRPr="00EB2BD8">
        <w:rPr>
          <w:spacing w:val="-12"/>
        </w:rPr>
        <w:t xml:space="preserve"> </w:t>
      </w:r>
      <w:r w:rsidRPr="00EB2BD8">
        <w:t>including</w:t>
      </w:r>
      <w:r w:rsidRPr="00EB2BD8">
        <w:rPr>
          <w:spacing w:val="-12"/>
        </w:rPr>
        <w:t xml:space="preserve"> </w:t>
      </w:r>
      <w:r w:rsidRPr="00EB2BD8">
        <w:t>plumbing</w:t>
      </w:r>
      <w:r w:rsidRPr="00EB2BD8">
        <w:rPr>
          <w:spacing w:val="-12"/>
        </w:rPr>
        <w:t xml:space="preserve"> </w:t>
      </w:r>
      <w:r w:rsidRPr="00EB2BD8">
        <w:t>and</w:t>
      </w:r>
      <w:r w:rsidRPr="00EB2BD8">
        <w:rPr>
          <w:spacing w:val="-12"/>
        </w:rPr>
        <w:t xml:space="preserve"> </w:t>
      </w:r>
      <w:r w:rsidRPr="00EB2BD8">
        <w:t>drainage work.</w:t>
      </w:r>
      <w:r w:rsidRPr="00EB2BD8">
        <w:rPr>
          <w:spacing w:val="-12"/>
        </w:rPr>
        <w:t xml:space="preserve"> </w:t>
      </w:r>
      <w:r w:rsidRPr="00EB2BD8">
        <w:t>It</w:t>
      </w:r>
      <w:r w:rsidRPr="00EB2BD8">
        <w:rPr>
          <w:spacing w:val="-12"/>
        </w:rPr>
        <w:t xml:space="preserve"> </w:t>
      </w:r>
      <w:r w:rsidRPr="00EB2BD8">
        <w:t>sets</w:t>
      </w:r>
      <w:r w:rsidRPr="00EB2BD8">
        <w:rPr>
          <w:spacing w:val="-12"/>
        </w:rPr>
        <w:t xml:space="preserve"> </w:t>
      </w:r>
      <w:r w:rsidRPr="00EB2BD8">
        <w:t>the</w:t>
      </w:r>
      <w:r w:rsidRPr="00EB2BD8">
        <w:rPr>
          <w:spacing w:val="-12"/>
        </w:rPr>
        <w:t xml:space="preserve"> </w:t>
      </w:r>
      <w:r w:rsidRPr="00EB2BD8">
        <w:t>minimum</w:t>
      </w:r>
      <w:r w:rsidRPr="00EB2BD8">
        <w:rPr>
          <w:spacing w:val="-12"/>
        </w:rPr>
        <w:t xml:space="preserve"> </w:t>
      </w:r>
      <w:r w:rsidRPr="00EB2BD8">
        <w:t>required</w:t>
      </w:r>
      <w:r w:rsidRPr="00EB2BD8">
        <w:rPr>
          <w:spacing w:val="-12"/>
        </w:rPr>
        <w:t xml:space="preserve"> </w:t>
      </w:r>
      <w:r w:rsidRPr="00EB2BD8">
        <w:t>level</w:t>
      </w:r>
      <w:r w:rsidRPr="00EB2BD8">
        <w:rPr>
          <w:spacing w:val="-12"/>
        </w:rPr>
        <w:t xml:space="preserve"> </w:t>
      </w:r>
      <w:r w:rsidRPr="00EB2BD8">
        <w:t>for</w:t>
      </w:r>
      <w:r w:rsidRPr="00EB2BD8">
        <w:rPr>
          <w:spacing w:val="-12"/>
        </w:rPr>
        <w:t xml:space="preserve"> </w:t>
      </w:r>
      <w:r w:rsidRPr="00EB2BD8">
        <w:t>the</w:t>
      </w:r>
      <w:r w:rsidRPr="00EB2BD8">
        <w:rPr>
          <w:spacing w:val="-12"/>
        </w:rPr>
        <w:t xml:space="preserve"> </w:t>
      </w:r>
      <w:r w:rsidRPr="00EB2BD8">
        <w:t>safety, health, amenity, accessibility and sustainability of certain</w:t>
      </w:r>
      <w:r w:rsidRPr="00EB2BD8">
        <w:rPr>
          <w:spacing w:val="-6"/>
        </w:rPr>
        <w:t xml:space="preserve"> </w:t>
      </w:r>
      <w:r w:rsidRPr="00EB2BD8">
        <w:t>buildings.</w:t>
      </w:r>
    </w:p>
    <w:p w14:paraId="72F1ADC0" w14:textId="77777777" w:rsidR="00084F36" w:rsidRPr="00EB2BD8" w:rsidRDefault="00EB2BD8">
      <w:pPr>
        <w:pStyle w:val="BodyText"/>
        <w:spacing w:before="107" w:line="261" w:lineRule="auto"/>
        <w:ind w:left="811" w:right="81"/>
      </w:pPr>
      <w:r w:rsidRPr="00EB2BD8">
        <w:t>The Australian Building Codes Board (ABCB) produces and maintains the NCC on behalf of the Australian state and territory governments.</w:t>
      </w:r>
    </w:p>
    <w:p w14:paraId="3CA39344" w14:textId="77777777" w:rsidR="00084F36" w:rsidRPr="00EB2BD8" w:rsidRDefault="00EB2BD8">
      <w:pPr>
        <w:pStyle w:val="BodyText"/>
        <w:spacing w:before="111" w:line="261" w:lineRule="auto"/>
        <w:ind w:left="811" w:right="81"/>
      </w:pPr>
      <w:r w:rsidRPr="00EB2BD8">
        <w:t xml:space="preserve">Updated every three years, NCC 2022 was published </w:t>
      </w:r>
      <w:r w:rsidRPr="00EB2BD8">
        <w:rPr>
          <w:spacing w:val="-4"/>
        </w:rPr>
        <w:t>on</w:t>
      </w:r>
      <w:r w:rsidRPr="00EB2BD8">
        <w:rPr>
          <w:spacing w:val="-7"/>
        </w:rPr>
        <w:t xml:space="preserve"> </w:t>
      </w:r>
      <w:r w:rsidRPr="00EB2BD8">
        <w:rPr>
          <w:spacing w:val="-4"/>
        </w:rPr>
        <w:t>1</w:t>
      </w:r>
      <w:r w:rsidRPr="00EB2BD8">
        <w:rPr>
          <w:spacing w:val="-7"/>
        </w:rPr>
        <w:t xml:space="preserve"> </w:t>
      </w:r>
      <w:r w:rsidRPr="00EB2BD8">
        <w:rPr>
          <w:spacing w:val="-4"/>
        </w:rPr>
        <w:t>October</w:t>
      </w:r>
      <w:r w:rsidRPr="00EB2BD8">
        <w:rPr>
          <w:spacing w:val="-7"/>
        </w:rPr>
        <w:t xml:space="preserve"> </w:t>
      </w:r>
      <w:r w:rsidRPr="00EB2BD8">
        <w:rPr>
          <w:spacing w:val="-4"/>
        </w:rPr>
        <w:t>2022</w:t>
      </w:r>
      <w:r w:rsidRPr="00EB2BD8">
        <w:rPr>
          <w:spacing w:val="-7"/>
        </w:rPr>
        <w:t xml:space="preserve"> </w:t>
      </w:r>
      <w:r w:rsidRPr="00EB2BD8">
        <w:rPr>
          <w:spacing w:val="-4"/>
        </w:rPr>
        <w:t>and</w:t>
      </w:r>
      <w:r w:rsidRPr="00EB2BD8">
        <w:rPr>
          <w:spacing w:val="-7"/>
        </w:rPr>
        <w:t xml:space="preserve"> </w:t>
      </w:r>
      <w:r w:rsidRPr="00EB2BD8">
        <w:rPr>
          <w:spacing w:val="-4"/>
        </w:rPr>
        <w:t>adopted,</w:t>
      </w:r>
      <w:r w:rsidRPr="00EB2BD8">
        <w:rPr>
          <w:spacing w:val="-7"/>
        </w:rPr>
        <w:t xml:space="preserve"> </w:t>
      </w:r>
      <w:r w:rsidRPr="00EB2BD8">
        <w:rPr>
          <w:spacing w:val="-4"/>
        </w:rPr>
        <w:t>in</w:t>
      </w:r>
      <w:r w:rsidRPr="00EB2BD8">
        <w:rPr>
          <w:spacing w:val="-7"/>
        </w:rPr>
        <w:t xml:space="preserve"> </w:t>
      </w:r>
      <w:r w:rsidRPr="00EB2BD8">
        <w:rPr>
          <w:spacing w:val="-4"/>
        </w:rPr>
        <w:t>part,</w:t>
      </w:r>
      <w:r w:rsidRPr="00EB2BD8">
        <w:rPr>
          <w:spacing w:val="-7"/>
        </w:rPr>
        <w:t xml:space="preserve"> </w:t>
      </w:r>
      <w:r w:rsidRPr="00EB2BD8">
        <w:rPr>
          <w:spacing w:val="-4"/>
        </w:rPr>
        <w:t>in</w:t>
      </w:r>
      <w:r w:rsidRPr="00EB2BD8">
        <w:rPr>
          <w:spacing w:val="-7"/>
        </w:rPr>
        <w:t xml:space="preserve"> </w:t>
      </w:r>
      <w:r w:rsidRPr="00EB2BD8">
        <w:rPr>
          <w:spacing w:val="-4"/>
        </w:rPr>
        <w:t>Victoria</w:t>
      </w:r>
      <w:r w:rsidRPr="00EB2BD8">
        <w:rPr>
          <w:spacing w:val="-7"/>
        </w:rPr>
        <w:t xml:space="preserve"> </w:t>
      </w:r>
      <w:r w:rsidRPr="00EB2BD8">
        <w:rPr>
          <w:spacing w:val="-4"/>
        </w:rPr>
        <w:t>on</w:t>
      </w:r>
      <w:r w:rsidRPr="00EB2BD8">
        <w:rPr>
          <w:spacing w:val="-7"/>
        </w:rPr>
        <w:t xml:space="preserve"> </w:t>
      </w:r>
      <w:r w:rsidRPr="00EB2BD8">
        <w:rPr>
          <w:spacing w:val="-4"/>
        </w:rPr>
        <w:t xml:space="preserve">1 </w:t>
      </w:r>
      <w:r w:rsidRPr="00EB2BD8">
        <w:t>May</w:t>
      </w:r>
      <w:r w:rsidRPr="00EB2BD8">
        <w:rPr>
          <w:spacing w:val="-6"/>
        </w:rPr>
        <w:t xml:space="preserve"> </w:t>
      </w:r>
      <w:r w:rsidRPr="00EB2BD8">
        <w:t>2023.</w:t>
      </w:r>
    </w:p>
    <w:p w14:paraId="6A555C8F" w14:textId="77777777" w:rsidR="00084F36" w:rsidRPr="00EB2BD8" w:rsidRDefault="00EB2BD8">
      <w:pPr>
        <w:pStyle w:val="BodyText"/>
        <w:spacing w:before="110" w:line="261" w:lineRule="auto"/>
        <w:ind w:left="811" w:right="7"/>
      </w:pPr>
      <w:r w:rsidRPr="00EB2BD8">
        <w:t xml:space="preserve">NCC 2022 includes a transition for energy efficiency, livable housing and condensation management, which </w:t>
      </w:r>
      <w:r w:rsidRPr="00EB2BD8">
        <w:rPr>
          <w:spacing w:val="-2"/>
        </w:rPr>
        <w:t>is</w:t>
      </w:r>
      <w:r w:rsidRPr="00EB2BD8">
        <w:rPr>
          <w:spacing w:val="-9"/>
        </w:rPr>
        <w:t xml:space="preserve"> </w:t>
      </w:r>
      <w:r w:rsidRPr="00EB2BD8">
        <w:rPr>
          <w:spacing w:val="-2"/>
        </w:rPr>
        <w:t>currently</w:t>
      </w:r>
      <w:r w:rsidRPr="00EB2BD8">
        <w:rPr>
          <w:spacing w:val="-9"/>
        </w:rPr>
        <w:t xml:space="preserve"> </w:t>
      </w:r>
      <w:r w:rsidRPr="00EB2BD8">
        <w:rPr>
          <w:spacing w:val="-2"/>
        </w:rPr>
        <w:t>proposed</w:t>
      </w:r>
      <w:r w:rsidRPr="00EB2BD8">
        <w:rPr>
          <w:spacing w:val="-9"/>
        </w:rPr>
        <w:t xml:space="preserve"> </w:t>
      </w:r>
      <w:r w:rsidRPr="00EB2BD8">
        <w:rPr>
          <w:spacing w:val="-2"/>
        </w:rPr>
        <w:t>to</w:t>
      </w:r>
      <w:r w:rsidRPr="00EB2BD8">
        <w:rPr>
          <w:spacing w:val="-9"/>
        </w:rPr>
        <w:t xml:space="preserve"> </w:t>
      </w:r>
      <w:r w:rsidRPr="00EB2BD8">
        <w:rPr>
          <w:spacing w:val="-2"/>
        </w:rPr>
        <w:t>be</w:t>
      </w:r>
      <w:r w:rsidRPr="00EB2BD8">
        <w:rPr>
          <w:spacing w:val="-9"/>
        </w:rPr>
        <w:t xml:space="preserve"> </w:t>
      </w:r>
      <w:r w:rsidRPr="00EB2BD8">
        <w:rPr>
          <w:spacing w:val="-2"/>
        </w:rPr>
        <w:t>adopted</w:t>
      </w:r>
      <w:r w:rsidRPr="00EB2BD8">
        <w:rPr>
          <w:spacing w:val="-9"/>
        </w:rPr>
        <w:t xml:space="preserve"> </w:t>
      </w:r>
      <w:r w:rsidRPr="00EB2BD8">
        <w:rPr>
          <w:spacing w:val="-2"/>
        </w:rPr>
        <w:t>on</w:t>
      </w:r>
      <w:r w:rsidRPr="00EB2BD8">
        <w:rPr>
          <w:spacing w:val="-9"/>
        </w:rPr>
        <w:t xml:space="preserve"> </w:t>
      </w:r>
      <w:r w:rsidRPr="00EB2BD8">
        <w:rPr>
          <w:spacing w:val="-2"/>
          <w:w w:val="95"/>
        </w:rPr>
        <w:t>1</w:t>
      </w:r>
      <w:r w:rsidRPr="00EB2BD8">
        <w:rPr>
          <w:spacing w:val="-7"/>
          <w:w w:val="95"/>
        </w:rPr>
        <w:t xml:space="preserve"> </w:t>
      </w:r>
      <w:r w:rsidRPr="00EB2BD8">
        <w:rPr>
          <w:spacing w:val="-2"/>
        </w:rPr>
        <w:t>May</w:t>
      </w:r>
      <w:r w:rsidRPr="00EB2BD8">
        <w:rPr>
          <w:spacing w:val="-9"/>
        </w:rPr>
        <w:t xml:space="preserve"> </w:t>
      </w:r>
      <w:r w:rsidRPr="00EB2BD8">
        <w:rPr>
          <w:spacing w:val="-2"/>
        </w:rPr>
        <w:t>2024.</w:t>
      </w:r>
      <w:r w:rsidRPr="00EB2BD8">
        <w:rPr>
          <w:spacing w:val="-9"/>
        </w:rPr>
        <w:t xml:space="preserve"> </w:t>
      </w:r>
      <w:r w:rsidRPr="00EB2BD8">
        <w:rPr>
          <w:spacing w:val="-2"/>
        </w:rPr>
        <w:t xml:space="preserve">New </w:t>
      </w:r>
      <w:r w:rsidRPr="00EB2BD8">
        <w:t xml:space="preserve">lead free plumbing product requirements is proposed to be adopted on </w:t>
      </w:r>
      <w:r w:rsidRPr="00EB2BD8">
        <w:rPr>
          <w:w w:val="95"/>
        </w:rPr>
        <w:t xml:space="preserve">1 </w:t>
      </w:r>
      <w:r w:rsidRPr="00EB2BD8">
        <w:t>May 2026.</w:t>
      </w:r>
    </w:p>
    <w:p w14:paraId="67CCD761" w14:textId="77777777" w:rsidR="00084F36" w:rsidRPr="00EB2BD8" w:rsidRDefault="00EB2BD8">
      <w:pPr>
        <w:pStyle w:val="BodyText"/>
        <w:spacing w:before="108" w:line="261" w:lineRule="auto"/>
        <w:ind w:left="811"/>
      </w:pPr>
      <w:r w:rsidRPr="00EB2BD8">
        <w:t>The VBA prepared our people and building and plumbing practitioners for the most significant amendments to the NCC since its inception in 1996. Guidance materials enabling practitioners to better navigate NCC 2022 were published and shared with practitioners</w:t>
      </w:r>
      <w:r w:rsidRPr="00EB2BD8">
        <w:rPr>
          <w:spacing w:val="-1"/>
        </w:rPr>
        <w:t xml:space="preserve"> </w:t>
      </w:r>
      <w:r w:rsidRPr="00EB2BD8">
        <w:t>and</w:t>
      </w:r>
      <w:r w:rsidRPr="00EB2BD8">
        <w:rPr>
          <w:spacing w:val="-1"/>
        </w:rPr>
        <w:t xml:space="preserve"> </w:t>
      </w:r>
      <w:r w:rsidRPr="00EB2BD8">
        <w:t>consumers</w:t>
      </w:r>
      <w:r w:rsidRPr="00EB2BD8">
        <w:rPr>
          <w:spacing w:val="-1"/>
        </w:rPr>
        <w:t xml:space="preserve"> </w:t>
      </w:r>
      <w:r w:rsidRPr="00EB2BD8">
        <w:t>ahead</w:t>
      </w:r>
      <w:r w:rsidRPr="00EB2BD8">
        <w:rPr>
          <w:spacing w:val="-1"/>
        </w:rPr>
        <w:t xml:space="preserve"> </w:t>
      </w:r>
      <w:r w:rsidRPr="00EB2BD8">
        <w:t>of</w:t>
      </w:r>
      <w:r w:rsidRPr="00EB2BD8">
        <w:rPr>
          <w:spacing w:val="-1"/>
        </w:rPr>
        <w:t xml:space="preserve"> </w:t>
      </w:r>
      <w:r w:rsidRPr="00EB2BD8">
        <w:t>their</w:t>
      </w:r>
      <w:r w:rsidRPr="00EB2BD8">
        <w:rPr>
          <w:spacing w:val="-1"/>
        </w:rPr>
        <w:t xml:space="preserve"> </w:t>
      </w:r>
      <w:r w:rsidRPr="00EB2BD8">
        <w:t>adoption</w:t>
      </w:r>
      <w:r w:rsidRPr="00EB2BD8">
        <w:rPr>
          <w:spacing w:val="-1"/>
        </w:rPr>
        <w:t xml:space="preserve"> </w:t>
      </w:r>
      <w:r w:rsidRPr="00EB2BD8">
        <w:t xml:space="preserve">in </w:t>
      </w:r>
      <w:r w:rsidRPr="00EB2BD8">
        <w:rPr>
          <w:spacing w:val="-2"/>
        </w:rPr>
        <w:t>Victoria.</w:t>
      </w:r>
    </w:p>
    <w:p w14:paraId="386F80A0" w14:textId="77777777" w:rsidR="00084F36" w:rsidRPr="00EB2BD8" w:rsidRDefault="00EB2BD8">
      <w:pPr>
        <w:pStyle w:val="BodyText"/>
        <w:spacing w:before="106" w:line="261" w:lineRule="auto"/>
        <w:ind w:left="811" w:right="81"/>
      </w:pPr>
      <w:r w:rsidRPr="00EB2BD8">
        <w:t>The VBA undertook numerous initiatives during the year</w:t>
      </w:r>
      <w:r w:rsidRPr="00EB2BD8">
        <w:rPr>
          <w:spacing w:val="-10"/>
        </w:rPr>
        <w:t xml:space="preserve"> </w:t>
      </w:r>
      <w:r w:rsidRPr="00EB2BD8">
        <w:t>to</w:t>
      </w:r>
      <w:r w:rsidRPr="00EB2BD8">
        <w:rPr>
          <w:spacing w:val="-10"/>
        </w:rPr>
        <w:t xml:space="preserve"> </w:t>
      </w:r>
      <w:r w:rsidRPr="00EB2BD8">
        <w:t>educate</w:t>
      </w:r>
      <w:r w:rsidRPr="00EB2BD8">
        <w:rPr>
          <w:spacing w:val="-10"/>
        </w:rPr>
        <w:t xml:space="preserve"> </w:t>
      </w:r>
      <w:r w:rsidRPr="00EB2BD8">
        <w:t>practitioners</w:t>
      </w:r>
      <w:r w:rsidRPr="00EB2BD8">
        <w:rPr>
          <w:spacing w:val="-10"/>
        </w:rPr>
        <w:t xml:space="preserve"> </w:t>
      </w:r>
      <w:r w:rsidRPr="00EB2BD8">
        <w:t>about</w:t>
      </w:r>
      <w:r w:rsidRPr="00EB2BD8">
        <w:rPr>
          <w:spacing w:val="-10"/>
        </w:rPr>
        <w:t xml:space="preserve"> </w:t>
      </w:r>
      <w:r w:rsidRPr="00EB2BD8">
        <w:t>NCC</w:t>
      </w:r>
      <w:r w:rsidRPr="00EB2BD8">
        <w:rPr>
          <w:spacing w:val="-10"/>
        </w:rPr>
        <w:t xml:space="preserve"> </w:t>
      </w:r>
      <w:r w:rsidRPr="00EB2BD8">
        <w:t>2022,</w:t>
      </w:r>
      <w:r w:rsidRPr="00EB2BD8">
        <w:rPr>
          <w:spacing w:val="-10"/>
        </w:rPr>
        <w:t xml:space="preserve"> </w:t>
      </w:r>
      <w:r w:rsidRPr="00EB2BD8">
        <w:t xml:space="preserve">which </w:t>
      </w:r>
      <w:r w:rsidRPr="00EB2BD8">
        <w:rPr>
          <w:spacing w:val="-2"/>
        </w:rPr>
        <w:t>included:</w:t>
      </w:r>
    </w:p>
    <w:p w14:paraId="28A6528B" w14:textId="77777777" w:rsidR="00084F36" w:rsidRPr="00EB2BD8" w:rsidRDefault="00EB2BD8">
      <w:pPr>
        <w:pStyle w:val="ListParagraph"/>
        <w:numPr>
          <w:ilvl w:val="0"/>
          <w:numId w:val="58"/>
        </w:numPr>
        <w:tabs>
          <w:tab w:val="left" w:pos="1094"/>
        </w:tabs>
        <w:spacing w:before="61" w:line="261" w:lineRule="auto"/>
        <w:ind w:right="69"/>
        <w:rPr>
          <w:sz w:val="18"/>
        </w:rPr>
      </w:pPr>
      <w:r w:rsidRPr="00EB2BD8">
        <w:rPr>
          <w:spacing w:val="-2"/>
          <w:w w:val="105"/>
          <w:sz w:val="18"/>
        </w:rPr>
        <w:t>Participation</w:t>
      </w:r>
      <w:r w:rsidRPr="00EB2BD8">
        <w:rPr>
          <w:spacing w:val="-9"/>
          <w:w w:val="105"/>
          <w:sz w:val="18"/>
        </w:rPr>
        <w:t xml:space="preserve"> </w:t>
      </w:r>
      <w:r w:rsidRPr="00EB2BD8">
        <w:rPr>
          <w:spacing w:val="-2"/>
          <w:w w:val="105"/>
          <w:sz w:val="18"/>
        </w:rPr>
        <w:t>in</w:t>
      </w:r>
      <w:r w:rsidRPr="00EB2BD8">
        <w:rPr>
          <w:spacing w:val="-9"/>
          <w:w w:val="105"/>
          <w:sz w:val="18"/>
        </w:rPr>
        <w:t xml:space="preserve"> </w:t>
      </w:r>
      <w:r w:rsidRPr="00EB2BD8">
        <w:rPr>
          <w:spacing w:val="-2"/>
          <w:w w:val="105"/>
          <w:sz w:val="18"/>
        </w:rPr>
        <w:t>the</w:t>
      </w:r>
      <w:r w:rsidRPr="00EB2BD8">
        <w:rPr>
          <w:spacing w:val="-9"/>
          <w:w w:val="105"/>
          <w:sz w:val="18"/>
        </w:rPr>
        <w:t xml:space="preserve"> </w:t>
      </w:r>
      <w:r w:rsidRPr="00EB2BD8">
        <w:rPr>
          <w:spacing w:val="-2"/>
          <w:w w:val="105"/>
          <w:sz w:val="18"/>
        </w:rPr>
        <w:t>ABCB</w:t>
      </w:r>
      <w:r w:rsidRPr="00EB2BD8">
        <w:rPr>
          <w:spacing w:val="-9"/>
          <w:w w:val="105"/>
          <w:sz w:val="18"/>
        </w:rPr>
        <w:t xml:space="preserve"> </w:t>
      </w:r>
      <w:r w:rsidRPr="00EB2BD8">
        <w:rPr>
          <w:spacing w:val="-2"/>
          <w:w w:val="105"/>
          <w:sz w:val="18"/>
        </w:rPr>
        <w:t>NCC</w:t>
      </w:r>
      <w:r w:rsidRPr="00EB2BD8">
        <w:rPr>
          <w:spacing w:val="-9"/>
          <w:w w:val="105"/>
          <w:sz w:val="18"/>
        </w:rPr>
        <w:t xml:space="preserve"> </w:t>
      </w:r>
      <w:r w:rsidRPr="00EB2BD8">
        <w:rPr>
          <w:spacing w:val="-2"/>
          <w:w w:val="105"/>
          <w:sz w:val="18"/>
        </w:rPr>
        <w:t>2022</w:t>
      </w:r>
      <w:r w:rsidRPr="00EB2BD8">
        <w:rPr>
          <w:spacing w:val="-9"/>
          <w:w w:val="105"/>
          <w:sz w:val="18"/>
        </w:rPr>
        <w:t xml:space="preserve"> </w:t>
      </w:r>
      <w:r w:rsidRPr="00EB2BD8">
        <w:rPr>
          <w:spacing w:val="-2"/>
          <w:w w:val="105"/>
          <w:sz w:val="18"/>
        </w:rPr>
        <w:t>seminars</w:t>
      </w:r>
      <w:r w:rsidRPr="00EB2BD8">
        <w:rPr>
          <w:spacing w:val="-9"/>
          <w:w w:val="105"/>
          <w:sz w:val="18"/>
        </w:rPr>
        <w:t xml:space="preserve"> </w:t>
      </w:r>
      <w:r w:rsidRPr="00EB2BD8">
        <w:rPr>
          <w:spacing w:val="-2"/>
          <w:w w:val="105"/>
          <w:sz w:val="18"/>
        </w:rPr>
        <w:t xml:space="preserve">held </w:t>
      </w:r>
      <w:r w:rsidRPr="00EB2BD8">
        <w:rPr>
          <w:sz w:val="18"/>
        </w:rPr>
        <w:t>at</w:t>
      </w:r>
      <w:r w:rsidRPr="00EB2BD8">
        <w:rPr>
          <w:spacing w:val="-4"/>
          <w:sz w:val="18"/>
        </w:rPr>
        <w:t xml:space="preserve"> </w:t>
      </w:r>
      <w:r w:rsidRPr="00EB2BD8">
        <w:rPr>
          <w:sz w:val="18"/>
        </w:rPr>
        <w:t>the</w:t>
      </w:r>
      <w:r w:rsidRPr="00EB2BD8">
        <w:rPr>
          <w:spacing w:val="-4"/>
          <w:sz w:val="18"/>
        </w:rPr>
        <w:t xml:space="preserve"> </w:t>
      </w:r>
      <w:r w:rsidRPr="00EB2BD8">
        <w:rPr>
          <w:sz w:val="18"/>
        </w:rPr>
        <w:t>Melbourne</w:t>
      </w:r>
      <w:r w:rsidRPr="00EB2BD8">
        <w:rPr>
          <w:spacing w:val="-4"/>
          <w:sz w:val="18"/>
        </w:rPr>
        <w:t xml:space="preserve"> </w:t>
      </w:r>
      <w:r w:rsidRPr="00EB2BD8">
        <w:rPr>
          <w:sz w:val="18"/>
        </w:rPr>
        <w:t>Convention</w:t>
      </w:r>
      <w:r w:rsidRPr="00EB2BD8">
        <w:rPr>
          <w:spacing w:val="-4"/>
          <w:sz w:val="18"/>
        </w:rPr>
        <w:t xml:space="preserve"> </w:t>
      </w:r>
      <w:r w:rsidRPr="00EB2BD8">
        <w:rPr>
          <w:sz w:val="18"/>
        </w:rPr>
        <w:t>and</w:t>
      </w:r>
      <w:r w:rsidRPr="00EB2BD8">
        <w:rPr>
          <w:spacing w:val="-4"/>
          <w:sz w:val="18"/>
        </w:rPr>
        <w:t xml:space="preserve"> </w:t>
      </w:r>
      <w:r w:rsidRPr="00EB2BD8">
        <w:rPr>
          <w:sz w:val="18"/>
        </w:rPr>
        <w:t>Exhibition</w:t>
      </w:r>
      <w:r w:rsidRPr="00EB2BD8">
        <w:rPr>
          <w:spacing w:val="-4"/>
          <w:sz w:val="18"/>
        </w:rPr>
        <w:t xml:space="preserve"> </w:t>
      </w:r>
      <w:r w:rsidRPr="00EB2BD8">
        <w:rPr>
          <w:sz w:val="18"/>
        </w:rPr>
        <w:t xml:space="preserve">Centre </w:t>
      </w:r>
      <w:r w:rsidRPr="00EB2BD8">
        <w:rPr>
          <w:w w:val="105"/>
          <w:sz w:val="18"/>
        </w:rPr>
        <w:t>in July 2022.</w:t>
      </w:r>
    </w:p>
    <w:p w14:paraId="0FB95EDD" w14:textId="77777777" w:rsidR="00084F36" w:rsidRPr="00EB2BD8" w:rsidRDefault="00EB2BD8">
      <w:pPr>
        <w:pStyle w:val="ListParagraph"/>
        <w:numPr>
          <w:ilvl w:val="0"/>
          <w:numId w:val="58"/>
        </w:numPr>
        <w:tabs>
          <w:tab w:val="left" w:pos="1094"/>
        </w:tabs>
        <w:spacing w:before="47"/>
        <w:ind w:hanging="283"/>
        <w:rPr>
          <w:sz w:val="18"/>
        </w:rPr>
      </w:pPr>
      <w:r w:rsidRPr="00EB2BD8">
        <w:rPr>
          <w:sz w:val="18"/>
        </w:rPr>
        <w:t>Creation</w:t>
      </w:r>
      <w:r w:rsidRPr="00EB2BD8">
        <w:rPr>
          <w:spacing w:val="-10"/>
          <w:sz w:val="18"/>
        </w:rPr>
        <w:t xml:space="preserve"> </w:t>
      </w:r>
      <w:r w:rsidRPr="00EB2BD8">
        <w:rPr>
          <w:sz w:val="18"/>
        </w:rPr>
        <w:t>of</w:t>
      </w:r>
      <w:r w:rsidRPr="00EB2BD8">
        <w:rPr>
          <w:spacing w:val="-9"/>
          <w:sz w:val="18"/>
        </w:rPr>
        <w:t xml:space="preserve"> </w:t>
      </w:r>
      <w:r w:rsidRPr="00EB2BD8">
        <w:rPr>
          <w:sz w:val="18"/>
        </w:rPr>
        <w:t>an</w:t>
      </w:r>
      <w:r w:rsidRPr="00EB2BD8">
        <w:rPr>
          <w:spacing w:val="-10"/>
          <w:sz w:val="18"/>
        </w:rPr>
        <w:t xml:space="preserve"> </w:t>
      </w:r>
      <w:r w:rsidRPr="00EB2BD8">
        <w:rPr>
          <w:sz w:val="18"/>
        </w:rPr>
        <w:t>NCC</w:t>
      </w:r>
      <w:r w:rsidRPr="00EB2BD8">
        <w:rPr>
          <w:spacing w:val="-9"/>
          <w:sz w:val="18"/>
        </w:rPr>
        <w:t xml:space="preserve"> </w:t>
      </w:r>
      <w:r w:rsidRPr="00EB2BD8">
        <w:rPr>
          <w:sz w:val="18"/>
        </w:rPr>
        <w:t>2022</w:t>
      </w:r>
      <w:r w:rsidRPr="00EB2BD8">
        <w:rPr>
          <w:spacing w:val="-9"/>
          <w:sz w:val="18"/>
        </w:rPr>
        <w:t xml:space="preserve"> </w:t>
      </w:r>
      <w:r w:rsidRPr="00EB2BD8">
        <w:rPr>
          <w:sz w:val="18"/>
        </w:rPr>
        <w:t>hub</w:t>
      </w:r>
      <w:r w:rsidRPr="00EB2BD8">
        <w:rPr>
          <w:spacing w:val="-10"/>
          <w:sz w:val="18"/>
        </w:rPr>
        <w:t xml:space="preserve"> </w:t>
      </w:r>
      <w:r w:rsidRPr="00EB2BD8">
        <w:rPr>
          <w:sz w:val="18"/>
        </w:rPr>
        <w:t>on</w:t>
      </w:r>
      <w:r w:rsidRPr="00EB2BD8">
        <w:rPr>
          <w:spacing w:val="-9"/>
          <w:sz w:val="18"/>
        </w:rPr>
        <w:t xml:space="preserve"> </w:t>
      </w:r>
      <w:r w:rsidRPr="00EB2BD8">
        <w:rPr>
          <w:sz w:val="18"/>
        </w:rPr>
        <w:t>the</w:t>
      </w:r>
      <w:r w:rsidRPr="00EB2BD8">
        <w:rPr>
          <w:spacing w:val="-9"/>
          <w:sz w:val="18"/>
        </w:rPr>
        <w:t xml:space="preserve"> </w:t>
      </w:r>
      <w:r w:rsidRPr="00EB2BD8">
        <w:rPr>
          <w:sz w:val="18"/>
        </w:rPr>
        <w:t>VBA</w:t>
      </w:r>
      <w:r w:rsidRPr="00EB2BD8">
        <w:rPr>
          <w:spacing w:val="-10"/>
          <w:sz w:val="18"/>
        </w:rPr>
        <w:t xml:space="preserve"> </w:t>
      </w:r>
      <w:r w:rsidRPr="00EB2BD8">
        <w:rPr>
          <w:spacing w:val="-2"/>
          <w:sz w:val="18"/>
        </w:rPr>
        <w:t>website.</w:t>
      </w:r>
    </w:p>
    <w:p w14:paraId="5578F8E2" w14:textId="77777777" w:rsidR="00084F36" w:rsidRPr="00EB2BD8" w:rsidRDefault="00EB2BD8">
      <w:pPr>
        <w:pStyle w:val="ListParagraph"/>
        <w:numPr>
          <w:ilvl w:val="0"/>
          <w:numId w:val="58"/>
        </w:numPr>
        <w:tabs>
          <w:tab w:val="left" w:pos="1094"/>
        </w:tabs>
        <w:spacing w:before="47" w:line="261" w:lineRule="auto"/>
        <w:ind w:right="10"/>
        <w:rPr>
          <w:sz w:val="18"/>
        </w:rPr>
      </w:pPr>
      <w:r w:rsidRPr="00EB2BD8">
        <w:rPr>
          <w:sz w:val="18"/>
        </w:rPr>
        <w:t>Engaging with registered training organisations on updating</w:t>
      </w:r>
      <w:r w:rsidRPr="00EB2BD8">
        <w:rPr>
          <w:spacing w:val="-6"/>
          <w:sz w:val="18"/>
        </w:rPr>
        <w:t xml:space="preserve"> </w:t>
      </w:r>
      <w:r w:rsidRPr="00EB2BD8">
        <w:rPr>
          <w:sz w:val="18"/>
        </w:rPr>
        <w:t>their</w:t>
      </w:r>
      <w:r w:rsidRPr="00EB2BD8">
        <w:rPr>
          <w:spacing w:val="-6"/>
          <w:sz w:val="18"/>
        </w:rPr>
        <w:t xml:space="preserve"> </w:t>
      </w:r>
      <w:r w:rsidRPr="00EB2BD8">
        <w:rPr>
          <w:sz w:val="18"/>
        </w:rPr>
        <w:t>course</w:t>
      </w:r>
      <w:r w:rsidRPr="00EB2BD8">
        <w:rPr>
          <w:spacing w:val="-6"/>
          <w:sz w:val="18"/>
        </w:rPr>
        <w:t xml:space="preserve"> </w:t>
      </w:r>
      <w:r w:rsidRPr="00EB2BD8">
        <w:rPr>
          <w:sz w:val="18"/>
        </w:rPr>
        <w:t>and</w:t>
      </w:r>
      <w:r w:rsidRPr="00EB2BD8">
        <w:rPr>
          <w:spacing w:val="-6"/>
          <w:sz w:val="18"/>
        </w:rPr>
        <w:t xml:space="preserve"> </w:t>
      </w:r>
      <w:r w:rsidRPr="00EB2BD8">
        <w:rPr>
          <w:sz w:val="18"/>
        </w:rPr>
        <w:t>exam</w:t>
      </w:r>
      <w:r w:rsidRPr="00EB2BD8">
        <w:rPr>
          <w:spacing w:val="-6"/>
          <w:sz w:val="18"/>
        </w:rPr>
        <w:t xml:space="preserve"> </w:t>
      </w:r>
      <w:r w:rsidRPr="00EB2BD8">
        <w:rPr>
          <w:sz w:val="18"/>
        </w:rPr>
        <w:t>content</w:t>
      </w:r>
      <w:r w:rsidRPr="00EB2BD8">
        <w:rPr>
          <w:spacing w:val="-6"/>
          <w:sz w:val="18"/>
        </w:rPr>
        <w:t xml:space="preserve"> </w:t>
      </w:r>
      <w:r w:rsidRPr="00EB2BD8">
        <w:rPr>
          <w:sz w:val="18"/>
        </w:rPr>
        <w:t>to</w:t>
      </w:r>
      <w:r w:rsidRPr="00EB2BD8">
        <w:rPr>
          <w:spacing w:val="-6"/>
          <w:sz w:val="18"/>
        </w:rPr>
        <w:t xml:space="preserve"> </w:t>
      </w:r>
      <w:r w:rsidRPr="00EB2BD8">
        <w:rPr>
          <w:sz w:val="18"/>
        </w:rPr>
        <w:t>ensure</w:t>
      </w:r>
      <w:r w:rsidRPr="00EB2BD8">
        <w:rPr>
          <w:spacing w:val="-6"/>
          <w:sz w:val="18"/>
        </w:rPr>
        <w:t xml:space="preserve"> </w:t>
      </w:r>
      <w:r w:rsidRPr="00EB2BD8">
        <w:rPr>
          <w:sz w:val="18"/>
        </w:rPr>
        <w:t>it includes NCC 2022 detail.</w:t>
      </w:r>
    </w:p>
    <w:p w14:paraId="1CF0E393" w14:textId="77777777" w:rsidR="00084F36" w:rsidRPr="00EB2BD8" w:rsidRDefault="00EB2BD8">
      <w:pPr>
        <w:pStyle w:val="ListParagraph"/>
        <w:numPr>
          <w:ilvl w:val="0"/>
          <w:numId w:val="58"/>
        </w:numPr>
        <w:tabs>
          <w:tab w:val="left" w:pos="1094"/>
        </w:tabs>
        <w:spacing w:before="47" w:line="261" w:lineRule="auto"/>
        <w:ind w:right="336"/>
        <w:rPr>
          <w:sz w:val="18"/>
        </w:rPr>
      </w:pPr>
      <w:r w:rsidRPr="00EB2BD8">
        <w:rPr>
          <w:sz w:val="18"/>
        </w:rPr>
        <w:t>Providing</w:t>
      </w:r>
      <w:r w:rsidRPr="00EB2BD8">
        <w:rPr>
          <w:spacing w:val="-1"/>
          <w:sz w:val="18"/>
        </w:rPr>
        <w:t xml:space="preserve"> </w:t>
      </w:r>
      <w:r w:rsidRPr="00EB2BD8">
        <w:rPr>
          <w:sz w:val="18"/>
        </w:rPr>
        <w:t>regular</w:t>
      </w:r>
      <w:r w:rsidRPr="00EB2BD8">
        <w:rPr>
          <w:spacing w:val="-1"/>
          <w:sz w:val="18"/>
        </w:rPr>
        <w:t xml:space="preserve"> </w:t>
      </w:r>
      <w:r w:rsidRPr="00EB2BD8">
        <w:rPr>
          <w:sz w:val="18"/>
        </w:rPr>
        <w:t>updates</w:t>
      </w:r>
      <w:r w:rsidRPr="00EB2BD8">
        <w:rPr>
          <w:spacing w:val="-1"/>
          <w:sz w:val="18"/>
        </w:rPr>
        <w:t xml:space="preserve"> </w:t>
      </w:r>
      <w:r w:rsidRPr="00EB2BD8">
        <w:rPr>
          <w:sz w:val="18"/>
        </w:rPr>
        <w:t>to</w:t>
      </w:r>
      <w:r w:rsidRPr="00EB2BD8">
        <w:rPr>
          <w:spacing w:val="-1"/>
          <w:sz w:val="18"/>
        </w:rPr>
        <w:t xml:space="preserve"> </w:t>
      </w:r>
      <w:r w:rsidRPr="00EB2BD8">
        <w:rPr>
          <w:sz w:val="18"/>
        </w:rPr>
        <w:t>practitioners</w:t>
      </w:r>
      <w:r w:rsidRPr="00EB2BD8">
        <w:rPr>
          <w:spacing w:val="-1"/>
          <w:sz w:val="18"/>
        </w:rPr>
        <w:t xml:space="preserve"> </w:t>
      </w:r>
      <w:r w:rsidRPr="00EB2BD8">
        <w:rPr>
          <w:sz w:val="18"/>
        </w:rPr>
        <w:t>about NCC 2022 and adoption dates via Technical Bulletins and VBA Mail.</w:t>
      </w:r>
    </w:p>
    <w:p w14:paraId="60574056" w14:textId="77777777" w:rsidR="00084F36" w:rsidRPr="00EB2BD8" w:rsidRDefault="00EB2BD8">
      <w:pPr>
        <w:pStyle w:val="ListParagraph"/>
        <w:numPr>
          <w:ilvl w:val="0"/>
          <w:numId w:val="58"/>
        </w:numPr>
        <w:tabs>
          <w:tab w:val="left" w:pos="1094"/>
        </w:tabs>
        <w:spacing w:before="47" w:line="261" w:lineRule="auto"/>
        <w:ind w:right="365"/>
        <w:jc w:val="both"/>
        <w:rPr>
          <w:sz w:val="18"/>
        </w:rPr>
      </w:pPr>
      <w:r w:rsidRPr="00EB2BD8">
        <w:rPr>
          <w:sz w:val="18"/>
        </w:rPr>
        <w:t>Promotion</w:t>
      </w:r>
      <w:r w:rsidRPr="00EB2BD8">
        <w:rPr>
          <w:spacing w:val="-11"/>
          <w:sz w:val="18"/>
        </w:rPr>
        <w:t xml:space="preserve"> </w:t>
      </w:r>
      <w:r w:rsidRPr="00EB2BD8">
        <w:rPr>
          <w:sz w:val="18"/>
        </w:rPr>
        <w:t>of</w:t>
      </w:r>
      <w:r w:rsidRPr="00EB2BD8">
        <w:rPr>
          <w:spacing w:val="-11"/>
          <w:sz w:val="18"/>
        </w:rPr>
        <w:t xml:space="preserve"> </w:t>
      </w:r>
      <w:r w:rsidRPr="00EB2BD8">
        <w:rPr>
          <w:sz w:val="18"/>
        </w:rPr>
        <w:t>the</w:t>
      </w:r>
      <w:r w:rsidRPr="00EB2BD8">
        <w:rPr>
          <w:spacing w:val="-11"/>
          <w:sz w:val="18"/>
        </w:rPr>
        <w:t xml:space="preserve"> </w:t>
      </w:r>
      <w:r w:rsidRPr="00EB2BD8">
        <w:rPr>
          <w:sz w:val="18"/>
        </w:rPr>
        <w:t>ABCB</w:t>
      </w:r>
      <w:r w:rsidRPr="00EB2BD8">
        <w:rPr>
          <w:spacing w:val="-11"/>
          <w:sz w:val="18"/>
        </w:rPr>
        <w:t xml:space="preserve"> </w:t>
      </w:r>
      <w:r w:rsidRPr="00EB2BD8">
        <w:rPr>
          <w:sz w:val="18"/>
        </w:rPr>
        <w:t>NCC</w:t>
      </w:r>
      <w:r w:rsidRPr="00EB2BD8">
        <w:rPr>
          <w:spacing w:val="-11"/>
          <w:sz w:val="18"/>
        </w:rPr>
        <w:t xml:space="preserve"> </w:t>
      </w:r>
      <w:r w:rsidRPr="00EB2BD8">
        <w:rPr>
          <w:sz w:val="18"/>
        </w:rPr>
        <w:t>2022</w:t>
      </w:r>
      <w:r w:rsidRPr="00EB2BD8">
        <w:rPr>
          <w:spacing w:val="-11"/>
          <w:sz w:val="18"/>
        </w:rPr>
        <w:t xml:space="preserve"> </w:t>
      </w:r>
      <w:r w:rsidRPr="00EB2BD8">
        <w:rPr>
          <w:sz w:val="18"/>
        </w:rPr>
        <w:t>webinar</w:t>
      </w:r>
      <w:r w:rsidRPr="00EB2BD8">
        <w:rPr>
          <w:spacing w:val="-11"/>
          <w:sz w:val="18"/>
        </w:rPr>
        <w:t xml:space="preserve"> </w:t>
      </w:r>
      <w:r w:rsidRPr="00EB2BD8">
        <w:rPr>
          <w:sz w:val="18"/>
        </w:rPr>
        <w:t xml:space="preserve">series recordings and useful handbooks and guidance </w:t>
      </w:r>
      <w:r w:rsidRPr="00EB2BD8">
        <w:rPr>
          <w:spacing w:val="-2"/>
          <w:sz w:val="18"/>
        </w:rPr>
        <w:t>materials.</w:t>
      </w:r>
    </w:p>
    <w:p w14:paraId="0E4C1D74" w14:textId="77777777" w:rsidR="00084F36" w:rsidRPr="00EB2BD8" w:rsidRDefault="00EB2BD8">
      <w:pPr>
        <w:pStyle w:val="ListParagraph"/>
        <w:numPr>
          <w:ilvl w:val="0"/>
          <w:numId w:val="58"/>
        </w:numPr>
        <w:tabs>
          <w:tab w:val="left" w:pos="1094"/>
        </w:tabs>
        <w:spacing w:before="47"/>
        <w:ind w:hanging="283"/>
        <w:jc w:val="both"/>
        <w:rPr>
          <w:sz w:val="18"/>
        </w:rPr>
      </w:pPr>
      <w:r w:rsidRPr="00EB2BD8">
        <w:rPr>
          <w:sz w:val="18"/>
        </w:rPr>
        <w:t>Contributed</w:t>
      </w:r>
      <w:r w:rsidRPr="00EB2BD8">
        <w:rPr>
          <w:spacing w:val="-5"/>
          <w:sz w:val="18"/>
        </w:rPr>
        <w:t xml:space="preserve"> </w:t>
      </w:r>
      <w:r w:rsidRPr="00EB2BD8">
        <w:rPr>
          <w:sz w:val="18"/>
        </w:rPr>
        <w:t>to</w:t>
      </w:r>
      <w:r w:rsidRPr="00EB2BD8">
        <w:rPr>
          <w:spacing w:val="-5"/>
          <w:sz w:val="18"/>
        </w:rPr>
        <w:t xml:space="preserve"> </w:t>
      </w:r>
      <w:r w:rsidRPr="00EB2BD8">
        <w:rPr>
          <w:sz w:val="18"/>
        </w:rPr>
        <w:t>industry</w:t>
      </w:r>
      <w:r w:rsidRPr="00EB2BD8">
        <w:rPr>
          <w:spacing w:val="-5"/>
          <w:sz w:val="18"/>
        </w:rPr>
        <w:t xml:space="preserve"> </w:t>
      </w:r>
      <w:r w:rsidRPr="00EB2BD8">
        <w:rPr>
          <w:sz w:val="18"/>
        </w:rPr>
        <w:t>group</w:t>
      </w:r>
      <w:r w:rsidRPr="00EB2BD8">
        <w:rPr>
          <w:spacing w:val="-4"/>
          <w:sz w:val="18"/>
        </w:rPr>
        <w:t xml:space="preserve"> </w:t>
      </w:r>
      <w:r w:rsidRPr="00EB2BD8">
        <w:rPr>
          <w:sz w:val="18"/>
        </w:rPr>
        <w:t>NCC</w:t>
      </w:r>
      <w:r w:rsidRPr="00EB2BD8">
        <w:rPr>
          <w:spacing w:val="-5"/>
          <w:sz w:val="18"/>
        </w:rPr>
        <w:t xml:space="preserve"> </w:t>
      </w:r>
      <w:r w:rsidRPr="00EB2BD8">
        <w:rPr>
          <w:spacing w:val="-2"/>
          <w:sz w:val="18"/>
        </w:rPr>
        <w:t>Seminars</w:t>
      </w:r>
    </w:p>
    <w:p w14:paraId="1912A86F" w14:textId="77777777" w:rsidR="00084F36" w:rsidRPr="00EB2BD8" w:rsidRDefault="00EB2BD8">
      <w:pPr>
        <w:pStyle w:val="ListParagraph"/>
        <w:numPr>
          <w:ilvl w:val="0"/>
          <w:numId w:val="58"/>
        </w:numPr>
        <w:tabs>
          <w:tab w:val="left" w:pos="1094"/>
        </w:tabs>
        <w:spacing w:before="68"/>
        <w:ind w:hanging="283"/>
        <w:jc w:val="both"/>
        <w:rPr>
          <w:sz w:val="18"/>
        </w:rPr>
      </w:pPr>
      <w:r w:rsidRPr="00EB2BD8">
        <w:rPr>
          <w:sz w:val="18"/>
        </w:rPr>
        <w:t>Hosting</w:t>
      </w:r>
      <w:r w:rsidRPr="00EB2BD8">
        <w:rPr>
          <w:spacing w:val="7"/>
          <w:sz w:val="18"/>
        </w:rPr>
        <w:t xml:space="preserve"> </w:t>
      </w:r>
      <w:r w:rsidRPr="00EB2BD8">
        <w:rPr>
          <w:sz w:val="18"/>
        </w:rPr>
        <w:t>a</w:t>
      </w:r>
      <w:r w:rsidRPr="00EB2BD8">
        <w:rPr>
          <w:spacing w:val="8"/>
          <w:sz w:val="18"/>
        </w:rPr>
        <w:t xml:space="preserve"> </w:t>
      </w:r>
      <w:r w:rsidRPr="00EB2BD8">
        <w:rPr>
          <w:sz w:val="18"/>
        </w:rPr>
        <w:t>Practitioner</w:t>
      </w:r>
      <w:r w:rsidRPr="00EB2BD8">
        <w:rPr>
          <w:spacing w:val="8"/>
          <w:sz w:val="18"/>
        </w:rPr>
        <w:t xml:space="preserve"> </w:t>
      </w:r>
      <w:r w:rsidRPr="00EB2BD8">
        <w:rPr>
          <w:sz w:val="18"/>
        </w:rPr>
        <w:t>Education</w:t>
      </w:r>
      <w:r w:rsidRPr="00EB2BD8">
        <w:rPr>
          <w:spacing w:val="8"/>
          <w:sz w:val="18"/>
        </w:rPr>
        <w:t xml:space="preserve"> </w:t>
      </w:r>
      <w:r w:rsidRPr="00EB2BD8">
        <w:rPr>
          <w:sz w:val="18"/>
        </w:rPr>
        <w:t>Series</w:t>
      </w:r>
      <w:r w:rsidRPr="00EB2BD8">
        <w:rPr>
          <w:spacing w:val="8"/>
          <w:sz w:val="18"/>
        </w:rPr>
        <w:t xml:space="preserve"> </w:t>
      </w:r>
      <w:r w:rsidRPr="00EB2BD8">
        <w:rPr>
          <w:spacing w:val="-2"/>
          <w:sz w:val="18"/>
        </w:rPr>
        <w:t>webinar,</w:t>
      </w:r>
    </w:p>
    <w:p w14:paraId="7BD47420" w14:textId="77777777" w:rsidR="00084F36" w:rsidRPr="00EB2BD8" w:rsidRDefault="00EB2BD8">
      <w:pPr>
        <w:spacing w:before="18"/>
        <w:ind w:left="1094"/>
        <w:jc w:val="both"/>
        <w:rPr>
          <w:i/>
          <w:sz w:val="18"/>
        </w:rPr>
      </w:pPr>
      <w:r w:rsidRPr="00EB2BD8">
        <w:rPr>
          <w:i/>
          <w:sz w:val="18"/>
        </w:rPr>
        <w:t>Waterproofing</w:t>
      </w:r>
      <w:r w:rsidRPr="00EB2BD8">
        <w:rPr>
          <w:i/>
          <w:spacing w:val="-6"/>
          <w:sz w:val="18"/>
        </w:rPr>
        <w:t xml:space="preserve"> </w:t>
      </w:r>
      <w:r w:rsidRPr="00EB2BD8">
        <w:rPr>
          <w:i/>
          <w:sz w:val="18"/>
        </w:rPr>
        <w:t>of</w:t>
      </w:r>
      <w:r w:rsidRPr="00EB2BD8">
        <w:rPr>
          <w:i/>
          <w:spacing w:val="-5"/>
          <w:sz w:val="18"/>
        </w:rPr>
        <w:t xml:space="preserve"> </w:t>
      </w:r>
      <w:r w:rsidRPr="00EB2BD8">
        <w:rPr>
          <w:i/>
          <w:sz w:val="18"/>
        </w:rPr>
        <w:t>Wet</w:t>
      </w:r>
      <w:r w:rsidRPr="00EB2BD8">
        <w:rPr>
          <w:i/>
          <w:spacing w:val="-6"/>
          <w:sz w:val="18"/>
        </w:rPr>
        <w:t xml:space="preserve"> </w:t>
      </w:r>
      <w:r w:rsidRPr="00EB2BD8">
        <w:rPr>
          <w:i/>
          <w:spacing w:val="-2"/>
          <w:sz w:val="18"/>
        </w:rPr>
        <w:t>Areas.</w:t>
      </w:r>
    </w:p>
    <w:p w14:paraId="2077EC9C" w14:textId="77777777" w:rsidR="00084F36" w:rsidRPr="00EB2BD8" w:rsidRDefault="00EB2BD8">
      <w:pPr>
        <w:spacing w:before="10"/>
        <w:rPr>
          <w:i/>
          <w:sz w:val="19"/>
        </w:rPr>
      </w:pPr>
      <w:r w:rsidRPr="00EB2BD8">
        <w:br w:type="column"/>
      </w:r>
    </w:p>
    <w:p w14:paraId="33BCCF40" w14:textId="77777777" w:rsidR="00084F36" w:rsidRPr="00EB2BD8" w:rsidRDefault="00EB2BD8">
      <w:pPr>
        <w:pStyle w:val="BodyText"/>
        <w:spacing w:line="261" w:lineRule="auto"/>
        <w:ind w:left="426" w:right="944"/>
      </w:pPr>
      <w:r w:rsidRPr="00EB2BD8">
        <w:t>In September and October 2022, the VBA hosted the NCC</w:t>
      </w:r>
      <w:r w:rsidRPr="00EB2BD8">
        <w:rPr>
          <w:spacing w:val="-7"/>
        </w:rPr>
        <w:t xml:space="preserve"> </w:t>
      </w:r>
      <w:r w:rsidRPr="00EB2BD8">
        <w:t>Roadshow</w:t>
      </w:r>
      <w:r w:rsidRPr="00EB2BD8">
        <w:rPr>
          <w:spacing w:val="-7"/>
        </w:rPr>
        <w:t xml:space="preserve"> </w:t>
      </w:r>
      <w:r w:rsidRPr="00EB2BD8">
        <w:t>–</w:t>
      </w:r>
      <w:r w:rsidRPr="00EB2BD8">
        <w:rPr>
          <w:spacing w:val="-7"/>
        </w:rPr>
        <w:t xml:space="preserve"> </w:t>
      </w:r>
      <w:r w:rsidRPr="00EB2BD8">
        <w:t>15</w:t>
      </w:r>
      <w:r w:rsidRPr="00EB2BD8">
        <w:rPr>
          <w:spacing w:val="-7"/>
        </w:rPr>
        <w:t xml:space="preserve"> </w:t>
      </w:r>
      <w:r w:rsidRPr="00EB2BD8">
        <w:t>in-person</w:t>
      </w:r>
      <w:r w:rsidRPr="00EB2BD8">
        <w:rPr>
          <w:spacing w:val="-7"/>
        </w:rPr>
        <w:t xml:space="preserve"> </w:t>
      </w:r>
      <w:r w:rsidRPr="00EB2BD8">
        <w:t>events</w:t>
      </w:r>
      <w:r w:rsidRPr="00EB2BD8">
        <w:rPr>
          <w:spacing w:val="-7"/>
        </w:rPr>
        <w:t xml:space="preserve"> </w:t>
      </w:r>
      <w:r w:rsidRPr="00EB2BD8">
        <w:t>were</w:t>
      </w:r>
      <w:r w:rsidRPr="00EB2BD8">
        <w:rPr>
          <w:spacing w:val="-7"/>
        </w:rPr>
        <w:t xml:space="preserve"> </w:t>
      </w:r>
      <w:r w:rsidRPr="00EB2BD8">
        <w:t>held</w:t>
      </w:r>
      <w:r w:rsidRPr="00EB2BD8">
        <w:rPr>
          <w:spacing w:val="-7"/>
        </w:rPr>
        <w:t xml:space="preserve"> </w:t>
      </w:r>
      <w:r w:rsidRPr="00EB2BD8">
        <w:t>across the state to deliver important information about</w:t>
      </w:r>
    </w:p>
    <w:p w14:paraId="6D679507" w14:textId="77777777" w:rsidR="00084F36" w:rsidRPr="00EB2BD8" w:rsidRDefault="00EB2BD8">
      <w:pPr>
        <w:pStyle w:val="BodyText"/>
        <w:spacing w:line="261" w:lineRule="auto"/>
        <w:ind w:left="426" w:right="925"/>
      </w:pPr>
      <w:r w:rsidRPr="00EB2BD8">
        <w:t>key building and plumbing changes to the National Construction Code (NCC 2022). The VBA strives to make the complex building system easier to navigate for practitioners and the Roadshow served as an opportunity</w:t>
      </w:r>
      <w:r w:rsidRPr="00EB2BD8">
        <w:rPr>
          <w:spacing w:val="-6"/>
        </w:rPr>
        <w:t xml:space="preserve"> </w:t>
      </w:r>
      <w:r w:rsidRPr="00EB2BD8">
        <w:t>to</w:t>
      </w:r>
      <w:r w:rsidRPr="00EB2BD8">
        <w:rPr>
          <w:spacing w:val="-6"/>
        </w:rPr>
        <w:t xml:space="preserve"> </w:t>
      </w:r>
      <w:r w:rsidRPr="00EB2BD8">
        <w:t>engage</w:t>
      </w:r>
      <w:r w:rsidRPr="00EB2BD8">
        <w:rPr>
          <w:spacing w:val="-6"/>
        </w:rPr>
        <w:t xml:space="preserve"> </w:t>
      </w:r>
      <w:r w:rsidRPr="00EB2BD8">
        <w:t>with</w:t>
      </w:r>
      <w:r w:rsidRPr="00EB2BD8">
        <w:rPr>
          <w:spacing w:val="-6"/>
        </w:rPr>
        <w:t xml:space="preserve"> </w:t>
      </w:r>
      <w:r w:rsidRPr="00EB2BD8">
        <w:t>practitioners.</w:t>
      </w:r>
      <w:r w:rsidRPr="00EB2BD8">
        <w:rPr>
          <w:spacing w:val="-6"/>
        </w:rPr>
        <w:t xml:space="preserve"> </w:t>
      </w:r>
      <w:r w:rsidRPr="00EB2BD8">
        <w:t>Presentations were delivered by VBA Technical and Regulation experts and question time provided additional value to attendees.</w:t>
      </w:r>
      <w:r w:rsidRPr="00EB2BD8">
        <w:rPr>
          <w:spacing w:val="-4"/>
        </w:rPr>
        <w:t xml:space="preserve"> </w:t>
      </w:r>
      <w:r w:rsidRPr="00EB2BD8">
        <w:t>To</w:t>
      </w:r>
      <w:r w:rsidRPr="00EB2BD8">
        <w:rPr>
          <w:spacing w:val="-4"/>
        </w:rPr>
        <w:t xml:space="preserve"> </w:t>
      </w:r>
      <w:r w:rsidRPr="00EB2BD8">
        <w:t>supplement</w:t>
      </w:r>
      <w:r w:rsidRPr="00EB2BD8">
        <w:rPr>
          <w:spacing w:val="-4"/>
        </w:rPr>
        <w:t xml:space="preserve"> </w:t>
      </w:r>
      <w:r w:rsidRPr="00EB2BD8">
        <w:t>the</w:t>
      </w:r>
      <w:r w:rsidRPr="00EB2BD8">
        <w:rPr>
          <w:spacing w:val="-4"/>
        </w:rPr>
        <w:t xml:space="preserve"> </w:t>
      </w:r>
      <w:r w:rsidRPr="00EB2BD8">
        <w:t>Roadshow,</w:t>
      </w:r>
      <w:r w:rsidRPr="00EB2BD8">
        <w:rPr>
          <w:spacing w:val="-4"/>
        </w:rPr>
        <w:t xml:space="preserve"> </w:t>
      </w:r>
      <w:r w:rsidRPr="00EB2BD8">
        <w:t>two</w:t>
      </w:r>
      <w:r w:rsidRPr="00EB2BD8">
        <w:rPr>
          <w:spacing w:val="-4"/>
        </w:rPr>
        <w:t xml:space="preserve"> </w:t>
      </w:r>
      <w:r w:rsidRPr="00EB2BD8">
        <w:t>webinars were</w:t>
      </w:r>
      <w:r w:rsidRPr="00EB2BD8">
        <w:rPr>
          <w:spacing w:val="-5"/>
        </w:rPr>
        <w:t xml:space="preserve"> </w:t>
      </w:r>
      <w:r w:rsidRPr="00EB2BD8">
        <w:t>held</w:t>
      </w:r>
      <w:r w:rsidRPr="00EB2BD8">
        <w:rPr>
          <w:spacing w:val="-5"/>
        </w:rPr>
        <w:t xml:space="preserve"> </w:t>
      </w:r>
      <w:r w:rsidRPr="00EB2BD8">
        <w:t>for</w:t>
      </w:r>
      <w:r w:rsidRPr="00EB2BD8">
        <w:rPr>
          <w:spacing w:val="-5"/>
        </w:rPr>
        <w:t xml:space="preserve"> </w:t>
      </w:r>
      <w:r w:rsidRPr="00EB2BD8">
        <w:t>practitioners</w:t>
      </w:r>
      <w:r w:rsidRPr="00EB2BD8">
        <w:rPr>
          <w:spacing w:val="-5"/>
        </w:rPr>
        <w:t xml:space="preserve"> </w:t>
      </w:r>
      <w:r w:rsidRPr="00EB2BD8">
        <w:t>who</w:t>
      </w:r>
      <w:r w:rsidRPr="00EB2BD8">
        <w:rPr>
          <w:spacing w:val="-5"/>
        </w:rPr>
        <w:t xml:space="preserve"> </w:t>
      </w:r>
      <w:r w:rsidRPr="00EB2BD8">
        <w:t>could</w:t>
      </w:r>
      <w:r w:rsidRPr="00EB2BD8">
        <w:rPr>
          <w:spacing w:val="-5"/>
        </w:rPr>
        <w:t xml:space="preserve"> </w:t>
      </w:r>
      <w:r w:rsidRPr="00EB2BD8">
        <w:t>not</w:t>
      </w:r>
      <w:r w:rsidRPr="00EB2BD8">
        <w:rPr>
          <w:spacing w:val="-5"/>
        </w:rPr>
        <w:t xml:space="preserve"> </w:t>
      </w:r>
      <w:r w:rsidRPr="00EB2BD8">
        <w:t>attend</w:t>
      </w:r>
      <w:r w:rsidRPr="00EB2BD8">
        <w:rPr>
          <w:spacing w:val="-5"/>
        </w:rPr>
        <w:t xml:space="preserve"> </w:t>
      </w:r>
      <w:r w:rsidRPr="00EB2BD8">
        <w:t>the</w:t>
      </w:r>
      <w:r w:rsidRPr="00EB2BD8">
        <w:rPr>
          <w:spacing w:val="-5"/>
        </w:rPr>
        <w:t xml:space="preserve"> </w:t>
      </w:r>
      <w:r w:rsidRPr="00EB2BD8">
        <w:t xml:space="preserve">in- person events. Three thousand practitioners attended an NCC seminar or webinar, which demonstrated industry’s interest and appetite for educational </w:t>
      </w:r>
      <w:r w:rsidRPr="00EB2BD8">
        <w:rPr>
          <w:spacing w:val="-2"/>
        </w:rPr>
        <w:t>material.</w:t>
      </w:r>
    </w:p>
    <w:p w14:paraId="39CD1206" w14:textId="77777777" w:rsidR="00084F36" w:rsidRPr="00EB2BD8" w:rsidRDefault="00084F36">
      <w:pPr>
        <w:pStyle w:val="BodyText"/>
        <w:spacing w:before="2"/>
        <w:rPr>
          <w:sz w:val="22"/>
        </w:rPr>
      </w:pPr>
    </w:p>
    <w:p w14:paraId="0B3939FD" w14:textId="244DB157" w:rsidR="00084F36" w:rsidRPr="00EB2BD8" w:rsidRDefault="00E13356" w:rsidP="00E13356">
      <w:pPr>
        <w:pStyle w:val="Heading2"/>
        <w:ind w:left="0"/>
      </w:pPr>
      <w:r>
        <w:t xml:space="preserve">    </w:t>
      </w:r>
      <w:bookmarkStart w:id="142" w:name="_Toc150762444"/>
      <w:r w:rsidR="00EB2BD8" w:rsidRPr="00EB2BD8">
        <w:t>Building</w:t>
      </w:r>
      <w:r w:rsidR="00EB2BD8" w:rsidRPr="00EB2BD8">
        <w:rPr>
          <w:spacing w:val="-22"/>
        </w:rPr>
        <w:t xml:space="preserve"> </w:t>
      </w:r>
      <w:r w:rsidR="00EB2BD8" w:rsidRPr="00EB2BD8">
        <w:t>surveyor</w:t>
      </w:r>
      <w:r w:rsidR="00EB2BD8" w:rsidRPr="00EB2BD8">
        <w:rPr>
          <w:spacing w:val="-22"/>
        </w:rPr>
        <w:t xml:space="preserve"> </w:t>
      </w:r>
      <w:r w:rsidR="00EB2BD8" w:rsidRPr="00EB2BD8">
        <w:t>career</w:t>
      </w:r>
      <w:r>
        <w:br/>
        <w:t xml:space="preserve">    </w:t>
      </w:r>
      <w:r w:rsidR="00EB2BD8" w:rsidRPr="00EB2BD8">
        <w:rPr>
          <w:spacing w:val="-2"/>
        </w:rPr>
        <w:t>opportunities</w:t>
      </w:r>
      <w:bookmarkEnd w:id="142"/>
    </w:p>
    <w:p w14:paraId="2D724F2A" w14:textId="77777777" w:rsidR="00084F36" w:rsidRPr="00EB2BD8" w:rsidRDefault="00EB2BD8">
      <w:pPr>
        <w:pStyle w:val="BodyText"/>
        <w:spacing w:before="174" w:line="261" w:lineRule="auto"/>
        <w:ind w:left="426" w:right="944"/>
      </w:pPr>
      <w:r w:rsidRPr="00EB2BD8">
        <w:t>Building surveyors undertake a significant role within the construction sector, assessing and approving building permits and undertaking municipal building surveying functions in councils. It is therefore critical that enough qualified and high performing building surveyors work in the industry. There were 238 Building</w:t>
      </w:r>
      <w:r w:rsidRPr="00EB2BD8">
        <w:rPr>
          <w:spacing w:val="-7"/>
        </w:rPr>
        <w:t xml:space="preserve"> </w:t>
      </w:r>
      <w:r w:rsidRPr="00EB2BD8">
        <w:t>Surveyor</w:t>
      </w:r>
      <w:r w:rsidRPr="00EB2BD8">
        <w:rPr>
          <w:spacing w:val="-7"/>
        </w:rPr>
        <w:t xml:space="preserve"> </w:t>
      </w:r>
      <w:r w:rsidRPr="00EB2BD8">
        <w:t>(Limited)</w:t>
      </w:r>
      <w:r w:rsidRPr="00EB2BD8">
        <w:rPr>
          <w:spacing w:val="-7"/>
        </w:rPr>
        <w:t xml:space="preserve"> </w:t>
      </w:r>
      <w:r w:rsidRPr="00EB2BD8">
        <w:t>and</w:t>
      </w:r>
      <w:r w:rsidRPr="00EB2BD8">
        <w:rPr>
          <w:spacing w:val="-7"/>
        </w:rPr>
        <w:t xml:space="preserve"> </w:t>
      </w:r>
      <w:r w:rsidRPr="00EB2BD8">
        <w:t>589</w:t>
      </w:r>
      <w:r w:rsidRPr="00EB2BD8">
        <w:rPr>
          <w:spacing w:val="-7"/>
        </w:rPr>
        <w:t xml:space="preserve"> </w:t>
      </w:r>
      <w:r w:rsidRPr="00EB2BD8">
        <w:t>Building</w:t>
      </w:r>
      <w:r w:rsidRPr="00EB2BD8">
        <w:rPr>
          <w:spacing w:val="-7"/>
        </w:rPr>
        <w:t xml:space="preserve"> </w:t>
      </w:r>
      <w:r w:rsidRPr="00EB2BD8">
        <w:t>Surveyor (Unlimited) registered in Victoria as at 30 June 2023.</w:t>
      </w:r>
    </w:p>
    <w:p w14:paraId="1553D733" w14:textId="77777777" w:rsidR="00084F36" w:rsidRPr="00EB2BD8" w:rsidRDefault="00EB2BD8">
      <w:pPr>
        <w:pStyle w:val="BodyText"/>
        <w:spacing w:before="105" w:line="261" w:lineRule="auto"/>
        <w:ind w:left="426" w:right="872"/>
      </w:pPr>
      <w:r w:rsidRPr="00EB2BD8">
        <w:t>The</w:t>
      </w:r>
      <w:r w:rsidRPr="00EB2BD8">
        <w:rPr>
          <w:spacing w:val="-11"/>
        </w:rPr>
        <w:t xml:space="preserve"> </w:t>
      </w:r>
      <w:r w:rsidRPr="00EB2BD8">
        <w:t>VBA</w:t>
      </w:r>
      <w:r w:rsidRPr="00EB2BD8">
        <w:rPr>
          <w:spacing w:val="-11"/>
        </w:rPr>
        <w:t xml:space="preserve"> </w:t>
      </w:r>
      <w:r w:rsidRPr="00EB2BD8">
        <w:t>is</w:t>
      </w:r>
      <w:r w:rsidRPr="00EB2BD8">
        <w:rPr>
          <w:spacing w:val="-11"/>
        </w:rPr>
        <w:t xml:space="preserve"> </w:t>
      </w:r>
      <w:r w:rsidRPr="00EB2BD8">
        <w:t>supporting</w:t>
      </w:r>
      <w:r w:rsidRPr="00EB2BD8">
        <w:rPr>
          <w:spacing w:val="-11"/>
        </w:rPr>
        <w:t xml:space="preserve"> </w:t>
      </w:r>
      <w:r w:rsidRPr="00EB2BD8">
        <w:t>building</w:t>
      </w:r>
      <w:r w:rsidRPr="00EB2BD8">
        <w:rPr>
          <w:spacing w:val="-11"/>
        </w:rPr>
        <w:t xml:space="preserve"> </w:t>
      </w:r>
      <w:r w:rsidRPr="00EB2BD8">
        <w:t>surveyors</w:t>
      </w:r>
      <w:r w:rsidRPr="00EB2BD8">
        <w:rPr>
          <w:spacing w:val="-11"/>
        </w:rPr>
        <w:t xml:space="preserve"> </w:t>
      </w:r>
      <w:r w:rsidRPr="00EB2BD8">
        <w:t>by</w:t>
      </w:r>
      <w:r w:rsidRPr="00EB2BD8">
        <w:rPr>
          <w:spacing w:val="-11"/>
        </w:rPr>
        <w:t xml:space="preserve"> </w:t>
      </w:r>
      <w:r w:rsidRPr="00EB2BD8">
        <w:t>developing and releasing guidance materials, facilitating Practitioner Education Series webinars and conducting the annual Building Surveyors Conference, to develop building surveyor knowledge and expertise. The VBA has promoted career pathways for new entrants and facilitated secondments to assist with offering learning opportunities, with the goal of attaining a building surveying</w:t>
      </w:r>
      <w:r w:rsidRPr="00EB2BD8">
        <w:rPr>
          <w:spacing w:val="-6"/>
        </w:rPr>
        <w:t xml:space="preserve"> </w:t>
      </w:r>
      <w:r w:rsidRPr="00EB2BD8">
        <w:t>registration.</w:t>
      </w:r>
    </w:p>
    <w:p w14:paraId="4C738A4E" w14:textId="77777777" w:rsidR="00084F36" w:rsidRPr="00EB2BD8" w:rsidRDefault="00EB2BD8">
      <w:pPr>
        <w:pStyle w:val="BodyText"/>
        <w:spacing w:before="104" w:line="261" w:lineRule="auto"/>
        <w:ind w:left="426" w:right="1047"/>
      </w:pPr>
      <w:r w:rsidRPr="00EB2BD8">
        <w:t>The State Building Surveyor continues to work with the broader building sector through liaison meetings with</w:t>
      </w:r>
      <w:r w:rsidRPr="00EB2BD8">
        <w:rPr>
          <w:spacing w:val="-15"/>
        </w:rPr>
        <w:t xml:space="preserve"> </w:t>
      </w:r>
      <w:r w:rsidRPr="00EB2BD8">
        <w:t>the</w:t>
      </w:r>
      <w:r w:rsidRPr="00EB2BD8">
        <w:rPr>
          <w:spacing w:val="-14"/>
        </w:rPr>
        <w:t xml:space="preserve"> </w:t>
      </w:r>
      <w:r w:rsidRPr="00EB2BD8">
        <w:t>Housing</w:t>
      </w:r>
      <w:r w:rsidRPr="00EB2BD8">
        <w:rPr>
          <w:spacing w:val="-14"/>
        </w:rPr>
        <w:t xml:space="preserve"> </w:t>
      </w:r>
      <w:r w:rsidRPr="00EB2BD8">
        <w:t>Industry</w:t>
      </w:r>
      <w:r w:rsidRPr="00EB2BD8">
        <w:rPr>
          <w:spacing w:val="-14"/>
        </w:rPr>
        <w:t xml:space="preserve"> </w:t>
      </w:r>
      <w:r w:rsidRPr="00EB2BD8">
        <w:t>Association,</w:t>
      </w:r>
      <w:r w:rsidRPr="00EB2BD8">
        <w:rPr>
          <w:spacing w:val="-15"/>
        </w:rPr>
        <w:t xml:space="preserve"> </w:t>
      </w:r>
      <w:r w:rsidRPr="00EB2BD8">
        <w:t>Master</w:t>
      </w:r>
      <w:r w:rsidRPr="00EB2BD8">
        <w:rPr>
          <w:spacing w:val="-14"/>
        </w:rPr>
        <w:t xml:space="preserve"> </w:t>
      </w:r>
      <w:r w:rsidRPr="00EB2BD8">
        <w:t>Builders Association</w:t>
      </w:r>
      <w:r w:rsidRPr="00EB2BD8">
        <w:rPr>
          <w:spacing w:val="-12"/>
        </w:rPr>
        <w:t xml:space="preserve"> </w:t>
      </w:r>
      <w:r w:rsidRPr="00EB2BD8">
        <w:t>Victoria,</w:t>
      </w:r>
      <w:r w:rsidRPr="00EB2BD8">
        <w:rPr>
          <w:spacing w:val="-11"/>
        </w:rPr>
        <w:t xml:space="preserve"> </w:t>
      </w:r>
      <w:r w:rsidRPr="00EB2BD8">
        <w:t>the</w:t>
      </w:r>
      <w:r w:rsidRPr="00EB2BD8">
        <w:rPr>
          <w:spacing w:val="-12"/>
        </w:rPr>
        <w:t xml:space="preserve"> </w:t>
      </w:r>
      <w:r w:rsidRPr="00EB2BD8">
        <w:t>VMIA,</w:t>
      </w:r>
      <w:r w:rsidRPr="00EB2BD8">
        <w:rPr>
          <w:spacing w:val="-11"/>
        </w:rPr>
        <w:t xml:space="preserve"> </w:t>
      </w:r>
      <w:r w:rsidRPr="00EB2BD8">
        <w:t>AIBS</w:t>
      </w:r>
      <w:r w:rsidRPr="00EB2BD8">
        <w:rPr>
          <w:spacing w:val="-12"/>
        </w:rPr>
        <w:t xml:space="preserve"> </w:t>
      </w:r>
      <w:r w:rsidRPr="00EB2BD8">
        <w:t>and</w:t>
      </w:r>
      <w:r w:rsidRPr="00EB2BD8">
        <w:rPr>
          <w:spacing w:val="-11"/>
        </w:rPr>
        <w:t xml:space="preserve"> </w:t>
      </w:r>
      <w:r w:rsidRPr="00EB2BD8">
        <w:t>the</w:t>
      </w:r>
      <w:r w:rsidRPr="00EB2BD8">
        <w:rPr>
          <w:spacing w:val="-11"/>
        </w:rPr>
        <w:t xml:space="preserve"> </w:t>
      </w:r>
      <w:r w:rsidRPr="00EB2BD8">
        <w:rPr>
          <w:spacing w:val="-2"/>
        </w:rPr>
        <w:t>Municipal</w:t>
      </w:r>
    </w:p>
    <w:p w14:paraId="078DB6D2" w14:textId="77777777" w:rsidR="00084F36" w:rsidRPr="00EB2BD8" w:rsidRDefault="00EB2BD8">
      <w:pPr>
        <w:pStyle w:val="BodyText"/>
        <w:spacing w:line="261" w:lineRule="auto"/>
        <w:ind w:left="426" w:right="944"/>
      </w:pPr>
      <w:r w:rsidRPr="00EB2BD8">
        <w:t>Building</w:t>
      </w:r>
      <w:r w:rsidRPr="00EB2BD8">
        <w:rPr>
          <w:spacing w:val="-15"/>
        </w:rPr>
        <w:t xml:space="preserve"> </w:t>
      </w:r>
      <w:r w:rsidRPr="00EB2BD8">
        <w:t>Surveyors</w:t>
      </w:r>
      <w:r w:rsidRPr="00EB2BD8">
        <w:rPr>
          <w:spacing w:val="-14"/>
        </w:rPr>
        <w:t xml:space="preserve"> </w:t>
      </w:r>
      <w:r w:rsidRPr="00EB2BD8">
        <w:t>Group,</w:t>
      </w:r>
      <w:r w:rsidRPr="00EB2BD8">
        <w:rPr>
          <w:spacing w:val="-14"/>
        </w:rPr>
        <w:t xml:space="preserve"> </w:t>
      </w:r>
      <w:r w:rsidRPr="00EB2BD8">
        <w:t>to</w:t>
      </w:r>
      <w:r w:rsidRPr="00EB2BD8">
        <w:rPr>
          <w:spacing w:val="-14"/>
        </w:rPr>
        <w:t xml:space="preserve"> </w:t>
      </w:r>
      <w:r w:rsidRPr="00EB2BD8">
        <w:t>develop</w:t>
      </w:r>
      <w:r w:rsidRPr="00EB2BD8">
        <w:rPr>
          <w:spacing w:val="-15"/>
        </w:rPr>
        <w:t xml:space="preserve"> </w:t>
      </w:r>
      <w:r w:rsidRPr="00EB2BD8">
        <w:t>joint</w:t>
      </w:r>
      <w:r w:rsidRPr="00EB2BD8">
        <w:rPr>
          <w:spacing w:val="-14"/>
        </w:rPr>
        <w:t xml:space="preserve"> </w:t>
      </w:r>
      <w:r w:rsidRPr="00EB2BD8">
        <w:t>initiatives</w:t>
      </w:r>
      <w:r w:rsidRPr="00EB2BD8">
        <w:rPr>
          <w:spacing w:val="-14"/>
        </w:rPr>
        <w:t xml:space="preserve"> </w:t>
      </w:r>
      <w:r w:rsidRPr="00EB2BD8">
        <w:t>to address this industry shortage.</w:t>
      </w:r>
    </w:p>
    <w:p w14:paraId="62AB39A7"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2" w:space="720" w:equalWidth="0">
            <w:col w:w="5674" w:space="40"/>
            <w:col w:w="6196"/>
          </w:cols>
        </w:sectPr>
      </w:pPr>
    </w:p>
    <w:p w14:paraId="5DCFB1AE" w14:textId="77777777" w:rsidR="00084F36" w:rsidRPr="00EB2BD8" w:rsidRDefault="00084F36">
      <w:pPr>
        <w:pStyle w:val="BodyText"/>
        <w:rPr>
          <w:sz w:val="20"/>
        </w:rPr>
      </w:pPr>
    </w:p>
    <w:p w14:paraId="03E03D47" w14:textId="77777777" w:rsidR="00084F36" w:rsidRPr="00EB2BD8" w:rsidRDefault="00084F36">
      <w:pPr>
        <w:pStyle w:val="BodyText"/>
        <w:rPr>
          <w:sz w:val="20"/>
        </w:rPr>
      </w:pPr>
    </w:p>
    <w:p w14:paraId="4C9B70D5" w14:textId="77777777" w:rsidR="00084F36" w:rsidRPr="00EB2BD8" w:rsidRDefault="00084F36">
      <w:pPr>
        <w:pStyle w:val="BodyText"/>
        <w:rPr>
          <w:sz w:val="20"/>
        </w:rPr>
      </w:pPr>
    </w:p>
    <w:p w14:paraId="02448362" w14:textId="77777777" w:rsidR="00084F36" w:rsidRPr="00EB2BD8" w:rsidRDefault="00084F36">
      <w:pPr>
        <w:pStyle w:val="BodyText"/>
        <w:rPr>
          <w:sz w:val="20"/>
        </w:rPr>
      </w:pPr>
    </w:p>
    <w:p w14:paraId="1970FE93" w14:textId="77777777" w:rsidR="00084F36" w:rsidRPr="00EB2BD8" w:rsidRDefault="00084F36">
      <w:pPr>
        <w:pStyle w:val="BodyText"/>
        <w:spacing w:before="4"/>
        <w:rPr>
          <w:sz w:val="16"/>
        </w:rPr>
      </w:pPr>
    </w:p>
    <w:p w14:paraId="1EE31B2F" w14:textId="77777777" w:rsidR="00084F36" w:rsidRPr="00EB2BD8" w:rsidRDefault="00084F36">
      <w:pPr>
        <w:rPr>
          <w:sz w:val="16"/>
        </w:rPr>
        <w:sectPr w:rsidR="00084F36" w:rsidRPr="00EB2BD8" w:rsidSect="006D75B2">
          <w:footerReference w:type="default" r:id="rId168"/>
          <w:pgSz w:w="11910" w:h="16840"/>
          <w:pgMar w:top="1100" w:right="0" w:bottom="700" w:left="0" w:header="0" w:footer="515" w:gutter="0"/>
          <w:cols w:space="720"/>
        </w:sectPr>
      </w:pPr>
    </w:p>
    <w:p w14:paraId="09969306" w14:textId="77777777" w:rsidR="00084F36" w:rsidRPr="00EB2BD8" w:rsidRDefault="00EB2BD8" w:rsidP="00EB2BD8">
      <w:pPr>
        <w:pStyle w:val="Heading2"/>
      </w:pPr>
      <w:bookmarkStart w:id="143" w:name="_Toc150762445"/>
      <w:r w:rsidRPr="00EB2BD8">
        <w:t>VBA</w:t>
      </w:r>
      <w:r w:rsidRPr="00EB2BD8">
        <w:rPr>
          <w:spacing w:val="-18"/>
        </w:rPr>
        <w:t xml:space="preserve"> </w:t>
      </w:r>
      <w:r w:rsidRPr="00EB2BD8">
        <w:t>response</w:t>
      </w:r>
      <w:r w:rsidRPr="00EB2BD8">
        <w:rPr>
          <w:spacing w:val="-17"/>
        </w:rPr>
        <w:t xml:space="preserve"> </w:t>
      </w:r>
      <w:r w:rsidRPr="00EB2BD8">
        <w:t>to</w:t>
      </w:r>
      <w:r w:rsidRPr="00EB2BD8">
        <w:rPr>
          <w:spacing w:val="-18"/>
        </w:rPr>
        <w:t xml:space="preserve"> </w:t>
      </w:r>
      <w:r w:rsidRPr="00EB2BD8">
        <w:t>natural</w:t>
      </w:r>
      <w:r w:rsidRPr="00EB2BD8">
        <w:rPr>
          <w:spacing w:val="-17"/>
        </w:rPr>
        <w:t xml:space="preserve"> </w:t>
      </w:r>
      <w:r w:rsidRPr="00EB2BD8">
        <w:t>disasters</w:t>
      </w:r>
      <w:bookmarkEnd w:id="143"/>
    </w:p>
    <w:p w14:paraId="70930273" w14:textId="77777777" w:rsidR="00084F36" w:rsidRPr="00EB2BD8" w:rsidRDefault="00EB2BD8">
      <w:pPr>
        <w:pStyle w:val="BodyText"/>
        <w:spacing w:before="169" w:line="261" w:lineRule="auto"/>
        <w:ind w:left="842" w:right="231"/>
      </w:pPr>
      <w:r w:rsidRPr="00EB2BD8">
        <w:t>In October 2022, 63 local government areas and one alpine resort experienced heavy rainfalls and flooding,</w:t>
      </w:r>
      <w:r w:rsidRPr="00EB2BD8">
        <w:rPr>
          <w:spacing w:val="-12"/>
        </w:rPr>
        <w:t xml:space="preserve"> </w:t>
      </w:r>
      <w:r w:rsidRPr="00EB2BD8">
        <w:t>which</w:t>
      </w:r>
      <w:r w:rsidRPr="00EB2BD8">
        <w:rPr>
          <w:spacing w:val="-11"/>
        </w:rPr>
        <w:t xml:space="preserve"> </w:t>
      </w:r>
      <w:r w:rsidRPr="00EB2BD8">
        <w:t>inundated</w:t>
      </w:r>
      <w:r w:rsidRPr="00EB2BD8">
        <w:rPr>
          <w:spacing w:val="-11"/>
        </w:rPr>
        <w:t xml:space="preserve"> </w:t>
      </w:r>
      <w:r w:rsidRPr="00EB2BD8">
        <w:t>homes,</w:t>
      </w:r>
      <w:r w:rsidRPr="00EB2BD8">
        <w:rPr>
          <w:spacing w:val="-11"/>
        </w:rPr>
        <w:t xml:space="preserve"> </w:t>
      </w:r>
      <w:r w:rsidRPr="00EB2BD8">
        <w:t>damages</w:t>
      </w:r>
      <w:r w:rsidRPr="00EB2BD8">
        <w:rPr>
          <w:spacing w:val="-11"/>
        </w:rPr>
        <w:t xml:space="preserve"> </w:t>
      </w:r>
      <w:r w:rsidRPr="00EB2BD8">
        <w:rPr>
          <w:spacing w:val="-2"/>
        </w:rPr>
        <w:t>roads</w:t>
      </w:r>
    </w:p>
    <w:p w14:paraId="52D1FB99" w14:textId="77777777" w:rsidR="00084F36" w:rsidRPr="00EB2BD8" w:rsidRDefault="00EB2BD8">
      <w:pPr>
        <w:pStyle w:val="BodyText"/>
        <w:spacing w:line="261" w:lineRule="auto"/>
        <w:ind w:left="842" w:right="76"/>
      </w:pPr>
      <w:r w:rsidRPr="00EB2BD8">
        <w:t>and bridges and isolated communities. This weather event</w:t>
      </w:r>
      <w:r w:rsidRPr="00EB2BD8">
        <w:rPr>
          <w:spacing w:val="-15"/>
        </w:rPr>
        <w:t xml:space="preserve"> </w:t>
      </w:r>
      <w:r w:rsidRPr="00EB2BD8">
        <w:t>wasn’t</w:t>
      </w:r>
      <w:r w:rsidRPr="00EB2BD8">
        <w:rPr>
          <w:spacing w:val="-14"/>
        </w:rPr>
        <w:t xml:space="preserve"> </w:t>
      </w:r>
      <w:r w:rsidRPr="00EB2BD8">
        <w:t>restricted</w:t>
      </w:r>
      <w:r w:rsidRPr="00EB2BD8">
        <w:rPr>
          <w:spacing w:val="-14"/>
        </w:rPr>
        <w:t xml:space="preserve"> </w:t>
      </w:r>
      <w:r w:rsidRPr="00EB2BD8">
        <w:t>to</w:t>
      </w:r>
      <w:r w:rsidRPr="00EB2BD8">
        <w:rPr>
          <w:spacing w:val="-14"/>
        </w:rPr>
        <w:t xml:space="preserve"> </w:t>
      </w:r>
      <w:r w:rsidRPr="00EB2BD8">
        <w:t>one</w:t>
      </w:r>
      <w:r w:rsidRPr="00EB2BD8">
        <w:rPr>
          <w:spacing w:val="-15"/>
        </w:rPr>
        <w:t xml:space="preserve"> </w:t>
      </w:r>
      <w:r w:rsidRPr="00EB2BD8">
        <w:t>township</w:t>
      </w:r>
      <w:r w:rsidRPr="00EB2BD8">
        <w:rPr>
          <w:spacing w:val="-14"/>
        </w:rPr>
        <w:t xml:space="preserve"> </w:t>
      </w:r>
      <w:r w:rsidRPr="00EB2BD8">
        <w:t>or</w:t>
      </w:r>
      <w:r w:rsidRPr="00EB2BD8">
        <w:rPr>
          <w:spacing w:val="-14"/>
        </w:rPr>
        <w:t xml:space="preserve"> </w:t>
      </w:r>
      <w:r w:rsidRPr="00EB2BD8">
        <w:t>region,</w:t>
      </w:r>
      <w:r w:rsidRPr="00EB2BD8">
        <w:rPr>
          <w:spacing w:val="-14"/>
        </w:rPr>
        <w:t xml:space="preserve"> </w:t>
      </w:r>
      <w:r w:rsidRPr="00EB2BD8">
        <w:t>with both metropolitan Melbourne and regional Victoria impacted by heavy rainfall.</w:t>
      </w:r>
    </w:p>
    <w:p w14:paraId="5CAE064E" w14:textId="77777777" w:rsidR="00084F36" w:rsidRPr="00EB2BD8" w:rsidRDefault="00EB2BD8">
      <w:pPr>
        <w:pStyle w:val="BodyText"/>
        <w:spacing w:before="106" w:line="261" w:lineRule="auto"/>
        <w:ind w:left="842" w:right="100"/>
      </w:pPr>
      <w:r w:rsidRPr="00EB2BD8">
        <w:t>As a key connector between industry, government and</w:t>
      </w:r>
      <w:r w:rsidRPr="00EB2BD8">
        <w:rPr>
          <w:spacing w:val="-9"/>
        </w:rPr>
        <w:t xml:space="preserve"> </w:t>
      </w:r>
      <w:r w:rsidRPr="00EB2BD8">
        <w:t>councils,</w:t>
      </w:r>
      <w:r w:rsidRPr="00EB2BD8">
        <w:rPr>
          <w:spacing w:val="-9"/>
        </w:rPr>
        <w:t xml:space="preserve"> </w:t>
      </w:r>
      <w:r w:rsidRPr="00EB2BD8">
        <w:t>the</w:t>
      </w:r>
      <w:r w:rsidRPr="00EB2BD8">
        <w:rPr>
          <w:spacing w:val="-9"/>
        </w:rPr>
        <w:t xml:space="preserve"> </w:t>
      </w:r>
      <w:r w:rsidRPr="00EB2BD8">
        <w:t>VBA</w:t>
      </w:r>
      <w:r w:rsidRPr="00EB2BD8">
        <w:rPr>
          <w:spacing w:val="-9"/>
        </w:rPr>
        <w:t xml:space="preserve"> </w:t>
      </w:r>
      <w:r w:rsidRPr="00EB2BD8">
        <w:t>regularly</w:t>
      </w:r>
      <w:r w:rsidRPr="00EB2BD8">
        <w:rPr>
          <w:spacing w:val="-9"/>
        </w:rPr>
        <w:t xml:space="preserve"> </w:t>
      </w:r>
      <w:r w:rsidRPr="00EB2BD8">
        <w:t>liaised</w:t>
      </w:r>
      <w:r w:rsidRPr="00EB2BD8">
        <w:rPr>
          <w:spacing w:val="-9"/>
        </w:rPr>
        <w:t xml:space="preserve"> </w:t>
      </w:r>
      <w:r w:rsidRPr="00EB2BD8">
        <w:t>with</w:t>
      </w:r>
      <w:r w:rsidRPr="00EB2BD8">
        <w:rPr>
          <w:spacing w:val="-9"/>
        </w:rPr>
        <w:t xml:space="preserve"> </w:t>
      </w:r>
      <w:r w:rsidRPr="00EB2BD8">
        <w:t>municipal building surveyors to hear about the local impacts</w:t>
      </w:r>
    </w:p>
    <w:p w14:paraId="1B34C37E" w14:textId="77777777" w:rsidR="00084F36" w:rsidRPr="00EB2BD8" w:rsidRDefault="00EB2BD8">
      <w:pPr>
        <w:pStyle w:val="BodyText"/>
        <w:spacing w:line="261" w:lineRule="auto"/>
        <w:ind w:left="842" w:right="100"/>
      </w:pPr>
      <w:r w:rsidRPr="00EB2BD8">
        <w:t>of</w:t>
      </w:r>
      <w:r w:rsidRPr="00EB2BD8">
        <w:rPr>
          <w:spacing w:val="-6"/>
        </w:rPr>
        <w:t xml:space="preserve"> </w:t>
      </w:r>
      <w:r w:rsidRPr="00EB2BD8">
        <w:t>the</w:t>
      </w:r>
      <w:r w:rsidRPr="00EB2BD8">
        <w:rPr>
          <w:spacing w:val="-6"/>
        </w:rPr>
        <w:t xml:space="preserve"> </w:t>
      </w:r>
      <w:r w:rsidRPr="00EB2BD8">
        <w:t>floods</w:t>
      </w:r>
      <w:r w:rsidRPr="00EB2BD8">
        <w:rPr>
          <w:spacing w:val="-6"/>
        </w:rPr>
        <w:t xml:space="preserve"> </w:t>
      </w:r>
      <w:r w:rsidRPr="00EB2BD8">
        <w:t>and</w:t>
      </w:r>
      <w:r w:rsidRPr="00EB2BD8">
        <w:rPr>
          <w:spacing w:val="-6"/>
        </w:rPr>
        <w:t xml:space="preserve"> </w:t>
      </w:r>
      <w:r w:rsidRPr="00EB2BD8">
        <w:t>what</w:t>
      </w:r>
      <w:r w:rsidRPr="00EB2BD8">
        <w:rPr>
          <w:spacing w:val="-6"/>
        </w:rPr>
        <w:t xml:space="preserve"> </w:t>
      </w:r>
      <w:r w:rsidRPr="00EB2BD8">
        <w:t>preliminary</w:t>
      </w:r>
      <w:r w:rsidRPr="00EB2BD8">
        <w:rPr>
          <w:spacing w:val="-6"/>
        </w:rPr>
        <w:t xml:space="preserve"> </w:t>
      </w:r>
      <w:r w:rsidRPr="00EB2BD8">
        <w:t>issues</w:t>
      </w:r>
      <w:r w:rsidRPr="00EB2BD8">
        <w:rPr>
          <w:spacing w:val="-6"/>
        </w:rPr>
        <w:t xml:space="preserve"> </w:t>
      </w:r>
      <w:r w:rsidRPr="00EB2BD8">
        <w:t>had</w:t>
      </w:r>
      <w:r w:rsidRPr="00EB2BD8">
        <w:rPr>
          <w:spacing w:val="-6"/>
        </w:rPr>
        <w:t xml:space="preserve"> </w:t>
      </w:r>
      <w:r w:rsidRPr="00EB2BD8">
        <w:t>arisen in</w:t>
      </w:r>
      <w:r w:rsidRPr="00EB2BD8">
        <w:rPr>
          <w:spacing w:val="-6"/>
        </w:rPr>
        <w:t xml:space="preserve"> </w:t>
      </w:r>
      <w:r w:rsidRPr="00EB2BD8">
        <w:t>the</w:t>
      </w:r>
      <w:r w:rsidRPr="00EB2BD8">
        <w:rPr>
          <w:spacing w:val="-6"/>
        </w:rPr>
        <w:t xml:space="preserve"> </w:t>
      </w:r>
      <w:r w:rsidRPr="00EB2BD8">
        <w:t>hours</w:t>
      </w:r>
      <w:r w:rsidRPr="00EB2BD8">
        <w:rPr>
          <w:spacing w:val="-6"/>
        </w:rPr>
        <w:t xml:space="preserve"> </w:t>
      </w:r>
      <w:r w:rsidRPr="00EB2BD8">
        <w:t>and</w:t>
      </w:r>
      <w:r w:rsidRPr="00EB2BD8">
        <w:rPr>
          <w:spacing w:val="-6"/>
        </w:rPr>
        <w:t xml:space="preserve"> </w:t>
      </w:r>
      <w:r w:rsidRPr="00EB2BD8">
        <w:t>days</w:t>
      </w:r>
      <w:r w:rsidRPr="00EB2BD8">
        <w:rPr>
          <w:spacing w:val="-6"/>
        </w:rPr>
        <w:t xml:space="preserve"> </w:t>
      </w:r>
      <w:r w:rsidRPr="00EB2BD8">
        <w:t>following</w:t>
      </w:r>
      <w:r w:rsidRPr="00EB2BD8">
        <w:rPr>
          <w:spacing w:val="-6"/>
        </w:rPr>
        <w:t xml:space="preserve"> </w:t>
      </w:r>
      <w:r w:rsidRPr="00EB2BD8">
        <w:t>the</w:t>
      </w:r>
      <w:r w:rsidRPr="00EB2BD8">
        <w:rPr>
          <w:spacing w:val="-6"/>
        </w:rPr>
        <w:t xml:space="preserve"> </w:t>
      </w:r>
      <w:r w:rsidRPr="00EB2BD8">
        <w:t>floods.</w:t>
      </w:r>
      <w:r w:rsidRPr="00EB2BD8">
        <w:rPr>
          <w:spacing w:val="-6"/>
        </w:rPr>
        <w:t xml:space="preserve"> </w:t>
      </w:r>
      <w:r w:rsidRPr="00EB2BD8">
        <w:t>To</w:t>
      </w:r>
      <w:r w:rsidRPr="00EB2BD8">
        <w:rPr>
          <w:spacing w:val="-6"/>
        </w:rPr>
        <w:t xml:space="preserve"> </w:t>
      </w:r>
      <w:r w:rsidRPr="00EB2BD8">
        <w:t>assist</w:t>
      </w:r>
    </w:p>
    <w:p w14:paraId="523C747E" w14:textId="77777777" w:rsidR="00084F36" w:rsidRPr="00EB2BD8" w:rsidRDefault="00EB2BD8">
      <w:pPr>
        <w:pStyle w:val="BodyText"/>
        <w:spacing w:line="261" w:lineRule="auto"/>
        <w:ind w:left="842"/>
      </w:pPr>
      <w:r w:rsidRPr="00EB2BD8">
        <w:t>councils</w:t>
      </w:r>
      <w:r w:rsidRPr="00EB2BD8">
        <w:rPr>
          <w:spacing w:val="-14"/>
        </w:rPr>
        <w:t xml:space="preserve"> </w:t>
      </w:r>
      <w:r w:rsidRPr="00EB2BD8">
        <w:t>with</w:t>
      </w:r>
      <w:r w:rsidRPr="00EB2BD8">
        <w:rPr>
          <w:spacing w:val="-14"/>
        </w:rPr>
        <w:t xml:space="preserve"> </w:t>
      </w:r>
      <w:r w:rsidRPr="00EB2BD8">
        <w:t>assessments</w:t>
      </w:r>
      <w:r w:rsidRPr="00EB2BD8">
        <w:rPr>
          <w:spacing w:val="-14"/>
        </w:rPr>
        <w:t xml:space="preserve"> </w:t>
      </w:r>
      <w:r w:rsidRPr="00EB2BD8">
        <w:t>of</w:t>
      </w:r>
      <w:r w:rsidRPr="00EB2BD8">
        <w:rPr>
          <w:spacing w:val="-14"/>
        </w:rPr>
        <w:t xml:space="preserve"> </w:t>
      </w:r>
      <w:r w:rsidRPr="00EB2BD8">
        <w:t>flood</w:t>
      </w:r>
      <w:r w:rsidRPr="00EB2BD8">
        <w:rPr>
          <w:spacing w:val="-14"/>
        </w:rPr>
        <w:t xml:space="preserve"> </w:t>
      </w:r>
      <w:r w:rsidRPr="00EB2BD8">
        <w:t>affected</w:t>
      </w:r>
      <w:r w:rsidRPr="00EB2BD8">
        <w:rPr>
          <w:spacing w:val="-14"/>
        </w:rPr>
        <w:t xml:space="preserve"> </w:t>
      </w:r>
      <w:r w:rsidRPr="00EB2BD8">
        <w:t>properties, the VBA proactively sought expressions of interest from building surveyors and building inspectors, with about 100 responses received. The work of these building practitioners ensured councils could utilise this</w:t>
      </w:r>
      <w:r w:rsidRPr="00EB2BD8">
        <w:rPr>
          <w:spacing w:val="-15"/>
        </w:rPr>
        <w:t xml:space="preserve"> </w:t>
      </w:r>
      <w:r w:rsidRPr="00EB2BD8">
        <w:t>expertise</w:t>
      </w:r>
      <w:r w:rsidRPr="00EB2BD8">
        <w:rPr>
          <w:spacing w:val="-14"/>
        </w:rPr>
        <w:t xml:space="preserve"> </w:t>
      </w:r>
      <w:r w:rsidRPr="00EB2BD8">
        <w:t>to</w:t>
      </w:r>
      <w:r w:rsidRPr="00EB2BD8">
        <w:rPr>
          <w:spacing w:val="-14"/>
        </w:rPr>
        <w:t xml:space="preserve"> </w:t>
      </w:r>
      <w:r w:rsidRPr="00EB2BD8">
        <w:t>assist</w:t>
      </w:r>
      <w:r w:rsidRPr="00EB2BD8">
        <w:rPr>
          <w:spacing w:val="-14"/>
        </w:rPr>
        <w:t xml:space="preserve"> </w:t>
      </w:r>
      <w:r w:rsidRPr="00EB2BD8">
        <w:t>with</w:t>
      </w:r>
      <w:r w:rsidRPr="00EB2BD8">
        <w:rPr>
          <w:spacing w:val="-15"/>
        </w:rPr>
        <w:t xml:space="preserve"> </w:t>
      </w:r>
      <w:r w:rsidRPr="00EB2BD8">
        <w:t>building</w:t>
      </w:r>
      <w:r w:rsidRPr="00EB2BD8">
        <w:rPr>
          <w:spacing w:val="-14"/>
        </w:rPr>
        <w:t xml:space="preserve"> </w:t>
      </w:r>
      <w:r w:rsidRPr="00EB2BD8">
        <w:t>surveyor</w:t>
      </w:r>
      <w:r w:rsidRPr="00EB2BD8">
        <w:rPr>
          <w:spacing w:val="-14"/>
        </w:rPr>
        <w:t xml:space="preserve"> </w:t>
      </w:r>
      <w:r w:rsidRPr="00EB2BD8">
        <w:t>functions within the impacted regions sooner.</w:t>
      </w:r>
    </w:p>
    <w:p w14:paraId="744DD6B1" w14:textId="77777777" w:rsidR="00084F36" w:rsidRPr="00EB2BD8" w:rsidRDefault="00EB2BD8">
      <w:pPr>
        <w:pStyle w:val="BodyText"/>
        <w:spacing w:before="101" w:line="261" w:lineRule="auto"/>
        <w:ind w:left="842"/>
      </w:pPr>
      <w:r w:rsidRPr="00EB2BD8">
        <w:t>The</w:t>
      </w:r>
      <w:r w:rsidRPr="00EB2BD8">
        <w:rPr>
          <w:spacing w:val="-4"/>
        </w:rPr>
        <w:t xml:space="preserve"> </w:t>
      </w:r>
      <w:r w:rsidRPr="00EB2BD8">
        <w:t>VBA</w:t>
      </w:r>
      <w:r w:rsidRPr="00EB2BD8">
        <w:rPr>
          <w:spacing w:val="-4"/>
        </w:rPr>
        <w:t xml:space="preserve"> </w:t>
      </w:r>
      <w:r w:rsidRPr="00EB2BD8">
        <w:t>continues</w:t>
      </w:r>
      <w:r w:rsidRPr="00EB2BD8">
        <w:rPr>
          <w:spacing w:val="-4"/>
        </w:rPr>
        <w:t xml:space="preserve"> </w:t>
      </w:r>
      <w:r w:rsidRPr="00EB2BD8">
        <w:t>to</w:t>
      </w:r>
      <w:r w:rsidRPr="00EB2BD8">
        <w:rPr>
          <w:spacing w:val="-4"/>
        </w:rPr>
        <w:t xml:space="preserve"> </w:t>
      </w:r>
      <w:r w:rsidRPr="00EB2BD8">
        <w:t>collaborate</w:t>
      </w:r>
      <w:r w:rsidRPr="00EB2BD8">
        <w:rPr>
          <w:spacing w:val="-4"/>
        </w:rPr>
        <w:t xml:space="preserve"> </w:t>
      </w:r>
      <w:r w:rsidRPr="00EB2BD8">
        <w:t>with</w:t>
      </w:r>
      <w:r w:rsidRPr="00EB2BD8">
        <w:rPr>
          <w:spacing w:val="-4"/>
        </w:rPr>
        <w:t xml:space="preserve"> </w:t>
      </w:r>
      <w:r w:rsidRPr="00EB2BD8">
        <w:t>the</w:t>
      </w:r>
      <w:r w:rsidRPr="00EB2BD8">
        <w:rPr>
          <w:spacing w:val="-4"/>
        </w:rPr>
        <w:t xml:space="preserve"> </w:t>
      </w:r>
      <w:r w:rsidRPr="00EB2BD8">
        <w:t>Department of Transport and Planning, the Department of Energy, Environment and Climate Action and Emergency Recovery Victoria to discuss, review and provide guidance for secondary impact assessments, from</w:t>
      </w:r>
    </w:p>
    <w:p w14:paraId="69324B18" w14:textId="77777777" w:rsidR="00084F36" w:rsidRPr="00EB2BD8" w:rsidRDefault="00EB2BD8">
      <w:pPr>
        <w:pStyle w:val="BodyText"/>
        <w:spacing w:line="261" w:lineRule="auto"/>
        <w:ind w:left="842" w:right="231"/>
      </w:pPr>
      <w:r w:rsidRPr="00EB2BD8">
        <w:t>a building perspective. These assessments identify the</w:t>
      </w:r>
      <w:r w:rsidRPr="00EB2BD8">
        <w:rPr>
          <w:spacing w:val="-2"/>
        </w:rPr>
        <w:t xml:space="preserve"> </w:t>
      </w:r>
      <w:r w:rsidRPr="00EB2BD8">
        <w:t>impact</w:t>
      </w:r>
      <w:r w:rsidRPr="00EB2BD8">
        <w:rPr>
          <w:spacing w:val="-2"/>
        </w:rPr>
        <w:t xml:space="preserve"> </w:t>
      </w:r>
      <w:r w:rsidRPr="00EB2BD8">
        <w:t>of</w:t>
      </w:r>
      <w:r w:rsidRPr="00EB2BD8">
        <w:rPr>
          <w:spacing w:val="-2"/>
        </w:rPr>
        <w:t xml:space="preserve"> </w:t>
      </w:r>
      <w:r w:rsidRPr="00EB2BD8">
        <w:t>emergency</w:t>
      </w:r>
      <w:r w:rsidRPr="00EB2BD8">
        <w:rPr>
          <w:spacing w:val="-2"/>
        </w:rPr>
        <w:t xml:space="preserve"> </w:t>
      </w:r>
      <w:r w:rsidRPr="00EB2BD8">
        <w:t>events,</w:t>
      </w:r>
      <w:r w:rsidRPr="00EB2BD8">
        <w:rPr>
          <w:spacing w:val="-2"/>
        </w:rPr>
        <w:t xml:space="preserve"> </w:t>
      </w:r>
      <w:r w:rsidRPr="00EB2BD8">
        <w:t>with</w:t>
      </w:r>
      <w:r w:rsidRPr="00EB2BD8">
        <w:rPr>
          <w:spacing w:val="-2"/>
        </w:rPr>
        <w:t xml:space="preserve"> </w:t>
      </w:r>
      <w:r w:rsidRPr="00EB2BD8">
        <w:t>each</w:t>
      </w:r>
      <w:r w:rsidRPr="00EB2BD8">
        <w:rPr>
          <w:spacing w:val="-2"/>
        </w:rPr>
        <w:t xml:space="preserve"> </w:t>
      </w:r>
      <w:r w:rsidRPr="00EB2BD8">
        <w:t xml:space="preserve">affected building being inspected and assessed for flood </w:t>
      </w:r>
      <w:r w:rsidRPr="00EB2BD8">
        <w:rPr>
          <w:spacing w:val="-2"/>
        </w:rPr>
        <w:t>damage.</w:t>
      </w:r>
    </w:p>
    <w:p w14:paraId="4977CF3B" w14:textId="08D8F2CE" w:rsidR="00084F36" w:rsidRPr="00EB2BD8" w:rsidRDefault="00EB2BD8" w:rsidP="00E13356">
      <w:pPr>
        <w:pStyle w:val="Heading2"/>
        <w:ind w:left="0"/>
      </w:pPr>
      <w:r w:rsidRPr="00EB2BD8">
        <w:br w:type="column"/>
      </w:r>
      <w:r w:rsidR="00E13356">
        <w:t xml:space="preserve">     </w:t>
      </w:r>
      <w:bookmarkStart w:id="144" w:name="_Toc150762446"/>
      <w:r w:rsidRPr="00EB2BD8">
        <w:t>Communications</w:t>
      </w:r>
      <w:r w:rsidRPr="00EB2BD8">
        <w:rPr>
          <w:spacing w:val="-11"/>
        </w:rPr>
        <w:t xml:space="preserve"> </w:t>
      </w:r>
      <w:r w:rsidRPr="00EB2BD8">
        <w:t>and</w:t>
      </w:r>
      <w:r w:rsidRPr="00EB2BD8">
        <w:rPr>
          <w:spacing w:val="-11"/>
        </w:rPr>
        <w:t xml:space="preserve"> </w:t>
      </w:r>
      <w:r w:rsidR="00E13356">
        <w:rPr>
          <w:spacing w:val="-11"/>
        </w:rPr>
        <w:br/>
        <w:t xml:space="preserve">      </w:t>
      </w:r>
      <w:r w:rsidRPr="00EB2BD8">
        <w:t xml:space="preserve">engagement </w:t>
      </w:r>
      <w:r w:rsidRPr="00EB2BD8">
        <w:rPr>
          <w:spacing w:val="-2"/>
        </w:rPr>
        <w:t>flourishes</w:t>
      </w:r>
      <w:bookmarkEnd w:id="144"/>
    </w:p>
    <w:p w14:paraId="1455D969" w14:textId="77777777" w:rsidR="00084F36" w:rsidRPr="00EB2BD8" w:rsidRDefault="00EB2BD8">
      <w:pPr>
        <w:pStyle w:val="BodyText"/>
        <w:spacing w:before="170" w:line="261" w:lineRule="auto"/>
        <w:ind w:left="520" w:right="906"/>
      </w:pPr>
      <w:r w:rsidRPr="00EB2BD8">
        <w:t>The</w:t>
      </w:r>
      <w:r w:rsidRPr="00EB2BD8">
        <w:rPr>
          <w:spacing w:val="-8"/>
        </w:rPr>
        <w:t xml:space="preserve"> </w:t>
      </w:r>
      <w:r w:rsidRPr="00EB2BD8">
        <w:t>VBA’s</w:t>
      </w:r>
      <w:r w:rsidRPr="00EB2BD8">
        <w:rPr>
          <w:spacing w:val="-8"/>
        </w:rPr>
        <w:t xml:space="preserve"> </w:t>
      </w:r>
      <w:r w:rsidRPr="00EB2BD8">
        <w:t>communications</w:t>
      </w:r>
      <w:r w:rsidRPr="00EB2BD8">
        <w:rPr>
          <w:spacing w:val="-8"/>
        </w:rPr>
        <w:t xml:space="preserve"> </w:t>
      </w:r>
      <w:r w:rsidRPr="00EB2BD8">
        <w:t>channels</w:t>
      </w:r>
      <w:r w:rsidRPr="00EB2BD8">
        <w:rPr>
          <w:spacing w:val="-8"/>
        </w:rPr>
        <w:t xml:space="preserve"> </w:t>
      </w:r>
      <w:r w:rsidRPr="00EB2BD8">
        <w:t>continue</w:t>
      </w:r>
      <w:r w:rsidRPr="00EB2BD8">
        <w:rPr>
          <w:spacing w:val="-8"/>
        </w:rPr>
        <w:t xml:space="preserve"> </w:t>
      </w:r>
      <w:r w:rsidRPr="00EB2BD8">
        <w:t>to</w:t>
      </w:r>
      <w:r w:rsidRPr="00EB2BD8">
        <w:rPr>
          <w:spacing w:val="-8"/>
        </w:rPr>
        <w:t xml:space="preserve"> </w:t>
      </w:r>
      <w:r w:rsidRPr="00EB2BD8">
        <w:t>grow in popularity and offer the Authority an opportunity</w:t>
      </w:r>
    </w:p>
    <w:p w14:paraId="3C8255DB" w14:textId="77777777" w:rsidR="00084F36" w:rsidRPr="00EB2BD8" w:rsidRDefault="00EB2BD8">
      <w:pPr>
        <w:pStyle w:val="BodyText"/>
        <w:spacing w:line="261" w:lineRule="auto"/>
        <w:ind w:left="520" w:right="906"/>
      </w:pPr>
      <w:r w:rsidRPr="00EB2BD8">
        <w:t>to engage with audiences and increase our reach to consumers.</w:t>
      </w:r>
      <w:r w:rsidRPr="00EB2BD8">
        <w:rPr>
          <w:spacing w:val="-11"/>
        </w:rPr>
        <w:t xml:space="preserve"> </w:t>
      </w:r>
      <w:r w:rsidRPr="00EB2BD8">
        <w:t>More</w:t>
      </w:r>
      <w:r w:rsidRPr="00EB2BD8">
        <w:rPr>
          <w:spacing w:val="-11"/>
        </w:rPr>
        <w:t xml:space="preserve"> </w:t>
      </w:r>
      <w:r w:rsidRPr="00EB2BD8">
        <w:t>than</w:t>
      </w:r>
      <w:r w:rsidRPr="00EB2BD8">
        <w:rPr>
          <w:spacing w:val="-11"/>
        </w:rPr>
        <w:t xml:space="preserve"> </w:t>
      </w:r>
      <w:r w:rsidRPr="00EB2BD8">
        <w:t>4.2</w:t>
      </w:r>
      <w:r w:rsidRPr="00EB2BD8">
        <w:rPr>
          <w:spacing w:val="-11"/>
        </w:rPr>
        <w:t xml:space="preserve"> </w:t>
      </w:r>
      <w:r w:rsidRPr="00EB2BD8">
        <w:t>million</w:t>
      </w:r>
      <w:r w:rsidRPr="00EB2BD8">
        <w:rPr>
          <w:spacing w:val="-11"/>
        </w:rPr>
        <w:t xml:space="preserve"> </w:t>
      </w:r>
      <w:r w:rsidRPr="00EB2BD8">
        <w:t>visitors</w:t>
      </w:r>
      <w:r w:rsidRPr="00EB2BD8">
        <w:rPr>
          <w:spacing w:val="-11"/>
        </w:rPr>
        <w:t xml:space="preserve"> </w:t>
      </w:r>
      <w:r w:rsidRPr="00EB2BD8">
        <w:t>to</w:t>
      </w:r>
      <w:r w:rsidRPr="00EB2BD8">
        <w:rPr>
          <w:spacing w:val="-11"/>
        </w:rPr>
        <w:t xml:space="preserve"> </w:t>
      </w:r>
      <w:r w:rsidRPr="00EB2BD8">
        <w:t>the</w:t>
      </w:r>
      <w:r w:rsidRPr="00EB2BD8">
        <w:rPr>
          <w:spacing w:val="-11"/>
        </w:rPr>
        <w:t xml:space="preserve"> </w:t>
      </w:r>
      <w:r w:rsidRPr="00EB2BD8">
        <w:t>VBA website</w:t>
      </w:r>
      <w:r w:rsidRPr="00EB2BD8">
        <w:rPr>
          <w:spacing w:val="-5"/>
        </w:rPr>
        <w:t xml:space="preserve"> </w:t>
      </w:r>
      <w:r w:rsidRPr="00EB2BD8">
        <w:t>engaged</w:t>
      </w:r>
      <w:r w:rsidRPr="00EB2BD8">
        <w:rPr>
          <w:spacing w:val="-5"/>
        </w:rPr>
        <w:t xml:space="preserve"> </w:t>
      </w:r>
      <w:r w:rsidRPr="00EB2BD8">
        <w:t>with</w:t>
      </w:r>
      <w:r w:rsidRPr="00EB2BD8">
        <w:rPr>
          <w:spacing w:val="-5"/>
        </w:rPr>
        <w:t xml:space="preserve"> </w:t>
      </w:r>
      <w:r w:rsidRPr="00EB2BD8">
        <w:t>content</w:t>
      </w:r>
      <w:r w:rsidRPr="00EB2BD8">
        <w:rPr>
          <w:spacing w:val="-5"/>
        </w:rPr>
        <w:t xml:space="preserve"> </w:t>
      </w:r>
      <w:r w:rsidRPr="00EB2BD8">
        <w:t>including</w:t>
      </w:r>
      <w:r w:rsidRPr="00EB2BD8">
        <w:rPr>
          <w:spacing w:val="-5"/>
        </w:rPr>
        <w:t xml:space="preserve"> </w:t>
      </w:r>
      <w:r w:rsidRPr="00EB2BD8">
        <w:t>registration and licensing, the Find a Practitioner tool, domestic building insurance and home renovation permits.</w:t>
      </w:r>
    </w:p>
    <w:p w14:paraId="6F247BB0" w14:textId="77777777" w:rsidR="00084F36" w:rsidRPr="00EB2BD8" w:rsidRDefault="00EB2BD8">
      <w:pPr>
        <w:pStyle w:val="BodyText"/>
        <w:spacing w:before="106" w:line="261" w:lineRule="auto"/>
        <w:ind w:left="520" w:right="1033"/>
      </w:pPr>
      <w:r w:rsidRPr="00EB2BD8">
        <w:t>The VBA’s social media channels, LinkedIn, Facebook and</w:t>
      </w:r>
      <w:r w:rsidRPr="00EB2BD8">
        <w:rPr>
          <w:spacing w:val="-4"/>
        </w:rPr>
        <w:t xml:space="preserve"> </w:t>
      </w:r>
      <w:r w:rsidRPr="00EB2BD8">
        <w:t>Instagram,</w:t>
      </w:r>
      <w:r w:rsidRPr="00EB2BD8">
        <w:rPr>
          <w:spacing w:val="-4"/>
        </w:rPr>
        <w:t xml:space="preserve"> </w:t>
      </w:r>
      <w:r w:rsidRPr="00EB2BD8">
        <w:t>increased</w:t>
      </w:r>
      <w:r w:rsidRPr="00EB2BD8">
        <w:rPr>
          <w:spacing w:val="-4"/>
        </w:rPr>
        <w:t xml:space="preserve"> </w:t>
      </w:r>
      <w:r w:rsidRPr="00EB2BD8">
        <w:t>in</w:t>
      </w:r>
      <w:r w:rsidRPr="00EB2BD8">
        <w:rPr>
          <w:spacing w:val="-4"/>
        </w:rPr>
        <w:t xml:space="preserve"> </w:t>
      </w:r>
      <w:r w:rsidRPr="00EB2BD8">
        <w:t>popularity</w:t>
      </w:r>
      <w:r w:rsidRPr="00EB2BD8">
        <w:rPr>
          <w:spacing w:val="-4"/>
        </w:rPr>
        <w:t xml:space="preserve"> </w:t>
      </w:r>
      <w:r w:rsidRPr="00EB2BD8">
        <w:t>by</w:t>
      </w:r>
      <w:r w:rsidRPr="00EB2BD8">
        <w:rPr>
          <w:spacing w:val="-4"/>
        </w:rPr>
        <w:t xml:space="preserve"> </w:t>
      </w:r>
      <w:r w:rsidRPr="00EB2BD8">
        <w:t>16</w:t>
      </w:r>
      <w:r w:rsidRPr="00EB2BD8">
        <w:rPr>
          <w:spacing w:val="-4"/>
        </w:rPr>
        <w:t xml:space="preserve"> </w:t>
      </w:r>
      <w:r w:rsidRPr="00EB2BD8">
        <w:t>per</w:t>
      </w:r>
      <w:r w:rsidRPr="00EB2BD8">
        <w:rPr>
          <w:spacing w:val="-4"/>
        </w:rPr>
        <w:t xml:space="preserve"> </w:t>
      </w:r>
      <w:r w:rsidRPr="00EB2BD8">
        <w:t>cent compared</w:t>
      </w:r>
      <w:r w:rsidRPr="00EB2BD8">
        <w:rPr>
          <w:spacing w:val="-15"/>
        </w:rPr>
        <w:t xml:space="preserve"> </w:t>
      </w:r>
      <w:r w:rsidRPr="00EB2BD8">
        <w:t>to</w:t>
      </w:r>
      <w:r w:rsidRPr="00EB2BD8">
        <w:rPr>
          <w:spacing w:val="-14"/>
        </w:rPr>
        <w:t xml:space="preserve"> </w:t>
      </w:r>
      <w:r w:rsidRPr="00EB2BD8">
        <w:t>last</w:t>
      </w:r>
      <w:r w:rsidRPr="00EB2BD8">
        <w:rPr>
          <w:spacing w:val="-14"/>
        </w:rPr>
        <w:t xml:space="preserve"> </w:t>
      </w:r>
      <w:r w:rsidRPr="00EB2BD8">
        <w:t>year.</w:t>
      </w:r>
      <w:r w:rsidRPr="00EB2BD8">
        <w:rPr>
          <w:spacing w:val="-14"/>
        </w:rPr>
        <w:t xml:space="preserve"> </w:t>
      </w:r>
      <w:r w:rsidRPr="00EB2BD8">
        <w:t>Almost</w:t>
      </w:r>
      <w:r w:rsidRPr="00EB2BD8">
        <w:rPr>
          <w:spacing w:val="-15"/>
        </w:rPr>
        <w:t xml:space="preserve"> </w:t>
      </w:r>
      <w:r w:rsidRPr="00EB2BD8">
        <w:t>30,000</w:t>
      </w:r>
      <w:r w:rsidRPr="00EB2BD8">
        <w:rPr>
          <w:spacing w:val="-14"/>
        </w:rPr>
        <w:t xml:space="preserve"> </w:t>
      </w:r>
      <w:r w:rsidRPr="00EB2BD8">
        <w:t>followers</w:t>
      </w:r>
      <w:r w:rsidRPr="00EB2BD8">
        <w:rPr>
          <w:spacing w:val="-14"/>
        </w:rPr>
        <w:t xml:space="preserve"> </w:t>
      </w:r>
      <w:r w:rsidRPr="00EB2BD8">
        <w:t>across the three platforms received regular updates from</w:t>
      </w:r>
      <w:r w:rsidRPr="00EB2BD8">
        <w:rPr>
          <w:spacing w:val="40"/>
        </w:rPr>
        <w:t xml:space="preserve"> </w:t>
      </w:r>
      <w:r w:rsidRPr="00EB2BD8">
        <w:t>the VBA, with a particular focus on consumer and</w:t>
      </w:r>
    </w:p>
    <w:p w14:paraId="65A9F390" w14:textId="77777777" w:rsidR="00084F36" w:rsidRPr="00EB2BD8" w:rsidRDefault="00EB2BD8">
      <w:pPr>
        <w:pStyle w:val="BodyText"/>
        <w:spacing w:line="261" w:lineRule="auto"/>
        <w:ind w:left="520" w:right="774"/>
      </w:pPr>
      <w:r w:rsidRPr="00EB2BD8">
        <w:t>practitioner news information. Facebook was the VBA’s fastest growing social media platform this year, with a 19</w:t>
      </w:r>
      <w:r w:rsidRPr="00EB2BD8">
        <w:rPr>
          <w:spacing w:val="-9"/>
        </w:rPr>
        <w:t xml:space="preserve"> </w:t>
      </w:r>
      <w:r w:rsidRPr="00EB2BD8">
        <w:t>per</w:t>
      </w:r>
      <w:r w:rsidRPr="00EB2BD8">
        <w:rPr>
          <w:spacing w:val="-9"/>
        </w:rPr>
        <w:t xml:space="preserve"> </w:t>
      </w:r>
      <w:r w:rsidRPr="00EB2BD8">
        <w:t>cent</w:t>
      </w:r>
      <w:r w:rsidRPr="00EB2BD8">
        <w:rPr>
          <w:spacing w:val="-9"/>
        </w:rPr>
        <w:t xml:space="preserve"> </w:t>
      </w:r>
      <w:r w:rsidRPr="00EB2BD8">
        <w:t>increase</w:t>
      </w:r>
      <w:r w:rsidRPr="00EB2BD8">
        <w:rPr>
          <w:spacing w:val="-9"/>
        </w:rPr>
        <w:t xml:space="preserve"> </w:t>
      </w:r>
      <w:r w:rsidRPr="00EB2BD8">
        <w:t>in</w:t>
      </w:r>
      <w:r w:rsidRPr="00EB2BD8">
        <w:rPr>
          <w:spacing w:val="-9"/>
        </w:rPr>
        <w:t xml:space="preserve"> </w:t>
      </w:r>
      <w:r w:rsidRPr="00EB2BD8">
        <w:t>the</w:t>
      </w:r>
      <w:r w:rsidRPr="00EB2BD8">
        <w:rPr>
          <w:spacing w:val="-9"/>
        </w:rPr>
        <w:t xml:space="preserve"> </w:t>
      </w:r>
      <w:r w:rsidRPr="00EB2BD8">
        <w:t>number</w:t>
      </w:r>
      <w:r w:rsidRPr="00EB2BD8">
        <w:rPr>
          <w:spacing w:val="-9"/>
        </w:rPr>
        <w:t xml:space="preserve"> </w:t>
      </w:r>
      <w:r w:rsidRPr="00EB2BD8">
        <w:t>of</w:t>
      </w:r>
      <w:r w:rsidRPr="00EB2BD8">
        <w:rPr>
          <w:spacing w:val="-9"/>
        </w:rPr>
        <w:t xml:space="preserve"> </w:t>
      </w:r>
      <w:r w:rsidRPr="00EB2BD8">
        <w:t>followers</w:t>
      </w:r>
      <w:r w:rsidRPr="00EB2BD8">
        <w:rPr>
          <w:spacing w:val="-9"/>
        </w:rPr>
        <w:t xml:space="preserve"> </w:t>
      </w:r>
      <w:r w:rsidRPr="00EB2BD8">
        <w:t>year-on- year. The VBA YouTube channel continued to provide a hub for our educational videos, including on-demand Practitioner Education Series webinars, which extended the series’ reach.</w:t>
      </w:r>
    </w:p>
    <w:p w14:paraId="43F1D96B" w14:textId="77777777" w:rsidR="00084F36" w:rsidRPr="00EB2BD8" w:rsidRDefault="00EB2BD8">
      <w:pPr>
        <w:pStyle w:val="BodyText"/>
        <w:spacing w:before="101" w:line="261" w:lineRule="auto"/>
        <w:ind w:left="520" w:right="906"/>
      </w:pPr>
      <w:r w:rsidRPr="00EB2BD8">
        <w:t>Our</w:t>
      </w:r>
      <w:r w:rsidRPr="00EB2BD8">
        <w:rPr>
          <w:spacing w:val="-11"/>
        </w:rPr>
        <w:t xml:space="preserve"> </w:t>
      </w:r>
      <w:r w:rsidRPr="00EB2BD8">
        <w:t>flagship</w:t>
      </w:r>
      <w:r w:rsidRPr="00EB2BD8">
        <w:rPr>
          <w:spacing w:val="-11"/>
        </w:rPr>
        <w:t xml:space="preserve"> </w:t>
      </w:r>
      <w:r w:rsidRPr="00EB2BD8">
        <w:t>newsletter,</w:t>
      </w:r>
      <w:r w:rsidRPr="00EB2BD8">
        <w:rPr>
          <w:spacing w:val="-11"/>
        </w:rPr>
        <w:t xml:space="preserve"> </w:t>
      </w:r>
      <w:r w:rsidRPr="00EB2BD8">
        <w:t>VBA</w:t>
      </w:r>
      <w:r w:rsidRPr="00EB2BD8">
        <w:rPr>
          <w:spacing w:val="-11"/>
        </w:rPr>
        <w:t xml:space="preserve"> </w:t>
      </w:r>
      <w:r w:rsidRPr="00EB2BD8">
        <w:t>Mail,</w:t>
      </w:r>
      <w:r w:rsidRPr="00EB2BD8">
        <w:rPr>
          <w:spacing w:val="-11"/>
        </w:rPr>
        <w:t xml:space="preserve"> </w:t>
      </w:r>
      <w:r w:rsidRPr="00EB2BD8">
        <w:t>reached</w:t>
      </w:r>
      <w:r w:rsidRPr="00EB2BD8">
        <w:rPr>
          <w:spacing w:val="-11"/>
        </w:rPr>
        <w:t xml:space="preserve"> </w:t>
      </w:r>
      <w:r w:rsidRPr="00EB2BD8">
        <w:t>more</w:t>
      </w:r>
      <w:r w:rsidRPr="00EB2BD8">
        <w:rPr>
          <w:spacing w:val="-11"/>
        </w:rPr>
        <w:t xml:space="preserve"> </w:t>
      </w:r>
      <w:r w:rsidRPr="00EB2BD8">
        <w:t>than 65,000 practitioners and subscribers and featured news and updates from across the organisation.</w:t>
      </w:r>
    </w:p>
    <w:p w14:paraId="302EAC3F" w14:textId="77777777" w:rsidR="00084F36" w:rsidRPr="00EB2BD8" w:rsidRDefault="00EB2BD8">
      <w:pPr>
        <w:pStyle w:val="BodyText"/>
        <w:spacing w:line="261" w:lineRule="auto"/>
        <w:ind w:left="520" w:right="789"/>
      </w:pPr>
      <w:r w:rsidRPr="00EB2BD8">
        <w:t>Four Building Technical Bulletins and three Plumbing Technical Bulletins were published, providing regular and</w:t>
      </w:r>
      <w:r w:rsidRPr="00EB2BD8">
        <w:rPr>
          <w:spacing w:val="-2"/>
        </w:rPr>
        <w:t xml:space="preserve"> </w:t>
      </w:r>
      <w:r w:rsidRPr="00EB2BD8">
        <w:t>focused</w:t>
      </w:r>
      <w:r w:rsidRPr="00EB2BD8">
        <w:rPr>
          <w:spacing w:val="-2"/>
        </w:rPr>
        <w:t xml:space="preserve"> </w:t>
      </w:r>
      <w:r w:rsidRPr="00EB2BD8">
        <w:t>technical</w:t>
      </w:r>
      <w:r w:rsidRPr="00EB2BD8">
        <w:rPr>
          <w:spacing w:val="-2"/>
        </w:rPr>
        <w:t xml:space="preserve"> </w:t>
      </w:r>
      <w:r w:rsidRPr="00EB2BD8">
        <w:t>updates</w:t>
      </w:r>
      <w:r w:rsidRPr="00EB2BD8">
        <w:rPr>
          <w:spacing w:val="-2"/>
        </w:rPr>
        <w:t xml:space="preserve"> </w:t>
      </w:r>
      <w:r w:rsidRPr="00EB2BD8">
        <w:t>directly</w:t>
      </w:r>
      <w:r w:rsidRPr="00EB2BD8">
        <w:rPr>
          <w:spacing w:val="-2"/>
        </w:rPr>
        <w:t xml:space="preserve"> </w:t>
      </w:r>
      <w:r w:rsidRPr="00EB2BD8">
        <w:t>to</w:t>
      </w:r>
      <w:r w:rsidRPr="00EB2BD8">
        <w:rPr>
          <w:spacing w:val="-2"/>
        </w:rPr>
        <w:t xml:space="preserve"> </w:t>
      </w:r>
      <w:r w:rsidRPr="00EB2BD8">
        <w:t>practitioners.</w:t>
      </w:r>
    </w:p>
    <w:p w14:paraId="0992C694" w14:textId="77777777" w:rsidR="00084F36" w:rsidRPr="00EB2BD8" w:rsidRDefault="00EB2BD8">
      <w:pPr>
        <w:pStyle w:val="BodyText"/>
        <w:spacing w:before="108" w:line="261" w:lineRule="auto"/>
        <w:ind w:left="520" w:right="1394"/>
      </w:pPr>
      <w:r w:rsidRPr="00EB2BD8">
        <w:t>This</w:t>
      </w:r>
      <w:r w:rsidRPr="00EB2BD8">
        <w:rPr>
          <w:spacing w:val="-14"/>
        </w:rPr>
        <w:t xml:space="preserve"> </w:t>
      </w:r>
      <w:r w:rsidRPr="00EB2BD8">
        <w:t>year,</w:t>
      </w:r>
      <w:r w:rsidRPr="00EB2BD8">
        <w:rPr>
          <w:spacing w:val="-14"/>
        </w:rPr>
        <w:t xml:space="preserve"> </w:t>
      </w:r>
      <w:r w:rsidRPr="00EB2BD8">
        <w:t>email</w:t>
      </w:r>
      <w:r w:rsidRPr="00EB2BD8">
        <w:rPr>
          <w:spacing w:val="-14"/>
        </w:rPr>
        <w:t xml:space="preserve"> </w:t>
      </w:r>
      <w:r w:rsidRPr="00EB2BD8">
        <w:t>communications</w:t>
      </w:r>
      <w:r w:rsidRPr="00EB2BD8">
        <w:rPr>
          <w:spacing w:val="-14"/>
        </w:rPr>
        <w:t xml:space="preserve"> </w:t>
      </w:r>
      <w:r w:rsidRPr="00EB2BD8">
        <w:t>to</w:t>
      </w:r>
      <w:r w:rsidRPr="00EB2BD8">
        <w:rPr>
          <w:spacing w:val="-14"/>
        </w:rPr>
        <w:t xml:space="preserve"> </w:t>
      </w:r>
      <w:r w:rsidRPr="00EB2BD8">
        <w:t>practitioners, excluding</w:t>
      </w:r>
      <w:r w:rsidRPr="00EB2BD8">
        <w:rPr>
          <w:spacing w:val="-9"/>
        </w:rPr>
        <w:t xml:space="preserve"> </w:t>
      </w:r>
      <w:r w:rsidRPr="00EB2BD8">
        <w:t>licensing</w:t>
      </w:r>
      <w:r w:rsidRPr="00EB2BD8">
        <w:rPr>
          <w:spacing w:val="-9"/>
        </w:rPr>
        <w:t xml:space="preserve"> </w:t>
      </w:r>
      <w:r w:rsidRPr="00EB2BD8">
        <w:t>and</w:t>
      </w:r>
      <w:r w:rsidRPr="00EB2BD8">
        <w:rPr>
          <w:spacing w:val="-9"/>
        </w:rPr>
        <w:t xml:space="preserve"> </w:t>
      </w:r>
      <w:r w:rsidRPr="00EB2BD8">
        <w:t>registration</w:t>
      </w:r>
      <w:r w:rsidRPr="00EB2BD8">
        <w:rPr>
          <w:spacing w:val="-9"/>
        </w:rPr>
        <w:t xml:space="preserve"> </w:t>
      </w:r>
      <w:r w:rsidRPr="00EB2BD8">
        <w:t>matters,</w:t>
      </w:r>
      <w:r w:rsidRPr="00EB2BD8">
        <w:rPr>
          <w:spacing w:val="-9"/>
        </w:rPr>
        <w:t xml:space="preserve"> </w:t>
      </w:r>
      <w:r w:rsidRPr="00EB2BD8">
        <w:t>had a reach of 1.5 million and included invitations to Practitioner Education Series</w:t>
      </w:r>
    </w:p>
    <w:p w14:paraId="5ED8DF80" w14:textId="77777777" w:rsidR="00084F36" w:rsidRPr="00EB2BD8" w:rsidRDefault="00084F36">
      <w:pPr>
        <w:spacing w:line="261" w:lineRule="auto"/>
        <w:sectPr w:rsidR="00084F36" w:rsidRPr="00EB2BD8" w:rsidSect="006D75B2">
          <w:type w:val="continuous"/>
          <w:pgSz w:w="11910" w:h="16840"/>
          <w:pgMar w:top="1920" w:right="0" w:bottom="280" w:left="0" w:header="0" w:footer="528" w:gutter="0"/>
          <w:cols w:num="2" w:space="720" w:equalWidth="0">
            <w:col w:w="5619" w:space="40"/>
            <w:col w:w="6251"/>
          </w:cols>
        </w:sectPr>
      </w:pPr>
    </w:p>
    <w:p w14:paraId="41031322" w14:textId="57A4F0DD" w:rsidR="00084F36" w:rsidRPr="00EB2BD8" w:rsidRDefault="00084F36">
      <w:pPr>
        <w:pStyle w:val="BodyText"/>
        <w:rPr>
          <w:sz w:val="20"/>
        </w:rPr>
      </w:pPr>
    </w:p>
    <w:p w14:paraId="2E01CCD4" w14:textId="77777777" w:rsidR="00084F36" w:rsidRPr="00EB2BD8" w:rsidRDefault="00084F36">
      <w:pPr>
        <w:pStyle w:val="BodyText"/>
        <w:rPr>
          <w:sz w:val="20"/>
        </w:rPr>
      </w:pPr>
    </w:p>
    <w:p w14:paraId="161BB3D0" w14:textId="77777777" w:rsidR="00084F36" w:rsidRPr="00EB2BD8" w:rsidRDefault="00084F36">
      <w:pPr>
        <w:pStyle w:val="BodyText"/>
        <w:rPr>
          <w:sz w:val="20"/>
        </w:rPr>
      </w:pPr>
    </w:p>
    <w:p w14:paraId="3FCE0163" w14:textId="77777777" w:rsidR="00084F36" w:rsidRPr="00EB2BD8" w:rsidRDefault="00084F36">
      <w:pPr>
        <w:pStyle w:val="BodyText"/>
        <w:rPr>
          <w:sz w:val="20"/>
        </w:rPr>
      </w:pPr>
    </w:p>
    <w:p w14:paraId="5D181019" w14:textId="77777777" w:rsidR="00084F36" w:rsidRPr="00EB2BD8" w:rsidRDefault="00084F36">
      <w:pPr>
        <w:pStyle w:val="BodyText"/>
        <w:spacing w:before="7"/>
        <w:rPr>
          <w:sz w:val="17"/>
        </w:rPr>
      </w:pPr>
    </w:p>
    <w:p w14:paraId="7F2E86D0" w14:textId="77777777" w:rsidR="00084F36" w:rsidRPr="00EB2BD8" w:rsidRDefault="00EB2BD8" w:rsidP="00EB2BD8">
      <w:pPr>
        <w:pStyle w:val="Heading2"/>
      </w:pPr>
      <w:bookmarkStart w:id="145" w:name="_Toc150762447"/>
      <w:r w:rsidRPr="00EB2BD8">
        <w:rPr>
          <w:spacing w:val="-10"/>
        </w:rPr>
        <w:t>Addressing</w:t>
      </w:r>
      <w:r w:rsidRPr="00EB2BD8">
        <w:rPr>
          <w:spacing w:val="-20"/>
        </w:rPr>
        <w:t xml:space="preserve"> </w:t>
      </w:r>
      <w:r w:rsidRPr="00EB2BD8">
        <w:rPr>
          <w:spacing w:val="-10"/>
        </w:rPr>
        <w:t>consumer</w:t>
      </w:r>
      <w:r w:rsidRPr="00EB2BD8">
        <w:rPr>
          <w:spacing w:val="-20"/>
        </w:rPr>
        <w:t xml:space="preserve"> </w:t>
      </w:r>
      <w:r w:rsidRPr="00EB2BD8">
        <w:rPr>
          <w:spacing w:val="-10"/>
        </w:rPr>
        <w:t xml:space="preserve">and </w:t>
      </w:r>
      <w:r w:rsidRPr="00EB2BD8">
        <w:t>practitioner enquiries</w:t>
      </w:r>
      <w:bookmarkEnd w:id="145"/>
    </w:p>
    <w:p w14:paraId="36F6E3CE" w14:textId="77777777" w:rsidR="00084F36" w:rsidRPr="00EB2BD8" w:rsidRDefault="00EB2BD8">
      <w:pPr>
        <w:pStyle w:val="BodyText"/>
        <w:spacing w:before="174" w:line="261" w:lineRule="auto"/>
        <w:ind w:left="850" w:right="6239"/>
      </w:pPr>
      <w:r w:rsidRPr="00EB2BD8">
        <w:t>The VBA Call Centre continued to be a key interface</w:t>
      </w:r>
      <w:r w:rsidRPr="00EB2BD8">
        <w:rPr>
          <w:spacing w:val="40"/>
        </w:rPr>
        <w:t xml:space="preserve"> </w:t>
      </w:r>
      <w:r w:rsidRPr="00EB2BD8">
        <w:t>for</w:t>
      </w:r>
      <w:r w:rsidRPr="00EB2BD8">
        <w:rPr>
          <w:spacing w:val="-5"/>
        </w:rPr>
        <w:t xml:space="preserve"> </w:t>
      </w:r>
      <w:r w:rsidRPr="00EB2BD8">
        <w:t>practitioners</w:t>
      </w:r>
      <w:r w:rsidRPr="00EB2BD8">
        <w:rPr>
          <w:spacing w:val="-5"/>
        </w:rPr>
        <w:t xml:space="preserve"> </w:t>
      </w:r>
      <w:r w:rsidRPr="00EB2BD8">
        <w:t>and</w:t>
      </w:r>
      <w:r w:rsidRPr="00EB2BD8">
        <w:rPr>
          <w:spacing w:val="-5"/>
        </w:rPr>
        <w:t xml:space="preserve"> </w:t>
      </w:r>
      <w:r w:rsidRPr="00EB2BD8">
        <w:t>the</w:t>
      </w:r>
      <w:r w:rsidRPr="00EB2BD8">
        <w:rPr>
          <w:spacing w:val="-5"/>
        </w:rPr>
        <w:t xml:space="preserve"> </w:t>
      </w:r>
      <w:r w:rsidRPr="00EB2BD8">
        <w:t>public</w:t>
      </w:r>
      <w:r w:rsidRPr="00EB2BD8">
        <w:rPr>
          <w:spacing w:val="-5"/>
        </w:rPr>
        <w:t xml:space="preserve"> </w:t>
      </w:r>
      <w:r w:rsidRPr="00EB2BD8">
        <w:t>to</w:t>
      </w:r>
      <w:r w:rsidRPr="00EB2BD8">
        <w:rPr>
          <w:spacing w:val="-5"/>
        </w:rPr>
        <w:t xml:space="preserve"> </w:t>
      </w:r>
      <w:r w:rsidRPr="00EB2BD8">
        <w:t>contact</w:t>
      </w:r>
      <w:r w:rsidRPr="00EB2BD8">
        <w:rPr>
          <w:spacing w:val="-5"/>
        </w:rPr>
        <w:t xml:space="preserve"> </w:t>
      </w:r>
      <w:r w:rsidRPr="00EB2BD8">
        <w:t>the</w:t>
      </w:r>
      <w:r w:rsidRPr="00EB2BD8">
        <w:rPr>
          <w:spacing w:val="-5"/>
        </w:rPr>
        <w:t xml:space="preserve"> </w:t>
      </w:r>
      <w:r w:rsidRPr="00EB2BD8">
        <w:t>VBA</w:t>
      </w:r>
      <w:r w:rsidRPr="00EB2BD8">
        <w:rPr>
          <w:spacing w:val="-5"/>
        </w:rPr>
        <w:t xml:space="preserve"> </w:t>
      </w:r>
      <w:r w:rsidRPr="00EB2BD8">
        <w:t>with general</w:t>
      </w:r>
      <w:r w:rsidRPr="00EB2BD8">
        <w:rPr>
          <w:spacing w:val="-2"/>
        </w:rPr>
        <w:t xml:space="preserve"> </w:t>
      </w:r>
      <w:r w:rsidRPr="00EB2BD8">
        <w:t>enquiries</w:t>
      </w:r>
      <w:r w:rsidRPr="00EB2BD8">
        <w:rPr>
          <w:spacing w:val="-2"/>
        </w:rPr>
        <w:t xml:space="preserve"> </w:t>
      </w:r>
      <w:r w:rsidRPr="00EB2BD8">
        <w:t>and</w:t>
      </w:r>
      <w:r w:rsidRPr="00EB2BD8">
        <w:rPr>
          <w:spacing w:val="-2"/>
        </w:rPr>
        <w:t xml:space="preserve"> </w:t>
      </w:r>
      <w:r w:rsidRPr="00EB2BD8">
        <w:t>matters</w:t>
      </w:r>
      <w:r w:rsidRPr="00EB2BD8">
        <w:rPr>
          <w:spacing w:val="-2"/>
        </w:rPr>
        <w:t xml:space="preserve"> </w:t>
      </w:r>
      <w:r w:rsidRPr="00EB2BD8">
        <w:t>relating</w:t>
      </w:r>
      <w:r w:rsidRPr="00EB2BD8">
        <w:rPr>
          <w:spacing w:val="-2"/>
        </w:rPr>
        <w:t xml:space="preserve"> </w:t>
      </w:r>
      <w:r w:rsidRPr="00EB2BD8">
        <w:t>to</w:t>
      </w:r>
      <w:r w:rsidRPr="00EB2BD8">
        <w:rPr>
          <w:spacing w:val="-2"/>
        </w:rPr>
        <w:t xml:space="preserve"> </w:t>
      </w:r>
      <w:r w:rsidRPr="00EB2BD8">
        <w:t>licensing</w:t>
      </w:r>
      <w:r w:rsidRPr="00EB2BD8">
        <w:rPr>
          <w:spacing w:val="-2"/>
        </w:rPr>
        <w:t xml:space="preserve"> </w:t>
      </w:r>
      <w:r w:rsidRPr="00EB2BD8">
        <w:t xml:space="preserve">and </w:t>
      </w:r>
      <w:r w:rsidRPr="00EB2BD8">
        <w:rPr>
          <w:spacing w:val="-2"/>
        </w:rPr>
        <w:t>registration.</w:t>
      </w:r>
    </w:p>
    <w:p w14:paraId="388E349F" w14:textId="77777777" w:rsidR="00084F36" w:rsidRPr="00EB2BD8" w:rsidRDefault="00EB2BD8">
      <w:pPr>
        <w:pStyle w:val="BodyText"/>
        <w:spacing w:before="166" w:line="261" w:lineRule="auto"/>
        <w:ind w:left="850" w:right="6287"/>
      </w:pPr>
      <w:r w:rsidRPr="00EB2BD8">
        <w:t>A</w:t>
      </w:r>
      <w:r w:rsidRPr="00EB2BD8">
        <w:rPr>
          <w:spacing w:val="-11"/>
        </w:rPr>
        <w:t xml:space="preserve"> </w:t>
      </w:r>
      <w:r w:rsidRPr="00EB2BD8">
        <w:t>total</w:t>
      </w:r>
      <w:r w:rsidRPr="00EB2BD8">
        <w:rPr>
          <w:spacing w:val="-11"/>
        </w:rPr>
        <w:t xml:space="preserve"> </w:t>
      </w:r>
      <w:r w:rsidRPr="00EB2BD8">
        <w:t>of</w:t>
      </w:r>
      <w:r w:rsidRPr="00EB2BD8">
        <w:rPr>
          <w:spacing w:val="-11"/>
        </w:rPr>
        <w:t xml:space="preserve"> </w:t>
      </w:r>
      <w:r w:rsidRPr="00EB2BD8">
        <w:t>252,142</w:t>
      </w:r>
      <w:r w:rsidRPr="00EB2BD8">
        <w:rPr>
          <w:spacing w:val="-11"/>
        </w:rPr>
        <w:t xml:space="preserve"> </w:t>
      </w:r>
      <w:r w:rsidRPr="00EB2BD8">
        <w:t>enquiries</w:t>
      </w:r>
      <w:r w:rsidRPr="00EB2BD8">
        <w:rPr>
          <w:spacing w:val="-11"/>
        </w:rPr>
        <w:t xml:space="preserve"> </w:t>
      </w:r>
      <w:r w:rsidRPr="00EB2BD8">
        <w:t>were</w:t>
      </w:r>
      <w:r w:rsidRPr="00EB2BD8">
        <w:rPr>
          <w:spacing w:val="-11"/>
        </w:rPr>
        <w:t xml:space="preserve"> </w:t>
      </w:r>
      <w:r w:rsidRPr="00EB2BD8">
        <w:t>received</w:t>
      </w:r>
      <w:r w:rsidRPr="00EB2BD8">
        <w:rPr>
          <w:spacing w:val="-11"/>
        </w:rPr>
        <w:t xml:space="preserve"> </w:t>
      </w:r>
      <w:r w:rsidRPr="00EB2BD8">
        <w:t>this</w:t>
      </w:r>
      <w:r w:rsidRPr="00EB2BD8">
        <w:rPr>
          <w:spacing w:val="-11"/>
        </w:rPr>
        <w:t xml:space="preserve"> </w:t>
      </w:r>
      <w:r w:rsidRPr="00EB2BD8">
        <w:t xml:space="preserve">year, </w:t>
      </w:r>
      <w:r w:rsidRPr="00EB2BD8">
        <w:rPr>
          <w:spacing w:val="-6"/>
        </w:rPr>
        <w:t>which</w:t>
      </w:r>
      <w:r w:rsidRPr="00EB2BD8">
        <w:rPr>
          <w:spacing w:val="-11"/>
        </w:rPr>
        <w:t xml:space="preserve"> </w:t>
      </w:r>
      <w:r w:rsidRPr="00EB2BD8">
        <w:rPr>
          <w:spacing w:val="-6"/>
        </w:rPr>
        <w:t>comprised</w:t>
      </w:r>
      <w:r w:rsidRPr="00EB2BD8">
        <w:rPr>
          <w:spacing w:val="-11"/>
        </w:rPr>
        <w:t xml:space="preserve"> </w:t>
      </w:r>
      <w:r w:rsidRPr="00EB2BD8">
        <w:rPr>
          <w:spacing w:val="-6"/>
        </w:rPr>
        <w:t>of</w:t>
      </w:r>
      <w:r w:rsidRPr="00EB2BD8">
        <w:rPr>
          <w:spacing w:val="-11"/>
        </w:rPr>
        <w:t xml:space="preserve"> </w:t>
      </w:r>
      <w:r w:rsidRPr="00EB2BD8">
        <w:rPr>
          <w:spacing w:val="-6"/>
        </w:rPr>
        <w:t>108,972</w:t>
      </w:r>
      <w:r w:rsidRPr="00EB2BD8">
        <w:rPr>
          <w:spacing w:val="-11"/>
        </w:rPr>
        <w:t xml:space="preserve"> </w:t>
      </w:r>
      <w:r w:rsidRPr="00EB2BD8">
        <w:rPr>
          <w:spacing w:val="-6"/>
        </w:rPr>
        <w:t>telephone</w:t>
      </w:r>
      <w:r w:rsidRPr="00EB2BD8">
        <w:rPr>
          <w:spacing w:val="-11"/>
        </w:rPr>
        <w:t xml:space="preserve"> </w:t>
      </w:r>
      <w:r w:rsidRPr="00EB2BD8">
        <w:rPr>
          <w:spacing w:val="-6"/>
        </w:rPr>
        <w:t>calls</w:t>
      </w:r>
      <w:r w:rsidRPr="00EB2BD8">
        <w:rPr>
          <w:spacing w:val="-11"/>
        </w:rPr>
        <w:t xml:space="preserve"> </w:t>
      </w:r>
      <w:r w:rsidRPr="00EB2BD8">
        <w:rPr>
          <w:spacing w:val="-6"/>
        </w:rPr>
        <w:t>and</w:t>
      </w:r>
      <w:r w:rsidRPr="00EB2BD8">
        <w:rPr>
          <w:spacing w:val="-11"/>
        </w:rPr>
        <w:t xml:space="preserve"> </w:t>
      </w:r>
      <w:r w:rsidRPr="00EB2BD8">
        <w:rPr>
          <w:spacing w:val="-6"/>
        </w:rPr>
        <w:t xml:space="preserve">143,170 </w:t>
      </w:r>
      <w:r w:rsidRPr="00EB2BD8">
        <w:rPr>
          <w:spacing w:val="-2"/>
        </w:rPr>
        <w:t>emails.</w:t>
      </w:r>
    </w:p>
    <w:p w14:paraId="428588FC" w14:textId="22FC334F" w:rsidR="00084F36" w:rsidRPr="00EB2BD8" w:rsidRDefault="00EB2BD8">
      <w:pPr>
        <w:pStyle w:val="BodyText"/>
        <w:spacing w:before="110" w:line="261" w:lineRule="auto"/>
        <w:ind w:left="850" w:right="6160"/>
      </w:pPr>
      <w:r w:rsidRPr="00EB2BD8">
        <w:t>More than 43,000 email enquiries were processed by the Customer Experience Unit, with more than 98,000 enquiries</w:t>
      </w:r>
      <w:r w:rsidRPr="00EB2BD8">
        <w:rPr>
          <w:spacing w:val="-5"/>
        </w:rPr>
        <w:t xml:space="preserve"> </w:t>
      </w:r>
      <w:r w:rsidRPr="00EB2BD8">
        <w:t>forwarded</w:t>
      </w:r>
      <w:r w:rsidRPr="00EB2BD8">
        <w:rPr>
          <w:spacing w:val="-5"/>
        </w:rPr>
        <w:t xml:space="preserve"> </w:t>
      </w:r>
      <w:r w:rsidRPr="00EB2BD8">
        <w:t>to</w:t>
      </w:r>
      <w:r w:rsidRPr="00EB2BD8">
        <w:rPr>
          <w:spacing w:val="-5"/>
        </w:rPr>
        <w:t xml:space="preserve"> </w:t>
      </w:r>
      <w:r w:rsidRPr="00EB2BD8">
        <w:t>the</w:t>
      </w:r>
      <w:r w:rsidRPr="00EB2BD8">
        <w:rPr>
          <w:spacing w:val="-5"/>
        </w:rPr>
        <w:t xml:space="preserve"> </w:t>
      </w:r>
      <w:r w:rsidRPr="00EB2BD8">
        <w:t>Processing</w:t>
      </w:r>
      <w:r w:rsidRPr="00EB2BD8">
        <w:rPr>
          <w:spacing w:val="-5"/>
        </w:rPr>
        <w:t xml:space="preserve"> </w:t>
      </w:r>
      <w:r w:rsidRPr="00EB2BD8">
        <w:t>and</w:t>
      </w:r>
      <w:r w:rsidRPr="00EB2BD8">
        <w:rPr>
          <w:spacing w:val="-5"/>
        </w:rPr>
        <w:t xml:space="preserve"> </w:t>
      </w:r>
      <w:r w:rsidRPr="00EB2BD8">
        <w:t>Assessment team, as they related to processing practitioner applications and renewals.</w:t>
      </w:r>
    </w:p>
    <w:p w14:paraId="17E5017E" w14:textId="77777777" w:rsidR="00084F36" w:rsidRPr="00EB2BD8" w:rsidRDefault="00084F36">
      <w:pPr>
        <w:spacing w:line="261" w:lineRule="auto"/>
        <w:sectPr w:rsidR="00084F36" w:rsidRPr="00EB2BD8" w:rsidSect="006D75B2">
          <w:footerReference w:type="default" r:id="rId169"/>
          <w:pgSz w:w="11910" w:h="16840"/>
          <w:pgMar w:top="1080" w:right="0" w:bottom="720" w:left="0" w:header="0" w:footer="528" w:gutter="0"/>
          <w:cols w:space="720"/>
        </w:sectPr>
      </w:pPr>
    </w:p>
    <w:p w14:paraId="4776FF5D" w14:textId="73A1FA3A" w:rsidR="00084F36" w:rsidRPr="00EB2BD8" w:rsidRDefault="00084F36">
      <w:pPr>
        <w:pStyle w:val="BodyText"/>
        <w:rPr>
          <w:sz w:val="20"/>
        </w:rPr>
      </w:pPr>
    </w:p>
    <w:p w14:paraId="3B2F5C4A" w14:textId="77777777" w:rsidR="00084F36" w:rsidRPr="00EB2BD8" w:rsidRDefault="00084F36">
      <w:pPr>
        <w:pStyle w:val="BodyText"/>
        <w:rPr>
          <w:sz w:val="20"/>
        </w:rPr>
      </w:pPr>
    </w:p>
    <w:p w14:paraId="22F463FE" w14:textId="77777777" w:rsidR="00084F36" w:rsidRPr="00EB2BD8" w:rsidRDefault="00084F36">
      <w:pPr>
        <w:pStyle w:val="BodyText"/>
        <w:rPr>
          <w:sz w:val="20"/>
        </w:rPr>
      </w:pPr>
    </w:p>
    <w:p w14:paraId="14ACCA56" w14:textId="77777777" w:rsidR="00084F36" w:rsidRPr="00EB2BD8" w:rsidRDefault="00084F36">
      <w:pPr>
        <w:pStyle w:val="BodyText"/>
        <w:rPr>
          <w:sz w:val="20"/>
        </w:rPr>
      </w:pPr>
    </w:p>
    <w:p w14:paraId="43DB0E86" w14:textId="77777777" w:rsidR="00084F36" w:rsidRPr="00EB2BD8" w:rsidRDefault="00084F36">
      <w:pPr>
        <w:pStyle w:val="BodyText"/>
        <w:rPr>
          <w:sz w:val="20"/>
        </w:rPr>
      </w:pPr>
    </w:p>
    <w:p w14:paraId="45C8F6E2" w14:textId="77777777" w:rsidR="00084F36" w:rsidRPr="00EB2BD8" w:rsidRDefault="00084F36">
      <w:pPr>
        <w:pStyle w:val="BodyText"/>
        <w:rPr>
          <w:sz w:val="20"/>
        </w:rPr>
      </w:pPr>
    </w:p>
    <w:p w14:paraId="49B40B86" w14:textId="77777777" w:rsidR="00084F36" w:rsidRPr="00EB2BD8" w:rsidRDefault="00084F36">
      <w:pPr>
        <w:pStyle w:val="BodyText"/>
        <w:rPr>
          <w:sz w:val="20"/>
        </w:rPr>
      </w:pPr>
    </w:p>
    <w:p w14:paraId="1B2B0234" w14:textId="77777777" w:rsidR="00084F36" w:rsidRPr="00EB2BD8" w:rsidRDefault="00084F36">
      <w:pPr>
        <w:pStyle w:val="BodyText"/>
        <w:rPr>
          <w:sz w:val="20"/>
        </w:rPr>
      </w:pPr>
    </w:p>
    <w:p w14:paraId="5C00354B" w14:textId="77777777" w:rsidR="00084F36" w:rsidRPr="00EB2BD8" w:rsidRDefault="00084F36">
      <w:pPr>
        <w:pStyle w:val="BodyText"/>
        <w:rPr>
          <w:sz w:val="20"/>
        </w:rPr>
      </w:pPr>
    </w:p>
    <w:p w14:paraId="0F096520" w14:textId="7333982C" w:rsidR="00084F36" w:rsidRPr="00EB2BD8" w:rsidRDefault="00EB2BD8" w:rsidP="00EB2BD8">
      <w:pPr>
        <w:pStyle w:val="Heading2"/>
      </w:pPr>
      <w:bookmarkStart w:id="146" w:name="_Toc150762448"/>
      <w:r w:rsidRPr="00EB2BD8">
        <w:t>Spotlight on Build Aware</w:t>
      </w:r>
      <w:bookmarkEnd w:id="146"/>
    </w:p>
    <w:p w14:paraId="76793F29" w14:textId="77777777" w:rsidR="00084F36" w:rsidRPr="00EB2BD8" w:rsidRDefault="00084F36">
      <w:pPr>
        <w:pStyle w:val="BodyText"/>
        <w:rPr>
          <w:sz w:val="20"/>
        </w:rPr>
      </w:pPr>
    </w:p>
    <w:p w14:paraId="2478ED20" w14:textId="1792BE7A" w:rsidR="00084F36" w:rsidRPr="00EB2BD8" w:rsidRDefault="00084F36">
      <w:pPr>
        <w:pStyle w:val="BodyText"/>
        <w:rPr>
          <w:sz w:val="20"/>
        </w:rPr>
      </w:pPr>
    </w:p>
    <w:p w14:paraId="4E2DA763" w14:textId="77777777" w:rsidR="00084F36" w:rsidRPr="00EB2BD8" w:rsidRDefault="00084F36">
      <w:pPr>
        <w:pStyle w:val="BodyText"/>
        <w:rPr>
          <w:sz w:val="20"/>
        </w:rPr>
      </w:pPr>
    </w:p>
    <w:p w14:paraId="487B54BC" w14:textId="77777777" w:rsidR="00084F36" w:rsidRPr="00EB2BD8" w:rsidRDefault="00084F36">
      <w:pPr>
        <w:pStyle w:val="BodyText"/>
        <w:rPr>
          <w:sz w:val="20"/>
        </w:rPr>
      </w:pPr>
    </w:p>
    <w:p w14:paraId="0873003E" w14:textId="77777777" w:rsidR="00084F36" w:rsidRPr="00EB2BD8" w:rsidRDefault="00084F36">
      <w:pPr>
        <w:pStyle w:val="BodyText"/>
        <w:rPr>
          <w:sz w:val="20"/>
        </w:rPr>
      </w:pPr>
    </w:p>
    <w:p w14:paraId="3EDD0677" w14:textId="77777777" w:rsidR="00084F36" w:rsidRPr="00EB2BD8" w:rsidRDefault="00084F36">
      <w:pPr>
        <w:pStyle w:val="BodyText"/>
        <w:spacing w:before="11"/>
        <w:rPr>
          <w:sz w:val="16"/>
        </w:rPr>
      </w:pPr>
    </w:p>
    <w:p w14:paraId="404DE90F" w14:textId="77777777" w:rsidR="00084F36" w:rsidRPr="00EB2BD8" w:rsidRDefault="00084F36">
      <w:pPr>
        <w:rPr>
          <w:sz w:val="16"/>
        </w:rPr>
        <w:sectPr w:rsidR="00084F36" w:rsidRPr="00EB2BD8" w:rsidSect="006D75B2">
          <w:headerReference w:type="even" r:id="rId170"/>
          <w:footerReference w:type="even" r:id="rId171"/>
          <w:footerReference w:type="default" r:id="rId172"/>
          <w:pgSz w:w="11910" w:h="16840"/>
          <w:pgMar w:top="1100" w:right="0" w:bottom="700" w:left="0" w:header="0" w:footer="515" w:gutter="0"/>
          <w:pgNumType w:start="62"/>
          <w:cols w:space="720"/>
        </w:sectPr>
      </w:pPr>
    </w:p>
    <w:p w14:paraId="07F2B886" w14:textId="77777777" w:rsidR="00084F36" w:rsidRPr="00EB2BD8" w:rsidRDefault="00EB2BD8">
      <w:pPr>
        <w:pStyle w:val="BodyText"/>
        <w:spacing w:before="95" w:line="261" w:lineRule="auto"/>
        <w:ind w:left="860"/>
      </w:pPr>
      <w:r w:rsidRPr="00EB2BD8">
        <w:t>The</w:t>
      </w:r>
      <w:r w:rsidRPr="00EB2BD8">
        <w:rPr>
          <w:spacing w:val="-5"/>
        </w:rPr>
        <w:t xml:space="preserve"> </w:t>
      </w:r>
      <w:r w:rsidRPr="00EB2BD8">
        <w:t>VBA</w:t>
      </w:r>
      <w:r w:rsidRPr="00EB2BD8">
        <w:rPr>
          <w:spacing w:val="-5"/>
        </w:rPr>
        <w:t xml:space="preserve"> </w:t>
      </w:r>
      <w:r w:rsidRPr="00EB2BD8">
        <w:t>continued</w:t>
      </w:r>
      <w:r w:rsidRPr="00EB2BD8">
        <w:rPr>
          <w:spacing w:val="-5"/>
        </w:rPr>
        <w:t xml:space="preserve"> </w:t>
      </w:r>
      <w:r w:rsidRPr="00EB2BD8">
        <w:t>its</w:t>
      </w:r>
      <w:r w:rsidRPr="00EB2BD8">
        <w:rPr>
          <w:spacing w:val="-5"/>
        </w:rPr>
        <w:t xml:space="preserve"> </w:t>
      </w:r>
      <w:r w:rsidRPr="00EB2BD8">
        <w:t>involvement</w:t>
      </w:r>
      <w:r w:rsidRPr="00EB2BD8">
        <w:rPr>
          <w:spacing w:val="-5"/>
        </w:rPr>
        <w:t xml:space="preserve"> </w:t>
      </w:r>
      <w:r w:rsidRPr="00EB2BD8">
        <w:t>in</w:t>
      </w:r>
      <w:r w:rsidRPr="00EB2BD8">
        <w:rPr>
          <w:spacing w:val="-5"/>
        </w:rPr>
        <w:t xml:space="preserve"> </w:t>
      </w:r>
      <w:r w:rsidRPr="00EB2BD8">
        <w:t>the</w:t>
      </w:r>
      <w:r w:rsidRPr="00EB2BD8">
        <w:rPr>
          <w:spacing w:val="-5"/>
        </w:rPr>
        <w:t xml:space="preserve"> </w:t>
      </w:r>
      <w:r w:rsidRPr="00EB2BD8">
        <w:t>co-regulatory education campaign Build Aware, with weeklong visits to Ballarat, Wonthaggi Phillip Island and Mildura.</w:t>
      </w:r>
    </w:p>
    <w:p w14:paraId="059D9884" w14:textId="77777777" w:rsidR="00084F36" w:rsidRPr="00EB2BD8" w:rsidRDefault="00EB2BD8">
      <w:pPr>
        <w:pStyle w:val="BodyText"/>
        <w:spacing w:before="110" w:line="261" w:lineRule="auto"/>
        <w:ind w:left="860"/>
      </w:pPr>
      <w:r w:rsidRPr="00EB2BD8">
        <w:rPr>
          <w:spacing w:val="-2"/>
        </w:rPr>
        <w:t>Established</w:t>
      </w:r>
      <w:r w:rsidRPr="00EB2BD8">
        <w:rPr>
          <w:spacing w:val="-6"/>
        </w:rPr>
        <w:t xml:space="preserve"> </w:t>
      </w:r>
      <w:r w:rsidRPr="00EB2BD8">
        <w:rPr>
          <w:spacing w:val="-2"/>
        </w:rPr>
        <w:t>in</w:t>
      </w:r>
      <w:r w:rsidRPr="00EB2BD8">
        <w:rPr>
          <w:spacing w:val="-6"/>
        </w:rPr>
        <w:t xml:space="preserve"> </w:t>
      </w:r>
      <w:r w:rsidRPr="00EB2BD8">
        <w:rPr>
          <w:spacing w:val="-2"/>
        </w:rPr>
        <w:t>2016,</w:t>
      </w:r>
      <w:r w:rsidRPr="00EB2BD8">
        <w:rPr>
          <w:spacing w:val="-6"/>
        </w:rPr>
        <w:t xml:space="preserve"> </w:t>
      </w:r>
      <w:r w:rsidRPr="00EB2BD8">
        <w:rPr>
          <w:spacing w:val="-2"/>
        </w:rPr>
        <w:t>Build</w:t>
      </w:r>
      <w:r w:rsidRPr="00EB2BD8">
        <w:rPr>
          <w:spacing w:val="-6"/>
        </w:rPr>
        <w:t xml:space="preserve"> </w:t>
      </w:r>
      <w:r w:rsidRPr="00EB2BD8">
        <w:rPr>
          <w:spacing w:val="-2"/>
        </w:rPr>
        <w:t>Aware</w:t>
      </w:r>
      <w:r w:rsidRPr="00EB2BD8">
        <w:rPr>
          <w:spacing w:val="-6"/>
        </w:rPr>
        <w:t xml:space="preserve"> </w:t>
      </w:r>
      <w:r w:rsidRPr="00EB2BD8">
        <w:rPr>
          <w:spacing w:val="-2"/>
        </w:rPr>
        <w:t>involves</w:t>
      </w:r>
      <w:r w:rsidRPr="00EB2BD8">
        <w:rPr>
          <w:spacing w:val="-6"/>
        </w:rPr>
        <w:t xml:space="preserve"> </w:t>
      </w:r>
      <w:r w:rsidRPr="00EB2BD8">
        <w:rPr>
          <w:spacing w:val="-2"/>
        </w:rPr>
        <w:t>a</w:t>
      </w:r>
      <w:r w:rsidRPr="00EB2BD8">
        <w:rPr>
          <w:spacing w:val="-6"/>
        </w:rPr>
        <w:t xml:space="preserve"> </w:t>
      </w:r>
      <w:r w:rsidRPr="00EB2BD8">
        <w:rPr>
          <w:spacing w:val="-2"/>
        </w:rPr>
        <w:t xml:space="preserve">partnership </w:t>
      </w:r>
      <w:r w:rsidRPr="00EB2BD8">
        <w:t>between the VBA, WorkSafe Victoria, Energy Safe Victoria and Environment Protection Authority</w:t>
      </w:r>
    </w:p>
    <w:p w14:paraId="09F0BD66" w14:textId="77777777" w:rsidR="00084F36" w:rsidRPr="00EB2BD8" w:rsidRDefault="00EB2BD8">
      <w:pPr>
        <w:pStyle w:val="BodyText"/>
        <w:spacing w:line="261" w:lineRule="auto"/>
        <w:ind w:left="860"/>
      </w:pPr>
      <w:r w:rsidRPr="00EB2BD8">
        <w:t>ensure construction workers are meeting safety, environmental,</w:t>
      </w:r>
      <w:r w:rsidRPr="00EB2BD8">
        <w:rPr>
          <w:spacing w:val="-10"/>
        </w:rPr>
        <w:t xml:space="preserve"> </w:t>
      </w:r>
      <w:r w:rsidRPr="00EB2BD8">
        <w:t>building</w:t>
      </w:r>
      <w:r w:rsidRPr="00EB2BD8">
        <w:rPr>
          <w:spacing w:val="-10"/>
        </w:rPr>
        <w:t xml:space="preserve"> </w:t>
      </w:r>
      <w:r w:rsidRPr="00EB2BD8">
        <w:t>and</w:t>
      </w:r>
      <w:r w:rsidRPr="00EB2BD8">
        <w:rPr>
          <w:spacing w:val="-10"/>
        </w:rPr>
        <w:t xml:space="preserve"> </w:t>
      </w:r>
      <w:r w:rsidRPr="00EB2BD8">
        <w:t>plumbing</w:t>
      </w:r>
      <w:r w:rsidRPr="00EB2BD8">
        <w:rPr>
          <w:spacing w:val="-10"/>
        </w:rPr>
        <w:t xml:space="preserve"> </w:t>
      </w:r>
      <w:r w:rsidRPr="00EB2BD8">
        <w:t>compliance obligations</w:t>
      </w:r>
      <w:r w:rsidRPr="00EB2BD8">
        <w:rPr>
          <w:spacing w:val="-6"/>
        </w:rPr>
        <w:t xml:space="preserve"> </w:t>
      </w:r>
      <w:r w:rsidRPr="00EB2BD8">
        <w:t>requirements.</w:t>
      </w:r>
    </w:p>
    <w:p w14:paraId="739EA36E" w14:textId="77777777" w:rsidR="00084F36" w:rsidRPr="00EB2BD8" w:rsidRDefault="00EB2BD8">
      <w:pPr>
        <w:pStyle w:val="BodyText"/>
        <w:spacing w:before="95" w:line="261" w:lineRule="auto"/>
        <w:ind w:left="447" w:right="1014"/>
      </w:pPr>
      <w:r w:rsidRPr="00EB2BD8">
        <w:br w:type="column"/>
      </w:r>
      <w:r w:rsidRPr="00EB2BD8">
        <w:t>The Build Aware campaign visited construction sites in</w:t>
      </w:r>
      <w:r w:rsidRPr="00EB2BD8">
        <w:rPr>
          <w:spacing w:val="-11"/>
        </w:rPr>
        <w:t xml:space="preserve"> </w:t>
      </w:r>
      <w:r w:rsidRPr="00EB2BD8">
        <w:t>regional</w:t>
      </w:r>
      <w:r w:rsidRPr="00EB2BD8">
        <w:rPr>
          <w:spacing w:val="-11"/>
        </w:rPr>
        <w:t xml:space="preserve"> </w:t>
      </w:r>
      <w:r w:rsidRPr="00EB2BD8">
        <w:t>Victoria,</w:t>
      </w:r>
      <w:r w:rsidRPr="00EB2BD8">
        <w:rPr>
          <w:spacing w:val="-11"/>
        </w:rPr>
        <w:t xml:space="preserve"> </w:t>
      </w:r>
      <w:r w:rsidRPr="00EB2BD8">
        <w:t>to</w:t>
      </w:r>
      <w:r w:rsidRPr="00EB2BD8">
        <w:rPr>
          <w:spacing w:val="-11"/>
        </w:rPr>
        <w:t xml:space="preserve"> </w:t>
      </w:r>
      <w:r w:rsidRPr="00EB2BD8">
        <w:t>identify</w:t>
      </w:r>
      <w:r w:rsidRPr="00EB2BD8">
        <w:rPr>
          <w:spacing w:val="-11"/>
        </w:rPr>
        <w:t xml:space="preserve"> </w:t>
      </w:r>
      <w:r w:rsidRPr="00EB2BD8">
        <w:t>non-compliant</w:t>
      </w:r>
      <w:r w:rsidRPr="00EB2BD8">
        <w:rPr>
          <w:spacing w:val="-11"/>
        </w:rPr>
        <w:t xml:space="preserve"> </w:t>
      </w:r>
      <w:r w:rsidRPr="00EB2BD8">
        <w:t>building and plumbing work. Areas of emphasis included air conditioning and swimming pools, powerline safety, building code and regulation compliance, crystalline silica dust and waste management.</w:t>
      </w:r>
    </w:p>
    <w:p w14:paraId="27F0A7B3" w14:textId="77777777" w:rsidR="00084F36" w:rsidRPr="00EB2BD8" w:rsidRDefault="00084F36">
      <w:pPr>
        <w:spacing w:line="261" w:lineRule="auto"/>
        <w:sectPr w:rsidR="00084F36" w:rsidRPr="00EB2BD8" w:rsidSect="006D75B2">
          <w:type w:val="continuous"/>
          <w:pgSz w:w="11910" w:h="16840"/>
          <w:pgMar w:top="1920" w:right="0" w:bottom="280" w:left="0" w:header="0" w:footer="528" w:gutter="0"/>
          <w:cols w:num="2" w:space="720" w:equalWidth="0">
            <w:col w:w="5683" w:space="40"/>
            <w:col w:w="6187"/>
          </w:cols>
        </w:sectPr>
      </w:pPr>
    </w:p>
    <w:p w14:paraId="565E57DE" w14:textId="7098D997" w:rsidR="00084F36" w:rsidRPr="00EB2BD8" w:rsidRDefault="00084F36">
      <w:pPr>
        <w:pStyle w:val="BodyText"/>
        <w:spacing w:before="2"/>
        <w:rPr>
          <w:sz w:val="21"/>
        </w:rPr>
      </w:pPr>
    </w:p>
    <w:p w14:paraId="7C5DB151" w14:textId="32013E38" w:rsidR="00084F36" w:rsidRPr="00EB2BD8" w:rsidRDefault="00EB2BD8">
      <w:pPr>
        <w:tabs>
          <w:tab w:val="left" w:pos="6179"/>
        </w:tabs>
        <w:ind w:left="850"/>
        <w:rPr>
          <w:sz w:val="20"/>
        </w:rPr>
      </w:pPr>
      <w:r w:rsidRPr="00EB2BD8">
        <w:rPr>
          <w:position w:val="4"/>
          <w:sz w:val="20"/>
        </w:rPr>
        <w:tab/>
      </w:r>
    </w:p>
    <w:p w14:paraId="3168702E" w14:textId="77777777" w:rsidR="00084F36" w:rsidRPr="00EB2BD8" w:rsidRDefault="00084F36">
      <w:pPr>
        <w:rPr>
          <w:sz w:val="20"/>
        </w:rPr>
        <w:sectPr w:rsidR="00084F36" w:rsidRPr="00EB2BD8" w:rsidSect="006D75B2">
          <w:type w:val="continuous"/>
          <w:pgSz w:w="11910" w:h="16840"/>
          <w:pgMar w:top="1920" w:right="0" w:bottom="280" w:left="0" w:header="0" w:footer="528" w:gutter="0"/>
          <w:cols w:space="720"/>
        </w:sectPr>
      </w:pPr>
    </w:p>
    <w:p w14:paraId="0EA46304" w14:textId="74BCA742" w:rsidR="00084F36" w:rsidRPr="00EB2BD8" w:rsidRDefault="00084F36">
      <w:pPr>
        <w:pStyle w:val="BodyText"/>
        <w:rPr>
          <w:sz w:val="20"/>
        </w:rPr>
      </w:pPr>
    </w:p>
    <w:p w14:paraId="53773CCF" w14:textId="77777777" w:rsidR="00084F36" w:rsidRPr="00EB2BD8" w:rsidRDefault="00084F36">
      <w:pPr>
        <w:pStyle w:val="BodyText"/>
        <w:rPr>
          <w:sz w:val="20"/>
        </w:rPr>
      </w:pPr>
    </w:p>
    <w:p w14:paraId="2064BF6C" w14:textId="77777777" w:rsidR="00084F36" w:rsidRPr="00EB2BD8" w:rsidRDefault="00084F36">
      <w:pPr>
        <w:pStyle w:val="BodyText"/>
        <w:rPr>
          <w:sz w:val="20"/>
        </w:rPr>
      </w:pPr>
    </w:p>
    <w:p w14:paraId="54104D21" w14:textId="77777777" w:rsidR="00084F36" w:rsidRPr="00EB2BD8" w:rsidRDefault="00084F36">
      <w:pPr>
        <w:pStyle w:val="BodyText"/>
        <w:spacing w:before="6" w:after="1"/>
        <w:rPr>
          <w:sz w:val="11"/>
        </w:rPr>
      </w:pPr>
    </w:p>
    <w:p w14:paraId="106BBBFD" w14:textId="04CDDA41" w:rsidR="00084F36" w:rsidRPr="00EB2BD8" w:rsidRDefault="00084F36">
      <w:pPr>
        <w:pStyle w:val="BodyText"/>
        <w:spacing w:line="228" w:lineRule="exact"/>
        <w:ind w:left="10250"/>
        <w:rPr>
          <w:sz w:val="20"/>
        </w:rPr>
      </w:pPr>
    </w:p>
    <w:p w14:paraId="101799F3" w14:textId="77777777" w:rsidR="00084F36" w:rsidRPr="00EB2BD8" w:rsidRDefault="00084F36">
      <w:pPr>
        <w:pStyle w:val="BodyText"/>
        <w:rPr>
          <w:sz w:val="20"/>
        </w:rPr>
      </w:pPr>
    </w:p>
    <w:p w14:paraId="7479CC3A" w14:textId="046982AB" w:rsidR="00084F36" w:rsidRPr="00247513" w:rsidRDefault="00EB2BD8" w:rsidP="00247513">
      <w:pPr>
        <w:pStyle w:val="Heading1"/>
      </w:pPr>
      <w:bookmarkStart w:id="147" w:name="_Toc150762449"/>
      <w:r w:rsidRPr="00247513">
        <w:t>3/</w:t>
      </w:r>
      <w:bookmarkEnd w:id="147"/>
    </w:p>
    <w:p w14:paraId="7F9CBBD0" w14:textId="3E43FB4D" w:rsidR="00084F36" w:rsidRPr="00247513" w:rsidRDefault="00EB2BD8" w:rsidP="00247513">
      <w:pPr>
        <w:pStyle w:val="Heading1"/>
      </w:pPr>
      <w:bookmarkStart w:id="148" w:name="_Toc150762450"/>
      <w:r w:rsidRPr="00247513">
        <w:t>Our</w:t>
      </w:r>
      <w:r w:rsidR="00247513">
        <w:t xml:space="preserve"> </w:t>
      </w:r>
      <w:r w:rsidRPr="00247513">
        <w:t>people</w:t>
      </w:r>
      <w:bookmarkEnd w:id="148"/>
    </w:p>
    <w:p w14:paraId="3ADE0663" w14:textId="77777777" w:rsidR="00084F36" w:rsidRPr="00EB2BD8" w:rsidRDefault="00084F36">
      <w:pPr>
        <w:pStyle w:val="BodyText"/>
        <w:rPr>
          <w:rFonts w:ascii="Tahoma"/>
          <w:b/>
          <w:sz w:val="20"/>
        </w:rPr>
      </w:pPr>
    </w:p>
    <w:p w14:paraId="72A7C620" w14:textId="77777777" w:rsidR="00084F36" w:rsidRPr="00EB2BD8" w:rsidRDefault="00084F36">
      <w:pPr>
        <w:pStyle w:val="BodyText"/>
        <w:rPr>
          <w:rFonts w:ascii="Tahoma"/>
          <w:b/>
          <w:sz w:val="20"/>
        </w:rPr>
      </w:pPr>
    </w:p>
    <w:p w14:paraId="2968A260" w14:textId="77777777" w:rsidR="00084F36" w:rsidRPr="00EB2BD8" w:rsidRDefault="00084F36">
      <w:pPr>
        <w:pStyle w:val="BodyText"/>
        <w:rPr>
          <w:rFonts w:ascii="Tahoma"/>
          <w:b/>
          <w:sz w:val="20"/>
        </w:rPr>
      </w:pPr>
    </w:p>
    <w:p w14:paraId="2E2A1451" w14:textId="77777777" w:rsidR="00084F36" w:rsidRPr="00EB2BD8" w:rsidRDefault="00084F36">
      <w:pPr>
        <w:pStyle w:val="BodyText"/>
        <w:rPr>
          <w:rFonts w:ascii="Tahoma"/>
          <w:b/>
          <w:sz w:val="20"/>
        </w:rPr>
      </w:pPr>
    </w:p>
    <w:p w14:paraId="1F5A404B" w14:textId="77777777" w:rsidR="00084F36" w:rsidRPr="00EB2BD8" w:rsidRDefault="00084F36">
      <w:pPr>
        <w:pStyle w:val="BodyText"/>
        <w:rPr>
          <w:rFonts w:ascii="Tahoma"/>
          <w:b/>
          <w:sz w:val="20"/>
        </w:rPr>
      </w:pPr>
    </w:p>
    <w:p w14:paraId="6461410E" w14:textId="77777777" w:rsidR="00084F36" w:rsidRPr="00EB2BD8" w:rsidRDefault="00084F36">
      <w:pPr>
        <w:pStyle w:val="BodyText"/>
        <w:rPr>
          <w:rFonts w:ascii="Tahoma"/>
          <w:b/>
          <w:sz w:val="20"/>
        </w:rPr>
      </w:pPr>
    </w:p>
    <w:p w14:paraId="02099EB1" w14:textId="77777777" w:rsidR="00084F36" w:rsidRPr="00EB2BD8" w:rsidRDefault="00084F36">
      <w:pPr>
        <w:pStyle w:val="BodyText"/>
        <w:rPr>
          <w:rFonts w:ascii="Tahoma"/>
          <w:b/>
          <w:sz w:val="20"/>
        </w:rPr>
      </w:pPr>
    </w:p>
    <w:p w14:paraId="46198F4B" w14:textId="77777777" w:rsidR="00084F36" w:rsidRPr="00EB2BD8" w:rsidRDefault="00084F36">
      <w:pPr>
        <w:pStyle w:val="BodyText"/>
        <w:rPr>
          <w:rFonts w:ascii="Tahoma"/>
          <w:b/>
          <w:sz w:val="20"/>
        </w:rPr>
      </w:pPr>
    </w:p>
    <w:p w14:paraId="5D9B036B" w14:textId="77777777" w:rsidR="00084F36" w:rsidRPr="00EB2BD8" w:rsidRDefault="00084F36">
      <w:pPr>
        <w:pStyle w:val="BodyText"/>
        <w:rPr>
          <w:rFonts w:ascii="Tahoma"/>
          <w:b/>
          <w:sz w:val="20"/>
        </w:rPr>
      </w:pPr>
    </w:p>
    <w:p w14:paraId="1EDF022E" w14:textId="77777777" w:rsidR="00084F36" w:rsidRPr="00EB2BD8" w:rsidRDefault="00084F36">
      <w:pPr>
        <w:pStyle w:val="BodyText"/>
        <w:rPr>
          <w:rFonts w:ascii="Tahoma"/>
          <w:b/>
          <w:sz w:val="20"/>
        </w:rPr>
      </w:pPr>
    </w:p>
    <w:p w14:paraId="6C635E2C" w14:textId="77777777" w:rsidR="00084F36" w:rsidRPr="00EB2BD8" w:rsidRDefault="00084F36">
      <w:pPr>
        <w:pStyle w:val="BodyText"/>
        <w:rPr>
          <w:rFonts w:ascii="Tahoma"/>
          <w:b/>
          <w:sz w:val="20"/>
        </w:rPr>
      </w:pPr>
    </w:p>
    <w:p w14:paraId="3B20B86B" w14:textId="77777777" w:rsidR="00084F36" w:rsidRPr="00EB2BD8" w:rsidRDefault="00084F36">
      <w:pPr>
        <w:pStyle w:val="BodyText"/>
        <w:rPr>
          <w:rFonts w:ascii="Tahoma"/>
          <w:b/>
          <w:sz w:val="20"/>
        </w:rPr>
      </w:pPr>
    </w:p>
    <w:p w14:paraId="714FB337" w14:textId="77777777" w:rsidR="00084F36" w:rsidRPr="00EB2BD8" w:rsidRDefault="00084F36">
      <w:pPr>
        <w:pStyle w:val="BodyText"/>
        <w:rPr>
          <w:rFonts w:ascii="Tahoma"/>
          <w:b/>
          <w:sz w:val="20"/>
        </w:rPr>
      </w:pPr>
    </w:p>
    <w:p w14:paraId="199B36B9" w14:textId="77777777" w:rsidR="00084F36" w:rsidRPr="00EB2BD8" w:rsidRDefault="00084F36">
      <w:pPr>
        <w:pStyle w:val="BodyText"/>
        <w:rPr>
          <w:rFonts w:ascii="Tahoma"/>
          <w:b/>
          <w:sz w:val="20"/>
        </w:rPr>
      </w:pPr>
    </w:p>
    <w:p w14:paraId="728F26DA" w14:textId="77777777" w:rsidR="00084F36" w:rsidRPr="00EB2BD8" w:rsidRDefault="00084F36">
      <w:pPr>
        <w:pStyle w:val="BodyText"/>
        <w:rPr>
          <w:rFonts w:ascii="Tahoma"/>
          <w:b/>
          <w:sz w:val="20"/>
        </w:rPr>
      </w:pPr>
    </w:p>
    <w:p w14:paraId="78D27C9E" w14:textId="77777777" w:rsidR="00084F36" w:rsidRPr="00EB2BD8" w:rsidRDefault="00084F36">
      <w:pPr>
        <w:pStyle w:val="BodyText"/>
        <w:rPr>
          <w:rFonts w:ascii="Tahoma"/>
          <w:b/>
          <w:sz w:val="20"/>
        </w:rPr>
      </w:pPr>
    </w:p>
    <w:p w14:paraId="3E03AA51" w14:textId="77777777" w:rsidR="00084F36" w:rsidRPr="00EB2BD8" w:rsidRDefault="00084F36">
      <w:pPr>
        <w:pStyle w:val="BodyText"/>
        <w:rPr>
          <w:rFonts w:ascii="Tahoma"/>
          <w:b/>
          <w:sz w:val="20"/>
        </w:rPr>
      </w:pPr>
    </w:p>
    <w:p w14:paraId="2DA9B513" w14:textId="77777777" w:rsidR="00084F36" w:rsidRPr="00EB2BD8" w:rsidRDefault="00084F36">
      <w:pPr>
        <w:pStyle w:val="BodyText"/>
        <w:rPr>
          <w:rFonts w:ascii="Tahoma"/>
          <w:b/>
          <w:sz w:val="20"/>
        </w:rPr>
      </w:pPr>
    </w:p>
    <w:p w14:paraId="629476F6" w14:textId="77777777" w:rsidR="00084F36" w:rsidRPr="00EB2BD8" w:rsidRDefault="00084F36">
      <w:pPr>
        <w:pStyle w:val="BodyText"/>
        <w:rPr>
          <w:rFonts w:ascii="Tahoma"/>
          <w:b/>
          <w:sz w:val="20"/>
        </w:rPr>
      </w:pPr>
    </w:p>
    <w:p w14:paraId="74A4AC22" w14:textId="77777777" w:rsidR="00084F36" w:rsidRPr="00EB2BD8" w:rsidRDefault="00084F36">
      <w:pPr>
        <w:pStyle w:val="BodyText"/>
        <w:rPr>
          <w:rFonts w:ascii="Tahoma"/>
          <w:b/>
          <w:sz w:val="20"/>
        </w:rPr>
      </w:pPr>
    </w:p>
    <w:p w14:paraId="6C6C7C5A" w14:textId="77777777" w:rsidR="00084F36" w:rsidRPr="00EB2BD8" w:rsidRDefault="00084F36">
      <w:pPr>
        <w:pStyle w:val="BodyText"/>
        <w:rPr>
          <w:rFonts w:ascii="Tahoma"/>
          <w:b/>
          <w:sz w:val="20"/>
        </w:rPr>
      </w:pPr>
    </w:p>
    <w:p w14:paraId="18EB6708" w14:textId="77777777" w:rsidR="00084F36" w:rsidRPr="00EB2BD8" w:rsidRDefault="00084F36">
      <w:pPr>
        <w:pStyle w:val="BodyText"/>
        <w:rPr>
          <w:rFonts w:ascii="Tahoma"/>
          <w:b/>
          <w:sz w:val="20"/>
        </w:rPr>
      </w:pPr>
    </w:p>
    <w:p w14:paraId="19DC6BC2" w14:textId="77777777" w:rsidR="00084F36" w:rsidRPr="00EB2BD8" w:rsidRDefault="00084F36">
      <w:pPr>
        <w:pStyle w:val="BodyText"/>
        <w:rPr>
          <w:rFonts w:ascii="Tahoma"/>
          <w:b/>
          <w:sz w:val="20"/>
        </w:rPr>
      </w:pPr>
    </w:p>
    <w:p w14:paraId="381EC0C0" w14:textId="77777777" w:rsidR="00084F36" w:rsidRPr="00EB2BD8" w:rsidRDefault="00084F36">
      <w:pPr>
        <w:pStyle w:val="BodyText"/>
        <w:rPr>
          <w:rFonts w:ascii="Tahoma"/>
          <w:b/>
          <w:sz w:val="20"/>
        </w:rPr>
      </w:pPr>
    </w:p>
    <w:p w14:paraId="0ED56656" w14:textId="77777777" w:rsidR="00084F36" w:rsidRPr="00EB2BD8" w:rsidRDefault="00084F36">
      <w:pPr>
        <w:pStyle w:val="BodyText"/>
        <w:rPr>
          <w:rFonts w:ascii="Tahoma"/>
          <w:b/>
          <w:sz w:val="20"/>
        </w:rPr>
      </w:pPr>
    </w:p>
    <w:p w14:paraId="2BC3A9E4" w14:textId="77777777" w:rsidR="00084F36" w:rsidRPr="00EB2BD8" w:rsidRDefault="00084F36">
      <w:pPr>
        <w:pStyle w:val="BodyText"/>
        <w:rPr>
          <w:rFonts w:ascii="Tahoma"/>
          <w:b/>
          <w:sz w:val="20"/>
        </w:rPr>
      </w:pPr>
    </w:p>
    <w:p w14:paraId="0C594F98" w14:textId="77777777" w:rsidR="00084F36" w:rsidRPr="00EB2BD8" w:rsidRDefault="00084F36">
      <w:pPr>
        <w:pStyle w:val="BodyText"/>
        <w:rPr>
          <w:rFonts w:ascii="Tahoma"/>
          <w:b/>
          <w:sz w:val="20"/>
        </w:rPr>
      </w:pPr>
    </w:p>
    <w:p w14:paraId="594F43CC" w14:textId="77777777" w:rsidR="00084F36" w:rsidRPr="00EB2BD8" w:rsidRDefault="00084F36">
      <w:pPr>
        <w:pStyle w:val="BodyText"/>
        <w:rPr>
          <w:rFonts w:ascii="Tahoma"/>
          <w:b/>
          <w:sz w:val="20"/>
        </w:rPr>
      </w:pPr>
    </w:p>
    <w:p w14:paraId="50E8D12F" w14:textId="77777777" w:rsidR="00084F36" w:rsidRPr="00EB2BD8" w:rsidRDefault="00084F36">
      <w:pPr>
        <w:pStyle w:val="BodyText"/>
        <w:rPr>
          <w:rFonts w:ascii="Tahoma"/>
          <w:b/>
          <w:sz w:val="20"/>
        </w:rPr>
      </w:pPr>
    </w:p>
    <w:p w14:paraId="0EADDD61" w14:textId="77777777" w:rsidR="00084F36" w:rsidRPr="00EB2BD8" w:rsidRDefault="00084F36">
      <w:pPr>
        <w:pStyle w:val="BodyText"/>
        <w:rPr>
          <w:rFonts w:ascii="Tahoma"/>
          <w:b/>
          <w:sz w:val="20"/>
        </w:rPr>
      </w:pPr>
    </w:p>
    <w:p w14:paraId="3F129BE5" w14:textId="77777777" w:rsidR="00084F36" w:rsidRPr="00EB2BD8" w:rsidRDefault="00084F36">
      <w:pPr>
        <w:pStyle w:val="BodyText"/>
        <w:rPr>
          <w:rFonts w:ascii="Tahoma"/>
          <w:b/>
          <w:sz w:val="20"/>
        </w:rPr>
      </w:pPr>
    </w:p>
    <w:p w14:paraId="47F368DF" w14:textId="77777777" w:rsidR="00084F36" w:rsidRPr="00EB2BD8" w:rsidRDefault="00084F36">
      <w:pPr>
        <w:pStyle w:val="BodyText"/>
        <w:rPr>
          <w:rFonts w:ascii="Tahoma"/>
          <w:b/>
          <w:sz w:val="20"/>
        </w:rPr>
      </w:pPr>
    </w:p>
    <w:p w14:paraId="600B1431" w14:textId="77777777" w:rsidR="00084F36" w:rsidRPr="00EB2BD8" w:rsidRDefault="00084F36">
      <w:pPr>
        <w:pStyle w:val="BodyText"/>
        <w:rPr>
          <w:rFonts w:ascii="Tahoma"/>
          <w:b/>
          <w:sz w:val="20"/>
        </w:rPr>
      </w:pPr>
    </w:p>
    <w:p w14:paraId="24128C32" w14:textId="77777777" w:rsidR="00084F36" w:rsidRPr="00EB2BD8" w:rsidRDefault="00084F36">
      <w:pPr>
        <w:pStyle w:val="BodyText"/>
        <w:rPr>
          <w:rFonts w:ascii="Tahoma"/>
          <w:b/>
          <w:sz w:val="20"/>
        </w:rPr>
      </w:pPr>
    </w:p>
    <w:p w14:paraId="76991F52" w14:textId="77777777" w:rsidR="00084F36" w:rsidRPr="00EB2BD8" w:rsidRDefault="00084F36">
      <w:pPr>
        <w:pStyle w:val="BodyText"/>
        <w:rPr>
          <w:rFonts w:ascii="Tahoma"/>
          <w:b/>
          <w:sz w:val="20"/>
        </w:rPr>
      </w:pPr>
    </w:p>
    <w:p w14:paraId="6B537FBA" w14:textId="77777777" w:rsidR="00084F36" w:rsidRPr="00EB2BD8" w:rsidRDefault="00084F36">
      <w:pPr>
        <w:pStyle w:val="BodyText"/>
        <w:rPr>
          <w:rFonts w:ascii="Tahoma"/>
          <w:b/>
          <w:sz w:val="20"/>
        </w:rPr>
      </w:pPr>
    </w:p>
    <w:p w14:paraId="7D57F4FB" w14:textId="77777777" w:rsidR="00084F36" w:rsidRPr="00EB2BD8" w:rsidRDefault="00084F36">
      <w:pPr>
        <w:pStyle w:val="BodyText"/>
        <w:rPr>
          <w:rFonts w:ascii="Tahoma"/>
          <w:b/>
          <w:sz w:val="20"/>
        </w:rPr>
      </w:pPr>
    </w:p>
    <w:p w14:paraId="325E4F79" w14:textId="77777777" w:rsidR="00084F36" w:rsidRPr="00EB2BD8" w:rsidRDefault="00084F36">
      <w:pPr>
        <w:pStyle w:val="BodyText"/>
        <w:rPr>
          <w:rFonts w:ascii="Tahoma"/>
          <w:b/>
          <w:sz w:val="20"/>
        </w:rPr>
      </w:pPr>
    </w:p>
    <w:p w14:paraId="671BAC65" w14:textId="77777777" w:rsidR="00084F36" w:rsidRPr="00EB2BD8" w:rsidRDefault="00084F36">
      <w:pPr>
        <w:pStyle w:val="BodyText"/>
        <w:rPr>
          <w:rFonts w:ascii="Tahoma"/>
          <w:b/>
          <w:sz w:val="20"/>
        </w:rPr>
      </w:pPr>
    </w:p>
    <w:p w14:paraId="2BB19DEC" w14:textId="77777777" w:rsidR="00084F36" w:rsidRPr="00EB2BD8" w:rsidRDefault="00084F36">
      <w:pPr>
        <w:pStyle w:val="BodyText"/>
        <w:rPr>
          <w:rFonts w:ascii="Tahoma"/>
          <w:b/>
          <w:sz w:val="20"/>
        </w:rPr>
      </w:pPr>
    </w:p>
    <w:p w14:paraId="58042A8B" w14:textId="77777777" w:rsidR="00084F36" w:rsidRPr="00EB2BD8" w:rsidRDefault="00084F36">
      <w:pPr>
        <w:pStyle w:val="BodyText"/>
        <w:rPr>
          <w:rFonts w:ascii="Tahoma"/>
          <w:b/>
          <w:sz w:val="20"/>
        </w:rPr>
      </w:pPr>
    </w:p>
    <w:p w14:paraId="32E0FF19" w14:textId="77777777" w:rsidR="00084F36" w:rsidRPr="00EB2BD8" w:rsidRDefault="00084F36">
      <w:pPr>
        <w:pStyle w:val="BodyText"/>
        <w:rPr>
          <w:rFonts w:ascii="Tahoma"/>
          <w:b/>
          <w:sz w:val="20"/>
        </w:rPr>
      </w:pPr>
    </w:p>
    <w:p w14:paraId="7CA72B6F" w14:textId="77777777" w:rsidR="00084F36" w:rsidRPr="00EB2BD8" w:rsidRDefault="00084F36">
      <w:pPr>
        <w:pStyle w:val="BodyText"/>
        <w:rPr>
          <w:rFonts w:ascii="Tahoma"/>
          <w:b/>
          <w:sz w:val="20"/>
        </w:rPr>
      </w:pPr>
    </w:p>
    <w:p w14:paraId="343A3ADC" w14:textId="77777777" w:rsidR="00084F36" w:rsidRPr="00EB2BD8" w:rsidRDefault="00084F36">
      <w:pPr>
        <w:pStyle w:val="BodyText"/>
        <w:rPr>
          <w:rFonts w:ascii="Tahoma"/>
          <w:b/>
          <w:sz w:val="20"/>
        </w:rPr>
      </w:pPr>
    </w:p>
    <w:p w14:paraId="38F0D560" w14:textId="15149C47" w:rsidR="00084F36" w:rsidRDefault="00084F36">
      <w:pPr>
        <w:pStyle w:val="BodyText"/>
        <w:rPr>
          <w:rFonts w:ascii="Tahoma"/>
          <w:b/>
          <w:sz w:val="20"/>
        </w:rPr>
      </w:pPr>
    </w:p>
    <w:p w14:paraId="52BBFB07" w14:textId="109A0DF8" w:rsidR="00E13356" w:rsidRDefault="00E13356">
      <w:pPr>
        <w:pStyle w:val="BodyText"/>
        <w:rPr>
          <w:rFonts w:ascii="Tahoma"/>
          <w:b/>
          <w:sz w:val="20"/>
        </w:rPr>
      </w:pPr>
    </w:p>
    <w:p w14:paraId="01168F15" w14:textId="597BBDA4" w:rsidR="00E13356" w:rsidRDefault="00E13356">
      <w:pPr>
        <w:pStyle w:val="BodyText"/>
        <w:rPr>
          <w:rFonts w:ascii="Tahoma"/>
          <w:b/>
          <w:sz w:val="20"/>
        </w:rPr>
      </w:pPr>
    </w:p>
    <w:p w14:paraId="7B273270" w14:textId="29C6F3A4" w:rsidR="00E13356" w:rsidRDefault="00E13356">
      <w:pPr>
        <w:pStyle w:val="BodyText"/>
        <w:rPr>
          <w:rFonts w:ascii="Tahoma"/>
          <w:b/>
          <w:sz w:val="20"/>
        </w:rPr>
      </w:pPr>
    </w:p>
    <w:p w14:paraId="507DA548" w14:textId="7F3A98AA" w:rsidR="00E13356" w:rsidRDefault="00E13356">
      <w:pPr>
        <w:pStyle w:val="BodyText"/>
        <w:rPr>
          <w:rFonts w:ascii="Tahoma"/>
          <w:b/>
          <w:sz w:val="20"/>
        </w:rPr>
      </w:pPr>
    </w:p>
    <w:p w14:paraId="05FFA5FA" w14:textId="3B8F10CF" w:rsidR="00E13356" w:rsidRDefault="00E13356">
      <w:pPr>
        <w:pStyle w:val="BodyText"/>
        <w:rPr>
          <w:rFonts w:ascii="Tahoma"/>
          <w:b/>
          <w:sz w:val="20"/>
        </w:rPr>
      </w:pPr>
    </w:p>
    <w:p w14:paraId="48E5DD5A" w14:textId="3569AD3F" w:rsidR="00E13356" w:rsidRDefault="00E13356">
      <w:pPr>
        <w:pStyle w:val="BodyText"/>
        <w:rPr>
          <w:rFonts w:ascii="Tahoma"/>
          <w:b/>
          <w:sz w:val="20"/>
        </w:rPr>
      </w:pPr>
    </w:p>
    <w:p w14:paraId="322824C7" w14:textId="77777777" w:rsidR="00E13356" w:rsidRPr="00EB2BD8" w:rsidRDefault="00E13356">
      <w:pPr>
        <w:pStyle w:val="BodyText"/>
        <w:rPr>
          <w:rFonts w:ascii="Tahoma"/>
          <w:b/>
          <w:sz w:val="20"/>
        </w:rPr>
      </w:pPr>
    </w:p>
    <w:p w14:paraId="0A369A59" w14:textId="77777777" w:rsidR="00084F36" w:rsidRPr="00EB2BD8" w:rsidRDefault="00084F36">
      <w:pPr>
        <w:pStyle w:val="BodyText"/>
        <w:rPr>
          <w:rFonts w:ascii="Tahoma"/>
          <w:b/>
          <w:sz w:val="20"/>
        </w:rPr>
      </w:pPr>
    </w:p>
    <w:p w14:paraId="6BCBECF8" w14:textId="77777777" w:rsidR="00084F36" w:rsidRPr="00EB2BD8" w:rsidRDefault="00084F36">
      <w:pPr>
        <w:pStyle w:val="BodyText"/>
        <w:rPr>
          <w:rFonts w:ascii="Tahoma"/>
          <w:b/>
          <w:sz w:val="20"/>
        </w:rPr>
      </w:pPr>
    </w:p>
    <w:p w14:paraId="094EDF7B" w14:textId="77777777" w:rsidR="00084F36" w:rsidRPr="00EB2BD8" w:rsidRDefault="00084F36">
      <w:pPr>
        <w:pStyle w:val="BodyText"/>
        <w:spacing w:before="7"/>
        <w:rPr>
          <w:rFonts w:ascii="Tahoma"/>
          <w:b/>
        </w:rPr>
      </w:pPr>
    </w:p>
    <w:p w14:paraId="0079D680" w14:textId="77777777" w:rsidR="00084F36" w:rsidRPr="00EB2BD8" w:rsidRDefault="00084F36">
      <w:pPr>
        <w:jc w:val="right"/>
        <w:rPr>
          <w:sz w:val="16"/>
        </w:rPr>
        <w:sectPr w:rsidR="00084F36" w:rsidRPr="00EB2BD8" w:rsidSect="006D75B2">
          <w:headerReference w:type="default" r:id="rId173"/>
          <w:footerReference w:type="default" r:id="rId174"/>
          <w:pgSz w:w="11910" w:h="16840"/>
          <w:pgMar w:top="0" w:right="0" w:bottom="280" w:left="0" w:header="0" w:footer="0" w:gutter="0"/>
          <w:cols w:space="720"/>
        </w:sectPr>
      </w:pPr>
    </w:p>
    <w:p w14:paraId="5D2698A2" w14:textId="462E0935" w:rsidR="00084F36" w:rsidRPr="00247513" w:rsidRDefault="00EB2BD8" w:rsidP="00247513">
      <w:pPr>
        <w:pStyle w:val="Heading1"/>
      </w:pPr>
      <w:bookmarkStart w:id="149" w:name="_Toc150762451"/>
      <w:r w:rsidRPr="00247513">
        <w:lastRenderedPageBreak/>
        <w:t>The VBA as a Strength-Based Workplace</w:t>
      </w:r>
      <w:bookmarkEnd w:id="149"/>
    </w:p>
    <w:p w14:paraId="2CBA582B" w14:textId="77777777" w:rsidR="00084F36" w:rsidRPr="00EB2BD8" w:rsidRDefault="00084F36">
      <w:pPr>
        <w:pStyle w:val="BodyText"/>
        <w:rPr>
          <w:rFonts w:ascii="Tahoma"/>
          <w:b/>
          <w:sz w:val="20"/>
        </w:rPr>
      </w:pPr>
    </w:p>
    <w:p w14:paraId="03D53C59" w14:textId="77777777" w:rsidR="00084F36" w:rsidRPr="00EB2BD8" w:rsidRDefault="00084F36">
      <w:pPr>
        <w:pStyle w:val="BodyText"/>
        <w:rPr>
          <w:rFonts w:ascii="Tahoma"/>
          <w:b/>
          <w:sz w:val="20"/>
        </w:rPr>
      </w:pPr>
    </w:p>
    <w:p w14:paraId="55FEF23B" w14:textId="4B21CD91" w:rsidR="00EB2BD8" w:rsidRPr="00247513" w:rsidRDefault="00EB2BD8" w:rsidP="00247513">
      <w:pPr>
        <w:pStyle w:val="Heading2"/>
        <w:rPr>
          <w:b w:val="0"/>
          <w:bCs w:val="0"/>
        </w:rPr>
      </w:pPr>
      <w:bookmarkStart w:id="150" w:name="_Toc150762452"/>
      <w:r w:rsidRPr="00247513">
        <w:rPr>
          <w:b w:val="0"/>
          <w:bCs w:val="0"/>
        </w:rPr>
        <w:t>We’re</w:t>
      </w:r>
      <w:r w:rsidRPr="00247513">
        <w:rPr>
          <w:b w:val="0"/>
          <w:bCs w:val="0"/>
          <w:spacing w:val="-7"/>
        </w:rPr>
        <w:t xml:space="preserve"> </w:t>
      </w:r>
      <w:r w:rsidRPr="00247513">
        <w:rPr>
          <w:b w:val="0"/>
          <w:bCs w:val="0"/>
        </w:rPr>
        <w:t>one</w:t>
      </w:r>
      <w:r w:rsidRPr="00247513">
        <w:rPr>
          <w:b w:val="0"/>
          <w:bCs w:val="0"/>
          <w:spacing w:val="-7"/>
        </w:rPr>
        <w:t xml:space="preserve"> </w:t>
      </w:r>
      <w:r w:rsidRPr="00247513">
        <w:rPr>
          <w:b w:val="0"/>
          <w:bCs w:val="0"/>
        </w:rPr>
        <w:t>cohesive and diverse organisation and are</w:t>
      </w:r>
      <w:r w:rsidRPr="00247513">
        <w:rPr>
          <w:b w:val="0"/>
          <w:bCs w:val="0"/>
          <w:spacing w:val="-2"/>
        </w:rPr>
        <w:t xml:space="preserve"> </w:t>
      </w:r>
      <w:r w:rsidRPr="00247513">
        <w:rPr>
          <w:b w:val="0"/>
          <w:bCs w:val="0"/>
        </w:rPr>
        <w:t>serious</w:t>
      </w:r>
      <w:r w:rsidRPr="00247513">
        <w:rPr>
          <w:b w:val="0"/>
          <w:bCs w:val="0"/>
          <w:spacing w:val="-2"/>
        </w:rPr>
        <w:t xml:space="preserve"> </w:t>
      </w:r>
      <w:r w:rsidRPr="00247513">
        <w:rPr>
          <w:b w:val="0"/>
          <w:bCs w:val="0"/>
        </w:rPr>
        <w:t xml:space="preserve">about </w:t>
      </w:r>
      <w:r w:rsidRPr="00247513">
        <w:rPr>
          <w:b w:val="0"/>
          <w:bCs w:val="0"/>
          <w:spacing w:val="-4"/>
        </w:rPr>
        <w:t>talent</w:t>
      </w:r>
      <w:r w:rsidRPr="00247513">
        <w:rPr>
          <w:b w:val="0"/>
          <w:bCs w:val="0"/>
          <w:spacing w:val="-28"/>
        </w:rPr>
        <w:t xml:space="preserve"> </w:t>
      </w:r>
      <w:r w:rsidRPr="00247513">
        <w:rPr>
          <w:b w:val="0"/>
          <w:bCs w:val="0"/>
          <w:spacing w:val="-4"/>
        </w:rPr>
        <w:t>and</w:t>
      </w:r>
      <w:r w:rsidRPr="00247513">
        <w:rPr>
          <w:b w:val="0"/>
          <w:bCs w:val="0"/>
          <w:spacing w:val="-28"/>
        </w:rPr>
        <w:t xml:space="preserve"> </w:t>
      </w:r>
      <w:r w:rsidRPr="00247513">
        <w:rPr>
          <w:b w:val="0"/>
          <w:bCs w:val="0"/>
          <w:spacing w:val="-4"/>
        </w:rPr>
        <w:t xml:space="preserve">flexibility. </w:t>
      </w:r>
      <w:r w:rsidRPr="00247513">
        <w:rPr>
          <w:b w:val="0"/>
          <w:bCs w:val="0"/>
        </w:rPr>
        <w:t>Our</w:t>
      </w:r>
      <w:r w:rsidRPr="00247513">
        <w:rPr>
          <w:b w:val="0"/>
          <w:bCs w:val="0"/>
          <w:spacing w:val="-9"/>
        </w:rPr>
        <w:t xml:space="preserve"> </w:t>
      </w:r>
      <w:r w:rsidRPr="00247513">
        <w:rPr>
          <w:b w:val="0"/>
          <w:bCs w:val="0"/>
        </w:rPr>
        <w:t>people</w:t>
      </w:r>
      <w:r w:rsidRPr="00247513">
        <w:rPr>
          <w:b w:val="0"/>
          <w:bCs w:val="0"/>
          <w:spacing w:val="-9"/>
        </w:rPr>
        <w:t xml:space="preserve"> </w:t>
      </w:r>
      <w:r w:rsidRPr="00247513">
        <w:rPr>
          <w:b w:val="0"/>
          <w:bCs w:val="0"/>
        </w:rPr>
        <w:t>are</w:t>
      </w:r>
      <w:r w:rsidRPr="00247513">
        <w:rPr>
          <w:b w:val="0"/>
          <w:bCs w:val="0"/>
          <w:spacing w:val="-9"/>
        </w:rPr>
        <w:t xml:space="preserve"> </w:t>
      </w:r>
      <w:r w:rsidRPr="00247513">
        <w:rPr>
          <w:b w:val="0"/>
          <w:bCs w:val="0"/>
        </w:rPr>
        <w:t>the foundations</w:t>
      </w:r>
      <w:r w:rsidRPr="00247513">
        <w:rPr>
          <w:b w:val="0"/>
          <w:bCs w:val="0"/>
          <w:spacing w:val="-29"/>
        </w:rPr>
        <w:t xml:space="preserve"> </w:t>
      </w:r>
      <w:r w:rsidRPr="00247513">
        <w:rPr>
          <w:b w:val="0"/>
          <w:bCs w:val="0"/>
        </w:rPr>
        <w:t>of</w:t>
      </w:r>
      <w:r w:rsidRPr="00247513">
        <w:rPr>
          <w:b w:val="0"/>
          <w:bCs w:val="0"/>
          <w:spacing w:val="-29"/>
        </w:rPr>
        <w:t xml:space="preserve"> </w:t>
      </w:r>
      <w:r w:rsidRPr="00247513">
        <w:rPr>
          <w:b w:val="0"/>
          <w:bCs w:val="0"/>
        </w:rPr>
        <w:t xml:space="preserve">our </w:t>
      </w:r>
      <w:r w:rsidRPr="00247513">
        <w:rPr>
          <w:b w:val="0"/>
          <w:bCs w:val="0"/>
          <w:spacing w:val="-2"/>
        </w:rPr>
        <w:t>adaptable,</w:t>
      </w:r>
      <w:r w:rsidRPr="00247513">
        <w:rPr>
          <w:b w:val="0"/>
          <w:bCs w:val="0"/>
          <w:spacing w:val="-24"/>
        </w:rPr>
        <w:t xml:space="preserve"> </w:t>
      </w:r>
      <w:r w:rsidRPr="00247513">
        <w:rPr>
          <w:b w:val="0"/>
          <w:bCs w:val="0"/>
          <w:spacing w:val="-2"/>
        </w:rPr>
        <w:t xml:space="preserve">strength- </w:t>
      </w:r>
      <w:r w:rsidRPr="00247513">
        <w:rPr>
          <w:b w:val="0"/>
          <w:bCs w:val="0"/>
        </w:rPr>
        <w:t>based culture, and are empowered to</w:t>
      </w:r>
      <w:r w:rsidRPr="00247513">
        <w:rPr>
          <w:b w:val="0"/>
          <w:bCs w:val="0"/>
          <w:spacing w:val="-29"/>
        </w:rPr>
        <w:t xml:space="preserve"> </w:t>
      </w:r>
      <w:r w:rsidRPr="00247513">
        <w:rPr>
          <w:b w:val="0"/>
          <w:bCs w:val="0"/>
        </w:rPr>
        <w:t>build</w:t>
      </w:r>
      <w:r w:rsidRPr="00247513">
        <w:rPr>
          <w:b w:val="0"/>
          <w:bCs w:val="0"/>
          <w:spacing w:val="-28"/>
        </w:rPr>
        <w:t xml:space="preserve"> </w:t>
      </w:r>
      <w:r w:rsidRPr="00247513">
        <w:rPr>
          <w:b w:val="0"/>
          <w:bCs w:val="0"/>
        </w:rPr>
        <w:t>their</w:t>
      </w:r>
      <w:r w:rsidRPr="00247513">
        <w:rPr>
          <w:b w:val="0"/>
          <w:bCs w:val="0"/>
          <w:spacing w:val="-29"/>
        </w:rPr>
        <w:t xml:space="preserve"> </w:t>
      </w:r>
      <w:r w:rsidRPr="00247513">
        <w:rPr>
          <w:b w:val="0"/>
          <w:bCs w:val="0"/>
        </w:rPr>
        <w:t xml:space="preserve">own career pathways </w:t>
      </w:r>
      <w:r w:rsidRPr="00247513">
        <w:rPr>
          <w:b w:val="0"/>
          <w:bCs w:val="0"/>
          <w:spacing w:val="-6"/>
        </w:rPr>
        <w:t>and</w:t>
      </w:r>
      <w:r w:rsidRPr="00247513">
        <w:rPr>
          <w:b w:val="0"/>
          <w:bCs w:val="0"/>
          <w:spacing w:val="-30"/>
        </w:rPr>
        <w:t xml:space="preserve"> </w:t>
      </w:r>
      <w:r w:rsidRPr="00247513">
        <w:rPr>
          <w:b w:val="0"/>
          <w:bCs w:val="0"/>
          <w:spacing w:val="-6"/>
        </w:rPr>
        <w:t>maximise</w:t>
      </w:r>
      <w:r w:rsidRPr="00247513">
        <w:rPr>
          <w:b w:val="0"/>
          <w:bCs w:val="0"/>
          <w:spacing w:val="-28"/>
        </w:rPr>
        <w:t xml:space="preserve"> </w:t>
      </w:r>
      <w:r w:rsidRPr="00247513">
        <w:rPr>
          <w:b w:val="0"/>
          <w:bCs w:val="0"/>
          <w:spacing w:val="-6"/>
        </w:rPr>
        <w:t xml:space="preserve">their </w:t>
      </w:r>
      <w:r w:rsidRPr="00247513">
        <w:rPr>
          <w:b w:val="0"/>
          <w:bCs w:val="0"/>
        </w:rPr>
        <w:t>positive impact</w:t>
      </w:r>
      <w:bookmarkEnd w:id="150"/>
    </w:p>
    <w:p w14:paraId="309F9967" w14:textId="77777777" w:rsidR="00EB2BD8" w:rsidRPr="00247513" w:rsidRDefault="00EB2BD8" w:rsidP="00247513">
      <w:pPr>
        <w:pStyle w:val="Heading2"/>
        <w:rPr>
          <w:b w:val="0"/>
          <w:bCs w:val="0"/>
        </w:rPr>
      </w:pPr>
      <w:bookmarkStart w:id="151" w:name="_Toc150762453"/>
      <w:r w:rsidRPr="00247513">
        <w:rPr>
          <w:b w:val="0"/>
          <w:bCs w:val="0"/>
        </w:rPr>
        <w:t xml:space="preserve">for Victorian </w:t>
      </w:r>
      <w:r w:rsidRPr="00247513">
        <w:rPr>
          <w:b w:val="0"/>
          <w:bCs w:val="0"/>
          <w:spacing w:val="-10"/>
        </w:rPr>
        <w:t>communities.</w:t>
      </w:r>
      <w:bookmarkEnd w:id="151"/>
    </w:p>
    <w:p w14:paraId="2678C3D4" w14:textId="77777777" w:rsidR="00084F36" w:rsidRPr="00EB2BD8" w:rsidRDefault="00084F36">
      <w:pPr>
        <w:pStyle w:val="BodyText"/>
        <w:rPr>
          <w:rFonts w:ascii="Tahoma"/>
          <w:b/>
          <w:sz w:val="20"/>
        </w:rPr>
      </w:pPr>
    </w:p>
    <w:p w14:paraId="01FD56EA" w14:textId="77777777" w:rsidR="00084F36" w:rsidRPr="00EB2BD8" w:rsidRDefault="00084F36">
      <w:pPr>
        <w:pStyle w:val="BodyText"/>
        <w:rPr>
          <w:rFonts w:ascii="Tahoma"/>
          <w:b/>
          <w:sz w:val="20"/>
        </w:rPr>
      </w:pPr>
    </w:p>
    <w:p w14:paraId="6EFBF9A4" w14:textId="77777777" w:rsidR="00084F36" w:rsidRPr="00EB2BD8" w:rsidRDefault="00084F36">
      <w:pPr>
        <w:pStyle w:val="BodyText"/>
        <w:rPr>
          <w:rFonts w:ascii="Tahoma"/>
          <w:b/>
          <w:sz w:val="20"/>
        </w:rPr>
      </w:pPr>
    </w:p>
    <w:p w14:paraId="53A4EFFB" w14:textId="77777777" w:rsidR="00084F36" w:rsidRPr="00EB2BD8" w:rsidRDefault="00084F36">
      <w:pPr>
        <w:pStyle w:val="BodyText"/>
        <w:rPr>
          <w:rFonts w:ascii="Tahoma"/>
          <w:b/>
          <w:sz w:val="20"/>
        </w:rPr>
      </w:pPr>
    </w:p>
    <w:p w14:paraId="79975436" w14:textId="77777777" w:rsidR="00084F36" w:rsidRPr="00EB2BD8" w:rsidRDefault="00084F36">
      <w:pPr>
        <w:pStyle w:val="BodyText"/>
        <w:rPr>
          <w:rFonts w:ascii="Tahoma"/>
          <w:b/>
          <w:sz w:val="20"/>
        </w:rPr>
      </w:pPr>
    </w:p>
    <w:p w14:paraId="3D868844" w14:textId="77777777" w:rsidR="00084F36" w:rsidRPr="00EB2BD8" w:rsidRDefault="00084F36">
      <w:pPr>
        <w:pStyle w:val="BodyText"/>
        <w:rPr>
          <w:rFonts w:ascii="Tahoma"/>
          <w:b/>
          <w:sz w:val="20"/>
        </w:rPr>
      </w:pPr>
    </w:p>
    <w:p w14:paraId="6D265ADD" w14:textId="77777777" w:rsidR="00084F36" w:rsidRPr="00EB2BD8" w:rsidRDefault="00084F36">
      <w:pPr>
        <w:pStyle w:val="BodyText"/>
        <w:rPr>
          <w:rFonts w:ascii="Tahoma"/>
          <w:b/>
          <w:sz w:val="20"/>
        </w:rPr>
      </w:pPr>
    </w:p>
    <w:p w14:paraId="7378B908" w14:textId="77777777" w:rsidR="00084F36" w:rsidRPr="00EB2BD8" w:rsidRDefault="00084F36">
      <w:pPr>
        <w:pStyle w:val="BodyText"/>
        <w:rPr>
          <w:rFonts w:ascii="Tahoma"/>
          <w:b/>
          <w:sz w:val="20"/>
        </w:rPr>
      </w:pPr>
    </w:p>
    <w:p w14:paraId="795F65B5" w14:textId="77777777" w:rsidR="00084F36" w:rsidRPr="00EB2BD8" w:rsidRDefault="00084F36">
      <w:pPr>
        <w:pStyle w:val="BodyText"/>
        <w:rPr>
          <w:rFonts w:ascii="Tahoma"/>
          <w:b/>
          <w:sz w:val="20"/>
        </w:rPr>
      </w:pPr>
    </w:p>
    <w:p w14:paraId="5BCDD00E" w14:textId="27B552D3" w:rsidR="00084F36" w:rsidRPr="00EB2BD8" w:rsidRDefault="00084F36">
      <w:pPr>
        <w:pStyle w:val="BodyText"/>
        <w:rPr>
          <w:rFonts w:ascii="Tahoma"/>
          <w:b/>
          <w:sz w:val="26"/>
        </w:rPr>
      </w:pPr>
    </w:p>
    <w:p w14:paraId="01B39A4F" w14:textId="77777777" w:rsidR="00084F36" w:rsidRPr="00EB2BD8" w:rsidRDefault="00084F36">
      <w:pPr>
        <w:pStyle w:val="BodyText"/>
        <w:rPr>
          <w:rFonts w:ascii="Tahoma"/>
          <w:b/>
          <w:sz w:val="20"/>
        </w:rPr>
      </w:pPr>
    </w:p>
    <w:p w14:paraId="6233676B" w14:textId="77777777" w:rsidR="00084F36" w:rsidRPr="00EB2BD8" w:rsidRDefault="00084F36">
      <w:pPr>
        <w:pStyle w:val="BodyText"/>
        <w:rPr>
          <w:rFonts w:ascii="Tahoma"/>
          <w:b/>
          <w:sz w:val="20"/>
        </w:rPr>
      </w:pPr>
    </w:p>
    <w:p w14:paraId="69135FD8" w14:textId="77777777" w:rsidR="00084F36" w:rsidRPr="00EB2BD8" w:rsidRDefault="00084F36">
      <w:pPr>
        <w:pStyle w:val="BodyText"/>
        <w:rPr>
          <w:rFonts w:ascii="Tahoma"/>
          <w:b/>
          <w:sz w:val="20"/>
        </w:rPr>
      </w:pPr>
    </w:p>
    <w:p w14:paraId="2750C87F" w14:textId="05E789E1" w:rsidR="00084F36" w:rsidRDefault="00084F36">
      <w:pPr>
        <w:pStyle w:val="BodyText"/>
        <w:rPr>
          <w:rFonts w:ascii="Tahoma"/>
          <w:b/>
          <w:sz w:val="20"/>
        </w:rPr>
      </w:pPr>
    </w:p>
    <w:p w14:paraId="1EA12354" w14:textId="26D515E6" w:rsidR="00E13356" w:rsidRDefault="00E13356">
      <w:pPr>
        <w:pStyle w:val="BodyText"/>
        <w:rPr>
          <w:rFonts w:ascii="Tahoma"/>
          <w:b/>
          <w:sz w:val="20"/>
        </w:rPr>
      </w:pPr>
    </w:p>
    <w:p w14:paraId="57B5DDDD" w14:textId="770D41CC" w:rsidR="00E13356" w:rsidRDefault="00E13356">
      <w:pPr>
        <w:pStyle w:val="BodyText"/>
        <w:rPr>
          <w:rFonts w:ascii="Tahoma"/>
          <w:b/>
          <w:sz w:val="20"/>
        </w:rPr>
      </w:pPr>
    </w:p>
    <w:p w14:paraId="52A21922" w14:textId="2FAB0817" w:rsidR="00E13356" w:rsidRDefault="00E13356">
      <w:pPr>
        <w:pStyle w:val="BodyText"/>
        <w:rPr>
          <w:rFonts w:ascii="Tahoma"/>
          <w:b/>
          <w:sz w:val="20"/>
        </w:rPr>
      </w:pPr>
    </w:p>
    <w:p w14:paraId="4F6232EC" w14:textId="0548560A" w:rsidR="00E13356" w:rsidRDefault="00E13356">
      <w:pPr>
        <w:pStyle w:val="BodyText"/>
        <w:rPr>
          <w:rFonts w:ascii="Tahoma"/>
          <w:b/>
          <w:sz w:val="20"/>
        </w:rPr>
      </w:pPr>
    </w:p>
    <w:p w14:paraId="431969FE" w14:textId="4103FD21" w:rsidR="00E13356" w:rsidRDefault="00E13356">
      <w:pPr>
        <w:pStyle w:val="BodyText"/>
        <w:rPr>
          <w:rFonts w:ascii="Tahoma"/>
          <w:b/>
          <w:sz w:val="20"/>
        </w:rPr>
      </w:pPr>
    </w:p>
    <w:p w14:paraId="5112BC3F" w14:textId="56CC8DE2" w:rsidR="00E13356" w:rsidRDefault="00E13356">
      <w:pPr>
        <w:pStyle w:val="BodyText"/>
        <w:rPr>
          <w:rFonts w:ascii="Tahoma"/>
          <w:b/>
          <w:sz w:val="20"/>
        </w:rPr>
      </w:pPr>
    </w:p>
    <w:p w14:paraId="006BFE82" w14:textId="4A0F67D0" w:rsidR="00E13356" w:rsidRDefault="00E13356">
      <w:pPr>
        <w:pStyle w:val="BodyText"/>
        <w:rPr>
          <w:rFonts w:ascii="Tahoma"/>
          <w:b/>
          <w:sz w:val="20"/>
        </w:rPr>
      </w:pPr>
    </w:p>
    <w:p w14:paraId="4C0E854F" w14:textId="641CF878" w:rsidR="00E13356" w:rsidRDefault="00E13356">
      <w:pPr>
        <w:pStyle w:val="BodyText"/>
        <w:rPr>
          <w:rFonts w:ascii="Tahoma"/>
          <w:b/>
          <w:sz w:val="20"/>
        </w:rPr>
      </w:pPr>
    </w:p>
    <w:p w14:paraId="46750C74" w14:textId="136B9775" w:rsidR="00E13356" w:rsidRDefault="00E13356">
      <w:pPr>
        <w:pStyle w:val="BodyText"/>
        <w:rPr>
          <w:rFonts w:ascii="Tahoma"/>
          <w:b/>
          <w:sz w:val="20"/>
        </w:rPr>
      </w:pPr>
    </w:p>
    <w:p w14:paraId="219E2AC3" w14:textId="4BDB4AB7" w:rsidR="00E13356" w:rsidRDefault="00E13356">
      <w:pPr>
        <w:pStyle w:val="BodyText"/>
        <w:rPr>
          <w:rFonts w:ascii="Tahoma"/>
          <w:b/>
          <w:sz w:val="20"/>
        </w:rPr>
      </w:pPr>
    </w:p>
    <w:p w14:paraId="36CE1A16" w14:textId="1BCB7C09" w:rsidR="00E13356" w:rsidRDefault="00E13356">
      <w:pPr>
        <w:pStyle w:val="BodyText"/>
        <w:rPr>
          <w:rFonts w:ascii="Tahoma"/>
          <w:b/>
          <w:sz w:val="20"/>
        </w:rPr>
      </w:pPr>
    </w:p>
    <w:p w14:paraId="68622807" w14:textId="18A68EAE" w:rsidR="00E13356" w:rsidRDefault="00E13356">
      <w:pPr>
        <w:pStyle w:val="BodyText"/>
        <w:rPr>
          <w:rFonts w:ascii="Tahoma"/>
          <w:b/>
          <w:sz w:val="20"/>
        </w:rPr>
      </w:pPr>
    </w:p>
    <w:p w14:paraId="48BC5F89" w14:textId="7DA9D8B1" w:rsidR="00E13356" w:rsidRDefault="00E13356">
      <w:pPr>
        <w:pStyle w:val="BodyText"/>
        <w:rPr>
          <w:rFonts w:ascii="Tahoma"/>
          <w:b/>
          <w:sz w:val="20"/>
        </w:rPr>
      </w:pPr>
    </w:p>
    <w:p w14:paraId="77EAFAE7" w14:textId="0CA872D2" w:rsidR="00E13356" w:rsidRDefault="00E13356">
      <w:pPr>
        <w:pStyle w:val="BodyText"/>
        <w:rPr>
          <w:rFonts w:ascii="Tahoma"/>
          <w:b/>
          <w:sz w:val="20"/>
        </w:rPr>
      </w:pPr>
    </w:p>
    <w:p w14:paraId="3549A25B" w14:textId="64E63C25" w:rsidR="00E13356" w:rsidRDefault="00E13356">
      <w:pPr>
        <w:pStyle w:val="BodyText"/>
        <w:rPr>
          <w:rFonts w:ascii="Tahoma"/>
          <w:b/>
          <w:sz w:val="20"/>
        </w:rPr>
      </w:pPr>
    </w:p>
    <w:p w14:paraId="6F9E5565" w14:textId="283EEA7F" w:rsidR="00E13356" w:rsidRDefault="00E13356">
      <w:pPr>
        <w:pStyle w:val="BodyText"/>
        <w:rPr>
          <w:rFonts w:ascii="Tahoma"/>
          <w:b/>
          <w:sz w:val="20"/>
        </w:rPr>
      </w:pPr>
    </w:p>
    <w:p w14:paraId="10B6C5B5" w14:textId="4ECB73BD" w:rsidR="00E13356" w:rsidRDefault="00E13356">
      <w:pPr>
        <w:pStyle w:val="BodyText"/>
        <w:rPr>
          <w:rFonts w:ascii="Tahoma"/>
          <w:b/>
          <w:sz w:val="20"/>
        </w:rPr>
      </w:pPr>
    </w:p>
    <w:p w14:paraId="6E240255" w14:textId="767A6D90" w:rsidR="00E13356" w:rsidRDefault="00E13356">
      <w:pPr>
        <w:pStyle w:val="BodyText"/>
        <w:rPr>
          <w:rFonts w:ascii="Tahoma"/>
          <w:b/>
          <w:sz w:val="20"/>
        </w:rPr>
      </w:pPr>
    </w:p>
    <w:p w14:paraId="51CA22B9" w14:textId="52A30552" w:rsidR="00E13356" w:rsidRDefault="00E13356">
      <w:pPr>
        <w:pStyle w:val="BodyText"/>
        <w:rPr>
          <w:rFonts w:ascii="Tahoma"/>
          <w:b/>
          <w:sz w:val="20"/>
        </w:rPr>
      </w:pPr>
    </w:p>
    <w:p w14:paraId="53100D21" w14:textId="29D48BDF" w:rsidR="00E13356" w:rsidRDefault="00E13356">
      <w:pPr>
        <w:pStyle w:val="BodyText"/>
        <w:rPr>
          <w:rFonts w:ascii="Tahoma"/>
          <w:b/>
          <w:sz w:val="20"/>
        </w:rPr>
      </w:pPr>
    </w:p>
    <w:p w14:paraId="5A06BE88" w14:textId="4FC83D0C" w:rsidR="00E13356" w:rsidRDefault="00E13356">
      <w:pPr>
        <w:pStyle w:val="BodyText"/>
        <w:rPr>
          <w:rFonts w:ascii="Tahoma"/>
          <w:b/>
          <w:sz w:val="20"/>
        </w:rPr>
      </w:pPr>
    </w:p>
    <w:p w14:paraId="4FDAE6CD" w14:textId="1BD52077" w:rsidR="00E13356" w:rsidRDefault="00E13356">
      <w:pPr>
        <w:pStyle w:val="BodyText"/>
        <w:rPr>
          <w:rFonts w:ascii="Tahoma"/>
          <w:b/>
          <w:sz w:val="20"/>
        </w:rPr>
      </w:pPr>
    </w:p>
    <w:p w14:paraId="5A4B2E79" w14:textId="1142CF79" w:rsidR="00E13356" w:rsidRDefault="00E13356">
      <w:pPr>
        <w:pStyle w:val="BodyText"/>
        <w:rPr>
          <w:rFonts w:ascii="Tahoma"/>
          <w:b/>
          <w:sz w:val="20"/>
        </w:rPr>
      </w:pPr>
    </w:p>
    <w:p w14:paraId="4B1DFD91" w14:textId="58958EBF" w:rsidR="00E13356" w:rsidRDefault="00E13356">
      <w:pPr>
        <w:pStyle w:val="BodyText"/>
        <w:rPr>
          <w:rFonts w:ascii="Tahoma"/>
          <w:b/>
          <w:sz w:val="20"/>
        </w:rPr>
      </w:pPr>
    </w:p>
    <w:p w14:paraId="7C9224E0" w14:textId="0D9DB05F" w:rsidR="00E13356" w:rsidRDefault="00E13356">
      <w:pPr>
        <w:pStyle w:val="BodyText"/>
        <w:rPr>
          <w:rFonts w:ascii="Tahoma"/>
          <w:b/>
          <w:sz w:val="20"/>
        </w:rPr>
      </w:pPr>
    </w:p>
    <w:p w14:paraId="7583DDE3" w14:textId="5EE44234" w:rsidR="00E13356" w:rsidRDefault="00E13356">
      <w:pPr>
        <w:pStyle w:val="BodyText"/>
        <w:rPr>
          <w:rFonts w:ascii="Tahoma"/>
          <w:b/>
          <w:sz w:val="20"/>
        </w:rPr>
      </w:pPr>
    </w:p>
    <w:p w14:paraId="75CC9EBA" w14:textId="45F23D9B" w:rsidR="00E13356" w:rsidRDefault="00E13356">
      <w:pPr>
        <w:pStyle w:val="BodyText"/>
        <w:rPr>
          <w:rFonts w:ascii="Tahoma"/>
          <w:b/>
          <w:sz w:val="20"/>
        </w:rPr>
      </w:pPr>
    </w:p>
    <w:p w14:paraId="79323CD8" w14:textId="17552CFF" w:rsidR="00E13356" w:rsidRDefault="00E13356">
      <w:pPr>
        <w:pStyle w:val="BodyText"/>
        <w:rPr>
          <w:rFonts w:ascii="Tahoma"/>
          <w:b/>
          <w:sz w:val="20"/>
        </w:rPr>
      </w:pPr>
    </w:p>
    <w:p w14:paraId="39ABF64C" w14:textId="77777777" w:rsidR="00E13356" w:rsidRPr="00EB2BD8" w:rsidRDefault="00E13356">
      <w:pPr>
        <w:pStyle w:val="BodyText"/>
        <w:rPr>
          <w:rFonts w:ascii="Tahoma"/>
          <w:b/>
          <w:sz w:val="20"/>
        </w:rPr>
      </w:pPr>
    </w:p>
    <w:p w14:paraId="6128809C" w14:textId="77777777" w:rsidR="00084F36" w:rsidRPr="00EB2BD8" w:rsidRDefault="00084F36">
      <w:pPr>
        <w:pStyle w:val="BodyText"/>
        <w:rPr>
          <w:rFonts w:ascii="Tahoma"/>
          <w:b/>
          <w:sz w:val="20"/>
        </w:rPr>
      </w:pPr>
    </w:p>
    <w:p w14:paraId="69DABDA8" w14:textId="77777777" w:rsidR="00084F36" w:rsidRPr="00EB2BD8" w:rsidRDefault="00084F36">
      <w:pPr>
        <w:pStyle w:val="BodyText"/>
        <w:rPr>
          <w:rFonts w:ascii="Tahoma"/>
          <w:b/>
          <w:sz w:val="20"/>
        </w:rPr>
      </w:pPr>
    </w:p>
    <w:p w14:paraId="07AABFD5" w14:textId="77777777" w:rsidR="00084F36" w:rsidRPr="00EB2BD8" w:rsidRDefault="00084F36">
      <w:pPr>
        <w:pStyle w:val="BodyText"/>
        <w:spacing w:before="8"/>
        <w:rPr>
          <w:rFonts w:ascii="Tahoma"/>
          <w:b/>
          <w:sz w:val="15"/>
        </w:rPr>
      </w:pPr>
    </w:p>
    <w:p w14:paraId="3C8E1423" w14:textId="5F845124" w:rsidR="00084F36" w:rsidRPr="00EB2BD8" w:rsidRDefault="00EB2BD8">
      <w:pPr>
        <w:tabs>
          <w:tab w:val="left" w:pos="1906"/>
        </w:tabs>
        <w:spacing w:before="91"/>
        <w:ind w:left="842"/>
        <w:rPr>
          <w:b/>
          <w:sz w:val="16"/>
        </w:rPr>
      </w:pPr>
      <w:r w:rsidRPr="00EB2BD8">
        <w:rPr>
          <w:sz w:val="16"/>
        </w:rPr>
        <w:tab/>
      </w:r>
    </w:p>
    <w:p w14:paraId="31A760AD" w14:textId="77777777" w:rsidR="00084F36" w:rsidRPr="00EB2BD8" w:rsidRDefault="00084F36">
      <w:pPr>
        <w:rPr>
          <w:sz w:val="16"/>
        </w:rPr>
        <w:sectPr w:rsidR="00084F36" w:rsidRPr="00EB2BD8" w:rsidSect="006D75B2">
          <w:headerReference w:type="even" r:id="rId175"/>
          <w:footerReference w:type="even" r:id="rId176"/>
          <w:footerReference w:type="default" r:id="rId177"/>
          <w:pgSz w:w="11910" w:h="16840"/>
          <w:pgMar w:top="1220" w:right="0" w:bottom="280" w:left="0" w:header="0" w:footer="0" w:gutter="0"/>
          <w:cols w:space="720"/>
        </w:sectPr>
      </w:pPr>
    </w:p>
    <w:p w14:paraId="7D349E24" w14:textId="77777777" w:rsidR="00084F36" w:rsidRPr="00EB2BD8" w:rsidRDefault="00084F36">
      <w:pPr>
        <w:pStyle w:val="BodyText"/>
        <w:rPr>
          <w:b/>
          <w:sz w:val="20"/>
        </w:rPr>
      </w:pPr>
    </w:p>
    <w:p w14:paraId="66A3CE5A" w14:textId="77777777" w:rsidR="00084F36" w:rsidRPr="00EB2BD8" w:rsidRDefault="00084F36">
      <w:pPr>
        <w:pStyle w:val="BodyText"/>
        <w:rPr>
          <w:b/>
          <w:sz w:val="20"/>
        </w:rPr>
      </w:pPr>
    </w:p>
    <w:p w14:paraId="35303587" w14:textId="77777777" w:rsidR="00084F36" w:rsidRPr="00EB2BD8" w:rsidRDefault="00084F36">
      <w:pPr>
        <w:pStyle w:val="BodyText"/>
        <w:rPr>
          <w:b/>
          <w:sz w:val="20"/>
        </w:rPr>
      </w:pPr>
    </w:p>
    <w:p w14:paraId="158245ED" w14:textId="77777777" w:rsidR="00084F36" w:rsidRPr="00EB2BD8" w:rsidRDefault="00084F36">
      <w:pPr>
        <w:pStyle w:val="BodyText"/>
        <w:rPr>
          <w:b/>
          <w:sz w:val="20"/>
        </w:rPr>
      </w:pPr>
    </w:p>
    <w:p w14:paraId="41C14C52" w14:textId="77777777" w:rsidR="00084F36" w:rsidRPr="00EB2BD8" w:rsidRDefault="00084F36">
      <w:pPr>
        <w:rPr>
          <w:sz w:val="20"/>
        </w:rPr>
        <w:sectPr w:rsidR="00084F36" w:rsidRPr="00EB2BD8" w:rsidSect="006D75B2">
          <w:headerReference w:type="default" r:id="rId178"/>
          <w:footerReference w:type="even" r:id="rId179"/>
          <w:footerReference w:type="default" r:id="rId180"/>
          <w:pgSz w:w="11910" w:h="16840"/>
          <w:pgMar w:top="1080" w:right="0" w:bottom="720" w:left="0" w:header="861" w:footer="528" w:gutter="0"/>
          <w:pgNumType w:start="65"/>
          <w:cols w:space="720"/>
        </w:sectPr>
      </w:pPr>
    </w:p>
    <w:p w14:paraId="2F99BA9C" w14:textId="72372557" w:rsidR="00084F36" w:rsidRPr="00EB2BD8" w:rsidRDefault="00084F36">
      <w:pPr>
        <w:pStyle w:val="BodyText"/>
        <w:rPr>
          <w:b/>
          <w:sz w:val="26"/>
        </w:rPr>
      </w:pPr>
    </w:p>
    <w:p w14:paraId="3798BDD3" w14:textId="77777777" w:rsidR="00084F36" w:rsidRPr="00EB2BD8" w:rsidRDefault="00EB2BD8" w:rsidP="00EB2BD8">
      <w:pPr>
        <w:pStyle w:val="Heading2"/>
      </w:pPr>
      <w:bookmarkStart w:id="152" w:name="_Toc150762454"/>
      <w:r w:rsidRPr="00EB2BD8">
        <w:t>Gender</w:t>
      </w:r>
      <w:r w:rsidRPr="00EB2BD8">
        <w:rPr>
          <w:spacing w:val="-24"/>
        </w:rPr>
        <w:t xml:space="preserve"> </w:t>
      </w:r>
      <w:r w:rsidRPr="00EB2BD8">
        <w:t>Equality,</w:t>
      </w:r>
      <w:r w:rsidRPr="00EB2BD8">
        <w:rPr>
          <w:spacing w:val="-22"/>
        </w:rPr>
        <w:t xml:space="preserve"> </w:t>
      </w:r>
      <w:r w:rsidRPr="00EB2BD8">
        <w:t>Diversity</w:t>
      </w:r>
      <w:r w:rsidRPr="00EB2BD8">
        <w:rPr>
          <w:spacing w:val="-22"/>
        </w:rPr>
        <w:t xml:space="preserve"> </w:t>
      </w:r>
      <w:r w:rsidRPr="00EB2BD8">
        <w:t xml:space="preserve">&amp; </w:t>
      </w:r>
      <w:r w:rsidRPr="00EB2BD8">
        <w:rPr>
          <w:spacing w:val="-2"/>
        </w:rPr>
        <w:t>Inclusion</w:t>
      </w:r>
      <w:bookmarkEnd w:id="152"/>
    </w:p>
    <w:p w14:paraId="79B7289B" w14:textId="77777777" w:rsidR="00084F36" w:rsidRPr="00EB2BD8" w:rsidRDefault="00EB2BD8">
      <w:pPr>
        <w:pStyle w:val="BodyText"/>
        <w:spacing w:before="174" w:line="261" w:lineRule="auto"/>
        <w:ind w:left="857"/>
      </w:pPr>
      <w:r w:rsidRPr="00EB2BD8">
        <w:t xml:space="preserve">The VBA continued to progress its Gender Equality Action Plan (GEAP) to improve gender equality in the workplace and embed a culture where diversity and inclusion is supported. The plan was developed in response to Victoria’s </w:t>
      </w:r>
      <w:r w:rsidRPr="00EB2BD8">
        <w:rPr>
          <w:i/>
        </w:rPr>
        <w:t xml:space="preserve">Gender Equality Act 2020 </w:t>
      </w:r>
      <w:r w:rsidRPr="00EB2BD8">
        <w:t xml:space="preserve">(the </w:t>
      </w:r>
      <w:r w:rsidRPr="00EB2BD8">
        <w:rPr>
          <w:spacing w:val="-4"/>
        </w:rPr>
        <w:t>Act),</w:t>
      </w:r>
      <w:r w:rsidRPr="00EB2BD8">
        <w:rPr>
          <w:spacing w:val="-9"/>
        </w:rPr>
        <w:t xml:space="preserve"> </w:t>
      </w:r>
      <w:r w:rsidRPr="00EB2BD8">
        <w:rPr>
          <w:spacing w:val="-4"/>
        </w:rPr>
        <w:t>which</w:t>
      </w:r>
      <w:r w:rsidRPr="00EB2BD8">
        <w:rPr>
          <w:spacing w:val="-9"/>
        </w:rPr>
        <w:t xml:space="preserve"> </w:t>
      </w:r>
      <w:r w:rsidRPr="00EB2BD8">
        <w:rPr>
          <w:spacing w:val="-4"/>
        </w:rPr>
        <w:t>commenced</w:t>
      </w:r>
      <w:r w:rsidRPr="00EB2BD8">
        <w:rPr>
          <w:spacing w:val="-9"/>
        </w:rPr>
        <w:t xml:space="preserve"> </w:t>
      </w:r>
      <w:r w:rsidRPr="00EB2BD8">
        <w:rPr>
          <w:spacing w:val="-4"/>
        </w:rPr>
        <w:t>on</w:t>
      </w:r>
      <w:r w:rsidRPr="00EB2BD8">
        <w:rPr>
          <w:spacing w:val="-9"/>
        </w:rPr>
        <w:t xml:space="preserve"> </w:t>
      </w:r>
      <w:r w:rsidRPr="00EB2BD8">
        <w:rPr>
          <w:spacing w:val="-4"/>
        </w:rPr>
        <w:t>31</w:t>
      </w:r>
      <w:r w:rsidRPr="00EB2BD8">
        <w:rPr>
          <w:spacing w:val="-9"/>
        </w:rPr>
        <w:t xml:space="preserve"> </w:t>
      </w:r>
      <w:r w:rsidRPr="00EB2BD8">
        <w:rPr>
          <w:spacing w:val="-4"/>
        </w:rPr>
        <w:t>March</w:t>
      </w:r>
      <w:r w:rsidRPr="00EB2BD8">
        <w:rPr>
          <w:spacing w:val="-9"/>
        </w:rPr>
        <w:t xml:space="preserve"> </w:t>
      </w:r>
      <w:r w:rsidRPr="00EB2BD8">
        <w:rPr>
          <w:spacing w:val="-4"/>
        </w:rPr>
        <w:t>2021.</w:t>
      </w:r>
      <w:r w:rsidRPr="00EB2BD8">
        <w:rPr>
          <w:spacing w:val="-9"/>
        </w:rPr>
        <w:t xml:space="preserve"> </w:t>
      </w:r>
      <w:r w:rsidRPr="00EB2BD8">
        <w:rPr>
          <w:spacing w:val="-4"/>
        </w:rPr>
        <w:t>The</w:t>
      </w:r>
      <w:r w:rsidRPr="00EB2BD8">
        <w:rPr>
          <w:spacing w:val="-9"/>
        </w:rPr>
        <w:t xml:space="preserve"> </w:t>
      </w:r>
      <w:r w:rsidRPr="00EB2BD8">
        <w:rPr>
          <w:spacing w:val="-4"/>
        </w:rPr>
        <w:t>Act</w:t>
      </w:r>
      <w:r w:rsidRPr="00EB2BD8">
        <w:rPr>
          <w:spacing w:val="-9"/>
        </w:rPr>
        <w:t xml:space="preserve"> </w:t>
      </w:r>
      <w:r w:rsidRPr="00EB2BD8">
        <w:rPr>
          <w:spacing w:val="-4"/>
        </w:rPr>
        <w:t xml:space="preserve">aims </w:t>
      </w:r>
      <w:r w:rsidRPr="00EB2BD8">
        <w:t>to improve workplace gender equality in the Victorian public sector, universities, and local councils.</w:t>
      </w:r>
    </w:p>
    <w:p w14:paraId="029DC42A" w14:textId="77777777" w:rsidR="00084F36" w:rsidRPr="00EB2BD8" w:rsidRDefault="00EB2BD8">
      <w:pPr>
        <w:pStyle w:val="BodyText"/>
        <w:spacing w:before="105" w:line="261" w:lineRule="auto"/>
        <w:ind w:left="857" w:right="17"/>
      </w:pPr>
      <w:r w:rsidRPr="00EB2BD8">
        <w:t>The</w:t>
      </w:r>
      <w:r w:rsidRPr="00EB2BD8">
        <w:rPr>
          <w:spacing w:val="-12"/>
        </w:rPr>
        <w:t xml:space="preserve"> </w:t>
      </w:r>
      <w:r w:rsidRPr="00EB2BD8">
        <w:t>ongoing</w:t>
      </w:r>
      <w:r w:rsidRPr="00EB2BD8">
        <w:rPr>
          <w:spacing w:val="-12"/>
        </w:rPr>
        <w:t xml:space="preserve"> </w:t>
      </w:r>
      <w:r w:rsidRPr="00EB2BD8">
        <w:t>development</w:t>
      </w:r>
      <w:r w:rsidRPr="00EB2BD8">
        <w:rPr>
          <w:spacing w:val="-12"/>
        </w:rPr>
        <w:t xml:space="preserve"> </w:t>
      </w:r>
      <w:r w:rsidRPr="00EB2BD8">
        <w:t>of</w:t>
      </w:r>
      <w:r w:rsidRPr="00EB2BD8">
        <w:rPr>
          <w:spacing w:val="-12"/>
        </w:rPr>
        <w:t xml:space="preserve"> </w:t>
      </w:r>
      <w:r w:rsidRPr="00EB2BD8">
        <w:t>the</w:t>
      </w:r>
      <w:r w:rsidRPr="00EB2BD8">
        <w:rPr>
          <w:spacing w:val="-12"/>
        </w:rPr>
        <w:t xml:space="preserve"> </w:t>
      </w:r>
      <w:r w:rsidRPr="00EB2BD8">
        <w:t>VBA’s</w:t>
      </w:r>
      <w:r w:rsidRPr="00EB2BD8">
        <w:rPr>
          <w:spacing w:val="-12"/>
        </w:rPr>
        <w:t xml:space="preserve"> </w:t>
      </w:r>
      <w:r w:rsidRPr="00EB2BD8">
        <w:t>Diversity,</w:t>
      </w:r>
      <w:r w:rsidRPr="00EB2BD8">
        <w:rPr>
          <w:spacing w:val="-12"/>
        </w:rPr>
        <w:t xml:space="preserve"> </w:t>
      </w:r>
      <w:r w:rsidRPr="00EB2BD8">
        <w:t>Equity and</w:t>
      </w:r>
      <w:r w:rsidRPr="00EB2BD8">
        <w:rPr>
          <w:spacing w:val="-11"/>
        </w:rPr>
        <w:t xml:space="preserve"> </w:t>
      </w:r>
      <w:r w:rsidRPr="00EB2BD8">
        <w:t>Inclusion</w:t>
      </w:r>
      <w:r w:rsidRPr="00EB2BD8">
        <w:rPr>
          <w:spacing w:val="-11"/>
        </w:rPr>
        <w:t xml:space="preserve"> </w:t>
      </w:r>
      <w:r w:rsidRPr="00EB2BD8">
        <w:t>Council</w:t>
      </w:r>
      <w:r w:rsidRPr="00EB2BD8">
        <w:rPr>
          <w:spacing w:val="-11"/>
        </w:rPr>
        <w:t xml:space="preserve"> </w:t>
      </w:r>
      <w:r w:rsidRPr="00EB2BD8">
        <w:t>will</w:t>
      </w:r>
      <w:r w:rsidRPr="00EB2BD8">
        <w:rPr>
          <w:spacing w:val="-11"/>
        </w:rPr>
        <w:t xml:space="preserve"> </w:t>
      </w:r>
      <w:r w:rsidRPr="00EB2BD8">
        <w:t>oversee</w:t>
      </w:r>
      <w:r w:rsidRPr="00EB2BD8">
        <w:rPr>
          <w:spacing w:val="-11"/>
        </w:rPr>
        <w:t xml:space="preserve"> </w:t>
      </w:r>
      <w:r w:rsidRPr="00EB2BD8">
        <w:t>the</w:t>
      </w:r>
      <w:r w:rsidRPr="00EB2BD8">
        <w:rPr>
          <w:spacing w:val="-11"/>
        </w:rPr>
        <w:t xml:space="preserve"> </w:t>
      </w:r>
      <w:r w:rsidRPr="00EB2BD8">
        <w:t>VBA’s</w:t>
      </w:r>
      <w:r w:rsidRPr="00EB2BD8">
        <w:rPr>
          <w:spacing w:val="-11"/>
        </w:rPr>
        <w:t xml:space="preserve"> </w:t>
      </w:r>
      <w:r w:rsidRPr="00EB2BD8">
        <w:t>obligations under</w:t>
      </w:r>
      <w:r w:rsidRPr="00EB2BD8">
        <w:rPr>
          <w:spacing w:val="-9"/>
        </w:rPr>
        <w:t xml:space="preserve"> </w:t>
      </w:r>
      <w:r w:rsidRPr="00EB2BD8">
        <w:t>the</w:t>
      </w:r>
      <w:r w:rsidRPr="00EB2BD8">
        <w:rPr>
          <w:spacing w:val="-9"/>
        </w:rPr>
        <w:t xml:space="preserve"> </w:t>
      </w:r>
      <w:r w:rsidRPr="00EB2BD8">
        <w:t>Act.</w:t>
      </w:r>
      <w:r w:rsidRPr="00EB2BD8">
        <w:rPr>
          <w:spacing w:val="-9"/>
        </w:rPr>
        <w:t xml:space="preserve"> </w:t>
      </w:r>
      <w:r w:rsidRPr="00EB2BD8">
        <w:t>The</w:t>
      </w:r>
      <w:r w:rsidRPr="00EB2BD8">
        <w:rPr>
          <w:spacing w:val="-9"/>
        </w:rPr>
        <w:t xml:space="preserve"> </w:t>
      </w:r>
      <w:r w:rsidRPr="00EB2BD8">
        <w:t>Council</w:t>
      </w:r>
      <w:r w:rsidRPr="00EB2BD8">
        <w:rPr>
          <w:spacing w:val="-9"/>
        </w:rPr>
        <w:t xml:space="preserve"> </w:t>
      </w:r>
      <w:r w:rsidRPr="00EB2BD8">
        <w:t>has</w:t>
      </w:r>
      <w:r w:rsidRPr="00EB2BD8">
        <w:rPr>
          <w:spacing w:val="-9"/>
        </w:rPr>
        <w:t xml:space="preserve"> </w:t>
      </w:r>
      <w:r w:rsidRPr="00EB2BD8">
        <w:t>the</w:t>
      </w:r>
      <w:r w:rsidRPr="00EB2BD8">
        <w:rPr>
          <w:spacing w:val="-9"/>
        </w:rPr>
        <w:t xml:space="preserve"> </w:t>
      </w:r>
      <w:r w:rsidRPr="00EB2BD8">
        <w:t>authority</w:t>
      </w:r>
      <w:r w:rsidRPr="00EB2BD8">
        <w:rPr>
          <w:spacing w:val="-9"/>
        </w:rPr>
        <w:t xml:space="preserve"> </w:t>
      </w:r>
      <w:r w:rsidRPr="00EB2BD8">
        <w:t>to</w:t>
      </w:r>
      <w:r w:rsidRPr="00EB2BD8">
        <w:rPr>
          <w:spacing w:val="-9"/>
        </w:rPr>
        <w:t xml:space="preserve"> </w:t>
      </w:r>
      <w:r w:rsidRPr="00EB2BD8">
        <w:t>endorse matters or make recommendations to the CEO and People and Culture Committee for decision. The Council provides oversight for all VBA gender equality matters, including target areas of focus, development of improvement strategies, monitoring performance, assessment of risks and concerns and maintaining quality</w:t>
      </w:r>
      <w:r w:rsidRPr="00EB2BD8">
        <w:rPr>
          <w:spacing w:val="-6"/>
        </w:rPr>
        <w:t xml:space="preserve"> </w:t>
      </w:r>
      <w:r w:rsidRPr="00EB2BD8">
        <w:t>standards.</w:t>
      </w:r>
    </w:p>
    <w:p w14:paraId="797B2A7D" w14:textId="77777777" w:rsidR="00084F36" w:rsidRPr="00EB2BD8" w:rsidRDefault="00EB2BD8">
      <w:pPr>
        <w:pStyle w:val="BodyText"/>
        <w:spacing w:before="103" w:line="261" w:lineRule="auto"/>
        <w:ind w:left="857" w:right="297"/>
      </w:pPr>
      <w:r w:rsidRPr="00EB2BD8">
        <w:rPr>
          <w:w w:val="105"/>
        </w:rPr>
        <w:t>In</w:t>
      </w:r>
      <w:r w:rsidRPr="00EB2BD8">
        <w:rPr>
          <w:spacing w:val="-8"/>
          <w:w w:val="105"/>
        </w:rPr>
        <w:t xml:space="preserve"> </w:t>
      </w:r>
      <w:r w:rsidRPr="00EB2BD8">
        <w:rPr>
          <w:w w:val="105"/>
        </w:rPr>
        <w:t>addition,</w:t>
      </w:r>
      <w:r w:rsidRPr="00EB2BD8">
        <w:rPr>
          <w:spacing w:val="-8"/>
          <w:w w:val="105"/>
        </w:rPr>
        <w:t xml:space="preserve"> </w:t>
      </w:r>
      <w:r w:rsidRPr="00EB2BD8">
        <w:rPr>
          <w:w w:val="105"/>
        </w:rPr>
        <w:t>a</w:t>
      </w:r>
      <w:r w:rsidRPr="00EB2BD8">
        <w:rPr>
          <w:spacing w:val="-8"/>
          <w:w w:val="105"/>
        </w:rPr>
        <w:t xml:space="preserve"> </w:t>
      </w:r>
      <w:r w:rsidRPr="00EB2BD8">
        <w:rPr>
          <w:w w:val="105"/>
        </w:rPr>
        <w:t>specialist</w:t>
      </w:r>
      <w:r w:rsidRPr="00EB2BD8">
        <w:rPr>
          <w:spacing w:val="-8"/>
          <w:w w:val="105"/>
        </w:rPr>
        <w:t xml:space="preserve"> </w:t>
      </w:r>
      <w:r w:rsidRPr="00EB2BD8">
        <w:rPr>
          <w:w w:val="105"/>
        </w:rPr>
        <w:t>team</w:t>
      </w:r>
      <w:r w:rsidRPr="00EB2BD8">
        <w:rPr>
          <w:spacing w:val="-8"/>
          <w:w w:val="105"/>
        </w:rPr>
        <w:t xml:space="preserve"> </w:t>
      </w:r>
      <w:r w:rsidRPr="00EB2BD8">
        <w:rPr>
          <w:w w:val="105"/>
        </w:rPr>
        <w:t>member</w:t>
      </w:r>
      <w:r w:rsidRPr="00EB2BD8">
        <w:rPr>
          <w:spacing w:val="-8"/>
          <w:w w:val="105"/>
        </w:rPr>
        <w:t xml:space="preserve"> </w:t>
      </w:r>
      <w:r w:rsidRPr="00EB2BD8">
        <w:rPr>
          <w:w w:val="105"/>
        </w:rPr>
        <w:t>of</w:t>
      </w:r>
      <w:r w:rsidRPr="00EB2BD8">
        <w:rPr>
          <w:spacing w:val="-8"/>
          <w:w w:val="105"/>
        </w:rPr>
        <w:t xml:space="preserve"> </w:t>
      </w:r>
      <w:r w:rsidRPr="00EB2BD8">
        <w:rPr>
          <w:w w:val="105"/>
        </w:rPr>
        <w:t xml:space="preserve">the </w:t>
      </w:r>
      <w:r w:rsidRPr="00EB2BD8">
        <w:t>People</w:t>
      </w:r>
      <w:r w:rsidRPr="00EB2BD8">
        <w:rPr>
          <w:spacing w:val="-2"/>
        </w:rPr>
        <w:t xml:space="preserve"> </w:t>
      </w:r>
      <w:r w:rsidRPr="00EB2BD8">
        <w:t>Experience</w:t>
      </w:r>
      <w:r w:rsidRPr="00EB2BD8">
        <w:rPr>
          <w:spacing w:val="-2"/>
        </w:rPr>
        <w:t xml:space="preserve"> </w:t>
      </w:r>
      <w:r w:rsidRPr="00EB2BD8">
        <w:t>&amp;</w:t>
      </w:r>
      <w:r w:rsidRPr="00EB2BD8">
        <w:rPr>
          <w:spacing w:val="-2"/>
        </w:rPr>
        <w:t xml:space="preserve"> </w:t>
      </w:r>
      <w:r w:rsidRPr="00EB2BD8">
        <w:t>Capability</w:t>
      </w:r>
      <w:r w:rsidRPr="00EB2BD8">
        <w:rPr>
          <w:spacing w:val="-2"/>
        </w:rPr>
        <w:t xml:space="preserve"> </w:t>
      </w:r>
      <w:r w:rsidRPr="00EB2BD8">
        <w:t>Team</w:t>
      </w:r>
      <w:r w:rsidRPr="00EB2BD8">
        <w:rPr>
          <w:spacing w:val="-2"/>
        </w:rPr>
        <w:t xml:space="preserve"> </w:t>
      </w:r>
      <w:r w:rsidRPr="00EB2BD8">
        <w:t>will</w:t>
      </w:r>
      <w:r w:rsidRPr="00EB2BD8">
        <w:rPr>
          <w:spacing w:val="-2"/>
        </w:rPr>
        <w:t xml:space="preserve"> </w:t>
      </w:r>
      <w:r w:rsidRPr="00EB2BD8">
        <w:t>lead</w:t>
      </w:r>
      <w:r w:rsidRPr="00EB2BD8">
        <w:rPr>
          <w:spacing w:val="-2"/>
        </w:rPr>
        <w:t xml:space="preserve"> </w:t>
      </w:r>
      <w:r w:rsidRPr="00EB2BD8">
        <w:t>the</w:t>
      </w:r>
    </w:p>
    <w:p w14:paraId="0519F633" w14:textId="77777777" w:rsidR="00084F36" w:rsidRPr="00EB2BD8" w:rsidRDefault="00EB2BD8">
      <w:pPr>
        <w:pStyle w:val="BodyText"/>
        <w:spacing w:line="261" w:lineRule="auto"/>
        <w:ind w:left="857" w:right="193"/>
      </w:pPr>
      <w:r w:rsidRPr="00EB2BD8">
        <w:t>development</w:t>
      </w:r>
      <w:r w:rsidRPr="00EB2BD8">
        <w:rPr>
          <w:spacing w:val="-15"/>
        </w:rPr>
        <w:t xml:space="preserve"> </w:t>
      </w:r>
      <w:r w:rsidRPr="00EB2BD8">
        <w:t>of</w:t>
      </w:r>
      <w:r w:rsidRPr="00EB2BD8">
        <w:rPr>
          <w:spacing w:val="-14"/>
        </w:rPr>
        <w:t xml:space="preserve"> </w:t>
      </w:r>
      <w:r w:rsidRPr="00EB2BD8">
        <w:t>the</w:t>
      </w:r>
      <w:r w:rsidRPr="00EB2BD8">
        <w:rPr>
          <w:spacing w:val="-14"/>
        </w:rPr>
        <w:t xml:space="preserve"> </w:t>
      </w:r>
      <w:r w:rsidRPr="00EB2BD8">
        <w:t>VBA’s</w:t>
      </w:r>
      <w:r w:rsidRPr="00EB2BD8">
        <w:rPr>
          <w:spacing w:val="-14"/>
        </w:rPr>
        <w:t xml:space="preserve"> </w:t>
      </w:r>
      <w:r w:rsidRPr="00EB2BD8">
        <w:t>Diversity,</w:t>
      </w:r>
      <w:r w:rsidRPr="00EB2BD8">
        <w:rPr>
          <w:spacing w:val="-15"/>
        </w:rPr>
        <w:t xml:space="preserve"> </w:t>
      </w:r>
      <w:r w:rsidRPr="00EB2BD8">
        <w:t>Equity</w:t>
      </w:r>
      <w:r w:rsidRPr="00EB2BD8">
        <w:rPr>
          <w:spacing w:val="-14"/>
        </w:rPr>
        <w:t xml:space="preserve"> </w:t>
      </w:r>
      <w:r w:rsidRPr="00EB2BD8">
        <w:t>&amp;</w:t>
      </w:r>
      <w:r w:rsidRPr="00EB2BD8">
        <w:rPr>
          <w:spacing w:val="-14"/>
        </w:rPr>
        <w:t xml:space="preserve"> </w:t>
      </w:r>
      <w:r w:rsidRPr="00EB2BD8">
        <w:t xml:space="preserve">Inclusion Strategy, in addition to supporting the design and delivery of contemporary, enterprise-wide people development solutions to meet the VBA’s strategic </w:t>
      </w:r>
      <w:r w:rsidRPr="00EB2BD8">
        <w:rPr>
          <w:spacing w:val="-2"/>
        </w:rPr>
        <w:t>objectives.</w:t>
      </w:r>
    </w:p>
    <w:p w14:paraId="5006C596" w14:textId="77777777" w:rsidR="00084F36" w:rsidRPr="00EB2BD8" w:rsidRDefault="00EB2BD8">
      <w:pPr>
        <w:pStyle w:val="BodyText"/>
        <w:spacing w:before="106" w:line="261" w:lineRule="auto"/>
        <w:ind w:left="857"/>
      </w:pPr>
      <w:r w:rsidRPr="00EB2BD8">
        <w:t>The</w:t>
      </w:r>
      <w:r w:rsidRPr="00EB2BD8">
        <w:rPr>
          <w:spacing w:val="-2"/>
        </w:rPr>
        <w:t xml:space="preserve"> </w:t>
      </w:r>
      <w:r w:rsidRPr="00EB2BD8">
        <w:t>GEAP</w:t>
      </w:r>
      <w:r w:rsidRPr="00EB2BD8">
        <w:rPr>
          <w:spacing w:val="-2"/>
        </w:rPr>
        <w:t xml:space="preserve"> </w:t>
      </w:r>
      <w:r w:rsidRPr="00EB2BD8">
        <w:t>is</w:t>
      </w:r>
      <w:r w:rsidRPr="00EB2BD8">
        <w:rPr>
          <w:spacing w:val="-2"/>
        </w:rPr>
        <w:t xml:space="preserve"> </w:t>
      </w:r>
      <w:r w:rsidRPr="00EB2BD8">
        <w:t>a</w:t>
      </w:r>
      <w:r w:rsidRPr="00EB2BD8">
        <w:rPr>
          <w:spacing w:val="-2"/>
        </w:rPr>
        <w:t xml:space="preserve"> </w:t>
      </w:r>
      <w:r w:rsidRPr="00EB2BD8">
        <w:t>rolling</w:t>
      </w:r>
      <w:r w:rsidRPr="00EB2BD8">
        <w:rPr>
          <w:spacing w:val="-2"/>
        </w:rPr>
        <w:t xml:space="preserve"> </w:t>
      </w:r>
      <w:r w:rsidRPr="00EB2BD8">
        <w:t>four-year</w:t>
      </w:r>
      <w:r w:rsidRPr="00EB2BD8">
        <w:rPr>
          <w:spacing w:val="-2"/>
        </w:rPr>
        <w:t xml:space="preserve"> </w:t>
      </w:r>
      <w:r w:rsidRPr="00EB2BD8">
        <w:t>plan</w:t>
      </w:r>
      <w:r w:rsidRPr="00EB2BD8">
        <w:rPr>
          <w:spacing w:val="-2"/>
        </w:rPr>
        <w:t xml:space="preserve"> </w:t>
      </w:r>
      <w:r w:rsidRPr="00EB2BD8">
        <w:t>that</w:t>
      </w:r>
      <w:r w:rsidRPr="00EB2BD8">
        <w:rPr>
          <w:spacing w:val="-2"/>
        </w:rPr>
        <w:t xml:space="preserve"> </w:t>
      </w:r>
      <w:r w:rsidRPr="00EB2BD8">
        <w:t>identifies</w:t>
      </w:r>
      <w:r w:rsidRPr="00EB2BD8">
        <w:rPr>
          <w:spacing w:val="-2"/>
        </w:rPr>
        <w:t xml:space="preserve"> </w:t>
      </w:r>
      <w:r w:rsidRPr="00EB2BD8">
        <w:t>clear opportunities for improvement and a set of targeted practical strategies to proactively build a more gender inclusive culture at the VBA. The GEAP is available to view and download on the VBA website. The VBA’s first progress report to the Public Sector Gender Equality Commissioner is due in February 2024.</w:t>
      </w:r>
    </w:p>
    <w:p w14:paraId="2ED6FB23" w14:textId="77777777" w:rsidR="00084F36" w:rsidRPr="00EB2BD8" w:rsidRDefault="00084F36">
      <w:pPr>
        <w:pStyle w:val="BodyText"/>
        <w:spacing w:before="1"/>
        <w:rPr>
          <w:sz w:val="23"/>
        </w:rPr>
      </w:pPr>
    </w:p>
    <w:p w14:paraId="086D39EC" w14:textId="77777777" w:rsidR="00084F36" w:rsidRPr="00EB2BD8" w:rsidRDefault="00EB2BD8" w:rsidP="00EB2BD8">
      <w:pPr>
        <w:pStyle w:val="Heading2"/>
      </w:pPr>
      <w:bookmarkStart w:id="153" w:name="_Toc150762455"/>
      <w:r w:rsidRPr="00EB2BD8">
        <w:t>Appointment</w:t>
      </w:r>
      <w:r w:rsidRPr="00EB2BD8">
        <w:rPr>
          <w:spacing w:val="-22"/>
        </w:rPr>
        <w:t xml:space="preserve"> </w:t>
      </w:r>
      <w:r w:rsidRPr="00EB2BD8">
        <w:t>of</w:t>
      </w:r>
      <w:r w:rsidRPr="00EB2BD8">
        <w:rPr>
          <w:spacing w:val="-22"/>
        </w:rPr>
        <w:t xml:space="preserve"> </w:t>
      </w:r>
      <w:r w:rsidRPr="00EB2BD8">
        <w:t>Deputy</w:t>
      </w:r>
      <w:r w:rsidRPr="00EB2BD8">
        <w:rPr>
          <w:spacing w:val="-22"/>
        </w:rPr>
        <w:t xml:space="preserve"> </w:t>
      </w:r>
      <w:r w:rsidRPr="00EB2BD8">
        <w:t>State Building Surveyor</w:t>
      </w:r>
      <w:bookmarkEnd w:id="153"/>
    </w:p>
    <w:p w14:paraId="6153BBCB" w14:textId="77777777" w:rsidR="00084F36" w:rsidRPr="00EB2BD8" w:rsidRDefault="00EB2BD8">
      <w:pPr>
        <w:pStyle w:val="BodyText"/>
        <w:spacing w:before="173" w:line="261" w:lineRule="auto"/>
        <w:ind w:left="857" w:right="339"/>
        <w:jc w:val="both"/>
      </w:pPr>
      <w:r w:rsidRPr="00EB2BD8">
        <w:t>In November 2022, the VBA appointed Jo Van Loon to</w:t>
      </w:r>
      <w:r w:rsidRPr="00EB2BD8">
        <w:rPr>
          <w:spacing w:val="-1"/>
        </w:rPr>
        <w:t xml:space="preserve"> </w:t>
      </w:r>
      <w:r w:rsidRPr="00EB2BD8">
        <w:t>the</w:t>
      </w:r>
      <w:r w:rsidRPr="00EB2BD8">
        <w:rPr>
          <w:spacing w:val="-1"/>
        </w:rPr>
        <w:t xml:space="preserve"> </w:t>
      </w:r>
      <w:r w:rsidRPr="00EB2BD8">
        <w:t>role</w:t>
      </w:r>
      <w:r w:rsidRPr="00EB2BD8">
        <w:rPr>
          <w:spacing w:val="-1"/>
        </w:rPr>
        <w:t xml:space="preserve"> </w:t>
      </w:r>
      <w:r w:rsidRPr="00EB2BD8">
        <w:t>of</w:t>
      </w:r>
      <w:r w:rsidRPr="00EB2BD8">
        <w:rPr>
          <w:spacing w:val="-1"/>
        </w:rPr>
        <w:t xml:space="preserve"> </w:t>
      </w:r>
      <w:r w:rsidRPr="00EB2BD8">
        <w:t>Deputy</w:t>
      </w:r>
      <w:r w:rsidRPr="00EB2BD8">
        <w:rPr>
          <w:spacing w:val="-1"/>
        </w:rPr>
        <w:t xml:space="preserve"> </w:t>
      </w:r>
      <w:r w:rsidRPr="00EB2BD8">
        <w:t>State</w:t>
      </w:r>
      <w:r w:rsidRPr="00EB2BD8">
        <w:rPr>
          <w:spacing w:val="-1"/>
        </w:rPr>
        <w:t xml:space="preserve"> </w:t>
      </w:r>
      <w:r w:rsidRPr="00EB2BD8">
        <w:t>Building</w:t>
      </w:r>
      <w:r w:rsidRPr="00EB2BD8">
        <w:rPr>
          <w:spacing w:val="-1"/>
        </w:rPr>
        <w:t xml:space="preserve"> </w:t>
      </w:r>
      <w:r w:rsidRPr="00EB2BD8">
        <w:t>Surveyor.</w:t>
      </w:r>
      <w:r w:rsidRPr="00EB2BD8">
        <w:rPr>
          <w:spacing w:val="-1"/>
        </w:rPr>
        <w:t xml:space="preserve"> </w:t>
      </w:r>
      <w:r w:rsidRPr="00EB2BD8">
        <w:t>A</w:t>
      </w:r>
      <w:r w:rsidRPr="00EB2BD8">
        <w:rPr>
          <w:spacing w:val="-1"/>
        </w:rPr>
        <w:t xml:space="preserve"> </w:t>
      </w:r>
      <w:r w:rsidRPr="00EB2BD8">
        <w:t>key role within the Office of the State Building Surveyor (OSBS),</w:t>
      </w:r>
      <w:r w:rsidRPr="00EB2BD8">
        <w:rPr>
          <w:spacing w:val="-9"/>
        </w:rPr>
        <w:t xml:space="preserve"> </w:t>
      </w:r>
      <w:r w:rsidRPr="00EB2BD8">
        <w:t>Ms</w:t>
      </w:r>
      <w:r w:rsidRPr="00EB2BD8">
        <w:rPr>
          <w:spacing w:val="-9"/>
        </w:rPr>
        <w:t xml:space="preserve"> </w:t>
      </w:r>
      <w:r w:rsidRPr="00EB2BD8">
        <w:t>Van</w:t>
      </w:r>
      <w:r w:rsidRPr="00EB2BD8">
        <w:rPr>
          <w:spacing w:val="-9"/>
        </w:rPr>
        <w:t xml:space="preserve"> </w:t>
      </w:r>
      <w:r w:rsidRPr="00EB2BD8">
        <w:t>Loon</w:t>
      </w:r>
      <w:r w:rsidRPr="00EB2BD8">
        <w:rPr>
          <w:spacing w:val="-9"/>
        </w:rPr>
        <w:t xml:space="preserve"> </w:t>
      </w:r>
      <w:r w:rsidRPr="00EB2BD8">
        <w:t>will</w:t>
      </w:r>
      <w:r w:rsidRPr="00EB2BD8">
        <w:rPr>
          <w:spacing w:val="-9"/>
        </w:rPr>
        <w:t xml:space="preserve"> </w:t>
      </w:r>
      <w:r w:rsidRPr="00EB2BD8">
        <w:t>support</w:t>
      </w:r>
      <w:r w:rsidRPr="00EB2BD8">
        <w:rPr>
          <w:spacing w:val="-9"/>
        </w:rPr>
        <w:t xml:space="preserve"> </w:t>
      </w:r>
      <w:r w:rsidRPr="00EB2BD8">
        <w:t>improved</w:t>
      </w:r>
      <w:r w:rsidRPr="00EB2BD8">
        <w:rPr>
          <w:spacing w:val="-9"/>
        </w:rPr>
        <w:t xml:space="preserve"> </w:t>
      </w:r>
      <w:r w:rsidRPr="00EB2BD8">
        <w:t>building safety and consumer outcomes through a focus on practitioner capacity building, technical advice and building performance oversight. The role provides</w:t>
      </w:r>
    </w:p>
    <w:p w14:paraId="64584943" w14:textId="77777777" w:rsidR="00084F36" w:rsidRPr="00EB2BD8" w:rsidRDefault="00EB2BD8">
      <w:pPr>
        <w:pStyle w:val="BodyText"/>
        <w:spacing w:line="261" w:lineRule="auto"/>
        <w:ind w:left="857"/>
      </w:pPr>
      <w:r w:rsidRPr="00EB2BD8">
        <w:t>strong</w:t>
      </w:r>
      <w:r w:rsidRPr="00EB2BD8">
        <w:rPr>
          <w:spacing w:val="-10"/>
        </w:rPr>
        <w:t xml:space="preserve"> </w:t>
      </w:r>
      <w:r w:rsidRPr="00EB2BD8">
        <w:t>leadership,</w:t>
      </w:r>
      <w:r w:rsidRPr="00EB2BD8">
        <w:rPr>
          <w:spacing w:val="-10"/>
        </w:rPr>
        <w:t xml:space="preserve"> </w:t>
      </w:r>
      <w:r w:rsidRPr="00EB2BD8">
        <w:t>specialist</w:t>
      </w:r>
      <w:r w:rsidRPr="00EB2BD8">
        <w:rPr>
          <w:spacing w:val="-10"/>
        </w:rPr>
        <w:t xml:space="preserve"> </w:t>
      </w:r>
      <w:r w:rsidRPr="00EB2BD8">
        <w:t>expertise</w:t>
      </w:r>
      <w:r w:rsidRPr="00EB2BD8">
        <w:rPr>
          <w:spacing w:val="-10"/>
        </w:rPr>
        <w:t xml:space="preserve"> </w:t>
      </w:r>
      <w:r w:rsidRPr="00EB2BD8">
        <w:t>and</w:t>
      </w:r>
      <w:r w:rsidRPr="00EB2BD8">
        <w:rPr>
          <w:spacing w:val="-10"/>
        </w:rPr>
        <w:t xml:space="preserve"> </w:t>
      </w:r>
      <w:r w:rsidRPr="00EB2BD8">
        <w:t xml:space="preserve">stakeholder </w:t>
      </w:r>
      <w:r w:rsidRPr="00EB2BD8">
        <w:rPr>
          <w:w w:val="105"/>
        </w:rPr>
        <w:t>engagement capabilities to manage a team of</w:t>
      </w:r>
    </w:p>
    <w:p w14:paraId="29FF8C79" w14:textId="77777777" w:rsidR="00084F36" w:rsidRPr="00EB2BD8" w:rsidRDefault="00EB2BD8">
      <w:pPr>
        <w:pStyle w:val="BodyText"/>
        <w:spacing w:line="261" w:lineRule="auto"/>
        <w:ind w:left="857" w:right="297"/>
      </w:pPr>
      <w:r w:rsidRPr="00EB2BD8">
        <w:t>senior</w:t>
      </w:r>
      <w:r w:rsidRPr="00EB2BD8">
        <w:rPr>
          <w:spacing w:val="-5"/>
        </w:rPr>
        <w:t xml:space="preserve"> </w:t>
      </w:r>
      <w:r w:rsidRPr="00EB2BD8">
        <w:t>technical</w:t>
      </w:r>
      <w:r w:rsidRPr="00EB2BD8">
        <w:rPr>
          <w:spacing w:val="-5"/>
        </w:rPr>
        <w:t xml:space="preserve"> </w:t>
      </w:r>
      <w:r w:rsidRPr="00EB2BD8">
        <w:t>professionals,</w:t>
      </w:r>
      <w:r w:rsidRPr="00EB2BD8">
        <w:rPr>
          <w:spacing w:val="-5"/>
        </w:rPr>
        <w:t xml:space="preserve"> </w:t>
      </w:r>
      <w:r w:rsidRPr="00EB2BD8">
        <w:t>supporting</w:t>
      </w:r>
      <w:r w:rsidRPr="00EB2BD8">
        <w:rPr>
          <w:spacing w:val="-5"/>
        </w:rPr>
        <w:t xml:space="preserve"> </w:t>
      </w:r>
      <w:r w:rsidRPr="00EB2BD8">
        <w:t>the</w:t>
      </w:r>
      <w:r w:rsidRPr="00EB2BD8">
        <w:rPr>
          <w:spacing w:val="-5"/>
        </w:rPr>
        <w:t xml:space="preserve"> </w:t>
      </w:r>
      <w:r w:rsidRPr="00EB2BD8">
        <w:t>OSBS in monitoring building sector performance and</w:t>
      </w:r>
    </w:p>
    <w:p w14:paraId="5A8516B7" w14:textId="77777777" w:rsidR="00E13356" w:rsidRDefault="00EB2BD8">
      <w:pPr>
        <w:pStyle w:val="BodyText"/>
        <w:spacing w:line="261" w:lineRule="auto"/>
        <w:ind w:left="857" w:right="42"/>
      </w:pPr>
      <w:r w:rsidRPr="00EB2BD8">
        <w:t>compliance, identifying and managing emerging risks, implementing</w:t>
      </w:r>
      <w:r w:rsidRPr="00EB2BD8">
        <w:rPr>
          <w:spacing w:val="-1"/>
        </w:rPr>
        <w:t xml:space="preserve"> </w:t>
      </w:r>
      <w:r w:rsidRPr="00EB2BD8">
        <w:t>education</w:t>
      </w:r>
      <w:r w:rsidRPr="00EB2BD8">
        <w:rPr>
          <w:spacing w:val="-1"/>
        </w:rPr>
        <w:t xml:space="preserve"> </w:t>
      </w:r>
      <w:r w:rsidRPr="00EB2BD8">
        <w:t>programs,</w:t>
      </w:r>
      <w:r w:rsidRPr="00EB2BD8">
        <w:rPr>
          <w:spacing w:val="-1"/>
        </w:rPr>
        <w:t xml:space="preserve"> </w:t>
      </w:r>
      <w:r w:rsidRPr="00EB2BD8">
        <w:t>regulatory</w:t>
      </w:r>
      <w:r w:rsidRPr="00EB2BD8">
        <w:rPr>
          <w:spacing w:val="-1"/>
        </w:rPr>
        <w:t xml:space="preserve"> </w:t>
      </w:r>
      <w:r w:rsidRPr="00EB2BD8">
        <w:t xml:space="preserve">reforms and process changes to promote sector best practice. </w:t>
      </w:r>
    </w:p>
    <w:p w14:paraId="318A2793" w14:textId="77777777" w:rsidR="00E13356" w:rsidRDefault="00E13356">
      <w:pPr>
        <w:pStyle w:val="BodyText"/>
        <w:spacing w:line="261" w:lineRule="auto"/>
        <w:ind w:left="857" w:right="42"/>
      </w:pPr>
    </w:p>
    <w:p w14:paraId="1E2CBD93" w14:textId="77777777" w:rsidR="00E13356" w:rsidRDefault="00E13356">
      <w:pPr>
        <w:pStyle w:val="BodyText"/>
        <w:spacing w:line="261" w:lineRule="auto"/>
        <w:ind w:left="857" w:right="42"/>
      </w:pPr>
    </w:p>
    <w:p w14:paraId="5A425E36" w14:textId="77777777" w:rsidR="00E13356" w:rsidRDefault="00E13356">
      <w:pPr>
        <w:pStyle w:val="BodyText"/>
        <w:spacing w:line="261" w:lineRule="auto"/>
        <w:ind w:left="857" w:right="42"/>
      </w:pPr>
    </w:p>
    <w:p w14:paraId="0DF04A72" w14:textId="77777777" w:rsidR="00E13356" w:rsidRDefault="00E13356">
      <w:pPr>
        <w:pStyle w:val="BodyText"/>
        <w:spacing w:line="261" w:lineRule="auto"/>
        <w:ind w:left="857" w:right="42"/>
      </w:pPr>
    </w:p>
    <w:p w14:paraId="6F6719B6" w14:textId="77777777" w:rsidR="00E13356" w:rsidRDefault="00E13356">
      <w:pPr>
        <w:pStyle w:val="BodyText"/>
        <w:spacing w:line="261" w:lineRule="auto"/>
        <w:ind w:left="857" w:right="42"/>
      </w:pPr>
    </w:p>
    <w:p w14:paraId="2F9A49B5" w14:textId="77777777" w:rsidR="00E13356" w:rsidRDefault="00E13356">
      <w:pPr>
        <w:pStyle w:val="BodyText"/>
        <w:spacing w:line="261" w:lineRule="auto"/>
        <w:ind w:left="857" w:right="42"/>
      </w:pPr>
    </w:p>
    <w:p w14:paraId="245A1968" w14:textId="77777777" w:rsidR="00E13356" w:rsidRDefault="00E13356">
      <w:pPr>
        <w:pStyle w:val="BodyText"/>
        <w:spacing w:line="261" w:lineRule="auto"/>
        <w:ind w:left="857" w:right="42"/>
      </w:pPr>
    </w:p>
    <w:p w14:paraId="5D743B00" w14:textId="77777777" w:rsidR="00E13356" w:rsidRDefault="00E13356">
      <w:pPr>
        <w:pStyle w:val="BodyText"/>
        <w:spacing w:line="261" w:lineRule="auto"/>
        <w:ind w:left="857" w:right="42"/>
      </w:pPr>
    </w:p>
    <w:p w14:paraId="4BBCBE78" w14:textId="2F8D5EA2" w:rsidR="00084F36" w:rsidRPr="00EB2BD8" w:rsidRDefault="00EB2BD8">
      <w:pPr>
        <w:pStyle w:val="BodyText"/>
        <w:spacing w:line="261" w:lineRule="auto"/>
        <w:ind w:left="857" w:right="42"/>
      </w:pPr>
      <w:r w:rsidRPr="00EB2BD8">
        <w:t>The</w:t>
      </w:r>
      <w:r w:rsidRPr="00EB2BD8">
        <w:rPr>
          <w:spacing w:val="-15"/>
        </w:rPr>
        <w:t xml:space="preserve"> </w:t>
      </w:r>
      <w:r w:rsidRPr="00EB2BD8">
        <w:t>role</w:t>
      </w:r>
      <w:r w:rsidRPr="00EB2BD8">
        <w:rPr>
          <w:spacing w:val="-14"/>
        </w:rPr>
        <w:t xml:space="preserve"> </w:t>
      </w:r>
      <w:r w:rsidRPr="00EB2BD8">
        <w:t>will</w:t>
      </w:r>
      <w:r w:rsidRPr="00EB2BD8">
        <w:rPr>
          <w:spacing w:val="-14"/>
        </w:rPr>
        <w:t xml:space="preserve"> </w:t>
      </w:r>
      <w:r w:rsidRPr="00EB2BD8">
        <w:t>be</w:t>
      </w:r>
      <w:r w:rsidRPr="00EB2BD8">
        <w:rPr>
          <w:spacing w:val="-14"/>
        </w:rPr>
        <w:t xml:space="preserve"> </w:t>
      </w:r>
      <w:r w:rsidRPr="00EB2BD8">
        <w:t>required</w:t>
      </w:r>
      <w:r w:rsidRPr="00EB2BD8">
        <w:rPr>
          <w:spacing w:val="-15"/>
        </w:rPr>
        <w:t xml:space="preserve"> </w:t>
      </w:r>
      <w:r w:rsidRPr="00EB2BD8">
        <w:t>to</w:t>
      </w:r>
      <w:r w:rsidRPr="00EB2BD8">
        <w:rPr>
          <w:spacing w:val="-14"/>
        </w:rPr>
        <w:t xml:space="preserve"> </w:t>
      </w:r>
      <w:r w:rsidRPr="00EB2BD8">
        <w:t>liaise</w:t>
      </w:r>
      <w:r w:rsidRPr="00EB2BD8">
        <w:rPr>
          <w:spacing w:val="-14"/>
        </w:rPr>
        <w:t xml:space="preserve"> </w:t>
      </w:r>
      <w:r w:rsidRPr="00EB2BD8">
        <w:t>widely</w:t>
      </w:r>
      <w:r w:rsidRPr="00EB2BD8">
        <w:rPr>
          <w:spacing w:val="-14"/>
        </w:rPr>
        <w:t xml:space="preserve"> </w:t>
      </w:r>
      <w:r w:rsidRPr="00EB2BD8">
        <w:t>across</w:t>
      </w:r>
      <w:r w:rsidRPr="00EB2BD8">
        <w:rPr>
          <w:spacing w:val="-15"/>
        </w:rPr>
        <w:t xml:space="preserve"> </w:t>
      </w:r>
      <w:r w:rsidRPr="00EB2BD8">
        <w:t>industry, engaging and presenting at a variety of industry forums, and prepare authoritative advice to support the State Building Surveyor.</w:t>
      </w:r>
    </w:p>
    <w:p w14:paraId="22E3EA7F" w14:textId="77777777" w:rsidR="00084F36" w:rsidRPr="00EB2BD8" w:rsidRDefault="00EB2BD8" w:rsidP="00247513">
      <w:pPr>
        <w:pStyle w:val="Heading2"/>
        <w:ind w:left="720"/>
      </w:pPr>
      <w:r w:rsidRPr="00EB2BD8">
        <w:br w:type="column"/>
      </w:r>
      <w:bookmarkStart w:id="154" w:name="_Toc150762456"/>
      <w:r w:rsidRPr="00EB2BD8">
        <w:rPr>
          <w:spacing w:val="-6"/>
        </w:rPr>
        <w:lastRenderedPageBreak/>
        <w:t>Appointment</w:t>
      </w:r>
      <w:r w:rsidRPr="00EB2BD8">
        <w:rPr>
          <w:spacing w:val="-24"/>
        </w:rPr>
        <w:t xml:space="preserve"> </w:t>
      </w:r>
      <w:r w:rsidRPr="00EB2BD8">
        <w:rPr>
          <w:spacing w:val="-6"/>
        </w:rPr>
        <w:t>of</w:t>
      </w:r>
      <w:r w:rsidRPr="00EB2BD8">
        <w:rPr>
          <w:spacing w:val="-22"/>
        </w:rPr>
        <w:t xml:space="preserve"> </w:t>
      </w:r>
      <w:r w:rsidRPr="00EB2BD8">
        <w:rPr>
          <w:spacing w:val="-6"/>
        </w:rPr>
        <w:t>Head</w:t>
      </w:r>
      <w:r w:rsidRPr="00EB2BD8">
        <w:rPr>
          <w:spacing w:val="-22"/>
        </w:rPr>
        <w:t xml:space="preserve"> </w:t>
      </w:r>
      <w:r w:rsidRPr="00EB2BD8">
        <w:rPr>
          <w:spacing w:val="-6"/>
        </w:rPr>
        <w:t xml:space="preserve">People </w:t>
      </w:r>
      <w:r w:rsidRPr="00EB2BD8">
        <w:t>Experience &amp; Capability</w:t>
      </w:r>
      <w:bookmarkEnd w:id="154"/>
    </w:p>
    <w:p w14:paraId="1CA7C901" w14:textId="77777777" w:rsidR="00084F36" w:rsidRPr="00EB2BD8" w:rsidRDefault="00EB2BD8" w:rsidP="00E13356">
      <w:pPr>
        <w:spacing w:before="174" w:line="256" w:lineRule="auto"/>
        <w:ind w:left="720" w:right="982"/>
        <w:rPr>
          <w:sz w:val="19"/>
        </w:rPr>
      </w:pPr>
      <w:r w:rsidRPr="00EB2BD8">
        <w:rPr>
          <w:sz w:val="19"/>
        </w:rPr>
        <w:t>In April 2023, the VBA appointed Mariana Polzella to</w:t>
      </w:r>
      <w:r w:rsidRPr="00EB2BD8">
        <w:rPr>
          <w:spacing w:val="-5"/>
          <w:sz w:val="19"/>
        </w:rPr>
        <w:t xml:space="preserve"> </w:t>
      </w:r>
      <w:r w:rsidRPr="00EB2BD8">
        <w:rPr>
          <w:sz w:val="19"/>
        </w:rPr>
        <w:t>the</w:t>
      </w:r>
      <w:r w:rsidRPr="00EB2BD8">
        <w:rPr>
          <w:spacing w:val="-5"/>
          <w:sz w:val="19"/>
        </w:rPr>
        <w:t xml:space="preserve"> </w:t>
      </w:r>
      <w:r w:rsidRPr="00EB2BD8">
        <w:rPr>
          <w:sz w:val="19"/>
        </w:rPr>
        <w:t>role</w:t>
      </w:r>
      <w:r w:rsidRPr="00EB2BD8">
        <w:rPr>
          <w:spacing w:val="-5"/>
          <w:sz w:val="19"/>
        </w:rPr>
        <w:t xml:space="preserve"> </w:t>
      </w:r>
      <w:r w:rsidRPr="00EB2BD8">
        <w:rPr>
          <w:sz w:val="19"/>
        </w:rPr>
        <w:t>of</w:t>
      </w:r>
      <w:r w:rsidRPr="00EB2BD8">
        <w:rPr>
          <w:spacing w:val="-5"/>
          <w:sz w:val="19"/>
        </w:rPr>
        <w:t xml:space="preserve"> </w:t>
      </w:r>
      <w:r w:rsidRPr="00EB2BD8">
        <w:rPr>
          <w:sz w:val="19"/>
        </w:rPr>
        <w:t>Head</w:t>
      </w:r>
      <w:r w:rsidRPr="00EB2BD8">
        <w:rPr>
          <w:spacing w:val="-5"/>
          <w:sz w:val="19"/>
        </w:rPr>
        <w:t xml:space="preserve"> </w:t>
      </w:r>
      <w:r w:rsidRPr="00EB2BD8">
        <w:rPr>
          <w:sz w:val="19"/>
        </w:rPr>
        <w:t>People</w:t>
      </w:r>
      <w:r w:rsidRPr="00EB2BD8">
        <w:rPr>
          <w:spacing w:val="-5"/>
          <w:sz w:val="19"/>
        </w:rPr>
        <w:t xml:space="preserve"> </w:t>
      </w:r>
      <w:r w:rsidRPr="00EB2BD8">
        <w:rPr>
          <w:sz w:val="19"/>
        </w:rPr>
        <w:t>Experience</w:t>
      </w:r>
      <w:r w:rsidRPr="00EB2BD8">
        <w:rPr>
          <w:spacing w:val="-5"/>
          <w:sz w:val="19"/>
        </w:rPr>
        <w:t xml:space="preserve"> </w:t>
      </w:r>
      <w:r w:rsidRPr="00EB2BD8">
        <w:rPr>
          <w:sz w:val="19"/>
        </w:rPr>
        <w:t>&amp;</w:t>
      </w:r>
      <w:r w:rsidRPr="00EB2BD8">
        <w:rPr>
          <w:spacing w:val="-5"/>
          <w:sz w:val="19"/>
        </w:rPr>
        <w:t xml:space="preserve"> </w:t>
      </w:r>
      <w:r w:rsidRPr="00EB2BD8">
        <w:rPr>
          <w:sz w:val="19"/>
        </w:rPr>
        <w:t>Capability.</w:t>
      </w:r>
    </w:p>
    <w:p w14:paraId="6BD6EE0C" w14:textId="77777777" w:rsidR="00084F36" w:rsidRPr="00EB2BD8" w:rsidRDefault="00EB2BD8" w:rsidP="00E13356">
      <w:pPr>
        <w:spacing w:before="1" w:line="256" w:lineRule="auto"/>
        <w:ind w:left="720" w:right="982"/>
        <w:rPr>
          <w:sz w:val="19"/>
        </w:rPr>
      </w:pPr>
      <w:r w:rsidRPr="00EB2BD8">
        <w:rPr>
          <w:sz w:val="19"/>
        </w:rPr>
        <w:t>In this role, Ms Polzella will deliver and maintain key strategic people initiatives, programs and process improvements to build, embed, evaluate and sustain a high performing workplace and positive,</w:t>
      </w:r>
      <w:r w:rsidRPr="00EB2BD8">
        <w:rPr>
          <w:spacing w:val="-10"/>
          <w:sz w:val="19"/>
        </w:rPr>
        <w:t xml:space="preserve"> </w:t>
      </w:r>
      <w:r w:rsidRPr="00EB2BD8">
        <w:rPr>
          <w:sz w:val="19"/>
        </w:rPr>
        <w:t>inclusive</w:t>
      </w:r>
      <w:r w:rsidRPr="00EB2BD8">
        <w:rPr>
          <w:spacing w:val="-10"/>
          <w:sz w:val="19"/>
        </w:rPr>
        <w:t xml:space="preserve"> </w:t>
      </w:r>
      <w:r w:rsidRPr="00EB2BD8">
        <w:rPr>
          <w:sz w:val="19"/>
        </w:rPr>
        <w:t>culture.</w:t>
      </w:r>
      <w:r w:rsidRPr="00EB2BD8">
        <w:rPr>
          <w:spacing w:val="-10"/>
          <w:sz w:val="19"/>
        </w:rPr>
        <w:t xml:space="preserve"> </w:t>
      </w:r>
      <w:r w:rsidRPr="00EB2BD8">
        <w:rPr>
          <w:sz w:val="19"/>
        </w:rPr>
        <w:t>Reporting</w:t>
      </w:r>
      <w:r w:rsidRPr="00EB2BD8">
        <w:rPr>
          <w:spacing w:val="-10"/>
          <w:sz w:val="19"/>
        </w:rPr>
        <w:t xml:space="preserve"> </w:t>
      </w:r>
      <w:r w:rsidRPr="00EB2BD8">
        <w:rPr>
          <w:sz w:val="19"/>
        </w:rPr>
        <w:t>directly</w:t>
      </w:r>
      <w:r w:rsidRPr="00EB2BD8">
        <w:rPr>
          <w:spacing w:val="-10"/>
          <w:sz w:val="19"/>
        </w:rPr>
        <w:t xml:space="preserve"> </w:t>
      </w:r>
      <w:r w:rsidRPr="00EB2BD8">
        <w:rPr>
          <w:sz w:val="19"/>
        </w:rPr>
        <w:t>to</w:t>
      </w:r>
      <w:r w:rsidRPr="00EB2BD8">
        <w:rPr>
          <w:spacing w:val="-10"/>
          <w:sz w:val="19"/>
        </w:rPr>
        <w:t xml:space="preserve"> </w:t>
      </w:r>
      <w:r w:rsidRPr="00EB2BD8">
        <w:rPr>
          <w:sz w:val="19"/>
        </w:rPr>
        <w:t>the Executive Director People &amp; Capability and liaising across the Executive Leadership Team, relevant commitees,</w:t>
      </w:r>
      <w:r w:rsidRPr="00EB2BD8">
        <w:rPr>
          <w:spacing w:val="-8"/>
          <w:sz w:val="19"/>
        </w:rPr>
        <w:t xml:space="preserve"> </w:t>
      </w:r>
      <w:r w:rsidRPr="00EB2BD8">
        <w:rPr>
          <w:sz w:val="19"/>
        </w:rPr>
        <w:t>industry</w:t>
      </w:r>
      <w:r w:rsidRPr="00EB2BD8">
        <w:rPr>
          <w:spacing w:val="-8"/>
          <w:sz w:val="19"/>
        </w:rPr>
        <w:t xml:space="preserve"> </w:t>
      </w:r>
      <w:r w:rsidRPr="00EB2BD8">
        <w:rPr>
          <w:sz w:val="19"/>
        </w:rPr>
        <w:t>and</w:t>
      </w:r>
      <w:r w:rsidRPr="00EB2BD8">
        <w:rPr>
          <w:spacing w:val="-8"/>
          <w:sz w:val="19"/>
        </w:rPr>
        <w:t xml:space="preserve"> </w:t>
      </w:r>
      <w:r w:rsidRPr="00EB2BD8">
        <w:rPr>
          <w:sz w:val="19"/>
        </w:rPr>
        <w:t>government,</w:t>
      </w:r>
      <w:r w:rsidRPr="00EB2BD8">
        <w:rPr>
          <w:spacing w:val="-8"/>
          <w:sz w:val="19"/>
        </w:rPr>
        <w:t xml:space="preserve"> </w:t>
      </w:r>
      <w:r w:rsidRPr="00EB2BD8">
        <w:rPr>
          <w:sz w:val="19"/>
        </w:rPr>
        <w:t>this</w:t>
      </w:r>
      <w:r w:rsidRPr="00EB2BD8">
        <w:rPr>
          <w:spacing w:val="-8"/>
          <w:sz w:val="19"/>
        </w:rPr>
        <w:t xml:space="preserve"> </w:t>
      </w:r>
      <w:r w:rsidRPr="00EB2BD8">
        <w:rPr>
          <w:sz w:val="19"/>
        </w:rPr>
        <w:t>role</w:t>
      </w:r>
      <w:r w:rsidRPr="00EB2BD8">
        <w:rPr>
          <w:spacing w:val="-8"/>
          <w:sz w:val="19"/>
        </w:rPr>
        <w:t xml:space="preserve"> </w:t>
      </w:r>
      <w:r w:rsidRPr="00EB2BD8">
        <w:rPr>
          <w:sz w:val="19"/>
        </w:rPr>
        <w:t>will be critical in the conceptualisation and delivery of the VBA’s Contemporary Leadership Development and Behavioural Frameworks, Organisational Wide Learning and Development Programs, Gender</w:t>
      </w:r>
    </w:p>
    <w:p w14:paraId="2F773587" w14:textId="77777777" w:rsidR="00084F36" w:rsidRPr="00EB2BD8" w:rsidRDefault="00EB2BD8" w:rsidP="00E13356">
      <w:pPr>
        <w:spacing w:before="7" w:line="256" w:lineRule="auto"/>
        <w:ind w:left="720" w:right="1028"/>
        <w:jc w:val="both"/>
        <w:rPr>
          <w:sz w:val="19"/>
        </w:rPr>
      </w:pPr>
      <w:r w:rsidRPr="00EB2BD8">
        <w:rPr>
          <w:sz w:val="19"/>
        </w:rPr>
        <w:t>Equality</w:t>
      </w:r>
      <w:r w:rsidRPr="00EB2BD8">
        <w:rPr>
          <w:spacing w:val="-5"/>
          <w:sz w:val="19"/>
        </w:rPr>
        <w:t xml:space="preserve"> </w:t>
      </w:r>
      <w:r w:rsidRPr="00EB2BD8">
        <w:rPr>
          <w:sz w:val="19"/>
        </w:rPr>
        <w:t>Action</w:t>
      </w:r>
      <w:r w:rsidRPr="00EB2BD8">
        <w:rPr>
          <w:spacing w:val="-5"/>
          <w:sz w:val="19"/>
        </w:rPr>
        <w:t xml:space="preserve"> </w:t>
      </w:r>
      <w:r w:rsidRPr="00EB2BD8">
        <w:rPr>
          <w:sz w:val="19"/>
        </w:rPr>
        <w:t>Plan</w:t>
      </w:r>
      <w:r w:rsidRPr="00EB2BD8">
        <w:rPr>
          <w:spacing w:val="-5"/>
          <w:sz w:val="19"/>
        </w:rPr>
        <w:t xml:space="preserve"> </w:t>
      </w:r>
      <w:r w:rsidRPr="00EB2BD8">
        <w:rPr>
          <w:sz w:val="19"/>
        </w:rPr>
        <w:t>(GEAP),</w:t>
      </w:r>
      <w:r w:rsidRPr="00EB2BD8">
        <w:rPr>
          <w:spacing w:val="-5"/>
          <w:sz w:val="19"/>
        </w:rPr>
        <w:t xml:space="preserve"> </w:t>
      </w:r>
      <w:r w:rsidRPr="00EB2BD8">
        <w:rPr>
          <w:sz w:val="19"/>
        </w:rPr>
        <w:t>Diversity</w:t>
      </w:r>
      <w:r w:rsidRPr="00EB2BD8">
        <w:rPr>
          <w:spacing w:val="-5"/>
          <w:sz w:val="19"/>
        </w:rPr>
        <w:t xml:space="preserve"> </w:t>
      </w:r>
      <w:r w:rsidRPr="00EB2BD8">
        <w:rPr>
          <w:sz w:val="19"/>
        </w:rPr>
        <w:t>and</w:t>
      </w:r>
      <w:r w:rsidRPr="00EB2BD8">
        <w:rPr>
          <w:spacing w:val="-5"/>
          <w:sz w:val="19"/>
        </w:rPr>
        <w:t xml:space="preserve"> </w:t>
      </w:r>
      <w:r w:rsidRPr="00EB2BD8">
        <w:rPr>
          <w:sz w:val="19"/>
        </w:rPr>
        <w:t xml:space="preserve">Inclusion </w:t>
      </w:r>
      <w:r w:rsidRPr="00EB2BD8">
        <w:rPr>
          <w:w w:val="105"/>
          <w:sz w:val="19"/>
        </w:rPr>
        <w:t>Strategy</w:t>
      </w:r>
      <w:r w:rsidRPr="00EB2BD8">
        <w:rPr>
          <w:spacing w:val="-16"/>
          <w:w w:val="105"/>
          <w:sz w:val="19"/>
        </w:rPr>
        <w:t xml:space="preserve"> </w:t>
      </w:r>
      <w:r w:rsidRPr="00EB2BD8">
        <w:rPr>
          <w:w w:val="105"/>
          <w:sz w:val="19"/>
        </w:rPr>
        <w:t>and</w:t>
      </w:r>
      <w:r w:rsidRPr="00EB2BD8">
        <w:rPr>
          <w:spacing w:val="-16"/>
          <w:w w:val="105"/>
          <w:sz w:val="19"/>
        </w:rPr>
        <w:t xml:space="preserve"> </w:t>
      </w:r>
      <w:r w:rsidRPr="00EB2BD8">
        <w:rPr>
          <w:w w:val="105"/>
          <w:sz w:val="19"/>
        </w:rPr>
        <w:t>Best</w:t>
      </w:r>
      <w:r w:rsidRPr="00EB2BD8">
        <w:rPr>
          <w:spacing w:val="-16"/>
          <w:w w:val="105"/>
          <w:sz w:val="19"/>
        </w:rPr>
        <w:t xml:space="preserve"> </w:t>
      </w:r>
      <w:r w:rsidRPr="00EB2BD8">
        <w:rPr>
          <w:w w:val="105"/>
          <w:sz w:val="19"/>
        </w:rPr>
        <w:t>Practice</w:t>
      </w:r>
      <w:r w:rsidRPr="00EB2BD8">
        <w:rPr>
          <w:spacing w:val="-15"/>
          <w:w w:val="105"/>
          <w:sz w:val="19"/>
        </w:rPr>
        <w:t xml:space="preserve"> </w:t>
      </w:r>
      <w:r w:rsidRPr="00EB2BD8">
        <w:rPr>
          <w:w w:val="105"/>
          <w:sz w:val="19"/>
        </w:rPr>
        <w:t>Employee</w:t>
      </w:r>
      <w:r w:rsidRPr="00EB2BD8">
        <w:rPr>
          <w:spacing w:val="-16"/>
          <w:w w:val="105"/>
          <w:sz w:val="19"/>
        </w:rPr>
        <w:t xml:space="preserve"> </w:t>
      </w:r>
      <w:r w:rsidRPr="00EB2BD8">
        <w:rPr>
          <w:w w:val="105"/>
          <w:sz w:val="19"/>
        </w:rPr>
        <w:t>Engagement and</w:t>
      </w:r>
      <w:r w:rsidRPr="00EB2BD8">
        <w:rPr>
          <w:spacing w:val="-8"/>
          <w:w w:val="105"/>
          <w:sz w:val="19"/>
        </w:rPr>
        <w:t xml:space="preserve"> </w:t>
      </w:r>
      <w:r w:rsidRPr="00EB2BD8">
        <w:rPr>
          <w:w w:val="105"/>
          <w:sz w:val="19"/>
        </w:rPr>
        <w:t>Initiatives.</w:t>
      </w:r>
    </w:p>
    <w:p w14:paraId="0B4D3691" w14:textId="77777777" w:rsidR="00084F36" w:rsidRPr="00EB2BD8" w:rsidRDefault="00084F36">
      <w:pPr>
        <w:pStyle w:val="BodyText"/>
        <w:spacing w:before="8"/>
        <w:rPr>
          <w:sz w:val="28"/>
        </w:rPr>
      </w:pPr>
    </w:p>
    <w:p w14:paraId="2C3306D5" w14:textId="77777777" w:rsidR="00084F36" w:rsidRPr="00EB2BD8" w:rsidRDefault="00EB2BD8" w:rsidP="00247513">
      <w:pPr>
        <w:pStyle w:val="Heading2"/>
        <w:ind w:left="720"/>
      </w:pPr>
      <w:bookmarkStart w:id="155" w:name="_Toc150762457"/>
      <w:r w:rsidRPr="00EB2BD8">
        <w:t>Appointment</w:t>
      </w:r>
      <w:r w:rsidRPr="00EB2BD8">
        <w:rPr>
          <w:spacing w:val="-20"/>
        </w:rPr>
        <w:t xml:space="preserve"> </w:t>
      </w:r>
      <w:r w:rsidRPr="00EB2BD8">
        <w:t>of</w:t>
      </w:r>
      <w:r w:rsidRPr="00EB2BD8">
        <w:rPr>
          <w:spacing w:val="-20"/>
        </w:rPr>
        <w:t xml:space="preserve"> </w:t>
      </w:r>
      <w:r w:rsidRPr="00EB2BD8">
        <w:t>Head</w:t>
      </w:r>
      <w:r w:rsidRPr="00EB2BD8">
        <w:rPr>
          <w:spacing w:val="-20"/>
        </w:rPr>
        <w:t xml:space="preserve"> </w:t>
      </w:r>
      <w:r w:rsidRPr="00EB2BD8">
        <w:t>of</w:t>
      </w:r>
      <w:r w:rsidRPr="00EB2BD8">
        <w:rPr>
          <w:spacing w:val="-20"/>
        </w:rPr>
        <w:t xml:space="preserve"> </w:t>
      </w:r>
      <w:r w:rsidRPr="00EB2BD8">
        <w:t>Safety</w:t>
      </w:r>
      <w:r w:rsidRPr="00EB2BD8">
        <w:rPr>
          <w:spacing w:val="-20"/>
        </w:rPr>
        <w:t xml:space="preserve"> </w:t>
      </w:r>
      <w:r w:rsidRPr="00EB2BD8">
        <w:t xml:space="preserve">&amp; </w:t>
      </w:r>
      <w:r w:rsidRPr="00EB2BD8">
        <w:rPr>
          <w:spacing w:val="-2"/>
        </w:rPr>
        <w:t>Wellbeing</w:t>
      </w:r>
      <w:bookmarkEnd w:id="155"/>
    </w:p>
    <w:p w14:paraId="78738441" w14:textId="45A2427F" w:rsidR="00084F36" w:rsidRPr="00EB2BD8" w:rsidRDefault="00EB2BD8" w:rsidP="00247513">
      <w:pPr>
        <w:pStyle w:val="BodyText"/>
        <w:spacing w:before="174" w:line="261" w:lineRule="auto"/>
        <w:ind w:left="720" w:right="1197"/>
      </w:pPr>
      <w:r w:rsidRPr="00EB2BD8">
        <w:t>In</w:t>
      </w:r>
      <w:r w:rsidRPr="00EB2BD8">
        <w:rPr>
          <w:spacing w:val="-5"/>
        </w:rPr>
        <w:t xml:space="preserve"> </w:t>
      </w:r>
      <w:r w:rsidRPr="00EB2BD8">
        <w:t>March</w:t>
      </w:r>
      <w:r w:rsidRPr="00EB2BD8">
        <w:rPr>
          <w:spacing w:val="-5"/>
        </w:rPr>
        <w:t xml:space="preserve"> </w:t>
      </w:r>
      <w:r w:rsidRPr="00EB2BD8">
        <w:t>2023,</w:t>
      </w:r>
      <w:r w:rsidRPr="00EB2BD8">
        <w:rPr>
          <w:spacing w:val="-5"/>
        </w:rPr>
        <w:t xml:space="preserve"> </w:t>
      </w:r>
      <w:r w:rsidRPr="00EB2BD8">
        <w:t>the</w:t>
      </w:r>
      <w:r w:rsidRPr="00EB2BD8">
        <w:rPr>
          <w:spacing w:val="-5"/>
        </w:rPr>
        <w:t xml:space="preserve"> </w:t>
      </w:r>
      <w:r w:rsidRPr="00EB2BD8">
        <w:t>VBA</w:t>
      </w:r>
      <w:r w:rsidRPr="00EB2BD8">
        <w:rPr>
          <w:spacing w:val="-5"/>
        </w:rPr>
        <w:t xml:space="preserve"> </w:t>
      </w:r>
      <w:r w:rsidRPr="00EB2BD8">
        <w:t>appointed</w:t>
      </w:r>
      <w:r w:rsidRPr="00EB2BD8">
        <w:rPr>
          <w:spacing w:val="-5"/>
        </w:rPr>
        <w:t xml:space="preserve"> </w:t>
      </w:r>
      <w:r w:rsidRPr="00EB2BD8">
        <w:t>Rajesh</w:t>
      </w:r>
      <w:r w:rsidRPr="00EB2BD8">
        <w:rPr>
          <w:spacing w:val="-5"/>
        </w:rPr>
        <w:t xml:space="preserve"> </w:t>
      </w:r>
      <w:r w:rsidRPr="00EB2BD8">
        <w:t xml:space="preserve">Tripathy to the role of Head of Safety &amp; Wellbeing. In this </w:t>
      </w:r>
      <w:r w:rsidRPr="00EB2BD8">
        <w:rPr>
          <w:spacing w:val="-2"/>
        </w:rPr>
        <w:t>role,</w:t>
      </w:r>
      <w:r w:rsidRPr="00EB2BD8">
        <w:rPr>
          <w:spacing w:val="-12"/>
        </w:rPr>
        <w:t xml:space="preserve"> </w:t>
      </w:r>
      <w:r w:rsidRPr="00EB2BD8">
        <w:rPr>
          <w:spacing w:val="-2"/>
        </w:rPr>
        <w:t>Mr</w:t>
      </w:r>
      <w:r w:rsidRPr="00EB2BD8">
        <w:rPr>
          <w:spacing w:val="-12"/>
        </w:rPr>
        <w:t xml:space="preserve"> </w:t>
      </w:r>
      <w:r w:rsidRPr="00EB2BD8">
        <w:rPr>
          <w:spacing w:val="-2"/>
        </w:rPr>
        <w:t>Tripathy</w:t>
      </w:r>
      <w:r w:rsidRPr="00EB2BD8">
        <w:rPr>
          <w:spacing w:val="-12"/>
        </w:rPr>
        <w:t xml:space="preserve"> </w:t>
      </w:r>
      <w:r w:rsidRPr="00EB2BD8">
        <w:rPr>
          <w:spacing w:val="-2"/>
        </w:rPr>
        <w:t>will</w:t>
      </w:r>
      <w:r w:rsidRPr="00EB2BD8">
        <w:rPr>
          <w:spacing w:val="-12"/>
        </w:rPr>
        <w:t xml:space="preserve"> </w:t>
      </w:r>
      <w:r w:rsidRPr="00EB2BD8">
        <w:rPr>
          <w:spacing w:val="-2"/>
        </w:rPr>
        <w:t>work</w:t>
      </w:r>
      <w:r w:rsidRPr="00EB2BD8">
        <w:rPr>
          <w:spacing w:val="-12"/>
        </w:rPr>
        <w:t xml:space="preserve"> </w:t>
      </w:r>
      <w:r w:rsidRPr="00EB2BD8">
        <w:rPr>
          <w:spacing w:val="-2"/>
        </w:rPr>
        <w:t>closely</w:t>
      </w:r>
      <w:r w:rsidRPr="00EB2BD8">
        <w:rPr>
          <w:spacing w:val="-12"/>
        </w:rPr>
        <w:t xml:space="preserve"> </w:t>
      </w:r>
      <w:r w:rsidRPr="00EB2BD8">
        <w:rPr>
          <w:spacing w:val="-2"/>
        </w:rPr>
        <w:t>with</w:t>
      </w:r>
      <w:r w:rsidRPr="00EB2BD8">
        <w:rPr>
          <w:spacing w:val="-12"/>
        </w:rPr>
        <w:t xml:space="preserve"> </w:t>
      </w:r>
      <w:r w:rsidRPr="00EB2BD8">
        <w:rPr>
          <w:spacing w:val="-2"/>
        </w:rPr>
        <w:t>stakeholders</w:t>
      </w:r>
      <w:r w:rsidR="00247513">
        <w:t xml:space="preserve"> </w:t>
      </w:r>
      <w:r w:rsidRPr="00EB2BD8">
        <w:t>across the VBA to build and sustain a positive safety culture. The role will develop and lead the strategic direction for health, safety and wellbeing at the VBA and support senior executives and the Board with actionable insights in safety performance. The role</w:t>
      </w:r>
      <w:r w:rsidRPr="00EB2BD8">
        <w:rPr>
          <w:spacing w:val="80"/>
        </w:rPr>
        <w:t xml:space="preserve"> </w:t>
      </w:r>
      <w:r w:rsidRPr="00EB2BD8">
        <w:t>has operational safety execution elements providing specialist and practical health and safety advice while balancing</w:t>
      </w:r>
      <w:r w:rsidRPr="00EB2BD8">
        <w:rPr>
          <w:spacing w:val="-7"/>
        </w:rPr>
        <w:t xml:space="preserve"> </w:t>
      </w:r>
      <w:r w:rsidRPr="00EB2BD8">
        <w:t>safety</w:t>
      </w:r>
      <w:r w:rsidRPr="00EB2BD8">
        <w:rPr>
          <w:spacing w:val="-7"/>
        </w:rPr>
        <w:t xml:space="preserve"> </w:t>
      </w:r>
      <w:r w:rsidRPr="00EB2BD8">
        <w:t>with</w:t>
      </w:r>
      <w:r w:rsidRPr="00EB2BD8">
        <w:rPr>
          <w:spacing w:val="-7"/>
        </w:rPr>
        <w:t xml:space="preserve"> </w:t>
      </w:r>
      <w:r w:rsidRPr="00EB2BD8">
        <w:t>operational</w:t>
      </w:r>
      <w:r w:rsidRPr="00EB2BD8">
        <w:rPr>
          <w:spacing w:val="-7"/>
        </w:rPr>
        <w:t xml:space="preserve"> </w:t>
      </w:r>
      <w:r w:rsidRPr="00EB2BD8">
        <w:t>delivery.</w:t>
      </w:r>
      <w:r w:rsidRPr="00EB2BD8">
        <w:rPr>
          <w:spacing w:val="-7"/>
        </w:rPr>
        <w:t xml:space="preserve"> </w:t>
      </w:r>
      <w:r w:rsidRPr="00EB2BD8">
        <w:t>The</w:t>
      </w:r>
      <w:r w:rsidRPr="00EB2BD8">
        <w:rPr>
          <w:spacing w:val="-7"/>
        </w:rPr>
        <w:t xml:space="preserve"> </w:t>
      </w:r>
      <w:r w:rsidRPr="00EB2BD8">
        <w:t>role</w:t>
      </w:r>
      <w:r w:rsidRPr="00EB2BD8">
        <w:rPr>
          <w:spacing w:val="-7"/>
        </w:rPr>
        <w:t xml:space="preserve"> </w:t>
      </w:r>
      <w:r w:rsidRPr="00EB2BD8">
        <w:t>is</w:t>
      </w:r>
      <w:r w:rsidRPr="00EB2BD8">
        <w:rPr>
          <w:spacing w:val="-7"/>
        </w:rPr>
        <w:t xml:space="preserve"> </w:t>
      </w:r>
      <w:r w:rsidRPr="00EB2BD8">
        <w:t>a true</w:t>
      </w:r>
      <w:r w:rsidRPr="00EB2BD8">
        <w:rPr>
          <w:spacing w:val="-10"/>
        </w:rPr>
        <w:t xml:space="preserve"> </w:t>
      </w:r>
      <w:r w:rsidRPr="00EB2BD8">
        <w:t>partnership</w:t>
      </w:r>
      <w:r w:rsidRPr="00EB2BD8">
        <w:rPr>
          <w:spacing w:val="-10"/>
        </w:rPr>
        <w:t xml:space="preserve"> </w:t>
      </w:r>
      <w:r w:rsidRPr="00EB2BD8">
        <w:t>with</w:t>
      </w:r>
      <w:r w:rsidRPr="00EB2BD8">
        <w:rPr>
          <w:spacing w:val="-10"/>
        </w:rPr>
        <w:t xml:space="preserve"> </w:t>
      </w:r>
      <w:r w:rsidRPr="00EB2BD8">
        <w:t>operations,</w:t>
      </w:r>
      <w:r w:rsidRPr="00EB2BD8">
        <w:rPr>
          <w:spacing w:val="-10"/>
        </w:rPr>
        <w:t xml:space="preserve"> </w:t>
      </w:r>
      <w:r w:rsidRPr="00EB2BD8">
        <w:t>supporting</w:t>
      </w:r>
      <w:r w:rsidRPr="00EB2BD8">
        <w:rPr>
          <w:spacing w:val="-10"/>
        </w:rPr>
        <w:t xml:space="preserve"> </w:t>
      </w:r>
      <w:r w:rsidRPr="00EB2BD8">
        <w:t>leaders</w:t>
      </w:r>
      <w:r w:rsidRPr="00EB2BD8">
        <w:rPr>
          <w:spacing w:val="-10"/>
        </w:rPr>
        <w:t xml:space="preserve"> </w:t>
      </w:r>
      <w:r w:rsidRPr="00EB2BD8">
        <w:t>to maintain and foster a safe workplace.</w:t>
      </w:r>
    </w:p>
    <w:p w14:paraId="02A5B1F8" w14:textId="77777777" w:rsidR="00084F36" w:rsidRPr="00EB2BD8" w:rsidRDefault="00EB2BD8" w:rsidP="00E13356">
      <w:pPr>
        <w:pStyle w:val="BodyText"/>
        <w:spacing w:before="100" w:line="261" w:lineRule="auto"/>
        <w:ind w:left="720" w:right="982"/>
      </w:pPr>
      <w:r w:rsidRPr="00EB2BD8">
        <w:t>The role is responsible for the development, implementation and maintenance of organisational safety</w:t>
      </w:r>
      <w:r w:rsidRPr="00EB2BD8">
        <w:rPr>
          <w:spacing w:val="-11"/>
        </w:rPr>
        <w:t xml:space="preserve"> </w:t>
      </w:r>
      <w:r w:rsidRPr="00EB2BD8">
        <w:t>strategy,</w:t>
      </w:r>
      <w:r w:rsidRPr="00EB2BD8">
        <w:rPr>
          <w:spacing w:val="-11"/>
        </w:rPr>
        <w:t xml:space="preserve"> </w:t>
      </w:r>
      <w:r w:rsidRPr="00EB2BD8">
        <w:t>systems,</w:t>
      </w:r>
      <w:r w:rsidRPr="00EB2BD8">
        <w:rPr>
          <w:spacing w:val="-11"/>
        </w:rPr>
        <w:t xml:space="preserve"> </w:t>
      </w:r>
      <w:r w:rsidRPr="00EB2BD8">
        <w:t>and</w:t>
      </w:r>
      <w:r w:rsidRPr="00EB2BD8">
        <w:rPr>
          <w:spacing w:val="-11"/>
        </w:rPr>
        <w:t xml:space="preserve"> </w:t>
      </w:r>
      <w:r w:rsidRPr="00EB2BD8">
        <w:t>processes,</w:t>
      </w:r>
      <w:r w:rsidRPr="00EB2BD8">
        <w:rPr>
          <w:spacing w:val="-11"/>
        </w:rPr>
        <w:t xml:space="preserve"> </w:t>
      </w:r>
      <w:r w:rsidRPr="00EB2BD8">
        <w:t>and</w:t>
      </w:r>
      <w:r w:rsidRPr="00EB2BD8">
        <w:rPr>
          <w:spacing w:val="-11"/>
        </w:rPr>
        <w:t xml:space="preserve"> </w:t>
      </w:r>
      <w:r w:rsidRPr="00EB2BD8">
        <w:t>supports leaders to ensure that safe systems of work are effectively implemented to manage safety risk. The role will monitor compliance with relevant HSW</w:t>
      </w:r>
    </w:p>
    <w:p w14:paraId="29A9306A" w14:textId="77777777" w:rsidR="00084F36" w:rsidRPr="00EB2BD8" w:rsidRDefault="00EB2BD8" w:rsidP="00E13356">
      <w:pPr>
        <w:pStyle w:val="BodyText"/>
        <w:spacing w:line="261" w:lineRule="auto"/>
        <w:ind w:left="720" w:right="847"/>
      </w:pPr>
      <w:r w:rsidRPr="00EB2BD8">
        <w:t>legislation</w:t>
      </w:r>
      <w:r w:rsidRPr="00EB2BD8">
        <w:rPr>
          <w:spacing w:val="-8"/>
        </w:rPr>
        <w:t xml:space="preserve"> </w:t>
      </w:r>
      <w:r w:rsidRPr="00EB2BD8">
        <w:t>and</w:t>
      </w:r>
      <w:r w:rsidRPr="00EB2BD8">
        <w:rPr>
          <w:spacing w:val="-8"/>
        </w:rPr>
        <w:t xml:space="preserve"> </w:t>
      </w:r>
      <w:r w:rsidRPr="00EB2BD8">
        <w:t>ensure</w:t>
      </w:r>
      <w:r w:rsidRPr="00EB2BD8">
        <w:rPr>
          <w:spacing w:val="-8"/>
        </w:rPr>
        <w:t xml:space="preserve"> </w:t>
      </w:r>
      <w:r w:rsidRPr="00EB2BD8">
        <w:t>that</w:t>
      </w:r>
      <w:r w:rsidRPr="00EB2BD8">
        <w:rPr>
          <w:spacing w:val="-8"/>
        </w:rPr>
        <w:t xml:space="preserve"> </w:t>
      </w:r>
      <w:r w:rsidRPr="00EB2BD8">
        <w:t>VBA</w:t>
      </w:r>
      <w:r w:rsidRPr="00EB2BD8">
        <w:rPr>
          <w:spacing w:val="-8"/>
        </w:rPr>
        <w:t xml:space="preserve"> </w:t>
      </w:r>
      <w:r w:rsidRPr="00EB2BD8">
        <w:t>is</w:t>
      </w:r>
      <w:r w:rsidRPr="00EB2BD8">
        <w:rPr>
          <w:spacing w:val="-8"/>
        </w:rPr>
        <w:t xml:space="preserve"> </w:t>
      </w:r>
      <w:r w:rsidRPr="00EB2BD8">
        <w:t>meeting</w:t>
      </w:r>
      <w:r w:rsidRPr="00EB2BD8">
        <w:rPr>
          <w:spacing w:val="-8"/>
        </w:rPr>
        <w:t xml:space="preserve"> </w:t>
      </w:r>
      <w:r w:rsidRPr="00EB2BD8">
        <w:t>its</w:t>
      </w:r>
      <w:r w:rsidRPr="00EB2BD8">
        <w:rPr>
          <w:spacing w:val="-8"/>
        </w:rPr>
        <w:t xml:space="preserve"> </w:t>
      </w:r>
      <w:r w:rsidRPr="00EB2BD8">
        <w:t>legislative obligations. The role reports to the Executive Director People and Capability and works in partnership with Executive and Divisional leaders and the People and Capability</w:t>
      </w:r>
      <w:r w:rsidRPr="00EB2BD8">
        <w:rPr>
          <w:spacing w:val="-6"/>
        </w:rPr>
        <w:t xml:space="preserve"> </w:t>
      </w:r>
      <w:r w:rsidRPr="00EB2BD8">
        <w:t>team.</w:t>
      </w:r>
    </w:p>
    <w:p w14:paraId="5AB32AA0" w14:textId="77777777" w:rsidR="00084F36" w:rsidRPr="00EB2BD8" w:rsidRDefault="00084F36">
      <w:pPr>
        <w:spacing w:line="261" w:lineRule="auto"/>
        <w:sectPr w:rsidR="00084F36" w:rsidRPr="00EB2BD8" w:rsidSect="006D75B2">
          <w:footerReference w:type="default" r:id="rId181"/>
          <w:type w:val="continuous"/>
          <w:pgSz w:w="11910" w:h="16840"/>
          <w:pgMar w:top="1920" w:right="0" w:bottom="280" w:left="0" w:header="0" w:footer="515" w:gutter="0"/>
          <w:cols w:num="2" w:space="720" w:equalWidth="0">
            <w:col w:w="5713" w:space="40"/>
            <w:col w:w="6157"/>
          </w:cols>
        </w:sectPr>
      </w:pPr>
    </w:p>
    <w:p w14:paraId="26771DFC" w14:textId="77777777" w:rsidR="00084F36" w:rsidRPr="00EB2BD8" w:rsidRDefault="00084F36">
      <w:pPr>
        <w:pStyle w:val="BodyText"/>
        <w:rPr>
          <w:sz w:val="20"/>
        </w:rPr>
      </w:pPr>
    </w:p>
    <w:p w14:paraId="42C60891" w14:textId="77777777" w:rsidR="00084F36" w:rsidRPr="00EB2BD8" w:rsidRDefault="00084F36">
      <w:pPr>
        <w:pStyle w:val="BodyText"/>
        <w:rPr>
          <w:sz w:val="20"/>
        </w:rPr>
      </w:pPr>
    </w:p>
    <w:p w14:paraId="4243691C" w14:textId="77777777" w:rsidR="00084F36" w:rsidRPr="00EB2BD8" w:rsidRDefault="00084F36">
      <w:pPr>
        <w:pStyle w:val="BodyText"/>
        <w:rPr>
          <w:sz w:val="20"/>
        </w:rPr>
      </w:pPr>
    </w:p>
    <w:p w14:paraId="2F24271F" w14:textId="73A10456" w:rsidR="00084F36" w:rsidRPr="00EB2BD8" w:rsidRDefault="00084F36">
      <w:pPr>
        <w:pStyle w:val="BodyText"/>
        <w:rPr>
          <w:sz w:val="20"/>
        </w:rPr>
      </w:pPr>
    </w:p>
    <w:p w14:paraId="18FDA2D6" w14:textId="77777777" w:rsidR="00084F36" w:rsidRPr="00EB2BD8" w:rsidRDefault="00084F36">
      <w:pPr>
        <w:pStyle w:val="BodyText"/>
        <w:rPr>
          <w:sz w:val="20"/>
        </w:rPr>
      </w:pPr>
    </w:p>
    <w:p w14:paraId="555CA5A9" w14:textId="77777777" w:rsidR="00084F36" w:rsidRPr="00EB2BD8" w:rsidRDefault="00084F36">
      <w:pPr>
        <w:pStyle w:val="BodyText"/>
        <w:rPr>
          <w:sz w:val="20"/>
        </w:rPr>
      </w:pPr>
    </w:p>
    <w:p w14:paraId="79881E58" w14:textId="77777777" w:rsidR="002F09D7" w:rsidRPr="00247513" w:rsidRDefault="002F09D7" w:rsidP="002F09D7">
      <w:pPr>
        <w:pStyle w:val="Heading1"/>
      </w:pPr>
      <w:bookmarkStart w:id="156" w:name="_Toc150762458"/>
      <w:r w:rsidRPr="00247513">
        <w:t>Spotlight on: Internal engagement</w:t>
      </w:r>
      <w:bookmarkEnd w:id="156"/>
    </w:p>
    <w:p w14:paraId="5E4C2DE4" w14:textId="77777777" w:rsidR="00084F36" w:rsidRPr="00EB2BD8" w:rsidRDefault="00084F36">
      <w:pPr>
        <w:pStyle w:val="BodyText"/>
        <w:rPr>
          <w:sz w:val="20"/>
        </w:rPr>
      </w:pPr>
    </w:p>
    <w:p w14:paraId="3296EFA8" w14:textId="77777777" w:rsidR="00084F36" w:rsidRPr="00EB2BD8" w:rsidRDefault="00084F36">
      <w:pPr>
        <w:pStyle w:val="BodyText"/>
        <w:rPr>
          <w:sz w:val="20"/>
        </w:rPr>
      </w:pPr>
    </w:p>
    <w:p w14:paraId="6374C5A3" w14:textId="77777777" w:rsidR="00084F36" w:rsidRPr="00EB2BD8" w:rsidRDefault="00084F36">
      <w:pPr>
        <w:rPr>
          <w:sz w:val="20"/>
        </w:rPr>
        <w:sectPr w:rsidR="00084F36" w:rsidRPr="00EB2BD8" w:rsidSect="006D75B2">
          <w:headerReference w:type="even" r:id="rId182"/>
          <w:footerReference w:type="default" r:id="rId183"/>
          <w:pgSz w:w="11910" w:h="16840"/>
          <w:pgMar w:top="0" w:right="0" w:bottom="700" w:left="0" w:header="0" w:footer="515" w:gutter="0"/>
          <w:cols w:space="720"/>
        </w:sectPr>
      </w:pPr>
    </w:p>
    <w:p w14:paraId="11CEF49B" w14:textId="7867E8EA" w:rsidR="00084F36" w:rsidRPr="00EB2BD8" w:rsidRDefault="00084F36">
      <w:pPr>
        <w:pStyle w:val="BodyText"/>
        <w:rPr>
          <w:sz w:val="20"/>
        </w:rPr>
      </w:pPr>
    </w:p>
    <w:p w14:paraId="4B8A917C" w14:textId="7AA66C89" w:rsidR="00084F36" w:rsidRPr="00EB2BD8" w:rsidRDefault="00EB2BD8">
      <w:pPr>
        <w:pStyle w:val="BodyText"/>
        <w:spacing w:line="261" w:lineRule="auto"/>
        <w:ind w:left="850"/>
      </w:pPr>
      <w:r w:rsidRPr="00EB2BD8">
        <w:t>Throughout the year, VBA people attended internal events to raise awareness for charities, social justice causes and to commemorate days of cultural significance. Some of these engagement activities are outlined</w:t>
      </w:r>
      <w:r w:rsidRPr="00EB2BD8">
        <w:rPr>
          <w:spacing w:val="-6"/>
        </w:rPr>
        <w:t xml:space="preserve"> </w:t>
      </w:r>
      <w:r w:rsidRPr="00EB2BD8">
        <w:t>below.</w:t>
      </w:r>
    </w:p>
    <w:p w14:paraId="1DFC1E36" w14:textId="77777777" w:rsidR="00084F36" w:rsidRPr="00EB2BD8" w:rsidRDefault="00EB2BD8">
      <w:pPr>
        <w:pStyle w:val="BodyText"/>
        <w:spacing w:before="109" w:line="261" w:lineRule="auto"/>
        <w:ind w:left="850" w:right="147"/>
      </w:pPr>
      <w:r w:rsidRPr="00EB2BD8">
        <w:t>In July 2022, VBA people attended a NAIDOC Week event where they were asked to reflect on their own understanding</w:t>
      </w:r>
      <w:r w:rsidRPr="00EB2BD8">
        <w:rPr>
          <w:spacing w:val="-6"/>
        </w:rPr>
        <w:t xml:space="preserve"> </w:t>
      </w:r>
      <w:r w:rsidRPr="00EB2BD8">
        <w:t>of</w:t>
      </w:r>
      <w:r w:rsidRPr="00EB2BD8">
        <w:rPr>
          <w:spacing w:val="-6"/>
        </w:rPr>
        <w:t xml:space="preserve"> </w:t>
      </w:r>
      <w:r w:rsidRPr="00EB2BD8">
        <w:t>our</w:t>
      </w:r>
      <w:r w:rsidRPr="00EB2BD8">
        <w:rPr>
          <w:spacing w:val="-6"/>
        </w:rPr>
        <w:t xml:space="preserve"> </w:t>
      </w:r>
      <w:r w:rsidRPr="00EB2BD8">
        <w:t>First</w:t>
      </w:r>
      <w:r w:rsidRPr="00EB2BD8">
        <w:rPr>
          <w:spacing w:val="-6"/>
        </w:rPr>
        <w:t xml:space="preserve"> </w:t>
      </w:r>
      <w:r w:rsidRPr="00EB2BD8">
        <w:t>Nations</w:t>
      </w:r>
      <w:r w:rsidRPr="00EB2BD8">
        <w:rPr>
          <w:spacing w:val="-6"/>
        </w:rPr>
        <w:t xml:space="preserve"> </w:t>
      </w:r>
      <w:r w:rsidRPr="00EB2BD8">
        <w:t>people</w:t>
      </w:r>
      <w:r w:rsidRPr="00EB2BD8">
        <w:rPr>
          <w:spacing w:val="-6"/>
        </w:rPr>
        <w:t xml:space="preserve"> </w:t>
      </w:r>
      <w:r w:rsidRPr="00EB2BD8">
        <w:t>and</w:t>
      </w:r>
      <w:r w:rsidRPr="00EB2BD8">
        <w:rPr>
          <w:spacing w:val="-6"/>
        </w:rPr>
        <w:t xml:space="preserve"> </w:t>
      </w:r>
      <w:r w:rsidRPr="00EB2BD8">
        <w:t>call</w:t>
      </w:r>
      <w:r w:rsidRPr="00EB2BD8">
        <w:rPr>
          <w:spacing w:val="-6"/>
        </w:rPr>
        <w:t xml:space="preserve"> </w:t>
      </w:r>
      <w:r w:rsidRPr="00EB2BD8">
        <w:t>out racism</w:t>
      </w:r>
      <w:r w:rsidRPr="00EB2BD8">
        <w:rPr>
          <w:spacing w:val="-8"/>
        </w:rPr>
        <w:t xml:space="preserve"> </w:t>
      </w:r>
      <w:r w:rsidRPr="00EB2BD8">
        <w:t>as</w:t>
      </w:r>
      <w:r w:rsidRPr="00EB2BD8">
        <w:rPr>
          <w:spacing w:val="-8"/>
        </w:rPr>
        <w:t xml:space="preserve"> </w:t>
      </w:r>
      <w:r w:rsidRPr="00EB2BD8">
        <w:t>an</w:t>
      </w:r>
      <w:r w:rsidRPr="00EB2BD8">
        <w:rPr>
          <w:spacing w:val="-8"/>
        </w:rPr>
        <w:t xml:space="preserve"> </w:t>
      </w:r>
      <w:r w:rsidRPr="00EB2BD8">
        <w:t>act</w:t>
      </w:r>
      <w:r w:rsidRPr="00EB2BD8">
        <w:rPr>
          <w:spacing w:val="-8"/>
        </w:rPr>
        <w:t xml:space="preserve"> </w:t>
      </w:r>
      <w:r w:rsidRPr="00EB2BD8">
        <w:t>of</w:t>
      </w:r>
      <w:r w:rsidRPr="00EB2BD8">
        <w:rPr>
          <w:spacing w:val="-8"/>
        </w:rPr>
        <w:t xml:space="preserve"> </w:t>
      </w:r>
      <w:r w:rsidRPr="00EB2BD8">
        <w:t>support.</w:t>
      </w:r>
      <w:r w:rsidRPr="00EB2BD8">
        <w:rPr>
          <w:spacing w:val="-8"/>
        </w:rPr>
        <w:t xml:space="preserve"> </w:t>
      </w:r>
      <w:r w:rsidRPr="00EB2BD8">
        <w:t>A</w:t>
      </w:r>
      <w:r w:rsidRPr="00EB2BD8">
        <w:rPr>
          <w:spacing w:val="-8"/>
        </w:rPr>
        <w:t xml:space="preserve"> </w:t>
      </w:r>
      <w:r w:rsidRPr="00EB2BD8">
        <w:t>local</w:t>
      </w:r>
      <w:r w:rsidRPr="00EB2BD8">
        <w:rPr>
          <w:spacing w:val="-8"/>
        </w:rPr>
        <w:t xml:space="preserve"> </w:t>
      </w:r>
      <w:r w:rsidRPr="00EB2BD8">
        <w:t>Indigenous</w:t>
      </w:r>
      <w:r w:rsidRPr="00EB2BD8">
        <w:rPr>
          <w:spacing w:val="-8"/>
        </w:rPr>
        <w:t xml:space="preserve"> </w:t>
      </w:r>
      <w:r w:rsidRPr="00EB2BD8">
        <w:t>person attended the VBA head office to perform a Welcome</w:t>
      </w:r>
      <w:r w:rsidRPr="00EB2BD8">
        <w:rPr>
          <w:spacing w:val="40"/>
        </w:rPr>
        <w:t xml:space="preserve"> </w:t>
      </w:r>
      <w:r w:rsidRPr="00EB2BD8">
        <w:t>to Country Ceremony and oversee the VBA’s NAIDOC Week</w:t>
      </w:r>
      <w:r w:rsidRPr="00EB2BD8">
        <w:rPr>
          <w:spacing w:val="-6"/>
        </w:rPr>
        <w:t xml:space="preserve"> </w:t>
      </w:r>
      <w:r w:rsidRPr="00EB2BD8">
        <w:t>event.</w:t>
      </w:r>
    </w:p>
    <w:p w14:paraId="6C1FC120" w14:textId="77777777" w:rsidR="00084F36" w:rsidRPr="00EB2BD8" w:rsidRDefault="00EB2BD8">
      <w:pPr>
        <w:pStyle w:val="BodyText"/>
        <w:spacing w:before="106" w:line="261" w:lineRule="auto"/>
        <w:ind w:left="850"/>
      </w:pPr>
      <w:r w:rsidRPr="00EB2BD8">
        <w:t>In August 2022, VBA people were invited to attend Indigenous Australian Cultural Awareness training, which</w:t>
      </w:r>
      <w:r w:rsidRPr="00EB2BD8">
        <w:rPr>
          <w:spacing w:val="-1"/>
        </w:rPr>
        <w:t xml:space="preserve"> </w:t>
      </w:r>
      <w:r w:rsidRPr="00EB2BD8">
        <w:t>featured</w:t>
      </w:r>
      <w:r w:rsidRPr="00EB2BD8">
        <w:rPr>
          <w:spacing w:val="-1"/>
        </w:rPr>
        <w:t xml:space="preserve"> </w:t>
      </w:r>
      <w:r w:rsidRPr="00EB2BD8">
        <w:t>guest</w:t>
      </w:r>
      <w:r w:rsidRPr="00EB2BD8">
        <w:rPr>
          <w:spacing w:val="-1"/>
        </w:rPr>
        <w:t xml:space="preserve"> </w:t>
      </w:r>
      <w:r w:rsidRPr="00EB2BD8">
        <w:t>speaker</w:t>
      </w:r>
      <w:r w:rsidRPr="00EB2BD8">
        <w:rPr>
          <w:spacing w:val="-1"/>
        </w:rPr>
        <w:t xml:space="preserve"> </w:t>
      </w:r>
      <w:r w:rsidRPr="00EB2BD8">
        <w:t>John</w:t>
      </w:r>
      <w:r w:rsidRPr="00EB2BD8">
        <w:rPr>
          <w:spacing w:val="-1"/>
        </w:rPr>
        <w:t xml:space="preserve"> </w:t>
      </w:r>
      <w:r w:rsidRPr="00EB2BD8">
        <w:t>Briggs.</w:t>
      </w:r>
      <w:r w:rsidRPr="00EB2BD8">
        <w:rPr>
          <w:spacing w:val="-1"/>
        </w:rPr>
        <w:t xml:space="preserve"> </w:t>
      </w:r>
      <w:r w:rsidRPr="00EB2BD8">
        <w:t>A</w:t>
      </w:r>
      <w:r w:rsidRPr="00EB2BD8">
        <w:rPr>
          <w:spacing w:val="-1"/>
        </w:rPr>
        <w:t xml:space="preserve"> </w:t>
      </w:r>
      <w:r w:rsidRPr="00EB2BD8">
        <w:t>renowned speaker with more than 25 years’ experience, Mr</w:t>
      </w:r>
    </w:p>
    <w:p w14:paraId="1940DBB8" w14:textId="77777777" w:rsidR="00084F36" w:rsidRPr="00EB2BD8" w:rsidRDefault="00EB2BD8">
      <w:pPr>
        <w:pStyle w:val="BodyText"/>
        <w:spacing w:line="261" w:lineRule="auto"/>
        <w:ind w:left="850"/>
      </w:pPr>
      <w:r w:rsidRPr="00EB2BD8">
        <w:t>Briggs is a passionate advocate for Indigenous culture, inclusion,</w:t>
      </w:r>
      <w:r w:rsidRPr="00EB2BD8">
        <w:rPr>
          <w:spacing w:val="-3"/>
        </w:rPr>
        <w:t xml:space="preserve"> </w:t>
      </w:r>
      <w:r w:rsidRPr="00EB2BD8">
        <w:t>employment</w:t>
      </w:r>
      <w:r w:rsidRPr="00EB2BD8">
        <w:rPr>
          <w:spacing w:val="-3"/>
        </w:rPr>
        <w:t xml:space="preserve"> </w:t>
      </w:r>
      <w:r w:rsidRPr="00EB2BD8">
        <w:t>and</w:t>
      </w:r>
      <w:r w:rsidRPr="00EB2BD8">
        <w:rPr>
          <w:spacing w:val="-3"/>
        </w:rPr>
        <w:t xml:space="preserve"> </w:t>
      </w:r>
      <w:r w:rsidRPr="00EB2BD8">
        <w:t>engagement</w:t>
      </w:r>
      <w:r w:rsidRPr="00EB2BD8">
        <w:rPr>
          <w:spacing w:val="-3"/>
        </w:rPr>
        <w:t xml:space="preserve"> </w:t>
      </w:r>
      <w:r w:rsidRPr="00EB2BD8">
        <w:t>and</w:t>
      </w:r>
      <w:r w:rsidRPr="00EB2BD8">
        <w:rPr>
          <w:spacing w:val="-3"/>
        </w:rPr>
        <w:t xml:space="preserve"> </w:t>
      </w:r>
      <w:r w:rsidRPr="00EB2BD8">
        <w:t>shared</w:t>
      </w:r>
      <w:r w:rsidRPr="00EB2BD8">
        <w:rPr>
          <w:spacing w:val="-3"/>
        </w:rPr>
        <w:t xml:space="preserve"> </w:t>
      </w:r>
      <w:r w:rsidRPr="00EB2BD8">
        <w:t>his insights with our people.</w:t>
      </w:r>
    </w:p>
    <w:p w14:paraId="6839D551" w14:textId="77777777" w:rsidR="00084F36" w:rsidRPr="00EB2BD8" w:rsidRDefault="00EB2BD8">
      <w:pPr>
        <w:spacing w:before="1"/>
        <w:rPr>
          <w:sz w:val="20"/>
        </w:rPr>
      </w:pPr>
      <w:r w:rsidRPr="00EB2BD8">
        <w:br w:type="column"/>
      </w:r>
    </w:p>
    <w:p w14:paraId="0DB97C77" w14:textId="77777777" w:rsidR="00084F36" w:rsidRPr="00EB2BD8" w:rsidRDefault="00EB2BD8">
      <w:pPr>
        <w:pStyle w:val="BodyText"/>
        <w:spacing w:line="261" w:lineRule="auto"/>
        <w:ind w:left="418" w:right="886"/>
      </w:pPr>
      <w:r w:rsidRPr="00EB2BD8">
        <w:t>In March 2023, the VBA celebrated International Women’s Day with a special event that featured a</w:t>
      </w:r>
      <w:r w:rsidRPr="00EB2BD8">
        <w:rPr>
          <w:spacing w:val="80"/>
        </w:rPr>
        <w:t xml:space="preserve"> </w:t>
      </w:r>
      <w:r w:rsidRPr="00EB2BD8">
        <w:t>guest speaker from Fitted for Work. Raising awareness on the 2023 theme #EmbraceEquality, the speaker provided insight into the challenges faced by some women gaining secure employment, independence</w:t>
      </w:r>
      <w:r w:rsidRPr="00EB2BD8">
        <w:rPr>
          <w:spacing w:val="80"/>
        </w:rPr>
        <w:t xml:space="preserve"> </w:t>
      </w:r>
      <w:r w:rsidRPr="00EB2BD8">
        <w:t>and becoming work ready. Our people also showcased some of their personal stories to celebrate our diverse workforce and rich experiences at the VBA. A clothing donation</w:t>
      </w:r>
      <w:r w:rsidRPr="00EB2BD8">
        <w:rPr>
          <w:spacing w:val="-4"/>
        </w:rPr>
        <w:t xml:space="preserve"> </w:t>
      </w:r>
      <w:r w:rsidRPr="00EB2BD8">
        <w:t>drive</w:t>
      </w:r>
      <w:r w:rsidRPr="00EB2BD8">
        <w:rPr>
          <w:spacing w:val="-4"/>
        </w:rPr>
        <w:t xml:space="preserve"> </w:t>
      </w:r>
      <w:r w:rsidRPr="00EB2BD8">
        <w:t>was</w:t>
      </w:r>
      <w:r w:rsidRPr="00EB2BD8">
        <w:rPr>
          <w:spacing w:val="-4"/>
        </w:rPr>
        <w:t xml:space="preserve"> </w:t>
      </w:r>
      <w:r w:rsidRPr="00EB2BD8">
        <w:t>also</w:t>
      </w:r>
      <w:r w:rsidRPr="00EB2BD8">
        <w:rPr>
          <w:spacing w:val="-4"/>
        </w:rPr>
        <w:t xml:space="preserve"> </w:t>
      </w:r>
      <w:r w:rsidRPr="00EB2BD8">
        <w:t>organised</w:t>
      </w:r>
      <w:r w:rsidRPr="00EB2BD8">
        <w:rPr>
          <w:spacing w:val="-4"/>
        </w:rPr>
        <w:t xml:space="preserve"> </w:t>
      </w:r>
      <w:r w:rsidRPr="00EB2BD8">
        <w:t>so</w:t>
      </w:r>
      <w:r w:rsidRPr="00EB2BD8">
        <w:rPr>
          <w:spacing w:val="-4"/>
        </w:rPr>
        <w:t xml:space="preserve"> </w:t>
      </w:r>
      <w:r w:rsidRPr="00EB2BD8">
        <w:t>VBA</w:t>
      </w:r>
      <w:r w:rsidRPr="00EB2BD8">
        <w:rPr>
          <w:spacing w:val="-4"/>
        </w:rPr>
        <w:t xml:space="preserve"> </w:t>
      </w:r>
      <w:r w:rsidRPr="00EB2BD8">
        <w:t>people</w:t>
      </w:r>
      <w:r w:rsidRPr="00EB2BD8">
        <w:rPr>
          <w:spacing w:val="-4"/>
        </w:rPr>
        <w:t xml:space="preserve"> </w:t>
      </w:r>
      <w:r w:rsidRPr="00EB2BD8">
        <w:t>could show their support for Fitted for Work.</w:t>
      </w:r>
    </w:p>
    <w:p w14:paraId="1FE89442" w14:textId="77777777" w:rsidR="00084F36" w:rsidRPr="00EB2BD8" w:rsidRDefault="00EB2BD8">
      <w:pPr>
        <w:pStyle w:val="BodyText"/>
        <w:spacing w:before="102" w:line="261" w:lineRule="auto"/>
        <w:ind w:left="418" w:right="886"/>
      </w:pPr>
      <w:r w:rsidRPr="00EB2BD8">
        <w:t>In</w:t>
      </w:r>
      <w:r w:rsidRPr="00EB2BD8">
        <w:rPr>
          <w:spacing w:val="-8"/>
        </w:rPr>
        <w:t xml:space="preserve"> </w:t>
      </w:r>
      <w:r w:rsidRPr="00EB2BD8">
        <w:t>May</w:t>
      </w:r>
      <w:r w:rsidRPr="00EB2BD8">
        <w:rPr>
          <w:spacing w:val="-8"/>
        </w:rPr>
        <w:t xml:space="preserve"> </w:t>
      </w:r>
      <w:r w:rsidRPr="00EB2BD8">
        <w:t>2023,</w:t>
      </w:r>
      <w:r w:rsidRPr="00EB2BD8">
        <w:rPr>
          <w:spacing w:val="-8"/>
        </w:rPr>
        <w:t xml:space="preserve"> </w:t>
      </w:r>
      <w:r w:rsidRPr="00EB2BD8">
        <w:t>the</w:t>
      </w:r>
      <w:r w:rsidRPr="00EB2BD8">
        <w:rPr>
          <w:spacing w:val="-8"/>
        </w:rPr>
        <w:t xml:space="preserve"> </w:t>
      </w:r>
      <w:r w:rsidRPr="00EB2BD8">
        <w:t>VBA</w:t>
      </w:r>
      <w:r w:rsidRPr="00EB2BD8">
        <w:rPr>
          <w:spacing w:val="-8"/>
        </w:rPr>
        <w:t xml:space="preserve"> </w:t>
      </w:r>
      <w:r w:rsidRPr="00EB2BD8">
        <w:t>re-engaged</w:t>
      </w:r>
      <w:r w:rsidRPr="00EB2BD8">
        <w:rPr>
          <w:spacing w:val="-8"/>
        </w:rPr>
        <w:t xml:space="preserve"> </w:t>
      </w:r>
      <w:r w:rsidRPr="00EB2BD8">
        <w:t>Mr</w:t>
      </w:r>
      <w:r w:rsidRPr="00EB2BD8">
        <w:rPr>
          <w:spacing w:val="-8"/>
        </w:rPr>
        <w:t xml:space="preserve"> </w:t>
      </w:r>
      <w:r w:rsidRPr="00EB2BD8">
        <w:t>Briggs</w:t>
      </w:r>
      <w:r w:rsidRPr="00EB2BD8">
        <w:rPr>
          <w:spacing w:val="-8"/>
        </w:rPr>
        <w:t xml:space="preserve"> </w:t>
      </w:r>
      <w:r w:rsidRPr="00EB2BD8">
        <w:t>for</w:t>
      </w:r>
      <w:r w:rsidRPr="00EB2BD8">
        <w:rPr>
          <w:spacing w:val="-8"/>
        </w:rPr>
        <w:t xml:space="preserve"> </w:t>
      </w:r>
      <w:r w:rsidRPr="00EB2BD8">
        <w:t>another cultural awareness workshop, this time in recognition of Reconciliation Week, with a session that explored Australian</w:t>
      </w:r>
      <w:r w:rsidRPr="00EB2BD8">
        <w:rPr>
          <w:spacing w:val="-6"/>
        </w:rPr>
        <w:t xml:space="preserve"> </w:t>
      </w:r>
      <w:r w:rsidRPr="00EB2BD8">
        <w:t>history,</w:t>
      </w:r>
      <w:r w:rsidRPr="00EB2BD8">
        <w:rPr>
          <w:spacing w:val="-6"/>
        </w:rPr>
        <w:t xml:space="preserve"> </w:t>
      </w:r>
      <w:r w:rsidRPr="00EB2BD8">
        <w:t>the</w:t>
      </w:r>
      <w:r w:rsidRPr="00EB2BD8">
        <w:rPr>
          <w:spacing w:val="-6"/>
        </w:rPr>
        <w:t xml:space="preserve"> </w:t>
      </w:r>
      <w:r w:rsidRPr="00EB2BD8">
        <w:t>diversity</w:t>
      </w:r>
      <w:r w:rsidRPr="00EB2BD8">
        <w:rPr>
          <w:spacing w:val="-6"/>
        </w:rPr>
        <w:t xml:space="preserve"> </w:t>
      </w:r>
      <w:r w:rsidRPr="00EB2BD8">
        <w:t>of</w:t>
      </w:r>
      <w:r w:rsidRPr="00EB2BD8">
        <w:rPr>
          <w:spacing w:val="-6"/>
        </w:rPr>
        <w:t xml:space="preserve"> </w:t>
      </w:r>
      <w:r w:rsidRPr="00EB2BD8">
        <w:t>Indigenous</w:t>
      </w:r>
      <w:r w:rsidRPr="00EB2BD8">
        <w:rPr>
          <w:spacing w:val="-6"/>
        </w:rPr>
        <w:t xml:space="preserve"> </w:t>
      </w:r>
      <w:r w:rsidRPr="00EB2BD8">
        <w:t>cultures, the consequences of racism and ways in which VBA people can support Reconciliation in our country.</w:t>
      </w:r>
    </w:p>
    <w:p w14:paraId="388C7634" w14:textId="77777777" w:rsidR="00084F36" w:rsidRPr="00EB2BD8" w:rsidRDefault="00084F36">
      <w:pPr>
        <w:spacing w:line="261" w:lineRule="auto"/>
        <w:sectPr w:rsidR="00084F36" w:rsidRPr="00EB2BD8" w:rsidSect="006D75B2">
          <w:type w:val="continuous"/>
          <w:pgSz w:w="11910" w:h="16840"/>
          <w:pgMar w:top="1920" w:right="0" w:bottom="280" w:left="0" w:header="0" w:footer="528" w:gutter="0"/>
          <w:cols w:num="2" w:space="720" w:equalWidth="0">
            <w:col w:w="5721" w:space="40"/>
            <w:col w:w="6149"/>
          </w:cols>
        </w:sectPr>
      </w:pPr>
    </w:p>
    <w:p w14:paraId="7F9F74A4" w14:textId="77777777" w:rsidR="00084F36" w:rsidRPr="00EB2BD8" w:rsidRDefault="00084F36">
      <w:pPr>
        <w:pStyle w:val="BodyText"/>
        <w:rPr>
          <w:sz w:val="20"/>
        </w:rPr>
      </w:pPr>
    </w:p>
    <w:p w14:paraId="234AA9EC" w14:textId="77777777" w:rsidR="00084F36" w:rsidRPr="00EB2BD8" w:rsidRDefault="00084F36">
      <w:pPr>
        <w:pStyle w:val="BodyText"/>
        <w:rPr>
          <w:sz w:val="20"/>
        </w:rPr>
      </w:pPr>
    </w:p>
    <w:p w14:paraId="02657D68" w14:textId="77777777" w:rsidR="00084F36" w:rsidRPr="00EB2BD8" w:rsidRDefault="00084F36">
      <w:pPr>
        <w:pStyle w:val="BodyText"/>
        <w:rPr>
          <w:sz w:val="20"/>
        </w:rPr>
      </w:pPr>
    </w:p>
    <w:p w14:paraId="0A88BAE1" w14:textId="77777777" w:rsidR="00084F36" w:rsidRPr="00EB2BD8" w:rsidRDefault="00084F36">
      <w:pPr>
        <w:pStyle w:val="BodyText"/>
        <w:rPr>
          <w:sz w:val="20"/>
        </w:rPr>
      </w:pPr>
    </w:p>
    <w:p w14:paraId="3A75F0C7" w14:textId="77777777" w:rsidR="00084F36" w:rsidRPr="00EB2BD8" w:rsidRDefault="00084F36">
      <w:pPr>
        <w:pStyle w:val="BodyText"/>
        <w:spacing w:before="1"/>
        <w:rPr>
          <w:sz w:val="17"/>
        </w:rPr>
      </w:pPr>
    </w:p>
    <w:p w14:paraId="59A2E51D" w14:textId="77777777" w:rsidR="00084F36" w:rsidRPr="00EB2BD8" w:rsidRDefault="00084F36">
      <w:pPr>
        <w:rPr>
          <w:sz w:val="17"/>
        </w:rPr>
        <w:sectPr w:rsidR="00084F36" w:rsidRPr="00EB2BD8" w:rsidSect="006D75B2">
          <w:headerReference w:type="even" r:id="rId184"/>
          <w:headerReference w:type="default" r:id="rId185"/>
          <w:footerReference w:type="even" r:id="rId186"/>
          <w:footerReference w:type="default" r:id="rId187"/>
          <w:pgSz w:w="11910" w:h="16840"/>
          <w:pgMar w:top="1080" w:right="0" w:bottom="720" w:left="0" w:header="0" w:footer="528" w:gutter="0"/>
          <w:pgNumType w:start="67"/>
          <w:cols w:space="720"/>
        </w:sectPr>
      </w:pPr>
    </w:p>
    <w:p w14:paraId="593C6A7E" w14:textId="7B5587D8" w:rsidR="00084F36" w:rsidRPr="00EB2BD8" w:rsidRDefault="00EB2BD8" w:rsidP="00EB2BD8">
      <w:pPr>
        <w:pStyle w:val="Heading2"/>
      </w:pPr>
      <w:bookmarkStart w:id="157" w:name="_Toc150762459"/>
      <w:r w:rsidRPr="00EB2BD8">
        <w:t>Flexibility</w:t>
      </w:r>
      <w:r w:rsidRPr="00EB2BD8">
        <w:rPr>
          <w:spacing w:val="-11"/>
        </w:rPr>
        <w:t xml:space="preserve"> </w:t>
      </w:r>
      <w:r w:rsidRPr="00EB2BD8">
        <w:t>and</w:t>
      </w:r>
      <w:r w:rsidRPr="00EB2BD8">
        <w:rPr>
          <w:spacing w:val="-11"/>
        </w:rPr>
        <w:t xml:space="preserve"> </w:t>
      </w:r>
      <w:r w:rsidRPr="00EB2BD8">
        <w:t>hybrid</w:t>
      </w:r>
      <w:r w:rsidRPr="00EB2BD8">
        <w:rPr>
          <w:spacing w:val="-11"/>
        </w:rPr>
        <w:t xml:space="preserve"> </w:t>
      </w:r>
      <w:r w:rsidRPr="00EB2BD8">
        <w:t>working</w:t>
      </w:r>
      <w:bookmarkEnd w:id="157"/>
    </w:p>
    <w:p w14:paraId="7DCE3F42" w14:textId="77777777" w:rsidR="00084F36" w:rsidRPr="00EB2BD8" w:rsidRDefault="00EB2BD8">
      <w:pPr>
        <w:pStyle w:val="BodyText"/>
        <w:spacing w:before="272" w:line="261" w:lineRule="auto"/>
        <w:ind w:left="850"/>
      </w:pPr>
      <w:r w:rsidRPr="00EB2BD8">
        <w:rPr>
          <w:w w:val="105"/>
        </w:rPr>
        <w:t>Hybrid</w:t>
      </w:r>
      <w:r w:rsidRPr="00EB2BD8">
        <w:rPr>
          <w:spacing w:val="-14"/>
          <w:w w:val="105"/>
        </w:rPr>
        <w:t xml:space="preserve"> </w:t>
      </w:r>
      <w:r w:rsidRPr="00EB2BD8">
        <w:rPr>
          <w:w w:val="105"/>
        </w:rPr>
        <w:t>working</w:t>
      </w:r>
      <w:r w:rsidRPr="00EB2BD8">
        <w:rPr>
          <w:spacing w:val="-14"/>
          <w:w w:val="105"/>
        </w:rPr>
        <w:t xml:space="preserve"> </w:t>
      </w:r>
      <w:r w:rsidRPr="00EB2BD8">
        <w:rPr>
          <w:w w:val="105"/>
        </w:rPr>
        <w:t>continues</w:t>
      </w:r>
      <w:r w:rsidRPr="00EB2BD8">
        <w:rPr>
          <w:spacing w:val="-14"/>
          <w:w w:val="105"/>
        </w:rPr>
        <w:t xml:space="preserve"> </w:t>
      </w:r>
      <w:r w:rsidRPr="00EB2BD8">
        <w:rPr>
          <w:w w:val="105"/>
        </w:rPr>
        <w:t>as</w:t>
      </w:r>
      <w:r w:rsidRPr="00EB2BD8">
        <w:rPr>
          <w:spacing w:val="-14"/>
          <w:w w:val="105"/>
        </w:rPr>
        <w:t xml:space="preserve"> </w:t>
      </w:r>
      <w:r w:rsidRPr="00EB2BD8">
        <w:rPr>
          <w:w w:val="105"/>
        </w:rPr>
        <w:t>the</w:t>
      </w:r>
      <w:r w:rsidRPr="00EB2BD8">
        <w:rPr>
          <w:spacing w:val="-14"/>
          <w:w w:val="105"/>
        </w:rPr>
        <w:t xml:space="preserve"> </w:t>
      </w:r>
      <w:r w:rsidRPr="00EB2BD8">
        <w:rPr>
          <w:w w:val="105"/>
        </w:rPr>
        <w:t>new</w:t>
      </w:r>
      <w:r w:rsidRPr="00EB2BD8">
        <w:rPr>
          <w:spacing w:val="-14"/>
          <w:w w:val="105"/>
        </w:rPr>
        <w:t xml:space="preserve"> </w:t>
      </w:r>
      <w:r w:rsidRPr="00EB2BD8">
        <w:rPr>
          <w:w w:val="105"/>
        </w:rPr>
        <w:t>norm</w:t>
      </w:r>
      <w:r w:rsidRPr="00EB2BD8">
        <w:rPr>
          <w:spacing w:val="-14"/>
          <w:w w:val="105"/>
        </w:rPr>
        <w:t xml:space="preserve"> </w:t>
      </w:r>
      <w:r w:rsidRPr="00EB2BD8">
        <w:rPr>
          <w:w w:val="105"/>
        </w:rPr>
        <w:t>with flexibility</w:t>
      </w:r>
      <w:r w:rsidRPr="00EB2BD8">
        <w:rPr>
          <w:spacing w:val="-15"/>
          <w:w w:val="105"/>
        </w:rPr>
        <w:t xml:space="preserve"> </w:t>
      </w:r>
      <w:r w:rsidRPr="00EB2BD8">
        <w:rPr>
          <w:w w:val="105"/>
        </w:rPr>
        <w:t>firmly</w:t>
      </w:r>
      <w:r w:rsidRPr="00EB2BD8">
        <w:rPr>
          <w:spacing w:val="-15"/>
          <w:w w:val="105"/>
        </w:rPr>
        <w:t xml:space="preserve"> </w:t>
      </w:r>
      <w:r w:rsidRPr="00EB2BD8">
        <w:rPr>
          <w:w w:val="105"/>
        </w:rPr>
        <w:t>embedded</w:t>
      </w:r>
      <w:r w:rsidRPr="00EB2BD8">
        <w:rPr>
          <w:spacing w:val="-15"/>
          <w:w w:val="105"/>
        </w:rPr>
        <w:t xml:space="preserve"> </w:t>
      </w:r>
      <w:r w:rsidRPr="00EB2BD8">
        <w:rPr>
          <w:w w:val="105"/>
        </w:rPr>
        <w:t>as</w:t>
      </w:r>
      <w:r w:rsidRPr="00EB2BD8">
        <w:rPr>
          <w:spacing w:val="-15"/>
          <w:w w:val="105"/>
        </w:rPr>
        <w:t xml:space="preserve"> </w:t>
      </w:r>
      <w:r w:rsidRPr="00EB2BD8">
        <w:rPr>
          <w:w w:val="105"/>
        </w:rPr>
        <w:t>a</w:t>
      </w:r>
      <w:r w:rsidRPr="00EB2BD8">
        <w:rPr>
          <w:spacing w:val="-15"/>
          <w:w w:val="105"/>
        </w:rPr>
        <w:t xml:space="preserve"> </w:t>
      </w:r>
      <w:r w:rsidRPr="00EB2BD8">
        <w:rPr>
          <w:w w:val="105"/>
        </w:rPr>
        <w:t>key</w:t>
      </w:r>
      <w:r w:rsidRPr="00EB2BD8">
        <w:rPr>
          <w:spacing w:val="-15"/>
          <w:w w:val="105"/>
        </w:rPr>
        <w:t xml:space="preserve"> </w:t>
      </w:r>
      <w:r w:rsidRPr="00EB2BD8">
        <w:rPr>
          <w:w w:val="105"/>
        </w:rPr>
        <w:t>principle</w:t>
      </w:r>
      <w:r w:rsidRPr="00EB2BD8">
        <w:rPr>
          <w:spacing w:val="-15"/>
          <w:w w:val="105"/>
        </w:rPr>
        <w:t xml:space="preserve"> </w:t>
      </w:r>
      <w:r w:rsidRPr="00EB2BD8">
        <w:rPr>
          <w:w w:val="105"/>
        </w:rPr>
        <w:t>for working</w:t>
      </w:r>
      <w:r w:rsidRPr="00EB2BD8">
        <w:rPr>
          <w:spacing w:val="-11"/>
          <w:w w:val="105"/>
        </w:rPr>
        <w:t xml:space="preserve"> </w:t>
      </w:r>
      <w:r w:rsidRPr="00EB2BD8">
        <w:rPr>
          <w:w w:val="105"/>
        </w:rPr>
        <w:t>at</w:t>
      </w:r>
      <w:r w:rsidRPr="00EB2BD8">
        <w:rPr>
          <w:spacing w:val="-11"/>
          <w:w w:val="105"/>
        </w:rPr>
        <w:t xml:space="preserve"> </w:t>
      </w:r>
      <w:r w:rsidRPr="00EB2BD8">
        <w:rPr>
          <w:w w:val="105"/>
        </w:rPr>
        <w:t>the</w:t>
      </w:r>
      <w:r w:rsidRPr="00EB2BD8">
        <w:rPr>
          <w:spacing w:val="-11"/>
          <w:w w:val="105"/>
        </w:rPr>
        <w:t xml:space="preserve"> </w:t>
      </w:r>
      <w:r w:rsidRPr="00EB2BD8">
        <w:rPr>
          <w:w w:val="105"/>
        </w:rPr>
        <w:t>VBA.</w:t>
      </w:r>
      <w:r w:rsidRPr="00EB2BD8">
        <w:rPr>
          <w:spacing w:val="-11"/>
          <w:w w:val="105"/>
        </w:rPr>
        <w:t xml:space="preserve"> </w:t>
      </w:r>
      <w:r w:rsidRPr="00EB2BD8">
        <w:rPr>
          <w:w w:val="105"/>
        </w:rPr>
        <w:t>The</w:t>
      </w:r>
      <w:r w:rsidRPr="00EB2BD8">
        <w:rPr>
          <w:spacing w:val="-11"/>
          <w:w w:val="105"/>
        </w:rPr>
        <w:t xml:space="preserve"> </w:t>
      </w:r>
      <w:r w:rsidRPr="00EB2BD8">
        <w:rPr>
          <w:w w:val="105"/>
        </w:rPr>
        <w:t>VBA</w:t>
      </w:r>
      <w:r w:rsidRPr="00EB2BD8">
        <w:rPr>
          <w:spacing w:val="-11"/>
          <w:w w:val="105"/>
        </w:rPr>
        <w:t xml:space="preserve"> </w:t>
      </w:r>
      <w:r w:rsidRPr="00EB2BD8">
        <w:rPr>
          <w:w w:val="105"/>
        </w:rPr>
        <w:t>promotes</w:t>
      </w:r>
      <w:r w:rsidRPr="00EB2BD8">
        <w:rPr>
          <w:spacing w:val="-11"/>
          <w:w w:val="105"/>
        </w:rPr>
        <w:t xml:space="preserve"> </w:t>
      </w:r>
      <w:r w:rsidRPr="00EB2BD8">
        <w:rPr>
          <w:w w:val="105"/>
        </w:rPr>
        <w:t>a</w:t>
      </w:r>
      <w:r w:rsidRPr="00EB2BD8">
        <w:rPr>
          <w:spacing w:val="-11"/>
          <w:w w:val="105"/>
        </w:rPr>
        <w:t xml:space="preserve"> </w:t>
      </w:r>
      <w:r w:rsidRPr="00EB2BD8">
        <w:rPr>
          <w:w w:val="105"/>
        </w:rPr>
        <w:t>range</w:t>
      </w:r>
      <w:r w:rsidRPr="00EB2BD8">
        <w:rPr>
          <w:spacing w:val="-11"/>
          <w:w w:val="105"/>
        </w:rPr>
        <w:t xml:space="preserve"> </w:t>
      </w:r>
      <w:r w:rsidRPr="00EB2BD8">
        <w:rPr>
          <w:w w:val="105"/>
        </w:rPr>
        <w:t xml:space="preserve">of </w:t>
      </w:r>
      <w:r w:rsidRPr="00EB2BD8">
        <w:t>short</w:t>
      </w:r>
      <w:r w:rsidRPr="00EB2BD8">
        <w:rPr>
          <w:spacing w:val="-15"/>
        </w:rPr>
        <w:t xml:space="preserve"> </w:t>
      </w:r>
      <w:r w:rsidRPr="00EB2BD8">
        <w:t>and</w:t>
      </w:r>
      <w:r w:rsidRPr="00EB2BD8">
        <w:rPr>
          <w:spacing w:val="-14"/>
        </w:rPr>
        <w:t xml:space="preserve"> </w:t>
      </w:r>
      <w:r w:rsidRPr="00EB2BD8">
        <w:t>long-term</w:t>
      </w:r>
      <w:r w:rsidRPr="00EB2BD8">
        <w:rPr>
          <w:spacing w:val="-14"/>
        </w:rPr>
        <w:t xml:space="preserve"> </w:t>
      </w:r>
      <w:r w:rsidRPr="00EB2BD8">
        <w:t>flexible</w:t>
      </w:r>
      <w:r w:rsidRPr="00EB2BD8">
        <w:rPr>
          <w:spacing w:val="-14"/>
        </w:rPr>
        <w:t xml:space="preserve"> </w:t>
      </w:r>
      <w:r w:rsidRPr="00EB2BD8">
        <w:t>work</w:t>
      </w:r>
      <w:r w:rsidRPr="00EB2BD8">
        <w:rPr>
          <w:spacing w:val="-15"/>
        </w:rPr>
        <w:t xml:space="preserve"> </w:t>
      </w:r>
      <w:r w:rsidRPr="00EB2BD8">
        <w:t>options</w:t>
      </w:r>
      <w:r w:rsidRPr="00EB2BD8">
        <w:rPr>
          <w:spacing w:val="-14"/>
        </w:rPr>
        <w:t xml:space="preserve"> </w:t>
      </w:r>
      <w:r w:rsidRPr="00EB2BD8">
        <w:t>including</w:t>
      </w:r>
      <w:r w:rsidRPr="00EB2BD8">
        <w:rPr>
          <w:spacing w:val="-14"/>
        </w:rPr>
        <w:t xml:space="preserve"> </w:t>
      </w:r>
      <w:r w:rsidRPr="00EB2BD8">
        <w:t xml:space="preserve">job sharing, part-time work, flexible start and finish times and work hours, compressed work arrangements and </w:t>
      </w:r>
      <w:r w:rsidRPr="00EB2BD8">
        <w:rPr>
          <w:w w:val="105"/>
        </w:rPr>
        <w:t>the</w:t>
      </w:r>
      <w:r w:rsidRPr="00EB2BD8">
        <w:rPr>
          <w:spacing w:val="-2"/>
          <w:w w:val="105"/>
        </w:rPr>
        <w:t xml:space="preserve"> </w:t>
      </w:r>
      <w:r w:rsidRPr="00EB2BD8">
        <w:rPr>
          <w:w w:val="105"/>
        </w:rPr>
        <w:t>ability</w:t>
      </w:r>
      <w:r w:rsidRPr="00EB2BD8">
        <w:rPr>
          <w:spacing w:val="-2"/>
          <w:w w:val="105"/>
        </w:rPr>
        <w:t xml:space="preserve"> </w:t>
      </w:r>
      <w:r w:rsidRPr="00EB2BD8">
        <w:rPr>
          <w:w w:val="105"/>
        </w:rPr>
        <w:t>to</w:t>
      </w:r>
      <w:r w:rsidRPr="00EB2BD8">
        <w:rPr>
          <w:spacing w:val="-2"/>
          <w:w w:val="105"/>
        </w:rPr>
        <w:t xml:space="preserve"> </w:t>
      </w:r>
      <w:r w:rsidRPr="00EB2BD8">
        <w:rPr>
          <w:w w:val="105"/>
        </w:rPr>
        <w:t>purchase</w:t>
      </w:r>
      <w:r w:rsidRPr="00EB2BD8">
        <w:rPr>
          <w:spacing w:val="-2"/>
          <w:w w:val="105"/>
        </w:rPr>
        <w:t xml:space="preserve"> </w:t>
      </w:r>
      <w:r w:rsidRPr="00EB2BD8">
        <w:rPr>
          <w:w w:val="105"/>
        </w:rPr>
        <w:t>additional</w:t>
      </w:r>
      <w:r w:rsidRPr="00EB2BD8">
        <w:rPr>
          <w:spacing w:val="-2"/>
          <w:w w:val="105"/>
        </w:rPr>
        <w:t xml:space="preserve"> </w:t>
      </w:r>
      <w:r w:rsidRPr="00EB2BD8">
        <w:rPr>
          <w:w w:val="105"/>
        </w:rPr>
        <w:t>leave.</w:t>
      </w:r>
    </w:p>
    <w:p w14:paraId="6C5DBEDC" w14:textId="77777777" w:rsidR="00084F36" w:rsidRPr="00EB2BD8" w:rsidRDefault="00EB2BD8">
      <w:pPr>
        <w:pStyle w:val="BodyText"/>
        <w:spacing w:before="106" w:line="261" w:lineRule="auto"/>
        <w:ind w:left="850"/>
      </w:pPr>
      <w:r w:rsidRPr="00EB2BD8">
        <w:t>As</w:t>
      </w:r>
      <w:r w:rsidRPr="00EB2BD8">
        <w:rPr>
          <w:spacing w:val="-14"/>
        </w:rPr>
        <w:t xml:space="preserve"> </w:t>
      </w:r>
      <w:r w:rsidRPr="00EB2BD8">
        <w:t>of</w:t>
      </w:r>
      <w:r w:rsidRPr="00EB2BD8">
        <w:rPr>
          <w:spacing w:val="-14"/>
        </w:rPr>
        <w:t xml:space="preserve"> </w:t>
      </w:r>
      <w:r w:rsidRPr="00EB2BD8">
        <w:t>30</w:t>
      </w:r>
      <w:r w:rsidRPr="00EB2BD8">
        <w:rPr>
          <w:spacing w:val="-14"/>
        </w:rPr>
        <w:t xml:space="preserve"> </w:t>
      </w:r>
      <w:r w:rsidRPr="00EB2BD8">
        <w:t>June</w:t>
      </w:r>
      <w:r w:rsidRPr="00EB2BD8">
        <w:rPr>
          <w:spacing w:val="-14"/>
        </w:rPr>
        <w:t xml:space="preserve"> </w:t>
      </w:r>
      <w:r w:rsidRPr="00EB2BD8">
        <w:t>2023,</w:t>
      </w:r>
      <w:r w:rsidRPr="00EB2BD8">
        <w:rPr>
          <w:spacing w:val="-14"/>
        </w:rPr>
        <w:t xml:space="preserve"> </w:t>
      </w:r>
      <w:r w:rsidRPr="00EB2BD8">
        <w:t>the</w:t>
      </w:r>
      <w:r w:rsidRPr="00EB2BD8">
        <w:rPr>
          <w:spacing w:val="-14"/>
        </w:rPr>
        <w:t xml:space="preserve"> </w:t>
      </w:r>
      <w:r w:rsidRPr="00EB2BD8">
        <w:t>VBA</w:t>
      </w:r>
      <w:r w:rsidRPr="00EB2BD8">
        <w:rPr>
          <w:spacing w:val="-14"/>
        </w:rPr>
        <w:t xml:space="preserve"> </w:t>
      </w:r>
      <w:r w:rsidRPr="00EB2BD8">
        <w:t>had</w:t>
      </w:r>
      <w:r w:rsidRPr="00EB2BD8">
        <w:rPr>
          <w:spacing w:val="-14"/>
        </w:rPr>
        <w:t xml:space="preserve"> </w:t>
      </w:r>
      <w:r w:rsidRPr="00EB2BD8">
        <w:t>33</w:t>
      </w:r>
      <w:r w:rsidRPr="00EB2BD8">
        <w:rPr>
          <w:spacing w:val="-14"/>
        </w:rPr>
        <w:t xml:space="preserve"> </w:t>
      </w:r>
      <w:r w:rsidRPr="00EB2BD8">
        <w:t>employees</w:t>
      </w:r>
      <w:r w:rsidRPr="00EB2BD8">
        <w:rPr>
          <w:spacing w:val="-14"/>
        </w:rPr>
        <w:t xml:space="preserve"> </w:t>
      </w:r>
      <w:r w:rsidRPr="00EB2BD8">
        <w:t>working Part Time; 120 employees on Compressed Working Arrangements and 16 employees who had purchased extra annual leave in the previous 12 months.</w:t>
      </w:r>
    </w:p>
    <w:p w14:paraId="636FEFBC" w14:textId="77777777" w:rsidR="00084F36" w:rsidRPr="00EB2BD8" w:rsidRDefault="00EB2BD8">
      <w:pPr>
        <w:pStyle w:val="BodyText"/>
        <w:spacing w:before="109" w:line="261" w:lineRule="auto"/>
        <w:ind w:left="850" w:right="23"/>
      </w:pPr>
      <w:r w:rsidRPr="00EB2BD8">
        <w:t>The</w:t>
      </w:r>
      <w:r w:rsidRPr="00EB2BD8">
        <w:rPr>
          <w:spacing w:val="-2"/>
        </w:rPr>
        <w:t xml:space="preserve"> </w:t>
      </w:r>
      <w:r w:rsidRPr="00EB2BD8">
        <w:t>VBA</w:t>
      </w:r>
      <w:r w:rsidRPr="00EB2BD8">
        <w:rPr>
          <w:spacing w:val="-2"/>
        </w:rPr>
        <w:t xml:space="preserve"> </w:t>
      </w:r>
      <w:r w:rsidRPr="00EB2BD8">
        <w:t>successfully</w:t>
      </w:r>
      <w:r w:rsidRPr="00EB2BD8">
        <w:rPr>
          <w:spacing w:val="-2"/>
        </w:rPr>
        <w:t xml:space="preserve"> </w:t>
      </w:r>
      <w:r w:rsidRPr="00EB2BD8">
        <w:t>implemented</w:t>
      </w:r>
      <w:r w:rsidRPr="00EB2BD8">
        <w:rPr>
          <w:spacing w:val="-2"/>
        </w:rPr>
        <w:t xml:space="preserve"> </w:t>
      </w:r>
      <w:r w:rsidRPr="00EB2BD8">
        <w:t>a</w:t>
      </w:r>
      <w:r w:rsidRPr="00EB2BD8">
        <w:rPr>
          <w:spacing w:val="-2"/>
        </w:rPr>
        <w:t xml:space="preserve"> </w:t>
      </w:r>
      <w:r w:rsidRPr="00EB2BD8">
        <w:t>‘Bring</w:t>
      </w:r>
      <w:r w:rsidRPr="00EB2BD8">
        <w:rPr>
          <w:spacing w:val="-2"/>
        </w:rPr>
        <w:t xml:space="preserve"> </w:t>
      </w:r>
      <w:r w:rsidRPr="00EB2BD8">
        <w:t>your</w:t>
      </w:r>
      <w:r w:rsidRPr="00EB2BD8">
        <w:rPr>
          <w:spacing w:val="-2"/>
        </w:rPr>
        <w:t xml:space="preserve"> </w:t>
      </w:r>
      <w:r w:rsidRPr="00EB2BD8">
        <w:t>dog</w:t>
      </w:r>
      <w:r w:rsidRPr="00EB2BD8">
        <w:rPr>
          <w:spacing w:val="-2"/>
        </w:rPr>
        <w:t xml:space="preserve"> </w:t>
      </w:r>
      <w:r w:rsidRPr="00EB2BD8">
        <w:t>to work’</w:t>
      </w:r>
      <w:r w:rsidRPr="00EB2BD8">
        <w:rPr>
          <w:spacing w:val="-11"/>
        </w:rPr>
        <w:t xml:space="preserve"> </w:t>
      </w:r>
      <w:r w:rsidRPr="00EB2BD8">
        <w:t>pilot</w:t>
      </w:r>
      <w:r w:rsidRPr="00EB2BD8">
        <w:rPr>
          <w:spacing w:val="-11"/>
        </w:rPr>
        <w:t xml:space="preserve"> </w:t>
      </w:r>
      <w:r w:rsidRPr="00EB2BD8">
        <w:t>program</w:t>
      </w:r>
      <w:r w:rsidRPr="00EB2BD8">
        <w:rPr>
          <w:spacing w:val="-11"/>
        </w:rPr>
        <w:t xml:space="preserve"> </w:t>
      </w:r>
      <w:r w:rsidRPr="00EB2BD8">
        <w:t>for</w:t>
      </w:r>
      <w:r w:rsidRPr="00EB2BD8">
        <w:rPr>
          <w:spacing w:val="-11"/>
        </w:rPr>
        <w:t xml:space="preserve"> </w:t>
      </w:r>
      <w:r w:rsidRPr="00EB2BD8">
        <w:t>our</w:t>
      </w:r>
      <w:r w:rsidRPr="00EB2BD8">
        <w:rPr>
          <w:spacing w:val="-11"/>
        </w:rPr>
        <w:t xml:space="preserve"> </w:t>
      </w:r>
      <w:r w:rsidRPr="00EB2BD8">
        <w:t>people.</w:t>
      </w:r>
      <w:r w:rsidRPr="00EB2BD8">
        <w:rPr>
          <w:spacing w:val="-11"/>
        </w:rPr>
        <w:t xml:space="preserve"> </w:t>
      </w:r>
      <w:r w:rsidRPr="00EB2BD8">
        <w:t>Pets</w:t>
      </w:r>
      <w:r w:rsidRPr="00EB2BD8">
        <w:rPr>
          <w:spacing w:val="-11"/>
        </w:rPr>
        <w:t xml:space="preserve"> </w:t>
      </w:r>
      <w:r w:rsidRPr="00EB2BD8">
        <w:t>provide</w:t>
      </w:r>
      <w:r w:rsidRPr="00EB2BD8">
        <w:rPr>
          <w:spacing w:val="-11"/>
        </w:rPr>
        <w:t xml:space="preserve"> </w:t>
      </w:r>
      <w:r w:rsidRPr="00EB2BD8">
        <w:t>several physical and mental health benefits and pet dogs in</w:t>
      </w:r>
      <w:r w:rsidRPr="00EB2BD8">
        <w:rPr>
          <w:spacing w:val="40"/>
        </w:rPr>
        <w:t xml:space="preserve"> </w:t>
      </w:r>
      <w:r w:rsidRPr="00EB2BD8">
        <w:t>the</w:t>
      </w:r>
      <w:r w:rsidRPr="00EB2BD8">
        <w:rPr>
          <w:spacing w:val="-8"/>
        </w:rPr>
        <w:t xml:space="preserve"> </w:t>
      </w:r>
      <w:r w:rsidRPr="00EB2BD8">
        <w:t>office</w:t>
      </w:r>
      <w:r w:rsidRPr="00EB2BD8">
        <w:rPr>
          <w:spacing w:val="-8"/>
        </w:rPr>
        <w:t xml:space="preserve"> </w:t>
      </w:r>
      <w:r w:rsidRPr="00EB2BD8">
        <w:t>has</w:t>
      </w:r>
      <w:r w:rsidRPr="00EB2BD8">
        <w:rPr>
          <w:spacing w:val="-8"/>
        </w:rPr>
        <w:t xml:space="preserve"> </w:t>
      </w:r>
      <w:r w:rsidRPr="00EB2BD8">
        <w:t>proven</w:t>
      </w:r>
      <w:r w:rsidRPr="00EB2BD8">
        <w:rPr>
          <w:spacing w:val="-8"/>
        </w:rPr>
        <w:t xml:space="preserve"> </w:t>
      </w:r>
      <w:r w:rsidRPr="00EB2BD8">
        <w:t>to</w:t>
      </w:r>
      <w:r w:rsidRPr="00EB2BD8">
        <w:rPr>
          <w:spacing w:val="-8"/>
        </w:rPr>
        <w:t xml:space="preserve"> </w:t>
      </w:r>
      <w:r w:rsidRPr="00EB2BD8">
        <w:t>be</w:t>
      </w:r>
      <w:r w:rsidRPr="00EB2BD8">
        <w:rPr>
          <w:spacing w:val="-8"/>
        </w:rPr>
        <w:t xml:space="preserve"> </w:t>
      </w:r>
      <w:r w:rsidRPr="00EB2BD8">
        <w:t>a</w:t>
      </w:r>
      <w:r w:rsidRPr="00EB2BD8">
        <w:rPr>
          <w:spacing w:val="-8"/>
        </w:rPr>
        <w:t xml:space="preserve"> </w:t>
      </w:r>
      <w:r w:rsidRPr="00EB2BD8">
        <w:t>very</w:t>
      </w:r>
      <w:r w:rsidRPr="00EB2BD8">
        <w:rPr>
          <w:spacing w:val="-8"/>
        </w:rPr>
        <w:t xml:space="preserve"> </w:t>
      </w:r>
      <w:r w:rsidRPr="00EB2BD8">
        <w:t>positive</w:t>
      </w:r>
      <w:r w:rsidRPr="00EB2BD8">
        <w:rPr>
          <w:spacing w:val="-8"/>
        </w:rPr>
        <w:t xml:space="preserve"> </w:t>
      </w:r>
      <w:r w:rsidRPr="00EB2BD8">
        <w:t>experience</w:t>
      </w:r>
      <w:r w:rsidRPr="00EB2BD8">
        <w:rPr>
          <w:spacing w:val="-8"/>
        </w:rPr>
        <w:t xml:space="preserve"> </w:t>
      </w:r>
      <w:r w:rsidRPr="00EB2BD8">
        <w:t>in the working environment.</w:t>
      </w:r>
    </w:p>
    <w:p w14:paraId="584CFC34" w14:textId="77777777" w:rsidR="00084F36" w:rsidRPr="00EB2BD8" w:rsidRDefault="00084F36">
      <w:pPr>
        <w:pStyle w:val="BodyText"/>
        <w:spacing w:before="7"/>
        <w:rPr>
          <w:sz w:val="23"/>
        </w:rPr>
      </w:pPr>
    </w:p>
    <w:p w14:paraId="1C7428DD" w14:textId="77777777" w:rsidR="00084F36" w:rsidRPr="00EB2BD8" w:rsidRDefault="00EB2BD8" w:rsidP="00EB2BD8">
      <w:pPr>
        <w:pStyle w:val="Heading2"/>
      </w:pPr>
      <w:bookmarkStart w:id="158" w:name="_Toc150762460"/>
      <w:r w:rsidRPr="00EB2BD8">
        <w:t>Training</w:t>
      </w:r>
      <w:r w:rsidRPr="00EB2BD8">
        <w:rPr>
          <w:spacing w:val="-17"/>
        </w:rPr>
        <w:t xml:space="preserve"> </w:t>
      </w:r>
      <w:r w:rsidRPr="00EB2BD8">
        <w:t>and</w:t>
      </w:r>
      <w:r w:rsidRPr="00EB2BD8">
        <w:rPr>
          <w:spacing w:val="-17"/>
        </w:rPr>
        <w:t xml:space="preserve"> </w:t>
      </w:r>
      <w:r w:rsidRPr="00EB2BD8">
        <w:t xml:space="preserve">professional </w:t>
      </w:r>
      <w:r w:rsidRPr="00EB2BD8">
        <w:rPr>
          <w:spacing w:val="-8"/>
        </w:rPr>
        <w:t>development</w:t>
      </w:r>
      <w:r w:rsidRPr="00EB2BD8">
        <w:rPr>
          <w:spacing w:val="-22"/>
        </w:rPr>
        <w:t xml:space="preserve"> </w:t>
      </w:r>
      <w:r w:rsidRPr="00EB2BD8">
        <w:rPr>
          <w:spacing w:val="-8"/>
        </w:rPr>
        <w:t>for</w:t>
      </w:r>
      <w:r w:rsidRPr="00EB2BD8">
        <w:rPr>
          <w:spacing w:val="-22"/>
        </w:rPr>
        <w:t xml:space="preserve"> </w:t>
      </w:r>
      <w:r w:rsidRPr="00EB2BD8">
        <w:rPr>
          <w:spacing w:val="-8"/>
        </w:rPr>
        <w:t>our</w:t>
      </w:r>
      <w:r w:rsidRPr="00EB2BD8">
        <w:rPr>
          <w:spacing w:val="-22"/>
        </w:rPr>
        <w:t xml:space="preserve"> </w:t>
      </w:r>
      <w:r w:rsidRPr="00EB2BD8">
        <w:rPr>
          <w:spacing w:val="-8"/>
        </w:rPr>
        <w:t>people</w:t>
      </w:r>
      <w:bookmarkEnd w:id="158"/>
    </w:p>
    <w:p w14:paraId="2F507530" w14:textId="77777777" w:rsidR="00084F36" w:rsidRPr="00EB2BD8" w:rsidRDefault="00EB2BD8">
      <w:pPr>
        <w:pStyle w:val="BodyText"/>
        <w:spacing w:before="284" w:line="261" w:lineRule="auto"/>
        <w:ind w:left="850" w:right="94"/>
      </w:pPr>
      <w:r w:rsidRPr="00EB2BD8">
        <w:t>The VBA placed a renewed emphasis on learning and development opportunities following responses to the 2022 People Matter Survey. Dedicated focus groups were established to strengthen the technical skills of our</w:t>
      </w:r>
      <w:r w:rsidRPr="00EB2BD8">
        <w:rPr>
          <w:spacing w:val="-8"/>
        </w:rPr>
        <w:t xml:space="preserve"> </w:t>
      </w:r>
      <w:r w:rsidRPr="00EB2BD8">
        <w:t>people</w:t>
      </w:r>
      <w:r w:rsidRPr="00EB2BD8">
        <w:rPr>
          <w:spacing w:val="-8"/>
        </w:rPr>
        <w:t xml:space="preserve"> </w:t>
      </w:r>
      <w:r w:rsidRPr="00EB2BD8">
        <w:t>and</w:t>
      </w:r>
      <w:r w:rsidRPr="00EB2BD8">
        <w:rPr>
          <w:spacing w:val="-8"/>
        </w:rPr>
        <w:t xml:space="preserve"> </w:t>
      </w:r>
      <w:r w:rsidRPr="00EB2BD8">
        <w:t>identify</w:t>
      </w:r>
      <w:r w:rsidRPr="00EB2BD8">
        <w:rPr>
          <w:spacing w:val="-8"/>
        </w:rPr>
        <w:t xml:space="preserve"> </w:t>
      </w:r>
      <w:r w:rsidRPr="00EB2BD8">
        <w:t>opportunities</w:t>
      </w:r>
      <w:r w:rsidRPr="00EB2BD8">
        <w:rPr>
          <w:spacing w:val="-8"/>
        </w:rPr>
        <w:t xml:space="preserve"> </w:t>
      </w:r>
      <w:r w:rsidRPr="00EB2BD8">
        <w:t>for</w:t>
      </w:r>
      <w:r w:rsidRPr="00EB2BD8">
        <w:rPr>
          <w:spacing w:val="-8"/>
        </w:rPr>
        <w:t xml:space="preserve"> </w:t>
      </w:r>
      <w:r w:rsidRPr="00EB2BD8">
        <w:t>secondments and ongoing professional development. The VBA also supported members of its Inspections Services team</w:t>
      </w:r>
      <w:r w:rsidRPr="00EB2BD8">
        <w:rPr>
          <w:spacing w:val="40"/>
        </w:rPr>
        <w:t xml:space="preserve"> </w:t>
      </w:r>
      <w:r w:rsidRPr="00EB2BD8">
        <w:t>to enhance their technical capability, enabling them</w:t>
      </w:r>
    </w:p>
    <w:p w14:paraId="3CAC702E" w14:textId="77777777" w:rsidR="00084F36" w:rsidRPr="00EB2BD8" w:rsidRDefault="00EB2BD8">
      <w:pPr>
        <w:pStyle w:val="BodyText"/>
        <w:spacing w:line="261" w:lineRule="auto"/>
        <w:ind w:left="850"/>
      </w:pPr>
      <w:r w:rsidRPr="00EB2BD8">
        <w:t>to</w:t>
      </w:r>
      <w:r w:rsidRPr="00EB2BD8">
        <w:rPr>
          <w:spacing w:val="-4"/>
        </w:rPr>
        <w:t xml:space="preserve"> </w:t>
      </w:r>
      <w:r w:rsidRPr="00EB2BD8">
        <w:t>carry</w:t>
      </w:r>
      <w:r w:rsidRPr="00EB2BD8">
        <w:rPr>
          <w:spacing w:val="-4"/>
        </w:rPr>
        <w:t xml:space="preserve"> </w:t>
      </w:r>
      <w:r w:rsidRPr="00EB2BD8">
        <w:t>out</w:t>
      </w:r>
      <w:r w:rsidRPr="00EB2BD8">
        <w:rPr>
          <w:spacing w:val="-4"/>
        </w:rPr>
        <w:t xml:space="preserve"> </w:t>
      </w:r>
      <w:r w:rsidRPr="00EB2BD8">
        <w:t>a</w:t>
      </w:r>
      <w:r w:rsidRPr="00EB2BD8">
        <w:rPr>
          <w:spacing w:val="-4"/>
        </w:rPr>
        <w:t xml:space="preserve"> </w:t>
      </w:r>
      <w:r w:rsidRPr="00EB2BD8">
        <w:t>broader</w:t>
      </w:r>
      <w:r w:rsidRPr="00EB2BD8">
        <w:rPr>
          <w:spacing w:val="-4"/>
        </w:rPr>
        <w:t xml:space="preserve"> </w:t>
      </w:r>
      <w:r w:rsidRPr="00EB2BD8">
        <w:t>range</w:t>
      </w:r>
      <w:r w:rsidRPr="00EB2BD8">
        <w:rPr>
          <w:spacing w:val="-4"/>
        </w:rPr>
        <w:t xml:space="preserve"> </w:t>
      </w:r>
      <w:r w:rsidRPr="00EB2BD8">
        <w:t>of</w:t>
      </w:r>
      <w:r w:rsidRPr="00EB2BD8">
        <w:rPr>
          <w:spacing w:val="-4"/>
        </w:rPr>
        <w:t xml:space="preserve"> </w:t>
      </w:r>
      <w:r w:rsidRPr="00EB2BD8">
        <w:t>building</w:t>
      </w:r>
      <w:r w:rsidRPr="00EB2BD8">
        <w:rPr>
          <w:spacing w:val="-4"/>
        </w:rPr>
        <w:t xml:space="preserve"> </w:t>
      </w:r>
      <w:r w:rsidRPr="00EB2BD8">
        <w:t>and</w:t>
      </w:r>
      <w:r w:rsidRPr="00EB2BD8">
        <w:rPr>
          <w:spacing w:val="-4"/>
        </w:rPr>
        <w:t xml:space="preserve"> </w:t>
      </w:r>
      <w:r w:rsidRPr="00EB2BD8">
        <w:t>plumbing inspections. One hundred and sixty-eight VBA people achieved external qualifications in 2022-23, with this knowledge applied across the Authority.</w:t>
      </w:r>
    </w:p>
    <w:p w14:paraId="3E5861F6" w14:textId="0193EB59" w:rsidR="00084F36" w:rsidRPr="00EB2BD8" w:rsidRDefault="00EB2BD8" w:rsidP="00E13356">
      <w:pPr>
        <w:pStyle w:val="Heading2"/>
        <w:ind w:left="0"/>
      </w:pPr>
      <w:r w:rsidRPr="00EB2BD8">
        <w:br w:type="column"/>
      </w:r>
      <w:r w:rsidR="00E13356">
        <w:t xml:space="preserve">    </w:t>
      </w:r>
      <w:bookmarkStart w:id="159" w:name="_Toc150762461"/>
      <w:r w:rsidRPr="00EB2BD8">
        <w:t>Health,</w:t>
      </w:r>
      <w:r w:rsidRPr="00EB2BD8">
        <w:rPr>
          <w:spacing w:val="-16"/>
        </w:rPr>
        <w:t xml:space="preserve"> </w:t>
      </w:r>
      <w:r w:rsidRPr="00EB2BD8">
        <w:t>safety</w:t>
      </w:r>
      <w:r w:rsidRPr="00EB2BD8">
        <w:rPr>
          <w:spacing w:val="-15"/>
        </w:rPr>
        <w:t xml:space="preserve"> </w:t>
      </w:r>
      <w:r w:rsidRPr="00EB2BD8">
        <w:t>and</w:t>
      </w:r>
      <w:r w:rsidRPr="00EB2BD8">
        <w:rPr>
          <w:spacing w:val="-15"/>
        </w:rPr>
        <w:t xml:space="preserve"> </w:t>
      </w:r>
      <w:r w:rsidRPr="00EB2BD8">
        <w:t>wellbeing</w:t>
      </w:r>
      <w:bookmarkEnd w:id="159"/>
    </w:p>
    <w:p w14:paraId="5FB2FE9F" w14:textId="77777777" w:rsidR="00084F36" w:rsidRPr="00EB2BD8" w:rsidRDefault="00EB2BD8">
      <w:pPr>
        <w:pStyle w:val="BodyText"/>
        <w:spacing w:before="272" w:line="261" w:lineRule="auto"/>
        <w:ind w:left="420" w:right="1045"/>
      </w:pPr>
      <w:r w:rsidRPr="00EB2BD8">
        <w:t>After the finalisation of Designated Working Groups and election of Health &amp; Safety Representatives from across the organisation, the VBA’s OHS committee is functioning in an effective, structured and cohesive manner with enhanced engagement, participation</w:t>
      </w:r>
      <w:r w:rsidRPr="00EB2BD8">
        <w:rPr>
          <w:spacing w:val="40"/>
        </w:rPr>
        <w:t xml:space="preserve"> </w:t>
      </w:r>
      <w:r w:rsidRPr="00EB2BD8">
        <w:t>and contribution by all members. Our ongoing focus will</w:t>
      </w:r>
      <w:r w:rsidRPr="00EB2BD8">
        <w:rPr>
          <w:spacing w:val="-6"/>
        </w:rPr>
        <w:t xml:space="preserve"> </w:t>
      </w:r>
      <w:r w:rsidRPr="00EB2BD8">
        <w:t>be</w:t>
      </w:r>
      <w:r w:rsidRPr="00EB2BD8">
        <w:rPr>
          <w:spacing w:val="-6"/>
        </w:rPr>
        <w:t xml:space="preserve"> </w:t>
      </w:r>
      <w:r w:rsidRPr="00EB2BD8">
        <w:t>to</w:t>
      </w:r>
      <w:r w:rsidRPr="00EB2BD8">
        <w:rPr>
          <w:spacing w:val="-6"/>
        </w:rPr>
        <w:t xml:space="preserve"> </w:t>
      </w:r>
      <w:r w:rsidRPr="00EB2BD8">
        <w:t>continue</w:t>
      </w:r>
      <w:r w:rsidRPr="00EB2BD8">
        <w:rPr>
          <w:spacing w:val="-6"/>
        </w:rPr>
        <w:t xml:space="preserve"> </w:t>
      </w:r>
      <w:r w:rsidRPr="00EB2BD8">
        <w:t>to</w:t>
      </w:r>
      <w:r w:rsidRPr="00EB2BD8">
        <w:rPr>
          <w:spacing w:val="-6"/>
        </w:rPr>
        <w:t xml:space="preserve"> </w:t>
      </w:r>
      <w:r w:rsidRPr="00EB2BD8">
        <w:t>embed</w:t>
      </w:r>
      <w:r w:rsidRPr="00EB2BD8">
        <w:rPr>
          <w:spacing w:val="-6"/>
        </w:rPr>
        <w:t xml:space="preserve"> </w:t>
      </w:r>
      <w:r w:rsidRPr="00EB2BD8">
        <w:t>the</w:t>
      </w:r>
      <w:r w:rsidRPr="00EB2BD8">
        <w:rPr>
          <w:spacing w:val="-6"/>
        </w:rPr>
        <w:t xml:space="preserve"> </w:t>
      </w:r>
      <w:r w:rsidRPr="00EB2BD8">
        <w:t>Committee</w:t>
      </w:r>
      <w:r w:rsidRPr="00EB2BD8">
        <w:rPr>
          <w:spacing w:val="-6"/>
        </w:rPr>
        <w:t xml:space="preserve"> </w:t>
      </w:r>
      <w:r w:rsidRPr="00EB2BD8">
        <w:t>and</w:t>
      </w:r>
      <w:r w:rsidRPr="00EB2BD8">
        <w:rPr>
          <w:spacing w:val="-6"/>
        </w:rPr>
        <w:t xml:space="preserve"> </w:t>
      </w:r>
      <w:r w:rsidRPr="00EB2BD8">
        <w:t>work together to improve the health, safety and wellbeing (HSW) performance and culture through engagement and</w:t>
      </w:r>
      <w:r w:rsidRPr="00EB2BD8">
        <w:rPr>
          <w:spacing w:val="-6"/>
        </w:rPr>
        <w:t xml:space="preserve"> </w:t>
      </w:r>
      <w:r w:rsidRPr="00EB2BD8">
        <w:t>consultation.</w:t>
      </w:r>
    </w:p>
    <w:p w14:paraId="70DEF4F2" w14:textId="77777777" w:rsidR="00084F36" w:rsidRPr="00EB2BD8" w:rsidRDefault="00EB2BD8">
      <w:pPr>
        <w:pStyle w:val="BodyText"/>
        <w:spacing w:before="103" w:line="261" w:lineRule="auto"/>
        <w:ind w:left="420" w:right="1010"/>
      </w:pPr>
      <w:r w:rsidRPr="00EB2BD8">
        <w:t>The VBA has adopted a risk-based approach towards building psychological and psychosocial safety.</w:t>
      </w:r>
    </w:p>
    <w:p w14:paraId="3467EA4A" w14:textId="77777777" w:rsidR="00084F36" w:rsidRPr="00EB2BD8" w:rsidRDefault="00EB2BD8">
      <w:pPr>
        <w:pStyle w:val="BodyText"/>
        <w:spacing w:line="261" w:lineRule="auto"/>
        <w:ind w:left="420" w:right="1010"/>
      </w:pPr>
      <w:r w:rsidRPr="00EB2BD8">
        <w:rPr>
          <w:w w:val="105"/>
        </w:rPr>
        <w:t xml:space="preserve">Several people leaders participated in a training </w:t>
      </w:r>
      <w:r w:rsidRPr="00EB2BD8">
        <w:t>course,</w:t>
      </w:r>
      <w:r w:rsidRPr="00EB2BD8">
        <w:rPr>
          <w:spacing w:val="-1"/>
        </w:rPr>
        <w:t xml:space="preserve"> </w:t>
      </w:r>
      <w:r w:rsidRPr="00EB2BD8">
        <w:rPr>
          <w:i/>
        </w:rPr>
        <w:t>Building</w:t>
      </w:r>
      <w:r w:rsidRPr="00EB2BD8">
        <w:rPr>
          <w:i/>
          <w:spacing w:val="-3"/>
        </w:rPr>
        <w:t xml:space="preserve"> </w:t>
      </w:r>
      <w:r w:rsidRPr="00EB2BD8">
        <w:rPr>
          <w:i/>
        </w:rPr>
        <w:t>Psychological</w:t>
      </w:r>
      <w:r w:rsidRPr="00EB2BD8">
        <w:rPr>
          <w:i/>
          <w:spacing w:val="-3"/>
        </w:rPr>
        <w:t xml:space="preserve"> </w:t>
      </w:r>
      <w:r w:rsidRPr="00EB2BD8">
        <w:rPr>
          <w:i/>
        </w:rPr>
        <w:t>Safety</w:t>
      </w:r>
      <w:r w:rsidRPr="00EB2BD8">
        <w:t>.</w:t>
      </w:r>
      <w:r w:rsidRPr="00EB2BD8">
        <w:rPr>
          <w:spacing w:val="-1"/>
        </w:rPr>
        <w:t xml:space="preserve"> </w:t>
      </w:r>
      <w:r w:rsidRPr="00EB2BD8">
        <w:t>The</w:t>
      </w:r>
      <w:r w:rsidRPr="00EB2BD8">
        <w:rPr>
          <w:spacing w:val="-1"/>
        </w:rPr>
        <w:t xml:space="preserve"> </w:t>
      </w:r>
      <w:r w:rsidRPr="00EB2BD8">
        <w:t>VBA</w:t>
      </w:r>
      <w:r w:rsidRPr="00EB2BD8">
        <w:rPr>
          <w:spacing w:val="-1"/>
        </w:rPr>
        <w:t xml:space="preserve"> </w:t>
      </w:r>
      <w:r w:rsidRPr="00EB2BD8">
        <w:t>plans to</w:t>
      </w:r>
      <w:r w:rsidRPr="00EB2BD8">
        <w:rPr>
          <w:spacing w:val="-2"/>
        </w:rPr>
        <w:t xml:space="preserve"> </w:t>
      </w:r>
      <w:r w:rsidRPr="00EB2BD8">
        <w:t>continue</w:t>
      </w:r>
      <w:r w:rsidRPr="00EB2BD8">
        <w:rPr>
          <w:spacing w:val="-2"/>
        </w:rPr>
        <w:t xml:space="preserve"> </w:t>
      </w:r>
      <w:r w:rsidRPr="00EB2BD8">
        <w:t>to</w:t>
      </w:r>
      <w:r w:rsidRPr="00EB2BD8">
        <w:rPr>
          <w:spacing w:val="-2"/>
        </w:rPr>
        <w:t xml:space="preserve"> </w:t>
      </w:r>
      <w:r w:rsidRPr="00EB2BD8">
        <w:t>deliver</w:t>
      </w:r>
      <w:r w:rsidRPr="00EB2BD8">
        <w:rPr>
          <w:spacing w:val="-2"/>
        </w:rPr>
        <w:t xml:space="preserve"> </w:t>
      </w:r>
      <w:r w:rsidRPr="00EB2BD8">
        <w:t>adequate</w:t>
      </w:r>
      <w:r w:rsidRPr="00EB2BD8">
        <w:rPr>
          <w:spacing w:val="-2"/>
        </w:rPr>
        <w:t xml:space="preserve"> </w:t>
      </w:r>
      <w:r w:rsidRPr="00EB2BD8">
        <w:t>training</w:t>
      </w:r>
      <w:r w:rsidRPr="00EB2BD8">
        <w:rPr>
          <w:spacing w:val="-2"/>
        </w:rPr>
        <w:t xml:space="preserve"> </w:t>
      </w:r>
      <w:r w:rsidRPr="00EB2BD8">
        <w:t>and</w:t>
      </w:r>
      <w:r w:rsidRPr="00EB2BD8">
        <w:rPr>
          <w:spacing w:val="-2"/>
        </w:rPr>
        <w:t xml:space="preserve"> </w:t>
      </w:r>
      <w:r w:rsidRPr="00EB2BD8">
        <w:t xml:space="preserve">support </w:t>
      </w:r>
      <w:r w:rsidRPr="00EB2BD8">
        <w:rPr>
          <w:spacing w:val="-2"/>
          <w:w w:val="105"/>
        </w:rPr>
        <w:t>to</w:t>
      </w:r>
      <w:r w:rsidRPr="00EB2BD8">
        <w:rPr>
          <w:spacing w:val="-9"/>
          <w:w w:val="105"/>
        </w:rPr>
        <w:t xml:space="preserve"> </w:t>
      </w:r>
      <w:r w:rsidRPr="00EB2BD8">
        <w:rPr>
          <w:spacing w:val="-2"/>
          <w:w w:val="105"/>
        </w:rPr>
        <w:t>people</w:t>
      </w:r>
      <w:r w:rsidRPr="00EB2BD8">
        <w:rPr>
          <w:spacing w:val="-9"/>
          <w:w w:val="105"/>
        </w:rPr>
        <w:t xml:space="preserve"> </w:t>
      </w:r>
      <w:r w:rsidRPr="00EB2BD8">
        <w:rPr>
          <w:spacing w:val="-2"/>
          <w:w w:val="105"/>
        </w:rPr>
        <w:t>leaders</w:t>
      </w:r>
      <w:r w:rsidRPr="00EB2BD8">
        <w:rPr>
          <w:spacing w:val="-9"/>
          <w:w w:val="105"/>
        </w:rPr>
        <w:t xml:space="preserve"> </w:t>
      </w:r>
      <w:r w:rsidRPr="00EB2BD8">
        <w:rPr>
          <w:spacing w:val="-2"/>
          <w:w w:val="105"/>
        </w:rPr>
        <w:t>for</w:t>
      </w:r>
      <w:r w:rsidRPr="00EB2BD8">
        <w:rPr>
          <w:spacing w:val="-9"/>
          <w:w w:val="105"/>
        </w:rPr>
        <w:t xml:space="preserve"> </w:t>
      </w:r>
      <w:r w:rsidRPr="00EB2BD8">
        <w:rPr>
          <w:spacing w:val="-2"/>
          <w:w w:val="105"/>
        </w:rPr>
        <w:t>managing</w:t>
      </w:r>
      <w:r w:rsidRPr="00EB2BD8">
        <w:rPr>
          <w:spacing w:val="-9"/>
          <w:w w:val="105"/>
        </w:rPr>
        <w:t xml:space="preserve"> </w:t>
      </w:r>
      <w:r w:rsidRPr="00EB2BD8">
        <w:rPr>
          <w:spacing w:val="-2"/>
          <w:w w:val="105"/>
        </w:rPr>
        <w:t>and</w:t>
      </w:r>
      <w:r w:rsidRPr="00EB2BD8">
        <w:rPr>
          <w:spacing w:val="-9"/>
          <w:w w:val="105"/>
        </w:rPr>
        <w:t xml:space="preserve"> </w:t>
      </w:r>
      <w:r w:rsidRPr="00EB2BD8">
        <w:rPr>
          <w:spacing w:val="-2"/>
          <w:w w:val="105"/>
        </w:rPr>
        <w:t>supporting</w:t>
      </w:r>
      <w:r w:rsidRPr="00EB2BD8">
        <w:rPr>
          <w:spacing w:val="-9"/>
          <w:w w:val="105"/>
        </w:rPr>
        <w:t xml:space="preserve"> </w:t>
      </w:r>
      <w:r w:rsidRPr="00EB2BD8">
        <w:rPr>
          <w:spacing w:val="-2"/>
          <w:w w:val="105"/>
        </w:rPr>
        <w:t xml:space="preserve">our </w:t>
      </w:r>
      <w:r w:rsidRPr="00EB2BD8">
        <w:rPr>
          <w:w w:val="105"/>
        </w:rPr>
        <w:t>people’s mental health.</w:t>
      </w:r>
    </w:p>
    <w:p w14:paraId="1193F4D3" w14:textId="77777777" w:rsidR="00084F36" w:rsidRPr="00EB2BD8" w:rsidRDefault="00EB2BD8">
      <w:pPr>
        <w:pStyle w:val="BodyText"/>
        <w:spacing w:before="106" w:line="261" w:lineRule="auto"/>
        <w:ind w:left="420" w:right="1010"/>
      </w:pPr>
      <w:r w:rsidRPr="00EB2BD8">
        <w:t>The</w:t>
      </w:r>
      <w:r w:rsidRPr="00EB2BD8">
        <w:rPr>
          <w:spacing w:val="-4"/>
        </w:rPr>
        <w:t xml:space="preserve"> </w:t>
      </w:r>
      <w:r w:rsidRPr="00EB2BD8">
        <w:t>VBA</w:t>
      </w:r>
      <w:r w:rsidRPr="00EB2BD8">
        <w:rPr>
          <w:spacing w:val="-4"/>
        </w:rPr>
        <w:t xml:space="preserve"> </w:t>
      </w:r>
      <w:r w:rsidRPr="00EB2BD8">
        <w:t>has</w:t>
      </w:r>
      <w:r w:rsidRPr="00EB2BD8">
        <w:rPr>
          <w:spacing w:val="-4"/>
        </w:rPr>
        <w:t xml:space="preserve"> </w:t>
      </w:r>
      <w:r w:rsidRPr="00EB2BD8">
        <w:t>embarked</w:t>
      </w:r>
      <w:r w:rsidRPr="00EB2BD8">
        <w:rPr>
          <w:spacing w:val="-4"/>
        </w:rPr>
        <w:t xml:space="preserve"> </w:t>
      </w:r>
      <w:r w:rsidRPr="00EB2BD8">
        <w:t>on</w:t>
      </w:r>
      <w:r w:rsidRPr="00EB2BD8">
        <w:rPr>
          <w:spacing w:val="-4"/>
        </w:rPr>
        <w:t xml:space="preserve"> </w:t>
      </w:r>
      <w:r w:rsidRPr="00EB2BD8">
        <w:t>its</w:t>
      </w:r>
      <w:r w:rsidRPr="00EB2BD8">
        <w:rPr>
          <w:spacing w:val="-4"/>
        </w:rPr>
        <w:t xml:space="preserve"> </w:t>
      </w:r>
      <w:r w:rsidRPr="00EB2BD8">
        <w:t>journey</w:t>
      </w:r>
      <w:r w:rsidRPr="00EB2BD8">
        <w:rPr>
          <w:spacing w:val="-4"/>
        </w:rPr>
        <w:t xml:space="preserve"> </w:t>
      </w:r>
      <w:r w:rsidRPr="00EB2BD8">
        <w:t>to</w:t>
      </w:r>
      <w:r w:rsidRPr="00EB2BD8">
        <w:rPr>
          <w:spacing w:val="-4"/>
        </w:rPr>
        <w:t xml:space="preserve"> </w:t>
      </w:r>
      <w:r w:rsidRPr="00EB2BD8">
        <w:t>develop</w:t>
      </w:r>
      <w:r w:rsidRPr="00EB2BD8">
        <w:rPr>
          <w:spacing w:val="-4"/>
        </w:rPr>
        <w:t xml:space="preserve"> </w:t>
      </w:r>
      <w:r w:rsidRPr="00EB2BD8">
        <w:t>and implement a three-year Health Safety &amp; Wellbeing plan, with a focus on implementing a robust OHS</w:t>
      </w:r>
    </w:p>
    <w:p w14:paraId="7423F141" w14:textId="77777777" w:rsidR="00084F36" w:rsidRPr="00EB2BD8" w:rsidRDefault="00EB2BD8">
      <w:pPr>
        <w:pStyle w:val="BodyText"/>
        <w:spacing w:line="261" w:lineRule="auto"/>
        <w:ind w:left="420" w:right="870"/>
      </w:pPr>
      <w:r w:rsidRPr="00EB2BD8">
        <w:t>management</w:t>
      </w:r>
      <w:r w:rsidRPr="00EB2BD8">
        <w:rPr>
          <w:spacing w:val="-12"/>
        </w:rPr>
        <w:t xml:space="preserve"> </w:t>
      </w:r>
      <w:r w:rsidRPr="00EB2BD8">
        <w:t>system,</w:t>
      </w:r>
      <w:r w:rsidRPr="00EB2BD8">
        <w:rPr>
          <w:spacing w:val="-12"/>
        </w:rPr>
        <w:t xml:space="preserve"> </w:t>
      </w:r>
      <w:r w:rsidRPr="00EB2BD8">
        <w:t>reduction</w:t>
      </w:r>
      <w:r w:rsidRPr="00EB2BD8">
        <w:rPr>
          <w:spacing w:val="-12"/>
        </w:rPr>
        <w:t xml:space="preserve"> </w:t>
      </w:r>
      <w:r w:rsidRPr="00EB2BD8">
        <w:t>of</w:t>
      </w:r>
      <w:r w:rsidRPr="00EB2BD8">
        <w:rPr>
          <w:spacing w:val="-12"/>
        </w:rPr>
        <w:t xml:space="preserve"> </w:t>
      </w:r>
      <w:r w:rsidRPr="00EB2BD8">
        <w:t>HSW</w:t>
      </w:r>
      <w:r w:rsidRPr="00EB2BD8">
        <w:rPr>
          <w:spacing w:val="-12"/>
        </w:rPr>
        <w:t xml:space="preserve"> </w:t>
      </w:r>
      <w:r w:rsidRPr="00EB2BD8">
        <w:t>risks,</w:t>
      </w:r>
      <w:r w:rsidRPr="00EB2BD8">
        <w:rPr>
          <w:spacing w:val="-12"/>
        </w:rPr>
        <w:t xml:space="preserve"> </w:t>
      </w:r>
      <w:r w:rsidRPr="00EB2BD8">
        <w:t>improving staff wellbeing and building safety leadership</w:t>
      </w:r>
      <w:r w:rsidRPr="00EB2BD8">
        <w:rPr>
          <w:spacing w:val="40"/>
        </w:rPr>
        <w:t xml:space="preserve"> </w:t>
      </w:r>
      <w:r w:rsidRPr="00EB2BD8">
        <w:rPr>
          <w:spacing w:val="-2"/>
        </w:rPr>
        <w:t>capability.</w:t>
      </w:r>
    </w:p>
    <w:p w14:paraId="21EB4A12"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2" w:space="720" w:equalWidth="0">
            <w:col w:w="5712" w:space="40"/>
            <w:col w:w="6158"/>
          </w:cols>
        </w:sectPr>
      </w:pPr>
    </w:p>
    <w:p w14:paraId="5A8546F7" w14:textId="77777777" w:rsidR="00084F36" w:rsidRPr="00EB2BD8" w:rsidRDefault="00084F36">
      <w:pPr>
        <w:pStyle w:val="BodyText"/>
        <w:rPr>
          <w:sz w:val="20"/>
        </w:rPr>
      </w:pPr>
    </w:p>
    <w:p w14:paraId="460054EF" w14:textId="77777777" w:rsidR="00084F36" w:rsidRPr="00EB2BD8" w:rsidRDefault="00084F36">
      <w:pPr>
        <w:pStyle w:val="BodyText"/>
        <w:rPr>
          <w:sz w:val="20"/>
        </w:rPr>
      </w:pPr>
    </w:p>
    <w:p w14:paraId="15C7418C" w14:textId="77777777" w:rsidR="00084F36" w:rsidRPr="00EB2BD8" w:rsidRDefault="00084F36">
      <w:pPr>
        <w:pStyle w:val="BodyText"/>
        <w:rPr>
          <w:sz w:val="20"/>
        </w:rPr>
      </w:pPr>
    </w:p>
    <w:p w14:paraId="182A60D8" w14:textId="77777777" w:rsidR="00084F36" w:rsidRPr="00EB2BD8" w:rsidRDefault="00084F36">
      <w:pPr>
        <w:pStyle w:val="BodyText"/>
        <w:rPr>
          <w:sz w:val="20"/>
        </w:rPr>
      </w:pPr>
    </w:p>
    <w:p w14:paraId="2CD1EECD" w14:textId="77777777" w:rsidR="00084F36" w:rsidRPr="00EB2BD8" w:rsidRDefault="00084F36">
      <w:pPr>
        <w:pStyle w:val="BodyText"/>
        <w:spacing w:before="4"/>
        <w:rPr>
          <w:sz w:val="16"/>
        </w:rPr>
      </w:pPr>
    </w:p>
    <w:p w14:paraId="0CC2E805" w14:textId="77777777" w:rsidR="00084F36" w:rsidRPr="00EB2BD8" w:rsidRDefault="00EB2BD8" w:rsidP="00EB2BD8">
      <w:pPr>
        <w:pStyle w:val="Heading2"/>
      </w:pPr>
      <w:bookmarkStart w:id="160" w:name="_Toc150762462"/>
      <w:r w:rsidRPr="00EB2BD8">
        <w:t>Communication</w:t>
      </w:r>
      <w:r w:rsidRPr="00EB2BD8">
        <w:rPr>
          <w:spacing w:val="-4"/>
        </w:rPr>
        <w:t xml:space="preserve"> </w:t>
      </w:r>
      <w:r w:rsidRPr="00EB2BD8">
        <w:rPr>
          <w:spacing w:val="-2"/>
        </w:rPr>
        <w:t>Charter</w:t>
      </w:r>
      <w:bookmarkEnd w:id="160"/>
    </w:p>
    <w:p w14:paraId="2C4BCE7A" w14:textId="77777777" w:rsidR="00084F36" w:rsidRPr="00EB2BD8" w:rsidRDefault="00084F36">
      <w:pPr>
        <w:pStyle w:val="BodyText"/>
        <w:spacing w:before="6"/>
        <w:rPr>
          <w:b/>
          <w:sz w:val="14"/>
        </w:rPr>
      </w:pPr>
    </w:p>
    <w:p w14:paraId="733CDCCF" w14:textId="77777777" w:rsidR="00084F36" w:rsidRPr="00EB2BD8" w:rsidRDefault="00084F36">
      <w:pPr>
        <w:rPr>
          <w:sz w:val="14"/>
        </w:rPr>
        <w:sectPr w:rsidR="00084F36" w:rsidRPr="00EB2BD8" w:rsidSect="006D75B2">
          <w:footerReference w:type="default" r:id="rId188"/>
          <w:pgSz w:w="11910" w:h="16840"/>
          <w:pgMar w:top="1100" w:right="0" w:bottom="700" w:left="0" w:header="0" w:footer="515" w:gutter="0"/>
          <w:cols w:space="720"/>
        </w:sectPr>
      </w:pPr>
    </w:p>
    <w:p w14:paraId="00EFDDC6" w14:textId="77777777" w:rsidR="00084F36" w:rsidRPr="00EB2BD8" w:rsidRDefault="00EB2BD8">
      <w:pPr>
        <w:pStyle w:val="BodyText"/>
        <w:spacing w:before="95" w:line="261" w:lineRule="auto"/>
        <w:ind w:left="850" w:right="122"/>
      </w:pPr>
      <w:r w:rsidRPr="00EB2BD8">
        <w:t>The</w:t>
      </w:r>
      <w:r w:rsidRPr="00EB2BD8">
        <w:rPr>
          <w:spacing w:val="-6"/>
        </w:rPr>
        <w:t xml:space="preserve"> </w:t>
      </w:r>
      <w:r w:rsidRPr="00EB2BD8">
        <w:t>VBA</w:t>
      </w:r>
      <w:r w:rsidRPr="00EB2BD8">
        <w:rPr>
          <w:spacing w:val="-6"/>
        </w:rPr>
        <w:t xml:space="preserve"> </w:t>
      </w:r>
      <w:r w:rsidRPr="00EB2BD8">
        <w:t>chose</w:t>
      </w:r>
      <w:r w:rsidRPr="00EB2BD8">
        <w:rPr>
          <w:spacing w:val="-6"/>
        </w:rPr>
        <w:t xml:space="preserve"> </w:t>
      </w:r>
      <w:r w:rsidRPr="00EB2BD8">
        <w:t>to</w:t>
      </w:r>
      <w:r w:rsidRPr="00EB2BD8">
        <w:rPr>
          <w:spacing w:val="-6"/>
        </w:rPr>
        <w:t xml:space="preserve"> </w:t>
      </w:r>
      <w:r w:rsidRPr="00EB2BD8">
        <w:t>build</w:t>
      </w:r>
      <w:r w:rsidRPr="00EB2BD8">
        <w:rPr>
          <w:spacing w:val="-6"/>
        </w:rPr>
        <w:t xml:space="preserve"> </w:t>
      </w:r>
      <w:r w:rsidRPr="00EB2BD8">
        <w:t>on</w:t>
      </w:r>
      <w:r w:rsidRPr="00EB2BD8">
        <w:rPr>
          <w:spacing w:val="-6"/>
        </w:rPr>
        <w:t xml:space="preserve"> </w:t>
      </w:r>
      <w:r w:rsidRPr="00EB2BD8">
        <w:t>the</w:t>
      </w:r>
      <w:r w:rsidRPr="00EB2BD8">
        <w:rPr>
          <w:spacing w:val="-6"/>
        </w:rPr>
        <w:t xml:space="preserve"> </w:t>
      </w:r>
      <w:r w:rsidRPr="00EB2BD8">
        <w:t>Statement</w:t>
      </w:r>
      <w:r w:rsidRPr="00EB2BD8">
        <w:rPr>
          <w:spacing w:val="-6"/>
        </w:rPr>
        <w:t xml:space="preserve"> </w:t>
      </w:r>
      <w:r w:rsidRPr="00EB2BD8">
        <w:t>of</w:t>
      </w:r>
      <w:r w:rsidRPr="00EB2BD8">
        <w:rPr>
          <w:spacing w:val="-6"/>
        </w:rPr>
        <w:t xml:space="preserve"> </w:t>
      </w:r>
      <w:r w:rsidRPr="00EB2BD8">
        <w:t>Respect</w:t>
      </w:r>
      <w:r w:rsidRPr="00EB2BD8">
        <w:rPr>
          <w:spacing w:val="-6"/>
        </w:rPr>
        <w:t xml:space="preserve"> </w:t>
      </w:r>
      <w:r w:rsidRPr="00EB2BD8">
        <w:t>in 2022-23, by implementing a Communication Charter, to support our culture and enable our people to feel safe, valued and respected. The Charter formed a</w:t>
      </w:r>
    </w:p>
    <w:p w14:paraId="0D1BB00D" w14:textId="77777777" w:rsidR="00084F36" w:rsidRPr="00EB2BD8" w:rsidRDefault="00EB2BD8" w:rsidP="0080635B">
      <w:pPr>
        <w:pStyle w:val="BodyText"/>
        <w:spacing w:line="261" w:lineRule="auto"/>
        <w:ind w:left="850" w:right="197"/>
      </w:pPr>
      <w:r w:rsidRPr="00EB2BD8">
        <w:t>simple</w:t>
      </w:r>
      <w:r w:rsidRPr="00EB2BD8">
        <w:rPr>
          <w:spacing w:val="-3"/>
        </w:rPr>
        <w:t xml:space="preserve"> </w:t>
      </w:r>
      <w:r w:rsidRPr="00EB2BD8">
        <w:t>set</w:t>
      </w:r>
      <w:r w:rsidRPr="00EB2BD8">
        <w:rPr>
          <w:spacing w:val="-3"/>
        </w:rPr>
        <w:t xml:space="preserve"> </w:t>
      </w:r>
      <w:r w:rsidRPr="00EB2BD8">
        <w:t>of</w:t>
      </w:r>
      <w:r w:rsidRPr="00EB2BD8">
        <w:rPr>
          <w:spacing w:val="-3"/>
        </w:rPr>
        <w:t xml:space="preserve"> </w:t>
      </w:r>
      <w:r w:rsidRPr="00EB2BD8">
        <w:t>commitments</w:t>
      </w:r>
      <w:r w:rsidRPr="00EB2BD8">
        <w:rPr>
          <w:spacing w:val="-3"/>
        </w:rPr>
        <w:t xml:space="preserve"> </w:t>
      </w:r>
      <w:r w:rsidRPr="00EB2BD8">
        <w:t>and</w:t>
      </w:r>
      <w:r w:rsidRPr="00EB2BD8">
        <w:rPr>
          <w:spacing w:val="-3"/>
        </w:rPr>
        <w:t xml:space="preserve"> </w:t>
      </w:r>
      <w:r w:rsidRPr="00EB2BD8">
        <w:t>shared</w:t>
      </w:r>
      <w:r w:rsidRPr="00EB2BD8">
        <w:rPr>
          <w:spacing w:val="-3"/>
        </w:rPr>
        <w:t xml:space="preserve"> </w:t>
      </w:r>
      <w:r w:rsidRPr="00EB2BD8">
        <w:t>expectations</w:t>
      </w:r>
      <w:r w:rsidRPr="00EB2BD8">
        <w:rPr>
          <w:spacing w:val="-3"/>
        </w:rPr>
        <w:t xml:space="preserve"> </w:t>
      </w:r>
      <w:r w:rsidRPr="00EB2BD8">
        <w:t>of professional courtesy and mutual respect. The charter sets</w:t>
      </w:r>
      <w:r w:rsidRPr="00EB2BD8">
        <w:rPr>
          <w:spacing w:val="-7"/>
        </w:rPr>
        <w:t xml:space="preserve"> </w:t>
      </w:r>
      <w:r w:rsidRPr="00EB2BD8">
        <w:t>out</w:t>
      </w:r>
      <w:r w:rsidRPr="00EB2BD8">
        <w:rPr>
          <w:spacing w:val="-7"/>
        </w:rPr>
        <w:t xml:space="preserve"> </w:t>
      </w:r>
      <w:r w:rsidRPr="00EB2BD8">
        <w:t>expectations,</w:t>
      </w:r>
      <w:r w:rsidRPr="00EB2BD8">
        <w:rPr>
          <w:spacing w:val="-7"/>
        </w:rPr>
        <w:t xml:space="preserve"> </w:t>
      </w:r>
      <w:r w:rsidRPr="00EB2BD8">
        <w:t>is</w:t>
      </w:r>
      <w:r w:rsidRPr="00EB2BD8">
        <w:rPr>
          <w:spacing w:val="-7"/>
        </w:rPr>
        <w:t xml:space="preserve"> </w:t>
      </w:r>
      <w:r w:rsidRPr="00EB2BD8">
        <w:t>consistent</w:t>
      </w:r>
      <w:r w:rsidRPr="00EB2BD8">
        <w:rPr>
          <w:spacing w:val="-7"/>
        </w:rPr>
        <w:t xml:space="preserve"> </w:t>
      </w:r>
      <w:r w:rsidRPr="00EB2BD8">
        <w:t>with</w:t>
      </w:r>
      <w:r w:rsidRPr="00EB2BD8">
        <w:rPr>
          <w:spacing w:val="-7"/>
        </w:rPr>
        <w:t xml:space="preserve"> </w:t>
      </w:r>
      <w:r w:rsidRPr="00EB2BD8">
        <w:t>our</w:t>
      </w:r>
      <w:r w:rsidRPr="00EB2BD8">
        <w:rPr>
          <w:spacing w:val="-7"/>
        </w:rPr>
        <w:t xml:space="preserve"> </w:t>
      </w:r>
      <w:r w:rsidRPr="00EB2BD8">
        <w:t>values</w:t>
      </w:r>
      <w:r w:rsidRPr="00EB2BD8">
        <w:rPr>
          <w:spacing w:val="-7"/>
        </w:rPr>
        <w:t xml:space="preserve"> </w:t>
      </w:r>
      <w:r w:rsidRPr="00EB2BD8">
        <w:t>and ways of working, and provides a foundation for people and</w:t>
      </w:r>
      <w:r w:rsidRPr="00EB2BD8">
        <w:rPr>
          <w:spacing w:val="-8"/>
        </w:rPr>
        <w:t xml:space="preserve"> </w:t>
      </w:r>
      <w:r w:rsidRPr="00EB2BD8">
        <w:t>culture</w:t>
      </w:r>
      <w:r w:rsidRPr="00EB2BD8">
        <w:rPr>
          <w:spacing w:val="-8"/>
        </w:rPr>
        <w:t xml:space="preserve"> </w:t>
      </w:r>
      <w:r w:rsidRPr="00EB2BD8">
        <w:t>focus.</w:t>
      </w:r>
      <w:r w:rsidRPr="00EB2BD8">
        <w:rPr>
          <w:spacing w:val="-8"/>
        </w:rPr>
        <w:t xml:space="preserve"> </w:t>
      </w:r>
      <w:r w:rsidRPr="00EB2BD8">
        <w:t>The</w:t>
      </w:r>
      <w:r w:rsidRPr="00EB2BD8">
        <w:rPr>
          <w:spacing w:val="-8"/>
        </w:rPr>
        <w:t xml:space="preserve"> </w:t>
      </w:r>
      <w:r w:rsidRPr="00EB2BD8">
        <w:t>charter</w:t>
      </w:r>
      <w:r w:rsidRPr="00EB2BD8">
        <w:rPr>
          <w:spacing w:val="-8"/>
        </w:rPr>
        <w:t xml:space="preserve"> </w:t>
      </w:r>
      <w:r w:rsidRPr="00EB2BD8">
        <w:t>was</w:t>
      </w:r>
      <w:r w:rsidRPr="00EB2BD8">
        <w:rPr>
          <w:spacing w:val="-8"/>
        </w:rPr>
        <w:t xml:space="preserve"> </w:t>
      </w:r>
      <w:r w:rsidRPr="00EB2BD8">
        <w:t>informed</w:t>
      </w:r>
      <w:r w:rsidRPr="00EB2BD8">
        <w:rPr>
          <w:spacing w:val="-8"/>
        </w:rPr>
        <w:t xml:space="preserve"> </w:t>
      </w:r>
      <w:r w:rsidRPr="00EB2BD8">
        <w:t>by</w:t>
      </w:r>
      <w:r w:rsidRPr="00EB2BD8">
        <w:rPr>
          <w:spacing w:val="-8"/>
        </w:rPr>
        <w:t xml:space="preserve"> </w:t>
      </w:r>
      <w:r w:rsidRPr="00EB2BD8">
        <w:t>a</w:t>
      </w:r>
      <w:r w:rsidRPr="00EB2BD8">
        <w:rPr>
          <w:spacing w:val="-8"/>
        </w:rPr>
        <w:t xml:space="preserve"> </w:t>
      </w:r>
      <w:r w:rsidRPr="00EB2BD8">
        <w:t>whole of organisation involvement, face-to-face workshops, and specialist completion of a 90-minute Class Act Communications program that involved our people with videos and the completion of brief surveys. The feedback</w:t>
      </w:r>
      <w:r w:rsidRPr="00EB2BD8">
        <w:rPr>
          <w:spacing w:val="-2"/>
        </w:rPr>
        <w:t xml:space="preserve"> </w:t>
      </w:r>
      <w:r w:rsidRPr="00EB2BD8">
        <w:t>was</w:t>
      </w:r>
      <w:r w:rsidRPr="00EB2BD8">
        <w:rPr>
          <w:spacing w:val="-2"/>
        </w:rPr>
        <w:t xml:space="preserve"> </w:t>
      </w:r>
      <w:r w:rsidRPr="00EB2BD8">
        <w:t>refined</w:t>
      </w:r>
      <w:r w:rsidRPr="00EB2BD8">
        <w:rPr>
          <w:spacing w:val="-2"/>
        </w:rPr>
        <w:t xml:space="preserve"> </w:t>
      </w:r>
      <w:r w:rsidRPr="00EB2BD8">
        <w:t>by</w:t>
      </w:r>
      <w:r w:rsidRPr="00EB2BD8">
        <w:rPr>
          <w:spacing w:val="-2"/>
        </w:rPr>
        <w:t xml:space="preserve"> </w:t>
      </w:r>
      <w:r w:rsidRPr="00EB2BD8">
        <w:t>an</w:t>
      </w:r>
      <w:r w:rsidRPr="00EB2BD8">
        <w:rPr>
          <w:spacing w:val="-2"/>
        </w:rPr>
        <w:t xml:space="preserve"> </w:t>
      </w:r>
      <w:r w:rsidRPr="00EB2BD8">
        <w:t>expert</w:t>
      </w:r>
      <w:r w:rsidRPr="00EB2BD8">
        <w:rPr>
          <w:spacing w:val="-2"/>
        </w:rPr>
        <w:t xml:space="preserve"> </w:t>
      </w:r>
      <w:r w:rsidRPr="00EB2BD8">
        <w:t>team</w:t>
      </w:r>
      <w:r w:rsidRPr="00EB2BD8">
        <w:rPr>
          <w:spacing w:val="-2"/>
        </w:rPr>
        <w:t xml:space="preserve"> </w:t>
      </w:r>
      <w:r w:rsidRPr="00EB2BD8">
        <w:t>to</w:t>
      </w:r>
      <w:r w:rsidRPr="00EB2BD8">
        <w:rPr>
          <w:spacing w:val="-2"/>
        </w:rPr>
        <w:t xml:space="preserve"> </w:t>
      </w:r>
      <w:r w:rsidRPr="00EB2BD8">
        <w:t>develop</w:t>
      </w:r>
      <w:r w:rsidRPr="00EB2BD8">
        <w:rPr>
          <w:spacing w:val="-2"/>
        </w:rPr>
        <w:t xml:space="preserve"> </w:t>
      </w:r>
      <w:r w:rsidRPr="00EB2BD8">
        <w:t>the final Communication Charter.</w:t>
      </w:r>
    </w:p>
    <w:p w14:paraId="7A3DA243" w14:textId="77777777" w:rsidR="00084F36" w:rsidRPr="00EB2BD8" w:rsidRDefault="00EB2BD8">
      <w:pPr>
        <w:pStyle w:val="BodyText"/>
        <w:spacing w:before="98" w:line="261" w:lineRule="auto"/>
        <w:ind w:left="850" w:right="144"/>
      </w:pPr>
      <w:r w:rsidRPr="00EB2BD8">
        <w:t>The Charter includes five key areas of emphasis: manner over matter, professional courtesy, looking after</w:t>
      </w:r>
      <w:r w:rsidRPr="00EB2BD8">
        <w:rPr>
          <w:spacing w:val="-6"/>
        </w:rPr>
        <w:t xml:space="preserve"> </w:t>
      </w:r>
      <w:r w:rsidRPr="00EB2BD8">
        <w:t>each</w:t>
      </w:r>
      <w:r w:rsidRPr="00EB2BD8">
        <w:rPr>
          <w:spacing w:val="-6"/>
        </w:rPr>
        <w:t xml:space="preserve"> </w:t>
      </w:r>
      <w:r w:rsidRPr="00EB2BD8">
        <w:t>other,</w:t>
      </w:r>
      <w:r w:rsidRPr="00EB2BD8">
        <w:rPr>
          <w:spacing w:val="-6"/>
        </w:rPr>
        <w:t xml:space="preserve"> </w:t>
      </w:r>
      <w:r w:rsidRPr="00EB2BD8">
        <w:t>raising</w:t>
      </w:r>
      <w:r w:rsidRPr="00EB2BD8">
        <w:rPr>
          <w:spacing w:val="-6"/>
        </w:rPr>
        <w:t xml:space="preserve"> </w:t>
      </w:r>
      <w:r w:rsidRPr="00EB2BD8">
        <w:t>problems</w:t>
      </w:r>
      <w:r w:rsidRPr="00EB2BD8">
        <w:rPr>
          <w:spacing w:val="-6"/>
        </w:rPr>
        <w:t xml:space="preserve"> </w:t>
      </w:r>
      <w:r w:rsidRPr="00EB2BD8">
        <w:t>constructively</w:t>
      </w:r>
      <w:r w:rsidRPr="00EB2BD8">
        <w:rPr>
          <w:spacing w:val="-6"/>
        </w:rPr>
        <w:t xml:space="preserve"> </w:t>
      </w:r>
      <w:r w:rsidRPr="00EB2BD8">
        <w:t xml:space="preserve">and </w:t>
      </w:r>
      <w:r w:rsidRPr="00EB2BD8">
        <w:rPr>
          <w:spacing w:val="-2"/>
        </w:rPr>
        <w:t>listening.</w:t>
      </w:r>
    </w:p>
    <w:p w14:paraId="2986CAE2" w14:textId="77777777" w:rsidR="00084F36" w:rsidRPr="00EB2BD8" w:rsidRDefault="00EB2BD8">
      <w:pPr>
        <w:pStyle w:val="BodyText"/>
        <w:spacing w:before="109" w:line="261" w:lineRule="auto"/>
        <w:ind w:left="850"/>
      </w:pPr>
      <w:r w:rsidRPr="00EB2BD8">
        <w:t>Our people are actively working to embed these principles into our practices, processes and policies, with</w:t>
      </w:r>
      <w:r w:rsidRPr="00EB2BD8">
        <w:rPr>
          <w:spacing w:val="-7"/>
        </w:rPr>
        <w:t xml:space="preserve"> </w:t>
      </w:r>
      <w:r w:rsidRPr="00EB2BD8">
        <w:t>our</w:t>
      </w:r>
      <w:r w:rsidRPr="00EB2BD8">
        <w:rPr>
          <w:spacing w:val="-7"/>
        </w:rPr>
        <w:t xml:space="preserve"> </w:t>
      </w:r>
      <w:r w:rsidRPr="00EB2BD8">
        <w:t>people</w:t>
      </w:r>
      <w:r w:rsidRPr="00EB2BD8">
        <w:rPr>
          <w:spacing w:val="-7"/>
        </w:rPr>
        <w:t xml:space="preserve"> </w:t>
      </w:r>
      <w:r w:rsidRPr="00EB2BD8">
        <w:t>empowered</w:t>
      </w:r>
      <w:r w:rsidRPr="00EB2BD8">
        <w:rPr>
          <w:spacing w:val="-7"/>
        </w:rPr>
        <w:t xml:space="preserve"> </w:t>
      </w:r>
      <w:r w:rsidRPr="00EB2BD8">
        <w:t>to</w:t>
      </w:r>
      <w:r w:rsidRPr="00EB2BD8">
        <w:rPr>
          <w:spacing w:val="-7"/>
        </w:rPr>
        <w:t xml:space="preserve"> </w:t>
      </w:r>
      <w:r w:rsidRPr="00EB2BD8">
        <w:t>support</w:t>
      </w:r>
      <w:r w:rsidRPr="00EB2BD8">
        <w:rPr>
          <w:spacing w:val="-7"/>
        </w:rPr>
        <w:t xml:space="preserve"> </w:t>
      </w:r>
      <w:r w:rsidRPr="00EB2BD8">
        <w:t>the</w:t>
      </w:r>
      <w:r w:rsidRPr="00EB2BD8">
        <w:rPr>
          <w:spacing w:val="-7"/>
        </w:rPr>
        <w:t xml:space="preserve"> </w:t>
      </w:r>
      <w:r w:rsidRPr="00EB2BD8">
        <w:t>charter</w:t>
      </w:r>
      <w:r w:rsidRPr="00EB2BD8">
        <w:rPr>
          <w:spacing w:val="-7"/>
        </w:rPr>
        <w:t xml:space="preserve"> </w:t>
      </w:r>
      <w:r w:rsidRPr="00EB2BD8">
        <w:t>by talking about it with colleagues and managers.</w:t>
      </w:r>
    </w:p>
    <w:p w14:paraId="2DAE5D4A" w14:textId="77777777" w:rsidR="00084F36" w:rsidRPr="00EB2BD8" w:rsidRDefault="00084F36">
      <w:pPr>
        <w:pStyle w:val="BodyText"/>
        <w:rPr>
          <w:sz w:val="20"/>
        </w:rPr>
      </w:pPr>
    </w:p>
    <w:p w14:paraId="153D9948" w14:textId="73472C2F" w:rsidR="00084F36" w:rsidRDefault="00065899" w:rsidP="00065899">
      <w:pPr>
        <w:pStyle w:val="Heading2"/>
        <w:rPr>
          <w:spacing w:val="-2"/>
        </w:rPr>
      </w:pPr>
      <w:r>
        <w:br/>
      </w:r>
      <w:bookmarkStart w:id="161" w:name="_Toc150762463"/>
      <w:r w:rsidR="00EB2BD8" w:rsidRPr="00EB2BD8">
        <w:t>Organisation</w:t>
      </w:r>
      <w:r w:rsidR="00EB2BD8" w:rsidRPr="00EB2BD8">
        <w:rPr>
          <w:spacing w:val="-4"/>
        </w:rPr>
        <w:t xml:space="preserve"> </w:t>
      </w:r>
      <w:r w:rsidR="00EB2BD8" w:rsidRPr="00EB2BD8">
        <w:rPr>
          <w:spacing w:val="-2"/>
        </w:rPr>
        <w:t>Chart</w:t>
      </w:r>
      <w:bookmarkEnd w:id="161"/>
    </w:p>
    <w:p w14:paraId="4812DAC8" w14:textId="77777777" w:rsidR="00261ECB" w:rsidRDefault="00261ECB" w:rsidP="00261ECB"/>
    <w:p w14:paraId="01BCC9F3" w14:textId="37BF7484" w:rsidR="00261ECB" w:rsidRDefault="00261ECB" w:rsidP="00261ECB">
      <w:pPr>
        <w:pStyle w:val="Heading9"/>
        <w:spacing w:before="119"/>
        <w:ind w:left="851"/>
        <w:rPr>
          <w:rFonts w:ascii="Arial" w:eastAsiaTheme="minorHAnsi" w:hAnsi="Arial" w:cs="Arial"/>
          <w:sz w:val="18"/>
          <w:szCs w:val="18"/>
          <w:lang w:val="en-GB"/>
        </w:rPr>
      </w:pPr>
      <w:r w:rsidRPr="005B1F28">
        <w:rPr>
          <w:rFonts w:ascii="Arial" w:hAnsi="Arial" w:cs="Arial"/>
          <w:b/>
          <w:spacing w:val="-2"/>
          <w:sz w:val="18"/>
          <w:szCs w:val="18"/>
        </w:rPr>
        <w:t>Chief Executive Officer</w:t>
      </w:r>
      <w:r w:rsidR="0080635B">
        <w:rPr>
          <w:rFonts w:ascii="Arial" w:hAnsi="Arial" w:cs="Arial"/>
          <w:b/>
          <w:spacing w:val="-2"/>
          <w:sz w:val="18"/>
          <w:szCs w:val="18"/>
        </w:rPr>
        <w:t xml:space="preserve">, </w:t>
      </w:r>
      <w:r w:rsidRPr="005B1F28">
        <w:rPr>
          <w:rFonts w:ascii="Arial" w:hAnsi="Arial" w:cs="Arial"/>
          <w:bCs/>
          <w:spacing w:val="-2"/>
          <w:sz w:val="18"/>
          <w:szCs w:val="18"/>
        </w:rPr>
        <w:t>Anna Cronin</w:t>
      </w:r>
      <w:r w:rsidRPr="005B1F28">
        <w:rPr>
          <w:rFonts w:ascii="Arial" w:hAnsi="Arial" w:cs="Arial"/>
          <w:bCs/>
          <w:spacing w:val="-2"/>
          <w:sz w:val="18"/>
          <w:szCs w:val="18"/>
        </w:rPr>
        <w:br/>
      </w:r>
      <w:r w:rsidRPr="005B1F28">
        <w:rPr>
          <w:rFonts w:ascii="Arial" w:hAnsi="Arial" w:cs="Arial"/>
          <w:bCs/>
          <w:spacing w:val="-2"/>
          <w:sz w:val="18"/>
          <w:szCs w:val="18"/>
        </w:rPr>
        <w:br/>
      </w:r>
      <w:r w:rsidRPr="005B1F28">
        <w:rPr>
          <w:rFonts w:ascii="Arial" w:eastAsiaTheme="minorHAnsi" w:hAnsi="Arial" w:cs="Arial"/>
          <w:b/>
          <w:bCs/>
          <w:sz w:val="18"/>
          <w:szCs w:val="18"/>
          <w:lang w:val="en-GB"/>
        </w:rPr>
        <w:t>Director of Governance</w:t>
      </w:r>
      <w:r w:rsidR="0080635B">
        <w:rPr>
          <w:rFonts w:ascii="Arial" w:eastAsiaTheme="minorHAnsi" w:hAnsi="Arial" w:cs="Arial"/>
          <w:b/>
          <w:bCs/>
          <w:sz w:val="18"/>
          <w:szCs w:val="18"/>
          <w:lang w:val="en-GB"/>
        </w:rPr>
        <w:t xml:space="preserve">, </w:t>
      </w:r>
      <w:r w:rsidRPr="005B1F28">
        <w:rPr>
          <w:rFonts w:ascii="Arial" w:eastAsiaTheme="minorHAnsi" w:hAnsi="Arial" w:cs="Arial"/>
          <w:sz w:val="18"/>
          <w:szCs w:val="18"/>
          <w:lang w:val="en-GB"/>
        </w:rPr>
        <w:t>John Sullivan</w:t>
      </w:r>
    </w:p>
    <w:p w14:paraId="0865644C" w14:textId="296C9C5A" w:rsidR="0080635B" w:rsidRDefault="0080635B" w:rsidP="00261ECB">
      <w:pPr>
        <w:pStyle w:val="Heading9"/>
        <w:spacing w:before="119"/>
        <w:ind w:left="851"/>
        <w:rPr>
          <w:rFonts w:ascii="Arial" w:eastAsiaTheme="minorHAnsi" w:hAnsi="Arial" w:cs="Arial"/>
          <w:sz w:val="18"/>
          <w:szCs w:val="18"/>
          <w:lang w:val="en-GB"/>
        </w:rPr>
      </w:pPr>
    </w:p>
    <w:p w14:paraId="73231362" w14:textId="2C2BEDA6" w:rsidR="0080635B" w:rsidRDefault="0080635B" w:rsidP="00261ECB">
      <w:pPr>
        <w:pStyle w:val="Heading9"/>
        <w:spacing w:before="119"/>
        <w:ind w:left="851"/>
        <w:rPr>
          <w:rFonts w:ascii="Arial" w:eastAsiaTheme="minorHAnsi" w:hAnsi="Arial" w:cs="Arial"/>
          <w:sz w:val="18"/>
          <w:szCs w:val="18"/>
          <w:lang w:val="en-GB"/>
        </w:rPr>
      </w:pPr>
      <w:r>
        <w:rPr>
          <w:rFonts w:ascii="Arial" w:eastAsiaTheme="minorHAnsi" w:hAnsi="Arial" w:cs="Arial"/>
          <w:sz w:val="18"/>
          <w:szCs w:val="18"/>
          <w:lang w:val="en-GB"/>
        </w:rPr>
        <w:t>Reporting lines to the above:</w:t>
      </w:r>
    </w:p>
    <w:p w14:paraId="7DD0E707" w14:textId="119BCAF1" w:rsidR="0080635B" w:rsidRDefault="0080635B" w:rsidP="0080635B">
      <w:pPr>
        <w:pStyle w:val="Heading9"/>
        <w:numPr>
          <w:ilvl w:val="0"/>
          <w:numId w:val="81"/>
        </w:numPr>
        <w:spacing w:before="119"/>
        <w:rPr>
          <w:rFonts w:ascii="Arial" w:eastAsiaTheme="minorHAnsi" w:hAnsi="Arial" w:cs="Arial"/>
          <w:sz w:val="18"/>
          <w:szCs w:val="18"/>
          <w:lang w:val="en-GB"/>
        </w:rPr>
      </w:pPr>
      <w:r w:rsidRPr="005B1F28">
        <w:rPr>
          <w:rFonts w:ascii="Arial" w:hAnsi="Arial" w:cs="Arial"/>
          <w:b/>
          <w:spacing w:val="-2"/>
          <w:sz w:val="18"/>
          <w:szCs w:val="18"/>
        </w:rPr>
        <w:t>Chief Risk Officer</w:t>
      </w:r>
      <w:r>
        <w:rPr>
          <w:rFonts w:ascii="Arial" w:hAnsi="Arial" w:cs="Arial"/>
          <w:b/>
          <w:spacing w:val="-2"/>
          <w:sz w:val="18"/>
          <w:szCs w:val="18"/>
        </w:rPr>
        <w:t xml:space="preserve">, </w:t>
      </w:r>
      <w:r w:rsidRPr="005B1F28">
        <w:rPr>
          <w:rFonts w:ascii="Arial" w:eastAsiaTheme="minorHAnsi" w:hAnsi="Arial" w:cs="Arial"/>
          <w:sz w:val="18"/>
          <w:szCs w:val="18"/>
          <w:lang w:val="en-GB"/>
        </w:rPr>
        <w:t>Todd Bentley</w:t>
      </w:r>
    </w:p>
    <w:p w14:paraId="32D871A8" w14:textId="24634177" w:rsidR="0080635B" w:rsidRDefault="0080635B" w:rsidP="0080635B">
      <w:pPr>
        <w:pStyle w:val="Heading9"/>
        <w:numPr>
          <w:ilvl w:val="0"/>
          <w:numId w:val="81"/>
        </w:numPr>
        <w:spacing w:before="119"/>
        <w:rPr>
          <w:rFonts w:ascii="Arial" w:eastAsiaTheme="minorHAnsi" w:hAnsi="Arial" w:cs="Arial"/>
          <w:sz w:val="18"/>
          <w:szCs w:val="18"/>
          <w:lang w:val="en-GB"/>
        </w:rPr>
      </w:pPr>
      <w:r w:rsidRPr="005B1F28">
        <w:rPr>
          <w:rFonts w:ascii="Arial" w:eastAsiaTheme="minorHAnsi" w:hAnsi="Arial" w:cs="Arial"/>
          <w:b/>
          <w:bCs/>
          <w:sz w:val="18"/>
          <w:szCs w:val="18"/>
          <w:lang w:val="en-GB"/>
        </w:rPr>
        <w:t>State Building Surveyor</w:t>
      </w:r>
      <w:r>
        <w:rPr>
          <w:rFonts w:ascii="Arial" w:eastAsiaTheme="minorHAnsi" w:hAnsi="Arial" w:cs="Arial"/>
          <w:b/>
          <w:bCs/>
          <w:sz w:val="18"/>
          <w:szCs w:val="18"/>
          <w:lang w:val="en-GB"/>
        </w:rPr>
        <w:t xml:space="preserve">, </w:t>
      </w:r>
      <w:r w:rsidRPr="005B1F28">
        <w:rPr>
          <w:rFonts w:ascii="Arial" w:eastAsiaTheme="minorHAnsi" w:hAnsi="Arial" w:cs="Arial"/>
          <w:sz w:val="18"/>
          <w:szCs w:val="18"/>
          <w:lang w:val="en-GB"/>
        </w:rPr>
        <w:t>Andrew Cialini</w:t>
      </w:r>
    </w:p>
    <w:p w14:paraId="1C56361C" w14:textId="635B87A6" w:rsidR="0080635B" w:rsidRPr="0080635B" w:rsidRDefault="0080635B" w:rsidP="0080635B">
      <w:pPr>
        <w:pStyle w:val="Heading9"/>
        <w:numPr>
          <w:ilvl w:val="0"/>
          <w:numId w:val="81"/>
        </w:numPr>
        <w:spacing w:before="119"/>
        <w:rPr>
          <w:rFonts w:ascii="Arial" w:eastAsiaTheme="minorHAnsi" w:hAnsi="Arial" w:cs="Arial"/>
          <w:sz w:val="18"/>
          <w:szCs w:val="18"/>
          <w:lang w:val="en-GB"/>
        </w:rPr>
      </w:pPr>
      <w:r w:rsidRPr="005B1F28">
        <w:rPr>
          <w:rFonts w:ascii="Arial" w:eastAsiaTheme="minorHAnsi" w:hAnsi="Arial" w:cs="Arial"/>
          <w:b/>
          <w:bCs/>
          <w:sz w:val="18"/>
          <w:szCs w:val="18"/>
          <w:lang w:val="en-GB"/>
        </w:rPr>
        <w:t>Chief Finance Officer</w:t>
      </w:r>
      <w:r>
        <w:rPr>
          <w:rFonts w:ascii="Arial" w:eastAsiaTheme="minorHAnsi" w:hAnsi="Arial" w:cs="Arial"/>
          <w:b/>
          <w:bCs/>
          <w:sz w:val="18"/>
          <w:szCs w:val="18"/>
          <w:lang w:val="en-GB"/>
        </w:rPr>
        <w:t xml:space="preserve">, </w:t>
      </w:r>
      <w:r w:rsidRPr="005B1F28">
        <w:rPr>
          <w:rFonts w:ascii="Arial" w:eastAsiaTheme="minorHAnsi" w:hAnsi="Arial" w:cs="Arial"/>
          <w:sz w:val="18"/>
          <w:szCs w:val="18"/>
          <w:lang w:val="en-GB"/>
        </w:rPr>
        <w:t xml:space="preserve">Katrina Excell </w:t>
      </w:r>
      <w:r w:rsidRPr="005B1F28">
        <w:rPr>
          <w:rFonts w:ascii="MS Gothic" w:eastAsia="MS Gothic" w:hAnsi="MS Gothic" w:cs="MS Gothic" w:hint="eastAsia"/>
          <w:sz w:val="18"/>
          <w:szCs w:val="18"/>
          <w:lang w:val="en-GB"/>
        </w:rPr>
        <w:t> </w:t>
      </w:r>
    </w:p>
    <w:p w14:paraId="612CDFA1" w14:textId="193161ED" w:rsidR="0080635B" w:rsidRDefault="0080635B" w:rsidP="0080635B">
      <w:pPr>
        <w:pStyle w:val="Heading9"/>
        <w:numPr>
          <w:ilvl w:val="0"/>
          <w:numId w:val="81"/>
        </w:numPr>
        <w:spacing w:before="119"/>
        <w:rPr>
          <w:rFonts w:ascii="Arial" w:eastAsiaTheme="minorHAnsi" w:hAnsi="Arial" w:cs="Arial"/>
          <w:sz w:val="18"/>
          <w:szCs w:val="18"/>
          <w:lang w:val="en-GB"/>
        </w:rPr>
      </w:pPr>
      <w:r w:rsidRPr="005B1F28">
        <w:rPr>
          <w:rFonts w:ascii="Arial" w:eastAsiaTheme="minorHAnsi" w:hAnsi="Arial" w:cs="Arial"/>
          <w:b/>
          <w:bCs/>
          <w:sz w:val="18"/>
          <w:szCs w:val="18"/>
          <w:lang w:val="en-GB"/>
        </w:rPr>
        <w:t>Chief Operations Officer</w:t>
      </w:r>
      <w:r>
        <w:rPr>
          <w:rFonts w:ascii="Arial" w:eastAsiaTheme="minorHAnsi" w:hAnsi="Arial" w:cs="Arial"/>
          <w:b/>
          <w:bCs/>
          <w:sz w:val="18"/>
          <w:szCs w:val="18"/>
          <w:lang w:val="en-GB"/>
        </w:rPr>
        <w:t xml:space="preserve">, </w:t>
      </w:r>
      <w:r w:rsidRPr="005B1F28">
        <w:rPr>
          <w:rFonts w:ascii="Arial" w:eastAsiaTheme="minorHAnsi" w:hAnsi="Arial" w:cs="Arial"/>
          <w:sz w:val="18"/>
          <w:szCs w:val="18"/>
          <w:lang w:val="en-GB"/>
        </w:rPr>
        <w:t>Ann King</w:t>
      </w:r>
    </w:p>
    <w:p w14:paraId="3E5886E7" w14:textId="35AD2A1C" w:rsidR="0080635B" w:rsidRDefault="0080635B" w:rsidP="0080635B">
      <w:pPr>
        <w:pStyle w:val="Heading9"/>
        <w:numPr>
          <w:ilvl w:val="0"/>
          <w:numId w:val="81"/>
        </w:numPr>
        <w:spacing w:before="119"/>
        <w:ind w:right="-1078"/>
        <w:rPr>
          <w:rFonts w:ascii="Arial" w:eastAsiaTheme="minorHAnsi" w:hAnsi="Arial" w:cs="Arial"/>
          <w:sz w:val="18"/>
          <w:szCs w:val="18"/>
          <w:lang w:val="en-GB"/>
        </w:rPr>
      </w:pPr>
      <w:r w:rsidRPr="005B1F28">
        <w:rPr>
          <w:rFonts w:ascii="Arial" w:eastAsiaTheme="minorHAnsi" w:hAnsi="Arial" w:cs="Arial"/>
          <w:b/>
          <w:bCs/>
          <w:sz w:val="18"/>
          <w:szCs w:val="18"/>
          <w:lang w:val="en-GB"/>
        </w:rPr>
        <w:t>Acting Executive Director People &amp; Capability</w:t>
      </w:r>
      <w:r>
        <w:rPr>
          <w:rFonts w:ascii="Arial" w:eastAsiaTheme="minorHAnsi" w:hAnsi="Arial" w:cs="Arial"/>
          <w:b/>
          <w:bCs/>
          <w:sz w:val="18"/>
          <w:szCs w:val="18"/>
          <w:lang w:val="en-GB"/>
        </w:rPr>
        <w:t xml:space="preserve">, </w:t>
      </w:r>
      <w:r>
        <w:rPr>
          <w:rFonts w:ascii="Arial" w:eastAsiaTheme="minorHAnsi" w:hAnsi="Arial" w:cs="Arial"/>
          <w:sz w:val="18"/>
          <w:szCs w:val="18"/>
          <w:lang w:val="en-GB"/>
        </w:rPr>
        <w:br/>
      </w:r>
      <w:r w:rsidRPr="0080635B">
        <w:rPr>
          <w:rFonts w:ascii="Arial" w:eastAsiaTheme="minorHAnsi" w:hAnsi="Arial" w:cs="Arial"/>
          <w:sz w:val="18"/>
          <w:szCs w:val="18"/>
          <w:lang w:val="en-GB"/>
        </w:rPr>
        <w:t>Lee Scales</w:t>
      </w:r>
    </w:p>
    <w:p w14:paraId="490A7144" w14:textId="2978F92A" w:rsidR="0080635B" w:rsidRPr="0080635B" w:rsidRDefault="0080635B" w:rsidP="0080635B">
      <w:pPr>
        <w:pStyle w:val="Heading9"/>
        <w:numPr>
          <w:ilvl w:val="0"/>
          <w:numId w:val="81"/>
        </w:numPr>
        <w:spacing w:before="119"/>
        <w:ind w:right="-1078"/>
        <w:rPr>
          <w:rFonts w:ascii="Arial" w:eastAsiaTheme="minorHAnsi" w:hAnsi="Arial" w:cs="Arial"/>
          <w:sz w:val="18"/>
          <w:szCs w:val="18"/>
          <w:lang w:val="en-GB"/>
        </w:rPr>
      </w:pPr>
      <w:r w:rsidRPr="005B1F28">
        <w:rPr>
          <w:rFonts w:ascii="Arial" w:eastAsiaTheme="minorHAnsi" w:hAnsi="Arial" w:cs="Arial"/>
          <w:b/>
          <w:bCs/>
          <w:sz w:val="18"/>
          <w:szCs w:val="18"/>
          <w:lang w:val="en-GB"/>
        </w:rPr>
        <w:t>Executive Director Building System Technology</w:t>
      </w:r>
      <w:r>
        <w:rPr>
          <w:rFonts w:ascii="Arial" w:eastAsiaTheme="minorHAnsi" w:hAnsi="Arial" w:cs="Arial"/>
          <w:b/>
          <w:bCs/>
          <w:sz w:val="18"/>
          <w:szCs w:val="18"/>
          <w:lang w:val="en-GB"/>
        </w:rPr>
        <w:t>,</w:t>
      </w:r>
      <w:r w:rsidRPr="005B1F28">
        <w:rPr>
          <w:rFonts w:ascii="Arial" w:eastAsiaTheme="minorHAnsi" w:hAnsi="Arial" w:cs="Arial"/>
          <w:b/>
          <w:bCs/>
          <w:sz w:val="18"/>
          <w:szCs w:val="18"/>
          <w:lang w:val="en-GB"/>
        </w:rPr>
        <w:br/>
      </w:r>
      <w:r w:rsidRPr="005B1F28">
        <w:rPr>
          <w:rFonts w:ascii="Arial" w:eastAsiaTheme="minorHAnsi" w:hAnsi="Arial" w:cs="Arial"/>
          <w:sz w:val="18"/>
          <w:szCs w:val="18"/>
          <w:lang w:val="en-GB"/>
        </w:rPr>
        <w:t>David Black</w:t>
      </w:r>
    </w:p>
    <w:p w14:paraId="021AE344" w14:textId="77777777" w:rsidR="00261ECB" w:rsidRPr="00261ECB" w:rsidRDefault="00261ECB" w:rsidP="00261ECB"/>
    <w:p w14:paraId="22188D13" w14:textId="27D28D95" w:rsidR="005B1F28" w:rsidRPr="005B1F28" w:rsidRDefault="005B1F28">
      <w:pPr>
        <w:pStyle w:val="Heading9"/>
        <w:spacing w:before="119"/>
        <w:rPr>
          <w:rFonts w:ascii="Arial" w:eastAsiaTheme="minorHAnsi" w:hAnsi="Arial" w:cs="Arial"/>
          <w:sz w:val="18"/>
          <w:szCs w:val="18"/>
          <w:lang w:val="en-GB"/>
        </w:rPr>
      </w:pPr>
      <w:r>
        <w:rPr>
          <w:b/>
          <w:spacing w:val="-2"/>
          <w:sz w:val="20"/>
          <w:szCs w:val="20"/>
        </w:rPr>
        <w:br/>
      </w:r>
    </w:p>
    <w:p w14:paraId="20A351CE" w14:textId="538E4938" w:rsidR="005B1F28" w:rsidRPr="005B1F28" w:rsidRDefault="005B1F28">
      <w:pPr>
        <w:pStyle w:val="Heading9"/>
        <w:spacing w:before="119"/>
        <w:rPr>
          <w:bCs/>
          <w:sz w:val="20"/>
          <w:szCs w:val="20"/>
        </w:rPr>
      </w:pPr>
      <w:r>
        <w:rPr>
          <w:bCs/>
          <w:spacing w:val="-2"/>
          <w:sz w:val="20"/>
          <w:szCs w:val="20"/>
        </w:rPr>
        <w:br/>
      </w:r>
    </w:p>
    <w:p w14:paraId="772E17E0" w14:textId="77777777" w:rsidR="00084F36" w:rsidRPr="005B1F28" w:rsidRDefault="00EB2BD8">
      <w:pPr>
        <w:spacing w:before="1" w:after="24"/>
        <w:rPr>
          <w:bCs/>
          <w:sz w:val="20"/>
          <w:szCs w:val="20"/>
        </w:rPr>
      </w:pPr>
      <w:r w:rsidRPr="005B1F28">
        <w:rPr>
          <w:bCs/>
          <w:sz w:val="20"/>
          <w:szCs w:val="20"/>
        </w:rPr>
        <w:br w:type="column"/>
      </w:r>
    </w:p>
    <w:p w14:paraId="3E56D979" w14:textId="1B49506C" w:rsidR="00084F36" w:rsidRPr="005B1F28" w:rsidRDefault="00084F36">
      <w:pPr>
        <w:pStyle w:val="BodyText"/>
        <w:ind w:left="850"/>
        <w:rPr>
          <w:bCs/>
          <w:sz w:val="20"/>
          <w:szCs w:val="20"/>
        </w:rPr>
      </w:pPr>
    </w:p>
    <w:p w14:paraId="24E1BC6B" w14:textId="77777777" w:rsidR="00084F36" w:rsidRPr="005B1F28" w:rsidRDefault="00084F36">
      <w:pPr>
        <w:pStyle w:val="BodyText"/>
        <w:rPr>
          <w:bCs/>
          <w:sz w:val="20"/>
          <w:szCs w:val="20"/>
        </w:rPr>
      </w:pPr>
    </w:p>
    <w:p w14:paraId="030616F6" w14:textId="77777777" w:rsidR="00084F36" w:rsidRPr="005B1F28" w:rsidRDefault="00084F36">
      <w:pPr>
        <w:pStyle w:val="BodyText"/>
        <w:rPr>
          <w:bCs/>
          <w:sz w:val="20"/>
          <w:szCs w:val="20"/>
        </w:rPr>
      </w:pPr>
    </w:p>
    <w:p w14:paraId="1BAB96CA" w14:textId="77777777" w:rsidR="00084F36" w:rsidRPr="005B1F28" w:rsidRDefault="00084F36">
      <w:pPr>
        <w:pStyle w:val="BodyText"/>
        <w:rPr>
          <w:bCs/>
          <w:sz w:val="20"/>
          <w:szCs w:val="20"/>
        </w:rPr>
      </w:pPr>
    </w:p>
    <w:p w14:paraId="20C47870" w14:textId="77777777" w:rsidR="00084F36" w:rsidRPr="005B1F28" w:rsidRDefault="00084F36">
      <w:pPr>
        <w:pStyle w:val="BodyText"/>
        <w:rPr>
          <w:bCs/>
          <w:sz w:val="20"/>
          <w:szCs w:val="20"/>
        </w:rPr>
      </w:pPr>
    </w:p>
    <w:p w14:paraId="2C4D1BE2" w14:textId="77777777" w:rsidR="00084F36" w:rsidRPr="005B1F28" w:rsidRDefault="00084F36">
      <w:pPr>
        <w:pStyle w:val="BodyText"/>
        <w:rPr>
          <w:bCs/>
          <w:sz w:val="20"/>
          <w:szCs w:val="20"/>
        </w:rPr>
      </w:pPr>
    </w:p>
    <w:p w14:paraId="2533739C" w14:textId="77777777" w:rsidR="00084F36" w:rsidRPr="005B1F28" w:rsidRDefault="00084F36">
      <w:pPr>
        <w:pStyle w:val="BodyText"/>
        <w:rPr>
          <w:bCs/>
          <w:sz w:val="20"/>
          <w:szCs w:val="20"/>
        </w:rPr>
      </w:pPr>
    </w:p>
    <w:p w14:paraId="7B37633F" w14:textId="77777777" w:rsidR="00084F36" w:rsidRPr="005B1F28" w:rsidRDefault="00084F36">
      <w:pPr>
        <w:rPr>
          <w:bCs/>
          <w:sz w:val="20"/>
          <w:szCs w:val="20"/>
        </w:rPr>
        <w:sectPr w:rsidR="00084F36" w:rsidRPr="005B1F28" w:rsidSect="006D75B2">
          <w:type w:val="continuous"/>
          <w:pgSz w:w="11910" w:h="16840"/>
          <w:pgMar w:top="1920" w:right="0" w:bottom="280" w:left="0" w:header="0" w:footer="528" w:gutter="0"/>
          <w:cols w:num="2" w:space="1004" w:equalWidth="0">
            <w:col w:w="5726" w:space="105"/>
            <w:col w:w="6079"/>
          </w:cols>
        </w:sectPr>
      </w:pPr>
    </w:p>
    <w:p w14:paraId="47CA7502" w14:textId="480E9938" w:rsidR="00084F36" w:rsidRPr="00EB2BD8" w:rsidRDefault="00012AFC">
      <w:pPr>
        <w:pStyle w:val="BodyText"/>
        <w:spacing w:before="1"/>
        <w:rPr>
          <w:sz w:val="21"/>
        </w:rPr>
      </w:pPr>
      <w:r>
        <w:rPr>
          <w:bCs/>
          <w:noProof/>
          <w:spacing w:val="-2"/>
          <w:sz w:val="20"/>
          <w:szCs w:val="20"/>
        </w:rPr>
        <mc:AlternateContent>
          <mc:Choice Requires="wps">
            <w:drawing>
              <wp:anchor distT="0" distB="0" distL="114300" distR="114300" simplePos="0" relativeHeight="252467200" behindDoc="0" locked="0" layoutInCell="1" allowOverlap="1" wp14:anchorId="178B1E48" wp14:editId="7318DD38">
                <wp:simplePos x="0" y="0"/>
                <wp:positionH relativeFrom="column">
                  <wp:posOffset>3083560</wp:posOffset>
                </wp:positionH>
                <wp:positionV relativeFrom="paragraph">
                  <wp:posOffset>1476599</wp:posOffset>
                </wp:positionV>
                <wp:extent cx="2286000" cy="0"/>
                <wp:effectExtent l="0" t="0" r="12700" b="12700"/>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A3791A" id="Straight Connector 34" o:spid="_x0000_s1026" alt="&quot;&quot;" style="position:absolute;z-index:252467200;visibility:visible;mso-wrap-style:square;mso-wrap-distance-left:9pt;mso-wrap-distance-top:0;mso-wrap-distance-right:9pt;mso-wrap-distance-bottom:0;mso-position-horizontal:absolute;mso-position-horizontal-relative:text;mso-position-vertical:absolute;mso-position-vertical-relative:text" from="242.8pt,116.25pt" to="422.8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" strokecolor="#4579b8 [3044]"/>
            </w:pict>
          </mc:Fallback>
        </mc:AlternateContent>
      </w:r>
      <w:r>
        <w:rPr>
          <w:bCs/>
          <w:noProof/>
          <w:spacing w:val="-2"/>
          <w:sz w:val="20"/>
          <w:szCs w:val="20"/>
        </w:rPr>
        <mc:AlternateContent>
          <mc:Choice Requires="wps">
            <w:drawing>
              <wp:anchor distT="0" distB="0" distL="114300" distR="114300" simplePos="0" relativeHeight="252465152" behindDoc="0" locked="0" layoutInCell="1" allowOverlap="1" wp14:anchorId="22E268D8" wp14:editId="1BEBB26B">
                <wp:simplePos x="0" y="0"/>
                <wp:positionH relativeFrom="column">
                  <wp:posOffset>3083560</wp:posOffset>
                </wp:positionH>
                <wp:positionV relativeFrom="paragraph">
                  <wp:posOffset>992393</wp:posOffset>
                </wp:positionV>
                <wp:extent cx="2286000" cy="0"/>
                <wp:effectExtent l="0" t="0" r="12700" b="1270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239EE" id="Straight Connector 33" o:spid="_x0000_s1026" alt="&quot;&quot;" style="position:absolute;z-index:252465152;visibility:visible;mso-wrap-style:square;mso-wrap-distance-left:9pt;mso-wrap-distance-top:0;mso-wrap-distance-right:9pt;mso-wrap-distance-bottom:0;mso-position-horizontal:absolute;mso-position-horizontal-relative:text;mso-position-vertical:absolute;mso-position-vertical-relative:text" from="242.8pt,78.15pt" to="422.8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" strokecolor="#4579b8 [3044]"/>
            </w:pict>
          </mc:Fallback>
        </mc:AlternateContent>
      </w:r>
    </w:p>
    <w:p w14:paraId="38C233FA" w14:textId="18FC3D7D" w:rsidR="00084F36" w:rsidRPr="00EB2BD8" w:rsidRDefault="00084F36">
      <w:pPr>
        <w:rPr>
          <w:sz w:val="17"/>
        </w:rPr>
        <w:sectPr w:rsidR="00084F36" w:rsidRPr="00EB2BD8" w:rsidSect="006D75B2">
          <w:type w:val="continuous"/>
          <w:pgSz w:w="11910" w:h="16840"/>
          <w:pgMar w:top="1920" w:right="0" w:bottom="280" w:left="0" w:header="0" w:footer="528" w:gutter="0"/>
          <w:cols w:space="720"/>
        </w:sectPr>
      </w:pPr>
    </w:p>
    <w:p w14:paraId="0D50E081" w14:textId="77B0E08F" w:rsidR="00084F36" w:rsidRPr="00EB2BD8" w:rsidRDefault="00084F36">
      <w:pPr>
        <w:pStyle w:val="BodyText"/>
        <w:rPr>
          <w:sz w:val="20"/>
        </w:rPr>
      </w:pPr>
    </w:p>
    <w:p w14:paraId="72C170CE" w14:textId="77777777" w:rsidR="00084F36" w:rsidRPr="00EB2BD8" w:rsidRDefault="00084F36">
      <w:pPr>
        <w:pStyle w:val="BodyText"/>
        <w:rPr>
          <w:sz w:val="20"/>
        </w:rPr>
      </w:pPr>
    </w:p>
    <w:p w14:paraId="021174AB" w14:textId="77777777" w:rsidR="00084F36" w:rsidRPr="00EB2BD8" w:rsidRDefault="00084F36">
      <w:pPr>
        <w:pStyle w:val="BodyText"/>
        <w:rPr>
          <w:sz w:val="20"/>
        </w:rPr>
      </w:pPr>
    </w:p>
    <w:p w14:paraId="72B571E6" w14:textId="77777777" w:rsidR="00084F36" w:rsidRPr="00EB2BD8" w:rsidRDefault="00084F36">
      <w:pPr>
        <w:pStyle w:val="BodyText"/>
        <w:spacing w:before="6" w:after="1"/>
        <w:rPr>
          <w:sz w:val="11"/>
        </w:rPr>
      </w:pPr>
    </w:p>
    <w:p w14:paraId="35DF8416" w14:textId="57A3CC5A" w:rsidR="00084F36" w:rsidRPr="00EB2BD8" w:rsidRDefault="00084F36">
      <w:pPr>
        <w:pStyle w:val="BodyText"/>
        <w:spacing w:line="228" w:lineRule="exact"/>
        <w:ind w:left="10250"/>
        <w:rPr>
          <w:sz w:val="20"/>
        </w:rPr>
      </w:pPr>
    </w:p>
    <w:p w14:paraId="5ADB1064" w14:textId="77777777" w:rsidR="00084F36" w:rsidRPr="00EB2BD8" w:rsidRDefault="00084F36">
      <w:pPr>
        <w:pStyle w:val="BodyText"/>
        <w:rPr>
          <w:sz w:val="20"/>
        </w:rPr>
      </w:pPr>
    </w:p>
    <w:p w14:paraId="2110A259" w14:textId="32C7E3AD" w:rsidR="00084F36" w:rsidRPr="00012AFC" w:rsidRDefault="00EB2BD8" w:rsidP="00012AFC">
      <w:pPr>
        <w:pStyle w:val="Heading1"/>
      </w:pPr>
      <w:bookmarkStart w:id="162" w:name="_Toc150762464"/>
      <w:r w:rsidRPr="00012AFC">
        <w:t>4/</w:t>
      </w:r>
      <w:bookmarkEnd w:id="162"/>
    </w:p>
    <w:p w14:paraId="1630F7E4" w14:textId="77777777" w:rsidR="00084F36" w:rsidRPr="00012AFC" w:rsidRDefault="00EB2BD8" w:rsidP="00012AFC">
      <w:pPr>
        <w:pStyle w:val="Heading1"/>
      </w:pPr>
      <w:bookmarkStart w:id="163" w:name="_Toc150762465"/>
      <w:r w:rsidRPr="00012AFC">
        <w:t>Governance</w:t>
      </w:r>
      <w:bookmarkEnd w:id="163"/>
    </w:p>
    <w:p w14:paraId="6FA2AB36" w14:textId="77777777" w:rsidR="00084F36" w:rsidRPr="00EB2BD8" w:rsidRDefault="00084F36">
      <w:pPr>
        <w:pStyle w:val="BodyText"/>
        <w:rPr>
          <w:rFonts w:ascii="Tahoma"/>
          <w:b/>
          <w:sz w:val="20"/>
        </w:rPr>
      </w:pPr>
    </w:p>
    <w:p w14:paraId="4E8F1819" w14:textId="77777777" w:rsidR="00084F36" w:rsidRPr="00EB2BD8" w:rsidRDefault="00084F36">
      <w:pPr>
        <w:pStyle w:val="BodyText"/>
        <w:rPr>
          <w:rFonts w:ascii="Tahoma"/>
          <w:b/>
          <w:sz w:val="20"/>
        </w:rPr>
      </w:pPr>
    </w:p>
    <w:p w14:paraId="629C5D0F" w14:textId="77777777" w:rsidR="00084F36" w:rsidRPr="00EB2BD8" w:rsidRDefault="00084F36">
      <w:pPr>
        <w:pStyle w:val="BodyText"/>
        <w:rPr>
          <w:rFonts w:ascii="Tahoma"/>
          <w:b/>
          <w:sz w:val="20"/>
        </w:rPr>
      </w:pPr>
    </w:p>
    <w:p w14:paraId="23AAEA75" w14:textId="77777777" w:rsidR="00084F36" w:rsidRPr="00EB2BD8" w:rsidRDefault="00084F36">
      <w:pPr>
        <w:pStyle w:val="BodyText"/>
        <w:rPr>
          <w:rFonts w:ascii="Tahoma"/>
          <w:b/>
          <w:sz w:val="20"/>
        </w:rPr>
      </w:pPr>
    </w:p>
    <w:p w14:paraId="6EF15475" w14:textId="77777777" w:rsidR="00084F36" w:rsidRPr="00EB2BD8" w:rsidRDefault="00084F36">
      <w:pPr>
        <w:pStyle w:val="BodyText"/>
        <w:rPr>
          <w:rFonts w:ascii="Tahoma"/>
          <w:b/>
          <w:sz w:val="20"/>
        </w:rPr>
      </w:pPr>
    </w:p>
    <w:p w14:paraId="3B41F10F" w14:textId="77777777" w:rsidR="00084F36" w:rsidRPr="00EB2BD8" w:rsidRDefault="00084F36">
      <w:pPr>
        <w:pStyle w:val="BodyText"/>
        <w:rPr>
          <w:rFonts w:ascii="Tahoma"/>
          <w:b/>
          <w:sz w:val="20"/>
        </w:rPr>
      </w:pPr>
    </w:p>
    <w:p w14:paraId="6BC99D4B" w14:textId="77777777" w:rsidR="00084F36" w:rsidRPr="00EB2BD8" w:rsidRDefault="00084F36">
      <w:pPr>
        <w:pStyle w:val="BodyText"/>
        <w:rPr>
          <w:rFonts w:ascii="Tahoma"/>
          <w:b/>
          <w:sz w:val="20"/>
        </w:rPr>
      </w:pPr>
    </w:p>
    <w:p w14:paraId="30A44613" w14:textId="77777777" w:rsidR="00084F36" w:rsidRPr="00EB2BD8" w:rsidRDefault="00084F36">
      <w:pPr>
        <w:pStyle w:val="BodyText"/>
        <w:rPr>
          <w:rFonts w:ascii="Tahoma"/>
          <w:b/>
          <w:sz w:val="20"/>
        </w:rPr>
      </w:pPr>
    </w:p>
    <w:p w14:paraId="29211C3F" w14:textId="77777777" w:rsidR="00084F36" w:rsidRPr="00EB2BD8" w:rsidRDefault="00084F36">
      <w:pPr>
        <w:pStyle w:val="BodyText"/>
        <w:rPr>
          <w:rFonts w:ascii="Tahoma"/>
          <w:b/>
          <w:sz w:val="20"/>
        </w:rPr>
      </w:pPr>
    </w:p>
    <w:p w14:paraId="76457274" w14:textId="77777777" w:rsidR="00084F36" w:rsidRPr="00EB2BD8" w:rsidRDefault="00084F36">
      <w:pPr>
        <w:pStyle w:val="BodyText"/>
        <w:rPr>
          <w:rFonts w:ascii="Tahoma"/>
          <w:b/>
          <w:sz w:val="20"/>
        </w:rPr>
      </w:pPr>
    </w:p>
    <w:p w14:paraId="6144B69D" w14:textId="77777777" w:rsidR="00084F36" w:rsidRPr="00EB2BD8" w:rsidRDefault="00084F36">
      <w:pPr>
        <w:pStyle w:val="BodyText"/>
        <w:rPr>
          <w:rFonts w:ascii="Tahoma"/>
          <w:b/>
          <w:sz w:val="20"/>
        </w:rPr>
      </w:pPr>
    </w:p>
    <w:p w14:paraId="241E8339" w14:textId="77777777" w:rsidR="00084F36" w:rsidRPr="00EB2BD8" w:rsidRDefault="00084F36">
      <w:pPr>
        <w:pStyle w:val="BodyText"/>
        <w:rPr>
          <w:rFonts w:ascii="Tahoma"/>
          <w:b/>
          <w:sz w:val="20"/>
        </w:rPr>
      </w:pPr>
    </w:p>
    <w:p w14:paraId="419CE18C" w14:textId="77777777" w:rsidR="00084F36" w:rsidRPr="00EB2BD8" w:rsidRDefault="00084F36">
      <w:pPr>
        <w:pStyle w:val="BodyText"/>
        <w:rPr>
          <w:rFonts w:ascii="Tahoma"/>
          <w:b/>
          <w:sz w:val="20"/>
        </w:rPr>
      </w:pPr>
    </w:p>
    <w:p w14:paraId="3A858868" w14:textId="77777777" w:rsidR="00084F36" w:rsidRPr="00EB2BD8" w:rsidRDefault="00084F36">
      <w:pPr>
        <w:pStyle w:val="BodyText"/>
        <w:rPr>
          <w:rFonts w:ascii="Tahoma"/>
          <w:b/>
          <w:sz w:val="20"/>
        </w:rPr>
      </w:pPr>
    </w:p>
    <w:p w14:paraId="2FCEE1BD" w14:textId="77777777" w:rsidR="00084F36" w:rsidRPr="00EB2BD8" w:rsidRDefault="00084F36">
      <w:pPr>
        <w:pStyle w:val="BodyText"/>
        <w:rPr>
          <w:rFonts w:ascii="Tahoma"/>
          <w:b/>
          <w:sz w:val="20"/>
        </w:rPr>
      </w:pPr>
    </w:p>
    <w:p w14:paraId="2EB6CEFA" w14:textId="77777777" w:rsidR="00084F36" w:rsidRPr="00EB2BD8" w:rsidRDefault="00084F36">
      <w:pPr>
        <w:pStyle w:val="BodyText"/>
        <w:rPr>
          <w:rFonts w:ascii="Tahoma"/>
          <w:b/>
          <w:sz w:val="20"/>
        </w:rPr>
      </w:pPr>
    </w:p>
    <w:p w14:paraId="362F12F4" w14:textId="77777777" w:rsidR="00084F36" w:rsidRPr="00EB2BD8" w:rsidRDefault="00084F36">
      <w:pPr>
        <w:pStyle w:val="BodyText"/>
        <w:rPr>
          <w:rFonts w:ascii="Tahoma"/>
          <w:b/>
          <w:sz w:val="20"/>
        </w:rPr>
      </w:pPr>
    </w:p>
    <w:p w14:paraId="46F6F514" w14:textId="77777777" w:rsidR="00084F36" w:rsidRPr="00EB2BD8" w:rsidRDefault="00084F36">
      <w:pPr>
        <w:pStyle w:val="BodyText"/>
        <w:rPr>
          <w:rFonts w:ascii="Tahoma"/>
          <w:b/>
          <w:sz w:val="20"/>
        </w:rPr>
      </w:pPr>
    </w:p>
    <w:p w14:paraId="0B24E353" w14:textId="77777777" w:rsidR="00084F36" w:rsidRPr="00EB2BD8" w:rsidRDefault="00084F36">
      <w:pPr>
        <w:pStyle w:val="BodyText"/>
        <w:rPr>
          <w:rFonts w:ascii="Tahoma"/>
          <w:b/>
          <w:sz w:val="20"/>
        </w:rPr>
      </w:pPr>
    </w:p>
    <w:p w14:paraId="21319F93" w14:textId="77777777" w:rsidR="00084F36" w:rsidRPr="00EB2BD8" w:rsidRDefault="00084F36">
      <w:pPr>
        <w:pStyle w:val="BodyText"/>
        <w:rPr>
          <w:rFonts w:ascii="Tahoma"/>
          <w:b/>
          <w:sz w:val="20"/>
        </w:rPr>
      </w:pPr>
    </w:p>
    <w:p w14:paraId="07C39BA1" w14:textId="77777777" w:rsidR="00084F36" w:rsidRPr="00EB2BD8" w:rsidRDefault="00084F36">
      <w:pPr>
        <w:pStyle w:val="BodyText"/>
        <w:rPr>
          <w:rFonts w:ascii="Tahoma"/>
          <w:b/>
          <w:sz w:val="20"/>
        </w:rPr>
      </w:pPr>
    </w:p>
    <w:p w14:paraId="76361F11" w14:textId="77777777" w:rsidR="00084F36" w:rsidRPr="00EB2BD8" w:rsidRDefault="00084F36">
      <w:pPr>
        <w:pStyle w:val="BodyText"/>
        <w:rPr>
          <w:rFonts w:ascii="Tahoma"/>
          <w:b/>
          <w:sz w:val="20"/>
        </w:rPr>
      </w:pPr>
    </w:p>
    <w:p w14:paraId="1552B621" w14:textId="77777777" w:rsidR="00084F36" w:rsidRPr="00EB2BD8" w:rsidRDefault="00084F36">
      <w:pPr>
        <w:pStyle w:val="BodyText"/>
        <w:rPr>
          <w:rFonts w:ascii="Tahoma"/>
          <w:b/>
          <w:sz w:val="20"/>
        </w:rPr>
      </w:pPr>
    </w:p>
    <w:p w14:paraId="2121D9A5" w14:textId="77777777" w:rsidR="00084F36" w:rsidRPr="00EB2BD8" w:rsidRDefault="00084F36">
      <w:pPr>
        <w:pStyle w:val="BodyText"/>
        <w:rPr>
          <w:rFonts w:ascii="Tahoma"/>
          <w:b/>
          <w:sz w:val="20"/>
        </w:rPr>
      </w:pPr>
    </w:p>
    <w:p w14:paraId="2AA757A0" w14:textId="77777777" w:rsidR="00084F36" w:rsidRPr="00EB2BD8" w:rsidRDefault="00084F36">
      <w:pPr>
        <w:pStyle w:val="BodyText"/>
        <w:rPr>
          <w:rFonts w:ascii="Tahoma"/>
          <w:b/>
          <w:sz w:val="20"/>
        </w:rPr>
      </w:pPr>
    </w:p>
    <w:p w14:paraId="70D94FF1" w14:textId="77777777" w:rsidR="00084F36" w:rsidRPr="00EB2BD8" w:rsidRDefault="00084F36">
      <w:pPr>
        <w:pStyle w:val="BodyText"/>
        <w:rPr>
          <w:rFonts w:ascii="Tahoma"/>
          <w:b/>
          <w:sz w:val="20"/>
        </w:rPr>
      </w:pPr>
    </w:p>
    <w:p w14:paraId="5BDCC0F1" w14:textId="77777777" w:rsidR="00084F36" w:rsidRPr="00EB2BD8" w:rsidRDefault="00084F36">
      <w:pPr>
        <w:pStyle w:val="BodyText"/>
        <w:rPr>
          <w:rFonts w:ascii="Tahoma"/>
          <w:b/>
          <w:sz w:val="20"/>
        </w:rPr>
      </w:pPr>
    </w:p>
    <w:p w14:paraId="3EE2C913" w14:textId="77777777" w:rsidR="00084F36" w:rsidRPr="00EB2BD8" w:rsidRDefault="00084F36">
      <w:pPr>
        <w:pStyle w:val="BodyText"/>
        <w:rPr>
          <w:rFonts w:ascii="Tahoma"/>
          <w:b/>
          <w:sz w:val="20"/>
        </w:rPr>
      </w:pPr>
    </w:p>
    <w:p w14:paraId="1D48AA7B" w14:textId="77777777" w:rsidR="00084F36" w:rsidRPr="00EB2BD8" w:rsidRDefault="00084F36">
      <w:pPr>
        <w:pStyle w:val="BodyText"/>
        <w:rPr>
          <w:rFonts w:ascii="Tahoma"/>
          <w:b/>
          <w:sz w:val="20"/>
        </w:rPr>
      </w:pPr>
    </w:p>
    <w:p w14:paraId="07C0FC97" w14:textId="77777777" w:rsidR="00084F36" w:rsidRPr="00EB2BD8" w:rsidRDefault="00084F36">
      <w:pPr>
        <w:pStyle w:val="BodyText"/>
        <w:rPr>
          <w:rFonts w:ascii="Tahoma"/>
          <w:b/>
          <w:sz w:val="20"/>
        </w:rPr>
      </w:pPr>
    </w:p>
    <w:p w14:paraId="11A6E069" w14:textId="77777777" w:rsidR="00084F36" w:rsidRPr="00EB2BD8" w:rsidRDefault="00084F36">
      <w:pPr>
        <w:pStyle w:val="BodyText"/>
        <w:rPr>
          <w:rFonts w:ascii="Tahoma"/>
          <w:b/>
          <w:sz w:val="20"/>
        </w:rPr>
      </w:pPr>
    </w:p>
    <w:p w14:paraId="49FBCE6C" w14:textId="77777777" w:rsidR="00084F36" w:rsidRPr="00EB2BD8" w:rsidRDefault="00084F36">
      <w:pPr>
        <w:pStyle w:val="BodyText"/>
        <w:rPr>
          <w:rFonts w:ascii="Tahoma"/>
          <w:b/>
          <w:sz w:val="20"/>
        </w:rPr>
      </w:pPr>
    </w:p>
    <w:p w14:paraId="5C2ADA80" w14:textId="77777777" w:rsidR="00084F36" w:rsidRPr="00EB2BD8" w:rsidRDefault="00084F36">
      <w:pPr>
        <w:pStyle w:val="BodyText"/>
        <w:rPr>
          <w:rFonts w:ascii="Tahoma"/>
          <w:b/>
          <w:sz w:val="20"/>
        </w:rPr>
      </w:pPr>
    </w:p>
    <w:p w14:paraId="730D5576" w14:textId="77777777" w:rsidR="00084F36" w:rsidRPr="00EB2BD8" w:rsidRDefault="00084F36">
      <w:pPr>
        <w:pStyle w:val="BodyText"/>
        <w:rPr>
          <w:rFonts w:ascii="Tahoma"/>
          <w:b/>
          <w:sz w:val="20"/>
        </w:rPr>
      </w:pPr>
    </w:p>
    <w:p w14:paraId="61947E76" w14:textId="77777777" w:rsidR="00084F36" w:rsidRPr="00EB2BD8" w:rsidRDefault="00084F36">
      <w:pPr>
        <w:pStyle w:val="BodyText"/>
        <w:rPr>
          <w:rFonts w:ascii="Tahoma"/>
          <w:b/>
          <w:sz w:val="20"/>
        </w:rPr>
      </w:pPr>
    </w:p>
    <w:p w14:paraId="18C4529B" w14:textId="77777777" w:rsidR="00084F36" w:rsidRPr="00EB2BD8" w:rsidRDefault="00084F36">
      <w:pPr>
        <w:pStyle w:val="BodyText"/>
        <w:rPr>
          <w:rFonts w:ascii="Tahoma"/>
          <w:b/>
          <w:sz w:val="20"/>
        </w:rPr>
      </w:pPr>
    </w:p>
    <w:p w14:paraId="3EA1C0B4" w14:textId="77777777" w:rsidR="00084F36" w:rsidRPr="00EB2BD8" w:rsidRDefault="00084F36">
      <w:pPr>
        <w:pStyle w:val="BodyText"/>
        <w:rPr>
          <w:rFonts w:ascii="Tahoma"/>
          <w:b/>
          <w:sz w:val="20"/>
        </w:rPr>
      </w:pPr>
    </w:p>
    <w:p w14:paraId="5E6A7C4D" w14:textId="77777777" w:rsidR="00084F36" w:rsidRPr="00EB2BD8" w:rsidRDefault="00084F36">
      <w:pPr>
        <w:pStyle w:val="BodyText"/>
        <w:rPr>
          <w:rFonts w:ascii="Tahoma"/>
          <w:b/>
          <w:sz w:val="20"/>
        </w:rPr>
      </w:pPr>
    </w:p>
    <w:p w14:paraId="362F77AE" w14:textId="77777777" w:rsidR="00084F36" w:rsidRPr="00EB2BD8" w:rsidRDefault="00084F36">
      <w:pPr>
        <w:pStyle w:val="BodyText"/>
        <w:rPr>
          <w:rFonts w:ascii="Tahoma"/>
          <w:b/>
          <w:sz w:val="20"/>
        </w:rPr>
      </w:pPr>
    </w:p>
    <w:p w14:paraId="560F22A7" w14:textId="77777777" w:rsidR="00084F36" w:rsidRPr="00EB2BD8" w:rsidRDefault="00084F36">
      <w:pPr>
        <w:pStyle w:val="BodyText"/>
        <w:rPr>
          <w:rFonts w:ascii="Tahoma"/>
          <w:b/>
          <w:sz w:val="20"/>
        </w:rPr>
      </w:pPr>
    </w:p>
    <w:p w14:paraId="1DB155B5" w14:textId="77777777" w:rsidR="00084F36" w:rsidRPr="00EB2BD8" w:rsidRDefault="00084F36">
      <w:pPr>
        <w:pStyle w:val="BodyText"/>
        <w:rPr>
          <w:rFonts w:ascii="Tahoma"/>
          <w:b/>
          <w:sz w:val="20"/>
        </w:rPr>
      </w:pPr>
    </w:p>
    <w:p w14:paraId="3731CFF4" w14:textId="77777777" w:rsidR="00084F36" w:rsidRPr="00EB2BD8" w:rsidRDefault="00084F36">
      <w:pPr>
        <w:pStyle w:val="BodyText"/>
        <w:rPr>
          <w:rFonts w:ascii="Tahoma"/>
          <w:b/>
          <w:sz w:val="20"/>
        </w:rPr>
      </w:pPr>
    </w:p>
    <w:p w14:paraId="0D039D42" w14:textId="77777777" w:rsidR="00084F36" w:rsidRPr="00EB2BD8" w:rsidRDefault="00084F36">
      <w:pPr>
        <w:pStyle w:val="BodyText"/>
        <w:rPr>
          <w:rFonts w:ascii="Tahoma"/>
          <w:b/>
          <w:sz w:val="20"/>
        </w:rPr>
      </w:pPr>
    </w:p>
    <w:p w14:paraId="5EB4A9BE" w14:textId="77777777" w:rsidR="00084F36" w:rsidRPr="00EB2BD8" w:rsidRDefault="00084F36">
      <w:pPr>
        <w:pStyle w:val="BodyText"/>
        <w:rPr>
          <w:rFonts w:ascii="Tahoma"/>
          <w:b/>
          <w:sz w:val="20"/>
        </w:rPr>
      </w:pPr>
    </w:p>
    <w:p w14:paraId="53E0C3C6" w14:textId="77777777" w:rsidR="00084F36" w:rsidRPr="00EB2BD8" w:rsidRDefault="00084F36">
      <w:pPr>
        <w:pStyle w:val="BodyText"/>
        <w:rPr>
          <w:rFonts w:ascii="Tahoma"/>
          <w:b/>
          <w:sz w:val="20"/>
        </w:rPr>
      </w:pPr>
    </w:p>
    <w:p w14:paraId="70C37664" w14:textId="77777777" w:rsidR="00084F36" w:rsidRPr="00EB2BD8" w:rsidRDefault="00084F36">
      <w:pPr>
        <w:pStyle w:val="BodyText"/>
        <w:rPr>
          <w:rFonts w:ascii="Tahoma"/>
          <w:b/>
          <w:sz w:val="20"/>
        </w:rPr>
      </w:pPr>
    </w:p>
    <w:p w14:paraId="15A1D703" w14:textId="77777777" w:rsidR="00084F36" w:rsidRPr="00EB2BD8" w:rsidRDefault="00084F36">
      <w:pPr>
        <w:pStyle w:val="BodyText"/>
        <w:rPr>
          <w:rFonts w:ascii="Tahoma"/>
          <w:b/>
          <w:sz w:val="20"/>
        </w:rPr>
      </w:pPr>
    </w:p>
    <w:p w14:paraId="7CC24B27" w14:textId="77777777" w:rsidR="00084F36" w:rsidRPr="00EB2BD8" w:rsidRDefault="00084F36">
      <w:pPr>
        <w:pStyle w:val="BodyText"/>
        <w:spacing w:before="8"/>
        <w:rPr>
          <w:rFonts w:ascii="Tahoma"/>
          <w:b/>
        </w:rPr>
      </w:pPr>
    </w:p>
    <w:p w14:paraId="182606E1" w14:textId="77777777" w:rsidR="00084F36" w:rsidRPr="00EB2BD8" w:rsidRDefault="00084F36">
      <w:pPr>
        <w:jc w:val="right"/>
        <w:rPr>
          <w:sz w:val="16"/>
        </w:rPr>
        <w:sectPr w:rsidR="00084F36" w:rsidRPr="00EB2BD8" w:rsidSect="006D75B2">
          <w:headerReference w:type="default" r:id="rId189"/>
          <w:footerReference w:type="default" r:id="rId190"/>
          <w:pgSz w:w="11910" w:h="16840"/>
          <w:pgMar w:top="0" w:right="0" w:bottom="280" w:left="0" w:header="0" w:footer="0" w:gutter="0"/>
          <w:cols w:space="720"/>
        </w:sectPr>
      </w:pPr>
    </w:p>
    <w:p w14:paraId="05E2A522" w14:textId="1533328F" w:rsidR="00084F36" w:rsidRPr="00EB2BD8" w:rsidRDefault="00084F36">
      <w:pPr>
        <w:pStyle w:val="BodyText"/>
        <w:rPr>
          <w:sz w:val="20"/>
        </w:rPr>
      </w:pPr>
    </w:p>
    <w:p w14:paraId="62E5B016" w14:textId="77777777" w:rsidR="00084F36" w:rsidRPr="00EB2BD8" w:rsidRDefault="00084F36">
      <w:pPr>
        <w:pStyle w:val="BodyText"/>
        <w:rPr>
          <w:sz w:val="20"/>
        </w:rPr>
      </w:pPr>
    </w:p>
    <w:p w14:paraId="20A138AD" w14:textId="0638CC8D" w:rsidR="00084F36" w:rsidRPr="00EB2BD8" w:rsidRDefault="00084F36">
      <w:pPr>
        <w:pStyle w:val="BodyText"/>
        <w:rPr>
          <w:sz w:val="20"/>
        </w:rPr>
      </w:pPr>
    </w:p>
    <w:p w14:paraId="640801EA" w14:textId="77777777" w:rsidR="00084F36" w:rsidRPr="00EB2BD8" w:rsidRDefault="00084F36">
      <w:pPr>
        <w:pStyle w:val="BodyText"/>
        <w:rPr>
          <w:sz w:val="20"/>
        </w:rPr>
      </w:pPr>
    </w:p>
    <w:p w14:paraId="223E4946" w14:textId="77777777" w:rsidR="00084F36" w:rsidRPr="00EB2BD8" w:rsidRDefault="00084F36">
      <w:pPr>
        <w:pStyle w:val="BodyText"/>
        <w:spacing w:before="10"/>
        <w:rPr>
          <w:sz w:val="16"/>
        </w:rPr>
      </w:pPr>
    </w:p>
    <w:p w14:paraId="389912A2" w14:textId="77777777" w:rsidR="00084F36" w:rsidRDefault="00EB2BD8" w:rsidP="00C3537A">
      <w:pPr>
        <w:pStyle w:val="Heading1"/>
        <w:rPr>
          <w:spacing w:val="-2"/>
        </w:rPr>
      </w:pPr>
      <w:bookmarkStart w:id="164" w:name="_Toc150762466"/>
      <w:r w:rsidRPr="00EB2BD8">
        <w:t>VBA</w:t>
      </w:r>
      <w:r w:rsidRPr="00EB2BD8">
        <w:rPr>
          <w:spacing w:val="-22"/>
        </w:rPr>
        <w:t xml:space="preserve"> </w:t>
      </w:r>
      <w:r w:rsidRPr="00EB2BD8">
        <w:t>Governance</w:t>
      </w:r>
      <w:r w:rsidRPr="00EB2BD8">
        <w:rPr>
          <w:spacing w:val="-21"/>
        </w:rPr>
        <w:t xml:space="preserve"> </w:t>
      </w:r>
      <w:r w:rsidRPr="00EB2BD8">
        <w:rPr>
          <w:spacing w:val="-2"/>
        </w:rPr>
        <w:t>chart</w:t>
      </w:r>
      <w:bookmarkEnd w:id="164"/>
    </w:p>
    <w:p w14:paraId="580031F4" w14:textId="77777777" w:rsidR="00012AFC" w:rsidRDefault="00012AFC" w:rsidP="00012AFC">
      <w:pPr>
        <w:pStyle w:val="Heading2"/>
        <w:rPr>
          <w:spacing w:val="-2"/>
        </w:rPr>
      </w:pPr>
    </w:p>
    <w:tbl>
      <w:tblPr>
        <w:tblStyle w:val="TableGrid"/>
        <w:tblW w:w="0" w:type="auto"/>
        <w:tblInd w:w="1077" w:type="dxa"/>
        <w:tblLook w:val="04A0" w:firstRow="1" w:lastRow="0" w:firstColumn="1" w:lastColumn="0" w:noHBand="0" w:noVBand="1"/>
      </w:tblPr>
      <w:tblGrid>
        <w:gridCol w:w="4870"/>
        <w:gridCol w:w="4870"/>
      </w:tblGrid>
      <w:tr w:rsidR="00012AFC" w:rsidRPr="002A6D80" w14:paraId="1F0B586C" w14:textId="77777777" w:rsidTr="0080635B">
        <w:trPr>
          <w:cnfStyle w:val="100000000000" w:firstRow="1" w:lastRow="0" w:firstColumn="0" w:lastColumn="0" w:oddVBand="0" w:evenVBand="0" w:oddHBand="0" w:evenHBand="0" w:firstRowFirstColumn="0" w:firstRowLastColumn="0" w:lastRowFirstColumn="0" w:lastRowLastColumn="0"/>
        </w:trPr>
        <w:tc>
          <w:tcPr>
            <w:tcW w:w="4870" w:type="dxa"/>
          </w:tcPr>
          <w:p w14:paraId="1A893D07" w14:textId="77777777" w:rsidR="00012AFC" w:rsidRDefault="00012AFC" w:rsidP="00A42AB8">
            <w:pPr>
              <w:pStyle w:val="Heading3"/>
              <w:ind w:left="0"/>
            </w:pPr>
            <w:bookmarkStart w:id="165" w:name="_Toc150762467"/>
            <w:r>
              <w:t>Minister</w:t>
            </w:r>
            <w:r>
              <w:rPr>
                <w:spacing w:val="-16"/>
              </w:rPr>
              <w:t xml:space="preserve"> </w:t>
            </w:r>
            <w:r>
              <w:t>for</w:t>
            </w:r>
            <w:r>
              <w:rPr>
                <w:spacing w:val="-16"/>
              </w:rPr>
              <w:t xml:space="preserve"> </w:t>
            </w:r>
            <w:r>
              <w:t>Planning</w:t>
            </w:r>
            <w:r>
              <w:rPr>
                <w:spacing w:val="-15"/>
              </w:rPr>
              <w:t xml:space="preserve"> </w:t>
            </w:r>
            <w:r>
              <w:t>as at 30 June 2023:</w:t>
            </w:r>
            <w:bookmarkEnd w:id="165"/>
          </w:p>
          <w:p w14:paraId="1DF6F1CA" w14:textId="77777777" w:rsidR="00012AFC" w:rsidRPr="002A6D80" w:rsidRDefault="00012AFC" w:rsidP="00A42AB8">
            <w:pPr>
              <w:pStyle w:val="Heading3"/>
            </w:pPr>
          </w:p>
        </w:tc>
        <w:tc>
          <w:tcPr>
            <w:tcW w:w="4870" w:type="dxa"/>
          </w:tcPr>
          <w:p w14:paraId="25A6875C" w14:textId="77777777" w:rsidR="00012AFC" w:rsidRPr="00012AFC" w:rsidRDefault="00012AFC" w:rsidP="00A42AB8">
            <w:pPr>
              <w:spacing w:before="146"/>
              <w:rPr>
                <w:rFonts w:ascii="Arial" w:hAnsi="Arial" w:cs="Arial"/>
                <w:color w:val="000000"/>
                <w:sz w:val="20"/>
                <w:szCs w:val="20"/>
              </w:rPr>
            </w:pPr>
            <w:r w:rsidRPr="00012AFC">
              <w:rPr>
                <w:rFonts w:ascii="Arial" w:hAnsi="Arial" w:cs="Arial"/>
                <w:color w:val="000000"/>
                <w:sz w:val="20"/>
                <w:szCs w:val="20"/>
              </w:rPr>
              <w:t>The</w:t>
            </w:r>
            <w:r w:rsidRPr="00012AFC">
              <w:rPr>
                <w:rFonts w:ascii="Arial" w:hAnsi="Arial" w:cs="Arial"/>
                <w:color w:val="000000"/>
                <w:spacing w:val="-14"/>
                <w:sz w:val="20"/>
                <w:szCs w:val="20"/>
              </w:rPr>
              <w:t xml:space="preserve"> </w:t>
            </w:r>
            <w:r w:rsidRPr="00012AFC">
              <w:rPr>
                <w:rFonts w:ascii="Arial" w:hAnsi="Arial" w:cs="Arial"/>
                <w:color w:val="000000"/>
                <w:sz w:val="20"/>
                <w:szCs w:val="20"/>
              </w:rPr>
              <w:t>Hon.</w:t>
            </w:r>
            <w:r w:rsidRPr="00012AFC">
              <w:rPr>
                <w:rFonts w:ascii="Arial" w:hAnsi="Arial" w:cs="Arial"/>
                <w:color w:val="000000"/>
                <w:spacing w:val="-13"/>
                <w:sz w:val="20"/>
                <w:szCs w:val="20"/>
              </w:rPr>
              <w:t xml:space="preserve"> </w:t>
            </w:r>
            <w:r w:rsidRPr="00012AFC">
              <w:rPr>
                <w:rFonts w:ascii="Arial" w:hAnsi="Arial" w:cs="Arial"/>
                <w:color w:val="000000"/>
                <w:sz w:val="20"/>
                <w:szCs w:val="20"/>
              </w:rPr>
              <w:t>Sonya</w:t>
            </w:r>
            <w:r w:rsidRPr="00012AFC">
              <w:rPr>
                <w:rFonts w:ascii="Arial" w:hAnsi="Arial" w:cs="Arial"/>
                <w:color w:val="000000"/>
                <w:spacing w:val="-14"/>
                <w:sz w:val="20"/>
                <w:szCs w:val="20"/>
              </w:rPr>
              <w:t xml:space="preserve"> </w:t>
            </w:r>
            <w:r w:rsidRPr="00012AFC">
              <w:rPr>
                <w:rFonts w:ascii="Arial" w:hAnsi="Arial" w:cs="Arial"/>
                <w:color w:val="000000"/>
                <w:sz w:val="20"/>
                <w:szCs w:val="20"/>
              </w:rPr>
              <w:t>Kilkenny</w:t>
            </w:r>
            <w:r w:rsidRPr="00012AFC">
              <w:rPr>
                <w:rFonts w:ascii="Arial" w:hAnsi="Arial" w:cs="Arial"/>
                <w:color w:val="000000"/>
                <w:spacing w:val="-13"/>
                <w:sz w:val="20"/>
                <w:szCs w:val="20"/>
              </w:rPr>
              <w:t xml:space="preserve"> </w:t>
            </w:r>
            <w:r w:rsidRPr="00012AFC">
              <w:rPr>
                <w:rFonts w:ascii="Arial" w:hAnsi="Arial" w:cs="Arial"/>
                <w:color w:val="000000"/>
                <w:spacing w:val="-5"/>
                <w:sz w:val="20"/>
                <w:szCs w:val="20"/>
              </w:rPr>
              <w:t>MP</w:t>
            </w:r>
          </w:p>
          <w:p w14:paraId="00A39803" w14:textId="77777777" w:rsidR="00012AFC" w:rsidRPr="00012AFC" w:rsidRDefault="00012AFC" w:rsidP="00A42AB8">
            <w:pPr>
              <w:rPr>
                <w:rFonts w:ascii="Arial" w:hAnsi="Arial" w:cs="Arial"/>
                <w:sz w:val="20"/>
                <w:szCs w:val="20"/>
              </w:rPr>
            </w:pPr>
          </w:p>
        </w:tc>
      </w:tr>
      <w:tr w:rsidR="00012AFC" w:rsidRPr="002A6D80" w14:paraId="0411E7F5" w14:textId="77777777" w:rsidTr="0080635B">
        <w:tc>
          <w:tcPr>
            <w:tcW w:w="4870" w:type="dxa"/>
          </w:tcPr>
          <w:p w14:paraId="114BFCF5" w14:textId="77777777" w:rsidR="00012AFC" w:rsidRPr="002A6D80" w:rsidRDefault="00012AFC" w:rsidP="00A42AB8">
            <w:pPr>
              <w:pStyle w:val="Heading3"/>
              <w:ind w:left="0"/>
            </w:pPr>
            <w:bookmarkStart w:id="166" w:name="_Toc150762468"/>
            <w:r w:rsidRPr="002A6D80">
              <w:t>VBA Board</w:t>
            </w:r>
            <w:bookmarkEnd w:id="166"/>
          </w:p>
        </w:tc>
        <w:tc>
          <w:tcPr>
            <w:tcW w:w="4870" w:type="dxa"/>
          </w:tcPr>
          <w:p w14:paraId="2B33FA31" w14:textId="77777777" w:rsidR="00012AFC" w:rsidRPr="00012AFC" w:rsidRDefault="00012AFC" w:rsidP="00A42AB8">
            <w:pPr>
              <w:rPr>
                <w:rFonts w:ascii="Arial" w:hAnsi="Arial" w:cs="Arial"/>
                <w:sz w:val="20"/>
                <w:szCs w:val="20"/>
              </w:rPr>
            </w:pPr>
          </w:p>
        </w:tc>
      </w:tr>
      <w:tr w:rsidR="00012AFC" w:rsidRPr="002A6D80" w14:paraId="09FE2FE9" w14:textId="77777777" w:rsidTr="0080635B">
        <w:tc>
          <w:tcPr>
            <w:tcW w:w="4870" w:type="dxa"/>
          </w:tcPr>
          <w:p w14:paraId="3DFC5C09" w14:textId="77777777" w:rsidR="00012AFC" w:rsidRPr="002A6D80" w:rsidRDefault="00012AFC" w:rsidP="00A42AB8">
            <w:pPr>
              <w:pStyle w:val="Heading3"/>
              <w:ind w:left="0"/>
            </w:pPr>
            <w:bookmarkStart w:id="167" w:name="_Toc150762469"/>
            <w:r w:rsidRPr="002A6D80">
              <w:t>Commissioners</w:t>
            </w:r>
            <w:bookmarkEnd w:id="167"/>
          </w:p>
        </w:tc>
        <w:tc>
          <w:tcPr>
            <w:tcW w:w="4870" w:type="dxa"/>
          </w:tcPr>
          <w:p w14:paraId="1563A60B" w14:textId="77777777" w:rsidR="00012AFC" w:rsidRPr="00012AFC" w:rsidRDefault="00012AFC" w:rsidP="00A42AB8">
            <w:pPr>
              <w:rPr>
                <w:rFonts w:ascii="Arial" w:hAnsi="Arial" w:cs="Arial"/>
                <w:sz w:val="20"/>
                <w:szCs w:val="20"/>
              </w:rPr>
            </w:pPr>
            <w:r w:rsidRPr="00012AFC">
              <w:rPr>
                <w:rFonts w:ascii="Arial" w:hAnsi="Arial" w:cs="Arial"/>
                <w:sz w:val="20"/>
                <w:szCs w:val="20"/>
              </w:rPr>
              <w:t>Michelle McLean</w:t>
            </w:r>
            <w:r w:rsidRPr="00012AFC">
              <w:rPr>
                <w:rFonts w:ascii="Arial" w:hAnsi="Arial" w:cs="Arial"/>
                <w:sz w:val="20"/>
                <w:szCs w:val="20"/>
              </w:rPr>
              <w:br/>
              <w:t>Chief Commissioner</w:t>
            </w:r>
          </w:p>
          <w:p w14:paraId="2AE5AAD8" w14:textId="77777777" w:rsidR="00012AFC" w:rsidRPr="00012AFC" w:rsidRDefault="00012AFC" w:rsidP="00A42AB8">
            <w:pPr>
              <w:rPr>
                <w:rFonts w:ascii="Arial" w:hAnsi="Arial" w:cs="Arial"/>
                <w:sz w:val="20"/>
                <w:szCs w:val="20"/>
              </w:rPr>
            </w:pPr>
          </w:p>
          <w:p w14:paraId="47D7F8CF" w14:textId="77777777" w:rsidR="00012AFC" w:rsidRPr="00012AFC" w:rsidRDefault="00012AFC" w:rsidP="00A42AB8">
            <w:pPr>
              <w:rPr>
                <w:rFonts w:ascii="Arial" w:hAnsi="Arial" w:cs="Arial"/>
                <w:sz w:val="20"/>
                <w:szCs w:val="20"/>
              </w:rPr>
            </w:pPr>
            <w:r w:rsidRPr="00012AFC">
              <w:rPr>
                <w:rFonts w:ascii="Arial" w:hAnsi="Arial" w:cs="Arial"/>
                <w:sz w:val="20"/>
                <w:szCs w:val="20"/>
              </w:rPr>
              <w:t>Justin Madden AM</w:t>
            </w:r>
            <w:r w:rsidRPr="00012AFC">
              <w:rPr>
                <w:rFonts w:ascii="Arial" w:hAnsi="Arial" w:cs="Arial"/>
                <w:sz w:val="20"/>
                <w:szCs w:val="20"/>
              </w:rPr>
              <w:br/>
              <w:t>Deputy Chief Commissioner</w:t>
            </w:r>
          </w:p>
          <w:p w14:paraId="4370FCF5" w14:textId="77777777" w:rsidR="00012AFC" w:rsidRPr="00012AFC" w:rsidRDefault="00012AFC" w:rsidP="00A42AB8">
            <w:pPr>
              <w:rPr>
                <w:rFonts w:ascii="Arial" w:hAnsi="Arial" w:cs="Arial"/>
                <w:sz w:val="20"/>
                <w:szCs w:val="20"/>
              </w:rPr>
            </w:pPr>
          </w:p>
          <w:p w14:paraId="115FDDA3" w14:textId="77777777" w:rsidR="00065899" w:rsidRPr="00012AFC" w:rsidRDefault="00065899" w:rsidP="00065899">
            <w:pPr>
              <w:rPr>
                <w:rFonts w:ascii="Arial" w:hAnsi="Arial" w:cs="Arial"/>
                <w:sz w:val="20"/>
                <w:szCs w:val="20"/>
              </w:rPr>
            </w:pPr>
            <w:r w:rsidRPr="00012AFC">
              <w:rPr>
                <w:rFonts w:ascii="Arial" w:hAnsi="Arial" w:cs="Arial"/>
                <w:sz w:val="20"/>
                <w:szCs w:val="20"/>
              </w:rPr>
              <w:t>Carmel Coate</w:t>
            </w:r>
          </w:p>
          <w:p w14:paraId="465EADA8" w14:textId="77777777" w:rsidR="00065899" w:rsidRDefault="00065899" w:rsidP="00A42AB8">
            <w:pPr>
              <w:rPr>
                <w:rFonts w:ascii="Arial" w:hAnsi="Arial" w:cs="Arial"/>
                <w:sz w:val="20"/>
                <w:szCs w:val="20"/>
              </w:rPr>
            </w:pPr>
          </w:p>
          <w:p w14:paraId="60A52216" w14:textId="25C66007" w:rsidR="00012AFC" w:rsidRPr="00012AFC" w:rsidRDefault="00012AFC" w:rsidP="00A42AB8">
            <w:pPr>
              <w:rPr>
                <w:rFonts w:ascii="Arial" w:hAnsi="Arial" w:cs="Arial"/>
                <w:sz w:val="20"/>
                <w:szCs w:val="20"/>
              </w:rPr>
            </w:pPr>
            <w:r w:rsidRPr="00012AFC">
              <w:rPr>
                <w:rFonts w:ascii="Arial" w:hAnsi="Arial" w:cs="Arial"/>
                <w:sz w:val="20"/>
                <w:szCs w:val="20"/>
              </w:rPr>
              <w:t>Murray Coleman OAM</w:t>
            </w:r>
          </w:p>
          <w:p w14:paraId="04D57A04" w14:textId="77777777" w:rsidR="00012AFC" w:rsidRPr="00012AFC" w:rsidRDefault="00012AFC" w:rsidP="00A42AB8">
            <w:pPr>
              <w:rPr>
                <w:rFonts w:ascii="Arial" w:hAnsi="Arial" w:cs="Arial"/>
                <w:sz w:val="20"/>
                <w:szCs w:val="20"/>
              </w:rPr>
            </w:pPr>
          </w:p>
          <w:p w14:paraId="562CAB6B" w14:textId="550E29E6" w:rsidR="00012AFC" w:rsidRPr="00012AFC" w:rsidRDefault="00012AFC" w:rsidP="00A42AB8">
            <w:pPr>
              <w:rPr>
                <w:rFonts w:ascii="Arial" w:hAnsi="Arial" w:cs="Arial"/>
                <w:sz w:val="20"/>
                <w:szCs w:val="20"/>
              </w:rPr>
            </w:pPr>
            <w:r w:rsidRPr="00012AFC">
              <w:rPr>
                <w:rFonts w:ascii="Arial" w:hAnsi="Arial" w:cs="Arial"/>
                <w:sz w:val="20"/>
                <w:szCs w:val="20"/>
              </w:rPr>
              <w:t>Dr Julia</w:t>
            </w:r>
            <w:r w:rsidR="00065899">
              <w:rPr>
                <w:rFonts w:ascii="Arial" w:hAnsi="Arial" w:cs="Arial"/>
                <w:sz w:val="20"/>
                <w:szCs w:val="20"/>
              </w:rPr>
              <w:t xml:space="preserve"> </w:t>
            </w:r>
            <w:r w:rsidRPr="00012AFC">
              <w:rPr>
                <w:rFonts w:ascii="Arial" w:hAnsi="Arial" w:cs="Arial"/>
                <w:sz w:val="20"/>
                <w:szCs w:val="20"/>
              </w:rPr>
              <w:t>Cornwell McKean</w:t>
            </w:r>
          </w:p>
          <w:p w14:paraId="0AB90078" w14:textId="77777777" w:rsidR="00012AFC" w:rsidRPr="00012AFC" w:rsidRDefault="00012AFC" w:rsidP="00A42AB8">
            <w:pPr>
              <w:rPr>
                <w:rFonts w:ascii="Arial" w:hAnsi="Arial" w:cs="Arial"/>
                <w:sz w:val="20"/>
                <w:szCs w:val="20"/>
              </w:rPr>
            </w:pPr>
          </w:p>
          <w:p w14:paraId="7653AAF2" w14:textId="77777777" w:rsidR="00012AFC" w:rsidRPr="00012AFC" w:rsidRDefault="00012AFC" w:rsidP="00A42AB8">
            <w:pPr>
              <w:rPr>
                <w:rFonts w:ascii="Arial" w:hAnsi="Arial" w:cs="Arial"/>
                <w:sz w:val="20"/>
                <w:szCs w:val="20"/>
              </w:rPr>
            </w:pPr>
            <w:r w:rsidRPr="00012AFC">
              <w:rPr>
                <w:rFonts w:ascii="Arial" w:hAnsi="Arial" w:cs="Arial"/>
                <w:sz w:val="20"/>
                <w:szCs w:val="20"/>
              </w:rPr>
              <w:t>Dr Gillian Sparkes AM</w:t>
            </w:r>
          </w:p>
          <w:p w14:paraId="02D1FE54" w14:textId="77777777" w:rsidR="00012AFC" w:rsidRPr="00012AFC" w:rsidRDefault="00012AFC" w:rsidP="00A42AB8">
            <w:pPr>
              <w:rPr>
                <w:rFonts w:ascii="Arial" w:hAnsi="Arial" w:cs="Arial"/>
                <w:sz w:val="20"/>
                <w:szCs w:val="20"/>
              </w:rPr>
            </w:pPr>
          </w:p>
          <w:p w14:paraId="0C6E54D9" w14:textId="77777777" w:rsidR="00065899" w:rsidRPr="00012AFC" w:rsidRDefault="00065899" w:rsidP="00065899">
            <w:pPr>
              <w:rPr>
                <w:rFonts w:ascii="Arial" w:hAnsi="Arial" w:cs="Arial"/>
                <w:sz w:val="20"/>
                <w:szCs w:val="20"/>
              </w:rPr>
            </w:pPr>
            <w:r w:rsidRPr="00012AFC">
              <w:rPr>
                <w:rFonts w:ascii="Arial" w:hAnsi="Arial" w:cs="Arial"/>
                <w:sz w:val="20"/>
                <w:szCs w:val="20"/>
              </w:rPr>
              <w:t>Kelly Humphreys</w:t>
            </w:r>
          </w:p>
          <w:p w14:paraId="0193569C" w14:textId="77777777" w:rsidR="00065899" w:rsidRDefault="00065899" w:rsidP="00A42AB8">
            <w:pPr>
              <w:rPr>
                <w:rFonts w:ascii="Arial" w:hAnsi="Arial" w:cs="Arial"/>
                <w:sz w:val="20"/>
                <w:szCs w:val="20"/>
              </w:rPr>
            </w:pPr>
          </w:p>
          <w:p w14:paraId="155A0A47" w14:textId="77777777" w:rsidR="00065899" w:rsidRPr="00012AFC" w:rsidRDefault="00065899" w:rsidP="00065899">
            <w:pPr>
              <w:rPr>
                <w:rFonts w:ascii="Arial" w:hAnsi="Arial" w:cs="Arial"/>
                <w:sz w:val="20"/>
                <w:szCs w:val="20"/>
              </w:rPr>
            </w:pPr>
            <w:r w:rsidRPr="00012AFC">
              <w:rPr>
                <w:rFonts w:ascii="Arial" w:hAnsi="Arial" w:cs="Arial"/>
                <w:sz w:val="20"/>
                <w:szCs w:val="20"/>
              </w:rPr>
              <w:t>Salvatore Torre</w:t>
            </w:r>
          </w:p>
          <w:p w14:paraId="1F0DC108" w14:textId="77777777" w:rsidR="00065899" w:rsidRDefault="00065899" w:rsidP="00A42AB8">
            <w:pPr>
              <w:rPr>
                <w:rFonts w:ascii="Arial" w:hAnsi="Arial" w:cs="Arial"/>
                <w:sz w:val="20"/>
                <w:szCs w:val="20"/>
              </w:rPr>
            </w:pPr>
          </w:p>
          <w:p w14:paraId="4D168C18" w14:textId="3A4909E7" w:rsidR="00012AFC" w:rsidRPr="00012AFC" w:rsidRDefault="00012AFC" w:rsidP="00A42AB8">
            <w:pPr>
              <w:rPr>
                <w:rFonts w:ascii="Arial" w:hAnsi="Arial" w:cs="Arial"/>
                <w:sz w:val="20"/>
                <w:szCs w:val="20"/>
              </w:rPr>
            </w:pPr>
            <w:r w:rsidRPr="00012AFC">
              <w:rPr>
                <w:rFonts w:ascii="Arial" w:hAnsi="Arial" w:cs="Arial"/>
                <w:sz w:val="20"/>
                <w:szCs w:val="20"/>
              </w:rPr>
              <w:t>Thu-Trang Tran</w:t>
            </w:r>
          </w:p>
          <w:p w14:paraId="69607945" w14:textId="77777777" w:rsidR="00012AFC" w:rsidRPr="00012AFC" w:rsidRDefault="00012AFC" w:rsidP="00A42AB8">
            <w:pPr>
              <w:rPr>
                <w:rFonts w:ascii="Arial" w:hAnsi="Arial" w:cs="Arial"/>
                <w:sz w:val="20"/>
                <w:szCs w:val="20"/>
              </w:rPr>
            </w:pPr>
          </w:p>
          <w:p w14:paraId="35192E99" w14:textId="77777777" w:rsidR="00012AFC" w:rsidRPr="00012AFC" w:rsidRDefault="00012AFC" w:rsidP="00A42AB8">
            <w:pPr>
              <w:rPr>
                <w:rFonts w:ascii="Arial" w:hAnsi="Arial" w:cs="Arial"/>
                <w:sz w:val="20"/>
                <w:szCs w:val="20"/>
              </w:rPr>
            </w:pPr>
            <w:r w:rsidRPr="00012AFC">
              <w:rPr>
                <w:rFonts w:ascii="Arial" w:hAnsi="Arial" w:cs="Arial"/>
                <w:sz w:val="20"/>
                <w:szCs w:val="20"/>
              </w:rPr>
              <w:t>Yvonne von Hartel AM</w:t>
            </w:r>
          </w:p>
          <w:p w14:paraId="221D77F4" w14:textId="77777777" w:rsidR="00012AFC" w:rsidRPr="00012AFC" w:rsidRDefault="00012AFC" w:rsidP="00A42AB8">
            <w:pPr>
              <w:rPr>
                <w:rFonts w:ascii="Arial" w:hAnsi="Arial" w:cs="Arial"/>
                <w:sz w:val="20"/>
                <w:szCs w:val="20"/>
              </w:rPr>
            </w:pPr>
          </w:p>
          <w:p w14:paraId="5F8F9358" w14:textId="77777777" w:rsidR="00012AFC" w:rsidRPr="00012AFC" w:rsidRDefault="00012AFC" w:rsidP="00A42AB8">
            <w:pPr>
              <w:rPr>
                <w:rFonts w:ascii="Arial" w:hAnsi="Arial" w:cs="Arial"/>
                <w:sz w:val="20"/>
                <w:szCs w:val="20"/>
              </w:rPr>
            </w:pPr>
            <w:r w:rsidRPr="00012AFC">
              <w:rPr>
                <w:rFonts w:ascii="Arial" w:hAnsi="Arial" w:cs="Arial"/>
                <w:sz w:val="20"/>
                <w:szCs w:val="20"/>
              </w:rPr>
              <w:t>Simon Weir</w:t>
            </w:r>
          </w:p>
          <w:p w14:paraId="221490A8" w14:textId="77777777" w:rsidR="00012AFC" w:rsidRPr="00012AFC" w:rsidRDefault="00012AFC" w:rsidP="00A42AB8">
            <w:pPr>
              <w:rPr>
                <w:rFonts w:ascii="Arial" w:hAnsi="Arial" w:cs="Arial"/>
                <w:sz w:val="20"/>
                <w:szCs w:val="20"/>
              </w:rPr>
            </w:pPr>
          </w:p>
        </w:tc>
      </w:tr>
      <w:tr w:rsidR="00012AFC" w:rsidRPr="002A6D80" w14:paraId="27A17935" w14:textId="77777777" w:rsidTr="0080635B">
        <w:tc>
          <w:tcPr>
            <w:tcW w:w="4870" w:type="dxa"/>
          </w:tcPr>
          <w:p w14:paraId="7780BDEE" w14:textId="77777777" w:rsidR="00012AFC" w:rsidRPr="002A6D80" w:rsidRDefault="00012AFC" w:rsidP="00A42AB8">
            <w:pPr>
              <w:pStyle w:val="Heading3"/>
              <w:ind w:left="0"/>
            </w:pPr>
            <w:bookmarkStart w:id="168" w:name="_Toc150762470"/>
            <w:r w:rsidRPr="002A6D80">
              <w:t>Committees</w:t>
            </w:r>
            <w:bookmarkEnd w:id="168"/>
          </w:p>
        </w:tc>
        <w:tc>
          <w:tcPr>
            <w:tcW w:w="4870" w:type="dxa"/>
          </w:tcPr>
          <w:p w14:paraId="21034DD2" w14:textId="77777777" w:rsidR="00012AFC" w:rsidRPr="00012AFC" w:rsidRDefault="00012AFC" w:rsidP="00A42AB8">
            <w:pPr>
              <w:rPr>
                <w:rFonts w:ascii="Arial" w:hAnsi="Arial" w:cs="Arial"/>
                <w:sz w:val="20"/>
                <w:szCs w:val="20"/>
              </w:rPr>
            </w:pPr>
            <w:r w:rsidRPr="00012AFC">
              <w:rPr>
                <w:rFonts w:ascii="Arial" w:hAnsi="Arial" w:cs="Arial"/>
                <w:sz w:val="20"/>
                <w:szCs w:val="20"/>
              </w:rPr>
              <w:t>Cladding</w:t>
            </w:r>
            <w:r w:rsidRPr="00012AFC">
              <w:rPr>
                <w:rFonts w:ascii="Arial" w:hAnsi="Arial" w:cs="Arial"/>
                <w:spacing w:val="-8"/>
                <w:sz w:val="20"/>
                <w:szCs w:val="20"/>
              </w:rPr>
              <w:t xml:space="preserve"> </w:t>
            </w:r>
            <w:r w:rsidRPr="00012AFC">
              <w:rPr>
                <w:rFonts w:ascii="Arial" w:hAnsi="Arial" w:cs="Arial"/>
                <w:sz w:val="20"/>
                <w:szCs w:val="20"/>
              </w:rPr>
              <w:t>Committee</w:t>
            </w:r>
          </w:p>
          <w:p w14:paraId="16CD3C98" w14:textId="77777777" w:rsidR="00012AFC" w:rsidRPr="00012AFC" w:rsidRDefault="00012AFC" w:rsidP="00A42AB8">
            <w:pPr>
              <w:rPr>
                <w:rFonts w:ascii="Arial" w:hAnsi="Arial" w:cs="Arial"/>
                <w:sz w:val="20"/>
                <w:szCs w:val="20"/>
              </w:rPr>
            </w:pPr>
          </w:p>
          <w:p w14:paraId="365B67D4" w14:textId="77777777" w:rsidR="00065899" w:rsidRDefault="00065899" w:rsidP="00065899">
            <w:pPr>
              <w:rPr>
                <w:rFonts w:ascii="Arial" w:hAnsi="Arial" w:cs="Arial"/>
                <w:sz w:val="20"/>
                <w:szCs w:val="20"/>
              </w:rPr>
            </w:pPr>
            <w:r w:rsidRPr="00012AFC">
              <w:rPr>
                <w:rFonts w:ascii="Arial" w:hAnsi="Arial" w:cs="Arial"/>
                <w:sz w:val="20"/>
                <w:szCs w:val="20"/>
              </w:rPr>
              <w:t>Remuneration</w:t>
            </w:r>
            <w:r w:rsidRPr="00012AFC">
              <w:rPr>
                <w:rFonts w:ascii="Arial" w:hAnsi="Arial" w:cs="Arial"/>
                <w:spacing w:val="12"/>
                <w:sz w:val="20"/>
                <w:szCs w:val="20"/>
              </w:rPr>
              <w:t xml:space="preserve"> </w:t>
            </w:r>
            <w:r w:rsidRPr="00012AFC">
              <w:rPr>
                <w:rFonts w:ascii="Arial" w:hAnsi="Arial" w:cs="Arial"/>
                <w:sz w:val="20"/>
                <w:szCs w:val="20"/>
              </w:rPr>
              <w:t>Committee</w:t>
            </w:r>
          </w:p>
          <w:p w14:paraId="264B6B2D" w14:textId="77777777" w:rsidR="00065899" w:rsidRDefault="00065899" w:rsidP="00A42AB8">
            <w:pPr>
              <w:rPr>
                <w:rFonts w:ascii="Arial" w:hAnsi="Arial" w:cs="Arial"/>
                <w:sz w:val="20"/>
                <w:szCs w:val="20"/>
              </w:rPr>
            </w:pPr>
          </w:p>
          <w:p w14:paraId="5A9A5BBF" w14:textId="3533FBB0" w:rsidR="00012AFC" w:rsidRDefault="00012AFC" w:rsidP="00A42AB8">
            <w:pPr>
              <w:rPr>
                <w:rFonts w:ascii="Arial" w:hAnsi="Arial" w:cs="Arial"/>
                <w:sz w:val="20"/>
                <w:szCs w:val="20"/>
              </w:rPr>
            </w:pPr>
            <w:r w:rsidRPr="00012AFC">
              <w:rPr>
                <w:rFonts w:ascii="Arial" w:hAnsi="Arial" w:cs="Arial"/>
                <w:sz w:val="20"/>
                <w:szCs w:val="20"/>
              </w:rPr>
              <w:t>People</w:t>
            </w:r>
            <w:r w:rsidRPr="00012AFC">
              <w:rPr>
                <w:rFonts w:ascii="Arial" w:hAnsi="Arial" w:cs="Arial"/>
                <w:spacing w:val="-6"/>
                <w:sz w:val="20"/>
                <w:szCs w:val="20"/>
              </w:rPr>
              <w:t xml:space="preserve"> </w:t>
            </w:r>
            <w:r w:rsidRPr="00012AFC">
              <w:rPr>
                <w:rFonts w:ascii="Arial" w:hAnsi="Arial" w:cs="Arial"/>
                <w:sz w:val="20"/>
                <w:szCs w:val="20"/>
              </w:rPr>
              <w:t>and</w:t>
            </w:r>
            <w:r w:rsidRPr="00012AFC">
              <w:rPr>
                <w:rFonts w:ascii="Arial" w:hAnsi="Arial" w:cs="Arial"/>
                <w:spacing w:val="-5"/>
                <w:sz w:val="20"/>
                <w:szCs w:val="20"/>
              </w:rPr>
              <w:t xml:space="preserve"> </w:t>
            </w:r>
            <w:r w:rsidRPr="00012AFC">
              <w:rPr>
                <w:rFonts w:ascii="Arial" w:hAnsi="Arial" w:cs="Arial"/>
                <w:sz w:val="20"/>
                <w:szCs w:val="20"/>
              </w:rPr>
              <w:t>Culture</w:t>
            </w:r>
            <w:r w:rsidRPr="00012AFC">
              <w:rPr>
                <w:rFonts w:ascii="Arial" w:hAnsi="Arial" w:cs="Arial"/>
                <w:spacing w:val="-6"/>
                <w:sz w:val="20"/>
                <w:szCs w:val="20"/>
              </w:rPr>
              <w:t xml:space="preserve"> </w:t>
            </w:r>
            <w:r w:rsidRPr="00012AFC">
              <w:rPr>
                <w:rFonts w:ascii="Arial" w:hAnsi="Arial" w:cs="Arial"/>
                <w:sz w:val="20"/>
                <w:szCs w:val="20"/>
              </w:rPr>
              <w:t>Committee</w:t>
            </w:r>
          </w:p>
          <w:p w14:paraId="2AC4F15B" w14:textId="77777777" w:rsidR="00065899" w:rsidRDefault="00065899" w:rsidP="00A42AB8">
            <w:pPr>
              <w:rPr>
                <w:rFonts w:ascii="Arial" w:hAnsi="Arial" w:cs="Arial"/>
                <w:sz w:val="20"/>
                <w:szCs w:val="20"/>
              </w:rPr>
            </w:pPr>
          </w:p>
          <w:p w14:paraId="020B5E2F" w14:textId="02A447C9" w:rsidR="00065899" w:rsidRPr="00012AFC" w:rsidRDefault="00065899" w:rsidP="00A42AB8">
            <w:pPr>
              <w:rPr>
                <w:rFonts w:ascii="Arial" w:hAnsi="Arial" w:cs="Arial"/>
                <w:sz w:val="20"/>
                <w:szCs w:val="20"/>
              </w:rPr>
            </w:pPr>
            <w:r w:rsidRPr="00012AFC">
              <w:rPr>
                <w:rFonts w:ascii="Arial" w:hAnsi="Arial" w:cs="Arial"/>
                <w:sz w:val="20"/>
                <w:szCs w:val="20"/>
              </w:rPr>
              <w:t>Regulatory</w:t>
            </w:r>
            <w:r w:rsidRPr="00012AFC">
              <w:rPr>
                <w:rFonts w:ascii="Arial" w:hAnsi="Arial" w:cs="Arial"/>
                <w:spacing w:val="-10"/>
                <w:sz w:val="20"/>
                <w:szCs w:val="20"/>
              </w:rPr>
              <w:t xml:space="preserve"> </w:t>
            </w:r>
            <w:r w:rsidRPr="00012AFC">
              <w:rPr>
                <w:rFonts w:ascii="Arial" w:hAnsi="Arial" w:cs="Arial"/>
                <w:sz w:val="20"/>
                <w:szCs w:val="20"/>
              </w:rPr>
              <w:t>Operations</w:t>
            </w:r>
            <w:r w:rsidRPr="00012AFC">
              <w:rPr>
                <w:rFonts w:ascii="Arial" w:hAnsi="Arial" w:cs="Arial"/>
                <w:spacing w:val="-9"/>
                <w:sz w:val="20"/>
                <w:szCs w:val="20"/>
              </w:rPr>
              <w:t xml:space="preserve"> </w:t>
            </w:r>
            <w:r w:rsidRPr="00012AFC">
              <w:rPr>
                <w:rFonts w:ascii="Arial" w:hAnsi="Arial" w:cs="Arial"/>
                <w:sz w:val="20"/>
                <w:szCs w:val="20"/>
              </w:rPr>
              <w:t>Committee</w:t>
            </w:r>
          </w:p>
          <w:p w14:paraId="5DE5B634" w14:textId="77777777" w:rsidR="00012AFC" w:rsidRPr="00012AFC" w:rsidRDefault="00012AFC" w:rsidP="00A42AB8">
            <w:pPr>
              <w:rPr>
                <w:rFonts w:ascii="Arial" w:hAnsi="Arial" w:cs="Arial"/>
                <w:sz w:val="20"/>
                <w:szCs w:val="20"/>
              </w:rPr>
            </w:pPr>
          </w:p>
          <w:p w14:paraId="508BCA72" w14:textId="77777777" w:rsidR="00012AFC" w:rsidRPr="00012AFC" w:rsidRDefault="00012AFC" w:rsidP="00A42AB8">
            <w:pPr>
              <w:rPr>
                <w:rFonts w:ascii="Arial" w:hAnsi="Arial" w:cs="Arial"/>
                <w:sz w:val="20"/>
                <w:szCs w:val="20"/>
              </w:rPr>
            </w:pPr>
            <w:r w:rsidRPr="00012AFC">
              <w:rPr>
                <w:rFonts w:ascii="Arial" w:hAnsi="Arial" w:cs="Arial"/>
                <w:sz w:val="20"/>
                <w:szCs w:val="20"/>
              </w:rPr>
              <w:t>Independent Inquiry Committee</w:t>
            </w:r>
          </w:p>
          <w:p w14:paraId="1DE2644A" w14:textId="77777777" w:rsidR="00012AFC" w:rsidRPr="00012AFC" w:rsidRDefault="00012AFC" w:rsidP="00A42AB8">
            <w:pPr>
              <w:rPr>
                <w:rFonts w:ascii="Arial" w:hAnsi="Arial" w:cs="Arial"/>
                <w:sz w:val="20"/>
                <w:szCs w:val="20"/>
              </w:rPr>
            </w:pPr>
          </w:p>
          <w:p w14:paraId="30DF6624" w14:textId="1CC883C0" w:rsidR="00012AFC" w:rsidRPr="00012AFC" w:rsidRDefault="00012AFC" w:rsidP="00A42AB8">
            <w:pPr>
              <w:rPr>
                <w:rFonts w:ascii="Arial" w:hAnsi="Arial" w:cs="Arial"/>
                <w:sz w:val="20"/>
                <w:szCs w:val="20"/>
              </w:rPr>
            </w:pPr>
            <w:r w:rsidRPr="00012AFC">
              <w:rPr>
                <w:rFonts w:ascii="Arial" w:hAnsi="Arial" w:cs="Arial"/>
                <w:sz w:val="20"/>
                <w:szCs w:val="20"/>
              </w:rPr>
              <w:t>Research</w:t>
            </w:r>
            <w:r w:rsidRPr="00012AFC">
              <w:rPr>
                <w:rFonts w:ascii="Arial" w:hAnsi="Arial" w:cs="Arial"/>
                <w:spacing w:val="-7"/>
                <w:sz w:val="20"/>
                <w:szCs w:val="20"/>
              </w:rPr>
              <w:t xml:space="preserve"> </w:t>
            </w:r>
            <w:r w:rsidRPr="00012AFC">
              <w:rPr>
                <w:rFonts w:ascii="Arial" w:hAnsi="Arial" w:cs="Arial"/>
                <w:sz w:val="20"/>
                <w:szCs w:val="20"/>
              </w:rPr>
              <w:t>and</w:t>
            </w:r>
            <w:r w:rsidRPr="00012AFC">
              <w:rPr>
                <w:rFonts w:ascii="Arial" w:hAnsi="Arial" w:cs="Arial"/>
                <w:spacing w:val="-7"/>
                <w:sz w:val="20"/>
                <w:szCs w:val="20"/>
              </w:rPr>
              <w:t xml:space="preserve"> </w:t>
            </w:r>
            <w:r w:rsidRPr="00012AFC">
              <w:rPr>
                <w:rFonts w:ascii="Arial" w:hAnsi="Arial" w:cs="Arial"/>
                <w:sz w:val="20"/>
                <w:szCs w:val="20"/>
              </w:rPr>
              <w:t>Innovation</w:t>
            </w:r>
            <w:r w:rsidRPr="00012AFC">
              <w:rPr>
                <w:rFonts w:ascii="Arial" w:hAnsi="Arial" w:cs="Arial"/>
                <w:spacing w:val="-7"/>
                <w:sz w:val="20"/>
                <w:szCs w:val="20"/>
              </w:rPr>
              <w:t xml:space="preserve"> </w:t>
            </w:r>
            <w:r w:rsidRPr="00012AFC">
              <w:rPr>
                <w:rFonts w:ascii="Arial" w:hAnsi="Arial" w:cs="Arial"/>
                <w:sz w:val="20"/>
                <w:szCs w:val="20"/>
              </w:rPr>
              <w:t>Committee</w:t>
            </w:r>
          </w:p>
          <w:p w14:paraId="08FF7B7E" w14:textId="77777777" w:rsidR="00012AFC" w:rsidRPr="00012AFC" w:rsidRDefault="00012AFC" w:rsidP="00A42AB8">
            <w:pPr>
              <w:rPr>
                <w:rFonts w:ascii="Arial" w:hAnsi="Arial" w:cs="Arial"/>
                <w:sz w:val="20"/>
                <w:szCs w:val="20"/>
              </w:rPr>
            </w:pPr>
          </w:p>
          <w:p w14:paraId="4C314C6A" w14:textId="77777777" w:rsidR="00012AFC" w:rsidRPr="00012AFC" w:rsidRDefault="00012AFC" w:rsidP="00A42AB8">
            <w:pPr>
              <w:rPr>
                <w:rFonts w:ascii="Arial" w:hAnsi="Arial" w:cs="Arial"/>
                <w:sz w:val="20"/>
                <w:szCs w:val="20"/>
              </w:rPr>
            </w:pPr>
            <w:r w:rsidRPr="00012AFC">
              <w:rPr>
                <w:rFonts w:ascii="Arial" w:hAnsi="Arial" w:cs="Arial"/>
                <w:sz w:val="20"/>
                <w:szCs w:val="20"/>
              </w:rPr>
              <w:t>Risk,</w:t>
            </w:r>
            <w:r w:rsidRPr="00012AFC">
              <w:rPr>
                <w:rFonts w:ascii="Arial" w:hAnsi="Arial" w:cs="Arial"/>
                <w:spacing w:val="-5"/>
                <w:sz w:val="20"/>
                <w:szCs w:val="20"/>
              </w:rPr>
              <w:t xml:space="preserve"> </w:t>
            </w:r>
            <w:r w:rsidRPr="00012AFC">
              <w:rPr>
                <w:rFonts w:ascii="Arial" w:hAnsi="Arial" w:cs="Arial"/>
                <w:sz w:val="20"/>
                <w:szCs w:val="20"/>
              </w:rPr>
              <w:t>Audit</w:t>
            </w:r>
            <w:r w:rsidRPr="00012AFC">
              <w:rPr>
                <w:rFonts w:ascii="Arial" w:hAnsi="Arial" w:cs="Arial"/>
                <w:spacing w:val="-5"/>
                <w:sz w:val="20"/>
                <w:szCs w:val="20"/>
              </w:rPr>
              <w:t xml:space="preserve"> </w:t>
            </w:r>
            <w:r w:rsidRPr="00012AFC">
              <w:rPr>
                <w:rFonts w:ascii="Arial" w:hAnsi="Arial" w:cs="Arial"/>
                <w:sz w:val="20"/>
                <w:szCs w:val="20"/>
              </w:rPr>
              <w:t>and</w:t>
            </w:r>
            <w:r w:rsidRPr="00012AFC">
              <w:rPr>
                <w:rFonts w:ascii="Arial" w:hAnsi="Arial" w:cs="Arial"/>
                <w:spacing w:val="-5"/>
                <w:sz w:val="20"/>
                <w:szCs w:val="20"/>
              </w:rPr>
              <w:t xml:space="preserve"> </w:t>
            </w:r>
            <w:r w:rsidRPr="00012AFC">
              <w:rPr>
                <w:rFonts w:ascii="Arial" w:hAnsi="Arial" w:cs="Arial"/>
                <w:sz w:val="20"/>
                <w:szCs w:val="20"/>
              </w:rPr>
              <w:t>Finance</w:t>
            </w:r>
            <w:r w:rsidRPr="00012AFC">
              <w:rPr>
                <w:rFonts w:ascii="Arial" w:hAnsi="Arial" w:cs="Arial"/>
                <w:spacing w:val="-5"/>
                <w:sz w:val="20"/>
                <w:szCs w:val="20"/>
              </w:rPr>
              <w:t xml:space="preserve"> </w:t>
            </w:r>
            <w:r w:rsidRPr="00012AFC">
              <w:rPr>
                <w:rFonts w:ascii="Arial" w:hAnsi="Arial" w:cs="Arial"/>
                <w:sz w:val="20"/>
                <w:szCs w:val="20"/>
              </w:rPr>
              <w:t>Committee</w:t>
            </w:r>
          </w:p>
          <w:p w14:paraId="1A4D6ED4" w14:textId="77777777" w:rsidR="00012AFC" w:rsidRPr="00012AFC" w:rsidRDefault="00012AFC" w:rsidP="00A42AB8">
            <w:pPr>
              <w:rPr>
                <w:rFonts w:ascii="Arial" w:hAnsi="Arial" w:cs="Arial"/>
                <w:sz w:val="20"/>
                <w:szCs w:val="20"/>
              </w:rPr>
            </w:pPr>
          </w:p>
        </w:tc>
      </w:tr>
      <w:tr w:rsidR="00012AFC" w:rsidRPr="002A6D80" w14:paraId="012C8356" w14:textId="77777777" w:rsidTr="0080635B">
        <w:tc>
          <w:tcPr>
            <w:tcW w:w="4870" w:type="dxa"/>
          </w:tcPr>
          <w:p w14:paraId="78B3B6F3" w14:textId="77777777" w:rsidR="00012AFC" w:rsidRPr="002A6D80" w:rsidRDefault="00012AFC" w:rsidP="00A42AB8">
            <w:pPr>
              <w:pStyle w:val="Heading3"/>
              <w:ind w:left="0"/>
            </w:pPr>
            <w:bookmarkStart w:id="169" w:name="_Toc150762471"/>
            <w:r w:rsidRPr="002A6D80">
              <w:t>Chief Executive Officer</w:t>
            </w:r>
            <w:bookmarkEnd w:id="169"/>
          </w:p>
        </w:tc>
        <w:tc>
          <w:tcPr>
            <w:tcW w:w="4870" w:type="dxa"/>
          </w:tcPr>
          <w:p w14:paraId="217E7A2C" w14:textId="77777777" w:rsidR="00012AFC" w:rsidRPr="00012AFC" w:rsidRDefault="00012AFC" w:rsidP="00A42AB8">
            <w:pPr>
              <w:spacing w:before="145"/>
              <w:rPr>
                <w:rFonts w:ascii="Arial" w:hAnsi="Arial" w:cs="Arial"/>
                <w:color w:val="000000"/>
                <w:sz w:val="20"/>
                <w:szCs w:val="20"/>
              </w:rPr>
            </w:pPr>
            <w:r w:rsidRPr="00012AFC">
              <w:rPr>
                <w:rFonts w:ascii="Arial" w:hAnsi="Arial" w:cs="Arial"/>
                <w:color w:val="000000"/>
                <w:sz w:val="20"/>
                <w:szCs w:val="20"/>
              </w:rPr>
              <w:t>Anna</w:t>
            </w:r>
            <w:r w:rsidRPr="00012AFC">
              <w:rPr>
                <w:rFonts w:ascii="Arial" w:hAnsi="Arial" w:cs="Arial"/>
                <w:color w:val="000000"/>
                <w:spacing w:val="-5"/>
                <w:sz w:val="20"/>
                <w:szCs w:val="20"/>
              </w:rPr>
              <w:t xml:space="preserve"> </w:t>
            </w:r>
            <w:r w:rsidRPr="00012AFC">
              <w:rPr>
                <w:rFonts w:ascii="Arial" w:hAnsi="Arial" w:cs="Arial"/>
                <w:color w:val="000000"/>
                <w:spacing w:val="-2"/>
                <w:sz w:val="20"/>
                <w:szCs w:val="20"/>
              </w:rPr>
              <w:t>Cronin</w:t>
            </w:r>
          </w:p>
          <w:p w14:paraId="0C21A10F" w14:textId="77777777" w:rsidR="00012AFC" w:rsidRPr="00012AFC" w:rsidRDefault="00012AFC" w:rsidP="00A42AB8">
            <w:pPr>
              <w:rPr>
                <w:rFonts w:ascii="Arial" w:hAnsi="Arial" w:cs="Arial"/>
                <w:sz w:val="20"/>
                <w:szCs w:val="20"/>
              </w:rPr>
            </w:pPr>
          </w:p>
        </w:tc>
      </w:tr>
    </w:tbl>
    <w:p w14:paraId="1BDF07ED" w14:textId="636C9796" w:rsidR="00012AFC" w:rsidRPr="00012AFC" w:rsidRDefault="00012AFC" w:rsidP="00012AFC">
      <w:pPr>
        <w:pStyle w:val="Heading2"/>
        <w:sectPr w:rsidR="00012AFC" w:rsidRPr="00012AFC" w:rsidSect="006D75B2">
          <w:headerReference w:type="even" r:id="rId191"/>
          <w:footerReference w:type="even" r:id="rId192"/>
          <w:footerReference w:type="default" r:id="rId193"/>
          <w:pgSz w:w="11910" w:h="16840"/>
          <w:pgMar w:top="1100" w:right="0" w:bottom="700" w:left="0" w:header="0" w:footer="515" w:gutter="0"/>
          <w:pgNumType w:start="70"/>
          <w:cols w:space="720"/>
        </w:sectPr>
      </w:pPr>
    </w:p>
    <w:p w14:paraId="563FBDC7" w14:textId="77777777" w:rsidR="00084F36" w:rsidRPr="00EB2BD8" w:rsidRDefault="00084F36">
      <w:pPr>
        <w:pStyle w:val="BodyText"/>
        <w:rPr>
          <w:rFonts w:ascii="Tahoma"/>
          <w:b/>
          <w:sz w:val="20"/>
        </w:rPr>
      </w:pPr>
    </w:p>
    <w:p w14:paraId="66605B59" w14:textId="77777777" w:rsidR="00084F36" w:rsidRPr="00EB2BD8" w:rsidRDefault="00084F36">
      <w:pPr>
        <w:pStyle w:val="BodyText"/>
        <w:rPr>
          <w:rFonts w:ascii="Tahoma"/>
          <w:b/>
          <w:sz w:val="20"/>
        </w:rPr>
      </w:pPr>
    </w:p>
    <w:p w14:paraId="199D604B" w14:textId="77777777" w:rsidR="00084F36" w:rsidRPr="00EB2BD8" w:rsidRDefault="00084F36">
      <w:pPr>
        <w:pStyle w:val="BodyText"/>
        <w:spacing w:before="6"/>
        <w:rPr>
          <w:rFonts w:ascii="Tahoma"/>
          <w:b/>
          <w:sz w:val="21"/>
        </w:rPr>
      </w:pPr>
    </w:p>
    <w:p w14:paraId="6D557617" w14:textId="77777777" w:rsidR="00084F36" w:rsidRPr="00EB2BD8" w:rsidRDefault="00084F36">
      <w:pPr>
        <w:pStyle w:val="BodyText"/>
        <w:rPr>
          <w:sz w:val="20"/>
        </w:rPr>
      </w:pPr>
    </w:p>
    <w:p w14:paraId="02A05116" w14:textId="77777777" w:rsidR="00084F36" w:rsidRPr="00EB2BD8" w:rsidRDefault="00084F36">
      <w:pPr>
        <w:pStyle w:val="BodyText"/>
        <w:rPr>
          <w:sz w:val="20"/>
        </w:rPr>
      </w:pPr>
    </w:p>
    <w:p w14:paraId="5B536EDD" w14:textId="77777777" w:rsidR="00084F36" w:rsidRPr="00EB2BD8" w:rsidRDefault="00084F36">
      <w:pPr>
        <w:pStyle w:val="BodyText"/>
        <w:rPr>
          <w:sz w:val="20"/>
        </w:rPr>
      </w:pPr>
    </w:p>
    <w:p w14:paraId="2AD10522" w14:textId="77777777" w:rsidR="00084F36" w:rsidRPr="00EB2BD8" w:rsidRDefault="00084F36">
      <w:pPr>
        <w:pStyle w:val="BodyText"/>
        <w:rPr>
          <w:sz w:val="20"/>
        </w:rPr>
      </w:pPr>
    </w:p>
    <w:p w14:paraId="2FBEA299" w14:textId="77777777" w:rsidR="00084F36" w:rsidRPr="00EB2BD8" w:rsidRDefault="00084F36">
      <w:pPr>
        <w:pStyle w:val="BodyText"/>
        <w:spacing w:before="5"/>
        <w:rPr>
          <w:sz w:val="17"/>
        </w:rPr>
      </w:pPr>
    </w:p>
    <w:p w14:paraId="3F7098BB" w14:textId="77777777" w:rsidR="00084F36" w:rsidRPr="00EB2BD8" w:rsidRDefault="00EB2BD8" w:rsidP="00CF2B5C">
      <w:pPr>
        <w:pStyle w:val="Heading2"/>
      </w:pPr>
      <w:bookmarkStart w:id="170" w:name="_Toc150762472"/>
      <w:r w:rsidRPr="00EB2BD8">
        <w:t>VBA</w:t>
      </w:r>
      <w:r w:rsidRPr="00EB2BD8">
        <w:rPr>
          <w:spacing w:val="-15"/>
        </w:rPr>
        <w:t xml:space="preserve"> </w:t>
      </w:r>
      <w:r w:rsidRPr="00EB2BD8">
        <w:t>Governance</w:t>
      </w:r>
      <w:r w:rsidRPr="00EB2BD8">
        <w:rPr>
          <w:spacing w:val="-14"/>
        </w:rPr>
        <w:t xml:space="preserve"> </w:t>
      </w:r>
      <w:r w:rsidRPr="00EB2BD8">
        <w:rPr>
          <w:spacing w:val="-2"/>
        </w:rPr>
        <w:t>Structure</w:t>
      </w:r>
      <w:bookmarkEnd w:id="170"/>
    </w:p>
    <w:p w14:paraId="5DA00CE8" w14:textId="77777777" w:rsidR="00084F36" w:rsidRPr="00EB2BD8" w:rsidRDefault="00084F36">
      <w:pPr>
        <w:pStyle w:val="BodyText"/>
        <w:rPr>
          <w:rFonts w:ascii="Tahoma"/>
          <w:b/>
          <w:sz w:val="20"/>
        </w:rPr>
      </w:pPr>
    </w:p>
    <w:p w14:paraId="601C0B5A" w14:textId="77777777" w:rsidR="00084F36" w:rsidRPr="00EB2BD8" w:rsidRDefault="00084F36">
      <w:pPr>
        <w:pStyle w:val="BodyText"/>
        <w:rPr>
          <w:rFonts w:ascii="Tahoma"/>
          <w:b/>
          <w:sz w:val="20"/>
        </w:rPr>
      </w:pPr>
    </w:p>
    <w:p w14:paraId="2EEC6B31" w14:textId="77777777" w:rsidR="00084F36" w:rsidRPr="00EB2BD8" w:rsidRDefault="00084F36">
      <w:pPr>
        <w:pStyle w:val="BodyText"/>
        <w:spacing w:before="8"/>
        <w:rPr>
          <w:rFonts w:ascii="Tahoma"/>
          <w:b/>
          <w:sz w:val="23"/>
        </w:rPr>
      </w:pPr>
    </w:p>
    <w:p w14:paraId="3ED8F511" w14:textId="77777777" w:rsidR="00084F36" w:rsidRPr="00EB2BD8" w:rsidRDefault="00084F36">
      <w:pPr>
        <w:rPr>
          <w:rFonts w:ascii="Tahoma"/>
          <w:sz w:val="23"/>
        </w:rPr>
        <w:sectPr w:rsidR="00084F36" w:rsidRPr="00EB2BD8" w:rsidSect="006D75B2">
          <w:headerReference w:type="default" r:id="rId194"/>
          <w:footerReference w:type="default" r:id="rId195"/>
          <w:pgSz w:w="11910" w:h="16840"/>
          <w:pgMar w:top="0" w:right="0" w:bottom="280" w:left="0" w:header="0" w:footer="0" w:gutter="0"/>
          <w:cols w:space="720"/>
        </w:sectPr>
      </w:pPr>
    </w:p>
    <w:p w14:paraId="243E64D8" w14:textId="77777777" w:rsidR="00084F36" w:rsidRPr="00EB2BD8" w:rsidRDefault="00EB2BD8" w:rsidP="00CF2B5C">
      <w:pPr>
        <w:pStyle w:val="Heading2"/>
      </w:pPr>
      <w:bookmarkStart w:id="171" w:name="_Toc150762473"/>
      <w:r w:rsidRPr="00EB2BD8">
        <w:t>VBA</w:t>
      </w:r>
      <w:r w:rsidRPr="00EB2BD8">
        <w:rPr>
          <w:spacing w:val="-22"/>
        </w:rPr>
        <w:t xml:space="preserve"> </w:t>
      </w:r>
      <w:r w:rsidRPr="00EB2BD8">
        <w:t>Board</w:t>
      </w:r>
      <w:bookmarkEnd w:id="171"/>
    </w:p>
    <w:p w14:paraId="08AF79E1" w14:textId="77777777" w:rsidR="00084F36" w:rsidRPr="00EB2BD8" w:rsidRDefault="00EB2BD8">
      <w:pPr>
        <w:pStyle w:val="BodyText"/>
        <w:spacing w:before="168" w:line="261" w:lineRule="auto"/>
        <w:ind w:left="850"/>
      </w:pPr>
      <w:r w:rsidRPr="00EB2BD8">
        <w:t>The</w:t>
      </w:r>
      <w:r w:rsidRPr="00EB2BD8">
        <w:rPr>
          <w:spacing w:val="-2"/>
        </w:rPr>
        <w:t xml:space="preserve"> </w:t>
      </w:r>
      <w:r w:rsidRPr="00EB2BD8">
        <w:t>VBA</w:t>
      </w:r>
      <w:r w:rsidRPr="00EB2BD8">
        <w:rPr>
          <w:spacing w:val="-2"/>
        </w:rPr>
        <w:t xml:space="preserve"> </w:t>
      </w:r>
      <w:r w:rsidRPr="00EB2BD8">
        <w:t>Board</w:t>
      </w:r>
      <w:r w:rsidRPr="00EB2BD8">
        <w:rPr>
          <w:spacing w:val="-2"/>
        </w:rPr>
        <w:t xml:space="preserve"> </w:t>
      </w:r>
      <w:r w:rsidRPr="00EB2BD8">
        <w:t>is</w:t>
      </w:r>
      <w:r w:rsidRPr="00EB2BD8">
        <w:rPr>
          <w:spacing w:val="-2"/>
        </w:rPr>
        <w:t xml:space="preserve"> </w:t>
      </w:r>
      <w:r w:rsidRPr="00EB2BD8">
        <w:t>responsible</w:t>
      </w:r>
      <w:r w:rsidRPr="00EB2BD8">
        <w:rPr>
          <w:spacing w:val="-2"/>
        </w:rPr>
        <w:t xml:space="preserve"> </w:t>
      </w:r>
      <w:r w:rsidRPr="00EB2BD8">
        <w:t>for</w:t>
      </w:r>
      <w:r w:rsidRPr="00EB2BD8">
        <w:rPr>
          <w:spacing w:val="-2"/>
        </w:rPr>
        <w:t xml:space="preserve"> </w:t>
      </w:r>
      <w:r w:rsidRPr="00EB2BD8">
        <w:t>the</w:t>
      </w:r>
      <w:r w:rsidRPr="00EB2BD8">
        <w:rPr>
          <w:spacing w:val="-2"/>
        </w:rPr>
        <w:t xml:space="preserve"> </w:t>
      </w:r>
      <w:r w:rsidRPr="00EB2BD8">
        <w:t>governance</w:t>
      </w:r>
      <w:r w:rsidRPr="00EB2BD8">
        <w:rPr>
          <w:spacing w:val="-2"/>
        </w:rPr>
        <w:t xml:space="preserve"> </w:t>
      </w:r>
      <w:r w:rsidRPr="00EB2BD8">
        <w:t>and strategic management of the VBA. This includes:</w:t>
      </w:r>
    </w:p>
    <w:p w14:paraId="4EE3642F" w14:textId="77777777" w:rsidR="00084F36" w:rsidRPr="00EB2BD8" w:rsidRDefault="00EB2BD8">
      <w:pPr>
        <w:pStyle w:val="ListParagraph"/>
        <w:numPr>
          <w:ilvl w:val="0"/>
          <w:numId w:val="57"/>
        </w:numPr>
        <w:tabs>
          <w:tab w:val="left" w:pos="1133"/>
        </w:tabs>
        <w:spacing w:before="102" w:line="261" w:lineRule="auto"/>
        <w:ind w:right="549"/>
        <w:rPr>
          <w:sz w:val="18"/>
        </w:rPr>
      </w:pPr>
      <w:r w:rsidRPr="00EB2BD8">
        <w:rPr>
          <w:sz w:val="18"/>
        </w:rPr>
        <w:t>Overseeing</w:t>
      </w:r>
      <w:r w:rsidRPr="00EB2BD8">
        <w:rPr>
          <w:spacing w:val="-15"/>
          <w:sz w:val="18"/>
        </w:rPr>
        <w:t xml:space="preserve"> </w:t>
      </w:r>
      <w:r w:rsidRPr="00EB2BD8">
        <w:rPr>
          <w:sz w:val="18"/>
        </w:rPr>
        <w:t>the</w:t>
      </w:r>
      <w:r w:rsidRPr="00EB2BD8">
        <w:rPr>
          <w:spacing w:val="-14"/>
          <w:sz w:val="18"/>
        </w:rPr>
        <w:t xml:space="preserve"> </w:t>
      </w:r>
      <w:r w:rsidRPr="00EB2BD8">
        <w:rPr>
          <w:sz w:val="18"/>
        </w:rPr>
        <w:t>delivery</w:t>
      </w:r>
      <w:r w:rsidRPr="00EB2BD8">
        <w:rPr>
          <w:spacing w:val="-14"/>
          <w:sz w:val="18"/>
        </w:rPr>
        <w:t xml:space="preserve"> </w:t>
      </w:r>
      <w:r w:rsidRPr="00EB2BD8">
        <w:rPr>
          <w:sz w:val="18"/>
        </w:rPr>
        <w:t>of</w:t>
      </w:r>
      <w:r w:rsidRPr="00EB2BD8">
        <w:rPr>
          <w:spacing w:val="-14"/>
          <w:sz w:val="18"/>
        </w:rPr>
        <w:t xml:space="preserve"> </w:t>
      </w:r>
      <w:r w:rsidRPr="00EB2BD8">
        <w:rPr>
          <w:sz w:val="18"/>
        </w:rPr>
        <w:t>the</w:t>
      </w:r>
      <w:r w:rsidRPr="00EB2BD8">
        <w:rPr>
          <w:spacing w:val="-15"/>
          <w:sz w:val="18"/>
        </w:rPr>
        <w:t xml:space="preserve"> </w:t>
      </w:r>
      <w:r w:rsidRPr="00EB2BD8">
        <w:rPr>
          <w:sz w:val="18"/>
        </w:rPr>
        <w:t>VBA’s</w:t>
      </w:r>
      <w:r w:rsidRPr="00EB2BD8">
        <w:rPr>
          <w:spacing w:val="-14"/>
          <w:sz w:val="18"/>
        </w:rPr>
        <w:t xml:space="preserve"> </w:t>
      </w:r>
      <w:r w:rsidRPr="00EB2BD8">
        <w:rPr>
          <w:sz w:val="18"/>
        </w:rPr>
        <w:t>functions, objectives and performance.</w:t>
      </w:r>
    </w:p>
    <w:p w14:paraId="048748CD" w14:textId="77777777" w:rsidR="00084F36" w:rsidRPr="00EB2BD8" w:rsidRDefault="00EB2BD8">
      <w:pPr>
        <w:pStyle w:val="ListParagraph"/>
        <w:numPr>
          <w:ilvl w:val="0"/>
          <w:numId w:val="57"/>
        </w:numPr>
        <w:tabs>
          <w:tab w:val="left" w:pos="1133"/>
        </w:tabs>
        <w:spacing w:before="68"/>
        <w:ind w:hanging="283"/>
        <w:rPr>
          <w:sz w:val="18"/>
        </w:rPr>
      </w:pPr>
      <w:r w:rsidRPr="00EB2BD8">
        <w:rPr>
          <w:sz w:val="18"/>
        </w:rPr>
        <w:t>Setting</w:t>
      </w:r>
      <w:r w:rsidRPr="00EB2BD8">
        <w:rPr>
          <w:spacing w:val="-4"/>
          <w:sz w:val="18"/>
        </w:rPr>
        <w:t xml:space="preserve"> </w:t>
      </w:r>
      <w:r w:rsidRPr="00EB2BD8">
        <w:rPr>
          <w:sz w:val="18"/>
        </w:rPr>
        <w:t>goals</w:t>
      </w:r>
      <w:r w:rsidRPr="00EB2BD8">
        <w:rPr>
          <w:spacing w:val="-4"/>
          <w:sz w:val="18"/>
        </w:rPr>
        <w:t xml:space="preserve"> </w:t>
      </w:r>
      <w:r w:rsidRPr="00EB2BD8">
        <w:rPr>
          <w:sz w:val="18"/>
        </w:rPr>
        <w:t>and</w:t>
      </w:r>
      <w:r w:rsidRPr="00EB2BD8">
        <w:rPr>
          <w:spacing w:val="-4"/>
          <w:sz w:val="18"/>
        </w:rPr>
        <w:t xml:space="preserve"> </w:t>
      </w:r>
      <w:r w:rsidRPr="00EB2BD8">
        <w:rPr>
          <w:sz w:val="18"/>
        </w:rPr>
        <w:t>the</w:t>
      </w:r>
      <w:r w:rsidRPr="00EB2BD8">
        <w:rPr>
          <w:spacing w:val="-4"/>
          <w:sz w:val="18"/>
        </w:rPr>
        <w:t xml:space="preserve"> </w:t>
      </w:r>
      <w:r w:rsidRPr="00EB2BD8">
        <w:rPr>
          <w:sz w:val="18"/>
        </w:rPr>
        <w:t>overall</w:t>
      </w:r>
      <w:r w:rsidRPr="00EB2BD8">
        <w:rPr>
          <w:spacing w:val="-4"/>
          <w:sz w:val="18"/>
        </w:rPr>
        <w:t xml:space="preserve"> </w:t>
      </w:r>
      <w:r w:rsidRPr="00EB2BD8">
        <w:rPr>
          <w:sz w:val="18"/>
        </w:rPr>
        <w:t>strategy</w:t>
      </w:r>
      <w:r w:rsidRPr="00EB2BD8">
        <w:rPr>
          <w:spacing w:val="-3"/>
          <w:sz w:val="18"/>
        </w:rPr>
        <w:t xml:space="preserve"> </w:t>
      </w:r>
      <w:r w:rsidRPr="00EB2BD8">
        <w:rPr>
          <w:sz w:val="18"/>
        </w:rPr>
        <w:t>of</w:t>
      </w:r>
      <w:r w:rsidRPr="00EB2BD8">
        <w:rPr>
          <w:spacing w:val="-4"/>
          <w:sz w:val="18"/>
        </w:rPr>
        <w:t xml:space="preserve"> </w:t>
      </w:r>
      <w:r w:rsidRPr="00EB2BD8">
        <w:rPr>
          <w:sz w:val="18"/>
        </w:rPr>
        <w:t>the</w:t>
      </w:r>
      <w:r w:rsidRPr="00EB2BD8">
        <w:rPr>
          <w:spacing w:val="-4"/>
          <w:sz w:val="18"/>
        </w:rPr>
        <w:t xml:space="preserve"> VBA.</w:t>
      </w:r>
    </w:p>
    <w:p w14:paraId="55009F43" w14:textId="77777777" w:rsidR="00084F36" w:rsidRPr="00EB2BD8" w:rsidRDefault="00EB2BD8">
      <w:pPr>
        <w:pStyle w:val="ListParagraph"/>
        <w:numPr>
          <w:ilvl w:val="0"/>
          <w:numId w:val="57"/>
        </w:numPr>
        <w:tabs>
          <w:tab w:val="left" w:pos="1133"/>
        </w:tabs>
        <w:spacing w:before="88" w:line="261" w:lineRule="auto"/>
        <w:ind w:right="96"/>
        <w:rPr>
          <w:sz w:val="18"/>
        </w:rPr>
      </w:pPr>
      <w:r w:rsidRPr="00EB2BD8">
        <w:rPr>
          <w:sz w:val="18"/>
        </w:rPr>
        <w:t xml:space="preserve">Establishing appropriate and effective financial governance and oversight arrangements, including the regular review of the effectiveness of those </w:t>
      </w:r>
      <w:r w:rsidRPr="00EB2BD8">
        <w:rPr>
          <w:spacing w:val="-2"/>
          <w:sz w:val="18"/>
        </w:rPr>
        <w:t>arrangements.</w:t>
      </w:r>
    </w:p>
    <w:p w14:paraId="13EAAF6D" w14:textId="77777777" w:rsidR="00084F36" w:rsidRPr="00EB2BD8" w:rsidRDefault="00EB2BD8">
      <w:pPr>
        <w:pStyle w:val="ListParagraph"/>
        <w:numPr>
          <w:ilvl w:val="0"/>
          <w:numId w:val="57"/>
        </w:numPr>
        <w:tabs>
          <w:tab w:val="left" w:pos="1133"/>
        </w:tabs>
        <w:spacing w:before="66" w:line="261" w:lineRule="auto"/>
        <w:ind w:right="2"/>
        <w:rPr>
          <w:sz w:val="18"/>
        </w:rPr>
      </w:pPr>
      <w:r w:rsidRPr="00EB2BD8">
        <w:rPr>
          <w:spacing w:val="-2"/>
          <w:sz w:val="18"/>
        </w:rPr>
        <w:t>Overseeing</w:t>
      </w:r>
      <w:r w:rsidRPr="00EB2BD8">
        <w:rPr>
          <w:spacing w:val="-6"/>
          <w:sz w:val="18"/>
        </w:rPr>
        <w:t xml:space="preserve"> </w:t>
      </w:r>
      <w:r w:rsidRPr="00EB2BD8">
        <w:rPr>
          <w:spacing w:val="-2"/>
          <w:sz w:val="18"/>
        </w:rPr>
        <w:t>the</w:t>
      </w:r>
      <w:r w:rsidRPr="00EB2BD8">
        <w:rPr>
          <w:spacing w:val="-6"/>
          <w:sz w:val="18"/>
        </w:rPr>
        <w:t xml:space="preserve"> </w:t>
      </w:r>
      <w:r w:rsidRPr="00EB2BD8">
        <w:rPr>
          <w:spacing w:val="-2"/>
          <w:sz w:val="18"/>
        </w:rPr>
        <w:t>VBA’s</w:t>
      </w:r>
      <w:r w:rsidRPr="00EB2BD8">
        <w:rPr>
          <w:spacing w:val="-6"/>
          <w:sz w:val="18"/>
        </w:rPr>
        <w:t xml:space="preserve"> </w:t>
      </w:r>
      <w:r w:rsidRPr="00EB2BD8">
        <w:rPr>
          <w:spacing w:val="-2"/>
          <w:sz w:val="18"/>
        </w:rPr>
        <w:t>system</w:t>
      </w:r>
      <w:r w:rsidRPr="00EB2BD8">
        <w:rPr>
          <w:spacing w:val="-6"/>
          <w:sz w:val="18"/>
        </w:rPr>
        <w:t xml:space="preserve"> </w:t>
      </w:r>
      <w:r w:rsidRPr="00EB2BD8">
        <w:rPr>
          <w:spacing w:val="-2"/>
          <w:sz w:val="18"/>
        </w:rPr>
        <w:t>for</w:t>
      </w:r>
      <w:r w:rsidRPr="00EB2BD8">
        <w:rPr>
          <w:spacing w:val="-6"/>
          <w:sz w:val="18"/>
        </w:rPr>
        <w:t xml:space="preserve"> </w:t>
      </w:r>
      <w:r w:rsidRPr="00EB2BD8">
        <w:rPr>
          <w:spacing w:val="-2"/>
          <w:sz w:val="18"/>
        </w:rPr>
        <w:t>internal</w:t>
      </w:r>
      <w:r w:rsidRPr="00EB2BD8">
        <w:rPr>
          <w:spacing w:val="-6"/>
          <w:sz w:val="18"/>
        </w:rPr>
        <w:t xml:space="preserve"> </w:t>
      </w:r>
      <w:r w:rsidRPr="00EB2BD8">
        <w:rPr>
          <w:spacing w:val="-2"/>
          <w:sz w:val="18"/>
        </w:rPr>
        <w:t>control,</w:t>
      </w:r>
      <w:r w:rsidRPr="00EB2BD8">
        <w:rPr>
          <w:spacing w:val="-6"/>
          <w:sz w:val="18"/>
        </w:rPr>
        <w:t xml:space="preserve"> </w:t>
      </w:r>
      <w:r w:rsidRPr="00EB2BD8">
        <w:rPr>
          <w:spacing w:val="-2"/>
          <w:sz w:val="18"/>
        </w:rPr>
        <w:t xml:space="preserve">risk </w:t>
      </w:r>
      <w:r w:rsidRPr="00EB2BD8">
        <w:rPr>
          <w:sz w:val="18"/>
        </w:rPr>
        <w:t>management, auditing and legal compliance.</w:t>
      </w:r>
    </w:p>
    <w:p w14:paraId="2D589329" w14:textId="77777777" w:rsidR="00084F36" w:rsidRPr="00EB2BD8" w:rsidRDefault="00EB2BD8">
      <w:pPr>
        <w:pStyle w:val="ListParagraph"/>
        <w:numPr>
          <w:ilvl w:val="0"/>
          <w:numId w:val="57"/>
        </w:numPr>
        <w:tabs>
          <w:tab w:val="left" w:pos="1133"/>
        </w:tabs>
        <w:spacing w:before="48"/>
        <w:ind w:hanging="283"/>
        <w:rPr>
          <w:sz w:val="18"/>
        </w:rPr>
      </w:pPr>
      <w:r w:rsidRPr="00EB2BD8">
        <w:rPr>
          <w:sz w:val="18"/>
        </w:rPr>
        <w:t>Selecting</w:t>
      </w:r>
      <w:r w:rsidRPr="00EB2BD8">
        <w:rPr>
          <w:spacing w:val="2"/>
          <w:sz w:val="18"/>
        </w:rPr>
        <w:t xml:space="preserve"> </w:t>
      </w:r>
      <w:r w:rsidRPr="00EB2BD8">
        <w:rPr>
          <w:sz w:val="18"/>
        </w:rPr>
        <w:t>and</w:t>
      </w:r>
      <w:r w:rsidRPr="00EB2BD8">
        <w:rPr>
          <w:spacing w:val="2"/>
          <w:sz w:val="18"/>
        </w:rPr>
        <w:t xml:space="preserve"> </w:t>
      </w:r>
      <w:r w:rsidRPr="00EB2BD8">
        <w:rPr>
          <w:sz w:val="18"/>
        </w:rPr>
        <w:t>appointing</w:t>
      </w:r>
      <w:r w:rsidRPr="00EB2BD8">
        <w:rPr>
          <w:spacing w:val="2"/>
          <w:sz w:val="18"/>
        </w:rPr>
        <w:t xml:space="preserve"> </w:t>
      </w:r>
      <w:r w:rsidRPr="00EB2BD8">
        <w:rPr>
          <w:sz w:val="18"/>
        </w:rPr>
        <w:t>the</w:t>
      </w:r>
      <w:r w:rsidRPr="00EB2BD8">
        <w:rPr>
          <w:spacing w:val="3"/>
          <w:sz w:val="18"/>
        </w:rPr>
        <w:t xml:space="preserve"> </w:t>
      </w:r>
      <w:r w:rsidRPr="00EB2BD8">
        <w:rPr>
          <w:spacing w:val="-4"/>
          <w:sz w:val="18"/>
        </w:rPr>
        <w:t>CEO.</w:t>
      </w:r>
    </w:p>
    <w:p w14:paraId="3A1245F7" w14:textId="77777777" w:rsidR="00084F36" w:rsidRPr="00EB2BD8" w:rsidRDefault="00EB2BD8">
      <w:pPr>
        <w:pStyle w:val="ListParagraph"/>
        <w:numPr>
          <w:ilvl w:val="0"/>
          <w:numId w:val="57"/>
        </w:numPr>
        <w:tabs>
          <w:tab w:val="left" w:pos="1133"/>
        </w:tabs>
        <w:spacing w:before="88" w:line="261" w:lineRule="auto"/>
        <w:ind w:right="337"/>
        <w:rPr>
          <w:sz w:val="18"/>
        </w:rPr>
      </w:pPr>
      <w:r w:rsidRPr="00EB2BD8">
        <w:rPr>
          <w:sz w:val="18"/>
        </w:rPr>
        <w:t>Shaping</w:t>
      </w:r>
      <w:r w:rsidRPr="00EB2BD8">
        <w:rPr>
          <w:spacing w:val="-8"/>
          <w:sz w:val="18"/>
        </w:rPr>
        <w:t xml:space="preserve"> </w:t>
      </w:r>
      <w:r w:rsidRPr="00EB2BD8">
        <w:rPr>
          <w:sz w:val="18"/>
        </w:rPr>
        <w:t>strategic</w:t>
      </w:r>
      <w:r w:rsidRPr="00EB2BD8">
        <w:rPr>
          <w:spacing w:val="-8"/>
          <w:sz w:val="18"/>
        </w:rPr>
        <w:t xml:space="preserve"> </w:t>
      </w:r>
      <w:r w:rsidRPr="00EB2BD8">
        <w:rPr>
          <w:sz w:val="18"/>
        </w:rPr>
        <w:t>policies</w:t>
      </w:r>
      <w:r w:rsidRPr="00EB2BD8">
        <w:rPr>
          <w:spacing w:val="-8"/>
          <w:sz w:val="18"/>
        </w:rPr>
        <w:t xml:space="preserve"> </w:t>
      </w:r>
      <w:r w:rsidRPr="00EB2BD8">
        <w:rPr>
          <w:sz w:val="18"/>
        </w:rPr>
        <w:t>for</w:t>
      </w:r>
      <w:r w:rsidRPr="00EB2BD8">
        <w:rPr>
          <w:spacing w:val="-8"/>
          <w:sz w:val="18"/>
        </w:rPr>
        <w:t xml:space="preserve"> </w:t>
      </w:r>
      <w:r w:rsidRPr="00EB2BD8">
        <w:rPr>
          <w:sz w:val="18"/>
        </w:rPr>
        <w:t>the</w:t>
      </w:r>
      <w:r w:rsidRPr="00EB2BD8">
        <w:rPr>
          <w:spacing w:val="-8"/>
          <w:sz w:val="18"/>
        </w:rPr>
        <w:t xml:space="preserve"> </w:t>
      </w:r>
      <w:r w:rsidRPr="00EB2BD8">
        <w:rPr>
          <w:sz w:val="18"/>
        </w:rPr>
        <w:t>VBA,</w:t>
      </w:r>
      <w:r w:rsidRPr="00EB2BD8">
        <w:rPr>
          <w:spacing w:val="-8"/>
          <w:sz w:val="18"/>
        </w:rPr>
        <w:t xml:space="preserve"> </w:t>
      </w:r>
      <w:r w:rsidRPr="00EB2BD8">
        <w:rPr>
          <w:sz w:val="18"/>
        </w:rPr>
        <w:t>subject</w:t>
      </w:r>
      <w:r w:rsidRPr="00EB2BD8">
        <w:rPr>
          <w:spacing w:val="-8"/>
          <w:sz w:val="18"/>
        </w:rPr>
        <w:t xml:space="preserve"> </w:t>
      </w:r>
      <w:r w:rsidRPr="00EB2BD8">
        <w:rPr>
          <w:sz w:val="18"/>
        </w:rPr>
        <w:t>to any delegation of this responsibility to the CEO.</w:t>
      </w:r>
    </w:p>
    <w:p w14:paraId="6A12E5CD" w14:textId="77777777" w:rsidR="00084F36" w:rsidRPr="00EB2BD8" w:rsidRDefault="00EB2BD8">
      <w:pPr>
        <w:pStyle w:val="BodyText"/>
        <w:spacing w:before="138" w:line="261" w:lineRule="auto"/>
        <w:ind w:left="850"/>
      </w:pPr>
      <w:r w:rsidRPr="00EB2BD8">
        <w:t>Details about Board members can be found on the VBA website. The composition of the VBA Board meets the Victorian</w:t>
      </w:r>
      <w:r w:rsidRPr="00EB2BD8">
        <w:rPr>
          <w:spacing w:val="-11"/>
        </w:rPr>
        <w:t xml:space="preserve"> </w:t>
      </w:r>
      <w:r w:rsidRPr="00EB2BD8">
        <w:t>Government</w:t>
      </w:r>
      <w:r w:rsidRPr="00EB2BD8">
        <w:rPr>
          <w:spacing w:val="-11"/>
        </w:rPr>
        <w:t xml:space="preserve"> </w:t>
      </w:r>
      <w:r w:rsidRPr="00EB2BD8">
        <w:t>policy</w:t>
      </w:r>
      <w:r w:rsidRPr="00EB2BD8">
        <w:rPr>
          <w:spacing w:val="-11"/>
        </w:rPr>
        <w:t xml:space="preserve"> </w:t>
      </w:r>
      <w:r w:rsidRPr="00EB2BD8">
        <w:t>for</w:t>
      </w:r>
      <w:r w:rsidRPr="00EB2BD8">
        <w:rPr>
          <w:spacing w:val="-11"/>
        </w:rPr>
        <w:t xml:space="preserve"> </w:t>
      </w:r>
      <w:r w:rsidRPr="00EB2BD8">
        <w:t>gender</w:t>
      </w:r>
      <w:r w:rsidRPr="00EB2BD8">
        <w:rPr>
          <w:spacing w:val="-11"/>
        </w:rPr>
        <w:t xml:space="preserve"> </w:t>
      </w:r>
      <w:r w:rsidRPr="00EB2BD8">
        <w:t>diversity,</w:t>
      </w:r>
      <w:r w:rsidRPr="00EB2BD8">
        <w:rPr>
          <w:spacing w:val="-11"/>
        </w:rPr>
        <w:t xml:space="preserve"> </w:t>
      </w:r>
      <w:r w:rsidRPr="00EB2BD8">
        <w:t>with</w:t>
      </w:r>
      <w:r w:rsidRPr="00EB2BD8">
        <w:rPr>
          <w:spacing w:val="-11"/>
        </w:rPr>
        <w:t xml:space="preserve"> </w:t>
      </w:r>
      <w:r w:rsidRPr="00EB2BD8">
        <w:t>a strong representation of women.</w:t>
      </w:r>
    </w:p>
    <w:p w14:paraId="7206D7D7" w14:textId="77777777" w:rsidR="00084F36" w:rsidRPr="00EB2BD8" w:rsidRDefault="00EB2BD8">
      <w:pPr>
        <w:pStyle w:val="BodyText"/>
        <w:spacing w:before="109" w:line="261" w:lineRule="auto"/>
        <w:ind w:left="850" w:right="381"/>
      </w:pPr>
      <w:r w:rsidRPr="00EB2BD8">
        <w:t>For information about the terms of appointment</w:t>
      </w:r>
      <w:r w:rsidRPr="00EB2BD8">
        <w:rPr>
          <w:spacing w:val="40"/>
        </w:rPr>
        <w:t xml:space="preserve"> </w:t>
      </w:r>
      <w:r w:rsidRPr="00EB2BD8">
        <w:t xml:space="preserve">for VBA Board members, visit the Public Board </w:t>
      </w:r>
      <w:r w:rsidRPr="00EB2BD8">
        <w:rPr>
          <w:spacing w:val="-2"/>
        </w:rPr>
        <w:t xml:space="preserve">Appointments Victoria website at: </w:t>
      </w:r>
      <w:hyperlink r:id="rId196">
        <w:r w:rsidRPr="00EB2BD8">
          <w:rPr>
            <w:spacing w:val="-2"/>
          </w:rPr>
          <w:t>boards.vic.gov.au</w:t>
        </w:r>
      </w:hyperlink>
    </w:p>
    <w:p w14:paraId="0B93424D" w14:textId="77777777" w:rsidR="00084F36" w:rsidRPr="00EB2BD8" w:rsidRDefault="00084F36">
      <w:pPr>
        <w:pStyle w:val="BodyText"/>
        <w:spacing w:before="6"/>
        <w:rPr>
          <w:sz w:val="25"/>
        </w:rPr>
      </w:pPr>
    </w:p>
    <w:p w14:paraId="2B634CBB" w14:textId="77777777" w:rsidR="00084F36" w:rsidRPr="00EB2BD8" w:rsidRDefault="00EB2BD8" w:rsidP="00CF2B5C">
      <w:pPr>
        <w:pStyle w:val="Heading2"/>
      </w:pPr>
      <w:bookmarkStart w:id="172" w:name="_Toc150762474"/>
      <w:r w:rsidRPr="00EB2BD8">
        <w:rPr>
          <w:w w:val="105"/>
        </w:rPr>
        <w:t>Board</w:t>
      </w:r>
      <w:r w:rsidRPr="00EB2BD8">
        <w:rPr>
          <w:spacing w:val="13"/>
          <w:w w:val="105"/>
        </w:rPr>
        <w:t xml:space="preserve"> </w:t>
      </w:r>
      <w:r w:rsidRPr="00EB2BD8">
        <w:rPr>
          <w:w w:val="105"/>
        </w:rPr>
        <w:t>Re-appointments</w:t>
      </w:r>
      <w:bookmarkEnd w:id="172"/>
    </w:p>
    <w:p w14:paraId="1B8363B9" w14:textId="77777777" w:rsidR="00084F36" w:rsidRPr="00EB2BD8" w:rsidRDefault="00EB2BD8">
      <w:pPr>
        <w:pStyle w:val="BodyText"/>
        <w:spacing w:before="177" w:line="261" w:lineRule="auto"/>
        <w:ind w:left="850"/>
      </w:pPr>
      <w:r w:rsidRPr="00EB2BD8">
        <w:t>The</w:t>
      </w:r>
      <w:r w:rsidRPr="00EB2BD8">
        <w:rPr>
          <w:spacing w:val="-15"/>
        </w:rPr>
        <w:t xml:space="preserve"> </w:t>
      </w:r>
      <w:r w:rsidRPr="00EB2BD8">
        <w:t>terms</w:t>
      </w:r>
      <w:r w:rsidRPr="00EB2BD8">
        <w:rPr>
          <w:spacing w:val="-14"/>
        </w:rPr>
        <w:t xml:space="preserve"> </w:t>
      </w:r>
      <w:r w:rsidRPr="00EB2BD8">
        <w:t>of</w:t>
      </w:r>
      <w:r w:rsidRPr="00EB2BD8">
        <w:rPr>
          <w:spacing w:val="-14"/>
        </w:rPr>
        <w:t xml:space="preserve"> </w:t>
      </w:r>
      <w:r w:rsidRPr="00EB2BD8">
        <w:t>the</w:t>
      </w:r>
      <w:r w:rsidRPr="00EB2BD8">
        <w:rPr>
          <w:spacing w:val="-14"/>
        </w:rPr>
        <w:t xml:space="preserve"> </w:t>
      </w:r>
      <w:r w:rsidRPr="00EB2BD8">
        <w:t>following</w:t>
      </w:r>
      <w:r w:rsidRPr="00EB2BD8">
        <w:rPr>
          <w:spacing w:val="-15"/>
        </w:rPr>
        <w:t xml:space="preserve"> </w:t>
      </w:r>
      <w:r w:rsidRPr="00EB2BD8">
        <w:t>Board</w:t>
      </w:r>
      <w:r w:rsidRPr="00EB2BD8">
        <w:rPr>
          <w:spacing w:val="-14"/>
        </w:rPr>
        <w:t xml:space="preserve"> </w:t>
      </w:r>
      <w:r w:rsidRPr="00EB2BD8">
        <w:t>members</w:t>
      </w:r>
      <w:r w:rsidRPr="00EB2BD8">
        <w:rPr>
          <w:spacing w:val="-14"/>
        </w:rPr>
        <w:t xml:space="preserve"> </w:t>
      </w:r>
      <w:r w:rsidRPr="00EB2BD8">
        <w:t>expired,</w:t>
      </w:r>
      <w:r w:rsidRPr="00EB2BD8">
        <w:rPr>
          <w:spacing w:val="-14"/>
        </w:rPr>
        <w:t xml:space="preserve"> </w:t>
      </w:r>
      <w:r w:rsidRPr="00EB2BD8">
        <w:t>with all three board members being re-appointed:</w:t>
      </w:r>
    </w:p>
    <w:p w14:paraId="1A95761E" w14:textId="77777777" w:rsidR="00084F36" w:rsidRPr="00EB2BD8" w:rsidRDefault="00EB2BD8">
      <w:pPr>
        <w:pStyle w:val="ListParagraph"/>
        <w:numPr>
          <w:ilvl w:val="0"/>
          <w:numId w:val="57"/>
        </w:numPr>
        <w:tabs>
          <w:tab w:val="left" w:pos="1133"/>
        </w:tabs>
        <w:spacing w:before="111"/>
        <w:ind w:hanging="283"/>
        <w:rPr>
          <w:sz w:val="18"/>
        </w:rPr>
      </w:pPr>
      <w:r w:rsidRPr="00EB2BD8">
        <w:rPr>
          <w:sz w:val="18"/>
        </w:rPr>
        <w:t>Dr</w:t>
      </w:r>
      <w:r w:rsidRPr="00EB2BD8">
        <w:rPr>
          <w:spacing w:val="2"/>
          <w:sz w:val="18"/>
        </w:rPr>
        <w:t xml:space="preserve"> </w:t>
      </w:r>
      <w:r w:rsidRPr="00EB2BD8">
        <w:rPr>
          <w:sz w:val="18"/>
        </w:rPr>
        <w:t>Julia</w:t>
      </w:r>
      <w:r w:rsidRPr="00EB2BD8">
        <w:rPr>
          <w:spacing w:val="2"/>
          <w:sz w:val="18"/>
        </w:rPr>
        <w:t xml:space="preserve"> </w:t>
      </w:r>
      <w:r w:rsidRPr="00EB2BD8">
        <w:rPr>
          <w:sz w:val="18"/>
        </w:rPr>
        <w:t>Cornwell</w:t>
      </w:r>
      <w:r w:rsidRPr="00EB2BD8">
        <w:rPr>
          <w:spacing w:val="3"/>
          <w:sz w:val="18"/>
        </w:rPr>
        <w:t xml:space="preserve"> </w:t>
      </w:r>
      <w:r w:rsidRPr="00EB2BD8">
        <w:rPr>
          <w:spacing w:val="-2"/>
          <w:sz w:val="18"/>
        </w:rPr>
        <w:t>McKean</w:t>
      </w:r>
    </w:p>
    <w:p w14:paraId="72E1226E" w14:textId="77777777" w:rsidR="00084F36" w:rsidRPr="00EB2BD8" w:rsidRDefault="00EB2BD8">
      <w:pPr>
        <w:pStyle w:val="ListParagraph"/>
        <w:numPr>
          <w:ilvl w:val="0"/>
          <w:numId w:val="57"/>
        </w:numPr>
        <w:tabs>
          <w:tab w:val="left" w:pos="1133"/>
        </w:tabs>
        <w:spacing w:before="88"/>
        <w:ind w:hanging="283"/>
        <w:rPr>
          <w:sz w:val="18"/>
        </w:rPr>
      </w:pPr>
      <w:r w:rsidRPr="00EB2BD8">
        <w:rPr>
          <w:sz w:val="18"/>
        </w:rPr>
        <w:t>Mr</w:t>
      </w:r>
      <w:r w:rsidRPr="00EB2BD8">
        <w:rPr>
          <w:spacing w:val="2"/>
          <w:sz w:val="18"/>
        </w:rPr>
        <w:t xml:space="preserve"> </w:t>
      </w:r>
      <w:r w:rsidRPr="00EB2BD8">
        <w:rPr>
          <w:sz w:val="18"/>
        </w:rPr>
        <w:t>Salvatore</w:t>
      </w:r>
      <w:r w:rsidRPr="00EB2BD8">
        <w:rPr>
          <w:spacing w:val="3"/>
          <w:sz w:val="18"/>
        </w:rPr>
        <w:t xml:space="preserve"> </w:t>
      </w:r>
      <w:r w:rsidRPr="00EB2BD8">
        <w:rPr>
          <w:spacing w:val="-4"/>
          <w:sz w:val="18"/>
        </w:rPr>
        <w:t>Torre</w:t>
      </w:r>
    </w:p>
    <w:p w14:paraId="41F2C561" w14:textId="77777777" w:rsidR="00084F36" w:rsidRPr="00EB2BD8" w:rsidRDefault="00EB2BD8">
      <w:pPr>
        <w:pStyle w:val="ListParagraph"/>
        <w:numPr>
          <w:ilvl w:val="0"/>
          <w:numId w:val="57"/>
        </w:numPr>
        <w:tabs>
          <w:tab w:val="left" w:pos="1133"/>
        </w:tabs>
        <w:spacing w:before="89"/>
        <w:ind w:hanging="283"/>
        <w:rPr>
          <w:sz w:val="18"/>
        </w:rPr>
      </w:pPr>
      <w:r w:rsidRPr="00EB2BD8">
        <w:rPr>
          <w:sz w:val="18"/>
        </w:rPr>
        <w:t>Ms</w:t>
      </w:r>
      <w:r w:rsidRPr="00EB2BD8">
        <w:rPr>
          <w:spacing w:val="-10"/>
          <w:sz w:val="18"/>
        </w:rPr>
        <w:t xml:space="preserve"> </w:t>
      </w:r>
      <w:r w:rsidRPr="00EB2BD8">
        <w:rPr>
          <w:sz w:val="18"/>
        </w:rPr>
        <w:t>Yvonne</w:t>
      </w:r>
      <w:r w:rsidRPr="00EB2BD8">
        <w:rPr>
          <w:spacing w:val="-9"/>
          <w:sz w:val="18"/>
        </w:rPr>
        <w:t xml:space="preserve"> </w:t>
      </w:r>
      <w:r w:rsidRPr="00EB2BD8">
        <w:rPr>
          <w:sz w:val="18"/>
        </w:rPr>
        <w:t>von</w:t>
      </w:r>
      <w:r w:rsidRPr="00EB2BD8">
        <w:rPr>
          <w:spacing w:val="-9"/>
          <w:sz w:val="18"/>
        </w:rPr>
        <w:t xml:space="preserve"> </w:t>
      </w:r>
      <w:r w:rsidRPr="00EB2BD8">
        <w:rPr>
          <w:sz w:val="18"/>
        </w:rPr>
        <w:t>Hartel</w:t>
      </w:r>
      <w:r w:rsidRPr="00EB2BD8">
        <w:rPr>
          <w:spacing w:val="-9"/>
          <w:sz w:val="18"/>
        </w:rPr>
        <w:t xml:space="preserve"> </w:t>
      </w:r>
      <w:r w:rsidRPr="00EB2BD8">
        <w:rPr>
          <w:spacing w:val="-5"/>
          <w:sz w:val="18"/>
        </w:rPr>
        <w:t>AM</w:t>
      </w:r>
    </w:p>
    <w:p w14:paraId="198AF7FA" w14:textId="078D95CA" w:rsidR="00084F36" w:rsidRPr="00EB2BD8" w:rsidRDefault="00EB2BD8" w:rsidP="00CF2B5C">
      <w:pPr>
        <w:pStyle w:val="Heading2"/>
        <w:ind w:left="0"/>
      </w:pPr>
      <w:r w:rsidRPr="00EB2BD8">
        <w:br w:type="column"/>
      </w:r>
      <w:r w:rsidR="00CF2B5C">
        <w:t xml:space="preserve">    </w:t>
      </w:r>
      <w:bookmarkStart w:id="173" w:name="_Toc150762475"/>
      <w:r w:rsidRPr="00EB2BD8">
        <w:t>Machinery</w:t>
      </w:r>
      <w:r w:rsidRPr="00EB2BD8">
        <w:rPr>
          <w:spacing w:val="-9"/>
        </w:rPr>
        <w:t xml:space="preserve"> </w:t>
      </w:r>
      <w:r w:rsidRPr="00EB2BD8">
        <w:t xml:space="preserve">of Government </w:t>
      </w:r>
      <w:r w:rsidR="00CF2B5C">
        <w:br/>
        <w:t xml:space="preserve">    </w:t>
      </w:r>
      <w:r w:rsidRPr="00EB2BD8">
        <w:t>changes</w:t>
      </w:r>
      <w:bookmarkEnd w:id="173"/>
    </w:p>
    <w:p w14:paraId="0357EE37" w14:textId="77777777" w:rsidR="00084F36" w:rsidRPr="00EB2BD8" w:rsidRDefault="00EB2BD8">
      <w:pPr>
        <w:pStyle w:val="BodyText"/>
        <w:spacing w:before="169" w:line="261" w:lineRule="auto"/>
        <w:ind w:left="413" w:right="1174"/>
      </w:pPr>
      <w:r w:rsidRPr="00EB2BD8">
        <w:rPr>
          <w:spacing w:val="-2"/>
        </w:rPr>
        <w:t>From</w:t>
      </w:r>
      <w:r w:rsidRPr="00EB2BD8">
        <w:rPr>
          <w:spacing w:val="-13"/>
        </w:rPr>
        <w:t xml:space="preserve"> </w:t>
      </w:r>
      <w:r w:rsidRPr="00EB2BD8">
        <w:rPr>
          <w:spacing w:val="-2"/>
        </w:rPr>
        <w:t>1</w:t>
      </w:r>
      <w:r w:rsidRPr="00EB2BD8">
        <w:rPr>
          <w:spacing w:val="-12"/>
        </w:rPr>
        <w:t xml:space="preserve"> </w:t>
      </w:r>
      <w:r w:rsidRPr="00EB2BD8">
        <w:rPr>
          <w:spacing w:val="-2"/>
        </w:rPr>
        <w:t>July</w:t>
      </w:r>
      <w:r w:rsidRPr="00EB2BD8">
        <w:rPr>
          <w:spacing w:val="-12"/>
        </w:rPr>
        <w:t xml:space="preserve"> </w:t>
      </w:r>
      <w:r w:rsidRPr="00EB2BD8">
        <w:rPr>
          <w:spacing w:val="-2"/>
        </w:rPr>
        <w:t>2022</w:t>
      </w:r>
      <w:r w:rsidRPr="00EB2BD8">
        <w:rPr>
          <w:spacing w:val="-12"/>
        </w:rPr>
        <w:t xml:space="preserve"> </w:t>
      </w:r>
      <w:r w:rsidRPr="00EB2BD8">
        <w:rPr>
          <w:spacing w:val="-2"/>
        </w:rPr>
        <w:t>to</w:t>
      </w:r>
      <w:r w:rsidRPr="00EB2BD8">
        <w:rPr>
          <w:spacing w:val="-13"/>
        </w:rPr>
        <w:t xml:space="preserve"> </w:t>
      </w:r>
      <w:r w:rsidRPr="00EB2BD8">
        <w:rPr>
          <w:spacing w:val="-2"/>
        </w:rPr>
        <w:t>30</w:t>
      </w:r>
      <w:r w:rsidRPr="00EB2BD8">
        <w:rPr>
          <w:spacing w:val="-12"/>
        </w:rPr>
        <w:t xml:space="preserve"> </w:t>
      </w:r>
      <w:r w:rsidRPr="00EB2BD8">
        <w:rPr>
          <w:spacing w:val="-2"/>
        </w:rPr>
        <w:t>June</w:t>
      </w:r>
      <w:r w:rsidRPr="00EB2BD8">
        <w:rPr>
          <w:spacing w:val="-12"/>
        </w:rPr>
        <w:t xml:space="preserve"> </w:t>
      </w:r>
      <w:r w:rsidRPr="00EB2BD8">
        <w:rPr>
          <w:spacing w:val="-2"/>
        </w:rPr>
        <w:t>2023,</w:t>
      </w:r>
      <w:r w:rsidRPr="00EB2BD8">
        <w:rPr>
          <w:spacing w:val="-12"/>
        </w:rPr>
        <w:t xml:space="preserve"> </w:t>
      </w:r>
      <w:r w:rsidRPr="00EB2BD8">
        <w:rPr>
          <w:spacing w:val="-2"/>
        </w:rPr>
        <w:t>the</w:t>
      </w:r>
      <w:r w:rsidRPr="00EB2BD8">
        <w:rPr>
          <w:spacing w:val="-13"/>
        </w:rPr>
        <w:t xml:space="preserve"> </w:t>
      </w:r>
      <w:r w:rsidRPr="00EB2BD8">
        <w:rPr>
          <w:spacing w:val="-2"/>
        </w:rPr>
        <w:t xml:space="preserve">responsibility </w:t>
      </w:r>
      <w:r w:rsidRPr="00EB2BD8">
        <w:t xml:space="preserve">for the </w:t>
      </w:r>
      <w:r w:rsidRPr="00EB2BD8">
        <w:rPr>
          <w:i/>
        </w:rPr>
        <w:t xml:space="preserve">Building Act 1993 </w:t>
      </w:r>
      <w:r w:rsidRPr="00EB2BD8">
        <w:t>and the VBA was the responsibility of the Minister for Planning.</w:t>
      </w:r>
    </w:p>
    <w:p w14:paraId="5F5A76E4" w14:textId="77777777" w:rsidR="00084F36" w:rsidRPr="00EB2BD8" w:rsidRDefault="00EB2BD8">
      <w:pPr>
        <w:pStyle w:val="BodyText"/>
        <w:spacing w:before="110" w:line="261" w:lineRule="auto"/>
        <w:ind w:left="413" w:right="852"/>
      </w:pPr>
      <w:r w:rsidRPr="00EB2BD8">
        <w:rPr>
          <w:spacing w:val="-4"/>
        </w:rPr>
        <w:t>From</w:t>
      </w:r>
      <w:r w:rsidRPr="00EB2BD8">
        <w:rPr>
          <w:spacing w:val="-11"/>
        </w:rPr>
        <w:t xml:space="preserve"> </w:t>
      </w:r>
      <w:r w:rsidRPr="00EB2BD8">
        <w:rPr>
          <w:spacing w:val="-4"/>
        </w:rPr>
        <w:t>1</w:t>
      </w:r>
      <w:r w:rsidRPr="00EB2BD8">
        <w:rPr>
          <w:spacing w:val="-11"/>
        </w:rPr>
        <w:t xml:space="preserve"> </w:t>
      </w:r>
      <w:r w:rsidRPr="00EB2BD8">
        <w:rPr>
          <w:spacing w:val="-4"/>
        </w:rPr>
        <w:t>July</w:t>
      </w:r>
      <w:r w:rsidRPr="00EB2BD8">
        <w:rPr>
          <w:spacing w:val="-11"/>
        </w:rPr>
        <w:t xml:space="preserve"> </w:t>
      </w:r>
      <w:r w:rsidRPr="00EB2BD8">
        <w:rPr>
          <w:spacing w:val="-4"/>
        </w:rPr>
        <w:t>2022</w:t>
      </w:r>
      <w:r w:rsidRPr="00EB2BD8">
        <w:rPr>
          <w:spacing w:val="-11"/>
        </w:rPr>
        <w:t xml:space="preserve"> </w:t>
      </w:r>
      <w:r w:rsidRPr="00EB2BD8">
        <w:rPr>
          <w:spacing w:val="-4"/>
        </w:rPr>
        <w:t>to</w:t>
      </w:r>
      <w:r w:rsidRPr="00EB2BD8">
        <w:rPr>
          <w:spacing w:val="-11"/>
        </w:rPr>
        <w:t xml:space="preserve"> </w:t>
      </w:r>
      <w:r w:rsidRPr="00EB2BD8">
        <w:rPr>
          <w:spacing w:val="-4"/>
        </w:rPr>
        <w:t>31</w:t>
      </w:r>
      <w:r w:rsidRPr="00EB2BD8">
        <w:rPr>
          <w:spacing w:val="-11"/>
        </w:rPr>
        <w:t xml:space="preserve"> </w:t>
      </w:r>
      <w:r w:rsidRPr="00EB2BD8">
        <w:rPr>
          <w:spacing w:val="-4"/>
        </w:rPr>
        <w:t>December</w:t>
      </w:r>
      <w:r w:rsidRPr="00EB2BD8">
        <w:rPr>
          <w:spacing w:val="-11"/>
        </w:rPr>
        <w:t xml:space="preserve"> </w:t>
      </w:r>
      <w:r w:rsidRPr="00EB2BD8">
        <w:rPr>
          <w:spacing w:val="-4"/>
        </w:rPr>
        <w:t>2023,</w:t>
      </w:r>
      <w:r w:rsidRPr="00EB2BD8">
        <w:rPr>
          <w:spacing w:val="-11"/>
        </w:rPr>
        <w:t xml:space="preserve"> </w:t>
      </w:r>
      <w:r w:rsidRPr="00EB2BD8">
        <w:rPr>
          <w:spacing w:val="-4"/>
        </w:rPr>
        <w:t>the</w:t>
      </w:r>
      <w:r w:rsidRPr="00EB2BD8">
        <w:rPr>
          <w:spacing w:val="-11"/>
        </w:rPr>
        <w:t xml:space="preserve"> </w:t>
      </w:r>
      <w:r w:rsidRPr="00EB2BD8">
        <w:rPr>
          <w:spacing w:val="-4"/>
        </w:rPr>
        <w:t xml:space="preserve">relevant </w:t>
      </w:r>
      <w:r w:rsidRPr="00EB2BD8">
        <w:t>Department for VBA activities was Department of Environment, Land, Water and Planning (DELWP).</w:t>
      </w:r>
    </w:p>
    <w:p w14:paraId="2C8FEA89" w14:textId="77777777" w:rsidR="00084F36" w:rsidRPr="00EB2BD8" w:rsidRDefault="00EB2BD8">
      <w:pPr>
        <w:pStyle w:val="BodyText"/>
        <w:spacing w:before="110" w:line="261" w:lineRule="auto"/>
        <w:ind w:left="413" w:right="852"/>
      </w:pPr>
      <w:r w:rsidRPr="00EB2BD8">
        <w:t>From</w:t>
      </w:r>
      <w:r w:rsidRPr="00EB2BD8">
        <w:rPr>
          <w:spacing w:val="-11"/>
        </w:rPr>
        <w:t xml:space="preserve"> </w:t>
      </w:r>
      <w:r w:rsidRPr="00EB2BD8">
        <w:rPr>
          <w:w w:val="95"/>
        </w:rPr>
        <w:t>1</w:t>
      </w:r>
      <w:r w:rsidRPr="00EB2BD8">
        <w:rPr>
          <w:spacing w:val="-8"/>
          <w:w w:val="95"/>
        </w:rPr>
        <w:t xml:space="preserve"> </w:t>
      </w:r>
      <w:r w:rsidRPr="00EB2BD8">
        <w:t>January</w:t>
      </w:r>
      <w:r w:rsidRPr="00EB2BD8">
        <w:rPr>
          <w:spacing w:val="-11"/>
        </w:rPr>
        <w:t xml:space="preserve"> </w:t>
      </w:r>
      <w:r w:rsidRPr="00EB2BD8">
        <w:t>2023,</w:t>
      </w:r>
      <w:r w:rsidRPr="00EB2BD8">
        <w:rPr>
          <w:spacing w:val="-11"/>
        </w:rPr>
        <w:t xml:space="preserve"> </w:t>
      </w:r>
      <w:r w:rsidRPr="00EB2BD8">
        <w:t>the</w:t>
      </w:r>
      <w:r w:rsidRPr="00EB2BD8">
        <w:rPr>
          <w:spacing w:val="-11"/>
        </w:rPr>
        <w:t xml:space="preserve"> </w:t>
      </w:r>
      <w:r w:rsidRPr="00EB2BD8">
        <w:t>Department</w:t>
      </w:r>
      <w:r w:rsidRPr="00EB2BD8">
        <w:rPr>
          <w:spacing w:val="-11"/>
        </w:rPr>
        <w:t xml:space="preserve"> </w:t>
      </w:r>
      <w:r w:rsidRPr="00EB2BD8">
        <w:t>of</w:t>
      </w:r>
      <w:r w:rsidRPr="00EB2BD8">
        <w:rPr>
          <w:spacing w:val="-11"/>
        </w:rPr>
        <w:t xml:space="preserve"> </w:t>
      </w:r>
      <w:r w:rsidRPr="00EB2BD8">
        <w:t>Transport</w:t>
      </w:r>
      <w:r w:rsidRPr="00EB2BD8">
        <w:rPr>
          <w:spacing w:val="-11"/>
        </w:rPr>
        <w:t xml:space="preserve"> </w:t>
      </w:r>
      <w:r w:rsidRPr="00EB2BD8">
        <w:t>was renamed the Department of Transport and Planning (DTP) and became the relevant Department for VBA activities. DTP brings together planning, land use and consolidate precinct delivery and policy functions together to put a stronger emphasis on place-based community</w:t>
      </w:r>
      <w:r w:rsidRPr="00EB2BD8">
        <w:rPr>
          <w:spacing w:val="-6"/>
        </w:rPr>
        <w:t xml:space="preserve"> </w:t>
      </w:r>
      <w:r w:rsidRPr="00EB2BD8">
        <w:t>outcomes.</w:t>
      </w:r>
    </w:p>
    <w:p w14:paraId="28255E37" w14:textId="77777777" w:rsidR="00084F36" w:rsidRPr="00EB2BD8" w:rsidRDefault="00084F36">
      <w:pPr>
        <w:spacing w:line="261" w:lineRule="auto"/>
        <w:sectPr w:rsidR="00084F36" w:rsidRPr="00EB2BD8" w:rsidSect="006D75B2">
          <w:type w:val="continuous"/>
          <w:pgSz w:w="11910" w:h="16840"/>
          <w:pgMar w:top="1920" w:right="0" w:bottom="280" w:left="0" w:header="0" w:footer="0" w:gutter="0"/>
          <w:cols w:num="2" w:space="720" w:equalWidth="0">
            <w:col w:w="5718" w:space="40"/>
            <w:col w:w="6152"/>
          </w:cols>
        </w:sectPr>
      </w:pPr>
    </w:p>
    <w:p w14:paraId="3C9C32A8" w14:textId="77777777" w:rsidR="00084F36" w:rsidRPr="00EB2BD8" w:rsidRDefault="00084F36">
      <w:pPr>
        <w:pStyle w:val="BodyText"/>
        <w:rPr>
          <w:sz w:val="20"/>
        </w:rPr>
      </w:pPr>
    </w:p>
    <w:p w14:paraId="4F50263B" w14:textId="77777777" w:rsidR="00084F36" w:rsidRPr="00EB2BD8" w:rsidRDefault="00084F36">
      <w:pPr>
        <w:pStyle w:val="BodyText"/>
        <w:rPr>
          <w:sz w:val="20"/>
        </w:rPr>
      </w:pPr>
    </w:p>
    <w:p w14:paraId="50D77F0C" w14:textId="77777777" w:rsidR="00084F36" w:rsidRPr="00EB2BD8" w:rsidRDefault="00084F36">
      <w:pPr>
        <w:pStyle w:val="BodyText"/>
        <w:rPr>
          <w:sz w:val="20"/>
        </w:rPr>
      </w:pPr>
    </w:p>
    <w:p w14:paraId="7631D27D" w14:textId="77777777" w:rsidR="00084F36" w:rsidRPr="00EB2BD8" w:rsidRDefault="00084F36">
      <w:pPr>
        <w:pStyle w:val="BodyText"/>
        <w:rPr>
          <w:sz w:val="20"/>
        </w:rPr>
      </w:pPr>
    </w:p>
    <w:p w14:paraId="7064EB29" w14:textId="77777777" w:rsidR="00084F36" w:rsidRPr="00EB2BD8" w:rsidRDefault="00084F36">
      <w:pPr>
        <w:pStyle w:val="BodyText"/>
        <w:rPr>
          <w:sz w:val="20"/>
        </w:rPr>
      </w:pPr>
    </w:p>
    <w:p w14:paraId="6A9E7782" w14:textId="77777777" w:rsidR="00084F36" w:rsidRPr="00EB2BD8" w:rsidRDefault="00084F36">
      <w:pPr>
        <w:pStyle w:val="BodyText"/>
        <w:rPr>
          <w:sz w:val="20"/>
        </w:rPr>
      </w:pPr>
    </w:p>
    <w:p w14:paraId="5C5B9A8E" w14:textId="77777777" w:rsidR="00084F36" w:rsidRPr="00EB2BD8" w:rsidRDefault="00084F36">
      <w:pPr>
        <w:pStyle w:val="BodyText"/>
        <w:rPr>
          <w:sz w:val="20"/>
        </w:rPr>
      </w:pPr>
    </w:p>
    <w:p w14:paraId="41451BBE" w14:textId="77777777" w:rsidR="00084F36" w:rsidRPr="00EB2BD8" w:rsidRDefault="00084F36">
      <w:pPr>
        <w:pStyle w:val="BodyText"/>
        <w:rPr>
          <w:sz w:val="20"/>
        </w:rPr>
      </w:pPr>
    </w:p>
    <w:p w14:paraId="20A18B3D" w14:textId="77777777" w:rsidR="00084F36" w:rsidRPr="00EB2BD8" w:rsidRDefault="00084F36">
      <w:pPr>
        <w:pStyle w:val="BodyText"/>
        <w:rPr>
          <w:sz w:val="20"/>
        </w:rPr>
      </w:pPr>
    </w:p>
    <w:p w14:paraId="706767A4" w14:textId="77777777" w:rsidR="00084F36" w:rsidRPr="00EB2BD8" w:rsidRDefault="00084F36">
      <w:pPr>
        <w:pStyle w:val="BodyText"/>
        <w:rPr>
          <w:sz w:val="20"/>
        </w:rPr>
      </w:pPr>
    </w:p>
    <w:p w14:paraId="49FFFF88" w14:textId="77777777" w:rsidR="00084F36" w:rsidRPr="00EB2BD8" w:rsidRDefault="00084F36">
      <w:pPr>
        <w:pStyle w:val="BodyText"/>
        <w:rPr>
          <w:sz w:val="20"/>
        </w:rPr>
      </w:pPr>
    </w:p>
    <w:p w14:paraId="7CFACF1B" w14:textId="77777777" w:rsidR="00084F36" w:rsidRPr="00EB2BD8" w:rsidRDefault="00084F36">
      <w:pPr>
        <w:pStyle w:val="BodyText"/>
        <w:rPr>
          <w:sz w:val="20"/>
        </w:rPr>
      </w:pPr>
    </w:p>
    <w:p w14:paraId="3CE842AF" w14:textId="77777777" w:rsidR="00084F36" w:rsidRPr="00EB2BD8" w:rsidRDefault="00084F36">
      <w:pPr>
        <w:pStyle w:val="BodyText"/>
        <w:rPr>
          <w:sz w:val="20"/>
        </w:rPr>
      </w:pPr>
    </w:p>
    <w:p w14:paraId="3553016D" w14:textId="77777777" w:rsidR="00084F36" w:rsidRPr="00EB2BD8" w:rsidRDefault="00084F36">
      <w:pPr>
        <w:pStyle w:val="BodyText"/>
        <w:rPr>
          <w:sz w:val="20"/>
        </w:rPr>
      </w:pPr>
    </w:p>
    <w:p w14:paraId="4C6A81DF" w14:textId="77777777" w:rsidR="00084F36" w:rsidRPr="00EB2BD8" w:rsidRDefault="00084F36">
      <w:pPr>
        <w:pStyle w:val="BodyText"/>
        <w:rPr>
          <w:sz w:val="20"/>
        </w:rPr>
      </w:pPr>
    </w:p>
    <w:p w14:paraId="2D052899" w14:textId="77777777" w:rsidR="00084F36" w:rsidRPr="00EB2BD8" w:rsidRDefault="00084F36">
      <w:pPr>
        <w:pStyle w:val="BodyText"/>
        <w:spacing w:before="3"/>
        <w:rPr>
          <w:sz w:val="22"/>
        </w:rPr>
      </w:pPr>
    </w:p>
    <w:p w14:paraId="39F32E3B" w14:textId="62939552" w:rsidR="00084F36" w:rsidRPr="00EB2BD8" w:rsidRDefault="00084F36">
      <w:pPr>
        <w:spacing w:before="95"/>
        <w:ind w:right="888"/>
        <w:jc w:val="right"/>
        <w:rPr>
          <w:sz w:val="16"/>
        </w:rPr>
      </w:pPr>
    </w:p>
    <w:p w14:paraId="41414D33" w14:textId="77777777" w:rsidR="00084F36" w:rsidRPr="00EB2BD8" w:rsidRDefault="00084F36" w:rsidP="002F09D7">
      <w:pPr>
        <w:jc w:val="center"/>
        <w:rPr>
          <w:sz w:val="16"/>
        </w:rPr>
        <w:sectPr w:rsidR="00084F36" w:rsidRPr="00EB2BD8" w:rsidSect="006D75B2">
          <w:type w:val="continuous"/>
          <w:pgSz w:w="11910" w:h="16840"/>
          <w:pgMar w:top="1920" w:right="0" w:bottom="280" w:left="0" w:header="0" w:footer="0" w:gutter="0"/>
          <w:cols w:space="720"/>
        </w:sectPr>
      </w:pPr>
    </w:p>
    <w:p w14:paraId="5EEF5EE2" w14:textId="77777777" w:rsidR="00084F36" w:rsidRPr="00EB2BD8" w:rsidRDefault="00084F36">
      <w:pPr>
        <w:pStyle w:val="BodyText"/>
        <w:rPr>
          <w:sz w:val="20"/>
        </w:rPr>
      </w:pPr>
    </w:p>
    <w:p w14:paraId="2017E968" w14:textId="77777777" w:rsidR="00084F36" w:rsidRPr="00EB2BD8" w:rsidRDefault="00084F36">
      <w:pPr>
        <w:pStyle w:val="BodyText"/>
        <w:rPr>
          <w:sz w:val="20"/>
        </w:rPr>
      </w:pPr>
    </w:p>
    <w:p w14:paraId="50620FE6" w14:textId="77777777" w:rsidR="00084F36" w:rsidRPr="00EB2BD8" w:rsidRDefault="00084F36">
      <w:pPr>
        <w:pStyle w:val="BodyText"/>
        <w:rPr>
          <w:sz w:val="20"/>
        </w:rPr>
      </w:pPr>
    </w:p>
    <w:p w14:paraId="5D08D194" w14:textId="77777777" w:rsidR="00084F36" w:rsidRPr="00EB2BD8" w:rsidRDefault="00084F36">
      <w:pPr>
        <w:pStyle w:val="BodyText"/>
        <w:spacing w:before="10"/>
        <w:rPr>
          <w:sz w:val="16"/>
        </w:rPr>
      </w:pPr>
    </w:p>
    <w:p w14:paraId="365D119A" w14:textId="77777777" w:rsidR="00084F36" w:rsidRDefault="00EB2BD8" w:rsidP="00CF2B5C">
      <w:pPr>
        <w:pStyle w:val="Heading2"/>
        <w:rPr>
          <w:spacing w:val="-2"/>
        </w:rPr>
      </w:pPr>
      <w:bookmarkStart w:id="174" w:name="_Toc150762476"/>
      <w:r w:rsidRPr="00EB2BD8">
        <w:t>VBA</w:t>
      </w:r>
      <w:r w:rsidRPr="00EB2BD8">
        <w:rPr>
          <w:spacing w:val="-22"/>
        </w:rPr>
        <w:t xml:space="preserve"> </w:t>
      </w:r>
      <w:r w:rsidRPr="00EB2BD8">
        <w:t>Governance</w:t>
      </w:r>
      <w:r w:rsidRPr="00EB2BD8">
        <w:rPr>
          <w:spacing w:val="-21"/>
        </w:rPr>
        <w:t xml:space="preserve"> </w:t>
      </w:r>
      <w:r w:rsidRPr="00EB2BD8">
        <w:rPr>
          <w:spacing w:val="-2"/>
        </w:rPr>
        <w:t>chart</w:t>
      </w:r>
      <w:bookmarkEnd w:id="174"/>
    </w:p>
    <w:p w14:paraId="4D9321A8" w14:textId="77777777" w:rsidR="002F09D7" w:rsidRDefault="002F09D7" w:rsidP="00CF2B5C">
      <w:pPr>
        <w:pStyle w:val="Heading2"/>
        <w:rPr>
          <w:spacing w:val="-2"/>
        </w:rPr>
      </w:pPr>
    </w:p>
    <w:p w14:paraId="276AF850" w14:textId="77777777" w:rsidR="002F09D7" w:rsidRPr="00CF2B5C" w:rsidRDefault="002F09D7" w:rsidP="002F09D7">
      <w:pPr>
        <w:pStyle w:val="Heading3"/>
        <w:ind w:left="284"/>
      </w:pPr>
      <w:bookmarkStart w:id="175" w:name="_Toc150762477"/>
      <w:r w:rsidRPr="00CF2B5C">
        <w:t>Cladding Committee</w:t>
      </w:r>
      <w:bookmarkEnd w:id="175"/>
    </w:p>
    <w:p w14:paraId="1222DE3D" w14:textId="3E2911AE" w:rsidR="002F09D7" w:rsidRPr="00CF2B5C" w:rsidRDefault="002F09D7" w:rsidP="002F09D7">
      <w:pPr>
        <w:pStyle w:val="Heading4"/>
        <w:ind w:left="284"/>
      </w:pPr>
      <w:r w:rsidRPr="00CF2B5C">
        <w:rPr>
          <w:spacing w:val="-4"/>
        </w:rPr>
        <w:t>Chaired</w:t>
      </w:r>
      <w:r w:rsidRPr="00CF2B5C">
        <w:rPr>
          <w:spacing w:val="-8"/>
        </w:rPr>
        <w:t xml:space="preserve"> </w:t>
      </w:r>
      <w:r w:rsidRPr="00CF2B5C">
        <w:rPr>
          <w:spacing w:val="-5"/>
        </w:rPr>
        <w:t>by</w:t>
      </w:r>
      <w:r>
        <w:rPr>
          <w:spacing w:val="-5"/>
        </w:rPr>
        <w:t xml:space="preserve"> </w:t>
      </w:r>
      <w:r w:rsidRPr="00CF2B5C">
        <w:t>Deputy</w:t>
      </w:r>
      <w:r w:rsidRPr="00CF2B5C">
        <w:rPr>
          <w:spacing w:val="-16"/>
        </w:rPr>
        <w:t xml:space="preserve"> </w:t>
      </w:r>
      <w:r w:rsidRPr="00CF2B5C">
        <w:t>Chief</w:t>
      </w:r>
      <w:r w:rsidRPr="00CF2B5C">
        <w:rPr>
          <w:spacing w:val="-16"/>
        </w:rPr>
        <w:t xml:space="preserve"> </w:t>
      </w:r>
      <w:r w:rsidRPr="00CF2B5C">
        <w:t>Commissioner Justin Madden AM</w:t>
      </w:r>
    </w:p>
    <w:p w14:paraId="5EB47F22" w14:textId="77777777" w:rsidR="002F09D7" w:rsidRPr="00CF2B5C" w:rsidRDefault="002F09D7" w:rsidP="002F09D7">
      <w:pPr>
        <w:spacing w:before="88" w:line="254" w:lineRule="auto"/>
        <w:ind w:left="284" w:right="267"/>
        <w:rPr>
          <w:color w:val="000000" w:themeColor="text1"/>
          <w:sz w:val="16"/>
        </w:rPr>
      </w:pPr>
      <w:r w:rsidRPr="00CF2B5C">
        <w:rPr>
          <w:color w:val="000000" w:themeColor="text1"/>
          <w:sz w:val="16"/>
        </w:rPr>
        <w:t>The Cladding Committee supports</w:t>
      </w:r>
      <w:r w:rsidRPr="00CF2B5C">
        <w:rPr>
          <w:color w:val="000000" w:themeColor="text1"/>
          <w:spacing w:val="-12"/>
          <w:sz w:val="16"/>
        </w:rPr>
        <w:t xml:space="preserve"> </w:t>
      </w:r>
      <w:r w:rsidRPr="00CF2B5C">
        <w:rPr>
          <w:color w:val="000000" w:themeColor="text1"/>
          <w:sz w:val="16"/>
        </w:rPr>
        <w:t>the</w:t>
      </w:r>
      <w:r w:rsidRPr="00CF2B5C">
        <w:rPr>
          <w:color w:val="000000" w:themeColor="text1"/>
          <w:spacing w:val="-12"/>
          <w:sz w:val="16"/>
        </w:rPr>
        <w:t xml:space="preserve"> </w:t>
      </w:r>
      <w:r w:rsidRPr="00CF2B5C">
        <w:rPr>
          <w:color w:val="000000" w:themeColor="text1"/>
          <w:sz w:val="16"/>
        </w:rPr>
        <w:t>Board</w:t>
      </w:r>
      <w:r w:rsidRPr="00CF2B5C">
        <w:rPr>
          <w:color w:val="000000" w:themeColor="text1"/>
          <w:spacing w:val="-12"/>
          <w:sz w:val="16"/>
        </w:rPr>
        <w:t xml:space="preserve"> </w:t>
      </w:r>
      <w:r w:rsidRPr="00CF2B5C">
        <w:rPr>
          <w:color w:val="000000" w:themeColor="text1"/>
          <w:sz w:val="16"/>
        </w:rPr>
        <w:t>in</w:t>
      </w:r>
      <w:r w:rsidRPr="00CF2B5C">
        <w:rPr>
          <w:color w:val="000000" w:themeColor="text1"/>
          <w:spacing w:val="-12"/>
          <w:sz w:val="16"/>
        </w:rPr>
        <w:t xml:space="preserve"> </w:t>
      </w:r>
      <w:r w:rsidRPr="00CF2B5C">
        <w:rPr>
          <w:color w:val="000000" w:themeColor="text1"/>
          <w:sz w:val="16"/>
        </w:rPr>
        <w:t>monitoring performance of the Statewide Cladding Audit program (SCA)</w:t>
      </w:r>
    </w:p>
    <w:p w14:paraId="4D7E254D" w14:textId="77777777" w:rsidR="002F09D7" w:rsidRDefault="002F09D7" w:rsidP="002F09D7">
      <w:pPr>
        <w:spacing w:before="1" w:line="254" w:lineRule="auto"/>
        <w:ind w:left="284" w:right="159"/>
        <w:rPr>
          <w:color w:val="000000" w:themeColor="text1"/>
          <w:sz w:val="16"/>
        </w:rPr>
      </w:pPr>
      <w:r w:rsidRPr="00CF2B5C">
        <w:rPr>
          <w:color w:val="000000" w:themeColor="text1"/>
          <w:sz w:val="16"/>
        </w:rPr>
        <w:t>and</w:t>
      </w:r>
      <w:r w:rsidRPr="00CF2B5C">
        <w:rPr>
          <w:color w:val="000000" w:themeColor="text1"/>
          <w:spacing w:val="-4"/>
          <w:sz w:val="16"/>
        </w:rPr>
        <w:t xml:space="preserve"> </w:t>
      </w:r>
      <w:r w:rsidRPr="00CF2B5C">
        <w:rPr>
          <w:color w:val="000000" w:themeColor="text1"/>
          <w:sz w:val="16"/>
        </w:rPr>
        <w:t>its</w:t>
      </w:r>
      <w:r w:rsidRPr="00CF2B5C">
        <w:rPr>
          <w:color w:val="000000" w:themeColor="text1"/>
          <w:spacing w:val="-4"/>
          <w:sz w:val="16"/>
        </w:rPr>
        <w:t xml:space="preserve"> </w:t>
      </w:r>
      <w:r w:rsidRPr="00CF2B5C">
        <w:rPr>
          <w:color w:val="000000" w:themeColor="text1"/>
          <w:sz w:val="16"/>
        </w:rPr>
        <w:t>compliance</w:t>
      </w:r>
      <w:r w:rsidRPr="00CF2B5C">
        <w:rPr>
          <w:color w:val="000000" w:themeColor="text1"/>
          <w:spacing w:val="-4"/>
          <w:sz w:val="16"/>
        </w:rPr>
        <w:t xml:space="preserve"> </w:t>
      </w:r>
      <w:r w:rsidRPr="00CF2B5C">
        <w:rPr>
          <w:color w:val="000000" w:themeColor="text1"/>
          <w:sz w:val="16"/>
        </w:rPr>
        <w:t>with</w:t>
      </w:r>
      <w:r w:rsidRPr="00CF2B5C">
        <w:rPr>
          <w:color w:val="000000" w:themeColor="text1"/>
          <w:spacing w:val="-4"/>
          <w:sz w:val="16"/>
        </w:rPr>
        <w:t xml:space="preserve"> </w:t>
      </w:r>
      <w:r w:rsidRPr="00CF2B5C">
        <w:rPr>
          <w:color w:val="000000" w:themeColor="text1"/>
          <w:sz w:val="16"/>
        </w:rPr>
        <w:t>regulatory requirements and policies. It monitors VBA’s enforcement</w:t>
      </w:r>
      <w:r w:rsidRPr="00CF2B5C">
        <w:rPr>
          <w:color w:val="000000" w:themeColor="text1"/>
          <w:spacing w:val="40"/>
          <w:sz w:val="16"/>
        </w:rPr>
        <w:t xml:space="preserve"> </w:t>
      </w:r>
      <w:r w:rsidRPr="00CF2B5C">
        <w:rPr>
          <w:color w:val="000000" w:themeColor="text1"/>
          <w:sz w:val="16"/>
        </w:rPr>
        <w:t>action against practitioners associated</w:t>
      </w:r>
      <w:r w:rsidRPr="00CF2B5C">
        <w:rPr>
          <w:color w:val="000000" w:themeColor="text1"/>
          <w:spacing w:val="-9"/>
          <w:sz w:val="16"/>
        </w:rPr>
        <w:t xml:space="preserve"> </w:t>
      </w:r>
      <w:r w:rsidRPr="00CF2B5C">
        <w:rPr>
          <w:color w:val="000000" w:themeColor="text1"/>
          <w:sz w:val="16"/>
        </w:rPr>
        <w:t>with,</w:t>
      </w:r>
      <w:r w:rsidRPr="00CF2B5C">
        <w:rPr>
          <w:color w:val="000000" w:themeColor="text1"/>
          <w:spacing w:val="-9"/>
          <w:sz w:val="16"/>
        </w:rPr>
        <w:t xml:space="preserve"> </w:t>
      </w:r>
      <w:r w:rsidRPr="00CF2B5C">
        <w:rPr>
          <w:color w:val="000000" w:themeColor="text1"/>
          <w:sz w:val="16"/>
        </w:rPr>
        <w:t>but</w:t>
      </w:r>
      <w:r w:rsidRPr="00CF2B5C">
        <w:rPr>
          <w:color w:val="000000" w:themeColor="text1"/>
          <w:spacing w:val="-9"/>
          <w:sz w:val="16"/>
        </w:rPr>
        <w:t xml:space="preserve"> </w:t>
      </w:r>
      <w:r w:rsidRPr="00CF2B5C">
        <w:rPr>
          <w:color w:val="000000" w:themeColor="text1"/>
          <w:sz w:val="16"/>
        </w:rPr>
        <w:t>not</w:t>
      </w:r>
      <w:r w:rsidRPr="00CF2B5C">
        <w:rPr>
          <w:color w:val="000000" w:themeColor="text1"/>
          <w:spacing w:val="-9"/>
          <w:sz w:val="16"/>
        </w:rPr>
        <w:t xml:space="preserve"> </w:t>
      </w:r>
      <w:r w:rsidRPr="00CF2B5C">
        <w:rPr>
          <w:color w:val="000000" w:themeColor="text1"/>
          <w:sz w:val="16"/>
        </w:rPr>
        <w:t>limited</w:t>
      </w:r>
      <w:r w:rsidRPr="00CF2B5C">
        <w:rPr>
          <w:color w:val="000000" w:themeColor="text1"/>
          <w:spacing w:val="-9"/>
          <w:sz w:val="16"/>
        </w:rPr>
        <w:t xml:space="preserve"> </w:t>
      </w:r>
      <w:r w:rsidRPr="00CF2B5C">
        <w:rPr>
          <w:color w:val="000000" w:themeColor="text1"/>
          <w:sz w:val="16"/>
        </w:rPr>
        <w:t>to, the SCA, and oversees the VBA’s risk management approach with respect</w:t>
      </w:r>
      <w:r w:rsidRPr="00CF2B5C">
        <w:rPr>
          <w:color w:val="000000" w:themeColor="text1"/>
          <w:spacing w:val="-13"/>
          <w:sz w:val="16"/>
        </w:rPr>
        <w:t xml:space="preserve"> </w:t>
      </w:r>
      <w:r w:rsidRPr="00CF2B5C">
        <w:rPr>
          <w:color w:val="000000" w:themeColor="text1"/>
          <w:sz w:val="16"/>
        </w:rPr>
        <w:t>to</w:t>
      </w:r>
      <w:r w:rsidRPr="00CF2B5C">
        <w:rPr>
          <w:color w:val="000000" w:themeColor="text1"/>
          <w:spacing w:val="-13"/>
          <w:sz w:val="16"/>
        </w:rPr>
        <w:t xml:space="preserve"> </w:t>
      </w:r>
      <w:r w:rsidRPr="00CF2B5C">
        <w:rPr>
          <w:color w:val="000000" w:themeColor="text1"/>
          <w:sz w:val="16"/>
        </w:rPr>
        <w:t>cladding.</w:t>
      </w:r>
      <w:r w:rsidRPr="00CF2B5C">
        <w:rPr>
          <w:color w:val="000000" w:themeColor="text1"/>
          <w:spacing w:val="-12"/>
          <w:sz w:val="16"/>
        </w:rPr>
        <w:t xml:space="preserve"> </w:t>
      </w:r>
      <w:r w:rsidRPr="00CF2B5C">
        <w:rPr>
          <w:color w:val="000000" w:themeColor="text1"/>
          <w:sz w:val="16"/>
        </w:rPr>
        <w:t>It</w:t>
      </w:r>
      <w:r w:rsidRPr="00CF2B5C">
        <w:rPr>
          <w:color w:val="000000" w:themeColor="text1"/>
          <w:spacing w:val="-13"/>
          <w:sz w:val="16"/>
        </w:rPr>
        <w:t xml:space="preserve"> </w:t>
      </w:r>
      <w:r w:rsidRPr="00CF2B5C">
        <w:rPr>
          <w:color w:val="000000" w:themeColor="text1"/>
          <w:sz w:val="16"/>
        </w:rPr>
        <w:t>helps</w:t>
      </w:r>
      <w:r w:rsidRPr="00CF2B5C">
        <w:rPr>
          <w:color w:val="000000" w:themeColor="text1"/>
          <w:spacing w:val="-13"/>
          <w:sz w:val="16"/>
        </w:rPr>
        <w:t xml:space="preserve"> </w:t>
      </w:r>
      <w:r w:rsidRPr="00CF2B5C">
        <w:rPr>
          <w:color w:val="000000" w:themeColor="text1"/>
          <w:sz w:val="16"/>
        </w:rPr>
        <w:t>ensure that lessons are learned, and that these are shared to help prevent future building system failures.</w:t>
      </w:r>
    </w:p>
    <w:p w14:paraId="252A4BD7" w14:textId="77777777" w:rsidR="002F09D7" w:rsidRDefault="002F09D7" w:rsidP="002F09D7">
      <w:pPr>
        <w:spacing w:before="1" w:line="254" w:lineRule="auto"/>
        <w:ind w:left="284" w:right="159"/>
        <w:rPr>
          <w:color w:val="000000" w:themeColor="text1"/>
          <w:sz w:val="16"/>
        </w:rPr>
      </w:pPr>
    </w:p>
    <w:p w14:paraId="6D1A81A5" w14:textId="77777777" w:rsidR="002F09D7" w:rsidRPr="00CF2B5C" w:rsidRDefault="002F09D7" w:rsidP="002F09D7">
      <w:pPr>
        <w:pStyle w:val="Heading3"/>
        <w:ind w:left="284"/>
      </w:pPr>
      <w:bookmarkStart w:id="176" w:name="_Toc150762478"/>
      <w:r w:rsidRPr="00CF2B5C">
        <w:t>People</w:t>
      </w:r>
      <w:r w:rsidRPr="00CF2B5C">
        <w:rPr>
          <w:spacing w:val="-16"/>
        </w:rPr>
        <w:t xml:space="preserve"> </w:t>
      </w:r>
      <w:r w:rsidRPr="00CF2B5C">
        <w:t>&amp;</w:t>
      </w:r>
      <w:r w:rsidRPr="00CF2B5C">
        <w:rPr>
          <w:spacing w:val="-16"/>
        </w:rPr>
        <w:t xml:space="preserve"> </w:t>
      </w:r>
      <w:r w:rsidRPr="00CF2B5C">
        <w:t xml:space="preserve">Culture </w:t>
      </w:r>
      <w:r w:rsidRPr="00CF2B5C">
        <w:rPr>
          <w:spacing w:val="-2"/>
        </w:rPr>
        <w:t>Committee</w:t>
      </w:r>
      <w:bookmarkEnd w:id="176"/>
    </w:p>
    <w:p w14:paraId="2CEC7966" w14:textId="77777777" w:rsidR="002F09D7" w:rsidRPr="00CF2B5C" w:rsidRDefault="002F09D7" w:rsidP="002F09D7">
      <w:pPr>
        <w:pStyle w:val="Heading4"/>
        <w:ind w:left="284"/>
      </w:pPr>
      <w:r w:rsidRPr="00CF2B5C">
        <w:t>Chaired</w:t>
      </w:r>
      <w:r w:rsidRPr="00CF2B5C">
        <w:rPr>
          <w:spacing w:val="-16"/>
        </w:rPr>
        <w:t xml:space="preserve"> </w:t>
      </w:r>
      <w:r w:rsidRPr="00CF2B5C">
        <w:t>by</w:t>
      </w:r>
      <w:r w:rsidRPr="00CF2B5C">
        <w:rPr>
          <w:spacing w:val="-16"/>
        </w:rPr>
        <w:t xml:space="preserve"> </w:t>
      </w:r>
      <w:r w:rsidRPr="00CF2B5C">
        <w:t>Commissioner Dr</w:t>
      </w:r>
      <w:r w:rsidRPr="00CF2B5C">
        <w:rPr>
          <w:spacing w:val="-7"/>
        </w:rPr>
        <w:t xml:space="preserve"> </w:t>
      </w:r>
      <w:r w:rsidRPr="00CF2B5C">
        <w:t>Julia Cornwell</w:t>
      </w:r>
      <w:r w:rsidRPr="00CF2B5C">
        <w:rPr>
          <w:spacing w:val="-7"/>
        </w:rPr>
        <w:t xml:space="preserve"> </w:t>
      </w:r>
      <w:r w:rsidRPr="00CF2B5C">
        <w:t>McKean</w:t>
      </w:r>
    </w:p>
    <w:p w14:paraId="06FA0B9C" w14:textId="77777777" w:rsidR="002F09D7" w:rsidRPr="00CF2B5C" w:rsidRDefault="002F09D7" w:rsidP="002F09D7">
      <w:pPr>
        <w:spacing w:before="89" w:line="254" w:lineRule="auto"/>
        <w:ind w:left="284" w:right="63"/>
        <w:rPr>
          <w:color w:val="000000" w:themeColor="text1"/>
          <w:sz w:val="16"/>
        </w:rPr>
      </w:pPr>
      <w:r w:rsidRPr="00CF2B5C">
        <w:rPr>
          <w:color w:val="000000" w:themeColor="text1"/>
          <w:sz w:val="16"/>
        </w:rPr>
        <w:t>The</w:t>
      </w:r>
      <w:r w:rsidRPr="00CF2B5C">
        <w:rPr>
          <w:color w:val="000000" w:themeColor="text1"/>
          <w:spacing w:val="-4"/>
          <w:sz w:val="16"/>
        </w:rPr>
        <w:t xml:space="preserve"> </w:t>
      </w:r>
      <w:r w:rsidRPr="00CF2B5C">
        <w:rPr>
          <w:color w:val="000000" w:themeColor="text1"/>
          <w:sz w:val="16"/>
        </w:rPr>
        <w:t>People</w:t>
      </w:r>
      <w:r w:rsidRPr="00CF2B5C">
        <w:rPr>
          <w:color w:val="000000" w:themeColor="text1"/>
          <w:spacing w:val="-4"/>
          <w:sz w:val="16"/>
        </w:rPr>
        <w:t xml:space="preserve"> </w:t>
      </w:r>
      <w:r w:rsidRPr="00CF2B5C">
        <w:rPr>
          <w:color w:val="000000" w:themeColor="text1"/>
          <w:sz w:val="16"/>
        </w:rPr>
        <w:t>and</w:t>
      </w:r>
      <w:r w:rsidRPr="00CF2B5C">
        <w:rPr>
          <w:color w:val="000000" w:themeColor="text1"/>
          <w:spacing w:val="-4"/>
          <w:sz w:val="16"/>
        </w:rPr>
        <w:t xml:space="preserve"> </w:t>
      </w:r>
      <w:r w:rsidRPr="00CF2B5C">
        <w:rPr>
          <w:color w:val="000000" w:themeColor="text1"/>
          <w:sz w:val="16"/>
        </w:rPr>
        <w:t>Culture</w:t>
      </w:r>
      <w:r w:rsidRPr="00CF2B5C">
        <w:rPr>
          <w:color w:val="000000" w:themeColor="text1"/>
          <w:spacing w:val="-4"/>
          <w:sz w:val="16"/>
        </w:rPr>
        <w:t xml:space="preserve"> </w:t>
      </w:r>
      <w:r w:rsidRPr="00CF2B5C">
        <w:rPr>
          <w:color w:val="000000" w:themeColor="text1"/>
          <w:sz w:val="16"/>
        </w:rPr>
        <w:t>Committee is responsible for oversight of,</w:t>
      </w:r>
    </w:p>
    <w:p w14:paraId="419C1313" w14:textId="77777777" w:rsidR="002F09D7" w:rsidRPr="00CF2B5C" w:rsidRDefault="002F09D7" w:rsidP="002F09D7">
      <w:pPr>
        <w:spacing w:line="254" w:lineRule="auto"/>
        <w:ind w:left="284" w:right="177"/>
        <w:rPr>
          <w:color w:val="000000" w:themeColor="text1"/>
          <w:sz w:val="16"/>
        </w:rPr>
      </w:pPr>
      <w:r w:rsidRPr="00CF2B5C">
        <w:rPr>
          <w:color w:val="000000" w:themeColor="text1"/>
          <w:sz w:val="16"/>
        </w:rPr>
        <w:t>and provision of advice and recommendations to the VBA board on organisational culture and values, and policies and initiatives</w:t>
      </w:r>
      <w:r w:rsidRPr="00CF2B5C">
        <w:rPr>
          <w:color w:val="000000" w:themeColor="text1"/>
          <w:spacing w:val="-13"/>
          <w:sz w:val="16"/>
        </w:rPr>
        <w:t xml:space="preserve"> </w:t>
      </w:r>
      <w:r w:rsidRPr="00CF2B5C">
        <w:rPr>
          <w:color w:val="000000" w:themeColor="text1"/>
          <w:sz w:val="16"/>
        </w:rPr>
        <w:t>for</w:t>
      </w:r>
      <w:r w:rsidRPr="00CF2B5C">
        <w:rPr>
          <w:color w:val="000000" w:themeColor="text1"/>
          <w:spacing w:val="-13"/>
          <w:sz w:val="16"/>
        </w:rPr>
        <w:t xml:space="preserve"> </w:t>
      </w:r>
      <w:r w:rsidRPr="00CF2B5C">
        <w:rPr>
          <w:color w:val="000000" w:themeColor="text1"/>
          <w:sz w:val="16"/>
        </w:rPr>
        <w:t>the</w:t>
      </w:r>
      <w:r w:rsidRPr="00CF2B5C">
        <w:rPr>
          <w:color w:val="000000" w:themeColor="text1"/>
          <w:spacing w:val="-12"/>
          <w:sz w:val="16"/>
        </w:rPr>
        <w:t xml:space="preserve"> </w:t>
      </w:r>
      <w:r w:rsidRPr="00CF2B5C">
        <w:rPr>
          <w:color w:val="000000" w:themeColor="text1"/>
          <w:sz w:val="16"/>
        </w:rPr>
        <w:t>development</w:t>
      </w:r>
      <w:r w:rsidRPr="00CF2B5C">
        <w:rPr>
          <w:color w:val="000000" w:themeColor="text1"/>
          <w:spacing w:val="-13"/>
          <w:sz w:val="16"/>
        </w:rPr>
        <w:t xml:space="preserve"> </w:t>
      </w:r>
      <w:r w:rsidRPr="00CF2B5C">
        <w:rPr>
          <w:color w:val="000000" w:themeColor="text1"/>
          <w:sz w:val="16"/>
        </w:rPr>
        <w:t>of people capability, inclusion and diversity, equity and wellbeing</w:t>
      </w:r>
    </w:p>
    <w:p w14:paraId="1B948A9C" w14:textId="77777777" w:rsidR="002F09D7" w:rsidRDefault="002F09D7" w:rsidP="002F09D7">
      <w:pPr>
        <w:spacing w:before="2" w:line="254" w:lineRule="auto"/>
        <w:ind w:left="284" w:right="177"/>
        <w:rPr>
          <w:color w:val="000000" w:themeColor="text1"/>
          <w:sz w:val="16"/>
        </w:rPr>
      </w:pPr>
      <w:r w:rsidRPr="00CF2B5C">
        <w:rPr>
          <w:color w:val="000000" w:themeColor="text1"/>
          <w:sz w:val="16"/>
        </w:rPr>
        <w:t>of staff. It helps keep the VBA’s approach to these matters consistent</w:t>
      </w:r>
      <w:r w:rsidRPr="00CF2B5C">
        <w:rPr>
          <w:color w:val="000000" w:themeColor="text1"/>
          <w:spacing w:val="-13"/>
          <w:sz w:val="16"/>
        </w:rPr>
        <w:t xml:space="preserve"> </w:t>
      </w:r>
      <w:r w:rsidRPr="00CF2B5C">
        <w:rPr>
          <w:color w:val="000000" w:themeColor="text1"/>
          <w:sz w:val="16"/>
        </w:rPr>
        <w:t>and</w:t>
      </w:r>
      <w:r w:rsidRPr="00CF2B5C">
        <w:rPr>
          <w:color w:val="000000" w:themeColor="text1"/>
          <w:spacing w:val="-13"/>
          <w:sz w:val="16"/>
        </w:rPr>
        <w:t xml:space="preserve"> </w:t>
      </w:r>
      <w:r w:rsidRPr="00CF2B5C">
        <w:rPr>
          <w:color w:val="000000" w:themeColor="text1"/>
          <w:sz w:val="16"/>
        </w:rPr>
        <w:t>supports</w:t>
      </w:r>
      <w:r w:rsidRPr="00CF2B5C">
        <w:rPr>
          <w:color w:val="000000" w:themeColor="text1"/>
          <w:spacing w:val="-12"/>
          <w:sz w:val="16"/>
        </w:rPr>
        <w:t xml:space="preserve"> </w:t>
      </w:r>
      <w:r w:rsidRPr="00CF2B5C">
        <w:rPr>
          <w:color w:val="000000" w:themeColor="text1"/>
          <w:sz w:val="16"/>
        </w:rPr>
        <w:t>the</w:t>
      </w:r>
      <w:r w:rsidRPr="00CF2B5C">
        <w:rPr>
          <w:color w:val="000000" w:themeColor="text1"/>
          <w:spacing w:val="-13"/>
          <w:sz w:val="16"/>
        </w:rPr>
        <w:t xml:space="preserve"> </w:t>
      </w:r>
      <w:r w:rsidRPr="00CF2B5C">
        <w:rPr>
          <w:color w:val="000000" w:themeColor="text1"/>
          <w:sz w:val="16"/>
        </w:rPr>
        <w:t>VBA’s people and capability strategy.</w:t>
      </w:r>
    </w:p>
    <w:p w14:paraId="797A636A" w14:textId="77777777" w:rsidR="002F09D7" w:rsidRDefault="002F09D7" w:rsidP="002F09D7">
      <w:pPr>
        <w:spacing w:before="2" w:line="254" w:lineRule="auto"/>
        <w:ind w:left="284" w:right="177"/>
        <w:rPr>
          <w:color w:val="000000" w:themeColor="text1"/>
          <w:sz w:val="16"/>
        </w:rPr>
      </w:pPr>
    </w:p>
    <w:p w14:paraId="2F3D7B2D" w14:textId="77777777" w:rsidR="002F09D7" w:rsidRPr="00CF2B5C" w:rsidRDefault="002F09D7" w:rsidP="002F09D7">
      <w:pPr>
        <w:pStyle w:val="Heading3"/>
        <w:ind w:left="284"/>
        <w:rPr>
          <w:color w:val="000000" w:themeColor="text1"/>
        </w:rPr>
      </w:pPr>
      <w:bookmarkStart w:id="177" w:name="_Toc150762479"/>
      <w:r w:rsidRPr="00CF2B5C">
        <w:rPr>
          <w:color w:val="000000" w:themeColor="text1"/>
          <w:spacing w:val="-2"/>
        </w:rPr>
        <w:t xml:space="preserve">Regulatory </w:t>
      </w:r>
      <w:r w:rsidRPr="00CF2B5C">
        <w:rPr>
          <w:color w:val="000000" w:themeColor="text1"/>
        </w:rPr>
        <w:t>Operations</w:t>
      </w:r>
      <w:r w:rsidRPr="00CF2B5C">
        <w:rPr>
          <w:color w:val="000000" w:themeColor="text1"/>
          <w:spacing w:val="-20"/>
        </w:rPr>
        <w:t xml:space="preserve"> </w:t>
      </w:r>
      <w:r w:rsidRPr="00CF2B5C">
        <w:rPr>
          <w:color w:val="000000" w:themeColor="text1"/>
        </w:rPr>
        <w:t>Comittee</w:t>
      </w:r>
      <w:bookmarkEnd w:id="177"/>
    </w:p>
    <w:p w14:paraId="64AB2FA8" w14:textId="77777777" w:rsidR="002F09D7" w:rsidRPr="00CF2B5C" w:rsidRDefault="002F09D7" w:rsidP="002F09D7">
      <w:pPr>
        <w:pStyle w:val="Heading4"/>
        <w:ind w:left="284"/>
      </w:pPr>
      <w:r w:rsidRPr="00CF2B5C">
        <w:t>Chaired</w:t>
      </w:r>
      <w:r w:rsidRPr="00CF2B5C">
        <w:rPr>
          <w:spacing w:val="-16"/>
        </w:rPr>
        <w:t xml:space="preserve"> </w:t>
      </w:r>
      <w:r w:rsidRPr="00CF2B5C">
        <w:t>by</w:t>
      </w:r>
      <w:r w:rsidRPr="00CF2B5C">
        <w:rPr>
          <w:spacing w:val="-16"/>
        </w:rPr>
        <w:t xml:space="preserve"> </w:t>
      </w:r>
      <w:r w:rsidRPr="00CF2B5C">
        <w:t>Commissioner Dr</w:t>
      </w:r>
      <w:r w:rsidRPr="00CF2B5C">
        <w:rPr>
          <w:spacing w:val="-7"/>
        </w:rPr>
        <w:t xml:space="preserve"> </w:t>
      </w:r>
      <w:r w:rsidRPr="00CF2B5C">
        <w:t>Julia Cornwell</w:t>
      </w:r>
      <w:r w:rsidRPr="00CF2B5C">
        <w:rPr>
          <w:spacing w:val="-7"/>
        </w:rPr>
        <w:t xml:space="preserve"> </w:t>
      </w:r>
      <w:r w:rsidRPr="00CF2B5C">
        <w:t>McKean</w:t>
      </w:r>
    </w:p>
    <w:p w14:paraId="165036B8" w14:textId="77777777" w:rsidR="002F09D7" w:rsidRPr="00CF2B5C" w:rsidRDefault="002F09D7" w:rsidP="002F09D7">
      <w:pPr>
        <w:spacing w:before="88" w:line="254" w:lineRule="auto"/>
        <w:ind w:left="284" w:right="177"/>
        <w:rPr>
          <w:color w:val="000000" w:themeColor="text1"/>
          <w:sz w:val="16"/>
        </w:rPr>
      </w:pPr>
      <w:r w:rsidRPr="00CF2B5C">
        <w:rPr>
          <w:color w:val="000000" w:themeColor="text1"/>
          <w:sz w:val="16"/>
        </w:rPr>
        <w:t xml:space="preserve">The Regulatory Operations Committee provides assurance to the Board that the VBA is fulfilling its core regulatory functions as </w:t>
      </w:r>
      <w:r w:rsidRPr="00CF2B5C">
        <w:rPr>
          <w:color w:val="000000" w:themeColor="text1"/>
          <w:spacing w:val="-2"/>
          <w:sz w:val="16"/>
        </w:rPr>
        <w:t>required</w:t>
      </w:r>
      <w:r w:rsidRPr="00CF2B5C">
        <w:rPr>
          <w:color w:val="000000" w:themeColor="text1"/>
          <w:spacing w:val="-11"/>
          <w:sz w:val="16"/>
        </w:rPr>
        <w:t xml:space="preserve"> </w:t>
      </w:r>
      <w:r w:rsidRPr="00CF2B5C">
        <w:rPr>
          <w:color w:val="000000" w:themeColor="text1"/>
          <w:spacing w:val="-2"/>
          <w:sz w:val="16"/>
        </w:rPr>
        <w:t>under</w:t>
      </w:r>
      <w:r w:rsidRPr="00CF2B5C">
        <w:rPr>
          <w:color w:val="000000" w:themeColor="text1"/>
          <w:spacing w:val="-11"/>
          <w:sz w:val="16"/>
        </w:rPr>
        <w:t xml:space="preserve"> </w:t>
      </w:r>
      <w:r w:rsidRPr="00CF2B5C">
        <w:rPr>
          <w:color w:val="000000" w:themeColor="text1"/>
          <w:spacing w:val="-2"/>
          <w:sz w:val="16"/>
        </w:rPr>
        <w:t>s197</w:t>
      </w:r>
      <w:r w:rsidRPr="00CF2B5C">
        <w:rPr>
          <w:color w:val="000000" w:themeColor="text1"/>
          <w:spacing w:val="-10"/>
          <w:sz w:val="16"/>
        </w:rPr>
        <w:t xml:space="preserve"> </w:t>
      </w:r>
      <w:r w:rsidRPr="00CF2B5C">
        <w:rPr>
          <w:color w:val="000000" w:themeColor="text1"/>
          <w:spacing w:val="-2"/>
          <w:sz w:val="16"/>
        </w:rPr>
        <w:t>of</w:t>
      </w:r>
      <w:r w:rsidRPr="00CF2B5C">
        <w:rPr>
          <w:color w:val="000000" w:themeColor="text1"/>
          <w:spacing w:val="-11"/>
          <w:sz w:val="16"/>
        </w:rPr>
        <w:t xml:space="preserve"> </w:t>
      </w:r>
      <w:r w:rsidRPr="00CF2B5C">
        <w:rPr>
          <w:color w:val="000000" w:themeColor="text1"/>
          <w:spacing w:val="-2"/>
          <w:sz w:val="16"/>
        </w:rPr>
        <w:t>the</w:t>
      </w:r>
      <w:r w:rsidRPr="00CF2B5C">
        <w:rPr>
          <w:color w:val="000000" w:themeColor="text1"/>
          <w:spacing w:val="-11"/>
          <w:sz w:val="16"/>
        </w:rPr>
        <w:t xml:space="preserve"> </w:t>
      </w:r>
      <w:r w:rsidRPr="00CF2B5C">
        <w:rPr>
          <w:i/>
          <w:color w:val="000000" w:themeColor="text1"/>
          <w:spacing w:val="-2"/>
          <w:sz w:val="16"/>
        </w:rPr>
        <w:t xml:space="preserve">Building </w:t>
      </w:r>
      <w:r w:rsidRPr="00CF2B5C">
        <w:rPr>
          <w:i/>
          <w:color w:val="000000" w:themeColor="text1"/>
          <w:sz w:val="16"/>
        </w:rPr>
        <w:t>Act 1993</w:t>
      </w:r>
      <w:r w:rsidRPr="00CF2B5C">
        <w:rPr>
          <w:color w:val="000000" w:themeColor="text1"/>
          <w:sz w:val="16"/>
        </w:rPr>
        <w:t>. It considers and makes recommendations to the Board</w:t>
      </w:r>
    </w:p>
    <w:p w14:paraId="1E4FFFE5" w14:textId="77777777" w:rsidR="002F09D7" w:rsidRPr="00CF2B5C" w:rsidRDefault="002F09D7" w:rsidP="002F09D7">
      <w:pPr>
        <w:spacing w:before="2" w:line="254" w:lineRule="auto"/>
        <w:ind w:left="284" w:right="106"/>
        <w:rPr>
          <w:color w:val="000000" w:themeColor="text1"/>
          <w:sz w:val="16"/>
        </w:rPr>
      </w:pPr>
      <w:r w:rsidRPr="00CF2B5C">
        <w:rPr>
          <w:color w:val="000000" w:themeColor="text1"/>
          <w:sz w:val="16"/>
        </w:rPr>
        <w:t>on the VBA’s service delivery and operational</w:t>
      </w:r>
      <w:r w:rsidRPr="00CF2B5C">
        <w:rPr>
          <w:color w:val="000000" w:themeColor="text1"/>
          <w:spacing w:val="-6"/>
          <w:sz w:val="16"/>
        </w:rPr>
        <w:t xml:space="preserve"> </w:t>
      </w:r>
      <w:r w:rsidRPr="00CF2B5C">
        <w:rPr>
          <w:color w:val="000000" w:themeColor="text1"/>
          <w:sz w:val="16"/>
        </w:rPr>
        <w:t>models,</w:t>
      </w:r>
      <w:r w:rsidRPr="00CF2B5C">
        <w:rPr>
          <w:color w:val="000000" w:themeColor="text1"/>
          <w:spacing w:val="-6"/>
          <w:sz w:val="16"/>
        </w:rPr>
        <w:t xml:space="preserve"> </w:t>
      </w:r>
      <w:r w:rsidRPr="00CF2B5C">
        <w:rPr>
          <w:color w:val="000000" w:themeColor="text1"/>
          <w:sz w:val="16"/>
        </w:rPr>
        <w:t>in</w:t>
      </w:r>
      <w:r w:rsidRPr="00CF2B5C">
        <w:rPr>
          <w:color w:val="000000" w:themeColor="text1"/>
          <w:spacing w:val="-6"/>
          <w:sz w:val="16"/>
        </w:rPr>
        <w:t xml:space="preserve"> </w:t>
      </w:r>
      <w:r w:rsidRPr="00CF2B5C">
        <w:rPr>
          <w:color w:val="000000" w:themeColor="text1"/>
          <w:sz w:val="16"/>
        </w:rPr>
        <w:t>line</w:t>
      </w:r>
      <w:r w:rsidRPr="00CF2B5C">
        <w:rPr>
          <w:color w:val="000000" w:themeColor="text1"/>
          <w:spacing w:val="-6"/>
          <w:sz w:val="16"/>
        </w:rPr>
        <w:t xml:space="preserve"> </w:t>
      </w:r>
      <w:r w:rsidRPr="00CF2B5C">
        <w:rPr>
          <w:color w:val="000000" w:themeColor="text1"/>
          <w:sz w:val="16"/>
        </w:rPr>
        <w:t>with</w:t>
      </w:r>
      <w:r w:rsidRPr="00CF2B5C">
        <w:rPr>
          <w:color w:val="000000" w:themeColor="text1"/>
          <w:spacing w:val="-6"/>
          <w:sz w:val="16"/>
        </w:rPr>
        <w:t xml:space="preserve"> </w:t>
      </w:r>
      <w:r w:rsidRPr="00CF2B5C">
        <w:rPr>
          <w:color w:val="000000" w:themeColor="text1"/>
          <w:sz w:val="16"/>
        </w:rPr>
        <w:t xml:space="preserve">the VBA’s risk appetite, and VBA and </w:t>
      </w:r>
      <w:r w:rsidRPr="00CF2B5C">
        <w:rPr>
          <w:color w:val="000000" w:themeColor="text1"/>
          <w:spacing w:val="-2"/>
          <w:sz w:val="16"/>
        </w:rPr>
        <w:t>government</w:t>
      </w:r>
      <w:r w:rsidRPr="00CF2B5C">
        <w:rPr>
          <w:color w:val="000000" w:themeColor="text1"/>
          <w:spacing w:val="-5"/>
          <w:sz w:val="16"/>
        </w:rPr>
        <w:t xml:space="preserve"> </w:t>
      </w:r>
      <w:r w:rsidRPr="00CF2B5C">
        <w:rPr>
          <w:color w:val="000000" w:themeColor="text1"/>
          <w:spacing w:val="-2"/>
          <w:sz w:val="16"/>
        </w:rPr>
        <w:t>policy.</w:t>
      </w:r>
      <w:r w:rsidRPr="00CF2B5C">
        <w:rPr>
          <w:color w:val="000000" w:themeColor="text1"/>
          <w:spacing w:val="-5"/>
          <w:sz w:val="16"/>
        </w:rPr>
        <w:t xml:space="preserve"> </w:t>
      </w:r>
      <w:r w:rsidRPr="00CF2B5C">
        <w:rPr>
          <w:color w:val="000000" w:themeColor="text1"/>
          <w:spacing w:val="-2"/>
          <w:sz w:val="16"/>
        </w:rPr>
        <w:t>It</w:t>
      </w:r>
      <w:r w:rsidRPr="00CF2B5C">
        <w:rPr>
          <w:color w:val="000000" w:themeColor="text1"/>
          <w:spacing w:val="-5"/>
          <w:sz w:val="16"/>
        </w:rPr>
        <w:t xml:space="preserve"> </w:t>
      </w:r>
      <w:r w:rsidRPr="00CF2B5C">
        <w:rPr>
          <w:color w:val="000000" w:themeColor="text1"/>
          <w:spacing w:val="-2"/>
          <w:sz w:val="16"/>
        </w:rPr>
        <w:t>also</w:t>
      </w:r>
      <w:r w:rsidRPr="00CF2B5C">
        <w:rPr>
          <w:color w:val="000000" w:themeColor="text1"/>
          <w:spacing w:val="-5"/>
          <w:sz w:val="16"/>
        </w:rPr>
        <w:t xml:space="preserve"> </w:t>
      </w:r>
      <w:r w:rsidRPr="00CF2B5C">
        <w:rPr>
          <w:color w:val="000000" w:themeColor="text1"/>
          <w:spacing w:val="-2"/>
          <w:sz w:val="16"/>
        </w:rPr>
        <w:t xml:space="preserve">considers </w:t>
      </w:r>
      <w:r w:rsidRPr="00CF2B5C">
        <w:rPr>
          <w:color w:val="000000" w:themeColor="text1"/>
          <w:sz w:val="16"/>
        </w:rPr>
        <w:t>and makes recommendations to</w:t>
      </w:r>
      <w:r w:rsidRPr="00CF2B5C">
        <w:rPr>
          <w:color w:val="000000" w:themeColor="text1"/>
          <w:spacing w:val="40"/>
          <w:sz w:val="16"/>
        </w:rPr>
        <w:t xml:space="preserve"> </w:t>
      </w:r>
      <w:r w:rsidRPr="00CF2B5C">
        <w:rPr>
          <w:color w:val="000000" w:themeColor="text1"/>
          <w:sz w:val="16"/>
        </w:rPr>
        <w:t>the Board on the implications and impact of legislative, policy and regulatory reform on the VBA’s approach as a regulator.</w:t>
      </w:r>
    </w:p>
    <w:p w14:paraId="53D1B5EF" w14:textId="77777777" w:rsidR="002F09D7" w:rsidRPr="00CF2B5C" w:rsidRDefault="002F09D7" w:rsidP="002F09D7">
      <w:pPr>
        <w:spacing w:before="2" w:line="254" w:lineRule="auto"/>
        <w:ind w:left="284" w:right="177"/>
        <w:rPr>
          <w:color w:val="000000" w:themeColor="text1"/>
          <w:sz w:val="16"/>
        </w:rPr>
      </w:pPr>
    </w:p>
    <w:p w14:paraId="606BB524" w14:textId="77777777" w:rsidR="002F09D7" w:rsidRPr="002F09D7" w:rsidRDefault="002F09D7" w:rsidP="002F09D7">
      <w:pPr>
        <w:pStyle w:val="Heading3"/>
        <w:ind w:left="284"/>
      </w:pPr>
      <w:bookmarkStart w:id="178" w:name="_Toc150762480"/>
      <w:r w:rsidRPr="002F09D7">
        <w:t>Remuneration Committee</w:t>
      </w:r>
      <w:bookmarkEnd w:id="178"/>
    </w:p>
    <w:p w14:paraId="6BA0DBBF" w14:textId="731C6ADC" w:rsidR="002F09D7" w:rsidRPr="002F09D7" w:rsidRDefault="002F09D7" w:rsidP="002F09D7">
      <w:pPr>
        <w:pStyle w:val="Heading4"/>
        <w:ind w:left="284"/>
      </w:pPr>
      <w:r w:rsidRPr="002F09D7">
        <w:t>Chaired by</w:t>
      </w:r>
      <w:r>
        <w:t xml:space="preserve"> </w:t>
      </w:r>
      <w:r w:rsidRPr="002F09D7">
        <w:t>Chief Commissioner Michelle McLean</w:t>
      </w:r>
    </w:p>
    <w:p w14:paraId="151B199D" w14:textId="77777777" w:rsidR="002F09D7" w:rsidRPr="002F09D7" w:rsidRDefault="002F09D7" w:rsidP="002F09D7">
      <w:pPr>
        <w:spacing w:before="1" w:line="254" w:lineRule="auto"/>
        <w:ind w:left="284" w:right="159"/>
        <w:rPr>
          <w:color w:val="000000" w:themeColor="text1"/>
          <w:sz w:val="16"/>
        </w:rPr>
      </w:pPr>
      <w:r w:rsidRPr="002F09D7">
        <w:rPr>
          <w:color w:val="000000" w:themeColor="text1"/>
          <w:sz w:val="16"/>
        </w:rPr>
        <w:t>The Remuneration Committee supports the Board to meet its responsibilities under s203 of the Building Act 1993 to employ or remove a Chief Executive Officer (CEO) and determine the terms and conditions under which the CEO will be employed. It undertakes performance planning and performance reviews with the CEO and undertakes contract negotiations with the CEO as required. It reviews as necessary the remuneration and employment conditions of the CEO and maintains oversight of executive employment, remuneration and performance arrangements at the VBA.</w:t>
      </w:r>
    </w:p>
    <w:p w14:paraId="4BB24CD0" w14:textId="77777777" w:rsidR="002F09D7" w:rsidRPr="002F09D7" w:rsidRDefault="002F09D7" w:rsidP="002F09D7">
      <w:pPr>
        <w:spacing w:before="1" w:line="254" w:lineRule="auto"/>
        <w:ind w:left="284" w:right="159"/>
        <w:rPr>
          <w:color w:val="000000" w:themeColor="text1"/>
          <w:sz w:val="16"/>
        </w:rPr>
      </w:pPr>
    </w:p>
    <w:p w14:paraId="1239AAEC" w14:textId="77777777" w:rsidR="002F09D7" w:rsidRPr="002F09D7" w:rsidRDefault="002F09D7" w:rsidP="002F09D7">
      <w:pPr>
        <w:pStyle w:val="Heading3"/>
        <w:ind w:left="284"/>
      </w:pPr>
      <w:bookmarkStart w:id="179" w:name="_Toc150762481"/>
      <w:r w:rsidRPr="002F09D7">
        <w:t>Research &amp; Innovation Committee</w:t>
      </w:r>
      <w:bookmarkEnd w:id="179"/>
    </w:p>
    <w:p w14:paraId="495ECDAA" w14:textId="77777777" w:rsidR="002F09D7" w:rsidRPr="002F09D7" w:rsidRDefault="002F09D7" w:rsidP="002F09D7">
      <w:pPr>
        <w:pStyle w:val="Heading4"/>
        <w:ind w:left="284"/>
      </w:pPr>
      <w:r w:rsidRPr="002F09D7">
        <w:t>Chaired by Commissioner Carmel Coate</w:t>
      </w:r>
    </w:p>
    <w:p w14:paraId="5504D9DC" w14:textId="77777777" w:rsidR="002F09D7" w:rsidRPr="002F09D7" w:rsidRDefault="002F09D7" w:rsidP="002F09D7">
      <w:pPr>
        <w:spacing w:before="1" w:line="254" w:lineRule="auto"/>
        <w:ind w:left="284" w:right="159"/>
        <w:rPr>
          <w:color w:val="000000" w:themeColor="text1"/>
          <w:sz w:val="16"/>
        </w:rPr>
      </w:pPr>
      <w:r w:rsidRPr="002F09D7">
        <w:rPr>
          <w:color w:val="000000" w:themeColor="text1"/>
          <w:sz w:val="16"/>
        </w:rPr>
        <w:t>The Research and Innovation Committee is responsible for oversight of, and advice and recommendations to the Board on research matters to ensure the Board is performing its responsibilities under s197(i) of the Building Act 1993 relevant to the VBA’s research function.</w:t>
      </w:r>
    </w:p>
    <w:p w14:paraId="3626A45D" w14:textId="77777777" w:rsidR="002F09D7" w:rsidRPr="002F09D7" w:rsidRDefault="002F09D7" w:rsidP="002F09D7">
      <w:pPr>
        <w:spacing w:before="1" w:line="254" w:lineRule="auto"/>
        <w:ind w:left="284" w:right="159"/>
        <w:rPr>
          <w:color w:val="000000" w:themeColor="text1"/>
          <w:sz w:val="16"/>
        </w:rPr>
      </w:pPr>
      <w:r w:rsidRPr="002F09D7">
        <w:rPr>
          <w:color w:val="000000" w:themeColor="text1"/>
          <w:sz w:val="16"/>
        </w:rPr>
        <w:t>The Committee also maintains a focus on innovation, including in emerging technologies.</w:t>
      </w:r>
    </w:p>
    <w:p w14:paraId="037C5CA7" w14:textId="77777777" w:rsidR="002F09D7" w:rsidRPr="002F09D7" w:rsidRDefault="002F09D7" w:rsidP="002F09D7">
      <w:pPr>
        <w:spacing w:before="1" w:line="254" w:lineRule="auto"/>
        <w:ind w:left="284" w:right="159"/>
        <w:rPr>
          <w:color w:val="000000" w:themeColor="text1"/>
          <w:sz w:val="16"/>
        </w:rPr>
      </w:pPr>
    </w:p>
    <w:p w14:paraId="54FB367A" w14:textId="77777777" w:rsidR="002F09D7" w:rsidRPr="002F09D7" w:rsidRDefault="002F09D7" w:rsidP="002F09D7">
      <w:pPr>
        <w:pStyle w:val="Heading3"/>
        <w:ind w:left="284"/>
      </w:pPr>
      <w:bookmarkStart w:id="180" w:name="_Toc150762482"/>
      <w:r w:rsidRPr="002F09D7">
        <w:t>Risk, Audit and Finance Committee</w:t>
      </w:r>
      <w:bookmarkEnd w:id="180"/>
    </w:p>
    <w:p w14:paraId="4465CEEC" w14:textId="77777777" w:rsidR="002F09D7" w:rsidRPr="002F09D7" w:rsidRDefault="002F09D7" w:rsidP="002F09D7">
      <w:pPr>
        <w:pStyle w:val="Heading4"/>
        <w:ind w:left="284"/>
      </w:pPr>
      <w:r w:rsidRPr="002F09D7">
        <w:t>Chaired by Commissioner Kelly Humphreys</w:t>
      </w:r>
    </w:p>
    <w:p w14:paraId="10BFFD18" w14:textId="77777777" w:rsidR="002F09D7" w:rsidRPr="002F09D7" w:rsidRDefault="002F09D7" w:rsidP="002F09D7">
      <w:pPr>
        <w:spacing w:before="1" w:line="254" w:lineRule="auto"/>
        <w:ind w:left="284" w:right="159"/>
        <w:rPr>
          <w:color w:val="000000" w:themeColor="text1"/>
          <w:sz w:val="16"/>
        </w:rPr>
      </w:pPr>
      <w:r w:rsidRPr="002F09D7">
        <w:rPr>
          <w:color w:val="000000" w:themeColor="text1"/>
          <w:sz w:val="16"/>
        </w:rPr>
        <w:t>The Risk, Audit and Finance Committee is responsible for independent oversight in its review and assessment of the effectiveness of the VBA’s</w:t>
      </w:r>
    </w:p>
    <w:p w14:paraId="067F330A" w14:textId="305D2E87" w:rsidR="002F09D7" w:rsidRPr="00CF2B5C" w:rsidRDefault="002F09D7" w:rsidP="002F09D7">
      <w:pPr>
        <w:spacing w:before="1" w:line="254" w:lineRule="auto"/>
        <w:ind w:left="284" w:right="159"/>
        <w:rPr>
          <w:color w:val="000000" w:themeColor="text1"/>
          <w:sz w:val="16"/>
        </w:rPr>
      </w:pPr>
      <w:r w:rsidRPr="002F09D7">
        <w:rPr>
          <w:color w:val="000000" w:themeColor="text1"/>
          <w:sz w:val="16"/>
        </w:rPr>
        <w:t>systems and controls for financial management (including asset management), risk management and performance and sustainability.</w:t>
      </w:r>
    </w:p>
    <w:p w14:paraId="41A22C41" w14:textId="77777777" w:rsidR="002F09D7" w:rsidRDefault="002F09D7" w:rsidP="002F09D7">
      <w:pPr>
        <w:pStyle w:val="Heading2"/>
        <w:ind w:left="284"/>
      </w:pPr>
    </w:p>
    <w:p w14:paraId="55EE3F52" w14:textId="77777777" w:rsidR="002F09D7" w:rsidRDefault="002F09D7" w:rsidP="002F09D7">
      <w:pPr>
        <w:pStyle w:val="Heading3"/>
        <w:ind w:left="284"/>
        <w:rPr>
          <w:color w:val="000000"/>
        </w:rPr>
      </w:pPr>
      <w:bookmarkStart w:id="181" w:name="_Toc150762483"/>
      <w:r>
        <w:t>Independent</w:t>
      </w:r>
      <w:r>
        <w:rPr>
          <w:spacing w:val="-16"/>
        </w:rPr>
        <w:t xml:space="preserve"> </w:t>
      </w:r>
      <w:r>
        <w:t xml:space="preserve">Inquiry </w:t>
      </w:r>
      <w:r>
        <w:rPr>
          <w:spacing w:val="-2"/>
        </w:rPr>
        <w:t>Committee</w:t>
      </w:r>
      <w:bookmarkEnd w:id="181"/>
    </w:p>
    <w:p w14:paraId="30002054" w14:textId="77777777" w:rsidR="002F09D7" w:rsidRDefault="002F09D7" w:rsidP="002F09D7">
      <w:pPr>
        <w:spacing w:before="124" w:line="254" w:lineRule="auto"/>
        <w:ind w:left="284" w:right="454"/>
        <w:rPr>
          <w:color w:val="000000"/>
          <w:sz w:val="16"/>
        </w:rPr>
      </w:pPr>
      <w:r>
        <w:rPr>
          <w:color w:val="000000"/>
          <w:sz w:val="16"/>
        </w:rPr>
        <w:t xml:space="preserve">In response to an independent inquiry into allegations of bullying and harassment and cultural issues at the VBA, the board established an </w:t>
      </w:r>
      <w:r>
        <w:rPr>
          <w:color w:val="000000"/>
          <w:spacing w:val="-2"/>
          <w:sz w:val="16"/>
        </w:rPr>
        <w:t>Independent</w:t>
      </w:r>
      <w:r>
        <w:rPr>
          <w:color w:val="000000"/>
          <w:spacing w:val="-5"/>
          <w:sz w:val="16"/>
        </w:rPr>
        <w:t xml:space="preserve"> </w:t>
      </w:r>
      <w:r>
        <w:rPr>
          <w:color w:val="000000"/>
          <w:spacing w:val="-2"/>
          <w:sz w:val="16"/>
        </w:rPr>
        <w:t>Inquiry</w:t>
      </w:r>
      <w:r>
        <w:rPr>
          <w:color w:val="000000"/>
          <w:spacing w:val="-5"/>
          <w:sz w:val="16"/>
        </w:rPr>
        <w:t xml:space="preserve"> </w:t>
      </w:r>
      <w:r>
        <w:rPr>
          <w:color w:val="000000"/>
          <w:spacing w:val="-2"/>
          <w:sz w:val="16"/>
        </w:rPr>
        <w:t>Committee</w:t>
      </w:r>
      <w:r>
        <w:rPr>
          <w:color w:val="000000"/>
          <w:spacing w:val="-5"/>
          <w:sz w:val="16"/>
        </w:rPr>
        <w:t xml:space="preserve"> </w:t>
      </w:r>
      <w:r>
        <w:rPr>
          <w:color w:val="000000"/>
          <w:spacing w:val="-2"/>
          <w:sz w:val="16"/>
        </w:rPr>
        <w:t>(ICC)</w:t>
      </w:r>
      <w:r>
        <w:rPr>
          <w:color w:val="000000"/>
          <w:spacing w:val="-5"/>
          <w:sz w:val="16"/>
        </w:rPr>
        <w:t xml:space="preserve"> </w:t>
      </w:r>
      <w:r>
        <w:rPr>
          <w:color w:val="000000"/>
          <w:spacing w:val="-2"/>
          <w:sz w:val="16"/>
        </w:rPr>
        <w:t>on</w:t>
      </w:r>
      <w:r>
        <w:rPr>
          <w:color w:val="000000"/>
          <w:spacing w:val="-5"/>
          <w:sz w:val="16"/>
        </w:rPr>
        <w:t xml:space="preserve"> </w:t>
      </w:r>
      <w:r>
        <w:rPr>
          <w:color w:val="000000"/>
          <w:spacing w:val="-2"/>
          <w:sz w:val="16"/>
        </w:rPr>
        <w:t>13</w:t>
      </w:r>
      <w:r>
        <w:rPr>
          <w:color w:val="000000"/>
          <w:spacing w:val="-5"/>
          <w:sz w:val="16"/>
        </w:rPr>
        <w:t xml:space="preserve"> </w:t>
      </w:r>
      <w:r>
        <w:rPr>
          <w:color w:val="000000"/>
          <w:spacing w:val="-2"/>
          <w:sz w:val="16"/>
        </w:rPr>
        <w:t>October</w:t>
      </w:r>
      <w:r>
        <w:rPr>
          <w:color w:val="000000"/>
          <w:spacing w:val="-5"/>
          <w:sz w:val="16"/>
        </w:rPr>
        <w:t xml:space="preserve"> </w:t>
      </w:r>
      <w:r>
        <w:rPr>
          <w:color w:val="000000"/>
          <w:spacing w:val="-2"/>
          <w:sz w:val="16"/>
        </w:rPr>
        <w:t>2022.</w:t>
      </w:r>
      <w:r>
        <w:rPr>
          <w:color w:val="000000"/>
          <w:spacing w:val="-5"/>
          <w:sz w:val="16"/>
        </w:rPr>
        <w:t xml:space="preserve"> </w:t>
      </w:r>
      <w:r>
        <w:rPr>
          <w:color w:val="000000"/>
          <w:spacing w:val="-2"/>
          <w:sz w:val="16"/>
        </w:rPr>
        <w:t>The</w:t>
      </w:r>
      <w:r>
        <w:rPr>
          <w:color w:val="000000"/>
          <w:spacing w:val="-5"/>
          <w:sz w:val="16"/>
        </w:rPr>
        <w:t xml:space="preserve"> </w:t>
      </w:r>
      <w:r>
        <w:rPr>
          <w:color w:val="000000"/>
          <w:spacing w:val="-2"/>
          <w:sz w:val="16"/>
        </w:rPr>
        <w:t>purpose</w:t>
      </w:r>
      <w:r>
        <w:rPr>
          <w:color w:val="000000"/>
          <w:spacing w:val="-5"/>
          <w:sz w:val="16"/>
        </w:rPr>
        <w:t xml:space="preserve"> </w:t>
      </w:r>
      <w:r>
        <w:rPr>
          <w:color w:val="000000"/>
          <w:spacing w:val="-2"/>
          <w:sz w:val="16"/>
        </w:rPr>
        <w:t>of</w:t>
      </w:r>
      <w:r>
        <w:rPr>
          <w:color w:val="000000"/>
          <w:spacing w:val="-5"/>
          <w:sz w:val="16"/>
        </w:rPr>
        <w:t xml:space="preserve"> </w:t>
      </w:r>
      <w:r>
        <w:rPr>
          <w:color w:val="000000"/>
          <w:spacing w:val="-2"/>
          <w:sz w:val="16"/>
        </w:rPr>
        <w:t xml:space="preserve">the </w:t>
      </w:r>
      <w:r>
        <w:rPr>
          <w:color w:val="000000"/>
          <w:sz w:val="16"/>
        </w:rPr>
        <w:t>sub-committee is to oversee implementation of the independent inquiry’s recommendations and report to the Board progress against key milestones.</w:t>
      </w:r>
    </w:p>
    <w:p w14:paraId="5B0F0FF2" w14:textId="77777777" w:rsidR="002F09D7" w:rsidRPr="00EB2BD8" w:rsidRDefault="002F09D7" w:rsidP="00CF2B5C">
      <w:pPr>
        <w:pStyle w:val="Heading2"/>
      </w:pPr>
    </w:p>
    <w:p w14:paraId="2B791DEF" w14:textId="77777777" w:rsidR="00084F36" w:rsidRPr="00EB2BD8" w:rsidRDefault="00084F36">
      <w:pPr>
        <w:pStyle w:val="BodyText"/>
        <w:rPr>
          <w:rFonts w:ascii="Tahoma"/>
          <w:b/>
          <w:sz w:val="20"/>
        </w:rPr>
      </w:pPr>
    </w:p>
    <w:p w14:paraId="607E1D42" w14:textId="0D590E89" w:rsidR="00084F36" w:rsidRPr="00EB2BD8" w:rsidRDefault="00084F36">
      <w:pPr>
        <w:pStyle w:val="BodyText"/>
        <w:rPr>
          <w:rFonts w:ascii="Tahoma"/>
          <w:b/>
          <w:sz w:val="20"/>
        </w:rPr>
      </w:pPr>
    </w:p>
    <w:p w14:paraId="61355919" w14:textId="11D3DB56" w:rsidR="00084F36" w:rsidRPr="00EB2BD8" w:rsidRDefault="00084F36">
      <w:pPr>
        <w:pStyle w:val="BodyText"/>
        <w:spacing w:before="9"/>
        <w:rPr>
          <w:rFonts w:ascii="Tahoma"/>
          <w:b/>
          <w:sz w:val="22"/>
        </w:rPr>
      </w:pPr>
    </w:p>
    <w:p w14:paraId="56A7F20B" w14:textId="77777777" w:rsidR="00084F36" w:rsidRPr="00EB2BD8" w:rsidRDefault="00084F36">
      <w:pPr>
        <w:rPr>
          <w:rFonts w:ascii="Tahoma"/>
        </w:rPr>
        <w:sectPr w:rsidR="00084F36" w:rsidRPr="00EB2BD8" w:rsidSect="006D75B2">
          <w:headerReference w:type="even" r:id="rId197"/>
          <w:footerReference w:type="even" r:id="rId198"/>
          <w:footerReference w:type="default" r:id="rId199"/>
          <w:pgSz w:w="11910" w:h="16840"/>
          <w:pgMar w:top="1100" w:right="0" w:bottom="700" w:left="0" w:header="0" w:footer="515" w:gutter="0"/>
          <w:pgNumType w:start="72"/>
          <w:cols w:space="720"/>
        </w:sectPr>
      </w:pPr>
    </w:p>
    <w:p w14:paraId="03FD614C" w14:textId="229A8092" w:rsidR="00084F36" w:rsidRPr="00EB2BD8" w:rsidRDefault="00084F36">
      <w:pPr>
        <w:pStyle w:val="BodyText"/>
        <w:rPr>
          <w:rFonts w:ascii="Tahoma"/>
          <w:b/>
          <w:sz w:val="20"/>
        </w:rPr>
      </w:pPr>
    </w:p>
    <w:p w14:paraId="2A8A5729" w14:textId="77777777" w:rsidR="00084F36" w:rsidRPr="00EB2BD8" w:rsidRDefault="00084F36">
      <w:pPr>
        <w:pStyle w:val="BodyText"/>
        <w:rPr>
          <w:rFonts w:ascii="Tahoma"/>
          <w:b/>
          <w:sz w:val="20"/>
        </w:rPr>
      </w:pPr>
    </w:p>
    <w:p w14:paraId="183E7C5D" w14:textId="77777777" w:rsidR="00084F36" w:rsidRPr="00EB2BD8" w:rsidRDefault="00084F36">
      <w:pPr>
        <w:pStyle w:val="BodyText"/>
        <w:spacing w:before="10"/>
        <w:rPr>
          <w:rFonts w:ascii="Tahoma"/>
          <w:b/>
          <w:sz w:val="29"/>
        </w:rPr>
      </w:pPr>
    </w:p>
    <w:p w14:paraId="3035C5AA" w14:textId="0FB47BD1" w:rsidR="00084F36" w:rsidRPr="00EB2BD8" w:rsidRDefault="00084F36">
      <w:pPr>
        <w:pStyle w:val="BodyText"/>
        <w:spacing w:line="228" w:lineRule="exact"/>
        <w:ind w:left="10250"/>
        <w:rPr>
          <w:rFonts w:ascii="Tahoma"/>
          <w:sz w:val="20"/>
        </w:rPr>
      </w:pPr>
    </w:p>
    <w:p w14:paraId="19ECE859" w14:textId="77777777" w:rsidR="00084F36" w:rsidRPr="00EB2BD8" w:rsidRDefault="00084F36">
      <w:pPr>
        <w:pStyle w:val="BodyText"/>
        <w:rPr>
          <w:rFonts w:ascii="Tahoma"/>
          <w:b/>
          <w:sz w:val="20"/>
        </w:rPr>
      </w:pPr>
    </w:p>
    <w:p w14:paraId="309A4CCA" w14:textId="1C4338A2" w:rsidR="00084F36" w:rsidRPr="00EB2BD8" w:rsidRDefault="00EB2BD8" w:rsidP="00CF2B5C">
      <w:pPr>
        <w:pStyle w:val="Heading1"/>
      </w:pPr>
      <w:bookmarkStart w:id="182" w:name="_Toc150762484"/>
      <w:r w:rsidRPr="00EB2BD8">
        <w:rPr>
          <w:w w:val="90"/>
        </w:rPr>
        <w:t>5/</w:t>
      </w:r>
      <w:bookmarkEnd w:id="182"/>
    </w:p>
    <w:p w14:paraId="2A80AC8A" w14:textId="77777777" w:rsidR="00084F36" w:rsidRPr="00EB2BD8" w:rsidRDefault="00EB2BD8" w:rsidP="00CF2B5C">
      <w:pPr>
        <w:pStyle w:val="Heading1"/>
      </w:pPr>
      <w:bookmarkStart w:id="183" w:name="_Toc150762485"/>
      <w:r w:rsidRPr="00EB2BD8">
        <w:t>Disclosures</w:t>
      </w:r>
      <w:bookmarkEnd w:id="183"/>
    </w:p>
    <w:p w14:paraId="2567E4BB" w14:textId="77777777" w:rsidR="00084F36" w:rsidRPr="00EB2BD8" w:rsidRDefault="00084F36">
      <w:pPr>
        <w:pStyle w:val="BodyText"/>
        <w:rPr>
          <w:rFonts w:ascii="Tahoma"/>
          <w:b/>
          <w:sz w:val="20"/>
        </w:rPr>
      </w:pPr>
    </w:p>
    <w:p w14:paraId="1DBE8F0F" w14:textId="77777777" w:rsidR="00084F36" w:rsidRPr="00EB2BD8" w:rsidRDefault="00084F36">
      <w:pPr>
        <w:pStyle w:val="BodyText"/>
        <w:rPr>
          <w:rFonts w:ascii="Tahoma"/>
          <w:b/>
          <w:sz w:val="20"/>
        </w:rPr>
      </w:pPr>
    </w:p>
    <w:p w14:paraId="328303F9" w14:textId="77777777" w:rsidR="00084F36" w:rsidRPr="00EB2BD8" w:rsidRDefault="00084F36">
      <w:pPr>
        <w:pStyle w:val="BodyText"/>
        <w:rPr>
          <w:rFonts w:ascii="Tahoma"/>
          <w:b/>
          <w:sz w:val="20"/>
        </w:rPr>
      </w:pPr>
    </w:p>
    <w:p w14:paraId="673C32E8" w14:textId="77777777" w:rsidR="00084F36" w:rsidRPr="00EB2BD8" w:rsidRDefault="00084F36">
      <w:pPr>
        <w:pStyle w:val="BodyText"/>
        <w:rPr>
          <w:rFonts w:ascii="Tahoma"/>
          <w:b/>
          <w:sz w:val="20"/>
        </w:rPr>
      </w:pPr>
    </w:p>
    <w:p w14:paraId="0B79EB1E" w14:textId="77777777" w:rsidR="00084F36" w:rsidRPr="00EB2BD8" w:rsidRDefault="00084F36">
      <w:pPr>
        <w:pStyle w:val="BodyText"/>
        <w:rPr>
          <w:rFonts w:ascii="Tahoma"/>
          <w:b/>
          <w:sz w:val="20"/>
        </w:rPr>
      </w:pPr>
    </w:p>
    <w:p w14:paraId="5F3D8289" w14:textId="77777777" w:rsidR="00084F36" w:rsidRPr="00EB2BD8" w:rsidRDefault="00084F36">
      <w:pPr>
        <w:pStyle w:val="BodyText"/>
        <w:rPr>
          <w:rFonts w:ascii="Tahoma"/>
          <w:b/>
          <w:sz w:val="20"/>
        </w:rPr>
      </w:pPr>
    </w:p>
    <w:p w14:paraId="55C5BB27" w14:textId="77777777" w:rsidR="00084F36" w:rsidRPr="00EB2BD8" w:rsidRDefault="00084F36">
      <w:pPr>
        <w:pStyle w:val="BodyText"/>
        <w:rPr>
          <w:rFonts w:ascii="Tahoma"/>
          <w:b/>
          <w:sz w:val="20"/>
        </w:rPr>
      </w:pPr>
    </w:p>
    <w:p w14:paraId="1DA9AAE6" w14:textId="77777777" w:rsidR="00084F36" w:rsidRPr="00EB2BD8" w:rsidRDefault="00084F36">
      <w:pPr>
        <w:pStyle w:val="BodyText"/>
        <w:rPr>
          <w:rFonts w:ascii="Tahoma"/>
          <w:b/>
          <w:sz w:val="20"/>
        </w:rPr>
      </w:pPr>
    </w:p>
    <w:p w14:paraId="110E0A55" w14:textId="77777777" w:rsidR="00084F36" w:rsidRPr="00EB2BD8" w:rsidRDefault="00084F36">
      <w:pPr>
        <w:pStyle w:val="BodyText"/>
        <w:rPr>
          <w:rFonts w:ascii="Tahoma"/>
          <w:b/>
          <w:sz w:val="20"/>
        </w:rPr>
      </w:pPr>
    </w:p>
    <w:p w14:paraId="62AF0B03" w14:textId="77777777" w:rsidR="00084F36" w:rsidRPr="00EB2BD8" w:rsidRDefault="00084F36">
      <w:pPr>
        <w:pStyle w:val="BodyText"/>
        <w:rPr>
          <w:rFonts w:ascii="Tahoma"/>
          <w:b/>
          <w:sz w:val="20"/>
        </w:rPr>
      </w:pPr>
    </w:p>
    <w:p w14:paraId="70464B67" w14:textId="77777777" w:rsidR="00084F36" w:rsidRPr="00EB2BD8" w:rsidRDefault="00084F36">
      <w:pPr>
        <w:pStyle w:val="BodyText"/>
        <w:rPr>
          <w:rFonts w:ascii="Tahoma"/>
          <w:b/>
          <w:sz w:val="20"/>
        </w:rPr>
      </w:pPr>
    </w:p>
    <w:p w14:paraId="53C79C0A" w14:textId="77777777" w:rsidR="00084F36" w:rsidRPr="00EB2BD8" w:rsidRDefault="00084F36">
      <w:pPr>
        <w:pStyle w:val="BodyText"/>
        <w:rPr>
          <w:rFonts w:ascii="Tahoma"/>
          <w:b/>
          <w:sz w:val="20"/>
        </w:rPr>
      </w:pPr>
    </w:p>
    <w:p w14:paraId="2BB9FB95" w14:textId="77777777" w:rsidR="00084F36" w:rsidRPr="00EB2BD8" w:rsidRDefault="00084F36">
      <w:pPr>
        <w:pStyle w:val="BodyText"/>
        <w:rPr>
          <w:rFonts w:ascii="Tahoma"/>
          <w:b/>
          <w:sz w:val="20"/>
        </w:rPr>
      </w:pPr>
    </w:p>
    <w:p w14:paraId="18F555B4" w14:textId="77777777" w:rsidR="00084F36" w:rsidRPr="00EB2BD8" w:rsidRDefault="00084F36">
      <w:pPr>
        <w:pStyle w:val="BodyText"/>
        <w:rPr>
          <w:rFonts w:ascii="Tahoma"/>
          <w:b/>
          <w:sz w:val="20"/>
        </w:rPr>
      </w:pPr>
    </w:p>
    <w:p w14:paraId="16E59450" w14:textId="77777777" w:rsidR="00084F36" w:rsidRPr="00EB2BD8" w:rsidRDefault="00084F36">
      <w:pPr>
        <w:pStyle w:val="BodyText"/>
        <w:rPr>
          <w:rFonts w:ascii="Tahoma"/>
          <w:b/>
          <w:sz w:val="20"/>
        </w:rPr>
      </w:pPr>
    </w:p>
    <w:p w14:paraId="00778434" w14:textId="77777777" w:rsidR="00084F36" w:rsidRPr="00EB2BD8" w:rsidRDefault="00084F36">
      <w:pPr>
        <w:pStyle w:val="BodyText"/>
        <w:rPr>
          <w:rFonts w:ascii="Tahoma"/>
          <w:b/>
          <w:sz w:val="20"/>
        </w:rPr>
      </w:pPr>
    </w:p>
    <w:p w14:paraId="041768C8" w14:textId="77777777" w:rsidR="00084F36" w:rsidRPr="00EB2BD8" w:rsidRDefault="00084F36">
      <w:pPr>
        <w:pStyle w:val="BodyText"/>
        <w:rPr>
          <w:rFonts w:ascii="Tahoma"/>
          <w:b/>
          <w:sz w:val="20"/>
        </w:rPr>
      </w:pPr>
    </w:p>
    <w:p w14:paraId="111B6261" w14:textId="77777777" w:rsidR="00084F36" w:rsidRPr="00EB2BD8" w:rsidRDefault="00084F36">
      <w:pPr>
        <w:pStyle w:val="BodyText"/>
        <w:rPr>
          <w:rFonts w:ascii="Tahoma"/>
          <w:b/>
          <w:sz w:val="20"/>
        </w:rPr>
      </w:pPr>
    </w:p>
    <w:p w14:paraId="6299D82B" w14:textId="77777777" w:rsidR="00084F36" w:rsidRPr="00EB2BD8" w:rsidRDefault="00084F36">
      <w:pPr>
        <w:pStyle w:val="BodyText"/>
        <w:rPr>
          <w:rFonts w:ascii="Tahoma"/>
          <w:b/>
          <w:sz w:val="20"/>
        </w:rPr>
      </w:pPr>
    </w:p>
    <w:p w14:paraId="4306DBA5" w14:textId="77777777" w:rsidR="00084F36" w:rsidRPr="00EB2BD8" w:rsidRDefault="00084F36">
      <w:pPr>
        <w:pStyle w:val="BodyText"/>
        <w:rPr>
          <w:rFonts w:ascii="Tahoma"/>
          <w:b/>
          <w:sz w:val="20"/>
        </w:rPr>
      </w:pPr>
    </w:p>
    <w:p w14:paraId="792515D1" w14:textId="77777777" w:rsidR="00084F36" w:rsidRPr="00EB2BD8" w:rsidRDefault="00084F36">
      <w:pPr>
        <w:pStyle w:val="BodyText"/>
        <w:rPr>
          <w:rFonts w:ascii="Tahoma"/>
          <w:b/>
          <w:sz w:val="20"/>
        </w:rPr>
      </w:pPr>
    </w:p>
    <w:p w14:paraId="1EC2DAB4" w14:textId="77777777" w:rsidR="00084F36" w:rsidRPr="00EB2BD8" w:rsidRDefault="00084F36">
      <w:pPr>
        <w:pStyle w:val="BodyText"/>
        <w:rPr>
          <w:rFonts w:ascii="Tahoma"/>
          <w:b/>
          <w:sz w:val="20"/>
        </w:rPr>
      </w:pPr>
    </w:p>
    <w:p w14:paraId="344CF4E5" w14:textId="77777777" w:rsidR="00084F36" w:rsidRPr="00EB2BD8" w:rsidRDefault="00084F36">
      <w:pPr>
        <w:pStyle w:val="BodyText"/>
        <w:rPr>
          <w:rFonts w:ascii="Tahoma"/>
          <w:b/>
          <w:sz w:val="20"/>
        </w:rPr>
      </w:pPr>
    </w:p>
    <w:p w14:paraId="075BD64D" w14:textId="77777777" w:rsidR="00084F36" w:rsidRPr="00EB2BD8" w:rsidRDefault="00084F36">
      <w:pPr>
        <w:pStyle w:val="BodyText"/>
        <w:rPr>
          <w:rFonts w:ascii="Tahoma"/>
          <w:b/>
          <w:sz w:val="20"/>
        </w:rPr>
      </w:pPr>
    </w:p>
    <w:p w14:paraId="69390B08" w14:textId="77777777" w:rsidR="00084F36" w:rsidRPr="00EB2BD8" w:rsidRDefault="00084F36">
      <w:pPr>
        <w:pStyle w:val="BodyText"/>
        <w:rPr>
          <w:rFonts w:ascii="Tahoma"/>
          <w:b/>
          <w:sz w:val="20"/>
        </w:rPr>
      </w:pPr>
    </w:p>
    <w:p w14:paraId="4C69218D" w14:textId="77777777" w:rsidR="00084F36" w:rsidRPr="00EB2BD8" w:rsidRDefault="00084F36">
      <w:pPr>
        <w:pStyle w:val="BodyText"/>
        <w:rPr>
          <w:rFonts w:ascii="Tahoma"/>
          <w:b/>
          <w:sz w:val="20"/>
        </w:rPr>
      </w:pPr>
    </w:p>
    <w:p w14:paraId="7838EA6C" w14:textId="77777777" w:rsidR="00084F36" w:rsidRPr="00EB2BD8" w:rsidRDefault="00084F36">
      <w:pPr>
        <w:pStyle w:val="BodyText"/>
        <w:rPr>
          <w:rFonts w:ascii="Tahoma"/>
          <w:b/>
          <w:sz w:val="20"/>
        </w:rPr>
      </w:pPr>
    </w:p>
    <w:p w14:paraId="3A862706" w14:textId="77777777" w:rsidR="00084F36" w:rsidRPr="00EB2BD8" w:rsidRDefault="00084F36">
      <w:pPr>
        <w:pStyle w:val="BodyText"/>
        <w:rPr>
          <w:rFonts w:ascii="Tahoma"/>
          <w:b/>
          <w:sz w:val="20"/>
        </w:rPr>
      </w:pPr>
    </w:p>
    <w:p w14:paraId="4793D956" w14:textId="77777777" w:rsidR="00084F36" w:rsidRPr="00EB2BD8" w:rsidRDefault="00084F36">
      <w:pPr>
        <w:pStyle w:val="BodyText"/>
        <w:rPr>
          <w:rFonts w:ascii="Tahoma"/>
          <w:b/>
          <w:sz w:val="20"/>
        </w:rPr>
      </w:pPr>
    </w:p>
    <w:p w14:paraId="0E058F03" w14:textId="77777777" w:rsidR="00084F36" w:rsidRPr="00EB2BD8" w:rsidRDefault="00084F36">
      <w:pPr>
        <w:pStyle w:val="BodyText"/>
        <w:rPr>
          <w:rFonts w:ascii="Tahoma"/>
          <w:b/>
          <w:sz w:val="20"/>
        </w:rPr>
      </w:pPr>
    </w:p>
    <w:p w14:paraId="064C269B" w14:textId="77777777" w:rsidR="00084F36" w:rsidRPr="00EB2BD8" w:rsidRDefault="00084F36">
      <w:pPr>
        <w:pStyle w:val="BodyText"/>
        <w:rPr>
          <w:rFonts w:ascii="Tahoma"/>
          <w:b/>
          <w:sz w:val="20"/>
        </w:rPr>
      </w:pPr>
    </w:p>
    <w:p w14:paraId="3271CAD9" w14:textId="77777777" w:rsidR="00084F36" w:rsidRPr="00EB2BD8" w:rsidRDefault="00084F36">
      <w:pPr>
        <w:pStyle w:val="BodyText"/>
        <w:rPr>
          <w:rFonts w:ascii="Tahoma"/>
          <w:b/>
          <w:sz w:val="20"/>
        </w:rPr>
      </w:pPr>
    </w:p>
    <w:p w14:paraId="527FA5B2" w14:textId="77777777" w:rsidR="00084F36" w:rsidRPr="00EB2BD8" w:rsidRDefault="00084F36">
      <w:pPr>
        <w:pStyle w:val="BodyText"/>
        <w:rPr>
          <w:rFonts w:ascii="Tahoma"/>
          <w:b/>
          <w:sz w:val="20"/>
        </w:rPr>
      </w:pPr>
    </w:p>
    <w:p w14:paraId="060486B8" w14:textId="77777777" w:rsidR="00084F36" w:rsidRPr="00EB2BD8" w:rsidRDefault="00084F36">
      <w:pPr>
        <w:pStyle w:val="BodyText"/>
        <w:rPr>
          <w:rFonts w:ascii="Tahoma"/>
          <w:b/>
          <w:sz w:val="20"/>
        </w:rPr>
      </w:pPr>
    </w:p>
    <w:p w14:paraId="76B0E747" w14:textId="77777777" w:rsidR="00084F36" w:rsidRPr="00EB2BD8" w:rsidRDefault="00084F36">
      <w:pPr>
        <w:pStyle w:val="BodyText"/>
        <w:rPr>
          <w:rFonts w:ascii="Tahoma"/>
          <w:b/>
          <w:sz w:val="20"/>
        </w:rPr>
      </w:pPr>
    </w:p>
    <w:p w14:paraId="7BA595F6" w14:textId="77777777" w:rsidR="00084F36" w:rsidRPr="00EB2BD8" w:rsidRDefault="00084F36">
      <w:pPr>
        <w:pStyle w:val="BodyText"/>
        <w:rPr>
          <w:rFonts w:ascii="Tahoma"/>
          <w:b/>
          <w:sz w:val="20"/>
        </w:rPr>
      </w:pPr>
    </w:p>
    <w:p w14:paraId="1A76F249" w14:textId="77777777" w:rsidR="00084F36" w:rsidRPr="00EB2BD8" w:rsidRDefault="00084F36">
      <w:pPr>
        <w:pStyle w:val="BodyText"/>
        <w:rPr>
          <w:rFonts w:ascii="Tahoma"/>
          <w:b/>
          <w:sz w:val="20"/>
        </w:rPr>
      </w:pPr>
    </w:p>
    <w:p w14:paraId="60398DFE" w14:textId="77777777" w:rsidR="00084F36" w:rsidRPr="00EB2BD8" w:rsidRDefault="00084F36">
      <w:pPr>
        <w:pStyle w:val="BodyText"/>
        <w:rPr>
          <w:rFonts w:ascii="Tahoma"/>
          <w:b/>
          <w:sz w:val="20"/>
        </w:rPr>
      </w:pPr>
    </w:p>
    <w:p w14:paraId="1B094150" w14:textId="77777777" w:rsidR="00084F36" w:rsidRPr="00EB2BD8" w:rsidRDefault="00084F36">
      <w:pPr>
        <w:pStyle w:val="BodyText"/>
        <w:rPr>
          <w:rFonts w:ascii="Tahoma"/>
          <w:b/>
          <w:sz w:val="20"/>
        </w:rPr>
      </w:pPr>
    </w:p>
    <w:p w14:paraId="4D1B4D17" w14:textId="77777777" w:rsidR="00084F36" w:rsidRPr="00EB2BD8" w:rsidRDefault="00084F36">
      <w:pPr>
        <w:pStyle w:val="BodyText"/>
        <w:rPr>
          <w:rFonts w:ascii="Tahoma"/>
          <w:b/>
          <w:sz w:val="20"/>
        </w:rPr>
      </w:pPr>
    </w:p>
    <w:p w14:paraId="2B693995" w14:textId="77777777" w:rsidR="00084F36" w:rsidRPr="00EB2BD8" w:rsidRDefault="00084F36">
      <w:pPr>
        <w:pStyle w:val="BodyText"/>
        <w:rPr>
          <w:rFonts w:ascii="Tahoma"/>
          <w:b/>
          <w:sz w:val="20"/>
        </w:rPr>
      </w:pPr>
    </w:p>
    <w:p w14:paraId="7ED2D4E1" w14:textId="77777777" w:rsidR="00084F36" w:rsidRPr="00EB2BD8" w:rsidRDefault="00084F36">
      <w:pPr>
        <w:pStyle w:val="BodyText"/>
        <w:rPr>
          <w:rFonts w:ascii="Tahoma"/>
          <w:b/>
          <w:sz w:val="20"/>
        </w:rPr>
      </w:pPr>
    </w:p>
    <w:p w14:paraId="793DAE13" w14:textId="77777777" w:rsidR="00084F36" w:rsidRPr="00EB2BD8" w:rsidRDefault="00084F36">
      <w:pPr>
        <w:pStyle w:val="BodyText"/>
        <w:rPr>
          <w:rFonts w:ascii="Tahoma"/>
          <w:b/>
          <w:sz w:val="20"/>
        </w:rPr>
      </w:pPr>
    </w:p>
    <w:p w14:paraId="4E4C164C" w14:textId="77777777" w:rsidR="00084F36" w:rsidRPr="00EB2BD8" w:rsidRDefault="00084F36">
      <w:pPr>
        <w:pStyle w:val="BodyText"/>
        <w:rPr>
          <w:rFonts w:ascii="Tahoma"/>
          <w:b/>
          <w:sz w:val="20"/>
        </w:rPr>
      </w:pPr>
    </w:p>
    <w:p w14:paraId="58004424" w14:textId="77777777" w:rsidR="00084F36" w:rsidRPr="00EB2BD8" w:rsidRDefault="00084F36">
      <w:pPr>
        <w:pStyle w:val="BodyText"/>
        <w:rPr>
          <w:rFonts w:ascii="Tahoma"/>
          <w:b/>
          <w:sz w:val="20"/>
        </w:rPr>
      </w:pPr>
    </w:p>
    <w:p w14:paraId="1D42ED73" w14:textId="77777777" w:rsidR="00084F36" w:rsidRPr="00EB2BD8" w:rsidRDefault="00084F36">
      <w:pPr>
        <w:pStyle w:val="BodyText"/>
        <w:rPr>
          <w:rFonts w:ascii="Tahoma"/>
          <w:b/>
          <w:sz w:val="20"/>
        </w:rPr>
      </w:pPr>
    </w:p>
    <w:p w14:paraId="2B9C1C7C" w14:textId="77777777" w:rsidR="00084F36" w:rsidRPr="00EB2BD8" w:rsidRDefault="00084F36">
      <w:pPr>
        <w:pStyle w:val="BodyText"/>
        <w:rPr>
          <w:rFonts w:ascii="Tahoma"/>
          <w:b/>
          <w:sz w:val="20"/>
        </w:rPr>
      </w:pPr>
    </w:p>
    <w:p w14:paraId="1EFD945F" w14:textId="77777777" w:rsidR="00084F36" w:rsidRDefault="00084F36">
      <w:pPr>
        <w:pStyle w:val="BodyText"/>
        <w:spacing w:before="8"/>
        <w:rPr>
          <w:rFonts w:ascii="Tahoma"/>
          <w:b/>
        </w:rPr>
      </w:pPr>
    </w:p>
    <w:p w14:paraId="6F3B13EF" w14:textId="77777777" w:rsidR="00B83018" w:rsidRDefault="00B83018">
      <w:pPr>
        <w:pStyle w:val="BodyText"/>
        <w:spacing w:before="8"/>
        <w:rPr>
          <w:rFonts w:ascii="Tahoma"/>
          <w:b/>
        </w:rPr>
      </w:pPr>
    </w:p>
    <w:p w14:paraId="2843E964" w14:textId="77777777" w:rsidR="00B83018" w:rsidRDefault="00B83018">
      <w:pPr>
        <w:pStyle w:val="BodyText"/>
        <w:spacing w:before="8"/>
        <w:rPr>
          <w:rFonts w:ascii="Tahoma"/>
          <w:b/>
        </w:rPr>
      </w:pPr>
    </w:p>
    <w:p w14:paraId="28740A09" w14:textId="77777777" w:rsidR="00B83018" w:rsidRDefault="00B83018">
      <w:pPr>
        <w:pStyle w:val="BodyText"/>
        <w:spacing w:before="8"/>
        <w:rPr>
          <w:rFonts w:ascii="Tahoma"/>
          <w:b/>
        </w:rPr>
      </w:pPr>
    </w:p>
    <w:p w14:paraId="6B30340C" w14:textId="77777777" w:rsidR="00B83018" w:rsidRPr="00EB2BD8" w:rsidRDefault="00B83018">
      <w:pPr>
        <w:pStyle w:val="BodyText"/>
        <w:spacing w:before="8"/>
        <w:rPr>
          <w:rFonts w:ascii="Tahoma"/>
          <w:b/>
        </w:rPr>
      </w:pPr>
    </w:p>
    <w:p w14:paraId="0131B364" w14:textId="36A6EBA6" w:rsidR="00084F36" w:rsidRPr="00EB2BD8" w:rsidRDefault="00084F36">
      <w:pPr>
        <w:ind w:right="888"/>
        <w:jc w:val="right"/>
        <w:rPr>
          <w:sz w:val="16"/>
        </w:rPr>
      </w:pPr>
    </w:p>
    <w:p w14:paraId="6ABBC39D" w14:textId="77777777" w:rsidR="00084F36" w:rsidRPr="00EB2BD8" w:rsidRDefault="00084F36">
      <w:pPr>
        <w:jc w:val="right"/>
        <w:rPr>
          <w:sz w:val="16"/>
        </w:rPr>
        <w:sectPr w:rsidR="00084F36" w:rsidRPr="00EB2BD8" w:rsidSect="006D75B2">
          <w:headerReference w:type="default" r:id="rId200"/>
          <w:footerReference w:type="default" r:id="rId201"/>
          <w:pgSz w:w="11910" w:h="16840"/>
          <w:pgMar w:top="0" w:right="0" w:bottom="280" w:left="0" w:header="0" w:footer="0" w:gutter="0"/>
          <w:cols w:space="720"/>
        </w:sectPr>
      </w:pPr>
    </w:p>
    <w:p w14:paraId="404C5865" w14:textId="2B43605E" w:rsidR="00084F36" w:rsidRPr="00EB2BD8" w:rsidRDefault="00084F36">
      <w:pPr>
        <w:pStyle w:val="BodyText"/>
        <w:rPr>
          <w:sz w:val="20"/>
        </w:rPr>
      </w:pPr>
    </w:p>
    <w:p w14:paraId="4BE7F162" w14:textId="7B78CDE5" w:rsidR="00084F36" w:rsidRPr="00EB2BD8" w:rsidRDefault="00084F36">
      <w:pPr>
        <w:pStyle w:val="BodyText"/>
        <w:rPr>
          <w:sz w:val="20"/>
        </w:rPr>
      </w:pPr>
    </w:p>
    <w:p w14:paraId="1C241C83" w14:textId="77777777" w:rsidR="00084F36" w:rsidRPr="00EB2BD8" w:rsidRDefault="00084F36">
      <w:pPr>
        <w:pStyle w:val="BodyText"/>
        <w:rPr>
          <w:sz w:val="20"/>
        </w:rPr>
      </w:pPr>
    </w:p>
    <w:p w14:paraId="30669440" w14:textId="77777777" w:rsidR="00084F36" w:rsidRPr="00EB2BD8" w:rsidRDefault="00084F36">
      <w:pPr>
        <w:pStyle w:val="BodyText"/>
        <w:rPr>
          <w:sz w:val="20"/>
        </w:rPr>
      </w:pPr>
    </w:p>
    <w:p w14:paraId="6A5219BD" w14:textId="77777777" w:rsidR="00084F36" w:rsidRPr="00EB2BD8" w:rsidRDefault="00084F36">
      <w:pPr>
        <w:pStyle w:val="BodyText"/>
        <w:spacing w:before="4"/>
        <w:rPr>
          <w:sz w:val="16"/>
        </w:rPr>
      </w:pPr>
    </w:p>
    <w:p w14:paraId="6AB2543B" w14:textId="77777777" w:rsidR="00084F36" w:rsidRPr="00EB2BD8" w:rsidRDefault="00084F36">
      <w:pPr>
        <w:rPr>
          <w:sz w:val="16"/>
        </w:rPr>
        <w:sectPr w:rsidR="00084F36" w:rsidRPr="00EB2BD8" w:rsidSect="006D75B2">
          <w:headerReference w:type="even" r:id="rId202"/>
          <w:headerReference w:type="default" r:id="rId203"/>
          <w:footerReference w:type="even" r:id="rId204"/>
          <w:footerReference w:type="default" r:id="rId205"/>
          <w:pgSz w:w="11910" w:h="16840"/>
          <w:pgMar w:top="1100" w:right="0" w:bottom="700" w:left="0" w:header="0" w:footer="515" w:gutter="0"/>
          <w:pgNumType w:start="74"/>
          <w:cols w:space="720"/>
        </w:sectPr>
      </w:pPr>
    </w:p>
    <w:p w14:paraId="56563CD7" w14:textId="77777777" w:rsidR="00084F36" w:rsidRPr="00EB2BD8" w:rsidRDefault="00EB2BD8">
      <w:pPr>
        <w:pStyle w:val="Heading5"/>
        <w:spacing w:before="85"/>
      </w:pPr>
      <w:r w:rsidRPr="00EB2BD8">
        <w:rPr>
          <w:spacing w:val="-2"/>
        </w:rPr>
        <w:t>Disclosures</w:t>
      </w:r>
    </w:p>
    <w:p w14:paraId="4568E30A" w14:textId="77777777" w:rsidR="00084F36" w:rsidRPr="00EB2BD8" w:rsidRDefault="00084F36">
      <w:pPr>
        <w:pStyle w:val="BodyText"/>
        <w:spacing w:before="2"/>
        <w:rPr>
          <w:rFonts w:ascii="Tahoma"/>
          <w:b/>
          <w:sz w:val="56"/>
        </w:rPr>
      </w:pPr>
    </w:p>
    <w:p w14:paraId="63DAD5CA" w14:textId="77777777" w:rsidR="00084F36" w:rsidRPr="00CF2B5C" w:rsidRDefault="00EB2BD8" w:rsidP="00CF2B5C">
      <w:pPr>
        <w:pStyle w:val="Heading2"/>
      </w:pPr>
      <w:bookmarkStart w:id="184" w:name="_Toc150762486"/>
      <w:r w:rsidRPr="00CF2B5C">
        <w:t>Local Jobs First</w:t>
      </w:r>
      <w:bookmarkEnd w:id="184"/>
    </w:p>
    <w:p w14:paraId="5D489A72" w14:textId="77777777" w:rsidR="00084F36" w:rsidRPr="00EB2BD8" w:rsidRDefault="00EB2BD8">
      <w:pPr>
        <w:pStyle w:val="BodyText"/>
        <w:spacing w:before="169" w:line="261" w:lineRule="auto"/>
        <w:ind w:left="850"/>
      </w:pPr>
      <w:r w:rsidRPr="00EB2BD8">
        <w:t>No VBA procurement activities or projects were undertaken at or above the respective expenditure disclosure</w:t>
      </w:r>
      <w:r w:rsidRPr="00EB2BD8">
        <w:rPr>
          <w:spacing w:val="-5"/>
        </w:rPr>
        <w:t xml:space="preserve"> </w:t>
      </w:r>
      <w:r w:rsidRPr="00EB2BD8">
        <w:t>thresholds</w:t>
      </w:r>
      <w:r w:rsidRPr="00EB2BD8">
        <w:rPr>
          <w:spacing w:val="-5"/>
        </w:rPr>
        <w:t xml:space="preserve"> </w:t>
      </w:r>
      <w:r w:rsidRPr="00EB2BD8">
        <w:t>identified</w:t>
      </w:r>
      <w:r w:rsidRPr="00EB2BD8">
        <w:rPr>
          <w:spacing w:val="-5"/>
        </w:rPr>
        <w:t xml:space="preserve"> </w:t>
      </w:r>
      <w:r w:rsidRPr="00EB2BD8">
        <w:t>in</w:t>
      </w:r>
      <w:r w:rsidRPr="00EB2BD8">
        <w:rPr>
          <w:spacing w:val="-5"/>
        </w:rPr>
        <w:t xml:space="preserve"> </w:t>
      </w:r>
      <w:r w:rsidRPr="00EB2BD8">
        <w:t>the</w:t>
      </w:r>
      <w:r w:rsidRPr="00EB2BD8">
        <w:rPr>
          <w:spacing w:val="-5"/>
        </w:rPr>
        <w:t xml:space="preserve"> </w:t>
      </w:r>
      <w:r w:rsidRPr="00EB2BD8">
        <w:t>Local</w:t>
      </w:r>
      <w:r w:rsidRPr="00EB2BD8">
        <w:rPr>
          <w:spacing w:val="-5"/>
        </w:rPr>
        <w:t xml:space="preserve"> </w:t>
      </w:r>
      <w:r w:rsidRPr="00EB2BD8">
        <w:t>Jobs</w:t>
      </w:r>
      <w:r w:rsidRPr="00EB2BD8">
        <w:rPr>
          <w:spacing w:val="-5"/>
        </w:rPr>
        <w:t xml:space="preserve"> </w:t>
      </w:r>
      <w:r w:rsidRPr="00EB2BD8">
        <w:t xml:space="preserve">First </w:t>
      </w:r>
      <w:r w:rsidRPr="00EB2BD8">
        <w:rPr>
          <w:spacing w:val="-2"/>
        </w:rPr>
        <w:t>policy.</w:t>
      </w:r>
    </w:p>
    <w:p w14:paraId="4559EF1D" w14:textId="77777777" w:rsidR="00084F36" w:rsidRPr="00EB2BD8" w:rsidRDefault="00084F36">
      <w:pPr>
        <w:pStyle w:val="BodyText"/>
        <w:spacing w:before="4"/>
        <w:rPr>
          <w:sz w:val="23"/>
        </w:rPr>
      </w:pPr>
    </w:p>
    <w:p w14:paraId="2637145D" w14:textId="77777777" w:rsidR="00084F36" w:rsidRPr="00EB2BD8" w:rsidRDefault="00EB2BD8" w:rsidP="00CF2B5C">
      <w:pPr>
        <w:pStyle w:val="Heading2"/>
      </w:pPr>
      <w:bookmarkStart w:id="185" w:name="_Toc150762487"/>
      <w:r w:rsidRPr="00EB2BD8">
        <w:t>Government</w:t>
      </w:r>
      <w:r w:rsidRPr="00EB2BD8">
        <w:rPr>
          <w:spacing w:val="-22"/>
        </w:rPr>
        <w:t xml:space="preserve"> </w:t>
      </w:r>
      <w:r w:rsidRPr="00EB2BD8">
        <w:t xml:space="preserve">advertising </w:t>
      </w:r>
      <w:r w:rsidRPr="00EB2BD8">
        <w:rPr>
          <w:spacing w:val="-2"/>
        </w:rPr>
        <w:t>expenditure</w:t>
      </w:r>
      <w:bookmarkEnd w:id="185"/>
    </w:p>
    <w:p w14:paraId="2A14EBAF" w14:textId="77777777" w:rsidR="00084F36" w:rsidRPr="00EB2BD8" w:rsidRDefault="00EB2BD8">
      <w:pPr>
        <w:pStyle w:val="BodyText"/>
        <w:spacing w:before="174" w:line="261" w:lineRule="auto"/>
        <w:ind w:left="850"/>
      </w:pPr>
      <w:r w:rsidRPr="00EB2BD8">
        <w:t xml:space="preserve">No VBA advertising campaigns were undertaken at or </w:t>
      </w:r>
      <w:r w:rsidRPr="00EB2BD8">
        <w:rPr>
          <w:spacing w:val="-2"/>
        </w:rPr>
        <w:t>above</w:t>
      </w:r>
      <w:r w:rsidRPr="00EB2BD8">
        <w:rPr>
          <w:spacing w:val="-8"/>
        </w:rPr>
        <w:t xml:space="preserve"> </w:t>
      </w:r>
      <w:r w:rsidRPr="00EB2BD8">
        <w:rPr>
          <w:spacing w:val="-2"/>
        </w:rPr>
        <w:t>the</w:t>
      </w:r>
      <w:r w:rsidRPr="00EB2BD8">
        <w:rPr>
          <w:spacing w:val="-8"/>
        </w:rPr>
        <w:t xml:space="preserve"> </w:t>
      </w:r>
      <w:r w:rsidRPr="00EB2BD8">
        <w:rPr>
          <w:spacing w:val="-2"/>
        </w:rPr>
        <w:t>expenditure</w:t>
      </w:r>
      <w:r w:rsidRPr="00EB2BD8">
        <w:rPr>
          <w:spacing w:val="-8"/>
        </w:rPr>
        <w:t xml:space="preserve"> </w:t>
      </w:r>
      <w:r w:rsidRPr="00EB2BD8">
        <w:rPr>
          <w:spacing w:val="-2"/>
        </w:rPr>
        <w:t>disclosure</w:t>
      </w:r>
      <w:r w:rsidRPr="00EB2BD8">
        <w:rPr>
          <w:spacing w:val="-8"/>
        </w:rPr>
        <w:t xml:space="preserve"> </w:t>
      </w:r>
      <w:r w:rsidRPr="00EB2BD8">
        <w:rPr>
          <w:spacing w:val="-2"/>
        </w:rPr>
        <w:t>threshold</w:t>
      </w:r>
      <w:r w:rsidRPr="00EB2BD8">
        <w:rPr>
          <w:spacing w:val="-8"/>
        </w:rPr>
        <w:t xml:space="preserve"> </w:t>
      </w:r>
      <w:r w:rsidRPr="00EB2BD8">
        <w:rPr>
          <w:spacing w:val="-2"/>
        </w:rPr>
        <w:t>of</w:t>
      </w:r>
      <w:r w:rsidRPr="00EB2BD8">
        <w:rPr>
          <w:spacing w:val="-8"/>
        </w:rPr>
        <w:t xml:space="preserve"> </w:t>
      </w:r>
      <w:r w:rsidRPr="00EB2BD8">
        <w:rPr>
          <w:spacing w:val="-2"/>
        </w:rPr>
        <w:t xml:space="preserve">$100,000 </w:t>
      </w:r>
      <w:r w:rsidRPr="00EB2BD8">
        <w:t>for total media spend.</w:t>
      </w:r>
    </w:p>
    <w:p w14:paraId="7FA25F61" w14:textId="77777777" w:rsidR="00084F36" w:rsidRPr="00EB2BD8" w:rsidRDefault="00084F36">
      <w:pPr>
        <w:pStyle w:val="BodyText"/>
        <w:spacing w:before="5"/>
        <w:rPr>
          <w:sz w:val="21"/>
        </w:rPr>
      </w:pPr>
    </w:p>
    <w:p w14:paraId="1331FF08" w14:textId="77777777" w:rsidR="00084F36" w:rsidRPr="00EB2BD8" w:rsidRDefault="00EB2BD8" w:rsidP="00CF2B5C">
      <w:pPr>
        <w:pStyle w:val="Heading2"/>
      </w:pPr>
      <w:bookmarkStart w:id="186" w:name="_Toc150762488"/>
      <w:r w:rsidRPr="00EB2BD8">
        <w:t>Consultancy</w:t>
      </w:r>
      <w:r w:rsidRPr="00EB2BD8">
        <w:rPr>
          <w:spacing w:val="-8"/>
        </w:rPr>
        <w:t xml:space="preserve"> </w:t>
      </w:r>
      <w:r w:rsidRPr="00EB2BD8">
        <w:rPr>
          <w:spacing w:val="-2"/>
        </w:rPr>
        <w:t>expenditure</w:t>
      </w:r>
      <w:bookmarkEnd w:id="186"/>
    </w:p>
    <w:p w14:paraId="3D62B42B" w14:textId="5EAF8789" w:rsidR="00084F36" w:rsidRPr="00EB2BD8" w:rsidRDefault="00EB2BD8" w:rsidP="00CF2B5C">
      <w:pPr>
        <w:pStyle w:val="Heading3"/>
      </w:pPr>
      <w:bookmarkStart w:id="187" w:name="_Toc150762489"/>
      <w:r w:rsidRPr="00EB2BD8">
        <w:t>Details</w:t>
      </w:r>
      <w:r w:rsidRPr="00EB2BD8">
        <w:rPr>
          <w:spacing w:val="-2"/>
        </w:rPr>
        <w:t xml:space="preserve"> </w:t>
      </w:r>
      <w:r w:rsidRPr="00EB2BD8">
        <w:t>of</w:t>
      </w:r>
      <w:r w:rsidRPr="00EB2BD8">
        <w:rPr>
          <w:spacing w:val="-1"/>
        </w:rPr>
        <w:t xml:space="preserve"> </w:t>
      </w:r>
      <w:r w:rsidRPr="00EB2BD8">
        <w:t>consultancies</w:t>
      </w:r>
      <w:r w:rsidRPr="00EB2BD8">
        <w:rPr>
          <w:spacing w:val="-1"/>
        </w:rPr>
        <w:t xml:space="preserve"> </w:t>
      </w:r>
      <w:r w:rsidRPr="00EB2BD8">
        <w:t>valued</w:t>
      </w:r>
      <w:r w:rsidRPr="00EB2BD8">
        <w:rPr>
          <w:spacing w:val="-1"/>
        </w:rPr>
        <w:t xml:space="preserve"> </w:t>
      </w:r>
      <w:r w:rsidRPr="00EB2BD8">
        <w:rPr>
          <w:spacing w:val="-5"/>
        </w:rPr>
        <w:t>at</w:t>
      </w:r>
      <w:r w:rsidR="00CF2B5C">
        <w:t xml:space="preserve"> </w:t>
      </w:r>
      <w:r w:rsidRPr="00EB2BD8">
        <w:rPr>
          <w:w w:val="90"/>
        </w:rPr>
        <w:t>$10,000</w:t>
      </w:r>
      <w:r w:rsidRPr="00EB2BD8">
        <w:rPr>
          <w:spacing w:val="5"/>
        </w:rPr>
        <w:t xml:space="preserve"> </w:t>
      </w:r>
      <w:r w:rsidRPr="00EB2BD8">
        <w:rPr>
          <w:w w:val="90"/>
        </w:rPr>
        <w:t>or</w:t>
      </w:r>
      <w:r w:rsidRPr="00EB2BD8">
        <w:rPr>
          <w:spacing w:val="5"/>
        </w:rPr>
        <w:t xml:space="preserve"> </w:t>
      </w:r>
      <w:r w:rsidRPr="00EB2BD8">
        <w:rPr>
          <w:spacing w:val="-4"/>
          <w:w w:val="90"/>
        </w:rPr>
        <w:t>more</w:t>
      </w:r>
      <w:bookmarkEnd w:id="187"/>
    </w:p>
    <w:p w14:paraId="0EA6AD84" w14:textId="77777777" w:rsidR="00084F36" w:rsidRPr="00EB2BD8" w:rsidRDefault="00EB2BD8">
      <w:pPr>
        <w:pStyle w:val="BodyText"/>
        <w:spacing w:before="178" w:line="261" w:lineRule="auto"/>
        <w:ind w:left="850"/>
      </w:pPr>
      <w:r w:rsidRPr="00EB2BD8">
        <w:rPr>
          <w:spacing w:val="-4"/>
        </w:rPr>
        <w:t>In</w:t>
      </w:r>
      <w:r w:rsidRPr="00EB2BD8">
        <w:rPr>
          <w:spacing w:val="-11"/>
        </w:rPr>
        <w:t xml:space="preserve"> </w:t>
      </w:r>
      <w:r w:rsidRPr="00EB2BD8">
        <w:rPr>
          <w:spacing w:val="-4"/>
        </w:rPr>
        <w:t>2022-23,</w:t>
      </w:r>
      <w:r w:rsidRPr="00EB2BD8">
        <w:rPr>
          <w:spacing w:val="-11"/>
        </w:rPr>
        <w:t xml:space="preserve"> </w:t>
      </w:r>
      <w:r w:rsidRPr="00EB2BD8">
        <w:rPr>
          <w:spacing w:val="-4"/>
        </w:rPr>
        <w:t>the</w:t>
      </w:r>
      <w:r w:rsidRPr="00EB2BD8">
        <w:rPr>
          <w:spacing w:val="-11"/>
        </w:rPr>
        <w:t xml:space="preserve"> </w:t>
      </w:r>
      <w:r w:rsidRPr="00EB2BD8">
        <w:rPr>
          <w:spacing w:val="-4"/>
        </w:rPr>
        <w:t>VBA</w:t>
      </w:r>
      <w:r w:rsidRPr="00EB2BD8">
        <w:rPr>
          <w:spacing w:val="-11"/>
        </w:rPr>
        <w:t xml:space="preserve"> </w:t>
      </w:r>
      <w:r w:rsidRPr="00EB2BD8">
        <w:rPr>
          <w:spacing w:val="-4"/>
        </w:rPr>
        <w:t>paid</w:t>
      </w:r>
      <w:r w:rsidRPr="00EB2BD8">
        <w:rPr>
          <w:spacing w:val="-11"/>
        </w:rPr>
        <w:t xml:space="preserve"> </w:t>
      </w:r>
      <w:r w:rsidRPr="00EB2BD8">
        <w:rPr>
          <w:spacing w:val="-4"/>
        </w:rPr>
        <w:t>$1,490,122</w:t>
      </w:r>
      <w:r w:rsidRPr="00EB2BD8">
        <w:rPr>
          <w:spacing w:val="-11"/>
        </w:rPr>
        <w:t xml:space="preserve"> </w:t>
      </w:r>
      <w:r w:rsidRPr="00EB2BD8">
        <w:rPr>
          <w:spacing w:val="-4"/>
        </w:rPr>
        <w:t>(excl.</w:t>
      </w:r>
      <w:r w:rsidRPr="00EB2BD8">
        <w:rPr>
          <w:spacing w:val="-11"/>
        </w:rPr>
        <w:t xml:space="preserve"> </w:t>
      </w:r>
      <w:r w:rsidRPr="00EB2BD8">
        <w:rPr>
          <w:spacing w:val="-4"/>
        </w:rPr>
        <w:t>GST)</w:t>
      </w:r>
      <w:r w:rsidRPr="00EB2BD8">
        <w:rPr>
          <w:spacing w:val="-11"/>
        </w:rPr>
        <w:t xml:space="preserve"> </w:t>
      </w:r>
      <w:r w:rsidRPr="00EB2BD8">
        <w:rPr>
          <w:spacing w:val="-4"/>
        </w:rPr>
        <w:t>to</w:t>
      </w:r>
      <w:r w:rsidRPr="00EB2BD8">
        <w:rPr>
          <w:spacing w:val="-11"/>
        </w:rPr>
        <w:t xml:space="preserve"> </w:t>
      </w:r>
      <w:r w:rsidRPr="00EB2BD8">
        <w:rPr>
          <w:spacing w:val="-4"/>
        </w:rPr>
        <w:t xml:space="preserve">13 </w:t>
      </w:r>
      <w:r w:rsidRPr="00EB2BD8">
        <w:t>consultancies where fees payable were $10,000 or more.</w:t>
      </w:r>
      <w:r w:rsidRPr="00EB2BD8">
        <w:rPr>
          <w:spacing w:val="-13"/>
        </w:rPr>
        <w:t xml:space="preserve"> </w:t>
      </w:r>
      <w:r w:rsidRPr="00EB2BD8">
        <w:t>Information</w:t>
      </w:r>
      <w:r w:rsidRPr="00EB2BD8">
        <w:rPr>
          <w:spacing w:val="-13"/>
        </w:rPr>
        <w:t xml:space="preserve"> </w:t>
      </w:r>
      <w:r w:rsidRPr="00EB2BD8">
        <w:t>about</w:t>
      </w:r>
      <w:r w:rsidRPr="00EB2BD8">
        <w:rPr>
          <w:spacing w:val="-13"/>
        </w:rPr>
        <w:t xml:space="preserve"> </w:t>
      </w:r>
      <w:r w:rsidRPr="00EB2BD8">
        <w:t>individual</w:t>
      </w:r>
      <w:r w:rsidRPr="00EB2BD8">
        <w:rPr>
          <w:spacing w:val="-13"/>
        </w:rPr>
        <w:t xml:space="preserve"> </w:t>
      </w:r>
      <w:r w:rsidRPr="00EB2BD8">
        <w:t>consultancies</w:t>
      </w:r>
      <w:r w:rsidRPr="00EB2BD8">
        <w:rPr>
          <w:spacing w:val="-13"/>
        </w:rPr>
        <w:t xml:space="preserve"> </w:t>
      </w:r>
      <w:r w:rsidRPr="00EB2BD8">
        <w:t>is</w:t>
      </w:r>
      <w:r w:rsidRPr="00EB2BD8">
        <w:rPr>
          <w:spacing w:val="-13"/>
        </w:rPr>
        <w:t xml:space="preserve"> </w:t>
      </w:r>
      <w:r w:rsidRPr="00EB2BD8">
        <w:t>on the VBA website.</w:t>
      </w:r>
    </w:p>
    <w:p w14:paraId="2B5B648A" w14:textId="77777777" w:rsidR="00084F36" w:rsidRPr="00EB2BD8" w:rsidRDefault="00084F36">
      <w:pPr>
        <w:pStyle w:val="BodyText"/>
        <w:spacing w:before="6"/>
        <w:rPr>
          <w:sz w:val="25"/>
        </w:rPr>
      </w:pPr>
    </w:p>
    <w:p w14:paraId="6C2CD5D3" w14:textId="77777777" w:rsidR="00084F36" w:rsidRPr="00EB2BD8" w:rsidRDefault="00EB2BD8" w:rsidP="00CF2B5C">
      <w:pPr>
        <w:pStyle w:val="Heading3"/>
      </w:pPr>
      <w:bookmarkStart w:id="188" w:name="_Toc150762490"/>
      <w:r w:rsidRPr="00EB2BD8">
        <w:t>Details</w:t>
      </w:r>
      <w:r w:rsidRPr="00EB2BD8">
        <w:rPr>
          <w:spacing w:val="-5"/>
        </w:rPr>
        <w:t xml:space="preserve"> </w:t>
      </w:r>
      <w:r w:rsidRPr="00EB2BD8">
        <w:t>of</w:t>
      </w:r>
      <w:r w:rsidRPr="00EB2BD8">
        <w:rPr>
          <w:spacing w:val="-5"/>
        </w:rPr>
        <w:t xml:space="preserve"> </w:t>
      </w:r>
      <w:r w:rsidRPr="00EB2BD8">
        <w:t>consultancies</w:t>
      </w:r>
      <w:r w:rsidRPr="00EB2BD8">
        <w:rPr>
          <w:spacing w:val="-5"/>
        </w:rPr>
        <w:t xml:space="preserve"> </w:t>
      </w:r>
      <w:r w:rsidRPr="00EB2BD8">
        <w:t>less</w:t>
      </w:r>
      <w:r w:rsidRPr="00EB2BD8">
        <w:rPr>
          <w:spacing w:val="-4"/>
        </w:rPr>
        <w:t xml:space="preserve"> </w:t>
      </w:r>
      <w:r w:rsidRPr="00EB2BD8">
        <w:t>than</w:t>
      </w:r>
      <w:r w:rsidRPr="00EB2BD8">
        <w:rPr>
          <w:spacing w:val="-5"/>
        </w:rPr>
        <w:t xml:space="preserve"> </w:t>
      </w:r>
      <w:r w:rsidRPr="00EB2BD8">
        <w:rPr>
          <w:spacing w:val="-2"/>
        </w:rPr>
        <w:t>$10,000</w:t>
      </w:r>
      <w:bookmarkEnd w:id="188"/>
    </w:p>
    <w:p w14:paraId="0F13FBBD" w14:textId="77777777" w:rsidR="00084F36" w:rsidRPr="00EB2BD8" w:rsidRDefault="00EB2BD8">
      <w:pPr>
        <w:pStyle w:val="BodyText"/>
        <w:spacing w:before="178" w:line="261" w:lineRule="auto"/>
        <w:ind w:left="850"/>
      </w:pPr>
      <w:r w:rsidRPr="00EB2BD8">
        <w:rPr>
          <w:spacing w:val="-4"/>
        </w:rPr>
        <w:t>In</w:t>
      </w:r>
      <w:r w:rsidRPr="00EB2BD8">
        <w:rPr>
          <w:spacing w:val="-11"/>
        </w:rPr>
        <w:t xml:space="preserve"> </w:t>
      </w:r>
      <w:r w:rsidRPr="00EB2BD8">
        <w:rPr>
          <w:spacing w:val="-4"/>
        </w:rPr>
        <w:t>2022–23,</w:t>
      </w:r>
      <w:r w:rsidRPr="00EB2BD8">
        <w:rPr>
          <w:spacing w:val="-11"/>
        </w:rPr>
        <w:t xml:space="preserve"> </w:t>
      </w:r>
      <w:r w:rsidRPr="00EB2BD8">
        <w:rPr>
          <w:spacing w:val="-4"/>
        </w:rPr>
        <w:t>the</w:t>
      </w:r>
      <w:r w:rsidRPr="00EB2BD8">
        <w:rPr>
          <w:spacing w:val="-11"/>
        </w:rPr>
        <w:t xml:space="preserve"> </w:t>
      </w:r>
      <w:r w:rsidRPr="00EB2BD8">
        <w:rPr>
          <w:spacing w:val="-4"/>
        </w:rPr>
        <w:t>VBA</w:t>
      </w:r>
      <w:r w:rsidRPr="00EB2BD8">
        <w:rPr>
          <w:spacing w:val="-11"/>
        </w:rPr>
        <w:t xml:space="preserve"> </w:t>
      </w:r>
      <w:r w:rsidRPr="00EB2BD8">
        <w:rPr>
          <w:spacing w:val="-4"/>
        </w:rPr>
        <w:t>paid</w:t>
      </w:r>
      <w:r w:rsidRPr="00EB2BD8">
        <w:rPr>
          <w:spacing w:val="-11"/>
        </w:rPr>
        <w:t xml:space="preserve"> </w:t>
      </w:r>
      <w:r w:rsidRPr="00EB2BD8">
        <w:rPr>
          <w:spacing w:val="-4"/>
        </w:rPr>
        <w:t>$29,346</w:t>
      </w:r>
      <w:r w:rsidRPr="00EB2BD8">
        <w:rPr>
          <w:spacing w:val="-11"/>
        </w:rPr>
        <w:t xml:space="preserve"> </w:t>
      </w:r>
      <w:r w:rsidRPr="00EB2BD8">
        <w:rPr>
          <w:spacing w:val="-4"/>
        </w:rPr>
        <w:t>(excl.</w:t>
      </w:r>
      <w:r w:rsidRPr="00EB2BD8">
        <w:rPr>
          <w:spacing w:val="-11"/>
        </w:rPr>
        <w:t xml:space="preserve"> </w:t>
      </w:r>
      <w:r w:rsidRPr="00EB2BD8">
        <w:rPr>
          <w:spacing w:val="-4"/>
        </w:rPr>
        <w:t>GST)</w:t>
      </w:r>
      <w:r w:rsidRPr="00EB2BD8">
        <w:rPr>
          <w:spacing w:val="-11"/>
        </w:rPr>
        <w:t xml:space="preserve"> </w:t>
      </w:r>
      <w:r w:rsidRPr="00EB2BD8">
        <w:rPr>
          <w:spacing w:val="-4"/>
        </w:rPr>
        <w:t>to</w:t>
      </w:r>
      <w:r w:rsidRPr="00EB2BD8">
        <w:rPr>
          <w:spacing w:val="-11"/>
        </w:rPr>
        <w:t xml:space="preserve"> </w:t>
      </w:r>
      <w:r w:rsidRPr="00EB2BD8">
        <w:rPr>
          <w:spacing w:val="-4"/>
        </w:rPr>
        <w:t xml:space="preserve">seven </w:t>
      </w:r>
      <w:r w:rsidRPr="00EB2BD8">
        <w:t>consultancies where fees payable were less than</w:t>
      </w:r>
    </w:p>
    <w:p w14:paraId="0CAD2D59" w14:textId="77777777" w:rsidR="00084F36" w:rsidRPr="00EB2BD8" w:rsidRDefault="00EB2BD8">
      <w:pPr>
        <w:pStyle w:val="BodyText"/>
        <w:spacing w:line="210" w:lineRule="exact"/>
        <w:ind w:left="850"/>
      </w:pPr>
      <w:r w:rsidRPr="00EB2BD8">
        <w:rPr>
          <w:spacing w:val="-2"/>
        </w:rPr>
        <w:t>$10,000.</w:t>
      </w:r>
    </w:p>
    <w:p w14:paraId="6AB15ED6" w14:textId="77777777" w:rsidR="00084F36" w:rsidRPr="00EB2BD8" w:rsidRDefault="00084F36">
      <w:pPr>
        <w:pStyle w:val="BodyText"/>
        <w:spacing w:before="2"/>
        <w:rPr>
          <w:sz w:val="23"/>
        </w:rPr>
      </w:pPr>
    </w:p>
    <w:p w14:paraId="319017BA" w14:textId="77777777" w:rsidR="00084F36" w:rsidRPr="00CF2B5C" w:rsidRDefault="00EB2BD8" w:rsidP="00CF2B5C">
      <w:pPr>
        <w:pStyle w:val="Heading2"/>
      </w:pPr>
      <w:bookmarkStart w:id="189" w:name="_Toc150762491"/>
      <w:r w:rsidRPr="00CF2B5C">
        <w:t>Disclosure of major contracts</w:t>
      </w:r>
      <w:bookmarkEnd w:id="189"/>
    </w:p>
    <w:p w14:paraId="7FEB0831" w14:textId="77777777" w:rsidR="00084F36" w:rsidRPr="00EB2BD8" w:rsidRDefault="00EB2BD8">
      <w:pPr>
        <w:pStyle w:val="BodyText"/>
        <w:spacing w:before="168" w:line="261" w:lineRule="auto"/>
        <w:ind w:left="850" w:right="132"/>
      </w:pPr>
      <w:r w:rsidRPr="00EB2BD8">
        <w:t>The</w:t>
      </w:r>
      <w:r w:rsidRPr="00EB2BD8">
        <w:rPr>
          <w:spacing w:val="-7"/>
        </w:rPr>
        <w:t xml:space="preserve"> </w:t>
      </w:r>
      <w:r w:rsidRPr="00EB2BD8">
        <w:t>VBA</w:t>
      </w:r>
      <w:r w:rsidRPr="00EB2BD8">
        <w:rPr>
          <w:spacing w:val="-7"/>
        </w:rPr>
        <w:t xml:space="preserve"> </w:t>
      </w:r>
      <w:r w:rsidRPr="00EB2BD8">
        <w:t>adheres</w:t>
      </w:r>
      <w:r w:rsidRPr="00EB2BD8">
        <w:rPr>
          <w:spacing w:val="-7"/>
        </w:rPr>
        <w:t xml:space="preserve"> </w:t>
      </w:r>
      <w:r w:rsidRPr="00EB2BD8">
        <w:t>to</w:t>
      </w:r>
      <w:r w:rsidRPr="00EB2BD8">
        <w:rPr>
          <w:spacing w:val="-7"/>
        </w:rPr>
        <w:t xml:space="preserve"> </w:t>
      </w:r>
      <w:r w:rsidRPr="00EB2BD8">
        <w:t>the</w:t>
      </w:r>
      <w:r w:rsidRPr="00EB2BD8">
        <w:rPr>
          <w:spacing w:val="-7"/>
        </w:rPr>
        <w:t xml:space="preserve"> </w:t>
      </w:r>
      <w:r w:rsidRPr="00EB2BD8">
        <w:t>Victorian</w:t>
      </w:r>
      <w:r w:rsidRPr="00EB2BD8">
        <w:rPr>
          <w:spacing w:val="-7"/>
        </w:rPr>
        <w:t xml:space="preserve"> </w:t>
      </w:r>
      <w:r w:rsidRPr="00EB2BD8">
        <w:t>government’s</w:t>
      </w:r>
      <w:r w:rsidRPr="00EB2BD8">
        <w:rPr>
          <w:spacing w:val="-7"/>
        </w:rPr>
        <w:t xml:space="preserve"> </w:t>
      </w:r>
      <w:r w:rsidRPr="00EB2BD8">
        <w:t>policy of</w:t>
      </w:r>
      <w:r w:rsidRPr="00EB2BD8">
        <w:rPr>
          <w:spacing w:val="-3"/>
        </w:rPr>
        <w:t xml:space="preserve"> </w:t>
      </w:r>
      <w:r w:rsidRPr="00EB2BD8">
        <w:t>disclosing</w:t>
      </w:r>
      <w:r w:rsidRPr="00EB2BD8">
        <w:rPr>
          <w:spacing w:val="-3"/>
        </w:rPr>
        <w:t xml:space="preserve"> </w:t>
      </w:r>
      <w:r w:rsidRPr="00EB2BD8">
        <w:t>contracts</w:t>
      </w:r>
      <w:r w:rsidRPr="00EB2BD8">
        <w:rPr>
          <w:spacing w:val="-3"/>
        </w:rPr>
        <w:t xml:space="preserve"> </w:t>
      </w:r>
      <w:r w:rsidRPr="00EB2BD8">
        <w:t>worth</w:t>
      </w:r>
      <w:r w:rsidRPr="00EB2BD8">
        <w:rPr>
          <w:spacing w:val="-3"/>
        </w:rPr>
        <w:t xml:space="preserve"> </w:t>
      </w:r>
      <w:r w:rsidRPr="00EB2BD8">
        <w:t>$10</w:t>
      </w:r>
      <w:r w:rsidRPr="00EB2BD8">
        <w:rPr>
          <w:spacing w:val="-3"/>
        </w:rPr>
        <w:t xml:space="preserve"> </w:t>
      </w:r>
      <w:r w:rsidRPr="00EB2BD8">
        <w:t>million</w:t>
      </w:r>
      <w:r w:rsidRPr="00EB2BD8">
        <w:rPr>
          <w:spacing w:val="-3"/>
        </w:rPr>
        <w:t xml:space="preserve"> </w:t>
      </w:r>
      <w:r w:rsidRPr="00EB2BD8">
        <w:t>or</w:t>
      </w:r>
      <w:r w:rsidRPr="00EB2BD8">
        <w:rPr>
          <w:spacing w:val="-3"/>
        </w:rPr>
        <w:t xml:space="preserve"> </w:t>
      </w:r>
      <w:r w:rsidRPr="00EB2BD8">
        <w:t>more,</w:t>
      </w:r>
      <w:r w:rsidRPr="00EB2BD8">
        <w:rPr>
          <w:spacing w:val="-3"/>
        </w:rPr>
        <w:t xml:space="preserve"> </w:t>
      </w:r>
      <w:r w:rsidRPr="00EB2BD8">
        <w:t>in accordance</w:t>
      </w:r>
      <w:r w:rsidRPr="00EB2BD8">
        <w:rPr>
          <w:spacing w:val="-4"/>
        </w:rPr>
        <w:t xml:space="preserve"> </w:t>
      </w:r>
      <w:r w:rsidRPr="00EB2BD8">
        <w:t>with</w:t>
      </w:r>
      <w:r w:rsidRPr="00EB2BD8">
        <w:rPr>
          <w:spacing w:val="-4"/>
        </w:rPr>
        <w:t xml:space="preserve"> </w:t>
      </w:r>
      <w:r w:rsidRPr="00EB2BD8">
        <w:t>the</w:t>
      </w:r>
      <w:r w:rsidRPr="00EB2BD8">
        <w:rPr>
          <w:spacing w:val="-4"/>
        </w:rPr>
        <w:t xml:space="preserve"> </w:t>
      </w:r>
      <w:r w:rsidRPr="00EB2BD8">
        <w:rPr>
          <w:i/>
        </w:rPr>
        <w:t>Financial</w:t>
      </w:r>
      <w:r w:rsidRPr="00EB2BD8">
        <w:rPr>
          <w:i/>
          <w:spacing w:val="-4"/>
        </w:rPr>
        <w:t xml:space="preserve"> </w:t>
      </w:r>
      <w:r w:rsidRPr="00EB2BD8">
        <w:rPr>
          <w:i/>
        </w:rPr>
        <w:t>Management</w:t>
      </w:r>
      <w:r w:rsidRPr="00EB2BD8">
        <w:rPr>
          <w:i/>
          <w:spacing w:val="-4"/>
        </w:rPr>
        <w:t xml:space="preserve"> </w:t>
      </w:r>
      <w:r w:rsidRPr="00EB2BD8">
        <w:rPr>
          <w:i/>
        </w:rPr>
        <w:t>Act</w:t>
      </w:r>
      <w:r w:rsidRPr="00EB2BD8">
        <w:rPr>
          <w:i/>
          <w:spacing w:val="-4"/>
        </w:rPr>
        <w:t xml:space="preserve"> </w:t>
      </w:r>
      <w:r w:rsidRPr="00EB2BD8">
        <w:rPr>
          <w:i/>
        </w:rPr>
        <w:t xml:space="preserve">1994. </w:t>
      </w:r>
      <w:r w:rsidRPr="00EB2BD8">
        <w:rPr>
          <w:spacing w:val="-2"/>
        </w:rPr>
        <w:t>In</w:t>
      </w:r>
      <w:r w:rsidRPr="00EB2BD8">
        <w:rPr>
          <w:spacing w:val="-13"/>
        </w:rPr>
        <w:t xml:space="preserve"> </w:t>
      </w:r>
      <w:r w:rsidRPr="00EB2BD8">
        <w:rPr>
          <w:spacing w:val="-2"/>
        </w:rPr>
        <w:t>2022-23,</w:t>
      </w:r>
      <w:r w:rsidRPr="00EB2BD8">
        <w:rPr>
          <w:spacing w:val="-12"/>
        </w:rPr>
        <w:t xml:space="preserve"> </w:t>
      </w:r>
      <w:r w:rsidRPr="00EB2BD8">
        <w:rPr>
          <w:spacing w:val="-2"/>
        </w:rPr>
        <w:t>the</w:t>
      </w:r>
      <w:r w:rsidRPr="00EB2BD8">
        <w:rPr>
          <w:spacing w:val="-12"/>
        </w:rPr>
        <w:t xml:space="preserve"> </w:t>
      </w:r>
      <w:r w:rsidRPr="00EB2BD8">
        <w:rPr>
          <w:spacing w:val="-2"/>
        </w:rPr>
        <w:t>VBA</w:t>
      </w:r>
      <w:r w:rsidRPr="00EB2BD8">
        <w:rPr>
          <w:spacing w:val="-12"/>
        </w:rPr>
        <w:t xml:space="preserve"> </w:t>
      </w:r>
      <w:r w:rsidRPr="00EB2BD8">
        <w:rPr>
          <w:spacing w:val="-2"/>
        </w:rPr>
        <w:t>had</w:t>
      </w:r>
      <w:r w:rsidRPr="00EB2BD8">
        <w:rPr>
          <w:spacing w:val="-13"/>
        </w:rPr>
        <w:t xml:space="preserve"> </w:t>
      </w:r>
      <w:r w:rsidRPr="00EB2BD8">
        <w:rPr>
          <w:spacing w:val="-2"/>
        </w:rPr>
        <w:t>no</w:t>
      </w:r>
      <w:r w:rsidRPr="00EB2BD8">
        <w:rPr>
          <w:spacing w:val="-12"/>
        </w:rPr>
        <w:t xml:space="preserve"> </w:t>
      </w:r>
      <w:r w:rsidRPr="00EB2BD8">
        <w:rPr>
          <w:spacing w:val="-2"/>
        </w:rPr>
        <w:t>contracts</w:t>
      </w:r>
      <w:r w:rsidRPr="00EB2BD8">
        <w:rPr>
          <w:spacing w:val="-12"/>
        </w:rPr>
        <w:t xml:space="preserve"> </w:t>
      </w:r>
      <w:r w:rsidRPr="00EB2BD8">
        <w:rPr>
          <w:spacing w:val="-2"/>
        </w:rPr>
        <w:t>worth</w:t>
      </w:r>
      <w:r w:rsidRPr="00EB2BD8">
        <w:rPr>
          <w:spacing w:val="-12"/>
        </w:rPr>
        <w:t xml:space="preserve"> </w:t>
      </w:r>
      <w:r w:rsidRPr="00EB2BD8">
        <w:rPr>
          <w:spacing w:val="-2"/>
        </w:rPr>
        <w:t>$10</w:t>
      </w:r>
      <w:r w:rsidRPr="00EB2BD8">
        <w:rPr>
          <w:spacing w:val="-13"/>
        </w:rPr>
        <w:t xml:space="preserve"> </w:t>
      </w:r>
      <w:r w:rsidRPr="00EB2BD8">
        <w:rPr>
          <w:spacing w:val="-2"/>
        </w:rPr>
        <w:t xml:space="preserve">million </w:t>
      </w:r>
      <w:r w:rsidRPr="00EB2BD8">
        <w:t>or</w:t>
      </w:r>
      <w:r w:rsidRPr="00EB2BD8">
        <w:rPr>
          <w:spacing w:val="-6"/>
        </w:rPr>
        <w:t xml:space="preserve"> </w:t>
      </w:r>
      <w:r w:rsidRPr="00EB2BD8">
        <w:t>more.</w:t>
      </w:r>
    </w:p>
    <w:p w14:paraId="76A646E5" w14:textId="3E0B8892" w:rsidR="00084F36" w:rsidRPr="00EB2BD8" w:rsidRDefault="00EB2BD8" w:rsidP="00CF2B5C">
      <w:pPr>
        <w:pStyle w:val="Heading2"/>
        <w:ind w:left="0"/>
      </w:pPr>
      <w:r w:rsidRPr="00EB2BD8">
        <w:br w:type="column"/>
      </w:r>
      <w:r w:rsidR="00CF2B5C">
        <w:t xml:space="preserve">     </w:t>
      </w:r>
      <w:bookmarkStart w:id="190" w:name="_Toc150762492"/>
      <w:r w:rsidRPr="00EB2BD8">
        <w:t>Social</w:t>
      </w:r>
      <w:r w:rsidRPr="00EB2BD8">
        <w:rPr>
          <w:spacing w:val="-22"/>
        </w:rPr>
        <w:t xml:space="preserve"> </w:t>
      </w:r>
      <w:r w:rsidRPr="00EB2BD8">
        <w:t>procurement</w:t>
      </w:r>
      <w:r w:rsidR="00CF2B5C">
        <w:br/>
        <w:t xml:space="preserve">     </w:t>
      </w:r>
      <w:r w:rsidRPr="00EB2BD8">
        <w:rPr>
          <w:spacing w:val="-2"/>
        </w:rPr>
        <w:t>implementation</w:t>
      </w:r>
      <w:bookmarkEnd w:id="190"/>
    </w:p>
    <w:p w14:paraId="63FAAC36" w14:textId="77777777" w:rsidR="00084F36" w:rsidRPr="00EB2BD8" w:rsidRDefault="00EB2BD8">
      <w:pPr>
        <w:pStyle w:val="BodyText"/>
        <w:spacing w:before="174" w:line="261" w:lineRule="auto"/>
        <w:ind w:left="444" w:right="970"/>
      </w:pPr>
      <w:r w:rsidRPr="00EB2BD8">
        <w:t>The VBA has a social procurement strategy that defines our objectives, the approaches that will be taken</w:t>
      </w:r>
      <w:r w:rsidRPr="00EB2BD8">
        <w:rPr>
          <w:spacing w:val="-1"/>
        </w:rPr>
        <w:t xml:space="preserve"> </w:t>
      </w:r>
      <w:r w:rsidRPr="00EB2BD8">
        <w:t>to</w:t>
      </w:r>
      <w:r w:rsidRPr="00EB2BD8">
        <w:rPr>
          <w:spacing w:val="-1"/>
        </w:rPr>
        <w:t xml:space="preserve"> </w:t>
      </w:r>
      <w:r w:rsidRPr="00EB2BD8">
        <w:t>achieve</w:t>
      </w:r>
      <w:r w:rsidRPr="00EB2BD8">
        <w:rPr>
          <w:spacing w:val="-1"/>
        </w:rPr>
        <w:t xml:space="preserve"> </w:t>
      </w:r>
      <w:r w:rsidRPr="00EB2BD8">
        <w:t>these</w:t>
      </w:r>
      <w:r w:rsidRPr="00EB2BD8">
        <w:rPr>
          <w:spacing w:val="-1"/>
        </w:rPr>
        <w:t xml:space="preserve"> </w:t>
      </w:r>
      <w:r w:rsidRPr="00EB2BD8">
        <w:t>objectives,</w:t>
      </w:r>
      <w:r w:rsidRPr="00EB2BD8">
        <w:rPr>
          <w:spacing w:val="-1"/>
        </w:rPr>
        <w:t xml:space="preserve"> </w:t>
      </w:r>
      <w:r w:rsidRPr="00EB2BD8">
        <w:t>and</w:t>
      </w:r>
      <w:r w:rsidRPr="00EB2BD8">
        <w:rPr>
          <w:spacing w:val="-1"/>
        </w:rPr>
        <w:t xml:space="preserve"> </w:t>
      </w:r>
      <w:r w:rsidRPr="00EB2BD8">
        <w:t>the</w:t>
      </w:r>
      <w:r w:rsidRPr="00EB2BD8">
        <w:rPr>
          <w:spacing w:val="-1"/>
        </w:rPr>
        <w:t xml:space="preserve"> </w:t>
      </w:r>
      <w:r w:rsidRPr="00EB2BD8">
        <w:t>capability required to implement these approaches.</w:t>
      </w:r>
    </w:p>
    <w:p w14:paraId="22AD788C" w14:textId="77777777" w:rsidR="00084F36" w:rsidRPr="00EB2BD8" w:rsidRDefault="00EB2BD8">
      <w:pPr>
        <w:pStyle w:val="BodyText"/>
        <w:spacing w:before="109"/>
        <w:ind w:left="444"/>
      </w:pPr>
      <w:r w:rsidRPr="00EB2BD8">
        <w:t>The</w:t>
      </w:r>
      <w:r w:rsidRPr="00EB2BD8">
        <w:rPr>
          <w:spacing w:val="5"/>
        </w:rPr>
        <w:t xml:space="preserve"> </w:t>
      </w:r>
      <w:r w:rsidRPr="00EB2BD8">
        <w:t>VBA</w:t>
      </w:r>
      <w:r w:rsidRPr="00EB2BD8">
        <w:rPr>
          <w:spacing w:val="6"/>
        </w:rPr>
        <w:t xml:space="preserve"> </w:t>
      </w:r>
      <w:r w:rsidRPr="00EB2BD8">
        <w:t>Social</w:t>
      </w:r>
      <w:r w:rsidRPr="00EB2BD8">
        <w:rPr>
          <w:spacing w:val="6"/>
        </w:rPr>
        <w:t xml:space="preserve"> </w:t>
      </w:r>
      <w:r w:rsidRPr="00EB2BD8">
        <w:t>Procurement</w:t>
      </w:r>
      <w:r w:rsidRPr="00EB2BD8">
        <w:rPr>
          <w:spacing w:val="6"/>
        </w:rPr>
        <w:t xml:space="preserve"> </w:t>
      </w:r>
      <w:r w:rsidRPr="00EB2BD8">
        <w:t>Objectives</w:t>
      </w:r>
      <w:r w:rsidRPr="00EB2BD8">
        <w:rPr>
          <w:spacing w:val="5"/>
        </w:rPr>
        <w:t xml:space="preserve"> </w:t>
      </w:r>
      <w:r w:rsidRPr="00EB2BD8">
        <w:rPr>
          <w:spacing w:val="-4"/>
        </w:rPr>
        <w:t>are:</w:t>
      </w:r>
    </w:p>
    <w:p w14:paraId="73F66008" w14:textId="77777777" w:rsidR="00084F36" w:rsidRPr="00EB2BD8" w:rsidRDefault="00EB2BD8">
      <w:pPr>
        <w:pStyle w:val="ListParagraph"/>
        <w:numPr>
          <w:ilvl w:val="0"/>
          <w:numId w:val="56"/>
        </w:numPr>
        <w:tabs>
          <w:tab w:val="left" w:pos="728"/>
        </w:tabs>
        <w:spacing w:before="131"/>
        <w:rPr>
          <w:sz w:val="18"/>
        </w:rPr>
      </w:pPr>
      <w:r w:rsidRPr="00EB2BD8">
        <w:rPr>
          <w:sz w:val="18"/>
        </w:rPr>
        <w:t>opportunities</w:t>
      </w:r>
      <w:r w:rsidRPr="00EB2BD8">
        <w:rPr>
          <w:spacing w:val="-13"/>
          <w:sz w:val="18"/>
        </w:rPr>
        <w:t xml:space="preserve"> </w:t>
      </w:r>
      <w:r w:rsidRPr="00EB2BD8">
        <w:rPr>
          <w:sz w:val="18"/>
        </w:rPr>
        <w:t>for</w:t>
      </w:r>
      <w:r w:rsidRPr="00EB2BD8">
        <w:rPr>
          <w:spacing w:val="-13"/>
          <w:sz w:val="18"/>
        </w:rPr>
        <w:t xml:space="preserve"> </w:t>
      </w:r>
      <w:r w:rsidRPr="00EB2BD8">
        <w:rPr>
          <w:sz w:val="18"/>
        </w:rPr>
        <w:t>Victorian</w:t>
      </w:r>
      <w:r w:rsidRPr="00EB2BD8">
        <w:rPr>
          <w:spacing w:val="-13"/>
          <w:sz w:val="18"/>
        </w:rPr>
        <w:t xml:space="preserve"> </w:t>
      </w:r>
      <w:r w:rsidRPr="00EB2BD8">
        <w:rPr>
          <w:sz w:val="18"/>
        </w:rPr>
        <w:t>Aboriginal</w:t>
      </w:r>
      <w:r w:rsidRPr="00EB2BD8">
        <w:rPr>
          <w:spacing w:val="-12"/>
          <w:sz w:val="18"/>
        </w:rPr>
        <w:t xml:space="preserve"> </w:t>
      </w:r>
      <w:r w:rsidRPr="00EB2BD8">
        <w:rPr>
          <w:spacing w:val="-2"/>
          <w:sz w:val="18"/>
        </w:rPr>
        <w:t>people</w:t>
      </w:r>
    </w:p>
    <w:p w14:paraId="4DCF168E" w14:textId="77777777" w:rsidR="00084F36" w:rsidRPr="00EB2BD8" w:rsidRDefault="00EB2BD8">
      <w:pPr>
        <w:pStyle w:val="ListParagraph"/>
        <w:numPr>
          <w:ilvl w:val="0"/>
          <w:numId w:val="56"/>
        </w:numPr>
        <w:tabs>
          <w:tab w:val="left" w:pos="728"/>
        </w:tabs>
        <w:spacing w:before="88"/>
        <w:rPr>
          <w:sz w:val="18"/>
        </w:rPr>
      </w:pPr>
      <w:r w:rsidRPr="00EB2BD8">
        <w:rPr>
          <w:sz w:val="18"/>
        </w:rPr>
        <w:t>opportunities</w:t>
      </w:r>
      <w:r w:rsidRPr="00EB2BD8">
        <w:rPr>
          <w:spacing w:val="-14"/>
          <w:sz w:val="18"/>
        </w:rPr>
        <w:t xml:space="preserve"> </w:t>
      </w:r>
      <w:r w:rsidRPr="00EB2BD8">
        <w:rPr>
          <w:sz w:val="18"/>
        </w:rPr>
        <w:t>for</w:t>
      </w:r>
      <w:r w:rsidRPr="00EB2BD8">
        <w:rPr>
          <w:spacing w:val="-13"/>
          <w:sz w:val="18"/>
        </w:rPr>
        <w:t xml:space="preserve"> </w:t>
      </w:r>
      <w:r w:rsidRPr="00EB2BD8">
        <w:rPr>
          <w:sz w:val="18"/>
        </w:rPr>
        <w:t>Victorians</w:t>
      </w:r>
      <w:r w:rsidRPr="00EB2BD8">
        <w:rPr>
          <w:spacing w:val="-14"/>
          <w:sz w:val="18"/>
        </w:rPr>
        <w:t xml:space="preserve"> </w:t>
      </w:r>
      <w:r w:rsidRPr="00EB2BD8">
        <w:rPr>
          <w:sz w:val="18"/>
        </w:rPr>
        <w:t>with</w:t>
      </w:r>
      <w:r w:rsidRPr="00EB2BD8">
        <w:rPr>
          <w:spacing w:val="-13"/>
          <w:sz w:val="18"/>
        </w:rPr>
        <w:t xml:space="preserve"> </w:t>
      </w:r>
      <w:r w:rsidRPr="00EB2BD8">
        <w:rPr>
          <w:spacing w:val="-2"/>
          <w:sz w:val="18"/>
        </w:rPr>
        <w:t>disability</w:t>
      </w:r>
    </w:p>
    <w:p w14:paraId="1CA124F9" w14:textId="77777777" w:rsidR="00084F36" w:rsidRPr="00EB2BD8" w:rsidRDefault="00EB2BD8">
      <w:pPr>
        <w:pStyle w:val="ListParagraph"/>
        <w:numPr>
          <w:ilvl w:val="0"/>
          <w:numId w:val="56"/>
        </w:numPr>
        <w:tabs>
          <w:tab w:val="left" w:pos="728"/>
        </w:tabs>
        <w:spacing w:before="89"/>
        <w:rPr>
          <w:sz w:val="18"/>
        </w:rPr>
      </w:pPr>
      <w:r w:rsidRPr="00EB2BD8">
        <w:rPr>
          <w:sz w:val="18"/>
        </w:rPr>
        <w:t>women’s</w:t>
      </w:r>
      <w:r w:rsidRPr="00EB2BD8">
        <w:rPr>
          <w:spacing w:val="-10"/>
          <w:sz w:val="18"/>
        </w:rPr>
        <w:t xml:space="preserve"> </w:t>
      </w:r>
      <w:r w:rsidRPr="00EB2BD8">
        <w:rPr>
          <w:sz w:val="18"/>
        </w:rPr>
        <w:t>equality</w:t>
      </w:r>
      <w:r w:rsidRPr="00EB2BD8">
        <w:rPr>
          <w:spacing w:val="-9"/>
          <w:sz w:val="18"/>
        </w:rPr>
        <w:t xml:space="preserve"> </w:t>
      </w:r>
      <w:r w:rsidRPr="00EB2BD8">
        <w:rPr>
          <w:sz w:val="18"/>
        </w:rPr>
        <w:t>and</w:t>
      </w:r>
      <w:r w:rsidRPr="00EB2BD8">
        <w:rPr>
          <w:spacing w:val="-9"/>
          <w:sz w:val="18"/>
        </w:rPr>
        <w:t xml:space="preserve"> </w:t>
      </w:r>
      <w:r w:rsidRPr="00EB2BD8">
        <w:rPr>
          <w:spacing w:val="-2"/>
          <w:sz w:val="18"/>
        </w:rPr>
        <w:t>safety</w:t>
      </w:r>
    </w:p>
    <w:p w14:paraId="6D1420B2" w14:textId="77777777" w:rsidR="00084F36" w:rsidRPr="00EB2BD8" w:rsidRDefault="00EB2BD8">
      <w:pPr>
        <w:pStyle w:val="ListParagraph"/>
        <w:numPr>
          <w:ilvl w:val="0"/>
          <w:numId w:val="56"/>
        </w:numPr>
        <w:tabs>
          <w:tab w:val="left" w:pos="728"/>
        </w:tabs>
        <w:spacing w:before="88"/>
        <w:rPr>
          <w:sz w:val="18"/>
        </w:rPr>
      </w:pPr>
      <w:r w:rsidRPr="00EB2BD8">
        <w:rPr>
          <w:sz w:val="18"/>
        </w:rPr>
        <w:t>supporting</w:t>
      </w:r>
      <w:r w:rsidRPr="00EB2BD8">
        <w:rPr>
          <w:spacing w:val="-2"/>
          <w:sz w:val="18"/>
        </w:rPr>
        <w:t xml:space="preserve"> </w:t>
      </w:r>
      <w:r w:rsidRPr="00EB2BD8">
        <w:rPr>
          <w:sz w:val="18"/>
        </w:rPr>
        <w:t>safe</w:t>
      </w:r>
      <w:r w:rsidRPr="00EB2BD8">
        <w:rPr>
          <w:spacing w:val="-2"/>
          <w:sz w:val="18"/>
        </w:rPr>
        <w:t xml:space="preserve"> </w:t>
      </w:r>
      <w:r w:rsidRPr="00EB2BD8">
        <w:rPr>
          <w:sz w:val="18"/>
        </w:rPr>
        <w:t>and</w:t>
      </w:r>
      <w:r w:rsidRPr="00EB2BD8">
        <w:rPr>
          <w:spacing w:val="-2"/>
          <w:sz w:val="18"/>
        </w:rPr>
        <w:t xml:space="preserve"> </w:t>
      </w:r>
      <w:r w:rsidRPr="00EB2BD8">
        <w:rPr>
          <w:sz w:val="18"/>
        </w:rPr>
        <w:t>fair</w:t>
      </w:r>
      <w:r w:rsidRPr="00EB2BD8">
        <w:rPr>
          <w:spacing w:val="-2"/>
          <w:sz w:val="18"/>
        </w:rPr>
        <w:t xml:space="preserve"> workplaces</w:t>
      </w:r>
    </w:p>
    <w:p w14:paraId="38374E5E" w14:textId="77777777" w:rsidR="00084F36" w:rsidRPr="00EB2BD8" w:rsidRDefault="00EB2BD8">
      <w:pPr>
        <w:pStyle w:val="ListParagraph"/>
        <w:numPr>
          <w:ilvl w:val="0"/>
          <w:numId w:val="56"/>
        </w:numPr>
        <w:tabs>
          <w:tab w:val="left" w:pos="728"/>
        </w:tabs>
        <w:spacing w:before="88"/>
        <w:rPr>
          <w:sz w:val="18"/>
        </w:rPr>
      </w:pPr>
      <w:r w:rsidRPr="00EB2BD8">
        <w:rPr>
          <w:sz w:val="18"/>
        </w:rPr>
        <w:t>environmentally</w:t>
      </w:r>
      <w:r w:rsidRPr="00EB2BD8">
        <w:rPr>
          <w:spacing w:val="-2"/>
          <w:sz w:val="18"/>
        </w:rPr>
        <w:t xml:space="preserve"> </w:t>
      </w:r>
      <w:r w:rsidRPr="00EB2BD8">
        <w:rPr>
          <w:sz w:val="18"/>
        </w:rPr>
        <w:t>sustainable</w:t>
      </w:r>
      <w:r w:rsidRPr="00EB2BD8">
        <w:rPr>
          <w:spacing w:val="-1"/>
          <w:sz w:val="18"/>
        </w:rPr>
        <w:t xml:space="preserve"> </w:t>
      </w:r>
      <w:r w:rsidRPr="00EB2BD8">
        <w:rPr>
          <w:spacing w:val="-2"/>
          <w:sz w:val="18"/>
        </w:rPr>
        <w:t>outputs</w:t>
      </w:r>
    </w:p>
    <w:p w14:paraId="3CC62FCF" w14:textId="77777777" w:rsidR="00084F36" w:rsidRPr="00EB2BD8" w:rsidRDefault="00084F36">
      <w:pPr>
        <w:pStyle w:val="BodyText"/>
        <w:spacing w:before="9"/>
        <w:rPr>
          <w:sz w:val="16"/>
        </w:rPr>
      </w:pPr>
    </w:p>
    <w:p w14:paraId="1A24F2DD" w14:textId="77777777" w:rsidR="00084F36" w:rsidRPr="00EB2BD8" w:rsidRDefault="00EB2BD8">
      <w:pPr>
        <w:pStyle w:val="BodyText"/>
        <w:spacing w:line="261" w:lineRule="auto"/>
        <w:ind w:left="444" w:right="918"/>
      </w:pPr>
      <w:r w:rsidRPr="00EB2BD8">
        <w:t>The strategy aims to provide opportunities for Victorian Aboriginal people and Victorians with disabilities by identifying contracts that would have interest from these communities. It also encourages early engagement to improve participation, sets out procurement approaches to ensure access to bidding</w:t>
      </w:r>
      <w:r w:rsidRPr="00EB2BD8">
        <w:rPr>
          <w:spacing w:val="40"/>
        </w:rPr>
        <w:t xml:space="preserve"> </w:t>
      </w:r>
      <w:r w:rsidRPr="00EB2BD8">
        <w:t>is</w:t>
      </w:r>
      <w:r w:rsidRPr="00EB2BD8">
        <w:rPr>
          <w:spacing w:val="-3"/>
        </w:rPr>
        <w:t xml:space="preserve"> </w:t>
      </w:r>
      <w:r w:rsidRPr="00EB2BD8">
        <w:t>culturally</w:t>
      </w:r>
      <w:r w:rsidRPr="00EB2BD8">
        <w:rPr>
          <w:spacing w:val="-3"/>
        </w:rPr>
        <w:t xml:space="preserve"> </w:t>
      </w:r>
      <w:r w:rsidRPr="00EB2BD8">
        <w:t>appropriate,</w:t>
      </w:r>
      <w:r w:rsidRPr="00EB2BD8">
        <w:rPr>
          <w:spacing w:val="-3"/>
        </w:rPr>
        <w:t xml:space="preserve"> </w:t>
      </w:r>
      <w:r w:rsidRPr="00EB2BD8">
        <w:t>and</w:t>
      </w:r>
      <w:r w:rsidRPr="00EB2BD8">
        <w:rPr>
          <w:spacing w:val="-3"/>
        </w:rPr>
        <w:t xml:space="preserve"> </w:t>
      </w:r>
      <w:r w:rsidRPr="00EB2BD8">
        <w:t>uses</w:t>
      </w:r>
      <w:r w:rsidRPr="00EB2BD8">
        <w:rPr>
          <w:spacing w:val="-3"/>
        </w:rPr>
        <w:t xml:space="preserve"> </w:t>
      </w:r>
      <w:r w:rsidRPr="00EB2BD8">
        <w:t>supplier-established public registers to directly or indirectly procure from social</w:t>
      </w:r>
      <w:r w:rsidRPr="00EB2BD8">
        <w:rPr>
          <w:spacing w:val="-3"/>
        </w:rPr>
        <w:t xml:space="preserve"> </w:t>
      </w:r>
      <w:r w:rsidRPr="00EB2BD8">
        <w:t>enterprises,</w:t>
      </w:r>
      <w:r w:rsidRPr="00EB2BD8">
        <w:rPr>
          <w:spacing w:val="-3"/>
        </w:rPr>
        <w:t xml:space="preserve"> </w:t>
      </w:r>
      <w:r w:rsidRPr="00EB2BD8">
        <w:t>Australian</w:t>
      </w:r>
      <w:r w:rsidRPr="00EB2BD8">
        <w:rPr>
          <w:spacing w:val="-3"/>
        </w:rPr>
        <w:t xml:space="preserve"> </w:t>
      </w:r>
      <w:r w:rsidRPr="00EB2BD8">
        <w:t>disability</w:t>
      </w:r>
      <w:r w:rsidRPr="00EB2BD8">
        <w:rPr>
          <w:spacing w:val="-3"/>
        </w:rPr>
        <w:t xml:space="preserve"> </w:t>
      </w:r>
      <w:r w:rsidRPr="00EB2BD8">
        <w:t>enterprises</w:t>
      </w:r>
      <w:r w:rsidRPr="00EB2BD8">
        <w:rPr>
          <w:spacing w:val="-3"/>
        </w:rPr>
        <w:t xml:space="preserve"> </w:t>
      </w:r>
      <w:r w:rsidRPr="00EB2BD8">
        <w:t>and Aboriginal</w:t>
      </w:r>
      <w:r w:rsidRPr="00EB2BD8">
        <w:rPr>
          <w:spacing w:val="-6"/>
        </w:rPr>
        <w:t xml:space="preserve"> </w:t>
      </w:r>
      <w:r w:rsidRPr="00EB2BD8">
        <w:t>businesses.</w:t>
      </w:r>
    </w:p>
    <w:p w14:paraId="1685D9E3" w14:textId="77777777" w:rsidR="00084F36" w:rsidRPr="00EB2BD8" w:rsidRDefault="00EB2BD8">
      <w:pPr>
        <w:pStyle w:val="BodyText"/>
        <w:spacing w:before="103" w:line="261" w:lineRule="auto"/>
        <w:ind w:left="444" w:right="861"/>
      </w:pPr>
      <w:r w:rsidRPr="00EB2BD8">
        <w:t xml:space="preserve">To meet the </w:t>
      </w:r>
      <w:r w:rsidRPr="00EB2BD8">
        <w:rPr>
          <w:i/>
        </w:rPr>
        <w:t xml:space="preserve">‘Supporting safe and fair workplaces’ </w:t>
      </w:r>
      <w:r w:rsidRPr="00EB2BD8">
        <w:t>objective,</w:t>
      </w:r>
      <w:r w:rsidRPr="00EB2BD8">
        <w:rPr>
          <w:spacing w:val="-8"/>
        </w:rPr>
        <w:t xml:space="preserve"> </w:t>
      </w:r>
      <w:r w:rsidRPr="00EB2BD8">
        <w:t>the</w:t>
      </w:r>
      <w:r w:rsidRPr="00EB2BD8">
        <w:rPr>
          <w:spacing w:val="-8"/>
        </w:rPr>
        <w:t xml:space="preserve"> </w:t>
      </w:r>
      <w:r w:rsidRPr="00EB2BD8">
        <w:t>VBA</w:t>
      </w:r>
      <w:r w:rsidRPr="00EB2BD8">
        <w:rPr>
          <w:spacing w:val="-8"/>
        </w:rPr>
        <w:t xml:space="preserve"> </w:t>
      </w:r>
      <w:r w:rsidRPr="00EB2BD8">
        <w:t>supports</w:t>
      </w:r>
      <w:r w:rsidRPr="00EB2BD8">
        <w:rPr>
          <w:spacing w:val="-8"/>
        </w:rPr>
        <w:t xml:space="preserve"> </w:t>
      </w:r>
      <w:r w:rsidRPr="00EB2BD8">
        <w:t>the</w:t>
      </w:r>
      <w:r w:rsidRPr="00EB2BD8">
        <w:rPr>
          <w:spacing w:val="-8"/>
        </w:rPr>
        <w:t xml:space="preserve"> </w:t>
      </w:r>
      <w:r w:rsidRPr="00EB2BD8">
        <w:t>Victorian</w:t>
      </w:r>
      <w:r w:rsidRPr="00EB2BD8">
        <w:rPr>
          <w:spacing w:val="-8"/>
        </w:rPr>
        <w:t xml:space="preserve"> </w:t>
      </w:r>
      <w:r w:rsidRPr="00EB2BD8">
        <w:t>Government’s Supplier Code of Conduct for the minimum expectations</w:t>
      </w:r>
      <w:r w:rsidRPr="00EB2BD8">
        <w:rPr>
          <w:spacing w:val="-1"/>
        </w:rPr>
        <w:t xml:space="preserve"> </w:t>
      </w:r>
      <w:r w:rsidRPr="00EB2BD8">
        <w:t>for</w:t>
      </w:r>
      <w:r w:rsidRPr="00EB2BD8">
        <w:rPr>
          <w:spacing w:val="-1"/>
        </w:rPr>
        <w:t xml:space="preserve"> </w:t>
      </w:r>
      <w:r w:rsidRPr="00EB2BD8">
        <w:t>labour</w:t>
      </w:r>
      <w:r w:rsidRPr="00EB2BD8">
        <w:rPr>
          <w:spacing w:val="-1"/>
        </w:rPr>
        <w:t xml:space="preserve"> </w:t>
      </w:r>
      <w:r w:rsidRPr="00EB2BD8">
        <w:t>and</w:t>
      </w:r>
      <w:r w:rsidRPr="00EB2BD8">
        <w:rPr>
          <w:spacing w:val="-1"/>
        </w:rPr>
        <w:t xml:space="preserve"> </w:t>
      </w:r>
      <w:r w:rsidRPr="00EB2BD8">
        <w:t>human</w:t>
      </w:r>
      <w:r w:rsidRPr="00EB2BD8">
        <w:rPr>
          <w:spacing w:val="-1"/>
        </w:rPr>
        <w:t xml:space="preserve"> </w:t>
      </w:r>
      <w:r w:rsidRPr="00EB2BD8">
        <w:t>rights</w:t>
      </w:r>
      <w:r w:rsidRPr="00EB2BD8">
        <w:rPr>
          <w:spacing w:val="-1"/>
        </w:rPr>
        <w:t xml:space="preserve"> </w:t>
      </w:r>
      <w:r w:rsidRPr="00EB2BD8">
        <w:t>and</w:t>
      </w:r>
      <w:r w:rsidRPr="00EB2BD8">
        <w:rPr>
          <w:spacing w:val="-1"/>
        </w:rPr>
        <w:t xml:space="preserve"> </w:t>
      </w:r>
      <w:r w:rsidRPr="00EB2BD8">
        <w:t>seeks</w:t>
      </w:r>
      <w:r w:rsidRPr="00EB2BD8">
        <w:rPr>
          <w:spacing w:val="-1"/>
        </w:rPr>
        <w:t xml:space="preserve"> </w:t>
      </w:r>
      <w:r w:rsidRPr="00EB2BD8">
        <w:t>to increase supply chain opportunities for suppliers that provide safe and fair workplaces for all workers.</w:t>
      </w:r>
    </w:p>
    <w:p w14:paraId="28048586" w14:textId="77777777" w:rsidR="00084F36" w:rsidRPr="00EB2BD8" w:rsidRDefault="00EB2BD8">
      <w:pPr>
        <w:pStyle w:val="BodyText"/>
        <w:spacing w:before="108" w:line="261" w:lineRule="auto"/>
        <w:ind w:left="444" w:right="630"/>
      </w:pPr>
      <w:r w:rsidRPr="00EB2BD8">
        <w:t xml:space="preserve">The VBA’s objective to promote </w:t>
      </w:r>
      <w:r w:rsidRPr="00EB2BD8">
        <w:rPr>
          <w:i/>
        </w:rPr>
        <w:t xml:space="preserve">‘Women’s equality and safety’ </w:t>
      </w:r>
      <w:r w:rsidRPr="00EB2BD8">
        <w:t>is met through the identification of professional services where women’s equality is traditionally considered</w:t>
      </w:r>
      <w:r w:rsidRPr="00EB2BD8">
        <w:rPr>
          <w:spacing w:val="-5"/>
        </w:rPr>
        <w:t xml:space="preserve"> </w:t>
      </w:r>
      <w:r w:rsidRPr="00EB2BD8">
        <w:t>underrepresented,</w:t>
      </w:r>
      <w:r w:rsidRPr="00EB2BD8">
        <w:rPr>
          <w:spacing w:val="-5"/>
        </w:rPr>
        <w:t xml:space="preserve"> </w:t>
      </w:r>
      <w:r w:rsidRPr="00EB2BD8">
        <w:t>and</w:t>
      </w:r>
      <w:r w:rsidRPr="00EB2BD8">
        <w:rPr>
          <w:spacing w:val="-5"/>
        </w:rPr>
        <w:t xml:space="preserve"> </w:t>
      </w:r>
      <w:r w:rsidRPr="00EB2BD8">
        <w:t>developing</w:t>
      </w:r>
      <w:r w:rsidRPr="00EB2BD8">
        <w:rPr>
          <w:spacing w:val="-5"/>
        </w:rPr>
        <w:t xml:space="preserve"> </w:t>
      </w:r>
      <w:r w:rsidRPr="00EB2BD8">
        <w:t>selection criteria for new contracts that include assessment of female representation in leadership and project teams.</w:t>
      </w:r>
    </w:p>
    <w:p w14:paraId="50833806" w14:textId="77777777" w:rsidR="00084F36" w:rsidRPr="00EB2BD8" w:rsidRDefault="00EB2BD8">
      <w:pPr>
        <w:pStyle w:val="BodyText"/>
        <w:spacing w:before="107" w:line="261" w:lineRule="auto"/>
        <w:ind w:left="444" w:right="1321"/>
      </w:pPr>
      <w:r w:rsidRPr="00EB2BD8">
        <w:t>All</w:t>
      </w:r>
      <w:r w:rsidRPr="00EB2BD8">
        <w:rPr>
          <w:spacing w:val="-9"/>
        </w:rPr>
        <w:t xml:space="preserve"> </w:t>
      </w:r>
      <w:r w:rsidRPr="00EB2BD8">
        <w:t>individual</w:t>
      </w:r>
      <w:r w:rsidRPr="00EB2BD8">
        <w:rPr>
          <w:spacing w:val="-9"/>
        </w:rPr>
        <w:t xml:space="preserve"> </w:t>
      </w:r>
      <w:r w:rsidRPr="00EB2BD8">
        <w:t>procurement</w:t>
      </w:r>
      <w:r w:rsidRPr="00EB2BD8">
        <w:rPr>
          <w:spacing w:val="-9"/>
        </w:rPr>
        <w:t xml:space="preserve"> </w:t>
      </w:r>
      <w:r w:rsidRPr="00EB2BD8">
        <w:t>activities</w:t>
      </w:r>
      <w:r w:rsidRPr="00EB2BD8">
        <w:rPr>
          <w:spacing w:val="-9"/>
        </w:rPr>
        <w:t xml:space="preserve"> </w:t>
      </w:r>
      <w:r w:rsidRPr="00EB2BD8">
        <w:t>undertaken</w:t>
      </w:r>
      <w:r w:rsidRPr="00EB2BD8">
        <w:rPr>
          <w:spacing w:val="-9"/>
        </w:rPr>
        <w:t xml:space="preserve"> </w:t>
      </w:r>
      <w:r w:rsidRPr="00EB2BD8">
        <w:t>in 2022-23</w:t>
      </w:r>
      <w:r w:rsidRPr="00EB2BD8">
        <w:rPr>
          <w:spacing w:val="-14"/>
        </w:rPr>
        <w:t xml:space="preserve"> </w:t>
      </w:r>
      <w:r w:rsidRPr="00EB2BD8">
        <w:t>fell</w:t>
      </w:r>
      <w:r w:rsidRPr="00EB2BD8">
        <w:rPr>
          <w:spacing w:val="-14"/>
        </w:rPr>
        <w:t xml:space="preserve"> </w:t>
      </w:r>
      <w:r w:rsidRPr="00EB2BD8">
        <w:t>below</w:t>
      </w:r>
      <w:r w:rsidRPr="00EB2BD8">
        <w:rPr>
          <w:spacing w:val="-14"/>
        </w:rPr>
        <w:t xml:space="preserve"> </w:t>
      </w:r>
      <w:r w:rsidRPr="00EB2BD8">
        <w:t>the</w:t>
      </w:r>
      <w:r w:rsidRPr="00EB2BD8">
        <w:rPr>
          <w:spacing w:val="-14"/>
        </w:rPr>
        <w:t xml:space="preserve"> </w:t>
      </w:r>
      <w:r w:rsidRPr="00EB2BD8">
        <w:t>threshold</w:t>
      </w:r>
      <w:r w:rsidRPr="00EB2BD8">
        <w:rPr>
          <w:spacing w:val="-14"/>
        </w:rPr>
        <w:t xml:space="preserve"> </w:t>
      </w:r>
      <w:r w:rsidRPr="00EB2BD8">
        <w:t>band</w:t>
      </w:r>
      <w:r w:rsidRPr="00EB2BD8">
        <w:rPr>
          <w:spacing w:val="-14"/>
        </w:rPr>
        <w:t xml:space="preserve"> </w:t>
      </w:r>
      <w:r w:rsidRPr="00EB2BD8">
        <w:t>of</w:t>
      </w:r>
      <w:r w:rsidRPr="00EB2BD8">
        <w:rPr>
          <w:spacing w:val="-14"/>
        </w:rPr>
        <w:t xml:space="preserve"> </w:t>
      </w:r>
      <w:r w:rsidRPr="00EB2BD8">
        <w:t xml:space="preserve">Victoria’s Social Procurement Framework where social procurement approaches are encouraged but not </w:t>
      </w:r>
      <w:r w:rsidRPr="00EB2BD8">
        <w:rPr>
          <w:spacing w:val="-2"/>
        </w:rPr>
        <w:t>mandatory.</w:t>
      </w:r>
    </w:p>
    <w:p w14:paraId="55092FEB" w14:textId="77777777" w:rsidR="00084F36" w:rsidRPr="00EB2BD8" w:rsidRDefault="00084F36">
      <w:pPr>
        <w:pStyle w:val="BodyText"/>
        <w:spacing w:before="2"/>
        <w:rPr>
          <w:sz w:val="23"/>
        </w:rPr>
      </w:pPr>
    </w:p>
    <w:p w14:paraId="5C80403B" w14:textId="41A98F46" w:rsidR="00084F36" w:rsidRPr="00EB2BD8" w:rsidRDefault="00CF2B5C" w:rsidP="00CF2B5C">
      <w:pPr>
        <w:pStyle w:val="Heading2"/>
        <w:ind w:left="0"/>
      </w:pPr>
      <w:r>
        <w:t xml:space="preserve">     </w:t>
      </w:r>
      <w:bookmarkStart w:id="191" w:name="_Toc150762493"/>
      <w:r w:rsidR="00EB2BD8" w:rsidRPr="00EB2BD8">
        <w:t>Disclosure</w:t>
      </w:r>
      <w:r w:rsidR="00EB2BD8" w:rsidRPr="00EB2BD8">
        <w:rPr>
          <w:spacing w:val="-19"/>
        </w:rPr>
        <w:t xml:space="preserve"> </w:t>
      </w:r>
      <w:r w:rsidR="00EB2BD8" w:rsidRPr="00EB2BD8">
        <w:t>of</w:t>
      </w:r>
      <w:r w:rsidR="00EB2BD8" w:rsidRPr="00EB2BD8">
        <w:rPr>
          <w:spacing w:val="-19"/>
        </w:rPr>
        <w:t xml:space="preserve"> </w:t>
      </w:r>
      <w:r w:rsidR="00EB2BD8" w:rsidRPr="00EB2BD8">
        <w:t>emergency</w:t>
      </w:r>
      <w:r>
        <w:br/>
        <w:t xml:space="preserve">     </w:t>
      </w:r>
      <w:r w:rsidR="00EB2BD8" w:rsidRPr="00EB2BD8">
        <w:rPr>
          <w:spacing w:val="-2"/>
        </w:rPr>
        <w:t>procurement</w:t>
      </w:r>
      <w:bookmarkEnd w:id="191"/>
    </w:p>
    <w:p w14:paraId="3F2D0CEC" w14:textId="77777777" w:rsidR="00084F36" w:rsidRPr="00EB2BD8" w:rsidRDefault="00EB2BD8">
      <w:pPr>
        <w:pStyle w:val="BodyText"/>
        <w:spacing w:before="173" w:line="261" w:lineRule="auto"/>
        <w:ind w:left="444" w:right="861"/>
      </w:pPr>
      <w:r w:rsidRPr="00EB2BD8">
        <w:t>There were no emergency procurement activities required in 2022-23.</w:t>
      </w:r>
    </w:p>
    <w:p w14:paraId="7B09C6A1" w14:textId="77777777" w:rsidR="00084F36" w:rsidRDefault="00084F36">
      <w:pPr>
        <w:spacing w:line="261" w:lineRule="auto"/>
      </w:pPr>
    </w:p>
    <w:p w14:paraId="24507260" w14:textId="77777777" w:rsidR="00877135" w:rsidRDefault="00877135">
      <w:pPr>
        <w:spacing w:line="261" w:lineRule="auto"/>
      </w:pPr>
    </w:p>
    <w:p w14:paraId="3E558C61" w14:textId="14B3193E" w:rsidR="00877135" w:rsidRDefault="00877135">
      <w:pPr>
        <w:spacing w:line="261" w:lineRule="auto"/>
      </w:pPr>
    </w:p>
    <w:p w14:paraId="35DC10C1" w14:textId="77777777" w:rsidR="00877135" w:rsidRDefault="00877135">
      <w:r>
        <w:br w:type="page"/>
      </w:r>
    </w:p>
    <w:p w14:paraId="5A660F27" w14:textId="77777777" w:rsidR="00877135" w:rsidRPr="00EB2BD8" w:rsidRDefault="00877135">
      <w:pPr>
        <w:spacing w:line="261" w:lineRule="auto"/>
        <w:sectPr w:rsidR="00877135" w:rsidRPr="00EB2BD8" w:rsidSect="006D75B2">
          <w:type w:val="continuous"/>
          <w:pgSz w:w="11910" w:h="16840"/>
          <w:pgMar w:top="1920" w:right="0" w:bottom="280" w:left="0" w:header="0" w:footer="528" w:gutter="0"/>
          <w:cols w:num="2" w:space="720" w:equalWidth="0">
            <w:col w:w="5695" w:space="40"/>
            <w:col w:w="6175"/>
          </w:cols>
        </w:sectPr>
      </w:pPr>
    </w:p>
    <w:p w14:paraId="32AEE215" w14:textId="70A9EE76" w:rsidR="00084F36" w:rsidRPr="00EB2BD8" w:rsidRDefault="00084F36">
      <w:pPr>
        <w:pStyle w:val="BodyText"/>
        <w:rPr>
          <w:sz w:val="20"/>
        </w:rPr>
      </w:pPr>
    </w:p>
    <w:p w14:paraId="7A240B27" w14:textId="77777777" w:rsidR="00084F36" w:rsidRPr="00EB2BD8" w:rsidRDefault="00084F36">
      <w:pPr>
        <w:pStyle w:val="BodyText"/>
        <w:rPr>
          <w:sz w:val="20"/>
        </w:rPr>
      </w:pPr>
    </w:p>
    <w:p w14:paraId="53CCDAF7" w14:textId="77777777" w:rsidR="00084F36" w:rsidRPr="00EB2BD8" w:rsidRDefault="00084F36">
      <w:pPr>
        <w:pStyle w:val="BodyText"/>
        <w:spacing w:before="7"/>
        <w:rPr>
          <w:sz w:val="17"/>
        </w:rPr>
      </w:pPr>
    </w:p>
    <w:p w14:paraId="74F9230C" w14:textId="77777777" w:rsidR="00084F36" w:rsidRPr="00EB2BD8" w:rsidRDefault="00084F36">
      <w:pPr>
        <w:rPr>
          <w:sz w:val="17"/>
        </w:rPr>
        <w:sectPr w:rsidR="00084F36" w:rsidRPr="00EB2BD8" w:rsidSect="006D75B2">
          <w:footerReference w:type="default" r:id="rId206"/>
          <w:pgSz w:w="11910" w:h="16840"/>
          <w:pgMar w:top="1080" w:right="0" w:bottom="720" w:left="0" w:header="0" w:footer="528" w:gutter="0"/>
          <w:cols w:space="720"/>
        </w:sectPr>
      </w:pPr>
    </w:p>
    <w:p w14:paraId="14C28417" w14:textId="77777777" w:rsidR="00084F36" w:rsidRPr="00EB2BD8" w:rsidRDefault="00EB2BD8" w:rsidP="00CF2B5C">
      <w:pPr>
        <w:pStyle w:val="Heading2"/>
      </w:pPr>
      <w:bookmarkStart w:id="192" w:name="_Toc150762494"/>
      <w:r w:rsidRPr="00EB2BD8">
        <w:t>Information</w:t>
      </w:r>
      <w:r w:rsidRPr="00EB2BD8">
        <w:rPr>
          <w:spacing w:val="-20"/>
        </w:rPr>
        <w:t xml:space="preserve"> </w:t>
      </w:r>
      <w:r w:rsidRPr="00EB2BD8">
        <w:t>and</w:t>
      </w:r>
      <w:r w:rsidRPr="00EB2BD8">
        <w:rPr>
          <w:spacing w:val="-20"/>
        </w:rPr>
        <w:t xml:space="preserve"> </w:t>
      </w:r>
      <w:r w:rsidRPr="00EB2BD8">
        <w:t>communication technology expenditure</w:t>
      </w:r>
      <w:bookmarkEnd w:id="192"/>
    </w:p>
    <w:p w14:paraId="05521C3C" w14:textId="77777777" w:rsidR="00084F36" w:rsidRPr="00EB2BD8" w:rsidRDefault="00EB2BD8">
      <w:pPr>
        <w:pStyle w:val="BodyText"/>
        <w:spacing w:before="174" w:line="261" w:lineRule="auto"/>
        <w:ind w:left="850" w:right="1"/>
      </w:pPr>
      <w:r w:rsidRPr="00EB2BD8">
        <w:t>In</w:t>
      </w:r>
      <w:r w:rsidRPr="00EB2BD8">
        <w:rPr>
          <w:spacing w:val="-4"/>
        </w:rPr>
        <w:t xml:space="preserve"> </w:t>
      </w:r>
      <w:r w:rsidRPr="00EB2BD8">
        <w:t>2022-23,</w:t>
      </w:r>
      <w:r w:rsidRPr="00EB2BD8">
        <w:rPr>
          <w:spacing w:val="-4"/>
        </w:rPr>
        <w:t xml:space="preserve"> </w:t>
      </w:r>
      <w:r w:rsidRPr="00EB2BD8">
        <w:t>the</w:t>
      </w:r>
      <w:r w:rsidRPr="00EB2BD8">
        <w:rPr>
          <w:spacing w:val="-4"/>
        </w:rPr>
        <w:t xml:space="preserve"> </w:t>
      </w:r>
      <w:r w:rsidRPr="00EB2BD8">
        <w:t>VBA’s</w:t>
      </w:r>
      <w:r w:rsidRPr="00EB2BD8">
        <w:rPr>
          <w:spacing w:val="-4"/>
        </w:rPr>
        <w:t xml:space="preserve"> </w:t>
      </w:r>
      <w:r w:rsidRPr="00EB2BD8">
        <w:t>Information</w:t>
      </w:r>
      <w:r w:rsidRPr="00EB2BD8">
        <w:rPr>
          <w:spacing w:val="-4"/>
        </w:rPr>
        <w:t xml:space="preserve"> </w:t>
      </w:r>
      <w:r w:rsidRPr="00EB2BD8">
        <w:t>and</w:t>
      </w:r>
      <w:r w:rsidRPr="00EB2BD8">
        <w:rPr>
          <w:spacing w:val="-4"/>
        </w:rPr>
        <w:t xml:space="preserve"> </w:t>
      </w:r>
      <w:r w:rsidRPr="00EB2BD8">
        <w:t>Communication Technology</w:t>
      </w:r>
      <w:r w:rsidRPr="00EB2BD8">
        <w:rPr>
          <w:spacing w:val="-1"/>
        </w:rPr>
        <w:t xml:space="preserve"> </w:t>
      </w:r>
      <w:r w:rsidRPr="00EB2BD8">
        <w:t>(ICT)</w:t>
      </w:r>
      <w:r w:rsidRPr="00EB2BD8">
        <w:rPr>
          <w:spacing w:val="-1"/>
        </w:rPr>
        <w:t xml:space="preserve"> </w:t>
      </w:r>
      <w:r w:rsidRPr="00EB2BD8">
        <w:t>expenditure</w:t>
      </w:r>
      <w:r w:rsidRPr="00EB2BD8">
        <w:rPr>
          <w:spacing w:val="-1"/>
        </w:rPr>
        <w:t xml:space="preserve"> </w:t>
      </w:r>
      <w:r w:rsidRPr="00EB2BD8">
        <w:t>totalled</w:t>
      </w:r>
      <w:r w:rsidRPr="00EB2BD8">
        <w:rPr>
          <w:spacing w:val="-1"/>
        </w:rPr>
        <w:t xml:space="preserve"> </w:t>
      </w:r>
      <w:r w:rsidRPr="00EB2BD8">
        <w:t>$23.6</w:t>
      </w:r>
      <w:r w:rsidRPr="00EB2BD8">
        <w:rPr>
          <w:spacing w:val="-1"/>
        </w:rPr>
        <w:t xml:space="preserve"> </w:t>
      </w:r>
      <w:r w:rsidRPr="00EB2BD8">
        <w:t>million, compared to $20.2 million last year. ICT expenditure refers</w:t>
      </w:r>
      <w:r w:rsidRPr="00EB2BD8">
        <w:rPr>
          <w:spacing w:val="-2"/>
        </w:rPr>
        <w:t xml:space="preserve"> </w:t>
      </w:r>
      <w:r w:rsidRPr="00EB2BD8">
        <w:t>to</w:t>
      </w:r>
      <w:r w:rsidRPr="00EB2BD8">
        <w:rPr>
          <w:spacing w:val="-2"/>
        </w:rPr>
        <w:t xml:space="preserve"> </w:t>
      </w:r>
      <w:r w:rsidRPr="00EB2BD8">
        <w:t>the</w:t>
      </w:r>
      <w:r w:rsidRPr="00EB2BD8">
        <w:rPr>
          <w:spacing w:val="-2"/>
        </w:rPr>
        <w:t xml:space="preserve"> </w:t>
      </w:r>
      <w:r w:rsidRPr="00EB2BD8">
        <w:t>VBA’s</w:t>
      </w:r>
      <w:r w:rsidRPr="00EB2BD8">
        <w:rPr>
          <w:spacing w:val="-2"/>
        </w:rPr>
        <w:t xml:space="preserve"> </w:t>
      </w:r>
      <w:r w:rsidRPr="00EB2BD8">
        <w:t>cost</w:t>
      </w:r>
      <w:r w:rsidRPr="00EB2BD8">
        <w:rPr>
          <w:spacing w:val="-2"/>
        </w:rPr>
        <w:t xml:space="preserve"> </w:t>
      </w:r>
      <w:r w:rsidRPr="00EB2BD8">
        <w:t>in</w:t>
      </w:r>
      <w:r w:rsidRPr="00EB2BD8">
        <w:rPr>
          <w:spacing w:val="-2"/>
        </w:rPr>
        <w:t xml:space="preserve"> </w:t>
      </w:r>
      <w:r w:rsidRPr="00EB2BD8">
        <w:t>providing</w:t>
      </w:r>
      <w:r w:rsidRPr="00EB2BD8">
        <w:rPr>
          <w:spacing w:val="-2"/>
        </w:rPr>
        <w:t xml:space="preserve"> </w:t>
      </w:r>
      <w:r w:rsidRPr="00EB2BD8">
        <w:t>business-enabling ICT services within the reporting period. It comprised business-as-usual ICT expenditure and non-BAU ICT expenditure.</w:t>
      </w:r>
      <w:r w:rsidRPr="00EB2BD8">
        <w:rPr>
          <w:spacing w:val="-15"/>
        </w:rPr>
        <w:t xml:space="preserve"> </w:t>
      </w:r>
      <w:r w:rsidRPr="00EB2BD8">
        <w:t>BAU</w:t>
      </w:r>
      <w:r w:rsidRPr="00EB2BD8">
        <w:rPr>
          <w:spacing w:val="-14"/>
        </w:rPr>
        <w:t xml:space="preserve"> </w:t>
      </w:r>
      <w:r w:rsidRPr="00EB2BD8">
        <w:t>ICT</w:t>
      </w:r>
      <w:r w:rsidRPr="00EB2BD8">
        <w:rPr>
          <w:spacing w:val="-14"/>
        </w:rPr>
        <w:t xml:space="preserve"> </w:t>
      </w:r>
      <w:r w:rsidRPr="00EB2BD8">
        <w:t>expenditure</w:t>
      </w:r>
      <w:r w:rsidRPr="00EB2BD8">
        <w:rPr>
          <w:spacing w:val="-14"/>
        </w:rPr>
        <w:t xml:space="preserve"> </w:t>
      </w:r>
      <w:r w:rsidRPr="00EB2BD8">
        <w:t>is</w:t>
      </w:r>
      <w:r w:rsidRPr="00EB2BD8">
        <w:rPr>
          <w:spacing w:val="-15"/>
        </w:rPr>
        <w:t xml:space="preserve"> </w:t>
      </w:r>
      <w:r w:rsidRPr="00EB2BD8">
        <w:t>all</w:t>
      </w:r>
      <w:r w:rsidRPr="00EB2BD8">
        <w:rPr>
          <w:spacing w:val="-14"/>
        </w:rPr>
        <w:t xml:space="preserve"> </w:t>
      </w:r>
      <w:r w:rsidRPr="00EB2BD8">
        <w:t>ICT</w:t>
      </w:r>
      <w:r w:rsidRPr="00EB2BD8">
        <w:rPr>
          <w:spacing w:val="-14"/>
        </w:rPr>
        <w:t xml:space="preserve"> </w:t>
      </w:r>
      <w:r w:rsidRPr="00EB2BD8">
        <w:t>expenditure that primarily relates to ongoing activities to operate and maintain the current ICT capability. Non-BAU ICT expenditure relates to extending or enhancing the VBA’s current ICT capabilities.</w:t>
      </w:r>
    </w:p>
    <w:p w14:paraId="3A11CDEA" w14:textId="77777777" w:rsidR="00084F36" w:rsidRPr="00EB2BD8" w:rsidRDefault="00084F36">
      <w:pPr>
        <w:pStyle w:val="BodyText"/>
        <w:rPr>
          <w:sz w:val="20"/>
        </w:rPr>
      </w:pPr>
    </w:p>
    <w:p w14:paraId="450F2B40" w14:textId="76BBA9B2" w:rsidR="00084F36" w:rsidRDefault="00EB2BD8" w:rsidP="00777C15">
      <w:pPr>
        <w:pStyle w:val="Heading3"/>
      </w:pPr>
      <w:bookmarkStart w:id="193" w:name="_Toc150762495"/>
      <w:r w:rsidRPr="00777C15">
        <w:t>Table 10: Details of information and communication technology expenditure</w:t>
      </w:r>
      <w:bookmarkEnd w:id="193"/>
    </w:p>
    <w:tbl>
      <w:tblPr>
        <w:tblStyle w:val="TableGrid"/>
        <w:tblW w:w="4813" w:type="dxa"/>
        <w:tblInd w:w="850" w:type="dxa"/>
        <w:tblLook w:val="04A0" w:firstRow="1" w:lastRow="0" w:firstColumn="1" w:lastColumn="0" w:noHBand="0" w:noVBand="1"/>
      </w:tblPr>
      <w:tblGrid>
        <w:gridCol w:w="3681"/>
        <w:gridCol w:w="1132"/>
      </w:tblGrid>
      <w:tr w:rsidR="00E87D6E" w:rsidRPr="00E87D6E" w14:paraId="45E20FDD" w14:textId="77777777" w:rsidTr="00E87D6E">
        <w:trPr>
          <w:cnfStyle w:val="100000000000" w:firstRow="1" w:lastRow="0" w:firstColumn="0" w:lastColumn="0" w:oddVBand="0" w:evenVBand="0" w:oddHBand="0" w:evenHBand="0" w:firstRowFirstColumn="0" w:firstRowLastColumn="0" w:lastRowFirstColumn="0" w:lastRowLastColumn="0"/>
          <w:trHeight w:val="404"/>
        </w:trPr>
        <w:tc>
          <w:tcPr>
            <w:tcW w:w="4813" w:type="dxa"/>
            <w:gridSpan w:val="2"/>
          </w:tcPr>
          <w:p w14:paraId="18851E24" w14:textId="33521C97" w:rsidR="00E87D6E" w:rsidRPr="00E87D6E" w:rsidRDefault="00E87D6E" w:rsidP="00E87D6E">
            <w:pPr>
              <w:spacing w:before="118"/>
              <w:rPr>
                <w:rFonts w:ascii="Arial" w:hAnsi="Arial" w:cs="Arial"/>
                <w:sz w:val="16"/>
              </w:rPr>
            </w:pPr>
            <w:r w:rsidRPr="00E87D6E">
              <w:rPr>
                <w:rFonts w:ascii="Arial" w:hAnsi="Arial" w:cs="Arial"/>
                <w:sz w:val="16"/>
              </w:rPr>
              <w:t>All</w:t>
            </w:r>
            <w:r w:rsidRPr="00E87D6E">
              <w:rPr>
                <w:rFonts w:ascii="Arial" w:hAnsi="Arial" w:cs="Arial"/>
                <w:spacing w:val="-9"/>
                <w:sz w:val="16"/>
              </w:rPr>
              <w:t xml:space="preserve"> </w:t>
            </w:r>
            <w:r w:rsidRPr="00E87D6E">
              <w:rPr>
                <w:rFonts w:ascii="Arial" w:hAnsi="Arial" w:cs="Arial"/>
                <w:sz w:val="16"/>
              </w:rPr>
              <w:t>operational</w:t>
            </w:r>
            <w:r w:rsidRPr="00E87D6E">
              <w:rPr>
                <w:rFonts w:ascii="Arial" w:hAnsi="Arial" w:cs="Arial"/>
                <w:spacing w:val="-9"/>
                <w:sz w:val="16"/>
              </w:rPr>
              <w:t xml:space="preserve"> </w:t>
            </w:r>
            <w:r w:rsidRPr="00E87D6E">
              <w:rPr>
                <w:rFonts w:ascii="Arial" w:hAnsi="Arial" w:cs="Arial"/>
                <w:sz w:val="16"/>
              </w:rPr>
              <w:t>ICT</w:t>
            </w:r>
            <w:r w:rsidRPr="00E87D6E">
              <w:rPr>
                <w:rFonts w:ascii="Arial" w:hAnsi="Arial" w:cs="Arial"/>
                <w:spacing w:val="-8"/>
                <w:sz w:val="16"/>
              </w:rPr>
              <w:t xml:space="preserve"> </w:t>
            </w:r>
            <w:r w:rsidRPr="00E87D6E">
              <w:rPr>
                <w:rFonts w:ascii="Arial" w:hAnsi="Arial" w:cs="Arial"/>
                <w:sz w:val="16"/>
              </w:rPr>
              <w:t>expenditure</w:t>
            </w:r>
            <w:r w:rsidRPr="00E87D6E">
              <w:rPr>
                <w:rFonts w:ascii="Arial" w:hAnsi="Arial" w:cs="Arial"/>
                <w:spacing w:val="-9"/>
                <w:sz w:val="16"/>
              </w:rPr>
              <w:t xml:space="preserve"> </w:t>
            </w:r>
            <w:r w:rsidRPr="00E87D6E">
              <w:rPr>
                <w:rFonts w:ascii="Arial" w:hAnsi="Arial" w:cs="Arial"/>
                <w:sz w:val="16"/>
              </w:rPr>
              <w:t>($</w:t>
            </w:r>
            <w:r w:rsidRPr="00E87D6E">
              <w:rPr>
                <w:rFonts w:ascii="Arial" w:hAnsi="Arial" w:cs="Arial"/>
                <w:spacing w:val="-8"/>
                <w:sz w:val="16"/>
              </w:rPr>
              <w:t xml:space="preserve"> </w:t>
            </w:r>
            <w:r w:rsidRPr="00E87D6E">
              <w:rPr>
                <w:rFonts w:ascii="Arial" w:hAnsi="Arial" w:cs="Arial"/>
                <w:spacing w:val="-2"/>
                <w:sz w:val="16"/>
              </w:rPr>
              <w:t>million)</w:t>
            </w:r>
          </w:p>
        </w:tc>
      </w:tr>
      <w:tr w:rsidR="00E87D6E" w:rsidRPr="00E87D6E" w14:paraId="335C8337" w14:textId="77777777" w:rsidTr="00E87D6E">
        <w:tc>
          <w:tcPr>
            <w:tcW w:w="3681" w:type="dxa"/>
          </w:tcPr>
          <w:p w14:paraId="0C876163" w14:textId="74E3E60F" w:rsidR="00E87D6E" w:rsidRPr="00E87D6E" w:rsidRDefault="00E87D6E" w:rsidP="00777C15">
            <w:pPr>
              <w:pStyle w:val="Heading3"/>
              <w:ind w:left="0"/>
              <w:rPr>
                <w:b w:val="0"/>
                <w:bCs/>
                <w:sz w:val="16"/>
                <w:szCs w:val="16"/>
              </w:rPr>
            </w:pPr>
            <w:bookmarkStart w:id="194" w:name="_Toc150762496"/>
            <w:r w:rsidRPr="00E87D6E">
              <w:rPr>
                <w:b w:val="0"/>
                <w:bCs/>
                <w:sz w:val="16"/>
                <w:szCs w:val="16"/>
              </w:rPr>
              <w:t>Bu</w:t>
            </w:r>
            <w:r>
              <w:rPr>
                <w:b w:val="0"/>
                <w:bCs/>
                <w:sz w:val="16"/>
                <w:szCs w:val="16"/>
              </w:rPr>
              <w:t>siness-as-usual ICT expenditure (total)</w:t>
            </w:r>
            <w:bookmarkEnd w:id="194"/>
          </w:p>
        </w:tc>
        <w:tc>
          <w:tcPr>
            <w:tcW w:w="1132" w:type="dxa"/>
          </w:tcPr>
          <w:p w14:paraId="40AFCD1C" w14:textId="1171019A" w:rsidR="00E87D6E" w:rsidRPr="00E87D6E" w:rsidRDefault="00E87D6E" w:rsidP="00777C15">
            <w:pPr>
              <w:pStyle w:val="Heading3"/>
              <w:ind w:left="0"/>
              <w:rPr>
                <w:sz w:val="16"/>
                <w:szCs w:val="16"/>
              </w:rPr>
            </w:pPr>
            <w:bookmarkStart w:id="195" w:name="_Toc150762497"/>
            <w:r>
              <w:rPr>
                <w:sz w:val="16"/>
                <w:szCs w:val="16"/>
              </w:rPr>
              <w:t>$13.8</w:t>
            </w:r>
            <w:bookmarkEnd w:id="195"/>
          </w:p>
        </w:tc>
      </w:tr>
      <w:tr w:rsidR="008765A0" w:rsidRPr="00E87D6E" w14:paraId="1537A7DF" w14:textId="77777777" w:rsidTr="00903E53">
        <w:tc>
          <w:tcPr>
            <w:tcW w:w="4813" w:type="dxa"/>
            <w:gridSpan w:val="2"/>
          </w:tcPr>
          <w:p w14:paraId="6D4F45DA" w14:textId="3AC571C6" w:rsidR="008765A0" w:rsidRPr="00E87D6E" w:rsidRDefault="008765A0" w:rsidP="00777C15">
            <w:pPr>
              <w:pStyle w:val="Heading3"/>
              <w:ind w:left="0"/>
              <w:rPr>
                <w:sz w:val="16"/>
                <w:szCs w:val="16"/>
              </w:rPr>
            </w:pPr>
            <w:bookmarkStart w:id="196" w:name="_Toc150762498"/>
            <w:r w:rsidRPr="00E87D6E">
              <w:rPr>
                <w:sz w:val="16"/>
                <w:szCs w:val="16"/>
              </w:rPr>
              <w:t>ICT expenditure related to projects to create or enhance ICT capabilities ($ million)</w:t>
            </w:r>
            <w:bookmarkEnd w:id="196"/>
          </w:p>
        </w:tc>
      </w:tr>
      <w:tr w:rsidR="00E87D6E" w:rsidRPr="00E87D6E" w14:paraId="421E2BED" w14:textId="77777777" w:rsidTr="00E87D6E">
        <w:tc>
          <w:tcPr>
            <w:tcW w:w="3681" w:type="dxa"/>
          </w:tcPr>
          <w:p w14:paraId="132FCA3D" w14:textId="3CAB6526" w:rsidR="00E87D6E" w:rsidRPr="00E87D6E" w:rsidRDefault="00E87D6E" w:rsidP="00E87D6E">
            <w:pPr>
              <w:pStyle w:val="Heading3"/>
              <w:ind w:left="0"/>
              <w:rPr>
                <w:b w:val="0"/>
                <w:bCs/>
                <w:sz w:val="16"/>
                <w:szCs w:val="16"/>
              </w:rPr>
            </w:pPr>
            <w:bookmarkStart w:id="197" w:name="_Toc150762499"/>
            <w:r w:rsidRPr="00E87D6E">
              <w:rPr>
                <w:b w:val="0"/>
                <w:bCs/>
                <w:sz w:val="16"/>
                <w:szCs w:val="16"/>
              </w:rPr>
              <w:t>Non-business-as-usual ICT expenditure</w:t>
            </w:r>
            <w:bookmarkEnd w:id="197"/>
          </w:p>
        </w:tc>
        <w:tc>
          <w:tcPr>
            <w:tcW w:w="1132" w:type="dxa"/>
          </w:tcPr>
          <w:p w14:paraId="2B6E50CA" w14:textId="028A89AA" w:rsidR="00E87D6E" w:rsidRPr="00E87D6E" w:rsidRDefault="00E87D6E" w:rsidP="00E87D6E">
            <w:pPr>
              <w:pStyle w:val="Heading3"/>
              <w:ind w:left="0"/>
              <w:rPr>
                <w:sz w:val="16"/>
                <w:szCs w:val="16"/>
              </w:rPr>
            </w:pPr>
            <w:bookmarkStart w:id="198" w:name="_Toc150762500"/>
            <w:r>
              <w:rPr>
                <w:sz w:val="16"/>
                <w:szCs w:val="16"/>
              </w:rPr>
              <w:t>$9.8</w:t>
            </w:r>
            <w:bookmarkEnd w:id="198"/>
          </w:p>
        </w:tc>
      </w:tr>
      <w:tr w:rsidR="00E87D6E" w:rsidRPr="00E87D6E" w14:paraId="3C85E6CB" w14:textId="77777777" w:rsidTr="00E87D6E">
        <w:tc>
          <w:tcPr>
            <w:tcW w:w="3681" w:type="dxa"/>
          </w:tcPr>
          <w:p w14:paraId="1A87F512" w14:textId="1F66BA30" w:rsidR="00E87D6E" w:rsidRPr="00E87D6E" w:rsidRDefault="00E87D6E" w:rsidP="00E87D6E">
            <w:pPr>
              <w:pStyle w:val="Heading3"/>
              <w:ind w:left="0"/>
              <w:rPr>
                <w:b w:val="0"/>
                <w:bCs/>
                <w:sz w:val="16"/>
                <w:szCs w:val="16"/>
              </w:rPr>
            </w:pPr>
            <w:bookmarkStart w:id="199" w:name="_Toc150762501"/>
            <w:r>
              <w:rPr>
                <w:b w:val="0"/>
                <w:bCs/>
                <w:sz w:val="16"/>
                <w:szCs w:val="16"/>
              </w:rPr>
              <w:t>Operational expenditure</w:t>
            </w:r>
            <w:bookmarkEnd w:id="199"/>
          </w:p>
        </w:tc>
        <w:tc>
          <w:tcPr>
            <w:tcW w:w="1132" w:type="dxa"/>
          </w:tcPr>
          <w:p w14:paraId="6CD18270" w14:textId="17CFFC47" w:rsidR="00E87D6E" w:rsidRPr="00E87D6E" w:rsidRDefault="00E87D6E" w:rsidP="00E87D6E">
            <w:pPr>
              <w:pStyle w:val="Heading3"/>
              <w:ind w:left="0"/>
              <w:rPr>
                <w:sz w:val="16"/>
                <w:szCs w:val="16"/>
              </w:rPr>
            </w:pPr>
            <w:bookmarkStart w:id="200" w:name="_Toc150762502"/>
            <w:r>
              <w:rPr>
                <w:sz w:val="16"/>
                <w:szCs w:val="16"/>
              </w:rPr>
              <w:t>$6.3</w:t>
            </w:r>
            <w:bookmarkEnd w:id="200"/>
          </w:p>
        </w:tc>
      </w:tr>
      <w:tr w:rsidR="00E87D6E" w:rsidRPr="00E87D6E" w14:paraId="742FEE2A" w14:textId="77777777" w:rsidTr="00E87D6E">
        <w:tc>
          <w:tcPr>
            <w:tcW w:w="3681" w:type="dxa"/>
          </w:tcPr>
          <w:p w14:paraId="77F3C6FE" w14:textId="0EA6FF38" w:rsidR="00E87D6E" w:rsidRPr="00E87D6E" w:rsidRDefault="00E87D6E" w:rsidP="00E87D6E">
            <w:pPr>
              <w:pStyle w:val="Heading3"/>
              <w:ind w:left="0"/>
              <w:rPr>
                <w:b w:val="0"/>
                <w:bCs/>
                <w:sz w:val="16"/>
                <w:szCs w:val="16"/>
              </w:rPr>
            </w:pPr>
            <w:bookmarkStart w:id="201" w:name="_Toc150762503"/>
            <w:r>
              <w:rPr>
                <w:b w:val="0"/>
                <w:bCs/>
                <w:sz w:val="16"/>
                <w:szCs w:val="16"/>
              </w:rPr>
              <w:t>Capital expenditure</w:t>
            </w:r>
            <w:bookmarkEnd w:id="201"/>
          </w:p>
        </w:tc>
        <w:tc>
          <w:tcPr>
            <w:tcW w:w="1132" w:type="dxa"/>
          </w:tcPr>
          <w:p w14:paraId="5E2608E4" w14:textId="210DE825" w:rsidR="00E87D6E" w:rsidRPr="00E87D6E" w:rsidRDefault="00E87D6E" w:rsidP="00E87D6E">
            <w:pPr>
              <w:pStyle w:val="Heading3"/>
              <w:ind w:left="0"/>
              <w:rPr>
                <w:sz w:val="16"/>
                <w:szCs w:val="16"/>
              </w:rPr>
            </w:pPr>
            <w:bookmarkStart w:id="202" w:name="_Toc150762504"/>
            <w:r>
              <w:rPr>
                <w:sz w:val="16"/>
                <w:szCs w:val="16"/>
              </w:rPr>
              <w:t>$3.5</w:t>
            </w:r>
            <w:bookmarkEnd w:id="202"/>
          </w:p>
        </w:tc>
      </w:tr>
      <w:tr w:rsidR="00E87D6E" w:rsidRPr="00E87D6E" w14:paraId="62EF76CF" w14:textId="77777777" w:rsidTr="00E87D6E">
        <w:tc>
          <w:tcPr>
            <w:tcW w:w="3681" w:type="dxa"/>
          </w:tcPr>
          <w:p w14:paraId="6DD0AB34" w14:textId="456E7A06" w:rsidR="00E87D6E" w:rsidRPr="00E87D6E" w:rsidRDefault="00E87D6E" w:rsidP="00E87D6E">
            <w:pPr>
              <w:pStyle w:val="Heading3"/>
              <w:ind w:left="0"/>
              <w:rPr>
                <w:b w:val="0"/>
                <w:bCs/>
                <w:sz w:val="16"/>
                <w:szCs w:val="16"/>
              </w:rPr>
            </w:pPr>
            <w:bookmarkStart w:id="203" w:name="_Toc150762505"/>
            <w:r>
              <w:rPr>
                <w:b w:val="0"/>
                <w:bCs/>
                <w:sz w:val="16"/>
                <w:szCs w:val="16"/>
              </w:rPr>
              <w:t>Total ICT expenditure ($ million)</w:t>
            </w:r>
            <w:bookmarkEnd w:id="203"/>
          </w:p>
        </w:tc>
        <w:tc>
          <w:tcPr>
            <w:tcW w:w="1132" w:type="dxa"/>
          </w:tcPr>
          <w:p w14:paraId="7944E418" w14:textId="2D8F8E56" w:rsidR="00E87D6E" w:rsidRPr="00E87D6E" w:rsidRDefault="00E87D6E" w:rsidP="00E87D6E">
            <w:pPr>
              <w:pStyle w:val="Heading3"/>
              <w:ind w:left="0"/>
              <w:rPr>
                <w:sz w:val="16"/>
                <w:szCs w:val="16"/>
              </w:rPr>
            </w:pPr>
            <w:bookmarkStart w:id="204" w:name="_Toc150762506"/>
            <w:r>
              <w:rPr>
                <w:sz w:val="16"/>
                <w:szCs w:val="16"/>
              </w:rPr>
              <w:t>$23.6</w:t>
            </w:r>
            <w:bookmarkEnd w:id="204"/>
          </w:p>
        </w:tc>
      </w:tr>
    </w:tbl>
    <w:p w14:paraId="0288055D" w14:textId="77777777" w:rsidR="00E87D6E" w:rsidRPr="00777C15" w:rsidRDefault="00E87D6E" w:rsidP="00777C15">
      <w:pPr>
        <w:pStyle w:val="Heading3"/>
      </w:pPr>
    </w:p>
    <w:p w14:paraId="71FB0466" w14:textId="42C91A0C" w:rsidR="00084F36" w:rsidRPr="00EB2BD8" w:rsidRDefault="00EB2BD8" w:rsidP="00C315ED">
      <w:pPr>
        <w:pStyle w:val="Heading2"/>
        <w:ind w:left="0"/>
      </w:pPr>
      <w:r w:rsidRPr="00EB2BD8">
        <w:br w:type="column"/>
      </w:r>
      <w:r w:rsidR="00C315ED">
        <w:t xml:space="preserve">    </w:t>
      </w:r>
      <w:bookmarkStart w:id="205" w:name="_Toc150762507"/>
      <w:r w:rsidRPr="00EB2BD8">
        <w:t>Compliance</w:t>
      </w:r>
      <w:r w:rsidRPr="00EB2BD8">
        <w:rPr>
          <w:spacing w:val="-24"/>
        </w:rPr>
        <w:t xml:space="preserve"> </w:t>
      </w:r>
      <w:r w:rsidRPr="00EB2BD8">
        <w:t>with</w:t>
      </w:r>
      <w:r w:rsidRPr="00EB2BD8">
        <w:rPr>
          <w:spacing w:val="-22"/>
        </w:rPr>
        <w:t xml:space="preserve"> </w:t>
      </w:r>
      <w:r w:rsidRPr="00EB2BD8">
        <w:t>the</w:t>
      </w:r>
      <w:r w:rsidRPr="00EB2BD8">
        <w:rPr>
          <w:spacing w:val="-22"/>
        </w:rPr>
        <w:t xml:space="preserve"> </w:t>
      </w:r>
      <w:r w:rsidRPr="00EB2BD8">
        <w:t xml:space="preserve">Building </w:t>
      </w:r>
      <w:r w:rsidR="00C315ED">
        <w:br/>
        <w:t xml:space="preserve">    </w:t>
      </w:r>
      <w:r w:rsidRPr="00EB2BD8">
        <w:rPr>
          <w:spacing w:val="-2"/>
        </w:rPr>
        <w:t>Regulations</w:t>
      </w:r>
      <w:r w:rsidRPr="00EB2BD8">
        <w:rPr>
          <w:spacing w:val="-22"/>
        </w:rPr>
        <w:t xml:space="preserve"> </w:t>
      </w:r>
      <w:r w:rsidRPr="00EB2BD8">
        <w:rPr>
          <w:spacing w:val="-2"/>
        </w:rPr>
        <w:t>2018</w:t>
      </w:r>
      <w:bookmarkEnd w:id="205"/>
    </w:p>
    <w:p w14:paraId="45E4A834" w14:textId="77777777" w:rsidR="00084F36" w:rsidRPr="00EB2BD8" w:rsidRDefault="00EB2BD8" w:rsidP="00777C15">
      <w:pPr>
        <w:pStyle w:val="BodyText"/>
        <w:spacing w:before="174" w:line="261" w:lineRule="auto"/>
        <w:ind w:left="467" w:right="772"/>
      </w:pPr>
      <w:r w:rsidRPr="00EB2BD8">
        <w:t>The Building Regulations 2018 came into effect on 2 June 2018. The Building Regulations are subordinate legislation</w:t>
      </w:r>
      <w:r w:rsidRPr="00EB2BD8">
        <w:rPr>
          <w:spacing w:val="-15"/>
        </w:rPr>
        <w:t xml:space="preserve"> </w:t>
      </w:r>
      <w:r w:rsidRPr="00EB2BD8">
        <w:t>of</w:t>
      </w:r>
      <w:r w:rsidRPr="00EB2BD8">
        <w:rPr>
          <w:spacing w:val="-14"/>
        </w:rPr>
        <w:t xml:space="preserve"> </w:t>
      </w:r>
      <w:r w:rsidRPr="00EB2BD8">
        <w:t>the</w:t>
      </w:r>
      <w:r w:rsidRPr="00EB2BD8">
        <w:rPr>
          <w:spacing w:val="-14"/>
        </w:rPr>
        <w:t xml:space="preserve"> </w:t>
      </w:r>
      <w:r w:rsidRPr="00EB2BD8">
        <w:rPr>
          <w:i/>
        </w:rPr>
        <w:t>Building</w:t>
      </w:r>
      <w:r w:rsidRPr="00EB2BD8">
        <w:rPr>
          <w:i/>
          <w:spacing w:val="-14"/>
        </w:rPr>
        <w:t xml:space="preserve"> </w:t>
      </w:r>
      <w:r w:rsidRPr="00EB2BD8">
        <w:rPr>
          <w:i/>
        </w:rPr>
        <w:t>Act</w:t>
      </w:r>
      <w:r w:rsidRPr="00EB2BD8">
        <w:rPr>
          <w:i/>
          <w:spacing w:val="-15"/>
        </w:rPr>
        <w:t xml:space="preserve"> </w:t>
      </w:r>
      <w:r w:rsidRPr="00EB2BD8">
        <w:rPr>
          <w:i/>
        </w:rPr>
        <w:t>1993</w:t>
      </w:r>
      <w:r w:rsidRPr="00EB2BD8">
        <w:rPr>
          <w:i/>
          <w:spacing w:val="-14"/>
        </w:rPr>
        <w:t xml:space="preserve"> </w:t>
      </w:r>
      <w:r w:rsidRPr="00EB2BD8">
        <w:t>and</w:t>
      </w:r>
      <w:r w:rsidRPr="00EB2BD8">
        <w:rPr>
          <w:spacing w:val="-14"/>
        </w:rPr>
        <w:t xml:space="preserve"> </w:t>
      </w:r>
      <w:r w:rsidRPr="00EB2BD8">
        <w:t>contain,</w:t>
      </w:r>
      <w:r w:rsidRPr="00EB2BD8">
        <w:rPr>
          <w:spacing w:val="-14"/>
        </w:rPr>
        <w:t xml:space="preserve"> </w:t>
      </w:r>
      <w:r w:rsidRPr="00EB2BD8">
        <w:t>among other</w:t>
      </w:r>
      <w:r w:rsidRPr="00EB2BD8">
        <w:rPr>
          <w:spacing w:val="-15"/>
        </w:rPr>
        <w:t xml:space="preserve"> </w:t>
      </w:r>
      <w:r w:rsidRPr="00EB2BD8">
        <w:t>things,</w:t>
      </w:r>
      <w:r w:rsidRPr="00EB2BD8">
        <w:rPr>
          <w:spacing w:val="-14"/>
        </w:rPr>
        <w:t xml:space="preserve"> </w:t>
      </w:r>
      <w:r w:rsidRPr="00EB2BD8">
        <w:t>requirements</w:t>
      </w:r>
      <w:r w:rsidRPr="00EB2BD8">
        <w:rPr>
          <w:spacing w:val="-14"/>
        </w:rPr>
        <w:t xml:space="preserve"> </w:t>
      </w:r>
      <w:r w:rsidRPr="00EB2BD8">
        <w:t>relating</w:t>
      </w:r>
      <w:r w:rsidRPr="00EB2BD8">
        <w:rPr>
          <w:spacing w:val="-14"/>
        </w:rPr>
        <w:t xml:space="preserve"> </w:t>
      </w:r>
      <w:r w:rsidRPr="00EB2BD8">
        <w:t>to</w:t>
      </w:r>
      <w:r w:rsidRPr="00EB2BD8">
        <w:rPr>
          <w:spacing w:val="-15"/>
        </w:rPr>
        <w:t xml:space="preserve"> </w:t>
      </w:r>
      <w:r w:rsidRPr="00EB2BD8">
        <w:t>building</w:t>
      </w:r>
      <w:r w:rsidRPr="00EB2BD8">
        <w:rPr>
          <w:spacing w:val="-14"/>
        </w:rPr>
        <w:t xml:space="preserve"> </w:t>
      </w:r>
      <w:r w:rsidRPr="00EB2BD8">
        <w:t>permits, building inspections, occupancy permits, enforcement and maintenance of buildings.</w:t>
      </w:r>
    </w:p>
    <w:p w14:paraId="7015A323" w14:textId="77777777" w:rsidR="00084F36" w:rsidRPr="00EB2BD8" w:rsidRDefault="00EB2BD8">
      <w:pPr>
        <w:pStyle w:val="BodyText"/>
        <w:spacing w:before="107" w:line="261" w:lineRule="auto"/>
        <w:ind w:left="467" w:right="587"/>
      </w:pPr>
      <w:r w:rsidRPr="00EB2BD8">
        <w:t>The Regulations adopt the Building Code of Australia (BCA),</w:t>
      </w:r>
      <w:r w:rsidRPr="00EB2BD8">
        <w:rPr>
          <w:spacing w:val="-6"/>
        </w:rPr>
        <w:t xml:space="preserve"> </w:t>
      </w:r>
      <w:r w:rsidRPr="00EB2BD8">
        <w:t>which</w:t>
      </w:r>
      <w:r w:rsidRPr="00EB2BD8">
        <w:rPr>
          <w:spacing w:val="-6"/>
        </w:rPr>
        <w:t xml:space="preserve"> </w:t>
      </w:r>
      <w:r w:rsidRPr="00EB2BD8">
        <w:t>is</w:t>
      </w:r>
      <w:r w:rsidRPr="00EB2BD8">
        <w:rPr>
          <w:spacing w:val="-6"/>
        </w:rPr>
        <w:t xml:space="preserve"> </w:t>
      </w:r>
      <w:r w:rsidRPr="00EB2BD8">
        <w:t>part</w:t>
      </w:r>
      <w:r w:rsidRPr="00EB2BD8">
        <w:rPr>
          <w:spacing w:val="-6"/>
        </w:rPr>
        <w:t xml:space="preserve"> </w:t>
      </w:r>
      <w:r w:rsidRPr="00EB2BD8">
        <w:t>of</w:t>
      </w:r>
      <w:r w:rsidRPr="00EB2BD8">
        <w:rPr>
          <w:spacing w:val="-6"/>
        </w:rPr>
        <w:t xml:space="preserve"> </w:t>
      </w:r>
      <w:r w:rsidRPr="00EB2BD8">
        <w:t>the</w:t>
      </w:r>
      <w:r w:rsidRPr="00EB2BD8">
        <w:rPr>
          <w:spacing w:val="-6"/>
        </w:rPr>
        <w:t xml:space="preserve"> </w:t>
      </w:r>
      <w:r w:rsidRPr="00EB2BD8">
        <w:t>National</w:t>
      </w:r>
      <w:r w:rsidRPr="00EB2BD8">
        <w:rPr>
          <w:spacing w:val="-6"/>
        </w:rPr>
        <w:t xml:space="preserve"> </w:t>
      </w:r>
      <w:r w:rsidRPr="00EB2BD8">
        <w:t>Construction</w:t>
      </w:r>
      <w:r w:rsidRPr="00EB2BD8">
        <w:rPr>
          <w:spacing w:val="-6"/>
        </w:rPr>
        <w:t xml:space="preserve"> </w:t>
      </w:r>
      <w:r w:rsidRPr="00EB2BD8">
        <w:t xml:space="preserve">Code </w:t>
      </w:r>
      <w:r w:rsidRPr="00EB2BD8">
        <w:rPr>
          <w:spacing w:val="-2"/>
        </w:rPr>
        <w:t>(NCC).</w:t>
      </w:r>
    </w:p>
    <w:p w14:paraId="0920642A" w14:textId="77777777" w:rsidR="00084F36" w:rsidRPr="00EB2BD8" w:rsidRDefault="00EB2BD8">
      <w:pPr>
        <w:pStyle w:val="BodyText"/>
        <w:spacing w:before="110" w:line="261" w:lineRule="auto"/>
        <w:ind w:left="467" w:right="587"/>
      </w:pPr>
      <w:r w:rsidRPr="00EB2BD8">
        <w:t>Victoria’s</w:t>
      </w:r>
      <w:r w:rsidRPr="00EB2BD8">
        <w:rPr>
          <w:spacing w:val="-5"/>
        </w:rPr>
        <w:t xml:space="preserve"> </w:t>
      </w:r>
      <w:r w:rsidRPr="00EB2BD8">
        <w:t>building</w:t>
      </w:r>
      <w:r w:rsidRPr="00EB2BD8">
        <w:rPr>
          <w:spacing w:val="-5"/>
        </w:rPr>
        <w:t xml:space="preserve"> </w:t>
      </w:r>
      <w:r w:rsidRPr="00EB2BD8">
        <w:t>regulations</w:t>
      </w:r>
      <w:r w:rsidRPr="00EB2BD8">
        <w:rPr>
          <w:spacing w:val="-5"/>
        </w:rPr>
        <w:t xml:space="preserve"> </w:t>
      </w:r>
      <w:r w:rsidRPr="00EB2BD8">
        <w:t>generally</w:t>
      </w:r>
      <w:r w:rsidRPr="00EB2BD8">
        <w:rPr>
          <w:spacing w:val="-5"/>
        </w:rPr>
        <w:t xml:space="preserve"> </w:t>
      </w:r>
      <w:r w:rsidRPr="00EB2BD8">
        <w:t>have</w:t>
      </w:r>
      <w:r w:rsidRPr="00EB2BD8">
        <w:rPr>
          <w:spacing w:val="-5"/>
        </w:rPr>
        <w:t xml:space="preserve"> </w:t>
      </w:r>
      <w:r w:rsidRPr="00EB2BD8">
        <w:t>a</w:t>
      </w:r>
      <w:r w:rsidRPr="00EB2BD8">
        <w:rPr>
          <w:spacing w:val="-5"/>
        </w:rPr>
        <w:t xml:space="preserve"> </w:t>
      </w:r>
      <w:r w:rsidRPr="00EB2BD8">
        <w:t>ten</w:t>
      </w:r>
      <w:r w:rsidRPr="00EB2BD8">
        <w:rPr>
          <w:spacing w:val="-5"/>
        </w:rPr>
        <w:t xml:space="preserve"> </w:t>
      </w:r>
      <w:r w:rsidRPr="00EB2BD8">
        <w:t>year shelf life before undergoing a comprehensive review to ensure they remain fit-for-purpose and meet intended objectives. The VBA is a key stakeholder in the review process and implementation of the Regulations.</w:t>
      </w:r>
    </w:p>
    <w:p w14:paraId="3AAF48D8" w14:textId="3BF23F33" w:rsidR="00084F36" w:rsidRPr="00EB2BD8" w:rsidRDefault="00EB2BD8">
      <w:pPr>
        <w:pStyle w:val="BodyText"/>
        <w:spacing w:before="109" w:line="261" w:lineRule="auto"/>
        <w:ind w:left="467" w:right="587"/>
      </w:pPr>
      <w:r w:rsidRPr="00EB2BD8">
        <w:t>The</w:t>
      </w:r>
      <w:r w:rsidRPr="00EB2BD8">
        <w:rPr>
          <w:spacing w:val="-15"/>
        </w:rPr>
        <w:t xml:space="preserve"> </w:t>
      </w:r>
      <w:r w:rsidRPr="00EB2BD8">
        <w:t>VBA</w:t>
      </w:r>
      <w:r w:rsidRPr="00EB2BD8">
        <w:rPr>
          <w:spacing w:val="-14"/>
        </w:rPr>
        <w:t xml:space="preserve"> </w:t>
      </w:r>
      <w:r w:rsidRPr="00EB2BD8">
        <w:t>adheres</w:t>
      </w:r>
      <w:r w:rsidRPr="00EB2BD8">
        <w:rPr>
          <w:spacing w:val="-14"/>
        </w:rPr>
        <w:t xml:space="preserve"> </w:t>
      </w:r>
      <w:r w:rsidRPr="00EB2BD8">
        <w:t>to</w:t>
      </w:r>
      <w:r w:rsidRPr="00EB2BD8">
        <w:rPr>
          <w:spacing w:val="-14"/>
        </w:rPr>
        <w:t xml:space="preserve"> </w:t>
      </w:r>
      <w:r w:rsidRPr="00EB2BD8">
        <w:t>the</w:t>
      </w:r>
      <w:r w:rsidRPr="00EB2BD8">
        <w:rPr>
          <w:spacing w:val="-15"/>
        </w:rPr>
        <w:t xml:space="preserve"> </w:t>
      </w:r>
      <w:r w:rsidRPr="00EB2BD8">
        <w:t>Building</w:t>
      </w:r>
      <w:r w:rsidRPr="00EB2BD8">
        <w:rPr>
          <w:spacing w:val="-14"/>
        </w:rPr>
        <w:t xml:space="preserve"> </w:t>
      </w:r>
      <w:r w:rsidRPr="00EB2BD8">
        <w:t>Regulations</w:t>
      </w:r>
      <w:r w:rsidRPr="00EB2BD8">
        <w:rPr>
          <w:spacing w:val="-14"/>
        </w:rPr>
        <w:t xml:space="preserve"> </w:t>
      </w:r>
      <w:r w:rsidRPr="00EB2BD8">
        <w:t>2018</w:t>
      </w:r>
      <w:r w:rsidRPr="00EB2BD8">
        <w:rPr>
          <w:spacing w:val="-14"/>
        </w:rPr>
        <w:t xml:space="preserve"> </w:t>
      </w:r>
      <w:r w:rsidRPr="00EB2BD8">
        <w:t>when undertaking its activities.</w:t>
      </w:r>
    </w:p>
    <w:p w14:paraId="718A5909"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2" w:space="720" w:equalWidth="0">
            <w:col w:w="5673" w:space="40"/>
            <w:col w:w="6197"/>
          </w:cols>
        </w:sectPr>
      </w:pPr>
    </w:p>
    <w:p w14:paraId="6386B4EA" w14:textId="77777777" w:rsidR="00084F36" w:rsidRPr="00EB2BD8" w:rsidRDefault="00084F36">
      <w:pPr>
        <w:pStyle w:val="BodyText"/>
        <w:spacing w:before="6"/>
        <w:rPr>
          <w:sz w:val="13"/>
        </w:rPr>
      </w:pPr>
    </w:p>
    <w:p w14:paraId="41D75E95" w14:textId="77777777" w:rsidR="00084F36" w:rsidRPr="00EB2BD8" w:rsidRDefault="00084F36">
      <w:pPr>
        <w:rPr>
          <w:sz w:val="13"/>
        </w:rPr>
        <w:sectPr w:rsidR="00084F36" w:rsidRPr="00EB2BD8" w:rsidSect="006D75B2">
          <w:type w:val="continuous"/>
          <w:pgSz w:w="11910" w:h="16840"/>
          <w:pgMar w:top="1920" w:right="0" w:bottom="280" w:left="0" w:header="0" w:footer="515" w:gutter="0"/>
          <w:cols w:space="720"/>
        </w:sectPr>
      </w:pPr>
    </w:p>
    <w:p w14:paraId="03C1874C" w14:textId="77E99B8E" w:rsidR="00084F36" w:rsidRPr="00EB2BD8" w:rsidRDefault="00EB2BD8">
      <w:pPr>
        <w:spacing w:before="111"/>
        <w:jc w:val="right"/>
        <w:rPr>
          <w:sz w:val="16"/>
        </w:rPr>
      </w:pPr>
      <w:r w:rsidRPr="00EB2BD8">
        <w:br w:type="column"/>
      </w:r>
    </w:p>
    <w:p w14:paraId="3270187F" w14:textId="5B84FB14" w:rsidR="00084F36" w:rsidRPr="00EB2BD8" w:rsidRDefault="00EB2BD8" w:rsidP="00C315ED">
      <w:pPr>
        <w:pStyle w:val="Heading2"/>
        <w:ind w:left="0"/>
      </w:pPr>
      <w:r w:rsidRPr="00EB2BD8">
        <w:br w:type="column"/>
      </w:r>
      <w:r w:rsidR="00C315ED">
        <w:t xml:space="preserve">     </w:t>
      </w:r>
      <w:bookmarkStart w:id="206" w:name="_Toc150762508"/>
      <w:r w:rsidRPr="00EB2BD8">
        <w:t>Compliance</w:t>
      </w:r>
      <w:r w:rsidRPr="00EB2BD8">
        <w:rPr>
          <w:spacing w:val="-24"/>
        </w:rPr>
        <w:t xml:space="preserve"> </w:t>
      </w:r>
      <w:r w:rsidRPr="00EB2BD8">
        <w:t>with</w:t>
      </w:r>
      <w:r w:rsidRPr="00EB2BD8">
        <w:rPr>
          <w:spacing w:val="-22"/>
        </w:rPr>
        <w:t xml:space="preserve"> </w:t>
      </w:r>
      <w:r w:rsidRPr="00EB2BD8">
        <w:t>the</w:t>
      </w:r>
      <w:r w:rsidRPr="00EB2BD8">
        <w:rPr>
          <w:spacing w:val="-22"/>
        </w:rPr>
        <w:t xml:space="preserve"> </w:t>
      </w:r>
      <w:r w:rsidRPr="00EB2BD8">
        <w:t>Plumbing</w:t>
      </w:r>
      <w:r w:rsidR="00C315ED">
        <w:br/>
        <w:t xml:space="preserve">     </w:t>
      </w:r>
      <w:r w:rsidRPr="00EB2BD8">
        <w:rPr>
          <w:spacing w:val="-2"/>
        </w:rPr>
        <w:t>Regulations</w:t>
      </w:r>
      <w:r w:rsidRPr="00EB2BD8">
        <w:rPr>
          <w:spacing w:val="-22"/>
        </w:rPr>
        <w:t xml:space="preserve"> </w:t>
      </w:r>
      <w:r w:rsidRPr="00EB2BD8">
        <w:rPr>
          <w:spacing w:val="-2"/>
        </w:rPr>
        <w:t>2018</w:t>
      </w:r>
      <w:bookmarkEnd w:id="206"/>
    </w:p>
    <w:p w14:paraId="11688839" w14:textId="25F2CB4D" w:rsidR="00084F36" w:rsidRPr="00EB2BD8" w:rsidRDefault="00EB2BD8" w:rsidP="00877135">
      <w:pPr>
        <w:pStyle w:val="BodyText"/>
        <w:spacing w:before="174" w:line="261" w:lineRule="auto"/>
        <w:ind w:left="426" w:right="1240"/>
        <w:jc w:val="both"/>
      </w:pPr>
      <w:r w:rsidRPr="00EB2BD8">
        <w:t>The</w:t>
      </w:r>
      <w:r w:rsidRPr="00EB2BD8">
        <w:rPr>
          <w:spacing w:val="-13"/>
        </w:rPr>
        <w:t xml:space="preserve"> </w:t>
      </w:r>
      <w:r w:rsidRPr="00EB2BD8">
        <w:t>Plumbing</w:t>
      </w:r>
      <w:r w:rsidRPr="00EB2BD8">
        <w:rPr>
          <w:spacing w:val="-13"/>
        </w:rPr>
        <w:t xml:space="preserve"> </w:t>
      </w:r>
      <w:r w:rsidRPr="00EB2BD8">
        <w:t>Regulations</w:t>
      </w:r>
      <w:r w:rsidRPr="00EB2BD8">
        <w:rPr>
          <w:spacing w:val="-13"/>
        </w:rPr>
        <w:t xml:space="preserve"> </w:t>
      </w:r>
      <w:r w:rsidRPr="00EB2BD8">
        <w:t>2018</w:t>
      </w:r>
      <w:r w:rsidRPr="00EB2BD8">
        <w:rPr>
          <w:spacing w:val="-13"/>
        </w:rPr>
        <w:t xml:space="preserve"> </w:t>
      </w:r>
      <w:r w:rsidRPr="00EB2BD8">
        <w:t>came</w:t>
      </w:r>
      <w:r w:rsidRPr="00EB2BD8">
        <w:rPr>
          <w:spacing w:val="-13"/>
        </w:rPr>
        <w:t xml:space="preserve"> </w:t>
      </w:r>
      <w:r w:rsidRPr="00EB2BD8">
        <w:t>into</w:t>
      </w:r>
      <w:r w:rsidRPr="00EB2BD8">
        <w:rPr>
          <w:spacing w:val="-13"/>
        </w:rPr>
        <w:t xml:space="preserve"> </w:t>
      </w:r>
      <w:r w:rsidRPr="00EB2BD8">
        <w:t>effect</w:t>
      </w:r>
      <w:r w:rsidRPr="00EB2BD8">
        <w:rPr>
          <w:spacing w:val="-13"/>
        </w:rPr>
        <w:t xml:space="preserve"> </w:t>
      </w:r>
      <w:r w:rsidRPr="00EB2BD8">
        <w:t>on 18</w:t>
      </w:r>
      <w:r w:rsidRPr="00EB2BD8">
        <w:rPr>
          <w:spacing w:val="-15"/>
        </w:rPr>
        <w:t xml:space="preserve"> </w:t>
      </w:r>
      <w:r w:rsidRPr="00EB2BD8">
        <w:t>November</w:t>
      </w:r>
      <w:r w:rsidRPr="00EB2BD8">
        <w:rPr>
          <w:spacing w:val="-14"/>
        </w:rPr>
        <w:t xml:space="preserve"> </w:t>
      </w:r>
      <w:r w:rsidRPr="00EB2BD8">
        <w:t>2018.</w:t>
      </w:r>
      <w:r w:rsidRPr="00EB2BD8">
        <w:rPr>
          <w:spacing w:val="-14"/>
        </w:rPr>
        <w:t xml:space="preserve"> </w:t>
      </w:r>
      <w:r w:rsidRPr="00EB2BD8">
        <w:t>The</w:t>
      </w:r>
      <w:r w:rsidRPr="00EB2BD8">
        <w:rPr>
          <w:spacing w:val="-14"/>
        </w:rPr>
        <w:t xml:space="preserve"> </w:t>
      </w:r>
      <w:r w:rsidRPr="00EB2BD8">
        <w:t>Plumbing</w:t>
      </w:r>
      <w:r w:rsidRPr="00EB2BD8">
        <w:rPr>
          <w:spacing w:val="-15"/>
        </w:rPr>
        <w:t xml:space="preserve"> </w:t>
      </w:r>
      <w:r w:rsidRPr="00EB2BD8">
        <w:t>Regulations</w:t>
      </w:r>
      <w:r w:rsidRPr="00EB2BD8">
        <w:rPr>
          <w:spacing w:val="-14"/>
        </w:rPr>
        <w:t xml:space="preserve"> </w:t>
      </w:r>
      <w:r w:rsidRPr="00EB2BD8">
        <w:t>are</w:t>
      </w:r>
      <w:r w:rsidRPr="00EB2BD8">
        <w:rPr>
          <w:spacing w:val="-14"/>
        </w:rPr>
        <w:t xml:space="preserve"> </w:t>
      </w:r>
      <w:r w:rsidRPr="00EB2BD8">
        <w:t xml:space="preserve">a </w:t>
      </w:r>
      <w:r w:rsidRPr="00EB2BD8">
        <w:rPr>
          <w:spacing w:val="-2"/>
        </w:rPr>
        <w:t>subordinate</w:t>
      </w:r>
      <w:r w:rsidRPr="00EB2BD8">
        <w:rPr>
          <w:spacing w:val="-7"/>
        </w:rPr>
        <w:t xml:space="preserve"> </w:t>
      </w:r>
      <w:r w:rsidRPr="00EB2BD8">
        <w:rPr>
          <w:spacing w:val="-2"/>
        </w:rPr>
        <w:t>legislation</w:t>
      </w:r>
      <w:r w:rsidRPr="00EB2BD8">
        <w:rPr>
          <w:spacing w:val="-7"/>
        </w:rPr>
        <w:t xml:space="preserve"> </w:t>
      </w:r>
      <w:r w:rsidRPr="00EB2BD8">
        <w:rPr>
          <w:spacing w:val="-2"/>
        </w:rPr>
        <w:t>of</w:t>
      </w:r>
      <w:r w:rsidRPr="00EB2BD8">
        <w:rPr>
          <w:spacing w:val="-7"/>
        </w:rPr>
        <w:t xml:space="preserve"> </w:t>
      </w:r>
      <w:r w:rsidRPr="00EB2BD8">
        <w:rPr>
          <w:spacing w:val="-2"/>
        </w:rPr>
        <w:t>the</w:t>
      </w:r>
      <w:r w:rsidRPr="00EB2BD8">
        <w:rPr>
          <w:spacing w:val="-7"/>
        </w:rPr>
        <w:t xml:space="preserve"> </w:t>
      </w:r>
      <w:r w:rsidRPr="00EB2BD8">
        <w:rPr>
          <w:i/>
          <w:spacing w:val="-2"/>
        </w:rPr>
        <w:t>Building</w:t>
      </w:r>
      <w:r w:rsidRPr="00EB2BD8">
        <w:rPr>
          <w:i/>
          <w:spacing w:val="-7"/>
        </w:rPr>
        <w:t xml:space="preserve"> </w:t>
      </w:r>
      <w:r w:rsidRPr="00EB2BD8">
        <w:rPr>
          <w:i/>
          <w:spacing w:val="-2"/>
        </w:rPr>
        <w:t>Act</w:t>
      </w:r>
      <w:r w:rsidRPr="00EB2BD8">
        <w:rPr>
          <w:i/>
          <w:spacing w:val="-7"/>
        </w:rPr>
        <w:t xml:space="preserve"> </w:t>
      </w:r>
      <w:r w:rsidRPr="00EB2BD8">
        <w:rPr>
          <w:i/>
          <w:spacing w:val="-2"/>
        </w:rPr>
        <w:t>1993</w:t>
      </w:r>
      <w:r w:rsidRPr="00EB2BD8">
        <w:rPr>
          <w:i/>
          <w:spacing w:val="-7"/>
        </w:rPr>
        <w:t xml:space="preserve"> </w:t>
      </w:r>
      <w:r w:rsidRPr="00EB2BD8">
        <w:rPr>
          <w:spacing w:val="-5"/>
        </w:rPr>
        <w:t>and</w:t>
      </w:r>
    </w:p>
    <w:p w14:paraId="0319A56B" w14:textId="77777777" w:rsidR="00877135" w:rsidRPr="00EB2BD8" w:rsidRDefault="00EB2BD8" w:rsidP="00877135">
      <w:pPr>
        <w:pStyle w:val="BodyText"/>
        <w:spacing w:line="261" w:lineRule="auto"/>
        <w:ind w:left="426" w:right="872"/>
      </w:pPr>
      <w:r w:rsidRPr="00EB2BD8">
        <w:t>contain,</w:t>
      </w:r>
      <w:r w:rsidRPr="00EB2BD8">
        <w:rPr>
          <w:spacing w:val="-11"/>
        </w:rPr>
        <w:t xml:space="preserve"> </w:t>
      </w:r>
      <w:r w:rsidRPr="00EB2BD8">
        <w:t>among</w:t>
      </w:r>
      <w:r w:rsidRPr="00EB2BD8">
        <w:rPr>
          <w:spacing w:val="-11"/>
        </w:rPr>
        <w:t xml:space="preserve"> </w:t>
      </w:r>
      <w:r w:rsidRPr="00EB2BD8">
        <w:t>other</w:t>
      </w:r>
      <w:r w:rsidRPr="00EB2BD8">
        <w:rPr>
          <w:spacing w:val="-11"/>
        </w:rPr>
        <w:t xml:space="preserve"> </w:t>
      </w:r>
      <w:r w:rsidRPr="00EB2BD8">
        <w:t>things,</w:t>
      </w:r>
      <w:r w:rsidRPr="00EB2BD8">
        <w:rPr>
          <w:spacing w:val="-11"/>
        </w:rPr>
        <w:t xml:space="preserve"> </w:t>
      </w:r>
      <w:r w:rsidRPr="00EB2BD8">
        <w:t>the</w:t>
      </w:r>
      <w:r w:rsidRPr="00EB2BD8">
        <w:rPr>
          <w:spacing w:val="-11"/>
        </w:rPr>
        <w:t xml:space="preserve"> </w:t>
      </w:r>
      <w:r w:rsidRPr="00EB2BD8">
        <w:t>aspects</w:t>
      </w:r>
      <w:r w:rsidRPr="00EB2BD8">
        <w:rPr>
          <w:spacing w:val="-11"/>
        </w:rPr>
        <w:t xml:space="preserve"> </w:t>
      </w:r>
      <w:r w:rsidRPr="00EB2BD8">
        <w:t>of</w:t>
      </w:r>
      <w:r w:rsidRPr="00EB2BD8">
        <w:rPr>
          <w:spacing w:val="-11"/>
        </w:rPr>
        <w:t xml:space="preserve"> </w:t>
      </w:r>
      <w:r w:rsidRPr="00EB2BD8">
        <w:t>plumbing work related to the scope of work for all classes of</w:t>
      </w:r>
      <w:r w:rsidR="00877135">
        <w:t xml:space="preserve"> </w:t>
      </w:r>
      <w:r w:rsidR="00877135" w:rsidRPr="00EB2BD8">
        <w:t>plumbing work and specialised plumbing work, the qualifications and experience eligibility requirements for registration and licensing of each class, the fees payable for registration and licensing applications and the price of compliance certificates and additional technical requirements with which work performed in specified classes of plumbing must comply.</w:t>
      </w:r>
    </w:p>
    <w:p w14:paraId="09EBA7A8" w14:textId="77777777" w:rsidR="00877135" w:rsidRDefault="00877135" w:rsidP="00877135">
      <w:pPr>
        <w:pStyle w:val="BodyText"/>
        <w:spacing w:before="101" w:line="261" w:lineRule="auto"/>
        <w:ind w:left="426" w:right="872"/>
      </w:pPr>
      <w:r w:rsidRPr="00EB2BD8">
        <w:t>The</w:t>
      </w:r>
      <w:r w:rsidRPr="00EB2BD8">
        <w:rPr>
          <w:spacing w:val="-15"/>
        </w:rPr>
        <w:t xml:space="preserve"> </w:t>
      </w:r>
      <w:r w:rsidRPr="00EB2BD8">
        <w:t>VBA</w:t>
      </w:r>
      <w:r w:rsidRPr="00EB2BD8">
        <w:rPr>
          <w:spacing w:val="-14"/>
        </w:rPr>
        <w:t xml:space="preserve"> </w:t>
      </w:r>
      <w:r w:rsidRPr="00EB2BD8">
        <w:t>adheres</w:t>
      </w:r>
      <w:r w:rsidRPr="00EB2BD8">
        <w:rPr>
          <w:spacing w:val="-14"/>
        </w:rPr>
        <w:t xml:space="preserve"> </w:t>
      </w:r>
      <w:r w:rsidRPr="00EB2BD8">
        <w:t>to</w:t>
      </w:r>
      <w:r w:rsidRPr="00EB2BD8">
        <w:rPr>
          <w:spacing w:val="-14"/>
        </w:rPr>
        <w:t xml:space="preserve"> </w:t>
      </w:r>
      <w:r w:rsidRPr="00EB2BD8">
        <w:t>the</w:t>
      </w:r>
      <w:r w:rsidRPr="00EB2BD8">
        <w:rPr>
          <w:spacing w:val="-15"/>
        </w:rPr>
        <w:t xml:space="preserve"> </w:t>
      </w:r>
      <w:r w:rsidRPr="00EB2BD8">
        <w:t>Plumbing</w:t>
      </w:r>
      <w:r w:rsidRPr="00EB2BD8">
        <w:rPr>
          <w:spacing w:val="-14"/>
        </w:rPr>
        <w:t xml:space="preserve"> </w:t>
      </w:r>
      <w:r w:rsidRPr="00EB2BD8">
        <w:t>Regulations</w:t>
      </w:r>
      <w:r w:rsidRPr="00EB2BD8">
        <w:rPr>
          <w:spacing w:val="-14"/>
        </w:rPr>
        <w:t xml:space="preserve"> </w:t>
      </w:r>
      <w:r w:rsidRPr="00EB2BD8">
        <w:t>2018 when undertaking its activities.</w:t>
      </w:r>
    </w:p>
    <w:p w14:paraId="522C0509" w14:textId="77777777" w:rsidR="00877135" w:rsidRPr="00EB2BD8" w:rsidRDefault="00877135" w:rsidP="00877135">
      <w:pPr>
        <w:pStyle w:val="BodyText"/>
        <w:spacing w:before="101" w:line="261" w:lineRule="auto"/>
        <w:ind w:left="426" w:right="872"/>
      </w:pPr>
    </w:p>
    <w:p w14:paraId="723E9C24" w14:textId="308B8AD6" w:rsidR="00084F36" w:rsidRPr="00EB2BD8" w:rsidRDefault="00084F36">
      <w:pPr>
        <w:pStyle w:val="BodyText"/>
        <w:spacing w:line="261" w:lineRule="auto"/>
        <w:ind w:left="452" w:right="1047"/>
        <w:jc w:val="both"/>
      </w:pPr>
    </w:p>
    <w:p w14:paraId="66F8FC13" w14:textId="77777777" w:rsidR="00084F36" w:rsidRPr="00EB2BD8" w:rsidRDefault="00084F36">
      <w:pPr>
        <w:spacing w:line="261" w:lineRule="auto"/>
        <w:jc w:val="both"/>
        <w:sectPr w:rsidR="00084F36" w:rsidRPr="00EB2BD8" w:rsidSect="006D75B2">
          <w:type w:val="continuous"/>
          <w:pgSz w:w="11910" w:h="16840"/>
          <w:pgMar w:top="1920" w:right="0" w:bottom="280" w:left="0" w:header="0" w:footer="515" w:gutter="0"/>
          <w:cols w:num="3" w:space="720" w:equalWidth="0">
            <w:col w:w="3688" w:space="674"/>
            <w:col w:w="1326" w:space="40"/>
            <w:col w:w="6182"/>
          </w:cols>
        </w:sectPr>
      </w:pPr>
    </w:p>
    <w:p w14:paraId="76063758" w14:textId="60CDDB98" w:rsidR="00084F36" w:rsidRPr="00EB2BD8" w:rsidRDefault="00EB2BD8" w:rsidP="00877135">
      <w:pPr>
        <w:tabs>
          <w:tab w:val="left" w:pos="5384"/>
        </w:tabs>
        <w:spacing w:before="4"/>
        <w:ind w:left="963"/>
        <w:rPr>
          <w:sz w:val="4"/>
        </w:rPr>
      </w:pPr>
      <w:r w:rsidRPr="00EB2BD8">
        <w:rPr>
          <w:sz w:val="16"/>
        </w:rPr>
        <w:tab/>
      </w:r>
    </w:p>
    <w:p w14:paraId="20D70CDF" w14:textId="31B91BC6" w:rsidR="00084F36" w:rsidRPr="00EB2BD8" w:rsidRDefault="00084F36">
      <w:pPr>
        <w:pStyle w:val="BodyText"/>
        <w:spacing w:before="2"/>
        <w:rPr>
          <w:b/>
          <w:sz w:val="4"/>
        </w:rPr>
      </w:pPr>
    </w:p>
    <w:p w14:paraId="751591CA" w14:textId="77777777" w:rsidR="00084F36" w:rsidRPr="00EB2BD8" w:rsidRDefault="00084F36">
      <w:pPr>
        <w:pStyle w:val="BodyText"/>
        <w:rPr>
          <w:b/>
          <w:sz w:val="20"/>
        </w:rPr>
      </w:pPr>
    </w:p>
    <w:p w14:paraId="6AEDA616" w14:textId="77777777" w:rsidR="00084F36" w:rsidRPr="00EB2BD8" w:rsidRDefault="00EB2BD8" w:rsidP="00C315ED">
      <w:pPr>
        <w:pStyle w:val="Heading2"/>
      </w:pPr>
      <w:bookmarkStart w:id="207" w:name="_Toc150762509"/>
      <w:r w:rsidRPr="00EB2BD8">
        <w:lastRenderedPageBreak/>
        <w:t>Compliance</w:t>
      </w:r>
      <w:r w:rsidRPr="00EB2BD8">
        <w:rPr>
          <w:spacing w:val="-16"/>
        </w:rPr>
        <w:t xml:space="preserve"> </w:t>
      </w:r>
      <w:r w:rsidRPr="00EB2BD8">
        <w:t>with</w:t>
      </w:r>
      <w:r w:rsidRPr="00EB2BD8">
        <w:rPr>
          <w:spacing w:val="-16"/>
        </w:rPr>
        <w:t xml:space="preserve"> </w:t>
      </w:r>
      <w:r w:rsidRPr="00EB2BD8">
        <w:t>the</w:t>
      </w:r>
      <w:bookmarkEnd w:id="207"/>
    </w:p>
    <w:p w14:paraId="3A0996F9" w14:textId="77777777" w:rsidR="00084F36" w:rsidRPr="00EB2BD8" w:rsidRDefault="00EB2BD8" w:rsidP="00C315ED">
      <w:pPr>
        <w:pStyle w:val="Heading2"/>
        <w:rPr>
          <w:i/>
          <w:sz w:val="28"/>
        </w:rPr>
      </w:pPr>
      <w:bookmarkStart w:id="208" w:name="_Toc150762510"/>
      <w:r w:rsidRPr="00EB2BD8">
        <w:rPr>
          <w:i/>
          <w:sz w:val="28"/>
        </w:rPr>
        <w:t>Building</w:t>
      </w:r>
      <w:r w:rsidRPr="00EB2BD8">
        <w:rPr>
          <w:i/>
          <w:spacing w:val="-19"/>
          <w:sz w:val="28"/>
        </w:rPr>
        <w:t xml:space="preserve"> </w:t>
      </w:r>
      <w:r w:rsidRPr="00EB2BD8">
        <w:rPr>
          <w:i/>
          <w:sz w:val="28"/>
        </w:rPr>
        <w:t>Act</w:t>
      </w:r>
      <w:r w:rsidRPr="00EB2BD8">
        <w:rPr>
          <w:i/>
          <w:spacing w:val="-18"/>
          <w:sz w:val="28"/>
        </w:rPr>
        <w:t xml:space="preserve"> </w:t>
      </w:r>
      <w:r w:rsidRPr="00EB2BD8">
        <w:rPr>
          <w:i/>
          <w:sz w:val="28"/>
        </w:rPr>
        <w:t>1993</w:t>
      </w:r>
      <w:bookmarkEnd w:id="208"/>
    </w:p>
    <w:p w14:paraId="1CF1A766" w14:textId="77777777" w:rsidR="00084F36" w:rsidRPr="00EB2BD8" w:rsidRDefault="00EB2BD8">
      <w:pPr>
        <w:pStyle w:val="BodyText"/>
        <w:spacing w:before="168" w:line="261" w:lineRule="auto"/>
        <w:ind w:left="850"/>
      </w:pPr>
      <w:r w:rsidRPr="00EB2BD8">
        <w:t>The VBA owns regional offices in Ballarat, Bendigo, Morwell and Wangaratta. The VBA conducts annual inspections of these buildings to ensure they remain compliant and are maintained to the best possible standard.</w:t>
      </w:r>
      <w:r w:rsidRPr="00EB2BD8">
        <w:rPr>
          <w:spacing w:val="-3"/>
        </w:rPr>
        <w:t xml:space="preserve"> </w:t>
      </w:r>
      <w:r w:rsidRPr="00EB2BD8">
        <w:t>Reports</w:t>
      </w:r>
      <w:r w:rsidRPr="00EB2BD8">
        <w:rPr>
          <w:spacing w:val="-3"/>
        </w:rPr>
        <w:t xml:space="preserve"> </w:t>
      </w:r>
      <w:r w:rsidRPr="00EB2BD8">
        <w:t>are</w:t>
      </w:r>
      <w:r w:rsidRPr="00EB2BD8">
        <w:rPr>
          <w:spacing w:val="-3"/>
        </w:rPr>
        <w:t xml:space="preserve"> </w:t>
      </w:r>
      <w:r w:rsidRPr="00EB2BD8">
        <w:t>provided</w:t>
      </w:r>
      <w:r w:rsidRPr="00EB2BD8">
        <w:rPr>
          <w:spacing w:val="-3"/>
        </w:rPr>
        <w:t xml:space="preserve"> </w:t>
      </w:r>
      <w:r w:rsidRPr="00EB2BD8">
        <w:t>to</w:t>
      </w:r>
      <w:r w:rsidRPr="00EB2BD8">
        <w:rPr>
          <w:spacing w:val="-3"/>
        </w:rPr>
        <w:t xml:space="preserve"> </w:t>
      </w:r>
      <w:r w:rsidRPr="00EB2BD8">
        <w:t>management</w:t>
      </w:r>
      <w:r w:rsidRPr="00EB2BD8">
        <w:rPr>
          <w:spacing w:val="-3"/>
        </w:rPr>
        <w:t xml:space="preserve"> </w:t>
      </w:r>
      <w:r w:rsidRPr="00EB2BD8">
        <w:t>to</w:t>
      </w:r>
      <w:r w:rsidRPr="00EB2BD8">
        <w:rPr>
          <w:spacing w:val="-3"/>
        </w:rPr>
        <w:t xml:space="preserve"> </w:t>
      </w:r>
      <w:r w:rsidRPr="00EB2BD8">
        <w:t>ensure compliance</w:t>
      </w:r>
      <w:r w:rsidRPr="00EB2BD8">
        <w:rPr>
          <w:spacing w:val="-2"/>
        </w:rPr>
        <w:t xml:space="preserve"> </w:t>
      </w:r>
      <w:r w:rsidRPr="00EB2BD8">
        <w:t>with</w:t>
      </w:r>
      <w:r w:rsidRPr="00EB2BD8">
        <w:rPr>
          <w:spacing w:val="-2"/>
        </w:rPr>
        <w:t xml:space="preserve"> </w:t>
      </w:r>
      <w:r w:rsidRPr="00EB2BD8">
        <w:t>building</w:t>
      </w:r>
      <w:r w:rsidRPr="00EB2BD8">
        <w:rPr>
          <w:spacing w:val="-2"/>
        </w:rPr>
        <w:t xml:space="preserve"> </w:t>
      </w:r>
      <w:r w:rsidRPr="00EB2BD8">
        <w:t>standards</w:t>
      </w:r>
      <w:r w:rsidRPr="00EB2BD8">
        <w:rPr>
          <w:spacing w:val="-2"/>
        </w:rPr>
        <w:t xml:space="preserve"> </w:t>
      </w:r>
      <w:r w:rsidRPr="00EB2BD8">
        <w:t>and</w:t>
      </w:r>
      <w:r w:rsidRPr="00EB2BD8">
        <w:rPr>
          <w:spacing w:val="-2"/>
        </w:rPr>
        <w:t xml:space="preserve"> </w:t>
      </w:r>
      <w:r w:rsidRPr="00EB2BD8">
        <w:t>regulations</w:t>
      </w:r>
      <w:r w:rsidRPr="00EB2BD8">
        <w:rPr>
          <w:spacing w:val="-2"/>
        </w:rPr>
        <w:t xml:space="preserve"> </w:t>
      </w:r>
      <w:r w:rsidRPr="00EB2BD8">
        <w:t>is</w:t>
      </w:r>
      <w:r w:rsidRPr="00EB2BD8">
        <w:rPr>
          <w:spacing w:val="-2"/>
        </w:rPr>
        <w:t xml:space="preserve"> </w:t>
      </w:r>
      <w:r w:rsidRPr="00EB2BD8">
        <w:t>up to</w:t>
      </w:r>
      <w:r w:rsidRPr="00EB2BD8">
        <w:rPr>
          <w:spacing w:val="-6"/>
        </w:rPr>
        <w:t xml:space="preserve"> </w:t>
      </w:r>
      <w:r w:rsidRPr="00EB2BD8">
        <w:t>date.</w:t>
      </w:r>
    </w:p>
    <w:p w14:paraId="7DAFBED4" w14:textId="77777777" w:rsidR="00084F36" w:rsidRPr="00EB2BD8" w:rsidRDefault="00EB2BD8" w:rsidP="00877135">
      <w:pPr>
        <w:pStyle w:val="BodyText"/>
        <w:spacing w:before="106" w:line="261" w:lineRule="auto"/>
        <w:ind w:left="851"/>
      </w:pPr>
      <w:r w:rsidRPr="00EB2BD8">
        <w:t>This internal control system allows the VBA to satisfactorily undertake building maintenance and manage</w:t>
      </w:r>
      <w:r w:rsidRPr="00EB2BD8">
        <w:rPr>
          <w:spacing w:val="-6"/>
        </w:rPr>
        <w:t xml:space="preserve"> </w:t>
      </w:r>
      <w:r w:rsidRPr="00EB2BD8">
        <w:t>risks.</w:t>
      </w:r>
    </w:p>
    <w:p w14:paraId="5A38D5DB" w14:textId="77777777" w:rsidR="00084F36" w:rsidRPr="00EB2BD8" w:rsidRDefault="00EB2BD8" w:rsidP="00877135">
      <w:pPr>
        <w:pStyle w:val="BodyText"/>
        <w:spacing w:before="111" w:line="261" w:lineRule="auto"/>
        <w:ind w:left="851"/>
      </w:pPr>
      <w:r w:rsidRPr="00EB2BD8">
        <w:t>The</w:t>
      </w:r>
      <w:r w:rsidRPr="00EB2BD8">
        <w:rPr>
          <w:spacing w:val="-2"/>
        </w:rPr>
        <w:t xml:space="preserve"> </w:t>
      </w:r>
      <w:r w:rsidRPr="00EB2BD8">
        <w:t>VBA</w:t>
      </w:r>
      <w:r w:rsidRPr="00EB2BD8">
        <w:rPr>
          <w:spacing w:val="-2"/>
        </w:rPr>
        <w:t xml:space="preserve"> </w:t>
      </w:r>
      <w:r w:rsidRPr="00EB2BD8">
        <w:t>conducted</w:t>
      </w:r>
      <w:r w:rsidRPr="00EB2BD8">
        <w:rPr>
          <w:spacing w:val="-2"/>
        </w:rPr>
        <w:t xml:space="preserve"> </w:t>
      </w:r>
      <w:r w:rsidRPr="00EB2BD8">
        <w:t>no</w:t>
      </w:r>
      <w:r w:rsidRPr="00EB2BD8">
        <w:rPr>
          <w:spacing w:val="-2"/>
        </w:rPr>
        <w:t xml:space="preserve"> </w:t>
      </w:r>
      <w:r w:rsidRPr="00EB2BD8">
        <w:t>major</w:t>
      </w:r>
      <w:r w:rsidRPr="00EB2BD8">
        <w:rPr>
          <w:spacing w:val="-2"/>
        </w:rPr>
        <w:t xml:space="preserve"> </w:t>
      </w:r>
      <w:r w:rsidRPr="00EB2BD8">
        <w:t>projects</w:t>
      </w:r>
      <w:r w:rsidRPr="00EB2BD8">
        <w:rPr>
          <w:spacing w:val="-2"/>
        </w:rPr>
        <w:t xml:space="preserve"> </w:t>
      </w:r>
      <w:r w:rsidRPr="00EB2BD8">
        <w:t>or</w:t>
      </w:r>
      <w:r w:rsidRPr="00EB2BD8">
        <w:rPr>
          <w:spacing w:val="-2"/>
        </w:rPr>
        <w:t xml:space="preserve"> </w:t>
      </w:r>
      <w:r w:rsidRPr="00EB2BD8">
        <w:t>works</w:t>
      </w:r>
      <w:r w:rsidRPr="00EB2BD8">
        <w:rPr>
          <w:spacing w:val="-2"/>
        </w:rPr>
        <w:t xml:space="preserve"> </w:t>
      </w:r>
      <w:r w:rsidRPr="00EB2BD8">
        <w:t>valued</w:t>
      </w:r>
      <w:r w:rsidRPr="00EB2BD8">
        <w:rPr>
          <w:spacing w:val="-2"/>
        </w:rPr>
        <w:t xml:space="preserve"> </w:t>
      </w:r>
      <w:r w:rsidRPr="00EB2BD8">
        <w:t xml:space="preserve">at </w:t>
      </w:r>
      <w:r w:rsidRPr="00EB2BD8">
        <w:rPr>
          <w:spacing w:val="-2"/>
        </w:rPr>
        <w:t>greater</w:t>
      </w:r>
      <w:r w:rsidRPr="00EB2BD8">
        <w:rPr>
          <w:spacing w:val="-3"/>
        </w:rPr>
        <w:t xml:space="preserve"> </w:t>
      </w:r>
      <w:r w:rsidRPr="00EB2BD8">
        <w:rPr>
          <w:spacing w:val="-2"/>
        </w:rPr>
        <w:t>than</w:t>
      </w:r>
      <w:r w:rsidRPr="00EB2BD8">
        <w:rPr>
          <w:spacing w:val="-3"/>
        </w:rPr>
        <w:t xml:space="preserve"> </w:t>
      </w:r>
      <w:r w:rsidRPr="00EB2BD8">
        <w:rPr>
          <w:spacing w:val="-2"/>
        </w:rPr>
        <w:t>$50,000</w:t>
      </w:r>
      <w:r w:rsidRPr="00EB2BD8">
        <w:rPr>
          <w:spacing w:val="-3"/>
        </w:rPr>
        <w:t xml:space="preserve"> </w:t>
      </w:r>
      <w:r w:rsidRPr="00EB2BD8">
        <w:rPr>
          <w:spacing w:val="-2"/>
        </w:rPr>
        <w:t>on</w:t>
      </w:r>
      <w:r w:rsidRPr="00EB2BD8">
        <w:rPr>
          <w:spacing w:val="-3"/>
        </w:rPr>
        <w:t xml:space="preserve"> </w:t>
      </w:r>
      <w:r w:rsidRPr="00EB2BD8">
        <w:rPr>
          <w:spacing w:val="-2"/>
        </w:rPr>
        <w:t>VBA-owned buildings</w:t>
      </w:r>
      <w:r w:rsidRPr="00EB2BD8">
        <w:rPr>
          <w:spacing w:val="-3"/>
        </w:rPr>
        <w:t xml:space="preserve"> </w:t>
      </w:r>
      <w:r w:rsidRPr="00EB2BD8">
        <w:rPr>
          <w:spacing w:val="-2"/>
        </w:rPr>
        <w:t>in</w:t>
      </w:r>
      <w:r w:rsidRPr="00EB2BD8">
        <w:rPr>
          <w:spacing w:val="-3"/>
        </w:rPr>
        <w:t xml:space="preserve"> </w:t>
      </w:r>
      <w:r w:rsidRPr="00EB2BD8">
        <w:rPr>
          <w:spacing w:val="-2"/>
        </w:rPr>
        <w:t>2022-</w:t>
      </w:r>
      <w:r w:rsidRPr="00EB2BD8">
        <w:rPr>
          <w:spacing w:val="-5"/>
          <w:w w:val="90"/>
        </w:rPr>
        <w:t>23.</w:t>
      </w:r>
    </w:p>
    <w:p w14:paraId="7C4E102F" w14:textId="630478B6" w:rsidR="00084F36" w:rsidRPr="00EB2BD8" w:rsidRDefault="00EB2BD8" w:rsidP="00877135">
      <w:pPr>
        <w:pStyle w:val="BodyText"/>
        <w:spacing w:line="261" w:lineRule="auto"/>
        <w:ind w:left="242" w:right="872"/>
      </w:pPr>
      <w:r w:rsidRPr="00EB2BD8">
        <w:br w:type="column"/>
      </w:r>
    </w:p>
    <w:p w14:paraId="59CFDA60" w14:textId="77777777" w:rsidR="00084F36" w:rsidRPr="00EB2BD8" w:rsidRDefault="00084F36">
      <w:pPr>
        <w:spacing w:line="261" w:lineRule="auto"/>
        <w:sectPr w:rsidR="00084F36" w:rsidRPr="00EB2BD8" w:rsidSect="006D75B2">
          <w:footerReference w:type="default" r:id="rId207"/>
          <w:type w:val="continuous"/>
          <w:pgSz w:w="11910" w:h="16840"/>
          <w:pgMar w:top="1920" w:right="0" w:bottom="280" w:left="0" w:header="0" w:footer="515" w:gutter="0"/>
          <w:cols w:num="2" w:space="720" w:equalWidth="0">
            <w:col w:w="5897" w:space="40"/>
            <w:col w:w="5973"/>
          </w:cols>
        </w:sectPr>
      </w:pPr>
    </w:p>
    <w:p w14:paraId="15F98618" w14:textId="52D4C3A0" w:rsidR="00084F36" w:rsidRPr="00EB2BD8" w:rsidRDefault="00084F36">
      <w:pPr>
        <w:pStyle w:val="BodyText"/>
        <w:rPr>
          <w:sz w:val="20"/>
        </w:rPr>
      </w:pPr>
    </w:p>
    <w:p w14:paraId="209A0BCE" w14:textId="69DC183C" w:rsidR="00084F36" w:rsidRPr="00EB2BD8" w:rsidRDefault="00084F36">
      <w:pPr>
        <w:pStyle w:val="BodyText"/>
        <w:rPr>
          <w:sz w:val="20"/>
        </w:rPr>
      </w:pPr>
    </w:p>
    <w:p w14:paraId="50C3A372" w14:textId="77777777" w:rsidR="00084F36" w:rsidRPr="00EB2BD8" w:rsidRDefault="00084F36">
      <w:pPr>
        <w:pStyle w:val="BodyText"/>
        <w:rPr>
          <w:sz w:val="20"/>
        </w:rPr>
      </w:pPr>
    </w:p>
    <w:p w14:paraId="7C621C6F" w14:textId="77777777" w:rsidR="00084F36" w:rsidRPr="00EB2BD8" w:rsidRDefault="00084F36">
      <w:pPr>
        <w:pStyle w:val="BodyText"/>
        <w:rPr>
          <w:sz w:val="20"/>
        </w:rPr>
      </w:pPr>
    </w:p>
    <w:p w14:paraId="5AE9CE3A" w14:textId="77777777" w:rsidR="00084F36" w:rsidRPr="00EB2BD8" w:rsidRDefault="00084F36">
      <w:pPr>
        <w:pStyle w:val="BodyText"/>
        <w:spacing w:before="3"/>
        <w:rPr>
          <w:sz w:val="16"/>
        </w:rPr>
      </w:pPr>
    </w:p>
    <w:p w14:paraId="5699634E" w14:textId="77777777" w:rsidR="00084F36" w:rsidRPr="00EB2BD8" w:rsidRDefault="00084F36">
      <w:pPr>
        <w:rPr>
          <w:sz w:val="16"/>
        </w:rPr>
        <w:sectPr w:rsidR="00084F36" w:rsidRPr="00EB2BD8" w:rsidSect="006D75B2">
          <w:footerReference w:type="default" r:id="rId208"/>
          <w:pgSz w:w="11910" w:h="16840"/>
          <w:pgMar w:top="1100" w:right="0" w:bottom="700" w:left="0" w:header="0" w:footer="515" w:gutter="0"/>
          <w:cols w:space="720"/>
        </w:sectPr>
      </w:pPr>
    </w:p>
    <w:p w14:paraId="5583982D" w14:textId="77777777" w:rsidR="00084F36" w:rsidRPr="00EB2BD8" w:rsidRDefault="00EB2BD8" w:rsidP="00C315ED">
      <w:pPr>
        <w:pStyle w:val="Heading2"/>
      </w:pPr>
      <w:bookmarkStart w:id="209" w:name="_Toc150762511"/>
      <w:r w:rsidRPr="00EB2BD8">
        <w:t>Freedom</w:t>
      </w:r>
      <w:r w:rsidRPr="00EB2BD8">
        <w:rPr>
          <w:spacing w:val="-14"/>
        </w:rPr>
        <w:t xml:space="preserve"> </w:t>
      </w:r>
      <w:r w:rsidRPr="00EB2BD8">
        <w:t>of</w:t>
      </w:r>
      <w:r w:rsidRPr="00EB2BD8">
        <w:rPr>
          <w:spacing w:val="-13"/>
        </w:rPr>
        <w:t xml:space="preserve"> </w:t>
      </w:r>
      <w:r w:rsidRPr="00EB2BD8">
        <w:t>information</w:t>
      </w:r>
      <w:bookmarkEnd w:id="209"/>
    </w:p>
    <w:p w14:paraId="3471E551" w14:textId="77777777" w:rsidR="00084F36" w:rsidRPr="00EB2BD8" w:rsidRDefault="00EB2BD8">
      <w:pPr>
        <w:pStyle w:val="BodyText"/>
        <w:spacing w:before="169" w:line="261" w:lineRule="auto"/>
        <w:ind w:left="850" w:right="209"/>
      </w:pPr>
      <w:r w:rsidRPr="00EB2BD8">
        <w:t>The</w:t>
      </w:r>
      <w:r w:rsidRPr="00EB2BD8">
        <w:rPr>
          <w:spacing w:val="-15"/>
        </w:rPr>
        <w:t xml:space="preserve"> </w:t>
      </w:r>
      <w:r w:rsidRPr="00EB2BD8">
        <w:rPr>
          <w:i/>
        </w:rPr>
        <w:t>Freedom</w:t>
      </w:r>
      <w:r w:rsidRPr="00EB2BD8">
        <w:rPr>
          <w:i/>
          <w:spacing w:val="-14"/>
        </w:rPr>
        <w:t xml:space="preserve"> </w:t>
      </w:r>
      <w:r w:rsidRPr="00EB2BD8">
        <w:rPr>
          <w:i/>
        </w:rPr>
        <w:t>of</w:t>
      </w:r>
      <w:r w:rsidRPr="00EB2BD8">
        <w:rPr>
          <w:i/>
          <w:spacing w:val="-14"/>
        </w:rPr>
        <w:t xml:space="preserve"> </w:t>
      </w:r>
      <w:r w:rsidRPr="00EB2BD8">
        <w:rPr>
          <w:i/>
        </w:rPr>
        <w:t>Information</w:t>
      </w:r>
      <w:r w:rsidRPr="00EB2BD8">
        <w:rPr>
          <w:i/>
          <w:spacing w:val="-14"/>
        </w:rPr>
        <w:t xml:space="preserve"> </w:t>
      </w:r>
      <w:r w:rsidRPr="00EB2BD8">
        <w:rPr>
          <w:i/>
        </w:rPr>
        <w:t>Act</w:t>
      </w:r>
      <w:r w:rsidRPr="00EB2BD8">
        <w:rPr>
          <w:i/>
          <w:spacing w:val="-15"/>
        </w:rPr>
        <w:t xml:space="preserve"> </w:t>
      </w:r>
      <w:r w:rsidRPr="00EB2BD8">
        <w:rPr>
          <w:i/>
        </w:rPr>
        <w:t>1982</w:t>
      </w:r>
      <w:r w:rsidRPr="00EB2BD8">
        <w:rPr>
          <w:i/>
          <w:spacing w:val="-14"/>
        </w:rPr>
        <w:t xml:space="preserve"> </w:t>
      </w:r>
      <w:r w:rsidRPr="00EB2BD8">
        <w:t>(FOI</w:t>
      </w:r>
      <w:r w:rsidRPr="00EB2BD8">
        <w:rPr>
          <w:spacing w:val="-14"/>
        </w:rPr>
        <w:t xml:space="preserve"> </w:t>
      </w:r>
      <w:r w:rsidRPr="00EB2BD8">
        <w:t>Act)</w:t>
      </w:r>
      <w:r w:rsidRPr="00EB2BD8">
        <w:rPr>
          <w:spacing w:val="-14"/>
        </w:rPr>
        <w:t xml:space="preserve"> </w:t>
      </w:r>
      <w:r w:rsidRPr="00EB2BD8">
        <w:t>allows the public a right of access to documents held by</w:t>
      </w:r>
      <w:r w:rsidRPr="00EB2BD8">
        <w:rPr>
          <w:spacing w:val="40"/>
        </w:rPr>
        <w:t xml:space="preserve"> </w:t>
      </w:r>
      <w:r w:rsidRPr="00EB2BD8">
        <w:t>the</w:t>
      </w:r>
      <w:r w:rsidRPr="00EB2BD8">
        <w:rPr>
          <w:spacing w:val="-11"/>
        </w:rPr>
        <w:t xml:space="preserve"> </w:t>
      </w:r>
      <w:r w:rsidRPr="00EB2BD8">
        <w:t>VBA,</w:t>
      </w:r>
      <w:r w:rsidRPr="00EB2BD8">
        <w:rPr>
          <w:spacing w:val="-11"/>
        </w:rPr>
        <w:t xml:space="preserve"> </w:t>
      </w:r>
      <w:r w:rsidRPr="00EB2BD8">
        <w:t>including</w:t>
      </w:r>
      <w:r w:rsidRPr="00EB2BD8">
        <w:rPr>
          <w:spacing w:val="-11"/>
        </w:rPr>
        <w:t xml:space="preserve"> </w:t>
      </w:r>
      <w:r w:rsidRPr="00EB2BD8">
        <w:t>those</w:t>
      </w:r>
      <w:r w:rsidRPr="00EB2BD8">
        <w:rPr>
          <w:spacing w:val="-11"/>
        </w:rPr>
        <w:t xml:space="preserve"> </w:t>
      </w:r>
      <w:r w:rsidRPr="00EB2BD8">
        <w:t>provided</w:t>
      </w:r>
      <w:r w:rsidRPr="00EB2BD8">
        <w:rPr>
          <w:spacing w:val="-11"/>
        </w:rPr>
        <w:t xml:space="preserve"> </w:t>
      </w:r>
      <w:r w:rsidRPr="00EB2BD8">
        <w:t>to</w:t>
      </w:r>
      <w:r w:rsidRPr="00EB2BD8">
        <w:rPr>
          <w:spacing w:val="-11"/>
        </w:rPr>
        <w:t xml:space="preserve"> </w:t>
      </w:r>
      <w:r w:rsidRPr="00EB2BD8">
        <w:t>it</w:t>
      </w:r>
      <w:r w:rsidRPr="00EB2BD8">
        <w:rPr>
          <w:spacing w:val="-11"/>
        </w:rPr>
        <w:t xml:space="preserve"> </w:t>
      </w:r>
      <w:r w:rsidRPr="00EB2BD8">
        <w:t>by</w:t>
      </w:r>
      <w:r w:rsidRPr="00EB2BD8">
        <w:rPr>
          <w:spacing w:val="-11"/>
        </w:rPr>
        <w:t xml:space="preserve"> </w:t>
      </w:r>
      <w:r w:rsidRPr="00EB2BD8">
        <w:t>an</w:t>
      </w:r>
      <w:r w:rsidRPr="00EB2BD8">
        <w:rPr>
          <w:spacing w:val="-11"/>
        </w:rPr>
        <w:t xml:space="preserve"> </w:t>
      </w:r>
      <w:r w:rsidRPr="00EB2BD8">
        <w:t>external organisation or individual. The FOI Act also allows the VBA to refuse access, either fully or partially, to certain information such as cabinet documents, law</w:t>
      </w:r>
    </w:p>
    <w:p w14:paraId="10772EA5" w14:textId="77777777" w:rsidR="00084F36" w:rsidRPr="00EB2BD8" w:rsidRDefault="00EB2BD8">
      <w:pPr>
        <w:pStyle w:val="BodyText"/>
        <w:spacing w:line="261" w:lineRule="auto"/>
        <w:ind w:left="850" w:right="169"/>
      </w:pPr>
      <w:r w:rsidRPr="00EB2BD8">
        <w:t>enforcement and legal documents, and personal and in-confidence</w:t>
      </w:r>
      <w:r w:rsidRPr="00EB2BD8">
        <w:rPr>
          <w:spacing w:val="-6"/>
        </w:rPr>
        <w:t xml:space="preserve"> </w:t>
      </w:r>
      <w:r w:rsidRPr="00EB2BD8">
        <w:t>information.</w:t>
      </w:r>
    </w:p>
    <w:p w14:paraId="474517BA" w14:textId="77777777" w:rsidR="00084F36" w:rsidRPr="00EB2BD8" w:rsidRDefault="00EB2BD8">
      <w:pPr>
        <w:pStyle w:val="BodyText"/>
        <w:spacing w:before="105" w:line="261" w:lineRule="auto"/>
        <w:ind w:left="850"/>
      </w:pPr>
      <w:r w:rsidRPr="00EB2BD8">
        <w:t>Processing</w:t>
      </w:r>
      <w:r w:rsidRPr="00EB2BD8">
        <w:rPr>
          <w:spacing w:val="-3"/>
        </w:rPr>
        <w:t xml:space="preserve"> </w:t>
      </w:r>
      <w:r w:rsidRPr="00EB2BD8">
        <w:t>time</w:t>
      </w:r>
      <w:r w:rsidRPr="00EB2BD8">
        <w:rPr>
          <w:spacing w:val="-3"/>
        </w:rPr>
        <w:t xml:space="preserve"> </w:t>
      </w:r>
      <w:r w:rsidRPr="00EB2BD8">
        <w:t>for</w:t>
      </w:r>
      <w:r w:rsidRPr="00EB2BD8">
        <w:rPr>
          <w:spacing w:val="-3"/>
        </w:rPr>
        <w:t xml:space="preserve"> </w:t>
      </w:r>
      <w:r w:rsidRPr="00EB2BD8">
        <w:t>requests</w:t>
      </w:r>
      <w:r w:rsidRPr="00EB2BD8">
        <w:rPr>
          <w:spacing w:val="-3"/>
        </w:rPr>
        <w:t xml:space="preserve"> </w:t>
      </w:r>
      <w:r w:rsidRPr="00EB2BD8">
        <w:t>is</w:t>
      </w:r>
      <w:r w:rsidRPr="00EB2BD8">
        <w:rPr>
          <w:spacing w:val="-3"/>
        </w:rPr>
        <w:t xml:space="preserve"> </w:t>
      </w:r>
      <w:r w:rsidRPr="00EB2BD8">
        <w:t>usually</w:t>
      </w:r>
      <w:r w:rsidRPr="00EB2BD8">
        <w:rPr>
          <w:spacing w:val="-3"/>
        </w:rPr>
        <w:t xml:space="preserve"> </w:t>
      </w:r>
      <w:r w:rsidRPr="00EB2BD8">
        <w:t>30</w:t>
      </w:r>
      <w:r w:rsidRPr="00EB2BD8">
        <w:rPr>
          <w:spacing w:val="-3"/>
        </w:rPr>
        <w:t xml:space="preserve"> </w:t>
      </w:r>
      <w:r w:rsidRPr="00EB2BD8">
        <w:t>days,</w:t>
      </w:r>
      <w:r w:rsidRPr="00EB2BD8">
        <w:rPr>
          <w:spacing w:val="-3"/>
        </w:rPr>
        <w:t xml:space="preserve"> </w:t>
      </w:r>
      <w:r w:rsidRPr="00EB2BD8">
        <w:t>which may</w:t>
      </w:r>
      <w:r w:rsidRPr="00EB2BD8">
        <w:rPr>
          <w:spacing w:val="-7"/>
        </w:rPr>
        <w:t xml:space="preserve"> </w:t>
      </w:r>
      <w:r w:rsidRPr="00EB2BD8">
        <w:t>be</w:t>
      </w:r>
      <w:r w:rsidRPr="00EB2BD8">
        <w:rPr>
          <w:spacing w:val="-7"/>
        </w:rPr>
        <w:t xml:space="preserve"> </w:t>
      </w:r>
      <w:r w:rsidRPr="00EB2BD8">
        <w:t>extended</w:t>
      </w:r>
      <w:r w:rsidRPr="00EB2BD8">
        <w:rPr>
          <w:spacing w:val="-7"/>
        </w:rPr>
        <w:t xml:space="preserve"> </w:t>
      </w:r>
      <w:r w:rsidRPr="00EB2BD8">
        <w:t>to</w:t>
      </w:r>
      <w:r w:rsidRPr="00EB2BD8">
        <w:rPr>
          <w:spacing w:val="-7"/>
        </w:rPr>
        <w:t xml:space="preserve"> </w:t>
      </w:r>
      <w:r w:rsidRPr="00EB2BD8">
        <w:t>45</w:t>
      </w:r>
      <w:r w:rsidRPr="00EB2BD8">
        <w:rPr>
          <w:spacing w:val="-7"/>
        </w:rPr>
        <w:t xml:space="preserve"> </w:t>
      </w:r>
      <w:r w:rsidRPr="00EB2BD8">
        <w:t>days</w:t>
      </w:r>
      <w:r w:rsidRPr="00EB2BD8">
        <w:rPr>
          <w:spacing w:val="-7"/>
        </w:rPr>
        <w:t xml:space="preserve"> </w:t>
      </w:r>
      <w:r w:rsidRPr="00EB2BD8">
        <w:t>if</w:t>
      </w:r>
      <w:r w:rsidRPr="00EB2BD8">
        <w:rPr>
          <w:spacing w:val="-7"/>
        </w:rPr>
        <w:t xml:space="preserve"> </w:t>
      </w:r>
      <w:r w:rsidRPr="00EB2BD8">
        <w:t>third</w:t>
      </w:r>
      <w:r w:rsidRPr="00EB2BD8">
        <w:rPr>
          <w:spacing w:val="-7"/>
        </w:rPr>
        <w:t xml:space="preserve"> </w:t>
      </w:r>
      <w:r w:rsidRPr="00EB2BD8">
        <w:t>party</w:t>
      </w:r>
      <w:r w:rsidRPr="00EB2BD8">
        <w:rPr>
          <w:spacing w:val="-7"/>
        </w:rPr>
        <w:t xml:space="preserve"> </w:t>
      </w:r>
      <w:r w:rsidRPr="00EB2BD8">
        <w:t>consultation is</w:t>
      </w:r>
      <w:r w:rsidRPr="00EB2BD8">
        <w:rPr>
          <w:spacing w:val="-11"/>
        </w:rPr>
        <w:t xml:space="preserve"> </w:t>
      </w:r>
      <w:r w:rsidRPr="00EB2BD8">
        <w:t>required,</w:t>
      </w:r>
      <w:r w:rsidRPr="00EB2BD8">
        <w:rPr>
          <w:spacing w:val="-11"/>
        </w:rPr>
        <w:t xml:space="preserve"> </w:t>
      </w:r>
      <w:r w:rsidRPr="00EB2BD8">
        <w:t>or</w:t>
      </w:r>
      <w:r w:rsidRPr="00EB2BD8">
        <w:rPr>
          <w:spacing w:val="-11"/>
        </w:rPr>
        <w:t xml:space="preserve"> </w:t>
      </w:r>
      <w:r w:rsidRPr="00EB2BD8">
        <w:t>longer</w:t>
      </w:r>
      <w:r w:rsidRPr="00EB2BD8">
        <w:rPr>
          <w:spacing w:val="-10"/>
        </w:rPr>
        <w:t xml:space="preserve"> </w:t>
      </w:r>
      <w:r w:rsidRPr="00EB2BD8">
        <w:t>by</w:t>
      </w:r>
      <w:r w:rsidRPr="00EB2BD8">
        <w:rPr>
          <w:spacing w:val="-11"/>
        </w:rPr>
        <w:t xml:space="preserve"> </w:t>
      </w:r>
      <w:r w:rsidRPr="00EB2BD8">
        <w:t>agreement</w:t>
      </w:r>
      <w:r w:rsidRPr="00EB2BD8">
        <w:rPr>
          <w:spacing w:val="-11"/>
        </w:rPr>
        <w:t xml:space="preserve"> </w:t>
      </w:r>
      <w:r w:rsidRPr="00EB2BD8">
        <w:t>with</w:t>
      </w:r>
      <w:r w:rsidRPr="00EB2BD8">
        <w:rPr>
          <w:spacing w:val="-11"/>
        </w:rPr>
        <w:t xml:space="preserve"> </w:t>
      </w:r>
      <w:r w:rsidRPr="00EB2BD8">
        <w:t>the</w:t>
      </w:r>
      <w:r w:rsidRPr="00EB2BD8">
        <w:rPr>
          <w:spacing w:val="-10"/>
        </w:rPr>
        <w:t xml:space="preserve"> </w:t>
      </w:r>
      <w:r w:rsidRPr="00EB2BD8">
        <w:rPr>
          <w:spacing w:val="-2"/>
        </w:rPr>
        <w:t>applicant.</w:t>
      </w:r>
    </w:p>
    <w:p w14:paraId="40AC25B8" w14:textId="77777777" w:rsidR="00084F36" w:rsidRPr="00EB2BD8" w:rsidRDefault="00EB2BD8">
      <w:pPr>
        <w:pStyle w:val="BodyText"/>
        <w:spacing w:before="111" w:line="261" w:lineRule="auto"/>
        <w:ind w:left="850" w:right="259"/>
      </w:pPr>
      <w:r w:rsidRPr="00EB2BD8">
        <w:t>Section</w:t>
      </w:r>
      <w:r w:rsidRPr="00EB2BD8">
        <w:rPr>
          <w:spacing w:val="-8"/>
        </w:rPr>
        <w:t xml:space="preserve"> </w:t>
      </w:r>
      <w:r w:rsidRPr="00EB2BD8">
        <w:t>16</w:t>
      </w:r>
      <w:r w:rsidRPr="00EB2BD8">
        <w:rPr>
          <w:spacing w:val="-8"/>
        </w:rPr>
        <w:t xml:space="preserve"> </w:t>
      </w:r>
      <w:r w:rsidRPr="00EB2BD8">
        <w:t>of</w:t>
      </w:r>
      <w:r w:rsidRPr="00EB2BD8">
        <w:rPr>
          <w:spacing w:val="-8"/>
        </w:rPr>
        <w:t xml:space="preserve"> </w:t>
      </w:r>
      <w:r w:rsidRPr="00EB2BD8">
        <w:t>the</w:t>
      </w:r>
      <w:r w:rsidRPr="00EB2BD8">
        <w:rPr>
          <w:spacing w:val="-8"/>
        </w:rPr>
        <w:t xml:space="preserve"> </w:t>
      </w:r>
      <w:r w:rsidRPr="00EB2BD8">
        <w:t>FOI</w:t>
      </w:r>
      <w:r w:rsidRPr="00EB2BD8">
        <w:rPr>
          <w:spacing w:val="-8"/>
        </w:rPr>
        <w:t xml:space="preserve"> </w:t>
      </w:r>
      <w:r w:rsidRPr="00EB2BD8">
        <w:t>Act</w:t>
      </w:r>
      <w:r w:rsidRPr="00EB2BD8">
        <w:rPr>
          <w:spacing w:val="-8"/>
        </w:rPr>
        <w:t xml:space="preserve"> </w:t>
      </w:r>
      <w:r w:rsidRPr="00EB2BD8">
        <w:t>requires</w:t>
      </w:r>
      <w:r w:rsidRPr="00EB2BD8">
        <w:rPr>
          <w:spacing w:val="-8"/>
        </w:rPr>
        <w:t xml:space="preserve"> </w:t>
      </w:r>
      <w:r w:rsidRPr="00EB2BD8">
        <w:t>the</w:t>
      </w:r>
      <w:r w:rsidRPr="00EB2BD8">
        <w:rPr>
          <w:spacing w:val="-8"/>
        </w:rPr>
        <w:t xml:space="preserve"> </w:t>
      </w:r>
      <w:r w:rsidRPr="00EB2BD8">
        <w:t>VBA</w:t>
      </w:r>
      <w:r w:rsidRPr="00EB2BD8">
        <w:rPr>
          <w:spacing w:val="-8"/>
        </w:rPr>
        <w:t xml:space="preserve"> </w:t>
      </w:r>
      <w:r w:rsidRPr="00EB2BD8">
        <w:t>to</w:t>
      </w:r>
      <w:r w:rsidRPr="00EB2BD8">
        <w:rPr>
          <w:spacing w:val="-8"/>
        </w:rPr>
        <w:t xml:space="preserve"> </w:t>
      </w:r>
      <w:r w:rsidRPr="00EB2BD8">
        <w:t>make the maximum amount of information available to the public promptly and inexpensively. To make information</w:t>
      </w:r>
      <w:r w:rsidRPr="00EB2BD8">
        <w:rPr>
          <w:spacing w:val="-8"/>
        </w:rPr>
        <w:t xml:space="preserve"> </w:t>
      </w:r>
      <w:r w:rsidRPr="00EB2BD8">
        <w:t>available</w:t>
      </w:r>
      <w:r w:rsidRPr="00EB2BD8">
        <w:rPr>
          <w:spacing w:val="-8"/>
        </w:rPr>
        <w:t xml:space="preserve"> </w:t>
      </w:r>
      <w:r w:rsidRPr="00EB2BD8">
        <w:t>outside</w:t>
      </w:r>
      <w:r w:rsidRPr="00EB2BD8">
        <w:rPr>
          <w:spacing w:val="-8"/>
        </w:rPr>
        <w:t xml:space="preserve"> </w:t>
      </w:r>
      <w:r w:rsidRPr="00EB2BD8">
        <w:t>of</w:t>
      </w:r>
      <w:r w:rsidRPr="00EB2BD8">
        <w:rPr>
          <w:spacing w:val="-8"/>
        </w:rPr>
        <w:t xml:space="preserve"> </w:t>
      </w:r>
      <w:r w:rsidRPr="00EB2BD8">
        <w:t>the</w:t>
      </w:r>
      <w:r w:rsidRPr="00EB2BD8">
        <w:rPr>
          <w:spacing w:val="-8"/>
        </w:rPr>
        <w:t xml:space="preserve"> </w:t>
      </w:r>
      <w:r w:rsidRPr="00EB2BD8">
        <w:t>formal</w:t>
      </w:r>
      <w:r w:rsidRPr="00EB2BD8">
        <w:rPr>
          <w:spacing w:val="-8"/>
        </w:rPr>
        <w:t xml:space="preserve"> </w:t>
      </w:r>
      <w:r w:rsidRPr="00EB2BD8">
        <w:t>FOI</w:t>
      </w:r>
      <w:r w:rsidRPr="00EB2BD8">
        <w:rPr>
          <w:spacing w:val="-8"/>
        </w:rPr>
        <w:t xml:space="preserve"> </w:t>
      </w:r>
      <w:r w:rsidRPr="00EB2BD8">
        <w:t>Act</w:t>
      </w:r>
    </w:p>
    <w:p w14:paraId="272FD3F2" w14:textId="77777777" w:rsidR="00084F36" w:rsidRPr="00EB2BD8" w:rsidRDefault="00EB2BD8">
      <w:pPr>
        <w:pStyle w:val="BodyText"/>
        <w:spacing w:line="261" w:lineRule="auto"/>
        <w:ind w:left="850" w:right="37"/>
        <w:jc w:val="both"/>
      </w:pPr>
      <w:r w:rsidRPr="00EB2BD8">
        <w:t>process,</w:t>
      </w:r>
      <w:r w:rsidRPr="00EB2BD8">
        <w:rPr>
          <w:spacing w:val="-7"/>
        </w:rPr>
        <w:t xml:space="preserve"> </w:t>
      </w:r>
      <w:r w:rsidRPr="00EB2BD8">
        <w:t>the</w:t>
      </w:r>
      <w:r w:rsidRPr="00EB2BD8">
        <w:rPr>
          <w:spacing w:val="-7"/>
        </w:rPr>
        <w:t xml:space="preserve"> </w:t>
      </w:r>
      <w:r w:rsidRPr="00EB2BD8">
        <w:t>VBA</w:t>
      </w:r>
      <w:r w:rsidRPr="00EB2BD8">
        <w:rPr>
          <w:spacing w:val="-7"/>
        </w:rPr>
        <w:t xml:space="preserve"> </w:t>
      </w:r>
      <w:r w:rsidRPr="00EB2BD8">
        <w:t>must</w:t>
      </w:r>
      <w:r w:rsidRPr="00EB2BD8">
        <w:rPr>
          <w:spacing w:val="-7"/>
        </w:rPr>
        <w:t xml:space="preserve"> </w:t>
      </w:r>
      <w:r w:rsidRPr="00EB2BD8">
        <w:t>first</w:t>
      </w:r>
      <w:r w:rsidRPr="00EB2BD8">
        <w:rPr>
          <w:spacing w:val="-7"/>
        </w:rPr>
        <w:t xml:space="preserve"> </w:t>
      </w:r>
      <w:r w:rsidRPr="00EB2BD8">
        <w:t>identify</w:t>
      </w:r>
      <w:r w:rsidRPr="00EB2BD8">
        <w:rPr>
          <w:spacing w:val="-7"/>
        </w:rPr>
        <w:t xml:space="preserve"> </w:t>
      </w:r>
      <w:r w:rsidRPr="00EB2BD8">
        <w:t>another</w:t>
      </w:r>
      <w:r w:rsidRPr="00EB2BD8">
        <w:rPr>
          <w:spacing w:val="-7"/>
        </w:rPr>
        <w:t xml:space="preserve"> </w:t>
      </w:r>
      <w:r w:rsidRPr="00EB2BD8">
        <w:t>legal</w:t>
      </w:r>
      <w:r w:rsidRPr="00EB2BD8">
        <w:rPr>
          <w:spacing w:val="-7"/>
        </w:rPr>
        <w:t xml:space="preserve"> </w:t>
      </w:r>
      <w:r w:rsidRPr="00EB2BD8">
        <w:t>basis for</w:t>
      </w:r>
      <w:r w:rsidRPr="00EB2BD8">
        <w:rPr>
          <w:spacing w:val="-6"/>
        </w:rPr>
        <w:t xml:space="preserve"> </w:t>
      </w:r>
      <w:r w:rsidRPr="00EB2BD8">
        <w:t>the</w:t>
      </w:r>
      <w:r w:rsidRPr="00EB2BD8">
        <w:rPr>
          <w:spacing w:val="-6"/>
        </w:rPr>
        <w:t xml:space="preserve"> </w:t>
      </w:r>
      <w:r w:rsidRPr="00EB2BD8">
        <w:t>disclosure</w:t>
      </w:r>
      <w:r w:rsidRPr="00EB2BD8">
        <w:rPr>
          <w:spacing w:val="-6"/>
        </w:rPr>
        <w:t xml:space="preserve"> </w:t>
      </w:r>
      <w:r w:rsidRPr="00EB2BD8">
        <w:t>of</w:t>
      </w:r>
      <w:r w:rsidRPr="00EB2BD8">
        <w:rPr>
          <w:spacing w:val="-6"/>
        </w:rPr>
        <w:t xml:space="preserve"> </w:t>
      </w:r>
      <w:r w:rsidRPr="00EB2BD8">
        <w:t>that</w:t>
      </w:r>
      <w:r w:rsidRPr="00EB2BD8">
        <w:rPr>
          <w:spacing w:val="-6"/>
        </w:rPr>
        <w:t xml:space="preserve"> </w:t>
      </w:r>
      <w:r w:rsidRPr="00EB2BD8">
        <w:t>information.</w:t>
      </w:r>
      <w:r w:rsidRPr="00EB2BD8">
        <w:rPr>
          <w:spacing w:val="-6"/>
        </w:rPr>
        <w:t xml:space="preserve"> </w:t>
      </w:r>
      <w:r w:rsidRPr="00EB2BD8">
        <w:t>The</w:t>
      </w:r>
      <w:r w:rsidRPr="00EB2BD8">
        <w:rPr>
          <w:spacing w:val="-6"/>
        </w:rPr>
        <w:t xml:space="preserve"> </w:t>
      </w:r>
      <w:r w:rsidRPr="00EB2BD8">
        <w:rPr>
          <w:i/>
        </w:rPr>
        <w:t>Building</w:t>
      </w:r>
      <w:r w:rsidRPr="00EB2BD8">
        <w:rPr>
          <w:i/>
          <w:spacing w:val="-6"/>
        </w:rPr>
        <w:t xml:space="preserve"> </w:t>
      </w:r>
      <w:r w:rsidRPr="00EB2BD8">
        <w:rPr>
          <w:i/>
        </w:rPr>
        <w:t xml:space="preserve">Act </w:t>
      </w:r>
      <w:r w:rsidRPr="00EB2BD8">
        <w:rPr>
          <w:i/>
          <w:spacing w:val="-2"/>
        </w:rPr>
        <w:t>1993</w:t>
      </w:r>
      <w:r w:rsidRPr="00EB2BD8">
        <w:rPr>
          <w:i/>
          <w:spacing w:val="-9"/>
        </w:rPr>
        <w:t xml:space="preserve"> </w:t>
      </w:r>
      <w:r w:rsidRPr="00EB2BD8">
        <w:rPr>
          <w:spacing w:val="-2"/>
        </w:rPr>
        <w:t>contains</w:t>
      </w:r>
      <w:r w:rsidRPr="00EB2BD8">
        <w:rPr>
          <w:spacing w:val="-9"/>
        </w:rPr>
        <w:t xml:space="preserve"> </w:t>
      </w:r>
      <w:r w:rsidRPr="00EB2BD8">
        <w:rPr>
          <w:spacing w:val="-2"/>
        </w:rPr>
        <w:t>limited</w:t>
      </w:r>
      <w:r w:rsidRPr="00EB2BD8">
        <w:rPr>
          <w:spacing w:val="-9"/>
        </w:rPr>
        <w:t xml:space="preserve"> </w:t>
      </w:r>
      <w:r w:rsidRPr="00EB2BD8">
        <w:rPr>
          <w:spacing w:val="-2"/>
        </w:rPr>
        <w:t>provisions</w:t>
      </w:r>
      <w:r w:rsidRPr="00EB2BD8">
        <w:rPr>
          <w:spacing w:val="-9"/>
        </w:rPr>
        <w:t xml:space="preserve"> </w:t>
      </w:r>
      <w:r w:rsidRPr="00EB2BD8">
        <w:rPr>
          <w:spacing w:val="-2"/>
        </w:rPr>
        <w:t>expressly</w:t>
      </w:r>
      <w:r w:rsidRPr="00EB2BD8">
        <w:rPr>
          <w:spacing w:val="-9"/>
        </w:rPr>
        <w:t xml:space="preserve"> </w:t>
      </w:r>
      <w:r w:rsidRPr="00EB2BD8">
        <w:rPr>
          <w:spacing w:val="-2"/>
        </w:rPr>
        <w:t>enabling</w:t>
      </w:r>
      <w:r w:rsidRPr="00EB2BD8">
        <w:rPr>
          <w:spacing w:val="-9"/>
        </w:rPr>
        <w:t xml:space="preserve"> </w:t>
      </w:r>
      <w:r w:rsidRPr="00EB2BD8">
        <w:rPr>
          <w:spacing w:val="-2"/>
        </w:rPr>
        <w:t xml:space="preserve">the </w:t>
      </w:r>
      <w:r w:rsidRPr="00EB2BD8">
        <w:t>VBA to do this.</w:t>
      </w:r>
    </w:p>
    <w:p w14:paraId="70E2A50E" w14:textId="77777777" w:rsidR="00084F36" w:rsidRPr="00EB2BD8" w:rsidRDefault="00084F36">
      <w:pPr>
        <w:pStyle w:val="BodyText"/>
        <w:spacing w:before="1"/>
        <w:rPr>
          <w:sz w:val="25"/>
        </w:rPr>
      </w:pPr>
    </w:p>
    <w:p w14:paraId="41E3087D" w14:textId="77777777" w:rsidR="00084F36" w:rsidRPr="00EB2BD8" w:rsidRDefault="00EB2BD8" w:rsidP="00C315ED">
      <w:pPr>
        <w:pStyle w:val="Heading2"/>
      </w:pPr>
      <w:bookmarkStart w:id="210" w:name="_Toc150762512"/>
      <w:r w:rsidRPr="00EB2BD8">
        <w:rPr>
          <w:w w:val="105"/>
        </w:rPr>
        <w:t>Proactive</w:t>
      </w:r>
      <w:r w:rsidRPr="00EB2BD8">
        <w:rPr>
          <w:spacing w:val="-1"/>
          <w:w w:val="105"/>
        </w:rPr>
        <w:t xml:space="preserve"> </w:t>
      </w:r>
      <w:r w:rsidRPr="00EB2BD8">
        <w:rPr>
          <w:spacing w:val="-2"/>
          <w:w w:val="105"/>
        </w:rPr>
        <w:t>release</w:t>
      </w:r>
      <w:bookmarkEnd w:id="210"/>
    </w:p>
    <w:p w14:paraId="3DC98DBC" w14:textId="77777777" w:rsidR="00084F36" w:rsidRPr="00EB2BD8" w:rsidRDefault="00EB2BD8">
      <w:pPr>
        <w:pStyle w:val="BodyText"/>
        <w:spacing w:before="178" w:line="261" w:lineRule="auto"/>
        <w:ind w:left="850" w:right="80"/>
      </w:pPr>
      <w:r w:rsidRPr="00EB2BD8">
        <w:t>The VBA’s proactive release policy enables requests for</w:t>
      </w:r>
      <w:r w:rsidRPr="00EB2BD8">
        <w:rPr>
          <w:spacing w:val="-6"/>
        </w:rPr>
        <w:t xml:space="preserve"> </w:t>
      </w:r>
      <w:r w:rsidRPr="00EB2BD8">
        <w:t>some</w:t>
      </w:r>
      <w:r w:rsidRPr="00EB2BD8">
        <w:rPr>
          <w:spacing w:val="-6"/>
        </w:rPr>
        <w:t xml:space="preserve"> </w:t>
      </w:r>
      <w:r w:rsidRPr="00EB2BD8">
        <w:t>documents</w:t>
      </w:r>
      <w:r w:rsidRPr="00EB2BD8">
        <w:rPr>
          <w:spacing w:val="-6"/>
        </w:rPr>
        <w:t xml:space="preserve"> </w:t>
      </w:r>
      <w:r w:rsidRPr="00EB2BD8">
        <w:t>held</w:t>
      </w:r>
      <w:r w:rsidRPr="00EB2BD8">
        <w:rPr>
          <w:spacing w:val="-6"/>
        </w:rPr>
        <w:t xml:space="preserve"> </w:t>
      </w:r>
      <w:r w:rsidRPr="00EB2BD8">
        <w:t>by</w:t>
      </w:r>
      <w:r w:rsidRPr="00EB2BD8">
        <w:rPr>
          <w:spacing w:val="-6"/>
        </w:rPr>
        <w:t xml:space="preserve"> </w:t>
      </w:r>
      <w:r w:rsidRPr="00EB2BD8">
        <w:t>the</w:t>
      </w:r>
      <w:r w:rsidRPr="00EB2BD8">
        <w:rPr>
          <w:spacing w:val="-6"/>
        </w:rPr>
        <w:t xml:space="preserve"> </w:t>
      </w:r>
      <w:r w:rsidRPr="00EB2BD8">
        <w:t>VBA</w:t>
      </w:r>
      <w:r w:rsidRPr="00EB2BD8">
        <w:rPr>
          <w:spacing w:val="-6"/>
        </w:rPr>
        <w:t xml:space="preserve"> </w:t>
      </w:r>
      <w:r w:rsidRPr="00EB2BD8">
        <w:t>to</w:t>
      </w:r>
      <w:r w:rsidRPr="00EB2BD8">
        <w:rPr>
          <w:spacing w:val="-6"/>
        </w:rPr>
        <w:t xml:space="preserve"> </w:t>
      </w:r>
      <w:r w:rsidRPr="00EB2BD8">
        <w:t>be</w:t>
      </w:r>
      <w:r w:rsidRPr="00EB2BD8">
        <w:rPr>
          <w:spacing w:val="-6"/>
        </w:rPr>
        <w:t xml:space="preserve"> </w:t>
      </w:r>
      <w:r w:rsidRPr="00EB2BD8">
        <w:t>processed</w:t>
      </w:r>
    </w:p>
    <w:p w14:paraId="784F3578" w14:textId="77777777" w:rsidR="00084F36" w:rsidRPr="00EB2BD8" w:rsidRDefault="00EB2BD8">
      <w:pPr>
        <w:pStyle w:val="BodyText"/>
        <w:spacing w:line="261" w:lineRule="auto"/>
        <w:ind w:left="850"/>
      </w:pPr>
      <w:r w:rsidRPr="00EB2BD8">
        <w:t>without</w:t>
      </w:r>
      <w:r w:rsidRPr="00EB2BD8">
        <w:rPr>
          <w:spacing w:val="-6"/>
        </w:rPr>
        <w:t xml:space="preserve"> </w:t>
      </w:r>
      <w:r w:rsidRPr="00EB2BD8">
        <w:t>an</w:t>
      </w:r>
      <w:r w:rsidRPr="00EB2BD8">
        <w:rPr>
          <w:spacing w:val="-6"/>
        </w:rPr>
        <w:t xml:space="preserve"> </w:t>
      </w:r>
      <w:r w:rsidRPr="00EB2BD8">
        <w:t>FOI</w:t>
      </w:r>
      <w:r w:rsidRPr="00EB2BD8">
        <w:rPr>
          <w:spacing w:val="-6"/>
        </w:rPr>
        <w:t xml:space="preserve"> </w:t>
      </w:r>
      <w:r w:rsidRPr="00EB2BD8">
        <w:t>application</w:t>
      </w:r>
      <w:r w:rsidRPr="00EB2BD8">
        <w:rPr>
          <w:spacing w:val="-6"/>
        </w:rPr>
        <w:t xml:space="preserve"> </w:t>
      </w:r>
      <w:r w:rsidRPr="00EB2BD8">
        <w:t>and</w:t>
      </w:r>
      <w:r w:rsidRPr="00EB2BD8">
        <w:rPr>
          <w:spacing w:val="-6"/>
        </w:rPr>
        <w:t xml:space="preserve"> </w:t>
      </w:r>
      <w:r w:rsidRPr="00EB2BD8">
        <w:t>referral</w:t>
      </w:r>
      <w:r w:rsidRPr="00EB2BD8">
        <w:rPr>
          <w:spacing w:val="-6"/>
        </w:rPr>
        <w:t xml:space="preserve"> </w:t>
      </w:r>
      <w:r w:rsidRPr="00EB2BD8">
        <w:t>to</w:t>
      </w:r>
      <w:r w:rsidRPr="00EB2BD8">
        <w:rPr>
          <w:spacing w:val="-6"/>
        </w:rPr>
        <w:t xml:space="preserve"> </w:t>
      </w:r>
      <w:r w:rsidRPr="00EB2BD8">
        <w:t>the</w:t>
      </w:r>
      <w:r w:rsidRPr="00EB2BD8">
        <w:rPr>
          <w:spacing w:val="-6"/>
        </w:rPr>
        <w:t xml:space="preserve"> </w:t>
      </w:r>
      <w:r w:rsidRPr="00EB2BD8">
        <w:t>FOI</w:t>
      </w:r>
      <w:r w:rsidRPr="00EB2BD8">
        <w:rPr>
          <w:spacing w:val="-6"/>
        </w:rPr>
        <w:t xml:space="preserve"> </w:t>
      </w:r>
      <w:r w:rsidRPr="00EB2BD8">
        <w:t>team, for specific requestors.</w:t>
      </w:r>
    </w:p>
    <w:p w14:paraId="11C32413" w14:textId="77777777" w:rsidR="00084F36" w:rsidRPr="00EB2BD8" w:rsidRDefault="00EB2BD8">
      <w:pPr>
        <w:pStyle w:val="BodyText"/>
        <w:spacing w:before="109" w:line="261" w:lineRule="auto"/>
        <w:ind w:left="850"/>
      </w:pPr>
      <w:r w:rsidRPr="00EB2BD8">
        <w:t>The proactive release policy facilitates access to documents</w:t>
      </w:r>
      <w:r w:rsidRPr="00EB2BD8">
        <w:rPr>
          <w:spacing w:val="-4"/>
        </w:rPr>
        <w:t xml:space="preserve"> </w:t>
      </w:r>
      <w:r w:rsidRPr="00EB2BD8">
        <w:t>for</w:t>
      </w:r>
      <w:r w:rsidRPr="00EB2BD8">
        <w:rPr>
          <w:spacing w:val="-4"/>
        </w:rPr>
        <w:t xml:space="preserve"> </w:t>
      </w:r>
      <w:r w:rsidRPr="00EB2BD8">
        <w:t>people</w:t>
      </w:r>
      <w:r w:rsidRPr="00EB2BD8">
        <w:rPr>
          <w:spacing w:val="-4"/>
        </w:rPr>
        <w:t xml:space="preserve"> </w:t>
      </w:r>
      <w:r w:rsidRPr="00EB2BD8">
        <w:t>permitted</w:t>
      </w:r>
      <w:r w:rsidRPr="00EB2BD8">
        <w:rPr>
          <w:spacing w:val="-4"/>
        </w:rPr>
        <w:t xml:space="preserve"> </w:t>
      </w:r>
      <w:r w:rsidRPr="00EB2BD8">
        <w:t>by</w:t>
      </w:r>
      <w:r w:rsidRPr="00EB2BD8">
        <w:rPr>
          <w:spacing w:val="-4"/>
        </w:rPr>
        <w:t xml:space="preserve"> </w:t>
      </w:r>
      <w:r w:rsidRPr="00EB2BD8">
        <w:t>law</w:t>
      </w:r>
      <w:r w:rsidRPr="00EB2BD8">
        <w:rPr>
          <w:spacing w:val="-4"/>
        </w:rPr>
        <w:t xml:space="preserve"> </w:t>
      </w:r>
      <w:r w:rsidRPr="00EB2BD8">
        <w:t>to</w:t>
      </w:r>
      <w:r w:rsidRPr="00EB2BD8">
        <w:rPr>
          <w:spacing w:val="-4"/>
        </w:rPr>
        <w:t xml:space="preserve"> </w:t>
      </w:r>
      <w:r w:rsidRPr="00EB2BD8">
        <w:t>access</w:t>
      </w:r>
      <w:r w:rsidRPr="00EB2BD8">
        <w:rPr>
          <w:spacing w:val="-4"/>
        </w:rPr>
        <w:t xml:space="preserve"> </w:t>
      </w:r>
      <w:r w:rsidRPr="00EB2BD8">
        <w:t>them as at 30 June 2023, as follows:</w:t>
      </w:r>
    </w:p>
    <w:p w14:paraId="064B9A8A" w14:textId="77777777" w:rsidR="00084F36" w:rsidRPr="00EB2BD8" w:rsidRDefault="00EB2BD8">
      <w:pPr>
        <w:pStyle w:val="ListParagraph"/>
        <w:numPr>
          <w:ilvl w:val="0"/>
          <w:numId w:val="55"/>
        </w:numPr>
        <w:tabs>
          <w:tab w:val="left" w:pos="1133"/>
        </w:tabs>
        <w:spacing w:before="160"/>
        <w:ind w:hanging="283"/>
        <w:rPr>
          <w:sz w:val="18"/>
        </w:rPr>
      </w:pPr>
      <w:r w:rsidRPr="00EB2BD8">
        <w:rPr>
          <w:sz w:val="18"/>
        </w:rPr>
        <w:t>rectification</w:t>
      </w:r>
      <w:r w:rsidRPr="00EB2BD8">
        <w:rPr>
          <w:spacing w:val="3"/>
          <w:sz w:val="18"/>
        </w:rPr>
        <w:t xml:space="preserve"> </w:t>
      </w:r>
      <w:r w:rsidRPr="00EB2BD8">
        <w:rPr>
          <w:spacing w:val="-2"/>
          <w:sz w:val="18"/>
        </w:rPr>
        <w:t>notices</w:t>
      </w:r>
    </w:p>
    <w:p w14:paraId="1D744500" w14:textId="77777777" w:rsidR="00084F36" w:rsidRPr="00EB2BD8" w:rsidRDefault="00EB2BD8">
      <w:pPr>
        <w:pStyle w:val="ListParagraph"/>
        <w:numPr>
          <w:ilvl w:val="0"/>
          <w:numId w:val="55"/>
        </w:numPr>
        <w:tabs>
          <w:tab w:val="left" w:pos="1133"/>
        </w:tabs>
        <w:spacing w:before="88"/>
        <w:ind w:hanging="283"/>
        <w:rPr>
          <w:sz w:val="18"/>
        </w:rPr>
      </w:pPr>
      <w:r w:rsidRPr="00EB2BD8">
        <w:rPr>
          <w:sz w:val="18"/>
        </w:rPr>
        <w:t>plumbing</w:t>
      </w:r>
      <w:r w:rsidRPr="00EB2BD8">
        <w:rPr>
          <w:spacing w:val="1"/>
          <w:sz w:val="18"/>
        </w:rPr>
        <w:t xml:space="preserve"> </w:t>
      </w:r>
      <w:r w:rsidRPr="00EB2BD8">
        <w:rPr>
          <w:sz w:val="18"/>
        </w:rPr>
        <w:t>compliance</w:t>
      </w:r>
      <w:r w:rsidRPr="00EB2BD8">
        <w:rPr>
          <w:spacing w:val="2"/>
          <w:sz w:val="18"/>
        </w:rPr>
        <w:t xml:space="preserve"> </w:t>
      </w:r>
      <w:r w:rsidRPr="00EB2BD8">
        <w:rPr>
          <w:spacing w:val="-2"/>
          <w:sz w:val="18"/>
        </w:rPr>
        <w:t>certificates</w:t>
      </w:r>
    </w:p>
    <w:p w14:paraId="1087D291" w14:textId="77777777" w:rsidR="00084F36" w:rsidRPr="00EB2BD8" w:rsidRDefault="00EB2BD8">
      <w:pPr>
        <w:pStyle w:val="ListParagraph"/>
        <w:numPr>
          <w:ilvl w:val="0"/>
          <w:numId w:val="55"/>
        </w:numPr>
        <w:tabs>
          <w:tab w:val="left" w:pos="1133"/>
        </w:tabs>
        <w:spacing w:before="88"/>
        <w:ind w:hanging="283"/>
        <w:rPr>
          <w:sz w:val="18"/>
        </w:rPr>
      </w:pPr>
      <w:r w:rsidRPr="00EB2BD8">
        <w:rPr>
          <w:sz w:val="18"/>
        </w:rPr>
        <w:t>certificates</w:t>
      </w:r>
      <w:r w:rsidRPr="00EB2BD8">
        <w:rPr>
          <w:spacing w:val="4"/>
          <w:sz w:val="18"/>
        </w:rPr>
        <w:t xml:space="preserve"> </w:t>
      </w:r>
      <w:r w:rsidRPr="00EB2BD8">
        <w:rPr>
          <w:sz w:val="18"/>
        </w:rPr>
        <w:t>prepared</w:t>
      </w:r>
      <w:r w:rsidRPr="00EB2BD8">
        <w:rPr>
          <w:spacing w:val="5"/>
          <w:sz w:val="18"/>
        </w:rPr>
        <w:t xml:space="preserve"> </w:t>
      </w:r>
      <w:r w:rsidRPr="00EB2BD8">
        <w:rPr>
          <w:sz w:val="18"/>
        </w:rPr>
        <w:t>by</w:t>
      </w:r>
      <w:r w:rsidRPr="00EB2BD8">
        <w:rPr>
          <w:spacing w:val="4"/>
          <w:sz w:val="18"/>
        </w:rPr>
        <w:t xml:space="preserve"> </w:t>
      </w:r>
      <w:r w:rsidRPr="00EB2BD8">
        <w:rPr>
          <w:sz w:val="18"/>
        </w:rPr>
        <w:t>the</w:t>
      </w:r>
      <w:r w:rsidRPr="00EB2BD8">
        <w:rPr>
          <w:spacing w:val="5"/>
          <w:sz w:val="18"/>
        </w:rPr>
        <w:t xml:space="preserve"> </w:t>
      </w:r>
      <w:r w:rsidRPr="00EB2BD8">
        <w:rPr>
          <w:spacing w:val="-5"/>
          <w:sz w:val="18"/>
        </w:rPr>
        <w:t>VBA</w:t>
      </w:r>
    </w:p>
    <w:p w14:paraId="45A5B5AE" w14:textId="77777777" w:rsidR="00084F36" w:rsidRPr="00EB2BD8" w:rsidRDefault="00EB2BD8">
      <w:pPr>
        <w:pStyle w:val="ListParagraph"/>
        <w:numPr>
          <w:ilvl w:val="0"/>
          <w:numId w:val="55"/>
        </w:numPr>
        <w:tabs>
          <w:tab w:val="left" w:pos="1133"/>
        </w:tabs>
        <w:spacing w:before="88"/>
        <w:ind w:hanging="283"/>
        <w:rPr>
          <w:sz w:val="18"/>
        </w:rPr>
      </w:pPr>
      <w:r w:rsidRPr="00EB2BD8">
        <w:rPr>
          <w:sz w:val="18"/>
        </w:rPr>
        <w:t>domestic</w:t>
      </w:r>
      <w:r w:rsidRPr="00EB2BD8">
        <w:rPr>
          <w:spacing w:val="-8"/>
          <w:sz w:val="18"/>
        </w:rPr>
        <w:t xml:space="preserve"> </w:t>
      </w:r>
      <w:r w:rsidRPr="00EB2BD8">
        <w:rPr>
          <w:sz w:val="18"/>
        </w:rPr>
        <w:t>builder’s</w:t>
      </w:r>
      <w:r w:rsidRPr="00EB2BD8">
        <w:rPr>
          <w:spacing w:val="-7"/>
          <w:sz w:val="18"/>
        </w:rPr>
        <w:t xml:space="preserve"> </w:t>
      </w:r>
      <w:r w:rsidRPr="00EB2BD8">
        <w:rPr>
          <w:sz w:val="18"/>
        </w:rPr>
        <w:t>insurance</w:t>
      </w:r>
      <w:r w:rsidRPr="00EB2BD8">
        <w:rPr>
          <w:spacing w:val="-8"/>
          <w:sz w:val="18"/>
        </w:rPr>
        <w:t xml:space="preserve"> </w:t>
      </w:r>
      <w:r w:rsidRPr="00EB2BD8">
        <w:rPr>
          <w:spacing w:val="-2"/>
          <w:sz w:val="18"/>
        </w:rPr>
        <w:t>information</w:t>
      </w:r>
    </w:p>
    <w:p w14:paraId="0137A61D" w14:textId="77777777" w:rsidR="00084F36" w:rsidRPr="00EB2BD8" w:rsidRDefault="00EB2BD8">
      <w:pPr>
        <w:pStyle w:val="ListParagraph"/>
        <w:numPr>
          <w:ilvl w:val="0"/>
          <w:numId w:val="55"/>
        </w:numPr>
        <w:tabs>
          <w:tab w:val="left" w:pos="1133"/>
        </w:tabs>
        <w:spacing w:before="88"/>
        <w:ind w:hanging="283"/>
        <w:rPr>
          <w:sz w:val="18"/>
        </w:rPr>
      </w:pPr>
      <w:r w:rsidRPr="00EB2BD8">
        <w:rPr>
          <w:sz w:val="18"/>
        </w:rPr>
        <w:t>plumbing</w:t>
      </w:r>
      <w:r w:rsidRPr="00EB2BD8">
        <w:rPr>
          <w:spacing w:val="-1"/>
          <w:sz w:val="18"/>
        </w:rPr>
        <w:t xml:space="preserve"> </w:t>
      </w:r>
      <w:r w:rsidRPr="00EB2BD8">
        <w:rPr>
          <w:sz w:val="18"/>
        </w:rPr>
        <w:t>audit</w:t>
      </w:r>
      <w:r w:rsidRPr="00EB2BD8">
        <w:rPr>
          <w:spacing w:val="-1"/>
          <w:sz w:val="18"/>
        </w:rPr>
        <w:t xml:space="preserve"> </w:t>
      </w:r>
      <w:r w:rsidRPr="00EB2BD8">
        <w:rPr>
          <w:sz w:val="18"/>
        </w:rPr>
        <w:t>and inspection</w:t>
      </w:r>
      <w:r w:rsidRPr="00EB2BD8">
        <w:rPr>
          <w:spacing w:val="-1"/>
          <w:sz w:val="18"/>
        </w:rPr>
        <w:t xml:space="preserve"> </w:t>
      </w:r>
      <w:r w:rsidRPr="00EB2BD8">
        <w:rPr>
          <w:spacing w:val="-2"/>
          <w:sz w:val="18"/>
        </w:rPr>
        <w:t>reports</w:t>
      </w:r>
    </w:p>
    <w:p w14:paraId="4EEC481A" w14:textId="77777777" w:rsidR="00084F36" w:rsidRPr="00EB2BD8" w:rsidRDefault="00EB2BD8">
      <w:pPr>
        <w:pStyle w:val="ListParagraph"/>
        <w:numPr>
          <w:ilvl w:val="0"/>
          <w:numId w:val="55"/>
        </w:numPr>
        <w:tabs>
          <w:tab w:val="left" w:pos="1133"/>
        </w:tabs>
        <w:spacing w:before="89" w:line="261" w:lineRule="auto"/>
        <w:ind w:right="199"/>
        <w:rPr>
          <w:sz w:val="18"/>
        </w:rPr>
      </w:pPr>
      <w:r w:rsidRPr="00EB2BD8">
        <w:rPr>
          <w:sz w:val="18"/>
        </w:rPr>
        <w:t>building</w:t>
      </w:r>
      <w:r w:rsidRPr="00EB2BD8">
        <w:rPr>
          <w:spacing w:val="-8"/>
          <w:sz w:val="18"/>
        </w:rPr>
        <w:t xml:space="preserve"> </w:t>
      </w:r>
      <w:r w:rsidRPr="00EB2BD8">
        <w:rPr>
          <w:sz w:val="18"/>
        </w:rPr>
        <w:t>practitioner</w:t>
      </w:r>
      <w:r w:rsidRPr="00EB2BD8">
        <w:rPr>
          <w:spacing w:val="-8"/>
          <w:sz w:val="18"/>
        </w:rPr>
        <w:t xml:space="preserve"> </w:t>
      </w:r>
      <w:r w:rsidRPr="00EB2BD8">
        <w:rPr>
          <w:sz w:val="18"/>
        </w:rPr>
        <w:t>or</w:t>
      </w:r>
      <w:r w:rsidRPr="00EB2BD8">
        <w:rPr>
          <w:spacing w:val="-8"/>
          <w:sz w:val="18"/>
        </w:rPr>
        <w:t xml:space="preserve"> </w:t>
      </w:r>
      <w:r w:rsidRPr="00EB2BD8">
        <w:rPr>
          <w:sz w:val="18"/>
        </w:rPr>
        <w:t>plumber</w:t>
      </w:r>
      <w:r w:rsidRPr="00EB2BD8">
        <w:rPr>
          <w:spacing w:val="-8"/>
          <w:sz w:val="18"/>
        </w:rPr>
        <w:t xml:space="preserve"> </w:t>
      </w:r>
      <w:r w:rsidRPr="00EB2BD8">
        <w:rPr>
          <w:sz w:val="18"/>
        </w:rPr>
        <w:t>business</w:t>
      </w:r>
      <w:r w:rsidRPr="00EB2BD8">
        <w:rPr>
          <w:spacing w:val="-8"/>
          <w:sz w:val="18"/>
        </w:rPr>
        <w:t xml:space="preserve"> </w:t>
      </w:r>
      <w:r w:rsidRPr="00EB2BD8">
        <w:rPr>
          <w:sz w:val="18"/>
        </w:rPr>
        <w:t xml:space="preserve">contact </w:t>
      </w:r>
      <w:r w:rsidRPr="00EB2BD8">
        <w:rPr>
          <w:spacing w:val="-2"/>
          <w:sz w:val="18"/>
        </w:rPr>
        <w:t>details.</w:t>
      </w:r>
    </w:p>
    <w:p w14:paraId="5996F5AC" w14:textId="77777777" w:rsidR="00084F36" w:rsidRPr="00EB2BD8" w:rsidRDefault="00084F36">
      <w:pPr>
        <w:pStyle w:val="BodyText"/>
        <w:rPr>
          <w:sz w:val="16"/>
        </w:rPr>
      </w:pPr>
    </w:p>
    <w:p w14:paraId="0F5B9FD4" w14:textId="77777777" w:rsidR="00084F36" w:rsidRPr="00EB2BD8" w:rsidRDefault="00EB2BD8" w:rsidP="00C315ED">
      <w:pPr>
        <w:pStyle w:val="Heading2"/>
      </w:pPr>
      <w:bookmarkStart w:id="211" w:name="_Toc150762513"/>
      <w:r w:rsidRPr="00EB2BD8">
        <w:t>Making a request</w:t>
      </w:r>
      <w:bookmarkEnd w:id="211"/>
    </w:p>
    <w:p w14:paraId="490F4169" w14:textId="77777777" w:rsidR="00084F36" w:rsidRPr="00EB2BD8" w:rsidRDefault="00EB2BD8">
      <w:pPr>
        <w:pStyle w:val="BodyText"/>
        <w:spacing w:before="178" w:line="261" w:lineRule="auto"/>
        <w:ind w:left="850"/>
      </w:pPr>
      <w:r w:rsidRPr="00EB2BD8">
        <w:t xml:space="preserve">From </w:t>
      </w:r>
      <w:r w:rsidRPr="00EB2BD8">
        <w:rPr>
          <w:w w:val="95"/>
        </w:rPr>
        <w:t xml:space="preserve">1 </w:t>
      </w:r>
      <w:r w:rsidRPr="00EB2BD8">
        <w:t>July 2023, the fee payable for an application under</w:t>
      </w:r>
      <w:r w:rsidRPr="00EB2BD8">
        <w:rPr>
          <w:spacing w:val="-8"/>
        </w:rPr>
        <w:t xml:space="preserve"> </w:t>
      </w:r>
      <w:r w:rsidRPr="00EB2BD8">
        <w:t>the</w:t>
      </w:r>
      <w:r w:rsidRPr="00EB2BD8">
        <w:rPr>
          <w:spacing w:val="-8"/>
        </w:rPr>
        <w:t xml:space="preserve"> </w:t>
      </w:r>
      <w:r w:rsidRPr="00EB2BD8">
        <w:t>FOI</w:t>
      </w:r>
      <w:r w:rsidRPr="00EB2BD8">
        <w:rPr>
          <w:spacing w:val="-8"/>
        </w:rPr>
        <w:t xml:space="preserve"> </w:t>
      </w:r>
      <w:r w:rsidRPr="00EB2BD8">
        <w:t>Act</w:t>
      </w:r>
      <w:r w:rsidRPr="00EB2BD8">
        <w:rPr>
          <w:spacing w:val="-8"/>
        </w:rPr>
        <w:t xml:space="preserve"> </w:t>
      </w:r>
      <w:r w:rsidRPr="00EB2BD8">
        <w:t>is</w:t>
      </w:r>
      <w:r w:rsidRPr="00EB2BD8">
        <w:rPr>
          <w:spacing w:val="-8"/>
        </w:rPr>
        <w:t xml:space="preserve"> </w:t>
      </w:r>
      <w:r w:rsidRPr="00EB2BD8">
        <w:t>$30.80.</w:t>
      </w:r>
      <w:r w:rsidRPr="00EB2BD8">
        <w:rPr>
          <w:spacing w:val="-8"/>
        </w:rPr>
        <w:t xml:space="preserve"> </w:t>
      </w:r>
      <w:r w:rsidRPr="00EB2BD8">
        <w:t>Additional</w:t>
      </w:r>
      <w:r w:rsidRPr="00EB2BD8">
        <w:rPr>
          <w:spacing w:val="-8"/>
        </w:rPr>
        <w:t xml:space="preserve"> </w:t>
      </w:r>
      <w:r w:rsidRPr="00EB2BD8">
        <w:t>access</w:t>
      </w:r>
      <w:r w:rsidRPr="00EB2BD8">
        <w:rPr>
          <w:spacing w:val="-8"/>
        </w:rPr>
        <w:t xml:space="preserve"> </w:t>
      </w:r>
      <w:r w:rsidRPr="00EB2BD8">
        <w:t>charges may apply for particularly labour-intensive, time- consuming or voluminous searches. The VBA can also waive fees and charges in certain circumstances, such as demonstrated financial hardship.</w:t>
      </w:r>
    </w:p>
    <w:p w14:paraId="5272F62A" w14:textId="77777777" w:rsidR="00084F36" w:rsidRPr="00EB2BD8" w:rsidRDefault="00EB2BD8" w:rsidP="00065899">
      <w:pPr>
        <w:pStyle w:val="Heading3"/>
        <w:ind w:left="130" w:firstLine="720"/>
      </w:pPr>
      <w:bookmarkStart w:id="212" w:name="_Toc150762514"/>
      <w:r w:rsidRPr="00EB2BD8">
        <w:rPr>
          <w:w w:val="105"/>
        </w:rPr>
        <w:t>Review</w:t>
      </w:r>
      <w:r w:rsidRPr="00EB2BD8">
        <w:rPr>
          <w:spacing w:val="-17"/>
          <w:w w:val="105"/>
        </w:rPr>
        <w:t xml:space="preserve"> </w:t>
      </w:r>
      <w:r w:rsidRPr="00EB2BD8">
        <w:rPr>
          <w:w w:val="105"/>
        </w:rPr>
        <w:t>a</w:t>
      </w:r>
      <w:r w:rsidRPr="00EB2BD8">
        <w:rPr>
          <w:spacing w:val="-17"/>
          <w:w w:val="105"/>
        </w:rPr>
        <w:t xml:space="preserve"> </w:t>
      </w:r>
      <w:r w:rsidRPr="00EB2BD8">
        <w:rPr>
          <w:w w:val="105"/>
        </w:rPr>
        <w:t>request</w:t>
      </w:r>
      <w:bookmarkEnd w:id="212"/>
    </w:p>
    <w:p w14:paraId="1F5A9515" w14:textId="77777777" w:rsidR="00084F36" w:rsidRPr="00EB2BD8" w:rsidRDefault="00EB2BD8">
      <w:pPr>
        <w:pStyle w:val="BodyText"/>
        <w:spacing w:before="178" w:line="261" w:lineRule="auto"/>
        <w:ind w:left="850" w:right="260"/>
      </w:pPr>
      <w:r w:rsidRPr="00EB2BD8">
        <w:t>Applicants can request a review of a VBA decision</w:t>
      </w:r>
      <w:r w:rsidRPr="00EB2BD8">
        <w:rPr>
          <w:spacing w:val="40"/>
        </w:rPr>
        <w:t xml:space="preserve"> </w:t>
      </w:r>
      <w:r w:rsidRPr="00EB2BD8">
        <w:t>by</w:t>
      </w:r>
      <w:r w:rsidRPr="00EB2BD8">
        <w:rPr>
          <w:spacing w:val="-7"/>
        </w:rPr>
        <w:t xml:space="preserve"> </w:t>
      </w:r>
      <w:r w:rsidRPr="00EB2BD8">
        <w:t>contacting</w:t>
      </w:r>
      <w:r w:rsidRPr="00EB2BD8">
        <w:rPr>
          <w:spacing w:val="-7"/>
        </w:rPr>
        <w:t xml:space="preserve"> </w:t>
      </w:r>
      <w:r w:rsidRPr="00EB2BD8">
        <w:t>the</w:t>
      </w:r>
      <w:r w:rsidRPr="00EB2BD8">
        <w:rPr>
          <w:spacing w:val="-7"/>
        </w:rPr>
        <w:t xml:space="preserve"> </w:t>
      </w:r>
      <w:r w:rsidRPr="00EB2BD8">
        <w:t>Office</w:t>
      </w:r>
      <w:r w:rsidRPr="00EB2BD8">
        <w:rPr>
          <w:spacing w:val="-7"/>
        </w:rPr>
        <w:t xml:space="preserve"> </w:t>
      </w:r>
      <w:r w:rsidRPr="00EB2BD8">
        <w:t>of</w:t>
      </w:r>
      <w:r w:rsidRPr="00EB2BD8">
        <w:rPr>
          <w:spacing w:val="-7"/>
        </w:rPr>
        <w:t xml:space="preserve"> </w:t>
      </w:r>
      <w:r w:rsidRPr="00EB2BD8">
        <w:t>the</w:t>
      </w:r>
      <w:r w:rsidRPr="00EB2BD8">
        <w:rPr>
          <w:spacing w:val="-7"/>
        </w:rPr>
        <w:t xml:space="preserve"> </w:t>
      </w:r>
      <w:r w:rsidRPr="00EB2BD8">
        <w:t>Victorian</w:t>
      </w:r>
      <w:r w:rsidRPr="00EB2BD8">
        <w:rPr>
          <w:spacing w:val="-7"/>
        </w:rPr>
        <w:t xml:space="preserve"> </w:t>
      </w:r>
      <w:r w:rsidRPr="00EB2BD8">
        <w:t xml:space="preserve">Information Commissioner (OVIC) within 28 days of receiving a </w:t>
      </w:r>
      <w:r w:rsidRPr="00EB2BD8">
        <w:rPr>
          <w:spacing w:val="-2"/>
        </w:rPr>
        <w:t>decision.</w:t>
      </w:r>
    </w:p>
    <w:p w14:paraId="711608B7" w14:textId="5EBEAA77" w:rsidR="00084F36" w:rsidRPr="00EB2BD8" w:rsidRDefault="00C315ED" w:rsidP="00C315ED">
      <w:pPr>
        <w:pStyle w:val="Heading2"/>
        <w:ind w:left="0"/>
      </w:pPr>
      <w:r>
        <w:t xml:space="preserve">     </w:t>
      </w:r>
      <w:bookmarkStart w:id="213" w:name="_Toc150762515"/>
      <w:r w:rsidR="00EB2BD8" w:rsidRPr="00EB2BD8">
        <w:rPr>
          <w:spacing w:val="-4"/>
        </w:rPr>
        <w:t>VCAT</w:t>
      </w:r>
      <w:r w:rsidR="00EB2BD8" w:rsidRPr="00EB2BD8">
        <w:rPr>
          <w:spacing w:val="-10"/>
        </w:rPr>
        <w:t xml:space="preserve"> </w:t>
      </w:r>
      <w:r w:rsidR="00EB2BD8" w:rsidRPr="00EB2BD8">
        <w:t>appeals</w:t>
      </w:r>
      <w:bookmarkEnd w:id="213"/>
    </w:p>
    <w:p w14:paraId="75593642" w14:textId="77777777" w:rsidR="00084F36" w:rsidRPr="00EB2BD8" w:rsidRDefault="00EB2BD8">
      <w:pPr>
        <w:pStyle w:val="BodyText"/>
        <w:spacing w:before="178" w:line="261" w:lineRule="auto"/>
        <w:ind w:left="464" w:right="922"/>
      </w:pPr>
      <w:r w:rsidRPr="00EB2BD8">
        <w:rPr>
          <w:spacing w:val="-2"/>
        </w:rPr>
        <w:t>During</w:t>
      </w:r>
      <w:r w:rsidRPr="00EB2BD8">
        <w:rPr>
          <w:spacing w:val="-13"/>
        </w:rPr>
        <w:t xml:space="preserve"> </w:t>
      </w:r>
      <w:r w:rsidRPr="00EB2BD8">
        <w:rPr>
          <w:spacing w:val="-2"/>
        </w:rPr>
        <w:t>2022-23,</w:t>
      </w:r>
      <w:r w:rsidRPr="00EB2BD8">
        <w:rPr>
          <w:spacing w:val="-12"/>
        </w:rPr>
        <w:t xml:space="preserve"> </w:t>
      </w:r>
      <w:r w:rsidRPr="00EB2BD8">
        <w:rPr>
          <w:spacing w:val="-2"/>
        </w:rPr>
        <w:t>four</w:t>
      </w:r>
      <w:r w:rsidRPr="00EB2BD8">
        <w:rPr>
          <w:spacing w:val="-12"/>
        </w:rPr>
        <w:t xml:space="preserve"> </w:t>
      </w:r>
      <w:r w:rsidRPr="00EB2BD8">
        <w:rPr>
          <w:spacing w:val="-2"/>
        </w:rPr>
        <w:t>VCAT</w:t>
      </w:r>
      <w:r w:rsidRPr="00EB2BD8">
        <w:rPr>
          <w:spacing w:val="-12"/>
        </w:rPr>
        <w:t xml:space="preserve"> </w:t>
      </w:r>
      <w:r w:rsidRPr="00EB2BD8">
        <w:rPr>
          <w:spacing w:val="-2"/>
        </w:rPr>
        <w:t>reviews</w:t>
      </w:r>
      <w:r w:rsidRPr="00EB2BD8">
        <w:rPr>
          <w:spacing w:val="-13"/>
        </w:rPr>
        <w:t xml:space="preserve"> </w:t>
      </w:r>
      <w:r w:rsidRPr="00EB2BD8">
        <w:rPr>
          <w:spacing w:val="-2"/>
        </w:rPr>
        <w:t>were</w:t>
      </w:r>
      <w:r w:rsidRPr="00EB2BD8">
        <w:rPr>
          <w:spacing w:val="-12"/>
        </w:rPr>
        <w:t xml:space="preserve"> </w:t>
      </w:r>
      <w:r w:rsidRPr="00EB2BD8">
        <w:rPr>
          <w:spacing w:val="-2"/>
        </w:rPr>
        <w:t>lodged</w:t>
      </w:r>
      <w:r w:rsidRPr="00EB2BD8">
        <w:rPr>
          <w:spacing w:val="-12"/>
        </w:rPr>
        <w:t xml:space="preserve"> </w:t>
      </w:r>
      <w:r w:rsidRPr="00EB2BD8">
        <w:rPr>
          <w:spacing w:val="-2"/>
        </w:rPr>
        <w:t xml:space="preserve">relating </w:t>
      </w:r>
      <w:r w:rsidRPr="00EB2BD8">
        <w:t>to VBA FOI decisions. Three matters were withdrawn, and</w:t>
      </w:r>
      <w:r w:rsidRPr="00EB2BD8">
        <w:rPr>
          <w:spacing w:val="-2"/>
        </w:rPr>
        <w:t xml:space="preserve"> </w:t>
      </w:r>
      <w:r w:rsidRPr="00EB2BD8">
        <w:t>one</w:t>
      </w:r>
      <w:r w:rsidRPr="00EB2BD8">
        <w:rPr>
          <w:spacing w:val="-2"/>
        </w:rPr>
        <w:t xml:space="preserve"> </w:t>
      </w:r>
      <w:r w:rsidRPr="00EB2BD8">
        <w:t>is</w:t>
      </w:r>
      <w:r w:rsidRPr="00EB2BD8">
        <w:rPr>
          <w:spacing w:val="-2"/>
        </w:rPr>
        <w:t xml:space="preserve"> </w:t>
      </w:r>
      <w:r w:rsidRPr="00EB2BD8">
        <w:t>ongoing.</w:t>
      </w:r>
      <w:r w:rsidRPr="00EB2BD8">
        <w:rPr>
          <w:spacing w:val="-2"/>
        </w:rPr>
        <w:t xml:space="preserve"> </w:t>
      </w:r>
      <w:r w:rsidRPr="00EB2BD8">
        <w:t>This</w:t>
      </w:r>
      <w:r w:rsidRPr="00EB2BD8">
        <w:rPr>
          <w:spacing w:val="-2"/>
        </w:rPr>
        <w:t xml:space="preserve"> </w:t>
      </w:r>
      <w:r w:rsidRPr="00EB2BD8">
        <w:t>was</w:t>
      </w:r>
      <w:r w:rsidRPr="00EB2BD8">
        <w:rPr>
          <w:spacing w:val="-2"/>
        </w:rPr>
        <w:t xml:space="preserve"> </w:t>
      </w:r>
      <w:r w:rsidRPr="00EB2BD8">
        <w:t>a</w:t>
      </w:r>
      <w:r w:rsidRPr="00EB2BD8">
        <w:rPr>
          <w:spacing w:val="-2"/>
        </w:rPr>
        <w:t xml:space="preserve"> </w:t>
      </w:r>
      <w:r w:rsidRPr="00EB2BD8">
        <w:t>decrease</w:t>
      </w:r>
      <w:r w:rsidRPr="00EB2BD8">
        <w:rPr>
          <w:spacing w:val="-2"/>
        </w:rPr>
        <w:t xml:space="preserve"> </w:t>
      </w:r>
      <w:r w:rsidRPr="00EB2BD8">
        <w:t>from</w:t>
      </w:r>
      <w:r w:rsidRPr="00EB2BD8">
        <w:rPr>
          <w:spacing w:val="-2"/>
        </w:rPr>
        <w:t xml:space="preserve"> </w:t>
      </w:r>
      <w:r w:rsidRPr="00EB2BD8">
        <w:t>the</w:t>
      </w:r>
      <w:r w:rsidRPr="00EB2BD8">
        <w:rPr>
          <w:spacing w:val="-2"/>
        </w:rPr>
        <w:t xml:space="preserve"> </w:t>
      </w:r>
      <w:r w:rsidRPr="00EB2BD8">
        <w:t>nine VCAT</w:t>
      </w:r>
      <w:r w:rsidRPr="00EB2BD8">
        <w:rPr>
          <w:spacing w:val="-7"/>
        </w:rPr>
        <w:t xml:space="preserve"> </w:t>
      </w:r>
      <w:r w:rsidRPr="00EB2BD8">
        <w:t>reviews</w:t>
      </w:r>
      <w:r w:rsidRPr="00EB2BD8">
        <w:rPr>
          <w:spacing w:val="-7"/>
        </w:rPr>
        <w:t xml:space="preserve"> </w:t>
      </w:r>
      <w:r w:rsidRPr="00EB2BD8">
        <w:t>lodged</w:t>
      </w:r>
      <w:r w:rsidRPr="00EB2BD8">
        <w:rPr>
          <w:spacing w:val="-7"/>
        </w:rPr>
        <w:t xml:space="preserve"> </w:t>
      </w:r>
      <w:r w:rsidRPr="00EB2BD8">
        <w:t>in</w:t>
      </w:r>
      <w:r w:rsidRPr="00EB2BD8">
        <w:rPr>
          <w:spacing w:val="-7"/>
        </w:rPr>
        <w:t xml:space="preserve"> </w:t>
      </w:r>
      <w:r w:rsidRPr="00EB2BD8">
        <w:t>2021-22.</w:t>
      </w:r>
    </w:p>
    <w:p w14:paraId="7A8383D3" w14:textId="77777777" w:rsidR="00084F36" w:rsidRPr="00EB2BD8" w:rsidRDefault="00084F36">
      <w:pPr>
        <w:pStyle w:val="BodyText"/>
        <w:spacing w:before="6"/>
        <w:rPr>
          <w:sz w:val="25"/>
        </w:rPr>
      </w:pPr>
    </w:p>
    <w:p w14:paraId="22652D9D" w14:textId="0F35EACA" w:rsidR="00084F36" w:rsidRPr="00EB2BD8" w:rsidRDefault="00C315ED" w:rsidP="00C315ED">
      <w:pPr>
        <w:pStyle w:val="Heading2"/>
        <w:ind w:left="0"/>
      </w:pPr>
      <w:r>
        <w:t xml:space="preserve">     </w:t>
      </w:r>
      <w:bookmarkStart w:id="214" w:name="_Toc150762516"/>
      <w:r w:rsidR="00EB2BD8" w:rsidRPr="00EB2BD8">
        <w:t>FOI</w:t>
      </w:r>
      <w:r w:rsidR="00EB2BD8" w:rsidRPr="00EB2BD8">
        <w:rPr>
          <w:spacing w:val="8"/>
        </w:rPr>
        <w:t xml:space="preserve"> </w:t>
      </w:r>
      <w:r w:rsidR="00EB2BD8" w:rsidRPr="00EB2BD8">
        <w:t>statistics</w:t>
      </w:r>
      <w:r w:rsidR="00EB2BD8" w:rsidRPr="00EB2BD8">
        <w:rPr>
          <w:spacing w:val="9"/>
        </w:rPr>
        <w:t xml:space="preserve"> </w:t>
      </w:r>
      <w:r w:rsidR="00EB2BD8" w:rsidRPr="00EB2BD8">
        <w:t>and</w:t>
      </w:r>
      <w:r w:rsidR="00EB2BD8" w:rsidRPr="00EB2BD8">
        <w:rPr>
          <w:spacing w:val="9"/>
        </w:rPr>
        <w:t xml:space="preserve"> </w:t>
      </w:r>
      <w:r w:rsidR="00EB2BD8" w:rsidRPr="00EB2BD8">
        <w:rPr>
          <w:spacing w:val="-2"/>
        </w:rPr>
        <w:t>timeliness</w:t>
      </w:r>
      <w:bookmarkEnd w:id="214"/>
    </w:p>
    <w:p w14:paraId="1E93B289" w14:textId="77777777" w:rsidR="00084F36" w:rsidRPr="00EB2BD8" w:rsidRDefault="00EB2BD8">
      <w:pPr>
        <w:pStyle w:val="BodyText"/>
        <w:spacing w:before="178" w:line="261" w:lineRule="auto"/>
        <w:ind w:left="464" w:right="922"/>
      </w:pPr>
      <w:r w:rsidRPr="00EB2BD8">
        <w:rPr>
          <w:spacing w:val="-2"/>
        </w:rPr>
        <w:t>In</w:t>
      </w:r>
      <w:r w:rsidRPr="00EB2BD8">
        <w:rPr>
          <w:spacing w:val="-13"/>
        </w:rPr>
        <w:t xml:space="preserve"> </w:t>
      </w:r>
      <w:r w:rsidRPr="00EB2BD8">
        <w:rPr>
          <w:spacing w:val="-2"/>
        </w:rPr>
        <w:t>2022–23,</w:t>
      </w:r>
      <w:r w:rsidRPr="00EB2BD8">
        <w:rPr>
          <w:spacing w:val="-12"/>
        </w:rPr>
        <w:t xml:space="preserve"> </w:t>
      </w:r>
      <w:r w:rsidRPr="00EB2BD8">
        <w:rPr>
          <w:spacing w:val="-2"/>
        </w:rPr>
        <w:t>the</w:t>
      </w:r>
      <w:r w:rsidRPr="00EB2BD8">
        <w:rPr>
          <w:spacing w:val="-12"/>
        </w:rPr>
        <w:t xml:space="preserve"> </w:t>
      </w:r>
      <w:r w:rsidRPr="00EB2BD8">
        <w:rPr>
          <w:spacing w:val="-2"/>
        </w:rPr>
        <w:t>VBA</w:t>
      </w:r>
      <w:r w:rsidRPr="00EB2BD8">
        <w:rPr>
          <w:spacing w:val="-12"/>
        </w:rPr>
        <w:t xml:space="preserve"> </w:t>
      </w:r>
      <w:r w:rsidRPr="00EB2BD8">
        <w:rPr>
          <w:spacing w:val="-2"/>
        </w:rPr>
        <w:t>received</w:t>
      </w:r>
      <w:r w:rsidRPr="00EB2BD8">
        <w:rPr>
          <w:spacing w:val="-13"/>
        </w:rPr>
        <w:t xml:space="preserve"> </w:t>
      </w:r>
      <w:r w:rsidRPr="00EB2BD8">
        <w:rPr>
          <w:spacing w:val="-2"/>
        </w:rPr>
        <w:t>549</w:t>
      </w:r>
      <w:r w:rsidRPr="00EB2BD8">
        <w:rPr>
          <w:spacing w:val="-12"/>
        </w:rPr>
        <w:t xml:space="preserve"> </w:t>
      </w:r>
      <w:r w:rsidRPr="00EB2BD8">
        <w:rPr>
          <w:spacing w:val="-2"/>
        </w:rPr>
        <w:t>FOI</w:t>
      </w:r>
      <w:r w:rsidRPr="00EB2BD8">
        <w:rPr>
          <w:spacing w:val="-12"/>
        </w:rPr>
        <w:t xml:space="preserve"> </w:t>
      </w:r>
      <w:r w:rsidRPr="00EB2BD8">
        <w:rPr>
          <w:spacing w:val="-2"/>
        </w:rPr>
        <w:t>requests,</w:t>
      </w:r>
      <w:r w:rsidRPr="00EB2BD8">
        <w:rPr>
          <w:spacing w:val="-12"/>
        </w:rPr>
        <w:t xml:space="preserve"> </w:t>
      </w:r>
      <w:r w:rsidRPr="00EB2BD8">
        <w:rPr>
          <w:spacing w:val="-2"/>
        </w:rPr>
        <w:t>of</w:t>
      </w:r>
      <w:r w:rsidRPr="00EB2BD8">
        <w:rPr>
          <w:spacing w:val="-13"/>
        </w:rPr>
        <w:t xml:space="preserve"> </w:t>
      </w:r>
      <w:r w:rsidRPr="00EB2BD8">
        <w:rPr>
          <w:spacing w:val="-2"/>
        </w:rPr>
        <w:t xml:space="preserve">which </w:t>
      </w:r>
      <w:r w:rsidRPr="00EB2BD8">
        <w:t>469 were valid. The VBA decided 479 valid requests</w:t>
      </w:r>
    </w:p>
    <w:p w14:paraId="2334E4B9" w14:textId="77777777" w:rsidR="00084F36" w:rsidRPr="00EB2BD8" w:rsidRDefault="00EB2BD8">
      <w:pPr>
        <w:pStyle w:val="BodyText"/>
        <w:spacing w:line="261" w:lineRule="auto"/>
        <w:ind w:left="464" w:right="848"/>
      </w:pPr>
      <w:r w:rsidRPr="00EB2BD8">
        <w:t xml:space="preserve">in 2022-23, including 39 decisions on applications received in the previous reporting period. Twenty nine of the 469 valid requests received were still being processed, and not decided before 30 June 2023. Most requests were made by property owners and those requests were mostly for practitioner insurance details, plumbing compliance certificates, contact information of practitioners, and investigation and complaint files. Of 507 decisions made for valid requests received in </w:t>
      </w:r>
      <w:r w:rsidRPr="00EB2BD8">
        <w:rPr>
          <w:spacing w:val="-4"/>
        </w:rPr>
        <w:t xml:space="preserve">2022-23 (this does not include requests received in 2021- </w:t>
      </w:r>
      <w:r w:rsidRPr="00EB2BD8">
        <w:t>22 but decided in 2022-23):</w:t>
      </w:r>
    </w:p>
    <w:p w14:paraId="3F375477" w14:textId="77777777" w:rsidR="00084F36" w:rsidRPr="00EB2BD8" w:rsidRDefault="00EB2BD8">
      <w:pPr>
        <w:pStyle w:val="ListParagraph"/>
        <w:numPr>
          <w:ilvl w:val="0"/>
          <w:numId w:val="54"/>
        </w:numPr>
        <w:tabs>
          <w:tab w:val="left" w:pos="748"/>
        </w:tabs>
        <w:spacing w:before="100" w:line="261" w:lineRule="auto"/>
        <w:ind w:right="1425"/>
        <w:rPr>
          <w:sz w:val="18"/>
        </w:rPr>
      </w:pPr>
      <w:r w:rsidRPr="00EB2BD8">
        <w:rPr>
          <w:spacing w:val="-2"/>
          <w:sz w:val="18"/>
        </w:rPr>
        <w:t>372</w:t>
      </w:r>
      <w:r w:rsidRPr="00EB2BD8">
        <w:rPr>
          <w:spacing w:val="-6"/>
          <w:sz w:val="18"/>
        </w:rPr>
        <w:t xml:space="preserve"> </w:t>
      </w:r>
      <w:r w:rsidRPr="00EB2BD8">
        <w:rPr>
          <w:spacing w:val="-2"/>
          <w:sz w:val="18"/>
        </w:rPr>
        <w:t>matters</w:t>
      </w:r>
      <w:r w:rsidRPr="00EB2BD8">
        <w:rPr>
          <w:spacing w:val="-6"/>
          <w:sz w:val="18"/>
        </w:rPr>
        <w:t xml:space="preserve"> </w:t>
      </w:r>
      <w:r w:rsidRPr="00EB2BD8">
        <w:rPr>
          <w:spacing w:val="-2"/>
          <w:sz w:val="18"/>
        </w:rPr>
        <w:t>were</w:t>
      </w:r>
      <w:r w:rsidRPr="00EB2BD8">
        <w:rPr>
          <w:spacing w:val="-6"/>
          <w:sz w:val="18"/>
        </w:rPr>
        <w:t xml:space="preserve"> </w:t>
      </w:r>
      <w:r w:rsidRPr="00EB2BD8">
        <w:rPr>
          <w:spacing w:val="-2"/>
          <w:sz w:val="18"/>
        </w:rPr>
        <w:t>finalised</w:t>
      </w:r>
      <w:r w:rsidRPr="00EB2BD8">
        <w:rPr>
          <w:spacing w:val="-6"/>
          <w:sz w:val="18"/>
        </w:rPr>
        <w:t xml:space="preserve"> </w:t>
      </w:r>
      <w:r w:rsidRPr="00EB2BD8">
        <w:rPr>
          <w:spacing w:val="-2"/>
          <w:sz w:val="18"/>
        </w:rPr>
        <w:t>within</w:t>
      </w:r>
      <w:r w:rsidRPr="00EB2BD8">
        <w:rPr>
          <w:spacing w:val="-6"/>
          <w:sz w:val="18"/>
        </w:rPr>
        <w:t xml:space="preserve"> </w:t>
      </w:r>
      <w:r w:rsidRPr="00EB2BD8">
        <w:rPr>
          <w:spacing w:val="-2"/>
          <w:sz w:val="18"/>
        </w:rPr>
        <w:t>the</w:t>
      </w:r>
      <w:r w:rsidRPr="00EB2BD8">
        <w:rPr>
          <w:spacing w:val="-6"/>
          <w:sz w:val="18"/>
        </w:rPr>
        <w:t xml:space="preserve"> </w:t>
      </w:r>
      <w:r w:rsidRPr="00EB2BD8">
        <w:rPr>
          <w:spacing w:val="-2"/>
          <w:sz w:val="18"/>
        </w:rPr>
        <w:t>statutory timeframe.</w:t>
      </w:r>
    </w:p>
    <w:p w14:paraId="48B0291B" w14:textId="77777777" w:rsidR="00084F36" w:rsidRPr="00EB2BD8" w:rsidRDefault="00EB2BD8">
      <w:pPr>
        <w:pStyle w:val="ListParagraph"/>
        <w:numPr>
          <w:ilvl w:val="0"/>
          <w:numId w:val="54"/>
        </w:numPr>
        <w:tabs>
          <w:tab w:val="left" w:pos="748"/>
        </w:tabs>
        <w:spacing w:before="68"/>
        <w:rPr>
          <w:sz w:val="18"/>
        </w:rPr>
      </w:pPr>
      <w:r w:rsidRPr="00EB2BD8">
        <w:rPr>
          <w:sz w:val="18"/>
        </w:rPr>
        <w:t>55</w:t>
      </w:r>
      <w:r w:rsidRPr="00EB2BD8">
        <w:rPr>
          <w:spacing w:val="-13"/>
          <w:sz w:val="18"/>
        </w:rPr>
        <w:t xml:space="preserve"> </w:t>
      </w:r>
      <w:r w:rsidRPr="00EB2BD8">
        <w:rPr>
          <w:sz w:val="18"/>
        </w:rPr>
        <w:t>matters</w:t>
      </w:r>
      <w:r w:rsidRPr="00EB2BD8">
        <w:rPr>
          <w:spacing w:val="-12"/>
          <w:sz w:val="18"/>
        </w:rPr>
        <w:t xml:space="preserve"> </w:t>
      </w:r>
      <w:r w:rsidRPr="00EB2BD8">
        <w:rPr>
          <w:sz w:val="18"/>
        </w:rPr>
        <w:t>were</w:t>
      </w:r>
      <w:r w:rsidRPr="00EB2BD8">
        <w:rPr>
          <w:spacing w:val="-12"/>
          <w:sz w:val="18"/>
        </w:rPr>
        <w:t xml:space="preserve"> </w:t>
      </w:r>
      <w:r w:rsidRPr="00EB2BD8">
        <w:rPr>
          <w:sz w:val="18"/>
        </w:rPr>
        <w:t>finalised</w:t>
      </w:r>
      <w:r w:rsidRPr="00EB2BD8">
        <w:rPr>
          <w:spacing w:val="-12"/>
          <w:sz w:val="18"/>
        </w:rPr>
        <w:t xml:space="preserve"> </w:t>
      </w:r>
      <w:r w:rsidRPr="00EB2BD8">
        <w:rPr>
          <w:sz w:val="18"/>
        </w:rPr>
        <w:t>up</w:t>
      </w:r>
      <w:r w:rsidRPr="00EB2BD8">
        <w:rPr>
          <w:spacing w:val="-12"/>
          <w:sz w:val="18"/>
        </w:rPr>
        <w:t xml:space="preserve"> </w:t>
      </w:r>
      <w:r w:rsidRPr="00EB2BD8">
        <w:rPr>
          <w:sz w:val="18"/>
        </w:rPr>
        <w:t>to</w:t>
      </w:r>
      <w:r w:rsidRPr="00EB2BD8">
        <w:rPr>
          <w:spacing w:val="-13"/>
          <w:sz w:val="18"/>
        </w:rPr>
        <w:t xml:space="preserve"> </w:t>
      </w:r>
      <w:r w:rsidRPr="00EB2BD8">
        <w:rPr>
          <w:sz w:val="18"/>
        </w:rPr>
        <w:t>45</w:t>
      </w:r>
      <w:r w:rsidRPr="00EB2BD8">
        <w:rPr>
          <w:spacing w:val="-12"/>
          <w:sz w:val="18"/>
        </w:rPr>
        <w:t xml:space="preserve"> </w:t>
      </w:r>
      <w:r w:rsidRPr="00EB2BD8">
        <w:rPr>
          <w:sz w:val="18"/>
        </w:rPr>
        <w:t>days</w:t>
      </w:r>
      <w:r w:rsidRPr="00EB2BD8">
        <w:rPr>
          <w:spacing w:val="-12"/>
          <w:sz w:val="18"/>
        </w:rPr>
        <w:t xml:space="preserve"> </w:t>
      </w:r>
      <w:r w:rsidRPr="00EB2BD8">
        <w:rPr>
          <w:spacing w:val="-2"/>
          <w:sz w:val="18"/>
        </w:rPr>
        <w:t>overdue.</w:t>
      </w:r>
    </w:p>
    <w:p w14:paraId="2925BC6A" w14:textId="77777777" w:rsidR="00084F36" w:rsidRPr="00EB2BD8" w:rsidRDefault="00EB2BD8">
      <w:pPr>
        <w:pStyle w:val="ListParagraph"/>
        <w:numPr>
          <w:ilvl w:val="0"/>
          <w:numId w:val="54"/>
        </w:numPr>
        <w:tabs>
          <w:tab w:val="left" w:pos="748"/>
        </w:tabs>
        <w:spacing w:before="88"/>
        <w:rPr>
          <w:sz w:val="18"/>
        </w:rPr>
      </w:pPr>
      <w:r w:rsidRPr="00EB2BD8">
        <w:rPr>
          <w:sz w:val="18"/>
        </w:rPr>
        <w:t>80</w:t>
      </w:r>
      <w:r w:rsidRPr="00EB2BD8">
        <w:rPr>
          <w:spacing w:val="-9"/>
          <w:sz w:val="18"/>
        </w:rPr>
        <w:t xml:space="preserve"> </w:t>
      </w:r>
      <w:r w:rsidRPr="00EB2BD8">
        <w:rPr>
          <w:sz w:val="18"/>
        </w:rPr>
        <w:t>matters</w:t>
      </w:r>
      <w:r w:rsidRPr="00EB2BD8">
        <w:rPr>
          <w:spacing w:val="-8"/>
          <w:sz w:val="18"/>
        </w:rPr>
        <w:t xml:space="preserve"> </w:t>
      </w:r>
      <w:r w:rsidRPr="00EB2BD8">
        <w:rPr>
          <w:sz w:val="18"/>
        </w:rPr>
        <w:t>were</w:t>
      </w:r>
      <w:r w:rsidRPr="00EB2BD8">
        <w:rPr>
          <w:spacing w:val="-8"/>
          <w:sz w:val="18"/>
        </w:rPr>
        <w:t xml:space="preserve"> </w:t>
      </w:r>
      <w:r w:rsidRPr="00EB2BD8">
        <w:rPr>
          <w:sz w:val="18"/>
        </w:rPr>
        <w:t>finalised</w:t>
      </w:r>
      <w:r w:rsidRPr="00EB2BD8">
        <w:rPr>
          <w:spacing w:val="-8"/>
          <w:sz w:val="18"/>
        </w:rPr>
        <w:t xml:space="preserve"> </w:t>
      </w:r>
      <w:r w:rsidRPr="00EB2BD8">
        <w:rPr>
          <w:sz w:val="18"/>
        </w:rPr>
        <w:t>46</w:t>
      </w:r>
      <w:r w:rsidRPr="00EB2BD8">
        <w:rPr>
          <w:spacing w:val="-8"/>
          <w:sz w:val="18"/>
        </w:rPr>
        <w:t xml:space="preserve"> </w:t>
      </w:r>
      <w:r w:rsidRPr="00EB2BD8">
        <w:rPr>
          <w:sz w:val="18"/>
        </w:rPr>
        <w:t>days</w:t>
      </w:r>
      <w:r w:rsidRPr="00EB2BD8">
        <w:rPr>
          <w:spacing w:val="-8"/>
          <w:sz w:val="18"/>
        </w:rPr>
        <w:t xml:space="preserve"> </w:t>
      </w:r>
      <w:r w:rsidRPr="00EB2BD8">
        <w:rPr>
          <w:sz w:val="18"/>
        </w:rPr>
        <w:t>or</w:t>
      </w:r>
      <w:r w:rsidRPr="00EB2BD8">
        <w:rPr>
          <w:spacing w:val="-8"/>
          <w:sz w:val="18"/>
        </w:rPr>
        <w:t xml:space="preserve"> </w:t>
      </w:r>
      <w:r w:rsidRPr="00EB2BD8">
        <w:rPr>
          <w:sz w:val="18"/>
        </w:rPr>
        <w:t>more</w:t>
      </w:r>
      <w:r w:rsidRPr="00EB2BD8">
        <w:rPr>
          <w:spacing w:val="-8"/>
          <w:sz w:val="18"/>
        </w:rPr>
        <w:t xml:space="preserve"> </w:t>
      </w:r>
      <w:r w:rsidRPr="00EB2BD8">
        <w:rPr>
          <w:spacing w:val="-2"/>
          <w:sz w:val="18"/>
        </w:rPr>
        <w:t>overdue.</w:t>
      </w:r>
    </w:p>
    <w:p w14:paraId="22B49FFC" w14:textId="77777777" w:rsidR="00084F36" w:rsidRPr="00EB2BD8" w:rsidRDefault="00084F36">
      <w:pPr>
        <w:pStyle w:val="BodyText"/>
        <w:spacing w:before="3"/>
        <w:rPr>
          <w:sz w:val="21"/>
        </w:rPr>
      </w:pPr>
    </w:p>
    <w:p w14:paraId="066A5A52" w14:textId="351C7552" w:rsidR="00084F36" w:rsidRPr="00C315ED" w:rsidRDefault="00C315ED" w:rsidP="00C315ED">
      <w:pPr>
        <w:pStyle w:val="Heading3"/>
        <w:ind w:left="0"/>
      </w:pPr>
      <w:r>
        <w:t xml:space="preserve">        </w:t>
      </w:r>
      <w:bookmarkStart w:id="215" w:name="_Toc150762517"/>
      <w:r w:rsidR="00EB2BD8" w:rsidRPr="00C315ED">
        <w:t>Table 11: FOI application outcomes 2022–23</w:t>
      </w:r>
      <w:bookmarkEnd w:id="215"/>
    </w:p>
    <w:p w14:paraId="3917B21D" w14:textId="77777777" w:rsidR="00084F36" w:rsidRPr="00EB2BD8" w:rsidRDefault="00084F36">
      <w:pPr>
        <w:pStyle w:val="BodyText"/>
        <w:spacing w:before="6"/>
        <w:rPr>
          <w:sz w:val="20"/>
        </w:rPr>
      </w:pPr>
    </w:p>
    <w:tbl>
      <w:tblPr>
        <w:tblW w:w="0" w:type="auto"/>
        <w:tblInd w:w="463" w:type="dxa"/>
        <w:tblLayout w:type="fixed"/>
        <w:tblCellMar>
          <w:left w:w="0" w:type="dxa"/>
          <w:right w:w="0" w:type="dxa"/>
        </w:tblCellMar>
        <w:tblLook w:val="01E0" w:firstRow="1" w:lastRow="1" w:firstColumn="1" w:lastColumn="1" w:noHBand="0" w:noVBand="0"/>
      </w:tblPr>
      <w:tblGrid>
        <w:gridCol w:w="3222"/>
        <w:gridCol w:w="1738"/>
      </w:tblGrid>
      <w:tr w:rsidR="00EB2BD8" w:rsidRPr="00EB2BD8" w14:paraId="16F0AFA3" w14:textId="77777777">
        <w:trPr>
          <w:trHeight w:val="386"/>
        </w:trPr>
        <w:tc>
          <w:tcPr>
            <w:tcW w:w="3222" w:type="dxa"/>
            <w:shd w:val="clear" w:color="auto" w:fill="005F83"/>
          </w:tcPr>
          <w:p w14:paraId="5D18D076" w14:textId="77777777" w:rsidR="00084F36" w:rsidRPr="00EB2BD8" w:rsidRDefault="00084F36">
            <w:pPr>
              <w:pStyle w:val="TableParagraph"/>
              <w:rPr>
                <w:rFonts w:ascii="Times New Roman"/>
                <w:sz w:val="18"/>
              </w:rPr>
            </w:pPr>
          </w:p>
        </w:tc>
        <w:tc>
          <w:tcPr>
            <w:tcW w:w="1738" w:type="dxa"/>
            <w:shd w:val="clear" w:color="auto" w:fill="005F83"/>
          </w:tcPr>
          <w:p w14:paraId="1C02151D" w14:textId="77777777" w:rsidR="00084F36" w:rsidRPr="00777C15" w:rsidRDefault="00EB2BD8">
            <w:pPr>
              <w:pStyle w:val="TableParagraph"/>
              <w:spacing w:before="118"/>
              <w:ind w:right="110"/>
              <w:jc w:val="right"/>
              <w:rPr>
                <w:color w:val="FFFFFF" w:themeColor="background1"/>
                <w:sz w:val="16"/>
              </w:rPr>
            </w:pPr>
            <w:r w:rsidRPr="00777C15">
              <w:rPr>
                <w:color w:val="FFFFFF" w:themeColor="background1"/>
                <w:sz w:val="16"/>
              </w:rPr>
              <w:t>FOI</w:t>
            </w:r>
            <w:r w:rsidRPr="00777C15">
              <w:rPr>
                <w:color w:val="FFFFFF" w:themeColor="background1"/>
                <w:spacing w:val="-5"/>
                <w:sz w:val="16"/>
              </w:rPr>
              <w:t xml:space="preserve"> </w:t>
            </w:r>
            <w:r w:rsidRPr="00777C15">
              <w:rPr>
                <w:color w:val="FFFFFF" w:themeColor="background1"/>
                <w:spacing w:val="-2"/>
                <w:sz w:val="16"/>
              </w:rPr>
              <w:t>requests</w:t>
            </w:r>
          </w:p>
        </w:tc>
      </w:tr>
      <w:tr w:rsidR="00EB2BD8" w:rsidRPr="00EB2BD8" w14:paraId="00F2EBC2" w14:textId="77777777">
        <w:trPr>
          <w:trHeight w:val="384"/>
        </w:trPr>
        <w:tc>
          <w:tcPr>
            <w:tcW w:w="3222" w:type="dxa"/>
            <w:tcBorders>
              <w:bottom w:val="single" w:sz="2" w:space="0" w:color="000000"/>
            </w:tcBorders>
          </w:tcPr>
          <w:p w14:paraId="2A8EB93D" w14:textId="77777777" w:rsidR="00084F36" w:rsidRPr="00EB2BD8" w:rsidRDefault="00EB2BD8">
            <w:pPr>
              <w:pStyle w:val="TableParagraph"/>
              <w:spacing w:before="118"/>
              <w:ind w:left="113"/>
              <w:rPr>
                <w:sz w:val="16"/>
              </w:rPr>
            </w:pPr>
            <w:r w:rsidRPr="00EB2BD8">
              <w:rPr>
                <w:sz w:val="16"/>
              </w:rPr>
              <w:t>Released</w:t>
            </w:r>
            <w:r w:rsidRPr="00EB2BD8">
              <w:rPr>
                <w:spacing w:val="-5"/>
                <w:sz w:val="16"/>
              </w:rPr>
              <w:t xml:space="preserve"> </w:t>
            </w:r>
            <w:r w:rsidRPr="00EB2BD8">
              <w:rPr>
                <w:sz w:val="16"/>
              </w:rPr>
              <w:t>in</w:t>
            </w:r>
            <w:r w:rsidRPr="00EB2BD8">
              <w:rPr>
                <w:spacing w:val="-5"/>
                <w:sz w:val="16"/>
              </w:rPr>
              <w:t xml:space="preserve"> </w:t>
            </w:r>
            <w:r w:rsidRPr="00EB2BD8">
              <w:rPr>
                <w:spacing w:val="-4"/>
                <w:sz w:val="16"/>
              </w:rPr>
              <w:t>full</w:t>
            </w:r>
          </w:p>
        </w:tc>
        <w:tc>
          <w:tcPr>
            <w:tcW w:w="1738" w:type="dxa"/>
            <w:tcBorders>
              <w:bottom w:val="single" w:sz="2" w:space="0" w:color="000000"/>
            </w:tcBorders>
          </w:tcPr>
          <w:p w14:paraId="40651567" w14:textId="77777777" w:rsidR="00084F36" w:rsidRPr="00EB2BD8" w:rsidRDefault="00EB2BD8">
            <w:pPr>
              <w:pStyle w:val="TableParagraph"/>
              <w:spacing w:before="118"/>
              <w:ind w:right="111"/>
              <w:jc w:val="right"/>
              <w:rPr>
                <w:sz w:val="16"/>
              </w:rPr>
            </w:pPr>
            <w:r w:rsidRPr="00EB2BD8">
              <w:rPr>
                <w:spacing w:val="-5"/>
                <w:w w:val="95"/>
                <w:sz w:val="16"/>
              </w:rPr>
              <w:t>87</w:t>
            </w:r>
          </w:p>
        </w:tc>
      </w:tr>
      <w:tr w:rsidR="00EB2BD8" w:rsidRPr="00EB2BD8" w14:paraId="104BAE72" w14:textId="77777777">
        <w:trPr>
          <w:trHeight w:val="381"/>
        </w:trPr>
        <w:tc>
          <w:tcPr>
            <w:tcW w:w="3222" w:type="dxa"/>
            <w:tcBorders>
              <w:top w:val="single" w:sz="2" w:space="0" w:color="000000"/>
              <w:bottom w:val="single" w:sz="2" w:space="0" w:color="000000"/>
            </w:tcBorders>
          </w:tcPr>
          <w:p w14:paraId="024B3511" w14:textId="77777777" w:rsidR="00084F36" w:rsidRPr="00EB2BD8" w:rsidRDefault="00EB2BD8">
            <w:pPr>
              <w:pStyle w:val="TableParagraph"/>
              <w:spacing w:before="116"/>
              <w:ind w:left="113"/>
              <w:rPr>
                <w:sz w:val="16"/>
              </w:rPr>
            </w:pPr>
            <w:r w:rsidRPr="00EB2BD8">
              <w:rPr>
                <w:sz w:val="16"/>
              </w:rPr>
              <w:t>Released</w:t>
            </w:r>
            <w:r w:rsidRPr="00EB2BD8">
              <w:rPr>
                <w:spacing w:val="-5"/>
                <w:sz w:val="16"/>
              </w:rPr>
              <w:t xml:space="preserve"> </w:t>
            </w:r>
            <w:r w:rsidRPr="00EB2BD8">
              <w:rPr>
                <w:sz w:val="16"/>
              </w:rPr>
              <w:t>in</w:t>
            </w:r>
            <w:r w:rsidRPr="00EB2BD8">
              <w:rPr>
                <w:spacing w:val="-5"/>
                <w:sz w:val="16"/>
              </w:rPr>
              <w:t xml:space="preserve"> </w:t>
            </w:r>
            <w:r w:rsidRPr="00EB2BD8">
              <w:rPr>
                <w:spacing w:val="-4"/>
                <w:sz w:val="16"/>
              </w:rPr>
              <w:t>part</w:t>
            </w:r>
          </w:p>
        </w:tc>
        <w:tc>
          <w:tcPr>
            <w:tcW w:w="1738" w:type="dxa"/>
            <w:tcBorders>
              <w:top w:val="single" w:sz="2" w:space="0" w:color="000000"/>
              <w:bottom w:val="single" w:sz="2" w:space="0" w:color="000000"/>
            </w:tcBorders>
          </w:tcPr>
          <w:p w14:paraId="1A3F7A83" w14:textId="77777777" w:rsidR="00084F36" w:rsidRPr="00EB2BD8" w:rsidRDefault="00EB2BD8">
            <w:pPr>
              <w:pStyle w:val="TableParagraph"/>
              <w:spacing w:before="116"/>
              <w:ind w:right="111"/>
              <w:jc w:val="right"/>
              <w:rPr>
                <w:sz w:val="16"/>
              </w:rPr>
            </w:pPr>
            <w:r w:rsidRPr="00EB2BD8">
              <w:rPr>
                <w:spacing w:val="-5"/>
                <w:sz w:val="16"/>
              </w:rPr>
              <w:t>86</w:t>
            </w:r>
          </w:p>
        </w:tc>
      </w:tr>
      <w:tr w:rsidR="00EB2BD8" w:rsidRPr="00EB2BD8" w14:paraId="079BA683" w14:textId="77777777">
        <w:trPr>
          <w:trHeight w:val="381"/>
        </w:trPr>
        <w:tc>
          <w:tcPr>
            <w:tcW w:w="3222" w:type="dxa"/>
            <w:tcBorders>
              <w:top w:val="single" w:sz="2" w:space="0" w:color="000000"/>
              <w:bottom w:val="single" w:sz="2" w:space="0" w:color="000000"/>
            </w:tcBorders>
          </w:tcPr>
          <w:p w14:paraId="4270151B" w14:textId="77777777" w:rsidR="00084F36" w:rsidRPr="00EB2BD8" w:rsidRDefault="00EB2BD8">
            <w:pPr>
              <w:pStyle w:val="TableParagraph"/>
              <w:spacing w:before="116"/>
              <w:ind w:left="113"/>
              <w:rPr>
                <w:sz w:val="16"/>
              </w:rPr>
            </w:pPr>
            <w:r w:rsidRPr="00EB2BD8">
              <w:rPr>
                <w:spacing w:val="-2"/>
                <w:sz w:val="16"/>
              </w:rPr>
              <w:t>Denied</w:t>
            </w:r>
            <w:r w:rsidRPr="00EB2BD8">
              <w:rPr>
                <w:spacing w:val="-7"/>
                <w:sz w:val="16"/>
              </w:rPr>
              <w:t xml:space="preserve"> </w:t>
            </w:r>
            <w:r w:rsidRPr="00EB2BD8">
              <w:rPr>
                <w:spacing w:val="-2"/>
                <w:sz w:val="16"/>
              </w:rPr>
              <w:t>in</w:t>
            </w:r>
            <w:r w:rsidRPr="00EB2BD8">
              <w:rPr>
                <w:spacing w:val="-6"/>
                <w:sz w:val="16"/>
              </w:rPr>
              <w:t xml:space="preserve"> </w:t>
            </w:r>
            <w:r w:rsidRPr="00EB2BD8">
              <w:rPr>
                <w:spacing w:val="-4"/>
                <w:sz w:val="16"/>
              </w:rPr>
              <w:t>full</w:t>
            </w:r>
          </w:p>
        </w:tc>
        <w:tc>
          <w:tcPr>
            <w:tcW w:w="1738" w:type="dxa"/>
            <w:tcBorders>
              <w:top w:val="single" w:sz="2" w:space="0" w:color="000000"/>
              <w:bottom w:val="single" w:sz="2" w:space="0" w:color="000000"/>
            </w:tcBorders>
          </w:tcPr>
          <w:p w14:paraId="60E68C27" w14:textId="77777777" w:rsidR="00084F36" w:rsidRPr="00EB2BD8" w:rsidRDefault="00EB2BD8">
            <w:pPr>
              <w:pStyle w:val="TableParagraph"/>
              <w:spacing w:before="116"/>
              <w:ind w:right="111"/>
              <w:jc w:val="right"/>
              <w:rPr>
                <w:sz w:val="16"/>
              </w:rPr>
            </w:pPr>
            <w:r w:rsidRPr="00EB2BD8">
              <w:rPr>
                <w:spacing w:val="-5"/>
                <w:w w:val="85"/>
                <w:sz w:val="16"/>
              </w:rPr>
              <w:t>18</w:t>
            </w:r>
          </w:p>
        </w:tc>
      </w:tr>
      <w:tr w:rsidR="00EB2BD8" w:rsidRPr="00EB2BD8" w14:paraId="5D4903F1" w14:textId="77777777">
        <w:trPr>
          <w:trHeight w:val="381"/>
        </w:trPr>
        <w:tc>
          <w:tcPr>
            <w:tcW w:w="3222" w:type="dxa"/>
            <w:tcBorders>
              <w:top w:val="single" w:sz="2" w:space="0" w:color="000000"/>
              <w:bottom w:val="single" w:sz="2" w:space="0" w:color="000000"/>
            </w:tcBorders>
          </w:tcPr>
          <w:p w14:paraId="794FAA1B" w14:textId="77777777" w:rsidR="00084F36" w:rsidRPr="00EB2BD8" w:rsidRDefault="00EB2BD8">
            <w:pPr>
              <w:pStyle w:val="TableParagraph"/>
              <w:spacing w:before="116"/>
              <w:ind w:left="113"/>
              <w:rPr>
                <w:sz w:val="16"/>
              </w:rPr>
            </w:pPr>
            <w:r w:rsidRPr="00EB2BD8">
              <w:rPr>
                <w:sz w:val="16"/>
              </w:rPr>
              <w:t>Released</w:t>
            </w:r>
            <w:r w:rsidRPr="00EB2BD8">
              <w:rPr>
                <w:spacing w:val="-8"/>
                <w:sz w:val="16"/>
              </w:rPr>
              <w:t xml:space="preserve"> </w:t>
            </w:r>
            <w:r w:rsidRPr="00EB2BD8">
              <w:rPr>
                <w:sz w:val="16"/>
              </w:rPr>
              <w:t>outside</w:t>
            </w:r>
            <w:r w:rsidRPr="00EB2BD8">
              <w:rPr>
                <w:spacing w:val="-7"/>
                <w:sz w:val="16"/>
              </w:rPr>
              <w:t xml:space="preserve"> </w:t>
            </w:r>
            <w:r w:rsidRPr="00EB2BD8">
              <w:rPr>
                <w:sz w:val="16"/>
              </w:rPr>
              <w:t>the</w:t>
            </w:r>
            <w:r w:rsidRPr="00EB2BD8">
              <w:rPr>
                <w:spacing w:val="-7"/>
                <w:sz w:val="16"/>
              </w:rPr>
              <w:t xml:space="preserve"> </w:t>
            </w:r>
            <w:r w:rsidRPr="00EB2BD8">
              <w:rPr>
                <w:sz w:val="16"/>
              </w:rPr>
              <w:t>FOI</w:t>
            </w:r>
            <w:r w:rsidRPr="00EB2BD8">
              <w:rPr>
                <w:spacing w:val="-7"/>
                <w:sz w:val="16"/>
              </w:rPr>
              <w:t xml:space="preserve"> </w:t>
            </w:r>
            <w:r w:rsidRPr="00EB2BD8">
              <w:rPr>
                <w:spacing w:val="-5"/>
                <w:sz w:val="16"/>
              </w:rPr>
              <w:t>Act</w:t>
            </w:r>
          </w:p>
        </w:tc>
        <w:tc>
          <w:tcPr>
            <w:tcW w:w="1738" w:type="dxa"/>
            <w:tcBorders>
              <w:top w:val="single" w:sz="2" w:space="0" w:color="000000"/>
              <w:bottom w:val="single" w:sz="2" w:space="0" w:color="000000"/>
            </w:tcBorders>
          </w:tcPr>
          <w:p w14:paraId="003DC8B2" w14:textId="77777777" w:rsidR="00084F36" w:rsidRPr="00EB2BD8" w:rsidRDefault="00EB2BD8">
            <w:pPr>
              <w:pStyle w:val="TableParagraph"/>
              <w:spacing w:before="116"/>
              <w:ind w:right="111"/>
              <w:jc w:val="right"/>
              <w:rPr>
                <w:sz w:val="16"/>
              </w:rPr>
            </w:pPr>
            <w:r w:rsidRPr="00EB2BD8">
              <w:rPr>
                <w:spacing w:val="-5"/>
                <w:w w:val="85"/>
                <w:sz w:val="16"/>
              </w:rPr>
              <w:t>231</w:t>
            </w:r>
          </w:p>
        </w:tc>
      </w:tr>
      <w:tr w:rsidR="00EB2BD8" w:rsidRPr="00EB2BD8" w14:paraId="6618E01E" w14:textId="77777777">
        <w:trPr>
          <w:trHeight w:val="381"/>
        </w:trPr>
        <w:tc>
          <w:tcPr>
            <w:tcW w:w="3222" w:type="dxa"/>
            <w:tcBorders>
              <w:top w:val="single" w:sz="2" w:space="0" w:color="000000"/>
              <w:bottom w:val="single" w:sz="2" w:space="0" w:color="000000"/>
            </w:tcBorders>
          </w:tcPr>
          <w:p w14:paraId="552925FE" w14:textId="77777777" w:rsidR="00084F36" w:rsidRPr="00EB2BD8" w:rsidRDefault="00EB2BD8">
            <w:pPr>
              <w:pStyle w:val="TableParagraph"/>
              <w:spacing w:before="116"/>
              <w:ind w:left="113"/>
              <w:rPr>
                <w:sz w:val="16"/>
              </w:rPr>
            </w:pPr>
            <w:r w:rsidRPr="00EB2BD8">
              <w:rPr>
                <w:sz w:val="16"/>
              </w:rPr>
              <w:t>No</w:t>
            </w:r>
            <w:r w:rsidRPr="00EB2BD8">
              <w:rPr>
                <w:spacing w:val="-8"/>
                <w:sz w:val="16"/>
              </w:rPr>
              <w:t xml:space="preserve"> </w:t>
            </w:r>
            <w:r w:rsidRPr="00EB2BD8">
              <w:rPr>
                <w:sz w:val="16"/>
              </w:rPr>
              <w:t>documents</w:t>
            </w:r>
            <w:r w:rsidRPr="00EB2BD8">
              <w:rPr>
                <w:spacing w:val="-8"/>
                <w:sz w:val="16"/>
              </w:rPr>
              <w:t xml:space="preserve"> </w:t>
            </w:r>
            <w:r w:rsidRPr="00EB2BD8">
              <w:rPr>
                <w:sz w:val="16"/>
              </w:rPr>
              <w:t>could</w:t>
            </w:r>
            <w:r w:rsidRPr="00EB2BD8">
              <w:rPr>
                <w:spacing w:val="-8"/>
                <w:sz w:val="16"/>
              </w:rPr>
              <w:t xml:space="preserve"> </w:t>
            </w:r>
            <w:r w:rsidRPr="00EB2BD8">
              <w:rPr>
                <w:sz w:val="16"/>
              </w:rPr>
              <w:t>be</w:t>
            </w:r>
            <w:r w:rsidRPr="00EB2BD8">
              <w:rPr>
                <w:spacing w:val="-7"/>
                <w:sz w:val="16"/>
              </w:rPr>
              <w:t xml:space="preserve"> </w:t>
            </w:r>
            <w:r w:rsidRPr="00EB2BD8">
              <w:rPr>
                <w:spacing w:val="-2"/>
                <w:sz w:val="16"/>
              </w:rPr>
              <w:t>found</w:t>
            </w:r>
          </w:p>
        </w:tc>
        <w:tc>
          <w:tcPr>
            <w:tcW w:w="1738" w:type="dxa"/>
            <w:tcBorders>
              <w:top w:val="single" w:sz="2" w:space="0" w:color="000000"/>
              <w:bottom w:val="single" w:sz="2" w:space="0" w:color="000000"/>
            </w:tcBorders>
          </w:tcPr>
          <w:p w14:paraId="26A369A7" w14:textId="77777777" w:rsidR="00084F36" w:rsidRPr="00EB2BD8" w:rsidRDefault="00EB2BD8">
            <w:pPr>
              <w:pStyle w:val="TableParagraph"/>
              <w:spacing w:before="116"/>
              <w:ind w:right="114"/>
              <w:jc w:val="right"/>
              <w:rPr>
                <w:sz w:val="16"/>
              </w:rPr>
            </w:pPr>
            <w:r w:rsidRPr="00EB2BD8">
              <w:rPr>
                <w:spacing w:val="-5"/>
                <w:sz w:val="16"/>
              </w:rPr>
              <w:t>24</w:t>
            </w:r>
          </w:p>
        </w:tc>
      </w:tr>
      <w:tr w:rsidR="00EB2BD8" w:rsidRPr="00EB2BD8" w14:paraId="155D91F6" w14:textId="77777777">
        <w:trPr>
          <w:trHeight w:val="381"/>
        </w:trPr>
        <w:tc>
          <w:tcPr>
            <w:tcW w:w="3222" w:type="dxa"/>
            <w:tcBorders>
              <w:top w:val="single" w:sz="2" w:space="0" w:color="000000"/>
              <w:bottom w:val="single" w:sz="2" w:space="0" w:color="000000"/>
            </w:tcBorders>
          </w:tcPr>
          <w:p w14:paraId="635ABE6E" w14:textId="4A1874B0" w:rsidR="00D17FC3" w:rsidRPr="00D17FC3" w:rsidRDefault="00EB2BD8" w:rsidP="00D17FC3">
            <w:pPr>
              <w:pStyle w:val="TableParagraph"/>
              <w:spacing w:before="116"/>
              <w:ind w:left="113"/>
              <w:rPr>
                <w:spacing w:val="-2"/>
                <w:sz w:val="16"/>
              </w:rPr>
            </w:pPr>
            <w:r w:rsidRPr="00EB2BD8">
              <w:rPr>
                <w:spacing w:val="-2"/>
                <w:sz w:val="16"/>
              </w:rPr>
              <w:t>Transferred</w:t>
            </w:r>
            <w:r w:rsidRPr="00EB2BD8">
              <w:rPr>
                <w:spacing w:val="-1"/>
                <w:sz w:val="16"/>
              </w:rPr>
              <w:t xml:space="preserve"> </w:t>
            </w:r>
            <w:r w:rsidRPr="00EB2BD8">
              <w:rPr>
                <w:spacing w:val="-2"/>
                <w:sz w:val="16"/>
              </w:rPr>
              <w:t>to</w:t>
            </w:r>
            <w:r w:rsidRPr="00EB2BD8">
              <w:rPr>
                <w:spacing w:val="-1"/>
                <w:sz w:val="16"/>
              </w:rPr>
              <w:t xml:space="preserve"> </w:t>
            </w:r>
            <w:r w:rsidRPr="00EB2BD8">
              <w:rPr>
                <w:spacing w:val="-2"/>
                <w:sz w:val="16"/>
              </w:rPr>
              <w:t>another</w:t>
            </w:r>
            <w:r w:rsidRPr="00EB2BD8">
              <w:rPr>
                <w:sz w:val="16"/>
              </w:rPr>
              <w:t xml:space="preserve"> </w:t>
            </w:r>
            <w:r w:rsidRPr="00EB2BD8">
              <w:rPr>
                <w:spacing w:val="-2"/>
                <w:sz w:val="16"/>
              </w:rPr>
              <w:t>agency</w:t>
            </w:r>
            <w:r w:rsidRPr="00D17FC3">
              <w:rPr>
                <w:spacing w:val="-2"/>
                <w:sz w:val="16"/>
                <w:vertAlign w:val="superscript"/>
              </w:rPr>
              <w:t>24</w:t>
            </w:r>
          </w:p>
        </w:tc>
        <w:tc>
          <w:tcPr>
            <w:tcW w:w="1738" w:type="dxa"/>
            <w:tcBorders>
              <w:top w:val="single" w:sz="2" w:space="0" w:color="000000"/>
              <w:bottom w:val="single" w:sz="2" w:space="0" w:color="000000"/>
            </w:tcBorders>
          </w:tcPr>
          <w:p w14:paraId="2B487281" w14:textId="77777777" w:rsidR="00084F36" w:rsidRPr="00EB2BD8" w:rsidRDefault="00EB2BD8">
            <w:pPr>
              <w:pStyle w:val="TableParagraph"/>
              <w:spacing w:before="116"/>
              <w:ind w:right="110"/>
              <w:jc w:val="right"/>
              <w:rPr>
                <w:sz w:val="16"/>
              </w:rPr>
            </w:pPr>
            <w:r w:rsidRPr="00EB2BD8">
              <w:rPr>
                <w:w w:val="55"/>
                <w:sz w:val="16"/>
              </w:rPr>
              <w:t>1</w:t>
            </w:r>
          </w:p>
        </w:tc>
      </w:tr>
      <w:tr w:rsidR="00EB2BD8" w:rsidRPr="00EB2BD8" w14:paraId="03D5A4DF" w14:textId="77777777">
        <w:trPr>
          <w:trHeight w:val="381"/>
        </w:trPr>
        <w:tc>
          <w:tcPr>
            <w:tcW w:w="3222" w:type="dxa"/>
            <w:tcBorders>
              <w:top w:val="single" w:sz="2" w:space="0" w:color="000000"/>
              <w:bottom w:val="single" w:sz="2" w:space="0" w:color="000000"/>
            </w:tcBorders>
          </w:tcPr>
          <w:p w14:paraId="41B54EB4" w14:textId="77777777" w:rsidR="00084F36" w:rsidRPr="00EB2BD8" w:rsidRDefault="00EB2BD8">
            <w:pPr>
              <w:pStyle w:val="TableParagraph"/>
              <w:spacing w:before="116"/>
              <w:ind w:left="113"/>
              <w:rPr>
                <w:sz w:val="16"/>
              </w:rPr>
            </w:pPr>
            <w:r w:rsidRPr="00EB2BD8">
              <w:rPr>
                <w:sz w:val="16"/>
              </w:rPr>
              <w:t>Act</w:t>
            </w:r>
            <w:r w:rsidRPr="00EB2BD8">
              <w:rPr>
                <w:spacing w:val="-13"/>
                <w:sz w:val="16"/>
              </w:rPr>
              <w:t xml:space="preserve"> </w:t>
            </w:r>
            <w:r w:rsidRPr="00EB2BD8">
              <w:rPr>
                <w:sz w:val="16"/>
              </w:rPr>
              <w:t>does</w:t>
            </w:r>
            <w:r w:rsidRPr="00EB2BD8">
              <w:rPr>
                <w:spacing w:val="-12"/>
                <w:sz w:val="16"/>
              </w:rPr>
              <w:t xml:space="preserve"> </w:t>
            </w:r>
            <w:r w:rsidRPr="00EB2BD8">
              <w:rPr>
                <w:sz w:val="16"/>
              </w:rPr>
              <w:t>not</w:t>
            </w:r>
            <w:r w:rsidRPr="00EB2BD8">
              <w:rPr>
                <w:spacing w:val="-13"/>
                <w:sz w:val="16"/>
              </w:rPr>
              <w:t xml:space="preserve"> </w:t>
            </w:r>
            <w:r w:rsidRPr="00EB2BD8">
              <w:rPr>
                <w:spacing w:val="-2"/>
                <w:sz w:val="16"/>
              </w:rPr>
              <w:t>apply</w:t>
            </w:r>
          </w:p>
        </w:tc>
        <w:tc>
          <w:tcPr>
            <w:tcW w:w="1738" w:type="dxa"/>
            <w:tcBorders>
              <w:top w:val="single" w:sz="2" w:space="0" w:color="000000"/>
              <w:bottom w:val="single" w:sz="2" w:space="0" w:color="000000"/>
            </w:tcBorders>
          </w:tcPr>
          <w:p w14:paraId="63991C0A" w14:textId="77777777" w:rsidR="00084F36" w:rsidRPr="00EB2BD8" w:rsidRDefault="00EB2BD8">
            <w:pPr>
              <w:pStyle w:val="TableParagraph"/>
              <w:spacing w:before="116"/>
              <w:ind w:right="110"/>
              <w:jc w:val="right"/>
              <w:rPr>
                <w:sz w:val="16"/>
              </w:rPr>
            </w:pPr>
            <w:r w:rsidRPr="00EB2BD8">
              <w:rPr>
                <w:w w:val="55"/>
                <w:sz w:val="16"/>
              </w:rPr>
              <w:t>1</w:t>
            </w:r>
          </w:p>
        </w:tc>
      </w:tr>
      <w:tr w:rsidR="00EB2BD8" w:rsidRPr="00EB2BD8" w14:paraId="4E41A3EC" w14:textId="77777777">
        <w:trPr>
          <w:trHeight w:val="381"/>
        </w:trPr>
        <w:tc>
          <w:tcPr>
            <w:tcW w:w="3222" w:type="dxa"/>
            <w:tcBorders>
              <w:top w:val="single" w:sz="2" w:space="0" w:color="000000"/>
              <w:bottom w:val="single" w:sz="2" w:space="0" w:color="000000"/>
            </w:tcBorders>
          </w:tcPr>
          <w:p w14:paraId="3622AE71" w14:textId="77777777" w:rsidR="00084F36" w:rsidRPr="00EB2BD8" w:rsidRDefault="00EB2BD8">
            <w:pPr>
              <w:pStyle w:val="TableParagraph"/>
              <w:spacing w:before="115"/>
              <w:ind w:left="113"/>
              <w:rPr>
                <w:sz w:val="16"/>
              </w:rPr>
            </w:pPr>
            <w:r w:rsidRPr="00EB2BD8">
              <w:rPr>
                <w:spacing w:val="-2"/>
                <w:w w:val="105"/>
                <w:sz w:val="16"/>
              </w:rPr>
              <w:t>Withdrawn</w:t>
            </w:r>
          </w:p>
        </w:tc>
        <w:tc>
          <w:tcPr>
            <w:tcW w:w="1738" w:type="dxa"/>
            <w:tcBorders>
              <w:top w:val="single" w:sz="2" w:space="0" w:color="000000"/>
              <w:bottom w:val="single" w:sz="2" w:space="0" w:color="000000"/>
            </w:tcBorders>
          </w:tcPr>
          <w:p w14:paraId="6B8AFE10" w14:textId="77777777" w:rsidR="00084F36" w:rsidRPr="00EB2BD8" w:rsidRDefault="00EB2BD8">
            <w:pPr>
              <w:pStyle w:val="TableParagraph"/>
              <w:spacing w:before="115"/>
              <w:ind w:right="114"/>
              <w:jc w:val="right"/>
              <w:rPr>
                <w:sz w:val="16"/>
              </w:rPr>
            </w:pPr>
            <w:r w:rsidRPr="00EB2BD8">
              <w:rPr>
                <w:spacing w:val="-5"/>
                <w:sz w:val="16"/>
              </w:rPr>
              <w:t>24</w:t>
            </w:r>
          </w:p>
        </w:tc>
      </w:tr>
      <w:tr w:rsidR="00EB2BD8" w:rsidRPr="00EB2BD8" w14:paraId="2D394BAC" w14:textId="77777777">
        <w:trPr>
          <w:trHeight w:val="381"/>
        </w:trPr>
        <w:tc>
          <w:tcPr>
            <w:tcW w:w="3222" w:type="dxa"/>
            <w:tcBorders>
              <w:top w:val="single" w:sz="2" w:space="0" w:color="000000"/>
              <w:bottom w:val="single" w:sz="2" w:space="0" w:color="000000"/>
            </w:tcBorders>
          </w:tcPr>
          <w:p w14:paraId="473A752B" w14:textId="77777777" w:rsidR="00084F36" w:rsidRPr="00EB2BD8" w:rsidRDefault="00EB2BD8">
            <w:pPr>
              <w:pStyle w:val="TableParagraph"/>
              <w:spacing w:before="115"/>
              <w:ind w:left="113"/>
              <w:rPr>
                <w:sz w:val="16"/>
              </w:rPr>
            </w:pPr>
            <w:r w:rsidRPr="00EB2BD8">
              <w:rPr>
                <w:sz w:val="16"/>
              </w:rPr>
              <w:t>Not</w:t>
            </w:r>
            <w:r w:rsidRPr="00EB2BD8">
              <w:rPr>
                <w:spacing w:val="-4"/>
                <w:sz w:val="16"/>
              </w:rPr>
              <w:t xml:space="preserve"> </w:t>
            </w:r>
            <w:r w:rsidRPr="00EB2BD8">
              <w:rPr>
                <w:sz w:val="16"/>
              </w:rPr>
              <w:t>proceeded</w:t>
            </w:r>
            <w:r w:rsidRPr="00EB2BD8">
              <w:rPr>
                <w:spacing w:val="-3"/>
                <w:sz w:val="16"/>
              </w:rPr>
              <w:t xml:space="preserve"> </w:t>
            </w:r>
            <w:r w:rsidRPr="00EB2BD8">
              <w:rPr>
                <w:spacing w:val="-4"/>
                <w:sz w:val="16"/>
              </w:rPr>
              <w:t>with</w:t>
            </w:r>
          </w:p>
        </w:tc>
        <w:tc>
          <w:tcPr>
            <w:tcW w:w="1738" w:type="dxa"/>
            <w:tcBorders>
              <w:top w:val="single" w:sz="2" w:space="0" w:color="000000"/>
              <w:bottom w:val="single" w:sz="2" w:space="0" w:color="000000"/>
            </w:tcBorders>
          </w:tcPr>
          <w:p w14:paraId="28ADC3B2" w14:textId="77777777" w:rsidR="00084F36" w:rsidRPr="00EB2BD8" w:rsidRDefault="00EB2BD8">
            <w:pPr>
              <w:pStyle w:val="TableParagraph"/>
              <w:spacing w:before="115"/>
              <w:ind w:right="110"/>
              <w:jc w:val="right"/>
              <w:rPr>
                <w:sz w:val="16"/>
              </w:rPr>
            </w:pPr>
            <w:r w:rsidRPr="00EB2BD8">
              <w:rPr>
                <w:w w:val="92"/>
                <w:sz w:val="16"/>
              </w:rPr>
              <w:t>8</w:t>
            </w:r>
          </w:p>
        </w:tc>
      </w:tr>
      <w:tr w:rsidR="00EB2BD8" w:rsidRPr="00EB2BD8" w14:paraId="15B946DD" w14:textId="77777777">
        <w:trPr>
          <w:trHeight w:val="381"/>
        </w:trPr>
        <w:tc>
          <w:tcPr>
            <w:tcW w:w="3222" w:type="dxa"/>
            <w:tcBorders>
              <w:top w:val="single" w:sz="2" w:space="0" w:color="000000"/>
              <w:bottom w:val="single" w:sz="2" w:space="0" w:color="000000"/>
            </w:tcBorders>
          </w:tcPr>
          <w:p w14:paraId="0A18CE51" w14:textId="77777777" w:rsidR="00084F36" w:rsidRPr="00EB2BD8" w:rsidRDefault="00EB2BD8">
            <w:pPr>
              <w:pStyle w:val="TableParagraph"/>
              <w:spacing w:before="115"/>
              <w:ind w:left="113"/>
              <w:rPr>
                <w:sz w:val="16"/>
              </w:rPr>
            </w:pPr>
            <w:r w:rsidRPr="00EB2BD8">
              <w:rPr>
                <w:sz w:val="16"/>
              </w:rPr>
              <w:t>Not</w:t>
            </w:r>
            <w:r w:rsidRPr="00EB2BD8">
              <w:rPr>
                <w:spacing w:val="-12"/>
                <w:sz w:val="16"/>
              </w:rPr>
              <w:t xml:space="preserve"> </w:t>
            </w:r>
            <w:r w:rsidRPr="00EB2BD8">
              <w:rPr>
                <w:spacing w:val="-2"/>
                <w:sz w:val="16"/>
              </w:rPr>
              <w:t>processed</w:t>
            </w:r>
          </w:p>
        </w:tc>
        <w:tc>
          <w:tcPr>
            <w:tcW w:w="1738" w:type="dxa"/>
            <w:tcBorders>
              <w:top w:val="single" w:sz="2" w:space="0" w:color="000000"/>
              <w:bottom w:val="single" w:sz="2" w:space="0" w:color="000000"/>
            </w:tcBorders>
          </w:tcPr>
          <w:p w14:paraId="74AFC22E" w14:textId="77777777" w:rsidR="00084F36" w:rsidRPr="00EB2BD8" w:rsidRDefault="00EB2BD8">
            <w:pPr>
              <w:pStyle w:val="TableParagraph"/>
              <w:spacing w:before="115"/>
              <w:ind w:right="110"/>
              <w:jc w:val="right"/>
              <w:rPr>
                <w:sz w:val="16"/>
              </w:rPr>
            </w:pPr>
            <w:r w:rsidRPr="00EB2BD8">
              <w:rPr>
                <w:w w:val="105"/>
                <w:sz w:val="16"/>
              </w:rPr>
              <w:t>0</w:t>
            </w:r>
          </w:p>
        </w:tc>
      </w:tr>
      <w:tr w:rsidR="00EB2BD8" w:rsidRPr="00EB2BD8" w14:paraId="01AD2905" w14:textId="77777777">
        <w:trPr>
          <w:trHeight w:val="381"/>
        </w:trPr>
        <w:tc>
          <w:tcPr>
            <w:tcW w:w="3222" w:type="dxa"/>
            <w:tcBorders>
              <w:top w:val="single" w:sz="2" w:space="0" w:color="000000"/>
              <w:bottom w:val="single" w:sz="2" w:space="0" w:color="000000"/>
            </w:tcBorders>
          </w:tcPr>
          <w:p w14:paraId="7FE05257" w14:textId="0314F3D2" w:rsidR="00084F36" w:rsidRPr="00EB2BD8" w:rsidRDefault="00EB2BD8">
            <w:pPr>
              <w:pStyle w:val="TableParagraph"/>
              <w:spacing w:before="115"/>
              <w:ind w:left="113"/>
              <w:rPr>
                <w:sz w:val="16"/>
              </w:rPr>
            </w:pPr>
            <w:r w:rsidRPr="00EB2BD8">
              <w:rPr>
                <w:sz w:val="16"/>
              </w:rPr>
              <w:t>Not</w:t>
            </w:r>
            <w:r w:rsidRPr="00EB2BD8">
              <w:rPr>
                <w:spacing w:val="-10"/>
                <w:sz w:val="16"/>
              </w:rPr>
              <w:t xml:space="preserve"> </w:t>
            </w:r>
            <w:r w:rsidRPr="00EB2BD8">
              <w:rPr>
                <w:sz w:val="16"/>
              </w:rPr>
              <w:t>yet</w:t>
            </w:r>
            <w:r w:rsidRPr="00EB2BD8">
              <w:rPr>
                <w:spacing w:val="-10"/>
                <w:sz w:val="16"/>
              </w:rPr>
              <w:t xml:space="preserve"> </w:t>
            </w:r>
            <w:r w:rsidR="00777C15">
              <w:rPr>
                <w:spacing w:val="-2"/>
                <w:sz w:val="16"/>
              </w:rPr>
              <w:t>finalized</w:t>
            </w:r>
          </w:p>
        </w:tc>
        <w:tc>
          <w:tcPr>
            <w:tcW w:w="1738" w:type="dxa"/>
            <w:tcBorders>
              <w:top w:val="single" w:sz="2" w:space="0" w:color="000000"/>
              <w:bottom w:val="single" w:sz="2" w:space="0" w:color="000000"/>
            </w:tcBorders>
          </w:tcPr>
          <w:p w14:paraId="5BC3CD70" w14:textId="77777777" w:rsidR="00084F36" w:rsidRPr="00EB2BD8" w:rsidRDefault="00EB2BD8">
            <w:pPr>
              <w:pStyle w:val="TableParagraph"/>
              <w:spacing w:before="115"/>
              <w:ind w:right="111"/>
              <w:jc w:val="right"/>
              <w:rPr>
                <w:sz w:val="16"/>
              </w:rPr>
            </w:pPr>
            <w:r w:rsidRPr="00EB2BD8">
              <w:rPr>
                <w:spacing w:val="-5"/>
                <w:sz w:val="16"/>
              </w:rPr>
              <w:t>29</w:t>
            </w:r>
          </w:p>
        </w:tc>
      </w:tr>
      <w:tr w:rsidR="00084F36" w:rsidRPr="00EB2BD8" w14:paraId="71FDB8BC" w14:textId="77777777">
        <w:trPr>
          <w:trHeight w:val="401"/>
        </w:trPr>
        <w:tc>
          <w:tcPr>
            <w:tcW w:w="3222" w:type="dxa"/>
            <w:tcBorders>
              <w:top w:val="single" w:sz="2" w:space="0" w:color="000000"/>
              <w:bottom w:val="single" w:sz="2" w:space="0" w:color="000000"/>
            </w:tcBorders>
          </w:tcPr>
          <w:p w14:paraId="6B0B446F" w14:textId="77777777" w:rsidR="00084F36" w:rsidRPr="00EB2BD8" w:rsidRDefault="00EB2BD8">
            <w:pPr>
              <w:pStyle w:val="TableParagraph"/>
              <w:spacing w:before="116"/>
              <w:ind w:left="56"/>
              <w:rPr>
                <w:b/>
                <w:sz w:val="18"/>
              </w:rPr>
            </w:pPr>
            <w:r w:rsidRPr="00EB2BD8">
              <w:rPr>
                <w:b/>
                <w:spacing w:val="-2"/>
                <w:sz w:val="18"/>
              </w:rPr>
              <w:t>Total</w:t>
            </w:r>
          </w:p>
        </w:tc>
        <w:tc>
          <w:tcPr>
            <w:tcW w:w="1738" w:type="dxa"/>
            <w:tcBorders>
              <w:top w:val="single" w:sz="2" w:space="0" w:color="000000"/>
              <w:bottom w:val="single" w:sz="2" w:space="0" w:color="000000"/>
            </w:tcBorders>
          </w:tcPr>
          <w:p w14:paraId="2A4D4931" w14:textId="77777777" w:rsidR="00084F36" w:rsidRPr="00EB2BD8" w:rsidRDefault="00EB2BD8">
            <w:pPr>
              <w:pStyle w:val="TableParagraph"/>
              <w:spacing w:before="116"/>
              <w:ind w:right="55"/>
              <w:jc w:val="right"/>
              <w:rPr>
                <w:b/>
                <w:sz w:val="18"/>
              </w:rPr>
            </w:pPr>
            <w:r w:rsidRPr="00EB2BD8">
              <w:rPr>
                <w:b/>
                <w:spacing w:val="-5"/>
                <w:sz w:val="18"/>
              </w:rPr>
              <w:t>508</w:t>
            </w:r>
          </w:p>
        </w:tc>
      </w:tr>
    </w:tbl>
    <w:p w14:paraId="2DA4FFA1" w14:textId="77777777" w:rsidR="00084F36" w:rsidRPr="00EB2BD8" w:rsidRDefault="00084F36">
      <w:pPr>
        <w:pStyle w:val="BodyText"/>
        <w:spacing w:before="2"/>
        <w:rPr>
          <w:sz w:val="19"/>
        </w:rPr>
      </w:pPr>
    </w:p>
    <w:p w14:paraId="2DEF9CBB" w14:textId="77B434CA" w:rsidR="00084F36" w:rsidRPr="00EB2BD8" w:rsidRDefault="00EB2BD8">
      <w:pPr>
        <w:ind w:left="464"/>
        <w:rPr>
          <w:i/>
          <w:sz w:val="14"/>
        </w:rPr>
      </w:pPr>
      <w:r w:rsidRPr="00EB2BD8">
        <w:rPr>
          <w:i/>
          <w:spacing w:val="-2"/>
          <w:sz w:val="14"/>
        </w:rPr>
        <w:t>24</w:t>
      </w:r>
      <w:r w:rsidR="00065899">
        <w:rPr>
          <w:i/>
          <w:spacing w:val="-2"/>
          <w:sz w:val="14"/>
        </w:rPr>
        <w:t xml:space="preserve">- </w:t>
      </w:r>
      <w:r w:rsidRPr="00EB2BD8">
        <w:rPr>
          <w:i/>
          <w:spacing w:val="-2"/>
          <w:sz w:val="14"/>
        </w:rPr>
        <w:t>Not</w:t>
      </w:r>
      <w:r w:rsidRPr="00EB2BD8">
        <w:rPr>
          <w:i/>
          <w:spacing w:val="-7"/>
          <w:sz w:val="14"/>
        </w:rPr>
        <w:t xml:space="preserve"> </w:t>
      </w:r>
      <w:r w:rsidRPr="00EB2BD8">
        <w:rPr>
          <w:i/>
          <w:spacing w:val="-2"/>
          <w:sz w:val="14"/>
        </w:rPr>
        <w:t>counted</w:t>
      </w:r>
      <w:r w:rsidRPr="00EB2BD8">
        <w:rPr>
          <w:i/>
          <w:spacing w:val="-7"/>
          <w:sz w:val="14"/>
        </w:rPr>
        <w:t xml:space="preserve"> </w:t>
      </w:r>
      <w:r w:rsidRPr="00EB2BD8">
        <w:rPr>
          <w:i/>
          <w:spacing w:val="-2"/>
          <w:sz w:val="14"/>
        </w:rPr>
        <w:t>in</w:t>
      </w:r>
      <w:r w:rsidRPr="00EB2BD8">
        <w:rPr>
          <w:i/>
          <w:spacing w:val="-6"/>
          <w:sz w:val="14"/>
        </w:rPr>
        <w:t xml:space="preserve"> </w:t>
      </w:r>
      <w:r w:rsidRPr="00EB2BD8">
        <w:rPr>
          <w:i/>
          <w:spacing w:val="-2"/>
          <w:sz w:val="14"/>
        </w:rPr>
        <w:t>total</w:t>
      </w:r>
      <w:r w:rsidRPr="00EB2BD8">
        <w:rPr>
          <w:i/>
          <w:spacing w:val="-7"/>
          <w:sz w:val="14"/>
        </w:rPr>
        <w:t xml:space="preserve"> </w:t>
      </w:r>
      <w:r w:rsidRPr="00EB2BD8">
        <w:rPr>
          <w:i/>
          <w:spacing w:val="-2"/>
          <w:sz w:val="14"/>
        </w:rPr>
        <w:t>as</w:t>
      </w:r>
      <w:r w:rsidRPr="00EB2BD8">
        <w:rPr>
          <w:i/>
          <w:spacing w:val="-6"/>
          <w:sz w:val="14"/>
        </w:rPr>
        <w:t xml:space="preserve"> </w:t>
      </w:r>
      <w:r w:rsidRPr="00EB2BD8">
        <w:rPr>
          <w:i/>
          <w:spacing w:val="-2"/>
          <w:sz w:val="14"/>
        </w:rPr>
        <w:t>a</w:t>
      </w:r>
      <w:r w:rsidRPr="00EB2BD8">
        <w:rPr>
          <w:i/>
          <w:spacing w:val="-7"/>
          <w:sz w:val="14"/>
        </w:rPr>
        <w:t xml:space="preserve"> </w:t>
      </w:r>
      <w:r w:rsidRPr="00EB2BD8">
        <w:rPr>
          <w:i/>
          <w:spacing w:val="-2"/>
          <w:sz w:val="14"/>
        </w:rPr>
        <w:t>valid</w:t>
      </w:r>
      <w:r w:rsidRPr="00EB2BD8">
        <w:rPr>
          <w:i/>
          <w:spacing w:val="-6"/>
          <w:sz w:val="14"/>
        </w:rPr>
        <w:t xml:space="preserve"> </w:t>
      </w:r>
      <w:r w:rsidRPr="00EB2BD8">
        <w:rPr>
          <w:i/>
          <w:spacing w:val="-2"/>
          <w:sz w:val="14"/>
        </w:rPr>
        <w:t>request.</w:t>
      </w:r>
    </w:p>
    <w:p w14:paraId="5C5C7238" w14:textId="77777777" w:rsidR="00084F36" w:rsidRPr="00EB2BD8" w:rsidRDefault="00084F36">
      <w:pPr>
        <w:rPr>
          <w:sz w:val="14"/>
        </w:rPr>
        <w:sectPr w:rsidR="00084F36" w:rsidRPr="00EB2BD8" w:rsidSect="006D75B2">
          <w:type w:val="continuous"/>
          <w:pgSz w:w="11910" w:h="16840"/>
          <w:pgMar w:top="1920" w:right="0" w:bottom="280" w:left="0" w:header="0" w:footer="528" w:gutter="0"/>
          <w:cols w:num="2" w:space="720" w:equalWidth="0">
            <w:col w:w="5675" w:space="40"/>
            <w:col w:w="6195"/>
          </w:cols>
        </w:sectPr>
      </w:pPr>
    </w:p>
    <w:p w14:paraId="6196C8B3" w14:textId="4761A3EC" w:rsidR="00084F36" w:rsidRPr="00EB2BD8" w:rsidRDefault="00084F36">
      <w:pPr>
        <w:pStyle w:val="BodyText"/>
        <w:rPr>
          <w:i/>
          <w:sz w:val="20"/>
        </w:rPr>
      </w:pPr>
    </w:p>
    <w:p w14:paraId="709E6C9E" w14:textId="07846565" w:rsidR="00084F36" w:rsidRPr="00EB2BD8" w:rsidRDefault="00084F36">
      <w:pPr>
        <w:pStyle w:val="BodyText"/>
        <w:rPr>
          <w:i/>
          <w:sz w:val="20"/>
        </w:rPr>
      </w:pPr>
    </w:p>
    <w:p w14:paraId="08B9D154" w14:textId="77777777" w:rsidR="00084F36" w:rsidRPr="00EB2BD8" w:rsidRDefault="00084F36">
      <w:pPr>
        <w:pStyle w:val="BodyText"/>
        <w:rPr>
          <w:i/>
          <w:sz w:val="20"/>
        </w:rPr>
      </w:pPr>
    </w:p>
    <w:p w14:paraId="5BA03498" w14:textId="77777777" w:rsidR="00084F36" w:rsidRPr="00EB2BD8" w:rsidRDefault="00084F36">
      <w:pPr>
        <w:pStyle w:val="BodyText"/>
        <w:rPr>
          <w:i/>
          <w:sz w:val="20"/>
        </w:rPr>
      </w:pPr>
    </w:p>
    <w:p w14:paraId="2C0E8416" w14:textId="77777777" w:rsidR="00084F36" w:rsidRPr="00EB2BD8" w:rsidRDefault="00084F36">
      <w:pPr>
        <w:pStyle w:val="BodyText"/>
        <w:spacing w:before="6"/>
        <w:rPr>
          <w:i/>
          <w:sz w:val="17"/>
        </w:rPr>
      </w:pPr>
    </w:p>
    <w:p w14:paraId="43EE03CD" w14:textId="77777777" w:rsidR="00084F36" w:rsidRPr="00EB2BD8" w:rsidRDefault="00084F36">
      <w:pPr>
        <w:rPr>
          <w:sz w:val="17"/>
        </w:rPr>
        <w:sectPr w:rsidR="00084F36" w:rsidRPr="00EB2BD8" w:rsidSect="006D75B2">
          <w:footerReference w:type="default" r:id="rId209"/>
          <w:pgSz w:w="11910" w:h="16840"/>
          <w:pgMar w:top="1080" w:right="0" w:bottom="720" w:left="0" w:header="0" w:footer="528" w:gutter="0"/>
          <w:cols w:space="720"/>
        </w:sectPr>
      </w:pPr>
    </w:p>
    <w:p w14:paraId="1D14B813" w14:textId="77777777" w:rsidR="00084F36" w:rsidRPr="00EB2BD8" w:rsidRDefault="00EB2BD8" w:rsidP="00C315ED">
      <w:pPr>
        <w:pStyle w:val="Heading2"/>
      </w:pPr>
      <w:bookmarkStart w:id="216" w:name="_Toc150762518"/>
      <w:r w:rsidRPr="00EB2BD8">
        <w:t>Competitive</w:t>
      </w:r>
      <w:r w:rsidRPr="00EB2BD8">
        <w:rPr>
          <w:spacing w:val="-17"/>
        </w:rPr>
        <w:t xml:space="preserve"> </w:t>
      </w:r>
      <w:r w:rsidRPr="00EB2BD8">
        <w:t>Neutrality</w:t>
      </w:r>
      <w:r w:rsidRPr="00EB2BD8">
        <w:rPr>
          <w:spacing w:val="-17"/>
        </w:rPr>
        <w:t xml:space="preserve"> </w:t>
      </w:r>
      <w:r w:rsidRPr="00EB2BD8">
        <w:t>Policy</w:t>
      </w:r>
      <w:bookmarkEnd w:id="216"/>
    </w:p>
    <w:p w14:paraId="3EE67A42" w14:textId="77777777" w:rsidR="00084F36" w:rsidRPr="00EB2BD8" w:rsidRDefault="00EB2BD8">
      <w:pPr>
        <w:pStyle w:val="BodyText"/>
        <w:spacing w:before="168" w:line="261" w:lineRule="auto"/>
        <w:ind w:left="850" w:right="97"/>
      </w:pPr>
      <w:r w:rsidRPr="00EB2BD8">
        <w:t>Fair competition between public and private businesses is supported by the competitive neutrality policy. The VBA continues to comply with competitive neutrality,</w:t>
      </w:r>
      <w:r w:rsidRPr="00EB2BD8">
        <w:rPr>
          <w:spacing w:val="-15"/>
        </w:rPr>
        <w:t xml:space="preserve"> </w:t>
      </w:r>
      <w:r w:rsidRPr="00EB2BD8">
        <w:t>which</w:t>
      </w:r>
      <w:r w:rsidRPr="00EB2BD8">
        <w:rPr>
          <w:spacing w:val="-14"/>
        </w:rPr>
        <w:t xml:space="preserve"> </w:t>
      </w:r>
      <w:r w:rsidRPr="00EB2BD8">
        <w:t>provides</w:t>
      </w:r>
      <w:r w:rsidRPr="00EB2BD8">
        <w:rPr>
          <w:spacing w:val="-14"/>
        </w:rPr>
        <w:t xml:space="preserve"> </w:t>
      </w:r>
      <w:r w:rsidRPr="00EB2BD8">
        <w:t>government</w:t>
      </w:r>
      <w:r w:rsidRPr="00EB2BD8">
        <w:rPr>
          <w:spacing w:val="-14"/>
        </w:rPr>
        <w:t xml:space="preserve"> </w:t>
      </w:r>
      <w:r w:rsidRPr="00EB2BD8">
        <w:t>businesses</w:t>
      </w:r>
      <w:r w:rsidRPr="00EB2BD8">
        <w:rPr>
          <w:spacing w:val="-15"/>
        </w:rPr>
        <w:t xml:space="preserve"> </w:t>
      </w:r>
      <w:r w:rsidRPr="00EB2BD8">
        <w:t>with a tool to enhance their decision-making capability</w:t>
      </w:r>
    </w:p>
    <w:p w14:paraId="2AED0926" w14:textId="77777777" w:rsidR="00084F36" w:rsidRPr="00EB2BD8" w:rsidRDefault="00EB2BD8">
      <w:pPr>
        <w:pStyle w:val="BodyText"/>
        <w:spacing w:line="261" w:lineRule="auto"/>
        <w:ind w:left="850"/>
      </w:pPr>
      <w:r w:rsidRPr="00EB2BD8">
        <w:t>on</w:t>
      </w:r>
      <w:r w:rsidRPr="00EB2BD8">
        <w:rPr>
          <w:spacing w:val="-13"/>
        </w:rPr>
        <w:t xml:space="preserve"> </w:t>
      </w:r>
      <w:r w:rsidRPr="00EB2BD8">
        <w:t>resource</w:t>
      </w:r>
      <w:r w:rsidRPr="00EB2BD8">
        <w:rPr>
          <w:spacing w:val="-13"/>
        </w:rPr>
        <w:t xml:space="preserve"> </w:t>
      </w:r>
      <w:r w:rsidRPr="00EB2BD8">
        <w:t>allocation.</w:t>
      </w:r>
      <w:r w:rsidRPr="00EB2BD8">
        <w:rPr>
          <w:spacing w:val="-13"/>
        </w:rPr>
        <w:t xml:space="preserve"> </w:t>
      </w:r>
      <w:r w:rsidRPr="00EB2BD8">
        <w:t>This</w:t>
      </w:r>
      <w:r w:rsidRPr="00EB2BD8">
        <w:rPr>
          <w:spacing w:val="-13"/>
        </w:rPr>
        <w:t xml:space="preserve"> </w:t>
      </w:r>
      <w:r w:rsidRPr="00EB2BD8">
        <w:t>policy</w:t>
      </w:r>
      <w:r w:rsidRPr="00EB2BD8">
        <w:rPr>
          <w:spacing w:val="-13"/>
        </w:rPr>
        <w:t xml:space="preserve"> </w:t>
      </w:r>
      <w:r w:rsidRPr="00EB2BD8">
        <w:t>does</w:t>
      </w:r>
      <w:r w:rsidRPr="00EB2BD8">
        <w:rPr>
          <w:spacing w:val="-13"/>
        </w:rPr>
        <w:t xml:space="preserve"> </w:t>
      </w:r>
      <w:r w:rsidRPr="00EB2BD8">
        <w:t>not</w:t>
      </w:r>
      <w:r w:rsidRPr="00EB2BD8">
        <w:rPr>
          <w:spacing w:val="-13"/>
        </w:rPr>
        <w:t xml:space="preserve"> </w:t>
      </w:r>
      <w:r w:rsidRPr="00EB2BD8">
        <w:t>override other policy objectives of government and exists</w:t>
      </w:r>
    </w:p>
    <w:p w14:paraId="6284C21B" w14:textId="77777777" w:rsidR="00084F36" w:rsidRPr="00EB2BD8" w:rsidRDefault="00EB2BD8">
      <w:pPr>
        <w:pStyle w:val="BodyText"/>
        <w:spacing w:line="261" w:lineRule="auto"/>
        <w:ind w:left="850"/>
      </w:pPr>
      <w:r w:rsidRPr="00EB2BD8">
        <w:t>to improve service provision efficiency. The VBA’s compliance with competitive neutrality is governed by the</w:t>
      </w:r>
      <w:r w:rsidRPr="00EB2BD8">
        <w:rPr>
          <w:spacing w:val="-1"/>
        </w:rPr>
        <w:t xml:space="preserve"> </w:t>
      </w:r>
      <w:r w:rsidRPr="00EB2BD8">
        <w:t>competition</w:t>
      </w:r>
      <w:r w:rsidRPr="00EB2BD8">
        <w:rPr>
          <w:spacing w:val="-1"/>
        </w:rPr>
        <w:t xml:space="preserve"> </w:t>
      </w:r>
      <w:r w:rsidRPr="00EB2BD8">
        <w:t>principles</w:t>
      </w:r>
      <w:r w:rsidRPr="00EB2BD8">
        <w:rPr>
          <w:spacing w:val="-1"/>
        </w:rPr>
        <w:t xml:space="preserve"> </w:t>
      </w:r>
      <w:r w:rsidRPr="00EB2BD8">
        <w:t>agreement</w:t>
      </w:r>
      <w:r w:rsidRPr="00EB2BD8">
        <w:rPr>
          <w:spacing w:val="-1"/>
        </w:rPr>
        <w:t xml:space="preserve"> </w:t>
      </w:r>
      <w:r w:rsidRPr="00EB2BD8">
        <w:t>and</w:t>
      </w:r>
      <w:r w:rsidRPr="00EB2BD8">
        <w:rPr>
          <w:spacing w:val="-1"/>
        </w:rPr>
        <w:t xml:space="preserve"> </w:t>
      </w:r>
      <w:r w:rsidRPr="00EB2BD8">
        <w:t>competition and infrastructure reform agreement.</w:t>
      </w:r>
    </w:p>
    <w:p w14:paraId="1A1774B5" w14:textId="77777777" w:rsidR="00084F36" w:rsidRPr="00EB2BD8" w:rsidRDefault="00084F36">
      <w:pPr>
        <w:pStyle w:val="BodyText"/>
        <w:spacing w:before="9"/>
        <w:rPr>
          <w:sz w:val="22"/>
        </w:rPr>
      </w:pPr>
    </w:p>
    <w:p w14:paraId="10E4F0A4" w14:textId="77777777" w:rsidR="00084F36" w:rsidRPr="00EB2BD8" w:rsidRDefault="00EB2BD8" w:rsidP="00C315ED">
      <w:pPr>
        <w:pStyle w:val="Heading2"/>
      </w:pPr>
      <w:bookmarkStart w:id="217" w:name="_Toc150762519"/>
      <w:r w:rsidRPr="00EB2BD8">
        <w:t>Compliance</w:t>
      </w:r>
      <w:r w:rsidRPr="00EB2BD8">
        <w:rPr>
          <w:spacing w:val="-18"/>
        </w:rPr>
        <w:t xml:space="preserve"> </w:t>
      </w:r>
      <w:r w:rsidRPr="00EB2BD8">
        <w:t>with</w:t>
      </w:r>
      <w:r w:rsidRPr="00EB2BD8">
        <w:rPr>
          <w:spacing w:val="-18"/>
        </w:rPr>
        <w:t xml:space="preserve"> </w:t>
      </w:r>
      <w:r w:rsidRPr="00EB2BD8">
        <w:t>the</w:t>
      </w:r>
      <w:r w:rsidRPr="00EB2BD8">
        <w:rPr>
          <w:spacing w:val="-18"/>
        </w:rPr>
        <w:t xml:space="preserve"> </w:t>
      </w:r>
      <w:r w:rsidRPr="00EB2BD8">
        <w:t>Public</w:t>
      </w:r>
      <w:r w:rsidRPr="00EB2BD8">
        <w:rPr>
          <w:spacing w:val="-21"/>
        </w:rPr>
        <w:t xml:space="preserve"> </w:t>
      </w:r>
      <w:r w:rsidRPr="00EB2BD8">
        <w:t xml:space="preserve">Interest </w:t>
      </w:r>
      <w:r w:rsidRPr="00EB2BD8">
        <w:rPr>
          <w:spacing w:val="-2"/>
        </w:rPr>
        <w:t>Disclosures</w:t>
      </w:r>
      <w:r w:rsidRPr="00EB2BD8">
        <w:rPr>
          <w:spacing w:val="-25"/>
        </w:rPr>
        <w:t xml:space="preserve"> </w:t>
      </w:r>
      <w:r w:rsidRPr="00EB2BD8">
        <w:rPr>
          <w:spacing w:val="-2"/>
        </w:rPr>
        <w:t>Act</w:t>
      </w:r>
      <w:r w:rsidRPr="00EB2BD8">
        <w:rPr>
          <w:spacing w:val="-25"/>
        </w:rPr>
        <w:t xml:space="preserve"> </w:t>
      </w:r>
      <w:r w:rsidRPr="00EB2BD8">
        <w:rPr>
          <w:spacing w:val="-2"/>
        </w:rPr>
        <w:t>2012</w:t>
      </w:r>
      <w:bookmarkEnd w:id="217"/>
    </w:p>
    <w:p w14:paraId="39F06F7D" w14:textId="77777777" w:rsidR="00084F36" w:rsidRPr="00EB2BD8" w:rsidRDefault="00EB2BD8">
      <w:pPr>
        <w:pStyle w:val="BodyText"/>
        <w:spacing w:before="174" w:line="261" w:lineRule="auto"/>
        <w:ind w:left="850"/>
      </w:pPr>
      <w:r w:rsidRPr="00EB2BD8">
        <w:t xml:space="preserve">The </w:t>
      </w:r>
      <w:r w:rsidRPr="00EB2BD8">
        <w:rPr>
          <w:i/>
        </w:rPr>
        <w:t xml:space="preserve">Public Interest Disclosures Act 2012 </w:t>
      </w:r>
      <w:r w:rsidRPr="00EB2BD8">
        <w:t>encourages and assists people in making disclosures of improper conduct by public officers and public bodies. The Act provides</w:t>
      </w:r>
      <w:r w:rsidRPr="00EB2BD8">
        <w:rPr>
          <w:spacing w:val="-9"/>
        </w:rPr>
        <w:t xml:space="preserve"> </w:t>
      </w:r>
      <w:r w:rsidRPr="00EB2BD8">
        <w:t>protection</w:t>
      </w:r>
      <w:r w:rsidRPr="00EB2BD8">
        <w:rPr>
          <w:spacing w:val="-9"/>
        </w:rPr>
        <w:t xml:space="preserve"> </w:t>
      </w:r>
      <w:r w:rsidRPr="00EB2BD8">
        <w:t>to</w:t>
      </w:r>
      <w:r w:rsidRPr="00EB2BD8">
        <w:rPr>
          <w:spacing w:val="-9"/>
        </w:rPr>
        <w:t xml:space="preserve"> </w:t>
      </w:r>
      <w:r w:rsidRPr="00EB2BD8">
        <w:t>people</w:t>
      </w:r>
      <w:r w:rsidRPr="00EB2BD8">
        <w:rPr>
          <w:spacing w:val="-9"/>
        </w:rPr>
        <w:t xml:space="preserve"> </w:t>
      </w:r>
      <w:r w:rsidRPr="00EB2BD8">
        <w:t>who</w:t>
      </w:r>
      <w:r w:rsidRPr="00EB2BD8">
        <w:rPr>
          <w:spacing w:val="-9"/>
        </w:rPr>
        <w:t xml:space="preserve"> </w:t>
      </w:r>
      <w:r w:rsidRPr="00EB2BD8">
        <w:t>make</w:t>
      </w:r>
      <w:r w:rsidRPr="00EB2BD8">
        <w:rPr>
          <w:spacing w:val="-9"/>
        </w:rPr>
        <w:t xml:space="preserve"> </w:t>
      </w:r>
      <w:r w:rsidRPr="00EB2BD8">
        <w:t>disclosures</w:t>
      </w:r>
      <w:r w:rsidRPr="00EB2BD8">
        <w:rPr>
          <w:spacing w:val="-9"/>
        </w:rPr>
        <w:t xml:space="preserve"> </w:t>
      </w:r>
      <w:r w:rsidRPr="00EB2BD8">
        <w:t>in accordance with the Act and establishes a system for the</w:t>
      </w:r>
      <w:r w:rsidRPr="00EB2BD8">
        <w:rPr>
          <w:spacing w:val="-4"/>
        </w:rPr>
        <w:t xml:space="preserve"> </w:t>
      </w:r>
      <w:r w:rsidRPr="00EB2BD8">
        <w:t>matters</w:t>
      </w:r>
      <w:r w:rsidRPr="00EB2BD8">
        <w:rPr>
          <w:spacing w:val="-4"/>
        </w:rPr>
        <w:t xml:space="preserve"> </w:t>
      </w:r>
      <w:r w:rsidRPr="00EB2BD8">
        <w:t>disclosed</w:t>
      </w:r>
      <w:r w:rsidRPr="00EB2BD8">
        <w:rPr>
          <w:spacing w:val="-4"/>
        </w:rPr>
        <w:t xml:space="preserve"> </w:t>
      </w:r>
      <w:r w:rsidRPr="00EB2BD8">
        <w:t>to</w:t>
      </w:r>
      <w:r w:rsidRPr="00EB2BD8">
        <w:rPr>
          <w:spacing w:val="-4"/>
        </w:rPr>
        <w:t xml:space="preserve"> </w:t>
      </w:r>
      <w:r w:rsidRPr="00EB2BD8">
        <w:t>be</w:t>
      </w:r>
      <w:r w:rsidRPr="00EB2BD8">
        <w:rPr>
          <w:spacing w:val="-4"/>
        </w:rPr>
        <w:t xml:space="preserve"> </w:t>
      </w:r>
      <w:r w:rsidRPr="00EB2BD8">
        <w:t>investigated</w:t>
      </w:r>
      <w:r w:rsidRPr="00EB2BD8">
        <w:rPr>
          <w:spacing w:val="-4"/>
        </w:rPr>
        <w:t xml:space="preserve"> </w:t>
      </w:r>
      <w:r w:rsidRPr="00EB2BD8">
        <w:t>and</w:t>
      </w:r>
      <w:r w:rsidRPr="00EB2BD8">
        <w:rPr>
          <w:spacing w:val="-4"/>
        </w:rPr>
        <w:t xml:space="preserve"> </w:t>
      </w:r>
      <w:r w:rsidRPr="00EB2BD8">
        <w:t>rectifying action to be taken.</w:t>
      </w:r>
    </w:p>
    <w:p w14:paraId="57F1D2D2" w14:textId="77777777" w:rsidR="00084F36" w:rsidRPr="00EB2BD8" w:rsidRDefault="00EB2BD8">
      <w:pPr>
        <w:pStyle w:val="BodyText"/>
        <w:spacing w:before="106" w:line="261" w:lineRule="auto"/>
        <w:ind w:left="850" w:right="144"/>
      </w:pPr>
      <w:r w:rsidRPr="00EB2BD8">
        <w:t>The VBA does not tolerate improper conduct by employees,</w:t>
      </w:r>
      <w:r w:rsidRPr="00EB2BD8">
        <w:rPr>
          <w:spacing w:val="-11"/>
        </w:rPr>
        <w:t xml:space="preserve"> </w:t>
      </w:r>
      <w:r w:rsidRPr="00EB2BD8">
        <w:t>nor</w:t>
      </w:r>
      <w:r w:rsidRPr="00EB2BD8">
        <w:rPr>
          <w:spacing w:val="-11"/>
        </w:rPr>
        <w:t xml:space="preserve"> </w:t>
      </w:r>
      <w:r w:rsidRPr="00EB2BD8">
        <w:t>the</w:t>
      </w:r>
      <w:r w:rsidRPr="00EB2BD8">
        <w:rPr>
          <w:spacing w:val="-11"/>
        </w:rPr>
        <w:t xml:space="preserve"> </w:t>
      </w:r>
      <w:r w:rsidRPr="00EB2BD8">
        <w:t>taking</w:t>
      </w:r>
      <w:r w:rsidRPr="00EB2BD8">
        <w:rPr>
          <w:spacing w:val="-11"/>
        </w:rPr>
        <w:t xml:space="preserve"> </w:t>
      </w:r>
      <w:r w:rsidRPr="00EB2BD8">
        <w:t>of</w:t>
      </w:r>
      <w:r w:rsidRPr="00EB2BD8">
        <w:rPr>
          <w:spacing w:val="-11"/>
        </w:rPr>
        <w:t xml:space="preserve"> </w:t>
      </w:r>
      <w:r w:rsidRPr="00EB2BD8">
        <w:t>reprisals</w:t>
      </w:r>
      <w:r w:rsidRPr="00EB2BD8">
        <w:rPr>
          <w:spacing w:val="-11"/>
        </w:rPr>
        <w:t xml:space="preserve"> </w:t>
      </w:r>
      <w:r w:rsidRPr="00EB2BD8">
        <w:t>against</w:t>
      </w:r>
      <w:r w:rsidRPr="00EB2BD8">
        <w:rPr>
          <w:spacing w:val="-11"/>
        </w:rPr>
        <w:t xml:space="preserve"> </w:t>
      </w:r>
      <w:r w:rsidRPr="00EB2BD8">
        <w:t>those who have come forward to disclose such conduct.</w:t>
      </w:r>
    </w:p>
    <w:p w14:paraId="733195E8" w14:textId="77777777" w:rsidR="00084F36" w:rsidRPr="00EB2BD8" w:rsidRDefault="00EB2BD8">
      <w:pPr>
        <w:pStyle w:val="BodyText"/>
        <w:spacing w:line="261" w:lineRule="auto"/>
        <w:ind w:left="850"/>
      </w:pPr>
      <w:r w:rsidRPr="00EB2BD8">
        <w:rPr>
          <w:w w:val="105"/>
        </w:rPr>
        <w:t>It</w:t>
      </w:r>
      <w:r w:rsidRPr="00EB2BD8">
        <w:rPr>
          <w:spacing w:val="-6"/>
          <w:w w:val="105"/>
        </w:rPr>
        <w:t xml:space="preserve"> </w:t>
      </w:r>
      <w:r w:rsidRPr="00EB2BD8">
        <w:rPr>
          <w:w w:val="105"/>
        </w:rPr>
        <w:t>is</w:t>
      </w:r>
      <w:r w:rsidRPr="00EB2BD8">
        <w:rPr>
          <w:spacing w:val="-6"/>
          <w:w w:val="105"/>
        </w:rPr>
        <w:t xml:space="preserve"> </w:t>
      </w:r>
      <w:r w:rsidRPr="00EB2BD8">
        <w:rPr>
          <w:w w:val="105"/>
        </w:rPr>
        <w:t>committed</w:t>
      </w:r>
      <w:r w:rsidRPr="00EB2BD8">
        <w:rPr>
          <w:spacing w:val="-6"/>
          <w:w w:val="105"/>
        </w:rPr>
        <w:t xml:space="preserve"> </w:t>
      </w:r>
      <w:r w:rsidRPr="00EB2BD8">
        <w:rPr>
          <w:w w:val="105"/>
        </w:rPr>
        <w:t>to</w:t>
      </w:r>
      <w:r w:rsidRPr="00EB2BD8">
        <w:rPr>
          <w:spacing w:val="-6"/>
          <w:w w:val="105"/>
        </w:rPr>
        <w:t xml:space="preserve"> </w:t>
      </w:r>
      <w:r w:rsidRPr="00EB2BD8">
        <w:rPr>
          <w:w w:val="105"/>
        </w:rPr>
        <w:t>ensuring</w:t>
      </w:r>
      <w:r w:rsidRPr="00EB2BD8">
        <w:rPr>
          <w:spacing w:val="-6"/>
          <w:w w:val="105"/>
        </w:rPr>
        <w:t xml:space="preserve"> </w:t>
      </w:r>
      <w:r w:rsidRPr="00EB2BD8">
        <w:rPr>
          <w:w w:val="105"/>
        </w:rPr>
        <w:t>transparency</w:t>
      </w:r>
      <w:r w:rsidRPr="00EB2BD8">
        <w:rPr>
          <w:spacing w:val="-6"/>
          <w:w w:val="105"/>
        </w:rPr>
        <w:t xml:space="preserve"> </w:t>
      </w:r>
      <w:r w:rsidRPr="00EB2BD8">
        <w:rPr>
          <w:w w:val="105"/>
        </w:rPr>
        <w:t>and accountability</w:t>
      </w:r>
      <w:r w:rsidRPr="00EB2BD8">
        <w:rPr>
          <w:spacing w:val="-5"/>
          <w:w w:val="105"/>
        </w:rPr>
        <w:t xml:space="preserve"> </w:t>
      </w:r>
      <w:r w:rsidRPr="00EB2BD8">
        <w:rPr>
          <w:w w:val="105"/>
        </w:rPr>
        <w:t>in</w:t>
      </w:r>
      <w:r w:rsidRPr="00EB2BD8">
        <w:rPr>
          <w:spacing w:val="-5"/>
          <w:w w:val="105"/>
        </w:rPr>
        <w:t xml:space="preserve"> </w:t>
      </w:r>
      <w:r w:rsidRPr="00EB2BD8">
        <w:rPr>
          <w:w w:val="105"/>
        </w:rPr>
        <w:t>its</w:t>
      </w:r>
      <w:r w:rsidRPr="00EB2BD8">
        <w:rPr>
          <w:spacing w:val="-5"/>
          <w:w w:val="105"/>
        </w:rPr>
        <w:t xml:space="preserve"> </w:t>
      </w:r>
      <w:r w:rsidRPr="00EB2BD8">
        <w:rPr>
          <w:w w:val="105"/>
        </w:rPr>
        <w:t>administrative</w:t>
      </w:r>
      <w:r w:rsidRPr="00EB2BD8">
        <w:rPr>
          <w:spacing w:val="-5"/>
          <w:w w:val="105"/>
        </w:rPr>
        <w:t xml:space="preserve"> </w:t>
      </w:r>
      <w:r w:rsidRPr="00EB2BD8">
        <w:rPr>
          <w:w w:val="105"/>
        </w:rPr>
        <w:t>and</w:t>
      </w:r>
      <w:r w:rsidRPr="00EB2BD8">
        <w:rPr>
          <w:spacing w:val="-5"/>
          <w:w w:val="105"/>
        </w:rPr>
        <w:t xml:space="preserve"> </w:t>
      </w:r>
      <w:r w:rsidRPr="00EB2BD8">
        <w:rPr>
          <w:w w:val="105"/>
        </w:rPr>
        <w:t xml:space="preserve">management </w:t>
      </w:r>
      <w:r w:rsidRPr="00EB2BD8">
        <w:t>practices and supports the making of disclosures that reveal</w:t>
      </w:r>
      <w:r w:rsidRPr="00EB2BD8">
        <w:rPr>
          <w:spacing w:val="-3"/>
        </w:rPr>
        <w:t xml:space="preserve"> </w:t>
      </w:r>
      <w:r w:rsidRPr="00EB2BD8">
        <w:t>corrupt</w:t>
      </w:r>
      <w:r w:rsidRPr="00EB2BD8">
        <w:rPr>
          <w:spacing w:val="-3"/>
        </w:rPr>
        <w:t xml:space="preserve"> </w:t>
      </w:r>
      <w:r w:rsidRPr="00EB2BD8">
        <w:t>conduct,</w:t>
      </w:r>
      <w:r w:rsidRPr="00EB2BD8">
        <w:rPr>
          <w:spacing w:val="-3"/>
        </w:rPr>
        <w:t xml:space="preserve"> </w:t>
      </w:r>
      <w:r w:rsidRPr="00EB2BD8">
        <w:t>conduct</w:t>
      </w:r>
      <w:r w:rsidRPr="00EB2BD8">
        <w:rPr>
          <w:spacing w:val="-3"/>
        </w:rPr>
        <w:t xml:space="preserve"> </w:t>
      </w:r>
      <w:r w:rsidRPr="00EB2BD8">
        <w:t>involving</w:t>
      </w:r>
      <w:r w:rsidRPr="00EB2BD8">
        <w:rPr>
          <w:spacing w:val="-3"/>
        </w:rPr>
        <w:t xml:space="preserve"> </w:t>
      </w:r>
      <w:r w:rsidRPr="00EB2BD8">
        <w:t>a</w:t>
      </w:r>
      <w:r w:rsidRPr="00EB2BD8">
        <w:rPr>
          <w:spacing w:val="-3"/>
        </w:rPr>
        <w:t xml:space="preserve"> </w:t>
      </w:r>
      <w:r w:rsidRPr="00EB2BD8">
        <w:t xml:space="preserve">substantial </w:t>
      </w:r>
      <w:r w:rsidRPr="00EB2BD8">
        <w:rPr>
          <w:w w:val="105"/>
        </w:rPr>
        <w:t>mismanagement</w:t>
      </w:r>
      <w:r w:rsidRPr="00EB2BD8">
        <w:rPr>
          <w:spacing w:val="-10"/>
          <w:w w:val="105"/>
        </w:rPr>
        <w:t xml:space="preserve"> </w:t>
      </w:r>
      <w:r w:rsidRPr="00EB2BD8">
        <w:rPr>
          <w:w w:val="105"/>
        </w:rPr>
        <w:t>of</w:t>
      </w:r>
      <w:r w:rsidRPr="00EB2BD8">
        <w:rPr>
          <w:spacing w:val="-10"/>
          <w:w w:val="105"/>
        </w:rPr>
        <w:t xml:space="preserve"> </w:t>
      </w:r>
      <w:r w:rsidRPr="00EB2BD8">
        <w:rPr>
          <w:w w:val="105"/>
        </w:rPr>
        <w:t>public</w:t>
      </w:r>
      <w:r w:rsidRPr="00EB2BD8">
        <w:rPr>
          <w:spacing w:val="-10"/>
          <w:w w:val="105"/>
        </w:rPr>
        <w:t xml:space="preserve"> </w:t>
      </w:r>
      <w:r w:rsidRPr="00EB2BD8">
        <w:rPr>
          <w:w w:val="105"/>
        </w:rPr>
        <w:t>resources,</w:t>
      </w:r>
      <w:r w:rsidRPr="00EB2BD8">
        <w:rPr>
          <w:spacing w:val="-10"/>
          <w:w w:val="105"/>
        </w:rPr>
        <w:t xml:space="preserve"> </w:t>
      </w:r>
      <w:r w:rsidRPr="00EB2BD8">
        <w:rPr>
          <w:w w:val="105"/>
        </w:rPr>
        <w:t>or</w:t>
      </w:r>
      <w:r w:rsidRPr="00EB2BD8">
        <w:rPr>
          <w:spacing w:val="-10"/>
          <w:w w:val="105"/>
        </w:rPr>
        <w:t xml:space="preserve"> </w:t>
      </w:r>
      <w:r w:rsidRPr="00EB2BD8">
        <w:rPr>
          <w:w w:val="105"/>
        </w:rPr>
        <w:t xml:space="preserve">conduct </w:t>
      </w:r>
      <w:r w:rsidRPr="00EB2BD8">
        <w:rPr>
          <w:spacing w:val="-2"/>
          <w:w w:val="105"/>
        </w:rPr>
        <w:t>involving</w:t>
      </w:r>
      <w:r w:rsidRPr="00EB2BD8">
        <w:rPr>
          <w:spacing w:val="-10"/>
          <w:w w:val="105"/>
        </w:rPr>
        <w:t xml:space="preserve"> </w:t>
      </w:r>
      <w:r w:rsidRPr="00EB2BD8">
        <w:rPr>
          <w:spacing w:val="-2"/>
          <w:w w:val="105"/>
        </w:rPr>
        <w:t>a</w:t>
      </w:r>
      <w:r w:rsidRPr="00EB2BD8">
        <w:rPr>
          <w:spacing w:val="-10"/>
          <w:w w:val="105"/>
        </w:rPr>
        <w:t xml:space="preserve"> </w:t>
      </w:r>
      <w:r w:rsidRPr="00EB2BD8">
        <w:rPr>
          <w:spacing w:val="-2"/>
          <w:w w:val="105"/>
        </w:rPr>
        <w:t>substantial</w:t>
      </w:r>
      <w:r w:rsidRPr="00EB2BD8">
        <w:rPr>
          <w:spacing w:val="-10"/>
          <w:w w:val="105"/>
        </w:rPr>
        <w:t xml:space="preserve"> </w:t>
      </w:r>
      <w:r w:rsidRPr="00EB2BD8">
        <w:rPr>
          <w:spacing w:val="-2"/>
          <w:w w:val="105"/>
        </w:rPr>
        <w:t>risk</w:t>
      </w:r>
      <w:r w:rsidRPr="00EB2BD8">
        <w:rPr>
          <w:spacing w:val="-10"/>
          <w:w w:val="105"/>
        </w:rPr>
        <w:t xml:space="preserve"> </w:t>
      </w:r>
      <w:r w:rsidRPr="00EB2BD8">
        <w:rPr>
          <w:spacing w:val="-2"/>
          <w:w w:val="105"/>
        </w:rPr>
        <w:t>to</w:t>
      </w:r>
      <w:r w:rsidRPr="00EB2BD8">
        <w:rPr>
          <w:spacing w:val="-10"/>
          <w:w w:val="105"/>
        </w:rPr>
        <w:t xml:space="preserve"> </w:t>
      </w:r>
      <w:r w:rsidRPr="00EB2BD8">
        <w:rPr>
          <w:spacing w:val="-2"/>
          <w:w w:val="105"/>
        </w:rPr>
        <w:t>public</w:t>
      </w:r>
      <w:r w:rsidRPr="00EB2BD8">
        <w:rPr>
          <w:spacing w:val="-10"/>
          <w:w w:val="105"/>
        </w:rPr>
        <w:t xml:space="preserve"> </w:t>
      </w:r>
      <w:r w:rsidRPr="00EB2BD8">
        <w:rPr>
          <w:spacing w:val="-2"/>
          <w:w w:val="105"/>
        </w:rPr>
        <w:t>health</w:t>
      </w:r>
      <w:r w:rsidRPr="00EB2BD8">
        <w:rPr>
          <w:spacing w:val="-10"/>
          <w:w w:val="105"/>
        </w:rPr>
        <w:t xml:space="preserve"> </w:t>
      </w:r>
      <w:r w:rsidRPr="00EB2BD8">
        <w:rPr>
          <w:spacing w:val="-2"/>
          <w:w w:val="105"/>
        </w:rPr>
        <w:t>and</w:t>
      </w:r>
      <w:r w:rsidRPr="00EB2BD8">
        <w:rPr>
          <w:spacing w:val="-10"/>
          <w:w w:val="105"/>
        </w:rPr>
        <w:t xml:space="preserve"> </w:t>
      </w:r>
      <w:r w:rsidRPr="00EB2BD8">
        <w:rPr>
          <w:spacing w:val="-2"/>
          <w:w w:val="105"/>
        </w:rPr>
        <w:t xml:space="preserve">safety </w:t>
      </w:r>
      <w:r w:rsidRPr="00EB2BD8">
        <w:rPr>
          <w:w w:val="105"/>
        </w:rPr>
        <w:t>or the environment.</w:t>
      </w:r>
    </w:p>
    <w:p w14:paraId="5050DA65" w14:textId="77777777" w:rsidR="00084F36" w:rsidRPr="00EB2BD8" w:rsidRDefault="00EB2BD8">
      <w:pPr>
        <w:pStyle w:val="BodyText"/>
        <w:spacing w:before="103" w:line="261" w:lineRule="auto"/>
        <w:ind w:left="850" w:right="1"/>
      </w:pPr>
      <w:r w:rsidRPr="00EB2BD8">
        <w:t>The</w:t>
      </w:r>
      <w:r w:rsidRPr="00EB2BD8">
        <w:rPr>
          <w:spacing w:val="-4"/>
        </w:rPr>
        <w:t xml:space="preserve"> </w:t>
      </w:r>
      <w:r w:rsidRPr="00EB2BD8">
        <w:t>VBA</w:t>
      </w:r>
      <w:r w:rsidRPr="00EB2BD8">
        <w:rPr>
          <w:spacing w:val="-4"/>
        </w:rPr>
        <w:t xml:space="preserve"> </w:t>
      </w:r>
      <w:r w:rsidRPr="00EB2BD8">
        <w:t>will</w:t>
      </w:r>
      <w:r w:rsidRPr="00EB2BD8">
        <w:rPr>
          <w:spacing w:val="-4"/>
        </w:rPr>
        <w:t xml:space="preserve"> </w:t>
      </w:r>
      <w:r w:rsidRPr="00EB2BD8">
        <w:t>take</w:t>
      </w:r>
      <w:r w:rsidRPr="00EB2BD8">
        <w:rPr>
          <w:spacing w:val="-4"/>
        </w:rPr>
        <w:t xml:space="preserve"> </w:t>
      </w:r>
      <w:r w:rsidRPr="00EB2BD8">
        <w:t>all</w:t>
      </w:r>
      <w:r w:rsidRPr="00EB2BD8">
        <w:rPr>
          <w:spacing w:val="-4"/>
        </w:rPr>
        <w:t xml:space="preserve"> </w:t>
      </w:r>
      <w:r w:rsidRPr="00EB2BD8">
        <w:t>reasonable</w:t>
      </w:r>
      <w:r w:rsidRPr="00EB2BD8">
        <w:rPr>
          <w:spacing w:val="-4"/>
        </w:rPr>
        <w:t xml:space="preserve"> </w:t>
      </w:r>
      <w:r w:rsidRPr="00EB2BD8">
        <w:t>steps</w:t>
      </w:r>
      <w:r w:rsidRPr="00EB2BD8">
        <w:rPr>
          <w:spacing w:val="-4"/>
        </w:rPr>
        <w:t xml:space="preserve"> </w:t>
      </w:r>
      <w:r w:rsidRPr="00EB2BD8">
        <w:t>to</w:t>
      </w:r>
      <w:r w:rsidRPr="00EB2BD8">
        <w:rPr>
          <w:spacing w:val="-4"/>
        </w:rPr>
        <w:t xml:space="preserve"> </w:t>
      </w:r>
      <w:r w:rsidRPr="00EB2BD8">
        <w:t>protect</w:t>
      </w:r>
      <w:r w:rsidRPr="00EB2BD8">
        <w:rPr>
          <w:spacing w:val="-4"/>
        </w:rPr>
        <w:t xml:space="preserve"> </w:t>
      </w:r>
      <w:r w:rsidRPr="00EB2BD8">
        <w:t>people who make such disclosures from any detrimental</w:t>
      </w:r>
      <w:r w:rsidRPr="00EB2BD8">
        <w:rPr>
          <w:spacing w:val="40"/>
        </w:rPr>
        <w:t xml:space="preserve"> </w:t>
      </w:r>
      <w:r w:rsidRPr="00EB2BD8">
        <w:t>action in reprisal for making the disclosure. It will also afford</w:t>
      </w:r>
      <w:r w:rsidRPr="00EB2BD8">
        <w:rPr>
          <w:spacing w:val="-10"/>
        </w:rPr>
        <w:t xml:space="preserve"> </w:t>
      </w:r>
      <w:r w:rsidRPr="00EB2BD8">
        <w:t>natural</w:t>
      </w:r>
      <w:r w:rsidRPr="00EB2BD8">
        <w:rPr>
          <w:spacing w:val="-10"/>
        </w:rPr>
        <w:t xml:space="preserve"> </w:t>
      </w:r>
      <w:r w:rsidRPr="00EB2BD8">
        <w:t>justice</w:t>
      </w:r>
      <w:r w:rsidRPr="00EB2BD8">
        <w:rPr>
          <w:spacing w:val="-10"/>
        </w:rPr>
        <w:t xml:space="preserve"> </w:t>
      </w:r>
      <w:r w:rsidRPr="00EB2BD8">
        <w:t>to</w:t>
      </w:r>
      <w:r w:rsidRPr="00EB2BD8">
        <w:rPr>
          <w:spacing w:val="-10"/>
        </w:rPr>
        <w:t xml:space="preserve"> </w:t>
      </w:r>
      <w:r w:rsidRPr="00EB2BD8">
        <w:t>the</w:t>
      </w:r>
      <w:r w:rsidRPr="00EB2BD8">
        <w:rPr>
          <w:spacing w:val="-10"/>
        </w:rPr>
        <w:t xml:space="preserve"> </w:t>
      </w:r>
      <w:r w:rsidRPr="00EB2BD8">
        <w:t>person</w:t>
      </w:r>
      <w:r w:rsidRPr="00EB2BD8">
        <w:rPr>
          <w:spacing w:val="-10"/>
        </w:rPr>
        <w:t xml:space="preserve"> </w:t>
      </w:r>
      <w:r w:rsidRPr="00EB2BD8">
        <w:t>who</w:t>
      </w:r>
      <w:r w:rsidRPr="00EB2BD8">
        <w:rPr>
          <w:spacing w:val="-10"/>
        </w:rPr>
        <w:t xml:space="preserve"> </w:t>
      </w:r>
      <w:r w:rsidRPr="00EB2BD8">
        <w:t>is</w:t>
      </w:r>
      <w:r w:rsidRPr="00EB2BD8">
        <w:rPr>
          <w:spacing w:val="-10"/>
        </w:rPr>
        <w:t xml:space="preserve"> </w:t>
      </w:r>
      <w:r w:rsidRPr="00EB2BD8">
        <w:t>the</w:t>
      </w:r>
      <w:r w:rsidRPr="00EB2BD8">
        <w:rPr>
          <w:spacing w:val="-10"/>
        </w:rPr>
        <w:t xml:space="preserve"> </w:t>
      </w:r>
      <w:r w:rsidRPr="00EB2BD8">
        <w:t>subject</w:t>
      </w:r>
      <w:r w:rsidRPr="00EB2BD8">
        <w:rPr>
          <w:spacing w:val="-10"/>
        </w:rPr>
        <w:t xml:space="preserve"> </w:t>
      </w:r>
      <w:r w:rsidRPr="00EB2BD8">
        <w:t>of the disclosure to the extent it is legally possible.</w:t>
      </w:r>
    </w:p>
    <w:p w14:paraId="48D72AEF" w14:textId="682E4986" w:rsidR="00084F36" w:rsidRPr="00EB2BD8" w:rsidRDefault="00EB2BD8" w:rsidP="00C315ED">
      <w:pPr>
        <w:pStyle w:val="Heading2"/>
        <w:ind w:left="0"/>
      </w:pPr>
      <w:r w:rsidRPr="00EB2BD8">
        <w:br w:type="column"/>
      </w:r>
      <w:r w:rsidR="00C315ED">
        <w:t xml:space="preserve">     </w:t>
      </w:r>
      <w:bookmarkStart w:id="218" w:name="_Toc150762520"/>
      <w:r w:rsidRPr="00EB2BD8">
        <w:t xml:space="preserve">Reporting </w:t>
      </w:r>
      <w:r w:rsidRPr="00EB2BD8">
        <w:rPr>
          <w:spacing w:val="-2"/>
        </w:rPr>
        <w:t>procedures</w:t>
      </w:r>
      <w:bookmarkEnd w:id="218"/>
    </w:p>
    <w:p w14:paraId="0196EF4A" w14:textId="77777777" w:rsidR="00084F36" w:rsidRPr="00EB2BD8" w:rsidRDefault="00EB2BD8">
      <w:pPr>
        <w:pStyle w:val="BodyText"/>
        <w:spacing w:before="177" w:line="261" w:lineRule="auto"/>
        <w:ind w:left="413" w:right="845"/>
      </w:pPr>
      <w:r w:rsidRPr="00EB2BD8">
        <w:t>The VBA is not authorised to receive disclosures of improper conduct or detrimental action. People who wish</w:t>
      </w:r>
      <w:r w:rsidRPr="00EB2BD8">
        <w:rPr>
          <w:spacing w:val="-4"/>
        </w:rPr>
        <w:t xml:space="preserve"> </w:t>
      </w:r>
      <w:r w:rsidRPr="00EB2BD8">
        <w:t>to</w:t>
      </w:r>
      <w:r w:rsidRPr="00EB2BD8">
        <w:rPr>
          <w:spacing w:val="-4"/>
        </w:rPr>
        <w:t xml:space="preserve"> </w:t>
      </w:r>
      <w:r w:rsidRPr="00EB2BD8">
        <w:t>make</w:t>
      </w:r>
      <w:r w:rsidRPr="00EB2BD8">
        <w:rPr>
          <w:spacing w:val="-4"/>
        </w:rPr>
        <w:t xml:space="preserve"> </w:t>
      </w:r>
      <w:r w:rsidRPr="00EB2BD8">
        <w:t>a</w:t>
      </w:r>
      <w:r w:rsidRPr="00EB2BD8">
        <w:rPr>
          <w:spacing w:val="-4"/>
        </w:rPr>
        <w:t xml:space="preserve"> </w:t>
      </w:r>
      <w:r w:rsidRPr="00EB2BD8">
        <w:t>disclosure</w:t>
      </w:r>
      <w:r w:rsidRPr="00EB2BD8">
        <w:rPr>
          <w:spacing w:val="-4"/>
        </w:rPr>
        <w:t xml:space="preserve"> </w:t>
      </w:r>
      <w:r w:rsidRPr="00EB2BD8">
        <w:t>are</w:t>
      </w:r>
      <w:r w:rsidRPr="00EB2BD8">
        <w:rPr>
          <w:spacing w:val="-4"/>
        </w:rPr>
        <w:t xml:space="preserve"> </w:t>
      </w:r>
      <w:r w:rsidRPr="00EB2BD8">
        <w:t>therefore</w:t>
      </w:r>
      <w:r w:rsidRPr="00EB2BD8">
        <w:rPr>
          <w:spacing w:val="-4"/>
        </w:rPr>
        <w:t xml:space="preserve"> </w:t>
      </w:r>
      <w:r w:rsidRPr="00EB2BD8">
        <w:t>encouraged</w:t>
      </w:r>
      <w:r w:rsidRPr="00EB2BD8">
        <w:rPr>
          <w:spacing w:val="-4"/>
        </w:rPr>
        <w:t xml:space="preserve"> </w:t>
      </w:r>
      <w:r w:rsidRPr="00EB2BD8">
        <w:t>to contact the Independent Broad-based Anti-corruption Commission</w:t>
      </w:r>
      <w:r w:rsidRPr="00EB2BD8">
        <w:rPr>
          <w:spacing w:val="-6"/>
        </w:rPr>
        <w:t xml:space="preserve"> </w:t>
      </w:r>
      <w:r w:rsidRPr="00EB2BD8">
        <w:t>(IBAC):</w:t>
      </w:r>
    </w:p>
    <w:p w14:paraId="1666A2E8" w14:textId="77777777" w:rsidR="00084F36" w:rsidRPr="00EB2BD8" w:rsidRDefault="00EB2BD8">
      <w:pPr>
        <w:pStyle w:val="BodyText"/>
        <w:spacing w:before="108" w:line="261" w:lineRule="auto"/>
        <w:ind w:left="413" w:right="1270"/>
      </w:pPr>
      <w:r w:rsidRPr="00EB2BD8">
        <w:rPr>
          <w:spacing w:val="-2"/>
        </w:rPr>
        <w:t>Level</w:t>
      </w:r>
      <w:r w:rsidRPr="00EB2BD8">
        <w:rPr>
          <w:spacing w:val="-12"/>
        </w:rPr>
        <w:t xml:space="preserve"> </w:t>
      </w:r>
      <w:r w:rsidRPr="00EB2BD8">
        <w:rPr>
          <w:spacing w:val="-2"/>
          <w:w w:val="95"/>
        </w:rPr>
        <w:t>1</w:t>
      </w:r>
      <w:r w:rsidRPr="00EB2BD8">
        <w:rPr>
          <w:spacing w:val="-9"/>
          <w:w w:val="95"/>
        </w:rPr>
        <w:t xml:space="preserve"> </w:t>
      </w:r>
      <w:r w:rsidRPr="00EB2BD8">
        <w:rPr>
          <w:spacing w:val="-2"/>
        </w:rPr>
        <w:t>North</w:t>
      </w:r>
      <w:r w:rsidRPr="00EB2BD8">
        <w:rPr>
          <w:spacing w:val="-12"/>
        </w:rPr>
        <w:t xml:space="preserve"> </w:t>
      </w:r>
      <w:r w:rsidRPr="00EB2BD8">
        <w:rPr>
          <w:spacing w:val="-2"/>
        </w:rPr>
        <w:t>Tower</w:t>
      </w:r>
      <w:r w:rsidRPr="00EB2BD8">
        <w:rPr>
          <w:spacing w:val="-12"/>
        </w:rPr>
        <w:t xml:space="preserve"> </w:t>
      </w:r>
      <w:r w:rsidRPr="00EB2BD8">
        <w:rPr>
          <w:spacing w:val="-2"/>
        </w:rPr>
        <w:t>459</w:t>
      </w:r>
      <w:r w:rsidRPr="00EB2BD8">
        <w:rPr>
          <w:spacing w:val="-12"/>
        </w:rPr>
        <w:t xml:space="preserve"> </w:t>
      </w:r>
      <w:r w:rsidRPr="00EB2BD8">
        <w:rPr>
          <w:spacing w:val="-2"/>
        </w:rPr>
        <w:t>Collins</w:t>
      </w:r>
      <w:r w:rsidRPr="00EB2BD8">
        <w:rPr>
          <w:spacing w:val="-12"/>
        </w:rPr>
        <w:t xml:space="preserve"> </w:t>
      </w:r>
      <w:r w:rsidRPr="00EB2BD8">
        <w:rPr>
          <w:spacing w:val="-2"/>
        </w:rPr>
        <w:t>Street</w:t>
      </w:r>
      <w:r w:rsidRPr="00EB2BD8">
        <w:rPr>
          <w:spacing w:val="-12"/>
        </w:rPr>
        <w:t xml:space="preserve"> </w:t>
      </w:r>
      <w:r w:rsidRPr="00EB2BD8">
        <w:rPr>
          <w:spacing w:val="-2"/>
        </w:rPr>
        <w:t xml:space="preserve">Melbourne </w:t>
      </w:r>
      <w:r w:rsidRPr="00EB2BD8">
        <w:t>VIC</w:t>
      </w:r>
      <w:r w:rsidRPr="00EB2BD8">
        <w:rPr>
          <w:spacing w:val="-6"/>
        </w:rPr>
        <w:t xml:space="preserve"> </w:t>
      </w:r>
      <w:r w:rsidRPr="00EB2BD8">
        <w:t>3000</w:t>
      </w:r>
    </w:p>
    <w:p w14:paraId="7A845A86" w14:textId="77777777" w:rsidR="00084F36" w:rsidRPr="00EB2BD8" w:rsidRDefault="00EB2BD8">
      <w:pPr>
        <w:pStyle w:val="BodyText"/>
        <w:spacing w:line="210" w:lineRule="exact"/>
        <w:ind w:left="413"/>
      </w:pPr>
      <w:r w:rsidRPr="00EB2BD8">
        <w:rPr>
          <w:w w:val="90"/>
        </w:rPr>
        <w:t>Phone:</w:t>
      </w:r>
      <w:r w:rsidRPr="00EB2BD8">
        <w:rPr>
          <w:spacing w:val="2"/>
        </w:rPr>
        <w:t xml:space="preserve"> </w:t>
      </w:r>
      <w:r w:rsidRPr="00EB2BD8">
        <w:rPr>
          <w:w w:val="90"/>
        </w:rPr>
        <w:t>1300</w:t>
      </w:r>
      <w:r w:rsidRPr="00EB2BD8">
        <w:rPr>
          <w:spacing w:val="3"/>
        </w:rPr>
        <w:t xml:space="preserve"> </w:t>
      </w:r>
      <w:r w:rsidRPr="00EB2BD8">
        <w:rPr>
          <w:w w:val="90"/>
        </w:rPr>
        <w:t>735</w:t>
      </w:r>
      <w:r w:rsidRPr="00EB2BD8">
        <w:rPr>
          <w:spacing w:val="2"/>
        </w:rPr>
        <w:t xml:space="preserve"> </w:t>
      </w:r>
      <w:r w:rsidRPr="00EB2BD8">
        <w:rPr>
          <w:spacing w:val="-5"/>
          <w:w w:val="90"/>
        </w:rPr>
        <w:t>135</w:t>
      </w:r>
    </w:p>
    <w:p w14:paraId="4291AD85" w14:textId="77777777" w:rsidR="00084F36" w:rsidRPr="00EB2BD8" w:rsidRDefault="00EB2BD8">
      <w:pPr>
        <w:pStyle w:val="BodyText"/>
        <w:spacing w:before="18"/>
        <w:ind w:left="413"/>
      </w:pPr>
      <w:r w:rsidRPr="00EB2BD8">
        <w:rPr>
          <w:spacing w:val="-4"/>
        </w:rPr>
        <w:t>Internet:</w:t>
      </w:r>
      <w:r w:rsidRPr="00EB2BD8">
        <w:rPr>
          <w:spacing w:val="4"/>
        </w:rPr>
        <w:t xml:space="preserve"> </w:t>
      </w:r>
      <w:hyperlink r:id="rId210">
        <w:r w:rsidRPr="00EB2BD8">
          <w:rPr>
            <w:spacing w:val="-2"/>
          </w:rPr>
          <w:t>www.ibac.vic.gov.au</w:t>
        </w:r>
      </w:hyperlink>
    </w:p>
    <w:p w14:paraId="69BA99A9" w14:textId="77777777" w:rsidR="00084F36" w:rsidRPr="00EB2BD8" w:rsidRDefault="00EB2BD8">
      <w:pPr>
        <w:pStyle w:val="BodyText"/>
        <w:spacing w:before="132" w:line="261" w:lineRule="auto"/>
        <w:ind w:left="413" w:right="976"/>
      </w:pPr>
      <w:r w:rsidRPr="00EB2BD8">
        <w:t>The VBA has also engaged Safe2Speak, an independent service through which employees can, with the option of remaining anonymous, report improper</w:t>
      </w:r>
      <w:r w:rsidRPr="00EB2BD8">
        <w:rPr>
          <w:spacing w:val="-9"/>
        </w:rPr>
        <w:t xml:space="preserve"> </w:t>
      </w:r>
      <w:r w:rsidRPr="00EB2BD8">
        <w:t>conduct</w:t>
      </w:r>
      <w:r w:rsidRPr="00EB2BD8">
        <w:rPr>
          <w:spacing w:val="-9"/>
        </w:rPr>
        <w:t xml:space="preserve"> </w:t>
      </w:r>
      <w:r w:rsidRPr="00EB2BD8">
        <w:t>or</w:t>
      </w:r>
      <w:r w:rsidRPr="00EB2BD8">
        <w:rPr>
          <w:spacing w:val="-9"/>
        </w:rPr>
        <w:t xml:space="preserve"> </w:t>
      </w:r>
      <w:r w:rsidRPr="00EB2BD8">
        <w:t>corruption</w:t>
      </w:r>
      <w:r w:rsidRPr="00EB2BD8">
        <w:rPr>
          <w:spacing w:val="-9"/>
        </w:rPr>
        <w:t xml:space="preserve"> </w:t>
      </w:r>
      <w:r w:rsidRPr="00EB2BD8">
        <w:t>if</w:t>
      </w:r>
      <w:r w:rsidRPr="00EB2BD8">
        <w:rPr>
          <w:spacing w:val="-9"/>
        </w:rPr>
        <w:t xml:space="preserve"> </w:t>
      </w:r>
      <w:r w:rsidRPr="00EB2BD8">
        <w:t>they</w:t>
      </w:r>
      <w:r w:rsidRPr="00EB2BD8">
        <w:rPr>
          <w:spacing w:val="-9"/>
        </w:rPr>
        <w:t xml:space="preserve"> </w:t>
      </w:r>
      <w:r w:rsidRPr="00EB2BD8">
        <w:t>choose</w:t>
      </w:r>
      <w:r w:rsidRPr="00EB2BD8">
        <w:rPr>
          <w:spacing w:val="-9"/>
        </w:rPr>
        <w:t xml:space="preserve"> </w:t>
      </w:r>
      <w:r w:rsidRPr="00EB2BD8">
        <w:t>not</w:t>
      </w:r>
      <w:r w:rsidRPr="00EB2BD8">
        <w:rPr>
          <w:spacing w:val="-9"/>
        </w:rPr>
        <w:t xml:space="preserve"> </w:t>
      </w:r>
      <w:r w:rsidRPr="00EB2BD8">
        <w:t>to contact IBAC. Contact Safe2Speak via:</w:t>
      </w:r>
    </w:p>
    <w:p w14:paraId="36A5DA23" w14:textId="77777777" w:rsidR="00084F36" w:rsidRPr="00EB2BD8" w:rsidRDefault="00EB2BD8">
      <w:pPr>
        <w:pStyle w:val="BodyText"/>
        <w:spacing w:before="108" w:line="261" w:lineRule="auto"/>
        <w:ind w:left="413" w:right="845"/>
      </w:pPr>
      <w:r w:rsidRPr="00EB2BD8">
        <w:t>VBA</w:t>
      </w:r>
      <w:r w:rsidRPr="00EB2BD8">
        <w:rPr>
          <w:spacing w:val="-12"/>
        </w:rPr>
        <w:t xml:space="preserve"> </w:t>
      </w:r>
      <w:r w:rsidRPr="00EB2BD8">
        <w:t>Safe</w:t>
      </w:r>
      <w:r w:rsidRPr="00EB2BD8">
        <w:rPr>
          <w:spacing w:val="-12"/>
        </w:rPr>
        <w:t xml:space="preserve"> </w:t>
      </w:r>
      <w:r w:rsidRPr="00EB2BD8">
        <w:t>2</w:t>
      </w:r>
      <w:r w:rsidRPr="00EB2BD8">
        <w:rPr>
          <w:spacing w:val="-12"/>
        </w:rPr>
        <w:t xml:space="preserve"> </w:t>
      </w:r>
      <w:r w:rsidRPr="00EB2BD8">
        <w:t>Speak</w:t>
      </w:r>
      <w:r w:rsidRPr="00EB2BD8">
        <w:rPr>
          <w:spacing w:val="-12"/>
        </w:rPr>
        <w:t xml:space="preserve"> </w:t>
      </w:r>
      <w:r w:rsidRPr="00EB2BD8">
        <w:t>c/o</w:t>
      </w:r>
      <w:r w:rsidRPr="00EB2BD8">
        <w:rPr>
          <w:spacing w:val="-12"/>
        </w:rPr>
        <w:t xml:space="preserve"> </w:t>
      </w:r>
      <w:r w:rsidRPr="00EB2BD8">
        <w:t>Stopline,</w:t>
      </w:r>
      <w:r w:rsidRPr="00EB2BD8">
        <w:rPr>
          <w:spacing w:val="-12"/>
        </w:rPr>
        <w:t xml:space="preserve"> </w:t>
      </w:r>
      <w:r w:rsidRPr="00EB2BD8">
        <w:t>Locked</w:t>
      </w:r>
      <w:r w:rsidRPr="00EB2BD8">
        <w:rPr>
          <w:spacing w:val="-12"/>
        </w:rPr>
        <w:t xml:space="preserve"> </w:t>
      </w:r>
      <w:r w:rsidRPr="00EB2BD8">
        <w:t>Bag</w:t>
      </w:r>
      <w:r w:rsidRPr="00EB2BD8">
        <w:rPr>
          <w:spacing w:val="-12"/>
        </w:rPr>
        <w:t xml:space="preserve"> </w:t>
      </w:r>
      <w:r w:rsidRPr="00EB2BD8">
        <w:t>8,</w:t>
      </w:r>
      <w:r w:rsidRPr="00EB2BD8">
        <w:rPr>
          <w:spacing w:val="-12"/>
        </w:rPr>
        <w:t xml:space="preserve"> </w:t>
      </w:r>
      <w:r w:rsidRPr="00EB2BD8">
        <w:t>Hawthorn, VIC</w:t>
      </w:r>
      <w:r w:rsidRPr="00EB2BD8">
        <w:rPr>
          <w:spacing w:val="-6"/>
        </w:rPr>
        <w:t xml:space="preserve"> </w:t>
      </w:r>
      <w:r w:rsidRPr="00EB2BD8">
        <w:t>3122</w:t>
      </w:r>
    </w:p>
    <w:p w14:paraId="13AE4037" w14:textId="77777777" w:rsidR="00084F36" w:rsidRPr="00EB2BD8" w:rsidRDefault="00EB2BD8">
      <w:pPr>
        <w:pStyle w:val="BodyText"/>
        <w:spacing w:before="111"/>
        <w:ind w:left="413"/>
      </w:pPr>
      <w:r w:rsidRPr="00EB2BD8">
        <w:rPr>
          <w:spacing w:val="-6"/>
        </w:rPr>
        <w:t>Phone:</w:t>
      </w:r>
      <w:r w:rsidRPr="00EB2BD8">
        <w:rPr>
          <w:spacing w:val="-3"/>
        </w:rPr>
        <w:t xml:space="preserve"> </w:t>
      </w:r>
      <w:r w:rsidRPr="00EB2BD8">
        <w:rPr>
          <w:spacing w:val="-6"/>
        </w:rPr>
        <w:t>1300</w:t>
      </w:r>
      <w:r w:rsidRPr="00EB2BD8">
        <w:rPr>
          <w:spacing w:val="-3"/>
        </w:rPr>
        <w:t xml:space="preserve"> </w:t>
      </w:r>
      <w:r w:rsidRPr="00EB2BD8">
        <w:rPr>
          <w:spacing w:val="-6"/>
        </w:rPr>
        <w:t>304</w:t>
      </w:r>
      <w:r w:rsidRPr="00EB2BD8">
        <w:rPr>
          <w:spacing w:val="-3"/>
        </w:rPr>
        <w:t xml:space="preserve"> </w:t>
      </w:r>
      <w:r w:rsidRPr="00EB2BD8">
        <w:rPr>
          <w:spacing w:val="-6"/>
        </w:rPr>
        <w:t>550</w:t>
      </w:r>
    </w:p>
    <w:p w14:paraId="1EE24D1B" w14:textId="77777777" w:rsidR="00084F36" w:rsidRPr="00EB2BD8" w:rsidRDefault="00EB2BD8">
      <w:pPr>
        <w:pStyle w:val="BodyText"/>
        <w:spacing w:before="19" w:line="261" w:lineRule="auto"/>
        <w:ind w:left="413" w:right="1505"/>
      </w:pPr>
      <w:r w:rsidRPr="00EB2BD8">
        <w:rPr>
          <w:spacing w:val="-2"/>
        </w:rPr>
        <w:t>Internet:</w:t>
      </w:r>
      <w:r w:rsidRPr="00EB2BD8">
        <w:rPr>
          <w:spacing w:val="-6"/>
        </w:rPr>
        <w:t xml:space="preserve"> </w:t>
      </w:r>
      <w:r w:rsidRPr="00EB2BD8">
        <w:rPr>
          <w:spacing w:val="-2"/>
        </w:rPr>
        <w:t xml:space="preserve">safe2speakvba.stoplinereport.com </w:t>
      </w:r>
      <w:r w:rsidRPr="00EB2BD8">
        <w:t>Email:</w:t>
      </w:r>
      <w:r w:rsidRPr="00EB2BD8">
        <w:rPr>
          <w:spacing w:val="-6"/>
        </w:rPr>
        <w:t xml:space="preserve"> </w:t>
      </w:r>
      <w:hyperlink r:id="rId211">
        <w:r w:rsidRPr="00EB2BD8">
          <w:t>safe2speak@stopline.com.au</w:t>
        </w:r>
      </w:hyperlink>
    </w:p>
    <w:p w14:paraId="6AB4D774" w14:textId="77777777" w:rsidR="00084F36" w:rsidRPr="00EB2BD8" w:rsidRDefault="00EB2BD8">
      <w:pPr>
        <w:pStyle w:val="BodyText"/>
        <w:spacing w:before="111" w:line="261" w:lineRule="auto"/>
        <w:ind w:left="413" w:right="845"/>
      </w:pPr>
      <w:r w:rsidRPr="00EB2BD8">
        <w:t xml:space="preserve">The VBA integrity Unit can be contacted for advice and to report concerns via </w:t>
      </w:r>
      <w:hyperlink r:id="rId212">
        <w:r w:rsidRPr="00EB2BD8">
          <w:t>integrity@vba.vic.gov.au</w:t>
        </w:r>
      </w:hyperlink>
    </w:p>
    <w:p w14:paraId="36BA6465" w14:textId="77777777" w:rsidR="00084F36" w:rsidRPr="00EB2BD8" w:rsidRDefault="00084F36">
      <w:pPr>
        <w:pStyle w:val="BodyText"/>
        <w:spacing w:before="7"/>
        <w:rPr>
          <w:sz w:val="25"/>
        </w:rPr>
      </w:pPr>
    </w:p>
    <w:p w14:paraId="27AA35B5" w14:textId="27E30C3A" w:rsidR="00084F36" w:rsidRPr="00EB2BD8" w:rsidRDefault="00C315ED" w:rsidP="00C315ED">
      <w:pPr>
        <w:pStyle w:val="Heading2"/>
        <w:ind w:left="0"/>
      </w:pPr>
      <w:r>
        <w:t xml:space="preserve">    </w:t>
      </w:r>
      <w:bookmarkStart w:id="219" w:name="_Toc150762521"/>
      <w:r w:rsidR="00EB2BD8" w:rsidRPr="00EB2BD8">
        <w:t>Further</w:t>
      </w:r>
      <w:r w:rsidR="00EB2BD8" w:rsidRPr="00EB2BD8">
        <w:rPr>
          <w:spacing w:val="8"/>
        </w:rPr>
        <w:t xml:space="preserve"> </w:t>
      </w:r>
      <w:r w:rsidR="00EB2BD8" w:rsidRPr="00EB2BD8">
        <w:t>information</w:t>
      </w:r>
      <w:bookmarkEnd w:id="219"/>
    </w:p>
    <w:p w14:paraId="47DB3160" w14:textId="77777777" w:rsidR="00084F36" w:rsidRPr="00EB2BD8" w:rsidRDefault="00EB2BD8">
      <w:pPr>
        <w:pStyle w:val="BodyText"/>
        <w:spacing w:before="177" w:line="261" w:lineRule="auto"/>
        <w:ind w:left="413" w:right="926"/>
      </w:pPr>
      <w:r w:rsidRPr="00EB2BD8">
        <w:t>For</w:t>
      </w:r>
      <w:r w:rsidRPr="00EB2BD8">
        <w:rPr>
          <w:spacing w:val="-15"/>
        </w:rPr>
        <w:t xml:space="preserve"> </w:t>
      </w:r>
      <w:r w:rsidRPr="00EB2BD8">
        <w:t>further</w:t>
      </w:r>
      <w:r w:rsidRPr="00EB2BD8">
        <w:rPr>
          <w:spacing w:val="-14"/>
        </w:rPr>
        <w:t xml:space="preserve"> </w:t>
      </w:r>
      <w:r w:rsidRPr="00EB2BD8">
        <w:t>information</w:t>
      </w:r>
      <w:r w:rsidRPr="00EB2BD8">
        <w:rPr>
          <w:spacing w:val="-14"/>
        </w:rPr>
        <w:t xml:space="preserve"> </w:t>
      </w:r>
      <w:r w:rsidRPr="00EB2BD8">
        <w:t>regarding</w:t>
      </w:r>
      <w:r w:rsidRPr="00EB2BD8">
        <w:rPr>
          <w:spacing w:val="-14"/>
        </w:rPr>
        <w:t xml:space="preserve"> </w:t>
      </w:r>
      <w:r w:rsidRPr="00EB2BD8">
        <w:t>disclosures</w:t>
      </w:r>
      <w:r w:rsidRPr="00EB2BD8">
        <w:rPr>
          <w:spacing w:val="-15"/>
        </w:rPr>
        <w:t xml:space="preserve"> </w:t>
      </w:r>
      <w:r w:rsidRPr="00EB2BD8">
        <w:t>visit:</w:t>
      </w:r>
      <w:r w:rsidRPr="00EB2BD8">
        <w:rPr>
          <w:spacing w:val="-14"/>
        </w:rPr>
        <w:t xml:space="preserve"> </w:t>
      </w:r>
      <w:hyperlink r:id="rId213">
        <w:r w:rsidRPr="00EB2BD8">
          <w:t>vba.</w:t>
        </w:r>
      </w:hyperlink>
      <w:r w:rsidRPr="00EB2BD8">
        <w:t xml:space="preserve"> </w:t>
      </w:r>
      <w:hyperlink r:id="rId214">
        <w:r w:rsidRPr="00EB2BD8">
          <w:rPr>
            <w:spacing w:val="-2"/>
          </w:rPr>
          <w:t>vic.gov.au/about/holding-the-VBA-to-account.</w:t>
        </w:r>
      </w:hyperlink>
    </w:p>
    <w:p w14:paraId="3F021ACC" w14:textId="77777777" w:rsidR="00084F36" w:rsidRPr="00EB2BD8" w:rsidRDefault="00EB2BD8">
      <w:pPr>
        <w:pStyle w:val="BodyText"/>
        <w:spacing w:before="111" w:line="261" w:lineRule="auto"/>
        <w:ind w:left="413" w:right="845"/>
      </w:pPr>
      <w:r w:rsidRPr="00EB2BD8">
        <w:t xml:space="preserve">Section 70 of the </w:t>
      </w:r>
      <w:r w:rsidRPr="00EB2BD8">
        <w:rPr>
          <w:i/>
        </w:rPr>
        <w:t xml:space="preserve">Independent Broad-based Anti- </w:t>
      </w:r>
      <w:r w:rsidRPr="00EB2BD8">
        <w:rPr>
          <w:i/>
          <w:spacing w:val="-2"/>
        </w:rPr>
        <w:t>corruption</w:t>
      </w:r>
      <w:r w:rsidRPr="00EB2BD8">
        <w:rPr>
          <w:i/>
          <w:spacing w:val="-13"/>
        </w:rPr>
        <w:t xml:space="preserve"> </w:t>
      </w:r>
      <w:r w:rsidRPr="00EB2BD8">
        <w:rPr>
          <w:i/>
          <w:spacing w:val="-2"/>
        </w:rPr>
        <w:t>Act</w:t>
      </w:r>
      <w:r w:rsidRPr="00EB2BD8">
        <w:rPr>
          <w:i/>
          <w:spacing w:val="-12"/>
        </w:rPr>
        <w:t xml:space="preserve"> </w:t>
      </w:r>
      <w:r w:rsidRPr="00EB2BD8">
        <w:rPr>
          <w:i/>
          <w:spacing w:val="-2"/>
        </w:rPr>
        <w:t>2011</w:t>
      </w:r>
      <w:r w:rsidRPr="00EB2BD8">
        <w:rPr>
          <w:i/>
          <w:spacing w:val="-12"/>
        </w:rPr>
        <w:t xml:space="preserve"> </w:t>
      </w:r>
      <w:r w:rsidRPr="00EB2BD8">
        <w:rPr>
          <w:spacing w:val="-2"/>
        </w:rPr>
        <w:t>requires</w:t>
      </w:r>
      <w:r w:rsidRPr="00EB2BD8">
        <w:rPr>
          <w:spacing w:val="-12"/>
        </w:rPr>
        <w:t xml:space="preserve"> </w:t>
      </w:r>
      <w:r w:rsidRPr="00EB2BD8">
        <w:rPr>
          <w:spacing w:val="-2"/>
        </w:rPr>
        <w:t>public</w:t>
      </w:r>
      <w:r w:rsidRPr="00EB2BD8">
        <w:rPr>
          <w:spacing w:val="-13"/>
        </w:rPr>
        <w:t xml:space="preserve"> </w:t>
      </w:r>
      <w:r w:rsidRPr="00EB2BD8">
        <w:rPr>
          <w:spacing w:val="-2"/>
        </w:rPr>
        <w:t>bodies</w:t>
      </w:r>
      <w:r w:rsidRPr="00EB2BD8">
        <w:rPr>
          <w:spacing w:val="-12"/>
        </w:rPr>
        <w:t xml:space="preserve"> </w:t>
      </w:r>
      <w:r w:rsidRPr="00EB2BD8">
        <w:rPr>
          <w:spacing w:val="-2"/>
        </w:rPr>
        <w:t>to</w:t>
      </w:r>
      <w:r w:rsidRPr="00EB2BD8">
        <w:rPr>
          <w:spacing w:val="-12"/>
        </w:rPr>
        <w:t xml:space="preserve"> </w:t>
      </w:r>
      <w:r w:rsidRPr="00EB2BD8">
        <w:rPr>
          <w:spacing w:val="-2"/>
        </w:rPr>
        <w:t>report</w:t>
      </w:r>
      <w:r w:rsidRPr="00EB2BD8">
        <w:rPr>
          <w:spacing w:val="-12"/>
        </w:rPr>
        <w:t xml:space="preserve"> </w:t>
      </w:r>
      <w:r w:rsidRPr="00EB2BD8">
        <w:rPr>
          <w:spacing w:val="-2"/>
        </w:rPr>
        <w:t xml:space="preserve">the </w:t>
      </w:r>
      <w:r w:rsidRPr="00EB2BD8">
        <w:t>number of disclosures received in their annual report. The</w:t>
      </w:r>
      <w:r w:rsidRPr="00EB2BD8">
        <w:rPr>
          <w:spacing w:val="-8"/>
        </w:rPr>
        <w:t xml:space="preserve"> </w:t>
      </w:r>
      <w:r w:rsidRPr="00EB2BD8">
        <w:t>Act</w:t>
      </w:r>
      <w:r w:rsidRPr="00EB2BD8">
        <w:rPr>
          <w:spacing w:val="-8"/>
        </w:rPr>
        <w:t xml:space="preserve"> </w:t>
      </w:r>
      <w:r w:rsidRPr="00EB2BD8">
        <w:t>does</w:t>
      </w:r>
      <w:r w:rsidRPr="00EB2BD8">
        <w:rPr>
          <w:spacing w:val="-8"/>
        </w:rPr>
        <w:t xml:space="preserve"> </w:t>
      </w:r>
      <w:r w:rsidRPr="00EB2BD8">
        <w:t>not</w:t>
      </w:r>
      <w:r w:rsidRPr="00EB2BD8">
        <w:rPr>
          <w:spacing w:val="-8"/>
        </w:rPr>
        <w:t xml:space="preserve"> </w:t>
      </w:r>
      <w:r w:rsidRPr="00EB2BD8">
        <w:t>permit</w:t>
      </w:r>
      <w:r w:rsidRPr="00EB2BD8">
        <w:rPr>
          <w:spacing w:val="-8"/>
        </w:rPr>
        <w:t xml:space="preserve"> </w:t>
      </w:r>
      <w:r w:rsidRPr="00EB2BD8">
        <w:t>the</w:t>
      </w:r>
      <w:r w:rsidRPr="00EB2BD8">
        <w:rPr>
          <w:spacing w:val="-8"/>
        </w:rPr>
        <w:t xml:space="preserve"> </w:t>
      </w:r>
      <w:r w:rsidRPr="00EB2BD8">
        <w:t>VBA</w:t>
      </w:r>
      <w:r w:rsidRPr="00EB2BD8">
        <w:rPr>
          <w:spacing w:val="-8"/>
        </w:rPr>
        <w:t xml:space="preserve"> </w:t>
      </w:r>
      <w:r w:rsidRPr="00EB2BD8">
        <w:t>to</w:t>
      </w:r>
      <w:r w:rsidRPr="00EB2BD8">
        <w:rPr>
          <w:spacing w:val="-8"/>
        </w:rPr>
        <w:t xml:space="preserve"> </w:t>
      </w:r>
      <w:r w:rsidRPr="00EB2BD8">
        <w:t>receive</w:t>
      </w:r>
      <w:r w:rsidRPr="00EB2BD8">
        <w:rPr>
          <w:spacing w:val="-8"/>
        </w:rPr>
        <w:t xml:space="preserve"> </w:t>
      </w:r>
      <w:r w:rsidRPr="00EB2BD8">
        <w:t>disclosures therefore none have been received. This does not include disclosures regarding the VBA received by any other</w:t>
      </w:r>
      <w:r w:rsidRPr="00EB2BD8">
        <w:rPr>
          <w:spacing w:val="-6"/>
        </w:rPr>
        <w:t xml:space="preserve"> </w:t>
      </w:r>
      <w:r w:rsidRPr="00EB2BD8">
        <w:t>entity.</w:t>
      </w:r>
    </w:p>
    <w:p w14:paraId="4ECAE5AA"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2" w:space="720" w:equalWidth="0">
            <w:col w:w="5726" w:space="40"/>
            <w:col w:w="6144"/>
          </w:cols>
        </w:sectPr>
      </w:pPr>
    </w:p>
    <w:p w14:paraId="58D997A1" w14:textId="07DA6390" w:rsidR="00084F36" w:rsidRPr="00EB2BD8" w:rsidRDefault="00084F36">
      <w:pPr>
        <w:pStyle w:val="BodyText"/>
        <w:rPr>
          <w:sz w:val="20"/>
        </w:rPr>
      </w:pPr>
    </w:p>
    <w:p w14:paraId="2E9AD268" w14:textId="3155A9C4" w:rsidR="00084F36" w:rsidRPr="00EB2BD8" w:rsidRDefault="00084F36">
      <w:pPr>
        <w:pStyle w:val="BodyText"/>
        <w:rPr>
          <w:sz w:val="20"/>
        </w:rPr>
      </w:pPr>
    </w:p>
    <w:p w14:paraId="0486AE3C" w14:textId="75024C69" w:rsidR="00084F36" w:rsidRPr="00EB2BD8" w:rsidRDefault="00084F36">
      <w:pPr>
        <w:pStyle w:val="BodyText"/>
        <w:rPr>
          <w:sz w:val="20"/>
        </w:rPr>
      </w:pPr>
    </w:p>
    <w:p w14:paraId="3DD6EE17" w14:textId="77777777" w:rsidR="00084F36" w:rsidRPr="00EB2BD8" w:rsidRDefault="00084F36">
      <w:pPr>
        <w:pStyle w:val="BodyText"/>
        <w:rPr>
          <w:sz w:val="20"/>
        </w:rPr>
      </w:pPr>
    </w:p>
    <w:p w14:paraId="7978CE54" w14:textId="77777777" w:rsidR="00084F36" w:rsidRPr="00EB2BD8" w:rsidRDefault="00084F36">
      <w:pPr>
        <w:pStyle w:val="BodyText"/>
        <w:spacing w:before="4"/>
        <w:rPr>
          <w:sz w:val="16"/>
        </w:rPr>
      </w:pPr>
    </w:p>
    <w:p w14:paraId="2A9074E3" w14:textId="77777777" w:rsidR="00084F36" w:rsidRPr="00EB2BD8" w:rsidRDefault="00084F36">
      <w:pPr>
        <w:rPr>
          <w:sz w:val="16"/>
        </w:rPr>
        <w:sectPr w:rsidR="00084F36" w:rsidRPr="00EB2BD8" w:rsidSect="006D75B2">
          <w:footerReference w:type="default" r:id="rId215"/>
          <w:pgSz w:w="11910" w:h="16840"/>
          <w:pgMar w:top="1100" w:right="0" w:bottom="700" w:left="0" w:header="0" w:footer="515" w:gutter="0"/>
          <w:cols w:space="720"/>
        </w:sectPr>
      </w:pPr>
    </w:p>
    <w:p w14:paraId="02E0F26C" w14:textId="77777777" w:rsidR="00084F36" w:rsidRPr="00EB2BD8" w:rsidRDefault="00EB2BD8" w:rsidP="00C315ED">
      <w:pPr>
        <w:pStyle w:val="Heading2"/>
      </w:pPr>
      <w:bookmarkStart w:id="220" w:name="_Toc150762522"/>
      <w:r w:rsidRPr="00EB2BD8">
        <w:t>Compliance</w:t>
      </w:r>
      <w:r w:rsidRPr="00EB2BD8">
        <w:rPr>
          <w:spacing w:val="-18"/>
        </w:rPr>
        <w:t xml:space="preserve"> </w:t>
      </w:r>
      <w:r w:rsidRPr="00EB2BD8">
        <w:t>with</w:t>
      </w:r>
      <w:r w:rsidRPr="00EB2BD8">
        <w:rPr>
          <w:spacing w:val="-18"/>
        </w:rPr>
        <w:t xml:space="preserve"> </w:t>
      </w:r>
      <w:r w:rsidRPr="00EB2BD8">
        <w:t>the</w:t>
      </w:r>
      <w:r w:rsidRPr="00EB2BD8">
        <w:rPr>
          <w:spacing w:val="-18"/>
        </w:rPr>
        <w:t xml:space="preserve"> </w:t>
      </w:r>
      <w:r w:rsidRPr="00C315ED">
        <w:rPr>
          <w:i/>
          <w:iCs/>
        </w:rPr>
        <w:t>Disability</w:t>
      </w:r>
      <w:r w:rsidRPr="00C315ED">
        <w:rPr>
          <w:i/>
          <w:iCs/>
          <w:spacing w:val="-21"/>
        </w:rPr>
        <w:t xml:space="preserve"> </w:t>
      </w:r>
      <w:r w:rsidRPr="00C315ED">
        <w:rPr>
          <w:i/>
          <w:iCs/>
        </w:rPr>
        <w:t xml:space="preserve">Act </w:t>
      </w:r>
      <w:r w:rsidRPr="00C315ED">
        <w:rPr>
          <w:i/>
          <w:iCs/>
          <w:spacing w:val="-4"/>
        </w:rPr>
        <w:t>2006</w:t>
      </w:r>
      <w:bookmarkEnd w:id="220"/>
    </w:p>
    <w:p w14:paraId="0AC0D76E" w14:textId="77777777" w:rsidR="00084F36" w:rsidRPr="00EB2BD8" w:rsidRDefault="00EB2BD8">
      <w:pPr>
        <w:pStyle w:val="BodyText"/>
        <w:spacing w:before="224" w:line="261" w:lineRule="auto"/>
        <w:ind w:left="850"/>
      </w:pPr>
      <w:r w:rsidRPr="00EB2BD8">
        <w:t>The</w:t>
      </w:r>
      <w:r w:rsidRPr="00EB2BD8">
        <w:rPr>
          <w:spacing w:val="-15"/>
        </w:rPr>
        <w:t xml:space="preserve"> </w:t>
      </w:r>
      <w:r w:rsidRPr="00EB2BD8">
        <w:t>VBA’s</w:t>
      </w:r>
      <w:r w:rsidRPr="00EB2BD8">
        <w:rPr>
          <w:spacing w:val="-14"/>
        </w:rPr>
        <w:t xml:space="preserve"> </w:t>
      </w:r>
      <w:r w:rsidRPr="00EB2BD8">
        <w:t>responsibility</w:t>
      </w:r>
      <w:r w:rsidRPr="00EB2BD8">
        <w:rPr>
          <w:spacing w:val="-14"/>
        </w:rPr>
        <w:t xml:space="preserve"> </w:t>
      </w:r>
      <w:r w:rsidRPr="00EB2BD8">
        <w:t>to</w:t>
      </w:r>
      <w:r w:rsidRPr="00EB2BD8">
        <w:rPr>
          <w:spacing w:val="-14"/>
        </w:rPr>
        <w:t xml:space="preserve"> </w:t>
      </w:r>
      <w:r w:rsidRPr="00EB2BD8">
        <w:t>support,</w:t>
      </w:r>
      <w:r w:rsidRPr="00EB2BD8">
        <w:rPr>
          <w:spacing w:val="-15"/>
        </w:rPr>
        <w:t xml:space="preserve"> </w:t>
      </w:r>
      <w:r w:rsidRPr="00EB2BD8">
        <w:t>promote</w:t>
      </w:r>
      <w:r w:rsidRPr="00EB2BD8">
        <w:rPr>
          <w:spacing w:val="-14"/>
        </w:rPr>
        <w:t xml:space="preserve"> </w:t>
      </w:r>
      <w:r w:rsidRPr="00EB2BD8">
        <w:t>and</w:t>
      </w:r>
      <w:r w:rsidRPr="00EB2BD8">
        <w:rPr>
          <w:spacing w:val="-14"/>
        </w:rPr>
        <w:t xml:space="preserve"> </w:t>
      </w:r>
      <w:r w:rsidRPr="00EB2BD8">
        <w:t>adjust its workplace to ensure people with a mental, physical or intellectual disability are respected and can do their job effectively and safely has remained a high priority.</w:t>
      </w:r>
    </w:p>
    <w:p w14:paraId="2315414D" w14:textId="77777777" w:rsidR="00084F36" w:rsidRPr="00EB2BD8" w:rsidRDefault="00084F36">
      <w:pPr>
        <w:pStyle w:val="BodyText"/>
        <w:spacing w:before="6"/>
        <w:rPr>
          <w:sz w:val="25"/>
        </w:rPr>
      </w:pPr>
    </w:p>
    <w:p w14:paraId="0176E323" w14:textId="77777777" w:rsidR="00084F36" w:rsidRPr="00EB2BD8" w:rsidRDefault="00EB2BD8" w:rsidP="00C315ED">
      <w:pPr>
        <w:pStyle w:val="Heading2"/>
      </w:pPr>
      <w:bookmarkStart w:id="221" w:name="_Toc150762523"/>
      <w:r w:rsidRPr="00EB2BD8">
        <w:t xml:space="preserve">Reporting </w:t>
      </w:r>
      <w:r w:rsidRPr="00EB2BD8">
        <w:rPr>
          <w:spacing w:val="-2"/>
        </w:rPr>
        <w:t>procedures</w:t>
      </w:r>
      <w:bookmarkEnd w:id="221"/>
    </w:p>
    <w:p w14:paraId="48F45479" w14:textId="77777777" w:rsidR="00084F36" w:rsidRPr="00EB2BD8" w:rsidRDefault="00EB2BD8">
      <w:pPr>
        <w:pStyle w:val="BodyText"/>
        <w:spacing w:before="178" w:line="261" w:lineRule="auto"/>
        <w:ind w:left="850" w:right="75"/>
      </w:pPr>
      <w:r w:rsidRPr="00EB2BD8">
        <w:t>The</w:t>
      </w:r>
      <w:r w:rsidRPr="00EB2BD8">
        <w:rPr>
          <w:spacing w:val="-4"/>
        </w:rPr>
        <w:t xml:space="preserve"> </w:t>
      </w:r>
      <w:r w:rsidRPr="00EB2BD8">
        <w:t>VBA</w:t>
      </w:r>
      <w:r w:rsidRPr="00EB2BD8">
        <w:rPr>
          <w:spacing w:val="-4"/>
        </w:rPr>
        <w:t xml:space="preserve"> </w:t>
      </w:r>
      <w:r w:rsidRPr="00EB2BD8">
        <w:t>continued</w:t>
      </w:r>
      <w:r w:rsidRPr="00EB2BD8">
        <w:rPr>
          <w:spacing w:val="-4"/>
        </w:rPr>
        <w:t xml:space="preserve"> </w:t>
      </w:r>
      <w:r w:rsidRPr="00EB2BD8">
        <w:t>to</w:t>
      </w:r>
      <w:r w:rsidRPr="00EB2BD8">
        <w:rPr>
          <w:spacing w:val="-4"/>
        </w:rPr>
        <w:t xml:space="preserve"> </w:t>
      </w:r>
      <w:r w:rsidRPr="00EB2BD8">
        <w:t>support</w:t>
      </w:r>
      <w:r w:rsidRPr="00EB2BD8">
        <w:rPr>
          <w:spacing w:val="-4"/>
        </w:rPr>
        <w:t xml:space="preserve"> </w:t>
      </w:r>
      <w:r w:rsidRPr="00EB2BD8">
        <w:t>and</w:t>
      </w:r>
      <w:r w:rsidRPr="00EB2BD8">
        <w:rPr>
          <w:spacing w:val="-4"/>
        </w:rPr>
        <w:t xml:space="preserve"> </w:t>
      </w:r>
      <w:r w:rsidRPr="00EB2BD8">
        <w:t>implement</w:t>
      </w:r>
      <w:r w:rsidRPr="00EB2BD8">
        <w:rPr>
          <w:spacing w:val="-4"/>
        </w:rPr>
        <w:t xml:space="preserve"> </w:t>
      </w:r>
      <w:r w:rsidRPr="00EB2BD8">
        <w:t>systems and processes that enable and encourage people with a</w:t>
      </w:r>
      <w:r w:rsidRPr="00EB2BD8">
        <w:rPr>
          <w:spacing w:val="-4"/>
        </w:rPr>
        <w:t xml:space="preserve"> </w:t>
      </w:r>
      <w:r w:rsidRPr="00EB2BD8">
        <w:t>disability</w:t>
      </w:r>
      <w:r w:rsidRPr="00EB2BD8">
        <w:rPr>
          <w:spacing w:val="-4"/>
        </w:rPr>
        <w:t xml:space="preserve"> </w:t>
      </w:r>
      <w:r w:rsidRPr="00EB2BD8">
        <w:t>to</w:t>
      </w:r>
      <w:r w:rsidRPr="00EB2BD8">
        <w:rPr>
          <w:spacing w:val="-4"/>
        </w:rPr>
        <w:t xml:space="preserve"> </w:t>
      </w:r>
      <w:r w:rsidRPr="00EB2BD8">
        <w:t>interact</w:t>
      </w:r>
      <w:r w:rsidRPr="00EB2BD8">
        <w:rPr>
          <w:spacing w:val="-4"/>
        </w:rPr>
        <w:t xml:space="preserve"> </w:t>
      </w:r>
      <w:r w:rsidRPr="00EB2BD8">
        <w:t>with</w:t>
      </w:r>
      <w:r w:rsidRPr="00EB2BD8">
        <w:rPr>
          <w:spacing w:val="-4"/>
        </w:rPr>
        <w:t xml:space="preserve"> </w:t>
      </w:r>
      <w:r w:rsidRPr="00EB2BD8">
        <w:t>the</w:t>
      </w:r>
      <w:r w:rsidRPr="00EB2BD8">
        <w:rPr>
          <w:spacing w:val="-4"/>
        </w:rPr>
        <w:t xml:space="preserve"> </w:t>
      </w:r>
      <w:r w:rsidRPr="00EB2BD8">
        <w:t>regulator,</w:t>
      </w:r>
      <w:r w:rsidRPr="00EB2BD8">
        <w:rPr>
          <w:spacing w:val="-4"/>
        </w:rPr>
        <w:t xml:space="preserve"> </w:t>
      </w:r>
      <w:r w:rsidRPr="00EB2BD8">
        <w:t>whether</w:t>
      </w:r>
      <w:r w:rsidRPr="00EB2BD8">
        <w:rPr>
          <w:spacing w:val="-4"/>
        </w:rPr>
        <w:t xml:space="preserve"> </w:t>
      </w:r>
      <w:r w:rsidRPr="00EB2BD8">
        <w:t>they be building practitioners, consumers or members of the public. Information about VBA services is readily available through accessible information on the VBA website. People with hearing impairments can access</w:t>
      </w:r>
    </w:p>
    <w:p w14:paraId="6059823B" w14:textId="77777777" w:rsidR="00084F36" w:rsidRPr="00EB2BD8" w:rsidRDefault="00EB2BD8">
      <w:pPr>
        <w:pStyle w:val="BodyText"/>
        <w:spacing w:line="261" w:lineRule="auto"/>
        <w:ind w:left="850"/>
      </w:pPr>
      <w:r w:rsidRPr="00EB2BD8">
        <w:t>the</w:t>
      </w:r>
      <w:r w:rsidRPr="00EB2BD8">
        <w:rPr>
          <w:spacing w:val="-3"/>
        </w:rPr>
        <w:t xml:space="preserve"> </w:t>
      </w:r>
      <w:r w:rsidRPr="00EB2BD8">
        <w:t>VBA</w:t>
      </w:r>
      <w:r w:rsidRPr="00EB2BD8">
        <w:rPr>
          <w:spacing w:val="-3"/>
        </w:rPr>
        <w:t xml:space="preserve"> </w:t>
      </w:r>
      <w:r w:rsidRPr="00EB2BD8">
        <w:t>customer</w:t>
      </w:r>
      <w:r w:rsidRPr="00EB2BD8">
        <w:rPr>
          <w:spacing w:val="-3"/>
        </w:rPr>
        <w:t xml:space="preserve"> </w:t>
      </w:r>
      <w:r w:rsidRPr="00EB2BD8">
        <w:t>service</w:t>
      </w:r>
      <w:r w:rsidRPr="00EB2BD8">
        <w:rPr>
          <w:spacing w:val="-3"/>
        </w:rPr>
        <w:t xml:space="preserve"> </w:t>
      </w:r>
      <w:r w:rsidRPr="00EB2BD8">
        <w:t>centre</w:t>
      </w:r>
      <w:r w:rsidRPr="00EB2BD8">
        <w:rPr>
          <w:spacing w:val="-3"/>
        </w:rPr>
        <w:t xml:space="preserve"> </w:t>
      </w:r>
      <w:r w:rsidRPr="00EB2BD8">
        <w:t>through</w:t>
      </w:r>
      <w:r w:rsidRPr="00EB2BD8">
        <w:rPr>
          <w:spacing w:val="-3"/>
        </w:rPr>
        <w:t xml:space="preserve"> </w:t>
      </w:r>
      <w:r w:rsidRPr="00EB2BD8">
        <w:t>teletype</w:t>
      </w:r>
      <w:r w:rsidRPr="00EB2BD8">
        <w:rPr>
          <w:spacing w:val="-3"/>
        </w:rPr>
        <w:t xml:space="preserve"> </w:t>
      </w:r>
      <w:r w:rsidRPr="00EB2BD8">
        <w:t>(TTY) facilities. The VBA also makes reasonable adjustments for building practitioners undertaking assessments.</w:t>
      </w:r>
    </w:p>
    <w:p w14:paraId="64E5FE14" w14:textId="77777777" w:rsidR="00084F36" w:rsidRPr="00EB2BD8" w:rsidRDefault="00084F36">
      <w:pPr>
        <w:pStyle w:val="BodyText"/>
        <w:spacing w:before="11"/>
        <w:rPr>
          <w:sz w:val="24"/>
        </w:rPr>
      </w:pPr>
    </w:p>
    <w:p w14:paraId="66512DA4" w14:textId="77777777" w:rsidR="00084F36" w:rsidRPr="00EB2BD8" w:rsidRDefault="00EB2BD8" w:rsidP="00C315ED">
      <w:pPr>
        <w:pStyle w:val="Heading2"/>
      </w:pPr>
      <w:bookmarkStart w:id="222" w:name="_Toc150762524"/>
      <w:r w:rsidRPr="00EB2BD8">
        <w:t>An</w:t>
      </w:r>
      <w:r w:rsidRPr="00EB2BD8">
        <w:rPr>
          <w:spacing w:val="-7"/>
        </w:rPr>
        <w:t xml:space="preserve"> </w:t>
      </w:r>
      <w:r w:rsidRPr="00EB2BD8">
        <w:t>accessible</w:t>
      </w:r>
      <w:r w:rsidRPr="00EB2BD8">
        <w:rPr>
          <w:spacing w:val="-7"/>
        </w:rPr>
        <w:t xml:space="preserve"> </w:t>
      </w:r>
      <w:r w:rsidRPr="00EB2BD8">
        <w:t>work</w:t>
      </w:r>
      <w:r w:rsidRPr="00EB2BD8">
        <w:rPr>
          <w:spacing w:val="-7"/>
        </w:rPr>
        <w:t xml:space="preserve"> </w:t>
      </w:r>
      <w:r w:rsidRPr="00EB2BD8">
        <w:rPr>
          <w:spacing w:val="-2"/>
        </w:rPr>
        <w:t>environment</w:t>
      </w:r>
      <w:bookmarkEnd w:id="222"/>
    </w:p>
    <w:p w14:paraId="5350C764" w14:textId="77777777" w:rsidR="00084F36" w:rsidRPr="00EB2BD8" w:rsidRDefault="00EB2BD8">
      <w:pPr>
        <w:pStyle w:val="BodyText"/>
        <w:spacing w:before="178" w:line="261" w:lineRule="auto"/>
        <w:ind w:left="850" w:right="231"/>
      </w:pPr>
      <w:r w:rsidRPr="00EB2BD8">
        <w:t xml:space="preserve">The VBA complied with the </w:t>
      </w:r>
      <w:r w:rsidRPr="00EB2BD8">
        <w:rPr>
          <w:i/>
        </w:rPr>
        <w:t xml:space="preserve">Disability Act 2006 </w:t>
      </w:r>
      <w:r w:rsidRPr="00EB2BD8">
        <w:t>during</w:t>
      </w:r>
      <w:r w:rsidRPr="00EB2BD8">
        <w:rPr>
          <w:spacing w:val="-10"/>
        </w:rPr>
        <w:t xml:space="preserve"> </w:t>
      </w:r>
      <w:r w:rsidRPr="00EB2BD8">
        <w:t>the</w:t>
      </w:r>
      <w:r w:rsidRPr="00EB2BD8">
        <w:rPr>
          <w:spacing w:val="-10"/>
        </w:rPr>
        <w:t xml:space="preserve"> </w:t>
      </w:r>
      <w:r w:rsidRPr="00EB2BD8">
        <w:t>entire</w:t>
      </w:r>
      <w:r w:rsidRPr="00EB2BD8">
        <w:rPr>
          <w:spacing w:val="-10"/>
        </w:rPr>
        <w:t xml:space="preserve"> </w:t>
      </w:r>
      <w:r w:rsidRPr="00EB2BD8">
        <w:t>employment</w:t>
      </w:r>
      <w:r w:rsidRPr="00EB2BD8">
        <w:rPr>
          <w:spacing w:val="-10"/>
        </w:rPr>
        <w:t xml:space="preserve"> </w:t>
      </w:r>
      <w:r w:rsidRPr="00EB2BD8">
        <w:t>cycle,</w:t>
      </w:r>
      <w:r w:rsidRPr="00EB2BD8">
        <w:rPr>
          <w:spacing w:val="-10"/>
        </w:rPr>
        <w:t xml:space="preserve"> </w:t>
      </w:r>
      <w:r w:rsidRPr="00EB2BD8">
        <w:t>from</w:t>
      </w:r>
      <w:r w:rsidRPr="00EB2BD8">
        <w:rPr>
          <w:spacing w:val="-10"/>
        </w:rPr>
        <w:t xml:space="preserve"> </w:t>
      </w:r>
      <w:r w:rsidRPr="00EB2BD8">
        <w:t>attraction and recruitment to onboarding and exiting. The</w:t>
      </w:r>
    </w:p>
    <w:p w14:paraId="5CFE26DC" w14:textId="77777777" w:rsidR="00084F36" w:rsidRPr="00EB2BD8" w:rsidRDefault="00EB2BD8">
      <w:pPr>
        <w:pStyle w:val="BodyText"/>
        <w:spacing w:line="261" w:lineRule="auto"/>
        <w:ind w:left="850"/>
      </w:pPr>
      <w:r w:rsidRPr="00EB2BD8">
        <w:t>implementation</w:t>
      </w:r>
      <w:r w:rsidRPr="00EB2BD8">
        <w:rPr>
          <w:spacing w:val="-15"/>
        </w:rPr>
        <w:t xml:space="preserve"> </w:t>
      </w:r>
      <w:r w:rsidRPr="00EB2BD8">
        <w:t>of</w:t>
      </w:r>
      <w:r w:rsidRPr="00EB2BD8">
        <w:rPr>
          <w:spacing w:val="-14"/>
        </w:rPr>
        <w:t xml:space="preserve"> </w:t>
      </w:r>
      <w:r w:rsidRPr="00EB2BD8">
        <w:t>screen</w:t>
      </w:r>
      <w:r w:rsidRPr="00EB2BD8">
        <w:rPr>
          <w:spacing w:val="-14"/>
        </w:rPr>
        <w:t xml:space="preserve"> </w:t>
      </w:r>
      <w:r w:rsidRPr="00EB2BD8">
        <w:t>and</w:t>
      </w:r>
      <w:r w:rsidRPr="00EB2BD8">
        <w:rPr>
          <w:spacing w:val="-14"/>
        </w:rPr>
        <w:t xml:space="preserve"> </w:t>
      </w:r>
      <w:r w:rsidRPr="00EB2BD8">
        <w:t>text</w:t>
      </w:r>
      <w:r w:rsidRPr="00EB2BD8">
        <w:rPr>
          <w:spacing w:val="-15"/>
        </w:rPr>
        <w:t xml:space="preserve"> </w:t>
      </w:r>
      <w:r w:rsidRPr="00EB2BD8">
        <w:t>size</w:t>
      </w:r>
      <w:r w:rsidRPr="00EB2BD8">
        <w:rPr>
          <w:spacing w:val="-14"/>
        </w:rPr>
        <w:t xml:space="preserve"> </w:t>
      </w:r>
      <w:r w:rsidRPr="00EB2BD8">
        <w:t>requirements, availability of ergonomic equipment and accessible facilities form part of these provisions.</w:t>
      </w:r>
    </w:p>
    <w:p w14:paraId="1D25B677" w14:textId="77777777" w:rsidR="00084F36" w:rsidRPr="00EB2BD8" w:rsidRDefault="00084F36">
      <w:pPr>
        <w:pStyle w:val="BodyText"/>
        <w:spacing w:before="4"/>
        <w:rPr>
          <w:sz w:val="25"/>
        </w:rPr>
      </w:pPr>
    </w:p>
    <w:p w14:paraId="4AD5C653" w14:textId="77777777" w:rsidR="00084F36" w:rsidRPr="00EB2BD8" w:rsidRDefault="00EB2BD8" w:rsidP="00C315ED">
      <w:pPr>
        <w:pStyle w:val="Heading2"/>
      </w:pPr>
      <w:bookmarkStart w:id="223" w:name="_Toc150762525"/>
      <w:r w:rsidRPr="00EB2BD8">
        <w:t>Providing</w:t>
      </w:r>
      <w:r w:rsidRPr="00EB2BD8">
        <w:rPr>
          <w:spacing w:val="12"/>
        </w:rPr>
        <w:t xml:space="preserve"> </w:t>
      </w:r>
      <w:r w:rsidRPr="00EB2BD8">
        <w:t>accessible</w:t>
      </w:r>
      <w:r w:rsidRPr="00EB2BD8">
        <w:rPr>
          <w:spacing w:val="13"/>
        </w:rPr>
        <w:t xml:space="preserve"> </w:t>
      </w:r>
      <w:r w:rsidRPr="00EB2BD8">
        <w:rPr>
          <w:spacing w:val="-2"/>
        </w:rPr>
        <w:t>information</w:t>
      </w:r>
      <w:bookmarkEnd w:id="223"/>
    </w:p>
    <w:p w14:paraId="062648DB" w14:textId="77777777" w:rsidR="00084F36" w:rsidRPr="00EB2BD8" w:rsidRDefault="00EB2BD8">
      <w:pPr>
        <w:pStyle w:val="BodyText"/>
        <w:spacing w:before="178" w:line="261" w:lineRule="auto"/>
        <w:ind w:left="850" w:right="70"/>
      </w:pPr>
      <w:r w:rsidRPr="00EB2BD8">
        <w:t>The VBA website remains the primary portal for conveying</w:t>
      </w:r>
      <w:r w:rsidRPr="00EB2BD8">
        <w:rPr>
          <w:spacing w:val="-9"/>
        </w:rPr>
        <w:t xml:space="preserve"> </w:t>
      </w:r>
      <w:r w:rsidRPr="00EB2BD8">
        <w:t>information</w:t>
      </w:r>
      <w:r w:rsidRPr="00EB2BD8">
        <w:rPr>
          <w:spacing w:val="-9"/>
        </w:rPr>
        <w:t xml:space="preserve"> </w:t>
      </w:r>
      <w:r w:rsidRPr="00EB2BD8">
        <w:t>to</w:t>
      </w:r>
      <w:r w:rsidRPr="00EB2BD8">
        <w:rPr>
          <w:spacing w:val="-9"/>
        </w:rPr>
        <w:t xml:space="preserve"> </w:t>
      </w:r>
      <w:r w:rsidRPr="00EB2BD8">
        <w:t>practitioners,</w:t>
      </w:r>
      <w:r w:rsidRPr="00EB2BD8">
        <w:rPr>
          <w:spacing w:val="-9"/>
        </w:rPr>
        <w:t xml:space="preserve"> </w:t>
      </w:r>
      <w:r w:rsidRPr="00EB2BD8">
        <w:t>consumers</w:t>
      </w:r>
      <w:r w:rsidRPr="00EB2BD8">
        <w:rPr>
          <w:spacing w:val="-9"/>
        </w:rPr>
        <w:t xml:space="preserve"> </w:t>
      </w:r>
      <w:r w:rsidRPr="00EB2BD8">
        <w:t>and members of the public. Through it, the VBA provides clear and accessible information that is available at</w:t>
      </w:r>
      <w:r w:rsidRPr="00EB2BD8">
        <w:rPr>
          <w:spacing w:val="40"/>
        </w:rPr>
        <w:t xml:space="preserve"> </w:t>
      </w:r>
      <w:r w:rsidRPr="00EB2BD8">
        <w:t>any</w:t>
      </w:r>
      <w:r w:rsidRPr="00EB2BD8">
        <w:rPr>
          <w:spacing w:val="-6"/>
        </w:rPr>
        <w:t xml:space="preserve"> </w:t>
      </w:r>
      <w:r w:rsidRPr="00EB2BD8">
        <w:t>time.</w:t>
      </w:r>
    </w:p>
    <w:p w14:paraId="05C59FDA" w14:textId="77777777" w:rsidR="00084F36" w:rsidRPr="00EB2BD8" w:rsidRDefault="00EB2BD8">
      <w:pPr>
        <w:pStyle w:val="BodyText"/>
        <w:spacing w:before="108" w:line="261" w:lineRule="auto"/>
        <w:ind w:left="850" w:right="231"/>
      </w:pPr>
      <w:r w:rsidRPr="00EB2BD8">
        <w:t>Governing</w:t>
      </w:r>
      <w:r w:rsidRPr="00EB2BD8">
        <w:rPr>
          <w:spacing w:val="-2"/>
        </w:rPr>
        <w:t xml:space="preserve"> </w:t>
      </w:r>
      <w:r w:rsidRPr="00EB2BD8">
        <w:t>the</w:t>
      </w:r>
      <w:r w:rsidRPr="00EB2BD8">
        <w:rPr>
          <w:spacing w:val="-2"/>
        </w:rPr>
        <w:t xml:space="preserve"> </w:t>
      </w:r>
      <w:r w:rsidRPr="00EB2BD8">
        <w:t>expectation</w:t>
      </w:r>
      <w:r w:rsidRPr="00EB2BD8">
        <w:rPr>
          <w:spacing w:val="-2"/>
        </w:rPr>
        <w:t xml:space="preserve"> </w:t>
      </w:r>
      <w:r w:rsidRPr="00EB2BD8">
        <w:t>of</w:t>
      </w:r>
      <w:r w:rsidRPr="00EB2BD8">
        <w:rPr>
          <w:spacing w:val="-2"/>
        </w:rPr>
        <w:t xml:space="preserve"> </w:t>
      </w:r>
      <w:r w:rsidRPr="00EB2BD8">
        <w:t>accessible</w:t>
      </w:r>
      <w:r w:rsidRPr="00EB2BD8">
        <w:rPr>
          <w:spacing w:val="-2"/>
        </w:rPr>
        <w:t xml:space="preserve"> </w:t>
      </w:r>
      <w:r w:rsidRPr="00EB2BD8">
        <w:t>web</w:t>
      </w:r>
      <w:r w:rsidRPr="00EB2BD8">
        <w:rPr>
          <w:spacing w:val="-2"/>
        </w:rPr>
        <w:t xml:space="preserve"> </w:t>
      </w:r>
      <w:r w:rsidRPr="00EB2BD8">
        <w:t>design is the VBA’s compliance with W3C’s Web Content Accessibility Guidelines 2.0 at Level AA. The VBA’s</w:t>
      </w:r>
    </w:p>
    <w:p w14:paraId="09921AB5" w14:textId="77777777" w:rsidR="00084F36" w:rsidRPr="00EB2BD8" w:rsidRDefault="00EB2BD8">
      <w:pPr>
        <w:pStyle w:val="BodyText"/>
        <w:spacing w:line="261" w:lineRule="auto"/>
        <w:ind w:left="850"/>
      </w:pPr>
      <w:r w:rsidRPr="00EB2BD8">
        <w:t>practice</w:t>
      </w:r>
      <w:r w:rsidRPr="00EB2BD8">
        <w:rPr>
          <w:spacing w:val="-5"/>
        </w:rPr>
        <w:t xml:space="preserve"> </w:t>
      </w:r>
      <w:r w:rsidRPr="00EB2BD8">
        <w:t>also</w:t>
      </w:r>
      <w:r w:rsidRPr="00EB2BD8">
        <w:rPr>
          <w:spacing w:val="-5"/>
        </w:rPr>
        <w:t xml:space="preserve"> </w:t>
      </w:r>
      <w:r w:rsidRPr="00EB2BD8">
        <w:t>complies</w:t>
      </w:r>
      <w:r w:rsidRPr="00EB2BD8">
        <w:rPr>
          <w:spacing w:val="-5"/>
        </w:rPr>
        <w:t xml:space="preserve"> </w:t>
      </w:r>
      <w:r w:rsidRPr="00EB2BD8">
        <w:t>with</w:t>
      </w:r>
      <w:r w:rsidRPr="00EB2BD8">
        <w:rPr>
          <w:spacing w:val="-5"/>
        </w:rPr>
        <w:t xml:space="preserve"> </w:t>
      </w:r>
      <w:r w:rsidRPr="00EB2BD8">
        <w:t>the</w:t>
      </w:r>
      <w:r w:rsidRPr="00EB2BD8">
        <w:rPr>
          <w:spacing w:val="-5"/>
        </w:rPr>
        <w:t xml:space="preserve"> </w:t>
      </w:r>
      <w:r w:rsidRPr="00EB2BD8">
        <w:t>Victorian</w:t>
      </w:r>
      <w:r w:rsidRPr="00EB2BD8">
        <w:rPr>
          <w:spacing w:val="-5"/>
        </w:rPr>
        <w:t xml:space="preserve"> </w:t>
      </w:r>
      <w:r w:rsidRPr="00EB2BD8">
        <w:t>Government’s accessibility</w:t>
      </w:r>
      <w:r w:rsidRPr="00EB2BD8">
        <w:rPr>
          <w:spacing w:val="-6"/>
        </w:rPr>
        <w:t xml:space="preserve"> </w:t>
      </w:r>
      <w:r w:rsidRPr="00EB2BD8">
        <w:t>standard.</w:t>
      </w:r>
    </w:p>
    <w:p w14:paraId="4517412F" w14:textId="77777777" w:rsidR="00084F36" w:rsidRPr="00EB2BD8" w:rsidRDefault="00EB2BD8">
      <w:pPr>
        <w:pStyle w:val="BodyText"/>
        <w:spacing w:before="108" w:line="261" w:lineRule="auto"/>
        <w:ind w:left="850" w:right="209"/>
      </w:pPr>
      <w:r w:rsidRPr="00EB2BD8">
        <w:t>The</w:t>
      </w:r>
      <w:r w:rsidRPr="00EB2BD8">
        <w:rPr>
          <w:spacing w:val="-1"/>
        </w:rPr>
        <w:t xml:space="preserve"> </w:t>
      </w:r>
      <w:r w:rsidRPr="00EB2BD8">
        <w:t>website</w:t>
      </w:r>
      <w:r w:rsidRPr="00EB2BD8">
        <w:rPr>
          <w:spacing w:val="-1"/>
        </w:rPr>
        <w:t xml:space="preserve"> </w:t>
      </w:r>
      <w:r w:rsidRPr="00EB2BD8">
        <w:t>features</w:t>
      </w:r>
      <w:r w:rsidRPr="00EB2BD8">
        <w:rPr>
          <w:spacing w:val="-1"/>
        </w:rPr>
        <w:t xml:space="preserve"> </w:t>
      </w:r>
      <w:r w:rsidRPr="00EB2BD8">
        <w:t>information</w:t>
      </w:r>
      <w:r w:rsidRPr="00EB2BD8">
        <w:rPr>
          <w:spacing w:val="-1"/>
        </w:rPr>
        <w:t xml:space="preserve"> </w:t>
      </w:r>
      <w:r w:rsidRPr="00EB2BD8">
        <w:t>on</w:t>
      </w:r>
      <w:r w:rsidRPr="00EB2BD8">
        <w:rPr>
          <w:spacing w:val="-1"/>
        </w:rPr>
        <w:t xml:space="preserve"> </w:t>
      </w:r>
      <w:r w:rsidRPr="00EB2BD8">
        <w:t>how</w:t>
      </w:r>
      <w:r w:rsidRPr="00EB2BD8">
        <w:rPr>
          <w:spacing w:val="-1"/>
        </w:rPr>
        <w:t xml:space="preserve"> </w:t>
      </w:r>
      <w:r w:rsidRPr="00EB2BD8">
        <w:t>callers</w:t>
      </w:r>
      <w:r w:rsidRPr="00EB2BD8">
        <w:rPr>
          <w:spacing w:val="-1"/>
        </w:rPr>
        <w:t xml:space="preserve"> </w:t>
      </w:r>
      <w:r w:rsidRPr="00EB2BD8">
        <w:t>may contact the VBA using the National Relay Services</w:t>
      </w:r>
      <w:r w:rsidRPr="00EB2BD8">
        <w:rPr>
          <w:spacing w:val="40"/>
        </w:rPr>
        <w:t xml:space="preserve"> </w:t>
      </w:r>
      <w:r w:rsidRPr="00EB2BD8">
        <w:t>and</w:t>
      </w:r>
      <w:r w:rsidRPr="00EB2BD8">
        <w:rPr>
          <w:spacing w:val="-6"/>
        </w:rPr>
        <w:t xml:space="preserve"> </w:t>
      </w:r>
      <w:r w:rsidRPr="00EB2BD8">
        <w:t>TTY</w:t>
      </w:r>
      <w:r w:rsidRPr="00EB2BD8">
        <w:rPr>
          <w:spacing w:val="-6"/>
        </w:rPr>
        <w:t xml:space="preserve"> </w:t>
      </w:r>
      <w:r w:rsidRPr="00EB2BD8">
        <w:t>support</w:t>
      </w:r>
      <w:r w:rsidRPr="00EB2BD8">
        <w:rPr>
          <w:spacing w:val="-6"/>
        </w:rPr>
        <w:t xml:space="preserve"> </w:t>
      </w:r>
      <w:r w:rsidRPr="00EB2BD8">
        <w:t>services</w:t>
      </w:r>
      <w:r w:rsidRPr="00EB2BD8">
        <w:rPr>
          <w:spacing w:val="-6"/>
        </w:rPr>
        <w:t xml:space="preserve"> </w:t>
      </w:r>
      <w:r w:rsidRPr="00EB2BD8">
        <w:t>if</w:t>
      </w:r>
      <w:r w:rsidRPr="00EB2BD8">
        <w:rPr>
          <w:spacing w:val="-6"/>
        </w:rPr>
        <w:t xml:space="preserve"> </w:t>
      </w:r>
      <w:r w:rsidRPr="00EB2BD8">
        <w:t>they</w:t>
      </w:r>
      <w:r w:rsidRPr="00EB2BD8">
        <w:rPr>
          <w:spacing w:val="-6"/>
        </w:rPr>
        <w:t xml:space="preserve"> </w:t>
      </w:r>
      <w:r w:rsidRPr="00EB2BD8">
        <w:t>are</w:t>
      </w:r>
      <w:r w:rsidRPr="00EB2BD8">
        <w:rPr>
          <w:spacing w:val="-6"/>
        </w:rPr>
        <w:t xml:space="preserve"> </w:t>
      </w:r>
      <w:r w:rsidRPr="00EB2BD8">
        <w:t>vision</w:t>
      </w:r>
      <w:r w:rsidRPr="00EB2BD8">
        <w:rPr>
          <w:spacing w:val="-6"/>
        </w:rPr>
        <w:t xml:space="preserve"> </w:t>
      </w:r>
      <w:r w:rsidRPr="00EB2BD8">
        <w:t>or</w:t>
      </w:r>
      <w:r w:rsidRPr="00EB2BD8">
        <w:rPr>
          <w:spacing w:val="-6"/>
        </w:rPr>
        <w:t xml:space="preserve"> </w:t>
      </w:r>
      <w:r w:rsidRPr="00EB2BD8">
        <w:t xml:space="preserve">hearing </w:t>
      </w:r>
      <w:r w:rsidRPr="00EB2BD8">
        <w:rPr>
          <w:spacing w:val="-2"/>
        </w:rPr>
        <w:t>impaired.</w:t>
      </w:r>
    </w:p>
    <w:p w14:paraId="282C8117" w14:textId="77777777" w:rsidR="00084F36" w:rsidRPr="00EB2BD8" w:rsidRDefault="00084F36">
      <w:pPr>
        <w:pStyle w:val="BodyText"/>
        <w:spacing w:before="6"/>
        <w:rPr>
          <w:sz w:val="25"/>
        </w:rPr>
      </w:pPr>
    </w:p>
    <w:p w14:paraId="55033F83" w14:textId="77777777" w:rsidR="00C315ED" w:rsidRDefault="00EB2BD8">
      <w:pPr>
        <w:spacing w:before="117" w:line="218" w:lineRule="auto"/>
        <w:ind w:left="427" w:right="273"/>
      </w:pPr>
      <w:r w:rsidRPr="00EB2BD8">
        <w:br w:type="column"/>
      </w:r>
    </w:p>
    <w:p w14:paraId="5A794BFB" w14:textId="25A6EE59" w:rsidR="00C315ED" w:rsidRPr="00EB2BD8" w:rsidRDefault="00C315ED" w:rsidP="00C315ED">
      <w:pPr>
        <w:pStyle w:val="Heading2"/>
        <w:ind w:left="0"/>
      </w:pPr>
      <w:r>
        <w:t xml:space="preserve">    </w:t>
      </w:r>
      <w:bookmarkStart w:id="224" w:name="_Toc150762526"/>
      <w:r w:rsidRPr="00EB2BD8">
        <w:t>An</w:t>
      </w:r>
      <w:r w:rsidRPr="00EB2BD8">
        <w:rPr>
          <w:spacing w:val="-9"/>
        </w:rPr>
        <w:t xml:space="preserve"> </w:t>
      </w:r>
      <w:r w:rsidRPr="00EB2BD8">
        <w:t>equal</w:t>
      </w:r>
      <w:r w:rsidRPr="00EB2BD8">
        <w:rPr>
          <w:spacing w:val="-9"/>
        </w:rPr>
        <w:t xml:space="preserve"> </w:t>
      </w:r>
      <w:r w:rsidRPr="00EB2BD8">
        <w:t>exam</w:t>
      </w:r>
      <w:r w:rsidRPr="00EB2BD8">
        <w:rPr>
          <w:spacing w:val="-9"/>
        </w:rPr>
        <w:t xml:space="preserve"> </w:t>
      </w:r>
      <w:r w:rsidRPr="00EB2BD8">
        <w:rPr>
          <w:spacing w:val="-2"/>
        </w:rPr>
        <w:t>setting</w:t>
      </w:r>
      <w:bookmarkEnd w:id="224"/>
    </w:p>
    <w:p w14:paraId="7A64B977" w14:textId="38E62894" w:rsidR="00C315ED" w:rsidRPr="00EB2BD8" w:rsidRDefault="00C315ED" w:rsidP="00C315ED">
      <w:pPr>
        <w:pStyle w:val="BodyText"/>
        <w:spacing w:before="178" w:line="261" w:lineRule="auto"/>
        <w:ind w:left="427"/>
      </w:pPr>
      <w:r w:rsidRPr="00EB2BD8">
        <w:t>Enhancing</w:t>
      </w:r>
      <w:r w:rsidRPr="00EB2BD8">
        <w:rPr>
          <w:spacing w:val="-4"/>
        </w:rPr>
        <w:t xml:space="preserve"> </w:t>
      </w:r>
      <w:r w:rsidRPr="00EB2BD8">
        <w:t>the</w:t>
      </w:r>
      <w:r w:rsidRPr="00EB2BD8">
        <w:rPr>
          <w:spacing w:val="-4"/>
        </w:rPr>
        <w:t xml:space="preserve"> </w:t>
      </w:r>
      <w:r w:rsidRPr="00EB2BD8">
        <w:t>processional</w:t>
      </w:r>
      <w:r w:rsidRPr="00EB2BD8">
        <w:rPr>
          <w:spacing w:val="-4"/>
        </w:rPr>
        <w:t xml:space="preserve"> </w:t>
      </w:r>
      <w:r w:rsidRPr="00EB2BD8">
        <w:t>development</w:t>
      </w:r>
      <w:r w:rsidRPr="00EB2BD8">
        <w:rPr>
          <w:spacing w:val="-4"/>
        </w:rPr>
        <w:t xml:space="preserve"> </w:t>
      </w:r>
      <w:r w:rsidRPr="00EB2BD8">
        <w:t>of</w:t>
      </w:r>
      <w:r w:rsidRPr="00EB2BD8">
        <w:rPr>
          <w:spacing w:val="-4"/>
        </w:rPr>
        <w:t xml:space="preserve"> </w:t>
      </w:r>
      <w:r w:rsidRPr="00EB2BD8">
        <w:t xml:space="preserve">Victoria’s </w:t>
      </w:r>
      <w:r>
        <w:br/>
      </w:r>
      <w:r w:rsidRPr="00EB2BD8">
        <w:t xml:space="preserve">building practitioners is integral to the VBA’s operations. </w:t>
      </w:r>
      <w:r>
        <w:br/>
      </w:r>
      <w:r w:rsidRPr="00EB2BD8">
        <w:t>The VBA ensures reasonable adjustments are available to meet practitioners’ needs, including during exam processes.</w:t>
      </w:r>
    </w:p>
    <w:p w14:paraId="2B5DA6EA" w14:textId="77777777" w:rsidR="00C315ED" w:rsidRDefault="00C315ED" w:rsidP="00C315ED">
      <w:pPr>
        <w:pStyle w:val="Heading2"/>
        <w:ind w:left="0"/>
      </w:pPr>
    </w:p>
    <w:p w14:paraId="4C2122F1" w14:textId="3173324E" w:rsidR="00084F36" w:rsidRPr="00EB2BD8" w:rsidRDefault="00EB2BD8" w:rsidP="00C315ED">
      <w:pPr>
        <w:pStyle w:val="Heading2"/>
        <w:ind w:left="427"/>
      </w:pPr>
      <w:bookmarkStart w:id="225" w:name="_Toc150762527"/>
      <w:r w:rsidRPr="00EB2BD8">
        <w:t>Compliance</w:t>
      </w:r>
      <w:r w:rsidRPr="00EB2BD8">
        <w:rPr>
          <w:spacing w:val="-22"/>
        </w:rPr>
        <w:t xml:space="preserve"> </w:t>
      </w:r>
      <w:r w:rsidRPr="00EB2BD8">
        <w:t>with</w:t>
      </w:r>
      <w:r w:rsidRPr="00EB2BD8">
        <w:rPr>
          <w:spacing w:val="-22"/>
        </w:rPr>
        <w:t xml:space="preserve"> </w:t>
      </w:r>
      <w:r w:rsidRPr="00EB2BD8">
        <w:t>the</w:t>
      </w:r>
      <w:r w:rsidRPr="00EB2BD8">
        <w:rPr>
          <w:spacing w:val="-22"/>
        </w:rPr>
        <w:t xml:space="preserve"> </w:t>
      </w:r>
      <w:r w:rsidRPr="00C315ED">
        <w:rPr>
          <w:i/>
          <w:iCs/>
        </w:rPr>
        <w:t>Carers Recognition</w:t>
      </w:r>
      <w:r w:rsidRPr="00C315ED">
        <w:rPr>
          <w:i/>
          <w:iCs/>
          <w:spacing w:val="-25"/>
        </w:rPr>
        <w:t xml:space="preserve"> </w:t>
      </w:r>
      <w:r w:rsidRPr="00C315ED">
        <w:rPr>
          <w:i/>
          <w:iCs/>
        </w:rPr>
        <w:t>Act</w:t>
      </w:r>
      <w:r w:rsidRPr="00C315ED">
        <w:rPr>
          <w:i/>
          <w:iCs/>
          <w:spacing w:val="-25"/>
        </w:rPr>
        <w:t xml:space="preserve"> </w:t>
      </w:r>
      <w:r w:rsidRPr="00C315ED">
        <w:rPr>
          <w:i/>
          <w:iCs/>
        </w:rPr>
        <w:t>2012</w:t>
      </w:r>
      <w:bookmarkEnd w:id="225"/>
    </w:p>
    <w:p w14:paraId="2E4643C1" w14:textId="77777777" w:rsidR="00084F36" w:rsidRPr="00EB2BD8" w:rsidRDefault="00EB2BD8">
      <w:pPr>
        <w:pStyle w:val="BodyText"/>
        <w:spacing w:before="214" w:line="261" w:lineRule="auto"/>
        <w:ind w:left="427" w:right="832"/>
      </w:pPr>
      <w:r w:rsidRPr="00EB2BD8">
        <w:t>The</w:t>
      </w:r>
      <w:r w:rsidRPr="00EB2BD8">
        <w:rPr>
          <w:spacing w:val="-5"/>
        </w:rPr>
        <w:t xml:space="preserve"> </w:t>
      </w:r>
      <w:r w:rsidRPr="00EB2BD8">
        <w:t>VBA</w:t>
      </w:r>
      <w:r w:rsidRPr="00EB2BD8">
        <w:rPr>
          <w:spacing w:val="-5"/>
        </w:rPr>
        <w:t xml:space="preserve"> </w:t>
      </w:r>
      <w:r w:rsidRPr="00EB2BD8">
        <w:t>recognises</w:t>
      </w:r>
      <w:r w:rsidRPr="00EB2BD8">
        <w:rPr>
          <w:spacing w:val="-5"/>
        </w:rPr>
        <w:t xml:space="preserve"> </w:t>
      </w:r>
      <w:r w:rsidRPr="00EB2BD8">
        <w:t>the</w:t>
      </w:r>
      <w:r w:rsidRPr="00EB2BD8">
        <w:rPr>
          <w:spacing w:val="-5"/>
        </w:rPr>
        <w:t xml:space="preserve"> </w:t>
      </w:r>
      <w:r w:rsidRPr="00EB2BD8">
        <w:t>role</w:t>
      </w:r>
      <w:r w:rsidRPr="00EB2BD8">
        <w:rPr>
          <w:spacing w:val="-5"/>
        </w:rPr>
        <w:t xml:space="preserve"> </w:t>
      </w:r>
      <w:r w:rsidRPr="00EB2BD8">
        <w:t>that</w:t>
      </w:r>
      <w:r w:rsidRPr="00EB2BD8">
        <w:rPr>
          <w:spacing w:val="-5"/>
        </w:rPr>
        <w:t xml:space="preserve"> </w:t>
      </w:r>
      <w:r w:rsidRPr="00EB2BD8">
        <w:t>many</w:t>
      </w:r>
      <w:r w:rsidRPr="00EB2BD8">
        <w:rPr>
          <w:spacing w:val="-5"/>
        </w:rPr>
        <w:t xml:space="preserve"> </w:t>
      </w:r>
      <w:r w:rsidRPr="00EB2BD8">
        <w:t>of</w:t>
      </w:r>
      <w:r w:rsidRPr="00EB2BD8">
        <w:rPr>
          <w:spacing w:val="-5"/>
        </w:rPr>
        <w:t xml:space="preserve"> </w:t>
      </w:r>
      <w:r w:rsidRPr="00EB2BD8">
        <w:t>our</w:t>
      </w:r>
      <w:r w:rsidRPr="00EB2BD8">
        <w:rPr>
          <w:spacing w:val="-5"/>
        </w:rPr>
        <w:t xml:space="preserve"> </w:t>
      </w:r>
      <w:r w:rsidRPr="00EB2BD8">
        <w:t>staff</w:t>
      </w:r>
      <w:r w:rsidRPr="00EB2BD8">
        <w:rPr>
          <w:spacing w:val="-5"/>
        </w:rPr>
        <w:t xml:space="preserve"> </w:t>
      </w:r>
      <w:r w:rsidRPr="00EB2BD8">
        <w:t>have as carers and supports them to balance their work</w:t>
      </w:r>
    </w:p>
    <w:p w14:paraId="58A21289" w14:textId="77777777" w:rsidR="00084F36" w:rsidRPr="00EB2BD8" w:rsidRDefault="00EB2BD8">
      <w:pPr>
        <w:pStyle w:val="BodyText"/>
        <w:spacing w:line="261" w:lineRule="auto"/>
        <w:ind w:left="427" w:right="832"/>
      </w:pPr>
      <w:r w:rsidRPr="00EB2BD8">
        <w:t>and care responsibilities. This includes staff that care for</w:t>
      </w:r>
      <w:r w:rsidRPr="00EB2BD8">
        <w:rPr>
          <w:spacing w:val="-15"/>
        </w:rPr>
        <w:t xml:space="preserve"> </w:t>
      </w:r>
      <w:r w:rsidRPr="00EB2BD8">
        <w:t>and</w:t>
      </w:r>
      <w:r w:rsidRPr="00EB2BD8">
        <w:rPr>
          <w:spacing w:val="-14"/>
        </w:rPr>
        <w:t xml:space="preserve"> </w:t>
      </w:r>
      <w:r w:rsidRPr="00EB2BD8">
        <w:t>support</w:t>
      </w:r>
      <w:r w:rsidRPr="00EB2BD8">
        <w:rPr>
          <w:spacing w:val="-14"/>
        </w:rPr>
        <w:t xml:space="preserve"> </w:t>
      </w:r>
      <w:r w:rsidRPr="00EB2BD8">
        <w:t>people</w:t>
      </w:r>
      <w:r w:rsidRPr="00EB2BD8">
        <w:rPr>
          <w:spacing w:val="-14"/>
        </w:rPr>
        <w:t xml:space="preserve"> </w:t>
      </w:r>
      <w:r w:rsidRPr="00EB2BD8">
        <w:t>with</w:t>
      </w:r>
      <w:r w:rsidRPr="00EB2BD8">
        <w:rPr>
          <w:spacing w:val="-15"/>
        </w:rPr>
        <w:t xml:space="preserve"> </w:t>
      </w:r>
      <w:r w:rsidRPr="00EB2BD8">
        <w:t>a</w:t>
      </w:r>
      <w:r w:rsidRPr="00EB2BD8">
        <w:rPr>
          <w:spacing w:val="-14"/>
        </w:rPr>
        <w:t xml:space="preserve"> </w:t>
      </w:r>
      <w:r w:rsidRPr="00EB2BD8">
        <w:t>mental</w:t>
      </w:r>
      <w:r w:rsidRPr="00EB2BD8">
        <w:rPr>
          <w:spacing w:val="-14"/>
        </w:rPr>
        <w:t xml:space="preserve"> </w:t>
      </w:r>
      <w:r w:rsidRPr="00EB2BD8">
        <w:t>illness,</w:t>
      </w:r>
      <w:r w:rsidRPr="00EB2BD8">
        <w:rPr>
          <w:spacing w:val="-14"/>
        </w:rPr>
        <w:t xml:space="preserve"> </w:t>
      </w:r>
      <w:r w:rsidRPr="00EB2BD8">
        <w:t>disability, chronic illness or complex care needs as well as older people</w:t>
      </w:r>
      <w:r w:rsidRPr="00EB2BD8">
        <w:rPr>
          <w:spacing w:val="-8"/>
        </w:rPr>
        <w:t xml:space="preserve"> </w:t>
      </w:r>
      <w:r w:rsidRPr="00EB2BD8">
        <w:t>with</w:t>
      </w:r>
      <w:r w:rsidRPr="00EB2BD8">
        <w:rPr>
          <w:spacing w:val="-8"/>
        </w:rPr>
        <w:t xml:space="preserve"> </w:t>
      </w:r>
      <w:r w:rsidRPr="00EB2BD8">
        <w:t>specific</w:t>
      </w:r>
      <w:r w:rsidRPr="00EB2BD8">
        <w:rPr>
          <w:spacing w:val="-8"/>
        </w:rPr>
        <w:t xml:space="preserve"> </w:t>
      </w:r>
      <w:r w:rsidRPr="00EB2BD8">
        <w:t>needs,</w:t>
      </w:r>
      <w:r w:rsidRPr="00EB2BD8">
        <w:rPr>
          <w:spacing w:val="-8"/>
        </w:rPr>
        <w:t xml:space="preserve"> </w:t>
      </w:r>
      <w:r w:rsidRPr="00EB2BD8">
        <w:t>children</w:t>
      </w:r>
      <w:r w:rsidRPr="00EB2BD8">
        <w:rPr>
          <w:spacing w:val="-8"/>
        </w:rPr>
        <w:t xml:space="preserve"> </w:t>
      </w:r>
      <w:r w:rsidRPr="00EB2BD8">
        <w:t>and</w:t>
      </w:r>
      <w:r w:rsidRPr="00EB2BD8">
        <w:rPr>
          <w:spacing w:val="-8"/>
        </w:rPr>
        <w:t xml:space="preserve"> </w:t>
      </w:r>
      <w:r w:rsidRPr="00EB2BD8">
        <w:t>young</w:t>
      </w:r>
      <w:r w:rsidRPr="00EB2BD8">
        <w:rPr>
          <w:spacing w:val="-8"/>
        </w:rPr>
        <w:t xml:space="preserve"> </w:t>
      </w:r>
      <w:r w:rsidRPr="00EB2BD8">
        <w:t>people with additional care needs, and people who have terminal</w:t>
      </w:r>
      <w:r w:rsidRPr="00EB2BD8">
        <w:rPr>
          <w:spacing w:val="-6"/>
        </w:rPr>
        <w:t xml:space="preserve"> </w:t>
      </w:r>
      <w:r w:rsidRPr="00EB2BD8">
        <w:t>illness.</w:t>
      </w:r>
    </w:p>
    <w:p w14:paraId="5CAE004A" w14:textId="77777777" w:rsidR="00084F36" w:rsidRPr="00EB2BD8" w:rsidRDefault="00EB2BD8">
      <w:pPr>
        <w:pStyle w:val="BodyText"/>
        <w:spacing w:before="161" w:line="261" w:lineRule="auto"/>
        <w:ind w:left="427" w:right="1001"/>
      </w:pPr>
      <w:r w:rsidRPr="00EB2BD8">
        <w:t>The VBA has taken practical measures to comply with its</w:t>
      </w:r>
      <w:r w:rsidRPr="00EB2BD8">
        <w:rPr>
          <w:spacing w:val="-11"/>
        </w:rPr>
        <w:t xml:space="preserve"> </w:t>
      </w:r>
      <w:r w:rsidRPr="00EB2BD8">
        <w:t>obligations</w:t>
      </w:r>
      <w:r w:rsidRPr="00EB2BD8">
        <w:rPr>
          <w:spacing w:val="-11"/>
        </w:rPr>
        <w:t xml:space="preserve"> </w:t>
      </w:r>
      <w:r w:rsidRPr="00EB2BD8">
        <w:t>under</w:t>
      </w:r>
      <w:r w:rsidRPr="00EB2BD8">
        <w:rPr>
          <w:spacing w:val="-11"/>
        </w:rPr>
        <w:t xml:space="preserve"> </w:t>
      </w:r>
      <w:r w:rsidRPr="00EB2BD8">
        <w:t>the</w:t>
      </w:r>
      <w:r w:rsidRPr="00EB2BD8">
        <w:rPr>
          <w:spacing w:val="-11"/>
        </w:rPr>
        <w:t xml:space="preserve"> </w:t>
      </w:r>
      <w:r w:rsidRPr="00EB2BD8">
        <w:rPr>
          <w:i/>
        </w:rPr>
        <w:t>Carers</w:t>
      </w:r>
      <w:r w:rsidRPr="00EB2BD8">
        <w:rPr>
          <w:i/>
          <w:spacing w:val="-11"/>
        </w:rPr>
        <w:t xml:space="preserve"> </w:t>
      </w:r>
      <w:r w:rsidRPr="00EB2BD8">
        <w:rPr>
          <w:i/>
        </w:rPr>
        <w:t>Recognition</w:t>
      </w:r>
      <w:r w:rsidRPr="00EB2BD8">
        <w:rPr>
          <w:i/>
          <w:spacing w:val="-11"/>
        </w:rPr>
        <w:t xml:space="preserve"> </w:t>
      </w:r>
      <w:r w:rsidRPr="00EB2BD8">
        <w:rPr>
          <w:i/>
        </w:rPr>
        <w:t>Act</w:t>
      </w:r>
      <w:r w:rsidRPr="00EB2BD8">
        <w:rPr>
          <w:i/>
          <w:spacing w:val="-11"/>
        </w:rPr>
        <w:t xml:space="preserve"> </w:t>
      </w:r>
      <w:r w:rsidRPr="00EB2BD8">
        <w:rPr>
          <w:i/>
        </w:rPr>
        <w:t>2012</w:t>
      </w:r>
      <w:r w:rsidRPr="00EB2BD8">
        <w:t>. Our</w:t>
      </w:r>
      <w:r w:rsidRPr="00EB2BD8">
        <w:rPr>
          <w:spacing w:val="-5"/>
        </w:rPr>
        <w:t xml:space="preserve"> </w:t>
      </w:r>
      <w:r w:rsidRPr="00EB2BD8">
        <w:t>program</w:t>
      </w:r>
      <w:r w:rsidRPr="00EB2BD8">
        <w:rPr>
          <w:spacing w:val="-5"/>
        </w:rPr>
        <w:t xml:space="preserve"> </w:t>
      </w:r>
      <w:r w:rsidRPr="00EB2BD8">
        <w:t>of</w:t>
      </w:r>
      <w:r w:rsidRPr="00EB2BD8">
        <w:rPr>
          <w:spacing w:val="-5"/>
        </w:rPr>
        <w:t xml:space="preserve"> </w:t>
      </w:r>
      <w:r w:rsidRPr="00EB2BD8">
        <w:t>work</w:t>
      </w:r>
      <w:r w:rsidRPr="00EB2BD8">
        <w:rPr>
          <w:spacing w:val="-5"/>
        </w:rPr>
        <w:t xml:space="preserve"> </w:t>
      </w:r>
      <w:r w:rsidRPr="00EB2BD8">
        <w:t>to</w:t>
      </w:r>
      <w:r w:rsidRPr="00EB2BD8">
        <w:rPr>
          <w:spacing w:val="-5"/>
        </w:rPr>
        <w:t xml:space="preserve"> </w:t>
      </w:r>
      <w:r w:rsidRPr="00EB2BD8">
        <w:t>support</w:t>
      </w:r>
      <w:r w:rsidRPr="00EB2BD8">
        <w:rPr>
          <w:spacing w:val="-5"/>
        </w:rPr>
        <w:t xml:space="preserve"> </w:t>
      </w:r>
      <w:r w:rsidRPr="00EB2BD8">
        <w:t>carers</w:t>
      </w:r>
      <w:r w:rsidRPr="00EB2BD8">
        <w:rPr>
          <w:spacing w:val="-5"/>
        </w:rPr>
        <w:t xml:space="preserve"> </w:t>
      </w:r>
      <w:r w:rsidRPr="00EB2BD8">
        <w:t>is</w:t>
      </w:r>
      <w:r w:rsidRPr="00EB2BD8">
        <w:rPr>
          <w:spacing w:val="-5"/>
        </w:rPr>
        <w:t xml:space="preserve"> </w:t>
      </w:r>
      <w:r w:rsidRPr="00EB2BD8">
        <w:t>informed</w:t>
      </w:r>
      <w:r w:rsidRPr="00EB2BD8">
        <w:rPr>
          <w:spacing w:val="-5"/>
        </w:rPr>
        <w:t xml:space="preserve"> </w:t>
      </w:r>
      <w:r w:rsidRPr="00EB2BD8">
        <w:t>by the</w:t>
      </w:r>
      <w:r w:rsidRPr="00EB2BD8">
        <w:rPr>
          <w:spacing w:val="-4"/>
        </w:rPr>
        <w:t xml:space="preserve"> </w:t>
      </w:r>
      <w:r w:rsidRPr="00EB2BD8">
        <w:t>carer</w:t>
      </w:r>
      <w:r w:rsidRPr="00EB2BD8">
        <w:rPr>
          <w:spacing w:val="-4"/>
        </w:rPr>
        <w:t xml:space="preserve"> </w:t>
      </w:r>
      <w:r w:rsidRPr="00EB2BD8">
        <w:t>relationship</w:t>
      </w:r>
      <w:r w:rsidRPr="00EB2BD8">
        <w:rPr>
          <w:spacing w:val="-4"/>
        </w:rPr>
        <w:t xml:space="preserve"> </w:t>
      </w:r>
      <w:r w:rsidRPr="00EB2BD8">
        <w:t>principles</w:t>
      </w:r>
      <w:r w:rsidRPr="00EB2BD8">
        <w:rPr>
          <w:spacing w:val="-4"/>
        </w:rPr>
        <w:t xml:space="preserve"> </w:t>
      </w:r>
      <w:r w:rsidRPr="00EB2BD8">
        <w:t>set</w:t>
      </w:r>
      <w:r w:rsidRPr="00EB2BD8">
        <w:rPr>
          <w:spacing w:val="-4"/>
        </w:rPr>
        <w:t xml:space="preserve"> </w:t>
      </w:r>
      <w:r w:rsidRPr="00EB2BD8">
        <w:t>out</w:t>
      </w:r>
      <w:r w:rsidRPr="00EB2BD8">
        <w:rPr>
          <w:spacing w:val="-4"/>
        </w:rPr>
        <w:t xml:space="preserve"> </w:t>
      </w:r>
      <w:r w:rsidRPr="00EB2BD8">
        <w:t>in</w:t>
      </w:r>
      <w:r w:rsidRPr="00EB2BD8">
        <w:rPr>
          <w:spacing w:val="-4"/>
        </w:rPr>
        <w:t xml:space="preserve"> </w:t>
      </w:r>
      <w:r w:rsidRPr="00EB2BD8">
        <w:t>the</w:t>
      </w:r>
      <w:r w:rsidRPr="00EB2BD8">
        <w:rPr>
          <w:spacing w:val="-4"/>
        </w:rPr>
        <w:t xml:space="preserve"> </w:t>
      </w:r>
      <w:r w:rsidRPr="00EB2BD8">
        <w:t>Act</w:t>
      </w:r>
      <w:r w:rsidRPr="00EB2BD8">
        <w:rPr>
          <w:spacing w:val="-4"/>
        </w:rPr>
        <w:t xml:space="preserve"> </w:t>
      </w:r>
      <w:r w:rsidRPr="00EB2BD8">
        <w:t>and the priority actions outlined in the Recognising and supporting</w:t>
      </w:r>
      <w:r w:rsidRPr="00EB2BD8">
        <w:rPr>
          <w:spacing w:val="-15"/>
        </w:rPr>
        <w:t xml:space="preserve"> </w:t>
      </w:r>
      <w:r w:rsidRPr="00EB2BD8">
        <w:t>Victoria’s</w:t>
      </w:r>
      <w:r w:rsidRPr="00EB2BD8">
        <w:rPr>
          <w:spacing w:val="-14"/>
        </w:rPr>
        <w:t xml:space="preserve"> </w:t>
      </w:r>
      <w:r w:rsidRPr="00EB2BD8">
        <w:t>carers:</w:t>
      </w:r>
      <w:r w:rsidRPr="00EB2BD8">
        <w:rPr>
          <w:spacing w:val="-14"/>
        </w:rPr>
        <w:t xml:space="preserve"> </w:t>
      </w:r>
      <w:r w:rsidRPr="00EB2BD8">
        <w:rPr>
          <w:i/>
        </w:rPr>
        <w:t>Victorian</w:t>
      </w:r>
      <w:r w:rsidRPr="00EB2BD8">
        <w:rPr>
          <w:i/>
          <w:spacing w:val="-14"/>
        </w:rPr>
        <w:t xml:space="preserve"> </w:t>
      </w:r>
      <w:r w:rsidRPr="00EB2BD8">
        <w:rPr>
          <w:i/>
        </w:rPr>
        <w:t>Carers</w:t>
      </w:r>
      <w:r w:rsidRPr="00EB2BD8">
        <w:rPr>
          <w:i/>
          <w:spacing w:val="-15"/>
        </w:rPr>
        <w:t xml:space="preserve"> </w:t>
      </w:r>
      <w:r w:rsidRPr="00EB2BD8">
        <w:rPr>
          <w:i/>
        </w:rPr>
        <w:t xml:space="preserve">Strategy </w:t>
      </w:r>
      <w:r w:rsidRPr="00EB2BD8">
        <w:rPr>
          <w:i/>
          <w:spacing w:val="-2"/>
        </w:rPr>
        <w:t>2018-22</w:t>
      </w:r>
      <w:r w:rsidRPr="00EB2BD8">
        <w:rPr>
          <w:spacing w:val="-2"/>
        </w:rPr>
        <w:t>.</w:t>
      </w:r>
    </w:p>
    <w:p w14:paraId="1A4DEDA7" w14:textId="77777777" w:rsidR="00084F36" w:rsidRPr="00EB2BD8" w:rsidRDefault="00EB2BD8">
      <w:pPr>
        <w:pStyle w:val="BodyText"/>
        <w:spacing w:before="107" w:line="261" w:lineRule="auto"/>
        <w:ind w:left="427" w:right="1010"/>
      </w:pPr>
      <w:r w:rsidRPr="00EB2BD8">
        <w:t>The VBA’s actions aim to reduce the barriers to workforce participation for carers and ensure carers can make choices about work and their carers roles, are enabled to participate socially and economically, and are supported with their health and wellbeing.</w:t>
      </w:r>
    </w:p>
    <w:p w14:paraId="15F45061" w14:textId="77777777" w:rsidR="00084F36" w:rsidRDefault="00084F36">
      <w:pPr>
        <w:spacing w:line="261" w:lineRule="auto"/>
      </w:pPr>
    </w:p>
    <w:p w14:paraId="3AA2E02F" w14:textId="0E52B4F2" w:rsidR="00C315ED" w:rsidRPr="00EB2BD8" w:rsidRDefault="00C315ED">
      <w:pPr>
        <w:spacing w:line="261" w:lineRule="auto"/>
        <w:sectPr w:rsidR="00C315ED" w:rsidRPr="00EB2BD8" w:rsidSect="006D75B2">
          <w:type w:val="continuous"/>
          <w:pgSz w:w="11910" w:h="16840"/>
          <w:pgMar w:top="1920" w:right="0" w:bottom="280" w:left="0" w:header="0" w:footer="528" w:gutter="0"/>
          <w:cols w:num="2" w:space="720" w:equalWidth="0">
            <w:col w:w="5712" w:space="40"/>
            <w:col w:w="6158"/>
          </w:cols>
        </w:sectPr>
      </w:pPr>
    </w:p>
    <w:p w14:paraId="157F2D9D" w14:textId="602A4215" w:rsidR="00084F36" w:rsidRPr="00EB2BD8" w:rsidRDefault="00084F36">
      <w:pPr>
        <w:pStyle w:val="BodyText"/>
        <w:rPr>
          <w:sz w:val="20"/>
        </w:rPr>
      </w:pPr>
    </w:p>
    <w:p w14:paraId="4B059EE6" w14:textId="11F8766C" w:rsidR="00084F36" w:rsidRPr="00EB2BD8" w:rsidRDefault="00084F36">
      <w:pPr>
        <w:pStyle w:val="BodyText"/>
        <w:rPr>
          <w:sz w:val="20"/>
        </w:rPr>
      </w:pPr>
    </w:p>
    <w:p w14:paraId="31ADC69B" w14:textId="77777777" w:rsidR="00084F36" w:rsidRPr="00EB2BD8" w:rsidRDefault="00084F36">
      <w:pPr>
        <w:pStyle w:val="BodyText"/>
        <w:rPr>
          <w:sz w:val="20"/>
        </w:rPr>
      </w:pPr>
    </w:p>
    <w:p w14:paraId="72A8F51B" w14:textId="77777777" w:rsidR="00084F36" w:rsidRPr="00EB2BD8" w:rsidRDefault="00084F36">
      <w:pPr>
        <w:pStyle w:val="BodyText"/>
        <w:rPr>
          <w:sz w:val="20"/>
        </w:rPr>
      </w:pPr>
    </w:p>
    <w:p w14:paraId="56D013FA" w14:textId="77777777" w:rsidR="00084F36" w:rsidRPr="00EB2BD8" w:rsidRDefault="00084F36">
      <w:pPr>
        <w:pStyle w:val="BodyText"/>
        <w:spacing w:before="6"/>
        <w:rPr>
          <w:sz w:val="17"/>
        </w:rPr>
      </w:pPr>
    </w:p>
    <w:p w14:paraId="079B51BD" w14:textId="77777777" w:rsidR="00084F36" w:rsidRPr="00EB2BD8" w:rsidRDefault="00084F36">
      <w:pPr>
        <w:rPr>
          <w:sz w:val="17"/>
        </w:rPr>
        <w:sectPr w:rsidR="00084F36" w:rsidRPr="00EB2BD8" w:rsidSect="006D75B2">
          <w:footerReference w:type="default" r:id="rId216"/>
          <w:pgSz w:w="11910" w:h="16840"/>
          <w:pgMar w:top="1080" w:right="0" w:bottom="720" w:left="0" w:header="0" w:footer="528" w:gutter="0"/>
          <w:cols w:space="720"/>
        </w:sectPr>
      </w:pPr>
    </w:p>
    <w:p w14:paraId="6C9B730F" w14:textId="77777777" w:rsidR="00084F36" w:rsidRPr="00EB2BD8" w:rsidRDefault="00EB2BD8" w:rsidP="00C315ED">
      <w:pPr>
        <w:pStyle w:val="Heading2"/>
      </w:pPr>
      <w:bookmarkStart w:id="226" w:name="_Toc150762528"/>
      <w:r w:rsidRPr="00EB2BD8">
        <w:t>Office-based</w:t>
      </w:r>
      <w:r w:rsidRPr="00EB2BD8">
        <w:rPr>
          <w:spacing w:val="-14"/>
        </w:rPr>
        <w:t xml:space="preserve"> </w:t>
      </w:r>
      <w:r w:rsidRPr="00EB2BD8">
        <w:t xml:space="preserve">environmental </w:t>
      </w:r>
      <w:r w:rsidRPr="00EB2BD8">
        <w:rPr>
          <w:spacing w:val="-2"/>
        </w:rPr>
        <w:t>impacts</w:t>
      </w:r>
      <w:bookmarkEnd w:id="226"/>
    </w:p>
    <w:p w14:paraId="2299F785" w14:textId="77777777" w:rsidR="00084F36" w:rsidRPr="00EB2BD8" w:rsidRDefault="00EB2BD8">
      <w:pPr>
        <w:spacing w:before="174" w:line="256" w:lineRule="auto"/>
        <w:ind w:left="850" w:right="83"/>
        <w:rPr>
          <w:sz w:val="19"/>
        </w:rPr>
      </w:pPr>
      <w:r w:rsidRPr="00EB2BD8">
        <w:rPr>
          <w:sz w:val="19"/>
        </w:rPr>
        <w:t>As our people returned to the office in higher volumes, our office-based environmental data has varied</w:t>
      </w:r>
      <w:r w:rsidRPr="00EB2BD8">
        <w:rPr>
          <w:spacing w:val="-2"/>
          <w:sz w:val="19"/>
        </w:rPr>
        <w:t xml:space="preserve"> </w:t>
      </w:r>
      <w:r w:rsidRPr="00EB2BD8">
        <w:rPr>
          <w:sz w:val="19"/>
        </w:rPr>
        <w:t>compared</w:t>
      </w:r>
      <w:r w:rsidRPr="00EB2BD8">
        <w:rPr>
          <w:spacing w:val="-2"/>
          <w:sz w:val="19"/>
        </w:rPr>
        <w:t xml:space="preserve"> </w:t>
      </w:r>
      <w:r w:rsidRPr="00EB2BD8">
        <w:rPr>
          <w:sz w:val="19"/>
        </w:rPr>
        <w:t>to</w:t>
      </w:r>
      <w:r w:rsidRPr="00EB2BD8">
        <w:rPr>
          <w:spacing w:val="-2"/>
          <w:sz w:val="19"/>
        </w:rPr>
        <w:t xml:space="preserve"> </w:t>
      </w:r>
      <w:r w:rsidRPr="00EB2BD8">
        <w:rPr>
          <w:sz w:val="19"/>
        </w:rPr>
        <w:t>a</w:t>
      </w:r>
      <w:r w:rsidRPr="00EB2BD8">
        <w:rPr>
          <w:spacing w:val="-2"/>
          <w:sz w:val="19"/>
        </w:rPr>
        <w:t xml:space="preserve"> </w:t>
      </w:r>
      <w:r w:rsidRPr="00EB2BD8">
        <w:rPr>
          <w:sz w:val="19"/>
        </w:rPr>
        <w:t>year</w:t>
      </w:r>
      <w:r w:rsidRPr="00EB2BD8">
        <w:rPr>
          <w:spacing w:val="-2"/>
          <w:sz w:val="19"/>
        </w:rPr>
        <w:t xml:space="preserve"> </w:t>
      </w:r>
      <w:r w:rsidRPr="00EB2BD8">
        <w:rPr>
          <w:sz w:val="19"/>
        </w:rPr>
        <w:t>ago.</w:t>
      </w:r>
      <w:r w:rsidRPr="00EB2BD8">
        <w:rPr>
          <w:spacing w:val="-2"/>
          <w:sz w:val="19"/>
        </w:rPr>
        <w:t xml:space="preserve"> </w:t>
      </w:r>
      <w:r w:rsidRPr="00EB2BD8">
        <w:rPr>
          <w:sz w:val="19"/>
        </w:rPr>
        <w:t>The</w:t>
      </w:r>
      <w:r w:rsidRPr="00EB2BD8">
        <w:rPr>
          <w:spacing w:val="-2"/>
          <w:sz w:val="19"/>
        </w:rPr>
        <w:t xml:space="preserve"> </w:t>
      </w:r>
      <w:r w:rsidRPr="00EB2BD8">
        <w:rPr>
          <w:sz w:val="19"/>
        </w:rPr>
        <w:t>following</w:t>
      </w:r>
      <w:r w:rsidRPr="00EB2BD8">
        <w:rPr>
          <w:spacing w:val="-2"/>
          <w:sz w:val="19"/>
        </w:rPr>
        <w:t xml:space="preserve"> </w:t>
      </w:r>
      <w:r w:rsidRPr="00EB2BD8">
        <w:rPr>
          <w:sz w:val="19"/>
        </w:rPr>
        <w:t xml:space="preserve">tables </w:t>
      </w:r>
      <w:r w:rsidRPr="00EB2BD8">
        <w:rPr>
          <w:spacing w:val="-2"/>
          <w:sz w:val="19"/>
        </w:rPr>
        <w:t>outline</w:t>
      </w:r>
      <w:r w:rsidRPr="00EB2BD8">
        <w:rPr>
          <w:spacing w:val="-8"/>
          <w:sz w:val="19"/>
        </w:rPr>
        <w:t xml:space="preserve"> </w:t>
      </w:r>
      <w:r w:rsidRPr="00EB2BD8">
        <w:rPr>
          <w:spacing w:val="-2"/>
          <w:sz w:val="19"/>
        </w:rPr>
        <w:t>the</w:t>
      </w:r>
      <w:r w:rsidRPr="00EB2BD8">
        <w:rPr>
          <w:spacing w:val="-8"/>
          <w:sz w:val="19"/>
        </w:rPr>
        <w:t xml:space="preserve"> </w:t>
      </w:r>
      <w:r w:rsidRPr="00EB2BD8">
        <w:rPr>
          <w:spacing w:val="-2"/>
          <w:sz w:val="19"/>
        </w:rPr>
        <w:t>VBA’s</w:t>
      </w:r>
      <w:r w:rsidRPr="00EB2BD8">
        <w:rPr>
          <w:spacing w:val="-8"/>
          <w:sz w:val="19"/>
        </w:rPr>
        <w:t xml:space="preserve"> </w:t>
      </w:r>
      <w:r w:rsidRPr="00EB2BD8">
        <w:rPr>
          <w:spacing w:val="-2"/>
          <w:sz w:val="19"/>
        </w:rPr>
        <w:t>energy</w:t>
      </w:r>
      <w:r w:rsidRPr="00EB2BD8">
        <w:rPr>
          <w:spacing w:val="-8"/>
          <w:sz w:val="19"/>
        </w:rPr>
        <w:t xml:space="preserve"> </w:t>
      </w:r>
      <w:r w:rsidRPr="00EB2BD8">
        <w:rPr>
          <w:spacing w:val="-2"/>
          <w:sz w:val="19"/>
        </w:rPr>
        <w:t>consumption,</w:t>
      </w:r>
      <w:r w:rsidRPr="00EB2BD8">
        <w:rPr>
          <w:spacing w:val="-8"/>
          <w:sz w:val="19"/>
        </w:rPr>
        <w:t xml:space="preserve"> </w:t>
      </w:r>
      <w:r w:rsidRPr="00EB2BD8">
        <w:rPr>
          <w:spacing w:val="-2"/>
          <w:sz w:val="19"/>
        </w:rPr>
        <w:t>landfill</w:t>
      </w:r>
      <w:r w:rsidRPr="00EB2BD8">
        <w:rPr>
          <w:spacing w:val="-8"/>
          <w:sz w:val="19"/>
        </w:rPr>
        <w:t xml:space="preserve"> </w:t>
      </w:r>
      <w:r w:rsidRPr="00EB2BD8">
        <w:rPr>
          <w:spacing w:val="-2"/>
          <w:sz w:val="19"/>
        </w:rPr>
        <w:t xml:space="preserve">waste, </w:t>
      </w:r>
      <w:r w:rsidRPr="00EB2BD8">
        <w:rPr>
          <w:sz w:val="19"/>
        </w:rPr>
        <w:t>paper use, travel and greenhouse gas emissions during</w:t>
      </w:r>
      <w:r w:rsidRPr="00EB2BD8">
        <w:rPr>
          <w:spacing w:val="-5"/>
          <w:sz w:val="19"/>
        </w:rPr>
        <w:t xml:space="preserve"> </w:t>
      </w:r>
      <w:r w:rsidRPr="00EB2BD8">
        <w:rPr>
          <w:sz w:val="19"/>
        </w:rPr>
        <w:t>2022-23.</w:t>
      </w:r>
    </w:p>
    <w:p w14:paraId="07B9608B" w14:textId="77777777" w:rsidR="00084F36" w:rsidRPr="00EB2BD8" w:rsidRDefault="00084F36">
      <w:pPr>
        <w:pStyle w:val="BodyText"/>
        <w:spacing w:before="2"/>
        <w:rPr>
          <w:sz w:val="26"/>
        </w:rPr>
      </w:pPr>
    </w:p>
    <w:p w14:paraId="6DB962F3" w14:textId="77777777" w:rsidR="00084F36" w:rsidRPr="00EB2BD8" w:rsidRDefault="00EB2BD8" w:rsidP="00C315ED">
      <w:pPr>
        <w:pStyle w:val="Heading2"/>
      </w:pPr>
      <w:bookmarkStart w:id="227" w:name="_Toc150762529"/>
      <w:r w:rsidRPr="00EB2BD8">
        <w:t>Energy</w:t>
      </w:r>
      <w:r w:rsidRPr="00EB2BD8">
        <w:rPr>
          <w:spacing w:val="16"/>
        </w:rPr>
        <w:t xml:space="preserve"> </w:t>
      </w:r>
      <w:r w:rsidRPr="00EB2BD8">
        <w:rPr>
          <w:spacing w:val="-5"/>
        </w:rPr>
        <w:t>use</w:t>
      </w:r>
      <w:bookmarkEnd w:id="227"/>
    </w:p>
    <w:p w14:paraId="7C15F5CA" w14:textId="77777777" w:rsidR="00084F36" w:rsidRPr="00EB2BD8" w:rsidRDefault="00EB2BD8">
      <w:pPr>
        <w:spacing w:before="178" w:line="256" w:lineRule="auto"/>
        <w:ind w:left="850" w:right="83"/>
        <w:rPr>
          <w:sz w:val="19"/>
        </w:rPr>
      </w:pPr>
      <w:r w:rsidRPr="00EB2BD8">
        <w:rPr>
          <w:sz w:val="19"/>
        </w:rPr>
        <w:t>Energy consumption increased slightly in comparison</w:t>
      </w:r>
      <w:r w:rsidRPr="00EB2BD8">
        <w:rPr>
          <w:spacing w:val="-4"/>
          <w:sz w:val="19"/>
        </w:rPr>
        <w:t xml:space="preserve"> </w:t>
      </w:r>
      <w:r w:rsidRPr="00EB2BD8">
        <w:rPr>
          <w:sz w:val="19"/>
        </w:rPr>
        <w:t>to</w:t>
      </w:r>
      <w:r w:rsidRPr="00EB2BD8">
        <w:rPr>
          <w:spacing w:val="-4"/>
          <w:sz w:val="19"/>
        </w:rPr>
        <w:t xml:space="preserve"> </w:t>
      </w:r>
      <w:r w:rsidRPr="00EB2BD8">
        <w:rPr>
          <w:sz w:val="19"/>
        </w:rPr>
        <w:t>2021-22.</w:t>
      </w:r>
      <w:r w:rsidRPr="00EB2BD8">
        <w:rPr>
          <w:spacing w:val="-4"/>
          <w:sz w:val="19"/>
        </w:rPr>
        <w:t xml:space="preserve"> </w:t>
      </w:r>
      <w:r w:rsidRPr="00EB2BD8">
        <w:rPr>
          <w:sz w:val="19"/>
        </w:rPr>
        <w:t>Improved</w:t>
      </w:r>
      <w:r w:rsidRPr="00EB2BD8">
        <w:rPr>
          <w:spacing w:val="-4"/>
          <w:sz w:val="19"/>
        </w:rPr>
        <w:t xml:space="preserve"> </w:t>
      </w:r>
      <w:r w:rsidRPr="00EB2BD8">
        <w:rPr>
          <w:sz w:val="19"/>
        </w:rPr>
        <w:t>building management</w:t>
      </w:r>
      <w:r w:rsidRPr="00EB2BD8">
        <w:rPr>
          <w:spacing w:val="-1"/>
          <w:sz w:val="19"/>
        </w:rPr>
        <w:t xml:space="preserve"> </w:t>
      </w:r>
      <w:r w:rsidRPr="00EB2BD8">
        <w:rPr>
          <w:sz w:val="19"/>
        </w:rPr>
        <w:t>strategies</w:t>
      </w:r>
      <w:r w:rsidRPr="00EB2BD8">
        <w:rPr>
          <w:spacing w:val="-1"/>
          <w:sz w:val="19"/>
        </w:rPr>
        <w:t xml:space="preserve"> </w:t>
      </w:r>
      <w:r w:rsidRPr="00EB2BD8">
        <w:rPr>
          <w:sz w:val="19"/>
        </w:rPr>
        <w:t>such</w:t>
      </w:r>
      <w:r w:rsidRPr="00EB2BD8">
        <w:rPr>
          <w:spacing w:val="-1"/>
          <w:sz w:val="19"/>
        </w:rPr>
        <w:t xml:space="preserve"> </w:t>
      </w:r>
      <w:r w:rsidRPr="00EB2BD8">
        <w:rPr>
          <w:sz w:val="19"/>
        </w:rPr>
        <w:t>as</w:t>
      </w:r>
      <w:r w:rsidRPr="00EB2BD8">
        <w:rPr>
          <w:spacing w:val="-1"/>
          <w:sz w:val="19"/>
        </w:rPr>
        <w:t xml:space="preserve"> </w:t>
      </w:r>
      <w:r w:rsidRPr="00EB2BD8">
        <w:rPr>
          <w:sz w:val="19"/>
        </w:rPr>
        <w:t>HVAC</w:t>
      </w:r>
      <w:r w:rsidRPr="00EB2BD8">
        <w:rPr>
          <w:spacing w:val="-1"/>
          <w:sz w:val="19"/>
        </w:rPr>
        <w:t xml:space="preserve"> </w:t>
      </w:r>
      <w:r w:rsidRPr="00EB2BD8">
        <w:rPr>
          <w:sz w:val="19"/>
        </w:rPr>
        <w:t>and</w:t>
      </w:r>
      <w:r w:rsidRPr="00EB2BD8">
        <w:rPr>
          <w:spacing w:val="-1"/>
          <w:sz w:val="19"/>
        </w:rPr>
        <w:t xml:space="preserve"> </w:t>
      </w:r>
      <w:r w:rsidRPr="00EB2BD8">
        <w:rPr>
          <w:sz w:val="19"/>
        </w:rPr>
        <w:t>lighting timers assisted in improving energy efficiencies.</w:t>
      </w:r>
    </w:p>
    <w:p w14:paraId="71834DC7" w14:textId="77777777" w:rsidR="00084F36" w:rsidRPr="00EB2BD8" w:rsidRDefault="00084F36">
      <w:pPr>
        <w:pStyle w:val="BodyText"/>
        <w:spacing w:before="10"/>
        <w:rPr>
          <w:sz w:val="26"/>
        </w:rPr>
      </w:pPr>
    </w:p>
    <w:p w14:paraId="554BADD3" w14:textId="4E25C523" w:rsidR="00084F36" w:rsidRPr="00EB2BD8" w:rsidRDefault="00EB2BD8" w:rsidP="00C315ED">
      <w:pPr>
        <w:pStyle w:val="Heading3"/>
      </w:pPr>
      <w:bookmarkStart w:id="228" w:name="_Toc150762530"/>
      <w:r w:rsidRPr="00EB2BD8">
        <w:t>Table</w:t>
      </w:r>
      <w:r w:rsidRPr="00EB2BD8">
        <w:rPr>
          <w:spacing w:val="-10"/>
        </w:rPr>
        <w:t xml:space="preserve"> </w:t>
      </w:r>
      <w:r w:rsidRPr="00EB2BD8">
        <w:t>12:</w:t>
      </w:r>
      <w:r w:rsidRPr="00EB2BD8">
        <w:rPr>
          <w:spacing w:val="-10"/>
        </w:rPr>
        <w:t xml:space="preserve"> </w:t>
      </w:r>
      <w:r w:rsidRPr="00EB2BD8">
        <w:t>Energy</w:t>
      </w:r>
      <w:r w:rsidRPr="00EB2BD8">
        <w:rPr>
          <w:spacing w:val="-9"/>
        </w:rPr>
        <w:t xml:space="preserve"> </w:t>
      </w:r>
      <w:r w:rsidRPr="00EB2BD8">
        <w:t>use</w:t>
      </w:r>
      <w:bookmarkEnd w:id="228"/>
    </w:p>
    <w:p w14:paraId="53584C18" w14:textId="1A08B193" w:rsidR="00084F36" w:rsidRPr="00EB2BD8" w:rsidRDefault="004266CA" w:rsidP="00C315ED">
      <w:pPr>
        <w:pStyle w:val="Heading2"/>
        <w:ind w:left="0"/>
      </w:pPr>
      <w:bookmarkStart w:id="229" w:name="_Toc150762531"/>
      <w:r w:rsidRPr="00EB2BD8">
        <w:rPr>
          <w:noProof/>
        </w:rPr>
        <mc:AlternateContent>
          <mc:Choice Requires="wps">
            <w:drawing>
              <wp:inline distT="0" distB="0" distL="0" distR="0" wp14:anchorId="5866B779" wp14:editId="4699D547">
                <wp:extent cx="3208655" cy="3965575"/>
                <wp:effectExtent l="0" t="0" r="0" b="0"/>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655" cy="396557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66"/>
                              <w:gridCol w:w="2539"/>
                              <w:gridCol w:w="964"/>
                              <w:gridCol w:w="964"/>
                            </w:tblGrid>
                            <w:tr w:rsidR="00084F36" w14:paraId="39E19297" w14:textId="77777777">
                              <w:trPr>
                                <w:trHeight w:val="386"/>
                              </w:trPr>
                              <w:tc>
                                <w:tcPr>
                                  <w:tcW w:w="3005" w:type="dxa"/>
                                  <w:gridSpan w:val="2"/>
                                  <w:shd w:val="clear" w:color="auto" w:fill="005F83"/>
                                </w:tcPr>
                                <w:p w14:paraId="53D7987B" w14:textId="77777777" w:rsidR="00084F36" w:rsidRDefault="00EB2BD8">
                                  <w:pPr>
                                    <w:pStyle w:val="TableParagraph"/>
                                    <w:spacing w:before="118"/>
                                    <w:ind w:left="623"/>
                                    <w:rPr>
                                      <w:sz w:val="16"/>
                                    </w:rPr>
                                  </w:pPr>
                                  <w:r>
                                    <w:rPr>
                                      <w:color w:val="FFFFFF"/>
                                      <w:spacing w:val="-2"/>
                                      <w:w w:val="105"/>
                                      <w:sz w:val="16"/>
                                    </w:rPr>
                                    <w:t>Indicator</w:t>
                                  </w:r>
                                </w:p>
                              </w:tc>
                              <w:tc>
                                <w:tcPr>
                                  <w:tcW w:w="964" w:type="dxa"/>
                                  <w:shd w:val="clear" w:color="auto" w:fill="005F83"/>
                                </w:tcPr>
                                <w:p w14:paraId="11018C84" w14:textId="77777777" w:rsidR="00084F36" w:rsidRDefault="00EB2BD8">
                                  <w:pPr>
                                    <w:pStyle w:val="TableParagraph"/>
                                    <w:spacing w:before="118"/>
                                    <w:ind w:right="111"/>
                                    <w:jc w:val="right"/>
                                    <w:rPr>
                                      <w:sz w:val="16"/>
                                    </w:rPr>
                                  </w:pPr>
                                  <w:r>
                                    <w:rPr>
                                      <w:color w:val="EBEBEA"/>
                                      <w:spacing w:val="-2"/>
                                      <w:sz w:val="16"/>
                                    </w:rPr>
                                    <w:t>2022–23</w:t>
                                  </w:r>
                                </w:p>
                              </w:tc>
                              <w:tc>
                                <w:tcPr>
                                  <w:tcW w:w="964" w:type="dxa"/>
                                  <w:shd w:val="clear" w:color="auto" w:fill="005F83"/>
                                </w:tcPr>
                                <w:p w14:paraId="037851AA" w14:textId="77777777" w:rsidR="00084F36" w:rsidRDefault="00EB2BD8">
                                  <w:pPr>
                                    <w:pStyle w:val="TableParagraph"/>
                                    <w:spacing w:before="118"/>
                                    <w:ind w:right="112"/>
                                    <w:jc w:val="right"/>
                                    <w:rPr>
                                      <w:sz w:val="16"/>
                                    </w:rPr>
                                  </w:pPr>
                                  <w:r>
                                    <w:rPr>
                                      <w:color w:val="EBEBEA"/>
                                      <w:spacing w:val="-2"/>
                                      <w:sz w:val="16"/>
                                    </w:rPr>
                                    <w:t>2020–21</w:t>
                                  </w:r>
                                </w:p>
                              </w:tc>
                            </w:tr>
                            <w:tr w:rsidR="00084F36" w14:paraId="58852618" w14:textId="77777777">
                              <w:trPr>
                                <w:trHeight w:val="614"/>
                              </w:trPr>
                              <w:tc>
                                <w:tcPr>
                                  <w:tcW w:w="466" w:type="dxa"/>
                                  <w:tcBorders>
                                    <w:bottom w:val="single" w:sz="2" w:space="0" w:color="000000"/>
                                  </w:tcBorders>
                                </w:tcPr>
                                <w:p w14:paraId="1DC18EAA" w14:textId="77777777" w:rsidR="00084F36" w:rsidRDefault="00EB2BD8">
                                  <w:pPr>
                                    <w:pStyle w:val="TableParagraph"/>
                                    <w:spacing w:before="118"/>
                                    <w:ind w:left="113"/>
                                    <w:rPr>
                                      <w:sz w:val="16"/>
                                    </w:rPr>
                                  </w:pPr>
                                  <w:r>
                                    <w:rPr>
                                      <w:spacing w:val="-5"/>
                                      <w:w w:val="95"/>
                                      <w:sz w:val="16"/>
                                    </w:rPr>
                                    <w:t>E1</w:t>
                                  </w:r>
                                </w:p>
                              </w:tc>
                              <w:tc>
                                <w:tcPr>
                                  <w:tcW w:w="2539" w:type="dxa"/>
                                  <w:tcBorders>
                                    <w:bottom w:val="single" w:sz="2" w:space="0" w:color="000000"/>
                                  </w:tcBorders>
                                </w:tcPr>
                                <w:p w14:paraId="258AC123" w14:textId="77777777" w:rsidR="00084F36" w:rsidRDefault="00EB2BD8">
                                  <w:pPr>
                                    <w:pStyle w:val="TableParagraph"/>
                                    <w:spacing w:before="118" w:line="292" w:lineRule="auto"/>
                                    <w:ind w:left="157" w:right="52"/>
                                    <w:rPr>
                                      <w:sz w:val="16"/>
                                    </w:rPr>
                                  </w:pPr>
                                  <w:r>
                                    <w:rPr>
                                      <w:sz w:val="16"/>
                                    </w:rPr>
                                    <w:t>Total</w:t>
                                  </w:r>
                                  <w:r>
                                    <w:rPr>
                                      <w:spacing w:val="-14"/>
                                      <w:sz w:val="16"/>
                                    </w:rPr>
                                    <w:t xml:space="preserve"> </w:t>
                                  </w:r>
                                  <w:r>
                                    <w:rPr>
                                      <w:sz w:val="16"/>
                                    </w:rPr>
                                    <w:t>energy</w:t>
                                  </w:r>
                                  <w:r>
                                    <w:rPr>
                                      <w:spacing w:val="-14"/>
                                      <w:sz w:val="16"/>
                                    </w:rPr>
                                    <w:t xml:space="preserve"> </w:t>
                                  </w:r>
                                  <w:r>
                                    <w:rPr>
                                      <w:sz w:val="16"/>
                                    </w:rPr>
                                    <w:t>usage</w:t>
                                  </w:r>
                                  <w:r>
                                    <w:rPr>
                                      <w:spacing w:val="-14"/>
                                      <w:sz w:val="16"/>
                                    </w:rPr>
                                    <w:t xml:space="preserve"> </w:t>
                                  </w:r>
                                  <w:r>
                                    <w:rPr>
                                      <w:sz w:val="16"/>
                                    </w:rPr>
                                    <w:t xml:space="preserve">segment </w:t>
                                  </w:r>
                                  <w:r>
                                    <w:rPr>
                                      <w:w w:val="105"/>
                                      <w:sz w:val="16"/>
                                    </w:rPr>
                                    <w:t>by primary source (MJ)</w:t>
                                  </w:r>
                                </w:p>
                              </w:tc>
                              <w:tc>
                                <w:tcPr>
                                  <w:tcW w:w="964" w:type="dxa"/>
                                  <w:tcBorders>
                                    <w:bottom w:val="single" w:sz="2" w:space="0" w:color="000000"/>
                                  </w:tcBorders>
                                  <w:shd w:val="clear" w:color="auto" w:fill="E5FBFF"/>
                                </w:tcPr>
                                <w:p w14:paraId="57202A17" w14:textId="77777777" w:rsidR="00084F36" w:rsidRDefault="00084F36">
                                  <w:pPr>
                                    <w:pStyle w:val="TableParagraph"/>
                                    <w:rPr>
                                      <w:rFonts w:ascii="Times New Roman"/>
                                      <w:sz w:val="16"/>
                                    </w:rPr>
                                  </w:pPr>
                                </w:p>
                              </w:tc>
                              <w:tc>
                                <w:tcPr>
                                  <w:tcW w:w="964" w:type="dxa"/>
                                  <w:tcBorders>
                                    <w:bottom w:val="single" w:sz="2" w:space="0" w:color="000000"/>
                                  </w:tcBorders>
                                </w:tcPr>
                                <w:p w14:paraId="07FB8E0C" w14:textId="77777777" w:rsidR="00084F36" w:rsidRDefault="00084F36">
                                  <w:pPr>
                                    <w:pStyle w:val="TableParagraph"/>
                                    <w:rPr>
                                      <w:rFonts w:ascii="Times New Roman"/>
                                      <w:sz w:val="16"/>
                                    </w:rPr>
                                  </w:pPr>
                                </w:p>
                              </w:tc>
                            </w:tr>
                            <w:tr w:rsidR="00084F36" w14:paraId="44DACB7B" w14:textId="77777777">
                              <w:trPr>
                                <w:trHeight w:val="841"/>
                              </w:trPr>
                              <w:tc>
                                <w:tcPr>
                                  <w:tcW w:w="3005" w:type="dxa"/>
                                  <w:gridSpan w:val="2"/>
                                  <w:tcBorders>
                                    <w:top w:val="single" w:sz="2" w:space="0" w:color="000000"/>
                                    <w:bottom w:val="single" w:sz="2" w:space="0" w:color="000000"/>
                                  </w:tcBorders>
                                </w:tcPr>
                                <w:p w14:paraId="0713485B" w14:textId="77777777" w:rsidR="00084F36" w:rsidRDefault="00EB2BD8">
                                  <w:pPr>
                                    <w:pStyle w:val="TableParagraph"/>
                                    <w:spacing w:before="116" w:line="292" w:lineRule="auto"/>
                                    <w:ind w:left="623"/>
                                    <w:rPr>
                                      <w:sz w:val="16"/>
                                    </w:rPr>
                                  </w:pPr>
                                  <w:r>
                                    <w:rPr>
                                      <w:w w:val="105"/>
                                      <w:sz w:val="16"/>
                                    </w:rPr>
                                    <w:t>Electricity</w:t>
                                  </w:r>
                                  <w:r>
                                    <w:rPr>
                                      <w:spacing w:val="-15"/>
                                      <w:w w:val="105"/>
                                      <w:sz w:val="16"/>
                                    </w:rPr>
                                    <w:t xml:space="preserve"> </w:t>
                                  </w:r>
                                  <w:r>
                                    <w:rPr>
                                      <w:w w:val="105"/>
                                      <w:sz w:val="16"/>
                                    </w:rPr>
                                    <w:t>(MJ)</w:t>
                                  </w:r>
                                  <w:r>
                                    <w:rPr>
                                      <w:spacing w:val="-15"/>
                                      <w:w w:val="105"/>
                                      <w:sz w:val="16"/>
                                    </w:rPr>
                                    <w:t xml:space="preserve"> </w:t>
                                  </w:r>
                                  <w:r>
                                    <w:rPr>
                                      <w:w w:val="105"/>
                                      <w:sz w:val="16"/>
                                    </w:rPr>
                                    <w:t>—</w:t>
                                  </w:r>
                                  <w:r>
                                    <w:rPr>
                                      <w:spacing w:val="-14"/>
                                      <w:w w:val="105"/>
                                      <w:sz w:val="16"/>
                                    </w:rPr>
                                    <w:t xml:space="preserve"> </w:t>
                                  </w:r>
                                  <w:r>
                                    <w:rPr>
                                      <w:w w:val="105"/>
                                      <w:sz w:val="16"/>
                                    </w:rPr>
                                    <w:t xml:space="preserve">excluding </w:t>
                                  </w:r>
                                  <w:r>
                                    <w:rPr>
                                      <w:spacing w:val="-2"/>
                                      <w:sz w:val="16"/>
                                    </w:rPr>
                                    <w:t>green</w:t>
                                  </w:r>
                                  <w:r>
                                    <w:rPr>
                                      <w:spacing w:val="-12"/>
                                      <w:sz w:val="16"/>
                                    </w:rPr>
                                    <w:t xml:space="preserve"> </w:t>
                                  </w:r>
                                  <w:r>
                                    <w:rPr>
                                      <w:spacing w:val="-2"/>
                                      <w:sz w:val="16"/>
                                    </w:rPr>
                                    <w:t>power,</w:t>
                                  </w:r>
                                  <w:r>
                                    <w:rPr>
                                      <w:spacing w:val="-12"/>
                                      <w:sz w:val="16"/>
                                    </w:rPr>
                                    <w:t xml:space="preserve"> </w:t>
                                  </w:r>
                                  <w:r>
                                    <w:rPr>
                                      <w:spacing w:val="-2"/>
                                      <w:sz w:val="16"/>
                                    </w:rPr>
                                    <w:t>which</w:t>
                                  </w:r>
                                  <w:r>
                                    <w:rPr>
                                      <w:spacing w:val="-12"/>
                                      <w:sz w:val="16"/>
                                    </w:rPr>
                                    <w:t xml:space="preserve"> </w:t>
                                  </w:r>
                                  <w:r>
                                    <w:rPr>
                                      <w:spacing w:val="-2"/>
                                      <w:sz w:val="16"/>
                                    </w:rPr>
                                    <w:t>is</w:t>
                                  </w:r>
                                  <w:r>
                                    <w:rPr>
                                      <w:spacing w:val="-12"/>
                                      <w:sz w:val="16"/>
                                    </w:rPr>
                                    <w:t xml:space="preserve"> </w:t>
                                  </w:r>
                                  <w:r>
                                    <w:rPr>
                                      <w:spacing w:val="-2"/>
                                      <w:sz w:val="16"/>
                                    </w:rPr>
                                    <w:t>not</w:t>
                                  </w:r>
                                  <w:r>
                                    <w:rPr>
                                      <w:spacing w:val="-12"/>
                                      <w:sz w:val="16"/>
                                    </w:rPr>
                                    <w:t xml:space="preserve"> </w:t>
                                  </w:r>
                                  <w:r>
                                    <w:rPr>
                                      <w:spacing w:val="-2"/>
                                      <w:sz w:val="16"/>
                                    </w:rPr>
                                    <w:t xml:space="preserve">yet </w:t>
                                  </w:r>
                                  <w:r>
                                    <w:rPr>
                                      <w:spacing w:val="-2"/>
                                      <w:w w:val="105"/>
                                      <w:sz w:val="16"/>
                                    </w:rPr>
                                    <w:t>available</w:t>
                                  </w:r>
                                </w:p>
                              </w:tc>
                              <w:tc>
                                <w:tcPr>
                                  <w:tcW w:w="964" w:type="dxa"/>
                                  <w:tcBorders>
                                    <w:top w:val="single" w:sz="2" w:space="0" w:color="000000"/>
                                    <w:bottom w:val="single" w:sz="2" w:space="0" w:color="000000"/>
                                  </w:tcBorders>
                                  <w:shd w:val="clear" w:color="auto" w:fill="E5FBFF"/>
                                </w:tcPr>
                                <w:p w14:paraId="09CB722D" w14:textId="77777777" w:rsidR="00084F36" w:rsidRDefault="00EB2BD8">
                                  <w:pPr>
                                    <w:pStyle w:val="TableParagraph"/>
                                    <w:spacing w:before="116"/>
                                    <w:ind w:right="112"/>
                                    <w:jc w:val="right"/>
                                    <w:rPr>
                                      <w:sz w:val="16"/>
                                    </w:rPr>
                                  </w:pPr>
                                  <w:r>
                                    <w:rPr>
                                      <w:spacing w:val="-2"/>
                                      <w:w w:val="90"/>
                                      <w:sz w:val="16"/>
                                    </w:rPr>
                                    <w:t>1,266,642</w:t>
                                  </w:r>
                                </w:p>
                              </w:tc>
                              <w:tc>
                                <w:tcPr>
                                  <w:tcW w:w="964" w:type="dxa"/>
                                  <w:tcBorders>
                                    <w:top w:val="single" w:sz="2" w:space="0" w:color="000000"/>
                                    <w:bottom w:val="single" w:sz="2" w:space="0" w:color="000000"/>
                                  </w:tcBorders>
                                </w:tcPr>
                                <w:p w14:paraId="5CE7D4C7" w14:textId="77777777" w:rsidR="00084F36" w:rsidRDefault="00EB2BD8">
                                  <w:pPr>
                                    <w:pStyle w:val="TableParagraph"/>
                                    <w:spacing w:before="116"/>
                                    <w:ind w:right="112"/>
                                    <w:jc w:val="right"/>
                                    <w:rPr>
                                      <w:sz w:val="16"/>
                                    </w:rPr>
                                  </w:pPr>
                                  <w:r>
                                    <w:rPr>
                                      <w:spacing w:val="-2"/>
                                      <w:w w:val="85"/>
                                      <w:sz w:val="16"/>
                                    </w:rPr>
                                    <w:t>1,152,450</w:t>
                                  </w:r>
                                </w:p>
                              </w:tc>
                            </w:tr>
                            <w:tr w:rsidR="00084F36" w14:paraId="0C4EDA24" w14:textId="77777777">
                              <w:trPr>
                                <w:trHeight w:val="381"/>
                              </w:trPr>
                              <w:tc>
                                <w:tcPr>
                                  <w:tcW w:w="3005" w:type="dxa"/>
                                  <w:gridSpan w:val="2"/>
                                  <w:tcBorders>
                                    <w:top w:val="single" w:sz="2" w:space="0" w:color="000000"/>
                                    <w:bottom w:val="single" w:sz="2" w:space="0" w:color="000000"/>
                                  </w:tcBorders>
                                </w:tcPr>
                                <w:p w14:paraId="18BD0AD2" w14:textId="77777777" w:rsidR="00084F36" w:rsidRDefault="00EB2BD8">
                                  <w:pPr>
                                    <w:pStyle w:val="TableParagraph"/>
                                    <w:spacing w:before="116"/>
                                    <w:ind w:left="623"/>
                                    <w:rPr>
                                      <w:sz w:val="16"/>
                                    </w:rPr>
                                  </w:pPr>
                                  <w:r>
                                    <w:rPr>
                                      <w:sz w:val="16"/>
                                    </w:rPr>
                                    <w:t>Natural gas</w:t>
                                  </w:r>
                                  <w:r>
                                    <w:rPr>
                                      <w:spacing w:val="1"/>
                                      <w:sz w:val="16"/>
                                    </w:rPr>
                                    <w:t xml:space="preserve"> </w:t>
                                  </w:r>
                                  <w:r>
                                    <w:rPr>
                                      <w:spacing w:val="-4"/>
                                      <w:sz w:val="16"/>
                                    </w:rPr>
                                    <w:t>(MJ)</w:t>
                                  </w:r>
                                </w:p>
                              </w:tc>
                              <w:tc>
                                <w:tcPr>
                                  <w:tcW w:w="964" w:type="dxa"/>
                                  <w:tcBorders>
                                    <w:top w:val="single" w:sz="2" w:space="0" w:color="000000"/>
                                    <w:bottom w:val="single" w:sz="2" w:space="0" w:color="000000"/>
                                  </w:tcBorders>
                                  <w:shd w:val="clear" w:color="auto" w:fill="E5FBFF"/>
                                </w:tcPr>
                                <w:p w14:paraId="2754EBAA" w14:textId="77777777" w:rsidR="00084F36" w:rsidRDefault="00EB2BD8">
                                  <w:pPr>
                                    <w:pStyle w:val="TableParagraph"/>
                                    <w:spacing w:before="116"/>
                                    <w:ind w:right="111"/>
                                    <w:jc w:val="right"/>
                                    <w:rPr>
                                      <w:sz w:val="16"/>
                                    </w:rPr>
                                  </w:pPr>
                                  <w:r>
                                    <w:rPr>
                                      <w:w w:val="105"/>
                                      <w:sz w:val="16"/>
                                    </w:rPr>
                                    <w:t>0</w:t>
                                  </w:r>
                                </w:p>
                              </w:tc>
                              <w:tc>
                                <w:tcPr>
                                  <w:tcW w:w="964" w:type="dxa"/>
                                  <w:tcBorders>
                                    <w:top w:val="single" w:sz="2" w:space="0" w:color="000000"/>
                                    <w:bottom w:val="single" w:sz="2" w:space="0" w:color="000000"/>
                                  </w:tcBorders>
                                </w:tcPr>
                                <w:p w14:paraId="7FE19645" w14:textId="77777777" w:rsidR="00084F36" w:rsidRDefault="00EB2BD8">
                                  <w:pPr>
                                    <w:pStyle w:val="TableParagraph"/>
                                    <w:spacing w:before="116"/>
                                    <w:ind w:right="111"/>
                                    <w:jc w:val="right"/>
                                    <w:rPr>
                                      <w:sz w:val="16"/>
                                    </w:rPr>
                                  </w:pPr>
                                  <w:r>
                                    <w:rPr>
                                      <w:w w:val="105"/>
                                      <w:sz w:val="16"/>
                                    </w:rPr>
                                    <w:t>0</w:t>
                                  </w:r>
                                </w:p>
                              </w:tc>
                            </w:tr>
                            <w:tr w:rsidR="00084F36" w14:paraId="5675DE03" w14:textId="77777777">
                              <w:trPr>
                                <w:trHeight w:val="381"/>
                              </w:trPr>
                              <w:tc>
                                <w:tcPr>
                                  <w:tcW w:w="3005" w:type="dxa"/>
                                  <w:gridSpan w:val="2"/>
                                  <w:tcBorders>
                                    <w:top w:val="single" w:sz="2" w:space="0" w:color="000000"/>
                                    <w:bottom w:val="single" w:sz="2" w:space="0" w:color="000000"/>
                                  </w:tcBorders>
                                </w:tcPr>
                                <w:p w14:paraId="48136155" w14:textId="77777777" w:rsidR="00084F36" w:rsidRDefault="00EB2BD8">
                                  <w:pPr>
                                    <w:pStyle w:val="TableParagraph"/>
                                    <w:spacing w:before="115"/>
                                    <w:ind w:left="623"/>
                                    <w:rPr>
                                      <w:sz w:val="16"/>
                                    </w:rPr>
                                  </w:pPr>
                                  <w:r>
                                    <w:rPr>
                                      <w:sz w:val="16"/>
                                    </w:rPr>
                                    <w:t>Green</w:t>
                                  </w:r>
                                  <w:r>
                                    <w:rPr>
                                      <w:spacing w:val="-8"/>
                                      <w:sz w:val="16"/>
                                    </w:rPr>
                                    <w:t xml:space="preserve"> </w:t>
                                  </w:r>
                                  <w:r>
                                    <w:rPr>
                                      <w:sz w:val="16"/>
                                    </w:rPr>
                                    <w:t>power</w:t>
                                  </w:r>
                                  <w:r>
                                    <w:rPr>
                                      <w:spacing w:val="-8"/>
                                      <w:sz w:val="16"/>
                                    </w:rPr>
                                    <w:t xml:space="preserve"> </w:t>
                                  </w:r>
                                  <w:r>
                                    <w:rPr>
                                      <w:spacing w:val="-4"/>
                                      <w:sz w:val="16"/>
                                    </w:rPr>
                                    <w:t>(MJ)</w:t>
                                  </w:r>
                                </w:p>
                              </w:tc>
                              <w:tc>
                                <w:tcPr>
                                  <w:tcW w:w="964" w:type="dxa"/>
                                  <w:tcBorders>
                                    <w:top w:val="single" w:sz="2" w:space="0" w:color="000000"/>
                                    <w:bottom w:val="single" w:sz="2" w:space="0" w:color="000000"/>
                                  </w:tcBorders>
                                  <w:shd w:val="clear" w:color="auto" w:fill="E5FBFF"/>
                                </w:tcPr>
                                <w:p w14:paraId="2A89D3F2" w14:textId="77777777" w:rsidR="00084F36" w:rsidRDefault="00EB2BD8">
                                  <w:pPr>
                                    <w:pStyle w:val="TableParagraph"/>
                                    <w:spacing w:before="115"/>
                                    <w:ind w:right="111"/>
                                    <w:jc w:val="right"/>
                                    <w:rPr>
                                      <w:sz w:val="16"/>
                                    </w:rPr>
                                  </w:pPr>
                                  <w:r>
                                    <w:rPr>
                                      <w:w w:val="105"/>
                                      <w:sz w:val="16"/>
                                    </w:rPr>
                                    <w:t>0</w:t>
                                  </w:r>
                                </w:p>
                              </w:tc>
                              <w:tc>
                                <w:tcPr>
                                  <w:tcW w:w="964" w:type="dxa"/>
                                  <w:tcBorders>
                                    <w:top w:val="single" w:sz="2" w:space="0" w:color="000000"/>
                                    <w:bottom w:val="single" w:sz="2" w:space="0" w:color="000000"/>
                                  </w:tcBorders>
                                </w:tcPr>
                                <w:p w14:paraId="0494AB22" w14:textId="77777777" w:rsidR="00084F36" w:rsidRDefault="00EB2BD8">
                                  <w:pPr>
                                    <w:pStyle w:val="TableParagraph"/>
                                    <w:spacing w:before="115"/>
                                    <w:ind w:right="111"/>
                                    <w:jc w:val="right"/>
                                    <w:rPr>
                                      <w:sz w:val="16"/>
                                    </w:rPr>
                                  </w:pPr>
                                  <w:r>
                                    <w:rPr>
                                      <w:w w:val="105"/>
                                      <w:sz w:val="16"/>
                                    </w:rPr>
                                    <w:t>0</w:t>
                                  </w:r>
                                </w:p>
                              </w:tc>
                            </w:tr>
                            <w:tr w:rsidR="00084F36" w14:paraId="5F248CAE" w14:textId="77777777">
                              <w:trPr>
                                <w:trHeight w:val="381"/>
                              </w:trPr>
                              <w:tc>
                                <w:tcPr>
                                  <w:tcW w:w="3005" w:type="dxa"/>
                                  <w:gridSpan w:val="2"/>
                                  <w:tcBorders>
                                    <w:top w:val="single" w:sz="2" w:space="0" w:color="000000"/>
                                    <w:bottom w:val="single" w:sz="2" w:space="0" w:color="000000"/>
                                  </w:tcBorders>
                                </w:tcPr>
                                <w:p w14:paraId="02D30ECE" w14:textId="77777777" w:rsidR="00084F36" w:rsidRDefault="00EB2BD8">
                                  <w:pPr>
                                    <w:pStyle w:val="TableParagraph"/>
                                    <w:spacing w:before="115"/>
                                    <w:ind w:left="624"/>
                                    <w:rPr>
                                      <w:sz w:val="16"/>
                                    </w:rPr>
                                  </w:pPr>
                                  <w:r>
                                    <w:rPr>
                                      <w:w w:val="110"/>
                                      <w:sz w:val="16"/>
                                    </w:rPr>
                                    <w:t>LPG</w:t>
                                  </w:r>
                                  <w:r>
                                    <w:rPr>
                                      <w:spacing w:val="-14"/>
                                      <w:w w:val="110"/>
                                      <w:sz w:val="16"/>
                                    </w:rPr>
                                    <w:t xml:space="preserve"> </w:t>
                                  </w:r>
                                  <w:r>
                                    <w:rPr>
                                      <w:spacing w:val="-4"/>
                                      <w:w w:val="110"/>
                                      <w:sz w:val="16"/>
                                    </w:rPr>
                                    <w:t>(MJ)</w:t>
                                  </w:r>
                                </w:p>
                              </w:tc>
                              <w:tc>
                                <w:tcPr>
                                  <w:tcW w:w="964" w:type="dxa"/>
                                  <w:tcBorders>
                                    <w:top w:val="single" w:sz="2" w:space="0" w:color="000000"/>
                                    <w:bottom w:val="single" w:sz="2" w:space="0" w:color="000000"/>
                                  </w:tcBorders>
                                  <w:shd w:val="clear" w:color="auto" w:fill="E5FBFF"/>
                                </w:tcPr>
                                <w:p w14:paraId="75EBB605" w14:textId="77777777" w:rsidR="00084F36" w:rsidRDefault="00EB2BD8">
                                  <w:pPr>
                                    <w:pStyle w:val="TableParagraph"/>
                                    <w:spacing w:before="115"/>
                                    <w:ind w:right="111"/>
                                    <w:jc w:val="right"/>
                                    <w:rPr>
                                      <w:sz w:val="16"/>
                                    </w:rPr>
                                  </w:pPr>
                                  <w:r>
                                    <w:rPr>
                                      <w:w w:val="105"/>
                                      <w:sz w:val="16"/>
                                    </w:rPr>
                                    <w:t>0</w:t>
                                  </w:r>
                                </w:p>
                              </w:tc>
                              <w:tc>
                                <w:tcPr>
                                  <w:tcW w:w="964" w:type="dxa"/>
                                  <w:tcBorders>
                                    <w:top w:val="single" w:sz="2" w:space="0" w:color="000000"/>
                                    <w:bottom w:val="single" w:sz="2" w:space="0" w:color="000000"/>
                                  </w:tcBorders>
                                </w:tcPr>
                                <w:p w14:paraId="6EB2DF11" w14:textId="77777777" w:rsidR="00084F36" w:rsidRDefault="00EB2BD8">
                                  <w:pPr>
                                    <w:pStyle w:val="TableParagraph"/>
                                    <w:spacing w:before="115"/>
                                    <w:ind w:right="111"/>
                                    <w:jc w:val="right"/>
                                    <w:rPr>
                                      <w:sz w:val="16"/>
                                    </w:rPr>
                                  </w:pPr>
                                  <w:r>
                                    <w:rPr>
                                      <w:w w:val="105"/>
                                      <w:sz w:val="16"/>
                                    </w:rPr>
                                    <w:t>0</w:t>
                                  </w:r>
                                </w:p>
                              </w:tc>
                            </w:tr>
                            <w:tr w:rsidR="00084F36" w14:paraId="38AD5C8B" w14:textId="77777777">
                              <w:trPr>
                                <w:trHeight w:val="841"/>
                              </w:trPr>
                              <w:tc>
                                <w:tcPr>
                                  <w:tcW w:w="466" w:type="dxa"/>
                                  <w:tcBorders>
                                    <w:top w:val="single" w:sz="2" w:space="0" w:color="000000"/>
                                    <w:bottom w:val="single" w:sz="2" w:space="0" w:color="000000"/>
                                  </w:tcBorders>
                                </w:tcPr>
                                <w:p w14:paraId="1835D2A5" w14:textId="77777777" w:rsidR="00084F36" w:rsidRDefault="00EB2BD8">
                                  <w:pPr>
                                    <w:pStyle w:val="TableParagraph"/>
                                    <w:spacing w:before="115"/>
                                    <w:ind w:left="114"/>
                                    <w:rPr>
                                      <w:sz w:val="16"/>
                                    </w:rPr>
                                  </w:pPr>
                                  <w:r>
                                    <w:rPr>
                                      <w:spacing w:val="-5"/>
                                      <w:sz w:val="16"/>
                                    </w:rPr>
                                    <w:t>E2</w:t>
                                  </w:r>
                                </w:p>
                              </w:tc>
                              <w:tc>
                                <w:tcPr>
                                  <w:tcW w:w="2539" w:type="dxa"/>
                                  <w:tcBorders>
                                    <w:top w:val="single" w:sz="2" w:space="0" w:color="000000"/>
                                    <w:bottom w:val="single" w:sz="2" w:space="0" w:color="000000"/>
                                  </w:tcBorders>
                                </w:tcPr>
                                <w:p w14:paraId="63DEB8D7" w14:textId="77777777" w:rsidR="00084F36" w:rsidRDefault="00EB2BD8">
                                  <w:pPr>
                                    <w:pStyle w:val="TableParagraph"/>
                                    <w:spacing w:before="115" w:line="292" w:lineRule="auto"/>
                                    <w:ind w:left="158" w:right="52"/>
                                    <w:rPr>
                                      <w:sz w:val="16"/>
                                    </w:rPr>
                                  </w:pPr>
                                  <w:r>
                                    <w:rPr>
                                      <w:sz w:val="16"/>
                                    </w:rPr>
                                    <w:t>Total greenhouse gas emission from energy consumption</w:t>
                                  </w:r>
                                  <w:r>
                                    <w:rPr>
                                      <w:spacing w:val="-14"/>
                                      <w:sz w:val="16"/>
                                    </w:rPr>
                                    <w:t xml:space="preserve"> </w:t>
                                  </w:r>
                                  <w:r>
                                    <w:rPr>
                                      <w:sz w:val="16"/>
                                    </w:rPr>
                                    <w:t>(tonnes</w:t>
                                  </w:r>
                                  <w:r>
                                    <w:rPr>
                                      <w:spacing w:val="-14"/>
                                      <w:sz w:val="16"/>
                                    </w:rPr>
                                    <w:t xml:space="preserve"> </w:t>
                                  </w:r>
                                  <w:r>
                                    <w:rPr>
                                      <w:sz w:val="16"/>
                                    </w:rPr>
                                    <w:t>CO2-e)</w:t>
                                  </w:r>
                                </w:p>
                              </w:tc>
                              <w:tc>
                                <w:tcPr>
                                  <w:tcW w:w="964" w:type="dxa"/>
                                  <w:tcBorders>
                                    <w:top w:val="single" w:sz="2" w:space="0" w:color="000000"/>
                                    <w:bottom w:val="single" w:sz="2" w:space="0" w:color="000000"/>
                                  </w:tcBorders>
                                  <w:shd w:val="clear" w:color="auto" w:fill="E5FBFF"/>
                                </w:tcPr>
                                <w:p w14:paraId="7265F315" w14:textId="77777777" w:rsidR="00084F36" w:rsidRDefault="00084F36">
                                  <w:pPr>
                                    <w:pStyle w:val="TableParagraph"/>
                                    <w:rPr>
                                      <w:rFonts w:ascii="Times New Roman"/>
                                      <w:sz w:val="16"/>
                                    </w:rPr>
                                  </w:pPr>
                                </w:p>
                              </w:tc>
                              <w:tc>
                                <w:tcPr>
                                  <w:tcW w:w="964" w:type="dxa"/>
                                  <w:tcBorders>
                                    <w:top w:val="single" w:sz="2" w:space="0" w:color="000000"/>
                                    <w:bottom w:val="single" w:sz="2" w:space="0" w:color="000000"/>
                                  </w:tcBorders>
                                </w:tcPr>
                                <w:p w14:paraId="4C2B6ACF" w14:textId="77777777" w:rsidR="00084F36" w:rsidRDefault="00084F36">
                                  <w:pPr>
                                    <w:pStyle w:val="TableParagraph"/>
                                    <w:rPr>
                                      <w:rFonts w:ascii="Times New Roman"/>
                                      <w:sz w:val="16"/>
                                    </w:rPr>
                                  </w:pPr>
                                </w:p>
                              </w:tc>
                            </w:tr>
                            <w:tr w:rsidR="00084F36" w14:paraId="307BF398" w14:textId="77777777">
                              <w:trPr>
                                <w:trHeight w:val="611"/>
                              </w:trPr>
                              <w:tc>
                                <w:tcPr>
                                  <w:tcW w:w="3005" w:type="dxa"/>
                                  <w:gridSpan w:val="2"/>
                                  <w:tcBorders>
                                    <w:top w:val="single" w:sz="2" w:space="0" w:color="000000"/>
                                    <w:bottom w:val="single" w:sz="2" w:space="0" w:color="000000"/>
                                  </w:tcBorders>
                                </w:tcPr>
                                <w:p w14:paraId="6DC41610" w14:textId="77777777" w:rsidR="00084F36" w:rsidRDefault="00EB2BD8">
                                  <w:pPr>
                                    <w:pStyle w:val="TableParagraph"/>
                                    <w:spacing w:before="115" w:line="292" w:lineRule="auto"/>
                                    <w:ind w:left="624"/>
                                    <w:rPr>
                                      <w:sz w:val="16"/>
                                    </w:rPr>
                                  </w:pPr>
                                  <w:r>
                                    <w:rPr>
                                      <w:sz w:val="16"/>
                                    </w:rPr>
                                    <w:t>Electricity</w:t>
                                  </w:r>
                                  <w:r>
                                    <w:rPr>
                                      <w:spacing w:val="-13"/>
                                      <w:sz w:val="16"/>
                                    </w:rPr>
                                    <w:t xml:space="preserve"> </w:t>
                                  </w:r>
                                  <w:r>
                                    <w:rPr>
                                      <w:sz w:val="16"/>
                                    </w:rPr>
                                    <w:t>(tonnes</w:t>
                                  </w:r>
                                  <w:r>
                                    <w:rPr>
                                      <w:spacing w:val="-13"/>
                                      <w:sz w:val="16"/>
                                    </w:rPr>
                                    <w:t xml:space="preserve"> </w:t>
                                  </w:r>
                                  <w:r>
                                    <w:rPr>
                                      <w:sz w:val="16"/>
                                    </w:rPr>
                                    <w:t>CO2-e)</w:t>
                                  </w:r>
                                  <w:r>
                                    <w:rPr>
                                      <w:spacing w:val="-12"/>
                                      <w:sz w:val="16"/>
                                    </w:rPr>
                                    <w:t xml:space="preserve"> </w:t>
                                  </w:r>
                                  <w:r>
                                    <w:rPr>
                                      <w:sz w:val="16"/>
                                    </w:rPr>
                                    <w:t xml:space="preserve">— </w:t>
                                  </w:r>
                                  <w:r>
                                    <w:rPr>
                                      <w:w w:val="105"/>
                                      <w:sz w:val="16"/>
                                    </w:rPr>
                                    <w:t>excluding green power</w:t>
                                  </w:r>
                                </w:p>
                              </w:tc>
                              <w:tc>
                                <w:tcPr>
                                  <w:tcW w:w="964" w:type="dxa"/>
                                  <w:tcBorders>
                                    <w:top w:val="single" w:sz="2" w:space="0" w:color="000000"/>
                                    <w:bottom w:val="single" w:sz="2" w:space="0" w:color="000000"/>
                                  </w:tcBorders>
                                  <w:shd w:val="clear" w:color="auto" w:fill="E5FBFF"/>
                                </w:tcPr>
                                <w:p w14:paraId="168F4E4A" w14:textId="77777777" w:rsidR="00084F36" w:rsidRDefault="00EB2BD8">
                                  <w:pPr>
                                    <w:pStyle w:val="TableParagraph"/>
                                    <w:spacing w:before="115"/>
                                    <w:ind w:right="111"/>
                                    <w:jc w:val="right"/>
                                    <w:rPr>
                                      <w:sz w:val="16"/>
                                    </w:rPr>
                                  </w:pPr>
                                  <w:r>
                                    <w:rPr>
                                      <w:spacing w:val="-5"/>
                                      <w:w w:val="90"/>
                                      <w:sz w:val="16"/>
                                    </w:rPr>
                                    <w:t>413</w:t>
                                  </w:r>
                                </w:p>
                              </w:tc>
                              <w:tc>
                                <w:tcPr>
                                  <w:tcW w:w="964" w:type="dxa"/>
                                  <w:tcBorders>
                                    <w:top w:val="single" w:sz="2" w:space="0" w:color="000000"/>
                                    <w:bottom w:val="single" w:sz="2" w:space="0" w:color="000000"/>
                                  </w:tcBorders>
                                </w:tcPr>
                                <w:p w14:paraId="12BB24B5" w14:textId="77777777" w:rsidR="00084F36" w:rsidRDefault="00EB2BD8">
                                  <w:pPr>
                                    <w:pStyle w:val="TableParagraph"/>
                                    <w:spacing w:before="115"/>
                                    <w:ind w:right="112"/>
                                    <w:jc w:val="right"/>
                                    <w:rPr>
                                      <w:sz w:val="16"/>
                                    </w:rPr>
                                  </w:pPr>
                                  <w:r>
                                    <w:rPr>
                                      <w:spacing w:val="-5"/>
                                      <w:sz w:val="16"/>
                                    </w:rPr>
                                    <w:t>376</w:t>
                                  </w:r>
                                </w:p>
                              </w:tc>
                            </w:tr>
                            <w:tr w:rsidR="00084F36" w14:paraId="620FA2C0" w14:textId="77777777">
                              <w:trPr>
                                <w:trHeight w:val="381"/>
                              </w:trPr>
                              <w:tc>
                                <w:tcPr>
                                  <w:tcW w:w="3005" w:type="dxa"/>
                                  <w:gridSpan w:val="2"/>
                                  <w:tcBorders>
                                    <w:top w:val="single" w:sz="2" w:space="0" w:color="000000"/>
                                    <w:bottom w:val="single" w:sz="2" w:space="0" w:color="000000"/>
                                  </w:tcBorders>
                                </w:tcPr>
                                <w:p w14:paraId="1E3CDEC5" w14:textId="77777777" w:rsidR="00084F36" w:rsidRDefault="00EB2BD8">
                                  <w:pPr>
                                    <w:pStyle w:val="TableParagraph"/>
                                    <w:spacing w:before="115"/>
                                    <w:ind w:left="624"/>
                                    <w:rPr>
                                      <w:sz w:val="16"/>
                                    </w:rPr>
                                  </w:pPr>
                                  <w:r>
                                    <w:rPr>
                                      <w:sz w:val="16"/>
                                    </w:rPr>
                                    <w:t>Natural</w:t>
                                  </w:r>
                                  <w:r>
                                    <w:rPr>
                                      <w:spacing w:val="-3"/>
                                      <w:sz w:val="16"/>
                                    </w:rPr>
                                    <w:t xml:space="preserve"> </w:t>
                                  </w:r>
                                  <w:r>
                                    <w:rPr>
                                      <w:sz w:val="16"/>
                                    </w:rPr>
                                    <w:t>gas</w:t>
                                  </w:r>
                                  <w:r>
                                    <w:rPr>
                                      <w:spacing w:val="-3"/>
                                      <w:sz w:val="16"/>
                                    </w:rPr>
                                    <w:t xml:space="preserve"> </w:t>
                                  </w:r>
                                  <w:r>
                                    <w:rPr>
                                      <w:sz w:val="16"/>
                                    </w:rPr>
                                    <w:t>(tonnes</w:t>
                                  </w:r>
                                  <w:r>
                                    <w:rPr>
                                      <w:spacing w:val="-3"/>
                                      <w:sz w:val="16"/>
                                    </w:rPr>
                                    <w:t xml:space="preserve"> </w:t>
                                  </w:r>
                                  <w:r>
                                    <w:rPr>
                                      <w:sz w:val="16"/>
                                    </w:rPr>
                                    <w:t>CO2-</w:t>
                                  </w:r>
                                  <w:r>
                                    <w:rPr>
                                      <w:spacing w:val="-5"/>
                                      <w:sz w:val="16"/>
                                    </w:rPr>
                                    <w:t>e)</w:t>
                                  </w:r>
                                </w:p>
                              </w:tc>
                              <w:tc>
                                <w:tcPr>
                                  <w:tcW w:w="964" w:type="dxa"/>
                                  <w:tcBorders>
                                    <w:top w:val="single" w:sz="2" w:space="0" w:color="000000"/>
                                    <w:bottom w:val="single" w:sz="2" w:space="0" w:color="000000"/>
                                  </w:tcBorders>
                                  <w:shd w:val="clear" w:color="auto" w:fill="E5FBFF"/>
                                </w:tcPr>
                                <w:p w14:paraId="203AE929" w14:textId="77777777" w:rsidR="00084F36" w:rsidRDefault="00EB2BD8">
                                  <w:pPr>
                                    <w:pStyle w:val="TableParagraph"/>
                                    <w:spacing w:before="115"/>
                                    <w:ind w:right="111"/>
                                    <w:jc w:val="right"/>
                                    <w:rPr>
                                      <w:sz w:val="16"/>
                                    </w:rPr>
                                  </w:pPr>
                                  <w:r>
                                    <w:rPr>
                                      <w:w w:val="105"/>
                                      <w:sz w:val="16"/>
                                    </w:rPr>
                                    <w:t>0</w:t>
                                  </w:r>
                                </w:p>
                              </w:tc>
                              <w:tc>
                                <w:tcPr>
                                  <w:tcW w:w="964" w:type="dxa"/>
                                  <w:tcBorders>
                                    <w:top w:val="single" w:sz="2" w:space="0" w:color="000000"/>
                                    <w:bottom w:val="single" w:sz="2" w:space="0" w:color="000000"/>
                                  </w:tcBorders>
                                </w:tcPr>
                                <w:p w14:paraId="0F0F8936" w14:textId="77777777" w:rsidR="00084F36" w:rsidRDefault="00EB2BD8">
                                  <w:pPr>
                                    <w:pStyle w:val="TableParagraph"/>
                                    <w:spacing w:before="115"/>
                                    <w:ind w:right="111"/>
                                    <w:jc w:val="right"/>
                                    <w:rPr>
                                      <w:sz w:val="16"/>
                                    </w:rPr>
                                  </w:pPr>
                                  <w:r>
                                    <w:rPr>
                                      <w:w w:val="105"/>
                                      <w:sz w:val="16"/>
                                    </w:rPr>
                                    <w:t>0</w:t>
                                  </w:r>
                                </w:p>
                              </w:tc>
                            </w:tr>
                            <w:tr w:rsidR="00084F36" w14:paraId="3374152C" w14:textId="77777777">
                              <w:trPr>
                                <w:trHeight w:val="381"/>
                              </w:trPr>
                              <w:tc>
                                <w:tcPr>
                                  <w:tcW w:w="3005" w:type="dxa"/>
                                  <w:gridSpan w:val="2"/>
                                  <w:tcBorders>
                                    <w:top w:val="single" w:sz="2" w:space="0" w:color="000000"/>
                                    <w:bottom w:val="single" w:sz="2" w:space="0" w:color="000000"/>
                                  </w:tcBorders>
                                </w:tcPr>
                                <w:p w14:paraId="0CE37A31" w14:textId="77777777" w:rsidR="00084F36" w:rsidRDefault="00EB2BD8">
                                  <w:pPr>
                                    <w:pStyle w:val="TableParagraph"/>
                                    <w:spacing w:before="115"/>
                                    <w:ind w:left="624"/>
                                    <w:rPr>
                                      <w:sz w:val="16"/>
                                    </w:rPr>
                                  </w:pPr>
                                  <w:r>
                                    <w:rPr>
                                      <w:sz w:val="16"/>
                                    </w:rPr>
                                    <w:t>Green</w:t>
                                  </w:r>
                                  <w:r>
                                    <w:rPr>
                                      <w:spacing w:val="-9"/>
                                      <w:sz w:val="16"/>
                                    </w:rPr>
                                    <w:t xml:space="preserve"> </w:t>
                                  </w:r>
                                  <w:r>
                                    <w:rPr>
                                      <w:sz w:val="16"/>
                                    </w:rPr>
                                    <w:t>power</w:t>
                                  </w:r>
                                  <w:r>
                                    <w:rPr>
                                      <w:spacing w:val="-8"/>
                                      <w:sz w:val="16"/>
                                    </w:rPr>
                                    <w:t xml:space="preserve"> </w:t>
                                  </w:r>
                                  <w:r>
                                    <w:rPr>
                                      <w:sz w:val="16"/>
                                    </w:rPr>
                                    <w:t>(tonnes</w:t>
                                  </w:r>
                                  <w:r>
                                    <w:rPr>
                                      <w:spacing w:val="-9"/>
                                      <w:sz w:val="16"/>
                                    </w:rPr>
                                    <w:t xml:space="preserve"> </w:t>
                                  </w:r>
                                  <w:r>
                                    <w:rPr>
                                      <w:sz w:val="16"/>
                                    </w:rPr>
                                    <w:t>CO2-</w:t>
                                  </w:r>
                                  <w:r>
                                    <w:rPr>
                                      <w:spacing w:val="-10"/>
                                      <w:sz w:val="16"/>
                                    </w:rPr>
                                    <w:t>e</w:t>
                                  </w:r>
                                </w:p>
                              </w:tc>
                              <w:tc>
                                <w:tcPr>
                                  <w:tcW w:w="964" w:type="dxa"/>
                                  <w:tcBorders>
                                    <w:top w:val="single" w:sz="2" w:space="0" w:color="000000"/>
                                    <w:bottom w:val="single" w:sz="2" w:space="0" w:color="000000"/>
                                  </w:tcBorders>
                                  <w:shd w:val="clear" w:color="auto" w:fill="E5FBFF"/>
                                </w:tcPr>
                                <w:p w14:paraId="0DD3667F" w14:textId="77777777" w:rsidR="00084F36" w:rsidRDefault="00EB2BD8">
                                  <w:pPr>
                                    <w:pStyle w:val="TableParagraph"/>
                                    <w:spacing w:before="115"/>
                                    <w:ind w:right="110"/>
                                    <w:jc w:val="right"/>
                                    <w:rPr>
                                      <w:sz w:val="16"/>
                                    </w:rPr>
                                  </w:pPr>
                                  <w:r>
                                    <w:rPr>
                                      <w:w w:val="105"/>
                                      <w:sz w:val="16"/>
                                    </w:rPr>
                                    <w:t>0</w:t>
                                  </w:r>
                                </w:p>
                              </w:tc>
                              <w:tc>
                                <w:tcPr>
                                  <w:tcW w:w="964" w:type="dxa"/>
                                  <w:tcBorders>
                                    <w:top w:val="single" w:sz="2" w:space="0" w:color="000000"/>
                                    <w:bottom w:val="single" w:sz="2" w:space="0" w:color="000000"/>
                                  </w:tcBorders>
                                </w:tcPr>
                                <w:p w14:paraId="020FCE90" w14:textId="77777777" w:rsidR="00084F36" w:rsidRDefault="00EB2BD8">
                                  <w:pPr>
                                    <w:pStyle w:val="TableParagraph"/>
                                    <w:spacing w:before="115"/>
                                    <w:ind w:right="111"/>
                                    <w:jc w:val="right"/>
                                    <w:rPr>
                                      <w:sz w:val="16"/>
                                    </w:rPr>
                                  </w:pPr>
                                  <w:r>
                                    <w:rPr>
                                      <w:w w:val="105"/>
                                      <w:sz w:val="16"/>
                                    </w:rPr>
                                    <w:t>0</w:t>
                                  </w:r>
                                </w:p>
                              </w:tc>
                            </w:tr>
                            <w:tr w:rsidR="00084F36" w14:paraId="2C8D239D" w14:textId="77777777">
                              <w:trPr>
                                <w:trHeight w:val="381"/>
                              </w:trPr>
                              <w:tc>
                                <w:tcPr>
                                  <w:tcW w:w="3005" w:type="dxa"/>
                                  <w:gridSpan w:val="2"/>
                                  <w:tcBorders>
                                    <w:top w:val="single" w:sz="2" w:space="0" w:color="000000"/>
                                    <w:bottom w:val="single" w:sz="2" w:space="0" w:color="000000"/>
                                  </w:tcBorders>
                                </w:tcPr>
                                <w:p w14:paraId="075D0EEF" w14:textId="77777777" w:rsidR="00084F36" w:rsidRDefault="00EB2BD8">
                                  <w:pPr>
                                    <w:pStyle w:val="TableParagraph"/>
                                    <w:spacing w:before="115"/>
                                    <w:ind w:left="624"/>
                                    <w:rPr>
                                      <w:sz w:val="16"/>
                                    </w:rPr>
                                  </w:pPr>
                                  <w:r>
                                    <w:rPr>
                                      <w:sz w:val="16"/>
                                    </w:rPr>
                                    <w:t>LPG</w:t>
                                  </w:r>
                                  <w:r>
                                    <w:rPr>
                                      <w:spacing w:val="5"/>
                                      <w:sz w:val="16"/>
                                    </w:rPr>
                                    <w:t xml:space="preserve"> </w:t>
                                  </w:r>
                                  <w:r>
                                    <w:rPr>
                                      <w:sz w:val="16"/>
                                    </w:rPr>
                                    <w:t>(tonnes</w:t>
                                  </w:r>
                                  <w:r>
                                    <w:rPr>
                                      <w:spacing w:val="5"/>
                                      <w:sz w:val="16"/>
                                    </w:rPr>
                                    <w:t xml:space="preserve"> </w:t>
                                  </w:r>
                                  <w:r>
                                    <w:rPr>
                                      <w:sz w:val="16"/>
                                    </w:rPr>
                                    <w:t>CO2-</w:t>
                                  </w:r>
                                  <w:r>
                                    <w:rPr>
                                      <w:spacing w:val="-5"/>
                                      <w:sz w:val="16"/>
                                    </w:rPr>
                                    <w:t>e)</w:t>
                                  </w:r>
                                </w:p>
                              </w:tc>
                              <w:tc>
                                <w:tcPr>
                                  <w:tcW w:w="964" w:type="dxa"/>
                                  <w:tcBorders>
                                    <w:top w:val="single" w:sz="2" w:space="0" w:color="000000"/>
                                    <w:bottom w:val="single" w:sz="2" w:space="0" w:color="000000"/>
                                  </w:tcBorders>
                                  <w:shd w:val="clear" w:color="auto" w:fill="E5FBFF"/>
                                </w:tcPr>
                                <w:p w14:paraId="1812980E" w14:textId="77777777" w:rsidR="00084F36" w:rsidRDefault="00EB2BD8">
                                  <w:pPr>
                                    <w:pStyle w:val="TableParagraph"/>
                                    <w:spacing w:before="115"/>
                                    <w:ind w:right="110"/>
                                    <w:jc w:val="right"/>
                                    <w:rPr>
                                      <w:sz w:val="16"/>
                                    </w:rPr>
                                  </w:pPr>
                                  <w:r>
                                    <w:rPr>
                                      <w:w w:val="105"/>
                                      <w:sz w:val="16"/>
                                    </w:rPr>
                                    <w:t>0</w:t>
                                  </w:r>
                                </w:p>
                              </w:tc>
                              <w:tc>
                                <w:tcPr>
                                  <w:tcW w:w="964" w:type="dxa"/>
                                  <w:tcBorders>
                                    <w:top w:val="single" w:sz="2" w:space="0" w:color="000000"/>
                                    <w:bottom w:val="single" w:sz="2" w:space="0" w:color="000000"/>
                                  </w:tcBorders>
                                </w:tcPr>
                                <w:p w14:paraId="1C601187" w14:textId="77777777" w:rsidR="00084F36" w:rsidRDefault="00EB2BD8">
                                  <w:pPr>
                                    <w:pStyle w:val="TableParagraph"/>
                                    <w:spacing w:before="115"/>
                                    <w:ind w:right="110"/>
                                    <w:jc w:val="right"/>
                                    <w:rPr>
                                      <w:sz w:val="16"/>
                                    </w:rPr>
                                  </w:pPr>
                                  <w:r>
                                    <w:rPr>
                                      <w:w w:val="105"/>
                                      <w:sz w:val="16"/>
                                    </w:rPr>
                                    <w:t>0</w:t>
                                  </w:r>
                                </w:p>
                              </w:tc>
                            </w:tr>
                            <w:tr w:rsidR="00084F36" w14:paraId="40BE5508" w14:textId="77777777">
                              <w:trPr>
                                <w:trHeight w:val="611"/>
                              </w:trPr>
                              <w:tc>
                                <w:tcPr>
                                  <w:tcW w:w="466" w:type="dxa"/>
                                  <w:tcBorders>
                                    <w:top w:val="single" w:sz="2" w:space="0" w:color="000000"/>
                                    <w:bottom w:val="single" w:sz="2" w:space="0" w:color="000000"/>
                                  </w:tcBorders>
                                </w:tcPr>
                                <w:p w14:paraId="3D9C0106" w14:textId="77777777" w:rsidR="00084F36" w:rsidRDefault="00EB2BD8">
                                  <w:pPr>
                                    <w:pStyle w:val="TableParagraph"/>
                                    <w:spacing w:before="115"/>
                                    <w:ind w:left="114"/>
                                    <w:rPr>
                                      <w:sz w:val="16"/>
                                    </w:rPr>
                                  </w:pPr>
                                  <w:r>
                                    <w:rPr>
                                      <w:spacing w:val="-5"/>
                                      <w:w w:val="105"/>
                                      <w:sz w:val="16"/>
                                    </w:rPr>
                                    <w:t>E3</w:t>
                                  </w:r>
                                </w:p>
                              </w:tc>
                              <w:tc>
                                <w:tcPr>
                                  <w:tcW w:w="2539" w:type="dxa"/>
                                  <w:tcBorders>
                                    <w:top w:val="single" w:sz="2" w:space="0" w:color="000000"/>
                                    <w:bottom w:val="single" w:sz="2" w:space="0" w:color="000000"/>
                                  </w:tcBorders>
                                </w:tcPr>
                                <w:p w14:paraId="24E0057E" w14:textId="77777777" w:rsidR="00084F36" w:rsidRDefault="00EB2BD8">
                                  <w:pPr>
                                    <w:pStyle w:val="TableParagraph"/>
                                    <w:spacing w:before="115" w:line="292" w:lineRule="auto"/>
                                    <w:ind w:left="158" w:right="52"/>
                                    <w:rPr>
                                      <w:sz w:val="16"/>
                                    </w:rPr>
                                  </w:pPr>
                                  <w:r>
                                    <w:rPr>
                                      <w:spacing w:val="-2"/>
                                      <w:w w:val="105"/>
                                      <w:sz w:val="16"/>
                                    </w:rPr>
                                    <w:t>Percentage</w:t>
                                  </w:r>
                                  <w:r>
                                    <w:rPr>
                                      <w:spacing w:val="-17"/>
                                      <w:w w:val="105"/>
                                      <w:sz w:val="16"/>
                                    </w:rPr>
                                    <w:t xml:space="preserve"> </w:t>
                                  </w:r>
                                  <w:r>
                                    <w:rPr>
                                      <w:spacing w:val="-2"/>
                                      <w:w w:val="105"/>
                                      <w:sz w:val="16"/>
                                    </w:rPr>
                                    <w:t>of</w:t>
                                  </w:r>
                                  <w:r>
                                    <w:rPr>
                                      <w:spacing w:val="-17"/>
                                      <w:w w:val="105"/>
                                      <w:sz w:val="16"/>
                                    </w:rPr>
                                    <w:t xml:space="preserve"> </w:t>
                                  </w:r>
                                  <w:r>
                                    <w:rPr>
                                      <w:spacing w:val="-2"/>
                                      <w:w w:val="105"/>
                                      <w:sz w:val="16"/>
                                    </w:rPr>
                                    <w:t xml:space="preserve">electricity </w:t>
                                  </w:r>
                                  <w:r>
                                    <w:rPr>
                                      <w:w w:val="105"/>
                                      <w:sz w:val="16"/>
                                    </w:rPr>
                                    <w:t>bought</w:t>
                                  </w:r>
                                  <w:r>
                                    <w:rPr>
                                      <w:spacing w:val="-8"/>
                                      <w:w w:val="105"/>
                                      <w:sz w:val="16"/>
                                    </w:rPr>
                                    <w:t xml:space="preserve"> </w:t>
                                  </w:r>
                                  <w:r>
                                    <w:rPr>
                                      <w:w w:val="105"/>
                                      <w:sz w:val="16"/>
                                    </w:rPr>
                                    <w:t>as</w:t>
                                  </w:r>
                                  <w:r>
                                    <w:rPr>
                                      <w:spacing w:val="-8"/>
                                      <w:w w:val="105"/>
                                      <w:sz w:val="16"/>
                                    </w:rPr>
                                    <w:t xml:space="preserve"> </w:t>
                                  </w:r>
                                  <w:r>
                                    <w:rPr>
                                      <w:w w:val="105"/>
                                      <w:sz w:val="16"/>
                                    </w:rPr>
                                    <w:t>green</w:t>
                                  </w:r>
                                  <w:r>
                                    <w:rPr>
                                      <w:spacing w:val="-8"/>
                                      <w:w w:val="105"/>
                                      <w:sz w:val="16"/>
                                    </w:rPr>
                                    <w:t xml:space="preserve"> </w:t>
                                  </w:r>
                                  <w:r>
                                    <w:rPr>
                                      <w:w w:val="105"/>
                                      <w:sz w:val="16"/>
                                    </w:rPr>
                                    <w:t>power</w:t>
                                  </w:r>
                                </w:p>
                              </w:tc>
                              <w:tc>
                                <w:tcPr>
                                  <w:tcW w:w="964" w:type="dxa"/>
                                  <w:tcBorders>
                                    <w:top w:val="single" w:sz="2" w:space="0" w:color="000000"/>
                                    <w:bottom w:val="single" w:sz="2" w:space="0" w:color="000000"/>
                                  </w:tcBorders>
                                  <w:shd w:val="clear" w:color="auto" w:fill="E5FBFF"/>
                                </w:tcPr>
                                <w:p w14:paraId="413F8319" w14:textId="77777777" w:rsidR="00084F36" w:rsidRDefault="00EB2BD8">
                                  <w:pPr>
                                    <w:pStyle w:val="TableParagraph"/>
                                    <w:spacing w:before="115"/>
                                    <w:ind w:right="110"/>
                                    <w:jc w:val="right"/>
                                    <w:rPr>
                                      <w:sz w:val="16"/>
                                    </w:rPr>
                                  </w:pPr>
                                  <w:r>
                                    <w:rPr>
                                      <w:w w:val="105"/>
                                      <w:sz w:val="16"/>
                                    </w:rPr>
                                    <w:t>0</w:t>
                                  </w:r>
                                </w:p>
                              </w:tc>
                              <w:tc>
                                <w:tcPr>
                                  <w:tcW w:w="964" w:type="dxa"/>
                                  <w:tcBorders>
                                    <w:top w:val="single" w:sz="2" w:space="0" w:color="000000"/>
                                    <w:bottom w:val="single" w:sz="2" w:space="0" w:color="000000"/>
                                  </w:tcBorders>
                                </w:tcPr>
                                <w:p w14:paraId="3C952522" w14:textId="77777777" w:rsidR="00084F36" w:rsidRDefault="00EB2BD8">
                                  <w:pPr>
                                    <w:pStyle w:val="TableParagraph"/>
                                    <w:spacing w:before="115"/>
                                    <w:ind w:right="110"/>
                                    <w:jc w:val="right"/>
                                    <w:rPr>
                                      <w:sz w:val="16"/>
                                    </w:rPr>
                                  </w:pPr>
                                  <w:r>
                                    <w:rPr>
                                      <w:w w:val="105"/>
                                      <w:sz w:val="16"/>
                                    </w:rPr>
                                    <w:t>0</w:t>
                                  </w:r>
                                </w:p>
                              </w:tc>
                            </w:tr>
                          </w:tbl>
                          <w:p w14:paraId="60D0D8EA" w14:textId="77777777" w:rsidR="00084F36" w:rsidRDefault="00084F36">
                            <w:pPr>
                              <w:pStyle w:val="BodyText"/>
                            </w:pPr>
                          </w:p>
                        </w:txbxContent>
                      </wps:txbx>
                      <wps:bodyPr wrap="square" lIns="0" tIns="0" rIns="0" bIns="0" rtlCol="0">
                        <a:noAutofit/>
                      </wps:bodyPr>
                    </wps:wsp>
                  </a:graphicData>
                </a:graphic>
              </wp:inline>
            </w:drawing>
          </mc:Choice>
          <mc:Fallback>
            <w:pict>
              <v:shape w14:anchorId="5866B779" id="Textbox 719" o:spid="_x0000_s1041" type="#_x0000_t202" style="width:252.65pt;height:3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66"/>
                        <w:gridCol w:w="2539"/>
                        <w:gridCol w:w="964"/>
                        <w:gridCol w:w="964"/>
                      </w:tblGrid>
                      <w:tr w:rsidR="00084F36" w14:paraId="39E19297" w14:textId="77777777">
                        <w:trPr>
                          <w:trHeight w:val="386"/>
                        </w:trPr>
                        <w:tc>
                          <w:tcPr>
                            <w:tcW w:w="3005" w:type="dxa"/>
                            <w:gridSpan w:val="2"/>
                            <w:shd w:val="clear" w:color="auto" w:fill="005F83"/>
                          </w:tcPr>
                          <w:p w14:paraId="53D7987B" w14:textId="77777777" w:rsidR="00084F36" w:rsidRDefault="00EB2BD8">
                            <w:pPr>
                              <w:pStyle w:val="TableParagraph"/>
                              <w:spacing w:before="118"/>
                              <w:ind w:left="623"/>
                              <w:rPr>
                                <w:sz w:val="16"/>
                              </w:rPr>
                            </w:pPr>
                            <w:r>
                              <w:rPr>
                                <w:color w:val="FFFFFF"/>
                                <w:spacing w:val="-2"/>
                                <w:w w:val="105"/>
                                <w:sz w:val="16"/>
                              </w:rPr>
                              <w:t>Indicator</w:t>
                            </w:r>
                          </w:p>
                        </w:tc>
                        <w:tc>
                          <w:tcPr>
                            <w:tcW w:w="964" w:type="dxa"/>
                            <w:shd w:val="clear" w:color="auto" w:fill="005F83"/>
                          </w:tcPr>
                          <w:p w14:paraId="11018C84" w14:textId="77777777" w:rsidR="00084F36" w:rsidRDefault="00EB2BD8">
                            <w:pPr>
                              <w:pStyle w:val="TableParagraph"/>
                              <w:spacing w:before="118"/>
                              <w:ind w:right="111"/>
                              <w:jc w:val="right"/>
                              <w:rPr>
                                <w:sz w:val="16"/>
                              </w:rPr>
                            </w:pPr>
                            <w:r>
                              <w:rPr>
                                <w:color w:val="EBEBEA"/>
                                <w:spacing w:val="-2"/>
                                <w:sz w:val="16"/>
                              </w:rPr>
                              <w:t>2022–23</w:t>
                            </w:r>
                          </w:p>
                        </w:tc>
                        <w:tc>
                          <w:tcPr>
                            <w:tcW w:w="964" w:type="dxa"/>
                            <w:shd w:val="clear" w:color="auto" w:fill="005F83"/>
                          </w:tcPr>
                          <w:p w14:paraId="037851AA" w14:textId="77777777" w:rsidR="00084F36" w:rsidRDefault="00EB2BD8">
                            <w:pPr>
                              <w:pStyle w:val="TableParagraph"/>
                              <w:spacing w:before="118"/>
                              <w:ind w:right="112"/>
                              <w:jc w:val="right"/>
                              <w:rPr>
                                <w:sz w:val="16"/>
                              </w:rPr>
                            </w:pPr>
                            <w:r>
                              <w:rPr>
                                <w:color w:val="EBEBEA"/>
                                <w:spacing w:val="-2"/>
                                <w:sz w:val="16"/>
                              </w:rPr>
                              <w:t>2020–21</w:t>
                            </w:r>
                          </w:p>
                        </w:tc>
                      </w:tr>
                      <w:tr w:rsidR="00084F36" w14:paraId="58852618" w14:textId="77777777">
                        <w:trPr>
                          <w:trHeight w:val="614"/>
                        </w:trPr>
                        <w:tc>
                          <w:tcPr>
                            <w:tcW w:w="466" w:type="dxa"/>
                            <w:tcBorders>
                              <w:bottom w:val="single" w:sz="2" w:space="0" w:color="000000"/>
                            </w:tcBorders>
                          </w:tcPr>
                          <w:p w14:paraId="1DC18EAA" w14:textId="77777777" w:rsidR="00084F36" w:rsidRDefault="00EB2BD8">
                            <w:pPr>
                              <w:pStyle w:val="TableParagraph"/>
                              <w:spacing w:before="118"/>
                              <w:ind w:left="113"/>
                              <w:rPr>
                                <w:sz w:val="16"/>
                              </w:rPr>
                            </w:pPr>
                            <w:r>
                              <w:rPr>
                                <w:spacing w:val="-5"/>
                                <w:w w:val="95"/>
                                <w:sz w:val="16"/>
                              </w:rPr>
                              <w:t>E1</w:t>
                            </w:r>
                          </w:p>
                        </w:tc>
                        <w:tc>
                          <w:tcPr>
                            <w:tcW w:w="2539" w:type="dxa"/>
                            <w:tcBorders>
                              <w:bottom w:val="single" w:sz="2" w:space="0" w:color="000000"/>
                            </w:tcBorders>
                          </w:tcPr>
                          <w:p w14:paraId="258AC123" w14:textId="77777777" w:rsidR="00084F36" w:rsidRDefault="00EB2BD8">
                            <w:pPr>
                              <w:pStyle w:val="TableParagraph"/>
                              <w:spacing w:before="118" w:line="292" w:lineRule="auto"/>
                              <w:ind w:left="157" w:right="52"/>
                              <w:rPr>
                                <w:sz w:val="16"/>
                              </w:rPr>
                            </w:pPr>
                            <w:r>
                              <w:rPr>
                                <w:sz w:val="16"/>
                              </w:rPr>
                              <w:t>Total</w:t>
                            </w:r>
                            <w:r>
                              <w:rPr>
                                <w:spacing w:val="-14"/>
                                <w:sz w:val="16"/>
                              </w:rPr>
                              <w:t xml:space="preserve"> </w:t>
                            </w:r>
                            <w:r>
                              <w:rPr>
                                <w:sz w:val="16"/>
                              </w:rPr>
                              <w:t>energy</w:t>
                            </w:r>
                            <w:r>
                              <w:rPr>
                                <w:spacing w:val="-14"/>
                                <w:sz w:val="16"/>
                              </w:rPr>
                              <w:t xml:space="preserve"> </w:t>
                            </w:r>
                            <w:r>
                              <w:rPr>
                                <w:sz w:val="16"/>
                              </w:rPr>
                              <w:t>usage</w:t>
                            </w:r>
                            <w:r>
                              <w:rPr>
                                <w:spacing w:val="-14"/>
                                <w:sz w:val="16"/>
                              </w:rPr>
                              <w:t xml:space="preserve"> </w:t>
                            </w:r>
                            <w:r>
                              <w:rPr>
                                <w:sz w:val="16"/>
                              </w:rPr>
                              <w:t xml:space="preserve">segment </w:t>
                            </w:r>
                            <w:r>
                              <w:rPr>
                                <w:w w:val="105"/>
                                <w:sz w:val="16"/>
                              </w:rPr>
                              <w:t>by primary source (MJ)</w:t>
                            </w:r>
                          </w:p>
                        </w:tc>
                        <w:tc>
                          <w:tcPr>
                            <w:tcW w:w="964" w:type="dxa"/>
                            <w:tcBorders>
                              <w:bottom w:val="single" w:sz="2" w:space="0" w:color="000000"/>
                            </w:tcBorders>
                            <w:shd w:val="clear" w:color="auto" w:fill="E5FBFF"/>
                          </w:tcPr>
                          <w:p w14:paraId="57202A17" w14:textId="77777777" w:rsidR="00084F36" w:rsidRDefault="00084F36">
                            <w:pPr>
                              <w:pStyle w:val="TableParagraph"/>
                              <w:rPr>
                                <w:rFonts w:ascii="Times New Roman"/>
                                <w:sz w:val="16"/>
                              </w:rPr>
                            </w:pPr>
                          </w:p>
                        </w:tc>
                        <w:tc>
                          <w:tcPr>
                            <w:tcW w:w="964" w:type="dxa"/>
                            <w:tcBorders>
                              <w:bottom w:val="single" w:sz="2" w:space="0" w:color="000000"/>
                            </w:tcBorders>
                          </w:tcPr>
                          <w:p w14:paraId="07FB8E0C" w14:textId="77777777" w:rsidR="00084F36" w:rsidRDefault="00084F36">
                            <w:pPr>
                              <w:pStyle w:val="TableParagraph"/>
                              <w:rPr>
                                <w:rFonts w:ascii="Times New Roman"/>
                                <w:sz w:val="16"/>
                              </w:rPr>
                            </w:pPr>
                          </w:p>
                        </w:tc>
                      </w:tr>
                      <w:tr w:rsidR="00084F36" w14:paraId="44DACB7B" w14:textId="77777777">
                        <w:trPr>
                          <w:trHeight w:val="841"/>
                        </w:trPr>
                        <w:tc>
                          <w:tcPr>
                            <w:tcW w:w="3005" w:type="dxa"/>
                            <w:gridSpan w:val="2"/>
                            <w:tcBorders>
                              <w:top w:val="single" w:sz="2" w:space="0" w:color="000000"/>
                              <w:bottom w:val="single" w:sz="2" w:space="0" w:color="000000"/>
                            </w:tcBorders>
                          </w:tcPr>
                          <w:p w14:paraId="0713485B" w14:textId="77777777" w:rsidR="00084F36" w:rsidRDefault="00EB2BD8">
                            <w:pPr>
                              <w:pStyle w:val="TableParagraph"/>
                              <w:spacing w:before="116" w:line="292" w:lineRule="auto"/>
                              <w:ind w:left="623"/>
                              <w:rPr>
                                <w:sz w:val="16"/>
                              </w:rPr>
                            </w:pPr>
                            <w:r>
                              <w:rPr>
                                <w:w w:val="105"/>
                                <w:sz w:val="16"/>
                              </w:rPr>
                              <w:t>Electricity</w:t>
                            </w:r>
                            <w:r>
                              <w:rPr>
                                <w:spacing w:val="-15"/>
                                <w:w w:val="105"/>
                                <w:sz w:val="16"/>
                              </w:rPr>
                              <w:t xml:space="preserve"> </w:t>
                            </w:r>
                            <w:r>
                              <w:rPr>
                                <w:w w:val="105"/>
                                <w:sz w:val="16"/>
                              </w:rPr>
                              <w:t>(MJ)</w:t>
                            </w:r>
                            <w:r>
                              <w:rPr>
                                <w:spacing w:val="-15"/>
                                <w:w w:val="105"/>
                                <w:sz w:val="16"/>
                              </w:rPr>
                              <w:t xml:space="preserve"> </w:t>
                            </w:r>
                            <w:r>
                              <w:rPr>
                                <w:w w:val="105"/>
                                <w:sz w:val="16"/>
                              </w:rPr>
                              <w:t>—</w:t>
                            </w:r>
                            <w:r>
                              <w:rPr>
                                <w:spacing w:val="-14"/>
                                <w:w w:val="105"/>
                                <w:sz w:val="16"/>
                              </w:rPr>
                              <w:t xml:space="preserve"> </w:t>
                            </w:r>
                            <w:r>
                              <w:rPr>
                                <w:w w:val="105"/>
                                <w:sz w:val="16"/>
                              </w:rPr>
                              <w:t xml:space="preserve">excluding </w:t>
                            </w:r>
                            <w:r>
                              <w:rPr>
                                <w:spacing w:val="-2"/>
                                <w:sz w:val="16"/>
                              </w:rPr>
                              <w:t>green</w:t>
                            </w:r>
                            <w:r>
                              <w:rPr>
                                <w:spacing w:val="-12"/>
                                <w:sz w:val="16"/>
                              </w:rPr>
                              <w:t xml:space="preserve"> </w:t>
                            </w:r>
                            <w:r>
                              <w:rPr>
                                <w:spacing w:val="-2"/>
                                <w:sz w:val="16"/>
                              </w:rPr>
                              <w:t>power,</w:t>
                            </w:r>
                            <w:r>
                              <w:rPr>
                                <w:spacing w:val="-12"/>
                                <w:sz w:val="16"/>
                              </w:rPr>
                              <w:t xml:space="preserve"> </w:t>
                            </w:r>
                            <w:r>
                              <w:rPr>
                                <w:spacing w:val="-2"/>
                                <w:sz w:val="16"/>
                              </w:rPr>
                              <w:t>which</w:t>
                            </w:r>
                            <w:r>
                              <w:rPr>
                                <w:spacing w:val="-12"/>
                                <w:sz w:val="16"/>
                              </w:rPr>
                              <w:t xml:space="preserve"> </w:t>
                            </w:r>
                            <w:r>
                              <w:rPr>
                                <w:spacing w:val="-2"/>
                                <w:sz w:val="16"/>
                              </w:rPr>
                              <w:t>is</w:t>
                            </w:r>
                            <w:r>
                              <w:rPr>
                                <w:spacing w:val="-12"/>
                                <w:sz w:val="16"/>
                              </w:rPr>
                              <w:t xml:space="preserve"> </w:t>
                            </w:r>
                            <w:r>
                              <w:rPr>
                                <w:spacing w:val="-2"/>
                                <w:sz w:val="16"/>
                              </w:rPr>
                              <w:t>not</w:t>
                            </w:r>
                            <w:r>
                              <w:rPr>
                                <w:spacing w:val="-12"/>
                                <w:sz w:val="16"/>
                              </w:rPr>
                              <w:t xml:space="preserve"> </w:t>
                            </w:r>
                            <w:r>
                              <w:rPr>
                                <w:spacing w:val="-2"/>
                                <w:sz w:val="16"/>
                              </w:rPr>
                              <w:t xml:space="preserve">yet </w:t>
                            </w:r>
                            <w:r>
                              <w:rPr>
                                <w:spacing w:val="-2"/>
                                <w:w w:val="105"/>
                                <w:sz w:val="16"/>
                              </w:rPr>
                              <w:t>available</w:t>
                            </w:r>
                          </w:p>
                        </w:tc>
                        <w:tc>
                          <w:tcPr>
                            <w:tcW w:w="964" w:type="dxa"/>
                            <w:tcBorders>
                              <w:top w:val="single" w:sz="2" w:space="0" w:color="000000"/>
                              <w:bottom w:val="single" w:sz="2" w:space="0" w:color="000000"/>
                            </w:tcBorders>
                            <w:shd w:val="clear" w:color="auto" w:fill="E5FBFF"/>
                          </w:tcPr>
                          <w:p w14:paraId="09CB722D" w14:textId="77777777" w:rsidR="00084F36" w:rsidRDefault="00EB2BD8">
                            <w:pPr>
                              <w:pStyle w:val="TableParagraph"/>
                              <w:spacing w:before="116"/>
                              <w:ind w:right="112"/>
                              <w:jc w:val="right"/>
                              <w:rPr>
                                <w:sz w:val="16"/>
                              </w:rPr>
                            </w:pPr>
                            <w:r>
                              <w:rPr>
                                <w:spacing w:val="-2"/>
                                <w:w w:val="90"/>
                                <w:sz w:val="16"/>
                              </w:rPr>
                              <w:t>1,266,642</w:t>
                            </w:r>
                          </w:p>
                        </w:tc>
                        <w:tc>
                          <w:tcPr>
                            <w:tcW w:w="964" w:type="dxa"/>
                            <w:tcBorders>
                              <w:top w:val="single" w:sz="2" w:space="0" w:color="000000"/>
                              <w:bottom w:val="single" w:sz="2" w:space="0" w:color="000000"/>
                            </w:tcBorders>
                          </w:tcPr>
                          <w:p w14:paraId="5CE7D4C7" w14:textId="77777777" w:rsidR="00084F36" w:rsidRDefault="00EB2BD8">
                            <w:pPr>
                              <w:pStyle w:val="TableParagraph"/>
                              <w:spacing w:before="116"/>
                              <w:ind w:right="112"/>
                              <w:jc w:val="right"/>
                              <w:rPr>
                                <w:sz w:val="16"/>
                              </w:rPr>
                            </w:pPr>
                            <w:r>
                              <w:rPr>
                                <w:spacing w:val="-2"/>
                                <w:w w:val="85"/>
                                <w:sz w:val="16"/>
                              </w:rPr>
                              <w:t>1,152,450</w:t>
                            </w:r>
                          </w:p>
                        </w:tc>
                      </w:tr>
                      <w:tr w:rsidR="00084F36" w14:paraId="0C4EDA24" w14:textId="77777777">
                        <w:trPr>
                          <w:trHeight w:val="381"/>
                        </w:trPr>
                        <w:tc>
                          <w:tcPr>
                            <w:tcW w:w="3005" w:type="dxa"/>
                            <w:gridSpan w:val="2"/>
                            <w:tcBorders>
                              <w:top w:val="single" w:sz="2" w:space="0" w:color="000000"/>
                              <w:bottom w:val="single" w:sz="2" w:space="0" w:color="000000"/>
                            </w:tcBorders>
                          </w:tcPr>
                          <w:p w14:paraId="18BD0AD2" w14:textId="77777777" w:rsidR="00084F36" w:rsidRDefault="00EB2BD8">
                            <w:pPr>
                              <w:pStyle w:val="TableParagraph"/>
                              <w:spacing w:before="116"/>
                              <w:ind w:left="623"/>
                              <w:rPr>
                                <w:sz w:val="16"/>
                              </w:rPr>
                            </w:pPr>
                            <w:r>
                              <w:rPr>
                                <w:sz w:val="16"/>
                              </w:rPr>
                              <w:t>Natural gas</w:t>
                            </w:r>
                            <w:r>
                              <w:rPr>
                                <w:spacing w:val="1"/>
                                <w:sz w:val="16"/>
                              </w:rPr>
                              <w:t xml:space="preserve"> </w:t>
                            </w:r>
                            <w:r>
                              <w:rPr>
                                <w:spacing w:val="-4"/>
                                <w:sz w:val="16"/>
                              </w:rPr>
                              <w:t>(MJ)</w:t>
                            </w:r>
                          </w:p>
                        </w:tc>
                        <w:tc>
                          <w:tcPr>
                            <w:tcW w:w="964" w:type="dxa"/>
                            <w:tcBorders>
                              <w:top w:val="single" w:sz="2" w:space="0" w:color="000000"/>
                              <w:bottom w:val="single" w:sz="2" w:space="0" w:color="000000"/>
                            </w:tcBorders>
                            <w:shd w:val="clear" w:color="auto" w:fill="E5FBFF"/>
                          </w:tcPr>
                          <w:p w14:paraId="2754EBAA" w14:textId="77777777" w:rsidR="00084F36" w:rsidRDefault="00EB2BD8">
                            <w:pPr>
                              <w:pStyle w:val="TableParagraph"/>
                              <w:spacing w:before="116"/>
                              <w:ind w:right="111"/>
                              <w:jc w:val="right"/>
                              <w:rPr>
                                <w:sz w:val="16"/>
                              </w:rPr>
                            </w:pPr>
                            <w:r>
                              <w:rPr>
                                <w:w w:val="105"/>
                                <w:sz w:val="16"/>
                              </w:rPr>
                              <w:t>0</w:t>
                            </w:r>
                          </w:p>
                        </w:tc>
                        <w:tc>
                          <w:tcPr>
                            <w:tcW w:w="964" w:type="dxa"/>
                            <w:tcBorders>
                              <w:top w:val="single" w:sz="2" w:space="0" w:color="000000"/>
                              <w:bottom w:val="single" w:sz="2" w:space="0" w:color="000000"/>
                            </w:tcBorders>
                          </w:tcPr>
                          <w:p w14:paraId="7FE19645" w14:textId="77777777" w:rsidR="00084F36" w:rsidRDefault="00EB2BD8">
                            <w:pPr>
                              <w:pStyle w:val="TableParagraph"/>
                              <w:spacing w:before="116"/>
                              <w:ind w:right="111"/>
                              <w:jc w:val="right"/>
                              <w:rPr>
                                <w:sz w:val="16"/>
                              </w:rPr>
                            </w:pPr>
                            <w:r>
                              <w:rPr>
                                <w:w w:val="105"/>
                                <w:sz w:val="16"/>
                              </w:rPr>
                              <w:t>0</w:t>
                            </w:r>
                          </w:p>
                        </w:tc>
                      </w:tr>
                      <w:tr w:rsidR="00084F36" w14:paraId="5675DE03" w14:textId="77777777">
                        <w:trPr>
                          <w:trHeight w:val="381"/>
                        </w:trPr>
                        <w:tc>
                          <w:tcPr>
                            <w:tcW w:w="3005" w:type="dxa"/>
                            <w:gridSpan w:val="2"/>
                            <w:tcBorders>
                              <w:top w:val="single" w:sz="2" w:space="0" w:color="000000"/>
                              <w:bottom w:val="single" w:sz="2" w:space="0" w:color="000000"/>
                            </w:tcBorders>
                          </w:tcPr>
                          <w:p w14:paraId="48136155" w14:textId="77777777" w:rsidR="00084F36" w:rsidRDefault="00EB2BD8">
                            <w:pPr>
                              <w:pStyle w:val="TableParagraph"/>
                              <w:spacing w:before="115"/>
                              <w:ind w:left="623"/>
                              <w:rPr>
                                <w:sz w:val="16"/>
                              </w:rPr>
                            </w:pPr>
                            <w:r>
                              <w:rPr>
                                <w:sz w:val="16"/>
                              </w:rPr>
                              <w:t>Green</w:t>
                            </w:r>
                            <w:r>
                              <w:rPr>
                                <w:spacing w:val="-8"/>
                                <w:sz w:val="16"/>
                              </w:rPr>
                              <w:t xml:space="preserve"> </w:t>
                            </w:r>
                            <w:r>
                              <w:rPr>
                                <w:sz w:val="16"/>
                              </w:rPr>
                              <w:t>power</w:t>
                            </w:r>
                            <w:r>
                              <w:rPr>
                                <w:spacing w:val="-8"/>
                                <w:sz w:val="16"/>
                              </w:rPr>
                              <w:t xml:space="preserve"> </w:t>
                            </w:r>
                            <w:r>
                              <w:rPr>
                                <w:spacing w:val="-4"/>
                                <w:sz w:val="16"/>
                              </w:rPr>
                              <w:t>(MJ)</w:t>
                            </w:r>
                          </w:p>
                        </w:tc>
                        <w:tc>
                          <w:tcPr>
                            <w:tcW w:w="964" w:type="dxa"/>
                            <w:tcBorders>
                              <w:top w:val="single" w:sz="2" w:space="0" w:color="000000"/>
                              <w:bottom w:val="single" w:sz="2" w:space="0" w:color="000000"/>
                            </w:tcBorders>
                            <w:shd w:val="clear" w:color="auto" w:fill="E5FBFF"/>
                          </w:tcPr>
                          <w:p w14:paraId="2A89D3F2" w14:textId="77777777" w:rsidR="00084F36" w:rsidRDefault="00EB2BD8">
                            <w:pPr>
                              <w:pStyle w:val="TableParagraph"/>
                              <w:spacing w:before="115"/>
                              <w:ind w:right="111"/>
                              <w:jc w:val="right"/>
                              <w:rPr>
                                <w:sz w:val="16"/>
                              </w:rPr>
                            </w:pPr>
                            <w:r>
                              <w:rPr>
                                <w:w w:val="105"/>
                                <w:sz w:val="16"/>
                              </w:rPr>
                              <w:t>0</w:t>
                            </w:r>
                          </w:p>
                        </w:tc>
                        <w:tc>
                          <w:tcPr>
                            <w:tcW w:w="964" w:type="dxa"/>
                            <w:tcBorders>
                              <w:top w:val="single" w:sz="2" w:space="0" w:color="000000"/>
                              <w:bottom w:val="single" w:sz="2" w:space="0" w:color="000000"/>
                            </w:tcBorders>
                          </w:tcPr>
                          <w:p w14:paraId="0494AB22" w14:textId="77777777" w:rsidR="00084F36" w:rsidRDefault="00EB2BD8">
                            <w:pPr>
                              <w:pStyle w:val="TableParagraph"/>
                              <w:spacing w:before="115"/>
                              <w:ind w:right="111"/>
                              <w:jc w:val="right"/>
                              <w:rPr>
                                <w:sz w:val="16"/>
                              </w:rPr>
                            </w:pPr>
                            <w:r>
                              <w:rPr>
                                <w:w w:val="105"/>
                                <w:sz w:val="16"/>
                              </w:rPr>
                              <w:t>0</w:t>
                            </w:r>
                          </w:p>
                        </w:tc>
                      </w:tr>
                      <w:tr w:rsidR="00084F36" w14:paraId="5F248CAE" w14:textId="77777777">
                        <w:trPr>
                          <w:trHeight w:val="381"/>
                        </w:trPr>
                        <w:tc>
                          <w:tcPr>
                            <w:tcW w:w="3005" w:type="dxa"/>
                            <w:gridSpan w:val="2"/>
                            <w:tcBorders>
                              <w:top w:val="single" w:sz="2" w:space="0" w:color="000000"/>
                              <w:bottom w:val="single" w:sz="2" w:space="0" w:color="000000"/>
                            </w:tcBorders>
                          </w:tcPr>
                          <w:p w14:paraId="02D30ECE" w14:textId="77777777" w:rsidR="00084F36" w:rsidRDefault="00EB2BD8">
                            <w:pPr>
                              <w:pStyle w:val="TableParagraph"/>
                              <w:spacing w:before="115"/>
                              <w:ind w:left="624"/>
                              <w:rPr>
                                <w:sz w:val="16"/>
                              </w:rPr>
                            </w:pPr>
                            <w:r>
                              <w:rPr>
                                <w:w w:val="110"/>
                                <w:sz w:val="16"/>
                              </w:rPr>
                              <w:t>LPG</w:t>
                            </w:r>
                            <w:r>
                              <w:rPr>
                                <w:spacing w:val="-14"/>
                                <w:w w:val="110"/>
                                <w:sz w:val="16"/>
                              </w:rPr>
                              <w:t xml:space="preserve"> </w:t>
                            </w:r>
                            <w:r>
                              <w:rPr>
                                <w:spacing w:val="-4"/>
                                <w:w w:val="110"/>
                                <w:sz w:val="16"/>
                              </w:rPr>
                              <w:t>(MJ)</w:t>
                            </w:r>
                          </w:p>
                        </w:tc>
                        <w:tc>
                          <w:tcPr>
                            <w:tcW w:w="964" w:type="dxa"/>
                            <w:tcBorders>
                              <w:top w:val="single" w:sz="2" w:space="0" w:color="000000"/>
                              <w:bottom w:val="single" w:sz="2" w:space="0" w:color="000000"/>
                            </w:tcBorders>
                            <w:shd w:val="clear" w:color="auto" w:fill="E5FBFF"/>
                          </w:tcPr>
                          <w:p w14:paraId="75EBB605" w14:textId="77777777" w:rsidR="00084F36" w:rsidRDefault="00EB2BD8">
                            <w:pPr>
                              <w:pStyle w:val="TableParagraph"/>
                              <w:spacing w:before="115"/>
                              <w:ind w:right="111"/>
                              <w:jc w:val="right"/>
                              <w:rPr>
                                <w:sz w:val="16"/>
                              </w:rPr>
                            </w:pPr>
                            <w:r>
                              <w:rPr>
                                <w:w w:val="105"/>
                                <w:sz w:val="16"/>
                              </w:rPr>
                              <w:t>0</w:t>
                            </w:r>
                          </w:p>
                        </w:tc>
                        <w:tc>
                          <w:tcPr>
                            <w:tcW w:w="964" w:type="dxa"/>
                            <w:tcBorders>
                              <w:top w:val="single" w:sz="2" w:space="0" w:color="000000"/>
                              <w:bottom w:val="single" w:sz="2" w:space="0" w:color="000000"/>
                            </w:tcBorders>
                          </w:tcPr>
                          <w:p w14:paraId="6EB2DF11" w14:textId="77777777" w:rsidR="00084F36" w:rsidRDefault="00EB2BD8">
                            <w:pPr>
                              <w:pStyle w:val="TableParagraph"/>
                              <w:spacing w:before="115"/>
                              <w:ind w:right="111"/>
                              <w:jc w:val="right"/>
                              <w:rPr>
                                <w:sz w:val="16"/>
                              </w:rPr>
                            </w:pPr>
                            <w:r>
                              <w:rPr>
                                <w:w w:val="105"/>
                                <w:sz w:val="16"/>
                              </w:rPr>
                              <w:t>0</w:t>
                            </w:r>
                          </w:p>
                        </w:tc>
                      </w:tr>
                      <w:tr w:rsidR="00084F36" w14:paraId="38AD5C8B" w14:textId="77777777">
                        <w:trPr>
                          <w:trHeight w:val="841"/>
                        </w:trPr>
                        <w:tc>
                          <w:tcPr>
                            <w:tcW w:w="466" w:type="dxa"/>
                            <w:tcBorders>
                              <w:top w:val="single" w:sz="2" w:space="0" w:color="000000"/>
                              <w:bottom w:val="single" w:sz="2" w:space="0" w:color="000000"/>
                            </w:tcBorders>
                          </w:tcPr>
                          <w:p w14:paraId="1835D2A5" w14:textId="77777777" w:rsidR="00084F36" w:rsidRDefault="00EB2BD8">
                            <w:pPr>
                              <w:pStyle w:val="TableParagraph"/>
                              <w:spacing w:before="115"/>
                              <w:ind w:left="114"/>
                              <w:rPr>
                                <w:sz w:val="16"/>
                              </w:rPr>
                            </w:pPr>
                            <w:r>
                              <w:rPr>
                                <w:spacing w:val="-5"/>
                                <w:sz w:val="16"/>
                              </w:rPr>
                              <w:t>E2</w:t>
                            </w:r>
                          </w:p>
                        </w:tc>
                        <w:tc>
                          <w:tcPr>
                            <w:tcW w:w="2539" w:type="dxa"/>
                            <w:tcBorders>
                              <w:top w:val="single" w:sz="2" w:space="0" w:color="000000"/>
                              <w:bottom w:val="single" w:sz="2" w:space="0" w:color="000000"/>
                            </w:tcBorders>
                          </w:tcPr>
                          <w:p w14:paraId="63DEB8D7" w14:textId="77777777" w:rsidR="00084F36" w:rsidRDefault="00EB2BD8">
                            <w:pPr>
                              <w:pStyle w:val="TableParagraph"/>
                              <w:spacing w:before="115" w:line="292" w:lineRule="auto"/>
                              <w:ind w:left="158" w:right="52"/>
                              <w:rPr>
                                <w:sz w:val="16"/>
                              </w:rPr>
                            </w:pPr>
                            <w:r>
                              <w:rPr>
                                <w:sz w:val="16"/>
                              </w:rPr>
                              <w:t>Total greenhouse gas emission from energy consumption</w:t>
                            </w:r>
                            <w:r>
                              <w:rPr>
                                <w:spacing w:val="-14"/>
                                <w:sz w:val="16"/>
                              </w:rPr>
                              <w:t xml:space="preserve"> </w:t>
                            </w:r>
                            <w:r>
                              <w:rPr>
                                <w:sz w:val="16"/>
                              </w:rPr>
                              <w:t>(tonnes</w:t>
                            </w:r>
                            <w:r>
                              <w:rPr>
                                <w:spacing w:val="-14"/>
                                <w:sz w:val="16"/>
                              </w:rPr>
                              <w:t xml:space="preserve"> </w:t>
                            </w:r>
                            <w:r>
                              <w:rPr>
                                <w:sz w:val="16"/>
                              </w:rPr>
                              <w:t>CO2-e)</w:t>
                            </w:r>
                          </w:p>
                        </w:tc>
                        <w:tc>
                          <w:tcPr>
                            <w:tcW w:w="964" w:type="dxa"/>
                            <w:tcBorders>
                              <w:top w:val="single" w:sz="2" w:space="0" w:color="000000"/>
                              <w:bottom w:val="single" w:sz="2" w:space="0" w:color="000000"/>
                            </w:tcBorders>
                            <w:shd w:val="clear" w:color="auto" w:fill="E5FBFF"/>
                          </w:tcPr>
                          <w:p w14:paraId="7265F315" w14:textId="77777777" w:rsidR="00084F36" w:rsidRDefault="00084F36">
                            <w:pPr>
                              <w:pStyle w:val="TableParagraph"/>
                              <w:rPr>
                                <w:rFonts w:ascii="Times New Roman"/>
                                <w:sz w:val="16"/>
                              </w:rPr>
                            </w:pPr>
                          </w:p>
                        </w:tc>
                        <w:tc>
                          <w:tcPr>
                            <w:tcW w:w="964" w:type="dxa"/>
                            <w:tcBorders>
                              <w:top w:val="single" w:sz="2" w:space="0" w:color="000000"/>
                              <w:bottom w:val="single" w:sz="2" w:space="0" w:color="000000"/>
                            </w:tcBorders>
                          </w:tcPr>
                          <w:p w14:paraId="4C2B6ACF" w14:textId="77777777" w:rsidR="00084F36" w:rsidRDefault="00084F36">
                            <w:pPr>
                              <w:pStyle w:val="TableParagraph"/>
                              <w:rPr>
                                <w:rFonts w:ascii="Times New Roman"/>
                                <w:sz w:val="16"/>
                              </w:rPr>
                            </w:pPr>
                          </w:p>
                        </w:tc>
                      </w:tr>
                      <w:tr w:rsidR="00084F36" w14:paraId="307BF398" w14:textId="77777777">
                        <w:trPr>
                          <w:trHeight w:val="611"/>
                        </w:trPr>
                        <w:tc>
                          <w:tcPr>
                            <w:tcW w:w="3005" w:type="dxa"/>
                            <w:gridSpan w:val="2"/>
                            <w:tcBorders>
                              <w:top w:val="single" w:sz="2" w:space="0" w:color="000000"/>
                              <w:bottom w:val="single" w:sz="2" w:space="0" w:color="000000"/>
                            </w:tcBorders>
                          </w:tcPr>
                          <w:p w14:paraId="6DC41610" w14:textId="77777777" w:rsidR="00084F36" w:rsidRDefault="00EB2BD8">
                            <w:pPr>
                              <w:pStyle w:val="TableParagraph"/>
                              <w:spacing w:before="115" w:line="292" w:lineRule="auto"/>
                              <w:ind w:left="624"/>
                              <w:rPr>
                                <w:sz w:val="16"/>
                              </w:rPr>
                            </w:pPr>
                            <w:r>
                              <w:rPr>
                                <w:sz w:val="16"/>
                              </w:rPr>
                              <w:t>Electricity</w:t>
                            </w:r>
                            <w:r>
                              <w:rPr>
                                <w:spacing w:val="-13"/>
                                <w:sz w:val="16"/>
                              </w:rPr>
                              <w:t xml:space="preserve"> </w:t>
                            </w:r>
                            <w:r>
                              <w:rPr>
                                <w:sz w:val="16"/>
                              </w:rPr>
                              <w:t>(tonnes</w:t>
                            </w:r>
                            <w:r>
                              <w:rPr>
                                <w:spacing w:val="-13"/>
                                <w:sz w:val="16"/>
                              </w:rPr>
                              <w:t xml:space="preserve"> </w:t>
                            </w:r>
                            <w:r>
                              <w:rPr>
                                <w:sz w:val="16"/>
                              </w:rPr>
                              <w:t>CO2-e)</w:t>
                            </w:r>
                            <w:r>
                              <w:rPr>
                                <w:spacing w:val="-12"/>
                                <w:sz w:val="16"/>
                              </w:rPr>
                              <w:t xml:space="preserve"> </w:t>
                            </w:r>
                            <w:r>
                              <w:rPr>
                                <w:sz w:val="16"/>
                              </w:rPr>
                              <w:t xml:space="preserve">— </w:t>
                            </w:r>
                            <w:r>
                              <w:rPr>
                                <w:w w:val="105"/>
                                <w:sz w:val="16"/>
                              </w:rPr>
                              <w:t>excluding green power</w:t>
                            </w:r>
                          </w:p>
                        </w:tc>
                        <w:tc>
                          <w:tcPr>
                            <w:tcW w:w="964" w:type="dxa"/>
                            <w:tcBorders>
                              <w:top w:val="single" w:sz="2" w:space="0" w:color="000000"/>
                              <w:bottom w:val="single" w:sz="2" w:space="0" w:color="000000"/>
                            </w:tcBorders>
                            <w:shd w:val="clear" w:color="auto" w:fill="E5FBFF"/>
                          </w:tcPr>
                          <w:p w14:paraId="168F4E4A" w14:textId="77777777" w:rsidR="00084F36" w:rsidRDefault="00EB2BD8">
                            <w:pPr>
                              <w:pStyle w:val="TableParagraph"/>
                              <w:spacing w:before="115"/>
                              <w:ind w:right="111"/>
                              <w:jc w:val="right"/>
                              <w:rPr>
                                <w:sz w:val="16"/>
                              </w:rPr>
                            </w:pPr>
                            <w:r>
                              <w:rPr>
                                <w:spacing w:val="-5"/>
                                <w:w w:val="90"/>
                                <w:sz w:val="16"/>
                              </w:rPr>
                              <w:t>413</w:t>
                            </w:r>
                          </w:p>
                        </w:tc>
                        <w:tc>
                          <w:tcPr>
                            <w:tcW w:w="964" w:type="dxa"/>
                            <w:tcBorders>
                              <w:top w:val="single" w:sz="2" w:space="0" w:color="000000"/>
                              <w:bottom w:val="single" w:sz="2" w:space="0" w:color="000000"/>
                            </w:tcBorders>
                          </w:tcPr>
                          <w:p w14:paraId="12BB24B5" w14:textId="77777777" w:rsidR="00084F36" w:rsidRDefault="00EB2BD8">
                            <w:pPr>
                              <w:pStyle w:val="TableParagraph"/>
                              <w:spacing w:before="115"/>
                              <w:ind w:right="112"/>
                              <w:jc w:val="right"/>
                              <w:rPr>
                                <w:sz w:val="16"/>
                              </w:rPr>
                            </w:pPr>
                            <w:r>
                              <w:rPr>
                                <w:spacing w:val="-5"/>
                                <w:sz w:val="16"/>
                              </w:rPr>
                              <w:t>376</w:t>
                            </w:r>
                          </w:p>
                        </w:tc>
                      </w:tr>
                      <w:tr w:rsidR="00084F36" w14:paraId="620FA2C0" w14:textId="77777777">
                        <w:trPr>
                          <w:trHeight w:val="381"/>
                        </w:trPr>
                        <w:tc>
                          <w:tcPr>
                            <w:tcW w:w="3005" w:type="dxa"/>
                            <w:gridSpan w:val="2"/>
                            <w:tcBorders>
                              <w:top w:val="single" w:sz="2" w:space="0" w:color="000000"/>
                              <w:bottom w:val="single" w:sz="2" w:space="0" w:color="000000"/>
                            </w:tcBorders>
                          </w:tcPr>
                          <w:p w14:paraId="1E3CDEC5" w14:textId="77777777" w:rsidR="00084F36" w:rsidRDefault="00EB2BD8">
                            <w:pPr>
                              <w:pStyle w:val="TableParagraph"/>
                              <w:spacing w:before="115"/>
                              <w:ind w:left="624"/>
                              <w:rPr>
                                <w:sz w:val="16"/>
                              </w:rPr>
                            </w:pPr>
                            <w:r>
                              <w:rPr>
                                <w:sz w:val="16"/>
                              </w:rPr>
                              <w:t>Natural</w:t>
                            </w:r>
                            <w:r>
                              <w:rPr>
                                <w:spacing w:val="-3"/>
                                <w:sz w:val="16"/>
                              </w:rPr>
                              <w:t xml:space="preserve"> </w:t>
                            </w:r>
                            <w:r>
                              <w:rPr>
                                <w:sz w:val="16"/>
                              </w:rPr>
                              <w:t>gas</w:t>
                            </w:r>
                            <w:r>
                              <w:rPr>
                                <w:spacing w:val="-3"/>
                                <w:sz w:val="16"/>
                              </w:rPr>
                              <w:t xml:space="preserve"> </w:t>
                            </w:r>
                            <w:r>
                              <w:rPr>
                                <w:sz w:val="16"/>
                              </w:rPr>
                              <w:t>(tonnes</w:t>
                            </w:r>
                            <w:r>
                              <w:rPr>
                                <w:spacing w:val="-3"/>
                                <w:sz w:val="16"/>
                              </w:rPr>
                              <w:t xml:space="preserve"> </w:t>
                            </w:r>
                            <w:r>
                              <w:rPr>
                                <w:sz w:val="16"/>
                              </w:rPr>
                              <w:t>CO2-</w:t>
                            </w:r>
                            <w:r>
                              <w:rPr>
                                <w:spacing w:val="-5"/>
                                <w:sz w:val="16"/>
                              </w:rPr>
                              <w:t>e)</w:t>
                            </w:r>
                          </w:p>
                        </w:tc>
                        <w:tc>
                          <w:tcPr>
                            <w:tcW w:w="964" w:type="dxa"/>
                            <w:tcBorders>
                              <w:top w:val="single" w:sz="2" w:space="0" w:color="000000"/>
                              <w:bottom w:val="single" w:sz="2" w:space="0" w:color="000000"/>
                            </w:tcBorders>
                            <w:shd w:val="clear" w:color="auto" w:fill="E5FBFF"/>
                          </w:tcPr>
                          <w:p w14:paraId="203AE929" w14:textId="77777777" w:rsidR="00084F36" w:rsidRDefault="00EB2BD8">
                            <w:pPr>
                              <w:pStyle w:val="TableParagraph"/>
                              <w:spacing w:before="115"/>
                              <w:ind w:right="111"/>
                              <w:jc w:val="right"/>
                              <w:rPr>
                                <w:sz w:val="16"/>
                              </w:rPr>
                            </w:pPr>
                            <w:r>
                              <w:rPr>
                                <w:w w:val="105"/>
                                <w:sz w:val="16"/>
                              </w:rPr>
                              <w:t>0</w:t>
                            </w:r>
                          </w:p>
                        </w:tc>
                        <w:tc>
                          <w:tcPr>
                            <w:tcW w:w="964" w:type="dxa"/>
                            <w:tcBorders>
                              <w:top w:val="single" w:sz="2" w:space="0" w:color="000000"/>
                              <w:bottom w:val="single" w:sz="2" w:space="0" w:color="000000"/>
                            </w:tcBorders>
                          </w:tcPr>
                          <w:p w14:paraId="0F0F8936" w14:textId="77777777" w:rsidR="00084F36" w:rsidRDefault="00EB2BD8">
                            <w:pPr>
                              <w:pStyle w:val="TableParagraph"/>
                              <w:spacing w:before="115"/>
                              <w:ind w:right="111"/>
                              <w:jc w:val="right"/>
                              <w:rPr>
                                <w:sz w:val="16"/>
                              </w:rPr>
                            </w:pPr>
                            <w:r>
                              <w:rPr>
                                <w:w w:val="105"/>
                                <w:sz w:val="16"/>
                              </w:rPr>
                              <w:t>0</w:t>
                            </w:r>
                          </w:p>
                        </w:tc>
                      </w:tr>
                      <w:tr w:rsidR="00084F36" w14:paraId="3374152C" w14:textId="77777777">
                        <w:trPr>
                          <w:trHeight w:val="381"/>
                        </w:trPr>
                        <w:tc>
                          <w:tcPr>
                            <w:tcW w:w="3005" w:type="dxa"/>
                            <w:gridSpan w:val="2"/>
                            <w:tcBorders>
                              <w:top w:val="single" w:sz="2" w:space="0" w:color="000000"/>
                              <w:bottom w:val="single" w:sz="2" w:space="0" w:color="000000"/>
                            </w:tcBorders>
                          </w:tcPr>
                          <w:p w14:paraId="0CE37A31" w14:textId="77777777" w:rsidR="00084F36" w:rsidRDefault="00EB2BD8">
                            <w:pPr>
                              <w:pStyle w:val="TableParagraph"/>
                              <w:spacing w:before="115"/>
                              <w:ind w:left="624"/>
                              <w:rPr>
                                <w:sz w:val="16"/>
                              </w:rPr>
                            </w:pPr>
                            <w:r>
                              <w:rPr>
                                <w:sz w:val="16"/>
                              </w:rPr>
                              <w:t>Green</w:t>
                            </w:r>
                            <w:r>
                              <w:rPr>
                                <w:spacing w:val="-9"/>
                                <w:sz w:val="16"/>
                              </w:rPr>
                              <w:t xml:space="preserve"> </w:t>
                            </w:r>
                            <w:r>
                              <w:rPr>
                                <w:sz w:val="16"/>
                              </w:rPr>
                              <w:t>power</w:t>
                            </w:r>
                            <w:r>
                              <w:rPr>
                                <w:spacing w:val="-8"/>
                                <w:sz w:val="16"/>
                              </w:rPr>
                              <w:t xml:space="preserve"> </w:t>
                            </w:r>
                            <w:r>
                              <w:rPr>
                                <w:sz w:val="16"/>
                              </w:rPr>
                              <w:t>(tonnes</w:t>
                            </w:r>
                            <w:r>
                              <w:rPr>
                                <w:spacing w:val="-9"/>
                                <w:sz w:val="16"/>
                              </w:rPr>
                              <w:t xml:space="preserve"> </w:t>
                            </w:r>
                            <w:r>
                              <w:rPr>
                                <w:sz w:val="16"/>
                              </w:rPr>
                              <w:t>CO2-</w:t>
                            </w:r>
                            <w:r>
                              <w:rPr>
                                <w:spacing w:val="-10"/>
                                <w:sz w:val="16"/>
                              </w:rPr>
                              <w:t>e</w:t>
                            </w:r>
                          </w:p>
                        </w:tc>
                        <w:tc>
                          <w:tcPr>
                            <w:tcW w:w="964" w:type="dxa"/>
                            <w:tcBorders>
                              <w:top w:val="single" w:sz="2" w:space="0" w:color="000000"/>
                              <w:bottom w:val="single" w:sz="2" w:space="0" w:color="000000"/>
                            </w:tcBorders>
                            <w:shd w:val="clear" w:color="auto" w:fill="E5FBFF"/>
                          </w:tcPr>
                          <w:p w14:paraId="0DD3667F" w14:textId="77777777" w:rsidR="00084F36" w:rsidRDefault="00EB2BD8">
                            <w:pPr>
                              <w:pStyle w:val="TableParagraph"/>
                              <w:spacing w:before="115"/>
                              <w:ind w:right="110"/>
                              <w:jc w:val="right"/>
                              <w:rPr>
                                <w:sz w:val="16"/>
                              </w:rPr>
                            </w:pPr>
                            <w:r>
                              <w:rPr>
                                <w:w w:val="105"/>
                                <w:sz w:val="16"/>
                              </w:rPr>
                              <w:t>0</w:t>
                            </w:r>
                          </w:p>
                        </w:tc>
                        <w:tc>
                          <w:tcPr>
                            <w:tcW w:w="964" w:type="dxa"/>
                            <w:tcBorders>
                              <w:top w:val="single" w:sz="2" w:space="0" w:color="000000"/>
                              <w:bottom w:val="single" w:sz="2" w:space="0" w:color="000000"/>
                            </w:tcBorders>
                          </w:tcPr>
                          <w:p w14:paraId="020FCE90" w14:textId="77777777" w:rsidR="00084F36" w:rsidRDefault="00EB2BD8">
                            <w:pPr>
                              <w:pStyle w:val="TableParagraph"/>
                              <w:spacing w:before="115"/>
                              <w:ind w:right="111"/>
                              <w:jc w:val="right"/>
                              <w:rPr>
                                <w:sz w:val="16"/>
                              </w:rPr>
                            </w:pPr>
                            <w:r>
                              <w:rPr>
                                <w:w w:val="105"/>
                                <w:sz w:val="16"/>
                              </w:rPr>
                              <w:t>0</w:t>
                            </w:r>
                          </w:p>
                        </w:tc>
                      </w:tr>
                      <w:tr w:rsidR="00084F36" w14:paraId="2C8D239D" w14:textId="77777777">
                        <w:trPr>
                          <w:trHeight w:val="381"/>
                        </w:trPr>
                        <w:tc>
                          <w:tcPr>
                            <w:tcW w:w="3005" w:type="dxa"/>
                            <w:gridSpan w:val="2"/>
                            <w:tcBorders>
                              <w:top w:val="single" w:sz="2" w:space="0" w:color="000000"/>
                              <w:bottom w:val="single" w:sz="2" w:space="0" w:color="000000"/>
                            </w:tcBorders>
                          </w:tcPr>
                          <w:p w14:paraId="075D0EEF" w14:textId="77777777" w:rsidR="00084F36" w:rsidRDefault="00EB2BD8">
                            <w:pPr>
                              <w:pStyle w:val="TableParagraph"/>
                              <w:spacing w:before="115"/>
                              <w:ind w:left="624"/>
                              <w:rPr>
                                <w:sz w:val="16"/>
                              </w:rPr>
                            </w:pPr>
                            <w:r>
                              <w:rPr>
                                <w:sz w:val="16"/>
                              </w:rPr>
                              <w:t>LPG</w:t>
                            </w:r>
                            <w:r>
                              <w:rPr>
                                <w:spacing w:val="5"/>
                                <w:sz w:val="16"/>
                              </w:rPr>
                              <w:t xml:space="preserve"> </w:t>
                            </w:r>
                            <w:r>
                              <w:rPr>
                                <w:sz w:val="16"/>
                              </w:rPr>
                              <w:t>(tonnes</w:t>
                            </w:r>
                            <w:r>
                              <w:rPr>
                                <w:spacing w:val="5"/>
                                <w:sz w:val="16"/>
                              </w:rPr>
                              <w:t xml:space="preserve"> </w:t>
                            </w:r>
                            <w:r>
                              <w:rPr>
                                <w:sz w:val="16"/>
                              </w:rPr>
                              <w:t>CO2-</w:t>
                            </w:r>
                            <w:r>
                              <w:rPr>
                                <w:spacing w:val="-5"/>
                                <w:sz w:val="16"/>
                              </w:rPr>
                              <w:t>e)</w:t>
                            </w:r>
                          </w:p>
                        </w:tc>
                        <w:tc>
                          <w:tcPr>
                            <w:tcW w:w="964" w:type="dxa"/>
                            <w:tcBorders>
                              <w:top w:val="single" w:sz="2" w:space="0" w:color="000000"/>
                              <w:bottom w:val="single" w:sz="2" w:space="0" w:color="000000"/>
                            </w:tcBorders>
                            <w:shd w:val="clear" w:color="auto" w:fill="E5FBFF"/>
                          </w:tcPr>
                          <w:p w14:paraId="1812980E" w14:textId="77777777" w:rsidR="00084F36" w:rsidRDefault="00EB2BD8">
                            <w:pPr>
                              <w:pStyle w:val="TableParagraph"/>
                              <w:spacing w:before="115"/>
                              <w:ind w:right="110"/>
                              <w:jc w:val="right"/>
                              <w:rPr>
                                <w:sz w:val="16"/>
                              </w:rPr>
                            </w:pPr>
                            <w:r>
                              <w:rPr>
                                <w:w w:val="105"/>
                                <w:sz w:val="16"/>
                              </w:rPr>
                              <w:t>0</w:t>
                            </w:r>
                          </w:p>
                        </w:tc>
                        <w:tc>
                          <w:tcPr>
                            <w:tcW w:w="964" w:type="dxa"/>
                            <w:tcBorders>
                              <w:top w:val="single" w:sz="2" w:space="0" w:color="000000"/>
                              <w:bottom w:val="single" w:sz="2" w:space="0" w:color="000000"/>
                            </w:tcBorders>
                          </w:tcPr>
                          <w:p w14:paraId="1C601187" w14:textId="77777777" w:rsidR="00084F36" w:rsidRDefault="00EB2BD8">
                            <w:pPr>
                              <w:pStyle w:val="TableParagraph"/>
                              <w:spacing w:before="115"/>
                              <w:ind w:right="110"/>
                              <w:jc w:val="right"/>
                              <w:rPr>
                                <w:sz w:val="16"/>
                              </w:rPr>
                            </w:pPr>
                            <w:r>
                              <w:rPr>
                                <w:w w:val="105"/>
                                <w:sz w:val="16"/>
                              </w:rPr>
                              <w:t>0</w:t>
                            </w:r>
                          </w:p>
                        </w:tc>
                      </w:tr>
                      <w:tr w:rsidR="00084F36" w14:paraId="40BE5508" w14:textId="77777777">
                        <w:trPr>
                          <w:trHeight w:val="611"/>
                        </w:trPr>
                        <w:tc>
                          <w:tcPr>
                            <w:tcW w:w="466" w:type="dxa"/>
                            <w:tcBorders>
                              <w:top w:val="single" w:sz="2" w:space="0" w:color="000000"/>
                              <w:bottom w:val="single" w:sz="2" w:space="0" w:color="000000"/>
                            </w:tcBorders>
                          </w:tcPr>
                          <w:p w14:paraId="3D9C0106" w14:textId="77777777" w:rsidR="00084F36" w:rsidRDefault="00EB2BD8">
                            <w:pPr>
                              <w:pStyle w:val="TableParagraph"/>
                              <w:spacing w:before="115"/>
                              <w:ind w:left="114"/>
                              <w:rPr>
                                <w:sz w:val="16"/>
                              </w:rPr>
                            </w:pPr>
                            <w:r>
                              <w:rPr>
                                <w:spacing w:val="-5"/>
                                <w:w w:val="105"/>
                                <w:sz w:val="16"/>
                              </w:rPr>
                              <w:t>E3</w:t>
                            </w:r>
                          </w:p>
                        </w:tc>
                        <w:tc>
                          <w:tcPr>
                            <w:tcW w:w="2539" w:type="dxa"/>
                            <w:tcBorders>
                              <w:top w:val="single" w:sz="2" w:space="0" w:color="000000"/>
                              <w:bottom w:val="single" w:sz="2" w:space="0" w:color="000000"/>
                            </w:tcBorders>
                          </w:tcPr>
                          <w:p w14:paraId="24E0057E" w14:textId="77777777" w:rsidR="00084F36" w:rsidRDefault="00EB2BD8">
                            <w:pPr>
                              <w:pStyle w:val="TableParagraph"/>
                              <w:spacing w:before="115" w:line="292" w:lineRule="auto"/>
                              <w:ind w:left="158" w:right="52"/>
                              <w:rPr>
                                <w:sz w:val="16"/>
                              </w:rPr>
                            </w:pPr>
                            <w:r>
                              <w:rPr>
                                <w:spacing w:val="-2"/>
                                <w:w w:val="105"/>
                                <w:sz w:val="16"/>
                              </w:rPr>
                              <w:t>Percentage</w:t>
                            </w:r>
                            <w:r>
                              <w:rPr>
                                <w:spacing w:val="-17"/>
                                <w:w w:val="105"/>
                                <w:sz w:val="16"/>
                              </w:rPr>
                              <w:t xml:space="preserve"> </w:t>
                            </w:r>
                            <w:r>
                              <w:rPr>
                                <w:spacing w:val="-2"/>
                                <w:w w:val="105"/>
                                <w:sz w:val="16"/>
                              </w:rPr>
                              <w:t>of</w:t>
                            </w:r>
                            <w:r>
                              <w:rPr>
                                <w:spacing w:val="-17"/>
                                <w:w w:val="105"/>
                                <w:sz w:val="16"/>
                              </w:rPr>
                              <w:t xml:space="preserve"> </w:t>
                            </w:r>
                            <w:r>
                              <w:rPr>
                                <w:spacing w:val="-2"/>
                                <w:w w:val="105"/>
                                <w:sz w:val="16"/>
                              </w:rPr>
                              <w:t xml:space="preserve">electricity </w:t>
                            </w:r>
                            <w:r>
                              <w:rPr>
                                <w:w w:val="105"/>
                                <w:sz w:val="16"/>
                              </w:rPr>
                              <w:t>bought</w:t>
                            </w:r>
                            <w:r>
                              <w:rPr>
                                <w:spacing w:val="-8"/>
                                <w:w w:val="105"/>
                                <w:sz w:val="16"/>
                              </w:rPr>
                              <w:t xml:space="preserve"> </w:t>
                            </w:r>
                            <w:r>
                              <w:rPr>
                                <w:w w:val="105"/>
                                <w:sz w:val="16"/>
                              </w:rPr>
                              <w:t>as</w:t>
                            </w:r>
                            <w:r>
                              <w:rPr>
                                <w:spacing w:val="-8"/>
                                <w:w w:val="105"/>
                                <w:sz w:val="16"/>
                              </w:rPr>
                              <w:t xml:space="preserve"> </w:t>
                            </w:r>
                            <w:r>
                              <w:rPr>
                                <w:w w:val="105"/>
                                <w:sz w:val="16"/>
                              </w:rPr>
                              <w:t>green</w:t>
                            </w:r>
                            <w:r>
                              <w:rPr>
                                <w:spacing w:val="-8"/>
                                <w:w w:val="105"/>
                                <w:sz w:val="16"/>
                              </w:rPr>
                              <w:t xml:space="preserve"> </w:t>
                            </w:r>
                            <w:r>
                              <w:rPr>
                                <w:w w:val="105"/>
                                <w:sz w:val="16"/>
                              </w:rPr>
                              <w:t>power</w:t>
                            </w:r>
                          </w:p>
                        </w:tc>
                        <w:tc>
                          <w:tcPr>
                            <w:tcW w:w="964" w:type="dxa"/>
                            <w:tcBorders>
                              <w:top w:val="single" w:sz="2" w:space="0" w:color="000000"/>
                              <w:bottom w:val="single" w:sz="2" w:space="0" w:color="000000"/>
                            </w:tcBorders>
                            <w:shd w:val="clear" w:color="auto" w:fill="E5FBFF"/>
                          </w:tcPr>
                          <w:p w14:paraId="413F8319" w14:textId="77777777" w:rsidR="00084F36" w:rsidRDefault="00EB2BD8">
                            <w:pPr>
                              <w:pStyle w:val="TableParagraph"/>
                              <w:spacing w:before="115"/>
                              <w:ind w:right="110"/>
                              <w:jc w:val="right"/>
                              <w:rPr>
                                <w:sz w:val="16"/>
                              </w:rPr>
                            </w:pPr>
                            <w:r>
                              <w:rPr>
                                <w:w w:val="105"/>
                                <w:sz w:val="16"/>
                              </w:rPr>
                              <w:t>0</w:t>
                            </w:r>
                          </w:p>
                        </w:tc>
                        <w:tc>
                          <w:tcPr>
                            <w:tcW w:w="964" w:type="dxa"/>
                            <w:tcBorders>
                              <w:top w:val="single" w:sz="2" w:space="0" w:color="000000"/>
                              <w:bottom w:val="single" w:sz="2" w:space="0" w:color="000000"/>
                            </w:tcBorders>
                          </w:tcPr>
                          <w:p w14:paraId="3C952522" w14:textId="77777777" w:rsidR="00084F36" w:rsidRDefault="00EB2BD8">
                            <w:pPr>
                              <w:pStyle w:val="TableParagraph"/>
                              <w:spacing w:before="115"/>
                              <w:ind w:right="110"/>
                              <w:jc w:val="right"/>
                              <w:rPr>
                                <w:sz w:val="16"/>
                              </w:rPr>
                            </w:pPr>
                            <w:r>
                              <w:rPr>
                                <w:w w:val="105"/>
                                <w:sz w:val="16"/>
                              </w:rPr>
                              <w:t>0</w:t>
                            </w:r>
                          </w:p>
                        </w:tc>
                      </w:tr>
                    </w:tbl>
                    <w:p w14:paraId="60D0D8EA" w14:textId="77777777" w:rsidR="00084F36" w:rsidRDefault="00084F36">
                      <w:pPr>
                        <w:pStyle w:val="BodyText"/>
                      </w:pPr>
                    </w:p>
                  </w:txbxContent>
                </v:textbox>
                <w10:anchorlock/>
              </v:shape>
            </w:pict>
          </mc:Fallback>
        </mc:AlternateContent>
      </w:r>
      <w:r w:rsidR="00EB2BD8" w:rsidRPr="00EB2BD8">
        <w:br w:type="column"/>
      </w:r>
      <w:r w:rsidR="00C315ED">
        <w:lastRenderedPageBreak/>
        <w:t xml:space="preserve">    </w:t>
      </w:r>
      <w:r w:rsidR="00EB2BD8" w:rsidRPr="00EB2BD8">
        <w:rPr>
          <w:w w:val="105"/>
        </w:rPr>
        <w:t>Waste</w:t>
      </w:r>
      <w:r w:rsidR="00EB2BD8" w:rsidRPr="00EB2BD8">
        <w:rPr>
          <w:spacing w:val="-17"/>
          <w:w w:val="105"/>
        </w:rPr>
        <w:t xml:space="preserve"> </w:t>
      </w:r>
      <w:r w:rsidR="00EB2BD8" w:rsidRPr="00EB2BD8">
        <w:rPr>
          <w:w w:val="105"/>
        </w:rPr>
        <w:t>and</w:t>
      </w:r>
      <w:r w:rsidR="00EB2BD8" w:rsidRPr="00EB2BD8">
        <w:rPr>
          <w:spacing w:val="-16"/>
          <w:w w:val="105"/>
        </w:rPr>
        <w:t xml:space="preserve"> </w:t>
      </w:r>
      <w:r w:rsidR="00EB2BD8" w:rsidRPr="00EB2BD8">
        <w:rPr>
          <w:w w:val="105"/>
        </w:rPr>
        <w:t>recycling</w:t>
      </w:r>
      <w:bookmarkEnd w:id="229"/>
    </w:p>
    <w:p w14:paraId="7D6C29C1" w14:textId="77777777" w:rsidR="00084F36" w:rsidRPr="00EB2BD8" w:rsidRDefault="00EB2BD8">
      <w:pPr>
        <w:spacing w:before="177" w:line="256" w:lineRule="auto"/>
        <w:ind w:left="363" w:right="1188"/>
        <w:rPr>
          <w:sz w:val="19"/>
        </w:rPr>
      </w:pPr>
      <w:r w:rsidRPr="00EB2BD8">
        <w:rPr>
          <w:sz w:val="19"/>
        </w:rPr>
        <w:t>The return-to-office by many employees resulted in increased waste and recycling volumes in some categories. The VBA continues to strive for</w:t>
      </w:r>
    </w:p>
    <w:p w14:paraId="398AC6AD" w14:textId="77777777" w:rsidR="00084F36" w:rsidRDefault="00EB2BD8">
      <w:pPr>
        <w:spacing w:before="2" w:line="256" w:lineRule="auto"/>
        <w:ind w:left="363" w:right="637"/>
        <w:rPr>
          <w:sz w:val="19"/>
        </w:rPr>
      </w:pPr>
      <w:r w:rsidRPr="00EB2BD8">
        <w:rPr>
          <w:sz w:val="19"/>
        </w:rPr>
        <w:t>improvements</w:t>
      </w:r>
      <w:r w:rsidRPr="00EB2BD8">
        <w:rPr>
          <w:spacing w:val="-3"/>
          <w:sz w:val="19"/>
        </w:rPr>
        <w:t xml:space="preserve"> </w:t>
      </w:r>
      <w:r w:rsidRPr="00EB2BD8">
        <w:rPr>
          <w:sz w:val="19"/>
        </w:rPr>
        <w:t>relating</w:t>
      </w:r>
      <w:r w:rsidRPr="00EB2BD8">
        <w:rPr>
          <w:spacing w:val="-3"/>
          <w:sz w:val="19"/>
        </w:rPr>
        <w:t xml:space="preserve"> </w:t>
      </w:r>
      <w:r w:rsidRPr="00EB2BD8">
        <w:rPr>
          <w:sz w:val="19"/>
        </w:rPr>
        <w:t>to</w:t>
      </w:r>
      <w:r w:rsidRPr="00EB2BD8">
        <w:rPr>
          <w:spacing w:val="-3"/>
          <w:sz w:val="19"/>
        </w:rPr>
        <w:t xml:space="preserve"> </w:t>
      </w:r>
      <w:r w:rsidRPr="00EB2BD8">
        <w:rPr>
          <w:sz w:val="19"/>
        </w:rPr>
        <w:t>the</w:t>
      </w:r>
      <w:r w:rsidRPr="00EB2BD8">
        <w:rPr>
          <w:spacing w:val="-3"/>
          <w:sz w:val="19"/>
        </w:rPr>
        <w:t xml:space="preserve"> </w:t>
      </w:r>
      <w:r w:rsidRPr="00EB2BD8">
        <w:rPr>
          <w:sz w:val="19"/>
        </w:rPr>
        <w:t>management</w:t>
      </w:r>
      <w:r w:rsidRPr="00EB2BD8">
        <w:rPr>
          <w:spacing w:val="-3"/>
          <w:sz w:val="19"/>
        </w:rPr>
        <w:t xml:space="preserve"> </w:t>
      </w:r>
      <w:r w:rsidRPr="00EB2BD8">
        <w:rPr>
          <w:sz w:val="19"/>
        </w:rPr>
        <w:t>of</w:t>
      </w:r>
      <w:r w:rsidRPr="00EB2BD8">
        <w:rPr>
          <w:spacing w:val="-3"/>
          <w:sz w:val="19"/>
        </w:rPr>
        <w:t xml:space="preserve"> </w:t>
      </w:r>
      <w:r w:rsidRPr="00EB2BD8">
        <w:rPr>
          <w:sz w:val="19"/>
        </w:rPr>
        <w:t>waste and</w:t>
      </w:r>
      <w:r w:rsidRPr="00EB2BD8">
        <w:rPr>
          <w:spacing w:val="-5"/>
          <w:sz w:val="19"/>
        </w:rPr>
        <w:t xml:space="preserve"> </w:t>
      </w:r>
      <w:r w:rsidRPr="00EB2BD8">
        <w:rPr>
          <w:sz w:val="19"/>
        </w:rPr>
        <w:t>recycling.</w:t>
      </w:r>
    </w:p>
    <w:p w14:paraId="2938FD15" w14:textId="77777777" w:rsidR="00044C1A" w:rsidRDefault="00044C1A">
      <w:pPr>
        <w:spacing w:before="2" w:line="256" w:lineRule="auto"/>
        <w:ind w:left="363" w:right="637"/>
        <w:rPr>
          <w:sz w:val="19"/>
        </w:rPr>
      </w:pPr>
    </w:p>
    <w:p w14:paraId="7B69C92E" w14:textId="77777777" w:rsidR="00044C1A" w:rsidRPr="00EB2BD8" w:rsidRDefault="00044C1A" w:rsidP="00044C1A">
      <w:pPr>
        <w:pStyle w:val="Heading3"/>
        <w:ind w:left="0"/>
      </w:pPr>
      <w:bookmarkStart w:id="230" w:name="_Toc150762532"/>
      <w:r w:rsidRPr="00EB2BD8">
        <w:t>Table</w:t>
      </w:r>
      <w:r w:rsidRPr="00EB2BD8">
        <w:rPr>
          <w:spacing w:val="-8"/>
        </w:rPr>
        <w:t xml:space="preserve"> </w:t>
      </w:r>
      <w:r w:rsidRPr="00EB2BD8">
        <w:t>13:</w:t>
      </w:r>
      <w:r w:rsidRPr="00EB2BD8">
        <w:rPr>
          <w:spacing w:val="-8"/>
        </w:rPr>
        <w:t xml:space="preserve"> </w:t>
      </w:r>
      <w:r w:rsidRPr="00EB2BD8">
        <w:t>Waste</w:t>
      </w:r>
      <w:r w:rsidRPr="00EB2BD8">
        <w:rPr>
          <w:spacing w:val="-7"/>
        </w:rPr>
        <w:t xml:space="preserve"> </w:t>
      </w:r>
      <w:r w:rsidRPr="00EB2BD8">
        <w:t>and</w:t>
      </w:r>
      <w:r w:rsidRPr="00EB2BD8">
        <w:rPr>
          <w:spacing w:val="-8"/>
        </w:rPr>
        <w:t xml:space="preserve"> </w:t>
      </w:r>
      <w:r w:rsidRPr="00EB2BD8">
        <w:t>recycling</w:t>
      </w:r>
      <w:bookmarkEnd w:id="230"/>
    </w:p>
    <w:p w14:paraId="2457EE69" w14:textId="77777777" w:rsidR="00044C1A" w:rsidRPr="00EB2BD8" w:rsidRDefault="00044C1A" w:rsidP="00044C1A">
      <w:pPr>
        <w:pStyle w:val="BodyText"/>
        <w:spacing w:before="11"/>
        <w:rPr>
          <w:sz w:val="22"/>
        </w:rPr>
      </w:pPr>
      <w:r w:rsidRPr="00EB2BD8">
        <w:rPr>
          <w:noProof/>
        </w:rPr>
        <mc:AlternateContent>
          <mc:Choice Requires="wps">
            <w:drawing>
              <wp:inline distT="0" distB="0" distL="0" distR="0" wp14:anchorId="7816DB4A" wp14:editId="1FE79920">
                <wp:extent cx="3697605" cy="245745"/>
                <wp:effectExtent l="0" t="0" r="0" b="1905"/>
                <wp:docPr id="137415583" name="Text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7605" cy="245745"/>
                        </a:xfrm>
                        <a:prstGeom prst="rect">
                          <a:avLst/>
                        </a:prstGeom>
                        <a:solidFill>
                          <a:srgbClr val="005F83"/>
                        </a:solidFill>
                      </wps:spPr>
                      <wps:txbx>
                        <w:txbxContent>
                          <w:p w14:paraId="6B6E240C" w14:textId="77777777" w:rsidR="00044C1A" w:rsidRDefault="00044C1A" w:rsidP="00044C1A">
                            <w:pPr>
                              <w:tabs>
                                <w:tab w:val="left" w:pos="3232"/>
                                <w:tab w:val="right" w:pos="4818"/>
                              </w:tabs>
                              <w:spacing w:before="118"/>
                              <w:ind w:left="765"/>
                              <w:rPr>
                                <w:color w:val="000000"/>
                                <w:sz w:val="16"/>
                              </w:rPr>
                            </w:pPr>
                            <w:r>
                              <w:rPr>
                                <w:color w:val="FFFFFF"/>
                                <w:spacing w:val="-2"/>
                                <w:sz w:val="16"/>
                              </w:rPr>
                              <w:t>Indicator</w:t>
                            </w:r>
                            <w:r>
                              <w:rPr>
                                <w:color w:val="FFFFFF"/>
                                <w:sz w:val="16"/>
                              </w:rPr>
                              <w:tab/>
                            </w:r>
                            <w:r>
                              <w:rPr>
                                <w:color w:val="FFFFFF"/>
                                <w:spacing w:val="-2"/>
                                <w:sz w:val="16"/>
                              </w:rPr>
                              <w:t>2022–23</w:t>
                            </w:r>
                            <w:r>
                              <w:rPr>
                                <w:color w:val="FFFFFF"/>
                                <w:sz w:val="16"/>
                              </w:rPr>
                              <w:tab/>
                            </w:r>
                            <w:r>
                              <w:rPr>
                                <w:color w:val="EBEBEA"/>
                                <w:spacing w:val="-2"/>
                                <w:sz w:val="16"/>
                              </w:rPr>
                              <w:t>2020–21</w:t>
                            </w:r>
                          </w:p>
                        </w:txbxContent>
                      </wps:txbx>
                      <wps:bodyPr wrap="square" lIns="0" tIns="0" rIns="0" bIns="0" rtlCol="0">
                        <a:noAutofit/>
                      </wps:bodyPr>
                    </wps:wsp>
                  </a:graphicData>
                </a:graphic>
              </wp:inline>
            </w:drawing>
          </mc:Choice>
          <mc:Fallback>
            <w:pict>
              <v:shape w14:anchorId="7816DB4A" id="Textbox 720" o:spid="_x0000_s1042" type="#_x0000_t202" style="width:291.1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" fillcolor="#005f83" stroked="f">
                <v:textbox inset="0,0,0,0">
                  <w:txbxContent>
                    <w:p w14:paraId="6B6E240C" w14:textId="77777777" w:rsidR="00044C1A" w:rsidRDefault="00044C1A" w:rsidP="00044C1A">
                      <w:pPr>
                        <w:tabs>
                          <w:tab w:val="left" w:pos="3232"/>
                          <w:tab w:val="right" w:pos="4818"/>
                        </w:tabs>
                        <w:spacing w:before="118"/>
                        <w:ind w:left="765"/>
                        <w:rPr>
                          <w:color w:val="000000"/>
                          <w:sz w:val="16"/>
                        </w:rPr>
                      </w:pPr>
                      <w:r>
                        <w:rPr>
                          <w:color w:val="FFFFFF"/>
                          <w:spacing w:val="-2"/>
                          <w:sz w:val="16"/>
                        </w:rPr>
                        <w:t>Indicator</w:t>
                      </w:r>
                      <w:r>
                        <w:rPr>
                          <w:color w:val="FFFFFF"/>
                          <w:sz w:val="16"/>
                        </w:rPr>
                        <w:tab/>
                      </w:r>
                      <w:r>
                        <w:rPr>
                          <w:color w:val="FFFFFF"/>
                          <w:spacing w:val="-2"/>
                          <w:sz w:val="16"/>
                        </w:rPr>
                        <w:t>2022–23</w:t>
                      </w:r>
                      <w:r>
                        <w:rPr>
                          <w:color w:val="FFFFFF"/>
                          <w:sz w:val="16"/>
                        </w:rPr>
                        <w:tab/>
                      </w:r>
                      <w:r>
                        <w:rPr>
                          <w:color w:val="EBEBEA"/>
                          <w:spacing w:val="-2"/>
                          <w:sz w:val="16"/>
                        </w:rPr>
                        <w:t>2020–21</w:t>
                      </w:r>
                    </w:p>
                  </w:txbxContent>
                </v:textbox>
                <w10:anchorlock/>
              </v:shape>
            </w:pict>
          </mc:Fallback>
        </mc:AlternateContent>
      </w:r>
    </w:p>
    <w:p w14:paraId="5C61FFFE" w14:textId="77777777" w:rsidR="00044C1A" w:rsidRPr="00EB2BD8" w:rsidRDefault="00044C1A" w:rsidP="00044C1A">
      <w:pPr>
        <w:tabs>
          <w:tab w:val="left" w:pos="1128"/>
        </w:tabs>
        <w:spacing w:before="118" w:line="292" w:lineRule="auto"/>
        <w:ind w:left="1128" w:right="1376" w:hanging="652"/>
        <w:rPr>
          <w:sz w:val="16"/>
        </w:rPr>
      </w:pPr>
      <w:r w:rsidRPr="00EB2BD8">
        <w:rPr>
          <w:spacing w:val="-4"/>
          <w:sz w:val="16"/>
        </w:rPr>
        <w:t>Ws1.</w:t>
      </w:r>
      <w:r w:rsidRPr="00EB2BD8">
        <w:rPr>
          <w:sz w:val="16"/>
        </w:rPr>
        <w:tab/>
        <w:t>Total</w:t>
      </w:r>
      <w:r w:rsidRPr="00EB2BD8">
        <w:rPr>
          <w:spacing w:val="-14"/>
          <w:sz w:val="16"/>
        </w:rPr>
        <w:t xml:space="preserve"> </w:t>
      </w:r>
      <w:r w:rsidRPr="00EB2BD8">
        <w:rPr>
          <w:sz w:val="16"/>
        </w:rPr>
        <w:t>units</w:t>
      </w:r>
      <w:r w:rsidRPr="00EB2BD8">
        <w:rPr>
          <w:spacing w:val="-14"/>
          <w:sz w:val="16"/>
        </w:rPr>
        <w:t xml:space="preserve"> </w:t>
      </w:r>
      <w:r w:rsidRPr="00EB2BD8">
        <w:rPr>
          <w:sz w:val="16"/>
        </w:rPr>
        <w:t>of</w:t>
      </w:r>
      <w:r w:rsidRPr="00EB2BD8">
        <w:rPr>
          <w:spacing w:val="-14"/>
          <w:sz w:val="16"/>
        </w:rPr>
        <w:t xml:space="preserve"> </w:t>
      </w:r>
      <w:r w:rsidRPr="00EB2BD8">
        <w:rPr>
          <w:sz w:val="16"/>
        </w:rPr>
        <w:t>waste</w:t>
      </w:r>
      <w:r w:rsidRPr="00EB2BD8">
        <w:rPr>
          <w:spacing w:val="-14"/>
          <w:sz w:val="16"/>
        </w:rPr>
        <w:t xml:space="preserve"> </w:t>
      </w:r>
      <w:r w:rsidRPr="00EB2BD8">
        <w:rPr>
          <w:sz w:val="16"/>
        </w:rPr>
        <w:t>disposed</w:t>
      </w:r>
      <w:r w:rsidRPr="00EB2BD8">
        <w:rPr>
          <w:spacing w:val="-14"/>
          <w:sz w:val="16"/>
        </w:rPr>
        <w:t xml:space="preserve"> </w:t>
      </w:r>
      <w:r w:rsidRPr="00EB2BD8">
        <w:rPr>
          <w:sz w:val="16"/>
        </w:rPr>
        <w:t>of</w:t>
      </w:r>
      <w:r w:rsidRPr="00EB2BD8">
        <w:rPr>
          <w:spacing w:val="-14"/>
          <w:sz w:val="16"/>
        </w:rPr>
        <w:t xml:space="preserve"> </w:t>
      </w:r>
      <w:r w:rsidRPr="00EB2BD8">
        <w:rPr>
          <w:sz w:val="16"/>
        </w:rPr>
        <w:t>by</w:t>
      </w:r>
      <w:r w:rsidRPr="00EB2BD8">
        <w:rPr>
          <w:spacing w:val="-14"/>
          <w:sz w:val="16"/>
        </w:rPr>
        <w:t xml:space="preserve"> </w:t>
      </w:r>
      <w:r w:rsidRPr="00EB2BD8">
        <w:rPr>
          <w:sz w:val="16"/>
        </w:rPr>
        <w:t xml:space="preserve">destination </w:t>
      </w:r>
      <w:r w:rsidRPr="00EB2BD8">
        <w:rPr>
          <w:spacing w:val="-2"/>
          <w:sz w:val="16"/>
        </w:rPr>
        <w:t>(kg/year)</w:t>
      </w:r>
    </w:p>
    <w:p w14:paraId="36A6A8E9" w14:textId="77777777" w:rsidR="00044C1A" w:rsidRPr="00EB2BD8" w:rsidRDefault="00044C1A" w:rsidP="00044C1A">
      <w:pPr>
        <w:pStyle w:val="BodyText"/>
        <w:spacing w:before="1"/>
        <w:rPr>
          <w:sz w:val="3"/>
        </w:rPr>
      </w:pPr>
    </w:p>
    <w:tbl>
      <w:tblPr>
        <w:tblW w:w="0" w:type="auto"/>
        <w:tblInd w:w="370" w:type="dxa"/>
        <w:tblLayout w:type="fixed"/>
        <w:tblCellMar>
          <w:left w:w="0" w:type="dxa"/>
          <w:right w:w="0" w:type="dxa"/>
        </w:tblCellMar>
        <w:tblLook w:val="01E0" w:firstRow="1" w:lastRow="1" w:firstColumn="1" w:lastColumn="1" w:noHBand="0" w:noVBand="0"/>
      </w:tblPr>
      <w:tblGrid>
        <w:gridCol w:w="3005"/>
        <w:gridCol w:w="964"/>
        <w:gridCol w:w="964"/>
      </w:tblGrid>
      <w:tr w:rsidR="00044C1A" w:rsidRPr="00EB2BD8" w14:paraId="464C4C45" w14:textId="77777777" w:rsidTr="00125AB7">
        <w:trPr>
          <w:trHeight w:val="381"/>
        </w:trPr>
        <w:tc>
          <w:tcPr>
            <w:tcW w:w="3005" w:type="dxa"/>
            <w:tcBorders>
              <w:top w:val="single" w:sz="2" w:space="0" w:color="000000"/>
              <w:bottom w:val="single" w:sz="2" w:space="0" w:color="000000"/>
            </w:tcBorders>
          </w:tcPr>
          <w:p w14:paraId="32AAD33A" w14:textId="77777777" w:rsidR="00044C1A" w:rsidRPr="00EB2BD8" w:rsidRDefault="00044C1A" w:rsidP="00125AB7">
            <w:pPr>
              <w:pStyle w:val="TableParagraph"/>
              <w:spacing w:before="116"/>
              <w:ind w:left="765"/>
              <w:rPr>
                <w:sz w:val="16"/>
              </w:rPr>
            </w:pPr>
            <w:r w:rsidRPr="00EB2BD8">
              <w:rPr>
                <w:spacing w:val="-2"/>
                <w:sz w:val="16"/>
              </w:rPr>
              <w:t>Landfill</w:t>
            </w:r>
            <w:r w:rsidRPr="00EB2BD8">
              <w:rPr>
                <w:spacing w:val="-5"/>
                <w:sz w:val="16"/>
              </w:rPr>
              <w:t xml:space="preserve"> </w:t>
            </w:r>
            <w:r w:rsidRPr="00EB2BD8">
              <w:rPr>
                <w:spacing w:val="-4"/>
                <w:sz w:val="16"/>
              </w:rPr>
              <w:t>(kg)</w:t>
            </w:r>
          </w:p>
        </w:tc>
        <w:tc>
          <w:tcPr>
            <w:tcW w:w="964" w:type="dxa"/>
            <w:tcBorders>
              <w:top w:val="single" w:sz="2" w:space="0" w:color="000000"/>
              <w:bottom w:val="single" w:sz="2" w:space="0" w:color="000000"/>
            </w:tcBorders>
            <w:shd w:val="clear" w:color="auto" w:fill="E5FBFF"/>
          </w:tcPr>
          <w:p w14:paraId="5E763714" w14:textId="77777777" w:rsidR="00044C1A" w:rsidRPr="00EB2BD8" w:rsidRDefault="00044C1A" w:rsidP="00125AB7">
            <w:pPr>
              <w:pStyle w:val="TableParagraph"/>
              <w:spacing w:before="116"/>
              <w:ind w:right="112"/>
              <w:jc w:val="right"/>
              <w:rPr>
                <w:sz w:val="16"/>
              </w:rPr>
            </w:pPr>
            <w:r w:rsidRPr="00EB2BD8">
              <w:rPr>
                <w:spacing w:val="-2"/>
                <w:w w:val="95"/>
                <w:sz w:val="16"/>
              </w:rPr>
              <w:t>2,304</w:t>
            </w:r>
          </w:p>
        </w:tc>
        <w:tc>
          <w:tcPr>
            <w:tcW w:w="964" w:type="dxa"/>
            <w:tcBorders>
              <w:top w:val="single" w:sz="2" w:space="0" w:color="000000"/>
              <w:bottom w:val="single" w:sz="2" w:space="0" w:color="000000"/>
            </w:tcBorders>
          </w:tcPr>
          <w:p w14:paraId="782BE064" w14:textId="77777777" w:rsidR="00044C1A" w:rsidRPr="00EB2BD8" w:rsidRDefault="00044C1A" w:rsidP="00125AB7">
            <w:pPr>
              <w:pStyle w:val="TableParagraph"/>
              <w:spacing w:before="116"/>
              <w:ind w:right="112"/>
              <w:jc w:val="right"/>
              <w:rPr>
                <w:sz w:val="16"/>
              </w:rPr>
            </w:pPr>
            <w:r w:rsidRPr="00EB2BD8">
              <w:rPr>
                <w:spacing w:val="-4"/>
                <w:w w:val="90"/>
                <w:sz w:val="16"/>
              </w:rPr>
              <w:t>1,032</w:t>
            </w:r>
          </w:p>
        </w:tc>
      </w:tr>
      <w:tr w:rsidR="00044C1A" w:rsidRPr="00EB2BD8" w14:paraId="41C33BD3" w14:textId="77777777" w:rsidTr="00125AB7">
        <w:trPr>
          <w:trHeight w:val="381"/>
        </w:trPr>
        <w:tc>
          <w:tcPr>
            <w:tcW w:w="3005" w:type="dxa"/>
            <w:tcBorders>
              <w:top w:val="single" w:sz="2" w:space="0" w:color="000000"/>
              <w:bottom w:val="single" w:sz="2" w:space="0" w:color="000000"/>
            </w:tcBorders>
          </w:tcPr>
          <w:p w14:paraId="49ECD63A" w14:textId="163CF67B" w:rsidR="00044C1A" w:rsidRPr="00EB2BD8" w:rsidRDefault="00044C1A" w:rsidP="00044C1A">
            <w:pPr>
              <w:pStyle w:val="TableParagraph"/>
              <w:spacing w:before="116"/>
              <w:ind w:left="765"/>
              <w:rPr>
                <w:spacing w:val="-2"/>
                <w:sz w:val="16"/>
              </w:rPr>
            </w:pPr>
            <w:r w:rsidRPr="00EB2BD8">
              <w:rPr>
                <w:spacing w:val="-2"/>
                <w:sz w:val="16"/>
              </w:rPr>
              <w:t>Comingled</w:t>
            </w:r>
            <w:r w:rsidRPr="00EB2BD8">
              <w:rPr>
                <w:spacing w:val="4"/>
                <w:sz w:val="16"/>
              </w:rPr>
              <w:t xml:space="preserve"> </w:t>
            </w:r>
            <w:r w:rsidRPr="00EB2BD8">
              <w:rPr>
                <w:spacing w:val="-2"/>
                <w:sz w:val="16"/>
              </w:rPr>
              <w:t>recycling</w:t>
            </w:r>
            <w:r w:rsidRPr="00EB2BD8">
              <w:rPr>
                <w:spacing w:val="4"/>
                <w:sz w:val="16"/>
              </w:rPr>
              <w:t xml:space="preserve"> </w:t>
            </w:r>
            <w:r w:rsidRPr="00EB2BD8">
              <w:rPr>
                <w:spacing w:val="-4"/>
                <w:sz w:val="16"/>
              </w:rPr>
              <w:t>(kg)</w:t>
            </w:r>
          </w:p>
        </w:tc>
        <w:tc>
          <w:tcPr>
            <w:tcW w:w="964" w:type="dxa"/>
            <w:tcBorders>
              <w:top w:val="single" w:sz="2" w:space="0" w:color="000000"/>
              <w:bottom w:val="single" w:sz="2" w:space="0" w:color="000000"/>
            </w:tcBorders>
            <w:shd w:val="clear" w:color="auto" w:fill="E5FBFF"/>
          </w:tcPr>
          <w:p w14:paraId="1DE3574C" w14:textId="3BC89211" w:rsidR="00044C1A" w:rsidRPr="00EB2BD8" w:rsidRDefault="00044C1A" w:rsidP="00044C1A">
            <w:pPr>
              <w:pStyle w:val="TableParagraph"/>
              <w:spacing w:before="116"/>
              <w:ind w:right="112"/>
              <w:jc w:val="right"/>
              <w:rPr>
                <w:spacing w:val="-2"/>
                <w:w w:val="95"/>
                <w:sz w:val="16"/>
              </w:rPr>
            </w:pPr>
            <w:r w:rsidRPr="00EB2BD8">
              <w:rPr>
                <w:spacing w:val="-5"/>
                <w:w w:val="75"/>
                <w:sz w:val="16"/>
              </w:rPr>
              <w:t>131</w:t>
            </w:r>
          </w:p>
        </w:tc>
        <w:tc>
          <w:tcPr>
            <w:tcW w:w="964" w:type="dxa"/>
            <w:tcBorders>
              <w:top w:val="single" w:sz="2" w:space="0" w:color="000000"/>
              <w:bottom w:val="single" w:sz="2" w:space="0" w:color="000000"/>
            </w:tcBorders>
          </w:tcPr>
          <w:p w14:paraId="3598CB7D" w14:textId="189877A9" w:rsidR="00044C1A" w:rsidRPr="00EB2BD8" w:rsidRDefault="00044C1A" w:rsidP="00044C1A">
            <w:pPr>
              <w:pStyle w:val="TableParagraph"/>
              <w:spacing w:before="116"/>
              <w:ind w:right="112"/>
              <w:jc w:val="right"/>
              <w:rPr>
                <w:spacing w:val="-4"/>
                <w:w w:val="90"/>
                <w:sz w:val="16"/>
              </w:rPr>
            </w:pPr>
            <w:r w:rsidRPr="00EB2BD8">
              <w:rPr>
                <w:spacing w:val="-5"/>
                <w:w w:val="90"/>
                <w:sz w:val="16"/>
              </w:rPr>
              <w:t>193</w:t>
            </w:r>
          </w:p>
        </w:tc>
      </w:tr>
      <w:tr w:rsidR="00044C1A" w:rsidRPr="00EB2BD8" w14:paraId="62EB771B" w14:textId="77777777" w:rsidTr="00125AB7">
        <w:trPr>
          <w:trHeight w:val="381"/>
        </w:trPr>
        <w:tc>
          <w:tcPr>
            <w:tcW w:w="3005" w:type="dxa"/>
            <w:tcBorders>
              <w:top w:val="single" w:sz="2" w:space="0" w:color="000000"/>
              <w:bottom w:val="single" w:sz="2" w:space="0" w:color="000000"/>
            </w:tcBorders>
          </w:tcPr>
          <w:p w14:paraId="776E73C1" w14:textId="2C334DEF" w:rsidR="00044C1A" w:rsidRPr="00EB2BD8" w:rsidRDefault="00044C1A" w:rsidP="00044C1A">
            <w:pPr>
              <w:pStyle w:val="TableParagraph"/>
              <w:spacing w:before="116"/>
              <w:ind w:left="765"/>
              <w:rPr>
                <w:spacing w:val="-2"/>
                <w:sz w:val="16"/>
              </w:rPr>
            </w:pPr>
            <w:r w:rsidRPr="00EB2BD8">
              <w:rPr>
                <w:w w:val="105"/>
                <w:sz w:val="16"/>
              </w:rPr>
              <w:t>Paper</w:t>
            </w:r>
            <w:r w:rsidRPr="00EB2BD8">
              <w:rPr>
                <w:spacing w:val="-12"/>
                <w:w w:val="105"/>
                <w:sz w:val="16"/>
              </w:rPr>
              <w:t xml:space="preserve"> </w:t>
            </w:r>
            <w:r w:rsidRPr="00EB2BD8">
              <w:rPr>
                <w:w w:val="105"/>
                <w:sz w:val="16"/>
              </w:rPr>
              <w:t>and</w:t>
            </w:r>
            <w:r w:rsidRPr="00EB2BD8">
              <w:rPr>
                <w:spacing w:val="-11"/>
                <w:w w:val="105"/>
                <w:sz w:val="16"/>
              </w:rPr>
              <w:t xml:space="preserve"> </w:t>
            </w:r>
            <w:r w:rsidRPr="00EB2BD8">
              <w:rPr>
                <w:w w:val="105"/>
                <w:sz w:val="16"/>
              </w:rPr>
              <w:t>card</w:t>
            </w:r>
            <w:r w:rsidRPr="00EB2BD8">
              <w:rPr>
                <w:spacing w:val="-11"/>
                <w:w w:val="105"/>
                <w:sz w:val="16"/>
              </w:rPr>
              <w:t xml:space="preserve"> </w:t>
            </w:r>
            <w:r w:rsidRPr="00EB2BD8">
              <w:rPr>
                <w:spacing w:val="-4"/>
                <w:w w:val="105"/>
                <w:sz w:val="16"/>
              </w:rPr>
              <w:t>(kg)</w:t>
            </w:r>
          </w:p>
        </w:tc>
        <w:tc>
          <w:tcPr>
            <w:tcW w:w="964" w:type="dxa"/>
            <w:tcBorders>
              <w:top w:val="single" w:sz="2" w:space="0" w:color="000000"/>
              <w:bottom w:val="single" w:sz="2" w:space="0" w:color="000000"/>
            </w:tcBorders>
            <w:shd w:val="clear" w:color="auto" w:fill="E5FBFF"/>
          </w:tcPr>
          <w:p w14:paraId="635BAD65" w14:textId="4741A4DD" w:rsidR="00044C1A" w:rsidRPr="00EB2BD8" w:rsidRDefault="00044C1A" w:rsidP="00044C1A">
            <w:pPr>
              <w:pStyle w:val="TableParagraph"/>
              <w:spacing w:before="116"/>
              <w:ind w:right="112"/>
              <w:jc w:val="right"/>
              <w:rPr>
                <w:spacing w:val="-2"/>
                <w:w w:val="95"/>
                <w:sz w:val="16"/>
              </w:rPr>
            </w:pPr>
            <w:r w:rsidRPr="00EB2BD8">
              <w:rPr>
                <w:spacing w:val="-5"/>
                <w:w w:val="95"/>
                <w:sz w:val="16"/>
              </w:rPr>
              <w:t>252</w:t>
            </w:r>
          </w:p>
        </w:tc>
        <w:tc>
          <w:tcPr>
            <w:tcW w:w="964" w:type="dxa"/>
            <w:tcBorders>
              <w:top w:val="single" w:sz="2" w:space="0" w:color="000000"/>
              <w:bottom w:val="single" w:sz="2" w:space="0" w:color="000000"/>
            </w:tcBorders>
          </w:tcPr>
          <w:p w14:paraId="4F17E650" w14:textId="3C5E805C" w:rsidR="00044C1A" w:rsidRPr="00EB2BD8" w:rsidRDefault="00044C1A" w:rsidP="00044C1A">
            <w:pPr>
              <w:pStyle w:val="TableParagraph"/>
              <w:spacing w:before="116"/>
              <w:ind w:right="112"/>
              <w:jc w:val="right"/>
              <w:rPr>
                <w:spacing w:val="-4"/>
                <w:w w:val="90"/>
                <w:sz w:val="16"/>
              </w:rPr>
            </w:pPr>
            <w:r w:rsidRPr="00EB2BD8">
              <w:rPr>
                <w:spacing w:val="-5"/>
                <w:sz w:val="16"/>
              </w:rPr>
              <w:t>369</w:t>
            </w:r>
          </w:p>
        </w:tc>
      </w:tr>
      <w:tr w:rsidR="00044C1A" w:rsidRPr="00EB2BD8" w14:paraId="4DC3E1AB" w14:textId="77777777" w:rsidTr="00125AB7">
        <w:trPr>
          <w:trHeight w:val="381"/>
        </w:trPr>
        <w:tc>
          <w:tcPr>
            <w:tcW w:w="3005" w:type="dxa"/>
            <w:tcBorders>
              <w:top w:val="single" w:sz="2" w:space="0" w:color="000000"/>
              <w:bottom w:val="single" w:sz="2" w:space="0" w:color="000000"/>
            </w:tcBorders>
          </w:tcPr>
          <w:p w14:paraId="1B270EF5" w14:textId="106F2D9B" w:rsidR="00044C1A" w:rsidRPr="00EB2BD8" w:rsidRDefault="00044C1A" w:rsidP="00044C1A">
            <w:pPr>
              <w:pStyle w:val="TableParagraph"/>
              <w:spacing w:before="116"/>
              <w:ind w:left="765"/>
              <w:rPr>
                <w:spacing w:val="-2"/>
                <w:sz w:val="16"/>
              </w:rPr>
            </w:pPr>
            <w:r w:rsidRPr="00EB2BD8">
              <w:rPr>
                <w:sz w:val="16"/>
              </w:rPr>
              <w:t>Secure</w:t>
            </w:r>
            <w:r w:rsidRPr="00EB2BD8">
              <w:rPr>
                <w:spacing w:val="3"/>
                <w:sz w:val="16"/>
              </w:rPr>
              <w:t xml:space="preserve"> </w:t>
            </w:r>
            <w:r w:rsidRPr="00EB2BD8">
              <w:rPr>
                <w:sz w:val="16"/>
              </w:rPr>
              <w:t>documents</w:t>
            </w:r>
            <w:r w:rsidRPr="00EB2BD8">
              <w:rPr>
                <w:spacing w:val="3"/>
                <w:sz w:val="16"/>
              </w:rPr>
              <w:t xml:space="preserve"> </w:t>
            </w:r>
            <w:r w:rsidRPr="00EB2BD8">
              <w:rPr>
                <w:spacing w:val="-4"/>
                <w:sz w:val="16"/>
              </w:rPr>
              <w:t>(kg)</w:t>
            </w:r>
          </w:p>
        </w:tc>
        <w:tc>
          <w:tcPr>
            <w:tcW w:w="964" w:type="dxa"/>
            <w:tcBorders>
              <w:top w:val="single" w:sz="2" w:space="0" w:color="000000"/>
              <w:bottom w:val="single" w:sz="2" w:space="0" w:color="000000"/>
            </w:tcBorders>
            <w:shd w:val="clear" w:color="auto" w:fill="E5FBFF"/>
          </w:tcPr>
          <w:p w14:paraId="44758520" w14:textId="1435412B" w:rsidR="00044C1A" w:rsidRPr="00EB2BD8" w:rsidRDefault="00044C1A" w:rsidP="00044C1A">
            <w:pPr>
              <w:pStyle w:val="TableParagraph"/>
              <w:spacing w:before="116"/>
              <w:ind w:right="112"/>
              <w:jc w:val="right"/>
              <w:rPr>
                <w:spacing w:val="-2"/>
                <w:w w:val="95"/>
                <w:sz w:val="16"/>
              </w:rPr>
            </w:pPr>
            <w:r w:rsidRPr="00EB2BD8">
              <w:rPr>
                <w:spacing w:val="-4"/>
                <w:w w:val="90"/>
                <w:sz w:val="16"/>
              </w:rPr>
              <w:t>1,650</w:t>
            </w:r>
          </w:p>
        </w:tc>
        <w:tc>
          <w:tcPr>
            <w:tcW w:w="964" w:type="dxa"/>
            <w:tcBorders>
              <w:top w:val="single" w:sz="2" w:space="0" w:color="000000"/>
              <w:bottom w:val="single" w:sz="2" w:space="0" w:color="000000"/>
            </w:tcBorders>
          </w:tcPr>
          <w:p w14:paraId="6B80F856" w14:textId="5A11C864" w:rsidR="00044C1A" w:rsidRPr="00EB2BD8" w:rsidRDefault="00044C1A" w:rsidP="00044C1A">
            <w:pPr>
              <w:pStyle w:val="TableParagraph"/>
              <w:spacing w:before="116"/>
              <w:ind w:right="112"/>
              <w:jc w:val="right"/>
              <w:rPr>
                <w:spacing w:val="-4"/>
                <w:w w:val="90"/>
                <w:sz w:val="16"/>
              </w:rPr>
            </w:pPr>
            <w:r w:rsidRPr="00EB2BD8">
              <w:rPr>
                <w:spacing w:val="-5"/>
                <w:sz w:val="16"/>
              </w:rPr>
              <w:t>450</w:t>
            </w:r>
          </w:p>
        </w:tc>
      </w:tr>
      <w:tr w:rsidR="00044C1A" w:rsidRPr="00EB2BD8" w14:paraId="69F01DC7" w14:textId="77777777" w:rsidTr="00125AB7">
        <w:trPr>
          <w:trHeight w:val="381"/>
        </w:trPr>
        <w:tc>
          <w:tcPr>
            <w:tcW w:w="3005" w:type="dxa"/>
            <w:tcBorders>
              <w:top w:val="single" w:sz="2" w:space="0" w:color="000000"/>
              <w:bottom w:val="single" w:sz="2" w:space="0" w:color="000000"/>
            </w:tcBorders>
          </w:tcPr>
          <w:p w14:paraId="6EB542A5" w14:textId="77417FE3" w:rsidR="00044C1A" w:rsidRPr="00EB2BD8" w:rsidRDefault="00044C1A" w:rsidP="00044C1A">
            <w:pPr>
              <w:pStyle w:val="TableParagraph"/>
              <w:spacing w:before="116"/>
              <w:ind w:left="765"/>
              <w:rPr>
                <w:spacing w:val="-2"/>
                <w:sz w:val="16"/>
              </w:rPr>
            </w:pPr>
            <w:r w:rsidRPr="00EB2BD8">
              <w:rPr>
                <w:spacing w:val="-2"/>
                <w:w w:val="105"/>
                <w:sz w:val="16"/>
              </w:rPr>
              <w:t>Organics</w:t>
            </w:r>
          </w:p>
        </w:tc>
        <w:tc>
          <w:tcPr>
            <w:tcW w:w="964" w:type="dxa"/>
            <w:tcBorders>
              <w:top w:val="single" w:sz="2" w:space="0" w:color="000000"/>
              <w:bottom w:val="single" w:sz="2" w:space="0" w:color="000000"/>
            </w:tcBorders>
            <w:shd w:val="clear" w:color="auto" w:fill="E5FBFF"/>
          </w:tcPr>
          <w:p w14:paraId="3ACAB8DD" w14:textId="26D42652" w:rsidR="00044C1A" w:rsidRPr="00EB2BD8" w:rsidRDefault="00044C1A" w:rsidP="00044C1A">
            <w:pPr>
              <w:pStyle w:val="TableParagraph"/>
              <w:spacing w:before="116"/>
              <w:ind w:right="112"/>
              <w:jc w:val="right"/>
              <w:rPr>
                <w:spacing w:val="-2"/>
                <w:w w:val="95"/>
                <w:sz w:val="16"/>
              </w:rPr>
            </w:pPr>
            <w:r w:rsidRPr="00EB2BD8">
              <w:rPr>
                <w:spacing w:val="-5"/>
                <w:w w:val="80"/>
                <w:sz w:val="16"/>
              </w:rPr>
              <w:t>101</w:t>
            </w:r>
          </w:p>
        </w:tc>
        <w:tc>
          <w:tcPr>
            <w:tcW w:w="964" w:type="dxa"/>
            <w:tcBorders>
              <w:top w:val="single" w:sz="2" w:space="0" w:color="000000"/>
              <w:bottom w:val="single" w:sz="2" w:space="0" w:color="000000"/>
            </w:tcBorders>
          </w:tcPr>
          <w:p w14:paraId="0E22D91E" w14:textId="33CEDF32" w:rsidR="00044C1A" w:rsidRPr="00EB2BD8" w:rsidRDefault="00044C1A" w:rsidP="00044C1A">
            <w:pPr>
              <w:pStyle w:val="TableParagraph"/>
              <w:spacing w:before="116"/>
              <w:ind w:right="112"/>
              <w:jc w:val="right"/>
              <w:rPr>
                <w:spacing w:val="-4"/>
                <w:w w:val="90"/>
                <w:sz w:val="16"/>
              </w:rPr>
            </w:pPr>
            <w:r w:rsidRPr="00EB2BD8">
              <w:rPr>
                <w:spacing w:val="-5"/>
                <w:sz w:val="16"/>
              </w:rPr>
              <w:t>85</w:t>
            </w:r>
          </w:p>
        </w:tc>
      </w:tr>
      <w:tr w:rsidR="00044C1A" w:rsidRPr="00EB2BD8" w14:paraId="0A1D7F68" w14:textId="77777777" w:rsidTr="00C84398">
        <w:trPr>
          <w:trHeight w:val="381"/>
        </w:trPr>
        <w:tc>
          <w:tcPr>
            <w:tcW w:w="4933" w:type="dxa"/>
            <w:gridSpan w:val="3"/>
            <w:tcBorders>
              <w:top w:val="single" w:sz="2" w:space="0" w:color="000000"/>
              <w:bottom w:val="single" w:sz="2" w:space="0" w:color="000000"/>
            </w:tcBorders>
          </w:tcPr>
          <w:p w14:paraId="03F08C59" w14:textId="77777777" w:rsidR="00044C1A" w:rsidRPr="00EB2BD8" w:rsidRDefault="00044C1A" w:rsidP="00044C1A">
            <w:pPr>
              <w:tabs>
                <w:tab w:val="left" w:pos="1129"/>
              </w:tabs>
              <w:spacing w:before="119" w:line="292" w:lineRule="auto"/>
              <w:ind w:left="1129" w:right="55" w:hanging="652"/>
              <w:rPr>
                <w:sz w:val="16"/>
              </w:rPr>
            </w:pPr>
            <w:r w:rsidRPr="00EB2BD8">
              <w:rPr>
                <w:spacing w:val="-4"/>
                <w:sz w:val="16"/>
              </w:rPr>
              <w:t>Ws2</w:t>
            </w:r>
            <w:r w:rsidRPr="00EB2BD8">
              <w:rPr>
                <w:sz w:val="16"/>
              </w:rPr>
              <w:tab/>
              <w:t>Total</w:t>
            </w:r>
            <w:r w:rsidRPr="00EB2BD8">
              <w:rPr>
                <w:spacing w:val="-13"/>
                <w:sz w:val="16"/>
              </w:rPr>
              <w:t xml:space="preserve"> </w:t>
            </w:r>
            <w:r w:rsidRPr="00EB2BD8">
              <w:rPr>
                <w:sz w:val="16"/>
              </w:rPr>
              <w:t>units</w:t>
            </w:r>
            <w:r w:rsidRPr="00EB2BD8">
              <w:rPr>
                <w:spacing w:val="-13"/>
                <w:sz w:val="16"/>
              </w:rPr>
              <w:t xml:space="preserve"> </w:t>
            </w:r>
            <w:r w:rsidRPr="00EB2BD8">
              <w:rPr>
                <w:sz w:val="16"/>
              </w:rPr>
              <w:t>of</w:t>
            </w:r>
            <w:r w:rsidRPr="00EB2BD8">
              <w:rPr>
                <w:spacing w:val="-13"/>
                <w:sz w:val="16"/>
              </w:rPr>
              <w:t xml:space="preserve"> </w:t>
            </w:r>
            <w:r w:rsidRPr="00EB2BD8">
              <w:rPr>
                <w:sz w:val="16"/>
              </w:rPr>
              <w:t>waste</w:t>
            </w:r>
            <w:r w:rsidRPr="00EB2BD8">
              <w:rPr>
                <w:spacing w:val="-13"/>
                <w:sz w:val="16"/>
              </w:rPr>
              <w:t xml:space="preserve"> </w:t>
            </w:r>
            <w:r w:rsidRPr="00EB2BD8">
              <w:rPr>
                <w:sz w:val="16"/>
              </w:rPr>
              <w:t>disposed</w:t>
            </w:r>
            <w:r w:rsidRPr="00EB2BD8">
              <w:rPr>
                <w:spacing w:val="-13"/>
                <w:sz w:val="16"/>
              </w:rPr>
              <w:t xml:space="preserve"> </w:t>
            </w:r>
            <w:r w:rsidRPr="00EB2BD8">
              <w:rPr>
                <w:sz w:val="16"/>
              </w:rPr>
              <w:t>of</w:t>
            </w:r>
            <w:r w:rsidRPr="00EB2BD8">
              <w:rPr>
                <w:spacing w:val="-13"/>
                <w:sz w:val="16"/>
              </w:rPr>
              <w:t xml:space="preserve"> </w:t>
            </w:r>
            <w:r w:rsidRPr="00EB2BD8">
              <w:rPr>
                <w:sz w:val="16"/>
              </w:rPr>
              <w:t>per</w:t>
            </w:r>
            <w:r w:rsidRPr="00EB2BD8">
              <w:rPr>
                <w:spacing w:val="-13"/>
                <w:sz w:val="16"/>
              </w:rPr>
              <w:t xml:space="preserve"> </w:t>
            </w:r>
            <w:r w:rsidRPr="00EB2BD8">
              <w:rPr>
                <w:sz w:val="16"/>
              </w:rPr>
              <w:t>FTE</w:t>
            </w:r>
            <w:r w:rsidRPr="00EB2BD8">
              <w:rPr>
                <w:spacing w:val="-13"/>
                <w:sz w:val="16"/>
              </w:rPr>
              <w:t xml:space="preserve"> </w:t>
            </w:r>
            <w:r w:rsidRPr="00EB2BD8">
              <w:rPr>
                <w:sz w:val="16"/>
              </w:rPr>
              <w:t>by destination</w:t>
            </w:r>
            <w:r w:rsidRPr="00EB2BD8">
              <w:rPr>
                <w:spacing w:val="-14"/>
                <w:sz w:val="16"/>
              </w:rPr>
              <w:t xml:space="preserve"> </w:t>
            </w:r>
            <w:r w:rsidRPr="00EB2BD8">
              <w:rPr>
                <w:sz w:val="16"/>
              </w:rPr>
              <w:t>(kg/FTE)</w:t>
            </w:r>
          </w:p>
          <w:p w14:paraId="5BE20D1A" w14:textId="77777777" w:rsidR="00044C1A" w:rsidRPr="00EB2BD8" w:rsidRDefault="00044C1A" w:rsidP="00044C1A">
            <w:pPr>
              <w:pStyle w:val="TableParagraph"/>
              <w:spacing w:before="116"/>
              <w:ind w:right="112"/>
              <w:jc w:val="right"/>
              <w:rPr>
                <w:spacing w:val="-4"/>
                <w:w w:val="90"/>
                <w:sz w:val="16"/>
              </w:rPr>
            </w:pPr>
          </w:p>
        </w:tc>
      </w:tr>
      <w:tr w:rsidR="00044C1A" w:rsidRPr="00EB2BD8" w14:paraId="6EEA8387" w14:textId="77777777" w:rsidTr="00125AB7">
        <w:trPr>
          <w:trHeight w:val="381"/>
        </w:trPr>
        <w:tc>
          <w:tcPr>
            <w:tcW w:w="3005" w:type="dxa"/>
            <w:tcBorders>
              <w:top w:val="single" w:sz="2" w:space="0" w:color="000000"/>
              <w:bottom w:val="single" w:sz="2" w:space="0" w:color="000000"/>
            </w:tcBorders>
          </w:tcPr>
          <w:p w14:paraId="6D90655D" w14:textId="486A2113" w:rsidR="00044C1A" w:rsidRPr="00EB2BD8" w:rsidRDefault="00044C1A" w:rsidP="00044C1A">
            <w:pPr>
              <w:pStyle w:val="TableParagraph"/>
              <w:spacing w:before="116"/>
              <w:ind w:left="765"/>
              <w:rPr>
                <w:spacing w:val="-2"/>
                <w:sz w:val="16"/>
              </w:rPr>
            </w:pPr>
            <w:r w:rsidRPr="00EB2BD8">
              <w:rPr>
                <w:spacing w:val="-2"/>
                <w:sz w:val="16"/>
              </w:rPr>
              <w:t>Landfill</w:t>
            </w:r>
            <w:r w:rsidRPr="00EB2BD8">
              <w:rPr>
                <w:spacing w:val="-5"/>
                <w:sz w:val="16"/>
              </w:rPr>
              <w:t xml:space="preserve"> </w:t>
            </w:r>
            <w:r w:rsidRPr="00EB2BD8">
              <w:rPr>
                <w:spacing w:val="-2"/>
                <w:sz w:val="16"/>
              </w:rPr>
              <w:t>(kg/FTE)</w:t>
            </w:r>
          </w:p>
        </w:tc>
        <w:tc>
          <w:tcPr>
            <w:tcW w:w="964" w:type="dxa"/>
            <w:tcBorders>
              <w:top w:val="single" w:sz="2" w:space="0" w:color="000000"/>
              <w:bottom w:val="single" w:sz="2" w:space="0" w:color="000000"/>
            </w:tcBorders>
            <w:shd w:val="clear" w:color="auto" w:fill="E5FBFF"/>
          </w:tcPr>
          <w:p w14:paraId="578D9812" w14:textId="2A83A900" w:rsidR="00044C1A" w:rsidRPr="00EB2BD8" w:rsidRDefault="00044C1A" w:rsidP="00044C1A">
            <w:pPr>
              <w:pStyle w:val="TableParagraph"/>
              <w:spacing w:before="116"/>
              <w:ind w:right="112"/>
              <w:jc w:val="right"/>
              <w:rPr>
                <w:spacing w:val="-2"/>
                <w:w w:val="95"/>
                <w:sz w:val="16"/>
              </w:rPr>
            </w:pPr>
            <w:r w:rsidRPr="00EB2BD8">
              <w:rPr>
                <w:w w:val="88"/>
                <w:sz w:val="16"/>
              </w:rPr>
              <w:t>5</w:t>
            </w:r>
          </w:p>
        </w:tc>
        <w:tc>
          <w:tcPr>
            <w:tcW w:w="964" w:type="dxa"/>
            <w:tcBorders>
              <w:top w:val="single" w:sz="2" w:space="0" w:color="000000"/>
              <w:bottom w:val="single" w:sz="2" w:space="0" w:color="000000"/>
            </w:tcBorders>
          </w:tcPr>
          <w:p w14:paraId="6E0FCAF8" w14:textId="17F72956" w:rsidR="00044C1A" w:rsidRPr="00EB2BD8" w:rsidRDefault="00044C1A" w:rsidP="00044C1A">
            <w:pPr>
              <w:pStyle w:val="TableParagraph"/>
              <w:spacing w:before="116"/>
              <w:ind w:right="112"/>
              <w:jc w:val="right"/>
              <w:rPr>
                <w:spacing w:val="-4"/>
                <w:w w:val="90"/>
                <w:sz w:val="16"/>
              </w:rPr>
            </w:pPr>
            <w:r w:rsidRPr="00EB2BD8">
              <w:rPr>
                <w:w w:val="80"/>
                <w:sz w:val="16"/>
              </w:rPr>
              <w:t>2</w:t>
            </w:r>
          </w:p>
        </w:tc>
      </w:tr>
      <w:tr w:rsidR="00044C1A" w:rsidRPr="00EB2BD8" w14:paraId="492008DE" w14:textId="77777777" w:rsidTr="00125AB7">
        <w:trPr>
          <w:trHeight w:val="381"/>
        </w:trPr>
        <w:tc>
          <w:tcPr>
            <w:tcW w:w="3005" w:type="dxa"/>
            <w:tcBorders>
              <w:top w:val="single" w:sz="2" w:space="0" w:color="000000"/>
              <w:bottom w:val="single" w:sz="2" w:space="0" w:color="000000"/>
            </w:tcBorders>
          </w:tcPr>
          <w:p w14:paraId="35C4C090" w14:textId="7FF994E4" w:rsidR="00044C1A" w:rsidRPr="00EB2BD8" w:rsidRDefault="00044C1A" w:rsidP="00044C1A">
            <w:pPr>
              <w:pStyle w:val="TableParagraph"/>
              <w:spacing w:before="116"/>
              <w:ind w:left="765"/>
              <w:rPr>
                <w:spacing w:val="-2"/>
                <w:sz w:val="16"/>
              </w:rPr>
            </w:pPr>
            <w:r w:rsidRPr="00EB2BD8">
              <w:rPr>
                <w:spacing w:val="-2"/>
                <w:sz w:val="16"/>
              </w:rPr>
              <w:t>Comingled</w:t>
            </w:r>
            <w:r w:rsidRPr="00EB2BD8">
              <w:rPr>
                <w:spacing w:val="-12"/>
                <w:sz w:val="16"/>
              </w:rPr>
              <w:t xml:space="preserve"> </w:t>
            </w:r>
            <w:r w:rsidRPr="00EB2BD8">
              <w:rPr>
                <w:spacing w:val="-2"/>
                <w:sz w:val="16"/>
              </w:rPr>
              <w:t>recycling (kg/FTE)</w:t>
            </w:r>
          </w:p>
        </w:tc>
        <w:tc>
          <w:tcPr>
            <w:tcW w:w="964" w:type="dxa"/>
            <w:tcBorders>
              <w:top w:val="single" w:sz="2" w:space="0" w:color="000000"/>
              <w:bottom w:val="single" w:sz="2" w:space="0" w:color="000000"/>
            </w:tcBorders>
            <w:shd w:val="clear" w:color="auto" w:fill="E5FBFF"/>
          </w:tcPr>
          <w:p w14:paraId="581C2B27" w14:textId="24D1E810" w:rsidR="00044C1A" w:rsidRPr="00EB2BD8" w:rsidRDefault="00044C1A" w:rsidP="00044C1A">
            <w:pPr>
              <w:pStyle w:val="TableParagraph"/>
              <w:spacing w:before="116"/>
              <w:ind w:right="112"/>
              <w:jc w:val="right"/>
              <w:rPr>
                <w:spacing w:val="-2"/>
                <w:w w:val="95"/>
                <w:sz w:val="16"/>
              </w:rPr>
            </w:pPr>
            <w:r w:rsidRPr="00EB2BD8">
              <w:rPr>
                <w:w w:val="105"/>
                <w:sz w:val="16"/>
              </w:rPr>
              <w:t>0</w:t>
            </w:r>
          </w:p>
        </w:tc>
        <w:tc>
          <w:tcPr>
            <w:tcW w:w="964" w:type="dxa"/>
            <w:tcBorders>
              <w:top w:val="single" w:sz="2" w:space="0" w:color="000000"/>
              <w:bottom w:val="single" w:sz="2" w:space="0" w:color="000000"/>
            </w:tcBorders>
          </w:tcPr>
          <w:p w14:paraId="4BB06503" w14:textId="23C083C2" w:rsidR="00044C1A" w:rsidRPr="00EB2BD8" w:rsidRDefault="00044C1A" w:rsidP="00044C1A">
            <w:pPr>
              <w:pStyle w:val="TableParagraph"/>
              <w:spacing w:before="116"/>
              <w:ind w:right="112"/>
              <w:jc w:val="right"/>
              <w:rPr>
                <w:spacing w:val="-4"/>
                <w:w w:val="90"/>
                <w:sz w:val="16"/>
              </w:rPr>
            </w:pPr>
            <w:r w:rsidRPr="00EB2BD8">
              <w:rPr>
                <w:w w:val="105"/>
                <w:sz w:val="16"/>
              </w:rPr>
              <w:t>0</w:t>
            </w:r>
          </w:p>
        </w:tc>
      </w:tr>
      <w:tr w:rsidR="00044C1A" w:rsidRPr="00EB2BD8" w14:paraId="7F1B13BE" w14:textId="77777777" w:rsidTr="00125AB7">
        <w:trPr>
          <w:trHeight w:val="381"/>
        </w:trPr>
        <w:tc>
          <w:tcPr>
            <w:tcW w:w="3005" w:type="dxa"/>
            <w:tcBorders>
              <w:top w:val="single" w:sz="2" w:space="0" w:color="000000"/>
              <w:bottom w:val="single" w:sz="2" w:space="0" w:color="000000"/>
            </w:tcBorders>
          </w:tcPr>
          <w:p w14:paraId="6D011240" w14:textId="2B8B6A11" w:rsidR="00044C1A" w:rsidRPr="00EB2BD8" w:rsidRDefault="00044C1A" w:rsidP="00044C1A">
            <w:pPr>
              <w:pStyle w:val="TableParagraph"/>
              <w:spacing w:before="116"/>
              <w:ind w:left="765"/>
              <w:rPr>
                <w:spacing w:val="-2"/>
                <w:sz w:val="16"/>
              </w:rPr>
            </w:pPr>
            <w:r w:rsidRPr="00EB2BD8">
              <w:rPr>
                <w:w w:val="105"/>
                <w:sz w:val="16"/>
              </w:rPr>
              <w:t>Paper</w:t>
            </w:r>
            <w:r w:rsidRPr="00EB2BD8">
              <w:rPr>
                <w:spacing w:val="-12"/>
                <w:w w:val="105"/>
                <w:sz w:val="16"/>
              </w:rPr>
              <w:t xml:space="preserve"> </w:t>
            </w:r>
            <w:r w:rsidRPr="00EB2BD8">
              <w:rPr>
                <w:w w:val="105"/>
                <w:sz w:val="16"/>
              </w:rPr>
              <w:t>and</w:t>
            </w:r>
            <w:r w:rsidRPr="00EB2BD8">
              <w:rPr>
                <w:spacing w:val="-11"/>
                <w:w w:val="105"/>
                <w:sz w:val="16"/>
              </w:rPr>
              <w:t xml:space="preserve"> </w:t>
            </w:r>
            <w:r w:rsidRPr="00EB2BD8">
              <w:rPr>
                <w:w w:val="105"/>
                <w:sz w:val="16"/>
              </w:rPr>
              <w:t>card</w:t>
            </w:r>
            <w:r w:rsidRPr="00EB2BD8">
              <w:rPr>
                <w:spacing w:val="-11"/>
                <w:w w:val="105"/>
                <w:sz w:val="16"/>
              </w:rPr>
              <w:t xml:space="preserve"> </w:t>
            </w:r>
            <w:r w:rsidRPr="00EB2BD8">
              <w:rPr>
                <w:spacing w:val="-2"/>
                <w:w w:val="105"/>
                <w:sz w:val="16"/>
              </w:rPr>
              <w:t>(kg/FTE)</w:t>
            </w:r>
          </w:p>
        </w:tc>
        <w:tc>
          <w:tcPr>
            <w:tcW w:w="964" w:type="dxa"/>
            <w:tcBorders>
              <w:top w:val="single" w:sz="2" w:space="0" w:color="000000"/>
              <w:bottom w:val="single" w:sz="2" w:space="0" w:color="000000"/>
            </w:tcBorders>
            <w:shd w:val="clear" w:color="auto" w:fill="E5FBFF"/>
          </w:tcPr>
          <w:p w14:paraId="5D2606C7" w14:textId="1E70D7AF" w:rsidR="00044C1A" w:rsidRPr="00EB2BD8" w:rsidRDefault="00044C1A" w:rsidP="00044C1A">
            <w:pPr>
              <w:pStyle w:val="TableParagraph"/>
              <w:spacing w:before="116"/>
              <w:ind w:right="112"/>
              <w:jc w:val="right"/>
              <w:rPr>
                <w:spacing w:val="-2"/>
                <w:w w:val="95"/>
                <w:sz w:val="16"/>
              </w:rPr>
            </w:pPr>
            <w:r w:rsidRPr="00EB2BD8">
              <w:rPr>
                <w:w w:val="55"/>
                <w:sz w:val="16"/>
              </w:rPr>
              <w:t>1</w:t>
            </w:r>
          </w:p>
        </w:tc>
        <w:tc>
          <w:tcPr>
            <w:tcW w:w="964" w:type="dxa"/>
            <w:tcBorders>
              <w:top w:val="single" w:sz="2" w:space="0" w:color="000000"/>
              <w:bottom w:val="single" w:sz="2" w:space="0" w:color="000000"/>
            </w:tcBorders>
          </w:tcPr>
          <w:p w14:paraId="16DEDEEE" w14:textId="6A0F0F51" w:rsidR="00044C1A" w:rsidRPr="00EB2BD8" w:rsidRDefault="00044C1A" w:rsidP="00044C1A">
            <w:pPr>
              <w:pStyle w:val="TableParagraph"/>
              <w:spacing w:before="116"/>
              <w:ind w:right="112"/>
              <w:jc w:val="right"/>
              <w:rPr>
                <w:spacing w:val="-4"/>
                <w:w w:val="90"/>
                <w:sz w:val="16"/>
              </w:rPr>
            </w:pPr>
            <w:r w:rsidRPr="00EB2BD8">
              <w:rPr>
                <w:w w:val="55"/>
                <w:sz w:val="16"/>
              </w:rPr>
              <w:t>1</w:t>
            </w:r>
          </w:p>
        </w:tc>
      </w:tr>
      <w:tr w:rsidR="00044C1A" w:rsidRPr="00EB2BD8" w14:paraId="1ED00263" w14:textId="77777777" w:rsidTr="00125AB7">
        <w:trPr>
          <w:trHeight w:val="381"/>
        </w:trPr>
        <w:tc>
          <w:tcPr>
            <w:tcW w:w="3005" w:type="dxa"/>
            <w:tcBorders>
              <w:top w:val="single" w:sz="2" w:space="0" w:color="000000"/>
              <w:bottom w:val="single" w:sz="2" w:space="0" w:color="000000"/>
            </w:tcBorders>
          </w:tcPr>
          <w:p w14:paraId="4CD16492" w14:textId="5ECB7FD9" w:rsidR="00044C1A" w:rsidRPr="00EB2BD8" w:rsidRDefault="00044C1A" w:rsidP="00044C1A">
            <w:pPr>
              <w:pStyle w:val="TableParagraph"/>
              <w:spacing w:before="116"/>
              <w:ind w:left="765"/>
              <w:rPr>
                <w:spacing w:val="-2"/>
                <w:sz w:val="16"/>
              </w:rPr>
            </w:pPr>
            <w:r w:rsidRPr="00EB2BD8">
              <w:rPr>
                <w:sz w:val="16"/>
              </w:rPr>
              <w:t>Secure</w:t>
            </w:r>
            <w:r w:rsidRPr="00EB2BD8">
              <w:rPr>
                <w:spacing w:val="2"/>
                <w:sz w:val="16"/>
              </w:rPr>
              <w:t xml:space="preserve"> </w:t>
            </w:r>
            <w:r w:rsidRPr="00EB2BD8">
              <w:rPr>
                <w:sz w:val="16"/>
              </w:rPr>
              <w:t>documents</w:t>
            </w:r>
            <w:r w:rsidRPr="00EB2BD8">
              <w:rPr>
                <w:spacing w:val="2"/>
                <w:sz w:val="16"/>
              </w:rPr>
              <w:t xml:space="preserve"> </w:t>
            </w:r>
            <w:r w:rsidRPr="00EB2BD8">
              <w:rPr>
                <w:spacing w:val="-2"/>
                <w:sz w:val="16"/>
              </w:rPr>
              <w:t>(kg/FTE)</w:t>
            </w:r>
          </w:p>
        </w:tc>
        <w:tc>
          <w:tcPr>
            <w:tcW w:w="964" w:type="dxa"/>
            <w:tcBorders>
              <w:top w:val="single" w:sz="2" w:space="0" w:color="000000"/>
              <w:bottom w:val="single" w:sz="2" w:space="0" w:color="000000"/>
            </w:tcBorders>
            <w:shd w:val="clear" w:color="auto" w:fill="E5FBFF"/>
          </w:tcPr>
          <w:p w14:paraId="180C1B52" w14:textId="3FF4977A" w:rsidR="00044C1A" w:rsidRPr="00EB2BD8" w:rsidRDefault="00044C1A" w:rsidP="00044C1A">
            <w:pPr>
              <w:pStyle w:val="TableParagraph"/>
              <w:spacing w:before="116"/>
              <w:ind w:right="112"/>
              <w:jc w:val="right"/>
              <w:rPr>
                <w:spacing w:val="-2"/>
                <w:w w:val="95"/>
                <w:sz w:val="16"/>
              </w:rPr>
            </w:pPr>
            <w:r w:rsidRPr="00EB2BD8">
              <w:rPr>
                <w:w w:val="93"/>
                <w:sz w:val="16"/>
              </w:rPr>
              <w:t>3</w:t>
            </w:r>
          </w:p>
        </w:tc>
        <w:tc>
          <w:tcPr>
            <w:tcW w:w="964" w:type="dxa"/>
            <w:tcBorders>
              <w:top w:val="single" w:sz="2" w:space="0" w:color="000000"/>
              <w:bottom w:val="single" w:sz="2" w:space="0" w:color="000000"/>
            </w:tcBorders>
          </w:tcPr>
          <w:p w14:paraId="2380C9F2" w14:textId="2563EF86" w:rsidR="00044C1A" w:rsidRPr="00EB2BD8" w:rsidRDefault="00044C1A" w:rsidP="00044C1A">
            <w:pPr>
              <w:pStyle w:val="TableParagraph"/>
              <w:spacing w:before="116"/>
              <w:ind w:right="112"/>
              <w:jc w:val="right"/>
              <w:rPr>
                <w:spacing w:val="-4"/>
                <w:w w:val="90"/>
                <w:sz w:val="16"/>
              </w:rPr>
            </w:pPr>
            <w:r w:rsidRPr="00EB2BD8">
              <w:rPr>
                <w:w w:val="105"/>
                <w:sz w:val="16"/>
              </w:rPr>
              <w:t>0</w:t>
            </w:r>
          </w:p>
        </w:tc>
      </w:tr>
      <w:tr w:rsidR="00044C1A" w:rsidRPr="00EB2BD8" w14:paraId="2770E5DC" w14:textId="77777777" w:rsidTr="00125AB7">
        <w:trPr>
          <w:trHeight w:val="381"/>
        </w:trPr>
        <w:tc>
          <w:tcPr>
            <w:tcW w:w="3005" w:type="dxa"/>
            <w:tcBorders>
              <w:top w:val="single" w:sz="2" w:space="0" w:color="000000"/>
              <w:bottom w:val="single" w:sz="2" w:space="0" w:color="000000"/>
            </w:tcBorders>
          </w:tcPr>
          <w:p w14:paraId="2CF84FA8" w14:textId="7A46BB96" w:rsidR="00044C1A" w:rsidRPr="00EB2BD8" w:rsidRDefault="00044C1A" w:rsidP="00044C1A">
            <w:pPr>
              <w:pStyle w:val="TableParagraph"/>
              <w:spacing w:before="116"/>
              <w:ind w:left="765"/>
              <w:rPr>
                <w:spacing w:val="-2"/>
                <w:sz w:val="16"/>
              </w:rPr>
            </w:pPr>
            <w:r w:rsidRPr="00EB2BD8">
              <w:rPr>
                <w:sz w:val="16"/>
              </w:rPr>
              <w:t>Organics</w:t>
            </w:r>
            <w:r w:rsidRPr="00EB2BD8">
              <w:rPr>
                <w:spacing w:val="1"/>
                <w:sz w:val="16"/>
              </w:rPr>
              <w:t xml:space="preserve"> </w:t>
            </w:r>
            <w:r w:rsidRPr="00EB2BD8">
              <w:rPr>
                <w:spacing w:val="-2"/>
                <w:sz w:val="16"/>
              </w:rPr>
              <w:t>(kg/FTE)</w:t>
            </w:r>
          </w:p>
        </w:tc>
        <w:tc>
          <w:tcPr>
            <w:tcW w:w="964" w:type="dxa"/>
            <w:tcBorders>
              <w:top w:val="single" w:sz="2" w:space="0" w:color="000000"/>
              <w:bottom w:val="single" w:sz="2" w:space="0" w:color="000000"/>
            </w:tcBorders>
            <w:shd w:val="clear" w:color="auto" w:fill="E5FBFF"/>
          </w:tcPr>
          <w:p w14:paraId="4D14A2A4" w14:textId="06976B92" w:rsidR="00044C1A" w:rsidRPr="00EB2BD8" w:rsidRDefault="00044C1A" w:rsidP="00044C1A">
            <w:pPr>
              <w:pStyle w:val="TableParagraph"/>
              <w:spacing w:before="116"/>
              <w:ind w:right="112"/>
              <w:jc w:val="right"/>
              <w:rPr>
                <w:spacing w:val="-2"/>
                <w:w w:val="95"/>
                <w:sz w:val="16"/>
              </w:rPr>
            </w:pPr>
            <w:r w:rsidRPr="00EB2BD8">
              <w:rPr>
                <w:w w:val="105"/>
                <w:sz w:val="16"/>
              </w:rPr>
              <w:t>0</w:t>
            </w:r>
          </w:p>
        </w:tc>
        <w:tc>
          <w:tcPr>
            <w:tcW w:w="964" w:type="dxa"/>
            <w:tcBorders>
              <w:top w:val="single" w:sz="2" w:space="0" w:color="000000"/>
              <w:bottom w:val="single" w:sz="2" w:space="0" w:color="000000"/>
            </w:tcBorders>
          </w:tcPr>
          <w:p w14:paraId="2BB059C7" w14:textId="7A068019" w:rsidR="00044C1A" w:rsidRPr="00EB2BD8" w:rsidRDefault="00044C1A" w:rsidP="00044C1A">
            <w:pPr>
              <w:pStyle w:val="TableParagraph"/>
              <w:spacing w:before="116"/>
              <w:ind w:right="112"/>
              <w:jc w:val="right"/>
              <w:rPr>
                <w:spacing w:val="-4"/>
                <w:w w:val="90"/>
                <w:sz w:val="16"/>
              </w:rPr>
            </w:pPr>
            <w:r w:rsidRPr="00EB2BD8">
              <w:rPr>
                <w:w w:val="105"/>
                <w:sz w:val="16"/>
              </w:rPr>
              <w:t>0</w:t>
            </w:r>
          </w:p>
        </w:tc>
      </w:tr>
      <w:tr w:rsidR="00044C1A" w:rsidRPr="00EB2BD8" w14:paraId="7CE512A7" w14:textId="77777777" w:rsidTr="00125AB7">
        <w:trPr>
          <w:trHeight w:val="381"/>
        </w:trPr>
        <w:tc>
          <w:tcPr>
            <w:tcW w:w="3005" w:type="dxa"/>
            <w:tcBorders>
              <w:top w:val="single" w:sz="2" w:space="0" w:color="000000"/>
              <w:bottom w:val="single" w:sz="2" w:space="0" w:color="000000"/>
            </w:tcBorders>
          </w:tcPr>
          <w:p w14:paraId="3D185F04" w14:textId="666D4AE5" w:rsidR="00044C1A" w:rsidRPr="00EB2BD8" w:rsidRDefault="00044C1A" w:rsidP="00044C1A">
            <w:pPr>
              <w:pStyle w:val="TableParagraph"/>
              <w:spacing w:before="116"/>
              <w:ind w:left="765"/>
              <w:rPr>
                <w:spacing w:val="-2"/>
                <w:sz w:val="16"/>
              </w:rPr>
            </w:pPr>
            <w:r w:rsidRPr="00EB2BD8">
              <w:rPr>
                <w:spacing w:val="-4"/>
                <w:sz w:val="16"/>
              </w:rPr>
              <w:t>Ws3.</w:t>
            </w:r>
            <w:r w:rsidRPr="00EB2BD8">
              <w:rPr>
                <w:sz w:val="16"/>
              </w:rPr>
              <w:tab/>
              <w:t>Recycling</w:t>
            </w:r>
            <w:r w:rsidRPr="00EB2BD8">
              <w:rPr>
                <w:spacing w:val="-2"/>
                <w:sz w:val="16"/>
              </w:rPr>
              <w:t xml:space="preserve"> </w:t>
            </w:r>
            <w:r w:rsidRPr="00EB2BD8">
              <w:rPr>
                <w:sz w:val="16"/>
              </w:rPr>
              <w:t>rate</w:t>
            </w:r>
            <w:r w:rsidRPr="00EB2BD8">
              <w:rPr>
                <w:spacing w:val="-2"/>
                <w:sz w:val="16"/>
              </w:rPr>
              <w:t xml:space="preserve"> </w:t>
            </w:r>
            <w:r w:rsidRPr="00EB2BD8">
              <w:rPr>
                <w:spacing w:val="-5"/>
                <w:sz w:val="16"/>
              </w:rPr>
              <w:t>(%)</w:t>
            </w:r>
          </w:p>
        </w:tc>
        <w:tc>
          <w:tcPr>
            <w:tcW w:w="964" w:type="dxa"/>
            <w:tcBorders>
              <w:top w:val="single" w:sz="2" w:space="0" w:color="000000"/>
              <w:bottom w:val="single" w:sz="2" w:space="0" w:color="000000"/>
            </w:tcBorders>
            <w:shd w:val="clear" w:color="auto" w:fill="E5FBFF"/>
          </w:tcPr>
          <w:p w14:paraId="6B01DF10" w14:textId="09DF314D" w:rsidR="00044C1A" w:rsidRPr="00EB2BD8" w:rsidRDefault="00044C1A" w:rsidP="00044C1A">
            <w:pPr>
              <w:pStyle w:val="TableParagraph"/>
              <w:spacing w:before="116"/>
              <w:ind w:right="112"/>
              <w:jc w:val="right"/>
              <w:rPr>
                <w:spacing w:val="-2"/>
                <w:w w:val="95"/>
                <w:sz w:val="16"/>
              </w:rPr>
            </w:pPr>
            <w:r w:rsidRPr="00EB2BD8">
              <w:rPr>
                <w:w w:val="88"/>
                <w:sz w:val="16"/>
              </w:rPr>
              <w:t>5</w:t>
            </w:r>
          </w:p>
        </w:tc>
        <w:tc>
          <w:tcPr>
            <w:tcW w:w="964" w:type="dxa"/>
            <w:tcBorders>
              <w:top w:val="single" w:sz="2" w:space="0" w:color="000000"/>
              <w:bottom w:val="single" w:sz="2" w:space="0" w:color="000000"/>
            </w:tcBorders>
          </w:tcPr>
          <w:p w14:paraId="41D75502" w14:textId="5272FEFC" w:rsidR="00044C1A" w:rsidRPr="00EB2BD8" w:rsidRDefault="00044C1A" w:rsidP="00044C1A">
            <w:pPr>
              <w:pStyle w:val="TableParagraph"/>
              <w:spacing w:before="116"/>
              <w:ind w:right="112"/>
              <w:jc w:val="right"/>
              <w:rPr>
                <w:spacing w:val="-4"/>
                <w:w w:val="90"/>
                <w:sz w:val="16"/>
              </w:rPr>
            </w:pPr>
            <w:r w:rsidRPr="00EB2BD8">
              <w:rPr>
                <w:spacing w:val="-5"/>
                <w:w w:val="85"/>
                <w:sz w:val="16"/>
              </w:rPr>
              <w:t>16</w:t>
            </w:r>
          </w:p>
        </w:tc>
      </w:tr>
      <w:tr w:rsidR="00044C1A" w:rsidRPr="00EB2BD8" w14:paraId="41870957" w14:textId="77777777" w:rsidTr="00125AB7">
        <w:trPr>
          <w:trHeight w:val="381"/>
        </w:trPr>
        <w:tc>
          <w:tcPr>
            <w:tcW w:w="3005" w:type="dxa"/>
            <w:tcBorders>
              <w:top w:val="single" w:sz="2" w:space="0" w:color="000000"/>
              <w:bottom w:val="single" w:sz="2" w:space="0" w:color="000000"/>
            </w:tcBorders>
          </w:tcPr>
          <w:p w14:paraId="7B098434" w14:textId="20ACE33D" w:rsidR="00044C1A" w:rsidRPr="00EB2BD8" w:rsidRDefault="00044C1A" w:rsidP="00044C1A">
            <w:pPr>
              <w:pStyle w:val="TableParagraph"/>
              <w:spacing w:before="116"/>
              <w:ind w:left="765"/>
              <w:rPr>
                <w:spacing w:val="-2"/>
                <w:sz w:val="16"/>
              </w:rPr>
            </w:pPr>
            <w:r w:rsidRPr="00EB2BD8">
              <w:rPr>
                <w:spacing w:val="-4"/>
                <w:sz w:val="16"/>
              </w:rPr>
              <w:t>Ws4.</w:t>
            </w:r>
            <w:r w:rsidRPr="00EB2BD8">
              <w:rPr>
                <w:sz w:val="16"/>
              </w:rPr>
              <w:tab/>
              <w:t>Greenhouse</w:t>
            </w:r>
            <w:r w:rsidRPr="00EB2BD8">
              <w:rPr>
                <w:spacing w:val="-14"/>
                <w:sz w:val="16"/>
              </w:rPr>
              <w:t xml:space="preserve"> </w:t>
            </w:r>
            <w:r w:rsidRPr="00EB2BD8">
              <w:rPr>
                <w:sz w:val="16"/>
              </w:rPr>
              <w:t>gas</w:t>
            </w:r>
            <w:r w:rsidRPr="00EB2BD8">
              <w:rPr>
                <w:spacing w:val="-14"/>
                <w:sz w:val="16"/>
              </w:rPr>
              <w:t xml:space="preserve"> </w:t>
            </w:r>
            <w:r w:rsidRPr="00EB2BD8">
              <w:rPr>
                <w:sz w:val="16"/>
              </w:rPr>
              <w:t>emissions associated with waste (tonnes</w:t>
            </w:r>
            <w:r w:rsidRPr="00EB2BD8">
              <w:rPr>
                <w:spacing w:val="-14"/>
                <w:sz w:val="16"/>
              </w:rPr>
              <w:t xml:space="preserve"> </w:t>
            </w:r>
            <w:r w:rsidRPr="00EB2BD8">
              <w:rPr>
                <w:sz w:val="16"/>
              </w:rPr>
              <w:t>CO2-e)</w:t>
            </w:r>
          </w:p>
        </w:tc>
        <w:tc>
          <w:tcPr>
            <w:tcW w:w="964" w:type="dxa"/>
            <w:tcBorders>
              <w:top w:val="single" w:sz="2" w:space="0" w:color="000000"/>
              <w:bottom w:val="single" w:sz="2" w:space="0" w:color="000000"/>
            </w:tcBorders>
            <w:shd w:val="clear" w:color="auto" w:fill="E5FBFF"/>
          </w:tcPr>
          <w:p w14:paraId="3721C2B1" w14:textId="23965EE6" w:rsidR="00044C1A" w:rsidRPr="00EB2BD8" w:rsidRDefault="00044C1A" w:rsidP="00044C1A">
            <w:pPr>
              <w:pStyle w:val="TableParagraph"/>
              <w:spacing w:before="116"/>
              <w:ind w:right="112"/>
              <w:jc w:val="right"/>
              <w:rPr>
                <w:spacing w:val="-2"/>
                <w:w w:val="95"/>
                <w:sz w:val="16"/>
              </w:rPr>
            </w:pPr>
            <w:r w:rsidRPr="00EB2BD8">
              <w:rPr>
                <w:spacing w:val="-4"/>
                <w:sz w:val="16"/>
              </w:rPr>
              <w:t>3.84</w:t>
            </w:r>
          </w:p>
        </w:tc>
        <w:tc>
          <w:tcPr>
            <w:tcW w:w="964" w:type="dxa"/>
            <w:tcBorders>
              <w:top w:val="single" w:sz="2" w:space="0" w:color="000000"/>
              <w:bottom w:val="single" w:sz="2" w:space="0" w:color="000000"/>
            </w:tcBorders>
          </w:tcPr>
          <w:p w14:paraId="2536C743" w14:textId="5AC358D2" w:rsidR="00044C1A" w:rsidRPr="00EB2BD8" w:rsidRDefault="00044C1A" w:rsidP="00044C1A">
            <w:pPr>
              <w:pStyle w:val="TableParagraph"/>
              <w:spacing w:before="116"/>
              <w:ind w:right="112"/>
              <w:jc w:val="right"/>
              <w:rPr>
                <w:spacing w:val="-4"/>
                <w:w w:val="90"/>
                <w:sz w:val="16"/>
              </w:rPr>
            </w:pPr>
            <w:r w:rsidRPr="00EB2BD8">
              <w:rPr>
                <w:spacing w:val="-4"/>
                <w:w w:val="95"/>
                <w:sz w:val="16"/>
              </w:rPr>
              <w:t>2.70</w:t>
            </w:r>
          </w:p>
        </w:tc>
      </w:tr>
    </w:tbl>
    <w:p w14:paraId="7EC6C982" w14:textId="77777777" w:rsidR="00044C1A" w:rsidRDefault="00044C1A">
      <w:pPr>
        <w:spacing w:before="2" w:line="256" w:lineRule="auto"/>
        <w:ind w:left="363" w:right="637"/>
        <w:rPr>
          <w:sz w:val="19"/>
        </w:rPr>
      </w:pPr>
    </w:p>
    <w:p w14:paraId="0DDDF41B" w14:textId="77777777" w:rsidR="00044C1A" w:rsidRDefault="00044C1A">
      <w:pPr>
        <w:spacing w:before="2" w:line="256" w:lineRule="auto"/>
        <w:ind w:left="363" w:right="637"/>
        <w:rPr>
          <w:sz w:val="19"/>
        </w:rPr>
      </w:pPr>
    </w:p>
    <w:p w14:paraId="385D1FCA" w14:textId="77777777" w:rsidR="00044C1A" w:rsidRDefault="00044C1A">
      <w:pPr>
        <w:spacing w:before="2" w:line="256" w:lineRule="auto"/>
        <w:ind w:left="363" w:right="637"/>
        <w:rPr>
          <w:sz w:val="19"/>
        </w:rPr>
      </w:pPr>
    </w:p>
    <w:p w14:paraId="7F4939AE" w14:textId="77777777" w:rsidR="00044C1A" w:rsidRDefault="00044C1A">
      <w:pPr>
        <w:spacing w:before="2" w:line="256" w:lineRule="auto"/>
        <w:ind w:left="363" w:right="637"/>
        <w:rPr>
          <w:sz w:val="19"/>
        </w:rPr>
      </w:pPr>
    </w:p>
    <w:p w14:paraId="4D82275C" w14:textId="77777777" w:rsidR="00044C1A" w:rsidRDefault="00044C1A">
      <w:pPr>
        <w:spacing w:before="2" w:line="256" w:lineRule="auto"/>
        <w:ind w:left="363" w:right="637"/>
        <w:rPr>
          <w:sz w:val="19"/>
        </w:rPr>
      </w:pPr>
    </w:p>
    <w:p w14:paraId="712E6650" w14:textId="77777777" w:rsidR="00044C1A" w:rsidRDefault="00044C1A">
      <w:pPr>
        <w:spacing w:before="2" w:line="256" w:lineRule="auto"/>
        <w:ind w:left="363" w:right="637"/>
        <w:rPr>
          <w:sz w:val="19"/>
        </w:rPr>
      </w:pPr>
    </w:p>
    <w:p w14:paraId="609D6B13" w14:textId="77777777" w:rsidR="00044C1A" w:rsidRPr="00EB2BD8" w:rsidRDefault="00044C1A">
      <w:pPr>
        <w:spacing w:before="2" w:line="256" w:lineRule="auto"/>
        <w:ind w:left="363" w:right="637"/>
        <w:rPr>
          <w:sz w:val="19"/>
        </w:rPr>
      </w:pPr>
    </w:p>
    <w:p w14:paraId="1BF4B48A" w14:textId="00166F6E" w:rsidR="004266CA" w:rsidRDefault="004266CA">
      <w:pPr>
        <w:rPr>
          <w:sz w:val="26"/>
          <w:szCs w:val="18"/>
        </w:rPr>
      </w:pPr>
      <w:r>
        <w:rPr>
          <w:sz w:val="26"/>
        </w:rPr>
        <w:br w:type="page"/>
      </w:r>
    </w:p>
    <w:p w14:paraId="3CBF2732" w14:textId="13336422" w:rsidR="00436F78" w:rsidRPr="00436F78" w:rsidRDefault="00436F78" w:rsidP="00436F78">
      <w:pPr>
        <w:tabs>
          <w:tab w:val="left" w:pos="7116"/>
        </w:tabs>
        <w:rPr>
          <w:sz w:val="16"/>
        </w:rPr>
        <w:sectPr w:rsidR="00436F78" w:rsidRPr="00436F78" w:rsidSect="006D75B2">
          <w:footerReference w:type="default" r:id="rId217"/>
          <w:type w:val="continuous"/>
          <w:pgSz w:w="11910" w:h="16840"/>
          <w:pgMar w:top="1920" w:right="0" w:bottom="280" w:left="0" w:header="0" w:footer="515" w:gutter="0"/>
          <w:cols w:space="720"/>
        </w:sectPr>
      </w:pPr>
    </w:p>
    <w:p w14:paraId="0C4F88B3" w14:textId="3D7AC5FD" w:rsidR="00084F36" w:rsidRPr="00EB2BD8" w:rsidRDefault="00084F36">
      <w:pPr>
        <w:pStyle w:val="BodyText"/>
        <w:rPr>
          <w:sz w:val="20"/>
        </w:rPr>
      </w:pPr>
    </w:p>
    <w:p w14:paraId="623C0534" w14:textId="16E0899C" w:rsidR="00084F36" w:rsidRPr="00EB2BD8" w:rsidRDefault="00436F78" w:rsidP="00436F78">
      <w:pPr>
        <w:pStyle w:val="BodyText"/>
        <w:tabs>
          <w:tab w:val="left" w:pos="11202"/>
        </w:tabs>
        <w:rPr>
          <w:sz w:val="20"/>
        </w:rPr>
      </w:pPr>
      <w:r>
        <w:rPr>
          <w:sz w:val="20"/>
        </w:rPr>
        <w:tab/>
      </w:r>
    </w:p>
    <w:p w14:paraId="33A0955A" w14:textId="77777777" w:rsidR="00084F36" w:rsidRPr="00EB2BD8" w:rsidRDefault="00084F36">
      <w:pPr>
        <w:pStyle w:val="BodyText"/>
        <w:rPr>
          <w:sz w:val="20"/>
        </w:rPr>
      </w:pPr>
    </w:p>
    <w:p w14:paraId="328E6208" w14:textId="77777777" w:rsidR="00084F36" w:rsidRPr="00EB2BD8" w:rsidRDefault="00084F36">
      <w:pPr>
        <w:pStyle w:val="BodyText"/>
        <w:rPr>
          <w:sz w:val="20"/>
        </w:rPr>
      </w:pPr>
    </w:p>
    <w:p w14:paraId="1B53998F" w14:textId="77777777" w:rsidR="00084F36" w:rsidRPr="00EB2BD8" w:rsidRDefault="00084F36">
      <w:pPr>
        <w:pStyle w:val="BodyText"/>
        <w:spacing w:before="3"/>
        <w:rPr>
          <w:sz w:val="16"/>
        </w:rPr>
      </w:pPr>
    </w:p>
    <w:p w14:paraId="7136D5D1" w14:textId="77777777" w:rsidR="00084F36" w:rsidRPr="00EB2BD8" w:rsidRDefault="00084F36">
      <w:pPr>
        <w:rPr>
          <w:sz w:val="16"/>
        </w:rPr>
        <w:sectPr w:rsidR="00084F36" w:rsidRPr="00EB2BD8" w:rsidSect="006D75B2">
          <w:footerReference w:type="default" r:id="rId218"/>
          <w:pgSz w:w="11910" w:h="16840"/>
          <w:pgMar w:top="1100" w:right="0" w:bottom="700" w:left="0" w:header="0" w:footer="515" w:gutter="0"/>
          <w:cols w:space="720"/>
        </w:sectPr>
      </w:pPr>
    </w:p>
    <w:p w14:paraId="5FB5AF15" w14:textId="77777777" w:rsidR="00084F36" w:rsidRPr="00EB2BD8" w:rsidRDefault="00EB2BD8" w:rsidP="00C315ED">
      <w:pPr>
        <w:pStyle w:val="Heading2"/>
      </w:pPr>
      <w:bookmarkStart w:id="231" w:name="_Toc150762533"/>
      <w:r w:rsidRPr="00EB2BD8">
        <w:rPr>
          <w:w w:val="105"/>
        </w:rPr>
        <w:t>Paper</w:t>
      </w:r>
      <w:r w:rsidRPr="00EB2BD8">
        <w:rPr>
          <w:spacing w:val="-3"/>
          <w:w w:val="105"/>
        </w:rPr>
        <w:t xml:space="preserve"> </w:t>
      </w:r>
      <w:r w:rsidRPr="00EB2BD8">
        <w:rPr>
          <w:spacing w:val="-5"/>
          <w:w w:val="105"/>
        </w:rPr>
        <w:t>use</w:t>
      </w:r>
      <w:bookmarkEnd w:id="231"/>
    </w:p>
    <w:p w14:paraId="580A91B8" w14:textId="77777777" w:rsidR="00084F36" w:rsidRPr="00EB2BD8" w:rsidRDefault="00EB2BD8">
      <w:pPr>
        <w:pStyle w:val="BodyText"/>
        <w:spacing w:before="178" w:line="264" w:lineRule="auto"/>
        <w:ind w:left="850" w:right="227"/>
      </w:pPr>
      <w:r w:rsidRPr="00EB2BD8">
        <w:t>The VBA maintains an ongoing transition to digital processing of documents and while some employees have returned to the office, many employees continue to</w:t>
      </w:r>
      <w:r w:rsidRPr="00EB2BD8">
        <w:rPr>
          <w:spacing w:val="-13"/>
        </w:rPr>
        <w:t xml:space="preserve"> </w:t>
      </w:r>
      <w:r w:rsidRPr="00EB2BD8">
        <w:t>work</w:t>
      </w:r>
      <w:r w:rsidRPr="00EB2BD8">
        <w:rPr>
          <w:spacing w:val="-13"/>
        </w:rPr>
        <w:t xml:space="preserve"> </w:t>
      </w:r>
      <w:r w:rsidRPr="00EB2BD8">
        <w:t>remotely.</w:t>
      </w:r>
      <w:r w:rsidRPr="00EB2BD8">
        <w:rPr>
          <w:spacing w:val="-13"/>
        </w:rPr>
        <w:t xml:space="preserve"> </w:t>
      </w:r>
      <w:r w:rsidRPr="00EB2BD8">
        <w:t>The</w:t>
      </w:r>
      <w:r w:rsidRPr="00EB2BD8">
        <w:rPr>
          <w:spacing w:val="-13"/>
        </w:rPr>
        <w:t xml:space="preserve"> </w:t>
      </w:r>
      <w:r w:rsidRPr="00EB2BD8">
        <w:t>RTO</w:t>
      </w:r>
      <w:r w:rsidRPr="00EB2BD8">
        <w:rPr>
          <w:spacing w:val="-13"/>
        </w:rPr>
        <w:t xml:space="preserve"> </w:t>
      </w:r>
      <w:r w:rsidRPr="00EB2BD8">
        <w:t>of</w:t>
      </w:r>
      <w:r w:rsidRPr="00EB2BD8">
        <w:rPr>
          <w:spacing w:val="-13"/>
        </w:rPr>
        <w:t xml:space="preserve"> </w:t>
      </w:r>
      <w:r w:rsidRPr="00EB2BD8">
        <w:t>employees</w:t>
      </w:r>
      <w:r w:rsidRPr="00EB2BD8">
        <w:rPr>
          <w:spacing w:val="-13"/>
        </w:rPr>
        <w:t xml:space="preserve"> </w:t>
      </w:r>
      <w:r w:rsidRPr="00EB2BD8">
        <w:t>has</w:t>
      </w:r>
      <w:r w:rsidRPr="00EB2BD8">
        <w:rPr>
          <w:spacing w:val="-13"/>
        </w:rPr>
        <w:t xml:space="preserve"> </w:t>
      </w:r>
      <w:r w:rsidRPr="00EB2BD8">
        <w:t>increased paper usage, but volumes are negligible.</w:t>
      </w:r>
    </w:p>
    <w:p w14:paraId="28851890" w14:textId="77777777" w:rsidR="00084F36" w:rsidRPr="00EB2BD8" w:rsidRDefault="00084F36">
      <w:pPr>
        <w:pStyle w:val="BodyText"/>
        <w:rPr>
          <w:sz w:val="29"/>
        </w:rPr>
      </w:pPr>
    </w:p>
    <w:p w14:paraId="150C0230" w14:textId="77777777" w:rsidR="00084F36" w:rsidRPr="00EB2BD8" w:rsidRDefault="00EB2BD8" w:rsidP="00C315ED">
      <w:pPr>
        <w:pStyle w:val="Heading3"/>
      </w:pPr>
      <w:bookmarkStart w:id="232" w:name="_Toc150762534"/>
      <w:r w:rsidRPr="00EB2BD8">
        <w:t>Table</w:t>
      </w:r>
      <w:r w:rsidRPr="00EB2BD8">
        <w:rPr>
          <w:spacing w:val="-16"/>
        </w:rPr>
        <w:t xml:space="preserve"> </w:t>
      </w:r>
      <w:r w:rsidRPr="00EB2BD8">
        <w:t>14: Paper</w:t>
      </w:r>
      <w:r w:rsidRPr="00EB2BD8">
        <w:rPr>
          <w:spacing w:val="-15"/>
        </w:rPr>
        <w:t xml:space="preserve"> </w:t>
      </w:r>
      <w:r w:rsidRPr="00EB2BD8">
        <w:rPr>
          <w:spacing w:val="-5"/>
        </w:rPr>
        <w:t>use</w:t>
      </w:r>
      <w:bookmarkEnd w:id="232"/>
    </w:p>
    <w:p w14:paraId="08BCB5EC" w14:textId="77777777" w:rsidR="00084F36" w:rsidRPr="00EB2BD8" w:rsidRDefault="00084F36">
      <w:pPr>
        <w:pStyle w:val="BodyText"/>
        <w:spacing w:before="3"/>
        <w:rPr>
          <w:sz w:val="22"/>
        </w:rPr>
      </w:pPr>
    </w:p>
    <w:tbl>
      <w:tblPr>
        <w:tblW w:w="0" w:type="auto"/>
        <w:tblInd w:w="857" w:type="dxa"/>
        <w:tblLayout w:type="fixed"/>
        <w:tblCellMar>
          <w:left w:w="0" w:type="dxa"/>
          <w:right w:w="0" w:type="dxa"/>
        </w:tblCellMar>
        <w:tblLook w:val="01E0" w:firstRow="1" w:lastRow="1" w:firstColumn="1" w:lastColumn="1" w:noHBand="0" w:noVBand="0"/>
      </w:tblPr>
      <w:tblGrid>
        <w:gridCol w:w="555"/>
        <w:gridCol w:w="2846"/>
        <w:gridCol w:w="850"/>
        <w:gridCol w:w="850"/>
      </w:tblGrid>
      <w:tr w:rsidR="00EB2BD8" w:rsidRPr="00EB2BD8" w14:paraId="5B647804" w14:textId="77777777">
        <w:trPr>
          <w:trHeight w:val="386"/>
        </w:trPr>
        <w:tc>
          <w:tcPr>
            <w:tcW w:w="3401" w:type="dxa"/>
            <w:gridSpan w:val="2"/>
            <w:shd w:val="clear" w:color="auto" w:fill="005F83"/>
          </w:tcPr>
          <w:p w14:paraId="4A9BC0FA" w14:textId="77777777" w:rsidR="00084F36" w:rsidRPr="00436F78" w:rsidRDefault="00EB2BD8">
            <w:pPr>
              <w:pStyle w:val="TableParagraph"/>
              <w:spacing w:before="118"/>
              <w:ind w:left="793"/>
              <w:rPr>
                <w:color w:val="FFFFFF" w:themeColor="background1"/>
                <w:sz w:val="16"/>
              </w:rPr>
            </w:pPr>
            <w:r w:rsidRPr="00436F78">
              <w:rPr>
                <w:color w:val="FFFFFF" w:themeColor="background1"/>
                <w:spacing w:val="-2"/>
                <w:w w:val="105"/>
                <w:sz w:val="16"/>
              </w:rPr>
              <w:t>Indicator</w:t>
            </w:r>
          </w:p>
        </w:tc>
        <w:tc>
          <w:tcPr>
            <w:tcW w:w="850" w:type="dxa"/>
            <w:shd w:val="clear" w:color="auto" w:fill="005F83"/>
          </w:tcPr>
          <w:p w14:paraId="54471108" w14:textId="77777777" w:rsidR="00084F36" w:rsidRPr="00436F78" w:rsidRDefault="00EB2BD8">
            <w:pPr>
              <w:pStyle w:val="TableParagraph"/>
              <w:spacing w:before="118"/>
              <w:ind w:right="139"/>
              <w:jc w:val="right"/>
              <w:rPr>
                <w:color w:val="FFFFFF" w:themeColor="background1"/>
                <w:sz w:val="16"/>
              </w:rPr>
            </w:pPr>
            <w:r w:rsidRPr="00436F78">
              <w:rPr>
                <w:color w:val="FFFFFF" w:themeColor="background1"/>
                <w:w w:val="90"/>
                <w:sz w:val="16"/>
              </w:rPr>
              <w:t>2022-</w:t>
            </w:r>
            <w:r w:rsidRPr="00436F78">
              <w:rPr>
                <w:color w:val="FFFFFF" w:themeColor="background1"/>
                <w:spacing w:val="-5"/>
                <w:sz w:val="16"/>
              </w:rPr>
              <w:t>23</w:t>
            </w:r>
          </w:p>
        </w:tc>
        <w:tc>
          <w:tcPr>
            <w:tcW w:w="850" w:type="dxa"/>
            <w:shd w:val="clear" w:color="auto" w:fill="005F83"/>
          </w:tcPr>
          <w:p w14:paraId="4565546B" w14:textId="77777777" w:rsidR="00084F36" w:rsidRPr="00436F78" w:rsidRDefault="00EB2BD8">
            <w:pPr>
              <w:pStyle w:val="TableParagraph"/>
              <w:spacing w:before="118"/>
              <w:ind w:left="114"/>
              <w:rPr>
                <w:color w:val="FFFFFF" w:themeColor="background1"/>
                <w:sz w:val="16"/>
              </w:rPr>
            </w:pPr>
            <w:r w:rsidRPr="00436F78">
              <w:rPr>
                <w:color w:val="FFFFFF" w:themeColor="background1"/>
                <w:w w:val="85"/>
                <w:sz w:val="16"/>
              </w:rPr>
              <w:t>2021-</w:t>
            </w:r>
            <w:r w:rsidRPr="00436F78">
              <w:rPr>
                <w:color w:val="FFFFFF" w:themeColor="background1"/>
                <w:spacing w:val="-5"/>
                <w:w w:val="95"/>
                <w:sz w:val="16"/>
              </w:rPr>
              <w:t>22</w:t>
            </w:r>
          </w:p>
        </w:tc>
      </w:tr>
      <w:tr w:rsidR="00EB2BD8" w:rsidRPr="00EB2BD8" w14:paraId="1103CD93" w14:textId="77777777">
        <w:trPr>
          <w:trHeight w:val="614"/>
        </w:trPr>
        <w:tc>
          <w:tcPr>
            <w:tcW w:w="555" w:type="dxa"/>
            <w:tcBorders>
              <w:bottom w:val="single" w:sz="2" w:space="0" w:color="000000"/>
            </w:tcBorders>
          </w:tcPr>
          <w:p w14:paraId="385D27EA" w14:textId="77777777" w:rsidR="00084F36" w:rsidRPr="00EB2BD8" w:rsidRDefault="00EB2BD8">
            <w:pPr>
              <w:pStyle w:val="TableParagraph"/>
              <w:spacing w:before="118"/>
              <w:ind w:left="113"/>
              <w:rPr>
                <w:sz w:val="16"/>
              </w:rPr>
            </w:pPr>
            <w:r w:rsidRPr="00EB2BD8">
              <w:rPr>
                <w:spacing w:val="-5"/>
                <w:w w:val="95"/>
                <w:sz w:val="16"/>
              </w:rPr>
              <w:t>P1</w:t>
            </w:r>
          </w:p>
        </w:tc>
        <w:tc>
          <w:tcPr>
            <w:tcW w:w="2846" w:type="dxa"/>
            <w:tcBorders>
              <w:bottom w:val="single" w:sz="2" w:space="0" w:color="000000"/>
            </w:tcBorders>
          </w:tcPr>
          <w:p w14:paraId="68D11C83" w14:textId="77777777" w:rsidR="00084F36" w:rsidRPr="00EB2BD8" w:rsidRDefault="00EB2BD8">
            <w:pPr>
              <w:pStyle w:val="TableParagraph"/>
              <w:spacing w:before="118" w:line="292" w:lineRule="auto"/>
              <w:ind w:left="238" w:right="203"/>
              <w:rPr>
                <w:sz w:val="16"/>
              </w:rPr>
            </w:pPr>
            <w:r w:rsidRPr="00EB2BD8">
              <w:rPr>
                <w:spacing w:val="-2"/>
                <w:sz w:val="16"/>
              </w:rPr>
              <w:t>Total</w:t>
            </w:r>
            <w:r w:rsidRPr="00EB2BD8">
              <w:rPr>
                <w:spacing w:val="-11"/>
                <w:sz w:val="16"/>
              </w:rPr>
              <w:t xml:space="preserve"> </w:t>
            </w:r>
            <w:r w:rsidRPr="00EB2BD8">
              <w:rPr>
                <w:spacing w:val="-2"/>
                <w:sz w:val="16"/>
              </w:rPr>
              <w:t>units</w:t>
            </w:r>
            <w:r w:rsidRPr="00EB2BD8">
              <w:rPr>
                <w:spacing w:val="-11"/>
                <w:sz w:val="16"/>
              </w:rPr>
              <w:t xml:space="preserve"> </w:t>
            </w:r>
            <w:r w:rsidRPr="00EB2BD8">
              <w:rPr>
                <w:spacing w:val="-2"/>
                <w:sz w:val="16"/>
              </w:rPr>
              <w:t>of</w:t>
            </w:r>
            <w:r w:rsidRPr="00EB2BD8">
              <w:rPr>
                <w:spacing w:val="-11"/>
                <w:sz w:val="16"/>
              </w:rPr>
              <w:t xml:space="preserve"> </w:t>
            </w:r>
            <w:r w:rsidRPr="00EB2BD8">
              <w:rPr>
                <w:spacing w:val="-2"/>
                <w:sz w:val="16"/>
              </w:rPr>
              <w:t>A4</w:t>
            </w:r>
            <w:r w:rsidRPr="00EB2BD8">
              <w:rPr>
                <w:spacing w:val="-11"/>
                <w:sz w:val="16"/>
              </w:rPr>
              <w:t xml:space="preserve"> </w:t>
            </w:r>
            <w:r w:rsidRPr="00EB2BD8">
              <w:rPr>
                <w:spacing w:val="-2"/>
                <w:sz w:val="16"/>
              </w:rPr>
              <w:t xml:space="preserve">equivalent </w:t>
            </w:r>
            <w:r w:rsidRPr="00EB2BD8">
              <w:rPr>
                <w:sz w:val="16"/>
              </w:rPr>
              <w:t>copy paper used (reams)</w:t>
            </w:r>
          </w:p>
        </w:tc>
        <w:tc>
          <w:tcPr>
            <w:tcW w:w="850" w:type="dxa"/>
            <w:tcBorders>
              <w:bottom w:val="single" w:sz="2" w:space="0" w:color="000000"/>
            </w:tcBorders>
            <w:shd w:val="clear" w:color="auto" w:fill="E5FBFF"/>
          </w:tcPr>
          <w:p w14:paraId="393FCBFF" w14:textId="77777777" w:rsidR="00084F36" w:rsidRPr="00EB2BD8" w:rsidRDefault="00084F36">
            <w:pPr>
              <w:pStyle w:val="TableParagraph"/>
              <w:spacing w:before="9"/>
              <w:rPr>
                <w:sz w:val="19"/>
              </w:rPr>
            </w:pPr>
          </w:p>
          <w:p w14:paraId="5F81B985" w14:textId="77777777" w:rsidR="00084F36" w:rsidRPr="00EB2BD8" w:rsidRDefault="00EB2BD8">
            <w:pPr>
              <w:pStyle w:val="TableParagraph"/>
              <w:ind w:right="111"/>
              <w:jc w:val="right"/>
              <w:rPr>
                <w:sz w:val="16"/>
              </w:rPr>
            </w:pPr>
            <w:r w:rsidRPr="00EB2BD8">
              <w:rPr>
                <w:spacing w:val="-5"/>
                <w:sz w:val="16"/>
              </w:rPr>
              <w:t>558</w:t>
            </w:r>
          </w:p>
        </w:tc>
        <w:tc>
          <w:tcPr>
            <w:tcW w:w="850" w:type="dxa"/>
            <w:tcBorders>
              <w:bottom w:val="single" w:sz="2" w:space="0" w:color="000000"/>
            </w:tcBorders>
          </w:tcPr>
          <w:p w14:paraId="0EB712E3" w14:textId="77777777" w:rsidR="00084F36" w:rsidRPr="00EB2BD8" w:rsidRDefault="00084F36">
            <w:pPr>
              <w:pStyle w:val="TableParagraph"/>
              <w:spacing w:before="9"/>
              <w:rPr>
                <w:sz w:val="19"/>
              </w:rPr>
            </w:pPr>
          </w:p>
          <w:p w14:paraId="205C53B3" w14:textId="77777777" w:rsidR="00084F36" w:rsidRPr="00EB2BD8" w:rsidRDefault="00EB2BD8">
            <w:pPr>
              <w:pStyle w:val="TableParagraph"/>
              <w:ind w:right="110"/>
              <w:jc w:val="right"/>
              <w:rPr>
                <w:sz w:val="16"/>
              </w:rPr>
            </w:pPr>
            <w:r w:rsidRPr="00EB2BD8">
              <w:rPr>
                <w:spacing w:val="-5"/>
                <w:sz w:val="16"/>
              </w:rPr>
              <w:t>384</w:t>
            </w:r>
          </w:p>
        </w:tc>
      </w:tr>
      <w:tr w:rsidR="00EB2BD8" w:rsidRPr="00EB2BD8" w14:paraId="497D5313" w14:textId="77777777">
        <w:trPr>
          <w:trHeight w:val="841"/>
        </w:trPr>
        <w:tc>
          <w:tcPr>
            <w:tcW w:w="555" w:type="dxa"/>
            <w:tcBorders>
              <w:top w:val="single" w:sz="2" w:space="0" w:color="000000"/>
              <w:bottom w:val="single" w:sz="2" w:space="0" w:color="000000"/>
            </w:tcBorders>
          </w:tcPr>
          <w:p w14:paraId="59F2482F" w14:textId="77777777" w:rsidR="00084F36" w:rsidRPr="00EB2BD8" w:rsidRDefault="00EB2BD8">
            <w:pPr>
              <w:pStyle w:val="TableParagraph"/>
              <w:spacing w:before="116"/>
              <w:ind w:left="113"/>
              <w:rPr>
                <w:sz w:val="16"/>
              </w:rPr>
            </w:pPr>
            <w:r w:rsidRPr="00EB2BD8">
              <w:rPr>
                <w:spacing w:val="-5"/>
                <w:sz w:val="16"/>
              </w:rPr>
              <w:t>P2</w:t>
            </w:r>
          </w:p>
        </w:tc>
        <w:tc>
          <w:tcPr>
            <w:tcW w:w="2846" w:type="dxa"/>
            <w:tcBorders>
              <w:top w:val="single" w:sz="2" w:space="0" w:color="000000"/>
              <w:bottom w:val="single" w:sz="2" w:space="0" w:color="000000"/>
            </w:tcBorders>
          </w:tcPr>
          <w:p w14:paraId="3EC80D5D" w14:textId="77777777" w:rsidR="00084F36" w:rsidRPr="00EB2BD8" w:rsidRDefault="00EB2BD8">
            <w:pPr>
              <w:pStyle w:val="TableParagraph"/>
              <w:spacing w:before="116" w:line="292" w:lineRule="auto"/>
              <w:ind w:left="238" w:right="456"/>
              <w:jc w:val="both"/>
              <w:rPr>
                <w:sz w:val="16"/>
              </w:rPr>
            </w:pPr>
            <w:r w:rsidRPr="00EB2BD8">
              <w:rPr>
                <w:sz w:val="16"/>
              </w:rPr>
              <w:t>Units</w:t>
            </w:r>
            <w:r w:rsidRPr="00EB2BD8">
              <w:rPr>
                <w:spacing w:val="-6"/>
                <w:sz w:val="16"/>
              </w:rPr>
              <w:t xml:space="preserve"> </w:t>
            </w:r>
            <w:r w:rsidRPr="00EB2BD8">
              <w:rPr>
                <w:sz w:val="16"/>
              </w:rPr>
              <w:t>of</w:t>
            </w:r>
            <w:r w:rsidRPr="00EB2BD8">
              <w:rPr>
                <w:spacing w:val="-6"/>
                <w:sz w:val="16"/>
              </w:rPr>
              <w:t xml:space="preserve"> </w:t>
            </w:r>
            <w:r w:rsidRPr="00EB2BD8">
              <w:rPr>
                <w:sz w:val="16"/>
              </w:rPr>
              <w:t>A4</w:t>
            </w:r>
            <w:r w:rsidRPr="00EB2BD8">
              <w:rPr>
                <w:spacing w:val="-6"/>
                <w:sz w:val="16"/>
              </w:rPr>
              <w:t xml:space="preserve"> </w:t>
            </w:r>
            <w:r w:rsidRPr="00EB2BD8">
              <w:rPr>
                <w:sz w:val="16"/>
              </w:rPr>
              <w:t>equivalent</w:t>
            </w:r>
            <w:r w:rsidRPr="00EB2BD8">
              <w:rPr>
                <w:spacing w:val="-6"/>
                <w:sz w:val="16"/>
              </w:rPr>
              <w:t xml:space="preserve"> </w:t>
            </w:r>
            <w:r w:rsidRPr="00EB2BD8">
              <w:rPr>
                <w:sz w:val="16"/>
              </w:rPr>
              <w:t>copy paper</w:t>
            </w:r>
            <w:r w:rsidRPr="00EB2BD8">
              <w:rPr>
                <w:spacing w:val="-10"/>
                <w:sz w:val="16"/>
              </w:rPr>
              <w:t xml:space="preserve"> </w:t>
            </w:r>
            <w:r w:rsidRPr="00EB2BD8">
              <w:rPr>
                <w:sz w:val="16"/>
              </w:rPr>
              <w:t>used</w:t>
            </w:r>
            <w:r w:rsidRPr="00EB2BD8">
              <w:rPr>
                <w:spacing w:val="-10"/>
                <w:sz w:val="16"/>
              </w:rPr>
              <w:t xml:space="preserve"> </w:t>
            </w:r>
            <w:r w:rsidRPr="00EB2BD8">
              <w:rPr>
                <w:sz w:val="16"/>
              </w:rPr>
              <w:t>per</w:t>
            </w:r>
            <w:r w:rsidRPr="00EB2BD8">
              <w:rPr>
                <w:spacing w:val="-10"/>
                <w:sz w:val="16"/>
              </w:rPr>
              <w:t xml:space="preserve"> </w:t>
            </w:r>
            <w:r w:rsidRPr="00EB2BD8">
              <w:rPr>
                <w:sz w:val="16"/>
              </w:rPr>
              <w:t>FTE</w:t>
            </w:r>
            <w:r w:rsidRPr="00EB2BD8">
              <w:rPr>
                <w:spacing w:val="-10"/>
                <w:sz w:val="16"/>
              </w:rPr>
              <w:t xml:space="preserve"> </w:t>
            </w:r>
            <w:r w:rsidRPr="00EB2BD8">
              <w:rPr>
                <w:sz w:val="16"/>
              </w:rPr>
              <w:t xml:space="preserve">(reams/ </w:t>
            </w:r>
            <w:r w:rsidRPr="00EB2BD8">
              <w:rPr>
                <w:spacing w:val="-4"/>
                <w:w w:val="105"/>
                <w:sz w:val="16"/>
              </w:rPr>
              <w:t>FTE)</w:t>
            </w:r>
          </w:p>
        </w:tc>
        <w:tc>
          <w:tcPr>
            <w:tcW w:w="850" w:type="dxa"/>
            <w:tcBorders>
              <w:top w:val="single" w:sz="2" w:space="0" w:color="000000"/>
              <w:bottom w:val="single" w:sz="2" w:space="0" w:color="000000"/>
            </w:tcBorders>
            <w:shd w:val="clear" w:color="auto" w:fill="E5FBFF"/>
          </w:tcPr>
          <w:p w14:paraId="1BB57DE8" w14:textId="77777777" w:rsidR="00084F36" w:rsidRPr="00EB2BD8" w:rsidRDefault="00084F36">
            <w:pPr>
              <w:pStyle w:val="TableParagraph"/>
              <w:rPr>
                <w:sz w:val="18"/>
              </w:rPr>
            </w:pPr>
          </w:p>
          <w:p w14:paraId="1CABEDF2" w14:textId="77777777" w:rsidR="00084F36" w:rsidRPr="00EB2BD8" w:rsidRDefault="00EB2BD8">
            <w:pPr>
              <w:pStyle w:val="TableParagraph"/>
              <w:spacing w:before="134"/>
              <w:ind w:right="111"/>
              <w:jc w:val="right"/>
              <w:rPr>
                <w:sz w:val="16"/>
              </w:rPr>
            </w:pPr>
            <w:r w:rsidRPr="00EB2BD8">
              <w:rPr>
                <w:spacing w:val="-4"/>
                <w:w w:val="65"/>
                <w:sz w:val="16"/>
              </w:rPr>
              <w:t>1.11</w:t>
            </w:r>
          </w:p>
        </w:tc>
        <w:tc>
          <w:tcPr>
            <w:tcW w:w="850" w:type="dxa"/>
            <w:tcBorders>
              <w:top w:val="single" w:sz="2" w:space="0" w:color="000000"/>
              <w:bottom w:val="single" w:sz="2" w:space="0" w:color="000000"/>
            </w:tcBorders>
          </w:tcPr>
          <w:p w14:paraId="0AD42D64" w14:textId="77777777" w:rsidR="00084F36" w:rsidRPr="00EB2BD8" w:rsidRDefault="00084F36">
            <w:pPr>
              <w:pStyle w:val="TableParagraph"/>
              <w:rPr>
                <w:sz w:val="18"/>
              </w:rPr>
            </w:pPr>
          </w:p>
          <w:p w14:paraId="08DE0BF4" w14:textId="77777777" w:rsidR="00084F36" w:rsidRPr="00EB2BD8" w:rsidRDefault="00EB2BD8">
            <w:pPr>
              <w:pStyle w:val="TableParagraph"/>
              <w:spacing w:before="134"/>
              <w:ind w:right="110"/>
              <w:jc w:val="right"/>
              <w:rPr>
                <w:sz w:val="16"/>
              </w:rPr>
            </w:pPr>
            <w:r w:rsidRPr="00EB2BD8">
              <w:rPr>
                <w:spacing w:val="-4"/>
                <w:w w:val="90"/>
                <w:sz w:val="16"/>
              </w:rPr>
              <w:t>0.81</w:t>
            </w:r>
          </w:p>
        </w:tc>
      </w:tr>
      <w:tr w:rsidR="00EB2BD8" w:rsidRPr="00EB2BD8" w14:paraId="5D19AAB8" w14:textId="77777777">
        <w:trPr>
          <w:trHeight w:val="381"/>
        </w:trPr>
        <w:tc>
          <w:tcPr>
            <w:tcW w:w="555" w:type="dxa"/>
            <w:tcBorders>
              <w:top w:val="single" w:sz="2" w:space="0" w:color="000000"/>
              <w:bottom w:val="single" w:sz="2" w:space="0" w:color="000000"/>
            </w:tcBorders>
          </w:tcPr>
          <w:p w14:paraId="67E8EC06" w14:textId="77777777" w:rsidR="00084F36" w:rsidRPr="00EB2BD8" w:rsidRDefault="00EB2BD8">
            <w:pPr>
              <w:pStyle w:val="TableParagraph"/>
              <w:spacing w:before="116"/>
              <w:ind w:left="113"/>
              <w:rPr>
                <w:sz w:val="16"/>
              </w:rPr>
            </w:pPr>
            <w:r w:rsidRPr="00EB2BD8">
              <w:rPr>
                <w:spacing w:val="-5"/>
                <w:w w:val="105"/>
                <w:sz w:val="16"/>
              </w:rPr>
              <w:t>P3</w:t>
            </w:r>
          </w:p>
        </w:tc>
        <w:tc>
          <w:tcPr>
            <w:tcW w:w="2846" w:type="dxa"/>
            <w:tcBorders>
              <w:top w:val="single" w:sz="2" w:space="0" w:color="000000"/>
              <w:bottom w:val="single" w:sz="2" w:space="0" w:color="000000"/>
            </w:tcBorders>
          </w:tcPr>
          <w:p w14:paraId="6DB38023" w14:textId="77777777" w:rsidR="00084F36" w:rsidRPr="00EB2BD8" w:rsidRDefault="00EB2BD8">
            <w:pPr>
              <w:pStyle w:val="TableParagraph"/>
              <w:spacing w:before="116"/>
              <w:ind w:left="239"/>
              <w:rPr>
                <w:sz w:val="16"/>
              </w:rPr>
            </w:pPr>
            <w:r w:rsidRPr="00EB2BD8">
              <w:rPr>
                <w:spacing w:val="-2"/>
                <w:sz w:val="16"/>
              </w:rPr>
              <w:t>75–100%</w:t>
            </w:r>
            <w:r w:rsidRPr="00EB2BD8">
              <w:rPr>
                <w:spacing w:val="-10"/>
                <w:sz w:val="16"/>
              </w:rPr>
              <w:t xml:space="preserve"> </w:t>
            </w:r>
            <w:r w:rsidRPr="00EB2BD8">
              <w:rPr>
                <w:spacing w:val="-2"/>
                <w:sz w:val="16"/>
              </w:rPr>
              <w:t>recycled</w:t>
            </w:r>
            <w:r w:rsidRPr="00EB2BD8">
              <w:rPr>
                <w:spacing w:val="-10"/>
                <w:sz w:val="16"/>
              </w:rPr>
              <w:t xml:space="preserve"> </w:t>
            </w:r>
            <w:r w:rsidRPr="00EB2BD8">
              <w:rPr>
                <w:spacing w:val="-2"/>
                <w:sz w:val="16"/>
              </w:rPr>
              <w:t>content</w:t>
            </w:r>
          </w:p>
        </w:tc>
        <w:tc>
          <w:tcPr>
            <w:tcW w:w="850" w:type="dxa"/>
            <w:tcBorders>
              <w:top w:val="single" w:sz="2" w:space="0" w:color="000000"/>
              <w:bottom w:val="single" w:sz="2" w:space="0" w:color="000000"/>
            </w:tcBorders>
            <w:shd w:val="clear" w:color="auto" w:fill="E5FBFF"/>
          </w:tcPr>
          <w:p w14:paraId="1A47B661" w14:textId="77777777" w:rsidR="00084F36" w:rsidRPr="00EB2BD8" w:rsidRDefault="00EB2BD8">
            <w:pPr>
              <w:pStyle w:val="TableParagraph"/>
              <w:spacing w:before="116"/>
              <w:ind w:right="110"/>
              <w:jc w:val="right"/>
              <w:rPr>
                <w:sz w:val="16"/>
              </w:rPr>
            </w:pPr>
            <w:r w:rsidRPr="00EB2BD8">
              <w:rPr>
                <w:spacing w:val="-5"/>
                <w:sz w:val="16"/>
              </w:rPr>
              <w:t>100</w:t>
            </w:r>
          </w:p>
        </w:tc>
        <w:tc>
          <w:tcPr>
            <w:tcW w:w="850" w:type="dxa"/>
            <w:tcBorders>
              <w:top w:val="single" w:sz="2" w:space="0" w:color="000000"/>
              <w:bottom w:val="single" w:sz="2" w:space="0" w:color="000000"/>
            </w:tcBorders>
          </w:tcPr>
          <w:p w14:paraId="4C2C5DDC" w14:textId="77777777" w:rsidR="00084F36" w:rsidRPr="00EB2BD8" w:rsidRDefault="00EB2BD8">
            <w:pPr>
              <w:pStyle w:val="TableParagraph"/>
              <w:spacing w:before="116"/>
              <w:ind w:right="110"/>
              <w:jc w:val="right"/>
              <w:rPr>
                <w:sz w:val="16"/>
              </w:rPr>
            </w:pPr>
            <w:r w:rsidRPr="00EB2BD8">
              <w:rPr>
                <w:spacing w:val="-5"/>
                <w:sz w:val="16"/>
              </w:rPr>
              <w:t>100</w:t>
            </w:r>
          </w:p>
        </w:tc>
      </w:tr>
      <w:tr w:rsidR="00EB2BD8" w:rsidRPr="00EB2BD8" w14:paraId="4C571A9A" w14:textId="77777777">
        <w:trPr>
          <w:trHeight w:val="381"/>
        </w:trPr>
        <w:tc>
          <w:tcPr>
            <w:tcW w:w="555" w:type="dxa"/>
            <w:tcBorders>
              <w:top w:val="single" w:sz="2" w:space="0" w:color="000000"/>
              <w:bottom w:val="single" w:sz="2" w:space="0" w:color="000000"/>
            </w:tcBorders>
          </w:tcPr>
          <w:p w14:paraId="3CB740F7" w14:textId="77777777" w:rsidR="00084F36" w:rsidRPr="00EB2BD8" w:rsidRDefault="00EB2BD8">
            <w:pPr>
              <w:pStyle w:val="TableParagraph"/>
              <w:spacing w:before="116"/>
              <w:ind w:left="113"/>
              <w:rPr>
                <w:sz w:val="16"/>
              </w:rPr>
            </w:pPr>
            <w:r w:rsidRPr="00EB2BD8">
              <w:rPr>
                <w:spacing w:val="-5"/>
                <w:w w:val="105"/>
                <w:sz w:val="16"/>
              </w:rPr>
              <w:t>P4</w:t>
            </w:r>
          </w:p>
        </w:tc>
        <w:tc>
          <w:tcPr>
            <w:tcW w:w="2846" w:type="dxa"/>
            <w:tcBorders>
              <w:top w:val="single" w:sz="2" w:space="0" w:color="000000"/>
              <w:bottom w:val="single" w:sz="2" w:space="0" w:color="000000"/>
            </w:tcBorders>
          </w:tcPr>
          <w:p w14:paraId="5D4421B0" w14:textId="77777777" w:rsidR="00084F36" w:rsidRPr="00EB2BD8" w:rsidRDefault="00EB2BD8">
            <w:pPr>
              <w:pStyle w:val="TableParagraph"/>
              <w:spacing w:before="116"/>
              <w:ind w:left="239"/>
              <w:rPr>
                <w:sz w:val="16"/>
              </w:rPr>
            </w:pPr>
            <w:r w:rsidRPr="00EB2BD8">
              <w:rPr>
                <w:sz w:val="16"/>
              </w:rPr>
              <w:t>50–74%</w:t>
            </w:r>
            <w:r w:rsidRPr="00EB2BD8">
              <w:rPr>
                <w:spacing w:val="-11"/>
                <w:sz w:val="16"/>
              </w:rPr>
              <w:t xml:space="preserve"> </w:t>
            </w:r>
            <w:r w:rsidRPr="00EB2BD8">
              <w:rPr>
                <w:sz w:val="16"/>
              </w:rPr>
              <w:t>recycled</w:t>
            </w:r>
            <w:r w:rsidRPr="00EB2BD8">
              <w:rPr>
                <w:spacing w:val="-10"/>
                <w:sz w:val="16"/>
              </w:rPr>
              <w:t xml:space="preserve"> </w:t>
            </w:r>
            <w:r w:rsidRPr="00EB2BD8">
              <w:rPr>
                <w:spacing w:val="-2"/>
                <w:sz w:val="16"/>
              </w:rPr>
              <w:t>content</w:t>
            </w:r>
          </w:p>
        </w:tc>
        <w:tc>
          <w:tcPr>
            <w:tcW w:w="850" w:type="dxa"/>
            <w:tcBorders>
              <w:top w:val="single" w:sz="2" w:space="0" w:color="000000"/>
              <w:bottom w:val="single" w:sz="2" w:space="0" w:color="000000"/>
            </w:tcBorders>
            <w:shd w:val="clear" w:color="auto" w:fill="E5FBFF"/>
          </w:tcPr>
          <w:p w14:paraId="19CD549A" w14:textId="77777777" w:rsidR="00084F36" w:rsidRPr="00EB2BD8" w:rsidRDefault="00EB2BD8">
            <w:pPr>
              <w:pStyle w:val="TableParagraph"/>
              <w:spacing w:before="116"/>
              <w:ind w:right="109"/>
              <w:jc w:val="right"/>
              <w:rPr>
                <w:sz w:val="16"/>
              </w:rPr>
            </w:pPr>
            <w:r w:rsidRPr="00EB2BD8">
              <w:rPr>
                <w:w w:val="105"/>
                <w:sz w:val="16"/>
              </w:rPr>
              <w:t>0</w:t>
            </w:r>
          </w:p>
        </w:tc>
        <w:tc>
          <w:tcPr>
            <w:tcW w:w="850" w:type="dxa"/>
            <w:tcBorders>
              <w:top w:val="single" w:sz="2" w:space="0" w:color="000000"/>
              <w:bottom w:val="single" w:sz="2" w:space="0" w:color="000000"/>
            </w:tcBorders>
          </w:tcPr>
          <w:p w14:paraId="75334E7D" w14:textId="77777777" w:rsidR="00084F36" w:rsidRPr="00EB2BD8" w:rsidRDefault="00EB2BD8">
            <w:pPr>
              <w:pStyle w:val="TableParagraph"/>
              <w:spacing w:before="116"/>
              <w:ind w:right="109"/>
              <w:jc w:val="right"/>
              <w:rPr>
                <w:sz w:val="16"/>
              </w:rPr>
            </w:pPr>
            <w:r w:rsidRPr="00EB2BD8">
              <w:rPr>
                <w:w w:val="105"/>
                <w:sz w:val="16"/>
              </w:rPr>
              <w:t>0</w:t>
            </w:r>
          </w:p>
        </w:tc>
      </w:tr>
      <w:tr w:rsidR="00EB2BD8" w:rsidRPr="00EB2BD8" w14:paraId="472FA35D" w14:textId="77777777">
        <w:trPr>
          <w:trHeight w:val="381"/>
        </w:trPr>
        <w:tc>
          <w:tcPr>
            <w:tcW w:w="555" w:type="dxa"/>
            <w:tcBorders>
              <w:top w:val="single" w:sz="2" w:space="0" w:color="000000"/>
              <w:bottom w:val="single" w:sz="2" w:space="0" w:color="000000"/>
            </w:tcBorders>
          </w:tcPr>
          <w:p w14:paraId="44A47643" w14:textId="77777777" w:rsidR="00084F36" w:rsidRPr="00EB2BD8" w:rsidRDefault="00EB2BD8">
            <w:pPr>
              <w:pStyle w:val="TableParagraph"/>
              <w:spacing w:before="116"/>
              <w:ind w:left="114"/>
              <w:rPr>
                <w:sz w:val="16"/>
              </w:rPr>
            </w:pPr>
            <w:r w:rsidRPr="00EB2BD8">
              <w:rPr>
                <w:spacing w:val="-5"/>
                <w:sz w:val="16"/>
              </w:rPr>
              <w:t>P5</w:t>
            </w:r>
          </w:p>
        </w:tc>
        <w:tc>
          <w:tcPr>
            <w:tcW w:w="2846" w:type="dxa"/>
            <w:tcBorders>
              <w:top w:val="single" w:sz="2" w:space="0" w:color="000000"/>
              <w:bottom w:val="single" w:sz="2" w:space="0" w:color="000000"/>
            </w:tcBorders>
          </w:tcPr>
          <w:p w14:paraId="7459CCE4" w14:textId="77777777" w:rsidR="00084F36" w:rsidRPr="00EB2BD8" w:rsidRDefault="00EB2BD8">
            <w:pPr>
              <w:pStyle w:val="TableParagraph"/>
              <w:spacing w:before="116"/>
              <w:ind w:left="239"/>
              <w:rPr>
                <w:sz w:val="16"/>
              </w:rPr>
            </w:pPr>
            <w:r w:rsidRPr="00EB2BD8">
              <w:rPr>
                <w:spacing w:val="-2"/>
                <w:w w:val="105"/>
                <w:sz w:val="16"/>
              </w:rPr>
              <w:t>0–49%</w:t>
            </w:r>
            <w:r w:rsidRPr="00EB2BD8">
              <w:rPr>
                <w:spacing w:val="-5"/>
                <w:w w:val="105"/>
                <w:sz w:val="16"/>
              </w:rPr>
              <w:t xml:space="preserve"> </w:t>
            </w:r>
            <w:r w:rsidRPr="00EB2BD8">
              <w:rPr>
                <w:spacing w:val="-2"/>
                <w:w w:val="105"/>
                <w:sz w:val="16"/>
              </w:rPr>
              <w:t>recycled</w:t>
            </w:r>
            <w:r w:rsidRPr="00EB2BD8">
              <w:rPr>
                <w:spacing w:val="-4"/>
                <w:w w:val="105"/>
                <w:sz w:val="16"/>
              </w:rPr>
              <w:t xml:space="preserve"> </w:t>
            </w:r>
            <w:r w:rsidRPr="00EB2BD8">
              <w:rPr>
                <w:spacing w:val="-2"/>
                <w:w w:val="105"/>
                <w:sz w:val="16"/>
              </w:rPr>
              <w:t>content</w:t>
            </w:r>
          </w:p>
        </w:tc>
        <w:tc>
          <w:tcPr>
            <w:tcW w:w="850" w:type="dxa"/>
            <w:tcBorders>
              <w:top w:val="single" w:sz="2" w:space="0" w:color="000000"/>
              <w:bottom w:val="single" w:sz="2" w:space="0" w:color="000000"/>
            </w:tcBorders>
            <w:shd w:val="clear" w:color="auto" w:fill="E5FBFF"/>
          </w:tcPr>
          <w:p w14:paraId="34163DE4" w14:textId="77777777" w:rsidR="00084F36" w:rsidRPr="00EB2BD8" w:rsidRDefault="00EB2BD8">
            <w:pPr>
              <w:pStyle w:val="TableParagraph"/>
              <w:spacing w:before="116"/>
              <w:ind w:right="109"/>
              <w:jc w:val="right"/>
              <w:rPr>
                <w:sz w:val="16"/>
              </w:rPr>
            </w:pPr>
            <w:r w:rsidRPr="00EB2BD8">
              <w:rPr>
                <w:w w:val="105"/>
                <w:sz w:val="16"/>
              </w:rPr>
              <w:t>0</w:t>
            </w:r>
          </w:p>
        </w:tc>
        <w:tc>
          <w:tcPr>
            <w:tcW w:w="850" w:type="dxa"/>
            <w:tcBorders>
              <w:top w:val="single" w:sz="2" w:space="0" w:color="000000"/>
              <w:bottom w:val="single" w:sz="2" w:space="0" w:color="000000"/>
            </w:tcBorders>
          </w:tcPr>
          <w:p w14:paraId="54511F6E" w14:textId="77777777" w:rsidR="00084F36" w:rsidRPr="00EB2BD8" w:rsidRDefault="00EB2BD8">
            <w:pPr>
              <w:pStyle w:val="TableParagraph"/>
              <w:spacing w:before="116"/>
              <w:ind w:right="109"/>
              <w:jc w:val="right"/>
              <w:rPr>
                <w:sz w:val="16"/>
              </w:rPr>
            </w:pPr>
            <w:r w:rsidRPr="00EB2BD8">
              <w:rPr>
                <w:w w:val="105"/>
                <w:sz w:val="16"/>
              </w:rPr>
              <w:t>0</w:t>
            </w:r>
          </w:p>
        </w:tc>
      </w:tr>
    </w:tbl>
    <w:p w14:paraId="099B0FEA" w14:textId="77777777" w:rsidR="00084F36" w:rsidRPr="00EB2BD8" w:rsidRDefault="00084F36">
      <w:pPr>
        <w:pStyle w:val="BodyText"/>
        <w:rPr>
          <w:sz w:val="22"/>
        </w:rPr>
      </w:pPr>
    </w:p>
    <w:p w14:paraId="1CBE316B" w14:textId="77777777" w:rsidR="00084F36" w:rsidRPr="00EB2BD8" w:rsidRDefault="00084F36">
      <w:pPr>
        <w:pStyle w:val="BodyText"/>
        <w:spacing w:before="10"/>
        <w:rPr>
          <w:sz w:val="16"/>
        </w:rPr>
      </w:pPr>
    </w:p>
    <w:p w14:paraId="477A8C32" w14:textId="77777777" w:rsidR="00084F36" w:rsidRPr="00EB2BD8" w:rsidRDefault="00EB2BD8" w:rsidP="00C315ED">
      <w:pPr>
        <w:pStyle w:val="Heading2"/>
      </w:pPr>
      <w:bookmarkStart w:id="233" w:name="_Toc150762535"/>
      <w:r w:rsidRPr="00EB2BD8">
        <w:rPr>
          <w:w w:val="105"/>
        </w:rPr>
        <w:t>Water</w:t>
      </w:r>
      <w:r w:rsidRPr="00EB2BD8">
        <w:rPr>
          <w:spacing w:val="-17"/>
          <w:w w:val="105"/>
        </w:rPr>
        <w:t xml:space="preserve"> </w:t>
      </w:r>
      <w:r w:rsidRPr="00EB2BD8">
        <w:rPr>
          <w:w w:val="105"/>
        </w:rPr>
        <w:t>waste</w:t>
      </w:r>
      <w:r w:rsidRPr="00EB2BD8">
        <w:rPr>
          <w:spacing w:val="-17"/>
          <w:w w:val="105"/>
        </w:rPr>
        <w:t xml:space="preserve"> </w:t>
      </w:r>
      <w:r w:rsidRPr="00EB2BD8">
        <w:rPr>
          <w:w w:val="105"/>
        </w:rPr>
        <w:t>and</w:t>
      </w:r>
      <w:r w:rsidRPr="00EB2BD8">
        <w:rPr>
          <w:spacing w:val="-16"/>
          <w:w w:val="105"/>
        </w:rPr>
        <w:t xml:space="preserve"> </w:t>
      </w:r>
      <w:r w:rsidRPr="00EB2BD8">
        <w:rPr>
          <w:spacing w:val="-2"/>
          <w:w w:val="105"/>
        </w:rPr>
        <w:t>recycling</w:t>
      </w:r>
      <w:bookmarkEnd w:id="233"/>
    </w:p>
    <w:p w14:paraId="43612817" w14:textId="77777777" w:rsidR="00084F36" w:rsidRPr="00EB2BD8" w:rsidRDefault="00EB2BD8">
      <w:pPr>
        <w:pStyle w:val="BodyText"/>
        <w:spacing w:before="137" w:line="261" w:lineRule="auto"/>
        <w:ind w:left="850" w:right="227"/>
      </w:pPr>
      <w:r w:rsidRPr="00EB2BD8">
        <w:t>Water consumption data is not available for the Goods Shed North as there are no separate water meters for each</w:t>
      </w:r>
      <w:r w:rsidRPr="00EB2BD8">
        <w:rPr>
          <w:spacing w:val="-6"/>
        </w:rPr>
        <w:t xml:space="preserve"> </w:t>
      </w:r>
      <w:r w:rsidRPr="00EB2BD8">
        <w:t>tenancy.</w:t>
      </w:r>
    </w:p>
    <w:p w14:paraId="014BD09A" w14:textId="7C24D984" w:rsidR="00084F36" w:rsidRPr="00EB2BD8" w:rsidRDefault="00EB2BD8" w:rsidP="00C315ED">
      <w:pPr>
        <w:pStyle w:val="Heading2"/>
        <w:ind w:left="0"/>
      </w:pPr>
      <w:r w:rsidRPr="00EB2BD8">
        <w:br w:type="column"/>
      </w:r>
      <w:r w:rsidR="00C315ED">
        <w:t xml:space="preserve">  </w:t>
      </w:r>
      <w:bookmarkStart w:id="234" w:name="_Toc150762536"/>
      <w:r w:rsidRPr="00EB2BD8">
        <w:t>Travel</w:t>
      </w:r>
      <w:r w:rsidRPr="00EB2BD8">
        <w:rPr>
          <w:spacing w:val="-1"/>
        </w:rPr>
        <w:t xml:space="preserve"> </w:t>
      </w:r>
      <w:r w:rsidRPr="00EB2BD8">
        <w:t>and</w:t>
      </w:r>
      <w:r w:rsidRPr="00EB2BD8">
        <w:rPr>
          <w:spacing w:val="-1"/>
        </w:rPr>
        <w:t xml:space="preserve"> </w:t>
      </w:r>
      <w:r w:rsidRPr="00EB2BD8">
        <w:rPr>
          <w:spacing w:val="-2"/>
        </w:rPr>
        <w:t>transport</w:t>
      </w:r>
      <w:bookmarkEnd w:id="234"/>
    </w:p>
    <w:p w14:paraId="548E5A0B" w14:textId="77777777" w:rsidR="00084F36" w:rsidRPr="00EB2BD8" w:rsidRDefault="00EB2BD8">
      <w:pPr>
        <w:spacing w:before="178" w:line="256" w:lineRule="auto"/>
        <w:ind w:left="186" w:right="837"/>
        <w:rPr>
          <w:sz w:val="19"/>
        </w:rPr>
      </w:pPr>
      <w:r w:rsidRPr="00EB2BD8">
        <w:rPr>
          <w:sz w:val="19"/>
        </w:rPr>
        <w:t>The VBA fleet consists of 87 vehicles. Twenty are fuelled by unleaded petrol and 67 are hybrid vehicles. The VBA continues to replace unleaded petrol vehicles with hybrid models as part of an overall</w:t>
      </w:r>
      <w:r w:rsidRPr="00EB2BD8">
        <w:rPr>
          <w:spacing w:val="-11"/>
          <w:sz w:val="19"/>
        </w:rPr>
        <w:t xml:space="preserve"> </w:t>
      </w:r>
      <w:r w:rsidRPr="00EB2BD8">
        <w:rPr>
          <w:sz w:val="19"/>
        </w:rPr>
        <w:t>fleet</w:t>
      </w:r>
      <w:r w:rsidRPr="00EB2BD8">
        <w:rPr>
          <w:spacing w:val="-11"/>
          <w:sz w:val="19"/>
        </w:rPr>
        <w:t xml:space="preserve"> </w:t>
      </w:r>
      <w:r w:rsidRPr="00EB2BD8">
        <w:rPr>
          <w:sz w:val="19"/>
        </w:rPr>
        <w:t>improvement</w:t>
      </w:r>
      <w:r w:rsidRPr="00EB2BD8">
        <w:rPr>
          <w:spacing w:val="-11"/>
          <w:sz w:val="19"/>
        </w:rPr>
        <w:t xml:space="preserve"> </w:t>
      </w:r>
      <w:r w:rsidRPr="00EB2BD8">
        <w:rPr>
          <w:sz w:val="19"/>
        </w:rPr>
        <w:t>strategy</w:t>
      </w:r>
      <w:r w:rsidRPr="00EB2BD8">
        <w:rPr>
          <w:spacing w:val="-11"/>
          <w:sz w:val="19"/>
        </w:rPr>
        <w:t xml:space="preserve"> </w:t>
      </w:r>
      <w:r w:rsidRPr="00EB2BD8">
        <w:rPr>
          <w:sz w:val="19"/>
        </w:rPr>
        <w:t>and</w:t>
      </w:r>
      <w:r w:rsidRPr="00EB2BD8">
        <w:rPr>
          <w:spacing w:val="-11"/>
          <w:sz w:val="19"/>
        </w:rPr>
        <w:t xml:space="preserve"> </w:t>
      </w:r>
      <w:r w:rsidRPr="00EB2BD8">
        <w:rPr>
          <w:sz w:val="19"/>
        </w:rPr>
        <w:t>in</w:t>
      </w:r>
      <w:r w:rsidRPr="00EB2BD8">
        <w:rPr>
          <w:spacing w:val="-11"/>
          <w:sz w:val="19"/>
        </w:rPr>
        <w:t xml:space="preserve"> </w:t>
      </w:r>
      <w:r w:rsidRPr="00EB2BD8">
        <w:rPr>
          <w:sz w:val="19"/>
        </w:rPr>
        <w:t>line</w:t>
      </w:r>
      <w:r w:rsidRPr="00EB2BD8">
        <w:rPr>
          <w:spacing w:val="-11"/>
          <w:sz w:val="19"/>
        </w:rPr>
        <w:t xml:space="preserve"> </w:t>
      </w:r>
      <w:r w:rsidRPr="00EB2BD8">
        <w:rPr>
          <w:sz w:val="19"/>
        </w:rPr>
        <w:t>with Victorian Government guidelines.</w:t>
      </w:r>
    </w:p>
    <w:p w14:paraId="74213761" w14:textId="77777777" w:rsidR="00084F36" w:rsidRPr="00EB2BD8" w:rsidRDefault="00084F36">
      <w:pPr>
        <w:pStyle w:val="BodyText"/>
        <w:spacing w:before="9"/>
        <w:rPr>
          <w:sz w:val="29"/>
        </w:rPr>
      </w:pPr>
    </w:p>
    <w:p w14:paraId="3956724F" w14:textId="07A0D9D3" w:rsidR="00084F36" w:rsidRPr="00EB2BD8" w:rsidRDefault="00C315ED" w:rsidP="00C315ED">
      <w:pPr>
        <w:pStyle w:val="Heading3"/>
        <w:ind w:left="0"/>
      </w:pPr>
      <w:r>
        <w:t xml:space="preserve">    </w:t>
      </w:r>
      <w:bookmarkStart w:id="235" w:name="_Toc150762537"/>
      <w:r w:rsidR="00EB2BD8" w:rsidRPr="00EB2BD8">
        <w:t>Table</w:t>
      </w:r>
      <w:r w:rsidR="00EB2BD8" w:rsidRPr="00EB2BD8">
        <w:rPr>
          <w:spacing w:val="-14"/>
        </w:rPr>
        <w:t xml:space="preserve"> </w:t>
      </w:r>
      <w:r w:rsidR="00EB2BD8" w:rsidRPr="00EB2BD8">
        <w:t>15:</w:t>
      </w:r>
      <w:r w:rsidR="00EB2BD8" w:rsidRPr="00EB2BD8">
        <w:rPr>
          <w:spacing w:val="1"/>
        </w:rPr>
        <w:t xml:space="preserve"> </w:t>
      </w:r>
      <w:r w:rsidR="00EB2BD8" w:rsidRPr="00EB2BD8">
        <w:t>Travel</w:t>
      </w:r>
      <w:r w:rsidR="00EB2BD8" w:rsidRPr="00EB2BD8">
        <w:rPr>
          <w:spacing w:val="-14"/>
        </w:rPr>
        <w:t xml:space="preserve"> </w:t>
      </w:r>
      <w:r w:rsidR="00EB2BD8" w:rsidRPr="00EB2BD8">
        <w:t>and</w:t>
      </w:r>
      <w:r w:rsidR="00EB2BD8" w:rsidRPr="00EB2BD8">
        <w:rPr>
          <w:spacing w:val="-14"/>
        </w:rPr>
        <w:t xml:space="preserve"> </w:t>
      </w:r>
      <w:r w:rsidR="00EB2BD8" w:rsidRPr="00EB2BD8">
        <w:t>transport</w:t>
      </w:r>
      <w:bookmarkEnd w:id="235"/>
    </w:p>
    <w:p w14:paraId="511A0A7D" w14:textId="40D12EC5" w:rsidR="00084F36" w:rsidRDefault="00704578">
      <w:pPr>
        <w:rPr>
          <w:sz w:val="20"/>
        </w:rPr>
      </w:pPr>
      <w:r w:rsidRPr="00EB2BD8">
        <w:rPr>
          <w:noProof/>
        </w:rPr>
        <mc:AlternateContent>
          <mc:Choice Requires="wps">
            <w:drawing>
              <wp:inline distT="0" distB="0" distL="0" distR="0" wp14:anchorId="1825F5BC" wp14:editId="6A9CD3A1">
                <wp:extent cx="3334385" cy="4601845"/>
                <wp:effectExtent l="0" t="0" r="0" b="0"/>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4385" cy="460184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16"/>
                              <w:gridCol w:w="2615"/>
                              <w:gridCol w:w="964"/>
                              <w:gridCol w:w="936"/>
                            </w:tblGrid>
                            <w:tr w:rsidR="00084F36" w14:paraId="3E8476DB" w14:textId="77777777">
                              <w:trPr>
                                <w:trHeight w:val="386"/>
                              </w:trPr>
                              <w:tc>
                                <w:tcPr>
                                  <w:tcW w:w="3231" w:type="dxa"/>
                                  <w:gridSpan w:val="2"/>
                                  <w:shd w:val="clear" w:color="auto" w:fill="005F83"/>
                                </w:tcPr>
                                <w:p w14:paraId="07446034" w14:textId="77777777" w:rsidR="00084F36" w:rsidRDefault="00EB2BD8">
                                  <w:pPr>
                                    <w:pStyle w:val="TableParagraph"/>
                                    <w:spacing w:before="118"/>
                                    <w:ind w:left="793"/>
                                    <w:rPr>
                                      <w:sz w:val="16"/>
                                    </w:rPr>
                                  </w:pPr>
                                  <w:r>
                                    <w:rPr>
                                      <w:color w:val="FFFFFF"/>
                                      <w:spacing w:val="-2"/>
                                      <w:w w:val="105"/>
                                      <w:sz w:val="16"/>
                                    </w:rPr>
                                    <w:t>Indicator</w:t>
                                  </w:r>
                                </w:p>
                              </w:tc>
                              <w:tc>
                                <w:tcPr>
                                  <w:tcW w:w="964" w:type="dxa"/>
                                  <w:shd w:val="clear" w:color="auto" w:fill="005F83"/>
                                </w:tcPr>
                                <w:p w14:paraId="652B6A94" w14:textId="77777777" w:rsidR="00084F36" w:rsidRDefault="00EB2BD8">
                                  <w:pPr>
                                    <w:pStyle w:val="TableParagraph"/>
                                    <w:spacing w:before="118"/>
                                    <w:ind w:left="113"/>
                                    <w:rPr>
                                      <w:sz w:val="16"/>
                                    </w:rPr>
                                  </w:pPr>
                                  <w:r>
                                    <w:rPr>
                                      <w:color w:val="FFFFFF"/>
                                      <w:w w:val="90"/>
                                      <w:sz w:val="16"/>
                                    </w:rPr>
                                    <w:t>2022-</w:t>
                                  </w:r>
                                  <w:r>
                                    <w:rPr>
                                      <w:color w:val="FFFFFF"/>
                                      <w:spacing w:val="-5"/>
                                      <w:sz w:val="16"/>
                                    </w:rPr>
                                    <w:t>23</w:t>
                                  </w:r>
                                </w:p>
                              </w:tc>
                              <w:tc>
                                <w:tcPr>
                                  <w:tcW w:w="936" w:type="dxa"/>
                                  <w:shd w:val="clear" w:color="auto" w:fill="005F83"/>
                                </w:tcPr>
                                <w:p w14:paraId="4DA498BD" w14:textId="77777777" w:rsidR="00084F36" w:rsidRDefault="00EB2BD8">
                                  <w:pPr>
                                    <w:pStyle w:val="TableParagraph"/>
                                    <w:spacing w:before="118"/>
                                    <w:ind w:left="113"/>
                                    <w:rPr>
                                      <w:sz w:val="16"/>
                                    </w:rPr>
                                  </w:pPr>
                                  <w:r>
                                    <w:rPr>
                                      <w:color w:val="EBEBEA"/>
                                      <w:w w:val="90"/>
                                      <w:sz w:val="16"/>
                                    </w:rPr>
                                    <w:t>2022-</w:t>
                                  </w:r>
                                  <w:r>
                                    <w:rPr>
                                      <w:color w:val="EBEBEA"/>
                                      <w:spacing w:val="-5"/>
                                      <w:w w:val="95"/>
                                      <w:sz w:val="16"/>
                                    </w:rPr>
                                    <w:t>21</w:t>
                                  </w:r>
                                </w:p>
                              </w:tc>
                            </w:tr>
                            <w:tr w:rsidR="00084F36" w14:paraId="6D25DB83" w14:textId="77777777">
                              <w:trPr>
                                <w:trHeight w:val="614"/>
                              </w:trPr>
                              <w:tc>
                                <w:tcPr>
                                  <w:tcW w:w="616" w:type="dxa"/>
                                  <w:tcBorders>
                                    <w:bottom w:val="single" w:sz="2" w:space="0" w:color="000000"/>
                                  </w:tcBorders>
                                </w:tcPr>
                                <w:p w14:paraId="7AD0947C" w14:textId="77777777" w:rsidR="00084F36" w:rsidRDefault="00EB2BD8">
                                  <w:pPr>
                                    <w:pStyle w:val="TableParagraph"/>
                                    <w:spacing w:before="118"/>
                                    <w:ind w:left="88" w:right="284"/>
                                    <w:jc w:val="center"/>
                                    <w:rPr>
                                      <w:sz w:val="16"/>
                                    </w:rPr>
                                  </w:pPr>
                                  <w:r>
                                    <w:rPr>
                                      <w:spacing w:val="-5"/>
                                      <w:w w:val="85"/>
                                      <w:sz w:val="16"/>
                                    </w:rPr>
                                    <w:t>T1.</w:t>
                                  </w:r>
                                </w:p>
                              </w:tc>
                              <w:tc>
                                <w:tcPr>
                                  <w:tcW w:w="2615" w:type="dxa"/>
                                  <w:tcBorders>
                                    <w:bottom w:val="single" w:sz="2" w:space="0" w:color="000000"/>
                                  </w:tcBorders>
                                </w:tcPr>
                                <w:p w14:paraId="2EDD4C96" w14:textId="77777777" w:rsidR="00084F36" w:rsidRDefault="00EB2BD8">
                                  <w:pPr>
                                    <w:pStyle w:val="TableParagraph"/>
                                    <w:spacing w:before="118" w:line="292" w:lineRule="auto"/>
                                    <w:ind w:left="177" w:right="27"/>
                                    <w:rPr>
                                      <w:sz w:val="16"/>
                                    </w:rPr>
                                  </w:pPr>
                                  <w:r>
                                    <w:rPr>
                                      <w:sz w:val="16"/>
                                    </w:rPr>
                                    <w:t>Total</w:t>
                                  </w:r>
                                  <w:r>
                                    <w:rPr>
                                      <w:spacing w:val="-14"/>
                                      <w:sz w:val="16"/>
                                    </w:rPr>
                                    <w:t xml:space="preserve"> </w:t>
                                  </w:r>
                                  <w:r>
                                    <w:rPr>
                                      <w:sz w:val="16"/>
                                    </w:rPr>
                                    <w:t>energy</w:t>
                                  </w:r>
                                  <w:r>
                                    <w:rPr>
                                      <w:spacing w:val="-14"/>
                                      <w:sz w:val="16"/>
                                    </w:rPr>
                                    <w:t xml:space="preserve"> </w:t>
                                  </w:r>
                                  <w:r>
                                    <w:rPr>
                                      <w:sz w:val="16"/>
                                    </w:rPr>
                                    <w:t>consumption</w:t>
                                  </w:r>
                                  <w:r>
                                    <w:rPr>
                                      <w:spacing w:val="-14"/>
                                      <w:sz w:val="16"/>
                                    </w:rPr>
                                    <w:t xml:space="preserve"> </w:t>
                                  </w:r>
                                  <w:r>
                                    <w:rPr>
                                      <w:sz w:val="16"/>
                                    </w:rPr>
                                    <w:t>by fleet vehicles (MJ)</w:t>
                                  </w:r>
                                </w:p>
                              </w:tc>
                              <w:tc>
                                <w:tcPr>
                                  <w:tcW w:w="964" w:type="dxa"/>
                                  <w:tcBorders>
                                    <w:bottom w:val="single" w:sz="2" w:space="0" w:color="000000"/>
                                  </w:tcBorders>
                                  <w:shd w:val="clear" w:color="auto" w:fill="E5FBFF"/>
                                </w:tcPr>
                                <w:p w14:paraId="7ACFF3ED" w14:textId="77777777" w:rsidR="00084F36" w:rsidRDefault="00084F36">
                                  <w:pPr>
                                    <w:pStyle w:val="TableParagraph"/>
                                    <w:rPr>
                                      <w:rFonts w:ascii="Times New Roman"/>
                                      <w:sz w:val="16"/>
                                    </w:rPr>
                                  </w:pPr>
                                </w:p>
                              </w:tc>
                              <w:tc>
                                <w:tcPr>
                                  <w:tcW w:w="936" w:type="dxa"/>
                                  <w:tcBorders>
                                    <w:bottom w:val="single" w:sz="2" w:space="0" w:color="000000"/>
                                  </w:tcBorders>
                                </w:tcPr>
                                <w:p w14:paraId="16CDB859" w14:textId="77777777" w:rsidR="00084F36" w:rsidRDefault="00084F36">
                                  <w:pPr>
                                    <w:pStyle w:val="TableParagraph"/>
                                    <w:rPr>
                                      <w:rFonts w:ascii="Times New Roman"/>
                                      <w:sz w:val="16"/>
                                    </w:rPr>
                                  </w:pPr>
                                </w:p>
                              </w:tc>
                            </w:tr>
                            <w:tr w:rsidR="00084F36" w14:paraId="33421A7B" w14:textId="77777777">
                              <w:trPr>
                                <w:trHeight w:val="381"/>
                              </w:trPr>
                              <w:tc>
                                <w:tcPr>
                                  <w:tcW w:w="3231" w:type="dxa"/>
                                  <w:gridSpan w:val="2"/>
                                  <w:tcBorders>
                                    <w:top w:val="single" w:sz="2" w:space="0" w:color="000000"/>
                                    <w:bottom w:val="single" w:sz="2" w:space="0" w:color="000000"/>
                                  </w:tcBorders>
                                </w:tcPr>
                                <w:p w14:paraId="60631EBC" w14:textId="77777777" w:rsidR="00084F36" w:rsidRDefault="00EB2BD8">
                                  <w:pPr>
                                    <w:pStyle w:val="TableParagraph"/>
                                    <w:spacing w:before="116"/>
                                    <w:ind w:left="793"/>
                                    <w:rPr>
                                      <w:sz w:val="16"/>
                                    </w:rPr>
                                  </w:pPr>
                                  <w:r>
                                    <w:rPr>
                                      <w:spacing w:val="-2"/>
                                      <w:w w:val="105"/>
                                      <w:sz w:val="16"/>
                                    </w:rPr>
                                    <w:t>Unleaded</w:t>
                                  </w:r>
                                </w:p>
                              </w:tc>
                              <w:tc>
                                <w:tcPr>
                                  <w:tcW w:w="964" w:type="dxa"/>
                                  <w:tcBorders>
                                    <w:top w:val="single" w:sz="2" w:space="0" w:color="000000"/>
                                    <w:bottom w:val="single" w:sz="2" w:space="0" w:color="000000"/>
                                  </w:tcBorders>
                                  <w:shd w:val="clear" w:color="auto" w:fill="E5FBFF"/>
                                </w:tcPr>
                                <w:p w14:paraId="559EECBC" w14:textId="77777777" w:rsidR="00084F36" w:rsidRDefault="00EB2BD8">
                                  <w:pPr>
                                    <w:pStyle w:val="TableParagraph"/>
                                    <w:spacing w:before="116"/>
                                    <w:ind w:right="111"/>
                                    <w:jc w:val="right"/>
                                    <w:rPr>
                                      <w:sz w:val="16"/>
                                    </w:rPr>
                                  </w:pPr>
                                  <w:r>
                                    <w:rPr>
                                      <w:spacing w:val="-2"/>
                                      <w:w w:val="90"/>
                                      <w:sz w:val="16"/>
                                    </w:rPr>
                                    <w:t>1,202,608</w:t>
                                  </w:r>
                                </w:p>
                              </w:tc>
                              <w:tc>
                                <w:tcPr>
                                  <w:tcW w:w="936" w:type="dxa"/>
                                  <w:tcBorders>
                                    <w:top w:val="single" w:sz="2" w:space="0" w:color="000000"/>
                                    <w:bottom w:val="single" w:sz="2" w:space="0" w:color="000000"/>
                                  </w:tcBorders>
                                </w:tcPr>
                                <w:p w14:paraId="4CECCB5A" w14:textId="77777777" w:rsidR="00084F36" w:rsidRDefault="00EB2BD8">
                                  <w:pPr>
                                    <w:pStyle w:val="TableParagraph"/>
                                    <w:spacing w:before="116"/>
                                    <w:ind w:left="132"/>
                                    <w:rPr>
                                      <w:sz w:val="16"/>
                                    </w:rPr>
                                  </w:pPr>
                                  <w:r>
                                    <w:rPr>
                                      <w:spacing w:val="-2"/>
                                      <w:w w:val="95"/>
                                      <w:sz w:val="16"/>
                                    </w:rPr>
                                    <w:t>2,425,620</w:t>
                                  </w:r>
                                </w:p>
                              </w:tc>
                            </w:tr>
                            <w:tr w:rsidR="00084F36" w14:paraId="130988E7" w14:textId="77777777">
                              <w:trPr>
                                <w:trHeight w:val="381"/>
                              </w:trPr>
                              <w:tc>
                                <w:tcPr>
                                  <w:tcW w:w="3231" w:type="dxa"/>
                                  <w:gridSpan w:val="2"/>
                                  <w:tcBorders>
                                    <w:top w:val="single" w:sz="2" w:space="0" w:color="000000"/>
                                    <w:bottom w:val="single" w:sz="2" w:space="0" w:color="000000"/>
                                  </w:tcBorders>
                                </w:tcPr>
                                <w:p w14:paraId="09FEB1E9" w14:textId="77777777" w:rsidR="00084F36" w:rsidRDefault="00EB2BD8">
                                  <w:pPr>
                                    <w:pStyle w:val="TableParagraph"/>
                                    <w:spacing w:before="116"/>
                                    <w:ind w:left="793"/>
                                    <w:rPr>
                                      <w:sz w:val="16"/>
                                    </w:rPr>
                                  </w:pPr>
                                  <w:r>
                                    <w:rPr>
                                      <w:spacing w:val="-2"/>
                                      <w:sz w:val="16"/>
                                    </w:rPr>
                                    <w:t>Hybrid</w:t>
                                  </w:r>
                                </w:p>
                              </w:tc>
                              <w:tc>
                                <w:tcPr>
                                  <w:tcW w:w="964" w:type="dxa"/>
                                  <w:tcBorders>
                                    <w:top w:val="single" w:sz="2" w:space="0" w:color="000000"/>
                                    <w:bottom w:val="single" w:sz="2" w:space="0" w:color="000000"/>
                                  </w:tcBorders>
                                  <w:shd w:val="clear" w:color="auto" w:fill="E5FBFF"/>
                                </w:tcPr>
                                <w:p w14:paraId="0AFBE73A" w14:textId="77777777" w:rsidR="00084F36" w:rsidRDefault="00EB2BD8">
                                  <w:pPr>
                                    <w:pStyle w:val="TableParagraph"/>
                                    <w:spacing w:before="116"/>
                                    <w:ind w:right="112"/>
                                    <w:jc w:val="right"/>
                                    <w:rPr>
                                      <w:sz w:val="16"/>
                                    </w:rPr>
                                  </w:pPr>
                                  <w:r>
                                    <w:rPr>
                                      <w:spacing w:val="-2"/>
                                      <w:w w:val="90"/>
                                      <w:sz w:val="16"/>
                                    </w:rPr>
                                    <w:t>1,876,578</w:t>
                                  </w:r>
                                </w:p>
                              </w:tc>
                              <w:tc>
                                <w:tcPr>
                                  <w:tcW w:w="936" w:type="dxa"/>
                                  <w:tcBorders>
                                    <w:top w:val="single" w:sz="2" w:space="0" w:color="000000"/>
                                    <w:bottom w:val="single" w:sz="2" w:space="0" w:color="000000"/>
                                  </w:tcBorders>
                                </w:tcPr>
                                <w:p w14:paraId="7CE25CA8" w14:textId="77777777" w:rsidR="00084F36" w:rsidRDefault="00EB2BD8">
                                  <w:pPr>
                                    <w:pStyle w:val="TableParagraph"/>
                                    <w:spacing w:before="116"/>
                                    <w:ind w:right="112"/>
                                    <w:jc w:val="right"/>
                                    <w:rPr>
                                      <w:sz w:val="16"/>
                                    </w:rPr>
                                  </w:pPr>
                                  <w:r>
                                    <w:rPr>
                                      <w:spacing w:val="-2"/>
                                      <w:sz w:val="16"/>
                                    </w:rPr>
                                    <w:t>786,330</w:t>
                                  </w:r>
                                </w:p>
                              </w:tc>
                            </w:tr>
                            <w:tr w:rsidR="00084F36" w14:paraId="4C1D9F43" w14:textId="77777777">
                              <w:trPr>
                                <w:trHeight w:val="841"/>
                              </w:trPr>
                              <w:tc>
                                <w:tcPr>
                                  <w:tcW w:w="616" w:type="dxa"/>
                                  <w:tcBorders>
                                    <w:top w:val="single" w:sz="2" w:space="0" w:color="000000"/>
                                    <w:bottom w:val="single" w:sz="2" w:space="0" w:color="000000"/>
                                  </w:tcBorders>
                                </w:tcPr>
                                <w:p w14:paraId="6FD5C0BC" w14:textId="77777777" w:rsidR="00084F36" w:rsidRDefault="00EB2BD8">
                                  <w:pPr>
                                    <w:pStyle w:val="TableParagraph"/>
                                    <w:spacing w:before="116"/>
                                    <w:ind w:left="85" w:right="253"/>
                                    <w:jc w:val="center"/>
                                    <w:rPr>
                                      <w:sz w:val="16"/>
                                    </w:rPr>
                                  </w:pPr>
                                  <w:r>
                                    <w:rPr>
                                      <w:spacing w:val="-5"/>
                                      <w:w w:val="95"/>
                                      <w:sz w:val="16"/>
                                    </w:rPr>
                                    <w:t>T2.</w:t>
                                  </w:r>
                                </w:p>
                              </w:tc>
                              <w:tc>
                                <w:tcPr>
                                  <w:tcW w:w="2615" w:type="dxa"/>
                                  <w:tcBorders>
                                    <w:top w:val="single" w:sz="2" w:space="0" w:color="000000"/>
                                    <w:bottom w:val="single" w:sz="2" w:space="0" w:color="000000"/>
                                  </w:tcBorders>
                                </w:tcPr>
                                <w:p w14:paraId="764FDCB0" w14:textId="77777777" w:rsidR="00084F36" w:rsidRDefault="00EB2BD8">
                                  <w:pPr>
                                    <w:pStyle w:val="TableParagraph"/>
                                    <w:spacing w:before="116" w:line="292" w:lineRule="auto"/>
                                    <w:ind w:left="177" w:right="27"/>
                                    <w:rPr>
                                      <w:sz w:val="16"/>
                                    </w:rPr>
                                  </w:pPr>
                                  <w:r>
                                    <w:rPr>
                                      <w:w w:val="105"/>
                                      <w:sz w:val="16"/>
                                    </w:rPr>
                                    <w:t>Total distance</w:t>
                                  </w:r>
                                  <w:r>
                                    <w:rPr>
                                      <w:spacing w:val="-1"/>
                                      <w:w w:val="105"/>
                                      <w:sz w:val="16"/>
                                    </w:rPr>
                                    <w:t xml:space="preserve"> </w:t>
                                  </w:r>
                                  <w:r>
                                    <w:rPr>
                                      <w:w w:val="105"/>
                                      <w:sz w:val="16"/>
                                    </w:rPr>
                                    <w:t xml:space="preserve">travelled </w:t>
                                  </w:r>
                                  <w:r>
                                    <w:rPr>
                                      <w:sz w:val="16"/>
                                    </w:rPr>
                                    <w:t>consumption</w:t>
                                  </w:r>
                                  <w:r>
                                    <w:rPr>
                                      <w:spacing w:val="-14"/>
                                      <w:sz w:val="16"/>
                                    </w:rPr>
                                    <w:t xml:space="preserve"> </w:t>
                                  </w:r>
                                  <w:r>
                                    <w:rPr>
                                      <w:sz w:val="16"/>
                                    </w:rPr>
                                    <w:t>by</w:t>
                                  </w:r>
                                  <w:r>
                                    <w:rPr>
                                      <w:spacing w:val="-14"/>
                                      <w:sz w:val="16"/>
                                    </w:rPr>
                                    <w:t xml:space="preserve"> </w:t>
                                  </w:r>
                                  <w:r>
                                    <w:rPr>
                                      <w:sz w:val="16"/>
                                    </w:rPr>
                                    <w:t>fleet</w:t>
                                  </w:r>
                                  <w:r>
                                    <w:rPr>
                                      <w:spacing w:val="-14"/>
                                      <w:sz w:val="16"/>
                                    </w:rPr>
                                    <w:t xml:space="preserve"> </w:t>
                                  </w:r>
                                  <w:r>
                                    <w:rPr>
                                      <w:sz w:val="16"/>
                                    </w:rPr>
                                    <w:t xml:space="preserve">vehicles </w:t>
                                  </w:r>
                                  <w:r>
                                    <w:rPr>
                                      <w:spacing w:val="-4"/>
                                      <w:w w:val="105"/>
                                      <w:sz w:val="16"/>
                                    </w:rPr>
                                    <w:t>(km)</w:t>
                                  </w:r>
                                </w:p>
                              </w:tc>
                              <w:tc>
                                <w:tcPr>
                                  <w:tcW w:w="964" w:type="dxa"/>
                                  <w:tcBorders>
                                    <w:top w:val="single" w:sz="2" w:space="0" w:color="000000"/>
                                    <w:bottom w:val="single" w:sz="2" w:space="0" w:color="000000"/>
                                  </w:tcBorders>
                                  <w:shd w:val="clear" w:color="auto" w:fill="E5FBFF"/>
                                </w:tcPr>
                                <w:p w14:paraId="70D23775" w14:textId="77777777" w:rsidR="00084F36" w:rsidRDefault="00084F36">
                                  <w:pPr>
                                    <w:pStyle w:val="TableParagraph"/>
                                    <w:rPr>
                                      <w:rFonts w:ascii="Times New Roman"/>
                                      <w:sz w:val="16"/>
                                    </w:rPr>
                                  </w:pPr>
                                </w:p>
                              </w:tc>
                              <w:tc>
                                <w:tcPr>
                                  <w:tcW w:w="936" w:type="dxa"/>
                                  <w:tcBorders>
                                    <w:top w:val="single" w:sz="2" w:space="0" w:color="000000"/>
                                    <w:bottom w:val="single" w:sz="2" w:space="0" w:color="000000"/>
                                  </w:tcBorders>
                                </w:tcPr>
                                <w:p w14:paraId="4BA67685" w14:textId="77777777" w:rsidR="00084F36" w:rsidRDefault="00084F36">
                                  <w:pPr>
                                    <w:pStyle w:val="TableParagraph"/>
                                    <w:rPr>
                                      <w:rFonts w:ascii="Times New Roman"/>
                                      <w:sz w:val="16"/>
                                    </w:rPr>
                                  </w:pPr>
                                </w:p>
                              </w:tc>
                            </w:tr>
                            <w:tr w:rsidR="00084F36" w14:paraId="6995A767" w14:textId="77777777">
                              <w:trPr>
                                <w:trHeight w:val="381"/>
                              </w:trPr>
                              <w:tc>
                                <w:tcPr>
                                  <w:tcW w:w="3231" w:type="dxa"/>
                                  <w:gridSpan w:val="2"/>
                                  <w:tcBorders>
                                    <w:top w:val="single" w:sz="2" w:space="0" w:color="000000"/>
                                    <w:bottom w:val="single" w:sz="2" w:space="0" w:color="000000"/>
                                  </w:tcBorders>
                                </w:tcPr>
                                <w:p w14:paraId="2773AA1A" w14:textId="77777777" w:rsidR="00084F36" w:rsidRDefault="00EB2BD8">
                                  <w:pPr>
                                    <w:pStyle w:val="TableParagraph"/>
                                    <w:spacing w:before="115"/>
                                    <w:ind w:left="793"/>
                                    <w:rPr>
                                      <w:sz w:val="16"/>
                                    </w:rPr>
                                  </w:pPr>
                                  <w:r>
                                    <w:rPr>
                                      <w:spacing w:val="-2"/>
                                      <w:w w:val="105"/>
                                      <w:sz w:val="16"/>
                                    </w:rPr>
                                    <w:t>Unleaded</w:t>
                                  </w:r>
                                </w:p>
                              </w:tc>
                              <w:tc>
                                <w:tcPr>
                                  <w:tcW w:w="964" w:type="dxa"/>
                                  <w:tcBorders>
                                    <w:top w:val="single" w:sz="2" w:space="0" w:color="000000"/>
                                    <w:bottom w:val="single" w:sz="2" w:space="0" w:color="000000"/>
                                  </w:tcBorders>
                                  <w:shd w:val="clear" w:color="auto" w:fill="E5FBFF"/>
                                </w:tcPr>
                                <w:p w14:paraId="1B517C57" w14:textId="77777777" w:rsidR="00084F36" w:rsidRDefault="00EB2BD8">
                                  <w:pPr>
                                    <w:pStyle w:val="TableParagraph"/>
                                    <w:spacing w:before="115"/>
                                    <w:ind w:right="111"/>
                                    <w:jc w:val="right"/>
                                    <w:rPr>
                                      <w:sz w:val="16"/>
                                    </w:rPr>
                                  </w:pPr>
                                  <w:r>
                                    <w:rPr>
                                      <w:spacing w:val="-2"/>
                                      <w:sz w:val="16"/>
                                    </w:rPr>
                                    <w:t>339,320</w:t>
                                  </w:r>
                                </w:p>
                              </w:tc>
                              <w:tc>
                                <w:tcPr>
                                  <w:tcW w:w="936" w:type="dxa"/>
                                  <w:tcBorders>
                                    <w:top w:val="single" w:sz="2" w:space="0" w:color="000000"/>
                                    <w:bottom w:val="single" w:sz="2" w:space="0" w:color="000000"/>
                                  </w:tcBorders>
                                </w:tcPr>
                                <w:p w14:paraId="201BE7BB" w14:textId="77777777" w:rsidR="00084F36" w:rsidRDefault="00EB2BD8">
                                  <w:pPr>
                                    <w:pStyle w:val="TableParagraph"/>
                                    <w:spacing w:before="115"/>
                                    <w:ind w:right="112"/>
                                    <w:jc w:val="right"/>
                                    <w:rPr>
                                      <w:sz w:val="16"/>
                                    </w:rPr>
                                  </w:pPr>
                                  <w:r>
                                    <w:rPr>
                                      <w:spacing w:val="-2"/>
                                      <w:w w:val="95"/>
                                      <w:sz w:val="16"/>
                                    </w:rPr>
                                    <w:t>565,682</w:t>
                                  </w:r>
                                </w:p>
                              </w:tc>
                            </w:tr>
                            <w:tr w:rsidR="00084F36" w14:paraId="2B676E2F" w14:textId="77777777">
                              <w:trPr>
                                <w:trHeight w:val="381"/>
                              </w:trPr>
                              <w:tc>
                                <w:tcPr>
                                  <w:tcW w:w="3231" w:type="dxa"/>
                                  <w:gridSpan w:val="2"/>
                                  <w:tcBorders>
                                    <w:top w:val="single" w:sz="2" w:space="0" w:color="000000"/>
                                    <w:bottom w:val="single" w:sz="2" w:space="0" w:color="000000"/>
                                  </w:tcBorders>
                                </w:tcPr>
                                <w:p w14:paraId="2D441CA5" w14:textId="77777777" w:rsidR="00084F36" w:rsidRDefault="00EB2BD8">
                                  <w:pPr>
                                    <w:pStyle w:val="TableParagraph"/>
                                    <w:spacing w:before="115"/>
                                    <w:ind w:left="793"/>
                                    <w:rPr>
                                      <w:sz w:val="16"/>
                                    </w:rPr>
                                  </w:pPr>
                                  <w:r>
                                    <w:rPr>
                                      <w:spacing w:val="-2"/>
                                      <w:sz w:val="16"/>
                                    </w:rPr>
                                    <w:t>Hybrid</w:t>
                                  </w:r>
                                </w:p>
                              </w:tc>
                              <w:tc>
                                <w:tcPr>
                                  <w:tcW w:w="964" w:type="dxa"/>
                                  <w:tcBorders>
                                    <w:top w:val="single" w:sz="2" w:space="0" w:color="000000"/>
                                    <w:bottom w:val="single" w:sz="2" w:space="0" w:color="000000"/>
                                  </w:tcBorders>
                                  <w:shd w:val="clear" w:color="auto" w:fill="E5FBFF"/>
                                </w:tcPr>
                                <w:p w14:paraId="290BB3F2" w14:textId="77777777" w:rsidR="00084F36" w:rsidRDefault="00EB2BD8">
                                  <w:pPr>
                                    <w:pStyle w:val="TableParagraph"/>
                                    <w:spacing w:before="115"/>
                                    <w:ind w:right="112"/>
                                    <w:jc w:val="right"/>
                                    <w:rPr>
                                      <w:sz w:val="16"/>
                                    </w:rPr>
                                  </w:pPr>
                                  <w:r>
                                    <w:rPr>
                                      <w:spacing w:val="-2"/>
                                      <w:w w:val="90"/>
                                      <w:sz w:val="16"/>
                                    </w:rPr>
                                    <w:t>729,879</w:t>
                                  </w:r>
                                </w:p>
                              </w:tc>
                              <w:tc>
                                <w:tcPr>
                                  <w:tcW w:w="936" w:type="dxa"/>
                                  <w:tcBorders>
                                    <w:top w:val="single" w:sz="2" w:space="0" w:color="000000"/>
                                    <w:bottom w:val="single" w:sz="2" w:space="0" w:color="000000"/>
                                  </w:tcBorders>
                                </w:tcPr>
                                <w:p w14:paraId="410301C3" w14:textId="77777777" w:rsidR="00084F36" w:rsidRDefault="00EB2BD8">
                                  <w:pPr>
                                    <w:pStyle w:val="TableParagraph"/>
                                    <w:spacing w:before="115"/>
                                    <w:ind w:right="112"/>
                                    <w:jc w:val="right"/>
                                    <w:rPr>
                                      <w:sz w:val="16"/>
                                    </w:rPr>
                                  </w:pPr>
                                  <w:r>
                                    <w:rPr>
                                      <w:spacing w:val="-2"/>
                                      <w:w w:val="90"/>
                                      <w:sz w:val="16"/>
                                    </w:rPr>
                                    <w:t>288,372</w:t>
                                  </w:r>
                                </w:p>
                              </w:tc>
                            </w:tr>
                            <w:tr w:rsidR="00084F36" w14:paraId="7068E709" w14:textId="77777777">
                              <w:trPr>
                                <w:trHeight w:val="841"/>
                              </w:trPr>
                              <w:tc>
                                <w:tcPr>
                                  <w:tcW w:w="616" w:type="dxa"/>
                                  <w:tcBorders>
                                    <w:top w:val="single" w:sz="2" w:space="0" w:color="000000"/>
                                    <w:bottom w:val="single" w:sz="2" w:space="0" w:color="000000"/>
                                  </w:tcBorders>
                                </w:tcPr>
                                <w:p w14:paraId="39FABA78" w14:textId="77777777" w:rsidR="00084F36" w:rsidRDefault="00EB2BD8">
                                  <w:pPr>
                                    <w:pStyle w:val="TableParagraph"/>
                                    <w:spacing w:before="115"/>
                                    <w:ind w:left="84" w:right="150"/>
                                    <w:jc w:val="center"/>
                                    <w:rPr>
                                      <w:sz w:val="16"/>
                                    </w:rPr>
                                  </w:pPr>
                                  <w:r>
                                    <w:rPr>
                                      <w:spacing w:val="-4"/>
                                      <w:sz w:val="16"/>
                                    </w:rPr>
                                    <w:t>T3.a</w:t>
                                  </w:r>
                                </w:p>
                              </w:tc>
                              <w:tc>
                                <w:tcPr>
                                  <w:tcW w:w="2615" w:type="dxa"/>
                                  <w:tcBorders>
                                    <w:top w:val="single" w:sz="2" w:space="0" w:color="000000"/>
                                    <w:bottom w:val="single" w:sz="2" w:space="0" w:color="000000"/>
                                  </w:tcBorders>
                                </w:tcPr>
                                <w:p w14:paraId="62D06CAD" w14:textId="77777777" w:rsidR="00084F36" w:rsidRDefault="00EB2BD8">
                                  <w:pPr>
                                    <w:pStyle w:val="TableParagraph"/>
                                    <w:spacing w:before="115" w:line="292" w:lineRule="auto"/>
                                    <w:ind w:left="177" w:right="27"/>
                                    <w:rPr>
                                      <w:sz w:val="16"/>
                                    </w:rPr>
                                  </w:pPr>
                                  <w:r>
                                    <w:rPr>
                                      <w:sz w:val="16"/>
                                    </w:rPr>
                                    <w:t xml:space="preserve">Total greenhouse gas </w:t>
                                  </w:r>
                                  <w:r>
                                    <w:rPr>
                                      <w:spacing w:val="-2"/>
                                      <w:sz w:val="16"/>
                                    </w:rPr>
                                    <w:t>emissions</w:t>
                                  </w:r>
                                  <w:r>
                                    <w:rPr>
                                      <w:spacing w:val="-10"/>
                                      <w:sz w:val="16"/>
                                    </w:rPr>
                                    <w:t xml:space="preserve"> </w:t>
                                  </w:r>
                                  <w:r>
                                    <w:rPr>
                                      <w:spacing w:val="-2"/>
                                      <w:sz w:val="16"/>
                                    </w:rPr>
                                    <w:t>from</w:t>
                                  </w:r>
                                  <w:r>
                                    <w:rPr>
                                      <w:spacing w:val="-10"/>
                                      <w:sz w:val="16"/>
                                    </w:rPr>
                                    <w:t xml:space="preserve"> </w:t>
                                  </w:r>
                                  <w:r>
                                    <w:rPr>
                                      <w:spacing w:val="-2"/>
                                      <w:sz w:val="16"/>
                                    </w:rPr>
                                    <w:t>fleet</w:t>
                                  </w:r>
                                  <w:r>
                                    <w:rPr>
                                      <w:spacing w:val="-10"/>
                                      <w:sz w:val="16"/>
                                    </w:rPr>
                                    <w:t xml:space="preserve"> </w:t>
                                  </w:r>
                                  <w:r>
                                    <w:rPr>
                                      <w:spacing w:val="-2"/>
                                      <w:sz w:val="16"/>
                                    </w:rPr>
                                    <w:t xml:space="preserve">vehicles </w:t>
                                  </w:r>
                                  <w:r>
                                    <w:rPr>
                                      <w:sz w:val="16"/>
                                    </w:rPr>
                                    <w:t>(tonnes</w:t>
                                  </w:r>
                                  <w:r>
                                    <w:rPr>
                                      <w:spacing w:val="-14"/>
                                      <w:sz w:val="16"/>
                                    </w:rPr>
                                    <w:t xml:space="preserve"> </w:t>
                                  </w:r>
                                  <w:r>
                                    <w:rPr>
                                      <w:sz w:val="16"/>
                                    </w:rPr>
                                    <w:t>CO2-e)</w:t>
                                  </w:r>
                                </w:p>
                              </w:tc>
                              <w:tc>
                                <w:tcPr>
                                  <w:tcW w:w="964" w:type="dxa"/>
                                  <w:tcBorders>
                                    <w:top w:val="single" w:sz="2" w:space="0" w:color="000000"/>
                                    <w:bottom w:val="single" w:sz="2" w:space="0" w:color="000000"/>
                                  </w:tcBorders>
                                  <w:shd w:val="clear" w:color="auto" w:fill="E5FBFF"/>
                                </w:tcPr>
                                <w:p w14:paraId="70E615F1" w14:textId="77777777" w:rsidR="00084F36" w:rsidRDefault="00084F36">
                                  <w:pPr>
                                    <w:pStyle w:val="TableParagraph"/>
                                    <w:rPr>
                                      <w:rFonts w:ascii="Times New Roman"/>
                                      <w:sz w:val="16"/>
                                    </w:rPr>
                                  </w:pPr>
                                </w:p>
                              </w:tc>
                              <w:tc>
                                <w:tcPr>
                                  <w:tcW w:w="936" w:type="dxa"/>
                                  <w:tcBorders>
                                    <w:top w:val="single" w:sz="2" w:space="0" w:color="000000"/>
                                    <w:bottom w:val="single" w:sz="2" w:space="0" w:color="000000"/>
                                  </w:tcBorders>
                                </w:tcPr>
                                <w:p w14:paraId="45E4AA5F" w14:textId="77777777" w:rsidR="00084F36" w:rsidRDefault="00084F36">
                                  <w:pPr>
                                    <w:pStyle w:val="TableParagraph"/>
                                    <w:rPr>
                                      <w:rFonts w:ascii="Times New Roman"/>
                                      <w:sz w:val="16"/>
                                    </w:rPr>
                                  </w:pPr>
                                </w:p>
                              </w:tc>
                            </w:tr>
                            <w:tr w:rsidR="00084F36" w14:paraId="2CEADE48" w14:textId="77777777">
                              <w:trPr>
                                <w:trHeight w:val="381"/>
                              </w:trPr>
                              <w:tc>
                                <w:tcPr>
                                  <w:tcW w:w="3231" w:type="dxa"/>
                                  <w:gridSpan w:val="2"/>
                                  <w:tcBorders>
                                    <w:top w:val="single" w:sz="2" w:space="0" w:color="000000"/>
                                    <w:bottom w:val="single" w:sz="2" w:space="0" w:color="000000"/>
                                  </w:tcBorders>
                                </w:tcPr>
                                <w:p w14:paraId="03742D06" w14:textId="77777777" w:rsidR="00084F36" w:rsidRDefault="00EB2BD8">
                                  <w:pPr>
                                    <w:pStyle w:val="TableParagraph"/>
                                    <w:spacing w:before="115"/>
                                    <w:ind w:left="793"/>
                                    <w:rPr>
                                      <w:sz w:val="16"/>
                                    </w:rPr>
                                  </w:pPr>
                                  <w:r>
                                    <w:rPr>
                                      <w:spacing w:val="-2"/>
                                      <w:w w:val="105"/>
                                      <w:sz w:val="16"/>
                                    </w:rPr>
                                    <w:t>Unleaded</w:t>
                                  </w:r>
                                </w:p>
                              </w:tc>
                              <w:tc>
                                <w:tcPr>
                                  <w:tcW w:w="964" w:type="dxa"/>
                                  <w:tcBorders>
                                    <w:top w:val="single" w:sz="2" w:space="0" w:color="000000"/>
                                    <w:bottom w:val="single" w:sz="2" w:space="0" w:color="000000"/>
                                  </w:tcBorders>
                                  <w:shd w:val="clear" w:color="auto" w:fill="E5FBFF"/>
                                </w:tcPr>
                                <w:p w14:paraId="1AEFF043" w14:textId="77777777" w:rsidR="00084F36" w:rsidRDefault="00EB2BD8">
                                  <w:pPr>
                                    <w:pStyle w:val="TableParagraph"/>
                                    <w:spacing w:before="115"/>
                                    <w:ind w:right="112"/>
                                    <w:jc w:val="right"/>
                                    <w:rPr>
                                      <w:sz w:val="16"/>
                                    </w:rPr>
                                  </w:pPr>
                                  <w:r>
                                    <w:rPr>
                                      <w:spacing w:val="-5"/>
                                      <w:w w:val="90"/>
                                      <w:sz w:val="16"/>
                                    </w:rPr>
                                    <w:t>148</w:t>
                                  </w:r>
                                </w:p>
                              </w:tc>
                              <w:tc>
                                <w:tcPr>
                                  <w:tcW w:w="936" w:type="dxa"/>
                                  <w:tcBorders>
                                    <w:top w:val="single" w:sz="2" w:space="0" w:color="000000"/>
                                    <w:bottom w:val="single" w:sz="2" w:space="0" w:color="000000"/>
                                  </w:tcBorders>
                                </w:tcPr>
                                <w:p w14:paraId="01E0ECD8" w14:textId="77777777" w:rsidR="00084F36" w:rsidRDefault="00EB2BD8">
                                  <w:pPr>
                                    <w:pStyle w:val="TableParagraph"/>
                                    <w:spacing w:before="115"/>
                                    <w:ind w:right="116"/>
                                    <w:jc w:val="right"/>
                                    <w:rPr>
                                      <w:sz w:val="16"/>
                                    </w:rPr>
                                  </w:pPr>
                                  <w:r>
                                    <w:rPr>
                                      <w:spacing w:val="-5"/>
                                      <w:w w:val="95"/>
                                      <w:sz w:val="16"/>
                                    </w:rPr>
                                    <w:t>247</w:t>
                                  </w:r>
                                </w:p>
                              </w:tc>
                            </w:tr>
                            <w:tr w:rsidR="00084F36" w14:paraId="0F8B3225" w14:textId="77777777">
                              <w:trPr>
                                <w:trHeight w:val="381"/>
                              </w:trPr>
                              <w:tc>
                                <w:tcPr>
                                  <w:tcW w:w="3231" w:type="dxa"/>
                                  <w:gridSpan w:val="2"/>
                                  <w:tcBorders>
                                    <w:top w:val="single" w:sz="2" w:space="0" w:color="000000"/>
                                    <w:bottom w:val="single" w:sz="2" w:space="0" w:color="000000"/>
                                  </w:tcBorders>
                                </w:tcPr>
                                <w:p w14:paraId="495E3265" w14:textId="77777777" w:rsidR="00084F36" w:rsidRDefault="00EB2BD8">
                                  <w:pPr>
                                    <w:pStyle w:val="TableParagraph"/>
                                    <w:spacing w:before="115"/>
                                    <w:ind w:left="793"/>
                                    <w:rPr>
                                      <w:sz w:val="16"/>
                                    </w:rPr>
                                  </w:pPr>
                                  <w:r>
                                    <w:rPr>
                                      <w:spacing w:val="-2"/>
                                      <w:sz w:val="16"/>
                                    </w:rPr>
                                    <w:t>Hybrid</w:t>
                                  </w:r>
                                </w:p>
                              </w:tc>
                              <w:tc>
                                <w:tcPr>
                                  <w:tcW w:w="964" w:type="dxa"/>
                                  <w:tcBorders>
                                    <w:top w:val="single" w:sz="2" w:space="0" w:color="000000"/>
                                    <w:bottom w:val="single" w:sz="2" w:space="0" w:color="000000"/>
                                  </w:tcBorders>
                                  <w:shd w:val="clear" w:color="auto" w:fill="E5FBFF"/>
                                </w:tcPr>
                                <w:p w14:paraId="3DC02D0D" w14:textId="77777777" w:rsidR="00084F36" w:rsidRDefault="00EB2BD8">
                                  <w:pPr>
                                    <w:pStyle w:val="TableParagraph"/>
                                    <w:spacing w:before="115"/>
                                    <w:ind w:right="115"/>
                                    <w:jc w:val="right"/>
                                    <w:rPr>
                                      <w:sz w:val="16"/>
                                    </w:rPr>
                                  </w:pPr>
                                  <w:r>
                                    <w:rPr>
                                      <w:spacing w:val="-5"/>
                                      <w:w w:val="95"/>
                                      <w:sz w:val="16"/>
                                    </w:rPr>
                                    <w:t>207</w:t>
                                  </w:r>
                                </w:p>
                              </w:tc>
                              <w:tc>
                                <w:tcPr>
                                  <w:tcW w:w="936" w:type="dxa"/>
                                  <w:tcBorders>
                                    <w:top w:val="single" w:sz="2" w:space="0" w:color="000000"/>
                                    <w:bottom w:val="single" w:sz="2" w:space="0" w:color="000000"/>
                                  </w:tcBorders>
                                </w:tcPr>
                                <w:p w14:paraId="108D15D4" w14:textId="77777777" w:rsidR="00084F36" w:rsidRDefault="00EB2BD8">
                                  <w:pPr>
                                    <w:pStyle w:val="TableParagraph"/>
                                    <w:spacing w:before="115"/>
                                    <w:ind w:right="113"/>
                                    <w:jc w:val="right"/>
                                    <w:rPr>
                                      <w:sz w:val="16"/>
                                    </w:rPr>
                                  </w:pPr>
                                  <w:r>
                                    <w:rPr>
                                      <w:spacing w:val="-5"/>
                                      <w:w w:val="95"/>
                                      <w:sz w:val="16"/>
                                    </w:rPr>
                                    <w:t>82</w:t>
                                  </w:r>
                                </w:p>
                              </w:tc>
                            </w:tr>
                            <w:tr w:rsidR="00084F36" w14:paraId="44EDF2D1" w14:textId="77777777">
                              <w:trPr>
                                <w:trHeight w:val="841"/>
                              </w:trPr>
                              <w:tc>
                                <w:tcPr>
                                  <w:tcW w:w="616" w:type="dxa"/>
                                  <w:tcBorders>
                                    <w:top w:val="single" w:sz="2" w:space="0" w:color="000000"/>
                                    <w:bottom w:val="single" w:sz="2" w:space="0" w:color="000000"/>
                                  </w:tcBorders>
                                </w:tcPr>
                                <w:p w14:paraId="6A0F7DE5" w14:textId="77777777" w:rsidR="00084F36" w:rsidRDefault="00EB2BD8">
                                  <w:pPr>
                                    <w:pStyle w:val="TableParagraph"/>
                                    <w:spacing w:before="115"/>
                                    <w:ind w:left="88" w:right="150"/>
                                    <w:jc w:val="center"/>
                                    <w:rPr>
                                      <w:sz w:val="16"/>
                                    </w:rPr>
                                  </w:pPr>
                                  <w:r>
                                    <w:rPr>
                                      <w:spacing w:val="-4"/>
                                      <w:sz w:val="16"/>
                                    </w:rPr>
                                    <w:t>T3.b</w:t>
                                  </w:r>
                                </w:p>
                              </w:tc>
                              <w:tc>
                                <w:tcPr>
                                  <w:tcW w:w="2615" w:type="dxa"/>
                                  <w:tcBorders>
                                    <w:top w:val="single" w:sz="2" w:space="0" w:color="000000"/>
                                    <w:bottom w:val="single" w:sz="2" w:space="0" w:color="000000"/>
                                  </w:tcBorders>
                                </w:tcPr>
                                <w:p w14:paraId="6F5DACD4" w14:textId="77777777" w:rsidR="00084F36" w:rsidRDefault="00EB2BD8">
                                  <w:pPr>
                                    <w:pStyle w:val="TableParagraph"/>
                                    <w:spacing w:before="115" w:line="292" w:lineRule="auto"/>
                                    <w:ind w:left="176" w:right="376"/>
                                    <w:rPr>
                                      <w:sz w:val="16"/>
                                    </w:rPr>
                                  </w:pPr>
                                  <w:r>
                                    <w:rPr>
                                      <w:sz w:val="16"/>
                                    </w:rPr>
                                    <w:t>Greenhouse</w:t>
                                  </w:r>
                                  <w:r>
                                    <w:rPr>
                                      <w:spacing w:val="-14"/>
                                      <w:sz w:val="16"/>
                                    </w:rPr>
                                    <w:t xml:space="preserve"> </w:t>
                                  </w:r>
                                  <w:r>
                                    <w:rPr>
                                      <w:sz w:val="16"/>
                                    </w:rPr>
                                    <w:t>gas</w:t>
                                  </w:r>
                                  <w:r>
                                    <w:rPr>
                                      <w:spacing w:val="-14"/>
                                      <w:sz w:val="16"/>
                                    </w:rPr>
                                    <w:t xml:space="preserve"> </w:t>
                                  </w:r>
                                  <w:r>
                                    <w:rPr>
                                      <w:sz w:val="16"/>
                                    </w:rPr>
                                    <w:t>emissions from fleet vehicles per 1000km (tonnes CO2-e)</w:t>
                                  </w:r>
                                </w:p>
                              </w:tc>
                              <w:tc>
                                <w:tcPr>
                                  <w:tcW w:w="964" w:type="dxa"/>
                                  <w:tcBorders>
                                    <w:top w:val="single" w:sz="2" w:space="0" w:color="000000"/>
                                    <w:bottom w:val="single" w:sz="2" w:space="0" w:color="000000"/>
                                  </w:tcBorders>
                                  <w:shd w:val="clear" w:color="auto" w:fill="E5FBFF"/>
                                </w:tcPr>
                                <w:p w14:paraId="77BC3DC5" w14:textId="77777777" w:rsidR="00084F36" w:rsidRDefault="00084F36">
                                  <w:pPr>
                                    <w:pStyle w:val="TableParagraph"/>
                                    <w:rPr>
                                      <w:rFonts w:ascii="Times New Roman"/>
                                      <w:sz w:val="16"/>
                                    </w:rPr>
                                  </w:pPr>
                                </w:p>
                              </w:tc>
                              <w:tc>
                                <w:tcPr>
                                  <w:tcW w:w="936" w:type="dxa"/>
                                  <w:tcBorders>
                                    <w:top w:val="single" w:sz="2" w:space="0" w:color="000000"/>
                                    <w:bottom w:val="single" w:sz="2" w:space="0" w:color="000000"/>
                                  </w:tcBorders>
                                </w:tcPr>
                                <w:p w14:paraId="0B9A990B" w14:textId="77777777" w:rsidR="00084F36" w:rsidRDefault="00084F36">
                                  <w:pPr>
                                    <w:pStyle w:val="TableParagraph"/>
                                    <w:rPr>
                                      <w:rFonts w:ascii="Times New Roman"/>
                                      <w:sz w:val="16"/>
                                    </w:rPr>
                                  </w:pPr>
                                </w:p>
                              </w:tc>
                            </w:tr>
                            <w:tr w:rsidR="00084F36" w14:paraId="059A59C2" w14:textId="77777777">
                              <w:trPr>
                                <w:trHeight w:val="381"/>
                              </w:trPr>
                              <w:tc>
                                <w:tcPr>
                                  <w:tcW w:w="3231" w:type="dxa"/>
                                  <w:gridSpan w:val="2"/>
                                  <w:tcBorders>
                                    <w:top w:val="single" w:sz="2" w:space="0" w:color="000000"/>
                                    <w:bottom w:val="single" w:sz="2" w:space="0" w:color="000000"/>
                                  </w:tcBorders>
                                </w:tcPr>
                                <w:p w14:paraId="77892220" w14:textId="77777777" w:rsidR="00084F36" w:rsidRDefault="00EB2BD8">
                                  <w:pPr>
                                    <w:pStyle w:val="TableParagraph"/>
                                    <w:spacing w:before="115"/>
                                    <w:ind w:left="792"/>
                                    <w:rPr>
                                      <w:sz w:val="16"/>
                                    </w:rPr>
                                  </w:pPr>
                                  <w:r>
                                    <w:rPr>
                                      <w:spacing w:val="-2"/>
                                      <w:w w:val="105"/>
                                      <w:sz w:val="16"/>
                                    </w:rPr>
                                    <w:t>Unleaded</w:t>
                                  </w:r>
                                </w:p>
                              </w:tc>
                              <w:tc>
                                <w:tcPr>
                                  <w:tcW w:w="964" w:type="dxa"/>
                                  <w:tcBorders>
                                    <w:top w:val="single" w:sz="2" w:space="0" w:color="000000"/>
                                    <w:bottom w:val="single" w:sz="2" w:space="0" w:color="000000"/>
                                  </w:tcBorders>
                                  <w:shd w:val="clear" w:color="auto" w:fill="E5FBFF"/>
                                </w:tcPr>
                                <w:p w14:paraId="62EF1C89" w14:textId="77777777" w:rsidR="00084F36" w:rsidRDefault="00EB2BD8">
                                  <w:pPr>
                                    <w:pStyle w:val="TableParagraph"/>
                                    <w:spacing w:before="115"/>
                                    <w:ind w:right="112"/>
                                    <w:jc w:val="right"/>
                                    <w:rPr>
                                      <w:sz w:val="16"/>
                                    </w:rPr>
                                  </w:pPr>
                                  <w:r>
                                    <w:rPr>
                                      <w:spacing w:val="-4"/>
                                      <w:w w:val="90"/>
                                      <w:sz w:val="16"/>
                                    </w:rPr>
                                    <w:t>0.15</w:t>
                                  </w:r>
                                </w:p>
                              </w:tc>
                              <w:tc>
                                <w:tcPr>
                                  <w:tcW w:w="936" w:type="dxa"/>
                                  <w:tcBorders>
                                    <w:top w:val="single" w:sz="2" w:space="0" w:color="000000"/>
                                    <w:bottom w:val="single" w:sz="2" w:space="0" w:color="000000"/>
                                  </w:tcBorders>
                                </w:tcPr>
                                <w:p w14:paraId="0A2697CD" w14:textId="77777777" w:rsidR="00084F36" w:rsidRDefault="00EB2BD8">
                                  <w:pPr>
                                    <w:pStyle w:val="TableParagraph"/>
                                    <w:spacing w:before="115"/>
                                    <w:ind w:right="113"/>
                                    <w:jc w:val="right"/>
                                    <w:rPr>
                                      <w:sz w:val="16"/>
                                    </w:rPr>
                                  </w:pPr>
                                  <w:r>
                                    <w:rPr>
                                      <w:spacing w:val="-4"/>
                                      <w:w w:val="95"/>
                                      <w:sz w:val="16"/>
                                    </w:rPr>
                                    <w:t>0.25</w:t>
                                  </w:r>
                                </w:p>
                              </w:tc>
                            </w:tr>
                            <w:tr w:rsidR="00084F36" w14:paraId="656729C7" w14:textId="77777777">
                              <w:trPr>
                                <w:trHeight w:val="381"/>
                              </w:trPr>
                              <w:tc>
                                <w:tcPr>
                                  <w:tcW w:w="3231" w:type="dxa"/>
                                  <w:gridSpan w:val="2"/>
                                  <w:tcBorders>
                                    <w:top w:val="single" w:sz="2" w:space="0" w:color="000000"/>
                                    <w:bottom w:val="single" w:sz="2" w:space="0" w:color="000000"/>
                                  </w:tcBorders>
                                </w:tcPr>
                                <w:p w14:paraId="0D72297E" w14:textId="77777777" w:rsidR="00084F36" w:rsidRDefault="00EB2BD8">
                                  <w:pPr>
                                    <w:pStyle w:val="TableParagraph"/>
                                    <w:spacing w:before="115"/>
                                    <w:ind w:left="792"/>
                                    <w:rPr>
                                      <w:sz w:val="16"/>
                                    </w:rPr>
                                  </w:pPr>
                                  <w:r>
                                    <w:rPr>
                                      <w:spacing w:val="-2"/>
                                      <w:sz w:val="16"/>
                                    </w:rPr>
                                    <w:t>Hybrid</w:t>
                                  </w:r>
                                </w:p>
                              </w:tc>
                              <w:tc>
                                <w:tcPr>
                                  <w:tcW w:w="964" w:type="dxa"/>
                                  <w:tcBorders>
                                    <w:top w:val="single" w:sz="2" w:space="0" w:color="000000"/>
                                    <w:bottom w:val="single" w:sz="2" w:space="0" w:color="000000"/>
                                  </w:tcBorders>
                                  <w:shd w:val="clear" w:color="auto" w:fill="E5FBFF"/>
                                </w:tcPr>
                                <w:p w14:paraId="6FAE7B38" w14:textId="77777777" w:rsidR="00084F36" w:rsidRDefault="00EB2BD8">
                                  <w:pPr>
                                    <w:pStyle w:val="TableParagraph"/>
                                    <w:spacing w:before="115"/>
                                    <w:ind w:right="113"/>
                                    <w:jc w:val="right"/>
                                    <w:rPr>
                                      <w:sz w:val="16"/>
                                    </w:rPr>
                                  </w:pPr>
                                  <w:r>
                                    <w:rPr>
                                      <w:spacing w:val="-4"/>
                                      <w:w w:val="85"/>
                                      <w:sz w:val="16"/>
                                    </w:rPr>
                                    <w:t>0.21</w:t>
                                  </w:r>
                                </w:p>
                              </w:tc>
                              <w:tc>
                                <w:tcPr>
                                  <w:tcW w:w="936" w:type="dxa"/>
                                  <w:tcBorders>
                                    <w:top w:val="single" w:sz="2" w:space="0" w:color="000000"/>
                                    <w:bottom w:val="single" w:sz="2" w:space="0" w:color="000000"/>
                                  </w:tcBorders>
                                </w:tcPr>
                                <w:p w14:paraId="13BA193E" w14:textId="77777777" w:rsidR="00084F36" w:rsidRDefault="00EB2BD8">
                                  <w:pPr>
                                    <w:pStyle w:val="TableParagraph"/>
                                    <w:spacing w:before="115"/>
                                    <w:ind w:right="113"/>
                                    <w:jc w:val="right"/>
                                    <w:rPr>
                                      <w:sz w:val="16"/>
                                    </w:rPr>
                                  </w:pPr>
                                  <w:r>
                                    <w:rPr>
                                      <w:spacing w:val="-4"/>
                                      <w:sz w:val="16"/>
                                    </w:rPr>
                                    <w:t>0.08</w:t>
                                  </w:r>
                                </w:p>
                              </w:tc>
                            </w:tr>
                            <w:tr w:rsidR="00084F36" w14:paraId="532BFFA3" w14:textId="77777777">
                              <w:trPr>
                                <w:trHeight w:val="611"/>
                              </w:trPr>
                              <w:tc>
                                <w:tcPr>
                                  <w:tcW w:w="616" w:type="dxa"/>
                                  <w:tcBorders>
                                    <w:top w:val="single" w:sz="2" w:space="0" w:color="000000"/>
                                    <w:bottom w:val="single" w:sz="2" w:space="0" w:color="000000"/>
                                  </w:tcBorders>
                                </w:tcPr>
                                <w:p w14:paraId="41BA915B" w14:textId="77777777" w:rsidR="00084F36" w:rsidRDefault="00EB2BD8">
                                  <w:pPr>
                                    <w:pStyle w:val="TableParagraph"/>
                                    <w:spacing w:before="115"/>
                                    <w:ind w:left="85" w:right="253"/>
                                    <w:jc w:val="center"/>
                                    <w:rPr>
                                      <w:sz w:val="16"/>
                                    </w:rPr>
                                  </w:pPr>
                                  <w:r>
                                    <w:rPr>
                                      <w:spacing w:val="-5"/>
                                      <w:sz w:val="16"/>
                                    </w:rPr>
                                    <w:t>T4.</w:t>
                                  </w:r>
                                </w:p>
                              </w:tc>
                              <w:tc>
                                <w:tcPr>
                                  <w:tcW w:w="2615" w:type="dxa"/>
                                  <w:tcBorders>
                                    <w:top w:val="single" w:sz="2" w:space="0" w:color="000000"/>
                                    <w:bottom w:val="single" w:sz="2" w:space="0" w:color="000000"/>
                                  </w:tcBorders>
                                </w:tcPr>
                                <w:p w14:paraId="2D6736A3" w14:textId="77777777" w:rsidR="00084F36" w:rsidRDefault="00EB2BD8">
                                  <w:pPr>
                                    <w:pStyle w:val="TableParagraph"/>
                                    <w:spacing w:before="115" w:line="292" w:lineRule="auto"/>
                                    <w:ind w:left="176" w:right="376"/>
                                    <w:rPr>
                                      <w:sz w:val="16"/>
                                    </w:rPr>
                                  </w:pPr>
                                  <w:r>
                                    <w:rPr>
                                      <w:spacing w:val="-4"/>
                                      <w:w w:val="105"/>
                                      <w:sz w:val="16"/>
                                    </w:rPr>
                                    <w:t>Total</w:t>
                                  </w:r>
                                  <w:r>
                                    <w:rPr>
                                      <w:spacing w:val="-14"/>
                                      <w:w w:val="105"/>
                                      <w:sz w:val="16"/>
                                    </w:rPr>
                                    <w:t xml:space="preserve"> </w:t>
                                  </w:r>
                                  <w:r>
                                    <w:rPr>
                                      <w:spacing w:val="-4"/>
                                      <w:w w:val="105"/>
                                      <w:sz w:val="16"/>
                                    </w:rPr>
                                    <w:t>distance</w:t>
                                  </w:r>
                                  <w:r>
                                    <w:rPr>
                                      <w:spacing w:val="-14"/>
                                      <w:w w:val="105"/>
                                      <w:sz w:val="16"/>
                                    </w:rPr>
                                    <w:t xml:space="preserve"> </w:t>
                                  </w:r>
                                  <w:r>
                                    <w:rPr>
                                      <w:spacing w:val="-4"/>
                                      <w:w w:val="105"/>
                                      <w:sz w:val="16"/>
                                    </w:rPr>
                                    <w:t>travelled</w:t>
                                  </w:r>
                                  <w:r>
                                    <w:rPr>
                                      <w:spacing w:val="-14"/>
                                      <w:w w:val="105"/>
                                      <w:sz w:val="16"/>
                                    </w:rPr>
                                    <w:t xml:space="preserve"> </w:t>
                                  </w:r>
                                  <w:r>
                                    <w:rPr>
                                      <w:spacing w:val="-4"/>
                                      <w:w w:val="105"/>
                                      <w:sz w:val="16"/>
                                    </w:rPr>
                                    <w:t xml:space="preserve">by </w:t>
                                  </w:r>
                                  <w:r>
                                    <w:rPr>
                                      <w:w w:val="105"/>
                                      <w:sz w:val="16"/>
                                    </w:rPr>
                                    <w:t>air</w:t>
                                  </w:r>
                                  <w:r>
                                    <w:rPr>
                                      <w:spacing w:val="-17"/>
                                      <w:w w:val="105"/>
                                      <w:sz w:val="16"/>
                                    </w:rPr>
                                    <w:t xml:space="preserve"> </w:t>
                                  </w:r>
                                  <w:r>
                                    <w:rPr>
                                      <w:w w:val="105"/>
                                      <w:sz w:val="16"/>
                                    </w:rPr>
                                    <w:t>(km)</w:t>
                                  </w:r>
                                </w:p>
                              </w:tc>
                              <w:tc>
                                <w:tcPr>
                                  <w:tcW w:w="964" w:type="dxa"/>
                                  <w:tcBorders>
                                    <w:top w:val="single" w:sz="2" w:space="0" w:color="000000"/>
                                    <w:bottom w:val="single" w:sz="2" w:space="0" w:color="000000"/>
                                  </w:tcBorders>
                                  <w:shd w:val="clear" w:color="auto" w:fill="E5FBFF"/>
                                </w:tcPr>
                                <w:p w14:paraId="6BA7D83D" w14:textId="77777777" w:rsidR="00084F36" w:rsidRDefault="00EB2BD8">
                                  <w:pPr>
                                    <w:pStyle w:val="TableParagraph"/>
                                    <w:spacing w:before="115"/>
                                    <w:ind w:right="113"/>
                                    <w:jc w:val="right"/>
                                    <w:rPr>
                                      <w:sz w:val="16"/>
                                    </w:rPr>
                                  </w:pPr>
                                  <w:r>
                                    <w:rPr>
                                      <w:spacing w:val="-2"/>
                                      <w:w w:val="95"/>
                                      <w:sz w:val="16"/>
                                    </w:rPr>
                                    <w:t>56,987</w:t>
                                  </w:r>
                                </w:p>
                              </w:tc>
                              <w:tc>
                                <w:tcPr>
                                  <w:tcW w:w="936" w:type="dxa"/>
                                  <w:tcBorders>
                                    <w:top w:val="single" w:sz="2" w:space="0" w:color="000000"/>
                                    <w:bottom w:val="single" w:sz="2" w:space="0" w:color="000000"/>
                                  </w:tcBorders>
                                </w:tcPr>
                                <w:p w14:paraId="211F91E0" w14:textId="77777777" w:rsidR="00084F36" w:rsidRDefault="00EB2BD8">
                                  <w:pPr>
                                    <w:pStyle w:val="TableParagraph"/>
                                    <w:spacing w:before="115"/>
                                    <w:ind w:right="113"/>
                                    <w:jc w:val="right"/>
                                    <w:rPr>
                                      <w:sz w:val="16"/>
                                    </w:rPr>
                                  </w:pPr>
                                  <w:r>
                                    <w:rPr>
                                      <w:spacing w:val="-2"/>
                                      <w:w w:val="95"/>
                                      <w:sz w:val="16"/>
                                    </w:rPr>
                                    <w:t>22,452</w:t>
                                  </w:r>
                                </w:p>
                              </w:tc>
                            </w:tr>
                          </w:tbl>
                          <w:p w14:paraId="59FAF212" w14:textId="77777777" w:rsidR="00084F36" w:rsidRDefault="00084F36">
                            <w:pPr>
                              <w:pStyle w:val="BodyText"/>
                            </w:pPr>
                          </w:p>
                        </w:txbxContent>
                      </wps:txbx>
                      <wps:bodyPr wrap="square" lIns="0" tIns="0" rIns="0" bIns="0" rtlCol="0">
                        <a:noAutofit/>
                      </wps:bodyPr>
                    </wps:wsp>
                  </a:graphicData>
                </a:graphic>
              </wp:inline>
            </w:drawing>
          </mc:Choice>
          <mc:Fallback>
            <w:pict>
              <v:shape w14:anchorId="1825F5BC" id="Textbox 721" o:spid="_x0000_s1043" type="#_x0000_t202" style="width:262.55pt;height:3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16"/>
                        <w:gridCol w:w="2615"/>
                        <w:gridCol w:w="964"/>
                        <w:gridCol w:w="936"/>
                      </w:tblGrid>
                      <w:tr w:rsidR="00084F36" w14:paraId="3E8476DB" w14:textId="77777777">
                        <w:trPr>
                          <w:trHeight w:val="386"/>
                        </w:trPr>
                        <w:tc>
                          <w:tcPr>
                            <w:tcW w:w="3231" w:type="dxa"/>
                            <w:gridSpan w:val="2"/>
                            <w:shd w:val="clear" w:color="auto" w:fill="005F83"/>
                          </w:tcPr>
                          <w:p w14:paraId="07446034" w14:textId="77777777" w:rsidR="00084F36" w:rsidRDefault="00EB2BD8">
                            <w:pPr>
                              <w:pStyle w:val="TableParagraph"/>
                              <w:spacing w:before="118"/>
                              <w:ind w:left="793"/>
                              <w:rPr>
                                <w:sz w:val="16"/>
                              </w:rPr>
                            </w:pPr>
                            <w:r>
                              <w:rPr>
                                <w:color w:val="FFFFFF"/>
                                <w:spacing w:val="-2"/>
                                <w:w w:val="105"/>
                                <w:sz w:val="16"/>
                              </w:rPr>
                              <w:t>Indicator</w:t>
                            </w:r>
                          </w:p>
                        </w:tc>
                        <w:tc>
                          <w:tcPr>
                            <w:tcW w:w="964" w:type="dxa"/>
                            <w:shd w:val="clear" w:color="auto" w:fill="005F83"/>
                          </w:tcPr>
                          <w:p w14:paraId="652B6A94" w14:textId="77777777" w:rsidR="00084F36" w:rsidRDefault="00EB2BD8">
                            <w:pPr>
                              <w:pStyle w:val="TableParagraph"/>
                              <w:spacing w:before="118"/>
                              <w:ind w:left="113"/>
                              <w:rPr>
                                <w:sz w:val="16"/>
                              </w:rPr>
                            </w:pPr>
                            <w:r>
                              <w:rPr>
                                <w:color w:val="FFFFFF"/>
                                <w:w w:val="90"/>
                                <w:sz w:val="16"/>
                              </w:rPr>
                              <w:t>2022-</w:t>
                            </w:r>
                            <w:r>
                              <w:rPr>
                                <w:color w:val="FFFFFF"/>
                                <w:spacing w:val="-5"/>
                                <w:sz w:val="16"/>
                              </w:rPr>
                              <w:t>23</w:t>
                            </w:r>
                          </w:p>
                        </w:tc>
                        <w:tc>
                          <w:tcPr>
                            <w:tcW w:w="936" w:type="dxa"/>
                            <w:shd w:val="clear" w:color="auto" w:fill="005F83"/>
                          </w:tcPr>
                          <w:p w14:paraId="4DA498BD" w14:textId="77777777" w:rsidR="00084F36" w:rsidRDefault="00EB2BD8">
                            <w:pPr>
                              <w:pStyle w:val="TableParagraph"/>
                              <w:spacing w:before="118"/>
                              <w:ind w:left="113"/>
                              <w:rPr>
                                <w:sz w:val="16"/>
                              </w:rPr>
                            </w:pPr>
                            <w:r>
                              <w:rPr>
                                <w:color w:val="EBEBEA"/>
                                <w:w w:val="90"/>
                                <w:sz w:val="16"/>
                              </w:rPr>
                              <w:t>2022-</w:t>
                            </w:r>
                            <w:r>
                              <w:rPr>
                                <w:color w:val="EBEBEA"/>
                                <w:spacing w:val="-5"/>
                                <w:w w:val="95"/>
                                <w:sz w:val="16"/>
                              </w:rPr>
                              <w:t>21</w:t>
                            </w:r>
                          </w:p>
                        </w:tc>
                      </w:tr>
                      <w:tr w:rsidR="00084F36" w14:paraId="6D25DB83" w14:textId="77777777">
                        <w:trPr>
                          <w:trHeight w:val="614"/>
                        </w:trPr>
                        <w:tc>
                          <w:tcPr>
                            <w:tcW w:w="616" w:type="dxa"/>
                            <w:tcBorders>
                              <w:bottom w:val="single" w:sz="2" w:space="0" w:color="000000"/>
                            </w:tcBorders>
                          </w:tcPr>
                          <w:p w14:paraId="7AD0947C" w14:textId="77777777" w:rsidR="00084F36" w:rsidRDefault="00EB2BD8">
                            <w:pPr>
                              <w:pStyle w:val="TableParagraph"/>
                              <w:spacing w:before="118"/>
                              <w:ind w:left="88" w:right="284"/>
                              <w:jc w:val="center"/>
                              <w:rPr>
                                <w:sz w:val="16"/>
                              </w:rPr>
                            </w:pPr>
                            <w:r>
                              <w:rPr>
                                <w:spacing w:val="-5"/>
                                <w:w w:val="85"/>
                                <w:sz w:val="16"/>
                              </w:rPr>
                              <w:t>T1.</w:t>
                            </w:r>
                          </w:p>
                        </w:tc>
                        <w:tc>
                          <w:tcPr>
                            <w:tcW w:w="2615" w:type="dxa"/>
                            <w:tcBorders>
                              <w:bottom w:val="single" w:sz="2" w:space="0" w:color="000000"/>
                            </w:tcBorders>
                          </w:tcPr>
                          <w:p w14:paraId="2EDD4C96" w14:textId="77777777" w:rsidR="00084F36" w:rsidRDefault="00EB2BD8">
                            <w:pPr>
                              <w:pStyle w:val="TableParagraph"/>
                              <w:spacing w:before="118" w:line="292" w:lineRule="auto"/>
                              <w:ind w:left="177" w:right="27"/>
                              <w:rPr>
                                <w:sz w:val="16"/>
                              </w:rPr>
                            </w:pPr>
                            <w:r>
                              <w:rPr>
                                <w:sz w:val="16"/>
                              </w:rPr>
                              <w:t>Total</w:t>
                            </w:r>
                            <w:r>
                              <w:rPr>
                                <w:spacing w:val="-14"/>
                                <w:sz w:val="16"/>
                              </w:rPr>
                              <w:t xml:space="preserve"> </w:t>
                            </w:r>
                            <w:r>
                              <w:rPr>
                                <w:sz w:val="16"/>
                              </w:rPr>
                              <w:t>energy</w:t>
                            </w:r>
                            <w:r>
                              <w:rPr>
                                <w:spacing w:val="-14"/>
                                <w:sz w:val="16"/>
                              </w:rPr>
                              <w:t xml:space="preserve"> </w:t>
                            </w:r>
                            <w:r>
                              <w:rPr>
                                <w:sz w:val="16"/>
                              </w:rPr>
                              <w:t>consumption</w:t>
                            </w:r>
                            <w:r>
                              <w:rPr>
                                <w:spacing w:val="-14"/>
                                <w:sz w:val="16"/>
                              </w:rPr>
                              <w:t xml:space="preserve"> </w:t>
                            </w:r>
                            <w:r>
                              <w:rPr>
                                <w:sz w:val="16"/>
                              </w:rPr>
                              <w:t>by fleet vehicles (MJ)</w:t>
                            </w:r>
                          </w:p>
                        </w:tc>
                        <w:tc>
                          <w:tcPr>
                            <w:tcW w:w="964" w:type="dxa"/>
                            <w:tcBorders>
                              <w:bottom w:val="single" w:sz="2" w:space="0" w:color="000000"/>
                            </w:tcBorders>
                            <w:shd w:val="clear" w:color="auto" w:fill="E5FBFF"/>
                          </w:tcPr>
                          <w:p w14:paraId="7ACFF3ED" w14:textId="77777777" w:rsidR="00084F36" w:rsidRDefault="00084F36">
                            <w:pPr>
                              <w:pStyle w:val="TableParagraph"/>
                              <w:rPr>
                                <w:rFonts w:ascii="Times New Roman"/>
                                <w:sz w:val="16"/>
                              </w:rPr>
                            </w:pPr>
                          </w:p>
                        </w:tc>
                        <w:tc>
                          <w:tcPr>
                            <w:tcW w:w="936" w:type="dxa"/>
                            <w:tcBorders>
                              <w:bottom w:val="single" w:sz="2" w:space="0" w:color="000000"/>
                            </w:tcBorders>
                          </w:tcPr>
                          <w:p w14:paraId="16CDB859" w14:textId="77777777" w:rsidR="00084F36" w:rsidRDefault="00084F36">
                            <w:pPr>
                              <w:pStyle w:val="TableParagraph"/>
                              <w:rPr>
                                <w:rFonts w:ascii="Times New Roman"/>
                                <w:sz w:val="16"/>
                              </w:rPr>
                            </w:pPr>
                          </w:p>
                        </w:tc>
                      </w:tr>
                      <w:tr w:rsidR="00084F36" w14:paraId="33421A7B" w14:textId="77777777">
                        <w:trPr>
                          <w:trHeight w:val="381"/>
                        </w:trPr>
                        <w:tc>
                          <w:tcPr>
                            <w:tcW w:w="3231" w:type="dxa"/>
                            <w:gridSpan w:val="2"/>
                            <w:tcBorders>
                              <w:top w:val="single" w:sz="2" w:space="0" w:color="000000"/>
                              <w:bottom w:val="single" w:sz="2" w:space="0" w:color="000000"/>
                            </w:tcBorders>
                          </w:tcPr>
                          <w:p w14:paraId="60631EBC" w14:textId="77777777" w:rsidR="00084F36" w:rsidRDefault="00EB2BD8">
                            <w:pPr>
                              <w:pStyle w:val="TableParagraph"/>
                              <w:spacing w:before="116"/>
                              <w:ind w:left="793"/>
                              <w:rPr>
                                <w:sz w:val="16"/>
                              </w:rPr>
                            </w:pPr>
                            <w:r>
                              <w:rPr>
                                <w:spacing w:val="-2"/>
                                <w:w w:val="105"/>
                                <w:sz w:val="16"/>
                              </w:rPr>
                              <w:t>Unleaded</w:t>
                            </w:r>
                          </w:p>
                        </w:tc>
                        <w:tc>
                          <w:tcPr>
                            <w:tcW w:w="964" w:type="dxa"/>
                            <w:tcBorders>
                              <w:top w:val="single" w:sz="2" w:space="0" w:color="000000"/>
                              <w:bottom w:val="single" w:sz="2" w:space="0" w:color="000000"/>
                            </w:tcBorders>
                            <w:shd w:val="clear" w:color="auto" w:fill="E5FBFF"/>
                          </w:tcPr>
                          <w:p w14:paraId="559EECBC" w14:textId="77777777" w:rsidR="00084F36" w:rsidRDefault="00EB2BD8">
                            <w:pPr>
                              <w:pStyle w:val="TableParagraph"/>
                              <w:spacing w:before="116"/>
                              <w:ind w:right="111"/>
                              <w:jc w:val="right"/>
                              <w:rPr>
                                <w:sz w:val="16"/>
                              </w:rPr>
                            </w:pPr>
                            <w:r>
                              <w:rPr>
                                <w:spacing w:val="-2"/>
                                <w:w w:val="90"/>
                                <w:sz w:val="16"/>
                              </w:rPr>
                              <w:t>1,202,608</w:t>
                            </w:r>
                          </w:p>
                        </w:tc>
                        <w:tc>
                          <w:tcPr>
                            <w:tcW w:w="936" w:type="dxa"/>
                            <w:tcBorders>
                              <w:top w:val="single" w:sz="2" w:space="0" w:color="000000"/>
                              <w:bottom w:val="single" w:sz="2" w:space="0" w:color="000000"/>
                            </w:tcBorders>
                          </w:tcPr>
                          <w:p w14:paraId="4CECCB5A" w14:textId="77777777" w:rsidR="00084F36" w:rsidRDefault="00EB2BD8">
                            <w:pPr>
                              <w:pStyle w:val="TableParagraph"/>
                              <w:spacing w:before="116"/>
                              <w:ind w:left="132"/>
                              <w:rPr>
                                <w:sz w:val="16"/>
                              </w:rPr>
                            </w:pPr>
                            <w:r>
                              <w:rPr>
                                <w:spacing w:val="-2"/>
                                <w:w w:val="95"/>
                                <w:sz w:val="16"/>
                              </w:rPr>
                              <w:t>2,425,620</w:t>
                            </w:r>
                          </w:p>
                        </w:tc>
                      </w:tr>
                      <w:tr w:rsidR="00084F36" w14:paraId="130988E7" w14:textId="77777777">
                        <w:trPr>
                          <w:trHeight w:val="381"/>
                        </w:trPr>
                        <w:tc>
                          <w:tcPr>
                            <w:tcW w:w="3231" w:type="dxa"/>
                            <w:gridSpan w:val="2"/>
                            <w:tcBorders>
                              <w:top w:val="single" w:sz="2" w:space="0" w:color="000000"/>
                              <w:bottom w:val="single" w:sz="2" w:space="0" w:color="000000"/>
                            </w:tcBorders>
                          </w:tcPr>
                          <w:p w14:paraId="09FEB1E9" w14:textId="77777777" w:rsidR="00084F36" w:rsidRDefault="00EB2BD8">
                            <w:pPr>
                              <w:pStyle w:val="TableParagraph"/>
                              <w:spacing w:before="116"/>
                              <w:ind w:left="793"/>
                              <w:rPr>
                                <w:sz w:val="16"/>
                              </w:rPr>
                            </w:pPr>
                            <w:r>
                              <w:rPr>
                                <w:spacing w:val="-2"/>
                                <w:sz w:val="16"/>
                              </w:rPr>
                              <w:t>Hybrid</w:t>
                            </w:r>
                          </w:p>
                        </w:tc>
                        <w:tc>
                          <w:tcPr>
                            <w:tcW w:w="964" w:type="dxa"/>
                            <w:tcBorders>
                              <w:top w:val="single" w:sz="2" w:space="0" w:color="000000"/>
                              <w:bottom w:val="single" w:sz="2" w:space="0" w:color="000000"/>
                            </w:tcBorders>
                            <w:shd w:val="clear" w:color="auto" w:fill="E5FBFF"/>
                          </w:tcPr>
                          <w:p w14:paraId="0AFBE73A" w14:textId="77777777" w:rsidR="00084F36" w:rsidRDefault="00EB2BD8">
                            <w:pPr>
                              <w:pStyle w:val="TableParagraph"/>
                              <w:spacing w:before="116"/>
                              <w:ind w:right="112"/>
                              <w:jc w:val="right"/>
                              <w:rPr>
                                <w:sz w:val="16"/>
                              </w:rPr>
                            </w:pPr>
                            <w:r>
                              <w:rPr>
                                <w:spacing w:val="-2"/>
                                <w:w w:val="90"/>
                                <w:sz w:val="16"/>
                              </w:rPr>
                              <w:t>1,876,578</w:t>
                            </w:r>
                          </w:p>
                        </w:tc>
                        <w:tc>
                          <w:tcPr>
                            <w:tcW w:w="936" w:type="dxa"/>
                            <w:tcBorders>
                              <w:top w:val="single" w:sz="2" w:space="0" w:color="000000"/>
                              <w:bottom w:val="single" w:sz="2" w:space="0" w:color="000000"/>
                            </w:tcBorders>
                          </w:tcPr>
                          <w:p w14:paraId="7CE25CA8" w14:textId="77777777" w:rsidR="00084F36" w:rsidRDefault="00EB2BD8">
                            <w:pPr>
                              <w:pStyle w:val="TableParagraph"/>
                              <w:spacing w:before="116"/>
                              <w:ind w:right="112"/>
                              <w:jc w:val="right"/>
                              <w:rPr>
                                <w:sz w:val="16"/>
                              </w:rPr>
                            </w:pPr>
                            <w:r>
                              <w:rPr>
                                <w:spacing w:val="-2"/>
                                <w:sz w:val="16"/>
                              </w:rPr>
                              <w:t>786,330</w:t>
                            </w:r>
                          </w:p>
                        </w:tc>
                      </w:tr>
                      <w:tr w:rsidR="00084F36" w14:paraId="4C1D9F43" w14:textId="77777777">
                        <w:trPr>
                          <w:trHeight w:val="841"/>
                        </w:trPr>
                        <w:tc>
                          <w:tcPr>
                            <w:tcW w:w="616" w:type="dxa"/>
                            <w:tcBorders>
                              <w:top w:val="single" w:sz="2" w:space="0" w:color="000000"/>
                              <w:bottom w:val="single" w:sz="2" w:space="0" w:color="000000"/>
                            </w:tcBorders>
                          </w:tcPr>
                          <w:p w14:paraId="6FD5C0BC" w14:textId="77777777" w:rsidR="00084F36" w:rsidRDefault="00EB2BD8">
                            <w:pPr>
                              <w:pStyle w:val="TableParagraph"/>
                              <w:spacing w:before="116"/>
                              <w:ind w:left="85" w:right="253"/>
                              <w:jc w:val="center"/>
                              <w:rPr>
                                <w:sz w:val="16"/>
                              </w:rPr>
                            </w:pPr>
                            <w:r>
                              <w:rPr>
                                <w:spacing w:val="-5"/>
                                <w:w w:val="95"/>
                                <w:sz w:val="16"/>
                              </w:rPr>
                              <w:t>T2.</w:t>
                            </w:r>
                          </w:p>
                        </w:tc>
                        <w:tc>
                          <w:tcPr>
                            <w:tcW w:w="2615" w:type="dxa"/>
                            <w:tcBorders>
                              <w:top w:val="single" w:sz="2" w:space="0" w:color="000000"/>
                              <w:bottom w:val="single" w:sz="2" w:space="0" w:color="000000"/>
                            </w:tcBorders>
                          </w:tcPr>
                          <w:p w14:paraId="764FDCB0" w14:textId="77777777" w:rsidR="00084F36" w:rsidRDefault="00EB2BD8">
                            <w:pPr>
                              <w:pStyle w:val="TableParagraph"/>
                              <w:spacing w:before="116" w:line="292" w:lineRule="auto"/>
                              <w:ind w:left="177" w:right="27"/>
                              <w:rPr>
                                <w:sz w:val="16"/>
                              </w:rPr>
                            </w:pPr>
                            <w:r>
                              <w:rPr>
                                <w:w w:val="105"/>
                                <w:sz w:val="16"/>
                              </w:rPr>
                              <w:t>Total distance</w:t>
                            </w:r>
                            <w:r>
                              <w:rPr>
                                <w:spacing w:val="-1"/>
                                <w:w w:val="105"/>
                                <w:sz w:val="16"/>
                              </w:rPr>
                              <w:t xml:space="preserve"> </w:t>
                            </w:r>
                            <w:r>
                              <w:rPr>
                                <w:w w:val="105"/>
                                <w:sz w:val="16"/>
                              </w:rPr>
                              <w:t xml:space="preserve">travelled </w:t>
                            </w:r>
                            <w:r>
                              <w:rPr>
                                <w:sz w:val="16"/>
                              </w:rPr>
                              <w:t>consumption</w:t>
                            </w:r>
                            <w:r>
                              <w:rPr>
                                <w:spacing w:val="-14"/>
                                <w:sz w:val="16"/>
                              </w:rPr>
                              <w:t xml:space="preserve"> </w:t>
                            </w:r>
                            <w:r>
                              <w:rPr>
                                <w:sz w:val="16"/>
                              </w:rPr>
                              <w:t>by</w:t>
                            </w:r>
                            <w:r>
                              <w:rPr>
                                <w:spacing w:val="-14"/>
                                <w:sz w:val="16"/>
                              </w:rPr>
                              <w:t xml:space="preserve"> </w:t>
                            </w:r>
                            <w:r>
                              <w:rPr>
                                <w:sz w:val="16"/>
                              </w:rPr>
                              <w:t>fleet</w:t>
                            </w:r>
                            <w:r>
                              <w:rPr>
                                <w:spacing w:val="-14"/>
                                <w:sz w:val="16"/>
                              </w:rPr>
                              <w:t xml:space="preserve"> </w:t>
                            </w:r>
                            <w:r>
                              <w:rPr>
                                <w:sz w:val="16"/>
                              </w:rPr>
                              <w:t xml:space="preserve">vehicles </w:t>
                            </w:r>
                            <w:r>
                              <w:rPr>
                                <w:spacing w:val="-4"/>
                                <w:w w:val="105"/>
                                <w:sz w:val="16"/>
                              </w:rPr>
                              <w:t>(km)</w:t>
                            </w:r>
                          </w:p>
                        </w:tc>
                        <w:tc>
                          <w:tcPr>
                            <w:tcW w:w="964" w:type="dxa"/>
                            <w:tcBorders>
                              <w:top w:val="single" w:sz="2" w:space="0" w:color="000000"/>
                              <w:bottom w:val="single" w:sz="2" w:space="0" w:color="000000"/>
                            </w:tcBorders>
                            <w:shd w:val="clear" w:color="auto" w:fill="E5FBFF"/>
                          </w:tcPr>
                          <w:p w14:paraId="70D23775" w14:textId="77777777" w:rsidR="00084F36" w:rsidRDefault="00084F36">
                            <w:pPr>
                              <w:pStyle w:val="TableParagraph"/>
                              <w:rPr>
                                <w:rFonts w:ascii="Times New Roman"/>
                                <w:sz w:val="16"/>
                              </w:rPr>
                            </w:pPr>
                          </w:p>
                        </w:tc>
                        <w:tc>
                          <w:tcPr>
                            <w:tcW w:w="936" w:type="dxa"/>
                            <w:tcBorders>
                              <w:top w:val="single" w:sz="2" w:space="0" w:color="000000"/>
                              <w:bottom w:val="single" w:sz="2" w:space="0" w:color="000000"/>
                            </w:tcBorders>
                          </w:tcPr>
                          <w:p w14:paraId="4BA67685" w14:textId="77777777" w:rsidR="00084F36" w:rsidRDefault="00084F36">
                            <w:pPr>
                              <w:pStyle w:val="TableParagraph"/>
                              <w:rPr>
                                <w:rFonts w:ascii="Times New Roman"/>
                                <w:sz w:val="16"/>
                              </w:rPr>
                            </w:pPr>
                          </w:p>
                        </w:tc>
                      </w:tr>
                      <w:tr w:rsidR="00084F36" w14:paraId="6995A767" w14:textId="77777777">
                        <w:trPr>
                          <w:trHeight w:val="381"/>
                        </w:trPr>
                        <w:tc>
                          <w:tcPr>
                            <w:tcW w:w="3231" w:type="dxa"/>
                            <w:gridSpan w:val="2"/>
                            <w:tcBorders>
                              <w:top w:val="single" w:sz="2" w:space="0" w:color="000000"/>
                              <w:bottom w:val="single" w:sz="2" w:space="0" w:color="000000"/>
                            </w:tcBorders>
                          </w:tcPr>
                          <w:p w14:paraId="2773AA1A" w14:textId="77777777" w:rsidR="00084F36" w:rsidRDefault="00EB2BD8">
                            <w:pPr>
                              <w:pStyle w:val="TableParagraph"/>
                              <w:spacing w:before="115"/>
                              <w:ind w:left="793"/>
                              <w:rPr>
                                <w:sz w:val="16"/>
                              </w:rPr>
                            </w:pPr>
                            <w:r>
                              <w:rPr>
                                <w:spacing w:val="-2"/>
                                <w:w w:val="105"/>
                                <w:sz w:val="16"/>
                              </w:rPr>
                              <w:t>Unleaded</w:t>
                            </w:r>
                          </w:p>
                        </w:tc>
                        <w:tc>
                          <w:tcPr>
                            <w:tcW w:w="964" w:type="dxa"/>
                            <w:tcBorders>
                              <w:top w:val="single" w:sz="2" w:space="0" w:color="000000"/>
                              <w:bottom w:val="single" w:sz="2" w:space="0" w:color="000000"/>
                            </w:tcBorders>
                            <w:shd w:val="clear" w:color="auto" w:fill="E5FBFF"/>
                          </w:tcPr>
                          <w:p w14:paraId="1B517C57" w14:textId="77777777" w:rsidR="00084F36" w:rsidRDefault="00EB2BD8">
                            <w:pPr>
                              <w:pStyle w:val="TableParagraph"/>
                              <w:spacing w:before="115"/>
                              <w:ind w:right="111"/>
                              <w:jc w:val="right"/>
                              <w:rPr>
                                <w:sz w:val="16"/>
                              </w:rPr>
                            </w:pPr>
                            <w:r>
                              <w:rPr>
                                <w:spacing w:val="-2"/>
                                <w:sz w:val="16"/>
                              </w:rPr>
                              <w:t>339,320</w:t>
                            </w:r>
                          </w:p>
                        </w:tc>
                        <w:tc>
                          <w:tcPr>
                            <w:tcW w:w="936" w:type="dxa"/>
                            <w:tcBorders>
                              <w:top w:val="single" w:sz="2" w:space="0" w:color="000000"/>
                              <w:bottom w:val="single" w:sz="2" w:space="0" w:color="000000"/>
                            </w:tcBorders>
                          </w:tcPr>
                          <w:p w14:paraId="201BE7BB" w14:textId="77777777" w:rsidR="00084F36" w:rsidRDefault="00EB2BD8">
                            <w:pPr>
                              <w:pStyle w:val="TableParagraph"/>
                              <w:spacing w:before="115"/>
                              <w:ind w:right="112"/>
                              <w:jc w:val="right"/>
                              <w:rPr>
                                <w:sz w:val="16"/>
                              </w:rPr>
                            </w:pPr>
                            <w:r>
                              <w:rPr>
                                <w:spacing w:val="-2"/>
                                <w:w w:val="95"/>
                                <w:sz w:val="16"/>
                              </w:rPr>
                              <w:t>565,682</w:t>
                            </w:r>
                          </w:p>
                        </w:tc>
                      </w:tr>
                      <w:tr w:rsidR="00084F36" w14:paraId="2B676E2F" w14:textId="77777777">
                        <w:trPr>
                          <w:trHeight w:val="381"/>
                        </w:trPr>
                        <w:tc>
                          <w:tcPr>
                            <w:tcW w:w="3231" w:type="dxa"/>
                            <w:gridSpan w:val="2"/>
                            <w:tcBorders>
                              <w:top w:val="single" w:sz="2" w:space="0" w:color="000000"/>
                              <w:bottom w:val="single" w:sz="2" w:space="0" w:color="000000"/>
                            </w:tcBorders>
                          </w:tcPr>
                          <w:p w14:paraId="2D441CA5" w14:textId="77777777" w:rsidR="00084F36" w:rsidRDefault="00EB2BD8">
                            <w:pPr>
                              <w:pStyle w:val="TableParagraph"/>
                              <w:spacing w:before="115"/>
                              <w:ind w:left="793"/>
                              <w:rPr>
                                <w:sz w:val="16"/>
                              </w:rPr>
                            </w:pPr>
                            <w:r>
                              <w:rPr>
                                <w:spacing w:val="-2"/>
                                <w:sz w:val="16"/>
                              </w:rPr>
                              <w:t>Hybrid</w:t>
                            </w:r>
                          </w:p>
                        </w:tc>
                        <w:tc>
                          <w:tcPr>
                            <w:tcW w:w="964" w:type="dxa"/>
                            <w:tcBorders>
                              <w:top w:val="single" w:sz="2" w:space="0" w:color="000000"/>
                              <w:bottom w:val="single" w:sz="2" w:space="0" w:color="000000"/>
                            </w:tcBorders>
                            <w:shd w:val="clear" w:color="auto" w:fill="E5FBFF"/>
                          </w:tcPr>
                          <w:p w14:paraId="290BB3F2" w14:textId="77777777" w:rsidR="00084F36" w:rsidRDefault="00EB2BD8">
                            <w:pPr>
                              <w:pStyle w:val="TableParagraph"/>
                              <w:spacing w:before="115"/>
                              <w:ind w:right="112"/>
                              <w:jc w:val="right"/>
                              <w:rPr>
                                <w:sz w:val="16"/>
                              </w:rPr>
                            </w:pPr>
                            <w:r>
                              <w:rPr>
                                <w:spacing w:val="-2"/>
                                <w:w w:val="90"/>
                                <w:sz w:val="16"/>
                              </w:rPr>
                              <w:t>729,879</w:t>
                            </w:r>
                          </w:p>
                        </w:tc>
                        <w:tc>
                          <w:tcPr>
                            <w:tcW w:w="936" w:type="dxa"/>
                            <w:tcBorders>
                              <w:top w:val="single" w:sz="2" w:space="0" w:color="000000"/>
                              <w:bottom w:val="single" w:sz="2" w:space="0" w:color="000000"/>
                            </w:tcBorders>
                          </w:tcPr>
                          <w:p w14:paraId="410301C3" w14:textId="77777777" w:rsidR="00084F36" w:rsidRDefault="00EB2BD8">
                            <w:pPr>
                              <w:pStyle w:val="TableParagraph"/>
                              <w:spacing w:before="115"/>
                              <w:ind w:right="112"/>
                              <w:jc w:val="right"/>
                              <w:rPr>
                                <w:sz w:val="16"/>
                              </w:rPr>
                            </w:pPr>
                            <w:r>
                              <w:rPr>
                                <w:spacing w:val="-2"/>
                                <w:w w:val="90"/>
                                <w:sz w:val="16"/>
                              </w:rPr>
                              <w:t>288,372</w:t>
                            </w:r>
                          </w:p>
                        </w:tc>
                      </w:tr>
                      <w:tr w:rsidR="00084F36" w14:paraId="7068E709" w14:textId="77777777">
                        <w:trPr>
                          <w:trHeight w:val="841"/>
                        </w:trPr>
                        <w:tc>
                          <w:tcPr>
                            <w:tcW w:w="616" w:type="dxa"/>
                            <w:tcBorders>
                              <w:top w:val="single" w:sz="2" w:space="0" w:color="000000"/>
                              <w:bottom w:val="single" w:sz="2" w:space="0" w:color="000000"/>
                            </w:tcBorders>
                          </w:tcPr>
                          <w:p w14:paraId="39FABA78" w14:textId="77777777" w:rsidR="00084F36" w:rsidRDefault="00EB2BD8">
                            <w:pPr>
                              <w:pStyle w:val="TableParagraph"/>
                              <w:spacing w:before="115"/>
                              <w:ind w:left="84" w:right="150"/>
                              <w:jc w:val="center"/>
                              <w:rPr>
                                <w:sz w:val="16"/>
                              </w:rPr>
                            </w:pPr>
                            <w:r>
                              <w:rPr>
                                <w:spacing w:val="-4"/>
                                <w:sz w:val="16"/>
                              </w:rPr>
                              <w:t>T3.a</w:t>
                            </w:r>
                          </w:p>
                        </w:tc>
                        <w:tc>
                          <w:tcPr>
                            <w:tcW w:w="2615" w:type="dxa"/>
                            <w:tcBorders>
                              <w:top w:val="single" w:sz="2" w:space="0" w:color="000000"/>
                              <w:bottom w:val="single" w:sz="2" w:space="0" w:color="000000"/>
                            </w:tcBorders>
                          </w:tcPr>
                          <w:p w14:paraId="62D06CAD" w14:textId="77777777" w:rsidR="00084F36" w:rsidRDefault="00EB2BD8">
                            <w:pPr>
                              <w:pStyle w:val="TableParagraph"/>
                              <w:spacing w:before="115" w:line="292" w:lineRule="auto"/>
                              <w:ind w:left="177" w:right="27"/>
                              <w:rPr>
                                <w:sz w:val="16"/>
                              </w:rPr>
                            </w:pPr>
                            <w:r>
                              <w:rPr>
                                <w:sz w:val="16"/>
                              </w:rPr>
                              <w:t xml:space="preserve">Total greenhouse gas </w:t>
                            </w:r>
                            <w:r>
                              <w:rPr>
                                <w:spacing w:val="-2"/>
                                <w:sz w:val="16"/>
                              </w:rPr>
                              <w:t>emissions</w:t>
                            </w:r>
                            <w:r>
                              <w:rPr>
                                <w:spacing w:val="-10"/>
                                <w:sz w:val="16"/>
                              </w:rPr>
                              <w:t xml:space="preserve"> </w:t>
                            </w:r>
                            <w:r>
                              <w:rPr>
                                <w:spacing w:val="-2"/>
                                <w:sz w:val="16"/>
                              </w:rPr>
                              <w:t>from</w:t>
                            </w:r>
                            <w:r>
                              <w:rPr>
                                <w:spacing w:val="-10"/>
                                <w:sz w:val="16"/>
                              </w:rPr>
                              <w:t xml:space="preserve"> </w:t>
                            </w:r>
                            <w:r>
                              <w:rPr>
                                <w:spacing w:val="-2"/>
                                <w:sz w:val="16"/>
                              </w:rPr>
                              <w:t>fleet</w:t>
                            </w:r>
                            <w:r>
                              <w:rPr>
                                <w:spacing w:val="-10"/>
                                <w:sz w:val="16"/>
                              </w:rPr>
                              <w:t xml:space="preserve"> </w:t>
                            </w:r>
                            <w:r>
                              <w:rPr>
                                <w:spacing w:val="-2"/>
                                <w:sz w:val="16"/>
                              </w:rPr>
                              <w:t xml:space="preserve">vehicles </w:t>
                            </w:r>
                            <w:r>
                              <w:rPr>
                                <w:sz w:val="16"/>
                              </w:rPr>
                              <w:t>(tonnes</w:t>
                            </w:r>
                            <w:r>
                              <w:rPr>
                                <w:spacing w:val="-14"/>
                                <w:sz w:val="16"/>
                              </w:rPr>
                              <w:t xml:space="preserve"> </w:t>
                            </w:r>
                            <w:r>
                              <w:rPr>
                                <w:sz w:val="16"/>
                              </w:rPr>
                              <w:t>CO2-e)</w:t>
                            </w:r>
                          </w:p>
                        </w:tc>
                        <w:tc>
                          <w:tcPr>
                            <w:tcW w:w="964" w:type="dxa"/>
                            <w:tcBorders>
                              <w:top w:val="single" w:sz="2" w:space="0" w:color="000000"/>
                              <w:bottom w:val="single" w:sz="2" w:space="0" w:color="000000"/>
                            </w:tcBorders>
                            <w:shd w:val="clear" w:color="auto" w:fill="E5FBFF"/>
                          </w:tcPr>
                          <w:p w14:paraId="70E615F1" w14:textId="77777777" w:rsidR="00084F36" w:rsidRDefault="00084F36">
                            <w:pPr>
                              <w:pStyle w:val="TableParagraph"/>
                              <w:rPr>
                                <w:rFonts w:ascii="Times New Roman"/>
                                <w:sz w:val="16"/>
                              </w:rPr>
                            </w:pPr>
                          </w:p>
                        </w:tc>
                        <w:tc>
                          <w:tcPr>
                            <w:tcW w:w="936" w:type="dxa"/>
                            <w:tcBorders>
                              <w:top w:val="single" w:sz="2" w:space="0" w:color="000000"/>
                              <w:bottom w:val="single" w:sz="2" w:space="0" w:color="000000"/>
                            </w:tcBorders>
                          </w:tcPr>
                          <w:p w14:paraId="45E4AA5F" w14:textId="77777777" w:rsidR="00084F36" w:rsidRDefault="00084F36">
                            <w:pPr>
                              <w:pStyle w:val="TableParagraph"/>
                              <w:rPr>
                                <w:rFonts w:ascii="Times New Roman"/>
                                <w:sz w:val="16"/>
                              </w:rPr>
                            </w:pPr>
                          </w:p>
                        </w:tc>
                      </w:tr>
                      <w:tr w:rsidR="00084F36" w14:paraId="2CEADE48" w14:textId="77777777">
                        <w:trPr>
                          <w:trHeight w:val="381"/>
                        </w:trPr>
                        <w:tc>
                          <w:tcPr>
                            <w:tcW w:w="3231" w:type="dxa"/>
                            <w:gridSpan w:val="2"/>
                            <w:tcBorders>
                              <w:top w:val="single" w:sz="2" w:space="0" w:color="000000"/>
                              <w:bottom w:val="single" w:sz="2" w:space="0" w:color="000000"/>
                            </w:tcBorders>
                          </w:tcPr>
                          <w:p w14:paraId="03742D06" w14:textId="77777777" w:rsidR="00084F36" w:rsidRDefault="00EB2BD8">
                            <w:pPr>
                              <w:pStyle w:val="TableParagraph"/>
                              <w:spacing w:before="115"/>
                              <w:ind w:left="793"/>
                              <w:rPr>
                                <w:sz w:val="16"/>
                              </w:rPr>
                            </w:pPr>
                            <w:r>
                              <w:rPr>
                                <w:spacing w:val="-2"/>
                                <w:w w:val="105"/>
                                <w:sz w:val="16"/>
                              </w:rPr>
                              <w:t>Unleaded</w:t>
                            </w:r>
                          </w:p>
                        </w:tc>
                        <w:tc>
                          <w:tcPr>
                            <w:tcW w:w="964" w:type="dxa"/>
                            <w:tcBorders>
                              <w:top w:val="single" w:sz="2" w:space="0" w:color="000000"/>
                              <w:bottom w:val="single" w:sz="2" w:space="0" w:color="000000"/>
                            </w:tcBorders>
                            <w:shd w:val="clear" w:color="auto" w:fill="E5FBFF"/>
                          </w:tcPr>
                          <w:p w14:paraId="1AEFF043" w14:textId="77777777" w:rsidR="00084F36" w:rsidRDefault="00EB2BD8">
                            <w:pPr>
                              <w:pStyle w:val="TableParagraph"/>
                              <w:spacing w:before="115"/>
                              <w:ind w:right="112"/>
                              <w:jc w:val="right"/>
                              <w:rPr>
                                <w:sz w:val="16"/>
                              </w:rPr>
                            </w:pPr>
                            <w:r>
                              <w:rPr>
                                <w:spacing w:val="-5"/>
                                <w:w w:val="90"/>
                                <w:sz w:val="16"/>
                              </w:rPr>
                              <w:t>148</w:t>
                            </w:r>
                          </w:p>
                        </w:tc>
                        <w:tc>
                          <w:tcPr>
                            <w:tcW w:w="936" w:type="dxa"/>
                            <w:tcBorders>
                              <w:top w:val="single" w:sz="2" w:space="0" w:color="000000"/>
                              <w:bottom w:val="single" w:sz="2" w:space="0" w:color="000000"/>
                            </w:tcBorders>
                          </w:tcPr>
                          <w:p w14:paraId="01E0ECD8" w14:textId="77777777" w:rsidR="00084F36" w:rsidRDefault="00EB2BD8">
                            <w:pPr>
                              <w:pStyle w:val="TableParagraph"/>
                              <w:spacing w:before="115"/>
                              <w:ind w:right="116"/>
                              <w:jc w:val="right"/>
                              <w:rPr>
                                <w:sz w:val="16"/>
                              </w:rPr>
                            </w:pPr>
                            <w:r>
                              <w:rPr>
                                <w:spacing w:val="-5"/>
                                <w:w w:val="95"/>
                                <w:sz w:val="16"/>
                              </w:rPr>
                              <w:t>247</w:t>
                            </w:r>
                          </w:p>
                        </w:tc>
                      </w:tr>
                      <w:tr w:rsidR="00084F36" w14:paraId="0F8B3225" w14:textId="77777777">
                        <w:trPr>
                          <w:trHeight w:val="381"/>
                        </w:trPr>
                        <w:tc>
                          <w:tcPr>
                            <w:tcW w:w="3231" w:type="dxa"/>
                            <w:gridSpan w:val="2"/>
                            <w:tcBorders>
                              <w:top w:val="single" w:sz="2" w:space="0" w:color="000000"/>
                              <w:bottom w:val="single" w:sz="2" w:space="0" w:color="000000"/>
                            </w:tcBorders>
                          </w:tcPr>
                          <w:p w14:paraId="495E3265" w14:textId="77777777" w:rsidR="00084F36" w:rsidRDefault="00EB2BD8">
                            <w:pPr>
                              <w:pStyle w:val="TableParagraph"/>
                              <w:spacing w:before="115"/>
                              <w:ind w:left="793"/>
                              <w:rPr>
                                <w:sz w:val="16"/>
                              </w:rPr>
                            </w:pPr>
                            <w:r>
                              <w:rPr>
                                <w:spacing w:val="-2"/>
                                <w:sz w:val="16"/>
                              </w:rPr>
                              <w:t>Hybrid</w:t>
                            </w:r>
                          </w:p>
                        </w:tc>
                        <w:tc>
                          <w:tcPr>
                            <w:tcW w:w="964" w:type="dxa"/>
                            <w:tcBorders>
                              <w:top w:val="single" w:sz="2" w:space="0" w:color="000000"/>
                              <w:bottom w:val="single" w:sz="2" w:space="0" w:color="000000"/>
                            </w:tcBorders>
                            <w:shd w:val="clear" w:color="auto" w:fill="E5FBFF"/>
                          </w:tcPr>
                          <w:p w14:paraId="3DC02D0D" w14:textId="77777777" w:rsidR="00084F36" w:rsidRDefault="00EB2BD8">
                            <w:pPr>
                              <w:pStyle w:val="TableParagraph"/>
                              <w:spacing w:before="115"/>
                              <w:ind w:right="115"/>
                              <w:jc w:val="right"/>
                              <w:rPr>
                                <w:sz w:val="16"/>
                              </w:rPr>
                            </w:pPr>
                            <w:r>
                              <w:rPr>
                                <w:spacing w:val="-5"/>
                                <w:w w:val="95"/>
                                <w:sz w:val="16"/>
                              </w:rPr>
                              <w:t>207</w:t>
                            </w:r>
                          </w:p>
                        </w:tc>
                        <w:tc>
                          <w:tcPr>
                            <w:tcW w:w="936" w:type="dxa"/>
                            <w:tcBorders>
                              <w:top w:val="single" w:sz="2" w:space="0" w:color="000000"/>
                              <w:bottom w:val="single" w:sz="2" w:space="0" w:color="000000"/>
                            </w:tcBorders>
                          </w:tcPr>
                          <w:p w14:paraId="108D15D4" w14:textId="77777777" w:rsidR="00084F36" w:rsidRDefault="00EB2BD8">
                            <w:pPr>
                              <w:pStyle w:val="TableParagraph"/>
                              <w:spacing w:before="115"/>
                              <w:ind w:right="113"/>
                              <w:jc w:val="right"/>
                              <w:rPr>
                                <w:sz w:val="16"/>
                              </w:rPr>
                            </w:pPr>
                            <w:r>
                              <w:rPr>
                                <w:spacing w:val="-5"/>
                                <w:w w:val="95"/>
                                <w:sz w:val="16"/>
                              </w:rPr>
                              <w:t>82</w:t>
                            </w:r>
                          </w:p>
                        </w:tc>
                      </w:tr>
                      <w:tr w:rsidR="00084F36" w14:paraId="44EDF2D1" w14:textId="77777777">
                        <w:trPr>
                          <w:trHeight w:val="841"/>
                        </w:trPr>
                        <w:tc>
                          <w:tcPr>
                            <w:tcW w:w="616" w:type="dxa"/>
                            <w:tcBorders>
                              <w:top w:val="single" w:sz="2" w:space="0" w:color="000000"/>
                              <w:bottom w:val="single" w:sz="2" w:space="0" w:color="000000"/>
                            </w:tcBorders>
                          </w:tcPr>
                          <w:p w14:paraId="6A0F7DE5" w14:textId="77777777" w:rsidR="00084F36" w:rsidRDefault="00EB2BD8">
                            <w:pPr>
                              <w:pStyle w:val="TableParagraph"/>
                              <w:spacing w:before="115"/>
                              <w:ind w:left="88" w:right="150"/>
                              <w:jc w:val="center"/>
                              <w:rPr>
                                <w:sz w:val="16"/>
                              </w:rPr>
                            </w:pPr>
                            <w:r>
                              <w:rPr>
                                <w:spacing w:val="-4"/>
                                <w:sz w:val="16"/>
                              </w:rPr>
                              <w:t>T3.b</w:t>
                            </w:r>
                          </w:p>
                        </w:tc>
                        <w:tc>
                          <w:tcPr>
                            <w:tcW w:w="2615" w:type="dxa"/>
                            <w:tcBorders>
                              <w:top w:val="single" w:sz="2" w:space="0" w:color="000000"/>
                              <w:bottom w:val="single" w:sz="2" w:space="0" w:color="000000"/>
                            </w:tcBorders>
                          </w:tcPr>
                          <w:p w14:paraId="6F5DACD4" w14:textId="77777777" w:rsidR="00084F36" w:rsidRDefault="00EB2BD8">
                            <w:pPr>
                              <w:pStyle w:val="TableParagraph"/>
                              <w:spacing w:before="115" w:line="292" w:lineRule="auto"/>
                              <w:ind w:left="176" w:right="376"/>
                              <w:rPr>
                                <w:sz w:val="16"/>
                              </w:rPr>
                            </w:pPr>
                            <w:r>
                              <w:rPr>
                                <w:sz w:val="16"/>
                              </w:rPr>
                              <w:t>Greenhouse</w:t>
                            </w:r>
                            <w:r>
                              <w:rPr>
                                <w:spacing w:val="-14"/>
                                <w:sz w:val="16"/>
                              </w:rPr>
                              <w:t xml:space="preserve"> </w:t>
                            </w:r>
                            <w:r>
                              <w:rPr>
                                <w:sz w:val="16"/>
                              </w:rPr>
                              <w:t>gas</w:t>
                            </w:r>
                            <w:r>
                              <w:rPr>
                                <w:spacing w:val="-14"/>
                                <w:sz w:val="16"/>
                              </w:rPr>
                              <w:t xml:space="preserve"> </w:t>
                            </w:r>
                            <w:r>
                              <w:rPr>
                                <w:sz w:val="16"/>
                              </w:rPr>
                              <w:t>emissions from fleet vehicles per 1000km (tonnes CO2-e)</w:t>
                            </w:r>
                          </w:p>
                        </w:tc>
                        <w:tc>
                          <w:tcPr>
                            <w:tcW w:w="964" w:type="dxa"/>
                            <w:tcBorders>
                              <w:top w:val="single" w:sz="2" w:space="0" w:color="000000"/>
                              <w:bottom w:val="single" w:sz="2" w:space="0" w:color="000000"/>
                            </w:tcBorders>
                            <w:shd w:val="clear" w:color="auto" w:fill="E5FBFF"/>
                          </w:tcPr>
                          <w:p w14:paraId="77BC3DC5" w14:textId="77777777" w:rsidR="00084F36" w:rsidRDefault="00084F36">
                            <w:pPr>
                              <w:pStyle w:val="TableParagraph"/>
                              <w:rPr>
                                <w:rFonts w:ascii="Times New Roman"/>
                                <w:sz w:val="16"/>
                              </w:rPr>
                            </w:pPr>
                          </w:p>
                        </w:tc>
                        <w:tc>
                          <w:tcPr>
                            <w:tcW w:w="936" w:type="dxa"/>
                            <w:tcBorders>
                              <w:top w:val="single" w:sz="2" w:space="0" w:color="000000"/>
                              <w:bottom w:val="single" w:sz="2" w:space="0" w:color="000000"/>
                            </w:tcBorders>
                          </w:tcPr>
                          <w:p w14:paraId="0B9A990B" w14:textId="77777777" w:rsidR="00084F36" w:rsidRDefault="00084F36">
                            <w:pPr>
                              <w:pStyle w:val="TableParagraph"/>
                              <w:rPr>
                                <w:rFonts w:ascii="Times New Roman"/>
                                <w:sz w:val="16"/>
                              </w:rPr>
                            </w:pPr>
                          </w:p>
                        </w:tc>
                      </w:tr>
                      <w:tr w:rsidR="00084F36" w14:paraId="059A59C2" w14:textId="77777777">
                        <w:trPr>
                          <w:trHeight w:val="381"/>
                        </w:trPr>
                        <w:tc>
                          <w:tcPr>
                            <w:tcW w:w="3231" w:type="dxa"/>
                            <w:gridSpan w:val="2"/>
                            <w:tcBorders>
                              <w:top w:val="single" w:sz="2" w:space="0" w:color="000000"/>
                              <w:bottom w:val="single" w:sz="2" w:space="0" w:color="000000"/>
                            </w:tcBorders>
                          </w:tcPr>
                          <w:p w14:paraId="77892220" w14:textId="77777777" w:rsidR="00084F36" w:rsidRDefault="00EB2BD8">
                            <w:pPr>
                              <w:pStyle w:val="TableParagraph"/>
                              <w:spacing w:before="115"/>
                              <w:ind w:left="792"/>
                              <w:rPr>
                                <w:sz w:val="16"/>
                              </w:rPr>
                            </w:pPr>
                            <w:r>
                              <w:rPr>
                                <w:spacing w:val="-2"/>
                                <w:w w:val="105"/>
                                <w:sz w:val="16"/>
                              </w:rPr>
                              <w:t>Unleaded</w:t>
                            </w:r>
                          </w:p>
                        </w:tc>
                        <w:tc>
                          <w:tcPr>
                            <w:tcW w:w="964" w:type="dxa"/>
                            <w:tcBorders>
                              <w:top w:val="single" w:sz="2" w:space="0" w:color="000000"/>
                              <w:bottom w:val="single" w:sz="2" w:space="0" w:color="000000"/>
                            </w:tcBorders>
                            <w:shd w:val="clear" w:color="auto" w:fill="E5FBFF"/>
                          </w:tcPr>
                          <w:p w14:paraId="62EF1C89" w14:textId="77777777" w:rsidR="00084F36" w:rsidRDefault="00EB2BD8">
                            <w:pPr>
                              <w:pStyle w:val="TableParagraph"/>
                              <w:spacing w:before="115"/>
                              <w:ind w:right="112"/>
                              <w:jc w:val="right"/>
                              <w:rPr>
                                <w:sz w:val="16"/>
                              </w:rPr>
                            </w:pPr>
                            <w:r>
                              <w:rPr>
                                <w:spacing w:val="-4"/>
                                <w:w w:val="90"/>
                                <w:sz w:val="16"/>
                              </w:rPr>
                              <w:t>0.15</w:t>
                            </w:r>
                          </w:p>
                        </w:tc>
                        <w:tc>
                          <w:tcPr>
                            <w:tcW w:w="936" w:type="dxa"/>
                            <w:tcBorders>
                              <w:top w:val="single" w:sz="2" w:space="0" w:color="000000"/>
                              <w:bottom w:val="single" w:sz="2" w:space="0" w:color="000000"/>
                            </w:tcBorders>
                          </w:tcPr>
                          <w:p w14:paraId="0A2697CD" w14:textId="77777777" w:rsidR="00084F36" w:rsidRDefault="00EB2BD8">
                            <w:pPr>
                              <w:pStyle w:val="TableParagraph"/>
                              <w:spacing w:before="115"/>
                              <w:ind w:right="113"/>
                              <w:jc w:val="right"/>
                              <w:rPr>
                                <w:sz w:val="16"/>
                              </w:rPr>
                            </w:pPr>
                            <w:r>
                              <w:rPr>
                                <w:spacing w:val="-4"/>
                                <w:w w:val="95"/>
                                <w:sz w:val="16"/>
                              </w:rPr>
                              <w:t>0.25</w:t>
                            </w:r>
                          </w:p>
                        </w:tc>
                      </w:tr>
                      <w:tr w:rsidR="00084F36" w14:paraId="656729C7" w14:textId="77777777">
                        <w:trPr>
                          <w:trHeight w:val="381"/>
                        </w:trPr>
                        <w:tc>
                          <w:tcPr>
                            <w:tcW w:w="3231" w:type="dxa"/>
                            <w:gridSpan w:val="2"/>
                            <w:tcBorders>
                              <w:top w:val="single" w:sz="2" w:space="0" w:color="000000"/>
                              <w:bottom w:val="single" w:sz="2" w:space="0" w:color="000000"/>
                            </w:tcBorders>
                          </w:tcPr>
                          <w:p w14:paraId="0D72297E" w14:textId="77777777" w:rsidR="00084F36" w:rsidRDefault="00EB2BD8">
                            <w:pPr>
                              <w:pStyle w:val="TableParagraph"/>
                              <w:spacing w:before="115"/>
                              <w:ind w:left="792"/>
                              <w:rPr>
                                <w:sz w:val="16"/>
                              </w:rPr>
                            </w:pPr>
                            <w:r>
                              <w:rPr>
                                <w:spacing w:val="-2"/>
                                <w:sz w:val="16"/>
                              </w:rPr>
                              <w:t>Hybrid</w:t>
                            </w:r>
                          </w:p>
                        </w:tc>
                        <w:tc>
                          <w:tcPr>
                            <w:tcW w:w="964" w:type="dxa"/>
                            <w:tcBorders>
                              <w:top w:val="single" w:sz="2" w:space="0" w:color="000000"/>
                              <w:bottom w:val="single" w:sz="2" w:space="0" w:color="000000"/>
                            </w:tcBorders>
                            <w:shd w:val="clear" w:color="auto" w:fill="E5FBFF"/>
                          </w:tcPr>
                          <w:p w14:paraId="6FAE7B38" w14:textId="77777777" w:rsidR="00084F36" w:rsidRDefault="00EB2BD8">
                            <w:pPr>
                              <w:pStyle w:val="TableParagraph"/>
                              <w:spacing w:before="115"/>
                              <w:ind w:right="113"/>
                              <w:jc w:val="right"/>
                              <w:rPr>
                                <w:sz w:val="16"/>
                              </w:rPr>
                            </w:pPr>
                            <w:r>
                              <w:rPr>
                                <w:spacing w:val="-4"/>
                                <w:w w:val="85"/>
                                <w:sz w:val="16"/>
                              </w:rPr>
                              <w:t>0.21</w:t>
                            </w:r>
                          </w:p>
                        </w:tc>
                        <w:tc>
                          <w:tcPr>
                            <w:tcW w:w="936" w:type="dxa"/>
                            <w:tcBorders>
                              <w:top w:val="single" w:sz="2" w:space="0" w:color="000000"/>
                              <w:bottom w:val="single" w:sz="2" w:space="0" w:color="000000"/>
                            </w:tcBorders>
                          </w:tcPr>
                          <w:p w14:paraId="13BA193E" w14:textId="77777777" w:rsidR="00084F36" w:rsidRDefault="00EB2BD8">
                            <w:pPr>
                              <w:pStyle w:val="TableParagraph"/>
                              <w:spacing w:before="115"/>
                              <w:ind w:right="113"/>
                              <w:jc w:val="right"/>
                              <w:rPr>
                                <w:sz w:val="16"/>
                              </w:rPr>
                            </w:pPr>
                            <w:r>
                              <w:rPr>
                                <w:spacing w:val="-4"/>
                                <w:sz w:val="16"/>
                              </w:rPr>
                              <w:t>0.08</w:t>
                            </w:r>
                          </w:p>
                        </w:tc>
                      </w:tr>
                      <w:tr w:rsidR="00084F36" w14:paraId="532BFFA3" w14:textId="77777777">
                        <w:trPr>
                          <w:trHeight w:val="611"/>
                        </w:trPr>
                        <w:tc>
                          <w:tcPr>
                            <w:tcW w:w="616" w:type="dxa"/>
                            <w:tcBorders>
                              <w:top w:val="single" w:sz="2" w:space="0" w:color="000000"/>
                              <w:bottom w:val="single" w:sz="2" w:space="0" w:color="000000"/>
                            </w:tcBorders>
                          </w:tcPr>
                          <w:p w14:paraId="41BA915B" w14:textId="77777777" w:rsidR="00084F36" w:rsidRDefault="00EB2BD8">
                            <w:pPr>
                              <w:pStyle w:val="TableParagraph"/>
                              <w:spacing w:before="115"/>
                              <w:ind w:left="85" w:right="253"/>
                              <w:jc w:val="center"/>
                              <w:rPr>
                                <w:sz w:val="16"/>
                              </w:rPr>
                            </w:pPr>
                            <w:r>
                              <w:rPr>
                                <w:spacing w:val="-5"/>
                                <w:sz w:val="16"/>
                              </w:rPr>
                              <w:t>T4.</w:t>
                            </w:r>
                          </w:p>
                        </w:tc>
                        <w:tc>
                          <w:tcPr>
                            <w:tcW w:w="2615" w:type="dxa"/>
                            <w:tcBorders>
                              <w:top w:val="single" w:sz="2" w:space="0" w:color="000000"/>
                              <w:bottom w:val="single" w:sz="2" w:space="0" w:color="000000"/>
                            </w:tcBorders>
                          </w:tcPr>
                          <w:p w14:paraId="2D6736A3" w14:textId="77777777" w:rsidR="00084F36" w:rsidRDefault="00EB2BD8">
                            <w:pPr>
                              <w:pStyle w:val="TableParagraph"/>
                              <w:spacing w:before="115" w:line="292" w:lineRule="auto"/>
                              <w:ind w:left="176" w:right="376"/>
                              <w:rPr>
                                <w:sz w:val="16"/>
                              </w:rPr>
                            </w:pPr>
                            <w:r>
                              <w:rPr>
                                <w:spacing w:val="-4"/>
                                <w:w w:val="105"/>
                                <w:sz w:val="16"/>
                              </w:rPr>
                              <w:t>Total</w:t>
                            </w:r>
                            <w:r>
                              <w:rPr>
                                <w:spacing w:val="-14"/>
                                <w:w w:val="105"/>
                                <w:sz w:val="16"/>
                              </w:rPr>
                              <w:t xml:space="preserve"> </w:t>
                            </w:r>
                            <w:r>
                              <w:rPr>
                                <w:spacing w:val="-4"/>
                                <w:w w:val="105"/>
                                <w:sz w:val="16"/>
                              </w:rPr>
                              <w:t>distance</w:t>
                            </w:r>
                            <w:r>
                              <w:rPr>
                                <w:spacing w:val="-14"/>
                                <w:w w:val="105"/>
                                <w:sz w:val="16"/>
                              </w:rPr>
                              <w:t xml:space="preserve"> </w:t>
                            </w:r>
                            <w:r>
                              <w:rPr>
                                <w:spacing w:val="-4"/>
                                <w:w w:val="105"/>
                                <w:sz w:val="16"/>
                              </w:rPr>
                              <w:t>travelled</w:t>
                            </w:r>
                            <w:r>
                              <w:rPr>
                                <w:spacing w:val="-14"/>
                                <w:w w:val="105"/>
                                <w:sz w:val="16"/>
                              </w:rPr>
                              <w:t xml:space="preserve"> </w:t>
                            </w:r>
                            <w:r>
                              <w:rPr>
                                <w:spacing w:val="-4"/>
                                <w:w w:val="105"/>
                                <w:sz w:val="16"/>
                              </w:rPr>
                              <w:t xml:space="preserve">by </w:t>
                            </w:r>
                            <w:r>
                              <w:rPr>
                                <w:w w:val="105"/>
                                <w:sz w:val="16"/>
                              </w:rPr>
                              <w:t>air</w:t>
                            </w:r>
                            <w:r>
                              <w:rPr>
                                <w:spacing w:val="-17"/>
                                <w:w w:val="105"/>
                                <w:sz w:val="16"/>
                              </w:rPr>
                              <w:t xml:space="preserve"> </w:t>
                            </w:r>
                            <w:r>
                              <w:rPr>
                                <w:w w:val="105"/>
                                <w:sz w:val="16"/>
                              </w:rPr>
                              <w:t>(km)</w:t>
                            </w:r>
                          </w:p>
                        </w:tc>
                        <w:tc>
                          <w:tcPr>
                            <w:tcW w:w="964" w:type="dxa"/>
                            <w:tcBorders>
                              <w:top w:val="single" w:sz="2" w:space="0" w:color="000000"/>
                              <w:bottom w:val="single" w:sz="2" w:space="0" w:color="000000"/>
                            </w:tcBorders>
                            <w:shd w:val="clear" w:color="auto" w:fill="E5FBFF"/>
                          </w:tcPr>
                          <w:p w14:paraId="6BA7D83D" w14:textId="77777777" w:rsidR="00084F36" w:rsidRDefault="00EB2BD8">
                            <w:pPr>
                              <w:pStyle w:val="TableParagraph"/>
                              <w:spacing w:before="115"/>
                              <w:ind w:right="113"/>
                              <w:jc w:val="right"/>
                              <w:rPr>
                                <w:sz w:val="16"/>
                              </w:rPr>
                            </w:pPr>
                            <w:r>
                              <w:rPr>
                                <w:spacing w:val="-2"/>
                                <w:w w:val="95"/>
                                <w:sz w:val="16"/>
                              </w:rPr>
                              <w:t>56,987</w:t>
                            </w:r>
                          </w:p>
                        </w:tc>
                        <w:tc>
                          <w:tcPr>
                            <w:tcW w:w="936" w:type="dxa"/>
                            <w:tcBorders>
                              <w:top w:val="single" w:sz="2" w:space="0" w:color="000000"/>
                              <w:bottom w:val="single" w:sz="2" w:space="0" w:color="000000"/>
                            </w:tcBorders>
                          </w:tcPr>
                          <w:p w14:paraId="211F91E0" w14:textId="77777777" w:rsidR="00084F36" w:rsidRDefault="00EB2BD8">
                            <w:pPr>
                              <w:pStyle w:val="TableParagraph"/>
                              <w:spacing w:before="115"/>
                              <w:ind w:right="113"/>
                              <w:jc w:val="right"/>
                              <w:rPr>
                                <w:sz w:val="16"/>
                              </w:rPr>
                            </w:pPr>
                            <w:r>
                              <w:rPr>
                                <w:spacing w:val="-2"/>
                                <w:w w:val="95"/>
                                <w:sz w:val="16"/>
                              </w:rPr>
                              <w:t>22,452</w:t>
                            </w:r>
                          </w:p>
                        </w:tc>
                      </w:tr>
                    </w:tbl>
                    <w:p w14:paraId="59FAF212" w14:textId="77777777" w:rsidR="00084F36" w:rsidRDefault="00084F36">
                      <w:pPr>
                        <w:pStyle w:val="BodyText"/>
                      </w:pPr>
                    </w:p>
                  </w:txbxContent>
                </v:textbox>
                <w10:anchorlock/>
              </v:shape>
            </w:pict>
          </mc:Fallback>
        </mc:AlternateContent>
      </w:r>
    </w:p>
    <w:p w14:paraId="446C1418" w14:textId="7763F77A" w:rsidR="00C315ED" w:rsidRPr="00EB2BD8" w:rsidRDefault="00C315ED">
      <w:pPr>
        <w:rPr>
          <w:sz w:val="20"/>
        </w:rPr>
        <w:sectPr w:rsidR="00C315ED" w:rsidRPr="00EB2BD8" w:rsidSect="006D75B2">
          <w:type w:val="continuous"/>
          <w:pgSz w:w="11910" w:h="16840"/>
          <w:pgMar w:top="1920" w:right="0" w:bottom="280" w:left="0" w:header="0" w:footer="528" w:gutter="0"/>
          <w:cols w:num="2" w:space="720" w:equalWidth="0">
            <w:col w:w="5953" w:space="40"/>
            <w:col w:w="5917"/>
          </w:cols>
        </w:sectPr>
      </w:pPr>
    </w:p>
    <w:p w14:paraId="014BBCEE" w14:textId="1D6FBBEE" w:rsidR="00084F36" w:rsidRPr="00EB2BD8" w:rsidRDefault="00084F36">
      <w:pPr>
        <w:pStyle w:val="BodyText"/>
        <w:rPr>
          <w:sz w:val="20"/>
        </w:rPr>
      </w:pPr>
    </w:p>
    <w:p w14:paraId="519BB2A1" w14:textId="77777777" w:rsidR="00084F36" w:rsidRPr="00EB2BD8" w:rsidRDefault="00084F36">
      <w:pPr>
        <w:pStyle w:val="BodyText"/>
        <w:rPr>
          <w:sz w:val="20"/>
        </w:rPr>
      </w:pPr>
    </w:p>
    <w:p w14:paraId="5D209EDB" w14:textId="77777777" w:rsidR="00084F36" w:rsidRPr="00EB2BD8" w:rsidRDefault="00084F36">
      <w:pPr>
        <w:pStyle w:val="BodyText"/>
        <w:rPr>
          <w:sz w:val="20"/>
        </w:rPr>
      </w:pPr>
    </w:p>
    <w:p w14:paraId="477B3118" w14:textId="77777777" w:rsidR="00084F36" w:rsidRPr="00EB2BD8" w:rsidRDefault="00084F36">
      <w:pPr>
        <w:pStyle w:val="BodyText"/>
        <w:rPr>
          <w:sz w:val="20"/>
        </w:rPr>
      </w:pPr>
    </w:p>
    <w:p w14:paraId="5C173105" w14:textId="77777777" w:rsidR="00084F36" w:rsidRPr="00EB2BD8" w:rsidRDefault="00084F36">
      <w:pPr>
        <w:pStyle w:val="BodyText"/>
        <w:spacing w:before="6"/>
        <w:rPr>
          <w:sz w:val="17"/>
        </w:rPr>
      </w:pPr>
    </w:p>
    <w:p w14:paraId="00C07BB7" w14:textId="77777777" w:rsidR="00084F36" w:rsidRPr="00EB2BD8" w:rsidRDefault="00084F36">
      <w:pPr>
        <w:rPr>
          <w:sz w:val="17"/>
        </w:rPr>
        <w:sectPr w:rsidR="00084F36" w:rsidRPr="00EB2BD8" w:rsidSect="006D75B2">
          <w:footerReference w:type="default" r:id="rId219"/>
          <w:pgSz w:w="11910" w:h="16840"/>
          <w:pgMar w:top="1080" w:right="0" w:bottom="720" w:left="0" w:header="0" w:footer="528" w:gutter="0"/>
          <w:cols w:space="720"/>
        </w:sectPr>
      </w:pPr>
    </w:p>
    <w:p w14:paraId="7356C85C" w14:textId="77777777" w:rsidR="00084F36" w:rsidRPr="00EB2BD8" w:rsidRDefault="00EB2BD8" w:rsidP="00C315ED">
      <w:pPr>
        <w:pStyle w:val="Heading2"/>
      </w:pPr>
      <w:bookmarkStart w:id="236" w:name="_Toc150762538"/>
      <w:r w:rsidRPr="00EB2BD8">
        <w:t xml:space="preserve">Greenhouse gas </w:t>
      </w:r>
      <w:r w:rsidRPr="00EB2BD8">
        <w:rPr>
          <w:spacing w:val="-2"/>
        </w:rPr>
        <w:t>emissions</w:t>
      </w:r>
      <w:bookmarkEnd w:id="236"/>
    </w:p>
    <w:p w14:paraId="63516A0E" w14:textId="77777777" w:rsidR="00084F36" w:rsidRPr="00EB2BD8" w:rsidRDefault="00EB2BD8">
      <w:pPr>
        <w:spacing w:before="177" w:line="256" w:lineRule="auto"/>
        <w:ind w:left="850"/>
        <w:rPr>
          <w:sz w:val="19"/>
        </w:rPr>
      </w:pPr>
      <w:r w:rsidRPr="00EB2BD8">
        <w:rPr>
          <w:sz w:val="19"/>
        </w:rPr>
        <w:t>Greenhouse gas emissions are increased compared to 2021-22. This can be attributed to the return-to- office, resumption of office-based, field-based and conference and events activities.</w:t>
      </w:r>
    </w:p>
    <w:p w14:paraId="455E9166" w14:textId="77777777" w:rsidR="00084F36" w:rsidRPr="00EB2BD8" w:rsidRDefault="00084F36">
      <w:pPr>
        <w:pStyle w:val="BodyText"/>
        <w:spacing w:before="8"/>
        <w:rPr>
          <w:sz w:val="29"/>
        </w:rPr>
      </w:pPr>
    </w:p>
    <w:p w14:paraId="57FCC8A0" w14:textId="77777777" w:rsidR="00084F36" w:rsidRPr="00EB2BD8" w:rsidRDefault="00EB2BD8" w:rsidP="00C315ED">
      <w:pPr>
        <w:pStyle w:val="Heading3"/>
      </w:pPr>
      <w:bookmarkStart w:id="237" w:name="_Toc150762539"/>
      <w:r w:rsidRPr="00EB2BD8">
        <w:t>Table</w:t>
      </w:r>
      <w:r w:rsidRPr="00EB2BD8">
        <w:rPr>
          <w:spacing w:val="-14"/>
        </w:rPr>
        <w:t xml:space="preserve"> </w:t>
      </w:r>
      <w:r w:rsidRPr="00EB2BD8">
        <w:t>16:</w:t>
      </w:r>
      <w:r w:rsidRPr="00EB2BD8">
        <w:rPr>
          <w:spacing w:val="21"/>
        </w:rPr>
        <w:t xml:space="preserve"> </w:t>
      </w:r>
      <w:r w:rsidRPr="00EB2BD8">
        <w:t>Greenhouse</w:t>
      </w:r>
      <w:r w:rsidRPr="00EB2BD8">
        <w:rPr>
          <w:spacing w:val="-14"/>
        </w:rPr>
        <w:t xml:space="preserve"> </w:t>
      </w:r>
      <w:r w:rsidRPr="00EB2BD8">
        <w:t>gas</w:t>
      </w:r>
      <w:r w:rsidRPr="00EB2BD8">
        <w:rPr>
          <w:spacing w:val="-14"/>
        </w:rPr>
        <w:t xml:space="preserve"> </w:t>
      </w:r>
      <w:r w:rsidRPr="00EB2BD8">
        <w:t>emissions</w:t>
      </w:r>
      <w:bookmarkEnd w:id="237"/>
    </w:p>
    <w:p w14:paraId="17A98269" w14:textId="1A93D3B2" w:rsidR="00084F36" w:rsidRPr="00EB2BD8" w:rsidRDefault="00704578" w:rsidP="00704578">
      <w:pPr>
        <w:pStyle w:val="Heading2"/>
        <w:ind w:left="567"/>
      </w:pPr>
      <w:bookmarkStart w:id="238" w:name="_Toc150762540"/>
      <w:r w:rsidRPr="00EB2BD8">
        <w:rPr>
          <w:noProof/>
        </w:rPr>
        <mc:AlternateContent>
          <mc:Choice Requires="wps">
            <w:drawing>
              <wp:inline distT="0" distB="0" distL="0" distR="0" wp14:anchorId="342D0D23" wp14:editId="3F5DB767">
                <wp:extent cx="3244215" cy="3815715"/>
                <wp:effectExtent l="0" t="0" r="0" b="0"/>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215" cy="381571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26"/>
                              <w:gridCol w:w="2536"/>
                              <w:gridCol w:w="964"/>
                              <w:gridCol w:w="964"/>
                            </w:tblGrid>
                            <w:tr w:rsidR="00704578" w14:paraId="3CF4D51A" w14:textId="77777777">
                              <w:trPr>
                                <w:trHeight w:val="386"/>
                              </w:trPr>
                              <w:tc>
                                <w:tcPr>
                                  <w:tcW w:w="3062" w:type="dxa"/>
                                  <w:gridSpan w:val="2"/>
                                  <w:shd w:val="clear" w:color="auto" w:fill="005F83"/>
                                </w:tcPr>
                                <w:p w14:paraId="4B9E99E2" w14:textId="77777777" w:rsidR="00704578" w:rsidRDefault="00704578">
                                  <w:pPr>
                                    <w:pStyle w:val="TableParagraph"/>
                                    <w:spacing w:before="118"/>
                                    <w:ind w:left="680"/>
                                    <w:rPr>
                                      <w:sz w:val="16"/>
                                    </w:rPr>
                                  </w:pPr>
                                  <w:r>
                                    <w:rPr>
                                      <w:color w:val="FFFFFF"/>
                                      <w:spacing w:val="-2"/>
                                      <w:w w:val="105"/>
                                      <w:sz w:val="16"/>
                                    </w:rPr>
                                    <w:t>Indicator</w:t>
                                  </w:r>
                                </w:p>
                              </w:tc>
                              <w:tc>
                                <w:tcPr>
                                  <w:tcW w:w="964" w:type="dxa"/>
                                  <w:shd w:val="clear" w:color="auto" w:fill="005F83"/>
                                </w:tcPr>
                                <w:p w14:paraId="1E825689" w14:textId="77777777" w:rsidR="00704578" w:rsidRDefault="00704578">
                                  <w:pPr>
                                    <w:pStyle w:val="TableParagraph"/>
                                    <w:spacing w:before="118"/>
                                    <w:ind w:right="112"/>
                                    <w:jc w:val="right"/>
                                    <w:rPr>
                                      <w:sz w:val="16"/>
                                    </w:rPr>
                                  </w:pPr>
                                  <w:r>
                                    <w:rPr>
                                      <w:color w:val="FFFFFF"/>
                                      <w:w w:val="90"/>
                                      <w:sz w:val="16"/>
                                    </w:rPr>
                                    <w:t>2022-</w:t>
                                  </w:r>
                                  <w:r>
                                    <w:rPr>
                                      <w:color w:val="FFFFFF"/>
                                      <w:spacing w:val="-5"/>
                                      <w:sz w:val="16"/>
                                    </w:rPr>
                                    <w:t>23</w:t>
                                  </w:r>
                                </w:p>
                              </w:tc>
                              <w:tc>
                                <w:tcPr>
                                  <w:tcW w:w="964" w:type="dxa"/>
                                  <w:shd w:val="clear" w:color="auto" w:fill="005F83"/>
                                </w:tcPr>
                                <w:p w14:paraId="093E7AAC" w14:textId="77777777" w:rsidR="00704578" w:rsidRDefault="00704578">
                                  <w:pPr>
                                    <w:pStyle w:val="TableParagraph"/>
                                    <w:spacing w:before="118"/>
                                    <w:ind w:right="112"/>
                                    <w:jc w:val="right"/>
                                    <w:rPr>
                                      <w:sz w:val="16"/>
                                    </w:rPr>
                                  </w:pPr>
                                  <w:r>
                                    <w:rPr>
                                      <w:color w:val="EBEBEA"/>
                                      <w:w w:val="85"/>
                                      <w:sz w:val="16"/>
                                    </w:rPr>
                                    <w:t>2021-</w:t>
                                  </w:r>
                                  <w:r>
                                    <w:rPr>
                                      <w:color w:val="EBEBEA"/>
                                      <w:spacing w:val="-5"/>
                                      <w:w w:val="95"/>
                                      <w:sz w:val="16"/>
                                    </w:rPr>
                                    <w:t>22</w:t>
                                  </w:r>
                                </w:p>
                              </w:tc>
                            </w:tr>
                            <w:tr w:rsidR="00704578" w14:paraId="08B419C5" w14:textId="77777777">
                              <w:trPr>
                                <w:trHeight w:val="1424"/>
                              </w:trPr>
                              <w:tc>
                                <w:tcPr>
                                  <w:tcW w:w="526" w:type="dxa"/>
                                  <w:tcBorders>
                                    <w:bottom w:val="single" w:sz="2" w:space="0" w:color="000000"/>
                                  </w:tcBorders>
                                </w:tcPr>
                                <w:p w14:paraId="17A01E44" w14:textId="77777777" w:rsidR="00704578" w:rsidRDefault="00704578">
                                  <w:pPr>
                                    <w:pStyle w:val="TableParagraph"/>
                                    <w:spacing w:before="118"/>
                                    <w:ind w:left="113"/>
                                    <w:rPr>
                                      <w:sz w:val="16"/>
                                    </w:rPr>
                                  </w:pPr>
                                  <w:r>
                                    <w:rPr>
                                      <w:spacing w:val="-5"/>
                                      <w:w w:val="85"/>
                                      <w:sz w:val="16"/>
                                    </w:rPr>
                                    <w:t>G1.</w:t>
                                  </w:r>
                                </w:p>
                              </w:tc>
                              <w:tc>
                                <w:tcPr>
                                  <w:tcW w:w="2536" w:type="dxa"/>
                                  <w:tcBorders>
                                    <w:bottom w:val="single" w:sz="2" w:space="0" w:color="000000"/>
                                  </w:tcBorders>
                                </w:tcPr>
                                <w:p w14:paraId="74B5C5AE" w14:textId="77777777" w:rsidR="00704578" w:rsidRDefault="00704578">
                                  <w:pPr>
                                    <w:pStyle w:val="TableParagraph"/>
                                    <w:spacing w:before="118" w:line="292" w:lineRule="auto"/>
                                    <w:ind w:left="154"/>
                                    <w:rPr>
                                      <w:sz w:val="16"/>
                                    </w:rPr>
                                  </w:pPr>
                                  <w:r>
                                    <w:rPr>
                                      <w:w w:val="105"/>
                                      <w:sz w:val="16"/>
                                    </w:rPr>
                                    <w:t>Total greenhouse</w:t>
                                  </w:r>
                                  <w:r>
                                    <w:rPr>
                                      <w:spacing w:val="-1"/>
                                      <w:w w:val="105"/>
                                      <w:sz w:val="16"/>
                                    </w:rPr>
                                    <w:t xml:space="preserve"> </w:t>
                                  </w:r>
                                  <w:r>
                                    <w:rPr>
                                      <w:w w:val="105"/>
                                      <w:sz w:val="16"/>
                                    </w:rPr>
                                    <w:t xml:space="preserve">gas </w:t>
                                  </w:r>
                                  <w:r>
                                    <w:rPr>
                                      <w:sz w:val="16"/>
                                    </w:rPr>
                                    <w:t>emissions</w:t>
                                  </w:r>
                                  <w:r>
                                    <w:rPr>
                                      <w:spacing w:val="-9"/>
                                      <w:sz w:val="16"/>
                                    </w:rPr>
                                    <w:t xml:space="preserve"> </w:t>
                                  </w:r>
                                  <w:r>
                                    <w:rPr>
                                      <w:sz w:val="16"/>
                                    </w:rPr>
                                    <w:t>associated</w:t>
                                  </w:r>
                                  <w:r>
                                    <w:rPr>
                                      <w:spacing w:val="-9"/>
                                      <w:sz w:val="16"/>
                                    </w:rPr>
                                    <w:t xml:space="preserve"> </w:t>
                                  </w:r>
                                  <w:r>
                                    <w:rPr>
                                      <w:sz w:val="16"/>
                                    </w:rPr>
                                    <w:t>with energy</w:t>
                                  </w:r>
                                  <w:r>
                                    <w:rPr>
                                      <w:spacing w:val="-12"/>
                                      <w:sz w:val="16"/>
                                    </w:rPr>
                                    <w:t xml:space="preserve"> </w:t>
                                  </w:r>
                                  <w:r>
                                    <w:rPr>
                                      <w:sz w:val="16"/>
                                    </w:rPr>
                                    <w:t>use</w:t>
                                  </w:r>
                                  <w:r>
                                    <w:rPr>
                                      <w:spacing w:val="-12"/>
                                      <w:sz w:val="16"/>
                                    </w:rPr>
                                    <w:t xml:space="preserve"> </w:t>
                                  </w:r>
                                  <w:r>
                                    <w:rPr>
                                      <w:sz w:val="16"/>
                                    </w:rPr>
                                    <w:t>(tonnes</w:t>
                                  </w:r>
                                  <w:r>
                                    <w:rPr>
                                      <w:spacing w:val="-12"/>
                                      <w:sz w:val="16"/>
                                    </w:rPr>
                                    <w:t xml:space="preserve"> </w:t>
                                  </w:r>
                                  <w:r>
                                    <w:rPr>
                                      <w:sz w:val="16"/>
                                    </w:rPr>
                                    <w:t>CO2-</w:t>
                                  </w:r>
                                  <w:r>
                                    <w:rPr>
                                      <w:spacing w:val="-5"/>
                                      <w:sz w:val="16"/>
                                    </w:rPr>
                                    <w:t>e)</w:t>
                                  </w:r>
                                </w:p>
                                <w:p w14:paraId="7C6DA024" w14:textId="77777777" w:rsidR="00704578" w:rsidRDefault="00704578">
                                  <w:pPr>
                                    <w:pStyle w:val="TableParagraph"/>
                                    <w:spacing w:before="121" w:line="292" w:lineRule="auto"/>
                                    <w:ind w:left="154" w:right="325"/>
                                    <w:rPr>
                                      <w:sz w:val="16"/>
                                    </w:rPr>
                                  </w:pPr>
                                  <w:r>
                                    <w:rPr>
                                      <w:sz w:val="16"/>
                                    </w:rPr>
                                    <w:t>[Note:</w:t>
                                  </w:r>
                                  <w:r>
                                    <w:rPr>
                                      <w:spacing w:val="-14"/>
                                      <w:sz w:val="16"/>
                                    </w:rPr>
                                    <w:t xml:space="preserve"> </w:t>
                                  </w:r>
                                  <w:r>
                                    <w:rPr>
                                      <w:sz w:val="16"/>
                                    </w:rPr>
                                    <w:t>This</w:t>
                                  </w:r>
                                  <w:r>
                                    <w:rPr>
                                      <w:spacing w:val="-14"/>
                                      <w:sz w:val="16"/>
                                    </w:rPr>
                                    <w:t xml:space="preserve"> </w:t>
                                  </w:r>
                                  <w:r>
                                    <w:rPr>
                                      <w:sz w:val="16"/>
                                    </w:rPr>
                                    <w:t>includes</w:t>
                                  </w:r>
                                  <w:r>
                                    <w:rPr>
                                      <w:spacing w:val="-14"/>
                                      <w:sz w:val="16"/>
                                    </w:rPr>
                                    <w:t xml:space="preserve"> </w:t>
                                  </w:r>
                                  <w:r>
                                    <w:rPr>
                                      <w:sz w:val="16"/>
                                    </w:rPr>
                                    <w:t>office- based data only]</w:t>
                                  </w:r>
                                </w:p>
                              </w:tc>
                              <w:tc>
                                <w:tcPr>
                                  <w:tcW w:w="964" w:type="dxa"/>
                                  <w:tcBorders>
                                    <w:bottom w:val="single" w:sz="2" w:space="0" w:color="000000"/>
                                  </w:tcBorders>
                                  <w:shd w:val="clear" w:color="auto" w:fill="E5FBFF"/>
                                </w:tcPr>
                                <w:p w14:paraId="14A56FB4" w14:textId="77777777" w:rsidR="00704578" w:rsidRDefault="00704578">
                                  <w:pPr>
                                    <w:pStyle w:val="TableParagraph"/>
                                    <w:spacing w:before="118"/>
                                    <w:ind w:right="113"/>
                                    <w:jc w:val="right"/>
                                    <w:rPr>
                                      <w:sz w:val="16"/>
                                    </w:rPr>
                                  </w:pPr>
                                  <w:r>
                                    <w:rPr>
                                      <w:spacing w:val="-5"/>
                                      <w:sz w:val="16"/>
                                    </w:rPr>
                                    <w:t>406</w:t>
                                  </w:r>
                                </w:p>
                              </w:tc>
                              <w:tc>
                                <w:tcPr>
                                  <w:tcW w:w="964" w:type="dxa"/>
                                  <w:tcBorders>
                                    <w:bottom w:val="single" w:sz="2" w:space="0" w:color="000000"/>
                                  </w:tcBorders>
                                </w:tcPr>
                                <w:p w14:paraId="29BB1227" w14:textId="77777777" w:rsidR="00704578" w:rsidRDefault="00704578">
                                  <w:pPr>
                                    <w:pStyle w:val="TableParagraph"/>
                                    <w:spacing w:before="118"/>
                                    <w:ind w:right="113"/>
                                    <w:jc w:val="right"/>
                                    <w:rPr>
                                      <w:sz w:val="16"/>
                                    </w:rPr>
                                  </w:pPr>
                                  <w:r>
                                    <w:rPr>
                                      <w:spacing w:val="-5"/>
                                      <w:sz w:val="16"/>
                                    </w:rPr>
                                    <w:t>373</w:t>
                                  </w:r>
                                </w:p>
                              </w:tc>
                            </w:tr>
                            <w:tr w:rsidR="00704578" w14:paraId="573F71EE" w14:textId="77777777">
                              <w:trPr>
                                <w:trHeight w:val="841"/>
                              </w:trPr>
                              <w:tc>
                                <w:tcPr>
                                  <w:tcW w:w="526" w:type="dxa"/>
                                  <w:tcBorders>
                                    <w:top w:val="single" w:sz="2" w:space="0" w:color="000000"/>
                                    <w:bottom w:val="single" w:sz="2" w:space="0" w:color="000000"/>
                                  </w:tcBorders>
                                </w:tcPr>
                                <w:p w14:paraId="004D4581" w14:textId="77777777" w:rsidR="00704578" w:rsidRDefault="00704578">
                                  <w:pPr>
                                    <w:pStyle w:val="TableParagraph"/>
                                    <w:spacing w:before="116"/>
                                    <w:ind w:left="113"/>
                                    <w:rPr>
                                      <w:sz w:val="16"/>
                                    </w:rPr>
                                  </w:pPr>
                                  <w:r>
                                    <w:rPr>
                                      <w:spacing w:val="-5"/>
                                      <w:w w:val="95"/>
                                      <w:sz w:val="16"/>
                                    </w:rPr>
                                    <w:t>G2.</w:t>
                                  </w:r>
                                </w:p>
                              </w:tc>
                              <w:tc>
                                <w:tcPr>
                                  <w:tcW w:w="2536" w:type="dxa"/>
                                  <w:tcBorders>
                                    <w:top w:val="single" w:sz="2" w:space="0" w:color="000000"/>
                                    <w:bottom w:val="single" w:sz="2" w:space="0" w:color="000000"/>
                                  </w:tcBorders>
                                </w:tcPr>
                                <w:p w14:paraId="2F701C6A" w14:textId="77777777" w:rsidR="00704578" w:rsidRDefault="00704578">
                                  <w:pPr>
                                    <w:pStyle w:val="TableParagraph"/>
                                    <w:spacing w:before="116" w:line="292" w:lineRule="auto"/>
                                    <w:ind w:left="154"/>
                                    <w:rPr>
                                      <w:sz w:val="16"/>
                                    </w:rPr>
                                  </w:pPr>
                                  <w:r>
                                    <w:rPr>
                                      <w:w w:val="105"/>
                                      <w:sz w:val="16"/>
                                    </w:rPr>
                                    <w:t>Total greenhouse</w:t>
                                  </w:r>
                                  <w:r>
                                    <w:rPr>
                                      <w:spacing w:val="-1"/>
                                      <w:w w:val="105"/>
                                      <w:sz w:val="16"/>
                                    </w:rPr>
                                    <w:t xml:space="preserve"> </w:t>
                                  </w:r>
                                  <w:r>
                                    <w:rPr>
                                      <w:w w:val="105"/>
                                      <w:sz w:val="16"/>
                                    </w:rPr>
                                    <w:t>gas emissions</w:t>
                                  </w:r>
                                  <w:r>
                                    <w:rPr>
                                      <w:spacing w:val="-17"/>
                                      <w:w w:val="105"/>
                                      <w:sz w:val="16"/>
                                    </w:rPr>
                                    <w:t xml:space="preserve"> </w:t>
                                  </w:r>
                                  <w:r>
                                    <w:rPr>
                                      <w:w w:val="105"/>
                                      <w:sz w:val="16"/>
                                    </w:rPr>
                                    <w:t>associated</w:t>
                                  </w:r>
                                  <w:r>
                                    <w:rPr>
                                      <w:spacing w:val="-17"/>
                                      <w:w w:val="105"/>
                                      <w:sz w:val="16"/>
                                    </w:rPr>
                                    <w:t xml:space="preserve"> </w:t>
                                  </w:r>
                                  <w:r>
                                    <w:rPr>
                                      <w:w w:val="105"/>
                                      <w:sz w:val="16"/>
                                    </w:rPr>
                                    <w:t xml:space="preserve">with </w:t>
                                  </w:r>
                                  <w:r>
                                    <w:rPr>
                                      <w:sz w:val="16"/>
                                    </w:rPr>
                                    <w:t>vehicle</w:t>
                                  </w:r>
                                  <w:r>
                                    <w:rPr>
                                      <w:spacing w:val="-14"/>
                                      <w:sz w:val="16"/>
                                    </w:rPr>
                                    <w:t xml:space="preserve"> </w:t>
                                  </w:r>
                                  <w:r>
                                    <w:rPr>
                                      <w:sz w:val="16"/>
                                    </w:rPr>
                                    <w:t>fleet</w:t>
                                  </w:r>
                                  <w:r>
                                    <w:rPr>
                                      <w:spacing w:val="-14"/>
                                      <w:sz w:val="16"/>
                                    </w:rPr>
                                    <w:t xml:space="preserve"> </w:t>
                                  </w:r>
                                  <w:r>
                                    <w:rPr>
                                      <w:sz w:val="16"/>
                                    </w:rPr>
                                    <w:t>(tonnes</w:t>
                                  </w:r>
                                  <w:r>
                                    <w:rPr>
                                      <w:spacing w:val="-14"/>
                                      <w:sz w:val="16"/>
                                    </w:rPr>
                                    <w:t xml:space="preserve"> </w:t>
                                  </w:r>
                                  <w:r>
                                    <w:rPr>
                                      <w:sz w:val="16"/>
                                    </w:rPr>
                                    <w:t>CO2-e)</w:t>
                                  </w:r>
                                </w:p>
                              </w:tc>
                              <w:tc>
                                <w:tcPr>
                                  <w:tcW w:w="964" w:type="dxa"/>
                                  <w:tcBorders>
                                    <w:top w:val="single" w:sz="2" w:space="0" w:color="000000"/>
                                    <w:bottom w:val="single" w:sz="2" w:space="0" w:color="000000"/>
                                  </w:tcBorders>
                                  <w:shd w:val="clear" w:color="auto" w:fill="E5FBFF"/>
                                </w:tcPr>
                                <w:p w14:paraId="7AFECAF9" w14:textId="77777777" w:rsidR="00704578" w:rsidRDefault="00704578">
                                  <w:pPr>
                                    <w:pStyle w:val="TableParagraph"/>
                                    <w:spacing w:before="115"/>
                                    <w:ind w:right="113"/>
                                    <w:jc w:val="right"/>
                                    <w:rPr>
                                      <w:sz w:val="16"/>
                                    </w:rPr>
                                  </w:pPr>
                                  <w:r>
                                    <w:rPr>
                                      <w:spacing w:val="-5"/>
                                      <w:sz w:val="16"/>
                                    </w:rPr>
                                    <w:t>355</w:t>
                                  </w:r>
                                </w:p>
                              </w:tc>
                              <w:tc>
                                <w:tcPr>
                                  <w:tcW w:w="964" w:type="dxa"/>
                                  <w:tcBorders>
                                    <w:top w:val="single" w:sz="2" w:space="0" w:color="000000"/>
                                    <w:bottom w:val="single" w:sz="2" w:space="0" w:color="000000"/>
                                  </w:tcBorders>
                                </w:tcPr>
                                <w:p w14:paraId="1BBDB117" w14:textId="77777777" w:rsidR="00704578" w:rsidRDefault="00704578">
                                  <w:pPr>
                                    <w:pStyle w:val="TableParagraph"/>
                                    <w:spacing w:before="115"/>
                                    <w:ind w:right="113"/>
                                    <w:jc w:val="right"/>
                                    <w:rPr>
                                      <w:sz w:val="16"/>
                                    </w:rPr>
                                  </w:pPr>
                                  <w:r>
                                    <w:rPr>
                                      <w:spacing w:val="-5"/>
                                      <w:sz w:val="16"/>
                                    </w:rPr>
                                    <w:t>329</w:t>
                                  </w:r>
                                </w:p>
                              </w:tc>
                            </w:tr>
                            <w:tr w:rsidR="00704578" w14:paraId="78688D51" w14:textId="77777777">
                              <w:trPr>
                                <w:trHeight w:val="841"/>
                              </w:trPr>
                              <w:tc>
                                <w:tcPr>
                                  <w:tcW w:w="526" w:type="dxa"/>
                                  <w:tcBorders>
                                    <w:top w:val="single" w:sz="2" w:space="0" w:color="000000"/>
                                    <w:bottom w:val="single" w:sz="2" w:space="0" w:color="000000"/>
                                  </w:tcBorders>
                                </w:tcPr>
                                <w:p w14:paraId="3802A89A" w14:textId="77777777" w:rsidR="00704578" w:rsidRDefault="00704578">
                                  <w:pPr>
                                    <w:pStyle w:val="TableParagraph"/>
                                    <w:spacing w:before="115"/>
                                    <w:ind w:left="113"/>
                                    <w:rPr>
                                      <w:sz w:val="16"/>
                                    </w:rPr>
                                  </w:pPr>
                                  <w:r>
                                    <w:rPr>
                                      <w:spacing w:val="-5"/>
                                      <w:sz w:val="16"/>
                                    </w:rPr>
                                    <w:t>G3.</w:t>
                                  </w:r>
                                </w:p>
                              </w:tc>
                              <w:tc>
                                <w:tcPr>
                                  <w:tcW w:w="2536" w:type="dxa"/>
                                  <w:tcBorders>
                                    <w:top w:val="single" w:sz="2" w:space="0" w:color="000000"/>
                                    <w:bottom w:val="single" w:sz="2" w:space="0" w:color="000000"/>
                                  </w:tcBorders>
                                </w:tcPr>
                                <w:p w14:paraId="590B006C" w14:textId="77777777" w:rsidR="00704578" w:rsidRDefault="00704578">
                                  <w:pPr>
                                    <w:pStyle w:val="TableParagraph"/>
                                    <w:spacing w:before="115" w:line="292" w:lineRule="auto"/>
                                    <w:ind w:left="154"/>
                                    <w:rPr>
                                      <w:sz w:val="16"/>
                                    </w:rPr>
                                  </w:pPr>
                                  <w:r>
                                    <w:rPr>
                                      <w:w w:val="105"/>
                                      <w:sz w:val="16"/>
                                    </w:rPr>
                                    <w:t>Total greenhouse</w:t>
                                  </w:r>
                                  <w:r>
                                    <w:rPr>
                                      <w:spacing w:val="-1"/>
                                      <w:w w:val="105"/>
                                      <w:sz w:val="16"/>
                                    </w:rPr>
                                    <w:t xml:space="preserve"> </w:t>
                                  </w:r>
                                  <w:r>
                                    <w:rPr>
                                      <w:w w:val="105"/>
                                      <w:sz w:val="16"/>
                                    </w:rPr>
                                    <w:t xml:space="preserve">gas </w:t>
                                  </w:r>
                                  <w:r>
                                    <w:rPr>
                                      <w:sz w:val="16"/>
                                    </w:rPr>
                                    <w:t>emissions</w:t>
                                  </w:r>
                                  <w:r>
                                    <w:rPr>
                                      <w:spacing w:val="-14"/>
                                      <w:sz w:val="16"/>
                                    </w:rPr>
                                    <w:t xml:space="preserve"> </w:t>
                                  </w:r>
                                  <w:r>
                                    <w:rPr>
                                      <w:sz w:val="16"/>
                                    </w:rPr>
                                    <w:t>associated</w:t>
                                  </w:r>
                                  <w:r>
                                    <w:rPr>
                                      <w:spacing w:val="-14"/>
                                      <w:sz w:val="16"/>
                                    </w:rPr>
                                    <w:t xml:space="preserve"> </w:t>
                                  </w:r>
                                  <w:r>
                                    <w:rPr>
                                      <w:sz w:val="16"/>
                                    </w:rPr>
                                    <w:t>with</w:t>
                                  </w:r>
                                  <w:r>
                                    <w:rPr>
                                      <w:spacing w:val="-14"/>
                                      <w:sz w:val="16"/>
                                    </w:rPr>
                                    <w:t xml:space="preserve"> </w:t>
                                  </w:r>
                                  <w:r>
                                    <w:rPr>
                                      <w:sz w:val="16"/>
                                    </w:rPr>
                                    <w:t xml:space="preserve">air </w:t>
                                  </w:r>
                                  <w:r>
                                    <w:rPr>
                                      <w:w w:val="105"/>
                                      <w:sz w:val="16"/>
                                    </w:rPr>
                                    <w:t>travel (tonnes</w:t>
                                  </w:r>
                                  <w:r>
                                    <w:rPr>
                                      <w:spacing w:val="-1"/>
                                      <w:w w:val="105"/>
                                      <w:sz w:val="16"/>
                                    </w:rPr>
                                    <w:t xml:space="preserve"> </w:t>
                                  </w:r>
                                  <w:r>
                                    <w:rPr>
                                      <w:w w:val="105"/>
                                      <w:sz w:val="16"/>
                                    </w:rPr>
                                    <w:t>CO2-e)</w:t>
                                  </w:r>
                                </w:p>
                              </w:tc>
                              <w:tc>
                                <w:tcPr>
                                  <w:tcW w:w="964" w:type="dxa"/>
                                  <w:tcBorders>
                                    <w:top w:val="single" w:sz="2" w:space="0" w:color="000000"/>
                                    <w:bottom w:val="single" w:sz="2" w:space="0" w:color="000000"/>
                                  </w:tcBorders>
                                  <w:shd w:val="clear" w:color="auto" w:fill="E5FBFF"/>
                                </w:tcPr>
                                <w:p w14:paraId="161C1F54" w14:textId="77777777" w:rsidR="00704578" w:rsidRDefault="00704578">
                                  <w:pPr>
                                    <w:pStyle w:val="TableParagraph"/>
                                    <w:spacing w:before="115"/>
                                    <w:ind w:right="112"/>
                                    <w:jc w:val="right"/>
                                    <w:rPr>
                                      <w:sz w:val="16"/>
                                    </w:rPr>
                                  </w:pPr>
                                  <w:r>
                                    <w:rPr>
                                      <w:w w:val="96"/>
                                      <w:sz w:val="16"/>
                                    </w:rPr>
                                    <w:t>9</w:t>
                                  </w:r>
                                </w:p>
                              </w:tc>
                              <w:tc>
                                <w:tcPr>
                                  <w:tcW w:w="964" w:type="dxa"/>
                                  <w:tcBorders>
                                    <w:top w:val="single" w:sz="2" w:space="0" w:color="000000"/>
                                    <w:bottom w:val="single" w:sz="2" w:space="0" w:color="000000"/>
                                  </w:tcBorders>
                                </w:tcPr>
                                <w:p w14:paraId="4FEAA92A" w14:textId="77777777" w:rsidR="00704578" w:rsidRDefault="00704578">
                                  <w:pPr>
                                    <w:pStyle w:val="TableParagraph"/>
                                    <w:spacing w:before="115"/>
                                    <w:ind w:right="112"/>
                                    <w:jc w:val="right"/>
                                    <w:rPr>
                                      <w:sz w:val="16"/>
                                    </w:rPr>
                                  </w:pPr>
                                  <w:r>
                                    <w:rPr>
                                      <w:spacing w:val="-4"/>
                                      <w:sz w:val="16"/>
                                    </w:rPr>
                                    <w:t>3.66</w:t>
                                  </w:r>
                                </w:p>
                              </w:tc>
                            </w:tr>
                            <w:tr w:rsidR="00704578" w14:paraId="3C56F2B3" w14:textId="77777777">
                              <w:trPr>
                                <w:trHeight w:val="1651"/>
                              </w:trPr>
                              <w:tc>
                                <w:tcPr>
                                  <w:tcW w:w="526" w:type="dxa"/>
                                  <w:tcBorders>
                                    <w:top w:val="single" w:sz="2" w:space="0" w:color="000000"/>
                                    <w:bottom w:val="single" w:sz="2" w:space="0" w:color="000000"/>
                                  </w:tcBorders>
                                </w:tcPr>
                                <w:p w14:paraId="5E024D31" w14:textId="77777777" w:rsidR="00704578" w:rsidRDefault="00704578">
                                  <w:pPr>
                                    <w:pStyle w:val="TableParagraph"/>
                                    <w:spacing w:before="115"/>
                                    <w:ind w:left="113"/>
                                    <w:rPr>
                                      <w:sz w:val="16"/>
                                    </w:rPr>
                                  </w:pPr>
                                  <w:r>
                                    <w:rPr>
                                      <w:spacing w:val="-5"/>
                                      <w:sz w:val="16"/>
                                    </w:rPr>
                                    <w:t>G4.</w:t>
                                  </w:r>
                                </w:p>
                              </w:tc>
                              <w:tc>
                                <w:tcPr>
                                  <w:tcW w:w="2536" w:type="dxa"/>
                                  <w:tcBorders>
                                    <w:top w:val="single" w:sz="2" w:space="0" w:color="000000"/>
                                    <w:bottom w:val="single" w:sz="2" w:space="0" w:color="000000"/>
                                  </w:tcBorders>
                                </w:tcPr>
                                <w:p w14:paraId="195838E1" w14:textId="77777777" w:rsidR="00704578" w:rsidRDefault="00704578">
                                  <w:pPr>
                                    <w:pStyle w:val="TableParagraph"/>
                                    <w:spacing w:before="115" w:line="292" w:lineRule="auto"/>
                                    <w:ind w:left="154" w:right="364"/>
                                    <w:rPr>
                                      <w:sz w:val="16"/>
                                    </w:rPr>
                                  </w:pPr>
                                  <w:r>
                                    <w:rPr>
                                      <w:w w:val="105"/>
                                      <w:sz w:val="16"/>
                                    </w:rPr>
                                    <w:t>Total greenhouse</w:t>
                                  </w:r>
                                  <w:r>
                                    <w:rPr>
                                      <w:spacing w:val="-1"/>
                                      <w:w w:val="105"/>
                                      <w:sz w:val="16"/>
                                    </w:rPr>
                                    <w:t xml:space="preserve"> </w:t>
                                  </w:r>
                                  <w:r>
                                    <w:rPr>
                                      <w:w w:val="105"/>
                                      <w:sz w:val="16"/>
                                    </w:rPr>
                                    <w:t xml:space="preserve">gas </w:t>
                                  </w:r>
                                  <w:r>
                                    <w:rPr>
                                      <w:sz w:val="16"/>
                                    </w:rPr>
                                    <w:t>emissions</w:t>
                                  </w:r>
                                  <w:r>
                                    <w:rPr>
                                      <w:spacing w:val="-14"/>
                                      <w:sz w:val="16"/>
                                    </w:rPr>
                                    <w:t xml:space="preserve"> </w:t>
                                  </w:r>
                                  <w:r>
                                    <w:rPr>
                                      <w:sz w:val="16"/>
                                    </w:rPr>
                                    <w:t>associated</w:t>
                                  </w:r>
                                  <w:r>
                                    <w:rPr>
                                      <w:spacing w:val="-14"/>
                                      <w:sz w:val="16"/>
                                    </w:rPr>
                                    <w:t xml:space="preserve"> </w:t>
                                  </w:r>
                                  <w:r>
                                    <w:rPr>
                                      <w:sz w:val="16"/>
                                    </w:rPr>
                                    <w:t xml:space="preserve">with </w:t>
                                  </w:r>
                                  <w:r>
                                    <w:rPr>
                                      <w:w w:val="105"/>
                                      <w:sz w:val="16"/>
                                    </w:rPr>
                                    <w:t>waste disposal</w:t>
                                  </w:r>
                                  <w:r>
                                    <w:rPr>
                                      <w:spacing w:val="-1"/>
                                      <w:w w:val="105"/>
                                      <w:sz w:val="16"/>
                                    </w:rPr>
                                    <w:t xml:space="preserve"> </w:t>
                                  </w:r>
                                  <w:r>
                                    <w:rPr>
                                      <w:w w:val="105"/>
                                      <w:sz w:val="16"/>
                                    </w:rPr>
                                    <w:t xml:space="preserve">(tonnes </w:t>
                                  </w:r>
                                  <w:r>
                                    <w:rPr>
                                      <w:spacing w:val="-2"/>
                                      <w:w w:val="105"/>
                                      <w:sz w:val="16"/>
                                    </w:rPr>
                                    <w:t>CO2-e)</w:t>
                                  </w:r>
                                </w:p>
                                <w:p w14:paraId="688ACEAD" w14:textId="77777777" w:rsidR="00704578" w:rsidRDefault="00704578">
                                  <w:pPr>
                                    <w:pStyle w:val="TableParagraph"/>
                                    <w:spacing w:before="120" w:line="292" w:lineRule="auto"/>
                                    <w:ind w:left="154" w:right="325"/>
                                    <w:rPr>
                                      <w:sz w:val="16"/>
                                    </w:rPr>
                                  </w:pPr>
                                  <w:r>
                                    <w:rPr>
                                      <w:sz w:val="16"/>
                                    </w:rPr>
                                    <w:t>[Note:</w:t>
                                  </w:r>
                                  <w:r>
                                    <w:rPr>
                                      <w:spacing w:val="-14"/>
                                      <w:sz w:val="16"/>
                                    </w:rPr>
                                    <w:t xml:space="preserve"> </w:t>
                                  </w:r>
                                  <w:r>
                                    <w:rPr>
                                      <w:sz w:val="16"/>
                                    </w:rPr>
                                    <w:t>This</w:t>
                                  </w:r>
                                  <w:r>
                                    <w:rPr>
                                      <w:spacing w:val="-14"/>
                                      <w:sz w:val="16"/>
                                    </w:rPr>
                                    <w:t xml:space="preserve"> </w:t>
                                  </w:r>
                                  <w:r>
                                    <w:rPr>
                                      <w:sz w:val="16"/>
                                    </w:rPr>
                                    <w:t>includes</w:t>
                                  </w:r>
                                  <w:r>
                                    <w:rPr>
                                      <w:spacing w:val="-14"/>
                                      <w:sz w:val="16"/>
                                    </w:rPr>
                                    <w:t xml:space="preserve"> </w:t>
                                  </w:r>
                                  <w:r>
                                    <w:rPr>
                                      <w:sz w:val="16"/>
                                    </w:rPr>
                                    <w:t>office- based data only]</w:t>
                                  </w:r>
                                </w:p>
                              </w:tc>
                              <w:tc>
                                <w:tcPr>
                                  <w:tcW w:w="964" w:type="dxa"/>
                                  <w:tcBorders>
                                    <w:top w:val="single" w:sz="2" w:space="0" w:color="000000"/>
                                    <w:bottom w:val="single" w:sz="2" w:space="0" w:color="000000"/>
                                  </w:tcBorders>
                                  <w:shd w:val="clear" w:color="auto" w:fill="E5FBFF"/>
                                </w:tcPr>
                                <w:p w14:paraId="3027B2DE" w14:textId="77777777" w:rsidR="00704578" w:rsidRDefault="00704578">
                                  <w:pPr>
                                    <w:pStyle w:val="TableParagraph"/>
                                    <w:spacing w:before="115"/>
                                    <w:ind w:right="113"/>
                                    <w:jc w:val="right"/>
                                    <w:rPr>
                                      <w:sz w:val="16"/>
                                    </w:rPr>
                                  </w:pPr>
                                  <w:r>
                                    <w:rPr>
                                      <w:spacing w:val="-4"/>
                                      <w:sz w:val="16"/>
                                    </w:rPr>
                                    <w:t>3.84</w:t>
                                  </w:r>
                                </w:p>
                              </w:tc>
                              <w:tc>
                                <w:tcPr>
                                  <w:tcW w:w="964" w:type="dxa"/>
                                  <w:tcBorders>
                                    <w:top w:val="single" w:sz="2" w:space="0" w:color="000000"/>
                                    <w:bottom w:val="single" w:sz="2" w:space="0" w:color="000000"/>
                                  </w:tcBorders>
                                </w:tcPr>
                                <w:p w14:paraId="7E05B753" w14:textId="77777777" w:rsidR="00704578" w:rsidRDefault="00704578">
                                  <w:pPr>
                                    <w:pStyle w:val="TableParagraph"/>
                                    <w:spacing w:before="115"/>
                                    <w:ind w:right="112"/>
                                    <w:jc w:val="right"/>
                                    <w:rPr>
                                      <w:sz w:val="16"/>
                                    </w:rPr>
                                  </w:pPr>
                                  <w:r>
                                    <w:rPr>
                                      <w:spacing w:val="-4"/>
                                      <w:w w:val="90"/>
                                      <w:sz w:val="16"/>
                                    </w:rPr>
                                    <w:t>2.70</w:t>
                                  </w:r>
                                </w:p>
                              </w:tc>
                            </w:tr>
                            <w:tr w:rsidR="00704578" w14:paraId="5F4E0052" w14:textId="77777777">
                              <w:trPr>
                                <w:trHeight w:val="841"/>
                              </w:trPr>
                              <w:tc>
                                <w:tcPr>
                                  <w:tcW w:w="526" w:type="dxa"/>
                                  <w:tcBorders>
                                    <w:top w:val="single" w:sz="2" w:space="0" w:color="000000"/>
                                    <w:bottom w:val="single" w:sz="2" w:space="0" w:color="000000"/>
                                  </w:tcBorders>
                                </w:tcPr>
                                <w:p w14:paraId="6EA98721" w14:textId="77777777" w:rsidR="00704578" w:rsidRDefault="00704578">
                                  <w:pPr>
                                    <w:pStyle w:val="TableParagraph"/>
                                    <w:spacing w:before="115"/>
                                    <w:ind w:left="113"/>
                                    <w:rPr>
                                      <w:sz w:val="16"/>
                                    </w:rPr>
                                  </w:pPr>
                                  <w:r>
                                    <w:rPr>
                                      <w:spacing w:val="-5"/>
                                      <w:sz w:val="16"/>
                                    </w:rPr>
                                    <w:t>G5.</w:t>
                                  </w:r>
                                </w:p>
                              </w:tc>
                              <w:tc>
                                <w:tcPr>
                                  <w:tcW w:w="2536" w:type="dxa"/>
                                  <w:tcBorders>
                                    <w:top w:val="single" w:sz="2" w:space="0" w:color="000000"/>
                                    <w:bottom w:val="single" w:sz="2" w:space="0" w:color="000000"/>
                                  </w:tcBorders>
                                </w:tcPr>
                                <w:p w14:paraId="78B1EF7A" w14:textId="77777777" w:rsidR="00704578" w:rsidRDefault="00704578">
                                  <w:pPr>
                                    <w:pStyle w:val="TableParagraph"/>
                                    <w:spacing w:before="115" w:line="292" w:lineRule="auto"/>
                                    <w:ind w:left="154" w:right="262"/>
                                    <w:rPr>
                                      <w:sz w:val="16"/>
                                    </w:rPr>
                                  </w:pPr>
                                  <w:r>
                                    <w:rPr>
                                      <w:w w:val="105"/>
                                      <w:sz w:val="16"/>
                                    </w:rPr>
                                    <w:t>Total greenhouse</w:t>
                                  </w:r>
                                  <w:r>
                                    <w:rPr>
                                      <w:spacing w:val="-1"/>
                                      <w:w w:val="105"/>
                                      <w:sz w:val="16"/>
                                    </w:rPr>
                                    <w:t xml:space="preserve"> </w:t>
                                  </w:r>
                                  <w:r>
                                    <w:rPr>
                                      <w:w w:val="105"/>
                                      <w:sz w:val="16"/>
                                    </w:rPr>
                                    <w:t xml:space="preserve">gas </w:t>
                                  </w:r>
                                  <w:r>
                                    <w:rPr>
                                      <w:sz w:val="16"/>
                                    </w:rPr>
                                    <w:t>emissions</w:t>
                                  </w:r>
                                  <w:r>
                                    <w:rPr>
                                      <w:spacing w:val="-14"/>
                                      <w:sz w:val="16"/>
                                    </w:rPr>
                                    <w:t xml:space="preserve"> </w:t>
                                  </w:r>
                                  <w:r>
                                    <w:rPr>
                                      <w:sz w:val="16"/>
                                    </w:rPr>
                                    <w:t>offset</w:t>
                                  </w:r>
                                  <w:r>
                                    <w:rPr>
                                      <w:spacing w:val="-14"/>
                                      <w:sz w:val="16"/>
                                    </w:rPr>
                                    <w:t xml:space="preserve"> </w:t>
                                  </w:r>
                                  <w:r>
                                    <w:rPr>
                                      <w:sz w:val="16"/>
                                    </w:rPr>
                                    <w:t xml:space="preserve">purchased </w:t>
                                  </w:r>
                                  <w:r>
                                    <w:rPr>
                                      <w:w w:val="105"/>
                                      <w:sz w:val="16"/>
                                    </w:rPr>
                                    <w:t>(tonnes</w:t>
                                  </w:r>
                                  <w:r>
                                    <w:rPr>
                                      <w:spacing w:val="-17"/>
                                      <w:w w:val="105"/>
                                      <w:sz w:val="16"/>
                                    </w:rPr>
                                    <w:t xml:space="preserve"> </w:t>
                                  </w:r>
                                  <w:r>
                                    <w:rPr>
                                      <w:w w:val="105"/>
                                      <w:sz w:val="16"/>
                                    </w:rPr>
                                    <w:t>CO2-e)</w:t>
                                  </w:r>
                                </w:p>
                              </w:tc>
                              <w:tc>
                                <w:tcPr>
                                  <w:tcW w:w="964" w:type="dxa"/>
                                  <w:tcBorders>
                                    <w:top w:val="single" w:sz="2" w:space="0" w:color="000000"/>
                                    <w:bottom w:val="single" w:sz="2" w:space="0" w:color="000000"/>
                                  </w:tcBorders>
                                  <w:shd w:val="clear" w:color="auto" w:fill="E5FBFF"/>
                                </w:tcPr>
                                <w:p w14:paraId="5D3D0A23" w14:textId="77777777" w:rsidR="00704578" w:rsidRDefault="00704578">
                                  <w:pPr>
                                    <w:pStyle w:val="TableParagraph"/>
                                    <w:spacing w:before="115"/>
                                    <w:ind w:right="112"/>
                                    <w:jc w:val="right"/>
                                    <w:rPr>
                                      <w:sz w:val="16"/>
                                    </w:rPr>
                                  </w:pPr>
                                  <w:r>
                                    <w:rPr>
                                      <w:w w:val="105"/>
                                      <w:sz w:val="16"/>
                                    </w:rPr>
                                    <w:t>0</w:t>
                                  </w:r>
                                </w:p>
                              </w:tc>
                              <w:tc>
                                <w:tcPr>
                                  <w:tcW w:w="964" w:type="dxa"/>
                                  <w:tcBorders>
                                    <w:top w:val="single" w:sz="2" w:space="0" w:color="000000"/>
                                    <w:bottom w:val="single" w:sz="2" w:space="0" w:color="000000"/>
                                  </w:tcBorders>
                                </w:tcPr>
                                <w:p w14:paraId="09BAD36F" w14:textId="77777777" w:rsidR="00704578" w:rsidRDefault="00704578">
                                  <w:pPr>
                                    <w:pStyle w:val="TableParagraph"/>
                                    <w:spacing w:before="115"/>
                                    <w:ind w:right="112"/>
                                    <w:jc w:val="right"/>
                                    <w:rPr>
                                      <w:sz w:val="16"/>
                                    </w:rPr>
                                  </w:pPr>
                                  <w:r>
                                    <w:rPr>
                                      <w:w w:val="105"/>
                                      <w:sz w:val="16"/>
                                    </w:rPr>
                                    <w:t>0</w:t>
                                  </w:r>
                                </w:p>
                              </w:tc>
                            </w:tr>
                          </w:tbl>
                          <w:p w14:paraId="4E6F3011" w14:textId="77777777" w:rsidR="00704578" w:rsidRDefault="00704578" w:rsidP="00704578">
                            <w:pPr>
                              <w:pStyle w:val="BodyText"/>
                            </w:pPr>
                          </w:p>
                        </w:txbxContent>
                      </wps:txbx>
                      <wps:bodyPr wrap="square" lIns="0" tIns="0" rIns="0" bIns="0" rtlCol="0">
                        <a:noAutofit/>
                      </wps:bodyPr>
                    </wps:wsp>
                  </a:graphicData>
                </a:graphic>
              </wp:inline>
            </w:drawing>
          </mc:Choice>
          <mc:Fallback>
            <w:pict>
              <v:shape w14:anchorId="342D0D23" id="Textbox 722" o:spid="_x0000_s1044" type="#_x0000_t202" style="width:255.45pt;height:30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26"/>
                        <w:gridCol w:w="2536"/>
                        <w:gridCol w:w="964"/>
                        <w:gridCol w:w="964"/>
                      </w:tblGrid>
                      <w:tr w:rsidR="00704578" w14:paraId="3CF4D51A" w14:textId="77777777">
                        <w:trPr>
                          <w:trHeight w:val="386"/>
                        </w:trPr>
                        <w:tc>
                          <w:tcPr>
                            <w:tcW w:w="3062" w:type="dxa"/>
                            <w:gridSpan w:val="2"/>
                            <w:shd w:val="clear" w:color="auto" w:fill="005F83"/>
                          </w:tcPr>
                          <w:p w14:paraId="4B9E99E2" w14:textId="77777777" w:rsidR="00704578" w:rsidRDefault="00704578">
                            <w:pPr>
                              <w:pStyle w:val="TableParagraph"/>
                              <w:spacing w:before="118"/>
                              <w:ind w:left="680"/>
                              <w:rPr>
                                <w:sz w:val="16"/>
                              </w:rPr>
                            </w:pPr>
                            <w:r>
                              <w:rPr>
                                <w:color w:val="FFFFFF"/>
                                <w:spacing w:val="-2"/>
                                <w:w w:val="105"/>
                                <w:sz w:val="16"/>
                              </w:rPr>
                              <w:t>Indicator</w:t>
                            </w:r>
                          </w:p>
                        </w:tc>
                        <w:tc>
                          <w:tcPr>
                            <w:tcW w:w="964" w:type="dxa"/>
                            <w:shd w:val="clear" w:color="auto" w:fill="005F83"/>
                          </w:tcPr>
                          <w:p w14:paraId="1E825689" w14:textId="77777777" w:rsidR="00704578" w:rsidRDefault="00704578">
                            <w:pPr>
                              <w:pStyle w:val="TableParagraph"/>
                              <w:spacing w:before="118"/>
                              <w:ind w:right="112"/>
                              <w:jc w:val="right"/>
                              <w:rPr>
                                <w:sz w:val="16"/>
                              </w:rPr>
                            </w:pPr>
                            <w:r>
                              <w:rPr>
                                <w:color w:val="FFFFFF"/>
                                <w:w w:val="90"/>
                                <w:sz w:val="16"/>
                              </w:rPr>
                              <w:t>2022-</w:t>
                            </w:r>
                            <w:r>
                              <w:rPr>
                                <w:color w:val="FFFFFF"/>
                                <w:spacing w:val="-5"/>
                                <w:sz w:val="16"/>
                              </w:rPr>
                              <w:t>23</w:t>
                            </w:r>
                          </w:p>
                        </w:tc>
                        <w:tc>
                          <w:tcPr>
                            <w:tcW w:w="964" w:type="dxa"/>
                            <w:shd w:val="clear" w:color="auto" w:fill="005F83"/>
                          </w:tcPr>
                          <w:p w14:paraId="093E7AAC" w14:textId="77777777" w:rsidR="00704578" w:rsidRDefault="00704578">
                            <w:pPr>
                              <w:pStyle w:val="TableParagraph"/>
                              <w:spacing w:before="118"/>
                              <w:ind w:right="112"/>
                              <w:jc w:val="right"/>
                              <w:rPr>
                                <w:sz w:val="16"/>
                              </w:rPr>
                            </w:pPr>
                            <w:r>
                              <w:rPr>
                                <w:color w:val="EBEBEA"/>
                                <w:w w:val="85"/>
                                <w:sz w:val="16"/>
                              </w:rPr>
                              <w:t>2021-</w:t>
                            </w:r>
                            <w:r>
                              <w:rPr>
                                <w:color w:val="EBEBEA"/>
                                <w:spacing w:val="-5"/>
                                <w:w w:val="95"/>
                                <w:sz w:val="16"/>
                              </w:rPr>
                              <w:t>22</w:t>
                            </w:r>
                          </w:p>
                        </w:tc>
                      </w:tr>
                      <w:tr w:rsidR="00704578" w14:paraId="08B419C5" w14:textId="77777777">
                        <w:trPr>
                          <w:trHeight w:val="1424"/>
                        </w:trPr>
                        <w:tc>
                          <w:tcPr>
                            <w:tcW w:w="526" w:type="dxa"/>
                            <w:tcBorders>
                              <w:bottom w:val="single" w:sz="2" w:space="0" w:color="000000"/>
                            </w:tcBorders>
                          </w:tcPr>
                          <w:p w14:paraId="17A01E44" w14:textId="77777777" w:rsidR="00704578" w:rsidRDefault="00704578">
                            <w:pPr>
                              <w:pStyle w:val="TableParagraph"/>
                              <w:spacing w:before="118"/>
                              <w:ind w:left="113"/>
                              <w:rPr>
                                <w:sz w:val="16"/>
                              </w:rPr>
                            </w:pPr>
                            <w:r>
                              <w:rPr>
                                <w:spacing w:val="-5"/>
                                <w:w w:val="85"/>
                                <w:sz w:val="16"/>
                              </w:rPr>
                              <w:t>G1.</w:t>
                            </w:r>
                          </w:p>
                        </w:tc>
                        <w:tc>
                          <w:tcPr>
                            <w:tcW w:w="2536" w:type="dxa"/>
                            <w:tcBorders>
                              <w:bottom w:val="single" w:sz="2" w:space="0" w:color="000000"/>
                            </w:tcBorders>
                          </w:tcPr>
                          <w:p w14:paraId="74B5C5AE" w14:textId="77777777" w:rsidR="00704578" w:rsidRDefault="00704578">
                            <w:pPr>
                              <w:pStyle w:val="TableParagraph"/>
                              <w:spacing w:before="118" w:line="292" w:lineRule="auto"/>
                              <w:ind w:left="154"/>
                              <w:rPr>
                                <w:sz w:val="16"/>
                              </w:rPr>
                            </w:pPr>
                            <w:r>
                              <w:rPr>
                                <w:w w:val="105"/>
                                <w:sz w:val="16"/>
                              </w:rPr>
                              <w:t>Total greenhouse</w:t>
                            </w:r>
                            <w:r>
                              <w:rPr>
                                <w:spacing w:val="-1"/>
                                <w:w w:val="105"/>
                                <w:sz w:val="16"/>
                              </w:rPr>
                              <w:t xml:space="preserve"> </w:t>
                            </w:r>
                            <w:r>
                              <w:rPr>
                                <w:w w:val="105"/>
                                <w:sz w:val="16"/>
                              </w:rPr>
                              <w:t xml:space="preserve">gas </w:t>
                            </w:r>
                            <w:r>
                              <w:rPr>
                                <w:sz w:val="16"/>
                              </w:rPr>
                              <w:t>emissions</w:t>
                            </w:r>
                            <w:r>
                              <w:rPr>
                                <w:spacing w:val="-9"/>
                                <w:sz w:val="16"/>
                              </w:rPr>
                              <w:t xml:space="preserve"> </w:t>
                            </w:r>
                            <w:r>
                              <w:rPr>
                                <w:sz w:val="16"/>
                              </w:rPr>
                              <w:t>associated</w:t>
                            </w:r>
                            <w:r>
                              <w:rPr>
                                <w:spacing w:val="-9"/>
                                <w:sz w:val="16"/>
                              </w:rPr>
                              <w:t xml:space="preserve"> </w:t>
                            </w:r>
                            <w:r>
                              <w:rPr>
                                <w:sz w:val="16"/>
                              </w:rPr>
                              <w:t>with energy</w:t>
                            </w:r>
                            <w:r>
                              <w:rPr>
                                <w:spacing w:val="-12"/>
                                <w:sz w:val="16"/>
                              </w:rPr>
                              <w:t xml:space="preserve"> </w:t>
                            </w:r>
                            <w:r>
                              <w:rPr>
                                <w:sz w:val="16"/>
                              </w:rPr>
                              <w:t>use</w:t>
                            </w:r>
                            <w:r>
                              <w:rPr>
                                <w:spacing w:val="-12"/>
                                <w:sz w:val="16"/>
                              </w:rPr>
                              <w:t xml:space="preserve"> </w:t>
                            </w:r>
                            <w:r>
                              <w:rPr>
                                <w:sz w:val="16"/>
                              </w:rPr>
                              <w:t>(tonnes</w:t>
                            </w:r>
                            <w:r>
                              <w:rPr>
                                <w:spacing w:val="-12"/>
                                <w:sz w:val="16"/>
                              </w:rPr>
                              <w:t xml:space="preserve"> </w:t>
                            </w:r>
                            <w:r>
                              <w:rPr>
                                <w:sz w:val="16"/>
                              </w:rPr>
                              <w:t>CO2-</w:t>
                            </w:r>
                            <w:r>
                              <w:rPr>
                                <w:spacing w:val="-5"/>
                                <w:sz w:val="16"/>
                              </w:rPr>
                              <w:t>e)</w:t>
                            </w:r>
                          </w:p>
                          <w:p w14:paraId="7C6DA024" w14:textId="77777777" w:rsidR="00704578" w:rsidRDefault="00704578">
                            <w:pPr>
                              <w:pStyle w:val="TableParagraph"/>
                              <w:spacing w:before="121" w:line="292" w:lineRule="auto"/>
                              <w:ind w:left="154" w:right="325"/>
                              <w:rPr>
                                <w:sz w:val="16"/>
                              </w:rPr>
                            </w:pPr>
                            <w:r>
                              <w:rPr>
                                <w:sz w:val="16"/>
                              </w:rPr>
                              <w:t>[Note:</w:t>
                            </w:r>
                            <w:r>
                              <w:rPr>
                                <w:spacing w:val="-14"/>
                                <w:sz w:val="16"/>
                              </w:rPr>
                              <w:t xml:space="preserve"> </w:t>
                            </w:r>
                            <w:r>
                              <w:rPr>
                                <w:sz w:val="16"/>
                              </w:rPr>
                              <w:t>This</w:t>
                            </w:r>
                            <w:r>
                              <w:rPr>
                                <w:spacing w:val="-14"/>
                                <w:sz w:val="16"/>
                              </w:rPr>
                              <w:t xml:space="preserve"> </w:t>
                            </w:r>
                            <w:r>
                              <w:rPr>
                                <w:sz w:val="16"/>
                              </w:rPr>
                              <w:t>includes</w:t>
                            </w:r>
                            <w:r>
                              <w:rPr>
                                <w:spacing w:val="-14"/>
                                <w:sz w:val="16"/>
                              </w:rPr>
                              <w:t xml:space="preserve"> </w:t>
                            </w:r>
                            <w:r>
                              <w:rPr>
                                <w:sz w:val="16"/>
                              </w:rPr>
                              <w:t>office- based data only]</w:t>
                            </w:r>
                          </w:p>
                        </w:tc>
                        <w:tc>
                          <w:tcPr>
                            <w:tcW w:w="964" w:type="dxa"/>
                            <w:tcBorders>
                              <w:bottom w:val="single" w:sz="2" w:space="0" w:color="000000"/>
                            </w:tcBorders>
                            <w:shd w:val="clear" w:color="auto" w:fill="E5FBFF"/>
                          </w:tcPr>
                          <w:p w14:paraId="14A56FB4" w14:textId="77777777" w:rsidR="00704578" w:rsidRDefault="00704578">
                            <w:pPr>
                              <w:pStyle w:val="TableParagraph"/>
                              <w:spacing w:before="118"/>
                              <w:ind w:right="113"/>
                              <w:jc w:val="right"/>
                              <w:rPr>
                                <w:sz w:val="16"/>
                              </w:rPr>
                            </w:pPr>
                            <w:r>
                              <w:rPr>
                                <w:spacing w:val="-5"/>
                                <w:sz w:val="16"/>
                              </w:rPr>
                              <w:t>406</w:t>
                            </w:r>
                          </w:p>
                        </w:tc>
                        <w:tc>
                          <w:tcPr>
                            <w:tcW w:w="964" w:type="dxa"/>
                            <w:tcBorders>
                              <w:bottom w:val="single" w:sz="2" w:space="0" w:color="000000"/>
                            </w:tcBorders>
                          </w:tcPr>
                          <w:p w14:paraId="29BB1227" w14:textId="77777777" w:rsidR="00704578" w:rsidRDefault="00704578">
                            <w:pPr>
                              <w:pStyle w:val="TableParagraph"/>
                              <w:spacing w:before="118"/>
                              <w:ind w:right="113"/>
                              <w:jc w:val="right"/>
                              <w:rPr>
                                <w:sz w:val="16"/>
                              </w:rPr>
                            </w:pPr>
                            <w:r>
                              <w:rPr>
                                <w:spacing w:val="-5"/>
                                <w:sz w:val="16"/>
                              </w:rPr>
                              <w:t>373</w:t>
                            </w:r>
                          </w:p>
                        </w:tc>
                      </w:tr>
                      <w:tr w:rsidR="00704578" w14:paraId="573F71EE" w14:textId="77777777">
                        <w:trPr>
                          <w:trHeight w:val="841"/>
                        </w:trPr>
                        <w:tc>
                          <w:tcPr>
                            <w:tcW w:w="526" w:type="dxa"/>
                            <w:tcBorders>
                              <w:top w:val="single" w:sz="2" w:space="0" w:color="000000"/>
                              <w:bottom w:val="single" w:sz="2" w:space="0" w:color="000000"/>
                            </w:tcBorders>
                          </w:tcPr>
                          <w:p w14:paraId="004D4581" w14:textId="77777777" w:rsidR="00704578" w:rsidRDefault="00704578">
                            <w:pPr>
                              <w:pStyle w:val="TableParagraph"/>
                              <w:spacing w:before="116"/>
                              <w:ind w:left="113"/>
                              <w:rPr>
                                <w:sz w:val="16"/>
                              </w:rPr>
                            </w:pPr>
                            <w:r>
                              <w:rPr>
                                <w:spacing w:val="-5"/>
                                <w:w w:val="95"/>
                                <w:sz w:val="16"/>
                              </w:rPr>
                              <w:t>G2.</w:t>
                            </w:r>
                          </w:p>
                        </w:tc>
                        <w:tc>
                          <w:tcPr>
                            <w:tcW w:w="2536" w:type="dxa"/>
                            <w:tcBorders>
                              <w:top w:val="single" w:sz="2" w:space="0" w:color="000000"/>
                              <w:bottom w:val="single" w:sz="2" w:space="0" w:color="000000"/>
                            </w:tcBorders>
                          </w:tcPr>
                          <w:p w14:paraId="2F701C6A" w14:textId="77777777" w:rsidR="00704578" w:rsidRDefault="00704578">
                            <w:pPr>
                              <w:pStyle w:val="TableParagraph"/>
                              <w:spacing w:before="116" w:line="292" w:lineRule="auto"/>
                              <w:ind w:left="154"/>
                              <w:rPr>
                                <w:sz w:val="16"/>
                              </w:rPr>
                            </w:pPr>
                            <w:r>
                              <w:rPr>
                                <w:w w:val="105"/>
                                <w:sz w:val="16"/>
                              </w:rPr>
                              <w:t>Total greenhouse</w:t>
                            </w:r>
                            <w:r>
                              <w:rPr>
                                <w:spacing w:val="-1"/>
                                <w:w w:val="105"/>
                                <w:sz w:val="16"/>
                              </w:rPr>
                              <w:t xml:space="preserve"> </w:t>
                            </w:r>
                            <w:r>
                              <w:rPr>
                                <w:w w:val="105"/>
                                <w:sz w:val="16"/>
                              </w:rPr>
                              <w:t>gas emissions</w:t>
                            </w:r>
                            <w:r>
                              <w:rPr>
                                <w:spacing w:val="-17"/>
                                <w:w w:val="105"/>
                                <w:sz w:val="16"/>
                              </w:rPr>
                              <w:t xml:space="preserve"> </w:t>
                            </w:r>
                            <w:r>
                              <w:rPr>
                                <w:w w:val="105"/>
                                <w:sz w:val="16"/>
                              </w:rPr>
                              <w:t>associated</w:t>
                            </w:r>
                            <w:r>
                              <w:rPr>
                                <w:spacing w:val="-17"/>
                                <w:w w:val="105"/>
                                <w:sz w:val="16"/>
                              </w:rPr>
                              <w:t xml:space="preserve"> </w:t>
                            </w:r>
                            <w:r>
                              <w:rPr>
                                <w:w w:val="105"/>
                                <w:sz w:val="16"/>
                              </w:rPr>
                              <w:t xml:space="preserve">with </w:t>
                            </w:r>
                            <w:r>
                              <w:rPr>
                                <w:sz w:val="16"/>
                              </w:rPr>
                              <w:t>vehicle</w:t>
                            </w:r>
                            <w:r>
                              <w:rPr>
                                <w:spacing w:val="-14"/>
                                <w:sz w:val="16"/>
                              </w:rPr>
                              <w:t xml:space="preserve"> </w:t>
                            </w:r>
                            <w:r>
                              <w:rPr>
                                <w:sz w:val="16"/>
                              </w:rPr>
                              <w:t>fleet</w:t>
                            </w:r>
                            <w:r>
                              <w:rPr>
                                <w:spacing w:val="-14"/>
                                <w:sz w:val="16"/>
                              </w:rPr>
                              <w:t xml:space="preserve"> </w:t>
                            </w:r>
                            <w:r>
                              <w:rPr>
                                <w:sz w:val="16"/>
                              </w:rPr>
                              <w:t>(tonnes</w:t>
                            </w:r>
                            <w:r>
                              <w:rPr>
                                <w:spacing w:val="-14"/>
                                <w:sz w:val="16"/>
                              </w:rPr>
                              <w:t xml:space="preserve"> </w:t>
                            </w:r>
                            <w:r>
                              <w:rPr>
                                <w:sz w:val="16"/>
                              </w:rPr>
                              <w:t>CO2-e)</w:t>
                            </w:r>
                          </w:p>
                        </w:tc>
                        <w:tc>
                          <w:tcPr>
                            <w:tcW w:w="964" w:type="dxa"/>
                            <w:tcBorders>
                              <w:top w:val="single" w:sz="2" w:space="0" w:color="000000"/>
                              <w:bottom w:val="single" w:sz="2" w:space="0" w:color="000000"/>
                            </w:tcBorders>
                            <w:shd w:val="clear" w:color="auto" w:fill="E5FBFF"/>
                          </w:tcPr>
                          <w:p w14:paraId="7AFECAF9" w14:textId="77777777" w:rsidR="00704578" w:rsidRDefault="00704578">
                            <w:pPr>
                              <w:pStyle w:val="TableParagraph"/>
                              <w:spacing w:before="115"/>
                              <w:ind w:right="113"/>
                              <w:jc w:val="right"/>
                              <w:rPr>
                                <w:sz w:val="16"/>
                              </w:rPr>
                            </w:pPr>
                            <w:r>
                              <w:rPr>
                                <w:spacing w:val="-5"/>
                                <w:sz w:val="16"/>
                              </w:rPr>
                              <w:t>355</w:t>
                            </w:r>
                          </w:p>
                        </w:tc>
                        <w:tc>
                          <w:tcPr>
                            <w:tcW w:w="964" w:type="dxa"/>
                            <w:tcBorders>
                              <w:top w:val="single" w:sz="2" w:space="0" w:color="000000"/>
                              <w:bottom w:val="single" w:sz="2" w:space="0" w:color="000000"/>
                            </w:tcBorders>
                          </w:tcPr>
                          <w:p w14:paraId="1BBDB117" w14:textId="77777777" w:rsidR="00704578" w:rsidRDefault="00704578">
                            <w:pPr>
                              <w:pStyle w:val="TableParagraph"/>
                              <w:spacing w:before="115"/>
                              <w:ind w:right="113"/>
                              <w:jc w:val="right"/>
                              <w:rPr>
                                <w:sz w:val="16"/>
                              </w:rPr>
                            </w:pPr>
                            <w:r>
                              <w:rPr>
                                <w:spacing w:val="-5"/>
                                <w:sz w:val="16"/>
                              </w:rPr>
                              <w:t>329</w:t>
                            </w:r>
                          </w:p>
                        </w:tc>
                      </w:tr>
                      <w:tr w:rsidR="00704578" w14:paraId="78688D51" w14:textId="77777777">
                        <w:trPr>
                          <w:trHeight w:val="841"/>
                        </w:trPr>
                        <w:tc>
                          <w:tcPr>
                            <w:tcW w:w="526" w:type="dxa"/>
                            <w:tcBorders>
                              <w:top w:val="single" w:sz="2" w:space="0" w:color="000000"/>
                              <w:bottom w:val="single" w:sz="2" w:space="0" w:color="000000"/>
                            </w:tcBorders>
                          </w:tcPr>
                          <w:p w14:paraId="3802A89A" w14:textId="77777777" w:rsidR="00704578" w:rsidRDefault="00704578">
                            <w:pPr>
                              <w:pStyle w:val="TableParagraph"/>
                              <w:spacing w:before="115"/>
                              <w:ind w:left="113"/>
                              <w:rPr>
                                <w:sz w:val="16"/>
                              </w:rPr>
                            </w:pPr>
                            <w:r>
                              <w:rPr>
                                <w:spacing w:val="-5"/>
                                <w:sz w:val="16"/>
                              </w:rPr>
                              <w:t>G3.</w:t>
                            </w:r>
                          </w:p>
                        </w:tc>
                        <w:tc>
                          <w:tcPr>
                            <w:tcW w:w="2536" w:type="dxa"/>
                            <w:tcBorders>
                              <w:top w:val="single" w:sz="2" w:space="0" w:color="000000"/>
                              <w:bottom w:val="single" w:sz="2" w:space="0" w:color="000000"/>
                            </w:tcBorders>
                          </w:tcPr>
                          <w:p w14:paraId="590B006C" w14:textId="77777777" w:rsidR="00704578" w:rsidRDefault="00704578">
                            <w:pPr>
                              <w:pStyle w:val="TableParagraph"/>
                              <w:spacing w:before="115" w:line="292" w:lineRule="auto"/>
                              <w:ind w:left="154"/>
                              <w:rPr>
                                <w:sz w:val="16"/>
                              </w:rPr>
                            </w:pPr>
                            <w:r>
                              <w:rPr>
                                <w:w w:val="105"/>
                                <w:sz w:val="16"/>
                              </w:rPr>
                              <w:t>Total greenhouse</w:t>
                            </w:r>
                            <w:r>
                              <w:rPr>
                                <w:spacing w:val="-1"/>
                                <w:w w:val="105"/>
                                <w:sz w:val="16"/>
                              </w:rPr>
                              <w:t xml:space="preserve"> </w:t>
                            </w:r>
                            <w:r>
                              <w:rPr>
                                <w:w w:val="105"/>
                                <w:sz w:val="16"/>
                              </w:rPr>
                              <w:t xml:space="preserve">gas </w:t>
                            </w:r>
                            <w:r>
                              <w:rPr>
                                <w:sz w:val="16"/>
                              </w:rPr>
                              <w:t>emissions</w:t>
                            </w:r>
                            <w:r>
                              <w:rPr>
                                <w:spacing w:val="-14"/>
                                <w:sz w:val="16"/>
                              </w:rPr>
                              <w:t xml:space="preserve"> </w:t>
                            </w:r>
                            <w:r>
                              <w:rPr>
                                <w:sz w:val="16"/>
                              </w:rPr>
                              <w:t>associated</w:t>
                            </w:r>
                            <w:r>
                              <w:rPr>
                                <w:spacing w:val="-14"/>
                                <w:sz w:val="16"/>
                              </w:rPr>
                              <w:t xml:space="preserve"> </w:t>
                            </w:r>
                            <w:r>
                              <w:rPr>
                                <w:sz w:val="16"/>
                              </w:rPr>
                              <w:t>with</w:t>
                            </w:r>
                            <w:r>
                              <w:rPr>
                                <w:spacing w:val="-14"/>
                                <w:sz w:val="16"/>
                              </w:rPr>
                              <w:t xml:space="preserve"> </w:t>
                            </w:r>
                            <w:r>
                              <w:rPr>
                                <w:sz w:val="16"/>
                              </w:rPr>
                              <w:t xml:space="preserve">air </w:t>
                            </w:r>
                            <w:r>
                              <w:rPr>
                                <w:w w:val="105"/>
                                <w:sz w:val="16"/>
                              </w:rPr>
                              <w:t>travel (tonnes</w:t>
                            </w:r>
                            <w:r>
                              <w:rPr>
                                <w:spacing w:val="-1"/>
                                <w:w w:val="105"/>
                                <w:sz w:val="16"/>
                              </w:rPr>
                              <w:t xml:space="preserve"> </w:t>
                            </w:r>
                            <w:r>
                              <w:rPr>
                                <w:w w:val="105"/>
                                <w:sz w:val="16"/>
                              </w:rPr>
                              <w:t>CO2-e)</w:t>
                            </w:r>
                          </w:p>
                        </w:tc>
                        <w:tc>
                          <w:tcPr>
                            <w:tcW w:w="964" w:type="dxa"/>
                            <w:tcBorders>
                              <w:top w:val="single" w:sz="2" w:space="0" w:color="000000"/>
                              <w:bottom w:val="single" w:sz="2" w:space="0" w:color="000000"/>
                            </w:tcBorders>
                            <w:shd w:val="clear" w:color="auto" w:fill="E5FBFF"/>
                          </w:tcPr>
                          <w:p w14:paraId="161C1F54" w14:textId="77777777" w:rsidR="00704578" w:rsidRDefault="00704578">
                            <w:pPr>
                              <w:pStyle w:val="TableParagraph"/>
                              <w:spacing w:before="115"/>
                              <w:ind w:right="112"/>
                              <w:jc w:val="right"/>
                              <w:rPr>
                                <w:sz w:val="16"/>
                              </w:rPr>
                            </w:pPr>
                            <w:r>
                              <w:rPr>
                                <w:w w:val="96"/>
                                <w:sz w:val="16"/>
                              </w:rPr>
                              <w:t>9</w:t>
                            </w:r>
                          </w:p>
                        </w:tc>
                        <w:tc>
                          <w:tcPr>
                            <w:tcW w:w="964" w:type="dxa"/>
                            <w:tcBorders>
                              <w:top w:val="single" w:sz="2" w:space="0" w:color="000000"/>
                              <w:bottom w:val="single" w:sz="2" w:space="0" w:color="000000"/>
                            </w:tcBorders>
                          </w:tcPr>
                          <w:p w14:paraId="4FEAA92A" w14:textId="77777777" w:rsidR="00704578" w:rsidRDefault="00704578">
                            <w:pPr>
                              <w:pStyle w:val="TableParagraph"/>
                              <w:spacing w:before="115"/>
                              <w:ind w:right="112"/>
                              <w:jc w:val="right"/>
                              <w:rPr>
                                <w:sz w:val="16"/>
                              </w:rPr>
                            </w:pPr>
                            <w:r>
                              <w:rPr>
                                <w:spacing w:val="-4"/>
                                <w:sz w:val="16"/>
                              </w:rPr>
                              <w:t>3.66</w:t>
                            </w:r>
                          </w:p>
                        </w:tc>
                      </w:tr>
                      <w:tr w:rsidR="00704578" w14:paraId="3C56F2B3" w14:textId="77777777">
                        <w:trPr>
                          <w:trHeight w:val="1651"/>
                        </w:trPr>
                        <w:tc>
                          <w:tcPr>
                            <w:tcW w:w="526" w:type="dxa"/>
                            <w:tcBorders>
                              <w:top w:val="single" w:sz="2" w:space="0" w:color="000000"/>
                              <w:bottom w:val="single" w:sz="2" w:space="0" w:color="000000"/>
                            </w:tcBorders>
                          </w:tcPr>
                          <w:p w14:paraId="5E024D31" w14:textId="77777777" w:rsidR="00704578" w:rsidRDefault="00704578">
                            <w:pPr>
                              <w:pStyle w:val="TableParagraph"/>
                              <w:spacing w:before="115"/>
                              <w:ind w:left="113"/>
                              <w:rPr>
                                <w:sz w:val="16"/>
                              </w:rPr>
                            </w:pPr>
                            <w:r>
                              <w:rPr>
                                <w:spacing w:val="-5"/>
                                <w:sz w:val="16"/>
                              </w:rPr>
                              <w:t>G4.</w:t>
                            </w:r>
                          </w:p>
                        </w:tc>
                        <w:tc>
                          <w:tcPr>
                            <w:tcW w:w="2536" w:type="dxa"/>
                            <w:tcBorders>
                              <w:top w:val="single" w:sz="2" w:space="0" w:color="000000"/>
                              <w:bottom w:val="single" w:sz="2" w:space="0" w:color="000000"/>
                            </w:tcBorders>
                          </w:tcPr>
                          <w:p w14:paraId="195838E1" w14:textId="77777777" w:rsidR="00704578" w:rsidRDefault="00704578">
                            <w:pPr>
                              <w:pStyle w:val="TableParagraph"/>
                              <w:spacing w:before="115" w:line="292" w:lineRule="auto"/>
                              <w:ind w:left="154" w:right="364"/>
                              <w:rPr>
                                <w:sz w:val="16"/>
                              </w:rPr>
                            </w:pPr>
                            <w:r>
                              <w:rPr>
                                <w:w w:val="105"/>
                                <w:sz w:val="16"/>
                              </w:rPr>
                              <w:t>Total greenhouse</w:t>
                            </w:r>
                            <w:r>
                              <w:rPr>
                                <w:spacing w:val="-1"/>
                                <w:w w:val="105"/>
                                <w:sz w:val="16"/>
                              </w:rPr>
                              <w:t xml:space="preserve"> </w:t>
                            </w:r>
                            <w:r>
                              <w:rPr>
                                <w:w w:val="105"/>
                                <w:sz w:val="16"/>
                              </w:rPr>
                              <w:t xml:space="preserve">gas </w:t>
                            </w:r>
                            <w:r>
                              <w:rPr>
                                <w:sz w:val="16"/>
                              </w:rPr>
                              <w:t>emissions</w:t>
                            </w:r>
                            <w:r>
                              <w:rPr>
                                <w:spacing w:val="-14"/>
                                <w:sz w:val="16"/>
                              </w:rPr>
                              <w:t xml:space="preserve"> </w:t>
                            </w:r>
                            <w:r>
                              <w:rPr>
                                <w:sz w:val="16"/>
                              </w:rPr>
                              <w:t>associated</w:t>
                            </w:r>
                            <w:r>
                              <w:rPr>
                                <w:spacing w:val="-14"/>
                                <w:sz w:val="16"/>
                              </w:rPr>
                              <w:t xml:space="preserve"> </w:t>
                            </w:r>
                            <w:r>
                              <w:rPr>
                                <w:sz w:val="16"/>
                              </w:rPr>
                              <w:t xml:space="preserve">with </w:t>
                            </w:r>
                            <w:r>
                              <w:rPr>
                                <w:w w:val="105"/>
                                <w:sz w:val="16"/>
                              </w:rPr>
                              <w:t>waste disposal</w:t>
                            </w:r>
                            <w:r>
                              <w:rPr>
                                <w:spacing w:val="-1"/>
                                <w:w w:val="105"/>
                                <w:sz w:val="16"/>
                              </w:rPr>
                              <w:t xml:space="preserve"> </w:t>
                            </w:r>
                            <w:r>
                              <w:rPr>
                                <w:w w:val="105"/>
                                <w:sz w:val="16"/>
                              </w:rPr>
                              <w:t xml:space="preserve">(tonnes </w:t>
                            </w:r>
                            <w:r>
                              <w:rPr>
                                <w:spacing w:val="-2"/>
                                <w:w w:val="105"/>
                                <w:sz w:val="16"/>
                              </w:rPr>
                              <w:t>CO2-e)</w:t>
                            </w:r>
                          </w:p>
                          <w:p w14:paraId="688ACEAD" w14:textId="77777777" w:rsidR="00704578" w:rsidRDefault="00704578">
                            <w:pPr>
                              <w:pStyle w:val="TableParagraph"/>
                              <w:spacing w:before="120" w:line="292" w:lineRule="auto"/>
                              <w:ind w:left="154" w:right="325"/>
                              <w:rPr>
                                <w:sz w:val="16"/>
                              </w:rPr>
                            </w:pPr>
                            <w:r>
                              <w:rPr>
                                <w:sz w:val="16"/>
                              </w:rPr>
                              <w:t>[Note:</w:t>
                            </w:r>
                            <w:r>
                              <w:rPr>
                                <w:spacing w:val="-14"/>
                                <w:sz w:val="16"/>
                              </w:rPr>
                              <w:t xml:space="preserve"> </w:t>
                            </w:r>
                            <w:r>
                              <w:rPr>
                                <w:sz w:val="16"/>
                              </w:rPr>
                              <w:t>This</w:t>
                            </w:r>
                            <w:r>
                              <w:rPr>
                                <w:spacing w:val="-14"/>
                                <w:sz w:val="16"/>
                              </w:rPr>
                              <w:t xml:space="preserve"> </w:t>
                            </w:r>
                            <w:r>
                              <w:rPr>
                                <w:sz w:val="16"/>
                              </w:rPr>
                              <w:t>includes</w:t>
                            </w:r>
                            <w:r>
                              <w:rPr>
                                <w:spacing w:val="-14"/>
                                <w:sz w:val="16"/>
                              </w:rPr>
                              <w:t xml:space="preserve"> </w:t>
                            </w:r>
                            <w:r>
                              <w:rPr>
                                <w:sz w:val="16"/>
                              </w:rPr>
                              <w:t>office- based data only]</w:t>
                            </w:r>
                          </w:p>
                        </w:tc>
                        <w:tc>
                          <w:tcPr>
                            <w:tcW w:w="964" w:type="dxa"/>
                            <w:tcBorders>
                              <w:top w:val="single" w:sz="2" w:space="0" w:color="000000"/>
                              <w:bottom w:val="single" w:sz="2" w:space="0" w:color="000000"/>
                            </w:tcBorders>
                            <w:shd w:val="clear" w:color="auto" w:fill="E5FBFF"/>
                          </w:tcPr>
                          <w:p w14:paraId="3027B2DE" w14:textId="77777777" w:rsidR="00704578" w:rsidRDefault="00704578">
                            <w:pPr>
                              <w:pStyle w:val="TableParagraph"/>
                              <w:spacing w:before="115"/>
                              <w:ind w:right="113"/>
                              <w:jc w:val="right"/>
                              <w:rPr>
                                <w:sz w:val="16"/>
                              </w:rPr>
                            </w:pPr>
                            <w:r>
                              <w:rPr>
                                <w:spacing w:val="-4"/>
                                <w:sz w:val="16"/>
                              </w:rPr>
                              <w:t>3.84</w:t>
                            </w:r>
                          </w:p>
                        </w:tc>
                        <w:tc>
                          <w:tcPr>
                            <w:tcW w:w="964" w:type="dxa"/>
                            <w:tcBorders>
                              <w:top w:val="single" w:sz="2" w:space="0" w:color="000000"/>
                              <w:bottom w:val="single" w:sz="2" w:space="0" w:color="000000"/>
                            </w:tcBorders>
                          </w:tcPr>
                          <w:p w14:paraId="7E05B753" w14:textId="77777777" w:rsidR="00704578" w:rsidRDefault="00704578">
                            <w:pPr>
                              <w:pStyle w:val="TableParagraph"/>
                              <w:spacing w:before="115"/>
                              <w:ind w:right="112"/>
                              <w:jc w:val="right"/>
                              <w:rPr>
                                <w:sz w:val="16"/>
                              </w:rPr>
                            </w:pPr>
                            <w:r>
                              <w:rPr>
                                <w:spacing w:val="-4"/>
                                <w:w w:val="90"/>
                                <w:sz w:val="16"/>
                              </w:rPr>
                              <w:t>2.70</w:t>
                            </w:r>
                          </w:p>
                        </w:tc>
                      </w:tr>
                      <w:tr w:rsidR="00704578" w14:paraId="5F4E0052" w14:textId="77777777">
                        <w:trPr>
                          <w:trHeight w:val="841"/>
                        </w:trPr>
                        <w:tc>
                          <w:tcPr>
                            <w:tcW w:w="526" w:type="dxa"/>
                            <w:tcBorders>
                              <w:top w:val="single" w:sz="2" w:space="0" w:color="000000"/>
                              <w:bottom w:val="single" w:sz="2" w:space="0" w:color="000000"/>
                            </w:tcBorders>
                          </w:tcPr>
                          <w:p w14:paraId="6EA98721" w14:textId="77777777" w:rsidR="00704578" w:rsidRDefault="00704578">
                            <w:pPr>
                              <w:pStyle w:val="TableParagraph"/>
                              <w:spacing w:before="115"/>
                              <w:ind w:left="113"/>
                              <w:rPr>
                                <w:sz w:val="16"/>
                              </w:rPr>
                            </w:pPr>
                            <w:r>
                              <w:rPr>
                                <w:spacing w:val="-5"/>
                                <w:sz w:val="16"/>
                              </w:rPr>
                              <w:t>G5.</w:t>
                            </w:r>
                          </w:p>
                        </w:tc>
                        <w:tc>
                          <w:tcPr>
                            <w:tcW w:w="2536" w:type="dxa"/>
                            <w:tcBorders>
                              <w:top w:val="single" w:sz="2" w:space="0" w:color="000000"/>
                              <w:bottom w:val="single" w:sz="2" w:space="0" w:color="000000"/>
                            </w:tcBorders>
                          </w:tcPr>
                          <w:p w14:paraId="78B1EF7A" w14:textId="77777777" w:rsidR="00704578" w:rsidRDefault="00704578">
                            <w:pPr>
                              <w:pStyle w:val="TableParagraph"/>
                              <w:spacing w:before="115" w:line="292" w:lineRule="auto"/>
                              <w:ind w:left="154" w:right="262"/>
                              <w:rPr>
                                <w:sz w:val="16"/>
                              </w:rPr>
                            </w:pPr>
                            <w:r>
                              <w:rPr>
                                <w:w w:val="105"/>
                                <w:sz w:val="16"/>
                              </w:rPr>
                              <w:t>Total greenhouse</w:t>
                            </w:r>
                            <w:r>
                              <w:rPr>
                                <w:spacing w:val="-1"/>
                                <w:w w:val="105"/>
                                <w:sz w:val="16"/>
                              </w:rPr>
                              <w:t xml:space="preserve"> </w:t>
                            </w:r>
                            <w:r>
                              <w:rPr>
                                <w:w w:val="105"/>
                                <w:sz w:val="16"/>
                              </w:rPr>
                              <w:t xml:space="preserve">gas </w:t>
                            </w:r>
                            <w:r>
                              <w:rPr>
                                <w:sz w:val="16"/>
                              </w:rPr>
                              <w:t>emissions</w:t>
                            </w:r>
                            <w:r>
                              <w:rPr>
                                <w:spacing w:val="-14"/>
                                <w:sz w:val="16"/>
                              </w:rPr>
                              <w:t xml:space="preserve"> </w:t>
                            </w:r>
                            <w:r>
                              <w:rPr>
                                <w:sz w:val="16"/>
                              </w:rPr>
                              <w:t>offset</w:t>
                            </w:r>
                            <w:r>
                              <w:rPr>
                                <w:spacing w:val="-14"/>
                                <w:sz w:val="16"/>
                              </w:rPr>
                              <w:t xml:space="preserve"> </w:t>
                            </w:r>
                            <w:r>
                              <w:rPr>
                                <w:sz w:val="16"/>
                              </w:rPr>
                              <w:t xml:space="preserve">purchased </w:t>
                            </w:r>
                            <w:r>
                              <w:rPr>
                                <w:w w:val="105"/>
                                <w:sz w:val="16"/>
                              </w:rPr>
                              <w:t>(tonnes</w:t>
                            </w:r>
                            <w:r>
                              <w:rPr>
                                <w:spacing w:val="-17"/>
                                <w:w w:val="105"/>
                                <w:sz w:val="16"/>
                              </w:rPr>
                              <w:t xml:space="preserve"> </w:t>
                            </w:r>
                            <w:r>
                              <w:rPr>
                                <w:w w:val="105"/>
                                <w:sz w:val="16"/>
                              </w:rPr>
                              <w:t>CO2-e)</w:t>
                            </w:r>
                          </w:p>
                        </w:tc>
                        <w:tc>
                          <w:tcPr>
                            <w:tcW w:w="964" w:type="dxa"/>
                            <w:tcBorders>
                              <w:top w:val="single" w:sz="2" w:space="0" w:color="000000"/>
                              <w:bottom w:val="single" w:sz="2" w:space="0" w:color="000000"/>
                            </w:tcBorders>
                            <w:shd w:val="clear" w:color="auto" w:fill="E5FBFF"/>
                          </w:tcPr>
                          <w:p w14:paraId="5D3D0A23" w14:textId="77777777" w:rsidR="00704578" w:rsidRDefault="00704578">
                            <w:pPr>
                              <w:pStyle w:val="TableParagraph"/>
                              <w:spacing w:before="115"/>
                              <w:ind w:right="112"/>
                              <w:jc w:val="right"/>
                              <w:rPr>
                                <w:sz w:val="16"/>
                              </w:rPr>
                            </w:pPr>
                            <w:r>
                              <w:rPr>
                                <w:w w:val="105"/>
                                <w:sz w:val="16"/>
                              </w:rPr>
                              <w:t>0</w:t>
                            </w:r>
                          </w:p>
                        </w:tc>
                        <w:tc>
                          <w:tcPr>
                            <w:tcW w:w="964" w:type="dxa"/>
                            <w:tcBorders>
                              <w:top w:val="single" w:sz="2" w:space="0" w:color="000000"/>
                              <w:bottom w:val="single" w:sz="2" w:space="0" w:color="000000"/>
                            </w:tcBorders>
                          </w:tcPr>
                          <w:p w14:paraId="09BAD36F" w14:textId="77777777" w:rsidR="00704578" w:rsidRDefault="00704578">
                            <w:pPr>
                              <w:pStyle w:val="TableParagraph"/>
                              <w:spacing w:before="115"/>
                              <w:ind w:right="112"/>
                              <w:jc w:val="right"/>
                              <w:rPr>
                                <w:sz w:val="16"/>
                              </w:rPr>
                            </w:pPr>
                            <w:r>
                              <w:rPr>
                                <w:w w:val="105"/>
                                <w:sz w:val="16"/>
                              </w:rPr>
                              <w:t>0</w:t>
                            </w:r>
                          </w:p>
                        </w:tc>
                      </w:tr>
                    </w:tbl>
                    <w:p w14:paraId="4E6F3011" w14:textId="77777777" w:rsidR="00704578" w:rsidRDefault="00704578" w:rsidP="00704578">
                      <w:pPr>
                        <w:pStyle w:val="BodyText"/>
                      </w:pPr>
                    </w:p>
                  </w:txbxContent>
                </v:textbox>
                <w10:anchorlock/>
              </v:shape>
            </w:pict>
          </mc:Fallback>
        </mc:AlternateContent>
      </w:r>
      <w:r w:rsidR="00EB2BD8" w:rsidRPr="00EB2BD8">
        <w:br w:type="column"/>
      </w:r>
      <w:r w:rsidR="00C315ED">
        <w:t xml:space="preserve">     </w:t>
      </w:r>
      <w:r w:rsidR="00EB2BD8" w:rsidRPr="00EB2BD8">
        <w:t>Greener</w:t>
      </w:r>
      <w:r w:rsidR="00EB2BD8" w:rsidRPr="00EB2BD8">
        <w:rPr>
          <w:spacing w:val="9"/>
        </w:rPr>
        <w:t xml:space="preserve"> </w:t>
      </w:r>
      <w:r w:rsidR="00EB2BD8" w:rsidRPr="00EB2BD8">
        <w:t>procurement</w:t>
      </w:r>
      <w:bookmarkEnd w:id="238"/>
    </w:p>
    <w:p w14:paraId="5CFCB947" w14:textId="77777777" w:rsidR="00084F36" w:rsidRPr="00EB2BD8" w:rsidRDefault="00EB2BD8">
      <w:pPr>
        <w:spacing w:before="177" w:line="256" w:lineRule="auto"/>
        <w:ind w:left="481" w:right="1292"/>
        <w:rPr>
          <w:sz w:val="19"/>
        </w:rPr>
      </w:pPr>
      <w:r w:rsidRPr="00EB2BD8">
        <w:rPr>
          <w:sz w:val="19"/>
        </w:rPr>
        <w:t>The VBA’s main areas of procurement are contractors and goods and services. Examples of how the VBA incorporated environmental</w:t>
      </w:r>
    </w:p>
    <w:p w14:paraId="665CCF67" w14:textId="77777777" w:rsidR="00084F36" w:rsidRPr="00EB2BD8" w:rsidRDefault="00EB2BD8">
      <w:pPr>
        <w:spacing w:before="2" w:line="256" w:lineRule="auto"/>
        <w:ind w:left="481" w:right="452"/>
        <w:rPr>
          <w:sz w:val="19"/>
        </w:rPr>
      </w:pPr>
      <w:r w:rsidRPr="00EB2BD8">
        <w:rPr>
          <w:sz w:val="19"/>
        </w:rPr>
        <w:t xml:space="preserve">considerations into procurement decision-making </w:t>
      </w:r>
      <w:r w:rsidRPr="00EB2BD8">
        <w:rPr>
          <w:spacing w:val="-2"/>
          <w:sz w:val="19"/>
        </w:rPr>
        <w:t>include:</w:t>
      </w:r>
    </w:p>
    <w:p w14:paraId="118D90DE" w14:textId="0597CD54" w:rsidR="00084F36" w:rsidRPr="00EB2BD8" w:rsidRDefault="00EB2BD8">
      <w:pPr>
        <w:pStyle w:val="ListParagraph"/>
        <w:numPr>
          <w:ilvl w:val="0"/>
          <w:numId w:val="53"/>
        </w:numPr>
        <w:tabs>
          <w:tab w:val="left" w:pos="765"/>
        </w:tabs>
        <w:spacing w:before="114" w:line="261" w:lineRule="auto"/>
        <w:ind w:right="1071"/>
        <w:jc w:val="both"/>
        <w:rPr>
          <w:sz w:val="18"/>
        </w:rPr>
      </w:pPr>
      <w:r w:rsidRPr="00EB2BD8">
        <w:rPr>
          <w:sz w:val="18"/>
        </w:rPr>
        <w:t>Considering</w:t>
      </w:r>
      <w:r w:rsidRPr="00EB2BD8">
        <w:rPr>
          <w:spacing w:val="-3"/>
          <w:sz w:val="18"/>
        </w:rPr>
        <w:t xml:space="preserve"> </w:t>
      </w:r>
      <w:r w:rsidRPr="00EB2BD8">
        <w:rPr>
          <w:sz w:val="18"/>
        </w:rPr>
        <w:t>environmental</w:t>
      </w:r>
      <w:r w:rsidRPr="00EB2BD8">
        <w:rPr>
          <w:spacing w:val="-3"/>
          <w:sz w:val="18"/>
        </w:rPr>
        <w:t xml:space="preserve"> </w:t>
      </w:r>
      <w:r w:rsidRPr="00EB2BD8">
        <w:rPr>
          <w:sz w:val="18"/>
        </w:rPr>
        <w:t>impacts</w:t>
      </w:r>
      <w:r w:rsidRPr="00EB2BD8">
        <w:rPr>
          <w:spacing w:val="-3"/>
          <w:sz w:val="18"/>
        </w:rPr>
        <w:t xml:space="preserve"> </w:t>
      </w:r>
      <w:r w:rsidRPr="00EB2BD8">
        <w:rPr>
          <w:sz w:val="18"/>
        </w:rPr>
        <w:t>as</w:t>
      </w:r>
      <w:r w:rsidRPr="00EB2BD8">
        <w:rPr>
          <w:spacing w:val="-3"/>
          <w:sz w:val="18"/>
        </w:rPr>
        <w:t xml:space="preserve"> </w:t>
      </w:r>
      <w:r w:rsidRPr="00EB2BD8">
        <w:rPr>
          <w:sz w:val="18"/>
        </w:rPr>
        <w:t>part</w:t>
      </w:r>
      <w:r w:rsidRPr="00EB2BD8">
        <w:rPr>
          <w:spacing w:val="-3"/>
          <w:sz w:val="18"/>
        </w:rPr>
        <w:t xml:space="preserve"> </w:t>
      </w:r>
      <w:r w:rsidRPr="00EB2BD8">
        <w:rPr>
          <w:sz w:val="18"/>
        </w:rPr>
        <w:t>of</w:t>
      </w:r>
      <w:r w:rsidRPr="00EB2BD8">
        <w:rPr>
          <w:spacing w:val="-3"/>
          <w:sz w:val="18"/>
        </w:rPr>
        <w:t xml:space="preserve"> </w:t>
      </w:r>
      <w:r w:rsidRPr="00EB2BD8">
        <w:rPr>
          <w:sz w:val="18"/>
        </w:rPr>
        <w:t>our evaluation</w:t>
      </w:r>
      <w:r w:rsidRPr="00EB2BD8">
        <w:rPr>
          <w:spacing w:val="-1"/>
          <w:sz w:val="18"/>
        </w:rPr>
        <w:t xml:space="preserve"> </w:t>
      </w:r>
      <w:r w:rsidRPr="00EB2BD8">
        <w:rPr>
          <w:sz w:val="18"/>
        </w:rPr>
        <w:t>report</w:t>
      </w:r>
      <w:r w:rsidRPr="00EB2BD8">
        <w:rPr>
          <w:spacing w:val="-1"/>
          <w:sz w:val="18"/>
        </w:rPr>
        <w:t xml:space="preserve"> </w:t>
      </w:r>
      <w:r w:rsidRPr="00EB2BD8">
        <w:rPr>
          <w:sz w:val="18"/>
        </w:rPr>
        <w:t>checklist</w:t>
      </w:r>
      <w:r w:rsidRPr="00EB2BD8">
        <w:rPr>
          <w:spacing w:val="-1"/>
          <w:sz w:val="18"/>
        </w:rPr>
        <w:t xml:space="preserve"> </w:t>
      </w:r>
      <w:r w:rsidRPr="00EB2BD8">
        <w:rPr>
          <w:sz w:val="18"/>
        </w:rPr>
        <w:t>when</w:t>
      </w:r>
      <w:r w:rsidRPr="00EB2BD8">
        <w:rPr>
          <w:spacing w:val="-1"/>
          <w:sz w:val="18"/>
        </w:rPr>
        <w:t xml:space="preserve"> </w:t>
      </w:r>
      <w:r w:rsidRPr="00EB2BD8">
        <w:rPr>
          <w:sz w:val="18"/>
        </w:rPr>
        <w:t>procuring</w:t>
      </w:r>
      <w:r w:rsidRPr="00EB2BD8">
        <w:rPr>
          <w:spacing w:val="-1"/>
          <w:sz w:val="18"/>
        </w:rPr>
        <w:t xml:space="preserve"> </w:t>
      </w:r>
      <w:r w:rsidRPr="00EB2BD8">
        <w:rPr>
          <w:sz w:val="18"/>
        </w:rPr>
        <w:t>goods and</w:t>
      </w:r>
      <w:r w:rsidRPr="00EB2BD8">
        <w:rPr>
          <w:spacing w:val="-6"/>
          <w:sz w:val="18"/>
        </w:rPr>
        <w:t xml:space="preserve"> </w:t>
      </w:r>
      <w:r w:rsidRPr="00EB2BD8">
        <w:rPr>
          <w:sz w:val="18"/>
        </w:rPr>
        <w:t>services.</w:t>
      </w:r>
    </w:p>
    <w:p w14:paraId="7EFB3E15" w14:textId="77777777" w:rsidR="00084F36" w:rsidRPr="00EB2BD8" w:rsidRDefault="00EB2BD8">
      <w:pPr>
        <w:pStyle w:val="ListParagraph"/>
        <w:numPr>
          <w:ilvl w:val="0"/>
          <w:numId w:val="53"/>
        </w:numPr>
        <w:tabs>
          <w:tab w:val="left" w:pos="765"/>
        </w:tabs>
        <w:spacing w:line="261" w:lineRule="auto"/>
        <w:ind w:right="1405"/>
        <w:rPr>
          <w:sz w:val="18"/>
        </w:rPr>
      </w:pPr>
      <w:r w:rsidRPr="00EB2BD8">
        <w:rPr>
          <w:sz w:val="18"/>
        </w:rPr>
        <w:t>Selecting</w:t>
      </w:r>
      <w:r w:rsidRPr="00EB2BD8">
        <w:rPr>
          <w:spacing w:val="-2"/>
          <w:sz w:val="18"/>
        </w:rPr>
        <w:t xml:space="preserve"> </w:t>
      </w:r>
      <w:r w:rsidRPr="00EB2BD8">
        <w:rPr>
          <w:sz w:val="18"/>
        </w:rPr>
        <w:t>vendors</w:t>
      </w:r>
      <w:r w:rsidRPr="00EB2BD8">
        <w:rPr>
          <w:spacing w:val="-2"/>
          <w:sz w:val="18"/>
        </w:rPr>
        <w:t xml:space="preserve"> </w:t>
      </w:r>
      <w:r w:rsidRPr="00EB2BD8">
        <w:rPr>
          <w:sz w:val="18"/>
        </w:rPr>
        <w:t>that</w:t>
      </w:r>
      <w:r w:rsidRPr="00EB2BD8">
        <w:rPr>
          <w:spacing w:val="-2"/>
          <w:sz w:val="18"/>
        </w:rPr>
        <w:t xml:space="preserve"> </w:t>
      </w:r>
      <w:r w:rsidRPr="00EB2BD8">
        <w:rPr>
          <w:sz w:val="18"/>
        </w:rPr>
        <w:t>disclose</w:t>
      </w:r>
      <w:r w:rsidRPr="00EB2BD8">
        <w:rPr>
          <w:spacing w:val="-2"/>
          <w:sz w:val="18"/>
        </w:rPr>
        <w:t xml:space="preserve"> </w:t>
      </w:r>
      <w:r w:rsidRPr="00EB2BD8">
        <w:rPr>
          <w:sz w:val="18"/>
        </w:rPr>
        <w:t xml:space="preserve">environmental </w:t>
      </w:r>
      <w:r w:rsidRPr="00EB2BD8">
        <w:rPr>
          <w:spacing w:val="-2"/>
          <w:sz w:val="18"/>
        </w:rPr>
        <w:t>practices.</w:t>
      </w:r>
    </w:p>
    <w:p w14:paraId="078996A1" w14:textId="77777777" w:rsidR="00084F36" w:rsidRPr="00EB2BD8" w:rsidRDefault="00EB2BD8">
      <w:pPr>
        <w:pStyle w:val="ListParagraph"/>
        <w:numPr>
          <w:ilvl w:val="0"/>
          <w:numId w:val="53"/>
        </w:numPr>
        <w:tabs>
          <w:tab w:val="left" w:pos="765"/>
        </w:tabs>
        <w:spacing w:line="261" w:lineRule="auto"/>
        <w:ind w:right="869"/>
        <w:rPr>
          <w:sz w:val="18"/>
        </w:rPr>
      </w:pPr>
      <w:r w:rsidRPr="00EB2BD8">
        <w:rPr>
          <w:sz w:val="18"/>
        </w:rPr>
        <w:t>Selecting</w:t>
      </w:r>
      <w:r w:rsidRPr="00EB2BD8">
        <w:rPr>
          <w:spacing w:val="-3"/>
          <w:sz w:val="18"/>
        </w:rPr>
        <w:t xml:space="preserve"> </w:t>
      </w:r>
      <w:r w:rsidRPr="00EB2BD8">
        <w:rPr>
          <w:sz w:val="18"/>
        </w:rPr>
        <w:t>vendors</w:t>
      </w:r>
      <w:r w:rsidRPr="00EB2BD8">
        <w:rPr>
          <w:spacing w:val="-3"/>
          <w:sz w:val="18"/>
        </w:rPr>
        <w:t xml:space="preserve"> </w:t>
      </w:r>
      <w:r w:rsidRPr="00EB2BD8">
        <w:rPr>
          <w:sz w:val="18"/>
        </w:rPr>
        <w:t>that</w:t>
      </w:r>
      <w:r w:rsidRPr="00EB2BD8">
        <w:rPr>
          <w:spacing w:val="-3"/>
          <w:sz w:val="18"/>
        </w:rPr>
        <w:t xml:space="preserve"> </w:t>
      </w:r>
      <w:r w:rsidRPr="00EB2BD8">
        <w:rPr>
          <w:sz w:val="18"/>
        </w:rPr>
        <w:t>show</w:t>
      </w:r>
      <w:r w:rsidRPr="00EB2BD8">
        <w:rPr>
          <w:spacing w:val="-3"/>
          <w:sz w:val="18"/>
        </w:rPr>
        <w:t xml:space="preserve"> </w:t>
      </w:r>
      <w:r w:rsidRPr="00EB2BD8">
        <w:rPr>
          <w:sz w:val="18"/>
        </w:rPr>
        <w:t>a</w:t>
      </w:r>
      <w:r w:rsidRPr="00EB2BD8">
        <w:rPr>
          <w:spacing w:val="-3"/>
          <w:sz w:val="18"/>
        </w:rPr>
        <w:t xml:space="preserve"> </w:t>
      </w:r>
      <w:r w:rsidRPr="00EB2BD8">
        <w:rPr>
          <w:sz w:val="18"/>
        </w:rPr>
        <w:t>commitment</w:t>
      </w:r>
      <w:r w:rsidRPr="00EB2BD8">
        <w:rPr>
          <w:spacing w:val="-3"/>
          <w:sz w:val="18"/>
        </w:rPr>
        <w:t xml:space="preserve"> </w:t>
      </w:r>
      <w:r w:rsidRPr="00EB2BD8">
        <w:rPr>
          <w:sz w:val="18"/>
        </w:rPr>
        <w:t>to</w:t>
      </w:r>
      <w:r w:rsidRPr="00EB2BD8">
        <w:rPr>
          <w:spacing w:val="-3"/>
          <w:sz w:val="18"/>
        </w:rPr>
        <w:t xml:space="preserve"> </w:t>
      </w:r>
      <w:r w:rsidRPr="00EB2BD8">
        <w:rPr>
          <w:sz w:val="18"/>
        </w:rPr>
        <w:t xml:space="preserve">social </w:t>
      </w:r>
      <w:r w:rsidRPr="00EB2BD8">
        <w:rPr>
          <w:spacing w:val="-2"/>
          <w:w w:val="105"/>
          <w:sz w:val="18"/>
        </w:rPr>
        <w:t>responsibility.</w:t>
      </w:r>
    </w:p>
    <w:p w14:paraId="446460A6" w14:textId="77777777" w:rsidR="00084F36" w:rsidRPr="00EB2BD8" w:rsidRDefault="00084F36">
      <w:pPr>
        <w:spacing w:line="261" w:lineRule="auto"/>
        <w:rPr>
          <w:sz w:val="18"/>
        </w:rPr>
        <w:sectPr w:rsidR="00084F36" w:rsidRPr="00EB2BD8" w:rsidSect="006D75B2">
          <w:type w:val="continuous"/>
          <w:pgSz w:w="11910" w:h="16840"/>
          <w:pgMar w:top="1920" w:right="0" w:bottom="280" w:left="0" w:header="0" w:footer="515" w:gutter="0"/>
          <w:cols w:num="2" w:space="720" w:equalWidth="0">
            <w:col w:w="5658" w:space="40"/>
            <w:col w:w="6212"/>
          </w:cols>
        </w:sectPr>
      </w:pPr>
    </w:p>
    <w:p w14:paraId="014E5562" w14:textId="77777777" w:rsidR="00084F36" w:rsidRPr="00EB2BD8" w:rsidRDefault="00084F36">
      <w:pPr>
        <w:pStyle w:val="BodyText"/>
        <w:rPr>
          <w:sz w:val="22"/>
        </w:rPr>
      </w:pPr>
    </w:p>
    <w:p w14:paraId="0B5C4299" w14:textId="77777777" w:rsidR="00436F78" w:rsidRDefault="00436F78" w:rsidP="00436F78">
      <w:pPr>
        <w:pStyle w:val="Heading1"/>
      </w:pPr>
    </w:p>
    <w:p w14:paraId="352E352B" w14:textId="3A9F4664" w:rsidR="00084F36" w:rsidRPr="00436F78" w:rsidRDefault="00EB2BD8" w:rsidP="00436F78">
      <w:pPr>
        <w:pStyle w:val="Heading1"/>
      </w:pPr>
      <w:bookmarkStart w:id="239" w:name="_Toc150762541"/>
      <w:r w:rsidRPr="00436F78">
        <w:t>6/</w:t>
      </w:r>
      <w:bookmarkEnd w:id="239"/>
    </w:p>
    <w:p w14:paraId="48BA7EAD" w14:textId="77777777" w:rsidR="00084F36" w:rsidRPr="00436F78" w:rsidRDefault="00EB2BD8" w:rsidP="00436F78">
      <w:pPr>
        <w:pStyle w:val="Heading1"/>
      </w:pPr>
      <w:bookmarkStart w:id="240" w:name="_Toc150762542"/>
      <w:r w:rsidRPr="00436F78">
        <w:t>Financial Statements</w:t>
      </w:r>
      <w:bookmarkEnd w:id="240"/>
    </w:p>
    <w:p w14:paraId="359A7FD6" w14:textId="77777777" w:rsidR="00084F36" w:rsidRPr="00EB2BD8" w:rsidRDefault="00084F36">
      <w:pPr>
        <w:pStyle w:val="BodyText"/>
        <w:rPr>
          <w:rFonts w:ascii="Tahoma"/>
          <w:b/>
          <w:sz w:val="20"/>
        </w:rPr>
      </w:pPr>
    </w:p>
    <w:p w14:paraId="032713C1" w14:textId="77777777" w:rsidR="00084F36" w:rsidRPr="00EB2BD8" w:rsidRDefault="00084F36">
      <w:pPr>
        <w:pStyle w:val="BodyText"/>
        <w:rPr>
          <w:rFonts w:ascii="Tahoma"/>
          <w:b/>
          <w:sz w:val="20"/>
        </w:rPr>
      </w:pPr>
    </w:p>
    <w:p w14:paraId="0D2D92E1" w14:textId="77777777" w:rsidR="00084F36" w:rsidRPr="00EB2BD8" w:rsidRDefault="00084F36">
      <w:pPr>
        <w:pStyle w:val="BodyText"/>
        <w:rPr>
          <w:rFonts w:ascii="Tahoma"/>
          <w:b/>
          <w:sz w:val="20"/>
        </w:rPr>
      </w:pPr>
    </w:p>
    <w:p w14:paraId="28688B52" w14:textId="77777777" w:rsidR="00084F36" w:rsidRPr="00EB2BD8" w:rsidRDefault="00084F36">
      <w:pPr>
        <w:pStyle w:val="BodyText"/>
        <w:rPr>
          <w:rFonts w:ascii="Tahoma"/>
          <w:b/>
          <w:sz w:val="20"/>
        </w:rPr>
      </w:pPr>
    </w:p>
    <w:p w14:paraId="4DB5A17F" w14:textId="77777777" w:rsidR="00084F36" w:rsidRPr="00EB2BD8" w:rsidRDefault="00084F36">
      <w:pPr>
        <w:pStyle w:val="BodyText"/>
        <w:rPr>
          <w:rFonts w:ascii="Tahoma"/>
          <w:b/>
          <w:sz w:val="20"/>
        </w:rPr>
      </w:pPr>
    </w:p>
    <w:p w14:paraId="4C015220" w14:textId="77777777" w:rsidR="00084F36" w:rsidRPr="00EB2BD8" w:rsidRDefault="00084F36">
      <w:pPr>
        <w:pStyle w:val="BodyText"/>
        <w:rPr>
          <w:rFonts w:ascii="Tahoma"/>
          <w:b/>
          <w:sz w:val="20"/>
        </w:rPr>
      </w:pPr>
    </w:p>
    <w:p w14:paraId="69B874A2" w14:textId="77777777" w:rsidR="00084F36" w:rsidRPr="00EB2BD8" w:rsidRDefault="00084F36">
      <w:pPr>
        <w:pStyle w:val="BodyText"/>
        <w:rPr>
          <w:rFonts w:ascii="Tahoma"/>
          <w:b/>
          <w:sz w:val="20"/>
        </w:rPr>
      </w:pPr>
    </w:p>
    <w:p w14:paraId="645F50FA" w14:textId="77777777" w:rsidR="00084F36" w:rsidRPr="00EB2BD8" w:rsidRDefault="00084F36">
      <w:pPr>
        <w:pStyle w:val="BodyText"/>
        <w:rPr>
          <w:rFonts w:ascii="Tahoma"/>
          <w:b/>
          <w:sz w:val="20"/>
        </w:rPr>
      </w:pPr>
    </w:p>
    <w:p w14:paraId="37B276C4" w14:textId="77777777" w:rsidR="00084F36" w:rsidRPr="00EB2BD8" w:rsidRDefault="00084F36">
      <w:pPr>
        <w:pStyle w:val="BodyText"/>
        <w:rPr>
          <w:rFonts w:ascii="Tahoma"/>
          <w:b/>
          <w:sz w:val="20"/>
        </w:rPr>
      </w:pPr>
    </w:p>
    <w:p w14:paraId="5482FEEA" w14:textId="77777777" w:rsidR="00084F36" w:rsidRPr="00EB2BD8" w:rsidRDefault="00084F36">
      <w:pPr>
        <w:pStyle w:val="BodyText"/>
        <w:rPr>
          <w:rFonts w:ascii="Tahoma"/>
          <w:b/>
          <w:sz w:val="20"/>
        </w:rPr>
      </w:pPr>
    </w:p>
    <w:p w14:paraId="407A3C50" w14:textId="77777777" w:rsidR="00084F36" w:rsidRPr="00EB2BD8" w:rsidRDefault="00084F36">
      <w:pPr>
        <w:pStyle w:val="BodyText"/>
        <w:rPr>
          <w:rFonts w:ascii="Tahoma"/>
          <w:b/>
          <w:sz w:val="20"/>
        </w:rPr>
      </w:pPr>
    </w:p>
    <w:p w14:paraId="2C6892B8" w14:textId="77777777" w:rsidR="00084F36" w:rsidRPr="00EB2BD8" w:rsidRDefault="00084F36">
      <w:pPr>
        <w:pStyle w:val="BodyText"/>
        <w:rPr>
          <w:rFonts w:ascii="Tahoma"/>
          <w:b/>
          <w:sz w:val="20"/>
        </w:rPr>
      </w:pPr>
    </w:p>
    <w:p w14:paraId="42D16586" w14:textId="77777777" w:rsidR="00084F36" w:rsidRPr="00EB2BD8" w:rsidRDefault="00084F36">
      <w:pPr>
        <w:pStyle w:val="BodyText"/>
        <w:rPr>
          <w:rFonts w:ascii="Tahoma"/>
          <w:b/>
          <w:sz w:val="20"/>
        </w:rPr>
      </w:pPr>
    </w:p>
    <w:p w14:paraId="7630A6DC" w14:textId="77777777" w:rsidR="00084F36" w:rsidRPr="00EB2BD8" w:rsidRDefault="00084F36">
      <w:pPr>
        <w:pStyle w:val="BodyText"/>
        <w:rPr>
          <w:rFonts w:ascii="Tahoma"/>
          <w:b/>
          <w:sz w:val="20"/>
        </w:rPr>
      </w:pPr>
    </w:p>
    <w:p w14:paraId="437E3650" w14:textId="77777777" w:rsidR="00084F36" w:rsidRPr="00EB2BD8" w:rsidRDefault="00084F36">
      <w:pPr>
        <w:pStyle w:val="BodyText"/>
        <w:rPr>
          <w:rFonts w:ascii="Tahoma"/>
          <w:b/>
          <w:sz w:val="20"/>
        </w:rPr>
      </w:pPr>
    </w:p>
    <w:p w14:paraId="5BF68695" w14:textId="77777777" w:rsidR="00084F36" w:rsidRPr="00EB2BD8" w:rsidRDefault="00084F36">
      <w:pPr>
        <w:pStyle w:val="BodyText"/>
        <w:rPr>
          <w:rFonts w:ascii="Tahoma"/>
          <w:b/>
          <w:sz w:val="20"/>
        </w:rPr>
      </w:pPr>
    </w:p>
    <w:p w14:paraId="1B95F512" w14:textId="77777777" w:rsidR="00084F36" w:rsidRPr="00EB2BD8" w:rsidRDefault="00084F36">
      <w:pPr>
        <w:pStyle w:val="BodyText"/>
        <w:rPr>
          <w:rFonts w:ascii="Tahoma"/>
          <w:b/>
          <w:sz w:val="20"/>
        </w:rPr>
      </w:pPr>
    </w:p>
    <w:p w14:paraId="62E77F71" w14:textId="77777777" w:rsidR="00084F36" w:rsidRPr="00EB2BD8" w:rsidRDefault="00084F36">
      <w:pPr>
        <w:pStyle w:val="BodyText"/>
        <w:rPr>
          <w:rFonts w:ascii="Tahoma"/>
          <w:b/>
          <w:sz w:val="20"/>
        </w:rPr>
      </w:pPr>
    </w:p>
    <w:p w14:paraId="6610EBF6" w14:textId="77777777" w:rsidR="00084F36" w:rsidRPr="00EB2BD8" w:rsidRDefault="00084F36">
      <w:pPr>
        <w:pStyle w:val="BodyText"/>
        <w:rPr>
          <w:rFonts w:ascii="Tahoma"/>
          <w:b/>
          <w:sz w:val="20"/>
        </w:rPr>
      </w:pPr>
    </w:p>
    <w:p w14:paraId="32393B5F" w14:textId="77777777" w:rsidR="00084F36" w:rsidRPr="00EB2BD8" w:rsidRDefault="00084F36">
      <w:pPr>
        <w:pStyle w:val="BodyText"/>
        <w:rPr>
          <w:rFonts w:ascii="Tahoma"/>
          <w:b/>
          <w:sz w:val="20"/>
        </w:rPr>
      </w:pPr>
    </w:p>
    <w:p w14:paraId="58A780C7" w14:textId="77777777" w:rsidR="00084F36" w:rsidRPr="00EB2BD8" w:rsidRDefault="00084F36">
      <w:pPr>
        <w:pStyle w:val="BodyText"/>
        <w:rPr>
          <w:rFonts w:ascii="Tahoma"/>
          <w:b/>
          <w:sz w:val="20"/>
        </w:rPr>
      </w:pPr>
    </w:p>
    <w:p w14:paraId="2D044742" w14:textId="77777777" w:rsidR="00084F36" w:rsidRPr="00EB2BD8" w:rsidRDefault="00084F36">
      <w:pPr>
        <w:pStyle w:val="BodyText"/>
        <w:rPr>
          <w:rFonts w:ascii="Tahoma"/>
          <w:b/>
          <w:sz w:val="20"/>
        </w:rPr>
      </w:pPr>
    </w:p>
    <w:p w14:paraId="182E7736" w14:textId="77777777" w:rsidR="00084F36" w:rsidRPr="00EB2BD8" w:rsidRDefault="00084F36">
      <w:pPr>
        <w:pStyle w:val="BodyText"/>
        <w:rPr>
          <w:rFonts w:ascii="Tahoma"/>
          <w:b/>
          <w:sz w:val="20"/>
        </w:rPr>
      </w:pPr>
    </w:p>
    <w:p w14:paraId="49A009FD" w14:textId="77777777" w:rsidR="00084F36" w:rsidRPr="00EB2BD8" w:rsidRDefault="00084F36">
      <w:pPr>
        <w:pStyle w:val="BodyText"/>
        <w:rPr>
          <w:rFonts w:ascii="Tahoma"/>
          <w:b/>
          <w:sz w:val="20"/>
        </w:rPr>
      </w:pPr>
    </w:p>
    <w:p w14:paraId="1BAC11AB" w14:textId="77777777" w:rsidR="00084F36" w:rsidRPr="00EB2BD8" w:rsidRDefault="00084F36">
      <w:pPr>
        <w:pStyle w:val="BodyText"/>
        <w:rPr>
          <w:rFonts w:ascii="Tahoma"/>
          <w:b/>
          <w:sz w:val="20"/>
        </w:rPr>
      </w:pPr>
    </w:p>
    <w:p w14:paraId="332E9008" w14:textId="77777777" w:rsidR="00084F36" w:rsidRPr="00EB2BD8" w:rsidRDefault="00084F36">
      <w:pPr>
        <w:pStyle w:val="BodyText"/>
        <w:rPr>
          <w:rFonts w:ascii="Tahoma"/>
          <w:b/>
          <w:sz w:val="20"/>
        </w:rPr>
      </w:pPr>
    </w:p>
    <w:p w14:paraId="1C58649E" w14:textId="77777777" w:rsidR="00084F36" w:rsidRPr="00EB2BD8" w:rsidRDefault="00084F36">
      <w:pPr>
        <w:pStyle w:val="BodyText"/>
        <w:rPr>
          <w:rFonts w:ascii="Tahoma"/>
          <w:b/>
          <w:sz w:val="20"/>
        </w:rPr>
      </w:pPr>
    </w:p>
    <w:p w14:paraId="0618AF7C" w14:textId="77777777" w:rsidR="00084F36" w:rsidRPr="00EB2BD8" w:rsidRDefault="00084F36">
      <w:pPr>
        <w:pStyle w:val="BodyText"/>
        <w:rPr>
          <w:rFonts w:ascii="Tahoma"/>
          <w:b/>
          <w:sz w:val="20"/>
        </w:rPr>
      </w:pPr>
    </w:p>
    <w:p w14:paraId="7C10D05B" w14:textId="77777777" w:rsidR="00084F36" w:rsidRPr="00EB2BD8" w:rsidRDefault="00084F36">
      <w:pPr>
        <w:pStyle w:val="BodyText"/>
        <w:rPr>
          <w:rFonts w:ascii="Tahoma"/>
          <w:b/>
          <w:sz w:val="20"/>
        </w:rPr>
      </w:pPr>
    </w:p>
    <w:p w14:paraId="2C16289F" w14:textId="77777777" w:rsidR="00084F36" w:rsidRPr="00EB2BD8" w:rsidRDefault="00084F36">
      <w:pPr>
        <w:pStyle w:val="BodyText"/>
        <w:rPr>
          <w:rFonts w:ascii="Tahoma"/>
          <w:b/>
          <w:sz w:val="20"/>
        </w:rPr>
      </w:pPr>
    </w:p>
    <w:p w14:paraId="69213573" w14:textId="77777777" w:rsidR="00084F36" w:rsidRPr="00EB2BD8" w:rsidRDefault="00084F36">
      <w:pPr>
        <w:pStyle w:val="BodyText"/>
        <w:rPr>
          <w:rFonts w:ascii="Tahoma"/>
          <w:b/>
          <w:sz w:val="20"/>
        </w:rPr>
      </w:pPr>
    </w:p>
    <w:p w14:paraId="3A0C66E0" w14:textId="77777777" w:rsidR="00084F36" w:rsidRPr="00EB2BD8" w:rsidRDefault="00084F36">
      <w:pPr>
        <w:pStyle w:val="BodyText"/>
        <w:rPr>
          <w:rFonts w:ascii="Tahoma"/>
          <w:b/>
          <w:sz w:val="20"/>
        </w:rPr>
      </w:pPr>
    </w:p>
    <w:p w14:paraId="08D38103" w14:textId="77777777" w:rsidR="00084F36" w:rsidRPr="00EB2BD8" w:rsidRDefault="00084F36">
      <w:pPr>
        <w:pStyle w:val="BodyText"/>
        <w:rPr>
          <w:rFonts w:ascii="Tahoma"/>
          <w:b/>
          <w:sz w:val="20"/>
        </w:rPr>
      </w:pPr>
    </w:p>
    <w:p w14:paraId="3508F734" w14:textId="77777777" w:rsidR="00084F36" w:rsidRPr="00EB2BD8" w:rsidRDefault="00084F36">
      <w:pPr>
        <w:pStyle w:val="BodyText"/>
        <w:rPr>
          <w:rFonts w:ascii="Tahoma"/>
          <w:b/>
          <w:sz w:val="20"/>
        </w:rPr>
      </w:pPr>
    </w:p>
    <w:p w14:paraId="340058B0" w14:textId="77777777" w:rsidR="00084F36" w:rsidRPr="00EB2BD8" w:rsidRDefault="00084F36">
      <w:pPr>
        <w:pStyle w:val="BodyText"/>
        <w:rPr>
          <w:rFonts w:ascii="Tahoma"/>
          <w:b/>
          <w:sz w:val="20"/>
        </w:rPr>
      </w:pPr>
    </w:p>
    <w:p w14:paraId="0C5726C4" w14:textId="77777777" w:rsidR="00084F36" w:rsidRPr="00EB2BD8" w:rsidRDefault="00084F36">
      <w:pPr>
        <w:pStyle w:val="BodyText"/>
        <w:rPr>
          <w:rFonts w:ascii="Tahoma"/>
          <w:b/>
          <w:sz w:val="20"/>
        </w:rPr>
      </w:pPr>
    </w:p>
    <w:p w14:paraId="0676E3FB" w14:textId="77777777" w:rsidR="00084F36" w:rsidRPr="00EB2BD8" w:rsidRDefault="00084F36">
      <w:pPr>
        <w:pStyle w:val="BodyText"/>
        <w:rPr>
          <w:rFonts w:ascii="Tahoma"/>
          <w:b/>
          <w:sz w:val="20"/>
        </w:rPr>
      </w:pPr>
    </w:p>
    <w:p w14:paraId="1A14BF32" w14:textId="77777777" w:rsidR="00084F36" w:rsidRPr="00EB2BD8" w:rsidRDefault="00084F36">
      <w:pPr>
        <w:pStyle w:val="BodyText"/>
        <w:rPr>
          <w:rFonts w:ascii="Tahoma"/>
          <w:b/>
          <w:sz w:val="20"/>
        </w:rPr>
      </w:pPr>
    </w:p>
    <w:p w14:paraId="28F79EAF" w14:textId="77777777" w:rsidR="00084F36" w:rsidRPr="00EB2BD8" w:rsidRDefault="00084F36">
      <w:pPr>
        <w:pStyle w:val="BodyText"/>
        <w:rPr>
          <w:rFonts w:ascii="Tahoma"/>
          <w:b/>
          <w:sz w:val="20"/>
        </w:rPr>
      </w:pPr>
    </w:p>
    <w:p w14:paraId="3E8F57EC" w14:textId="77777777" w:rsidR="00084F36" w:rsidRPr="00EB2BD8" w:rsidRDefault="00084F36">
      <w:pPr>
        <w:pStyle w:val="BodyText"/>
        <w:rPr>
          <w:rFonts w:ascii="Tahoma"/>
          <w:b/>
          <w:sz w:val="20"/>
        </w:rPr>
      </w:pPr>
    </w:p>
    <w:p w14:paraId="1C2CC2FE" w14:textId="77777777" w:rsidR="00084F36" w:rsidRPr="00EB2BD8" w:rsidRDefault="00084F36">
      <w:pPr>
        <w:pStyle w:val="BodyText"/>
        <w:rPr>
          <w:rFonts w:ascii="Tahoma"/>
          <w:b/>
          <w:sz w:val="20"/>
        </w:rPr>
      </w:pPr>
    </w:p>
    <w:p w14:paraId="7C413DF8" w14:textId="77777777" w:rsidR="00084F36" w:rsidRPr="00EB2BD8" w:rsidRDefault="00084F36">
      <w:pPr>
        <w:pStyle w:val="BodyText"/>
        <w:rPr>
          <w:rFonts w:ascii="Tahoma"/>
          <w:b/>
          <w:sz w:val="20"/>
        </w:rPr>
      </w:pPr>
    </w:p>
    <w:p w14:paraId="6DF36008" w14:textId="77777777" w:rsidR="00084F36" w:rsidRPr="00EB2BD8" w:rsidRDefault="00084F36">
      <w:pPr>
        <w:pStyle w:val="BodyText"/>
        <w:rPr>
          <w:rFonts w:ascii="Tahoma"/>
          <w:b/>
          <w:sz w:val="20"/>
        </w:rPr>
      </w:pPr>
    </w:p>
    <w:p w14:paraId="2CB8065F" w14:textId="77777777" w:rsidR="00084F36" w:rsidRPr="00EB2BD8" w:rsidRDefault="00084F36">
      <w:pPr>
        <w:pStyle w:val="BodyText"/>
        <w:rPr>
          <w:rFonts w:ascii="Tahoma"/>
          <w:b/>
          <w:sz w:val="20"/>
        </w:rPr>
      </w:pPr>
    </w:p>
    <w:p w14:paraId="2AD940E8" w14:textId="77777777" w:rsidR="00084F36" w:rsidRPr="00EB2BD8" w:rsidRDefault="00084F36">
      <w:pPr>
        <w:pStyle w:val="BodyText"/>
        <w:rPr>
          <w:rFonts w:ascii="Tahoma"/>
          <w:b/>
          <w:sz w:val="20"/>
        </w:rPr>
      </w:pPr>
    </w:p>
    <w:p w14:paraId="6B9BC850" w14:textId="77777777" w:rsidR="00084F36" w:rsidRPr="00EB2BD8" w:rsidRDefault="00084F36">
      <w:pPr>
        <w:pStyle w:val="BodyText"/>
        <w:rPr>
          <w:rFonts w:ascii="Tahoma"/>
          <w:b/>
          <w:sz w:val="20"/>
        </w:rPr>
      </w:pPr>
    </w:p>
    <w:p w14:paraId="5260A291" w14:textId="77777777" w:rsidR="00084F36" w:rsidRPr="00EB2BD8" w:rsidRDefault="00084F36">
      <w:pPr>
        <w:pStyle w:val="BodyText"/>
        <w:rPr>
          <w:rFonts w:ascii="Tahoma"/>
          <w:b/>
          <w:sz w:val="20"/>
        </w:rPr>
      </w:pPr>
    </w:p>
    <w:p w14:paraId="51C4B885" w14:textId="77777777" w:rsidR="00084F36" w:rsidRPr="00EB2BD8" w:rsidRDefault="00084F36">
      <w:pPr>
        <w:rPr>
          <w:sz w:val="16"/>
        </w:rPr>
        <w:sectPr w:rsidR="00084F36" w:rsidRPr="00EB2BD8" w:rsidSect="006D75B2">
          <w:headerReference w:type="even" r:id="rId220"/>
          <w:footerReference w:type="even" r:id="rId221"/>
          <w:footerReference w:type="default" r:id="rId222"/>
          <w:pgSz w:w="11910" w:h="16840"/>
          <w:pgMar w:top="780" w:right="0" w:bottom="280" w:left="0" w:header="0" w:footer="0" w:gutter="0"/>
          <w:cols w:space="720"/>
        </w:sectPr>
      </w:pPr>
    </w:p>
    <w:p w14:paraId="02E79E36" w14:textId="4D48FC9F" w:rsidR="00084F36" w:rsidRPr="00EB2BD8" w:rsidRDefault="00084F36">
      <w:pPr>
        <w:pStyle w:val="BodyText"/>
        <w:rPr>
          <w:b/>
          <w:sz w:val="20"/>
        </w:rPr>
      </w:pPr>
    </w:p>
    <w:p w14:paraId="0AAD3392" w14:textId="77777777" w:rsidR="00084F36" w:rsidRPr="00EB2BD8" w:rsidRDefault="00084F36">
      <w:pPr>
        <w:pStyle w:val="BodyText"/>
        <w:rPr>
          <w:b/>
          <w:sz w:val="20"/>
        </w:rPr>
      </w:pPr>
    </w:p>
    <w:p w14:paraId="31A01320" w14:textId="77777777" w:rsidR="00084F36" w:rsidRPr="00EB2BD8" w:rsidRDefault="00084F36">
      <w:pPr>
        <w:pStyle w:val="BodyText"/>
        <w:rPr>
          <w:b/>
          <w:sz w:val="20"/>
        </w:rPr>
      </w:pPr>
    </w:p>
    <w:p w14:paraId="650A8E1A" w14:textId="77777777" w:rsidR="00084F36" w:rsidRPr="00EB2BD8" w:rsidRDefault="00084F36">
      <w:pPr>
        <w:pStyle w:val="BodyText"/>
        <w:rPr>
          <w:b/>
          <w:sz w:val="20"/>
        </w:rPr>
      </w:pPr>
    </w:p>
    <w:p w14:paraId="60FA6415" w14:textId="77777777" w:rsidR="00084F36" w:rsidRPr="00EB2BD8" w:rsidRDefault="00084F36">
      <w:pPr>
        <w:pStyle w:val="BodyText"/>
        <w:spacing w:before="8"/>
        <w:rPr>
          <w:b/>
          <w:sz w:val="17"/>
        </w:rPr>
      </w:pPr>
    </w:p>
    <w:p w14:paraId="00DE59B1" w14:textId="77777777" w:rsidR="00084F36" w:rsidRPr="00EB2BD8" w:rsidRDefault="00EB2BD8" w:rsidP="00885799">
      <w:pPr>
        <w:pStyle w:val="Heading2"/>
      </w:pPr>
      <w:bookmarkStart w:id="241" w:name="_Toc150762543"/>
      <w:r w:rsidRPr="00EB2BD8">
        <w:t>Declaration</w:t>
      </w:r>
      <w:r w:rsidRPr="00EB2BD8">
        <w:rPr>
          <w:spacing w:val="-25"/>
        </w:rPr>
        <w:t xml:space="preserve"> </w:t>
      </w:r>
      <w:r w:rsidRPr="00EB2BD8">
        <w:t>in</w:t>
      </w:r>
      <w:r w:rsidRPr="00EB2BD8">
        <w:rPr>
          <w:spacing w:val="-24"/>
        </w:rPr>
        <w:t xml:space="preserve"> </w:t>
      </w:r>
      <w:r w:rsidRPr="00EB2BD8">
        <w:t>the Financial Statements</w:t>
      </w:r>
      <w:bookmarkEnd w:id="241"/>
    </w:p>
    <w:p w14:paraId="6D238987" w14:textId="77777777" w:rsidR="00084F36" w:rsidRPr="00EB2BD8" w:rsidRDefault="00084F36">
      <w:pPr>
        <w:pStyle w:val="BodyText"/>
        <w:spacing w:before="7"/>
        <w:rPr>
          <w:rFonts w:ascii="Tahoma"/>
          <w:b/>
          <w:sz w:val="14"/>
        </w:rPr>
      </w:pPr>
    </w:p>
    <w:p w14:paraId="07600306" w14:textId="77777777" w:rsidR="00084F36" w:rsidRPr="00EB2BD8" w:rsidRDefault="00084F36">
      <w:pPr>
        <w:rPr>
          <w:rFonts w:ascii="Tahoma"/>
          <w:sz w:val="14"/>
        </w:rPr>
        <w:sectPr w:rsidR="00084F36" w:rsidRPr="00EB2BD8" w:rsidSect="006D75B2">
          <w:headerReference w:type="default" r:id="rId223"/>
          <w:footerReference w:type="default" r:id="rId224"/>
          <w:pgSz w:w="11910" w:h="16840"/>
          <w:pgMar w:top="1080" w:right="0" w:bottom="720" w:left="0" w:header="0" w:footer="528" w:gutter="0"/>
          <w:pgNumType w:start="83"/>
          <w:cols w:space="720"/>
        </w:sectPr>
      </w:pPr>
    </w:p>
    <w:p w14:paraId="0960A951" w14:textId="77777777" w:rsidR="00084F36" w:rsidRPr="00EB2BD8" w:rsidRDefault="00EB2BD8">
      <w:pPr>
        <w:pStyle w:val="BodyText"/>
        <w:spacing w:before="95" w:line="261" w:lineRule="auto"/>
        <w:ind w:left="850" w:right="54"/>
      </w:pPr>
      <w:r w:rsidRPr="00EB2BD8">
        <w:t xml:space="preserve">The attached financial statements for the Victorian Building Authority (VBA) have been prepared in accordance with Direction 5.2 of the Standing Directions of the Assistant Treasurer under the </w:t>
      </w:r>
      <w:r w:rsidRPr="00EB2BD8">
        <w:rPr>
          <w:i/>
        </w:rPr>
        <w:t>Financial Management Act 1994</w:t>
      </w:r>
      <w:r w:rsidRPr="00EB2BD8">
        <w:t>, applicable Financial Reporting</w:t>
      </w:r>
      <w:r w:rsidRPr="00EB2BD8">
        <w:rPr>
          <w:spacing w:val="-7"/>
        </w:rPr>
        <w:t xml:space="preserve"> </w:t>
      </w:r>
      <w:r w:rsidRPr="00EB2BD8">
        <w:t>Directions,</w:t>
      </w:r>
      <w:r w:rsidRPr="00EB2BD8">
        <w:rPr>
          <w:spacing w:val="-7"/>
        </w:rPr>
        <w:t xml:space="preserve"> </w:t>
      </w:r>
      <w:r w:rsidRPr="00EB2BD8">
        <w:t>Australian</w:t>
      </w:r>
      <w:r w:rsidRPr="00EB2BD8">
        <w:rPr>
          <w:spacing w:val="-7"/>
        </w:rPr>
        <w:t xml:space="preserve"> </w:t>
      </w:r>
      <w:r w:rsidRPr="00EB2BD8">
        <w:t>Accounting</w:t>
      </w:r>
      <w:r w:rsidRPr="00EB2BD8">
        <w:rPr>
          <w:spacing w:val="-7"/>
        </w:rPr>
        <w:t xml:space="preserve"> </w:t>
      </w:r>
      <w:r w:rsidRPr="00EB2BD8">
        <w:t>Standards including Interpretations, and other mandatory professional reporting requirements.</w:t>
      </w:r>
    </w:p>
    <w:p w14:paraId="5C4C3B60" w14:textId="77777777" w:rsidR="00084F36" w:rsidRPr="00EB2BD8" w:rsidRDefault="00EB2BD8">
      <w:pPr>
        <w:pStyle w:val="BodyText"/>
        <w:spacing w:before="105" w:line="261" w:lineRule="auto"/>
        <w:ind w:left="850" w:right="54"/>
      </w:pPr>
      <w:r w:rsidRPr="00EB2BD8">
        <w:t>We further state that, in our opinion, the information set out in the comprehensive operating statement, balance sheet, statement of changes in equity, cash flow statement and accompanying notes, presents fairly the financial transactions during the year ended 30 June 2023 and the financial position of the VBA as at 30 June 2023.</w:t>
      </w:r>
    </w:p>
    <w:p w14:paraId="738EBF7E" w14:textId="77777777" w:rsidR="00084F36" w:rsidRPr="00EB2BD8" w:rsidRDefault="00EB2BD8">
      <w:pPr>
        <w:pStyle w:val="BodyText"/>
        <w:spacing w:before="106" w:line="261" w:lineRule="auto"/>
        <w:ind w:left="850"/>
      </w:pPr>
      <w:r w:rsidRPr="00EB2BD8">
        <w:t>At the time of signing, we are not aware of any circumstances which would render any particulars included</w:t>
      </w:r>
      <w:r w:rsidRPr="00EB2BD8">
        <w:rPr>
          <w:spacing w:val="-7"/>
        </w:rPr>
        <w:t xml:space="preserve"> </w:t>
      </w:r>
      <w:r w:rsidRPr="00EB2BD8">
        <w:t>in</w:t>
      </w:r>
      <w:r w:rsidRPr="00EB2BD8">
        <w:rPr>
          <w:spacing w:val="-7"/>
        </w:rPr>
        <w:t xml:space="preserve"> </w:t>
      </w:r>
      <w:r w:rsidRPr="00EB2BD8">
        <w:t>the</w:t>
      </w:r>
      <w:r w:rsidRPr="00EB2BD8">
        <w:rPr>
          <w:spacing w:val="-7"/>
        </w:rPr>
        <w:t xml:space="preserve"> </w:t>
      </w:r>
      <w:r w:rsidRPr="00EB2BD8">
        <w:t>financial</w:t>
      </w:r>
      <w:r w:rsidRPr="00EB2BD8">
        <w:rPr>
          <w:spacing w:val="-7"/>
        </w:rPr>
        <w:t xml:space="preserve"> </w:t>
      </w:r>
      <w:r w:rsidRPr="00EB2BD8">
        <w:t>statements</w:t>
      </w:r>
      <w:r w:rsidRPr="00EB2BD8">
        <w:rPr>
          <w:spacing w:val="-7"/>
        </w:rPr>
        <w:t xml:space="preserve"> </w:t>
      </w:r>
      <w:r w:rsidRPr="00EB2BD8">
        <w:t>to</w:t>
      </w:r>
      <w:r w:rsidRPr="00EB2BD8">
        <w:rPr>
          <w:spacing w:val="-7"/>
        </w:rPr>
        <w:t xml:space="preserve"> </w:t>
      </w:r>
      <w:r w:rsidRPr="00EB2BD8">
        <w:t>be</w:t>
      </w:r>
      <w:r w:rsidRPr="00EB2BD8">
        <w:rPr>
          <w:spacing w:val="-7"/>
        </w:rPr>
        <w:t xml:space="preserve"> </w:t>
      </w:r>
      <w:r w:rsidRPr="00EB2BD8">
        <w:t>misleading</w:t>
      </w:r>
      <w:r w:rsidRPr="00EB2BD8">
        <w:rPr>
          <w:spacing w:val="-7"/>
        </w:rPr>
        <w:t xml:space="preserve"> </w:t>
      </w:r>
      <w:r w:rsidRPr="00EB2BD8">
        <w:t xml:space="preserve">or </w:t>
      </w:r>
      <w:r w:rsidRPr="00EB2BD8">
        <w:rPr>
          <w:spacing w:val="-2"/>
        </w:rPr>
        <w:t>inaccurate.</w:t>
      </w:r>
    </w:p>
    <w:p w14:paraId="46553B03" w14:textId="77777777" w:rsidR="00084F36" w:rsidRPr="00EB2BD8" w:rsidRDefault="00EB2BD8">
      <w:pPr>
        <w:pStyle w:val="BodyText"/>
        <w:spacing w:before="110" w:line="261" w:lineRule="auto"/>
        <w:ind w:left="850" w:right="378"/>
      </w:pPr>
      <w:r w:rsidRPr="00EB2BD8">
        <w:t>We authorise the attached financial statements for issue on 19 September 2023.</w:t>
      </w:r>
    </w:p>
    <w:p w14:paraId="4EC5ADD7" w14:textId="77777777" w:rsidR="00084F36" w:rsidRPr="00EB2BD8" w:rsidRDefault="00EB2BD8">
      <w:pPr>
        <w:spacing w:before="2"/>
        <w:rPr>
          <w:sz w:val="2"/>
        </w:rPr>
      </w:pPr>
      <w:r w:rsidRPr="00EB2BD8">
        <w:br w:type="column"/>
      </w:r>
    </w:p>
    <w:p w14:paraId="10AB0373" w14:textId="77777777" w:rsidR="00084F36" w:rsidRPr="00EB2BD8" w:rsidRDefault="00EB2BD8">
      <w:pPr>
        <w:pStyle w:val="BodyText"/>
        <w:ind w:left="547"/>
        <w:rPr>
          <w:sz w:val="20"/>
        </w:rPr>
      </w:pPr>
      <w:r w:rsidRPr="00EB2BD8">
        <w:rPr>
          <w:noProof/>
          <w:sz w:val="20"/>
        </w:rPr>
        <w:drawing>
          <wp:inline distT="0" distB="0" distL="0" distR="0" wp14:anchorId="5D981EA9" wp14:editId="4EAE7109">
            <wp:extent cx="1409943" cy="429768"/>
            <wp:effectExtent l="0" t="0" r="0" b="0"/>
            <wp:docPr id="742" name="Image 742" descr="Michelle McLean's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descr="Michelle McLean's signature"/>
                    <pic:cNvPicPr/>
                  </pic:nvPicPr>
                  <pic:blipFill>
                    <a:blip r:embed="rId225" cstate="print"/>
                    <a:stretch>
                      <a:fillRect/>
                    </a:stretch>
                  </pic:blipFill>
                  <pic:spPr>
                    <a:xfrm>
                      <a:off x="0" y="0"/>
                      <a:ext cx="1409943" cy="429768"/>
                    </a:xfrm>
                    <a:prstGeom prst="rect">
                      <a:avLst/>
                    </a:prstGeom>
                  </pic:spPr>
                </pic:pic>
              </a:graphicData>
            </a:graphic>
          </wp:inline>
        </w:drawing>
      </w:r>
    </w:p>
    <w:p w14:paraId="0BB00D4D" w14:textId="77777777" w:rsidR="00084F36" w:rsidRPr="00EB2BD8" w:rsidRDefault="00EB2BD8">
      <w:pPr>
        <w:pStyle w:val="BodyText"/>
        <w:spacing w:before="2"/>
        <w:rPr>
          <w:sz w:val="5"/>
        </w:rPr>
      </w:pPr>
      <w:r w:rsidRPr="00EB2BD8">
        <w:rPr>
          <w:noProof/>
        </w:rPr>
        <mc:AlternateContent>
          <mc:Choice Requires="wps">
            <w:drawing>
              <wp:anchor distT="0" distB="0" distL="0" distR="0" simplePos="0" relativeHeight="252367872" behindDoc="1" locked="0" layoutInCell="1" allowOverlap="1" wp14:anchorId="534567C8" wp14:editId="1533353F">
                <wp:simplePos x="0" y="0"/>
                <wp:positionH relativeFrom="page">
                  <wp:posOffset>3924000</wp:posOffset>
                </wp:positionH>
                <wp:positionV relativeFrom="paragraph">
                  <wp:posOffset>54037</wp:posOffset>
                </wp:positionV>
                <wp:extent cx="1742439" cy="1270"/>
                <wp:effectExtent l="0" t="0" r="0" b="0"/>
                <wp:wrapTopAndBottom/>
                <wp:docPr id="743" name="Graphic 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2439" cy="1270"/>
                        </a:xfrm>
                        <a:custGeom>
                          <a:avLst/>
                          <a:gdLst/>
                          <a:ahLst/>
                          <a:cxnLst/>
                          <a:rect l="l" t="t" r="r" b="b"/>
                          <a:pathLst>
                            <a:path w="1742439">
                              <a:moveTo>
                                <a:pt x="0" y="0"/>
                              </a:moveTo>
                              <a:lnTo>
                                <a:pt x="1742401" y="0"/>
                              </a:lnTo>
                            </a:path>
                          </a:pathLst>
                        </a:custGeom>
                        <a:ln w="6350">
                          <a:solidFill>
                            <a:srgbClr val="1771B9"/>
                          </a:solidFill>
                          <a:prstDash val="solid"/>
                        </a:ln>
                      </wps:spPr>
                      <wps:bodyPr wrap="square" lIns="0" tIns="0" rIns="0" bIns="0" rtlCol="0">
                        <a:prstTxWarp prst="textNoShape">
                          <a:avLst/>
                        </a:prstTxWarp>
                        <a:noAutofit/>
                      </wps:bodyPr>
                    </wps:wsp>
                  </a:graphicData>
                </a:graphic>
              </wp:anchor>
            </w:drawing>
          </mc:Choice>
          <mc:Fallback>
            <w:pict>
              <v:shape w14:anchorId="6EEB686E" id="Graphic 743" o:spid="_x0000_s1026" alt="&quot;&quot;" style="position:absolute;margin-left:309pt;margin-top:4.25pt;width:137.2pt;height:.1pt;z-index:-250948608;visibility:visible;mso-wrap-style:square;mso-wrap-distance-left:0;mso-wrap-distance-top:0;mso-wrap-distance-right:0;mso-wrap-distance-bottom:0;mso-position-horizontal:absolute;mso-position-horizontal-relative:page;mso-position-vertical:absolute;mso-position-vertical-relative:text;v-text-anchor:top" coordsize="1742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" path="m,l1742401,e" filled="f" strokecolor="#1771b9" strokeweight=".5pt">
                <v:path arrowok="t"/>
                <w10:wrap type="topAndBottom" anchorx="page"/>
              </v:shape>
            </w:pict>
          </mc:Fallback>
        </mc:AlternateContent>
      </w:r>
    </w:p>
    <w:p w14:paraId="7BFAF120" w14:textId="77777777" w:rsidR="00084F36" w:rsidRPr="00EB2BD8" w:rsidRDefault="00EB2BD8">
      <w:pPr>
        <w:pStyle w:val="BodyText"/>
        <w:spacing w:before="155"/>
        <w:ind w:left="423"/>
      </w:pPr>
      <w:r w:rsidRPr="00EB2BD8">
        <w:t>Michelle</w:t>
      </w:r>
      <w:r w:rsidRPr="00EB2BD8">
        <w:rPr>
          <w:spacing w:val="-13"/>
        </w:rPr>
        <w:t xml:space="preserve"> </w:t>
      </w:r>
      <w:r w:rsidRPr="00EB2BD8">
        <w:rPr>
          <w:spacing w:val="-2"/>
        </w:rPr>
        <w:t>McLean</w:t>
      </w:r>
    </w:p>
    <w:p w14:paraId="650154A1" w14:textId="77777777" w:rsidR="00084F36" w:rsidRPr="00EB2BD8" w:rsidRDefault="00EB2BD8">
      <w:pPr>
        <w:pStyle w:val="BodyText"/>
        <w:spacing w:before="18" w:line="261" w:lineRule="auto"/>
        <w:ind w:left="423" w:right="3212"/>
      </w:pPr>
      <w:r w:rsidRPr="00EB2BD8">
        <w:t>Chief</w:t>
      </w:r>
      <w:r w:rsidRPr="00EB2BD8">
        <w:rPr>
          <w:spacing w:val="-6"/>
        </w:rPr>
        <w:t xml:space="preserve"> </w:t>
      </w:r>
      <w:r w:rsidRPr="00EB2BD8">
        <w:t>Commissioner Victorian</w:t>
      </w:r>
      <w:r w:rsidRPr="00EB2BD8">
        <w:rPr>
          <w:spacing w:val="-15"/>
        </w:rPr>
        <w:t xml:space="preserve"> </w:t>
      </w:r>
      <w:r w:rsidRPr="00EB2BD8">
        <w:t>Building</w:t>
      </w:r>
      <w:r w:rsidRPr="00EB2BD8">
        <w:rPr>
          <w:spacing w:val="-14"/>
        </w:rPr>
        <w:t xml:space="preserve"> </w:t>
      </w:r>
      <w:r w:rsidRPr="00EB2BD8">
        <w:t xml:space="preserve">Authority </w:t>
      </w:r>
      <w:r w:rsidRPr="00EB2BD8">
        <w:rPr>
          <w:spacing w:val="-2"/>
        </w:rPr>
        <w:t>Melbourne</w:t>
      </w:r>
    </w:p>
    <w:p w14:paraId="7F189600" w14:textId="77777777" w:rsidR="00084F36" w:rsidRPr="00EB2BD8" w:rsidRDefault="00084F36">
      <w:pPr>
        <w:pStyle w:val="BodyText"/>
        <w:rPr>
          <w:sz w:val="20"/>
        </w:rPr>
      </w:pPr>
    </w:p>
    <w:p w14:paraId="6D3F8551" w14:textId="77777777" w:rsidR="00084F36" w:rsidRPr="00EB2BD8" w:rsidRDefault="00EB2BD8">
      <w:pPr>
        <w:pStyle w:val="BodyText"/>
        <w:spacing w:before="7"/>
        <w:rPr>
          <w:sz w:val="10"/>
        </w:rPr>
      </w:pPr>
      <w:r w:rsidRPr="00EB2BD8">
        <w:rPr>
          <w:noProof/>
        </w:rPr>
        <mc:AlternateContent>
          <mc:Choice Requires="wpg">
            <w:drawing>
              <wp:anchor distT="0" distB="0" distL="0" distR="0" simplePos="0" relativeHeight="252375040" behindDoc="1" locked="0" layoutInCell="1" allowOverlap="1" wp14:anchorId="4D9694F8" wp14:editId="52F40C60">
                <wp:simplePos x="0" y="0"/>
                <wp:positionH relativeFrom="page">
                  <wp:posOffset>3924000</wp:posOffset>
                </wp:positionH>
                <wp:positionV relativeFrom="paragraph">
                  <wp:posOffset>94603</wp:posOffset>
                </wp:positionV>
                <wp:extent cx="1742439" cy="553720"/>
                <wp:effectExtent l="0" t="0" r="0" b="0"/>
                <wp:wrapTopAndBottom/>
                <wp:docPr id="744" name="Group 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2439" cy="553720"/>
                          <a:chOff x="0" y="0"/>
                          <a:chExt cx="1742439" cy="553720"/>
                        </a:xfrm>
                      </wpg:grpSpPr>
                      <pic:pic xmlns:pic="http://schemas.openxmlformats.org/drawingml/2006/picture">
                        <pic:nvPicPr>
                          <pic:cNvPr id="745" name="Image 745" descr="Anna Cronin's signature"/>
                          <pic:cNvPicPr/>
                        </pic:nvPicPr>
                        <pic:blipFill>
                          <a:blip r:embed="rId226" cstate="print"/>
                          <a:stretch>
                            <a:fillRect/>
                          </a:stretch>
                        </pic:blipFill>
                        <pic:spPr>
                          <a:xfrm>
                            <a:off x="38568" y="0"/>
                            <a:ext cx="1065180" cy="511599"/>
                          </a:xfrm>
                          <a:prstGeom prst="rect">
                            <a:avLst/>
                          </a:prstGeom>
                        </pic:spPr>
                      </pic:pic>
                      <wps:wsp>
                        <wps:cNvPr id="746" name="Graphic 746"/>
                        <wps:cNvSpPr/>
                        <wps:spPr>
                          <a:xfrm>
                            <a:off x="0" y="549919"/>
                            <a:ext cx="1742439" cy="1270"/>
                          </a:xfrm>
                          <a:custGeom>
                            <a:avLst/>
                            <a:gdLst/>
                            <a:ahLst/>
                            <a:cxnLst/>
                            <a:rect l="l" t="t" r="r" b="b"/>
                            <a:pathLst>
                              <a:path w="1742439">
                                <a:moveTo>
                                  <a:pt x="0" y="0"/>
                                </a:moveTo>
                                <a:lnTo>
                                  <a:pt x="1742401" y="0"/>
                                </a:lnTo>
                              </a:path>
                            </a:pathLst>
                          </a:custGeom>
                          <a:ln w="6350">
                            <a:solidFill>
                              <a:srgbClr val="1771B9"/>
                            </a:solidFill>
                            <a:prstDash val="solid"/>
                          </a:ln>
                        </wps:spPr>
                        <wps:bodyPr wrap="square" lIns="0" tIns="0" rIns="0" bIns="0" rtlCol="0">
                          <a:prstTxWarp prst="textNoShape">
                            <a:avLst/>
                          </a:prstTxWarp>
                          <a:noAutofit/>
                        </wps:bodyPr>
                      </wps:wsp>
                    </wpg:wgp>
                  </a:graphicData>
                </a:graphic>
              </wp:anchor>
            </w:drawing>
          </mc:Choice>
          <mc:Fallback>
            <w:pict>
              <v:group w14:anchorId="1885AAA8" id="Group 744" o:spid="_x0000_s1026" alt="&quot;&quot;" style="position:absolute;margin-left:309pt;margin-top:7.45pt;width:137.2pt;height:43.6pt;z-index:-250941440;mso-wrap-distance-left:0;mso-wrap-distance-right:0;mso-position-horizontal-relative:page" coordsize="17424,5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">
                <v:shape id="Image 745" o:spid="_x0000_s1027" type="#_x0000_t75" alt="Anna Cronin's signature" style="position:absolute;left:385;width:10652;height: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">
                  <v:imagedata r:id="rId239" o:title="Anna Cronin's signature"/>
                </v:shape>
                <v:shape id="Graphic 746" o:spid="_x0000_s1028" style="position:absolute;top:5499;width:17424;height:12;visibility:visible;mso-wrap-style:square;v-text-anchor:top" coordsize="17424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" path="m,l1742401,e" filled="f" strokecolor="#1771b9" strokeweight=".5pt">
                  <v:path arrowok="t"/>
                </v:shape>
                <w10:wrap type="topAndBottom" anchorx="page"/>
              </v:group>
            </w:pict>
          </mc:Fallback>
        </mc:AlternateContent>
      </w:r>
    </w:p>
    <w:p w14:paraId="38EA766D" w14:textId="77777777" w:rsidR="00084F36" w:rsidRPr="00EB2BD8" w:rsidRDefault="00EB2BD8">
      <w:pPr>
        <w:pStyle w:val="BodyText"/>
        <w:spacing w:before="155"/>
        <w:ind w:left="423"/>
      </w:pPr>
      <w:r w:rsidRPr="00EB2BD8">
        <w:t>Anna</w:t>
      </w:r>
      <w:r w:rsidRPr="00EB2BD8">
        <w:rPr>
          <w:spacing w:val="-5"/>
        </w:rPr>
        <w:t xml:space="preserve"> </w:t>
      </w:r>
      <w:r w:rsidRPr="00EB2BD8">
        <w:rPr>
          <w:spacing w:val="-2"/>
        </w:rPr>
        <w:t>Cronin</w:t>
      </w:r>
    </w:p>
    <w:p w14:paraId="15CE1322" w14:textId="77777777" w:rsidR="00084F36" w:rsidRPr="00EB2BD8" w:rsidRDefault="00EB2BD8">
      <w:pPr>
        <w:pStyle w:val="BodyText"/>
        <w:spacing w:before="18" w:line="261" w:lineRule="auto"/>
        <w:ind w:left="423" w:right="3212"/>
      </w:pPr>
      <w:r w:rsidRPr="00EB2BD8">
        <w:t>Chief Executive Officer Victorian</w:t>
      </w:r>
      <w:r w:rsidRPr="00EB2BD8">
        <w:rPr>
          <w:spacing w:val="-15"/>
        </w:rPr>
        <w:t xml:space="preserve"> </w:t>
      </w:r>
      <w:r w:rsidRPr="00EB2BD8">
        <w:t>Building</w:t>
      </w:r>
      <w:r w:rsidRPr="00EB2BD8">
        <w:rPr>
          <w:spacing w:val="-14"/>
        </w:rPr>
        <w:t xml:space="preserve"> </w:t>
      </w:r>
      <w:r w:rsidRPr="00EB2BD8">
        <w:t xml:space="preserve">Authority </w:t>
      </w:r>
      <w:r w:rsidRPr="00EB2BD8">
        <w:rPr>
          <w:spacing w:val="-2"/>
        </w:rPr>
        <w:t>Melbourne</w:t>
      </w:r>
    </w:p>
    <w:p w14:paraId="1DC0C988" w14:textId="77777777" w:rsidR="00084F36" w:rsidRPr="00EB2BD8" w:rsidRDefault="00EB2BD8">
      <w:pPr>
        <w:pStyle w:val="BodyText"/>
        <w:spacing w:before="1"/>
      </w:pPr>
      <w:r w:rsidRPr="00EB2BD8">
        <w:rPr>
          <w:noProof/>
        </w:rPr>
        <w:drawing>
          <wp:anchor distT="0" distB="0" distL="0" distR="0" simplePos="0" relativeHeight="252382208" behindDoc="1" locked="0" layoutInCell="1" allowOverlap="1" wp14:anchorId="6E232CC6" wp14:editId="778B981D">
            <wp:simplePos x="0" y="0"/>
            <wp:positionH relativeFrom="page">
              <wp:posOffset>3984969</wp:posOffset>
            </wp:positionH>
            <wp:positionV relativeFrom="paragraph">
              <wp:posOffset>151057</wp:posOffset>
            </wp:positionV>
            <wp:extent cx="1072895" cy="603503"/>
            <wp:effectExtent l="0" t="0" r="0" b="0"/>
            <wp:wrapTopAndBottom/>
            <wp:docPr id="747" name="Image 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a:extLst>
                        <a:ext uri="{C183D7F6-B498-43B3-948B-1728B52AA6E4}">
                          <adec:decorative xmlns:adec="http://schemas.microsoft.com/office/drawing/2017/decorative" val="1"/>
                        </a:ext>
                      </a:extLst>
                    </pic:cNvPr>
                    <pic:cNvPicPr/>
                  </pic:nvPicPr>
                  <pic:blipFill>
                    <a:blip r:embed="rId240" cstate="print"/>
                    <a:stretch>
                      <a:fillRect/>
                    </a:stretch>
                  </pic:blipFill>
                  <pic:spPr>
                    <a:xfrm>
                      <a:off x="0" y="0"/>
                      <a:ext cx="1072895" cy="603503"/>
                    </a:xfrm>
                    <a:prstGeom prst="rect">
                      <a:avLst/>
                    </a:prstGeom>
                  </pic:spPr>
                </pic:pic>
              </a:graphicData>
            </a:graphic>
          </wp:anchor>
        </w:drawing>
      </w:r>
      <w:r w:rsidRPr="00EB2BD8">
        <w:rPr>
          <w:noProof/>
        </w:rPr>
        <mc:AlternateContent>
          <mc:Choice Requires="wps">
            <w:drawing>
              <wp:anchor distT="0" distB="0" distL="0" distR="0" simplePos="0" relativeHeight="252389376" behindDoc="1" locked="0" layoutInCell="1" allowOverlap="1" wp14:anchorId="131D1EB9" wp14:editId="0DDFAA35">
                <wp:simplePos x="0" y="0"/>
                <wp:positionH relativeFrom="page">
                  <wp:posOffset>3921899</wp:posOffset>
                </wp:positionH>
                <wp:positionV relativeFrom="paragraph">
                  <wp:posOffset>839734</wp:posOffset>
                </wp:positionV>
                <wp:extent cx="1742439" cy="1270"/>
                <wp:effectExtent l="0" t="0" r="0" b="0"/>
                <wp:wrapTopAndBottom/>
                <wp:docPr id="748" name="Graphic 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2439" cy="1270"/>
                        </a:xfrm>
                        <a:custGeom>
                          <a:avLst/>
                          <a:gdLst/>
                          <a:ahLst/>
                          <a:cxnLst/>
                          <a:rect l="l" t="t" r="r" b="b"/>
                          <a:pathLst>
                            <a:path w="1742439">
                              <a:moveTo>
                                <a:pt x="0" y="0"/>
                              </a:moveTo>
                              <a:lnTo>
                                <a:pt x="1742401" y="0"/>
                              </a:lnTo>
                            </a:path>
                          </a:pathLst>
                        </a:custGeom>
                        <a:ln w="6350">
                          <a:solidFill>
                            <a:srgbClr val="1771B9"/>
                          </a:solidFill>
                          <a:prstDash val="solid"/>
                        </a:ln>
                      </wps:spPr>
                      <wps:bodyPr wrap="square" lIns="0" tIns="0" rIns="0" bIns="0" rtlCol="0">
                        <a:prstTxWarp prst="textNoShape">
                          <a:avLst/>
                        </a:prstTxWarp>
                        <a:noAutofit/>
                      </wps:bodyPr>
                    </wps:wsp>
                  </a:graphicData>
                </a:graphic>
              </wp:anchor>
            </w:drawing>
          </mc:Choice>
          <mc:Fallback>
            <w:pict>
              <v:shape w14:anchorId="6FCB83F0" id="Graphic 748" o:spid="_x0000_s1026" alt="&quot;&quot;" style="position:absolute;margin-left:308.8pt;margin-top:66.1pt;width:137.2pt;height:.1pt;z-index:-250927104;visibility:visible;mso-wrap-style:square;mso-wrap-distance-left:0;mso-wrap-distance-top:0;mso-wrap-distance-right:0;mso-wrap-distance-bottom:0;mso-position-horizontal:absolute;mso-position-horizontal-relative:page;mso-position-vertical:absolute;mso-position-vertical-relative:text;v-text-anchor:top" coordsize="1742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" path="m,l1742401,e" filled="f" strokecolor="#1771b9" strokeweight=".5pt">
                <v:path arrowok="t"/>
                <w10:wrap type="topAndBottom" anchorx="page"/>
              </v:shape>
            </w:pict>
          </mc:Fallback>
        </mc:AlternateContent>
      </w:r>
    </w:p>
    <w:p w14:paraId="08003981" w14:textId="77777777" w:rsidR="00084F36" w:rsidRPr="00EB2BD8" w:rsidRDefault="00084F36">
      <w:pPr>
        <w:pStyle w:val="BodyText"/>
        <w:spacing w:before="4"/>
        <w:rPr>
          <w:sz w:val="9"/>
        </w:rPr>
      </w:pPr>
    </w:p>
    <w:p w14:paraId="0BAACE34" w14:textId="77777777" w:rsidR="00084F36" w:rsidRPr="00EB2BD8" w:rsidRDefault="00EB2BD8">
      <w:pPr>
        <w:pStyle w:val="BodyText"/>
        <w:spacing w:before="156"/>
        <w:ind w:left="423"/>
      </w:pPr>
      <w:r w:rsidRPr="00EB2BD8">
        <w:rPr>
          <w:spacing w:val="-2"/>
          <w:w w:val="105"/>
        </w:rPr>
        <w:t>Katrina</w:t>
      </w:r>
      <w:r w:rsidRPr="00EB2BD8">
        <w:rPr>
          <w:spacing w:val="-8"/>
          <w:w w:val="105"/>
        </w:rPr>
        <w:t xml:space="preserve"> </w:t>
      </w:r>
      <w:r w:rsidRPr="00EB2BD8">
        <w:rPr>
          <w:spacing w:val="-2"/>
          <w:w w:val="105"/>
        </w:rPr>
        <w:t>Excell</w:t>
      </w:r>
    </w:p>
    <w:p w14:paraId="32B5472E" w14:textId="77777777" w:rsidR="00084F36" w:rsidRPr="00EB2BD8" w:rsidRDefault="00EB2BD8">
      <w:pPr>
        <w:pStyle w:val="BodyText"/>
        <w:spacing w:before="18" w:line="261" w:lineRule="auto"/>
        <w:ind w:left="423" w:right="3212"/>
      </w:pPr>
      <w:r w:rsidRPr="00EB2BD8">
        <w:t>Chief Finance Officer Victorian</w:t>
      </w:r>
      <w:r w:rsidRPr="00EB2BD8">
        <w:rPr>
          <w:spacing w:val="-15"/>
        </w:rPr>
        <w:t xml:space="preserve"> </w:t>
      </w:r>
      <w:r w:rsidRPr="00EB2BD8">
        <w:t>Building</w:t>
      </w:r>
      <w:r w:rsidRPr="00EB2BD8">
        <w:rPr>
          <w:spacing w:val="-14"/>
        </w:rPr>
        <w:t xml:space="preserve"> </w:t>
      </w:r>
      <w:r w:rsidRPr="00EB2BD8">
        <w:t xml:space="preserve">Authority </w:t>
      </w:r>
      <w:r w:rsidRPr="00EB2BD8">
        <w:rPr>
          <w:spacing w:val="-2"/>
        </w:rPr>
        <w:t>Melbourne</w:t>
      </w:r>
    </w:p>
    <w:p w14:paraId="6F788294" w14:textId="77777777" w:rsidR="00084F36" w:rsidRPr="00EB2BD8" w:rsidRDefault="00084F36">
      <w:pPr>
        <w:spacing w:line="261" w:lineRule="auto"/>
        <w:sectPr w:rsidR="00084F36" w:rsidRPr="00EB2BD8" w:rsidSect="006D75B2">
          <w:type w:val="continuous"/>
          <w:pgSz w:w="11910" w:h="16840"/>
          <w:pgMar w:top="1920" w:right="0" w:bottom="280" w:left="0" w:header="0" w:footer="0" w:gutter="0"/>
          <w:cols w:num="2" w:space="720" w:equalWidth="0">
            <w:col w:w="5717" w:space="40"/>
            <w:col w:w="6153"/>
          </w:cols>
        </w:sectPr>
      </w:pPr>
    </w:p>
    <w:p w14:paraId="7D3663EB" w14:textId="77777777" w:rsidR="00084F36" w:rsidRPr="00EB2BD8" w:rsidRDefault="00084F36">
      <w:pPr>
        <w:pStyle w:val="BodyText"/>
        <w:rPr>
          <w:sz w:val="20"/>
        </w:rPr>
      </w:pPr>
    </w:p>
    <w:p w14:paraId="2AA42DD3" w14:textId="77777777" w:rsidR="00084F36" w:rsidRPr="00EB2BD8" w:rsidRDefault="00084F36">
      <w:pPr>
        <w:pStyle w:val="BodyText"/>
        <w:rPr>
          <w:sz w:val="20"/>
        </w:rPr>
      </w:pPr>
    </w:p>
    <w:p w14:paraId="777ED070" w14:textId="77777777" w:rsidR="00084F36" w:rsidRPr="00EB2BD8" w:rsidRDefault="00084F36">
      <w:pPr>
        <w:pStyle w:val="BodyText"/>
        <w:spacing w:before="4"/>
        <w:rPr>
          <w:sz w:val="24"/>
        </w:rPr>
      </w:pPr>
    </w:p>
    <w:p w14:paraId="23FF6039" w14:textId="4EF3BE57" w:rsidR="00084F36" w:rsidRPr="00EB2BD8" w:rsidRDefault="00EB2BD8" w:rsidP="0088248E">
      <w:pPr>
        <w:pStyle w:val="BodyText"/>
        <w:ind w:left="1202"/>
        <w:rPr>
          <w:sz w:val="20"/>
        </w:rPr>
        <w:sectPr w:rsidR="00084F36" w:rsidRPr="00EB2BD8" w:rsidSect="006D75B2">
          <w:headerReference w:type="even" r:id="rId241"/>
          <w:footerReference w:type="even" r:id="rId242"/>
          <w:footerReference w:type="default" r:id="rId243"/>
          <w:pgSz w:w="11910" w:h="16840"/>
          <w:pgMar w:top="0" w:right="0" w:bottom="280" w:left="0" w:header="0" w:footer="0" w:gutter="0"/>
          <w:cols w:space="720"/>
        </w:sectPr>
      </w:pPr>
      <w:r w:rsidRPr="00EB2BD8">
        <w:rPr>
          <w:noProof/>
          <w:sz w:val="20"/>
        </w:rPr>
        <mc:AlternateContent>
          <mc:Choice Requires="wpg">
            <w:drawing>
              <wp:inline distT="0" distB="0" distL="0" distR="0" wp14:anchorId="4B13E94B" wp14:editId="743F73FE">
                <wp:extent cx="6199327" cy="3677271"/>
                <wp:effectExtent l="0" t="0" r="0" b="19050"/>
                <wp:docPr id="753" name="Group 753" descr="I have audited the financial report of the Victorian Building Authority (the authority) which&#10;comprises the:&#10;• balance sheet as at 30 June 2023&#10;• comprehensive operating statement for the year then ended&#10;• statement of changes in equity for the year then ended&#10;• cash flow statement for the year then ended&#10;• notes to the financial statements, including significant accounting policies&#10;• declaration in the financial statement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9327" cy="3677271"/>
                          <a:chOff x="0" y="0"/>
                          <a:chExt cx="6199327" cy="3677271"/>
                        </a:xfrm>
                      </wpg:grpSpPr>
                      <pic:pic xmlns:pic="http://schemas.openxmlformats.org/drawingml/2006/picture">
                        <pic:nvPicPr>
                          <pic:cNvPr id="754" name="Image 754" descr="VAGO logo - Victorian Auditor-General's Office"/>
                          <pic:cNvPicPr/>
                        </pic:nvPicPr>
                        <pic:blipFill>
                          <a:blip r:embed="rId244" cstate="print"/>
                          <a:stretch>
                            <a:fillRect/>
                          </a:stretch>
                        </pic:blipFill>
                        <pic:spPr>
                          <a:xfrm>
                            <a:off x="3434550" y="0"/>
                            <a:ext cx="2764777" cy="1472692"/>
                          </a:xfrm>
                          <a:prstGeom prst="rect">
                            <a:avLst/>
                          </a:prstGeom>
                        </pic:spPr>
                      </pic:pic>
                      <wps:wsp>
                        <wps:cNvPr id="755" name="Graphic 755"/>
                        <wps:cNvSpPr/>
                        <wps:spPr>
                          <a:xfrm>
                            <a:off x="0" y="1378368"/>
                            <a:ext cx="5480685" cy="5715"/>
                          </a:xfrm>
                          <a:custGeom>
                            <a:avLst/>
                            <a:gdLst/>
                            <a:ahLst/>
                            <a:cxnLst/>
                            <a:rect l="l" t="t" r="r" b="b"/>
                            <a:pathLst>
                              <a:path w="5480685" h="5715">
                                <a:moveTo>
                                  <a:pt x="878624" y="0"/>
                                </a:moveTo>
                                <a:lnTo>
                                  <a:pt x="873226" y="0"/>
                                </a:lnTo>
                                <a:lnTo>
                                  <a:pt x="5461" y="0"/>
                                </a:lnTo>
                                <a:lnTo>
                                  <a:pt x="0" y="0"/>
                                </a:lnTo>
                                <a:lnTo>
                                  <a:pt x="0" y="5448"/>
                                </a:lnTo>
                                <a:lnTo>
                                  <a:pt x="5461" y="5448"/>
                                </a:lnTo>
                                <a:lnTo>
                                  <a:pt x="873163" y="5448"/>
                                </a:lnTo>
                                <a:lnTo>
                                  <a:pt x="878624" y="5448"/>
                                </a:lnTo>
                                <a:lnTo>
                                  <a:pt x="878624" y="0"/>
                                </a:lnTo>
                                <a:close/>
                              </a:path>
                              <a:path w="5480685" h="5715">
                                <a:moveTo>
                                  <a:pt x="5480126" y="0"/>
                                </a:moveTo>
                                <a:lnTo>
                                  <a:pt x="878636" y="0"/>
                                </a:lnTo>
                                <a:lnTo>
                                  <a:pt x="878636" y="5448"/>
                                </a:lnTo>
                                <a:lnTo>
                                  <a:pt x="5480126" y="5448"/>
                                </a:lnTo>
                                <a:lnTo>
                                  <a:pt x="5480126" y="0"/>
                                </a:lnTo>
                                <a:close/>
                              </a:path>
                            </a:pathLst>
                          </a:custGeom>
                          <a:solidFill>
                            <a:srgbClr val="D0CECE"/>
                          </a:solidFill>
                        </wps:spPr>
                        <wps:bodyPr wrap="square" lIns="0" tIns="0" rIns="0" bIns="0" rtlCol="0">
                          <a:prstTxWarp prst="textNoShape">
                            <a:avLst/>
                          </a:prstTxWarp>
                          <a:noAutofit/>
                        </wps:bodyPr>
                      </wps:wsp>
                      <wps:wsp>
                        <wps:cNvPr id="756" name="Graphic 756"/>
                        <wps:cNvSpPr/>
                        <wps:spPr>
                          <a:xfrm>
                            <a:off x="5480253" y="1378356"/>
                            <a:ext cx="5715" cy="5715"/>
                          </a:xfrm>
                          <a:custGeom>
                            <a:avLst/>
                            <a:gdLst/>
                            <a:ahLst/>
                            <a:cxnLst/>
                            <a:rect l="l" t="t" r="r" b="b"/>
                            <a:pathLst>
                              <a:path w="5715" h="5715">
                                <a:moveTo>
                                  <a:pt x="5448" y="0"/>
                                </a:moveTo>
                                <a:lnTo>
                                  <a:pt x="0" y="0"/>
                                </a:lnTo>
                                <a:lnTo>
                                  <a:pt x="0" y="5460"/>
                                </a:lnTo>
                                <a:lnTo>
                                  <a:pt x="5448" y="5460"/>
                                </a:lnTo>
                                <a:lnTo>
                                  <a:pt x="5448" y="0"/>
                                </a:lnTo>
                                <a:close/>
                              </a:path>
                            </a:pathLst>
                          </a:custGeom>
                          <a:solidFill>
                            <a:srgbClr val="FFFFFF"/>
                          </a:solidFill>
                        </wps:spPr>
                        <wps:bodyPr wrap="square" lIns="0" tIns="0" rIns="0" bIns="0" rtlCol="0">
                          <a:prstTxWarp prst="textNoShape">
                            <a:avLst/>
                          </a:prstTxWarp>
                          <a:noAutofit/>
                        </wps:bodyPr>
                      </wps:wsp>
                      <wps:wsp>
                        <wps:cNvPr id="757" name="Graphic 757"/>
                        <wps:cNvSpPr/>
                        <wps:spPr>
                          <a:xfrm>
                            <a:off x="5480253" y="1378356"/>
                            <a:ext cx="5715" cy="5715"/>
                          </a:xfrm>
                          <a:custGeom>
                            <a:avLst/>
                            <a:gdLst/>
                            <a:ahLst/>
                            <a:cxnLst/>
                            <a:rect l="l" t="t" r="r" b="b"/>
                            <a:pathLst>
                              <a:path w="5715" h="5715">
                                <a:moveTo>
                                  <a:pt x="5448" y="0"/>
                                </a:moveTo>
                                <a:lnTo>
                                  <a:pt x="0" y="0"/>
                                </a:lnTo>
                                <a:lnTo>
                                  <a:pt x="0" y="5460"/>
                                </a:lnTo>
                                <a:lnTo>
                                  <a:pt x="5448" y="5460"/>
                                </a:lnTo>
                                <a:lnTo>
                                  <a:pt x="5448" y="0"/>
                                </a:lnTo>
                                <a:close/>
                              </a:path>
                            </a:pathLst>
                          </a:custGeom>
                          <a:solidFill>
                            <a:srgbClr val="D0CECE"/>
                          </a:solidFill>
                        </wps:spPr>
                        <wps:bodyPr wrap="square" lIns="0" tIns="0" rIns="0" bIns="0" rtlCol="0">
                          <a:prstTxWarp prst="textNoShape">
                            <a:avLst/>
                          </a:prstTxWarp>
                          <a:noAutofit/>
                        </wps:bodyPr>
                      </wps:wsp>
                      <wps:wsp>
                        <wps:cNvPr id="758" name="Graphic 758"/>
                        <wps:cNvSpPr/>
                        <wps:spPr>
                          <a:xfrm>
                            <a:off x="5480253" y="1383931"/>
                            <a:ext cx="5715" cy="2287905"/>
                          </a:xfrm>
                          <a:custGeom>
                            <a:avLst/>
                            <a:gdLst/>
                            <a:ahLst/>
                            <a:cxnLst/>
                            <a:rect l="l" t="t" r="r" b="b"/>
                            <a:pathLst>
                              <a:path w="5715" h="2287905">
                                <a:moveTo>
                                  <a:pt x="5448" y="0"/>
                                </a:moveTo>
                                <a:lnTo>
                                  <a:pt x="0" y="0"/>
                                </a:lnTo>
                                <a:lnTo>
                                  <a:pt x="0" y="2287625"/>
                                </a:lnTo>
                                <a:lnTo>
                                  <a:pt x="5448" y="2287625"/>
                                </a:lnTo>
                                <a:lnTo>
                                  <a:pt x="5448" y="0"/>
                                </a:lnTo>
                                <a:close/>
                              </a:path>
                            </a:pathLst>
                          </a:custGeom>
                          <a:solidFill>
                            <a:srgbClr val="FFFFFF"/>
                          </a:solidFill>
                        </wps:spPr>
                        <wps:bodyPr wrap="square" lIns="0" tIns="0" rIns="0" bIns="0" rtlCol="0">
                          <a:prstTxWarp prst="textNoShape">
                            <a:avLst/>
                          </a:prstTxWarp>
                          <a:noAutofit/>
                        </wps:bodyPr>
                      </wps:wsp>
                      <wps:wsp>
                        <wps:cNvPr id="759" name="Graphic 759"/>
                        <wps:cNvSpPr/>
                        <wps:spPr>
                          <a:xfrm>
                            <a:off x="0" y="3671556"/>
                            <a:ext cx="5485765" cy="5715"/>
                          </a:xfrm>
                          <a:custGeom>
                            <a:avLst/>
                            <a:gdLst/>
                            <a:ahLst/>
                            <a:cxnLst/>
                            <a:rect l="l" t="t" r="r" b="b"/>
                            <a:pathLst>
                              <a:path w="5485765" h="5715">
                                <a:moveTo>
                                  <a:pt x="878624" y="0"/>
                                </a:moveTo>
                                <a:lnTo>
                                  <a:pt x="873226" y="0"/>
                                </a:lnTo>
                                <a:lnTo>
                                  <a:pt x="5461" y="0"/>
                                </a:lnTo>
                                <a:lnTo>
                                  <a:pt x="0" y="0"/>
                                </a:lnTo>
                                <a:lnTo>
                                  <a:pt x="0" y="5448"/>
                                </a:lnTo>
                                <a:lnTo>
                                  <a:pt x="5461" y="5448"/>
                                </a:lnTo>
                                <a:lnTo>
                                  <a:pt x="873163" y="5448"/>
                                </a:lnTo>
                                <a:lnTo>
                                  <a:pt x="878624" y="5448"/>
                                </a:lnTo>
                                <a:lnTo>
                                  <a:pt x="878624" y="0"/>
                                </a:lnTo>
                                <a:close/>
                              </a:path>
                              <a:path w="5485765" h="5715">
                                <a:moveTo>
                                  <a:pt x="5480126" y="0"/>
                                </a:moveTo>
                                <a:lnTo>
                                  <a:pt x="878636" y="0"/>
                                </a:lnTo>
                                <a:lnTo>
                                  <a:pt x="878636" y="5448"/>
                                </a:lnTo>
                                <a:lnTo>
                                  <a:pt x="5480126" y="5448"/>
                                </a:lnTo>
                                <a:lnTo>
                                  <a:pt x="5480126" y="0"/>
                                </a:lnTo>
                                <a:close/>
                              </a:path>
                              <a:path w="5485765" h="5715">
                                <a:moveTo>
                                  <a:pt x="5485701" y="0"/>
                                </a:moveTo>
                                <a:lnTo>
                                  <a:pt x="5480253" y="0"/>
                                </a:lnTo>
                                <a:lnTo>
                                  <a:pt x="5480253" y="5448"/>
                                </a:lnTo>
                                <a:lnTo>
                                  <a:pt x="5485701" y="5448"/>
                                </a:lnTo>
                                <a:lnTo>
                                  <a:pt x="5485701" y="0"/>
                                </a:lnTo>
                                <a:close/>
                              </a:path>
                            </a:pathLst>
                          </a:custGeom>
                          <a:solidFill>
                            <a:srgbClr val="D0CECE"/>
                          </a:solidFill>
                        </wps:spPr>
                        <wps:bodyPr wrap="square" lIns="0" tIns="0" rIns="0" bIns="0" rtlCol="0">
                          <a:prstTxWarp prst="textNoShape">
                            <a:avLst/>
                          </a:prstTxWarp>
                          <a:noAutofit/>
                        </wps:bodyPr>
                      </wps:wsp>
                      <wps:wsp>
                        <wps:cNvPr id="760" name="Textbox 760" descr="Opinion"/>
                        <wps:cNvSpPr txBox="1"/>
                        <wps:spPr>
                          <a:xfrm>
                            <a:off x="64109" y="1443824"/>
                            <a:ext cx="410209" cy="120650"/>
                          </a:xfrm>
                          <a:prstGeom prst="rect">
                            <a:avLst/>
                          </a:prstGeom>
                        </wps:spPr>
                        <wps:txbx>
                          <w:txbxContent>
                            <w:p w14:paraId="3A1D1F3C" w14:textId="77777777" w:rsidR="00084F36" w:rsidRDefault="00EB2BD8">
                              <w:pPr>
                                <w:spacing w:line="189" w:lineRule="exact"/>
                                <w:rPr>
                                  <w:rFonts w:ascii="Calibri"/>
                                  <w:b/>
                                  <w:sz w:val="19"/>
                                </w:rPr>
                              </w:pPr>
                              <w:r>
                                <w:rPr>
                                  <w:rFonts w:ascii="Calibri"/>
                                  <w:b/>
                                  <w:spacing w:val="-2"/>
                                  <w:sz w:val="19"/>
                                </w:rPr>
                                <w:t>Opinion</w:t>
                              </w:r>
                            </w:p>
                          </w:txbxContent>
                        </wps:txbx>
                        <wps:bodyPr wrap="square" lIns="0" tIns="0" rIns="0" bIns="0" rtlCol="0">
                          <a:noAutofit/>
                        </wps:bodyPr>
                      </wps:wsp>
                      <wps:wsp>
                        <wps:cNvPr id="761" name="Textbox 761" descr="VAGO Victorian Auditor-General's Office&#10;Opinion&#10;I have audited the financial report of the Victorian Building Authority (the authority) which&#10;comprises the:&#10;• balance sheet as at 30 June 2023&#10;• comprehensive operating statement for the year then ended&#10;• statement of changes in equity for the year then ended&#10;• cash flow statement for the year then ended&#10;• notes to the financial statements, including significant accounting policies&#10;• declaration in the financial statements.&#10;"/>
                        <wps:cNvSpPr txBox="1"/>
                        <wps:spPr>
                          <a:xfrm>
                            <a:off x="956379" y="1399374"/>
                            <a:ext cx="4403725" cy="1398905"/>
                          </a:xfrm>
                          <a:prstGeom prst="rect">
                            <a:avLst/>
                          </a:prstGeom>
                        </wps:spPr>
                        <wps:txbx>
                          <w:txbxContent>
                            <w:p w14:paraId="732EA055" w14:textId="77777777" w:rsidR="00084F36" w:rsidRDefault="00EB2BD8">
                              <w:pPr>
                                <w:spacing w:line="193" w:lineRule="exact"/>
                                <w:rPr>
                                  <w:rFonts w:ascii="Calibri"/>
                                  <w:sz w:val="19"/>
                                </w:rPr>
                              </w:pPr>
                              <w:r>
                                <w:rPr>
                                  <w:rFonts w:ascii="Calibri"/>
                                  <w:sz w:val="19"/>
                                </w:rPr>
                                <w:t>I</w:t>
                              </w:r>
                              <w:r>
                                <w:rPr>
                                  <w:rFonts w:ascii="Calibri"/>
                                  <w:spacing w:val="-11"/>
                                  <w:sz w:val="19"/>
                                </w:rPr>
                                <w:t xml:space="preserve"> </w:t>
                              </w:r>
                              <w:r>
                                <w:rPr>
                                  <w:rFonts w:ascii="Calibri"/>
                                  <w:sz w:val="19"/>
                                </w:rPr>
                                <w:t>have</w:t>
                              </w:r>
                              <w:r>
                                <w:rPr>
                                  <w:rFonts w:ascii="Calibri"/>
                                  <w:spacing w:val="-11"/>
                                  <w:sz w:val="19"/>
                                </w:rPr>
                                <w:t xml:space="preserve"> </w:t>
                              </w:r>
                              <w:r>
                                <w:rPr>
                                  <w:rFonts w:ascii="Calibri"/>
                                  <w:sz w:val="19"/>
                                </w:rPr>
                                <w:t>audited</w:t>
                              </w:r>
                              <w:r>
                                <w:rPr>
                                  <w:rFonts w:ascii="Calibri"/>
                                  <w:spacing w:val="-11"/>
                                  <w:sz w:val="19"/>
                                </w:rPr>
                                <w:t xml:space="preserve"> </w:t>
                              </w:r>
                              <w:r>
                                <w:rPr>
                                  <w:rFonts w:ascii="Calibri"/>
                                  <w:sz w:val="19"/>
                                </w:rPr>
                                <w:t>the</w:t>
                              </w:r>
                              <w:r>
                                <w:rPr>
                                  <w:rFonts w:ascii="Calibri"/>
                                  <w:spacing w:val="-10"/>
                                  <w:sz w:val="19"/>
                                </w:rPr>
                                <w:t xml:space="preserve"> </w:t>
                              </w:r>
                              <w:r>
                                <w:rPr>
                                  <w:rFonts w:ascii="Calibri"/>
                                  <w:sz w:val="19"/>
                                </w:rPr>
                                <w:t>financial</w:t>
                              </w:r>
                              <w:r>
                                <w:rPr>
                                  <w:rFonts w:ascii="Calibri"/>
                                  <w:spacing w:val="-11"/>
                                  <w:sz w:val="19"/>
                                </w:rPr>
                                <w:t xml:space="preserve"> </w:t>
                              </w:r>
                              <w:r>
                                <w:rPr>
                                  <w:rFonts w:ascii="Calibri"/>
                                  <w:sz w:val="19"/>
                                </w:rPr>
                                <w:t>report</w:t>
                              </w:r>
                              <w:r>
                                <w:rPr>
                                  <w:rFonts w:ascii="Calibri"/>
                                  <w:spacing w:val="-11"/>
                                  <w:sz w:val="19"/>
                                </w:rPr>
                                <w:t xml:space="preserve"> </w:t>
                              </w:r>
                              <w:r>
                                <w:rPr>
                                  <w:rFonts w:ascii="Calibri"/>
                                  <w:sz w:val="19"/>
                                </w:rPr>
                                <w:t>of</w:t>
                              </w:r>
                              <w:r>
                                <w:rPr>
                                  <w:rFonts w:ascii="Calibri"/>
                                  <w:spacing w:val="-11"/>
                                  <w:sz w:val="19"/>
                                </w:rPr>
                                <w:t xml:space="preserve"> </w:t>
                              </w:r>
                              <w:r>
                                <w:rPr>
                                  <w:rFonts w:ascii="Calibri"/>
                                  <w:sz w:val="19"/>
                                </w:rPr>
                                <w:t>the</w:t>
                              </w:r>
                              <w:r>
                                <w:rPr>
                                  <w:rFonts w:ascii="Calibri"/>
                                  <w:spacing w:val="-10"/>
                                  <w:sz w:val="19"/>
                                </w:rPr>
                                <w:t xml:space="preserve"> </w:t>
                              </w:r>
                              <w:r>
                                <w:rPr>
                                  <w:rFonts w:ascii="Calibri"/>
                                  <w:sz w:val="19"/>
                                </w:rPr>
                                <w:t>Victorian</w:t>
                              </w:r>
                              <w:r>
                                <w:rPr>
                                  <w:rFonts w:ascii="Calibri"/>
                                  <w:spacing w:val="-10"/>
                                  <w:sz w:val="19"/>
                                </w:rPr>
                                <w:t xml:space="preserve"> </w:t>
                              </w:r>
                              <w:r>
                                <w:rPr>
                                  <w:rFonts w:ascii="Calibri"/>
                                  <w:sz w:val="19"/>
                                </w:rPr>
                                <w:t>Building</w:t>
                              </w:r>
                              <w:r>
                                <w:rPr>
                                  <w:rFonts w:ascii="Calibri"/>
                                  <w:spacing w:val="-11"/>
                                  <w:sz w:val="19"/>
                                </w:rPr>
                                <w:t xml:space="preserve"> </w:t>
                              </w:r>
                              <w:r>
                                <w:rPr>
                                  <w:rFonts w:ascii="Calibri"/>
                                  <w:sz w:val="19"/>
                                </w:rPr>
                                <w:t>Authority</w:t>
                              </w:r>
                              <w:r>
                                <w:rPr>
                                  <w:rFonts w:ascii="Calibri"/>
                                  <w:spacing w:val="-9"/>
                                  <w:sz w:val="19"/>
                                </w:rPr>
                                <w:t xml:space="preserve"> </w:t>
                              </w:r>
                              <w:r>
                                <w:rPr>
                                  <w:rFonts w:ascii="Calibri"/>
                                  <w:sz w:val="19"/>
                                </w:rPr>
                                <w:t>(the</w:t>
                              </w:r>
                              <w:r>
                                <w:rPr>
                                  <w:rFonts w:ascii="Calibri"/>
                                  <w:spacing w:val="-10"/>
                                  <w:sz w:val="19"/>
                                </w:rPr>
                                <w:t xml:space="preserve"> </w:t>
                              </w:r>
                              <w:r>
                                <w:rPr>
                                  <w:rFonts w:ascii="Calibri"/>
                                  <w:sz w:val="19"/>
                                </w:rPr>
                                <w:t>authority)</w:t>
                              </w:r>
                              <w:r>
                                <w:rPr>
                                  <w:rFonts w:ascii="Calibri"/>
                                  <w:spacing w:val="-11"/>
                                  <w:sz w:val="19"/>
                                </w:rPr>
                                <w:t xml:space="preserve"> </w:t>
                              </w:r>
                              <w:r>
                                <w:rPr>
                                  <w:rFonts w:ascii="Calibri"/>
                                  <w:spacing w:val="-2"/>
                                  <w:sz w:val="19"/>
                                </w:rPr>
                                <w:t>which</w:t>
                              </w:r>
                            </w:p>
                            <w:p w14:paraId="5EC9BFDC" w14:textId="77777777" w:rsidR="00084F36" w:rsidRDefault="00EB2BD8">
                              <w:pPr>
                                <w:spacing w:before="30"/>
                                <w:rPr>
                                  <w:rFonts w:ascii="Calibri"/>
                                  <w:sz w:val="19"/>
                                </w:rPr>
                              </w:pPr>
                              <w:r>
                                <w:rPr>
                                  <w:rFonts w:ascii="Calibri"/>
                                  <w:spacing w:val="-2"/>
                                  <w:sz w:val="19"/>
                                </w:rPr>
                                <w:t xml:space="preserve">comprises </w:t>
                              </w:r>
                              <w:r>
                                <w:rPr>
                                  <w:rFonts w:ascii="Calibri"/>
                                  <w:spacing w:val="-4"/>
                                  <w:sz w:val="19"/>
                                </w:rPr>
                                <w:t>the:</w:t>
                              </w:r>
                            </w:p>
                            <w:p w14:paraId="7CD232CF" w14:textId="77777777" w:rsidR="00084F36" w:rsidRDefault="00EB2BD8">
                              <w:pPr>
                                <w:numPr>
                                  <w:ilvl w:val="0"/>
                                  <w:numId w:val="52"/>
                                </w:numPr>
                                <w:tabs>
                                  <w:tab w:val="left" w:pos="506"/>
                                </w:tabs>
                                <w:spacing w:before="138"/>
                                <w:ind w:hanging="506"/>
                                <w:rPr>
                                  <w:rFonts w:ascii="Calibri"/>
                                  <w:sz w:val="19"/>
                                </w:rPr>
                              </w:pPr>
                              <w:r>
                                <w:rPr>
                                  <w:rFonts w:ascii="Calibri"/>
                                  <w:sz w:val="19"/>
                                </w:rPr>
                                <w:t>balance</w:t>
                              </w:r>
                              <w:r>
                                <w:rPr>
                                  <w:rFonts w:ascii="Calibri"/>
                                  <w:spacing w:val="-6"/>
                                  <w:sz w:val="19"/>
                                </w:rPr>
                                <w:t xml:space="preserve"> </w:t>
                              </w:r>
                              <w:r>
                                <w:rPr>
                                  <w:rFonts w:ascii="Calibri"/>
                                  <w:sz w:val="19"/>
                                </w:rPr>
                                <w:t>sheet</w:t>
                              </w:r>
                              <w:r>
                                <w:rPr>
                                  <w:rFonts w:ascii="Calibri"/>
                                  <w:spacing w:val="-7"/>
                                  <w:sz w:val="19"/>
                                </w:rPr>
                                <w:t xml:space="preserve"> </w:t>
                              </w:r>
                              <w:r>
                                <w:rPr>
                                  <w:rFonts w:ascii="Calibri"/>
                                  <w:sz w:val="19"/>
                                </w:rPr>
                                <w:t>as</w:t>
                              </w:r>
                              <w:r>
                                <w:rPr>
                                  <w:rFonts w:ascii="Calibri"/>
                                  <w:spacing w:val="-7"/>
                                  <w:sz w:val="19"/>
                                </w:rPr>
                                <w:t xml:space="preserve"> </w:t>
                              </w:r>
                              <w:r>
                                <w:rPr>
                                  <w:rFonts w:ascii="Calibri"/>
                                  <w:sz w:val="19"/>
                                </w:rPr>
                                <w:t>at</w:t>
                              </w:r>
                              <w:r>
                                <w:rPr>
                                  <w:rFonts w:ascii="Calibri"/>
                                  <w:spacing w:val="-7"/>
                                  <w:sz w:val="19"/>
                                </w:rPr>
                                <w:t xml:space="preserve"> </w:t>
                              </w:r>
                              <w:r>
                                <w:rPr>
                                  <w:rFonts w:ascii="Calibri"/>
                                  <w:sz w:val="19"/>
                                </w:rPr>
                                <w:t>30</w:t>
                              </w:r>
                              <w:r>
                                <w:rPr>
                                  <w:rFonts w:ascii="Calibri"/>
                                  <w:spacing w:val="-6"/>
                                  <w:sz w:val="19"/>
                                </w:rPr>
                                <w:t xml:space="preserve"> </w:t>
                              </w:r>
                              <w:r>
                                <w:rPr>
                                  <w:rFonts w:ascii="Calibri"/>
                                  <w:sz w:val="19"/>
                                </w:rPr>
                                <w:t>June</w:t>
                              </w:r>
                              <w:r>
                                <w:rPr>
                                  <w:rFonts w:ascii="Calibri"/>
                                  <w:spacing w:val="-7"/>
                                  <w:sz w:val="19"/>
                                </w:rPr>
                                <w:t xml:space="preserve"> </w:t>
                              </w:r>
                              <w:r>
                                <w:rPr>
                                  <w:rFonts w:ascii="Calibri"/>
                                  <w:spacing w:val="-4"/>
                                  <w:sz w:val="19"/>
                                </w:rPr>
                                <w:t>2023</w:t>
                              </w:r>
                            </w:p>
                            <w:p w14:paraId="26F431E0" w14:textId="77777777" w:rsidR="00084F36" w:rsidRDefault="00EB2BD8">
                              <w:pPr>
                                <w:numPr>
                                  <w:ilvl w:val="0"/>
                                  <w:numId w:val="52"/>
                                </w:numPr>
                                <w:tabs>
                                  <w:tab w:val="left" w:pos="506"/>
                                </w:tabs>
                                <w:spacing w:before="33"/>
                                <w:ind w:hanging="506"/>
                                <w:rPr>
                                  <w:rFonts w:ascii="Calibri"/>
                                  <w:sz w:val="19"/>
                                </w:rPr>
                              </w:pPr>
                              <w:r>
                                <w:rPr>
                                  <w:rFonts w:ascii="Calibri"/>
                                  <w:spacing w:val="-2"/>
                                  <w:sz w:val="19"/>
                                </w:rPr>
                                <w:t>comprehensive</w:t>
                              </w:r>
                              <w:r>
                                <w:rPr>
                                  <w:rFonts w:ascii="Calibri"/>
                                  <w:spacing w:val="1"/>
                                  <w:sz w:val="19"/>
                                </w:rPr>
                                <w:t xml:space="preserve"> </w:t>
                              </w:r>
                              <w:r>
                                <w:rPr>
                                  <w:rFonts w:ascii="Calibri"/>
                                  <w:spacing w:val="-2"/>
                                  <w:sz w:val="19"/>
                                </w:rPr>
                                <w:t>operating</w:t>
                              </w:r>
                              <w:r>
                                <w:rPr>
                                  <w:rFonts w:ascii="Calibri"/>
                                  <w:sz w:val="19"/>
                                </w:rPr>
                                <w:t xml:space="preserve"> </w:t>
                              </w:r>
                              <w:r>
                                <w:rPr>
                                  <w:rFonts w:ascii="Calibri"/>
                                  <w:spacing w:val="-2"/>
                                  <w:sz w:val="19"/>
                                </w:rPr>
                                <w:t>statement</w:t>
                              </w:r>
                              <w:r>
                                <w:rPr>
                                  <w:rFonts w:ascii="Calibri"/>
                                  <w:spacing w:val="5"/>
                                  <w:sz w:val="19"/>
                                </w:rPr>
                                <w:t xml:space="preserve"> </w:t>
                              </w:r>
                              <w:r>
                                <w:rPr>
                                  <w:rFonts w:ascii="Calibri"/>
                                  <w:spacing w:val="-2"/>
                                  <w:sz w:val="19"/>
                                </w:rPr>
                                <w:t>for</w:t>
                              </w:r>
                              <w:r>
                                <w:rPr>
                                  <w:rFonts w:ascii="Calibri"/>
                                  <w:spacing w:val="-1"/>
                                  <w:sz w:val="19"/>
                                </w:rPr>
                                <w:t xml:space="preserve"> </w:t>
                              </w:r>
                              <w:r>
                                <w:rPr>
                                  <w:rFonts w:ascii="Calibri"/>
                                  <w:spacing w:val="-2"/>
                                  <w:sz w:val="19"/>
                                </w:rPr>
                                <w:t>the</w:t>
                              </w:r>
                              <w:r>
                                <w:rPr>
                                  <w:rFonts w:ascii="Calibri"/>
                                  <w:spacing w:val="2"/>
                                  <w:sz w:val="19"/>
                                </w:rPr>
                                <w:t xml:space="preserve"> </w:t>
                              </w:r>
                              <w:r>
                                <w:rPr>
                                  <w:rFonts w:ascii="Calibri"/>
                                  <w:spacing w:val="-2"/>
                                  <w:sz w:val="19"/>
                                </w:rPr>
                                <w:t>year</w:t>
                              </w:r>
                              <w:r>
                                <w:rPr>
                                  <w:rFonts w:ascii="Calibri"/>
                                  <w:sz w:val="19"/>
                                </w:rPr>
                                <w:t xml:space="preserve"> </w:t>
                              </w:r>
                              <w:r>
                                <w:rPr>
                                  <w:rFonts w:ascii="Calibri"/>
                                  <w:spacing w:val="-2"/>
                                  <w:sz w:val="19"/>
                                </w:rPr>
                                <w:t>then</w:t>
                              </w:r>
                              <w:r>
                                <w:rPr>
                                  <w:rFonts w:ascii="Calibri"/>
                                  <w:sz w:val="19"/>
                                </w:rPr>
                                <w:t xml:space="preserve"> </w:t>
                              </w:r>
                              <w:r>
                                <w:rPr>
                                  <w:rFonts w:ascii="Calibri"/>
                                  <w:spacing w:val="-2"/>
                                  <w:sz w:val="19"/>
                                </w:rPr>
                                <w:t>ended</w:t>
                              </w:r>
                            </w:p>
                            <w:p w14:paraId="012A2FD4" w14:textId="77777777" w:rsidR="00084F36" w:rsidRDefault="00EB2BD8">
                              <w:pPr>
                                <w:numPr>
                                  <w:ilvl w:val="0"/>
                                  <w:numId w:val="52"/>
                                </w:numPr>
                                <w:tabs>
                                  <w:tab w:val="left" w:pos="507"/>
                                </w:tabs>
                                <w:spacing w:before="31"/>
                                <w:ind w:left="507"/>
                                <w:rPr>
                                  <w:rFonts w:ascii="Calibri"/>
                                  <w:sz w:val="19"/>
                                </w:rPr>
                              </w:pPr>
                              <w:r>
                                <w:rPr>
                                  <w:rFonts w:ascii="Calibri"/>
                                  <w:sz w:val="19"/>
                                </w:rPr>
                                <w:t>statement</w:t>
                              </w:r>
                              <w:r>
                                <w:rPr>
                                  <w:rFonts w:ascii="Calibri"/>
                                  <w:spacing w:val="-8"/>
                                  <w:sz w:val="19"/>
                                </w:rPr>
                                <w:t xml:space="preserve"> </w:t>
                              </w:r>
                              <w:r>
                                <w:rPr>
                                  <w:rFonts w:ascii="Calibri"/>
                                  <w:sz w:val="19"/>
                                </w:rPr>
                                <w:t>of</w:t>
                              </w:r>
                              <w:r>
                                <w:rPr>
                                  <w:rFonts w:ascii="Calibri"/>
                                  <w:spacing w:val="-9"/>
                                  <w:sz w:val="19"/>
                                </w:rPr>
                                <w:t xml:space="preserve"> </w:t>
                              </w:r>
                              <w:r>
                                <w:rPr>
                                  <w:rFonts w:ascii="Calibri"/>
                                  <w:sz w:val="19"/>
                                </w:rPr>
                                <w:t>changes</w:t>
                              </w:r>
                              <w:r>
                                <w:rPr>
                                  <w:rFonts w:ascii="Calibri"/>
                                  <w:spacing w:val="-8"/>
                                  <w:sz w:val="19"/>
                                </w:rPr>
                                <w:t xml:space="preserve"> </w:t>
                              </w:r>
                              <w:r>
                                <w:rPr>
                                  <w:rFonts w:ascii="Calibri"/>
                                  <w:sz w:val="19"/>
                                </w:rPr>
                                <w:t>in</w:t>
                              </w:r>
                              <w:r>
                                <w:rPr>
                                  <w:rFonts w:ascii="Calibri"/>
                                  <w:spacing w:val="-10"/>
                                  <w:sz w:val="19"/>
                                </w:rPr>
                                <w:t xml:space="preserve"> </w:t>
                              </w:r>
                              <w:r>
                                <w:rPr>
                                  <w:rFonts w:ascii="Calibri"/>
                                  <w:sz w:val="19"/>
                                </w:rPr>
                                <w:t>equity</w:t>
                              </w:r>
                              <w:r>
                                <w:rPr>
                                  <w:rFonts w:ascii="Calibri"/>
                                  <w:spacing w:val="-7"/>
                                  <w:sz w:val="19"/>
                                </w:rPr>
                                <w:t xml:space="preserve"> </w:t>
                              </w:r>
                              <w:r>
                                <w:rPr>
                                  <w:rFonts w:ascii="Calibri"/>
                                  <w:sz w:val="19"/>
                                </w:rPr>
                                <w:t>for</w:t>
                              </w:r>
                              <w:r>
                                <w:rPr>
                                  <w:rFonts w:ascii="Calibri"/>
                                  <w:spacing w:val="-8"/>
                                  <w:sz w:val="19"/>
                                </w:rPr>
                                <w:t xml:space="preserve"> </w:t>
                              </w:r>
                              <w:r>
                                <w:rPr>
                                  <w:rFonts w:ascii="Calibri"/>
                                  <w:sz w:val="19"/>
                                </w:rPr>
                                <w:t>the</w:t>
                              </w:r>
                              <w:r>
                                <w:rPr>
                                  <w:rFonts w:ascii="Calibri"/>
                                  <w:spacing w:val="-10"/>
                                  <w:sz w:val="19"/>
                                </w:rPr>
                                <w:t xml:space="preserve"> </w:t>
                              </w:r>
                              <w:r>
                                <w:rPr>
                                  <w:rFonts w:ascii="Calibri"/>
                                  <w:sz w:val="19"/>
                                </w:rPr>
                                <w:t>year</w:t>
                              </w:r>
                              <w:r>
                                <w:rPr>
                                  <w:rFonts w:ascii="Calibri"/>
                                  <w:spacing w:val="-9"/>
                                  <w:sz w:val="19"/>
                                </w:rPr>
                                <w:t xml:space="preserve"> </w:t>
                              </w:r>
                              <w:r>
                                <w:rPr>
                                  <w:rFonts w:ascii="Calibri"/>
                                  <w:sz w:val="19"/>
                                </w:rPr>
                                <w:t>then</w:t>
                              </w:r>
                              <w:r>
                                <w:rPr>
                                  <w:rFonts w:ascii="Calibri"/>
                                  <w:spacing w:val="-9"/>
                                  <w:sz w:val="19"/>
                                </w:rPr>
                                <w:t xml:space="preserve"> </w:t>
                              </w:r>
                              <w:r>
                                <w:rPr>
                                  <w:rFonts w:ascii="Calibri"/>
                                  <w:spacing w:val="-2"/>
                                  <w:sz w:val="19"/>
                                </w:rPr>
                                <w:t>ended</w:t>
                              </w:r>
                            </w:p>
                            <w:p w14:paraId="4A797623" w14:textId="77777777" w:rsidR="00084F36" w:rsidRDefault="00EB2BD8">
                              <w:pPr>
                                <w:numPr>
                                  <w:ilvl w:val="0"/>
                                  <w:numId w:val="52"/>
                                </w:numPr>
                                <w:tabs>
                                  <w:tab w:val="left" w:pos="507"/>
                                </w:tabs>
                                <w:spacing w:before="33"/>
                                <w:ind w:left="507"/>
                                <w:rPr>
                                  <w:rFonts w:ascii="Calibri"/>
                                  <w:sz w:val="19"/>
                                </w:rPr>
                              </w:pPr>
                              <w:r>
                                <w:rPr>
                                  <w:rFonts w:ascii="Calibri"/>
                                  <w:sz w:val="19"/>
                                </w:rPr>
                                <w:t>cash</w:t>
                              </w:r>
                              <w:r>
                                <w:rPr>
                                  <w:rFonts w:ascii="Calibri"/>
                                  <w:spacing w:val="-9"/>
                                  <w:sz w:val="19"/>
                                </w:rPr>
                                <w:t xml:space="preserve"> </w:t>
                              </w:r>
                              <w:r>
                                <w:rPr>
                                  <w:rFonts w:ascii="Calibri"/>
                                  <w:sz w:val="19"/>
                                </w:rPr>
                                <w:t>flow</w:t>
                              </w:r>
                              <w:r>
                                <w:rPr>
                                  <w:rFonts w:ascii="Calibri"/>
                                  <w:spacing w:val="-8"/>
                                  <w:sz w:val="19"/>
                                </w:rPr>
                                <w:t xml:space="preserve"> </w:t>
                              </w:r>
                              <w:r>
                                <w:rPr>
                                  <w:rFonts w:ascii="Calibri"/>
                                  <w:sz w:val="19"/>
                                </w:rPr>
                                <w:t>statement</w:t>
                              </w:r>
                              <w:r>
                                <w:rPr>
                                  <w:rFonts w:ascii="Calibri"/>
                                  <w:spacing w:val="-5"/>
                                  <w:sz w:val="19"/>
                                </w:rPr>
                                <w:t xml:space="preserve"> </w:t>
                              </w:r>
                              <w:r>
                                <w:rPr>
                                  <w:rFonts w:ascii="Calibri"/>
                                  <w:sz w:val="19"/>
                                </w:rPr>
                                <w:t>for</w:t>
                              </w:r>
                              <w:r>
                                <w:rPr>
                                  <w:rFonts w:ascii="Calibri"/>
                                  <w:spacing w:val="-9"/>
                                  <w:sz w:val="19"/>
                                </w:rPr>
                                <w:t xml:space="preserve"> </w:t>
                              </w:r>
                              <w:r>
                                <w:rPr>
                                  <w:rFonts w:ascii="Calibri"/>
                                  <w:sz w:val="19"/>
                                </w:rPr>
                                <w:t>the</w:t>
                              </w:r>
                              <w:r>
                                <w:rPr>
                                  <w:rFonts w:ascii="Calibri"/>
                                  <w:spacing w:val="-10"/>
                                  <w:sz w:val="19"/>
                                </w:rPr>
                                <w:t xml:space="preserve"> </w:t>
                              </w:r>
                              <w:r>
                                <w:rPr>
                                  <w:rFonts w:ascii="Calibri"/>
                                  <w:sz w:val="19"/>
                                </w:rPr>
                                <w:t>year</w:t>
                              </w:r>
                              <w:r>
                                <w:rPr>
                                  <w:rFonts w:ascii="Calibri"/>
                                  <w:spacing w:val="-9"/>
                                  <w:sz w:val="19"/>
                                </w:rPr>
                                <w:t xml:space="preserve"> </w:t>
                              </w:r>
                              <w:r>
                                <w:rPr>
                                  <w:rFonts w:ascii="Calibri"/>
                                  <w:sz w:val="19"/>
                                </w:rPr>
                                <w:t>then</w:t>
                              </w:r>
                              <w:r>
                                <w:rPr>
                                  <w:rFonts w:ascii="Calibri"/>
                                  <w:spacing w:val="-10"/>
                                  <w:sz w:val="19"/>
                                </w:rPr>
                                <w:t xml:space="preserve"> </w:t>
                              </w:r>
                              <w:r>
                                <w:rPr>
                                  <w:rFonts w:ascii="Calibri"/>
                                  <w:spacing w:val="-2"/>
                                  <w:sz w:val="19"/>
                                </w:rPr>
                                <w:t>ended</w:t>
                              </w:r>
                            </w:p>
                            <w:p w14:paraId="30B5F74E" w14:textId="77777777" w:rsidR="00084F36" w:rsidRDefault="00EB2BD8">
                              <w:pPr>
                                <w:numPr>
                                  <w:ilvl w:val="0"/>
                                  <w:numId w:val="52"/>
                                </w:numPr>
                                <w:tabs>
                                  <w:tab w:val="left" w:pos="507"/>
                                </w:tabs>
                                <w:spacing w:before="30"/>
                                <w:ind w:left="507"/>
                                <w:rPr>
                                  <w:rFonts w:ascii="Calibri"/>
                                  <w:sz w:val="19"/>
                                </w:rPr>
                              </w:pPr>
                              <w:r>
                                <w:rPr>
                                  <w:rFonts w:ascii="Calibri"/>
                                  <w:spacing w:val="-2"/>
                                  <w:sz w:val="19"/>
                                </w:rPr>
                                <w:t>notes</w:t>
                              </w:r>
                              <w:r>
                                <w:rPr>
                                  <w:rFonts w:ascii="Calibri"/>
                                  <w:spacing w:val="-1"/>
                                  <w:sz w:val="19"/>
                                </w:rPr>
                                <w:t xml:space="preserve"> </w:t>
                              </w:r>
                              <w:r>
                                <w:rPr>
                                  <w:rFonts w:ascii="Calibri"/>
                                  <w:spacing w:val="-2"/>
                                  <w:sz w:val="19"/>
                                </w:rPr>
                                <w:t>to</w:t>
                              </w:r>
                              <w:r>
                                <w:rPr>
                                  <w:rFonts w:ascii="Calibri"/>
                                  <w:spacing w:val="1"/>
                                  <w:sz w:val="19"/>
                                </w:rPr>
                                <w:t xml:space="preserve"> </w:t>
                              </w:r>
                              <w:r>
                                <w:rPr>
                                  <w:rFonts w:ascii="Calibri"/>
                                  <w:spacing w:val="-2"/>
                                  <w:sz w:val="19"/>
                                </w:rPr>
                                <w:t>the</w:t>
                              </w:r>
                              <w:r>
                                <w:rPr>
                                  <w:rFonts w:ascii="Calibri"/>
                                  <w:spacing w:val="3"/>
                                  <w:sz w:val="19"/>
                                </w:rPr>
                                <w:t xml:space="preserve"> </w:t>
                              </w:r>
                              <w:r>
                                <w:rPr>
                                  <w:rFonts w:ascii="Calibri"/>
                                  <w:spacing w:val="-2"/>
                                  <w:sz w:val="19"/>
                                </w:rPr>
                                <w:t>financial</w:t>
                              </w:r>
                              <w:r>
                                <w:rPr>
                                  <w:rFonts w:ascii="Calibri"/>
                                  <w:spacing w:val="2"/>
                                  <w:sz w:val="19"/>
                                </w:rPr>
                                <w:t xml:space="preserve"> </w:t>
                              </w:r>
                              <w:r>
                                <w:rPr>
                                  <w:rFonts w:ascii="Calibri"/>
                                  <w:spacing w:val="-2"/>
                                  <w:sz w:val="19"/>
                                </w:rPr>
                                <w:t>statements,</w:t>
                              </w:r>
                              <w:r>
                                <w:rPr>
                                  <w:rFonts w:ascii="Calibri"/>
                                  <w:spacing w:val="1"/>
                                  <w:sz w:val="19"/>
                                </w:rPr>
                                <w:t xml:space="preserve"> </w:t>
                              </w:r>
                              <w:r>
                                <w:rPr>
                                  <w:rFonts w:ascii="Calibri"/>
                                  <w:spacing w:val="-2"/>
                                  <w:sz w:val="19"/>
                                </w:rPr>
                                <w:t>including</w:t>
                              </w:r>
                              <w:r>
                                <w:rPr>
                                  <w:rFonts w:ascii="Calibri"/>
                                  <w:spacing w:val="3"/>
                                  <w:sz w:val="19"/>
                                </w:rPr>
                                <w:t xml:space="preserve"> </w:t>
                              </w:r>
                              <w:r>
                                <w:rPr>
                                  <w:rFonts w:ascii="Calibri"/>
                                  <w:spacing w:val="-2"/>
                                  <w:sz w:val="19"/>
                                </w:rPr>
                                <w:t>significant</w:t>
                              </w:r>
                              <w:r>
                                <w:rPr>
                                  <w:rFonts w:ascii="Calibri"/>
                                  <w:spacing w:val="3"/>
                                  <w:sz w:val="19"/>
                                </w:rPr>
                                <w:t xml:space="preserve"> </w:t>
                              </w:r>
                              <w:r>
                                <w:rPr>
                                  <w:rFonts w:ascii="Calibri"/>
                                  <w:spacing w:val="-2"/>
                                  <w:sz w:val="19"/>
                                </w:rPr>
                                <w:t>accounting</w:t>
                              </w:r>
                              <w:r>
                                <w:rPr>
                                  <w:rFonts w:ascii="Calibri"/>
                                  <w:spacing w:val="1"/>
                                  <w:sz w:val="19"/>
                                </w:rPr>
                                <w:t xml:space="preserve"> </w:t>
                              </w:r>
                              <w:r>
                                <w:rPr>
                                  <w:rFonts w:ascii="Calibri"/>
                                  <w:spacing w:val="-2"/>
                                  <w:sz w:val="19"/>
                                </w:rPr>
                                <w:t>policies</w:t>
                              </w:r>
                            </w:p>
                            <w:p w14:paraId="4FDD416E" w14:textId="77777777" w:rsidR="00084F36" w:rsidRDefault="00EB2BD8">
                              <w:pPr>
                                <w:numPr>
                                  <w:ilvl w:val="0"/>
                                  <w:numId w:val="52"/>
                                </w:numPr>
                                <w:tabs>
                                  <w:tab w:val="left" w:pos="507"/>
                                </w:tabs>
                                <w:spacing w:before="34" w:line="238" w:lineRule="exact"/>
                                <w:ind w:left="507"/>
                                <w:rPr>
                                  <w:rFonts w:ascii="Calibri"/>
                                  <w:sz w:val="19"/>
                                </w:rPr>
                              </w:pPr>
                              <w:r>
                                <w:rPr>
                                  <w:rFonts w:ascii="Calibri"/>
                                  <w:spacing w:val="-2"/>
                                  <w:sz w:val="19"/>
                                </w:rPr>
                                <w:t>declaration</w:t>
                              </w:r>
                              <w:r>
                                <w:rPr>
                                  <w:rFonts w:ascii="Calibri"/>
                                  <w:sz w:val="19"/>
                                </w:rPr>
                                <w:t xml:space="preserve"> </w:t>
                              </w:r>
                              <w:r>
                                <w:rPr>
                                  <w:rFonts w:ascii="Calibri"/>
                                  <w:spacing w:val="-2"/>
                                  <w:sz w:val="19"/>
                                </w:rPr>
                                <w:t>in</w:t>
                              </w:r>
                              <w:r>
                                <w:rPr>
                                  <w:rFonts w:ascii="Calibri"/>
                                  <w:sz w:val="19"/>
                                </w:rPr>
                                <w:t xml:space="preserve"> </w:t>
                              </w:r>
                              <w:r>
                                <w:rPr>
                                  <w:rFonts w:ascii="Calibri"/>
                                  <w:spacing w:val="-2"/>
                                  <w:sz w:val="19"/>
                                </w:rPr>
                                <w:t>the</w:t>
                              </w:r>
                              <w:r>
                                <w:rPr>
                                  <w:rFonts w:ascii="Calibri"/>
                                  <w:spacing w:val="2"/>
                                  <w:sz w:val="19"/>
                                </w:rPr>
                                <w:t xml:space="preserve"> </w:t>
                              </w:r>
                              <w:r>
                                <w:rPr>
                                  <w:rFonts w:ascii="Calibri"/>
                                  <w:spacing w:val="-2"/>
                                  <w:sz w:val="19"/>
                                </w:rPr>
                                <w:t>financial</w:t>
                              </w:r>
                              <w:r>
                                <w:rPr>
                                  <w:rFonts w:ascii="Calibri"/>
                                  <w:spacing w:val="2"/>
                                  <w:sz w:val="19"/>
                                </w:rPr>
                                <w:t xml:space="preserve"> </w:t>
                              </w:r>
                              <w:r>
                                <w:rPr>
                                  <w:rFonts w:ascii="Calibri"/>
                                  <w:spacing w:val="-2"/>
                                  <w:sz w:val="19"/>
                                </w:rPr>
                                <w:t>statements.</w:t>
                              </w:r>
                            </w:p>
                          </w:txbxContent>
                        </wps:txbx>
                        <wps:bodyPr wrap="square" lIns="0" tIns="0" rIns="0" bIns="0" rtlCol="0">
                          <a:noAutofit/>
                        </wps:bodyPr>
                      </wps:wsp>
                      <wps:wsp>
                        <wps:cNvPr id="762" name="Textbox 762" descr="In my opinion, the financial report presents fairly, in all material respects, the financial&#10;position of the authority as at 30 June 2023 and its financial performance and cash flows for the year then ended in accordance with the financial reporting requirements of Part 7 of the Financial Management Act 1994 and applicable Australian Accounting Standards.&#10;In my opinion, the financial report presents fairly, in all material respects, the financial&#10;position of the authority as at 30 June 2023 and its financial performance and cash flows for the year then ended in accordance with the financial reporting requirements of Part 7 of the Financial Management Act 1994 and applicable Australian Accounting Standards.&#10;"/>
                        <wps:cNvSpPr txBox="1"/>
                        <wps:spPr>
                          <a:xfrm>
                            <a:off x="937569" y="2958126"/>
                            <a:ext cx="4493260" cy="623570"/>
                          </a:xfrm>
                          <a:prstGeom prst="rect">
                            <a:avLst/>
                          </a:prstGeom>
                        </wps:spPr>
                        <wps:txbx>
                          <w:txbxContent>
                            <w:p w14:paraId="5A7467AC" w14:textId="77777777" w:rsidR="00084F36" w:rsidRDefault="00EB2BD8">
                              <w:pPr>
                                <w:spacing w:line="193" w:lineRule="exact"/>
                                <w:jc w:val="both"/>
                                <w:rPr>
                                  <w:rFonts w:ascii="Calibri"/>
                                  <w:sz w:val="19"/>
                                </w:rPr>
                              </w:pPr>
                              <w:r>
                                <w:rPr>
                                  <w:rFonts w:ascii="Calibri"/>
                                  <w:sz w:val="19"/>
                                </w:rPr>
                                <w:t>In</w:t>
                              </w:r>
                              <w:r>
                                <w:rPr>
                                  <w:rFonts w:ascii="Calibri"/>
                                  <w:spacing w:val="-13"/>
                                  <w:sz w:val="19"/>
                                </w:rPr>
                                <w:t xml:space="preserve"> </w:t>
                              </w:r>
                              <w:r>
                                <w:rPr>
                                  <w:rFonts w:ascii="Calibri"/>
                                  <w:sz w:val="19"/>
                                </w:rPr>
                                <w:t>my</w:t>
                              </w:r>
                              <w:r>
                                <w:rPr>
                                  <w:rFonts w:ascii="Calibri"/>
                                  <w:spacing w:val="-10"/>
                                  <w:sz w:val="19"/>
                                </w:rPr>
                                <w:t xml:space="preserve"> </w:t>
                              </w:r>
                              <w:r>
                                <w:rPr>
                                  <w:rFonts w:ascii="Calibri"/>
                                  <w:sz w:val="19"/>
                                </w:rPr>
                                <w:t>opinion,</w:t>
                              </w:r>
                              <w:r>
                                <w:rPr>
                                  <w:rFonts w:ascii="Calibri"/>
                                  <w:spacing w:val="-11"/>
                                  <w:sz w:val="19"/>
                                </w:rPr>
                                <w:t xml:space="preserve"> </w:t>
                              </w:r>
                              <w:r>
                                <w:rPr>
                                  <w:rFonts w:ascii="Calibri"/>
                                  <w:sz w:val="19"/>
                                </w:rPr>
                                <w:t>the</w:t>
                              </w:r>
                              <w:r>
                                <w:rPr>
                                  <w:rFonts w:ascii="Calibri"/>
                                  <w:spacing w:val="-10"/>
                                  <w:sz w:val="19"/>
                                </w:rPr>
                                <w:t xml:space="preserve"> </w:t>
                              </w:r>
                              <w:r>
                                <w:rPr>
                                  <w:rFonts w:ascii="Calibri"/>
                                  <w:sz w:val="19"/>
                                </w:rPr>
                                <w:t>financial</w:t>
                              </w:r>
                              <w:r>
                                <w:rPr>
                                  <w:rFonts w:ascii="Calibri"/>
                                  <w:spacing w:val="-10"/>
                                  <w:sz w:val="19"/>
                                </w:rPr>
                                <w:t xml:space="preserve"> </w:t>
                              </w:r>
                              <w:r>
                                <w:rPr>
                                  <w:rFonts w:ascii="Calibri"/>
                                  <w:sz w:val="19"/>
                                </w:rPr>
                                <w:t>report</w:t>
                              </w:r>
                              <w:r>
                                <w:rPr>
                                  <w:rFonts w:ascii="Calibri"/>
                                  <w:spacing w:val="-8"/>
                                  <w:sz w:val="19"/>
                                </w:rPr>
                                <w:t xml:space="preserve"> </w:t>
                              </w:r>
                              <w:r>
                                <w:rPr>
                                  <w:rFonts w:ascii="Calibri"/>
                                  <w:sz w:val="19"/>
                                </w:rPr>
                                <w:t>presents</w:t>
                              </w:r>
                              <w:r>
                                <w:rPr>
                                  <w:rFonts w:ascii="Calibri"/>
                                  <w:spacing w:val="-10"/>
                                  <w:sz w:val="19"/>
                                </w:rPr>
                                <w:t xml:space="preserve"> </w:t>
                              </w:r>
                              <w:r>
                                <w:rPr>
                                  <w:rFonts w:ascii="Calibri"/>
                                  <w:sz w:val="19"/>
                                </w:rPr>
                                <w:t>fairly,</w:t>
                              </w:r>
                              <w:r>
                                <w:rPr>
                                  <w:rFonts w:ascii="Calibri"/>
                                  <w:spacing w:val="-9"/>
                                  <w:sz w:val="19"/>
                                </w:rPr>
                                <w:t xml:space="preserve"> </w:t>
                              </w:r>
                              <w:r>
                                <w:rPr>
                                  <w:rFonts w:ascii="Calibri"/>
                                  <w:sz w:val="19"/>
                                </w:rPr>
                                <w:t>in</w:t>
                              </w:r>
                              <w:r>
                                <w:rPr>
                                  <w:rFonts w:ascii="Calibri"/>
                                  <w:spacing w:val="-9"/>
                                  <w:sz w:val="19"/>
                                </w:rPr>
                                <w:t xml:space="preserve"> </w:t>
                              </w:r>
                              <w:r>
                                <w:rPr>
                                  <w:rFonts w:ascii="Calibri"/>
                                  <w:sz w:val="19"/>
                                </w:rPr>
                                <w:t>all</w:t>
                              </w:r>
                              <w:r>
                                <w:rPr>
                                  <w:rFonts w:ascii="Calibri"/>
                                  <w:spacing w:val="-11"/>
                                  <w:sz w:val="19"/>
                                </w:rPr>
                                <w:t xml:space="preserve"> </w:t>
                              </w:r>
                              <w:r>
                                <w:rPr>
                                  <w:rFonts w:ascii="Calibri"/>
                                  <w:sz w:val="19"/>
                                </w:rPr>
                                <w:t>material</w:t>
                              </w:r>
                              <w:r>
                                <w:rPr>
                                  <w:rFonts w:ascii="Calibri"/>
                                  <w:spacing w:val="-10"/>
                                  <w:sz w:val="19"/>
                                </w:rPr>
                                <w:t xml:space="preserve"> </w:t>
                              </w:r>
                              <w:r>
                                <w:rPr>
                                  <w:rFonts w:ascii="Calibri"/>
                                  <w:sz w:val="19"/>
                                </w:rPr>
                                <w:t>respects,</w:t>
                              </w:r>
                              <w:r>
                                <w:rPr>
                                  <w:rFonts w:ascii="Calibri"/>
                                  <w:spacing w:val="-8"/>
                                  <w:sz w:val="19"/>
                                </w:rPr>
                                <w:t xml:space="preserve"> </w:t>
                              </w:r>
                              <w:r>
                                <w:rPr>
                                  <w:rFonts w:ascii="Calibri"/>
                                  <w:sz w:val="19"/>
                                </w:rPr>
                                <w:t>the</w:t>
                              </w:r>
                              <w:r>
                                <w:rPr>
                                  <w:rFonts w:ascii="Calibri"/>
                                  <w:spacing w:val="-11"/>
                                  <w:sz w:val="19"/>
                                </w:rPr>
                                <w:t xml:space="preserve"> </w:t>
                              </w:r>
                              <w:r>
                                <w:rPr>
                                  <w:rFonts w:ascii="Calibri"/>
                                  <w:spacing w:val="-2"/>
                                  <w:sz w:val="19"/>
                                </w:rPr>
                                <w:t>financial</w:t>
                              </w:r>
                            </w:p>
                            <w:p w14:paraId="3EBA136B" w14:textId="77777777" w:rsidR="00084F36" w:rsidRDefault="00EB2BD8">
                              <w:pPr>
                                <w:spacing w:before="4" w:line="260" w:lineRule="atLeast"/>
                                <w:ind w:right="18"/>
                                <w:jc w:val="both"/>
                                <w:rPr>
                                  <w:rFonts w:ascii="Calibri"/>
                                  <w:sz w:val="19"/>
                                </w:rPr>
                              </w:pPr>
                              <w:r>
                                <w:rPr>
                                  <w:rFonts w:ascii="Calibri"/>
                                  <w:sz w:val="19"/>
                                </w:rPr>
                                <w:t>position</w:t>
                              </w:r>
                              <w:r>
                                <w:rPr>
                                  <w:rFonts w:ascii="Calibri"/>
                                  <w:spacing w:val="-5"/>
                                  <w:sz w:val="19"/>
                                </w:rPr>
                                <w:t xml:space="preserve"> </w:t>
                              </w:r>
                              <w:r>
                                <w:rPr>
                                  <w:rFonts w:ascii="Calibri"/>
                                  <w:sz w:val="19"/>
                                </w:rPr>
                                <w:t>of</w:t>
                              </w:r>
                              <w:r>
                                <w:rPr>
                                  <w:rFonts w:ascii="Calibri"/>
                                  <w:spacing w:val="-4"/>
                                  <w:sz w:val="19"/>
                                </w:rPr>
                                <w:t xml:space="preserve"> </w:t>
                              </w:r>
                              <w:r>
                                <w:rPr>
                                  <w:rFonts w:ascii="Calibri"/>
                                  <w:sz w:val="19"/>
                                </w:rPr>
                                <w:t>the</w:t>
                              </w:r>
                              <w:r>
                                <w:rPr>
                                  <w:rFonts w:ascii="Calibri"/>
                                  <w:spacing w:val="-3"/>
                                  <w:sz w:val="19"/>
                                </w:rPr>
                                <w:t xml:space="preserve"> </w:t>
                              </w:r>
                              <w:r>
                                <w:rPr>
                                  <w:rFonts w:ascii="Calibri"/>
                                  <w:sz w:val="19"/>
                                </w:rPr>
                                <w:t>authority</w:t>
                              </w:r>
                              <w:r>
                                <w:rPr>
                                  <w:rFonts w:ascii="Calibri"/>
                                  <w:spacing w:val="-3"/>
                                  <w:sz w:val="19"/>
                                </w:rPr>
                                <w:t xml:space="preserve"> </w:t>
                              </w:r>
                              <w:r>
                                <w:rPr>
                                  <w:rFonts w:ascii="Calibri"/>
                                  <w:sz w:val="19"/>
                                </w:rPr>
                                <w:t>as</w:t>
                              </w:r>
                              <w:r>
                                <w:rPr>
                                  <w:rFonts w:ascii="Calibri"/>
                                  <w:spacing w:val="-8"/>
                                  <w:sz w:val="19"/>
                                </w:rPr>
                                <w:t xml:space="preserve"> </w:t>
                              </w:r>
                              <w:r>
                                <w:rPr>
                                  <w:rFonts w:ascii="Calibri"/>
                                  <w:sz w:val="19"/>
                                </w:rPr>
                                <w:t>at</w:t>
                              </w:r>
                              <w:r>
                                <w:rPr>
                                  <w:rFonts w:ascii="Calibri"/>
                                  <w:spacing w:val="-6"/>
                                  <w:sz w:val="19"/>
                                </w:rPr>
                                <w:t xml:space="preserve"> </w:t>
                              </w:r>
                              <w:r>
                                <w:rPr>
                                  <w:rFonts w:ascii="Calibri"/>
                                  <w:sz w:val="19"/>
                                </w:rPr>
                                <w:t>30</w:t>
                              </w:r>
                              <w:r>
                                <w:rPr>
                                  <w:rFonts w:ascii="Calibri"/>
                                  <w:spacing w:val="-6"/>
                                  <w:sz w:val="19"/>
                                </w:rPr>
                                <w:t xml:space="preserve"> </w:t>
                              </w:r>
                              <w:r>
                                <w:rPr>
                                  <w:rFonts w:ascii="Calibri"/>
                                  <w:sz w:val="19"/>
                                </w:rPr>
                                <w:t>June</w:t>
                              </w:r>
                              <w:r>
                                <w:rPr>
                                  <w:rFonts w:ascii="Calibri"/>
                                  <w:spacing w:val="-6"/>
                                  <w:sz w:val="19"/>
                                </w:rPr>
                                <w:t xml:space="preserve"> </w:t>
                              </w:r>
                              <w:r>
                                <w:rPr>
                                  <w:rFonts w:ascii="Calibri"/>
                                  <w:sz w:val="19"/>
                                </w:rPr>
                                <w:t>2023</w:t>
                              </w:r>
                              <w:r>
                                <w:rPr>
                                  <w:rFonts w:ascii="Calibri"/>
                                  <w:spacing w:val="-4"/>
                                  <w:sz w:val="19"/>
                                </w:rPr>
                                <w:t xml:space="preserve"> </w:t>
                              </w:r>
                              <w:r>
                                <w:rPr>
                                  <w:rFonts w:ascii="Calibri"/>
                                  <w:sz w:val="19"/>
                                </w:rPr>
                                <w:t>and</w:t>
                              </w:r>
                              <w:r>
                                <w:rPr>
                                  <w:rFonts w:ascii="Calibri"/>
                                  <w:spacing w:val="-5"/>
                                  <w:sz w:val="19"/>
                                </w:rPr>
                                <w:t xml:space="preserve"> </w:t>
                              </w:r>
                              <w:r>
                                <w:rPr>
                                  <w:rFonts w:ascii="Calibri"/>
                                  <w:sz w:val="19"/>
                                </w:rPr>
                                <w:t>its</w:t>
                              </w:r>
                              <w:r>
                                <w:rPr>
                                  <w:rFonts w:ascii="Calibri"/>
                                  <w:spacing w:val="-5"/>
                                  <w:sz w:val="19"/>
                                </w:rPr>
                                <w:t xml:space="preserve"> </w:t>
                              </w:r>
                              <w:r>
                                <w:rPr>
                                  <w:rFonts w:ascii="Calibri"/>
                                  <w:sz w:val="19"/>
                                </w:rPr>
                                <w:t>financial</w:t>
                              </w:r>
                              <w:r>
                                <w:rPr>
                                  <w:rFonts w:ascii="Calibri"/>
                                  <w:spacing w:val="-5"/>
                                  <w:sz w:val="19"/>
                                </w:rPr>
                                <w:t xml:space="preserve"> </w:t>
                              </w:r>
                              <w:r>
                                <w:rPr>
                                  <w:rFonts w:ascii="Calibri"/>
                                  <w:sz w:val="19"/>
                                </w:rPr>
                                <w:t>performance</w:t>
                              </w:r>
                              <w:r>
                                <w:rPr>
                                  <w:rFonts w:ascii="Calibri"/>
                                  <w:spacing w:val="-7"/>
                                  <w:sz w:val="19"/>
                                </w:rPr>
                                <w:t xml:space="preserve"> </w:t>
                              </w:r>
                              <w:r>
                                <w:rPr>
                                  <w:rFonts w:ascii="Calibri"/>
                                  <w:sz w:val="19"/>
                                </w:rPr>
                                <w:t>and</w:t>
                              </w:r>
                              <w:r>
                                <w:rPr>
                                  <w:rFonts w:ascii="Calibri"/>
                                  <w:spacing w:val="-6"/>
                                  <w:sz w:val="19"/>
                                </w:rPr>
                                <w:t xml:space="preserve"> </w:t>
                              </w:r>
                              <w:r>
                                <w:rPr>
                                  <w:rFonts w:ascii="Calibri"/>
                                  <w:sz w:val="19"/>
                                </w:rPr>
                                <w:t>cash</w:t>
                              </w:r>
                              <w:r>
                                <w:rPr>
                                  <w:rFonts w:ascii="Calibri"/>
                                  <w:spacing w:val="-5"/>
                                  <w:sz w:val="19"/>
                                </w:rPr>
                                <w:t xml:space="preserve"> </w:t>
                              </w:r>
                              <w:r>
                                <w:rPr>
                                  <w:rFonts w:ascii="Calibri"/>
                                  <w:sz w:val="19"/>
                                </w:rPr>
                                <w:t>flows</w:t>
                              </w:r>
                              <w:r>
                                <w:rPr>
                                  <w:rFonts w:ascii="Calibri"/>
                                  <w:spacing w:val="-6"/>
                                  <w:sz w:val="19"/>
                                </w:rPr>
                                <w:t xml:space="preserve"> </w:t>
                              </w:r>
                              <w:r>
                                <w:rPr>
                                  <w:rFonts w:ascii="Calibri"/>
                                  <w:sz w:val="19"/>
                                </w:rPr>
                                <w:t>for the</w:t>
                              </w:r>
                              <w:r>
                                <w:rPr>
                                  <w:rFonts w:ascii="Calibri"/>
                                  <w:spacing w:val="-9"/>
                                  <w:sz w:val="19"/>
                                </w:rPr>
                                <w:t xml:space="preserve"> </w:t>
                              </w:r>
                              <w:r>
                                <w:rPr>
                                  <w:rFonts w:ascii="Calibri"/>
                                  <w:sz w:val="19"/>
                                </w:rPr>
                                <w:t>year</w:t>
                              </w:r>
                              <w:r>
                                <w:rPr>
                                  <w:rFonts w:ascii="Calibri"/>
                                  <w:spacing w:val="-8"/>
                                  <w:sz w:val="19"/>
                                </w:rPr>
                                <w:t xml:space="preserve"> </w:t>
                              </w:r>
                              <w:r>
                                <w:rPr>
                                  <w:rFonts w:ascii="Calibri"/>
                                  <w:sz w:val="19"/>
                                </w:rPr>
                                <w:t>then</w:t>
                              </w:r>
                              <w:r>
                                <w:rPr>
                                  <w:rFonts w:ascii="Calibri"/>
                                  <w:spacing w:val="-9"/>
                                  <w:sz w:val="19"/>
                                </w:rPr>
                                <w:t xml:space="preserve"> </w:t>
                              </w:r>
                              <w:r>
                                <w:rPr>
                                  <w:rFonts w:ascii="Calibri"/>
                                  <w:sz w:val="19"/>
                                </w:rPr>
                                <w:t>ended</w:t>
                              </w:r>
                              <w:r>
                                <w:rPr>
                                  <w:rFonts w:ascii="Calibri"/>
                                  <w:spacing w:val="-9"/>
                                  <w:sz w:val="19"/>
                                </w:rPr>
                                <w:t xml:space="preserve"> </w:t>
                              </w:r>
                              <w:r>
                                <w:rPr>
                                  <w:rFonts w:ascii="Calibri"/>
                                  <w:sz w:val="19"/>
                                </w:rPr>
                                <w:t>in</w:t>
                              </w:r>
                              <w:r>
                                <w:rPr>
                                  <w:rFonts w:ascii="Calibri"/>
                                  <w:spacing w:val="-8"/>
                                  <w:sz w:val="19"/>
                                </w:rPr>
                                <w:t xml:space="preserve"> </w:t>
                              </w:r>
                              <w:r>
                                <w:rPr>
                                  <w:rFonts w:ascii="Calibri"/>
                                  <w:sz w:val="19"/>
                                </w:rPr>
                                <w:t>accordance</w:t>
                              </w:r>
                              <w:r>
                                <w:rPr>
                                  <w:rFonts w:ascii="Calibri"/>
                                  <w:spacing w:val="-6"/>
                                  <w:sz w:val="19"/>
                                </w:rPr>
                                <w:t xml:space="preserve"> </w:t>
                              </w:r>
                              <w:r>
                                <w:rPr>
                                  <w:rFonts w:ascii="Calibri"/>
                                  <w:sz w:val="19"/>
                                </w:rPr>
                                <w:t>with</w:t>
                              </w:r>
                              <w:r>
                                <w:rPr>
                                  <w:rFonts w:ascii="Calibri"/>
                                  <w:spacing w:val="-9"/>
                                  <w:sz w:val="19"/>
                                </w:rPr>
                                <w:t xml:space="preserve"> </w:t>
                              </w:r>
                              <w:r>
                                <w:rPr>
                                  <w:rFonts w:ascii="Calibri"/>
                                  <w:sz w:val="19"/>
                                </w:rPr>
                                <w:t>the</w:t>
                              </w:r>
                              <w:r>
                                <w:rPr>
                                  <w:rFonts w:ascii="Calibri"/>
                                  <w:spacing w:val="-9"/>
                                  <w:sz w:val="19"/>
                                </w:rPr>
                                <w:t xml:space="preserve"> </w:t>
                              </w:r>
                              <w:r>
                                <w:rPr>
                                  <w:rFonts w:ascii="Calibri"/>
                                  <w:sz w:val="19"/>
                                </w:rPr>
                                <w:t>financial</w:t>
                              </w:r>
                              <w:r>
                                <w:rPr>
                                  <w:rFonts w:ascii="Calibri"/>
                                  <w:spacing w:val="-7"/>
                                  <w:sz w:val="19"/>
                                </w:rPr>
                                <w:t xml:space="preserve"> </w:t>
                              </w:r>
                              <w:r>
                                <w:rPr>
                                  <w:rFonts w:ascii="Calibri"/>
                                  <w:sz w:val="19"/>
                                </w:rPr>
                                <w:t>reporting</w:t>
                              </w:r>
                              <w:r>
                                <w:rPr>
                                  <w:rFonts w:ascii="Calibri"/>
                                  <w:spacing w:val="-8"/>
                                  <w:sz w:val="19"/>
                                </w:rPr>
                                <w:t xml:space="preserve"> </w:t>
                              </w:r>
                              <w:r>
                                <w:rPr>
                                  <w:rFonts w:ascii="Calibri"/>
                                  <w:sz w:val="19"/>
                                </w:rPr>
                                <w:t>requirements</w:t>
                              </w:r>
                              <w:r>
                                <w:rPr>
                                  <w:rFonts w:ascii="Calibri"/>
                                  <w:spacing w:val="-8"/>
                                  <w:sz w:val="19"/>
                                </w:rPr>
                                <w:t xml:space="preserve"> </w:t>
                              </w:r>
                              <w:r>
                                <w:rPr>
                                  <w:rFonts w:ascii="Calibri"/>
                                  <w:sz w:val="19"/>
                                </w:rPr>
                                <w:t>of</w:t>
                              </w:r>
                              <w:r>
                                <w:rPr>
                                  <w:rFonts w:ascii="Calibri"/>
                                  <w:spacing w:val="-5"/>
                                  <w:sz w:val="19"/>
                                </w:rPr>
                                <w:t xml:space="preserve"> </w:t>
                              </w:r>
                              <w:r>
                                <w:rPr>
                                  <w:rFonts w:ascii="Calibri"/>
                                  <w:sz w:val="19"/>
                                </w:rPr>
                                <w:t>Part</w:t>
                              </w:r>
                              <w:r>
                                <w:rPr>
                                  <w:rFonts w:ascii="Calibri"/>
                                  <w:spacing w:val="-8"/>
                                  <w:sz w:val="19"/>
                                </w:rPr>
                                <w:t xml:space="preserve"> </w:t>
                              </w:r>
                              <w:r>
                                <w:rPr>
                                  <w:rFonts w:ascii="Calibri"/>
                                  <w:sz w:val="19"/>
                                </w:rPr>
                                <w:t>7</w:t>
                              </w:r>
                              <w:r>
                                <w:rPr>
                                  <w:rFonts w:ascii="Calibri"/>
                                  <w:spacing w:val="-5"/>
                                  <w:sz w:val="19"/>
                                </w:rPr>
                                <w:t xml:space="preserve"> </w:t>
                              </w:r>
                              <w:r>
                                <w:rPr>
                                  <w:rFonts w:ascii="Calibri"/>
                                  <w:sz w:val="19"/>
                                </w:rPr>
                                <w:t>of</w:t>
                              </w:r>
                              <w:r>
                                <w:rPr>
                                  <w:rFonts w:ascii="Calibri"/>
                                  <w:spacing w:val="-8"/>
                                  <w:sz w:val="19"/>
                                </w:rPr>
                                <w:t xml:space="preserve"> </w:t>
                              </w:r>
                              <w:r>
                                <w:rPr>
                                  <w:rFonts w:ascii="Calibri"/>
                                  <w:sz w:val="19"/>
                                </w:rPr>
                                <w:t xml:space="preserve">the </w:t>
                              </w:r>
                              <w:r>
                                <w:rPr>
                                  <w:rFonts w:ascii="Calibri"/>
                                  <w:i/>
                                  <w:sz w:val="19"/>
                                </w:rPr>
                                <w:t xml:space="preserve">Financial Management Act 1994 </w:t>
                              </w:r>
                              <w:r>
                                <w:rPr>
                                  <w:rFonts w:ascii="Calibri"/>
                                  <w:sz w:val="19"/>
                                </w:rPr>
                                <w:t>and applicable Australian Accounting Standards.</w:t>
                              </w:r>
                            </w:p>
                          </w:txbxContent>
                        </wps:txbx>
                        <wps:bodyPr wrap="square" lIns="0" tIns="0" rIns="0" bIns="0" rtlCol="0">
                          <a:noAutofit/>
                        </wps:bodyPr>
                      </wps:wsp>
                    </wpg:wgp>
                  </a:graphicData>
                </a:graphic>
              </wp:inline>
            </w:drawing>
          </mc:Choice>
          <mc:Fallback>
            <w:pict>
              <v:group w14:anchorId="4B13E94B" id="Group 753" o:spid="_x0000_s1045" alt="I have audited the financial report of the Victorian Building Authority (the authority) which&#10;comprises the:&#10;• balance sheet as at 30 June 2023&#10;• comprehensive operating statement for the year then ended&#10;• statement of changes in equity for the year then ended&#10;• cash flow statement for the year then ended&#10;• notes to the financial statements, including significant accounting policies&#10;• declaration in the financial statements.&#10;" style="width:488.15pt;height:289.55pt;mso-position-horizontal-relative:char;mso-position-vertical-relative:line" coordsize="61993,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RdgNoAAAAGYktHRAD/AP8A/6C9p5MAAAAJcEhZcwAADsQAAA7EAZUrDhsAACAASURBVHic7L15&#10;mB1XeeD9e8+9tzftsizJkvd9ky3v8oaMFzAYY2yn5cSZ+SCTIAWChwQP4Uu+eUZ4vnyZAQcCMeCR&#10;CQlhEk9QB4yxAWNsiABbAlveLe+7ZVuStUu93XvP+/1RdVTnVt9W37Z6uZLf3/NI3V23qm7VqVPn&#10;vOddwT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">
                <v:shape id="Image 754" o:spid="_x0000_s1046" type="#_x0000_t75" alt="VAGO logo - Victorian Auditor-General's Office" style="position:absolute;left:34345;width:27648;height:1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">
                  <v:imagedata r:id="rId245" o:title="VAGO logo - Victorian Auditor-General's Office"/>
                </v:shape>
                <v:shape id="Graphic 755" o:spid="_x0000_s1047" style="position:absolute;top:13783;width:54806;height:57;visibility:visible;mso-wrap-style:square;v-text-anchor:top" coordsize="54806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" path="m878624,r-5398,l5461,,,,,5448r5461,l873163,5448r5461,l878624,xem5480126,l878636,r,5448l5480126,5448r,-5448xe" fillcolor="#d0cece" stroked="f">
                  <v:path arrowok="t"/>
                </v:shape>
                <v:shape id="Graphic 756" o:spid="_x0000_s1048" style="position:absolute;left:54802;top:13783;width:57;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" path="m5448,l,,,5460r5448,l5448,xe" stroked="f">
                  <v:path arrowok="t"/>
                </v:shape>
                <v:shape id="Graphic 757" o:spid="_x0000_s1049" style="position:absolute;left:54802;top:13783;width:57;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" path="m5448,l,,,5460r5448,l5448,xe" fillcolor="#d0cece" stroked="f">
                  <v:path arrowok="t"/>
                </v:shape>
                <v:shape id="Graphic 758" o:spid="_x0000_s1050" style="position:absolute;left:54802;top:13839;width:57;height:22879;visibility:visible;mso-wrap-style:square;v-text-anchor:top" coordsize="5715,22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" path="m5448,l,,,2287625r5448,l5448,xe" stroked="f">
                  <v:path arrowok="t"/>
                </v:shape>
                <v:shape id="Graphic 759" o:spid="_x0000_s1051" style="position:absolute;top:36715;width:54857;height:57;visibility:visible;mso-wrap-style:square;v-text-anchor:top" coordsize="548576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" path="m878624,r-5398,l5461,,,,,5448r5461,l873163,5448r5461,l878624,xem5480126,l878636,r,5448l5480126,5448r,-5448xem5485701,r-5448,l5480253,5448r5448,l5485701,xe" fillcolor="#d0cece" stroked="f">
                  <v:path arrowok="t"/>
                </v:shape>
                <v:shape id="Textbox 760" o:spid="_x0000_s1052" type="#_x0000_t202" alt="Opinion" style="position:absolute;left:641;top:14438;width:4102;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3A1D1F3C" w14:textId="77777777" w:rsidR="00084F36" w:rsidRDefault="00EB2BD8">
                        <w:pPr>
                          <w:spacing w:line="189" w:lineRule="exact"/>
                          <w:rPr>
                            <w:rFonts w:ascii="Calibri"/>
                            <w:b/>
                            <w:sz w:val="19"/>
                          </w:rPr>
                        </w:pPr>
                        <w:r>
                          <w:rPr>
                            <w:rFonts w:ascii="Calibri"/>
                            <w:b/>
                            <w:spacing w:val="-2"/>
                            <w:sz w:val="19"/>
                          </w:rPr>
                          <w:t>Opinion</w:t>
                        </w:r>
                      </w:p>
                    </w:txbxContent>
                  </v:textbox>
                </v:shape>
                <v:shape id="Textbox 761" o:spid="_x0000_s1053" type="#_x0000_t202" alt="VAGO Victorian Auditor-General's Office&#10;Opinion&#10;I have audited the financial report of the Victorian Building Authority (the authority) which&#10;comprises the:&#10;• balance sheet as at 30 June 2023&#10;• comprehensive operating statement for the year then ended&#10;• statement of changes in equity for the year then ended&#10;• cash flow statement for the year then ended&#10;• notes to the financial statements, including significant accounting policies&#10;• declaration in the financial statements.&#10;" style="position:absolute;left:9563;top:13993;width:44038;height:13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732EA055" w14:textId="77777777" w:rsidR="00084F36" w:rsidRDefault="00EB2BD8">
                        <w:pPr>
                          <w:spacing w:line="193" w:lineRule="exact"/>
                          <w:rPr>
                            <w:rFonts w:ascii="Calibri"/>
                            <w:sz w:val="19"/>
                          </w:rPr>
                        </w:pPr>
                        <w:r>
                          <w:rPr>
                            <w:rFonts w:ascii="Calibri"/>
                            <w:sz w:val="19"/>
                          </w:rPr>
                          <w:t>I</w:t>
                        </w:r>
                        <w:r>
                          <w:rPr>
                            <w:rFonts w:ascii="Calibri"/>
                            <w:spacing w:val="-11"/>
                            <w:sz w:val="19"/>
                          </w:rPr>
                          <w:t xml:space="preserve"> </w:t>
                        </w:r>
                        <w:r>
                          <w:rPr>
                            <w:rFonts w:ascii="Calibri"/>
                            <w:sz w:val="19"/>
                          </w:rPr>
                          <w:t>have</w:t>
                        </w:r>
                        <w:r>
                          <w:rPr>
                            <w:rFonts w:ascii="Calibri"/>
                            <w:spacing w:val="-11"/>
                            <w:sz w:val="19"/>
                          </w:rPr>
                          <w:t xml:space="preserve"> </w:t>
                        </w:r>
                        <w:r>
                          <w:rPr>
                            <w:rFonts w:ascii="Calibri"/>
                            <w:sz w:val="19"/>
                          </w:rPr>
                          <w:t>audited</w:t>
                        </w:r>
                        <w:r>
                          <w:rPr>
                            <w:rFonts w:ascii="Calibri"/>
                            <w:spacing w:val="-11"/>
                            <w:sz w:val="19"/>
                          </w:rPr>
                          <w:t xml:space="preserve"> </w:t>
                        </w:r>
                        <w:r>
                          <w:rPr>
                            <w:rFonts w:ascii="Calibri"/>
                            <w:sz w:val="19"/>
                          </w:rPr>
                          <w:t>the</w:t>
                        </w:r>
                        <w:r>
                          <w:rPr>
                            <w:rFonts w:ascii="Calibri"/>
                            <w:spacing w:val="-10"/>
                            <w:sz w:val="19"/>
                          </w:rPr>
                          <w:t xml:space="preserve"> </w:t>
                        </w:r>
                        <w:r>
                          <w:rPr>
                            <w:rFonts w:ascii="Calibri"/>
                            <w:sz w:val="19"/>
                          </w:rPr>
                          <w:t>financial</w:t>
                        </w:r>
                        <w:r>
                          <w:rPr>
                            <w:rFonts w:ascii="Calibri"/>
                            <w:spacing w:val="-11"/>
                            <w:sz w:val="19"/>
                          </w:rPr>
                          <w:t xml:space="preserve"> </w:t>
                        </w:r>
                        <w:r>
                          <w:rPr>
                            <w:rFonts w:ascii="Calibri"/>
                            <w:sz w:val="19"/>
                          </w:rPr>
                          <w:t>report</w:t>
                        </w:r>
                        <w:r>
                          <w:rPr>
                            <w:rFonts w:ascii="Calibri"/>
                            <w:spacing w:val="-11"/>
                            <w:sz w:val="19"/>
                          </w:rPr>
                          <w:t xml:space="preserve"> </w:t>
                        </w:r>
                        <w:r>
                          <w:rPr>
                            <w:rFonts w:ascii="Calibri"/>
                            <w:sz w:val="19"/>
                          </w:rPr>
                          <w:t>of</w:t>
                        </w:r>
                        <w:r>
                          <w:rPr>
                            <w:rFonts w:ascii="Calibri"/>
                            <w:spacing w:val="-11"/>
                            <w:sz w:val="19"/>
                          </w:rPr>
                          <w:t xml:space="preserve"> </w:t>
                        </w:r>
                        <w:r>
                          <w:rPr>
                            <w:rFonts w:ascii="Calibri"/>
                            <w:sz w:val="19"/>
                          </w:rPr>
                          <w:t>the</w:t>
                        </w:r>
                        <w:r>
                          <w:rPr>
                            <w:rFonts w:ascii="Calibri"/>
                            <w:spacing w:val="-10"/>
                            <w:sz w:val="19"/>
                          </w:rPr>
                          <w:t xml:space="preserve"> </w:t>
                        </w:r>
                        <w:r>
                          <w:rPr>
                            <w:rFonts w:ascii="Calibri"/>
                            <w:sz w:val="19"/>
                          </w:rPr>
                          <w:t>Victorian</w:t>
                        </w:r>
                        <w:r>
                          <w:rPr>
                            <w:rFonts w:ascii="Calibri"/>
                            <w:spacing w:val="-10"/>
                            <w:sz w:val="19"/>
                          </w:rPr>
                          <w:t xml:space="preserve"> </w:t>
                        </w:r>
                        <w:r>
                          <w:rPr>
                            <w:rFonts w:ascii="Calibri"/>
                            <w:sz w:val="19"/>
                          </w:rPr>
                          <w:t>Building</w:t>
                        </w:r>
                        <w:r>
                          <w:rPr>
                            <w:rFonts w:ascii="Calibri"/>
                            <w:spacing w:val="-11"/>
                            <w:sz w:val="19"/>
                          </w:rPr>
                          <w:t xml:space="preserve"> </w:t>
                        </w:r>
                        <w:r>
                          <w:rPr>
                            <w:rFonts w:ascii="Calibri"/>
                            <w:sz w:val="19"/>
                          </w:rPr>
                          <w:t>Authority</w:t>
                        </w:r>
                        <w:r>
                          <w:rPr>
                            <w:rFonts w:ascii="Calibri"/>
                            <w:spacing w:val="-9"/>
                            <w:sz w:val="19"/>
                          </w:rPr>
                          <w:t xml:space="preserve"> </w:t>
                        </w:r>
                        <w:r>
                          <w:rPr>
                            <w:rFonts w:ascii="Calibri"/>
                            <w:sz w:val="19"/>
                          </w:rPr>
                          <w:t>(the</w:t>
                        </w:r>
                        <w:r>
                          <w:rPr>
                            <w:rFonts w:ascii="Calibri"/>
                            <w:spacing w:val="-10"/>
                            <w:sz w:val="19"/>
                          </w:rPr>
                          <w:t xml:space="preserve"> </w:t>
                        </w:r>
                        <w:r>
                          <w:rPr>
                            <w:rFonts w:ascii="Calibri"/>
                            <w:sz w:val="19"/>
                          </w:rPr>
                          <w:t>authority)</w:t>
                        </w:r>
                        <w:r>
                          <w:rPr>
                            <w:rFonts w:ascii="Calibri"/>
                            <w:spacing w:val="-11"/>
                            <w:sz w:val="19"/>
                          </w:rPr>
                          <w:t xml:space="preserve"> </w:t>
                        </w:r>
                        <w:r>
                          <w:rPr>
                            <w:rFonts w:ascii="Calibri"/>
                            <w:spacing w:val="-2"/>
                            <w:sz w:val="19"/>
                          </w:rPr>
                          <w:t>which</w:t>
                        </w:r>
                      </w:p>
                      <w:p w14:paraId="5EC9BFDC" w14:textId="77777777" w:rsidR="00084F36" w:rsidRDefault="00EB2BD8">
                        <w:pPr>
                          <w:spacing w:before="30"/>
                          <w:rPr>
                            <w:rFonts w:ascii="Calibri"/>
                            <w:sz w:val="19"/>
                          </w:rPr>
                        </w:pPr>
                        <w:r>
                          <w:rPr>
                            <w:rFonts w:ascii="Calibri"/>
                            <w:spacing w:val="-2"/>
                            <w:sz w:val="19"/>
                          </w:rPr>
                          <w:t xml:space="preserve">comprises </w:t>
                        </w:r>
                        <w:r>
                          <w:rPr>
                            <w:rFonts w:ascii="Calibri"/>
                            <w:spacing w:val="-4"/>
                            <w:sz w:val="19"/>
                          </w:rPr>
                          <w:t>the:</w:t>
                        </w:r>
                      </w:p>
                      <w:p w14:paraId="7CD232CF" w14:textId="77777777" w:rsidR="00084F36" w:rsidRDefault="00EB2BD8">
                        <w:pPr>
                          <w:numPr>
                            <w:ilvl w:val="0"/>
                            <w:numId w:val="52"/>
                          </w:numPr>
                          <w:tabs>
                            <w:tab w:val="left" w:pos="506"/>
                          </w:tabs>
                          <w:spacing w:before="138"/>
                          <w:ind w:hanging="506"/>
                          <w:rPr>
                            <w:rFonts w:ascii="Calibri"/>
                            <w:sz w:val="19"/>
                          </w:rPr>
                        </w:pPr>
                        <w:r>
                          <w:rPr>
                            <w:rFonts w:ascii="Calibri"/>
                            <w:sz w:val="19"/>
                          </w:rPr>
                          <w:t>balance</w:t>
                        </w:r>
                        <w:r>
                          <w:rPr>
                            <w:rFonts w:ascii="Calibri"/>
                            <w:spacing w:val="-6"/>
                            <w:sz w:val="19"/>
                          </w:rPr>
                          <w:t xml:space="preserve"> </w:t>
                        </w:r>
                        <w:r>
                          <w:rPr>
                            <w:rFonts w:ascii="Calibri"/>
                            <w:sz w:val="19"/>
                          </w:rPr>
                          <w:t>sheet</w:t>
                        </w:r>
                        <w:r>
                          <w:rPr>
                            <w:rFonts w:ascii="Calibri"/>
                            <w:spacing w:val="-7"/>
                            <w:sz w:val="19"/>
                          </w:rPr>
                          <w:t xml:space="preserve"> </w:t>
                        </w:r>
                        <w:r>
                          <w:rPr>
                            <w:rFonts w:ascii="Calibri"/>
                            <w:sz w:val="19"/>
                          </w:rPr>
                          <w:t>as</w:t>
                        </w:r>
                        <w:r>
                          <w:rPr>
                            <w:rFonts w:ascii="Calibri"/>
                            <w:spacing w:val="-7"/>
                            <w:sz w:val="19"/>
                          </w:rPr>
                          <w:t xml:space="preserve"> </w:t>
                        </w:r>
                        <w:r>
                          <w:rPr>
                            <w:rFonts w:ascii="Calibri"/>
                            <w:sz w:val="19"/>
                          </w:rPr>
                          <w:t>at</w:t>
                        </w:r>
                        <w:r>
                          <w:rPr>
                            <w:rFonts w:ascii="Calibri"/>
                            <w:spacing w:val="-7"/>
                            <w:sz w:val="19"/>
                          </w:rPr>
                          <w:t xml:space="preserve"> </w:t>
                        </w:r>
                        <w:r>
                          <w:rPr>
                            <w:rFonts w:ascii="Calibri"/>
                            <w:sz w:val="19"/>
                          </w:rPr>
                          <w:t>30</w:t>
                        </w:r>
                        <w:r>
                          <w:rPr>
                            <w:rFonts w:ascii="Calibri"/>
                            <w:spacing w:val="-6"/>
                            <w:sz w:val="19"/>
                          </w:rPr>
                          <w:t xml:space="preserve"> </w:t>
                        </w:r>
                        <w:r>
                          <w:rPr>
                            <w:rFonts w:ascii="Calibri"/>
                            <w:sz w:val="19"/>
                          </w:rPr>
                          <w:t>June</w:t>
                        </w:r>
                        <w:r>
                          <w:rPr>
                            <w:rFonts w:ascii="Calibri"/>
                            <w:spacing w:val="-7"/>
                            <w:sz w:val="19"/>
                          </w:rPr>
                          <w:t xml:space="preserve"> </w:t>
                        </w:r>
                        <w:r>
                          <w:rPr>
                            <w:rFonts w:ascii="Calibri"/>
                            <w:spacing w:val="-4"/>
                            <w:sz w:val="19"/>
                          </w:rPr>
                          <w:t>2023</w:t>
                        </w:r>
                      </w:p>
                      <w:p w14:paraId="26F431E0" w14:textId="77777777" w:rsidR="00084F36" w:rsidRDefault="00EB2BD8">
                        <w:pPr>
                          <w:numPr>
                            <w:ilvl w:val="0"/>
                            <w:numId w:val="52"/>
                          </w:numPr>
                          <w:tabs>
                            <w:tab w:val="left" w:pos="506"/>
                          </w:tabs>
                          <w:spacing w:before="33"/>
                          <w:ind w:hanging="506"/>
                          <w:rPr>
                            <w:rFonts w:ascii="Calibri"/>
                            <w:sz w:val="19"/>
                          </w:rPr>
                        </w:pPr>
                        <w:r>
                          <w:rPr>
                            <w:rFonts w:ascii="Calibri"/>
                            <w:spacing w:val="-2"/>
                            <w:sz w:val="19"/>
                          </w:rPr>
                          <w:t>comprehensive</w:t>
                        </w:r>
                        <w:r>
                          <w:rPr>
                            <w:rFonts w:ascii="Calibri"/>
                            <w:spacing w:val="1"/>
                            <w:sz w:val="19"/>
                          </w:rPr>
                          <w:t xml:space="preserve"> </w:t>
                        </w:r>
                        <w:r>
                          <w:rPr>
                            <w:rFonts w:ascii="Calibri"/>
                            <w:spacing w:val="-2"/>
                            <w:sz w:val="19"/>
                          </w:rPr>
                          <w:t>operating</w:t>
                        </w:r>
                        <w:r>
                          <w:rPr>
                            <w:rFonts w:ascii="Calibri"/>
                            <w:sz w:val="19"/>
                          </w:rPr>
                          <w:t xml:space="preserve"> </w:t>
                        </w:r>
                        <w:r>
                          <w:rPr>
                            <w:rFonts w:ascii="Calibri"/>
                            <w:spacing w:val="-2"/>
                            <w:sz w:val="19"/>
                          </w:rPr>
                          <w:t>statement</w:t>
                        </w:r>
                        <w:r>
                          <w:rPr>
                            <w:rFonts w:ascii="Calibri"/>
                            <w:spacing w:val="5"/>
                            <w:sz w:val="19"/>
                          </w:rPr>
                          <w:t xml:space="preserve"> </w:t>
                        </w:r>
                        <w:r>
                          <w:rPr>
                            <w:rFonts w:ascii="Calibri"/>
                            <w:spacing w:val="-2"/>
                            <w:sz w:val="19"/>
                          </w:rPr>
                          <w:t>for</w:t>
                        </w:r>
                        <w:r>
                          <w:rPr>
                            <w:rFonts w:ascii="Calibri"/>
                            <w:spacing w:val="-1"/>
                            <w:sz w:val="19"/>
                          </w:rPr>
                          <w:t xml:space="preserve"> </w:t>
                        </w:r>
                        <w:r>
                          <w:rPr>
                            <w:rFonts w:ascii="Calibri"/>
                            <w:spacing w:val="-2"/>
                            <w:sz w:val="19"/>
                          </w:rPr>
                          <w:t>the</w:t>
                        </w:r>
                        <w:r>
                          <w:rPr>
                            <w:rFonts w:ascii="Calibri"/>
                            <w:spacing w:val="2"/>
                            <w:sz w:val="19"/>
                          </w:rPr>
                          <w:t xml:space="preserve"> </w:t>
                        </w:r>
                        <w:r>
                          <w:rPr>
                            <w:rFonts w:ascii="Calibri"/>
                            <w:spacing w:val="-2"/>
                            <w:sz w:val="19"/>
                          </w:rPr>
                          <w:t>year</w:t>
                        </w:r>
                        <w:r>
                          <w:rPr>
                            <w:rFonts w:ascii="Calibri"/>
                            <w:sz w:val="19"/>
                          </w:rPr>
                          <w:t xml:space="preserve"> </w:t>
                        </w:r>
                        <w:r>
                          <w:rPr>
                            <w:rFonts w:ascii="Calibri"/>
                            <w:spacing w:val="-2"/>
                            <w:sz w:val="19"/>
                          </w:rPr>
                          <w:t>then</w:t>
                        </w:r>
                        <w:r>
                          <w:rPr>
                            <w:rFonts w:ascii="Calibri"/>
                            <w:sz w:val="19"/>
                          </w:rPr>
                          <w:t xml:space="preserve"> </w:t>
                        </w:r>
                        <w:r>
                          <w:rPr>
                            <w:rFonts w:ascii="Calibri"/>
                            <w:spacing w:val="-2"/>
                            <w:sz w:val="19"/>
                          </w:rPr>
                          <w:t>ended</w:t>
                        </w:r>
                      </w:p>
                      <w:p w14:paraId="012A2FD4" w14:textId="77777777" w:rsidR="00084F36" w:rsidRDefault="00EB2BD8">
                        <w:pPr>
                          <w:numPr>
                            <w:ilvl w:val="0"/>
                            <w:numId w:val="52"/>
                          </w:numPr>
                          <w:tabs>
                            <w:tab w:val="left" w:pos="507"/>
                          </w:tabs>
                          <w:spacing w:before="31"/>
                          <w:ind w:left="507"/>
                          <w:rPr>
                            <w:rFonts w:ascii="Calibri"/>
                            <w:sz w:val="19"/>
                          </w:rPr>
                        </w:pPr>
                        <w:r>
                          <w:rPr>
                            <w:rFonts w:ascii="Calibri"/>
                            <w:sz w:val="19"/>
                          </w:rPr>
                          <w:t>statement</w:t>
                        </w:r>
                        <w:r>
                          <w:rPr>
                            <w:rFonts w:ascii="Calibri"/>
                            <w:spacing w:val="-8"/>
                            <w:sz w:val="19"/>
                          </w:rPr>
                          <w:t xml:space="preserve"> </w:t>
                        </w:r>
                        <w:r>
                          <w:rPr>
                            <w:rFonts w:ascii="Calibri"/>
                            <w:sz w:val="19"/>
                          </w:rPr>
                          <w:t>of</w:t>
                        </w:r>
                        <w:r>
                          <w:rPr>
                            <w:rFonts w:ascii="Calibri"/>
                            <w:spacing w:val="-9"/>
                            <w:sz w:val="19"/>
                          </w:rPr>
                          <w:t xml:space="preserve"> </w:t>
                        </w:r>
                        <w:r>
                          <w:rPr>
                            <w:rFonts w:ascii="Calibri"/>
                            <w:sz w:val="19"/>
                          </w:rPr>
                          <w:t>changes</w:t>
                        </w:r>
                        <w:r>
                          <w:rPr>
                            <w:rFonts w:ascii="Calibri"/>
                            <w:spacing w:val="-8"/>
                            <w:sz w:val="19"/>
                          </w:rPr>
                          <w:t xml:space="preserve"> </w:t>
                        </w:r>
                        <w:r>
                          <w:rPr>
                            <w:rFonts w:ascii="Calibri"/>
                            <w:sz w:val="19"/>
                          </w:rPr>
                          <w:t>in</w:t>
                        </w:r>
                        <w:r>
                          <w:rPr>
                            <w:rFonts w:ascii="Calibri"/>
                            <w:spacing w:val="-10"/>
                            <w:sz w:val="19"/>
                          </w:rPr>
                          <w:t xml:space="preserve"> </w:t>
                        </w:r>
                        <w:r>
                          <w:rPr>
                            <w:rFonts w:ascii="Calibri"/>
                            <w:sz w:val="19"/>
                          </w:rPr>
                          <w:t>equity</w:t>
                        </w:r>
                        <w:r>
                          <w:rPr>
                            <w:rFonts w:ascii="Calibri"/>
                            <w:spacing w:val="-7"/>
                            <w:sz w:val="19"/>
                          </w:rPr>
                          <w:t xml:space="preserve"> </w:t>
                        </w:r>
                        <w:r>
                          <w:rPr>
                            <w:rFonts w:ascii="Calibri"/>
                            <w:sz w:val="19"/>
                          </w:rPr>
                          <w:t>for</w:t>
                        </w:r>
                        <w:r>
                          <w:rPr>
                            <w:rFonts w:ascii="Calibri"/>
                            <w:spacing w:val="-8"/>
                            <w:sz w:val="19"/>
                          </w:rPr>
                          <w:t xml:space="preserve"> </w:t>
                        </w:r>
                        <w:r>
                          <w:rPr>
                            <w:rFonts w:ascii="Calibri"/>
                            <w:sz w:val="19"/>
                          </w:rPr>
                          <w:t>the</w:t>
                        </w:r>
                        <w:r>
                          <w:rPr>
                            <w:rFonts w:ascii="Calibri"/>
                            <w:spacing w:val="-10"/>
                            <w:sz w:val="19"/>
                          </w:rPr>
                          <w:t xml:space="preserve"> </w:t>
                        </w:r>
                        <w:r>
                          <w:rPr>
                            <w:rFonts w:ascii="Calibri"/>
                            <w:sz w:val="19"/>
                          </w:rPr>
                          <w:t>year</w:t>
                        </w:r>
                        <w:r>
                          <w:rPr>
                            <w:rFonts w:ascii="Calibri"/>
                            <w:spacing w:val="-9"/>
                            <w:sz w:val="19"/>
                          </w:rPr>
                          <w:t xml:space="preserve"> </w:t>
                        </w:r>
                        <w:r>
                          <w:rPr>
                            <w:rFonts w:ascii="Calibri"/>
                            <w:sz w:val="19"/>
                          </w:rPr>
                          <w:t>then</w:t>
                        </w:r>
                        <w:r>
                          <w:rPr>
                            <w:rFonts w:ascii="Calibri"/>
                            <w:spacing w:val="-9"/>
                            <w:sz w:val="19"/>
                          </w:rPr>
                          <w:t xml:space="preserve"> </w:t>
                        </w:r>
                        <w:r>
                          <w:rPr>
                            <w:rFonts w:ascii="Calibri"/>
                            <w:spacing w:val="-2"/>
                            <w:sz w:val="19"/>
                          </w:rPr>
                          <w:t>ended</w:t>
                        </w:r>
                      </w:p>
                      <w:p w14:paraId="4A797623" w14:textId="77777777" w:rsidR="00084F36" w:rsidRDefault="00EB2BD8">
                        <w:pPr>
                          <w:numPr>
                            <w:ilvl w:val="0"/>
                            <w:numId w:val="52"/>
                          </w:numPr>
                          <w:tabs>
                            <w:tab w:val="left" w:pos="507"/>
                          </w:tabs>
                          <w:spacing w:before="33"/>
                          <w:ind w:left="507"/>
                          <w:rPr>
                            <w:rFonts w:ascii="Calibri"/>
                            <w:sz w:val="19"/>
                          </w:rPr>
                        </w:pPr>
                        <w:r>
                          <w:rPr>
                            <w:rFonts w:ascii="Calibri"/>
                            <w:sz w:val="19"/>
                          </w:rPr>
                          <w:t>cash</w:t>
                        </w:r>
                        <w:r>
                          <w:rPr>
                            <w:rFonts w:ascii="Calibri"/>
                            <w:spacing w:val="-9"/>
                            <w:sz w:val="19"/>
                          </w:rPr>
                          <w:t xml:space="preserve"> </w:t>
                        </w:r>
                        <w:r>
                          <w:rPr>
                            <w:rFonts w:ascii="Calibri"/>
                            <w:sz w:val="19"/>
                          </w:rPr>
                          <w:t>flow</w:t>
                        </w:r>
                        <w:r>
                          <w:rPr>
                            <w:rFonts w:ascii="Calibri"/>
                            <w:spacing w:val="-8"/>
                            <w:sz w:val="19"/>
                          </w:rPr>
                          <w:t xml:space="preserve"> </w:t>
                        </w:r>
                        <w:r>
                          <w:rPr>
                            <w:rFonts w:ascii="Calibri"/>
                            <w:sz w:val="19"/>
                          </w:rPr>
                          <w:t>statement</w:t>
                        </w:r>
                        <w:r>
                          <w:rPr>
                            <w:rFonts w:ascii="Calibri"/>
                            <w:spacing w:val="-5"/>
                            <w:sz w:val="19"/>
                          </w:rPr>
                          <w:t xml:space="preserve"> </w:t>
                        </w:r>
                        <w:r>
                          <w:rPr>
                            <w:rFonts w:ascii="Calibri"/>
                            <w:sz w:val="19"/>
                          </w:rPr>
                          <w:t>for</w:t>
                        </w:r>
                        <w:r>
                          <w:rPr>
                            <w:rFonts w:ascii="Calibri"/>
                            <w:spacing w:val="-9"/>
                            <w:sz w:val="19"/>
                          </w:rPr>
                          <w:t xml:space="preserve"> </w:t>
                        </w:r>
                        <w:r>
                          <w:rPr>
                            <w:rFonts w:ascii="Calibri"/>
                            <w:sz w:val="19"/>
                          </w:rPr>
                          <w:t>the</w:t>
                        </w:r>
                        <w:r>
                          <w:rPr>
                            <w:rFonts w:ascii="Calibri"/>
                            <w:spacing w:val="-10"/>
                            <w:sz w:val="19"/>
                          </w:rPr>
                          <w:t xml:space="preserve"> </w:t>
                        </w:r>
                        <w:r>
                          <w:rPr>
                            <w:rFonts w:ascii="Calibri"/>
                            <w:sz w:val="19"/>
                          </w:rPr>
                          <w:t>year</w:t>
                        </w:r>
                        <w:r>
                          <w:rPr>
                            <w:rFonts w:ascii="Calibri"/>
                            <w:spacing w:val="-9"/>
                            <w:sz w:val="19"/>
                          </w:rPr>
                          <w:t xml:space="preserve"> </w:t>
                        </w:r>
                        <w:r>
                          <w:rPr>
                            <w:rFonts w:ascii="Calibri"/>
                            <w:sz w:val="19"/>
                          </w:rPr>
                          <w:t>then</w:t>
                        </w:r>
                        <w:r>
                          <w:rPr>
                            <w:rFonts w:ascii="Calibri"/>
                            <w:spacing w:val="-10"/>
                            <w:sz w:val="19"/>
                          </w:rPr>
                          <w:t xml:space="preserve"> </w:t>
                        </w:r>
                        <w:r>
                          <w:rPr>
                            <w:rFonts w:ascii="Calibri"/>
                            <w:spacing w:val="-2"/>
                            <w:sz w:val="19"/>
                          </w:rPr>
                          <w:t>ended</w:t>
                        </w:r>
                      </w:p>
                      <w:p w14:paraId="30B5F74E" w14:textId="77777777" w:rsidR="00084F36" w:rsidRDefault="00EB2BD8">
                        <w:pPr>
                          <w:numPr>
                            <w:ilvl w:val="0"/>
                            <w:numId w:val="52"/>
                          </w:numPr>
                          <w:tabs>
                            <w:tab w:val="left" w:pos="507"/>
                          </w:tabs>
                          <w:spacing w:before="30"/>
                          <w:ind w:left="507"/>
                          <w:rPr>
                            <w:rFonts w:ascii="Calibri"/>
                            <w:sz w:val="19"/>
                          </w:rPr>
                        </w:pPr>
                        <w:r>
                          <w:rPr>
                            <w:rFonts w:ascii="Calibri"/>
                            <w:spacing w:val="-2"/>
                            <w:sz w:val="19"/>
                          </w:rPr>
                          <w:t>notes</w:t>
                        </w:r>
                        <w:r>
                          <w:rPr>
                            <w:rFonts w:ascii="Calibri"/>
                            <w:spacing w:val="-1"/>
                            <w:sz w:val="19"/>
                          </w:rPr>
                          <w:t xml:space="preserve"> </w:t>
                        </w:r>
                        <w:r>
                          <w:rPr>
                            <w:rFonts w:ascii="Calibri"/>
                            <w:spacing w:val="-2"/>
                            <w:sz w:val="19"/>
                          </w:rPr>
                          <w:t>to</w:t>
                        </w:r>
                        <w:r>
                          <w:rPr>
                            <w:rFonts w:ascii="Calibri"/>
                            <w:spacing w:val="1"/>
                            <w:sz w:val="19"/>
                          </w:rPr>
                          <w:t xml:space="preserve"> </w:t>
                        </w:r>
                        <w:r>
                          <w:rPr>
                            <w:rFonts w:ascii="Calibri"/>
                            <w:spacing w:val="-2"/>
                            <w:sz w:val="19"/>
                          </w:rPr>
                          <w:t>the</w:t>
                        </w:r>
                        <w:r>
                          <w:rPr>
                            <w:rFonts w:ascii="Calibri"/>
                            <w:spacing w:val="3"/>
                            <w:sz w:val="19"/>
                          </w:rPr>
                          <w:t xml:space="preserve"> </w:t>
                        </w:r>
                        <w:r>
                          <w:rPr>
                            <w:rFonts w:ascii="Calibri"/>
                            <w:spacing w:val="-2"/>
                            <w:sz w:val="19"/>
                          </w:rPr>
                          <w:t>financial</w:t>
                        </w:r>
                        <w:r>
                          <w:rPr>
                            <w:rFonts w:ascii="Calibri"/>
                            <w:spacing w:val="2"/>
                            <w:sz w:val="19"/>
                          </w:rPr>
                          <w:t xml:space="preserve"> </w:t>
                        </w:r>
                        <w:r>
                          <w:rPr>
                            <w:rFonts w:ascii="Calibri"/>
                            <w:spacing w:val="-2"/>
                            <w:sz w:val="19"/>
                          </w:rPr>
                          <w:t>statements,</w:t>
                        </w:r>
                        <w:r>
                          <w:rPr>
                            <w:rFonts w:ascii="Calibri"/>
                            <w:spacing w:val="1"/>
                            <w:sz w:val="19"/>
                          </w:rPr>
                          <w:t xml:space="preserve"> </w:t>
                        </w:r>
                        <w:r>
                          <w:rPr>
                            <w:rFonts w:ascii="Calibri"/>
                            <w:spacing w:val="-2"/>
                            <w:sz w:val="19"/>
                          </w:rPr>
                          <w:t>including</w:t>
                        </w:r>
                        <w:r>
                          <w:rPr>
                            <w:rFonts w:ascii="Calibri"/>
                            <w:spacing w:val="3"/>
                            <w:sz w:val="19"/>
                          </w:rPr>
                          <w:t xml:space="preserve"> </w:t>
                        </w:r>
                        <w:r>
                          <w:rPr>
                            <w:rFonts w:ascii="Calibri"/>
                            <w:spacing w:val="-2"/>
                            <w:sz w:val="19"/>
                          </w:rPr>
                          <w:t>significant</w:t>
                        </w:r>
                        <w:r>
                          <w:rPr>
                            <w:rFonts w:ascii="Calibri"/>
                            <w:spacing w:val="3"/>
                            <w:sz w:val="19"/>
                          </w:rPr>
                          <w:t xml:space="preserve"> </w:t>
                        </w:r>
                        <w:r>
                          <w:rPr>
                            <w:rFonts w:ascii="Calibri"/>
                            <w:spacing w:val="-2"/>
                            <w:sz w:val="19"/>
                          </w:rPr>
                          <w:t>accounting</w:t>
                        </w:r>
                        <w:r>
                          <w:rPr>
                            <w:rFonts w:ascii="Calibri"/>
                            <w:spacing w:val="1"/>
                            <w:sz w:val="19"/>
                          </w:rPr>
                          <w:t xml:space="preserve"> </w:t>
                        </w:r>
                        <w:r>
                          <w:rPr>
                            <w:rFonts w:ascii="Calibri"/>
                            <w:spacing w:val="-2"/>
                            <w:sz w:val="19"/>
                          </w:rPr>
                          <w:t>policies</w:t>
                        </w:r>
                      </w:p>
                      <w:p w14:paraId="4FDD416E" w14:textId="77777777" w:rsidR="00084F36" w:rsidRDefault="00EB2BD8">
                        <w:pPr>
                          <w:numPr>
                            <w:ilvl w:val="0"/>
                            <w:numId w:val="52"/>
                          </w:numPr>
                          <w:tabs>
                            <w:tab w:val="left" w:pos="507"/>
                          </w:tabs>
                          <w:spacing w:before="34" w:line="238" w:lineRule="exact"/>
                          <w:ind w:left="507"/>
                          <w:rPr>
                            <w:rFonts w:ascii="Calibri"/>
                            <w:sz w:val="19"/>
                          </w:rPr>
                        </w:pPr>
                        <w:r>
                          <w:rPr>
                            <w:rFonts w:ascii="Calibri"/>
                            <w:spacing w:val="-2"/>
                            <w:sz w:val="19"/>
                          </w:rPr>
                          <w:t>declaration</w:t>
                        </w:r>
                        <w:r>
                          <w:rPr>
                            <w:rFonts w:ascii="Calibri"/>
                            <w:sz w:val="19"/>
                          </w:rPr>
                          <w:t xml:space="preserve"> </w:t>
                        </w:r>
                        <w:r>
                          <w:rPr>
                            <w:rFonts w:ascii="Calibri"/>
                            <w:spacing w:val="-2"/>
                            <w:sz w:val="19"/>
                          </w:rPr>
                          <w:t>in</w:t>
                        </w:r>
                        <w:r>
                          <w:rPr>
                            <w:rFonts w:ascii="Calibri"/>
                            <w:sz w:val="19"/>
                          </w:rPr>
                          <w:t xml:space="preserve"> </w:t>
                        </w:r>
                        <w:r>
                          <w:rPr>
                            <w:rFonts w:ascii="Calibri"/>
                            <w:spacing w:val="-2"/>
                            <w:sz w:val="19"/>
                          </w:rPr>
                          <w:t>the</w:t>
                        </w:r>
                        <w:r>
                          <w:rPr>
                            <w:rFonts w:ascii="Calibri"/>
                            <w:spacing w:val="2"/>
                            <w:sz w:val="19"/>
                          </w:rPr>
                          <w:t xml:space="preserve"> </w:t>
                        </w:r>
                        <w:r>
                          <w:rPr>
                            <w:rFonts w:ascii="Calibri"/>
                            <w:spacing w:val="-2"/>
                            <w:sz w:val="19"/>
                          </w:rPr>
                          <w:t>financial</w:t>
                        </w:r>
                        <w:r>
                          <w:rPr>
                            <w:rFonts w:ascii="Calibri"/>
                            <w:spacing w:val="2"/>
                            <w:sz w:val="19"/>
                          </w:rPr>
                          <w:t xml:space="preserve"> </w:t>
                        </w:r>
                        <w:r>
                          <w:rPr>
                            <w:rFonts w:ascii="Calibri"/>
                            <w:spacing w:val="-2"/>
                            <w:sz w:val="19"/>
                          </w:rPr>
                          <w:t>statements.</w:t>
                        </w:r>
                      </w:p>
                    </w:txbxContent>
                  </v:textbox>
                </v:shape>
                <v:shape id="Textbox 762" o:spid="_x0000_s1054" type="#_x0000_t202" alt="In my opinion, the financial report presents fairly, in all material respects, the financial&#10;position of the authority as at 30 June 2023 and its financial performance and cash flows for the year then ended in accordance with the financial reporting requirements of Part 7 of the Financial Management Act 1994 and applicable Australian Accounting Standards.&#10;In my opinion, the financial report presents fairly, in all material respects, the financial&#10;position of the authority as at 30 June 2023 and its financial performance and cash flows for the year then ended in accordance with the financial reporting requirements of Part 7 of the Financial Management Act 1994 and applicable Australian Accounting Standards.&#10;" style="position:absolute;left:9375;top:29581;width:44933;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5A7467AC" w14:textId="77777777" w:rsidR="00084F36" w:rsidRDefault="00EB2BD8">
                        <w:pPr>
                          <w:spacing w:line="193" w:lineRule="exact"/>
                          <w:jc w:val="both"/>
                          <w:rPr>
                            <w:rFonts w:ascii="Calibri"/>
                            <w:sz w:val="19"/>
                          </w:rPr>
                        </w:pPr>
                        <w:r>
                          <w:rPr>
                            <w:rFonts w:ascii="Calibri"/>
                            <w:sz w:val="19"/>
                          </w:rPr>
                          <w:t>In</w:t>
                        </w:r>
                        <w:r>
                          <w:rPr>
                            <w:rFonts w:ascii="Calibri"/>
                            <w:spacing w:val="-13"/>
                            <w:sz w:val="19"/>
                          </w:rPr>
                          <w:t xml:space="preserve"> </w:t>
                        </w:r>
                        <w:r>
                          <w:rPr>
                            <w:rFonts w:ascii="Calibri"/>
                            <w:sz w:val="19"/>
                          </w:rPr>
                          <w:t>my</w:t>
                        </w:r>
                        <w:r>
                          <w:rPr>
                            <w:rFonts w:ascii="Calibri"/>
                            <w:spacing w:val="-10"/>
                            <w:sz w:val="19"/>
                          </w:rPr>
                          <w:t xml:space="preserve"> </w:t>
                        </w:r>
                        <w:r>
                          <w:rPr>
                            <w:rFonts w:ascii="Calibri"/>
                            <w:sz w:val="19"/>
                          </w:rPr>
                          <w:t>opinion,</w:t>
                        </w:r>
                        <w:r>
                          <w:rPr>
                            <w:rFonts w:ascii="Calibri"/>
                            <w:spacing w:val="-11"/>
                            <w:sz w:val="19"/>
                          </w:rPr>
                          <w:t xml:space="preserve"> </w:t>
                        </w:r>
                        <w:r>
                          <w:rPr>
                            <w:rFonts w:ascii="Calibri"/>
                            <w:sz w:val="19"/>
                          </w:rPr>
                          <w:t>the</w:t>
                        </w:r>
                        <w:r>
                          <w:rPr>
                            <w:rFonts w:ascii="Calibri"/>
                            <w:spacing w:val="-10"/>
                            <w:sz w:val="19"/>
                          </w:rPr>
                          <w:t xml:space="preserve"> </w:t>
                        </w:r>
                        <w:r>
                          <w:rPr>
                            <w:rFonts w:ascii="Calibri"/>
                            <w:sz w:val="19"/>
                          </w:rPr>
                          <w:t>financial</w:t>
                        </w:r>
                        <w:r>
                          <w:rPr>
                            <w:rFonts w:ascii="Calibri"/>
                            <w:spacing w:val="-10"/>
                            <w:sz w:val="19"/>
                          </w:rPr>
                          <w:t xml:space="preserve"> </w:t>
                        </w:r>
                        <w:r>
                          <w:rPr>
                            <w:rFonts w:ascii="Calibri"/>
                            <w:sz w:val="19"/>
                          </w:rPr>
                          <w:t>report</w:t>
                        </w:r>
                        <w:r>
                          <w:rPr>
                            <w:rFonts w:ascii="Calibri"/>
                            <w:spacing w:val="-8"/>
                            <w:sz w:val="19"/>
                          </w:rPr>
                          <w:t xml:space="preserve"> </w:t>
                        </w:r>
                        <w:r>
                          <w:rPr>
                            <w:rFonts w:ascii="Calibri"/>
                            <w:sz w:val="19"/>
                          </w:rPr>
                          <w:t>presents</w:t>
                        </w:r>
                        <w:r>
                          <w:rPr>
                            <w:rFonts w:ascii="Calibri"/>
                            <w:spacing w:val="-10"/>
                            <w:sz w:val="19"/>
                          </w:rPr>
                          <w:t xml:space="preserve"> </w:t>
                        </w:r>
                        <w:r>
                          <w:rPr>
                            <w:rFonts w:ascii="Calibri"/>
                            <w:sz w:val="19"/>
                          </w:rPr>
                          <w:t>fairly,</w:t>
                        </w:r>
                        <w:r>
                          <w:rPr>
                            <w:rFonts w:ascii="Calibri"/>
                            <w:spacing w:val="-9"/>
                            <w:sz w:val="19"/>
                          </w:rPr>
                          <w:t xml:space="preserve"> </w:t>
                        </w:r>
                        <w:r>
                          <w:rPr>
                            <w:rFonts w:ascii="Calibri"/>
                            <w:sz w:val="19"/>
                          </w:rPr>
                          <w:t>in</w:t>
                        </w:r>
                        <w:r>
                          <w:rPr>
                            <w:rFonts w:ascii="Calibri"/>
                            <w:spacing w:val="-9"/>
                            <w:sz w:val="19"/>
                          </w:rPr>
                          <w:t xml:space="preserve"> </w:t>
                        </w:r>
                        <w:r>
                          <w:rPr>
                            <w:rFonts w:ascii="Calibri"/>
                            <w:sz w:val="19"/>
                          </w:rPr>
                          <w:t>all</w:t>
                        </w:r>
                        <w:r>
                          <w:rPr>
                            <w:rFonts w:ascii="Calibri"/>
                            <w:spacing w:val="-11"/>
                            <w:sz w:val="19"/>
                          </w:rPr>
                          <w:t xml:space="preserve"> </w:t>
                        </w:r>
                        <w:r>
                          <w:rPr>
                            <w:rFonts w:ascii="Calibri"/>
                            <w:sz w:val="19"/>
                          </w:rPr>
                          <w:t>material</w:t>
                        </w:r>
                        <w:r>
                          <w:rPr>
                            <w:rFonts w:ascii="Calibri"/>
                            <w:spacing w:val="-10"/>
                            <w:sz w:val="19"/>
                          </w:rPr>
                          <w:t xml:space="preserve"> </w:t>
                        </w:r>
                        <w:r>
                          <w:rPr>
                            <w:rFonts w:ascii="Calibri"/>
                            <w:sz w:val="19"/>
                          </w:rPr>
                          <w:t>respects,</w:t>
                        </w:r>
                        <w:r>
                          <w:rPr>
                            <w:rFonts w:ascii="Calibri"/>
                            <w:spacing w:val="-8"/>
                            <w:sz w:val="19"/>
                          </w:rPr>
                          <w:t xml:space="preserve"> </w:t>
                        </w:r>
                        <w:r>
                          <w:rPr>
                            <w:rFonts w:ascii="Calibri"/>
                            <w:sz w:val="19"/>
                          </w:rPr>
                          <w:t>the</w:t>
                        </w:r>
                        <w:r>
                          <w:rPr>
                            <w:rFonts w:ascii="Calibri"/>
                            <w:spacing w:val="-11"/>
                            <w:sz w:val="19"/>
                          </w:rPr>
                          <w:t xml:space="preserve"> </w:t>
                        </w:r>
                        <w:r>
                          <w:rPr>
                            <w:rFonts w:ascii="Calibri"/>
                            <w:spacing w:val="-2"/>
                            <w:sz w:val="19"/>
                          </w:rPr>
                          <w:t>financial</w:t>
                        </w:r>
                      </w:p>
                      <w:p w14:paraId="3EBA136B" w14:textId="77777777" w:rsidR="00084F36" w:rsidRDefault="00EB2BD8">
                        <w:pPr>
                          <w:spacing w:before="4" w:line="260" w:lineRule="atLeast"/>
                          <w:ind w:right="18"/>
                          <w:jc w:val="both"/>
                          <w:rPr>
                            <w:rFonts w:ascii="Calibri"/>
                            <w:sz w:val="19"/>
                          </w:rPr>
                        </w:pPr>
                        <w:r>
                          <w:rPr>
                            <w:rFonts w:ascii="Calibri"/>
                            <w:sz w:val="19"/>
                          </w:rPr>
                          <w:t>position</w:t>
                        </w:r>
                        <w:r>
                          <w:rPr>
                            <w:rFonts w:ascii="Calibri"/>
                            <w:spacing w:val="-5"/>
                            <w:sz w:val="19"/>
                          </w:rPr>
                          <w:t xml:space="preserve"> </w:t>
                        </w:r>
                        <w:r>
                          <w:rPr>
                            <w:rFonts w:ascii="Calibri"/>
                            <w:sz w:val="19"/>
                          </w:rPr>
                          <w:t>of</w:t>
                        </w:r>
                        <w:r>
                          <w:rPr>
                            <w:rFonts w:ascii="Calibri"/>
                            <w:spacing w:val="-4"/>
                            <w:sz w:val="19"/>
                          </w:rPr>
                          <w:t xml:space="preserve"> </w:t>
                        </w:r>
                        <w:r>
                          <w:rPr>
                            <w:rFonts w:ascii="Calibri"/>
                            <w:sz w:val="19"/>
                          </w:rPr>
                          <w:t>the</w:t>
                        </w:r>
                        <w:r>
                          <w:rPr>
                            <w:rFonts w:ascii="Calibri"/>
                            <w:spacing w:val="-3"/>
                            <w:sz w:val="19"/>
                          </w:rPr>
                          <w:t xml:space="preserve"> </w:t>
                        </w:r>
                        <w:r>
                          <w:rPr>
                            <w:rFonts w:ascii="Calibri"/>
                            <w:sz w:val="19"/>
                          </w:rPr>
                          <w:t>authority</w:t>
                        </w:r>
                        <w:r>
                          <w:rPr>
                            <w:rFonts w:ascii="Calibri"/>
                            <w:spacing w:val="-3"/>
                            <w:sz w:val="19"/>
                          </w:rPr>
                          <w:t xml:space="preserve"> </w:t>
                        </w:r>
                        <w:r>
                          <w:rPr>
                            <w:rFonts w:ascii="Calibri"/>
                            <w:sz w:val="19"/>
                          </w:rPr>
                          <w:t>as</w:t>
                        </w:r>
                        <w:r>
                          <w:rPr>
                            <w:rFonts w:ascii="Calibri"/>
                            <w:spacing w:val="-8"/>
                            <w:sz w:val="19"/>
                          </w:rPr>
                          <w:t xml:space="preserve"> </w:t>
                        </w:r>
                        <w:r>
                          <w:rPr>
                            <w:rFonts w:ascii="Calibri"/>
                            <w:sz w:val="19"/>
                          </w:rPr>
                          <w:t>at</w:t>
                        </w:r>
                        <w:r>
                          <w:rPr>
                            <w:rFonts w:ascii="Calibri"/>
                            <w:spacing w:val="-6"/>
                            <w:sz w:val="19"/>
                          </w:rPr>
                          <w:t xml:space="preserve"> </w:t>
                        </w:r>
                        <w:r>
                          <w:rPr>
                            <w:rFonts w:ascii="Calibri"/>
                            <w:sz w:val="19"/>
                          </w:rPr>
                          <w:t>30</w:t>
                        </w:r>
                        <w:r>
                          <w:rPr>
                            <w:rFonts w:ascii="Calibri"/>
                            <w:spacing w:val="-6"/>
                            <w:sz w:val="19"/>
                          </w:rPr>
                          <w:t xml:space="preserve"> </w:t>
                        </w:r>
                        <w:r>
                          <w:rPr>
                            <w:rFonts w:ascii="Calibri"/>
                            <w:sz w:val="19"/>
                          </w:rPr>
                          <w:t>June</w:t>
                        </w:r>
                        <w:r>
                          <w:rPr>
                            <w:rFonts w:ascii="Calibri"/>
                            <w:spacing w:val="-6"/>
                            <w:sz w:val="19"/>
                          </w:rPr>
                          <w:t xml:space="preserve"> </w:t>
                        </w:r>
                        <w:r>
                          <w:rPr>
                            <w:rFonts w:ascii="Calibri"/>
                            <w:sz w:val="19"/>
                          </w:rPr>
                          <w:t>2023</w:t>
                        </w:r>
                        <w:r>
                          <w:rPr>
                            <w:rFonts w:ascii="Calibri"/>
                            <w:spacing w:val="-4"/>
                            <w:sz w:val="19"/>
                          </w:rPr>
                          <w:t xml:space="preserve"> </w:t>
                        </w:r>
                        <w:r>
                          <w:rPr>
                            <w:rFonts w:ascii="Calibri"/>
                            <w:sz w:val="19"/>
                          </w:rPr>
                          <w:t>and</w:t>
                        </w:r>
                        <w:r>
                          <w:rPr>
                            <w:rFonts w:ascii="Calibri"/>
                            <w:spacing w:val="-5"/>
                            <w:sz w:val="19"/>
                          </w:rPr>
                          <w:t xml:space="preserve"> </w:t>
                        </w:r>
                        <w:r>
                          <w:rPr>
                            <w:rFonts w:ascii="Calibri"/>
                            <w:sz w:val="19"/>
                          </w:rPr>
                          <w:t>its</w:t>
                        </w:r>
                        <w:r>
                          <w:rPr>
                            <w:rFonts w:ascii="Calibri"/>
                            <w:spacing w:val="-5"/>
                            <w:sz w:val="19"/>
                          </w:rPr>
                          <w:t xml:space="preserve"> </w:t>
                        </w:r>
                        <w:r>
                          <w:rPr>
                            <w:rFonts w:ascii="Calibri"/>
                            <w:sz w:val="19"/>
                          </w:rPr>
                          <w:t>financial</w:t>
                        </w:r>
                        <w:r>
                          <w:rPr>
                            <w:rFonts w:ascii="Calibri"/>
                            <w:spacing w:val="-5"/>
                            <w:sz w:val="19"/>
                          </w:rPr>
                          <w:t xml:space="preserve"> </w:t>
                        </w:r>
                        <w:r>
                          <w:rPr>
                            <w:rFonts w:ascii="Calibri"/>
                            <w:sz w:val="19"/>
                          </w:rPr>
                          <w:t>performance</w:t>
                        </w:r>
                        <w:r>
                          <w:rPr>
                            <w:rFonts w:ascii="Calibri"/>
                            <w:spacing w:val="-7"/>
                            <w:sz w:val="19"/>
                          </w:rPr>
                          <w:t xml:space="preserve"> </w:t>
                        </w:r>
                        <w:r>
                          <w:rPr>
                            <w:rFonts w:ascii="Calibri"/>
                            <w:sz w:val="19"/>
                          </w:rPr>
                          <w:t>and</w:t>
                        </w:r>
                        <w:r>
                          <w:rPr>
                            <w:rFonts w:ascii="Calibri"/>
                            <w:spacing w:val="-6"/>
                            <w:sz w:val="19"/>
                          </w:rPr>
                          <w:t xml:space="preserve"> </w:t>
                        </w:r>
                        <w:r>
                          <w:rPr>
                            <w:rFonts w:ascii="Calibri"/>
                            <w:sz w:val="19"/>
                          </w:rPr>
                          <w:t>cash</w:t>
                        </w:r>
                        <w:r>
                          <w:rPr>
                            <w:rFonts w:ascii="Calibri"/>
                            <w:spacing w:val="-5"/>
                            <w:sz w:val="19"/>
                          </w:rPr>
                          <w:t xml:space="preserve"> </w:t>
                        </w:r>
                        <w:r>
                          <w:rPr>
                            <w:rFonts w:ascii="Calibri"/>
                            <w:sz w:val="19"/>
                          </w:rPr>
                          <w:t>flows</w:t>
                        </w:r>
                        <w:r>
                          <w:rPr>
                            <w:rFonts w:ascii="Calibri"/>
                            <w:spacing w:val="-6"/>
                            <w:sz w:val="19"/>
                          </w:rPr>
                          <w:t xml:space="preserve"> </w:t>
                        </w:r>
                        <w:r>
                          <w:rPr>
                            <w:rFonts w:ascii="Calibri"/>
                            <w:sz w:val="19"/>
                          </w:rPr>
                          <w:t>for the</w:t>
                        </w:r>
                        <w:r>
                          <w:rPr>
                            <w:rFonts w:ascii="Calibri"/>
                            <w:spacing w:val="-9"/>
                            <w:sz w:val="19"/>
                          </w:rPr>
                          <w:t xml:space="preserve"> </w:t>
                        </w:r>
                        <w:r>
                          <w:rPr>
                            <w:rFonts w:ascii="Calibri"/>
                            <w:sz w:val="19"/>
                          </w:rPr>
                          <w:t>year</w:t>
                        </w:r>
                        <w:r>
                          <w:rPr>
                            <w:rFonts w:ascii="Calibri"/>
                            <w:spacing w:val="-8"/>
                            <w:sz w:val="19"/>
                          </w:rPr>
                          <w:t xml:space="preserve"> </w:t>
                        </w:r>
                        <w:r>
                          <w:rPr>
                            <w:rFonts w:ascii="Calibri"/>
                            <w:sz w:val="19"/>
                          </w:rPr>
                          <w:t>then</w:t>
                        </w:r>
                        <w:r>
                          <w:rPr>
                            <w:rFonts w:ascii="Calibri"/>
                            <w:spacing w:val="-9"/>
                            <w:sz w:val="19"/>
                          </w:rPr>
                          <w:t xml:space="preserve"> </w:t>
                        </w:r>
                        <w:r>
                          <w:rPr>
                            <w:rFonts w:ascii="Calibri"/>
                            <w:sz w:val="19"/>
                          </w:rPr>
                          <w:t>ended</w:t>
                        </w:r>
                        <w:r>
                          <w:rPr>
                            <w:rFonts w:ascii="Calibri"/>
                            <w:spacing w:val="-9"/>
                            <w:sz w:val="19"/>
                          </w:rPr>
                          <w:t xml:space="preserve"> </w:t>
                        </w:r>
                        <w:r>
                          <w:rPr>
                            <w:rFonts w:ascii="Calibri"/>
                            <w:sz w:val="19"/>
                          </w:rPr>
                          <w:t>in</w:t>
                        </w:r>
                        <w:r>
                          <w:rPr>
                            <w:rFonts w:ascii="Calibri"/>
                            <w:spacing w:val="-8"/>
                            <w:sz w:val="19"/>
                          </w:rPr>
                          <w:t xml:space="preserve"> </w:t>
                        </w:r>
                        <w:r>
                          <w:rPr>
                            <w:rFonts w:ascii="Calibri"/>
                            <w:sz w:val="19"/>
                          </w:rPr>
                          <w:t>accordance</w:t>
                        </w:r>
                        <w:r>
                          <w:rPr>
                            <w:rFonts w:ascii="Calibri"/>
                            <w:spacing w:val="-6"/>
                            <w:sz w:val="19"/>
                          </w:rPr>
                          <w:t xml:space="preserve"> </w:t>
                        </w:r>
                        <w:r>
                          <w:rPr>
                            <w:rFonts w:ascii="Calibri"/>
                            <w:sz w:val="19"/>
                          </w:rPr>
                          <w:t>with</w:t>
                        </w:r>
                        <w:r>
                          <w:rPr>
                            <w:rFonts w:ascii="Calibri"/>
                            <w:spacing w:val="-9"/>
                            <w:sz w:val="19"/>
                          </w:rPr>
                          <w:t xml:space="preserve"> </w:t>
                        </w:r>
                        <w:r>
                          <w:rPr>
                            <w:rFonts w:ascii="Calibri"/>
                            <w:sz w:val="19"/>
                          </w:rPr>
                          <w:t>the</w:t>
                        </w:r>
                        <w:r>
                          <w:rPr>
                            <w:rFonts w:ascii="Calibri"/>
                            <w:spacing w:val="-9"/>
                            <w:sz w:val="19"/>
                          </w:rPr>
                          <w:t xml:space="preserve"> </w:t>
                        </w:r>
                        <w:r>
                          <w:rPr>
                            <w:rFonts w:ascii="Calibri"/>
                            <w:sz w:val="19"/>
                          </w:rPr>
                          <w:t>financial</w:t>
                        </w:r>
                        <w:r>
                          <w:rPr>
                            <w:rFonts w:ascii="Calibri"/>
                            <w:spacing w:val="-7"/>
                            <w:sz w:val="19"/>
                          </w:rPr>
                          <w:t xml:space="preserve"> </w:t>
                        </w:r>
                        <w:r>
                          <w:rPr>
                            <w:rFonts w:ascii="Calibri"/>
                            <w:sz w:val="19"/>
                          </w:rPr>
                          <w:t>reporting</w:t>
                        </w:r>
                        <w:r>
                          <w:rPr>
                            <w:rFonts w:ascii="Calibri"/>
                            <w:spacing w:val="-8"/>
                            <w:sz w:val="19"/>
                          </w:rPr>
                          <w:t xml:space="preserve"> </w:t>
                        </w:r>
                        <w:r>
                          <w:rPr>
                            <w:rFonts w:ascii="Calibri"/>
                            <w:sz w:val="19"/>
                          </w:rPr>
                          <w:t>requirements</w:t>
                        </w:r>
                        <w:r>
                          <w:rPr>
                            <w:rFonts w:ascii="Calibri"/>
                            <w:spacing w:val="-8"/>
                            <w:sz w:val="19"/>
                          </w:rPr>
                          <w:t xml:space="preserve"> </w:t>
                        </w:r>
                        <w:r>
                          <w:rPr>
                            <w:rFonts w:ascii="Calibri"/>
                            <w:sz w:val="19"/>
                          </w:rPr>
                          <w:t>of</w:t>
                        </w:r>
                        <w:r>
                          <w:rPr>
                            <w:rFonts w:ascii="Calibri"/>
                            <w:spacing w:val="-5"/>
                            <w:sz w:val="19"/>
                          </w:rPr>
                          <w:t xml:space="preserve"> </w:t>
                        </w:r>
                        <w:r>
                          <w:rPr>
                            <w:rFonts w:ascii="Calibri"/>
                            <w:sz w:val="19"/>
                          </w:rPr>
                          <w:t>Part</w:t>
                        </w:r>
                        <w:r>
                          <w:rPr>
                            <w:rFonts w:ascii="Calibri"/>
                            <w:spacing w:val="-8"/>
                            <w:sz w:val="19"/>
                          </w:rPr>
                          <w:t xml:space="preserve"> </w:t>
                        </w:r>
                        <w:r>
                          <w:rPr>
                            <w:rFonts w:ascii="Calibri"/>
                            <w:sz w:val="19"/>
                          </w:rPr>
                          <w:t>7</w:t>
                        </w:r>
                        <w:r>
                          <w:rPr>
                            <w:rFonts w:ascii="Calibri"/>
                            <w:spacing w:val="-5"/>
                            <w:sz w:val="19"/>
                          </w:rPr>
                          <w:t xml:space="preserve"> </w:t>
                        </w:r>
                        <w:r>
                          <w:rPr>
                            <w:rFonts w:ascii="Calibri"/>
                            <w:sz w:val="19"/>
                          </w:rPr>
                          <w:t>of</w:t>
                        </w:r>
                        <w:r>
                          <w:rPr>
                            <w:rFonts w:ascii="Calibri"/>
                            <w:spacing w:val="-8"/>
                            <w:sz w:val="19"/>
                          </w:rPr>
                          <w:t xml:space="preserve"> </w:t>
                        </w:r>
                        <w:r>
                          <w:rPr>
                            <w:rFonts w:ascii="Calibri"/>
                            <w:sz w:val="19"/>
                          </w:rPr>
                          <w:t xml:space="preserve">the </w:t>
                        </w:r>
                        <w:r>
                          <w:rPr>
                            <w:rFonts w:ascii="Calibri"/>
                            <w:i/>
                            <w:sz w:val="19"/>
                          </w:rPr>
                          <w:t xml:space="preserve">Financial Management Act 1994 </w:t>
                        </w:r>
                        <w:r>
                          <w:rPr>
                            <w:rFonts w:ascii="Calibri"/>
                            <w:sz w:val="19"/>
                          </w:rPr>
                          <w:t>and applicable Australian Accounting Standards.</w:t>
                        </w:r>
                      </w:p>
                    </w:txbxContent>
                  </v:textbox>
                </v:shape>
                <w10:anchorlock/>
              </v:group>
            </w:pict>
          </mc:Fallback>
        </mc:AlternateContent>
      </w:r>
    </w:p>
    <w:p w14:paraId="21343037" w14:textId="77777777" w:rsidR="0088248E" w:rsidRDefault="0088248E" w:rsidP="0088248E">
      <w:pPr>
        <w:spacing w:before="16" w:line="271" w:lineRule="auto"/>
        <w:rPr>
          <w:rFonts w:ascii="Calibri"/>
          <w:b/>
          <w:spacing w:val="-2"/>
          <w:sz w:val="19"/>
        </w:rPr>
      </w:pPr>
    </w:p>
    <w:p w14:paraId="171B4167" w14:textId="64F008DF" w:rsidR="00084F36" w:rsidRPr="00EB2BD8" w:rsidRDefault="00EB2BD8">
      <w:pPr>
        <w:spacing w:before="16" w:line="271" w:lineRule="auto"/>
        <w:ind w:left="1303"/>
        <w:rPr>
          <w:rFonts w:ascii="Calibri"/>
          <w:b/>
          <w:sz w:val="19"/>
        </w:rPr>
      </w:pPr>
      <w:r w:rsidRPr="00EB2BD8">
        <w:rPr>
          <w:rFonts w:ascii="Calibri"/>
          <w:b/>
          <w:spacing w:val="-2"/>
          <w:sz w:val="19"/>
        </w:rPr>
        <w:t>Basis</w:t>
      </w:r>
      <w:r w:rsidRPr="00EB2BD8">
        <w:rPr>
          <w:rFonts w:ascii="Calibri"/>
          <w:b/>
          <w:spacing w:val="-9"/>
          <w:sz w:val="19"/>
        </w:rPr>
        <w:t xml:space="preserve"> </w:t>
      </w:r>
      <w:r w:rsidRPr="00EB2BD8">
        <w:rPr>
          <w:rFonts w:ascii="Calibri"/>
          <w:b/>
          <w:spacing w:val="-2"/>
          <w:sz w:val="19"/>
        </w:rPr>
        <w:t>for Opinion</w:t>
      </w:r>
    </w:p>
    <w:p w14:paraId="009B4DCF" w14:textId="77D9EFF6" w:rsidR="0088248E" w:rsidRDefault="00EB2BD8" w:rsidP="0088248E">
      <w:pPr>
        <w:spacing w:before="16" w:line="273" w:lineRule="auto"/>
        <w:ind w:right="2122"/>
      </w:pPr>
      <w:r w:rsidRPr="00EB2BD8">
        <w:br w:type="column"/>
      </w:r>
    </w:p>
    <w:p w14:paraId="0BA8C5F7" w14:textId="3D585400" w:rsidR="00084F36" w:rsidRPr="00EB2BD8" w:rsidRDefault="00EB2BD8">
      <w:pPr>
        <w:spacing w:before="16" w:line="273" w:lineRule="auto"/>
        <w:ind w:left="668" w:right="2122"/>
        <w:rPr>
          <w:rFonts w:ascii="Calibri" w:hAnsi="Calibri"/>
          <w:sz w:val="19"/>
        </w:rPr>
      </w:pPr>
      <w:r w:rsidRPr="00EB2BD8">
        <w:rPr>
          <w:rFonts w:ascii="Calibri" w:hAnsi="Calibri"/>
          <w:sz w:val="19"/>
        </w:rPr>
        <w:t xml:space="preserve">I have conducted my audit in accordance with the </w:t>
      </w:r>
      <w:r w:rsidRPr="00EB2BD8">
        <w:rPr>
          <w:rFonts w:ascii="Calibri" w:hAnsi="Calibri"/>
          <w:i/>
          <w:sz w:val="19"/>
        </w:rPr>
        <w:t xml:space="preserve">Audit Act 1994 </w:t>
      </w:r>
      <w:r w:rsidRPr="00EB2BD8">
        <w:rPr>
          <w:rFonts w:ascii="Calibri" w:hAnsi="Calibri"/>
          <w:sz w:val="19"/>
        </w:rPr>
        <w:t>which incorporates the Australian Auditing Standards. I further describe my responsibilities under that Act and those</w:t>
      </w:r>
      <w:r w:rsidRPr="00EB2BD8">
        <w:rPr>
          <w:rFonts w:ascii="Calibri" w:hAnsi="Calibri"/>
          <w:spacing w:val="-7"/>
          <w:sz w:val="19"/>
        </w:rPr>
        <w:t xml:space="preserve"> </w:t>
      </w:r>
      <w:r w:rsidRPr="00EB2BD8">
        <w:rPr>
          <w:rFonts w:ascii="Calibri" w:hAnsi="Calibri"/>
          <w:sz w:val="19"/>
        </w:rPr>
        <w:t>standards</w:t>
      </w:r>
      <w:r w:rsidRPr="00EB2BD8">
        <w:rPr>
          <w:rFonts w:ascii="Calibri" w:hAnsi="Calibri"/>
          <w:spacing w:val="-8"/>
          <w:sz w:val="19"/>
        </w:rPr>
        <w:t xml:space="preserve"> </w:t>
      </w:r>
      <w:r w:rsidRPr="00EB2BD8">
        <w:rPr>
          <w:rFonts w:ascii="Calibri" w:hAnsi="Calibri"/>
          <w:sz w:val="19"/>
        </w:rPr>
        <w:t>in</w:t>
      </w:r>
      <w:r w:rsidRPr="00EB2BD8">
        <w:rPr>
          <w:rFonts w:ascii="Calibri" w:hAnsi="Calibri"/>
          <w:spacing w:val="-11"/>
          <w:sz w:val="19"/>
        </w:rPr>
        <w:t xml:space="preserve"> </w:t>
      </w:r>
      <w:r w:rsidRPr="00EB2BD8">
        <w:rPr>
          <w:rFonts w:ascii="Calibri" w:hAnsi="Calibri"/>
          <w:sz w:val="19"/>
        </w:rPr>
        <w:t>the</w:t>
      </w:r>
      <w:r w:rsidRPr="00EB2BD8">
        <w:rPr>
          <w:rFonts w:ascii="Calibri" w:hAnsi="Calibri"/>
          <w:spacing w:val="-7"/>
          <w:sz w:val="19"/>
        </w:rPr>
        <w:t xml:space="preserve"> </w:t>
      </w:r>
      <w:r w:rsidRPr="00EB2BD8">
        <w:rPr>
          <w:rFonts w:ascii="Calibri" w:hAnsi="Calibri"/>
          <w:i/>
          <w:sz w:val="19"/>
        </w:rPr>
        <w:t>Auditor’s</w:t>
      </w:r>
      <w:r w:rsidRPr="00EB2BD8">
        <w:rPr>
          <w:rFonts w:ascii="Calibri" w:hAnsi="Calibri"/>
          <w:i/>
          <w:spacing w:val="-8"/>
          <w:sz w:val="19"/>
        </w:rPr>
        <w:t xml:space="preserve"> </w:t>
      </w:r>
      <w:r w:rsidRPr="00EB2BD8">
        <w:rPr>
          <w:rFonts w:ascii="Calibri" w:hAnsi="Calibri"/>
          <w:i/>
          <w:sz w:val="19"/>
        </w:rPr>
        <w:t>Responsibilities</w:t>
      </w:r>
      <w:r w:rsidRPr="00EB2BD8">
        <w:rPr>
          <w:rFonts w:ascii="Calibri" w:hAnsi="Calibri"/>
          <w:i/>
          <w:spacing w:val="-8"/>
          <w:sz w:val="19"/>
        </w:rPr>
        <w:t xml:space="preserve"> </w:t>
      </w:r>
      <w:r w:rsidRPr="00EB2BD8">
        <w:rPr>
          <w:rFonts w:ascii="Calibri" w:hAnsi="Calibri"/>
          <w:i/>
          <w:sz w:val="19"/>
        </w:rPr>
        <w:t>for</w:t>
      </w:r>
      <w:r w:rsidRPr="00EB2BD8">
        <w:rPr>
          <w:rFonts w:ascii="Calibri" w:hAnsi="Calibri"/>
          <w:i/>
          <w:spacing w:val="-10"/>
          <w:sz w:val="19"/>
        </w:rPr>
        <w:t xml:space="preserve"> </w:t>
      </w:r>
      <w:r w:rsidRPr="00EB2BD8">
        <w:rPr>
          <w:rFonts w:ascii="Calibri" w:hAnsi="Calibri"/>
          <w:i/>
          <w:sz w:val="19"/>
        </w:rPr>
        <w:t>the</w:t>
      </w:r>
      <w:r w:rsidRPr="00EB2BD8">
        <w:rPr>
          <w:rFonts w:ascii="Calibri" w:hAnsi="Calibri"/>
          <w:i/>
          <w:spacing w:val="-10"/>
          <w:sz w:val="19"/>
        </w:rPr>
        <w:t xml:space="preserve"> </w:t>
      </w:r>
      <w:r w:rsidRPr="00EB2BD8">
        <w:rPr>
          <w:rFonts w:ascii="Calibri" w:hAnsi="Calibri"/>
          <w:i/>
          <w:sz w:val="19"/>
        </w:rPr>
        <w:t>Audit</w:t>
      </w:r>
      <w:r w:rsidRPr="00EB2BD8">
        <w:rPr>
          <w:rFonts w:ascii="Calibri" w:hAnsi="Calibri"/>
          <w:i/>
          <w:spacing w:val="-7"/>
          <w:sz w:val="19"/>
        </w:rPr>
        <w:t xml:space="preserve"> </w:t>
      </w:r>
      <w:r w:rsidRPr="00EB2BD8">
        <w:rPr>
          <w:rFonts w:ascii="Calibri" w:hAnsi="Calibri"/>
          <w:i/>
          <w:sz w:val="19"/>
        </w:rPr>
        <w:t>of</w:t>
      </w:r>
      <w:r w:rsidRPr="00EB2BD8">
        <w:rPr>
          <w:rFonts w:ascii="Calibri" w:hAnsi="Calibri"/>
          <w:i/>
          <w:spacing w:val="-9"/>
          <w:sz w:val="19"/>
        </w:rPr>
        <w:t xml:space="preserve"> </w:t>
      </w:r>
      <w:r w:rsidRPr="00EB2BD8">
        <w:rPr>
          <w:rFonts w:ascii="Calibri" w:hAnsi="Calibri"/>
          <w:i/>
          <w:sz w:val="19"/>
        </w:rPr>
        <w:t>the</w:t>
      </w:r>
      <w:r w:rsidRPr="00EB2BD8">
        <w:rPr>
          <w:rFonts w:ascii="Calibri" w:hAnsi="Calibri"/>
          <w:i/>
          <w:spacing w:val="-10"/>
          <w:sz w:val="19"/>
        </w:rPr>
        <w:t xml:space="preserve"> </w:t>
      </w:r>
      <w:r w:rsidRPr="00EB2BD8">
        <w:rPr>
          <w:rFonts w:ascii="Calibri" w:hAnsi="Calibri"/>
          <w:i/>
          <w:sz w:val="19"/>
        </w:rPr>
        <w:t>Financial</w:t>
      </w:r>
      <w:r w:rsidRPr="00EB2BD8">
        <w:rPr>
          <w:rFonts w:ascii="Calibri" w:hAnsi="Calibri"/>
          <w:i/>
          <w:spacing w:val="-8"/>
          <w:sz w:val="19"/>
        </w:rPr>
        <w:t xml:space="preserve"> </w:t>
      </w:r>
      <w:r w:rsidRPr="00EB2BD8">
        <w:rPr>
          <w:rFonts w:ascii="Calibri" w:hAnsi="Calibri"/>
          <w:i/>
          <w:sz w:val="19"/>
        </w:rPr>
        <w:t>Report</w:t>
      </w:r>
      <w:r w:rsidRPr="00EB2BD8">
        <w:rPr>
          <w:rFonts w:ascii="Calibri" w:hAnsi="Calibri"/>
          <w:i/>
          <w:spacing w:val="-7"/>
          <w:sz w:val="19"/>
        </w:rPr>
        <w:t xml:space="preserve"> </w:t>
      </w:r>
      <w:r w:rsidRPr="00EB2BD8">
        <w:rPr>
          <w:rFonts w:ascii="Calibri" w:hAnsi="Calibri"/>
          <w:sz w:val="19"/>
        </w:rPr>
        <w:t>section of my report.</w:t>
      </w:r>
    </w:p>
    <w:p w14:paraId="64BF5B63" w14:textId="77777777" w:rsidR="00084F36" w:rsidRPr="00EB2BD8" w:rsidRDefault="00EB2BD8">
      <w:pPr>
        <w:spacing w:before="104" w:line="273" w:lineRule="auto"/>
        <w:ind w:left="668" w:right="2122"/>
        <w:rPr>
          <w:rFonts w:ascii="Calibri" w:hAnsi="Calibri"/>
          <w:sz w:val="19"/>
        </w:rPr>
      </w:pPr>
      <w:r w:rsidRPr="00EB2BD8">
        <w:rPr>
          <w:rFonts w:ascii="Calibri" w:hAnsi="Calibri"/>
          <w:sz w:val="19"/>
        </w:rPr>
        <w:t xml:space="preserve">My independence is established by the </w:t>
      </w:r>
      <w:r w:rsidRPr="00EB2BD8">
        <w:rPr>
          <w:rFonts w:ascii="Calibri" w:hAnsi="Calibri"/>
          <w:i/>
          <w:sz w:val="19"/>
        </w:rPr>
        <w:t xml:space="preserve">Constitution Act 1975. </w:t>
      </w:r>
      <w:r w:rsidRPr="00EB2BD8">
        <w:rPr>
          <w:rFonts w:ascii="Calibri" w:hAnsi="Calibri"/>
          <w:sz w:val="19"/>
        </w:rPr>
        <w:t>My staff and I are independent</w:t>
      </w:r>
      <w:r w:rsidRPr="00EB2BD8">
        <w:rPr>
          <w:rFonts w:ascii="Calibri" w:hAnsi="Calibri"/>
          <w:spacing w:val="-9"/>
          <w:sz w:val="19"/>
        </w:rPr>
        <w:t xml:space="preserve"> </w:t>
      </w:r>
      <w:r w:rsidRPr="00EB2BD8">
        <w:rPr>
          <w:rFonts w:ascii="Calibri" w:hAnsi="Calibri"/>
          <w:sz w:val="19"/>
        </w:rPr>
        <w:t>of</w:t>
      </w:r>
      <w:r w:rsidRPr="00EB2BD8">
        <w:rPr>
          <w:rFonts w:ascii="Calibri" w:hAnsi="Calibri"/>
          <w:spacing w:val="-9"/>
          <w:sz w:val="19"/>
        </w:rPr>
        <w:t xml:space="preserve"> </w:t>
      </w:r>
      <w:r w:rsidRPr="00EB2BD8">
        <w:rPr>
          <w:rFonts w:ascii="Calibri" w:hAnsi="Calibri"/>
          <w:sz w:val="19"/>
        </w:rPr>
        <w:t>the</w:t>
      </w:r>
      <w:r w:rsidRPr="00EB2BD8">
        <w:rPr>
          <w:rFonts w:ascii="Calibri" w:hAnsi="Calibri"/>
          <w:spacing w:val="-7"/>
          <w:sz w:val="19"/>
        </w:rPr>
        <w:t xml:space="preserve"> </w:t>
      </w:r>
      <w:r w:rsidRPr="00EB2BD8">
        <w:rPr>
          <w:rFonts w:ascii="Calibri" w:hAnsi="Calibri"/>
          <w:sz w:val="19"/>
        </w:rPr>
        <w:t>authority</w:t>
      </w:r>
      <w:r w:rsidRPr="00EB2BD8">
        <w:rPr>
          <w:rFonts w:ascii="Calibri" w:hAnsi="Calibri"/>
          <w:spacing w:val="-9"/>
          <w:sz w:val="19"/>
        </w:rPr>
        <w:t xml:space="preserve"> </w:t>
      </w:r>
      <w:r w:rsidRPr="00EB2BD8">
        <w:rPr>
          <w:rFonts w:ascii="Calibri" w:hAnsi="Calibri"/>
          <w:sz w:val="19"/>
        </w:rPr>
        <w:t>in</w:t>
      </w:r>
      <w:r w:rsidRPr="00EB2BD8">
        <w:rPr>
          <w:rFonts w:ascii="Calibri" w:hAnsi="Calibri"/>
          <w:spacing w:val="-10"/>
          <w:sz w:val="19"/>
        </w:rPr>
        <w:t xml:space="preserve"> </w:t>
      </w:r>
      <w:r w:rsidRPr="00EB2BD8">
        <w:rPr>
          <w:rFonts w:ascii="Calibri" w:hAnsi="Calibri"/>
          <w:sz w:val="19"/>
        </w:rPr>
        <w:t>accordance</w:t>
      </w:r>
      <w:r w:rsidRPr="00EB2BD8">
        <w:rPr>
          <w:rFonts w:ascii="Calibri" w:hAnsi="Calibri"/>
          <w:spacing w:val="-9"/>
          <w:sz w:val="19"/>
        </w:rPr>
        <w:t xml:space="preserve"> </w:t>
      </w:r>
      <w:r w:rsidRPr="00EB2BD8">
        <w:rPr>
          <w:rFonts w:ascii="Calibri" w:hAnsi="Calibri"/>
          <w:sz w:val="19"/>
        </w:rPr>
        <w:t>with</w:t>
      </w:r>
      <w:r w:rsidRPr="00EB2BD8">
        <w:rPr>
          <w:rFonts w:ascii="Calibri" w:hAnsi="Calibri"/>
          <w:spacing w:val="-11"/>
          <w:sz w:val="19"/>
        </w:rPr>
        <w:t xml:space="preserve"> </w:t>
      </w:r>
      <w:r w:rsidRPr="00EB2BD8">
        <w:rPr>
          <w:rFonts w:ascii="Calibri" w:hAnsi="Calibri"/>
          <w:sz w:val="19"/>
        </w:rPr>
        <w:t>the</w:t>
      </w:r>
      <w:r w:rsidRPr="00EB2BD8">
        <w:rPr>
          <w:rFonts w:ascii="Calibri" w:hAnsi="Calibri"/>
          <w:spacing w:val="-11"/>
          <w:sz w:val="19"/>
        </w:rPr>
        <w:t xml:space="preserve"> </w:t>
      </w:r>
      <w:r w:rsidRPr="00EB2BD8">
        <w:rPr>
          <w:rFonts w:ascii="Calibri" w:hAnsi="Calibri"/>
          <w:sz w:val="19"/>
        </w:rPr>
        <w:t>ethical</w:t>
      </w:r>
      <w:r w:rsidRPr="00EB2BD8">
        <w:rPr>
          <w:rFonts w:ascii="Calibri" w:hAnsi="Calibri"/>
          <w:spacing w:val="-9"/>
          <w:sz w:val="19"/>
        </w:rPr>
        <w:t xml:space="preserve"> </w:t>
      </w:r>
      <w:r w:rsidRPr="00EB2BD8">
        <w:rPr>
          <w:rFonts w:ascii="Calibri" w:hAnsi="Calibri"/>
          <w:sz w:val="19"/>
        </w:rPr>
        <w:t>requirements</w:t>
      </w:r>
      <w:r w:rsidRPr="00EB2BD8">
        <w:rPr>
          <w:rFonts w:ascii="Calibri" w:hAnsi="Calibri"/>
          <w:spacing w:val="-10"/>
          <w:sz w:val="19"/>
        </w:rPr>
        <w:t xml:space="preserve"> </w:t>
      </w:r>
      <w:r w:rsidRPr="00EB2BD8">
        <w:rPr>
          <w:rFonts w:ascii="Calibri" w:hAnsi="Calibri"/>
          <w:sz w:val="19"/>
        </w:rPr>
        <w:t>of</w:t>
      </w:r>
      <w:r w:rsidRPr="00EB2BD8">
        <w:rPr>
          <w:rFonts w:ascii="Calibri" w:hAnsi="Calibri"/>
          <w:spacing w:val="-11"/>
          <w:sz w:val="19"/>
        </w:rPr>
        <w:t xml:space="preserve"> </w:t>
      </w:r>
      <w:r w:rsidRPr="00EB2BD8">
        <w:rPr>
          <w:rFonts w:ascii="Calibri" w:hAnsi="Calibri"/>
          <w:sz w:val="19"/>
        </w:rPr>
        <w:t>the</w:t>
      </w:r>
      <w:r w:rsidRPr="00EB2BD8">
        <w:rPr>
          <w:rFonts w:ascii="Calibri" w:hAnsi="Calibri"/>
          <w:spacing w:val="-9"/>
          <w:sz w:val="19"/>
        </w:rPr>
        <w:t xml:space="preserve"> </w:t>
      </w:r>
      <w:r w:rsidRPr="00EB2BD8">
        <w:rPr>
          <w:rFonts w:ascii="Calibri" w:hAnsi="Calibri"/>
          <w:sz w:val="19"/>
        </w:rPr>
        <w:t xml:space="preserve">Accounting Professional and Ethical Standards Board’s APES 110 </w:t>
      </w:r>
      <w:r w:rsidRPr="00EB2BD8">
        <w:rPr>
          <w:rFonts w:ascii="Calibri" w:hAnsi="Calibri"/>
          <w:i/>
          <w:sz w:val="19"/>
        </w:rPr>
        <w:t xml:space="preserve">Code of Ethics for Professional Accountants </w:t>
      </w:r>
      <w:r w:rsidRPr="00EB2BD8">
        <w:rPr>
          <w:rFonts w:ascii="Calibri" w:hAnsi="Calibri"/>
          <w:sz w:val="19"/>
        </w:rPr>
        <w:t>(the Code) that are relevant to my audit of the financial report in</w:t>
      </w:r>
      <w:r w:rsidRPr="00EB2BD8">
        <w:rPr>
          <w:rFonts w:ascii="Calibri" w:hAnsi="Calibri"/>
          <w:spacing w:val="-1"/>
          <w:sz w:val="19"/>
        </w:rPr>
        <w:t xml:space="preserve"> </w:t>
      </w:r>
      <w:r w:rsidRPr="00EB2BD8">
        <w:rPr>
          <w:rFonts w:ascii="Calibri" w:hAnsi="Calibri"/>
          <w:sz w:val="19"/>
        </w:rPr>
        <w:t>Victoria. My staff and</w:t>
      </w:r>
      <w:r w:rsidRPr="00EB2BD8">
        <w:rPr>
          <w:rFonts w:ascii="Calibri" w:hAnsi="Calibri"/>
          <w:spacing w:val="-1"/>
          <w:sz w:val="19"/>
        </w:rPr>
        <w:t xml:space="preserve"> </w:t>
      </w:r>
      <w:r w:rsidRPr="00EB2BD8">
        <w:rPr>
          <w:rFonts w:ascii="Calibri" w:hAnsi="Calibri"/>
          <w:sz w:val="19"/>
        </w:rPr>
        <w:t>I have also fulfilled</w:t>
      </w:r>
      <w:r w:rsidRPr="00EB2BD8">
        <w:rPr>
          <w:rFonts w:ascii="Calibri" w:hAnsi="Calibri"/>
          <w:spacing w:val="-1"/>
          <w:sz w:val="19"/>
        </w:rPr>
        <w:t xml:space="preserve"> </w:t>
      </w:r>
      <w:r w:rsidRPr="00EB2BD8">
        <w:rPr>
          <w:rFonts w:ascii="Calibri" w:hAnsi="Calibri"/>
          <w:sz w:val="19"/>
        </w:rPr>
        <w:t>our other ethical</w:t>
      </w:r>
      <w:r w:rsidRPr="00EB2BD8">
        <w:rPr>
          <w:rFonts w:ascii="Calibri" w:hAnsi="Calibri"/>
          <w:spacing w:val="-1"/>
          <w:sz w:val="19"/>
        </w:rPr>
        <w:t xml:space="preserve"> </w:t>
      </w:r>
      <w:r w:rsidRPr="00EB2BD8">
        <w:rPr>
          <w:rFonts w:ascii="Calibri" w:hAnsi="Calibri"/>
          <w:sz w:val="19"/>
        </w:rPr>
        <w:t>responsibilities in accordance with the Code.</w:t>
      </w:r>
    </w:p>
    <w:p w14:paraId="1C21C9D2" w14:textId="77777777" w:rsidR="00084F36" w:rsidRPr="00EB2BD8" w:rsidRDefault="00EB2BD8">
      <w:pPr>
        <w:spacing w:before="105" w:line="273" w:lineRule="auto"/>
        <w:ind w:left="668" w:right="2076"/>
        <w:rPr>
          <w:rFonts w:ascii="Calibri"/>
          <w:sz w:val="19"/>
        </w:rPr>
      </w:pPr>
      <w:r w:rsidRPr="00EB2BD8">
        <w:rPr>
          <w:rFonts w:ascii="Calibri"/>
          <w:sz w:val="19"/>
        </w:rPr>
        <w:t>I</w:t>
      </w:r>
      <w:r w:rsidRPr="00EB2BD8">
        <w:rPr>
          <w:rFonts w:ascii="Calibri"/>
          <w:spacing w:val="-8"/>
          <w:sz w:val="19"/>
        </w:rPr>
        <w:t xml:space="preserve"> </w:t>
      </w:r>
      <w:r w:rsidRPr="00EB2BD8">
        <w:rPr>
          <w:rFonts w:ascii="Calibri"/>
          <w:sz w:val="19"/>
        </w:rPr>
        <w:t>believe</w:t>
      </w:r>
      <w:r w:rsidRPr="00EB2BD8">
        <w:rPr>
          <w:rFonts w:ascii="Calibri"/>
          <w:spacing w:val="-9"/>
          <w:sz w:val="19"/>
        </w:rPr>
        <w:t xml:space="preserve"> </w:t>
      </w:r>
      <w:r w:rsidRPr="00EB2BD8">
        <w:rPr>
          <w:rFonts w:ascii="Calibri"/>
          <w:sz w:val="19"/>
        </w:rPr>
        <w:t>that</w:t>
      </w:r>
      <w:r w:rsidRPr="00EB2BD8">
        <w:rPr>
          <w:rFonts w:ascii="Calibri"/>
          <w:spacing w:val="-7"/>
          <w:sz w:val="19"/>
        </w:rPr>
        <w:t xml:space="preserve"> </w:t>
      </w:r>
      <w:r w:rsidRPr="00EB2BD8">
        <w:rPr>
          <w:rFonts w:ascii="Calibri"/>
          <w:sz w:val="19"/>
        </w:rPr>
        <w:t>the</w:t>
      </w:r>
      <w:r w:rsidRPr="00EB2BD8">
        <w:rPr>
          <w:rFonts w:ascii="Calibri"/>
          <w:spacing w:val="-8"/>
          <w:sz w:val="19"/>
        </w:rPr>
        <w:t xml:space="preserve"> </w:t>
      </w:r>
      <w:r w:rsidRPr="00EB2BD8">
        <w:rPr>
          <w:rFonts w:ascii="Calibri"/>
          <w:sz w:val="19"/>
        </w:rPr>
        <w:t>audit</w:t>
      </w:r>
      <w:r w:rsidRPr="00EB2BD8">
        <w:rPr>
          <w:rFonts w:ascii="Calibri"/>
          <w:spacing w:val="-9"/>
          <w:sz w:val="19"/>
        </w:rPr>
        <w:t xml:space="preserve"> </w:t>
      </w:r>
      <w:r w:rsidRPr="00EB2BD8">
        <w:rPr>
          <w:rFonts w:ascii="Calibri"/>
          <w:sz w:val="19"/>
        </w:rPr>
        <w:t>evidence</w:t>
      </w:r>
      <w:r w:rsidRPr="00EB2BD8">
        <w:rPr>
          <w:rFonts w:ascii="Calibri"/>
          <w:spacing w:val="-7"/>
          <w:sz w:val="19"/>
        </w:rPr>
        <w:t xml:space="preserve"> </w:t>
      </w:r>
      <w:r w:rsidRPr="00EB2BD8">
        <w:rPr>
          <w:rFonts w:ascii="Calibri"/>
          <w:sz w:val="19"/>
        </w:rPr>
        <w:t>I</w:t>
      </w:r>
      <w:r w:rsidRPr="00EB2BD8">
        <w:rPr>
          <w:rFonts w:ascii="Calibri"/>
          <w:spacing w:val="-8"/>
          <w:sz w:val="19"/>
        </w:rPr>
        <w:t xml:space="preserve"> </w:t>
      </w:r>
      <w:r w:rsidRPr="00EB2BD8">
        <w:rPr>
          <w:rFonts w:ascii="Calibri"/>
          <w:sz w:val="19"/>
        </w:rPr>
        <w:t>have</w:t>
      </w:r>
      <w:r w:rsidRPr="00EB2BD8">
        <w:rPr>
          <w:rFonts w:ascii="Calibri"/>
          <w:spacing w:val="-7"/>
          <w:sz w:val="19"/>
        </w:rPr>
        <w:t xml:space="preserve"> </w:t>
      </w:r>
      <w:r w:rsidRPr="00EB2BD8">
        <w:rPr>
          <w:rFonts w:ascii="Calibri"/>
          <w:sz w:val="19"/>
        </w:rPr>
        <w:t>obtained</w:t>
      </w:r>
      <w:r w:rsidRPr="00EB2BD8">
        <w:rPr>
          <w:rFonts w:ascii="Calibri"/>
          <w:spacing w:val="-8"/>
          <w:sz w:val="19"/>
        </w:rPr>
        <w:t xml:space="preserve"> </w:t>
      </w:r>
      <w:r w:rsidRPr="00EB2BD8">
        <w:rPr>
          <w:rFonts w:ascii="Calibri"/>
          <w:sz w:val="19"/>
        </w:rPr>
        <w:t>is</w:t>
      </w:r>
      <w:r w:rsidRPr="00EB2BD8">
        <w:rPr>
          <w:rFonts w:ascii="Calibri"/>
          <w:spacing w:val="-9"/>
          <w:sz w:val="19"/>
        </w:rPr>
        <w:t xml:space="preserve"> </w:t>
      </w:r>
      <w:r w:rsidRPr="00EB2BD8">
        <w:rPr>
          <w:rFonts w:ascii="Calibri"/>
          <w:sz w:val="19"/>
        </w:rPr>
        <w:t>sufficient</w:t>
      </w:r>
      <w:r w:rsidRPr="00EB2BD8">
        <w:rPr>
          <w:rFonts w:ascii="Calibri"/>
          <w:spacing w:val="-7"/>
          <w:sz w:val="19"/>
        </w:rPr>
        <w:t xml:space="preserve"> </w:t>
      </w:r>
      <w:r w:rsidRPr="00EB2BD8">
        <w:rPr>
          <w:rFonts w:ascii="Calibri"/>
          <w:sz w:val="19"/>
        </w:rPr>
        <w:t>and</w:t>
      </w:r>
      <w:r w:rsidRPr="00EB2BD8">
        <w:rPr>
          <w:rFonts w:ascii="Calibri"/>
          <w:spacing w:val="-8"/>
          <w:sz w:val="19"/>
        </w:rPr>
        <w:t xml:space="preserve"> </w:t>
      </w:r>
      <w:r w:rsidRPr="00EB2BD8">
        <w:rPr>
          <w:rFonts w:ascii="Calibri"/>
          <w:sz w:val="19"/>
        </w:rPr>
        <w:t>appropriate</w:t>
      </w:r>
      <w:r w:rsidRPr="00EB2BD8">
        <w:rPr>
          <w:rFonts w:ascii="Calibri"/>
          <w:spacing w:val="-9"/>
          <w:sz w:val="19"/>
        </w:rPr>
        <w:t xml:space="preserve"> </w:t>
      </w:r>
      <w:r w:rsidRPr="00EB2BD8">
        <w:rPr>
          <w:rFonts w:ascii="Calibri"/>
          <w:sz w:val="19"/>
        </w:rPr>
        <w:t>to</w:t>
      </w:r>
      <w:r w:rsidRPr="00EB2BD8">
        <w:rPr>
          <w:rFonts w:ascii="Calibri"/>
          <w:spacing w:val="-9"/>
          <w:sz w:val="19"/>
        </w:rPr>
        <w:t xml:space="preserve"> </w:t>
      </w:r>
      <w:r w:rsidRPr="00EB2BD8">
        <w:rPr>
          <w:rFonts w:ascii="Calibri"/>
          <w:sz w:val="19"/>
        </w:rPr>
        <w:t>provide</w:t>
      </w:r>
      <w:r w:rsidRPr="00EB2BD8">
        <w:rPr>
          <w:rFonts w:ascii="Calibri"/>
          <w:spacing w:val="-8"/>
          <w:sz w:val="19"/>
        </w:rPr>
        <w:t xml:space="preserve"> </w:t>
      </w:r>
      <w:r w:rsidRPr="00EB2BD8">
        <w:rPr>
          <w:rFonts w:ascii="Calibri"/>
          <w:sz w:val="19"/>
        </w:rPr>
        <w:t>a basis for my opinion.</w:t>
      </w:r>
    </w:p>
    <w:p w14:paraId="5748437F" w14:textId="77777777" w:rsidR="00084F36" w:rsidRPr="00EB2BD8" w:rsidRDefault="00084F36">
      <w:pPr>
        <w:spacing w:line="273" w:lineRule="auto"/>
        <w:rPr>
          <w:rFonts w:ascii="Calibri"/>
          <w:sz w:val="19"/>
        </w:rPr>
        <w:sectPr w:rsidR="00084F36" w:rsidRPr="00EB2BD8" w:rsidSect="006D75B2">
          <w:type w:val="continuous"/>
          <w:pgSz w:w="11910" w:h="16840"/>
          <w:pgMar w:top="1920" w:right="0" w:bottom="280" w:left="0" w:header="0" w:footer="0" w:gutter="0"/>
          <w:cols w:num="2" w:space="720" w:equalWidth="0">
            <w:col w:w="1971" w:space="40"/>
            <w:col w:w="9899"/>
          </w:cols>
        </w:sectPr>
      </w:pPr>
    </w:p>
    <w:p w14:paraId="0A52408C" w14:textId="77777777" w:rsidR="00084F36" w:rsidRPr="00EB2BD8" w:rsidRDefault="00084F36">
      <w:pPr>
        <w:pStyle w:val="BodyText"/>
        <w:spacing w:before="9" w:after="1"/>
        <w:rPr>
          <w:rFonts w:ascii="Calibri"/>
          <w:sz w:val="8"/>
        </w:rPr>
      </w:pPr>
    </w:p>
    <w:p w14:paraId="1082F36F" w14:textId="77777777" w:rsidR="00084F36" w:rsidRPr="00EB2BD8" w:rsidRDefault="00EB2BD8">
      <w:pPr>
        <w:pStyle w:val="BodyText"/>
        <w:spacing w:line="20" w:lineRule="exact"/>
        <w:ind w:left="1202"/>
        <w:rPr>
          <w:rFonts w:ascii="Calibri"/>
          <w:sz w:val="2"/>
        </w:rPr>
      </w:pPr>
      <w:r w:rsidRPr="00EB2BD8">
        <w:rPr>
          <w:rFonts w:ascii="Calibri"/>
          <w:noProof/>
          <w:sz w:val="2"/>
        </w:rPr>
        <mc:AlternateContent>
          <mc:Choice Requires="wpg">
            <w:drawing>
              <wp:inline distT="0" distB="0" distL="0" distR="0" wp14:anchorId="050950D6" wp14:editId="327173DD">
                <wp:extent cx="5485765" cy="5715"/>
                <wp:effectExtent l="0" t="0" r="0" b="0"/>
                <wp:docPr id="764" name="Group 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5765" cy="5715"/>
                          <a:chOff x="0" y="0"/>
                          <a:chExt cx="5485765" cy="5715"/>
                        </a:xfrm>
                      </wpg:grpSpPr>
                      <wps:wsp>
                        <wps:cNvPr id="765" name="Graphic 765"/>
                        <wps:cNvSpPr/>
                        <wps:spPr>
                          <a:xfrm>
                            <a:off x="0" y="0"/>
                            <a:ext cx="5485765" cy="5715"/>
                          </a:xfrm>
                          <a:custGeom>
                            <a:avLst/>
                            <a:gdLst/>
                            <a:ahLst/>
                            <a:cxnLst/>
                            <a:rect l="l" t="t" r="r" b="b"/>
                            <a:pathLst>
                              <a:path w="5485765" h="5715">
                                <a:moveTo>
                                  <a:pt x="878624" y="0"/>
                                </a:moveTo>
                                <a:lnTo>
                                  <a:pt x="873226" y="0"/>
                                </a:lnTo>
                                <a:lnTo>
                                  <a:pt x="5461" y="0"/>
                                </a:lnTo>
                                <a:lnTo>
                                  <a:pt x="0" y="0"/>
                                </a:lnTo>
                                <a:lnTo>
                                  <a:pt x="0" y="5448"/>
                                </a:lnTo>
                                <a:lnTo>
                                  <a:pt x="5461" y="5448"/>
                                </a:lnTo>
                                <a:lnTo>
                                  <a:pt x="873163" y="5448"/>
                                </a:lnTo>
                                <a:lnTo>
                                  <a:pt x="878624" y="5448"/>
                                </a:lnTo>
                                <a:lnTo>
                                  <a:pt x="878624" y="0"/>
                                </a:lnTo>
                                <a:close/>
                              </a:path>
                              <a:path w="5485765" h="5715">
                                <a:moveTo>
                                  <a:pt x="5480126" y="0"/>
                                </a:moveTo>
                                <a:lnTo>
                                  <a:pt x="878636" y="0"/>
                                </a:lnTo>
                                <a:lnTo>
                                  <a:pt x="878636" y="5448"/>
                                </a:lnTo>
                                <a:lnTo>
                                  <a:pt x="5480126" y="5448"/>
                                </a:lnTo>
                                <a:lnTo>
                                  <a:pt x="5480126" y="0"/>
                                </a:lnTo>
                                <a:close/>
                              </a:path>
                              <a:path w="5485765" h="5715">
                                <a:moveTo>
                                  <a:pt x="5485701" y="0"/>
                                </a:moveTo>
                                <a:lnTo>
                                  <a:pt x="5480253" y="0"/>
                                </a:lnTo>
                                <a:lnTo>
                                  <a:pt x="5480253" y="5448"/>
                                </a:lnTo>
                                <a:lnTo>
                                  <a:pt x="5485701" y="5448"/>
                                </a:lnTo>
                                <a:lnTo>
                                  <a:pt x="5485701" y="0"/>
                                </a:lnTo>
                                <a:close/>
                              </a:path>
                            </a:pathLst>
                          </a:custGeom>
                          <a:solidFill>
                            <a:srgbClr val="D0CECE"/>
                          </a:solidFill>
                        </wps:spPr>
                        <wps:bodyPr wrap="square" lIns="0" tIns="0" rIns="0" bIns="0" rtlCol="0">
                          <a:prstTxWarp prst="textNoShape">
                            <a:avLst/>
                          </a:prstTxWarp>
                          <a:noAutofit/>
                        </wps:bodyPr>
                      </wps:wsp>
                    </wpg:wgp>
                  </a:graphicData>
                </a:graphic>
              </wp:inline>
            </w:drawing>
          </mc:Choice>
          <mc:Fallback>
            <w:pict>
              <v:group w14:anchorId="20882391" id="Group 764" o:spid="_x0000_s1026" alt="&quot;&quot;" style="width:431.95pt;height:.45pt;mso-position-horizontal-relative:char;mso-position-vertical-relative:line" coordsize="548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">
                <v:shape id="Graphic 765" o:spid="_x0000_s1027" style="position:absolute;width:54857;height:57;visibility:visible;mso-wrap-style:square;v-text-anchor:top" coordsize="548576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" path="m878624,r-5398,l5461,,,,,5448r5461,l873163,5448r5461,l878624,xem5480126,l878636,r,5448l5480126,5448r,-5448xem5485701,r-5448,l5480253,5448r5448,l5485701,xe" fillcolor="#d0cece" stroked="f">
                  <v:path arrowok="t"/>
                </v:shape>
                <w10:anchorlock/>
              </v:group>
            </w:pict>
          </mc:Fallback>
        </mc:AlternateContent>
      </w:r>
    </w:p>
    <w:p w14:paraId="0AC1A220" w14:textId="77777777" w:rsidR="00084F36" w:rsidRPr="00EB2BD8" w:rsidRDefault="00084F36">
      <w:pPr>
        <w:spacing w:line="20" w:lineRule="exact"/>
        <w:rPr>
          <w:rFonts w:ascii="Calibri"/>
          <w:sz w:val="2"/>
        </w:rPr>
        <w:sectPr w:rsidR="00084F36" w:rsidRPr="00EB2BD8" w:rsidSect="006D75B2">
          <w:type w:val="continuous"/>
          <w:pgSz w:w="11910" w:h="16840"/>
          <w:pgMar w:top="1920" w:right="0" w:bottom="280" w:left="0" w:header="0" w:footer="0" w:gutter="0"/>
          <w:cols w:space="720"/>
        </w:sectPr>
      </w:pPr>
    </w:p>
    <w:p w14:paraId="41754CF6" w14:textId="77777777" w:rsidR="00084F36" w:rsidRPr="00EB2BD8" w:rsidRDefault="00EB2BD8">
      <w:pPr>
        <w:spacing w:before="42" w:line="273" w:lineRule="auto"/>
        <w:ind w:left="1303" w:right="3"/>
        <w:rPr>
          <w:rFonts w:ascii="Calibri" w:hAnsi="Calibri"/>
          <w:b/>
          <w:sz w:val="19"/>
        </w:rPr>
      </w:pPr>
      <w:r w:rsidRPr="00EB2BD8">
        <w:rPr>
          <w:rFonts w:ascii="Calibri" w:hAnsi="Calibri"/>
          <w:b/>
          <w:spacing w:val="-2"/>
          <w:sz w:val="19"/>
        </w:rPr>
        <w:t xml:space="preserve">Board’s responsibilities </w:t>
      </w:r>
      <w:r w:rsidRPr="00EB2BD8">
        <w:rPr>
          <w:rFonts w:ascii="Calibri" w:hAnsi="Calibri"/>
          <w:b/>
          <w:sz w:val="19"/>
        </w:rPr>
        <w:t>for</w:t>
      </w:r>
      <w:r w:rsidRPr="00EB2BD8">
        <w:rPr>
          <w:rFonts w:ascii="Calibri" w:hAnsi="Calibri"/>
          <w:b/>
          <w:spacing w:val="-2"/>
          <w:sz w:val="19"/>
        </w:rPr>
        <w:t xml:space="preserve"> </w:t>
      </w:r>
      <w:r w:rsidRPr="00EB2BD8">
        <w:rPr>
          <w:rFonts w:ascii="Calibri" w:hAnsi="Calibri"/>
          <w:b/>
          <w:sz w:val="19"/>
        </w:rPr>
        <w:t xml:space="preserve">the </w:t>
      </w:r>
      <w:r w:rsidRPr="00EB2BD8">
        <w:rPr>
          <w:rFonts w:ascii="Calibri" w:hAnsi="Calibri"/>
          <w:b/>
          <w:spacing w:val="-2"/>
          <w:sz w:val="19"/>
        </w:rPr>
        <w:t>financial</w:t>
      </w:r>
      <w:r w:rsidRPr="00EB2BD8">
        <w:rPr>
          <w:rFonts w:ascii="Calibri" w:hAnsi="Calibri"/>
          <w:b/>
          <w:spacing w:val="80"/>
          <w:sz w:val="19"/>
        </w:rPr>
        <w:t xml:space="preserve"> </w:t>
      </w:r>
      <w:r w:rsidRPr="00EB2BD8">
        <w:rPr>
          <w:rFonts w:ascii="Calibri" w:hAnsi="Calibri"/>
          <w:b/>
          <w:spacing w:val="-2"/>
          <w:sz w:val="19"/>
        </w:rPr>
        <w:t>report</w:t>
      </w:r>
    </w:p>
    <w:p w14:paraId="4C166111" w14:textId="77777777" w:rsidR="00084F36" w:rsidRPr="00EB2BD8" w:rsidRDefault="00EB2BD8">
      <w:pPr>
        <w:spacing w:before="42" w:line="273" w:lineRule="auto"/>
        <w:ind w:left="151" w:right="2238"/>
        <w:rPr>
          <w:rFonts w:ascii="Calibri"/>
          <w:sz w:val="19"/>
        </w:rPr>
      </w:pPr>
      <w:r w:rsidRPr="00EB2BD8">
        <w:br w:type="column"/>
      </w:r>
      <w:r w:rsidRPr="00EB2BD8">
        <w:rPr>
          <w:rFonts w:ascii="Calibri"/>
          <w:sz w:val="19"/>
        </w:rPr>
        <w:t>The Board of</w:t>
      </w:r>
      <w:r w:rsidRPr="00EB2BD8">
        <w:rPr>
          <w:rFonts w:ascii="Calibri"/>
          <w:spacing w:val="-1"/>
          <w:sz w:val="19"/>
        </w:rPr>
        <w:t xml:space="preserve"> </w:t>
      </w:r>
      <w:r w:rsidRPr="00EB2BD8">
        <w:rPr>
          <w:rFonts w:ascii="Calibri"/>
          <w:sz w:val="19"/>
        </w:rPr>
        <w:t>the authority is</w:t>
      </w:r>
      <w:r w:rsidRPr="00EB2BD8">
        <w:rPr>
          <w:rFonts w:ascii="Calibri"/>
          <w:spacing w:val="-3"/>
          <w:sz w:val="19"/>
        </w:rPr>
        <w:t xml:space="preserve"> </w:t>
      </w:r>
      <w:r w:rsidRPr="00EB2BD8">
        <w:rPr>
          <w:rFonts w:ascii="Calibri"/>
          <w:sz w:val="19"/>
        </w:rPr>
        <w:t>responsible for</w:t>
      </w:r>
      <w:r w:rsidRPr="00EB2BD8">
        <w:rPr>
          <w:rFonts w:ascii="Calibri"/>
          <w:spacing w:val="-1"/>
          <w:sz w:val="19"/>
        </w:rPr>
        <w:t xml:space="preserve"> </w:t>
      </w:r>
      <w:r w:rsidRPr="00EB2BD8">
        <w:rPr>
          <w:rFonts w:ascii="Calibri"/>
          <w:sz w:val="19"/>
        </w:rPr>
        <w:t>the preparation and fair presentation of</w:t>
      </w:r>
      <w:r w:rsidRPr="00EB2BD8">
        <w:rPr>
          <w:rFonts w:ascii="Calibri"/>
          <w:spacing w:val="-1"/>
          <w:sz w:val="19"/>
        </w:rPr>
        <w:t xml:space="preserve"> </w:t>
      </w:r>
      <w:r w:rsidRPr="00EB2BD8">
        <w:rPr>
          <w:rFonts w:ascii="Calibri"/>
          <w:sz w:val="19"/>
        </w:rPr>
        <w:t xml:space="preserve">the financial report in accordance with Australian Accounting Standards and the </w:t>
      </w:r>
      <w:r w:rsidRPr="00EB2BD8">
        <w:rPr>
          <w:rFonts w:ascii="Calibri"/>
          <w:i/>
          <w:sz w:val="19"/>
        </w:rPr>
        <w:t>Financial Management</w:t>
      </w:r>
      <w:r w:rsidRPr="00EB2BD8">
        <w:rPr>
          <w:rFonts w:ascii="Calibri"/>
          <w:i/>
          <w:spacing w:val="-9"/>
          <w:sz w:val="19"/>
        </w:rPr>
        <w:t xml:space="preserve"> </w:t>
      </w:r>
      <w:r w:rsidRPr="00EB2BD8">
        <w:rPr>
          <w:rFonts w:ascii="Calibri"/>
          <w:i/>
          <w:sz w:val="19"/>
        </w:rPr>
        <w:t>Act</w:t>
      </w:r>
      <w:r w:rsidRPr="00EB2BD8">
        <w:rPr>
          <w:rFonts w:ascii="Calibri"/>
          <w:i/>
          <w:spacing w:val="-9"/>
          <w:sz w:val="19"/>
        </w:rPr>
        <w:t xml:space="preserve"> </w:t>
      </w:r>
      <w:r w:rsidRPr="00EB2BD8">
        <w:rPr>
          <w:rFonts w:ascii="Calibri"/>
          <w:i/>
          <w:sz w:val="19"/>
        </w:rPr>
        <w:t>1994</w:t>
      </w:r>
      <w:r w:rsidRPr="00EB2BD8">
        <w:rPr>
          <w:rFonts w:ascii="Calibri"/>
          <w:sz w:val="19"/>
        </w:rPr>
        <w:t>,</w:t>
      </w:r>
      <w:r w:rsidRPr="00EB2BD8">
        <w:rPr>
          <w:rFonts w:ascii="Calibri"/>
          <w:spacing w:val="-7"/>
          <w:sz w:val="19"/>
        </w:rPr>
        <w:t xml:space="preserve"> </w:t>
      </w:r>
      <w:r w:rsidRPr="00EB2BD8">
        <w:rPr>
          <w:rFonts w:ascii="Calibri"/>
          <w:sz w:val="19"/>
        </w:rPr>
        <w:t>and</w:t>
      </w:r>
      <w:r w:rsidRPr="00EB2BD8">
        <w:rPr>
          <w:rFonts w:ascii="Calibri"/>
          <w:spacing w:val="-11"/>
          <w:sz w:val="19"/>
        </w:rPr>
        <w:t xml:space="preserve"> </w:t>
      </w:r>
      <w:r w:rsidRPr="00EB2BD8">
        <w:rPr>
          <w:rFonts w:ascii="Calibri"/>
          <w:sz w:val="19"/>
        </w:rPr>
        <w:t>for</w:t>
      </w:r>
      <w:r w:rsidRPr="00EB2BD8">
        <w:rPr>
          <w:rFonts w:ascii="Calibri"/>
          <w:spacing w:val="-8"/>
          <w:sz w:val="19"/>
        </w:rPr>
        <w:t xml:space="preserve"> </w:t>
      </w:r>
      <w:r w:rsidRPr="00EB2BD8">
        <w:rPr>
          <w:rFonts w:ascii="Calibri"/>
          <w:sz w:val="19"/>
        </w:rPr>
        <w:t>such</w:t>
      </w:r>
      <w:r w:rsidRPr="00EB2BD8">
        <w:rPr>
          <w:rFonts w:ascii="Calibri"/>
          <w:spacing w:val="-9"/>
          <w:sz w:val="19"/>
        </w:rPr>
        <w:t xml:space="preserve"> </w:t>
      </w:r>
      <w:r w:rsidRPr="00EB2BD8">
        <w:rPr>
          <w:rFonts w:ascii="Calibri"/>
          <w:sz w:val="19"/>
        </w:rPr>
        <w:t>internal</w:t>
      </w:r>
      <w:r w:rsidRPr="00EB2BD8">
        <w:rPr>
          <w:rFonts w:ascii="Calibri"/>
          <w:spacing w:val="-8"/>
          <w:sz w:val="19"/>
        </w:rPr>
        <w:t xml:space="preserve"> </w:t>
      </w:r>
      <w:r w:rsidRPr="00EB2BD8">
        <w:rPr>
          <w:rFonts w:ascii="Calibri"/>
          <w:sz w:val="19"/>
        </w:rPr>
        <w:t>control</w:t>
      </w:r>
      <w:r w:rsidRPr="00EB2BD8">
        <w:rPr>
          <w:rFonts w:ascii="Calibri"/>
          <w:spacing w:val="-8"/>
          <w:sz w:val="19"/>
        </w:rPr>
        <w:t xml:space="preserve"> </w:t>
      </w:r>
      <w:r w:rsidRPr="00EB2BD8">
        <w:rPr>
          <w:rFonts w:ascii="Calibri"/>
          <w:sz w:val="19"/>
        </w:rPr>
        <w:t>as</w:t>
      </w:r>
      <w:r w:rsidRPr="00EB2BD8">
        <w:rPr>
          <w:rFonts w:ascii="Calibri"/>
          <w:spacing w:val="-11"/>
          <w:sz w:val="19"/>
        </w:rPr>
        <w:t xml:space="preserve"> </w:t>
      </w:r>
      <w:r w:rsidRPr="00EB2BD8">
        <w:rPr>
          <w:rFonts w:ascii="Calibri"/>
          <w:sz w:val="19"/>
        </w:rPr>
        <w:t>the</w:t>
      </w:r>
      <w:r w:rsidRPr="00EB2BD8">
        <w:rPr>
          <w:rFonts w:ascii="Calibri"/>
          <w:spacing w:val="-7"/>
          <w:sz w:val="19"/>
        </w:rPr>
        <w:t xml:space="preserve"> </w:t>
      </w:r>
      <w:r w:rsidRPr="00EB2BD8">
        <w:rPr>
          <w:rFonts w:ascii="Calibri"/>
          <w:sz w:val="19"/>
        </w:rPr>
        <w:t>Board</w:t>
      </w:r>
      <w:r w:rsidRPr="00EB2BD8">
        <w:rPr>
          <w:rFonts w:ascii="Calibri"/>
          <w:spacing w:val="-8"/>
          <w:sz w:val="19"/>
        </w:rPr>
        <w:t xml:space="preserve"> </w:t>
      </w:r>
      <w:r w:rsidRPr="00EB2BD8">
        <w:rPr>
          <w:rFonts w:ascii="Calibri"/>
          <w:sz w:val="19"/>
        </w:rPr>
        <w:t>determines</w:t>
      </w:r>
      <w:r w:rsidRPr="00EB2BD8">
        <w:rPr>
          <w:rFonts w:ascii="Calibri"/>
          <w:spacing w:val="-9"/>
          <w:sz w:val="19"/>
        </w:rPr>
        <w:t xml:space="preserve"> </w:t>
      </w:r>
      <w:r w:rsidRPr="00EB2BD8">
        <w:rPr>
          <w:rFonts w:ascii="Calibri"/>
          <w:sz w:val="19"/>
        </w:rPr>
        <w:t>is</w:t>
      </w:r>
      <w:r w:rsidRPr="00EB2BD8">
        <w:rPr>
          <w:rFonts w:ascii="Calibri"/>
          <w:spacing w:val="-9"/>
          <w:sz w:val="19"/>
        </w:rPr>
        <w:t xml:space="preserve"> </w:t>
      </w:r>
      <w:r w:rsidRPr="00EB2BD8">
        <w:rPr>
          <w:rFonts w:ascii="Calibri"/>
          <w:sz w:val="19"/>
        </w:rPr>
        <w:t>necessary to enable the preparation and fair presentation of a financial report that is free from material misstatement, whether due to fraud or error.</w:t>
      </w:r>
    </w:p>
    <w:p w14:paraId="1196B201" w14:textId="77777777" w:rsidR="00084F36" w:rsidRPr="00EB2BD8" w:rsidRDefault="00EB2BD8">
      <w:pPr>
        <w:spacing w:before="104" w:line="273" w:lineRule="auto"/>
        <w:ind w:left="151" w:right="2065"/>
        <w:rPr>
          <w:rFonts w:ascii="Calibri" w:hAnsi="Calibri"/>
          <w:sz w:val="19"/>
        </w:rPr>
      </w:pPr>
      <w:r w:rsidRPr="00EB2BD8">
        <w:rPr>
          <w:rFonts w:ascii="Calibri" w:hAnsi="Calibri"/>
          <w:sz w:val="19"/>
        </w:rPr>
        <w:t>In</w:t>
      </w:r>
      <w:r w:rsidRPr="00EB2BD8">
        <w:rPr>
          <w:rFonts w:ascii="Calibri" w:hAnsi="Calibri"/>
          <w:spacing w:val="-9"/>
          <w:sz w:val="19"/>
        </w:rPr>
        <w:t xml:space="preserve"> </w:t>
      </w:r>
      <w:r w:rsidRPr="00EB2BD8">
        <w:rPr>
          <w:rFonts w:ascii="Calibri" w:hAnsi="Calibri"/>
          <w:sz w:val="19"/>
        </w:rPr>
        <w:t>preparing</w:t>
      </w:r>
      <w:r w:rsidRPr="00EB2BD8">
        <w:rPr>
          <w:rFonts w:ascii="Calibri" w:hAnsi="Calibri"/>
          <w:spacing w:val="-9"/>
          <w:sz w:val="19"/>
        </w:rPr>
        <w:t xml:space="preserve"> </w:t>
      </w:r>
      <w:r w:rsidRPr="00EB2BD8">
        <w:rPr>
          <w:rFonts w:ascii="Calibri" w:hAnsi="Calibri"/>
          <w:sz w:val="19"/>
        </w:rPr>
        <w:t>the</w:t>
      </w:r>
      <w:r w:rsidRPr="00EB2BD8">
        <w:rPr>
          <w:rFonts w:ascii="Calibri" w:hAnsi="Calibri"/>
          <w:spacing w:val="-8"/>
          <w:sz w:val="19"/>
        </w:rPr>
        <w:t xml:space="preserve"> </w:t>
      </w:r>
      <w:r w:rsidRPr="00EB2BD8">
        <w:rPr>
          <w:rFonts w:ascii="Calibri" w:hAnsi="Calibri"/>
          <w:sz w:val="19"/>
        </w:rPr>
        <w:t>financial</w:t>
      </w:r>
      <w:r w:rsidRPr="00EB2BD8">
        <w:rPr>
          <w:rFonts w:ascii="Calibri" w:hAnsi="Calibri"/>
          <w:spacing w:val="-11"/>
          <w:sz w:val="19"/>
        </w:rPr>
        <w:t xml:space="preserve"> </w:t>
      </w:r>
      <w:r w:rsidRPr="00EB2BD8">
        <w:rPr>
          <w:rFonts w:ascii="Calibri" w:hAnsi="Calibri"/>
          <w:sz w:val="19"/>
        </w:rPr>
        <w:t>report,</w:t>
      </w:r>
      <w:r w:rsidRPr="00EB2BD8">
        <w:rPr>
          <w:rFonts w:ascii="Calibri" w:hAnsi="Calibri"/>
          <w:spacing w:val="-10"/>
          <w:sz w:val="19"/>
        </w:rPr>
        <w:t xml:space="preserve"> </w:t>
      </w:r>
      <w:r w:rsidRPr="00EB2BD8">
        <w:rPr>
          <w:rFonts w:ascii="Calibri" w:hAnsi="Calibri"/>
          <w:sz w:val="19"/>
        </w:rPr>
        <w:t>the</w:t>
      </w:r>
      <w:r w:rsidRPr="00EB2BD8">
        <w:rPr>
          <w:rFonts w:ascii="Calibri" w:hAnsi="Calibri"/>
          <w:spacing w:val="-6"/>
          <w:sz w:val="19"/>
        </w:rPr>
        <w:t xml:space="preserve"> </w:t>
      </w:r>
      <w:r w:rsidRPr="00EB2BD8">
        <w:rPr>
          <w:rFonts w:ascii="Calibri" w:hAnsi="Calibri"/>
          <w:sz w:val="19"/>
        </w:rPr>
        <w:t>Board</w:t>
      </w:r>
      <w:r w:rsidRPr="00EB2BD8">
        <w:rPr>
          <w:rFonts w:ascii="Calibri" w:hAnsi="Calibri"/>
          <w:spacing w:val="-8"/>
          <w:sz w:val="19"/>
        </w:rPr>
        <w:t xml:space="preserve"> </w:t>
      </w:r>
      <w:r w:rsidRPr="00EB2BD8">
        <w:rPr>
          <w:rFonts w:ascii="Calibri" w:hAnsi="Calibri"/>
          <w:sz w:val="19"/>
        </w:rPr>
        <w:t>is</w:t>
      </w:r>
      <w:r w:rsidRPr="00EB2BD8">
        <w:rPr>
          <w:rFonts w:ascii="Calibri" w:hAnsi="Calibri"/>
          <w:spacing w:val="-8"/>
          <w:sz w:val="19"/>
        </w:rPr>
        <w:t xml:space="preserve"> </w:t>
      </w:r>
      <w:r w:rsidRPr="00EB2BD8">
        <w:rPr>
          <w:rFonts w:ascii="Calibri" w:hAnsi="Calibri"/>
          <w:sz w:val="19"/>
        </w:rPr>
        <w:t>responsible</w:t>
      </w:r>
      <w:r w:rsidRPr="00EB2BD8">
        <w:rPr>
          <w:rFonts w:ascii="Calibri" w:hAnsi="Calibri"/>
          <w:spacing w:val="-8"/>
          <w:sz w:val="19"/>
        </w:rPr>
        <w:t xml:space="preserve"> </w:t>
      </w:r>
      <w:r w:rsidRPr="00EB2BD8">
        <w:rPr>
          <w:rFonts w:ascii="Calibri" w:hAnsi="Calibri"/>
          <w:sz w:val="19"/>
        </w:rPr>
        <w:t>for</w:t>
      </w:r>
      <w:r w:rsidRPr="00EB2BD8">
        <w:rPr>
          <w:rFonts w:ascii="Calibri" w:hAnsi="Calibri"/>
          <w:spacing w:val="-10"/>
          <w:sz w:val="19"/>
        </w:rPr>
        <w:t xml:space="preserve"> </w:t>
      </w:r>
      <w:r w:rsidRPr="00EB2BD8">
        <w:rPr>
          <w:rFonts w:ascii="Calibri" w:hAnsi="Calibri"/>
          <w:sz w:val="19"/>
        </w:rPr>
        <w:t>assessing</w:t>
      </w:r>
      <w:r w:rsidRPr="00EB2BD8">
        <w:rPr>
          <w:rFonts w:ascii="Calibri" w:hAnsi="Calibri"/>
          <w:spacing w:val="-9"/>
          <w:sz w:val="19"/>
        </w:rPr>
        <w:t xml:space="preserve"> </w:t>
      </w:r>
      <w:r w:rsidRPr="00EB2BD8">
        <w:rPr>
          <w:rFonts w:ascii="Calibri" w:hAnsi="Calibri"/>
          <w:sz w:val="19"/>
        </w:rPr>
        <w:t>the</w:t>
      </w:r>
      <w:r w:rsidRPr="00EB2BD8">
        <w:rPr>
          <w:rFonts w:ascii="Calibri" w:hAnsi="Calibri"/>
          <w:spacing w:val="-9"/>
          <w:sz w:val="19"/>
        </w:rPr>
        <w:t xml:space="preserve"> </w:t>
      </w:r>
      <w:r w:rsidRPr="00EB2BD8">
        <w:rPr>
          <w:rFonts w:ascii="Calibri" w:hAnsi="Calibri"/>
          <w:sz w:val="19"/>
        </w:rPr>
        <w:t>authority’s</w:t>
      </w:r>
      <w:r w:rsidRPr="00EB2BD8">
        <w:rPr>
          <w:rFonts w:ascii="Calibri" w:hAnsi="Calibri"/>
          <w:spacing w:val="-9"/>
          <w:sz w:val="19"/>
        </w:rPr>
        <w:t xml:space="preserve"> </w:t>
      </w:r>
      <w:r w:rsidRPr="00EB2BD8">
        <w:rPr>
          <w:rFonts w:ascii="Calibri" w:hAnsi="Calibri"/>
          <w:sz w:val="19"/>
        </w:rPr>
        <w:t>ability to continue as a going concern, disclosing, as applicable, matters related to going concern and using the going concern basis of accounting unless it is inappropriate to do so.</w:t>
      </w:r>
    </w:p>
    <w:p w14:paraId="5D378842" w14:textId="77777777" w:rsidR="00084F36" w:rsidRPr="00EB2BD8" w:rsidRDefault="00084F36">
      <w:pPr>
        <w:spacing w:line="273" w:lineRule="auto"/>
        <w:rPr>
          <w:rFonts w:ascii="Calibri" w:hAnsi="Calibri"/>
          <w:sz w:val="19"/>
        </w:rPr>
        <w:sectPr w:rsidR="00084F36" w:rsidRPr="00EB2BD8" w:rsidSect="006D75B2">
          <w:type w:val="continuous"/>
          <w:pgSz w:w="11910" w:h="16840"/>
          <w:pgMar w:top="1920" w:right="0" w:bottom="280" w:left="0" w:header="0" w:footer="0" w:gutter="0"/>
          <w:cols w:num="2" w:space="720" w:equalWidth="0">
            <w:col w:w="2488" w:space="40"/>
            <w:col w:w="9382"/>
          </w:cols>
        </w:sectPr>
      </w:pPr>
    </w:p>
    <w:p w14:paraId="36733926" w14:textId="77777777" w:rsidR="00084F36" w:rsidRPr="00EB2BD8" w:rsidRDefault="00084F36">
      <w:pPr>
        <w:pStyle w:val="BodyText"/>
        <w:spacing w:before="10"/>
        <w:rPr>
          <w:rFonts w:ascii="Calibri"/>
          <w:sz w:val="8"/>
        </w:rPr>
      </w:pPr>
    </w:p>
    <w:p w14:paraId="7D64333A" w14:textId="77777777" w:rsidR="00084F36" w:rsidRPr="00EB2BD8" w:rsidRDefault="00EB2BD8">
      <w:pPr>
        <w:pStyle w:val="BodyText"/>
        <w:spacing w:line="20" w:lineRule="exact"/>
        <w:ind w:left="1202"/>
        <w:rPr>
          <w:rFonts w:ascii="Calibri"/>
          <w:sz w:val="2"/>
        </w:rPr>
      </w:pPr>
      <w:r w:rsidRPr="00EB2BD8">
        <w:rPr>
          <w:rFonts w:ascii="Calibri"/>
          <w:noProof/>
          <w:sz w:val="2"/>
        </w:rPr>
        <mc:AlternateContent>
          <mc:Choice Requires="wpg">
            <w:drawing>
              <wp:inline distT="0" distB="0" distL="0" distR="0" wp14:anchorId="260D3EF6" wp14:editId="4576A772">
                <wp:extent cx="5485765" cy="5715"/>
                <wp:effectExtent l="0" t="0" r="0" b="0"/>
                <wp:docPr id="766" name="Group 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5765" cy="5715"/>
                          <a:chOff x="0" y="0"/>
                          <a:chExt cx="5485765" cy="5715"/>
                        </a:xfrm>
                      </wpg:grpSpPr>
                      <wps:wsp>
                        <wps:cNvPr id="767" name="Graphic 767"/>
                        <wps:cNvSpPr/>
                        <wps:spPr>
                          <a:xfrm>
                            <a:off x="0" y="0"/>
                            <a:ext cx="5485765" cy="5715"/>
                          </a:xfrm>
                          <a:custGeom>
                            <a:avLst/>
                            <a:gdLst/>
                            <a:ahLst/>
                            <a:cxnLst/>
                            <a:rect l="l" t="t" r="r" b="b"/>
                            <a:pathLst>
                              <a:path w="5485765" h="5715">
                                <a:moveTo>
                                  <a:pt x="878624" y="0"/>
                                </a:moveTo>
                                <a:lnTo>
                                  <a:pt x="873226" y="0"/>
                                </a:lnTo>
                                <a:lnTo>
                                  <a:pt x="5461" y="0"/>
                                </a:lnTo>
                                <a:lnTo>
                                  <a:pt x="0" y="0"/>
                                </a:lnTo>
                                <a:lnTo>
                                  <a:pt x="0" y="5461"/>
                                </a:lnTo>
                                <a:lnTo>
                                  <a:pt x="5461" y="5461"/>
                                </a:lnTo>
                                <a:lnTo>
                                  <a:pt x="873163" y="5461"/>
                                </a:lnTo>
                                <a:lnTo>
                                  <a:pt x="878624" y="5461"/>
                                </a:lnTo>
                                <a:lnTo>
                                  <a:pt x="878624" y="0"/>
                                </a:lnTo>
                                <a:close/>
                              </a:path>
                              <a:path w="5485765" h="5715">
                                <a:moveTo>
                                  <a:pt x="5480126" y="0"/>
                                </a:moveTo>
                                <a:lnTo>
                                  <a:pt x="878636" y="0"/>
                                </a:lnTo>
                                <a:lnTo>
                                  <a:pt x="878636" y="5461"/>
                                </a:lnTo>
                                <a:lnTo>
                                  <a:pt x="5480126" y="5461"/>
                                </a:lnTo>
                                <a:lnTo>
                                  <a:pt x="5480126" y="0"/>
                                </a:lnTo>
                                <a:close/>
                              </a:path>
                              <a:path w="5485765" h="5715">
                                <a:moveTo>
                                  <a:pt x="5485701" y="0"/>
                                </a:moveTo>
                                <a:lnTo>
                                  <a:pt x="5480253" y="0"/>
                                </a:lnTo>
                                <a:lnTo>
                                  <a:pt x="5480253" y="5461"/>
                                </a:lnTo>
                                <a:lnTo>
                                  <a:pt x="5485701" y="5461"/>
                                </a:lnTo>
                                <a:lnTo>
                                  <a:pt x="5485701" y="0"/>
                                </a:lnTo>
                                <a:close/>
                              </a:path>
                            </a:pathLst>
                          </a:custGeom>
                          <a:solidFill>
                            <a:srgbClr val="D0CECE"/>
                          </a:solidFill>
                        </wps:spPr>
                        <wps:bodyPr wrap="square" lIns="0" tIns="0" rIns="0" bIns="0" rtlCol="0">
                          <a:prstTxWarp prst="textNoShape">
                            <a:avLst/>
                          </a:prstTxWarp>
                          <a:noAutofit/>
                        </wps:bodyPr>
                      </wps:wsp>
                    </wpg:wgp>
                  </a:graphicData>
                </a:graphic>
              </wp:inline>
            </w:drawing>
          </mc:Choice>
          <mc:Fallback>
            <w:pict>
              <v:group w14:anchorId="7B785A5B" id="Group 766" o:spid="_x0000_s1026" alt="&quot;&quot;" style="width:431.95pt;height:.45pt;mso-position-horizontal-relative:char;mso-position-vertical-relative:line" coordsize="548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">
                <v:shape id="Graphic 767" o:spid="_x0000_s1027" style="position:absolute;width:54857;height:57;visibility:visible;mso-wrap-style:square;v-text-anchor:top" coordsize="548576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" path="m878624,r-5398,l5461,,,,,5461r5461,l873163,5461r5461,l878624,xem5480126,l878636,r,5461l5480126,5461r,-5461xem5485701,r-5448,l5480253,5461r5448,l5485701,xe" fillcolor="#d0cece" stroked="f">
                  <v:path arrowok="t"/>
                </v:shape>
                <w10:anchorlock/>
              </v:group>
            </w:pict>
          </mc:Fallback>
        </mc:AlternateContent>
      </w:r>
    </w:p>
    <w:p w14:paraId="080E42C4" w14:textId="77777777" w:rsidR="00084F36" w:rsidRPr="00EB2BD8" w:rsidRDefault="00084F36">
      <w:pPr>
        <w:pStyle w:val="BodyText"/>
        <w:rPr>
          <w:rFonts w:ascii="Calibri"/>
          <w:sz w:val="20"/>
        </w:rPr>
      </w:pPr>
    </w:p>
    <w:p w14:paraId="26241513" w14:textId="77777777" w:rsidR="00084F36" w:rsidRPr="00EB2BD8" w:rsidRDefault="00084F36">
      <w:pPr>
        <w:pStyle w:val="BodyText"/>
        <w:rPr>
          <w:rFonts w:ascii="Calibri"/>
          <w:sz w:val="20"/>
        </w:rPr>
      </w:pPr>
    </w:p>
    <w:p w14:paraId="51493266" w14:textId="77777777" w:rsidR="00084F36" w:rsidRPr="00EB2BD8" w:rsidRDefault="00084F36">
      <w:pPr>
        <w:pStyle w:val="BodyText"/>
        <w:rPr>
          <w:rFonts w:ascii="Calibri"/>
          <w:sz w:val="20"/>
        </w:rPr>
      </w:pPr>
    </w:p>
    <w:p w14:paraId="001F4B40" w14:textId="77777777" w:rsidR="00084F36" w:rsidRPr="00EB2BD8" w:rsidRDefault="00084F36">
      <w:pPr>
        <w:pStyle w:val="BodyText"/>
        <w:rPr>
          <w:rFonts w:ascii="Calibri"/>
          <w:sz w:val="20"/>
        </w:rPr>
      </w:pPr>
    </w:p>
    <w:p w14:paraId="4B9681B5" w14:textId="77777777" w:rsidR="00084F36" w:rsidRPr="00EB2BD8" w:rsidRDefault="00084F36">
      <w:pPr>
        <w:pStyle w:val="BodyText"/>
        <w:rPr>
          <w:rFonts w:ascii="Calibri"/>
          <w:sz w:val="20"/>
        </w:rPr>
      </w:pPr>
    </w:p>
    <w:p w14:paraId="67FAE414" w14:textId="77777777" w:rsidR="00084F36" w:rsidRPr="00EB2BD8" w:rsidRDefault="00084F36">
      <w:pPr>
        <w:pStyle w:val="BodyText"/>
        <w:rPr>
          <w:rFonts w:ascii="Calibri"/>
          <w:sz w:val="20"/>
        </w:rPr>
      </w:pPr>
    </w:p>
    <w:p w14:paraId="1F0CCE00" w14:textId="77777777" w:rsidR="00084F36" w:rsidRPr="00EB2BD8" w:rsidRDefault="00EB2BD8">
      <w:pPr>
        <w:pStyle w:val="BodyText"/>
        <w:spacing w:before="8"/>
        <w:rPr>
          <w:rFonts w:ascii="Calibri"/>
          <w:sz w:val="17"/>
        </w:rPr>
      </w:pPr>
      <w:r w:rsidRPr="00EB2BD8">
        <w:rPr>
          <w:noProof/>
        </w:rPr>
        <w:drawing>
          <wp:inline distT="0" distB="0" distL="0" distR="0" wp14:anchorId="46856B69" wp14:editId="53844095">
            <wp:extent cx="6632600" cy="1015364"/>
            <wp:effectExtent l="0" t="0" r="0" b="0"/>
            <wp:docPr id="768" name="Image 768" descr="Level 31/35 Collins St, Melbourne VIC 3000&#10;T 03 8601 7000&#10;enquiries@audit.vic.gov.au, www.audit.vic.gov.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descr="Level 31/35 Collins St, Melbourne VIC 3000&#10;T 03 8601 7000&#10;enquiries@audit.vic.gov.au, www.audit.vic.gov.au"/>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6632600" cy="1015364"/>
                    </a:xfrm>
                    <a:prstGeom prst="rect">
                      <a:avLst/>
                    </a:prstGeom>
                  </pic:spPr>
                </pic:pic>
              </a:graphicData>
            </a:graphic>
          </wp:inline>
        </w:drawing>
      </w:r>
    </w:p>
    <w:p w14:paraId="49479DB5" w14:textId="77777777" w:rsidR="00084F36" w:rsidRPr="00EB2BD8" w:rsidRDefault="00084F36">
      <w:pPr>
        <w:pStyle w:val="BodyText"/>
        <w:spacing w:before="10"/>
        <w:rPr>
          <w:rFonts w:ascii="Calibri"/>
          <w:sz w:val="7"/>
        </w:rPr>
      </w:pPr>
    </w:p>
    <w:p w14:paraId="5B79FC13" w14:textId="2D9F1ABC" w:rsidR="00084F36" w:rsidRPr="00EB2BD8" w:rsidRDefault="00EB2BD8">
      <w:pPr>
        <w:tabs>
          <w:tab w:val="left" w:pos="1906"/>
        </w:tabs>
        <w:spacing w:before="91"/>
        <w:ind w:left="842"/>
        <w:rPr>
          <w:b/>
          <w:sz w:val="16"/>
        </w:rPr>
      </w:pPr>
      <w:r w:rsidRPr="00EB2BD8">
        <w:rPr>
          <w:sz w:val="16"/>
        </w:rPr>
        <w:tab/>
      </w:r>
    </w:p>
    <w:p w14:paraId="71C83E24" w14:textId="77777777" w:rsidR="00084F36" w:rsidRPr="00EB2BD8" w:rsidRDefault="00084F36">
      <w:pPr>
        <w:rPr>
          <w:sz w:val="16"/>
        </w:rPr>
        <w:sectPr w:rsidR="00084F36" w:rsidRPr="00EB2BD8" w:rsidSect="006D75B2">
          <w:type w:val="continuous"/>
          <w:pgSz w:w="11910" w:h="16840"/>
          <w:pgMar w:top="1920" w:right="0" w:bottom="280" w:left="0" w:header="0" w:footer="0" w:gutter="0"/>
          <w:cols w:space="720"/>
        </w:sectPr>
      </w:pPr>
    </w:p>
    <w:p w14:paraId="2A04D1BB" w14:textId="77777777" w:rsidR="00084F36" w:rsidRPr="00EB2BD8" w:rsidRDefault="00084F36">
      <w:pPr>
        <w:pStyle w:val="BodyText"/>
        <w:rPr>
          <w:b/>
          <w:sz w:val="20"/>
        </w:rPr>
      </w:pPr>
    </w:p>
    <w:p w14:paraId="15EEC715" w14:textId="77777777" w:rsidR="00084F36" w:rsidRPr="00EB2BD8" w:rsidRDefault="00084F36">
      <w:pPr>
        <w:pStyle w:val="BodyText"/>
        <w:rPr>
          <w:b/>
          <w:sz w:val="20"/>
        </w:rPr>
      </w:pPr>
    </w:p>
    <w:p w14:paraId="0458236F" w14:textId="77777777" w:rsidR="00084F36" w:rsidRPr="00EB2BD8" w:rsidRDefault="00084F36">
      <w:pPr>
        <w:pStyle w:val="BodyText"/>
        <w:rPr>
          <w:b/>
          <w:sz w:val="20"/>
        </w:rPr>
      </w:pPr>
    </w:p>
    <w:p w14:paraId="445412A5" w14:textId="77777777" w:rsidR="00084F36" w:rsidRPr="00EB2BD8" w:rsidRDefault="00084F36">
      <w:pPr>
        <w:pStyle w:val="BodyText"/>
        <w:rPr>
          <w:b/>
          <w:sz w:val="20"/>
        </w:rPr>
      </w:pPr>
    </w:p>
    <w:p w14:paraId="685C1C0E" w14:textId="77777777" w:rsidR="00084F36" w:rsidRPr="00EB2BD8" w:rsidRDefault="00084F36">
      <w:pPr>
        <w:pStyle w:val="BodyText"/>
        <w:rPr>
          <w:b/>
          <w:sz w:val="20"/>
        </w:rPr>
      </w:pPr>
    </w:p>
    <w:p w14:paraId="30AD364E" w14:textId="77777777" w:rsidR="00084F36" w:rsidRPr="00EB2BD8" w:rsidRDefault="00084F36">
      <w:pPr>
        <w:pStyle w:val="BodyText"/>
        <w:spacing w:before="1"/>
        <w:rPr>
          <w:b/>
          <w:sz w:val="20"/>
        </w:rPr>
      </w:pPr>
    </w:p>
    <w:p w14:paraId="0009136D" w14:textId="4550E2CE" w:rsidR="00084F36" w:rsidRPr="00EB2BD8" w:rsidRDefault="00084F36">
      <w:pPr>
        <w:pStyle w:val="BodyText"/>
        <w:spacing w:line="20" w:lineRule="exact"/>
        <w:ind w:left="825"/>
        <w:rPr>
          <w:sz w:val="2"/>
        </w:rPr>
      </w:pPr>
    </w:p>
    <w:p w14:paraId="773ADBD7" w14:textId="77777777" w:rsidR="00084F36" w:rsidRPr="00EB2BD8" w:rsidRDefault="00084F36">
      <w:pPr>
        <w:spacing w:line="20" w:lineRule="exact"/>
        <w:rPr>
          <w:sz w:val="2"/>
        </w:rPr>
        <w:sectPr w:rsidR="00084F36" w:rsidRPr="00EB2BD8" w:rsidSect="006D75B2">
          <w:headerReference w:type="default" r:id="rId247"/>
          <w:footerReference w:type="default" r:id="rId248"/>
          <w:pgSz w:w="11910" w:h="16840"/>
          <w:pgMar w:top="1080" w:right="0" w:bottom="720" w:left="0" w:header="0" w:footer="528" w:gutter="0"/>
          <w:pgNumType w:start="85"/>
          <w:cols w:space="720"/>
        </w:sectPr>
      </w:pPr>
    </w:p>
    <w:p w14:paraId="2810BD7F" w14:textId="77777777" w:rsidR="00084F36" w:rsidRPr="00EB2BD8" w:rsidRDefault="00EB2BD8">
      <w:pPr>
        <w:spacing w:before="51" w:line="276" w:lineRule="auto"/>
        <w:ind w:left="937" w:right="15"/>
        <w:rPr>
          <w:rFonts w:ascii="Calibri" w:hAnsi="Calibri"/>
          <w:b/>
          <w:sz w:val="21"/>
        </w:rPr>
      </w:pPr>
      <w:r w:rsidRPr="00EB2BD8">
        <w:rPr>
          <w:rFonts w:ascii="Calibri" w:hAnsi="Calibri"/>
          <w:b/>
          <w:spacing w:val="-2"/>
          <w:sz w:val="21"/>
        </w:rPr>
        <w:t xml:space="preserve">Auditor’s responsibilities </w:t>
      </w:r>
      <w:r w:rsidRPr="00EB2BD8">
        <w:rPr>
          <w:rFonts w:ascii="Calibri" w:hAnsi="Calibri"/>
          <w:b/>
          <w:sz w:val="21"/>
        </w:rPr>
        <w:t>for the audit</w:t>
      </w:r>
      <w:r w:rsidRPr="00EB2BD8">
        <w:rPr>
          <w:rFonts w:ascii="Calibri" w:hAnsi="Calibri"/>
          <w:b/>
          <w:spacing w:val="80"/>
          <w:sz w:val="21"/>
        </w:rPr>
        <w:t xml:space="preserve"> </w:t>
      </w:r>
      <w:r w:rsidRPr="00EB2BD8">
        <w:rPr>
          <w:rFonts w:ascii="Calibri" w:hAnsi="Calibri"/>
          <w:b/>
          <w:sz w:val="21"/>
        </w:rPr>
        <w:t>of</w:t>
      </w:r>
      <w:r w:rsidRPr="00EB2BD8">
        <w:rPr>
          <w:rFonts w:ascii="Calibri" w:hAnsi="Calibri"/>
          <w:b/>
          <w:spacing w:val="-12"/>
          <w:sz w:val="21"/>
        </w:rPr>
        <w:t xml:space="preserve"> </w:t>
      </w:r>
      <w:r w:rsidRPr="00EB2BD8">
        <w:rPr>
          <w:rFonts w:ascii="Calibri" w:hAnsi="Calibri"/>
          <w:b/>
          <w:sz w:val="21"/>
        </w:rPr>
        <w:t>the</w:t>
      </w:r>
      <w:r w:rsidRPr="00EB2BD8">
        <w:rPr>
          <w:rFonts w:ascii="Calibri" w:hAnsi="Calibri"/>
          <w:b/>
          <w:spacing w:val="-12"/>
          <w:sz w:val="21"/>
        </w:rPr>
        <w:t xml:space="preserve"> </w:t>
      </w:r>
      <w:r w:rsidRPr="00EB2BD8">
        <w:rPr>
          <w:rFonts w:ascii="Calibri" w:hAnsi="Calibri"/>
          <w:b/>
          <w:sz w:val="21"/>
        </w:rPr>
        <w:t xml:space="preserve">financial </w:t>
      </w:r>
      <w:r w:rsidRPr="00EB2BD8">
        <w:rPr>
          <w:rFonts w:ascii="Calibri" w:hAnsi="Calibri"/>
          <w:b/>
          <w:spacing w:val="-2"/>
          <w:sz w:val="21"/>
        </w:rPr>
        <w:t>report</w:t>
      </w:r>
    </w:p>
    <w:p w14:paraId="2542721A" w14:textId="77777777" w:rsidR="00084F36" w:rsidRPr="00EB2BD8" w:rsidRDefault="00EB2BD8">
      <w:pPr>
        <w:spacing w:before="51" w:line="276" w:lineRule="auto"/>
        <w:ind w:left="174" w:right="1580"/>
        <w:rPr>
          <w:rFonts w:ascii="Calibri" w:hAnsi="Calibri"/>
          <w:sz w:val="21"/>
        </w:rPr>
      </w:pPr>
      <w:r w:rsidRPr="00EB2BD8">
        <w:br w:type="column"/>
      </w:r>
      <w:r w:rsidRPr="00EB2BD8">
        <w:rPr>
          <w:rFonts w:ascii="Calibri" w:hAnsi="Calibri"/>
          <w:sz w:val="21"/>
        </w:rPr>
        <w:t>As</w:t>
      </w:r>
      <w:r w:rsidRPr="00EB2BD8">
        <w:rPr>
          <w:rFonts w:ascii="Calibri" w:hAnsi="Calibri"/>
          <w:spacing w:val="-3"/>
          <w:sz w:val="21"/>
        </w:rPr>
        <w:t xml:space="preserve"> </w:t>
      </w:r>
      <w:r w:rsidRPr="00EB2BD8">
        <w:rPr>
          <w:rFonts w:ascii="Calibri" w:hAnsi="Calibri"/>
          <w:sz w:val="21"/>
        </w:rPr>
        <w:t>required</w:t>
      </w:r>
      <w:r w:rsidRPr="00EB2BD8">
        <w:rPr>
          <w:rFonts w:ascii="Calibri" w:hAnsi="Calibri"/>
          <w:spacing w:val="-2"/>
          <w:sz w:val="21"/>
        </w:rPr>
        <w:t xml:space="preserve"> </w:t>
      </w:r>
      <w:r w:rsidRPr="00EB2BD8">
        <w:rPr>
          <w:rFonts w:ascii="Calibri" w:hAnsi="Calibri"/>
          <w:sz w:val="21"/>
        </w:rPr>
        <w:t>by</w:t>
      </w:r>
      <w:r w:rsidRPr="00EB2BD8">
        <w:rPr>
          <w:rFonts w:ascii="Calibri" w:hAnsi="Calibri"/>
          <w:spacing w:val="-4"/>
          <w:sz w:val="21"/>
        </w:rPr>
        <w:t xml:space="preserve"> </w:t>
      </w:r>
      <w:r w:rsidRPr="00EB2BD8">
        <w:rPr>
          <w:rFonts w:ascii="Calibri" w:hAnsi="Calibri"/>
          <w:sz w:val="21"/>
        </w:rPr>
        <w:t>the</w:t>
      </w:r>
      <w:r w:rsidRPr="00EB2BD8">
        <w:rPr>
          <w:rFonts w:ascii="Calibri" w:hAnsi="Calibri"/>
          <w:spacing w:val="-3"/>
          <w:sz w:val="21"/>
        </w:rPr>
        <w:t xml:space="preserve"> </w:t>
      </w:r>
      <w:r w:rsidRPr="00EB2BD8">
        <w:rPr>
          <w:rFonts w:ascii="Calibri" w:hAnsi="Calibri"/>
          <w:i/>
          <w:sz w:val="21"/>
        </w:rPr>
        <w:t>Audit</w:t>
      </w:r>
      <w:r w:rsidRPr="00EB2BD8">
        <w:rPr>
          <w:rFonts w:ascii="Calibri" w:hAnsi="Calibri"/>
          <w:i/>
          <w:spacing w:val="-4"/>
          <w:sz w:val="21"/>
        </w:rPr>
        <w:t xml:space="preserve"> </w:t>
      </w:r>
      <w:r w:rsidRPr="00EB2BD8">
        <w:rPr>
          <w:rFonts w:ascii="Calibri" w:hAnsi="Calibri"/>
          <w:i/>
          <w:sz w:val="21"/>
        </w:rPr>
        <w:t>Act</w:t>
      </w:r>
      <w:r w:rsidRPr="00EB2BD8">
        <w:rPr>
          <w:rFonts w:ascii="Calibri" w:hAnsi="Calibri"/>
          <w:i/>
          <w:spacing w:val="-5"/>
          <w:sz w:val="21"/>
        </w:rPr>
        <w:t xml:space="preserve"> </w:t>
      </w:r>
      <w:r w:rsidRPr="00EB2BD8">
        <w:rPr>
          <w:rFonts w:ascii="Calibri" w:hAnsi="Calibri"/>
          <w:i/>
          <w:sz w:val="21"/>
        </w:rPr>
        <w:t>1994,</w:t>
      </w:r>
      <w:r w:rsidRPr="00EB2BD8">
        <w:rPr>
          <w:rFonts w:ascii="Calibri" w:hAnsi="Calibri"/>
          <w:i/>
          <w:spacing w:val="-1"/>
          <w:sz w:val="21"/>
        </w:rPr>
        <w:t xml:space="preserve"> </w:t>
      </w:r>
      <w:r w:rsidRPr="00EB2BD8">
        <w:rPr>
          <w:rFonts w:ascii="Calibri" w:hAnsi="Calibri"/>
          <w:sz w:val="21"/>
        </w:rPr>
        <w:t>my</w:t>
      </w:r>
      <w:r w:rsidRPr="00EB2BD8">
        <w:rPr>
          <w:rFonts w:ascii="Calibri" w:hAnsi="Calibri"/>
          <w:spacing w:val="-4"/>
          <w:sz w:val="21"/>
        </w:rPr>
        <w:t xml:space="preserve"> </w:t>
      </w:r>
      <w:r w:rsidRPr="00EB2BD8">
        <w:rPr>
          <w:rFonts w:ascii="Calibri" w:hAnsi="Calibri"/>
          <w:sz w:val="21"/>
        </w:rPr>
        <w:t>responsibility</w:t>
      </w:r>
      <w:r w:rsidRPr="00EB2BD8">
        <w:rPr>
          <w:rFonts w:ascii="Calibri" w:hAnsi="Calibri"/>
          <w:spacing w:val="-2"/>
          <w:sz w:val="21"/>
        </w:rPr>
        <w:t xml:space="preserve"> </w:t>
      </w:r>
      <w:r w:rsidRPr="00EB2BD8">
        <w:rPr>
          <w:rFonts w:ascii="Calibri" w:hAnsi="Calibri"/>
          <w:sz w:val="21"/>
        </w:rPr>
        <w:t>is</w:t>
      </w:r>
      <w:r w:rsidRPr="00EB2BD8">
        <w:rPr>
          <w:rFonts w:ascii="Calibri" w:hAnsi="Calibri"/>
          <w:spacing w:val="-5"/>
          <w:sz w:val="21"/>
        </w:rPr>
        <w:t xml:space="preserve"> </w:t>
      </w:r>
      <w:r w:rsidRPr="00EB2BD8">
        <w:rPr>
          <w:rFonts w:ascii="Calibri" w:hAnsi="Calibri"/>
          <w:sz w:val="21"/>
        </w:rPr>
        <w:t>to</w:t>
      </w:r>
      <w:r w:rsidRPr="00EB2BD8">
        <w:rPr>
          <w:rFonts w:ascii="Calibri" w:hAnsi="Calibri"/>
          <w:spacing w:val="-5"/>
          <w:sz w:val="21"/>
        </w:rPr>
        <w:t xml:space="preserve"> </w:t>
      </w:r>
      <w:r w:rsidRPr="00EB2BD8">
        <w:rPr>
          <w:rFonts w:ascii="Calibri" w:hAnsi="Calibri"/>
          <w:sz w:val="21"/>
        </w:rPr>
        <w:t>express</w:t>
      </w:r>
      <w:r w:rsidRPr="00EB2BD8">
        <w:rPr>
          <w:rFonts w:ascii="Calibri" w:hAnsi="Calibri"/>
          <w:spacing w:val="-4"/>
          <w:sz w:val="21"/>
        </w:rPr>
        <w:t xml:space="preserve"> </w:t>
      </w:r>
      <w:r w:rsidRPr="00EB2BD8">
        <w:rPr>
          <w:rFonts w:ascii="Calibri" w:hAnsi="Calibri"/>
          <w:sz w:val="21"/>
        </w:rPr>
        <w:t>an</w:t>
      </w:r>
      <w:r w:rsidRPr="00EB2BD8">
        <w:rPr>
          <w:rFonts w:ascii="Calibri" w:hAnsi="Calibri"/>
          <w:spacing w:val="-2"/>
          <w:sz w:val="21"/>
        </w:rPr>
        <w:t xml:space="preserve"> </w:t>
      </w:r>
      <w:r w:rsidRPr="00EB2BD8">
        <w:rPr>
          <w:rFonts w:ascii="Calibri" w:hAnsi="Calibri"/>
          <w:sz w:val="21"/>
        </w:rPr>
        <w:t>opinion</w:t>
      </w:r>
      <w:r w:rsidRPr="00EB2BD8">
        <w:rPr>
          <w:rFonts w:ascii="Calibri" w:hAnsi="Calibri"/>
          <w:spacing w:val="-2"/>
          <w:sz w:val="21"/>
        </w:rPr>
        <w:t xml:space="preserve"> </w:t>
      </w:r>
      <w:r w:rsidRPr="00EB2BD8">
        <w:rPr>
          <w:rFonts w:ascii="Calibri" w:hAnsi="Calibri"/>
          <w:sz w:val="21"/>
        </w:rPr>
        <w:t>on</w:t>
      </w:r>
      <w:r w:rsidRPr="00EB2BD8">
        <w:rPr>
          <w:rFonts w:ascii="Calibri" w:hAnsi="Calibri"/>
          <w:spacing w:val="-2"/>
          <w:sz w:val="21"/>
        </w:rPr>
        <w:t xml:space="preserve"> </w:t>
      </w:r>
      <w:r w:rsidRPr="00EB2BD8">
        <w:rPr>
          <w:rFonts w:ascii="Calibri" w:hAnsi="Calibri"/>
          <w:sz w:val="21"/>
        </w:rPr>
        <w:t>the</w:t>
      </w:r>
      <w:r w:rsidRPr="00EB2BD8">
        <w:rPr>
          <w:rFonts w:ascii="Calibri" w:hAnsi="Calibri"/>
          <w:spacing w:val="-2"/>
          <w:sz w:val="21"/>
        </w:rPr>
        <w:t xml:space="preserve"> </w:t>
      </w:r>
      <w:r w:rsidRPr="00EB2BD8">
        <w:rPr>
          <w:rFonts w:ascii="Calibri" w:hAnsi="Calibri"/>
          <w:sz w:val="21"/>
        </w:rPr>
        <w:t>financial report based on the audit. My objectives for the audit are to obtain reasonable assurance about whether the financial</w:t>
      </w:r>
      <w:r w:rsidRPr="00EB2BD8">
        <w:rPr>
          <w:rFonts w:ascii="Calibri" w:hAnsi="Calibri"/>
          <w:spacing w:val="-1"/>
          <w:sz w:val="21"/>
        </w:rPr>
        <w:t xml:space="preserve"> </w:t>
      </w:r>
      <w:r w:rsidRPr="00EB2BD8">
        <w:rPr>
          <w:rFonts w:ascii="Calibri" w:hAnsi="Calibri"/>
          <w:sz w:val="21"/>
        </w:rPr>
        <w:t>report as a whole is free from material misstatement, whether due to</w:t>
      </w:r>
      <w:r w:rsidRPr="00EB2BD8">
        <w:rPr>
          <w:rFonts w:ascii="Calibri" w:hAnsi="Calibri"/>
          <w:spacing w:val="-1"/>
          <w:sz w:val="21"/>
        </w:rPr>
        <w:t xml:space="preserve"> </w:t>
      </w:r>
      <w:r w:rsidRPr="00EB2BD8">
        <w:rPr>
          <w:rFonts w:ascii="Calibri" w:hAnsi="Calibri"/>
          <w:sz w:val="21"/>
        </w:rPr>
        <w:t>fraud</w:t>
      </w:r>
      <w:r w:rsidRPr="00EB2BD8">
        <w:rPr>
          <w:rFonts w:ascii="Calibri" w:hAnsi="Calibri"/>
          <w:spacing w:val="-1"/>
          <w:sz w:val="21"/>
        </w:rPr>
        <w:t xml:space="preserve"> </w:t>
      </w:r>
      <w:r w:rsidRPr="00EB2BD8">
        <w:rPr>
          <w:rFonts w:ascii="Calibri" w:hAnsi="Calibri"/>
          <w:sz w:val="21"/>
        </w:rPr>
        <w:t>or error, and</w:t>
      </w:r>
      <w:r w:rsidRPr="00EB2BD8">
        <w:rPr>
          <w:rFonts w:ascii="Calibri" w:hAnsi="Calibri"/>
          <w:spacing w:val="-2"/>
          <w:sz w:val="21"/>
        </w:rPr>
        <w:t xml:space="preserve"> </w:t>
      </w:r>
      <w:r w:rsidRPr="00EB2BD8">
        <w:rPr>
          <w:rFonts w:ascii="Calibri" w:hAnsi="Calibri"/>
          <w:sz w:val="21"/>
        </w:rPr>
        <w:t>to</w:t>
      </w:r>
      <w:r w:rsidRPr="00EB2BD8">
        <w:rPr>
          <w:rFonts w:ascii="Calibri" w:hAnsi="Calibri"/>
          <w:spacing w:val="-2"/>
          <w:sz w:val="21"/>
        </w:rPr>
        <w:t xml:space="preserve"> </w:t>
      </w:r>
      <w:r w:rsidRPr="00EB2BD8">
        <w:rPr>
          <w:rFonts w:ascii="Calibri" w:hAnsi="Calibri"/>
          <w:sz w:val="21"/>
        </w:rPr>
        <w:t>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w:t>
      </w:r>
    </w:p>
    <w:p w14:paraId="0120156F" w14:textId="77777777" w:rsidR="00084F36" w:rsidRPr="00EB2BD8" w:rsidRDefault="00EB2BD8">
      <w:pPr>
        <w:spacing w:before="122" w:line="273" w:lineRule="auto"/>
        <w:ind w:left="174" w:right="1580"/>
        <w:rPr>
          <w:rFonts w:ascii="Calibri"/>
          <w:sz w:val="21"/>
        </w:rPr>
      </w:pPr>
      <w:r w:rsidRPr="00EB2BD8">
        <w:rPr>
          <w:rFonts w:ascii="Calibri"/>
          <w:sz w:val="21"/>
        </w:rPr>
        <w:t>As part of an audit in accordance with the Australian Auditing Standards, I exercise professional</w:t>
      </w:r>
      <w:r w:rsidRPr="00EB2BD8">
        <w:rPr>
          <w:rFonts w:ascii="Calibri"/>
          <w:spacing w:val="-3"/>
          <w:sz w:val="21"/>
        </w:rPr>
        <w:t xml:space="preserve"> </w:t>
      </w:r>
      <w:r w:rsidRPr="00EB2BD8">
        <w:rPr>
          <w:rFonts w:ascii="Calibri"/>
          <w:sz w:val="21"/>
        </w:rPr>
        <w:t>judgement</w:t>
      </w:r>
      <w:r w:rsidRPr="00EB2BD8">
        <w:rPr>
          <w:rFonts w:ascii="Calibri"/>
          <w:spacing w:val="-4"/>
          <w:sz w:val="21"/>
        </w:rPr>
        <w:t xml:space="preserve"> </w:t>
      </w:r>
      <w:r w:rsidRPr="00EB2BD8">
        <w:rPr>
          <w:rFonts w:ascii="Calibri"/>
          <w:sz w:val="21"/>
        </w:rPr>
        <w:t>and</w:t>
      </w:r>
      <w:r w:rsidRPr="00EB2BD8">
        <w:rPr>
          <w:rFonts w:ascii="Calibri"/>
          <w:spacing w:val="-6"/>
          <w:sz w:val="21"/>
        </w:rPr>
        <w:t xml:space="preserve"> </w:t>
      </w:r>
      <w:r w:rsidRPr="00EB2BD8">
        <w:rPr>
          <w:rFonts w:ascii="Calibri"/>
          <w:sz w:val="21"/>
        </w:rPr>
        <w:t>maintain</w:t>
      </w:r>
      <w:r w:rsidRPr="00EB2BD8">
        <w:rPr>
          <w:rFonts w:ascii="Calibri"/>
          <w:spacing w:val="-3"/>
          <w:sz w:val="21"/>
        </w:rPr>
        <w:t xml:space="preserve"> </w:t>
      </w:r>
      <w:r w:rsidRPr="00EB2BD8">
        <w:rPr>
          <w:rFonts w:ascii="Calibri"/>
          <w:sz w:val="21"/>
        </w:rPr>
        <w:t>professional</w:t>
      </w:r>
      <w:r w:rsidRPr="00EB2BD8">
        <w:rPr>
          <w:rFonts w:ascii="Calibri"/>
          <w:spacing w:val="-3"/>
          <w:sz w:val="21"/>
        </w:rPr>
        <w:t xml:space="preserve"> </w:t>
      </w:r>
      <w:r w:rsidRPr="00EB2BD8">
        <w:rPr>
          <w:rFonts w:ascii="Calibri"/>
          <w:sz w:val="21"/>
        </w:rPr>
        <w:t>scepticism</w:t>
      </w:r>
      <w:r w:rsidRPr="00EB2BD8">
        <w:rPr>
          <w:rFonts w:ascii="Calibri"/>
          <w:spacing w:val="-4"/>
          <w:sz w:val="21"/>
        </w:rPr>
        <w:t xml:space="preserve"> </w:t>
      </w:r>
      <w:r w:rsidRPr="00EB2BD8">
        <w:rPr>
          <w:rFonts w:ascii="Calibri"/>
          <w:sz w:val="21"/>
        </w:rPr>
        <w:t>throughout</w:t>
      </w:r>
      <w:r w:rsidRPr="00EB2BD8">
        <w:rPr>
          <w:rFonts w:ascii="Calibri"/>
          <w:spacing w:val="-5"/>
          <w:sz w:val="21"/>
        </w:rPr>
        <w:t xml:space="preserve"> </w:t>
      </w:r>
      <w:r w:rsidRPr="00EB2BD8">
        <w:rPr>
          <w:rFonts w:ascii="Calibri"/>
          <w:sz w:val="21"/>
        </w:rPr>
        <w:t>the</w:t>
      </w:r>
      <w:r w:rsidRPr="00EB2BD8">
        <w:rPr>
          <w:rFonts w:ascii="Calibri"/>
          <w:spacing w:val="-3"/>
          <w:sz w:val="21"/>
        </w:rPr>
        <w:t xml:space="preserve"> </w:t>
      </w:r>
      <w:r w:rsidRPr="00EB2BD8">
        <w:rPr>
          <w:rFonts w:ascii="Calibri"/>
          <w:sz w:val="21"/>
        </w:rPr>
        <w:t>audit.</w:t>
      </w:r>
      <w:r w:rsidRPr="00EB2BD8">
        <w:rPr>
          <w:rFonts w:ascii="Calibri"/>
          <w:spacing w:val="-3"/>
          <w:sz w:val="21"/>
        </w:rPr>
        <w:t xml:space="preserve"> </w:t>
      </w:r>
      <w:r w:rsidRPr="00EB2BD8">
        <w:rPr>
          <w:rFonts w:ascii="Calibri"/>
          <w:sz w:val="21"/>
        </w:rPr>
        <w:t>I</w:t>
      </w:r>
      <w:r w:rsidRPr="00EB2BD8">
        <w:rPr>
          <w:rFonts w:ascii="Calibri"/>
          <w:spacing w:val="-6"/>
          <w:sz w:val="21"/>
        </w:rPr>
        <w:t xml:space="preserve"> </w:t>
      </w:r>
      <w:r w:rsidRPr="00EB2BD8">
        <w:rPr>
          <w:rFonts w:ascii="Calibri"/>
          <w:sz w:val="21"/>
        </w:rPr>
        <w:t>also:</w:t>
      </w:r>
    </w:p>
    <w:p w14:paraId="46E2E976" w14:textId="77777777" w:rsidR="00084F36" w:rsidRPr="00EB2BD8" w:rsidRDefault="00EB2BD8">
      <w:pPr>
        <w:pStyle w:val="ListParagraph"/>
        <w:numPr>
          <w:ilvl w:val="0"/>
          <w:numId w:val="51"/>
        </w:numPr>
        <w:tabs>
          <w:tab w:val="left" w:pos="740"/>
        </w:tabs>
        <w:spacing w:before="122" w:line="276" w:lineRule="auto"/>
        <w:ind w:right="1557"/>
        <w:rPr>
          <w:rFonts w:ascii="Calibri" w:hAnsi="Calibri"/>
          <w:sz w:val="21"/>
        </w:rPr>
      </w:pPr>
      <w:r w:rsidRPr="00EB2BD8">
        <w:rPr>
          <w:rFonts w:ascii="Calibri" w:hAnsi="Calibri"/>
          <w:sz w:val="21"/>
        </w:rPr>
        <w:t>identify</w:t>
      </w:r>
      <w:r w:rsidRPr="00EB2BD8">
        <w:rPr>
          <w:rFonts w:ascii="Calibri" w:hAnsi="Calibri"/>
          <w:spacing w:val="-2"/>
          <w:sz w:val="21"/>
        </w:rPr>
        <w:t xml:space="preserve"> </w:t>
      </w:r>
      <w:r w:rsidRPr="00EB2BD8">
        <w:rPr>
          <w:rFonts w:ascii="Calibri" w:hAnsi="Calibri"/>
          <w:sz w:val="21"/>
        </w:rPr>
        <w:t>and</w:t>
      </w:r>
      <w:r w:rsidRPr="00EB2BD8">
        <w:rPr>
          <w:rFonts w:ascii="Calibri" w:hAnsi="Calibri"/>
          <w:spacing w:val="-3"/>
          <w:sz w:val="21"/>
        </w:rPr>
        <w:t xml:space="preserve"> </w:t>
      </w:r>
      <w:r w:rsidRPr="00EB2BD8">
        <w:rPr>
          <w:rFonts w:ascii="Calibri" w:hAnsi="Calibri"/>
          <w:sz w:val="21"/>
        </w:rPr>
        <w:t>assess</w:t>
      </w:r>
      <w:r w:rsidRPr="00EB2BD8">
        <w:rPr>
          <w:rFonts w:ascii="Calibri" w:hAnsi="Calibri"/>
          <w:spacing w:val="-6"/>
          <w:sz w:val="21"/>
        </w:rPr>
        <w:t xml:space="preserve"> </w:t>
      </w:r>
      <w:r w:rsidRPr="00EB2BD8">
        <w:rPr>
          <w:rFonts w:ascii="Calibri" w:hAnsi="Calibri"/>
          <w:sz w:val="21"/>
        </w:rPr>
        <w:t>the</w:t>
      </w:r>
      <w:r w:rsidRPr="00EB2BD8">
        <w:rPr>
          <w:rFonts w:ascii="Calibri" w:hAnsi="Calibri"/>
          <w:spacing w:val="-5"/>
          <w:sz w:val="21"/>
        </w:rPr>
        <w:t xml:space="preserve"> </w:t>
      </w:r>
      <w:r w:rsidRPr="00EB2BD8">
        <w:rPr>
          <w:rFonts w:ascii="Calibri" w:hAnsi="Calibri"/>
          <w:sz w:val="21"/>
        </w:rPr>
        <w:t>risks</w:t>
      </w:r>
      <w:r w:rsidRPr="00EB2BD8">
        <w:rPr>
          <w:rFonts w:ascii="Calibri" w:hAnsi="Calibri"/>
          <w:spacing w:val="-5"/>
          <w:sz w:val="21"/>
        </w:rPr>
        <w:t xml:space="preserve"> </w:t>
      </w:r>
      <w:r w:rsidRPr="00EB2BD8">
        <w:rPr>
          <w:rFonts w:ascii="Calibri" w:hAnsi="Calibri"/>
          <w:sz w:val="21"/>
        </w:rPr>
        <w:t>of</w:t>
      </w:r>
      <w:r w:rsidRPr="00EB2BD8">
        <w:rPr>
          <w:rFonts w:ascii="Calibri" w:hAnsi="Calibri"/>
          <w:spacing w:val="-2"/>
          <w:sz w:val="21"/>
        </w:rPr>
        <w:t xml:space="preserve"> </w:t>
      </w:r>
      <w:r w:rsidRPr="00EB2BD8">
        <w:rPr>
          <w:rFonts w:ascii="Calibri" w:hAnsi="Calibri"/>
          <w:sz w:val="21"/>
        </w:rPr>
        <w:t>material</w:t>
      </w:r>
      <w:r w:rsidRPr="00EB2BD8">
        <w:rPr>
          <w:rFonts w:ascii="Calibri" w:hAnsi="Calibri"/>
          <w:spacing w:val="-2"/>
          <w:sz w:val="21"/>
        </w:rPr>
        <w:t xml:space="preserve"> </w:t>
      </w:r>
      <w:r w:rsidRPr="00EB2BD8">
        <w:rPr>
          <w:rFonts w:ascii="Calibri" w:hAnsi="Calibri"/>
          <w:sz w:val="21"/>
        </w:rPr>
        <w:t>misstatement</w:t>
      </w:r>
      <w:r w:rsidRPr="00EB2BD8">
        <w:rPr>
          <w:rFonts w:ascii="Calibri" w:hAnsi="Calibri"/>
          <w:spacing w:val="-1"/>
          <w:sz w:val="21"/>
        </w:rPr>
        <w:t xml:space="preserve"> </w:t>
      </w:r>
      <w:r w:rsidRPr="00EB2BD8">
        <w:rPr>
          <w:rFonts w:ascii="Calibri" w:hAnsi="Calibri"/>
          <w:sz w:val="21"/>
        </w:rPr>
        <w:t>of</w:t>
      </w:r>
      <w:r w:rsidRPr="00EB2BD8">
        <w:rPr>
          <w:rFonts w:ascii="Calibri" w:hAnsi="Calibri"/>
          <w:spacing w:val="-7"/>
          <w:sz w:val="21"/>
        </w:rPr>
        <w:t xml:space="preserve"> </w:t>
      </w:r>
      <w:r w:rsidRPr="00EB2BD8">
        <w:rPr>
          <w:rFonts w:ascii="Calibri" w:hAnsi="Calibri"/>
          <w:sz w:val="21"/>
        </w:rPr>
        <w:t>the</w:t>
      </w:r>
      <w:r w:rsidRPr="00EB2BD8">
        <w:rPr>
          <w:rFonts w:ascii="Calibri" w:hAnsi="Calibri"/>
          <w:spacing w:val="-4"/>
          <w:sz w:val="21"/>
        </w:rPr>
        <w:t xml:space="preserve"> </w:t>
      </w:r>
      <w:r w:rsidRPr="00EB2BD8">
        <w:rPr>
          <w:rFonts w:ascii="Calibri" w:hAnsi="Calibri"/>
          <w:sz w:val="21"/>
        </w:rPr>
        <w:t>financial</w:t>
      </w:r>
      <w:r w:rsidRPr="00EB2BD8">
        <w:rPr>
          <w:rFonts w:ascii="Calibri" w:hAnsi="Calibri"/>
          <w:spacing w:val="-3"/>
          <w:sz w:val="21"/>
        </w:rPr>
        <w:t xml:space="preserve"> </w:t>
      </w:r>
      <w:r w:rsidRPr="00EB2BD8">
        <w:rPr>
          <w:rFonts w:ascii="Calibri" w:hAnsi="Calibri"/>
          <w:sz w:val="21"/>
        </w:rPr>
        <w:t>report,</w:t>
      </w:r>
      <w:r w:rsidRPr="00EB2BD8">
        <w:rPr>
          <w:rFonts w:ascii="Calibri" w:hAnsi="Calibri"/>
          <w:spacing w:val="-4"/>
          <w:sz w:val="21"/>
        </w:rPr>
        <w:t xml:space="preserve"> </w:t>
      </w:r>
      <w:r w:rsidRPr="00EB2BD8">
        <w:rPr>
          <w:rFonts w:ascii="Calibri" w:hAnsi="Calibri"/>
          <w:sz w:val="21"/>
        </w:rPr>
        <w:t>whether due to</w:t>
      </w:r>
      <w:r w:rsidRPr="00EB2BD8">
        <w:rPr>
          <w:rFonts w:ascii="Calibri" w:hAnsi="Calibri"/>
          <w:spacing w:val="-1"/>
          <w:sz w:val="21"/>
        </w:rPr>
        <w:t xml:space="preserve"> </w:t>
      </w:r>
      <w:r w:rsidRPr="00EB2BD8">
        <w:rPr>
          <w:rFonts w:ascii="Calibri" w:hAnsi="Calibri"/>
          <w:sz w:val="21"/>
        </w:rPr>
        <w:t>fraud</w:t>
      </w:r>
      <w:r w:rsidRPr="00EB2BD8">
        <w:rPr>
          <w:rFonts w:ascii="Calibri" w:hAnsi="Calibri"/>
          <w:spacing w:val="-1"/>
          <w:sz w:val="21"/>
        </w:rPr>
        <w:t xml:space="preserve"> </w:t>
      </w:r>
      <w:r w:rsidRPr="00EB2BD8">
        <w:rPr>
          <w:rFonts w:ascii="Calibri" w:hAnsi="Calibri"/>
          <w:sz w:val="21"/>
        </w:rPr>
        <w:t>or error, design and perform</w:t>
      </w:r>
      <w:r w:rsidRPr="00EB2BD8">
        <w:rPr>
          <w:rFonts w:ascii="Calibri" w:hAnsi="Calibri"/>
          <w:spacing w:val="-1"/>
          <w:sz w:val="21"/>
        </w:rPr>
        <w:t xml:space="preserve"> </w:t>
      </w:r>
      <w:r w:rsidRPr="00EB2BD8">
        <w:rPr>
          <w:rFonts w:ascii="Calibri" w:hAnsi="Calibri"/>
          <w:sz w:val="21"/>
        </w:rPr>
        <w:t>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0A233F2B" w14:textId="77777777" w:rsidR="00084F36" w:rsidRPr="00EB2BD8" w:rsidRDefault="00EB2BD8">
      <w:pPr>
        <w:pStyle w:val="ListParagraph"/>
        <w:numPr>
          <w:ilvl w:val="0"/>
          <w:numId w:val="51"/>
        </w:numPr>
        <w:tabs>
          <w:tab w:val="left" w:pos="740"/>
        </w:tabs>
        <w:spacing w:before="1" w:line="276" w:lineRule="auto"/>
        <w:ind w:right="1714"/>
        <w:rPr>
          <w:rFonts w:ascii="Calibri" w:hAnsi="Calibri"/>
          <w:sz w:val="21"/>
        </w:rPr>
      </w:pPr>
      <w:r w:rsidRPr="00EB2BD8">
        <w:rPr>
          <w:rFonts w:ascii="Calibri" w:hAnsi="Calibri"/>
          <w:sz w:val="21"/>
        </w:rPr>
        <w:t>obtain an understanding of internal control relevant to the audit in order to design audit</w:t>
      </w:r>
      <w:r w:rsidRPr="00EB2BD8">
        <w:rPr>
          <w:rFonts w:ascii="Calibri" w:hAnsi="Calibri"/>
          <w:spacing w:val="-1"/>
          <w:sz w:val="21"/>
        </w:rPr>
        <w:t xml:space="preserve"> </w:t>
      </w:r>
      <w:r w:rsidRPr="00EB2BD8">
        <w:rPr>
          <w:rFonts w:ascii="Calibri" w:hAnsi="Calibri"/>
          <w:sz w:val="21"/>
        </w:rPr>
        <w:t>procedures</w:t>
      </w:r>
      <w:r w:rsidRPr="00EB2BD8">
        <w:rPr>
          <w:rFonts w:ascii="Calibri" w:hAnsi="Calibri"/>
          <w:spacing w:val="-2"/>
          <w:sz w:val="21"/>
        </w:rPr>
        <w:t xml:space="preserve"> </w:t>
      </w:r>
      <w:r w:rsidRPr="00EB2BD8">
        <w:rPr>
          <w:rFonts w:ascii="Calibri" w:hAnsi="Calibri"/>
          <w:sz w:val="21"/>
        </w:rPr>
        <w:t>that</w:t>
      </w:r>
      <w:r w:rsidRPr="00EB2BD8">
        <w:rPr>
          <w:rFonts w:ascii="Calibri" w:hAnsi="Calibri"/>
          <w:spacing w:val="-4"/>
          <w:sz w:val="21"/>
        </w:rPr>
        <w:t xml:space="preserve"> </w:t>
      </w:r>
      <w:r w:rsidRPr="00EB2BD8">
        <w:rPr>
          <w:rFonts w:ascii="Calibri" w:hAnsi="Calibri"/>
          <w:sz w:val="21"/>
        </w:rPr>
        <w:t>are</w:t>
      </w:r>
      <w:r w:rsidRPr="00EB2BD8">
        <w:rPr>
          <w:rFonts w:ascii="Calibri" w:hAnsi="Calibri"/>
          <w:spacing w:val="-2"/>
          <w:sz w:val="21"/>
        </w:rPr>
        <w:t xml:space="preserve"> </w:t>
      </w:r>
      <w:r w:rsidRPr="00EB2BD8">
        <w:rPr>
          <w:rFonts w:ascii="Calibri" w:hAnsi="Calibri"/>
          <w:sz w:val="21"/>
        </w:rPr>
        <w:t>appropriate</w:t>
      </w:r>
      <w:r w:rsidRPr="00EB2BD8">
        <w:rPr>
          <w:rFonts w:ascii="Calibri" w:hAnsi="Calibri"/>
          <w:spacing w:val="-2"/>
          <w:sz w:val="21"/>
        </w:rPr>
        <w:t xml:space="preserve"> </w:t>
      </w:r>
      <w:r w:rsidRPr="00EB2BD8">
        <w:rPr>
          <w:rFonts w:ascii="Calibri" w:hAnsi="Calibri"/>
          <w:sz w:val="21"/>
        </w:rPr>
        <w:t>in</w:t>
      </w:r>
      <w:r w:rsidRPr="00EB2BD8">
        <w:rPr>
          <w:rFonts w:ascii="Calibri" w:hAnsi="Calibri"/>
          <w:spacing w:val="-5"/>
          <w:sz w:val="21"/>
        </w:rPr>
        <w:t xml:space="preserve"> </w:t>
      </w:r>
      <w:r w:rsidRPr="00EB2BD8">
        <w:rPr>
          <w:rFonts w:ascii="Calibri" w:hAnsi="Calibri"/>
          <w:sz w:val="21"/>
        </w:rPr>
        <w:t>the</w:t>
      </w:r>
      <w:r w:rsidRPr="00EB2BD8">
        <w:rPr>
          <w:rFonts w:ascii="Calibri" w:hAnsi="Calibri"/>
          <w:spacing w:val="-2"/>
          <w:sz w:val="21"/>
        </w:rPr>
        <w:t xml:space="preserve"> </w:t>
      </w:r>
      <w:r w:rsidRPr="00EB2BD8">
        <w:rPr>
          <w:rFonts w:ascii="Calibri" w:hAnsi="Calibri"/>
          <w:sz w:val="21"/>
        </w:rPr>
        <w:t>circumstances,</w:t>
      </w:r>
      <w:r w:rsidRPr="00EB2BD8">
        <w:rPr>
          <w:rFonts w:ascii="Calibri" w:hAnsi="Calibri"/>
          <w:spacing w:val="-2"/>
          <w:sz w:val="21"/>
        </w:rPr>
        <w:t xml:space="preserve"> </w:t>
      </w:r>
      <w:r w:rsidRPr="00EB2BD8">
        <w:rPr>
          <w:rFonts w:ascii="Calibri" w:hAnsi="Calibri"/>
          <w:sz w:val="21"/>
        </w:rPr>
        <w:t>but</w:t>
      </w:r>
      <w:r w:rsidRPr="00EB2BD8">
        <w:rPr>
          <w:rFonts w:ascii="Calibri" w:hAnsi="Calibri"/>
          <w:spacing w:val="-4"/>
          <w:sz w:val="21"/>
        </w:rPr>
        <w:t xml:space="preserve"> </w:t>
      </w:r>
      <w:r w:rsidRPr="00EB2BD8">
        <w:rPr>
          <w:rFonts w:ascii="Calibri" w:hAnsi="Calibri"/>
          <w:sz w:val="21"/>
        </w:rPr>
        <w:t>not</w:t>
      </w:r>
      <w:r w:rsidRPr="00EB2BD8">
        <w:rPr>
          <w:rFonts w:ascii="Calibri" w:hAnsi="Calibri"/>
          <w:spacing w:val="-3"/>
          <w:sz w:val="21"/>
        </w:rPr>
        <w:t xml:space="preserve"> </w:t>
      </w:r>
      <w:r w:rsidRPr="00EB2BD8">
        <w:rPr>
          <w:rFonts w:ascii="Calibri" w:hAnsi="Calibri"/>
          <w:sz w:val="21"/>
        </w:rPr>
        <w:t>for</w:t>
      </w:r>
      <w:r w:rsidRPr="00EB2BD8">
        <w:rPr>
          <w:rFonts w:ascii="Calibri" w:hAnsi="Calibri"/>
          <w:spacing w:val="-4"/>
          <w:sz w:val="21"/>
        </w:rPr>
        <w:t xml:space="preserve"> </w:t>
      </w:r>
      <w:r w:rsidRPr="00EB2BD8">
        <w:rPr>
          <w:rFonts w:ascii="Calibri" w:hAnsi="Calibri"/>
          <w:sz w:val="21"/>
        </w:rPr>
        <w:t>the</w:t>
      </w:r>
      <w:r w:rsidRPr="00EB2BD8">
        <w:rPr>
          <w:rFonts w:ascii="Calibri" w:hAnsi="Calibri"/>
          <w:spacing w:val="-5"/>
          <w:sz w:val="21"/>
        </w:rPr>
        <w:t xml:space="preserve"> </w:t>
      </w:r>
      <w:r w:rsidRPr="00EB2BD8">
        <w:rPr>
          <w:rFonts w:ascii="Calibri" w:hAnsi="Calibri"/>
          <w:sz w:val="21"/>
        </w:rPr>
        <w:t>purpose of expressing an opinion on the effectiveness of the authority’s internal control</w:t>
      </w:r>
    </w:p>
    <w:p w14:paraId="053B17C3" w14:textId="77777777" w:rsidR="00084F36" w:rsidRPr="00EB2BD8" w:rsidRDefault="00EB2BD8">
      <w:pPr>
        <w:pStyle w:val="ListParagraph"/>
        <w:numPr>
          <w:ilvl w:val="0"/>
          <w:numId w:val="51"/>
        </w:numPr>
        <w:tabs>
          <w:tab w:val="left" w:pos="740"/>
        </w:tabs>
        <w:spacing w:line="276" w:lineRule="auto"/>
        <w:ind w:right="1711"/>
        <w:rPr>
          <w:rFonts w:ascii="Calibri" w:hAnsi="Calibri"/>
          <w:sz w:val="21"/>
        </w:rPr>
      </w:pPr>
      <w:r w:rsidRPr="00EB2BD8">
        <w:rPr>
          <w:rFonts w:ascii="Calibri" w:hAnsi="Calibri"/>
          <w:sz w:val="21"/>
        </w:rPr>
        <w:t>evaluate</w:t>
      </w:r>
      <w:r w:rsidRPr="00EB2BD8">
        <w:rPr>
          <w:rFonts w:ascii="Calibri" w:hAnsi="Calibri"/>
          <w:spacing w:val="-5"/>
          <w:sz w:val="21"/>
        </w:rPr>
        <w:t xml:space="preserve"> </w:t>
      </w:r>
      <w:r w:rsidRPr="00EB2BD8">
        <w:rPr>
          <w:rFonts w:ascii="Calibri" w:hAnsi="Calibri"/>
          <w:sz w:val="21"/>
        </w:rPr>
        <w:t>the</w:t>
      </w:r>
      <w:r w:rsidRPr="00EB2BD8">
        <w:rPr>
          <w:rFonts w:ascii="Calibri" w:hAnsi="Calibri"/>
          <w:spacing w:val="-3"/>
          <w:sz w:val="21"/>
        </w:rPr>
        <w:t xml:space="preserve"> </w:t>
      </w:r>
      <w:r w:rsidRPr="00EB2BD8">
        <w:rPr>
          <w:rFonts w:ascii="Calibri" w:hAnsi="Calibri"/>
          <w:sz w:val="21"/>
        </w:rPr>
        <w:t>appropriateness</w:t>
      </w:r>
      <w:r w:rsidRPr="00EB2BD8">
        <w:rPr>
          <w:rFonts w:ascii="Calibri" w:hAnsi="Calibri"/>
          <w:spacing w:val="-4"/>
          <w:sz w:val="21"/>
        </w:rPr>
        <w:t xml:space="preserve"> </w:t>
      </w:r>
      <w:r w:rsidRPr="00EB2BD8">
        <w:rPr>
          <w:rFonts w:ascii="Calibri" w:hAnsi="Calibri"/>
          <w:sz w:val="21"/>
        </w:rPr>
        <w:t>of</w:t>
      </w:r>
      <w:r w:rsidRPr="00EB2BD8">
        <w:rPr>
          <w:rFonts w:ascii="Calibri" w:hAnsi="Calibri"/>
          <w:spacing w:val="-3"/>
          <w:sz w:val="21"/>
        </w:rPr>
        <w:t xml:space="preserve"> </w:t>
      </w:r>
      <w:r w:rsidRPr="00EB2BD8">
        <w:rPr>
          <w:rFonts w:ascii="Calibri" w:hAnsi="Calibri"/>
          <w:sz w:val="21"/>
        </w:rPr>
        <w:t>accounting</w:t>
      </w:r>
      <w:r w:rsidRPr="00EB2BD8">
        <w:rPr>
          <w:rFonts w:ascii="Calibri" w:hAnsi="Calibri"/>
          <w:spacing w:val="-4"/>
          <w:sz w:val="21"/>
        </w:rPr>
        <w:t xml:space="preserve"> </w:t>
      </w:r>
      <w:r w:rsidRPr="00EB2BD8">
        <w:rPr>
          <w:rFonts w:ascii="Calibri" w:hAnsi="Calibri"/>
          <w:sz w:val="21"/>
        </w:rPr>
        <w:t>policies</w:t>
      </w:r>
      <w:r w:rsidRPr="00EB2BD8">
        <w:rPr>
          <w:rFonts w:ascii="Calibri" w:hAnsi="Calibri"/>
          <w:spacing w:val="-3"/>
          <w:sz w:val="21"/>
        </w:rPr>
        <w:t xml:space="preserve"> </w:t>
      </w:r>
      <w:r w:rsidRPr="00EB2BD8">
        <w:rPr>
          <w:rFonts w:ascii="Calibri" w:hAnsi="Calibri"/>
          <w:sz w:val="21"/>
        </w:rPr>
        <w:t>used</w:t>
      </w:r>
      <w:r w:rsidRPr="00EB2BD8">
        <w:rPr>
          <w:rFonts w:ascii="Calibri" w:hAnsi="Calibri"/>
          <w:spacing w:val="-6"/>
          <w:sz w:val="21"/>
        </w:rPr>
        <w:t xml:space="preserve"> </w:t>
      </w:r>
      <w:r w:rsidRPr="00EB2BD8">
        <w:rPr>
          <w:rFonts w:ascii="Calibri" w:hAnsi="Calibri"/>
          <w:sz w:val="21"/>
        </w:rPr>
        <w:t>and</w:t>
      </w:r>
      <w:r w:rsidRPr="00EB2BD8">
        <w:rPr>
          <w:rFonts w:ascii="Calibri" w:hAnsi="Calibri"/>
          <w:spacing w:val="-4"/>
          <w:sz w:val="21"/>
        </w:rPr>
        <w:t xml:space="preserve"> </w:t>
      </w:r>
      <w:r w:rsidRPr="00EB2BD8">
        <w:rPr>
          <w:rFonts w:ascii="Calibri" w:hAnsi="Calibri"/>
          <w:sz w:val="21"/>
        </w:rPr>
        <w:t>the</w:t>
      </w:r>
      <w:r w:rsidRPr="00EB2BD8">
        <w:rPr>
          <w:rFonts w:ascii="Calibri" w:hAnsi="Calibri"/>
          <w:spacing w:val="-3"/>
          <w:sz w:val="21"/>
        </w:rPr>
        <w:t xml:space="preserve"> </w:t>
      </w:r>
      <w:r w:rsidRPr="00EB2BD8">
        <w:rPr>
          <w:rFonts w:ascii="Calibri" w:hAnsi="Calibri"/>
          <w:sz w:val="21"/>
        </w:rPr>
        <w:t>reasonableness</w:t>
      </w:r>
      <w:r w:rsidRPr="00EB2BD8">
        <w:rPr>
          <w:rFonts w:ascii="Calibri" w:hAnsi="Calibri"/>
          <w:spacing w:val="-5"/>
          <w:sz w:val="21"/>
        </w:rPr>
        <w:t xml:space="preserve"> </w:t>
      </w:r>
      <w:r w:rsidRPr="00EB2BD8">
        <w:rPr>
          <w:rFonts w:ascii="Calibri" w:hAnsi="Calibri"/>
          <w:sz w:val="21"/>
        </w:rPr>
        <w:t>of accounting estimates and related disclosures made by the Board</w:t>
      </w:r>
    </w:p>
    <w:p w14:paraId="470B3DBA" w14:textId="77777777" w:rsidR="00084F36" w:rsidRPr="00EB2BD8" w:rsidRDefault="00EB2BD8">
      <w:pPr>
        <w:pStyle w:val="ListParagraph"/>
        <w:numPr>
          <w:ilvl w:val="0"/>
          <w:numId w:val="51"/>
        </w:numPr>
        <w:tabs>
          <w:tab w:val="left" w:pos="741"/>
        </w:tabs>
        <w:spacing w:line="276" w:lineRule="auto"/>
        <w:ind w:left="741" w:right="1654"/>
        <w:rPr>
          <w:rFonts w:ascii="Calibri" w:hAnsi="Calibri"/>
          <w:sz w:val="21"/>
        </w:rPr>
      </w:pPr>
      <w:r w:rsidRPr="00EB2BD8">
        <w:rPr>
          <w:rFonts w:ascii="Calibri" w:hAnsi="Calibri"/>
          <w:sz w:val="21"/>
        </w:rPr>
        <w:t>conclude on the appropriateness of the Board’s use of the going concern basis of accounting and, based on the audit evidence obtained, whether a material uncertainty exists related to events or conditions that may cast significant doubt on the authority’s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w:t>
      </w:r>
      <w:r w:rsidRPr="00EB2BD8">
        <w:rPr>
          <w:rFonts w:ascii="Calibri" w:hAnsi="Calibri"/>
          <w:spacing w:val="-2"/>
          <w:sz w:val="21"/>
        </w:rPr>
        <w:t xml:space="preserve"> </w:t>
      </w:r>
      <w:r w:rsidRPr="00EB2BD8">
        <w:rPr>
          <w:rFonts w:ascii="Calibri" w:hAnsi="Calibri"/>
          <w:sz w:val="21"/>
        </w:rPr>
        <w:t>date</w:t>
      </w:r>
      <w:r w:rsidRPr="00EB2BD8">
        <w:rPr>
          <w:rFonts w:ascii="Calibri" w:hAnsi="Calibri"/>
          <w:spacing w:val="-2"/>
          <w:sz w:val="21"/>
        </w:rPr>
        <w:t xml:space="preserve"> </w:t>
      </w:r>
      <w:r w:rsidRPr="00EB2BD8">
        <w:rPr>
          <w:rFonts w:ascii="Calibri" w:hAnsi="Calibri"/>
          <w:sz w:val="21"/>
        </w:rPr>
        <w:t>of</w:t>
      </w:r>
      <w:r w:rsidRPr="00EB2BD8">
        <w:rPr>
          <w:rFonts w:ascii="Calibri" w:hAnsi="Calibri"/>
          <w:spacing w:val="-2"/>
          <w:sz w:val="21"/>
        </w:rPr>
        <w:t xml:space="preserve"> </w:t>
      </w:r>
      <w:r w:rsidRPr="00EB2BD8">
        <w:rPr>
          <w:rFonts w:ascii="Calibri" w:hAnsi="Calibri"/>
          <w:sz w:val="21"/>
        </w:rPr>
        <w:t>my</w:t>
      </w:r>
      <w:r w:rsidRPr="00EB2BD8">
        <w:rPr>
          <w:rFonts w:ascii="Calibri" w:hAnsi="Calibri"/>
          <w:spacing w:val="-2"/>
          <w:sz w:val="21"/>
        </w:rPr>
        <w:t xml:space="preserve"> </w:t>
      </w:r>
      <w:r w:rsidRPr="00EB2BD8">
        <w:rPr>
          <w:rFonts w:ascii="Calibri" w:hAnsi="Calibri"/>
          <w:sz w:val="21"/>
        </w:rPr>
        <w:t>auditor’s</w:t>
      </w:r>
      <w:r w:rsidRPr="00EB2BD8">
        <w:rPr>
          <w:rFonts w:ascii="Calibri" w:hAnsi="Calibri"/>
          <w:spacing w:val="-5"/>
          <w:sz w:val="21"/>
        </w:rPr>
        <w:t xml:space="preserve"> </w:t>
      </w:r>
      <w:r w:rsidRPr="00EB2BD8">
        <w:rPr>
          <w:rFonts w:ascii="Calibri" w:hAnsi="Calibri"/>
          <w:sz w:val="21"/>
        </w:rPr>
        <w:t>report.</w:t>
      </w:r>
      <w:r w:rsidRPr="00EB2BD8">
        <w:rPr>
          <w:rFonts w:ascii="Calibri" w:hAnsi="Calibri"/>
          <w:spacing w:val="-5"/>
          <w:sz w:val="21"/>
        </w:rPr>
        <w:t xml:space="preserve"> </w:t>
      </w:r>
      <w:r w:rsidRPr="00EB2BD8">
        <w:rPr>
          <w:rFonts w:ascii="Calibri" w:hAnsi="Calibri"/>
          <w:sz w:val="21"/>
        </w:rPr>
        <w:t>However,</w:t>
      </w:r>
      <w:r w:rsidRPr="00EB2BD8">
        <w:rPr>
          <w:rFonts w:ascii="Calibri" w:hAnsi="Calibri"/>
          <w:spacing w:val="-4"/>
          <w:sz w:val="21"/>
        </w:rPr>
        <w:t xml:space="preserve"> </w:t>
      </w:r>
      <w:r w:rsidRPr="00EB2BD8">
        <w:rPr>
          <w:rFonts w:ascii="Calibri" w:hAnsi="Calibri"/>
          <w:sz w:val="21"/>
        </w:rPr>
        <w:t>future</w:t>
      </w:r>
      <w:r w:rsidRPr="00EB2BD8">
        <w:rPr>
          <w:rFonts w:ascii="Calibri" w:hAnsi="Calibri"/>
          <w:spacing w:val="-4"/>
          <w:sz w:val="21"/>
        </w:rPr>
        <w:t xml:space="preserve"> </w:t>
      </w:r>
      <w:r w:rsidRPr="00EB2BD8">
        <w:rPr>
          <w:rFonts w:ascii="Calibri" w:hAnsi="Calibri"/>
          <w:sz w:val="21"/>
        </w:rPr>
        <w:t>events</w:t>
      </w:r>
      <w:r w:rsidRPr="00EB2BD8">
        <w:rPr>
          <w:rFonts w:ascii="Calibri" w:hAnsi="Calibri"/>
          <w:spacing w:val="-5"/>
          <w:sz w:val="21"/>
        </w:rPr>
        <w:t xml:space="preserve"> </w:t>
      </w:r>
      <w:r w:rsidRPr="00EB2BD8">
        <w:rPr>
          <w:rFonts w:ascii="Calibri" w:hAnsi="Calibri"/>
          <w:sz w:val="21"/>
        </w:rPr>
        <w:t>or</w:t>
      </w:r>
      <w:r w:rsidRPr="00EB2BD8">
        <w:rPr>
          <w:rFonts w:ascii="Calibri" w:hAnsi="Calibri"/>
          <w:spacing w:val="-2"/>
          <w:sz w:val="21"/>
        </w:rPr>
        <w:t xml:space="preserve"> </w:t>
      </w:r>
      <w:r w:rsidRPr="00EB2BD8">
        <w:rPr>
          <w:rFonts w:ascii="Calibri" w:hAnsi="Calibri"/>
          <w:sz w:val="21"/>
        </w:rPr>
        <w:t>conditions</w:t>
      </w:r>
      <w:r w:rsidRPr="00EB2BD8">
        <w:rPr>
          <w:rFonts w:ascii="Calibri" w:hAnsi="Calibri"/>
          <w:spacing w:val="-4"/>
          <w:sz w:val="21"/>
        </w:rPr>
        <w:t xml:space="preserve"> </w:t>
      </w:r>
      <w:r w:rsidRPr="00EB2BD8">
        <w:rPr>
          <w:rFonts w:ascii="Calibri" w:hAnsi="Calibri"/>
          <w:sz w:val="21"/>
        </w:rPr>
        <w:t>may</w:t>
      </w:r>
      <w:r w:rsidRPr="00EB2BD8">
        <w:rPr>
          <w:rFonts w:ascii="Calibri" w:hAnsi="Calibri"/>
          <w:spacing w:val="-4"/>
          <w:sz w:val="21"/>
        </w:rPr>
        <w:t xml:space="preserve"> </w:t>
      </w:r>
      <w:r w:rsidRPr="00EB2BD8">
        <w:rPr>
          <w:rFonts w:ascii="Calibri" w:hAnsi="Calibri"/>
          <w:sz w:val="21"/>
        </w:rPr>
        <w:t>cause</w:t>
      </w:r>
      <w:r w:rsidRPr="00EB2BD8">
        <w:rPr>
          <w:rFonts w:ascii="Calibri" w:hAnsi="Calibri"/>
          <w:spacing w:val="-4"/>
          <w:sz w:val="21"/>
        </w:rPr>
        <w:t xml:space="preserve"> </w:t>
      </w:r>
      <w:r w:rsidRPr="00EB2BD8">
        <w:rPr>
          <w:rFonts w:ascii="Calibri" w:hAnsi="Calibri"/>
          <w:sz w:val="21"/>
        </w:rPr>
        <w:t>the authority to cease to continue as a going concern.</w:t>
      </w:r>
    </w:p>
    <w:p w14:paraId="154BD0A7" w14:textId="77777777" w:rsidR="00084F36" w:rsidRPr="00EB2BD8" w:rsidRDefault="00EB2BD8">
      <w:pPr>
        <w:pStyle w:val="ListParagraph"/>
        <w:numPr>
          <w:ilvl w:val="0"/>
          <w:numId w:val="51"/>
        </w:numPr>
        <w:tabs>
          <w:tab w:val="left" w:pos="741"/>
        </w:tabs>
        <w:spacing w:before="1" w:line="276" w:lineRule="auto"/>
        <w:ind w:left="741" w:right="1638"/>
        <w:rPr>
          <w:rFonts w:ascii="Calibri" w:hAnsi="Calibri"/>
          <w:sz w:val="21"/>
        </w:rPr>
      </w:pPr>
      <w:r w:rsidRPr="00EB2BD8">
        <w:rPr>
          <w:rFonts w:ascii="Calibri" w:hAnsi="Calibri"/>
          <w:sz w:val="21"/>
        </w:rPr>
        <w:t>evaluate the overall presentation, structure and content of the financial report, including</w:t>
      </w:r>
      <w:r w:rsidRPr="00EB2BD8">
        <w:rPr>
          <w:rFonts w:ascii="Calibri" w:hAnsi="Calibri"/>
          <w:spacing w:val="-4"/>
          <w:sz w:val="21"/>
        </w:rPr>
        <w:t xml:space="preserve"> </w:t>
      </w:r>
      <w:r w:rsidRPr="00EB2BD8">
        <w:rPr>
          <w:rFonts w:ascii="Calibri" w:hAnsi="Calibri"/>
          <w:sz w:val="21"/>
        </w:rPr>
        <w:t>the</w:t>
      </w:r>
      <w:r w:rsidRPr="00EB2BD8">
        <w:rPr>
          <w:rFonts w:ascii="Calibri" w:hAnsi="Calibri"/>
          <w:spacing w:val="-3"/>
          <w:sz w:val="21"/>
        </w:rPr>
        <w:t xml:space="preserve"> </w:t>
      </w:r>
      <w:r w:rsidRPr="00EB2BD8">
        <w:rPr>
          <w:rFonts w:ascii="Calibri" w:hAnsi="Calibri"/>
          <w:sz w:val="21"/>
        </w:rPr>
        <w:t>disclosures,</w:t>
      </w:r>
      <w:r w:rsidRPr="00EB2BD8">
        <w:rPr>
          <w:rFonts w:ascii="Calibri" w:hAnsi="Calibri"/>
          <w:spacing w:val="-3"/>
          <w:sz w:val="21"/>
        </w:rPr>
        <w:t xml:space="preserve"> </w:t>
      </w:r>
      <w:r w:rsidRPr="00EB2BD8">
        <w:rPr>
          <w:rFonts w:ascii="Calibri" w:hAnsi="Calibri"/>
          <w:sz w:val="21"/>
        </w:rPr>
        <w:t>and</w:t>
      </w:r>
      <w:r w:rsidRPr="00EB2BD8">
        <w:rPr>
          <w:rFonts w:ascii="Calibri" w:hAnsi="Calibri"/>
          <w:spacing w:val="-4"/>
          <w:sz w:val="21"/>
        </w:rPr>
        <w:t xml:space="preserve"> </w:t>
      </w:r>
      <w:r w:rsidRPr="00EB2BD8">
        <w:rPr>
          <w:rFonts w:ascii="Calibri" w:hAnsi="Calibri"/>
          <w:sz w:val="21"/>
        </w:rPr>
        <w:t>whether</w:t>
      </w:r>
      <w:r w:rsidRPr="00EB2BD8">
        <w:rPr>
          <w:rFonts w:ascii="Calibri" w:hAnsi="Calibri"/>
          <w:spacing w:val="-5"/>
          <w:sz w:val="21"/>
        </w:rPr>
        <w:t xml:space="preserve"> </w:t>
      </w:r>
      <w:r w:rsidRPr="00EB2BD8">
        <w:rPr>
          <w:rFonts w:ascii="Calibri" w:hAnsi="Calibri"/>
          <w:sz w:val="21"/>
        </w:rPr>
        <w:t>the</w:t>
      </w:r>
      <w:r w:rsidRPr="00EB2BD8">
        <w:rPr>
          <w:rFonts w:ascii="Calibri" w:hAnsi="Calibri"/>
          <w:spacing w:val="-5"/>
          <w:sz w:val="21"/>
        </w:rPr>
        <w:t xml:space="preserve"> </w:t>
      </w:r>
      <w:r w:rsidRPr="00EB2BD8">
        <w:rPr>
          <w:rFonts w:ascii="Calibri" w:hAnsi="Calibri"/>
          <w:sz w:val="21"/>
        </w:rPr>
        <w:t>financial</w:t>
      </w:r>
      <w:r w:rsidRPr="00EB2BD8">
        <w:rPr>
          <w:rFonts w:ascii="Calibri" w:hAnsi="Calibri"/>
          <w:spacing w:val="-4"/>
          <w:sz w:val="21"/>
        </w:rPr>
        <w:t xml:space="preserve"> </w:t>
      </w:r>
      <w:r w:rsidRPr="00EB2BD8">
        <w:rPr>
          <w:rFonts w:ascii="Calibri" w:hAnsi="Calibri"/>
          <w:sz w:val="21"/>
        </w:rPr>
        <w:t>report</w:t>
      </w:r>
      <w:r w:rsidRPr="00EB2BD8">
        <w:rPr>
          <w:rFonts w:ascii="Calibri" w:hAnsi="Calibri"/>
          <w:spacing w:val="-4"/>
          <w:sz w:val="21"/>
        </w:rPr>
        <w:t xml:space="preserve"> </w:t>
      </w:r>
      <w:r w:rsidRPr="00EB2BD8">
        <w:rPr>
          <w:rFonts w:ascii="Calibri" w:hAnsi="Calibri"/>
          <w:sz w:val="21"/>
        </w:rPr>
        <w:t>represents</w:t>
      </w:r>
      <w:r w:rsidRPr="00EB2BD8">
        <w:rPr>
          <w:rFonts w:ascii="Calibri" w:hAnsi="Calibri"/>
          <w:spacing w:val="-6"/>
          <w:sz w:val="21"/>
        </w:rPr>
        <w:t xml:space="preserve"> </w:t>
      </w:r>
      <w:r w:rsidRPr="00EB2BD8">
        <w:rPr>
          <w:rFonts w:ascii="Calibri" w:hAnsi="Calibri"/>
          <w:sz w:val="21"/>
        </w:rPr>
        <w:t>the</w:t>
      </w:r>
      <w:r w:rsidRPr="00EB2BD8">
        <w:rPr>
          <w:rFonts w:ascii="Calibri" w:hAnsi="Calibri"/>
          <w:spacing w:val="-5"/>
          <w:sz w:val="21"/>
        </w:rPr>
        <w:t xml:space="preserve"> </w:t>
      </w:r>
      <w:r w:rsidRPr="00EB2BD8">
        <w:rPr>
          <w:rFonts w:ascii="Calibri" w:hAnsi="Calibri"/>
          <w:sz w:val="21"/>
        </w:rPr>
        <w:t>underlying transactions and events in a manner that achieves fair presentation.</w:t>
      </w:r>
    </w:p>
    <w:p w14:paraId="18906678" w14:textId="77777777" w:rsidR="00084F36" w:rsidRPr="00EB2BD8" w:rsidRDefault="00EB2BD8">
      <w:pPr>
        <w:spacing w:before="122" w:line="276" w:lineRule="auto"/>
        <w:ind w:left="174" w:right="1580"/>
        <w:rPr>
          <w:rFonts w:ascii="Calibri"/>
          <w:sz w:val="21"/>
        </w:rPr>
      </w:pPr>
      <w:r w:rsidRPr="00EB2BD8">
        <w:rPr>
          <w:rFonts w:ascii="Calibri"/>
          <w:sz w:val="21"/>
        </w:rPr>
        <w:t>I communicate with the Board regarding, among other matters, the planned scope and timing</w:t>
      </w:r>
      <w:r w:rsidRPr="00EB2BD8">
        <w:rPr>
          <w:rFonts w:ascii="Calibri"/>
          <w:spacing w:val="-4"/>
          <w:sz w:val="21"/>
        </w:rPr>
        <w:t xml:space="preserve"> </w:t>
      </w:r>
      <w:r w:rsidRPr="00EB2BD8">
        <w:rPr>
          <w:rFonts w:ascii="Calibri"/>
          <w:sz w:val="21"/>
        </w:rPr>
        <w:t>of</w:t>
      </w:r>
      <w:r w:rsidRPr="00EB2BD8">
        <w:rPr>
          <w:rFonts w:ascii="Calibri"/>
          <w:spacing w:val="-6"/>
          <w:sz w:val="21"/>
        </w:rPr>
        <w:t xml:space="preserve"> </w:t>
      </w:r>
      <w:r w:rsidRPr="00EB2BD8">
        <w:rPr>
          <w:rFonts w:ascii="Calibri"/>
          <w:sz w:val="21"/>
        </w:rPr>
        <w:t>the</w:t>
      </w:r>
      <w:r w:rsidRPr="00EB2BD8">
        <w:rPr>
          <w:rFonts w:ascii="Calibri"/>
          <w:spacing w:val="-5"/>
          <w:sz w:val="21"/>
        </w:rPr>
        <w:t xml:space="preserve"> </w:t>
      </w:r>
      <w:r w:rsidRPr="00EB2BD8">
        <w:rPr>
          <w:rFonts w:ascii="Calibri"/>
          <w:sz w:val="21"/>
        </w:rPr>
        <w:t>audit</w:t>
      </w:r>
      <w:r w:rsidRPr="00EB2BD8">
        <w:rPr>
          <w:rFonts w:ascii="Calibri"/>
          <w:spacing w:val="-2"/>
          <w:sz w:val="21"/>
        </w:rPr>
        <w:t xml:space="preserve"> </w:t>
      </w:r>
      <w:r w:rsidRPr="00EB2BD8">
        <w:rPr>
          <w:rFonts w:ascii="Calibri"/>
          <w:sz w:val="21"/>
        </w:rPr>
        <w:t>and</w:t>
      </w:r>
      <w:r w:rsidRPr="00EB2BD8">
        <w:rPr>
          <w:rFonts w:ascii="Calibri"/>
          <w:spacing w:val="-3"/>
          <w:sz w:val="21"/>
        </w:rPr>
        <w:t xml:space="preserve"> </w:t>
      </w:r>
      <w:r w:rsidRPr="00EB2BD8">
        <w:rPr>
          <w:rFonts w:ascii="Calibri"/>
          <w:sz w:val="21"/>
        </w:rPr>
        <w:t>significant</w:t>
      </w:r>
      <w:r w:rsidRPr="00EB2BD8">
        <w:rPr>
          <w:rFonts w:ascii="Calibri"/>
          <w:spacing w:val="-2"/>
          <w:sz w:val="21"/>
        </w:rPr>
        <w:t xml:space="preserve"> </w:t>
      </w:r>
      <w:r w:rsidRPr="00EB2BD8">
        <w:rPr>
          <w:rFonts w:ascii="Calibri"/>
          <w:sz w:val="21"/>
        </w:rPr>
        <w:t>audit</w:t>
      </w:r>
      <w:r w:rsidRPr="00EB2BD8">
        <w:rPr>
          <w:rFonts w:ascii="Calibri"/>
          <w:spacing w:val="-2"/>
          <w:sz w:val="21"/>
        </w:rPr>
        <w:t xml:space="preserve"> </w:t>
      </w:r>
      <w:r w:rsidRPr="00EB2BD8">
        <w:rPr>
          <w:rFonts w:ascii="Calibri"/>
          <w:sz w:val="21"/>
        </w:rPr>
        <w:t>findings,</w:t>
      </w:r>
      <w:r w:rsidRPr="00EB2BD8">
        <w:rPr>
          <w:rFonts w:ascii="Calibri"/>
          <w:spacing w:val="-3"/>
          <w:sz w:val="21"/>
        </w:rPr>
        <w:t xml:space="preserve"> </w:t>
      </w:r>
      <w:r w:rsidRPr="00EB2BD8">
        <w:rPr>
          <w:rFonts w:ascii="Calibri"/>
          <w:sz w:val="21"/>
        </w:rPr>
        <w:t>including</w:t>
      </w:r>
      <w:r w:rsidRPr="00EB2BD8">
        <w:rPr>
          <w:rFonts w:ascii="Calibri"/>
          <w:spacing w:val="-4"/>
          <w:sz w:val="21"/>
        </w:rPr>
        <w:t xml:space="preserve"> </w:t>
      </w:r>
      <w:r w:rsidRPr="00EB2BD8">
        <w:rPr>
          <w:rFonts w:ascii="Calibri"/>
          <w:sz w:val="21"/>
        </w:rPr>
        <w:t>any</w:t>
      </w:r>
      <w:r w:rsidRPr="00EB2BD8">
        <w:rPr>
          <w:rFonts w:ascii="Calibri"/>
          <w:spacing w:val="-3"/>
          <w:sz w:val="21"/>
        </w:rPr>
        <w:t xml:space="preserve"> </w:t>
      </w:r>
      <w:r w:rsidRPr="00EB2BD8">
        <w:rPr>
          <w:rFonts w:ascii="Calibri"/>
          <w:sz w:val="21"/>
        </w:rPr>
        <w:t>significant</w:t>
      </w:r>
      <w:r w:rsidRPr="00EB2BD8">
        <w:rPr>
          <w:rFonts w:ascii="Calibri"/>
          <w:spacing w:val="-2"/>
          <w:sz w:val="21"/>
        </w:rPr>
        <w:t xml:space="preserve"> </w:t>
      </w:r>
      <w:r w:rsidRPr="00EB2BD8">
        <w:rPr>
          <w:rFonts w:ascii="Calibri"/>
          <w:sz w:val="21"/>
        </w:rPr>
        <w:t>deficiencies</w:t>
      </w:r>
      <w:r w:rsidRPr="00EB2BD8">
        <w:rPr>
          <w:rFonts w:ascii="Calibri"/>
          <w:spacing w:val="-6"/>
          <w:sz w:val="21"/>
        </w:rPr>
        <w:t xml:space="preserve"> </w:t>
      </w:r>
      <w:r w:rsidRPr="00EB2BD8">
        <w:rPr>
          <w:rFonts w:ascii="Calibri"/>
          <w:sz w:val="21"/>
        </w:rPr>
        <w:t>in internal control that I identify during my audit.</w:t>
      </w:r>
    </w:p>
    <w:p w14:paraId="76B7CE3A" w14:textId="77777777" w:rsidR="00084F36" w:rsidRPr="00EB2BD8" w:rsidRDefault="00084F36">
      <w:pPr>
        <w:spacing w:line="276" w:lineRule="auto"/>
        <w:rPr>
          <w:rFonts w:ascii="Calibri"/>
          <w:sz w:val="21"/>
        </w:rPr>
        <w:sectPr w:rsidR="00084F36" w:rsidRPr="00EB2BD8" w:rsidSect="006D75B2">
          <w:type w:val="continuous"/>
          <w:pgSz w:w="11910" w:h="16840"/>
          <w:pgMar w:top="1920" w:right="0" w:bottom="280" w:left="0" w:header="0" w:footer="0" w:gutter="0"/>
          <w:cols w:num="2" w:space="720" w:equalWidth="0">
            <w:col w:w="2260" w:space="40"/>
            <w:col w:w="9610"/>
          </w:cols>
        </w:sectPr>
      </w:pPr>
    </w:p>
    <w:p w14:paraId="046F6F99" w14:textId="77777777" w:rsidR="00084F36" w:rsidRPr="00EB2BD8" w:rsidRDefault="00084F36">
      <w:pPr>
        <w:pStyle w:val="BodyText"/>
        <w:spacing w:before="6" w:after="1"/>
        <w:rPr>
          <w:rFonts w:ascii="Calibri"/>
          <w:sz w:val="9"/>
        </w:rPr>
      </w:pPr>
    </w:p>
    <w:p w14:paraId="4219030B" w14:textId="4B19C08B" w:rsidR="00084F36" w:rsidRPr="00EB2BD8" w:rsidRDefault="00084F36">
      <w:pPr>
        <w:pStyle w:val="BodyText"/>
        <w:spacing w:line="20" w:lineRule="exact"/>
        <w:ind w:left="825"/>
        <w:rPr>
          <w:rFonts w:ascii="Calibri"/>
          <w:sz w:val="2"/>
        </w:rPr>
      </w:pPr>
    </w:p>
    <w:p w14:paraId="54969B41" w14:textId="77777777" w:rsidR="00084F36" w:rsidRPr="00EB2BD8" w:rsidRDefault="00EB2BD8">
      <w:pPr>
        <w:pStyle w:val="BodyText"/>
        <w:spacing w:before="11"/>
        <w:rPr>
          <w:rFonts w:ascii="Calibri"/>
          <w:sz w:val="21"/>
        </w:rPr>
      </w:pPr>
      <w:r w:rsidRPr="00EB2BD8">
        <w:rPr>
          <w:noProof/>
        </w:rPr>
        <w:drawing>
          <wp:anchor distT="0" distB="0" distL="0" distR="0" simplePos="0" relativeHeight="252403712" behindDoc="1" locked="0" layoutInCell="1" allowOverlap="1" wp14:anchorId="58F04F15" wp14:editId="649A64F6">
            <wp:simplePos x="0" y="0"/>
            <wp:positionH relativeFrom="page">
              <wp:posOffset>5221817</wp:posOffset>
            </wp:positionH>
            <wp:positionV relativeFrom="paragraph">
              <wp:posOffset>185192</wp:posOffset>
            </wp:positionV>
            <wp:extent cx="1341389" cy="429768"/>
            <wp:effectExtent l="0" t="0" r="0" b="0"/>
            <wp:wrapTopAndBottom/>
            <wp:docPr id="780" name="Image 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 name="Image 780">
                      <a:extLst>
                        <a:ext uri="{C183D7F6-B498-43B3-948B-1728B52AA6E4}">
                          <adec:decorative xmlns:adec="http://schemas.microsoft.com/office/drawing/2017/decorative" val="1"/>
                        </a:ext>
                      </a:extLst>
                    </pic:cNvPr>
                    <pic:cNvPicPr/>
                  </pic:nvPicPr>
                  <pic:blipFill>
                    <a:blip r:embed="rId249" cstate="print"/>
                    <a:stretch>
                      <a:fillRect/>
                    </a:stretch>
                  </pic:blipFill>
                  <pic:spPr>
                    <a:xfrm>
                      <a:off x="0" y="0"/>
                      <a:ext cx="1341389" cy="429768"/>
                    </a:xfrm>
                    <a:prstGeom prst="rect">
                      <a:avLst/>
                    </a:prstGeom>
                  </pic:spPr>
                </pic:pic>
              </a:graphicData>
            </a:graphic>
          </wp:anchor>
        </w:drawing>
      </w:r>
    </w:p>
    <w:p w14:paraId="30CEF9C9" w14:textId="77777777" w:rsidR="00084F36" w:rsidRPr="00EB2BD8" w:rsidRDefault="00084F36">
      <w:pPr>
        <w:pStyle w:val="BodyText"/>
        <w:spacing w:before="8"/>
        <w:rPr>
          <w:rFonts w:ascii="Calibri"/>
          <w:sz w:val="5"/>
        </w:rPr>
      </w:pPr>
    </w:p>
    <w:p w14:paraId="0F516073" w14:textId="77777777" w:rsidR="00084F36" w:rsidRPr="00EB2BD8" w:rsidRDefault="00084F36">
      <w:pPr>
        <w:rPr>
          <w:rFonts w:ascii="Calibri"/>
          <w:sz w:val="5"/>
        </w:rPr>
        <w:sectPr w:rsidR="00084F36" w:rsidRPr="00EB2BD8" w:rsidSect="006D75B2">
          <w:type w:val="continuous"/>
          <w:pgSz w:w="11910" w:h="16840"/>
          <w:pgMar w:top="1920" w:right="0" w:bottom="280" w:left="0" w:header="0" w:footer="0" w:gutter="0"/>
          <w:cols w:space="720"/>
        </w:sectPr>
      </w:pPr>
    </w:p>
    <w:p w14:paraId="3FEDD9BE" w14:textId="77777777" w:rsidR="00084F36" w:rsidRPr="00EB2BD8" w:rsidRDefault="00EB2BD8">
      <w:pPr>
        <w:spacing w:before="2"/>
        <w:ind w:left="1079"/>
        <w:rPr>
          <w:rFonts w:ascii="Calibri"/>
          <w:sz w:val="21"/>
        </w:rPr>
      </w:pPr>
      <w:r w:rsidRPr="00EB2BD8">
        <w:rPr>
          <w:rFonts w:ascii="Calibri"/>
          <w:spacing w:val="-2"/>
          <w:sz w:val="21"/>
        </w:rPr>
        <w:t>MELBOURNE</w:t>
      </w:r>
    </w:p>
    <w:p w14:paraId="22C7302E" w14:textId="77777777" w:rsidR="00084F36" w:rsidRPr="00EB2BD8" w:rsidRDefault="00EB2BD8">
      <w:pPr>
        <w:spacing w:before="39"/>
        <w:ind w:left="1079"/>
        <w:rPr>
          <w:rFonts w:ascii="Calibri"/>
          <w:sz w:val="21"/>
        </w:rPr>
      </w:pPr>
      <w:r w:rsidRPr="00EB2BD8">
        <w:rPr>
          <w:rFonts w:ascii="Calibri"/>
          <w:sz w:val="21"/>
        </w:rPr>
        <w:t>21</w:t>
      </w:r>
      <w:r w:rsidRPr="00EB2BD8">
        <w:rPr>
          <w:rFonts w:ascii="Calibri"/>
          <w:spacing w:val="-7"/>
          <w:sz w:val="21"/>
        </w:rPr>
        <w:t xml:space="preserve"> </w:t>
      </w:r>
      <w:r w:rsidRPr="00EB2BD8">
        <w:rPr>
          <w:rFonts w:ascii="Calibri"/>
          <w:sz w:val="21"/>
        </w:rPr>
        <w:t>September</w:t>
      </w:r>
      <w:r w:rsidRPr="00EB2BD8">
        <w:rPr>
          <w:rFonts w:ascii="Calibri"/>
          <w:spacing w:val="-5"/>
          <w:sz w:val="21"/>
        </w:rPr>
        <w:t xml:space="preserve"> </w:t>
      </w:r>
      <w:r w:rsidRPr="00EB2BD8">
        <w:rPr>
          <w:rFonts w:ascii="Calibri"/>
          <w:spacing w:val="-4"/>
          <w:sz w:val="21"/>
        </w:rPr>
        <w:t>2023</w:t>
      </w:r>
    </w:p>
    <w:p w14:paraId="4E902C9A" w14:textId="77777777" w:rsidR="00084F36" w:rsidRPr="00EB2BD8" w:rsidRDefault="00EB2BD8">
      <w:pPr>
        <w:spacing w:before="2"/>
        <w:ind w:right="1535"/>
        <w:jc w:val="right"/>
        <w:rPr>
          <w:rFonts w:ascii="Calibri"/>
          <w:sz w:val="21"/>
        </w:rPr>
      </w:pPr>
      <w:r w:rsidRPr="00EB2BD8">
        <w:br w:type="column"/>
      </w:r>
      <w:r w:rsidRPr="00EB2BD8">
        <w:rPr>
          <w:rFonts w:ascii="Calibri"/>
          <w:sz w:val="21"/>
        </w:rPr>
        <w:t>Paul</w:t>
      </w:r>
      <w:r w:rsidRPr="00EB2BD8">
        <w:rPr>
          <w:rFonts w:ascii="Calibri"/>
          <w:spacing w:val="-2"/>
          <w:sz w:val="21"/>
        </w:rPr>
        <w:t xml:space="preserve"> Martin</w:t>
      </w:r>
    </w:p>
    <w:p w14:paraId="0C0BEC43" w14:textId="77777777" w:rsidR="00084F36" w:rsidRPr="00EB2BD8" w:rsidRDefault="00EB2BD8">
      <w:pPr>
        <w:spacing w:before="39"/>
        <w:ind w:right="1536"/>
        <w:jc w:val="right"/>
        <w:rPr>
          <w:rFonts w:ascii="Calibri"/>
          <w:i/>
          <w:sz w:val="21"/>
        </w:rPr>
      </w:pPr>
      <w:r w:rsidRPr="00EB2BD8">
        <w:rPr>
          <w:rFonts w:ascii="Calibri"/>
          <w:i/>
          <w:sz w:val="21"/>
        </w:rPr>
        <w:t>as</w:t>
      </w:r>
      <w:r w:rsidRPr="00EB2BD8">
        <w:rPr>
          <w:rFonts w:ascii="Calibri"/>
          <w:i/>
          <w:spacing w:val="-5"/>
          <w:sz w:val="21"/>
        </w:rPr>
        <w:t xml:space="preserve"> </w:t>
      </w:r>
      <w:r w:rsidRPr="00EB2BD8">
        <w:rPr>
          <w:rFonts w:ascii="Calibri"/>
          <w:i/>
          <w:sz w:val="21"/>
        </w:rPr>
        <w:t>delegate</w:t>
      </w:r>
      <w:r w:rsidRPr="00EB2BD8">
        <w:rPr>
          <w:rFonts w:ascii="Calibri"/>
          <w:i/>
          <w:spacing w:val="-7"/>
          <w:sz w:val="21"/>
        </w:rPr>
        <w:t xml:space="preserve"> </w:t>
      </w:r>
      <w:r w:rsidRPr="00EB2BD8">
        <w:rPr>
          <w:rFonts w:ascii="Calibri"/>
          <w:i/>
          <w:sz w:val="21"/>
        </w:rPr>
        <w:t>for</w:t>
      </w:r>
      <w:r w:rsidRPr="00EB2BD8">
        <w:rPr>
          <w:rFonts w:ascii="Calibri"/>
          <w:i/>
          <w:spacing w:val="-7"/>
          <w:sz w:val="21"/>
        </w:rPr>
        <w:t xml:space="preserve"> </w:t>
      </w:r>
      <w:r w:rsidRPr="00EB2BD8">
        <w:rPr>
          <w:rFonts w:ascii="Calibri"/>
          <w:i/>
          <w:sz w:val="21"/>
        </w:rPr>
        <w:t>the</w:t>
      </w:r>
      <w:r w:rsidRPr="00EB2BD8">
        <w:rPr>
          <w:rFonts w:ascii="Calibri"/>
          <w:i/>
          <w:spacing w:val="-7"/>
          <w:sz w:val="21"/>
        </w:rPr>
        <w:t xml:space="preserve"> </w:t>
      </w:r>
      <w:r w:rsidRPr="00EB2BD8">
        <w:rPr>
          <w:rFonts w:ascii="Calibri"/>
          <w:i/>
          <w:sz w:val="21"/>
        </w:rPr>
        <w:t>Auditor-General</w:t>
      </w:r>
      <w:r w:rsidRPr="00EB2BD8">
        <w:rPr>
          <w:rFonts w:ascii="Calibri"/>
          <w:i/>
          <w:spacing w:val="-4"/>
          <w:sz w:val="21"/>
        </w:rPr>
        <w:t xml:space="preserve"> </w:t>
      </w:r>
      <w:r w:rsidRPr="00EB2BD8">
        <w:rPr>
          <w:rFonts w:ascii="Calibri"/>
          <w:i/>
          <w:sz w:val="21"/>
        </w:rPr>
        <w:t>of</w:t>
      </w:r>
      <w:r w:rsidRPr="00EB2BD8">
        <w:rPr>
          <w:rFonts w:ascii="Calibri"/>
          <w:i/>
          <w:spacing w:val="-3"/>
          <w:sz w:val="21"/>
        </w:rPr>
        <w:t xml:space="preserve"> </w:t>
      </w:r>
      <w:r w:rsidRPr="00EB2BD8">
        <w:rPr>
          <w:rFonts w:ascii="Calibri"/>
          <w:i/>
          <w:spacing w:val="-2"/>
          <w:sz w:val="21"/>
        </w:rPr>
        <w:t>Victoria</w:t>
      </w:r>
    </w:p>
    <w:p w14:paraId="4073716D" w14:textId="77777777" w:rsidR="00084F36" w:rsidRPr="00EB2BD8" w:rsidRDefault="00084F36">
      <w:pPr>
        <w:jc w:val="right"/>
        <w:rPr>
          <w:rFonts w:ascii="Calibri"/>
          <w:sz w:val="21"/>
        </w:rPr>
        <w:sectPr w:rsidR="00084F36" w:rsidRPr="00EB2BD8" w:rsidSect="006D75B2">
          <w:type w:val="continuous"/>
          <w:pgSz w:w="11910" w:h="16840"/>
          <w:pgMar w:top="1920" w:right="0" w:bottom="280" w:left="0" w:header="0" w:footer="0" w:gutter="0"/>
          <w:cols w:num="2" w:space="720" w:equalWidth="0">
            <w:col w:w="2796" w:space="2547"/>
            <w:col w:w="6567"/>
          </w:cols>
        </w:sectPr>
      </w:pPr>
    </w:p>
    <w:p w14:paraId="6A8F2B37" w14:textId="77777777" w:rsidR="00084F36" w:rsidRPr="00EB2BD8" w:rsidRDefault="00084F36">
      <w:pPr>
        <w:pStyle w:val="BodyText"/>
        <w:rPr>
          <w:sz w:val="20"/>
        </w:rPr>
      </w:pPr>
    </w:p>
    <w:p w14:paraId="1179CDFA" w14:textId="77777777" w:rsidR="00084F36" w:rsidRPr="00EB2BD8" w:rsidRDefault="00084F36">
      <w:pPr>
        <w:pStyle w:val="BodyText"/>
        <w:rPr>
          <w:sz w:val="20"/>
        </w:rPr>
      </w:pPr>
    </w:p>
    <w:p w14:paraId="08DFA001" w14:textId="77777777" w:rsidR="00084F36" w:rsidRPr="00EB2BD8" w:rsidRDefault="00084F36">
      <w:pPr>
        <w:pStyle w:val="BodyText"/>
        <w:rPr>
          <w:sz w:val="20"/>
        </w:rPr>
      </w:pPr>
    </w:p>
    <w:p w14:paraId="0609F1FA" w14:textId="77777777" w:rsidR="00084F36" w:rsidRPr="00EB2BD8" w:rsidRDefault="00084F36">
      <w:pPr>
        <w:pStyle w:val="BodyText"/>
        <w:rPr>
          <w:sz w:val="20"/>
        </w:rPr>
      </w:pPr>
    </w:p>
    <w:p w14:paraId="4694AC5B" w14:textId="77777777" w:rsidR="00084F36" w:rsidRPr="00EB2BD8" w:rsidRDefault="00084F36">
      <w:pPr>
        <w:pStyle w:val="BodyText"/>
        <w:rPr>
          <w:sz w:val="20"/>
        </w:rPr>
      </w:pPr>
    </w:p>
    <w:p w14:paraId="50A50329" w14:textId="77777777" w:rsidR="00084F36" w:rsidRPr="00EB2BD8" w:rsidRDefault="00084F36">
      <w:pPr>
        <w:pStyle w:val="BodyText"/>
        <w:spacing w:before="7"/>
        <w:rPr>
          <w:sz w:val="21"/>
        </w:rPr>
      </w:pPr>
    </w:p>
    <w:p w14:paraId="65772F82" w14:textId="5E9F7192" w:rsidR="00084F36" w:rsidRPr="00EB2BD8" w:rsidRDefault="00436F78" w:rsidP="00436F78">
      <w:pPr>
        <w:pStyle w:val="Heading2"/>
      </w:pPr>
      <w:r>
        <w:t xml:space="preserve"> </w:t>
      </w:r>
      <w:bookmarkStart w:id="242" w:name="_Toc150762544"/>
      <w:r>
        <w:t>C</w:t>
      </w:r>
      <w:r w:rsidRPr="00EB2BD8">
        <w:t>omprehensive operating statement</w:t>
      </w:r>
      <w:r w:rsidR="00EB2BD8" w:rsidRPr="00EB2BD8">
        <w:rPr>
          <w:vertAlign w:val="superscript"/>
        </w:rPr>
        <w:t>(a)</w:t>
      </w:r>
      <w:r w:rsidR="00EB2BD8" w:rsidRPr="00EB2BD8">
        <w:t xml:space="preserve"> </w:t>
      </w:r>
      <w:r w:rsidRPr="00EB2BD8">
        <w:t>for</w:t>
      </w:r>
      <w:r w:rsidRPr="00EB2BD8">
        <w:rPr>
          <w:spacing w:val="-6"/>
        </w:rPr>
        <w:t xml:space="preserve"> </w:t>
      </w:r>
      <w:r w:rsidRPr="00EB2BD8">
        <w:t>the</w:t>
      </w:r>
      <w:r w:rsidRPr="00EB2BD8">
        <w:rPr>
          <w:spacing w:val="-5"/>
        </w:rPr>
        <w:t xml:space="preserve"> </w:t>
      </w:r>
      <w:r w:rsidRPr="00EB2BD8">
        <w:t>financial</w:t>
      </w:r>
      <w:r w:rsidRPr="00EB2BD8">
        <w:rPr>
          <w:spacing w:val="-5"/>
        </w:rPr>
        <w:t xml:space="preserve"> </w:t>
      </w:r>
      <w:r w:rsidRPr="00EB2BD8">
        <w:t>year</w:t>
      </w:r>
      <w:r w:rsidRPr="00EB2BD8">
        <w:rPr>
          <w:spacing w:val="-6"/>
        </w:rPr>
        <w:t xml:space="preserve"> </w:t>
      </w:r>
      <w:r>
        <w:rPr>
          <w:spacing w:val="-6"/>
        </w:rPr>
        <w:br/>
      </w:r>
      <w:r>
        <w:t xml:space="preserve"> </w:t>
      </w:r>
      <w:r w:rsidRPr="00EB2BD8">
        <w:t>ended</w:t>
      </w:r>
      <w:r w:rsidRPr="00EB2BD8">
        <w:rPr>
          <w:spacing w:val="-6"/>
        </w:rPr>
        <w:t xml:space="preserve"> </w:t>
      </w:r>
      <w:r w:rsidRPr="00EB2BD8">
        <w:t>30</w:t>
      </w:r>
      <w:r w:rsidRPr="00EB2BD8">
        <w:rPr>
          <w:spacing w:val="-5"/>
        </w:rPr>
        <w:t xml:space="preserve"> </w:t>
      </w:r>
      <w:r w:rsidRPr="00EB2BD8">
        <w:t>June</w:t>
      </w:r>
      <w:r w:rsidRPr="00EB2BD8">
        <w:rPr>
          <w:spacing w:val="-4"/>
        </w:rPr>
        <w:t xml:space="preserve"> </w:t>
      </w:r>
      <w:r w:rsidRPr="00EB2BD8">
        <w:t>2023</w:t>
      </w:r>
      <w:bookmarkEnd w:id="242"/>
    </w:p>
    <w:p w14:paraId="2866727B" w14:textId="77777777" w:rsidR="00084F36" w:rsidRPr="00EB2BD8" w:rsidRDefault="00084F36">
      <w:pPr>
        <w:pStyle w:val="BodyText"/>
        <w:spacing w:before="9"/>
        <w:rPr>
          <w:rFonts w:ascii="Arial"/>
          <w:b/>
          <w:sz w:val="25"/>
        </w:rPr>
      </w:pPr>
    </w:p>
    <w:p w14:paraId="7D42B3DE" w14:textId="77777777" w:rsidR="00084F36" w:rsidRPr="00EB2BD8" w:rsidRDefault="00EB2BD8">
      <w:pPr>
        <w:pStyle w:val="BodyText"/>
        <w:spacing w:before="94"/>
        <w:ind w:right="1157"/>
        <w:jc w:val="right"/>
        <w:rPr>
          <w:rFonts w:ascii="Arial" w:hAnsi="Arial"/>
        </w:rPr>
      </w:pPr>
      <w:r w:rsidRPr="00EB2BD8">
        <w:rPr>
          <w:rFonts w:ascii="Arial" w:hAnsi="Arial"/>
          <w:spacing w:val="-2"/>
        </w:rPr>
        <w:t>($’000)</w:t>
      </w:r>
    </w:p>
    <w:p w14:paraId="02FB4E07" w14:textId="77777777" w:rsidR="00084F36" w:rsidRPr="00EB2BD8" w:rsidRDefault="00084F36">
      <w:pPr>
        <w:pStyle w:val="BodyText"/>
        <w:spacing w:before="10"/>
        <w:rPr>
          <w:rFonts w:ascii="Arial"/>
          <w:sz w:val="5"/>
        </w:rPr>
      </w:pPr>
    </w:p>
    <w:tbl>
      <w:tblPr>
        <w:tblW w:w="0" w:type="auto"/>
        <w:tblInd w:w="1082" w:type="dxa"/>
        <w:tblLayout w:type="fixed"/>
        <w:tblCellMar>
          <w:left w:w="0" w:type="dxa"/>
          <w:right w:w="0" w:type="dxa"/>
        </w:tblCellMar>
        <w:tblLook w:val="01E0" w:firstRow="1" w:lastRow="1" w:firstColumn="1" w:lastColumn="1" w:noHBand="0" w:noVBand="0"/>
      </w:tblPr>
      <w:tblGrid>
        <w:gridCol w:w="5664"/>
        <w:gridCol w:w="1423"/>
        <w:gridCol w:w="1416"/>
        <w:gridCol w:w="1274"/>
      </w:tblGrid>
      <w:tr w:rsidR="00EB2BD8" w:rsidRPr="00EB2BD8" w14:paraId="46EFAF8B" w14:textId="77777777">
        <w:trPr>
          <w:trHeight w:val="329"/>
        </w:trPr>
        <w:tc>
          <w:tcPr>
            <w:tcW w:w="7087" w:type="dxa"/>
            <w:gridSpan w:val="2"/>
            <w:tcBorders>
              <w:top w:val="single" w:sz="4" w:space="0" w:color="0098FF"/>
              <w:left w:val="single" w:sz="4" w:space="0" w:color="0098FF"/>
            </w:tcBorders>
            <w:shd w:val="clear" w:color="auto" w:fill="0070C0"/>
          </w:tcPr>
          <w:p w14:paraId="7DED181D" w14:textId="77777777" w:rsidR="00084F36" w:rsidRPr="00EB2BD8" w:rsidRDefault="00EB2BD8">
            <w:pPr>
              <w:pStyle w:val="TableParagraph"/>
              <w:spacing w:before="60"/>
              <w:ind w:right="101"/>
              <w:jc w:val="right"/>
              <w:rPr>
                <w:rFonts w:ascii="Arial"/>
                <w:b/>
                <w:sz w:val="18"/>
              </w:rPr>
            </w:pPr>
            <w:r w:rsidRPr="00EB2BD8">
              <w:rPr>
                <w:rFonts w:ascii="Arial"/>
                <w:b/>
                <w:spacing w:val="-2"/>
                <w:sz w:val="18"/>
              </w:rPr>
              <w:t>Notes</w:t>
            </w:r>
          </w:p>
        </w:tc>
        <w:tc>
          <w:tcPr>
            <w:tcW w:w="1416" w:type="dxa"/>
            <w:tcBorders>
              <w:top w:val="single" w:sz="4" w:space="0" w:color="0098FF"/>
            </w:tcBorders>
            <w:shd w:val="clear" w:color="auto" w:fill="0070C0"/>
          </w:tcPr>
          <w:p w14:paraId="0BC30BDF" w14:textId="77777777" w:rsidR="00084F36" w:rsidRPr="00EB2BD8" w:rsidRDefault="00EB2BD8">
            <w:pPr>
              <w:pStyle w:val="TableParagraph"/>
              <w:spacing w:before="60"/>
              <w:ind w:right="99"/>
              <w:jc w:val="right"/>
              <w:rPr>
                <w:rFonts w:ascii="Arial"/>
                <w:b/>
                <w:sz w:val="18"/>
              </w:rPr>
            </w:pPr>
            <w:r w:rsidRPr="00EB2BD8">
              <w:rPr>
                <w:rFonts w:ascii="Arial"/>
                <w:b/>
                <w:spacing w:val="-4"/>
                <w:sz w:val="18"/>
              </w:rPr>
              <w:t>2023</w:t>
            </w:r>
          </w:p>
        </w:tc>
        <w:tc>
          <w:tcPr>
            <w:tcW w:w="1274" w:type="dxa"/>
            <w:tcBorders>
              <w:top w:val="single" w:sz="4" w:space="0" w:color="0098FF"/>
              <w:right w:val="single" w:sz="4" w:space="0" w:color="0098FF"/>
            </w:tcBorders>
            <w:shd w:val="clear" w:color="auto" w:fill="0070C0"/>
          </w:tcPr>
          <w:p w14:paraId="54AB33D1" w14:textId="77777777" w:rsidR="00084F36" w:rsidRPr="00EB2BD8" w:rsidRDefault="00EB2BD8">
            <w:pPr>
              <w:pStyle w:val="TableParagraph"/>
              <w:spacing w:before="60"/>
              <w:ind w:right="92"/>
              <w:jc w:val="right"/>
              <w:rPr>
                <w:rFonts w:ascii="Arial"/>
                <w:b/>
                <w:sz w:val="18"/>
              </w:rPr>
            </w:pPr>
            <w:r w:rsidRPr="00EB2BD8">
              <w:rPr>
                <w:rFonts w:ascii="Arial"/>
                <w:b/>
                <w:spacing w:val="-4"/>
                <w:sz w:val="18"/>
              </w:rPr>
              <w:t>2022</w:t>
            </w:r>
          </w:p>
        </w:tc>
      </w:tr>
      <w:tr w:rsidR="00EB2BD8" w:rsidRPr="00EB2BD8" w14:paraId="0923FB6A" w14:textId="77777777">
        <w:trPr>
          <w:trHeight w:val="341"/>
        </w:trPr>
        <w:tc>
          <w:tcPr>
            <w:tcW w:w="5664" w:type="dxa"/>
            <w:shd w:val="clear" w:color="auto" w:fill="FFFFFF"/>
          </w:tcPr>
          <w:p w14:paraId="742E406F" w14:textId="77777777" w:rsidR="00084F36" w:rsidRPr="00EB2BD8" w:rsidRDefault="00EB2BD8">
            <w:pPr>
              <w:pStyle w:val="TableParagraph"/>
              <w:spacing w:before="65"/>
              <w:ind w:left="112"/>
              <w:rPr>
                <w:rFonts w:ascii="Arial"/>
                <w:b/>
                <w:sz w:val="18"/>
              </w:rPr>
            </w:pPr>
            <w:r w:rsidRPr="00EB2BD8">
              <w:rPr>
                <w:rFonts w:ascii="Arial"/>
                <w:b/>
                <w:sz w:val="18"/>
              </w:rPr>
              <w:t>Continuing</w:t>
            </w:r>
            <w:r w:rsidRPr="00EB2BD8">
              <w:rPr>
                <w:rFonts w:ascii="Arial"/>
                <w:b/>
                <w:spacing w:val="-3"/>
                <w:sz w:val="18"/>
              </w:rPr>
              <w:t xml:space="preserve"> </w:t>
            </w:r>
            <w:r w:rsidRPr="00EB2BD8">
              <w:rPr>
                <w:rFonts w:ascii="Arial"/>
                <w:b/>
                <w:spacing w:val="-2"/>
                <w:sz w:val="18"/>
              </w:rPr>
              <w:t>Operations</w:t>
            </w:r>
          </w:p>
        </w:tc>
        <w:tc>
          <w:tcPr>
            <w:tcW w:w="1423" w:type="dxa"/>
            <w:shd w:val="clear" w:color="auto" w:fill="FFFFFF"/>
          </w:tcPr>
          <w:p w14:paraId="2D6AD378" w14:textId="77777777" w:rsidR="00084F36" w:rsidRPr="00EB2BD8" w:rsidRDefault="00084F36">
            <w:pPr>
              <w:pStyle w:val="TableParagraph"/>
              <w:rPr>
                <w:rFonts w:ascii="Times New Roman"/>
                <w:sz w:val="16"/>
              </w:rPr>
            </w:pPr>
          </w:p>
        </w:tc>
        <w:tc>
          <w:tcPr>
            <w:tcW w:w="1416" w:type="dxa"/>
            <w:shd w:val="clear" w:color="auto" w:fill="DEEAF6"/>
          </w:tcPr>
          <w:p w14:paraId="763F60DB" w14:textId="77777777" w:rsidR="00084F36" w:rsidRPr="00EB2BD8" w:rsidRDefault="00084F36">
            <w:pPr>
              <w:pStyle w:val="TableParagraph"/>
              <w:rPr>
                <w:rFonts w:ascii="Times New Roman"/>
                <w:sz w:val="16"/>
              </w:rPr>
            </w:pPr>
          </w:p>
        </w:tc>
        <w:tc>
          <w:tcPr>
            <w:tcW w:w="1274" w:type="dxa"/>
            <w:shd w:val="clear" w:color="auto" w:fill="FFFFFF"/>
          </w:tcPr>
          <w:p w14:paraId="7873AF96" w14:textId="77777777" w:rsidR="00084F36" w:rsidRPr="00EB2BD8" w:rsidRDefault="00084F36">
            <w:pPr>
              <w:pStyle w:val="TableParagraph"/>
              <w:rPr>
                <w:rFonts w:ascii="Times New Roman"/>
                <w:sz w:val="16"/>
              </w:rPr>
            </w:pPr>
          </w:p>
        </w:tc>
      </w:tr>
      <w:tr w:rsidR="00EB2BD8" w:rsidRPr="00EB2BD8" w14:paraId="53F06CFE" w14:textId="77777777">
        <w:trPr>
          <w:trHeight w:val="340"/>
        </w:trPr>
        <w:tc>
          <w:tcPr>
            <w:tcW w:w="5664" w:type="dxa"/>
            <w:shd w:val="clear" w:color="auto" w:fill="FFFFFF"/>
          </w:tcPr>
          <w:p w14:paraId="4470D6F7" w14:textId="77777777" w:rsidR="00084F36" w:rsidRPr="00EB2BD8" w:rsidRDefault="00EB2BD8">
            <w:pPr>
              <w:pStyle w:val="TableParagraph"/>
              <w:spacing w:before="64"/>
              <w:ind w:left="112"/>
              <w:rPr>
                <w:rFonts w:ascii="Arial"/>
                <w:b/>
                <w:sz w:val="18"/>
              </w:rPr>
            </w:pPr>
            <w:r w:rsidRPr="00EB2BD8">
              <w:rPr>
                <w:rFonts w:ascii="Arial"/>
                <w:b/>
                <w:sz w:val="18"/>
              </w:rPr>
              <w:t>Revenue</w:t>
            </w:r>
            <w:r w:rsidRPr="00EB2BD8">
              <w:rPr>
                <w:rFonts w:ascii="Arial"/>
                <w:b/>
                <w:spacing w:val="-3"/>
                <w:sz w:val="18"/>
              </w:rPr>
              <w:t xml:space="preserve"> </w:t>
            </w:r>
            <w:r w:rsidRPr="00EB2BD8">
              <w:rPr>
                <w:rFonts w:ascii="Arial"/>
                <w:b/>
                <w:sz w:val="18"/>
              </w:rPr>
              <w:t>and</w:t>
            </w:r>
            <w:r w:rsidRPr="00EB2BD8">
              <w:rPr>
                <w:rFonts w:ascii="Arial"/>
                <w:b/>
                <w:spacing w:val="-3"/>
                <w:sz w:val="18"/>
              </w:rPr>
              <w:t xml:space="preserve"> </w:t>
            </w:r>
            <w:r w:rsidRPr="00EB2BD8">
              <w:rPr>
                <w:rFonts w:ascii="Arial"/>
                <w:b/>
                <w:sz w:val="18"/>
              </w:rPr>
              <w:t>Income</w:t>
            </w:r>
            <w:r w:rsidRPr="00EB2BD8">
              <w:rPr>
                <w:rFonts w:ascii="Arial"/>
                <w:b/>
                <w:spacing w:val="-3"/>
                <w:sz w:val="18"/>
              </w:rPr>
              <w:t xml:space="preserve"> </w:t>
            </w:r>
            <w:r w:rsidRPr="00EB2BD8">
              <w:rPr>
                <w:rFonts w:ascii="Arial"/>
                <w:b/>
                <w:sz w:val="18"/>
              </w:rPr>
              <w:t>from</w:t>
            </w:r>
            <w:r w:rsidRPr="00EB2BD8">
              <w:rPr>
                <w:rFonts w:ascii="Arial"/>
                <w:b/>
                <w:spacing w:val="-2"/>
                <w:sz w:val="18"/>
              </w:rPr>
              <w:t xml:space="preserve"> transactions</w:t>
            </w:r>
          </w:p>
        </w:tc>
        <w:tc>
          <w:tcPr>
            <w:tcW w:w="1423" w:type="dxa"/>
            <w:shd w:val="clear" w:color="auto" w:fill="FFFFFF"/>
          </w:tcPr>
          <w:p w14:paraId="37F3AA2E" w14:textId="77777777" w:rsidR="00084F36" w:rsidRPr="00EB2BD8" w:rsidRDefault="00084F36">
            <w:pPr>
              <w:pStyle w:val="TableParagraph"/>
              <w:rPr>
                <w:rFonts w:ascii="Times New Roman"/>
                <w:sz w:val="16"/>
              </w:rPr>
            </w:pPr>
          </w:p>
        </w:tc>
        <w:tc>
          <w:tcPr>
            <w:tcW w:w="1416" w:type="dxa"/>
            <w:shd w:val="clear" w:color="auto" w:fill="DEEAF6"/>
          </w:tcPr>
          <w:p w14:paraId="19D4887F" w14:textId="77777777" w:rsidR="00084F36" w:rsidRPr="00EB2BD8" w:rsidRDefault="00084F36">
            <w:pPr>
              <w:pStyle w:val="TableParagraph"/>
              <w:rPr>
                <w:rFonts w:ascii="Times New Roman"/>
                <w:sz w:val="16"/>
              </w:rPr>
            </w:pPr>
          </w:p>
        </w:tc>
        <w:tc>
          <w:tcPr>
            <w:tcW w:w="1274" w:type="dxa"/>
            <w:shd w:val="clear" w:color="auto" w:fill="FFFFFF"/>
          </w:tcPr>
          <w:p w14:paraId="09852531" w14:textId="77777777" w:rsidR="00084F36" w:rsidRPr="00EB2BD8" w:rsidRDefault="00084F36">
            <w:pPr>
              <w:pStyle w:val="TableParagraph"/>
              <w:rPr>
                <w:rFonts w:ascii="Times New Roman"/>
                <w:sz w:val="16"/>
              </w:rPr>
            </w:pPr>
          </w:p>
        </w:tc>
      </w:tr>
      <w:tr w:rsidR="00EB2BD8" w:rsidRPr="00EB2BD8" w14:paraId="7C07D5E5" w14:textId="77777777">
        <w:trPr>
          <w:trHeight w:val="339"/>
        </w:trPr>
        <w:tc>
          <w:tcPr>
            <w:tcW w:w="5664" w:type="dxa"/>
            <w:shd w:val="clear" w:color="auto" w:fill="FFFFFF"/>
          </w:tcPr>
          <w:p w14:paraId="49921BD9" w14:textId="77777777" w:rsidR="00084F36" w:rsidRPr="00EB2BD8" w:rsidRDefault="00EB2BD8">
            <w:pPr>
              <w:pStyle w:val="TableParagraph"/>
              <w:spacing w:before="63"/>
              <w:ind w:left="112"/>
              <w:rPr>
                <w:rFonts w:ascii="Arial"/>
                <w:sz w:val="18"/>
              </w:rPr>
            </w:pPr>
            <w:r w:rsidRPr="00EB2BD8">
              <w:rPr>
                <w:rFonts w:ascii="Arial"/>
                <w:sz w:val="18"/>
              </w:rPr>
              <w:t>Levies,</w:t>
            </w:r>
            <w:r w:rsidRPr="00EB2BD8">
              <w:rPr>
                <w:rFonts w:ascii="Arial"/>
                <w:spacing w:val="-3"/>
                <w:sz w:val="18"/>
              </w:rPr>
              <w:t xml:space="preserve"> </w:t>
            </w:r>
            <w:r w:rsidRPr="00EB2BD8">
              <w:rPr>
                <w:rFonts w:ascii="Arial"/>
                <w:sz w:val="18"/>
              </w:rPr>
              <w:t>fees</w:t>
            </w:r>
            <w:r w:rsidRPr="00EB2BD8">
              <w:rPr>
                <w:rFonts w:ascii="Arial"/>
                <w:spacing w:val="-2"/>
                <w:sz w:val="18"/>
              </w:rPr>
              <w:t xml:space="preserve"> </w:t>
            </w:r>
            <w:r w:rsidRPr="00EB2BD8">
              <w:rPr>
                <w:rFonts w:ascii="Arial"/>
                <w:sz w:val="18"/>
              </w:rPr>
              <w:t>and</w:t>
            </w:r>
            <w:r w:rsidRPr="00EB2BD8">
              <w:rPr>
                <w:rFonts w:ascii="Arial"/>
                <w:spacing w:val="-3"/>
                <w:sz w:val="18"/>
              </w:rPr>
              <w:t xml:space="preserve"> </w:t>
            </w:r>
            <w:r w:rsidRPr="00EB2BD8">
              <w:rPr>
                <w:rFonts w:ascii="Arial"/>
                <w:sz w:val="18"/>
              </w:rPr>
              <w:t>fines</w:t>
            </w:r>
            <w:r w:rsidRPr="00EB2BD8">
              <w:rPr>
                <w:rFonts w:ascii="Arial"/>
                <w:spacing w:val="-2"/>
                <w:sz w:val="18"/>
              </w:rPr>
              <w:t xml:space="preserve"> revenue</w:t>
            </w:r>
          </w:p>
        </w:tc>
        <w:tc>
          <w:tcPr>
            <w:tcW w:w="1423" w:type="dxa"/>
            <w:shd w:val="clear" w:color="auto" w:fill="FFFFFF"/>
          </w:tcPr>
          <w:p w14:paraId="054329EE" w14:textId="77777777" w:rsidR="00084F36" w:rsidRPr="00EB2BD8" w:rsidRDefault="00EB2BD8">
            <w:pPr>
              <w:pStyle w:val="TableParagraph"/>
              <w:spacing w:before="63"/>
              <w:ind w:right="100"/>
              <w:jc w:val="right"/>
              <w:rPr>
                <w:rFonts w:ascii="Arial"/>
                <w:sz w:val="18"/>
              </w:rPr>
            </w:pPr>
            <w:r w:rsidRPr="00EB2BD8">
              <w:rPr>
                <w:rFonts w:ascii="Arial"/>
                <w:spacing w:val="-5"/>
                <w:sz w:val="18"/>
              </w:rPr>
              <w:t>2.1</w:t>
            </w:r>
          </w:p>
        </w:tc>
        <w:tc>
          <w:tcPr>
            <w:tcW w:w="1416" w:type="dxa"/>
            <w:shd w:val="clear" w:color="auto" w:fill="DEEAF6"/>
          </w:tcPr>
          <w:p w14:paraId="7CAC379E" w14:textId="77777777" w:rsidR="00084F36" w:rsidRPr="00EB2BD8" w:rsidRDefault="00EB2BD8">
            <w:pPr>
              <w:pStyle w:val="TableParagraph"/>
              <w:spacing w:before="63"/>
              <w:ind w:right="99"/>
              <w:jc w:val="right"/>
              <w:rPr>
                <w:rFonts w:ascii="Arial"/>
                <w:sz w:val="18"/>
              </w:rPr>
            </w:pPr>
            <w:r w:rsidRPr="00EB2BD8">
              <w:rPr>
                <w:rFonts w:ascii="Arial"/>
                <w:spacing w:val="-2"/>
                <w:sz w:val="18"/>
              </w:rPr>
              <w:t>88,641</w:t>
            </w:r>
          </w:p>
        </w:tc>
        <w:tc>
          <w:tcPr>
            <w:tcW w:w="1274" w:type="dxa"/>
            <w:shd w:val="clear" w:color="auto" w:fill="FFFFFF"/>
          </w:tcPr>
          <w:p w14:paraId="75DEB662" w14:textId="77777777" w:rsidR="00084F36" w:rsidRPr="00EB2BD8" w:rsidRDefault="00EB2BD8">
            <w:pPr>
              <w:pStyle w:val="TableParagraph"/>
              <w:spacing w:before="63"/>
              <w:ind w:right="97"/>
              <w:jc w:val="right"/>
              <w:rPr>
                <w:rFonts w:ascii="Arial"/>
                <w:sz w:val="18"/>
              </w:rPr>
            </w:pPr>
            <w:r w:rsidRPr="00EB2BD8">
              <w:rPr>
                <w:rFonts w:ascii="Arial"/>
                <w:spacing w:val="-2"/>
                <w:sz w:val="18"/>
              </w:rPr>
              <w:t>75,908</w:t>
            </w:r>
          </w:p>
        </w:tc>
      </w:tr>
      <w:tr w:rsidR="00EB2BD8" w:rsidRPr="00EB2BD8" w14:paraId="30CE2642" w14:textId="77777777">
        <w:trPr>
          <w:trHeight w:val="340"/>
        </w:trPr>
        <w:tc>
          <w:tcPr>
            <w:tcW w:w="5664" w:type="dxa"/>
            <w:shd w:val="clear" w:color="auto" w:fill="FFFFFF"/>
          </w:tcPr>
          <w:p w14:paraId="53A59B9D" w14:textId="77777777" w:rsidR="00084F36" w:rsidRPr="00EB2BD8" w:rsidRDefault="00EB2BD8">
            <w:pPr>
              <w:pStyle w:val="TableParagraph"/>
              <w:spacing w:before="63"/>
              <w:ind w:left="112"/>
              <w:rPr>
                <w:rFonts w:ascii="Arial"/>
                <w:sz w:val="18"/>
              </w:rPr>
            </w:pPr>
            <w:r w:rsidRPr="00EB2BD8">
              <w:rPr>
                <w:rFonts w:ascii="Arial"/>
                <w:sz w:val="18"/>
              </w:rPr>
              <w:t>Grant</w:t>
            </w:r>
            <w:r w:rsidRPr="00EB2BD8">
              <w:rPr>
                <w:rFonts w:ascii="Arial"/>
                <w:spacing w:val="-2"/>
                <w:sz w:val="18"/>
              </w:rPr>
              <w:t xml:space="preserve"> income</w:t>
            </w:r>
          </w:p>
        </w:tc>
        <w:tc>
          <w:tcPr>
            <w:tcW w:w="1423" w:type="dxa"/>
            <w:shd w:val="clear" w:color="auto" w:fill="FFFFFF"/>
          </w:tcPr>
          <w:p w14:paraId="134FC5C2" w14:textId="77777777" w:rsidR="00084F36" w:rsidRPr="00EB2BD8" w:rsidRDefault="00EB2BD8">
            <w:pPr>
              <w:pStyle w:val="TableParagraph"/>
              <w:spacing w:before="63"/>
              <w:ind w:right="100"/>
              <w:jc w:val="right"/>
              <w:rPr>
                <w:rFonts w:ascii="Arial"/>
                <w:sz w:val="18"/>
              </w:rPr>
            </w:pPr>
            <w:r w:rsidRPr="00EB2BD8">
              <w:rPr>
                <w:rFonts w:ascii="Arial"/>
                <w:spacing w:val="-5"/>
                <w:sz w:val="18"/>
              </w:rPr>
              <w:t>2.2</w:t>
            </w:r>
          </w:p>
        </w:tc>
        <w:tc>
          <w:tcPr>
            <w:tcW w:w="1416" w:type="dxa"/>
            <w:shd w:val="clear" w:color="auto" w:fill="DEEAF6"/>
          </w:tcPr>
          <w:p w14:paraId="76625048" w14:textId="77777777" w:rsidR="00084F36" w:rsidRPr="00EB2BD8" w:rsidRDefault="00EB2BD8">
            <w:pPr>
              <w:pStyle w:val="TableParagraph"/>
              <w:spacing w:before="63"/>
              <w:ind w:right="99"/>
              <w:jc w:val="right"/>
              <w:rPr>
                <w:rFonts w:ascii="Arial"/>
                <w:sz w:val="18"/>
              </w:rPr>
            </w:pPr>
            <w:r w:rsidRPr="00EB2BD8">
              <w:rPr>
                <w:rFonts w:ascii="Arial"/>
                <w:spacing w:val="-2"/>
                <w:sz w:val="18"/>
              </w:rPr>
              <w:t>23,174</w:t>
            </w:r>
          </w:p>
        </w:tc>
        <w:tc>
          <w:tcPr>
            <w:tcW w:w="1274" w:type="dxa"/>
            <w:shd w:val="clear" w:color="auto" w:fill="FFFFFF"/>
          </w:tcPr>
          <w:p w14:paraId="34AECBD3" w14:textId="77777777" w:rsidR="00084F36" w:rsidRPr="00EB2BD8" w:rsidRDefault="00EB2BD8">
            <w:pPr>
              <w:pStyle w:val="TableParagraph"/>
              <w:spacing w:before="63"/>
              <w:ind w:right="97"/>
              <w:jc w:val="right"/>
              <w:rPr>
                <w:rFonts w:ascii="Arial"/>
                <w:sz w:val="18"/>
              </w:rPr>
            </w:pPr>
            <w:r w:rsidRPr="00EB2BD8">
              <w:rPr>
                <w:rFonts w:ascii="Arial"/>
                <w:spacing w:val="-2"/>
                <w:sz w:val="18"/>
              </w:rPr>
              <w:t>14,090</w:t>
            </w:r>
          </w:p>
        </w:tc>
      </w:tr>
      <w:tr w:rsidR="00EB2BD8" w:rsidRPr="00EB2BD8" w14:paraId="15102A11" w14:textId="77777777">
        <w:trPr>
          <w:trHeight w:val="340"/>
        </w:trPr>
        <w:tc>
          <w:tcPr>
            <w:tcW w:w="5664" w:type="dxa"/>
            <w:shd w:val="clear" w:color="auto" w:fill="FFFFFF"/>
          </w:tcPr>
          <w:p w14:paraId="6F9E8C30" w14:textId="77777777" w:rsidR="00084F36" w:rsidRPr="00EB2BD8" w:rsidRDefault="00EB2BD8">
            <w:pPr>
              <w:pStyle w:val="TableParagraph"/>
              <w:spacing w:before="64"/>
              <w:ind w:left="112"/>
              <w:rPr>
                <w:rFonts w:ascii="Arial"/>
                <w:sz w:val="18"/>
              </w:rPr>
            </w:pPr>
            <w:r w:rsidRPr="00EB2BD8">
              <w:rPr>
                <w:rFonts w:ascii="Arial"/>
                <w:sz w:val="18"/>
              </w:rPr>
              <w:t>Interest</w:t>
            </w:r>
            <w:r w:rsidRPr="00EB2BD8">
              <w:rPr>
                <w:rFonts w:ascii="Arial"/>
                <w:spacing w:val="-5"/>
                <w:sz w:val="18"/>
              </w:rPr>
              <w:t xml:space="preserve"> </w:t>
            </w:r>
            <w:r w:rsidRPr="00EB2BD8">
              <w:rPr>
                <w:rFonts w:ascii="Arial"/>
                <w:spacing w:val="-2"/>
                <w:sz w:val="18"/>
              </w:rPr>
              <w:t>income</w:t>
            </w:r>
          </w:p>
        </w:tc>
        <w:tc>
          <w:tcPr>
            <w:tcW w:w="1423" w:type="dxa"/>
            <w:shd w:val="clear" w:color="auto" w:fill="FFFFFF"/>
          </w:tcPr>
          <w:p w14:paraId="307501F4" w14:textId="77777777" w:rsidR="00084F36" w:rsidRPr="00EB2BD8" w:rsidRDefault="00EB2BD8">
            <w:pPr>
              <w:pStyle w:val="TableParagraph"/>
              <w:spacing w:before="64"/>
              <w:ind w:right="100"/>
              <w:jc w:val="right"/>
              <w:rPr>
                <w:rFonts w:ascii="Arial"/>
                <w:sz w:val="18"/>
              </w:rPr>
            </w:pPr>
            <w:r w:rsidRPr="00EB2BD8">
              <w:rPr>
                <w:rFonts w:ascii="Arial"/>
                <w:spacing w:val="-5"/>
                <w:sz w:val="18"/>
              </w:rPr>
              <w:t>2.3</w:t>
            </w:r>
          </w:p>
        </w:tc>
        <w:tc>
          <w:tcPr>
            <w:tcW w:w="1416" w:type="dxa"/>
            <w:shd w:val="clear" w:color="auto" w:fill="DEEAF6"/>
          </w:tcPr>
          <w:p w14:paraId="13D8B281" w14:textId="77777777" w:rsidR="00084F36" w:rsidRPr="00EB2BD8" w:rsidRDefault="00EB2BD8">
            <w:pPr>
              <w:pStyle w:val="TableParagraph"/>
              <w:spacing w:before="64"/>
              <w:ind w:right="99"/>
              <w:jc w:val="right"/>
              <w:rPr>
                <w:rFonts w:ascii="Arial"/>
                <w:sz w:val="18"/>
              </w:rPr>
            </w:pPr>
            <w:r w:rsidRPr="00EB2BD8">
              <w:rPr>
                <w:rFonts w:ascii="Arial"/>
                <w:spacing w:val="-2"/>
                <w:sz w:val="18"/>
              </w:rPr>
              <w:t>1,602</w:t>
            </w:r>
          </w:p>
        </w:tc>
        <w:tc>
          <w:tcPr>
            <w:tcW w:w="1274" w:type="dxa"/>
            <w:shd w:val="clear" w:color="auto" w:fill="FFFFFF"/>
          </w:tcPr>
          <w:p w14:paraId="7B44AF90" w14:textId="77777777" w:rsidR="00084F36" w:rsidRPr="00EB2BD8" w:rsidRDefault="00EB2BD8">
            <w:pPr>
              <w:pStyle w:val="TableParagraph"/>
              <w:spacing w:before="64"/>
              <w:ind w:right="97"/>
              <w:jc w:val="right"/>
              <w:rPr>
                <w:rFonts w:ascii="Arial"/>
                <w:sz w:val="18"/>
              </w:rPr>
            </w:pPr>
            <w:r w:rsidRPr="00EB2BD8">
              <w:rPr>
                <w:rFonts w:ascii="Arial"/>
                <w:spacing w:val="-5"/>
                <w:sz w:val="18"/>
              </w:rPr>
              <w:t>120</w:t>
            </w:r>
          </w:p>
        </w:tc>
      </w:tr>
      <w:tr w:rsidR="00EB2BD8" w:rsidRPr="00EB2BD8" w14:paraId="3E433FEF" w14:textId="77777777">
        <w:trPr>
          <w:trHeight w:val="337"/>
        </w:trPr>
        <w:tc>
          <w:tcPr>
            <w:tcW w:w="5664" w:type="dxa"/>
            <w:tcBorders>
              <w:bottom w:val="single" w:sz="12" w:space="0" w:color="000000"/>
            </w:tcBorders>
            <w:shd w:val="clear" w:color="auto" w:fill="FFFFFF"/>
          </w:tcPr>
          <w:p w14:paraId="282A804E" w14:textId="77777777" w:rsidR="00084F36" w:rsidRPr="00EB2BD8" w:rsidRDefault="00EB2BD8">
            <w:pPr>
              <w:pStyle w:val="TableParagraph"/>
              <w:spacing w:before="63"/>
              <w:ind w:left="112"/>
              <w:rPr>
                <w:rFonts w:ascii="Arial"/>
                <w:sz w:val="18"/>
              </w:rPr>
            </w:pPr>
            <w:r w:rsidRPr="00EB2BD8">
              <w:rPr>
                <w:rFonts w:ascii="Arial"/>
                <w:sz w:val="18"/>
              </w:rPr>
              <w:t>Other</w:t>
            </w:r>
            <w:r w:rsidRPr="00EB2BD8">
              <w:rPr>
                <w:rFonts w:ascii="Arial"/>
                <w:spacing w:val="-2"/>
                <w:sz w:val="18"/>
              </w:rPr>
              <w:t xml:space="preserve"> income</w:t>
            </w:r>
          </w:p>
        </w:tc>
        <w:tc>
          <w:tcPr>
            <w:tcW w:w="1423" w:type="dxa"/>
            <w:tcBorders>
              <w:bottom w:val="single" w:sz="12" w:space="0" w:color="000000"/>
            </w:tcBorders>
            <w:shd w:val="clear" w:color="auto" w:fill="FFFFFF"/>
          </w:tcPr>
          <w:p w14:paraId="0188F7AC" w14:textId="77777777" w:rsidR="00084F36" w:rsidRPr="00EB2BD8" w:rsidRDefault="00084F36">
            <w:pPr>
              <w:pStyle w:val="TableParagraph"/>
              <w:rPr>
                <w:rFonts w:ascii="Times New Roman"/>
                <w:sz w:val="16"/>
              </w:rPr>
            </w:pPr>
          </w:p>
        </w:tc>
        <w:tc>
          <w:tcPr>
            <w:tcW w:w="1416" w:type="dxa"/>
            <w:tcBorders>
              <w:bottom w:val="single" w:sz="12" w:space="0" w:color="000000"/>
            </w:tcBorders>
            <w:shd w:val="clear" w:color="auto" w:fill="DEEAF6"/>
          </w:tcPr>
          <w:p w14:paraId="7E9231F6" w14:textId="77777777" w:rsidR="00084F36" w:rsidRPr="00EB2BD8" w:rsidRDefault="00EB2BD8">
            <w:pPr>
              <w:pStyle w:val="TableParagraph"/>
              <w:spacing w:before="63"/>
              <w:ind w:right="99"/>
              <w:jc w:val="right"/>
              <w:rPr>
                <w:rFonts w:ascii="Arial"/>
                <w:sz w:val="18"/>
              </w:rPr>
            </w:pPr>
            <w:r w:rsidRPr="00EB2BD8">
              <w:rPr>
                <w:rFonts w:ascii="Arial"/>
                <w:spacing w:val="-5"/>
                <w:sz w:val="18"/>
              </w:rPr>
              <w:t>263</w:t>
            </w:r>
          </w:p>
        </w:tc>
        <w:tc>
          <w:tcPr>
            <w:tcW w:w="1274" w:type="dxa"/>
            <w:tcBorders>
              <w:bottom w:val="single" w:sz="12" w:space="0" w:color="000000"/>
            </w:tcBorders>
            <w:shd w:val="clear" w:color="auto" w:fill="FFFFFF"/>
          </w:tcPr>
          <w:p w14:paraId="49939837" w14:textId="77777777" w:rsidR="00084F36" w:rsidRPr="00EB2BD8" w:rsidRDefault="00EB2BD8">
            <w:pPr>
              <w:pStyle w:val="TableParagraph"/>
              <w:spacing w:before="63"/>
              <w:ind w:right="97"/>
              <w:jc w:val="right"/>
              <w:rPr>
                <w:rFonts w:ascii="Arial"/>
                <w:sz w:val="18"/>
              </w:rPr>
            </w:pPr>
            <w:r w:rsidRPr="00EB2BD8">
              <w:rPr>
                <w:rFonts w:ascii="Arial"/>
                <w:spacing w:val="-5"/>
                <w:sz w:val="18"/>
              </w:rPr>
              <w:t>715</w:t>
            </w:r>
          </w:p>
        </w:tc>
      </w:tr>
      <w:tr w:rsidR="00EB2BD8" w:rsidRPr="00EB2BD8" w14:paraId="20739CEB" w14:textId="77777777">
        <w:trPr>
          <w:trHeight w:val="309"/>
        </w:trPr>
        <w:tc>
          <w:tcPr>
            <w:tcW w:w="7087" w:type="dxa"/>
            <w:gridSpan w:val="2"/>
            <w:tcBorders>
              <w:top w:val="single" w:sz="12" w:space="0" w:color="000000"/>
              <w:bottom w:val="single" w:sz="12" w:space="0" w:color="000000"/>
            </w:tcBorders>
            <w:shd w:val="clear" w:color="auto" w:fill="FFFFFF"/>
          </w:tcPr>
          <w:p w14:paraId="34F89861" w14:textId="77777777" w:rsidR="00084F36" w:rsidRPr="00EB2BD8" w:rsidRDefault="00EB2BD8">
            <w:pPr>
              <w:pStyle w:val="TableParagraph"/>
              <w:spacing w:before="50"/>
              <w:ind w:left="112"/>
              <w:rPr>
                <w:rFonts w:ascii="Arial"/>
                <w:b/>
                <w:sz w:val="18"/>
              </w:rPr>
            </w:pPr>
            <w:r w:rsidRPr="00EB2BD8">
              <w:rPr>
                <w:rFonts w:ascii="Arial"/>
                <w:b/>
                <w:sz w:val="18"/>
              </w:rPr>
              <w:t>Total</w:t>
            </w:r>
            <w:r w:rsidRPr="00EB2BD8">
              <w:rPr>
                <w:rFonts w:ascii="Arial"/>
                <w:b/>
                <w:spacing w:val="-2"/>
                <w:sz w:val="18"/>
              </w:rPr>
              <w:t xml:space="preserve"> </w:t>
            </w:r>
            <w:r w:rsidRPr="00EB2BD8">
              <w:rPr>
                <w:rFonts w:ascii="Arial"/>
                <w:b/>
                <w:sz w:val="18"/>
              </w:rPr>
              <w:t>revenue</w:t>
            </w:r>
            <w:r w:rsidRPr="00EB2BD8">
              <w:rPr>
                <w:rFonts w:ascii="Arial"/>
                <w:b/>
                <w:spacing w:val="-4"/>
                <w:sz w:val="18"/>
              </w:rPr>
              <w:t xml:space="preserve"> </w:t>
            </w:r>
            <w:r w:rsidRPr="00EB2BD8">
              <w:rPr>
                <w:rFonts w:ascii="Arial"/>
                <w:b/>
                <w:sz w:val="18"/>
              </w:rPr>
              <w:t>and</w:t>
            </w:r>
            <w:r w:rsidRPr="00EB2BD8">
              <w:rPr>
                <w:rFonts w:ascii="Arial"/>
                <w:b/>
                <w:spacing w:val="-2"/>
                <w:sz w:val="18"/>
              </w:rPr>
              <w:t xml:space="preserve"> </w:t>
            </w:r>
            <w:r w:rsidRPr="00EB2BD8">
              <w:rPr>
                <w:rFonts w:ascii="Arial"/>
                <w:b/>
                <w:sz w:val="18"/>
              </w:rPr>
              <w:t>income</w:t>
            </w:r>
            <w:r w:rsidRPr="00EB2BD8">
              <w:rPr>
                <w:rFonts w:ascii="Arial"/>
                <w:b/>
                <w:spacing w:val="-3"/>
                <w:sz w:val="18"/>
              </w:rPr>
              <w:t xml:space="preserve"> </w:t>
            </w:r>
            <w:r w:rsidRPr="00EB2BD8">
              <w:rPr>
                <w:rFonts w:ascii="Arial"/>
                <w:b/>
                <w:sz w:val="18"/>
              </w:rPr>
              <w:t>from</w:t>
            </w:r>
            <w:r w:rsidRPr="00EB2BD8">
              <w:rPr>
                <w:rFonts w:ascii="Arial"/>
                <w:b/>
                <w:spacing w:val="-2"/>
                <w:sz w:val="18"/>
              </w:rPr>
              <w:t xml:space="preserve"> transactions</w:t>
            </w:r>
          </w:p>
        </w:tc>
        <w:tc>
          <w:tcPr>
            <w:tcW w:w="1416" w:type="dxa"/>
            <w:tcBorders>
              <w:top w:val="single" w:sz="12" w:space="0" w:color="000000"/>
              <w:bottom w:val="single" w:sz="12" w:space="0" w:color="000000"/>
            </w:tcBorders>
            <w:shd w:val="clear" w:color="auto" w:fill="DEEAF6"/>
          </w:tcPr>
          <w:p w14:paraId="3FFA91F0" w14:textId="77777777" w:rsidR="00084F36" w:rsidRPr="00EB2BD8" w:rsidRDefault="00EB2BD8">
            <w:pPr>
              <w:pStyle w:val="TableParagraph"/>
              <w:spacing w:before="50"/>
              <w:ind w:right="99"/>
              <w:jc w:val="right"/>
              <w:rPr>
                <w:rFonts w:ascii="Arial"/>
                <w:b/>
                <w:sz w:val="18"/>
              </w:rPr>
            </w:pPr>
            <w:r w:rsidRPr="00EB2BD8">
              <w:rPr>
                <w:rFonts w:ascii="Arial"/>
                <w:b/>
                <w:spacing w:val="-2"/>
                <w:sz w:val="18"/>
              </w:rPr>
              <w:t>113,680</w:t>
            </w:r>
          </w:p>
        </w:tc>
        <w:tc>
          <w:tcPr>
            <w:tcW w:w="1274" w:type="dxa"/>
            <w:tcBorders>
              <w:top w:val="single" w:sz="12" w:space="0" w:color="000000"/>
              <w:bottom w:val="single" w:sz="12" w:space="0" w:color="000000"/>
            </w:tcBorders>
            <w:shd w:val="clear" w:color="auto" w:fill="FFFFFF"/>
          </w:tcPr>
          <w:p w14:paraId="0ABD6FB8" w14:textId="77777777" w:rsidR="00084F36" w:rsidRPr="00EB2BD8" w:rsidRDefault="00EB2BD8">
            <w:pPr>
              <w:pStyle w:val="TableParagraph"/>
              <w:spacing w:before="50"/>
              <w:ind w:right="97"/>
              <w:jc w:val="right"/>
              <w:rPr>
                <w:rFonts w:ascii="Arial"/>
                <w:b/>
                <w:sz w:val="18"/>
              </w:rPr>
            </w:pPr>
            <w:r w:rsidRPr="00EB2BD8">
              <w:rPr>
                <w:rFonts w:ascii="Arial"/>
                <w:b/>
                <w:spacing w:val="-2"/>
                <w:sz w:val="18"/>
              </w:rPr>
              <w:t>90,833</w:t>
            </w:r>
          </w:p>
        </w:tc>
      </w:tr>
      <w:tr w:rsidR="00EB2BD8" w:rsidRPr="00EB2BD8" w14:paraId="67E1A96D" w14:textId="77777777">
        <w:trPr>
          <w:trHeight w:val="319"/>
        </w:trPr>
        <w:tc>
          <w:tcPr>
            <w:tcW w:w="5664" w:type="dxa"/>
            <w:tcBorders>
              <w:top w:val="single" w:sz="12" w:space="0" w:color="000000"/>
            </w:tcBorders>
            <w:shd w:val="clear" w:color="auto" w:fill="FFFFFF"/>
          </w:tcPr>
          <w:p w14:paraId="0E57AA42" w14:textId="77777777" w:rsidR="00084F36" w:rsidRPr="00EB2BD8" w:rsidRDefault="00EB2BD8">
            <w:pPr>
              <w:pStyle w:val="TableParagraph"/>
              <w:spacing w:before="50"/>
              <w:ind w:left="112"/>
              <w:rPr>
                <w:rFonts w:ascii="Arial"/>
                <w:b/>
                <w:sz w:val="18"/>
              </w:rPr>
            </w:pPr>
            <w:r w:rsidRPr="00EB2BD8">
              <w:rPr>
                <w:rFonts w:ascii="Arial"/>
                <w:b/>
                <w:sz w:val="18"/>
              </w:rPr>
              <w:t>Expenses</w:t>
            </w:r>
            <w:r w:rsidRPr="00EB2BD8">
              <w:rPr>
                <w:rFonts w:ascii="Arial"/>
                <w:b/>
                <w:spacing w:val="-4"/>
                <w:sz w:val="18"/>
              </w:rPr>
              <w:t xml:space="preserve"> </w:t>
            </w:r>
            <w:r w:rsidRPr="00EB2BD8">
              <w:rPr>
                <w:rFonts w:ascii="Arial"/>
                <w:b/>
                <w:sz w:val="18"/>
              </w:rPr>
              <w:t>from</w:t>
            </w:r>
            <w:r w:rsidRPr="00EB2BD8">
              <w:rPr>
                <w:rFonts w:ascii="Arial"/>
                <w:b/>
                <w:spacing w:val="-3"/>
                <w:sz w:val="18"/>
              </w:rPr>
              <w:t xml:space="preserve"> </w:t>
            </w:r>
            <w:r w:rsidRPr="00EB2BD8">
              <w:rPr>
                <w:rFonts w:ascii="Arial"/>
                <w:b/>
                <w:spacing w:val="-2"/>
                <w:sz w:val="18"/>
              </w:rPr>
              <w:t>transactions</w:t>
            </w:r>
          </w:p>
        </w:tc>
        <w:tc>
          <w:tcPr>
            <w:tcW w:w="1423" w:type="dxa"/>
            <w:tcBorders>
              <w:top w:val="single" w:sz="12" w:space="0" w:color="000000"/>
            </w:tcBorders>
            <w:shd w:val="clear" w:color="auto" w:fill="FFFFFF"/>
          </w:tcPr>
          <w:p w14:paraId="542B5302" w14:textId="77777777" w:rsidR="00084F36" w:rsidRPr="00EB2BD8" w:rsidRDefault="00084F36">
            <w:pPr>
              <w:pStyle w:val="TableParagraph"/>
              <w:rPr>
                <w:rFonts w:ascii="Times New Roman"/>
                <w:sz w:val="16"/>
              </w:rPr>
            </w:pPr>
          </w:p>
        </w:tc>
        <w:tc>
          <w:tcPr>
            <w:tcW w:w="1416" w:type="dxa"/>
            <w:tcBorders>
              <w:top w:val="single" w:sz="12" w:space="0" w:color="000000"/>
            </w:tcBorders>
            <w:shd w:val="clear" w:color="auto" w:fill="DEEAF6"/>
          </w:tcPr>
          <w:p w14:paraId="1D1C53F0" w14:textId="77777777" w:rsidR="00084F36" w:rsidRPr="00EB2BD8" w:rsidRDefault="00084F36">
            <w:pPr>
              <w:pStyle w:val="TableParagraph"/>
              <w:rPr>
                <w:rFonts w:ascii="Times New Roman"/>
                <w:sz w:val="16"/>
              </w:rPr>
            </w:pPr>
          </w:p>
        </w:tc>
        <w:tc>
          <w:tcPr>
            <w:tcW w:w="1274" w:type="dxa"/>
            <w:tcBorders>
              <w:top w:val="single" w:sz="12" w:space="0" w:color="000000"/>
            </w:tcBorders>
            <w:shd w:val="clear" w:color="auto" w:fill="FFFFFF"/>
          </w:tcPr>
          <w:p w14:paraId="62CCDA5A" w14:textId="77777777" w:rsidR="00084F36" w:rsidRPr="00EB2BD8" w:rsidRDefault="00084F36">
            <w:pPr>
              <w:pStyle w:val="TableParagraph"/>
              <w:rPr>
                <w:rFonts w:ascii="Times New Roman"/>
                <w:sz w:val="16"/>
              </w:rPr>
            </w:pPr>
          </w:p>
        </w:tc>
      </w:tr>
      <w:tr w:rsidR="00EB2BD8" w:rsidRPr="00EB2BD8" w14:paraId="66E6B3C3" w14:textId="77777777">
        <w:trPr>
          <w:trHeight w:val="332"/>
        </w:trPr>
        <w:tc>
          <w:tcPr>
            <w:tcW w:w="5664" w:type="dxa"/>
            <w:shd w:val="clear" w:color="auto" w:fill="FFFFFF"/>
          </w:tcPr>
          <w:p w14:paraId="572DA8AB" w14:textId="77777777" w:rsidR="00084F36" w:rsidRPr="00EB2BD8" w:rsidRDefault="00EB2BD8">
            <w:pPr>
              <w:pStyle w:val="TableParagraph"/>
              <w:spacing w:before="56"/>
              <w:ind w:left="112"/>
              <w:rPr>
                <w:rFonts w:ascii="Arial"/>
                <w:sz w:val="18"/>
              </w:rPr>
            </w:pPr>
            <w:r w:rsidRPr="00EB2BD8">
              <w:rPr>
                <w:rFonts w:ascii="Arial"/>
                <w:sz w:val="18"/>
              </w:rPr>
              <w:t>Employee</w:t>
            </w:r>
            <w:r w:rsidRPr="00EB2BD8">
              <w:rPr>
                <w:rFonts w:ascii="Arial"/>
                <w:spacing w:val="-5"/>
                <w:sz w:val="18"/>
              </w:rPr>
              <w:t xml:space="preserve"> </w:t>
            </w:r>
            <w:r w:rsidRPr="00EB2BD8">
              <w:rPr>
                <w:rFonts w:ascii="Arial"/>
                <w:spacing w:val="-2"/>
                <w:sz w:val="18"/>
              </w:rPr>
              <w:t>costs</w:t>
            </w:r>
          </w:p>
        </w:tc>
        <w:tc>
          <w:tcPr>
            <w:tcW w:w="1423" w:type="dxa"/>
            <w:shd w:val="clear" w:color="auto" w:fill="FFFFFF"/>
          </w:tcPr>
          <w:p w14:paraId="0DAC7B72" w14:textId="77777777" w:rsidR="00084F36" w:rsidRPr="00EB2BD8" w:rsidRDefault="00EB2BD8">
            <w:pPr>
              <w:pStyle w:val="TableParagraph"/>
              <w:spacing w:before="56"/>
              <w:ind w:right="100"/>
              <w:jc w:val="right"/>
              <w:rPr>
                <w:rFonts w:ascii="Arial"/>
                <w:sz w:val="18"/>
              </w:rPr>
            </w:pPr>
            <w:r w:rsidRPr="00EB2BD8">
              <w:rPr>
                <w:rFonts w:ascii="Arial"/>
                <w:spacing w:val="-5"/>
                <w:sz w:val="18"/>
              </w:rPr>
              <w:t>3.1</w:t>
            </w:r>
          </w:p>
        </w:tc>
        <w:tc>
          <w:tcPr>
            <w:tcW w:w="1416" w:type="dxa"/>
            <w:shd w:val="clear" w:color="auto" w:fill="DEEAF6"/>
          </w:tcPr>
          <w:p w14:paraId="2D08774B" w14:textId="77777777" w:rsidR="00084F36" w:rsidRPr="00EB2BD8" w:rsidRDefault="00EB2BD8">
            <w:pPr>
              <w:pStyle w:val="TableParagraph"/>
              <w:spacing w:before="56"/>
              <w:ind w:right="99"/>
              <w:jc w:val="right"/>
              <w:rPr>
                <w:rFonts w:ascii="Arial"/>
                <w:sz w:val="18"/>
              </w:rPr>
            </w:pPr>
            <w:r w:rsidRPr="00EB2BD8">
              <w:rPr>
                <w:rFonts w:ascii="Arial"/>
                <w:spacing w:val="-2"/>
                <w:sz w:val="18"/>
              </w:rPr>
              <w:t>77,526</w:t>
            </w:r>
          </w:p>
        </w:tc>
        <w:tc>
          <w:tcPr>
            <w:tcW w:w="1274" w:type="dxa"/>
            <w:shd w:val="clear" w:color="auto" w:fill="FFFFFF"/>
          </w:tcPr>
          <w:p w14:paraId="38D53889" w14:textId="77777777" w:rsidR="00084F36" w:rsidRPr="00EB2BD8" w:rsidRDefault="00EB2BD8">
            <w:pPr>
              <w:pStyle w:val="TableParagraph"/>
              <w:spacing w:before="56"/>
              <w:ind w:right="97"/>
              <w:jc w:val="right"/>
              <w:rPr>
                <w:rFonts w:ascii="Arial"/>
                <w:sz w:val="18"/>
              </w:rPr>
            </w:pPr>
            <w:r w:rsidRPr="00EB2BD8">
              <w:rPr>
                <w:rFonts w:ascii="Arial"/>
                <w:spacing w:val="-2"/>
                <w:sz w:val="18"/>
              </w:rPr>
              <w:t>72,353</w:t>
            </w:r>
          </w:p>
        </w:tc>
      </w:tr>
      <w:tr w:rsidR="00EB2BD8" w:rsidRPr="00EB2BD8" w14:paraId="4623F7B9" w14:textId="77777777">
        <w:trPr>
          <w:trHeight w:val="340"/>
        </w:trPr>
        <w:tc>
          <w:tcPr>
            <w:tcW w:w="5664" w:type="dxa"/>
            <w:shd w:val="clear" w:color="auto" w:fill="FFFFFF"/>
          </w:tcPr>
          <w:p w14:paraId="3B8B316F" w14:textId="77777777" w:rsidR="00084F36" w:rsidRPr="00EB2BD8" w:rsidRDefault="00EB2BD8">
            <w:pPr>
              <w:pStyle w:val="TableParagraph"/>
              <w:spacing w:before="63"/>
              <w:ind w:left="112"/>
              <w:rPr>
                <w:rFonts w:ascii="Arial"/>
                <w:sz w:val="18"/>
              </w:rPr>
            </w:pPr>
            <w:r w:rsidRPr="00EB2BD8">
              <w:rPr>
                <w:rFonts w:ascii="Arial"/>
                <w:sz w:val="18"/>
              </w:rPr>
              <w:t>Board</w:t>
            </w:r>
            <w:r w:rsidRPr="00EB2BD8">
              <w:rPr>
                <w:rFonts w:ascii="Arial"/>
                <w:spacing w:val="-3"/>
                <w:sz w:val="18"/>
              </w:rPr>
              <w:t xml:space="preserve"> </w:t>
            </w:r>
            <w:r w:rsidRPr="00EB2BD8">
              <w:rPr>
                <w:rFonts w:ascii="Arial"/>
                <w:sz w:val="18"/>
              </w:rPr>
              <w:t>and</w:t>
            </w:r>
            <w:r w:rsidRPr="00EB2BD8">
              <w:rPr>
                <w:rFonts w:ascii="Arial"/>
                <w:spacing w:val="-3"/>
                <w:sz w:val="18"/>
              </w:rPr>
              <w:t xml:space="preserve"> </w:t>
            </w:r>
            <w:r w:rsidRPr="00EB2BD8">
              <w:rPr>
                <w:rFonts w:ascii="Arial"/>
                <w:sz w:val="18"/>
              </w:rPr>
              <w:t>committee</w:t>
            </w:r>
            <w:r w:rsidRPr="00EB2BD8">
              <w:rPr>
                <w:rFonts w:ascii="Arial"/>
                <w:spacing w:val="-3"/>
                <w:sz w:val="18"/>
              </w:rPr>
              <w:t xml:space="preserve"> </w:t>
            </w:r>
            <w:r w:rsidRPr="00EB2BD8">
              <w:rPr>
                <w:rFonts w:ascii="Arial"/>
                <w:spacing w:val="-4"/>
                <w:sz w:val="18"/>
              </w:rPr>
              <w:t>costs</w:t>
            </w:r>
          </w:p>
        </w:tc>
        <w:tc>
          <w:tcPr>
            <w:tcW w:w="1423" w:type="dxa"/>
            <w:shd w:val="clear" w:color="auto" w:fill="FFFFFF"/>
          </w:tcPr>
          <w:p w14:paraId="65F430E2" w14:textId="77777777" w:rsidR="00084F36" w:rsidRPr="00EB2BD8" w:rsidRDefault="00084F36">
            <w:pPr>
              <w:pStyle w:val="TableParagraph"/>
              <w:rPr>
                <w:rFonts w:ascii="Times New Roman"/>
                <w:sz w:val="16"/>
              </w:rPr>
            </w:pPr>
          </w:p>
        </w:tc>
        <w:tc>
          <w:tcPr>
            <w:tcW w:w="1416" w:type="dxa"/>
            <w:shd w:val="clear" w:color="auto" w:fill="DEEAF6"/>
          </w:tcPr>
          <w:p w14:paraId="64044BD4" w14:textId="77777777" w:rsidR="00084F36" w:rsidRPr="00EB2BD8" w:rsidRDefault="00EB2BD8">
            <w:pPr>
              <w:pStyle w:val="TableParagraph"/>
              <w:spacing w:before="63"/>
              <w:ind w:right="99"/>
              <w:jc w:val="right"/>
              <w:rPr>
                <w:rFonts w:ascii="Arial"/>
                <w:sz w:val="18"/>
              </w:rPr>
            </w:pPr>
            <w:r w:rsidRPr="00EB2BD8">
              <w:rPr>
                <w:rFonts w:ascii="Arial"/>
                <w:spacing w:val="-2"/>
                <w:sz w:val="18"/>
              </w:rPr>
              <w:t>1,000</w:t>
            </w:r>
          </w:p>
        </w:tc>
        <w:tc>
          <w:tcPr>
            <w:tcW w:w="1274" w:type="dxa"/>
            <w:shd w:val="clear" w:color="auto" w:fill="FFFFFF"/>
          </w:tcPr>
          <w:p w14:paraId="13DDFC47" w14:textId="77777777" w:rsidR="00084F36" w:rsidRPr="00EB2BD8" w:rsidRDefault="00EB2BD8">
            <w:pPr>
              <w:pStyle w:val="TableParagraph"/>
              <w:spacing w:before="63"/>
              <w:ind w:right="97"/>
              <w:jc w:val="right"/>
              <w:rPr>
                <w:rFonts w:ascii="Arial"/>
                <w:sz w:val="18"/>
              </w:rPr>
            </w:pPr>
            <w:r w:rsidRPr="00EB2BD8">
              <w:rPr>
                <w:rFonts w:ascii="Arial"/>
                <w:spacing w:val="-2"/>
                <w:sz w:val="18"/>
              </w:rPr>
              <w:t>1,259</w:t>
            </w:r>
          </w:p>
        </w:tc>
      </w:tr>
      <w:tr w:rsidR="00EB2BD8" w:rsidRPr="00EB2BD8" w14:paraId="36FC3520" w14:textId="77777777">
        <w:trPr>
          <w:trHeight w:val="340"/>
        </w:trPr>
        <w:tc>
          <w:tcPr>
            <w:tcW w:w="5664" w:type="dxa"/>
            <w:shd w:val="clear" w:color="auto" w:fill="FFFFFF"/>
          </w:tcPr>
          <w:p w14:paraId="6CE35C6E" w14:textId="77777777" w:rsidR="00084F36" w:rsidRPr="00EB2BD8" w:rsidRDefault="00EB2BD8">
            <w:pPr>
              <w:pStyle w:val="TableParagraph"/>
              <w:spacing w:before="64"/>
              <w:ind w:left="112"/>
              <w:rPr>
                <w:rFonts w:ascii="Arial"/>
                <w:sz w:val="18"/>
              </w:rPr>
            </w:pPr>
            <w:r w:rsidRPr="00EB2BD8">
              <w:rPr>
                <w:rFonts w:ascii="Arial"/>
                <w:sz w:val="18"/>
              </w:rPr>
              <w:t>Interest</w:t>
            </w:r>
            <w:r w:rsidRPr="00EB2BD8">
              <w:rPr>
                <w:rFonts w:ascii="Arial"/>
                <w:spacing w:val="-5"/>
                <w:sz w:val="18"/>
              </w:rPr>
              <w:t xml:space="preserve"> </w:t>
            </w:r>
            <w:r w:rsidRPr="00EB2BD8">
              <w:rPr>
                <w:rFonts w:ascii="Arial"/>
                <w:spacing w:val="-2"/>
                <w:sz w:val="18"/>
              </w:rPr>
              <w:t>expense</w:t>
            </w:r>
          </w:p>
        </w:tc>
        <w:tc>
          <w:tcPr>
            <w:tcW w:w="1423" w:type="dxa"/>
            <w:shd w:val="clear" w:color="auto" w:fill="FFFFFF"/>
          </w:tcPr>
          <w:p w14:paraId="695DDB33" w14:textId="77777777" w:rsidR="00084F36" w:rsidRPr="00EB2BD8" w:rsidRDefault="00EB2BD8">
            <w:pPr>
              <w:pStyle w:val="TableParagraph"/>
              <w:spacing w:before="64"/>
              <w:ind w:right="100"/>
              <w:jc w:val="right"/>
              <w:rPr>
                <w:rFonts w:ascii="Arial"/>
                <w:sz w:val="18"/>
              </w:rPr>
            </w:pPr>
            <w:r w:rsidRPr="00EB2BD8">
              <w:rPr>
                <w:rFonts w:ascii="Arial"/>
                <w:spacing w:val="-2"/>
                <w:sz w:val="18"/>
              </w:rPr>
              <w:t>6.2.2</w:t>
            </w:r>
          </w:p>
        </w:tc>
        <w:tc>
          <w:tcPr>
            <w:tcW w:w="1416" w:type="dxa"/>
            <w:shd w:val="clear" w:color="auto" w:fill="DEEAF6"/>
          </w:tcPr>
          <w:p w14:paraId="50AF1B74" w14:textId="77777777" w:rsidR="00084F36" w:rsidRPr="00EB2BD8" w:rsidRDefault="00EB2BD8">
            <w:pPr>
              <w:pStyle w:val="TableParagraph"/>
              <w:spacing w:before="64"/>
              <w:ind w:right="99"/>
              <w:jc w:val="right"/>
              <w:rPr>
                <w:rFonts w:ascii="Arial"/>
                <w:sz w:val="18"/>
              </w:rPr>
            </w:pPr>
            <w:r w:rsidRPr="00EB2BD8">
              <w:rPr>
                <w:rFonts w:ascii="Arial"/>
                <w:spacing w:val="-5"/>
                <w:sz w:val="18"/>
              </w:rPr>
              <w:t>139</w:t>
            </w:r>
          </w:p>
        </w:tc>
        <w:tc>
          <w:tcPr>
            <w:tcW w:w="1274" w:type="dxa"/>
            <w:shd w:val="clear" w:color="auto" w:fill="FFFFFF"/>
          </w:tcPr>
          <w:p w14:paraId="68BD0881" w14:textId="77777777" w:rsidR="00084F36" w:rsidRPr="00EB2BD8" w:rsidRDefault="00EB2BD8">
            <w:pPr>
              <w:pStyle w:val="TableParagraph"/>
              <w:spacing w:before="64"/>
              <w:ind w:right="97"/>
              <w:jc w:val="right"/>
              <w:rPr>
                <w:rFonts w:ascii="Arial"/>
                <w:sz w:val="18"/>
              </w:rPr>
            </w:pPr>
            <w:r w:rsidRPr="00EB2BD8">
              <w:rPr>
                <w:rFonts w:ascii="Arial"/>
                <w:spacing w:val="-5"/>
                <w:sz w:val="18"/>
              </w:rPr>
              <w:t>187</w:t>
            </w:r>
          </w:p>
        </w:tc>
      </w:tr>
      <w:tr w:rsidR="00EB2BD8" w:rsidRPr="00EB2BD8" w14:paraId="59F50566" w14:textId="77777777">
        <w:trPr>
          <w:trHeight w:val="339"/>
        </w:trPr>
        <w:tc>
          <w:tcPr>
            <w:tcW w:w="5664" w:type="dxa"/>
            <w:shd w:val="clear" w:color="auto" w:fill="FFFFFF"/>
          </w:tcPr>
          <w:p w14:paraId="048ED48F" w14:textId="77777777" w:rsidR="00084F36" w:rsidRPr="00EB2BD8" w:rsidRDefault="00EB2BD8">
            <w:pPr>
              <w:pStyle w:val="TableParagraph"/>
              <w:spacing w:before="63"/>
              <w:ind w:left="112"/>
              <w:rPr>
                <w:rFonts w:ascii="Arial"/>
                <w:sz w:val="18"/>
              </w:rPr>
            </w:pPr>
            <w:r w:rsidRPr="00EB2BD8">
              <w:rPr>
                <w:rFonts w:ascii="Arial"/>
                <w:sz w:val="18"/>
              </w:rPr>
              <w:t>Other</w:t>
            </w:r>
            <w:r w:rsidRPr="00EB2BD8">
              <w:rPr>
                <w:rFonts w:ascii="Arial"/>
                <w:spacing w:val="-4"/>
                <w:sz w:val="18"/>
              </w:rPr>
              <w:t xml:space="preserve"> </w:t>
            </w:r>
            <w:r w:rsidRPr="00EB2BD8">
              <w:rPr>
                <w:rFonts w:ascii="Arial"/>
                <w:sz w:val="18"/>
              </w:rPr>
              <w:t>operating</w:t>
            </w:r>
            <w:r w:rsidRPr="00EB2BD8">
              <w:rPr>
                <w:rFonts w:ascii="Arial"/>
                <w:spacing w:val="-3"/>
                <w:sz w:val="18"/>
              </w:rPr>
              <w:t xml:space="preserve"> </w:t>
            </w:r>
            <w:r w:rsidRPr="00EB2BD8">
              <w:rPr>
                <w:rFonts w:ascii="Arial"/>
                <w:spacing w:val="-2"/>
                <w:sz w:val="18"/>
              </w:rPr>
              <w:t>expenses</w:t>
            </w:r>
          </w:p>
        </w:tc>
        <w:tc>
          <w:tcPr>
            <w:tcW w:w="1423" w:type="dxa"/>
            <w:shd w:val="clear" w:color="auto" w:fill="FFFFFF"/>
          </w:tcPr>
          <w:p w14:paraId="767D33CF" w14:textId="77777777" w:rsidR="00084F36" w:rsidRPr="00EB2BD8" w:rsidRDefault="00EB2BD8">
            <w:pPr>
              <w:pStyle w:val="TableParagraph"/>
              <w:spacing w:before="63"/>
              <w:ind w:right="100"/>
              <w:jc w:val="right"/>
              <w:rPr>
                <w:rFonts w:ascii="Arial"/>
                <w:sz w:val="18"/>
              </w:rPr>
            </w:pPr>
            <w:r w:rsidRPr="00EB2BD8">
              <w:rPr>
                <w:rFonts w:ascii="Arial"/>
                <w:spacing w:val="-5"/>
                <w:sz w:val="18"/>
              </w:rPr>
              <w:t>3.2</w:t>
            </w:r>
          </w:p>
        </w:tc>
        <w:tc>
          <w:tcPr>
            <w:tcW w:w="1416" w:type="dxa"/>
            <w:shd w:val="clear" w:color="auto" w:fill="DEEAF6"/>
          </w:tcPr>
          <w:p w14:paraId="3C397F71" w14:textId="77777777" w:rsidR="00084F36" w:rsidRPr="00EB2BD8" w:rsidRDefault="00EB2BD8">
            <w:pPr>
              <w:pStyle w:val="TableParagraph"/>
              <w:spacing w:before="63"/>
              <w:ind w:right="98"/>
              <w:jc w:val="right"/>
              <w:rPr>
                <w:rFonts w:ascii="Arial"/>
                <w:sz w:val="18"/>
              </w:rPr>
            </w:pPr>
            <w:r w:rsidRPr="00EB2BD8">
              <w:rPr>
                <w:rFonts w:ascii="Arial"/>
                <w:spacing w:val="-2"/>
                <w:sz w:val="18"/>
              </w:rPr>
              <w:t>19,962</w:t>
            </w:r>
          </w:p>
        </w:tc>
        <w:tc>
          <w:tcPr>
            <w:tcW w:w="1274" w:type="dxa"/>
            <w:shd w:val="clear" w:color="auto" w:fill="FFFFFF"/>
          </w:tcPr>
          <w:p w14:paraId="04DAD39E" w14:textId="77777777" w:rsidR="00084F36" w:rsidRPr="00EB2BD8" w:rsidRDefault="00EB2BD8">
            <w:pPr>
              <w:pStyle w:val="TableParagraph"/>
              <w:spacing w:before="63"/>
              <w:ind w:right="97"/>
              <w:jc w:val="right"/>
              <w:rPr>
                <w:rFonts w:ascii="Arial"/>
                <w:sz w:val="18"/>
              </w:rPr>
            </w:pPr>
            <w:r w:rsidRPr="00EB2BD8">
              <w:rPr>
                <w:rFonts w:ascii="Arial"/>
                <w:spacing w:val="-2"/>
                <w:sz w:val="18"/>
              </w:rPr>
              <w:t>18,224</w:t>
            </w:r>
          </w:p>
        </w:tc>
      </w:tr>
      <w:tr w:rsidR="00EB2BD8" w:rsidRPr="00EB2BD8" w14:paraId="7C0E1F77" w14:textId="77777777">
        <w:trPr>
          <w:trHeight w:val="340"/>
        </w:trPr>
        <w:tc>
          <w:tcPr>
            <w:tcW w:w="5664" w:type="dxa"/>
            <w:shd w:val="clear" w:color="auto" w:fill="FFFFFF"/>
          </w:tcPr>
          <w:p w14:paraId="27DD1251" w14:textId="77777777" w:rsidR="00084F36" w:rsidRPr="00EB2BD8" w:rsidRDefault="00EB2BD8">
            <w:pPr>
              <w:pStyle w:val="TableParagraph"/>
              <w:spacing w:before="63"/>
              <w:ind w:left="112"/>
              <w:rPr>
                <w:rFonts w:ascii="Arial"/>
                <w:sz w:val="18"/>
              </w:rPr>
            </w:pPr>
            <w:r w:rsidRPr="00EB2BD8">
              <w:rPr>
                <w:rFonts w:ascii="Arial"/>
                <w:sz w:val="18"/>
              </w:rPr>
              <w:t>Grant</w:t>
            </w:r>
            <w:r w:rsidRPr="00EB2BD8">
              <w:rPr>
                <w:rFonts w:ascii="Arial"/>
                <w:spacing w:val="-4"/>
                <w:sz w:val="18"/>
              </w:rPr>
              <w:t xml:space="preserve"> </w:t>
            </w:r>
            <w:r w:rsidRPr="00EB2BD8">
              <w:rPr>
                <w:rFonts w:ascii="Arial"/>
                <w:spacing w:val="-2"/>
                <w:sz w:val="18"/>
              </w:rPr>
              <w:t>payments</w:t>
            </w:r>
          </w:p>
        </w:tc>
        <w:tc>
          <w:tcPr>
            <w:tcW w:w="1423" w:type="dxa"/>
            <w:shd w:val="clear" w:color="auto" w:fill="FFFFFF"/>
          </w:tcPr>
          <w:p w14:paraId="6714755B" w14:textId="77777777" w:rsidR="00084F36" w:rsidRPr="00EB2BD8" w:rsidRDefault="00EB2BD8">
            <w:pPr>
              <w:pStyle w:val="TableParagraph"/>
              <w:spacing w:before="63"/>
              <w:ind w:right="100"/>
              <w:jc w:val="right"/>
              <w:rPr>
                <w:rFonts w:ascii="Arial"/>
                <w:sz w:val="18"/>
              </w:rPr>
            </w:pPr>
            <w:r w:rsidRPr="00EB2BD8">
              <w:rPr>
                <w:rFonts w:ascii="Arial"/>
                <w:spacing w:val="-5"/>
                <w:sz w:val="18"/>
              </w:rPr>
              <w:t>3.3</w:t>
            </w:r>
          </w:p>
        </w:tc>
        <w:tc>
          <w:tcPr>
            <w:tcW w:w="1416" w:type="dxa"/>
            <w:shd w:val="clear" w:color="auto" w:fill="DEEAF6"/>
          </w:tcPr>
          <w:p w14:paraId="16E70C49" w14:textId="77777777" w:rsidR="00084F36" w:rsidRPr="00EB2BD8" w:rsidRDefault="00EB2BD8">
            <w:pPr>
              <w:pStyle w:val="TableParagraph"/>
              <w:spacing w:before="63"/>
              <w:ind w:right="100"/>
              <w:jc w:val="right"/>
              <w:rPr>
                <w:rFonts w:ascii="Arial"/>
                <w:sz w:val="18"/>
              </w:rPr>
            </w:pPr>
            <w:r w:rsidRPr="00EB2BD8">
              <w:rPr>
                <w:rFonts w:ascii="Arial"/>
                <w:spacing w:val="-2"/>
                <w:sz w:val="18"/>
              </w:rPr>
              <w:t>1,223</w:t>
            </w:r>
          </w:p>
        </w:tc>
        <w:tc>
          <w:tcPr>
            <w:tcW w:w="1274" w:type="dxa"/>
            <w:shd w:val="clear" w:color="auto" w:fill="FFFFFF"/>
          </w:tcPr>
          <w:p w14:paraId="38CF1966" w14:textId="77777777" w:rsidR="00084F36" w:rsidRPr="00EB2BD8" w:rsidRDefault="00EB2BD8">
            <w:pPr>
              <w:pStyle w:val="TableParagraph"/>
              <w:spacing w:before="63"/>
              <w:ind w:right="97"/>
              <w:jc w:val="right"/>
              <w:rPr>
                <w:rFonts w:ascii="Arial"/>
                <w:sz w:val="18"/>
              </w:rPr>
            </w:pPr>
            <w:r w:rsidRPr="00EB2BD8">
              <w:rPr>
                <w:rFonts w:ascii="Arial"/>
                <w:spacing w:val="-2"/>
                <w:sz w:val="18"/>
              </w:rPr>
              <w:t>1,043</w:t>
            </w:r>
          </w:p>
        </w:tc>
      </w:tr>
      <w:tr w:rsidR="00EB2BD8" w:rsidRPr="00EB2BD8" w14:paraId="18046C54" w14:textId="77777777">
        <w:trPr>
          <w:trHeight w:val="338"/>
        </w:trPr>
        <w:tc>
          <w:tcPr>
            <w:tcW w:w="5664" w:type="dxa"/>
            <w:tcBorders>
              <w:bottom w:val="single" w:sz="12" w:space="0" w:color="000000"/>
            </w:tcBorders>
            <w:shd w:val="clear" w:color="auto" w:fill="FFFFFF"/>
          </w:tcPr>
          <w:p w14:paraId="44DA0806" w14:textId="6808766E" w:rsidR="00084F36" w:rsidRPr="00EB2BD8" w:rsidRDefault="00EB2BD8">
            <w:pPr>
              <w:pStyle w:val="TableParagraph"/>
              <w:spacing w:before="64"/>
              <w:ind w:left="112"/>
              <w:rPr>
                <w:rFonts w:ascii="Arial"/>
                <w:sz w:val="18"/>
              </w:rPr>
            </w:pPr>
            <w:r w:rsidRPr="00EB2BD8">
              <w:rPr>
                <w:rFonts w:ascii="Arial"/>
                <w:sz w:val="18"/>
              </w:rPr>
              <w:t>Depreciation</w:t>
            </w:r>
            <w:r w:rsidRPr="00EB2BD8">
              <w:rPr>
                <w:rFonts w:ascii="Arial"/>
                <w:spacing w:val="-5"/>
                <w:sz w:val="18"/>
              </w:rPr>
              <w:t xml:space="preserve"> </w:t>
            </w:r>
            <w:r w:rsidRPr="00EB2BD8">
              <w:rPr>
                <w:rFonts w:ascii="Arial"/>
                <w:sz w:val="18"/>
              </w:rPr>
              <w:t>and</w:t>
            </w:r>
            <w:r w:rsidRPr="00EB2BD8">
              <w:rPr>
                <w:rFonts w:ascii="Arial"/>
                <w:spacing w:val="-4"/>
                <w:sz w:val="18"/>
              </w:rPr>
              <w:t xml:space="preserve"> </w:t>
            </w:r>
            <w:r w:rsidR="00436F78">
              <w:rPr>
                <w:rFonts w:ascii="Arial"/>
                <w:spacing w:val="-2"/>
                <w:sz w:val="18"/>
              </w:rPr>
              <w:t>amortization</w:t>
            </w:r>
          </w:p>
        </w:tc>
        <w:tc>
          <w:tcPr>
            <w:tcW w:w="1423" w:type="dxa"/>
            <w:tcBorders>
              <w:bottom w:val="single" w:sz="12" w:space="0" w:color="000000"/>
            </w:tcBorders>
            <w:shd w:val="clear" w:color="auto" w:fill="FFFFFF"/>
          </w:tcPr>
          <w:p w14:paraId="7B72A851" w14:textId="77777777" w:rsidR="00084F36" w:rsidRPr="00EB2BD8" w:rsidRDefault="00EB2BD8">
            <w:pPr>
              <w:pStyle w:val="TableParagraph"/>
              <w:spacing w:before="64"/>
              <w:ind w:right="100"/>
              <w:jc w:val="right"/>
              <w:rPr>
                <w:rFonts w:ascii="Arial"/>
                <w:sz w:val="18"/>
              </w:rPr>
            </w:pPr>
            <w:r w:rsidRPr="00EB2BD8">
              <w:rPr>
                <w:rFonts w:ascii="Arial"/>
                <w:spacing w:val="-5"/>
                <w:sz w:val="18"/>
              </w:rPr>
              <w:t>4.3</w:t>
            </w:r>
          </w:p>
        </w:tc>
        <w:tc>
          <w:tcPr>
            <w:tcW w:w="1416" w:type="dxa"/>
            <w:tcBorders>
              <w:bottom w:val="single" w:sz="12" w:space="0" w:color="000000"/>
            </w:tcBorders>
            <w:shd w:val="clear" w:color="auto" w:fill="DEEAF6"/>
          </w:tcPr>
          <w:p w14:paraId="78B018F8" w14:textId="77777777" w:rsidR="00084F36" w:rsidRPr="00EB2BD8" w:rsidRDefault="00EB2BD8">
            <w:pPr>
              <w:pStyle w:val="TableParagraph"/>
              <w:spacing w:before="64"/>
              <w:ind w:right="99"/>
              <w:jc w:val="right"/>
              <w:rPr>
                <w:rFonts w:ascii="Arial"/>
                <w:sz w:val="18"/>
              </w:rPr>
            </w:pPr>
            <w:r w:rsidRPr="00EB2BD8">
              <w:rPr>
                <w:rFonts w:ascii="Arial"/>
                <w:spacing w:val="-2"/>
                <w:sz w:val="18"/>
              </w:rPr>
              <w:t>5,400</w:t>
            </w:r>
          </w:p>
        </w:tc>
        <w:tc>
          <w:tcPr>
            <w:tcW w:w="1274" w:type="dxa"/>
            <w:tcBorders>
              <w:bottom w:val="single" w:sz="12" w:space="0" w:color="000000"/>
            </w:tcBorders>
            <w:shd w:val="clear" w:color="auto" w:fill="FFFFFF"/>
          </w:tcPr>
          <w:p w14:paraId="16BAD184" w14:textId="77777777" w:rsidR="00084F36" w:rsidRPr="00EB2BD8" w:rsidRDefault="00EB2BD8">
            <w:pPr>
              <w:pStyle w:val="TableParagraph"/>
              <w:spacing w:before="64"/>
              <w:ind w:right="97"/>
              <w:jc w:val="right"/>
              <w:rPr>
                <w:rFonts w:ascii="Arial"/>
                <w:sz w:val="18"/>
              </w:rPr>
            </w:pPr>
            <w:r w:rsidRPr="00EB2BD8">
              <w:rPr>
                <w:rFonts w:ascii="Arial"/>
                <w:spacing w:val="-2"/>
                <w:sz w:val="18"/>
              </w:rPr>
              <w:t>5,205</w:t>
            </w:r>
          </w:p>
        </w:tc>
      </w:tr>
      <w:tr w:rsidR="00EB2BD8" w:rsidRPr="00EB2BD8" w14:paraId="6F60718F" w14:textId="77777777">
        <w:trPr>
          <w:trHeight w:val="309"/>
        </w:trPr>
        <w:tc>
          <w:tcPr>
            <w:tcW w:w="7087" w:type="dxa"/>
            <w:gridSpan w:val="2"/>
            <w:tcBorders>
              <w:top w:val="single" w:sz="12" w:space="0" w:color="000000"/>
              <w:bottom w:val="single" w:sz="12" w:space="0" w:color="000000"/>
            </w:tcBorders>
            <w:shd w:val="clear" w:color="auto" w:fill="FFFFFF"/>
          </w:tcPr>
          <w:p w14:paraId="7CBC8EE8" w14:textId="77777777" w:rsidR="00084F36" w:rsidRPr="00EB2BD8" w:rsidRDefault="00EB2BD8">
            <w:pPr>
              <w:pStyle w:val="TableParagraph"/>
              <w:spacing w:before="50"/>
              <w:ind w:left="112"/>
              <w:rPr>
                <w:rFonts w:ascii="Arial"/>
                <w:b/>
                <w:sz w:val="18"/>
              </w:rPr>
            </w:pPr>
            <w:r w:rsidRPr="00EB2BD8">
              <w:rPr>
                <w:rFonts w:ascii="Arial"/>
                <w:b/>
                <w:sz w:val="18"/>
              </w:rPr>
              <w:t>Total</w:t>
            </w:r>
            <w:r w:rsidRPr="00EB2BD8">
              <w:rPr>
                <w:rFonts w:ascii="Arial"/>
                <w:b/>
                <w:spacing w:val="-3"/>
                <w:sz w:val="18"/>
              </w:rPr>
              <w:t xml:space="preserve"> </w:t>
            </w:r>
            <w:r w:rsidRPr="00EB2BD8">
              <w:rPr>
                <w:rFonts w:ascii="Arial"/>
                <w:b/>
                <w:sz w:val="18"/>
              </w:rPr>
              <w:t>expenses</w:t>
            </w:r>
            <w:r w:rsidRPr="00EB2BD8">
              <w:rPr>
                <w:rFonts w:ascii="Arial"/>
                <w:b/>
                <w:spacing w:val="-3"/>
                <w:sz w:val="18"/>
              </w:rPr>
              <w:t xml:space="preserve"> </w:t>
            </w:r>
            <w:r w:rsidRPr="00EB2BD8">
              <w:rPr>
                <w:rFonts w:ascii="Arial"/>
                <w:b/>
                <w:sz w:val="18"/>
              </w:rPr>
              <w:t>from</w:t>
            </w:r>
            <w:r w:rsidRPr="00EB2BD8">
              <w:rPr>
                <w:rFonts w:ascii="Arial"/>
                <w:b/>
                <w:spacing w:val="-3"/>
                <w:sz w:val="18"/>
              </w:rPr>
              <w:t xml:space="preserve"> </w:t>
            </w:r>
            <w:r w:rsidRPr="00EB2BD8">
              <w:rPr>
                <w:rFonts w:ascii="Arial"/>
                <w:b/>
                <w:spacing w:val="-2"/>
                <w:sz w:val="18"/>
              </w:rPr>
              <w:t>transactions</w:t>
            </w:r>
          </w:p>
        </w:tc>
        <w:tc>
          <w:tcPr>
            <w:tcW w:w="1416" w:type="dxa"/>
            <w:tcBorders>
              <w:top w:val="single" w:sz="12" w:space="0" w:color="000000"/>
              <w:bottom w:val="single" w:sz="12" w:space="0" w:color="000000"/>
            </w:tcBorders>
            <w:shd w:val="clear" w:color="auto" w:fill="DEEAF6"/>
          </w:tcPr>
          <w:p w14:paraId="68C3438E" w14:textId="77777777" w:rsidR="00084F36" w:rsidRPr="00EB2BD8" w:rsidRDefault="00EB2BD8">
            <w:pPr>
              <w:pStyle w:val="TableParagraph"/>
              <w:spacing w:before="50"/>
              <w:ind w:right="99"/>
              <w:jc w:val="right"/>
              <w:rPr>
                <w:rFonts w:ascii="Arial"/>
                <w:b/>
                <w:sz w:val="18"/>
              </w:rPr>
            </w:pPr>
            <w:r w:rsidRPr="00EB2BD8">
              <w:rPr>
                <w:rFonts w:ascii="Arial"/>
                <w:b/>
                <w:spacing w:val="-2"/>
                <w:sz w:val="18"/>
              </w:rPr>
              <w:t>105,250</w:t>
            </w:r>
          </w:p>
        </w:tc>
        <w:tc>
          <w:tcPr>
            <w:tcW w:w="1274" w:type="dxa"/>
            <w:tcBorders>
              <w:top w:val="single" w:sz="12" w:space="0" w:color="000000"/>
              <w:bottom w:val="single" w:sz="12" w:space="0" w:color="000000"/>
            </w:tcBorders>
            <w:shd w:val="clear" w:color="auto" w:fill="FFFFFF"/>
          </w:tcPr>
          <w:p w14:paraId="2603805F" w14:textId="77777777" w:rsidR="00084F36" w:rsidRPr="00EB2BD8" w:rsidRDefault="00EB2BD8">
            <w:pPr>
              <w:pStyle w:val="TableParagraph"/>
              <w:spacing w:before="50"/>
              <w:ind w:right="97"/>
              <w:jc w:val="right"/>
              <w:rPr>
                <w:rFonts w:ascii="Arial"/>
                <w:b/>
                <w:sz w:val="18"/>
              </w:rPr>
            </w:pPr>
            <w:r w:rsidRPr="00EB2BD8">
              <w:rPr>
                <w:rFonts w:ascii="Arial"/>
                <w:b/>
                <w:spacing w:val="-2"/>
                <w:sz w:val="18"/>
              </w:rPr>
              <w:t>98,271</w:t>
            </w:r>
          </w:p>
        </w:tc>
      </w:tr>
      <w:tr w:rsidR="00EB2BD8" w:rsidRPr="00EB2BD8" w14:paraId="0AB69BE4" w14:textId="77777777">
        <w:trPr>
          <w:trHeight w:val="309"/>
        </w:trPr>
        <w:tc>
          <w:tcPr>
            <w:tcW w:w="7087" w:type="dxa"/>
            <w:gridSpan w:val="2"/>
            <w:tcBorders>
              <w:top w:val="single" w:sz="12" w:space="0" w:color="000000"/>
              <w:bottom w:val="single" w:sz="12" w:space="0" w:color="000000"/>
            </w:tcBorders>
            <w:shd w:val="clear" w:color="auto" w:fill="FFFFFF"/>
          </w:tcPr>
          <w:p w14:paraId="61F16BDD" w14:textId="77777777" w:rsidR="00084F36" w:rsidRPr="00EB2BD8" w:rsidRDefault="00EB2BD8">
            <w:pPr>
              <w:pStyle w:val="TableParagraph"/>
              <w:spacing w:before="50"/>
              <w:ind w:left="112"/>
              <w:rPr>
                <w:rFonts w:ascii="Arial"/>
                <w:b/>
                <w:sz w:val="18"/>
              </w:rPr>
            </w:pPr>
            <w:r w:rsidRPr="00EB2BD8">
              <w:rPr>
                <w:rFonts w:ascii="Arial"/>
                <w:b/>
                <w:sz w:val="18"/>
              </w:rPr>
              <w:t>Net</w:t>
            </w:r>
            <w:r w:rsidRPr="00EB2BD8">
              <w:rPr>
                <w:rFonts w:ascii="Arial"/>
                <w:b/>
                <w:spacing w:val="-3"/>
                <w:sz w:val="18"/>
              </w:rPr>
              <w:t xml:space="preserve"> </w:t>
            </w:r>
            <w:r w:rsidRPr="00EB2BD8">
              <w:rPr>
                <w:rFonts w:ascii="Arial"/>
                <w:b/>
                <w:sz w:val="18"/>
              </w:rPr>
              <w:t>result</w:t>
            </w:r>
            <w:r w:rsidRPr="00EB2BD8">
              <w:rPr>
                <w:rFonts w:ascii="Arial"/>
                <w:b/>
                <w:spacing w:val="-2"/>
                <w:sz w:val="18"/>
              </w:rPr>
              <w:t xml:space="preserve"> </w:t>
            </w:r>
            <w:r w:rsidRPr="00EB2BD8">
              <w:rPr>
                <w:rFonts w:ascii="Arial"/>
                <w:b/>
                <w:sz w:val="18"/>
              </w:rPr>
              <w:t>from</w:t>
            </w:r>
            <w:r w:rsidRPr="00EB2BD8">
              <w:rPr>
                <w:rFonts w:ascii="Arial"/>
                <w:b/>
                <w:spacing w:val="-3"/>
                <w:sz w:val="18"/>
              </w:rPr>
              <w:t xml:space="preserve"> </w:t>
            </w:r>
            <w:r w:rsidRPr="00EB2BD8">
              <w:rPr>
                <w:rFonts w:ascii="Arial"/>
                <w:b/>
                <w:sz w:val="18"/>
              </w:rPr>
              <w:t>transactions</w:t>
            </w:r>
            <w:r w:rsidRPr="00EB2BD8">
              <w:rPr>
                <w:rFonts w:ascii="Arial"/>
                <w:b/>
                <w:spacing w:val="-4"/>
                <w:sz w:val="18"/>
              </w:rPr>
              <w:t xml:space="preserve"> </w:t>
            </w:r>
            <w:r w:rsidRPr="00EB2BD8">
              <w:rPr>
                <w:rFonts w:ascii="Arial"/>
                <w:b/>
                <w:sz w:val="18"/>
              </w:rPr>
              <w:t>(net</w:t>
            </w:r>
            <w:r w:rsidRPr="00EB2BD8">
              <w:rPr>
                <w:rFonts w:ascii="Arial"/>
                <w:b/>
                <w:spacing w:val="-2"/>
                <w:sz w:val="18"/>
              </w:rPr>
              <w:t xml:space="preserve"> </w:t>
            </w:r>
            <w:r w:rsidRPr="00EB2BD8">
              <w:rPr>
                <w:rFonts w:ascii="Arial"/>
                <w:b/>
                <w:sz w:val="18"/>
              </w:rPr>
              <w:t>operating</w:t>
            </w:r>
            <w:r w:rsidRPr="00EB2BD8">
              <w:rPr>
                <w:rFonts w:ascii="Arial"/>
                <w:b/>
                <w:spacing w:val="-2"/>
                <w:sz w:val="18"/>
              </w:rPr>
              <w:t xml:space="preserve"> balance)</w:t>
            </w:r>
          </w:p>
        </w:tc>
        <w:tc>
          <w:tcPr>
            <w:tcW w:w="1416" w:type="dxa"/>
            <w:tcBorders>
              <w:top w:val="single" w:sz="12" w:space="0" w:color="000000"/>
              <w:bottom w:val="single" w:sz="12" w:space="0" w:color="000000"/>
            </w:tcBorders>
            <w:shd w:val="clear" w:color="auto" w:fill="DEEAF6"/>
          </w:tcPr>
          <w:p w14:paraId="05C3F34D" w14:textId="77777777" w:rsidR="00084F36" w:rsidRPr="00EB2BD8" w:rsidRDefault="00EB2BD8">
            <w:pPr>
              <w:pStyle w:val="TableParagraph"/>
              <w:spacing w:before="50"/>
              <w:ind w:right="99"/>
              <w:jc w:val="right"/>
              <w:rPr>
                <w:rFonts w:ascii="Arial"/>
                <w:b/>
                <w:sz w:val="18"/>
              </w:rPr>
            </w:pPr>
            <w:r w:rsidRPr="00EB2BD8">
              <w:rPr>
                <w:rFonts w:ascii="Arial"/>
                <w:b/>
                <w:spacing w:val="-2"/>
                <w:sz w:val="18"/>
              </w:rPr>
              <w:t>8,430</w:t>
            </w:r>
          </w:p>
        </w:tc>
        <w:tc>
          <w:tcPr>
            <w:tcW w:w="1274" w:type="dxa"/>
            <w:tcBorders>
              <w:top w:val="single" w:sz="12" w:space="0" w:color="000000"/>
              <w:bottom w:val="single" w:sz="12" w:space="0" w:color="000000"/>
            </w:tcBorders>
            <w:shd w:val="clear" w:color="auto" w:fill="FFFFFF"/>
          </w:tcPr>
          <w:p w14:paraId="495987AC" w14:textId="77777777" w:rsidR="00084F36" w:rsidRPr="00EB2BD8" w:rsidRDefault="00EB2BD8">
            <w:pPr>
              <w:pStyle w:val="TableParagraph"/>
              <w:spacing w:before="50"/>
              <w:ind w:right="98"/>
              <w:jc w:val="right"/>
              <w:rPr>
                <w:rFonts w:ascii="Arial"/>
                <w:b/>
                <w:sz w:val="18"/>
              </w:rPr>
            </w:pPr>
            <w:r w:rsidRPr="00EB2BD8">
              <w:rPr>
                <w:rFonts w:ascii="Arial"/>
                <w:b/>
                <w:spacing w:val="-2"/>
                <w:sz w:val="18"/>
              </w:rPr>
              <w:t>(7,438)</w:t>
            </w:r>
          </w:p>
        </w:tc>
      </w:tr>
      <w:tr w:rsidR="00EB2BD8" w:rsidRPr="00EB2BD8" w14:paraId="59FBBA44" w14:textId="77777777">
        <w:trPr>
          <w:trHeight w:val="650"/>
        </w:trPr>
        <w:tc>
          <w:tcPr>
            <w:tcW w:w="5664" w:type="dxa"/>
            <w:tcBorders>
              <w:top w:val="single" w:sz="12" w:space="0" w:color="000000"/>
              <w:bottom w:val="single" w:sz="12" w:space="0" w:color="000000"/>
            </w:tcBorders>
            <w:shd w:val="clear" w:color="auto" w:fill="FFFFFF"/>
          </w:tcPr>
          <w:p w14:paraId="1A873B78" w14:textId="77777777" w:rsidR="00084F36" w:rsidRPr="00EB2BD8" w:rsidRDefault="00EB2BD8">
            <w:pPr>
              <w:pStyle w:val="TableParagraph"/>
              <w:spacing w:before="50"/>
              <w:ind w:left="112"/>
              <w:rPr>
                <w:rFonts w:ascii="Arial"/>
                <w:b/>
                <w:sz w:val="18"/>
              </w:rPr>
            </w:pPr>
            <w:r w:rsidRPr="00EB2BD8">
              <w:rPr>
                <w:rFonts w:ascii="Arial"/>
                <w:b/>
                <w:sz w:val="18"/>
              </w:rPr>
              <w:t>Other</w:t>
            </w:r>
            <w:r w:rsidRPr="00EB2BD8">
              <w:rPr>
                <w:rFonts w:ascii="Arial"/>
                <w:b/>
                <w:spacing w:val="-5"/>
                <w:sz w:val="18"/>
              </w:rPr>
              <w:t xml:space="preserve"> </w:t>
            </w:r>
            <w:r w:rsidRPr="00EB2BD8">
              <w:rPr>
                <w:rFonts w:ascii="Arial"/>
                <w:b/>
                <w:sz w:val="18"/>
              </w:rPr>
              <w:t>economic</w:t>
            </w:r>
            <w:r w:rsidRPr="00EB2BD8">
              <w:rPr>
                <w:rFonts w:ascii="Arial"/>
                <w:b/>
                <w:spacing w:val="-2"/>
                <w:sz w:val="18"/>
              </w:rPr>
              <w:t xml:space="preserve"> </w:t>
            </w:r>
            <w:r w:rsidRPr="00EB2BD8">
              <w:rPr>
                <w:rFonts w:ascii="Arial"/>
                <w:b/>
                <w:sz w:val="18"/>
              </w:rPr>
              <w:t>flows</w:t>
            </w:r>
            <w:r w:rsidRPr="00EB2BD8">
              <w:rPr>
                <w:rFonts w:ascii="Arial"/>
                <w:b/>
                <w:spacing w:val="-3"/>
                <w:sz w:val="18"/>
              </w:rPr>
              <w:t xml:space="preserve"> </w:t>
            </w:r>
            <w:r w:rsidRPr="00EB2BD8">
              <w:rPr>
                <w:rFonts w:ascii="Arial"/>
                <w:b/>
                <w:sz w:val="18"/>
              </w:rPr>
              <w:t>included</w:t>
            </w:r>
            <w:r w:rsidRPr="00EB2BD8">
              <w:rPr>
                <w:rFonts w:ascii="Arial"/>
                <w:b/>
                <w:spacing w:val="-2"/>
                <w:sz w:val="18"/>
              </w:rPr>
              <w:t xml:space="preserve"> </w:t>
            </w:r>
            <w:r w:rsidRPr="00EB2BD8">
              <w:rPr>
                <w:rFonts w:ascii="Arial"/>
                <w:b/>
                <w:sz w:val="18"/>
              </w:rPr>
              <w:t>in</w:t>
            </w:r>
            <w:r w:rsidRPr="00EB2BD8">
              <w:rPr>
                <w:rFonts w:ascii="Arial"/>
                <w:b/>
                <w:spacing w:val="-2"/>
                <w:sz w:val="18"/>
              </w:rPr>
              <w:t xml:space="preserve"> </w:t>
            </w:r>
            <w:r w:rsidRPr="00EB2BD8">
              <w:rPr>
                <w:rFonts w:ascii="Arial"/>
                <w:b/>
                <w:sz w:val="18"/>
              </w:rPr>
              <w:t>net</w:t>
            </w:r>
            <w:r w:rsidRPr="00EB2BD8">
              <w:rPr>
                <w:rFonts w:ascii="Arial"/>
                <w:b/>
                <w:spacing w:val="-1"/>
                <w:sz w:val="18"/>
              </w:rPr>
              <w:t xml:space="preserve"> </w:t>
            </w:r>
            <w:r w:rsidRPr="00EB2BD8">
              <w:rPr>
                <w:rFonts w:ascii="Arial"/>
                <w:b/>
                <w:spacing w:val="-2"/>
                <w:sz w:val="18"/>
              </w:rPr>
              <w:t>result</w:t>
            </w:r>
          </w:p>
          <w:p w14:paraId="51012291" w14:textId="77777777" w:rsidR="00084F36" w:rsidRPr="00EB2BD8" w:rsidRDefault="00EB2BD8">
            <w:pPr>
              <w:pStyle w:val="TableParagraph"/>
              <w:spacing w:before="115"/>
              <w:ind w:left="112"/>
              <w:rPr>
                <w:rFonts w:ascii="Arial"/>
                <w:sz w:val="12"/>
              </w:rPr>
            </w:pPr>
            <w:r w:rsidRPr="00EB2BD8">
              <w:rPr>
                <w:rFonts w:ascii="Arial"/>
                <w:sz w:val="18"/>
              </w:rPr>
              <w:t>Net</w:t>
            </w:r>
            <w:r w:rsidRPr="00EB2BD8">
              <w:rPr>
                <w:rFonts w:ascii="Arial"/>
                <w:spacing w:val="-4"/>
                <w:sz w:val="18"/>
              </w:rPr>
              <w:t xml:space="preserve"> </w:t>
            </w:r>
            <w:r w:rsidRPr="00EB2BD8">
              <w:rPr>
                <w:rFonts w:ascii="Arial"/>
                <w:sz w:val="18"/>
              </w:rPr>
              <w:t>gain/(loss)</w:t>
            </w:r>
            <w:r w:rsidRPr="00EB2BD8">
              <w:rPr>
                <w:rFonts w:ascii="Arial"/>
                <w:spacing w:val="-3"/>
                <w:sz w:val="18"/>
              </w:rPr>
              <w:t xml:space="preserve"> </w:t>
            </w:r>
            <w:r w:rsidRPr="00EB2BD8">
              <w:rPr>
                <w:rFonts w:ascii="Arial"/>
                <w:sz w:val="18"/>
              </w:rPr>
              <w:t>on</w:t>
            </w:r>
            <w:r w:rsidRPr="00EB2BD8">
              <w:rPr>
                <w:rFonts w:ascii="Arial"/>
                <w:spacing w:val="-4"/>
                <w:sz w:val="18"/>
              </w:rPr>
              <w:t xml:space="preserve"> </w:t>
            </w:r>
            <w:r w:rsidRPr="00EB2BD8">
              <w:rPr>
                <w:rFonts w:ascii="Arial"/>
                <w:sz w:val="18"/>
              </w:rPr>
              <w:t>non-financial</w:t>
            </w:r>
            <w:r w:rsidRPr="00EB2BD8">
              <w:rPr>
                <w:rFonts w:ascii="Arial"/>
                <w:spacing w:val="-3"/>
                <w:sz w:val="18"/>
              </w:rPr>
              <w:t xml:space="preserve"> </w:t>
            </w:r>
            <w:r w:rsidRPr="00EB2BD8">
              <w:rPr>
                <w:rFonts w:ascii="Arial"/>
                <w:spacing w:val="-2"/>
                <w:sz w:val="18"/>
              </w:rPr>
              <w:t>assets</w:t>
            </w:r>
            <w:r w:rsidRPr="00EB2BD8">
              <w:rPr>
                <w:rFonts w:ascii="Arial"/>
                <w:spacing w:val="-2"/>
                <w:position w:val="6"/>
                <w:sz w:val="12"/>
              </w:rPr>
              <w:t>(b)</w:t>
            </w:r>
          </w:p>
        </w:tc>
        <w:tc>
          <w:tcPr>
            <w:tcW w:w="1423" w:type="dxa"/>
            <w:tcBorders>
              <w:top w:val="single" w:sz="12" w:space="0" w:color="000000"/>
              <w:bottom w:val="single" w:sz="12" w:space="0" w:color="000000"/>
            </w:tcBorders>
            <w:shd w:val="clear" w:color="auto" w:fill="FFFFFF"/>
          </w:tcPr>
          <w:p w14:paraId="3397E274" w14:textId="77777777" w:rsidR="00084F36" w:rsidRPr="00EB2BD8" w:rsidRDefault="00084F36">
            <w:pPr>
              <w:pStyle w:val="TableParagraph"/>
              <w:rPr>
                <w:rFonts w:ascii="Arial"/>
                <w:sz w:val="20"/>
              </w:rPr>
            </w:pPr>
          </w:p>
          <w:p w14:paraId="64D74472" w14:textId="77777777" w:rsidR="00084F36" w:rsidRPr="00EB2BD8" w:rsidRDefault="00EB2BD8">
            <w:pPr>
              <w:pStyle w:val="TableParagraph"/>
              <w:spacing w:before="146"/>
              <w:ind w:right="100"/>
              <w:jc w:val="right"/>
              <w:rPr>
                <w:rFonts w:ascii="Arial"/>
                <w:sz w:val="18"/>
              </w:rPr>
            </w:pPr>
            <w:r w:rsidRPr="00EB2BD8">
              <w:rPr>
                <w:rFonts w:ascii="Arial"/>
                <w:spacing w:val="-5"/>
                <w:sz w:val="18"/>
              </w:rPr>
              <w:t>8.1</w:t>
            </w:r>
          </w:p>
        </w:tc>
        <w:tc>
          <w:tcPr>
            <w:tcW w:w="1416" w:type="dxa"/>
            <w:tcBorders>
              <w:top w:val="single" w:sz="12" w:space="0" w:color="000000"/>
              <w:bottom w:val="single" w:sz="12" w:space="0" w:color="000000"/>
            </w:tcBorders>
            <w:shd w:val="clear" w:color="auto" w:fill="DEEAF6"/>
          </w:tcPr>
          <w:p w14:paraId="3169AE1E" w14:textId="77777777" w:rsidR="00084F36" w:rsidRPr="00EB2BD8" w:rsidRDefault="00084F36">
            <w:pPr>
              <w:pStyle w:val="TableParagraph"/>
              <w:rPr>
                <w:rFonts w:ascii="Arial"/>
                <w:sz w:val="20"/>
              </w:rPr>
            </w:pPr>
          </w:p>
          <w:p w14:paraId="3E499389" w14:textId="77777777" w:rsidR="00084F36" w:rsidRPr="00EB2BD8" w:rsidRDefault="00EB2BD8">
            <w:pPr>
              <w:pStyle w:val="TableParagraph"/>
              <w:spacing w:before="146"/>
              <w:ind w:right="99"/>
              <w:jc w:val="right"/>
              <w:rPr>
                <w:rFonts w:ascii="Arial"/>
                <w:sz w:val="18"/>
              </w:rPr>
            </w:pPr>
            <w:r w:rsidRPr="00EB2BD8">
              <w:rPr>
                <w:rFonts w:ascii="Arial"/>
                <w:spacing w:val="-5"/>
                <w:sz w:val="18"/>
              </w:rPr>
              <w:t>464</w:t>
            </w:r>
          </w:p>
        </w:tc>
        <w:tc>
          <w:tcPr>
            <w:tcW w:w="1274" w:type="dxa"/>
            <w:tcBorders>
              <w:top w:val="single" w:sz="12" w:space="0" w:color="000000"/>
              <w:bottom w:val="single" w:sz="12" w:space="0" w:color="000000"/>
            </w:tcBorders>
            <w:shd w:val="clear" w:color="auto" w:fill="FFFFFF"/>
          </w:tcPr>
          <w:p w14:paraId="27ADB20F" w14:textId="77777777" w:rsidR="00084F36" w:rsidRPr="00EB2BD8" w:rsidRDefault="00084F36">
            <w:pPr>
              <w:pStyle w:val="TableParagraph"/>
              <w:rPr>
                <w:rFonts w:ascii="Arial"/>
                <w:sz w:val="20"/>
              </w:rPr>
            </w:pPr>
          </w:p>
          <w:p w14:paraId="4D94A145" w14:textId="77777777" w:rsidR="00084F36" w:rsidRPr="00EB2BD8" w:rsidRDefault="00EB2BD8">
            <w:pPr>
              <w:pStyle w:val="TableParagraph"/>
              <w:spacing w:before="146"/>
              <w:ind w:right="97"/>
              <w:jc w:val="right"/>
              <w:rPr>
                <w:rFonts w:ascii="Arial"/>
                <w:sz w:val="18"/>
              </w:rPr>
            </w:pPr>
            <w:r w:rsidRPr="00EB2BD8">
              <w:rPr>
                <w:rFonts w:ascii="Arial"/>
                <w:spacing w:val="-5"/>
                <w:sz w:val="18"/>
              </w:rPr>
              <w:t>210</w:t>
            </w:r>
          </w:p>
        </w:tc>
      </w:tr>
      <w:tr w:rsidR="00EB2BD8" w:rsidRPr="00EB2BD8" w14:paraId="107070FE" w14:textId="77777777">
        <w:trPr>
          <w:trHeight w:val="309"/>
        </w:trPr>
        <w:tc>
          <w:tcPr>
            <w:tcW w:w="7087" w:type="dxa"/>
            <w:gridSpan w:val="2"/>
            <w:tcBorders>
              <w:top w:val="single" w:sz="12" w:space="0" w:color="000000"/>
              <w:bottom w:val="single" w:sz="12" w:space="0" w:color="000000"/>
            </w:tcBorders>
            <w:shd w:val="clear" w:color="auto" w:fill="FFFFFF"/>
          </w:tcPr>
          <w:p w14:paraId="2925B99E" w14:textId="77777777" w:rsidR="00084F36" w:rsidRPr="00EB2BD8" w:rsidRDefault="00EB2BD8">
            <w:pPr>
              <w:pStyle w:val="TableParagraph"/>
              <w:spacing w:before="50"/>
              <w:ind w:left="112"/>
              <w:rPr>
                <w:rFonts w:ascii="Arial"/>
                <w:b/>
                <w:sz w:val="18"/>
              </w:rPr>
            </w:pPr>
            <w:r w:rsidRPr="00EB2BD8">
              <w:rPr>
                <w:rFonts w:ascii="Arial"/>
                <w:b/>
                <w:sz w:val="18"/>
              </w:rPr>
              <w:t>Total</w:t>
            </w:r>
            <w:r w:rsidRPr="00EB2BD8">
              <w:rPr>
                <w:rFonts w:ascii="Arial"/>
                <w:b/>
                <w:spacing w:val="-2"/>
                <w:sz w:val="18"/>
              </w:rPr>
              <w:t xml:space="preserve"> </w:t>
            </w:r>
            <w:r w:rsidRPr="00EB2BD8">
              <w:rPr>
                <w:rFonts w:ascii="Arial"/>
                <w:b/>
                <w:sz w:val="18"/>
              </w:rPr>
              <w:t>other</w:t>
            </w:r>
            <w:r w:rsidRPr="00EB2BD8">
              <w:rPr>
                <w:rFonts w:ascii="Arial"/>
                <w:b/>
                <w:spacing w:val="-3"/>
                <w:sz w:val="18"/>
              </w:rPr>
              <w:t xml:space="preserve"> </w:t>
            </w:r>
            <w:r w:rsidRPr="00EB2BD8">
              <w:rPr>
                <w:rFonts w:ascii="Arial"/>
                <w:b/>
                <w:sz w:val="18"/>
              </w:rPr>
              <w:t>economic</w:t>
            </w:r>
            <w:r w:rsidRPr="00EB2BD8">
              <w:rPr>
                <w:rFonts w:ascii="Arial"/>
                <w:b/>
                <w:spacing w:val="-3"/>
                <w:sz w:val="18"/>
              </w:rPr>
              <w:t xml:space="preserve"> </w:t>
            </w:r>
            <w:r w:rsidRPr="00EB2BD8">
              <w:rPr>
                <w:rFonts w:ascii="Arial"/>
                <w:b/>
                <w:sz w:val="18"/>
              </w:rPr>
              <w:t>flows</w:t>
            </w:r>
            <w:r w:rsidRPr="00EB2BD8">
              <w:rPr>
                <w:rFonts w:ascii="Arial"/>
                <w:b/>
                <w:spacing w:val="-3"/>
                <w:sz w:val="18"/>
              </w:rPr>
              <w:t xml:space="preserve"> </w:t>
            </w:r>
            <w:r w:rsidRPr="00EB2BD8">
              <w:rPr>
                <w:rFonts w:ascii="Arial"/>
                <w:b/>
                <w:sz w:val="18"/>
              </w:rPr>
              <w:t>included</w:t>
            </w:r>
            <w:r w:rsidRPr="00EB2BD8">
              <w:rPr>
                <w:rFonts w:ascii="Arial"/>
                <w:b/>
                <w:spacing w:val="-3"/>
                <w:sz w:val="18"/>
              </w:rPr>
              <w:t xml:space="preserve"> </w:t>
            </w:r>
            <w:r w:rsidRPr="00EB2BD8">
              <w:rPr>
                <w:rFonts w:ascii="Arial"/>
                <w:b/>
                <w:sz w:val="18"/>
              </w:rPr>
              <w:t>in</w:t>
            </w:r>
            <w:r w:rsidRPr="00EB2BD8">
              <w:rPr>
                <w:rFonts w:ascii="Arial"/>
                <w:b/>
                <w:spacing w:val="-3"/>
                <w:sz w:val="18"/>
              </w:rPr>
              <w:t xml:space="preserve"> </w:t>
            </w:r>
            <w:r w:rsidRPr="00EB2BD8">
              <w:rPr>
                <w:rFonts w:ascii="Arial"/>
                <w:b/>
                <w:sz w:val="18"/>
              </w:rPr>
              <w:t>net</w:t>
            </w:r>
            <w:r w:rsidRPr="00EB2BD8">
              <w:rPr>
                <w:rFonts w:ascii="Arial"/>
                <w:b/>
                <w:spacing w:val="-1"/>
                <w:sz w:val="18"/>
              </w:rPr>
              <w:t xml:space="preserve"> </w:t>
            </w:r>
            <w:r w:rsidRPr="00EB2BD8">
              <w:rPr>
                <w:rFonts w:ascii="Arial"/>
                <w:b/>
                <w:spacing w:val="-2"/>
                <w:sz w:val="18"/>
              </w:rPr>
              <w:t>result</w:t>
            </w:r>
          </w:p>
        </w:tc>
        <w:tc>
          <w:tcPr>
            <w:tcW w:w="1416" w:type="dxa"/>
            <w:tcBorders>
              <w:top w:val="single" w:sz="12" w:space="0" w:color="000000"/>
              <w:bottom w:val="single" w:sz="12" w:space="0" w:color="000000"/>
            </w:tcBorders>
            <w:shd w:val="clear" w:color="auto" w:fill="DEEAF6"/>
          </w:tcPr>
          <w:p w14:paraId="274E9FFE" w14:textId="77777777" w:rsidR="00084F36" w:rsidRPr="00EB2BD8" w:rsidRDefault="00EB2BD8">
            <w:pPr>
              <w:pStyle w:val="TableParagraph"/>
              <w:spacing w:before="50"/>
              <w:ind w:right="99"/>
              <w:jc w:val="right"/>
              <w:rPr>
                <w:rFonts w:ascii="Arial"/>
                <w:b/>
                <w:sz w:val="18"/>
              </w:rPr>
            </w:pPr>
            <w:r w:rsidRPr="00EB2BD8">
              <w:rPr>
                <w:rFonts w:ascii="Arial"/>
                <w:b/>
                <w:spacing w:val="-5"/>
                <w:sz w:val="18"/>
              </w:rPr>
              <w:t>464</w:t>
            </w:r>
          </w:p>
        </w:tc>
        <w:tc>
          <w:tcPr>
            <w:tcW w:w="1274" w:type="dxa"/>
            <w:tcBorders>
              <w:top w:val="single" w:sz="12" w:space="0" w:color="000000"/>
              <w:bottom w:val="single" w:sz="12" w:space="0" w:color="000000"/>
            </w:tcBorders>
            <w:shd w:val="clear" w:color="auto" w:fill="FFFFFF"/>
          </w:tcPr>
          <w:p w14:paraId="0E5C9297" w14:textId="77777777" w:rsidR="00084F36" w:rsidRPr="00EB2BD8" w:rsidRDefault="00EB2BD8">
            <w:pPr>
              <w:pStyle w:val="TableParagraph"/>
              <w:spacing w:before="50"/>
              <w:ind w:right="98"/>
              <w:jc w:val="right"/>
              <w:rPr>
                <w:rFonts w:ascii="Arial"/>
                <w:b/>
                <w:sz w:val="18"/>
              </w:rPr>
            </w:pPr>
            <w:r w:rsidRPr="00EB2BD8">
              <w:rPr>
                <w:rFonts w:ascii="Arial"/>
                <w:b/>
                <w:spacing w:val="-5"/>
                <w:sz w:val="18"/>
              </w:rPr>
              <w:t>210</w:t>
            </w:r>
          </w:p>
        </w:tc>
      </w:tr>
      <w:tr w:rsidR="00EB2BD8" w:rsidRPr="00EB2BD8" w14:paraId="2196FFFA" w14:textId="77777777">
        <w:trPr>
          <w:trHeight w:val="310"/>
        </w:trPr>
        <w:tc>
          <w:tcPr>
            <w:tcW w:w="7087" w:type="dxa"/>
            <w:gridSpan w:val="2"/>
            <w:tcBorders>
              <w:top w:val="single" w:sz="12" w:space="0" w:color="000000"/>
              <w:bottom w:val="single" w:sz="12" w:space="0" w:color="000000"/>
            </w:tcBorders>
            <w:shd w:val="clear" w:color="auto" w:fill="FFFFFF"/>
          </w:tcPr>
          <w:p w14:paraId="44AB7459" w14:textId="77777777" w:rsidR="00084F36" w:rsidRPr="00EB2BD8" w:rsidRDefault="00EB2BD8">
            <w:pPr>
              <w:pStyle w:val="TableParagraph"/>
              <w:spacing w:before="50"/>
              <w:ind w:left="112"/>
              <w:rPr>
                <w:rFonts w:ascii="Arial"/>
                <w:b/>
                <w:sz w:val="18"/>
              </w:rPr>
            </w:pPr>
            <w:r w:rsidRPr="00EB2BD8">
              <w:rPr>
                <w:rFonts w:ascii="Arial"/>
                <w:b/>
                <w:sz w:val="18"/>
              </w:rPr>
              <w:t>Net</w:t>
            </w:r>
            <w:r w:rsidRPr="00EB2BD8">
              <w:rPr>
                <w:rFonts w:ascii="Arial"/>
                <w:b/>
                <w:spacing w:val="-3"/>
                <w:sz w:val="18"/>
              </w:rPr>
              <w:t xml:space="preserve"> </w:t>
            </w:r>
            <w:r w:rsidRPr="00EB2BD8">
              <w:rPr>
                <w:rFonts w:ascii="Arial"/>
                <w:b/>
                <w:sz w:val="18"/>
              </w:rPr>
              <w:t>result</w:t>
            </w:r>
            <w:r w:rsidRPr="00EB2BD8">
              <w:rPr>
                <w:rFonts w:ascii="Arial"/>
                <w:b/>
                <w:spacing w:val="-2"/>
                <w:sz w:val="18"/>
              </w:rPr>
              <w:t xml:space="preserve"> </w:t>
            </w:r>
            <w:r w:rsidRPr="00EB2BD8">
              <w:rPr>
                <w:rFonts w:ascii="Arial"/>
                <w:b/>
                <w:sz w:val="18"/>
              </w:rPr>
              <w:t>from</w:t>
            </w:r>
            <w:r w:rsidRPr="00EB2BD8">
              <w:rPr>
                <w:rFonts w:ascii="Arial"/>
                <w:b/>
                <w:spacing w:val="-3"/>
                <w:sz w:val="18"/>
              </w:rPr>
              <w:t xml:space="preserve"> </w:t>
            </w:r>
            <w:r w:rsidRPr="00EB2BD8">
              <w:rPr>
                <w:rFonts w:ascii="Arial"/>
                <w:b/>
                <w:sz w:val="18"/>
              </w:rPr>
              <w:t>continuing</w:t>
            </w:r>
            <w:r w:rsidRPr="00EB2BD8">
              <w:rPr>
                <w:rFonts w:ascii="Arial"/>
                <w:b/>
                <w:spacing w:val="-3"/>
                <w:sz w:val="18"/>
              </w:rPr>
              <w:t xml:space="preserve"> </w:t>
            </w:r>
            <w:r w:rsidRPr="00EB2BD8">
              <w:rPr>
                <w:rFonts w:ascii="Arial"/>
                <w:b/>
                <w:spacing w:val="-2"/>
                <w:sz w:val="18"/>
              </w:rPr>
              <w:t>operations</w:t>
            </w:r>
          </w:p>
        </w:tc>
        <w:tc>
          <w:tcPr>
            <w:tcW w:w="1416" w:type="dxa"/>
            <w:tcBorders>
              <w:top w:val="single" w:sz="12" w:space="0" w:color="000000"/>
              <w:bottom w:val="single" w:sz="12" w:space="0" w:color="000000"/>
            </w:tcBorders>
            <w:shd w:val="clear" w:color="auto" w:fill="DEEAF6"/>
          </w:tcPr>
          <w:p w14:paraId="009B5D64" w14:textId="77777777" w:rsidR="00084F36" w:rsidRPr="00EB2BD8" w:rsidRDefault="00EB2BD8">
            <w:pPr>
              <w:pStyle w:val="TableParagraph"/>
              <w:spacing w:before="50"/>
              <w:ind w:right="99"/>
              <w:jc w:val="right"/>
              <w:rPr>
                <w:rFonts w:ascii="Arial"/>
                <w:b/>
                <w:sz w:val="18"/>
              </w:rPr>
            </w:pPr>
            <w:r w:rsidRPr="00EB2BD8">
              <w:rPr>
                <w:rFonts w:ascii="Arial"/>
                <w:b/>
                <w:spacing w:val="-2"/>
                <w:sz w:val="18"/>
              </w:rPr>
              <w:t>8,894</w:t>
            </w:r>
          </w:p>
        </w:tc>
        <w:tc>
          <w:tcPr>
            <w:tcW w:w="1274" w:type="dxa"/>
            <w:tcBorders>
              <w:top w:val="single" w:sz="12" w:space="0" w:color="000000"/>
              <w:bottom w:val="single" w:sz="12" w:space="0" w:color="000000"/>
            </w:tcBorders>
            <w:shd w:val="clear" w:color="auto" w:fill="FFFFFF"/>
          </w:tcPr>
          <w:p w14:paraId="635A7DBF" w14:textId="77777777" w:rsidR="00084F36" w:rsidRPr="00EB2BD8" w:rsidRDefault="00EB2BD8">
            <w:pPr>
              <w:pStyle w:val="TableParagraph"/>
              <w:spacing w:before="50"/>
              <w:ind w:right="98"/>
              <w:jc w:val="right"/>
              <w:rPr>
                <w:rFonts w:ascii="Arial"/>
                <w:b/>
                <w:sz w:val="18"/>
              </w:rPr>
            </w:pPr>
            <w:r w:rsidRPr="00EB2BD8">
              <w:rPr>
                <w:rFonts w:ascii="Arial"/>
                <w:b/>
                <w:spacing w:val="-2"/>
                <w:sz w:val="18"/>
              </w:rPr>
              <w:t>(7,228)</w:t>
            </w:r>
          </w:p>
        </w:tc>
      </w:tr>
      <w:tr w:rsidR="00EB2BD8" w:rsidRPr="00EB2BD8" w14:paraId="719D64FC" w14:textId="77777777">
        <w:trPr>
          <w:trHeight w:val="990"/>
        </w:trPr>
        <w:tc>
          <w:tcPr>
            <w:tcW w:w="5664" w:type="dxa"/>
            <w:tcBorders>
              <w:top w:val="single" w:sz="12" w:space="0" w:color="000000"/>
              <w:bottom w:val="single" w:sz="12" w:space="0" w:color="000000"/>
            </w:tcBorders>
            <w:shd w:val="clear" w:color="auto" w:fill="FFFFFF"/>
          </w:tcPr>
          <w:p w14:paraId="38E6D4DD" w14:textId="77777777" w:rsidR="00084F36" w:rsidRPr="00EB2BD8" w:rsidRDefault="00EB2BD8">
            <w:pPr>
              <w:pStyle w:val="TableParagraph"/>
              <w:spacing w:before="50" w:line="376" w:lineRule="auto"/>
              <w:ind w:left="112" w:right="502"/>
              <w:rPr>
                <w:rFonts w:ascii="Arial" w:hAnsi="Arial"/>
                <w:b/>
                <w:sz w:val="18"/>
              </w:rPr>
            </w:pPr>
            <w:r w:rsidRPr="00EB2BD8">
              <w:rPr>
                <w:rFonts w:ascii="Arial" w:hAnsi="Arial"/>
                <w:b/>
                <w:sz w:val="18"/>
              </w:rPr>
              <w:t>Other</w:t>
            </w:r>
            <w:r w:rsidRPr="00EB2BD8">
              <w:rPr>
                <w:rFonts w:ascii="Arial" w:hAnsi="Arial"/>
                <w:b/>
                <w:spacing w:val="-7"/>
                <w:sz w:val="18"/>
              </w:rPr>
              <w:t xml:space="preserve"> </w:t>
            </w:r>
            <w:r w:rsidRPr="00EB2BD8">
              <w:rPr>
                <w:rFonts w:ascii="Arial" w:hAnsi="Arial"/>
                <w:b/>
                <w:sz w:val="18"/>
              </w:rPr>
              <w:t>economic</w:t>
            </w:r>
            <w:r w:rsidRPr="00EB2BD8">
              <w:rPr>
                <w:rFonts w:ascii="Arial" w:hAnsi="Arial"/>
                <w:b/>
                <w:spacing w:val="-7"/>
                <w:sz w:val="18"/>
              </w:rPr>
              <w:t xml:space="preserve"> </w:t>
            </w:r>
            <w:r w:rsidRPr="00EB2BD8">
              <w:rPr>
                <w:rFonts w:ascii="Arial" w:hAnsi="Arial"/>
                <w:b/>
                <w:sz w:val="18"/>
              </w:rPr>
              <w:t>flows</w:t>
            </w:r>
            <w:r w:rsidRPr="00EB2BD8">
              <w:rPr>
                <w:rFonts w:ascii="Arial" w:hAnsi="Arial"/>
                <w:b/>
                <w:spacing w:val="-7"/>
                <w:sz w:val="18"/>
              </w:rPr>
              <w:t xml:space="preserve"> </w:t>
            </w:r>
            <w:r w:rsidRPr="00EB2BD8">
              <w:rPr>
                <w:rFonts w:ascii="Arial" w:hAnsi="Arial"/>
                <w:b/>
                <w:sz w:val="18"/>
              </w:rPr>
              <w:t>–</w:t>
            </w:r>
            <w:r w:rsidRPr="00EB2BD8">
              <w:rPr>
                <w:rFonts w:ascii="Arial" w:hAnsi="Arial"/>
                <w:b/>
                <w:spacing w:val="-7"/>
                <w:sz w:val="18"/>
              </w:rPr>
              <w:t xml:space="preserve"> </w:t>
            </w:r>
            <w:r w:rsidRPr="00EB2BD8">
              <w:rPr>
                <w:rFonts w:ascii="Arial" w:hAnsi="Arial"/>
                <w:b/>
                <w:sz w:val="18"/>
              </w:rPr>
              <w:t>other</w:t>
            </w:r>
            <w:r w:rsidRPr="00EB2BD8">
              <w:rPr>
                <w:rFonts w:ascii="Arial" w:hAnsi="Arial"/>
                <w:b/>
                <w:spacing w:val="-7"/>
                <w:sz w:val="18"/>
              </w:rPr>
              <w:t xml:space="preserve"> </w:t>
            </w:r>
            <w:r w:rsidRPr="00EB2BD8">
              <w:rPr>
                <w:rFonts w:ascii="Arial" w:hAnsi="Arial"/>
                <w:b/>
                <w:sz w:val="18"/>
              </w:rPr>
              <w:t>comprehensive</w:t>
            </w:r>
            <w:r w:rsidRPr="00EB2BD8">
              <w:rPr>
                <w:rFonts w:ascii="Arial" w:hAnsi="Arial"/>
                <w:b/>
                <w:spacing w:val="-7"/>
                <w:sz w:val="18"/>
              </w:rPr>
              <w:t xml:space="preserve"> </w:t>
            </w:r>
            <w:r w:rsidRPr="00EB2BD8">
              <w:rPr>
                <w:rFonts w:ascii="Arial" w:hAnsi="Arial"/>
                <w:b/>
                <w:sz w:val="18"/>
              </w:rPr>
              <w:t>income: Items that will not be classified to net result</w:t>
            </w:r>
          </w:p>
          <w:p w14:paraId="0A810139" w14:textId="77777777" w:rsidR="00084F36" w:rsidRPr="00EB2BD8" w:rsidRDefault="00EB2BD8">
            <w:pPr>
              <w:pStyle w:val="TableParagraph"/>
              <w:spacing w:before="12"/>
              <w:ind w:left="112"/>
              <w:rPr>
                <w:rFonts w:ascii="Arial"/>
                <w:sz w:val="12"/>
              </w:rPr>
            </w:pPr>
            <w:r w:rsidRPr="00EB2BD8">
              <w:rPr>
                <w:rFonts w:ascii="Arial"/>
                <w:sz w:val="18"/>
              </w:rPr>
              <w:t>Changes</w:t>
            </w:r>
            <w:r w:rsidRPr="00EB2BD8">
              <w:rPr>
                <w:rFonts w:ascii="Arial"/>
                <w:spacing w:val="-4"/>
                <w:sz w:val="18"/>
              </w:rPr>
              <w:t xml:space="preserve"> </w:t>
            </w:r>
            <w:r w:rsidRPr="00EB2BD8">
              <w:rPr>
                <w:rFonts w:ascii="Arial"/>
                <w:sz w:val="18"/>
              </w:rPr>
              <w:t>in</w:t>
            </w:r>
            <w:r w:rsidRPr="00EB2BD8">
              <w:rPr>
                <w:rFonts w:ascii="Arial"/>
                <w:spacing w:val="-5"/>
                <w:sz w:val="18"/>
              </w:rPr>
              <w:t xml:space="preserve"> </w:t>
            </w:r>
            <w:r w:rsidRPr="00EB2BD8">
              <w:rPr>
                <w:rFonts w:ascii="Arial"/>
                <w:sz w:val="18"/>
              </w:rPr>
              <w:t>physical</w:t>
            </w:r>
            <w:r w:rsidRPr="00EB2BD8">
              <w:rPr>
                <w:rFonts w:ascii="Arial"/>
                <w:spacing w:val="-3"/>
                <w:sz w:val="18"/>
              </w:rPr>
              <w:t xml:space="preserve"> </w:t>
            </w:r>
            <w:r w:rsidRPr="00EB2BD8">
              <w:rPr>
                <w:rFonts w:ascii="Arial"/>
                <w:sz w:val="18"/>
              </w:rPr>
              <w:t>asset</w:t>
            </w:r>
            <w:r w:rsidRPr="00EB2BD8">
              <w:rPr>
                <w:rFonts w:ascii="Arial"/>
                <w:spacing w:val="-4"/>
                <w:sz w:val="18"/>
              </w:rPr>
              <w:t xml:space="preserve"> </w:t>
            </w:r>
            <w:r w:rsidRPr="00EB2BD8">
              <w:rPr>
                <w:rFonts w:ascii="Arial"/>
                <w:sz w:val="18"/>
              </w:rPr>
              <w:t>revaluation</w:t>
            </w:r>
            <w:r w:rsidRPr="00EB2BD8">
              <w:rPr>
                <w:rFonts w:ascii="Arial"/>
                <w:spacing w:val="-4"/>
                <w:sz w:val="18"/>
              </w:rPr>
              <w:t xml:space="preserve"> </w:t>
            </w:r>
            <w:r w:rsidRPr="00EB2BD8">
              <w:rPr>
                <w:rFonts w:ascii="Arial"/>
                <w:spacing w:val="-2"/>
                <w:sz w:val="18"/>
              </w:rPr>
              <w:t>surplus</w:t>
            </w:r>
            <w:r w:rsidRPr="00EB2BD8">
              <w:rPr>
                <w:rFonts w:ascii="Arial"/>
                <w:spacing w:val="-2"/>
                <w:position w:val="6"/>
                <w:sz w:val="12"/>
              </w:rPr>
              <w:t>(c)</w:t>
            </w:r>
          </w:p>
        </w:tc>
        <w:tc>
          <w:tcPr>
            <w:tcW w:w="1423" w:type="dxa"/>
            <w:tcBorders>
              <w:top w:val="single" w:sz="12" w:space="0" w:color="000000"/>
              <w:bottom w:val="single" w:sz="12" w:space="0" w:color="000000"/>
            </w:tcBorders>
            <w:shd w:val="clear" w:color="auto" w:fill="FFFFFF"/>
          </w:tcPr>
          <w:p w14:paraId="1218A081" w14:textId="77777777" w:rsidR="00084F36" w:rsidRPr="00EB2BD8" w:rsidRDefault="00084F36">
            <w:pPr>
              <w:pStyle w:val="TableParagraph"/>
              <w:rPr>
                <w:rFonts w:ascii="Arial"/>
                <w:sz w:val="20"/>
              </w:rPr>
            </w:pPr>
          </w:p>
          <w:p w14:paraId="55D24290" w14:textId="77777777" w:rsidR="00084F36" w:rsidRPr="00EB2BD8" w:rsidRDefault="00084F36">
            <w:pPr>
              <w:pStyle w:val="TableParagraph"/>
              <w:rPr>
                <w:rFonts w:ascii="Arial"/>
                <w:sz w:val="20"/>
              </w:rPr>
            </w:pPr>
          </w:p>
          <w:p w14:paraId="7E507603" w14:textId="77777777" w:rsidR="00084F36" w:rsidRPr="00EB2BD8" w:rsidRDefault="00084F36">
            <w:pPr>
              <w:pStyle w:val="TableParagraph"/>
              <w:spacing w:before="2"/>
              <w:rPr>
                <w:rFonts w:ascii="Arial"/>
              </w:rPr>
            </w:pPr>
          </w:p>
          <w:p w14:paraId="6FCC39E9" w14:textId="77777777" w:rsidR="00084F36" w:rsidRPr="00EB2BD8" w:rsidRDefault="00EB2BD8">
            <w:pPr>
              <w:pStyle w:val="TableParagraph"/>
              <w:ind w:right="100"/>
              <w:jc w:val="right"/>
              <w:rPr>
                <w:rFonts w:ascii="Arial"/>
                <w:sz w:val="18"/>
              </w:rPr>
            </w:pPr>
            <w:r w:rsidRPr="00EB2BD8">
              <w:rPr>
                <w:rFonts w:ascii="Arial"/>
                <w:spacing w:val="-5"/>
                <w:sz w:val="18"/>
              </w:rPr>
              <w:t>8.2</w:t>
            </w:r>
          </w:p>
        </w:tc>
        <w:tc>
          <w:tcPr>
            <w:tcW w:w="1416" w:type="dxa"/>
            <w:tcBorders>
              <w:top w:val="single" w:sz="12" w:space="0" w:color="000000"/>
              <w:bottom w:val="single" w:sz="12" w:space="0" w:color="000000"/>
            </w:tcBorders>
            <w:shd w:val="clear" w:color="auto" w:fill="DEEAF6"/>
          </w:tcPr>
          <w:p w14:paraId="08D6A459" w14:textId="77777777" w:rsidR="00084F36" w:rsidRPr="00EB2BD8" w:rsidRDefault="00084F36">
            <w:pPr>
              <w:pStyle w:val="TableParagraph"/>
              <w:rPr>
                <w:rFonts w:ascii="Arial"/>
                <w:sz w:val="20"/>
              </w:rPr>
            </w:pPr>
          </w:p>
          <w:p w14:paraId="2D6B91D2" w14:textId="77777777" w:rsidR="00084F36" w:rsidRPr="00EB2BD8" w:rsidRDefault="00084F36">
            <w:pPr>
              <w:pStyle w:val="TableParagraph"/>
              <w:rPr>
                <w:rFonts w:ascii="Arial"/>
                <w:sz w:val="20"/>
              </w:rPr>
            </w:pPr>
          </w:p>
          <w:p w14:paraId="12C5F491" w14:textId="77777777" w:rsidR="00084F36" w:rsidRPr="00EB2BD8" w:rsidRDefault="00084F36">
            <w:pPr>
              <w:pStyle w:val="TableParagraph"/>
              <w:spacing w:before="2"/>
              <w:rPr>
                <w:rFonts w:ascii="Arial"/>
              </w:rPr>
            </w:pPr>
          </w:p>
          <w:p w14:paraId="4F4418E5" w14:textId="77777777" w:rsidR="00084F36" w:rsidRPr="00EB2BD8" w:rsidRDefault="00EB2BD8">
            <w:pPr>
              <w:pStyle w:val="TableParagraph"/>
              <w:ind w:right="98"/>
              <w:jc w:val="right"/>
              <w:rPr>
                <w:rFonts w:ascii="Arial"/>
                <w:sz w:val="18"/>
              </w:rPr>
            </w:pPr>
            <w:r w:rsidRPr="00EB2BD8">
              <w:rPr>
                <w:rFonts w:ascii="Arial"/>
                <w:sz w:val="18"/>
              </w:rPr>
              <w:t>-</w:t>
            </w:r>
          </w:p>
        </w:tc>
        <w:tc>
          <w:tcPr>
            <w:tcW w:w="1274" w:type="dxa"/>
            <w:tcBorders>
              <w:top w:val="single" w:sz="12" w:space="0" w:color="000000"/>
              <w:bottom w:val="single" w:sz="12" w:space="0" w:color="000000"/>
            </w:tcBorders>
            <w:shd w:val="clear" w:color="auto" w:fill="FFFFFF"/>
          </w:tcPr>
          <w:p w14:paraId="027BE834" w14:textId="77777777" w:rsidR="00084F36" w:rsidRPr="00EB2BD8" w:rsidRDefault="00084F36">
            <w:pPr>
              <w:pStyle w:val="TableParagraph"/>
              <w:rPr>
                <w:rFonts w:ascii="Arial"/>
                <w:sz w:val="20"/>
              </w:rPr>
            </w:pPr>
          </w:p>
          <w:p w14:paraId="6687D2A7" w14:textId="77777777" w:rsidR="00084F36" w:rsidRPr="00EB2BD8" w:rsidRDefault="00084F36">
            <w:pPr>
              <w:pStyle w:val="TableParagraph"/>
              <w:rPr>
                <w:rFonts w:ascii="Arial"/>
                <w:sz w:val="20"/>
              </w:rPr>
            </w:pPr>
          </w:p>
          <w:p w14:paraId="03A9409E" w14:textId="77777777" w:rsidR="00084F36" w:rsidRPr="00EB2BD8" w:rsidRDefault="00084F36">
            <w:pPr>
              <w:pStyle w:val="TableParagraph"/>
              <w:spacing w:before="2"/>
              <w:rPr>
                <w:rFonts w:ascii="Arial"/>
              </w:rPr>
            </w:pPr>
          </w:p>
          <w:p w14:paraId="0F209FC1" w14:textId="77777777" w:rsidR="00084F36" w:rsidRPr="00EB2BD8" w:rsidRDefault="00EB2BD8">
            <w:pPr>
              <w:pStyle w:val="TableParagraph"/>
              <w:ind w:right="97"/>
              <w:jc w:val="right"/>
              <w:rPr>
                <w:rFonts w:ascii="Arial"/>
                <w:sz w:val="18"/>
              </w:rPr>
            </w:pPr>
            <w:r w:rsidRPr="00EB2BD8">
              <w:rPr>
                <w:rFonts w:ascii="Arial"/>
                <w:spacing w:val="-5"/>
                <w:sz w:val="18"/>
              </w:rPr>
              <w:t>342</w:t>
            </w:r>
          </w:p>
        </w:tc>
      </w:tr>
      <w:tr w:rsidR="00EB2BD8" w:rsidRPr="00EB2BD8" w14:paraId="2B844C91" w14:textId="77777777">
        <w:trPr>
          <w:trHeight w:val="309"/>
        </w:trPr>
        <w:tc>
          <w:tcPr>
            <w:tcW w:w="7087" w:type="dxa"/>
            <w:gridSpan w:val="2"/>
            <w:tcBorders>
              <w:top w:val="single" w:sz="12" w:space="0" w:color="000000"/>
              <w:bottom w:val="single" w:sz="12" w:space="0" w:color="000000"/>
            </w:tcBorders>
            <w:shd w:val="clear" w:color="auto" w:fill="FFFFFF"/>
          </w:tcPr>
          <w:p w14:paraId="3E380864" w14:textId="77777777" w:rsidR="00084F36" w:rsidRPr="00EB2BD8" w:rsidRDefault="00EB2BD8">
            <w:pPr>
              <w:pStyle w:val="TableParagraph"/>
              <w:spacing w:before="50"/>
              <w:ind w:left="112"/>
              <w:rPr>
                <w:rFonts w:ascii="Arial" w:hAnsi="Arial"/>
                <w:b/>
                <w:sz w:val="18"/>
              </w:rPr>
            </w:pPr>
            <w:r w:rsidRPr="00EB2BD8">
              <w:rPr>
                <w:rFonts w:ascii="Arial" w:hAnsi="Arial"/>
                <w:b/>
                <w:sz w:val="18"/>
              </w:rPr>
              <w:t>Total</w:t>
            </w:r>
            <w:r w:rsidRPr="00EB2BD8">
              <w:rPr>
                <w:rFonts w:ascii="Arial" w:hAnsi="Arial"/>
                <w:b/>
                <w:spacing w:val="-5"/>
                <w:sz w:val="18"/>
              </w:rPr>
              <w:t xml:space="preserve"> </w:t>
            </w:r>
            <w:r w:rsidRPr="00EB2BD8">
              <w:rPr>
                <w:rFonts w:ascii="Arial" w:hAnsi="Arial"/>
                <w:b/>
                <w:sz w:val="18"/>
              </w:rPr>
              <w:t>other</w:t>
            </w:r>
            <w:r w:rsidRPr="00EB2BD8">
              <w:rPr>
                <w:rFonts w:ascii="Arial" w:hAnsi="Arial"/>
                <w:b/>
                <w:spacing w:val="-3"/>
                <w:sz w:val="18"/>
              </w:rPr>
              <w:t xml:space="preserve"> </w:t>
            </w:r>
            <w:r w:rsidRPr="00EB2BD8">
              <w:rPr>
                <w:rFonts w:ascii="Arial" w:hAnsi="Arial"/>
                <w:b/>
                <w:sz w:val="18"/>
              </w:rPr>
              <w:t>economic</w:t>
            </w:r>
            <w:r w:rsidRPr="00EB2BD8">
              <w:rPr>
                <w:rFonts w:ascii="Arial" w:hAnsi="Arial"/>
                <w:b/>
                <w:spacing w:val="-3"/>
                <w:sz w:val="18"/>
              </w:rPr>
              <w:t xml:space="preserve"> </w:t>
            </w:r>
            <w:r w:rsidRPr="00EB2BD8">
              <w:rPr>
                <w:rFonts w:ascii="Arial" w:hAnsi="Arial"/>
                <w:b/>
                <w:sz w:val="18"/>
              </w:rPr>
              <w:t>flows</w:t>
            </w:r>
            <w:r w:rsidRPr="00EB2BD8">
              <w:rPr>
                <w:rFonts w:ascii="Arial" w:hAnsi="Arial"/>
                <w:b/>
                <w:spacing w:val="-3"/>
                <w:sz w:val="18"/>
              </w:rPr>
              <w:t xml:space="preserve"> </w:t>
            </w:r>
            <w:r w:rsidRPr="00EB2BD8">
              <w:rPr>
                <w:rFonts w:ascii="Arial" w:hAnsi="Arial"/>
                <w:b/>
                <w:sz w:val="18"/>
              </w:rPr>
              <w:t>–</w:t>
            </w:r>
            <w:r w:rsidRPr="00EB2BD8">
              <w:rPr>
                <w:rFonts w:ascii="Arial" w:hAnsi="Arial"/>
                <w:b/>
                <w:spacing w:val="-3"/>
                <w:sz w:val="18"/>
              </w:rPr>
              <w:t xml:space="preserve"> </w:t>
            </w:r>
            <w:r w:rsidRPr="00EB2BD8">
              <w:rPr>
                <w:rFonts w:ascii="Arial" w:hAnsi="Arial"/>
                <w:b/>
                <w:sz w:val="18"/>
              </w:rPr>
              <w:t>other</w:t>
            </w:r>
            <w:r w:rsidRPr="00EB2BD8">
              <w:rPr>
                <w:rFonts w:ascii="Arial" w:hAnsi="Arial"/>
                <w:b/>
                <w:spacing w:val="-3"/>
                <w:sz w:val="18"/>
              </w:rPr>
              <w:t xml:space="preserve"> </w:t>
            </w:r>
            <w:r w:rsidRPr="00EB2BD8">
              <w:rPr>
                <w:rFonts w:ascii="Arial" w:hAnsi="Arial"/>
                <w:b/>
                <w:sz w:val="18"/>
              </w:rPr>
              <w:t>comprehensive</w:t>
            </w:r>
            <w:r w:rsidRPr="00EB2BD8">
              <w:rPr>
                <w:rFonts w:ascii="Arial" w:hAnsi="Arial"/>
                <w:b/>
                <w:spacing w:val="-3"/>
                <w:sz w:val="18"/>
              </w:rPr>
              <w:t xml:space="preserve"> </w:t>
            </w:r>
            <w:r w:rsidRPr="00EB2BD8">
              <w:rPr>
                <w:rFonts w:ascii="Arial" w:hAnsi="Arial"/>
                <w:b/>
                <w:spacing w:val="-2"/>
                <w:sz w:val="18"/>
              </w:rPr>
              <w:t>income</w:t>
            </w:r>
          </w:p>
        </w:tc>
        <w:tc>
          <w:tcPr>
            <w:tcW w:w="1416" w:type="dxa"/>
            <w:tcBorders>
              <w:top w:val="single" w:sz="12" w:space="0" w:color="000000"/>
              <w:bottom w:val="single" w:sz="12" w:space="0" w:color="000000"/>
            </w:tcBorders>
            <w:shd w:val="clear" w:color="auto" w:fill="DEEAF6"/>
          </w:tcPr>
          <w:p w14:paraId="06A6AD16" w14:textId="77777777" w:rsidR="00084F36" w:rsidRPr="00EB2BD8" w:rsidRDefault="00EB2BD8">
            <w:pPr>
              <w:pStyle w:val="TableParagraph"/>
              <w:spacing w:before="50"/>
              <w:ind w:right="98"/>
              <w:jc w:val="right"/>
              <w:rPr>
                <w:rFonts w:ascii="Arial"/>
                <w:b/>
                <w:sz w:val="18"/>
              </w:rPr>
            </w:pPr>
            <w:r w:rsidRPr="00EB2BD8">
              <w:rPr>
                <w:rFonts w:ascii="Arial"/>
                <w:b/>
                <w:sz w:val="18"/>
              </w:rPr>
              <w:t>-</w:t>
            </w:r>
          </w:p>
        </w:tc>
        <w:tc>
          <w:tcPr>
            <w:tcW w:w="1274" w:type="dxa"/>
            <w:tcBorders>
              <w:top w:val="single" w:sz="12" w:space="0" w:color="000000"/>
              <w:bottom w:val="single" w:sz="12" w:space="0" w:color="000000"/>
            </w:tcBorders>
            <w:shd w:val="clear" w:color="auto" w:fill="FFFFFF"/>
          </w:tcPr>
          <w:p w14:paraId="434AE6C8" w14:textId="77777777" w:rsidR="00084F36" w:rsidRPr="00EB2BD8" w:rsidRDefault="00EB2BD8">
            <w:pPr>
              <w:pStyle w:val="TableParagraph"/>
              <w:spacing w:before="50"/>
              <w:ind w:right="98"/>
              <w:jc w:val="right"/>
              <w:rPr>
                <w:rFonts w:ascii="Arial"/>
                <w:b/>
                <w:sz w:val="18"/>
              </w:rPr>
            </w:pPr>
            <w:r w:rsidRPr="00EB2BD8">
              <w:rPr>
                <w:rFonts w:ascii="Arial"/>
                <w:b/>
                <w:spacing w:val="-5"/>
                <w:sz w:val="18"/>
              </w:rPr>
              <w:t>342</w:t>
            </w:r>
          </w:p>
        </w:tc>
      </w:tr>
      <w:tr w:rsidR="00EB2BD8" w:rsidRPr="00EB2BD8" w14:paraId="3E7A673B" w14:textId="77777777">
        <w:trPr>
          <w:trHeight w:val="309"/>
        </w:trPr>
        <w:tc>
          <w:tcPr>
            <w:tcW w:w="7087" w:type="dxa"/>
            <w:gridSpan w:val="2"/>
            <w:tcBorders>
              <w:top w:val="single" w:sz="12" w:space="0" w:color="000000"/>
              <w:bottom w:val="single" w:sz="12" w:space="0" w:color="000000"/>
            </w:tcBorders>
            <w:shd w:val="clear" w:color="auto" w:fill="FFFFFF"/>
          </w:tcPr>
          <w:p w14:paraId="0D7A1C36" w14:textId="77777777" w:rsidR="00084F36" w:rsidRPr="00EB2BD8" w:rsidRDefault="00EB2BD8">
            <w:pPr>
              <w:pStyle w:val="TableParagraph"/>
              <w:spacing w:before="50"/>
              <w:ind w:left="112"/>
              <w:rPr>
                <w:rFonts w:ascii="Arial"/>
                <w:b/>
                <w:sz w:val="18"/>
              </w:rPr>
            </w:pPr>
            <w:r w:rsidRPr="00EB2BD8">
              <w:rPr>
                <w:rFonts w:ascii="Arial"/>
                <w:b/>
                <w:sz w:val="18"/>
              </w:rPr>
              <w:t>Comprehensive</w:t>
            </w:r>
            <w:r w:rsidRPr="00EB2BD8">
              <w:rPr>
                <w:rFonts w:ascii="Arial"/>
                <w:b/>
                <w:spacing w:val="-7"/>
                <w:sz w:val="18"/>
              </w:rPr>
              <w:t xml:space="preserve"> </w:t>
            </w:r>
            <w:r w:rsidRPr="00EB2BD8">
              <w:rPr>
                <w:rFonts w:ascii="Arial"/>
                <w:b/>
                <w:spacing w:val="-2"/>
                <w:sz w:val="18"/>
              </w:rPr>
              <w:t>result</w:t>
            </w:r>
          </w:p>
        </w:tc>
        <w:tc>
          <w:tcPr>
            <w:tcW w:w="1416" w:type="dxa"/>
            <w:tcBorders>
              <w:top w:val="single" w:sz="12" w:space="0" w:color="000000"/>
              <w:bottom w:val="single" w:sz="12" w:space="0" w:color="000000"/>
            </w:tcBorders>
            <w:shd w:val="clear" w:color="auto" w:fill="DEEAF6"/>
          </w:tcPr>
          <w:p w14:paraId="20990CAD" w14:textId="77777777" w:rsidR="00084F36" w:rsidRPr="00EB2BD8" w:rsidRDefault="00EB2BD8">
            <w:pPr>
              <w:pStyle w:val="TableParagraph"/>
              <w:spacing w:before="50"/>
              <w:ind w:right="99"/>
              <w:jc w:val="right"/>
              <w:rPr>
                <w:rFonts w:ascii="Arial"/>
                <w:b/>
                <w:sz w:val="18"/>
              </w:rPr>
            </w:pPr>
            <w:r w:rsidRPr="00EB2BD8">
              <w:rPr>
                <w:rFonts w:ascii="Arial"/>
                <w:b/>
                <w:spacing w:val="-2"/>
                <w:sz w:val="18"/>
              </w:rPr>
              <w:t>8,894</w:t>
            </w:r>
          </w:p>
        </w:tc>
        <w:tc>
          <w:tcPr>
            <w:tcW w:w="1274" w:type="dxa"/>
            <w:tcBorders>
              <w:top w:val="single" w:sz="12" w:space="0" w:color="000000"/>
              <w:bottom w:val="single" w:sz="12" w:space="0" w:color="000000"/>
            </w:tcBorders>
            <w:shd w:val="clear" w:color="auto" w:fill="FFFFFF"/>
          </w:tcPr>
          <w:p w14:paraId="2A880025" w14:textId="77777777" w:rsidR="00084F36" w:rsidRPr="00EB2BD8" w:rsidRDefault="00EB2BD8">
            <w:pPr>
              <w:pStyle w:val="TableParagraph"/>
              <w:spacing w:before="50"/>
              <w:ind w:right="98"/>
              <w:jc w:val="right"/>
              <w:rPr>
                <w:rFonts w:ascii="Arial"/>
                <w:b/>
                <w:sz w:val="18"/>
              </w:rPr>
            </w:pPr>
            <w:r w:rsidRPr="00EB2BD8">
              <w:rPr>
                <w:rFonts w:ascii="Arial"/>
                <w:b/>
                <w:spacing w:val="-2"/>
                <w:sz w:val="18"/>
              </w:rPr>
              <w:t>(6,886)</w:t>
            </w:r>
          </w:p>
        </w:tc>
      </w:tr>
    </w:tbl>
    <w:p w14:paraId="78D70976" w14:textId="77777777" w:rsidR="00084F36" w:rsidRPr="00EB2BD8" w:rsidRDefault="00084F36">
      <w:pPr>
        <w:pStyle w:val="BodyText"/>
        <w:spacing w:before="6"/>
        <w:rPr>
          <w:rFonts w:ascii="Arial"/>
          <w:sz w:val="14"/>
        </w:rPr>
      </w:pPr>
    </w:p>
    <w:p w14:paraId="6C92FB8F" w14:textId="77777777" w:rsidR="00084F36" w:rsidRPr="00EB2BD8" w:rsidRDefault="00EB2BD8">
      <w:pPr>
        <w:spacing w:before="94"/>
        <w:ind w:left="1074"/>
        <w:rPr>
          <w:rFonts w:ascii="Arial"/>
          <w:i/>
          <w:sz w:val="18"/>
        </w:rPr>
      </w:pPr>
      <w:r w:rsidRPr="00EB2BD8">
        <w:rPr>
          <w:rFonts w:ascii="Arial"/>
          <w:i/>
          <w:sz w:val="18"/>
        </w:rPr>
        <w:t>The</w:t>
      </w:r>
      <w:r w:rsidRPr="00EB2BD8">
        <w:rPr>
          <w:rFonts w:ascii="Arial"/>
          <w:i/>
          <w:spacing w:val="-4"/>
          <w:sz w:val="18"/>
        </w:rPr>
        <w:t xml:space="preserve"> </w:t>
      </w:r>
      <w:r w:rsidRPr="00EB2BD8">
        <w:rPr>
          <w:rFonts w:ascii="Arial"/>
          <w:i/>
          <w:sz w:val="18"/>
        </w:rPr>
        <w:t>accompanying</w:t>
      </w:r>
      <w:r w:rsidRPr="00EB2BD8">
        <w:rPr>
          <w:rFonts w:ascii="Arial"/>
          <w:i/>
          <w:spacing w:val="-2"/>
          <w:sz w:val="18"/>
        </w:rPr>
        <w:t xml:space="preserve"> </w:t>
      </w:r>
      <w:r w:rsidRPr="00EB2BD8">
        <w:rPr>
          <w:rFonts w:ascii="Arial"/>
          <w:i/>
          <w:sz w:val="18"/>
        </w:rPr>
        <w:t>notes</w:t>
      </w:r>
      <w:r w:rsidRPr="00EB2BD8">
        <w:rPr>
          <w:rFonts w:ascii="Arial"/>
          <w:i/>
          <w:spacing w:val="-3"/>
          <w:sz w:val="18"/>
        </w:rPr>
        <w:t xml:space="preserve"> </w:t>
      </w:r>
      <w:r w:rsidRPr="00EB2BD8">
        <w:rPr>
          <w:rFonts w:ascii="Arial"/>
          <w:i/>
          <w:sz w:val="18"/>
        </w:rPr>
        <w:t>form</w:t>
      </w:r>
      <w:r w:rsidRPr="00EB2BD8">
        <w:rPr>
          <w:rFonts w:ascii="Arial"/>
          <w:i/>
          <w:spacing w:val="-2"/>
          <w:sz w:val="18"/>
        </w:rPr>
        <w:t xml:space="preserve"> </w:t>
      </w:r>
      <w:r w:rsidRPr="00EB2BD8">
        <w:rPr>
          <w:rFonts w:ascii="Arial"/>
          <w:i/>
          <w:sz w:val="18"/>
        </w:rPr>
        <w:t>part</w:t>
      </w:r>
      <w:r w:rsidRPr="00EB2BD8">
        <w:rPr>
          <w:rFonts w:ascii="Arial"/>
          <w:i/>
          <w:spacing w:val="-2"/>
          <w:sz w:val="18"/>
        </w:rPr>
        <w:t xml:space="preserve"> </w:t>
      </w:r>
      <w:r w:rsidRPr="00EB2BD8">
        <w:rPr>
          <w:rFonts w:ascii="Arial"/>
          <w:i/>
          <w:sz w:val="18"/>
        </w:rPr>
        <w:t>of</w:t>
      </w:r>
      <w:r w:rsidRPr="00EB2BD8">
        <w:rPr>
          <w:rFonts w:ascii="Arial"/>
          <w:i/>
          <w:spacing w:val="-3"/>
          <w:sz w:val="18"/>
        </w:rPr>
        <w:t xml:space="preserve"> </w:t>
      </w:r>
      <w:r w:rsidRPr="00EB2BD8">
        <w:rPr>
          <w:rFonts w:ascii="Arial"/>
          <w:i/>
          <w:sz w:val="18"/>
        </w:rPr>
        <w:t>these</w:t>
      </w:r>
      <w:r w:rsidRPr="00EB2BD8">
        <w:rPr>
          <w:rFonts w:ascii="Arial"/>
          <w:i/>
          <w:spacing w:val="-3"/>
          <w:sz w:val="18"/>
        </w:rPr>
        <w:t xml:space="preserve"> </w:t>
      </w:r>
      <w:r w:rsidRPr="00EB2BD8">
        <w:rPr>
          <w:rFonts w:ascii="Arial"/>
          <w:i/>
          <w:sz w:val="18"/>
        </w:rPr>
        <w:t>financial</w:t>
      </w:r>
      <w:r w:rsidRPr="00EB2BD8">
        <w:rPr>
          <w:rFonts w:ascii="Arial"/>
          <w:i/>
          <w:spacing w:val="-2"/>
          <w:sz w:val="18"/>
        </w:rPr>
        <w:t xml:space="preserve"> statements.</w:t>
      </w:r>
    </w:p>
    <w:p w14:paraId="5DC99B5A" w14:textId="77777777" w:rsidR="00084F36" w:rsidRPr="00EB2BD8" w:rsidRDefault="00084F36">
      <w:pPr>
        <w:pStyle w:val="BodyText"/>
        <w:spacing w:before="2"/>
        <w:rPr>
          <w:rFonts w:ascii="Arial"/>
          <w:i/>
          <w:sz w:val="26"/>
        </w:rPr>
      </w:pPr>
    </w:p>
    <w:p w14:paraId="1A59B605" w14:textId="77777777" w:rsidR="00084F36" w:rsidRPr="00EB2BD8" w:rsidRDefault="00EB2BD8">
      <w:pPr>
        <w:ind w:left="1074"/>
        <w:rPr>
          <w:rFonts w:ascii="Arial"/>
          <w:i/>
          <w:sz w:val="16"/>
        </w:rPr>
      </w:pPr>
      <w:r w:rsidRPr="00EB2BD8">
        <w:rPr>
          <w:rFonts w:ascii="Arial"/>
          <w:i/>
          <w:spacing w:val="-2"/>
          <w:sz w:val="16"/>
        </w:rPr>
        <w:t>Notes:</w:t>
      </w:r>
    </w:p>
    <w:p w14:paraId="7EA8ADFC" w14:textId="77777777" w:rsidR="00084F36" w:rsidRPr="00EB2BD8" w:rsidRDefault="00EB2BD8">
      <w:pPr>
        <w:pStyle w:val="ListParagraph"/>
        <w:numPr>
          <w:ilvl w:val="1"/>
          <w:numId w:val="51"/>
        </w:numPr>
        <w:tabs>
          <w:tab w:val="left" w:pos="1472"/>
        </w:tabs>
        <w:spacing w:before="1"/>
        <w:rPr>
          <w:rFonts w:ascii="Arial"/>
          <w:i/>
          <w:sz w:val="16"/>
        </w:rPr>
      </w:pPr>
      <w:r w:rsidRPr="00EB2BD8">
        <w:rPr>
          <w:rFonts w:ascii="Arial"/>
          <w:i/>
          <w:sz w:val="16"/>
        </w:rPr>
        <w:t>This</w:t>
      </w:r>
      <w:r w:rsidRPr="00EB2BD8">
        <w:rPr>
          <w:rFonts w:ascii="Arial"/>
          <w:i/>
          <w:spacing w:val="-6"/>
          <w:sz w:val="16"/>
        </w:rPr>
        <w:t xml:space="preserve"> </w:t>
      </w:r>
      <w:r w:rsidRPr="00EB2BD8">
        <w:rPr>
          <w:rFonts w:ascii="Arial"/>
          <w:i/>
          <w:sz w:val="16"/>
        </w:rPr>
        <w:t>format</w:t>
      </w:r>
      <w:r w:rsidRPr="00EB2BD8">
        <w:rPr>
          <w:rFonts w:ascii="Arial"/>
          <w:i/>
          <w:spacing w:val="-6"/>
          <w:sz w:val="16"/>
        </w:rPr>
        <w:t xml:space="preserve"> </w:t>
      </w:r>
      <w:r w:rsidRPr="00EB2BD8">
        <w:rPr>
          <w:rFonts w:ascii="Arial"/>
          <w:i/>
          <w:sz w:val="16"/>
        </w:rPr>
        <w:t>is</w:t>
      </w:r>
      <w:r w:rsidRPr="00EB2BD8">
        <w:rPr>
          <w:rFonts w:ascii="Arial"/>
          <w:i/>
          <w:spacing w:val="-6"/>
          <w:sz w:val="16"/>
        </w:rPr>
        <w:t xml:space="preserve"> </w:t>
      </w:r>
      <w:r w:rsidRPr="00EB2BD8">
        <w:rPr>
          <w:rFonts w:ascii="Arial"/>
          <w:i/>
          <w:sz w:val="16"/>
        </w:rPr>
        <w:t>aligned</w:t>
      </w:r>
      <w:r w:rsidRPr="00EB2BD8">
        <w:rPr>
          <w:rFonts w:ascii="Arial"/>
          <w:i/>
          <w:spacing w:val="-6"/>
          <w:sz w:val="16"/>
        </w:rPr>
        <w:t xml:space="preserve"> </w:t>
      </w:r>
      <w:r w:rsidRPr="00EB2BD8">
        <w:rPr>
          <w:rFonts w:ascii="Arial"/>
          <w:i/>
          <w:sz w:val="16"/>
        </w:rPr>
        <w:t>to</w:t>
      </w:r>
      <w:r w:rsidRPr="00EB2BD8">
        <w:rPr>
          <w:rFonts w:ascii="Arial"/>
          <w:i/>
          <w:spacing w:val="-6"/>
          <w:sz w:val="16"/>
        </w:rPr>
        <w:t xml:space="preserve"> </w:t>
      </w:r>
      <w:r w:rsidRPr="00EB2BD8">
        <w:rPr>
          <w:rFonts w:ascii="Arial"/>
          <w:i/>
          <w:sz w:val="16"/>
        </w:rPr>
        <w:t>AASB</w:t>
      </w:r>
      <w:r w:rsidRPr="00EB2BD8">
        <w:rPr>
          <w:rFonts w:ascii="Arial"/>
          <w:i/>
          <w:spacing w:val="-6"/>
          <w:sz w:val="16"/>
        </w:rPr>
        <w:t xml:space="preserve"> </w:t>
      </w:r>
      <w:r w:rsidRPr="00EB2BD8">
        <w:rPr>
          <w:rFonts w:ascii="Arial"/>
          <w:i/>
          <w:sz w:val="16"/>
        </w:rPr>
        <w:t>1049</w:t>
      </w:r>
      <w:r w:rsidRPr="00EB2BD8">
        <w:rPr>
          <w:rFonts w:ascii="Arial"/>
          <w:i/>
          <w:spacing w:val="-6"/>
          <w:sz w:val="16"/>
        </w:rPr>
        <w:t xml:space="preserve"> </w:t>
      </w:r>
      <w:r w:rsidRPr="00EB2BD8">
        <w:rPr>
          <w:rFonts w:ascii="Arial"/>
          <w:i/>
          <w:sz w:val="16"/>
        </w:rPr>
        <w:t>Whole</w:t>
      </w:r>
      <w:r w:rsidRPr="00EB2BD8">
        <w:rPr>
          <w:rFonts w:ascii="Arial"/>
          <w:i/>
          <w:spacing w:val="-7"/>
          <w:sz w:val="16"/>
        </w:rPr>
        <w:t xml:space="preserve"> </w:t>
      </w:r>
      <w:r w:rsidRPr="00EB2BD8">
        <w:rPr>
          <w:rFonts w:ascii="Arial"/>
          <w:i/>
          <w:sz w:val="16"/>
        </w:rPr>
        <w:t>of</w:t>
      </w:r>
      <w:r w:rsidRPr="00EB2BD8">
        <w:rPr>
          <w:rFonts w:ascii="Arial"/>
          <w:i/>
          <w:spacing w:val="-6"/>
          <w:sz w:val="16"/>
        </w:rPr>
        <w:t xml:space="preserve"> </w:t>
      </w:r>
      <w:r w:rsidRPr="00EB2BD8">
        <w:rPr>
          <w:rFonts w:ascii="Arial"/>
          <w:i/>
          <w:sz w:val="16"/>
        </w:rPr>
        <w:t>Government</w:t>
      </w:r>
      <w:r w:rsidRPr="00EB2BD8">
        <w:rPr>
          <w:rFonts w:ascii="Arial"/>
          <w:i/>
          <w:spacing w:val="-6"/>
          <w:sz w:val="16"/>
        </w:rPr>
        <w:t xml:space="preserve"> </w:t>
      </w:r>
      <w:r w:rsidRPr="00EB2BD8">
        <w:rPr>
          <w:rFonts w:ascii="Arial"/>
          <w:i/>
          <w:sz w:val="16"/>
        </w:rPr>
        <w:t>and</w:t>
      </w:r>
      <w:r w:rsidRPr="00EB2BD8">
        <w:rPr>
          <w:rFonts w:ascii="Arial"/>
          <w:i/>
          <w:spacing w:val="-7"/>
          <w:sz w:val="16"/>
        </w:rPr>
        <w:t xml:space="preserve"> </w:t>
      </w:r>
      <w:r w:rsidRPr="00EB2BD8">
        <w:rPr>
          <w:rFonts w:ascii="Arial"/>
          <w:i/>
          <w:sz w:val="16"/>
        </w:rPr>
        <w:t>General</w:t>
      </w:r>
      <w:r w:rsidRPr="00EB2BD8">
        <w:rPr>
          <w:rFonts w:ascii="Arial"/>
          <w:i/>
          <w:spacing w:val="-5"/>
          <w:sz w:val="16"/>
        </w:rPr>
        <w:t xml:space="preserve"> </w:t>
      </w:r>
      <w:r w:rsidRPr="00EB2BD8">
        <w:rPr>
          <w:rFonts w:ascii="Arial"/>
          <w:i/>
          <w:sz w:val="16"/>
        </w:rPr>
        <w:t>Government</w:t>
      </w:r>
      <w:r w:rsidRPr="00EB2BD8">
        <w:rPr>
          <w:rFonts w:ascii="Arial"/>
          <w:i/>
          <w:spacing w:val="-7"/>
          <w:sz w:val="16"/>
        </w:rPr>
        <w:t xml:space="preserve"> </w:t>
      </w:r>
      <w:r w:rsidRPr="00EB2BD8">
        <w:rPr>
          <w:rFonts w:ascii="Arial"/>
          <w:i/>
          <w:sz w:val="16"/>
        </w:rPr>
        <w:t>Sector</w:t>
      </w:r>
      <w:r w:rsidRPr="00EB2BD8">
        <w:rPr>
          <w:rFonts w:ascii="Arial"/>
          <w:i/>
          <w:spacing w:val="-6"/>
          <w:sz w:val="16"/>
        </w:rPr>
        <w:t xml:space="preserve"> </w:t>
      </w:r>
      <w:r w:rsidRPr="00EB2BD8">
        <w:rPr>
          <w:rFonts w:ascii="Arial"/>
          <w:i/>
          <w:sz w:val="16"/>
        </w:rPr>
        <w:t>Financial</w:t>
      </w:r>
      <w:r w:rsidRPr="00EB2BD8">
        <w:rPr>
          <w:rFonts w:ascii="Arial"/>
          <w:i/>
          <w:spacing w:val="-5"/>
          <w:sz w:val="16"/>
        </w:rPr>
        <w:t xml:space="preserve"> </w:t>
      </w:r>
      <w:r w:rsidRPr="00EB2BD8">
        <w:rPr>
          <w:rFonts w:ascii="Arial"/>
          <w:i/>
          <w:spacing w:val="-2"/>
          <w:sz w:val="16"/>
        </w:rPr>
        <w:t>Reporting.</w:t>
      </w:r>
    </w:p>
    <w:p w14:paraId="2827AA63" w14:textId="77777777" w:rsidR="00084F36" w:rsidRPr="00EB2BD8" w:rsidRDefault="00EB2BD8">
      <w:pPr>
        <w:pStyle w:val="ListParagraph"/>
        <w:numPr>
          <w:ilvl w:val="1"/>
          <w:numId w:val="51"/>
        </w:numPr>
        <w:tabs>
          <w:tab w:val="left" w:pos="1472"/>
          <w:tab w:val="left" w:pos="1500"/>
        </w:tabs>
        <w:spacing w:before="69"/>
        <w:ind w:left="1500" w:right="991" w:hanging="426"/>
        <w:rPr>
          <w:rFonts w:ascii="Arial" w:hAnsi="Arial"/>
          <w:i/>
          <w:sz w:val="16"/>
        </w:rPr>
      </w:pPr>
      <w:r w:rsidRPr="00EB2BD8">
        <w:rPr>
          <w:rFonts w:ascii="Arial" w:hAnsi="Arial"/>
          <w:i/>
          <w:sz w:val="16"/>
        </w:rPr>
        <w:t>‘Net</w:t>
      </w:r>
      <w:r w:rsidRPr="00EB2BD8">
        <w:rPr>
          <w:rFonts w:ascii="Arial" w:hAnsi="Arial"/>
          <w:i/>
          <w:spacing w:val="-3"/>
          <w:sz w:val="16"/>
        </w:rPr>
        <w:t xml:space="preserve"> </w:t>
      </w:r>
      <w:r w:rsidRPr="00EB2BD8">
        <w:rPr>
          <w:rFonts w:ascii="Arial" w:hAnsi="Arial"/>
          <w:i/>
          <w:sz w:val="16"/>
        </w:rPr>
        <w:t>gain/(loss)</w:t>
      </w:r>
      <w:r w:rsidRPr="00EB2BD8">
        <w:rPr>
          <w:rFonts w:ascii="Arial" w:hAnsi="Arial"/>
          <w:i/>
          <w:spacing w:val="-3"/>
          <w:sz w:val="16"/>
        </w:rPr>
        <w:t xml:space="preserve"> </w:t>
      </w:r>
      <w:r w:rsidRPr="00EB2BD8">
        <w:rPr>
          <w:rFonts w:ascii="Arial" w:hAnsi="Arial"/>
          <w:i/>
          <w:sz w:val="16"/>
        </w:rPr>
        <w:t>on</w:t>
      </w:r>
      <w:r w:rsidRPr="00EB2BD8">
        <w:rPr>
          <w:rFonts w:ascii="Arial" w:hAnsi="Arial"/>
          <w:i/>
          <w:spacing w:val="-3"/>
          <w:sz w:val="16"/>
        </w:rPr>
        <w:t xml:space="preserve"> </w:t>
      </w:r>
      <w:r w:rsidRPr="00EB2BD8">
        <w:rPr>
          <w:rFonts w:ascii="Arial" w:hAnsi="Arial"/>
          <w:i/>
          <w:sz w:val="16"/>
        </w:rPr>
        <w:t>non-financial</w:t>
      </w:r>
      <w:r w:rsidRPr="00EB2BD8">
        <w:rPr>
          <w:rFonts w:ascii="Arial" w:hAnsi="Arial"/>
          <w:i/>
          <w:spacing w:val="-2"/>
          <w:sz w:val="16"/>
        </w:rPr>
        <w:t xml:space="preserve"> </w:t>
      </w:r>
      <w:r w:rsidRPr="00EB2BD8">
        <w:rPr>
          <w:rFonts w:ascii="Arial" w:hAnsi="Arial"/>
          <w:i/>
          <w:sz w:val="16"/>
        </w:rPr>
        <w:t>assets’</w:t>
      </w:r>
      <w:r w:rsidRPr="00EB2BD8">
        <w:rPr>
          <w:rFonts w:ascii="Arial" w:hAnsi="Arial"/>
          <w:i/>
          <w:spacing w:val="-3"/>
          <w:sz w:val="16"/>
        </w:rPr>
        <w:t xml:space="preserve"> </w:t>
      </w:r>
      <w:r w:rsidRPr="00EB2BD8">
        <w:rPr>
          <w:rFonts w:ascii="Arial" w:hAnsi="Arial"/>
          <w:i/>
          <w:sz w:val="16"/>
        </w:rPr>
        <w:t>includes</w:t>
      </w:r>
      <w:r w:rsidRPr="00EB2BD8">
        <w:rPr>
          <w:rFonts w:ascii="Arial" w:hAnsi="Arial"/>
          <w:i/>
          <w:spacing w:val="-2"/>
          <w:sz w:val="16"/>
        </w:rPr>
        <w:t xml:space="preserve"> </w:t>
      </w:r>
      <w:r w:rsidRPr="00EB2BD8">
        <w:rPr>
          <w:rFonts w:ascii="Arial" w:hAnsi="Arial"/>
          <w:i/>
          <w:sz w:val="16"/>
        </w:rPr>
        <w:t>unrealised</w:t>
      </w:r>
      <w:r w:rsidRPr="00EB2BD8">
        <w:rPr>
          <w:rFonts w:ascii="Arial" w:hAnsi="Arial"/>
          <w:i/>
          <w:spacing w:val="-3"/>
          <w:sz w:val="16"/>
        </w:rPr>
        <w:t xml:space="preserve"> </w:t>
      </w:r>
      <w:r w:rsidRPr="00EB2BD8">
        <w:rPr>
          <w:rFonts w:ascii="Arial" w:hAnsi="Arial"/>
          <w:i/>
          <w:sz w:val="16"/>
        </w:rPr>
        <w:t>and</w:t>
      </w:r>
      <w:r w:rsidRPr="00EB2BD8">
        <w:rPr>
          <w:rFonts w:ascii="Arial" w:hAnsi="Arial"/>
          <w:i/>
          <w:spacing w:val="-3"/>
          <w:sz w:val="16"/>
        </w:rPr>
        <w:t xml:space="preserve"> </w:t>
      </w:r>
      <w:r w:rsidRPr="00EB2BD8">
        <w:rPr>
          <w:rFonts w:ascii="Arial" w:hAnsi="Arial"/>
          <w:i/>
          <w:sz w:val="16"/>
        </w:rPr>
        <w:t>realised</w:t>
      </w:r>
      <w:r w:rsidRPr="00EB2BD8">
        <w:rPr>
          <w:rFonts w:ascii="Arial" w:hAnsi="Arial"/>
          <w:i/>
          <w:spacing w:val="-3"/>
          <w:sz w:val="16"/>
        </w:rPr>
        <w:t xml:space="preserve"> </w:t>
      </w:r>
      <w:r w:rsidRPr="00EB2BD8">
        <w:rPr>
          <w:rFonts w:ascii="Arial" w:hAnsi="Arial"/>
          <w:i/>
          <w:sz w:val="16"/>
        </w:rPr>
        <w:t>gains/(losses)</w:t>
      </w:r>
      <w:r w:rsidRPr="00EB2BD8">
        <w:rPr>
          <w:rFonts w:ascii="Arial" w:hAnsi="Arial"/>
          <w:i/>
          <w:spacing w:val="-3"/>
          <w:sz w:val="16"/>
        </w:rPr>
        <w:t xml:space="preserve"> </w:t>
      </w:r>
      <w:r w:rsidRPr="00EB2BD8">
        <w:rPr>
          <w:rFonts w:ascii="Arial" w:hAnsi="Arial"/>
          <w:i/>
          <w:sz w:val="16"/>
        </w:rPr>
        <w:t>from</w:t>
      </w:r>
      <w:r w:rsidRPr="00EB2BD8">
        <w:rPr>
          <w:rFonts w:ascii="Arial" w:hAnsi="Arial"/>
          <w:i/>
          <w:spacing w:val="-2"/>
          <w:sz w:val="16"/>
        </w:rPr>
        <w:t xml:space="preserve"> </w:t>
      </w:r>
      <w:r w:rsidRPr="00EB2BD8">
        <w:rPr>
          <w:rFonts w:ascii="Arial" w:hAnsi="Arial"/>
          <w:i/>
          <w:sz w:val="16"/>
        </w:rPr>
        <w:t>revaluations,</w:t>
      </w:r>
      <w:r w:rsidRPr="00EB2BD8">
        <w:rPr>
          <w:rFonts w:ascii="Arial" w:hAnsi="Arial"/>
          <w:i/>
          <w:spacing w:val="-3"/>
          <w:sz w:val="16"/>
        </w:rPr>
        <w:t xml:space="preserve"> </w:t>
      </w:r>
      <w:r w:rsidRPr="00EB2BD8">
        <w:rPr>
          <w:rFonts w:ascii="Arial" w:hAnsi="Arial"/>
          <w:i/>
          <w:sz w:val="16"/>
        </w:rPr>
        <w:t>impairments,</w:t>
      </w:r>
      <w:r w:rsidRPr="00EB2BD8">
        <w:rPr>
          <w:rFonts w:ascii="Arial" w:hAnsi="Arial"/>
          <w:i/>
          <w:spacing w:val="-3"/>
          <w:sz w:val="16"/>
        </w:rPr>
        <w:t xml:space="preserve"> </w:t>
      </w:r>
      <w:r w:rsidRPr="00EB2BD8">
        <w:rPr>
          <w:rFonts w:ascii="Arial" w:hAnsi="Arial"/>
          <w:i/>
          <w:sz w:val="16"/>
        </w:rPr>
        <w:t>and</w:t>
      </w:r>
      <w:r w:rsidRPr="00EB2BD8">
        <w:rPr>
          <w:rFonts w:ascii="Arial" w:hAnsi="Arial"/>
          <w:i/>
          <w:spacing w:val="-3"/>
          <w:sz w:val="16"/>
        </w:rPr>
        <w:t xml:space="preserve"> </w:t>
      </w:r>
      <w:r w:rsidRPr="00EB2BD8">
        <w:rPr>
          <w:rFonts w:ascii="Arial" w:hAnsi="Arial"/>
          <w:i/>
          <w:sz w:val="16"/>
        </w:rPr>
        <w:t>disposals of all physical assets and intangible assets, except when these are taken through the asset revaluation surplus.</w:t>
      </w:r>
    </w:p>
    <w:p w14:paraId="14C06BF6" w14:textId="77777777" w:rsidR="00084F36" w:rsidRPr="00EB2BD8" w:rsidRDefault="00EB2BD8">
      <w:pPr>
        <w:pStyle w:val="ListParagraph"/>
        <w:numPr>
          <w:ilvl w:val="1"/>
          <w:numId w:val="51"/>
        </w:numPr>
        <w:tabs>
          <w:tab w:val="left" w:pos="1472"/>
          <w:tab w:val="left" w:pos="1500"/>
        </w:tabs>
        <w:spacing w:before="69"/>
        <w:ind w:left="1500" w:right="977" w:hanging="426"/>
        <w:rPr>
          <w:rFonts w:ascii="Arial" w:hAnsi="Arial"/>
          <w:i/>
          <w:sz w:val="16"/>
        </w:rPr>
      </w:pPr>
      <w:r w:rsidRPr="00EB2BD8">
        <w:rPr>
          <w:rFonts w:ascii="Arial" w:hAnsi="Arial"/>
          <w:i/>
          <w:sz w:val="16"/>
        </w:rPr>
        <w:t>‘Net gain/(loss) on financial instruments’ includes bad and doubtful debts from other economic flows, unrealised and realised gains/(losses)</w:t>
      </w:r>
      <w:r w:rsidRPr="00EB2BD8">
        <w:rPr>
          <w:rFonts w:ascii="Arial" w:hAnsi="Arial"/>
          <w:i/>
          <w:spacing w:val="-3"/>
          <w:sz w:val="16"/>
        </w:rPr>
        <w:t xml:space="preserve"> </w:t>
      </w:r>
      <w:r w:rsidRPr="00EB2BD8">
        <w:rPr>
          <w:rFonts w:ascii="Arial" w:hAnsi="Arial"/>
          <w:i/>
          <w:sz w:val="16"/>
        </w:rPr>
        <w:t>from</w:t>
      </w:r>
      <w:r w:rsidRPr="00EB2BD8">
        <w:rPr>
          <w:rFonts w:ascii="Arial" w:hAnsi="Arial"/>
          <w:i/>
          <w:spacing w:val="-2"/>
          <w:sz w:val="16"/>
        </w:rPr>
        <w:t xml:space="preserve"> </w:t>
      </w:r>
      <w:r w:rsidRPr="00EB2BD8">
        <w:rPr>
          <w:rFonts w:ascii="Arial" w:hAnsi="Arial"/>
          <w:i/>
          <w:sz w:val="16"/>
        </w:rPr>
        <w:t>revaluations,</w:t>
      </w:r>
      <w:r w:rsidRPr="00EB2BD8">
        <w:rPr>
          <w:rFonts w:ascii="Arial" w:hAnsi="Arial"/>
          <w:i/>
          <w:spacing w:val="-3"/>
          <w:sz w:val="16"/>
        </w:rPr>
        <w:t xml:space="preserve"> </w:t>
      </w:r>
      <w:r w:rsidRPr="00EB2BD8">
        <w:rPr>
          <w:rFonts w:ascii="Arial" w:hAnsi="Arial"/>
          <w:i/>
          <w:sz w:val="16"/>
        </w:rPr>
        <w:t>impairments</w:t>
      </w:r>
      <w:r w:rsidRPr="00EB2BD8">
        <w:rPr>
          <w:rFonts w:ascii="Arial" w:hAnsi="Arial"/>
          <w:i/>
          <w:spacing w:val="-2"/>
          <w:sz w:val="16"/>
        </w:rPr>
        <w:t xml:space="preserve"> </w:t>
      </w:r>
      <w:r w:rsidRPr="00EB2BD8">
        <w:rPr>
          <w:rFonts w:ascii="Arial" w:hAnsi="Arial"/>
          <w:i/>
          <w:sz w:val="16"/>
        </w:rPr>
        <w:t>and</w:t>
      </w:r>
      <w:r w:rsidRPr="00EB2BD8">
        <w:rPr>
          <w:rFonts w:ascii="Arial" w:hAnsi="Arial"/>
          <w:i/>
          <w:spacing w:val="-1"/>
          <w:sz w:val="16"/>
        </w:rPr>
        <w:t xml:space="preserve"> </w:t>
      </w:r>
      <w:r w:rsidRPr="00EB2BD8">
        <w:rPr>
          <w:rFonts w:ascii="Arial" w:hAnsi="Arial"/>
          <w:i/>
          <w:sz w:val="16"/>
        </w:rPr>
        <w:t>reversals</w:t>
      </w:r>
      <w:r w:rsidRPr="00EB2BD8">
        <w:rPr>
          <w:rFonts w:ascii="Arial" w:hAnsi="Arial"/>
          <w:i/>
          <w:spacing w:val="-2"/>
          <w:sz w:val="16"/>
        </w:rPr>
        <w:t xml:space="preserve"> </w:t>
      </w:r>
      <w:r w:rsidRPr="00EB2BD8">
        <w:rPr>
          <w:rFonts w:ascii="Arial" w:hAnsi="Arial"/>
          <w:i/>
          <w:sz w:val="16"/>
        </w:rPr>
        <w:t>of</w:t>
      </w:r>
      <w:r w:rsidRPr="00EB2BD8">
        <w:rPr>
          <w:rFonts w:ascii="Arial" w:hAnsi="Arial"/>
          <w:i/>
          <w:spacing w:val="-3"/>
          <w:sz w:val="16"/>
        </w:rPr>
        <w:t xml:space="preserve"> </w:t>
      </w:r>
      <w:r w:rsidRPr="00EB2BD8">
        <w:rPr>
          <w:rFonts w:ascii="Arial" w:hAnsi="Arial"/>
          <w:i/>
          <w:sz w:val="16"/>
        </w:rPr>
        <w:t>impairment,</w:t>
      </w:r>
      <w:r w:rsidRPr="00EB2BD8">
        <w:rPr>
          <w:rFonts w:ascii="Arial" w:hAnsi="Arial"/>
          <w:i/>
          <w:spacing w:val="-3"/>
          <w:sz w:val="16"/>
        </w:rPr>
        <w:t xml:space="preserve"> </w:t>
      </w:r>
      <w:r w:rsidRPr="00EB2BD8">
        <w:rPr>
          <w:rFonts w:ascii="Arial" w:hAnsi="Arial"/>
          <w:i/>
          <w:sz w:val="16"/>
        </w:rPr>
        <w:t>and</w:t>
      </w:r>
      <w:r w:rsidRPr="00EB2BD8">
        <w:rPr>
          <w:rFonts w:ascii="Arial" w:hAnsi="Arial"/>
          <w:i/>
          <w:spacing w:val="-3"/>
          <w:sz w:val="16"/>
        </w:rPr>
        <w:t xml:space="preserve"> </w:t>
      </w:r>
      <w:r w:rsidRPr="00EB2BD8">
        <w:rPr>
          <w:rFonts w:ascii="Arial" w:hAnsi="Arial"/>
          <w:i/>
          <w:sz w:val="16"/>
        </w:rPr>
        <w:t>gains/(losses)</w:t>
      </w:r>
      <w:r w:rsidRPr="00EB2BD8">
        <w:rPr>
          <w:rFonts w:ascii="Arial" w:hAnsi="Arial"/>
          <w:i/>
          <w:spacing w:val="-3"/>
          <w:sz w:val="16"/>
        </w:rPr>
        <w:t xml:space="preserve"> </w:t>
      </w:r>
      <w:r w:rsidRPr="00EB2BD8">
        <w:rPr>
          <w:rFonts w:ascii="Arial" w:hAnsi="Arial"/>
          <w:i/>
          <w:sz w:val="16"/>
        </w:rPr>
        <w:t>from</w:t>
      </w:r>
      <w:r w:rsidRPr="00EB2BD8">
        <w:rPr>
          <w:rFonts w:ascii="Arial" w:hAnsi="Arial"/>
          <w:i/>
          <w:spacing w:val="-2"/>
          <w:sz w:val="16"/>
        </w:rPr>
        <w:t xml:space="preserve"> </w:t>
      </w:r>
      <w:r w:rsidRPr="00EB2BD8">
        <w:rPr>
          <w:rFonts w:ascii="Arial" w:hAnsi="Arial"/>
          <w:i/>
          <w:sz w:val="16"/>
        </w:rPr>
        <w:t>disposals</w:t>
      </w:r>
      <w:r w:rsidRPr="00EB2BD8">
        <w:rPr>
          <w:rFonts w:ascii="Arial" w:hAnsi="Arial"/>
          <w:i/>
          <w:spacing w:val="-2"/>
          <w:sz w:val="16"/>
        </w:rPr>
        <w:t xml:space="preserve"> </w:t>
      </w:r>
      <w:r w:rsidRPr="00EB2BD8">
        <w:rPr>
          <w:rFonts w:ascii="Arial" w:hAnsi="Arial"/>
          <w:i/>
          <w:sz w:val="16"/>
        </w:rPr>
        <w:t>of</w:t>
      </w:r>
      <w:r w:rsidRPr="00EB2BD8">
        <w:rPr>
          <w:rFonts w:ascii="Arial" w:hAnsi="Arial"/>
          <w:i/>
          <w:spacing w:val="-3"/>
          <w:sz w:val="16"/>
        </w:rPr>
        <w:t xml:space="preserve"> </w:t>
      </w:r>
      <w:r w:rsidRPr="00EB2BD8">
        <w:rPr>
          <w:rFonts w:ascii="Arial" w:hAnsi="Arial"/>
          <w:i/>
          <w:sz w:val="16"/>
        </w:rPr>
        <w:t>financial</w:t>
      </w:r>
      <w:r w:rsidRPr="00EB2BD8">
        <w:rPr>
          <w:rFonts w:ascii="Arial" w:hAnsi="Arial"/>
          <w:i/>
          <w:spacing w:val="-2"/>
          <w:sz w:val="16"/>
        </w:rPr>
        <w:t xml:space="preserve"> </w:t>
      </w:r>
      <w:r w:rsidRPr="00EB2BD8">
        <w:rPr>
          <w:rFonts w:ascii="Arial" w:hAnsi="Arial"/>
          <w:i/>
          <w:sz w:val="16"/>
        </w:rPr>
        <w:t>instruments, except when these are taken through the financial assets at fair value through other comprehensive income revaluation surplus.</w:t>
      </w:r>
    </w:p>
    <w:p w14:paraId="34FA8799" w14:textId="77777777" w:rsidR="00084F36" w:rsidRPr="00EB2BD8" w:rsidRDefault="00084F36">
      <w:pPr>
        <w:pStyle w:val="BodyText"/>
        <w:rPr>
          <w:rFonts w:ascii="Arial"/>
          <w:i/>
          <w:sz w:val="20"/>
        </w:rPr>
      </w:pPr>
    </w:p>
    <w:p w14:paraId="0A30BA26" w14:textId="77777777" w:rsidR="00084F36" w:rsidRPr="00EB2BD8" w:rsidRDefault="00084F36">
      <w:pPr>
        <w:pStyle w:val="BodyText"/>
        <w:rPr>
          <w:rFonts w:ascii="Arial"/>
          <w:i/>
          <w:sz w:val="20"/>
        </w:rPr>
      </w:pPr>
    </w:p>
    <w:p w14:paraId="0A61F4D0" w14:textId="77777777" w:rsidR="00084F36" w:rsidRPr="00EB2BD8" w:rsidRDefault="00084F36">
      <w:pPr>
        <w:pStyle w:val="BodyText"/>
        <w:rPr>
          <w:rFonts w:ascii="Arial"/>
          <w:i/>
          <w:sz w:val="20"/>
        </w:rPr>
      </w:pPr>
    </w:p>
    <w:p w14:paraId="6AF97B18" w14:textId="77777777" w:rsidR="00084F36" w:rsidRPr="00EB2BD8" w:rsidRDefault="00084F36">
      <w:pPr>
        <w:pStyle w:val="BodyText"/>
        <w:spacing w:before="4"/>
        <w:rPr>
          <w:rFonts w:ascii="Arial"/>
          <w:i/>
          <w:sz w:val="22"/>
        </w:rPr>
      </w:pPr>
    </w:p>
    <w:p w14:paraId="56C8F950" w14:textId="77777777" w:rsidR="00084F36" w:rsidRPr="00EB2BD8" w:rsidRDefault="00084F36">
      <w:pPr>
        <w:rPr>
          <w:sz w:val="16"/>
        </w:rPr>
        <w:sectPr w:rsidR="00084F36" w:rsidRPr="00EB2BD8" w:rsidSect="006D75B2">
          <w:headerReference w:type="even" r:id="rId250"/>
          <w:footerReference w:type="even" r:id="rId251"/>
          <w:footerReference w:type="default" r:id="rId252"/>
          <w:pgSz w:w="11910" w:h="16840"/>
          <w:pgMar w:top="780" w:right="0" w:bottom="280" w:left="0" w:header="0" w:footer="0" w:gutter="0"/>
          <w:cols w:space="720"/>
        </w:sectPr>
      </w:pPr>
    </w:p>
    <w:p w14:paraId="77116560" w14:textId="19D62562" w:rsidR="00084F36" w:rsidRPr="00EB2BD8" w:rsidRDefault="00084F36" w:rsidP="00586BA3">
      <w:pPr>
        <w:pStyle w:val="Heading6"/>
        <w:ind w:left="0"/>
      </w:pPr>
    </w:p>
    <w:p w14:paraId="716B029E" w14:textId="77777777" w:rsidR="00084F36" w:rsidRPr="00EB2BD8" w:rsidRDefault="00084F36">
      <w:pPr>
        <w:pStyle w:val="BodyText"/>
        <w:rPr>
          <w:sz w:val="20"/>
        </w:rPr>
      </w:pPr>
    </w:p>
    <w:p w14:paraId="31505339" w14:textId="77777777" w:rsidR="00084F36" w:rsidRPr="00EB2BD8" w:rsidRDefault="00084F36">
      <w:pPr>
        <w:pStyle w:val="BodyText"/>
        <w:rPr>
          <w:sz w:val="20"/>
        </w:rPr>
      </w:pPr>
    </w:p>
    <w:p w14:paraId="719573DE" w14:textId="77777777" w:rsidR="00084F36" w:rsidRPr="00EB2BD8" w:rsidRDefault="00084F36">
      <w:pPr>
        <w:pStyle w:val="BodyText"/>
        <w:rPr>
          <w:sz w:val="20"/>
        </w:rPr>
      </w:pPr>
    </w:p>
    <w:p w14:paraId="0D8AF467" w14:textId="77777777" w:rsidR="00084F36" w:rsidRPr="00EB2BD8" w:rsidRDefault="00084F36">
      <w:pPr>
        <w:pStyle w:val="BodyText"/>
        <w:rPr>
          <w:sz w:val="20"/>
        </w:rPr>
      </w:pPr>
    </w:p>
    <w:p w14:paraId="26CEC47F" w14:textId="77777777" w:rsidR="00084F36" w:rsidRPr="00EB2BD8" w:rsidRDefault="00084F36">
      <w:pPr>
        <w:pStyle w:val="BodyText"/>
        <w:rPr>
          <w:sz w:val="20"/>
        </w:rPr>
      </w:pPr>
    </w:p>
    <w:p w14:paraId="65551500" w14:textId="77777777" w:rsidR="00084F36" w:rsidRPr="00EB2BD8" w:rsidRDefault="00084F36">
      <w:pPr>
        <w:pStyle w:val="BodyText"/>
        <w:spacing w:before="8"/>
      </w:pPr>
    </w:p>
    <w:p w14:paraId="0C138B2D" w14:textId="689B0178" w:rsidR="00084F36" w:rsidRPr="00EB2BD8" w:rsidRDefault="00436F78" w:rsidP="00885799">
      <w:pPr>
        <w:pStyle w:val="Heading2"/>
      </w:pPr>
      <w:r>
        <w:t xml:space="preserve"> </w:t>
      </w:r>
      <w:bookmarkStart w:id="243" w:name="_Toc150762545"/>
      <w:r>
        <w:t>B</w:t>
      </w:r>
      <w:r w:rsidRPr="00EB2BD8">
        <w:t>alance sheet</w:t>
      </w:r>
      <w:r w:rsidR="00EB2BD8" w:rsidRPr="00EB2BD8">
        <w:rPr>
          <w:vertAlign w:val="superscript"/>
        </w:rPr>
        <w:t>(a)</w:t>
      </w:r>
      <w:r w:rsidR="00EB2BD8" w:rsidRPr="00EB2BD8">
        <w:t xml:space="preserve"> </w:t>
      </w:r>
      <w:r w:rsidRPr="00EB2BD8">
        <w:t>as</w:t>
      </w:r>
      <w:r w:rsidRPr="00EB2BD8">
        <w:rPr>
          <w:spacing w:val="-9"/>
        </w:rPr>
        <w:t xml:space="preserve"> </w:t>
      </w:r>
      <w:r w:rsidRPr="00EB2BD8">
        <w:t>at</w:t>
      </w:r>
      <w:r w:rsidRPr="00EB2BD8">
        <w:rPr>
          <w:spacing w:val="-8"/>
        </w:rPr>
        <w:t xml:space="preserve"> </w:t>
      </w:r>
      <w:r w:rsidRPr="00EB2BD8">
        <w:t>30</w:t>
      </w:r>
      <w:r w:rsidRPr="00EB2BD8">
        <w:rPr>
          <w:spacing w:val="-9"/>
        </w:rPr>
        <w:t xml:space="preserve"> </w:t>
      </w:r>
      <w:r w:rsidRPr="00EB2BD8">
        <w:t>June</w:t>
      </w:r>
      <w:r w:rsidRPr="00EB2BD8">
        <w:rPr>
          <w:spacing w:val="-9"/>
        </w:rPr>
        <w:t xml:space="preserve"> </w:t>
      </w:r>
      <w:r w:rsidRPr="00EB2BD8">
        <w:t>2023</w:t>
      </w:r>
      <w:bookmarkEnd w:id="243"/>
    </w:p>
    <w:p w14:paraId="64CEFF95" w14:textId="77777777" w:rsidR="00084F36" w:rsidRPr="00EB2BD8" w:rsidRDefault="00084F36">
      <w:pPr>
        <w:pStyle w:val="BodyText"/>
        <w:spacing w:before="11"/>
        <w:rPr>
          <w:rFonts w:ascii="Arial"/>
          <w:b/>
          <w:sz w:val="24"/>
        </w:rPr>
      </w:pPr>
    </w:p>
    <w:p w14:paraId="742FE6D8" w14:textId="77777777" w:rsidR="00084F36" w:rsidRPr="00EB2BD8" w:rsidRDefault="00EB2BD8">
      <w:pPr>
        <w:pStyle w:val="BodyText"/>
        <w:spacing w:before="94" w:after="53"/>
        <w:ind w:right="1172"/>
        <w:jc w:val="right"/>
        <w:rPr>
          <w:rFonts w:ascii="Arial" w:hAnsi="Arial"/>
        </w:rPr>
      </w:pPr>
      <w:r w:rsidRPr="00EB2BD8">
        <w:rPr>
          <w:rFonts w:ascii="Arial" w:hAnsi="Arial"/>
          <w:spacing w:val="-2"/>
        </w:rPr>
        <w:t>($’000)</w:t>
      </w:r>
    </w:p>
    <w:tbl>
      <w:tblPr>
        <w:tblW w:w="0" w:type="auto"/>
        <w:tblInd w:w="1067" w:type="dxa"/>
        <w:tblLayout w:type="fixed"/>
        <w:tblCellMar>
          <w:left w:w="0" w:type="dxa"/>
          <w:right w:w="0" w:type="dxa"/>
        </w:tblCellMar>
        <w:tblLook w:val="01E0" w:firstRow="1" w:lastRow="1" w:firstColumn="1" w:lastColumn="1" w:noHBand="0" w:noVBand="0"/>
      </w:tblPr>
      <w:tblGrid>
        <w:gridCol w:w="4549"/>
        <w:gridCol w:w="2540"/>
        <w:gridCol w:w="1418"/>
        <w:gridCol w:w="1276"/>
      </w:tblGrid>
      <w:tr w:rsidR="00EB2BD8" w:rsidRPr="00EB2BD8" w14:paraId="7F770C90" w14:textId="77777777">
        <w:trPr>
          <w:trHeight w:val="339"/>
        </w:trPr>
        <w:tc>
          <w:tcPr>
            <w:tcW w:w="7089" w:type="dxa"/>
            <w:gridSpan w:val="2"/>
            <w:shd w:val="clear" w:color="auto" w:fill="0070C0"/>
          </w:tcPr>
          <w:p w14:paraId="6CB7E600" w14:textId="77777777" w:rsidR="00084F36" w:rsidRPr="00EB2BD8" w:rsidRDefault="00EB2BD8">
            <w:pPr>
              <w:pStyle w:val="TableParagraph"/>
              <w:spacing w:before="65"/>
              <w:ind w:right="107"/>
              <w:jc w:val="right"/>
              <w:rPr>
                <w:rFonts w:ascii="Arial"/>
                <w:b/>
                <w:sz w:val="18"/>
              </w:rPr>
            </w:pPr>
            <w:r w:rsidRPr="00EB2BD8">
              <w:rPr>
                <w:rFonts w:ascii="Arial"/>
                <w:b/>
                <w:spacing w:val="-2"/>
                <w:sz w:val="18"/>
              </w:rPr>
              <w:t>Notes</w:t>
            </w:r>
          </w:p>
        </w:tc>
        <w:tc>
          <w:tcPr>
            <w:tcW w:w="1418" w:type="dxa"/>
            <w:shd w:val="clear" w:color="auto" w:fill="0070C0"/>
          </w:tcPr>
          <w:p w14:paraId="65FF7FD0" w14:textId="77777777" w:rsidR="00084F36" w:rsidRPr="00EB2BD8" w:rsidRDefault="00EB2BD8">
            <w:pPr>
              <w:pStyle w:val="TableParagraph"/>
              <w:spacing w:before="65"/>
              <w:ind w:right="108"/>
              <w:jc w:val="right"/>
              <w:rPr>
                <w:rFonts w:ascii="Arial"/>
                <w:b/>
                <w:sz w:val="18"/>
              </w:rPr>
            </w:pPr>
            <w:r w:rsidRPr="00EB2BD8">
              <w:rPr>
                <w:rFonts w:ascii="Arial"/>
                <w:b/>
                <w:spacing w:val="-4"/>
                <w:sz w:val="18"/>
              </w:rPr>
              <w:t>2023</w:t>
            </w:r>
          </w:p>
        </w:tc>
        <w:tc>
          <w:tcPr>
            <w:tcW w:w="1276" w:type="dxa"/>
            <w:shd w:val="clear" w:color="auto" w:fill="0070C0"/>
          </w:tcPr>
          <w:p w14:paraId="15D74B79" w14:textId="77777777" w:rsidR="00084F36" w:rsidRPr="00EB2BD8" w:rsidRDefault="00EB2BD8">
            <w:pPr>
              <w:pStyle w:val="TableParagraph"/>
              <w:spacing w:before="65"/>
              <w:ind w:right="108"/>
              <w:jc w:val="right"/>
              <w:rPr>
                <w:rFonts w:ascii="Arial"/>
                <w:b/>
                <w:sz w:val="18"/>
              </w:rPr>
            </w:pPr>
            <w:r w:rsidRPr="00EB2BD8">
              <w:rPr>
                <w:rFonts w:ascii="Arial"/>
                <w:b/>
                <w:spacing w:val="-4"/>
                <w:sz w:val="18"/>
              </w:rPr>
              <w:t>2022</w:t>
            </w:r>
          </w:p>
        </w:tc>
      </w:tr>
      <w:tr w:rsidR="00EB2BD8" w:rsidRPr="00EB2BD8" w14:paraId="356842CB" w14:textId="77777777">
        <w:trPr>
          <w:trHeight w:val="342"/>
        </w:trPr>
        <w:tc>
          <w:tcPr>
            <w:tcW w:w="4549" w:type="dxa"/>
            <w:shd w:val="clear" w:color="auto" w:fill="FFFFFF"/>
          </w:tcPr>
          <w:p w14:paraId="1529E594" w14:textId="77777777" w:rsidR="00084F36" w:rsidRPr="00EB2BD8" w:rsidRDefault="00EB2BD8">
            <w:pPr>
              <w:pStyle w:val="TableParagraph"/>
              <w:spacing w:before="66"/>
              <w:ind w:left="108"/>
              <w:rPr>
                <w:rFonts w:ascii="Arial"/>
                <w:b/>
                <w:sz w:val="18"/>
              </w:rPr>
            </w:pPr>
            <w:r w:rsidRPr="00EB2BD8">
              <w:rPr>
                <w:rFonts w:ascii="Arial"/>
                <w:b/>
                <w:spacing w:val="-2"/>
                <w:sz w:val="18"/>
              </w:rPr>
              <w:t>Assets</w:t>
            </w:r>
          </w:p>
        </w:tc>
        <w:tc>
          <w:tcPr>
            <w:tcW w:w="2540" w:type="dxa"/>
            <w:shd w:val="clear" w:color="auto" w:fill="FFFFFF"/>
          </w:tcPr>
          <w:p w14:paraId="03591C96" w14:textId="77777777" w:rsidR="00084F36" w:rsidRPr="00EB2BD8" w:rsidRDefault="00084F36">
            <w:pPr>
              <w:pStyle w:val="TableParagraph"/>
              <w:rPr>
                <w:rFonts w:ascii="Times New Roman"/>
                <w:sz w:val="16"/>
              </w:rPr>
            </w:pPr>
          </w:p>
        </w:tc>
        <w:tc>
          <w:tcPr>
            <w:tcW w:w="1418" w:type="dxa"/>
            <w:shd w:val="clear" w:color="auto" w:fill="DEEAF6"/>
          </w:tcPr>
          <w:p w14:paraId="0CAA545A" w14:textId="77777777" w:rsidR="00084F36" w:rsidRPr="00EB2BD8" w:rsidRDefault="00084F36">
            <w:pPr>
              <w:pStyle w:val="TableParagraph"/>
              <w:rPr>
                <w:rFonts w:ascii="Times New Roman"/>
                <w:sz w:val="16"/>
              </w:rPr>
            </w:pPr>
          </w:p>
        </w:tc>
        <w:tc>
          <w:tcPr>
            <w:tcW w:w="1276" w:type="dxa"/>
            <w:shd w:val="clear" w:color="auto" w:fill="FFFFFF"/>
          </w:tcPr>
          <w:p w14:paraId="7D72BA76" w14:textId="77777777" w:rsidR="00084F36" w:rsidRPr="00EB2BD8" w:rsidRDefault="00084F36">
            <w:pPr>
              <w:pStyle w:val="TableParagraph"/>
              <w:rPr>
                <w:rFonts w:ascii="Times New Roman"/>
                <w:sz w:val="16"/>
              </w:rPr>
            </w:pPr>
          </w:p>
        </w:tc>
      </w:tr>
      <w:tr w:rsidR="00EB2BD8" w:rsidRPr="00EB2BD8" w14:paraId="15E3F030" w14:textId="77777777">
        <w:trPr>
          <w:trHeight w:val="339"/>
        </w:trPr>
        <w:tc>
          <w:tcPr>
            <w:tcW w:w="4549" w:type="dxa"/>
            <w:shd w:val="clear" w:color="auto" w:fill="FFFFFF"/>
          </w:tcPr>
          <w:p w14:paraId="7BD73E62" w14:textId="77777777" w:rsidR="00084F36" w:rsidRPr="00EB2BD8" w:rsidRDefault="00EB2BD8">
            <w:pPr>
              <w:pStyle w:val="TableParagraph"/>
              <w:spacing w:before="63"/>
              <w:ind w:left="107"/>
              <w:rPr>
                <w:rFonts w:ascii="Arial"/>
                <w:b/>
                <w:sz w:val="18"/>
              </w:rPr>
            </w:pPr>
            <w:r w:rsidRPr="00EB2BD8">
              <w:rPr>
                <w:rFonts w:ascii="Arial"/>
                <w:b/>
                <w:sz w:val="18"/>
              </w:rPr>
              <w:t>Financial</w:t>
            </w:r>
            <w:r w:rsidRPr="00EB2BD8">
              <w:rPr>
                <w:rFonts w:ascii="Arial"/>
                <w:b/>
                <w:spacing w:val="-3"/>
                <w:sz w:val="18"/>
              </w:rPr>
              <w:t xml:space="preserve"> </w:t>
            </w:r>
            <w:r w:rsidRPr="00EB2BD8">
              <w:rPr>
                <w:rFonts w:ascii="Arial"/>
                <w:b/>
                <w:spacing w:val="-2"/>
                <w:sz w:val="18"/>
              </w:rPr>
              <w:t>assets</w:t>
            </w:r>
          </w:p>
        </w:tc>
        <w:tc>
          <w:tcPr>
            <w:tcW w:w="2540" w:type="dxa"/>
            <w:shd w:val="clear" w:color="auto" w:fill="FFFFFF"/>
          </w:tcPr>
          <w:p w14:paraId="0B81313D" w14:textId="77777777" w:rsidR="00084F36" w:rsidRPr="00EB2BD8" w:rsidRDefault="00084F36">
            <w:pPr>
              <w:pStyle w:val="TableParagraph"/>
              <w:rPr>
                <w:rFonts w:ascii="Times New Roman"/>
                <w:sz w:val="16"/>
              </w:rPr>
            </w:pPr>
          </w:p>
        </w:tc>
        <w:tc>
          <w:tcPr>
            <w:tcW w:w="1418" w:type="dxa"/>
            <w:shd w:val="clear" w:color="auto" w:fill="DEEAF6"/>
          </w:tcPr>
          <w:p w14:paraId="764A998B" w14:textId="77777777" w:rsidR="00084F36" w:rsidRPr="00EB2BD8" w:rsidRDefault="00084F36">
            <w:pPr>
              <w:pStyle w:val="TableParagraph"/>
              <w:rPr>
                <w:rFonts w:ascii="Times New Roman"/>
                <w:sz w:val="16"/>
              </w:rPr>
            </w:pPr>
          </w:p>
        </w:tc>
        <w:tc>
          <w:tcPr>
            <w:tcW w:w="1276" w:type="dxa"/>
            <w:shd w:val="clear" w:color="auto" w:fill="FFFFFF"/>
          </w:tcPr>
          <w:p w14:paraId="26F16607" w14:textId="77777777" w:rsidR="00084F36" w:rsidRPr="00EB2BD8" w:rsidRDefault="00084F36">
            <w:pPr>
              <w:pStyle w:val="TableParagraph"/>
              <w:rPr>
                <w:rFonts w:ascii="Times New Roman"/>
                <w:sz w:val="16"/>
              </w:rPr>
            </w:pPr>
          </w:p>
        </w:tc>
      </w:tr>
      <w:tr w:rsidR="00EB2BD8" w:rsidRPr="00EB2BD8" w14:paraId="2F1A88F9" w14:textId="77777777">
        <w:trPr>
          <w:trHeight w:val="340"/>
        </w:trPr>
        <w:tc>
          <w:tcPr>
            <w:tcW w:w="4549" w:type="dxa"/>
            <w:shd w:val="clear" w:color="auto" w:fill="FFFFFF"/>
          </w:tcPr>
          <w:p w14:paraId="64822C84" w14:textId="77777777" w:rsidR="00084F36" w:rsidRPr="00EB2BD8" w:rsidRDefault="00EB2BD8">
            <w:pPr>
              <w:pStyle w:val="TableParagraph"/>
              <w:spacing w:before="63"/>
              <w:ind w:left="108"/>
              <w:rPr>
                <w:rFonts w:ascii="Arial"/>
                <w:sz w:val="18"/>
              </w:rPr>
            </w:pPr>
            <w:r w:rsidRPr="00EB2BD8">
              <w:rPr>
                <w:rFonts w:ascii="Arial"/>
                <w:sz w:val="18"/>
              </w:rPr>
              <w:t>Cash</w:t>
            </w:r>
            <w:r w:rsidRPr="00EB2BD8">
              <w:rPr>
                <w:rFonts w:ascii="Arial"/>
                <w:spacing w:val="-3"/>
                <w:sz w:val="18"/>
              </w:rPr>
              <w:t xml:space="preserve"> </w:t>
            </w:r>
            <w:r w:rsidRPr="00EB2BD8">
              <w:rPr>
                <w:rFonts w:ascii="Arial"/>
                <w:sz w:val="18"/>
              </w:rPr>
              <w:t>and</w:t>
            </w:r>
            <w:r w:rsidRPr="00EB2BD8">
              <w:rPr>
                <w:rFonts w:ascii="Arial"/>
                <w:spacing w:val="-2"/>
                <w:sz w:val="18"/>
              </w:rPr>
              <w:t xml:space="preserve"> deposits</w:t>
            </w:r>
          </w:p>
        </w:tc>
        <w:tc>
          <w:tcPr>
            <w:tcW w:w="2540" w:type="dxa"/>
            <w:shd w:val="clear" w:color="auto" w:fill="FFFFFF"/>
          </w:tcPr>
          <w:p w14:paraId="70F29DF0" w14:textId="77777777" w:rsidR="00084F36" w:rsidRPr="00EB2BD8" w:rsidRDefault="00EB2BD8">
            <w:pPr>
              <w:pStyle w:val="TableParagraph"/>
              <w:spacing w:before="63"/>
              <w:ind w:right="107"/>
              <w:jc w:val="right"/>
              <w:rPr>
                <w:rFonts w:ascii="Arial"/>
                <w:sz w:val="18"/>
              </w:rPr>
            </w:pPr>
            <w:r w:rsidRPr="00EB2BD8">
              <w:rPr>
                <w:rFonts w:ascii="Arial"/>
                <w:spacing w:val="-5"/>
                <w:sz w:val="18"/>
              </w:rPr>
              <w:t>6.3</w:t>
            </w:r>
          </w:p>
        </w:tc>
        <w:tc>
          <w:tcPr>
            <w:tcW w:w="1418" w:type="dxa"/>
            <w:shd w:val="clear" w:color="auto" w:fill="DEEAF6"/>
          </w:tcPr>
          <w:p w14:paraId="26A20629" w14:textId="77777777" w:rsidR="00084F36" w:rsidRPr="00EB2BD8" w:rsidRDefault="00EB2BD8">
            <w:pPr>
              <w:pStyle w:val="TableParagraph"/>
              <w:spacing w:before="63"/>
              <w:ind w:right="108"/>
              <w:jc w:val="right"/>
              <w:rPr>
                <w:rFonts w:ascii="Arial"/>
                <w:sz w:val="18"/>
              </w:rPr>
            </w:pPr>
            <w:r w:rsidRPr="00EB2BD8">
              <w:rPr>
                <w:rFonts w:ascii="Arial"/>
                <w:spacing w:val="-2"/>
                <w:sz w:val="18"/>
              </w:rPr>
              <w:t>59,653</w:t>
            </w:r>
          </w:p>
        </w:tc>
        <w:tc>
          <w:tcPr>
            <w:tcW w:w="1276" w:type="dxa"/>
            <w:shd w:val="clear" w:color="auto" w:fill="FFFFFF"/>
          </w:tcPr>
          <w:p w14:paraId="30D3240B" w14:textId="77777777" w:rsidR="00084F36" w:rsidRPr="00EB2BD8" w:rsidRDefault="00EB2BD8">
            <w:pPr>
              <w:pStyle w:val="TableParagraph"/>
              <w:spacing w:before="63"/>
              <w:ind w:right="107"/>
              <w:jc w:val="right"/>
              <w:rPr>
                <w:rFonts w:ascii="Arial"/>
                <w:sz w:val="18"/>
              </w:rPr>
            </w:pPr>
            <w:r w:rsidRPr="00EB2BD8">
              <w:rPr>
                <w:rFonts w:ascii="Arial"/>
                <w:spacing w:val="-2"/>
                <w:sz w:val="18"/>
              </w:rPr>
              <w:t>39,542</w:t>
            </w:r>
          </w:p>
        </w:tc>
      </w:tr>
      <w:tr w:rsidR="00EB2BD8" w:rsidRPr="00EB2BD8" w14:paraId="4D12F48F" w14:textId="77777777">
        <w:trPr>
          <w:trHeight w:val="338"/>
        </w:trPr>
        <w:tc>
          <w:tcPr>
            <w:tcW w:w="4549" w:type="dxa"/>
            <w:tcBorders>
              <w:bottom w:val="single" w:sz="12" w:space="0" w:color="000000"/>
            </w:tcBorders>
            <w:shd w:val="clear" w:color="auto" w:fill="FFFFFF"/>
          </w:tcPr>
          <w:p w14:paraId="28057D2B" w14:textId="77777777" w:rsidR="00084F36" w:rsidRPr="00EB2BD8" w:rsidRDefault="00EB2BD8">
            <w:pPr>
              <w:pStyle w:val="TableParagraph"/>
              <w:spacing w:before="64"/>
              <w:ind w:left="108"/>
              <w:rPr>
                <w:rFonts w:ascii="Arial"/>
                <w:sz w:val="18"/>
              </w:rPr>
            </w:pPr>
            <w:r w:rsidRPr="00EB2BD8">
              <w:rPr>
                <w:rFonts w:ascii="Arial"/>
                <w:spacing w:val="-2"/>
                <w:sz w:val="18"/>
              </w:rPr>
              <w:t>Receivables</w:t>
            </w:r>
          </w:p>
        </w:tc>
        <w:tc>
          <w:tcPr>
            <w:tcW w:w="2540" w:type="dxa"/>
            <w:tcBorders>
              <w:bottom w:val="single" w:sz="12" w:space="0" w:color="000000"/>
            </w:tcBorders>
            <w:shd w:val="clear" w:color="auto" w:fill="FFFFFF"/>
          </w:tcPr>
          <w:p w14:paraId="759FA3C0" w14:textId="77777777" w:rsidR="00084F36" w:rsidRPr="00EB2BD8" w:rsidRDefault="00EB2BD8">
            <w:pPr>
              <w:pStyle w:val="TableParagraph"/>
              <w:spacing w:before="64"/>
              <w:ind w:right="107"/>
              <w:jc w:val="right"/>
              <w:rPr>
                <w:rFonts w:ascii="Arial"/>
                <w:sz w:val="18"/>
              </w:rPr>
            </w:pPr>
            <w:r w:rsidRPr="00EB2BD8">
              <w:rPr>
                <w:rFonts w:ascii="Arial"/>
                <w:spacing w:val="-5"/>
                <w:sz w:val="18"/>
              </w:rPr>
              <w:t>5.1</w:t>
            </w:r>
          </w:p>
        </w:tc>
        <w:tc>
          <w:tcPr>
            <w:tcW w:w="1418" w:type="dxa"/>
            <w:tcBorders>
              <w:bottom w:val="single" w:sz="12" w:space="0" w:color="000000"/>
            </w:tcBorders>
            <w:shd w:val="clear" w:color="auto" w:fill="DEEAF6"/>
          </w:tcPr>
          <w:p w14:paraId="0859E162" w14:textId="77777777" w:rsidR="00084F36" w:rsidRPr="00EB2BD8" w:rsidRDefault="00EB2BD8">
            <w:pPr>
              <w:pStyle w:val="TableParagraph"/>
              <w:spacing w:before="64"/>
              <w:ind w:right="108"/>
              <w:jc w:val="right"/>
              <w:rPr>
                <w:rFonts w:ascii="Arial"/>
                <w:sz w:val="18"/>
              </w:rPr>
            </w:pPr>
            <w:r w:rsidRPr="00EB2BD8">
              <w:rPr>
                <w:rFonts w:ascii="Arial"/>
                <w:spacing w:val="-2"/>
                <w:sz w:val="18"/>
              </w:rPr>
              <w:t>1,020</w:t>
            </w:r>
          </w:p>
        </w:tc>
        <w:tc>
          <w:tcPr>
            <w:tcW w:w="1276" w:type="dxa"/>
            <w:tcBorders>
              <w:bottom w:val="single" w:sz="12" w:space="0" w:color="000000"/>
            </w:tcBorders>
            <w:shd w:val="clear" w:color="auto" w:fill="FFFFFF"/>
          </w:tcPr>
          <w:p w14:paraId="7B281DFA" w14:textId="77777777" w:rsidR="00084F36" w:rsidRPr="00EB2BD8" w:rsidRDefault="00EB2BD8">
            <w:pPr>
              <w:pStyle w:val="TableParagraph"/>
              <w:spacing w:before="64"/>
              <w:ind w:right="109"/>
              <w:jc w:val="right"/>
              <w:rPr>
                <w:rFonts w:ascii="Arial"/>
                <w:sz w:val="18"/>
              </w:rPr>
            </w:pPr>
            <w:r w:rsidRPr="00EB2BD8">
              <w:rPr>
                <w:rFonts w:ascii="Arial"/>
                <w:spacing w:val="-2"/>
                <w:sz w:val="18"/>
              </w:rPr>
              <w:t>1,327</w:t>
            </w:r>
          </w:p>
        </w:tc>
      </w:tr>
      <w:tr w:rsidR="00EB2BD8" w:rsidRPr="00EB2BD8" w14:paraId="56176649" w14:textId="77777777">
        <w:trPr>
          <w:trHeight w:val="309"/>
        </w:trPr>
        <w:tc>
          <w:tcPr>
            <w:tcW w:w="7089" w:type="dxa"/>
            <w:gridSpan w:val="2"/>
            <w:tcBorders>
              <w:top w:val="single" w:sz="12" w:space="0" w:color="000000"/>
              <w:bottom w:val="single" w:sz="12" w:space="0" w:color="000000"/>
            </w:tcBorders>
            <w:shd w:val="clear" w:color="auto" w:fill="FFFFFF"/>
          </w:tcPr>
          <w:p w14:paraId="6B3CEBC9" w14:textId="77777777" w:rsidR="00084F36" w:rsidRPr="00EB2BD8" w:rsidRDefault="00EB2BD8">
            <w:pPr>
              <w:pStyle w:val="TableParagraph"/>
              <w:spacing w:before="50"/>
              <w:ind w:left="108"/>
              <w:rPr>
                <w:rFonts w:ascii="Arial"/>
                <w:b/>
                <w:sz w:val="18"/>
              </w:rPr>
            </w:pPr>
            <w:r w:rsidRPr="00EB2BD8">
              <w:rPr>
                <w:rFonts w:ascii="Arial"/>
                <w:b/>
                <w:sz w:val="18"/>
              </w:rPr>
              <w:t>Total</w:t>
            </w:r>
            <w:r w:rsidRPr="00EB2BD8">
              <w:rPr>
                <w:rFonts w:ascii="Arial"/>
                <w:b/>
                <w:spacing w:val="-3"/>
                <w:sz w:val="18"/>
              </w:rPr>
              <w:t xml:space="preserve"> </w:t>
            </w:r>
            <w:r w:rsidRPr="00EB2BD8">
              <w:rPr>
                <w:rFonts w:ascii="Arial"/>
                <w:b/>
                <w:sz w:val="18"/>
              </w:rPr>
              <w:t>financial</w:t>
            </w:r>
            <w:r w:rsidRPr="00EB2BD8">
              <w:rPr>
                <w:rFonts w:ascii="Arial"/>
                <w:b/>
                <w:spacing w:val="-3"/>
                <w:sz w:val="18"/>
              </w:rPr>
              <w:t xml:space="preserve"> </w:t>
            </w:r>
            <w:r w:rsidRPr="00EB2BD8">
              <w:rPr>
                <w:rFonts w:ascii="Arial"/>
                <w:b/>
                <w:spacing w:val="-2"/>
                <w:sz w:val="18"/>
              </w:rPr>
              <w:t>assets</w:t>
            </w:r>
          </w:p>
        </w:tc>
        <w:tc>
          <w:tcPr>
            <w:tcW w:w="1418" w:type="dxa"/>
            <w:tcBorders>
              <w:top w:val="single" w:sz="12" w:space="0" w:color="000000"/>
              <w:bottom w:val="single" w:sz="12" w:space="0" w:color="000000"/>
            </w:tcBorders>
            <w:shd w:val="clear" w:color="auto" w:fill="DEEAF6"/>
          </w:tcPr>
          <w:p w14:paraId="1B2E760F" w14:textId="77777777" w:rsidR="00084F36" w:rsidRPr="00EB2BD8" w:rsidRDefault="00EB2BD8">
            <w:pPr>
              <w:pStyle w:val="TableParagraph"/>
              <w:spacing w:before="50"/>
              <w:ind w:right="108"/>
              <w:jc w:val="right"/>
              <w:rPr>
                <w:rFonts w:ascii="Arial"/>
                <w:b/>
                <w:sz w:val="18"/>
              </w:rPr>
            </w:pPr>
            <w:r w:rsidRPr="00EB2BD8">
              <w:rPr>
                <w:rFonts w:ascii="Arial"/>
                <w:b/>
                <w:spacing w:val="-2"/>
                <w:sz w:val="18"/>
              </w:rPr>
              <w:t>60,673</w:t>
            </w:r>
          </w:p>
        </w:tc>
        <w:tc>
          <w:tcPr>
            <w:tcW w:w="1276" w:type="dxa"/>
            <w:tcBorders>
              <w:top w:val="single" w:sz="12" w:space="0" w:color="000000"/>
              <w:bottom w:val="single" w:sz="12" w:space="0" w:color="000000"/>
            </w:tcBorders>
            <w:shd w:val="clear" w:color="auto" w:fill="FFFFFF"/>
          </w:tcPr>
          <w:p w14:paraId="6073D0A0" w14:textId="77777777" w:rsidR="00084F36" w:rsidRPr="00EB2BD8" w:rsidRDefault="00EB2BD8">
            <w:pPr>
              <w:pStyle w:val="TableParagraph"/>
              <w:spacing w:before="50"/>
              <w:ind w:right="108"/>
              <w:jc w:val="right"/>
              <w:rPr>
                <w:rFonts w:ascii="Arial"/>
                <w:b/>
                <w:sz w:val="18"/>
              </w:rPr>
            </w:pPr>
            <w:r w:rsidRPr="00EB2BD8">
              <w:rPr>
                <w:rFonts w:ascii="Arial"/>
                <w:b/>
                <w:spacing w:val="-2"/>
                <w:sz w:val="18"/>
              </w:rPr>
              <w:t>40,869</w:t>
            </w:r>
          </w:p>
        </w:tc>
      </w:tr>
      <w:tr w:rsidR="00EB2BD8" w:rsidRPr="00EB2BD8" w14:paraId="2BB3DEA5" w14:textId="77777777">
        <w:trPr>
          <w:trHeight w:val="319"/>
        </w:trPr>
        <w:tc>
          <w:tcPr>
            <w:tcW w:w="4549" w:type="dxa"/>
            <w:tcBorders>
              <w:top w:val="single" w:sz="12" w:space="0" w:color="000000"/>
            </w:tcBorders>
            <w:shd w:val="clear" w:color="auto" w:fill="FFFFFF"/>
          </w:tcPr>
          <w:p w14:paraId="5ABBE864" w14:textId="77777777" w:rsidR="00084F36" w:rsidRPr="00EB2BD8" w:rsidRDefault="00EB2BD8">
            <w:pPr>
              <w:pStyle w:val="TableParagraph"/>
              <w:spacing w:before="50"/>
              <w:ind w:left="107"/>
              <w:rPr>
                <w:rFonts w:ascii="Arial"/>
                <w:b/>
                <w:sz w:val="18"/>
              </w:rPr>
            </w:pPr>
            <w:r w:rsidRPr="00EB2BD8">
              <w:rPr>
                <w:rFonts w:ascii="Arial"/>
                <w:b/>
                <w:sz w:val="18"/>
              </w:rPr>
              <w:t>Non-financial</w:t>
            </w:r>
            <w:r w:rsidRPr="00EB2BD8">
              <w:rPr>
                <w:rFonts w:ascii="Arial"/>
                <w:b/>
                <w:spacing w:val="-5"/>
                <w:sz w:val="18"/>
              </w:rPr>
              <w:t xml:space="preserve"> </w:t>
            </w:r>
            <w:r w:rsidRPr="00EB2BD8">
              <w:rPr>
                <w:rFonts w:ascii="Arial"/>
                <w:b/>
                <w:spacing w:val="-2"/>
                <w:sz w:val="18"/>
              </w:rPr>
              <w:t>assets</w:t>
            </w:r>
          </w:p>
        </w:tc>
        <w:tc>
          <w:tcPr>
            <w:tcW w:w="2540" w:type="dxa"/>
            <w:tcBorders>
              <w:top w:val="single" w:sz="12" w:space="0" w:color="000000"/>
            </w:tcBorders>
            <w:shd w:val="clear" w:color="auto" w:fill="FFFFFF"/>
          </w:tcPr>
          <w:p w14:paraId="75CF376A" w14:textId="77777777" w:rsidR="00084F36" w:rsidRPr="00EB2BD8" w:rsidRDefault="00084F36">
            <w:pPr>
              <w:pStyle w:val="TableParagraph"/>
              <w:rPr>
                <w:rFonts w:ascii="Times New Roman"/>
                <w:sz w:val="16"/>
              </w:rPr>
            </w:pPr>
          </w:p>
        </w:tc>
        <w:tc>
          <w:tcPr>
            <w:tcW w:w="1418" w:type="dxa"/>
            <w:tcBorders>
              <w:top w:val="single" w:sz="12" w:space="0" w:color="000000"/>
            </w:tcBorders>
            <w:shd w:val="clear" w:color="auto" w:fill="DEEAF6"/>
          </w:tcPr>
          <w:p w14:paraId="298DDDB6" w14:textId="77777777" w:rsidR="00084F36" w:rsidRPr="00EB2BD8" w:rsidRDefault="00084F36">
            <w:pPr>
              <w:pStyle w:val="TableParagraph"/>
              <w:rPr>
                <w:rFonts w:ascii="Times New Roman"/>
                <w:sz w:val="16"/>
              </w:rPr>
            </w:pPr>
          </w:p>
        </w:tc>
        <w:tc>
          <w:tcPr>
            <w:tcW w:w="1276" w:type="dxa"/>
            <w:tcBorders>
              <w:top w:val="single" w:sz="12" w:space="0" w:color="000000"/>
            </w:tcBorders>
            <w:shd w:val="clear" w:color="auto" w:fill="FFFFFF"/>
          </w:tcPr>
          <w:p w14:paraId="427F60DD" w14:textId="77777777" w:rsidR="00084F36" w:rsidRPr="00EB2BD8" w:rsidRDefault="00084F36">
            <w:pPr>
              <w:pStyle w:val="TableParagraph"/>
              <w:rPr>
                <w:rFonts w:ascii="Times New Roman"/>
                <w:sz w:val="16"/>
              </w:rPr>
            </w:pPr>
          </w:p>
        </w:tc>
      </w:tr>
      <w:tr w:rsidR="00EB2BD8" w:rsidRPr="00EB2BD8" w14:paraId="061347A5" w14:textId="77777777">
        <w:trPr>
          <w:trHeight w:val="332"/>
        </w:trPr>
        <w:tc>
          <w:tcPr>
            <w:tcW w:w="4549" w:type="dxa"/>
            <w:shd w:val="clear" w:color="auto" w:fill="FFFFFF"/>
          </w:tcPr>
          <w:p w14:paraId="2E712A0C" w14:textId="77777777" w:rsidR="00084F36" w:rsidRPr="00EB2BD8" w:rsidRDefault="00EB2BD8">
            <w:pPr>
              <w:pStyle w:val="TableParagraph"/>
              <w:spacing w:before="56"/>
              <w:ind w:left="107"/>
              <w:rPr>
                <w:rFonts w:ascii="Arial"/>
                <w:sz w:val="18"/>
              </w:rPr>
            </w:pPr>
            <w:r w:rsidRPr="00EB2BD8">
              <w:rPr>
                <w:rFonts w:ascii="Arial"/>
                <w:sz w:val="18"/>
              </w:rPr>
              <w:t>Property,</w:t>
            </w:r>
            <w:r w:rsidRPr="00EB2BD8">
              <w:rPr>
                <w:rFonts w:ascii="Arial"/>
                <w:spacing w:val="-4"/>
                <w:sz w:val="18"/>
              </w:rPr>
              <w:t xml:space="preserve"> </w:t>
            </w:r>
            <w:r w:rsidRPr="00EB2BD8">
              <w:rPr>
                <w:rFonts w:ascii="Arial"/>
                <w:sz w:val="18"/>
              </w:rPr>
              <w:t>plant</w:t>
            </w:r>
            <w:r w:rsidRPr="00EB2BD8">
              <w:rPr>
                <w:rFonts w:ascii="Arial"/>
                <w:spacing w:val="-3"/>
                <w:sz w:val="18"/>
              </w:rPr>
              <w:t xml:space="preserve"> </w:t>
            </w:r>
            <w:r w:rsidRPr="00EB2BD8">
              <w:rPr>
                <w:rFonts w:ascii="Arial"/>
                <w:sz w:val="18"/>
              </w:rPr>
              <w:t>and</w:t>
            </w:r>
            <w:r w:rsidRPr="00EB2BD8">
              <w:rPr>
                <w:rFonts w:ascii="Arial"/>
                <w:spacing w:val="-3"/>
                <w:sz w:val="18"/>
              </w:rPr>
              <w:t xml:space="preserve"> </w:t>
            </w:r>
            <w:r w:rsidRPr="00EB2BD8">
              <w:rPr>
                <w:rFonts w:ascii="Arial"/>
                <w:spacing w:val="-2"/>
                <w:sz w:val="18"/>
              </w:rPr>
              <w:t>equipment</w:t>
            </w:r>
          </w:p>
        </w:tc>
        <w:tc>
          <w:tcPr>
            <w:tcW w:w="2540" w:type="dxa"/>
            <w:shd w:val="clear" w:color="auto" w:fill="FFFFFF"/>
          </w:tcPr>
          <w:p w14:paraId="4666DA7D" w14:textId="77777777" w:rsidR="00084F36" w:rsidRPr="00EB2BD8" w:rsidRDefault="00EB2BD8">
            <w:pPr>
              <w:pStyle w:val="TableParagraph"/>
              <w:spacing w:before="56"/>
              <w:ind w:right="107"/>
              <w:jc w:val="right"/>
              <w:rPr>
                <w:rFonts w:ascii="Arial"/>
                <w:sz w:val="18"/>
              </w:rPr>
            </w:pPr>
            <w:r w:rsidRPr="00EB2BD8">
              <w:rPr>
                <w:rFonts w:ascii="Arial"/>
                <w:spacing w:val="-5"/>
                <w:sz w:val="18"/>
              </w:rPr>
              <w:t>4.1</w:t>
            </w:r>
          </w:p>
        </w:tc>
        <w:tc>
          <w:tcPr>
            <w:tcW w:w="1418" w:type="dxa"/>
            <w:shd w:val="clear" w:color="auto" w:fill="DEEAF6"/>
          </w:tcPr>
          <w:p w14:paraId="72D8B5DD" w14:textId="77777777" w:rsidR="00084F36" w:rsidRPr="00EB2BD8" w:rsidRDefault="00EB2BD8">
            <w:pPr>
              <w:pStyle w:val="TableParagraph"/>
              <w:spacing w:before="56"/>
              <w:ind w:right="108"/>
              <w:jc w:val="right"/>
              <w:rPr>
                <w:rFonts w:ascii="Arial"/>
                <w:sz w:val="18"/>
              </w:rPr>
            </w:pPr>
            <w:r w:rsidRPr="00EB2BD8">
              <w:rPr>
                <w:rFonts w:ascii="Arial"/>
                <w:spacing w:val="-2"/>
                <w:sz w:val="18"/>
              </w:rPr>
              <w:t>7,309</w:t>
            </w:r>
          </w:p>
        </w:tc>
        <w:tc>
          <w:tcPr>
            <w:tcW w:w="1276" w:type="dxa"/>
            <w:shd w:val="clear" w:color="auto" w:fill="FFFFFF"/>
          </w:tcPr>
          <w:p w14:paraId="7EC5D1EC" w14:textId="77777777" w:rsidR="00084F36" w:rsidRPr="00EB2BD8" w:rsidRDefault="00EB2BD8">
            <w:pPr>
              <w:pStyle w:val="TableParagraph"/>
              <w:spacing w:before="56"/>
              <w:ind w:right="109"/>
              <w:jc w:val="right"/>
              <w:rPr>
                <w:rFonts w:ascii="Arial"/>
                <w:sz w:val="18"/>
              </w:rPr>
            </w:pPr>
            <w:r w:rsidRPr="00EB2BD8">
              <w:rPr>
                <w:rFonts w:ascii="Arial"/>
                <w:spacing w:val="-2"/>
                <w:sz w:val="18"/>
              </w:rPr>
              <w:t>9,160</w:t>
            </w:r>
          </w:p>
        </w:tc>
      </w:tr>
      <w:tr w:rsidR="00EB2BD8" w:rsidRPr="00EB2BD8" w14:paraId="1C70CC8D" w14:textId="77777777">
        <w:trPr>
          <w:trHeight w:val="339"/>
        </w:trPr>
        <w:tc>
          <w:tcPr>
            <w:tcW w:w="4549" w:type="dxa"/>
            <w:shd w:val="clear" w:color="auto" w:fill="FFFFFF"/>
          </w:tcPr>
          <w:p w14:paraId="2CB030A0" w14:textId="77777777" w:rsidR="00084F36" w:rsidRPr="00EB2BD8" w:rsidRDefault="00EB2BD8">
            <w:pPr>
              <w:pStyle w:val="TableParagraph"/>
              <w:spacing w:before="63"/>
              <w:ind w:left="108"/>
              <w:rPr>
                <w:rFonts w:ascii="Arial"/>
                <w:sz w:val="18"/>
              </w:rPr>
            </w:pPr>
            <w:r w:rsidRPr="00EB2BD8">
              <w:rPr>
                <w:rFonts w:ascii="Arial"/>
                <w:sz w:val="18"/>
              </w:rPr>
              <w:t>Intangible</w:t>
            </w:r>
            <w:r w:rsidRPr="00EB2BD8">
              <w:rPr>
                <w:rFonts w:ascii="Arial"/>
                <w:spacing w:val="-6"/>
                <w:sz w:val="18"/>
              </w:rPr>
              <w:t xml:space="preserve"> </w:t>
            </w:r>
            <w:r w:rsidRPr="00EB2BD8">
              <w:rPr>
                <w:rFonts w:ascii="Arial"/>
                <w:spacing w:val="-2"/>
                <w:sz w:val="18"/>
              </w:rPr>
              <w:t>assets</w:t>
            </w:r>
          </w:p>
        </w:tc>
        <w:tc>
          <w:tcPr>
            <w:tcW w:w="2540" w:type="dxa"/>
            <w:shd w:val="clear" w:color="auto" w:fill="FFFFFF"/>
          </w:tcPr>
          <w:p w14:paraId="7E463FFD" w14:textId="77777777" w:rsidR="00084F36" w:rsidRPr="00EB2BD8" w:rsidRDefault="00EB2BD8">
            <w:pPr>
              <w:pStyle w:val="TableParagraph"/>
              <w:spacing w:before="63"/>
              <w:ind w:right="107"/>
              <w:jc w:val="right"/>
              <w:rPr>
                <w:rFonts w:ascii="Arial"/>
                <w:sz w:val="18"/>
              </w:rPr>
            </w:pPr>
            <w:r w:rsidRPr="00EB2BD8">
              <w:rPr>
                <w:rFonts w:ascii="Arial"/>
                <w:spacing w:val="-5"/>
                <w:sz w:val="18"/>
              </w:rPr>
              <w:t>4.2</w:t>
            </w:r>
          </w:p>
        </w:tc>
        <w:tc>
          <w:tcPr>
            <w:tcW w:w="1418" w:type="dxa"/>
            <w:shd w:val="clear" w:color="auto" w:fill="DEEAF6"/>
          </w:tcPr>
          <w:p w14:paraId="6811D341" w14:textId="77777777" w:rsidR="00084F36" w:rsidRPr="00EB2BD8" w:rsidRDefault="00EB2BD8">
            <w:pPr>
              <w:pStyle w:val="TableParagraph"/>
              <w:spacing w:before="63"/>
              <w:ind w:right="108"/>
              <w:jc w:val="right"/>
              <w:rPr>
                <w:rFonts w:ascii="Arial"/>
                <w:sz w:val="18"/>
              </w:rPr>
            </w:pPr>
            <w:r w:rsidRPr="00EB2BD8">
              <w:rPr>
                <w:rFonts w:ascii="Arial"/>
                <w:spacing w:val="-2"/>
                <w:sz w:val="18"/>
              </w:rPr>
              <w:t>9,397</w:t>
            </w:r>
          </w:p>
        </w:tc>
        <w:tc>
          <w:tcPr>
            <w:tcW w:w="1276" w:type="dxa"/>
            <w:shd w:val="clear" w:color="auto" w:fill="FFFFFF"/>
          </w:tcPr>
          <w:p w14:paraId="0EE258AE" w14:textId="77777777" w:rsidR="00084F36" w:rsidRPr="00EB2BD8" w:rsidRDefault="00EB2BD8">
            <w:pPr>
              <w:pStyle w:val="TableParagraph"/>
              <w:spacing w:before="63"/>
              <w:ind w:right="109"/>
              <w:jc w:val="right"/>
              <w:rPr>
                <w:rFonts w:ascii="Arial"/>
                <w:sz w:val="18"/>
              </w:rPr>
            </w:pPr>
            <w:r w:rsidRPr="00EB2BD8">
              <w:rPr>
                <w:rFonts w:ascii="Arial"/>
                <w:spacing w:val="-2"/>
                <w:sz w:val="18"/>
              </w:rPr>
              <w:t>8,708</w:t>
            </w:r>
          </w:p>
        </w:tc>
      </w:tr>
      <w:tr w:rsidR="00EB2BD8" w:rsidRPr="00EB2BD8" w14:paraId="1B4C17A3" w14:textId="77777777">
        <w:trPr>
          <w:trHeight w:val="337"/>
        </w:trPr>
        <w:tc>
          <w:tcPr>
            <w:tcW w:w="4549" w:type="dxa"/>
            <w:tcBorders>
              <w:bottom w:val="single" w:sz="12" w:space="0" w:color="000000"/>
            </w:tcBorders>
            <w:shd w:val="clear" w:color="auto" w:fill="FFFFFF"/>
          </w:tcPr>
          <w:p w14:paraId="2E63FFAF" w14:textId="77777777" w:rsidR="00084F36" w:rsidRPr="00EB2BD8" w:rsidRDefault="00EB2BD8">
            <w:pPr>
              <w:pStyle w:val="TableParagraph"/>
              <w:spacing w:before="63"/>
              <w:ind w:left="108"/>
              <w:rPr>
                <w:rFonts w:ascii="Arial"/>
                <w:sz w:val="18"/>
              </w:rPr>
            </w:pPr>
            <w:r w:rsidRPr="00EB2BD8">
              <w:rPr>
                <w:rFonts w:ascii="Arial"/>
                <w:sz w:val="18"/>
              </w:rPr>
              <w:t>Other</w:t>
            </w:r>
            <w:r w:rsidRPr="00EB2BD8">
              <w:rPr>
                <w:rFonts w:ascii="Arial"/>
                <w:spacing w:val="-5"/>
                <w:sz w:val="18"/>
              </w:rPr>
              <w:t xml:space="preserve"> </w:t>
            </w:r>
            <w:r w:rsidRPr="00EB2BD8">
              <w:rPr>
                <w:rFonts w:ascii="Arial"/>
                <w:sz w:val="18"/>
              </w:rPr>
              <w:t>non-financial</w:t>
            </w:r>
            <w:r w:rsidRPr="00EB2BD8">
              <w:rPr>
                <w:rFonts w:ascii="Arial"/>
                <w:spacing w:val="-3"/>
                <w:sz w:val="18"/>
              </w:rPr>
              <w:t xml:space="preserve"> </w:t>
            </w:r>
            <w:r w:rsidRPr="00EB2BD8">
              <w:rPr>
                <w:rFonts w:ascii="Arial"/>
                <w:spacing w:val="-2"/>
                <w:sz w:val="18"/>
              </w:rPr>
              <w:t>assets</w:t>
            </w:r>
          </w:p>
        </w:tc>
        <w:tc>
          <w:tcPr>
            <w:tcW w:w="2540" w:type="dxa"/>
            <w:tcBorders>
              <w:bottom w:val="single" w:sz="12" w:space="0" w:color="000000"/>
            </w:tcBorders>
            <w:shd w:val="clear" w:color="auto" w:fill="FFFFFF"/>
          </w:tcPr>
          <w:p w14:paraId="4D54BAD5" w14:textId="77777777" w:rsidR="00084F36" w:rsidRPr="00EB2BD8" w:rsidRDefault="00EB2BD8">
            <w:pPr>
              <w:pStyle w:val="TableParagraph"/>
              <w:spacing w:before="63"/>
              <w:ind w:right="107"/>
              <w:jc w:val="right"/>
              <w:rPr>
                <w:rFonts w:ascii="Arial"/>
                <w:sz w:val="18"/>
              </w:rPr>
            </w:pPr>
            <w:r w:rsidRPr="00EB2BD8">
              <w:rPr>
                <w:rFonts w:ascii="Arial"/>
                <w:spacing w:val="-5"/>
                <w:sz w:val="18"/>
              </w:rPr>
              <w:t>5.5</w:t>
            </w:r>
          </w:p>
        </w:tc>
        <w:tc>
          <w:tcPr>
            <w:tcW w:w="1418" w:type="dxa"/>
            <w:tcBorders>
              <w:bottom w:val="single" w:sz="12" w:space="0" w:color="000000"/>
            </w:tcBorders>
            <w:shd w:val="clear" w:color="auto" w:fill="DEEAF6"/>
          </w:tcPr>
          <w:p w14:paraId="46906A8D" w14:textId="77777777" w:rsidR="00084F36" w:rsidRPr="00EB2BD8" w:rsidRDefault="00EB2BD8">
            <w:pPr>
              <w:pStyle w:val="TableParagraph"/>
              <w:spacing w:before="63"/>
              <w:ind w:right="108"/>
              <w:jc w:val="right"/>
              <w:rPr>
                <w:rFonts w:ascii="Arial"/>
                <w:sz w:val="18"/>
              </w:rPr>
            </w:pPr>
            <w:r w:rsidRPr="00EB2BD8">
              <w:rPr>
                <w:rFonts w:ascii="Arial"/>
                <w:spacing w:val="-2"/>
                <w:sz w:val="18"/>
              </w:rPr>
              <w:t>1,861</w:t>
            </w:r>
          </w:p>
        </w:tc>
        <w:tc>
          <w:tcPr>
            <w:tcW w:w="1276" w:type="dxa"/>
            <w:tcBorders>
              <w:bottom w:val="single" w:sz="12" w:space="0" w:color="000000"/>
            </w:tcBorders>
            <w:shd w:val="clear" w:color="auto" w:fill="FFFFFF"/>
          </w:tcPr>
          <w:p w14:paraId="2D546FA7" w14:textId="77777777" w:rsidR="00084F36" w:rsidRPr="00EB2BD8" w:rsidRDefault="00EB2BD8">
            <w:pPr>
              <w:pStyle w:val="TableParagraph"/>
              <w:spacing w:before="63"/>
              <w:ind w:right="109"/>
              <w:jc w:val="right"/>
              <w:rPr>
                <w:rFonts w:ascii="Arial"/>
                <w:sz w:val="18"/>
              </w:rPr>
            </w:pPr>
            <w:r w:rsidRPr="00EB2BD8">
              <w:rPr>
                <w:rFonts w:ascii="Arial"/>
                <w:spacing w:val="-2"/>
                <w:sz w:val="18"/>
              </w:rPr>
              <w:t>2,098</w:t>
            </w:r>
          </w:p>
        </w:tc>
      </w:tr>
      <w:tr w:rsidR="00EB2BD8" w:rsidRPr="00EB2BD8" w14:paraId="51CAB490" w14:textId="77777777">
        <w:trPr>
          <w:trHeight w:val="310"/>
        </w:trPr>
        <w:tc>
          <w:tcPr>
            <w:tcW w:w="7089" w:type="dxa"/>
            <w:gridSpan w:val="2"/>
            <w:tcBorders>
              <w:top w:val="single" w:sz="12" w:space="0" w:color="000000"/>
              <w:bottom w:val="single" w:sz="12" w:space="0" w:color="000000"/>
            </w:tcBorders>
            <w:shd w:val="clear" w:color="auto" w:fill="FFFFFF"/>
          </w:tcPr>
          <w:p w14:paraId="51338402" w14:textId="77777777" w:rsidR="00084F36" w:rsidRPr="00EB2BD8" w:rsidRDefault="00EB2BD8">
            <w:pPr>
              <w:pStyle w:val="TableParagraph"/>
              <w:spacing w:before="50"/>
              <w:ind w:left="108"/>
              <w:rPr>
                <w:rFonts w:ascii="Arial"/>
                <w:b/>
                <w:sz w:val="18"/>
              </w:rPr>
            </w:pPr>
            <w:r w:rsidRPr="00EB2BD8">
              <w:rPr>
                <w:rFonts w:ascii="Arial"/>
                <w:b/>
                <w:sz w:val="18"/>
              </w:rPr>
              <w:t>Total</w:t>
            </w:r>
            <w:r w:rsidRPr="00EB2BD8">
              <w:rPr>
                <w:rFonts w:ascii="Arial"/>
                <w:b/>
                <w:spacing w:val="-4"/>
                <w:sz w:val="18"/>
              </w:rPr>
              <w:t xml:space="preserve"> </w:t>
            </w:r>
            <w:r w:rsidRPr="00EB2BD8">
              <w:rPr>
                <w:rFonts w:ascii="Arial"/>
                <w:b/>
                <w:sz w:val="18"/>
              </w:rPr>
              <w:t>non-financial</w:t>
            </w:r>
            <w:r w:rsidRPr="00EB2BD8">
              <w:rPr>
                <w:rFonts w:ascii="Arial"/>
                <w:b/>
                <w:spacing w:val="-4"/>
                <w:sz w:val="18"/>
              </w:rPr>
              <w:t xml:space="preserve"> </w:t>
            </w:r>
            <w:r w:rsidRPr="00EB2BD8">
              <w:rPr>
                <w:rFonts w:ascii="Arial"/>
                <w:b/>
                <w:spacing w:val="-2"/>
                <w:sz w:val="18"/>
              </w:rPr>
              <w:t>assets</w:t>
            </w:r>
          </w:p>
        </w:tc>
        <w:tc>
          <w:tcPr>
            <w:tcW w:w="1418" w:type="dxa"/>
            <w:tcBorders>
              <w:top w:val="single" w:sz="12" w:space="0" w:color="000000"/>
              <w:bottom w:val="single" w:sz="12" w:space="0" w:color="000000"/>
            </w:tcBorders>
            <w:shd w:val="clear" w:color="auto" w:fill="DEEAF6"/>
          </w:tcPr>
          <w:p w14:paraId="405C189E" w14:textId="77777777" w:rsidR="00084F36" w:rsidRPr="00EB2BD8" w:rsidRDefault="00EB2BD8">
            <w:pPr>
              <w:pStyle w:val="TableParagraph"/>
              <w:spacing w:before="50"/>
              <w:ind w:right="108"/>
              <w:jc w:val="right"/>
              <w:rPr>
                <w:rFonts w:ascii="Arial"/>
                <w:b/>
                <w:sz w:val="18"/>
              </w:rPr>
            </w:pPr>
            <w:r w:rsidRPr="00EB2BD8">
              <w:rPr>
                <w:rFonts w:ascii="Arial"/>
                <w:b/>
                <w:spacing w:val="-2"/>
                <w:sz w:val="18"/>
              </w:rPr>
              <w:t>18,567</w:t>
            </w:r>
          </w:p>
        </w:tc>
        <w:tc>
          <w:tcPr>
            <w:tcW w:w="1276" w:type="dxa"/>
            <w:tcBorders>
              <w:top w:val="single" w:sz="12" w:space="0" w:color="000000"/>
              <w:bottom w:val="single" w:sz="12" w:space="0" w:color="000000"/>
            </w:tcBorders>
            <w:shd w:val="clear" w:color="auto" w:fill="FFFFFF"/>
          </w:tcPr>
          <w:p w14:paraId="282941B6" w14:textId="77777777" w:rsidR="00084F36" w:rsidRPr="00EB2BD8" w:rsidRDefault="00EB2BD8">
            <w:pPr>
              <w:pStyle w:val="TableParagraph"/>
              <w:spacing w:before="50"/>
              <w:ind w:right="108"/>
              <w:jc w:val="right"/>
              <w:rPr>
                <w:rFonts w:ascii="Arial"/>
                <w:b/>
                <w:sz w:val="18"/>
              </w:rPr>
            </w:pPr>
            <w:r w:rsidRPr="00EB2BD8">
              <w:rPr>
                <w:rFonts w:ascii="Arial"/>
                <w:b/>
                <w:spacing w:val="-2"/>
                <w:sz w:val="18"/>
              </w:rPr>
              <w:t>19,966</w:t>
            </w:r>
          </w:p>
        </w:tc>
      </w:tr>
      <w:tr w:rsidR="00EB2BD8" w:rsidRPr="00EB2BD8" w14:paraId="23A0EC64" w14:textId="77777777">
        <w:trPr>
          <w:trHeight w:val="309"/>
        </w:trPr>
        <w:tc>
          <w:tcPr>
            <w:tcW w:w="7089" w:type="dxa"/>
            <w:gridSpan w:val="2"/>
            <w:tcBorders>
              <w:top w:val="single" w:sz="12" w:space="0" w:color="000000"/>
              <w:bottom w:val="single" w:sz="12" w:space="0" w:color="000000"/>
            </w:tcBorders>
            <w:shd w:val="clear" w:color="auto" w:fill="FFFFFF"/>
          </w:tcPr>
          <w:p w14:paraId="687DE328" w14:textId="77777777" w:rsidR="00084F36" w:rsidRPr="00EB2BD8" w:rsidRDefault="00EB2BD8">
            <w:pPr>
              <w:pStyle w:val="TableParagraph"/>
              <w:spacing w:before="50"/>
              <w:ind w:left="107"/>
              <w:rPr>
                <w:rFonts w:ascii="Arial"/>
                <w:b/>
                <w:sz w:val="18"/>
              </w:rPr>
            </w:pPr>
            <w:r w:rsidRPr="00EB2BD8">
              <w:rPr>
                <w:rFonts w:ascii="Arial"/>
                <w:b/>
                <w:sz w:val="18"/>
              </w:rPr>
              <w:t>Total</w:t>
            </w:r>
            <w:r w:rsidRPr="00EB2BD8">
              <w:rPr>
                <w:rFonts w:ascii="Arial"/>
                <w:b/>
                <w:spacing w:val="-1"/>
                <w:sz w:val="18"/>
              </w:rPr>
              <w:t xml:space="preserve"> </w:t>
            </w:r>
            <w:r w:rsidRPr="00EB2BD8">
              <w:rPr>
                <w:rFonts w:ascii="Arial"/>
                <w:b/>
                <w:spacing w:val="-2"/>
                <w:sz w:val="18"/>
              </w:rPr>
              <w:t>assets</w:t>
            </w:r>
          </w:p>
        </w:tc>
        <w:tc>
          <w:tcPr>
            <w:tcW w:w="1418" w:type="dxa"/>
            <w:tcBorders>
              <w:top w:val="single" w:sz="12" w:space="0" w:color="000000"/>
              <w:bottom w:val="single" w:sz="12" w:space="0" w:color="000000"/>
            </w:tcBorders>
            <w:shd w:val="clear" w:color="auto" w:fill="DEEAF6"/>
          </w:tcPr>
          <w:p w14:paraId="4080767C" w14:textId="77777777" w:rsidR="00084F36" w:rsidRPr="00EB2BD8" w:rsidRDefault="00EB2BD8">
            <w:pPr>
              <w:pStyle w:val="TableParagraph"/>
              <w:spacing w:before="50"/>
              <w:ind w:right="108"/>
              <w:jc w:val="right"/>
              <w:rPr>
                <w:rFonts w:ascii="Arial"/>
                <w:b/>
                <w:sz w:val="18"/>
              </w:rPr>
            </w:pPr>
            <w:r w:rsidRPr="00EB2BD8">
              <w:rPr>
                <w:rFonts w:ascii="Arial"/>
                <w:b/>
                <w:spacing w:val="-2"/>
                <w:sz w:val="18"/>
              </w:rPr>
              <w:t>79,240</w:t>
            </w:r>
          </w:p>
        </w:tc>
        <w:tc>
          <w:tcPr>
            <w:tcW w:w="1276" w:type="dxa"/>
            <w:tcBorders>
              <w:top w:val="single" w:sz="12" w:space="0" w:color="000000"/>
              <w:bottom w:val="single" w:sz="12" w:space="0" w:color="000000"/>
            </w:tcBorders>
            <w:shd w:val="clear" w:color="auto" w:fill="FFFFFF"/>
          </w:tcPr>
          <w:p w14:paraId="1B4E3DAE" w14:textId="77777777" w:rsidR="00084F36" w:rsidRPr="00EB2BD8" w:rsidRDefault="00EB2BD8">
            <w:pPr>
              <w:pStyle w:val="TableParagraph"/>
              <w:spacing w:before="50"/>
              <w:ind w:right="108"/>
              <w:jc w:val="right"/>
              <w:rPr>
                <w:rFonts w:ascii="Arial"/>
                <w:b/>
                <w:sz w:val="18"/>
              </w:rPr>
            </w:pPr>
            <w:r w:rsidRPr="00EB2BD8">
              <w:rPr>
                <w:rFonts w:ascii="Arial"/>
                <w:b/>
                <w:spacing w:val="-2"/>
                <w:sz w:val="18"/>
              </w:rPr>
              <w:t>60,835</w:t>
            </w:r>
          </w:p>
        </w:tc>
      </w:tr>
      <w:tr w:rsidR="00EB2BD8" w:rsidRPr="00EB2BD8" w14:paraId="1FB4E4D3" w14:textId="77777777">
        <w:trPr>
          <w:trHeight w:val="319"/>
        </w:trPr>
        <w:tc>
          <w:tcPr>
            <w:tcW w:w="4549" w:type="dxa"/>
            <w:tcBorders>
              <w:top w:val="single" w:sz="12" w:space="0" w:color="000000"/>
            </w:tcBorders>
            <w:shd w:val="clear" w:color="auto" w:fill="FFFFFF"/>
          </w:tcPr>
          <w:p w14:paraId="6F998A4C" w14:textId="77777777" w:rsidR="00084F36" w:rsidRPr="00EB2BD8" w:rsidRDefault="00EB2BD8">
            <w:pPr>
              <w:pStyle w:val="TableParagraph"/>
              <w:spacing w:before="50"/>
              <w:ind w:left="107"/>
              <w:rPr>
                <w:rFonts w:ascii="Arial"/>
                <w:b/>
                <w:sz w:val="18"/>
              </w:rPr>
            </w:pPr>
            <w:r w:rsidRPr="00EB2BD8">
              <w:rPr>
                <w:rFonts w:ascii="Arial"/>
                <w:b/>
                <w:spacing w:val="-2"/>
                <w:sz w:val="18"/>
              </w:rPr>
              <w:t>Liabilities</w:t>
            </w:r>
          </w:p>
        </w:tc>
        <w:tc>
          <w:tcPr>
            <w:tcW w:w="2540" w:type="dxa"/>
            <w:tcBorders>
              <w:top w:val="single" w:sz="12" w:space="0" w:color="000000"/>
            </w:tcBorders>
            <w:shd w:val="clear" w:color="auto" w:fill="FFFFFF"/>
          </w:tcPr>
          <w:p w14:paraId="705B7ADF" w14:textId="77777777" w:rsidR="00084F36" w:rsidRPr="00EB2BD8" w:rsidRDefault="00084F36">
            <w:pPr>
              <w:pStyle w:val="TableParagraph"/>
              <w:rPr>
                <w:rFonts w:ascii="Times New Roman"/>
                <w:sz w:val="16"/>
              </w:rPr>
            </w:pPr>
          </w:p>
        </w:tc>
        <w:tc>
          <w:tcPr>
            <w:tcW w:w="1418" w:type="dxa"/>
            <w:tcBorders>
              <w:top w:val="single" w:sz="12" w:space="0" w:color="000000"/>
            </w:tcBorders>
            <w:shd w:val="clear" w:color="auto" w:fill="DEEAF6"/>
          </w:tcPr>
          <w:p w14:paraId="0085A132" w14:textId="77777777" w:rsidR="00084F36" w:rsidRPr="00EB2BD8" w:rsidRDefault="00084F36">
            <w:pPr>
              <w:pStyle w:val="TableParagraph"/>
              <w:rPr>
                <w:rFonts w:ascii="Times New Roman"/>
                <w:sz w:val="16"/>
              </w:rPr>
            </w:pPr>
          </w:p>
        </w:tc>
        <w:tc>
          <w:tcPr>
            <w:tcW w:w="1276" w:type="dxa"/>
            <w:tcBorders>
              <w:top w:val="single" w:sz="12" w:space="0" w:color="000000"/>
            </w:tcBorders>
            <w:shd w:val="clear" w:color="auto" w:fill="FFFFFF"/>
          </w:tcPr>
          <w:p w14:paraId="2185A919" w14:textId="77777777" w:rsidR="00084F36" w:rsidRPr="00EB2BD8" w:rsidRDefault="00084F36">
            <w:pPr>
              <w:pStyle w:val="TableParagraph"/>
              <w:rPr>
                <w:rFonts w:ascii="Times New Roman"/>
                <w:sz w:val="16"/>
              </w:rPr>
            </w:pPr>
          </w:p>
        </w:tc>
      </w:tr>
      <w:tr w:rsidR="00EB2BD8" w:rsidRPr="00EB2BD8" w14:paraId="178F22EC" w14:textId="77777777">
        <w:trPr>
          <w:trHeight w:val="332"/>
        </w:trPr>
        <w:tc>
          <w:tcPr>
            <w:tcW w:w="4549" w:type="dxa"/>
            <w:shd w:val="clear" w:color="auto" w:fill="FFFFFF"/>
          </w:tcPr>
          <w:p w14:paraId="79BB2F3B" w14:textId="77777777" w:rsidR="00084F36" w:rsidRPr="00EB2BD8" w:rsidRDefault="00EB2BD8">
            <w:pPr>
              <w:pStyle w:val="TableParagraph"/>
              <w:spacing w:before="56"/>
              <w:ind w:left="107"/>
              <w:rPr>
                <w:rFonts w:ascii="Arial"/>
                <w:sz w:val="18"/>
              </w:rPr>
            </w:pPr>
            <w:r w:rsidRPr="00EB2BD8">
              <w:rPr>
                <w:rFonts w:ascii="Arial"/>
                <w:spacing w:val="-2"/>
                <w:sz w:val="18"/>
              </w:rPr>
              <w:t>Payables</w:t>
            </w:r>
          </w:p>
        </w:tc>
        <w:tc>
          <w:tcPr>
            <w:tcW w:w="2540" w:type="dxa"/>
            <w:shd w:val="clear" w:color="auto" w:fill="FFFFFF"/>
          </w:tcPr>
          <w:p w14:paraId="1D0FD1F3" w14:textId="77777777" w:rsidR="00084F36" w:rsidRPr="00EB2BD8" w:rsidRDefault="00EB2BD8">
            <w:pPr>
              <w:pStyle w:val="TableParagraph"/>
              <w:spacing w:before="56"/>
              <w:ind w:right="107"/>
              <w:jc w:val="right"/>
              <w:rPr>
                <w:rFonts w:ascii="Arial"/>
                <w:sz w:val="18"/>
              </w:rPr>
            </w:pPr>
            <w:r w:rsidRPr="00EB2BD8">
              <w:rPr>
                <w:rFonts w:ascii="Arial"/>
                <w:spacing w:val="-5"/>
                <w:sz w:val="18"/>
              </w:rPr>
              <w:t>5.2</w:t>
            </w:r>
          </w:p>
        </w:tc>
        <w:tc>
          <w:tcPr>
            <w:tcW w:w="1418" w:type="dxa"/>
            <w:shd w:val="clear" w:color="auto" w:fill="DEEAF6"/>
          </w:tcPr>
          <w:p w14:paraId="02F61B8B" w14:textId="77777777" w:rsidR="00084F36" w:rsidRPr="00EB2BD8" w:rsidRDefault="00EB2BD8">
            <w:pPr>
              <w:pStyle w:val="TableParagraph"/>
              <w:spacing w:before="56"/>
              <w:ind w:right="108"/>
              <w:jc w:val="right"/>
              <w:rPr>
                <w:rFonts w:ascii="Arial"/>
                <w:sz w:val="18"/>
              </w:rPr>
            </w:pPr>
            <w:r w:rsidRPr="00EB2BD8">
              <w:rPr>
                <w:rFonts w:ascii="Arial"/>
                <w:spacing w:val="-2"/>
                <w:sz w:val="18"/>
              </w:rPr>
              <w:t>13,913</w:t>
            </w:r>
          </w:p>
        </w:tc>
        <w:tc>
          <w:tcPr>
            <w:tcW w:w="1276" w:type="dxa"/>
            <w:shd w:val="clear" w:color="auto" w:fill="FFFFFF"/>
          </w:tcPr>
          <w:p w14:paraId="368B42D1" w14:textId="77777777" w:rsidR="00084F36" w:rsidRPr="00EB2BD8" w:rsidRDefault="00EB2BD8">
            <w:pPr>
              <w:pStyle w:val="TableParagraph"/>
              <w:spacing w:before="56"/>
              <w:ind w:right="107"/>
              <w:jc w:val="right"/>
              <w:rPr>
                <w:rFonts w:ascii="Arial"/>
                <w:sz w:val="18"/>
              </w:rPr>
            </w:pPr>
            <w:r w:rsidRPr="00EB2BD8">
              <w:rPr>
                <w:rFonts w:ascii="Arial"/>
                <w:spacing w:val="-2"/>
                <w:sz w:val="18"/>
              </w:rPr>
              <w:t>10,901</w:t>
            </w:r>
          </w:p>
        </w:tc>
      </w:tr>
      <w:tr w:rsidR="00EB2BD8" w:rsidRPr="00EB2BD8" w14:paraId="6F8A334B" w14:textId="77777777">
        <w:trPr>
          <w:trHeight w:val="339"/>
        </w:trPr>
        <w:tc>
          <w:tcPr>
            <w:tcW w:w="4549" w:type="dxa"/>
            <w:shd w:val="clear" w:color="auto" w:fill="FFFFFF"/>
          </w:tcPr>
          <w:p w14:paraId="693B7DCA" w14:textId="77777777" w:rsidR="00084F36" w:rsidRPr="00EB2BD8" w:rsidRDefault="00EB2BD8">
            <w:pPr>
              <w:pStyle w:val="TableParagraph"/>
              <w:spacing w:before="63"/>
              <w:ind w:left="108"/>
              <w:rPr>
                <w:rFonts w:ascii="Arial"/>
                <w:sz w:val="18"/>
              </w:rPr>
            </w:pPr>
            <w:r w:rsidRPr="00EB2BD8">
              <w:rPr>
                <w:rFonts w:ascii="Arial"/>
                <w:sz w:val="18"/>
              </w:rPr>
              <w:t>Contract</w:t>
            </w:r>
            <w:r w:rsidRPr="00EB2BD8">
              <w:rPr>
                <w:rFonts w:ascii="Arial"/>
                <w:spacing w:val="-6"/>
                <w:sz w:val="18"/>
              </w:rPr>
              <w:t xml:space="preserve"> </w:t>
            </w:r>
            <w:r w:rsidRPr="00EB2BD8">
              <w:rPr>
                <w:rFonts w:ascii="Arial"/>
                <w:spacing w:val="-2"/>
                <w:sz w:val="18"/>
              </w:rPr>
              <w:t>liabilities</w:t>
            </w:r>
          </w:p>
        </w:tc>
        <w:tc>
          <w:tcPr>
            <w:tcW w:w="2540" w:type="dxa"/>
            <w:shd w:val="clear" w:color="auto" w:fill="FFFFFF"/>
          </w:tcPr>
          <w:p w14:paraId="2A55A838" w14:textId="77777777" w:rsidR="00084F36" w:rsidRPr="00EB2BD8" w:rsidRDefault="00EB2BD8">
            <w:pPr>
              <w:pStyle w:val="TableParagraph"/>
              <w:spacing w:before="63"/>
              <w:ind w:right="107"/>
              <w:jc w:val="right"/>
              <w:rPr>
                <w:rFonts w:ascii="Arial"/>
                <w:sz w:val="18"/>
              </w:rPr>
            </w:pPr>
            <w:r w:rsidRPr="00EB2BD8">
              <w:rPr>
                <w:rFonts w:ascii="Arial"/>
                <w:spacing w:val="-5"/>
                <w:sz w:val="18"/>
              </w:rPr>
              <w:t>5.3</w:t>
            </w:r>
          </w:p>
        </w:tc>
        <w:tc>
          <w:tcPr>
            <w:tcW w:w="1418" w:type="dxa"/>
            <w:shd w:val="clear" w:color="auto" w:fill="DEEAF6"/>
          </w:tcPr>
          <w:p w14:paraId="33232D28" w14:textId="77777777" w:rsidR="00084F36" w:rsidRPr="00EB2BD8" w:rsidRDefault="00EB2BD8">
            <w:pPr>
              <w:pStyle w:val="TableParagraph"/>
              <w:spacing w:before="63"/>
              <w:ind w:right="108"/>
              <w:jc w:val="right"/>
              <w:rPr>
                <w:rFonts w:ascii="Arial"/>
                <w:sz w:val="18"/>
              </w:rPr>
            </w:pPr>
            <w:r w:rsidRPr="00EB2BD8">
              <w:rPr>
                <w:rFonts w:ascii="Arial"/>
                <w:spacing w:val="-2"/>
                <w:sz w:val="18"/>
              </w:rPr>
              <w:t>12,659</w:t>
            </w:r>
          </w:p>
        </w:tc>
        <w:tc>
          <w:tcPr>
            <w:tcW w:w="1276" w:type="dxa"/>
            <w:shd w:val="clear" w:color="auto" w:fill="FFFFFF"/>
          </w:tcPr>
          <w:p w14:paraId="678835F0" w14:textId="77777777" w:rsidR="00084F36" w:rsidRPr="00EB2BD8" w:rsidRDefault="00EB2BD8">
            <w:pPr>
              <w:pStyle w:val="TableParagraph"/>
              <w:spacing w:before="63"/>
              <w:ind w:right="109"/>
              <w:jc w:val="right"/>
              <w:rPr>
                <w:rFonts w:ascii="Arial"/>
                <w:sz w:val="18"/>
              </w:rPr>
            </w:pPr>
            <w:r w:rsidRPr="00EB2BD8">
              <w:rPr>
                <w:rFonts w:ascii="Arial"/>
                <w:spacing w:val="-2"/>
                <w:sz w:val="18"/>
              </w:rPr>
              <w:t>8,229</w:t>
            </w:r>
          </w:p>
        </w:tc>
      </w:tr>
      <w:tr w:rsidR="00EB2BD8" w:rsidRPr="00EB2BD8" w14:paraId="2522745A" w14:textId="77777777">
        <w:trPr>
          <w:trHeight w:val="340"/>
        </w:trPr>
        <w:tc>
          <w:tcPr>
            <w:tcW w:w="4549" w:type="dxa"/>
            <w:shd w:val="clear" w:color="auto" w:fill="FFFFFF"/>
          </w:tcPr>
          <w:p w14:paraId="23DEAECC" w14:textId="77777777" w:rsidR="00084F36" w:rsidRPr="00EB2BD8" w:rsidRDefault="00EB2BD8">
            <w:pPr>
              <w:pStyle w:val="TableParagraph"/>
              <w:spacing w:before="63"/>
              <w:ind w:left="108"/>
              <w:rPr>
                <w:rFonts w:ascii="Arial"/>
                <w:sz w:val="18"/>
              </w:rPr>
            </w:pPr>
            <w:r w:rsidRPr="00EB2BD8">
              <w:rPr>
                <w:rFonts w:ascii="Arial"/>
                <w:sz w:val="18"/>
              </w:rPr>
              <w:t>Interest-bearing</w:t>
            </w:r>
            <w:r w:rsidRPr="00EB2BD8">
              <w:rPr>
                <w:rFonts w:ascii="Arial"/>
                <w:spacing w:val="-7"/>
                <w:sz w:val="18"/>
              </w:rPr>
              <w:t xml:space="preserve"> </w:t>
            </w:r>
            <w:r w:rsidRPr="00EB2BD8">
              <w:rPr>
                <w:rFonts w:ascii="Arial"/>
                <w:spacing w:val="-2"/>
                <w:sz w:val="18"/>
              </w:rPr>
              <w:t>liabilities</w:t>
            </w:r>
          </w:p>
        </w:tc>
        <w:tc>
          <w:tcPr>
            <w:tcW w:w="2540" w:type="dxa"/>
            <w:shd w:val="clear" w:color="auto" w:fill="FFFFFF"/>
          </w:tcPr>
          <w:p w14:paraId="30E486FA" w14:textId="77777777" w:rsidR="00084F36" w:rsidRPr="00EB2BD8" w:rsidRDefault="00EB2BD8">
            <w:pPr>
              <w:pStyle w:val="TableParagraph"/>
              <w:spacing w:before="63"/>
              <w:ind w:right="107"/>
              <w:jc w:val="right"/>
              <w:rPr>
                <w:rFonts w:ascii="Arial"/>
                <w:sz w:val="18"/>
              </w:rPr>
            </w:pPr>
            <w:r w:rsidRPr="00EB2BD8">
              <w:rPr>
                <w:rFonts w:ascii="Arial"/>
                <w:spacing w:val="-5"/>
                <w:sz w:val="18"/>
              </w:rPr>
              <w:t>6.1</w:t>
            </w:r>
          </w:p>
        </w:tc>
        <w:tc>
          <w:tcPr>
            <w:tcW w:w="1418" w:type="dxa"/>
            <w:shd w:val="clear" w:color="auto" w:fill="DEEAF6"/>
          </w:tcPr>
          <w:p w14:paraId="4A1AE782" w14:textId="77777777" w:rsidR="00084F36" w:rsidRPr="00EB2BD8" w:rsidRDefault="00EB2BD8">
            <w:pPr>
              <w:pStyle w:val="TableParagraph"/>
              <w:spacing w:before="63"/>
              <w:ind w:right="108"/>
              <w:jc w:val="right"/>
              <w:rPr>
                <w:rFonts w:ascii="Arial"/>
                <w:sz w:val="18"/>
              </w:rPr>
            </w:pPr>
            <w:r w:rsidRPr="00EB2BD8">
              <w:rPr>
                <w:rFonts w:ascii="Arial"/>
                <w:spacing w:val="-2"/>
                <w:sz w:val="18"/>
              </w:rPr>
              <w:t>5,223</w:t>
            </w:r>
          </w:p>
        </w:tc>
        <w:tc>
          <w:tcPr>
            <w:tcW w:w="1276" w:type="dxa"/>
            <w:shd w:val="clear" w:color="auto" w:fill="FFFFFF"/>
          </w:tcPr>
          <w:p w14:paraId="05303308" w14:textId="77777777" w:rsidR="00084F36" w:rsidRPr="00EB2BD8" w:rsidRDefault="00EB2BD8">
            <w:pPr>
              <w:pStyle w:val="TableParagraph"/>
              <w:spacing w:before="63"/>
              <w:ind w:right="109"/>
              <w:jc w:val="right"/>
              <w:rPr>
                <w:rFonts w:ascii="Arial"/>
                <w:sz w:val="18"/>
              </w:rPr>
            </w:pPr>
            <w:r w:rsidRPr="00EB2BD8">
              <w:rPr>
                <w:rFonts w:ascii="Arial"/>
                <w:spacing w:val="-2"/>
                <w:sz w:val="18"/>
              </w:rPr>
              <w:t>6,378</w:t>
            </w:r>
          </w:p>
        </w:tc>
      </w:tr>
      <w:tr w:rsidR="00EB2BD8" w:rsidRPr="00EB2BD8" w14:paraId="0E545EE7" w14:textId="77777777">
        <w:trPr>
          <w:trHeight w:val="340"/>
        </w:trPr>
        <w:tc>
          <w:tcPr>
            <w:tcW w:w="4549" w:type="dxa"/>
            <w:shd w:val="clear" w:color="auto" w:fill="FFFFFF"/>
          </w:tcPr>
          <w:p w14:paraId="35D66E3F" w14:textId="77777777" w:rsidR="00084F36" w:rsidRPr="00EB2BD8" w:rsidRDefault="00EB2BD8">
            <w:pPr>
              <w:pStyle w:val="TableParagraph"/>
              <w:spacing w:before="64"/>
              <w:ind w:left="108"/>
              <w:rPr>
                <w:rFonts w:ascii="Arial"/>
                <w:sz w:val="18"/>
              </w:rPr>
            </w:pPr>
            <w:r w:rsidRPr="00EB2BD8">
              <w:rPr>
                <w:rFonts w:ascii="Arial"/>
                <w:sz w:val="18"/>
              </w:rPr>
              <w:t>Employee-related</w:t>
            </w:r>
            <w:r w:rsidRPr="00EB2BD8">
              <w:rPr>
                <w:rFonts w:ascii="Arial"/>
                <w:spacing w:val="-8"/>
                <w:sz w:val="18"/>
              </w:rPr>
              <w:t xml:space="preserve"> </w:t>
            </w:r>
            <w:r w:rsidRPr="00EB2BD8">
              <w:rPr>
                <w:rFonts w:ascii="Arial"/>
                <w:spacing w:val="-2"/>
                <w:sz w:val="18"/>
              </w:rPr>
              <w:t>provisions</w:t>
            </w:r>
          </w:p>
        </w:tc>
        <w:tc>
          <w:tcPr>
            <w:tcW w:w="2540" w:type="dxa"/>
            <w:shd w:val="clear" w:color="auto" w:fill="FFFFFF"/>
          </w:tcPr>
          <w:p w14:paraId="7E5040A6" w14:textId="77777777" w:rsidR="00084F36" w:rsidRPr="00EB2BD8" w:rsidRDefault="00EB2BD8">
            <w:pPr>
              <w:pStyle w:val="TableParagraph"/>
              <w:spacing w:before="64"/>
              <w:ind w:right="107"/>
              <w:jc w:val="right"/>
              <w:rPr>
                <w:rFonts w:ascii="Arial"/>
                <w:sz w:val="18"/>
              </w:rPr>
            </w:pPr>
            <w:r w:rsidRPr="00EB2BD8">
              <w:rPr>
                <w:rFonts w:ascii="Arial"/>
                <w:spacing w:val="-2"/>
                <w:sz w:val="18"/>
              </w:rPr>
              <w:t>3.1.1</w:t>
            </w:r>
          </w:p>
        </w:tc>
        <w:tc>
          <w:tcPr>
            <w:tcW w:w="1418" w:type="dxa"/>
            <w:shd w:val="clear" w:color="auto" w:fill="DEEAF6"/>
          </w:tcPr>
          <w:p w14:paraId="67CD115F" w14:textId="77777777" w:rsidR="00084F36" w:rsidRPr="00EB2BD8" w:rsidRDefault="00EB2BD8">
            <w:pPr>
              <w:pStyle w:val="TableParagraph"/>
              <w:spacing w:before="64"/>
              <w:ind w:right="108"/>
              <w:jc w:val="right"/>
              <w:rPr>
                <w:rFonts w:ascii="Arial"/>
                <w:sz w:val="18"/>
              </w:rPr>
            </w:pPr>
            <w:r w:rsidRPr="00EB2BD8">
              <w:rPr>
                <w:rFonts w:ascii="Arial"/>
                <w:spacing w:val="-2"/>
                <w:sz w:val="18"/>
              </w:rPr>
              <w:t>10,645</w:t>
            </w:r>
          </w:p>
        </w:tc>
        <w:tc>
          <w:tcPr>
            <w:tcW w:w="1276" w:type="dxa"/>
            <w:shd w:val="clear" w:color="auto" w:fill="FFFFFF"/>
          </w:tcPr>
          <w:p w14:paraId="41204719" w14:textId="77777777" w:rsidR="00084F36" w:rsidRPr="00EB2BD8" w:rsidRDefault="00EB2BD8">
            <w:pPr>
              <w:pStyle w:val="TableParagraph"/>
              <w:spacing w:before="64"/>
              <w:ind w:right="107"/>
              <w:jc w:val="right"/>
              <w:rPr>
                <w:rFonts w:ascii="Arial"/>
                <w:sz w:val="18"/>
              </w:rPr>
            </w:pPr>
            <w:r w:rsidRPr="00EB2BD8">
              <w:rPr>
                <w:rFonts w:ascii="Arial"/>
                <w:spacing w:val="-2"/>
                <w:sz w:val="18"/>
              </w:rPr>
              <w:t>10,078</w:t>
            </w:r>
          </w:p>
        </w:tc>
      </w:tr>
      <w:tr w:rsidR="00EB2BD8" w:rsidRPr="00EB2BD8" w14:paraId="7E8243C1" w14:textId="77777777">
        <w:trPr>
          <w:trHeight w:val="339"/>
        </w:trPr>
        <w:tc>
          <w:tcPr>
            <w:tcW w:w="4549" w:type="dxa"/>
            <w:shd w:val="clear" w:color="auto" w:fill="FFFFFF"/>
          </w:tcPr>
          <w:p w14:paraId="55C98F12" w14:textId="77777777" w:rsidR="00084F36" w:rsidRPr="00EB2BD8" w:rsidRDefault="00EB2BD8">
            <w:pPr>
              <w:pStyle w:val="TableParagraph"/>
              <w:spacing w:before="63"/>
              <w:ind w:left="108"/>
              <w:rPr>
                <w:rFonts w:ascii="Arial"/>
                <w:sz w:val="18"/>
              </w:rPr>
            </w:pPr>
            <w:r w:rsidRPr="00EB2BD8">
              <w:rPr>
                <w:rFonts w:ascii="Arial"/>
                <w:sz w:val="18"/>
              </w:rPr>
              <w:t>Other</w:t>
            </w:r>
            <w:r w:rsidRPr="00EB2BD8">
              <w:rPr>
                <w:rFonts w:ascii="Arial"/>
                <w:spacing w:val="-2"/>
                <w:sz w:val="18"/>
              </w:rPr>
              <w:t xml:space="preserve"> provisions</w:t>
            </w:r>
          </w:p>
        </w:tc>
        <w:tc>
          <w:tcPr>
            <w:tcW w:w="2540" w:type="dxa"/>
            <w:shd w:val="clear" w:color="auto" w:fill="FFFFFF"/>
          </w:tcPr>
          <w:p w14:paraId="3082867F" w14:textId="77777777" w:rsidR="00084F36" w:rsidRPr="00EB2BD8" w:rsidRDefault="00EB2BD8">
            <w:pPr>
              <w:pStyle w:val="TableParagraph"/>
              <w:spacing w:before="63"/>
              <w:ind w:right="107"/>
              <w:jc w:val="right"/>
              <w:rPr>
                <w:rFonts w:ascii="Arial"/>
                <w:sz w:val="18"/>
              </w:rPr>
            </w:pPr>
            <w:r w:rsidRPr="00EB2BD8">
              <w:rPr>
                <w:rFonts w:ascii="Arial"/>
                <w:spacing w:val="-5"/>
                <w:sz w:val="18"/>
              </w:rPr>
              <w:t>5.4</w:t>
            </w:r>
          </w:p>
        </w:tc>
        <w:tc>
          <w:tcPr>
            <w:tcW w:w="1418" w:type="dxa"/>
            <w:shd w:val="clear" w:color="auto" w:fill="DEEAF6"/>
          </w:tcPr>
          <w:p w14:paraId="1A6E91A0" w14:textId="77777777" w:rsidR="00084F36" w:rsidRPr="00EB2BD8" w:rsidRDefault="00EB2BD8">
            <w:pPr>
              <w:pStyle w:val="TableParagraph"/>
              <w:spacing w:before="63"/>
              <w:ind w:right="108"/>
              <w:jc w:val="right"/>
              <w:rPr>
                <w:rFonts w:ascii="Arial"/>
                <w:sz w:val="18"/>
              </w:rPr>
            </w:pPr>
            <w:r w:rsidRPr="00EB2BD8">
              <w:rPr>
                <w:rFonts w:ascii="Arial"/>
                <w:spacing w:val="-2"/>
                <w:sz w:val="18"/>
              </w:rPr>
              <w:t>1,952</w:t>
            </w:r>
          </w:p>
        </w:tc>
        <w:tc>
          <w:tcPr>
            <w:tcW w:w="1276" w:type="dxa"/>
            <w:shd w:val="clear" w:color="auto" w:fill="FFFFFF"/>
          </w:tcPr>
          <w:p w14:paraId="1ED578A6" w14:textId="77777777" w:rsidR="00084F36" w:rsidRPr="00EB2BD8" w:rsidRDefault="00EB2BD8">
            <w:pPr>
              <w:pStyle w:val="TableParagraph"/>
              <w:spacing w:before="63"/>
              <w:ind w:right="109"/>
              <w:jc w:val="right"/>
              <w:rPr>
                <w:rFonts w:ascii="Arial"/>
                <w:sz w:val="18"/>
              </w:rPr>
            </w:pPr>
            <w:r w:rsidRPr="00EB2BD8">
              <w:rPr>
                <w:rFonts w:ascii="Arial"/>
                <w:spacing w:val="-2"/>
                <w:sz w:val="18"/>
              </w:rPr>
              <w:t>1,622</w:t>
            </w:r>
          </w:p>
        </w:tc>
      </w:tr>
      <w:tr w:rsidR="00EB2BD8" w:rsidRPr="00EB2BD8" w14:paraId="24619FA1" w14:textId="77777777">
        <w:trPr>
          <w:trHeight w:val="340"/>
        </w:trPr>
        <w:tc>
          <w:tcPr>
            <w:tcW w:w="4549" w:type="dxa"/>
            <w:shd w:val="clear" w:color="auto" w:fill="FFFFFF"/>
          </w:tcPr>
          <w:p w14:paraId="666E3FF1" w14:textId="77777777" w:rsidR="00084F36" w:rsidRPr="00EB2BD8" w:rsidRDefault="00EB2BD8">
            <w:pPr>
              <w:pStyle w:val="TableParagraph"/>
              <w:spacing w:before="63"/>
              <w:ind w:left="108"/>
              <w:rPr>
                <w:rFonts w:ascii="Arial"/>
                <w:sz w:val="18"/>
              </w:rPr>
            </w:pPr>
            <w:r w:rsidRPr="00EB2BD8">
              <w:rPr>
                <w:rFonts w:ascii="Arial"/>
                <w:sz w:val="18"/>
              </w:rPr>
              <w:t>Security</w:t>
            </w:r>
            <w:r w:rsidRPr="00EB2BD8">
              <w:rPr>
                <w:rFonts w:ascii="Arial"/>
                <w:spacing w:val="-6"/>
                <w:sz w:val="18"/>
              </w:rPr>
              <w:t xml:space="preserve"> </w:t>
            </w:r>
            <w:r w:rsidRPr="00EB2BD8">
              <w:rPr>
                <w:rFonts w:ascii="Arial"/>
                <w:spacing w:val="-2"/>
                <w:sz w:val="18"/>
              </w:rPr>
              <w:t>deposits</w:t>
            </w:r>
          </w:p>
        </w:tc>
        <w:tc>
          <w:tcPr>
            <w:tcW w:w="2540" w:type="dxa"/>
            <w:shd w:val="clear" w:color="auto" w:fill="FFFFFF"/>
          </w:tcPr>
          <w:p w14:paraId="2E97F212" w14:textId="77777777" w:rsidR="00084F36" w:rsidRPr="00EB2BD8" w:rsidRDefault="00EB2BD8">
            <w:pPr>
              <w:pStyle w:val="TableParagraph"/>
              <w:spacing w:before="63"/>
              <w:ind w:right="107"/>
              <w:jc w:val="right"/>
              <w:rPr>
                <w:rFonts w:ascii="Arial"/>
                <w:sz w:val="18"/>
              </w:rPr>
            </w:pPr>
            <w:r w:rsidRPr="00EB2BD8">
              <w:rPr>
                <w:rFonts w:ascii="Arial"/>
                <w:spacing w:val="-5"/>
                <w:sz w:val="18"/>
              </w:rPr>
              <w:t>8.9</w:t>
            </w:r>
          </w:p>
        </w:tc>
        <w:tc>
          <w:tcPr>
            <w:tcW w:w="1418" w:type="dxa"/>
            <w:shd w:val="clear" w:color="auto" w:fill="DEEAF6"/>
          </w:tcPr>
          <w:p w14:paraId="162E5723" w14:textId="77777777" w:rsidR="00084F36" w:rsidRPr="00EB2BD8" w:rsidRDefault="00EB2BD8">
            <w:pPr>
              <w:pStyle w:val="TableParagraph"/>
              <w:spacing w:before="63"/>
              <w:ind w:right="108"/>
              <w:jc w:val="right"/>
              <w:rPr>
                <w:rFonts w:ascii="Arial"/>
                <w:sz w:val="18"/>
              </w:rPr>
            </w:pPr>
            <w:r w:rsidRPr="00EB2BD8">
              <w:rPr>
                <w:rFonts w:ascii="Arial"/>
                <w:spacing w:val="-2"/>
                <w:sz w:val="18"/>
              </w:rPr>
              <w:t>2,976</w:t>
            </w:r>
          </w:p>
        </w:tc>
        <w:tc>
          <w:tcPr>
            <w:tcW w:w="1276" w:type="dxa"/>
            <w:shd w:val="clear" w:color="auto" w:fill="FFFFFF"/>
          </w:tcPr>
          <w:p w14:paraId="0AD18ED8" w14:textId="77777777" w:rsidR="00084F36" w:rsidRPr="00EB2BD8" w:rsidRDefault="00EB2BD8">
            <w:pPr>
              <w:pStyle w:val="TableParagraph"/>
              <w:spacing w:before="63"/>
              <w:ind w:right="109"/>
              <w:jc w:val="right"/>
              <w:rPr>
                <w:rFonts w:ascii="Arial"/>
                <w:sz w:val="18"/>
              </w:rPr>
            </w:pPr>
            <w:r w:rsidRPr="00EB2BD8">
              <w:rPr>
                <w:rFonts w:ascii="Arial"/>
                <w:spacing w:val="-2"/>
                <w:sz w:val="18"/>
              </w:rPr>
              <w:t>2,856</w:t>
            </w:r>
          </w:p>
        </w:tc>
      </w:tr>
      <w:tr w:rsidR="00EB2BD8" w:rsidRPr="00EB2BD8" w14:paraId="773F256D" w14:textId="77777777">
        <w:trPr>
          <w:trHeight w:val="338"/>
        </w:trPr>
        <w:tc>
          <w:tcPr>
            <w:tcW w:w="4549" w:type="dxa"/>
            <w:tcBorders>
              <w:bottom w:val="single" w:sz="12" w:space="0" w:color="000000"/>
            </w:tcBorders>
            <w:shd w:val="clear" w:color="auto" w:fill="FFFFFF"/>
          </w:tcPr>
          <w:p w14:paraId="5035AEF1" w14:textId="77777777" w:rsidR="00084F36" w:rsidRPr="00EB2BD8" w:rsidRDefault="00EB2BD8">
            <w:pPr>
              <w:pStyle w:val="TableParagraph"/>
              <w:spacing w:before="64"/>
              <w:ind w:left="108"/>
              <w:rPr>
                <w:rFonts w:ascii="Arial"/>
                <w:sz w:val="18"/>
              </w:rPr>
            </w:pPr>
            <w:r w:rsidRPr="00EB2BD8">
              <w:rPr>
                <w:rFonts w:ascii="Arial"/>
                <w:sz w:val="18"/>
              </w:rPr>
              <w:t>Other</w:t>
            </w:r>
            <w:r w:rsidRPr="00EB2BD8">
              <w:rPr>
                <w:rFonts w:ascii="Arial"/>
                <w:spacing w:val="-4"/>
                <w:sz w:val="18"/>
              </w:rPr>
              <w:t xml:space="preserve"> </w:t>
            </w:r>
            <w:r w:rsidRPr="00EB2BD8">
              <w:rPr>
                <w:rFonts w:ascii="Arial"/>
                <w:spacing w:val="-2"/>
                <w:sz w:val="18"/>
              </w:rPr>
              <w:t>liabilities</w:t>
            </w:r>
          </w:p>
        </w:tc>
        <w:tc>
          <w:tcPr>
            <w:tcW w:w="2540" w:type="dxa"/>
            <w:tcBorders>
              <w:bottom w:val="single" w:sz="12" w:space="0" w:color="000000"/>
            </w:tcBorders>
            <w:shd w:val="clear" w:color="auto" w:fill="FFFFFF"/>
          </w:tcPr>
          <w:p w14:paraId="36852A05" w14:textId="77777777" w:rsidR="00084F36" w:rsidRPr="00EB2BD8" w:rsidRDefault="00EB2BD8">
            <w:pPr>
              <w:pStyle w:val="TableParagraph"/>
              <w:spacing w:before="64"/>
              <w:ind w:right="107"/>
              <w:jc w:val="right"/>
              <w:rPr>
                <w:rFonts w:ascii="Arial"/>
                <w:sz w:val="18"/>
              </w:rPr>
            </w:pPr>
            <w:r w:rsidRPr="00EB2BD8">
              <w:rPr>
                <w:rFonts w:ascii="Arial"/>
                <w:spacing w:val="-5"/>
                <w:sz w:val="18"/>
              </w:rPr>
              <w:t>5.6</w:t>
            </w:r>
          </w:p>
        </w:tc>
        <w:tc>
          <w:tcPr>
            <w:tcW w:w="1418" w:type="dxa"/>
            <w:tcBorders>
              <w:bottom w:val="single" w:sz="12" w:space="0" w:color="000000"/>
            </w:tcBorders>
            <w:shd w:val="clear" w:color="auto" w:fill="DEEAF6"/>
          </w:tcPr>
          <w:p w14:paraId="2DA9CCD2" w14:textId="77777777" w:rsidR="00084F36" w:rsidRPr="00EB2BD8" w:rsidRDefault="00EB2BD8">
            <w:pPr>
              <w:pStyle w:val="TableParagraph"/>
              <w:spacing w:before="64"/>
              <w:ind w:right="108"/>
              <w:jc w:val="right"/>
              <w:rPr>
                <w:rFonts w:ascii="Arial"/>
                <w:sz w:val="18"/>
              </w:rPr>
            </w:pPr>
            <w:r w:rsidRPr="00EB2BD8">
              <w:rPr>
                <w:rFonts w:ascii="Arial"/>
                <w:spacing w:val="-2"/>
                <w:sz w:val="18"/>
              </w:rPr>
              <w:t>1,733</w:t>
            </w:r>
          </w:p>
        </w:tc>
        <w:tc>
          <w:tcPr>
            <w:tcW w:w="1276" w:type="dxa"/>
            <w:tcBorders>
              <w:bottom w:val="single" w:sz="12" w:space="0" w:color="000000"/>
            </w:tcBorders>
            <w:shd w:val="clear" w:color="auto" w:fill="FFFFFF"/>
          </w:tcPr>
          <w:p w14:paraId="6623674F" w14:textId="77777777" w:rsidR="00084F36" w:rsidRPr="00EB2BD8" w:rsidRDefault="00EB2BD8">
            <w:pPr>
              <w:pStyle w:val="TableParagraph"/>
              <w:spacing w:before="64"/>
              <w:ind w:right="109"/>
              <w:jc w:val="right"/>
              <w:rPr>
                <w:rFonts w:ascii="Arial"/>
                <w:sz w:val="18"/>
              </w:rPr>
            </w:pPr>
            <w:r w:rsidRPr="00EB2BD8">
              <w:rPr>
                <w:rFonts w:ascii="Arial"/>
                <w:spacing w:val="-2"/>
                <w:sz w:val="18"/>
              </w:rPr>
              <w:t>1,708</w:t>
            </w:r>
          </w:p>
        </w:tc>
      </w:tr>
      <w:tr w:rsidR="00EB2BD8" w:rsidRPr="00EB2BD8" w14:paraId="4CAA30DA" w14:textId="77777777">
        <w:trPr>
          <w:trHeight w:val="309"/>
        </w:trPr>
        <w:tc>
          <w:tcPr>
            <w:tcW w:w="7089" w:type="dxa"/>
            <w:gridSpan w:val="2"/>
            <w:tcBorders>
              <w:top w:val="single" w:sz="12" w:space="0" w:color="000000"/>
              <w:bottom w:val="single" w:sz="12" w:space="0" w:color="000000"/>
            </w:tcBorders>
            <w:shd w:val="clear" w:color="auto" w:fill="FFFFFF"/>
          </w:tcPr>
          <w:p w14:paraId="4C8BBDBC" w14:textId="77777777" w:rsidR="00084F36" w:rsidRPr="00EB2BD8" w:rsidRDefault="00EB2BD8">
            <w:pPr>
              <w:pStyle w:val="TableParagraph"/>
              <w:spacing w:before="50"/>
              <w:ind w:left="108"/>
              <w:rPr>
                <w:rFonts w:ascii="Arial"/>
                <w:b/>
                <w:sz w:val="18"/>
              </w:rPr>
            </w:pPr>
            <w:r w:rsidRPr="00EB2BD8">
              <w:rPr>
                <w:rFonts w:ascii="Arial"/>
                <w:b/>
                <w:sz w:val="18"/>
              </w:rPr>
              <w:t>Total</w:t>
            </w:r>
            <w:r w:rsidRPr="00EB2BD8">
              <w:rPr>
                <w:rFonts w:ascii="Arial"/>
                <w:b/>
                <w:spacing w:val="-1"/>
                <w:sz w:val="18"/>
              </w:rPr>
              <w:t xml:space="preserve"> </w:t>
            </w:r>
            <w:r w:rsidRPr="00EB2BD8">
              <w:rPr>
                <w:rFonts w:ascii="Arial"/>
                <w:b/>
                <w:spacing w:val="-2"/>
                <w:sz w:val="18"/>
              </w:rPr>
              <w:t>liabilities</w:t>
            </w:r>
          </w:p>
        </w:tc>
        <w:tc>
          <w:tcPr>
            <w:tcW w:w="1418" w:type="dxa"/>
            <w:tcBorders>
              <w:top w:val="single" w:sz="12" w:space="0" w:color="000000"/>
              <w:bottom w:val="single" w:sz="12" w:space="0" w:color="000000"/>
            </w:tcBorders>
            <w:shd w:val="clear" w:color="auto" w:fill="DEEAF6"/>
          </w:tcPr>
          <w:p w14:paraId="27FAA7F2" w14:textId="77777777" w:rsidR="00084F36" w:rsidRPr="00EB2BD8" w:rsidRDefault="00EB2BD8">
            <w:pPr>
              <w:pStyle w:val="TableParagraph"/>
              <w:spacing w:before="50"/>
              <w:ind w:right="108"/>
              <w:jc w:val="right"/>
              <w:rPr>
                <w:rFonts w:ascii="Arial"/>
                <w:b/>
                <w:sz w:val="18"/>
              </w:rPr>
            </w:pPr>
            <w:r w:rsidRPr="00EB2BD8">
              <w:rPr>
                <w:rFonts w:ascii="Arial"/>
                <w:b/>
                <w:spacing w:val="-2"/>
                <w:sz w:val="18"/>
              </w:rPr>
              <w:t>49,101</w:t>
            </w:r>
          </w:p>
        </w:tc>
        <w:tc>
          <w:tcPr>
            <w:tcW w:w="1276" w:type="dxa"/>
            <w:tcBorders>
              <w:top w:val="single" w:sz="12" w:space="0" w:color="000000"/>
              <w:bottom w:val="single" w:sz="12" w:space="0" w:color="000000"/>
            </w:tcBorders>
            <w:shd w:val="clear" w:color="auto" w:fill="FFFFFF"/>
          </w:tcPr>
          <w:p w14:paraId="5609AFCD" w14:textId="77777777" w:rsidR="00084F36" w:rsidRPr="00EB2BD8" w:rsidRDefault="00EB2BD8">
            <w:pPr>
              <w:pStyle w:val="TableParagraph"/>
              <w:spacing w:before="50"/>
              <w:ind w:right="108"/>
              <w:jc w:val="right"/>
              <w:rPr>
                <w:rFonts w:ascii="Arial"/>
                <w:b/>
                <w:sz w:val="18"/>
              </w:rPr>
            </w:pPr>
            <w:r w:rsidRPr="00EB2BD8">
              <w:rPr>
                <w:rFonts w:ascii="Arial"/>
                <w:b/>
                <w:spacing w:val="-2"/>
                <w:sz w:val="18"/>
              </w:rPr>
              <w:t>41,772</w:t>
            </w:r>
          </w:p>
        </w:tc>
      </w:tr>
      <w:tr w:rsidR="00EB2BD8" w:rsidRPr="00EB2BD8" w14:paraId="7B0183D5" w14:textId="77777777">
        <w:trPr>
          <w:trHeight w:val="309"/>
        </w:trPr>
        <w:tc>
          <w:tcPr>
            <w:tcW w:w="7089" w:type="dxa"/>
            <w:gridSpan w:val="2"/>
            <w:tcBorders>
              <w:top w:val="single" w:sz="12" w:space="0" w:color="000000"/>
              <w:bottom w:val="single" w:sz="12" w:space="0" w:color="000000"/>
            </w:tcBorders>
            <w:shd w:val="clear" w:color="auto" w:fill="FFFFFF"/>
          </w:tcPr>
          <w:p w14:paraId="3820EBD2" w14:textId="77777777" w:rsidR="00084F36" w:rsidRPr="00EB2BD8" w:rsidRDefault="00EB2BD8">
            <w:pPr>
              <w:pStyle w:val="TableParagraph"/>
              <w:spacing w:before="50"/>
              <w:ind w:left="107"/>
              <w:rPr>
                <w:rFonts w:ascii="Arial"/>
                <w:b/>
                <w:sz w:val="18"/>
              </w:rPr>
            </w:pPr>
            <w:r w:rsidRPr="00EB2BD8">
              <w:rPr>
                <w:rFonts w:ascii="Arial"/>
                <w:b/>
                <w:sz w:val="18"/>
              </w:rPr>
              <w:t>Net</w:t>
            </w:r>
            <w:r w:rsidRPr="00EB2BD8">
              <w:rPr>
                <w:rFonts w:ascii="Arial"/>
                <w:b/>
                <w:spacing w:val="-4"/>
                <w:sz w:val="18"/>
              </w:rPr>
              <w:t xml:space="preserve"> </w:t>
            </w:r>
            <w:r w:rsidRPr="00EB2BD8">
              <w:rPr>
                <w:rFonts w:ascii="Arial"/>
                <w:b/>
                <w:spacing w:val="-2"/>
                <w:sz w:val="18"/>
              </w:rPr>
              <w:t>assets</w:t>
            </w:r>
          </w:p>
        </w:tc>
        <w:tc>
          <w:tcPr>
            <w:tcW w:w="1418" w:type="dxa"/>
            <w:tcBorders>
              <w:top w:val="single" w:sz="12" w:space="0" w:color="000000"/>
              <w:bottom w:val="single" w:sz="12" w:space="0" w:color="000000"/>
            </w:tcBorders>
            <w:shd w:val="clear" w:color="auto" w:fill="DEEAF6"/>
          </w:tcPr>
          <w:p w14:paraId="62039BD9" w14:textId="77777777" w:rsidR="00084F36" w:rsidRPr="00EB2BD8" w:rsidRDefault="00EB2BD8">
            <w:pPr>
              <w:pStyle w:val="TableParagraph"/>
              <w:spacing w:before="59"/>
              <w:ind w:right="107"/>
              <w:jc w:val="right"/>
              <w:rPr>
                <w:rFonts w:ascii="Arial"/>
                <w:b/>
                <w:sz w:val="18"/>
              </w:rPr>
            </w:pPr>
            <w:r w:rsidRPr="00EB2BD8">
              <w:rPr>
                <w:rFonts w:ascii="Arial"/>
                <w:b/>
                <w:spacing w:val="-2"/>
                <w:sz w:val="18"/>
              </w:rPr>
              <w:t>30,139</w:t>
            </w:r>
          </w:p>
        </w:tc>
        <w:tc>
          <w:tcPr>
            <w:tcW w:w="1276" w:type="dxa"/>
            <w:tcBorders>
              <w:top w:val="single" w:sz="12" w:space="0" w:color="000000"/>
              <w:bottom w:val="single" w:sz="12" w:space="0" w:color="000000"/>
            </w:tcBorders>
            <w:shd w:val="clear" w:color="auto" w:fill="FFFFFF"/>
          </w:tcPr>
          <w:p w14:paraId="3F7EB564" w14:textId="77777777" w:rsidR="00084F36" w:rsidRPr="00EB2BD8" w:rsidRDefault="00EB2BD8">
            <w:pPr>
              <w:pStyle w:val="TableParagraph"/>
              <w:spacing w:before="50"/>
              <w:ind w:right="108"/>
              <w:jc w:val="right"/>
              <w:rPr>
                <w:rFonts w:ascii="Arial"/>
                <w:b/>
                <w:sz w:val="18"/>
              </w:rPr>
            </w:pPr>
            <w:r w:rsidRPr="00EB2BD8">
              <w:rPr>
                <w:rFonts w:ascii="Arial"/>
                <w:b/>
                <w:spacing w:val="-2"/>
                <w:sz w:val="18"/>
              </w:rPr>
              <w:t>19,063</w:t>
            </w:r>
          </w:p>
        </w:tc>
      </w:tr>
      <w:tr w:rsidR="00EB2BD8" w:rsidRPr="00EB2BD8" w14:paraId="1C030DF4" w14:textId="77777777">
        <w:trPr>
          <w:trHeight w:val="319"/>
        </w:trPr>
        <w:tc>
          <w:tcPr>
            <w:tcW w:w="4549" w:type="dxa"/>
            <w:tcBorders>
              <w:top w:val="single" w:sz="12" w:space="0" w:color="000000"/>
            </w:tcBorders>
            <w:shd w:val="clear" w:color="auto" w:fill="FFFFFF"/>
          </w:tcPr>
          <w:p w14:paraId="042B7FAA" w14:textId="77777777" w:rsidR="00084F36" w:rsidRPr="00EB2BD8" w:rsidRDefault="00EB2BD8">
            <w:pPr>
              <w:pStyle w:val="TableParagraph"/>
              <w:spacing w:before="50"/>
              <w:ind w:left="107"/>
              <w:rPr>
                <w:rFonts w:ascii="Arial"/>
                <w:b/>
                <w:sz w:val="18"/>
              </w:rPr>
            </w:pPr>
            <w:r w:rsidRPr="00EB2BD8">
              <w:rPr>
                <w:rFonts w:ascii="Arial"/>
                <w:b/>
                <w:spacing w:val="-2"/>
                <w:sz w:val="18"/>
              </w:rPr>
              <w:t>Equity</w:t>
            </w:r>
          </w:p>
        </w:tc>
        <w:tc>
          <w:tcPr>
            <w:tcW w:w="2540" w:type="dxa"/>
            <w:tcBorders>
              <w:top w:val="single" w:sz="12" w:space="0" w:color="000000"/>
            </w:tcBorders>
            <w:shd w:val="clear" w:color="auto" w:fill="FFFFFF"/>
          </w:tcPr>
          <w:p w14:paraId="13CD44D9" w14:textId="77777777" w:rsidR="00084F36" w:rsidRPr="00EB2BD8" w:rsidRDefault="00084F36">
            <w:pPr>
              <w:pStyle w:val="TableParagraph"/>
              <w:rPr>
                <w:rFonts w:ascii="Times New Roman"/>
                <w:sz w:val="16"/>
              </w:rPr>
            </w:pPr>
          </w:p>
        </w:tc>
        <w:tc>
          <w:tcPr>
            <w:tcW w:w="1418" w:type="dxa"/>
            <w:tcBorders>
              <w:top w:val="single" w:sz="12" w:space="0" w:color="000000"/>
            </w:tcBorders>
            <w:shd w:val="clear" w:color="auto" w:fill="DEEAF6"/>
          </w:tcPr>
          <w:p w14:paraId="44D6F320" w14:textId="77777777" w:rsidR="00084F36" w:rsidRPr="00EB2BD8" w:rsidRDefault="00084F36">
            <w:pPr>
              <w:pStyle w:val="TableParagraph"/>
              <w:rPr>
                <w:rFonts w:ascii="Times New Roman"/>
                <w:sz w:val="16"/>
              </w:rPr>
            </w:pPr>
          </w:p>
        </w:tc>
        <w:tc>
          <w:tcPr>
            <w:tcW w:w="1276" w:type="dxa"/>
            <w:tcBorders>
              <w:top w:val="single" w:sz="12" w:space="0" w:color="000000"/>
            </w:tcBorders>
            <w:shd w:val="clear" w:color="auto" w:fill="FFFFFF"/>
          </w:tcPr>
          <w:p w14:paraId="0539F89B" w14:textId="77777777" w:rsidR="00084F36" w:rsidRPr="00EB2BD8" w:rsidRDefault="00084F36">
            <w:pPr>
              <w:pStyle w:val="TableParagraph"/>
              <w:rPr>
                <w:rFonts w:ascii="Times New Roman"/>
                <w:sz w:val="16"/>
              </w:rPr>
            </w:pPr>
          </w:p>
        </w:tc>
      </w:tr>
      <w:tr w:rsidR="00EB2BD8" w:rsidRPr="00EB2BD8" w14:paraId="4F9068E3" w14:textId="77777777">
        <w:trPr>
          <w:trHeight w:val="332"/>
        </w:trPr>
        <w:tc>
          <w:tcPr>
            <w:tcW w:w="4549" w:type="dxa"/>
            <w:shd w:val="clear" w:color="auto" w:fill="FFFFFF"/>
          </w:tcPr>
          <w:p w14:paraId="3C3B1398" w14:textId="77777777" w:rsidR="00084F36" w:rsidRPr="00EB2BD8" w:rsidRDefault="00EB2BD8">
            <w:pPr>
              <w:pStyle w:val="TableParagraph"/>
              <w:spacing w:before="56"/>
              <w:ind w:left="107"/>
              <w:rPr>
                <w:rFonts w:ascii="Arial"/>
                <w:sz w:val="18"/>
              </w:rPr>
            </w:pPr>
            <w:r w:rsidRPr="00EB2BD8">
              <w:rPr>
                <w:rFonts w:ascii="Arial"/>
                <w:sz w:val="18"/>
              </w:rPr>
              <w:t>Accumulated</w:t>
            </w:r>
            <w:r w:rsidRPr="00EB2BD8">
              <w:rPr>
                <w:rFonts w:ascii="Arial"/>
                <w:spacing w:val="-6"/>
                <w:sz w:val="18"/>
              </w:rPr>
              <w:t xml:space="preserve"> </w:t>
            </w:r>
            <w:r w:rsidRPr="00EB2BD8">
              <w:rPr>
                <w:rFonts w:ascii="Arial"/>
                <w:spacing w:val="-2"/>
                <w:sz w:val="18"/>
              </w:rPr>
              <w:t>surplus</w:t>
            </w:r>
          </w:p>
        </w:tc>
        <w:tc>
          <w:tcPr>
            <w:tcW w:w="2540" w:type="dxa"/>
            <w:shd w:val="clear" w:color="auto" w:fill="FFFFFF"/>
          </w:tcPr>
          <w:p w14:paraId="416B92C6" w14:textId="77777777" w:rsidR="00084F36" w:rsidRPr="00EB2BD8" w:rsidRDefault="00084F36">
            <w:pPr>
              <w:pStyle w:val="TableParagraph"/>
              <w:rPr>
                <w:rFonts w:ascii="Times New Roman"/>
                <w:sz w:val="16"/>
              </w:rPr>
            </w:pPr>
          </w:p>
        </w:tc>
        <w:tc>
          <w:tcPr>
            <w:tcW w:w="1418" w:type="dxa"/>
            <w:shd w:val="clear" w:color="auto" w:fill="DEEAF6"/>
          </w:tcPr>
          <w:p w14:paraId="56EA86A0" w14:textId="77777777" w:rsidR="00084F36" w:rsidRPr="00EB2BD8" w:rsidRDefault="00EB2BD8">
            <w:pPr>
              <w:pStyle w:val="TableParagraph"/>
              <w:spacing w:before="56"/>
              <w:ind w:right="108"/>
              <w:jc w:val="right"/>
              <w:rPr>
                <w:rFonts w:ascii="Arial"/>
                <w:sz w:val="18"/>
              </w:rPr>
            </w:pPr>
            <w:r w:rsidRPr="00EB2BD8">
              <w:rPr>
                <w:rFonts w:ascii="Arial"/>
                <w:spacing w:val="-2"/>
                <w:sz w:val="18"/>
              </w:rPr>
              <w:t>27,212</w:t>
            </w:r>
          </w:p>
        </w:tc>
        <w:tc>
          <w:tcPr>
            <w:tcW w:w="1276" w:type="dxa"/>
            <w:shd w:val="clear" w:color="auto" w:fill="FFFFFF"/>
          </w:tcPr>
          <w:p w14:paraId="7E3B9A03" w14:textId="77777777" w:rsidR="00084F36" w:rsidRPr="00EB2BD8" w:rsidRDefault="00EB2BD8">
            <w:pPr>
              <w:pStyle w:val="TableParagraph"/>
              <w:spacing w:before="56"/>
              <w:ind w:right="107"/>
              <w:jc w:val="right"/>
              <w:rPr>
                <w:rFonts w:ascii="Arial"/>
                <w:sz w:val="18"/>
              </w:rPr>
            </w:pPr>
            <w:r w:rsidRPr="00EB2BD8">
              <w:rPr>
                <w:rFonts w:ascii="Arial"/>
                <w:spacing w:val="-2"/>
                <w:sz w:val="18"/>
              </w:rPr>
              <w:t>18,318</w:t>
            </w:r>
          </w:p>
        </w:tc>
      </w:tr>
      <w:tr w:rsidR="00EB2BD8" w:rsidRPr="00EB2BD8" w14:paraId="6AC10618" w14:textId="77777777">
        <w:trPr>
          <w:trHeight w:val="340"/>
        </w:trPr>
        <w:tc>
          <w:tcPr>
            <w:tcW w:w="4549" w:type="dxa"/>
            <w:shd w:val="clear" w:color="auto" w:fill="FFFFFF"/>
          </w:tcPr>
          <w:p w14:paraId="7214B9C8" w14:textId="77777777" w:rsidR="00084F36" w:rsidRPr="00EB2BD8" w:rsidRDefault="00EB2BD8">
            <w:pPr>
              <w:pStyle w:val="TableParagraph"/>
              <w:spacing w:before="59"/>
              <w:ind w:left="108"/>
              <w:rPr>
                <w:rFonts w:ascii="Arial"/>
                <w:sz w:val="12"/>
              </w:rPr>
            </w:pPr>
            <w:r w:rsidRPr="00EB2BD8">
              <w:rPr>
                <w:rFonts w:ascii="Arial"/>
                <w:sz w:val="18"/>
              </w:rPr>
              <w:t>Contributed</w:t>
            </w:r>
            <w:r w:rsidRPr="00EB2BD8">
              <w:rPr>
                <w:rFonts w:ascii="Arial"/>
                <w:spacing w:val="-7"/>
                <w:sz w:val="18"/>
              </w:rPr>
              <w:t xml:space="preserve"> </w:t>
            </w:r>
            <w:r w:rsidRPr="00EB2BD8">
              <w:rPr>
                <w:rFonts w:ascii="Arial"/>
                <w:spacing w:val="-2"/>
                <w:sz w:val="18"/>
              </w:rPr>
              <w:t>capital</w:t>
            </w:r>
            <w:r w:rsidRPr="00EB2BD8">
              <w:rPr>
                <w:rFonts w:ascii="Arial"/>
                <w:spacing w:val="-2"/>
                <w:position w:val="6"/>
                <w:sz w:val="12"/>
              </w:rPr>
              <w:t>(b)</w:t>
            </w:r>
          </w:p>
        </w:tc>
        <w:tc>
          <w:tcPr>
            <w:tcW w:w="2540" w:type="dxa"/>
            <w:shd w:val="clear" w:color="auto" w:fill="FFFFFF"/>
          </w:tcPr>
          <w:p w14:paraId="20282E63" w14:textId="77777777" w:rsidR="00084F36" w:rsidRPr="00EB2BD8" w:rsidRDefault="00EB2BD8">
            <w:pPr>
              <w:pStyle w:val="TableParagraph"/>
              <w:spacing w:before="63"/>
              <w:ind w:right="107"/>
              <w:jc w:val="right"/>
              <w:rPr>
                <w:rFonts w:ascii="Arial"/>
                <w:sz w:val="18"/>
              </w:rPr>
            </w:pPr>
            <w:r w:rsidRPr="00EB2BD8">
              <w:rPr>
                <w:rFonts w:ascii="Arial"/>
                <w:spacing w:val="-4"/>
                <w:sz w:val="18"/>
              </w:rPr>
              <w:t>8.10</w:t>
            </w:r>
          </w:p>
        </w:tc>
        <w:tc>
          <w:tcPr>
            <w:tcW w:w="1418" w:type="dxa"/>
            <w:shd w:val="clear" w:color="auto" w:fill="DEEAF6"/>
          </w:tcPr>
          <w:p w14:paraId="408841D7" w14:textId="77777777" w:rsidR="00084F36" w:rsidRPr="00EB2BD8" w:rsidRDefault="00EB2BD8">
            <w:pPr>
              <w:pStyle w:val="TableParagraph"/>
              <w:spacing w:before="63"/>
              <w:ind w:right="108"/>
              <w:jc w:val="right"/>
              <w:rPr>
                <w:rFonts w:ascii="Arial"/>
                <w:sz w:val="18"/>
              </w:rPr>
            </w:pPr>
            <w:r w:rsidRPr="00EB2BD8">
              <w:rPr>
                <w:rFonts w:ascii="Arial"/>
                <w:spacing w:val="-2"/>
                <w:sz w:val="18"/>
              </w:rPr>
              <w:t>2,182</w:t>
            </w:r>
          </w:p>
        </w:tc>
        <w:tc>
          <w:tcPr>
            <w:tcW w:w="1276" w:type="dxa"/>
            <w:shd w:val="clear" w:color="auto" w:fill="FFFFFF"/>
          </w:tcPr>
          <w:p w14:paraId="46529F96" w14:textId="77777777" w:rsidR="00084F36" w:rsidRPr="00EB2BD8" w:rsidRDefault="00EB2BD8">
            <w:pPr>
              <w:pStyle w:val="TableParagraph"/>
              <w:spacing w:before="63"/>
              <w:ind w:right="107"/>
              <w:jc w:val="right"/>
              <w:rPr>
                <w:rFonts w:ascii="Arial"/>
                <w:sz w:val="18"/>
              </w:rPr>
            </w:pPr>
            <w:r w:rsidRPr="00EB2BD8">
              <w:rPr>
                <w:rFonts w:ascii="Arial"/>
                <w:sz w:val="18"/>
              </w:rPr>
              <w:t>-</w:t>
            </w:r>
          </w:p>
        </w:tc>
      </w:tr>
      <w:tr w:rsidR="00EB2BD8" w:rsidRPr="00EB2BD8" w14:paraId="6426DE36" w14:textId="77777777">
        <w:trPr>
          <w:trHeight w:val="338"/>
        </w:trPr>
        <w:tc>
          <w:tcPr>
            <w:tcW w:w="4549" w:type="dxa"/>
            <w:tcBorders>
              <w:bottom w:val="single" w:sz="12" w:space="0" w:color="000000"/>
            </w:tcBorders>
            <w:shd w:val="clear" w:color="auto" w:fill="FFFFFF"/>
          </w:tcPr>
          <w:p w14:paraId="0A13C74D" w14:textId="77777777" w:rsidR="00084F36" w:rsidRPr="00EB2BD8" w:rsidRDefault="00EB2BD8">
            <w:pPr>
              <w:pStyle w:val="TableParagraph"/>
              <w:spacing w:before="64"/>
              <w:ind w:left="107"/>
              <w:rPr>
                <w:rFonts w:ascii="Arial"/>
                <w:sz w:val="18"/>
              </w:rPr>
            </w:pPr>
            <w:r w:rsidRPr="00EB2BD8">
              <w:rPr>
                <w:rFonts w:ascii="Arial"/>
                <w:sz w:val="18"/>
              </w:rPr>
              <w:t>Asset</w:t>
            </w:r>
            <w:r w:rsidRPr="00EB2BD8">
              <w:rPr>
                <w:rFonts w:ascii="Arial"/>
                <w:spacing w:val="-4"/>
                <w:sz w:val="18"/>
              </w:rPr>
              <w:t xml:space="preserve"> </w:t>
            </w:r>
            <w:r w:rsidRPr="00EB2BD8">
              <w:rPr>
                <w:rFonts w:ascii="Arial"/>
                <w:sz w:val="18"/>
              </w:rPr>
              <w:t>revaluation</w:t>
            </w:r>
            <w:r w:rsidRPr="00EB2BD8">
              <w:rPr>
                <w:rFonts w:ascii="Arial"/>
                <w:spacing w:val="-4"/>
                <w:sz w:val="18"/>
              </w:rPr>
              <w:t xml:space="preserve"> </w:t>
            </w:r>
            <w:r w:rsidRPr="00EB2BD8">
              <w:rPr>
                <w:rFonts w:ascii="Arial"/>
                <w:spacing w:val="-2"/>
                <w:sz w:val="18"/>
              </w:rPr>
              <w:t>reserve</w:t>
            </w:r>
          </w:p>
        </w:tc>
        <w:tc>
          <w:tcPr>
            <w:tcW w:w="2540" w:type="dxa"/>
            <w:tcBorders>
              <w:bottom w:val="single" w:sz="12" w:space="0" w:color="000000"/>
            </w:tcBorders>
            <w:shd w:val="clear" w:color="auto" w:fill="FFFFFF"/>
          </w:tcPr>
          <w:p w14:paraId="33D17CC3" w14:textId="77777777" w:rsidR="00084F36" w:rsidRPr="00EB2BD8" w:rsidRDefault="00EB2BD8">
            <w:pPr>
              <w:pStyle w:val="TableParagraph"/>
              <w:spacing w:before="64"/>
              <w:ind w:right="107"/>
              <w:jc w:val="right"/>
              <w:rPr>
                <w:rFonts w:ascii="Arial"/>
                <w:sz w:val="18"/>
              </w:rPr>
            </w:pPr>
            <w:r w:rsidRPr="00EB2BD8">
              <w:rPr>
                <w:rFonts w:ascii="Arial"/>
                <w:spacing w:val="-5"/>
                <w:sz w:val="18"/>
              </w:rPr>
              <w:t>8.2</w:t>
            </w:r>
          </w:p>
        </w:tc>
        <w:tc>
          <w:tcPr>
            <w:tcW w:w="1418" w:type="dxa"/>
            <w:tcBorders>
              <w:bottom w:val="single" w:sz="12" w:space="0" w:color="000000"/>
            </w:tcBorders>
            <w:shd w:val="clear" w:color="auto" w:fill="DEEAF6"/>
          </w:tcPr>
          <w:p w14:paraId="06AC09A1" w14:textId="77777777" w:rsidR="00084F36" w:rsidRPr="00EB2BD8" w:rsidRDefault="00EB2BD8">
            <w:pPr>
              <w:pStyle w:val="TableParagraph"/>
              <w:spacing w:before="64"/>
              <w:ind w:right="108"/>
              <w:jc w:val="right"/>
              <w:rPr>
                <w:rFonts w:ascii="Arial"/>
                <w:sz w:val="18"/>
              </w:rPr>
            </w:pPr>
            <w:r w:rsidRPr="00EB2BD8">
              <w:rPr>
                <w:rFonts w:ascii="Arial"/>
                <w:spacing w:val="-5"/>
                <w:sz w:val="18"/>
              </w:rPr>
              <w:t>745</w:t>
            </w:r>
          </w:p>
        </w:tc>
        <w:tc>
          <w:tcPr>
            <w:tcW w:w="1276" w:type="dxa"/>
            <w:tcBorders>
              <w:bottom w:val="single" w:sz="12" w:space="0" w:color="000000"/>
            </w:tcBorders>
            <w:shd w:val="clear" w:color="auto" w:fill="FFFFFF"/>
          </w:tcPr>
          <w:p w14:paraId="10FA0F3A" w14:textId="77777777" w:rsidR="00084F36" w:rsidRPr="00EB2BD8" w:rsidRDefault="00EB2BD8">
            <w:pPr>
              <w:pStyle w:val="TableParagraph"/>
              <w:spacing w:before="64"/>
              <w:ind w:right="107"/>
              <w:jc w:val="right"/>
              <w:rPr>
                <w:rFonts w:ascii="Arial"/>
                <w:sz w:val="18"/>
              </w:rPr>
            </w:pPr>
            <w:r w:rsidRPr="00EB2BD8">
              <w:rPr>
                <w:rFonts w:ascii="Arial"/>
                <w:spacing w:val="-5"/>
                <w:sz w:val="18"/>
              </w:rPr>
              <w:t>745</w:t>
            </w:r>
          </w:p>
        </w:tc>
      </w:tr>
      <w:tr w:rsidR="00EB2BD8" w:rsidRPr="00EB2BD8" w14:paraId="2A2E7BD6" w14:textId="77777777">
        <w:trPr>
          <w:trHeight w:val="309"/>
        </w:trPr>
        <w:tc>
          <w:tcPr>
            <w:tcW w:w="7089" w:type="dxa"/>
            <w:gridSpan w:val="2"/>
            <w:tcBorders>
              <w:top w:val="single" w:sz="12" w:space="0" w:color="000000"/>
              <w:bottom w:val="single" w:sz="12" w:space="0" w:color="000000"/>
            </w:tcBorders>
            <w:shd w:val="clear" w:color="auto" w:fill="FFFFFF"/>
          </w:tcPr>
          <w:p w14:paraId="4227BC05" w14:textId="77777777" w:rsidR="00084F36" w:rsidRPr="00EB2BD8" w:rsidRDefault="00EB2BD8">
            <w:pPr>
              <w:pStyle w:val="TableParagraph"/>
              <w:spacing w:before="50"/>
              <w:ind w:left="108"/>
              <w:rPr>
                <w:rFonts w:ascii="Arial"/>
                <w:b/>
                <w:sz w:val="18"/>
              </w:rPr>
            </w:pPr>
            <w:r w:rsidRPr="00EB2BD8">
              <w:rPr>
                <w:rFonts w:ascii="Arial"/>
                <w:b/>
                <w:sz w:val="18"/>
              </w:rPr>
              <w:t>Net</w:t>
            </w:r>
            <w:r w:rsidRPr="00EB2BD8">
              <w:rPr>
                <w:rFonts w:ascii="Arial"/>
                <w:b/>
                <w:spacing w:val="-2"/>
                <w:sz w:val="18"/>
              </w:rPr>
              <w:t xml:space="preserve"> worth</w:t>
            </w:r>
          </w:p>
        </w:tc>
        <w:tc>
          <w:tcPr>
            <w:tcW w:w="1418" w:type="dxa"/>
            <w:tcBorders>
              <w:top w:val="single" w:sz="12" w:space="0" w:color="000000"/>
              <w:bottom w:val="single" w:sz="12" w:space="0" w:color="000000"/>
            </w:tcBorders>
            <w:shd w:val="clear" w:color="auto" w:fill="DEEAF6"/>
          </w:tcPr>
          <w:p w14:paraId="0964F612" w14:textId="77777777" w:rsidR="00084F36" w:rsidRPr="00EB2BD8" w:rsidRDefault="00EB2BD8">
            <w:pPr>
              <w:pStyle w:val="TableParagraph"/>
              <w:spacing w:before="50"/>
              <w:ind w:right="107"/>
              <w:jc w:val="right"/>
              <w:rPr>
                <w:rFonts w:ascii="Arial"/>
                <w:b/>
                <w:sz w:val="18"/>
              </w:rPr>
            </w:pPr>
            <w:r w:rsidRPr="00EB2BD8">
              <w:rPr>
                <w:rFonts w:ascii="Arial"/>
                <w:b/>
                <w:spacing w:val="-2"/>
                <w:sz w:val="18"/>
              </w:rPr>
              <w:t>30,139</w:t>
            </w:r>
          </w:p>
        </w:tc>
        <w:tc>
          <w:tcPr>
            <w:tcW w:w="1276" w:type="dxa"/>
            <w:tcBorders>
              <w:top w:val="single" w:sz="12" w:space="0" w:color="000000"/>
              <w:bottom w:val="single" w:sz="12" w:space="0" w:color="000000"/>
            </w:tcBorders>
            <w:shd w:val="clear" w:color="auto" w:fill="FFFFFF"/>
          </w:tcPr>
          <w:p w14:paraId="0140B363" w14:textId="77777777" w:rsidR="00084F36" w:rsidRPr="00EB2BD8" w:rsidRDefault="00EB2BD8">
            <w:pPr>
              <w:pStyle w:val="TableParagraph"/>
              <w:spacing w:before="50"/>
              <w:ind w:right="108"/>
              <w:jc w:val="right"/>
              <w:rPr>
                <w:rFonts w:ascii="Arial"/>
                <w:b/>
                <w:sz w:val="18"/>
              </w:rPr>
            </w:pPr>
            <w:r w:rsidRPr="00EB2BD8">
              <w:rPr>
                <w:rFonts w:ascii="Arial"/>
                <w:b/>
                <w:spacing w:val="-2"/>
                <w:sz w:val="18"/>
              </w:rPr>
              <w:t>19,063</w:t>
            </w:r>
          </w:p>
        </w:tc>
      </w:tr>
    </w:tbl>
    <w:p w14:paraId="5451944A" w14:textId="77777777" w:rsidR="00084F36" w:rsidRPr="00EB2BD8" w:rsidRDefault="00084F36">
      <w:pPr>
        <w:pStyle w:val="BodyText"/>
        <w:rPr>
          <w:rFonts w:ascii="Arial"/>
          <w:sz w:val="15"/>
        </w:rPr>
      </w:pPr>
    </w:p>
    <w:p w14:paraId="58B2AE2A" w14:textId="77777777" w:rsidR="00084F36" w:rsidRPr="00EB2BD8" w:rsidRDefault="00EB2BD8">
      <w:pPr>
        <w:spacing w:before="94"/>
        <w:ind w:left="1059"/>
        <w:rPr>
          <w:rFonts w:ascii="Arial"/>
          <w:i/>
          <w:sz w:val="18"/>
        </w:rPr>
      </w:pPr>
      <w:r w:rsidRPr="00EB2BD8">
        <w:rPr>
          <w:rFonts w:ascii="Arial"/>
          <w:i/>
          <w:sz w:val="18"/>
        </w:rPr>
        <w:t>The</w:t>
      </w:r>
      <w:r w:rsidRPr="00EB2BD8">
        <w:rPr>
          <w:rFonts w:ascii="Arial"/>
          <w:i/>
          <w:spacing w:val="-4"/>
          <w:sz w:val="18"/>
        </w:rPr>
        <w:t xml:space="preserve"> </w:t>
      </w:r>
      <w:r w:rsidRPr="00EB2BD8">
        <w:rPr>
          <w:rFonts w:ascii="Arial"/>
          <w:i/>
          <w:sz w:val="18"/>
        </w:rPr>
        <w:t>accompanying</w:t>
      </w:r>
      <w:r w:rsidRPr="00EB2BD8">
        <w:rPr>
          <w:rFonts w:ascii="Arial"/>
          <w:i/>
          <w:spacing w:val="-2"/>
          <w:sz w:val="18"/>
        </w:rPr>
        <w:t xml:space="preserve"> </w:t>
      </w:r>
      <w:r w:rsidRPr="00EB2BD8">
        <w:rPr>
          <w:rFonts w:ascii="Arial"/>
          <w:i/>
          <w:sz w:val="18"/>
        </w:rPr>
        <w:t>notes</w:t>
      </w:r>
      <w:r w:rsidRPr="00EB2BD8">
        <w:rPr>
          <w:rFonts w:ascii="Arial"/>
          <w:i/>
          <w:spacing w:val="-3"/>
          <w:sz w:val="18"/>
        </w:rPr>
        <w:t xml:space="preserve"> </w:t>
      </w:r>
      <w:r w:rsidRPr="00EB2BD8">
        <w:rPr>
          <w:rFonts w:ascii="Arial"/>
          <w:i/>
          <w:sz w:val="18"/>
        </w:rPr>
        <w:t>form</w:t>
      </w:r>
      <w:r w:rsidRPr="00EB2BD8">
        <w:rPr>
          <w:rFonts w:ascii="Arial"/>
          <w:i/>
          <w:spacing w:val="-2"/>
          <w:sz w:val="18"/>
        </w:rPr>
        <w:t xml:space="preserve"> </w:t>
      </w:r>
      <w:r w:rsidRPr="00EB2BD8">
        <w:rPr>
          <w:rFonts w:ascii="Arial"/>
          <w:i/>
          <w:sz w:val="18"/>
        </w:rPr>
        <w:t>part</w:t>
      </w:r>
      <w:r w:rsidRPr="00EB2BD8">
        <w:rPr>
          <w:rFonts w:ascii="Arial"/>
          <w:i/>
          <w:spacing w:val="-2"/>
          <w:sz w:val="18"/>
        </w:rPr>
        <w:t xml:space="preserve"> </w:t>
      </w:r>
      <w:r w:rsidRPr="00EB2BD8">
        <w:rPr>
          <w:rFonts w:ascii="Arial"/>
          <w:i/>
          <w:sz w:val="18"/>
        </w:rPr>
        <w:t>of</w:t>
      </w:r>
      <w:r w:rsidRPr="00EB2BD8">
        <w:rPr>
          <w:rFonts w:ascii="Arial"/>
          <w:i/>
          <w:spacing w:val="-3"/>
          <w:sz w:val="18"/>
        </w:rPr>
        <w:t xml:space="preserve"> </w:t>
      </w:r>
      <w:r w:rsidRPr="00EB2BD8">
        <w:rPr>
          <w:rFonts w:ascii="Arial"/>
          <w:i/>
          <w:sz w:val="18"/>
        </w:rPr>
        <w:t>these</w:t>
      </w:r>
      <w:r w:rsidRPr="00EB2BD8">
        <w:rPr>
          <w:rFonts w:ascii="Arial"/>
          <w:i/>
          <w:spacing w:val="-3"/>
          <w:sz w:val="18"/>
        </w:rPr>
        <w:t xml:space="preserve"> </w:t>
      </w:r>
      <w:r w:rsidRPr="00EB2BD8">
        <w:rPr>
          <w:rFonts w:ascii="Arial"/>
          <w:i/>
          <w:sz w:val="18"/>
        </w:rPr>
        <w:t>financial</w:t>
      </w:r>
      <w:r w:rsidRPr="00EB2BD8">
        <w:rPr>
          <w:rFonts w:ascii="Arial"/>
          <w:i/>
          <w:spacing w:val="-2"/>
          <w:sz w:val="18"/>
        </w:rPr>
        <w:t xml:space="preserve"> statements.</w:t>
      </w:r>
    </w:p>
    <w:p w14:paraId="59D06A28" w14:textId="77777777" w:rsidR="00084F36" w:rsidRPr="00EB2BD8" w:rsidRDefault="00084F36">
      <w:pPr>
        <w:pStyle w:val="BodyText"/>
        <w:spacing w:before="4"/>
        <w:rPr>
          <w:rFonts w:ascii="Arial"/>
          <w:i/>
          <w:sz w:val="26"/>
        </w:rPr>
      </w:pPr>
    </w:p>
    <w:p w14:paraId="2B8565C3" w14:textId="77777777" w:rsidR="00084F36" w:rsidRPr="00EB2BD8" w:rsidRDefault="00EB2BD8">
      <w:pPr>
        <w:ind w:left="1059"/>
        <w:rPr>
          <w:rFonts w:ascii="Arial"/>
          <w:i/>
          <w:sz w:val="16"/>
        </w:rPr>
      </w:pPr>
      <w:r w:rsidRPr="00EB2BD8">
        <w:rPr>
          <w:rFonts w:ascii="Arial"/>
          <w:i/>
          <w:spacing w:val="-2"/>
          <w:sz w:val="16"/>
        </w:rPr>
        <w:t>Notes:</w:t>
      </w:r>
    </w:p>
    <w:p w14:paraId="379DAC87" w14:textId="77777777" w:rsidR="00084F36" w:rsidRPr="00EB2BD8" w:rsidRDefault="00EB2BD8">
      <w:pPr>
        <w:pStyle w:val="ListParagraph"/>
        <w:numPr>
          <w:ilvl w:val="0"/>
          <w:numId w:val="10"/>
        </w:numPr>
        <w:tabs>
          <w:tab w:val="left" w:pos="1456"/>
        </w:tabs>
        <w:spacing w:before="1"/>
        <w:ind w:hanging="397"/>
        <w:rPr>
          <w:rFonts w:ascii="Arial"/>
          <w:i/>
          <w:sz w:val="16"/>
        </w:rPr>
      </w:pPr>
      <w:r w:rsidRPr="00EB2BD8">
        <w:rPr>
          <w:rFonts w:ascii="Arial"/>
          <w:i/>
          <w:sz w:val="16"/>
        </w:rPr>
        <w:t>This</w:t>
      </w:r>
      <w:r w:rsidRPr="00EB2BD8">
        <w:rPr>
          <w:rFonts w:ascii="Arial"/>
          <w:i/>
          <w:spacing w:val="-6"/>
          <w:sz w:val="16"/>
        </w:rPr>
        <w:t xml:space="preserve"> </w:t>
      </w:r>
      <w:r w:rsidRPr="00EB2BD8">
        <w:rPr>
          <w:rFonts w:ascii="Arial"/>
          <w:i/>
          <w:sz w:val="16"/>
        </w:rPr>
        <w:t>format</w:t>
      </w:r>
      <w:r w:rsidRPr="00EB2BD8">
        <w:rPr>
          <w:rFonts w:ascii="Arial"/>
          <w:i/>
          <w:spacing w:val="-6"/>
          <w:sz w:val="16"/>
        </w:rPr>
        <w:t xml:space="preserve"> </w:t>
      </w:r>
      <w:r w:rsidRPr="00EB2BD8">
        <w:rPr>
          <w:rFonts w:ascii="Arial"/>
          <w:i/>
          <w:sz w:val="16"/>
        </w:rPr>
        <w:t>is</w:t>
      </w:r>
      <w:r w:rsidRPr="00EB2BD8">
        <w:rPr>
          <w:rFonts w:ascii="Arial"/>
          <w:i/>
          <w:spacing w:val="-6"/>
          <w:sz w:val="16"/>
        </w:rPr>
        <w:t xml:space="preserve"> </w:t>
      </w:r>
      <w:r w:rsidRPr="00EB2BD8">
        <w:rPr>
          <w:rFonts w:ascii="Arial"/>
          <w:i/>
          <w:sz w:val="16"/>
        </w:rPr>
        <w:t>aligned</w:t>
      </w:r>
      <w:r w:rsidRPr="00EB2BD8">
        <w:rPr>
          <w:rFonts w:ascii="Arial"/>
          <w:i/>
          <w:spacing w:val="-6"/>
          <w:sz w:val="16"/>
        </w:rPr>
        <w:t xml:space="preserve"> </w:t>
      </w:r>
      <w:r w:rsidRPr="00EB2BD8">
        <w:rPr>
          <w:rFonts w:ascii="Arial"/>
          <w:i/>
          <w:sz w:val="16"/>
        </w:rPr>
        <w:t>to</w:t>
      </w:r>
      <w:r w:rsidRPr="00EB2BD8">
        <w:rPr>
          <w:rFonts w:ascii="Arial"/>
          <w:i/>
          <w:spacing w:val="-6"/>
          <w:sz w:val="16"/>
        </w:rPr>
        <w:t xml:space="preserve"> </w:t>
      </w:r>
      <w:r w:rsidRPr="00EB2BD8">
        <w:rPr>
          <w:rFonts w:ascii="Arial"/>
          <w:i/>
          <w:sz w:val="16"/>
        </w:rPr>
        <w:t>AASB</w:t>
      </w:r>
      <w:r w:rsidRPr="00EB2BD8">
        <w:rPr>
          <w:rFonts w:ascii="Arial"/>
          <w:i/>
          <w:spacing w:val="-6"/>
          <w:sz w:val="16"/>
        </w:rPr>
        <w:t xml:space="preserve"> </w:t>
      </w:r>
      <w:r w:rsidRPr="00EB2BD8">
        <w:rPr>
          <w:rFonts w:ascii="Arial"/>
          <w:i/>
          <w:sz w:val="16"/>
        </w:rPr>
        <w:t>1049</w:t>
      </w:r>
      <w:r w:rsidRPr="00EB2BD8">
        <w:rPr>
          <w:rFonts w:ascii="Arial"/>
          <w:i/>
          <w:spacing w:val="-6"/>
          <w:sz w:val="16"/>
        </w:rPr>
        <w:t xml:space="preserve"> </w:t>
      </w:r>
      <w:r w:rsidRPr="00EB2BD8">
        <w:rPr>
          <w:rFonts w:ascii="Arial"/>
          <w:i/>
          <w:sz w:val="16"/>
        </w:rPr>
        <w:t>Whole</w:t>
      </w:r>
      <w:r w:rsidRPr="00EB2BD8">
        <w:rPr>
          <w:rFonts w:ascii="Arial"/>
          <w:i/>
          <w:spacing w:val="-7"/>
          <w:sz w:val="16"/>
        </w:rPr>
        <w:t xml:space="preserve"> </w:t>
      </w:r>
      <w:r w:rsidRPr="00EB2BD8">
        <w:rPr>
          <w:rFonts w:ascii="Arial"/>
          <w:i/>
          <w:sz w:val="16"/>
        </w:rPr>
        <w:t>of</w:t>
      </w:r>
      <w:r w:rsidRPr="00EB2BD8">
        <w:rPr>
          <w:rFonts w:ascii="Arial"/>
          <w:i/>
          <w:spacing w:val="-6"/>
          <w:sz w:val="16"/>
        </w:rPr>
        <w:t xml:space="preserve"> </w:t>
      </w:r>
      <w:r w:rsidRPr="00EB2BD8">
        <w:rPr>
          <w:rFonts w:ascii="Arial"/>
          <w:i/>
          <w:sz w:val="16"/>
        </w:rPr>
        <w:t>Government</w:t>
      </w:r>
      <w:r w:rsidRPr="00EB2BD8">
        <w:rPr>
          <w:rFonts w:ascii="Arial"/>
          <w:i/>
          <w:spacing w:val="-6"/>
          <w:sz w:val="16"/>
        </w:rPr>
        <w:t xml:space="preserve"> </w:t>
      </w:r>
      <w:r w:rsidRPr="00EB2BD8">
        <w:rPr>
          <w:rFonts w:ascii="Arial"/>
          <w:i/>
          <w:sz w:val="16"/>
        </w:rPr>
        <w:t>and</w:t>
      </w:r>
      <w:r w:rsidRPr="00EB2BD8">
        <w:rPr>
          <w:rFonts w:ascii="Arial"/>
          <w:i/>
          <w:spacing w:val="-7"/>
          <w:sz w:val="16"/>
        </w:rPr>
        <w:t xml:space="preserve"> </w:t>
      </w:r>
      <w:r w:rsidRPr="00EB2BD8">
        <w:rPr>
          <w:rFonts w:ascii="Arial"/>
          <w:i/>
          <w:sz w:val="16"/>
        </w:rPr>
        <w:t>General</w:t>
      </w:r>
      <w:r w:rsidRPr="00EB2BD8">
        <w:rPr>
          <w:rFonts w:ascii="Arial"/>
          <w:i/>
          <w:spacing w:val="-5"/>
          <w:sz w:val="16"/>
        </w:rPr>
        <w:t xml:space="preserve"> </w:t>
      </w:r>
      <w:r w:rsidRPr="00EB2BD8">
        <w:rPr>
          <w:rFonts w:ascii="Arial"/>
          <w:i/>
          <w:sz w:val="16"/>
        </w:rPr>
        <w:t>Government</w:t>
      </w:r>
      <w:r w:rsidRPr="00EB2BD8">
        <w:rPr>
          <w:rFonts w:ascii="Arial"/>
          <w:i/>
          <w:spacing w:val="-7"/>
          <w:sz w:val="16"/>
        </w:rPr>
        <w:t xml:space="preserve"> </w:t>
      </w:r>
      <w:r w:rsidRPr="00EB2BD8">
        <w:rPr>
          <w:rFonts w:ascii="Arial"/>
          <w:i/>
          <w:sz w:val="16"/>
        </w:rPr>
        <w:t>Sector</w:t>
      </w:r>
      <w:r w:rsidRPr="00EB2BD8">
        <w:rPr>
          <w:rFonts w:ascii="Arial"/>
          <w:i/>
          <w:spacing w:val="-6"/>
          <w:sz w:val="16"/>
        </w:rPr>
        <w:t xml:space="preserve"> </w:t>
      </w:r>
      <w:r w:rsidRPr="00EB2BD8">
        <w:rPr>
          <w:rFonts w:ascii="Arial"/>
          <w:i/>
          <w:sz w:val="16"/>
        </w:rPr>
        <w:t>Financial</w:t>
      </w:r>
      <w:r w:rsidRPr="00EB2BD8">
        <w:rPr>
          <w:rFonts w:ascii="Arial"/>
          <w:i/>
          <w:spacing w:val="-5"/>
          <w:sz w:val="16"/>
        </w:rPr>
        <w:t xml:space="preserve"> </w:t>
      </w:r>
      <w:r w:rsidRPr="00EB2BD8">
        <w:rPr>
          <w:rFonts w:ascii="Arial"/>
          <w:i/>
          <w:spacing w:val="-2"/>
          <w:sz w:val="16"/>
        </w:rPr>
        <w:t>Reporting.</w:t>
      </w:r>
    </w:p>
    <w:p w14:paraId="36F083D8" w14:textId="77777777" w:rsidR="00084F36" w:rsidRPr="00EB2BD8" w:rsidRDefault="00EB2BD8">
      <w:pPr>
        <w:pStyle w:val="ListParagraph"/>
        <w:numPr>
          <w:ilvl w:val="0"/>
          <w:numId w:val="10"/>
        </w:numPr>
        <w:tabs>
          <w:tab w:val="left" w:pos="1430"/>
          <w:tab w:val="left" w:pos="1485"/>
        </w:tabs>
        <w:spacing w:before="159" w:line="261" w:lineRule="auto"/>
        <w:ind w:left="1485" w:right="1481" w:hanging="426"/>
        <w:rPr>
          <w:rFonts w:ascii="Arial"/>
          <w:i/>
          <w:sz w:val="16"/>
        </w:rPr>
      </w:pPr>
      <w:r w:rsidRPr="00EB2BD8">
        <w:rPr>
          <w:rFonts w:ascii="Arial"/>
          <w:i/>
          <w:sz w:val="16"/>
        </w:rPr>
        <w:t>Funding</w:t>
      </w:r>
      <w:r w:rsidRPr="00EB2BD8">
        <w:rPr>
          <w:rFonts w:ascii="Arial"/>
          <w:i/>
          <w:spacing w:val="-3"/>
          <w:sz w:val="16"/>
        </w:rPr>
        <w:t xml:space="preserve"> </w:t>
      </w:r>
      <w:r w:rsidRPr="00EB2BD8">
        <w:rPr>
          <w:rFonts w:ascii="Arial"/>
          <w:i/>
          <w:sz w:val="16"/>
        </w:rPr>
        <w:t>received</w:t>
      </w:r>
      <w:r w:rsidRPr="00EB2BD8">
        <w:rPr>
          <w:rFonts w:ascii="Arial"/>
          <w:i/>
          <w:spacing w:val="-3"/>
          <w:sz w:val="16"/>
        </w:rPr>
        <w:t xml:space="preserve"> </w:t>
      </w:r>
      <w:r w:rsidRPr="00EB2BD8">
        <w:rPr>
          <w:rFonts w:ascii="Arial"/>
          <w:i/>
          <w:sz w:val="16"/>
        </w:rPr>
        <w:t>from</w:t>
      </w:r>
      <w:r w:rsidRPr="00EB2BD8">
        <w:rPr>
          <w:rFonts w:ascii="Arial"/>
          <w:i/>
          <w:spacing w:val="-2"/>
          <w:sz w:val="16"/>
        </w:rPr>
        <w:t xml:space="preserve"> </w:t>
      </w:r>
      <w:r w:rsidRPr="00EB2BD8">
        <w:rPr>
          <w:rFonts w:ascii="Arial"/>
          <w:i/>
          <w:sz w:val="16"/>
        </w:rPr>
        <w:t>Department</w:t>
      </w:r>
      <w:r w:rsidRPr="00EB2BD8">
        <w:rPr>
          <w:rFonts w:ascii="Arial"/>
          <w:i/>
          <w:spacing w:val="-3"/>
          <w:sz w:val="16"/>
        </w:rPr>
        <w:t xml:space="preserve"> </w:t>
      </w:r>
      <w:r w:rsidRPr="00EB2BD8">
        <w:rPr>
          <w:rFonts w:ascii="Arial"/>
          <w:i/>
          <w:sz w:val="16"/>
        </w:rPr>
        <w:t>of</w:t>
      </w:r>
      <w:r w:rsidRPr="00EB2BD8">
        <w:rPr>
          <w:rFonts w:ascii="Arial"/>
          <w:i/>
          <w:spacing w:val="-3"/>
          <w:sz w:val="16"/>
        </w:rPr>
        <w:t xml:space="preserve"> </w:t>
      </w:r>
      <w:r w:rsidRPr="00EB2BD8">
        <w:rPr>
          <w:rFonts w:ascii="Arial"/>
          <w:i/>
          <w:sz w:val="16"/>
        </w:rPr>
        <w:t>Energy,</w:t>
      </w:r>
      <w:r w:rsidRPr="00EB2BD8">
        <w:rPr>
          <w:rFonts w:ascii="Arial"/>
          <w:i/>
          <w:spacing w:val="-3"/>
          <w:sz w:val="16"/>
        </w:rPr>
        <w:t xml:space="preserve"> </w:t>
      </w:r>
      <w:r w:rsidRPr="00EB2BD8">
        <w:rPr>
          <w:rFonts w:ascii="Arial"/>
          <w:i/>
          <w:sz w:val="16"/>
        </w:rPr>
        <w:t>Environment</w:t>
      </w:r>
      <w:r w:rsidRPr="00EB2BD8">
        <w:rPr>
          <w:rFonts w:ascii="Arial"/>
          <w:i/>
          <w:spacing w:val="-3"/>
          <w:sz w:val="16"/>
        </w:rPr>
        <w:t xml:space="preserve"> </w:t>
      </w:r>
      <w:r w:rsidRPr="00EB2BD8">
        <w:rPr>
          <w:rFonts w:ascii="Arial"/>
          <w:i/>
          <w:sz w:val="16"/>
        </w:rPr>
        <w:t>and</w:t>
      </w:r>
      <w:r w:rsidRPr="00EB2BD8">
        <w:rPr>
          <w:rFonts w:ascii="Arial"/>
          <w:i/>
          <w:spacing w:val="-1"/>
          <w:sz w:val="16"/>
        </w:rPr>
        <w:t xml:space="preserve"> </w:t>
      </w:r>
      <w:r w:rsidRPr="00EB2BD8">
        <w:rPr>
          <w:rFonts w:ascii="Arial"/>
          <w:i/>
          <w:sz w:val="16"/>
        </w:rPr>
        <w:t>Climate</w:t>
      </w:r>
      <w:r w:rsidRPr="00EB2BD8">
        <w:rPr>
          <w:rFonts w:ascii="Arial"/>
          <w:i/>
          <w:spacing w:val="-3"/>
          <w:sz w:val="16"/>
        </w:rPr>
        <w:t xml:space="preserve"> </w:t>
      </w:r>
      <w:r w:rsidRPr="00EB2BD8">
        <w:rPr>
          <w:rFonts w:ascii="Arial"/>
          <w:i/>
          <w:sz w:val="16"/>
        </w:rPr>
        <w:t>Action</w:t>
      </w:r>
      <w:r w:rsidRPr="00EB2BD8">
        <w:rPr>
          <w:rFonts w:ascii="Arial"/>
          <w:i/>
          <w:spacing w:val="-3"/>
          <w:sz w:val="16"/>
        </w:rPr>
        <w:t xml:space="preserve"> </w:t>
      </w:r>
      <w:r w:rsidRPr="00EB2BD8">
        <w:rPr>
          <w:rFonts w:ascii="Arial"/>
          <w:i/>
          <w:sz w:val="16"/>
        </w:rPr>
        <w:t>(DEECA),</w:t>
      </w:r>
      <w:r w:rsidRPr="00EB2BD8">
        <w:rPr>
          <w:rFonts w:ascii="Arial"/>
          <w:i/>
          <w:spacing w:val="-3"/>
          <w:sz w:val="16"/>
        </w:rPr>
        <w:t xml:space="preserve"> </w:t>
      </w:r>
      <w:r w:rsidRPr="00EB2BD8">
        <w:rPr>
          <w:rFonts w:ascii="Arial"/>
          <w:i/>
          <w:sz w:val="16"/>
        </w:rPr>
        <w:t>formerly</w:t>
      </w:r>
      <w:r w:rsidRPr="00EB2BD8">
        <w:rPr>
          <w:rFonts w:ascii="Arial"/>
          <w:i/>
          <w:spacing w:val="-2"/>
          <w:sz w:val="16"/>
        </w:rPr>
        <w:t xml:space="preserve"> </w:t>
      </w:r>
      <w:r w:rsidRPr="00EB2BD8">
        <w:rPr>
          <w:rFonts w:ascii="Arial"/>
          <w:i/>
          <w:sz w:val="16"/>
        </w:rPr>
        <w:t>known</w:t>
      </w:r>
      <w:r w:rsidRPr="00EB2BD8">
        <w:rPr>
          <w:rFonts w:ascii="Arial"/>
          <w:i/>
          <w:spacing w:val="-3"/>
          <w:sz w:val="16"/>
        </w:rPr>
        <w:t xml:space="preserve"> </w:t>
      </w:r>
      <w:r w:rsidRPr="00EB2BD8">
        <w:rPr>
          <w:rFonts w:ascii="Arial"/>
          <w:i/>
          <w:sz w:val="16"/>
        </w:rPr>
        <w:t>as</w:t>
      </w:r>
      <w:r w:rsidRPr="00EB2BD8">
        <w:rPr>
          <w:rFonts w:ascii="Arial"/>
          <w:i/>
          <w:spacing w:val="-2"/>
          <w:sz w:val="16"/>
        </w:rPr>
        <w:t xml:space="preserve"> </w:t>
      </w:r>
      <w:r w:rsidRPr="00EB2BD8">
        <w:rPr>
          <w:rFonts w:ascii="Arial"/>
          <w:i/>
          <w:sz w:val="16"/>
        </w:rPr>
        <w:t>the</w:t>
      </w:r>
      <w:r w:rsidRPr="00EB2BD8">
        <w:rPr>
          <w:rFonts w:ascii="Arial"/>
          <w:i/>
          <w:spacing w:val="-3"/>
          <w:sz w:val="16"/>
        </w:rPr>
        <w:t xml:space="preserve"> </w:t>
      </w:r>
      <w:r w:rsidRPr="00EB2BD8">
        <w:rPr>
          <w:rFonts w:ascii="Arial"/>
          <w:i/>
          <w:sz w:val="16"/>
        </w:rPr>
        <w:t>Department</w:t>
      </w:r>
      <w:r w:rsidRPr="00EB2BD8">
        <w:rPr>
          <w:rFonts w:ascii="Arial"/>
          <w:i/>
          <w:spacing w:val="-3"/>
          <w:sz w:val="16"/>
        </w:rPr>
        <w:t xml:space="preserve"> </w:t>
      </w:r>
      <w:r w:rsidRPr="00EB2BD8">
        <w:rPr>
          <w:rFonts w:ascii="Arial"/>
          <w:i/>
          <w:sz w:val="16"/>
        </w:rPr>
        <w:t>of Environment, Land, Water and Planning (DELWP) as contributed capital.</w:t>
      </w:r>
    </w:p>
    <w:p w14:paraId="43FED647" w14:textId="77777777" w:rsidR="00084F36" w:rsidRPr="00EB2BD8" w:rsidRDefault="00084F36">
      <w:pPr>
        <w:pStyle w:val="BodyText"/>
        <w:rPr>
          <w:rFonts w:ascii="Arial"/>
          <w:i/>
          <w:sz w:val="20"/>
        </w:rPr>
      </w:pPr>
    </w:p>
    <w:p w14:paraId="226F2F59" w14:textId="77777777" w:rsidR="00084F36" w:rsidRPr="00EB2BD8" w:rsidRDefault="00084F36">
      <w:pPr>
        <w:pStyle w:val="BodyText"/>
        <w:rPr>
          <w:rFonts w:ascii="Arial"/>
          <w:i/>
          <w:sz w:val="20"/>
        </w:rPr>
      </w:pPr>
    </w:p>
    <w:p w14:paraId="1E781CBC" w14:textId="77777777" w:rsidR="00084F36" w:rsidRPr="00EB2BD8" w:rsidRDefault="00084F36">
      <w:pPr>
        <w:pStyle w:val="BodyText"/>
        <w:rPr>
          <w:rFonts w:ascii="Arial"/>
          <w:i/>
          <w:sz w:val="20"/>
        </w:rPr>
      </w:pPr>
    </w:p>
    <w:p w14:paraId="00F32301" w14:textId="77777777" w:rsidR="00084F36" w:rsidRPr="00EB2BD8" w:rsidRDefault="00084F36">
      <w:pPr>
        <w:pStyle w:val="BodyText"/>
        <w:rPr>
          <w:rFonts w:ascii="Arial"/>
          <w:i/>
          <w:sz w:val="20"/>
        </w:rPr>
      </w:pPr>
    </w:p>
    <w:p w14:paraId="0A929484" w14:textId="77777777" w:rsidR="00084F36" w:rsidRPr="00EB2BD8" w:rsidRDefault="00084F36">
      <w:pPr>
        <w:pStyle w:val="BodyText"/>
        <w:spacing w:before="9"/>
        <w:rPr>
          <w:rFonts w:ascii="Arial"/>
          <w:i/>
          <w:sz w:val="20"/>
        </w:rPr>
      </w:pPr>
    </w:p>
    <w:p w14:paraId="34583371" w14:textId="0265323A" w:rsidR="00084F36" w:rsidRPr="00EB2BD8" w:rsidRDefault="00084F36">
      <w:pPr>
        <w:spacing w:before="96"/>
        <w:ind w:right="888"/>
        <w:jc w:val="right"/>
        <w:rPr>
          <w:sz w:val="16"/>
        </w:rPr>
      </w:pPr>
    </w:p>
    <w:p w14:paraId="36BA50D4" w14:textId="77777777" w:rsidR="00084F36" w:rsidRPr="00EB2BD8" w:rsidRDefault="00084F36">
      <w:pPr>
        <w:jc w:val="right"/>
        <w:rPr>
          <w:sz w:val="16"/>
        </w:rPr>
        <w:sectPr w:rsidR="00084F36" w:rsidRPr="00EB2BD8" w:rsidSect="006D75B2">
          <w:headerReference w:type="default" r:id="rId253"/>
          <w:footerReference w:type="default" r:id="rId254"/>
          <w:pgSz w:w="11910" w:h="16840"/>
          <w:pgMar w:top="760" w:right="0" w:bottom="280" w:left="0" w:header="0" w:footer="0" w:gutter="0"/>
          <w:cols w:space="720"/>
        </w:sectPr>
      </w:pPr>
    </w:p>
    <w:p w14:paraId="24BB9DE3" w14:textId="72D70DBB" w:rsidR="00084F36" w:rsidRPr="00EB2BD8" w:rsidRDefault="005D2FBE" w:rsidP="00577085">
      <w:pPr>
        <w:pStyle w:val="Heading6"/>
      </w:pPr>
      <w:r w:rsidRPr="00EB2BD8">
        <w:rPr>
          <w:noProof/>
        </w:rPr>
        <w:lastRenderedPageBreak/>
        <mc:AlternateContent>
          <mc:Choice Requires="wpg">
            <w:drawing>
              <wp:anchor distT="0" distB="0" distL="0" distR="0" simplePos="0" relativeHeight="251405312" behindDoc="1" locked="0" layoutInCell="1" allowOverlap="1" wp14:anchorId="2F0059DA" wp14:editId="20BB832B">
                <wp:simplePos x="0" y="0"/>
                <wp:positionH relativeFrom="page">
                  <wp:posOffset>0</wp:posOffset>
                </wp:positionH>
                <wp:positionV relativeFrom="paragraph">
                  <wp:posOffset>10313670</wp:posOffset>
                </wp:positionV>
                <wp:extent cx="7559675" cy="2915920"/>
                <wp:effectExtent l="0" t="0" r="0" b="5080"/>
                <wp:wrapNone/>
                <wp:docPr id="805" name="Group 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2915920"/>
                          <a:chOff x="0" y="0"/>
                          <a:chExt cx="7559992" cy="2915996"/>
                        </a:xfrm>
                      </wpg:grpSpPr>
                      <pic:pic xmlns:pic="http://schemas.openxmlformats.org/drawingml/2006/picture">
                        <pic:nvPicPr>
                          <pic:cNvPr id="806" name="Image 806"/>
                          <pic:cNvPicPr/>
                        </pic:nvPicPr>
                        <pic:blipFill>
                          <a:blip r:embed="rId255" cstate="print"/>
                          <a:stretch>
                            <a:fillRect/>
                          </a:stretch>
                        </pic:blipFill>
                        <pic:spPr>
                          <a:xfrm>
                            <a:off x="0" y="0"/>
                            <a:ext cx="7559992" cy="2915996"/>
                          </a:xfrm>
                          <a:prstGeom prst="rect">
                            <a:avLst/>
                          </a:prstGeom>
                        </pic:spPr>
                      </pic:pic>
                      <wps:wsp>
                        <wps:cNvPr id="807" name="Graphic 807"/>
                        <wps:cNvSpPr/>
                        <wps:spPr>
                          <a:xfrm>
                            <a:off x="3585489" y="0"/>
                            <a:ext cx="2581275" cy="2701290"/>
                          </a:xfrm>
                          <a:custGeom>
                            <a:avLst/>
                            <a:gdLst/>
                            <a:ahLst/>
                            <a:cxnLst/>
                            <a:rect l="l" t="t" r="r" b="b"/>
                            <a:pathLst>
                              <a:path w="2581275" h="2701290">
                                <a:moveTo>
                                  <a:pt x="2581186" y="0"/>
                                </a:moveTo>
                                <a:lnTo>
                                  <a:pt x="1269497" y="0"/>
                                </a:lnTo>
                                <a:lnTo>
                                  <a:pt x="0" y="2700771"/>
                                </a:lnTo>
                                <a:lnTo>
                                  <a:pt x="1330706" y="2700771"/>
                                </a:lnTo>
                                <a:lnTo>
                                  <a:pt x="2581186" y="40457"/>
                                </a:lnTo>
                                <a:lnTo>
                                  <a:pt x="2581186" y="0"/>
                                </a:lnTo>
                                <a:close/>
                              </a:path>
                            </a:pathLst>
                          </a:custGeom>
                          <a:solidFill>
                            <a:srgbClr val="005F83"/>
                          </a:solidFill>
                        </wps:spPr>
                        <wps:bodyPr wrap="square" lIns="0" tIns="0" rIns="0" bIns="0" rtlCol="0">
                          <a:prstTxWarp prst="textNoShape">
                            <a:avLst/>
                          </a:prstTxWarp>
                          <a:noAutofit/>
                        </wps:bodyPr>
                      </wps:wsp>
                      <wps:wsp>
                        <wps:cNvPr id="808" name="Graphic 808"/>
                        <wps:cNvSpPr/>
                        <wps:spPr>
                          <a:xfrm>
                            <a:off x="1410858" y="74386"/>
                            <a:ext cx="2268220" cy="1978025"/>
                          </a:xfrm>
                          <a:custGeom>
                            <a:avLst/>
                            <a:gdLst/>
                            <a:ahLst/>
                            <a:cxnLst/>
                            <a:rect l="l" t="t" r="r" b="b"/>
                            <a:pathLst>
                              <a:path w="2268220" h="1978025">
                                <a:moveTo>
                                  <a:pt x="2268143" y="0"/>
                                </a:moveTo>
                                <a:lnTo>
                                  <a:pt x="933234" y="76"/>
                                </a:lnTo>
                                <a:lnTo>
                                  <a:pt x="0" y="1977821"/>
                                </a:lnTo>
                                <a:lnTo>
                                  <a:pt x="1336865" y="1977402"/>
                                </a:lnTo>
                                <a:lnTo>
                                  <a:pt x="2268143" y="0"/>
                                </a:lnTo>
                                <a:close/>
                              </a:path>
                            </a:pathLst>
                          </a:custGeom>
                          <a:solidFill>
                            <a:srgbClr val="00DAFF"/>
                          </a:solidFill>
                        </wps:spPr>
                        <wps:bodyPr wrap="square" lIns="0" tIns="0" rIns="0" bIns="0" rtlCol="0">
                          <a:prstTxWarp prst="textNoShape">
                            <a:avLst/>
                          </a:prstTxWarp>
                          <a:noAutofit/>
                        </wps:bodyPr>
                      </wps:wsp>
                      <wps:wsp>
                        <wps:cNvPr id="809" name="Graphic 809"/>
                        <wps:cNvSpPr/>
                        <wps:spPr>
                          <a:xfrm>
                            <a:off x="2343732" y="74109"/>
                            <a:ext cx="2577465" cy="2626995"/>
                          </a:xfrm>
                          <a:custGeom>
                            <a:avLst/>
                            <a:gdLst/>
                            <a:ahLst/>
                            <a:cxnLst/>
                            <a:rect l="l" t="t" r="r" b="b"/>
                            <a:pathLst>
                              <a:path w="2577465" h="2626995">
                                <a:moveTo>
                                  <a:pt x="1335493" y="0"/>
                                </a:moveTo>
                                <a:lnTo>
                                  <a:pt x="0" y="0"/>
                                </a:lnTo>
                                <a:lnTo>
                                  <a:pt x="1241678" y="2626664"/>
                                </a:lnTo>
                                <a:lnTo>
                                  <a:pt x="2577172" y="2626664"/>
                                </a:lnTo>
                                <a:lnTo>
                                  <a:pt x="1335493" y="0"/>
                                </a:lnTo>
                                <a:close/>
                              </a:path>
                            </a:pathLst>
                          </a:custGeom>
                          <a:ln w="10210">
                            <a:solidFill>
                              <a:srgbClr val="000000"/>
                            </a:solidFill>
                            <a:prstDash val="solid"/>
                          </a:ln>
                        </wps:spPr>
                        <wps:bodyPr wrap="square" lIns="0" tIns="0" rIns="0" bIns="0" rtlCol="0">
                          <a:prstTxWarp prst="textNoShape">
                            <a:avLst/>
                          </a:prstTxWarp>
                          <a:noAutofit/>
                        </wps:bodyPr>
                      </wps:wsp>
                      <wps:wsp>
                        <wps:cNvPr id="811" name="Graphic 811"/>
                        <wps:cNvSpPr/>
                        <wps:spPr>
                          <a:xfrm>
                            <a:off x="4731479" y="1259945"/>
                            <a:ext cx="1423670" cy="1241425"/>
                          </a:xfrm>
                          <a:custGeom>
                            <a:avLst/>
                            <a:gdLst/>
                            <a:ahLst/>
                            <a:cxnLst/>
                            <a:rect l="l" t="t" r="r" b="b"/>
                            <a:pathLst>
                              <a:path w="1423670" h="1241425">
                                <a:moveTo>
                                  <a:pt x="839101" y="1241132"/>
                                </a:moveTo>
                                <a:lnTo>
                                  <a:pt x="1423619" y="0"/>
                                </a:lnTo>
                                <a:lnTo>
                                  <a:pt x="585749" y="50"/>
                                </a:lnTo>
                                <a:lnTo>
                                  <a:pt x="0" y="1241399"/>
                                </a:lnTo>
                                <a:lnTo>
                                  <a:pt x="839101" y="1241132"/>
                                </a:lnTo>
                                <a:close/>
                              </a:path>
                            </a:pathLst>
                          </a:custGeom>
                          <a:ln w="6413">
                            <a:solidFill>
                              <a:srgbClr val="000000"/>
                            </a:solidFill>
                            <a:prstDash val="solid"/>
                          </a:ln>
                        </wps:spPr>
                        <wps:bodyPr wrap="square" lIns="0" tIns="0" rIns="0" bIns="0" rtlCol="0">
                          <a:prstTxWarp prst="textNoShape">
                            <a:avLst/>
                          </a:prstTxWarp>
                          <a:noAutofit/>
                        </wps:bodyPr>
                      </wps:wsp>
                      <wps:wsp>
                        <wps:cNvPr id="812" name="Graphic 812"/>
                        <wps:cNvSpPr/>
                        <wps:spPr>
                          <a:xfrm>
                            <a:off x="5317020" y="1259772"/>
                            <a:ext cx="1617980" cy="1649095"/>
                          </a:xfrm>
                          <a:custGeom>
                            <a:avLst/>
                            <a:gdLst/>
                            <a:ahLst/>
                            <a:cxnLst/>
                            <a:rect l="l" t="t" r="r" b="b"/>
                            <a:pathLst>
                              <a:path w="1617980" h="1649095">
                                <a:moveTo>
                                  <a:pt x="838225" y="0"/>
                                </a:moveTo>
                                <a:lnTo>
                                  <a:pt x="0" y="0"/>
                                </a:lnTo>
                                <a:lnTo>
                                  <a:pt x="779348" y="1648637"/>
                                </a:lnTo>
                                <a:lnTo>
                                  <a:pt x="1617573" y="1648637"/>
                                </a:lnTo>
                                <a:lnTo>
                                  <a:pt x="838225" y="0"/>
                                </a:lnTo>
                                <a:close/>
                              </a:path>
                            </a:pathLst>
                          </a:custGeom>
                          <a:ln w="64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F303DE" id="Group 805" o:spid="_x0000_s1026" alt="&quot;&quot;" style="position:absolute;margin-left:0;margin-top:812.1pt;width:595.25pt;height:229.6pt;z-index:-251911168;mso-wrap-distance-left:0;mso-wrap-distance-right:0;mso-position-horizontal-relative:page" coordsize="75599,2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">
                <v:shape id="Image 806" o:spid="_x0000_s1027" type="#_x0000_t75" style="position:absolute;width:75599;height:2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">
                  <v:imagedata r:id="rId256" o:title=""/>
                </v:shape>
                <v:shape id="Graphic 807" o:spid="_x0000_s1028" style="position:absolute;left:35854;width:25813;height:27012;visibility:visible;mso-wrap-style:square;v-text-anchor:top" coordsize="2581275,27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" path="m2581186,l1269497,,,2700771r1330706,l2581186,40457r,-40457xe" fillcolor="#005f83" stroked="f">
                  <v:path arrowok="t"/>
                </v:shape>
                <v:shape id="Graphic 808" o:spid="_x0000_s1029" style="position:absolute;left:14108;top:743;width:22682;height:19781;visibility:visible;mso-wrap-style:square;v-text-anchor:top" coordsize="2268220,197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" path="m2268143,l933234,76,,1977821r1336865,-419l2268143,xe" fillcolor="#00daff" stroked="f">
                  <v:path arrowok="t"/>
                </v:shape>
                <v:shape id="Graphic 809" o:spid="_x0000_s1030" style="position:absolute;left:23437;top:741;width:25774;height:26270;visibility:visible;mso-wrap-style:square;v-text-anchor:top" coordsize="2577465,262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" path="m1335493,l,,1241678,2626664r1335494,l1335493,xe" filled="f" strokeweight=".28361mm">
                  <v:path arrowok="t"/>
                </v:shape>
                <v:shape id="Graphic 811" o:spid="_x0000_s1031" style="position:absolute;left:47314;top:12599;width:14237;height:12414;visibility:visible;mso-wrap-style:square;v-text-anchor:top" coordsize="1423670,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" path="m839101,1241132l1423619,,585749,50,,1241399r839101,-267xe" filled="f" strokeweight=".17814mm">
                  <v:path arrowok="t"/>
                </v:shape>
                <v:shape id="Graphic 812" o:spid="_x0000_s1032" style="position:absolute;left:53170;top:12597;width:16180;height:16491;visibility:visible;mso-wrap-style:square;v-text-anchor:top" coordsize="1617980,164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" path="m838225,l,,779348,1648637r838225,l838225,xe" filled="f" strokeweight=".17814mm">
                  <v:path arrowok="t"/>
                </v:shape>
                <w10:wrap anchorx="page"/>
              </v:group>
            </w:pict>
          </mc:Fallback>
        </mc:AlternateContent>
      </w:r>
    </w:p>
    <w:p w14:paraId="4CA4C68F" w14:textId="77777777" w:rsidR="00084F36" w:rsidRPr="00EB2BD8" w:rsidRDefault="00084F36">
      <w:pPr>
        <w:pStyle w:val="BodyText"/>
        <w:rPr>
          <w:sz w:val="20"/>
        </w:rPr>
      </w:pPr>
    </w:p>
    <w:p w14:paraId="68624585" w14:textId="77777777" w:rsidR="00084F36" w:rsidRPr="00EB2BD8" w:rsidRDefault="00084F36">
      <w:pPr>
        <w:pStyle w:val="BodyText"/>
        <w:rPr>
          <w:sz w:val="20"/>
        </w:rPr>
      </w:pPr>
    </w:p>
    <w:p w14:paraId="1D11FCE6" w14:textId="77777777" w:rsidR="00084F36" w:rsidRPr="00EB2BD8" w:rsidRDefault="00084F36">
      <w:pPr>
        <w:pStyle w:val="BodyText"/>
        <w:rPr>
          <w:sz w:val="20"/>
        </w:rPr>
      </w:pPr>
    </w:p>
    <w:p w14:paraId="561FC783" w14:textId="77777777" w:rsidR="00084F36" w:rsidRPr="00EB2BD8" w:rsidRDefault="00084F36">
      <w:pPr>
        <w:pStyle w:val="BodyText"/>
        <w:rPr>
          <w:sz w:val="20"/>
        </w:rPr>
      </w:pPr>
    </w:p>
    <w:p w14:paraId="1C35E321" w14:textId="77777777" w:rsidR="00084F36" w:rsidRPr="00EB2BD8" w:rsidRDefault="00084F36">
      <w:pPr>
        <w:pStyle w:val="BodyText"/>
        <w:rPr>
          <w:sz w:val="20"/>
        </w:rPr>
      </w:pPr>
    </w:p>
    <w:p w14:paraId="5A572A1A" w14:textId="77777777" w:rsidR="00084F36" w:rsidRPr="00EB2BD8" w:rsidRDefault="00084F36">
      <w:pPr>
        <w:pStyle w:val="BodyText"/>
        <w:spacing w:before="7"/>
        <w:rPr>
          <w:sz w:val="21"/>
        </w:rPr>
      </w:pPr>
    </w:p>
    <w:p w14:paraId="5CF6FB5D" w14:textId="2B45F938" w:rsidR="00084F36" w:rsidRPr="00EB2BD8" w:rsidRDefault="00436F78" w:rsidP="00885799">
      <w:pPr>
        <w:pStyle w:val="Heading2"/>
      </w:pPr>
      <w:r>
        <w:t xml:space="preserve"> </w:t>
      </w:r>
      <w:bookmarkStart w:id="244" w:name="_Toc150762546"/>
      <w:r>
        <w:t>S</w:t>
      </w:r>
      <w:r w:rsidRPr="00EB2BD8">
        <w:t>tatement</w:t>
      </w:r>
      <w:r w:rsidRPr="00EB2BD8">
        <w:rPr>
          <w:spacing w:val="-9"/>
        </w:rPr>
        <w:t xml:space="preserve"> </w:t>
      </w:r>
      <w:r w:rsidRPr="00EB2BD8">
        <w:t>of</w:t>
      </w:r>
      <w:r w:rsidRPr="00EB2BD8">
        <w:rPr>
          <w:spacing w:val="-9"/>
        </w:rPr>
        <w:t xml:space="preserve"> </w:t>
      </w:r>
      <w:r w:rsidRPr="00EB2BD8">
        <w:t>changes</w:t>
      </w:r>
      <w:r w:rsidRPr="00EB2BD8">
        <w:rPr>
          <w:spacing w:val="-9"/>
        </w:rPr>
        <w:t xml:space="preserve"> </w:t>
      </w:r>
      <w:r w:rsidRPr="00EB2BD8">
        <w:t>in</w:t>
      </w:r>
      <w:r w:rsidRPr="00EB2BD8">
        <w:rPr>
          <w:spacing w:val="-8"/>
        </w:rPr>
        <w:t xml:space="preserve"> </w:t>
      </w:r>
      <w:r w:rsidRPr="00EB2BD8">
        <w:rPr>
          <w:spacing w:val="-2"/>
        </w:rPr>
        <w:t>equity</w:t>
      </w:r>
      <w:r w:rsidR="00EB2BD8" w:rsidRPr="00EB2BD8">
        <w:rPr>
          <w:spacing w:val="-2"/>
          <w:vertAlign w:val="superscript"/>
        </w:rPr>
        <w:t>(a)</w:t>
      </w:r>
      <w:bookmarkEnd w:id="244"/>
    </w:p>
    <w:p w14:paraId="0A160969" w14:textId="011B6576" w:rsidR="00084F36" w:rsidRPr="00EB2BD8" w:rsidRDefault="00436F78" w:rsidP="00885799">
      <w:pPr>
        <w:pStyle w:val="Heading2"/>
      </w:pPr>
      <w:r>
        <w:t xml:space="preserve"> </w:t>
      </w:r>
      <w:bookmarkStart w:id="245" w:name="_Toc150762547"/>
      <w:r w:rsidRPr="00EB2BD8">
        <w:t>for</w:t>
      </w:r>
      <w:r w:rsidRPr="00EB2BD8">
        <w:rPr>
          <w:spacing w:val="-9"/>
        </w:rPr>
        <w:t xml:space="preserve"> </w:t>
      </w:r>
      <w:r w:rsidRPr="00EB2BD8">
        <w:t>the</w:t>
      </w:r>
      <w:r w:rsidRPr="00EB2BD8">
        <w:rPr>
          <w:spacing w:val="-7"/>
        </w:rPr>
        <w:t xml:space="preserve"> </w:t>
      </w:r>
      <w:r w:rsidRPr="00EB2BD8">
        <w:t>financial</w:t>
      </w:r>
      <w:r w:rsidRPr="00EB2BD8">
        <w:rPr>
          <w:spacing w:val="-7"/>
        </w:rPr>
        <w:t xml:space="preserve"> </w:t>
      </w:r>
      <w:r w:rsidRPr="00EB2BD8">
        <w:t>year</w:t>
      </w:r>
      <w:r w:rsidRPr="00EB2BD8">
        <w:rPr>
          <w:spacing w:val="-8"/>
        </w:rPr>
        <w:t xml:space="preserve"> </w:t>
      </w:r>
      <w:r w:rsidRPr="00EB2BD8">
        <w:t>ended</w:t>
      </w:r>
      <w:r w:rsidRPr="00EB2BD8">
        <w:rPr>
          <w:spacing w:val="-8"/>
        </w:rPr>
        <w:t xml:space="preserve"> </w:t>
      </w:r>
      <w:r w:rsidRPr="00EB2BD8">
        <w:t>30</w:t>
      </w:r>
      <w:r w:rsidRPr="00EB2BD8">
        <w:rPr>
          <w:spacing w:val="-7"/>
        </w:rPr>
        <w:t xml:space="preserve"> </w:t>
      </w:r>
      <w:r>
        <w:t>J</w:t>
      </w:r>
      <w:r w:rsidRPr="00EB2BD8">
        <w:t>une</w:t>
      </w:r>
      <w:r w:rsidRPr="00EB2BD8">
        <w:rPr>
          <w:spacing w:val="-7"/>
        </w:rPr>
        <w:t xml:space="preserve"> </w:t>
      </w:r>
      <w:r w:rsidRPr="00EB2BD8">
        <w:rPr>
          <w:spacing w:val="-4"/>
        </w:rPr>
        <w:t>2023</w:t>
      </w:r>
      <w:bookmarkEnd w:id="245"/>
    </w:p>
    <w:p w14:paraId="0A73C6D5" w14:textId="77777777" w:rsidR="00084F36" w:rsidRPr="00EB2BD8" w:rsidRDefault="00084F36">
      <w:pPr>
        <w:pStyle w:val="BodyText"/>
        <w:spacing w:before="6"/>
        <w:rPr>
          <w:rFonts w:ascii="Arial"/>
          <w:b/>
          <w:sz w:val="25"/>
        </w:rPr>
      </w:pPr>
    </w:p>
    <w:p w14:paraId="169F8A03" w14:textId="77777777" w:rsidR="00084F36" w:rsidRPr="00EB2BD8" w:rsidRDefault="00EB2BD8">
      <w:pPr>
        <w:pStyle w:val="BodyText"/>
        <w:spacing w:before="94"/>
        <w:ind w:right="1163"/>
        <w:jc w:val="right"/>
        <w:rPr>
          <w:rFonts w:ascii="Arial" w:hAnsi="Arial"/>
        </w:rPr>
      </w:pPr>
      <w:r w:rsidRPr="00EB2BD8">
        <w:rPr>
          <w:rFonts w:ascii="Arial" w:hAnsi="Arial"/>
          <w:spacing w:val="-2"/>
        </w:rPr>
        <w:t>($’000)</w:t>
      </w:r>
    </w:p>
    <w:p w14:paraId="017E4426" w14:textId="77777777" w:rsidR="00084F36" w:rsidRPr="00EB2BD8" w:rsidRDefault="00084F36">
      <w:pPr>
        <w:pStyle w:val="BodyText"/>
        <w:spacing w:before="9"/>
        <w:rPr>
          <w:rFonts w:ascii="Arial"/>
          <w:sz w:val="5"/>
        </w:rPr>
      </w:pPr>
    </w:p>
    <w:tbl>
      <w:tblPr>
        <w:tblW w:w="0" w:type="auto"/>
        <w:tblInd w:w="1076" w:type="dxa"/>
        <w:tblLayout w:type="fixed"/>
        <w:tblCellMar>
          <w:left w:w="0" w:type="dxa"/>
          <w:right w:w="0" w:type="dxa"/>
        </w:tblCellMar>
        <w:tblLook w:val="01E0" w:firstRow="1" w:lastRow="1" w:firstColumn="1" w:lastColumn="1" w:noHBand="0" w:noVBand="0"/>
      </w:tblPr>
      <w:tblGrid>
        <w:gridCol w:w="3727"/>
        <w:gridCol w:w="827"/>
        <w:gridCol w:w="1294"/>
        <w:gridCol w:w="1400"/>
        <w:gridCol w:w="1255"/>
        <w:gridCol w:w="1275"/>
      </w:tblGrid>
      <w:tr w:rsidR="00EB2BD8" w:rsidRPr="00EB2BD8" w14:paraId="73895FB2" w14:textId="77777777">
        <w:trPr>
          <w:trHeight w:val="780"/>
        </w:trPr>
        <w:tc>
          <w:tcPr>
            <w:tcW w:w="4554" w:type="dxa"/>
            <w:gridSpan w:val="2"/>
            <w:tcBorders>
              <w:top w:val="single" w:sz="4" w:space="0" w:color="0098FF"/>
              <w:left w:val="single" w:sz="4" w:space="0" w:color="0098FF"/>
              <w:bottom w:val="single" w:sz="4" w:space="0" w:color="0098FF"/>
            </w:tcBorders>
            <w:shd w:val="clear" w:color="auto" w:fill="0070C0"/>
          </w:tcPr>
          <w:p w14:paraId="64091BFA" w14:textId="77777777" w:rsidR="00084F36" w:rsidRPr="00EB2BD8" w:rsidRDefault="00084F36">
            <w:pPr>
              <w:pStyle w:val="TableParagraph"/>
              <w:rPr>
                <w:rFonts w:ascii="Arial"/>
                <w:sz w:val="20"/>
              </w:rPr>
            </w:pPr>
          </w:p>
          <w:p w14:paraId="4C832C2C" w14:textId="77777777" w:rsidR="00084F36" w:rsidRPr="00EB2BD8" w:rsidRDefault="00EB2BD8">
            <w:pPr>
              <w:pStyle w:val="TableParagraph"/>
              <w:spacing w:before="160"/>
              <w:ind w:right="181"/>
              <w:jc w:val="right"/>
              <w:rPr>
                <w:rFonts w:ascii="Arial"/>
                <w:b/>
                <w:sz w:val="18"/>
              </w:rPr>
            </w:pPr>
            <w:r w:rsidRPr="00EB2BD8">
              <w:rPr>
                <w:rFonts w:ascii="Arial"/>
                <w:b/>
                <w:spacing w:val="-2"/>
                <w:sz w:val="18"/>
              </w:rPr>
              <w:t>Notes</w:t>
            </w:r>
          </w:p>
        </w:tc>
        <w:tc>
          <w:tcPr>
            <w:tcW w:w="1294" w:type="dxa"/>
            <w:tcBorders>
              <w:top w:val="single" w:sz="4" w:space="0" w:color="0098FF"/>
              <w:bottom w:val="single" w:sz="4" w:space="0" w:color="0098FF"/>
            </w:tcBorders>
            <w:shd w:val="clear" w:color="auto" w:fill="0070C0"/>
          </w:tcPr>
          <w:p w14:paraId="5F427DEE" w14:textId="77777777" w:rsidR="00084F36" w:rsidRPr="00EB2BD8" w:rsidRDefault="00EB2BD8">
            <w:pPr>
              <w:pStyle w:val="TableParagraph"/>
              <w:spacing w:before="79"/>
              <w:ind w:left="194" w:right="136" w:firstLine="471"/>
              <w:jc w:val="right"/>
              <w:rPr>
                <w:rFonts w:ascii="Arial"/>
                <w:b/>
                <w:sz w:val="18"/>
              </w:rPr>
            </w:pPr>
            <w:r w:rsidRPr="00EB2BD8">
              <w:rPr>
                <w:rFonts w:ascii="Arial"/>
                <w:b/>
                <w:spacing w:val="-2"/>
                <w:sz w:val="18"/>
              </w:rPr>
              <w:t>Asset revaluation</w:t>
            </w:r>
          </w:p>
          <w:p w14:paraId="14E60D86" w14:textId="77777777" w:rsidR="00084F36" w:rsidRPr="00EB2BD8" w:rsidRDefault="00EB2BD8">
            <w:pPr>
              <w:pStyle w:val="TableParagraph"/>
              <w:ind w:right="137"/>
              <w:jc w:val="right"/>
              <w:rPr>
                <w:rFonts w:ascii="Arial"/>
                <w:b/>
                <w:sz w:val="18"/>
              </w:rPr>
            </w:pPr>
            <w:r w:rsidRPr="00EB2BD8">
              <w:rPr>
                <w:rFonts w:ascii="Arial"/>
                <w:b/>
                <w:spacing w:val="-2"/>
                <w:sz w:val="18"/>
              </w:rPr>
              <w:t>reserve</w:t>
            </w:r>
          </w:p>
        </w:tc>
        <w:tc>
          <w:tcPr>
            <w:tcW w:w="1400" w:type="dxa"/>
            <w:tcBorders>
              <w:top w:val="single" w:sz="4" w:space="0" w:color="0098FF"/>
              <w:bottom w:val="single" w:sz="4" w:space="0" w:color="0098FF"/>
            </w:tcBorders>
            <w:shd w:val="clear" w:color="auto" w:fill="0070C0"/>
          </w:tcPr>
          <w:p w14:paraId="58A17D08" w14:textId="77777777" w:rsidR="00084F36" w:rsidRPr="00EB2BD8" w:rsidRDefault="00084F36">
            <w:pPr>
              <w:pStyle w:val="TableParagraph"/>
              <w:spacing w:before="10"/>
              <w:rPr>
                <w:rFonts w:ascii="Arial"/>
                <w:sz w:val="15"/>
              </w:rPr>
            </w:pPr>
          </w:p>
          <w:p w14:paraId="46469451" w14:textId="77777777" w:rsidR="00084F36" w:rsidRPr="00EB2BD8" w:rsidRDefault="00EB2BD8">
            <w:pPr>
              <w:pStyle w:val="TableParagraph"/>
              <w:ind w:right="119"/>
              <w:jc w:val="right"/>
              <w:rPr>
                <w:rFonts w:ascii="Arial"/>
                <w:b/>
                <w:sz w:val="18"/>
              </w:rPr>
            </w:pPr>
            <w:r w:rsidRPr="00EB2BD8">
              <w:rPr>
                <w:rFonts w:ascii="Arial"/>
                <w:b/>
                <w:spacing w:val="-2"/>
                <w:sz w:val="18"/>
              </w:rPr>
              <w:t>Accumulated</w:t>
            </w:r>
          </w:p>
          <w:p w14:paraId="1CB4BD4C" w14:textId="77777777" w:rsidR="00084F36" w:rsidRPr="00EB2BD8" w:rsidRDefault="00EB2BD8">
            <w:pPr>
              <w:pStyle w:val="TableParagraph"/>
              <w:ind w:right="117"/>
              <w:jc w:val="right"/>
              <w:rPr>
                <w:rFonts w:ascii="Arial"/>
                <w:b/>
                <w:sz w:val="18"/>
              </w:rPr>
            </w:pPr>
            <w:r w:rsidRPr="00EB2BD8">
              <w:rPr>
                <w:rFonts w:ascii="Arial"/>
                <w:b/>
                <w:spacing w:val="-2"/>
                <w:sz w:val="18"/>
              </w:rPr>
              <w:t>surplus</w:t>
            </w:r>
          </w:p>
        </w:tc>
        <w:tc>
          <w:tcPr>
            <w:tcW w:w="1255" w:type="dxa"/>
            <w:tcBorders>
              <w:top w:val="single" w:sz="4" w:space="0" w:color="0098FF"/>
              <w:bottom w:val="single" w:sz="4" w:space="0" w:color="0098FF"/>
            </w:tcBorders>
            <w:shd w:val="clear" w:color="auto" w:fill="0070C0"/>
          </w:tcPr>
          <w:p w14:paraId="5CCEC63A" w14:textId="77777777" w:rsidR="00084F36" w:rsidRPr="00EB2BD8" w:rsidRDefault="00084F36">
            <w:pPr>
              <w:pStyle w:val="TableParagraph"/>
              <w:spacing w:before="11"/>
              <w:rPr>
                <w:rFonts w:ascii="Arial"/>
                <w:sz w:val="17"/>
              </w:rPr>
            </w:pPr>
          </w:p>
          <w:p w14:paraId="03979310" w14:textId="77777777" w:rsidR="00084F36" w:rsidRPr="00EB2BD8" w:rsidRDefault="00EB2BD8">
            <w:pPr>
              <w:pStyle w:val="TableParagraph"/>
              <w:ind w:right="99"/>
              <w:jc w:val="right"/>
              <w:rPr>
                <w:rFonts w:ascii="Arial"/>
                <w:b/>
                <w:sz w:val="18"/>
              </w:rPr>
            </w:pPr>
            <w:r w:rsidRPr="00EB2BD8">
              <w:rPr>
                <w:rFonts w:ascii="Arial"/>
                <w:b/>
                <w:spacing w:val="-2"/>
                <w:sz w:val="18"/>
              </w:rPr>
              <w:t>Contributed</w:t>
            </w:r>
          </w:p>
          <w:p w14:paraId="68F1872E" w14:textId="77777777" w:rsidR="00084F36" w:rsidRPr="00EB2BD8" w:rsidRDefault="00EB2BD8">
            <w:pPr>
              <w:pStyle w:val="TableParagraph"/>
              <w:ind w:right="100"/>
              <w:jc w:val="right"/>
              <w:rPr>
                <w:rFonts w:ascii="Arial"/>
                <w:b/>
                <w:sz w:val="18"/>
              </w:rPr>
            </w:pPr>
            <w:r w:rsidRPr="00EB2BD8">
              <w:rPr>
                <w:rFonts w:ascii="Arial"/>
                <w:b/>
                <w:spacing w:val="-2"/>
                <w:sz w:val="18"/>
              </w:rPr>
              <w:t>Capital</w:t>
            </w:r>
          </w:p>
        </w:tc>
        <w:tc>
          <w:tcPr>
            <w:tcW w:w="1275" w:type="dxa"/>
            <w:tcBorders>
              <w:top w:val="single" w:sz="4" w:space="0" w:color="0098FF"/>
              <w:bottom w:val="single" w:sz="4" w:space="0" w:color="0098FF"/>
              <w:right w:val="single" w:sz="4" w:space="0" w:color="0098FF"/>
            </w:tcBorders>
            <w:shd w:val="clear" w:color="auto" w:fill="0070C0"/>
          </w:tcPr>
          <w:p w14:paraId="14DBDCA9" w14:textId="77777777" w:rsidR="00084F36" w:rsidRPr="00EB2BD8" w:rsidRDefault="00084F36">
            <w:pPr>
              <w:pStyle w:val="TableParagraph"/>
              <w:rPr>
                <w:rFonts w:ascii="Arial"/>
                <w:sz w:val="20"/>
              </w:rPr>
            </w:pPr>
          </w:p>
          <w:p w14:paraId="51ACF6EA" w14:textId="77777777" w:rsidR="00084F36" w:rsidRPr="00EB2BD8" w:rsidRDefault="00EB2BD8">
            <w:pPr>
              <w:pStyle w:val="TableParagraph"/>
              <w:spacing w:before="160"/>
              <w:ind w:right="92"/>
              <w:jc w:val="right"/>
              <w:rPr>
                <w:rFonts w:ascii="Arial"/>
                <w:b/>
                <w:sz w:val="18"/>
              </w:rPr>
            </w:pPr>
            <w:r w:rsidRPr="00EB2BD8">
              <w:rPr>
                <w:rFonts w:ascii="Arial"/>
                <w:b/>
                <w:spacing w:val="-2"/>
                <w:sz w:val="18"/>
              </w:rPr>
              <w:t>Total</w:t>
            </w:r>
          </w:p>
        </w:tc>
      </w:tr>
      <w:tr w:rsidR="00EB2BD8" w:rsidRPr="00EB2BD8" w14:paraId="5810D884" w14:textId="77777777">
        <w:trPr>
          <w:trHeight w:val="391"/>
        </w:trPr>
        <w:tc>
          <w:tcPr>
            <w:tcW w:w="3727" w:type="dxa"/>
            <w:tcBorders>
              <w:top w:val="single" w:sz="4" w:space="0" w:color="0098FF"/>
            </w:tcBorders>
            <w:shd w:val="clear" w:color="auto" w:fill="FFFFFF"/>
          </w:tcPr>
          <w:p w14:paraId="7829370E" w14:textId="77777777" w:rsidR="00084F36" w:rsidRPr="00EB2BD8" w:rsidRDefault="00EB2BD8">
            <w:pPr>
              <w:pStyle w:val="TableParagraph"/>
              <w:spacing w:before="89"/>
              <w:ind w:left="112"/>
              <w:rPr>
                <w:rFonts w:ascii="Arial"/>
                <w:b/>
                <w:sz w:val="18"/>
              </w:rPr>
            </w:pPr>
            <w:r w:rsidRPr="00EB2BD8">
              <w:rPr>
                <w:rFonts w:ascii="Arial"/>
                <w:b/>
                <w:sz w:val="18"/>
              </w:rPr>
              <w:t>Balance</w:t>
            </w:r>
            <w:r w:rsidRPr="00EB2BD8">
              <w:rPr>
                <w:rFonts w:ascii="Arial"/>
                <w:b/>
                <w:spacing w:val="-5"/>
                <w:sz w:val="18"/>
              </w:rPr>
              <w:t xml:space="preserve"> </w:t>
            </w:r>
            <w:r w:rsidRPr="00EB2BD8">
              <w:rPr>
                <w:rFonts w:ascii="Arial"/>
                <w:b/>
                <w:sz w:val="18"/>
              </w:rPr>
              <w:t>at</w:t>
            </w:r>
            <w:r w:rsidRPr="00EB2BD8">
              <w:rPr>
                <w:rFonts w:ascii="Arial"/>
                <w:b/>
                <w:spacing w:val="-1"/>
                <w:sz w:val="18"/>
              </w:rPr>
              <w:t xml:space="preserve"> </w:t>
            </w:r>
            <w:r w:rsidRPr="00EB2BD8">
              <w:rPr>
                <w:rFonts w:ascii="Arial"/>
                <w:b/>
                <w:sz w:val="18"/>
              </w:rPr>
              <w:t>1 July</w:t>
            </w:r>
            <w:r w:rsidRPr="00EB2BD8">
              <w:rPr>
                <w:rFonts w:ascii="Arial"/>
                <w:b/>
                <w:spacing w:val="-2"/>
                <w:sz w:val="18"/>
              </w:rPr>
              <w:t xml:space="preserve"> </w:t>
            </w:r>
            <w:r w:rsidRPr="00EB2BD8">
              <w:rPr>
                <w:rFonts w:ascii="Arial"/>
                <w:b/>
                <w:spacing w:val="-4"/>
                <w:sz w:val="18"/>
              </w:rPr>
              <w:t>2021</w:t>
            </w:r>
          </w:p>
        </w:tc>
        <w:tc>
          <w:tcPr>
            <w:tcW w:w="827" w:type="dxa"/>
            <w:tcBorders>
              <w:top w:val="single" w:sz="4" w:space="0" w:color="0098FF"/>
            </w:tcBorders>
            <w:shd w:val="clear" w:color="auto" w:fill="FFFFFF"/>
          </w:tcPr>
          <w:p w14:paraId="60321CFA" w14:textId="77777777" w:rsidR="00084F36" w:rsidRPr="00EB2BD8" w:rsidRDefault="00084F36">
            <w:pPr>
              <w:pStyle w:val="TableParagraph"/>
              <w:rPr>
                <w:rFonts w:ascii="Times New Roman"/>
                <w:sz w:val="16"/>
              </w:rPr>
            </w:pPr>
          </w:p>
        </w:tc>
        <w:tc>
          <w:tcPr>
            <w:tcW w:w="1294" w:type="dxa"/>
            <w:tcBorders>
              <w:top w:val="single" w:sz="4" w:space="0" w:color="0098FF"/>
            </w:tcBorders>
            <w:shd w:val="clear" w:color="auto" w:fill="FFFFFF"/>
          </w:tcPr>
          <w:p w14:paraId="7D8E9DA0" w14:textId="77777777" w:rsidR="00084F36" w:rsidRPr="00EB2BD8" w:rsidRDefault="00EB2BD8">
            <w:pPr>
              <w:pStyle w:val="TableParagraph"/>
              <w:spacing w:before="89"/>
              <w:ind w:right="136"/>
              <w:jc w:val="right"/>
              <w:rPr>
                <w:rFonts w:ascii="Arial"/>
                <w:b/>
                <w:sz w:val="18"/>
              </w:rPr>
            </w:pPr>
            <w:r w:rsidRPr="00EB2BD8">
              <w:rPr>
                <w:rFonts w:ascii="Arial"/>
                <w:b/>
                <w:spacing w:val="-5"/>
                <w:sz w:val="18"/>
              </w:rPr>
              <w:t>403</w:t>
            </w:r>
          </w:p>
        </w:tc>
        <w:tc>
          <w:tcPr>
            <w:tcW w:w="1400" w:type="dxa"/>
            <w:tcBorders>
              <w:top w:val="single" w:sz="4" w:space="0" w:color="0098FF"/>
            </w:tcBorders>
            <w:shd w:val="clear" w:color="auto" w:fill="FFFFFF"/>
          </w:tcPr>
          <w:p w14:paraId="6341F829" w14:textId="77777777" w:rsidR="00084F36" w:rsidRPr="00EB2BD8" w:rsidRDefault="00EB2BD8">
            <w:pPr>
              <w:pStyle w:val="TableParagraph"/>
              <w:spacing w:before="89"/>
              <w:ind w:right="119"/>
              <w:jc w:val="right"/>
              <w:rPr>
                <w:rFonts w:ascii="Arial"/>
                <w:b/>
                <w:sz w:val="18"/>
              </w:rPr>
            </w:pPr>
            <w:r w:rsidRPr="00EB2BD8">
              <w:rPr>
                <w:rFonts w:ascii="Arial"/>
                <w:b/>
                <w:spacing w:val="-2"/>
                <w:sz w:val="18"/>
              </w:rPr>
              <w:t>25,546</w:t>
            </w:r>
          </w:p>
        </w:tc>
        <w:tc>
          <w:tcPr>
            <w:tcW w:w="1255" w:type="dxa"/>
            <w:tcBorders>
              <w:top w:val="single" w:sz="4" w:space="0" w:color="0098FF"/>
            </w:tcBorders>
            <w:shd w:val="clear" w:color="auto" w:fill="FFFFFF"/>
          </w:tcPr>
          <w:p w14:paraId="74DA329B" w14:textId="77777777" w:rsidR="00084F36" w:rsidRPr="00EB2BD8" w:rsidRDefault="00084F36">
            <w:pPr>
              <w:pStyle w:val="TableParagraph"/>
              <w:spacing w:before="11"/>
              <w:rPr>
                <w:rFonts w:ascii="Arial"/>
                <w:sz w:val="17"/>
              </w:rPr>
            </w:pPr>
          </w:p>
          <w:p w14:paraId="71D44BDB" w14:textId="77777777" w:rsidR="00084F36" w:rsidRPr="00EB2BD8" w:rsidRDefault="00EB2BD8">
            <w:pPr>
              <w:pStyle w:val="TableParagraph"/>
              <w:spacing w:line="165" w:lineRule="exact"/>
              <w:ind w:right="99"/>
              <w:jc w:val="right"/>
              <w:rPr>
                <w:rFonts w:ascii="Arial"/>
                <w:sz w:val="18"/>
              </w:rPr>
            </w:pPr>
            <w:r w:rsidRPr="00EB2BD8">
              <w:rPr>
                <w:rFonts w:ascii="Arial"/>
                <w:sz w:val="18"/>
              </w:rPr>
              <w:t>-</w:t>
            </w:r>
          </w:p>
        </w:tc>
        <w:tc>
          <w:tcPr>
            <w:tcW w:w="1275" w:type="dxa"/>
            <w:tcBorders>
              <w:top w:val="single" w:sz="4" w:space="0" w:color="0098FF"/>
            </w:tcBorders>
            <w:shd w:val="clear" w:color="auto" w:fill="DEEAF6"/>
          </w:tcPr>
          <w:p w14:paraId="786F11F5" w14:textId="77777777" w:rsidR="00084F36" w:rsidRPr="00EB2BD8" w:rsidRDefault="00EB2BD8">
            <w:pPr>
              <w:pStyle w:val="TableParagraph"/>
              <w:spacing w:before="89"/>
              <w:ind w:right="96"/>
              <w:jc w:val="right"/>
              <w:rPr>
                <w:rFonts w:ascii="Arial"/>
                <w:b/>
                <w:sz w:val="18"/>
              </w:rPr>
            </w:pPr>
            <w:r w:rsidRPr="00EB2BD8">
              <w:rPr>
                <w:rFonts w:ascii="Arial"/>
                <w:b/>
                <w:spacing w:val="-2"/>
                <w:sz w:val="18"/>
              </w:rPr>
              <w:t>25,949</w:t>
            </w:r>
          </w:p>
        </w:tc>
      </w:tr>
      <w:tr w:rsidR="00EB2BD8" w:rsidRPr="00EB2BD8" w14:paraId="1EC6A0E8" w14:textId="77777777">
        <w:trPr>
          <w:trHeight w:val="376"/>
        </w:trPr>
        <w:tc>
          <w:tcPr>
            <w:tcW w:w="3727" w:type="dxa"/>
            <w:shd w:val="clear" w:color="auto" w:fill="FFFFFF"/>
          </w:tcPr>
          <w:p w14:paraId="194F2B2E" w14:textId="77777777" w:rsidR="00084F36" w:rsidRPr="00EB2BD8" w:rsidRDefault="00EB2BD8">
            <w:pPr>
              <w:pStyle w:val="TableParagraph"/>
              <w:spacing w:before="89"/>
              <w:ind w:left="112"/>
              <w:rPr>
                <w:rFonts w:ascii="Arial"/>
                <w:sz w:val="18"/>
              </w:rPr>
            </w:pPr>
            <w:r w:rsidRPr="00EB2BD8">
              <w:rPr>
                <w:rFonts w:ascii="Arial"/>
                <w:sz w:val="18"/>
              </w:rPr>
              <w:t>Net</w:t>
            </w:r>
            <w:r w:rsidRPr="00EB2BD8">
              <w:rPr>
                <w:rFonts w:ascii="Arial"/>
                <w:spacing w:val="-2"/>
                <w:sz w:val="18"/>
              </w:rPr>
              <w:t xml:space="preserve"> </w:t>
            </w:r>
            <w:r w:rsidRPr="00EB2BD8">
              <w:rPr>
                <w:rFonts w:ascii="Arial"/>
                <w:sz w:val="18"/>
              </w:rPr>
              <w:t>result</w:t>
            </w:r>
            <w:r w:rsidRPr="00EB2BD8">
              <w:rPr>
                <w:rFonts w:ascii="Arial"/>
                <w:spacing w:val="-2"/>
                <w:sz w:val="18"/>
              </w:rPr>
              <w:t xml:space="preserve"> </w:t>
            </w:r>
            <w:r w:rsidRPr="00EB2BD8">
              <w:rPr>
                <w:rFonts w:ascii="Arial"/>
                <w:sz w:val="18"/>
              </w:rPr>
              <w:t>for</w:t>
            </w:r>
            <w:r w:rsidRPr="00EB2BD8">
              <w:rPr>
                <w:rFonts w:ascii="Arial"/>
                <w:spacing w:val="-2"/>
                <w:sz w:val="18"/>
              </w:rPr>
              <w:t xml:space="preserve"> </w:t>
            </w:r>
            <w:r w:rsidRPr="00EB2BD8">
              <w:rPr>
                <w:rFonts w:ascii="Arial"/>
                <w:sz w:val="18"/>
              </w:rPr>
              <w:t>the</w:t>
            </w:r>
            <w:r w:rsidRPr="00EB2BD8">
              <w:rPr>
                <w:rFonts w:ascii="Arial"/>
                <w:spacing w:val="-2"/>
                <w:sz w:val="18"/>
              </w:rPr>
              <w:t xml:space="preserve"> </w:t>
            </w:r>
            <w:r w:rsidRPr="00EB2BD8">
              <w:rPr>
                <w:rFonts w:ascii="Arial"/>
                <w:spacing w:val="-4"/>
                <w:sz w:val="18"/>
              </w:rPr>
              <w:t>year</w:t>
            </w:r>
          </w:p>
        </w:tc>
        <w:tc>
          <w:tcPr>
            <w:tcW w:w="827" w:type="dxa"/>
            <w:shd w:val="clear" w:color="auto" w:fill="FFFFFF"/>
          </w:tcPr>
          <w:p w14:paraId="0D38346B" w14:textId="77777777" w:rsidR="00084F36" w:rsidRPr="00EB2BD8" w:rsidRDefault="00084F36">
            <w:pPr>
              <w:pStyle w:val="TableParagraph"/>
              <w:rPr>
                <w:rFonts w:ascii="Times New Roman"/>
                <w:sz w:val="16"/>
              </w:rPr>
            </w:pPr>
          </w:p>
        </w:tc>
        <w:tc>
          <w:tcPr>
            <w:tcW w:w="1294" w:type="dxa"/>
            <w:shd w:val="clear" w:color="auto" w:fill="FFFFFF"/>
          </w:tcPr>
          <w:p w14:paraId="403FA2E5" w14:textId="77777777" w:rsidR="00084F36" w:rsidRPr="00EB2BD8" w:rsidRDefault="00EB2BD8">
            <w:pPr>
              <w:pStyle w:val="TableParagraph"/>
              <w:spacing w:before="89"/>
              <w:ind w:right="136"/>
              <w:jc w:val="right"/>
              <w:rPr>
                <w:rFonts w:ascii="Arial"/>
                <w:sz w:val="18"/>
              </w:rPr>
            </w:pPr>
            <w:r w:rsidRPr="00EB2BD8">
              <w:rPr>
                <w:rFonts w:ascii="Arial"/>
                <w:sz w:val="18"/>
              </w:rPr>
              <w:t>-</w:t>
            </w:r>
          </w:p>
        </w:tc>
        <w:tc>
          <w:tcPr>
            <w:tcW w:w="1400" w:type="dxa"/>
            <w:shd w:val="clear" w:color="auto" w:fill="FFFFFF"/>
          </w:tcPr>
          <w:p w14:paraId="6459039B" w14:textId="77777777" w:rsidR="00084F36" w:rsidRPr="00EB2BD8" w:rsidRDefault="00EB2BD8">
            <w:pPr>
              <w:pStyle w:val="TableParagraph"/>
              <w:spacing w:before="89"/>
              <w:ind w:right="119"/>
              <w:jc w:val="right"/>
              <w:rPr>
                <w:rFonts w:ascii="Arial"/>
                <w:sz w:val="18"/>
              </w:rPr>
            </w:pPr>
            <w:r w:rsidRPr="00EB2BD8">
              <w:rPr>
                <w:rFonts w:ascii="Arial"/>
                <w:spacing w:val="-2"/>
                <w:sz w:val="18"/>
              </w:rPr>
              <w:t>(7,228)</w:t>
            </w:r>
          </w:p>
        </w:tc>
        <w:tc>
          <w:tcPr>
            <w:tcW w:w="1255" w:type="dxa"/>
            <w:shd w:val="clear" w:color="auto" w:fill="FFFFFF"/>
          </w:tcPr>
          <w:p w14:paraId="45EC3809" w14:textId="77777777" w:rsidR="00084F36" w:rsidRPr="00EB2BD8" w:rsidRDefault="00EB2BD8">
            <w:pPr>
              <w:pStyle w:val="TableParagraph"/>
              <w:spacing w:before="89"/>
              <w:ind w:right="99"/>
              <w:jc w:val="right"/>
              <w:rPr>
                <w:rFonts w:ascii="Arial"/>
                <w:sz w:val="18"/>
              </w:rPr>
            </w:pPr>
            <w:r w:rsidRPr="00EB2BD8">
              <w:rPr>
                <w:rFonts w:ascii="Arial"/>
                <w:sz w:val="18"/>
              </w:rPr>
              <w:t>-</w:t>
            </w:r>
          </w:p>
        </w:tc>
        <w:tc>
          <w:tcPr>
            <w:tcW w:w="1275" w:type="dxa"/>
            <w:shd w:val="clear" w:color="auto" w:fill="DEEAF6"/>
          </w:tcPr>
          <w:p w14:paraId="122E8C3C" w14:textId="77777777" w:rsidR="00084F36" w:rsidRPr="00EB2BD8" w:rsidRDefault="00EB2BD8">
            <w:pPr>
              <w:pStyle w:val="TableParagraph"/>
              <w:spacing w:before="89"/>
              <w:ind w:right="98"/>
              <w:jc w:val="right"/>
              <w:rPr>
                <w:rFonts w:ascii="Arial"/>
                <w:b/>
                <w:sz w:val="18"/>
              </w:rPr>
            </w:pPr>
            <w:r w:rsidRPr="00EB2BD8">
              <w:rPr>
                <w:rFonts w:ascii="Arial"/>
                <w:b/>
                <w:spacing w:val="-2"/>
                <w:sz w:val="18"/>
              </w:rPr>
              <w:t>(7,228)</w:t>
            </w:r>
          </w:p>
        </w:tc>
      </w:tr>
      <w:tr w:rsidR="00EB2BD8" w:rsidRPr="00EB2BD8" w14:paraId="50DD5800" w14:textId="77777777">
        <w:trPr>
          <w:trHeight w:val="547"/>
        </w:trPr>
        <w:tc>
          <w:tcPr>
            <w:tcW w:w="3727" w:type="dxa"/>
            <w:tcBorders>
              <w:bottom w:val="single" w:sz="12" w:space="0" w:color="000000"/>
            </w:tcBorders>
            <w:shd w:val="clear" w:color="auto" w:fill="FFFFFF"/>
          </w:tcPr>
          <w:p w14:paraId="4517A638" w14:textId="77777777" w:rsidR="00084F36" w:rsidRPr="00EB2BD8" w:rsidRDefault="00EB2BD8">
            <w:pPr>
              <w:pStyle w:val="TableParagraph"/>
              <w:spacing w:before="73"/>
              <w:ind w:left="112"/>
              <w:rPr>
                <w:rFonts w:ascii="Arial"/>
                <w:sz w:val="18"/>
              </w:rPr>
            </w:pPr>
            <w:r w:rsidRPr="00EB2BD8">
              <w:rPr>
                <w:rFonts w:ascii="Arial"/>
                <w:sz w:val="18"/>
              </w:rPr>
              <w:t>Net</w:t>
            </w:r>
            <w:r w:rsidRPr="00EB2BD8">
              <w:rPr>
                <w:rFonts w:ascii="Arial"/>
                <w:spacing w:val="-8"/>
                <w:sz w:val="18"/>
              </w:rPr>
              <w:t xml:space="preserve"> </w:t>
            </w:r>
            <w:r w:rsidRPr="00EB2BD8">
              <w:rPr>
                <w:rFonts w:ascii="Arial"/>
                <w:sz w:val="18"/>
              </w:rPr>
              <w:t>increase/(decrease)</w:t>
            </w:r>
            <w:r w:rsidRPr="00EB2BD8">
              <w:rPr>
                <w:rFonts w:ascii="Arial"/>
                <w:spacing w:val="-8"/>
                <w:sz w:val="18"/>
              </w:rPr>
              <w:t xml:space="preserve"> </w:t>
            </w:r>
            <w:r w:rsidRPr="00EB2BD8">
              <w:rPr>
                <w:rFonts w:ascii="Arial"/>
                <w:sz w:val="18"/>
              </w:rPr>
              <w:t>as</w:t>
            </w:r>
            <w:r w:rsidRPr="00EB2BD8">
              <w:rPr>
                <w:rFonts w:ascii="Arial"/>
                <w:spacing w:val="-8"/>
                <w:sz w:val="18"/>
              </w:rPr>
              <w:t xml:space="preserve"> </w:t>
            </w:r>
            <w:r w:rsidRPr="00EB2BD8">
              <w:rPr>
                <w:rFonts w:ascii="Arial"/>
                <w:sz w:val="18"/>
              </w:rPr>
              <w:t>a</w:t>
            </w:r>
            <w:r w:rsidRPr="00EB2BD8">
              <w:rPr>
                <w:rFonts w:ascii="Arial"/>
                <w:spacing w:val="-9"/>
                <w:sz w:val="18"/>
              </w:rPr>
              <w:t xml:space="preserve"> </w:t>
            </w:r>
            <w:r w:rsidRPr="00EB2BD8">
              <w:rPr>
                <w:rFonts w:ascii="Arial"/>
                <w:sz w:val="18"/>
              </w:rPr>
              <w:t>result</w:t>
            </w:r>
            <w:r w:rsidRPr="00EB2BD8">
              <w:rPr>
                <w:rFonts w:ascii="Arial"/>
                <w:spacing w:val="-8"/>
                <w:sz w:val="18"/>
              </w:rPr>
              <w:t xml:space="preserve"> </w:t>
            </w:r>
            <w:r w:rsidRPr="00EB2BD8">
              <w:rPr>
                <w:rFonts w:ascii="Arial"/>
                <w:sz w:val="18"/>
              </w:rPr>
              <w:t xml:space="preserve">of </w:t>
            </w:r>
            <w:r w:rsidRPr="00EB2BD8">
              <w:rPr>
                <w:rFonts w:ascii="Arial"/>
                <w:spacing w:val="-2"/>
                <w:sz w:val="18"/>
              </w:rPr>
              <w:t>revaluation</w:t>
            </w:r>
          </w:p>
        </w:tc>
        <w:tc>
          <w:tcPr>
            <w:tcW w:w="827" w:type="dxa"/>
            <w:tcBorders>
              <w:bottom w:val="single" w:sz="12" w:space="0" w:color="000000"/>
            </w:tcBorders>
            <w:shd w:val="clear" w:color="auto" w:fill="FFFFFF"/>
          </w:tcPr>
          <w:p w14:paraId="37508630" w14:textId="77777777" w:rsidR="00084F36" w:rsidRPr="00EB2BD8" w:rsidRDefault="00EB2BD8">
            <w:pPr>
              <w:pStyle w:val="TableParagraph"/>
              <w:spacing w:before="176"/>
              <w:ind w:left="393"/>
              <w:rPr>
                <w:rFonts w:ascii="Arial"/>
                <w:sz w:val="18"/>
              </w:rPr>
            </w:pPr>
            <w:r w:rsidRPr="00EB2BD8">
              <w:rPr>
                <w:rFonts w:ascii="Arial"/>
                <w:spacing w:val="-5"/>
                <w:sz w:val="18"/>
              </w:rPr>
              <w:t>8.2</w:t>
            </w:r>
          </w:p>
        </w:tc>
        <w:tc>
          <w:tcPr>
            <w:tcW w:w="1294" w:type="dxa"/>
            <w:tcBorders>
              <w:bottom w:val="single" w:sz="12" w:space="0" w:color="000000"/>
            </w:tcBorders>
            <w:shd w:val="clear" w:color="auto" w:fill="FFFFFF"/>
          </w:tcPr>
          <w:p w14:paraId="2738C318" w14:textId="77777777" w:rsidR="00084F36" w:rsidRPr="00EB2BD8" w:rsidRDefault="00EB2BD8">
            <w:pPr>
              <w:pStyle w:val="TableParagraph"/>
              <w:spacing w:before="176"/>
              <w:ind w:right="137"/>
              <w:jc w:val="right"/>
              <w:rPr>
                <w:rFonts w:ascii="Arial"/>
                <w:sz w:val="18"/>
              </w:rPr>
            </w:pPr>
            <w:r w:rsidRPr="00EB2BD8">
              <w:rPr>
                <w:rFonts w:ascii="Arial"/>
                <w:spacing w:val="-5"/>
                <w:sz w:val="18"/>
              </w:rPr>
              <w:t>342</w:t>
            </w:r>
          </w:p>
        </w:tc>
        <w:tc>
          <w:tcPr>
            <w:tcW w:w="1400" w:type="dxa"/>
            <w:tcBorders>
              <w:bottom w:val="single" w:sz="12" w:space="0" w:color="000000"/>
            </w:tcBorders>
            <w:shd w:val="clear" w:color="auto" w:fill="FFFFFF"/>
          </w:tcPr>
          <w:p w14:paraId="47A13986" w14:textId="77777777" w:rsidR="00084F36" w:rsidRPr="00EB2BD8" w:rsidRDefault="00EB2BD8">
            <w:pPr>
              <w:pStyle w:val="TableParagraph"/>
              <w:spacing w:before="176"/>
              <w:ind w:right="118"/>
              <w:jc w:val="right"/>
              <w:rPr>
                <w:rFonts w:ascii="Arial"/>
                <w:sz w:val="18"/>
              </w:rPr>
            </w:pPr>
            <w:r w:rsidRPr="00EB2BD8">
              <w:rPr>
                <w:rFonts w:ascii="Arial"/>
                <w:sz w:val="18"/>
              </w:rPr>
              <w:t>-</w:t>
            </w:r>
          </w:p>
        </w:tc>
        <w:tc>
          <w:tcPr>
            <w:tcW w:w="1255" w:type="dxa"/>
            <w:tcBorders>
              <w:bottom w:val="single" w:sz="12" w:space="0" w:color="000000"/>
            </w:tcBorders>
            <w:shd w:val="clear" w:color="auto" w:fill="FFFFFF"/>
          </w:tcPr>
          <w:p w14:paraId="0F28A04D" w14:textId="77777777" w:rsidR="00084F36" w:rsidRPr="00EB2BD8" w:rsidRDefault="00EB2BD8">
            <w:pPr>
              <w:pStyle w:val="TableParagraph"/>
              <w:spacing w:before="176"/>
              <w:ind w:right="101"/>
              <w:jc w:val="right"/>
              <w:rPr>
                <w:rFonts w:ascii="Arial"/>
                <w:sz w:val="18"/>
              </w:rPr>
            </w:pPr>
            <w:r w:rsidRPr="00EB2BD8">
              <w:rPr>
                <w:rFonts w:ascii="Arial"/>
                <w:sz w:val="18"/>
              </w:rPr>
              <w:t>-</w:t>
            </w:r>
          </w:p>
        </w:tc>
        <w:tc>
          <w:tcPr>
            <w:tcW w:w="1275" w:type="dxa"/>
            <w:tcBorders>
              <w:bottom w:val="single" w:sz="12" w:space="0" w:color="000000"/>
            </w:tcBorders>
            <w:shd w:val="clear" w:color="auto" w:fill="DEEAF6"/>
          </w:tcPr>
          <w:p w14:paraId="249A5C8D" w14:textId="77777777" w:rsidR="00084F36" w:rsidRPr="00EB2BD8" w:rsidRDefault="00EB2BD8">
            <w:pPr>
              <w:pStyle w:val="TableParagraph"/>
              <w:spacing w:before="176"/>
              <w:ind w:right="99"/>
              <w:jc w:val="right"/>
              <w:rPr>
                <w:rFonts w:ascii="Arial"/>
                <w:b/>
                <w:sz w:val="18"/>
              </w:rPr>
            </w:pPr>
            <w:r w:rsidRPr="00EB2BD8">
              <w:rPr>
                <w:rFonts w:ascii="Arial"/>
                <w:b/>
                <w:spacing w:val="-5"/>
                <w:sz w:val="18"/>
              </w:rPr>
              <w:t>342</w:t>
            </w:r>
          </w:p>
        </w:tc>
      </w:tr>
      <w:tr w:rsidR="00EB2BD8" w:rsidRPr="00EB2BD8" w14:paraId="54287FD3" w14:textId="77777777">
        <w:trPr>
          <w:trHeight w:val="367"/>
        </w:trPr>
        <w:tc>
          <w:tcPr>
            <w:tcW w:w="3727" w:type="dxa"/>
            <w:tcBorders>
              <w:top w:val="single" w:sz="12" w:space="0" w:color="000000"/>
              <w:bottom w:val="single" w:sz="12" w:space="0" w:color="000000"/>
            </w:tcBorders>
            <w:shd w:val="clear" w:color="auto" w:fill="FFFFFF"/>
          </w:tcPr>
          <w:p w14:paraId="5685DC7A" w14:textId="77777777" w:rsidR="00084F36" w:rsidRPr="00EB2BD8" w:rsidRDefault="00EB2BD8">
            <w:pPr>
              <w:pStyle w:val="TableParagraph"/>
              <w:spacing w:before="79"/>
              <w:ind w:left="112"/>
              <w:rPr>
                <w:rFonts w:ascii="Arial"/>
                <w:b/>
                <w:sz w:val="18"/>
              </w:rPr>
            </w:pPr>
            <w:r w:rsidRPr="00EB2BD8">
              <w:rPr>
                <w:rFonts w:ascii="Arial"/>
                <w:b/>
                <w:sz w:val="18"/>
              </w:rPr>
              <w:t>Balance</w:t>
            </w:r>
            <w:r w:rsidRPr="00EB2BD8">
              <w:rPr>
                <w:rFonts w:ascii="Arial"/>
                <w:b/>
                <w:spacing w:val="-3"/>
                <w:sz w:val="18"/>
              </w:rPr>
              <w:t xml:space="preserve"> </w:t>
            </w:r>
            <w:r w:rsidRPr="00EB2BD8">
              <w:rPr>
                <w:rFonts w:ascii="Arial"/>
                <w:b/>
                <w:sz w:val="18"/>
              </w:rPr>
              <w:t>at</w:t>
            </w:r>
            <w:r w:rsidRPr="00EB2BD8">
              <w:rPr>
                <w:rFonts w:ascii="Arial"/>
                <w:b/>
                <w:spacing w:val="-1"/>
                <w:sz w:val="18"/>
              </w:rPr>
              <w:t xml:space="preserve"> </w:t>
            </w:r>
            <w:r w:rsidRPr="00EB2BD8">
              <w:rPr>
                <w:rFonts w:ascii="Arial"/>
                <w:b/>
                <w:sz w:val="18"/>
              </w:rPr>
              <w:t>30</w:t>
            </w:r>
            <w:r w:rsidRPr="00EB2BD8">
              <w:rPr>
                <w:rFonts w:ascii="Arial"/>
                <w:b/>
                <w:spacing w:val="-1"/>
                <w:sz w:val="18"/>
              </w:rPr>
              <w:t xml:space="preserve"> </w:t>
            </w:r>
            <w:r w:rsidRPr="00EB2BD8">
              <w:rPr>
                <w:rFonts w:ascii="Arial"/>
                <w:b/>
                <w:sz w:val="18"/>
              </w:rPr>
              <w:t>June</w:t>
            </w:r>
            <w:r w:rsidRPr="00EB2BD8">
              <w:rPr>
                <w:rFonts w:ascii="Arial"/>
                <w:b/>
                <w:spacing w:val="-2"/>
                <w:sz w:val="18"/>
              </w:rPr>
              <w:t xml:space="preserve"> </w:t>
            </w:r>
            <w:r w:rsidRPr="00EB2BD8">
              <w:rPr>
                <w:rFonts w:ascii="Arial"/>
                <w:b/>
                <w:spacing w:val="-4"/>
                <w:sz w:val="18"/>
              </w:rPr>
              <w:t>2022</w:t>
            </w:r>
          </w:p>
        </w:tc>
        <w:tc>
          <w:tcPr>
            <w:tcW w:w="827" w:type="dxa"/>
            <w:tcBorders>
              <w:top w:val="single" w:sz="12" w:space="0" w:color="000000"/>
              <w:bottom w:val="single" w:sz="12" w:space="0" w:color="000000"/>
            </w:tcBorders>
            <w:shd w:val="clear" w:color="auto" w:fill="FFFFFF"/>
          </w:tcPr>
          <w:p w14:paraId="68682469" w14:textId="77777777" w:rsidR="00084F36" w:rsidRPr="00EB2BD8" w:rsidRDefault="00084F36">
            <w:pPr>
              <w:pStyle w:val="TableParagraph"/>
              <w:rPr>
                <w:rFonts w:ascii="Times New Roman"/>
                <w:sz w:val="16"/>
              </w:rPr>
            </w:pPr>
          </w:p>
        </w:tc>
        <w:tc>
          <w:tcPr>
            <w:tcW w:w="1294" w:type="dxa"/>
            <w:tcBorders>
              <w:top w:val="single" w:sz="12" w:space="0" w:color="000000"/>
              <w:bottom w:val="single" w:sz="12" w:space="0" w:color="000000"/>
            </w:tcBorders>
            <w:shd w:val="clear" w:color="auto" w:fill="FFFFFF"/>
          </w:tcPr>
          <w:p w14:paraId="7E49C627" w14:textId="77777777" w:rsidR="00084F36" w:rsidRPr="00EB2BD8" w:rsidRDefault="00EB2BD8">
            <w:pPr>
              <w:pStyle w:val="TableParagraph"/>
              <w:spacing w:before="79"/>
              <w:ind w:right="137"/>
              <w:jc w:val="right"/>
              <w:rPr>
                <w:rFonts w:ascii="Arial"/>
                <w:b/>
                <w:sz w:val="18"/>
              </w:rPr>
            </w:pPr>
            <w:r w:rsidRPr="00EB2BD8">
              <w:rPr>
                <w:rFonts w:ascii="Arial"/>
                <w:b/>
                <w:spacing w:val="-5"/>
                <w:sz w:val="18"/>
              </w:rPr>
              <w:t>745</w:t>
            </w:r>
          </w:p>
        </w:tc>
        <w:tc>
          <w:tcPr>
            <w:tcW w:w="1400" w:type="dxa"/>
            <w:tcBorders>
              <w:top w:val="single" w:sz="12" w:space="0" w:color="000000"/>
              <w:bottom w:val="single" w:sz="12" w:space="0" w:color="000000"/>
            </w:tcBorders>
            <w:shd w:val="clear" w:color="auto" w:fill="FFFFFF"/>
          </w:tcPr>
          <w:p w14:paraId="6F43C997" w14:textId="77777777" w:rsidR="00084F36" w:rsidRPr="00EB2BD8" w:rsidRDefault="00EB2BD8">
            <w:pPr>
              <w:pStyle w:val="TableParagraph"/>
              <w:spacing w:before="79"/>
              <w:ind w:right="118"/>
              <w:jc w:val="right"/>
              <w:rPr>
                <w:rFonts w:ascii="Arial"/>
                <w:b/>
                <w:sz w:val="18"/>
              </w:rPr>
            </w:pPr>
            <w:r w:rsidRPr="00EB2BD8">
              <w:rPr>
                <w:rFonts w:ascii="Arial"/>
                <w:b/>
                <w:spacing w:val="-2"/>
                <w:sz w:val="18"/>
              </w:rPr>
              <w:t>18,318</w:t>
            </w:r>
          </w:p>
        </w:tc>
        <w:tc>
          <w:tcPr>
            <w:tcW w:w="1255" w:type="dxa"/>
            <w:tcBorders>
              <w:top w:val="single" w:sz="12" w:space="0" w:color="000000"/>
              <w:bottom w:val="single" w:sz="12" w:space="0" w:color="000000"/>
            </w:tcBorders>
            <w:shd w:val="clear" w:color="auto" w:fill="FFFFFF"/>
          </w:tcPr>
          <w:p w14:paraId="169996C6" w14:textId="77777777" w:rsidR="00084F36" w:rsidRPr="00EB2BD8" w:rsidRDefault="00EB2BD8">
            <w:pPr>
              <w:pStyle w:val="TableParagraph"/>
              <w:spacing w:line="206" w:lineRule="exact"/>
              <w:ind w:right="98"/>
              <w:jc w:val="right"/>
              <w:rPr>
                <w:rFonts w:ascii="Arial"/>
                <w:sz w:val="18"/>
              </w:rPr>
            </w:pPr>
            <w:r w:rsidRPr="00EB2BD8">
              <w:rPr>
                <w:rFonts w:ascii="Arial"/>
                <w:sz w:val="18"/>
              </w:rPr>
              <w:t>-</w:t>
            </w:r>
          </w:p>
        </w:tc>
        <w:tc>
          <w:tcPr>
            <w:tcW w:w="1275" w:type="dxa"/>
            <w:tcBorders>
              <w:top w:val="single" w:sz="12" w:space="0" w:color="000000"/>
              <w:bottom w:val="single" w:sz="12" w:space="0" w:color="000000"/>
            </w:tcBorders>
            <w:shd w:val="clear" w:color="auto" w:fill="DEEAF6"/>
          </w:tcPr>
          <w:p w14:paraId="1D39F995" w14:textId="77777777" w:rsidR="00084F36" w:rsidRPr="00EB2BD8" w:rsidRDefault="00EB2BD8">
            <w:pPr>
              <w:pStyle w:val="TableParagraph"/>
              <w:spacing w:before="79"/>
              <w:ind w:right="98"/>
              <w:jc w:val="right"/>
              <w:rPr>
                <w:rFonts w:ascii="Arial"/>
                <w:b/>
                <w:sz w:val="18"/>
              </w:rPr>
            </w:pPr>
            <w:r w:rsidRPr="00EB2BD8">
              <w:rPr>
                <w:rFonts w:ascii="Arial"/>
                <w:b/>
                <w:spacing w:val="-2"/>
                <w:sz w:val="18"/>
              </w:rPr>
              <w:t>19,063</w:t>
            </w:r>
          </w:p>
        </w:tc>
      </w:tr>
      <w:tr w:rsidR="00EB2BD8" w:rsidRPr="00EB2BD8" w14:paraId="11C2C01E" w14:textId="77777777">
        <w:trPr>
          <w:trHeight w:val="380"/>
        </w:trPr>
        <w:tc>
          <w:tcPr>
            <w:tcW w:w="3727" w:type="dxa"/>
            <w:vMerge w:val="restart"/>
            <w:tcBorders>
              <w:top w:val="single" w:sz="12" w:space="0" w:color="000000"/>
              <w:bottom w:val="single" w:sz="12" w:space="0" w:color="000000"/>
            </w:tcBorders>
            <w:shd w:val="clear" w:color="auto" w:fill="FFFFFF"/>
          </w:tcPr>
          <w:p w14:paraId="30BCB26C" w14:textId="77777777" w:rsidR="00084F36" w:rsidRPr="00EB2BD8" w:rsidRDefault="00EB2BD8">
            <w:pPr>
              <w:pStyle w:val="TableParagraph"/>
              <w:spacing w:before="78"/>
              <w:ind w:left="112"/>
              <w:rPr>
                <w:rFonts w:ascii="Arial"/>
                <w:b/>
                <w:sz w:val="18"/>
              </w:rPr>
            </w:pPr>
            <w:r w:rsidRPr="00EB2BD8">
              <w:rPr>
                <w:rFonts w:ascii="Arial"/>
                <w:b/>
                <w:sz w:val="18"/>
              </w:rPr>
              <w:t>Balance</w:t>
            </w:r>
            <w:r w:rsidRPr="00EB2BD8">
              <w:rPr>
                <w:rFonts w:ascii="Arial"/>
                <w:b/>
                <w:spacing w:val="-5"/>
                <w:sz w:val="18"/>
              </w:rPr>
              <w:t xml:space="preserve"> </w:t>
            </w:r>
            <w:r w:rsidRPr="00EB2BD8">
              <w:rPr>
                <w:rFonts w:ascii="Arial"/>
                <w:b/>
                <w:sz w:val="18"/>
              </w:rPr>
              <w:t>at</w:t>
            </w:r>
            <w:r w:rsidRPr="00EB2BD8">
              <w:rPr>
                <w:rFonts w:ascii="Arial"/>
                <w:b/>
                <w:spacing w:val="-1"/>
                <w:sz w:val="18"/>
              </w:rPr>
              <w:t xml:space="preserve"> </w:t>
            </w:r>
            <w:r w:rsidRPr="00EB2BD8">
              <w:rPr>
                <w:rFonts w:ascii="Arial"/>
                <w:b/>
                <w:sz w:val="18"/>
              </w:rPr>
              <w:t>1 July</w:t>
            </w:r>
            <w:r w:rsidRPr="00EB2BD8">
              <w:rPr>
                <w:rFonts w:ascii="Arial"/>
                <w:b/>
                <w:spacing w:val="-2"/>
                <w:sz w:val="18"/>
              </w:rPr>
              <w:t xml:space="preserve"> </w:t>
            </w:r>
            <w:r w:rsidRPr="00EB2BD8">
              <w:rPr>
                <w:rFonts w:ascii="Arial"/>
                <w:b/>
                <w:spacing w:val="-4"/>
                <w:sz w:val="18"/>
              </w:rPr>
              <w:t>2022</w:t>
            </w:r>
          </w:p>
          <w:p w14:paraId="52159ADF" w14:textId="77777777" w:rsidR="00084F36" w:rsidRPr="00EB2BD8" w:rsidRDefault="00EB2BD8">
            <w:pPr>
              <w:pStyle w:val="TableParagraph"/>
              <w:spacing w:before="112"/>
              <w:ind w:left="112"/>
              <w:rPr>
                <w:rFonts w:ascii="Arial"/>
                <w:sz w:val="18"/>
              </w:rPr>
            </w:pPr>
            <w:r w:rsidRPr="00EB2BD8">
              <w:rPr>
                <w:rFonts w:ascii="Arial"/>
                <w:sz w:val="18"/>
              </w:rPr>
              <w:t>Capital</w:t>
            </w:r>
            <w:r w:rsidRPr="00EB2BD8">
              <w:rPr>
                <w:rFonts w:ascii="Arial"/>
                <w:spacing w:val="-10"/>
                <w:sz w:val="18"/>
              </w:rPr>
              <w:t xml:space="preserve"> </w:t>
            </w:r>
            <w:r w:rsidRPr="00EB2BD8">
              <w:rPr>
                <w:rFonts w:ascii="Arial"/>
                <w:sz w:val="18"/>
              </w:rPr>
              <w:t>contribution</w:t>
            </w:r>
            <w:r w:rsidRPr="00EB2BD8">
              <w:rPr>
                <w:rFonts w:ascii="Arial"/>
                <w:spacing w:val="-11"/>
                <w:sz w:val="18"/>
              </w:rPr>
              <w:t xml:space="preserve"> </w:t>
            </w:r>
            <w:r w:rsidRPr="00EB2BD8">
              <w:rPr>
                <w:rFonts w:ascii="Arial"/>
                <w:sz w:val="18"/>
              </w:rPr>
              <w:t>transferred</w:t>
            </w:r>
            <w:r w:rsidRPr="00EB2BD8">
              <w:rPr>
                <w:rFonts w:ascii="Arial"/>
                <w:spacing w:val="-11"/>
                <w:sz w:val="18"/>
              </w:rPr>
              <w:t xml:space="preserve"> </w:t>
            </w:r>
            <w:r w:rsidRPr="00EB2BD8">
              <w:rPr>
                <w:rFonts w:ascii="Arial"/>
                <w:sz w:val="18"/>
              </w:rPr>
              <w:t>from</w:t>
            </w:r>
            <w:r w:rsidRPr="00EB2BD8">
              <w:rPr>
                <w:rFonts w:ascii="Arial"/>
                <w:spacing w:val="-10"/>
                <w:sz w:val="18"/>
              </w:rPr>
              <w:t xml:space="preserve"> </w:t>
            </w:r>
            <w:r w:rsidRPr="00EB2BD8">
              <w:rPr>
                <w:rFonts w:ascii="Arial"/>
                <w:sz w:val="18"/>
              </w:rPr>
              <w:t>other government entity</w:t>
            </w:r>
          </w:p>
          <w:p w14:paraId="21E33B59" w14:textId="77777777" w:rsidR="00084F36" w:rsidRPr="00EB2BD8" w:rsidRDefault="00EB2BD8">
            <w:pPr>
              <w:pStyle w:val="TableParagraph"/>
              <w:spacing w:before="126"/>
              <w:ind w:left="112"/>
              <w:rPr>
                <w:rFonts w:ascii="Arial"/>
                <w:sz w:val="18"/>
              </w:rPr>
            </w:pPr>
            <w:r w:rsidRPr="00EB2BD8">
              <w:rPr>
                <w:rFonts w:ascii="Arial"/>
                <w:sz w:val="18"/>
              </w:rPr>
              <w:t>Net</w:t>
            </w:r>
            <w:r w:rsidRPr="00EB2BD8">
              <w:rPr>
                <w:rFonts w:ascii="Arial"/>
                <w:spacing w:val="-2"/>
                <w:sz w:val="18"/>
              </w:rPr>
              <w:t xml:space="preserve"> </w:t>
            </w:r>
            <w:r w:rsidRPr="00EB2BD8">
              <w:rPr>
                <w:rFonts w:ascii="Arial"/>
                <w:sz w:val="18"/>
              </w:rPr>
              <w:t>result</w:t>
            </w:r>
            <w:r w:rsidRPr="00EB2BD8">
              <w:rPr>
                <w:rFonts w:ascii="Arial"/>
                <w:spacing w:val="-2"/>
                <w:sz w:val="18"/>
              </w:rPr>
              <w:t xml:space="preserve"> </w:t>
            </w:r>
            <w:r w:rsidRPr="00EB2BD8">
              <w:rPr>
                <w:rFonts w:ascii="Arial"/>
                <w:sz w:val="18"/>
              </w:rPr>
              <w:t>for</w:t>
            </w:r>
            <w:r w:rsidRPr="00EB2BD8">
              <w:rPr>
                <w:rFonts w:ascii="Arial"/>
                <w:spacing w:val="-2"/>
                <w:sz w:val="18"/>
              </w:rPr>
              <w:t xml:space="preserve"> </w:t>
            </w:r>
            <w:r w:rsidRPr="00EB2BD8">
              <w:rPr>
                <w:rFonts w:ascii="Arial"/>
                <w:sz w:val="18"/>
              </w:rPr>
              <w:t>the</w:t>
            </w:r>
            <w:r w:rsidRPr="00EB2BD8">
              <w:rPr>
                <w:rFonts w:ascii="Arial"/>
                <w:spacing w:val="-2"/>
                <w:sz w:val="18"/>
              </w:rPr>
              <w:t xml:space="preserve"> </w:t>
            </w:r>
            <w:r w:rsidRPr="00EB2BD8">
              <w:rPr>
                <w:rFonts w:ascii="Arial"/>
                <w:spacing w:val="-4"/>
                <w:sz w:val="18"/>
              </w:rPr>
              <w:t>year</w:t>
            </w:r>
          </w:p>
          <w:p w14:paraId="2568931C" w14:textId="77777777" w:rsidR="00084F36" w:rsidRPr="00EB2BD8" w:rsidRDefault="00EB2BD8">
            <w:pPr>
              <w:pStyle w:val="TableParagraph"/>
              <w:spacing w:before="127"/>
              <w:ind w:left="112"/>
              <w:rPr>
                <w:rFonts w:ascii="Arial"/>
                <w:sz w:val="18"/>
              </w:rPr>
            </w:pPr>
            <w:r w:rsidRPr="00EB2BD8">
              <w:rPr>
                <w:rFonts w:ascii="Arial"/>
                <w:sz w:val="18"/>
              </w:rPr>
              <w:t>Net</w:t>
            </w:r>
            <w:r w:rsidRPr="00EB2BD8">
              <w:rPr>
                <w:rFonts w:ascii="Arial"/>
                <w:spacing w:val="-8"/>
                <w:sz w:val="18"/>
              </w:rPr>
              <w:t xml:space="preserve"> </w:t>
            </w:r>
            <w:r w:rsidRPr="00EB2BD8">
              <w:rPr>
                <w:rFonts w:ascii="Arial"/>
                <w:sz w:val="18"/>
              </w:rPr>
              <w:t>increase/(decrease)</w:t>
            </w:r>
            <w:r w:rsidRPr="00EB2BD8">
              <w:rPr>
                <w:rFonts w:ascii="Arial"/>
                <w:spacing w:val="-8"/>
                <w:sz w:val="18"/>
              </w:rPr>
              <w:t xml:space="preserve"> </w:t>
            </w:r>
            <w:r w:rsidRPr="00EB2BD8">
              <w:rPr>
                <w:rFonts w:ascii="Arial"/>
                <w:sz w:val="18"/>
              </w:rPr>
              <w:t>as</w:t>
            </w:r>
            <w:r w:rsidRPr="00EB2BD8">
              <w:rPr>
                <w:rFonts w:ascii="Arial"/>
                <w:spacing w:val="-8"/>
                <w:sz w:val="18"/>
              </w:rPr>
              <w:t xml:space="preserve"> </w:t>
            </w:r>
            <w:r w:rsidRPr="00EB2BD8">
              <w:rPr>
                <w:rFonts w:ascii="Arial"/>
                <w:sz w:val="18"/>
              </w:rPr>
              <w:t>a</w:t>
            </w:r>
            <w:r w:rsidRPr="00EB2BD8">
              <w:rPr>
                <w:rFonts w:ascii="Arial"/>
                <w:spacing w:val="-9"/>
                <w:sz w:val="18"/>
              </w:rPr>
              <w:t xml:space="preserve"> </w:t>
            </w:r>
            <w:r w:rsidRPr="00EB2BD8">
              <w:rPr>
                <w:rFonts w:ascii="Arial"/>
                <w:sz w:val="18"/>
              </w:rPr>
              <w:t>result</w:t>
            </w:r>
            <w:r w:rsidRPr="00EB2BD8">
              <w:rPr>
                <w:rFonts w:ascii="Arial"/>
                <w:spacing w:val="-8"/>
                <w:sz w:val="18"/>
              </w:rPr>
              <w:t xml:space="preserve"> </w:t>
            </w:r>
            <w:r w:rsidRPr="00EB2BD8">
              <w:rPr>
                <w:rFonts w:ascii="Arial"/>
                <w:sz w:val="18"/>
              </w:rPr>
              <w:t xml:space="preserve">of </w:t>
            </w:r>
            <w:r w:rsidRPr="00EB2BD8">
              <w:rPr>
                <w:rFonts w:ascii="Arial"/>
                <w:spacing w:val="-2"/>
                <w:sz w:val="18"/>
              </w:rPr>
              <w:t>revaluation</w:t>
            </w:r>
          </w:p>
        </w:tc>
        <w:tc>
          <w:tcPr>
            <w:tcW w:w="827" w:type="dxa"/>
            <w:vMerge w:val="restart"/>
            <w:tcBorders>
              <w:top w:val="single" w:sz="12" w:space="0" w:color="000000"/>
              <w:bottom w:val="single" w:sz="12" w:space="0" w:color="000000"/>
            </w:tcBorders>
            <w:shd w:val="clear" w:color="auto" w:fill="FFFFFF"/>
          </w:tcPr>
          <w:p w14:paraId="37E0617A" w14:textId="77777777" w:rsidR="00084F36" w:rsidRPr="00EB2BD8" w:rsidRDefault="00084F36">
            <w:pPr>
              <w:pStyle w:val="TableParagraph"/>
              <w:rPr>
                <w:rFonts w:ascii="Arial"/>
                <w:sz w:val="20"/>
              </w:rPr>
            </w:pPr>
          </w:p>
          <w:p w14:paraId="36086A06" w14:textId="77777777" w:rsidR="00084F36" w:rsidRPr="00EB2BD8" w:rsidRDefault="00084F36">
            <w:pPr>
              <w:pStyle w:val="TableParagraph"/>
              <w:spacing w:before="6"/>
              <w:rPr>
                <w:rFonts w:ascii="Arial"/>
                <w:sz w:val="23"/>
              </w:rPr>
            </w:pPr>
          </w:p>
          <w:p w14:paraId="7BD846D0" w14:textId="77777777" w:rsidR="00084F36" w:rsidRPr="00EB2BD8" w:rsidRDefault="00EB2BD8">
            <w:pPr>
              <w:pStyle w:val="TableParagraph"/>
              <w:ind w:left="294"/>
              <w:rPr>
                <w:rFonts w:ascii="Arial"/>
                <w:sz w:val="18"/>
              </w:rPr>
            </w:pPr>
            <w:r w:rsidRPr="00EB2BD8">
              <w:rPr>
                <w:rFonts w:ascii="Arial"/>
                <w:spacing w:val="-4"/>
                <w:sz w:val="18"/>
              </w:rPr>
              <w:t>8.10</w:t>
            </w:r>
          </w:p>
          <w:p w14:paraId="33218336" w14:textId="77777777" w:rsidR="00084F36" w:rsidRPr="00EB2BD8" w:rsidRDefault="00084F36">
            <w:pPr>
              <w:pStyle w:val="TableParagraph"/>
              <w:rPr>
                <w:rFonts w:ascii="Arial"/>
                <w:sz w:val="20"/>
              </w:rPr>
            </w:pPr>
          </w:p>
          <w:p w14:paraId="27B38CF4" w14:textId="77777777" w:rsidR="00084F36" w:rsidRPr="00EB2BD8" w:rsidRDefault="00084F36">
            <w:pPr>
              <w:pStyle w:val="TableParagraph"/>
              <w:rPr>
                <w:rFonts w:ascii="Arial"/>
                <w:sz w:val="20"/>
              </w:rPr>
            </w:pPr>
          </w:p>
          <w:p w14:paraId="2E333A6B" w14:textId="77777777" w:rsidR="00084F36" w:rsidRPr="00EB2BD8" w:rsidRDefault="00084F36">
            <w:pPr>
              <w:pStyle w:val="TableParagraph"/>
              <w:spacing w:before="11"/>
              <w:rPr>
                <w:rFonts w:ascii="Arial"/>
                <w:sz w:val="17"/>
              </w:rPr>
            </w:pPr>
          </w:p>
          <w:p w14:paraId="7E54E32C" w14:textId="77777777" w:rsidR="00084F36" w:rsidRPr="00EB2BD8" w:rsidRDefault="00EB2BD8">
            <w:pPr>
              <w:pStyle w:val="TableParagraph"/>
              <w:ind w:left="393"/>
              <w:rPr>
                <w:rFonts w:ascii="Arial"/>
                <w:sz w:val="18"/>
              </w:rPr>
            </w:pPr>
            <w:r w:rsidRPr="00EB2BD8">
              <w:rPr>
                <w:rFonts w:ascii="Arial"/>
                <w:spacing w:val="-5"/>
                <w:sz w:val="18"/>
              </w:rPr>
              <w:t>8.2</w:t>
            </w:r>
          </w:p>
        </w:tc>
        <w:tc>
          <w:tcPr>
            <w:tcW w:w="1294" w:type="dxa"/>
            <w:vMerge w:val="restart"/>
            <w:tcBorders>
              <w:top w:val="single" w:sz="12" w:space="0" w:color="000000"/>
              <w:bottom w:val="single" w:sz="12" w:space="0" w:color="000000"/>
            </w:tcBorders>
            <w:shd w:val="clear" w:color="auto" w:fill="FFFFFF"/>
          </w:tcPr>
          <w:p w14:paraId="199C1A0E" w14:textId="77777777" w:rsidR="00084F36" w:rsidRPr="00EB2BD8" w:rsidRDefault="00EB2BD8">
            <w:pPr>
              <w:pStyle w:val="TableParagraph"/>
              <w:spacing w:before="78"/>
              <w:ind w:right="137"/>
              <w:jc w:val="right"/>
              <w:rPr>
                <w:rFonts w:ascii="Arial"/>
                <w:b/>
                <w:sz w:val="18"/>
              </w:rPr>
            </w:pPr>
            <w:r w:rsidRPr="00EB2BD8">
              <w:rPr>
                <w:rFonts w:ascii="Arial"/>
                <w:b/>
                <w:spacing w:val="-5"/>
                <w:sz w:val="18"/>
              </w:rPr>
              <w:t>745</w:t>
            </w:r>
          </w:p>
          <w:p w14:paraId="14A0435C" w14:textId="77777777" w:rsidR="00084F36" w:rsidRPr="00EB2BD8" w:rsidRDefault="00084F36">
            <w:pPr>
              <w:pStyle w:val="TableParagraph"/>
              <w:spacing w:before="8"/>
              <w:rPr>
                <w:rFonts w:ascii="Arial"/>
                <w:sz w:val="18"/>
              </w:rPr>
            </w:pPr>
          </w:p>
          <w:p w14:paraId="6344E3B5" w14:textId="77777777" w:rsidR="00084F36" w:rsidRPr="00EB2BD8" w:rsidRDefault="00EB2BD8">
            <w:pPr>
              <w:pStyle w:val="TableParagraph"/>
              <w:spacing w:before="1"/>
              <w:ind w:right="136"/>
              <w:jc w:val="right"/>
              <w:rPr>
                <w:rFonts w:ascii="Arial"/>
                <w:sz w:val="18"/>
              </w:rPr>
            </w:pPr>
            <w:r w:rsidRPr="00EB2BD8">
              <w:rPr>
                <w:rFonts w:ascii="Arial"/>
                <w:sz w:val="18"/>
              </w:rPr>
              <w:t>-</w:t>
            </w:r>
          </w:p>
          <w:p w14:paraId="64E074F0" w14:textId="77777777" w:rsidR="00084F36" w:rsidRPr="00EB2BD8" w:rsidRDefault="00084F36">
            <w:pPr>
              <w:pStyle w:val="TableParagraph"/>
              <w:spacing w:before="11"/>
              <w:rPr>
                <w:rFonts w:ascii="Arial"/>
                <w:sz w:val="19"/>
              </w:rPr>
            </w:pPr>
          </w:p>
          <w:p w14:paraId="11F30165" w14:textId="77777777" w:rsidR="00084F36" w:rsidRPr="00EB2BD8" w:rsidRDefault="00EB2BD8">
            <w:pPr>
              <w:pStyle w:val="TableParagraph"/>
              <w:ind w:right="136"/>
              <w:jc w:val="right"/>
              <w:rPr>
                <w:rFonts w:ascii="Arial"/>
                <w:sz w:val="18"/>
              </w:rPr>
            </w:pPr>
            <w:r w:rsidRPr="00EB2BD8">
              <w:rPr>
                <w:rFonts w:ascii="Arial"/>
                <w:sz w:val="18"/>
              </w:rPr>
              <w:t>-</w:t>
            </w:r>
          </w:p>
          <w:p w14:paraId="328929E1" w14:textId="77777777" w:rsidR="00084F36" w:rsidRPr="00EB2BD8" w:rsidRDefault="00084F36">
            <w:pPr>
              <w:pStyle w:val="TableParagraph"/>
              <w:spacing w:before="11"/>
              <w:rPr>
                <w:rFonts w:ascii="Arial"/>
                <w:sz w:val="19"/>
              </w:rPr>
            </w:pPr>
          </w:p>
          <w:p w14:paraId="53185A54" w14:textId="77777777" w:rsidR="00084F36" w:rsidRPr="00EB2BD8" w:rsidRDefault="00EB2BD8">
            <w:pPr>
              <w:pStyle w:val="TableParagraph"/>
              <w:ind w:right="136"/>
              <w:jc w:val="right"/>
              <w:rPr>
                <w:rFonts w:ascii="Arial"/>
                <w:sz w:val="18"/>
              </w:rPr>
            </w:pPr>
            <w:r w:rsidRPr="00EB2BD8">
              <w:rPr>
                <w:rFonts w:ascii="Arial"/>
                <w:sz w:val="18"/>
              </w:rPr>
              <w:t>-</w:t>
            </w:r>
          </w:p>
        </w:tc>
        <w:tc>
          <w:tcPr>
            <w:tcW w:w="1400" w:type="dxa"/>
            <w:vMerge w:val="restart"/>
            <w:tcBorders>
              <w:top w:val="single" w:sz="12" w:space="0" w:color="000000"/>
              <w:bottom w:val="single" w:sz="12" w:space="0" w:color="000000"/>
            </w:tcBorders>
            <w:shd w:val="clear" w:color="auto" w:fill="FFFFFF"/>
          </w:tcPr>
          <w:p w14:paraId="684E2E31" w14:textId="77777777" w:rsidR="00084F36" w:rsidRPr="00EB2BD8" w:rsidRDefault="00EB2BD8">
            <w:pPr>
              <w:pStyle w:val="TableParagraph"/>
              <w:spacing w:before="78"/>
              <w:ind w:right="118"/>
              <w:jc w:val="right"/>
              <w:rPr>
                <w:rFonts w:ascii="Arial"/>
                <w:b/>
                <w:sz w:val="18"/>
              </w:rPr>
            </w:pPr>
            <w:r w:rsidRPr="00EB2BD8">
              <w:rPr>
                <w:rFonts w:ascii="Arial"/>
                <w:b/>
                <w:spacing w:val="-2"/>
                <w:sz w:val="18"/>
              </w:rPr>
              <w:t>18,318</w:t>
            </w:r>
          </w:p>
          <w:p w14:paraId="1A4EFA4D" w14:textId="77777777" w:rsidR="00084F36" w:rsidRPr="00EB2BD8" w:rsidRDefault="00084F36">
            <w:pPr>
              <w:pStyle w:val="TableParagraph"/>
              <w:spacing w:before="8"/>
              <w:rPr>
                <w:rFonts w:ascii="Arial"/>
                <w:sz w:val="18"/>
              </w:rPr>
            </w:pPr>
          </w:p>
          <w:p w14:paraId="62E5100C" w14:textId="77777777" w:rsidR="00084F36" w:rsidRPr="00EB2BD8" w:rsidRDefault="00EB2BD8">
            <w:pPr>
              <w:pStyle w:val="TableParagraph"/>
              <w:spacing w:before="1" w:line="506" w:lineRule="auto"/>
              <w:ind w:left="829" w:right="110" w:firstLine="389"/>
              <w:rPr>
                <w:rFonts w:ascii="Arial"/>
                <w:sz w:val="18"/>
              </w:rPr>
            </w:pPr>
            <w:r w:rsidRPr="00EB2BD8">
              <w:rPr>
                <w:rFonts w:ascii="Arial"/>
                <w:spacing w:val="-10"/>
                <w:sz w:val="18"/>
              </w:rPr>
              <w:t>-</w:t>
            </w:r>
            <w:r w:rsidRPr="00EB2BD8">
              <w:rPr>
                <w:rFonts w:ascii="Arial"/>
                <w:spacing w:val="-2"/>
                <w:sz w:val="18"/>
              </w:rPr>
              <w:t xml:space="preserve"> 8,894</w:t>
            </w:r>
          </w:p>
          <w:p w14:paraId="08A57F6B" w14:textId="77777777" w:rsidR="00084F36" w:rsidRPr="00EB2BD8" w:rsidRDefault="00EB2BD8">
            <w:pPr>
              <w:pStyle w:val="TableParagraph"/>
              <w:ind w:right="118"/>
              <w:jc w:val="right"/>
              <w:rPr>
                <w:rFonts w:ascii="Arial"/>
                <w:sz w:val="18"/>
              </w:rPr>
            </w:pPr>
            <w:r w:rsidRPr="00EB2BD8">
              <w:rPr>
                <w:rFonts w:ascii="Arial"/>
                <w:sz w:val="18"/>
              </w:rPr>
              <w:t>-</w:t>
            </w:r>
          </w:p>
        </w:tc>
        <w:tc>
          <w:tcPr>
            <w:tcW w:w="1255" w:type="dxa"/>
            <w:vMerge w:val="restart"/>
            <w:tcBorders>
              <w:top w:val="single" w:sz="12" w:space="0" w:color="000000"/>
              <w:bottom w:val="single" w:sz="12" w:space="0" w:color="000000"/>
            </w:tcBorders>
            <w:shd w:val="clear" w:color="auto" w:fill="FFFFFF"/>
          </w:tcPr>
          <w:p w14:paraId="5015E44B" w14:textId="77777777" w:rsidR="00084F36" w:rsidRPr="00EB2BD8" w:rsidRDefault="00EB2BD8">
            <w:pPr>
              <w:pStyle w:val="TableParagraph"/>
              <w:spacing w:before="78" w:line="489" w:lineRule="auto"/>
              <w:ind w:left="703" w:right="91" w:firstLine="391"/>
              <w:rPr>
                <w:rFonts w:ascii="Arial"/>
                <w:sz w:val="18"/>
              </w:rPr>
            </w:pPr>
            <w:r w:rsidRPr="00EB2BD8">
              <w:rPr>
                <w:rFonts w:ascii="Arial"/>
                <w:spacing w:val="-10"/>
                <w:sz w:val="18"/>
              </w:rPr>
              <w:t>-</w:t>
            </w:r>
            <w:r w:rsidRPr="00EB2BD8">
              <w:rPr>
                <w:rFonts w:ascii="Arial"/>
                <w:spacing w:val="-2"/>
                <w:sz w:val="18"/>
              </w:rPr>
              <w:t xml:space="preserve"> 2,182</w:t>
            </w:r>
          </w:p>
          <w:p w14:paraId="72E3E277" w14:textId="77777777" w:rsidR="00084F36" w:rsidRPr="00EB2BD8" w:rsidRDefault="00EB2BD8">
            <w:pPr>
              <w:pStyle w:val="TableParagraph"/>
              <w:spacing w:before="15"/>
              <w:ind w:left="1093"/>
              <w:rPr>
                <w:rFonts w:ascii="Arial"/>
                <w:b/>
                <w:sz w:val="18"/>
              </w:rPr>
            </w:pPr>
            <w:r w:rsidRPr="00EB2BD8">
              <w:rPr>
                <w:rFonts w:ascii="Arial"/>
                <w:b/>
                <w:sz w:val="18"/>
              </w:rPr>
              <w:t>-</w:t>
            </w:r>
          </w:p>
          <w:p w14:paraId="2B73EB8A" w14:textId="77777777" w:rsidR="00084F36" w:rsidRPr="00EB2BD8" w:rsidRDefault="00084F36">
            <w:pPr>
              <w:pStyle w:val="TableParagraph"/>
              <w:spacing w:before="2"/>
              <w:rPr>
                <w:rFonts w:ascii="Arial"/>
                <w:sz w:val="25"/>
              </w:rPr>
            </w:pPr>
          </w:p>
          <w:p w14:paraId="191FCDCC" w14:textId="77777777" w:rsidR="00084F36" w:rsidRPr="00EB2BD8" w:rsidRDefault="00EB2BD8">
            <w:pPr>
              <w:pStyle w:val="TableParagraph"/>
              <w:ind w:left="1092"/>
              <w:rPr>
                <w:rFonts w:ascii="Arial"/>
                <w:b/>
                <w:sz w:val="18"/>
              </w:rPr>
            </w:pPr>
            <w:r w:rsidRPr="00EB2BD8">
              <w:rPr>
                <w:rFonts w:ascii="Arial"/>
                <w:b/>
                <w:sz w:val="18"/>
              </w:rPr>
              <w:t>-</w:t>
            </w:r>
          </w:p>
        </w:tc>
        <w:tc>
          <w:tcPr>
            <w:tcW w:w="1275" w:type="dxa"/>
            <w:tcBorders>
              <w:top w:val="single" w:sz="12" w:space="0" w:color="000000"/>
            </w:tcBorders>
            <w:shd w:val="clear" w:color="auto" w:fill="DEEAF6"/>
          </w:tcPr>
          <w:p w14:paraId="7426DB94" w14:textId="77777777" w:rsidR="00084F36" w:rsidRPr="00EB2BD8" w:rsidRDefault="00EB2BD8">
            <w:pPr>
              <w:pStyle w:val="TableParagraph"/>
              <w:spacing w:before="78"/>
              <w:ind w:right="98"/>
              <w:jc w:val="right"/>
              <w:rPr>
                <w:rFonts w:ascii="Arial"/>
                <w:b/>
                <w:sz w:val="18"/>
              </w:rPr>
            </w:pPr>
            <w:r w:rsidRPr="00EB2BD8">
              <w:rPr>
                <w:rFonts w:ascii="Arial"/>
                <w:b/>
                <w:spacing w:val="-2"/>
                <w:sz w:val="18"/>
              </w:rPr>
              <w:t>19,063</w:t>
            </w:r>
          </w:p>
        </w:tc>
      </w:tr>
      <w:tr w:rsidR="00EB2BD8" w:rsidRPr="00EB2BD8" w14:paraId="6A33649E" w14:textId="77777777">
        <w:trPr>
          <w:trHeight w:val="399"/>
        </w:trPr>
        <w:tc>
          <w:tcPr>
            <w:tcW w:w="3727" w:type="dxa"/>
            <w:vMerge/>
            <w:tcBorders>
              <w:top w:val="nil"/>
              <w:bottom w:val="single" w:sz="12" w:space="0" w:color="000000"/>
            </w:tcBorders>
            <w:shd w:val="clear" w:color="auto" w:fill="FFFFFF"/>
          </w:tcPr>
          <w:p w14:paraId="77510268" w14:textId="77777777" w:rsidR="00084F36" w:rsidRPr="00EB2BD8" w:rsidRDefault="00084F36">
            <w:pPr>
              <w:rPr>
                <w:sz w:val="2"/>
                <w:szCs w:val="2"/>
              </w:rPr>
            </w:pPr>
          </w:p>
        </w:tc>
        <w:tc>
          <w:tcPr>
            <w:tcW w:w="827" w:type="dxa"/>
            <w:vMerge/>
            <w:tcBorders>
              <w:top w:val="nil"/>
              <w:bottom w:val="single" w:sz="12" w:space="0" w:color="000000"/>
            </w:tcBorders>
            <w:shd w:val="clear" w:color="auto" w:fill="FFFFFF"/>
          </w:tcPr>
          <w:p w14:paraId="79D642DE" w14:textId="77777777" w:rsidR="00084F36" w:rsidRPr="00EB2BD8" w:rsidRDefault="00084F36">
            <w:pPr>
              <w:rPr>
                <w:sz w:val="2"/>
                <w:szCs w:val="2"/>
              </w:rPr>
            </w:pPr>
          </w:p>
        </w:tc>
        <w:tc>
          <w:tcPr>
            <w:tcW w:w="1294" w:type="dxa"/>
            <w:vMerge/>
            <w:tcBorders>
              <w:top w:val="nil"/>
              <w:bottom w:val="single" w:sz="12" w:space="0" w:color="000000"/>
            </w:tcBorders>
            <w:shd w:val="clear" w:color="auto" w:fill="FFFFFF"/>
          </w:tcPr>
          <w:p w14:paraId="2BD03EDA" w14:textId="77777777" w:rsidR="00084F36" w:rsidRPr="00EB2BD8" w:rsidRDefault="00084F36">
            <w:pPr>
              <w:rPr>
                <w:sz w:val="2"/>
                <w:szCs w:val="2"/>
              </w:rPr>
            </w:pPr>
          </w:p>
        </w:tc>
        <w:tc>
          <w:tcPr>
            <w:tcW w:w="1400" w:type="dxa"/>
            <w:vMerge/>
            <w:tcBorders>
              <w:top w:val="nil"/>
              <w:bottom w:val="single" w:sz="12" w:space="0" w:color="000000"/>
            </w:tcBorders>
            <w:shd w:val="clear" w:color="auto" w:fill="FFFFFF"/>
          </w:tcPr>
          <w:p w14:paraId="6F0802F1" w14:textId="77777777" w:rsidR="00084F36" w:rsidRPr="00EB2BD8" w:rsidRDefault="00084F36">
            <w:pPr>
              <w:rPr>
                <w:sz w:val="2"/>
                <w:szCs w:val="2"/>
              </w:rPr>
            </w:pPr>
          </w:p>
        </w:tc>
        <w:tc>
          <w:tcPr>
            <w:tcW w:w="1255" w:type="dxa"/>
            <w:vMerge/>
            <w:tcBorders>
              <w:top w:val="nil"/>
              <w:bottom w:val="single" w:sz="12" w:space="0" w:color="000000"/>
            </w:tcBorders>
            <w:shd w:val="clear" w:color="auto" w:fill="FFFFFF"/>
          </w:tcPr>
          <w:p w14:paraId="2165B7E9" w14:textId="77777777" w:rsidR="00084F36" w:rsidRPr="00EB2BD8" w:rsidRDefault="00084F36">
            <w:pPr>
              <w:rPr>
                <w:sz w:val="2"/>
                <w:szCs w:val="2"/>
              </w:rPr>
            </w:pPr>
          </w:p>
        </w:tc>
        <w:tc>
          <w:tcPr>
            <w:tcW w:w="1275" w:type="dxa"/>
            <w:shd w:val="clear" w:color="auto" w:fill="DEEAF6"/>
          </w:tcPr>
          <w:p w14:paraId="564D2FE6" w14:textId="77777777" w:rsidR="00084F36" w:rsidRPr="00EB2BD8" w:rsidRDefault="00EB2BD8">
            <w:pPr>
              <w:pStyle w:val="TableParagraph"/>
              <w:spacing w:before="89"/>
              <w:ind w:right="99"/>
              <w:jc w:val="right"/>
              <w:rPr>
                <w:rFonts w:ascii="Arial"/>
                <w:b/>
                <w:sz w:val="18"/>
              </w:rPr>
            </w:pPr>
            <w:r w:rsidRPr="00EB2BD8">
              <w:rPr>
                <w:rFonts w:ascii="Arial"/>
                <w:b/>
                <w:spacing w:val="-2"/>
                <w:sz w:val="18"/>
              </w:rPr>
              <w:t>2,182</w:t>
            </w:r>
          </w:p>
        </w:tc>
      </w:tr>
      <w:tr w:rsidR="00EB2BD8" w:rsidRPr="00EB2BD8" w14:paraId="2CD19B76" w14:textId="77777777">
        <w:trPr>
          <w:trHeight w:val="406"/>
        </w:trPr>
        <w:tc>
          <w:tcPr>
            <w:tcW w:w="3727" w:type="dxa"/>
            <w:vMerge/>
            <w:tcBorders>
              <w:top w:val="nil"/>
              <w:bottom w:val="single" w:sz="12" w:space="0" w:color="000000"/>
            </w:tcBorders>
            <w:shd w:val="clear" w:color="auto" w:fill="FFFFFF"/>
          </w:tcPr>
          <w:p w14:paraId="50A7E7F9" w14:textId="77777777" w:rsidR="00084F36" w:rsidRPr="00EB2BD8" w:rsidRDefault="00084F36">
            <w:pPr>
              <w:rPr>
                <w:sz w:val="2"/>
                <w:szCs w:val="2"/>
              </w:rPr>
            </w:pPr>
          </w:p>
        </w:tc>
        <w:tc>
          <w:tcPr>
            <w:tcW w:w="827" w:type="dxa"/>
            <w:vMerge/>
            <w:tcBorders>
              <w:top w:val="nil"/>
              <w:bottom w:val="single" w:sz="12" w:space="0" w:color="000000"/>
            </w:tcBorders>
            <w:shd w:val="clear" w:color="auto" w:fill="FFFFFF"/>
          </w:tcPr>
          <w:p w14:paraId="547B2ED8" w14:textId="77777777" w:rsidR="00084F36" w:rsidRPr="00EB2BD8" w:rsidRDefault="00084F36">
            <w:pPr>
              <w:rPr>
                <w:sz w:val="2"/>
                <w:szCs w:val="2"/>
              </w:rPr>
            </w:pPr>
          </w:p>
        </w:tc>
        <w:tc>
          <w:tcPr>
            <w:tcW w:w="1294" w:type="dxa"/>
            <w:vMerge/>
            <w:tcBorders>
              <w:top w:val="nil"/>
              <w:bottom w:val="single" w:sz="12" w:space="0" w:color="000000"/>
            </w:tcBorders>
            <w:shd w:val="clear" w:color="auto" w:fill="FFFFFF"/>
          </w:tcPr>
          <w:p w14:paraId="14C10A2F" w14:textId="77777777" w:rsidR="00084F36" w:rsidRPr="00EB2BD8" w:rsidRDefault="00084F36">
            <w:pPr>
              <w:rPr>
                <w:sz w:val="2"/>
                <w:szCs w:val="2"/>
              </w:rPr>
            </w:pPr>
          </w:p>
        </w:tc>
        <w:tc>
          <w:tcPr>
            <w:tcW w:w="1400" w:type="dxa"/>
            <w:vMerge/>
            <w:tcBorders>
              <w:top w:val="nil"/>
              <w:bottom w:val="single" w:sz="12" w:space="0" w:color="000000"/>
            </w:tcBorders>
            <w:shd w:val="clear" w:color="auto" w:fill="FFFFFF"/>
          </w:tcPr>
          <w:p w14:paraId="4CB06E43" w14:textId="77777777" w:rsidR="00084F36" w:rsidRPr="00EB2BD8" w:rsidRDefault="00084F36">
            <w:pPr>
              <w:rPr>
                <w:sz w:val="2"/>
                <w:szCs w:val="2"/>
              </w:rPr>
            </w:pPr>
          </w:p>
        </w:tc>
        <w:tc>
          <w:tcPr>
            <w:tcW w:w="1255" w:type="dxa"/>
            <w:vMerge/>
            <w:tcBorders>
              <w:top w:val="nil"/>
              <w:bottom w:val="single" w:sz="12" w:space="0" w:color="000000"/>
            </w:tcBorders>
            <w:shd w:val="clear" w:color="auto" w:fill="FFFFFF"/>
          </w:tcPr>
          <w:p w14:paraId="2782DB3B" w14:textId="77777777" w:rsidR="00084F36" w:rsidRPr="00EB2BD8" w:rsidRDefault="00084F36">
            <w:pPr>
              <w:rPr>
                <w:sz w:val="2"/>
                <w:szCs w:val="2"/>
              </w:rPr>
            </w:pPr>
          </w:p>
        </w:tc>
        <w:tc>
          <w:tcPr>
            <w:tcW w:w="1275" w:type="dxa"/>
            <w:shd w:val="clear" w:color="auto" w:fill="DEEAF6"/>
          </w:tcPr>
          <w:p w14:paraId="62212692" w14:textId="77777777" w:rsidR="00084F36" w:rsidRPr="00EB2BD8" w:rsidRDefault="00EB2BD8">
            <w:pPr>
              <w:pStyle w:val="TableParagraph"/>
              <w:spacing w:before="97"/>
              <w:ind w:right="98"/>
              <w:jc w:val="right"/>
              <w:rPr>
                <w:rFonts w:ascii="Arial"/>
                <w:b/>
                <w:sz w:val="18"/>
              </w:rPr>
            </w:pPr>
            <w:r w:rsidRPr="00EB2BD8">
              <w:rPr>
                <w:rFonts w:ascii="Arial"/>
                <w:b/>
                <w:spacing w:val="-2"/>
                <w:sz w:val="18"/>
              </w:rPr>
              <w:t>8,894</w:t>
            </w:r>
          </w:p>
        </w:tc>
      </w:tr>
      <w:tr w:rsidR="00EB2BD8" w:rsidRPr="00EB2BD8" w14:paraId="55080925" w14:textId="77777777">
        <w:trPr>
          <w:trHeight w:val="439"/>
        </w:trPr>
        <w:tc>
          <w:tcPr>
            <w:tcW w:w="3727" w:type="dxa"/>
            <w:vMerge/>
            <w:tcBorders>
              <w:top w:val="nil"/>
              <w:bottom w:val="single" w:sz="12" w:space="0" w:color="000000"/>
            </w:tcBorders>
            <w:shd w:val="clear" w:color="auto" w:fill="FFFFFF"/>
          </w:tcPr>
          <w:p w14:paraId="0045D157" w14:textId="77777777" w:rsidR="00084F36" w:rsidRPr="00EB2BD8" w:rsidRDefault="00084F36">
            <w:pPr>
              <w:rPr>
                <w:sz w:val="2"/>
                <w:szCs w:val="2"/>
              </w:rPr>
            </w:pPr>
          </w:p>
        </w:tc>
        <w:tc>
          <w:tcPr>
            <w:tcW w:w="827" w:type="dxa"/>
            <w:vMerge/>
            <w:tcBorders>
              <w:top w:val="nil"/>
              <w:bottom w:val="single" w:sz="12" w:space="0" w:color="000000"/>
            </w:tcBorders>
            <w:shd w:val="clear" w:color="auto" w:fill="FFFFFF"/>
          </w:tcPr>
          <w:p w14:paraId="117CB76C" w14:textId="77777777" w:rsidR="00084F36" w:rsidRPr="00EB2BD8" w:rsidRDefault="00084F36">
            <w:pPr>
              <w:rPr>
                <w:sz w:val="2"/>
                <w:szCs w:val="2"/>
              </w:rPr>
            </w:pPr>
          </w:p>
        </w:tc>
        <w:tc>
          <w:tcPr>
            <w:tcW w:w="1294" w:type="dxa"/>
            <w:vMerge/>
            <w:tcBorders>
              <w:top w:val="nil"/>
              <w:bottom w:val="single" w:sz="12" w:space="0" w:color="000000"/>
            </w:tcBorders>
            <w:shd w:val="clear" w:color="auto" w:fill="FFFFFF"/>
          </w:tcPr>
          <w:p w14:paraId="78956247" w14:textId="77777777" w:rsidR="00084F36" w:rsidRPr="00EB2BD8" w:rsidRDefault="00084F36">
            <w:pPr>
              <w:rPr>
                <w:sz w:val="2"/>
                <w:szCs w:val="2"/>
              </w:rPr>
            </w:pPr>
          </w:p>
        </w:tc>
        <w:tc>
          <w:tcPr>
            <w:tcW w:w="1400" w:type="dxa"/>
            <w:vMerge/>
            <w:tcBorders>
              <w:top w:val="nil"/>
              <w:bottom w:val="single" w:sz="12" w:space="0" w:color="000000"/>
            </w:tcBorders>
            <w:shd w:val="clear" w:color="auto" w:fill="FFFFFF"/>
          </w:tcPr>
          <w:p w14:paraId="15E84745" w14:textId="77777777" w:rsidR="00084F36" w:rsidRPr="00EB2BD8" w:rsidRDefault="00084F36">
            <w:pPr>
              <w:rPr>
                <w:sz w:val="2"/>
                <w:szCs w:val="2"/>
              </w:rPr>
            </w:pPr>
          </w:p>
        </w:tc>
        <w:tc>
          <w:tcPr>
            <w:tcW w:w="1255" w:type="dxa"/>
            <w:vMerge/>
            <w:tcBorders>
              <w:top w:val="nil"/>
              <w:bottom w:val="single" w:sz="12" w:space="0" w:color="000000"/>
            </w:tcBorders>
            <w:shd w:val="clear" w:color="auto" w:fill="FFFFFF"/>
          </w:tcPr>
          <w:p w14:paraId="0B02E954" w14:textId="77777777" w:rsidR="00084F36" w:rsidRPr="00EB2BD8" w:rsidRDefault="00084F36">
            <w:pPr>
              <w:rPr>
                <w:sz w:val="2"/>
                <w:szCs w:val="2"/>
              </w:rPr>
            </w:pPr>
          </w:p>
        </w:tc>
        <w:tc>
          <w:tcPr>
            <w:tcW w:w="1275" w:type="dxa"/>
            <w:tcBorders>
              <w:bottom w:val="single" w:sz="12" w:space="0" w:color="000000"/>
            </w:tcBorders>
            <w:shd w:val="clear" w:color="auto" w:fill="DEEAF6"/>
          </w:tcPr>
          <w:p w14:paraId="09BDE508" w14:textId="77777777" w:rsidR="00084F36" w:rsidRPr="00EB2BD8" w:rsidRDefault="00EB2BD8">
            <w:pPr>
              <w:pStyle w:val="TableParagraph"/>
              <w:spacing w:before="97"/>
              <w:ind w:right="98"/>
              <w:jc w:val="right"/>
              <w:rPr>
                <w:rFonts w:ascii="Arial"/>
                <w:b/>
                <w:sz w:val="18"/>
              </w:rPr>
            </w:pPr>
            <w:r w:rsidRPr="00EB2BD8">
              <w:rPr>
                <w:rFonts w:ascii="Arial"/>
                <w:b/>
                <w:sz w:val="18"/>
              </w:rPr>
              <w:t>-</w:t>
            </w:r>
          </w:p>
        </w:tc>
      </w:tr>
      <w:tr w:rsidR="00EB2BD8" w:rsidRPr="00EB2BD8" w14:paraId="002EFF0F" w14:textId="77777777">
        <w:trPr>
          <w:trHeight w:val="367"/>
        </w:trPr>
        <w:tc>
          <w:tcPr>
            <w:tcW w:w="3727" w:type="dxa"/>
            <w:tcBorders>
              <w:top w:val="single" w:sz="12" w:space="0" w:color="000000"/>
              <w:bottom w:val="single" w:sz="12" w:space="0" w:color="000000"/>
            </w:tcBorders>
            <w:shd w:val="clear" w:color="auto" w:fill="FFFFFF"/>
          </w:tcPr>
          <w:p w14:paraId="3053B4D9" w14:textId="77777777" w:rsidR="00084F36" w:rsidRPr="00EB2BD8" w:rsidRDefault="00EB2BD8">
            <w:pPr>
              <w:pStyle w:val="TableParagraph"/>
              <w:spacing w:before="79"/>
              <w:ind w:left="112"/>
              <w:rPr>
                <w:rFonts w:ascii="Arial"/>
                <w:b/>
                <w:sz w:val="18"/>
              </w:rPr>
            </w:pPr>
            <w:r w:rsidRPr="00EB2BD8">
              <w:rPr>
                <w:rFonts w:ascii="Arial"/>
                <w:b/>
                <w:sz w:val="18"/>
              </w:rPr>
              <w:t>Balance</w:t>
            </w:r>
            <w:r w:rsidRPr="00EB2BD8">
              <w:rPr>
                <w:rFonts w:ascii="Arial"/>
                <w:b/>
                <w:spacing w:val="-3"/>
                <w:sz w:val="18"/>
              </w:rPr>
              <w:t xml:space="preserve"> </w:t>
            </w:r>
            <w:r w:rsidRPr="00EB2BD8">
              <w:rPr>
                <w:rFonts w:ascii="Arial"/>
                <w:b/>
                <w:sz w:val="18"/>
              </w:rPr>
              <w:t>at</w:t>
            </w:r>
            <w:r w:rsidRPr="00EB2BD8">
              <w:rPr>
                <w:rFonts w:ascii="Arial"/>
                <w:b/>
                <w:spacing w:val="-1"/>
                <w:sz w:val="18"/>
              </w:rPr>
              <w:t xml:space="preserve"> </w:t>
            </w:r>
            <w:r w:rsidRPr="00EB2BD8">
              <w:rPr>
                <w:rFonts w:ascii="Arial"/>
                <w:b/>
                <w:sz w:val="18"/>
              </w:rPr>
              <w:t>30</w:t>
            </w:r>
            <w:r w:rsidRPr="00EB2BD8">
              <w:rPr>
                <w:rFonts w:ascii="Arial"/>
                <w:b/>
                <w:spacing w:val="-1"/>
                <w:sz w:val="18"/>
              </w:rPr>
              <w:t xml:space="preserve"> </w:t>
            </w:r>
            <w:r w:rsidRPr="00EB2BD8">
              <w:rPr>
                <w:rFonts w:ascii="Arial"/>
                <w:b/>
                <w:sz w:val="18"/>
              </w:rPr>
              <w:t>June</w:t>
            </w:r>
            <w:r w:rsidRPr="00EB2BD8">
              <w:rPr>
                <w:rFonts w:ascii="Arial"/>
                <w:b/>
                <w:spacing w:val="-2"/>
                <w:sz w:val="18"/>
              </w:rPr>
              <w:t xml:space="preserve"> </w:t>
            </w:r>
            <w:r w:rsidRPr="00EB2BD8">
              <w:rPr>
                <w:rFonts w:ascii="Arial"/>
                <w:b/>
                <w:spacing w:val="-4"/>
                <w:sz w:val="18"/>
              </w:rPr>
              <w:t>2023</w:t>
            </w:r>
          </w:p>
        </w:tc>
        <w:tc>
          <w:tcPr>
            <w:tcW w:w="827" w:type="dxa"/>
            <w:tcBorders>
              <w:top w:val="single" w:sz="12" w:space="0" w:color="000000"/>
              <w:bottom w:val="single" w:sz="12" w:space="0" w:color="000000"/>
            </w:tcBorders>
            <w:shd w:val="clear" w:color="auto" w:fill="FFFFFF"/>
          </w:tcPr>
          <w:p w14:paraId="164DAB99" w14:textId="77777777" w:rsidR="00084F36" w:rsidRPr="00EB2BD8" w:rsidRDefault="00084F36">
            <w:pPr>
              <w:pStyle w:val="TableParagraph"/>
              <w:rPr>
                <w:rFonts w:ascii="Times New Roman"/>
                <w:sz w:val="16"/>
              </w:rPr>
            </w:pPr>
          </w:p>
        </w:tc>
        <w:tc>
          <w:tcPr>
            <w:tcW w:w="1294" w:type="dxa"/>
            <w:tcBorders>
              <w:top w:val="single" w:sz="12" w:space="0" w:color="000000"/>
              <w:bottom w:val="single" w:sz="12" w:space="0" w:color="000000"/>
            </w:tcBorders>
            <w:shd w:val="clear" w:color="auto" w:fill="FFFFFF"/>
          </w:tcPr>
          <w:p w14:paraId="3CBCB9FD" w14:textId="77777777" w:rsidR="00084F36" w:rsidRPr="00EB2BD8" w:rsidRDefault="00EB2BD8">
            <w:pPr>
              <w:pStyle w:val="TableParagraph"/>
              <w:spacing w:before="79"/>
              <w:ind w:right="137"/>
              <w:jc w:val="right"/>
              <w:rPr>
                <w:rFonts w:ascii="Arial"/>
                <w:b/>
                <w:sz w:val="18"/>
              </w:rPr>
            </w:pPr>
            <w:r w:rsidRPr="00EB2BD8">
              <w:rPr>
                <w:rFonts w:ascii="Arial"/>
                <w:b/>
                <w:spacing w:val="-5"/>
                <w:sz w:val="18"/>
              </w:rPr>
              <w:t>745</w:t>
            </w:r>
          </w:p>
        </w:tc>
        <w:tc>
          <w:tcPr>
            <w:tcW w:w="1400" w:type="dxa"/>
            <w:tcBorders>
              <w:top w:val="single" w:sz="12" w:space="0" w:color="000000"/>
              <w:bottom w:val="single" w:sz="12" w:space="0" w:color="000000"/>
            </w:tcBorders>
            <w:shd w:val="clear" w:color="auto" w:fill="FFFFFF"/>
          </w:tcPr>
          <w:p w14:paraId="2F37FB99" w14:textId="77777777" w:rsidR="00084F36" w:rsidRPr="00EB2BD8" w:rsidRDefault="00EB2BD8">
            <w:pPr>
              <w:pStyle w:val="TableParagraph"/>
              <w:spacing w:before="79"/>
              <w:ind w:right="118"/>
              <w:jc w:val="right"/>
              <w:rPr>
                <w:rFonts w:ascii="Arial"/>
                <w:b/>
                <w:sz w:val="18"/>
              </w:rPr>
            </w:pPr>
            <w:r w:rsidRPr="00EB2BD8">
              <w:rPr>
                <w:rFonts w:ascii="Arial"/>
                <w:b/>
                <w:spacing w:val="-2"/>
                <w:sz w:val="18"/>
              </w:rPr>
              <w:t>27,212</w:t>
            </w:r>
          </w:p>
        </w:tc>
        <w:tc>
          <w:tcPr>
            <w:tcW w:w="1255" w:type="dxa"/>
            <w:tcBorders>
              <w:top w:val="single" w:sz="12" w:space="0" w:color="000000"/>
              <w:bottom w:val="single" w:sz="12" w:space="0" w:color="000000"/>
            </w:tcBorders>
            <w:shd w:val="clear" w:color="auto" w:fill="FFFFFF"/>
          </w:tcPr>
          <w:p w14:paraId="11BBEA83" w14:textId="77777777" w:rsidR="00084F36" w:rsidRPr="00EB2BD8" w:rsidRDefault="00EB2BD8">
            <w:pPr>
              <w:pStyle w:val="TableParagraph"/>
              <w:spacing w:before="79"/>
              <w:ind w:right="101"/>
              <w:jc w:val="right"/>
              <w:rPr>
                <w:rFonts w:ascii="Arial"/>
                <w:b/>
                <w:sz w:val="18"/>
              </w:rPr>
            </w:pPr>
            <w:r w:rsidRPr="00EB2BD8">
              <w:rPr>
                <w:rFonts w:ascii="Arial"/>
                <w:b/>
                <w:spacing w:val="-2"/>
                <w:sz w:val="18"/>
              </w:rPr>
              <w:t>2,182</w:t>
            </w:r>
          </w:p>
        </w:tc>
        <w:tc>
          <w:tcPr>
            <w:tcW w:w="1275" w:type="dxa"/>
            <w:tcBorders>
              <w:top w:val="single" w:sz="12" w:space="0" w:color="000000"/>
              <w:bottom w:val="single" w:sz="12" w:space="0" w:color="000000"/>
            </w:tcBorders>
            <w:shd w:val="clear" w:color="auto" w:fill="DEEAF6"/>
          </w:tcPr>
          <w:p w14:paraId="71205377" w14:textId="77777777" w:rsidR="00084F36" w:rsidRPr="00EB2BD8" w:rsidRDefault="00EB2BD8">
            <w:pPr>
              <w:pStyle w:val="TableParagraph"/>
              <w:spacing w:before="79"/>
              <w:ind w:right="98"/>
              <w:jc w:val="right"/>
              <w:rPr>
                <w:rFonts w:ascii="Arial"/>
                <w:b/>
                <w:sz w:val="18"/>
              </w:rPr>
            </w:pPr>
            <w:r w:rsidRPr="00EB2BD8">
              <w:rPr>
                <w:rFonts w:ascii="Arial"/>
                <w:b/>
                <w:spacing w:val="-2"/>
                <w:sz w:val="18"/>
              </w:rPr>
              <w:t>30,139</w:t>
            </w:r>
          </w:p>
        </w:tc>
      </w:tr>
    </w:tbl>
    <w:p w14:paraId="25FB9B9F" w14:textId="77777777" w:rsidR="00084F36" w:rsidRPr="00EB2BD8" w:rsidRDefault="00084F36">
      <w:pPr>
        <w:pStyle w:val="BodyText"/>
        <w:rPr>
          <w:rFonts w:ascii="Arial"/>
          <w:sz w:val="14"/>
        </w:rPr>
      </w:pPr>
    </w:p>
    <w:p w14:paraId="408DECF1" w14:textId="77777777" w:rsidR="00084F36" w:rsidRPr="00EB2BD8" w:rsidRDefault="00EB2BD8">
      <w:pPr>
        <w:spacing w:before="94"/>
        <w:ind w:left="1069"/>
        <w:rPr>
          <w:rFonts w:ascii="Arial"/>
          <w:i/>
          <w:sz w:val="18"/>
        </w:rPr>
      </w:pPr>
      <w:r w:rsidRPr="00EB2BD8">
        <w:rPr>
          <w:rFonts w:ascii="Arial"/>
          <w:i/>
          <w:sz w:val="18"/>
        </w:rPr>
        <w:t>The</w:t>
      </w:r>
      <w:r w:rsidRPr="00EB2BD8">
        <w:rPr>
          <w:rFonts w:ascii="Arial"/>
          <w:i/>
          <w:spacing w:val="-4"/>
          <w:sz w:val="18"/>
        </w:rPr>
        <w:t xml:space="preserve"> </w:t>
      </w:r>
      <w:r w:rsidRPr="00EB2BD8">
        <w:rPr>
          <w:rFonts w:ascii="Arial"/>
          <w:i/>
          <w:sz w:val="18"/>
        </w:rPr>
        <w:t>accompanying</w:t>
      </w:r>
      <w:r w:rsidRPr="00EB2BD8">
        <w:rPr>
          <w:rFonts w:ascii="Arial"/>
          <w:i/>
          <w:spacing w:val="-2"/>
          <w:sz w:val="18"/>
        </w:rPr>
        <w:t xml:space="preserve"> </w:t>
      </w:r>
      <w:r w:rsidRPr="00EB2BD8">
        <w:rPr>
          <w:rFonts w:ascii="Arial"/>
          <w:i/>
          <w:sz w:val="18"/>
        </w:rPr>
        <w:t>note</w:t>
      </w:r>
      <w:r w:rsidRPr="00EB2BD8">
        <w:rPr>
          <w:rFonts w:ascii="Arial"/>
          <w:i/>
          <w:spacing w:val="-3"/>
          <w:sz w:val="18"/>
        </w:rPr>
        <w:t xml:space="preserve"> </w:t>
      </w:r>
      <w:r w:rsidRPr="00EB2BD8">
        <w:rPr>
          <w:rFonts w:ascii="Arial"/>
          <w:i/>
          <w:sz w:val="18"/>
        </w:rPr>
        <w:t>forms</w:t>
      </w:r>
      <w:r w:rsidRPr="00EB2BD8">
        <w:rPr>
          <w:rFonts w:ascii="Arial"/>
          <w:i/>
          <w:spacing w:val="-2"/>
          <w:sz w:val="18"/>
        </w:rPr>
        <w:t xml:space="preserve"> </w:t>
      </w:r>
      <w:r w:rsidRPr="00EB2BD8">
        <w:rPr>
          <w:rFonts w:ascii="Arial"/>
          <w:i/>
          <w:sz w:val="18"/>
        </w:rPr>
        <w:t>part</w:t>
      </w:r>
      <w:r w:rsidRPr="00EB2BD8">
        <w:rPr>
          <w:rFonts w:ascii="Arial"/>
          <w:i/>
          <w:spacing w:val="-3"/>
          <w:sz w:val="18"/>
        </w:rPr>
        <w:t xml:space="preserve"> </w:t>
      </w:r>
      <w:r w:rsidRPr="00EB2BD8">
        <w:rPr>
          <w:rFonts w:ascii="Arial"/>
          <w:i/>
          <w:sz w:val="18"/>
        </w:rPr>
        <w:t>of</w:t>
      </w:r>
      <w:r w:rsidRPr="00EB2BD8">
        <w:rPr>
          <w:rFonts w:ascii="Arial"/>
          <w:i/>
          <w:spacing w:val="-2"/>
          <w:sz w:val="18"/>
        </w:rPr>
        <w:t xml:space="preserve"> </w:t>
      </w:r>
      <w:r w:rsidRPr="00EB2BD8">
        <w:rPr>
          <w:rFonts w:ascii="Arial"/>
          <w:i/>
          <w:sz w:val="18"/>
        </w:rPr>
        <w:t>these</w:t>
      </w:r>
      <w:r w:rsidRPr="00EB2BD8">
        <w:rPr>
          <w:rFonts w:ascii="Arial"/>
          <w:i/>
          <w:spacing w:val="-3"/>
          <w:sz w:val="18"/>
        </w:rPr>
        <w:t xml:space="preserve"> </w:t>
      </w:r>
      <w:r w:rsidRPr="00EB2BD8">
        <w:rPr>
          <w:rFonts w:ascii="Arial"/>
          <w:i/>
          <w:sz w:val="18"/>
        </w:rPr>
        <w:t>financial</w:t>
      </w:r>
      <w:r w:rsidRPr="00EB2BD8">
        <w:rPr>
          <w:rFonts w:ascii="Arial"/>
          <w:i/>
          <w:spacing w:val="-2"/>
          <w:sz w:val="18"/>
        </w:rPr>
        <w:t xml:space="preserve"> statements.</w:t>
      </w:r>
    </w:p>
    <w:p w14:paraId="1FC7BB09" w14:textId="77777777" w:rsidR="00084F36" w:rsidRPr="00EB2BD8" w:rsidRDefault="00084F36">
      <w:pPr>
        <w:pStyle w:val="BodyText"/>
        <w:spacing w:before="5"/>
        <w:rPr>
          <w:rFonts w:ascii="Arial"/>
          <w:i/>
          <w:sz w:val="28"/>
        </w:rPr>
      </w:pPr>
    </w:p>
    <w:p w14:paraId="4C5F07CF" w14:textId="77777777" w:rsidR="00084F36" w:rsidRPr="00EB2BD8" w:rsidRDefault="00EB2BD8">
      <w:pPr>
        <w:spacing w:before="1"/>
        <w:ind w:left="1080"/>
        <w:rPr>
          <w:rFonts w:ascii="Arial"/>
          <w:i/>
          <w:sz w:val="16"/>
        </w:rPr>
      </w:pPr>
      <w:r w:rsidRPr="00EB2BD8">
        <w:rPr>
          <w:rFonts w:ascii="Arial"/>
          <w:i/>
          <w:spacing w:val="-2"/>
          <w:sz w:val="16"/>
        </w:rPr>
        <w:t>Note:</w:t>
      </w:r>
    </w:p>
    <w:p w14:paraId="74BB6B3C" w14:textId="77777777" w:rsidR="00084F36" w:rsidRPr="00EB2BD8" w:rsidRDefault="00EB2BD8">
      <w:pPr>
        <w:pStyle w:val="ListParagraph"/>
        <w:numPr>
          <w:ilvl w:val="0"/>
          <w:numId w:val="50"/>
        </w:numPr>
        <w:tabs>
          <w:tab w:val="left" w:pos="1539"/>
        </w:tabs>
        <w:spacing w:before="2"/>
        <w:rPr>
          <w:rFonts w:ascii="Arial"/>
          <w:i/>
          <w:sz w:val="16"/>
        </w:rPr>
      </w:pPr>
      <w:r w:rsidRPr="00EB2BD8">
        <w:rPr>
          <w:rFonts w:ascii="Arial"/>
          <w:i/>
          <w:sz w:val="16"/>
        </w:rPr>
        <w:t>This</w:t>
      </w:r>
      <w:r w:rsidRPr="00EB2BD8">
        <w:rPr>
          <w:rFonts w:ascii="Arial"/>
          <w:i/>
          <w:spacing w:val="-6"/>
          <w:sz w:val="16"/>
        </w:rPr>
        <w:t xml:space="preserve"> </w:t>
      </w:r>
      <w:r w:rsidRPr="00EB2BD8">
        <w:rPr>
          <w:rFonts w:ascii="Arial"/>
          <w:i/>
          <w:sz w:val="16"/>
        </w:rPr>
        <w:t>format</w:t>
      </w:r>
      <w:r w:rsidRPr="00EB2BD8">
        <w:rPr>
          <w:rFonts w:ascii="Arial"/>
          <w:i/>
          <w:spacing w:val="-6"/>
          <w:sz w:val="16"/>
        </w:rPr>
        <w:t xml:space="preserve"> </w:t>
      </w:r>
      <w:r w:rsidRPr="00EB2BD8">
        <w:rPr>
          <w:rFonts w:ascii="Arial"/>
          <w:i/>
          <w:sz w:val="16"/>
        </w:rPr>
        <w:t>is</w:t>
      </w:r>
      <w:r w:rsidRPr="00EB2BD8">
        <w:rPr>
          <w:rFonts w:ascii="Arial"/>
          <w:i/>
          <w:spacing w:val="-6"/>
          <w:sz w:val="16"/>
        </w:rPr>
        <w:t xml:space="preserve"> </w:t>
      </w:r>
      <w:r w:rsidRPr="00EB2BD8">
        <w:rPr>
          <w:rFonts w:ascii="Arial"/>
          <w:i/>
          <w:sz w:val="16"/>
        </w:rPr>
        <w:t>aligned</w:t>
      </w:r>
      <w:r w:rsidRPr="00EB2BD8">
        <w:rPr>
          <w:rFonts w:ascii="Arial"/>
          <w:i/>
          <w:spacing w:val="-6"/>
          <w:sz w:val="16"/>
        </w:rPr>
        <w:t xml:space="preserve"> </w:t>
      </w:r>
      <w:r w:rsidRPr="00EB2BD8">
        <w:rPr>
          <w:rFonts w:ascii="Arial"/>
          <w:i/>
          <w:sz w:val="16"/>
        </w:rPr>
        <w:t>to</w:t>
      </w:r>
      <w:r w:rsidRPr="00EB2BD8">
        <w:rPr>
          <w:rFonts w:ascii="Arial"/>
          <w:i/>
          <w:spacing w:val="-6"/>
          <w:sz w:val="16"/>
        </w:rPr>
        <w:t xml:space="preserve"> </w:t>
      </w:r>
      <w:r w:rsidRPr="00EB2BD8">
        <w:rPr>
          <w:rFonts w:ascii="Arial"/>
          <w:i/>
          <w:sz w:val="16"/>
        </w:rPr>
        <w:t>AASB</w:t>
      </w:r>
      <w:r w:rsidRPr="00EB2BD8">
        <w:rPr>
          <w:rFonts w:ascii="Arial"/>
          <w:i/>
          <w:spacing w:val="-6"/>
          <w:sz w:val="16"/>
        </w:rPr>
        <w:t xml:space="preserve"> </w:t>
      </w:r>
      <w:r w:rsidRPr="00EB2BD8">
        <w:rPr>
          <w:rFonts w:ascii="Arial"/>
          <w:i/>
          <w:sz w:val="16"/>
        </w:rPr>
        <w:t>1049</w:t>
      </w:r>
      <w:r w:rsidRPr="00EB2BD8">
        <w:rPr>
          <w:rFonts w:ascii="Arial"/>
          <w:i/>
          <w:spacing w:val="-6"/>
          <w:sz w:val="16"/>
        </w:rPr>
        <w:t xml:space="preserve"> </w:t>
      </w:r>
      <w:r w:rsidRPr="00EB2BD8">
        <w:rPr>
          <w:rFonts w:ascii="Arial"/>
          <w:i/>
          <w:sz w:val="16"/>
        </w:rPr>
        <w:t>Whole</w:t>
      </w:r>
      <w:r w:rsidRPr="00EB2BD8">
        <w:rPr>
          <w:rFonts w:ascii="Arial"/>
          <w:i/>
          <w:spacing w:val="-7"/>
          <w:sz w:val="16"/>
        </w:rPr>
        <w:t xml:space="preserve"> </w:t>
      </w:r>
      <w:r w:rsidRPr="00EB2BD8">
        <w:rPr>
          <w:rFonts w:ascii="Arial"/>
          <w:i/>
          <w:sz w:val="16"/>
        </w:rPr>
        <w:t>of</w:t>
      </w:r>
      <w:r w:rsidRPr="00EB2BD8">
        <w:rPr>
          <w:rFonts w:ascii="Arial"/>
          <w:i/>
          <w:spacing w:val="-6"/>
          <w:sz w:val="16"/>
        </w:rPr>
        <w:t xml:space="preserve"> </w:t>
      </w:r>
      <w:r w:rsidRPr="00EB2BD8">
        <w:rPr>
          <w:rFonts w:ascii="Arial"/>
          <w:i/>
          <w:sz w:val="16"/>
        </w:rPr>
        <w:t>Government</w:t>
      </w:r>
      <w:r w:rsidRPr="00EB2BD8">
        <w:rPr>
          <w:rFonts w:ascii="Arial"/>
          <w:i/>
          <w:spacing w:val="-6"/>
          <w:sz w:val="16"/>
        </w:rPr>
        <w:t xml:space="preserve"> </w:t>
      </w:r>
      <w:r w:rsidRPr="00EB2BD8">
        <w:rPr>
          <w:rFonts w:ascii="Arial"/>
          <w:i/>
          <w:sz w:val="16"/>
        </w:rPr>
        <w:t>and</w:t>
      </w:r>
      <w:r w:rsidRPr="00EB2BD8">
        <w:rPr>
          <w:rFonts w:ascii="Arial"/>
          <w:i/>
          <w:spacing w:val="-7"/>
          <w:sz w:val="16"/>
        </w:rPr>
        <w:t xml:space="preserve"> </w:t>
      </w:r>
      <w:r w:rsidRPr="00EB2BD8">
        <w:rPr>
          <w:rFonts w:ascii="Arial"/>
          <w:i/>
          <w:sz w:val="16"/>
        </w:rPr>
        <w:t>General</w:t>
      </w:r>
      <w:r w:rsidRPr="00EB2BD8">
        <w:rPr>
          <w:rFonts w:ascii="Arial"/>
          <w:i/>
          <w:spacing w:val="-5"/>
          <w:sz w:val="16"/>
        </w:rPr>
        <w:t xml:space="preserve"> </w:t>
      </w:r>
      <w:r w:rsidRPr="00EB2BD8">
        <w:rPr>
          <w:rFonts w:ascii="Arial"/>
          <w:i/>
          <w:sz w:val="16"/>
        </w:rPr>
        <w:t>Government</w:t>
      </w:r>
      <w:r w:rsidRPr="00EB2BD8">
        <w:rPr>
          <w:rFonts w:ascii="Arial"/>
          <w:i/>
          <w:spacing w:val="-7"/>
          <w:sz w:val="16"/>
        </w:rPr>
        <w:t xml:space="preserve"> </w:t>
      </w:r>
      <w:r w:rsidRPr="00EB2BD8">
        <w:rPr>
          <w:rFonts w:ascii="Arial"/>
          <w:i/>
          <w:sz w:val="16"/>
        </w:rPr>
        <w:t>Sector</w:t>
      </w:r>
      <w:r w:rsidRPr="00EB2BD8">
        <w:rPr>
          <w:rFonts w:ascii="Arial"/>
          <w:i/>
          <w:spacing w:val="-6"/>
          <w:sz w:val="16"/>
        </w:rPr>
        <w:t xml:space="preserve"> </w:t>
      </w:r>
      <w:r w:rsidRPr="00EB2BD8">
        <w:rPr>
          <w:rFonts w:ascii="Arial"/>
          <w:i/>
          <w:sz w:val="16"/>
        </w:rPr>
        <w:t>Financial</w:t>
      </w:r>
      <w:r w:rsidRPr="00EB2BD8">
        <w:rPr>
          <w:rFonts w:ascii="Arial"/>
          <w:i/>
          <w:spacing w:val="-5"/>
          <w:sz w:val="16"/>
        </w:rPr>
        <w:t xml:space="preserve"> </w:t>
      </w:r>
      <w:r w:rsidRPr="00EB2BD8">
        <w:rPr>
          <w:rFonts w:ascii="Arial"/>
          <w:i/>
          <w:spacing w:val="-2"/>
          <w:sz w:val="16"/>
        </w:rPr>
        <w:t>Reporting.</w:t>
      </w:r>
    </w:p>
    <w:p w14:paraId="550DD13C" w14:textId="77777777" w:rsidR="00084F36" w:rsidRPr="00EB2BD8" w:rsidRDefault="00084F36">
      <w:pPr>
        <w:pStyle w:val="BodyText"/>
        <w:rPr>
          <w:rFonts w:ascii="Arial"/>
          <w:i/>
          <w:sz w:val="20"/>
        </w:rPr>
      </w:pPr>
    </w:p>
    <w:p w14:paraId="0E20CF21" w14:textId="77777777" w:rsidR="00084F36" w:rsidRPr="00EB2BD8" w:rsidRDefault="00084F36">
      <w:pPr>
        <w:pStyle w:val="BodyText"/>
        <w:rPr>
          <w:rFonts w:ascii="Arial"/>
          <w:i/>
          <w:sz w:val="20"/>
        </w:rPr>
      </w:pPr>
    </w:p>
    <w:p w14:paraId="1BB6E0C9" w14:textId="77777777" w:rsidR="00084F36" w:rsidRPr="00EB2BD8" w:rsidRDefault="00084F36">
      <w:pPr>
        <w:pStyle w:val="BodyText"/>
        <w:rPr>
          <w:rFonts w:ascii="Arial"/>
          <w:i/>
          <w:sz w:val="20"/>
        </w:rPr>
      </w:pPr>
    </w:p>
    <w:p w14:paraId="51DA308C" w14:textId="77777777" w:rsidR="00084F36" w:rsidRPr="00EB2BD8" w:rsidRDefault="00084F36">
      <w:pPr>
        <w:pStyle w:val="BodyText"/>
        <w:rPr>
          <w:rFonts w:ascii="Arial"/>
          <w:i/>
          <w:sz w:val="20"/>
        </w:rPr>
      </w:pPr>
    </w:p>
    <w:p w14:paraId="3A85472C" w14:textId="77777777" w:rsidR="00084F36" w:rsidRPr="00EB2BD8" w:rsidRDefault="00084F36">
      <w:pPr>
        <w:pStyle w:val="BodyText"/>
        <w:rPr>
          <w:rFonts w:ascii="Arial"/>
          <w:i/>
          <w:sz w:val="20"/>
        </w:rPr>
      </w:pPr>
    </w:p>
    <w:p w14:paraId="2608346F" w14:textId="77777777" w:rsidR="00084F36" w:rsidRPr="00EB2BD8" w:rsidRDefault="00084F36">
      <w:pPr>
        <w:pStyle w:val="BodyText"/>
        <w:rPr>
          <w:rFonts w:ascii="Arial"/>
          <w:i/>
          <w:sz w:val="20"/>
        </w:rPr>
      </w:pPr>
    </w:p>
    <w:p w14:paraId="23D04AD0" w14:textId="77777777" w:rsidR="00084F36" w:rsidRPr="00EB2BD8" w:rsidRDefault="00084F36">
      <w:pPr>
        <w:pStyle w:val="BodyText"/>
        <w:rPr>
          <w:rFonts w:ascii="Arial"/>
          <w:i/>
          <w:sz w:val="20"/>
        </w:rPr>
      </w:pPr>
    </w:p>
    <w:p w14:paraId="08D2C1CB" w14:textId="77777777" w:rsidR="00084F36" w:rsidRPr="00EB2BD8" w:rsidRDefault="00084F36">
      <w:pPr>
        <w:pStyle w:val="BodyText"/>
        <w:rPr>
          <w:rFonts w:ascii="Arial"/>
          <w:i/>
          <w:sz w:val="20"/>
        </w:rPr>
      </w:pPr>
    </w:p>
    <w:p w14:paraId="18612D04" w14:textId="77777777" w:rsidR="00084F36" w:rsidRPr="00EB2BD8" w:rsidRDefault="00084F36">
      <w:pPr>
        <w:pStyle w:val="BodyText"/>
        <w:rPr>
          <w:rFonts w:ascii="Arial"/>
          <w:i/>
          <w:sz w:val="20"/>
        </w:rPr>
      </w:pPr>
    </w:p>
    <w:p w14:paraId="6308A2A1" w14:textId="77777777" w:rsidR="00084F36" w:rsidRPr="00EB2BD8" w:rsidRDefault="00084F36">
      <w:pPr>
        <w:pStyle w:val="BodyText"/>
        <w:rPr>
          <w:rFonts w:ascii="Arial"/>
          <w:i/>
          <w:sz w:val="20"/>
        </w:rPr>
      </w:pPr>
    </w:p>
    <w:p w14:paraId="5D53F2D2" w14:textId="77777777" w:rsidR="00084F36" w:rsidRPr="00EB2BD8" w:rsidRDefault="00084F36">
      <w:pPr>
        <w:pStyle w:val="BodyText"/>
        <w:rPr>
          <w:rFonts w:ascii="Arial"/>
          <w:i/>
          <w:sz w:val="20"/>
        </w:rPr>
      </w:pPr>
    </w:p>
    <w:p w14:paraId="7897578C" w14:textId="77777777" w:rsidR="00084F36" w:rsidRPr="00EB2BD8" w:rsidRDefault="00084F36">
      <w:pPr>
        <w:pStyle w:val="BodyText"/>
        <w:rPr>
          <w:rFonts w:ascii="Arial"/>
          <w:i/>
          <w:sz w:val="20"/>
        </w:rPr>
      </w:pPr>
    </w:p>
    <w:p w14:paraId="6106A053" w14:textId="77777777" w:rsidR="00084F36" w:rsidRPr="00EB2BD8" w:rsidRDefault="00084F36">
      <w:pPr>
        <w:pStyle w:val="BodyText"/>
        <w:rPr>
          <w:rFonts w:ascii="Arial"/>
          <w:i/>
          <w:sz w:val="20"/>
        </w:rPr>
      </w:pPr>
    </w:p>
    <w:p w14:paraId="564183C4" w14:textId="77777777" w:rsidR="00084F36" w:rsidRPr="00EB2BD8" w:rsidRDefault="00084F36">
      <w:pPr>
        <w:pStyle w:val="BodyText"/>
        <w:rPr>
          <w:rFonts w:ascii="Arial"/>
          <w:i/>
          <w:sz w:val="20"/>
        </w:rPr>
      </w:pPr>
    </w:p>
    <w:p w14:paraId="2A68DA75" w14:textId="77777777" w:rsidR="00084F36" w:rsidRPr="00EB2BD8" w:rsidRDefault="00084F36">
      <w:pPr>
        <w:pStyle w:val="BodyText"/>
        <w:rPr>
          <w:rFonts w:ascii="Arial"/>
          <w:i/>
          <w:sz w:val="20"/>
        </w:rPr>
      </w:pPr>
    </w:p>
    <w:p w14:paraId="139195B2" w14:textId="77777777" w:rsidR="00084F36" w:rsidRPr="00EB2BD8" w:rsidRDefault="00084F36">
      <w:pPr>
        <w:pStyle w:val="BodyText"/>
        <w:rPr>
          <w:rFonts w:ascii="Arial"/>
          <w:i/>
          <w:sz w:val="20"/>
        </w:rPr>
      </w:pPr>
    </w:p>
    <w:p w14:paraId="53288350" w14:textId="77777777" w:rsidR="00084F36" w:rsidRPr="00EB2BD8" w:rsidRDefault="00084F36">
      <w:pPr>
        <w:pStyle w:val="BodyText"/>
        <w:rPr>
          <w:rFonts w:ascii="Arial"/>
          <w:i/>
          <w:sz w:val="20"/>
        </w:rPr>
      </w:pPr>
    </w:p>
    <w:p w14:paraId="54427000" w14:textId="77777777" w:rsidR="00084F36" w:rsidRPr="00EB2BD8" w:rsidRDefault="00084F36">
      <w:pPr>
        <w:pStyle w:val="BodyText"/>
        <w:rPr>
          <w:rFonts w:ascii="Arial"/>
          <w:i/>
          <w:sz w:val="20"/>
        </w:rPr>
      </w:pPr>
    </w:p>
    <w:p w14:paraId="13CF84F9" w14:textId="77777777" w:rsidR="00084F36" w:rsidRPr="00EB2BD8" w:rsidRDefault="00084F36">
      <w:pPr>
        <w:pStyle w:val="BodyText"/>
        <w:rPr>
          <w:rFonts w:ascii="Arial"/>
          <w:i/>
          <w:sz w:val="20"/>
        </w:rPr>
      </w:pPr>
    </w:p>
    <w:p w14:paraId="1B2CF730" w14:textId="77777777" w:rsidR="00084F36" w:rsidRPr="00EB2BD8" w:rsidRDefault="00084F36">
      <w:pPr>
        <w:pStyle w:val="BodyText"/>
        <w:rPr>
          <w:rFonts w:ascii="Arial"/>
          <w:i/>
          <w:sz w:val="20"/>
        </w:rPr>
      </w:pPr>
    </w:p>
    <w:p w14:paraId="27139ECB" w14:textId="77777777" w:rsidR="00084F36" w:rsidRPr="00EB2BD8" w:rsidRDefault="00084F36">
      <w:pPr>
        <w:pStyle w:val="BodyText"/>
        <w:rPr>
          <w:rFonts w:ascii="Arial"/>
          <w:i/>
          <w:sz w:val="20"/>
        </w:rPr>
      </w:pPr>
    </w:p>
    <w:p w14:paraId="36BF879F" w14:textId="77777777" w:rsidR="00084F36" w:rsidRPr="00EB2BD8" w:rsidRDefault="00084F36">
      <w:pPr>
        <w:pStyle w:val="BodyText"/>
        <w:rPr>
          <w:rFonts w:ascii="Arial"/>
          <w:i/>
          <w:sz w:val="20"/>
        </w:rPr>
      </w:pPr>
    </w:p>
    <w:p w14:paraId="6CC2A93D" w14:textId="77777777" w:rsidR="00084F36" w:rsidRPr="00EB2BD8" w:rsidRDefault="00084F36">
      <w:pPr>
        <w:pStyle w:val="BodyText"/>
        <w:rPr>
          <w:rFonts w:ascii="Arial"/>
          <w:i/>
          <w:sz w:val="20"/>
        </w:rPr>
      </w:pPr>
    </w:p>
    <w:p w14:paraId="02E37822" w14:textId="77777777" w:rsidR="00084F36" w:rsidRPr="00EB2BD8" w:rsidRDefault="00084F36">
      <w:pPr>
        <w:pStyle w:val="BodyText"/>
        <w:rPr>
          <w:rFonts w:ascii="Arial"/>
          <w:i/>
          <w:sz w:val="20"/>
        </w:rPr>
      </w:pPr>
    </w:p>
    <w:p w14:paraId="6B846446" w14:textId="77777777" w:rsidR="00084F36" w:rsidRPr="00EB2BD8" w:rsidRDefault="00084F36">
      <w:pPr>
        <w:pStyle w:val="BodyText"/>
        <w:rPr>
          <w:rFonts w:ascii="Arial"/>
          <w:i/>
          <w:sz w:val="20"/>
        </w:rPr>
      </w:pPr>
    </w:p>
    <w:p w14:paraId="5107CCEA" w14:textId="77777777" w:rsidR="00084F36" w:rsidRPr="00EB2BD8" w:rsidRDefault="00084F36">
      <w:pPr>
        <w:pStyle w:val="BodyText"/>
        <w:rPr>
          <w:rFonts w:ascii="Arial"/>
          <w:i/>
          <w:sz w:val="20"/>
        </w:rPr>
      </w:pPr>
    </w:p>
    <w:p w14:paraId="334D04C0" w14:textId="77777777" w:rsidR="00084F36" w:rsidRPr="00EB2BD8" w:rsidRDefault="00084F36">
      <w:pPr>
        <w:pStyle w:val="BodyText"/>
        <w:spacing w:before="6"/>
        <w:rPr>
          <w:rFonts w:ascii="Arial"/>
          <w:i/>
          <w:sz w:val="29"/>
        </w:rPr>
      </w:pPr>
    </w:p>
    <w:p w14:paraId="2CBC0820" w14:textId="02939441" w:rsidR="00084F36" w:rsidRPr="00EB2BD8" w:rsidRDefault="00EB2BD8">
      <w:pPr>
        <w:tabs>
          <w:tab w:val="left" w:pos="1906"/>
        </w:tabs>
        <w:spacing w:before="92"/>
        <w:ind w:left="842"/>
        <w:rPr>
          <w:b/>
          <w:sz w:val="16"/>
        </w:rPr>
      </w:pPr>
      <w:r w:rsidRPr="00EB2BD8">
        <w:rPr>
          <w:sz w:val="16"/>
        </w:rPr>
        <w:tab/>
      </w:r>
    </w:p>
    <w:p w14:paraId="44908D50" w14:textId="77777777" w:rsidR="00084F36" w:rsidRPr="00EB2BD8" w:rsidRDefault="00084F36">
      <w:pPr>
        <w:rPr>
          <w:sz w:val="16"/>
        </w:rPr>
        <w:sectPr w:rsidR="00084F36" w:rsidRPr="00EB2BD8" w:rsidSect="006D75B2">
          <w:headerReference w:type="even" r:id="rId257"/>
          <w:footerReference w:type="even" r:id="rId258"/>
          <w:footerReference w:type="default" r:id="rId259"/>
          <w:pgSz w:w="11910" w:h="16840"/>
          <w:pgMar w:top="780" w:right="0" w:bottom="280" w:left="0" w:header="0" w:footer="0" w:gutter="0"/>
          <w:cols w:space="720"/>
        </w:sectPr>
      </w:pPr>
    </w:p>
    <w:p w14:paraId="6600A686" w14:textId="77777777" w:rsidR="00084F36" w:rsidRPr="00EB2BD8" w:rsidRDefault="00084F36">
      <w:pPr>
        <w:pStyle w:val="BodyText"/>
        <w:rPr>
          <w:sz w:val="20"/>
        </w:rPr>
      </w:pPr>
    </w:p>
    <w:p w14:paraId="42015698" w14:textId="77777777" w:rsidR="00084F36" w:rsidRPr="00EB2BD8" w:rsidRDefault="00084F36">
      <w:pPr>
        <w:pStyle w:val="BodyText"/>
        <w:rPr>
          <w:sz w:val="20"/>
        </w:rPr>
      </w:pPr>
    </w:p>
    <w:p w14:paraId="4863DEFC" w14:textId="77777777" w:rsidR="00084F36" w:rsidRPr="00EB2BD8" w:rsidRDefault="00084F36">
      <w:pPr>
        <w:pStyle w:val="BodyText"/>
        <w:rPr>
          <w:sz w:val="20"/>
        </w:rPr>
      </w:pPr>
    </w:p>
    <w:p w14:paraId="3A6E3440" w14:textId="77777777" w:rsidR="00084F36" w:rsidRPr="00EB2BD8" w:rsidRDefault="00084F36">
      <w:pPr>
        <w:pStyle w:val="BodyText"/>
        <w:rPr>
          <w:sz w:val="20"/>
        </w:rPr>
      </w:pPr>
    </w:p>
    <w:p w14:paraId="30D758C3" w14:textId="77777777" w:rsidR="00084F36" w:rsidRPr="00EB2BD8" w:rsidRDefault="00084F36">
      <w:pPr>
        <w:pStyle w:val="BodyText"/>
        <w:spacing w:before="3"/>
        <w:rPr>
          <w:sz w:val="23"/>
        </w:rPr>
      </w:pPr>
    </w:p>
    <w:p w14:paraId="5074FEB1" w14:textId="7AB08A59" w:rsidR="00084F36" w:rsidRPr="00EB2BD8" w:rsidRDefault="00436F78" w:rsidP="00885799">
      <w:pPr>
        <w:pStyle w:val="Heading2"/>
      </w:pPr>
      <w:r>
        <w:t xml:space="preserve"> </w:t>
      </w:r>
      <w:bookmarkStart w:id="246" w:name="_Toc150762548"/>
      <w:r>
        <w:t>C</w:t>
      </w:r>
      <w:r w:rsidRPr="00EB2BD8">
        <w:t>ash</w:t>
      </w:r>
      <w:r w:rsidRPr="00EB2BD8">
        <w:rPr>
          <w:spacing w:val="-9"/>
        </w:rPr>
        <w:t xml:space="preserve"> </w:t>
      </w:r>
      <w:r w:rsidRPr="00EB2BD8">
        <w:t>flow</w:t>
      </w:r>
      <w:r w:rsidRPr="00EB2BD8">
        <w:rPr>
          <w:spacing w:val="-7"/>
        </w:rPr>
        <w:t xml:space="preserve"> </w:t>
      </w:r>
      <w:r w:rsidRPr="00EB2BD8">
        <w:t>statement</w:t>
      </w:r>
      <w:r w:rsidR="00EB2BD8" w:rsidRPr="00EB2BD8">
        <w:rPr>
          <w:vertAlign w:val="superscript"/>
        </w:rPr>
        <w:t>(a)</w:t>
      </w:r>
      <w:bookmarkEnd w:id="246"/>
    </w:p>
    <w:p w14:paraId="335B9B93" w14:textId="038360DA" w:rsidR="00084F36" w:rsidRPr="00EB2BD8" w:rsidRDefault="00436F78" w:rsidP="00885799">
      <w:pPr>
        <w:pStyle w:val="Heading2"/>
      </w:pPr>
      <w:r>
        <w:t xml:space="preserve"> </w:t>
      </w:r>
      <w:bookmarkStart w:id="247" w:name="_Toc150762549"/>
      <w:r w:rsidRPr="00EB2BD8">
        <w:t>for</w:t>
      </w:r>
      <w:r w:rsidRPr="00EB2BD8">
        <w:rPr>
          <w:spacing w:val="-9"/>
        </w:rPr>
        <w:t xml:space="preserve"> </w:t>
      </w:r>
      <w:r w:rsidRPr="00EB2BD8">
        <w:t>the</w:t>
      </w:r>
      <w:r w:rsidRPr="00EB2BD8">
        <w:rPr>
          <w:spacing w:val="-7"/>
        </w:rPr>
        <w:t xml:space="preserve"> </w:t>
      </w:r>
      <w:r w:rsidRPr="00EB2BD8">
        <w:t>financial</w:t>
      </w:r>
      <w:r w:rsidRPr="00EB2BD8">
        <w:rPr>
          <w:spacing w:val="-7"/>
        </w:rPr>
        <w:t xml:space="preserve"> </w:t>
      </w:r>
      <w:r w:rsidRPr="00EB2BD8">
        <w:t>year</w:t>
      </w:r>
      <w:r w:rsidRPr="00EB2BD8">
        <w:rPr>
          <w:spacing w:val="-8"/>
        </w:rPr>
        <w:t xml:space="preserve"> </w:t>
      </w:r>
      <w:r w:rsidRPr="00EB2BD8">
        <w:t>ended</w:t>
      </w:r>
      <w:r w:rsidRPr="00EB2BD8">
        <w:rPr>
          <w:spacing w:val="-8"/>
        </w:rPr>
        <w:t xml:space="preserve"> </w:t>
      </w:r>
      <w:r w:rsidRPr="00EB2BD8">
        <w:t>30</w:t>
      </w:r>
      <w:r w:rsidRPr="00EB2BD8">
        <w:rPr>
          <w:spacing w:val="-7"/>
        </w:rPr>
        <w:t xml:space="preserve"> </w:t>
      </w:r>
      <w:r w:rsidRPr="00EB2BD8">
        <w:t>June</w:t>
      </w:r>
      <w:r w:rsidRPr="00EB2BD8">
        <w:rPr>
          <w:spacing w:val="-7"/>
        </w:rPr>
        <w:t xml:space="preserve"> </w:t>
      </w:r>
      <w:r w:rsidRPr="00EB2BD8">
        <w:rPr>
          <w:spacing w:val="-4"/>
        </w:rPr>
        <w:t>2023</w:t>
      </w:r>
      <w:bookmarkEnd w:id="247"/>
    </w:p>
    <w:p w14:paraId="5C6C36FC" w14:textId="77777777" w:rsidR="00084F36" w:rsidRPr="00EB2BD8" w:rsidRDefault="00084F36">
      <w:pPr>
        <w:pStyle w:val="BodyText"/>
        <w:rPr>
          <w:rFonts w:ascii="Arial"/>
          <w:b/>
          <w:sz w:val="27"/>
        </w:rPr>
      </w:pPr>
    </w:p>
    <w:p w14:paraId="3E86408E" w14:textId="77777777" w:rsidR="00084F36" w:rsidRPr="00EB2BD8" w:rsidRDefault="00EB2BD8">
      <w:pPr>
        <w:pStyle w:val="BodyText"/>
        <w:spacing w:before="94"/>
        <w:ind w:right="1029"/>
        <w:jc w:val="right"/>
        <w:rPr>
          <w:rFonts w:ascii="Arial" w:hAnsi="Arial"/>
        </w:rPr>
      </w:pPr>
      <w:r w:rsidRPr="00EB2BD8">
        <w:rPr>
          <w:rFonts w:ascii="Arial" w:hAnsi="Arial"/>
          <w:spacing w:val="-2"/>
        </w:rPr>
        <w:t>($’000)</w:t>
      </w:r>
    </w:p>
    <w:p w14:paraId="3F676DB7" w14:textId="77777777" w:rsidR="00084F36" w:rsidRPr="00EB2BD8" w:rsidRDefault="00084F36">
      <w:pPr>
        <w:pStyle w:val="BodyText"/>
        <w:spacing w:before="10"/>
        <w:rPr>
          <w:rFonts w:ascii="Arial"/>
          <w:sz w:val="5"/>
        </w:rPr>
      </w:pPr>
    </w:p>
    <w:tbl>
      <w:tblPr>
        <w:tblW w:w="0" w:type="auto"/>
        <w:tblInd w:w="1067" w:type="dxa"/>
        <w:tblLayout w:type="fixed"/>
        <w:tblCellMar>
          <w:left w:w="0" w:type="dxa"/>
          <w:right w:w="0" w:type="dxa"/>
        </w:tblCellMar>
        <w:tblLook w:val="01E0" w:firstRow="1" w:lastRow="1" w:firstColumn="1" w:lastColumn="1" w:noHBand="0" w:noVBand="0"/>
      </w:tblPr>
      <w:tblGrid>
        <w:gridCol w:w="5725"/>
        <w:gridCol w:w="1255"/>
        <w:gridCol w:w="109"/>
        <w:gridCol w:w="1417"/>
        <w:gridCol w:w="1417"/>
      </w:tblGrid>
      <w:tr w:rsidR="00EB2BD8" w:rsidRPr="00EB2BD8" w14:paraId="307C7977" w14:textId="77777777">
        <w:trPr>
          <w:trHeight w:val="342"/>
        </w:trPr>
        <w:tc>
          <w:tcPr>
            <w:tcW w:w="6980" w:type="dxa"/>
            <w:gridSpan w:val="2"/>
            <w:tcBorders>
              <w:top w:val="single" w:sz="4" w:space="0" w:color="0098FF"/>
              <w:left w:val="single" w:sz="4" w:space="0" w:color="0098FF"/>
              <w:bottom w:val="single" w:sz="4" w:space="0" w:color="0098FF"/>
            </w:tcBorders>
            <w:shd w:val="clear" w:color="auto" w:fill="0070C0"/>
          </w:tcPr>
          <w:p w14:paraId="7DE8CF0E" w14:textId="77777777" w:rsidR="00084F36" w:rsidRPr="00EB2BD8" w:rsidRDefault="00EB2BD8">
            <w:pPr>
              <w:pStyle w:val="TableParagraph"/>
              <w:spacing w:before="67"/>
              <w:ind w:right="-15"/>
              <w:jc w:val="right"/>
              <w:rPr>
                <w:rFonts w:ascii="Arial"/>
                <w:b/>
                <w:sz w:val="18"/>
              </w:rPr>
            </w:pPr>
            <w:r w:rsidRPr="00EB2BD8">
              <w:rPr>
                <w:rFonts w:ascii="Arial"/>
                <w:b/>
                <w:spacing w:val="-2"/>
                <w:sz w:val="18"/>
              </w:rPr>
              <w:t>Notes</w:t>
            </w:r>
          </w:p>
        </w:tc>
        <w:tc>
          <w:tcPr>
            <w:tcW w:w="109" w:type="dxa"/>
            <w:tcBorders>
              <w:top w:val="single" w:sz="4" w:space="0" w:color="0098FF"/>
              <w:bottom w:val="single" w:sz="4" w:space="0" w:color="0098FF"/>
            </w:tcBorders>
            <w:shd w:val="clear" w:color="auto" w:fill="0070C0"/>
          </w:tcPr>
          <w:p w14:paraId="675C5A86" w14:textId="77777777" w:rsidR="00084F36" w:rsidRPr="00EB2BD8" w:rsidRDefault="00084F36">
            <w:pPr>
              <w:pStyle w:val="TableParagraph"/>
              <w:rPr>
                <w:rFonts w:ascii="Times New Roman"/>
                <w:sz w:val="16"/>
              </w:rPr>
            </w:pPr>
          </w:p>
        </w:tc>
        <w:tc>
          <w:tcPr>
            <w:tcW w:w="1417" w:type="dxa"/>
            <w:tcBorders>
              <w:top w:val="single" w:sz="4" w:space="0" w:color="0098FF"/>
              <w:bottom w:val="single" w:sz="4" w:space="0" w:color="0098FF"/>
            </w:tcBorders>
            <w:shd w:val="clear" w:color="auto" w:fill="0070C0"/>
          </w:tcPr>
          <w:p w14:paraId="5D09AC0E" w14:textId="77777777" w:rsidR="00084F36" w:rsidRPr="00EB2BD8" w:rsidRDefault="00EB2BD8">
            <w:pPr>
              <w:pStyle w:val="TableParagraph"/>
              <w:spacing w:before="67"/>
              <w:ind w:right="102"/>
              <w:jc w:val="right"/>
              <w:rPr>
                <w:rFonts w:ascii="Arial"/>
                <w:b/>
                <w:sz w:val="18"/>
              </w:rPr>
            </w:pPr>
            <w:r w:rsidRPr="00EB2BD8">
              <w:rPr>
                <w:rFonts w:ascii="Arial"/>
                <w:b/>
                <w:spacing w:val="-4"/>
                <w:sz w:val="18"/>
              </w:rPr>
              <w:t>2023</w:t>
            </w:r>
          </w:p>
        </w:tc>
        <w:tc>
          <w:tcPr>
            <w:tcW w:w="1417" w:type="dxa"/>
            <w:tcBorders>
              <w:top w:val="single" w:sz="4" w:space="0" w:color="0098FF"/>
              <w:bottom w:val="single" w:sz="4" w:space="0" w:color="0098FF"/>
              <w:right w:val="single" w:sz="4" w:space="0" w:color="0098FF"/>
            </w:tcBorders>
            <w:shd w:val="clear" w:color="auto" w:fill="0070C0"/>
          </w:tcPr>
          <w:p w14:paraId="571A8C12" w14:textId="77777777" w:rsidR="00084F36" w:rsidRPr="00EB2BD8" w:rsidRDefault="00EB2BD8">
            <w:pPr>
              <w:pStyle w:val="TableParagraph"/>
              <w:spacing w:before="67"/>
              <w:ind w:right="95"/>
              <w:jc w:val="right"/>
              <w:rPr>
                <w:rFonts w:ascii="Arial"/>
                <w:b/>
                <w:sz w:val="18"/>
              </w:rPr>
            </w:pPr>
            <w:r w:rsidRPr="00EB2BD8">
              <w:rPr>
                <w:rFonts w:ascii="Arial"/>
                <w:b/>
                <w:spacing w:val="-4"/>
                <w:sz w:val="18"/>
              </w:rPr>
              <w:t>2022</w:t>
            </w:r>
          </w:p>
        </w:tc>
      </w:tr>
      <w:tr w:rsidR="00EB2BD8" w:rsidRPr="00EB2BD8" w14:paraId="7FC45D04" w14:textId="77777777">
        <w:trPr>
          <w:trHeight w:val="345"/>
        </w:trPr>
        <w:tc>
          <w:tcPr>
            <w:tcW w:w="7089" w:type="dxa"/>
            <w:gridSpan w:val="3"/>
            <w:tcBorders>
              <w:top w:val="single" w:sz="4" w:space="0" w:color="0098FF"/>
            </w:tcBorders>
            <w:shd w:val="clear" w:color="auto" w:fill="FFFFFF"/>
          </w:tcPr>
          <w:p w14:paraId="324C856D" w14:textId="77777777" w:rsidR="00084F36" w:rsidRPr="00EB2BD8" w:rsidRDefault="00EB2BD8">
            <w:pPr>
              <w:pStyle w:val="TableParagraph"/>
              <w:spacing w:before="67"/>
              <w:ind w:left="112"/>
              <w:rPr>
                <w:rFonts w:ascii="Arial"/>
                <w:b/>
                <w:sz w:val="18"/>
              </w:rPr>
            </w:pPr>
            <w:r w:rsidRPr="00EB2BD8">
              <w:rPr>
                <w:rFonts w:ascii="Arial"/>
                <w:b/>
                <w:sz w:val="18"/>
              </w:rPr>
              <w:t>Cash</w:t>
            </w:r>
            <w:r w:rsidRPr="00EB2BD8">
              <w:rPr>
                <w:rFonts w:ascii="Arial"/>
                <w:b/>
                <w:spacing w:val="-2"/>
                <w:sz w:val="18"/>
              </w:rPr>
              <w:t xml:space="preserve"> </w:t>
            </w:r>
            <w:r w:rsidRPr="00EB2BD8">
              <w:rPr>
                <w:rFonts w:ascii="Arial"/>
                <w:b/>
                <w:sz w:val="18"/>
              </w:rPr>
              <w:t>flows</w:t>
            </w:r>
            <w:r w:rsidRPr="00EB2BD8">
              <w:rPr>
                <w:rFonts w:ascii="Arial"/>
                <w:b/>
                <w:spacing w:val="-3"/>
                <w:sz w:val="18"/>
              </w:rPr>
              <w:t xml:space="preserve"> </w:t>
            </w:r>
            <w:r w:rsidRPr="00EB2BD8">
              <w:rPr>
                <w:rFonts w:ascii="Arial"/>
                <w:b/>
                <w:sz w:val="18"/>
              </w:rPr>
              <w:t>from</w:t>
            </w:r>
            <w:r w:rsidRPr="00EB2BD8">
              <w:rPr>
                <w:rFonts w:ascii="Arial"/>
                <w:b/>
                <w:spacing w:val="-3"/>
                <w:sz w:val="18"/>
              </w:rPr>
              <w:t xml:space="preserve"> </w:t>
            </w:r>
            <w:r w:rsidRPr="00EB2BD8">
              <w:rPr>
                <w:rFonts w:ascii="Arial"/>
                <w:b/>
                <w:sz w:val="18"/>
              </w:rPr>
              <w:t>operating</w:t>
            </w:r>
            <w:r w:rsidRPr="00EB2BD8">
              <w:rPr>
                <w:rFonts w:ascii="Arial"/>
                <w:b/>
                <w:spacing w:val="-2"/>
                <w:sz w:val="18"/>
              </w:rPr>
              <w:t xml:space="preserve"> activities</w:t>
            </w:r>
          </w:p>
        </w:tc>
        <w:tc>
          <w:tcPr>
            <w:tcW w:w="1417" w:type="dxa"/>
            <w:tcBorders>
              <w:top w:val="single" w:sz="4" w:space="0" w:color="0098FF"/>
            </w:tcBorders>
            <w:shd w:val="clear" w:color="auto" w:fill="DEEAF6"/>
          </w:tcPr>
          <w:p w14:paraId="3CA76D1B" w14:textId="77777777" w:rsidR="00084F36" w:rsidRPr="00EB2BD8" w:rsidRDefault="00084F36">
            <w:pPr>
              <w:pStyle w:val="TableParagraph"/>
              <w:rPr>
                <w:rFonts w:ascii="Times New Roman"/>
                <w:sz w:val="16"/>
              </w:rPr>
            </w:pPr>
          </w:p>
        </w:tc>
        <w:tc>
          <w:tcPr>
            <w:tcW w:w="1417" w:type="dxa"/>
            <w:tcBorders>
              <w:top w:val="single" w:sz="4" w:space="0" w:color="0098FF"/>
            </w:tcBorders>
            <w:shd w:val="clear" w:color="auto" w:fill="FFFFFF"/>
          </w:tcPr>
          <w:p w14:paraId="7E117BB9" w14:textId="77777777" w:rsidR="00084F36" w:rsidRPr="00EB2BD8" w:rsidRDefault="00084F36">
            <w:pPr>
              <w:pStyle w:val="TableParagraph"/>
              <w:rPr>
                <w:rFonts w:ascii="Times New Roman"/>
                <w:sz w:val="16"/>
              </w:rPr>
            </w:pPr>
          </w:p>
        </w:tc>
      </w:tr>
      <w:tr w:rsidR="00EB2BD8" w:rsidRPr="00EB2BD8" w14:paraId="1162A56E" w14:textId="77777777">
        <w:trPr>
          <w:trHeight w:val="343"/>
        </w:trPr>
        <w:tc>
          <w:tcPr>
            <w:tcW w:w="7089" w:type="dxa"/>
            <w:gridSpan w:val="3"/>
            <w:shd w:val="clear" w:color="auto" w:fill="FFFFFF"/>
          </w:tcPr>
          <w:p w14:paraId="2B31698D" w14:textId="77777777" w:rsidR="00084F36" w:rsidRPr="00EB2BD8" w:rsidRDefault="00EB2BD8">
            <w:pPr>
              <w:pStyle w:val="TableParagraph"/>
              <w:spacing w:before="65"/>
              <w:ind w:left="112"/>
              <w:rPr>
                <w:rFonts w:ascii="Arial"/>
                <w:b/>
                <w:sz w:val="18"/>
              </w:rPr>
            </w:pPr>
            <w:r w:rsidRPr="00EB2BD8">
              <w:rPr>
                <w:rFonts w:ascii="Arial"/>
                <w:b/>
                <w:spacing w:val="-2"/>
                <w:sz w:val="18"/>
              </w:rPr>
              <w:t>Receipts</w:t>
            </w:r>
          </w:p>
        </w:tc>
        <w:tc>
          <w:tcPr>
            <w:tcW w:w="1417" w:type="dxa"/>
            <w:shd w:val="clear" w:color="auto" w:fill="DEEAF6"/>
          </w:tcPr>
          <w:p w14:paraId="21AB0CE2" w14:textId="77777777" w:rsidR="00084F36" w:rsidRPr="00EB2BD8" w:rsidRDefault="00084F36">
            <w:pPr>
              <w:pStyle w:val="TableParagraph"/>
              <w:rPr>
                <w:rFonts w:ascii="Times New Roman"/>
                <w:sz w:val="16"/>
              </w:rPr>
            </w:pPr>
          </w:p>
        </w:tc>
        <w:tc>
          <w:tcPr>
            <w:tcW w:w="1417" w:type="dxa"/>
            <w:shd w:val="clear" w:color="auto" w:fill="FFFFFF"/>
          </w:tcPr>
          <w:p w14:paraId="3A19F898" w14:textId="77777777" w:rsidR="00084F36" w:rsidRPr="00EB2BD8" w:rsidRDefault="00084F36">
            <w:pPr>
              <w:pStyle w:val="TableParagraph"/>
              <w:rPr>
                <w:rFonts w:ascii="Times New Roman"/>
                <w:sz w:val="16"/>
              </w:rPr>
            </w:pPr>
          </w:p>
        </w:tc>
      </w:tr>
      <w:tr w:rsidR="00EB2BD8" w:rsidRPr="00EB2BD8" w14:paraId="53260244" w14:textId="77777777">
        <w:trPr>
          <w:trHeight w:val="343"/>
        </w:trPr>
        <w:tc>
          <w:tcPr>
            <w:tcW w:w="7089" w:type="dxa"/>
            <w:gridSpan w:val="3"/>
            <w:shd w:val="clear" w:color="auto" w:fill="FFFFFF"/>
          </w:tcPr>
          <w:p w14:paraId="10712802" w14:textId="77777777" w:rsidR="00084F36" w:rsidRPr="00EB2BD8" w:rsidRDefault="00EB2BD8">
            <w:pPr>
              <w:pStyle w:val="TableParagraph"/>
              <w:spacing w:before="65"/>
              <w:ind w:left="112"/>
              <w:rPr>
                <w:rFonts w:ascii="Arial"/>
                <w:sz w:val="18"/>
              </w:rPr>
            </w:pPr>
            <w:r w:rsidRPr="00EB2BD8">
              <w:rPr>
                <w:rFonts w:ascii="Arial"/>
                <w:sz w:val="18"/>
              </w:rPr>
              <w:t>Receipts</w:t>
            </w:r>
            <w:r w:rsidRPr="00EB2BD8">
              <w:rPr>
                <w:rFonts w:ascii="Arial"/>
                <w:spacing w:val="-4"/>
                <w:sz w:val="18"/>
              </w:rPr>
              <w:t xml:space="preserve"> </w:t>
            </w:r>
            <w:r w:rsidRPr="00EB2BD8">
              <w:rPr>
                <w:rFonts w:ascii="Arial"/>
                <w:sz w:val="18"/>
              </w:rPr>
              <w:t>from</w:t>
            </w:r>
            <w:r w:rsidRPr="00EB2BD8">
              <w:rPr>
                <w:rFonts w:ascii="Arial"/>
                <w:spacing w:val="-3"/>
                <w:sz w:val="18"/>
              </w:rPr>
              <w:t xml:space="preserve"> </w:t>
            </w:r>
            <w:r w:rsidRPr="00EB2BD8">
              <w:rPr>
                <w:rFonts w:ascii="Arial"/>
                <w:spacing w:val="-2"/>
                <w:sz w:val="18"/>
              </w:rPr>
              <w:t>customers</w:t>
            </w:r>
          </w:p>
        </w:tc>
        <w:tc>
          <w:tcPr>
            <w:tcW w:w="1417" w:type="dxa"/>
            <w:shd w:val="clear" w:color="auto" w:fill="DEEAF6"/>
          </w:tcPr>
          <w:p w14:paraId="60188D4C" w14:textId="77777777" w:rsidR="00084F36" w:rsidRPr="00EB2BD8" w:rsidRDefault="00EB2BD8">
            <w:pPr>
              <w:pStyle w:val="TableParagraph"/>
              <w:spacing w:before="65"/>
              <w:ind w:right="102"/>
              <w:jc w:val="right"/>
              <w:rPr>
                <w:rFonts w:ascii="Arial"/>
                <w:sz w:val="18"/>
              </w:rPr>
            </w:pPr>
            <w:r w:rsidRPr="00EB2BD8">
              <w:rPr>
                <w:rFonts w:ascii="Arial"/>
                <w:spacing w:val="-2"/>
                <w:sz w:val="18"/>
              </w:rPr>
              <w:t>93,714</w:t>
            </w:r>
          </w:p>
        </w:tc>
        <w:tc>
          <w:tcPr>
            <w:tcW w:w="1417" w:type="dxa"/>
            <w:shd w:val="clear" w:color="auto" w:fill="FFFFFF"/>
          </w:tcPr>
          <w:p w14:paraId="28F17BC5" w14:textId="77777777" w:rsidR="00084F36" w:rsidRPr="00EB2BD8" w:rsidRDefault="00EB2BD8">
            <w:pPr>
              <w:pStyle w:val="TableParagraph"/>
              <w:spacing w:before="65"/>
              <w:ind w:right="100"/>
              <w:jc w:val="right"/>
              <w:rPr>
                <w:rFonts w:ascii="Arial"/>
                <w:sz w:val="18"/>
              </w:rPr>
            </w:pPr>
            <w:r w:rsidRPr="00EB2BD8">
              <w:rPr>
                <w:rFonts w:ascii="Arial"/>
                <w:spacing w:val="-2"/>
                <w:sz w:val="18"/>
              </w:rPr>
              <w:t>78,826</w:t>
            </w:r>
          </w:p>
        </w:tc>
      </w:tr>
      <w:tr w:rsidR="00EB2BD8" w:rsidRPr="00EB2BD8" w14:paraId="616C7FB2" w14:textId="77777777">
        <w:trPr>
          <w:trHeight w:val="343"/>
        </w:trPr>
        <w:tc>
          <w:tcPr>
            <w:tcW w:w="7089" w:type="dxa"/>
            <w:gridSpan w:val="3"/>
            <w:shd w:val="clear" w:color="auto" w:fill="FFFFFF"/>
          </w:tcPr>
          <w:p w14:paraId="7431D267" w14:textId="77777777" w:rsidR="00084F36" w:rsidRPr="00EB2BD8" w:rsidRDefault="00EB2BD8">
            <w:pPr>
              <w:pStyle w:val="TableParagraph"/>
              <w:spacing w:before="65"/>
              <w:ind w:left="112"/>
              <w:rPr>
                <w:rFonts w:ascii="Arial"/>
                <w:sz w:val="18"/>
              </w:rPr>
            </w:pPr>
            <w:r w:rsidRPr="00EB2BD8">
              <w:rPr>
                <w:rFonts w:ascii="Arial"/>
                <w:sz w:val="18"/>
              </w:rPr>
              <w:t>Interest</w:t>
            </w:r>
            <w:r w:rsidRPr="00EB2BD8">
              <w:rPr>
                <w:rFonts w:ascii="Arial"/>
                <w:spacing w:val="-5"/>
                <w:sz w:val="18"/>
              </w:rPr>
              <w:t xml:space="preserve"> </w:t>
            </w:r>
            <w:r w:rsidRPr="00EB2BD8">
              <w:rPr>
                <w:rFonts w:ascii="Arial"/>
                <w:spacing w:val="-2"/>
                <w:sz w:val="18"/>
              </w:rPr>
              <w:t>received</w:t>
            </w:r>
          </w:p>
        </w:tc>
        <w:tc>
          <w:tcPr>
            <w:tcW w:w="1417" w:type="dxa"/>
            <w:shd w:val="clear" w:color="auto" w:fill="DEEAF6"/>
          </w:tcPr>
          <w:p w14:paraId="3661A23E" w14:textId="77777777" w:rsidR="00084F36" w:rsidRPr="00EB2BD8" w:rsidRDefault="00EB2BD8">
            <w:pPr>
              <w:pStyle w:val="TableParagraph"/>
              <w:spacing w:before="65"/>
              <w:ind w:right="102"/>
              <w:jc w:val="right"/>
              <w:rPr>
                <w:rFonts w:ascii="Arial"/>
                <w:sz w:val="18"/>
              </w:rPr>
            </w:pPr>
            <w:r w:rsidRPr="00EB2BD8">
              <w:rPr>
                <w:rFonts w:ascii="Arial"/>
                <w:spacing w:val="-2"/>
                <w:sz w:val="18"/>
              </w:rPr>
              <w:t>1,602</w:t>
            </w:r>
          </w:p>
        </w:tc>
        <w:tc>
          <w:tcPr>
            <w:tcW w:w="1417" w:type="dxa"/>
            <w:shd w:val="clear" w:color="auto" w:fill="FFFFFF"/>
          </w:tcPr>
          <w:p w14:paraId="5A9A02DB" w14:textId="77777777" w:rsidR="00084F36" w:rsidRPr="00EB2BD8" w:rsidRDefault="00EB2BD8">
            <w:pPr>
              <w:pStyle w:val="TableParagraph"/>
              <w:spacing w:before="65"/>
              <w:ind w:right="100"/>
              <w:jc w:val="right"/>
              <w:rPr>
                <w:rFonts w:ascii="Arial"/>
                <w:sz w:val="18"/>
              </w:rPr>
            </w:pPr>
            <w:r w:rsidRPr="00EB2BD8">
              <w:rPr>
                <w:rFonts w:ascii="Arial"/>
                <w:spacing w:val="-5"/>
                <w:sz w:val="18"/>
              </w:rPr>
              <w:t>120</w:t>
            </w:r>
          </w:p>
        </w:tc>
      </w:tr>
      <w:tr w:rsidR="00EB2BD8" w:rsidRPr="00EB2BD8" w14:paraId="4CE66B7D" w14:textId="77777777">
        <w:trPr>
          <w:trHeight w:val="343"/>
        </w:trPr>
        <w:tc>
          <w:tcPr>
            <w:tcW w:w="7089" w:type="dxa"/>
            <w:gridSpan w:val="3"/>
            <w:shd w:val="clear" w:color="auto" w:fill="FFFFFF"/>
          </w:tcPr>
          <w:p w14:paraId="1A6BBE56" w14:textId="77777777" w:rsidR="00084F36" w:rsidRPr="00EB2BD8" w:rsidRDefault="00EB2BD8">
            <w:pPr>
              <w:pStyle w:val="TableParagraph"/>
              <w:spacing w:before="65"/>
              <w:ind w:left="112"/>
              <w:rPr>
                <w:rFonts w:ascii="Arial"/>
                <w:sz w:val="18"/>
              </w:rPr>
            </w:pPr>
            <w:r w:rsidRPr="00EB2BD8">
              <w:rPr>
                <w:rFonts w:ascii="Arial"/>
                <w:sz w:val="18"/>
              </w:rPr>
              <w:t>Receipts</w:t>
            </w:r>
            <w:r w:rsidRPr="00EB2BD8">
              <w:rPr>
                <w:rFonts w:ascii="Arial"/>
                <w:spacing w:val="-3"/>
                <w:sz w:val="18"/>
              </w:rPr>
              <w:t xml:space="preserve"> </w:t>
            </w:r>
            <w:r w:rsidRPr="00EB2BD8">
              <w:rPr>
                <w:rFonts w:ascii="Arial"/>
                <w:sz w:val="18"/>
              </w:rPr>
              <w:t>of</w:t>
            </w:r>
            <w:r w:rsidRPr="00EB2BD8">
              <w:rPr>
                <w:rFonts w:ascii="Arial"/>
                <w:spacing w:val="-3"/>
                <w:sz w:val="18"/>
              </w:rPr>
              <w:t xml:space="preserve"> </w:t>
            </w:r>
            <w:r w:rsidRPr="00EB2BD8">
              <w:rPr>
                <w:rFonts w:ascii="Arial"/>
                <w:sz w:val="18"/>
              </w:rPr>
              <w:t>security</w:t>
            </w:r>
            <w:r w:rsidRPr="00EB2BD8">
              <w:rPr>
                <w:rFonts w:ascii="Arial"/>
                <w:spacing w:val="-2"/>
                <w:sz w:val="18"/>
              </w:rPr>
              <w:t xml:space="preserve"> deposits</w:t>
            </w:r>
          </w:p>
        </w:tc>
        <w:tc>
          <w:tcPr>
            <w:tcW w:w="1417" w:type="dxa"/>
            <w:shd w:val="clear" w:color="auto" w:fill="DEEAF6"/>
          </w:tcPr>
          <w:p w14:paraId="3271A795" w14:textId="77777777" w:rsidR="00084F36" w:rsidRPr="00EB2BD8" w:rsidRDefault="00EB2BD8">
            <w:pPr>
              <w:pStyle w:val="TableParagraph"/>
              <w:spacing w:before="65"/>
              <w:ind w:right="102"/>
              <w:jc w:val="right"/>
              <w:rPr>
                <w:rFonts w:ascii="Arial"/>
                <w:sz w:val="18"/>
              </w:rPr>
            </w:pPr>
            <w:r w:rsidRPr="00EB2BD8">
              <w:rPr>
                <w:rFonts w:ascii="Arial"/>
                <w:spacing w:val="-5"/>
                <w:sz w:val="18"/>
              </w:rPr>
              <w:t>758</w:t>
            </w:r>
          </w:p>
        </w:tc>
        <w:tc>
          <w:tcPr>
            <w:tcW w:w="1417" w:type="dxa"/>
            <w:shd w:val="clear" w:color="auto" w:fill="FFFFFF"/>
          </w:tcPr>
          <w:p w14:paraId="4D36DDC3" w14:textId="77777777" w:rsidR="00084F36" w:rsidRPr="00EB2BD8" w:rsidRDefault="00EB2BD8">
            <w:pPr>
              <w:pStyle w:val="TableParagraph"/>
              <w:spacing w:before="65"/>
              <w:ind w:right="100"/>
              <w:jc w:val="right"/>
              <w:rPr>
                <w:rFonts w:ascii="Arial"/>
                <w:sz w:val="18"/>
              </w:rPr>
            </w:pPr>
            <w:r w:rsidRPr="00EB2BD8">
              <w:rPr>
                <w:rFonts w:ascii="Arial"/>
                <w:spacing w:val="-5"/>
                <w:sz w:val="18"/>
              </w:rPr>
              <w:t>966</w:t>
            </w:r>
          </w:p>
        </w:tc>
      </w:tr>
      <w:tr w:rsidR="00EB2BD8" w:rsidRPr="00EB2BD8" w14:paraId="2A99ACB0" w14:textId="77777777">
        <w:trPr>
          <w:trHeight w:val="349"/>
        </w:trPr>
        <w:tc>
          <w:tcPr>
            <w:tcW w:w="7089" w:type="dxa"/>
            <w:gridSpan w:val="3"/>
            <w:shd w:val="clear" w:color="auto" w:fill="FFFFFF"/>
          </w:tcPr>
          <w:p w14:paraId="3EB67898" w14:textId="77777777" w:rsidR="00084F36" w:rsidRPr="00EB2BD8" w:rsidRDefault="00EB2BD8">
            <w:pPr>
              <w:pStyle w:val="TableParagraph"/>
              <w:spacing w:before="47"/>
              <w:ind w:left="112"/>
              <w:rPr>
                <w:rFonts w:ascii="Arial"/>
                <w:sz w:val="14"/>
              </w:rPr>
            </w:pPr>
            <w:r w:rsidRPr="00EB2BD8">
              <w:rPr>
                <w:rFonts w:ascii="Arial"/>
                <w:sz w:val="18"/>
              </w:rPr>
              <w:t>Goods</w:t>
            </w:r>
            <w:r w:rsidRPr="00EB2BD8">
              <w:rPr>
                <w:rFonts w:ascii="Arial"/>
                <w:spacing w:val="-2"/>
                <w:sz w:val="18"/>
              </w:rPr>
              <w:t xml:space="preserve"> </w:t>
            </w:r>
            <w:r w:rsidRPr="00EB2BD8">
              <w:rPr>
                <w:rFonts w:ascii="Arial"/>
                <w:sz w:val="18"/>
              </w:rPr>
              <w:t>and</w:t>
            </w:r>
            <w:r w:rsidRPr="00EB2BD8">
              <w:rPr>
                <w:rFonts w:ascii="Arial"/>
                <w:spacing w:val="-3"/>
                <w:sz w:val="18"/>
              </w:rPr>
              <w:t xml:space="preserve"> </w:t>
            </w:r>
            <w:r w:rsidRPr="00EB2BD8">
              <w:rPr>
                <w:rFonts w:ascii="Arial"/>
                <w:sz w:val="18"/>
              </w:rPr>
              <w:t>services</w:t>
            </w:r>
            <w:r w:rsidRPr="00EB2BD8">
              <w:rPr>
                <w:rFonts w:ascii="Arial"/>
                <w:spacing w:val="-2"/>
                <w:sz w:val="18"/>
              </w:rPr>
              <w:t xml:space="preserve"> </w:t>
            </w:r>
            <w:r w:rsidRPr="00EB2BD8">
              <w:rPr>
                <w:rFonts w:ascii="Arial"/>
                <w:sz w:val="18"/>
              </w:rPr>
              <w:t>tax</w:t>
            </w:r>
            <w:r w:rsidRPr="00EB2BD8">
              <w:rPr>
                <w:rFonts w:ascii="Arial"/>
                <w:spacing w:val="-1"/>
                <w:sz w:val="18"/>
              </w:rPr>
              <w:t xml:space="preserve"> </w:t>
            </w:r>
            <w:r w:rsidRPr="00EB2BD8">
              <w:rPr>
                <w:rFonts w:ascii="Arial"/>
                <w:sz w:val="18"/>
              </w:rPr>
              <w:t>recovered</w:t>
            </w:r>
            <w:r w:rsidRPr="00EB2BD8">
              <w:rPr>
                <w:rFonts w:ascii="Arial"/>
                <w:spacing w:val="-3"/>
                <w:sz w:val="18"/>
              </w:rPr>
              <w:t xml:space="preserve"> </w:t>
            </w:r>
            <w:r w:rsidRPr="00EB2BD8">
              <w:rPr>
                <w:rFonts w:ascii="Arial"/>
                <w:sz w:val="18"/>
              </w:rPr>
              <w:t>from</w:t>
            </w:r>
            <w:r w:rsidRPr="00EB2BD8">
              <w:rPr>
                <w:rFonts w:ascii="Arial"/>
                <w:spacing w:val="-2"/>
                <w:sz w:val="18"/>
              </w:rPr>
              <w:t xml:space="preserve"> </w:t>
            </w:r>
            <w:r w:rsidRPr="00EB2BD8">
              <w:rPr>
                <w:rFonts w:ascii="Arial"/>
                <w:sz w:val="18"/>
              </w:rPr>
              <w:t xml:space="preserve">the </w:t>
            </w:r>
            <w:r w:rsidRPr="00EB2BD8">
              <w:rPr>
                <w:rFonts w:ascii="Arial"/>
                <w:spacing w:val="-2"/>
                <w:sz w:val="18"/>
              </w:rPr>
              <w:t>ATO</w:t>
            </w:r>
            <w:r w:rsidRPr="00EB2BD8">
              <w:rPr>
                <w:rFonts w:ascii="Arial"/>
                <w:spacing w:val="-2"/>
                <w:position w:val="7"/>
                <w:sz w:val="14"/>
              </w:rPr>
              <w:t>(b)</w:t>
            </w:r>
          </w:p>
        </w:tc>
        <w:tc>
          <w:tcPr>
            <w:tcW w:w="1417" w:type="dxa"/>
            <w:shd w:val="clear" w:color="auto" w:fill="DEEAF6"/>
          </w:tcPr>
          <w:p w14:paraId="793D456B" w14:textId="77777777" w:rsidR="00084F36" w:rsidRPr="00EB2BD8" w:rsidRDefault="00EB2BD8">
            <w:pPr>
              <w:pStyle w:val="TableParagraph"/>
              <w:spacing w:before="65"/>
              <w:ind w:right="102"/>
              <w:jc w:val="right"/>
              <w:rPr>
                <w:rFonts w:ascii="Arial"/>
                <w:sz w:val="18"/>
              </w:rPr>
            </w:pPr>
            <w:r w:rsidRPr="00EB2BD8">
              <w:rPr>
                <w:rFonts w:ascii="Arial"/>
                <w:spacing w:val="-2"/>
                <w:sz w:val="18"/>
              </w:rPr>
              <w:t>3,481</w:t>
            </w:r>
          </w:p>
        </w:tc>
        <w:tc>
          <w:tcPr>
            <w:tcW w:w="1417" w:type="dxa"/>
            <w:shd w:val="clear" w:color="auto" w:fill="FFFFFF"/>
          </w:tcPr>
          <w:p w14:paraId="3E9D10C8" w14:textId="77777777" w:rsidR="00084F36" w:rsidRPr="00EB2BD8" w:rsidRDefault="00EB2BD8">
            <w:pPr>
              <w:pStyle w:val="TableParagraph"/>
              <w:spacing w:before="65"/>
              <w:ind w:right="100"/>
              <w:jc w:val="right"/>
              <w:rPr>
                <w:rFonts w:ascii="Arial"/>
                <w:sz w:val="18"/>
              </w:rPr>
            </w:pPr>
            <w:r w:rsidRPr="00EB2BD8">
              <w:rPr>
                <w:rFonts w:ascii="Arial"/>
                <w:spacing w:val="-2"/>
                <w:sz w:val="18"/>
              </w:rPr>
              <w:t>3,367</w:t>
            </w:r>
          </w:p>
        </w:tc>
      </w:tr>
      <w:tr w:rsidR="00EB2BD8" w:rsidRPr="00EB2BD8" w14:paraId="34F57B91" w14:textId="77777777">
        <w:trPr>
          <w:trHeight w:val="334"/>
        </w:trPr>
        <w:tc>
          <w:tcPr>
            <w:tcW w:w="7089" w:type="dxa"/>
            <w:gridSpan w:val="3"/>
            <w:tcBorders>
              <w:bottom w:val="single" w:sz="12" w:space="0" w:color="000000"/>
            </w:tcBorders>
            <w:shd w:val="clear" w:color="auto" w:fill="FFFFFF"/>
          </w:tcPr>
          <w:p w14:paraId="6482A238" w14:textId="77777777" w:rsidR="00084F36" w:rsidRPr="00EB2BD8" w:rsidRDefault="00EB2BD8">
            <w:pPr>
              <w:pStyle w:val="TableParagraph"/>
              <w:spacing w:before="57"/>
              <w:ind w:left="112"/>
              <w:rPr>
                <w:rFonts w:ascii="Arial"/>
                <w:sz w:val="18"/>
              </w:rPr>
            </w:pPr>
            <w:r w:rsidRPr="00EB2BD8">
              <w:rPr>
                <w:rFonts w:ascii="Arial"/>
                <w:sz w:val="18"/>
              </w:rPr>
              <w:t>Grants</w:t>
            </w:r>
            <w:r w:rsidRPr="00EB2BD8">
              <w:rPr>
                <w:rFonts w:ascii="Arial"/>
                <w:spacing w:val="-3"/>
                <w:sz w:val="18"/>
              </w:rPr>
              <w:t xml:space="preserve"> </w:t>
            </w:r>
            <w:r w:rsidRPr="00EB2BD8">
              <w:rPr>
                <w:rFonts w:ascii="Arial"/>
                <w:sz w:val="18"/>
              </w:rPr>
              <w:t>received</w:t>
            </w:r>
            <w:r w:rsidRPr="00EB2BD8">
              <w:rPr>
                <w:rFonts w:ascii="Arial"/>
                <w:spacing w:val="-2"/>
                <w:sz w:val="18"/>
              </w:rPr>
              <w:t xml:space="preserve"> </w:t>
            </w:r>
            <w:r w:rsidRPr="00EB2BD8">
              <w:rPr>
                <w:rFonts w:ascii="Arial"/>
                <w:sz w:val="18"/>
              </w:rPr>
              <w:t>from</w:t>
            </w:r>
            <w:r w:rsidRPr="00EB2BD8">
              <w:rPr>
                <w:rFonts w:ascii="Arial"/>
                <w:spacing w:val="-3"/>
                <w:sz w:val="18"/>
              </w:rPr>
              <w:t xml:space="preserve"> </w:t>
            </w:r>
            <w:r w:rsidRPr="00EB2BD8">
              <w:rPr>
                <w:rFonts w:ascii="Arial"/>
                <w:sz w:val="18"/>
              </w:rPr>
              <w:t>State</w:t>
            </w:r>
            <w:r w:rsidRPr="00EB2BD8">
              <w:rPr>
                <w:rFonts w:ascii="Arial"/>
                <w:spacing w:val="-2"/>
                <w:sz w:val="18"/>
              </w:rPr>
              <w:t xml:space="preserve"> Government</w:t>
            </w:r>
          </w:p>
        </w:tc>
        <w:tc>
          <w:tcPr>
            <w:tcW w:w="1417" w:type="dxa"/>
            <w:tcBorders>
              <w:bottom w:val="single" w:sz="12" w:space="0" w:color="000000"/>
            </w:tcBorders>
            <w:shd w:val="clear" w:color="auto" w:fill="DEEAF6"/>
          </w:tcPr>
          <w:p w14:paraId="029626B9" w14:textId="77777777" w:rsidR="00084F36" w:rsidRPr="00EB2BD8" w:rsidRDefault="00EB2BD8">
            <w:pPr>
              <w:pStyle w:val="TableParagraph"/>
              <w:spacing w:before="57"/>
              <w:ind w:right="102"/>
              <w:jc w:val="right"/>
              <w:rPr>
                <w:rFonts w:ascii="Arial"/>
                <w:sz w:val="18"/>
              </w:rPr>
            </w:pPr>
            <w:r w:rsidRPr="00EB2BD8">
              <w:rPr>
                <w:rFonts w:ascii="Arial"/>
                <w:spacing w:val="-2"/>
                <w:sz w:val="18"/>
              </w:rPr>
              <w:t>23,174</w:t>
            </w:r>
          </w:p>
        </w:tc>
        <w:tc>
          <w:tcPr>
            <w:tcW w:w="1417" w:type="dxa"/>
            <w:tcBorders>
              <w:bottom w:val="single" w:sz="12" w:space="0" w:color="000000"/>
            </w:tcBorders>
            <w:shd w:val="clear" w:color="auto" w:fill="FFFFFF"/>
          </w:tcPr>
          <w:p w14:paraId="55583BA8" w14:textId="77777777" w:rsidR="00084F36" w:rsidRPr="00EB2BD8" w:rsidRDefault="00EB2BD8">
            <w:pPr>
              <w:pStyle w:val="TableParagraph"/>
              <w:spacing w:before="57"/>
              <w:ind w:right="100"/>
              <w:jc w:val="right"/>
              <w:rPr>
                <w:rFonts w:ascii="Arial"/>
                <w:sz w:val="18"/>
              </w:rPr>
            </w:pPr>
            <w:r w:rsidRPr="00EB2BD8">
              <w:rPr>
                <w:rFonts w:ascii="Arial"/>
                <w:spacing w:val="-2"/>
                <w:sz w:val="18"/>
              </w:rPr>
              <w:t>14,090</w:t>
            </w:r>
          </w:p>
        </w:tc>
      </w:tr>
      <w:tr w:rsidR="00EB2BD8" w:rsidRPr="00EB2BD8" w14:paraId="1ECA610D" w14:textId="77777777">
        <w:trPr>
          <w:trHeight w:val="342"/>
        </w:trPr>
        <w:tc>
          <w:tcPr>
            <w:tcW w:w="7089" w:type="dxa"/>
            <w:gridSpan w:val="3"/>
            <w:tcBorders>
              <w:top w:val="single" w:sz="12" w:space="0" w:color="000000"/>
              <w:bottom w:val="single" w:sz="12" w:space="0" w:color="000000"/>
            </w:tcBorders>
            <w:shd w:val="clear" w:color="auto" w:fill="FFFFFF"/>
          </w:tcPr>
          <w:p w14:paraId="48924ADC" w14:textId="77777777" w:rsidR="00084F36" w:rsidRPr="00EB2BD8" w:rsidRDefault="00EB2BD8">
            <w:pPr>
              <w:pStyle w:val="TableParagraph"/>
              <w:spacing w:before="66"/>
              <w:ind w:left="112"/>
              <w:rPr>
                <w:rFonts w:ascii="Arial"/>
                <w:b/>
                <w:sz w:val="18"/>
              </w:rPr>
            </w:pPr>
            <w:r w:rsidRPr="00EB2BD8">
              <w:rPr>
                <w:rFonts w:ascii="Arial"/>
                <w:b/>
                <w:sz w:val="18"/>
              </w:rPr>
              <w:t>Total</w:t>
            </w:r>
            <w:r w:rsidRPr="00EB2BD8">
              <w:rPr>
                <w:rFonts w:ascii="Arial"/>
                <w:b/>
                <w:spacing w:val="-1"/>
                <w:sz w:val="18"/>
              </w:rPr>
              <w:t xml:space="preserve"> </w:t>
            </w:r>
            <w:r w:rsidRPr="00EB2BD8">
              <w:rPr>
                <w:rFonts w:ascii="Arial"/>
                <w:b/>
                <w:spacing w:val="-2"/>
                <w:sz w:val="18"/>
              </w:rPr>
              <w:t>receipts</w:t>
            </w:r>
          </w:p>
        </w:tc>
        <w:tc>
          <w:tcPr>
            <w:tcW w:w="1417" w:type="dxa"/>
            <w:tcBorders>
              <w:top w:val="single" w:sz="12" w:space="0" w:color="000000"/>
              <w:bottom w:val="single" w:sz="12" w:space="0" w:color="000000"/>
            </w:tcBorders>
            <w:shd w:val="clear" w:color="auto" w:fill="DEEAF6"/>
          </w:tcPr>
          <w:p w14:paraId="2F4EA3F4" w14:textId="77777777" w:rsidR="00084F36" w:rsidRPr="00EB2BD8" w:rsidRDefault="00EB2BD8">
            <w:pPr>
              <w:pStyle w:val="TableParagraph"/>
              <w:spacing w:before="66"/>
              <w:ind w:right="102"/>
              <w:jc w:val="right"/>
              <w:rPr>
                <w:rFonts w:ascii="Arial"/>
                <w:b/>
                <w:sz w:val="18"/>
              </w:rPr>
            </w:pPr>
            <w:r w:rsidRPr="00EB2BD8">
              <w:rPr>
                <w:rFonts w:ascii="Arial"/>
                <w:b/>
                <w:spacing w:val="-2"/>
                <w:sz w:val="18"/>
              </w:rPr>
              <w:t>122,729</w:t>
            </w:r>
          </w:p>
        </w:tc>
        <w:tc>
          <w:tcPr>
            <w:tcW w:w="1417" w:type="dxa"/>
            <w:tcBorders>
              <w:top w:val="single" w:sz="12" w:space="0" w:color="000000"/>
              <w:bottom w:val="single" w:sz="12" w:space="0" w:color="000000"/>
            </w:tcBorders>
            <w:shd w:val="clear" w:color="auto" w:fill="FFFFFF"/>
          </w:tcPr>
          <w:p w14:paraId="76F48CCC" w14:textId="77777777" w:rsidR="00084F36" w:rsidRPr="00EB2BD8" w:rsidRDefault="00EB2BD8">
            <w:pPr>
              <w:pStyle w:val="TableParagraph"/>
              <w:spacing w:before="66"/>
              <w:ind w:right="100"/>
              <w:jc w:val="right"/>
              <w:rPr>
                <w:rFonts w:ascii="Arial"/>
                <w:b/>
                <w:sz w:val="18"/>
              </w:rPr>
            </w:pPr>
            <w:r w:rsidRPr="00EB2BD8">
              <w:rPr>
                <w:rFonts w:ascii="Arial"/>
                <w:b/>
                <w:spacing w:val="-2"/>
                <w:sz w:val="18"/>
              </w:rPr>
              <w:t>97,369</w:t>
            </w:r>
          </w:p>
        </w:tc>
      </w:tr>
      <w:tr w:rsidR="00EB2BD8" w:rsidRPr="00EB2BD8" w14:paraId="195E461B" w14:textId="77777777">
        <w:trPr>
          <w:trHeight w:val="345"/>
        </w:trPr>
        <w:tc>
          <w:tcPr>
            <w:tcW w:w="7089" w:type="dxa"/>
            <w:gridSpan w:val="3"/>
            <w:tcBorders>
              <w:top w:val="single" w:sz="12" w:space="0" w:color="000000"/>
            </w:tcBorders>
            <w:shd w:val="clear" w:color="auto" w:fill="FFFFFF"/>
          </w:tcPr>
          <w:p w14:paraId="54F9FBC6" w14:textId="77777777" w:rsidR="00084F36" w:rsidRPr="00EB2BD8" w:rsidRDefault="00EB2BD8">
            <w:pPr>
              <w:pStyle w:val="TableParagraph"/>
              <w:spacing w:before="67"/>
              <w:ind w:left="112"/>
              <w:rPr>
                <w:rFonts w:ascii="Arial"/>
                <w:b/>
                <w:sz w:val="18"/>
              </w:rPr>
            </w:pPr>
            <w:r w:rsidRPr="00EB2BD8">
              <w:rPr>
                <w:rFonts w:ascii="Arial"/>
                <w:b/>
                <w:spacing w:val="-2"/>
                <w:sz w:val="18"/>
              </w:rPr>
              <w:t>Payments</w:t>
            </w:r>
          </w:p>
        </w:tc>
        <w:tc>
          <w:tcPr>
            <w:tcW w:w="1417" w:type="dxa"/>
            <w:tcBorders>
              <w:top w:val="single" w:sz="12" w:space="0" w:color="000000"/>
            </w:tcBorders>
            <w:shd w:val="clear" w:color="auto" w:fill="DEEAF6"/>
          </w:tcPr>
          <w:p w14:paraId="153CC2C9" w14:textId="77777777" w:rsidR="00084F36" w:rsidRPr="00EB2BD8" w:rsidRDefault="00084F36">
            <w:pPr>
              <w:pStyle w:val="TableParagraph"/>
              <w:rPr>
                <w:rFonts w:ascii="Times New Roman"/>
                <w:sz w:val="16"/>
              </w:rPr>
            </w:pPr>
          </w:p>
        </w:tc>
        <w:tc>
          <w:tcPr>
            <w:tcW w:w="1417" w:type="dxa"/>
            <w:tcBorders>
              <w:top w:val="single" w:sz="12" w:space="0" w:color="000000"/>
            </w:tcBorders>
            <w:shd w:val="clear" w:color="auto" w:fill="FFFFFF"/>
          </w:tcPr>
          <w:p w14:paraId="5709430E" w14:textId="77777777" w:rsidR="00084F36" w:rsidRPr="00EB2BD8" w:rsidRDefault="00084F36">
            <w:pPr>
              <w:pStyle w:val="TableParagraph"/>
              <w:rPr>
                <w:rFonts w:ascii="Times New Roman"/>
                <w:sz w:val="16"/>
              </w:rPr>
            </w:pPr>
          </w:p>
        </w:tc>
      </w:tr>
      <w:tr w:rsidR="00EB2BD8" w:rsidRPr="00EB2BD8" w14:paraId="60221C5E" w14:textId="77777777">
        <w:trPr>
          <w:trHeight w:val="343"/>
        </w:trPr>
        <w:tc>
          <w:tcPr>
            <w:tcW w:w="7089" w:type="dxa"/>
            <w:gridSpan w:val="3"/>
            <w:shd w:val="clear" w:color="auto" w:fill="FFFFFF"/>
          </w:tcPr>
          <w:p w14:paraId="50B4415D" w14:textId="77777777" w:rsidR="00084F36" w:rsidRPr="00EB2BD8" w:rsidRDefault="00EB2BD8">
            <w:pPr>
              <w:pStyle w:val="TableParagraph"/>
              <w:spacing w:before="65"/>
              <w:ind w:left="112"/>
              <w:rPr>
                <w:rFonts w:ascii="Arial"/>
                <w:sz w:val="18"/>
              </w:rPr>
            </w:pPr>
            <w:r w:rsidRPr="00EB2BD8">
              <w:rPr>
                <w:rFonts w:ascii="Arial"/>
                <w:sz w:val="18"/>
              </w:rPr>
              <w:t>Payments</w:t>
            </w:r>
            <w:r w:rsidRPr="00EB2BD8">
              <w:rPr>
                <w:rFonts w:ascii="Arial"/>
                <w:spacing w:val="-5"/>
                <w:sz w:val="18"/>
              </w:rPr>
              <w:t xml:space="preserve"> </w:t>
            </w:r>
            <w:r w:rsidRPr="00EB2BD8">
              <w:rPr>
                <w:rFonts w:ascii="Arial"/>
                <w:sz w:val="18"/>
              </w:rPr>
              <w:t>of</w:t>
            </w:r>
            <w:r w:rsidRPr="00EB2BD8">
              <w:rPr>
                <w:rFonts w:ascii="Arial"/>
                <w:spacing w:val="-2"/>
                <w:sz w:val="18"/>
              </w:rPr>
              <w:t xml:space="preserve"> grants</w:t>
            </w:r>
          </w:p>
        </w:tc>
        <w:tc>
          <w:tcPr>
            <w:tcW w:w="1417" w:type="dxa"/>
            <w:shd w:val="clear" w:color="auto" w:fill="DEEAF6"/>
          </w:tcPr>
          <w:p w14:paraId="2E3C7889" w14:textId="77777777" w:rsidR="00084F36" w:rsidRPr="00EB2BD8" w:rsidRDefault="00EB2BD8">
            <w:pPr>
              <w:pStyle w:val="TableParagraph"/>
              <w:spacing w:before="65"/>
              <w:ind w:right="103"/>
              <w:jc w:val="right"/>
              <w:rPr>
                <w:rFonts w:ascii="Arial"/>
                <w:sz w:val="18"/>
              </w:rPr>
            </w:pPr>
            <w:r w:rsidRPr="00EB2BD8">
              <w:rPr>
                <w:rFonts w:ascii="Arial"/>
                <w:spacing w:val="-2"/>
                <w:sz w:val="18"/>
              </w:rPr>
              <w:t>(1,223)</w:t>
            </w:r>
          </w:p>
        </w:tc>
        <w:tc>
          <w:tcPr>
            <w:tcW w:w="1417" w:type="dxa"/>
            <w:shd w:val="clear" w:color="auto" w:fill="FFFFFF"/>
          </w:tcPr>
          <w:p w14:paraId="60E8DAE3" w14:textId="77777777" w:rsidR="00084F36" w:rsidRPr="00EB2BD8" w:rsidRDefault="00EB2BD8">
            <w:pPr>
              <w:pStyle w:val="TableParagraph"/>
              <w:spacing w:before="65"/>
              <w:ind w:right="101"/>
              <w:jc w:val="right"/>
              <w:rPr>
                <w:rFonts w:ascii="Arial"/>
                <w:sz w:val="18"/>
              </w:rPr>
            </w:pPr>
            <w:r w:rsidRPr="00EB2BD8">
              <w:rPr>
                <w:rFonts w:ascii="Arial"/>
                <w:spacing w:val="-2"/>
                <w:sz w:val="18"/>
              </w:rPr>
              <w:t>(1,043)</w:t>
            </w:r>
          </w:p>
        </w:tc>
      </w:tr>
      <w:tr w:rsidR="00EB2BD8" w:rsidRPr="00EB2BD8" w14:paraId="7C9A72C9" w14:textId="77777777">
        <w:trPr>
          <w:trHeight w:val="343"/>
        </w:trPr>
        <w:tc>
          <w:tcPr>
            <w:tcW w:w="7089" w:type="dxa"/>
            <w:gridSpan w:val="3"/>
            <w:shd w:val="clear" w:color="auto" w:fill="FFFFFF"/>
          </w:tcPr>
          <w:p w14:paraId="17A71D30" w14:textId="77777777" w:rsidR="00084F36" w:rsidRPr="00EB2BD8" w:rsidRDefault="00EB2BD8">
            <w:pPr>
              <w:pStyle w:val="TableParagraph"/>
              <w:spacing w:before="65"/>
              <w:ind w:left="112"/>
              <w:rPr>
                <w:rFonts w:ascii="Arial"/>
                <w:sz w:val="18"/>
              </w:rPr>
            </w:pPr>
            <w:r w:rsidRPr="00EB2BD8">
              <w:rPr>
                <w:rFonts w:ascii="Arial"/>
                <w:sz w:val="18"/>
              </w:rPr>
              <w:t>Payment</w:t>
            </w:r>
            <w:r w:rsidRPr="00EB2BD8">
              <w:rPr>
                <w:rFonts w:ascii="Arial"/>
                <w:spacing w:val="-5"/>
                <w:sz w:val="18"/>
              </w:rPr>
              <w:t xml:space="preserve"> </w:t>
            </w:r>
            <w:r w:rsidRPr="00EB2BD8">
              <w:rPr>
                <w:rFonts w:ascii="Arial"/>
                <w:sz w:val="18"/>
              </w:rPr>
              <w:t>of</w:t>
            </w:r>
            <w:r w:rsidRPr="00EB2BD8">
              <w:rPr>
                <w:rFonts w:ascii="Arial"/>
                <w:spacing w:val="-2"/>
                <w:sz w:val="18"/>
              </w:rPr>
              <w:t xml:space="preserve"> interest</w:t>
            </w:r>
          </w:p>
        </w:tc>
        <w:tc>
          <w:tcPr>
            <w:tcW w:w="1417" w:type="dxa"/>
            <w:shd w:val="clear" w:color="auto" w:fill="DEEAF6"/>
          </w:tcPr>
          <w:p w14:paraId="01178884" w14:textId="77777777" w:rsidR="00084F36" w:rsidRPr="00EB2BD8" w:rsidRDefault="00EB2BD8">
            <w:pPr>
              <w:pStyle w:val="TableParagraph"/>
              <w:spacing w:before="65"/>
              <w:ind w:right="103"/>
              <w:jc w:val="right"/>
              <w:rPr>
                <w:rFonts w:ascii="Arial"/>
                <w:sz w:val="18"/>
              </w:rPr>
            </w:pPr>
            <w:r w:rsidRPr="00EB2BD8">
              <w:rPr>
                <w:rFonts w:ascii="Arial"/>
                <w:spacing w:val="-2"/>
                <w:sz w:val="18"/>
              </w:rPr>
              <w:t>(139)</w:t>
            </w:r>
          </w:p>
        </w:tc>
        <w:tc>
          <w:tcPr>
            <w:tcW w:w="1417" w:type="dxa"/>
            <w:shd w:val="clear" w:color="auto" w:fill="FFFFFF"/>
          </w:tcPr>
          <w:p w14:paraId="7EDCEDC4" w14:textId="77777777" w:rsidR="00084F36" w:rsidRPr="00EB2BD8" w:rsidRDefault="00EB2BD8">
            <w:pPr>
              <w:pStyle w:val="TableParagraph"/>
              <w:spacing w:before="65"/>
              <w:ind w:right="102"/>
              <w:jc w:val="right"/>
              <w:rPr>
                <w:rFonts w:ascii="Arial"/>
                <w:sz w:val="18"/>
              </w:rPr>
            </w:pPr>
            <w:r w:rsidRPr="00EB2BD8">
              <w:rPr>
                <w:rFonts w:ascii="Arial"/>
                <w:spacing w:val="-2"/>
                <w:sz w:val="18"/>
              </w:rPr>
              <w:t>(187)</w:t>
            </w:r>
          </w:p>
        </w:tc>
      </w:tr>
      <w:tr w:rsidR="00EB2BD8" w:rsidRPr="00EB2BD8" w14:paraId="7AF2040B" w14:textId="77777777">
        <w:trPr>
          <w:trHeight w:val="342"/>
        </w:trPr>
        <w:tc>
          <w:tcPr>
            <w:tcW w:w="7089" w:type="dxa"/>
            <w:gridSpan w:val="3"/>
            <w:shd w:val="clear" w:color="auto" w:fill="FFFFFF"/>
          </w:tcPr>
          <w:p w14:paraId="4C3274B1" w14:textId="77777777" w:rsidR="00084F36" w:rsidRPr="00EB2BD8" w:rsidRDefault="00EB2BD8">
            <w:pPr>
              <w:pStyle w:val="TableParagraph"/>
              <w:spacing w:before="65"/>
              <w:ind w:left="112"/>
              <w:rPr>
                <w:rFonts w:ascii="Arial"/>
                <w:sz w:val="18"/>
              </w:rPr>
            </w:pPr>
            <w:r w:rsidRPr="00EB2BD8">
              <w:rPr>
                <w:rFonts w:ascii="Arial"/>
                <w:sz w:val="18"/>
              </w:rPr>
              <w:t>Refunds</w:t>
            </w:r>
            <w:r w:rsidRPr="00EB2BD8">
              <w:rPr>
                <w:rFonts w:ascii="Arial"/>
                <w:spacing w:val="-3"/>
                <w:sz w:val="18"/>
              </w:rPr>
              <w:t xml:space="preserve"> </w:t>
            </w:r>
            <w:r w:rsidRPr="00EB2BD8">
              <w:rPr>
                <w:rFonts w:ascii="Arial"/>
                <w:sz w:val="18"/>
              </w:rPr>
              <w:t>of</w:t>
            </w:r>
            <w:r w:rsidRPr="00EB2BD8">
              <w:rPr>
                <w:rFonts w:ascii="Arial"/>
                <w:spacing w:val="-2"/>
                <w:sz w:val="18"/>
              </w:rPr>
              <w:t xml:space="preserve"> </w:t>
            </w:r>
            <w:r w:rsidRPr="00EB2BD8">
              <w:rPr>
                <w:rFonts w:ascii="Arial"/>
                <w:sz w:val="18"/>
              </w:rPr>
              <w:t>security</w:t>
            </w:r>
            <w:r w:rsidRPr="00EB2BD8">
              <w:rPr>
                <w:rFonts w:ascii="Arial"/>
                <w:spacing w:val="-2"/>
                <w:sz w:val="18"/>
              </w:rPr>
              <w:t xml:space="preserve"> deposits</w:t>
            </w:r>
          </w:p>
        </w:tc>
        <w:tc>
          <w:tcPr>
            <w:tcW w:w="1417" w:type="dxa"/>
            <w:shd w:val="clear" w:color="auto" w:fill="DEEAF6"/>
          </w:tcPr>
          <w:p w14:paraId="46B384E4" w14:textId="77777777" w:rsidR="00084F36" w:rsidRPr="00EB2BD8" w:rsidRDefault="00EB2BD8">
            <w:pPr>
              <w:pStyle w:val="TableParagraph"/>
              <w:spacing w:before="65"/>
              <w:ind w:right="103"/>
              <w:jc w:val="right"/>
              <w:rPr>
                <w:rFonts w:ascii="Arial"/>
                <w:sz w:val="18"/>
              </w:rPr>
            </w:pPr>
            <w:r w:rsidRPr="00EB2BD8">
              <w:rPr>
                <w:rFonts w:ascii="Arial"/>
                <w:spacing w:val="-2"/>
                <w:sz w:val="18"/>
              </w:rPr>
              <w:t>(638)</w:t>
            </w:r>
          </w:p>
        </w:tc>
        <w:tc>
          <w:tcPr>
            <w:tcW w:w="1417" w:type="dxa"/>
            <w:shd w:val="clear" w:color="auto" w:fill="FFFFFF"/>
          </w:tcPr>
          <w:p w14:paraId="6FFDE974" w14:textId="77777777" w:rsidR="00084F36" w:rsidRPr="00EB2BD8" w:rsidRDefault="00EB2BD8">
            <w:pPr>
              <w:pStyle w:val="TableParagraph"/>
              <w:spacing w:before="65"/>
              <w:ind w:right="102"/>
              <w:jc w:val="right"/>
              <w:rPr>
                <w:rFonts w:ascii="Arial"/>
                <w:sz w:val="18"/>
              </w:rPr>
            </w:pPr>
            <w:r w:rsidRPr="00EB2BD8">
              <w:rPr>
                <w:rFonts w:ascii="Arial"/>
                <w:spacing w:val="-2"/>
                <w:sz w:val="18"/>
              </w:rPr>
              <w:t>(602)</w:t>
            </w:r>
          </w:p>
        </w:tc>
      </w:tr>
      <w:tr w:rsidR="00EB2BD8" w:rsidRPr="00EB2BD8" w14:paraId="05CE6B67" w14:textId="77777777">
        <w:trPr>
          <w:trHeight w:val="341"/>
        </w:trPr>
        <w:tc>
          <w:tcPr>
            <w:tcW w:w="7089" w:type="dxa"/>
            <w:gridSpan w:val="3"/>
            <w:tcBorders>
              <w:bottom w:val="single" w:sz="12" w:space="0" w:color="000000"/>
            </w:tcBorders>
            <w:shd w:val="clear" w:color="auto" w:fill="FFFFFF"/>
          </w:tcPr>
          <w:p w14:paraId="31921268" w14:textId="77777777" w:rsidR="00084F36" w:rsidRPr="00EB2BD8" w:rsidRDefault="00EB2BD8">
            <w:pPr>
              <w:pStyle w:val="TableParagraph"/>
              <w:spacing w:before="64"/>
              <w:ind w:left="112"/>
              <w:rPr>
                <w:rFonts w:ascii="Arial"/>
                <w:sz w:val="18"/>
              </w:rPr>
            </w:pPr>
            <w:r w:rsidRPr="00EB2BD8">
              <w:rPr>
                <w:rFonts w:ascii="Arial"/>
                <w:sz w:val="18"/>
              </w:rPr>
              <w:t>Payments</w:t>
            </w:r>
            <w:r w:rsidRPr="00EB2BD8">
              <w:rPr>
                <w:rFonts w:ascii="Arial"/>
                <w:spacing w:val="-3"/>
                <w:sz w:val="18"/>
              </w:rPr>
              <w:t xml:space="preserve"> </w:t>
            </w:r>
            <w:r w:rsidRPr="00EB2BD8">
              <w:rPr>
                <w:rFonts w:ascii="Arial"/>
                <w:sz w:val="18"/>
              </w:rPr>
              <w:t>to</w:t>
            </w:r>
            <w:r w:rsidRPr="00EB2BD8">
              <w:rPr>
                <w:rFonts w:ascii="Arial"/>
                <w:spacing w:val="-3"/>
                <w:sz w:val="18"/>
              </w:rPr>
              <w:t xml:space="preserve"> </w:t>
            </w:r>
            <w:r w:rsidRPr="00EB2BD8">
              <w:rPr>
                <w:rFonts w:ascii="Arial"/>
                <w:sz w:val="18"/>
              </w:rPr>
              <w:t>suppliers</w:t>
            </w:r>
            <w:r w:rsidRPr="00EB2BD8">
              <w:rPr>
                <w:rFonts w:ascii="Arial"/>
                <w:spacing w:val="-3"/>
                <w:sz w:val="18"/>
              </w:rPr>
              <w:t xml:space="preserve"> </w:t>
            </w:r>
            <w:r w:rsidRPr="00EB2BD8">
              <w:rPr>
                <w:rFonts w:ascii="Arial"/>
                <w:sz w:val="18"/>
              </w:rPr>
              <w:t>and</w:t>
            </w:r>
            <w:r w:rsidRPr="00EB2BD8">
              <w:rPr>
                <w:rFonts w:ascii="Arial"/>
                <w:spacing w:val="-3"/>
                <w:sz w:val="18"/>
              </w:rPr>
              <w:t xml:space="preserve"> </w:t>
            </w:r>
            <w:r w:rsidRPr="00EB2BD8">
              <w:rPr>
                <w:rFonts w:ascii="Arial"/>
                <w:spacing w:val="-2"/>
                <w:sz w:val="18"/>
              </w:rPr>
              <w:t>employees</w:t>
            </w:r>
          </w:p>
        </w:tc>
        <w:tc>
          <w:tcPr>
            <w:tcW w:w="1417" w:type="dxa"/>
            <w:tcBorders>
              <w:bottom w:val="single" w:sz="12" w:space="0" w:color="000000"/>
            </w:tcBorders>
            <w:shd w:val="clear" w:color="auto" w:fill="DEEAF6"/>
          </w:tcPr>
          <w:p w14:paraId="4BD8F5B9" w14:textId="77777777" w:rsidR="00084F36" w:rsidRPr="00EB2BD8" w:rsidRDefault="00EB2BD8">
            <w:pPr>
              <w:pStyle w:val="TableParagraph"/>
              <w:spacing w:before="64"/>
              <w:ind w:right="104"/>
              <w:jc w:val="right"/>
              <w:rPr>
                <w:rFonts w:ascii="Arial"/>
                <w:sz w:val="18"/>
              </w:rPr>
            </w:pPr>
            <w:r w:rsidRPr="00EB2BD8">
              <w:rPr>
                <w:rFonts w:ascii="Arial"/>
                <w:spacing w:val="-2"/>
                <w:sz w:val="18"/>
              </w:rPr>
              <w:t>(95,958)</w:t>
            </w:r>
          </w:p>
        </w:tc>
        <w:tc>
          <w:tcPr>
            <w:tcW w:w="1417" w:type="dxa"/>
            <w:tcBorders>
              <w:bottom w:val="single" w:sz="12" w:space="0" w:color="000000"/>
            </w:tcBorders>
            <w:shd w:val="clear" w:color="auto" w:fill="FFFFFF"/>
          </w:tcPr>
          <w:p w14:paraId="5D57A128" w14:textId="77777777" w:rsidR="00084F36" w:rsidRPr="00EB2BD8" w:rsidRDefault="00EB2BD8">
            <w:pPr>
              <w:pStyle w:val="TableParagraph"/>
              <w:spacing w:before="64"/>
              <w:ind w:right="101"/>
              <w:jc w:val="right"/>
              <w:rPr>
                <w:rFonts w:ascii="Arial"/>
                <w:sz w:val="18"/>
              </w:rPr>
            </w:pPr>
            <w:r w:rsidRPr="00EB2BD8">
              <w:rPr>
                <w:rFonts w:ascii="Arial"/>
                <w:spacing w:val="-2"/>
                <w:sz w:val="18"/>
              </w:rPr>
              <w:t>(103,334)</w:t>
            </w:r>
          </w:p>
        </w:tc>
      </w:tr>
      <w:tr w:rsidR="00EB2BD8" w:rsidRPr="00EB2BD8" w14:paraId="423890E4" w14:textId="77777777">
        <w:trPr>
          <w:trHeight w:val="341"/>
        </w:trPr>
        <w:tc>
          <w:tcPr>
            <w:tcW w:w="7089" w:type="dxa"/>
            <w:gridSpan w:val="3"/>
            <w:tcBorders>
              <w:top w:val="single" w:sz="12" w:space="0" w:color="000000"/>
              <w:bottom w:val="single" w:sz="12" w:space="0" w:color="000000"/>
            </w:tcBorders>
            <w:shd w:val="clear" w:color="auto" w:fill="FFFFFF"/>
          </w:tcPr>
          <w:p w14:paraId="5AFB0929" w14:textId="77777777" w:rsidR="00084F36" w:rsidRPr="00EB2BD8" w:rsidRDefault="00EB2BD8">
            <w:pPr>
              <w:pStyle w:val="TableParagraph"/>
              <w:spacing w:before="66"/>
              <w:ind w:left="112"/>
              <w:rPr>
                <w:rFonts w:ascii="Arial"/>
                <w:b/>
                <w:sz w:val="18"/>
              </w:rPr>
            </w:pPr>
            <w:r w:rsidRPr="00EB2BD8">
              <w:rPr>
                <w:rFonts w:ascii="Arial"/>
                <w:b/>
                <w:sz w:val="18"/>
              </w:rPr>
              <w:t>Total</w:t>
            </w:r>
            <w:r w:rsidRPr="00EB2BD8">
              <w:rPr>
                <w:rFonts w:ascii="Arial"/>
                <w:b/>
                <w:spacing w:val="-1"/>
                <w:sz w:val="18"/>
              </w:rPr>
              <w:t xml:space="preserve"> </w:t>
            </w:r>
            <w:r w:rsidRPr="00EB2BD8">
              <w:rPr>
                <w:rFonts w:ascii="Arial"/>
                <w:b/>
                <w:spacing w:val="-2"/>
                <w:sz w:val="18"/>
              </w:rPr>
              <w:t>payments</w:t>
            </w:r>
          </w:p>
        </w:tc>
        <w:tc>
          <w:tcPr>
            <w:tcW w:w="1417" w:type="dxa"/>
            <w:tcBorders>
              <w:top w:val="single" w:sz="12" w:space="0" w:color="000000"/>
              <w:bottom w:val="single" w:sz="12" w:space="0" w:color="000000"/>
            </w:tcBorders>
            <w:shd w:val="clear" w:color="auto" w:fill="DEEAF6"/>
          </w:tcPr>
          <w:p w14:paraId="6B9B5351" w14:textId="77777777" w:rsidR="00084F36" w:rsidRPr="00EB2BD8" w:rsidRDefault="00EB2BD8">
            <w:pPr>
              <w:pStyle w:val="TableParagraph"/>
              <w:spacing w:before="66"/>
              <w:ind w:right="104"/>
              <w:jc w:val="right"/>
              <w:rPr>
                <w:rFonts w:ascii="Arial"/>
                <w:b/>
                <w:sz w:val="18"/>
              </w:rPr>
            </w:pPr>
            <w:r w:rsidRPr="00EB2BD8">
              <w:rPr>
                <w:rFonts w:ascii="Arial"/>
                <w:b/>
                <w:spacing w:val="-2"/>
                <w:sz w:val="18"/>
              </w:rPr>
              <w:t>(97,958)</w:t>
            </w:r>
          </w:p>
        </w:tc>
        <w:tc>
          <w:tcPr>
            <w:tcW w:w="1417" w:type="dxa"/>
            <w:tcBorders>
              <w:top w:val="single" w:sz="12" w:space="0" w:color="000000"/>
              <w:bottom w:val="single" w:sz="12" w:space="0" w:color="000000"/>
            </w:tcBorders>
            <w:shd w:val="clear" w:color="auto" w:fill="FFFFFF"/>
          </w:tcPr>
          <w:p w14:paraId="40D83A12" w14:textId="77777777" w:rsidR="00084F36" w:rsidRPr="00EB2BD8" w:rsidRDefault="00EB2BD8">
            <w:pPr>
              <w:pStyle w:val="TableParagraph"/>
              <w:spacing w:before="66"/>
              <w:ind w:right="102"/>
              <w:jc w:val="right"/>
              <w:rPr>
                <w:rFonts w:ascii="Arial"/>
                <w:b/>
                <w:sz w:val="18"/>
              </w:rPr>
            </w:pPr>
            <w:r w:rsidRPr="00EB2BD8">
              <w:rPr>
                <w:rFonts w:ascii="Arial"/>
                <w:b/>
                <w:spacing w:val="-2"/>
                <w:sz w:val="18"/>
              </w:rPr>
              <w:t>(105,166)</w:t>
            </w:r>
          </w:p>
        </w:tc>
      </w:tr>
      <w:tr w:rsidR="00EB2BD8" w:rsidRPr="00EB2BD8" w14:paraId="1F1CC5A6" w14:textId="77777777">
        <w:trPr>
          <w:trHeight w:val="343"/>
        </w:trPr>
        <w:tc>
          <w:tcPr>
            <w:tcW w:w="5725" w:type="dxa"/>
            <w:tcBorders>
              <w:top w:val="single" w:sz="12" w:space="0" w:color="000000"/>
              <w:bottom w:val="single" w:sz="12" w:space="0" w:color="000000"/>
            </w:tcBorders>
            <w:shd w:val="clear" w:color="auto" w:fill="FFFFFF"/>
          </w:tcPr>
          <w:p w14:paraId="0F1B5831" w14:textId="77777777" w:rsidR="00084F36" w:rsidRPr="00EB2BD8" w:rsidRDefault="00EB2BD8">
            <w:pPr>
              <w:pStyle w:val="TableParagraph"/>
              <w:spacing w:before="67"/>
              <w:ind w:left="112"/>
              <w:rPr>
                <w:rFonts w:ascii="Arial"/>
                <w:b/>
                <w:sz w:val="18"/>
              </w:rPr>
            </w:pPr>
            <w:r w:rsidRPr="00EB2BD8">
              <w:rPr>
                <w:rFonts w:ascii="Arial"/>
                <w:b/>
                <w:sz w:val="18"/>
              </w:rPr>
              <w:t>Net</w:t>
            </w:r>
            <w:r w:rsidRPr="00EB2BD8">
              <w:rPr>
                <w:rFonts w:ascii="Arial"/>
                <w:b/>
                <w:spacing w:val="-2"/>
                <w:sz w:val="18"/>
              </w:rPr>
              <w:t xml:space="preserve"> </w:t>
            </w:r>
            <w:r w:rsidRPr="00EB2BD8">
              <w:rPr>
                <w:rFonts w:ascii="Arial"/>
                <w:b/>
                <w:sz w:val="18"/>
              </w:rPr>
              <w:t>cash</w:t>
            </w:r>
            <w:r w:rsidRPr="00EB2BD8">
              <w:rPr>
                <w:rFonts w:ascii="Arial"/>
                <w:b/>
                <w:spacing w:val="-2"/>
                <w:sz w:val="18"/>
              </w:rPr>
              <w:t xml:space="preserve"> </w:t>
            </w:r>
            <w:r w:rsidRPr="00EB2BD8">
              <w:rPr>
                <w:rFonts w:ascii="Arial"/>
                <w:b/>
                <w:sz w:val="18"/>
              </w:rPr>
              <w:t>flows</w:t>
            </w:r>
            <w:r w:rsidRPr="00EB2BD8">
              <w:rPr>
                <w:rFonts w:ascii="Arial"/>
                <w:b/>
                <w:spacing w:val="-3"/>
                <w:sz w:val="18"/>
              </w:rPr>
              <w:t xml:space="preserve"> </w:t>
            </w:r>
            <w:r w:rsidRPr="00EB2BD8">
              <w:rPr>
                <w:rFonts w:ascii="Arial"/>
                <w:b/>
                <w:sz w:val="18"/>
              </w:rPr>
              <w:t>from</w:t>
            </w:r>
            <w:r w:rsidRPr="00EB2BD8">
              <w:rPr>
                <w:rFonts w:ascii="Arial"/>
                <w:b/>
                <w:spacing w:val="-3"/>
                <w:sz w:val="18"/>
              </w:rPr>
              <w:t xml:space="preserve"> </w:t>
            </w:r>
            <w:r w:rsidRPr="00EB2BD8">
              <w:rPr>
                <w:rFonts w:ascii="Arial"/>
                <w:b/>
                <w:sz w:val="18"/>
              </w:rPr>
              <w:t>operating</w:t>
            </w:r>
            <w:r w:rsidRPr="00EB2BD8">
              <w:rPr>
                <w:rFonts w:ascii="Arial"/>
                <w:b/>
                <w:spacing w:val="-1"/>
                <w:sz w:val="18"/>
              </w:rPr>
              <w:t xml:space="preserve"> </w:t>
            </w:r>
            <w:r w:rsidRPr="00EB2BD8">
              <w:rPr>
                <w:rFonts w:ascii="Arial"/>
                <w:b/>
                <w:spacing w:val="-2"/>
                <w:sz w:val="18"/>
              </w:rPr>
              <w:t>activities</w:t>
            </w:r>
          </w:p>
        </w:tc>
        <w:tc>
          <w:tcPr>
            <w:tcW w:w="1364" w:type="dxa"/>
            <w:gridSpan w:val="2"/>
            <w:tcBorders>
              <w:top w:val="single" w:sz="12" w:space="0" w:color="000000"/>
              <w:bottom w:val="single" w:sz="12" w:space="0" w:color="000000"/>
            </w:tcBorders>
            <w:shd w:val="clear" w:color="auto" w:fill="FFFFFF"/>
          </w:tcPr>
          <w:p w14:paraId="27130FB7" w14:textId="77777777" w:rsidR="00084F36" w:rsidRPr="00EB2BD8" w:rsidRDefault="00EB2BD8">
            <w:pPr>
              <w:pStyle w:val="TableParagraph"/>
              <w:spacing w:before="67"/>
              <w:ind w:left="859"/>
              <w:rPr>
                <w:rFonts w:ascii="Arial"/>
                <w:b/>
                <w:sz w:val="18"/>
              </w:rPr>
            </w:pPr>
            <w:r w:rsidRPr="00EB2BD8">
              <w:rPr>
                <w:rFonts w:ascii="Arial"/>
                <w:b/>
                <w:spacing w:val="-2"/>
                <w:sz w:val="18"/>
              </w:rPr>
              <w:t>6.3.1</w:t>
            </w:r>
          </w:p>
        </w:tc>
        <w:tc>
          <w:tcPr>
            <w:tcW w:w="1417" w:type="dxa"/>
            <w:tcBorders>
              <w:top w:val="single" w:sz="12" w:space="0" w:color="000000"/>
              <w:bottom w:val="single" w:sz="12" w:space="0" w:color="000000"/>
            </w:tcBorders>
            <w:shd w:val="clear" w:color="auto" w:fill="DEEAF6"/>
          </w:tcPr>
          <w:p w14:paraId="214EB700" w14:textId="77777777" w:rsidR="00084F36" w:rsidRPr="00EB2BD8" w:rsidRDefault="00EB2BD8">
            <w:pPr>
              <w:pStyle w:val="TableParagraph"/>
              <w:spacing w:before="67"/>
              <w:ind w:right="102"/>
              <w:jc w:val="right"/>
              <w:rPr>
                <w:rFonts w:ascii="Arial"/>
                <w:b/>
                <w:sz w:val="18"/>
              </w:rPr>
            </w:pPr>
            <w:r w:rsidRPr="00EB2BD8">
              <w:rPr>
                <w:rFonts w:ascii="Arial"/>
                <w:b/>
                <w:spacing w:val="-2"/>
                <w:sz w:val="18"/>
              </w:rPr>
              <w:t>24,771</w:t>
            </w:r>
          </w:p>
        </w:tc>
        <w:tc>
          <w:tcPr>
            <w:tcW w:w="1417" w:type="dxa"/>
            <w:tcBorders>
              <w:top w:val="single" w:sz="12" w:space="0" w:color="000000"/>
              <w:bottom w:val="single" w:sz="12" w:space="0" w:color="000000"/>
            </w:tcBorders>
            <w:shd w:val="clear" w:color="auto" w:fill="FFFFFF"/>
          </w:tcPr>
          <w:p w14:paraId="63CF3478" w14:textId="77777777" w:rsidR="00084F36" w:rsidRPr="00EB2BD8" w:rsidRDefault="00EB2BD8">
            <w:pPr>
              <w:pStyle w:val="TableParagraph"/>
              <w:spacing w:before="67"/>
              <w:ind w:right="102"/>
              <w:jc w:val="right"/>
              <w:rPr>
                <w:rFonts w:ascii="Arial"/>
                <w:b/>
                <w:sz w:val="18"/>
              </w:rPr>
            </w:pPr>
            <w:r w:rsidRPr="00EB2BD8">
              <w:rPr>
                <w:rFonts w:ascii="Arial"/>
                <w:b/>
                <w:spacing w:val="-2"/>
                <w:sz w:val="18"/>
              </w:rPr>
              <w:t>(7,797)</w:t>
            </w:r>
          </w:p>
        </w:tc>
      </w:tr>
      <w:tr w:rsidR="00EB2BD8" w:rsidRPr="00EB2BD8" w14:paraId="1B2C7C78" w14:textId="77777777">
        <w:trPr>
          <w:trHeight w:val="345"/>
        </w:trPr>
        <w:tc>
          <w:tcPr>
            <w:tcW w:w="7089" w:type="dxa"/>
            <w:gridSpan w:val="3"/>
            <w:tcBorders>
              <w:top w:val="single" w:sz="12" w:space="0" w:color="000000"/>
            </w:tcBorders>
            <w:shd w:val="clear" w:color="auto" w:fill="FFFFFF"/>
          </w:tcPr>
          <w:p w14:paraId="2DD733EB" w14:textId="77777777" w:rsidR="00084F36" w:rsidRPr="00EB2BD8" w:rsidRDefault="00EB2BD8">
            <w:pPr>
              <w:pStyle w:val="TableParagraph"/>
              <w:spacing w:before="67"/>
              <w:ind w:left="112"/>
              <w:rPr>
                <w:rFonts w:ascii="Arial"/>
                <w:b/>
                <w:sz w:val="18"/>
              </w:rPr>
            </w:pPr>
            <w:r w:rsidRPr="00EB2BD8">
              <w:rPr>
                <w:rFonts w:ascii="Arial"/>
                <w:b/>
                <w:sz w:val="18"/>
              </w:rPr>
              <w:t>Cash</w:t>
            </w:r>
            <w:r w:rsidRPr="00EB2BD8">
              <w:rPr>
                <w:rFonts w:ascii="Arial"/>
                <w:b/>
                <w:spacing w:val="-2"/>
                <w:sz w:val="18"/>
              </w:rPr>
              <w:t xml:space="preserve"> </w:t>
            </w:r>
            <w:r w:rsidRPr="00EB2BD8">
              <w:rPr>
                <w:rFonts w:ascii="Arial"/>
                <w:b/>
                <w:sz w:val="18"/>
              </w:rPr>
              <w:t>flows</w:t>
            </w:r>
            <w:r w:rsidRPr="00EB2BD8">
              <w:rPr>
                <w:rFonts w:ascii="Arial"/>
                <w:b/>
                <w:spacing w:val="-3"/>
                <w:sz w:val="18"/>
              </w:rPr>
              <w:t xml:space="preserve"> </w:t>
            </w:r>
            <w:r w:rsidRPr="00EB2BD8">
              <w:rPr>
                <w:rFonts w:ascii="Arial"/>
                <w:b/>
                <w:sz w:val="18"/>
              </w:rPr>
              <w:t>from</w:t>
            </w:r>
            <w:r w:rsidRPr="00EB2BD8">
              <w:rPr>
                <w:rFonts w:ascii="Arial"/>
                <w:b/>
                <w:spacing w:val="-3"/>
                <w:sz w:val="18"/>
              </w:rPr>
              <w:t xml:space="preserve"> </w:t>
            </w:r>
            <w:r w:rsidRPr="00EB2BD8">
              <w:rPr>
                <w:rFonts w:ascii="Arial"/>
                <w:b/>
                <w:sz w:val="18"/>
              </w:rPr>
              <w:t>investing</w:t>
            </w:r>
            <w:r w:rsidRPr="00EB2BD8">
              <w:rPr>
                <w:rFonts w:ascii="Arial"/>
                <w:b/>
                <w:spacing w:val="-2"/>
                <w:sz w:val="18"/>
              </w:rPr>
              <w:t xml:space="preserve"> activities</w:t>
            </w:r>
          </w:p>
        </w:tc>
        <w:tc>
          <w:tcPr>
            <w:tcW w:w="1417" w:type="dxa"/>
            <w:tcBorders>
              <w:top w:val="single" w:sz="12" w:space="0" w:color="000000"/>
            </w:tcBorders>
            <w:shd w:val="clear" w:color="auto" w:fill="DEEAF6"/>
          </w:tcPr>
          <w:p w14:paraId="33EF8435" w14:textId="77777777" w:rsidR="00084F36" w:rsidRPr="00EB2BD8" w:rsidRDefault="00084F36">
            <w:pPr>
              <w:pStyle w:val="TableParagraph"/>
              <w:rPr>
                <w:rFonts w:ascii="Times New Roman"/>
                <w:sz w:val="16"/>
              </w:rPr>
            </w:pPr>
          </w:p>
        </w:tc>
        <w:tc>
          <w:tcPr>
            <w:tcW w:w="1417" w:type="dxa"/>
            <w:tcBorders>
              <w:top w:val="single" w:sz="12" w:space="0" w:color="000000"/>
            </w:tcBorders>
            <w:shd w:val="clear" w:color="auto" w:fill="FFFFFF"/>
          </w:tcPr>
          <w:p w14:paraId="06AFA3D3" w14:textId="77777777" w:rsidR="00084F36" w:rsidRPr="00EB2BD8" w:rsidRDefault="00084F36">
            <w:pPr>
              <w:pStyle w:val="TableParagraph"/>
              <w:rPr>
                <w:rFonts w:ascii="Times New Roman"/>
                <w:sz w:val="16"/>
              </w:rPr>
            </w:pPr>
          </w:p>
        </w:tc>
      </w:tr>
      <w:tr w:rsidR="00EB2BD8" w:rsidRPr="00EB2BD8" w14:paraId="274E5C48" w14:textId="77777777">
        <w:trPr>
          <w:trHeight w:val="343"/>
        </w:trPr>
        <w:tc>
          <w:tcPr>
            <w:tcW w:w="7089" w:type="dxa"/>
            <w:gridSpan w:val="3"/>
            <w:shd w:val="clear" w:color="auto" w:fill="FFFFFF"/>
          </w:tcPr>
          <w:p w14:paraId="14AFBE85" w14:textId="77777777" w:rsidR="00084F36" w:rsidRPr="00EB2BD8" w:rsidRDefault="00EB2BD8">
            <w:pPr>
              <w:pStyle w:val="TableParagraph"/>
              <w:spacing w:before="65"/>
              <w:ind w:left="112"/>
              <w:rPr>
                <w:rFonts w:ascii="Arial"/>
                <w:sz w:val="18"/>
              </w:rPr>
            </w:pPr>
            <w:r w:rsidRPr="00EB2BD8">
              <w:rPr>
                <w:rFonts w:ascii="Arial"/>
                <w:sz w:val="18"/>
              </w:rPr>
              <w:t>Payments</w:t>
            </w:r>
            <w:r w:rsidRPr="00EB2BD8">
              <w:rPr>
                <w:rFonts w:ascii="Arial"/>
                <w:spacing w:val="-3"/>
                <w:sz w:val="18"/>
              </w:rPr>
              <w:t xml:space="preserve"> </w:t>
            </w:r>
            <w:r w:rsidRPr="00EB2BD8">
              <w:rPr>
                <w:rFonts w:ascii="Arial"/>
                <w:sz w:val="18"/>
              </w:rPr>
              <w:t>for</w:t>
            </w:r>
            <w:r w:rsidRPr="00EB2BD8">
              <w:rPr>
                <w:rFonts w:ascii="Arial"/>
                <w:spacing w:val="-3"/>
                <w:sz w:val="18"/>
              </w:rPr>
              <w:t xml:space="preserve"> </w:t>
            </w:r>
            <w:r w:rsidRPr="00EB2BD8">
              <w:rPr>
                <w:rFonts w:ascii="Arial"/>
                <w:sz w:val="18"/>
              </w:rPr>
              <w:t>property,</w:t>
            </w:r>
            <w:r w:rsidRPr="00EB2BD8">
              <w:rPr>
                <w:rFonts w:ascii="Arial"/>
                <w:spacing w:val="-3"/>
                <w:sz w:val="18"/>
              </w:rPr>
              <w:t xml:space="preserve"> </w:t>
            </w:r>
            <w:r w:rsidRPr="00EB2BD8">
              <w:rPr>
                <w:rFonts w:ascii="Arial"/>
                <w:sz w:val="18"/>
              </w:rPr>
              <w:t>plant</w:t>
            </w:r>
            <w:r w:rsidRPr="00EB2BD8">
              <w:rPr>
                <w:rFonts w:ascii="Arial"/>
                <w:spacing w:val="-3"/>
                <w:sz w:val="18"/>
              </w:rPr>
              <w:t xml:space="preserve"> </w:t>
            </w:r>
            <w:r w:rsidRPr="00EB2BD8">
              <w:rPr>
                <w:rFonts w:ascii="Arial"/>
                <w:sz w:val="18"/>
              </w:rPr>
              <w:t>and</w:t>
            </w:r>
            <w:r w:rsidRPr="00EB2BD8">
              <w:rPr>
                <w:rFonts w:ascii="Arial"/>
                <w:spacing w:val="-3"/>
                <w:sz w:val="18"/>
              </w:rPr>
              <w:t xml:space="preserve"> </w:t>
            </w:r>
            <w:r w:rsidRPr="00EB2BD8">
              <w:rPr>
                <w:rFonts w:ascii="Arial"/>
                <w:spacing w:val="-2"/>
                <w:sz w:val="18"/>
              </w:rPr>
              <w:t>equipment</w:t>
            </w:r>
          </w:p>
        </w:tc>
        <w:tc>
          <w:tcPr>
            <w:tcW w:w="1417" w:type="dxa"/>
            <w:shd w:val="clear" w:color="auto" w:fill="DEEAF6"/>
          </w:tcPr>
          <w:p w14:paraId="352CAD43" w14:textId="77777777" w:rsidR="00084F36" w:rsidRPr="00EB2BD8" w:rsidRDefault="00EB2BD8">
            <w:pPr>
              <w:pStyle w:val="TableParagraph"/>
              <w:spacing w:before="65"/>
              <w:ind w:right="103"/>
              <w:jc w:val="right"/>
              <w:rPr>
                <w:rFonts w:ascii="Arial"/>
                <w:sz w:val="18"/>
              </w:rPr>
            </w:pPr>
            <w:r w:rsidRPr="00EB2BD8">
              <w:rPr>
                <w:rFonts w:ascii="Arial"/>
                <w:spacing w:val="-2"/>
                <w:sz w:val="18"/>
              </w:rPr>
              <w:t>(1,116)</w:t>
            </w:r>
          </w:p>
        </w:tc>
        <w:tc>
          <w:tcPr>
            <w:tcW w:w="1417" w:type="dxa"/>
            <w:shd w:val="clear" w:color="auto" w:fill="FFFFFF"/>
          </w:tcPr>
          <w:p w14:paraId="0DFFBEFB" w14:textId="77777777" w:rsidR="00084F36" w:rsidRPr="00EB2BD8" w:rsidRDefault="00EB2BD8">
            <w:pPr>
              <w:pStyle w:val="TableParagraph"/>
              <w:spacing w:before="65"/>
              <w:ind w:right="102"/>
              <w:jc w:val="right"/>
              <w:rPr>
                <w:rFonts w:ascii="Arial"/>
                <w:sz w:val="18"/>
              </w:rPr>
            </w:pPr>
            <w:r w:rsidRPr="00EB2BD8">
              <w:rPr>
                <w:rFonts w:ascii="Arial"/>
                <w:spacing w:val="-2"/>
                <w:sz w:val="18"/>
              </w:rPr>
              <w:t>(217)</w:t>
            </w:r>
          </w:p>
        </w:tc>
      </w:tr>
      <w:tr w:rsidR="00EB2BD8" w:rsidRPr="00EB2BD8" w14:paraId="23331981" w14:textId="77777777">
        <w:trPr>
          <w:trHeight w:val="684"/>
        </w:trPr>
        <w:tc>
          <w:tcPr>
            <w:tcW w:w="7089" w:type="dxa"/>
            <w:gridSpan w:val="3"/>
            <w:tcBorders>
              <w:bottom w:val="single" w:sz="12" w:space="0" w:color="000000"/>
            </w:tcBorders>
            <w:shd w:val="clear" w:color="auto" w:fill="FFFFFF"/>
          </w:tcPr>
          <w:p w14:paraId="0436F95F" w14:textId="77777777" w:rsidR="00084F36" w:rsidRPr="00EB2BD8" w:rsidRDefault="00EB2BD8">
            <w:pPr>
              <w:pStyle w:val="TableParagraph"/>
              <w:spacing w:before="65"/>
              <w:ind w:left="112"/>
              <w:rPr>
                <w:rFonts w:ascii="Arial"/>
                <w:sz w:val="18"/>
              </w:rPr>
            </w:pPr>
            <w:r w:rsidRPr="00EB2BD8">
              <w:rPr>
                <w:rFonts w:ascii="Arial"/>
                <w:sz w:val="18"/>
              </w:rPr>
              <w:t>Proceed</w:t>
            </w:r>
            <w:r w:rsidRPr="00EB2BD8">
              <w:rPr>
                <w:rFonts w:ascii="Arial"/>
                <w:spacing w:val="-4"/>
                <w:sz w:val="18"/>
              </w:rPr>
              <w:t xml:space="preserve"> </w:t>
            </w:r>
            <w:r w:rsidRPr="00EB2BD8">
              <w:rPr>
                <w:rFonts w:ascii="Arial"/>
                <w:sz w:val="18"/>
              </w:rPr>
              <w:t>from</w:t>
            </w:r>
            <w:r w:rsidRPr="00EB2BD8">
              <w:rPr>
                <w:rFonts w:ascii="Arial"/>
                <w:spacing w:val="-2"/>
                <w:sz w:val="18"/>
              </w:rPr>
              <w:t xml:space="preserve"> </w:t>
            </w:r>
            <w:r w:rsidRPr="00EB2BD8">
              <w:rPr>
                <w:rFonts w:ascii="Arial"/>
                <w:sz w:val="18"/>
              </w:rPr>
              <w:t>sale</w:t>
            </w:r>
            <w:r w:rsidRPr="00EB2BD8">
              <w:rPr>
                <w:rFonts w:ascii="Arial"/>
                <w:spacing w:val="-3"/>
                <w:sz w:val="18"/>
              </w:rPr>
              <w:t xml:space="preserve"> </w:t>
            </w:r>
            <w:r w:rsidRPr="00EB2BD8">
              <w:rPr>
                <w:rFonts w:ascii="Arial"/>
                <w:sz w:val="18"/>
              </w:rPr>
              <w:t>of</w:t>
            </w:r>
            <w:r w:rsidRPr="00EB2BD8">
              <w:rPr>
                <w:rFonts w:ascii="Arial"/>
                <w:spacing w:val="-2"/>
                <w:sz w:val="18"/>
              </w:rPr>
              <w:t xml:space="preserve"> </w:t>
            </w:r>
            <w:r w:rsidRPr="00EB2BD8">
              <w:rPr>
                <w:rFonts w:ascii="Arial"/>
                <w:sz w:val="18"/>
              </w:rPr>
              <w:t>property,</w:t>
            </w:r>
            <w:r w:rsidRPr="00EB2BD8">
              <w:rPr>
                <w:rFonts w:ascii="Arial"/>
                <w:spacing w:val="-1"/>
                <w:sz w:val="18"/>
              </w:rPr>
              <w:t xml:space="preserve"> </w:t>
            </w:r>
            <w:r w:rsidRPr="00EB2BD8">
              <w:rPr>
                <w:rFonts w:ascii="Arial"/>
                <w:sz w:val="18"/>
              </w:rPr>
              <w:t>plant</w:t>
            </w:r>
            <w:r w:rsidRPr="00EB2BD8">
              <w:rPr>
                <w:rFonts w:ascii="Arial"/>
                <w:spacing w:val="-2"/>
                <w:sz w:val="18"/>
              </w:rPr>
              <w:t xml:space="preserve"> </w:t>
            </w:r>
            <w:r w:rsidRPr="00EB2BD8">
              <w:rPr>
                <w:rFonts w:ascii="Arial"/>
                <w:sz w:val="18"/>
              </w:rPr>
              <w:t>and</w:t>
            </w:r>
            <w:r w:rsidRPr="00EB2BD8">
              <w:rPr>
                <w:rFonts w:ascii="Arial"/>
                <w:spacing w:val="-3"/>
                <w:sz w:val="18"/>
              </w:rPr>
              <w:t xml:space="preserve"> </w:t>
            </w:r>
            <w:r w:rsidRPr="00EB2BD8">
              <w:rPr>
                <w:rFonts w:ascii="Arial"/>
                <w:spacing w:val="-2"/>
                <w:sz w:val="18"/>
              </w:rPr>
              <w:t>equipment</w:t>
            </w:r>
          </w:p>
          <w:p w14:paraId="4C09625D" w14:textId="77777777" w:rsidR="00084F36" w:rsidRPr="00EB2BD8" w:rsidRDefault="00EB2BD8">
            <w:pPr>
              <w:pStyle w:val="TableParagraph"/>
              <w:spacing w:before="135"/>
              <w:ind w:left="112"/>
              <w:rPr>
                <w:rFonts w:ascii="Arial"/>
                <w:sz w:val="18"/>
              </w:rPr>
            </w:pPr>
            <w:r w:rsidRPr="00EB2BD8">
              <w:rPr>
                <w:rFonts w:ascii="Arial"/>
                <w:sz w:val="18"/>
              </w:rPr>
              <w:t>Payments</w:t>
            </w:r>
            <w:r w:rsidRPr="00EB2BD8">
              <w:rPr>
                <w:rFonts w:ascii="Arial"/>
                <w:spacing w:val="-4"/>
                <w:sz w:val="18"/>
              </w:rPr>
              <w:t xml:space="preserve"> </w:t>
            </w:r>
            <w:r w:rsidRPr="00EB2BD8">
              <w:rPr>
                <w:rFonts w:ascii="Arial"/>
                <w:sz w:val="18"/>
              </w:rPr>
              <w:t>for</w:t>
            </w:r>
            <w:r w:rsidRPr="00EB2BD8">
              <w:rPr>
                <w:rFonts w:ascii="Arial"/>
                <w:spacing w:val="-3"/>
                <w:sz w:val="18"/>
              </w:rPr>
              <w:t xml:space="preserve"> </w:t>
            </w:r>
            <w:r w:rsidRPr="00EB2BD8">
              <w:rPr>
                <w:rFonts w:ascii="Arial"/>
                <w:sz w:val="18"/>
              </w:rPr>
              <w:t>intangible</w:t>
            </w:r>
            <w:r w:rsidRPr="00EB2BD8">
              <w:rPr>
                <w:rFonts w:ascii="Arial"/>
                <w:spacing w:val="-4"/>
                <w:sz w:val="18"/>
              </w:rPr>
              <w:t xml:space="preserve"> </w:t>
            </w:r>
            <w:r w:rsidRPr="00EB2BD8">
              <w:rPr>
                <w:rFonts w:ascii="Arial"/>
                <w:spacing w:val="-2"/>
                <w:sz w:val="18"/>
              </w:rPr>
              <w:t>assets</w:t>
            </w:r>
          </w:p>
        </w:tc>
        <w:tc>
          <w:tcPr>
            <w:tcW w:w="1417" w:type="dxa"/>
            <w:tcBorders>
              <w:bottom w:val="single" w:sz="12" w:space="0" w:color="000000"/>
            </w:tcBorders>
            <w:shd w:val="clear" w:color="auto" w:fill="DEEAF6"/>
          </w:tcPr>
          <w:p w14:paraId="1F0F741C" w14:textId="77777777" w:rsidR="00084F36" w:rsidRPr="00EB2BD8" w:rsidRDefault="00EB2BD8">
            <w:pPr>
              <w:pStyle w:val="TableParagraph"/>
              <w:spacing w:before="95"/>
              <w:ind w:right="102"/>
              <w:jc w:val="right"/>
              <w:rPr>
                <w:rFonts w:ascii="Arial"/>
                <w:sz w:val="18"/>
              </w:rPr>
            </w:pPr>
            <w:r w:rsidRPr="00EB2BD8">
              <w:rPr>
                <w:rFonts w:ascii="Arial"/>
                <w:spacing w:val="-5"/>
                <w:sz w:val="18"/>
              </w:rPr>
              <w:t>766</w:t>
            </w:r>
          </w:p>
          <w:p w14:paraId="2EE62659" w14:textId="77777777" w:rsidR="00084F36" w:rsidRPr="00EB2BD8" w:rsidRDefault="00EB2BD8">
            <w:pPr>
              <w:pStyle w:val="TableParagraph"/>
              <w:spacing w:before="105"/>
              <w:ind w:right="103"/>
              <w:jc w:val="right"/>
              <w:rPr>
                <w:rFonts w:ascii="Arial"/>
                <w:sz w:val="18"/>
              </w:rPr>
            </w:pPr>
            <w:r w:rsidRPr="00EB2BD8">
              <w:rPr>
                <w:rFonts w:ascii="Arial"/>
                <w:spacing w:val="-2"/>
                <w:sz w:val="18"/>
              </w:rPr>
              <w:t>(3,282)</w:t>
            </w:r>
          </w:p>
        </w:tc>
        <w:tc>
          <w:tcPr>
            <w:tcW w:w="1417" w:type="dxa"/>
            <w:tcBorders>
              <w:bottom w:val="single" w:sz="12" w:space="0" w:color="000000"/>
            </w:tcBorders>
            <w:shd w:val="clear" w:color="auto" w:fill="FFFFFF"/>
          </w:tcPr>
          <w:p w14:paraId="4E59E572" w14:textId="77777777" w:rsidR="00084F36" w:rsidRPr="00EB2BD8" w:rsidRDefault="00EB2BD8">
            <w:pPr>
              <w:pStyle w:val="TableParagraph"/>
              <w:spacing w:before="65"/>
              <w:ind w:right="100"/>
              <w:jc w:val="right"/>
              <w:rPr>
                <w:rFonts w:ascii="Arial"/>
                <w:sz w:val="18"/>
              </w:rPr>
            </w:pPr>
            <w:r w:rsidRPr="00EB2BD8">
              <w:rPr>
                <w:rFonts w:ascii="Arial"/>
                <w:spacing w:val="-5"/>
                <w:sz w:val="18"/>
              </w:rPr>
              <w:t>319</w:t>
            </w:r>
          </w:p>
          <w:p w14:paraId="69C41A55" w14:textId="77777777" w:rsidR="00084F36" w:rsidRPr="00EB2BD8" w:rsidRDefault="00EB2BD8">
            <w:pPr>
              <w:pStyle w:val="TableParagraph"/>
              <w:spacing w:before="135"/>
              <w:ind w:right="102"/>
              <w:jc w:val="right"/>
              <w:rPr>
                <w:rFonts w:ascii="Arial"/>
                <w:sz w:val="18"/>
              </w:rPr>
            </w:pPr>
            <w:r w:rsidRPr="00EB2BD8">
              <w:rPr>
                <w:rFonts w:ascii="Arial"/>
                <w:spacing w:val="-2"/>
                <w:sz w:val="18"/>
              </w:rPr>
              <w:t>(3,467)</w:t>
            </w:r>
          </w:p>
        </w:tc>
      </w:tr>
      <w:tr w:rsidR="00EB2BD8" w:rsidRPr="00EB2BD8" w14:paraId="653FC771" w14:textId="77777777">
        <w:trPr>
          <w:trHeight w:val="342"/>
        </w:trPr>
        <w:tc>
          <w:tcPr>
            <w:tcW w:w="7089" w:type="dxa"/>
            <w:gridSpan w:val="3"/>
            <w:tcBorders>
              <w:top w:val="single" w:sz="12" w:space="0" w:color="000000"/>
              <w:bottom w:val="single" w:sz="12" w:space="0" w:color="000000"/>
            </w:tcBorders>
            <w:shd w:val="clear" w:color="auto" w:fill="FFFFFF"/>
          </w:tcPr>
          <w:p w14:paraId="7A662F8B" w14:textId="77777777" w:rsidR="00084F36" w:rsidRPr="00EB2BD8" w:rsidRDefault="00EB2BD8">
            <w:pPr>
              <w:pStyle w:val="TableParagraph"/>
              <w:spacing w:before="66"/>
              <w:ind w:left="112"/>
              <w:rPr>
                <w:rFonts w:ascii="Arial"/>
                <w:b/>
                <w:sz w:val="18"/>
              </w:rPr>
            </w:pPr>
            <w:r w:rsidRPr="00EB2BD8">
              <w:rPr>
                <w:rFonts w:ascii="Arial"/>
                <w:b/>
                <w:sz w:val="18"/>
              </w:rPr>
              <w:t>Net</w:t>
            </w:r>
            <w:r w:rsidRPr="00EB2BD8">
              <w:rPr>
                <w:rFonts w:ascii="Arial"/>
                <w:b/>
                <w:spacing w:val="-3"/>
                <w:sz w:val="18"/>
              </w:rPr>
              <w:t xml:space="preserve"> </w:t>
            </w:r>
            <w:r w:rsidRPr="00EB2BD8">
              <w:rPr>
                <w:rFonts w:ascii="Arial"/>
                <w:b/>
                <w:sz w:val="18"/>
              </w:rPr>
              <w:t>cash</w:t>
            </w:r>
            <w:r w:rsidRPr="00EB2BD8">
              <w:rPr>
                <w:rFonts w:ascii="Arial"/>
                <w:b/>
                <w:spacing w:val="-2"/>
                <w:sz w:val="18"/>
              </w:rPr>
              <w:t xml:space="preserve"> </w:t>
            </w:r>
            <w:r w:rsidRPr="00EB2BD8">
              <w:rPr>
                <w:rFonts w:ascii="Arial"/>
                <w:b/>
                <w:sz w:val="18"/>
              </w:rPr>
              <w:t>flows</w:t>
            </w:r>
            <w:r w:rsidRPr="00EB2BD8">
              <w:rPr>
                <w:rFonts w:ascii="Arial"/>
                <w:b/>
                <w:spacing w:val="-3"/>
                <w:sz w:val="18"/>
              </w:rPr>
              <w:t xml:space="preserve"> </w:t>
            </w:r>
            <w:r w:rsidRPr="00EB2BD8">
              <w:rPr>
                <w:rFonts w:ascii="Arial"/>
                <w:b/>
                <w:sz w:val="18"/>
              </w:rPr>
              <w:t>from/(used</w:t>
            </w:r>
            <w:r w:rsidRPr="00EB2BD8">
              <w:rPr>
                <w:rFonts w:ascii="Arial"/>
                <w:b/>
                <w:spacing w:val="-2"/>
                <w:sz w:val="18"/>
              </w:rPr>
              <w:t xml:space="preserve"> </w:t>
            </w:r>
            <w:r w:rsidRPr="00EB2BD8">
              <w:rPr>
                <w:rFonts w:ascii="Arial"/>
                <w:b/>
                <w:sz w:val="18"/>
              </w:rPr>
              <w:t>in)</w:t>
            </w:r>
            <w:r w:rsidRPr="00EB2BD8">
              <w:rPr>
                <w:rFonts w:ascii="Arial"/>
                <w:b/>
                <w:spacing w:val="-2"/>
                <w:sz w:val="18"/>
              </w:rPr>
              <w:t xml:space="preserve"> </w:t>
            </w:r>
            <w:r w:rsidRPr="00EB2BD8">
              <w:rPr>
                <w:rFonts w:ascii="Arial"/>
                <w:b/>
                <w:sz w:val="18"/>
              </w:rPr>
              <w:t>investing</w:t>
            </w:r>
            <w:r w:rsidRPr="00EB2BD8">
              <w:rPr>
                <w:rFonts w:ascii="Arial"/>
                <w:b/>
                <w:spacing w:val="-3"/>
                <w:sz w:val="18"/>
              </w:rPr>
              <w:t xml:space="preserve"> </w:t>
            </w:r>
            <w:r w:rsidRPr="00EB2BD8">
              <w:rPr>
                <w:rFonts w:ascii="Arial"/>
                <w:b/>
                <w:spacing w:val="-2"/>
                <w:sz w:val="18"/>
              </w:rPr>
              <w:t>activities</w:t>
            </w:r>
          </w:p>
        </w:tc>
        <w:tc>
          <w:tcPr>
            <w:tcW w:w="1417" w:type="dxa"/>
            <w:tcBorders>
              <w:top w:val="single" w:sz="12" w:space="0" w:color="000000"/>
              <w:bottom w:val="single" w:sz="12" w:space="0" w:color="000000"/>
            </w:tcBorders>
            <w:shd w:val="clear" w:color="auto" w:fill="DEEAF6"/>
          </w:tcPr>
          <w:p w14:paraId="3D3AE4DA" w14:textId="77777777" w:rsidR="00084F36" w:rsidRPr="00EB2BD8" w:rsidRDefault="00EB2BD8">
            <w:pPr>
              <w:pStyle w:val="TableParagraph"/>
              <w:spacing w:before="66"/>
              <w:ind w:right="102"/>
              <w:jc w:val="right"/>
              <w:rPr>
                <w:rFonts w:ascii="Arial"/>
                <w:b/>
                <w:sz w:val="18"/>
              </w:rPr>
            </w:pPr>
            <w:r w:rsidRPr="00EB2BD8">
              <w:rPr>
                <w:rFonts w:ascii="Arial"/>
                <w:b/>
                <w:spacing w:val="-2"/>
                <w:sz w:val="18"/>
              </w:rPr>
              <w:t>(3,632)</w:t>
            </w:r>
          </w:p>
        </w:tc>
        <w:tc>
          <w:tcPr>
            <w:tcW w:w="1417" w:type="dxa"/>
            <w:tcBorders>
              <w:top w:val="single" w:sz="12" w:space="0" w:color="000000"/>
              <w:bottom w:val="single" w:sz="12" w:space="0" w:color="000000"/>
            </w:tcBorders>
            <w:shd w:val="clear" w:color="auto" w:fill="FFFFFF"/>
          </w:tcPr>
          <w:p w14:paraId="176A54B1" w14:textId="77777777" w:rsidR="00084F36" w:rsidRPr="00EB2BD8" w:rsidRDefault="00EB2BD8">
            <w:pPr>
              <w:pStyle w:val="TableParagraph"/>
              <w:spacing w:before="66"/>
              <w:ind w:right="100"/>
              <w:jc w:val="right"/>
              <w:rPr>
                <w:rFonts w:ascii="Arial"/>
                <w:b/>
                <w:sz w:val="18"/>
              </w:rPr>
            </w:pPr>
            <w:r w:rsidRPr="00EB2BD8">
              <w:rPr>
                <w:rFonts w:ascii="Arial"/>
                <w:b/>
                <w:spacing w:val="-2"/>
                <w:sz w:val="18"/>
              </w:rPr>
              <w:t>(3,365)</w:t>
            </w:r>
          </w:p>
        </w:tc>
      </w:tr>
      <w:tr w:rsidR="00EB2BD8" w:rsidRPr="00EB2BD8" w14:paraId="68896109" w14:textId="77777777">
        <w:trPr>
          <w:trHeight w:val="345"/>
        </w:trPr>
        <w:tc>
          <w:tcPr>
            <w:tcW w:w="5725" w:type="dxa"/>
            <w:tcBorders>
              <w:top w:val="single" w:sz="12" w:space="0" w:color="000000"/>
            </w:tcBorders>
            <w:shd w:val="clear" w:color="auto" w:fill="FFFFFF"/>
          </w:tcPr>
          <w:p w14:paraId="5AD31C48" w14:textId="77777777" w:rsidR="00084F36" w:rsidRPr="00EB2BD8" w:rsidRDefault="00EB2BD8">
            <w:pPr>
              <w:pStyle w:val="TableParagraph"/>
              <w:spacing w:before="67"/>
              <w:ind w:left="112"/>
              <w:rPr>
                <w:rFonts w:ascii="Arial"/>
                <w:b/>
                <w:sz w:val="18"/>
              </w:rPr>
            </w:pPr>
            <w:r w:rsidRPr="00EB2BD8">
              <w:rPr>
                <w:rFonts w:ascii="Arial"/>
                <w:b/>
                <w:sz w:val="18"/>
              </w:rPr>
              <w:t>Cash</w:t>
            </w:r>
            <w:r w:rsidRPr="00EB2BD8">
              <w:rPr>
                <w:rFonts w:ascii="Arial"/>
                <w:b/>
                <w:spacing w:val="-2"/>
                <w:sz w:val="18"/>
              </w:rPr>
              <w:t xml:space="preserve"> </w:t>
            </w:r>
            <w:r w:rsidRPr="00EB2BD8">
              <w:rPr>
                <w:rFonts w:ascii="Arial"/>
                <w:b/>
                <w:sz w:val="18"/>
              </w:rPr>
              <w:t>flows</w:t>
            </w:r>
            <w:r w:rsidRPr="00EB2BD8">
              <w:rPr>
                <w:rFonts w:ascii="Arial"/>
                <w:b/>
                <w:spacing w:val="-3"/>
                <w:sz w:val="18"/>
              </w:rPr>
              <w:t xml:space="preserve"> </w:t>
            </w:r>
            <w:r w:rsidRPr="00EB2BD8">
              <w:rPr>
                <w:rFonts w:ascii="Arial"/>
                <w:b/>
                <w:sz w:val="18"/>
              </w:rPr>
              <w:t>from</w:t>
            </w:r>
            <w:r w:rsidRPr="00EB2BD8">
              <w:rPr>
                <w:rFonts w:ascii="Arial"/>
                <w:b/>
                <w:spacing w:val="-3"/>
                <w:sz w:val="18"/>
              </w:rPr>
              <w:t xml:space="preserve"> </w:t>
            </w:r>
            <w:r w:rsidRPr="00EB2BD8">
              <w:rPr>
                <w:rFonts w:ascii="Arial"/>
                <w:b/>
                <w:sz w:val="18"/>
              </w:rPr>
              <w:t>financing</w:t>
            </w:r>
            <w:r w:rsidRPr="00EB2BD8">
              <w:rPr>
                <w:rFonts w:ascii="Arial"/>
                <w:b/>
                <w:spacing w:val="-2"/>
                <w:sz w:val="18"/>
              </w:rPr>
              <w:t xml:space="preserve"> activities</w:t>
            </w:r>
          </w:p>
        </w:tc>
        <w:tc>
          <w:tcPr>
            <w:tcW w:w="1364" w:type="dxa"/>
            <w:gridSpan w:val="2"/>
            <w:tcBorders>
              <w:top w:val="single" w:sz="12" w:space="0" w:color="000000"/>
            </w:tcBorders>
            <w:shd w:val="clear" w:color="auto" w:fill="FFFFFF"/>
          </w:tcPr>
          <w:p w14:paraId="6FF0D503" w14:textId="77777777" w:rsidR="00084F36" w:rsidRPr="00EB2BD8" w:rsidRDefault="00084F36">
            <w:pPr>
              <w:pStyle w:val="TableParagraph"/>
              <w:rPr>
                <w:rFonts w:ascii="Times New Roman"/>
                <w:sz w:val="16"/>
              </w:rPr>
            </w:pPr>
          </w:p>
        </w:tc>
        <w:tc>
          <w:tcPr>
            <w:tcW w:w="1417" w:type="dxa"/>
            <w:tcBorders>
              <w:top w:val="single" w:sz="12" w:space="0" w:color="000000"/>
            </w:tcBorders>
            <w:shd w:val="clear" w:color="auto" w:fill="DEEAF6"/>
          </w:tcPr>
          <w:p w14:paraId="0528D2A6" w14:textId="77777777" w:rsidR="00084F36" w:rsidRPr="00EB2BD8" w:rsidRDefault="00084F36">
            <w:pPr>
              <w:pStyle w:val="TableParagraph"/>
              <w:rPr>
                <w:rFonts w:ascii="Times New Roman"/>
                <w:sz w:val="16"/>
              </w:rPr>
            </w:pPr>
          </w:p>
        </w:tc>
        <w:tc>
          <w:tcPr>
            <w:tcW w:w="1417" w:type="dxa"/>
            <w:tcBorders>
              <w:top w:val="single" w:sz="12" w:space="0" w:color="000000"/>
            </w:tcBorders>
            <w:shd w:val="clear" w:color="auto" w:fill="FFFFFF"/>
          </w:tcPr>
          <w:p w14:paraId="0A25D5D7" w14:textId="77777777" w:rsidR="00084F36" w:rsidRPr="00EB2BD8" w:rsidRDefault="00084F36">
            <w:pPr>
              <w:pStyle w:val="TableParagraph"/>
              <w:rPr>
                <w:rFonts w:ascii="Times New Roman"/>
                <w:sz w:val="16"/>
              </w:rPr>
            </w:pPr>
          </w:p>
        </w:tc>
      </w:tr>
      <w:tr w:rsidR="00EB2BD8" w:rsidRPr="00EB2BD8" w14:paraId="6C98540E" w14:textId="77777777">
        <w:trPr>
          <w:trHeight w:val="343"/>
        </w:trPr>
        <w:tc>
          <w:tcPr>
            <w:tcW w:w="5725" w:type="dxa"/>
            <w:shd w:val="clear" w:color="auto" w:fill="FFFFFF"/>
          </w:tcPr>
          <w:p w14:paraId="795C7E7E" w14:textId="77777777" w:rsidR="00084F36" w:rsidRPr="00EB2BD8" w:rsidRDefault="00EB2BD8">
            <w:pPr>
              <w:pStyle w:val="TableParagraph"/>
              <w:spacing w:before="65"/>
              <w:ind w:left="112"/>
              <w:rPr>
                <w:rFonts w:ascii="Arial"/>
                <w:sz w:val="18"/>
              </w:rPr>
            </w:pPr>
            <w:r w:rsidRPr="00EB2BD8">
              <w:rPr>
                <w:rFonts w:ascii="Arial"/>
                <w:sz w:val="18"/>
              </w:rPr>
              <w:t>Repayment</w:t>
            </w:r>
            <w:r w:rsidRPr="00EB2BD8">
              <w:rPr>
                <w:rFonts w:ascii="Arial"/>
                <w:spacing w:val="-5"/>
                <w:sz w:val="18"/>
              </w:rPr>
              <w:t xml:space="preserve"> </w:t>
            </w:r>
            <w:r w:rsidRPr="00EB2BD8">
              <w:rPr>
                <w:rFonts w:ascii="Arial"/>
                <w:sz w:val="18"/>
              </w:rPr>
              <w:t>of</w:t>
            </w:r>
            <w:r w:rsidRPr="00EB2BD8">
              <w:rPr>
                <w:rFonts w:ascii="Arial"/>
                <w:spacing w:val="-3"/>
                <w:sz w:val="18"/>
              </w:rPr>
              <w:t xml:space="preserve"> </w:t>
            </w:r>
            <w:r w:rsidRPr="00EB2BD8">
              <w:rPr>
                <w:rFonts w:ascii="Arial"/>
                <w:spacing w:val="-2"/>
                <w:sz w:val="18"/>
              </w:rPr>
              <w:t>leases</w:t>
            </w:r>
          </w:p>
        </w:tc>
        <w:tc>
          <w:tcPr>
            <w:tcW w:w="1364" w:type="dxa"/>
            <w:gridSpan w:val="2"/>
            <w:shd w:val="clear" w:color="auto" w:fill="FFFFFF"/>
          </w:tcPr>
          <w:p w14:paraId="6C6D9B03" w14:textId="77777777" w:rsidR="00084F36" w:rsidRPr="00EB2BD8" w:rsidRDefault="00EB2BD8">
            <w:pPr>
              <w:pStyle w:val="TableParagraph"/>
              <w:spacing w:before="65"/>
              <w:ind w:left="810"/>
              <w:rPr>
                <w:rFonts w:ascii="Arial"/>
                <w:sz w:val="18"/>
              </w:rPr>
            </w:pPr>
            <w:r w:rsidRPr="00EB2BD8">
              <w:rPr>
                <w:rFonts w:ascii="Arial"/>
                <w:spacing w:val="-2"/>
                <w:sz w:val="18"/>
              </w:rPr>
              <w:t>6.2.3</w:t>
            </w:r>
          </w:p>
        </w:tc>
        <w:tc>
          <w:tcPr>
            <w:tcW w:w="1417" w:type="dxa"/>
            <w:shd w:val="clear" w:color="auto" w:fill="DEEAF6"/>
          </w:tcPr>
          <w:p w14:paraId="43E0AA04" w14:textId="77777777" w:rsidR="00084F36" w:rsidRPr="00EB2BD8" w:rsidRDefault="00EB2BD8">
            <w:pPr>
              <w:pStyle w:val="TableParagraph"/>
              <w:spacing w:before="65"/>
              <w:ind w:right="102"/>
              <w:jc w:val="right"/>
              <w:rPr>
                <w:rFonts w:ascii="Arial"/>
                <w:sz w:val="18"/>
              </w:rPr>
            </w:pPr>
            <w:r w:rsidRPr="00EB2BD8">
              <w:rPr>
                <w:rFonts w:ascii="Arial"/>
                <w:spacing w:val="-2"/>
                <w:sz w:val="18"/>
              </w:rPr>
              <w:t>(3,210)</w:t>
            </w:r>
          </w:p>
        </w:tc>
        <w:tc>
          <w:tcPr>
            <w:tcW w:w="1417" w:type="dxa"/>
            <w:shd w:val="clear" w:color="auto" w:fill="FFFFFF"/>
          </w:tcPr>
          <w:p w14:paraId="1CE732E6" w14:textId="77777777" w:rsidR="00084F36" w:rsidRPr="00EB2BD8" w:rsidRDefault="00EB2BD8">
            <w:pPr>
              <w:pStyle w:val="TableParagraph"/>
              <w:spacing w:before="65"/>
              <w:ind w:right="102"/>
              <w:jc w:val="right"/>
              <w:rPr>
                <w:rFonts w:ascii="Arial"/>
                <w:sz w:val="18"/>
              </w:rPr>
            </w:pPr>
            <w:r w:rsidRPr="00EB2BD8">
              <w:rPr>
                <w:rFonts w:ascii="Arial"/>
                <w:spacing w:val="-2"/>
                <w:sz w:val="18"/>
              </w:rPr>
              <w:t>(1,913)</w:t>
            </w:r>
          </w:p>
        </w:tc>
      </w:tr>
      <w:tr w:rsidR="00EB2BD8" w:rsidRPr="00EB2BD8" w14:paraId="6E5F77D4" w14:textId="77777777">
        <w:trPr>
          <w:trHeight w:val="340"/>
        </w:trPr>
        <w:tc>
          <w:tcPr>
            <w:tcW w:w="5725" w:type="dxa"/>
            <w:tcBorders>
              <w:bottom w:val="single" w:sz="12" w:space="0" w:color="000000"/>
            </w:tcBorders>
            <w:shd w:val="clear" w:color="auto" w:fill="FFFFFF"/>
          </w:tcPr>
          <w:p w14:paraId="2ADD8743" w14:textId="77777777" w:rsidR="00084F36" w:rsidRPr="00EB2BD8" w:rsidRDefault="00EB2BD8">
            <w:pPr>
              <w:pStyle w:val="TableParagraph"/>
              <w:spacing w:before="95"/>
              <w:ind w:left="112"/>
              <w:rPr>
                <w:rFonts w:ascii="Arial"/>
                <w:sz w:val="18"/>
              </w:rPr>
            </w:pPr>
            <w:r w:rsidRPr="00EB2BD8">
              <w:rPr>
                <w:rFonts w:ascii="Arial"/>
                <w:sz w:val="18"/>
              </w:rPr>
              <w:t>Capital</w:t>
            </w:r>
            <w:r w:rsidRPr="00EB2BD8">
              <w:rPr>
                <w:rFonts w:ascii="Arial"/>
                <w:spacing w:val="-4"/>
                <w:sz w:val="18"/>
              </w:rPr>
              <w:t xml:space="preserve"> </w:t>
            </w:r>
            <w:r w:rsidRPr="00EB2BD8">
              <w:rPr>
                <w:rFonts w:ascii="Arial"/>
                <w:sz w:val="18"/>
              </w:rPr>
              <w:t>contribution</w:t>
            </w:r>
            <w:r w:rsidRPr="00EB2BD8">
              <w:rPr>
                <w:rFonts w:ascii="Arial"/>
                <w:spacing w:val="-3"/>
                <w:sz w:val="18"/>
              </w:rPr>
              <w:t xml:space="preserve"> </w:t>
            </w:r>
            <w:r w:rsidRPr="00EB2BD8">
              <w:rPr>
                <w:rFonts w:ascii="Arial"/>
                <w:sz w:val="18"/>
              </w:rPr>
              <w:t>transferred</w:t>
            </w:r>
            <w:r w:rsidRPr="00EB2BD8">
              <w:rPr>
                <w:rFonts w:ascii="Arial"/>
                <w:spacing w:val="-4"/>
                <w:sz w:val="18"/>
              </w:rPr>
              <w:t xml:space="preserve"> </w:t>
            </w:r>
            <w:r w:rsidRPr="00EB2BD8">
              <w:rPr>
                <w:rFonts w:ascii="Arial"/>
                <w:sz w:val="18"/>
              </w:rPr>
              <w:t>from</w:t>
            </w:r>
            <w:r w:rsidRPr="00EB2BD8">
              <w:rPr>
                <w:rFonts w:ascii="Arial"/>
                <w:spacing w:val="-4"/>
                <w:sz w:val="18"/>
              </w:rPr>
              <w:t xml:space="preserve"> </w:t>
            </w:r>
            <w:r w:rsidRPr="00EB2BD8">
              <w:rPr>
                <w:rFonts w:ascii="Arial"/>
                <w:sz w:val="18"/>
              </w:rPr>
              <w:t>other</w:t>
            </w:r>
            <w:r w:rsidRPr="00EB2BD8">
              <w:rPr>
                <w:rFonts w:ascii="Arial"/>
                <w:spacing w:val="-3"/>
                <w:sz w:val="18"/>
              </w:rPr>
              <w:t xml:space="preserve"> </w:t>
            </w:r>
            <w:r w:rsidRPr="00EB2BD8">
              <w:rPr>
                <w:rFonts w:ascii="Arial"/>
                <w:sz w:val="18"/>
              </w:rPr>
              <w:t>government</w:t>
            </w:r>
            <w:r w:rsidRPr="00EB2BD8">
              <w:rPr>
                <w:rFonts w:ascii="Arial"/>
                <w:spacing w:val="-3"/>
                <w:sz w:val="18"/>
              </w:rPr>
              <w:t xml:space="preserve"> </w:t>
            </w:r>
            <w:r w:rsidRPr="00EB2BD8">
              <w:rPr>
                <w:rFonts w:ascii="Arial"/>
                <w:spacing w:val="-2"/>
                <w:sz w:val="18"/>
              </w:rPr>
              <w:t>entity</w:t>
            </w:r>
          </w:p>
        </w:tc>
        <w:tc>
          <w:tcPr>
            <w:tcW w:w="1364" w:type="dxa"/>
            <w:gridSpan w:val="2"/>
            <w:tcBorders>
              <w:bottom w:val="single" w:sz="12" w:space="0" w:color="000000"/>
            </w:tcBorders>
            <w:shd w:val="clear" w:color="auto" w:fill="FFFFFF"/>
          </w:tcPr>
          <w:p w14:paraId="0F9AD7A8" w14:textId="77777777" w:rsidR="00084F36" w:rsidRPr="00EB2BD8" w:rsidRDefault="00EB2BD8">
            <w:pPr>
              <w:pStyle w:val="TableParagraph"/>
              <w:spacing w:before="65"/>
              <w:ind w:left="859"/>
              <w:rPr>
                <w:rFonts w:ascii="Arial"/>
                <w:sz w:val="18"/>
              </w:rPr>
            </w:pPr>
            <w:r w:rsidRPr="00EB2BD8">
              <w:rPr>
                <w:rFonts w:ascii="Arial"/>
                <w:spacing w:val="-4"/>
                <w:sz w:val="18"/>
              </w:rPr>
              <w:t>8.10</w:t>
            </w:r>
          </w:p>
        </w:tc>
        <w:tc>
          <w:tcPr>
            <w:tcW w:w="1417" w:type="dxa"/>
            <w:tcBorders>
              <w:bottom w:val="single" w:sz="12" w:space="0" w:color="000000"/>
            </w:tcBorders>
            <w:shd w:val="clear" w:color="auto" w:fill="DEEAF6"/>
          </w:tcPr>
          <w:p w14:paraId="424FF1FE" w14:textId="77777777" w:rsidR="00084F36" w:rsidRPr="00EB2BD8" w:rsidRDefault="00EB2BD8">
            <w:pPr>
              <w:pStyle w:val="TableParagraph"/>
              <w:spacing w:before="65"/>
              <w:ind w:right="102"/>
              <w:jc w:val="right"/>
              <w:rPr>
                <w:rFonts w:ascii="Arial"/>
                <w:sz w:val="18"/>
              </w:rPr>
            </w:pPr>
            <w:r w:rsidRPr="00EB2BD8">
              <w:rPr>
                <w:rFonts w:ascii="Arial"/>
                <w:spacing w:val="-2"/>
                <w:sz w:val="18"/>
              </w:rPr>
              <w:t>2,182</w:t>
            </w:r>
          </w:p>
        </w:tc>
        <w:tc>
          <w:tcPr>
            <w:tcW w:w="1417" w:type="dxa"/>
            <w:tcBorders>
              <w:bottom w:val="single" w:sz="12" w:space="0" w:color="000000"/>
            </w:tcBorders>
            <w:shd w:val="clear" w:color="auto" w:fill="FFFFFF"/>
          </w:tcPr>
          <w:p w14:paraId="10036C53" w14:textId="77777777" w:rsidR="00084F36" w:rsidRPr="00EB2BD8" w:rsidRDefault="00EB2BD8">
            <w:pPr>
              <w:pStyle w:val="TableParagraph"/>
              <w:spacing w:before="65"/>
              <w:ind w:right="99"/>
              <w:jc w:val="right"/>
              <w:rPr>
                <w:rFonts w:ascii="Arial"/>
                <w:sz w:val="18"/>
              </w:rPr>
            </w:pPr>
            <w:r w:rsidRPr="00EB2BD8">
              <w:rPr>
                <w:rFonts w:ascii="Arial"/>
                <w:sz w:val="18"/>
              </w:rPr>
              <w:t>-</w:t>
            </w:r>
          </w:p>
        </w:tc>
      </w:tr>
      <w:tr w:rsidR="00EB2BD8" w:rsidRPr="00EB2BD8" w14:paraId="43814E37" w14:textId="77777777">
        <w:trPr>
          <w:trHeight w:val="343"/>
        </w:trPr>
        <w:tc>
          <w:tcPr>
            <w:tcW w:w="7089" w:type="dxa"/>
            <w:gridSpan w:val="3"/>
            <w:tcBorders>
              <w:top w:val="single" w:sz="12" w:space="0" w:color="000000"/>
              <w:bottom w:val="single" w:sz="12" w:space="0" w:color="000000"/>
            </w:tcBorders>
            <w:shd w:val="clear" w:color="auto" w:fill="FFFFFF"/>
          </w:tcPr>
          <w:p w14:paraId="5F84EB63" w14:textId="77777777" w:rsidR="00084F36" w:rsidRPr="00EB2BD8" w:rsidRDefault="00EB2BD8">
            <w:pPr>
              <w:pStyle w:val="TableParagraph"/>
              <w:spacing w:before="67"/>
              <w:ind w:left="112"/>
              <w:rPr>
                <w:rFonts w:ascii="Arial"/>
                <w:b/>
                <w:sz w:val="18"/>
              </w:rPr>
            </w:pPr>
            <w:r w:rsidRPr="00EB2BD8">
              <w:rPr>
                <w:rFonts w:ascii="Arial"/>
                <w:b/>
                <w:sz w:val="18"/>
              </w:rPr>
              <w:t>Net</w:t>
            </w:r>
            <w:r w:rsidRPr="00EB2BD8">
              <w:rPr>
                <w:rFonts w:ascii="Arial"/>
                <w:b/>
                <w:spacing w:val="-3"/>
                <w:sz w:val="18"/>
              </w:rPr>
              <w:t xml:space="preserve"> </w:t>
            </w:r>
            <w:r w:rsidRPr="00EB2BD8">
              <w:rPr>
                <w:rFonts w:ascii="Arial"/>
                <w:b/>
                <w:sz w:val="18"/>
              </w:rPr>
              <w:t>cash</w:t>
            </w:r>
            <w:r w:rsidRPr="00EB2BD8">
              <w:rPr>
                <w:rFonts w:ascii="Arial"/>
                <w:b/>
                <w:spacing w:val="-2"/>
                <w:sz w:val="18"/>
              </w:rPr>
              <w:t xml:space="preserve"> </w:t>
            </w:r>
            <w:r w:rsidRPr="00EB2BD8">
              <w:rPr>
                <w:rFonts w:ascii="Arial"/>
                <w:b/>
                <w:sz w:val="18"/>
              </w:rPr>
              <w:t>flows</w:t>
            </w:r>
            <w:r w:rsidRPr="00EB2BD8">
              <w:rPr>
                <w:rFonts w:ascii="Arial"/>
                <w:b/>
                <w:spacing w:val="-3"/>
                <w:sz w:val="18"/>
              </w:rPr>
              <w:t xml:space="preserve"> </w:t>
            </w:r>
            <w:r w:rsidRPr="00EB2BD8">
              <w:rPr>
                <w:rFonts w:ascii="Arial"/>
                <w:b/>
                <w:sz w:val="18"/>
              </w:rPr>
              <w:t>from/(used</w:t>
            </w:r>
            <w:r w:rsidRPr="00EB2BD8">
              <w:rPr>
                <w:rFonts w:ascii="Arial"/>
                <w:b/>
                <w:spacing w:val="-2"/>
                <w:sz w:val="18"/>
              </w:rPr>
              <w:t xml:space="preserve"> </w:t>
            </w:r>
            <w:r w:rsidRPr="00EB2BD8">
              <w:rPr>
                <w:rFonts w:ascii="Arial"/>
                <w:b/>
                <w:sz w:val="18"/>
              </w:rPr>
              <w:t>in)</w:t>
            </w:r>
            <w:r w:rsidRPr="00EB2BD8">
              <w:rPr>
                <w:rFonts w:ascii="Arial"/>
                <w:b/>
                <w:spacing w:val="-2"/>
                <w:sz w:val="18"/>
              </w:rPr>
              <w:t xml:space="preserve"> </w:t>
            </w:r>
            <w:r w:rsidRPr="00EB2BD8">
              <w:rPr>
                <w:rFonts w:ascii="Arial"/>
                <w:b/>
                <w:sz w:val="18"/>
              </w:rPr>
              <w:t>financing</w:t>
            </w:r>
            <w:r w:rsidRPr="00EB2BD8">
              <w:rPr>
                <w:rFonts w:ascii="Arial"/>
                <w:b/>
                <w:spacing w:val="-2"/>
                <w:sz w:val="18"/>
              </w:rPr>
              <w:t xml:space="preserve"> activities</w:t>
            </w:r>
          </w:p>
        </w:tc>
        <w:tc>
          <w:tcPr>
            <w:tcW w:w="1417" w:type="dxa"/>
            <w:tcBorders>
              <w:top w:val="single" w:sz="12" w:space="0" w:color="000000"/>
              <w:bottom w:val="single" w:sz="12" w:space="0" w:color="000000"/>
            </w:tcBorders>
            <w:shd w:val="clear" w:color="auto" w:fill="DEEAF6"/>
          </w:tcPr>
          <w:p w14:paraId="09471A0C" w14:textId="77777777" w:rsidR="00084F36" w:rsidRPr="00EB2BD8" w:rsidRDefault="00EB2BD8">
            <w:pPr>
              <w:pStyle w:val="TableParagraph"/>
              <w:spacing w:before="67"/>
              <w:ind w:right="102"/>
              <w:jc w:val="right"/>
              <w:rPr>
                <w:rFonts w:ascii="Arial"/>
                <w:b/>
                <w:sz w:val="18"/>
              </w:rPr>
            </w:pPr>
            <w:r w:rsidRPr="00EB2BD8">
              <w:rPr>
                <w:rFonts w:ascii="Arial"/>
                <w:b/>
                <w:spacing w:val="-2"/>
                <w:sz w:val="18"/>
              </w:rPr>
              <w:t>(1,028)</w:t>
            </w:r>
          </w:p>
        </w:tc>
        <w:tc>
          <w:tcPr>
            <w:tcW w:w="1417" w:type="dxa"/>
            <w:tcBorders>
              <w:top w:val="single" w:sz="12" w:space="0" w:color="000000"/>
              <w:bottom w:val="single" w:sz="12" w:space="0" w:color="000000"/>
            </w:tcBorders>
            <w:shd w:val="clear" w:color="auto" w:fill="FFFFFF"/>
          </w:tcPr>
          <w:p w14:paraId="07BEF31D" w14:textId="77777777" w:rsidR="00084F36" w:rsidRPr="00EB2BD8" w:rsidRDefault="00EB2BD8">
            <w:pPr>
              <w:pStyle w:val="TableParagraph"/>
              <w:spacing w:before="67"/>
              <w:ind w:right="102"/>
              <w:jc w:val="right"/>
              <w:rPr>
                <w:rFonts w:ascii="Arial"/>
                <w:b/>
                <w:sz w:val="18"/>
              </w:rPr>
            </w:pPr>
            <w:r w:rsidRPr="00EB2BD8">
              <w:rPr>
                <w:rFonts w:ascii="Arial"/>
                <w:b/>
                <w:spacing w:val="-2"/>
                <w:sz w:val="18"/>
              </w:rPr>
              <w:t>(1,913)</w:t>
            </w:r>
          </w:p>
        </w:tc>
      </w:tr>
      <w:tr w:rsidR="00EB2BD8" w:rsidRPr="00EB2BD8" w14:paraId="46F97188" w14:textId="77777777">
        <w:trPr>
          <w:trHeight w:val="343"/>
        </w:trPr>
        <w:tc>
          <w:tcPr>
            <w:tcW w:w="7089" w:type="dxa"/>
            <w:gridSpan w:val="3"/>
            <w:tcBorders>
              <w:top w:val="single" w:sz="12" w:space="0" w:color="000000"/>
              <w:bottom w:val="single" w:sz="12" w:space="0" w:color="000000"/>
            </w:tcBorders>
            <w:shd w:val="clear" w:color="auto" w:fill="FFFFFF"/>
          </w:tcPr>
          <w:p w14:paraId="52A2740A" w14:textId="77777777" w:rsidR="00084F36" w:rsidRPr="00EB2BD8" w:rsidRDefault="00EB2BD8">
            <w:pPr>
              <w:pStyle w:val="TableParagraph"/>
              <w:spacing w:before="66"/>
              <w:ind w:left="112"/>
              <w:rPr>
                <w:rFonts w:ascii="Arial"/>
                <w:b/>
                <w:sz w:val="18"/>
              </w:rPr>
            </w:pPr>
            <w:r w:rsidRPr="00EB2BD8">
              <w:rPr>
                <w:rFonts w:ascii="Arial"/>
                <w:b/>
                <w:sz w:val="18"/>
              </w:rPr>
              <w:t>Net</w:t>
            </w:r>
            <w:r w:rsidRPr="00EB2BD8">
              <w:rPr>
                <w:rFonts w:ascii="Arial"/>
                <w:b/>
                <w:spacing w:val="-3"/>
                <w:sz w:val="18"/>
              </w:rPr>
              <w:t xml:space="preserve"> </w:t>
            </w:r>
            <w:r w:rsidRPr="00EB2BD8">
              <w:rPr>
                <w:rFonts w:ascii="Arial"/>
                <w:b/>
                <w:sz w:val="18"/>
              </w:rPr>
              <w:t>increase/(decrease)</w:t>
            </w:r>
            <w:r w:rsidRPr="00EB2BD8">
              <w:rPr>
                <w:rFonts w:ascii="Arial"/>
                <w:b/>
                <w:spacing w:val="-3"/>
                <w:sz w:val="18"/>
              </w:rPr>
              <w:t xml:space="preserve"> </w:t>
            </w:r>
            <w:r w:rsidRPr="00EB2BD8">
              <w:rPr>
                <w:rFonts w:ascii="Arial"/>
                <w:b/>
                <w:sz w:val="18"/>
              </w:rPr>
              <w:t>in</w:t>
            </w:r>
            <w:r w:rsidRPr="00EB2BD8">
              <w:rPr>
                <w:rFonts w:ascii="Arial"/>
                <w:b/>
                <w:spacing w:val="-3"/>
                <w:sz w:val="18"/>
              </w:rPr>
              <w:t xml:space="preserve"> </w:t>
            </w:r>
            <w:r w:rsidRPr="00EB2BD8">
              <w:rPr>
                <w:rFonts w:ascii="Arial"/>
                <w:b/>
                <w:sz w:val="18"/>
              </w:rPr>
              <w:t>cash</w:t>
            </w:r>
            <w:r w:rsidRPr="00EB2BD8">
              <w:rPr>
                <w:rFonts w:ascii="Arial"/>
                <w:b/>
                <w:spacing w:val="-3"/>
                <w:sz w:val="18"/>
              </w:rPr>
              <w:t xml:space="preserve"> </w:t>
            </w:r>
            <w:r w:rsidRPr="00EB2BD8">
              <w:rPr>
                <w:rFonts w:ascii="Arial"/>
                <w:b/>
                <w:sz w:val="18"/>
              </w:rPr>
              <w:t>and</w:t>
            </w:r>
            <w:r w:rsidRPr="00EB2BD8">
              <w:rPr>
                <w:rFonts w:ascii="Arial"/>
                <w:b/>
                <w:spacing w:val="-3"/>
                <w:sz w:val="18"/>
              </w:rPr>
              <w:t xml:space="preserve"> </w:t>
            </w:r>
            <w:r w:rsidRPr="00EB2BD8">
              <w:rPr>
                <w:rFonts w:ascii="Arial"/>
                <w:b/>
                <w:sz w:val="18"/>
              </w:rPr>
              <w:t>cash</w:t>
            </w:r>
            <w:r w:rsidRPr="00EB2BD8">
              <w:rPr>
                <w:rFonts w:ascii="Arial"/>
                <w:b/>
                <w:spacing w:val="-3"/>
                <w:sz w:val="18"/>
              </w:rPr>
              <w:t xml:space="preserve"> </w:t>
            </w:r>
            <w:r w:rsidRPr="00EB2BD8">
              <w:rPr>
                <w:rFonts w:ascii="Arial"/>
                <w:b/>
                <w:spacing w:val="-2"/>
                <w:sz w:val="18"/>
              </w:rPr>
              <w:t>equivalents</w:t>
            </w:r>
          </w:p>
        </w:tc>
        <w:tc>
          <w:tcPr>
            <w:tcW w:w="1417" w:type="dxa"/>
            <w:tcBorders>
              <w:top w:val="single" w:sz="12" w:space="0" w:color="000000"/>
              <w:bottom w:val="single" w:sz="12" w:space="0" w:color="000000"/>
            </w:tcBorders>
            <w:shd w:val="clear" w:color="auto" w:fill="DEEAF6"/>
          </w:tcPr>
          <w:p w14:paraId="3D4A783A" w14:textId="77777777" w:rsidR="00084F36" w:rsidRPr="00EB2BD8" w:rsidRDefault="00EB2BD8">
            <w:pPr>
              <w:pStyle w:val="TableParagraph"/>
              <w:spacing w:before="66"/>
              <w:ind w:right="102"/>
              <w:jc w:val="right"/>
              <w:rPr>
                <w:rFonts w:ascii="Arial"/>
                <w:b/>
                <w:sz w:val="18"/>
              </w:rPr>
            </w:pPr>
            <w:r w:rsidRPr="00EB2BD8">
              <w:rPr>
                <w:rFonts w:ascii="Arial"/>
                <w:b/>
                <w:spacing w:val="-2"/>
                <w:sz w:val="18"/>
              </w:rPr>
              <w:t>20,111</w:t>
            </w:r>
          </w:p>
        </w:tc>
        <w:tc>
          <w:tcPr>
            <w:tcW w:w="1417" w:type="dxa"/>
            <w:tcBorders>
              <w:top w:val="single" w:sz="12" w:space="0" w:color="000000"/>
              <w:bottom w:val="single" w:sz="12" w:space="0" w:color="000000"/>
            </w:tcBorders>
            <w:shd w:val="clear" w:color="auto" w:fill="FFFFFF"/>
          </w:tcPr>
          <w:p w14:paraId="6CF325AE" w14:textId="77777777" w:rsidR="00084F36" w:rsidRPr="00EB2BD8" w:rsidRDefault="00EB2BD8">
            <w:pPr>
              <w:pStyle w:val="TableParagraph"/>
              <w:spacing w:before="66"/>
              <w:ind w:right="102"/>
              <w:jc w:val="right"/>
              <w:rPr>
                <w:rFonts w:ascii="Arial"/>
                <w:b/>
                <w:sz w:val="18"/>
              </w:rPr>
            </w:pPr>
            <w:r w:rsidRPr="00EB2BD8">
              <w:rPr>
                <w:rFonts w:ascii="Arial"/>
                <w:b/>
                <w:spacing w:val="-2"/>
                <w:sz w:val="18"/>
              </w:rPr>
              <w:t>(13,075)</w:t>
            </w:r>
          </w:p>
        </w:tc>
      </w:tr>
      <w:tr w:rsidR="00EB2BD8" w:rsidRPr="00EB2BD8" w14:paraId="25885E74" w14:textId="77777777">
        <w:trPr>
          <w:trHeight w:val="341"/>
        </w:trPr>
        <w:tc>
          <w:tcPr>
            <w:tcW w:w="7089" w:type="dxa"/>
            <w:gridSpan w:val="3"/>
            <w:tcBorders>
              <w:top w:val="single" w:sz="12" w:space="0" w:color="000000"/>
              <w:bottom w:val="single" w:sz="12" w:space="0" w:color="000000"/>
            </w:tcBorders>
            <w:shd w:val="clear" w:color="auto" w:fill="FFFFFF"/>
          </w:tcPr>
          <w:p w14:paraId="6A8548D8" w14:textId="77777777" w:rsidR="00084F36" w:rsidRPr="00EB2BD8" w:rsidRDefault="00EB2BD8">
            <w:pPr>
              <w:pStyle w:val="TableParagraph"/>
              <w:spacing w:before="66"/>
              <w:ind w:left="112"/>
              <w:rPr>
                <w:rFonts w:ascii="Arial"/>
                <w:b/>
                <w:sz w:val="18"/>
              </w:rPr>
            </w:pPr>
            <w:r w:rsidRPr="00EB2BD8">
              <w:rPr>
                <w:rFonts w:ascii="Arial"/>
                <w:b/>
                <w:sz w:val="18"/>
              </w:rPr>
              <w:t>Cash</w:t>
            </w:r>
            <w:r w:rsidRPr="00EB2BD8">
              <w:rPr>
                <w:rFonts w:ascii="Arial"/>
                <w:b/>
                <w:spacing w:val="-5"/>
                <w:sz w:val="18"/>
              </w:rPr>
              <w:t xml:space="preserve"> </w:t>
            </w:r>
            <w:r w:rsidRPr="00EB2BD8">
              <w:rPr>
                <w:rFonts w:ascii="Arial"/>
                <w:b/>
                <w:sz w:val="18"/>
              </w:rPr>
              <w:t>and</w:t>
            </w:r>
            <w:r w:rsidRPr="00EB2BD8">
              <w:rPr>
                <w:rFonts w:ascii="Arial"/>
                <w:b/>
                <w:spacing w:val="-2"/>
                <w:sz w:val="18"/>
              </w:rPr>
              <w:t xml:space="preserve"> </w:t>
            </w:r>
            <w:r w:rsidRPr="00EB2BD8">
              <w:rPr>
                <w:rFonts w:ascii="Arial"/>
                <w:b/>
                <w:sz w:val="18"/>
              </w:rPr>
              <w:t>cash</w:t>
            </w:r>
            <w:r w:rsidRPr="00EB2BD8">
              <w:rPr>
                <w:rFonts w:ascii="Arial"/>
                <w:b/>
                <w:spacing w:val="-2"/>
                <w:sz w:val="18"/>
              </w:rPr>
              <w:t xml:space="preserve"> </w:t>
            </w:r>
            <w:r w:rsidRPr="00EB2BD8">
              <w:rPr>
                <w:rFonts w:ascii="Arial"/>
                <w:b/>
                <w:sz w:val="18"/>
              </w:rPr>
              <w:t>equivalents</w:t>
            </w:r>
            <w:r w:rsidRPr="00EB2BD8">
              <w:rPr>
                <w:rFonts w:ascii="Arial"/>
                <w:b/>
                <w:spacing w:val="-4"/>
                <w:sz w:val="18"/>
              </w:rPr>
              <w:t xml:space="preserve"> </w:t>
            </w:r>
            <w:r w:rsidRPr="00EB2BD8">
              <w:rPr>
                <w:rFonts w:ascii="Arial"/>
                <w:b/>
                <w:sz w:val="18"/>
              </w:rPr>
              <w:t>at</w:t>
            </w:r>
            <w:r w:rsidRPr="00EB2BD8">
              <w:rPr>
                <w:rFonts w:ascii="Arial"/>
                <w:b/>
                <w:spacing w:val="-2"/>
                <w:sz w:val="18"/>
              </w:rPr>
              <w:t xml:space="preserve"> </w:t>
            </w:r>
            <w:r w:rsidRPr="00EB2BD8">
              <w:rPr>
                <w:rFonts w:ascii="Arial"/>
                <w:b/>
                <w:sz w:val="18"/>
              </w:rPr>
              <w:t>the</w:t>
            </w:r>
            <w:r w:rsidRPr="00EB2BD8">
              <w:rPr>
                <w:rFonts w:ascii="Arial"/>
                <w:b/>
                <w:spacing w:val="-3"/>
                <w:sz w:val="18"/>
              </w:rPr>
              <w:t xml:space="preserve"> </w:t>
            </w:r>
            <w:r w:rsidRPr="00EB2BD8">
              <w:rPr>
                <w:rFonts w:ascii="Arial"/>
                <w:b/>
                <w:sz w:val="18"/>
              </w:rPr>
              <w:t>beginning</w:t>
            </w:r>
            <w:r w:rsidRPr="00EB2BD8">
              <w:rPr>
                <w:rFonts w:ascii="Arial"/>
                <w:b/>
                <w:spacing w:val="-2"/>
                <w:sz w:val="18"/>
              </w:rPr>
              <w:t xml:space="preserve"> </w:t>
            </w:r>
            <w:r w:rsidRPr="00EB2BD8">
              <w:rPr>
                <w:rFonts w:ascii="Arial"/>
                <w:b/>
                <w:sz w:val="18"/>
              </w:rPr>
              <w:t>of</w:t>
            </w:r>
            <w:r w:rsidRPr="00EB2BD8">
              <w:rPr>
                <w:rFonts w:ascii="Arial"/>
                <w:b/>
                <w:spacing w:val="-2"/>
                <w:sz w:val="18"/>
              </w:rPr>
              <w:t xml:space="preserve"> </w:t>
            </w:r>
            <w:r w:rsidRPr="00EB2BD8">
              <w:rPr>
                <w:rFonts w:ascii="Arial"/>
                <w:b/>
                <w:sz w:val="18"/>
              </w:rPr>
              <w:t>financial</w:t>
            </w:r>
            <w:r w:rsidRPr="00EB2BD8">
              <w:rPr>
                <w:rFonts w:ascii="Arial"/>
                <w:b/>
                <w:spacing w:val="-2"/>
                <w:sz w:val="18"/>
              </w:rPr>
              <w:t xml:space="preserve"> </w:t>
            </w:r>
            <w:r w:rsidRPr="00EB2BD8">
              <w:rPr>
                <w:rFonts w:ascii="Arial"/>
                <w:b/>
                <w:spacing w:val="-4"/>
                <w:sz w:val="18"/>
              </w:rPr>
              <w:t>year</w:t>
            </w:r>
          </w:p>
        </w:tc>
        <w:tc>
          <w:tcPr>
            <w:tcW w:w="1417" w:type="dxa"/>
            <w:tcBorders>
              <w:top w:val="single" w:sz="12" w:space="0" w:color="000000"/>
              <w:bottom w:val="single" w:sz="12" w:space="0" w:color="000000"/>
            </w:tcBorders>
            <w:shd w:val="clear" w:color="auto" w:fill="DEEAF6"/>
          </w:tcPr>
          <w:p w14:paraId="16486987" w14:textId="77777777" w:rsidR="00084F36" w:rsidRPr="00EB2BD8" w:rsidRDefault="00EB2BD8">
            <w:pPr>
              <w:pStyle w:val="TableParagraph"/>
              <w:spacing w:before="66"/>
              <w:ind w:right="102"/>
              <w:jc w:val="right"/>
              <w:rPr>
                <w:rFonts w:ascii="Arial"/>
                <w:b/>
                <w:sz w:val="18"/>
              </w:rPr>
            </w:pPr>
            <w:r w:rsidRPr="00EB2BD8">
              <w:rPr>
                <w:rFonts w:ascii="Arial"/>
                <w:b/>
                <w:spacing w:val="-2"/>
                <w:sz w:val="18"/>
              </w:rPr>
              <w:t>39,542</w:t>
            </w:r>
          </w:p>
        </w:tc>
        <w:tc>
          <w:tcPr>
            <w:tcW w:w="1417" w:type="dxa"/>
            <w:tcBorders>
              <w:top w:val="single" w:sz="12" w:space="0" w:color="000000"/>
              <w:bottom w:val="single" w:sz="12" w:space="0" w:color="000000"/>
            </w:tcBorders>
            <w:shd w:val="clear" w:color="auto" w:fill="FFFFFF"/>
          </w:tcPr>
          <w:p w14:paraId="73051876" w14:textId="77777777" w:rsidR="00084F36" w:rsidRPr="00EB2BD8" w:rsidRDefault="00EB2BD8">
            <w:pPr>
              <w:pStyle w:val="TableParagraph"/>
              <w:spacing w:before="66"/>
              <w:ind w:right="100"/>
              <w:jc w:val="right"/>
              <w:rPr>
                <w:rFonts w:ascii="Arial"/>
                <w:b/>
                <w:sz w:val="18"/>
              </w:rPr>
            </w:pPr>
            <w:r w:rsidRPr="00EB2BD8">
              <w:rPr>
                <w:rFonts w:ascii="Arial"/>
                <w:b/>
                <w:spacing w:val="-2"/>
                <w:sz w:val="18"/>
              </w:rPr>
              <w:t>52,617</w:t>
            </w:r>
          </w:p>
        </w:tc>
      </w:tr>
      <w:tr w:rsidR="00EB2BD8" w:rsidRPr="00EB2BD8" w14:paraId="472DB2B3" w14:textId="77777777">
        <w:trPr>
          <w:trHeight w:val="343"/>
        </w:trPr>
        <w:tc>
          <w:tcPr>
            <w:tcW w:w="7089" w:type="dxa"/>
            <w:gridSpan w:val="3"/>
            <w:tcBorders>
              <w:top w:val="single" w:sz="12" w:space="0" w:color="000000"/>
              <w:bottom w:val="single" w:sz="12" w:space="0" w:color="000000"/>
            </w:tcBorders>
            <w:shd w:val="clear" w:color="auto" w:fill="FFFFFF"/>
          </w:tcPr>
          <w:p w14:paraId="7B9C5E14" w14:textId="77777777" w:rsidR="00084F36" w:rsidRPr="00EB2BD8" w:rsidRDefault="00EB2BD8">
            <w:pPr>
              <w:pStyle w:val="TableParagraph"/>
              <w:spacing w:before="67"/>
              <w:ind w:left="112"/>
              <w:rPr>
                <w:rFonts w:ascii="Arial"/>
                <w:b/>
                <w:sz w:val="18"/>
              </w:rPr>
            </w:pPr>
            <w:r w:rsidRPr="00EB2BD8">
              <w:rPr>
                <w:rFonts w:ascii="Arial"/>
                <w:b/>
                <w:sz w:val="18"/>
              </w:rPr>
              <w:t>Cash</w:t>
            </w:r>
            <w:r w:rsidRPr="00EB2BD8">
              <w:rPr>
                <w:rFonts w:ascii="Arial"/>
                <w:b/>
                <w:spacing w:val="-4"/>
                <w:sz w:val="18"/>
              </w:rPr>
              <w:t xml:space="preserve"> </w:t>
            </w:r>
            <w:r w:rsidRPr="00EB2BD8">
              <w:rPr>
                <w:rFonts w:ascii="Arial"/>
                <w:b/>
                <w:sz w:val="18"/>
              </w:rPr>
              <w:t>and</w:t>
            </w:r>
            <w:r w:rsidRPr="00EB2BD8">
              <w:rPr>
                <w:rFonts w:ascii="Arial"/>
                <w:b/>
                <w:spacing w:val="-2"/>
                <w:sz w:val="18"/>
              </w:rPr>
              <w:t xml:space="preserve"> </w:t>
            </w:r>
            <w:r w:rsidRPr="00EB2BD8">
              <w:rPr>
                <w:rFonts w:ascii="Arial"/>
                <w:b/>
                <w:sz w:val="18"/>
              </w:rPr>
              <w:t>cash</w:t>
            </w:r>
            <w:r w:rsidRPr="00EB2BD8">
              <w:rPr>
                <w:rFonts w:ascii="Arial"/>
                <w:b/>
                <w:spacing w:val="-2"/>
                <w:sz w:val="18"/>
              </w:rPr>
              <w:t xml:space="preserve"> </w:t>
            </w:r>
            <w:r w:rsidRPr="00EB2BD8">
              <w:rPr>
                <w:rFonts w:ascii="Arial"/>
                <w:b/>
                <w:sz w:val="18"/>
              </w:rPr>
              <w:t>equivalents</w:t>
            </w:r>
            <w:r w:rsidRPr="00EB2BD8">
              <w:rPr>
                <w:rFonts w:ascii="Arial"/>
                <w:b/>
                <w:spacing w:val="-4"/>
                <w:sz w:val="18"/>
              </w:rPr>
              <w:t xml:space="preserve"> </w:t>
            </w:r>
            <w:r w:rsidRPr="00EB2BD8">
              <w:rPr>
                <w:rFonts w:ascii="Arial"/>
                <w:b/>
                <w:sz w:val="18"/>
              </w:rPr>
              <w:t>at</w:t>
            </w:r>
            <w:r w:rsidRPr="00EB2BD8">
              <w:rPr>
                <w:rFonts w:ascii="Arial"/>
                <w:b/>
                <w:spacing w:val="-2"/>
                <w:sz w:val="18"/>
              </w:rPr>
              <w:t xml:space="preserve"> </w:t>
            </w:r>
            <w:r w:rsidRPr="00EB2BD8">
              <w:rPr>
                <w:rFonts w:ascii="Arial"/>
                <w:b/>
                <w:sz w:val="18"/>
              </w:rPr>
              <w:t>the</w:t>
            </w:r>
            <w:r w:rsidRPr="00EB2BD8">
              <w:rPr>
                <w:rFonts w:ascii="Arial"/>
                <w:b/>
                <w:spacing w:val="-3"/>
                <w:sz w:val="18"/>
              </w:rPr>
              <w:t xml:space="preserve"> </w:t>
            </w:r>
            <w:r w:rsidRPr="00EB2BD8">
              <w:rPr>
                <w:rFonts w:ascii="Arial"/>
                <w:b/>
                <w:sz w:val="18"/>
              </w:rPr>
              <w:t>end</w:t>
            </w:r>
            <w:r w:rsidRPr="00EB2BD8">
              <w:rPr>
                <w:rFonts w:ascii="Arial"/>
                <w:b/>
                <w:spacing w:val="-2"/>
                <w:sz w:val="18"/>
              </w:rPr>
              <w:t xml:space="preserve"> </w:t>
            </w:r>
            <w:r w:rsidRPr="00EB2BD8">
              <w:rPr>
                <w:rFonts w:ascii="Arial"/>
                <w:b/>
                <w:sz w:val="18"/>
              </w:rPr>
              <w:t>of</w:t>
            </w:r>
            <w:r w:rsidRPr="00EB2BD8">
              <w:rPr>
                <w:rFonts w:ascii="Arial"/>
                <w:b/>
                <w:spacing w:val="-3"/>
                <w:sz w:val="18"/>
              </w:rPr>
              <w:t xml:space="preserve"> </w:t>
            </w:r>
            <w:r w:rsidRPr="00EB2BD8">
              <w:rPr>
                <w:rFonts w:ascii="Arial"/>
                <w:b/>
                <w:sz w:val="18"/>
              </w:rPr>
              <w:t>financial</w:t>
            </w:r>
            <w:r w:rsidRPr="00EB2BD8">
              <w:rPr>
                <w:rFonts w:ascii="Arial"/>
                <w:b/>
                <w:spacing w:val="-1"/>
                <w:sz w:val="18"/>
              </w:rPr>
              <w:t xml:space="preserve"> </w:t>
            </w:r>
            <w:r w:rsidRPr="00EB2BD8">
              <w:rPr>
                <w:rFonts w:ascii="Arial"/>
                <w:b/>
                <w:spacing w:val="-4"/>
                <w:sz w:val="18"/>
              </w:rPr>
              <w:t>year</w:t>
            </w:r>
          </w:p>
        </w:tc>
        <w:tc>
          <w:tcPr>
            <w:tcW w:w="1417" w:type="dxa"/>
            <w:tcBorders>
              <w:top w:val="single" w:sz="12" w:space="0" w:color="000000"/>
              <w:bottom w:val="single" w:sz="12" w:space="0" w:color="000000"/>
            </w:tcBorders>
            <w:shd w:val="clear" w:color="auto" w:fill="DEEAF6"/>
          </w:tcPr>
          <w:p w14:paraId="38D23295" w14:textId="77777777" w:rsidR="00084F36" w:rsidRPr="00EB2BD8" w:rsidRDefault="00EB2BD8">
            <w:pPr>
              <w:pStyle w:val="TableParagraph"/>
              <w:spacing w:before="67"/>
              <w:ind w:right="102"/>
              <w:jc w:val="right"/>
              <w:rPr>
                <w:rFonts w:ascii="Arial"/>
                <w:b/>
                <w:sz w:val="18"/>
              </w:rPr>
            </w:pPr>
            <w:r w:rsidRPr="00EB2BD8">
              <w:rPr>
                <w:rFonts w:ascii="Arial"/>
                <w:b/>
                <w:spacing w:val="-2"/>
                <w:sz w:val="18"/>
              </w:rPr>
              <w:t>59,653</w:t>
            </w:r>
          </w:p>
        </w:tc>
        <w:tc>
          <w:tcPr>
            <w:tcW w:w="1417" w:type="dxa"/>
            <w:tcBorders>
              <w:top w:val="single" w:sz="12" w:space="0" w:color="000000"/>
              <w:bottom w:val="single" w:sz="12" w:space="0" w:color="000000"/>
            </w:tcBorders>
            <w:shd w:val="clear" w:color="auto" w:fill="FFFFFF"/>
          </w:tcPr>
          <w:p w14:paraId="72EB47C8" w14:textId="77777777" w:rsidR="00084F36" w:rsidRPr="00EB2BD8" w:rsidRDefault="00EB2BD8">
            <w:pPr>
              <w:pStyle w:val="TableParagraph"/>
              <w:spacing w:before="67"/>
              <w:ind w:right="100"/>
              <w:jc w:val="right"/>
              <w:rPr>
                <w:rFonts w:ascii="Arial"/>
                <w:b/>
                <w:sz w:val="18"/>
              </w:rPr>
            </w:pPr>
            <w:r w:rsidRPr="00EB2BD8">
              <w:rPr>
                <w:rFonts w:ascii="Arial"/>
                <w:b/>
                <w:spacing w:val="-2"/>
                <w:sz w:val="18"/>
              </w:rPr>
              <w:t>39,542</w:t>
            </w:r>
          </w:p>
        </w:tc>
      </w:tr>
    </w:tbl>
    <w:p w14:paraId="3F2D5E5C" w14:textId="77777777" w:rsidR="00084F36" w:rsidRPr="00EB2BD8" w:rsidRDefault="00084F36">
      <w:pPr>
        <w:pStyle w:val="BodyText"/>
        <w:spacing w:before="4"/>
        <w:rPr>
          <w:rFonts w:ascii="Arial"/>
          <w:sz w:val="14"/>
        </w:rPr>
      </w:pPr>
    </w:p>
    <w:p w14:paraId="4A89C763" w14:textId="77777777" w:rsidR="00084F36" w:rsidRPr="00EB2BD8" w:rsidRDefault="00EB2BD8">
      <w:pPr>
        <w:spacing w:before="94"/>
        <w:ind w:left="1059"/>
        <w:rPr>
          <w:rFonts w:ascii="Arial"/>
          <w:i/>
          <w:sz w:val="18"/>
        </w:rPr>
      </w:pPr>
      <w:r w:rsidRPr="00EB2BD8">
        <w:rPr>
          <w:rFonts w:ascii="Arial"/>
          <w:i/>
          <w:sz w:val="18"/>
        </w:rPr>
        <w:t>The</w:t>
      </w:r>
      <w:r w:rsidRPr="00EB2BD8">
        <w:rPr>
          <w:rFonts w:ascii="Arial"/>
          <w:i/>
          <w:spacing w:val="-4"/>
          <w:sz w:val="18"/>
        </w:rPr>
        <w:t xml:space="preserve"> </w:t>
      </w:r>
      <w:r w:rsidRPr="00EB2BD8">
        <w:rPr>
          <w:rFonts w:ascii="Arial"/>
          <w:i/>
          <w:sz w:val="18"/>
        </w:rPr>
        <w:t>accompanying</w:t>
      </w:r>
      <w:r w:rsidRPr="00EB2BD8">
        <w:rPr>
          <w:rFonts w:ascii="Arial"/>
          <w:i/>
          <w:spacing w:val="-2"/>
          <w:sz w:val="18"/>
        </w:rPr>
        <w:t xml:space="preserve"> </w:t>
      </w:r>
      <w:r w:rsidRPr="00EB2BD8">
        <w:rPr>
          <w:rFonts w:ascii="Arial"/>
          <w:i/>
          <w:sz w:val="18"/>
        </w:rPr>
        <w:t>notes</w:t>
      </w:r>
      <w:r w:rsidRPr="00EB2BD8">
        <w:rPr>
          <w:rFonts w:ascii="Arial"/>
          <w:i/>
          <w:spacing w:val="-3"/>
          <w:sz w:val="18"/>
        </w:rPr>
        <w:t xml:space="preserve"> </w:t>
      </w:r>
      <w:r w:rsidRPr="00EB2BD8">
        <w:rPr>
          <w:rFonts w:ascii="Arial"/>
          <w:i/>
          <w:sz w:val="18"/>
        </w:rPr>
        <w:t>form</w:t>
      </w:r>
      <w:r w:rsidRPr="00EB2BD8">
        <w:rPr>
          <w:rFonts w:ascii="Arial"/>
          <w:i/>
          <w:spacing w:val="-2"/>
          <w:sz w:val="18"/>
        </w:rPr>
        <w:t xml:space="preserve"> </w:t>
      </w:r>
      <w:r w:rsidRPr="00EB2BD8">
        <w:rPr>
          <w:rFonts w:ascii="Arial"/>
          <w:i/>
          <w:sz w:val="18"/>
        </w:rPr>
        <w:t>part</w:t>
      </w:r>
      <w:r w:rsidRPr="00EB2BD8">
        <w:rPr>
          <w:rFonts w:ascii="Arial"/>
          <w:i/>
          <w:spacing w:val="-2"/>
          <w:sz w:val="18"/>
        </w:rPr>
        <w:t xml:space="preserve"> </w:t>
      </w:r>
      <w:r w:rsidRPr="00EB2BD8">
        <w:rPr>
          <w:rFonts w:ascii="Arial"/>
          <w:i/>
          <w:sz w:val="18"/>
        </w:rPr>
        <w:t>of</w:t>
      </w:r>
      <w:r w:rsidRPr="00EB2BD8">
        <w:rPr>
          <w:rFonts w:ascii="Arial"/>
          <w:i/>
          <w:spacing w:val="-3"/>
          <w:sz w:val="18"/>
        </w:rPr>
        <w:t xml:space="preserve"> </w:t>
      </w:r>
      <w:r w:rsidRPr="00EB2BD8">
        <w:rPr>
          <w:rFonts w:ascii="Arial"/>
          <w:i/>
          <w:sz w:val="18"/>
        </w:rPr>
        <w:t>these</w:t>
      </w:r>
      <w:r w:rsidRPr="00EB2BD8">
        <w:rPr>
          <w:rFonts w:ascii="Arial"/>
          <w:i/>
          <w:spacing w:val="-3"/>
          <w:sz w:val="18"/>
        </w:rPr>
        <w:t xml:space="preserve"> </w:t>
      </w:r>
      <w:r w:rsidRPr="00EB2BD8">
        <w:rPr>
          <w:rFonts w:ascii="Arial"/>
          <w:i/>
          <w:sz w:val="18"/>
        </w:rPr>
        <w:t>financial</w:t>
      </w:r>
      <w:r w:rsidRPr="00EB2BD8">
        <w:rPr>
          <w:rFonts w:ascii="Arial"/>
          <w:i/>
          <w:spacing w:val="-2"/>
          <w:sz w:val="18"/>
        </w:rPr>
        <w:t xml:space="preserve"> statements.</w:t>
      </w:r>
    </w:p>
    <w:p w14:paraId="22B3043F" w14:textId="77777777" w:rsidR="00084F36" w:rsidRPr="00EB2BD8" w:rsidRDefault="00084F36">
      <w:pPr>
        <w:pStyle w:val="BodyText"/>
        <w:spacing w:before="6"/>
        <w:rPr>
          <w:rFonts w:ascii="Arial"/>
          <w:i/>
          <w:sz w:val="28"/>
        </w:rPr>
      </w:pPr>
    </w:p>
    <w:p w14:paraId="48B6B236" w14:textId="77777777" w:rsidR="00084F36" w:rsidRPr="00EB2BD8" w:rsidRDefault="00EB2BD8">
      <w:pPr>
        <w:ind w:left="1059"/>
        <w:rPr>
          <w:rFonts w:ascii="Arial"/>
          <w:i/>
          <w:sz w:val="16"/>
        </w:rPr>
      </w:pPr>
      <w:r w:rsidRPr="00EB2BD8">
        <w:rPr>
          <w:rFonts w:ascii="Arial"/>
          <w:i/>
          <w:spacing w:val="-2"/>
          <w:sz w:val="16"/>
        </w:rPr>
        <w:t>Notes:</w:t>
      </w:r>
    </w:p>
    <w:p w14:paraId="23DFACD7" w14:textId="77777777" w:rsidR="00084F36" w:rsidRPr="00EB2BD8" w:rsidRDefault="00EB2BD8">
      <w:pPr>
        <w:pStyle w:val="ListParagraph"/>
        <w:numPr>
          <w:ilvl w:val="0"/>
          <w:numId w:val="9"/>
        </w:numPr>
        <w:tabs>
          <w:tab w:val="left" w:pos="1477"/>
        </w:tabs>
        <w:spacing w:before="1"/>
        <w:rPr>
          <w:rFonts w:ascii="Arial"/>
          <w:i/>
          <w:sz w:val="16"/>
        </w:rPr>
      </w:pPr>
      <w:r w:rsidRPr="00EB2BD8">
        <w:rPr>
          <w:rFonts w:ascii="Arial"/>
          <w:i/>
          <w:sz w:val="16"/>
        </w:rPr>
        <w:t>This</w:t>
      </w:r>
      <w:r w:rsidRPr="00EB2BD8">
        <w:rPr>
          <w:rFonts w:ascii="Arial"/>
          <w:i/>
          <w:spacing w:val="-6"/>
          <w:sz w:val="16"/>
        </w:rPr>
        <w:t xml:space="preserve"> </w:t>
      </w:r>
      <w:r w:rsidRPr="00EB2BD8">
        <w:rPr>
          <w:rFonts w:ascii="Arial"/>
          <w:i/>
          <w:sz w:val="16"/>
        </w:rPr>
        <w:t>format</w:t>
      </w:r>
      <w:r w:rsidRPr="00EB2BD8">
        <w:rPr>
          <w:rFonts w:ascii="Arial"/>
          <w:i/>
          <w:spacing w:val="-5"/>
          <w:sz w:val="16"/>
        </w:rPr>
        <w:t xml:space="preserve"> </w:t>
      </w:r>
      <w:r w:rsidRPr="00EB2BD8">
        <w:rPr>
          <w:rFonts w:ascii="Arial"/>
          <w:i/>
          <w:sz w:val="16"/>
        </w:rPr>
        <w:t>is</w:t>
      </w:r>
      <w:r w:rsidRPr="00EB2BD8">
        <w:rPr>
          <w:rFonts w:ascii="Arial"/>
          <w:i/>
          <w:spacing w:val="-6"/>
          <w:sz w:val="16"/>
        </w:rPr>
        <w:t xml:space="preserve"> </w:t>
      </w:r>
      <w:r w:rsidRPr="00EB2BD8">
        <w:rPr>
          <w:rFonts w:ascii="Arial"/>
          <w:i/>
          <w:sz w:val="16"/>
        </w:rPr>
        <w:t>aligned</w:t>
      </w:r>
      <w:r w:rsidRPr="00EB2BD8">
        <w:rPr>
          <w:rFonts w:ascii="Arial"/>
          <w:i/>
          <w:spacing w:val="-7"/>
          <w:sz w:val="16"/>
        </w:rPr>
        <w:t xml:space="preserve"> </w:t>
      </w:r>
      <w:r w:rsidRPr="00EB2BD8">
        <w:rPr>
          <w:rFonts w:ascii="Arial"/>
          <w:i/>
          <w:sz w:val="16"/>
        </w:rPr>
        <w:t>to</w:t>
      </w:r>
      <w:r w:rsidRPr="00EB2BD8">
        <w:rPr>
          <w:rFonts w:ascii="Arial"/>
          <w:i/>
          <w:spacing w:val="-6"/>
          <w:sz w:val="16"/>
        </w:rPr>
        <w:t xml:space="preserve"> </w:t>
      </w:r>
      <w:r w:rsidRPr="00EB2BD8">
        <w:rPr>
          <w:rFonts w:ascii="Arial"/>
          <w:i/>
          <w:sz w:val="16"/>
        </w:rPr>
        <w:t>AASB</w:t>
      </w:r>
      <w:r w:rsidRPr="00EB2BD8">
        <w:rPr>
          <w:rFonts w:ascii="Arial"/>
          <w:i/>
          <w:spacing w:val="-6"/>
          <w:sz w:val="16"/>
        </w:rPr>
        <w:t xml:space="preserve"> </w:t>
      </w:r>
      <w:r w:rsidRPr="00EB2BD8">
        <w:rPr>
          <w:rFonts w:ascii="Arial"/>
          <w:i/>
          <w:sz w:val="16"/>
        </w:rPr>
        <w:t>1049</w:t>
      </w:r>
      <w:r w:rsidRPr="00EB2BD8">
        <w:rPr>
          <w:rFonts w:ascii="Arial"/>
          <w:i/>
          <w:spacing w:val="-7"/>
          <w:sz w:val="16"/>
        </w:rPr>
        <w:t xml:space="preserve"> </w:t>
      </w:r>
      <w:r w:rsidRPr="00EB2BD8">
        <w:rPr>
          <w:rFonts w:ascii="Arial"/>
          <w:i/>
          <w:sz w:val="16"/>
        </w:rPr>
        <w:t>Whole</w:t>
      </w:r>
      <w:r w:rsidRPr="00EB2BD8">
        <w:rPr>
          <w:rFonts w:ascii="Arial"/>
          <w:i/>
          <w:spacing w:val="-5"/>
          <w:sz w:val="16"/>
        </w:rPr>
        <w:t xml:space="preserve"> </w:t>
      </w:r>
      <w:r w:rsidRPr="00EB2BD8">
        <w:rPr>
          <w:rFonts w:ascii="Arial"/>
          <w:i/>
          <w:sz w:val="16"/>
        </w:rPr>
        <w:t>of</w:t>
      </w:r>
      <w:r w:rsidRPr="00EB2BD8">
        <w:rPr>
          <w:rFonts w:ascii="Arial"/>
          <w:i/>
          <w:spacing w:val="-6"/>
          <w:sz w:val="16"/>
        </w:rPr>
        <w:t xml:space="preserve"> </w:t>
      </w:r>
      <w:r w:rsidRPr="00EB2BD8">
        <w:rPr>
          <w:rFonts w:ascii="Arial"/>
          <w:i/>
          <w:sz w:val="16"/>
        </w:rPr>
        <w:t>Government</w:t>
      </w:r>
      <w:r w:rsidRPr="00EB2BD8">
        <w:rPr>
          <w:rFonts w:ascii="Arial"/>
          <w:i/>
          <w:spacing w:val="-7"/>
          <w:sz w:val="16"/>
        </w:rPr>
        <w:t xml:space="preserve"> </w:t>
      </w:r>
      <w:r w:rsidRPr="00EB2BD8">
        <w:rPr>
          <w:rFonts w:ascii="Arial"/>
          <w:i/>
          <w:sz w:val="16"/>
        </w:rPr>
        <w:t>and</w:t>
      </w:r>
      <w:r w:rsidRPr="00EB2BD8">
        <w:rPr>
          <w:rFonts w:ascii="Arial"/>
          <w:i/>
          <w:spacing w:val="-6"/>
          <w:sz w:val="16"/>
        </w:rPr>
        <w:t xml:space="preserve"> </w:t>
      </w:r>
      <w:r w:rsidRPr="00EB2BD8">
        <w:rPr>
          <w:rFonts w:ascii="Arial"/>
          <w:i/>
          <w:sz w:val="16"/>
        </w:rPr>
        <w:t>General</w:t>
      </w:r>
      <w:r w:rsidRPr="00EB2BD8">
        <w:rPr>
          <w:rFonts w:ascii="Arial"/>
          <w:i/>
          <w:spacing w:val="-6"/>
          <w:sz w:val="16"/>
        </w:rPr>
        <w:t xml:space="preserve"> </w:t>
      </w:r>
      <w:r w:rsidRPr="00EB2BD8">
        <w:rPr>
          <w:rFonts w:ascii="Arial"/>
          <w:i/>
          <w:sz w:val="16"/>
        </w:rPr>
        <w:t>Government</w:t>
      </w:r>
      <w:r w:rsidRPr="00EB2BD8">
        <w:rPr>
          <w:rFonts w:ascii="Arial"/>
          <w:i/>
          <w:spacing w:val="-7"/>
          <w:sz w:val="16"/>
        </w:rPr>
        <w:t xml:space="preserve"> </w:t>
      </w:r>
      <w:r w:rsidRPr="00EB2BD8">
        <w:rPr>
          <w:rFonts w:ascii="Arial"/>
          <w:i/>
          <w:sz w:val="16"/>
        </w:rPr>
        <w:t>Sector</w:t>
      </w:r>
      <w:r w:rsidRPr="00EB2BD8">
        <w:rPr>
          <w:rFonts w:ascii="Arial"/>
          <w:i/>
          <w:spacing w:val="-6"/>
          <w:sz w:val="16"/>
        </w:rPr>
        <w:t xml:space="preserve"> </w:t>
      </w:r>
      <w:r w:rsidRPr="00EB2BD8">
        <w:rPr>
          <w:rFonts w:ascii="Arial"/>
          <w:i/>
          <w:sz w:val="16"/>
        </w:rPr>
        <w:t>Financial</w:t>
      </w:r>
      <w:r w:rsidRPr="00EB2BD8">
        <w:rPr>
          <w:rFonts w:ascii="Arial"/>
          <w:i/>
          <w:spacing w:val="-5"/>
          <w:sz w:val="16"/>
        </w:rPr>
        <w:t xml:space="preserve"> </w:t>
      </w:r>
      <w:r w:rsidRPr="00EB2BD8">
        <w:rPr>
          <w:rFonts w:ascii="Arial"/>
          <w:i/>
          <w:spacing w:val="-2"/>
          <w:sz w:val="16"/>
        </w:rPr>
        <w:t>Reporting.</w:t>
      </w:r>
    </w:p>
    <w:p w14:paraId="56F68B2C" w14:textId="77777777" w:rsidR="00084F36" w:rsidRPr="00EB2BD8" w:rsidRDefault="00EB2BD8">
      <w:pPr>
        <w:pStyle w:val="ListParagraph"/>
        <w:numPr>
          <w:ilvl w:val="0"/>
          <w:numId w:val="9"/>
        </w:numPr>
        <w:tabs>
          <w:tab w:val="left" w:pos="1477"/>
        </w:tabs>
        <w:spacing w:before="1"/>
        <w:rPr>
          <w:rFonts w:ascii="Arial"/>
          <w:i/>
          <w:sz w:val="16"/>
        </w:rPr>
      </w:pPr>
      <w:r w:rsidRPr="00EB2BD8">
        <w:rPr>
          <w:rFonts w:ascii="Arial"/>
          <w:i/>
          <w:sz w:val="16"/>
        </w:rPr>
        <w:t>GST</w:t>
      </w:r>
      <w:r w:rsidRPr="00EB2BD8">
        <w:rPr>
          <w:rFonts w:ascii="Arial"/>
          <w:i/>
          <w:spacing w:val="-6"/>
          <w:sz w:val="16"/>
        </w:rPr>
        <w:t xml:space="preserve"> </w:t>
      </w:r>
      <w:r w:rsidRPr="00EB2BD8">
        <w:rPr>
          <w:rFonts w:ascii="Arial"/>
          <w:i/>
          <w:sz w:val="16"/>
        </w:rPr>
        <w:t>paid</w:t>
      </w:r>
      <w:r w:rsidRPr="00EB2BD8">
        <w:rPr>
          <w:rFonts w:ascii="Arial"/>
          <w:i/>
          <w:spacing w:val="-6"/>
          <w:sz w:val="16"/>
        </w:rPr>
        <w:t xml:space="preserve"> </w:t>
      </w:r>
      <w:r w:rsidRPr="00EB2BD8">
        <w:rPr>
          <w:rFonts w:ascii="Arial"/>
          <w:i/>
          <w:sz w:val="16"/>
        </w:rPr>
        <w:t>to</w:t>
      </w:r>
      <w:r w:rsidRPr="00EB2BD8">
        <w:rPr>
          <w:rFonts w:ascii="Arial"/>
          <w:i/>
          <w:spacing w:val="-6"/>
          <w:sz w:val="16"/>
        </w:rPr>
        <w:t xml:space="preserve"> </w:t>
      </w:r>
      <w:r w:rsidRPr="00EB2BD8">
        <w:rPr>
          <w:rFonts w:ascii="Arial"/>
          <w:i/>
          <w:sz w:val="16"/>
        </w:rPr>
        <w:t>the</w:t>
      </w:r>
      <w:r w:rsidRPr="00EB2BD8">
        <w:rPr>
          <w:rFonts w:ascii="Arial"/>
          <w:i/>
          <w:spacing w:val="-6"/>
          <w:sz w:val="16"/>
        </w:rPr>
        <w:t xml:space="preserve"> </w:t>
      </w:r>
      <w:r w:rsidRPr="00EB2BD8">
        <w:rPr>
          <w:rFonts w:ascii="Arial"/>
          <w:i/>
          <w:sz w:val="16"/>
        </w:rPr>
        <w:t>Australian</w:t>
      </w:r>
      <w:r w:rsidRPr="00EB2BD8">
        <w:rPr>
          <w:rFonts w:ascii="Arial"/>
          <w:i/>
          <w:spacing w:val="-5"/>
          <w:sz w:val="16"/>
        </w:rPr>
        <w:t xml:space="preserve"> </w:t>
      </w:r>
      <w:r w:rsidRPr="00EB2BD8">
        <w:rPr>
          <w:rFonts w:ascii="Arial"/>
          <w:i/>
          <w:sz w:val="16"/>
        </w:rPr>
        <w:t>Taxation</w:t>
      </w:r>
      <w:r w:rsidRPr="00EB2BD8">
        <w:rPr>
          <w:rFonts w:ascii="Arial"/>
          <w:i/>
          <w:spacing w:val="-6"/>
          <w:sz w:val="16"/>
        </w:rPr>
        <w:t xml:space="preserve"> </w:t>
      </w:r>
      <w:r w:rsidRPr="00EB2BD8">
        <w:rPr>
          <w:rFonts w:ascii="Arial"/>
          <w:i/>
          <w:sz w:val="16"/>
        </w:rPr>
        <w:t>Office</w:t>
      </w:r>
      <w:r w:rsidRPr="00EB2BD8">
        <w:rPr>
          <w:rFonts w:ascii="Arial"/>
          <w:i/>
          <w:spacing w:val="-6"/>
          <w:sz w:val="16"/>
        </w:rPr>
        <w:t xml:space="preserve"> </w:t>
      </w:r>
      <w:r w:rsidRPr="00EB2BD8">
        <w:rPr>
          <w:rFonts w:ascii="Arial"/>
          <w:i/>
          <w:sz w:val="16"/>
        </w:rPr>
        <w:t>is</w:t>
      </w:r>
      <w:r w:rsidRPr="00EB2BD8">
        <w:rPr>
          <w:rFonts w:ascii="Arial"/>
          <w:i/>
          <w:spacing w:val="-5"/>
          <w:sz w:val="16"/>
        </w:rPr>
        <w:t xml:space="preserve"> </w:t>
      </w:r>
      <w:r w:rsidRPr="00EB2BD8">
        <w:rPr>
          <w:rFonts w:ascii="Arial"/>
          <w:i/>
          <w:sz w:val="16"/>
        </w:rPr>
        <w:t>presented</w:t>
      </w:r>
      <w:r w:rsidRPr="00EB2BD8">
        <w:rPr>
          <w:rFonts w:ascii="Arial"/>
          <w:i/>
          <w:spacing w:val="-6"/>
          <w:sz w:val="16"/>
        </w:rPr>
        <w:t xml:space="preserve"> </w:t>
      </w:r>
      <w:r w:rsidRPr="00EB2BD8">
        <w:rPr>
          <w:rFonts w:ascii="Arial"/>
          <w:i/>
          <w:sz w:val="16"/>
        </w:rPr>
        <w:t>on</w:t>
      </w:r>
      <w:r w:rsidRPr="00EB2BD8">
        <w:rPr>
          <w:rFonts w:ascii="Arial"/>
          <w:i/>
          <w:spacing w:val="-6"/>
          <w:sz w:val="16"/>
        </w:rPr>
        <w:t xml:space="preserve"> </w:t>
      </w:r>
      <w:r w:rsidRPr="00EB2BD8">
        <w:rPr>
          <w:rFonts w:ascii="Arial"/>
          <w:i/>
          <w:sz w:val="16"/>
        </w:rPr>
        <w:t>a</w:t>
      </w:r>
      <w:r w:rsidRPr="00EB2BD8">
        <w:rPr>
          <w:rFonts w:ascii="Arial"/>
          <w:i/>
          <w:spacing w:val="-4"/>
          <w:sz w:val="16"/>
        </w:rPr>
        <w:t xml:space="preserve"> </w:t>
      </w:r>
      <w:r w:rsidRPr="00EB2BD8">
        <w:rPr>
          <w:rFonts w:ascii="Arial"/>
          <w:i/>
          <w:sz w:val="16"/>
        </w:rPr>
        <w:t>net</w:t>
      </w:r>
      <w:r w:rsidRPr="00EB2BD8">
        <w:rPr>
          <w:rFonts w:ascii="Arial"/>
          <w:i/>
          <w:spacing w:val="-6"/>
          <w:sz w:val="16"/>
        </w:rPr>
        <w:t xml:space="preserve"> </w:t>
      </w:r>
      <w:r w:rsidRPr="00EB2BD8">
        <w:rPr>
          <w:rFonts w:ascii="Arial"/>
          <w:i/>
          <w:spacing w:val="-2"/>
          <w:sz w:val="16"/>
        </w:rPr>
        <w:t>basis.</w:t>
      </w:r>
    </w:p>
    <w:p w14:paraId="4B45F35F" w14:textId="77777777" w:rsidR="00084F36" w:rsidRPr="00EB2BD8" w:rsidRDefault="00084F36">
      <w:pPr>
        <w:pStyle w:val="BodyText"/>
        <w:rPr>
          <w:rFonts w:ascii="Arial"/>
          <w:i/>
          <w:sz w:val="20"/>
        </w:rPr>
      </w:pPr>
    </w:p>
    <w:p w14:paraId="55965BED" w14:textId="77777777" w:rsidR="00084F36" w:rsidRPr="00EB2BD8" w:rsidRDefault="00084F36">
      <w:pPr>
        <w:pStyle w:val="BodyText"/>
        <w:rPr>
          <w:rFonts w:ascii="Arial"/>
          <w:i/>
          <w:sz w:val="20"/>
        </w:rPr>
      </w:pPr>
    </w:p>
    <w:p w14:paraId="045179D4" w14:textId="77777777" w:rsidR="00084F36" w:rsidRPr="00EB2BD8" w:rsidRDefault="00084F36">
      <w:pPr>
        <w:pStyle w:val="BodyText"/>
        <w:rPr>
          <w:rFonts w:ascii="Arial"/>
          <w:i/>
          <w:sz w:val="20"/>
        </w:rPr>
      </w:pPr>
    </w:p>
    <w:p w14:paraId="44BB6E9E" w14:textId="77777777" w:rsidR="00084F36" w:rsidRPr="00EB2BD8" w:rsidRDefault="00084F36">
      <w:pPr>
        <w:pStyle w:val="BodyText"/>
        <w:spacing w:before="9"/>
        <w:rPr>
          <w:rFonts w:ascii="Arial"/>
          <w:i/>
          <w:sz w:val="22"/>
        </w:rPr>
      </w:pPr>
    </w:p>
    <w:p w14:paraId="658F6A81" w14:textId="2EE0F0DB" w:rsidR="00084F36" w:rsidRPr="00EB2BD8" w:rsidRDefault="00084F36">
      <w:pPr>
        <w:spacing w:before="1"/>
        <w:ind w:right="888"/>
        <w:jc w:val="right"/>
        <w:rPr>
          <w:sz w:val="16"/>
        </w:rPr>
      </w:pPr>
    </w:p>
    <w:p w14:paraId="49F5BF2A" w14:textId="77777777" w:rsidR="00084F36" w:rsidRPr="00EB2BD8" w:rsidRDefault="00084F36">
      <w:pPr>
        <w:jc w:val="right"/>
        <w:rPr>
          <w:sz w:val="16"/>
        </w:rPr>
        <w:sectPr w:rsidR="00084F36" w:rsidRPr="00EB2BD8" w:rsidSect="006D75B2">
          <w:headerReference w:type="default" r:id="rId260"/>
          <w:footerReference w:type="default" r:id="rId261"/>
          <w:pgSz w:w="11910" w:h="16840"/>
          <w:pgMar w:top="840" w:right="0" w:bottom="280" w:left="0" w:header="0" w:footer="0" w:gutter="0"/>
          <w:cols w:space="720"/>
        </w:sectPr>
      </w:pPr>
    </w:p>
    <w:p w14:paraId="73B3821A" w14:textId="77777777" w:rsidR="00084F36" w:rsidRPr="00EB2BD8" w:rsidRDefault="00084F36">
      <w:pPr>
        <w:pStyle w:val="BodyText"/>
        <w:rPr>
          <w:sz w:val="20"/>
        </w:rPr>
      </w:pPr>
    </w:p>
    <w:p w14:paraId="03920060" w14:textId="77777777" w:rsidR="00084F36" w:rsidRPr="00EB2BD8" w:rsidRDefault="00084F36">
      <w:pPr>
        <w:pStyle w:val="BodyText"/>
        <w:rPr>
          <w:sz w:val="20"/>
        </w:rPr>
      </w:pPr>
    </w:p>
    <w:p w14:paraId="1325080B" w14:textId="77777777" w:rsidR="00084F36" w:rsidRPr="00EB2BD8" w:rsidRDefault="00084F36">
      <w:pPr>
        <w:pStyle w:val="BodyText"/>
        <w:rPr>
          <w:sz w:val="20"/>
        </w:rPr>
      </w:pPr>
    </w:p>
    <w:p w14:paraId="0EB24512" w14:textId="77777777" w:rsidR="00084F36" w:rsidRPr="00EB2BD8" w:rsidRDefault="00084F36">
      <w:pPr>
        <w:pStyle w:val="BodyText"/>
        <w:rPr>
          <w:sz w:val="20"/>
        </w:rPr>
      </w:pPr>
    </w:p>
    <w:p w14:paraId="68108A6B" w14:textId="77777777" w:rsidR="00084F36" w:rsidRPr="00EB2BD8" w:rsidRDefault="00084F36">
      <w:pPr>
        <w:pStyle w:val="BodyText"/>
        <w:rPr>
          <w:sz w:val="20"/>
        </w:rPr>
      </w:pPr>
    </w:p>
    <w:p w14:paraId="5D9B24A1" w14:textId="77777777" w:rsidR="00084F36" w:rsidRPr="00EB2BD8" w:rsidRDefault="00084F36">
      <w:pPr>
        <w:pStyle w:val="BodyText"/>
        <w:rPr>
          <w:sz w:val="20"/>
        </w:rPr>
      </w:pPr>
    </w:p>
    <w:p w14:paraId="23D914B3" w14:textId="77777777" w:rsidR="00084F36" w:rsidRPr="00EB2BD8" w:rsidRDefault="00084F36">
      <w:pPr>
        <w:pStyle w:val="BodyText"/>
        <w:rPr>
          <w:sz w:val="20"/>
        </w:rPr>
      </w:pPr>
    </w:p>
    <w:p w14:paraId="59FBD332" w14:textId="77777777" w:rsidR="00084F36" w:rsidRPr="00EB2BD8" w:rsidRDefault="00084F36">
      <w:pPr>
        <w:pStyle w:val="BodyText"/>
        <w:rPr>
          <w:sz w:val="20"/>
        </w:rPr>
      </w:pPr>
    </w:p>
    <w:p w14:paraId="2CE1F989" w14:textId="77777777" w:rsidR="00084F36" w:rsidRPr="00EB2BD8" w:rsidRDefault="00084F36">
      <w:pPr>
        <w:pStyle w:val="BodyText"/>
        <w:rPr>
          <w:sz w:val="20"/>
        </w:rPr>
      </w:pPr>
    </w:p>
    <w:p w14:paraId="742EC479" w14:textId="77777777" w:rsidR="00084F36" w:rsidRPr="00EB2BD8" w:rsidRDefault="00084F36">
      <w:pPr>
        <w:pStyle w:val="BodyText"/>
        <w:rPr>
          <w:sz w:val="20"/>
        </w:rPr>
      </w:pPr>
    </w:p>
    <w:p w14:paraId="41344FA4" w14:textId="77777777" w:rsidR="00084F36" w:rsidRPr="00EB2BD8" w:rsidRDefault="00084F36">
      <w:pPr>
        <w:pStyle w:val="BodyText"/>
        <w:rPr>
          <w:sz w:val="20"/>
        </w:rPr>
      </w:pPr>
    </w:p>
    <w:p w14:paraId="0EE01FD2" w14:textId="77777777" w:rsidR="00084F36" w:rsidRPr="00EB2BD8" w:rsidRDefault="00084F36">
      <w:pPr>
        <w:pStyle w:val="BodyText"/>
        <w:rPr>
          <w:sz w:val="20"/>
        </w:rPr>
      </w:pPr>
    </w:p>
    <w:p w14:paraId="47317B94" w14:textId="77777777" w:rsidR="00084F36" w:rsidRPr="00EB2BD8" w:rsidRDefault="00084F36">
      <w:pPr>
        <w:pStyle w:val="BodyText"/>
        <w:rPr>
          <w:sz w:val="20"/>
        </w:rPr>
      </w:pPr>
    </w:p>
    <w:p w14:paraId="505EB0C2" w14:textId="77777777" w:rsidR="00084F36" w:rsidRPr="00EB2BD8" w:rsidRDefault="00084F36">
      <w:pPr>
        <w:pStyle w:val="BodyText"/>
        <w:rPr>
          <w:sz w:val="20"/>
        </w:rPr>
      </w:pPr>
    </w:p>
    <w:p w14:paraId="5BAFF411" w14:textId="77777777" w:rsidR="00084F36" w:rsidRPr="00EB2BD8" w:rsidRDefault="00084F36">
      <w:pPr>
        <w:pStyle w:val="BodyText"/>
        <w:rPr>
          <w:sz w:val="20"/>
        </w:rPr>
      </w:pPr>
    </w:p>
    <w:p w14:paraId="0833181B" w14:textId="77777777" w:rsidR="00084F36" w:rsidRPr="00EB2BD8" w:rsidRDefault="00084F36">
      <w:pPr>
        <w:pStyle w:val="BodyText"/>
        <w:rPr>
          <w:sz w:val="20"/>
        </w:rPr>
      </w:pPr>
    </w:p>
    <w:p w14:paraId="2B3074D0" w14:textId="77777777" w:rsidR="00084F36" w:rsidRPr="00EB2BD8" w:rsidRDefault="00084F36">
      <w:pPr>
        <w:pStyle w:val="BodyText"/>
        <w:rPr>
          <w:sz w:val="20"/>
        </w:rPr>
      </w:pPr>
    </w:p>
    <w:p w14:paraId="7CFE2175" w14:textId="77777777" w:rsidR="00084F36" w:rsidRPr="00EB2BD8" w:rsidRDefault="00084F36" w:rsidP="005D2FBE">
      <w:pPr>
        <w:pStyle w:val="Heading2"/>
      </w:pPr>
    </w:p>
    <w:p w14:paraId="3C5673CD" w14:textId="77777777" w:rsidR="00084F36" w:rsidRPr="00EB2BD8" w:rsidRDefault="00EB2BD8" w:rsidP="005D2FBE">
      <w:pPr>
        <w:pStyle w:val="Heading2"/>
      </w:pPr>
      <w:bookmarkStart w:id="248" w:name="_Toc150762550"/>
      <w:r w:rsidRPr="00EB2BD8">
        <w:rPr>
          <w:spacing w:val="-2"/>
        </w:rPr>
        <w:t>Notes</w:t>
      </w:r>
      <w:r w:rsidRPr="00EB2BD8">
        <w:rPr>
          <w:spacing w:val="-27"/>
        </w:rPr>
        <w:t xml:space="preserve"> </w:t>
      </w:r>
      <w:r w:rsidRPr="00EB2BD8">
        <w:rPr>
          <w:spacing w:val="-2"/>
        </w:rPr>
        <w:t>to</w:t>
      </w:r>
      <w:r w:rsidRPr="00EB2BD8">
        <w:rPr>
          <w:spacing w:val="-27"/>
        </w:rPr>
        <w:t xml:space="preserve"> </w:t>
      </w:r>
      <w:r w:rsidRPr="00EB2BD8">
        <w:rPr>
          <w:spacing w:val="-2"/>
        </w:rPr>
        <w:t>the</w:t>
      </w:r>
      <w:r w:rsidRPr="00EB2BD8">
        <w:rPr>
          <w:spacing w:val="-26"/>
        </w:rPr>
        <w:t xml:space="preserve"> </w:t>
      </w:r>
      <w:r w:rsidRPr="00EB2BD8">
        <w:rPr>
          <w:spacing w:val="-2"/>
        </w:rPr>
        <w:t>Financial</w:t>
      </w:r>
      <w:r w:rsidRPr="00EB2BD8">
        <w:rPr>
          <w:spacing w:val="-27"/>
        </w:rPr>
        <w:t xml:space="preserve"> </w:t>
      </w:r>
      <w:r w:rsidRPr="00EB2BD8">
        <w:rPr>
          <w:spacing w:val="-2"/>
        </w:rPr>
        <w:t>Statements</w:t>
      </w:r>
      <w:bookmarkEnd w:id="248"/>
    </w:p>
    <w:p w14:paraId="5BA54155" w14:textId="77777777" w:rsidR="00084F36" w:rsidRDefault="00EB2BD8" w:rsidP="005D2FBE">
      <w:pPr>
        <w:pStyle w:val="Heading2"/>
      </w:pPr>
      <w:bookmarkStart w:id="249" w:name="_Toc150762551"/>
      <w:r w:rsidRPr="00EB2BD8">
        <w:t>Contents</w:t>
      </w:r>
      <w:bookmarkEnd w:id="249"/>
    </w:p>
    <w:p w14:paraId="06A295BA" w14:textId="77777777" w:rsidR="00B83018" w:rsidRPr="00EB2BD8" w:rsidRDefault="00B83018" w:rsidP="005D2FBE">
      <w:pPr>
        <w:pStyle w:val="Heading2"/>
      </w:pPr>
    </w:p>
    <w:p w14:paraId="6DC84D1E" w14:textId="77777777" w:rsidR="00084F36" w:rsidRPr="00EB2BD8" w:rsidRDefault="00084F36">
      <w:pPr>
        <w:pStyle w:val="BodyText"/>
        <w:spacing w:before="6"/>
        <w:rPr>
          <w:rFonts w:ascii="Tahoma"/>
          <w:b/>
          <w:sz w:val="14"/>
        </w:rPr>
      </w:pPr>
    </w:p>
    <w:tbl>
      <w:tblPr>
        <w:tblW w:w="0" w:type="auto"/>
        <w:tblInd w:w="864" w:type="dxa"/>
        <w:tblLayout w:type="fixed"/>
        <w:tblCellMar>
          <w:left w:w="0" w:type="dxa"/>
          <w:right w:w="0" w:type="dxa"/>
        </w:tblCellMar>
        <w:tblLook w:val="01E0" w:firstRow="1" w:lastRow="1" w:firstColumn="1" w:lastColumn="1" w:noHBand="0" w:noVBand="0"/>
      </w:tblPr>
      <w:tblGrid>
        <w:gridCol w:w="664"/>
        <w:gridCol w:w="6709"/>
        <w:gridCol w:w="2830"/>
      </w:tblGrid>
      <w:tr w:rsidR="00EB2BD8" w:rsidRPr="00EB2BD8" w14:paraId="15D92BE6" w14:textId="77777777">
        <w:trPr>
          <w:trHeight w:val="281"/>
        </w:trPr>
        <w:tc>
          <w:tcPr>
            <w:tcW w:w="664" w:type="dxa"/>
            <w:tcBorders>
              <w:bottom w:val="single" w:sz="2" w:space="0" w:color="003963"/>
            </w:tcBorders>
          </w:tcPr>
          <w:p w14:paraId="38435FAD" w14:textId="77777777" w:rsidR="00084F36" w:rsidRPr="00EB2BD8" w:rsidRDefault="00EB2BD8">
            <w:pPr>
              <w:pStyle w:val="TableParagraph"/>
              <w:spacing w:line="206" w:lineRule="exact"/>
              <w:rPr>
                <w:sz w:val="18"/>
              </w:rPr>
            </w:pPr>
            <w:r w:rsidRPr="00EB2BD8">
              <w:rPr>
                <w:w w:val="95"/>
                <w:sz w:val="18"/>
              </w:rPr>
              <w:t>Note</w:t>
            </w:r>
            <w:r w:rsidRPr="00EB2BD8">
              <w:rPr>
                <w:spacing w:val="13"/>
                <w:sz w:val="18"/>
              </w:rPr>
              <w:t xml:space="preserve"> </w:t>
            </w:r>
            <w:r w:rsidRPr="00EB2BD8">
              <w:rPr>
                <w:spacing w:val="-7"/>
                <w:w w:val="95"/>
                <w:sz w:val="18"/>
              </w:rPr>
              <w:t>1.</w:t>
            </w:r>
          </w:p>
        </w:tc>
        <w:tc>
          <w:tcPr>
            <w:tcW w:w="6709" w:type="dxa"/>
            <w:tcBorders>
              <w:bottom w:val="single" w:sz="2" w:space="0" w:color="003963"/>
            </w:tcBorders>
          </w:tcPr>
          <w:p w14:paraId="0BBA395B" w14:textId="77777777" w:rsidR="00084F36" w:rsidRPr="00EB2BD8" w:rsidRDefault="00EB2BD8" w:rsidP="00B83018">
            <w:pPr>
              <w:pStyle w:val="Heading3"/>
            </w:pPr>
            <w:bookmarkStart w:id="250" w:name="_Toc150762552"/>
            <w:r w:rsidRPr="00EB2BD8">
              <w:t>About</w:t>
            </w:r>
            <w:r w:rsidRPr="00EB2BD8">
              <w:rPr>
                <w:spacing w:val="-8"/>
              </w:rPr>
              <w:t xml:space="preserve"> </w:t>
            </w:r>
            <w:r w:rsidRPr="00EB2BD8">
              <w:t>this</w:t>
            </w:r>
            <w:r w:rsidRPr="00EB2BD8">
              <w:rPr>
                <w:spacing w:val="-8"/>
              </w:rPr>
              <w:t xml:space="preserve"> </w:t>
            </w:r>
            <w:r w:rsidRPr="00EB2BD8">
              <w:t>report</w:t>
            </w:r>
            <w:bookmarkEnd w:id="250"/>
          </w:p>
        </w:tc>
        <w:tc>
          <w:tcPr>
            <w:tcW w:w="2830" w:type="dxa"/>
            <w:tcBorders>
              <w:bottom w:val="single" w:sz="2" w:space="0" w:color="003963"/>
            </w:tcBorders>
          </w:tcPr>
          <w:p w14:paraId="023712CE" w14:textId="77777777" w:rsidR="00084F36" w:rsidRPr="00EB2BD8" w:rsidRDefault="00EB2BD8">
            <w:pPr>
              <w:pStyle w:val="TableParagraph"/>
              <w:spacing w:line="206" w:lineRule="exact"/>
              <w:ind w:right="-15"/>
              <w:jc w:val="right"/>
              <w:rPr>
                <w:sz w:val="18"/>
              </w:rPr>
            </w:pPr>
            <w:r w:rsidRPr="00EB2BD8">
              <w:rPr>
                <w:spacing w:val="-5"/>
                <w:w w:val="85"/>
                <w:sz w:val="18"/>
              </w:rPr>
              <w:t>91</w:t>
            </w:r>
          </w:p>
        </w:tc>
      </w:tr>
      <w:tr w:rsidR="00EB2BD8" w:rsidRPr="00EB2BD8" w14:paraId="24189532" w14:textId="77777777">
        <w:trPr>
          <w:trHeight w:val="348"/>
        </w:trPr>
        <w:tc>
          <w:tcPr>
            <w:tcW w:w="664" w:type="dxa"/>
            <w:tcBorders>
              <w:top w:val="single" w:sz="2" w:space="0" w:color="003963"/>
              <w:bottom w:val="single" w:sz="2" w:space="0" w:color="003963"/>
            </w:tcBorders>
          </w:tcPr>
          <w:p w14:paraId="4775DFD6" w14:textId="77777777" w:rsidR="00084F36" w:rsidRPr="00EB2BD8" w:rsidRDefault="00EB2BD8">
            <w:pPr>
              <w:pStyle w:val="TableParagraph"/>
              <w:spacing w:before="61"/>
              <w:ind w:left="-1"/>
              <w:rPr>
                <w:sz w:val="18"/>
              </w:rPr>
            </w:pPr>
            <w:r w:rsidRPr="00EB2BD8">
              <w:rPr>
                <w:sz w:val="18"/>
              </w:rPr>
              <w:t>Note</w:t>
            </w:r>
            <w:r w:rsidRPr="00EB2BD8">
              <w:rPr>
                <w:spacing w:val="-7"/>
                <w:sz w:val="18"/>
              </w:rPr>
              <w:t xml:space="preserve"> </w:t>
            </w:r>
            <w:r w:rsidRPr="00EB2BD8">
              <w:rPr>
                <w:spacing w:val="-5"/>
                <w:sz w:val="18"/>
              </w:rPr>
              <w:t>2.</w:t>
            </w:r>
          </w:p>
        </w:tc>
        <w:tc>
          <w:tcPr>
            <w:tcW w:w="6709" w:type="dxa"/>
            <w:tcBorders>
              <w:top w:val="single" w:sz="2" w:space="0" w:color="003963"/>
              <w:bottom w:val="single" w:sz="2" w:space="0" w:color="003963"/>
            </w:tcBorders>
          </w:tcPr>
          <w:p w14:paraId="1018F7F3" w14:textId="77777777" w:rsidR="00084F36" w:rsidRPr="00EB2BD8" w:rsidRDefault="00EB2BD8" w:rsidP="00B83018">
            <w:pPr>
              <w:pStyle w:val="Heading3"/>
            </w:pPr>
            <w:bookmarkStart w:id="251" w:name="_Toc150762553"/>
            <w:r w:rsidRPr="00EB2BD8">
              <w:t>Funding</w:t>
            </w:r>
            <w:r w:rsidRPr="00EB2BD8">
              <w:rPr>
                <w:spacing w:val="-11"/>
              </w:rPr>
              <w:t xml:space="preserve"> </w:t>
            </w:r>
            <w:r w:rsidRPr="00EB2BD8">
              <w:t>delivery</w:t>
            </w:r>
            <w:r w:rsidRPr="00EB2BD8">
              <w:rPr>
                <w:spacing w:val="-10"/>
              </w:rPr>
              <w:t xml:space="preserve"> </w:t>
            </w:r>
            <w:r w:rsidRPr="00EB2BD8">
              <w:t>of</w:t>
            </w:r>
            <w:r w:rsidRPr="00EB2BD8">
              <w:rPr>
                <w:spacing w:val="-10"/>
              </w:rPr>
              <w:t xml:space="preserve"> </w:t>
            </w:r>
            <w:r w:rsidRPr="00EB2BD8">
              <w:t>our</w:t>
            </w:r>
            <w:r w:rsidRPr="00EB2BD8">
              <w:rPr>
                <w:spacing w:val="-10"/>
              </w:rPr>
              <w:t xml:space="preserve"> </w:t>
            </w:r>
            <w:r w:rsidRPr="00EB2BD8">
              <w:t>services</w:t>
            </w:r>
            <w:bookmarkEnd w:id="251"/>
          </w:p>
        </w:tc>
        <w:tc>
          <w:tcPr>
            <w:tcW w:w="2830" w:type="dxa"/>
            <w:tcBorders>
              <w:top w:val="single" w:sz="2" w:space="0" w:color="003963"/>
              <w:bottom w:val="single" w:sz="2" w:space="0" w:color="003963"/>
            </w:tcBorders>
          </w:tcPr>
          <w:p w14:paraId="28ECEBA3" w14:textId="77777777" w:rsidR="00084F36" w:rsidRPr="00EB2BD8" w:rsidRDefault="00EB2BD8">
            <w:pPr>
              <w:pStyle w:val="TableParagraph"/>
              <w:spacing w:before="61"/>
              <w:ind w:right="-15"/>
              <w:jc w:val="right"/>
              <w:rPr>
                <w:sz w:val="18"/>
              </w:rPr>
            </w:pPr>
            <w:r w:rsidRPr="00EB2BD8">
              <w:rPr>
                <w:spacing w:val="-5"/>
                <w:sz w:val="18"/>
              </w:rPr>
              <w:t>92</w:t>
            </w:r>
          </w:p>
        </w:tc>
      </w:tr>
      <w:tr w:rsidR="00EB2BD8" w:rsidRPr="00EB2BD8" w14:paraId="48A6381A" w14:textId="77777777">
        <w:trPr>
          <w:trHeight w:val="348"/>
        </w:trPr>
        <w:tc>
          <w:tcPr>
            <w:tcW w:w="664" w:type="dxa"/>
            <w:tcBorders>
              <w:top w:val="single" w:sz="2" w:space="0" w:color="003963"/>
              <w:bottom w:val="single" w:sz="2" w:space="0" w:color="003963"/>
            </w:tcBorders>
          </w:tcPr>
          <w:p w14:paraId="5E2075DB" w14:textId="77777777" w:rsidR="00084F36" w:rsidRPr="00EB2BD8" w:rsidRDefault="00EB2BD8">
            <w:pPr>
              <w:pStyle w:val="TableParagraph"/>
              <w:spacing w:before="61"/>
              <w:rPr>
                <w:sz w:val="18"/>
              </w:rPr>
            </w:pPr>
            <w:r w:rsidRPr="00EB2BD8">
              <w:rPr>
                <w:sz w:val="18"/>
              </w:rPr>
              <w:t>Note</w:t>
            </w:r>
            <w:r w:rsidRPr="00EB2BD8">
              <w:rPr>
                <w:spacing w:val="-7"/>
                <w:sz w:val="18"/>
              </w:rPr>
              <w:t xml:space="preserve"> </w:t>
            </w:r>
            <w:r w:rsidRPr="00EB2BD8">
              <w:rPr>
                <w:spacing w:val="-5"/>
                <w:sz w:val="18"/>
              </w:rPr>
              <w:t>3.</w:t>
            </w:r>
          </w:p>
        </w:tc>
        <w:tc>
          <w:tcPr>
            <w:tcW w:w="6709" w:type="dxa"/>
            <w:tcBorders>
              <w:top w:val="single" w:sz="2" w:space="0" w:color="003963"/>
              <w:bottom w:val="single" w:sz="2" w:space="0" w:color="003963"/>
            </w:tcBorders>
          </w:tcPr>
          <w:p w14:paraId="1E563278" w14:textId="77777777" w:rsidR="00084F36" w:rsidRPr="00EB2BD8" w:rsidRDefault="00EB2BD8" w:rsidP="00B83018">
            <w:pPr>
              <w:pStyle w:val="Heading3"/>
            </w:pPr>
            <w:bookmarkStart w:id="252" w:name="_Toc150762554"/>
            <w:r w:rsidRPr="00EB2BD8">
              <w:t>The</w:t>
            </w:r>
            <w:r w:rsidRPr="00EB2BD8">
              <w:rPr>
                <w:spacing w:val="-11"/>
              </w:rPr>
              <w:t xml:space="preserve"> </w:t>
            </w:r>
            <w:r w:rsidRPr="00EB2BD8">
              <w:t>cost</w:t>
            </w:r>
            <w:r w:rsidRPr="00EB2BD8">
              <w:rPr>
                <w:spacing w:val="-10"/>
              </w:rPr>
              <w:t xml:space="preserve"> </w:t>
            </w:r>
            <w:r w:rsidRPr="00EB2BD8">
              <w:t>of</w:t>
            </w:r>
            <w:r w:rsidRPr="00EB2BD8">
              <w:rPr>
                <w:spacing w:val="-11"/>
              </w:rPr>
              <w:t xml:space="preserve"> </w:t>
            </w:r>
            <w:r w:rsidRPr="00EB2BD8">
              <w:t>delivering</w:t>
            </w:r>
            <w:r w:rsidRPr="00EB2BD8">
              <w:rPr>
                <w:spacing w:val="-10"/>
              </w:rPr>
              <w:t xml:space="preserve"> </w:t>
            </w:r>
            <w:r w:rsidRPr="00EB2BD8">
              <w:t>services</w:t>
            </w:r>
            <w:bookmarkEnd w:id="252"/>
          </w:p>
        </w:tc>
        <w:tc>
          <w:tcPr>
            <w:tcW w:w="2830" w:type="dxa"/>
            <w:tcBorders>
              <w:top w:val="single" w:sz="2" w:space="0" w:color="003963"/>
              <w:bottom w:val="single" w:sz="2" w:space="0" w:color="003963"/>
            </w:tcBorders>
          </w:tcPr>
          <w:p w14:paraId="6BDAEC40" w14:textId="77777777" w:rsidR="00084F36" w:rsidRPr="00EB2BD8" w:rsidRDefault="00EB2BD8">
            <w:pPr>
              <w:pStyle w:val="TableParagraph"/>
              <w:spacing w:before="61"/>
              <w:ind w:right="-15"/>
              <w:jc w:val="right"/>
              <w:rPr>
                <w:sz w:val="18"/>
              </w:rPr>
            </w:pPr>
            <w:r w:rsidRPr="00EB2BD8">
              <w:rPr>
                <w:spacing w:val="-5"/>
                <w:sz w:val="18"/>
              </w:rPr>
              <w:t>96</w:t>
            </w:r>
          </w:p>
        </w:tc>
      </w:tr>
      <w:tr w:rsidR="00EB2BD8" w:rsidRPr="00EB2BD8" w14:paraId="7777AB32" w14:textId="77777777">
        <w:trPr>
          <w:trHeight w:val="348"/>
        </w:trPr>
        <w:tc>
          <w:tcPr>
            <w:tcW w:w="664" w:type="dxa"/>
            <w:tcBorders>
              <w:top w:val="single" w:sz="2" w:space="0" w:color="003963"/>
              <w:bottom w:val="single" w:sz="2" w:space="0" w:color="003963"/>
            </w:tcBorders>
          </w:tcPr>
          <w:p w14:paraId="2BC32A2B" w14:textId="77777777" w:rsidR="00084F36" w:rsidRPr="00EB2BD8" w:rsidRDefault="00EB2BD8">
            <w:pPr>
              <w:pStyle w:val="TableParagraph"/>
              <w:spacing w:before="61"/>
              <w:rPr>
                <w:sz w:val="18"/>
              </w:rPr>
            </w:pPr>
            <w:r w:rsidRPr="00EB2BD8">
              <w:rPr>
                <w:sz w:val="18"/>
              </w:rPr>
              <w:t>Note</w:t>
            </w:r>
            <w:r w:rsidRPr="00EB2BD8">
              <w:rPr>
                <w:spacing w:val="-7"/>
                <w:sz w:val="18"/>
              </w:rPr>
              <w:t xml:space="preserve"> </w:t>
            </w:r>
            <w:r w:rsidRPr="00EB2BD8">
              <w:rPr>
                <w:spacing w:val="-5"/>
                <w:sz w:val="18"/>
              </w:rPr>
              <w:t>4.</w:t>
            </w:r>
          </w:p>
        </w:tc>
        <w:tc>
          <w:tcPr>
            <w:tcW w:w="6709" w:type="dxa"/>
            <w:tcBorders>
              <w:top w:val="single" w:sz="2" w:space="0" w:color="003963"/>
              <w:bottom w:val="single" w:sz="2" w:space="0" w:color="003963"/>
            </w:tcBorders>
          </w:tcPr>
          <w:p w14:paraId="79357C99" w14:textId="77777777" w:rsidR="00084F36" w:rsidRPr="00EB2BD8" w:rsidRDefault="00EB2BD8" w:rsidP="00B83018">
            <w:pPr>
              <w:pStyle w:val="Heading3"/>
            </w:pPr>
            <w:bookmarkStart w:id="253" w:name="_Toc150762555"/>
            <w:r w:rsidRPr="00EB2BD8">
              <w:t>Key</w:t>
            </w:r>
            <w:r w:rsidRPr="00EB2BD8">
              <w:rPr>
                <w:spacing w:val="-3"/>
              </w:rPr>
              <w:t xml:space="preserve"> </w:t>
            </w:r>
            <w:r w:rsidRPr="00EB2BD8">
              <w:t>assets</w:t>
            </w:r>
            <w:r w:rsidRPr="00EB2BD8">
              <w:rPr>
                <w:spacing w:val="-3"/>
              </w:rPr>
              <w:t xml:space="preserve"> </w:t>
            </w:r>
            <w:r w:rsidRPr="00EB2BD8">
              <w:t>available</w:t>
            </w:r>
            <w:r w:rsidRPr="00EB2BD8">
              <w:rPr>
                <w:spacing w:val="-3"/>
              </w:rPr>
              <w:t xml:space="preserve"> </w:t>
            </w:r>
            <w:r w:rsidRPr="00EB2BD8">
              <w:t>to support</w:t>
            </w:r>
            <w:r w:rsidRPr="00EB2BD8">
              <w:rPr>
                <w:spacing w:val="-3"/>
              </w:rPr>
              <w:t xml:space="preserve"> </w:t>
            </w:r>
            <w:r w:rsidRPr="00EB2BD8">
              <w:t>output</w:t>
            </w:r>
            <w:r w:rsidRPr="00EB2BD8">
              <w:rPr>
                <w:spacing w:val="-3"/>
              </w:rPr>
              <w:t xml:space="preserve"> </w:t>
            </w:r>
            <w:r w:rsidRPr="00EB2BD8">
              <w:t>delivery</w:t>
            </w:r>
            <w:bookmarkEnd w:id="253"/>
          </w:p>
        </w:tc>
        <w:tc>
          <w:tcPr>
            <w:tcW w:w="2830" w:type="dxa"/>
            <w:tcBorders>
              <w:top w:val="single" w:sz="2" w:space="0" w:color="003963"/>
              <w:bottom w:val="single" w:sz="2" w:space="0" w:color="003963"/>
            </w:tcBorders>
          </w:tcPr>
          <w:p w14:paraId="13F9F6A4" w14:textId="77777777" w:rsidR="00084F36" w:rsidRPr="00EB2BD8" w:rsidRDefault="00EB2BD8">
            <w:pPr>
              <w:pStyle w:val="TableParagraph"/>
              <w:spacing w:before="61"/>
              <w:ind w:right="-15"/>
              <w:jc w:val="right"/>
              <w:rPr>
                <w:sz w:val="18"/>
              </w:rPr>
            </w:pPr>
            <w:r w:rsidRPr="00EB2BD8">
              <w:rPr>
                <w:spacing w:val="-5"/>
                <w:w w:val="90"/>
                <w:sz w:val="18"/>
              </w:rPr>
              <w:t>102</w:t>
            </w:r>
          </w:p>
        </w:tc>
      </w:tr>
      <w:tr w:rsidR="00EB2BD8" w:rsidRPr="00EB2BD8" w14:paraId="64AFAD62" w14:textId="77777777">
        <w:trPr>
          <w:trHeight w:val="348"/>
        </w:trPr>
        <w:tc>
          <w:tcPr>
            <w:tcW w:w="664" w:type="dxa"/>
            <w:tcBorders>
              <w:top w:val="single" w:sz="2" w:space="0" w:color="003963"/>
              <w:bottom w:val="single" w:sz="2" w:space="0" w:color="003963"/>
            </w:tcBorders>
          </w:tcPr>
          <w:p w14:paraId="44EF9127" w14:textId="77777777" w:rsidR="00084F36" w:rsidRPr="00EB2BD8" w:rsidRDefault="00EB2BD8">
            <w:pPr>
              <w:pStyle w:val="TableParagraph"/>
              <w:spacing w:before="60"/>
              <w:rPr>
                <w:sz w:val="18"/>
              </w:rPr>
            </w:pPr>
            <w:r w:rsidRPr="00EB2BD8">
              <w:rPr>
                <w:sz w:val="18"/>
              </w:rPr>
              <w:t>Note</w:t>
            </w:r>
            <w:r w:rsidRPr="00EB2BD8">
              <w:rPr>
                <w:spacing w:val="-7"/>
                <w:sz w:val="18"/>
              </w:rPr>
              <w:t xml:space="preserve"> </w:t>
            </w:r>
            <w:r w:rsidRPr="00EB2BD8">
              <w:rPr>
                <w:spacing w:val="-5"/>
                <w:sz w:val="18"/>
              </w:rPr>
              <w:t>5.</w:t>
            </w:r>
          </w:p>
        </w:tc>
        <w:tc>
          <w:tcPr>
            <w:tcW w:w="6709" w:type="dxa"/>
            <w:tcBorders>
              <w:top w:val="single" w:sz="2" w:space="0" w:color="003963"/>
              <w:bottom w:val="single" w:sz="2" w:space="0" w:color="003963"/>
            </w:tcBorders>
          </w:tcPr>
          <w:p w14:paraId="35A065E7" w14:textId="77777777" w:rsidR="00084F36" w:rsidRPr="00EB2BD8" w:rsidRDefault="00EB2BD8" w:rsidP="00B83018">
            <w:pPr>
              <w:pStyle w:val="Heading3"/>
            </w:pPr>
            <w:bookmarkStart w:id="254" w:name="_Toc150762556"/>
            <w:r w:rsidRPr="00EB2BD8">
              <w:t>Other</w:t>
            </w:r>
            <w:r w:rsidRPr="00EB2BD8">
              <w:rPr>
                <w:spacing w:val="4"/>
              </w:rPr>
              <w:t xml:space="preserve"> </w:t>
            </w:r>
            <w:r w:rsidRPr="00EB2BD8">
              <w:t>assets</w:t>
            </w:r>
            <w:r w:rsidRPr="00EB2BD8">
              <w:rPr>
                <w:spacing w:val="4"/>
              </w:rPr>
              <w:t xml:space="preserve"> </w:t>
            </w:r>
            <w:r w:rsidRPr="00EB2BD8">
              <w:t>and</w:t>
            </w:r>
            <w:r w:rsidRPr="00EB2BD8">
              <w:rPr>
                <w:spacing w:val="5"/>
              </w:rPr>
              <w:t xml:space="preserve"> </w:t>
            </w:r>
            <w:r w:rsidRPr="00EB2BD8">
              <w:t>liabilities</w:t>
            </w:r>
            <w:bookmarkEnd w:id="254"/>
          </w:p>
        </w:tc>
        <w:tc>
          <w:tcPr>
            <w:tcW w:w="2830" w:type="dxa"/>
            <w:tcBorders>
              <w:top w:val="single" w:sz="2" w:space="0" w:color="003963"/>
              <w:bottom w:val="single" w:sz="2" w:space="0" w:color="003963"/>
            </w:tcBorders>
          </w:tcPr>
          <w:p w14:paraId="65721580" w14:textId="77777777" w:rsidR="00084F36" w:rsidRPr="00EB2BD8" w:rsidRDefault="00EB2BD8">
            <w:pPr>
              <w:pStyle w:val="TableParagraph"/>
              <w:spacing w:before="60"/>
              <w:ind w:right="-15"/>
              <w:jc w:val="right"/>
              <w:rPr>
                <w:sz w:val="18"/>
              </w:rPr>
            </w:pPr>
            <w:r w:rsidRPr="00EB2BD8">
              <w:rPr>
                <w:spacing w:val="-5"/>
                <w:w w:val="95"/>
                <w:sz w:val="18"/>
              </w:rPr>
              <w:t>108</w:t>
            </w:r>
          </w:p>
        </w:tc>
      </w:tr>
      <w:tr w:rsidR="00EB2BD8" w:rsidRPr="00EB2BD8" w14:paraId="652CFDA6" w14:textId="77777777">
        <w:trPr>
          <w:trHeight w:val="348"/>
        </w:trPr>
        <w:tc>
          <w:tcPr>
            <w:tcW w:w="664" w:type="dxa"/>
            <w:tcBorders>
              <w:top w:val="single" w:sz="2" w:space="0" w:color="003963"/>
              <w:bottom w:val="single" w:sz="2" w:space="0" w:color="003963"/>
            </w:tcBorders>
          </w:tcPr>
          <w:p w14:paraId="429B794B" w14:textId="77777777" w:rsidR="00084F36" w:rsidRPr="00EB2BD8" w:rsidRDefault="00EB2BD8">
            <w:pPr>
              <w:pStyle w:val="TableParagraph"/>
              <w:spacing w:before="60"/>
              <w:rPr>
                <w:sz w:val="18"/>
              </w:rPr>
            </w:pPr>
            <w:r w:rsidRPr="00EB2BD8">
              <w:rPr>
                <w:sz w:val="18"/>
              </w:rPr>
              <w:t>Note</w:t>
            </w:r>
            <w:r w:rsidRPr="00EB2BD8">
              <w:rPr>
                <w:spacing w:val="-7"/>
                <w:sz w:val="18"/>
              </w:rPr>
              <w:t xml:space="preserve"> </w:t>
            </w:r>
            <w:r w:rsidRPr="00EB2BD8">
              <w:rPr>
                <w:spacing w:val="-5"/>
                <w:sz w:val="18"/>
              </w:rPr>
              <w:t>6.</w:t>
            </w:r>
          </w:p>
        </w:tc>
        <w:tc>
          <w:tcPr>
            <w:tcW w:w="6709" w:type="dxa"/>
            <w:tcBorders>
              <w:top w:val="single" w:sz="2" w:space="0" w:color="003963"/>
              <w:bottom w:val="single" w:sz="2" w:space="0" w:color="003963"/>
            </w:tcBorders>
          </w:tcPr>
          <w:p w14:paraId="61891347" w14:textId="77777777" w:rsidR="00084F36" w:rsidRPr="00EB2BD8" w:rsidRDefault="00EB2BD8" w:rsidP="00B83018">
            <w:pPr>
              <w:pStyle w:val="Heading3"/>
            </w:pPr>
            <w:bookmarkStart w:id="255" w:name="_Toc150762557"/>
            <w:r w:rsidRPr="00EB2BD8">
              <w:t>How</w:t>
            </w:r>
            <w:r w:rsidRPr="00EB2BD8">
              <w:rPr>
                <w:spacing w:val="-8"/>
              </w:rPr>
              <w:t xml:space="preserve"> </w:t>
            </w:r>
            <w:r w:rsidRPr="00EB2BD8">
              <w:t>we</w:t>
            </w:r>
            <w:r w:rsidRPr="00EB2BD8">
              <w:rPr>
                <w:spacing w:val="-7"/>
              </w:rPr>
              <w:t xml:space="preserve"> </w:t>
            </w:r>
            <w:r w:rsidRPr="00EB2BD8">
              <w:t>financed</w:t>
            </w:r>
            <w:r w:rsidRPr="00EB2BD8">
              <w:rPr>
                <w:spacing w:val="-8"/>
              </w:rPr>
              <w:t xml:space="preserve"> </w:t>
            </w:r>
            <w:r w:rsidRPr="00EB2BD8">
              <w:t>our</w:t>
            </w:r>
            <w:r w:rsidRPr="00EB2BD8">
              <w:rPr>
                <w:spacing w:val="-7"/>
              </w:rPr>
              <w:t xml:space="preserve"> </w:t>
            </w:r>
            <w:r w:rsidRPr="00EB2BD8">
              <w:t>operations</w:t>
            </w:r>
            <w:bookmarkEnd w:id="255"/>
          </w:p>
        </w:tc>
        <w:tc>
          <w:tcPr>
            <w:tcW w:w="2830" w:type="dxa"/>
            <w:tcBorders>
              <w:top w:val="single" w:sz="2" w:space="0" w:color="003963"/>
              <w:bottom w:val="single" w:sz="2" w:space="0" w:color="003963"/>
            </w:tcBorders>
          </w:tcPr>
          <w:p w14:paraId="62B56D3F" w14:textId="77777777" w:rsidR="00084F36" w:rsidRPr="00EB2BD8" w:rsidRDefault="00EB2BD8">
            <w:pPr>
              <w:pStyle w:val="TableParagraph"/>
              <w:spacing w:before="60"/>
              <w:ind w:right="-15"/>
              <w:jc w:val="right"/>
              <w:rPr>
                <w:sz w:val="18"/>
              </w:rPr>
            </w:pPr>
            <w:r w:rsidRPr="00EB2BD8">
              <w:rPr>
                <w:spacing w:val="-5"/>
                <w:w w:val="80"/>
                <w:sz w:val="18"/>
              </w:rPr>
              <w:t>114</w:t>
            </w:r>
          </w:p>
        </w:tc>
      </w:tr>
      <w:tr w:rsidR="00EB2BD8" w:rsidRPr="00EB2BD8" w14:paraId="033D2560" w14:textId="77777777">
        <w:trPr>
          <w:trHeight w:val="348"/>
        </w:trPr>
        <w:tc>
          <w:tcPr>
            <w:tcW w:w="664" w:type="dxa"/>
            <w:tcBorders>
              <w:top w:val="single" w:sz="2" w:space="0" w:color="003963"/>
              <w:bottom w:val="single" w:sz="2" w:space="0" w:color="003963"/>
            </w:tcBorders>
          </w:tcPr>
          <w:p w14:paraId="0A0BBB80" w14:textId="77777777" w:rsidR="00084F36" w:rsidRPr="00EB2BD8" w:rsidRDefault="00EB2BD8">
            <w:pPr>
              <w:pStyle w:val="TableParagraph"/>
              <w:spacing w:before="60"/>
              <w:rPr>
                <w:sz w:val="18"/>
              </w:rPr>
            </w:pPr>
            <w:r w:rsidRPr="00EB2BD8">
              <w:rPr>
                <w:sz w:val="18"/>
              </w:rPr>
              <w:t>Note</w:t>
            </w:r>
            <w:r w:rsidRPr="00EB2BD8">
              <w:rPr>
                <w:spacing w:val="-7"/>
                <w:sz w:val="18"/>
              </w:rPr>
              <w:t xml:space="preserve"> </w:t>
            </w:r>
            <w:r w:rsidRPr="00EB2BD8">
              <w:rPr>
                <w:spacing w:val="-5"/>
                <w:sz w:val="18"/>
              </w:rPr>
              <w:t>7.</w:t>
            </w:r>
          </w:p>
        </w:tc>
        <w:tc>
          <w:tcPr>
            <w:tcW w:w="6709" w:type="dxa"/>
            <w:tcBorders>
              <w:top w:val="single" w:sz="2" w:space="0" w:color="003963"/>
              <w:bottom w:val="single" w:sz="2" w:space="0" w:color="003963"/>
            </w:tcBorders>
          </w:tcPr>
          <w:p w14:paraId="7F24CA14" w14:textId="77777777" w:rsidR="00084F36" w:rsidRPr="00EB2BD8" w:rsidRDefault="00EB2BD8" w:rsidP="00B83018">
            <w:pPr>
              <w:pStyle w:val="Heading3"/>
            </w:pPr>
            <w:bookmarkStart w:id="256" w:name="_Toc150762558"/>
            <w:r w:rsidRPr="00EB2BD8">
              <w:t>Risks,</w:t>
            </w:r>
            <w:r w:rsidRPr="00EB2BD8">
              <w:rPr>
                <w:spacing w:val="-4"/>
              </w:rPr>
              <w:t xml:space="preserve"> </w:t>
            </w:r>
            <w:r w:rsidRPr="00EB2BD8">
              <w:t>contingencies</w:t>
            </w:r>
            <w:r w:rsidRPr="00EB2BD8">
              <w:rPr>
                <w:spacing w:val="-4"/>
              </w:rPr>
              <w:t xml:space="preserve"> </w:t>
            </w:r>
            <w:r w:rsidRPr="00EB2BD8">
              <w:t>and</w:t>
            </w:r>
            <w:r w:rsidRPr="00EB2BD8">
              <w:rPr>
                <w:spacing w:val="-3"/>
              </w:rPr>
              <w:t xml:space="preserve"> </w:t>
            </w:r>
            <w:r w:rsidRPr="00EB2BD8">
              <w:t>valuation</w:t>
            </w:r>
            <w:r w:rsidRPr="00EB2BD8">
              <w:rPr>
                <w:spacing w:val="-4"/>
              </w:rPr>
              <w:t xml:space="preserve"> </w:t>
            </w:r>
            <w:r w:rsidRPr="00EB2BD8">
              <w:t>judgements</w:t>
            </w:r>
            <w:bookmarkEnd w:id="256"/>
          </w:p>
        </w:tc>
        <w:tc>
          <w:tcPr>
            <w:tcW w:w="2830" w:type="dxa"/>
            <w:tcBorders>
              <w:top w:val="single" w:sz="2" w:space="0" w:color="003963"/>
              <w:bottom w:val="single" w:sz="2" w:space="0" w:color="003963"/>
            </w:tcBorders>
          </w:tcPr>
          <w:p w14:paraId="41696464" w14:textId="77777777" w:rsidR="00084F36" w:rsidRPr="00EB2BD8" w:rsidRDefault="00EB2BD8">
            <w:pPr>
              <w:pStyle w:val="TableParagraph"/>
              <w:spacing w:before="60"/>
              <w:ind w:right="-15"/>
              <w:jc w:val="right"/>
              <w:rPr>
                <w:sz w:val="18"/>
              </w:rPr>
            </w:pPr>
            <w:r w:rsidRPr="00EB2BD8">
              <w:rPr>
                <w:spacing w:val="-5"/>
                <w:w w:val="80"/>
                <w:sz w:val="18"/>
              </w:rPr>
              <w:t>119</w:t>
            </w:r>
          </w:p>
        </w:tc>
      </w:tr>
      <w:tr w:rsidR="00084F36" w:rsidRPr="00EB2BD8" w14:paraId="1F57A97D" w14:textId="77777777">
        <w:trPr>
          <w:trHeight w:val="348"/>
        </w:trPr>
        <w:tc>
          <w:tcPr>
            <w:tcW w:w="664" w:type="dxa"/>
            <w:tcBorders>
              <w:top w:val="single" w:sz="2" w:space="0" w:color="003963"/>
              <w:bottom w:val="single" w:sz="2" w:space="0" w:color="003963"/>
            </w:tcBorders>
          </w:tcPr>
          <w:p w14:paraId="5BCF8D92" w14:textId="77777777" w:rsidR="00084F36" w:rsidRPr="00EB2BD8" w:rsidRDefault="00EB2BD8">
            <w:pPr>
              <w:pStyle w:val="TableParagraph"/>
              <w:spacing w:before="60"/>
              <w:rPr>
                <w:sz w:val="18"/>
              </w:rPr>
            </w:pPr>
            <w:r w:rsidRPr="00EB2BD8">
              <w:rPr>
                <w:sz w:val="18"/>
              </w:rPr>
              <w:t>Note</w:t>
            </w:r>
            <w:r w:rsidRPr="00EB2BD8">
              <w:rPr>
                <w:spacing w:val="-7"/>
                <w:sz w:val="18"/>
              </w:rPr>
              <w:t xml:space="preserve"> </w:t>
            </w:r>
            <w:r w:rsidRPr="00EB2BD8">
              <w:rPr>
                <w:spacing w:val="-5"/>
                <w:sz w:val="18"/>
              </w:rPr>
              <w:t>8.</w:t>
            </w:r>
          </w:p>
        </w:tc>
        <w:tc>
          <w:tcPr>
            <w:tcW w:w="6709" w:type="dxa"/>
            <w:tcBorders>
              <w:top w:val="single" w:sz="2" w:space="0" w:color="003963"/>
              <w:bottom w:val="single" w:sz="2" w:space="0" w:color="003963"/>
            </w:tcBorders>
          </w:tcPr>
          <w:p w14:paraId="4476EEA3" w14:textId="77777777" w:rsidR="00084F36" w:rsidRPr="00EB2BD8" w:rsidRDefault="00EB2BD8" w:rsidP="00B83018">
            <w:pPr>
              <w:pStyle w:val="Heading3"/>
            </w:pPr>
            <w:bookmarkStart w:id="257" w:name="_Toc150762559"/>
            <w:r w:rsidRPr="00EB2BD8">
              <w:t>Other disclosures</w:t>
            </w:r>
            <w:bookmarkEnd w:id="257"/>
          </w:p>
        </w:tc>
        <w:tc>
          <w:tcPr>
            <w:tcW w:w="2830" w:type="dxa"/>
            <w:tcBorders>
              <w:top w:val="single" w:sz="2" w:space="0" w:color="003963"/>
              <w:bottom w:val="single" w:sz="2" w:space="0" w:color="003963"/>
            </w:tcBorders>
          </w:tcPr>
          <w:p w14:paraId="21ADB078" w14:textId="77777777" w:rsidR="00084F36" w:rsidRPr="00EB2BD8" w:rsidRDefault="00EB2BD8">
            <w:pPr>
              <w:pStyle w:val="TableParagraph"/>
              <w:spacing w:before="60"/>
              <w:ind w:right="-15"/>
              <w:jc w:val="right"/>
              <w:rPr>
                <w:sz w:val="18"/>
              </w:rPr>
            </w:pPr>
            <w:r w:rsidRPr="00EB2BD8">
              <w:rPr>
                <w:spacing w:val="-5"/>
                <w:w w:val="85"/>
                <w:sz w:val="18"/>
              </w:rPr>
              <w:t>132</w:t>
            </w:r>
          </w:p>
        </w:tc>
      </w:tr>
    </w:tbl>
    <w:p w14:paraId="010DD53D" w14:textId="77777777" w:rsidR="00084F36" w:rsidRPr="00EB2BD8" w:rsidRDefault="00084F36">
      <w:pPr>
        <w:pStyle w:val="BodyText"/>
        <w:rPr>
          <w:rFonts w:ascii="Tahoma"/>
          <w:b/>
          <w:sz w:val="38"/>
        </w:rPr>
      </w:pPr>
    </w:p>
    <w:p w14:paraId="0ABA3AD0" w14:textId="77777777" w:rsidR="00084F36" w:rsidRPr="00EB2BD8" w:rsidRDefault="00084F36">
      <w:pPr>
        <w:pStyle w:val="BodyText"/>
        <w:rPr>
          <w:rFonts w:ascii="Tahoma"/>
          <w:b/>
          <w:sz w:val="38"/>
        </w:rPr>
      </w:pPr>
    </w:p>
    <w:p w14:paraId="256EF324" w14:textId="77777777" w:rsidR="00084F36" w:rsidRPr="00EB2BD8" w:rsidRDefault="00084F36">
      <w:pPr>
        <w:pStyle w:val="BodyText"/>
        <w:rPr>
          <w:rFonts w:ascii="Tahoma"/>
          <w:b/>
          <w:sz w:val="38"/>
        </w:rPr>
      </w:pPr>
    </w:p>
    <w:p w14:paraId="2C726630" w14:textId="77777777" w:rsidR="00084F36" w:rsidRPr="00EB2BD8" w:rsidRDefault="00084F36">
      <w:pPr>
        <w:pStyle w:val="BodyText"/>
        <w:rPr>
          <w:rFonts w:ascii="Tahoma"/>
          <w:b/>
          <w:sz w:val="38"/>
        </w:rPr>
      </w:pPr>
    </w:p>
    <w:p w14:paraId="3BC700D0" w14:textId="77777777" w:rsidR="00084F36" w:rsidRPr="00EB2BD8" w:rsidRDefault="00084F36">
      <w:pPr>
        <w:pStyle w:val="BodyText"/>
        <w:rPr>
          <w:rFonts w:ascii="Tahoma"/>
          <w:b/>
          <w:sz w:val="38"/>
        </w:rPr>
      </w:pPr>
    </w:p>
    <w:p w14:paraId="5C7704B0" w14:textId="77777777" w:rsidR="00084F36" w:rsidRPr="00EB2BD8" w:rsidRDefault="00084F36">
      <w:pPr>
        <w:pStyle w:val="BodyText"/>
        <w:rPr>
          <w:rFonts w:ascii="Tahoma"/>
          <w:b/>
          <w:sz w:val="38"/>
        </w:rPr>
      </w:pPr>
    </w:p>
    <w:p w14:paraId="5CFBC348" w14:textId="77777777" w:rsidR="00084F36" w:rsidRPr="00EB2BD8" w:rsidRDefault="00084F36">
      <w:pPr>
        <w:pStyle w:val="BodyText"/>
        <w:rPr>
          <w:rFonts w:ascii="Tahoma"/>
          <w:b/>
          <w:sz w:val="38"/>
        </w:rPr>
      </w:pPr>
    </w:p>
    <w:p w14:paraId="417F77D9" w14:textId="77777777" w:rsidR="00084F36" w:rsidRPr="00EB2BD8" w:rsidRDefault="00084F36">
      <w:pPr>
        <w:pStyle w:val="BodyText"/>
        <w:rPr>
          <w:rFonts w:ascii="Tahoma"/>
          <w:b/>
          <w:sz w:val="38"/>
        </w:rPr>
      </w:pPr>
    </w:p>
    <w:p w14:paraId="52259FBD" w14:textId="77777777" w:rsidR="00084F36" w:rsidRPr="00EB2BD8" w:rsidRDefault="00084F36">
      <w:pPr>
        <w:pStyle w:val="BodyText"/>
        <w:rPr>
          <w:rFonts w:ascii="Tahoma"/>
          <w:b/>
          <w:sz w:val="38"/>
        </w:rPr>
      </w:pPr>
    </w:p>
    <w:p w14:paraId="086E02AF" w14:textId="77777777" w:rsidR="00084F36" w:rsidRPr="00EB2BD8" w:rsidRDefault="00084F36">
      <w:pPr>
        <w:pStyle w:val="BodyText"/>
        <w:rPr>
          <w:rFonts w:ascii="Tahoma"/>
          <w:b/>
          <w:sz w:val="38"/>
        </w:rPr>
      </w:pPr>
    </w:p>
    <w:p w14:paraId="7F69B210" w14:textId="77777777" w:rsidR="00084F36" w:rsidRPr="00EB2BD8" w:rsidRDefault="00084F36">
      <w:pPr>
        <w:pStyle w:val="BodyText"/>
        <w:rPr>
          <w:rFonts w:ascii="Tahoma"/>
          <w:b/>
          <w:sz w:val="38"/>
        </w:rPr>
      </w:pPr>
    </w:p>
    <w:p w14:paraId="14E0FC63" w14:textId="77777777" w:rsidR="00084F36" w:rsidRPr="00EB2BD8" w:rsidRDefault="00084F36">
      <w:pPr>
        <w:pStyle w:val="BodyText"/>
        <w:rPr>
          <w:rFonts w:ascii="Tahoma"/>
          <w:b/>
          <w:sz w:val="38"/>
        </w:rPr>
      </w:pPr>
    </w:p>
    <w:p w14:paraId="163F1D16" w14:textId="5B55848E" w:rsidR="00084F36" w:rsidRDefault="00084F36">
      <w:pPr>
        <w:pStyle w:val="BodyText"/>
        <w:rPr>
          <w:rFonts w:ascii="Tahoma"/>
          <w:b/>
          <w:sz w:val="38"/>
        </w:rPr>
      </w:pPr>
    </w:p>
    <w:p w14:paraId="7ACB1439" w14:textId="5BD3CA56" w:rsidR="004D7D83" w:rsidRDefault="004D7D83">
      <w:pPr>
        <w:pStyle w:val="BodyText"/>
        <w:rPr>
          <w:rFonts w:ascii="Tahoma"/>
          <w:b/>
          <w:sz w:val="38"/>
        </w:rPr>
      </w:pPr>
    </w:p>
    <w:p w14:paraId="048E0073" w14:textId="77777777" w:rsidR="00084F36" w:rsidRPr="00EB2BD8" w:rsidRDefault="00084F36">
      <w:pPr>
        <w:pStyle w:val="BodyText"/>
        <w:spacing w:before="4"/>
        <w:rPr>
          <w:rFonts w:ascii="Tahoma"/>
          <w:b/>
          <w:sz w:val="29"/>
        </w:rPr>
      </w:pPr>
    </w:p>
    <w:p w14:paraId="56B3E37D" w14:textId="30EA74DA" w:rsidR="00084F36" w:rsidRPr="00EB2BD8" w:rsidRDefault="00EB2BD8">
      <w:pPr>
        <w:tabs>
          <w:tab w:val="left" w:pos="1906"/>
        </w:tabs>
        <w:ind w:left="842"/>
        <w:rPr>
          <w:b/>
          <w:sz w:val="16"/>
        </w:rPr>
      </w:pPr>
      <w:r w:rsidRPr="00EB2BD8">
        <w:rPr>
          <w:sz w:val="16"/>
        </w:rPr>
        <w:tab/>
      </w:r>
    </w:p>
    <w:p w14:paraId="4E2B1697" w14:textId="77777777" w:rsidR="00084F36" w:rsidRPr="00EB2BD8" w:rsidRDefault="00084F36">
      <w:pPr>
        <w:rPr>
          <w:sz w:val="16"/>
        </w:rPr>
        <w:sectPr w:rsidR="00084F36" w:rsidRPr="00EB2BD8" w:rsidSect="006D75B2">
          <w:headerReference w:type="even" r:id="rId262"/>
          <w:footerReference w:type="even" r:id="rId263"/>
          <w:footerReference w:type="default" r:id="rId264"/>
          <w:pgSz w:w="11910" w:h="16840"/>
          <w:pgMar w:top="0" w:right="0" w:bottom="280" w:left="0" w:header="0" w:footer="0" w:gutter="0"/>
          <w:cols w:space="720"/>
        </w:sectPr>
      </w:pPr>
    </w:p>
    <w:p w14:paraId="53618009" w14:textId="77777777" w:rsidR="00084F36" w:rsidRPr="00EB2BD8" w:rsidRDefault="00084F36">
      <w:pPr>
        <w:pStyle w:val="BodyText"/>
        <w:rPr>
          <w:sz w:val="20"/>
        </w:rPr>
      </w:pPr>
    </w:p>
    <w:p w14:paraId="5E79B4D5" w14:textId="77777777" w:rsidR="00084F36" w:rsidRPr="00EB2BD8" w:rsidRDefault="00084F36">
      <w:pPr>
        <w:pStyle w:val="BodyText"/>
        <w:rPr>
          <w:sz w:val="20"/>
        </w:rPr>
      </w:pPr>
    </w:p>
    <w:p w14:paraId="7E1B27DE" w14:textId="77777777" w:rsidR="00084F36" w:rsidRPr="00EB2BD8" w:rsidRDefault="00084F36">
      <w:pPr>
        <w:pStyle w:val="BodyText"/>
        <w:rPr>
          <w:sz w:val="20"/>
        </w:rPr>
      </w:pPr>
    </w:p>
    <w:p w14:paraId="72D55D57" w14:textId="77777777" w:rsidR="00084F36" w:rsidRPr="00EB2BD8" w:rsidRDefault="00084F36">
      <w:pPr>
        <w:pStyle w:val="BodyText"/>
        <w:rPr>
          <w:sz w:val="20"/>
        </w:rPr>
      </w:pPr>
    </w:p>
    <w:p w14:paraId="7E6ACFCF" w14:textId="77777777" w:rsidR="00084F36" w:rsidRPr="00EB2BD8" w:rsidRDefault="00084F36">
      <w:pPr>
        <w:pStyle w:val="BodyText"/>
        <w:rPr>
          <w:sz w:val="20"/>
        </w:rPr>
      </w:pPr>
    </w:p>
    <w:p w14:paraId="62B3261E" w14:textId="77777777" w:rsidR="00084F36" w:rsidRPr="00EB2BD8" w:rsidRDefault="00084F36">
      <w:pPr>
        <w:pStyle w:val="BodyText"/>
        <w:spacing w:before="10"/>
        <w:rPr>
          <w:sz w:val="22"/>
        </w:rPr>
      </w:pPr>
    </w:p>
    <w:p w14:paraId="0DCA38B9" w14:textId="77777777" w:rsidR="00084F36" w:rsidRPr="00EB2BD8" w:rsidRDefault="00084F36">
      <w:pPr>
        <w:sectPr w:rsidR="00084F36" w:rsidRPr="00EB2BD8" w:rsidSect="006D75B2">
          <w:headerReference w:type="default" r:id="rId265"/>
          <w:footerReference w:type="default" r:id="rId266"/>
          <w:pgSz w:w="11910" w:h="16840"/>
          <w:pgMar w:top="760" w:right="0" w:bottom="280" w:left="0" w:header="0" w:footer="0" w:gutter="0"/>
          <w:cols w:space="720"/>
        </w:sectPr>
      </w:pPr>
    </w:p>
    <w:p w14:paraId="21EED34C" w14:textId="77777777" w:rsidR="00084F36" w:rsidRPr="00EB2BD8" w:rsidRDefault="00EB2BD8" w:rsidP="005D2FBE">
      <w:pPr>
        <w:pStyle w:val="Heading2"/>
      </w:pPr>
      <w:bookmarkStart w:id="258" w:name="_Toc150762560"/>
      <w:r w:rsidRPr="00EB2BD8">
        <w:t>Note</w:t>
      </w:r>
      <w:r w:rsidRPr="00EB2BD8">
        <w:rPr>
          <w:spacing w:val="-7"/>
        </w:rPr>
        <w:t xml:space="preserve"> </w:t>
      </w:r>
      <w:r w:rsidRPr="00EB2BD8">
        <w:t>1.</w:t>
      </w:r>
      <w:r w:rsidRPr="00EB2BD8">
        <w:rPr>
          <w:spacing w:val="-7"/>
        </w:rPr>
        <w:t xml:space="preserve"> </w:t>
      </w:r>
      <w:r w:rsidRPr="00EB2BD8">
        <w:t>About</w:t>
      </w:r>
      <w:r w:rsidRPr="00EB2BD8">
        <w:rPr>
          <w:spacing w:val="-6"/>
        </w:rPr>
        <w:t xml:space="preserve"> </w:t>
      </w:r>
      <w:r w:rsidRPr="00EB2BD8">
        <w:t>this</w:t>
      </w:r>
      <w:r w:rsidRPr="00EB2BD8">
        <w:rPr>
          <w:spacing w:val="-7"/>
        </w:rPr>
        <w:t xml:space="preserve"> </w:t>
      </w:r>
      <w:r w:rsidRPr="00EB2BD8">
        <w:rPr>
          <w:spacing w:val="-2"/>
        </w:rPr>
        <w:t>report</w:t>
      </w:r>
      <w:bookmarkEnd w:id="258"/>
    </w:p>
    <w:p w14:paraId="622CC607" w14:textId="77777777" w:rsidR="00084F36" w:rsidRPr="00EB2BD8" w:rsidRDefault="00EB2BD8">
      <w:pPr>
        <w:spacing w:before="251" w:line="288" w:lineRule="auto"/>
        <w:ind w:left="1115"/>
        <w:rPr>
          <w:rFonts w:ascii="Arial"/>
          <w:sz w:val="16"/>
        </w:rPr>
      </w:pPr>
      <w:r w:rsidRPr="00EB2BD8">
        <w:rPr>
          <w:rFonts w:ascii="Arial"/>
          <w:w w:val="105"/>
          <w:sz w:val="16"/>
        </w:rPr>
        <w:t>These annual financial statements represent the audited general purpose financial statements for the VBA as an individual</w:t>
      </w:r>
      <w:r w:rsidRPr="00EB2BD8">
        <w:rPr>
          <w:rFonts w:ascii="Arial"/>
          <w:spacing w:val="-10"/>
          <w:w w:val="105"/>
          <w:sz w:val="16"/>
        </w:rPr>
        <w:t xml:space="preserve"> </w:t>
      </w:r>
      <w:r w:rsidRPr="00EB2BD8">
        <w:rPr>
          <w:rFonts w:ascii="Arial"/>
          <w:w w:val="105"/>
          <w:sz w:val="16"/>
        </w:rPr>
        <w:t>reporting</w:t>
      </w:r>
      <w:r w:rsidRPr="00EB2BD8">
        <w:rPr>
          <w:rFonts w:ascii="Arial"/>
          <w:spacing w:val="-10"/>
          <w:w w:val="105"/>
          <w:sz w:val="16"/>
        </w:rPr>
        <w:t xml:space="preserve"> </w:t>
      </w:r>
      <w:r w:rsidRPr="00EB2BD8">
        <w:rPr>
          <w:rFonts w:ascii="Arial"/>
          <w:w w:val="105"/>
          <w:sz w:val="16"/>
        </w:rPr>
        <w:t>entity</w:t>
      </w:r>
      <w:r w:rsidRPr="00EB2BD8">
        <w:rPr>
          <w:rFonts w:ascii="Arial"/>
          <w:spacing w:val="-9"/>
          <w:w w:val="105"/>
          <w:sz w:val="16"/>
        </w:rPr>
        <w:t xml:space="preserve"> </w:t>
      </w:r>
      <w:r w:rsidRPr="00EB2BD8">
        <w:rPr>
          <w:rFonts w:ascii="Arial"/>
          <w:w w:val="105"/>
          <w:sz w:val="16"/>
        </w:rPr>
        <w:t>and</w:t>
      </w:r>
      <w:r w:rsidRPr="00EB2BD8">
        <w:rPr>
          <w:rFonts w:ascii="Arial"/>
          <w:spacing w:val="-10"/>
          <w:w w:val="105"/>
          <w:sz w:val="16"/>
        </w:rPr>
        <w:t xml:space="preserve"> </w:t>
      </w:r>
      <w:r w:rsidRPr="00EB2BD8">
        <w:rPr>
          <w:rFonts w:ascii="Arial"/>
          <w:w w:val="105"/>
          <w:sz w:val="16"/>
        </w:rPr>
        <w:t>includes</w:t>
      </w:r>
      <w:r w:rsidRPr="00EB2BD8">
        <w:rPr>
          <w:rFonts w:ascii="Arial"/>
          <w:spacing w:val="-9"/>
          <w:w w:val="105"/>
          <w:sz w:val="16"/>
        </w:rPr>
        <w:t xml:space="preserve"> </w:t>
      </w:r>
      <w:r w:rsidRPr="00EB2BD8">
        <w:rPr>
          <w:rFonts w:ascii="Arial"/>
          <w:w w:val="105"/>
          <w:sz w:val="16"/>
        </w:rPr>
        <w:t>the</w:t>
      </w:r>
      <w:r w:rsidRPr="00EB2BD8">
        <w:rPr>
          <w:rFonts w:ascii="Arial"/>
          <w:spacing w:val="-10"/>
          <w:w w:val="105"/>
          <w:sz w:val="16"/>
        </w:rPr>
        <w:t xml:space="preserve"> </w:t>
      </w:r>
      <w:r w:rsidRPr="00EB2BD8">
        <w:rPr>
          <w:rFonts w:ascii="Arial"/>
          <w:w w:val="105"/>
          <w:sz w:val="16"/>
        </w:rPr>
        <w:t>Building</w:t>
      </w:r>
      <w:r w:rsidRPr="00EB2BD8">
        <w:rPr>
          <w:rFonts w:ascii="Arial"/>
          <w:spacing w:val="-10"/>
          <w:w w:val="105"/>
          <w:sz w:val="16"/>
        </w:rPr>
        <w:t xml:space="preserve"> </w:t>
      </w:r>
      <w:r w:rsidRPr="00EB2BD8">
        <w:rPr>
          <w:rFonts w:ascii="Arial"/>
          <w:w w:val="105"/>
          <w:sz w:val="16"/>
        </w:rPr>
        <w:t>Appeals Board (BAB), for the financial year ended 30 June 2023.</w:t>
      </w:r>
    </w:p>
    <w:p w14:paraId="6AB5D5F4" w14:textId="77777777" w:rsidR="00084F36" w:rsidRPr="00EB2BD8" w:rsidRDefault="00084F36">
      <w:pPr>
        <w:pStyle w:val="BodyText"/>
        <w:spacing w:before="3"/>
        <w:rPr>
          <w:rFonts w:ascii="Arial"/>
          <w:sz w:val="19"/>
        </w:rPr>
      </w:pPr>
    </w:p>
    <w:p w14:paraId="5CDDE28E" w14:textId="77777777" w:rsidR="00084F36" w:rsidRPr="00EB2BD8" w:rsidRDefault="00EB2BD8">
      <w:pPr>
        <w:spacing w:line="288" w:lineRule="auto"/>
        <w:ind w:left="1115"/>
        <w:rPr>
          <w:rFonts w:ascii="Arial"/>
          <w:sz w:val="16"/>
        </w:rPr>
      </w:pPr>
      <w:r w:rsidRPr="00EB2BD8">
        <w:rPr>
          <w:rFonts w:ascii="Arial"/>
          <w:w w:val="105"/>
          <w:sz w:val="16"/>
        </w:rPr>
        <w:t>The VBA is a statutory authority established on 1 July 2013 under</w:t>
      </w:r>
      <w:r w:rsidRPr="00EB2BD8">
        <w:rPr>
          <w:rFonts w:ascii="Arial"/>
          <w:spacing w:val="-9"/>
          <w:w w:val="105"/>
          <w:sz w:val="16"/>
        </w:rPr>
        <w:t xml:space="preserve"> </w:t>
      </w:r>
      <w:r w:rsidRPr="00EB2BD8">
        <w:rPr>
          <w:rFonts w:ascii="Arial"/>
          <w:w w:val="105"/>
          <w:sz w:val="16"/>
        </w:rPr>
        <w:t>the</w:t>
      </w:r>
      <w:r w:rsidRPr="00EB2BD8">
        <w:rPr>
          <w:rFonts w:ascii="Arial"/>
          <w:spacing w:val="-10"/>
          <w:w w:val="105"/>
          <w:sz w:val="16"/>
        </w:rPr>
        <w:t xml:space="preserve"> </w:t>
      </w:r>
      <w:r w:rsidRPr="00EB2BD8">
        <w:rPr>
          <w:rFonts w:ascii="Arial"/>
          <w:i/>
          <w:w w:val="105"/>
          <w:sz w:val="16"/>
        </w:rPr>
        <w:t>Building</w:t>
      </w:r>
      <w:r w:rsidRPr="00EB2BD8">
        <w:rPr>
          <w:rFonts w:ascii="Arial"/>
          <w:i/>
          <w:spacing w:val="-10"/>
          <w:w w:val="105"/>
          <w:sz w:val="16"/>
        </w:rPr>
        <w:t xml:space="preserve"> </w:t>
      </w:r>
      <w:r w:rsidRPr="00EB2BD8">
        <w:rPr>
          <w:rFonts w:ascii="Arial"/>
          <w:i/>
          <w:w w:val="105"/>
          <w:sz w:val="16"/>
        </w:rPr>
        <w:t>and</w:t>
      </w:r>
      <w:r w:rsidRPr="00EB2BD8">
        <w:rPr>
          <w:rFonts w:ascii="Arial"/>
          <w:i/>
          <w:spacing w:val="-10"/>
          <w:w w:val="105"/>
          <w:sz w:val="16"/>
        </w:rPr>
        <w:t xml:space="preserve"> </w:t>
      </w:r>
      <w:r w:rsidRPr="00EB2BD8">
        <w:rPr>
          <w:rFonts w:ascii="Arial"/>
          <w:i/>
          <w:w w:val="105"/>
          <w:sz w:val="16"/>
        </w:rPr>
        <w:t>Planning</w:t>
      </w:r>
      <w:r w:rsidRPr="00EB2BD8">
        <w:rPr>
          <w:rFonts w:ascii="Arial"/>
          <w:i/>
          <w:spacing w:val="-10"/>
          <w:w w:val="105"/>
          <w:sz w:val="16"/>
        </w:rPr>
        <w:t xml:space="preserve"> </w:t>
      </w:r>
      <w:r w:rsidRPr="00EB2BD8">
        <w:rPr>
          <w:rFonts w:ascii="Arial"/>
          <w:i/>
          <w:w w:val="105"/>
          <w:sz w:val="16"/>
        </w:rPr>
        <w:t>Legislation</w:t>
      </w:r>
      <w:r w:rsidRPr="00EB2BD8">
        <w:rPr>
          <w:rFonts w:ascii="Arial"/>
          <w:i/>
          <w:spacing w:val="-10"/>
          <w:w w:val="105"/>
          <w:sz w:val="16"/>
        </w:rPr>
        <w:t xml:space="preserve"> </w:t>
      </w:r>
      <w:r w:rsidRPr="00EB2BD8">
        <w:rPr>
          <w:rFonts w:ascii="Arial"/>
          <w:i/>
          <w:w w:val="105"/>
          <w:sz w:val="16"/>
        </w:rPr>
        <w:t>Amendment</w:t>
      </w:r>
      <w:r w:rsidRPr="00EB2BD8">
        <w:rPr>
          <w:rFonts w:ascii="Arial"/>
          <w:i/>
          <w:spacing w:val="-9"/>
          <w:w w:val="105"/>
          <w:sz w:val="16"/>
        </w:rPr>
        <w:t xml:space="preserve"> </w:t>
      </w:r>
      <w:r w:rsidRPr="00EB2BD8">
        <w:rPr>
          <w:rFonts w:ascii="Arial"/>
          <w:i/>
          <w:w w:val="105"/>
          <w:sz w:val="16"/>
        </w:rPr>
        <w:t xml:space="preserve">Act </w:t>
      </w:r>
      <w:r w:rsidRPr="00EB2BD8">
        <w:rPr>
          <w:rFonts w:ascii="Arial"/>
          <w:w w:val="105"/>
          <w:sz w:val="16"/>
        </w:rPr>
        <w:t>2013 incorporating the former Building Commission and Plumbing Industry Commission.</w:t>
      </w:r>
    </w:p>
    <w:p w14:paraId="47495786" w14:textId="77777777" w:rsidR="00084F36" w:rsidRPr="00EB2BD8" w:rsidRDefault="00084F36">
      <w:pPr>
        <w:pStyle w:val="BodyText"/>
        <w:spacing w:before="3"/>
        <w:rPr>
          <w:rFonts w:ascii="Arial"/>
          <w:sz w:val="19"/>
        </w:rPr>
      </w:pPr>
    </w:p>
    <w:p w14:paraId="63AF85C5" w14:textId="77777777" w:rsidR="00084F36" w:rsidRPr="00EB2BD8" w:rsidRDefault="00EB2BD8">
      <w:pPr>
        <w:ind w:left="1773"/>
        <w:rPr>
          <w:rFonts w:ascii="Arial"/>
          <w:sz w:val="16"/>
        </w:rPr>
      </w:pPr>
      <w:r w:rsidRPr="00EB2BD8">
        <w:rPr>
          <w:rFonts w:ascii="Arial"/>
          <w:w w:val="105"/>
          <w:sz w:val="16"/>
        </w:rPr>
        <w:t>Principal</w:t>
      </w:r>
      <w:r w:rsidRPr="00EB2BD8">
        <w:rPr>
          <w:rFonts w:ascii="Arial"/>
          <w:spacing w:val="-11"/>
          <w:w w:val="105"/>
          <w:sz w:val="16"/>
        </w:rPr>
        <w:t xml:space="preserve"> </w:t>
      </w:r>
      <w:r w:rsidRPr="00EB2BD8">
        <w:rPr>
          <w:rFonts w:ascii="Arial"/>
          <w:w w:val="105"/>
          <w:sz w:val="16"/>
        </w:rPr>
        <w:t>Address</w:t>
      </w:r>
      <w:r w:rsidRPr="00EB2BD8">
        <w:rPr>
          <w:rFonts w:ascii="Arial"/>
          <w:spacing w:val="-9"/>
          <w:w w:val="105"/>
          <w:sz w:val="16"/>
        </w:rPr>
        <w:t xml:space="preserve"> </w:t>
      </w:r>
      <w:r w:rsidRPr="00EB2BD8">
        <w:rPr>
          <w:rFonts w:ascii="Arial"/>
          <w:spacing w:val="-5"/>
          <w:w w:val="105"/>
          <w:sz w:val="16"/>
        </w:rPr>
        <w:t>is:</w:t>
      </w:r>
    </w:p>
    <w:p w14:paraId="5FABCB74" w14:textId="77777777" w:rsidR="00084F36" w:rsidRPr="00EB2BD8" w:rsidRDefault="00EB2BD8">
      <w:pPr>
        <w:spacing w:before="37" w:line="288" w:lineRule="auto"/>
        <w:ind w:left="1773" w:right="1805"/>
        <w:rPr>
          <w:rFonts w:ascii="Arial"/>
          <w:sz w:val="16"/>
        </w:rPr>
      </w:pPr>
      <w:r w:rsidRPr="00EB2BD8">
        <w:rPr>
          <w:rFonts w:ascii="Arial"/>
          <w:w w:val="105"/>
          <w:sz w:val="16"/>
        </w:rPr>
        <w:t>Victorian</w:t>
      </w:r>
      <w:r w:rsidRPr="00EB2BD8">
        <w:rPr>
          <w:rFonts w:ascii="Arial"/>
          <w:spacing w:val="-12"/>
          <w:w w:val="105"/>
          <w:sz w:val="16"/>
        </w:rPr>
        <w:t xml:space="preserve"> </w:t>
      </w:r>
      <w:r w:rsidRPr="00EB2BD8">
        <w:rPr>
          <w:rFonts w:ascii="Arial"/>
          <w:w w:val="105"/>
          <w:sz w:val="16"/>
        </w:rPr>
        <w:t>Building</w:t>
      </w:r>
      <w:r w:rsidRPr="00EB2BD8">
        <w:rPr>
          <w:rFonts w:ascii="Arial"/>
          <w:spacing w:val="-12"/>
          <w:w w:val="105"/>
          <w:sz w:val="16"/>
        </w:rPr>
        <w:t xml:space="preserve"> </w:t>
      </w:r>
      <w:r w:rsidRPr="00EB2BD8">
        <w:rPr>
          <w:rFonts w:ascii="Arial"/>
          <w:w w:val="105"/>
          <w:sz w:val="16"/>
        </w:rPr>
        <w:t>Authority 733 Bourke Street</w:t>
      </w:r>
    </w:p>
    <w:p w14:paraId="5CA908C4" w14:textId="77777777" w:rsidR="00084F36" w:rsidRPr="00EB2BD8" w:rsidRDefault="00EB2BD8">
      <w:pPr>
        <w:spacing w:before="1"/>
        <w:ind w:left="1773"/>
        <w:rPr>
          <w:rFonts w:ascii="Arial"/>
          <w:sz w:val="16"/>
        </w:rPr>
      </w:pPr>
      <w:r w:rsidRPr="00EB2BD8">
        <w:rPr>
          <w:rFonts w:ascii="Arial"/>
          <w:w w:val="105"/>
          <w:sz w:val="16"/>
        </w:rPr>
        <w:t>Docklands</w:t>
      </w:r>
      <w:r w:rsidRPr="00EB2BD8">
        <w:rPr>
          <w:rFonts w:ascii="Arial"/>
          <w:spacing w:val="-9"/>
          <w:w w:val="105"/>
          <w:sz w:val="16"/>
        </w:rPr>
        <w:t xml:space="preserve"> </w:t>
      </w:r>
      <w:r w:rsidRPr="00EB2BD8">
        <w:rPr>
          <w:rFonts w:ascii="Arial"/>
          <w:w w:val="105"/>
          <w:sz w:val="16"/>
        </w:rPr>
        <w:t>VIC</w:t>
      </w:r>
      <w:r w:rsidRPr="00EB2BD8">
        <w:rPr>
          <w:rFonts w:ascii="Arial"/>
          <w:spacing w:val="-7"/>
          <w:w w:val="105"/>
          <w:sz w:val="16"/>
        </w:rPr>
        <w:t xml:space="preserve"> </w:t>
      </w:r>
      <w:r w:rsidRPr="00EB2BD8">
        <w:rPr>
          <w:rFonts w:ascii="Arial"/>
          <w:spacing w:val="-4"/>
          <w:w w:val="105"/>
          <w:sz w:val="16"/>
        </w:rPr>
        <w:t>3008</w:t>
      </w:r>
    </w:p>
    <w:p w14:paraId="5BC2290F" w14:textId="77777777" w:rsidR="00084F36" w:rsidRPr="00EB2BD8" w:rsidRDefault="00084F36">
      <w:pPr>
        <w:pStyle w:val="BodyText"/>
        <w:spacing w:before="3"/>
        <w:rPr>
          <w:rFonts w:ascii="Arial"/>
          <w:sz w:val="22"/>
        </w:rPr>
      </w:pPr>
    </w:p>
    <w:p w14:paraId="42AE06D5" w14:textId="77777777" w:rsidR="00084F36" w:rsidRPr="00EB2BD8" w:rsidRDefault="00EB2BD8">
      <w:pPr>
        <w:spacing w:before="1" w:line="288" w:lineRule="auto"/>
        <w:ind w:left="1115"/>
        <w:rPr>
          <w:rFonts w:ascii="Arial" w:hAnsi="Arial"/>
          <w:sz w:val="16"/>
        </w:rPr>
      </w:pPr>
      <w:r w:rsidRPr="00EB2BD8">
        <w:rPr>
          <w:rFonts w:ascii="Arial" w:hAnsi="Arial"/>
          <w:w w:val="105"/>
          <w:sz w:val="16"/>
        </w:rPr>
        <w:t>A</w:t>
      </w:r>
      <w:r w:rsidRPr="00EB2BD8">
        <w:rPr>
          <w:rFonts w:ascii="Arial" w:hAnsi="Arial"/>
          <w:spacing w:val="-6"/>
          <w:w w:val="105"/>
          <w:sz w:val="16"/>
        </w:rPr>
        <w:t xml:space="preserve"> </w:t>
      </w:r>
      <w:r w:rsidRPr="00EB2BD8">
        <w:rPr>
          <w:rFonts w:ascii="Arial" w:hAnsi="Arial"/>
          <w:w w:val="105"/>
          <w:sz w:val="16"/>
        </w:rPr>
        <w:t>description</w:t>
      </w:r>
      <w:r w:rsidRPr="00EB2BD8">
        <w:rPr>
          <w:rFonts w:ascii="Arial" w:hAnsi="Arial"/>
          <w:spacing w:val="-7"/>
          <w:w w:val="105"/>
          <w:sz w:val="16"/>
        </w:rPr>
        <w:t xml:space="preserve"> </w:t>
      </w:r>
      <w:r w:rsidRPr="00EB2BD8">
        <w:rPr>
          <w:rFonts w:ascii="Arial" w:hAnsi="Arial"/>
          <w:w w:val="105"/>
          <w:sz w:val="16"/>
        </w:rPr>
        <w:t>of</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7"/>
          <w:w w:val="105"/>
          <w:sz w:val="16"/>
        </w:rPr>
        <w:t xml:space="preserve"> </w:t>
      </w:r>
      <w:r w:rsidRPr="00EB2BD8">
        <w:rPr>
          <w:rFonts w:ascii="Arial" w:hAnsi="Arial"/>
          <w:w w:val="105"/>
          <w:sz w:val="16"/>
        </w:rPr>
        <w:t>nature</w:t>
      </w:r>
      <w:r w:rsidRPr="00EB2BD8">
        <w:rPr>
          <w:rFonts w:ascii="Arial" w:hAnsi="Arial"/>
          <w:spacing w:val="-7"/>
          <w:w w:val="105"/>
          <w:sz w:val="16"/>
        </w:rPr>
        <w:t xml:space="preserve"> </w:t>
      </w:r>
      <w:r w:rsidRPr="00EB2BD8">
        <w:rPr>
          <w:rFonts w:ascii="Arial" w:hAnsi="Arial"/>
          <w:w w:val="105"/>
          <w:sz w:val="16"/>
        </w:rPr>
        <w:t>of</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7"/>
          <w:w w:val="105"/>
          <w:sz w:val="16"/>
        </w:rPr>
        <w:t xml:space="preserve"> </w:t>
      </w:r>
      <w:r w:rsidRPr="00EB2BD8">
        <w:rPr>
          <w:rFonts w:ascii="Arial" w:hAnsi="Arial"/>
          <w:w w:val="105"/>
          <w:sz w:val="16"/>
        </w:rPr>
        <w:t>VBA’s</w:t>
      </w:r>
      <w:r w:rsidRPr="00EB2BD8">
        <w:rPr>
          <w:rFonts w:ascii="Arial" w:hAnsi="Arial"/>
          <w:spacing w:val="-6"/>
          <w:w w:val="105"/>
          <w:sz w:val="16"/>
        </w:rPr>
        <w:t xml:space="preserve"> </w:t>
      </w:r>
      <w:r w:rsidRPr="00EB2BD8">
        <w:rPr>
          <w:rFonts w:ascii="Arial" w:hAnsi="Arial"/>
          <w:w w:val="105"/>
          <w:sz w:val="16"/>
        </w:rPr>
        <w:t>operations</w:t>
      </w:r>
      <w:r w:rsidRPr="00EB2BD8">
        <w:rPr>
          <w:rFonts w:ascii="Arial" w:hAnsi="Arial"/>
          <w:spacing w:val="-6"/>
          <w:w w:val="105"/>
          <w:sz w:val="16"/>
        </w:rPr>
        <w:t xml:space="preserve"> </w:t>
      </w:r>
      <w:r w:rsidRPr="00EB2BD8">
        <w:rPr>
          <w:rFonts w:ascii="Arial" w:hAnsi="Arial"/>
          <w:w w:val="105"/>
          <w:sz w:val="16"/>
        </w:rPr>
        <w:t>and</w:t>
      </w:r>
      <w:r w:rsidRPr="00EB2BD8">
        <w:rPr>
          <w:rFonts w:ascii="Arial" w:hAnsi="Arial"/>
          <w:spacing w:val="-7"/>
          <w:w w:val="105"/>
          <w:sz w:val="16"/>
        </w:rPr>
        <w:t xml:space="preserve"> </w:t>
      </w:r>
      <w:r w:rsidRPr="00EB2BD8">
        <w:rPr>
          <w:rFonts w:ascii="Arial" w:hAnsi="Arial"/>
          <w:w w:val="105"/>
          <w:sz w:val="16"/>
        </w:rPr>
        <w:t>its principal activities is included in the report of operations, which does not form part of these financial statements.</w:t>
      </w:r>
    </w:p>
    <w:p w14:paraId="2948DFD0" w14:textId="77777777" w:rsidR="00084F36" w:rsidRPr="00EB2BD8" w:rsidRDefault="00084F36">
      <w:pPr>
        <w:pStyle w:val="BodyText"/>
        <w:spacing w:before="6"/>
        <w:rPr>
          <w:rFonts w:ascii="Arial"/>
          <w:sz w:val="26"/>
        </w:rPr>
      </w:pPr>
    </w:p>
    <w:p w14:paraId="6BBEFE82" w14:textId="66CA289C" w:rsidR="00084F36" w:rsidRPr="00EB2BD8" w:rsidRDefault="005D2FBE" w:rsidP="005D2FBE">
      <w:pPr>
        <w:pStyle w:val="Heading2"/>
      </w:pPr>
      <w:r>
        <w:t xml:space="preserve">  </w:t>
      </w:r>
      <w:bookmarkStart w:id="259" w:name="_Toc150762561"/>
      <w:r w:rsidR="00EB2BD8" w:rsidRPr="00EB2BD8">
        <w:t>Compliance</w:t>
      </w:r>
      <w:r w:rsidR="00EB2BD8" w:rsidRPr="00EB2BD8">
        <w:rPr>
          <w:spacing w:val="11"/>
        </w:rPr>
        <w:t xml:space="preserve"> </w:t>
      </w:r>
      <w:r w:rsidR="00EB2BD8" w:rsidRPr="00EB2BD8">
        <w:rPr>
          <w:spacing w:val="-2"/>
        </w:rPr>
        <w:t>information</w:t>
      </w:r>
      <w:bookmarkEnd w:id="259"/>
    </w:p>
    <w:p w14:paraId="1936BA2A" w14:textId="77777777" w:rsidR="00084F36" w:rsidRPr="00EB2BD8" w:rsidRDefault="00EB2BD8">
      <w:pPr>
        <w:spacing w:before="154" w:line="288" w:lineRule="auto"/>
        <w:ind w:left="1115" w:right="32"/>
        <w:rPr>
          <w:rFonts w:ascii="Arial"/>
          <w:i/>
          <w:sz w:val="16"/>
        </w:rPr>
      </w:pPr>
      <w:r w:rsidRPr="00EB2BD8">
        <w:rPr>
          <w:rFonts w:ascii="Arial"/>
          <w:w w:val="105"/>
          <w:sz w:val="16"/>
        </w:rPr>
        <w:t>These general-purpose financial statements have been prepared</w:t>
      </w:r>
      <w:r w:rsidRPr="00EB2BD8">
        <w:rPr>
          <w:rFonts w:ascii="Arial"/>
          <w:spacing w:val="-10"/>
          <w:w w:val="105"/>
          <w:sz w:val="16"/>
        </w:rPr>
        <w:t xml:space="preserve"> </w:t>
      </w:r>
      <w:r w:rsidRPr="00EB2BD8">
        <w:rPr>
          <w:rFonts w:ascii="Arial"/>
          <w:w w:val="105"/>
          <w:sz w:val="16"/>
        </w:rPr>
        <w:t>in</w:t>
      </w:r>
      <w:r w:rsidRPr="00EB2BD8">
        <w:rPr>
          <w:rFonts w:ascii="Arial"/>
          <w:spacing w:val="-10"/>
          <w:w w:val="105"/>
          <w:sz w:val="16"/>
        </w:rPr>
        <w:t xml:space="preserve"> </w:t>
      </w:r>
      <w:r w:rsidRPr="00EB2BD8">
        <w:rPr>
          <w:rFonts w:ascii="Arial"/>
          <w:w w:val="105"/>
          <w:sz w:val="16"/>
        </w:rPr>
        <w:t>accordance</w:t>
      </w:r>
      <w:r w:rsidRPr="00EB2BD8">
        <w:rPr>
          <w:rFonts w:ascii="Arial"/>
          <w:spacing w:val="-10"/>
          <w:w w:val="105"/>
          <w:sz w:val="16"/>
        </w:rPr>
        <w:t xml:space="preserve"> </w:t>
      </w:r>
      <w:r w:rsidRPr="00EB2BD8">
        <w:rPr>
          <w:rFonts w:ascii="Arial"/>
          <w:w w:val="105"/>
          <w:sz w:val="16"/>
        </w:rPr>
        <w:t>with</w:t>
      </w:r>
      <w:r w:rsidRPr="00EB2BD8">
        <w:rPr>
          <w:rFonts w:ascii="Arial"/>
          <w:spacing w:val="-10"/>
          <w:w w:val="105"/>
          <w:sz w:val="16"/>
        </w:rPr>
        <w:t xml:space="preserve"> </w:t>
      </w:r>
      <w:r w:rsidRPr="00EB2BD8">
        <w:rPr>
          <w:rFonts w:ascii="Arial"/>
          <w:w w:val="105"/>
          <w:sz w:val="16"/>
        </w:rPr>
        <w:t>the</w:t>
      </w:r>
      <w:r w:rsidRPr="00EB2BD8">
        <w:rPr>
          <w:rFonts w:ascii="Arial"/>
          <w:spacing w:val="-10"/>
          <w:w w:val="105"/>
          <w:sz w:val="16"/>
        </w:rPr>
        <w:t xml:space="preserve"> </w:t>
      </w:r>
      <w:r w:rsidRPr="00EB2BD8">
        <w:rPr>
          <w:rFonts w:ascii="Arial"/>
          <w:i/>
          <w:w w:val="105"/>
          <w:sz w:val="16"/>
        </w:rPr>
        <w:t>Financial</w:t>
      </w:r>
      <w:r w:rsidRPr="00EB2BD8">
        <w:rPr>
          <w:rFonts w:ascii="Arial"/>
          <w:i/>
          <w:spacing w:val="-10"/>
          <w:w w:val="105"/>
          <w:sz w:val="16"/>
        </w:rPr>
        <w:t xml:space="preserve"> </w:t>
      </w:r>
      <w:r w:rsidRPr="00EB2BD8">
        <w:rPr>
          <w:rFonts w:ascii="Arial"/>
          <w:i/>
          <w:w w:val="105"/>
          <w:sz w:val="16"/>
        </w:rPr>
        <w:t>Management</w:t>
      </w:r>
      <w:r w:rsidRPr="00EB2BD8">
        <w:rPr>
          <w:rFonts w:ascii="Arial"/>
          <w:i/>
          <w:spacing w:val="-9"/>
          <w:w w:val="105"/>
          <w:sz w:val="16"/>
        </w:rPr>
        <w:t xml:space="preserve"> </w:t>
      </w:r>
      <w:r w:rsidRPr="00EB2BD8">
        <w:rPr>
          <w:rFonts w:ascii="Arial"/>
          <w:i/>
          <w:w w:val="105"/>
          <w:sz w:val="16"/>
        </w:rPr>
        <w:t>Act 1994 (FMA) and applicable Australian Accounting Standards (AAS)</w:t>
      </w:r>
      <w:r w:rsidRPr="00EB2BD8">
        <w:rPr>
          <w:rFonts w:ascii="Arial"/>
          <w:w w:val="105"/>
          <w:sz w:val="16"/>
        </w:rPr>
        <w:t xml:space="preserve">, which include Interpretations issued by the Australian Accounting Standards Board (AASB). In particular, the statements are presented in a manner consistent with the requirements of </w:t>
      </w:r>
      <w:r w:rsidRPr="00EB2BD8">
        <w:rPr>
          <w:rFonts w:ascii="Arial"/>
          <w:i/>
          <w:w w:val="105"/>
          <w:sz w:val="16"/>
        </w:rPr>
        <w:t xml:space="preserve">AASB 1049 Whole of Government and General Government Sector Financial </w:t>
      </w:r>
      <w:r w:rsidRPr="00EB2BD8">
        <w:rPr>
          <w:rFonts w:ascii="Arial"/>
          <w:i/>
          <w:spacing w:val="-2"/>
          <w:w w:val="105"/>
          <w:sz w:val="16"/>
        </w:rPr>
        <w:t>Reporting.</w:t>
      </w:r>
    </w:p>
    <w:p w14:paraId="63909753" w14:textId="77777777" w:rsidR="00084F36" w:rsidRPr="00EB2BD8" w:rsidRDefault="00084F36">
      <w:pPr>
        <w:pStyle w:val="BodyText"/>
        <w:spacing w:before="4"/>
        <w:rPr>
          <w:rFonts w:ascii="Arial"/>
          <w:i/>
          <w:sz w:val="19"/>
        </w:rPr>
      </w:pPr>
    </w:p>
    <w:p w14:paraId="3D0A4297" w14:textId="77777777" w:rsidR="00084F36" w:rsidRPr="00EB2BD8" w:rsidRDefault="00EB2BD8">
      <w:pPr>
        <w:spacing w:before="1"/>
        <w:ind w:left="1115"/>
        <w:rPr>
          <w:rFonts w:ascii="Arial"/>
          <w:sz w:val="16"/>
        </w:rPr>
      </w:pPr>
      <w:r w:rsidRPr="00EB2BD8">
        <w:rPr>
          <w:rFonts w:ascii="Arial"/>
          <w:w w:val="105"/>
          <w:sz w:val="16"/>
        </w:rPr>
        <w:t>Where</w:t>
      </w:r>
      <w:r w:rsidRPr="00EB2BD8">
        <w:rPr>
          <w:rFonts w:ascii="Arial"/>
          <w:spacing w:val="-13"/>
          <w:w w:val="105"/>
          <w:sz w:val="16"/>
        </w:rPr>
        <w:t xml:space="preserve"> </w:t>
      </w:r>
      <w:r w:rsidRPr="00EB2BD8">
        <w:rPr>
          <w:rFonts w:ascii="Arial"/>
          <w:w w:val="105"/>
          <w:sz w:val="16"/>
        </w:rPr>
        <w:t>appropriate,</w:t>
      </w:r>
      <w:r w:rsidRPr="00EB2BD8">
        <w:rPr>
          <w:rFonts w:ascii="Arial"/>
          <w:spacing w:val="-10"/>
          <w:w w:val="105"/>
          <w:sz w:val="16"/>
        </w:rPr>
        <w:t xml:space="preserve"> </w:t>
      </w:r>
      <w:r w:rsidRPr="00EB2BD8">
        <w:rPr>
          <w:rFonts w:ascii="Arial"/>
          <w:w w:val="105"/>
          <w:sz w:val="16"/>
        </w:rPr>
        <w:t>those</w:t>
      </w:r>
      <w:r w:rsidRPr="00EB2BD8">
        <w:rPr>
          <w:rFonts w:ascii="Arial"/>
          <w:spacing w:val="-10"/>
          <w:w w:val="105"/>
          <w:sz w:val="16"/>
        </w:rPr>
        <w:t xml:space="preserve"> </w:t>
      </w:r>
      <w:r w:rsidRPr="00EB2BD8">
        <w:rPr>
          <w:rFonts w:ascii="Arial"/>
          <w:w w:val="105"/>
          <w:sz w:val="16"/>
        </w:rPr>
        <w:t>AAS</w:t>
      </w:r>
      <w:r w:rsidRPr="00EB2BD8">
        <w:rPr>
          <w:rFonts w:ascii="Arial"/>
          <w:spacing w:val="-10"/>
          <w:w w:val="105"/>
          <w:sz w:val="16"/>
        </w:rPr>
        <w:t xml:space="preserve"> </w:t>
      </w:r>
      <w:r w:rsidRPr="00EB2BD8">
        <w:rPr>
          <w:rFonts w:ascii="Arial"/>
          <w:w w:val="105"/>
          <w:sz w:val="16"/>
        </w:rPr>
        <w:t>paragraphs</w:t>
      </w:r>
      <w:r w:rsidRPr="00EB2BD8">
        <w:rPr>
          <w:rFonts w:ascii="Arial"/>
          <w:spacing w:val="-10"/>
          <w:w w:val="105"/>
          <w:sz w:val="16"/>
        </w:rPr>
        <w:t xml:space="preserve"> </w:t>
      </w:r>
      <w:r w:rsidRPr="00EB2BD8">
        <w:rPr>
          <w:rFonts w:ascii="Arial"/>
          <w:w w:val="105"/>
          <w:sz w:val="16"/>
        </w:rPr>
        <w:t>applicable</w:t>
      </w:r>
      <w:r w:rsidRPr="00EB2BD8">
        <w:rPr>
          <w:rFonts w:ascii="Arial"/>
          <w:spacing w:val="-10"/>
          <w:w w:val="105"/>
          <w:sz w:val="16"/>
        </w:rPr>
        <w:t xml:space="preserve"> </w:t>
      </w:r>
      <w:r w:rsidRPr="00EB2BD8">
        <w:rPr>
          <w:rFonts w:ascii="Arial"/>
          <w:spacing w:val="-5"/>
          <w:w w:val="105"/>
          <w:sz w:val="16"/>
        </w:rPr>
        <w:t>to</w:t>
      </w:r>
    </w:p>
    <w:p w14:paraId="4DA962DC" w14:textId="77777777" w:rsidR="00084F36" w:rsidRPr="00EB2BD8" w:rsidRDefault="00EB2BD8">
      <w:pPr>
        <w:spacing w:before="36" w:line="288" w:lineRule="auto"/>
        <w:ind w:left="1115" w:hanging="1"/>
        <w:rPr>
          <w:rFonts w:ascii="Arial"/>
          <w:sz w:val="16"/>
        </w:rPr>
      </w:pPr>
      <w:r w:rsidRPr="00EB2BD8">
        <w:rPr>
          <w:rFonts w:ascii="Arial"/>
          <w:w w:val="105"/>
          <w:sz w:val="16"/>
        </w:rPr>
        <w:t>not-for-profit</w:t>
      </w:r>
      <w:r w:rsidRPr="00EB2BD8">
        <w:rPr>
          <w:rFonts w:ascii="Arial"/>
          <w:spacing w:val="-10"/>
          <w:w w:val="105"/>
          <w:sz w:val="16"/>
        </w:rPr>
        <w:t xml:space="preserve"> </w:t>
      </w:r>
      <w:r w:rsidRPr="00EB2BD8">
        <w:rPr>
          <w:rFonts w:ascii="Arial"/>
          <w:w w:val="105"/>
          <w:sz w:val="16"/>
        </w:rPr>
        <w:t>entities</w:t>
      </w:r>
      <w:r w:rsidRPr="00EB2BD8">
        <w:rPr>
          <w:rFonts w:ascii="Arial"/>
          <w:spacing w:val="-10"/>
          <w:w w:val="105"/>
          <w:sz w:val="16"/>
        </w:rPr>
        <w:t xml:space="preserve"> </w:t>
      </w:r>
      <w:r w:rsidRPr="00EB2BD8">
        <w:rPr>
          <w:rFonts w:ascii="Arial"/>
          <w:w w:val="105"/>
          <w:sz w:val="16"/>
        </w:rPr>
        <w:t>have</w:t>
      </w:r>
      <w:r w:rsidRPr="00EB2BD8">
        <w:rPr>
          <w:rFonts w:ascii="Arial"/>
          <w:spacing w:val="-11"/>
          <w:w w:val="105"/>
          <w:sz w:val="16"/>
        </w:rPr>
        <w:t xml:space="preserve"> </w:t>
      </w:r>
      <w:r w:rsidRPr="00EB2BD8">
        <w:rPr>
          <w:rFonts w:ascii="Arial"/>
          <w:w w:val="105"/>
          <w:sz w:val="16"/>
        </w:rPr>
        <w:t>been</w:t>
      </w:r>
      <w:r w:rsidRPr="00EB2BD8">
        <w:rPr>
          <w:rFonts w:ascii="Arial"/>
          <w:spacing w:val="-11"/>
          <w:w w:val="105"/>
          <w:sz w:val="16"/>
        </w:rPr>
        <w:t xml:space="preserve"> </w:t>
      </w:r>
      <w:r w:rsidRPr="00EB2BD8">
        <w:rPr>
          <w:rFonts w:ascii="Arial"/>
          <w:w w:val="105"/>
          <w:sz w:val="16"/>
        </w:rPr>
        <w:t>applied.</w:t>
      </w:r>
      <w:r w:rsidRPr="00EB2BD8">
        <w:rPr>
          <w:rFonts w:ascii="Arial"/>
          <w:spacing w:val="-10"/>
          <w:w w:val="105"/>
          <w:sz w:val="16"/>
        </w:rPr>
        <w:t xml:space="preserve"> </w:t>
      </w:r>
      <w:r w:rsidRPr="00EB2BD8">
        <w:rPr>
          <w:rFonts w:ascii="Arial"/>
          <w:w w:val="105"/>
          <w:sz w:val="16"/>
        </w:rPr>
        <w:t>Accounting</w:t>
      </w:r>
      <w:r w:rsidRPr="00EB2BD8">
        <w:rPr>
          <w:rFonts w:ascii="Arial"/>
          <w:spacing w:val="-11"/>
          <w:w w:val="105"/>
          <w:sz w:val="16"/>
        </w:rPr>
        <w:t xml:space="preserve"> </w:t>
      </w:r>
      <w:r w:rsidRPr="00EB2BD8">
        <w:rPr>
          <w:rFonts w:ascii="Arial"/>
          <w:w w:val="105"/>
          <w:sz w:val="16"/>
        </w:rPr>
        <w:t>policies selected and applied in these financial statements ensure that</w:t>
      </w:r>
      <w:r w:rsidRPr="00EB2BD8">
        <w:rPr>
          <w:rFonts w:ascii="Arial"/>
          <w:spacing w:val="-7"/>
          <w:w w:val="105"/>
          <w:sz w:val="16"/>
        </w:rPr>
        <w:t xml:space="preserve"> </w:t>
      </w:r>
      <w:r w:rsidRPr="00EB2BD8">
        <w:rPr>
          <w:rFonts w:ascii="Arial"/>
          <w:w w:val="105"/>
          <w:sz w:val="16"/>
        </w:rPr>
        <w:t>the</w:t>
      </w:r>
      <w:r w:rsidRPr="00EB2BD8">
        <w:rPr>
          <w:rFonts w:ascii="Arial"/>
          <w:spacing w:val="-8"/>
          <w:w w:val="105"/>
          <w:sz w:val="16"/>
        </w:rPr>
        <w:t xml:space="preserve"> </w:t>
      </w:r>
      <w:r w:rsidRPr="00EB2BD8">
        <w:rPr>
          <w:rFonts w:ascii="Arial"/>
          <w:w w:val="105"/>
          <w:sz w:val="16"/>
        </w:rPr>
        <w:t>resulting</w:t>
      </w:r>
      <w:r w:rsidRPr="00EB2BD8">
        <w:rPr>
          <w:rFonts w:ascii="Arial"/>
          <w:spacing w:val="-8"/>
          <w:w w:val="105"/>
          <w:sz w:val="16"/>
        </w:rPr>
        <w:t xml:space="preserve"> </w:t>
      </w:r>
      <w:r w:rsidRPr="00EB2BD8">
        <w:rPr>
          <w:rFonts w:ascii="Arial"/>
          <w:w w:val="105"/>
          <w:sz w:val="16"/>
        </w:rPr>
        <w:t>financial</w:t>
      </w:r>
      <w:r w:rsidRPr="00EB2BD8">
        <w:rPr>
          <w:rFonts w:ascii="Arial"/>
          <w:spacing w:val="-8"/>
          <w:w w:val="105"/>
          <w:sz w:val="16"/>
        </w:rPr>
        <w:t xml:space="preserve"> </w:t>
      </w:r>
      <w:r w:rsidRPr="00EB2BD8">
        <w:rPr>
          <w:rFonts w:ascii="Arial"/>
          <w:w w:val="105"/>
          <w:sz w:val="16"/>
        </w:rPr>
        <w:t>information</w:t>
      </w:r>
      <w:r w:rsidRPr="00EB2BD8">
        <w:rPr>
          <w:rFonts w:ascii="Arial"/>
          <w:spacing w:val="-8"/>
          <w:w w:val="105"/>
          <w:sz w:val="16"/>
        </w:rPr>
        <w:t xml:space="preserve"> </w:t>
      </w:r>
      <w:r w:rsidRPr="00EB2BD8">
        <w:rPr>
          <w:rFonts w:ascii="Arial"/>
          <w:w w:val="105"/>
          <w:sz w:val="16"/>
        </w:rPr>
        <w:t>satisfies</w:t>
      </w:r>
      <w:r w:rsidRPr="00EB2BD8">
        <w:rPr>
          <w:rFonts w:ascii="Arial"/>
          <w:spacing w:val="-7"/>
          <w:w w:val="105"/>
          <w:sz w:val="16"/>
        </w:rPr>
        <w:t xml:space="preserve"> </w:t>
      </w:r>
      <w:r w:rsidRPr="00EB2BD8">
        <w:rPr>
          <w:rFonts w:ascii="Arial"/>
          <w:w w:val="105"/>
          <w:sz w:val="16"/>
        </w:rPr>
        <w:t>the</w:t>
      </w:r>
      <w:r w:rsidRPr="00EB2BD8">
        <w:rPr>
          <w:rFonts w:ascii="Arial"/>
          <w:spacing w:val="-8"/>
          <w:w w:val="105"/>
          <w:sz w:val="16"/>
        </w:rPr>
        <w:t xml:space="preserve"> </w:t>
      </w:r>
      <w:r w:rsidRPr="00EB2BD8">
        <w:rPr>
          <w:rFonts w:ascii="Arial"/>
          <w:w w:val="105"/>
          <w:sz w:val="16"/>
        </w:rPr>
        <w:t xml:space="preserve">concepts of relevance and reliability, thereby ensuring that the substance of the underlying transactions or other events is </w:t>
      </w:r>
      <w:r w:rsidRPr="00EB2BD8">
        <w:rPr>
          <w:rFonts w:ascii="Arial"/>
          <w:spacing w:val="-2"/>
          <w:w w:val="105"/>
          <w:sz w:val="16"/>
        </w:rPr>
        <w:t>reported.</w:t>
      </w:r>
    </w:p>
    <w:p w14:paraId="7642811D" w14:textId="77777777" w:rsidR="00084F36" w:rsidRPr="00EB2BD8" w:rsidRDefault="00084F36">
      <w:pPr>
        <w:pStyle w:val="BodyText"/>
        <w:spacing w:before="4"/>
        <w:rPr>
          <w:rFonts w:ascii="Arial"/>
          <w:sz w:val="19"/>
        </w:rPr>
      </w:pPr>
    </w:p>
    <w:p w14:paraId="706024A7" w14:textId="77777777" w:rsidR="00084F36" w:rsidRPr="00EB2BD8" w:rsidRDefault="00EB2BD8">
      <w:pPr>
        <w:spacing w:line="288" w:lineRule="auto"/>
        <w:ind w:left="1115"/>
        <w:rPr>
          <w:rFonts w:ascii="Arial"/>
          <w:sz w:val="16"/>
        </w:rPr>
      </w:pPr>
      <w:r w:rsidRPr="00EB2BD8">
        <w:rPr>
          <w:rFonts w:ascii="Arial"/>
          <w:w w:val="105"/>
          <w:sz w:val="16"/>
        </w:rPr>
        <w:t>To gain a better understanding of the terminology used in these</w:t>
      </w:r>
      <w:r w:rsidRPr="00EB2BD8">
        <w:rPr>
          <w:rFonts w:ascii="Arial"/>
          <w:spacing w:val="-9"/>
          <w:w w:val="105"/>
          <w:sz w:val="16"/>
        </w:rPr>
        <w:t xml:space="preserve"> </w:t>
      </w:r>
      <w:r w:rsidRPr="00EB2BD8">
        <w:rPr>
          <w:rFonts w:ascii="Arial"/>
          <w:w w:val="105"/>
          <w:sz w:val="16"/>
        </w:rPr>
        <w:t>financial</w:t>
      </w:r>
      <w:r w:rsidRPr="00EB2BD8">
        <w:rPr>
          <w:rFonts w:ascii="Arial"/>
          <w:spacing w:val="-8"/>
          <w:w w:val="105"/>
          <w:sz w:val="16"/>
        </w:rPr>
        <w:t xml:space="preserve"> </w:t>
      </w:r>
      <w:r w:rsidRPr="00EB2BD8">
        <w:rPr>
          <w:rFonts w:ascii="Arial"/>
          <w:w w:val="105"/>
          <w:sz w:val="16"/>
        </w:rPr>
        <w:t>statements,</w:t>
      </w:r>
      <w:r w:rsidRPr="00EB2BD8">
        <w:rPr>
          <w:rFonts w:ascii="Arial"/>
          <w:spacing w:val="-8"/>
          <w:w w:val="105"/>
          <w:sz w:val="16"/>
        </w:rPr>
        <w:t xml:space="preserve"> </w:t>
      </w:r>
      <w:r w:rsidRPr="00EB2BD8">
        <w:rPr>
          <w:rFonts w:ascii="Arial"/>
          <w:w w:val="105"/>
          <w:sz w:val="16"/>
        </w:rPr>
        <w:t>a</w:t>
      </w:r>
      <w:r w:rsidRPr="00EB2BD8">
        <w:rPr>
          <w:rFonts w:ascii="Arial"/>
          <w:spacing w:val="-9"/>
          <w:w w:val="105"/>
          <w:sz w:val="16"/>
        </w:rPr>
        <w:t xml:space="preserve"> </w:t>
      </w:r>
      <w:r w:rsidRPr="00EB2BD8">
        <w:rPr>
          <w:rFonts w:ascii="Arial"/>
          <w:w w:val="105"/>
          <w:sz w:val="16"/>
        </w:rPr>
        <w:t>glossary</w:t>
      </w:r>
      <w:r w:rsidRPr="00EB2BD8">
        <w:rPr>
          <w:rFonts w:ascii="Arial"/>
          <w:spacing w:val="-8"/>
          <w:w w:val="105"/>
          <w:sz w:val="16"/>
        </w:rPr>
        <w:t xml:space="preserve"> </w:t>
      </w:r>
      <w:r w:rsidRPr="00EB2BD8">
        <w:rPr>
          <w:rFonts w:ascii="Arial"/>
          <w:w w:val="105"/>
          <w:sz w:val="16"/>
        </w:rPr>
        <w:t>of</w:t>
      </w:r>
      <w:r w:rsidRPr="00EB2BD8">
        <w:rPr>
          <w:rFonts w:ascii="Arial"/>
          <w:spacing w:val="-8"/>
          <w:w w:val="105"/>
          <w:sz w:val="16"/>
        </w:rPr>
        <w:t xml:space="preserve"> </w:t>
      </w:r>
      <w:r w:rsidRPr="00EB2BD8">
        <w:rPr>
          <w:rFonts w:ascii="Arial"/>
          <w:w w:val="105"/>
          <w:sz w:val="16"/>
        </w:rPr>
        <w:t>technical</w:t>
      </w:r>
      <w:r w:rsidRPr="00EB2BD8">
        <w:rPr>
          <w:rFonts w:ascii="Arial"/>
          <w:spacing w:val="-9"/>
          <w:w w:val="105"/>
          <w:sz w:val="16"/>
        </w:rPr>
        <w:t xml:space="preserve"> </w:t>
      </w:r>
      <w:r w:rsidRPr="00EB2BD8">
        <w:rPr>
          <w:rFonts w:ascii="Arial"/>
          <w:w w:val="105"/>
          <w:sz w:val="16"/>
        </w:rPr>
        <w:t>terms</w:t>
      </w:r>
      <w:r w:rsidRPr="00EB2BD8">
        <w:rPr>
          <w:rFonts w:ascii="Arial"/>
          <w:spacing w:val="-8"/>
          <w:w w:val="105"/>
          <w:sz w:val="16"/>
        </w:rPr>
        <w:t xml:space="preserve"> </w:t>
      </w:r>
      <w:r w:rsidRPr="00EB2BD8">
        <w:rPr>
          <w:rFonts w:ascii="Arial"/>
          <w:w w:val="105"/>
          <w:sz w:val="16"/>
        </w:rPr>
        <w:t>and style conventions can be found in notes 8.11 and 8.12.</w:t>
      </w:r>
    </w:p>
    <w:p w14:paraId="336B02E5" w14:textId="77777777" w:rsidR="00084F36" w:rsidRPr="00EB2BD8" w:rsidRDefault="00084F36">
      <w:pPr>
        <w:pStyle w:val="BodyText"/>
        <w:spacing w:before="3"/>
        <w:rPr>
          <w:rFonts w:ascii="Arial"/>
          <w:sz w:val="19"/>
        </w:rPr>
      </w:pPr>
    </w:p>
    <w:p w14:paraId="2B5AD825" w14:textId="77777777" w:rsidR="00084F36" w:rsidRPr="00EB2BD8" w:rsidRDefault="00EB2BD8">
      <w:pPr>
        <w:spacing w:line="288" w:lineRule="auto"/>
        <w:ind w:left="1115"/>
        <w:rPr>
          <w:rFonts w:ascii="Arial" w:hAnsi="Arial"/>
          <w:sz w:val="16"/>
        </w:rPr>
      </w:pPr>
      <w:r w:rsidRPr="00EB2BD8">
        <w:rPr>
          <w:rFonts w:ascii="Arial" w:hAnsi="Arial"/>
          <w:w w:val="105"/>
          <w:sz w:val="16"/>
        </w:rPr>
        <w:t>These</w:t>
      </w:r>
      <w:r w:rsidRPr="00EB2BD8">
        <w:rPr>
          <w:rFonts w:ascii="Arial" w:hAnsi="Arial"/>
          <w:spacing w:val="-10"/>
          <w:w w:val="105"/>
          <w:sz w:val="16"/>
        </w:rPr>
        <w:t xml:space="preserve"> </w:t>
      </w:r>
      <w:r w:rsidRPr="00EB2BD8">
        <w:rPr>
          <w:rFonts w:ascii="Arial" w:hAnsi="Arial"/>
          <w:w w:val="105"/>
          <w:sz w:val="16"/>
        </w:rPr>
        <w:t>annual</w:t>
      </w:r>
      <w:r w:rsidRPr="00EB2BD8">
        <w:rPr>
          <w:rFonts w:ascii="Arial" w:hAnsi="Arial"/>
          <w:spacing w:val="-10"/>
          <w:w w:val="105"/>
          <w:sz w:val="16"/>
        </w:rPr>
        <w:t xml:space="preserve"> </w:t>
      </w:r>
      <w:r w:rsidRPr="00EB2BD8">
        <w:rPr>
          <w:rFonts w:ascii="Arial" w:hAnsi="Arial"/>
          <w:w w:val="105"/>
          <w:sz w:val="16"/>
        </w:rPr>
        <w:t>financial</w:t>
      </w:r>
      <w:r w:rsidRPr="00EB2BD8">
        <w:rPr>
          <w:rFonts w:ascii="Arial" w:hAnsi="Arial"/>
          <w:spacing w:val="-10"/>
          <w:w w:val="105"/>
          <w:sz w:val="16"/>
        </w:rPr>
        <w:t xml:space="preserve"> </w:t>
      </w:r>
      <w:r w:rsidRPr="00EB2BD8">
        <w:rPr>
          <w:rFonts w:ascii="Arial" w:hAnsi="Arial"/>
          <w:w w:val="105"/>
          <w:sz w:val="16"/>
        </w:rPr>
        <w:t>statements</w:t>
      </w:r>
      <w:r w:rsidRPr="00EB2BD8">
        <w:rPr>
          <w:rFonts w:ascii="Arial" w:hAnsi="Arial"/>
          <w:spacing w:val="-9"/>
          <w:w w:val="105"/>
          <w:sz w:val="16"/>
        </w:rPr>
        <w:t xml:space="preserve"> </w:t>
      </w:r>
      <w:r w:rsidRPr="00EB2BD8">
        <w:rPr>
          <w:rFonts w:ascii="Arial" w:hAnsi="Arial"/>
          <w:w w:val="105"/>
          <w:sz w:val="16"/>
        </w:rPr>
        <w:t>were</w:t>
      </w:r>
      <w:r w:rsidRPr="00EB2BD8">
        <w:rPr>
          <w:rFonts w:ascii="Arial" w:hAnsi="Arial"/>
          <w:spacing w:val="-10"/>
          <w:w w:val="105"/>
          <w:sz w:val="16"/>
        </w:rPr>
        <w:t xml:space="preserve"> </w:t>
      </w:r>
      <w:r w:rsidRPr="00EB2BD8">
        <w:rPr>
          <w:rFonts w:ascii="Arial" w:hAnsi="Arial"/>
          <w:w w:val="105"/>
          <w:sz w:val="16"/>
        </w:rPr>
        <w:t>authorised</w:t>
      </w:r>
      <w:r w:rsidRPr="00EB2BD8">
        <w:rPr>
          <w:rFonts w:ascii="Arial" w:hAnsi="Arial"/>
          <w:spacing w:val="-10"/>
          <w:w w:val="105"/>
          <w:sz w:val="16"/>
        </w:rPr>
        <w:t xml:space="preserve"> </w:t>
      </w:r>
      <w:r w:rsidRPr="00EB2BD8">
        <w:rPr>
          <w:rFonts w:ascii="Arial" w:hAnsi="Arial"/>
          <w:w w:val="105"/>
          <w:sz w:val="16"/>
        </w:rPr>
        <w:t>for</w:t>
      </w:r>
      <w:r w:rsidRPr="00EB2BD8">
        <w:rPr>
          <w:rFonts w:ascii="Arial" w:hAnsi="Arial"/>
          <w:spacing w:val="-9"/>
          <w:w w:val="105"/>
          <w:sz w:val="16"/>
        </w:rPr>
        <w:t xml:space="preserve"> </w:t>
      </w:r>
      <w:r w:rsidRPr="00EB2BD8">
        <w:rPr>
          <w:rFonts w:ascii="Arial" w:hAnsi="Arial"/>
          <w:w w:val="105"/>
          <w:sz w:val="16"/>
        </w:rPr>
        <w:t>issue by the VBA’s Chief Commissioner, Chief Executive Officer and</w:t>
      </w:r>
      <w:r w:rsidRPr="00EB2BD8">
        <w:rPr>
          <w:rFonts w:ascii="Arial" w:hAnsi="Arial"/>
          <w:spacing w:val="-5"/>
          <w:w w:val="105"/>
          <w:sz w:val="16"/>
        </w:rPr>
        <w:t xml:space="preserve"> </w:t>
      </w:r>
      <w:r w:rsidRPr="00EB2BD8">
        <w:rPr>
          <w:rFonts w:ascii="Arial" w:hAnsi="Arial"/>
          <w:w w:val="105"/>
          <w:sz w:val="16"/>
        </w:rPr>
        <w:t>Chief</w:t>
      </w:r>
      <w:r w:rsidRPr="00EB2BD8">
        <w:rPr>
          <w:rFonts w:ascii="Arial" w:hAnsi="Arial"/>
          <w:spacing w:val="-4"/>
          <w:w w:val="105"/>
          <w:sz w:val="16"/>
        </w:rPr>
        <w:t xml:space="preserve"> </w:t>
      </w:r>
      <w:r w:rsidRPr="00EB2BD8">
        <w:rPr>
          <w:rFonts w:ascii="Arial" w:hAnsi="Arial"/>
          <w:w w:val="105"/>
          <w:sz w:val="16"/>
        </w:rPr>
        <w:t>Finance</w:t>
      </w:r>
      <w:r w:rsidRPr="00EB2BD8">
        <w:rPr>
          <w:rFonts w:ascii="Arial" w:hAnsi="Arial"/>
          <w:spacing w:val="-5"/>
          <w:w w:val="105"/>
          <w:sz w:val="16"/>
        </w:rPr>
        <w:t xml:space="preserve"> </w:t>
      </w:r>
      <w:r w:rsidRPr="00EB2BD8">
        <w:rPr>
          <w:rFonts w:ascii="Arial" w:hAnsi="Arial"/>
          <w:w w:val="105"/>
          <w:sz w:val="16"/>
        </w:rPr>
        <w:t>Officer</w:t>
      </w:r>
      <w:r w:rsidRPr="00EB2BD8">
        <w:rPr>
          <w:rFonts w:ascii="Arial" w:hAnsi="Arial"/>
          <w:spacing w:val="-4"/>
          <w:w w:val="105"/>
          <w:sz w:val="16"/>
        </w:rPr>
        <w:t xml:space="preserve"> </w:t>
      </w:r>
      <w:r w:rsidRPr="00EB2BD8">
        <w:rPr>
          <w:rFonts w:ascii="Arial" w:hAnsi="Arial"/>
          <w:w w:val="105"/>
          <w:sz w:val="16"/>
        </w:rPr>
        <w:t>on</w:t>
      </w:r>
      <w:r w:rsidRPr="00EB2BD8">
        <w:rPr>
          <w:rFonts w:ascii="Arial" w:hAnsi="Arial"/>
          <w:spacing w:val="-5"/>
          <w:w w:val="105"/>
          <w:sz w:val="16"/>
        </w:rPr>
        <w:t xml:space="preserve"> </w:t>
      </w:r>
      <w:r w:rsidRPr="00EB2BD8">
        <w:rPr>
          <w:rFonts w:ascii="Arial" w:hAnsi="Arial"/>
          <w:w w:val="105"/>
          <w:sz w:val="16"/>
        </w:rPr>
        <w:t>behalf</w:t>
      </w:r>
      <w:r w:rsidRPr="00EB2BD8">
        <w:rPr>
          <w:rFonts w:ascii="Arial" w:hAnsi="Arial"/>
          <w:spacing w:val="-4"/>
          <w:w w:val="105"/>
          <w:sz w:val="16"/>
        </w:rPr>
        <w:t xml:space="preserve"> </w:t>
      </w:r>
      <w:r w:rsidRPr="00EB2BD8">
        <w:rPr>
          <w:rFonts w:ascii="Arial" w:hAnsi="Arial"/>
          <w:w w:val="105"/>
          <w:sz w:val="16"/>
        </w:rPr>
        <w:t>of</w:t>
      </w:r>
      <w:r w:rsidRPr="00EB2BD8">
        <w:rPr>
          <w:rFonts w:ascii="Arial" w:hAnsi="Arial"/>
          <w:spacing w:val="-4"/>
          <w:w w:val="105"/>
          <w:sz w:val="16"/>
        </w:rPr>
        <w:t xml:space="preserve"> </w:t>
      </w: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w w:val="105"/>
          <w:sz w:val="16"/>
        </w:rPr>
        <w:t>Board</w:t>
      </w:r>
      <w:r w:rsidRPr="00EB2BD8">
        <w:rPr>
          <w:rFonts w:ascii="Arial" w:hAnsi="Arial"/>
          <w:spacing w:val="-5"/>
          <w:w w:val="105"/>
          <w:sz w:val="16"/>
        </w:rPr>
        <w:t xml:space="preserve"> </w:t>
      </w:r>
      <w:r w:rsidRPr="00EB2BD8">
        <w:rPr>
          <w:rFonts w:ascii="Arial" w:hAnsi="Arial"/>
          <w:w w:val="105"/>
          <w:sz w:val="16"/>
        </w:rPr>
        <w:t>of</w:t>
      </w:r>
      <w:r w:rsidRPr="00EB2BD8">
        <w:rPr>
          <w:rFonts w:ascii="Arial" w:hAnsi="Arial"/>
          <w:spacing w:val="-4"/>
          <w:w w:val="105"/>
          <w:sz w:val="16"/>
        </w:rPr>
        <w:t xml:space="preserve"> </w:t>
      </w: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w w:val="105"/>
          <w:sz w:val="16"/>
        </w:rPr>
        <w:t>VBA on 19 September 2023.</w:t>
      </w:r>
    </w:p>
    <w:p w14:paraId="5722CBD2" w14:textId="77777777" w:rsidR="00084F36" w:rsidRPr="00EB2BD8" w:rsidRDefault="00084F36">
      <w:pPr>
        <w:pStyle w:val="BodyText"/>
        <w:spacing w:before="6"/>
        <w:rPr>
          <w:rFonts w:ascii="Arial"/>
          <w:sz w:val="26"/>
        </w:rPr>
      </w:pPr>
    </w:p>
    <w:p w14:paraId="6CF222F5" w14:textId="7F0479E6" w:rsidR="00084F36" w:rsidRPr="00EB2BD8" w:rsidRDefault="005D2FBE" w:rsidP="005D2FBE">
      <w:pPr>
        <w:pStyle w:val="Heading2"/>
      </w:pPr>
      <w:r>
        <w:t xml:space="preserve">   </w:t>
      </w:r>
      <w:bookmarkStart w:id="260" w:name="_Toc150762562"/>
      <w:r w:rsidR="00EB2BD8" w:rsidRPr="00EB2BD8">
        <w:t>Basis</w:t>
      </w:r>
      <w:r w:rsidR="00EB2BD8" w:rsidRPr="00EB2BD8">
        <w:rPr>
          <w:spacing w:val="4"/>
        </w:rPr>
        <w:t xml:space="preserve"> </w:t>
      </w:r>
      <w:r w:rsidR="00EB2BD8" w:rsidRPr="00EB2BD8">
        <w:t>of</w:t>
      </w:r>
      <w:r w:rsidR="00EB2BD8" w:rsidRPr="00EB2BD8">
        <w:rPr>
          <w:spacing w:val="4"/>
        </w:rPr>
        <w:t xml:space="preserve"> </w:t>
      </w:r>
      <w:r w:rsidR="00EB2BD8" w:rsidRPr="00EB2BD8">
        <w:t>preparation</w:t>
      </w:r>
      <w:bookmarkEnd w:id="260"/>
    </w:p>
    <w:p w14:paraId="203411E2" w14:textId="77777777" w:rsidR="00084F36" w:rsidRPr="00EB2BD8" w:rsidRDefault="00EB2BD8">
      <w:pPr>
        <w:spacing w:before="154" w:line="288" w:lineRule="auto"/>
        <w:ind w:left="1115"/>
        <w:rPr>
          <w:rFonts w:ascii="Arial" w:hAnsi="Arial"/>
          <w:sz w:val="16"/>
        </w:rPr>
      </w:pPr>
      <w:r w:rsidRPr="00EB2BD8">
        <w:rPr>
          <w:rFonts w:ascii="Arial" w:hAnsi="Arial"/>
          <w:w w:val="105"/>
          <w:sz w:val="16"/>
        </w:rPr>
        <w:t>These financial statements are presented in Australian dollars and are prepared in accordance with the historical cost convention except for non</w:t>
      </w:r>
      <w:r w:rsidRPr="00EB2BD8">
        <w:rPr>
          <w:rFonts w:ascii="Cambria Math" w:hAnsi="Cambria Math"/>
          <w:w w:val="105"/>
          <w:sz w:val="16"/>
        </w:rPr>
        <w:t>‑</w:t>
      </w:r>
      <w:r w:rsidRPr="00EB2BD8">
        <w:rPr>
          <w:rFonts w:ascii="Arial" w:hAnsi="Arial"/>
          <w:w w:val="105"/>
          <w:sz w:val="16"/>
        </w:rPr>
        <w:t>financial physical assets which, subsequent to acquisition, are measured at a revalued amount being their fair value at the date of the revaluation</w:t>
      </w:r>
      <w:r w:rsidRPr="00EB2BD8">
        <w:rPr>
          <w:rFonts w:ascii="Arial" w:hAnsi="Arial"/>
          <w:spacing w:val="-12"/>
          <w:w w:val="105"/>
          <w:sz w:val="16"/>
        </w:rPr>
        <w:t xml:space="preserve"> </w:t>
      </w:r>
      <w:r w:rsidRPr="00EB2BD8">
        <w:rPr>
          <w:rFonts w:ascii="Arial" w:hAnsi="Arial"/>
          <w:w w:val="105"/>
          <w:sz w:val="16"/>
        </w:rPr>
        <w:t>less</w:t>
      </w:r>
      <w:r w:rsidRPr="00EB2BD8">
        <w:rPr>
          <w:rFonts w:ascii="Arial" w:hAnsi="Arial"/>
          <w:spacing w:val="-12"/>
          <w:w w:val="105"/>
          <w:sz w:val="16"/>
        </w:rPr>
        <w:t xml:space="preserve"> </w:t>
      </w:r>
      <w:r w:rsidRPr="00EB2BD8">
        <w:rPr>
          <w:rFonts w:ascii="Arial" w:hAnsi="Arial"/>
          <w:w w:val="105"/>
          <w:sz w:val="16"/>
        </w:rPr>
        <w:t>any</w:t>
      </w:r>
      <w:r w:rsidRPr="00EB2BD8">
        <w:rPr>
          <w:rFonts w:ascii="Arial" w:hAnsi="Arial"/>
          <w:spacing w:val="-11"/>
          <w:w w:val="105"/>
          <w:sz w:val="16"/>
        </w:rPr>
        <w:t xml:space="preserve"> </w:t>
      </w:r>
      <w:r w:rsidRPr="00EB2BD8">
        <w:rPr>
          <w:rFonts w:ascii="Arial" w:hAnsi="Arial"/>
          <w:w w:val="105"/>
          <w:sz w:val="16"/>
        </w:rPr>
        <w:t>subsequent</w:t>
      </w:r>
      <w:r w:rsidRPr="00EB2BD8">
        <w:rPr>
          <w:rFonts w:ascii="Arial" w:hAnsi="Arial"/>
          <w:spacing w:val="-12"/>
          <w:w w:val="105"/>
          <w:sz w:val="16"/>
        </w:rPr>
        <w:t xml:space="preserve"> </w:t>
      </w:r>
      <w:r w:rsidRPr="00EB2BD8">
        <w:rPr>
          <w:rFonts w:ascii="Arial" w:hAnsi="Arial"/>
          <w:w w:val="105"/>
          <w:sz w:val="16"/>
        </w:rPr>
        <w:t>accumulated</w:t>
      </w:r>
      <w:r w:rsidRPr="00EB2BD8">
        <w:rPr>
          <w:rFonts w:ascii="Arial" w:hAnsi="Arial"/>
          <w:spacing w:val="-12"/>
          <w:w w:val="105"/>
          <w:sz w:val="16"/>
        </w:rPr>
        <w:t xml:space="preserve"> </w:t>
      </w:r>
      <w:r w:rsidRPr="00EB2BD8">
        <w:rPr>
          <w:rFonts w:ascii="Arial" w:hAnsi="Arial"/>
          <w:w w:val="105"/>
          <w:sz w:val="16"/>
        </w:rPr>
        <w:t>depreciation</w:t>
      </w:r>
    </w:p>
    <w:p w14:paraId="089ECEC4" w14:textId="77777777" w:rsidR="00084F36" w:rsidRPr="00EB2BD8" w:rsidRDefault="00EB2BD8">
      <w:pPr>
        <w:spacing w:before="101" w:line="288" w:lineRule="auto"/>
        <w:ind w:left="335" w:right="1537"/>
        <w:jc w:val="both"/>
        <w:rPr>
          <w:rFonts w:ascii="Arial"/>
          <w:sz w:val="16"/>
        </w:rPr>
      </w:pPr>
      <w:r w:rsidRPr="00EB2BD8">
        <w:br w:type="column"/>
      </w:r>
      <w:r w:rsidRPr="00EB2BD8">
        <w:rPr>
          <w:rFonts w:ascii="Arial"/>
          <w:w w:val="105"/>
          <w:sz w:val="16"/>
        </w:rPr>
        <w:t>and</w:t>
      </w:r>
      <w:r w:rsidRPr="00EB2BD8">
        <w:rPr>
          <w:rFonts w:ascii="Arial"/>
          <w:spacing w:val="-8"/>
          <w:w w:val="105"/>
          <w:sz w:val="16"/>
        </w:rPr>
        <w:t xml:space="preserve"> </w:t>
      </w:r>
      <w:r w:rsidRPr="00EB2BD8">
        <w:rPr>
          <w:rFonts w:ascii="Arial"/>
          <w:w w:val="105"/>
          <w:sz w:val="16"/>
        </w:rPr>
        <w:t>subsequent</w:t>
      </w:r>
      <w:r w:rsidRPr="00EB2BD8">
        <w:rPr>
          <w:rFonts w:ascii="Arial"/>
          <w:spacing w:val="-7"/>
          <w:w w:val="105"/>
          <w:sz w:val="16"/>
        </w:rPr>
        <w:t xml:space="preserve"> </w:t>
      </w:r>
      <w:r w:rsidRPr="00EB2BD8">
        <w:rPr>
          <w:rFonts w:ascii="Arial"/>
          <w:w w:val="105"/>
          <w:sz w:val="16"/>
        </w:rPr>
        <w:t>impairment</w:t>
      </w:r>
      <w:r w:rsidRPr="00EB2BD8">
        <w:rPr>
          <w:rFonts w:ascii="Arial"/>
          <w:spacing w:val="-7"/>
          <w:w w:val="105"/>
          <w:sz w:val="16"/>
        </w:rPr>
        <w:t xml:space="preserve"> </w:t>
      </w:r>
      <w:r w:rsidRPr="00EB2BD8">
        <w:rPr>
          <w:rFonts w:ascii="Arial"/>
          <w:w w:val="105"/>
          <w:sz w:val="16"/>
        </w:rPr>
        <w:t>losses.</w:t>
      </w:r>
      <w:r w:rsidRPr="00EB2BD8">
        <w:rPr>
          <w:rFonts w:ascii="Arial"/>
          <w:spacing w:val="-7"/>
          <w:w w:val="105"/>
          <w:sz w:val="16"/>
        </w:rPr>
        <w:t xml:space="preserve"> </w:t>
      </w:r>
      <w:r w:rsidRPr="00EB2BD8">
        <w:rPr>
          <w:rFonts w:ascii="Arial"/>
          <w:w w:val="105"/>
          <w:sz w:val="16"/>
        </w:rPr>
        <w:t>Revaluations</w:t>
      </w:r>
      <w:r w:rsidRPr="00EB2BD8">
        <w:rPr>
          <w:rFonts w:ascii="Arial"/>
          <w:spacing w:val="-7"/>
          <w:w w:val="105"/>
          <w:sz w:val="16"/>
        </w:rPr>
        <w:t xml:space="preserve"> </w:t>
      </w:r>
      <w:r w:rsidRPr="00EB2BD8">
        <w:rPr>
          <w:rFonts w:ascii="Arial"/>
          <w:w w:val="105"/>
          <w:sz w:val="16"/>
        </w:rPr>
        <w:t>are</w:t>
      </w:r>
      <w:r w:rsidRPr="00EB2BD8">
        <w:rPr>
          <w:rFonts w:ascii="Arial"/>
          <w:spacing w:val="-8"/>
          <w:w w:val="105"/>
          <w:sz w:val="16"/>
        </w:rPr>
        <w:t xml:space="preserve"> </w:t>
      </w:r>
      <w:r w:rsidRPr="00EB2BD8">
        <w:rPr>
          <w:rFonts w:ascii="Arial"/>
          <w:w w:val="105"/>
          <w:sz w:val="16"/>
        </w:rPr>
        <w:t>made with</w:t>
      </w:r>
      <w:r w:rsidRPr="00EB2BD8">
        <w:rPr>
          <w:rFonts w:ascii="Arial"/>
          <w:spacing w:val="-8"/>
          <w:w w:val="105"/>
          <w:sz w:val="16"/>
        </w:rPr>
        <w:t xml:space="preserve"> </w:t>
      </w:r>
      <w:r w:rsidRPr="00EB2BD8">
        <w:rPr>
          <w:rFonts w:ascii="Arial"/>
          <w:w w:val="105"/>
          <w:sz w:val="16"/>
        </w:rPr>
        <w:t>sufficient</w:t>
      </w:r>
      <w:r w:rsidRPr="00EB2BD8">
        <w:rPr>
          <w:rFonts w:ascii="Arial"/>
          <w:spacing w:val="-7"/>
          <w:w w:val="105"/>
          <w:sz w:val="16"/>
        </w:rPr>
        <w:t xml:space="preserve"> </w:t>
      </w:r>
      <w:r w:rsidRPr="00EB2BD8">
        <w:rPr>
          <w:rFonts w:ascii="Arial"/>
          <w:w w:val="105"/>
          <w:sz w:val="16"/>
        </w:rPr>
        <w:t>regularity</w:t>
      </w:r>
      <w:r w:rsidRPr="00EB2BD8">
        <w:rPr>
          <w:rFonts w:ascii="Arial"/>
          <w:spacing w:val="-7"/>
          <w:w w:val="105"/>
          <w:sz w:val="16"/>
        </w:rPr>
        <w:t xml:space="preserve"> </w:t>
      </w:r>
      <w:r w:rsidRPr="00EB2BD8">
        <w:rPr>
          <w:rFonts w:ascii="Arial"/>
          <w:w w:val="105"/>
          <w:sz w:val="16"/>
        </w:rPr>
        <w:t>to</w:t>
      </w:r>
      <w:r w:rsidRPr="00EB2BD8">
        <w:rPr>
          <w:rFonts w:ascii="Arial"/>
          <w:spacing w:val="-8"/>
          <w:w w:val="105"/>
          <w:sz w:val="16"/>
        </w:rPr>
        <w:t xml:space="preserve"> </w:t>
      </w:r>
      <w:r w:rsidRPr="00EB2BD8">
        <w:rPr>
          <w:rFonts w:ascii="Arial"/>
          <w:w w:val="105"/>
          <w:sz w:val="16"/>
        </w:rPr>
        <w:t>ensure</w:t>
      </w:r>
      <w:r w:rsidRPr="00EB2BD8">
        <w:rPr>
          <w:rFonts w:ascii="Arial"/>
          <w:spacing w:val="-8"/>
          <w:w w:val="105"/>
          <w:sz w:val="16"/>
        </w:rPr>
        <w:t xml:space="preserve"> </w:t>
      </w:r>
      <w:r w:rsidRPr="00EB2BD8">
        <w:rPr>
          <w:rFonts w:ascii="Arial"/>
          <w:w w:val="105"/>
          <w:sz w:val="16"/>
        </w:rPr>
        <w:t>that</w:t>
      </w:r>
      <w:r w:rsidRPr="00EB2BD8">
        <w:rPr>
          <w:rFonts w:ascii="Arial"/>
          <w:spacing w:val="-7"/>
          <w:w w:val="105"/>
          <w:sz w:val="16"/>
        </w:rPr>
        <w:t xml:space="preserve"> </w:t>
      </w:r>
      <w:r w:rsidRPr="00EB2BD8">
        <w:rPr>
          <w:rFonts w:ascii="Arial"/>
          <w:w w:val="105"/>
          <w:sz w:val="16"/>
        </w:rPr>
        <w:t>the</w:t>
      </w:r>
      <w:r w:rsidRPr="00EB2BD8">
        <w:rPr>
          <w:rFonts w:ascii="Arial"/>
          <w:spacing w:val="-8"/>
          <w:w w:val="105"/>
          <w:sz w:val="16"/>
        </w:rPr>
        <w:t xml:space="preserve"> </w:t>
      </w:r>
      <w:r w:rsidRPr="00EB2BD8">
        <w:rPr>
          <w:rFonts w:ascii="Arial"/>
          <w:w w:val="105"/>
          <w:sz w:val="16"/>
        </w:rPr>
        <w:t>carrying</w:t>
      </w:r>
      <w:r w:rsidRPr="00EB2BD8">
        <w:rPr>
          <w:rFonts w:ascii="Arial"/>
          <w:spacing w:val="-8"/>
          <w:w w:val="105"/>
          <w:sz w:val="16"/>
        </w:rPr>
        <w:t xml:space="preserve"> </w:t>
      </w:r>
      <w:r w:rsidRPr="00EB2BD8">
        <w:rPr>
          <w:rFonts w:ascii="Arial"/>
          <w:w w:val="105"/>
          <w:sz w:val="16"/>
        </w:rPr>
        <w:t>amounts do not materially differ from their fair value.</w:t>
      </w:r>
    </w:p>
    <w:p w14:paraId="4F6EE981" w14:textId="77777777" w:rsidR="00084F36" w:rsidRPr="00EB2BD8" w:rsidRDefault="00084F36">
      <w:pPr>
        <w:pStyle w:val="BodyText"/>
        <w:spacing w:before="3"/>
        <w:rPr>
          <w:rFonts w:ascii="Arial"/>
          <w:sz w:val="19"/>
        </w:rPr>
      </w:pPr>
    </w:p>
    <w:p w14:paraId="6D00CB75" w14:textId="77777777" w:rsidR="00084F36" w:rsidRPr="00EB2BD8" w:rsidRDefault="00EB2BD8">
      <w:pPr>
        <w:spacing w:before="1" w:line="288" w:lineRule="auto"/>
        <w:ind w:left="335" w:right="1499"/>
        <w:rPr>
          <w:rFonts w:ascii="Arial"/>
          <w:sz w:val="16"/>
        </w:rPr>
      </w:pPr>
      <w:r w:rsidRPr="00EB2BD8">
        <w:rPr>
          <w:rFonts w:ascii="Arial"/>
          <w:w w:val="105"/>
          <w:sz w:val="16"/>
        </w:rPr>
        <w:t>The accrual basis of accounting has been applied in the preparation of these financial statements, whereby assets, liabilities, equity, income and expenses are recognised in the</w:t>
      </w:r>
      <w:r w:rsidRPr="00EB2BD8">
        <w:rPr>
          <w:rFonts w:ascii="Arial"/>
          <w:spacing w:val="-7"/>
          <w:w w:val="105"/>
          <w:sz w:val="16"/>
        </w:rPr>
        <w:t xml:space="preserve"> </w:t>
      </w:r>
      <w:r w:rsidRPr="00EB2BD8">
        <w:rPr>
          <w:rFonts w:ascii="Arial"/>
          <w:w w:val="105"/>
          <w:sz w:val="16"/>
        </w:rPr>
        <w:t>reporting</w:t>
      </w:r>
      <w:r w:rsidRPr="00EB2BD8">
        <w:rPr>
          <w:rFonts w:ascii="Arial"/>
          <w:spacing w:val="-7"/>
          <w:w w:val="105"/>
          <w:sz w:val="16"/>
        </w:rPr>
        <w:t xml:space="preserve"> </w:t>
      </w:r>
      <w:r w:rsidRPr="00EB2BD8">
        <w:rPr>
          <w:rFonts w:ascii="Arial"/>
          <w:w w:val="105"/>
          <w:sz w:val="16"/>
        </w:rPr>
        <w:t>period</w:t>
      </w:r>
      <w:r w:rsidRPr="00EB2BD8">
        <w:rPr>
          <w:rFonts w:ascii="Arial"/>
          <w:spacing w:val="-7"/>
          <w:w w:val="105"/>
          <w:sz w:val="16"/>
        </w:rPr>
        <w:t xml:space="preserve"> </w:t>
      </w:r>
      <w:r w:rsidRPr="00EB2BD8">
        <w:rPr>
          <w:rFonts w:ascii="Arial"/>
          <w:w w:val="105"/>
          <w:sz w:val="16"/>
        </w:rPr>
        <w:t>to</w:t>
      </w:r>
      <w:r w:rsidRPr="00EB2BD8">
        <w:rPr>
          <w:rFonts w:ascii="Arial"/>
          <w:spacing w:val="-7"/>
          <w:w w:val="105"/>
          <w:sz w:val="16"/>
        </w:rPr>
        <w:t xml:space="preserve"> </w:t>
      </w:r>
      <w:r w:rsidRPr="00EB2BD8">
        <w:rPr>
          <w:rFonts w:ascii="Arial"/>
          <w:w w:val="105"/>
          <w:sz w:val="16"/>
        </w:rPr>
        <w:t>which</w:t>
      </w:r>
      <w:r w:rsidRPr="00EB2BD8">
        <w:rPr>
          <w:rFonts w:ascii="Arial"/>
          <w:spacing w:val="-7"/>
          <w:w w:val="105"/>
          <w:sz w:val="16"/>
        </w:rPr>
        <w:t xml:space="preserve"> </w:t>
      </w:r>
      <w:r w:rsidRPr="00EB2BD8">
        <w:rPr>
          <w:rFonts w:ascii="Arial"/>
          <w:w w:val="105"/>
          <w:sz w:val="16"/>
        </w:rPr>
        <w:t>they</w:t>
      </w:r>
      <w:r w:rsidRPr="00EB2BD8">
        <w:rPr>
          <w:rFonts w:ascii="Arial"/>
          <w:spacing w:val="-7"/>
          <w:w w:val="105"/>
          <w:sz w:val="16"/>
        </w:rPr>
        <w:t xml:space="preserve"> </w:t>
      </w:r>
      <w:r w:rsidRPr="00EB2BD8">
        <w:rPr>
          <w:rFonts w:ascii="Arial"/>
          <w:w w:val="105"/>
          <w:sz w:val="16"/>
        </w:rPr>
        <w:t>relate,</w:t>
      </w:r>
      <w:r w:rsidRPr="00EB2BD8">
        <w:rPr>
          <w:rFonts w:ascii="Arial"/>
          <w:spacing w:val="-7"/>
          <w:w w:val="105"/>
          <w:sz w:val="16"/>
        </w:rPr>
        <w:t xml:space="preserve"> </w:t>
      </w:r>
      <w:r w:rsidRPr="00EB2BD8">
        <w:rPr>
          <w:rFonts w:ascii="Arial"/>
          <w:w w:val="105"/>
          <w:sz w:val="16"/>
        </w:rPr>
        <w:t>regardless</w:t>
      </w:r>
      <w:r w:rsidRPr="00EB2BD8">
        <w:rPr>
          <w:rFonts w:ascii="Arial"/>
          <w:spacing w:val="-7"/>
          <w:w w:val="105"/>
          <w:sz w:val="16"/>
        </w:rPr>
        <w:t xml:space="preserve"> </w:t>
      </w:r>
      <w:r w:rsidRPr="00EB2BD8">
        <w:rPr>
          <w:rFonts w:ascii="Arial"/>
          <w:w w:val="105"/>
          <w:sz w:val="16"/>
        </w:rPr>
        <w:t>of</w:t>
      </w:r>
      <w:r w:rsidRPr="00EB2BD8">
        <w:rPr>
          <w:rFonts w:ascii="Arial"/>
          <w:spacing w:val="-7"/>
          <w:w w:val="105"/>
          <w:sz w:val="16"/>
        </w:rPr>
        <w:t xml:space="preserve"> </w:t>
      </w:r>
      <w:r w:rsidRPr="00EB2BD8">
        <w:rPr>
          <w:rFonts w:ascii="Arial"/>
          <w:w w:val="105"/>
          <w:sz w:val="16"/>
        </w:rPr>
        <w:t>when cash is received or paid.</w:t>
      </w:r>
    </w:p>
    <w:p w14:paraId="528A404A" w14:textId="77777777" w:rsidR="00084F36" w:rsidRPr="00EB2BD8" w:rsidRDefault="00084F36">
      <w:pPr>
        <w:pStyle w:val="BodyText"/>
        <w:spacing w:before="1"/>
        <w:rPr>
          <w:rFonts w:ascii="Arial"/>
          <w:sz w:val="17"/>
        </w:rPr>
      </w:pPr>
    </w:p>
    <w:p w14:paraId="1CD1293B" w14:textId="77777777" w:rsidR="00084F36" w:rsidRPr="00EB2BD8" w:rsidRDefault="00EB2BD8">
      <w:pPr>
        <w:spacing w:line="288" w:lineRule="auto"/>
        <w:ind w:left="335" w:right="1499"/>
        <w:rPr>
          <w:rFonts w:ascii="Arial"/>
          <w:sz w:val="16"/>
        </w:rPr>
      </w:pPr>
      <w:r w:rsidRPr="00EB2BD8">
        <w:rPr>
          <w:rFonts w:ascii="Arial"/>
          <w:w w:val="105"/>
          <w:sz w:val="16"/>
        </w:rPr>
        <w:t>Consistent with the requirements of AASB 1004 Contributions, contributions by owners (that is, contributed capital</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its</w:t>
      </w:r>
      <w:r w:rsidRPr="00EB2BD8">
        <w:rPr>
          <w:rFonts w:ascii="Arial"/>
          <w:spacing w:val="-5"/>
          <w:w w:val="105"/>
          <w:sz w:val="16"/>
        </w:rPr>
        <w:t xml:space="preserve"> </w:t>
      </w:r>
      <w:r w:rsidRPr="00EB2BD8">
        <w:rPr>
          <w:rFonts w:ascii="Arial"/>
          <w:w w:val="105"/>
          <w:sz w:val="16"/>
        </w:rPr>
        <w:t>repayment)</w:t>
      </w:r>
      <w:r w:rsidRPr="00EB2BD8">
        <w:rPr>
          <w:rFonts w:ascii="Arial"/>
          <w:spacing w:val="-5"/>
          <w:w w:val="105"/>
          <w:sz w:val="16"/>
        </w:rPr>
        <w:t xml:space="preserve"> </w:t>
      </w:r>
      <w:r w:rsidRPr="00EB2BD8">
        <w:rPr>
          <w:rFonts w:ascii="Arial"/>
          <w:w w:val="105"/>
          <w:sz w:val="16"/>
        </w:rPr>
        <w:t>are</w:t>
      </w:r>
      <w:r w:rsidRPr="00EB2BD8">
        <w:rPr>
          <w:rFonts w:ascii="Arial"/>
          <w:spacing w:val="-5"/>
          <w:w w:val="105"/>
          <w:sz w:val="16"/>
        </w:rPr>
        <w:t xml:space="preserve"> </w:t>
      </w:r>
      <w:r w:rsidRPr="00EB2BD8">
        <w:rPr>
          <w:rFonts w:ascii="Arial"/>
          <w:w w:val="105"/>
          <w:sz w:val="16"/>
        </w:rPr>
        <w:t>treated</w:t>
      </w:r>
      <w:r w:rsidRPr="00EB2BD8">
        <w:rPr>
          <w:rFonts w:ascii="Arial"/>
          <w:spacing w:val="-6"/>
          <w:w w:val="105"/>
          <w:sz w:val="16"/>
        </w:rPr>
        <w:t xml:space="preserve"> </w:t>
      </w:r>
      <w:r w:rsidRPr="00EB2BD8">
        <w:rPr>
          <w:rFonts w:ascii="Arial"/>
          <w:w w:val="105"/>
          <w:sz w:val="16"/>
        </w:rPr>
        <w:t>as</w:t>
      </w:r>
      <w:r w:rsidRPr="00EB2BD8">
        <w:rPr>
          <w:rFonts w:ascii="Arial"/>
          <w:spacing w:val="-5"/>
          <w:w w:val="105"/>
          <w:sz w:val="16"/>
        </w:rPr>
        <w:t xml:space="preserve"> </w:t>
      </w:r>
      <w:r w:rsidRPr="00EB2BD8">
        <w:rPr>
          <w:rFonts w:ascii="Arial"/>
          <w:w w:val="105"/>
          <w:sz w:val="16"/>
        </w:rPr>
        <w:t>equity</w:t>
      </w:r>
      <w:r w:rsidRPr="00EB2BD8">
        <w:rPr>
          <w:rFonts w:ascii="Arial"/>
          <w:spacing w:val="-5"/>
          <w:w w:val="105"/>
          <w:sz w:val="16"/>
        </w:rPr>
        <w:t xml:space="preserve"> </w:t>
      </w:r>
      <w:r w:rsidRPr="00EB2BD8">
        <w:rPr>
          <w:rFonts w:ascii="Arial"/>
          <w:w w:val="105"/>
          <w:sz w:val="16"/>
        </w:rPr>
        <w:t>transactions and,</w:t>
      </w:r>
      <w:r w:rsidRPr="00EB2BD8">
        <w:rPr>
          <w:rFonts w:ascii="Arial"/>
          <w:spacing w:val="-6"/>
          <w:w w:val="105"/>
          <w:sz w:val="16"/>
        </w:rPr>
        <w:t xml:space="preserve"> </w:t>
      </w:r>
      <w:r w:rsidRPr="00EB2BD8">
        <w:rPr>
          <w:rFonts w:ascii="Arial"/>
          <w:w w:val="105"/>
          <w:sz w:val="16"/>
        </w:rPr>
        <w:t>therefore,</w:t>
      </w:r>
      <w:r w:rsidRPr="00EB2BD8">
        <w:rPr>
          <w:rFonts w:ascii="Arial"/>
          <w:spacing w:val="-6"/>
          <w:w w:val="105"/>
          <w:sz w:val="16"/>
        </w:rPr>
        <w:t xml:space="preserve"> </w:t>
      </w:r>
      <w:r w:rsidRPr="00EB2BD8">
        <w:rPr>
          <w:rFonts w:ascii="Arial"/>
          <w:w w:val="105"/>
          <w:sz w:val="16"/>
        </w:rPr>
        <w:t>do</w:t>
      </w:r>
      <w:r w:rsidRPr="00EB2BD8">
        <w:rPr>
          <w:rFonts w:ascii="Arial"/>
          <w:spacing w:val="-7"/>
          <w:w w:val="105"/>
          <w:sz w:val="16"/>
        </w:rPr>
        <w:t xml:space="preserve"> </w:t>
      </w:r>
      <w:r w:rsidRPr="00EB2BD8">
        <w:rPr>
          <w:rFonts w:ascii="Arial"/>
          <w:w w:val="105"/>
          <w:sz w:val="16"/>
        </w:rPr>
        <w:t>not</w:t>
      </w:r>
      <w:r w:rsidRPr="00EB2BD8">
        <w:rPr>
          <w:rFonts w:ascii="Arial"/>
          <w:spacing w:val="-6"/>
          <w:w w:val="105"/>
          <w:sz w:val="16"/>
        </w:rPr>
        <w:t xml:space="preserve"> </w:t>
      </w:r>
      <w:r w:rsidRPr="00EB2BD8">
        <w:rPr>
          <w:rFonts w:ascii="Arial"/>
          <w:w w:val="105"/>
          <w:sz w:val="16"/>
        </w:rPr>
        <w:t>form</w:t>
      </w:r>
      <w:r w:rsidRPr="00EB2BD8">
        <w:rPr>
          <w:rFonts w:ascii="Arial"/>
          <w:spacing w:val="-6"/>
          <w:w w:val="105"/>
          <w:sz w:val="16"/>
        </w:rPr>
        <w:t xml:space="preserve"> </w:t>
      </w:r>
      <w:r w:rsidRPr="00EB2BD8">
        <w:rPr>
          <w:rFonts w:ascii="Arial"/>
          <w:w w:val="105"/>
          <w:sz w:val="16"/>
        </w:rPr>
        <w:t>part</w:t>
      </w:r>
      <w:r w:rsidRPr="00EB2BD8">
        <w:rPr>
          <w:rFonts w:ascii="Arial"/>
          <w:spacing w:val="-6"/>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income</w:t>
      </w:r>
      <w:r w:rsidRPr="00EB2BD8">
        <w:rPr>
          <w:rFonts w:ascii="Arial"/>
          <w:spacing w:val="-6"/>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expenses of the VBA.</w:t>
      </w:r>
    </w:p>
    <w:p w14:paraId="1F2787D0" w14:textId="77777777" w:rsidR="00084F36" w:rsidRPr="00EB2BD8" w:rsidRDefault="00084F36">
      <w:pPr>
        <w:pStyle w:val="BodyText"/>
        <w:spacing w:before="3"/>
        <w:rPr>
          <w:rFonts w:ascii="Arial"/>
          <w:sz w:val="19"/>
        </w:rPr>
      </w:pPr>
    </w:p>
    <w:p w14:paraId="4A920610" w14:textId="77777777" w:rsidR="00084F36" w:rsidRPr="00EB2BD8" w:rsidRDefault="00EB2BD8">
      <w:pPr>
        <w:spacing w:line="288" w:lineRule="auto"/>
        <w:ind w:left="335" w:right="1416"/>
        <w:rPr>
          <w:rFonts w:ascii="Arial"/>
          <w:sz w:val="16"/>
        </w:rPr>
      </w:pPr>
      <w:r w:rsidRPr="00EB2BD8">
        <w:rPr>
          <w:rFonts w:ascii="Arial"/>
          <w:w w:val="105"/>
          <w:sz w:val="16"/>
        </w:rPr>
        <w:t>Additions to net assets which have been designated as contributions by owners are recognised as contributed capital.</w:t>
      </w:r>
      <w:r w:rsidRPr="00EB2BD8">
        <w:rPr>
          <w:rFonts w:ascii="Arial"/>
          <w:spacing w:val="-7"/>
          <w:w w:val="105"/>
          <w:sz w:val="16"/>
        </w:rPr>
        <w:t xml:space="preserve"> </w:t>
      </w:r>
      <w:r w:rsidRPr="00EB2BD8">
        <w:rPr>
          <w:rFonts w:ascii="Arial"/>
          <w:w w:val="105"/>
          <w:sz w:val="16"/>
        </w:rPr>
        <w:t>Other</w:t>
      </w:r>
      <w:r w:rsidRPr="00EB2BD8">
        <w:rPr>
          <w:rFonts w:ascii="Arial"/>
          <w:spacing w:val="-7"/>
          <w:w w:val="105"/>
          <w:sz w:val="16"/>
        </w:rPr>
        <w:t xml:space="preserve"> </w:t>
      </w:r>
      <w:r w:rsidRPr="00EB2BD8">
        <w:rPr>
          <w:rFonts w:ascii="Arial"/>
          <w:w w:val="105"/>
          <w:sz w:val="16"/>
        </w:rPr>
        <w:t>transfers</w:t>
      </w:r>
      <w:r w:rsidRPr="00EB2BD8">
        <w:rPr>
          <w:rFonts w:ascii="Arial"/>
          <w:spacing w:val="-7"/>
          <w:w w:val="105"/>
          <w:sz w:val="16"/>
        </w:rPr>
        <w:t xml:space="preserve"> </w:t>
      </w:r>
      <w:r w:rsidRPr="00EB2BD8">
        <w:rPr>
          <w:rFonts w:ascii="Arial"/>
          <w:w w:val="105"/>
          <w:sz w:val="16"/>
        </w:rPr>
        <w:t>that</w:t>
      </w:r>
      <w:r w:rsidRPr="00EB2BD8">
        <w:rPr>
          <w:rFonts w:ascii="Arial"/>
          <w:spacing w:val="-7"/>
          <w:w w:val="105"/>
          <w:sz w:val="16"/>
        </w:rPr>
        <w:t xml:space="preserve"> </w:t>
      </w:r>
      <w:r w:rsidRPr="00EB2BD8">
        <w:rPr>
          <w:rFonts w:ascii="Arial"/>
          <w:w w:val="105"/>
          <w:sz w:val="16"/>
        </w:rPr>
        <w:t>are</w:t>
      </w:r>
      <w:r w:rsidRPr="00EB2BD8">
        <w:rPr>
          <w:rFonts w:ascii="Arial"/>
          <w:spacing w:val="-8"/>
          <w:w w:val="105"/>
          <w:sz w:val="16"/>
        </w:rPr>
        <w:t xml:space="preserve"> </w:t>
      </w:r>
      <w:r w:rsidRPr="00EB2BD8">
        <w:rPr>
          <w:rFonts w:ascii="Arial"/>
          <w:w w:val="105"/>
          <w:sz w:val="16"/>
        </w:rPr>
        <w:t>in</w:t>
      </w:r>
      <w:r w:rsidRPr="00EB2BD8">
        <w:rPr>
          <w:rFonts w:ascii="Arial"/>
          <w:spacing w:val="-8"/>
          <w:w w:val="105"/>
          <w:sz w:val="16"/>
        </w:rPr>
        <w:t xml:space="preserve"> </w:t>
      </w:r>
      <w:r w:rsidRPr="00EB2BD8">
        <w:rPr>
          <w:rFonts w:ascii="Arial"/>
          <w:w w:val="105"/>
          <w:sz w:val="16"/>
        </w:rPr>
        <w:t>the</w:t>
      </w:r>
      <w:r w:rsidRPr="00EB2BD8">
        <w:rPr>
          <w:rFonts w:ascii="Arial"/>
          <w:spacing w:val="-8"/>
          <w:w w:val="105"/>
          <w:sz w:val="16"/>
        </w:rPr>
        <w:t xml:space="preserve"> </w:t>
      </w:r>
      <w:r w:rsidRPr="00EB2BD8">
        <w:rPr>
          <w:rFonts w:ascii="Arial"/>
          <w:w w:val="105"/>
          <w:sz w:val="16"/>
        </w:rPr>
        <w:t>nature</w:t>
      </w:r>
      <w:r w:rsidRPr="00EB2BD8">
        <w:rPr>
          <w:rFonts w:ascii="Arial"/>
          <w:spacing w:val="-7"/>
          <w:w w:val="105"/>
          <w:sz w:val="16"/>
        </w:rPr>
        <w:t xml:space="preserve"> </w:t>
      </w:r>
      <w:r w:rsidRPr="00EB2BD8">
        <w:rPr>
          <w:rFonts w:ascii="Arial"/>
          <w:w w:val="105"/>
          <w:sz w:val="16"/>
        </w:rPr>
        <w:t>of</w:t>
      </w:r>
      <w:r w:rsidRPr="00EB2BD8">
        <w:rPr>
          <w:rFonts w:ascii="Arial"/>
          <w:spacing w:val="-7"/>
          <w:w w:val="105"/>
          <w:sz w:val="16"/>
        </w:rPr>
        <w:t xml:space="preserve"> </w:t>
      </w:r>
      <w:r w:rsidRPr="00EB2BD8">
        <w:rPr>
          <w:rFonts w:ascii="Arial"/>
          <w:w w:val="105"/>
          <w:sz w:val="16"/>
        </w:rPr>
        <w:t>contributions to or distributions by owners have also been designated as contributions by owners.</w:t>
      </w:r>
    </w:p>
    <w:p w14:paraId="5EFF62EF" w14:textId="77777777" w:rsidR="00084F36" w:rsidRPr="00EB2BD8" w:rsidRDefault="00084F36">
      <w:pPr>
        <w:pStyle w:val="BodyText"/>
        <w:spacing w:before="1"/>
        <w:rPr>
          <w:rFonts w:ascii="Arial"/>
          <w:sz w:val="17"/>
        </w:rPr>
      </w:pPr>
    </w:p>
    <w:p w14:paraId="068363D6" w14:textId="77777777" w:rsidR="00084F36" w:rsidRPr="00EB2BD8" w:rsidRDefault="00EB2BD8">
      <w:pPr>
        <w:spacing w:before="1" w:line="288" w:lineRule="auto"/>
        <w:ind w:left="335" w:right="1499"/>
        <w:rPr>
          <w:rFonts w:ascii="Arial"/>
          <w:sz w:val="16"/>
        </w:rPr>
      </w:pPr>
      <w:r w:rsidRPr="00EB2BD8">
        <w:rPr>
          <w:rFonts w:ascii="Arial"/>
          <w:w w:val="105"/>
          <w:sz w:val="16"/>
        </w:rPr>
        <w:t>Transfers of net assets arising from administrative restructurings</w:t>
      </w:r>
      <w:r w:rsidRPr="00EB2BD8">
        <w:rPr>
          <w:rFonts w:ascii="Arial"/>
          <w:spacing w:val="-9"/>
          <w:w w:val="105"/>
          <w:sz w:val="16"/>
        </w:rPr>
        <w:t xml:space="preserve"> </w:t>
      </w:r>
      <w:r w:rsidRPr="00EB2BD8">
        <w:rPr>
          <w:rFonts w:ascii="Arial"/>
          <w:w w:val="105"/>
          <w:sz w:val="16"/>
        </w:rPr>
        <w:t>are</w:t>
      </w:r>
      <w:r w:rsidRPr="00EB2BD8">
        <w:rPr>
          <w:rFonts w:ascii="Arial"/>
          <w:spacing w:val="-10"/>
          <w:w w:val="105"/>
          <w:sz w:val="16"/>
        </w:rPr>
        <w:t xml:space="preserve"> </w:t>
      </w:r>
      <w:r w:rsidRPr="00EB2BD8">
        <w:rPr>
          <w:rFonts w:ascii="Arial"/>
          <w:w w:val="105"/>
          <w:sz w:val="16"/>
        </w:rPr>
        <w:t>treated</w:t>
      </w:r>
      <w:r w:rsidRPr="00EB2BD8">
        <w:rPr>
          <w:rFonts w:ascii="Arial"/>
          <w:spacing w:val="-9"/>
          <w:w w:val="105"/>
          <w:sz w:val="16"/>
        </w:rPr>
        <w:t xml:space="preserve"> </w:t>
      </w:r>
      <w:r w:rsidRPr="00EB2BD8">
        <w:rPr>
          <w:rFonts w:ascii="Arial"/>
          <w:w w:val="105"/>
          <w:sz w:val="16"/>
        </w:rPr>
        <w:t>as</w:t>
      </w:r>
      <w:r w:rsidRPr="00EB2BD8">
        <w:rPr>
          <w:rFonts w:ascii="Arial"/>
          <w:spacing w:val="-9"/>
          <w:w w:val="105"/>
          <w:sz w:val="16"/>
        </w:rPr>
        <w:t xml:space="preserve"> </w:t>
      </w:r>
      <w:r w:rsidRPr="00EB2BD8">
        <w:rPr>
          <w:rFonts w:ascii="Arial"/>
          <w:w w:val="105"/>
          <w:sz w:val="16"/>
        </w:rPr>
        <w:t>distributions</w:t>
      </w:r>
      <w:r w:rsidRPr="00EB2BD8">
        <w:rPr>
          <w:rFonts w:ascii="Arial"/>
          <w:spacing w:val="-9"/>
          <w:w w:val="105"/>
          <w:sz w:val="16"/>
        </w:rPr>
        <w:t xml:space="preserve"> </w:t>
      </w:r>
      <w:r w:rsidRPr="00EB2BD8">
        <w:rPr>
          <w:rFonts w:ascii="Arial"/>
          <w:w w:val="105"/>
          <w:sz w:val="16"/>
        </w:rPr>
        <w:t>to</w:t>
      </w:r>
      <w:r w:rsidRPr="00EB2BD8">
        <w:rPr>
          <w:rFonts w:ascii="Arial"/>
          <w:spacing w:val="-9"/>
          <w:w w:val="105"/>
          <w:sz w:val="16"/>
        </w:rPr>
        <w:t xml:space="preserve"> </w:t>
      </w:r>
      <w:r w:rsidRPr="00EB2BD8">
        <w:rPr>
          <w:rFonts w:ascii="Arial"/>
          <w:w w:val="105"/>
          <w:sz w:val="16"/>
        </w:rPr>
        <w:t>or</w:t>
      </w:r>
      <w:r w:rsidRPr="00EB2BD8">
        <w:rPr>
          <w:rFonts w:ascii="Arial"/>
          <w:spacing w:val="-9"/>
          <w:w w:val="105"/>
          <w:sz w:val="16"/>
        </w:rPr>
        <w:t xml:space="preserve"> </w:t>
      </w:r>
      <w:r w:rsidRPr="00EB2BD8">
        <w:rPr>
          <w:rFonts w:ascii="Arial"/>
          <w:w w:val="105"/>
          <w:sz w:val="16"/>
        </w:rPr>
        <w:t xml:space="preserve">contributions by owners. Transfers of net liabilities arising from administrative restructurings are treated as distributions to </w:t>
      </w:r>
      <w:r w:rsidRPr="00EB2BD8">
        <w:rPr>
          <w:rFonts w:ascii="Arial"/>
          <w:spacing w:val="-2"/>
          <w:w w:val="105"/>
          <w:sz w:val="16"/>
        </w:rPr>
        <w:t>owners.</w:t>
      </w:r>
    </w:p>
    <w:p w14:paraId="7999C9A0" w14:textId="77777777" w:rsidR="00084F36" w:rsidRPr="00EB2BD8" w:rsidRDefault="00084F36">
      <w:pPr>
        <w:pStyle w:val="BodyText"/>
        <w:spacing w:before="1"/>
        <w:rPr>
          <w:rFonts w:ascii="Arial"/>
          <w:sz w:val="17"/>
        </w:rPr>
      </w:pPr>
    </w:p>
    <w:p w14:paraId="1BD90ADE" w14:textId="77777777" w:rsidR="00084F36" w:rsidRPr="00EB2BD8" w:rsidRDefault="00EB2BD8">
      <w:pPr>
        <w:spacing w:line="288" w:lineRule="auto"/>
        <w:ind w:left="335" w:right="1499"/>
        <w:rPr>
          <w:rFonts w:ascii="Arial"/>
          <w:sz w:val="16"/>
        </w:rPr>
      </w:pPr>
      <w:r w:rsidRPr="00EB2BD8">
        <w:rPr>
          <w:rFonts w:ascii="Arial"/>
          <w:w w:val="105"/>
          <w:sz w:val="16"/>
        </w:rPr>
        <w:t>Judgements,</w:t>
      </w:r>
      <w:r w:rsidRPr="00EB2BD8">
        <w:rPr>
          <w:rFonts w:ascii="Arial"/>
          <w:spacing w:val="-6"/>
          <w:w w:val="105"/>
          <w:sz w:val="16"/>
        </w:rPr>
        <w:t xml:space="preserve"> </w:t>
      </w:r>
      <w:r w:rsidRPr="00EB2BD8">
        <w:rPr>
          <w:rFonts w:ascii="Arial"/>
          <w:w w:val="105"/>
          <w:sz w:val="16"/>
        </w:rPr>
        <w:t>estimates</w:t>
      </w:r>
      <w:r w:rsidRPr="00EB2BD8">
        <w:rPr>
          <w:rFonts w:ascii="Arial"/>
          <w:spacing w:val="-6"/>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assumptions</w:t>
      </w:r>
      <w:r w:rsidRPr="00EB2BD8">
        <w:rPr>
          <w:rFonts w:ascii="Arial"/>
          <w:spacing w:val="-6"/>
          <w:w w:val="105"/>
          <w:sz w:val="16"/>
        </w:rPr>
        <w:t xml:space="preserve"> </w:t>
      </w:r>
      <w:r w:rsidRPr="00EB2BD8">
        <w:rPr>
          <w:rFonts w:ascii="Arial"/>
          <w:w w:val="105"/>
          <w:sz w:val="16"/>
        </w:rPr>
        <w:t>are</w:t>
      </w:r>
      <w:r w:rsidRPr="00EB2BD8">
        <w:rPr>
          <w:rFonts w:ascii="Arial"/>
          <w:spacing w:val="-6"/>
          <w:w w:val="105"/>
          <w:sz w:val="16"/>
        </w:rPr>
        <w:t xml:space="preserve"> </w:t>
      </w:r>
      <w:r w:rsidRPr="00EB2BD8">
        <w:rPr>
          <w:rFonts w:ascii="Arial"/>
          <w:w w:val="105"/>
          <w:sz w:val="16"/>
        </w:rPr>
        <w:t>required</w:t>
      </w:r>
      <w:r w:rsidRPr="00EB2BD8">
        <w:rPr>
          <w:rFonts w:ascii="Arial"/>
          <w:spacing w:val="-7"/>
          <w:w w:val="105"/>
          <w:sz w:val="16"/>
        </w:rPr>
        <w:t xml:space="preserve"> </w:t>
      </w:r>
      <w:r w:rsidRPr="00EB2BD8">
        <w:rPr>
          <w:rFonts w:ascii="Arial"/>
          <w:w w:val="105"/>
          <w:sz w:val="16"/>
        </w:rPr>
        <w:t>to</w:t>
      </w:r>
      <w:r w:rsidRPr="00EB2BD8">
        <w:rPr>
          <w:rFonts w:ascii="Arial"/>
          <w:spacing w:val="-7"/>
          <w:w w:val="105"/>
          <w:sz w:val="16"/>
        </w:rPr>
        <w:t xml:space="preserve"> </w:t>
      </w:r>
      <w:r w:rsidRPr="00EB2BD8">
        <w:rPr>
          <w:rFonts w:ascii="Arial"/>
          <w:w w:val="105"/>
          <w:sz w:val="16"/>
        </w:rPr>
        <w:t>be made about financial information being presented.</w:t>
      </w:r>
      <w:r w:rsidRPr="00EB2BD8">
        <w:rPr>
          <w:rFonts w:ascii="Arial"/>
          <w:spacing w:val="40"/>
          <w:w w:val="105"/>
          <w:sz w:val="16"/>
        </w:rPr>
        <w:t xml:space="preserve"> </w:t>
      </w:r>
      <w:r w:rsidRPr="00EB2BD8">
        <w:rPr>
          <w:rFonts w:ascii="Arial"/>
          <w:w w:val="105"/>
          <w:sz w:val="16"/>
        </w:rPr>
        <w:t>The estimates and associated assumptions are based on professional</w:t>
      </w:r>
      <w:r w:rsidRPr="00EB2BD8">
        <w:rPr>
          <w:rFonts w:ascii="Arial"/>
          <w:spacing w:val="-2"/>
          <w:w w:val="105"/>
          <w:sz w:val="16"/>
        </w:rPr>
        <w:t xml:space="preserve"> </w:t>
      </w:r>
      <w:r w:rsidRPr="00EB2BD8">
        <w:rPr>
          <w:rFonts w:ascii="Arial"/>
          <w:w w:val="105"/>
          <w:sz w:val="16"/>
        </w:rPr>
        <w:t>judgements</w:t>
      </w:r>
      <w:r w:rsidRPr="00EB2BD8">
        <w:rPr>
          <w:rFonts w:ascii="Arial"/>
          <w:spacing w:val="-1"/>
          <w:w w:val="105"/>
          <w:sz w:val="16"/>
        </w:rPr>
        <w:t xml:space="preserve"> </w:t>
      </w:r>
      <w:r w:rsidRPr="00EB2BD8">
        <w:rPr>
          <w:rFonts w:ascii="Arial"/>
          <w:w w:val="105"/>
          <w:sz w:val="16"/>
        </w:rPr>
        <w:t>derived</w:t>
      </w:r>
      <w:r w:rsidRPr="00EB2BD8">
        <w:rPr>
          <w:rFonts w:ascii="Arial"/>
          <w:spacing w:val="-2"/>
          <w:w w:val="105"/>
          <w:sz w:val="16"/>
        </w:rPr>
        <w:t xml:space="preserve"> </w:t>
      </w:r>
      <w:r w:rsidRPr="00EB2BD8">
        <w:rPr>
          <w:rFonts w:ascii="Arial"/>
          <w:w w:val="105"/>
          <w:sz w:val="16"/>
        </w:rPr>
        <w:t>from</w:t>
      </w:r>
      <w:r w:rsidRPr="00EB2BD8">
        <w:rPr>
          <w:rFonts w:ascii="Arial"/>
          <w:spacing w:val="-1"/>
          <w:w w:val="105"/>
          <w:sz w:val="16"/>
        </w:rPr>
        <w:t xml:space="preserve"> </w:t>
      </w:r>
      <w:r w:rsidRPr="00EB2BD8">
        <w:rPr>
          <w:rFonts w:ascii="Arial"/>
          <w:w w:val="105"/>
          <w:sz w:val="16"/>
        </w:rPr>
        <w:t>historical</w:t>
      </w:r>
      <w:r w:rsidRPr="00EB2BD8">
        <w:rPr>
          <w:rFonts w:ascii="Arial"/>
          <w:spacing w:val="-2"/>
          <w:w w:val="105"/>
          <w:sz w:val="16"/>
        </w:rPr>
        <w:t xml:space="preserve"> </w:t>
      </w:r>
      <w:r w:rsidRPr="00EB2BD8">
        <w:rPr>
          <w:rFonts w:ascii="Arial"/>
          <w:w w:val="105"/>
          <w:sz w:val="16"/>
        </w:rPr>
        <w:t>experience and</w:t>
      </w:r>
      <w:r w:rsidRPr="00EB2BD8">
        <w:rPr>
          <w:rFonts w:ascii="Arial"/>
          <w:spacing w:val="-8"/>
          <w:w w:val="105"/>
          <w:sz w:val="16"/>
        </w:rPr>
        <w:t xml:space="preserve"> </w:t>
      </w:r>
      <w:r w:rsidRPr="00EB2BD8">
        <w:rPr>
          <w:rFonts w:ascii="Arial"/>
          <w:w w:val="105"/>
          <w:sz w:val="16"/>
        </w:rPr>
        <w:t>various</w:t>
      </w:r>
      <w:r w:rsidRPr="00EB2BD8">
        <w:rPr>
          <w:rFonts w:ascii="Arial"/>
          <w:spacing w:val="-6"/>
          <w:w w:val="105"/>
          <w:sz w:val="16"/>
        </w:rPr>
        <w:t xml:space="preserve"> </w:t>
      </w:r>
      <w:r w:rsidRPr="00EB2BD8">
        <w:rPr>
          <w:rFonts w:ascii="Arial"/>
          <w:w w:val="105"/>
          <w:sz w:val="16"/>
        </w:rPr>
        <w:t>other</w:t>
      </w:r>
      <w:r w:rsidRPr="00EB2BD8">
        <w:rPr>
          <w:rFonts w:ascii="Arial"/>
          <w:spacing w:val="-7"/>
          <w:w w:val="105"/>
          <w:sz w:val="16"/>
        </w:rPr>
        <w:t xml:space="preserve"> </w:t>
      </w:r>
      <w:r w:rsidRPr="00EB2BD8">
        <w:rPr>
          <w:rFonts w:ascii="Arial"/>
          <w:w w:val="105"/>
          <w:sz w:val="16"/>
        </w:rPr>
        <w:t>factors</w:t>
      </w:r>
      <w:r w:rsidRPr="00EB2BD8">
        <w:rPr>
          <w:rFonts w:ascii="Arial"/>
          <w:spacing w:val="-7"/>
          <w:w w:val="105"/>
          <w:sz w:val="16"/>
        </w:rPr>
        <w:t xml:space="preserve"> </w:t>
      </w:r>
      <w:r w:rsidRPr="00EB2BD8">
        <w:rPr>
          <w:rFonts w:ascii="Arial"/>
          <w:w w:val="105"/>
          <w:sz w:val="16"/>
        </w:rPr>
        <w:t>that</w:t>
      </w:r>
      <w:r w:rsidRPr="00EB2BD8">
        <w:rPr>
          <w:rFonts w:ascii="Arial"/>
          <w:spacing w:val="-7"/>
          <w:w w:val="105"/>
          <w:sz w:val="16"/>
        </w:rPr>
        <w:t xml:space="preserve"> </w:t>
      </w:r>
      <w:r w:rsidRPr="00EB2BD8">
        <w:rPr>
          <w:rFonts w:ascii="Arial"/>
          <w:w w:val="105"/>
          <w:sz w:val="16"/>
        </w:rPr>
        <w:t>are</w:t>
      </w:r>
      <w:r w:rsidRPr="00EB2BD8">
        <w:rPr>
          <w:rFonts w:ascii="Arial"/>
          <w:spacing w:val="-8"/>
          <w:w w:val="105"/>
          <w:sz w:val="16"/>
        </w:rPr>
        <w:t xml:space="preserve"> </w:t>
      </w:r>
      <w:r w:rsidRPr="00EB2BD8">
        <w:rPr>
          <w:rFonts w:ascii="Arial"/>
          <w:w w:val="105"/>
          <w:sz w:val="16"/>
        </w:rPr>
        <w:t>believed</w:t>
      </w:r>
      <w:r w:rsidRPr="00EB2BD8">
        <w:rPr>
          <w:rFonts w:ascii="Arial"/>
          <w:spacing w:val="-8"/>
          <w:w w:val="105"/>
          <w:sz w:val="16"/>
        </w:rPr>
        <w:t xml:space="preserve"> </w:t>
      </w:r>
      <w:r w:rsidRPr="00EB2BD8">
        <w:rPr>
          <w:rFonts w:ascii="Arial"/>
          <w:w w:val="105"/>
          <w:sz w:val="16"/>
        </w:rPr>
        <w:t>to</w:t>
      </w:r>
      <w:r w:rsidRPr="00EB2BD8">
        <w:rPr>
          <w:rFonts w:ascii="Arial"/>
          <w:spacing w:val="-8"/>
          <w:w w:val="105"/>
          <w:sz w:val="16"/>
        </w:rPr>
        <w:t xml:space="preserve"> </w:t>
      </w:r>
      <w:r w:rsidRPr="00EB2BD8">
        <w:rPr>
          <w:rFonts w:ascii="Arial"/>
          <w:w w:val="105"/>
          <w:sz w:val="16"/>
        </w:rPr>
        <w:t>be</w:t>
      </w:r>
      <w:r w:rsidRPr="00EB2BD8">
        <w:rPr>
          <w:rFonts w:ascii="Arial"/>
          <w:spacing w:val="-8"/>
          <w:w w:val="105"/>
          <w:sz w:val="16"/>
        </w:rPr>
        <w:t xml:space="preserve"> </w:t>
      </w:r>
      <w:r w:rsidRPr="00EB2BD8">
        <w:rPr>
          <w:rFonts w:ascii="Arial"/>
          <w:w w:val="105"/>
          <w:sz w:val="16"/>
        </w:rPr>
        <w:t>reasonable under the circumstances. Actual results may differ from these estimates.</w:t>
      </w:r>
    </w:p>
    <w:p w14:paraId="7082B758" w14:textId="77777777" w:rsidR="00084F36" w:rsidRPr="00EB2BD8" w:rsidRDefault="00084F36">
      <w:pPr>
        <w:pStyle w:val="BodyText"/>
        <w:spacing w:before="4"/>
        <w:rPr>
          <w:rFonts w:ascii="Arial"/>
          <w:sz w:val="19"/>
        </w:rPr>
      </w:pPr>
    </w:p>
    <w:p w14:paraId="61C09CDC" w14:textId="77777777" w:rsidR="00084F36" w:rsidRPr="00EB2BD8" w:rsidRDefault="00EB2BD8">
      <w:pPr>
        <w:spacing w:line="288" w:lineRule="auto"/>
        <w:ind w:left="335" w:right="1499"/>
        <w:rPr>
          <w:rFonts w:ascii="Arial"/>
          <w:sz w:val="16"/>
        </w:rPr>
      </w:pPr>
      <w:r w:rsidRPr="00EB2BD8">
        <w:rPr>
          <w:rFonts w:ascii="Arial"/>
          <w:w w:val="105"/>
          <w:sz w:val="16"/>
        </w:rPr>
        <w:t>Revisions to accounting estimates are recognised in the period</w:t>
      </w:r>
      <w:r w:rsidRPr="00EB2BD8">
        <w:rPr>
          <w:rFonts w:ascii="Arial"/>
          <w:spacing w:val="-7"/>
          <w:w w:val="105"/>
          <w:sz w:val="16"/>
        </w:rPr>
        <w:t xml:space="preserve"> </w:t>
      </w:r>
      <w:r w:rsidRPr="00EB2BD8">
        <w:rPr>
          <w:rFonts w:ascii="Arial"/>
          <w:w w:val="105"/>
          <w:sz w:val="16"/>
        </w:rPr>
        <w:t>in</w:t>
      </w:r>
      <w:r w:rsidRPr="00EB2BD8">
        <w:rPr>
          <w:rFonts w:ascii="Arial"/>
          <w:spacing w:val="-7"/>
          <w:w w:val="105"/>
          <w:sz w:val="16"/>
        </w:rPr>
        <w:t xml:space="preserve"> </w:t>
      </w:r>
      <w:r w:rsidRPr="00EB2BD8">
        <w:rPr>
          <w:rFonts w:ascii="Arial"/>
          <w:w w:val="105"/>
          <w:sz w:val="16"/>
        </w:rPr>
        <w:t>which</w:t>
      </w:r>
      <w:r w:rsidRPr="00EB2BD8">
        <w:rPr>
          <w:rFonts w:ascii="Arial"/>
          <w:spacing w:val="-6"/>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estimate</w:t>
      </w:r>
      <w:r w:rsidRPr="00EB2BD8">
        <w:rPr>
          <w:rFonts w:ascii="Arial"/>
          <w:spacing w:val="-7"/>
          <w:w w:val="105"/>
          <w:sz w:val="16"/>
        </w:rPr>
        <w:t xml:space="preserve"> </w:t>
      </w:r>
      <w:r w:rsidRPr="00EB2BD8">
        <w:rPr>
          <w:rFonts w:ascii="Arial"/>
          <w:w w:val="105"/>
          <w:sz w:val="16"/>
        </w:rPr>
        <w:t>is</w:t>
      </w:r>
      <w:r w:rsidRPr="00EB2BD8">
        <w:rPr>
          <w:rFonts w:ascii="Arial"/>
          <w:spacing w:val="-5"/>
          <w:w w:val="105"/>
          <w:sz w:val="16"/>
        </w:rPr>
        <w:t xml:space="preserve"> </w:t>
      </w:r>
      <w:r w:rsidRPr="00EB2BD8">
        <w:rPr>
          <w:rFonts w:ascii="Arial"/>
          <w:w w:val="105"/>
          <w:sz w:val="16"/>
        </w:rPr>
        <w:t>revised</w:t>
      </w:r>
      <w:r w:rsidRPr="00EB2BD8">
        <w:rPr>
          <w:rFonts w:ascii="Arial"/>
          <w:spacing w:val="-7"/>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in</w:t>
      </w:r>
      <w:r w:rsidRPr="00EB2BD8">
        <w:rPr>
          <w:rFonts w:ascii="Arial"/>
          <w:spacing w:val="-7"/>
          <w:w w:val="105"/>
          <w:sz w:val="16"/>
        </w:rPr>
        <w:t xml:space="preserve"> </w:t>
      </w:r>
      <w:r w:rsidRPr="00EB2BD8">
        <w:rPr>
          <w:rFonts w:ascii="Arial"/>
          <w:w w:val="105"/>
          <w:sz w:val="16"/>
        </w:rPr>
        <w:t>future</w:t>
      </w:r>
      <w:r w:rsidRPr="00EB2BD8">
        <w:rPr>
          <w:rFonts w:ascii="Arial"/>
          <w:spacing w:val="-7"/>
          <w:w w:val="105"/>
          <w:sz w:val="16"/>
        </w:rPr>
        <w:t xml:space="preserve"> </w:t>
      </w:r>
      <w:r w:rsidRPr="00EB2BD8">
        <w:rPr>
          <w:rFonts w:ascii="Arial"/>
          <w:w w:val="105"/>
          <w:sz w:val="16"/>
        </w:rPr>
        <w:t>periods that are affected by the revision. Judgements and assumptions made by management in applying AAS that have significant effects on the financial statements and estimates are disclosed in the notes.</w:t>
      </w:r>
    </w:p>
    <w:p w14:paraId="354E815C" w14:textId="77777777" w:rsidR="00084F36" w:rsidRPr="00EB2BD8" w:rsidRDefault="00084F36">
      <w:pPr>
        <w:pStyle w:val="BodyText"/>
        <w:spacing w:before="1"/>
        <w:rPr>
          <w:rFonts w:ascii="Arial"/>
          <w:sz w:val="17"/>
        </w:rPr>
      </w:pPr>
    </w:p>
    <w:p w14:paraId="1FC56D4E" w14:textId="77777777" w:rsidR="00084F36" w:rsidRPr="00EB2BD8" w:rsidRDefault="00EB2BD8">
      <w:pPr>
        <w:spacing w:line="288" w:lineRule="auto"/>
        <w:ind w:left="335" w:right="1535"/>
        <w:rPr>
          <w:rFonts w:ascii="Arial"/>
          <w:sz w:val="16"/>
        </w:rPr>
      </w:pPr>
      <w:r w:rsidRPr="00EB2BD8">
        <w:rPr>
          <w:rFonts w:ascii="Arial"/>
          <w:w w:val="105"/>
          <w:sz w:val="16"/>
        </w:rPr>
        <w:t>All</w:t>
      </w:r>
      <w:r w:rsidRPr="00EB2BD8">
        <w:rPr>
          <w:rFonts w:ascii="Arial"/>
          <w:spacing w:val="-8"/>
          <w:w w:val="105"/>
          <w:sz w:val="16"/>
        </w:rPr>
        <w:t xml:space="preserve"> </w:t>
      </w:r>
      <w:r w:rsidRPr="00EB2BD8">
        <w:rPr>
          <w:rFonts w:ascii="Arial"/>
          <w:w w:val="105"/>
          <w:sz w:val="16"/>
        </w:rPr>
        <w:t>amounts</w:t>
      </w:r>
      <w:r w:rsidRPr="00EB2BD8">
        <w:rPr>
          <w:rFonts w:ascii="Arial"/>
          <w:spacing w:val="-8"/>
          <w:w w:val="105"/>
          <w:sz w:val="16"/>
        </w:rPr>
        <w:t xml:space="preserve"> </w:t>
      </w:r>
      <w:r w:rsidRPr="00EB2BD8">
        <w:rPr>
          <w:rFonts w:ascii="Arial"/>
          <w:w w:val="105"/>
          <w:sz w:val="16"/>
        </w:rPr>
        <w:t>in</w:t>
      </w:r>
      <w:r w:rsidRPr="00EB2BD8">
        <w:rPr>
          <w:rFonts w:ascii="Arial"/>
          <w:spacing w:val="-8"/>
          <w:w w:val="105"/>
          <w:sz w:val="16"/>
        </w:rPr>
        <w:t xml:space="preserve"> </w:t>
      </w:r>
      <w:r w:rsidRPr="00EB2BD8">
        <w:rPr>
          <w:rFonts w:ascii="Arial"/>
          <w:w w:val="105"/>
          <w:sz w:val="16"/>
        </w:rPr>
        <w:t>the</w:t>
      </w:r>
      <w:r w:rsidRPr="00EB2BD8">
        <w:rPr>
          <w:rFonts w:ascii="Arial"/>
          <w:spacing w:val="-8"/>
          <w:w w:val="105"/>
          <w:sz w:val="16"/>
        </w:rPr>
        <w:t xml:space="preserve"> </w:t>
      </w:r>
      <w:r w:rsidRPr="00EB2BD8">
        <w:rPr>
          <w:rFonts w:ascii="Arial"/>
          <w:w w:val="105"/>
          <w:sz w:val="16"/>
        </w:rPr>
        <w:t>financial</w:t>
      </w:r>
      <w:r w:rsidRPr="00EB2BD8">
        <w:rPr>
          <w:rFonts w:ascii="Arial"/>
          <w:spacing w:val="-8"/>
          <w:w w:val="105"/>
          <w:sz w:val="16"/>
        </w:rPr>
        <w:t xml:space="preserve"> </w:t>
      </w:r>
      <w:r w:rsidRPr="00EB2BD8">
        <w:rPr>
          <w:rFonts w:ascii="Arial"/>
          <w:w w:val="105"/>
          <w:sz w:val="16"/>
        </w:rPr>
        <w:t>statements</w:t>
      </w:r>
      <w:r w:rsidRPr="00EB2BD8">
        <w:rPr>
          <w:rFonts w:ascii="Arial"/>
          <w:spacing w:val="-8"/>
          <w:w w:val="105"/>
          <w:sz w:val="16"/>
        </w:rPr>
        <w:t xml:space="preserve"> </w:t>
      </w:r>
      <w:r w:rsidRPr="00EB2BD8">
        <w:rPr>
          <w:rFonts w:ascii="Arial"/>
          <w:w w:val="105"/>
          <w:sz w:val="16"/>
        </w:rPr>
        <w:t>have</w:t>
      </w:r>
      <w:r w:rsidRPr="00EB2BD8">
        <w:rPr>
          <w:rFonts w:ascii="Arial"/>
          <w:spacing w:val="-8"/>
          <w:w w:val="105"/>
          <w:sz w:val="16"/>
        </w:rPr>
        <w:t xml:space="preserve"> </w:t>
      </w:r>
      <w:r w:rsidRPr="00EB2BD8">
        <w:rPr>
          <w:rFonts w:ascii="Arial"/>
          <w:w w:val="105"/>
          <w:sz w:val="16"/>
        </w:rPr>
        <w:t>been</w:t>
      </w:r>
      <w:r w:rsidRPr="00EB2BD8">
        <w:rPr>
          <w:rFonts w:ascii="Arial"/>
          <w:spacing w:val="-8"/>
          <w:w w:val="105"/>
          <w:sz w:val="16"/>
        </w:rPr>
        <w:t xml:space="preserve"> </w:t>
      </w:r>
      <w:r w:rsidRPr="00EB2BD8">
        <w:rPr>
          <w:rFonts w:ascii="Arial"/>
          <w:w w:val="105"/>
          <w:sz w:val="16"/>
        </w:rPr>
        <w:t>rounded to the nearest $1,000 unless otherwise stated.</w:t>
      </w:r>
    </w:p>
    <w:p w14:paraId="73FF1CBA" w14:textId="77777777" w:rsidR="00084F36" w:rsidRPr="00EB2BD8" w:rsidRDefault="00084F36">
      <w:pPr>
        <w:pStyle w:val="BodyText"/>
        <w:spacing w:before="8"/>
        <w:rPr>
          <w:rFonts w:ascii="Arial"/>
          <w:sz w:val="21"/>
        </w:rPr>
      </w:pPr>
    </w:p>
    <w:p w14:paraId="1CFE1225" w14:textId="427DFC86" w:rsidR="00084F36" w:rsidRPr="00EB2BD8" w:rsidRDefault="005D2FBE" w:rsidP="005D2FBE">
      <w:pPr>
        <w:pStyle w:val="Heading2"/>
        <w:ind w:left="0"/>
      </w:pPr>
      <w:r>
        <w:t xml:space="preserve">    </w:t>
      </w:r>
      <w:bookmarkStart w:id="261" w:name="_Toc150762563"/>
      <w:r w:rsidR="00EB2BD8" w:rsidRPr="00EB2BD8">
        <w:t>Going</w:t>
      </w:r>
      <w:r w:rsidR="00EB2BD8" w:rsidRPr="00EB2BD8">
        <w:rPr>
          <w:spacing w:val="5"/>
        </w:rPr>
        <w:t xml:space="preserve"> </w:t>
      </w:r>
      <w:r w:rsidR="00EB2BD8" w:rsidRPr="00EB2BD8">
        <w:t>concern</w:t>
      </w:r>
      <w:bookmarkEnd w:id="261"/>
    </w:p>
    <w:p w14:paraId="5A0AD19C" w14:textId="77777777" w:rsidR="00084F36" w:rsidRPr="00EB2BD8" w:rsidRDefault="00EB2BD8">
      <w:pPr>
        <w:spacing w:before="155" w:line="288" w:lineRule="auto"/>
        <w:ind w:left="335" w:right="1416"/>
        <w:rPr>
          <w:rFonts w:ascii="Arial"/>
          <w:sz w:val="16"/>
        </w:rPr>
      </w:pPr>
      <w:r w:rsidRPr="00EB2BD8">
        <w:rPr>
          <w:rFonts w:ascii="Arial"/>
          <w:w w:val="105"/>
          <w:sz w:val="16"/>
        </w:rPr>
        <w:t>These financial statements have been prepared on a going concern</w:t>
      </w:r>
      <w:r w:rsidRPr="00EB2BD8">
        <w:rPr>
          <w:rFonts w:ascii="Arial"/>
          <w:spacing w:val="-4"/>
          <w:w w:val="105"/>
          <w:sz w:val="16"/>
        </w:rPr>
        <w:t xml:space="preserve"> </w:t>
      </w:r>
      <w:r w:rsidRPr="00EB2BD8">
        <w:rPr>
          <w:rFonts w:ascii="Arial"/>
          <w:w w:val="105"/>
          <w:sz w:val="16"/>
        </w:rPr>
        <w:t>basis.</w:t>
      </w:r>
      <w:r w:rsidRPr="00EB2BD8">
        <w:rPr>
          <w:rFonts w:ascii="Arial"/>
          <w:spacing w:val="-3"/>
          <w:w w:val="105"/>
          <w:sz w:val="16"/>
        </w:rPr>
        <w:t xml:space="preserve"> </w:t>
      </w:r>
      <w:r w:rsidRPr="00EB2BD8">
        <w:rPr>
          <w:rFonts w:ascii="Arial"/>
          <w:w w:val="105"/>
          <w:sz w:val="16"/>
        </w:rPr>
        <w:t>While</w:t>
      </w:r>
      <w:r w:rsidRPr="00EB2BD8">
        <w:rPr>
          <w:rFonts w:ascii="Arial"/>
          <w:spacing w:val="-4"/>
          <w:w w:val="105"/>
          <w:sz w:val="16"/>
        </w:rPr>
        <w:t xml:space="preserve"> </w:t>
      </w:r>
      <w:r w:rsidRPr="00EB2BD8">
        <w:rPr>
          <w:rFonts w:ascii="Arial"/>
          <w:w w:val="105"/>
          <w:sz w:val="16"/>
        </w:rPr>
        <w:t>building</w:t>
      </w:r>
      <w:r w:rsidRPr="00EB2BD8">
        <w:rPr>
          <w:rFonts w:ascii="Arial"/>
          <w:spacing w:val="-4"/>
          <w:w w:val="105"/>
          <w:sz w:val="16"/>
        </w:rPr>
        <w:t xml:space="preserve"> </w:t>
      </w:r>
      <w:r w:rsidRPr="00EB2BD8">
        <w:rPr>
          <w:rFonts w:ascii="Arial"/>
          <w:w w:val="105"/>
          <w:sz w:val="16"/>
        </w:rPr>
        <w:t>permit</w:t>
      </w:r>
      <w:r w:rsidRPr="00EB2BD8">
        <w:rPr>
          <w:rFonts w:ascii="Arial"/>
          <w:spacing w:val="-4"/>
          <w:w w:val="105"/>
          <w:sz w:val="16"/>
        </w:rPr>
        <w:t xml:space="preserve"> </w:t>
      </w:r>
      <w:r w:rsidRPr="00EB2BD8">
        <w:rPr>
          <w:rFonts w:ascii="Arial"/>
          <w:w w:val="105"/>
          <w:sz w:val="16"/>
        </w:rPr>
        <w:t>levies</w:t>
      </w:r>
      <w:r w:rsidRPr="00EB2BD8">
        <w:rPr>
          <w:rFonts w:ascii="Arial"/>
          <w:spacing w:val="-4"/>
          <w:w w:val="105"/>
          <w:sz w:val="16"/>
        </w:rPr>
        <w:t xml:space="preserve"> </w:t>
      </w:r>
      <w:r w:rsidRPr="00EB2BD8">
        <w:rPr>
          <w:rFonts w:ascii="Arial"/>
          <w:w w:val="105"/>
          <w:sz w:val="16"/>
        </w:rPr>
        <w:t>and</w:t>
      </w:r>
      <w:r w:rsidRPr="00EB2BD8">
        <w:rPr>
          <w:rFonts w:ascii="Arial"/>
          <w:spacing w:val="-4"/>
          <w:w w:val="105"/>
          <w:sz w:val="16"/>
        </w:rPr>
        <w:t xml:space="preserve"> </w:t>
      </w:r>
      <w:r w:rsidRPr="00EB2BD8">
        <w:rPr>
          <w:rFonts w:ascii="Arial"/>
          <w:w w:val="105"/>
          <w:sz w:val="16"/>
        </w:rPr>
        <w:t>the</w:t>
      </w:r>
      <w:r w:rsidRPr="00EB2BD8">
        <w:rPr>
          <w:rFonts w:ascii="Arial"/>
          <w:spacing w:val="-4"/>
          <w:w w:val="105"/>
          <w:sz w:val="16"/>
        </w:rPr>
        <w:t xml:space="preserve"> </w:t>
      </w:r>
      <w:r w:rsidRPr="00EB2BD8">
        <w:rPr>
          <w:rFonts w:ascii="Arial"/>
          <w:w w:val="105"/>
          <w:sz w:val="16"/>
        </w:rPr>
        <w:t>extent</w:t>
      </w:r>
      <w:r w:rsidRPr="00EB2BD8">
        <w:rPr>
          <w:rFonts w:ascii="Arial"/>
          <w:spacing w:val="-4"/>
          <w:w w:val="105"/>
          <w:sz w:val="16"/>
        </w:rPr>
        <w:t xml:space="preserve"> </w:t>
      </w:r>
      <w:r w:rsidRPr="00EB2BD8">
        <w:rPr>
          <w:rFonts w:ascii="Arial"/>
          <w:w w:val="105"/>
          <w:sz w:val="16"/>
        </w:rPr>
        <w:t>of impact on future building permit levies and other revenue remains</w:t>
      </w:r>
      <w:r w:rsidRPr="00EB2BD8">
        <w:rPr>
          <w:rFonts w:ascii="Arial"/>
          <w:spacing w:val="-9"/>
          <w:w w:val="105"/>
          <w:sz w:val="16"/>
        </w:rPr>
        <w:t xml:space="preserve"> </w:t>
      </w:r>
      <w:r w:rsidRPr="00EB2BD8">
        <w:rPr>
          <w:rFonts w:ascii="Arial"/>
          <w:w w:val="105"/>
          <w:sz w:val="16"/>
        </w:rPr>
        <w:t>uncertain,</w:t>
      </w:r>
      <w:r w:rsidRPr="00EB2BD8">
        <w:rPr>
          <w:rFonts w:ascii="Arial"/>
          <w:spacing w:val="-10"/>
          <w:w w:val="105"/>
          <w:sz w:val="16"/>
        </w:rPr>
        <w:t xml:space="preserve"> </w:t>
      </w:r>
      <w:r w:rsidRPr="00EB2BD8">
        <w:rPr>
          <w:rFonts w:ascii="Arial"/>
          <w:w w:val="105"/>
          <w:sz w:val="16"/>
        </w:rPr>
        <w:t>management</w:t>
      </w:r>
      <w:r w:rsidRPr="00EB2BD8">
        <w:rPr>
          <w:rFonts w:ascii="Arial"/>
          <w:spacing w:val="-10"/>
          <w:w w:val="105"/>
          <w:sz w:val="16"/>
        </w:rPr>
        <w:t xml:space="preserve"> </w:t>
      </w:r>
      <w:r w:rsidRPr="00EB2BD8">
        <w:rPr>
          <w:rFonts w:ascii="Arial"/>
          <w:w w:val="105"/>
          <w:sz w:val="16"/>
        </w:rPr>
        <w:t>continues</w:t>
      </w:r>
      <w:r w:rsidRPr="00EB2BD8">
        <w:rPr>
          <w:rFonts w:ascii="Arial"/>
          <w:spacing w:val="-10"/>
          <w:w w:val="105"/>
          <w:sz w:val="16"/>
        </w:rPr>
        <w:t xml:space="preserve"> </w:t>
      </w:r>
      <w:r w:rsidRPr="00EB2BD8">
        <w:rPr>
          <w:rFonts w:ascii="Arial"/>
          <w:w w:val="105"/>
          <w:sz w:val="16"/>
        </w:rPr>
        <w:t>to</w:t>
      </w:r>
      <w:r w:rsidRPr="00EB2BD8">
        <w:rPr>
          <w:rFonts w:ascii="Arial"/>
          <w:spacing w:val="-11"/>
          <w:w w:val="105"/>
          <w:sz w:val="16"/>
        </w:rPr>
        <w:t xml:space="preserve"> </w:t>
      </w:r>
      <w:r w:rsidRPr="00EB2BD8">
        <w:rPr>
          <w:rFonts w:ascii="Arial"/>
          <w:w w:val="105"/>
          <w:sz w:val="16"/>
        </w:rPr>
        <w:t>closely</w:t>
      </w:r>
      <w:r w:rsidRPr="00EB2BD8">
        <w:rPr>
          <w:rFonts w:ascii="Arial"/>
          <w:spacing w:val="-10"/>
          <w:w w:val="105"/>
          <w:sz w:val="16"/>
        </w:rPr>
        <w:t xml:space="preserve"> </w:t>
      </w:r>
      <w:r w:rsidRPr="00EB2BD8">
        <w:rPr>
          <w:rFonts w:ascii="Arial"/>
          <w:w w:val="105"/>
          <w:sz w:val="16"/>
        </w:rPr>
        <w:t>assess the trend and risks. The VBA continue to explore opportunities to improve operating cashflows.</w:t>
      </w:r>
    </w:p>
    <w:p w14:paraId="6C18220A" w14:textId="7243DF55" w:rsidR="00084F36" w:rsidRPr="00EB2BD8" w:rsidRDefault="005D2FBE" w:rsidP="005D2FBE">
      <w:pPr>
        <w:pStyle w:val="Heading2"/>
        <w:ind w:left="0"/>
      </w:pPr>
      <w:r>
        <w:t xml:space="preserve">   </w:t>
      </w:r>
      <w:bookmarkStart w:id="262" w:name="_Toc150762564"/>
      <w:r w:rsidR="00EB2BD8" w:rsidRPr="00EB2BD8">
        <w:t>Comparative</w:t>
      </w:r>
      <w:r w:rsidR="00EB2BD8" w:rsidRPr="00EB2BD8">
        <w:rPr>
          <w:spacing w:val="12"/>
        </w:rPr>
        <w:t xml:space="preserve"> </w:t>
      </w:r>
      <w:r w:rsidR="00EB2BD8" w:rsidRPr="00EB2BD8">
        <w:rPr>
          <w:spacing w:val="-2"/>
        </w:rPr>
        <w:t>amounts</w:t>
      </w:r>
      <w:bookmarkEnd w:id="262"/>
    </w:p>
    <w:p w14:paraId="74DEC7B3" w14:textId="77777777" w:rsidR="00084F36" w:rsidRPr="00EB2BD8" w:rsidRDefault="00EB2BD8">
      <w:pPr>
        <w:spacing w:before="155" w:line="288" w:lineRule="auto"/>
        <w:ind w:left="335" w:right="1499"/>
        <w:rPr>
          <w:rFonts w:ascii="Arial"/>
          <w:sz w:val="16"/>
        </w:rPr>
      </w:pPr>
      <w:r w:rsidRPr="00EB2BD8">
        <w:rPr>
          <w:rFonts w:ascii="Arial"/>
          <w:w w:val="105"/>
          <w:sz w:val="16"/>
        </w:rPr>
        <w:t>Where the presentation or classification of items in the financial</w:t>
      </w:r>
      <w:r w:rsidRPr="00EB2BD8">
        <w:rPr>
          <w:rFonts w:ascii="Arial"/>
          <w:spacing w:val="-11"/>
          <w:w w:val="105"/>
          <w:sz w:val="16"/>
        </w:rPr>
        <w:t xml:space="preserve"> </w:t>
      </w:r>
      <w:r w:rsidRPr="00EB2BD8">
        <w:rPr>
          <w:rFonts w:ascii="Arial"/>
          <w:w w:val="105"/>
          <w:sz w:val="16"/>
        </w:rPr>
        <w:t>statement</w:t>
      </w:r>
      <w:r w:rsidRPr="00EB2BD8">
        <w:rPr>
          <w:rFonts w:ascii="Arial"/>
          <w:spacing w:val="-10"/>
          <w:w w:val="105"/>
          <w:sz w:val="16"/>
        </w:rPr>
        <w:t xml:space="preserve"> </w:t>
      </w:r>
      <w:r w:rsidRPr="00EB2BD8">
        <w:rPr>
          <w:rFonts w:ascii="Arial"/>
          <w:w w:val="105"/>
          <w:sz w:val="16"/>
        </w:rPr>
        <w:t>changes,</w:t>
      </w:r>
      <w:r w:rsidRPr="00EB2BD8">
        <w:rPr>
          <w:rFonts w:ascii="Arial"/>
          <w:spacing w:val="-9"/>
          <w:w w:val="105"/>
          <w:sz w:val="16"/>
        </w:rPr>
        <w:t xml:space="preserve"> </w:t>
      </w:r>
      <w:r w:rsidRPr="00EB2BD8">
        <w:rPr>
          <w:rFonts w:ascii="Arial"/>
          <w:w w:val="105"/>
          <w:sz w:val="16"/>
        </w:rPr>
        <w:t>the</w:t>
      </w:r>
      <w:r w:rsidRPr="00EB2BD8">
        <w:rPr>
          <w:rFonts w:ascii="Arial"/>
          <w:spacing w:val="-11"/>
          <w:w w:val="105"/>
          <w:sz w:val="16"/>
        </w:rPr>
        <w:t xml:space="preserve"> </w:t>
      </w:r>
      <w:r w:rsidRPr="00EB2BD8">
        <w:rPr>
          <w:rFonts w:ascii="Arial"/>
          <w:w w:val="105"/>
          <w:sz w:val="16"/>
        </w:rPr>
        <w:t>comparative</w:t>
      </w:r>
      <w:r w:rsidRPr="00EB2BD8">
        <w:rPr>
          <w:rFonts w:ascii="Arial"/>
          <w:spacing w:val="-11"/>
          <w:w w:val="105"/>
          <w:sz w:val="16"/>
        </w:rPr>
        <w:t xml:space="preserve"> </w:t>
      </w:r>
      <w:r w:rsidRPr="00EB2BD8">
        <w:rPr>
          <w:rFonts w:ascii="Arial"/>
          <w:w w:val="105"/>
          <w:sz w:val="16"/>
        </w:rPr>
        <w:t>amounts</w:t>
      </w:r>
      <w:r w:rsidRPr="00EB2BD8">
        <w:rPr>
          <w:rFonts w:ascii="Arial"/>
          <w:spacing w:val="-10"/>
          <w:w w:val="105"/>
          <w:sz w:val="16"/>
        </w:rPr>
        <w:t xml:space="preserve"> </w:t>
      </w:r>
      <w:r w:rsidRPr="00EB2BD8">
        <w:rPr>
          <w:rFonts w:ascii="Arial"/>
          <w:w w:val="105"/>
          <w:sz w:val="16"/>
        </w:rPr>
        <w:t>are also reclassified unless it is impractical to do so.</w:t>
      </w:r>
    </w:p>
    <w:p w14:paraId="21A017CA" w14:textId="77777777" w:rsidR="00084F36" w:rsidRPr="00EB2BD8" w:rsidRDefault="00084F36">
      <w:pPr>
        <w:spacing w:line="288" w:lineRule="auto"/>
        <w:rPr>
          <w:rFonts w:ascii="Arial"/>
          <w:sz w:val="16"/>
        </w:rPr>
        <w:sectPr w:rsidR="00084F36" w:rsidRPr="00EB2BD8" w:rsidSect="006D75B2">
          <w:type w:val="continuous"/>
          <w:pgSz w:w="11910" w:h="16840"/>
          <w:pgMar w:top="1920" w:right="0" w:bottom="280" w:left="0" w:header="0" w:footer="0" w:gutter="0"/>
          <w:cols w:num="2" w:space="720" w:equalWidth="0">
            <w:col w:w="5582" w:space="40"/>
            <w:col w:w="6288"/>
          </w:cols>
        </w:sectPr>
      </w:pPr>
    </w:p>
    <w:p w14:paraId="365AB056" w14:textId="77777777" w:rsidR="00084F36" w:rsidRPr="00EB2BD8" w:rsidRDefault="00084F36">
      <w:pPr>
        <w:jc w:val="right"/>
        <w:rPr>
          <w:sz w:val="16"/>
        </w:rPr>
        <w:sectPr w:rsidR="00084F36" w:rsidRPr="00EB2BD8" w:rsidSect="006D75B2">
          <w:type w:val="continuous"/>
          <w:pgSz w:w="11910" w:h="16840"/>
          <w:pgMar w:top="1920" w:right="0" w:bottom="280" w:left="0" w:header="0" w:footer="0" w:gutter="0"/>
          <w:cols w:space="720"/>
        </w:sectPr>
      </w:pPr>
    </w:p>
    <w:p w14:paraId="351AA1A2" w14:textId="77777777" w:rsidR="00084F36" w:rsidRPr="00EB2BD8" w:rsidRDefault="00084F36">
      <w:pPr>
        <w:pStyle w:val="BodyText"/>
        <w:rPr>
          <w:sz w:val="20"/>
        </w:rPr>
      </w:pPr>
    </w:p>
    <w:p w14:paraId="59B78603" w14:textId="77777777" w:rsidR="00084F36" w:rsidRPr="00EB2BD8" w:rsidRDefault="00084F36">
      <w:pPr>
        <w:pStyle w:val="BodyText"/>
        <w:rPr>
          <w:sz w:val="20"/>
        </w:rPr>
      </w:pPr>
    </w:p>
    <w:p w14:paraId="709D09D6" w14:textId="77777777" w:rsidR="00084F36" w:rsidRPr="00EB2BD8" w:rsidRDefault="00084F36">
      <w:pPr>
        <w:pStyle w:val="BodyText"/>
        <w:rPr>
          <w:sz w:val="20"/>
        </w:rPr>
      </w:pPr>
    </w:p>
    <w:p w14:paraId="538F5465" w14:textId="77777777" w:rsidR="00084F36" w:rsidRPr="00EB2BD8" w:rsidRDefault="00084F36">
      <w:pPr>
        <w:pStyle w:val="BodyText"/>
        <w:rPr>
          <w:sz w:val="20"/>
        </w:rPr>
      </w:pPr>
    </w:p>
    <w:p w14:paraId="3CA5980F" w14:textId="77777777" w:rsidR="00084F36" w:rsidRPr="00EB2BD8" w:rsidRDefault="00084F36">
      <w:pPr>
        <w:pStyle w:val="BodyText"/>
        <w:rPr>
          <w:sz w:val="20"/>
        </w:rPr>
      </w:pPr>
    </w:p>
    <w:p w14:paraId="37C74A78" w14:textId="77777777" w:rsidR="00084F36" w:rsidRPr="00EB2BD8" w:rsidRDefault="00084F36">
      <w:pPr>
        <w:pStyle w:val="BodyText"/>
        <w:spacing w:before="6"/>
      </w:pPr>
    </w:p>
    <w:p w14:paraId="7380C152" w14:textId="77777777" w:rsidR="00084F36" w:rsidRPr="00EB2BD8" w:rsidRDefault="00EB2BD8" w:rsidP="00436F78">
      <w:pPr>
        <w:pStyle w:val="Heading2"/>
        <w:ind w:firstLine="203"/>
      </w:pPr>
      <w:bookmarkStart w:id="263" w:name="_Toc150762565"/>
      <w:r w:rsidRPr="00EB2BD8">
        <w:t>Note</w:t>
      </w:r>
      <w:r w:rsidRPr="00EB2BD8">
        <w:rPr>
          <w:spacing w:val="-8"/>
        </w:rPr>
        <w:t xml:space="preserve"> </w:t>
      </w:r>
      <w:r w:rsidRPr="00EB2BD8">
        <w:t>2.</w:t>
      </w:r>
      <w:r w:rsidRPr="00EB2BD8">
        <w:rPr>
          <w:spacing w:val="-7"/>
        </w:rPr>
        <w:t xml:space="preserve"> </w:t>
      </w:r>
      <w:r w:rsidRPr="00EB2BD8">
        <w:t>Funding</w:t>
      </w:r>
      <w:r w:rsidRPr="00EB2BD8">
        <w:rPr>
          <w:spacing w:val="-7"/>
        </w:rPr>
        <w:t xml:space="preserve"> </w:t>
      </w:r>
      <w:r w:rsidRPr="00EB2BD8">
        <w:t>delivery</w:t>
      </w:r>
      <w:r w:rsidRPr="00EB2BD8">
        <w:rPr>
          <w:spacing w:val="-9"/>
        </w:rPr>
        <w:t xml:space="preserve"> </w:t>
      </w:r>
      <w:r w:rsidRPr="00EB2BD8">
        <w:t>of</w:t>
      </w:r>
      <w:r w:rsidRPr="00EB2BD8">
        <w:rPr>
          <w:spacing w:val="-7"/>
        </w:rPr>
        <w:t xml:space="preserve"> </w:t>
      </w:r>
      <w:r w:rsidRPr="00EB2BD8">
        <w:t>our</w:t>
      </w:r>
      <w:r w:rsidRPr="00EB2BD8">
        <w:rPr>
          <w:spacing w:val="-7"/>
        </w:rPr>
        <w:t xml:space="preserve"> </w:t>
      </w:r>
      <w:r w:rsidRPr="00EB2BD8">
        <w:rPr>
          <w:spacing w:val="-2"/>
        </w:rPr>
        <w:t>services</w:t>
      </w:r>
      <w:bookmarkEnd w:id="263"/>
    </w:p>
    <w:p w14:paraId="2D855DED" w14:textId="77777777" w:rsidR="00084F36" w:rsidRPr="00EB2BD8" w:rsidRDefault="00EB2BD8">
      <w:pPr>
        <w:spacing w:before="250" w:line="288" w:lineRule="auto"/>
        <w:ind w:left="1053" w:right="1813"/>
        <w:rPr>
          <w:rFonts w:ascii="Arial"/>
          <w:sz w:val="16"/>
        </w:rPr>
      </w:pPr>
      <w:r w:rsidRPr="00EB2BD8">
        <w:rPr>
          <w:rFonts w:ascii="Arial"/>
          <w:w w:val="105"/>
          <w:sz w:val="16"/>
        </w:rPr>
        <w:t>As</w:t>
      </w:r>
      <w:r w:rsidRPr="00EB2BD8">
        <w:rPr>
          <w:rFonts w:ascii="Arial"/>
          <w:spacing w:val="-5"/>
          <w:w w:val="105"/>
          <w:sz w:val="16"/>
        </w:rPr>
        <w:t xml:space="preserve"> </w:t>
      </w:r>
      <w:r w:rsidRPr="00EB2BD8">
        <w:rPr>
          <w:rFonts w:ascii="Arial"/>
          <w:w w:val="105"/>
          <w:sz w:val="16"/>
        </w:rPr>
        <w:t>Victoria's</w:t>
      </w:r>
      <w:r w:rsidRPr="00EB2BD8">
        <w:rPr>
          <w:rFonts w:ascii="Arial"/>
          <w:spacing w:val="-5"/>
          <w:w w:val="105"/>
          <w:sz w:val="16"/>
        </w:rPr>
        <w:t xml:space="preserve"> </w:t>
      </w:r>
      <w:r w:rsidRPr="00EB2BD8">
        <w:rPr>
          <w:rFonts w:ascii="Arial"/>
          <w:w w:val="105"/>
          <w:sz w:val="16"/>
        </w:rPr>
        <w:t>principal</w:t>
      </w:r>
      <w:r w:rsidRPr="00EB2BD8">
        <w:rPr>
          <w:rFonts w:ascii="Arial"/>
          <w:spacing w:val="-6"/>
          <w:w w:val="105"/>
          <w:sz w:val="16"/>
        </w:rPr>
        <w:t xml:space="preserve"> </w:t>
      </w:r>
      <w:r w:rsidRPr="00EB2BD8">
        <w:rPr>
          <w:rFonts w:ascii="Arial"/>
          <w:w w:val="105"/>
          <w:sz w:val="16"/>
        </w:rPr>
        <w:t>regulator</w:t>
      </w:r>
      <w:r w:rsidRPr="00EB2BD8">
        <w:rPr>
          <w:rFonts w:ascii="Arial"/>
          <w:spacing w:val="-5"/>
          <w:w w:val="105"/>
          <w:sz w:val="16"/>
        </w:rPr>
        <w:t xml:space="preserve"> </w:t>
      </w:r>
      <w:r w:rsidRPr="00EB2BD8">
        <w:rPr>
          <w:rFonts w:ascii="Arial"/>
          <w:w w:val="105"/>
          <w:sz w:val="16"/>
        </w:rPr>
        <w:t>for</w:t>
      </w:r>
      <w:r w:rsidRPr="00EB2BD8">
        <w:rPr>
          <w:rFonts w:ascii="Arial"/>
          <w:spacing w:val="-5"/>
          <w:w w:val="105"/>
          <w:sz w:val="16"/>
        </w:rPr>
        <w:t xml:space="preserve"> </w:t>
      </w:r>
      <w:r w:rsidRPr="00EB2BD8">
        <w:rPr>
          <w:rFonts w:ascii="Arial"/>
          <w:w w:val="105"/>
          <w:sz w:val="16"/>
        </w:rPr>
        <w:t>building</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plumbing,</w:t>
      </w:r>
      <w:r w:rsidRPr="00EB2BD8">
        <w:rPr>
          <w:rFonts w:ascii="Arial"/>
          <w:spacing w:val="-5"/>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VBA</w:t>
      </w:r>
      <w:r w:rsidRPr="00EB2BD8">
        <w:rPr>
          <w:rFonts w:ascii="Arial"/>
          <w:spacing w:val="-5"/>
          <w:w w:val="105"/>
          <w:sz w:val="16"/>
        </w:rPr>
        <w:t xml:space="preserve"> </w:t>
      </w:r>
      <w:r w:rsidRPr="00EB2BD8">
        <w:rPr>
          <w:rFonts w:ascii="Arial"/>
          <w:w w:val="105"/>
          <w:sz w:val="16"/>
        </w:rPr>
        <w:t>regulates</w:t>
      </w:r>
      <w:r w:rsidRPr="00EB2BD8">
        <w:rPr>
          <w:rFonts w:ascii="Arial"/>
          <w:spacing w:val="-5"/>
          <w:w w:val="105"/>
          <w:sz w:val="16"/>
        </w:rPr>
        <w:t xml:space="preserve"> </w:t>
      </w:r>
      <w:r w:rsidRPr="00EB2BD8">
        <w:rPr>
          <w:rFonts w:ascii="Arial"/>
          <w:w w:val="105"/>
          <w:sz w:val="16"/>
        </w:rPr>
        <w:t>for</w:t>
      </w:r>
      <w:r w:rsidRPr="00EB2BD8">
        <w:rPr>
          <w:rFonts w:ascii="Arial"/>
          <w:spacing w:val="-5"/>
          <w:w w:val="105"/>
          <w:sz w:val="16"/>
        </w:rPr>
        <w:t xml:space="preserve"> </w:t>
      </w:r>
      <w:r w:rsidRPr="00EB2BD8">
        <w:rPr>
          <w:rFonts w:ascii="Arial"/>
          <w:w w:val="105"/>
          <w:sz w:val="16"/>
        </w:rPr>
        <w:t>a</w:t>
      </w:r>
      <w:r w:rsidRPr="00EB2BD8">
        <w:rPr>
          <w:rFonts w:ascii="Arial"/>
          <w:spacing w:val="-6"/>
          <w:w w:val="105"/>
          <w:sz w:val="16"/>
        </w:rPr>
        <w:t xml:space="preserve"> </w:t>
      </w:r>
      <w:r w:rsidRPr="00EB2BD8">
        <w:rPr>
          <w:rFonts w:ascii="Arial"/>
          <w:w w:val="105"/>
          <w:sz w:val="16"/>
        </w:rPr>
        <w:t>quality-built</w:t>
      </w:r>
      <w:r w:rsidRPr="00EB2BD8">
        <w:rPr>
          <w:rFonts w:ascii="Arial"/>
          <w:spacing w:val="-5"/>
          <w:w w:val="105"/>
          <w:sz w:val="16"/>
        </w:rPr>
        <w:t xml:space="preserve"> </w:t>
      </w:r>
      <w:r w:rsidRPr="00EB2BD8">
        <w:rPr>
          <w:rFonts w:ascii="Arial"/>
          <w:w w:val="105"/>
          <w:sz w:val="16"/>
        </w:rPr>
        <w:t>environment</w:t>
      </w:r>
      <w:r w:rsidRPr="00EB2BD8">
        <w:rPr>
          <w:rFonts w:ascii="Arial"/>
          <w:spacing w:val="-5"/>
          <w:w w:val="105"/>
          <w:sz w:val="16"/>
        </w:rPr>
        <w:t xml:space="preserve"> </w:t>
      </w:r>
      <w:r w:rsidRPr="00EB2BD8">
        <w:rPr>
          <w:rFonts w:ascii="Arial"/>
          <w:w w:val="105"/>
          <w:sz w:val="16"/>
        </w:rPr>
        <w:t>in</w:t>
      </w:r>
      <w:r w:rsidRPr="00EB2BD8">
        <w:rPr>
          <w:rFonts w:ascii="Arial"/>
          <w:spacing w:val="-6"/>
          <w:w w:val="105"/>
          <w:sz w:val="16"/>
        </w:rPr>
        <w:t xml:space="preserve"> </w:t>
      </w:r>
      <w:r w:rsidRPr="00EB2BD8">
        <w:rPr>
          <w:rFonts w:ascii="Arial"/>
          <w:w w:val="105"/>
          <w:sz w:val="16"/>
        </w:rPr>
        <w:t>Victoria.</w:t>
      </w:r>
      <w:r w:rsidRPr="00EB2BD8">
        <w:rPr>
          <w:rFonts w:ascii="Arial"/>
          <w:spacing w:val="-5"/>
          <w:w w:val="105"/>
          <w:sz w:val="16"/>
        </w:rPr>
        <w:t xml:space="preserve"> </w:t>
      </w:r>
      <w:r w:rsidRPr="00EB2BD8">
        <w:rPr>
          <w:rFonts w:ascii="Arial"/>
          <w:w w:val="105"/>
          <w:sz w:val="16"/>
        </w:rPr>
        <w:t>The VBA contributes to public health, safety and amenity by overseeing compliance with regulations, legal requirements, professional standards and encouraging continuous improvement. We do so in the interests of consumers and industry participants for the benefit of all Victorians.</w:t>
      </w:r>
    </w:p>
    <w:p w14:paraId="70711FBE" w14:textId="77777777" w:rsidR="00084F36" w:rsidRPr="00EB2BD8" w:rsidRDefault="00084F36">
      <w:pPr>
        <w:pStyle w:val="BodyText"/>
        <w:spacing w:before="3"/>
        <w:rPr>
          <w:rFonts w:ascii="Arial"/>
          <w:sz w:val="19"/>
        </w:rPr>
      </w:pPr>
    </w:p>
    <w:p w14:paraId="3EDBA346" w14:textId="77777777" w:rsidR="00084F36" w:rsidRPr="00EB2BD8" w:rsidRDefault="00EB2BD8">
      <w:pPr>
        <w:ind w:left="1053"/>
        <w:rPr>
          <w:rFonts w:ascii="Arial"/>
          <w:sz w:val="16"/>
        </w:rPr>
      </w:pPr>
      <w:r w:rsidRPr="00EB2BD8">
        <w:rPr>
          <w:rFonts w:ascii="Arial"/>
          <w:w w:val="105"/>
          <w:sz w:val="16"/>
        </w:rPr>
        <w:t>This</w:t>
      </w:r>
      <w:r w:rsidRPr="00EB2BD8">
        <w:rPr>
          <w:rFonts w:ascii="Arial"/>
          <w:spacing w:val="-7"/>
          <w:w w:val="105"/>
          <w:sz w:val="16"/>
        </w:rPr>
        <w:t xml:space="preserve"> </w:t>
      </w:r>
      <w:r w:rsidRPr="00EB2BD8">
        <w:rPr>
          <w:rFonts w:ascii="Arial"/>
          <w:w w:val="105"/>
          <w:sz w:val="16"/>
        </w:rPr>
        <w:t>section</w:t>
      </w:r>
      <w:r w:rsidRPr="00EB2BD8">
        <w:rPr>
          <w:rFonts w:ascii="Arial"/>
          <w:spacing w:val="-8"/>
          <w:w w:val="105"/>
          <w:sz w:val="16"/>
        </w:rPr>
        <w:t xml:space="preserve"> </w:t>
      </w:r>
      <w:r w:rsidRPr="00EB2BD8">
        <w:rPr>
          <w:rFonts w:ascii="Arial"/>
          <w:w w:val="105"/>
          <w:sz w:val="16"/>
        </w:rPr>
        <w:t>of</w:t>
      </w:r>
      <w:r w:rsidRPr="00EB2BD8">
        <w:rPr>
          <w:rFonts w:ascii="Arial"/>
          <w:spacing w:val="-5"/>
          <w:w w:val="105"/>
          <w:sz w:val="16"/>
        </w:rPr>
        <w:t xml:space="preserve"> </w:t>
      </w:r>
      <w:r w:rsidRPr="00EB2BD8">
        <w:rPr>
          <w:rFonts w:ascii="Arial"/>
          <w:w w:val="105"/>
          <w:sz w:val="16"/>
        </w:rPr>
        <w:t>the</w:t>
      </w:r>
      <w:r w:rsidRPr="00EB2BD8">
        <w:rPr>
          <w:rFonts w:ascii="Arial"/>
          <w:spacing w:val="-8"/>
          <w:w w:val="105"/>
          <w:sz w:val="16"/>
        </w:rPr>
        <w:t xml:space="preserve"> </w:t>
      </w:r>
      <w:r w:rsidRPr="00EB2BD8">
        <w:rPr>
          <w:rFonts w:ascii="Arial"/>
          <w:w w:val="105"/>
          <w:sz w:val="16"/>
        </w:rPr>
        <w:t>financial</w:t>
      </w:r>
      <w:r w:rsidRPr="00EB2BD8">
        <w:rPr>
          <w:rFonts w:ascii="Arial"/>
          <w:spacing w:val="-7"/>
          <w:w w:val="105"/>
          <w:sz w:val="16"/>
        </w:rPr>
        <w:t xml:space="preserve"> </w:t>
      </w:r>
      <w:r w:rsidRPr="00EB2BD8">
        <w:rPr>
          <w:rFonts w:ascii="Arial"/>
          <w:w w:val="105"/>
          <w:sz w:val="16"/>
        </w:rPr>
        <w:t>statements</w:t>
      </w:r>
      <w:r w:rsidRPr="00EB2BD8">
        <w:rPr>
          <w:rFonts w:ascii="Arial"/>
          <w:spacing w:val="-7"/>
          <w:w w:val="105"/>
          <w:sz w:val="16"/>
        </w:rPr>
        <w:t xml:space="preserve"> </w:t>
      </w:r>
      <w:r w:rsidRPr="00EB2BD8">
        <w:rPr>
          <w:rFonts w:ascii="Arial"/>
          <w:w w:val="105"/>
          <w:sz w:val="16"/>
        </w:rPr>
        <w:t>identifies</w:t>
      </w:r>
      <w:r w:rsidRPr="00EB2BD8">
        <w:rPr>
          <w:rFonts w:ascii="Arial"/>
          <w:spacing w:val="-7"/>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funding</w:t>
      </w:r>
      <w:r w:rsidRPr="00EB2BD8">
        <w:rPr>
          <w:rFonts w:ascii="Arial"/>
          <w:spacing w:val="-7"/>
          <w:w w:val="105"/>
          <w:sz w:val="16"/>
        </w:rPr>
        <w:t xml:space="preserve"> </w:t>
      </w:r>
      <w:r w:rsidRPr="00EB2BD8">
        <w:rPr>
          <w:rFonts w:ascii="Arial"/>
          <w:w w:val="105"/>
          <w:sz w:val="16"/>
        </w:rPr>
        <w:t>sources</w:t>
      </w:r>
      <w:r w:rsidRPr="00EB2BD8">
        <w:rPr>
          <w:rFonts w:ascii="Arial"/>
          <w:spacing w:val="-7"/>
          <w:w w:val="105"/>
          <w:sz w:val="16"/>
        </w:rPr>
        <w:t xml:space="preserve"> </w:t>
      </w:r>
      <w:r w:rsidRPr="00EB2BD8">
        <w:rPr>
          <w:rFonts w:ascii="Arial"/>
          <w:w w:val="105"/>
          <w:sz w:val="16"/>
        </w:rPr>
        <w:t>that</w:t>
      </w:r>
      <w:r w:rsidRPr="00EB2BD8">
        <w:rPr>
          <w:rFonts w:ascii="Arial"/>
          <w:spacing w:val="-6"/>
          <w:w w:val="105"/>
          <w:sz w:val="16"/>
        </w:rPr>
        <w:t xml:space="preserve"> </w:t>
      </w:r>
      <w:r w:rsidRPr="00EB2BD8">
        <w:rPr>
          <w:rFonts w:ascii="Arial"/>
          <w:w w:val="105"/>
          <w:sz w:val="16"/>
        </w:rPr>
        <w:t>enable</w:t>
      </w:r>
      <w:r w:rsidRPr="00EB2BD8">
        <w:rPr>
          <w:rFonts w:ascii="Arial"/>
          <w:spacing w:val="-8"/>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VBA</w:t>
      </w:r>
      <w:r w:rsidRPr="00EB2BD8">
        <w:rPr>
          <w:rFonts w:ascii="Arial"/>
          <w:spacing w:val="-6"/>
          <w:w w:val="105"/>
          <w:sz w:val="16"/>
        </w:rPr>
        <w:t xml:space="preserve"> </w:t>
      </w:r>
      <w:r w:rsidRPr="00EB2BD8">
        <w:rPr>
          <w:rFonts w:ascii="Arial"/>
          <w:w w:val="105"/>
          <w:sz w:val="16"/>
        </w:rPr>
        <w:t>to</w:t>
      </w:r>
      <w:r w:rsidRPr="00EB2BD8">
        <w:rPr>
          <w:rFonts w:ascii="Arial"/>
          <w:spacing w:val="-8"/>
          <w:w w:val="105"/>
          <w:sz w:val="16"/>
        </w:rPr>
        <w:t xml:space="preserve"> </w:t>
      </w:r>
      <w:r w:rsidRPr="00EB2BD8">
        <w:rPr>
          <w:rFonts w:ascii="Arial"/>
          <w:w w:val="105"/>
          <w:sz w:val="16"/>
        </w:rPr>
        <w:t>achieve</w:t>
      </w:r>
      <w:r w:rsidRPr="00EB2BD8">
        <w:rPr>
          <w:rFonts w:ascii="Arial"/>
          <w:spacing w:val="-7"/>
          <w:w w:val="105"/>
          <w:sz w:val="16"/>
        </w:rPr>
        <w:t xml:space="preserve"> </w:t>
      </w:r>
      <w:r w:rsidRPr="00EB2BD8">
        <w:rPr>
          <w:rFonts w:ascii="Arial"/>
          <w:w w:val="105"/>
          <w:sz w:val="16"/>
        </w:rPr>
        <w:t>these</w:t>
      </w:r>
      <w:r w:rsidRPr="00EB2BD8">
        <w:rPr>
          <w:rFonts w:ascii="Arial"/>
          <w:spacing w:val="-8"/>
          <w:w w:val="105"/>
          <w:sz w:val="16"/>
        </w:rPr>
        <w:t xml:space="preserve"> </w:t>
      </w:r>
      <w:r w:rsidRPr="00EB2BD8">
        <w:rPr>
          <w:rFonts w:ascii="Arial"/>
          <w:spacing w:val="-2"/>
          <w:w w:val="105"/>
          <w:sz w:val="16"/>
        </w:rPr>
        <w:t>objectives.</w:t>
      </w:r>
    </w:p>
    <w:p w14:paraId="0B1399F6" w14:textId="77777777" w:rsidR="00084F36" w:rsidRPr="00EB2BD8" w:rsidRDefault="00084F36">
      <w:pPr>
        <w:pStyle w:val="BodyText"/>
        <w:rPr>
          <w:rFonts w:ascii="Arial"/>
        </w:rPr>
      </w:pPr>
    </w:p>
    <w:p w14:paraId="0A062A91" w14:textId="77777777" w:rsidR="00084F36" w:rsidRPr="00EB2BD8" w:rsidRDefault="00EB2BD8" w:rsidP="00436F78">
      <w:pPr>
        <w:pStyle w:val="Heading2"/>
        <w:ind w:firstLine="203"/>
      </w:pPr>
      <w:bookmarkStart w:id="264" w:name="_Toc150762566"/>
      <w:r w:rsidRPr="00EB2BD8">
        <w:t>Structure</w:t>
      </w:r>
      <w:bookmarkEnd w:id="264"/>
    </w:p>
    <w:p w14:paraId="299BB8FF" w14:textId="77777777" w:rsidR="00084F36" w:rsidRPr="00EB2BD8" w:rsidRDefault="00EB2BD8">
      <w:pPr>
        <w:pStyle w:val="ListParagraph"/>
        <w:numPr>
          <w:ilvl w:val="1"/>
          <w:numId w:val="49"/>
        </w:numPr>
        <w:tabs>
          <w:tab w:val="left" w:pos="1580"/>
        </w:tabs>
        <w:spacing w:before="153"/>
        <w:rPr>
          <w:rFonts w:ascii="Arial"/>
          <w:sz w:val="16"/>
        </w:rPr>
      </w:pPr>
      <w:r w:rsidRPr="00EB2BD8">
        <w:rPr>
          <w:rFonts w:ascii="Arial"/>
          <w:w w:val="105"/>
          <w:sz w:val="16"/>
        </w:rPr>
        <w:t>Levies,</w:t>
      </w:r>
      <w:r w:rsidRPr="00EB2BD8">
        <w:rPr>
          <w:rFonts w:ascii="Arial"/>
          <w:spacing w:val="-7"/>
          <w:w w:val="105"/>
          <w:sz w:val="16"/>
        </w:rPr>
        <w:t xml:space="preserve"> </w:t>
      </w:r>
      <w:r w:rsidRPr="00EB2BD8">
        <w:rPr>
          <w:rFonts w:ascii="Arial"/>
          <w:w w:val="105"/>
          <w:sz w:val="16"/>
        </w:rPr>
        <w:t>fees</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fines</w:t>
      </w:r>
      <w:r w:rsidRPr="00EB2BD8">
        <w:rPr>
          <w:rFonts w:ascii="Arial"/>
          <w:spacing w:val="-7"/>
          <w:w w:val="105"/>
          <w:sz w:val="16"/>
        </w:rPr>
        <w:t xml:space="preserve"> </w:t>
      </w:r>
      <w:r w:rsidRPr="00EB2BD8">
        <w:rPr>
          <w:rFonts w:ascii="Arial"/>
          <w:spacing w:val="-2"/>
          <w:w w:val="105"/>
          <w:sz w:val="16"/>
        </w:rPr>
        <w:t>revenue</w:t>
      </w:r>
    </w:p>
    <w:p w14:paraId="5614CA94" w14:textId="77777777" w:rsidR="00084F36" w:rsidRPr="00EB2BD8" w:rsidRDefault="00EB2BD8">
      <w:pPr>
        <w:pStyle w:val="ListParagraph"/>
        <w:numPr>
          <w:ilvl w:val="1"/>
          <w:numId w:val="49"/>
        </w:numPr>
        <w:tabs>
          <w:tab w:val="left" w:pos="1580"/>
        </w:tabs>
        <w:spacing w:before="37"/>
        <w:rPr>
          <w:rFonts w:ascii="Arial"/>
          <w:sz w:val="16"/>
        </w:rPr>
      </w:pPr>
      <w:r w:rsidRPr="00EB2BD8">
        <w:rPr>
          <w:rFonts w:ascii="Arial"/>
          <w:w w:val="105"/>
          <w:sz w:val="16"/>
        </w:rPr>
        <w:t>Grant</w:t>
      </w:r>
      <w:r w:rsidRPr="00EB2BD8">
        <w:rPr>
          <w:rFonts w:ascii="Arial"/>
          <w:spacing w:val="-7"/>
          <w:w w:val="105"/>
          <w:sz w:val="16"/>
        </w:rPr>
        <w:t xml:space="preserve"> </w:t>
      </w:r>
      <w:r w:rsidRPr="00EB2BD8">
        <w:rPr>
          <w:rFonts w:ascii="Arial"/>
          <w:spacing w:val="-2"/>
          <w:w w:val="105"/>
          <w:sz w:val="16"/>
        </w:rPr>
        <w:t>income</w:t>
      </w:r>
    </w:p>
    <w:p w14:paraId="76AC7597" w14:textId="77777777" w:rsidR="00084F36" w:rsidRPr="00EB2BD8" w:rsidRDefault="00EB2BD8">
      <w:pPr>
        <w:pStyle w:val="ListParagraph"/>
        <w:numPr>
          <w:ilvl w:val="1"/>
          <w:numId w:val="49"/>
        </w:numPr>
        <w:tabs>
          <w:tab w:val="left" w:pos="1580"/>
        </w:tabs>
        <w:spacing w:before="37"/>
        <w:rPr>
          <w:rFonts w:ascii="Arial"/>
          <w:sz w:val="16"/>
        </w:rPr>
      </w:pPr>
      <w:r w:rsidRPr="00EB2BD8">
        <w:rPr>
          <w:rFonts w:ascii="Arial"/>
          <w:w w:val="105"/>
          <w:sz w:val="16"/>
        </w:rPr>
        <w:t>Interest</w:t>
      </w:r>
      <w:r w:rsidRPr="00EB2BD8">
        <w:rPr>
          <w:rFonts w:ascii="Arial"/>
          <w:spacing w:val="-9"/>
          <w:w w:val="105"/>
          <w:sz w:val="16"/>
        </w:rPr>
        <w:t xml:space="preserve"> </w:t>
      </w:r>
      <w:r w:rsidRPr="00EB2BD8">
        <w:rPr>
          <w:rFonts w:ascii="Arial"/>
          <w:spacing w:val="-2"/>
          <w:w w:val="105"/>
          <w:sz w:val="16"/>
        </w:rPr>
        <w:t>income</w:t>
      </w:r>
    </w:p>
    <w:p w14:paraId="51281C4A" w14:textId="77777777" w:rsidR="00084F36" w:rsidRPr="00EB2BD8" w:rsidRDefault="00084F36">
      <w:pPr>
        <w:pStyle w:val="BodyText"/>
        <w:spacing w:before="11"/>
        <w:rPr>
          <w:rFonts w:ascii="Arial"/>
          <w:sz w:val="14"/>
        </w:rPr>
      </w:pPr>
    </w:p>
    <w:p w14:paraId="0AD2153C" w14:textId="77777777" w:rsidR="00084F36" w:rsidRPr="00EB2BD8" w:rsidRDefault="00EB2BD8">
      <w:pPr>
        <w:spacing w:line="288" w:lineRule="auto"/>
        <w:ind w:left="1053" w:right="1155"/>
        <w:rPr>
          <w:rFonts w:ascii="Arial"/>
          <w:sz w:val="16"/>
        </w:rPr>
      </w:pPr>
      <w:r w:rsidRPr="00EB2BD8">
        <w:rPr>
          <w:rFonts w:ascii="Arial"/>
          <w:w w:val="105"/>
          <w:sz w:val="16"/>
        </w:rPr>
        <w:t>Revenue</w:t>
      </w:r>
      <w:r w:rsidRPr="00EB2BD8">
        <w:rPr>
          <w:rFonts w:ascii="Arial"/>
          <w:spacing w:val="-5"/>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income</w:t>
      </w:r>
      <w:r w:rsidRPr="00EB2BD8">
        <w:rPr>
          <w:rFonts w:ascii="Arial"/>
          <w:spacing w:val="-6"/>
          <w:w w:val="105"/>
          <w:sz w:val="16"/>
        </w:rPr>
        <w:t xml:space="preserve"> </w:t>
      </w:r>
      <w:r w:rsidRPr="00EB2BD8">
        <w:rPr>
          <w:rFonts w:ascii="Arial"/>
          <w:w w:val="105"/>
          <w:sz w:val="16"/>
        </w:rPr>
        <w:t>that</w:t>
      </w:r>
      <w:r w:rsidRPr="00EB2BD8">
        <w:rPr>
          <w:rFonts w:ascii="Arial"/>
          <w:spacing w:val="-5"/>
          <w:w w:val="105"/>
          <w:sz w:val="16"/>
        </w:rPr>
        <w:t xml:space="preserve"> </w:t>
      </w:r>
      <w:r w:rsidRPr="00EB2BD8">
        <w:rPr>
          <w:rFonts w:ascii="Arial"/>
          <w:w w:val="105"/>
          <w:sz w:val="16"/>
        </w:rPr>
        <w:t>fund</w:t>
      </w:r>
      <w:r w:rsidRPr="00EB2BD8">
        <w:rPr>
          <w:rFonts w:ascii="Arial"/>
          <w:spacing w:val="-6"/>
          <w:w w:val="105"/>
          <w:sz w:val="16"/>
        </w:rPr>
        <w:t xml:space="preserve"> </w:t>
      </w:r>
      <w:r w:rsidRPr="00EB2BD8">
        <w:rPr>
          <w:rFonts w:ascii="Arial"/>
          <w:w w:val="105"/>
          <w:sz w:val="16"/>
        </w:rPr>
        <w:t>delivery</w:t>
      </w:r>
      <w:r w:rsidRPr="00EB2BD8">
        <w:rPr>
          <w:rFonts w:ascii="Arial"/>
          <w:spacing w:val="-5"/>
          <w:w w:val="105"/>
          <w:sz w:val="16"/>
        </w:rPr>
        <w:t xml:space="preserve"> </w:t>
      </w:r>
      <w:r w:rsidRPr="00EB2BD8">
        <w:rPr>
          <w:rFonts w:ascii="Arial"/>
          <w:w w:val="105"/>
          <w:sz w:val="16"/>
        </w:rPr>
        <w:t>of</w:t>
      </w:r>
      <w:r w:rsidRPr="00EB2BD8">
        <w:rPr>
          <w:rFonts w:ascii="Arial"/>
          <w:spacing w:val="-5"/>
          <w:w w:val="105"/>
          <w:sz w:val="16"/>
        </w:rPr>
        <w:t xml:space="preserve"> </w:t>
      </w:r>
      <w:r w:rsidRPr="00EB2BD8">
        <w:rPr>
          <w:rFonts w:ascii="Arial"/>
          <w:w w:val="105"/>
          <w:sz w:val="16"/>
        </w:rPr>
        <w:t>our</w:t>
      </w:r>
      <w:r w:rsidRPr="00EB2BD8">
        <w:rPr>
          <w:rFonts w:ascii="Arial"/>
          <w:spacing w:val="-5"/>
          <w:w w:val="105"/>
          <w:sz w:val="16"/>
        </w:rPr>
        <w:t xml:space="preserve"> </w:t>
      </w:r>
      <w:r w:rsidRPr="00EB2BD8">
        <w:rPr>
          <w:rFonts w:ascii="Arial"/>
          <w:w w:val="105"/>
          <w:sz w:val="16"/>
        </w:rPr>
        <w:t>services</w:t>
      </w:r>
      <w:r w:rsidRPr="00EB2BD8">
        <w:rPr>
          <w:rFonts w:ascii="Arial"/>
          <w:spacing w:val="-5"/>
          <w:w w:val="105"/>
          <w:sz w:val="16"/>
        </w:rPr>
        <w:t xml:space="preserve"> </w:t>
      </w:r>
      <w:r w:rsidRPr="00EB2BD8">
        <w:rPr>
          <w:rFonts w:ascii="Arial"/>
          <w:w w:val="105"/>
          <w:sz w:val="16"/>
        </w:rPr>
        <w:t>are</w:t>
      </w:r>
      <w:r w:rsidRPr="00EB2BD8">
        <w:rPr>
          <w:rFonts w:ascii="Arial"/>
          <w:spacing w:val="-5"/>
          <w:w w:val="105"/>
          <w:sz w:val="16"/>
        </w:rPr>
        <w:t xml:space="preserve"> </w:t>
      </w:r>
      <w:r w:rsidRPr="00EB2BD8">
        <w:rPr>
          <w:rFonts w:ascii="Arial"/>
          <w:w w:val="105"/>
          <w:sz w:val="16"/>
        </w:rPr>
        <w:t>accounted</w:t>
      </w:r>
      <w:r w:rsidRPr="00EB2BD8">
        <w:rPr>
          <w:rFonts w:ascii="Arial"/>
          <w:spacing w:val="-6"/>
          <w:w w:val="105"/>
          <w:sz w:val="16"/>
        </w:rPr>
        <w:t xml:space="preserve"> </w:t>
      </w:r>
      <w:r w:rsidRPr="00EB2BD8">
        <w:rPr>
          <w:rFonts w:ascii="Arial"/>
          <w:w w:val="105"/>
          <w:sz w:val="16"/>
        </w:rPr>
        <w:t>for</w:t>
      </w:r>
      <w:r w:rsidRPr="00EB2BD8">
        <w:rPr>
          <w:rFonts w:ascii="Arial"/>
          <w:spacing w:val="-4"/>
          <w:w w:val="105"/>
          <w:sz w:val="16"/>
        </w:rPr>
        <w:t xml:space="preserve"> </w:t>
      </w:r>
      <w:r w:rsidRPr="00EB2BD8">
        <w:rPr>
          <w:rFonts w:ascii="Arial"/>
          <w:w w:val="105"/>
          <w:sz w:val="16"/>
        </w:rPr>
        <w:t>consistently</w:t>
      </w:r>
      <w:r w:rsidRPr="00EB2BD8">
        <w:rPr>
          <w:rFonts w:ascii="Arial"/>
          <w:spacing w:val="-4"/>
          <w:w w:val="105"/>
          <w:sz w:val="16"/>
        </w:rPr>
        <w:t xml:space="preserve"> </w:t>
      </w:r>
      <w:r w:rsidRPr="00EB2BD8">
        <w:rPr>
          <w:rFonts w:ascii="Arial"/>
          <w:w w:val="105"/>
          <w:sz w:val="16"/>
        </w:rPr>
        <w:t>with</w:t>
      </w:r>
      <w:r w:rsidRPr="00EB2BD8">
        <w:rPr>
          <w:rFonts w:ascii="Arial"/>
          <w:spacing w:val="-6"/>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requirements</w:t>
      </w:r>
      <w:r w:rsidRPr="00EB2BD8">
        <w:rPr>
          <w:rFonts w:ascii="Arial"/>
          <w:spacing w:val="-5"/>
          <w:w w:val="105"/>
          <w:sz w:val="16"/>
        </w:rPr>
        <w:t xml:space="preserve"> </w:t>
      </w:r>
      <w:r w:rsidRPr="00EB2BD8">
        <w:rPr>
          <w:rFonts w:ascii="Arial"/>
          <w:w w:val="105"/>
          <w:sz w:val="16"/>
        </w:rPr>
        <w:t>of</w:t>
      </w:r>
      <w:r w:rsidRPr="00EB2BD8">
        <w:rPr>
          <w:rFonts w:ascii="Arial"/>
          <w:spacing w:val="-5"/>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relevant accounting standards disclosed in the following notes.</w:t>
      </w:r>
    </w:p>
    <w:p w14:paraId="388543D0" w14:textId="77777777" w:rsidR="00084F36" w:rsidRPr="00EB2BD8" w:rsidRDefault="00084F36">
      <w:pPr>
        <w:pStyle w:val="BodyText"/>
        <w:rPr>
          <w:rFonts w:ascii="Arial"/>
        </w:rPr>
      </w:pPr>
    </w:p>
    <w:p w14:paraId="6B87520F" w14:textId="77777777" w:rsidR="00084F36" w:rsidRPr="00EB2BD8" w:rsidRDefault="00084F36">
      <w:pPr>
        <w:pStyle w:val="BodyText"/>
        <w:spacing w:before="2"/>
        <w:rPr>
          <w:rFonts w:ascii="Arial"/>
          <w:sz w:val="20"/>
        </w:rPr>
      </w:pPr>
    </w:p>
    <w:p w14:paraId="4163FEF0" w14:textId="4CDC4DB3" w:rsidR="00084F36" w:rsidRPr="00EB2BD8" w:rsidRDefault="004D7D83" w:rsidP="004D7D83">
      <w:pPr>
        <w:pStyle w:val="Heading2"/>
        <w:ind w:firstLine="203"/>
      </w:pPr>
      <w:bookmarkStart w:id="265" w:name="_Toc150762567"/>
      <w:r>
        <w:t>2.1 L</w:t>
      </w:r>
      <w:r w:rsidRPr="00EB2BD8">
        <w:t>evies,</w:t>
      </w:r>
      <w:r w:rsidRPr="00EB2BD8">
        <w:rPr>
          <w:spacing w:val="6"/>
        </w:rPr>
        <w:t xml:space="preserve"> </w:t>
      </w:r>
      <w:r w:rsidRPr="00EB2BD8">
        <w:t>fees</w:t>
      </w:r>
      <w:r w:rsidRPr="00EB2BD8">
        <w:rPr>
          <w:spacing w:val="7"/>
        </w:rPr>
        <w:t xml:space="preserve"> </w:t>
      </w:r>
      <w:r w:rsidRPr="00EB2BD8">
        <w:t>and</w:t>
      </w:r>
      <w:r w:rsidRPr="00EB2BD8">
        <w:rPr>
          <w:spacing w:val="7"/>
        </w:rPr>
        <w:t xml:space="preserve"> </w:t>
      </w:r>
      <w:r w:rsidRPr="00EB2BD8">
        <w:t>fines</w:t>
      </w:r>
      <w:r w:rsidRPr="00EB2BD8">
        <w:rPr>
          <w:spacing w:val="7"/>
        </w:rPr>
        <w:t xml:space="preserve"> </w:t>
      </w:r>
      <w:r w:rsidRPr="00EB2BD8">
        <w:rPr>
          <w:spacing w:val="-2"/>
        </w:rPr>
        <w:t>revenue</w:t>
      </w:r>
      <w:bookmarkEnd w:id="265"/>
    </w:p>
    <w:p w14:paraId="34380FD6" w14:textId="77777777" w:rsidR="00084F36" w:rsidRPr="00EB2BD8" w:rsidRDefault="00084F36">
      <w:pPr>
        <w:pStyle w:val="BodyText"/>
        <w:spacing w:before="3"/>
        <w:rPr>
          <w:rFonts w:ascii="Arial"/>
          <w:b/>
          <w:sz w:val="21"/>
        </w:rPr>
      </w:pPr>
    </w:p>
    <w:p w14:paraId="65C445A1" w14:textId="77777777" w:rsidR="00084F36" w:rsidRPr="00EB2BD8" w:rsidRDefault="00EB2BD8">
      <w:pPr>
        <w:ind w:right="1794"/>
        <w:jc w:val="right"/>
        <w:rPr>
          <w:rFonts w:ascii="Arial" w:hAnsi="Arial"/>
          <w:sz w:val="16"/>
        </w:rPr>
      </w:pPr>
      <w:r w:rsidRPr="00EB2BD8">
        <w:rPr>
          <w:rFonts w:ascii="Arial" w:hAnsi="Arial"/>
          <w:spacing w:val="-2"/>
          <w:w w:val="105"/>
          <w:sz w:val="16"/>
        </w:rPr>
        <w:t>($’000)</w:t>
      </w:r>
    </w:p>
    <w:p w14:paraId="35B016DE" w14:textId="77777777" w:rsidR="00084F36" w:rsidRPr="00EB2BD8" w:rsidRDefault="00084F36">
      <w:pPr>
        <w:pStyle w:val="BodyText"/>
        <w:spacing w:before="6"/>
        <w:rPr>
          <w:rFonts w:ascii="Arial"/>
          <w:sz w:val="5"/>
        </w:rPr>
      </w:pPr>
    </w:p>
    <w:tbl>
      <w:tblPr>
        <w:tblW w:w="0" w:type="auto"/>
        <w:tblInd w:w="1061" w:type="dxa"/>
        <w:tblLayout w:type="fixed"/>
        <w:tblCellMar>
          <w:left w:w="0" w:type="dxa"/>
          <w:right w:w="0" w:type="dxa"/>
        </w:tblCellMar>
        <w:tblLook w:val="01E0" w:firstRow="1" w:lastRow="1" w:firstColumn="1" w:lastColumn="1" w:noHBand="0" w:noVBand="0"/>
      </w:tblPr>
      <w:tblGrid>
        <w:gridCol w:w="5919"/>
        <w:gridCol w:w="1709"/>
        <w:gridCol w:w="1528"/>
      </w:tblGrid>
      <w:tr w:rsidR="00EB2BD8" w:rsidRPr="00EB2BD8" w14:paraId="3ADDE91A" w14:textId="77777777">
        <w:trPr>
          <w:trHeight w:val="262"/>
        </w:trPr>
        <w:tc>
          <w:tcPr>
            <w:tcW w:w="5919" w:type="dxa"/>
            <w:tcBorders>
              <w:top w:val="single" w:sz="4" w:space="0" w:color="0098FF"/>
              <w:left w:val="single" w:sz="4" w:space="0" w:color="0098FF"/>
              <w:bottom w:val="single" w:sz="4" w:space="0" w:color="0098FF"/>
            </w:tcBorders>
            <w:shd w:val="clear" w:color="auto" w:fill="0070C0"/>
          </w:tcPr>
          <w:p w14:paraId="3F6A1346" w14:textId="77777777" w:rsidR="00084F36" w:rsidRPr="00EB2BD8" w:rsidRDefault="00EB2BD8">
            <w:pPr>
              <w:pStyle w:val="TableParagraph"/>
              <w:spacing w:before="42"/>
              <w:ind w:left="99"/>
              <w:rPr>
                <w:rFonts w:ascii="Arial"/>
                <w:b/>
                <w:sz w:val="16"/>
              </w:rPr>
            </w:pPr>
            <w:r w:rsidRPr="00EB2BD8">
              <w:rPr>
                <w:rFonts w:ascii="Arial"/>
                <w:b/>
                <w:w w:val="105"/>
                <w:sz w:val="16"/>
              </w:rPr>
              <w:t>Revenue</w:t>
            </w:r>
            <w:r w:rsidRPr="00EB2BD8">
              <w:rPr>
                <w:rFonts w:ascii="Arial"/>
                <w:b/>
                <w:spacing w:val="-9"/>
                <w:w w:val="105"/>
                <w:sz w:val="16"/>
              </w:rPr>
              <w:t xml:space="preserve"> </w:t>
            </w:r>
            <w:r w:rsidRPr="00EB2BD8">
              <w:rPr>
                <w:rFonts w:ascii="Arial"/>
                <w:b/>
                <w:w w:val="105"/>
                <w:sz w:val="16"/>
              </w:rPr>
              <w:t>from</w:t>
            </w:r>
            <w:r w:rsidRPr="00EB2BD8">
              <w:rPr>
                <w:rFonts w:ascii="Arial"/>
                <w:b/>
                <w:spacing w:val="-8"/>
                <w:w w:val="105"/>
                <w:sz w:val="16"/>
              </w:rPr>
              <w:t xml:space="preserve"> </w:t>
            </w:r>
            <w:r w:rsidRPr="00EB2BD8">
              <w:rPr>
                <w:rFonts w:ascii="Arial"/>
                <w:b/>
                <w:w w:val="105"/>
                <w:sz w:val="16"/>
              </w:rPr>
              <w:t>contracts</w:t>
            </w:r>
            <w:r w:rsidRPr="00EB2BD8">
              <w:rPr>
                <w:rFonts w:ascii="Arial"/>
                <w:b/>
                <w:spacing w:val="-9"/>
                <w:w w:val="105"/>
                <w:sz w:val="16"/>
              </w:rPr>
              <w:t xml:space="preserve"> </w:t>
            </w:r>
            <w:r w:rsidRPr="00EB2BD8">
              <w:rPr>
                <w:rFonts w:ascii="Arial"/>
                <w:b/>
                <w:w w:val="105"/>
                <w:sz w:val="16"/>
              </w:rPr>
              <w:t>with</w:t>
            </w:r>
            <w:r w:rsidRPr="00EB2BD8">
              <w:rPr>
                <w:rFonts w:ascii="Arial"/>
                <w:b/>
                <w:spacing w:val="-7"/>
                <w:w w:val="105"/>
                <w:sz w:val="16"/>
              </w:rPr>
              <w:t xml:space="preserve"> </w:t>
            </w:r>
            <w:r w:rsidRPr="00EB2BD8">
              <w:rPr>
                <w:rFonts w:ascii="Arial"/>
                <w:b/>
                <w:spacing w:val="-2"/>
                <w:w w:val="105"/>
                <w:sz w:val="16"/>
              </w:rPr>
              <w:t>customers</w:t>
            </w:r>
          </w:p>
        </w:tc>
        <w:tc>
          <w:tcPr>
            <w:tcW w:w="1709" w:type="dxa"/>
            <w:tcBorders>
              <w:top w:val="single" w:sz="4" w:space="0" w:color="0098FF"/>
              <w:bottom w:val="single" w:sz="4" w:space="0" w:color="0098FF"/>
            </w:tcBorders>
            <w:shd w:val="clear" w:color="auto" w:fill="0070C0"/>
          </w:tcPr>
          <w:p w14:paraId="637228FD" w14:textId="77777777" w:rsidR="00084F36" w:rsidRPr="00EB2BD8" w:rsidRDefault="00EB2BD8">
            <w:pPr>
              <w:pStyle w:val="TableParagraph"/>
              <w:spacing w:before="42"/>
              <w:ind w:right="93"/>
              <w:jc w:val="right"/>
              <w:rPr>
                <w:rFonts w:ascii="Arial"/>
                <w:b/>
                <w:sz w:val="16"/>
              </w:rPr>
            </w:pPr>
            <w:r w:rsidRPr="00EB2BD8">
              <w:rPr>
                <w:rFonts w:ascii="Arial"/>
                <w:b/>
                <w:spacing w:val="-4"/>
                <w:w w:val="105"/>
                <w:sz w:val="16"/>
              </w:rPr>
              <w:t>2023</w:t>
            </w:r>
          </w:p>
        </w:tc>
        <w:tc>
          <w:tcPr>
            <w:tcW w:w="1528" w:type="dxa"/>
            <w:tcBorders>
              <w:top w:val="single" w:sz="4" w:space="0" w:color="0098FF"/>
              <w:bottom w:val="single" w:sz="4" w:space="0" w:color="0098FF"/>
              <w:right w:val="single" w:sz="4" w:space="0" w:color="0098FF"/>
            </w:tcBorders>
            <w:shd w:val="clear" w:color="auto" w:fill="0070C0"/>
          </w:tcPr>
          <w:p w14:paraId="2D9B5378" w14:textId="77777777" w:rsidR="00084F36" w:rsidRPr="00EB2BD8" w:rsidRDefault="00EB2BD8">
            <w:pPr>
              <w:pStyle w:val="TableParagraph"/>
              <w:spacing w:before="42"/>
              <w:ind w:right="88"/>
              <w:jc w:val="right"/>
              <w:rPr>
                <w:rFonts w:ascii="Arial"/>
                <w:b/>
                <w:sz w:val="16"/>
              </w:rPr>
            </w:pPr>
            <w:r w:rsidRPr="00EB2BD8">
              <w:rPr>
                <w:rFonts w:ascii="Arial"/>
                <w:b/>
                <w:spacing w:val="-4"/>
                <w:w w:val="105"/>
                <w:sz w:val="16"/>
              </w:rPr>
              <w:t>2022</w:t>
            </w:r>
          </w:p>
        </w:tc>
      </w:tr>
      <w:tr w:rsidR="00EB2BD8" w:rsidRPr="00EB2BD8" w14:paraId="7F69E0FC" w14:textId="77777777">
        <w:trPr>
          <w:trHeight w:val="310"/>
        </w:trPr>
        <w:tc>
          <w:tcPr>
            <w:tcW w:w="5919" w:type="dxa"/>
            <w:tcBorders>
              <w:top w:val="single" w:sz="4" w:space="0" w:color="0098FF"/>
            </w:tcBorders>
            <w:shd w:val="clear" w:color="auto" w:fill="FFFFFF"/>
          </w:tcPr>
          <w:p w14:paraId="6E44615C" w14:textId="77777777" w:rsidR="00084F36" w:rsidRPr="00EB2BD8" w:rsidRDefault="00EB2BD8">
            <w:pPr>
              <w:pStyle w:val="TableParagraph"/>
              <w:spacing w:before="50"/>
              <w:ind w:left="104"/>
              <w:rPr>
                <w:rFonts w:ascii="Arial" w:hAnsi="Arial"/>
                <w:sz w:val="11"/>
              </w:rPr>
            </w:pPr>
            <w:r w:rsidRPr="00EB2BD8">
              <w:rPr>
                <w:rFonts w:ascii="Arial" w:hAnsi="Arial"/>
                <w:w w:val="105"/>
                <w:sz w:val="16"/>
              </w:rPr>
              <w:t>Building-permit</w:t>
            </w:r>
            <w:r w:rsidRPr="00EB2BD8">
              <w:rPr>
                <w:rFonts w:ascii="Arial" w:hAnsi="Arial"/>
                <w:spacing w:val="-9"/>
                <w:w w:val="105"/>
                <w:sz w:val="16"/>
              </w:rPr>
              <w:t xml:space="preserve"> </w:t>
            </w:r>
            <w:r w:rsidRPr="00EB2BD8">
              <w:rPr>
                <w:rFonts w:ascii="Arial" w:hAnsi="Arial"/>
                <w:w w:val="105"/>
                <w:sz w:val="16"/>
              </w:rPr>
              <w:t>levy</w:t>
            </w:r>
            <w:r w:rsidRPr="00EB2BD8">
              <w:rPr>
                <w:rFonts w:ascii="Arial" w:hAnsi="Arial"/>
                <w:spacing w:val="-8"/>
                <w:w w:val="105"/>
                <w:sz w:val="16"/>
              </w:rPr>
              <w:t xml:space="preserve"> </w:t>
            </w:r>
            <w:r w:rsidRPr="00EB2BD8">
              <w:rPr>
                <w:rFonts w:ascii="Arial" w:hAnsi="Arial"/>
                <w:w w:val="105"/>
                <w:sz w:val="16"/>
              </w:rPr>
              <w:t>–</w:t>
            </w:r>
            <w:r w:rsidRPr="00EB2BD8">
              <w:rPr>
                <w:rFonts w:ascii="Arial" w:hAnsi="Arial"/>
                <w:spacing w:val="-9"/>
                <w:w w:val="105"/>
                <w:sz w:val="16"/>
              </w:rPr>
              <w:t xml:space="preserve"> </w:t>
            </w:r>
            <w:r w:rsidRPr="00EB2BD8">
              <w:rPr>
                <w:rFonts w:ascii="Arial" w:hAnsi="Arial"/>
                <w:w w:val="105"/>
                <w:sz w:val="16"/>
              </w:rPr>
              <w:t>general</w:t>
            </w:r>
            <w:r w:rsidRPr="00EB2BD8">
              <w:rPr>
                <w:rFonts w:ascii="Arial" w:hAnsi="Arial"/>
                <w:spacing w:val="-9"/>
                <w:w w:val="105"/>
                <w:sz w:val="16"/>
              </w:rPr>
              <w:t xml:space="preserve"> </w:t>
            </w:r>
            <w:r w:rsidRPr="00EB2BD8">
              <w:rPr>
                <w:rFonts w:ascii="Arial" w:hAnsi="Arial"/>
                <w:spacing w:val="-2"/>
                <w:w w:val="105"/>
                <w:sz w:val="16"/>
              </w:rPr>
              <w:t>levy</w:t>
            </w:r>
            <w:r w:rsidRPr="00EB2BD8">
              <w:rPr>
                <w:rFonts w:ascii="Arial" w:hAnsi="Arial"/>
                <w:spacing w:val="-2"/>
                <w:w w:val="105"/>
                <w:position w:val="6"/>
                <w:sz w:val="11"/>
              </w:rPr>
              <w:t>(a)</w:t>
            </w:r>
          </w:p>
        </w:tc>
        <w:tc>
          <w:tcPr>
            <w:tcW w:w="1709" w:type="dxa"/>
            <w:tcBorders>
              <w:top w:val="single" w:sz="4" w:space="0" w:color="0098FF"/>
            </w:tcBorders>
            <w:shd w:val="clear" w:color="auto" w:fill="DEEAF6"/>
          </w:tcPr>
          <w:p w14:paraId="5057FB3C" w14:textId="77777777" w:rsidR="00084F36" w:rsidRPr="00EB2BD8" w:rsidRDefault="00EB2BD8">
            <w:pPr>
              <w:pStyle w:val="TableParagraph"/>
              <w:spacing w:before="63"/>
              <w:ind w:right="93"/>
              <w:jc w:val="right"/>
              <w:rPr>
                <w:rFonts w:ascii="Arial"/>
                <w:sz w:val="16"/>
              </w:rPr>
            </w:pPr>
            <w:r w:rsidRPr="00EB2BD8">
              <w:rPr>
                <w:rFonts w:ascii="Arial"/>
                <w:spacing w:val="-2"/>
                <w:w w:val="105"/>
                <w:sz w:val="16"/>
              </w:rPr>
              <w:t>29,869</w:t>
            </w:r>
          </w:p>
        </w:tc>
        <w:tc>
          <w:tcPr>
            <w:tcW w:w="1528" w:type="dxa"/>
            <w:tcBorders>
              <w:top w:val="single" w:sz="4" w:space="0" w:color="0098FF"/>
            </w:tcBorders>
            <w:shd w:val="clear" w:color="auto" w:fill="FFFFFF"/>
          </w:tcPr>
          <w:p w14:paraId="5A4E0D87" w14:textId="77777777" w:rsidR="00084F36" w:rsidRPr="00EB2BD8" w:rsidRDefault="00EB2BD8">
            <w:pPr>
              <w:pStyle w:val="TableParagraph"/>
              <w:spacing w:before="63"/>
              <w:ind w:right="92"/>
              <w:jc w:val="right"/>
              <w:rPr>
                <w:rFonts w:ascii="Arial"/>
                <w:sz w:val="16"/>
              </w:rPr>
            </w:pPr>
            <w:r w:rsidRPr="00EB2BD8">
              <w:rPr>
                <w:rFonts w:ascii="Arial"/>
                <w:spacing w:val="-2"/>
                <w:w w:val="105"/>
                <w:sz w:val="16"/>
              </w:rPr>
              <w:t>28,471</w:t>
            </w:r>
          </w:p>
        </w:tc>
      </w:tr>
      <w:tr w:rsidR="00EB2BD8" w:rsidRPr="00EB2BD8" w14:paraId="1D484331" w14:textId="77777777">
        <w:trPr>
          <w:trHeight w:val="313"/>
        </w:trPr>
        <w:tc>
          <w:tcPr>
            <w:tcW w:w="5919" w:type="dxa"/>
            <w:shd w:val="clear" w:color="auto" w:fill="FFFFFF"/>
          </w:tcPr>
          <w:p w14:paraId="1BE927CC" w14:textId="77777777" w:rsidR="00084F36" w:rsidRPr="00EB2BD8" w:rsidRDefault="00EB2BD8">
            <w:pPr>
              <w:pStyle w:val="TableParagraph"/>
              <w:spacing w:before="50"/>
              <w:ind w:left="104"/>
              <w:rPr>
                <w:rFonts w:ascii="Arial" w:hAnsi="Arial"/>
                <w:sz w:val="11"/>
              </w:rPr>
            </w:pPr>
            <w:r w:rsidRPr="00EB2BD8">
              <w:rPr>
                <w:rFonts w:ascii="Arial" w:hAnsi="Arial"/>
                <w:w w:val="105"/>
                <w:sz w:val="16"/>
              </w:rPr>
              <w:t>Building-permit</w:t>
            </w:r>
            <w:r w:rsidRPr="00EB2BD8">
              <w:rPr>
                <w:rFonts w:ascii="Arial" w:hAnsi="Arial"/>
                <w:spacing w:val="-9"/>
                <w:w w:val="105"/>
                <w:sz w:val="16"/>
              </w:rPr>
              <w:t xml:space="preserve"> </w:t>
            </w:r>
            <w:r w:rsidRPr="00EB2BD8">
              <w:rPr>
                <w:rFonts w:ascii="Arial" w:hAnsi="Arial"/>
                <w:w w:val="105"/>
                <w:sz w:val="16"/>
              </w:rPr>
              <w:t>levy</w:t>
            </w:r>
            <w:r w:rsidRPr="00EB2BD8">
              <w:rPr>
                <w:rFonts w:ascii="Arial" w:hAnsi="Arial"/>
                <w:spacing w:val="-9"/>
                <w:w w:val="105"/>
                <w:sz w:val="16"/>
              </w:rPr>
              <w:t xml:space="preserve"> </w:t>
            </w:r>
            <w:r w:rsidRPr="00EB2BD8">
              <w:rPr>
                <w:rFonts w:ascii="Arial" w:hAnsi="Arial"/>
                <w:w w:val="105"/>
                <w:sz w:val="16"/>
              </w:rPr>
              <w:t>–</w:t>
            </w:r>
            <w:r w:rsidRPr="00EB2BD8">
              <w:rPr>
                <w:rFonts w:ascii="Arial" w:hAnsi="Arial"/>
                <w:spacing w:val="-9"/>
                <w:w w:val="105"/>
                <w:sz w:val="16"/>
              </w:rPr>
              <w:t xml:space="preserve"> </w:t>
            </w:r>
            <w:r w:rsidRPr="00EB2BD8">
              <w:rPr>
                <w:rFonts w:ascii="Arial" w:hAnsi="Arial"/>
                <w:w w:val="105"/>
                <w:sz w:val="16"/>
              </w:rPr>
              <w:t>DBDRV</w:t>
            </w:r>
            <w:r w:rsidRPr="00EB2BD8">
              <w:rPr>
                <w:rFonts w:ascii="Arial" w:hAnsi="Arial"/>
                <w:spacing w:val="-7"/>
                <w:w w:val="105"/>
                <w:sz w:val="16"/>
              </w:rPr>
              <w:t xml:space="preserve"> </w:t>
            </w:r>
            <w:r w:rsidRPr="00EB2BD8">
              <w:rPr>
                <w:rFonts w:ascii="Arial" w:hAnsi="Arial"/>
                <w:spacing w:val="-2"/>
                <w:w w:val="105"/>
                <w:sz w:val="16"/>
              </w:rPr>
              <w:t>levy</w:t>
            </w:r>
            <w:r w:rsidRPr="00EB2BD8">
              <w:rPr>
                <w:rFonts w:ascii="Arial" w:hAnsi="Arial"/>
                <w:spacing w:val="-2"/>
                <w:w w:val="105"/>
                <w:position w:val="6"/>
                <w:sz w:val="11"/>
              </w:rPr>
              <w:t>(b)</w:t>
            </w:r>
          </w:p>
        </w:tc>
        <w:tc>
          <w:tcPr>
            <w:tcW w:w="1709" w:type="dxa"/>
            <w:shd w:val="clear" w:color="auto" w:fill="DEEAF6"/>
          </w:tcPr>
          <w:p w14:paraId="5AA88783" w14:textId="77777777" w:rsidR="00084F36" w:rsidRPr="00EB2BD8" w:rsidRDefault="00EB2BD8">
            <w:pPr>
              <w:pStyle w:val="TableParagraph"/>
              <w:spacing w:before="63"/>
              <w:ind w:right="93"/>
              <w:jc w:val="right"/>
              <w:rPr>
                <w:rFonts w:ascii="Arial"/>
                <w:sz w:val="16"/>
              </w:rPr>
            </w:pPr>
            <w:r w:rsidRPr="00EB2BD8">
              <w:rPr>
                <w:rFonts w:ascii="Arial"/>
                <w:spacing w:val="-2"/>
                <w:w w:val="105"/>
                <w:sz w:val="16"/>
              </w:rPr>
              <w:t>14,888</w:t>
            </w:r>
          </w:p>
        </w:tc>
        <w:tc>
          <w:tcPr>
            <w:tcW w:w="1528" w:type="dxa"/>
            <w:shd w:val="clear" w:color="auto" w:fill="FFFFFF"/>
          </w:tcPr>
          <w:p w14:paraId="0E639498" w14:textId="77777777" w:rsidR="00084F36" w:rsidRPr="00EB2BD8" w:rsidRDefault="00EB2BD8">
            <w:pPr>
              <w:pStyle w:val="TableParagraph"/>
              <w:spacing w:before="63"/>
              <w:ind w:right="92"/>
              <w:jc w:val="right"/>
              <w:rPr>
                <w:rFonts w:ascii="Arial"/>
                <w:sz w:val="16"/>
              </w:rPr>
            </w:pPr>
            <w:r w:rsidRPr="00EB2BD8">
              <w:rPr>
                <w:rFonts w:ascii="Arial"/>
                <w:spacing w:val="-2"/>
                <w:w w:val="105"/>
                <w:sz w:val="16"/>
              </w:rPr>
              <w:t>14,281</w:t>
            </w:r>
          </w:p>
        </w:tc>
      </w:tr>
      <w:tr w:rsidR="00EB2BD8" w:rsidRPr="00EB2BD8" w14:paraId="067E7608" w14:textId="77777777">
        <w:trPr>
          <w:trHeight w:val="315"/>
        </w:trPr>
        <w:tc>
          <w:tcPr>
            <w:tcW w:w="5919" w:type="dxa"/>
            <w:shd w:val="clear" w:color="auto" w:fill="FFFFFF"/>
          </w:tcPr>
          <w:p w14:paraId="78467C93" w14:textId="77777777" w:rsidR="00084F36" w:rsidRPr="00EB2BD8" w:rsidRDefault="00EB2BD8">
            <w:pPr>
              <w:pStyle w:val="TableParagraph"/>
              <w:spacing w:before="53"/>
              <w:ind w:left="104"/>
              <w:rPr>
                <w:rFonts w:ascii="Arial"/>
                <w:sz w:val="11"/>
              </w:rPr>
            </w:pPr>
            <w:r w:rsidRPr="00EB2BD8">
              <w:rPr>
                <w:rFonts w:ascii="Arial"/>
                <w:sz w:val="16"/>
              </w:rPr>
              <w:t>Building-practitioner</w:t>
            </w:r>
            <w:r w:rsidRPr="00EB2BD8">
              <w:rPr>
                <w:rFonts w:ascii="Arial"/>
                <w:spacing w:val="38"/>
                <w:sz w:val="16"/>
              </w:rPr>
              <w:t xml:space="preserve"> </w:t>
            </w:r>
            <w:r w:rsidRPr="00EB2BD8">
              <w:rPr>
                <w:rFonts w:ascii="Arial"/>
                <w:sz w:val="16"/>
              </w:rPr>
              <w:t>registration</w:t>
            </w:r>
            <w:r w:rsidRPr="00EB2BD8">
              <w:rPr>
                <w:rFonts w:ascii="Arial"/>
                <w:spacing w:val="37"/>
                <w:sz w:val="16"/>
              </w:rPr>
              <w:t xml:space="preserve"> </w:t>
            </w:r>
            <w:r w:rsidRPr="00EB2BD8">
              <w:rPr>
                <w:rFonts w:ascii="Arial"/>
                <w:spacing w:val="-2"/>
                <w:sz w:val="16"/>
              </w:rPr>
              <w:t>fees</w:t>
            </w:r>
            <w:r w:rsidRPr="00EB2BD8">
              <w:rPr>
                <w:rFonts w:ascii="Arial"/>
                <w:spacing w:val="-2"/>
                <w:position w:val="6"/>
                <w:sz w:val="11"/>
              </w:rPr>
              <w:t>(c)</w:t>
            </w:r>
          </w:p>
        </w:tc>
        <w:tc>
          <w:tcPr>
            <w:tcW w:w="1709" w:type="dxa"/>
            <w:shd w:val="clear" w:color="auto" w:fill="DEEAF6"/>
          </w:tcPr>
          <w:p w14:paraId="43260212" w14:textId="77777777" w:rsidR="00084F36" w:rsidRPr="00EB2BD8" w:rsidRDefault="00EB2BD8">
            <w:pPr>
              <w:pStyle w:val="TableParagraph"/>
              <w:spacing w:before="66"/>
              <w:ind w:right="93"/>
              <w:jc w:val="right"/>
              <w:rPr>
                <w:rFonts w:ascii="Arial"/>
                <w:sz w:val="16"/>
              </w:rPr>
            </w:pPr>
            <w:r w:rsidRPr="00EB2BD8">
              <w:rPr>
                <w:rFonts w:ascii="Arial"/>
                <w:spacing w:val="-2"/>
                <w:w w:val="105"/>
                <w:sz w:val="16"/>
              </w:rPr>
              <w:t>10,505</w:t>
            </w:r>
          </w:p>
        </w:tc>
        <w:tc>
          <w:tcPr>
            <w:tcW w:w="1528" w:type="dxa"/>
            <w:shd w:val="clear" w:color="auto" w:fill="FFFFFF"/>
          </w:tcPr>
          <w:p w14:paraId="242A5152" w14:textId="77777777" w:rsidR="00084F36" w:rsidRPr="00EB2BD8" w:rsidRDefault="00EB2BD8">
            <w:pPr>
              <w:pStyle w:val="TableParagraph"/>
              <w:spacing w:before="66"/>
              <w:ind w:right="92"/>
              <w:jc w:val="right"/>
              <w:rPr>
                <w:rFonts w:ascii="Arial"/>
                <w:sz w:val="16"/>
              </w:rPr>
            </w:pPr>
            <w:r w:rsidRPr="00EB2BD8">
              <w:rPr>
                <w:rFonts w:ascii="Arial"/>
                <w:spacing w:val="-2"/>
                <w:w w:val="105"/>
                <w:sz w:val="16"/>
              </w:rPr>
              <w:t>5,030</w:t>
            </w:r>
          </w:p>
        </w:tc>
      </w:tr>
      <w:tr w:rsidR="00EB2BD8" w:rsidRPr="00EB2BD8" w14:paraId="256E8126" w14:textId="77777777">
        <w:trPr>
          <w:trHeight w:val="315"/>
        </w:trPr>
        <w:tc>
          <w:tcPr>
            <w:tcW w:w="5919" w:type="dxa"/>
            <w:shd w:val="clear" w:color="auto" w:fill="FFFFFF"/>
          </w:tcPr>
          <w:p w14:paraId="3C82D012" w14:textId="77777777" w:rsidR="00084F36" w:rsidRPr="00EB2BD8" w:rsidRDefault="00EB2BD8">
            <w:pPr>
              <w:pStyle w:val="TableParagraph"/>
              <w:spacing w:before="52"/>
              <w:ind w:left="104"/>
              <w:rPr>
                <w:rFonts w:ascii="Arial"/>
                <w:sz w:val="11"/>
              </w:rPr>
            </w:pPr>
            <w:r w:rsidRPr="00EB2BD8">
              <w:rPr>
                <w:rFonts w:ascii="Arial"/>
                <w:spacing w:val="-2"/>
                <w:w w:val="105"/>
                <w:sz w:val="16"/>
              </w:rPr>
              <w:t>Building-corporate</w:t>
            </w:r>
            <w:r w:rsidRPr="00EB2BD8">
              <w:rPr>
                <w:rFonts w:ascii="Arial"/>
                <w:spacing w:val="11"/>
                <w:w w:val="105"/>
                <w:sz w:val="16"/>
              </w:rPr>
              <w:t xml:space="preserve"> </w:t>
            </w:r>
            <w:r w:rsidRPr="00EB2BD8">
              <w:rPr>
                <w:rFonts w:ascii="Arial"/>
                <w:spacing w:val="-2"/>
                <w:w w:val="105"/>
                <w:sz w:val="16"/>
              </w:rPr>
              <w:t>registration</w:t>
            </w:r>
            <w:r w:rsidRPr="00EB2BD8">
              <w:rPr>
                <w:rFonts w:ascii="Arial"/>
                <w:spacing w:val="12"/>
                <w:w w:val="105"/>
                <w:sz w:val="16"/>
              </w:rPr>
              <w:t xml:space="preserve"> </w:t>
            </w:r>
            <w:r w:rsidRPr="00EB2BD8">
              <w:rPr>
                <w:rFonts w:ascii="Arial"/>
                <w:spacing w:val="-2"/>
                <w:w w:val="105"/>
                <w:sz w:val="16"/>
              </w:rPr>
              <w:t>fees</w:t>
            </w:r>
            <w:r w:rsidRPr="00EB2BD8">
              <w:rPr>
                <w:rFonts w:ascii="Arial"/>
                <w:spacing w:val="-2"/>
                <w:w w:val="105"/>
                <w:position w:val="6"/>
                <w:sz w:val="11"/>
              </w:rPr>
              <w:t>(d)</w:t>
            </w:r>
          </w:p>
        </w:tc>
        <w:tc>
          <w:tcPr>
            <w:tcW w:w="1709" w:type="dxa"/>
            <w:shd w:val="clear" w:color="auto" w:fill="DEEAF6"/>
          </w:tcPr>
          <w:p w14:paraId="0175211A" w14:textId="77777777" w:rsidR="00084F36" w:rsidRPr="00EB2BD8" w:rsidRDefault="00EB2BD8">
            <w:pPr>
              <w:pStyle w:val="TableParagraph"/>
              <w:spacing w:before="65"/>
              <w:ind w:right="93"/>
              <w:jc w:val="right"/>
              <w:rPr>
                <w:rFonts w:ascii="Arial"/>
                <w:sz w:val="16"/>
              </w:rPr>
            </w:pPr>
            <w:r w:rsidRPr="00EB2BD8">
              <w:rPr>
                <w:rFonts w:ascii="Arial"/>
                <w:spacing w:val="-2"/>
                <w:w w:val="105"/>
                <w:sz w:val="16"/>
              </w:rPr>
              <w:t>4,916</w:t>
            </w:r>
          </w:p>
        </w:tc>
        <w:tc>
          <w:tcPr>
            <w:tcW w:w="1528" w:type="dxa"/>
            <w:shd w:val="clear" w:color="auto" w:fill="FFFFFF"/>
          </w:tcPr>
          <w:p w14:paraId="05839EC4" w14:textId="77777777" w:rsidR="00084F36" w:rsidRPr="00EB2BD8" w:rsidRDefault="00EB2BD8">
            <w:pPr>
              <w:pStyle w:val="TableParagraph"/>
              <w:spacing w:before="65"/>
              <w:ind w:right="92"/>
              <w:jc w:val="right"/>
              <w:rPr>
                <w:rFonts w:ascii="Arial"/>
                <w:sz w:val="16"/>
              </w:rPr>
            </w:pPr>
            <w:r w:rsidRPr="00EB2BD8">
              <w:rPr>
                <w:rFonts w:ascii="Arial"/>
                <w:spacing w:val="-2"/>
                <w:w w:val="105"/>
                <w:sz w:val="16"/>
              </w:rPr>
              <w:t>1,882</w:t>
            </w:r>
          </w:p>
        </w:tc>
      </w:tr>
      <w:tr w:rsidR="00EB2BD8" w:rsidRPr="00EB2BD8" w14:paraId="093205BF" w14:textId="77777777">
        <w:trPr>
          <w:trHeight w:val="315"/>
        </w:trPr>
        <w:tc>
          <w:tcPr>
            <w:tcW w:w="5919" w:type="dxa"/>
            <w:shd w:val="clear" w:color="auto" w:fill="FFFFFF"/>
          </w:tcPr>
          <w:p w14:paraId="1B5D59C5" w14:textId="77777777" w:rsidR="00084F36" w:rsidRPr="00EB2BD8" w:rsidRDefault="00EB2BD8">
            <w:pPr>
              <w:pStyle w:val="TableParagraph"/>
              <w:spacing w:before="52"/>
              <w:ind w:left="104"/>
              <w:rPr>
                <w:rFonts w:ascii="Arial"/>
                <w:sz w:val="11"/>
              </w:rPr>
            </w:pPr>
            <w:r w:rsidRPr="00EB2BD8">
              <w:rPr>
                <w:rFonts w:ascii="Arial"/>
                <w:spacing w:val="-2"/>
                <w:w w:val="105"/>
                <w:sz w:val="16"/>
              </w:rPr>
              <w:t>Building-prosecutions</w:t>
            </w:r>
            <w:r w:rsidRPr="00EB2BD8">
              <w:rPr>
                <w:rFonts w:ascii="Arial"/>
                <w:spacing w:val="7"/>
                <w:w w:val="105"/>
                <w:sz w:val="16"/>
              </w:rPr>
              <w:t xml:space="preserve"> </w:t>
            </w:r>
            <w:r w:rsidRPr="00EB2BD8">
              <w:rPr>
                <w:rFonts w:ascii="Arial"/>
                <w:spacing w:val="-2"/>
                <w:w w:val="105"/>
                <w:sz w:val="16"/>
              </w:rPr>
              <w:t>and</w:t>
            </w:r>
            <w:r w:rsidRPr="00EB2BD8">
              <w:rPr>
                <w:rFonts w:ascii="Arial"/>
                <w:spacing w:val="7"/>
                <w:w w:val="105"/>
                <w:sz w:val="16"/>
              </w:rPr>
              <w:t xml:space="preserve"> </w:t>
            </w:r>
            <w:r w:rsidRPr="00EB2BD8">
              <w:rPr>
                <w:rFonts w:ascii="Arial"/>
                <w:spacing w:val="-2"/>
                <w:w w:val="105"/>
                <w:sz w:val="16"/>
              </w:rPr>
              <w:t>inquiry</w:t>
            </w:r>
            <w:r w:rsidRPr="00EB2BD8">
              <w:rPr>
                <w:rFonts w:ascii="Arial"/>
                <w:spacing w:val="8"/>
                <w:w w:val="105"/>
                <w:sz w:val="16"/>
              </w:rPr>
              <w:t xml:space="preserve"> </w:t>
            </w:r>
            <w:r w:rsidRPr="00EB2BD8">
              <w:rPr>
                <w:rFonts w:ascii="Arial"/>
                <w:spacing w:val="-2"/>
                <w:w w:val="105"/>
                <w:sz w:val="16"/>
              </w:rPr>
              <w:t>fines</w:t>
            </w:r>
            <w:r w:rsidRPr="00EB2BD8">
              <w:rPr>
                <w:rFonts w:ascii="Arial"/>
                <w:spacing w:val="-2"/>
                <w:w w:val="105"/>
                <w:position w:val="6"/>
                <w:sz w:val="11"/>
              </w:rPr>
              <w:t>(e)</w:t>
            </w:r>
          </w:p>
        </w:tc>
        <w:tc>
          <w:tcPr>
            <w:tcW w:w="1709" w:type="dxa"/>
            <w:shd w:val="clear" w:color="auto" w:fill="DEEAF6"/>
          </w:tcPr>
          <w:p w14:paraId="67498F47" w14:textId="77777777" w:rsidR="00084F36" w:rsidRPr="00EB2BD8" w:rsidRDefault="00EB2BD8">
            <w:pPr>
              <w:pStyle w:val="TableParagraph"/>
              <w:spacing w:before="65"/>
              <w:ind w:right="93"/>
              <w:jc w:val="right"/>
              <w:rPr>
                <w:rFonts w:ascii="Arial"/>
                <w:sz w:val="16"/>
              </w:rPr>
            </w:pPr>
            <w:r w:rsidRPr="00EB2BD8">
              <w:rPr>
                <w:rFonts w:ascii="Arial"/>
                <w:spacing w:val="-5"/>
                <w:w w:val="105"/>
                <w:sz w:val="16"/>
              </w:rPr>
              <w:t>685</w:t>
            </w:r>
          </w:p>
        </w:tc>
        <w:tc>
          <w:tcPr>
            <w:tcW w:w="1528" w:type="dxa"/>
            <w:shd w:val="clear" w:color="auto" w:fill="FFFFFF"/>
          </w:tcPr>
          <w:p w14:paraId="0C0A7B8A" w14:textId="77777777" w:rsidR="00084F36" w:rsidRPr="00EB2BD8" w:rsidRDefault="00EB2BD8">
            <w:pPr>
              <w:pStyle w:val="TableParagraph"/>
              <w:spacing w:before="65"/>
              <w:ind w:right="93"/>
              <w:jc w:val="right"/>
              <w:rPr>
                <w:rFonts w:ascii="Arial"/>
                <w:sz w:val="16"/>
              </w:rPr>
            </w:pPr>
            <w:r w:rsidRPr="00EB2BD8">
              <w:rPr>
                <w:rFonts w:ascii="Arial"/>
                <w:spacing w:val="-5"/>
                <w:w w:val="105"/>
                <w:sz w:val="16"/>
              </w:rPr>
              <w:t>793</w:t>
            </w:r>
          </w:p>
        </w:tc>
      </w:tr>
      <w:tr w:rsidR="00EB2BD8" w:rsidRPr="00EB2BD8" w14:paraId="0748A5A2" w14:textId="77777777">
        <w:trPr>
          <w:trHeight w:val="315"/>
        </w:trPr>
        <w:tc>
          <w:tcPr>
            <w:tcW w:w="5919" w:type="dxa"/>
            <w:shd w:val="clear" w:color="auto" w:fill="FFFFFF"/>
          </w:tcPr>
          <w:p w14:paraId="5F133518" w14:textId="77777777" w:rsidR="00084F36" w:rsidRPr="00EB2BD8" w:rsidRDefault="00EB2BD8">
            <w:pPr>
              <w:pStyle w:val="TableParagraph"/>
              <w:spacing w:before="52"/>
              <w:ind w:left="104"/>
              <w:rPr>
                <w:rFonts w:ascii="Arial"/>
                <w:sz w:val="11"/>
              </w:rPr>
            </w:pPr>
            <w:r w:rsidRPr="00EB2BD8">
              <w:rPr>
                <w:rFonts w:ascii="Arial"/>
                <w:spacing w:val="-2"/>
                <w:w w:val="105"/>
                <w:sz w:val="16"/>
              </w:rPr>
              <w:t>Building-owner</w:t>
            </w:r>
            <w:r w:rsidRPr="00EB2BD8">
              <w:rPr>
                <w:rFonts w:ascii="Arial"/>
                <w:spacing w:val="9"/>
                <w:w w:val="105"/>
                <w:sz w:val="16"/>
              </w:rPr>
              <w:t xml:space="preserve"> </w:t>
            </w:r>
            <w:r w:rsidRPr="00EB2BD8">
              <w:rPr>
                <w:rFonts w:ascii="Arial"/>
                <w:spacing w:val="-2"/>
                <w:w w:val="105"/>
                <w:sz w:val="16"/>
              </w:rPr>
              <w:t>builder</w:t>
            </w:r>
            <w:r w:rsidRPr="00EB2BD8">
              <w:rPr>
                <w:rFonts w:ascii="Arial"/>
                <w:spacing w:val="8"/>
                <w:w w:val="105"/>
                <w:sz w:val="16"/>
              </w:rPr>
              <w:t xml:space="preserve"> </w:t>
            </w:r>
            <w:r w:rsidRPr="00EB2BD8">
              <w:rPr>
                <w:rFonts w:ascii="Arial"/>
                <w:spacing w:val="-2"/>
                <w:w w:val="105"/>
                <w:sz w:val="16"/>
              </w:rPr>
              <w:t>certification</w:t>
            </w:r>
            <w:r w:rsidRPr="00EB2BD8">
              <w:rPr>
                <w:rFonts w:ascii="Arial"/>
                <w:spacing w:val="7"/>
                <w:w w:val="105"/>
                <w:sz w:val="16"/>
              </w:rPr>
              <w:t xml:space="preserve"> </w:t>
            </w:r>
            <w:r w:rsidRPr="00EB2BD8">
              <w:rPr>
                <w:rFonts w:ascii="Arial"/>
                <w:spacing w:val="-2"/>
                <w:w w:val="105"/>
                <w:sz w:val="16"/>
              </w:rPr>
              <w:t>fees</w:t>
            </w:r>
            <w:r w:rsidRPr="00EB2BD8">
              <w:rPr>
                <w:rFonts w:ascii="Arial"/>
                <w:spacing w:val="-2"/>
                <w:w w:val="105"/>
                <w:position w:val="6"/>
                <w:sz w:val="11"/>
              </w:rPr>
              <w:t>(f)</w:t>
            </w:r>
          </w:p>
        </w:tc>
        <w:tc>
          <w:tcPr>
            <w:tcW w:w="1709" w:type="dxa"/>
            <w:shd w:val="clear" w:color="auto" w:fill="DEEAF6"/>
          </w:tcPr>
          <w:p w14:paraId="7EE8C935" w14:textId="77777777" w:rsidR="00084F36" w:rsidRPr="00EB2BD8" w:rsidRDefault="00EB2BD8">
            <w:pPr>
              <w:pStyle w:val="TableParagraph"/>
              <w:spacing w:before="66"/>
              <w:ind w:right="93"/>
              <w:jc w:val="right"/>
              <w:rPr>
                <w:rFonts w:ascii="Arial"/>
                <w:sz w:val="16"/>
              </w:rPr>
            </w:pPr>
            <w:r w:rsidRPr="00EB2BD8">
              <w:rPr>
                <w:rFonts w:ascii="Arial"/>
                <w:spacing w:val="-2"/>
                <w:w w:val="105"/>
                <w:sz w:val="16"/>
              </w:rPr>
              <w:t>1,097</w:t>
            </w:r>
          </w:p>
        </w:tc>
        <w:tc>
          <w:tcPr>
            <w:tcW w:w="1528" w:type="dxa"/>
            <w:shd w:val="clear" w:color="auto" w:fill="FFFFFF"/>
          </w:tcPr>
          <w:p w14:paraId="437C013F" w14:textId="77777777" w:rsidR="00084F36" w:rsidRPr="00EB2BD8" w:rsidRDefault="00EB2BD8">
            <w:pPr>
              <w:pStyle w:val="TableParagraph"/>
              <w:spacing w:before="66"/>
              <w:ind w:right="92"/>
              <w:jc w:val="right"/>
              <w:rPr>
                <w:rFonts w:ascii="Arial"/>
                <w:sz w:val="16"/>
              </w:rPr>
            </w:pPr>
            <w:r w:rsidRPr="00EB2BD8">
              <w:rPr>
                <w:rFonts w:ascii="Arial"/>
                <w:spacing w:val="-5"/>
                <w:w w:val="105"/>
                <w:sz w:val="16"/>
              </w:rPr>
              <w:t>587</w:t>
            </w:r>
          </w:p>
        </w:tc>
      </w:tr>
      <w:tr w:rsidR="00EB2BD8" w:rsidRPr="00EB2BD8" w14:paraId="58C98537" w14:textId="77777777">
        <w:trPr>
          <w:trHeight w:val="315"/>
        </w:trPr>
        <w:tc>
          <w:tcPr>
            <w:tcW w:w="5919" w:type="dxa"/>
            <w:shd w:val="clear" w:color="auto" w:fill="FFFFFF"/>
          </w:tcPr>
          <w:p w14:paraId="0906DFDE" w14:textId="77777777" w:rsidR="00084F36" w:rsidRPr="00EB2BD8" w:rsidRDefault="00EB2BD8">
            <w:pPr>
              <w:pStyle w:val="TableParagraph"/>
              <w:spacing w:before="52"/>
              <w:ind w:left="104"/>
              <w:rPr>
                <w:rFonts w:ascii="Arial"/>
                <w:sz w:val="11"/>
              </w:rPr>
            </w:pPr>
            <w:r w:rsidRPr="00EB2BD8">
              <w:rPr>
                <w:rFonts w:ascii="Arial"/>
                <w:spacing w:val="-2"/>
                <w:w w:val="105"/>
                <w:sz w:val="16"/>
              </w:rPr>
              <w:t>Building-modifications</w:t>
            </w:r>
            <w:r w:rsidRPr="00EB2BD8">
              <w:rPr>
                <w:rFonts w:ascii="Arial"/>
                <w:spacing w:val="6"/>
                <w:w w:val="105"/>
                <w:sz w:val="16"/>
              </w:rPr>
              <w:t xml:space="preserve"> </w:t>
            </w:r>
            <w:r w:rsidRPr="00EB2BD8">
              <w:rPr>
                <w:rFonts w:ascii="Arial"/>
                <w:spacing w:val="-2"/>
                <w:w w:val="105"/>
                <w:sz w:val="16"/>
              </w:rPr>
              <w:t>and</w:t>
            </w:r>
            <w:r w:rsidRPr="00EB2BD8">
              <w:rPr>
                <w:rFonts w:ascii="Arial"/>
                <w:spacing w:val="4"/>
                <w:w w:val="105"/>
                <w:sz w:val="16"/>
              </w:rPr>
              <w:t xml:space="preserve"> </w:t>
            </w:r>
            <w:r w:rsidRPr="00EB2BD8">
              <w:rPr>
                <w:rFonts w:ascii="Arial"/>
                <w:spacing w:val="-2"/>
                <w:w w:val="105"/>
                <w:sz w:val="16"/>
              </w:rPr>
              <w:t>appeals</w:t>
            </w:r>
            <w:r w:rsidRPr="00EB2BD8">
              <w:rPr>
                <w:rFonts w:ascii="Arial"/>
                <w:spacing w:val="6"/>
                <w:w w:val="105"/>
                <w:sz w:val="16"/>
              </w:rPr>
              <w:t xml:space="preserve"> </w:t>
            </w:r>
            <w:r w:rsidRPr="00EB2BD8">
              <w:rPr>
                <w:rFonts w:ascii="Arial"/>
                <w:spacing w:val="-2"/>
                <w:w w:val="105"/>
                <w:sz w:val="16"/>
              </w:rPr>
              <w:t>(BAB</w:t>
            </w:r>
            <w:r w:rsidRPr="00EB2BD8">
              <w:rPr>
                <w:rFonts w:ascii="Arial"/>
                <w:spacing w:val="6"/>
                <w:w w:val="105"/>
                <w:sz w:val="16"/>
              </w:rPr>
              <w:t xml:space="preserve"> </w:t>
            </w:r>
            <w:r w:rsidRPr="00EB2BD8">
              <w:rPr>
                <w:rFonts w:ascii="Arial"/>
                <w:spacing w:val="-2"/>
                <w:w w:val="105"/>
                <w:sz w:val="16"/>
              </w:rPr>
              <w:t>services)</w:t>
            </w:r>
            <w:r w:rsidRPr="00EB2BD8">
              <w:rPr>
                <w:rFonts w:ascii="Arial"/>
                <w:spacing w:val="6"/>
                <w:w w:val="105"/>
                <w:sz w:val="16"/>
              </w:rPr>
              <w:t xml:space="preserve"> </w:t>
            </w:r>
            <w:r w:rsidRPr="00EB2BD8">
              <w:rPr>
                <w:rFonts w:ascii="Arial"/>
                <w:spacing w:val="-2"/>
                <w:w w:val="105"/>
                <w:sz w:val="16"/>
              </w:rPr>
              <w:t>fees</w:t>
            </w:r>
            <w:r w:rsidRPr="00EB2BD8">
              <w:rPr>
                <w:rFonts w:ascii="Arial"/>
                <w:spacing w:val="-2"/>
                <w:w w:val="105"/>
                <w:position w:val="6"/>
                <w:sz w:val="11"/>
              </w:rPr>
              <w:t>(g)</w:t>
            </w:r>
          </w:p>
        </w:tc>
        <w:tc>
          <w:tcPr>
            <w:tcW w:w="1709" w:type="dxa"/>
            <w:shd w:val="clear" w:color="auto" w:fill="DEEAF6"/>
          </w:tcPr>
          <w:p w14:paraId="67C6FAF9" w14:textId="77777777" w:rsidR="00084F36" w:rsidRPr="00EB2BD8" w:rsidRDefault="00EB2BD8">
            <w:pPr>
              <w:pStyle w:val="TableParagraph"/>
              <w:spacing w:before="65"/>
              <w:ind w:right="93"/>
              <w:jc w:val="right"/>
              <w:rPr>
                <w:rFonts w:ascii="Arial"/>
                <w:sz w:val="16"/>
              </w:rPr>
            </w:pPr>
            <w:r w:rsidRPr="00EB2BD8">
              <w:rPr>
                <w:rFonts w:ascii="Arial"/>
                <w:spacing w:val="-5"/>
                <w:w w:val="105"/>
                <w:sz w:val="16"/>
              </w:rPr>
              <w:t>136</w:t>
            </w:r>
          </w:p>
        </w:tc>
        <w:tc>
          <w:tcPr>
            <w:tcW w:w="1528" w:type="dxa"/>
            <w:shd w:val="clear" w:color="auto" w:fill="FFFFFF"/>
          </w:tcPr>
          <w:p w14:paraId="57970C8E" w14:textId="77777777" w:rsidR="00084F36" w:rsidRPr="00EB2BD8" w:rsidRDefault="00EB2BD8">
            <w:pPr>
              <w:pStyle w:val="TableParagraph"/>
              <w:spacing w:before="65"/>
              <w:ind w:right="92"/>
              <w:jc w:val="right"/>
              <w:rPr>
                <w:rFonts w:ascii="Arial"/>
                <w:sz w:val="16"/>
              </w:rPr>
            </w:pPr>
            <w:r w:rsidRPr="00EB2BD8">
              <w:rPr>
                <w:rFonts w:ascii="Arial"/>
                <w:spacing w:val="-5"/>
                <w:w w:val="105"/>
                <w:sz w:val="16"/>
              </w:rPr>
              <w:t>122</w:t>
            </w:r>
          </w:p>
        </w:tc>
      </w:tr>
      <w:tr w:rsidR="00EB2BD8" w:rsidRPr="00EB2BD8" w14:paraId="7BC20E0F" w14:textId="77777777">
        <w:trPr>
          <w:trHeight w:val="315"/>
        </w:trPr>
        <w:tc>
          <w:tcPr>
            <w:tcW w:w="5919" w:type="dxa"/>
            <w:shd w:val="clear" w:color="auto" w:fill="FFFFFF"/>
          </w:tcPr>
          <w:p w14:paraId="460882D2" w14:textId="77777777" w:rsidR="00084F36" w:rsidRPr="00EB2BD8" w:rsidRDefault="00EB2BD8">
            <w:pPr>
              <w:pStyle w:val="TableParagraph"/>
              <w:spacing w:before="52"/>
              <w:ind w:left="104"/>
              <w:rPr>
                <w:rFonts w:ascii="Arial"/>
                <w:sz w:val="11"/>
              </w:rPr>
            </w:pPr>
            <w:r w:rsidRPr="00EB2BD8">
              <w:rPr>
                <w:rFonts w:ascii="Arial"/>
                <w:spacing w:val="-2"/>
                <w:w w:val="105"/>
                <w:sz w:val="16"/>
              </w:rPr>
              <w:t>Registration</w:t>
            </w:r>
            <w:r w:rsidRPr="00EB2BD8">
              <w:rPr>
                <w:rFonts w:ascii="Arial"/>
                <w:spacing w:val="4"/>
                <w:w w:val="105"/>
                <w:sz w:val="16"/>
              </w:rPr>
              <w:t xml:space="preserve"> </w:t>
            </w:r>
            <w:r w:rsidRPr="00EB2BD8">
              <w:rPr>
                <w:rFonts w:ascii="Arial"/>
                <w:spacing w:val="-2"/>
                <w:w w:val="105"/>
                <w:sz w:val="16"/>
              </w:rPr>
              <w:t>Scheme</w:t>
            </w:r>
            <w:r w:rsidRPr="00EB2BD8">
              <w:rPr>
                <w:rFonts w:ascii="Arial"/>
                <w:spacing w:val="4"/>
                <w:w w:val="105"/>
                <w:sz w:val="16"/>
              </w:rPr>
              <w:t xml:space="preserve"> </w:t>
            </w:r>
            <w:r w:rsidRPr="00EB2BD8">
              <w:rPr>
                <w:rFonts w:ascii="Arial"/>
                <w:spacing w:val="-2"/>
                <w:w w:val="105"/>
                <w:sz w:val="16"/>
              </w:rPr>
              <w:t>(PERS)</w:t>
            </w:r>
            <w:r w:rsidRPr="00EB2BD8">
              <w:rPr>
                <w:rFonts w:ascii="Arial"/>
                <w:spacing w:val="7"/>
                <w:w w:val="105"/>
                <w:sz w:val="16"/>
              </w:rPr>
              <w:t xml:space="preserve"> </w:t>
            </w:r>
            <w:r w:rsidRPr="00EB2BD8">
              <w:rPr>
                <w:rFonts w:ascii="Arial"/>
                <w:spacing w:val="-2"/>
                <w:w w:val="105"/>
                <w:sz w:val="16"/>
              </w:rPr>
              <w:t>endorsement</w:t>
            </w:r>
            <w:r w:rsidRPr="00EB2BD8">
              <w:rPr>
                <w:rFonts w:ascii="Arial"/>
                <w:spacing w:val="6"/>
                <w:w w:val="105"/>
                <w:sz w:val="16"/>
              </w:rPr>
              <w:t xml:space="preserve"> </w:t>
            </w:r>
            <w:r w:rsidRPr="00EB2BD8">
              <w:rPr>
                <w:rFonts w:ascii="Arial"/>
                <w:spacing w:val="-2"/>
                <w:w w:val="105"/>
                <w:sz w:val="16"/>
              </w:rPr>
              <w:t>fees</w:t>
            </w:r>
            <w:r w:rsidRPr="00EB2BD8">
              <w:rPr>
                <w:rFonts w:ascii="Arial"/>
                <w:spacing w:val="-12"/>
                <w:w w:val="105"/>
                <w:sz w:val="16"/>
              </w:rPr>
              <w:t xml:space="preserve"> </w:t>
            </w:r>
            <w:r w:rsidRPr="00EB2BD8">
              <w:rPr>
                <w:rFonts w:ascii="Arial"/>
                <w:spacing w:val="-5"/>
                <w:w w:val="105"/>
                <w:position w:val="6"/>
                <w:sz w:val="11"/>
              </w:rPr>
              <w:t>(h)</w:t>
            </w:r>
          </w:p>
        </w:tc>
        <w:tc>
          <w:tcPr>
            <w:tcW w:w="1709" w:type="dxa"/>
            <w:shd w:val="clear" w:color="auto" w:fill="DEEAF6"/>
          </w:tcPr>
          <w:p w14:paraId="4F8F8516" w14:textId="77777777" w:rsidR="00084F36" w:rsidRPr="00EB2BD8" w:rsidRDefault="00EB2BD8">
            <w:pPr>
              <w:pStyle w:val="TableParagraph"/>
              <w:spacing w:before="65"/>
              <w:ind w:right="93"/>
              <w:jc w:val="right"/>
              <w:rPr>
                <w:rFonts w:ascii="Arial"/>
                <w:sz w:val="16"/>
              </w:rPr>
            </w:pPr>
            <w:r w:rsidRPr="00EB2BD8">
              <w:rPr>
                <w:rFonts w:ascii="Arial"/>
                <w:spacing w:val="-5"/>
                <w:w w:val="105"/>
                <w:sz w:val="16"/>
              </w:rPr>
              <w:t>663</w:t>
            </w:r>
          </w:p>
        </w:tc>
        <w:tc>
          <w:tcPr>
            <w:tcW w:w="1528" w:type="dxa"/>
            <w:shd w:val="clear" w:color="auto" w:fill="FFFFFF"/>
          </w:tcPr>
          <w:p w14:paraId="4FF16BD1" w14:textId="77777777" w:rsidR="00084F36" w:rsidRPr="00EB2BD8" w:rsidRDefault="00EB2BD8">
            <w:pPr>
              <w:pStyle w:val="TableParagraph"/>
              <w:spacing w:before="65"/>
              <w:ind w:right="94"/>
              <w:jc w:val="right"/>
              <w:rPr>
                <w:rFonts w:ascii="Arial"/>
                <w:sz w:val="16"/>
              </w:rPr>
            </w:pPr>
            <w:r w:rsidRPr="00EB2BD8">
              <w:rPr>
                <w:rFonts w:ascii="Arial"/>
                <w:spacing w:val="-5"/>
                <w:w w:val="105"/>
                <w:sz w:val="16"/>
              </w:rPr>
              <w:t>477</w:t>
            </w:r>
          </w:p>
        </w:tc>
      </w:tr>
      <w:tr w:rsidR="00EB2BD8" w:rsidRPr="00EB2BD8" w14:paraId="56C5CCBB" w14:textId="77777777">
        <w:trPr>
          <w:trHeight w:val="315"/>
        </w:trPr>
        <w:tc>
          <w:tcPr>
            <w:tcW w:w="5919" w:type="dxa"/>
            <w:shd w:val="clear" w:color="auto" w:fill="FFFFFF"/>
          </w:tcPr>
          <w:p w14:paraId="5EA24D2F" w14:textId="77777777" w:rsidR="00084F36" w:rsidRPr="00EB2BD8" w:rsidRDefault="00EB2BD8">
            <w:pPr>
              <w:pStyle w:val="TableParagraph"/>
              <w:spacing w:before="52"/>
              <w:ind w:left="104"/>
              <w:rPr>
                <w:rFonts w:ascii="Arial"/>
                <w:sz w:val="11"/>
              </w:rPr>
            </w:pPr>
            <w:r w:rsidRPr="00EB2BD8">
              <w:rPr>
                <w:rFonts w:ascii="Arial"/>
                <w:sz w:val="16"/>
              </w:rPr>
              <w:t>Plumbing-compliance</w:t>
            </w:r>
            <w:r w:rsidRPr="00EB2BD8">
              <w:rPr>
                <w:rFonts w:ascii="Arial"/>
                <w:spacing w:val="39"/>
                <w:sz w:val="16"/>
              </w:rPr>
              <w:t xml:space="preserve"> </w:t>
            </w:r>
            <w:r w:rsidRPr="00EB2BD8">
              <w:rPr>
                <w:rFonts w:ascii="Arial"/>
                <w:sz w:val="16"/>
              </w:rPr>
              <w:t>certificates</w:t>
            </w:r>
            <w:r w:rsidRPr="00EB2BD8">
              <w:rPr>
                <w:rFonts w:ascii="Arial"/>
                <w:spacing w:val="42"/>
                <w:sz w:val="16"/>
              </w:rPr>
              <w:t xml:space="preserve"> </w:t>
            </w:r>
            <w:r w:rsidRPr="00EB2BD8">
              <w:rPr>
                <w:rFonts w:ascii="Arial"/>
                <w:spacing w:val="-2"/>
                <w:sz w:val="16"/>
              </w:rPr>
              <w:t>fees</w:t>
            </w:r>
            <w:r w:rsidRPr="00EB2BD8">
              <w:rPr>
                <w:rFonts w:ascii="Arial"/>
                <w:spacing w:val="-2"/>
                <w:position w:val="6"/>
                <w:sz w:val="11"/>
              </w:rPr>
              <w:t>(i)</w:t>
            </w:r>
          </w:p>
        </w:tc>
        <w:tc>
          <w:tcPr>
            <w:tcW w:w="1709" w:type="dxa"/>
            <w:shd w:val="clear" w:color="auto" w:fill="DEEAF6"/>
          </w:tcPr>
          <w:p w14:paraId="1377E81B" w14:textId="77777777" w:rsidR="00084F36" w:rsidRPr="00EB2BD8" w:rsidRDefault="00EB2BD8">
            <w:pPr>
              <w:pStyle w:val="TableParagraph"/>
              <w:spacing w:before="66"/>
              <w:ind w:right="93"/>
              <w:jc w:val="right"/>
              <w:rPr>
                <w:rFonts w:ascii="Arial"/>
                <w:sz w:val="16"/>
              </w:rPr>
            </w:pPr>
            <w:r w:rsidRPr="00EB2BD8">
              <w:rPr>
                <w:rFonts w:ascii="Arial"/>
                <w:spacing w:val="-2"/>
                <w:w w:val="105"/>
                <w:sz w:val="16"/>
              </w:rPr>
              <w:t>19,135</w:t>
            </w:r>
          </w:p>
        </w:tc>
        <w:tc>
          <w:tcPr>
            <w:tcW w:w="1528" w:type="dxa"/>
            <w:shd w:val="clear" w:color="auto" w:fill="FFFFFF"/>
          </w:tcPr>
          <w:p w14:paraId="7A101A17" w14:textId="77777777" w:rsidR="00084F36" w:rsidRPr="00EB2BD8" w:rsidRDefault="00EB2BD8">
            <w:pPr>
              <w:pStyle w:val="TableParagraph"/>
              <w:spacing w:before="66"/>
              <w:ind w:right="92"/>
              <w:jc w:val="right"/>
              <w:rPr>
                <w:rFonts w:ascii="Arial"/>
                <w:sz w:val="16"/>
              </w:rPr>
            </w:pPr>
            <w:r w:rsidRPr="00EB2BD8">
              <w:rPr>
                <w:rFonts w:ascii="Arial"/>
                <w:spacing w:val="-2"/>
                <w:w w:val="105"/>
                <w:sz w:val="16"/>
              </w:rPr>
              <w:t>17,791</w:t>
            </w:r>
          </w:p>
        </w:tc>
      </w:tr>
      <w:tr w:rsidR="00EB2BD8" w:rsidRPr="00EB2BD8" w14:paraId="1FBA394F" w14:textId="77777777">
        <w:trPr>
          <w:trHeight w:val="315"/>
        </w:trPr>
        <w:tc>
          <w:tcPr>
            <w:tcW w:w="5919" w:type="dxa"/>
            <w:shd w:val="clear" w:color="auto" w:fill="FFFFFF"/>
          </w:tcPr>
          <w:p w14:paraId="7D4BFCD1" w14:textId="77777777" w:rsidR="00084F36" w:rsidRPr="00EB2BD8" w:rsidRDefault="00EB2BD8">
            <w:pPr>
              <w:pStyle w:val="TableParagraph"/>
              <w:spacing w:before="52"/>
              <w:ind w:left="104"/>
              <w:rPr>
                <w:rFonts w:ascii="Arial"/>
                <w:sz w:val="11"/>
              </w:rPr>
            </w:pPr>
            <w:r w:rsidRPr="00EB2BD8">
              <w:rPr>
                <w:rFonts w:ascii="Arial"/>
                <w:spacing w:val="-2"/>
                <w:w w:val="105"/>
                <w:sz w:val="16"/>
              </w:rPr>
              <w:t>Plumbing-registration</w:t>
            </w:r>
            <w:r w:rsidRPr="00EB2BD8">
              <w:rPr>
                <w:rFonts w:ascii="Arial"/>
                <w:spacing w:val="7"/>
                <w:w w:val="105"/>
                <w:sz w:val="16"/>
              </w:rPr>
              <w:t xml:space="preserve"> </w:t>
            </w:r>
            <w:r w:rsidRPr="00EB2BD8">
              <w:rPr>
                <w:rFonts w:ascii="Arial"/>
                <w:spacing w:val="-2"/>
                <w:w w:val="105"/>
                <w:sz w:val="16"/>
              </w:rPr>
              <w:t>and</w:t>
            </w:r>
            <w:r w:rsidRPr="00EB2BD8">
              <w:rPr>
                <w:rFonts w:ascii="Arial"/>
                <w:spacing w:val="8"/>
                <w:w w:val="105"/>
                <w:sz w:val="16"/>
              </w:rPr>
              <w:t xml:space="preserve"> </w:t>
            </w:r>
            <w:r w:rsidRPr="00EB2BD8">
              <w:rPr>
                <w:rFonts w:ascii="Arial"/>
                <w:spacing w:val="-2"/>
                <w:w w:val="105"/>
                <w:sz w:val="16"/>
              </w:rPr>
              <w:t>licence</w:t>
            </w:r>
            <w:r w:rsidRPr="00EB2BD8">
              <w:rPr>
                <w:rFonts w:ascii="Arial"/>
                <w:spacing w:val="7"/>
                <w:w w:val="105"/>
                <w:sz w:val="16"/>
              </w:rPr>
              <w:t xml:space="preserve"> </w:t>
            </w:r>
            <w:r w:rsidRPr="00EB2BD8">
              <w:rPr>
                <w:rFonts w:ascii="Arial"/>
                <w:spacing w:val="-2"/>
                <w:w w:val="105"/>
                <w:sz w:val="16"/>
              </w:rPr>
              <w:t>fees</w:t>
            </w:r>
            <w:r w:rsidRPr="00EB2BD8">
              <w:rPr>
                <w:rFonts w:ascii="Arial"/>
                <w:spacing w:val="-2"/>
                <w:w w:val="105"/>
                <w:position w:val="6"/>
                <w:sz w:val="11"/>
              </w:rPr>
              <w:t>(j)</w:t>
            </w:r>
          </w:p>
        </w:tc>
        <w:tc>
          <w:tcPr>
            <w:tcW w:w="1709" w:type="dxa"/>
            <w:shd w:val="clear" w:color="auto" w:fill="DEEAF6"/>
          </w:tcPr>
          <w:p w14:paraId="672EEACA" w14:textId="77777777" w:rsidR="00084F36" w:rsidRPr="00EB2BD8" w:rsidRDefault="00EB2BD8">
            <w:pPr>
              <w:pStyle w:val="TableParagraph"/>
              <w:spacing w:before="65"/>
              <w:ind w:right="93"/>
              <w:jc w:val="right"/>
              <w:rPr>
                <w:rFonts w:ascii="Arial"/>
                <w:sz w:val="16"/>
              </w:rPr>
            </w:pPr>
            <w:r w:rsidRPr="00EB2BD8">
              <w:rPr>
                <w:rFonts w:ascii="Arial"/>
                <w:spacing w:val="-2"/>
                <w:w w:val="105"/>
                <w:sz w:val="16"/>
              </w:rPr>
              <w:t>6,346</w:t>
            </w:r>
          </w:p>
        </w:tc>
        <w:tc>
          <w:tcPr>
            <w:tcW w:w="1528" w:type="dxa"/>
            <w:shd w:val="clear" w:color="auto" w:fill="FFFFFF"/>
          </w:tcPr>
          <w:p w14:paraId="0DF233CF" w14:textId="77777777" w:rsidR="00084F36" w:rsidRPr="00EB2BD8" w:rsidRDefault="00EB2BD8">
            <w:pPr>
              <w:pStyle w:val="TableParagraph"/>
              <w:spacing w:before="65"/>
              <w:ind w:right="92"/>
              <w:jc w:val="right"/>
              <w:rPr>
                <w:rFonts w:ascii="Arial"/>
                <w:sz w:val="16"/>
              </w:rPr>
            </w:pPr>
            <w:r w:rsidRPr="00EB2BD8">
              <w:rPr>
                <w:rFonts w:ascii="Arial"/>
                <w:spacing w:val="-4"/>
                <w:w w:val="105"/>
                <w:sz w:val="16"/>
              </w:rPr>
              <w:t>6,145</w:t>
            </w:r>
          </w:p>
        </w:tc>
      </w:tr>
      <w:tr w:rsidR="00EB2BD8" w:rsidRPr="00EB2BD8" w14:paraId="47B96392" w14:textId="77777777">
        <w:trPr>
          <w:trHeight w:val="315"/>
        </w:trPr>
        <w:tc>
          <w:tcPr>
            <w:tcW w:w="5919" w:type="dxa"/>
            <w:shd w:val="clear" w:color="auto" w:fill="FFFFFF"/>
          </w:tcPr>
          <w:p w14:paraId="46354C83" w14:textId="77777777" w:rsidR="00084F36" w:rsidRPr="00EB2BD8" w:rsidRDefault="00EB2BD8">
            <w:pPr>
              <w:pStyle w:val="TableParagraph"/>
              <w:spacing w:before="52"/>
              <w:ind w:left="104"/>
              <w:rPr>
                <w:rFonts w:ascii="Arial"/>
                <w:sz w:val="11"/>
              </w:rPr>
            </w:pPr>
            <w:r w:rsidRPr="00EB2BD8">
              <w:rPr>
                <w:rFonts w:ascii="Arial"/>
                <w:spacing w:val="2"/>
                <w:sz w:val="16"/>
              </w:rPr>
              <w:t>Plumbing-examination</w:t>
            </w:r>
            <w:r w:rsidRPr="00EB2BD8">
              <w:rPr>
                <w:rFonts w:ascii="Arial"/>
                <w:spacing w:val="14"/>
                <w:sz w:val="16"/>
              </w:rPr>
              <w:t xml:space="preserve"> </w:t>
            </w:r>
            <w:r w:rsidRPr="00EB2BD8">
              <w:rPr>
                <w:rFonts w:ascii="Arial"/>
                <w:spacing w:val="-2"/>
                <w:sz w:val="16"/>
              </w:rPr>
              <w:t>fees</w:t>
            </w:r>
            <w:r w:rsidRPr="00EB2BD8">
              <w:rPr>
                <w:rFonts w:ascii="Arial"/>
                <w:spacing w:val="-2"/>
                <w:position w:val="6"/>
                <w:sz w:val="11"/>
              </w:rPr>
              <w:t>(k)</w:t>
            </w:r>
          </w:p>
        </w:tc>
        <w:tc>
          <w:tcPr>
            <w:tcW w:w="1709" w:type="dxa"/>
            <w:shd w:val="clear" w:color="auto" w:fill="DEEAF6"/>
          </w:tcPr>
          <w:p w14:paraId="05C51C01" w14:textId="77777777" w:rsidR="00084F36" w:rsidRPr="00EB2BD8" w:rsidRDefault="00EB2BD8">
            <w:pPr>
              <w:pStyle w:val="TableParagraph"/>
              <w:spacing w:before="65"/>
              <w:ind w:right="93"/>
              <w:jc w:val="right"/>
              <w:rPr>
                <w:rFonts w:ascii="Arial"/>
                <w:sz w:val="16"/>
              </w:rPr>
            </w:pPr>
            <w:r w:rsidRPr="00EB2BD8">
              <w:rPr>
                <w:rFonts w:ascii="Arial"/>
                <w:spacing w:val="-5"/>
                <w:w w:val="105"/>
                <w:sz w:val="16"/>
              </w:rPr>
              <w:t>282</w:t>
            </w:r>
          </w:p>
        </w:tc>
        <w:tc>
          <w:tcPr>
            <w:tcW w:w="1528" w:type="dxa"/>
            <w:shd w:val="clear" w:color="auto" w:fill="FFFFFF"/>
          </w:tcPr>
          <w:p w14:paraId="75D000BE" w14:textId="77777777" w:rsidR="00084F36" w:rsidRPr="00EB2BD8" w:rsidRDefault="00EB2BD8">
            <w:pPr>
              <w:pStyle w:val="TableParagraph"/>
              <w:spacing w:before="65"/>
              <w:ind w:right="93"/>
              <w:jc w:val="right"/>
              <w:rPr>
                <w:rFonts w:ascii="Arial"/>
                <w:sz w:val="16"/>
              </w:rPr>
            </w:pPr>
            <w:r w:rsidRPr="00EB2BD8">
              <w:rPr>
                <w:rFonts w:ascii="Arial"/>
                <w:spacing w:val="-5"/>
                <w:w w:val="105"/>
                <w:sz w:val="16"/>
              </w:rPr>
              <w:t>231</w:t>
            </w:r>
          </w:p>
        </w:tc>
      </w:tr>
      <w:tr w:rsidR="00EB2BD8" w:rsidRPr="00EB2BD8" w14:paraId="0DCC1BD2" w14:textId="77777777">
        <w:trPr>
          <w:trHeight w:val="311"/>
        </w:trPr>
        <w:tc>
          <w:tcPr>
            <w:tcW w:w="5919" w:type="dxa"/>
            <w:tcBorders>
              <w:bottom w:val="single" w:sz="12" w:space="0" w:color="000000"/>
            </w:tcBorders>
            <w:shd w:val="clear" w:color="auto" w:fill="FFFFFF"/>
          </w:tcPr>
          <w:p w14:paraId="2E2DBD45" w14:textId="77777777" w:rsidR="00084F36" w:rsidRPr="00EB2BD8" w:rsidRDefault="00EB2BD8">
            <w:pPr>
              <w:pStyle w:val="TableParagraph"/>
              <w:spacing w:before="52"/>
              <w:ind w:left="104"/>
              <w:rPr>
                <w:rFonts w:ascii="Arial"/>
                <w:sz w:val="11"/>
              </w:rPr>
            </w:pPr>
            <w:r w:rsidRPr="00EB2BD8">
              <w:rPr>
                <w:rFonts w:ascii="Arial"/>
                <w:spacing w:val="-2"/>
                <w:w w:val="105"/>
                <w:sz w:val="16"/>
              </w:rPr>
              <w:t>Plumbing-prosecutions</w:t>
            </w:r>
            <w:r w:rsidRPr="00EB2BD8">
              <w:rPr>
                <w:rFonts w:ascii="Arial"/>
                <w:spacing w:val="7"/>
                <w:w w:val="105"/>
                <w:sz w:val="16"/>
              </w:rPr>
              <w:t xml:space="preserve"> </w:t>
            </w:r>
            <w:r w:rsidRPr="00EB2BD8">
              <w:rPr>
                <w:rFonts w:ascii="Arial"/>
                <w:spacing w:val="-2"/>
                <w:w w:val="105"/>
                <w:sz w:val="16"/>
              </w:rPr>
              <w:t>and</w:t>
            </w:r>
            <w:r w:rsidRPr="00EB2BD8">
              <w:rPr>
                <w:rFonts w:ascii="Arial"/>
                <w:spacing w:val="7"/>
                <w:w w:val="105"/>
                <w:sz w:val="16"/>
              </w:rPr>
              <w:t xml:space="preserve"> </w:t>
            </w:r>
            <w:r w:rsidRPr="00EB2BD8">
              <w:rPr>
                <w:rFonts w:ascii="Arial"/>
                <w:spacing w:val="-2"/>
                <w:w w:val="105"/>
                <w:sz w:val="16"/>
              </w:rPr>
              <w:t>inquiry</w:t>
            </w:r>
            <w:r w:rsidRPr="00EB2BD8">
              <w:rPr>
                <w:rFonts w:ascii="Arial"/>
                <w:spacing w:val="7"/>
                <w:w w:val="105"/>
                <w:sz w:val="16"/>
              </w:rPr>
              <w:t xml:space="preserve"> </w:t>
            </w:r>
            <w:r w:rsidRPr="00EB2BD8">
              <w:rPr>
                <w:rFonts w:ascii="Arial"/>
                <w:spacing w:val="-2"/>
                <w:w w:val="105"/>
                <w:sz w:val="16"/>
              </w:rPr>
              <w:t>fines</w:t>
            </w:r>
            <w:r w:rsidRPr="00EB2BD8">
              <w:rPr>
                <w:rFonts w:ascii="Arial"/>
                <w:spacing w:val="-2"/>
                <w:w w:val="105"/>
                <w:position w:val="6"/>
                <w:sz w:val="11"/>
              </w:rPr>
              <w:t>(l)</w:t>
            </w:r>
          </w:p>
        </w:tc>
        <w:tc>
          <w:tcPr>
            <w:tcW w:w="1709" w:type="dxa"/>
            <w:tcBorders>
              <w:bottom w:val="single" w:sz="12" w:space="0" w:color="000000"/>
            </w:tcBorders>
            <w:shd w:val="clear" w:color="auto" w:fill="DEEAF6"/>
          </w:tcPr>
          <w:p w14:paraId="2BC2C2C1" w14:textId="77777777" w:rsidR="00084F36" w:rsidRPr="00EB2BD8" w:rsidRDefault="00EB2BD8">
            <w:pPr>
              <w:pStyle w:val="TableParagraph"/>
              <w:spacing w:before="66"/>
              <w:ind w:right="93"/>
              <w:jc w:val="right"/>
              <w:rPr>
                <w:rFonts w:ascii="Arial"/>
                <w:sz w:val="16"/>
              </w:rPr>
            </w:pPr>
            <w:r w:rsidRPr="00EB2BD8">
              <w:rPr>
                <w:rFonts w:ascii="Arial"/>
                <w:spacing w:val="-5"/>
                <w:w w:val="105"/>
                <w:sz w:val="16"/>
              </w:rPr>
              <w:t>119</w:t>
            </w:r>
          </w:p>
        </w:tc>
        <w:tc>
          <w:tcPr>
            <w:tcW w:w="1528" w:type="dxa"/>
            <w:tcBorders>
              <w:bottom w:val="single" w:sz="12" w:space="0" w:color="000000"/>
            </w:tcBorders>
            <w:shd w:val="clear" w:color="auto" w:fill="FFFFFF"/>
          </w:tcPr>
          <w:p w14:paraId="69B632EA" w14:textId="77777777" w:rsidR="00084F36" w:rsidRPr="00EB2BD8" w:rsidRDefault="00EB2BD8">
            <w:pPr>
              <w:pStyle w:val="TableParagraph"/>
              <w:spacing w:before="66"/>
              <w:ind w:right="93"/>
              <w:jc w:val="right"/>
              <w:rPr>
                <w:rFonts w:ascii="Arial"/>
                <w:sz w:val="16"/>
              </w:rPr>
            </w:pPr>
            <w:r w:rsidRPr="00EB2BD8">
              <w:rPr>
                <w:rFonts w:ascii="Arial"/>
                <w:spacing w:val="-5"/>
                <w:w w:val="105"/>
                <w:sz w:val="16"/>
              </w:rPr>
              <w:t>98</w:t>
            </w:r>
          </w:p>
        </w:tc>
      </w:tr>
      <w:tr w:rsidR="00EB2BD8" w:rsidRPr="00EB2BD8" w14:paraId="4862E02D" w14:textId="77777777">
        <w:trPr>
          <w:trHeight w:val="286"/>
        </w:trPr>
        <w:tc>
          <w:tcPr>
            <w:tcW w:w="5919" w:type="dxa"/>
            <w:tcBorders>
              <w:top w:val="single" w:sz="12" w:space="0" w:color="000000"/>
              <w:bottom w:val="single" w:sz="12" w:space="0" w:color="000000"/>
            </w:tcBorders>
            <w:shd w:val="clear" w:color="auto" w:fill="FFFFFF"/>
          </w:tcPr>
          <w:p w14:paraId="6A53EE79" w14:textId="77777777" w:rsidR="00084F36" w:rsidRPr="00EB2BD8" w:rsidRDefault="00EB2BD8">
            <w:pPr>
              <w:pStyle w:val="TableParagraph"/>
              <w:spacing w:before="52"/>
              <w:ind w:left="104"/>
              <w:rPr>
                <w:rFonts w:ascii="Arial"/>
                <w:b/>
                <w:sz w:val="16"/>
              </w:rPr>
            </w:pPr>
            <w:r w:rsidRPr="00EB2BD8">
              <w:rPr>
                <w:rFonts w:ascii="Arial"/>
                <w:b/>
                <w:w w:val="105"/>
                <w:sz w:val="16"/>
              </w:rPr>
              <w:t>Total</w:t>
            </w:r>
            <w:r w:rsidRPr="00EB2BD8">
              <w:rPr>
                <w:rFonts w:ascii="Arial"/>
                <w:b/>
                <w:spacing w:val="-7"/>
                <w:w w:val="105"/>
                <w:sz w:val="16"/>
              </w:rPr>
              <w:t xml:space="preserve"> </w:t>
            </w:r>
            <w:r w:rsidRPr="00EB2BD8">
              <w:rPr>
                <w:rFonts w:ascii="Arial"/>
                <w:b/>
                <w:w w:val="105"/>
                <w:sz w:val="16"/>
              </w:rPr>
              <w:t>building</w:t>
            </w:r>
            <w:r w:rsidRPr="00EB2BD8">
              <w:rPr>
                <w:rFonts w:ascii="Arial"/>
                <w:b/>
                <w:spacing w:val="-7"/>
                <w:w w:val="105"/>
                <w:sz w:val="16"/>
              </w:rPr>
              <w:t xml:space="preserve"> </w:t>
            </w:r>
            <w:r w:rsidRPr="00EB2BD8">
              <w:rPr>
                <w:rFonts w:ascii="Arial"/>
                <w:b/>
                <w:w w:val="105"/>
                <w:sz w:val="16"/>
              </w:rPr>
              <w:t>levies,</w:t>
            </w:r>
            <w:r w:rsidRPr="00EB2BD8">
              <w:rPr>
                <w:rFonts w:ascii="Arial"/>
                <w:b/>
                <w:spacing w:val="-7"/>
                <w:w w:val="105"/>
                <w:sz w:val="16"/>
              </w:rPr>
              <w:t xml:space="preserve"> </w:t>
            </w:r>
            <w:r w:rsidRPr="00EB2BD8">
              <w:rPr>
                <w:rFonts w:ascii="Arial"/>
                <w:b/>
                <w:w w:val="105"/>
                <w:sz w:val="16"/>
              </w:rPr>
              <w:t>fees</w:t>
            </w:r>
            <w:r w:rsidRPr="00EB2BD8">
              <w:rPr>
                <w:rFonts w:ascii="Arial"/>
                <w:b/>
                <w:spacing w:val="-7"/>
                <w:w w:val="105"/>
                <w:sz w:val="16"/>
              </w:rPr>
              <w:t xml:space="preserve"> </w:t>
            </w:r>
            <w:r w:rsidRPr="00EB2BD8">
              <w:rPr>
                <w:rFonts w:ascii="Arial"/>
                <w:b/>
                <w:w w:val="105"/>
                <w:sz w:val="16"/>
              </w:rPr>
              <w:t>and</w:t>
            </w:r>
            <w:r w:rsidRPr="00EB2BD8">
              <w:rPr>
                <w:rFonts w:ascii="Arial"/>
                <w:b/>
                <w:spacing w:val="-6"/>
                <w:w w:val="105"/>
                <w:sz w:val="16"/>
              </w:rPr>
              <w:t xml:space="preserve"> </w:t>
            </w:r>
            <w:r w:rsidRPr="00EB2BD8">
              <w:rPr>
                <w:rFonts w:ascii="Arial"/>
                <w:b/>
                <w:w w:val="105"/>
                <w:sz w:val="16"/>
              </w:rPr>
              <w:t>fines</w:t>
            </w:r>
            <w:r w:rsidRPr="00EB2BD8">
              <w:rPr>
                <w:rFonts w:ascii="Arial"/>
                <w:b/>
                <w:spacing w:val="-8"/>
                <w:w w:val="105"/>
                <w:sz w:val="16"/>
              </w:rPr>
              <w:t xml:space="preserve"> </w:t>
            </w:r>
            <w:r w:rsidRPr="00EB2BD8">
              <w:rPr>
                <w:rFonts w:ascii="Arial"/>
                <w:b/>
                <w:spacing w:val="-2"/>
                <w:w w:val="105"/>
                <w:sz w:val="16"/>
              </w:rPr>
              <w:t>revenue</w:t>
            </w:r>
          </w:p>
        </w:tc>
        <w:tc>
          <w:tcPr>
            <w:tcW w:w="1709" w:type="dxa"/>
            <w:tcBorders>
              <w:top w:val="single" w:sz="12" w:space="0" w:color="000000"/>
              <w:bottom w:val="single" w:sz="12" w:space="0" w:color="000000"/>
            </w:tcBorders>
            <w:shd w:val="clear" w:color="auto" w:fill="DEEAF6"/>
          </w:tcPr>
          <w:p w14:paraId="30F09816" w14:textId="77777777" w:rsidR="00084F36" w:rsidRPr="00EB2BD8" w:rsidRDefault="00EB2BD8">
            <w:pPr>
              <w:pStyle w:val="TableParagraph"/>
              <w:spacing w:before="52"/>
              <w:ind w:right="93"/>
              <w:jc w:val="right"/>
              <w:rPr>
                <w:rFonts w:ascii="Arial"/>
                <w:b/>
                <w:sz w:val="16"/>
              </w:rPr>
            </w:pPr>
            <w:r w:rsidRPr="00EB2BD8">
              <w:rPr>
                <w:rFonts w:ascii="Arial"/>
                <w:b/>
                <w:spacing w:val="-2"/>
                <w:w w:val="105"/>
                <w:sz w:val="16"/>
              </w:rPr>
              <w:t>88,641</w:t>
            </w:r>
          </w:p>
        </w:tc>
        <w:tc>
          <w:tcPr>
            <w:tcW w:w="1528" w:type="dxa"/>
            <w:tcBorders>
              <w:top w:val="single" w:sz="12" w:space="0" w:color="000000"/>
              <w:bottom w:val="single" w:sz="12" w:space="0" w:color="000000"/>
            </w:tcBorders>
            <w:shd w:val="clear" w:color="auto" w:fill="FFFFFF"/>
          </w:tcPr>
          <w:p w14:paraId="19074EB3" w14:textId="77777777" w:rsidR="00084F36" w:rsidRPr="00EB2BD8" w:rsidRDefault="00EB2BD8">
            <w:pPr>
              <w:pStyle w:val="TableParagraph"/>
              <w:spacing w:before="52"/>
              <w:ind w:right="93"/>
              <w:jc w:val="right"/>
              <w:rPr>
                <w:rFonts w:ascii="Arial"/>
                <w:b/>
                <w:sz w:val="16"/>
              </w:rPr>
            </w:pPr>
            <w:r w:rsidRPr="00EB2BD8">
              <w:rPr>
                <w:rFonts w:ascii="Arial"/>
                <w:b/>
                <w:spacing w:val="-2"/>
                <w:w w:val="105"/>
                <w:sz w:val="16"/>
              </w:rPr>
              <w:t>75,908</w:t>
            </w:r>
          </w:p>
        </w:tc>
      </w:tr>
    </w:tbl>
    <w:p w14:paraId="143EEC33" w14:textId="77777777" w:rsidR="00084F36" w:rsidRPr="00EB2BD8" w:rsidRDefault="00EB2BD8">
      <w:pPr>
        <w:spacing w:before="126"/>
        <w:ind w:left="1053"/>
        <w:rPr>
          <w:rFonts w:ascii="Arial"/>
          <w:i/>
          <w:sz w:val="15"/>
        </w:rPr>
      </w:pPr>
      <w:r w:rsidRPr="00EB2BD8">
        <w:rPr>
          <w:rFonts w:ascii="Arial"/>
          <w:i/>
          <w:spacing w:val="-2"/>
          <w:sz w:val="15"/>
        </w:rPr>
        <w:t>Notes:</w:t>
      </w:r>
    </w:p>
    <w:p w14:paraId="4CF82FCD" w14:textId="77777777" w:rsidR="00084F36" w:rsidRPr="00EB2BD8" w:rsidRDefault="00084F36">
      <w:pPr>
        <w:pStyle w:val="BodyText"/>
        <w:spacing w:before="9"/>
        <w:rPr>
          <w:rFonts w:ascii="Arial"/>
          <w:i/>
          <w:sz w:val="13"/>
        </w:rPr>
      </w:pPr>
    </w:p>
    <w:p w14:paraId="684EAC0E" w14:textId="77777777" w:rsidR="00084F36" w:rsidRPr="00EB2BD8" w:rsidRDefault="00EB2BD8">
      <w:pPr>
        <w:pStyle w:val="ListParagraph"/>
        <w:numPr>
          <w:ilvl w:val="0"/>
          <w:numId w:val="48"/>
        </w:numPr>
        <w:tabs>
          <w:tab w:val="left" w:pos="1446"/>
        </w:tabs>
        <w:ind w:left="1446" w:hanging="332"/>
        <w:rPr>
          <w:rFonts w:ascii="Arial"/>
          <w:i/>
          <w:sz w:val="15"/>
        </w:rPr>
      </w:pPr>
      <w:r w:rsidRPr="00EB2BD8">
        <w:rPr>
          <w:rFonts w:ascii="Arial"/>
          <w:i/>
          <w:sz w:val="15"/>
        </w:rPr>
        <w:t>Building</w:t>
      </w:r>
      <w:r w:rsidRPr="00EB2BD8">
        <w:rPr>
          <w:rFonts w:ascii="Arial"/>
          <w:i/>
          <w:spacing w:val="-10"/>
          <w:sz w:val="15"/>
        </w:rPr>
        <w:t xml:space="preserve"> </w:t>
      </w:r>
      <w:r w:rsidRPr="00EB2BD8">
        <w:rPr>
          <w:rFonts w:ascii="Arial"/>
          <w:i/>
          <w:sz w:val="15"/>
        </w:rPr>
        <w:t>permit</w:t>
      </w:r>
      <w:r w:rsidRPr="00EB2BD8">
        <w:rPr>
          <w:rFonts w:ascii="Arial"/>
          <w:i/>
          <w:spacing w:val="-9"/>
          <w:sz w:val="15"/>
        </w:rPr>
        <w:t xml:space="preserve"> </w:t>
      </w:r>
      <w:r w:rsidRPr="00EB2BD8">
        <w:rPr>
          <w:rFonts w:ascii="Arial"/>
          <w:i/>
          <w:sz w:val="15"/>
        </w:rPr>
        <w:t>levy</w:t>
      </w:r>
      <w:r w:rsidRPr="00EB2BD8">
        <w:rPr>
          <w:rFonts w:ascii="Arial"/>
          <w:i/>
          <w:spacing w:val="-8"/>
          <w:sz w:val="15"/>
        </w:rPr>
        <w:t xml:space="preserve"> </w:t>
      </w:r>
      <w:r w:rsidRPr="00EB2BD8">
        <w:rPr>
          <w:rFonts w:ascii="Arial"/>
          <w:i/>
          <w:sz w:val="15"/>
        </w:rPr>
        <w:t>-</w:t>
      </w:r>
      <w:r w:rsidRPr="00EB2BD8">
        <w:rPr>
          <w:rFonts w:ascii="Arial"/>
          <w:i/>
          <w:spacing w:val="-10"/>
          <w:sz w:val="15"/>
        </w:rPr>
        <w:t xml:space="preserve"> </w:t>
      </w:r>
      <w:r w:rsidRPr="00EB2BD8">
        <w:rPr>
          <w:rFonts w:ascii="Arial"/>
          <w:i/>
          <w:sz w:val="15"/>
        </w:rPr>
        <w:t>general</w:t>
      </w:r>
      <w:r w:rsidRPr="00EB2BD8">
        <w:rPr>
          <w:rFonts w:ascii="Arial"/>
          <w:i/>
          <w:spacing w:val="-9"/>
          <w:sz w:val="15"/>
        </w:rPr>
        <w:t xml:space="preserve"> </w:t>
      </w:r>
      <w:r w:rsidRPr="00EB2BD8">
        <w:rPr>
          <w:rFonts w:ascii="Arial"/>
          <w:i/>
          <w:spacing w:val="-4"/>
          <w:sz w:val="15"/>
        </w:rPr>
        <w:t>levy</w:t>
      </w:r>
    </w:p>
    <w:p w14:paraId="2D2B7419" w14:textId="77777777" w:rsidR="00084F36" w:rsidRPr="00EB2BD8" w:rsidRDefault="00EB2BD8">
      <w:pPr>
        <w:spacing w:before="80" w:line="273" w:lineRule="auto"/>
        <w:ind w:left="1448" w:right="1813"/>
        <w:rPr>
          <w:rFonts w:ascii="Arial" w:hAnsi="Arial"/>
          <w:i/>
          <w:sz w:val="15"/>
        </w:rPr>
      </w:pPr>
      <w:r w:rsidRPr="00EB2BD8">
        <w:rPr>
          <w:rFonts w:ascii="Arial" w:hAnsi="Arial"/>
          <w:i/>
          <w:sz w:val="15"/>
        </w:rPr>
        <w:t>The</w:t>
      </w:r>
      <w:r w:rsidRPr="00EB2BD8">
        <w:rPr>
          <w:rFonts w:ascii="Arial" w:hAnsi="Arial"/>
          <w:i/>
          <w:spacing w:val="-2"/>
          <w:sz w:val="15"/>
        </w:rPr>
        <w:t xml:space="preserve"> </w:t>
      </w:r>
      <w:r w:rsidRPr="00EB2BD8">
        <w:rPr>
          <w:rFonts w:ascii="Arial" w:hAnsi="Arial"/>
          <w:i/>
          <w:sz w:val="15"/>
        </w:rPr>
        <w:t>general</w:t>
      </w:r>
      <w:r w:rsidRPr="00EB2BD8">
        <w:rPr>
          <w:rFonts w:ascii="Arial" w:hAnsi="Arial"/>
          <w:i/>
          <w:spacing w:val="-1"/>
          <w:sz w:val="15"/>
        </w:rPr>
        <w:t xml:space="preserve"> </w:t>
      </w:r>
      <w:r w:rsidRPr="00EB2BD8">
        <w:rPr>
          <w:rFonts w:ascii="Arial" w:hAnsi="Arial"/>
          <w:i/>
          <w:sz w:val="15"/>
        </w:rPr>
        <w:t>building</w:t>
      </w:r>
      <w:r w:rsidRPr="00EB2BD8">
        <w:rPr>
          <w:rFonts w:ascii="Arial" w:hAnsi="Arial"/>
          <w:i/>
          <w:spacing w:val="-2"/>
          <w:sz w:val="15"/>
        </w:rPr>
        <w:t xml:space="preserve"> </w:t>
      </w:r>
      <w:r w:rsidRPr="00EB2BD8">
        <w:rPr>
          <w:rFonts w:ascii="Arial" w:hAnsi="Arial"/>
          <w:i/>
          <w:sz w:val="15"/>
        </w:rPr>
        <w:t>permit</w:t>
      </w:r>
      <w:r w:rsidRPr="00EB2BD8">
        <w:rPr>
          <w:rFonts w:ascii="Arial" w:hAnsi="Arial"/>
          <w:i/>
          <w:spacing w:val="-2"/>
          <w:sz w:val="15"/>
        </w:rPr>
        <w:t xml:space="preserve"> </w:t>
      </w:r>
      <w:r w:rsidRPr="00EB2BD8">
        <w:rPr>
          <w:rFonts w:ascii="Arial" w:hAnsi="Arial"/>
          <w:i/>
          <w:sz w:val="15"/>
        </w:rPr>
        <w:t>levy</w:t>
      </w:r>
      <w:r w:rsidRPr="00EB2BD8">
        <w:rPr>
          <w:rFonts w:ascii="Arial" w:hAnsi="Arial"/>
          <w:i/>
          <w:spacing w:val="-1"/>
          <w:sz w:val="15"/>
        </w:rPr>
        <w:t xml:space="preserve"> </w:t>
      </w:r>
      <w:r w:rsidRPr="00EB2BD8">
        <w:rPr>
          <w:rFonts w:ascii="Arial" w:hAnsi="Arial"/>
          <w:i/>
          <w:sz w:val="15"/>
        </w:rPr>
        <w:t>is</w:t>
      </w:r>
      <w:r w:rsidRPr="00EB2BD8">
        <w:rPr>
          <w:rFonts w:ascii="Arial" w:hAnsi="Arial"/>
          <w:i/>
          <w:spacing w:val="-1"/>
          <w:sz w:val="15"/>
        </w:rPr>
        <w:t xml:space="preserve"> </w:t>
      </w:r>
      <w:r w:rsidRPr="00EB2BD8">
        <w:rPr>
          <w:rFonts w:ascii="Arial" w:hAnsi="Arial"/>
          <w:i/>
          <w:sz w:val="15"/>
        </w:rPr>
        <w:t>calculated</w:t>
      </w:r>
      <w:r w:rsidRPr="00EB2BD8">
        <w:rPr>
          <w:rFonts w:ascii="Arial" w:hAnsi="Arial"/>
          <w:i/>
          <w:spacing w:val="-2"/>
          <w:sz w:val="15"/>
        </w:rPr>
        <w:t xml:space="preserve"> </w:t>
      </w:r>
      <w:r w:rsidRPr="00EB2BD8">
        <w:rPr>
          <w:rFonts w:ascii="Arial" w:hAnsi="Arial"/>
          <w:i/>
          <w:sz w:val="15"/>
        </w:rPr>
        <w:t>based</w:t>
      </w:r>
      <w:r w:rsidRPr="00EB2BD8">
        <w:rPr>
          <w:rFonts w:ascii="Arial" w:hAnsi="Arial"/>
          <w:i/>
          <w:spacing w:val="-2"/>
          <w:sz w:val="15"/>
        </w:rPr>
        <w:t xml:space="preserve"> </w:t>
      </w:r>
      <w:r w:rsidRPr="00EB2BD8">
        <w:rPr>
          <w:rFonts w:ascii="Arial" w:hAnsi="Arial"/>
          <w:i/>
          <w:sz w:val="15"/>
        </w:rPr>
        <w:t>on</w:t>
      </w:r>
      <w:r w:rsidRPr="00EB2BD8">
        <w:rPr>
          <w:rFonts w:ascii="Arial" w:hAnsi="Arial"/>
          <w:i/>
          <w:spacing w:val="-2"/>
          <w:sz w:val="15"/>
        </w:rPr>
        <w:t xml:space="preserve"> </w:t>
      </w:r>
      <w:r w:rsidRPr="00EB2BD8">
        <w:rPr>
          <w:rFonts w:ascii="Arial" w:hAnsi="Arial"/>
          <w:i/>
          <w:sz w:val="15"/>
        </w:rPr>
        <w:t>0.064</w:t>
      </w:r>
      <w:r w:rsidRPr="00EB2BD8">
        <w:rPr>
          <w:rFonts w:ascii="Arial" w:hAnsi="Arial"/>
          <w:i/>
          <w:spacing w:val="-2"/>
          <w:sz w:val="15"/>
        </w:rPr>
        <w:t xml:space="preserve"> </w:t>
      </w:r>
      <w:r w:rsidRPr="00EB2BD8">
        <w:rPr>
          <w:rFonts w:ascii="Arial" w:hAnsi="Arial"/>
          <w:i/>
          <w:sz w:val="15"/>
        </w:rPr>
        <w:t>cents</w:t>
      </w:r>
      <w:r w:rsidRPr="00EB2BD8">
        <w:rPr>
          <w:rFonts w:ascii="Arial" w:hAnsi="Arial"/>
          <w:i/>
          <w:spacing w:val="-1"/>
          <w:sz w:val="15"/>
        </w:rPr>
        <w:t xml:space="preserve"> </w:t>
      </w:r>
      <w:r w:rsidRPr="00EB2BD8">
        <w:rPr>
          <w:rFonts w:ascii="Arial" w:hAnsi="Arial"/>
          <w:i/>
          <w:sz w:val="15"/>
        </w:rPr>
        <w:t>in</w:t>
      </w:r>
      <w:r w:rsidRPr="00EB2BD8">
        <w:rPr>
          <w:rFonts w:ascii="Arial" w:hAnsi="Arial"/>
          <w:i/>
          <w:spacing w:val="-2"/>
          <w:sz w:val="15"/>
        </w:rPr>
        <w:t xml:space="preserve"> </w:t>
      </w:r>
      <w:r w:rsidRPr="00EB2BD8">
        <w:rPr>
          <w:rFonts w:ascii="Arial" w:hAnsi="Arial"/>
          <w:i/>
          <w:sz w:val="15"/>
        </w:rPr>
        <w:t>the</w:t>
      </w:r>
      <w:r w:rsidRPr="00EB2BD8">
        <w:rPr>
          <w:rFonts w:ascii="Arial" w:hAnsi="Arial"/>
          <w:i/>
          <w:spacing w:val="-2"/>
          <w:sz w:val="15"/>
        </w:rPr>
        <w:t xml:space="preserve"> </w:t>
      </w:r>
      <w:r w:rsidRPr="00EB2BD8">
        <w:rPr>
          <w:rFonts w:ascii="Arial" w:hAnsi="Arial"/>
          <w:i/>
          <w:sz w:val="15"/>
        </w:rPr>
        <w:t>dollar</w:t>
      </w:r>
      <w:r w:rsidRPr="00EB2BD8">
        <w:rPr>
          <w:rFonts w:ascii="Arial" w:hAnsi="Arial"/>
          <w:i/>
          <w:spacing w:val="-2"/>
          <w:sz w:val="15"/>
        </w:rPr>
        <w:t xml:space="preserve"> </w:t>
      </w:r>
      <w:r w:rsidRPr="00EB2BD8">
        <w:rPr>
          <w:rFonts w:ascii="Arial" w:hAnsi="Arial"/>
          <w:i/>
          <w:sz w:val="15"/>
        </w:rPr>
        <w:t>of</w:t>
      </w:r>
      <w:r w:rsidRPr="00EB2BD8">
        <w:rPr>
          <w:rFonts w:ascii="Arial" w:hAnsi="Arial"/>
          <w:i/>
          <w:spacing w:val="-2"/>
          <w:sz w:val="15"/>
        </w:rPr>
        <w:t xml:space="preserve"> </w:t>
      </w:r>
      <w:r w:rsidRPr="00EB2BD8">
        <w:rPr>
          <w:rFonts w:ascii="Arial" w:hAnsi="Arial"/>
          <w:i/>
          <w:sz w:val="15"/>
        </w:rPr>
        <w:t>the</w:t>
      </w:r>
      <w:r w:rsidRPr="00EB2BD8">
        <w:rPr>
          <w:rFonts w:ascii="Arial" w:hAnsi="Arial"/>
          <w:i/>
          <w:spacing w:val="-2"/>
          <w:sz w:val="15"/>
        </w:rPr>
        <w:t xml:space="preserve"> </w:t>
      </w:r>
      <w:r w:rsidRPr="00EB2BD8">
        <w:rPr>
          <w:rFonts w:ascii="Arial" w:hAnsi="Arial"/>
          <w:i/>
          <w:sz w:val="15"/>
        </w:rPr>
        <w:t>cost</w:t>
      </w:r>
      <w:r w:rsidRPr="00EB2BD8">
        <w:rPr>
          <w:rFonts w:ascii="Arial" w:hAnsi="Arial"/>
          <w:i/>
          <w:spacing w:val="-2"/>
          <w:sz w:val="15"/>
        </w:rPr>
        <w:t xml:space="preserve"> </w:t>
      </w:r>
      <w:r w:rsidRPr="00EB2BD8">
        <w:rPr>
          <w:rFonts w:ascii="Arial" w:hAnsi="Arial"/>
          <w:i/>
          <w:sz w:val="15"/>
        </w:rPr>
        <w:t>of</w:t>
      </w:r>
      <w:r w:rsidRPr="00EB2BD8">
        <w:rPr>
          <w:rFonts w:ascii="Arial" w:hAnsi="Arial"/>
          <w:i/>
          <w:spacing w:val="-2"/>
          <w:sz w:val="15"/>
        </w:rPr>
        <w:t xml:space="preserve"> </w:t>
      </w:r>
      <w:r w:rsidRPr="00EB2BD8">
        <w:rPr>
          <w:rFonts w:ascii="Arial" w:hAnsi="Arial"/>
          <w:i/>
          <w:sz w:val="15"/>
        </w:rPr>
        <w:t>building</w:t>
      </w:r>
      <w:r w:rsidRPr="00EB2BD8">
        <w:rPr>
          <w:rFonts w:ascii="Arial" w:hAnsi="Arial"/>
          <w:i/>
          <w:spacing w:val="-2"/>
          <w:sz w:val="15"/>
        </w:rPr>
        <w:t xml:space="preserve"> </w:t>
      </w:r>
      <w:r w:rsidRPr="00EB2BD8">
        <w:rPr>
          <w:rFonts w:ascii="Arial" w:hAnsi="Arial"/>
          <w:i/>
          <w:sz w:val="15"/>
        </w:rPr>
        <w:t>work</w:t>
      </w:r>
      <w:r w:rsidRPr="00EB2BD8">
        <w:rPr>
          <w:rFonts w:ascii="Arial" w:hAnsi="Arial"/>
          <w:i/>
          <w:spacing w:val="-1"/>
          <w:sz w:val="15"/>
        </w:rPr>
        <w:t xml:space="preserve"> </w:t>
      </w:r>
      <w:r w:rsidRPr="00EB2BD8">
        <w:rPr>
          <w:rFonts w:ascii="Arial" w:hAnsi="Arial"/>
          <w:i/>
          <w:sz w:val="15"/>
        </w:rPr>
        <w:t>for</w:t>
      </w:r>
      <w:r w:rsidRPr="00EB2BD8">
        <w:rPr>
          <w:rFonts w:ascii="Arial" w:hAnsi="Arial"/>
          <w:i/>
          <w:spacing w:val="-1"/>
          <w:sz w:val="15"/>
        </w:rPr>
        <w:t xml:space="preserve"> </w:t>
      </w:r>
      <w:r w:rsidRPr="00EB2BD8">
        <w:rPr>
          <w:rFonts w:ascii="Arial" w:hAnsi="Arial"/>
          <w:i/>
          <w:sz w:val="15"/>
        </w:rPr>
        <w:t>which</w:t>
      </w:r>
      <w:r w:rsidRPr="00EB2BD8">
        <w:rPr>
          <w:rFonts w:ascii="Arial" w:hAnsi="Arial"/>
          <w:i/>
          <w:spacing w:val="-2"/>
          <w:sz w:val="15"/>
        </w:rPr>
        <w:t xml:space="preserve"> </w:t>
      </w:r>
      <w:r w:rsidRPr="00EB2BD8">
        <w:rPr>
          <w:rFonts w:ascii="Arial" w:hAnsi="Arial"/>
          <w:i/>
          <w:sz w:val="15"/>
        </w:rPr>
        <w:t>a</w:t>
      </w:r>
      <w:r w:rsidRPr="00EB2BD8">
        <w:rPr>
          <w:rFonts w:ascii="Arial" w:hAnsi="Arial"/>
          <w:i/>
          <w:spacing w:val="-2"/>
          <w:sz w:val="15"/>
        </w:rPr>
        <w:t xml:space="preserve"> </w:t>
      </w:r>
      <w:r w:rsidRPr="00EB2BD8">
        <w:rPr>
          <w:rFonts w:ascii="Arial" w:hAnsi="Arial"/>
          <w:i/>
          <w:sz w:val="15"/>
        </w:rPr>
        <w:t>building permit</w:t>
      </w:r>
      <w:r w:rsidRPr="00EB2BD8">
        <w:rPr>
          <w:rFonts w:ascii="Arial" w:hAnsi="Arial"/>
          <w:i/>
          <w:spacing w:val="-6"/>
          <w:sz w:val="15"/>
        </w:rPr>
        <w:t xml:space="preserve"> </w:t>
      </w:r>
      <w:r w:rsidRPr="00EB2BD8">
        <w:rPr>
          <w:rFonts w:ascii="Arial" w:hAnsi="Arial"/>
          <w:i/>
          <w:sz w:val="15"/>
        </w:rPr>
        <w:t>is</w:t>
      </w:r>
      <w:r w:rsidRPr="00EB2BD8">
        <w:rPr>
          <w:rFonts w:ascii="Arial" w:hAnsi="Arial"/>
          <w:i/>
          <w:spacing w:val="-5"/>
          <w:sz w:val="15"/>
        </w:rPr>
        <w:t xml:space="preserve"> </w:t>
      </w:r>
      <w:r w:rsidRPr="00EB2BD8">
        <w:rPr>
          <w:rFonts w:ascii="Arial" w:hAnsi="Arial"/>
          <w:i/>
          <w:sz w:val="15"/>
        </w:rPr>
        <w:t>sought.</w:t>
      </w:r>
      <w:r w:rsidRPr="00EB2BD8">
        <w:rPr>
          <w:rFonts w:ascii="Arial" w:hAnsi="Arial"/>
          <w:i/>
          <w:spacing w:val="-6"/>
          <w:sz w:val="15"/>
        </w:rPr>
        <w:t xml:space="preserve"> </w:t>
      </w:r>
      <w:r w:rsidRPr="00EB2BD8">
        <w:rPr>
          <w:rFonts w:ascii="Arial" w:hAnsi="Arial"/>
          <w:i/>
          <w:sz w:val="15"/>
        </w:rPr>
        <w:t>Building</w:t>
      </w:r>
      <w:r w:rsidRPr="00EB2BD8">
        <w:rPr>
          <w:rFonts w:ascii="Arial" w:hAnsi="Arial"/>
          <w:i/>
          <w:spacing w:val="-6"/>
          <w:sz w:val="15"/>
        </w:rPr>
        <w:t xml:space="preserve"> </w:t>
      </w:r>
      <w:r w:rsidRPr="00EB2BD8">
        <w:rPr>
          <w:rFonts w:ascii="Arial" w:hAnsi="Arial"/>
          <w:i/>
          <w:sz w:val="15"/>
        </w:rPr>
        <w:t>permit</w:t>
      </w:r>
      <w:r w:rsidRPr="00EB2BD8">
        <w:rPr>
          <w:rFonts w:ascii="Arial" w:hAnsi="Arial"/>
          <w:i/>
          <w:spacing w:val="-6"/>
          <w:sz w:val="15"/>
        </w:rPr>
        <w:t xml:space="preserve"> </w:t>
      </w:r>
      <w:r w:rsidRPr="00EB2BD8">
        <w:rPr>
          <w:rFonts w:ascii="Arial" w:hAnsi="Arial"/>
          <w:i/>
          <w:sz w:val="15"/>
        </w:rPr>
        <w:t>levy</w:t>
      </w:r>
      <w:r w:rsidRPr="00EB2BD8">
        <w:rPr>
          <w:rFonts w:ascii="Arial" w:hAnsi="Arial"/>
          <w:i/>
          <w:spacing w:val="-5"/>
          <w:sz w:val="15"/>
        </w:rPr>
        <w:t xml:space="preserve"> </w:t>
      </w:r>
      <w:r w:rsidRPr="00EB2BD8">
        <w:rPr>
          <w:rFonts w:ascii="Arial" w:hAnsi="Arial"/>
          <w:i/>
          <w:sz w:val="15"/>
        </w:rPr>
        <w:t>–</w:t>
      </w:r>
      <w:r w:rsidRPr="00EB2BD8">
        <w:rPr>
          <w:rFonts w:ascii="Arial" w:hAnsi="Arial"/>
          <w:i/>
          <w:spacing w:val="-6"/>
          <w:sz w:val="15"/>
        </w:rPr>
        <w:t xml:space="preserve"> </w:t>
      </w:r>
      <w:r w:rsidRPr="00EB2BD8">
        <w:rPr>
          <w:rFonts w:ascii="Arial" w:hAnsi="Arial"/>
          <w:i/>
          <w:sz w:val="15"/>
        </w:rPr>
        <w:t>general</w:t>
      </w:r>
      <w:r w:rsidRPr="00EB2BD8">
        <w:rPr>
          <w:rFonts w:ascii="Arial" w:hAnsi="Arial"/>
          <w:i/>
          <w:spacing w:val="-5"/>
          <w:sz w:val="15"/>
        </w:rPr>
        <w:t xml:space="preserve"> </w:t>
      </w:r>
      <w:r w:rsidRPr="00EB2BD8">
        <w:rPr>
          <w:rFonts w:ascii="Arial" w:hAnsi="Arial"/>
          <w:i/>
          <w:sz w:val="15"/>
        </w:rPr>
        <w:t>levy</w:t>
      </w:r>
      <w:r w:rsidRPr="00EB2BD8">
        <w:rPr>
          <w:rFonts w:ascii="Arial" w:hAnsi="Arial"/>
          <w:i/>
          <w:spacing w:val="-7"/>
          <w:sz w:val="15"/>
        </w:rPr>
        <w:t xml:space="preserve"> </w:t>
      </w:r>
      <w:r w:rsidRPr="00EB2BD8">
        <w:rPr>
          <w:rFonts w:ascii="Arial" w:hAnsi="Arial"/>
          <w:i/>
          <w:sz w:val="15"/>
        </w:rPr>
        <w:t>revenue</w:t>
      </w:r>
      <w:r w:rsidRPr="00EB2BD8">
        <w:rPr>
          <w:rFonts w:ascii="Arial" w:hAnsi="Arial"/>
          <w:i/>
          <w:spacing w:val="-6"/>
          <w:sz w:val="15"/>
        </w:rPr>
        <w:t xml:space="preserve"> </w:t>
      </w:r>
      <w:r w:rsidRPr="00EB2BD8">
        <w:rPr>
          <w:rFonts w:ascii="Arial" w:hAnsi="Arial"/>
          <w:i/>
          <w:sz w:val="15"/>
        </w:rPr>
        <w:t>is</w:t>
      </w:r>
      <w:r w:rsidRPr="00EB2BD8">
        <w:rPr>
          <w:rFonts w:ascii="Arial" w:hAnsi="Arial"/>
          <w:i/>
          <w:spacing w:val="-5"/>
          <w:sz w:val="15"/>
        </w:rPr>
        <w:t xml:space="preserve"> </w:t>
      </w:r>
      <w:r w:rsidRPr="00EB2BD8">
        <w:rPr>
          <w:rFonts w:ascii="Arial" w:hAnsi="Arial"/>
          <w:i/>
          <w:sz w:val="15"/>
        </w:rPr>
        <w:t>brought</w:t>
      </w:r>
      <w:r w:rsidRPr="00EB2BD8">
        <w:rPr>
          <w:rFonts w:ascii="Arial" w:hAnsi="Arial"/>
          <w:i/>
          <w:spacing w:val="-6"/>
          <w:sz w:val="15"/>
        </w:rPr>
        <w:t xml:space="preserve"> </w:t>
      </w:r>
      <w:r w:rsidRPr="00EB2BD8">
        <w:rPr>
          <w:rFonts w:ascii="Arial" w:hAnsi="Arial"/>
          <w:i/>
          <w:sz w:val="15"/>
        </w:rPr>
        <w:t>to</w:t>
      </w:r>
      <w:r w:rsidRPr="00EB2BD8">
        <w:rPr>
          <w:rFonts w:ascii="Arial" w:hAnsi="Arial"/>
          <w:i/>
          <w:spacing w:val="-6"/>
          <w:sz w:val="15"/>
        </w:rPr>
        <w:t xml:space="preserve"> </w:t>
      </w:r>
      <w:r w:rsidRPr="00EB2BD8">
        <w:rPr>
          <w:rFonts w:ascii="Arial" w:hAnsi="Arial"/>
          <w:i/>
          <w:sz w:val="15"/>
        </w:rPr>
        <w:t>account</w:t>
      </w:r>
      <w:r w:rsidRPr="00EB2BD8">
        <w:rPr>
          <w:rFonts w:ascii="Arial" w:hAnsi="Arial"/>
          <w:i/>
          <w:spacing w:val="-6"/>
          <w:sz w:val="15"/>
        </w:rPr>
        <w:t xml:space="preserve"> </w:t>
      </w:r>
      <w:r w:rsidRPr="00EB2BD8">
        <w:rPr>
          <w:rFonts w:ascii="Arial" w:hAnsi="Arial"/>
          <w:i/>
          <w:sz w:val="15"/>
        </w:rPr>
        <w:t>upon</w:t>
      </w:r>
      <w:r w:rsidRPr="00EB2BD8">
        <w:rPr>
          <w:rFonts w:ascii="Arial" w:hAnsi="Arial"/>
          <w:i/>
          <w:spacing w:val="-6"/>
          <w:sz w:val="15"/>
        </w:rPr>
        <w:t xml:space="preserve"> </w:t>
      </w:r>
      <w:r w:rsidRPr="00EB2BD8">
        <w:rPr>
          <w:rFonts w:ascii="Arial" w:hAnsi="Arial"/>
          <w:i/>
          <w:sz w:val="15"/>
        </w:rPr>
        <w:t>issue</w:t>
      </w:r>
      <w:r w:rsidRPr="00EB2BD8">
        <w:rPr>
          <w:rFonts w:ascii="Arial" w:hAnsi="Arial"/>
          <w:i/>
          <w:spacing w:val="-6"/>
          <w:sz w:val="15"/>
        </w:rPr>
        <w:t xml:space="preserve"> </w:t>
      </w:r>
      <w:r w:rsidRPr="00EB2BD8">
        <w:rPr>
          <w:rFonts w:ascii="Arial" w:hAnsi="Arial"/>
          <w:i/>
          <w:sz w:val="15"/>
        </w:rPr>
        <w:t>of</w:t>
      </w:r>
      <w:r w:rsidRPr="00EB2BD8">
        <w:rPr>
          <w:rFonts w:ascii="Arial" w:hAnsi="Arial"/>
          <w:i/>
          <w:spacing w:val="-6"/>
          <w:sz w:val="15"/>
        </w:rPr>
        <w:t xml:space="preserve"> </w:t>
      </w:r>
      <w:r w:rsidRPr="00EB2BD8">
        <w:rPr>
          <w:rFonts w:ascii="Arial" w:hAnsi="Arial"/>
          <w:i/>
          <w:sz w:val="15"/>
        </w:rPr>
        <w:t>the</w:t>
      </w:r>
      <w:r w:rsidRPr="00EB2BD8">
        <w:rPr>
          <w:rFonts w:ascii="Arial" w:hAnsi="Arial"/>
          <w:i/>
          <w:spacing w:val="-6"/>
          <w:sz w:val="15"/>
        </w:rPr>
        <w:t xml:space="preserve"> </w:t>
      </w:r>
      <w:r w:rsidRPr="00EB2BD8">
        <w:rPr>
          <w:rFonts w:ascii="Arial" w:hAnsi="Arial"/>
          <w:i/>
          <w:sz w:val="15"/>
        </w:rPr>
        <w:t>building</w:t>
      </w:r>
      <w:r w:rsidRPr="00EB2BD8">
        <w:rPr>
          <w:rFonts w:ascii="Arial" w:hAnsi="Arial"/>
          <w:i/>
          <w:spacing w:val="-6"/>
          <w:sz w:val="15"/>
        </w:rPr>
        <w:t xml:space="preserve"> </w:t>
      </w:r>
      <w:r w:rsidRPr="00EB2BD8">
        <w:rPr>
          <w:rFonts w:ascii="Arial" w:hAnsi="Arial"/>
          <w:i/>
          <w:sz w:val="15"/>
        </w:rPr>
        <w:t>permit</w:t>
      </w:r>
      <w:r w:rsidRPr="00EB2BD8">
        <w:rPr>
          <w:rFonts w:ascii="Arial" w:hAnsi="Arial"/>
          <w:i/>
          <w:spacing w:val="-6"/>
          <w:sz w:val="15"/>
        </w:rPr>
        <w:t xml:space="preserve"> </w:t>
      </w:r>
      <w:r w:rsidRPr="00EB2BD8">
        <w:rPr>
          <w:rFonts w:ascii="Arial" w:hAnsi="Arial"/>
          <w:i/>
          <w:sz w:val="15"/>
        </w:rPr>
        <w:t>number</w:t>
      </w:r>
      <w:r w:rsidRPr="00EB2BD8">
        <w:rPr>
          <w:rFonts w:ascii="Arial" w:hAnsi="Arial"/>
          <w:i/>
          <w:spacing w:val="-6"/>
          <w:sz w:val="15"/>
        </w:rPr>
        <w:t xml:space="preserve"> </w:t>
      </w:r>
      <w:r w:rsidRPr="00EB2BD8">
        <w:rPr>
          <w:rFonts w:ascii="Arial" w:hAnsi="Arial"/>
          <w:i/>
          <w:sz w:val="15"/>
        </w:rPr>
        <w:t>(i.e.,</w:t>
      </w:r>
      <w:r w:rsidRPr="00EB2BD8">
        <w:rPr>
          <w:rFonts w:ascii="Arial" w:hAnsi="Arial"/>
          <w:i/>
          <w:spacing w:val="-6"/>
          <w:sz w:val="15"/>
        </w:rPr>
        <w:t xml:space="preserve"> </w:t>
      </w:r>
      <w:r w:rsidRPr="00EB2BD8">
        <w:rPr>
          <w:rFonts w:ascii="Arial" w:hAnsi="Arial"/>
          <w:i/>
          <w:sz w:val="15"/>
        </w:rPr>
        <w:t>at point in time).</w:t>
      </w:r>
    </w:p>
    <w:p w14:paraId="7711A2D8" w14:textId="77777777" w:rsidR="00084F36" w:rsidRPr="00EB2BD8" w:rsidRDefault="00EB2BD8">
      <w:pPr>
        <w:pStyle w:val="ListParagraph"/>
        <w:numPr>
          <w:ilvl w:val="0"/>
          <w:numId w:val="48"/>
        </w:numPr>
        <w:tabs>
          <w:tab w:val="left" w:pos="1446"/>
        </w:tabs>
        <w:spacing w:before="54"/>
        <w:ind w:left="1446" w:hanging="332"/>
        <w:rPr>
          <w:rFonts w:ascii="Arial"/>
          <w:i/>
          <w:sz w:val="15"/>
        </w:rPr>
      </w:pPr>
      <w:r w:rsidRPr="00EB2BD8">
        <w:rPr>
          <w:rFonts w:ascii="Arial"/>
          <w:i/>
          <w:sz w:val="15"/>
        </w:rPr>
        <w:t>Building</w:t>
      </w:r>
      <w:r w:rsidRPr="00EB2BD8">
        <w:rPr>
          <w:rFonts w:ascii="Arial"/>
          <w:i/>
          <w:spacing w:val="-9"/>
          <w:sz w:val="15"/>
        </w:rPr>
        <w:t xml:space="preserve"> </w:t>
      </w:r>
      <w:r w:rsidRPr="00EB2BD8">
        <w:rPr>
          <w:rFonts w:ascii="Arial"/>
          <w:i/>
          <w:sz w:val="15"/>
        </w:rPr>
        <w:t>permit</w:t>
      </w:r>
      <w:r w:rsidRPr="00EB2BD8">
        <w:rPr>
          <w:rFonts w:ascii="Arial"/>
          <w:i/>
          <w:spacing w:val="-9"/>
          <w:sz w:val="15"/>
        </w:rPr>
        <w:t xml:space="preserve"> </w:t>
      </w:r>
      <w:r w:rsidRPr="00EB2BD8">
        <w:rPr>
          <w:rFonts w:ascii="Arial"/>
          <w:i/>
          <w:sz w:val="15"/>
        </w:rPr>
        <w:t>levy</w:t>
      </w:r>
      <w:r w:rsidRPr="00EB2BD8">
        <w:rPr>
          <w:rFonts w:ascii="Arial"/>
          <w:i/>
          <w:spacing w:val="-8"/>
          <w:sz w:val="15"/>
        </w:rPr>
        <w:t xml:space="preserve"> </w:t>
      </w:r>
      <w:r w:rsidRPr="00EB2BD8">
        <w:rPr>
          <w:rFonts w:ascii="Arial"/>
          <w:i/>
          <w:sz w:val="15"/>
        </w:rPr>
        <w:t>-</w:t>
      </w:r>
      <w:r w:rsidRPr="00EB2BD8">
        <w:rPr>
          <w:rFonts w:ascii="Arial"/>
          <w:i/>
          <w:spacing w:val="-9"/>
          <w:sz w:val="15"/>
        </w:rPr>
        <w:t xml:space="preserve"> </w:t>
      </w:r>
      <w:r w:rsidRPr="00EB2BD8">
        <w:rPr>
          <w:rFonts w:ascii="Arial"/>
          <w:i/>
          <w:sz w:val="15"/>
        </w:rPr>
        <w:t>DBDRV</w:t>
      </w:r>
      <w:r w:rsidRPr="00EB2BD8">
        <w:rPr>
          <w:rFonts w:ascii="Arial"/>
          <w:i/>
          <w:spacing w:val="-9"/>
          <w:sz w:val="15"/>
        </w:rPr>
        <w:t xml:space="preserve"> </w:t>
      </w:r>
      <w:r w:rsidRPr="00EB2BD8">
        <w:rPr>
          <w:rFonts w:ascii="Arial"/>
          <w:i/>
          <w:spacing w:val="-4"/>
          <w:sz w:val="15"/>
        </w:rPr>
        <w:t>levy</w:t>
      </w:r>
    </w:p>
    <w:p w14:paraId="7AA12869" w14:textId="77777777" w:rsidR="00084F36" w:rsidRPr="00EB2BD8" w:rsidRDefault="00EB2BD8">
      <w:pPr>
        <w:spacing w:before="80" w:line="273" w:lineRule="auto"/>
        <w:ind w:left="1448" w:right="1813"/>
        <w:rPr>
          <w:rFonts w:ascii="Arial"/>
          <w:i/>
          <w:sz w:val="15"/>
        </w:rPr>
      </w:pPr>
      <w:r w:rsidRPr="00EB2BD8">
        <w:rPr>
          <w:rFonts w:ascii="Arial"/>
          <w:i/>
          <w:sz w:val="15"/>
        </w:rPr>
        <w:t>The</w:t>
      </w:r>
      <w:r w:rsidRPr="00EB2BD8">
        <w:rPr>
          <w:rFonts w:ascii="Arial"/>
          <w:i/>
          <w:spacing w:val="-7"/>
          <w:sz w:val="15"/>
        </w:rPr>
        <w:t xml:space="preserve"> </w:t>
      </w:r>
      <w:r w:rsidRPr="00EB2BD8">
        <w:rPr>
          <w:rFonts w:ascii="Arial"/>
          <w:i/>
          <w:sz w:val="15"/>
        </w:rPr>
        <w:t>Domestic</w:t>
      </w:r>
      <w:r w:rsidRPr="00EB2BD8">
        <w:rPr>
          <w:rFonts w:ascii="Arial"/>
          <w:i/>
          <w:spacing w:val="-6"/>
          <w:sz w:val="15"/>
        </w:rPr>
        <w:t xml:space="preserve"> </w:t>
      </w:r>
      <w:r w:rsidRPr="00EB2BD8">
        <w:rPr>
          <w:rFonts w:ascii="Arial"/>
          <w:i/>
          <w:sz w:val="15"/>
        </w:rPr>
        <w:t>Building</w:t>
      </w:r>
      <w:r w:rsidRPr="00EB2BD8">
        <w:rPr>
          <w:rFonts w:ascii="Arial"/>
          <w:i/>
          <w:spacing w:val="-7"/>
          <w:sz w:val="15"/>
        </w:rPr>
        <w:t xml:space="preserve"> </w:t>
      </w:r>
      <w:r w:rsidRPr="00EB2BD8">
        <w:rPr>
          <w:rFonts w:ascii="Arial"/>
          <w:i/>
          <w:sz w:val="15"/>
        </w:rPr>
        <w:t>Dispute</w:t>
      </w:r>
      <w:r w:rsidRPr="00EB2BD8">
        <w:rPr>
          <w:rFonts w:ascii="Arial"/>
          <w:i/>
          <w:spacing w:val="-7"/>
          <w:sz w:val="15"/>
        </w:rPr>
        <w:t xml:space="preserve"> </w:t>
      </w:r>
      <w:r w:rsidRPr="00EB2BD8">
        <w:rPr>
          <w:rFonts w:ascii="Arial"/>
          <w:i/>
          <w:sz w:val="15"/>
        </w:rPr>
        <w:t>Resolution</w:t>
      </w:r>
      <w:r w:rsidRPr="00EB2BD8">
        <w:rPr>
          <w:rFonts w:ascii="Arial"/>
          <w:i/>
          <w:spacing w:val="-7"/>
          <w:sz w:val="15"/>
        </w:rPr>
        <w:t xml:space="preserve"> </w:t>
      </w:r>
      <w:r w:rsidRPr="00EB2BD8">
        <w:rPr>
          <w:rFonts w:ascii="Arial"/>
          <w:i/>
          <w:sz w:val="15"/>
        </w:rPr>
        <w:t>Victoria</w:t>
      </w:r>
      <w:r w:rsidRPr="00EB2BD8">
        <w:rPr>
          <w:rFonts w:ascii="Arial"/>
          <w:i/>
          <w:spacing w:val="-7"/>
          <w:sz w:val="15"/>
        </w:rPr>
        <w:t xml:space="preserve"> </w:t>
      </w:r>
      <w:r w:rsidRPr="00EB2BD8">
        <w:rPr>
          <w:rFonts w:ascii="Arial"/>
          <w:i/>
          <w:sz w:val="15"/>
        </w:rPr>
        <w:t>(DBDRV)</w:t>
      </w:r>
      <w:r w:rsidRPr="00EB2BD8">
        <w:rPr>
          <w:rFonts w:ascii="Arial"/>
          <w:i/>
          <w:spacing w:val="-6"/>
          <w:sz w:val="15"/>
        </w:rPr>
        <w:t xml:space="preserve"> </w:t>
      </w:r>
      <w:r w:rsidRPr="00EB2BD8">
        <w:rPr>
          <w:rFonts w:ascii="Arial"/>
          <w:i/>
          <w:sz w:val="15"/>
        </w:rPr>
        <w:t>building</w:t>
      </w:r>
      <w:r w:rsidRPr="00EB2BD8">
        <w:rPr>
          <w:rFonts w:ascii="Arial"/>
          <w:i/>
          <w:spacing w:val="-6"/>
          <w:sz w:val="15"/>
        </w:rPr>
        <w:t xml:space="preserve"> </w:t>
      </w:r>
      <w:r w:rsidRPr="00EB2BD8">
        <w:rPr>
          <w:rFonts w:ascii="Arial"/>
          <w:i/>
          <w:sz w:val="15"/>
        </w:rPr>
        <w:t>permit</w:t>
      </w:r>
      <w:r w:rsidRPr="00EB2BD8">
        <w:rPr>
          <w:rFonts w:ascii="Arial"/>
          <w:i/>
          <w:spacing w:val="-7"/>
          <w:sz w:val="15"/>
        </w:rPr>
        <w:t xml:space="preserve"> </w:t>
      </w:r>
      <w:r w:rsidRPr="00EB2BD8">
        <w:rPr>
          <w:rFonts w:ascii="Arial"/>
          <w:i/>
          <w:sz w:val="15"/>
        </w:rPr>
        <w:t>levy</w:t>
      </w:r>
      <w:r w:rsidRPr="00EB2BD8">
        <w:rPr>
          <w:rFonts w:ascii="Arial"/>
          <w:i/>
          <w:spacing w:val="-6"/>
          <w:sz w:val="15"/>
        </w:rPr>
        <w:t xml:space="preserve"> </w:t>
      </w:r>
      <w:r w:rsidRPr="00EB2BD8">
        <w:rPr>
          <w:rFonts w:ascii="Arial"/>
          <w:i/>
          <w:sz w:val="15"/>
        </w:rPr>
        <w:t>is</w:t>
      </w:r>
      <w:r w:rsidRPr="00EB2BD8">
        <w:rPr>
          <w:rFonts w:ascii="Arial"/>
          <w:i/>
          <w:spacing w:val="-6"/>
          <w:sz w:val="15"/>
        </w:rPr>
        <w:t xml:space="preserve"> </w:t>
      </w:r>
      <w:r w:rsidRPr="00EB2BD8">
        <w:rPr>
          <w:rFonts w:ascii="Arial"/>
          <w:i/>
          <w:sz w:val="15"/>
        </w:rPr>
        <w:t>calculated</w:t>
      </w:r>
      <w:r w:rsidRPr="00EB2BD8">
        <w:rPr>
          <w:rFonts w:ascii="Arial"/>
          <w:i/>
          <w:spacing w:val="-7"/>
          <w:sz w:val="15"/>
        </w:rPr>
        <w:t xml:space="preserve"> </w:t>
      </w:r>
      <w:r w:rsidRPr="00EB2BD8">
        <w:rPr>
          <w:rFonts w:ascii="Arial"/>
          <w:i/>
          <w:sz w:val="15"/>
        </w:rPr>
        <w:t>based</w:t>
      </w:r>
      <w:r w:rsidRPr="00EB2BD8">
        <w:rPr>
          <w:rFonts w:ascii="Arial"/>
          <w:i/>
          <w:spacing w:val="-7"/>
          <w:sz w:val="15"/>
        </w:rPr>
        <w:t xml:space="preserve"> </w:t>
      </w:r>
      <w:r w:rsidRPr="00EB2BD8">
        <w:rPr>
          <w:rFonts w:ascii="Arial"/>
          <w:i/>
          <w:sz w:val="15"/>
        </w:rPr>
        <w:t>on</w:t>
      </w:r>
      <w:r w:rsidRPr="00EB2BD8">
        <w:rPr>
          <w:rFonts w:ascii="Arial"/>
          <w:i/>
          <w:spacing w:val="-6"/>
          <w:sz w:val="15"/>
        </w:rPr>
        <w:t xml:space="preserve"> </w:t>
      </w:r>
      <w:r w:rsidRPr="00EB2BD8">
        <w:rPr>
          <w:rFonts w:ascii="Arial"/>
          <w:i/>
          <w:sz w:val="15"/>
        </w:rPr>
        <w:t>0.064</w:t>
      </w:r>
      <w:r w:rsidRPr="00EB2BD8">
        <w:rPr>
          <w:rFonts w:ascii="Arial"/>
          <w:i/>
          <w:spacing w:val="-7"/>
          <w:sz w:val="15"/>
        </w:rPr>
        <w:t xml:space="preserve"> </w:t>
      </w:r>
      <w:r w:rsidRPr="00EB2BD8">
        <w:rPr>
          <w:rFonts w:ascii="Arial"/>
          <w:i/>
          <w:sz w:val="15"/>
        </w:rPr>
        <w:t>cents</w:t>
      </w:r>
      <w:r w:rsidRPr="00EB2BD8">
        <w:rPr>
          <w:rFonts w:ascii="Arial"/>
          <w:i/>
          <w:spacing w:val="-6"/>
          <w:sz w:val="15"/>
        </w:rPr>
        <w:t xml:space="preserve"> </w:t>
      </w:r>
      <w:r w:rsidRPr="00EB2BD8">
        <w:rPr>
          <w:rFonts w:ascii="Arial"/>
          <w:i/>
          <w:sz w:val="15"/>
        </w:rPr>
        <w:t>in</w:t>
      </w:r>
      <w:r w:rsidRPr="00EB2BD8">
        <w:rPr>
          <w:rFonts w:ascii="Arial"/>
          <w:i/>
          <w:spacing w:val="-7"/>
          <w:sz w:val="15"/>
        </w:rPr>
        <w:t xml:space="preserve"> </w:t>
      </w:r>
      <w:r w:rsidRPr="00EB2BD8">
        <w:rPr>
          <w:rFonts w:ascii="Arial"/>
          <w:i/>
          <w:sz w:val="15"/>
        </w:rPr>
        <w:t>the</w:t>
      </w:r>
      <w:r w:rsidRPr="00EB2BD8">
        <w:rPr>
          <w:rFonts w:ascii="Arial"/>
          <w:i/>
          <w:spacing w:val="-7"/>
          <w:sz w:val="15"/>
        </w:rPr>
        <w:t xml:space="preserve"> </w:t>
      </w:r>
      <w:r w:rsidRPr="00EB2BD8">
        <w:rPr>
          <w:rFonts w:ascii="Arial"/>
          <w:i/>
          <w:sz w:val="15"/>
        </w:rPr>
        <w:t>dollar</w:t>
      </w:r>
      <w:r w:rsidRPr="00EB2BD8">
        <w:rPr>
          <w:rFonts w:ascii="Arial"/>
          <w:i/>
          <w:spacing w:val="-7"/>
          <w:sz w:val="15"/>
        </w:rPr>
        <w:t xml:space="preserve"> </w:t>
      </w:r>
      <w:r w:rsidRPr="00EB2BD8">
        <w:rPr>
          <w:rFonts w:ascii="Arial"/>
          <w:i/>
          <w:sz w:val="15"/>
        </w:rPr>
        <w:t>of the</w:t>
      </w:r>
      <w:r w:rsidRPr="00EB2BD8">
        <w:rPr>
          <w:rFonts w:ascii="Arial"/>
          <w:i/>
          <w:spacing w:val="-1"/>
          <w:sz w:val="15"/>
        </w:rPr>
        <w:t xml:space="preserve"> </w:t>
      </w:r>
      <w:r w:rsidRPr="00EB2BD8">
        <w:rPr>
          <w:rFonts w:ascii="Arial"/>
          <w:i/>
          <w:sz w:val="15"/>
        </w:rPr>
        <w:t>cost</w:t>
      </w:r>
      <w:r w:rsidRPr="00EB2BD8">
        <w:rPr>
          <w:rFonts w:ascii="Arial"/>
          <w:i/>
          <w:spacing w:val="-1"/>
          <w:sz w:val="15"/>
        </w:rPr>
        <w:t xml:space="preserve"> </w:t>
      </w:r>
      <w:r w:rsidRPr="00EB2BD8">
        <w:rPr>
          <w:rFonts w:ascii="Arial"/>
          <w:i/>
          <w:sz w:val="15"/>
        </w:rPr>
        <w:t>of</w:t>
      </w:r>
      <w:r w:rsidRPr="00EB2BD8">
        <w:rPr>
          <w:rFonts w:ascii="Arial"/>
          <w:i/>
          <w:spacing w:val="-1"/>
          <w:sz w:val="15"/>
        </w:rPr>
        <w:t xml:space="preserve"> </w:t>
      </w:r>
      <w:r w:rsidRPr="00EB2BD8">
        <w:rPr>
          <w:rFonts w:ascii="Arial"/>
          <w:i/>
          <w:sz w:val="15"/>
        </w:rPr>
        <w:t>building</w:t>
      </w:r>
      <w:r w:rsidRPr="00EB2BD8">
        <w:rPr>
          <w:rFonts w:ascii="Arial"/>
          <w:i/>
          <w:spacing w:val="-1"/>
          <w:sz w:val="15"/>
        </w:rPr>
        <w:t xml:space="preserve"> </w:t>
      </w:r>
      <w:r w:rsidRPr="00EB2BD8">
        <w:rPr>
          <w:rFonts w:ascii="Arial"/>
          <w:i/>
          <w:sz w:val="15"/>
        </w:rPr>
        <w:t>work for which</w:t>
      </w:r>
      <w:r w:rsidRPr="00EB2BD8">
        <w:rPr>
          <w:rFonts w:ascii="Arial"/>
          <w:i/>
          <w:spacing w:val="-1"/>
          <w:sz w:val="15"/>
        </w:rPr>
        <w:t xml:space="preserve"> </w:t>
      </w:r>
      <w:r w:rsidRPr="00EB2BD8">
        <w:rPr>
          <w:rFonts w:ascii="Arial"/>
          <w:i/>
          <w:sz w:val="15"/>
        </w:rPr>
        <w:t>a</w:t>
      </w:r>
      <w:r w:rsidRPr="00EB2BD8">
        <w:rPr>
          <w:rFonts w:ascii="Arial"/>
          <w:i/>
          <w:spacing w:val="-1"/>
          <w:sz w:val="15"/>
        </w:rPr>
        <w:t xml:space="preserve"> </w:t>
      </w:r>
      <w:r w:rsidRPr="00EB2BD8">
        <w:rPr>
          <w:rFonts w:ascii="Arial"/>
          <w:i/>
          <w:sz w:val="15"/>
        </w:rPr>
        <w:t>building</w:t>
      </w:r>
      <w:r w:rsidRPr="00EB2BD8">
        <w:rPr>
          <w:rFonts w:ascii="Arial"/>
          <w:i/>
          <w:spacing w:val="-1"/>
          <w:sz w:val="15"/>
        </w:rPr>
        <w:t xml:space="preserve"> </w:t>
      </w:r>
      <w:r w:rsidRPr="00EB2BD8">
        <w:rPr>
          <w:rFonts w:ascii="Arial"/>
          <w:i/>
          <w:sz w:val="15"/>
        </w:rPr>
        <w:t>permit</w:t>
      </w:r>
      <w:r w:rsidRPr="00EB2BD8">
        <w:rPr>
          <w:rFonts w:ascii="Arial"/>
          <w:i/>
          <w:spacing w:val="-1"/>
          <w:sz w:val="15"/>
        </w:rPr>
        <w:t xml:space="preserve"> </w:t>
      </w:r>
      <w:r w:rsidRPr="00EB2BD8">
        <w:rPr>
          <w:rFonts w:ascii="Arial"/>
          <w:i/>
          <w:sz w:val="15"/>
        </w:rPr>
        <w:t>is sought</w:t>
      </w:r>
      <w:r w:rsidRPr="00EB2BD8">
        <w:rPr>
          <w:rFonts w:ascii="Arial"/>
          <w:i/>
          <w:spacing w:val="-1"/>
          <w:sz w:val="15"/>
        </w:rPr>
        <w:t xml:space="preserve"> </w:t>
      </w:r>
      <w:r w:rsidRPr="00EB2BD8">
        <w:rPr>
          <w:rFonts w:ascii="Arial"/>
          <w:i/>
          <w:sz w:val="15"/>
        </w:rPr>
        <w:t>and</w:t>
      </w:r>
      <w:r w:rsidRPr="00EB2BD8">
        <w:rPr>
          <w:rFonts w:ascii="Arial"/>
          <w:i/>
          <w:spacing w:val="-1"/>
          <w:sz w:val="15"/>
        </w:rPr>
        <w:t xml:space="preserve"> </w:t>
      </w:r>
      <w:r w:rsidRPr="00EB2BD8">
        <w:rPr>
          <w:rFonts w:ascii="Arial"/>
          <w:i/>
          <w:sz w:val="15"/>
        </w:rPr>
        <w:t>funds the</w:t>
      </w:r>
      <w:r w:rsidRPr="00EB2BD8">
        <w:rPr>
          <w:rFonts w:ascii="Arial"/>
          <w:i/>
          <w:spacing w:val="-1"/>
          <w:sz w:val="15"/>
        </w:rPr>
        <w:t xml:space="preserve"> </w:t>
      </w:r>
      <w:r w:rsidRPr="00EB2BD8">
        <w:rPr>
          <w:rFonts w:ascii="Arial"/>
          <w:i/>
          <w:sz w:val="15"/>
        </w:rPr>
        <w:t>DBDRV functions established</w:t>
      </w:r>
      <w:r w:rsidRPr="00EB2BD8">
        <w:rPr>
          <w:rFonts w:ascii="Arial"/>
          <w:i/>
          <w:spacing w:val="-1"/>
          <w:sz w:val="15"/>
        </w:rPr>
        <w:t xml:space="preserve"> </w:t>
      </w:r>
      <w:r w:rsidRPr="00EB2BD8">
        <w:rPr>
          <w:rFonts w:ascii="Arial"/>
          <w:i/>
          <w:sz w:val="15"/>
        </w:rPr>
        <w:t>under</w:t>
      </w:r>
      <w:r w:rsidRPr="00EB2BD8">
        <w:rPr>
          <w:rFonts w:ascii="Arial"/>
          <w:i/>
          <w:spacing w:val="-1"/>
          <w:sz w:val="15"/>
        </w:rPr>
        <w:t xml:space="preserve"> </w:t>
      </w:r>
      <w:r w:rsidRPr="00EB2BD8">
        <w:rPr>
          <w:rFonts w:ascii="Arial"/>
          <w:i/>
          <w:sz w:val="15"/>
        </w:rPr>
        <w:t>the</w:t>
      </w:r>
      <w:r w:rsidRPr="00EB2BD8">
        <w:rPr>
          <w:rFonts w:ascii="Arial"/>
          <w:i/>
          <w:spacing w:val="-1"/>
          <w:sz w:val="15"/>
        </w:rPr>
        <w:t xml:space="preserve"> </w:t>
      </w:r>
      <w:r w:rsidRPr="00EB2BD8">
        <w:rPr>
          <w:rFonts w:ascii="Arial"/>
          <w:i/>
          <w:sz w:val="15"/>
        </w:rPr>
        <w:t>Domestic Building</w:t>
      </w:r>
      <w:r w:rsidRPr="00EB2BD8">
        <w:rPr>
          <w:rFonts w:ascii="Arial"/>
          <w:i/>
          <w:spacing w:val="-1"/>
          <w:sz w:val="15"/>
        </w:rPr>
        <w:t xml:space="preserve"> </w:t>
      </w:r>
      <w:r w:rsidRPr="00EB2BD8">
        <w:rPr>
          <w:rFonts w:ascii="Arial"/>
          <w:i/>
          <w:sz w:val="15"/>
        </w:rPr>
        <w:t>Contracts Act</w:t>
      </w:r>
      <w:r w:rsidRPr="00EB2BD8">
        <w:rPr>
          <w:rFonts w:ascii="Arial"/>
          <w:i/>
          <w:spacing w:val="-1"/>
          <w:sz w:val="15"/>
        </w:rPr>
        <w:t xml:space="preserve"> </w:t>
      </w:r>
      <w:r w:rsidRPr="00EB2BD8">
        <w:rPr>
          <w:rFonts w:ascii="Arial"/>
          <w:i/>
          <w:sz w:val="15"/>
        </w:rPr>
        <w:t>1995.</w:t>
      </w:r>
      <w:r w:rsidRPr="00EB2BD8">
        <w:rPr>
          <w:rFonts w:ascii="Arial"/>
          <w:i/>
          <w:spacing w:val="40"/>
          <w:sz w:val="15"/>
        </w:rPr>
        <w:t xml:space="preserve"> </w:t>
      </w:r>
      <w:r w:rsidRPr="00EB2BD8">
        <w:rPr>
          <w:rFonts w:ascii="Arial"/>
          <w:i/>
          <w:sz w:val="15"/>
        </w:rPr>
        <w:t>The amount</w:t>
      </w:r>
      <w:r w:rsidRPr="00EB2BD8">
        <w:rPr>
          <w:rFonts w:ascii="Arial"/>
          <w:i/>
          <w:spacing w:val="-1"/>
          <w:sz w:val="15"/>
        </w:rPr>
        <w:t xml:space="preserve"> </w:t>
      </w:r>
      <w:r w:rsidRPr="00EB2BD8">
        <w:rPr>
          <w:rFonts w:ascii="Arial"/>
          <w:i/>
          <w:sz w:val="15"/>
        </w:rPr>
        <w:t>disclosed</w:t>
      </w:r>
      <w:r w:rsidRPr="00EB2BD8">
        <w:rPr>
          <w:rFonts w:ascii="Arial"/>
          <w:i/>
          <w:spacing w:val="-1"/>
          <w:sz w:val="15"/>
        </w:rPr>
        <w:t xml:space="preserve"> </w:t>
      </w:r>
      <w:r w:rsidRPr="00EB2BD8">
        <w:rPr>
          <w:rFonts w:ascii="Arial"/>
          <w:i/>
          <w:sz w:val="15"/>
        </w:rPr>
        <w:t>represents the VBA's share</w:t>
      </w:r>
      <w:r w:rsidRPr="00EB2BD8">
        <w:rPr>
          <w:rFonts w:ascii="Arial"/>
          <w:i/>
          <w:spacing w:val="-1"/>
          <w:sz w:val="15"/>
        </w:rPr>
        <w:t xml:space="preserve"> </w:t>
      </w:r>
      <w:r w:rsidRPr="00EB2BD8">
        <w:rPr>
          <w:rFonts w:ascii="Arial"/>
          <w:i/>
          <w:sz w:val="15"/>
        </w:rPr>
        <w:t>of</w:t>
      </w:r>
      <w:r w:rsidRPr="00EB2BD8">
        <w:rPr>
          <w:rFonts w:ascii="Arial"/>
          <w:i/>
          <w:spacing w:val="-1"/>
          <w:sz w:val="15"/>
        </w:rPr>
        <w:t xml:space="preserve"> </w:t>
      </w:r>
      <w:r w:rsidRPr="00EB2BD8">
        <w:rPr>
          <w:rFonts w:ascii="Arial"/>
          <w:i/>
          <w:sz w:val="15"/>
        </w:rPr>
        <w:t>the</w:t>
      </w:r>
      <w:r w:rsidRPr="00EB2BD8">
        <w:rPr>
          <w:rFonts w:ascii="Arial"/>
          <w:i/>
          <w:spacing w:val="-1"/>
          <w:sz w:val="15"/>
        </w:rPr>
        <w:t xml:space="preserve"> </w:t>
      </w:r>
      <w:r w:rsidRPr="00EB2BD8">
        <w:rPr>
          <w:rFonts w:ascii="Arial"/>
          <w:i/>
          <w:sz w:val="15"/>
        </w:rPr>
        <w:t>DBDRV</w:t>
      </w:r>
      <w:r w:rsidRPr="00EB2BD8">
        <w:rPr>
          <w:rFonts w:ascii="Arial"/>
          <w:i/>
          <w:spacing w:val="-1"/>
          <w:sz w:val="15"/>
        </w:rPr>
        <w:t xml:space="preserve"> </w:t>
      </w:r>
      <w:r w:rsidRPr="00EB2BD8">
        <w:rPr>
          <w:rFonts w:ascii="Arial"/>
          <w:i/>
          <w:sz w:val="15"/>
        </w:rPr>
        <w:t>levy.</w:t>
      </w:r>
      <w:r w:rsidRPr="00EB2BD8">
        <w:rPr>
          <w:rFonts w:ascii="Arial"/>
          <w:i/>
          <w:spacing w:val="40"/>
          <w:sz w:val="15"/>
        </w:rPr>
        <w:t xml:space="preserve"> </w:t>
      </w:r>
      <w:r w:rsidRPr="00EB2BD8">
        <w:rPr>
          <w:rFonts w:ascii="Arial"/>
          <w:i/>
          <w:sz w:val="15"/>
        </w:rPr>
        <w:t>Consumer</w:t>
      </w:r>
      <w:r w:rsidRPr="00EB2BD8">
        <w:rPr>
          <w:rFonts w:ascii="Arial"/>
          <w:i/>
          <w:spacing w:val="-1"/>
          <w:sz w:val="15"/>
        </w:rPr>
        <w:t xml:space="preserve"> </w:t>
      </w:r>
      <w:r w:rsidRPr="00EB2BD8">
        <w:rPr>
          <w:rFonts w:ascii="Arial"/>
          <w:i/>
          <w:sz w:val="15"/>
        </w:rPr>
        <w:t>Affairs Victoria (CAV)</w:t>
      </w:r>
      <w:r w:rsidRPr="00EB2BD8">
        <w:rPr>
          <w:rFonts w:ascii="Arial"/>
          <w:i/>
          <w:spacing w:val="-5"/>
          <w:sz w:val="15"/>
        </w:rPr>
        <w:t xml:space="preserve"> </w:t>
      </w:r>
      <w:r w:rsidRPr="00EB2BD8">
        <w:rPr>
          <w:rFonts w:ascii="Arial"/>
          <w:i/>
          <w:sz w:val="15"/>
        </w:rPr>
        <w:t>is</w:t>
      </w:r>
      <w:r w:rsidRPr="00EB2BD8">
        <w:rPr>
          <w:rFonts w:ascii="Arial"/>
          <w:i/>
          <w:spacing w:val="-4"/>
          <w:sz w:val="15"/>
        </w:rPr>
        <w:t xml:space="preserve"> </w:t>
      </w:r>
      <w:r w:rsidRPr="00EB2BD8">
        <w:rPr>
          <w:rFonts w:ascii="Arial"/>
          <w:i/>
          <w:sz w:val="15"/>
        </w:rPr>
        <w:t>also</w:t>
      </w:r>
      <w:r w:rsidRPr="00EB2BD8">
        <w:rPr>
          <w:rFonts w:ascii="Arial"/>
          <w:i/>
          <w:spacing w:val="-5"/>
          <w:sz w:val="15"/>
        </w:rPr>
        <w:t xml:space="preserve"> </w:t>
      </w:r>
      <w:r w:rsidRPr="00EB2BD8">
        <w:rPr>
          <w:rFonts w:ascii="Arial"/>
          <w:i/>
          <w:sz w:val="15"/>
        </w:rPr>
        <w:t>legally</w:t>
      </w:r>
      <w:r w:rsidRPr="00EB2BD8">
        <w:rPr>
          <w:rFonts w:ascii="Arial"/>
          <w:i/>
          <w:spacing w:val="-4"/>
          <w:sz w:val="15"/>
        </w:rPr>
        <w:t xml:space="preserve"> </w:t>
      </w:r>
      <w:r w:rsidRPr="00EB2BD8">
        <w:rPr>
          <w:rFonts w:ascii="Arial"/>
          <w:i/>
          <w:sz w:val="15"/>
        </w:rPr>
        <w:t>entitled</w:t>
      </w:r>
      <w:r w:rsidRPr="00EB2BD8">
        <w:rPr>
          <w:rFonts w:ascii="Arial"/>
          <w:i/>
          <w:spacing w:val="-5"/>
          <w:sz w:val="15"/>
        </w:rPr>
        <w:t xml:space="preserve"> </w:t>
      </w:r>
      <w:r w:rsidRPr="00EB2BD8">
        <w:rPr>
          <w:rFonts w:ascii="Arial"/>
          <w:i/>
          <w:sz w:val="15"/>
        </w:rPr>
        <w:t>to</w:t>
      </w:r>
      <w:r w:rsidRPr="00EB2BD8">
        <w:rPr>
          <w:rFonts w:ascii="Arial"/>
          <w:i/>
          <w:spacing w:val="-5"/>
          <w:sz w:val="15"/>
        </w:rPr>
        <w:t xml:space="preserve"> </w:t>
      </w:r>
      <w:r w:rsidRPr="00EB2BD8">
        <w:rPr>
          <w:rFonts w:ascii="Arial"/>
          <w:i/>
          <w:sz w:val="15"/>
        </w:rPr>
        <w:t>a</w:t>
      </w:r>
      <w:r w:rsidRPr="00EB2BD8">
        <w:rPr>
          <w:rFonts w:ascii="Arial"/>
          <w:i/>
          <w:spacing w:val="-5"/>
          <w:sz w:val="15"/>
        </w:rPr>
        <w:t xml:space="preserve"> </w:t>
      </w:r>
      <w:r w:rsidRPr="00EB2BD8">
        <w:rPr>
          <w:rFonts w:ascii="Arial"/>
          <w:i/>
          <w:sz w:val="15"/>
        </w:rPr>
        <w:t>portion</w:t>
      </w:r>
      <w:r w:rsidRPr="00EB2BD8">
        <w:rPr>
          <w:rFonts w:ascii="Arial"/>
          <w:i/>
          <w:spacing w:val="-5"/>
          <w:sz w:val="15"/>
        </w:rPr>
        <w:t xml:space="preserve"> </w:t>
      </w:r>
      <w:r w:rsidRPr="00EB2BD8">
        <w:rPr>
          <w:rFonts w:ascii="Arial"/>
          <w:i/>
          <w:sz w:val="15"/>
        </w:rPr>
        <w:t>of</w:t>
      </w:r>
      <w:r w:rsidRPr="00EB2BD8">
        <w:rPr>
          <w:rFonts w:ascii="Arial"/>
          <w:i/>
          <w:spacing w:val="-5"/>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levy.</w:t>
      </w:r>
      <w:r w:rsidRPr="00EB2BD8">
        <w:rPr>
          <w:rFonts w:ascii="Arial"/>
          <w:i/>
          <w:spacing w:val="32"/>
          <w:sz w:val="15"/>
        </w:rPr>
        <w:t xml:space="preserve"> </w:t>
      </w:r>
      <w:r w:rsidRPr="00EB2BD8">
        <w:rPr>
          <w:rFonts w:ascii="Arial"/>
          <w:i/>
          <w:sz w:val="15"/>
        </w:rPr>
        <w:t>Building</w:t>
      </w:r>
      <w:r w:rsidRPr="00EB2BD8">
        <w:rPr>
          <w:rFonts w:ascii="Arial"/>
          <w:i/>
          <w:spacing w:val="-5"/>
          <w:sz w:val="15"/>
        </w:rPr>
        <w:t xml:space="preserve"> </w:t>
      </w:r>
      <w:r w:rsidRPr="00EB2BD8">
        <w:rPr>
          <w:rFonts w:ascii="Arial"/>
          <w:i/>
          <w:sz w:val="15"/>
        </w:rPr>
        <w:t>permit</w:t>
      </w:r>
      <w:r w:rsidRPr="00EB2BD8">
        <w:rPr>
          <w:rFonts w:ascii="Arial"/>
          <w:i/>
          <w:spacing w:val="-5"/>
          <w:sz w:val="15"/>
        </w:rPr>
        <w:t xml:space="preserve"> </w:t>
      </w:r>
      <w:r w:rsidRPr="00EB2BD8">
        <w:rPr>
          <w:rFonts w:ascii="Arial"/>
          <w:i/>
          <w:sz w:val="15"/>
        </w:rPr>
        <w:t>levy-DBDRV</w:t>
      </w:r>
      <w:r w:rsidRPr="00EB2BD8">
        <w:rPr>
          <w:rFonts w:ascii="Arial"/>
          <w:i/>
          <w:spacing w:val="-5"/>
          <w:sz w:val="15"/>
        </w:rPr>
        <w:t xml:space="preserve"> </w:t>
      </w:r>
      <w:r w:rsidRPr="00EB2BD8">
        <w:rPr>
          <w:rFonts w:ascii="Arial"/>
          <w:i/>
          <w:sz w:val="15"/>
        </w:rPr>
        <w:t>levy</w:t>
      </w:r>
      <w:r w:rsidRPr="00EB2BD8">
        <w:rPr>
          <w:rFonts w:ascii="Arial"/>
          <w:i/>
          <w:spacing w:val="-4"/>
          <w:sz w:val="15"/>
        </w:rPr>
        <w:t xml:space="preserve"> </w:t>
      </w:r>
      <w:r w:rsidRPr="00EB2BD8">
        <w:rPr>
          <w:rFonts w:ascii="Arial"/>
          <w:i/>
          <w:sz w:val="15"/>
        </w:rPr>
        <w:t>revenue</w:t>
      </w:r>
      <w:r w:rsidRPr="00EB2BD8">
        <w:rPr>
          <w:rFonts w:ascii="Arial"/>
          <w:i/>
          <w:spacing w:val="-5"/>
          <w:sz w:val="15"/>
        </w:rPr>
        <w:t xml:space="preserve"> </w:t>
      </w:r>
      <w:r w:rsidRPr="00EB2BD8">
        <w:rPr>
          <w:rFonts w:ascii="Arial"/>
          <w:i/>
          <w:sz w:val="15"/>
        </w:rPr>
        <w:t>is</w:t>
      </w:r>
      <w:r w:rsidRPr="00EB2BD8">
        <w:rPr>
          <w:rFonts w:ascii="Arial"/>
          <w:i/>
          <w:spacing w:val="-4"/>
          <w:sz w:val="15"/>
        </w:rPr>
        <w:t xml:space="preserve"> </w:t>
      </w:r>
      <w:r w:rsidRPr="00EB2BD8">
        <w:rPr>
          <w:rFonts w:ascii="Arial"/>
          <w:i/>
          <w:sz w:val="15"/>
        </w:rPr>
        <w:t>brought</w:t>
      </w:r>
      <w:r w:rsidRPr="00EB2BD8">
        <w:rPr>
          <w:rFonts w:ascii="Arial"/>
          <w:i/>
          <w:spacing w:val="-5"/>
          <w:sz w:val="15"/>
        </w:rPr>
        <w:t xml:space="preserve"> </w:t>
      </w:r>
      <w:r w:rsidRPr="00EB2BD8">
        <w:rPr>
          <w:rFonts w:ascii="Arial"/>
          <w:i/>
          <w:sz w:val="15"/>
        </w:rPr>
        <w:t>to</w:t>
      </w:r>
      <w:r w:rsidRPr="00EB2BD8">
        <w:rPr>
          <w:rFonts w:ascii="Arial"/>
          <w:i/>
          <w:spacing w:val="-5"/>
          <w:sz w:val="15"/>
        </w:rPr>
        <w:t xml:space="preserve"> </w:t>
      </w:r>
      <w:r w:rsidRPr="00EB2BD8">
        <w:rPr>
          <w:rFonts w:ascii="Arial"/>
          <w:i/>
          <w:sz w:val="15"/>
        </w:rPr>
        <w:t>account</w:t>
      </w:r>
      <w:r w:rsidRPr="00EB2BD8">
        <w:rPr>
          <w:rFonts w:ascii="Arial"/>
          <w:i/>
          <w:spacing w:val="-5"/>
          <w:sz w:val="15"/>
        </w:rPr>
        <w:t xml:space="preserve"> </w:t>
      </w:r>
      <w:r w:rsidRPr="00EB2BD8">
        <w:rPr>
          <w:rFonts w:ascii="Arial"/>
          <w:i/>
          <w:sz w:val="15"/>
        </w:rPr>
        <w:t>upon</w:t>
      </w:r>
      <w:r w:rsidRPr="00EB2BD8">
        <w:rPr>
          <w:rFonts w:ascii="Arial"/>
          <w:i/>
          <w:spacing w:val="-5"/>
          <w:sz w:val="15"/>
        </w:rPr>
        <w:t xml:space="preserve"> </w:t>
      </w:r>
      <w:r w:rsidRPr="00EB2BD8">
        <w:rPr>
          <w:rFonts w:ascii="Arial"/>
          <w:i/>
          <w:sz w:val="15"/>
        </w:rPr>
        <w:t>issue</w:t>
      </w:r>
      <w:r w:rsidRPr="00EB2BD8">
        <w:rPr>
          <w:rFonts w:ascii="Arial"/>
          <w:i/>
          <w:spacing w:val="-5"/>
          <w:sz w:val="15"/>
        </w:rPr>
        <w:t xml:space="preserve"> </w:t>
      </w:r>
      <w:r w:rsidRPr="00EB2BD8">
        <w:rPr>
          <w:rFonts w:ascii="Arial"/>
          <w:i/>
          <w:sz w:val="15"/>
        </w:rPr>
        <w:t>of the building permit number (i.e.</w:t>
      </w:r>
      <w:r w:rsidRPr="00EB2BD8">
        <w:rPr>
          <w:rFonts w:ascii="Arial"/>
          <w:i/>
          <w:spacing w:val="40"/>
          <w:sz w:val="15"/>
        </w:rPr>
        <w:t xml:space="preserve"> </w:t>
      </w:r>
      <w:r w:rsidRPr="00EB2BD8">
        <w:rPr>
          <w:rFonts w:ascii="Arial"/>
          <w:i/>
          <w:sz w:val="15"/>
        </w:rPr>
        <w:t>at point in time).</w:t>
      </w:r>
    </w:p>
    <w:p w14:paraId="13982C5F" w14:textId="77777777" w:rsidR="00084F36" w:rsidRPr="00EB2BD8" w:rsidRDefault="00EB2BD8">
      <w:pPr>
        <w:pStyle w:val="ListParagraph"/>
        <w:numPr>
          <w:ilvl w:val="0"/>
          <w:numId w:val="48"/>
        </w:numPr>
        <w:tabs>
          <w:tab w:val="left" w:pos="1445"/>
        </w:tabs>
        <w:spacing w:before="54"/>
        <w:ind w:left="1445" w:hanging="331"/>
        <w:rPr>
          <w:rFonts w:ascii="Arial"/>
          <w:i/>
          <w:sz w:val="15"/>
        </w:rPr>
      </w:pPr>
      <w:r w:rsidRPr="00EB2BD8">
        <w:rPr>
          <w:rFonts w:ascii="Arial"/>
          <w:i/>
          <w:spacing w:val="-2"/>
          <w:sz w:val="15"/>
        </w:rPr>
        <w:t>Building-practitioner</w:t>
      </w:r>
      <w:r w:rsidRPr="00EB2BD8">
        <w:rPr>
          <w:rFonts w:ascii="Arial"/>
          <w:i/>
          <w:spacing w:val="3"/>
          <w:sz w:val="15"/>
        </w:rPr>
        <w:t xml:space="preserve"> </w:t>
      </w:r>
      <w:r w:rsidRPr="00EB2BD8">
        <w:rPr>
          <w:rFonts w:ascii="Arial"/>
          <w:i/>
          <w:spacing w:val="-2"/>
          <w:sz w:val="15"/>
        </w:rPr>
        <w:t>registration</w:t>
      </w:r>
      <w:r w:rsidRPr="00EB2BD8">
        <w:rPr>
          <w:rFonts w:ascii="Arial"/>
          <w:i/>
          <w:spacing w:val="4"/>
          <w:sz w:val="15"/>
        </w:rPr>
        <w:t xml:space="preserve"> </w:t>
      </w:r>
      <w:r w:rsidRPr="00EB2BD8">
        <w:rPr>
          <w:rFonts w:ascii="Arial"/>
          <w:i/>
          <w:spacing w:val="-4"/>
          <w:sz w:val="15"/>
        </w:rPr>
        <w:t>fees</w:t>
      </w:r>
    </w:p>
    <w:p w14:paraId="4FEB0576" w14:textId="77777777" w:rsidR="00084F36" w:rsidRPr="00EB2BD8" w:rsidRDefault="00EB2BD8">
      <w:pPr>
        <w:spacing w:before="79" w:line="273" w:lineRule="auto"/>
        <w:ind w:left="1448" w:right="1813"/>
        <w:rPr>
          <w:rFonts w:ascii="Arial"/>
          <w:i/>
          <w:sz w:val="15"/>
        </w:rPr>
      </w:pPr>
      <w:r w:rsidRPr="00EB2BD8">
        <w:rPr>
          <w:rFonts w:ascii="Arial"/>
          <w:i/>
          <w:sz w:val="15"/>
        </w:rPr>
        <w:t>Yearly</w:t>
      </w:r>
      <w:r w:rsidRPr="00EB2BD8">
        <w:rPr>
          <w:rFonts w:ascii="Arial"/>
          <w:i/>
          <w:spacing w:val="-1"/>
          <w:sz w:val="15"/>
        </w:rPr>
        <w:t xml:space="preserve"> </w:t>
      </w:r>
      <w:r w:rsidRPr="00EB2BD8">
        <w:rPr>
          <w:rFonts w:ascii="Arial"/>
          <w:i/>
          <w:sz w:val="15"/>
        </w:rPr>
        <w:t>registration</w:t>
      </w:r>
      <w:r w:rsidRPr="00EB2BD8">
        <w:rPr>
          <w:rFonts w:ascii="Arial"/>
          <w:i/>
          <w:spacing w:val="-2"/>
          <w:sz w:val="15"/>
        </w:rPr>
        <w:t xml:space="preserve"> </w:t>
      </w:r>
      <w:r w:rsidRPr="00EB2BD8">
        <w:rPr>
          <w:rFonts w:ascii="Arial"/>
          <w:i/>
          <w:sz w:val="15"/>
        </w:rPr>
        <w:t>renewal</w:t>
      </w:r>
      <w:r w:rsidRPr="00EB2BD8">
        <w:rPr>
          <w:rFonts w:ascii="Arial"/>
          <w:i/>
          <w:spacing w:val="-2"/>
          <w:sz w:val="15"/>
        </w:rPr>
        <w:t xml:space="preserve"> </w:t>
      </w:r>
      <w:r w:rsidRPr="00EB2BD8">
        <w:rPr>
          <w:rFonts w:ascii="Arial"/>
          <w:i/>
          <w:sz w:val="15"/>
        </w:rPr>
        <w:t>fees received</w:t>
      </w:r>
      <w:r w:rsidRPr="00EB2BD8">
        <w:rPr>
          <w:rFonts w:ascii="Arial"/>
          <w:i/>
          <w:spacing w:val="-2"/>
          <w:sz w:val="15"/>
        </w:rPr>
        <w:t xml:space="preserve"> </w:t>
      </w:r>
      <w:r w:rsidRPr="00EB2BD8">
        <w:rPr>
          <w:rFonts w:ascii="Arial"/>
          <w:i/>
          <w:sz w:val="15"/>
        </w:rPr>
        <w:t>throughout</w:t>
      </w:r>
      <w:r w:rsidRPr="00EB2BD8">
        <w:rPr>
          <w:rFonts w:ascii="Arial"/>
          <w:i/>
          <w:spacing w:val="-2"/>
          <w:sz w:val="15"/>
        </w:rPr>
        <w:t xml:space="preserve"> </w:t>
      </w:r>
      <w:r w:rsidRPr="00EB2BD8">
        <w:rPr>
          <w:rFonts w:ascii="Arial"/>
          <w:i/>
          <w:sz w:val="15"/>
        </w:rPr>
        <w:t>the</w:t>
      </w:r>
      <w:r w:rsidRPr="00EB2BD8">
        <w:rPr>
          <w:rFonts w:ascii="Arial"/>
          <w:i/>
          <w:spacing w:val="-2"/>
          <w:sz w:val="15"/>
        </w:rPr>
        <w:t xml:space="preserve"> </w:t>
      </w:r>
      <w:r w:rsidRPr="00EB2BD8">
        <w:rPr>
          <w:rFonts w:ascii="Arial"/>
          <w:i/>
          <w:sz w:val="15"/>
        </w:rPr>
        <w:t>year</w:t>
      </w:r>
      <w:r w:rsidRPr="00EB2BD8">
        <w:rPr>
          <w:rFonts w:ascii="Arial"/>
          <w:i/>
          <w:spacing w:val="-2"/>
          <w:sz w:val="15"/>
        </w:rPr>
        <w:t xml:space="preserve"> </w:t>
      </w:r>
      <w:r w:rsidRPr="00EB2BD8">
        <w:rPr>
          <w:rFonts w:ascii="Arial"/>
          <w:i/>
          <w:sz w:val="15"/>
        </w:rPr>
        <w:t>are</w:t>
      </w:r>
      <w:r w:rsidRPr="00EB2BD8">
        <w:rPr>
          <w:rFonts w:ascii="Arial"/>
          <w:i/>
          <w:spacing w:val="-2"/>
          <w:sz w:val="15"/>
        </w:rPr>
        <w:t xml:space="preserve"> </w:t>
      </w:r>
      <w:r w:rsidRPr="00EB2BD8">
        <w:rPr>
          <w:rFonts w:ascii="Arial"/>
          <w:i/>
          <w:sz w:val="15"/>
        </w:rPr>
        <w:t>recognised</w:t>
      </w:r>
      <w:r w:rsidRPr="00EB2BD8">
        <w:rPr>
          <w:rFonts w:ascii="Arial"/>
          <w:i/>
          <w:spacing w:val="-2"/>
          <w:sz w:val="15"/>
        </w:rPr>
        <w:t xml:space="preserve"> </w:t>
      </w:r>
      <w:r w:rsidRPr="00EB2BD8">
        <w:rPr>
          <w:rFonts w:ascii="Arial"/>
          <w:i/>
          <w:sz w:val="15"/>
        </w:rPr>
        <w:t>as</w:t>
      </w:r>
      <w:r w:rsidRPr="00EB2BD8">
        <w:rPr>
          <w:rFonts w:ascii="Arial"/>
          <w:i/>
          <w:spacing w:val="-1"/>
          <w:sz w:val="15"/>
        </w:rPr>
        <w:t xml:space="preserve"> </w:t>
      </w:r>
      <w:r w:rsidRPr="00EB2BD8">
        <w:rPr>
          <w:rFonts w:ascii="Arial"/>
          <w:i/>
          <w:sz w:val="15"/>
        </w:rPr>
        <w:t>revenue</w:t>
      </w:r>
      <w:r w:rsidRPr="00EB2BD8">
        <w:rPr>
          <w:rFonts w:ascii="Arial"/>
          <w:i/>
          <w:spacing w:val="-2"/>
          <w:sz w:val="15"/>
        </w:rPr>
        <w:t xml:space="preserve"> </w:t>
      </w:r>
      <w:r w:rsidRPr="00EB2BD8">
        <w:rPr>
          <w:rFonts w:ascii="Arial"/>
          <w:i/>
          <w:sz w:val="15"/>
        </w:rPr>
        <w:t>on</w:t>
      </w:r>
      <w:r w:rsidRPr="00EB2BD8">
        <w:rPr>
          <w:rFonts w:ascii="Arial"/>
          <w:i/>
          <w:spacing w:val="-2"/>
          <w:sz w:val="15"/>
        </w:rPr>
        <w:t xml:space="preserve"> </w:t>
      </w:r>
      <w:r w:rsidRPr="00EB2BD8">
        <w:rPr>
          <w:rFonts w:ascii="Arial"/>
          <w:i/>
          <w:sz w:val="15"/>
        </w:rPr>
        <w:t>a</w:t>
      </w:r>
      <w:r w:rsidRPr="00EB2BD8">
        <w:rPr>
          <w:rFonts w:ascii="Arial"/>
          <w:i/>
          <w:spacing w:val="-2"/>
          <w:sz w:val="15"/>
        </w:rPr>
        <w:t xml:space="preserve"> </w:t>
      </w:r>
      <w:r w:rsidRPr="00EB2BD8">
        <w:rPr>
          <w:rFonts w:ascii="Arial"/>
          <w:i/>
          <w:sz w:val="15"/>
        </w:rPr>
        <w:t>pro-rata</w:t>
      </w:r>
      <w:r w:rsidRPr="00EB2BD8">
        <w:rPr>
          <w:rFonts w:ascii="Arial"/>
          <w:i/>
          <w:spacing w:val="-1"/>
          <w:sz w:val="15"/>
        </w:rPr>
        <w:t xml:space="preserve"> </w:t>
      </w:r>
      <w:r w:rsidRPr="00EB2BD8">
        <w:rPr>
          <w:rFonts w:ascii="Arial"/>
          <w:i/>
          <w:sz w:val="15"/>
        </w:rPr>
        <w:t>basis.</w:t>
      </w:r>
      <w:r w:rsidRPr="00EB2BD8">
        <w:rPr>
          <w:rFonts w:ascii="Arial"/>
          <w:i/>
          <w:spacing w:val="-2"/>
          <w:sz w:val="15"/>
        </w:rPr>
        <w:t xml:space="preserve"> </w:t>
      </w:r>
      <w:r w:rsidRPr="00EB2BD8">
        <w:rPr>
          <w:rFonts w:ascii="Arial"/>
          <w:i/>
          <w:sz w:val="15"/>
        </w:rPr>
        <w:t>Registration</w:t>
      </w:r>
      <w:r w:rsidRPr="00EB2BD8">
        <w:rPr>
          <w:rFonts w:ascii="Arial"/>
          <w:i/>
          <w:spacing w:val="-2"/>
          <w:sz w:val="15"/>
        </w:rPr>
        <w:t xml:space="preserve"> </w:t>
      </w:r>
      <w:r w:rsidRPr="00EB2BD8">
        <w:rPr>
          <w:rFonts w:ascii="Arial"/>
          <w:i/>
          <w:sz w:val="15"/>
        </w:rPr>
        <w:t>fees received</w:t>
      </w:r>
      <w:r w:rsidRPr="00EB2BD8">
        <w:rPr>
          <w:rFonts w:ascii="Arial"/>
          <w:i/>
          <w:spacing w:val="-1"/>
          <w:sz w:val="15"/>
        </w:rPr>
        <w:t xml:space="preserve"> </w:t>
      </w:r>
      <w:r w:rsidRPr="00EB2BD8">
        <w:rPr>
          <w:rFonts w:ascii="Arial"/>
          <w:i/>
          <w:sz w:val="15"/>
        </w:rPr>
        <w:t>relating</w:t>
      </w:r>
      <w:r w:rsidRPr="00EB2BD8">
        <w:rPr>
          <w:rFonts w:ascii="Arial"/>
          <w:i/>
          <w:spacing w:val="-1"/>
          <w:sz w:val="15"/>
        </w:rPr>
        <w:t xml:space="preserve"> </w:t>
      </w:r>
      <w:r w:rsidRPr="00EB2BD8">
        <w:rPr>
          <w:rFonts w:ascii="Arial"/>
          <w:i/>
          <w:sz w:val="15"/>
        </w:rPr>
        <w:t>to</w:t>
      </w:r>
      <w:r w:rsidRPr="00EB2BD8">
        <w:rPr>
          <w:rFonts w:ascii="Arial"/>
          <w:i/>
          <w:spacing w:val="-1"/>
          <w:sz w:val="15"/>
        </w:rPr>
        <w:t xml:space="preserve"> </w:t>
      </w:r>
      <w:r w:rsidRPr="00EB2BD8">
        <w:rPr>
          <w:rFonts w:ascii="Arial"/>
          <w:i/>
          <w:sz w:val="15"/>
        </w:rPr>
        <w:t>the</w:t>
      </w:r>
      <w:r w:rsidRPr="00EB2BD8">
        <w:rPr>
          <w:rFonts w:ascii="Arial"/>
          <w:i/>
          <w:spacing w:val="-1"/>
          <w:sz w:val="15"/>
        </w:rPr>
        <w:t xml:space="preserve"> </w:t>
      </w:r>
      <w:r w:rsidRPr="00EB2BD8">
        <w:rPr>
          <w:rFonts w:ascii="Arial"/>
          <w:i/>
          <w:sz w:val="15"/>
        </w:rPr>
        <w:t>subsequent</w:t>
      </w:r>
      <w:r w:rsidRPr="00EB2BD8">
        <w:rPr>
          <w:rFonts w:ascii="Arial"/>
          <w:i/>
          <w:spacing w:val="-1"/>
          <w:sz w:val="15"/>
        </w:rPr>
        <w:t xml:space="preserve"> </w:t>
      </w:r>
      <w:r w:rsidRPr="00EB2BD8">
        <w:rPr>
          <w:rFonts w:ascii="Arial"/>
          <w:i/>
          <w:sz w:val="15"/>
        </w:rPr>
        <w:t>year</w:t>
      </w:r>
      <w:r w:rsidRPr="00EB2BD8">
        <w:rPr>
          <w:rFonts w:ascii="Arial"/>
          <w:i/>
          <w:spacing w:val="-1"/>
          <w:sz w:val="15"/>
        </w:rPr>
        <w:t xml:space="preserve"> </w:t>
      </w:r>
      <w:r w:rsidRPr="00EB2BD8">
        <w:rPr>
          <w:rFonts w:ascii="Arial"/>
          <w:i/>
          <w:sz w:val="15"/>
        </w:rPr>
        <w:t>are recognised</w:t>
      </w:r>
      <w:r w:rsidRPr="00EB2BD8">
        <w:rPr>
          <w:rFonts w:ascii="Arial"/>
          <w:i/>
          <w:spacing w:val="-1"/>
          <w:sz w:val="15"/>
        </w:rPr>
        <w:t xml:space="preserve"> </w:t>
      </w:r>
      <w:r w:rsidRPr="00EB2BD8">
        <w:rPr>
          <w:rFonts w:ascii="Arial"/>
          <w:i/>
          <w:sz w:val="15"/>
        </w:rPr>
        <w:t>at</w:t>
      </w:r>
      <w:r w:rsidRPr="00EB2BD8">
        <w:rPr>
          <w:rFonts w:ascii="Arial"/>
          <w:i/>
          <w:spacing w:val="-1"/>
          <w:sz w:val="15"/>
        </w:rPr>
        <w:t xml:space="preserve"> </w:t>
      </w:r>
      <w:r w:rsidRPr="00EB2BD8">
        <w:rPr>
          <w:rFonts w:ascii="Arial"/>
          <w:i/>
          <w:sz w:val="15"/>
        </w:rPr>
        <w:t>year-</w:t>
      </w:r>
      <w:r w:rsidRPr="00EB2BD8">
        <w:rPr>
          <w:rFonts w:ascii="Arial"/>
          <w:i/>
          <w:spacing w:val="-1"/>
          <w:sz w:val="15"/>
        </w:rPr>
        <w:t xml:space="preserve"> </w:t>
      </w:r>
      <w:r w:rsidRPr="00EB2BD8">
        <w:rPr>
          <w:rFonts w:ascii="Arial"/>
          <w:i/>
          <w:sz w:val="15"/>
        </w:rPr>
        <w:t>end as contract</w:t>
      </w:r>
      <w:r w:rsidRPr="00EB2BD8">
        <w:rPr>
          <w:rFonts w:ascii="Arial"/>
          <w:i/>
          <w:spacing w:val="-1"/>
          <w:sz w:val="15"/>
        </w:rPr>
        <w:t xml:space="preserve"> </w:t>
      </w:r>
      <w:r w:rsidRPr="00EB2BD8">
        <w:rPr>
          <w:rFonts w:ascii="Arial"/>
          <w:i/>
          <w:sz w:val="15"/>
        </w:rPr>
        <w:t>liabilities (i.e.,</w:t>
      </w:r>
      <w:r w:rsidRPr="00EB2BD8">
        <w:rPr>
          <w:rFonts w:ascii="Arial"/>
          <w:i/>
          <w:spacing w:val="-1"/>
          <w:sz w:val="15"/>
        </w:rPr>
        <w:t xml:space="preserve"> </w:t>
      </w:r>
      <w:r w:rsidRPr="00EB2BD8">
        <w:rPr>
          <w:rFonts w:ascii="Arial"/>
          <w:i/>
          <w:sz w:val="15"/>
        </w:rPr>
        <w:t>over</w:t>
      </w:r>
      <w:r w:rsidRPr="00EB2BD8">
        <w:rPr>
          <w:rFonts w:ascii="Arial"/>
          <w:i/>
          <w:spacing w:val="-1"/>
          <w:sz w:val="15"/>
        </w:rPr>
        <w:t xml:space="preserve"> </w:t>
      </w:r>
      <w:r w:rsidRPr="00EB2BD8">
        <w:rPr>
          <w:rFonts w:ascii="Arial"/>
          <w:i/>
          <w:sz w:val="15"/>
        </w:rPr>
        <w:t>time).</w:t>
      </w:r>
      <w:r w:rsidRPr="00EB2BD8">
        <w:rPr>
          <w:rFonts w:ascii="Arial"/>
          <w:i/>
          <w:spacing w:val="39"/>
          <w:sz w:val="15"/>
        </w:rPr>
        <w:t xml:space="preserve"> </w:t>
      </w:r>
      <w:r w:rsidRPr="00EB2BD8">
        <w:rPr>
          <w:rFonts w:ascii="Arial"/>
          <w:i/>
          <w:sz w:val="15"/>
        </w:rPr>
        <w:t>From</w:t>
      </w:r>
      <w:r w:rsidRPr="00EB2BD8">
        <w:rPr>
          <w:rFonts w:ascii="Arial"/>
          <w:i/>
          <w:spacing w:val="-1"/>
          <w:sz w:val="15"/>
        </w:rPr>
        <w:t xml:space="preserve"> </w:t>
      </w:r>
      <w:r w:rsidRPr="00EB2BD8">
        <w:rPr>
          <w:rFonts w:ascii="Arial"/>
          <w:i/>
          <w:sz w:val="15"/>
        </w:rPr>
        <w:t>1</w:t>
      </w:r>
      <w:r w:rsidRPr="00EB2BD8">
        <w:rPr>
          <w:rFonts w:ascii="Arial"/>
          <w:i/>
          <w:spacing w:val="-1"/>
          <w:sz w:val="15"/>
        </w:rPr>
        <w:t xml:space="preserve"> </w:t>
      </w:r>
      <w:r w:rsidRPr="00EB2BD8">
        <w:rPr>
          <w:rFonts w:ascii="Arial"/>
          <w:i/>
          <w:sz w:val="15"/>
        </w:rPr>
        <w:t>May 2022 following</w:t>
      </w:r>
      <w:r w:rsidRPr="00EB2BD8">
        <w:rPr>
          <w:rFonts w:ascii="Arial"/>
          <w:i/>
          <w:spacing w:val="-7"/>
          <w:sz w:val="15"/>
        </w:rPr>
        <w:t xml:space="preserve"> </w:t>
      </w:r>
      <w:r w:rsidRPr="00EB2BD8">
        <w:rPr>
          <w:rFonts w:ascii="Arial"/>
          <w:i/>
          <w:sz w:val="15"/>
        </w:rPr>
        <w:t>a</w:t>
      </w:r>
      <w:r w:rsidRPr="00EB2BD8">
        <w:rPr>
          <w:rFonts w:ascii="Arial"/>
          <w:i/>
          <w:spacing w:val="-7"/>
          <w:sz w:val="15"/>
        </w:rPr>
        <w:t xml:space="preserve"> </w:t>
      </w:r>
      <w:r w:rsidRPr="00EB2BD8">
        <w:rPr>
          <w:rFonts w:ascii="Arial"/>
          <w:i/>
          <w:sz w:val="15"/>
        </w:rPr>
        <w:t>Ministerial</w:t>
      </w:r>
      <w:r w:rsidRPr="00EB2BD8">
        <w:rPr>
          <w:rFonts w:ascii="Arial"/>
          <w:i/>
          <w:spacing w:val="-7"/>
          <w:sz w:val="15"/>
        </w:rPr>
        <w:t xml:space="preserve"> </w:t>
      </w:r>
      <w:r w:rsidRPr="00EB2BD8">
        <w:rPr>
          <w:rFonts w:ascii="Arial"/>
          <w:i/>
          <w:sz w:val="15"/>
        </w:rPr>
        <w:t>Direction,</w:t>
      </w:r>
      <w:r w:rsidRPr="00EB2BD8">
        <w:rPr>
          <w:rFonts w:ascii="Arial"/>
          <w:i/>
          <w:spacing w:val="-7"/>
          <w:sz w:val="15"/>
        </w:rPr>
        <w:t xml:space="preserve"> </w:t>
      </w:r>
      <w:r w:rsidRPr="00EB2BD8">
        <w:rPr>
          <w:rFonts w:ascii="Arial"/>
          <w:i/>
          <w:sz w:val="15"/>
        </w:rPr>
        <w:t>the</w:t>
      </w:r>
      <w:r w:rsidRPr="00EB2BD8">
        <w:rPr>
          <w:rFonts w:ascii="Arial"/>
          <w:i/>
          <w:spacing w:val="-7"/>
          <w:sz w:val="15"/>
        </w:rPr>
        <w:t xml:space="preserve"> </w:t>
      </w:r>
      <w:r w:rsidRPr="00EB2BD8">
        <w:rPr>
          <w:rFonts w:ascii="Arial"/>
          <w:i/>
          <w:sz w:val="15"/>
        </w:rPr>
        <w:t>Consumer</w:t>
      </w:r>
      <w:r w:rsidRPr="00EB2BD8">
        <w:rPr>
          <w:rFonts w:ascii="Arial"/>
          <w:i/>
          <w:spacing w:val="-7"/>
          <w:sz w:val="15"/>
        </w:rPr>
        <w:t xml:space="preserve"> </w:t>
      </w:r>
      <w:r w:rsidRPr="00EB2BD8">
        <w:rPr>
          <w:rFonts w:ascii="Arial"/>
          <w:i/>
          <w:sz w:val="15"/>
        </w:rPr>
        <w:t>Affairs</w:t>
      </w:r>
      <w:r w:rsidRPr="00EB2BD8">
        <w:rPr>
          <w:rFonts w:ascii="Arial"/>
          <w:i/>
          <w:spacing w:val="-7"/>
          <w:sz w:val="15"/>
        </w:rPr>
        <w:t xml:space="preserve"> </w:t>
      </w:r>
      <w:r w:rsidRPr="00EB2BD8">
        <w:rPr>
          <w:rFonts w:ascii="Arial"/>
          <w:i/>
          <w:sz w:val="15"/>
        </w:rPr>
        <w:t>Victoria</w:t>
      </w:r>
      <w:r w:rsidRPr="00EB2BD8">
        <w:rPr>
          <w:rFonts w:ascii="Arial"/>
          <w:i/>
          <w:spacing w:val="-7"/>
          <w:sz w:val="15"/>
        </w:rPr>
        <w:t xml:space="preserve"> </w:t>
      </w:r>
      <w:r w:rsidRPr="00EB2BD8">
        <w:rPr>
          <w:rFonts w:ascii="Arial"/>
          <w:i/>
          <w:sz w:val="15"/>
        </w:rPr>
        <w:t>(CAV)</w:t>
      </w:r>
      <w:r w:rsidRPr="00EB2BD8">
        <w:rPr>
          <w:rFonts w:ascii="Arial"/>
          <w:i/>
          <w:spacing w:val="-7"/>
          <w:sz w:val="15"/>
        </w:rPr>
        <w:t xml:space="preserve"> </w:t>
      </w:r>
      <w:r w:rsidRPr="00EB2BD8">
        <w:rPr>
          <w:rFonts w:ascii="Arial"/>
          <w:i/>
          <w:sz w:val="15"/>
        </w:rPr>
        <w:t>is</w:t>
      </w:r>
      <w:r w:rsidRPr="00EB2BD8">
        <w:rPr>
          <w:rFonts w:ascii="Arial"/>
          <w:i/>
          <w:spacing w:val="-7"/>
          <w:sz w:val="15"/>
        </w:rPr>
        <w:t xml:space="preserve"> </w:t>
      </w:r>
      <w:r w:rsidRPr="00EB2BD8">
        <w:rPr>
          <w:rFonts w:ascii="Arial"/>
          <w:i/>
          <w:sz w:val="15"/>
        </w:rPr>
        <w:t>legally</w:t>
      </w:r>
      <w:r w:rsidRPr="00EB2BD8">
        <w:rPr>
          <w:rFonts w:ascii="Arial"/>
          <w:i/>
          <w:spacing w:val="-7"/>
          <w:sz w:val="15"/>
        </w:rPr>
        <w:t xml:space="preserve"> </w:t>
      </w:r>
      <w:r w:rsidRPr="00EB2BD8">
        <w:rPr>
          <w:rFonts w:ascii="Arial"/>
          <w:i/>
          <w:sz w:val="15"/>
        </w:rPr>
        <w:t>entitled</w:t>
      </w:r>
      <w:r w:rsidRPr="00EB2BD8">
        <w:rPr>
          <w:rFonts w:ascii="Arial"/>
          <w:i/>
          <w:spacing w:val="-8"/>
          <w:sz w:val="15"/>
        </w:rPr>
        <w:t xml:space="preserve"> </w:t>
      </w:r>
      <w:r w:rsidRPr="00EB2BD8">
        <w:rPr>
          <w:rFonts w:ascii="Arial"/>
          <w:i/>
          <w:sz w:val="15"/>
        </w:rPr>
        <w:t>to</w:t>
      </w:r>
      <w:r w:rsidRPr="00EB2BD8">
        <w:rPr>
          <w:rFonts w:ascii="Arial"/>
          <w:i/>
          <w:spacing w:val="-7"/>
          <w:sz w:val="15"/>
        </w:rPr>
        <w:t xml:space="preserve"> </w:t>
      </w:r>
      <w:r w:rsidRPr="00EB2BD8">
        <w:rPr>
          <w:rFonts w:ascii="Arial"/>
          <w:i/>
          <w:sz w:val="15"/>
        </w:rPr>
        <w:t>a</w:t>
      </w:r>
      <w:r w:rsidRPr="00EB2BD8">
        <w:rPr>
          <w:rFonts w:ascii="Arial"/>
          <w:i/>
          <w:spacing w:val="-7"/>
          <w:sz w:val="15"/>
        </w:rPr>
        <w:t xml:space="preserve"> </w:t>
      </w:r>
      <w:r w:rsidRPr="00EB2BD8">
        <w:rPr>
          <w:rFonts w:ascii="Arial"/>
          <w:i/>
          <w:sz w:val="15"/>
        </w:rPr>
        <w:t>fixed</w:t>
      </w:r>
      <w:r w:rsidRPr="00EB2BD8">
        <w:rPr>
          <w:rFonts w:ascii="Arial"/>
          <w:i/>
          <w:spacing w:val="-7"/>
          <w:sz w:val="15"/>
        </w:rPr>
        <w:t xml:space="preserve"> </w:t>
      </w:r>
      <w:r w:rsidRPr="00EB2BD8">
        <w:rPr>
          <w:rFonts w:ascii="Arial"/>
          <w:i/>
          <w:sz w:val="15"/>
        </w:rPr>
        <w:t>amount</w:t>
      </w:r>
      <w:r w:rsidRPr="00EB2BD8">
        <w:rPr>
          <w:rFonts w:ascii="Arial"/>
          <w:i/>
          <w:spacing w:val="-7"/>
          <w:sz w:val="15"/>
        </w:rPr>
        <w:t xml:space="preserve"> </w:t>
      </w:r>
      <w:r w:rsidRPr="00EB2BD8">
        <w:rPr>
          <w:rFonts w:ascii="Arial"/>
          <w:i/>
          <w:sz w:val="15"/>
        </w:rPr>
        <w:t>of</w:t>
      </w:r>
      <w:r w:rsidRPr="00EB2BD8">
        <w:rPr>
          <w:rFonts w:ascii="Arial"/>
          <w:i/>
          <w:spacing w:val="-7"/>
          <w:sz w:val="15"/>
        </w:rPr>
        <w:t xml:space="preserve"> </w:t>
      </w:r>
      <w:r w:rsidRPr="00EB2BD8">
        <w:rPr>
          <w:rFonts w:ascii="Arial"/>
          <w:i/>
          <w:sz w:val="15"/>
        </w:rPr>
        <w:t>the</w:t>
      </w:r>
      <w:r w:rsidRPr="00EB2BD8">
        <w:rPr>
          <w:rFonts w:ascii="Arial"/>
          <w:i/>
          <w:spacing w:val="-7"/>
          <w:sz w:val="15"/>
        </w:rPr>
        <w:t xml:space="preserve"> </w:t>
      </w:r>
      <w:r w:rsidRPr="00EB2BD8">
        <w:rPr>
          <w:rFonts w:ascii="Arial"/>
          <w:i/>
          <w:sz w:val="15"/>
        </w:rPr>
        <w:t>building-practitioner registration fees revenue.</w:t>
      </w:r>
    </w:p>
    <w:p w14:paraId="063D6E9D" w14:textId="77777777" w:rsidR="00084F36" w:rsidRPr="00EB2BD8" w:rsidRDefault="00084F36">
      <w:pPr>
        <w:pStyle w:val="BodyText"/>
        <w:rPr>
          <w:rFonts w:ascii="Arial"/>
          <w:i/>
          <w:sz w:val="20"/>
        </w:rPr>
      </w:pPr>
    </w:p>
    <w:p w14:paraId="7DC94257" w14:textId="77777777" w:rsidR="00084F36" w:rsidRPr="00EB2BD8" w:rsidRDefault="00084F36">
      <w:pPr>
        <w:pStyle w:val="BodyText"/>
        <w:spacing w:before="7"/>
        <w:rPr>
          <w:rFonts w:ascii="Arial"/>
          <w:i/>
          <w:sz w:val="19"/>
        </w:rPr>
      </w:pPr>
    </w:p>
    <w:p w14:paraId="2D03047C" w14:textId="2D918B5D" w:rsidR="00084F36" w:rsidRPr="00EB2BD8" w:rsidRDefault="00EB2BD8">
      <w:pPr>
        <w:tabs>
          <w:tab w:val="left" w:pos="1906"/>
        </w:tabs>
        <w:ind w:left="842"/>
        <w:rPr>
          <w:b/>
          <w:sz w:val="16"/>
        </w:rPr>
      </w:pPr>
      <w:r w:rsidRPr="00EB2BD8">
        <w:rPr>
          <w:sz w:val="16"/>
        </w:rPr>
        <w:tab/>
      </w:r>
    </w:p>
    <w:p w14:paraId="67CFCCB4" w14:textId="77777777" w:rsidR="00084F36" w:rsidRPr="00EB2BD8" w:rsidRDefault="00084F36">
      <w:pPr>
        <w:rPr>
          <w:sz w:val="16"/>
        </w:rPr>
        <w:sectPr w:rsidR="00084F36" w:rsidRPr="00EB2BD8" w:rsidSect="006D75B2">
          <w:headerReference w:type="even" r:id="rId267"/>
          <w:footerReference w:type="even" r:id="rId268"/>
          <w:footerReference w:type="default" r:id="rId269"/>
          <w:pgSz w:w="11910" w:h="16840"/>
          <w:pgMar w:top="780" w:right="0" w:bottom="280" w:left="0" w:header="0" w:footer="0" w:gutter="0"/>
          <w:cols w:space="720"/>
        </w:sectPr>
      </w:pPr>
    </w:p>
    <w:p w14:paraId="0781D879" w14:textId="77777777" w:rsidR="00084F36" w:rsidRPr="00EB2BD8" w:rsidRDefault="00084F36">
      <w:pPr>
        <w:pStyle w:val="BodyText"/>
        <w:rPr>
          <w:sz w:val="20"/>
        </w:rPr>
      </w:pPr>
    </w:p>
    <w:p w14:paraId="1B5A4604" w14:textId="77777777" w:rsidR="00084F36" w:rsidRPr="00EB2BD8" w:rsidRDefault="00084F36">
      <w:pPr>
        <w:pStyle w:val="BodyText"/>
        <w:rPr>
          <w:sz w:val="20"/>
        </w:rPr>
      </w:pPr>
    </w:p>
    <w:p w14:paraId="713CD9CC" w14:textId="77777777" w:rsidR="00084F36" w:rsidRPr="00EB2BD8" w:rsidRDefault="00084F36">
      <w:pPr>
        <w:pStyle w:val="BodyText"/>
        <w:rPr>
          <w:sz w:val="20"/>
        </w:rPr>
      </w:pPr>
    </w:p>
    <w:p w14:paraId="467C58DA" w14:textId="77777777" w:rsidR="00084F36" w:rsidRPr="00EB2BD8" w:rsidRDefault="00084F36">
      <w:pPr>
        <w:pStyle w:val="BodyText"/>
        <w:rPr>
          <w:sz w:val="20"/>
        </w:rPr>
      </w:pPr>
    </w:p>
    <w:p w14:paraId="2B6972D8" w14:textId="77777777" w:rsidR="00084F36" w:rsidRPr="00EB2BD8" w:rsidRDefault="00084F36">
      <w:pPr>
        <w:pStyle w:val="BodyText"/>
        <w:rPr>
          <w:sz w:val="20"/>
        </w:rPr>
      </w:pPr>
    </w:p>
    <w:p w14:paraId="0767A589" w14:textId="77777777" w:rsidR="00084F36" w:rsidRPr="00EB2BD8" w:rsidRDefault="00084F36">
      <w:pPr>
        <w:pStyle w:val="BodyText"/>
        <w:spacing w:before="6"/>
        <w:rPr>
          <w:sz w:val="19"/>
        </w:rPr>
      </w:pPr>
    </w:p>
    <w:p w14:paraId="2E461CD0" w14:textId="77777777" w:rsidR="00084F36" w:rsidRPr="00EB2BD8" w:rsidRDefault="00EB2BD8">
      <w:pPr>
        <w:pStyle w:val="ListParagraph"/>
        <w:numPr>
          <w:ilvl w:val="0"/>
          <w:numId w:val="48"/>
        </w:numPr>
        <w:tabs>
          <w:tab w:val="left" w:pos="1402"/>
        </w:tabs>
        <w:spacing w:before="94"/>
        <w:ind w:left="1402" w:hanging="334"/>
        <w:rPr>
          <w:rFonts w:ascii="Arial"/>
          <w:i/>
          <w:sz w:val="15"/>
        </w:rPr>
      </w:pPr>
      <w:r w:rsidRPr="00EB2BD8">
        <w:rPr>
          <w:rFonts w:ascii="Arial"/>
          <w:i/>
          <w:spacing w:val="-2"/>
          <w:sz w:val="15"/>
        </w:rPr>
        <w:t>Building-corporate</w:t>
      </w:r>
      <w:r w:rsidRPr="00EB2BD8">
        <w:rPr>
          <w:rFonts w:ascii="Arial"/>
          <w:i/>
          <w:spacing w:val="12"/>
          <w:sz w:val="15"/>
        </w:rPr>
        <w:t xml:space="preserve"> </w:t>
      </w:r>
      <w:r w:rsidRPr="00EB2BD8">
        <w:rPr>
          <w:rFonts w:ascii="Arial"/>
          <w:i/>
          <w:spacing w:val="-2"/>
          <w:sz w:val="15"/>
        </w:rPr>
        <w:t>registration</w:t>
      </w:r>
      <w:r w:rsidRPr="00EB2BD8">
        <w:rPr>
          <w:rFonts w:ascii="Arial"/>
          <w:i/>
          <w:spacing w:val="13"/>
          <w:sz w:val="15"/>
        </w:rPr>
        <w:t xml:space="preserve"> </w:t>
      </w:r>
      <w:r w:rsidRPr="00EB2BD8">
        <w:rPr>
          <w:rFonts w:ascii="Arial"/>
          <w:i/>
          <w:spacing w:val="-4"/>
          <w:sz w:val="15"/>
        </w:rPr>
        <w:t>fees</w:t>
      </w:r>
    </w:p>
    <w:p w14:paraId="52CC1933" w14:textId="77777777" w:rsidR="00084F36" w:rsidRPr="00EB2BD8" w:rsidRDefault="00EB2BD8">
      <w:pPr>
        <w:spacing w:before="81" w:line="273" w:lineRule="auto"/>
        <w:ind w:left="1404" w:right="1813"/>
        <w:rPr>
          <w:rFonts w:ascii="Arial"/>
          <w:i/>
          <w:sz w:val="15"/>
        </w:rPr>
      </w:pPr>
      <w:r w:rsidRPr="00EB2BD8">
        <w:rPr>
          <w:rFonts w:ascii="Arial"/>
          <w:i/>
          <w:sz w:val="15"/>
        </w:rPr>
        <w:t>Yearly registration renewal fees received throughout the year are recognised as revenue on a pro-rata basis. Registration fees received relating to the subsequent year are recognised at year- end as contract liabilities (i.e., over time).</w:t>
      </w:r>
      <w:r w:rsidRPr="00EB2BD8">
        <w:rPr>
          <w:rFonts w:ascii="Arial"/>
          <w:i/>
          <w:spacing w:val="40"/>
          <w:sz w:val="15"/>
        </w:rPr>
        <w:t xml:space="preserve"> </w:t>
      </w:r>
      <w:r w:rsidRPr="00EB2BD8">
        <w:rPr>
          <w:rFonts w:ascii="Arial"/>
          <w:i/>
          <w:sz w:val="15"/>
        </w:rPr>
        <w:t>From 1 May 2022 following</w:t>
      </w:r>
      <w:r w:rsidRPr="00EB2BD8">
        <w:rPr>
          <w:rFonts w:ascii="Arial"/>
          <w:i/>
          <w:spacing w:val="-5"/>
          <w:sz w:val="15"/>
        </w:rPr>
        <w:t xml:space="preserve"> </w:t>
      </w:r>
      <w:r w:rsidRPr="00EB2BD8">
        <w:rPr>
          <w:rFonts w:ascii="Arial"/>
          <w:i/>
          <w:sz w:val="15"/>
        </w:rPr>
        <w:t>a</w:t>
      </w:r>
      <w:r w:rsidRPr="00EB2BD8">
        <w:rPr>
          <w:rFonts w:ascii="Arial"/>
          <w:i/>
          <w:spacing w:val="-5"/>
          <w:sz w:val="15"/>
        </w:rPr>
        <w:t xml:space="preserve"> </w:t>
      </w:r>
      <w:r w:rsidRPr="00EB2BD8">
        <w:rPr>
          <w:rFonts w:ascii="Arial"/>
          <w:i/>
          <w:sz w:val="15"/>
        </w:rPr>
        <w:t>Ministerial</w:t>
      </w:r>
      <w:r w:rsidRPr="00EB2BD8">
        <w:rPr>
          <w:rFonts w:ascii="Arial"/>
          <w:i/>
          <w:spacing w:val="-4"/>
          <w:sz w:val="15"/>
        </w:rPr>
        <w:t xml:space="preserve"> </w:t>
      </w:r>
      <w:r w:rsidRPr="00EB2BD8">
        <w:rPr>
          <w:rFonts w:ascii="Arial"/>
          <w:i/>
          <w:sz w:val="15"/>
        </w:rPr>
        <w:t>Direction,</w:t>
      </w:r>
      <w:r w:rsidRPr="00EB2BD8">
        <w:rPr>
          <w:rFonts w:ascii="Arial"/>
          <w:i/>
          <w:spacing w:val="-5"/>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Consumer</w:t>
      </w:r>
      <w:r w:rsidRPr="00EB2BD8">
        <w:rPr>
          <w:rFonts w:ascii="Arial"/>
          <w:i/>
          <w:spacing w:val="-5"/>
          <w:sz w:val="15"/>
        </w:rPr>
        <w:t xml:space="preserve"> </w:t>
      </w:r>
      <w:r w:rsidRPr="00EB2BD8">
        <w:rPr>
          <w:rFonts w:ascii="Arial"/>
          <w:i/>
          <w:sz w:val="15"/>
        </w:rPr>
        <w:t>Affairs</w:t>
      </w:r>
      <w:r w:rsidRPr="00EB2BD8">
        <w:rPr>
          <w:rFonts w:ascii="Arial"/>
          <w:i/>
          <w:spacing w:val="-4"/>
          <w:sz w:val="15"/>
        </w:rPr>
        <w:t xml:space="preserve"> </w:t>
      </w:r>
      <w:r w:rsidRPr="00EB2BD8">
        <w:rPr>
          <w:rFonts w:ascii="Arial"/>
          <w:i/>
          <w:sz w:val="15"/>
        </w:rPr>
        <w:t>Victoria</w:t>
      </w:r>
      <w:r w:rsidRPr="00EB2BD8">
        <w:rPr>
          <w:rFonts w:ascii="Arial"/>
          <w:i/>
          <w:spacing w:val="-5"/>
          <w:sz w:val="15"/>
        </w:rPr>
        <w:t xml:space="preserve"> </w:t>
      </w:r>
      <w:r w:rsidRPr="00EB2BD8">
        <w:rPr>
          <w:rFonts w:ascii="Arial"/>
          <w:i/>
          <w:sz w:val="15"/>
        </w:rPr>
        <w:t>(CAV)</w:t>
      </w:r>
      <w:r w:rsidRPr="00EB2BD8">
        <w:rPr>
          <w:rFonts w:ascii="Arial"/>
          <w:i/>
          <w:spacing w:val="-5"/>
          <w:sz w:val="15"/>
        </w:rPr>
        <w:t xml:space="preserve"> </w:t>
      </w:r>
      <w:r w:rsidRPr="00EB2BD8">
        <w:rPr>
          <w:rFonts w:ascii="Arial"/>
          <w:i/>
          <w:sz w:val="15"/>
        </w:rPr>
        <w:t>is</w:t>
      </w:r>
      <w:r w:rsidRPr="00EB2BD8">
        <w:rPr>
          <w:rFonts w:ascii="Arial"/>
          <w:i/>
          <w:spacing w:val="-4"/>
          <w:sz w:val="15"/>
        </w:rPr>
        <w:t xml:space="preserve"> </w:t>
      </w:r>
      <w:r w:rsidRPr="00EB2BD8">
        <w:rPr>
          <w:rFonts w:ascii="Arial"/>
          <w:i/>
          <w:sz w:val="15"/>
        </w:rPr>
        <w:t>legally</w:t>
      </w:r>
      <w:r w:rsidRPr="00EB2BD8">
        <w:rPr>
          <w:rFonts w:ascii="Arial"/>
          <w:i/>
          <w:spacing w:val="-4"/>
          <w:sz w:val="15"/>
        </w:rPr>
        <w:t xml:space="preserve"> </w:t>
      </w:r>
      <w:r w:rsidRPr="00EB2BD8">
        <w:rPr>
          <w:rFonts w:ascii="Arial"/>
          <w:i/>
          <w:sz w:val="15"/>
        </w:rPr>
        <w:t>entitled</w:t>
      </w:r>
      <w:r w:rsidRPr="00EB2BD8">
        <w:rPr>
          <w:rFonts w:ascii="Arial"/>
          <w:i/>
          <w:spacing w:val="-6"/>
          <w:sz w:val="15"/>
        </w:rPr>
        <w:t xml:space="preserve"> </w:t>
      </w:r>
      <w:r w:rsidRPr="00EB2BD8">
        <w:rPr>
          <w:rFonts w:ascii="Arial"/>
          <w:i/>
          <w:sz w:val="15"/>
        </w:rPr>
        <w:t>to</w:t>
      </w:r>
      <w:r w:rsidRPr="00EB2BD8">
        <w:rPr>
          <w:rFonts w:ascii="Arial"/>
          <w:i/>
          <w:spacing w:val="-5"/>
          <w:sz w:val="15"/>
        </w:rPr>
        <w:t xml:space="preserve"> </w:t>
      </w:r>
      <w:r w:rsidRPr="00EB2BD8">
        <w:rPr>
          <w:rFonts w:ascii="Arial"/>
          <w:i/>
          <w:sz w:val="15"/>
        </w:rPr>
        <w:t>a</w:t>
      </w:r>
      <w:r w:rsidRPr="00EB2BD8">
        <w:rPr>
          <w:rFonts w:ascii="Arial"/>
          <w:i/>
          <w:spacing w:val="-5"/>
          <w:sz w:val="15"/>
        </w:rPr>
        <w:t xml:space="preserve"> </w:t>
      </w:r>
      <w:r w:rsidRPr="00EB2BD8">
        <w:rPr>
          <w:rFonts w:ascii="Arial"/>
          <w:i/>
          <w:sz w:val="15"/>
        </w:rPr>
        <w:t>fixed</w:t>
      </w:r>
      <w:r w:rsidRPr="00EB2BD8">
        <w:rPr>
          <w:rFonts w:ascii="Arial"/>
          <w:i/>
          <w:spacing w:val="-5"/>
          <w:sz w:val="15"/>
        </w:rPr>
        <w:t xml:space="preserve"> </w:t>
      </w:r>
      <w:r w:rsidRPr="00EB2BD8">
        <w:rPr>
          <w:rFonts w:ascii="Arial"/>
          <w:i/>
          <w:sz w:val="15"/>
        </w:rPr>
        <w:t>amount</w:t>
      </w:r>
      <w:r w:rsidRPr="00EB2BD8">
        <w:rPr>
          <w:rFonts w:ascii="Arial"/>
          <w:i/>
          <w:spacing w:val="-5"/>
          <w:sz w:val="15"/>
        </w:rPr>
        <w:t xml:space="preserve"> </w:t>
      </w:r>
      <w:r w:rsidRPr="00EB2BD8">
        <w:rPr>
          <w:rFonts w:ascii="Arial"/>
          <w:i/>
          <w:sz w:val="15"/>
        </w:rPr>
        <w:t>of</w:t>
      </w:r>
      <w:r w:rsidRPr="00EB2BD8">
        <w:rPr>
          <w:rFonts w:ascii="Arial"/>
          <w:i/>
          <w:spacing w:val="-5"/>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building-corporate registration fees revenue.</w:t>
      </w:r>
    </w:p>
    <w:p w14:paraId="7AEF97DC" w14:textId="77777777" w:rsidR="00084F36" w:rsidRPr="00EB2BD8" w:rsidRDefault="00EB2BD8">
      <w:pPr>
        <w:pStyle w:val="ListParagraph"/>
        <w:numPr>
          <w:ilvl w:val="0"/>
          <w:numId w:val="48"/>
        </w:numPr>
        <w:tabs>
          <w:tab w:val="left" w:pos="1402"/>
        </w:tabs>
        <w:spacing w:before="60"/>
        <w:ind w:left="1402" w:hanging="334"/>
        <w:rPr>
          <w:rFonts w:ascii="Arial"/>
          <w:i/>
          <w:sz w:val="15"/>
        </w:rPr>
      </w:pPr>
      <w:r w:rsidRPr="00EB2BD8">
        <w:rPr>
          <w:rFonts w:ascii="Arial"/>
          <w:i/>
          <w:spacing w:val="-2"/>
          <w:sz w:val="15"/>
        </w:rPr>
        <w:t>Building-prosecutions</w:t>
      </w:r>
      <w:r w:rsidRPr="00EB2BD8">
        <w:rPr>
          <w:rFonts w:ascii="Arial"/>
          <w:i/>
          <w:spacing w:val="8"/>
          <w:sz w:val="15"/>
        </w:rPr>
        <w:t xml:space="preserve"> </w:t>
      </w:r>
      <w:r w:rsidRPr="00EB2BD8">
        <w:rPr>
          <w:rFonts w:ascii="Arial"/>
          <w:i/>
          <w:spacing w:val="-2"/>
          <w:sz w:val="15"/>
        </w:rPr>
        <w:t>and</w:t>
      </w:r>
      <w:r w:rsidRPr="00EB2BD8">
        <w:rPr>
          <w:rFonts w:ascii="Arial"/>
          <w:i/>
          <w:spacing w:val="8"/>
          <w:sz w:val="15"/>
        </w:rPr>
        <w:t xml:space="preserve"> </w:t>
      </w:r>
      <w:r w:rsidRPr="00EB2BD8">
        <w:rPr>
          <w:rFonts w:ascii="Arial"/>
          <w:i/>
          <w:spacing w:val="-2"/>
          <w:sz w:val="15"/>
        </w:rPr>
        <w:t>inquiry</w:t>
      </w:r>
      <w:r w:rsidRPr="00EB2BD8">
        <w:rPr>
          <w:rFonts w:ascii="Arial"/>
          <w:i/>
          <w:spacing w:val="9"/>
          <w:sz w:val="15"/>
        </w:rPr>
        <w:t xml:space="preserve"> </w:t>
      </w:r>
      <w:r w:rsidRPr="00EB2BD8">
        <w:rPr>
          <w:rFonts w:ascii="Arial"/>
          <w:i/>
          <w:spacing w:val="-2"/>
          <w:sz w:val="15"/>
        </w:rPr>
        <w:t>fines</w:t>
      </w:r>
    </w:p>
    <w:p w14:paraId="54A1C70F" w14:textId="77777777" w:rsidR="00084F36" w:rsidRPr="00EB2BD8" w:rsidRDefault="00EB2BD8">
      <w:pPr>
        <w:spacing w:before="80" w:line="276" w:lineRule="auto"/>
        <w:ind w:left="1404" w:right="1761"/>
        <w:rPr>
          <w:rFonts w:ascii="Arial"/>
          <w:i/>
          <w:sz w:val="15"/>
        </w:rPr>
      </w:pPr>
      <w:r w:rsidRPr="00EB2BD8">
        <w:rPr>
          <w:rFonts w:ascii="Arial"/>
          <w:i/>
          <w:sz w:val="15"/>
        </w:rPr>
        <w:t>Prosecutions</w:t>
      </w:r>
      <w:r w:rsidRPr="00EB2BD8">
        <w:rPr>
          <w:rFonts w:ascii="Arial"/>
          <w:i/>
          <w:spacing w:val="-4"/>
          <w:sz w:val="15"/>
        </w:rPr>
        <w:t xml:space="preserve"> </w:t>
      </w:r>
      <w:r w:rsidRPr="00EB2BD8">
        <w:rPr>
          <w:rFonts w:ascii="Arial"/>
          <w:i/>
          <w:sz w:val="15"/>
        </w:rPr>
        <w:t>and</w:t>
      </w:r>
      <w:r w:rsidRPr="00EB2BD8">
        <w:rPr>
          <w:rFonts w:ascii="Arial"/>
          <w:i/>
          <w:spacing w:val="-5"/>
          <w:sz w:val="15"/>
        </w:rPr>
        <w:t xml:space="preserve"> </w:t>
      </w:r>
      <w:r w:rsidRPr="00EB2BD8">
        <w:rPr>
          <w:rFonts w:ascii="Arial"/>
          <w:i/>
          <w:sz w:val="15"/>
        </w:rPr>
        <w:t>inquiry</w:t>
      </w:r>
      <w:r w:rsidRPr="00EB2BD8">
        <w:rPr>
          <w:rFonts w:ascii="Arial"/>
          <w:i/>
          <w:spacing w:val="-4"/>
          <w:sz w:val="15"/>
        </w:rPr>
        <w:t xml:space="preserve"> </w:t>
      </w:r>
      <w:r w:rsidRPr="00EB2BD8">
        <w:rPr>
          <w:rFonts w:ascii="Arial"/>
          <w:i/>
          <w:sz w:val="15"/>
        </w:rPr>
        <w:t>fines</w:t>
      </w:r>
      <w:r w:rsidRPr="00EB2BD8">
        <w:rPr>
          <w:rFonts w:ascii="Arial"/>
          <w:i/>
          <w:spacing w:val="-4"/>
          <w:sz w:val="15"/>
        </w:rPr>
        <w:t xml:space="preserve"> </w:t>
      </w:r>
      <w:r w:rsidRPr="00EB2BD8">
        <w:rPr>
          <w:rFonts w:ascii="Arial"/>
          <w:i/>
          <w:sz w:val="15"/>
        </w:rPr>
        <w:t>represent</w:t>
      </w:r>
      <w:r w:rsidRPr="00EB2BD8">
        <w:rPr>
          <w:rFonts w:ascii="Arial"/>
          <w:i/>
          <w:spacing w:val="-5"/>
          <w:sz w:val="15"/>
        </w:rPr>
        <w:t xml:space="preserve"> </w:t>
      </w:r>
      <w:r w:rsidRPr="00EB2BD8">
        <w:rPr>
          <w:rFonts w:ascii="Arial"/>
          <w:i/>
          <w:sz w:val="15"/>
        </w:rPr>
        <w:t>prosecution</w:t>
      </w:r>
      <w:r w:rsidRPr="00EB2BD8">
        <w:rPr>
          <w:rFonts w:ascii="Arial"/>
          <w:i/>
          <w:spacing w:val="-5"/>
          <w:sz w:val="15"/>
        </w:rPr>
        <w:t xml:space="preserve"> </w:t>
      </w:r>
      <w:r w:rsidRPr="00EB2BD8">
        <w:rPr>
          <w:rFonts w:ascii="Arial"/>
          <w:i/>
          <w:sz w:val="15"/>
        </w:rPr>
        <w:t>fines</w:t>
      </w:r>
      <w:r w:rsidRPr="00EB2BD8">
        <w:rPr>
          <w:rFonts w:ascii="Arial"/>
          <w:i/>
          <w:spacing w:val="-4"/>
          <w:sz w:val="15"/>
        </w:rPr>
        <w:t xml:space="preserve"> </w:t>
      </w:r>
      <w:r w:rsidRPr="00EB2BD8">
        <w:rPr>
          <w:rFonts w:ascii="Arial"/>
          <w:i/>
          <w:sz w:val="15"/>
        </w:rPr>
        <w:t>and</w:t>
      </w:r>
      <w:r w:rsidRPr="00EB2BD8">
        <w:rPr>
          <w:rFonts w:ascii="Arial"/>
          <w:i/>
          <w:spacing w:val="-5"/>
          <w:sz w:val="15"/>
        </w:rPr>
        <w:t xml:space="preserve"> </w:t>
      </w:r>
      <w:r w:rsidRPr="00EB2BD8">
        <w:rPr>
          <w:rFonts w:ascii="Arial"/>
          <w:i/>
          <w:sz w:val="15"/>
        </w:rPr>
        <w:t>costs</w:t>
      </w:r>
      <w:r w:rsidRPr="00EB2BD8">
        <w:rPr>
          <w:rFonts w:ascii="Arial"/>
          <w:i/>
          <w:spacing w:val="-4"/>
          <w:sz w:val="15"/>
        </w:rPr>
        <w:t xml:space="preserve"> </w:t>
      </w:r>
      <w:r w:rsidRPr="00EB2BD8">
        <w:rPr>
          <w:rFonts w:ascii="Arial"/>
          <w:i/>
          <w:sz w:val="15"/>
        </w:rPr>
        <w:t>payable</w:t>
      </w:r>
      <w:r w:rsidRPr="00EB2BD8">
        <w:rPr>
          <w:rFonts w:ascii="Arial"/>
          <w:i/>
          <w:spacing w:val="-5"/>
          <w:sz w:val="15"/>
        </w:rPr>
        <w:t xml:space="preserve"> </w:t>
      </w:r>
      <w:r w:rsidRPr="00EB2BD8">
        <w:rPr>
          <w:rFonts w:ascii="Arial"/>
          <w:i/>
          <w:sz w:val="15"/>
        </w:rPr>
        <w:t>to</w:t>
      </w:r>
      <w:r w:rsidRPr="00EB2BD8">
        <w:rPr>
          <w:rFonts w:ascii="Arial"/>
          <w:i/>
          <w:spacing w:val="-5"/>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VBA</w:t>
      </w:r>
      <w:r w:rsidRPr="00EB2BD8">
        <w:rPr>
          <w:rFonts w:ascii="Arial"/>
          <w:i/>
          <w:spacing w:val="-4"/>
          <w:sz w:val="15"/>
        </w:rPr>
        <w:t xml:space="preserve"> </w:t>
      </w:r>
      <w:r w:rsidRPr="00EB2BD8">
        <w:rPr>
          <w:rFonts w:ascii="Arial"/>
          <w:i/>
          <w:sz w:val="15"/>
        </w:rPr>
        <w:t>as</w:t>
      </w:r>
      <w:r w:rsidRPr="00EB2BD8">
        <w:rPr>
          <w:rFonts w:ascii="Arial"/>
          <w:i/>
          <w:spacing w:val="-4"/>
          <w:sz w:val="15"/>
        </w:rPr>
        <w:t xml:space="preserve"> </w:t>
      </w:r>
      <w:r w:rsidRPr="00EB2BD8">
        <w:rPr>
          <w:rFonts w:ascii="Arial"/>
          <w:i/>
          <w:sz w:val="15"/>
        </w:rPr>
        <w:t>a</w:t>
      </w:r>
      <w:r w:rsidRPr="00EB2BD8">
        <w:rPr>
          <w:rFonts w:ascii="Arial"/>
          <w:i/>
          <w:spacing w:val="-5"/>
          <w:sz w:val="15"/>
        </w:rPr>
        <w:t xml:space="preserve"> </w:t>
      </w:r>
      <w:r w:rsidRPr="00EB2BD8">
        <w:rPr>
          <w:rFonts w:ascii="Arial"/>
          <w:i/>
          <w:sz w:val="15"/>
        </w:rPr>
        <w:t>result</w:t>
      </w:r>
      <w:r w:rsidRPr="00EB2BD8">
        <w:rPr>
          <w:rFonts w:ascii="Arial"/>
          <w:i/>
          <w:spacing w:val="-5"/>
          <w:sz w:val="15"/>
        </w:rPr>
        <w:t xml:space="preserve"> </w:t>
      </w:r>
      <w:r w:rsidRPr="00EB2BD8">
        <w:rPr>
          <w:rFonts w:ascii="Arial"/>
          <w:i/>
          <w:sz w:val="15"/>
        </w:rPr>
        <w:t>of</w:t>
      </w:r>
      <w:r w:rsidRPr="00EB2BD8">
        <w:rPr>
          <w:rFonts w:ascii="Arial"/>
          <w:i/>
          <w:spacing w:val="-5"/>
          <w:sz w:val="15"/>
        </w:rPr>
        <w:t xml:space="preserve"> </w:t>
      </w:r>
      <w:r w:rsidRPr="00EB2BD8">
        <w:rPr>
          <w:rFonts w:ascii="Arial"/>
          <w:i/>
          <w:sz w:val="15"/>
        </w:rPr>
        <w:t>legal</w:t>
      </w:r>
      <w:r w:rsidRPr="00EB2BD8">
        <w:rPr>
          <w:rFonts w:ascii="Arial"/>
          <w:i/>
          <w:spacing w:val="-4"/>
          <w:sz w:val="15"/>
        </w:rPr>
        <w:t xml:space="preserve"> </w:t>
      </w:r>
      <w:r w:rsidRPr="00EB2BD8">
        <w:rPr>
          <w:rFonts w:ascii="Arial"/>
          <w:i/>
          <w:sz w:val="15"/>
        </w:rPr>
        <w:t>action</w:t>
      </w:r>
      <w:r w:rsidRPr="00EB2BD8">
        <w:rPr>
          <w:rFonts w:ascii="Arial"/>
          <w:i/>
          <w:spacing w:val="-5"/>
          <w:sz w:val="15"/>
        </w:rPr>
        <w:t xml:space="preserve"> </w:t>
      </w:r>
      <w:r w:rsidRPr="00EB2BD8">
        <w:rPr>
          <w:rFonts w:ascii="Arial"/>
          <w:i/>
          <w:sz w:val="15"/>
        </w:rPr>
        <w:t>taken</w:t>
      </w:r>
      <w:r w:rsidRPr="00EB2BD8">
        <w:rPr>
          <w:rFonts w:ascii="Arial"/>
          <w:i/>
          <w:spacing w:val="-5"/>
          <w:sz w:val="15"/>
        </w:rPr>
        <w:t xml:space="preserve"> </w:t>
      </w:r>
      <w:r w:rsidRPr="00EB2BD8">
        <w:rPr>
          <w:rFonts w:ascii="Arial"/>
          <w:i/>
          <w:sz w:val="15"/>
        </w:rPr>
        <w:t>by</w:t>
      </w:r>
      <w:r w:rsidRPr="00EB2BD8">
        <w:rPr>
          <w:rFonts w:ascii="Arial"/>
          <w:i/>
          <w:spacing w:val="-4"/>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VBA against building practitioners in the Magistrates' Court of Victoria and County Court of Victoria. The amount is recognised when the fines are issued (i.e.</w:t>
      </w:r>
      <w:r w:rsidRPr="00EB2BD8">
        <w:rPr>
          <w:rFonts w:ascii="Arial"/>
          <w:i/>
          <w:spacing w:val="40"/>
          <w:sz w:val="15"/>
        </w:rPr>
        <w:t xml:space="preserve"> </w:t>
      </w:r>
      <w:r w:rsidRPr="00EB2BD8">
        <w:rPr>
          <w:rFonts w:ascii="Arial"/>
          <w:i/>
          <w:sz w:val="15"/>
        </w:rPr>
        <w:t>at point in time).</w:t>
      </w:r>
    </w:p>
    <w:p w14:paraId="5D5E7944" w14:textId="77777777" w:rsidR="00084F36" w:rsidRPr="00EB2BD8" w:rsidRDefault="00EB2BD8">
      <w:pPr>
        <w:pStyle w:val="ListParagraph"/>
        <w:numPr>
          <w:ilvl w:val="0"/>
          <w:numId w:val="48"/>
        </w:numPr>
        <w:tabs>
          <w:tab w:val="left" w:pos="1402"/>
        </w:tabs>
        <w:spacing w:before="53"/>
        <w:ind w:left="1402" w:hanging="334"/>
        <w:rPr>
          <w:rFonts w:ascii="Arial"/>
          <w:i/>
          <w:sz w:val="15"/>
        </w:rPr>
      </w:pPr>
      <w:r w:rsidRPr="00EB2BD8">
        <w:rPr>
          <w:rFonts w:ascii="Arial"/>
          <w:i/>
          <w:spacing w:val="-2"/>
          <w:sz w:val="15"/>
        </w:rPr>
        <w:t>Building-owner-builder</w:t>
      </w:r>
      <w:r w:rsidRPr="00EB2BD8">
        <w:rPr>
          <w:rFonts w:ascii="Arial"/>
          <w:i/>
          <w:spacing w:val="15"/>
          <w:sz w:val="15"/>
        </w:rPr>
        <w:t xml:space="preserve"> </w:t>
      </w:r>
      <w:r w:rsidRPr="00EB2BD8">
        <w:rPr>
          <w:rFonts w:ascii="Arial"/>
          <w:i/>
          <w:spacing w:val="-2"/>
          <w:sz w:val="15"/>
        </w:rPr>
        <w:t>certification</w:t>
      </w:r>
      <w:r w:rsidRPr="00EB2BD8">
        <w:rPr>
          <w:rFonts w:ascii="Arial"/>
          <w:i/>
          <w:spacing w:val="16"/>
          <w:sz w:val="15"/>
        </w:rPr>
        <w:t xml:space="preserve"> </w:t>
      </w:r>
      <w:r w:rsidRPr="00EB2BD8">
        <w:rPr>
          <w:rFonts w:ascii="Arial"/>
          <w:i/>
          <w:spacing w:val="-4"/>
          <w:sz w:val="15"/>
        </w:rPr>
        <w:t>fees</w:t>
      </w:r>
    </w:p>
    <w:p w14:paraId="0C5F1859" w14:textId="77777777" w:rsidR="00084F36" w:rsidRPr="00EB2BD8" w:rsidRDefault="00EB2BD8">
      <w:pPr>
        <w:spacing w:before="81"/>
        <w:ind w:left="1404"/>
        <w:rPr>
          <w:rFonts w:ascii="Arial"/>
          <w:i/>
          <w:sz w:val="15"/>
        </w:rPr>
      </w:pPr>
      <w:r w:rsidRPr="00EB2BD8">
        <w:rPr>
          <w:rFonts w:ascii="Arial"/>
          <w:i/>
          <w:sz w:val="15"/>
        </w:rPr>
        <w:t>Owner-builder</w:t>
      </w:r>
      <w:r w:rsidRPr="00EB2BD8">
        <w:rPr>
          <w:rFonts w:ascii="Arial"/>
          <w:i/>
          <w:spacing w:val="-8"/>
          <w:sz w:val="15"/>
        </w:rPr>
        <w:t xml:space="preserve"> </w:t>
      </w:r>
      <w:r w:rsidRPr="00EB2BD8">
        <w:rPr>
          <w:rFonts w:ascii="Arial"/>
          <w:i/>
          <w:sz w:val="15"/>
        </w:rPr>
        <w:t>certification</w:t>
      </w:r>
      <w:r w:rsidRPr="00EB2BD8">
        <w:rPr>
          <w:rFonts w:ascii="Arial"/>
          <w:i/>
          <w:spacing w:val="-8"/>
          <w:sz w:val="15"/>
        </w:rPr>
        <w:t xml:space="preserve"> </w:t>
      </w:r>
      <w:r w:rsidRPr="00EB2BD8">
        <w:rPr>
          <w:rFonts w:ascii="Arial"/>
          <w:i/>
          <w:sz w:val="15"/>
        </w:rPr>
        <w:t>fees</w:t>
      </w:r>
      <w:r w:rsidRPr="00EB2BD8">
        <w:rPr>
          <w:rFonts w:ascii="Arial"/>
          <w:i/>
          <w:spacing w:val="-6"/>
          <w:sz w:val="15"/>
        </w:rPr>
        <w:t xml:space="preserve"> </w:t>
      </w:r>
      <w:r w:rsidRPr="00EB2BD8">
        <w:rPr>
          <w:rFonts w:ascii="Arial"/>
          <w:i/>
          <w:sz w:val="15"/>
        </w:rPr>
        <w:t>received</w:t>
      </w:r>
      <w:r w:rsidRPr="00EB2BD8">
        <w:rPr>
          <w:rFonts w:ascii="Arial"/>
          <w:i/>
          <w:spacing w:val="-8"/>
          <w:sz w:val="15"/>
        </w:rPr>
        <w:t xml:space="preserve"> </w:t>
      </w:r>
      <w:r w:rsidRPr="00EB2BD8">
        <w:rPr>
          <w:rFonts w:ascii="Arial"/>
          <w:i/>
          <w:sz w:val="15"/>
        </w:rPr>
        <w:t>are</w:t>
      </w:r>
      <w:r w:rsidRPr="00EB2BD8">
        <w:rPr>
          <w:rFonts w:ascii="Arial"/>
          <w:i/>
          <w:spacing w:val="-7"/>
          <w:sz w:val="15"/>
        </w:rPr>
        <w:t xml:space="preserve"> </w:t>
      </w:r>
      <w:r w:rsidRPr="00EB2BD8">
        <w:rPr>
          <w:rFonts w:ascii="Arial"/>
          <w:i/>
          <w:sz w:val="15"/>
        </w:rPr>
        <w:t>recognised</w:t>
      </w:r>
      <w:r w:rsidRPr="00EB2BD8">
        <w:rPr>
          <w:rFonts w:ascii="Arial"/>
          <w:i/>
          <w:spacing w:val="-8"/>
          <w:sz w:val="15"/>
        </w:rPr>
        <w:t xml:space="preserve"> </w:t>
      </w:r>
      <w:r w:rsidRPr="00EB2BD8">
        <w:rPr>
          <w:rFonts w:ascii="Arial"/>
          <w:i/>
          <w:sz w:val="15"/>
        </w:rPr>
        <w:t>upon</w:t>
      </w:r>
      <w:r w:rsidRPr="00EB2BD8">
        <w:rPr>
          <w:rFonts w:ascii="Arial"/>
          <w:i/>
          <w:spacing w:val="-7"/>
          <w:sz w:val="15"/>
        </w:rPr>
        <w:t xml:space="preserve"> </w:t>
      </w:r>
      <w:r w:rsidRPr="00EB2BD8">
        <w:rPr>
          <w:rFonts w:ascii="Arial"/>
          <w:i/>
          <w:sz w:val="15"/>
        </w:rPr>
        <w:t>receipt</w:t>
      </w:r>
      <w:r w:rsidRPr="00EB2BD8">
        <w:rPr>
          <w:rFonts w:ascii="Arial"/>
          <w:i/>
          <w:spacing w:val="-8"/>
          <w:sz w:val="15"/>
        </w:rPr>
        <w:t xml:space="preserve"> </w:t>
      </w:r>
      <w:r w:rsidRPr="00EB2BD8">
        <w:rPr>
          <w:rFonts w:ascii="Arial"/>
          <w:i/>
          <w:sz w:val="15"/>
        </w:rPr>
        <w:t>of</w:t>
      </w:r>
      <w:r w:rsidRPr="00EB2BD8">
        <w:rPr>
          <w:rFonts w:ascii="Arial"/>
          <w:i/>
          <w:spacing w:val="-7"/>
          <w:sz w:val="15"/>
        </w:rPr>
        <w:t xml:space="preserve"> </w:t>
      </w:r>
      <w:r w:rsidRPr="00EB2BD8">
        <w:rPr>
          <w:rFonts w:ascii="Arial"/>
          <w:i/>
          <w:sz w:val="15"/>
        </w:rPr>
        <w:t>the</w:t>
      </w:r>
      <w:r w:rsidRPr="00EB2BD8">
        <w:rPr>
          <w:rFonts w:ascii="Arial"/>
          <w:i/>
          <w:spacing w:val="-8"/>
          <w:sz w:val="15"/>
        </w:rPr>
        <w:t xml:space="preserve"> </w:t>
      </w:r>
      <w:r w:rsidRPr="00EB2BD8">
        <w:rPr>
          <w:rFonts w:ascii="Arial"/>
          <w:i/>
          <w:sz w:val="15"/>
        </w:rPr>
        <w:t>application</w:t>
      </w:r>
      <w:r w:rsidRPr="00EB2BD8">
        <w:rPr>
          <w:rFonts w:ascii="Arial"/>
          <w:i/>
          <w:spacing w:val="-7"/>
          <w:sz w:val="15"/>
        </w:rPr>
        <w:t xml:space="preserve"> </w:t>
      </w:r>
      <w:r w:rsidRPr="00EB2BD8">
        <w:rPr>
          <w:rFonts w:ascii="Arial"/>
          <w:i/>
          <w:sz w:val="15"/>
        </w:rPr>
        <w:t>for</w:t>
      </w:r>
      <w:r w:rsidRPr="00EB2BD8">
        <w:rPr>
          <w:rFonts w:ascii="Arial"/>
          <w:i/>
          <w:spacing w:val="-8"/>
          <w:sz w:val="15"/>
        </w:rPr>
        <w:t xml:space="preserve"> </w:t>
      </w:r>
      <w:r w:rsidRPr="00EB2BD8">
        <w:rPr>
          <w:rFonts w:ascii="Arial"/>
          <w:i/>
          <w:sz w:val="15"/>
        </w:rPr>
        <w:t>certification</w:t>
      </w:r>
      <w:r w:rsidRPr="00EB2BD8">
        <w:rPr>
          <w:rFonts w:ascii="Arial"/>
          <w:i/>
          <w:spacing w:val="-7"/>
          <w:sz w:val="15"/>
        </w:rPr>
        <w:t xml:space="preserve"> </w:t>
      </w:r>
      <w:r w:rsidRPr="00EB2BD8">
        <w:rPr>
          <w:rFonts w:ascii="Arial"/>
          <w:i/>
          <w:sz w:val="15"/>
        </w:rPr>
        <w:t>(i.e.</w:t>
      </w:r>
      <w:r w:rsidRPr="00EB2BD8">
        <w:rPr>
          <w:rFonts w:ascii="Arial"/>
          <w:i/>
          <w:spacing w:val="-8"/>
          <w:sz w:val="15"/>
        </w:rPr>
        <w:t xml:space="preserve"> </w:t>
      </w:r>
      <w:r w:rsidRPr="00EB2BD8">
        <w:rPr>
          <w:rFonts w:ascii="Arial"/>
          <w:i/>
          <w:sz w:val="15"/>
        </w:rPr>
        <w:t>at</w:t>
      </w:r>
      <w:r w:rsidRPr="00EB2BD8">
        <w:rPr>
          <w:rFonts w:ascii="Arial"/>
          <w:i/>
          <w:spacing w:val="-7"/>
          <w:sz w:val="15"/>
        </w:rPr>
        <w:t xml:space="preserve"> </w:t>
      </w:r>
      <w:r w:rsidRPr="00EB2BD8">
        <w:rPr>
          <w:rFonts w:ascii="Arial"/>
          <w:i/>
          <w:sz w:val="15"/>
        </w:rPr>
        <w:t>point</w:t>
      </w:r>
      <w:r w:rsidRPr="00EB2BD8">
        <w:rPr>
          <w:rFonts w:ascii="Arial"/>
          <w:i/>
          <w:spacing w:val="-8"/>
          <w:sz w:val="15"/>
        </w:rPr>
        <w:t xml:space="preserve"> </w:t>
      </w:r>
      <w:r w:rsidRPr="00EB2BD8">
        <w:rPr>
          <w:rFonts w:ascii="Arial"/>
          <w:i/>
          <w:sz w:val="15"/>
        </w:rPr>
        <w:t>in</w:t>
      </w:r>
      <w:r w:rsidRPr="00EB2BD8">
        <w:rPr>
          <w:rFonts w:ascii="Arial"/>
          <w:i/>
          <w:spacing w:val="-7"/>
          <w:sz w:val="15"/>
        </w:rPr>
        <w:t xml:space="preserve"> </w:t>
      </w:r>
      <w:r w:rsidRPr="00EB2BD8">
        <w:rPr>
          <w:rFonts w:ascii="Arial"/>
          <w:i/>
          <w:spacing w:val="-2"/>
          <w:sz w:val="15"/>
        </w:rPr>
        <w:t>time).</w:t>
      </w:r>
    </w:p>
    <w:p w14:paraId="3735BE5D" w14:textId="77777777" w:rsidR="00084F36" w:rsidRPr="00EB2BD8" w:rsidRDefault="00EB2BD8">
      <w:pPr>
        <w:pStyle w:val="ListParagraph"/>
        <w:numPr>
          <w:ilvl w:val="0"/>
          <w:numId w:val="48"/>
        </w:numPr>
        <w:tabs>
          <w:tab w:val="left" w:pos="1402"/>
        </w:tabs>
        <w:spacing w:before="81"/>
        <w:ind w:left="1402" w:hanging="334"/>
        <w:rPr>
          <w:rFonts w:ascii="Arial"/>
          <w:i/>
          <w:sz w:val="15"/>
        </w:rPr>
      </w:pPr>
      <w:r w:rsidRPr="00EB2BD8">
        <w:rPr>
          <w:rFonts w:ascii="Arial"/>
          <w:i/>
          <w:sz w:val="15"/>
        </w:rPr>
        <w:t>Building-Modifications</w:t>
      </w:r>
      <w:r w:rsidRPr="00EB2BD8">
        <w:rPr>
          <w:rFonts w:ascii="Arial"/>
          <w:i/>
          <w:spacing w:val="-10"/>
          <w:sz w:val="15"/>
        </w:rPr>
        <w:t xml:space="preserve"> </w:t>
      </w:r>
      <w:r w:rsidRPr="00EB2BD8">
        <w:rPr>
          <w:rFonts w:ascii="Arial"/>
          <w:i/>
          <w:sz w:val="15"/>
        </w:rPr>
        <w:t>and</w:t>
      </w:r>
      <w:r w:rsidRPr="00EB2BD8">
        <w:rPr>
          <w:rFonts w:ascii="Arial"/>
          <w:i/>
          <w:spacing w:val="-10"/>
          <w:sz w:val="15"/>
        </w:rPr>
        <w:t xml:space="preserve"> </w:t>
      </w:r>
      <w:r w:rsidRPr="00EB2BD8">
        <w:rPr>
          <w:rFonts w:ascii="Arial"/>
          <w:i/>
          <w:sz w:val="15"/>
        </w:rPr>
        <w:t>appeals</w:t>
      </w:r>
      <w:r w:rsidRPr="00EB2BD8">
        <w:rPr>
          <w:rFonts w:ascii="Arial"/>
          <w:i/>
          <w:spacing w:val="-9"/>
          <w:sz w:val="15"/>
        </w:rPr>
        <w:t xml:space="preserve"> </w:t>
      </w:r>
      <w:r w:rsidRPr="00EB2BD8">
        <w:rPr>
          <w:rFonts w:ascii="Arial"/>
          <w:i/>
          <w:sz w:val="15"/>
        </w:rPr>
        <w:t>fees</w:t>
      </w:r>
      <w:r w:rsidRPr="00EB2BD8">
        <w:rPr>
          <w:rFonts w:ascii="Arial"/>
          <w:i/>
          <w:spacing w:val="-10"/>
          <w:sz w:val="15"/>
        </w:rPr>
        <w:t xml:space="preserve"> </w:t>
      </w:r>
      <w:r w:rsidRPr="00EB2BD8">
        <w:rPr>
          <w:rFonts w:ascii="Arial"/>
          <w:i/>
          <w:sz w:val="15"/>
        </w:rPr>
        <w:t>(BAB</w:t>
      </w:r>
      <w:r w:rsidRPr="00EB2BD8">
        <w:rPr>
          <w:rFonts w:ascii="Arial"/>
          <w:i/>
          <w:spacing w:val="-9"/>
          <w:sz w:val="15"/>
        </w:rPr>
        <w:t xml:space="preserve"> </w:t>
      </w:r>
      <w:r w:rsidRPr="00EB2BD8">
        <w:rPr>
          <w:rFonts w:ascii="Arial"/>
          <w:i/>
          <w:spacing w:val="-2"/>
          <w:sz w:val="15"/>
        </w:rPr>
        <w:t>services)</w:t>
      </w:r>
    </w:p>
    <w:p w14:paraId="23D4B9D2" w14:textId="77777777" w:rsidR="00084F36" w:rsidRPr="00EB2BD8" w:rsidRDefault="00EB2BD8">
      <w:pPr>
        <w:spacing w:before="81"/>
        <w:ind w:left="1404"/>
        <w:rPr>
          <w:rFonts w:ascii="Arial"/>
          <w:i/>
          <w:sz w:val="15"/>
        </w:rPr>
      </w:pPr>
      <w:r w:rsidRPr="00EB2BD8">
        <w:rPr>
          <w:rFonts w:ascii="Arial"/>
          <w:i/>
          <w:sz w:val="15"/>
        </w:rPr>
        <w:t>Modifications</w:t>
      </w:r>
      <w:r w:rsidRPr="00EB2BD8">
        <w:rPr>
          <w:rFonts w:ascii="Arial"/>
          <w:i/>
          <w:spacing w:val="-6"/>
          <w:sz w:val="15"/>
        </w:rPr>
        <w:t xml:space="preserve"> </w:t>
      </w:r>
      <w:r w:rsidRPr="00EB2BD8">
        <w:rPr>
          <w:rFonts w:ascii="Arial"/>
          <w:i/>
          <w:sz w:val="15"/>
        </w:rPr>
        <w:t>and</w:t>
      </w:r>
      <w:r w:rsidRPr="00EB2BD8">
        <w:rPr>
          <w:rFonts w:ascii="Arial"/>
          <w:i/>
          <w:spacing w:val="-7"/>
          <w:sz w:val="15"/>
        </w:rPr>
        <w:t xml:space="preserve"> </w:t>
      </w:r>
      <w:r w:rsidRPr="00EB2BD8">
        <w:rPr>
          <w:rFonts w:ascii="Arial"/>
          <w:i/>
          <w:sz w:val="15"/>
        </w:rPr>
        <w:t>appeals</w:t>
      </w:r>
      <w:r w:rsidRPr="00EB2BD8">
        <w:rPr>
          <w:rFonts w:ascii="Arial"/>
          <w:i/>
          <w:spacing w:val="-6"/>
          <w:sz w:val="15"/>
        </w:rPr>
        <w:t xml:space="preserve"> </w:t>
      </w:r>
      <w:r w:rsidRPr="00EB2BD8">
        <w:rPr>
          <w:rFonts w:ascii="Arial"/>
          <w:i/>
          <w:sz w:val="15"/>
        </w:rPr>
        <w:t>fees</w:t>
      </w:r>
      <w:r w:rsidRPr="00EB2BD8">
        <w:rPr>
          <w:rFonts w:ascii="Arial"/>
          <w:i/>
          <w:spacing w:val="-6"/>
          <w:sz w:val="15"/>
        </w:rPr>
        <w:t xml:space="preserve"> </w:t>
      </w:r>
      <w:r w:rsidRPr="00EB2BD8">
        <w:rPr>
          <w:rFonts w:ascii="Arial"/>
          <w:i/>
          <w:sz w:val="15"/>
        </w:rPr>
        <w:t>received</w:t>
      </w:r>
      <w:r w:rsidRPr="00EB2BD8">
        <w:rPr>
          <w:rFonts w:ascii="Arial"/>
          <w:i/>
          <w:spacing w:val="-7"/>
          <w:sz w:val="15"/>
        </w:rPr>
        <w:t xml:space="preserve"> </w:t>
      </w:r>
      <w:r w:rsidRPr="00EB2BD8">
        <w:rPr>
          <w:rFonts w:ascii="Arial"/>
          <w:i/>
          <w:sz w:val="15"/>
        </w:rPr>
        <w:t>are</w:t>
      </w:r>
      <w:r w:rsidRPr="00EB2BD8">
        <w:rPr>
          <w:rFonts w:ascii="Arial"/>
          <w:i/>
          <w:spacing w:val="-7"/>
          <w:sz w:val="15"/>
        </w:rPr>
        <w:t xml:space="preserve"> </w:t>
      </w:r>
      <w:r w:rsidRPr="00EB2BD8">
        <w:rPr>
          <w:rFonts w:ascii="Arial"/>
          <w:i/>
          <w:sz w:val="15"/>
        </w:rPr>
        <w:t>recognised</w:t>
      </w:r>
      <w:r w:rsidRPr="00EB2BD8">
        <w:rPr>
          <w:rFonts w:ascii="Arial"/>
          <w:i/>
          <w:spacing w:val="-7"/>
          <w:sz w:val="15"/>
        </w:rPr>
        <w:t xml:space="preserve"> </w:t>
      </w:r>
      <w:r w:rsidRPr="00EB2BD8">
        <w:rPr>
          <w:rFonts w:ascii="Arial"/>
          <w:i/>
          <w:sz w:val="15"/>
        </w:rPr>
        <w:t>as</w:t>
      </w:r>
      <w:r w:rsidRPr="00EB2BD8">
        <w:rPr>
          <w:rFonts w:ascii="Arial"/>
          <w:i/>
          <w:spacing w:val="-6"/>
          <w:sz w:val="15"/>
        </w:rPr>
        <w:t xml:space="preserve"> </w:t>
      </w:r>
      <w:r w:rsidRPr="00EB2BD8">
        <w:rPr>
          <w:rFonts w:ascii="Arial"/>
          <w:i/>
          <w:sz w:val="15"/>
        </w:rPr>
        <w:t>revenue</w:t>
      </w:r>
      <w:r w:rsidRPr="00EB2BD8">
        <w:rPr>
          <w:rFonts w:ascii="Arial"/>
          <w:i/>
          <w:spacing w:val="-7"/>
          <w:sz w:val="15"/>
        </w:rPr>
        <w:t xml:space="preserve"> </w:t>
      </w:r>
      <w:r w:rsidRPr="00EB2BD8">
        <w:rPr>
          <w:rFonts w:ascii="Arial"/>
          <w:i/>
          <w:sz w:val="15"/>
        </w:rPr>
        <w:t>upon</w:t>
      </w:r>
      <w:r w:rsidRPr="00EB2BD8">
        <w:rPr>
          <w:rFonts w:ascii="Arial"/>
          <w:i/>
          <w:spacing w:val="-7"/>
          <w:sz w:val="15"/>
        </w:rPr>
        <w:t xml:space="preserve"> </w:t>
      </w:r>
      <w:r w:rsidRPr="00EB2BD8">
        <w:rPr>
          <w:rFonts w:ascii="Arial"/>
          <w:i/>
          <w:sz w:val="15"/>
        </w:rPr>
        <w:t>receipt</w:t>
      </w:r>
      <w:r w:rsidRPr="00EB2BD8">
        <w:rPr>
          <w:rFonts w:ascii="Arial"/>
          <w:i/>
          <w:spacing w:val="-7"/>
          <w:sz w:val="15"/>
        </w:rPr>
        <w:t xml:space="preserve"> </w:t>
      </w:r>
      <w:r w:rsidRPr="00EB2BD8">
        <w:rPr>
          <w:rFonts w:ascii="Arial"/>
          <w:i/>
          <w:sz w:val="15"/>
        </w:rPr>
        <w:t>(i.e.</w:t>
      </w:r>
      <w:r w:rsidRPr="00EB2BD8">
        <w:rPr>
          <w:rFonts w:ascii="Arial"/>
          <w:i/>
          <w:spacing w:val="-6"/>
          <w:sz w:val="15"/>
        </w:rPr>
        <w:t xml:space="preserve"> </w:t>
      </w:r>
      <w:r w:rsidRPr="00EB2BD8">
        <w:rPr>
          <w:rFonts w:ascii="Arial"/>
          <w:i/>
          <w:sz w:val="15"/>
        </w:rPr>
        <w:t>at</w:t>
      </w:r>
      <w:r w:rsidRPr="00EB2BD8">
        <w:rPr>
          <w:rFonts w:ascii="Arial"/>
          <w:i/>
          <w:spacing w:val="-7"/>
          <w:sz w:val="15"/>
        </w:rPr>
        <w:t xml:space="preserve"> </w:t>
      </w:r>
      <w:r w:rsidRPr="00EB2BD8">
        <w:rPr>
          <w:rFonts w:ascii="Arial"/>
          <w:i/>
          <w:sz w:val="15"/>
        </w:rPr>
        <w:t>point</w:t>
      </w:r>
      <w:r w:rsidRPr="00EB2BD8">
        <w:rPr>
          <w:rFonts w:ascii="Arial"/>
          <w:i/>
          <w:spacing w:val="-7"/>
          <w:sz w:val="15"/>
        </w:rPr>
        <w:t xml:space="preserve"> </w:t>
      </w:r>
      <w:r w:rsidRPr="00EB2BD8">
        <w:rPr>
          <w:rFonts w:ascii="Arial"/>
          <w:i/>
          <w:sz w:val="15"/>
        </w:rPr>
        <w:t>in</w:t>
      </w:r>
      <w:r w:rsidRPr="00EB2BD8">
        <w:rPr>
          <w:rFonts w:ascii="Arial"/>
          <w:i/>
          <w:spacing w:val="-7"/>
          <w:sz w:val="15"/>
        </w:rPr>
        <w:t xml:space="preserve"> </w:t>
      </w:r>
      <w:r w:rsidRPr="00EB2BD8">
        <w:rPr>
          <w:rFonts w:ascii="Arial"/>
          <w:i/>
          <w:spacing w:val="-2"/>
          <w:sz w:val="15"/>
        </w:rPr>
        <w:t>time).</w:t>
      </w:r>
    </w:p>
    <w:p w14:paraId="32E9846F" w14:textId="77777777" w:rsidR="00084F36" w:rsidRPr="00EB2BD8" w:rsidRDefault="00EB2BD8">
      <w:pPr>
        <w:pStyle w:val="ListParagraph"/>
        <w:numPr>
          <w:ilvl w:val="0"/>
          <w:numId w:val="48"/>
        </w:numPr>
        <w:tabs>
          <w:tab w:val="left" w:pos="1402"/>
        </w:tabs>
        <w:spacing w:before="81"/>
        <w:ind w:left="1402" w:hanging="334"/>
        <w:rPr>
          <w:rFonts w:ascii="Arial"/>
          <w:i/>
          <w:sz w:val="15"/>
        </w:rPr>
      </w:pPr>
      <w:r w:rsidRPr="00EB2BD8">
        <w:rPr>
          <w:rFonts w:ascii="Arial"/>
          <w:i/>
          <w:spacing w:val="-2"/>
          <w:sz w:val="15"/>
        </w:rPr>
        <w:t>Building-Prescribed</w:t>
      </w:r>
      <w:r w:rsidRPr="00EB2BD8">
        <w:rPr>
          <w:rFonts w:ascii="Arial"/>
          <w:i/>
          <w:spacing w:val="8"/>
          <w:sz w:val="15"/>
        </w:rPr>
        <w:t xml:space="preserve"> </w:t>
      </w:r>
      <w:r w:rsidRPr="00EB2BD8">
        <w:rPr>
          <w:rFonts w:ascii="Arial"/>
          <w:i/>
          <w:spacing w:val="-2"/>
          <w:sz w:val="15"/>
        </w:rPr>
        <w:t>Professional</w:t>
      </w:r>
      <w:r w:rsidRPr="00EB2BD8">
        <w:rPr>
          <w:rFonts w:ascii="Arial"/>
          <w:i/>
          <w:spacing w:val="10"/>
          <w:sz w:val="15"/>
        </w:rPr>
        <w:t xml:space="preserve"> </w:t>
      </w:r>
      <w:r w:rsidRPr="00EB2BD8">
        <w:rPr>
          <w:rFonts w:ascii="Arial"/>
          <w:i/>
          <w:spacing w:val="-2"/>
          <w:sz w:val="15"/>
        </w:rPr>
        <w:t>Engineers</w:t>
      </w:r>
      <w:r w:rsidRPr="00EB2BD8">
        <w:rPr>
          <w:rFonts w:ascii="Arial"/>
          <w:i/>
          <w:spacing w:val="10"/>
          <w:sz w:val="15"/>
        </w:rPr>
        <w:t xml:space="preserve"> </w:t>
      </w:r>
      <w:r w:rsidRPr="00EB2BD8">
        <w:rPr>
          <w:rFonts w:ascii="Arial"/>
          <w:i/>
          <w:spacing w:val="-2"/>
          <w:sz w:val="15"/>
        </w:rPr>
        <w:t>Registration</w:t>
      </w:r>
      <w:r w:rsidRPr="00EB2BD8">
        <w:rPr>
          <w:rFonts w:ascii="Arial"/>
          <w:i/>
          <w:spacing w:val="9"/>
          <w:sz w:val="15"/>
        </w:rPr>
        <w:t xml:space="preserve"> </w:t>
      </w:r>
      <w:r w:rsidRPr="00EB2BD8">
        <w:rPr>
          <w:rFonts w:ascii="Arial"/>
          <w:i/>
          <w:spacing w:val="-2"/>
          <w:sz w:val="15"/>
        </w:rPr>
        <w:t>Scheme</w:t>
      </w:r>
      <w:r w:rsidRPr="00EB2BD8">
        <w:rPr>
          <w:rFonts w:ascii="Arial"/>
          <w:i/>
          <w:spacing w:val="9"/>
          <w:sz w:val="15"/>
        </w:rPr>
        <w:t xml:space="preserve"> </w:t>
      </w:r>
      <w:r w:rsidRPr="00EB2BD8">
        <w:rPr>
          <w:rFonts w:ascii="Arial"/>
          <w:i/>
          <w:spacing w:val="-2"/>
          <w:sz w:val="15"/>
        </w:rPr>
        <w:t>(PERS)</w:t>
      </w:r>
      <w:r w:rsidRPr="00EB2BD8">
        <w:rPr>
          <w:rFonts w:ascii="Arial"/>
          <w:i/>
          <w:spacing w:val="8"/>
          <w:sz w:val="15"/>
        </w:rPr>
        <w:t xml:space="preserve"> </w:t>
      </w:r>
      <w:r w:rsidRPr="00EB2BD8">
        <w:rPr>
          <w:rFonts w:ascii="Arial"/>
          <w:i/>
          <w:spacing w:val="-2"/>
          <w:sz w:val="15"/>
        </w:rPr>
        <w:t>endorsement</w:t>
      </w:r>
      <w:r w:rsidRPr="00EB2BD8">
        <w:rPr>
          <w:rFonts w:ascii="Arial"/>
          <w:i/>
          <w:spacing w:val="9"/>
          <w:sz w:val="15"/>
        </w:rPr>
        <w:t xml:space="preserve"> </w:t>
      </w:r>
      <w:r w:rsidRPr="00EB2BD8">
        <w:rPr>
          <w:rFonts w:ascii="Arial"/>
          <w:i/>
          <w:spacing w:val="-4"/>
          <w:sz w:val="15"/>
        </w:rPr>
        <w:t>fees</w:t>
      </w:r>
    </w:p>
    <w:p w14:paraId="438A5351" w14:textId="77777777" w:rsidR="00084F36" w:rsidRPr="00EB2BD8" w:rsidRDefault="00EB2BD8">
      <w:pPr>
        <w:spacing w:before="81" w:line="273" w:lineRule="auto"/>
        <w:ind w:left="1404" w:right="1813"/>
        <w:rPr>
          <w:rFonts w:ascii="Arial"/>
          <w:i/>
          <w:sz w:val="15"/>
        </w:rPr>
      </w:pPr>
      <w:r w:rsidRPr="00EB2BD8">
        <w:rPr>
          <w:rFonts w:ascii="Arial"/>
          <w:i/>
          <w:sz w:val="15"/>
        </w:rPr>
        <w:t>Endorsement</w:t>
      </w:r>
      <w:r w:rsidRPr="00EB2BD8">
        <w:rPr>
          <w:rFonts w:ascii="Arial"/>
          <w:i/>
          <w:spacing w:val="-4"/>
          <w:sz w:val="15"/>
        </w:rPr>
        <w:t xml:space="preserve"> </w:t>
      </w:r>
      <w:r w:rsidRPr="00EB2BD8">
        <w:rPr>
          <w:rFonts w:ascii="Arial"/>
          <w:i/>
          <w:sz w:val="15"/>
        </w:rPr>
        <w:t>fees</w:t>
      </w:r>
      <w:r w:rsidRPr="00EB2BD8">
        <w:rPr>
          <w:rFonts w:ascii="Arial"/>
          <w:i/>
          <w:spacing w:val="-3"/>
          <w:sz w:val="15"/>
        </w:rPr>
        <w:t xml:space="preserve"> </w:t>
      </w:r>
      <w:r w:rsidRPr="00EB2BD8">
        <w:rPr>
          <w:rFonts w:ascii="Arial"/>
          <w:i/>
          <w:sz w:val="15"/>
        </w:rPr>
        <w:t>Prescribed</w:t>
      </w:r>
      <w:r w:rsidRPr="00EB2BD8">
        <w:rPr>
          <w:rFonts w:ascii="Arial"/>
          <w:i/>
          <w:spacing w:val="-4"/>
          <w:sz w:val="15"/>
        </w:rPr>
        <w:t xml:space="preserve"> </w:t>
      </w:r>
      <w:r w:rsidRPr="00EB2BD8">
        <w:rPr>
          <w:rFonts w:ascii="Arial"/>
          <w:i/>
          <w:sz w:val="15"/>
        </w:rPr>
        <w:t>PERS</w:t>
      </w:r>
      <w:r w:rsidRPr="00EB2BD8">
        <w:rPr>
          <w:rFonts w:ascii="Arial"/>
          <w:i/>
          <w:spacing w:val="-3"/>
          <w:sz w:val="15"/>
        </w:rPr>
        <w:t xml:space="preserve"> </w:t>
      </w:r>
      <w:r w:rsidRPr="00EB2BD8">
        <w:rPr>
          <w:rFonts w:ascii="Arial"/>
          <w:i/>
          <w:sz w:val="15"/>
        </w:rPr>
        <w:t>endorsement</w:t>
      </w:r>
      <w:r w:rsidRPr="00EB2BD8">
        <w:rPr>
          <w:rFonts w:ascii="Arial"/>
          <w:i/>
          <w:spacing w:val="-3"/>
          <w:sz w:val="15"/>
        </w:rPr>
        <w:t xml:space="preserve"> </w:t>
      </w:r>
      <w:r w:rsidRPr="00EB2BD8">
        <w:rPr>
          <w:rFonts w:ascii="Arial"/>
          <w:i/>
          <w:sz w:val="15"/>
        </w:rPr>
        <w:t>fees</w:t>
      </w:r>
      <w:r w:rsidRPr="00EB2BD8">
        <w:rPr>
          <w:rFonts w:ascii="Arial"/>
          <w:i/>
          <w:spacing w:val="-3"/>
          <w:sz w:val="15"/>
        </w:rPr>
        <w:t xml:space="preserve"> </w:t>
      </w:r>
      <w:r w:rsidRPr="00EB2BD8">
        <w:rPr>
          <w:rFonts w:ascii="Arial"/>
          <w:i/>
          <w:sz w:val="15"/>
        </w:rPr>
        <w:t>received</w:t>
      </w:r>
      <w:r w:rsidRPr="00EB2BD8">
        <w:rPr>
          <w:rFonts w:ascii="Arial"/>
          <w:i/>
          <w:spacing w:val="-4"/>
          <w:sz w:val="15"/>
        </w:rPr>
        <w:t xml:space="preserve"> </w:t>
      </w:r>
      <w:r w:rsidRPr="00EB2BD8">
        <w:rPr>
          <w:rFonts w:ascii="Arial"/>
          <w:i/>
          <w:sz w:val="15"/>
        </w:rPr>
        <w:t>are</w:t>
      </w:r>
      <w:r w:rsidRPr="00EB2BD8">
        <w:rPr>
          <w:rFonts w:ascii="Arial"/>
          <w:i/>
          <w:spacing w:val="-4"/>
          <w:sz w:val="15"/>
        </w:rPr>
        <w:t xml:space="preserve"> </w:t>
      </w:r>
      <w:r w:rsidRPr="00EB2BD8">
        <w:rPr>
          <w:rFonts w:ascii="Arial"/>
          <w:i/>
          <w:sz w:val="15"/>
        </w:rPr>
        <w:t>recognised</w:t>
      </w:r>
      <w:r w:rsidRPr="00EB2BD8">
        <w:rPr>
          <w:rFonts w:ascii="Arial"/>
          <w:i/>
          <w:spacing w:val="-4"/>
          <w:sz w:val="15"/>
        </w:rPr>
        <w:t xml:space="preserve"> </w:t>
      </w:r>
      <w:r w:rsidRPr="00EB2BD8">
        <w:rPr>
          <w:rFonts w:ascii="Arial"/>
          <w:i/>
          <w:sz w:val="15"/>
        </w:rPr>
        <w:t>as</w:t>
      </w:r>
      <w:r w:rsidRPr="00EB2BD8">
        <w:rPr>
          <w:rFonts w:ascii="Arial"/>
          <w:i/>
          <w:spacing w:val="-3"/>
          <w:sz w:val="15"/>
        </w:rPr>
        <w:t xml:space="preserve"> </w:t>
      </w:r>
      <w:r w:rsidRPr="00EB2BD8">
        <w:rPr>
          <w:rFonts w:ascii="Arial"/>
          <w:i/>
          <w:sz w:val="15"/>
        </w:rPr>
        <w:t>revenue</w:t>
      </w:r>
      <w:r w:rsidRPr="00EB2BD8">
        <w:rPr>
          <w:rFonts w:ascii="Arial"/>
          <w:i/>
          <w:spacing w:val="-4"/>
          <w:sz w:val="15"/>
        </w:rPr>
        <w:t xml:space="preserve"> </w:t>
      </w:r>
      <w:r w:rsidRPr="00EB2BD8">
        <w:rPr>
          <w:rFonts w:ascii="Arial"/>
          <w:i/>
          <w:sz w:val="15"/>
        </w:rPr>
        <w:t>upon</w:t>
      </w:r>
      <w:r w:rsidRPr="00EB2BD8">
        <w:rPr>
          <w:rFonts w:ascii="Arial"/>
          <w:i/>
          <w:spacing w:val="-3"/>
          <w:sz w:val="15"/>
        </w:rPr>
        <w:t xml:space="preserve"> </w:t>
      </w:r>
      <w:r w:rsidRPr="00EB2BD8">
        <w:rPr>
          <w:rFonts w:ascii="Arial"/>
          <w:i/>
          <w:sz w:val="15"/>
        </w:rPr>
        <w:t>receipt</w:t>
      </w:r>
      <w:r w:rsidRPr="00EB2BD8">
        <w:rPr>
          <w:rFonts w:ascii="Arial"/>
          <w:i/>
          <w:spacing w:val="-4"/>
          <w:sz w:val="15"/>
        </w:rPr>
        <w:t xml:space="preserve"> </w:t>
      </w:r>
      <w:r w:rsidRPr="00EB2BD8">
        <w:rPr>
          <w:rFonts w:ascii="Arial"/>
          <w:i/>
          <w:sz w:val="15"/>
        </w:rPr>
        <w:t>of</w:t>
      </w:r>
      <w:r w:rsidRPr="00EB2BD8">
        <w:rPr>
          <w:rFonts w:ascii="Arial"/>
          <w:i/>
          <w:spacing w:val="-4"/>
          <w:sz w:val="15"/>
        </w:rPr>
        <w:t xml:space="preserve"> </w:t>
      </w:r>
      <w:r w:rsidRPr="00EB2BD8">
        <w:rPr>
          <w:rFonts w:ascii="Arial"/>
          <w:i/>
          <w:sz w:val="15"/>
        </w:rPr>
        <w:t>the</w:t>
      </w:r>
      <w:r w:rsidRPr="00EB2BD8">
        <w:rPr>
          <w:rFonts w:ascii="Arial"/>
          <w:i/>
          <w:spacing w:val="-4"/>
          <w:sz w:val="15"/>
        </w:rPr>
        <w:t xml:space="preserve"> </w:t>
      </w:r>
      <w:r w:rsidRPr="00EB2BD8">
        <w:rPr>
          <w:rFonts w:ascii="Arial"/>
          <w:i/>
          <w:sz w:val="15"/>
        </w:rPr>
        <w:t>endorsement</w:t>
      </w:r>
      <w:r w:rsidRPr="00EB2BD8">
        <w:rPr>
          <w:rFonts w:ascii="Arial"/>
          <w:i/>
          <w:spacing w:val="-4"/>
          <w:sz w:val="15"/>
        </w:rPr>
        <w:t xml:space="preserve"> </w:t>
      </w:r>
      <w:r w:rsidRPr="00EB2BD8">
        <w:rPr>
          <w:rFonts w:ascii="Arial"/>
          <w:i/>
          <w:sz w:val="15"/>
        </w:rPr>
        <w:t>on</w:t>
      </w:r>
      <w:r w:rsidRPr="00EB2BD8">
        <w:rPr>
          <w:rFonts w:ascii="Arial"/>
          <w:i/>
          <w:spacing w:val="-4"/>
          <w:sz w:val="15"/>
        </w:rPr>
        <w:t xml:space="preserve"> </w:t>
      </w:r>
      <w:r w:rsidRPr="00EB2BD8">
        <w:rPr>
          <w:rFonts w:ascii="Arial"/>
          <w:i/>
          <w:sz w:val="15"/>
        </w:rPr>
        <w:t>its application for registration, renewal and annual registration (i.e. point in time). The fees were introduced under the Professional Engineers</w:t>
      </w:r>
      <w:r w:rsidRPr="00EB2BD8">
        <w:rPr>
          <w:rFonts w:ascii="Arial"/>
          <w:i/>
          <w:spacing w:val="-4"/>
          <w:sz w:val="15"/>
        </w:rPr>
        <w:t xml:space="preserve"> </w:t>
      </w:r>
      <w:r w:rsidRPr="00EB2BD8">
        <w:rPr>
          <w:rFonts w:ascii="Arial"/>
          <w:i/>
          <w:sz w:val="15"/>
        </w:rPr>
        <w:t>Registration</w:t>
      </w:r>
      <w:r w:rsidRPr="00EB2BD8">
        <w:rPr>
          <w:rFonts w:ascii="Arial"/>
          <w:i/>
          <w:spacing w:val="-5"/>
          <w:sz w:val="15"/>
        </w:rPr>
        <w:t xml:space="preserve"> </w:t>
      </w:r>
      <w:r w:rsidRPr="00EB2BD8">
        <w:rPr>
          <w:rFonts w:ascii="Arial"/>
          <w:i/>
          <w:sz w:val="15"/>
        </w:rPr>
        <w:t>Act</w:t>
      </w:r>
      <w:r w:rsidRPr="00EB2BD8">
        <w:rPr>
          <w:rFonts w:ascii="Arial"/>
          <w:i/>
          <w:spacing w:val="-5"/>
          <w:sz w:val="15"/>
        </w:rPr>
        <w:t xml:space="preserve"> </w:t>
      </w:r>
      <w:r w:rsidRPr="00EB2BD8">
        <w:rPr>
          <w:rFonts w:ascii="Arial"/>
          <w:i/>
          <w:sz w:val="15"/>
        </w:rPr>
        <w:t>2019</w:t>
      </w:r>
      <w:r w:rsidRPr="00EB2BD8">
        <w:rPr>
          <w:rFonts w:ascii="Arial"/>
          <w:i/>
          <w:spacing w:val="-5"/>
          <w:sz w:val="15"/>
        </w:rPr>
        <w:t xml:space="preserve"> </w:t>
      </w:r>
      <w:r w:rsidRPr="00EB2BD8">
        <w:rPr>
          <w:rFonts w:ascii="Arial"/>
          <w:i/>
          <w:sz w:val="15"/>
        </w:rPr>
        <w:t>and</w:t>
      </w:r>
      <w:r w:rsidRPr="00EB2BD8">
        <w:rPr>
          <w:rFonts w:ascii="Arial"/>
          <w:i/>
          <w:spacing w:val="-5"/>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Professional</w:t>
      </w:r>
      <w:r w:rsidRPr="00EB2BD8">
        <w:rPr>
          <w:rFonts w:ascii="Arial"/>
          <w:i/>
          <w:spacing w:val="-4"/>
          <w:sz w:val="15"/>
        </w:rPr>
        <w:t xml:space="preserve"> </w:t>
      </w:r>
      <w:r w:rsidRPr="00EB2BD8">
        <w:rPr>
          <w:rFonts w:ascii="Arial"/>
          <w:i/>
          <w:sz w:val="15"/>
        </w:rPr>
        <w:t>Engineers</w:t>
      </w:r>
      <w:r w:rsidRPr="00EB2BD8">
        <w:rPr>
          <w:rFonts w:ascii="Arial"/>
          <w:i/>
          <w:spacing w:val="-4"/>
          <w:sz w:val="15"/>
        </w:rPr>
        <w:t xml:space="preserve"> </w:t>
      </w:r>
      <w:r w:rsidRPr="00EB2BD8">
        <w:rPr>
          <w:rFonts w:ascii="Arial"/>
          <w:i/>
          <w:sz w:val="15"/>
        </w:rPr>
        <w:t>Registration</w:t>
      </w:r>
      <w:r w:rsidRPr="00EB2BD8">
        <w:rPr>
          <w:rFonts w:ascii="Arial"/>
          <w:i/>
          <w:spacing w:val="-5"/>
          <w:sz w:val="15"/>
        </w:rPr>
        <w:t xml:space="preserve"> </w:t>
      </w:r>
      <w:r w:rsidRPr="00EB2BD8">
        <w:rPr>
          <w:rFonts w:ascii="Arial"/>
          <w:i/>
          <w:sz w:val="15"/>
        </w:rPr>
        <w:t>(Fees)</w:t>
      </w:r>
      <w:r w:rsidRPr="00EB2BD8">
        <w:rPr>
          <w:rFonts w:ascii="Arial"/>
          <w:i/>
          <w:spacing w:val="-4"/>
          <w:sz w:val="15"/>
        </w:rPr>
        <w:t xml:space="preserve"> </w:t>
      </w:r>
      <w:r w:rsidRPr="00EB2BD8">
        <w:rPr>
          <w:rFonts w:ascii="Arial"/>
          <w:i/>
          <w:sz w:val="15"/>
        </w:rPr>
        <w:t>Regulations</w:t>
      </w:r>
      <w:r w:rsidRPr="00EB2BD8">
        <w:rPr>
          <w:rFonts w:ascii="Arial"/>
          <w:i/>
          <w:spacing w:val="-4"/>
          <w:sz w:val="15"/>
        </w:rPr>
        <w:t xml:space="preserve"> </w:t>
      </w:r>
      <w:r w:rsidRPr="00EB2BD8">
        <w:rPr>
          <w:rFonts w:ascii="Arial"/>
          <w:i/>
          <w:sz w:val="15"/>
        </w:rPr>
        <w:t>2021,</w:t>
      </w:r>
      <w:r w:rsidRPr="00EB2BD8">
        <w:rPr>
          <w:rFonts w:ascii="Arial"/>
          <w:i/>
          <w:spacing w:val="-5"/>
          <w:sz w:val="15"/>
        </w:rPr>
        <w:t xml:space="preserve"> </w:t>
      </w:r>
      <w:r w:rsidRPr="00EB2BD8">
        <w:rPr>
          <w:rFonts w:ascii="Arial"/>
          <w:i/>
          <w:sz w:val="15"/>
        </w:rPr>
        <w:t>came</w:t>
      </w:r>
      <w:r w:rsidRPr="00EB2BD8">
        <w:rPr>
          <w:rFonts w:ascii="Arial"/>
          <w:i/>
          <w:spacing w:val="-5"/>
          <w:sz w:val="15"/>
        </w:rPr>
        <w:t xml:space="preserve"> </w:t>
      </w:r>
      <w:r w:rsidRPr="00EB2BD8">
        <w:rPr>
          <w:rFonts w:ascii="Arial"/>
          <w:i/>
          <w:sz w:val="15"/>
        </w:rPr>
        <w:t>into</w:t>
      </w:r>
      <w:r w:rsidRPr="00EB2BD8">
        <w:rPr>
          <w:rFonts w:ascii="Arial"/>
          <w:i/>
          <w:spacing w:val="-5"/>
          <w:sz w:val="15"/>
        </w:rPr>
        <w:t xml:space="preserve"> </w:t>
      </w:r>
      <w:r w:rsidRPr="00EB2BD8">
        <w:rPr>
          <w:rFonts w:ascii="Arial"/>
          <w:i/>
          <w:sz w:val="15"/>
        </w:rPr>
        <w:t>effect</w:t>
      </w:r>
      <w:r w:rsidRPr="00EB2BD8">
        <w:rPr>
          <w:rFonts w:ascii="Arial"/>
          <w:i/>
          <w:spacing w:val="-5"/>
          <w:sz w:val="15"/>
        </w:rPr>
        <w:t xml:space="preserve"> </w:t>
      </w:r>
      <w:r w:rsidRPr="00EB2BD8">
        <w:rPr>
          <w:rFonts w:ascii="Arial"/>
          <w:i/>
          <w:sz w:val="15"/>
        </w:rPr>
        <w:t>from</w:t>
      </w:r>
      <w:r w:rsidRPr="00EB2BD8">
        <w:rPr>
          <w:rFonts w:ascii="Arial"/>
          <w:i/>
          <w:spacing w:val="-5"/>
          <w:sz w:val="15"/>
        </w:rPr>
        <w:t xml:space="preserve"> </w:t>
      </w:r>
      <w:r w:rsidRPr="00EB2BD8">
        <w:rPr>
          <w:rFonts w:ascii="Arial"/>
          <w:i/>
          <w:sz w:val="15"/>
        </w:rPr>
        <w:t>1</w:t>
      </w:r>
      <w:r w:rsidRPr="00EB2BD8">
        <w:rPr>
          <w:rFonts w:ascii="Arial"/>
          <w:i/>
          <w:spacing w:val="-5"/>
          <w:sz w:val="15"/>
        </w:rPr>
        <w:t xml:space="preserve"> </w:t>
      </w:r>
      <w:r w:rsidRPr="00EB2BD8">
        <w:rPr>
          <w:rFonts w:ascii="Arial"/>
          <w:i/>
          <w:sz w:val="15"/>
        </w:rPr>
        <w:t>July 2021. The PERS led by the Building Licensing Authority (BLA) and supported by the CAV and the VBA.</w:t>
      </w:r>
    </w:p>
    <w:p w14:paraId="2CAB1EB9" w14:textId="77777777" w:rsidR="00084F36" w:rsidRPr="00EB2BD8" w:rsidRDefault="00EB2BD8">
      <w:pPr>
        <w:pStyle w:val="ListParagraph"/>
        <w:numPr>
          <w:ilvl w:val="0"/>
          <w:numId w:val="48"/>
        </w:numPr>
        <w:tabs>
          <w:tab w:val="left" w:pos="1404"/>
        </w:tabs>
        <w:spacing w:before="59"/>
        <w:ind w:left="1404" w:hanging="336"/>
        <w:rPr>
          <w:rFonts w:ascii="Arial"/>
          <w:i/>
          <w:sz w:val="15"/>
        </w:rPr>
      </w:pPr>
      <w:r w:rsidRPr="00EB2BD8">
        <w:rPr>
          <w:rFonts w:ascii="Arial"/>
          <w:i/>
          <w:spacing w:val="-2"/>
          <w:sz w:val="15"/>
        </w:rPr>
        <w:t>Plumbing-compliance</w:t>
      </w:r>
      <w:r w:rsidRPr="00EB2BD8">
        <w:rPr>
          <w:rFonts w:ascii="Arial"/>
          <w:i/>
          <w:spacing w:val="15"/>
          <w:sz w:val="15"/>
        </w:rPr>
        <w:t xml:space="preserve"> </w:t>
      </w:r>
      <w:r w:rsidRPr="00EB2BD8">
        <w:rPr>
          <w:rFonts w:ascii="Arial"/>
          <w:i/>
          <w:spacing w:val="-2"/>
          <w:sz w:val="15"/>
        </w:rPr>
        <w:t>certificates</w:t>
      </w:r>
      <w:r w:rsidRPr="00EB2BD8">
        <w:rPr>
          <w:rFonts w:ascii="Arial"/>
          <w:i/>
          <w:spacing w:val="15"/>
          <w:sz w:val="15"/>
        </w:rPr>
        <w:t xml:space="preserve"> </w:t>
      </w:r>
      <w:r w:rsidRPr="00EB2BD8">
        <w:rPr>
          <w:rFonts w:ascii="Arial"/>
          <w:i/>
          <w:spacing w:val="-4"/>
          <w:sz w:val="15"/>
        </w:rPr>
        <w:t>fees</w:t>
      </w:r>
    </w:p>
    <w:p w14:paraId="3BC65FF2" w14:textId="77777777" w:rsidR="00084F36" w:rsidRPr="00EB2BD8" w:rsidRDefault="00EB2BD8">
      <w:pPr>
        <w:spacing w:before="80" w:line="273" w:lineRule="auto"/>
        <w:ind w:left="1404" w:right="1813"/>
        <w:rPr>
          <w:rFonts w:ascii="Arial"/>
          <w:i/>
          <w:sz w:val="15"/>
        </w:rPr>
      </w:pPr>
      <w:r w:rsidRPr="00EB2BD8">
        <w:rPr>
          <w:rFonts w:ascii="Arial"/>
          <w:i/>
          <w:sz w:val="15"/>
        </w:rPr>
        <w:t>Compliance</w:t>
      </w:r>
      <w:r w:rsidRPr="00EB2BD8">
        <w:rPr>
          <w:rFonts w:ascii="Arial"/>
          <w:i/>
          <w:spacing w:val="-5"/>
          <w:sz w:val="15"/>
        </w:rPr>
        <w:t xml:space="preserve"> </w:t>
      </w:r>
      <w:r w:rsidRPr="00EB2BD8">
        <w:rPr>
          <w:rFonts w:ascii="Arial"/>
          <w:i/>
          <w:sz w:val="15"/>
        </w:rPr>
        <w:t>certificates</w:t>
      </w:r>
      <w:r w:rsidRPr="00EB2BD8">
        <w:rPr>
          <w:rFonts w:ascii="Arial"/>
          <w:i/>
          <w:spacing w:val="-4"/>
          <w:sz w:val="15"/>
        </w:rPr>
        <w:t xml:space="preserve"> </w:t>
      </w:r>
      <w:r w:rsidRPr="00EB2BD8">
        <w:rPr>
          <w:rFonts w:ascii="Arial"/>
          <w:i/>
          <w:sz w:val="15"/>
        </w:rPr>
        <w:t>fees</w:t>
      </w:r>
      <w:r w:rsidRPr="00EB2BD8">
        <w:rPr>
          <w:rFonts w:ascii="Arial"/>
          <w:i/>
          <w:spacing w:val="-4"/>
          <w:sz w:val="15"/>
        </w:rPr>
        <w:t xml:space="preserve"> </w:t>
      </w:r>
      <w:r w:rsidRPr="00EB2BD8">
        <w:rPr>
          <w:rFonts w:ascii="Arial"/>
          <w:i/>
          <w:sz w:val="15"/>
        </w:rPr>
        <w:t>received</w:t>
      </w:r>
      <w:r w:rsidRPr="00EB2BD8">
        <w:rPr>
          <w:rFonts w:ascii="Arial"/>
          <w:i/>
          <w:spacing w:val="-5"/>
          <w:sz w:val="15"/>
        </w:rPr>
        <w:t xml:space="preserve"> </w:t>
      </w:r>
      <w:r w:rsidRPr="00EB2BD8">
        <w:rPr>
          <w:rFonts w:ascii="Arial"/>
          <w:i/>
          <w:sz w:val="15"/>
        </w:rPr>
        <w:t>are</w:t>
      </w:r>
      <w:r w:rsidRPr="00EB2BD8">
        <w:rPr>
          <w:rFonts w:ascii="Arial"/>
          <w:i/>
          <w:spacing w:val="-5"/>
          <w:sz w:val="15"/>
        </w:rPr>
        <w:t xml:space="preserve"> </w:t>
      </w:r>
      <w:r w:rsidRPr="00EB2BD8">
        <w:rPr>
          <w:rFonts w:ascii="Arial"/>
          <w:i/>
          <w:sz w:val="15"/>
        </w:rPr>
        <w:t>recognised</w:t>
      </w:r>
      <w:r w:rsidRPr="00EB2BD8">
        <w:rPr>
          <w:rFonts w:ascii="Arial"/>
          <w:i/>
          <w:spacing w:val="-5"/>
          <w:sz w:val="15"/>
        </w:rPr>
        <w:t xml:space="preserve"> </w:t>
      </w:r>
      <w:r w:rsidRPr="00EB2BD8">
        <w:rPr>
          <w:rFonts w:ascii="Arial"/>
          <w:i/>
          <w:sz w:val="15"/>
        </w:rPr>
        <w:t>upon</w:t>
      </w:r>
      <w:r w:rsidRPr="00EB2BD8">
        <w:rPr>
          <w:rFonts w:ascii="Arial"/>
          <w:i/>
          <w:spacing w:val="-5"/>
          <w:sz w:val="15"/>
        </w:rPr>
        <w:t xml:space="preserve"> </w:t>
      </w:r>
      <w:r w:rsidRPr="00EB2BD8">
        <w:rPr>
          <w:rFonts w:ascii="Arial"/>
          <w:i/>
          <w:sz w:val="15"/>
        </w:rPr>
        <w:t>receipt</w:t>
      </w:r>
      <w:r w:rsidRPr="00EB2BD8">
        <w:rPr>
          <w:rFonts w:ascii="Arial"/>
          <w:i/>
          <w:spacing w:val="-5"/>
          <w:sz w:val="15"/>
        </w:rPr>
        <w:t xml:space="preserve"> </w:t>
      </w:r>
      <w:r w:rsidRPr="00EB2BD8">
        <w:rPr>
          <w:rFonts w:ascii="Arial"/>
          <w:i/>
          <w:sz w:val="15"/>
        </w:rPr>
        <w:t>of</w:t>
      </w:r>
      <w:r w:rsidRPr="00EB2BD8">
        <w:rPr>
          <w:rFonts w:ascii="Arial"/>
          <w:i/>
          <w:spacing w:val="-5"/>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payment</w:t>
      </w:r>
      <w:r w:rsidRPr="00EB2BD8">
        <w:rPr>
          <w:rFonts w:ascii="Arial"/>
          <w:i/>
          <w:spacing w:val="-5"/>
          <w:sz w:val="15"/>
        </w:rPr>
        <w:t xml:space="preserve"> </w:t>
      </w:r>
      <w:r w:rsidRPr="00EB2BD8">
        <w:rPr>
          <w:rFonts w:ascii="Arial"/>
          <w:i/>
          <w:sz w:val="15"/>
        </w:rPr>
        <w:t>for</w:t>
      </w:r>
      <w:r w:rsidRPr="00EB2BD8">
        <w:rPr>
          <w:rFonts w:ascii="Arial"/>
          <w:i/>
          <w:spacing w:val="-5"/>
          <w:sz w:val="15"/>
        </w:rPr>
        <w:t xml:space="preserve"> </w:t>
      </w:r>
      <w:r w:rsidRPr="00EB2BD8">
        <w:rPr>
          <w:rFonts w:ascii="Arial"/>
          <w:i/>
          <w:sz w:val="15"/>
        </w:rPr>
        <w:t>purchases</w:t>
      </w:r>
      <w:r w:rsidRPr="00EB2BD8">
        <w:rPr>
          <w:rFonts w:ascii="Arial"/>
          <w:i/>
          <w:spacing w:val="-4"/>
          <w:sz w:val="15"/>
        </w:rPr>
        <w:t xml:space="preserve"> </w:t>
      </w:r>
      <w:r w:rsidRPr="00EB2BD8">
        <w:rPr>
          <w:rFonts w:ascii="Arial"/>
          <w:i/>
          <w:sz w:val="15"/>
        </w:rPr>
        <w:t>of</w:t>
      </w:r>
      <w:r w:rsidRPr="00EB2BD8">
        <w:rPr>
          <w:rFonts w:ascii="Arial"/>
          <w:i/>
          <w:spacing w:val="-5"/>
          <w:sz w:val="15"/>
        </w:rPr>
        <w:t xml:space="preserve"> </w:t>
      </w:r>
      <w:r w:rsidRPr="00EB2BD8">
        <w:rPr>
          <w:rFonts w:ascii="Arial"/>
          <w:i/>
          <w:sz w:val="15"/>
        </w:rPr>
        <w:t>compliance</w:t>
      </w:r>
      <w:r w:rsidRPr="00EB2BD8">
        <w:rPr>
          <w:rFonts w:ascii="Arial"/>
          <w:i/>
          <w:spacing w:val="-5"/>
          <w:sz w:val="15"/>
        </w:rPr>
        <w:t xml:space="preserve"> </w:t>
      </w:r>
      <w:r w:rsidRPr="00EB2BD8">
        <w:rPr>
          <w:rFonts w:ascii="Arial"/>
          <w:i/>
          <w:sz w:val="15"/>
        </w:rPr>
        <w:t>certificates</w:t>
      </w:r>
      <w:r w:rsidRPr="00EB2BD8">
        <w:rPr>
          <w:rFonts w:ascii="Arial"/>
          <w:i/>
          <w:spacing w:val="-4"/>
          <w:sz w:val="15"/>
        </w:rPr>
        <w:t xml:space="preserve"> </w:t>
      </w:r>
      <w:r w:rsidRPr="00EB2BD8">
        <w:rPr>
          <w:rFonts w:ascii="Arial"/>
          <w:i/>
          <w:sz w:val="15"/>
        </w:rPr>
        <w:t>(i.e.</w:t>
      </w:r>
      <w:r w:rsidRPr="00EB2BD8">
        <w:rPr>
          <w:rFonts w:ascii="Arial"/>
          <w:i/>
          <w:spacing w:val="31"/>
          <w:sz w:val="15"/>
        </w:rPr>
        <w:t xml:space="preserve"> </w:t>
      </w:r>
      <w:r w:rsidRPr="00EB2BD8">
        <w:rPr>
          <w:rFonts w:ascii="Arial"/>
          <w:i/>
          <w:sz w:val="15"/>
        </w:rPr>
        <w:t>at point in time).</w:t>
      </w:r>
    </w:p>
    <w:p w14:paraId="445B9E5B" w14:textId="77777777" w:rsidR="00084F36" w:rsidRPr="00EB2BD8" w:rsidRDefault="00EB2BD8">
      <w:pPr>
        <w:pStyle w:val="ListParagraph"/>
        <w:numPr>
          <w:ilvl w:val="0"/>
          <w:numId w:val="48"/>
        </w:numPr>
        <w:tabs>
          <w:tab w:val="left" w:pos="1404"/>
        </w:tabs>
        <w:spacing w:before="58"/>
        <w:ind w:left="1404" w:hanging="336"/>
        <w:rPr>
          <w:rFonts w:ascii="Arial"/>
          <w:i/>
          <w:sz w:val="15"/>
        </w:rPr>
      </w:pPr>
      <w:r w:rsidRPr="00EB2BD8">
        <w:rPr>
          <w:rFonts w:ascii="Arial"/>
          <w:i/>
          <w:spacing w:val="-2"/>
          <w:sz w:val="15"/>
        </w:rPr>
        <w:t>Plumbing-registration</w:t>
      </w:r>
      <w:r w:rsidRPr="00EB2BD8">
        <w:rPr>
          <w:rFonts w:ascii="Arial"/>
          <w:i/>
          <w:spacing w:val="8"/>
          <w:sz w:val="15"/>
        </w:rPr>
        <w:t xml:space="preserve"> </w:t>
      </w:r>
      <w:r w:rsidRPr="00EB2BD8">
        <w:rPr>
          <w:rFonts w:ascii="Arial"/>
          <w:i/>
          <w:spacing w:val="-2"/>
          <w:sz w:val="15"/>
        </w:rPr>
        <w:t>and</w:t>
      </w:r>
      <w:r w:rsidRPr="00EB2BD8">
        <w:rPr>
          <w:rFonts w:ascii="Arial"/>
          <w:i/>
          <w:spacing w:val="9"/>
          <w:sz w:val="15"/>
        </w:rPr>
        <w:t xml:space="preserve"> </w:t>
      </w:r>
      <w:r w:rsidRPr="00EB2BD8">
        <w:rPr>
          <w:rFonts w:ascii="Arial"/>
          <w:i/>
          <w:spacing w:val="-2"/>
          <w:sz w:val="15"/>
        </w:rPr>
        <w:t>licence</w:t>
      </w:r>
      <w:r w:rsidRPr="00EB2BD8">
        <w:rPr>
          <w:rFonts w:ascii="Arial"/>
          <w:i/>
          <w:spacing w:val="8"/>
          <w:sz w:val="15"/>
        </w:rPr>
        <w:t xml:space="preserve"> </w:t>
      </w:r>
      <w:r w:rsidRPr="00EB2BD8">
        <w:rPr>
          <w:rFonts w:ascii="Arial"/>
          <w:i/>
          <w:spacing w:val="-4"/>
          <w:sz w:val="15"/>
        </w:rPr>
        <w:t>fees</w:t>
      </w:r>
    </w:p>
    <w:p w14:paraId="09D6E1ED" w14:textId="77777777" w:rsidR="00084F36" w:rsidRPr="00EB2BD8" w:rsidRDefault="00EB2BD8">
      <w:pPr>
        <w:spacing w:before="81" w:line="273" w:lineRule="auto"/>
        <w:ind w:left="1404" w:right="1761"/>
        <w:rPr>
          <w:rFonts w:ascii="Arial"/>
          <w:i/>
          <w:sz w:val="15"/>
        </w:rPr>
      </w:pPr>
      <w:r w:rsidRPr="00EB2BD8">
        <w:rPr>
          <w:rFonts w:ascii="Arial"/>
          <w:i/>
          <w:sz w:val="15"/>
        </w:rPr>
        <w:t>Plumbing</w:t>
      </w:r>
      <w:r w:rsidRPr="00EB2BD8">
        <w:rPr>
          <w:rFonts w:ascii="Arial"/>
          <w:i/>
          <w:spacing w:val="-1"/>
          <w:sz w:val="15"/>
        </w:rPr>
        <w:t xml:space="preserve"> </w:t>
      </w:r>
      <w:r w:rsidRPr="00EB2BD8">
        <w:rPr>
          <w:rFonts w:ascii="Arial"/>
          <w:i/>
          <w:sz w:val="15"/>
        </w:rPr>
        <w:t>registration</w:t>
      </w:r>
      <w:r w:rsidRPr="00EB2BD8">
        <w:rPr>
          <w:rFonts w:ascii="Arial"/>
          <w:i/>
          <w:spacing w:val="-1"/>
          <w:sz w:val="15"/>
        </w:rPr>
        <w:t xml:space="preserve"> </w:t>
      </w:r>
      <w:r w:rsidRPr="00EB2BD8">
        <w:rPr>
          <w:rFonts w:ascii="Arial"/>
          <w:i/>
          <w:sz w:val="15"/>
        </w:rPr>
        <w:t>fees are</w:t>
      </w:r>
      <w:r w:rsidRPr="00EB2BD8">
        <w:rPr>
          <w:rFonts w:ascii="Arial"/>
          <w:i/>
          <w:spacing w:val="-1"/>
          <w:sz w:val="15"/>
        </w:rPr>
        <w:t xml:space="preserve"> </w:t>
      </w:r>
      <w:r w:rsidRPr="00EB2BD8">
        <w:rPr>
          <w:rFonts w:ascii="Arial"/>
          <w:i/>
          <w:sz w:val="15"/>
        </w:rPr>
        <w:t>for a</w:t>
      </w:r>
      <w:r w:rsidRPr="00EB2BD8">
        <w:rPr>
          <w:rFonts w:ascii="Arial"/>
          <w:i/>
          <w:spacing w:val="-1"/>
          <w:sz w:val="15"/>
        </w:rPr>
        <w:t xml:space="preserve"> </w:t>
      </w:r>
      <w:r w:rsidRPr="00EB2BD8">
        <w:rPr>
          <w:rFonts w:ascii="Arial"/>
          <w:i/>
          <w:sz w:val="15"/>
        </w:rPr>
        <w:t>triennium</w:t>
      </w:r>
      <w:r w:rsidRPr="00EB2BD8">
        <w:rPr>
          <w:rFonts w:ascii="Arial"/>
          <w:i/>
          <w:spacing w:val="-1"/>
          <w:sz w:val="15"/>
        </w:rPr>
        <w:t xml:space="preserve"> </w:t>
      </w:r>
      <w:r w:rsidRPr="00EB2BD8">
        <w:rPr>
          <w:rFonts w:ascii="Arial"/>
          <w:i/>
          <w:sz w:val="15"/>
        </w:rPr>
        <w:t>ending</w:t>
      </w:r>
      <w:r w:rsidRPr="00EB2BD8">
        <w:rPr>
          <w:rFonts w:ascii="Arial"/>
          <w:i/>
          <w:spacing w:val="-1"/>
          <w:sz w:val="15"/>
        </w:rPr>
        <w:t xml:space="preserve"> </w:t>
      </w:r>
      <w:r w:rsidRPr="00EB2BD8">
        <w:rPr>
          <w:rFonts w:ascii="Arial"/>
          <w:i/>
          <w:sz w:val="15"/>
        </w:rPr>
        <w:t>three</w:t>
      </w:r>
      <w:r w:rsidRPr="00EB2BD8">
        <w:rPr>
          <w:rFonts w:ascii="Arial"/>
          <w:i/>
          <w:spacing w:val="-1"/>
          <w:sz w:val="15"/>
        </w:rPr>
        <w:t xml:space="preserve"> </w:t>
      </w:r>
      <w:r w:rsidRPr="00EB2BD8">
        <w:rPr>
          <w:rFonts w:ascii="Arial"/>
          <w:i/>
          <w:sz w:val="15"/>
        </w:rPr>
        <w:t>years from</w:t>
      </w:r>
      <w:r w:rsidRPr="00EB2BD8">
        <w:rPr>
          <w:rFonts w:ascii="Arial"/>
          <w:i/>
          <w:spacing w:val="-1"/>
          <w:sz w:val="15"/>
        </w:rPr>
        <w:t xml:space="preserve"> </w:t>
      </w:r>
      <w:r w:rsidRPr="00EB2BD8">
        <w:rPr>
          <w:rFonts w:ascii="Arial"/>
          <w:i/>
          <w:sz w:val="15"/>
        </w:rPr>
        <w:t>the</w:t>
      </w:r>
      <w:r w:rsidRPr="00EB2BD8">
        <w:rPr>
          <w:rFonts w:ascii="Arial"/>
          <w:i/>
          <w:spacing w:val="-1"/>
          <w:sz w:val="15"/>
        </w:rPr>
        <w:t xml:space="preserve"> </w:t>
      </w:r>
      <w:r w:rsidRPr="00EB2BD8">
        <w:rPr>
          <w:rFonts w:ascii="Arial"/>
          <w:i/>
          <w:sz w:val="15"/>
        </w:rPr>
        <w:t>date</w:t>
      </w:r>
      <w:r w:rsidRPr="00EB2BD8">
        <w:rPr>
          <w:rFonts w:ascii="Arial"/>
          <w:i/>
          <w:spacing w:val="-1"/>
          <w:sz w:val="15"/>
        </w:rPr>
        <w:t xml:space="preserve"> </w:t>
      </w:r>
      <w:r w:rsidRPr="00EB2BD8">
        <w:rPr>
          <w:rFonts w:ascii="Arial"/>
          <w:i/>
          <w:sz w:val="15"/>
        </w:rPr>
        <w:t>paid.</w:t>
      </w:r>
      <w:r w:rsidRPr="00EB2BD8">
        <w:rPr>
          <w:rFonts w:ascii="Arial"/>
          <w:i/>
          <w:spacing w:val="-1"/>
          <w:sz w:val="15"/>
        </w:rPr>
        <w:t xml:space="preserve"> </w:t>
      </w:r>
      <w:r w:rsidRPr="00EB2BD8">
        <w:rPr>
          <w:rFonts w:ascii="Arial"/>
          <w:i/>
          <w:sz w:val="15"/>
        </w:rPr>
        <w:t>Fees received</w:t>
      </w:r>
      <w:r w:rsidRPr="00EB2BD8">
        <w:rPr>
          <w:rFonts w:ascii="Arial"/>
          <w:i/>
          <w:spacing w:val="-1"/>
          <w:sz w:val="15"/>
        </w:rPr>
        <w:t xml:space="preserve"> </w:t>
      </w:r>
      <w:r w:rsidRPr="00EB2BD8">
        <w:rPr>
          <w:rFonts w:ascii="Arial"/>
          <w:i/>
          <w:sz w:val="15"/>
        </w:rPr>
        <w:t>are</w:t>
      </w:r>
      <w:r w:rsidRPr="00EB2BD8">
        <w:rPr>
          <w:rFonts w:ascii="Arial"/>
          <w:i/>
          <w:spacing w:val="-1"/>
          <w:sz w:val="15"/>
        </w:rPr>
        <w:t xml:space="preserve"> </w:t>
      </w:r>
      <w:r w:rsidRPr="00EB2BD8">
        <w:rPr>
          <w:rFonts w:ascii="Arial"/>
          <w:i/>
          <w:sz w:val="15"/>
        </w:rPr>
        <w:t>recognised</w:t>
      </w:r>
      <w:r w:rsidRPr="00EB2BD8">
        <w:rPr>
          <w:rFonts w:ascii="Arial"/>
          <w:i/>
          <w:spacing w:val="-1"/>
          <w:sz w:val="15"/>
        </w:rPr>
        <w:t xml:space="preserve"> </w:t>
      </w:r>
      <w:r w:rsidRPr="00EB2BD8">
        <w:rPr>
          <w:rFonts w:ascii="Arial"/>
          <w:i/>
          <w:sz w:val="15"/>
        </w:rPr>
        <w:t>as revenue</w:t>
      </w:r>
      <w:r w:rsidRPr="00EB2BD8">
        <w:rPr>
          <w:rFonts w:ascii="Arial"/>
          <w:i/>
          <w:spacing w:val="-1"/>
          <w:sz w:val="15"/>
        </w:rPr>
        <w:t xml:space="preserve"> </w:t>
      </w:r>
      <w:r w:rsidRPr="00EB2BD8">
        <w:rPr>
          <w:rFonts w:ascii="Arial"/>
          <w:i/>
          <w:sz w:val="15"/>
        </w:rPr>
        <w:t>on</w:t>
      </w:r>
      <w:r w:rsidRPr="00EB2BD8">
        <w:rPr>
          <w:rFonts w:ascii="Arial"/>
          <w:i/>
          <w:spacing w:val="-1"/>
          <w:sz w:val="15"/>
        </w:rPr>
        <w:t xml:space="preserve"> </w:t>
      </w:r>
      <w:r w:rsidRPr="00EB2BD8">
        <w:rPr>
          <w:rFonts w:ascii="Arial"/>
          <w:i/>
          <w:sz w:val="15"/>
        </w:rPr>
        <w:t>a pro-rata</w:t>
      </w:r>
      <w:r w:rsidRPr="00EB2BD8">
        <w:rPr>
          <w:rFonts w:ascii="Arial"/>
          <w:i/>
          <w:spacing w:val="-5"/>
          <w:sz w:val="15"/>
        </w:rPr>
        <w:t xml:space="preserve"> </w:t>
      </w:r>
      <w:r w:rsidRPr="00EB2BD8">
        <w:rPr>
          <w:rFonts w:ascii="Arial"/>
          <w:i/>
          <w:sz w:val="15"/>
        </w:rPr>
        <w:t>basis.</w:t>
      </w:r>
      <w:r w:rsidRPr="00EB2BD8">
        <w:rPr>
          <w:rFonts w:ascii="Arial"/>
          <w:i/>
          <w:spacing w:val="-5"/>
          <w:sz w:val="15"/>
        </w:rPr>
        <w:t xml:space="preserve"> </w:t>
      </w:r>
      <w:r w:rsidRPr="00EB2BD8">
        <w:rPr>
          <w:rFonts w:ascii="Arial"/>
          <w:i/>
          <w:sz w:val="15"/>
        </w:rPr>
        <w:t>Plumbing</w:t>
      </w:r>
      <w:r w:rsidRPr="00EB2BD8">
        <w:rPr>
          <w:rFonts w:ascii="Arial"/>
          <w:i/>
          <w:spacing w:val="-5"/>
          <w:sz w:val="15"/>
        </w:rPr>
        <w:t xml:space="preserve"> </w:t>
      </w:r>
      <w:r w:rsidRPr="00EB2BD8">
        <w:rPr>
          <w:rFonts w:ascii="Arial"/>
          <w:i/>
          <w:sz w:val="15"/>
        </w:rPr>
        <w:t>registration</w:t>
      </w:r>
      <w:r w:rsidRPr="00EB2BD8">
        <w:rPr>
          <w:rFonts w:ascii="Arial"/>
          <w:i/>
          <w:spacing w:val="-5"/>
          <w:sz w:val="15"/>
        </w:rPr>
        <w:t xml:space="preserve"> </w:t>
      </w:r>
      <w:r w:rsidRPr="00EB2BD8">
        <w:rPr>
          <w:rFonts w:ascii="Arial"/>
          <w:i/>
          <w:sz w:val="15"/>
        </w:rPr>
        <w:t>fees</w:t>
      </w:r>
      <w:r w:rsidRPr="00EB2BD8">
        <w:rPr>
          <w:rFonts w:ascii="Arial"/>
          <w:i/>
          <w:spacing w:val="-4"/>
          <w:sz w:val="15"/>
        </w:rPr>
        <w:t xml:space="preserve"> </w:t>
      </w:r>
      <w:r w:rsidRPr="00EB2BD8">
        <w:rPr>
          <w:rFonts w:ascii="Arial"/>
          <w:i/>
          <w:sz w:val="15"/>
        </w:rPr>
        <w:t>received</w:t>
      </w:r>
      <w:r w:rsidRPr="00EB2BD8">
        <w:rPr>
          <w:rFonts w:ascii="Arial"/>
          <w:i/>
          <w:spacing w:val="-5"/>
          <w:sz w:val="15"/>
        </w:rPr>
        <w:t xml:space="preserve"> </w:t>
      </w:r>
      <w:r w:rsidRPr="00EB2BD8">
        <w:rPr>
          <w:rFonts w:ascii="Arial"/>
          <w:i/>
          <w:sz w:val="15"/>
        </w:rPr>
        <w:t>relating</w:t>
      </w:r>
      <w:r w:rsidRPr="00EB2BD8">
        <w:rPr>
          <w:rFonts w:ascii="Arial"/>
          <w:i/>
          <w:spacing w:val="-5"/>
          <w:sz w:val="15"/>
        </w:rPr>
        <w:t xml:space="preserve"> </w:t>
      </w:r>
      <w:r w:rsidRPr="00EB2BD8">
        <w:rPr>
          <w:rFonts w:ascii="Arial"/>
          <w:i/>
          <w:sz w:val="15"/>
        </w:rPr>
        <w:t>to</w:t>
      </w:r>
      <w:r w:rsidRPr="00EB2BD8">
        <w:rPr>
          <w:rFonts w:ascii="Arial"/>
          <w:i/>
          <w:spacing w:val="-5"/>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subsequent</w:t>
      </w:r>
      <w:r w:rsidRPr="00EB2BD8">
        <w:rPr>
          <w:rFonts w:ascii="Arial"/>
          <w:i/>
          <w:spacing w:val="-5"/>
          <w:sz w:val="15"/>
        </w:rPr>
        <w:t xml:space="preserve"> </w:t>
      </w:r>
      <w:r w:rsidRPr="00EB2BD8">
        <w:rPr>
          <w:rFonts w:ascii="Arial"/>
          <w:i/>
          <w:sz w:val="15"/>
        </w:rPr>
        <w:t>years</w:t>
      </w:r>
      <w:r w:rsidRPr="00EB2BD8">
        <w:rPr>
          <w:rFonts w:ascii="Arial"/>
          <w:i/>
          <w:spacing w:val="-4"/>
          <w:sz w:val="15"/>
        </w:rPr>
        <w:t xml:space="preserve"> </w:t>
      </w:r>
      <w:r w:rsidRPr="00EB2BD8">
        <w:rPr>
          <w:rFonts w:ascii="Arial"/>
          <w:i/>
          <w:sz w:val="15"/>
        </w:rPr>
        <w:t>are</w:t>
      </w:r>
      <w:r w:rsidRPr="00EB2BD8">
        <w:rPr>
          <w:rFonts w:ascii="Arial"/>
          <w:i/>
          <w:spacing w:val="-5"/>
          <w:sz w:val="15"/>
        </w:rPr>
        <w:t xml:space="preserve"> </w:t>
      </w:r>
      <w:r w:rsidRPr="00EB2BD8">
        <w:rPr>
          <w:rFonts w:ascii="Arial"/>
          <w:i/>
          <w:sz w:val="15"/>
        </w:rPr>
        <w:t>recognised</w:t>
      </w:r>
      <w:r w:rsidRPr="00EB2BD8">
        <w:rPr>
          <w:rFonts w:ascii="Arial"/>
          <w:i/>
          <w:spacing w:val="-5"/>
          <w:sz w:val="15"/>
        </w:rPr>
        <w:t xml:space="preserve"> </w:t>
      </w:r>
      <w:r w:rsidRPr="00EB2BD8">
        <w:rPr>
          <w:rFonts w:ascii="Arial"/>
          <w:i/>
          <w:sz w:val="15"/>
        </w:rPr>
        <w:t>at</w:t>
      </w:r>
      <w:r w:rsidRPr="00EB2BD8">
        <w:rPr>
          <w:rFonts w:ascii="Arial"/>
          <w:i/>
          <w:spacing w:val="-4"/>
          <w:sz w:val="15"/>
        </w:rPr>
        <w:t xml:space="preserve"> </w:t>
      </w:r>
      <w:r w:rsidRPr="00EB2BD8">
        <w:rPr>
          <w:rFonts w:ascii="Arial"/>
          <w:i/>
          <w:sz w:val="15"/>
        </w:rPr>
        <w:t>year-</w:t>
      </w:r>
      <w:r w:rsidRPr="00EB2BD8">
        <w:rPr>
          <w:rFonts w:ascii="Arial"/>
          <w:i/>
          <w:spacing w:val="-5"/>
          <w:sz w:val="15"/>
        </w:rPr>
        <w:t xml:space="preserve"> </w:t>
      </w:r>
      <w:r w:rsidRPr="00EB2BD8">
        <w:rPr>
          <w:rFonts w:ascii="Arial"/>
          <w:i/>
          <w:sz w:val="15"/>
        </w:rPr>
        <w:t>end</w:t>
      </w:r>
      <w:r w:rsidRPr="00EB2BD8">
        <w:rPr>
          <w:rFonts w:ascii="Arial"/>
          <w:i/>
          <w:spacing w:val="-5"/>
          <w:sz w:val="15"/>
        </w:rPr>
        <w:t xml:space="preserve"> </w:t>
      </w:r>
      <w:r w:rsidRPr="00EB2BD8">
        <w:rPr>
          <w:rFonts w:ascii="Arial"/>
          <w:i/>
          <w:sz w:val="15"/>
        </w:rPr>
        <w:t>as</w:t>
      </w:r>
      <w:r w:rsidRPr="00EB2BD8">
        <w:rPr>
          <w:rFonts w:ascii="Arial"/>
          <w:i/>
          <w:spacing w:val="-4"/>
          <w:sz w:val="15"/>
        </w:rPr>
        <w:t xml:space="preserve"> </w:t>
      </w:r>
      <w:r w:rsidRPr="00EB2BD8">
        <w:rPr>
          <w:rFonts w:ascii="Arial"/>
          <w:i/>
          <w:sz w:val="15"/>
        </w:rPr>
        <w:t>contract</w:t>
      </w:r>
      <w:r w:rsidRPr="00EB2BD8">
        <w:rPr>
          <w:rFonts w:ascii="Arial"/>
          <w:i/>
          <w:spacing w:val="-5"/>
          <w:sz w:val="15"/>
        </w:rPr>
        <w:t xml:space="preserve"> </w:t>
      </w:r>
      <w:r w:rsidRPr="00EB2BD8">
        <w:rPr>
          <w:rFonts w:ascii="Arial"/>
          <w:i/>
          <w:sz w:val="15"/>
        </w:rPr>
        <w:t>liabilities (i.e. over time). Annual licence renewal fees received throughout the year are recognised as revenue on a pro- rata basis. Licence fees received relating to the subsequent year are recognised at year-end as contract liabilities (i.e. over time).</w:t>
      </w:r>
    </w:p>
    <w:p w14:paraId="13A604E9" w14:textId="77777777" w:rsidR="00084F36" w:rsidRPr="00EB2BD8" w:rsidRDefault="00EB2BD8">
      <w:pPr>
        <w:pStyle w:val="ListParagraph"/>
        <w:numPr>
          <w:ilvl w:val="0"/>
          <w:numId w:val="48"/>
        </w:numPr>
        <w:tabs>
          <w:tab w:val="left" w:pos="1401"/>
        </w:tabs>
        <w:spacing w:before="59"/>
        <w:ind w:left="1401" w:hanging="333"/>
        <w:rPr>
          <w:rFonts w:ascii="Arial"/>
          <w:i/>
          <w:sz w:val="15"/>
        </w:rPr>
      </w:pPr>
      <w:r w:rsidRPr="00EB2BD8">
        <w:rPr>
          <w:rFonts w:ascii="Arial"/>
          <w:i/>
          <w:spacing w:val="-2"/>
          <w:sz w:val="15"/>
        </w:rPr>
        <w:t>Plumbing-examination</w:t>
      </w:r>
      <w:r w:rsidRPr="00EB2BD8">
        <w:rPr>
          <w:rFonts w:ascii="Arial"/>
          <w:i/>
          <w:spacing w:val="16"/>
          <w:sz w:val="15"/>
        </w:rPr>
        <w:t xml:space="preserve"> </w:t>
      </w:r>
      <w:r w:rsidRPr="00EB2BD8">
        <w:rPr>
          <w:rFonts w:ascii="Arial"/>
          <w:i/>
          <w:spacing w:val="-4"/>
          <w:sz w:val="15"/>
        </w:rPr>
        <w:t>fees</w:t>
      </w:r>
    </w:p>
    <w:p w14:paraId="631720E1" w14:textId="77777777" w:rsidR="00084F36" w:rsidRPr="00EB2BD8" w:rsidRDefault="00EB2BD8">
      <w:pPr>
        <w:spacing w:before="81"/>
        <w:ind w:left="1404"/>
        <w:rPr>
          <w:rFonts w:ascii="Arial"/>
          <w:i/>
          <w:sz w:val="15"/>
        </w:rPr>
      </w:pPr>
      <w:r w:rsidRPr="00EB2BD8">
        <w:rPr>
          <w:rFonts w:ascii="Arial"/>
          <w:i/>
          <w:sz w:val="15"/>
        </w:rPr>
        <w:t>Plumbing</w:t>
      </w:r>
      <w:r w:rsidRPr="00EB2BD8">
        <w:rPr>
          <w:rFonts w:ascii="Arial"/>
          <w:i/>
          <w:spacing w:val="-7"/>
          <w:sz w:val="15"/>
        </w:rPr>
        <w:t xml:space="preserve"> </w:t>
      </w:r>
      <w:r w:rsidRPr="00EB2BD8">
        <w:rPr>
          <w:rFonts w:ascii="Arial"/>
          <w:i/>
          <w:sz w:val="15"/>
        </w:rPr>
        <w:t>examination</w:t>
      </w:r>
      <w:r w:rsidRPr="00EB2BD8">
        <w:rPr>
          <w:rFonts w:ascii="Arial"/>
          <w:i/>
          <w:spacing w:val="-7"/>
          <w:sz w:val="15"/>
        </w:rPr>
        <w:t xml:space="preserve"> </w:t>
      </w:r>
      <w:r w:rsidRPr="00EB2BD8">
        <w:rPr>
          <w:rFonts w:ascii="Arial"/>
          <w:i/>
          <w:sz w:val="15"/>
        </w:rPr>
        <w:t>fees</w:t>
      </w:r>
      <w:r w:rsidRPr="00EB2BD8">
        <w:rPr>
          <w:rFonts w:ascii="Arial"/>
          <w:i/>
          <w:spacing w:val="-6"/>
          <w:sz w:val="15"/>
        </w:rPr>
        <w:t xml:space="preserve"> </w:t>
      </w:r>
      <w:r w:rsidRPr="00EB2BD8">
        <w:rPr>
          <w:rFonts w:ascii="Arial"/>
          <w:i/>
          <w:sz w:val="15"/>
        </w:rPr>
        <w:t>are</w:t>
      </w:r>
      <w:r w:rsidRPr="00EB2BD8">
        <w:rPr>
          <w:rFonts w:ascii="Arial"/>
          <w:i/>
          <w:spacing w:val="-6"/>
          <w:sz w:val="15"/>
        </w:rPr>
        <w:t xml:space="preserve"> </w:t>
      </w:r>
      <w:r w:rsidRPr="00EB2BD8">
        <w:rPr>
          <w:rFonts w:ascii="Arial"/>
          <w:i/>
          <w:sz w:val="15"/>
        </w:rPr>
        <w:t>recognised</w:t>
      </w:r>
      <w:r w:rsidRPr="00EB2BD8">
        <w:rPr>
          <w:rFonts w:ascii="Arial"/>
          <w:i/>
          <w:spacing w:val="-7"/>
          <w:sz w:val="15"/>
        </w:rPr>
        <w:t xml:space="preserve"> </w:t>
      </w:r>
      <w:r w:rsidRPr="00EB2BD8">
        <w:rPr>
          <w:rFonts w:ascii="Arial"/>
          <w:i/>
          <w:sz w:val="15"/>
        </w:rPr>
        <w:t>as</w:t>
      </w:r>
      <w:r w:rsidRPr="00EB2BD8">
        <w:rPr>
          <w:rFonts w:ascii="Arial"/>
          <w:i/>
          <w:spacing w:val="-6"/>
          <w:sz w:val="15"/>
        </w:rPr>
        <w:t xml:space="preserve"> </w:t>
      </w:r>
      <w:r w:rsidRPr="00EB2BD8">
        <w:rPr>
          <w:rFonts w:ascii="Arial"/>
          <w:i/>
          <w:sz w:val="15"/>
        </w:rPr>
        <w:t>revenue</w:t>
      </w:r>
      <w:r w:rsidRPr="00EB2BD8">
        <w:rPr>
          <w:rFonts w:ascii="Arial"/>
          <w:i/>
          <w:spacing w:val="-6"/>
          <w:sz w:val="15"/>
        </w:rPr>
        <w:t xml:space="preserve"> </w:t>
      </w:r>
      <w:r w:rsidRPr="00EB2BD8">
        <w:rPr>
          <w:rFonts w:ascii="Arial"/>
          <w:i/>
          <w:sz w:val="15"/>
        </w:rPr>
        <w:t>upon</w:t>
      </w:r>
      <w:r w:rsidRPr="00EB2BD8">
        <w:rPr>
          <w:rFonts w:ascii="Arial"/>
          <w:i/>
          <w:spacing w:val="-6"/>
          <w:sz w:val="15"/>
        </w:rPr>
        <w:t xml:space="preserve"> </w:t>
      </w:r>
      <w:r w:rsidRPr="00EB2BD8">
        <w:rPr>
          <w:rFonts w:ascii="Arial"/>
          <w:i/>
          <w:sz w:val="15"/>
        </w:rPr>
        <w:t>receipt</w:t>
      </w:r>
      <w:r w:rsidRPr="00EB2BD8">
        <w:rPr>
          <w:rFonts w:ascii="Arial"/>
          <w:i/>
          <w:spacing w:val="-7"/>
          <w:sz w:val="15"/>
        </w:rPr>
        <w:t xml:space="preserve"> </w:t>
      </w:r>
      <w:r w:rsidRPr="00EB2BD8">
        <w:rPr>
          <w:rFonts w:ascii="Arial"/>
          <w:i/>
          <w:sz w:val="15"/>
        </w:rPr>
        <w:t>(i.e.</w:t>
      </w:r>
      <w:r w:rsidRPr="00EB2BD8">
        <w:rPr>
          <w:rFonts w:ascii="Arial"/>
          <w:i/>
          <w:spacing w:val="-6"/>
          <w:sz w:val="15"/>
        </w:rPr>
        <w:t xml:space="preserve"> </w:t>
      </w:r>
      <w:r w:rsidRPr="00EB2BD8">
        <w:rPr>
          <w:rFonts w:ascii="Arial"/>
          <w:i/>
          <w:sz w:val="15"/>
        </w:rPr>
        <w:t>at</w:t>
      </w:r>
      <w:r w:rsidRPr="00EB2BD8">
        <w:rPr>
          <w:rFonts w:ascii="Arial"/>
          <w:i/>
          <w:spacing w:val="-7"/>
          <w:sz w:val="15"/>
        </w:rPr>
        <w:t xml:space="preserve"> </w:t>
      </w:r>
      <w:r w:rsidRPr="00EB2BD8">
        <w:rPr>
          <w:rFonts w:ascii="Arial"/>
          <w:i/>
          <w:sz w:val="15"/>
        </w:rPr>
        <w:t>point</w:t>
      </w:r>
      <w:r w:rsidRPr="00EB2BD8">
        <w:rPr>
          <w:rFonts w:ascii="Arial"/>
          <w:i/>
          <w:spacing w:val="-7"/>
          <w:sz w:val="15"/>
        </w:rPr>
        <w:t xml:space="preserve"> </w:t>
      </w:r>
      <w:r w:rsidRPr="00EB2BD8">
        <w:rPr>
          <w:rFonts w:ascii="Arial"/>
          <w:i/>
          <w:sz w:val="15"/>
        </w:rPr>
        <w:t>in</w:t>
      </w:r>
      <w:r w:rsidRPr="00EB2BD8">
        <w:rPr>
          <w:rFonts w:ascii="Arial"/>
          <w:i/>
          <w:spacing w:val="-6"/>
          <w:sz w:val="15"/>
        </w:rPr>
        <w:t xml:space="preserve"> </w:t>
      </w:r>
      <w:r w:rsidRPr="00EB2BD8">
        <w:rPr>
          <w:rFonts w:ascii="Arial"/>
          <w:i/>
          <w:spacing w:val="-2"/>
          <w:sz w:val="15"/>
        </w:rPr>
        <w:t>time).</w:t>
      </w:r>
    </w:p>
    <w:p w14:paraId="09554776" w14:textId="77777777" w:rsidR="00084F36" w:rsidRPr="00EB2BD8" w:rsidRDefault="00EB2BD8">
      <w:pPr>
        <w:pStyle w:val="ListParagraph"/>
        <w:numPr>
          <w:ilvl w:val="0"/>
          <w:numId w:val="48"/>
        </w:numPr>
        <w:tabs>
          <w:tab w:val="left" w:pos="1404"/>
        </w:tabs>
        <w:spacing w:before="81"/>
        <w:ind w:left="1404" w:hanging="336"/>
        <w:rPr>
          <w:rFonts w:ascii="Arial"/>
          <w:i/>
          <w:sz w:val="15"/>
        </w:rPr>
      </w:pPr>
      <w:r w:rsidRPr="00EB2BD8">
        <w:rPr>
          <w:rFonts w:ascii="Arial"/>
          <w:i/>
          <w:spacing w:val="-2"/>
          <w:sz w:val="15"/>
        </w:rPr>
        <w:t>Plumbing-prosecutions</w:t>
      </w:r>
      <w:r w:rsidRPr="00EB2BD8">
        <w:rPr>
          <w:rFonts w:ascii="Arial"/>
          <w:i/>
          <w:spacing w:val="9"/>
          <w:sz w:val="15"/>
        </w:rPr>
        <w:t xml:space="preserve"> </w:t>
      </w:r>
      <w:r w:rsidRPr="00EB2BD8">
        <w:rPr>
          <w:rFonts w:ascii="Arial"/>
          <w:i/>
          <w:spacing w:val="-2"/>
          <w:sz w:val="15"/>
        </w:rPr>
        <w:t>and</w:t>
      </w:r>
      <w:r w:rsidRPr="00EB2BD8">
        <w:rPr>
          <w:rFonts w:ascii="Arial"/>
          <w:i/>
          <w:spacing w:val="7"/>
          <w:sz w:val="15"/>
        </w:rPr>
        <w:t xml:space="preserve"> </w:t>
      </w:r>
      <w:r w:rsidRPr="00EB2BD8">
        <w:rPr>
          <w:rFonts w:ascii="Arial"/>
          <w:i/>
          <w:spacing w:val="-2"/>
          <w:sz w:val="15"/>
        </w:rPr>
        <w:t>inquiry</w:t>
      </w:r>
      <w:r w:rsidRPr="00EB2BD8">
        <w:rPr>
          <w:rFonts w:ascii="Arial"/>
          <w:i/>
          <w:spacing w:val="9"/>
          <w:sz w:val="15"/>
        </w:rPr>
        <w:t xml:space="preserve"> </w:t>
      </w:r>
      <w:r w:rsidRPr="00EB2BD8">
        <w:rPr>
          <w:rFonts w:ascii="Arial"/>
          <w:i/>
          <w:spacing w:val="-2"/>
          <w:sz w:val="15"/>
        </w:rPr>
        <w:t>fines</w:t>
      </w:r>
    </w:p>
    <w:p w14:paraId="27A326AD" w14:textId="77777777" w:rsidR="00084F36" w:rsidRPr="00EB2BD8" w:rsidRDefault="00EB2BD8">
      <w:pPr>
        <w:spacing w:before="80" w:line="276" w:lineRule="auto"/>
        <w:ind w:left="1404" w:right="1783"/>
        <w:jc w:val="both"/>
        <w:rPr>
          <w:rFonts w:ascii="Arial" w:hAnsi="Arial"/>
          <w:i/>
          <w:sz w:val="15"/>
        </w:rPr>
      </w:pPr>
      <w:r w:rsidRPr="00EB2BD8">
        <w:rPr>
          <w:rFonts w:ascii="Arial" w:hAnsi="Arial"/>
          <w:i/>
          <w:sz w:val="15"/>
        </w:rPr>
        <w:t>Prosecutions</w:t>
      </w:r>
      <w:r w:rsidRPr="00EB2BD8">
        <w:rPr>
          <w:rFonts w:ascii="Arial" w:hAnsi="Arial"/>
          <w:i/>
          <w:spacing w:val="-4"/>
          <w:sz w:val="15"/>
        </w:rPr>
        <w:t xml:space="preserve"> </w:t>
      </w:r>
      <w:r w:rsidRPr="00EB2BD8">
        <w:rPr>
          <w:rFonts w:ascii="Arial" w:hAnsi="Arial"/>
          <w:i/>
          <w:sz w:val="15"/>
        </w:rPr>
        <w:t>and</w:t>
      </w:r>
      <w:r w:rsidRPr="00EB2BD8">
        <w:rPr>
          <w:rFonts w:ascii="Arial" w:hAnsi="Arial"/>
          <w:i/>
          <w:spacing w:val="-5"/>
          <w:sz w:val="15"/>
        </w:rPr>
        <w:t xml:space="preserve"> </w:t>
      </w:r>
      <w:r w:rsidRPr="00EB2BD8">
        <w:rPr>
          <w:rFonts w:ascii="Arial" w:hAnsi="Arial"/>
          <w:i/>
          <w:sz w:val="15"/>
        </w:rPr>
        <w:t>inquiry</w:t>
      </w:r>
      <w:r w:rsidRPr="00EB2BD8">
        <w:rPr>
          <w:rFonts w:ascii="Arial" w:hAnsi="Arial"/>
          <w:i/>
          <w:spacing w:val="-4"/>
          <w:sz w:val="15"/>
        </w:rPr>
        <w:t xml:space="preserve"> </w:t>
      </w:r>
      <w:r w:rsidRPr="00EB2BD8">
        <w:rPr>
          <w:rFonts w:ascii="Arial" w:hAnsi="Arial"/>
          <w:i/>
          <w:sz w:val="15"/>
        </w:rPr>
        <w:t>fines</w:t>
      </w:r>
      <w:r w:rsidRPr="00EB2BD8">
        <w:rPr>
          <w:rFonts w:ascii="Arial" w:hAnsi="Arial"/>
          <w:i/>
          <w:spacing w:val="-4"/>
          <w:sz w:val="15"/>
        </w:rPr>
        <w:t xml:space="preserve"> </w:t>
      </w:r>
      <w:r w:rsidRPr="00EB2BD8">
        <w:rPr>
          <w:rFonts w:ascii="Arial" w:hAnsi="Arial"/>
          <w:i/>
          <w:sz w:val="15"/>
        </w:rPr>
        <w:t>represent</w:t>
      </w:r>
      <w:r w:rsidRPr="00EB2BD8">
        <w:rPr>
          <w:rFonts w:ascii="Arial" w:hAnsi="Arial"/>
          <w:i/>
          <w:spacing w:val="-5"/>
          <w:sz w:val="15"/>
        </w:rPr>
        <w:t xml:space="preserve"> </w:t>
      </w:r>
      <w:r w:rsidRPr="00EB2BD8">
        <w:rPr>
          <w:rFonts w:ascii="Arial" w:hAnsi="Arial"/>
          <w:i/>
          <w:sz w:val="15"/>
        </w:rPr>
        <w:t>prosecution</w:t>
      </w:r>
      <w:r w:rsidRPr="00EB2BD8">
        <w:rPr>
          <w:rFonts w:ascii="Arial" w:hAnsi="Arial"/>
          <w:i/>
          <w:spacing w:val="-5"/>
          <w:sz w:val="15"/>
        </w:rPr>
        <w:t xml:space="preserve"> </w:t>
      </w:r>
      <w:r w:rsidRPr="00EB2BD8">
        <w:rPr>
          <w:rFonts w:ascii="Arial" w:hAnsi="Arial"/>
          <w:i/>
          <w:sz w:val="15"/>
        </w:rPr>
        <w:t>fines</w:t>
      </w:r>
      <w:r w:rsidRPr="00EB2BD8">
        <w:rPr>
          <w:rFonts w:ascii="Arial" w:hAnsi="Arial"/>
          <w:i/>
          <w:spacing w:val="-4"/>
          <w:sz w:val="15"/>
        </w:rPr>
        <w:t xml:space="preserve"> </w:t>
      </w:r>
      <w:r w:rsidRPr="00EB2BD8">
        <w:rPr>
          <w:rFonts w:ascii="Arial" w:hAnsi="Arial"/>
          <w:i/>
          <w:sz w:val="15"/>
        </w:rPr>
        <w:t>and</w:t>
      </w:r>
      <w:r w:rsidRPr="00EB2BD8">
        <w:rPr>
          <w:rFonts w:ascii="Arial" w:hAnsi="Arial"/>
          <w:i/>
          <w:spacing w:val="-5"/>
          <w:sz w:val="15"/>
        </w:rPr>
        <w:t xml:space="preserve"> </w:t>
      </w:r>
      <w:r w:rsidRPr="00EB2BD8">
        <w:rPr>
          <w:rFonts w:ascii="Arial" w:hAnsi="Arial"/>
          <w:i/>
          <w:sz w:val="15"/>
        </w:rPr>
        <w:t>costs</w:t>
      </w:r>
      <w:r w:rsidRPr="00EB2BD8">
        <w:rPr>
          <w:rFonts w:ascii="Arial" w:hAnsi="Arial"/>
          <w:i/>
          <w:spacing w:val="-4"/>
          <w:sz w:val="15"/>
        </w:rPr>
        <w:t xml:space="preserve"> </w:t>
      </w:r>
      <w:r w:rsidRPr="00EB2BD8">
        <w:rPr>
          <w:rFonts w:ascii="Arial" w:hAnsi="Arial"/>
          <w:i/>
          <w:sz w:val="15"/>
        </w:rPr>
        <w:t>payable</w:t>
      </w:r>
      <w:r w:rsidRPr="00EB2BD8">
        <w:rPr>
          <w:rFonts w:ascii="Arial" w:hAnsi="Arial"/>
          <w:i/>
          <w:spacing w:val="-5"/>
          <w:sz w:val="15"/>
        </w:rPr>
        <w:t xml:space="preserve"> </w:t>
      </w:r>
      <w:r w:rsidRPr="00EB2BD8">
        <w:rPr>
          <w:rFonts w:ascii="Arial" w:hAnsi="Arial"/>
          <w:i/>
          <w:sz w:val="15"/>
        </w:rPr>
        <w:t>to</w:t>
      </w:r>
      <w:r w:rsidRPr="00EB2BD8">
        <w:rPr>
          <w:rFonts w:ascii="Arial" w:hAnsi="Arial"/>
          <w:i/>
          <w:spacing w:val="-5"/>
          <w:sz w:val="15"/>
        </w:rPr>
        <w:t xml:space="preserve"> </w:t>
      </w:r>
      <w:r w:rsidRPr="00EB2BD8">
        <w:rPr>
          <w:rFonts w:ascii="Arial" w:hAnsi="Arial"/>
          <w:i/>
          <w:sz w:val="15"/>
        </w:rPr>
        <w:t>the</w:t>
      </w:r>
      <w:r w:rsidRPr="00EB2BD8">
        <w:rPr>
          <w:rFonts w:ascii="Arial" w:hAnsi="Arial"/>
          <w:i/>
          <w:spacing w:val="-5"/>
          <w:sz w:val="15"/>
        </w:rPr>
        <w:t xml:space="preserve"> </w:t>
      </w:r>
      <w:r w:rsidRPr="00EB2BD8">
        <w:rPr>
          <w:rFonts w:ascii="Arial" w:hAnsi="Arial"/>
          <w:i/>
          <w:sz w:val="15"/>
        </w:rPr>
        <w:t>VBA</w:t>
      </w:r>
      <w:r w:rsidRPr="00EB2BD8">
        <w:rPr>
          <w:rFonts w:ascii="Arial" w:hAnsi="Arial"/>
          <w:i/>
          <w:spacing w:val="-4"/>
          <w:sz w:val="15"/>
        </w:rPr>
        <w:t xml:space="preserve"> </w:t>
      </w:r>
      <w:r w:rsidRPr="00EB2BD8">
        <w:rPr>
          <w:rFonts w:ascii="Arial" w:hAnsi="Arial"/>
          <w:i/>
          <w:sz w:val="15"/>
        </w:rPr>
        <w:t>as</w:t>
      </w:r>
      <w:r w:rsidRPr="00EB2BD8">
        <w:rPr>
          <w:rFonts w:ascii="Arial" w:hAnsi="Arial"/>
          <w:i/>
          <w:spacing w:val="-4"/>
          <w:sz w:val="15"/>
        </w:rPr>
        <w:t xml:space="preserve"> </w:t>
      </w:r>
      <w:r w:rsidRPr="00EB2BD8">
        <w:rPr>
          <w:rFonts w:ascii="Arial" w:hAnsi="Arial"/>
          <w:i/>
          <w:sz w:val="15"/>
        </w:rPr>
        <w:t>a</w:t>
      </w:r>
      <w:r w:rsidRPr="00EB2BD8">
        <w:rPr>
          <w:rFonts w:ascii="Arial" w:hAnsi="Arial"/>
          <w:i/>
          <w:spacing w:val="-5"/>
          <w:sz w:val="15"/>
        </w:rPr>
        <w:t xml:space="preserve"> </w:t>
      </w:r>
      <w:r w:rsidRPr="00EB2BD8">
        <w:rPr>
          <w:rFonts w:ascii="Arial" w:hAnsi="Arial"/>
          <w:i/>
          <w:sz w:val="15"/>
        </w:rPr>
        <w:t>result</w:t>
      </w:r>
      <w:r w:rsidRPr="00EB2BD8">
        <w:rPr>
          <w:rFonts w:ascii="Arial" w:hAnsi="Arial"/>
          <w:i/>
          <w:spacing w:val="-5"/>
          <w:sz w:val="15"/>
        </w:rPr>
        <w:t xml:space="preserve"> </w:t>
      </w:r>
      <w:r w:rsidRPr="00EB2BD8">
        <w:rPr>
          <w:rFonts w:ascii="Arial" w:hAnsi="Arial"/>
          <w:i/>
          <w:sz w:val="15"/>
        </w:rPr>
        <w:t>of</w:t>
      </w:r>
      <w:r w:rsidRPr="00EB2BD8">
        <w:rPr>
          <w:rFonts w:ascii="Arial" w:hAnsi="Arial"/>
          <w:i/>
          <w:spacing w:val="-5"/>
          <w:sz w:val="15"/>
        </w:rPr>
        <w:t xml:space="preserve"> </w:t>
      </w:r>
      <w:r w:rsidRPr="00EB2BD8">
        <w:rPr>
          <w:rFonts w:ascii="Arial" w:hAnsi="Arial"/>
          <w:i/>
          <w:sz w:val="15"/>
        </w:rPr>
        <w:t>legal</w:t>
      </w:r>
      <w:r w:rsidRPr="00EB2BD8">
        <w:rPr>
          <w:rFonts w:ascii="Arial" w:hAnsi="Arial"/>
          <w:i/>
          <w:spacing w:val="-4"/>
          <w:sz w:val="15"/>
        </w:rPr>
        <w:t xml:space="preserve"> </w:t>
      </w:r>
      <w:r w:rsidRPr="00EB2BD8">
        <w:rPr>
          <w:rFonts w:ascii="Arial" w:hAnsi="Arial"/>
          <w:i/>
          <w:sz w:val="15"/>
        </w:rPr>
        <w:t>action</w:t>
      </w:r>
      <w:r w:rsidRPr="00EB2BD8">
        <w:rPr>
          <w:rFonts w:ascii="Arial" w:hAnsi="Arial"/>
          <w:i/>
          <w:spacing w:val="-5"/>
          <w:sz w:val="15"/>
        </w:rPr>
        <w:t xml:space="preserve"> </w:t>
      </w:r>
      <w:r w:rsidRPr="00EB2BD8">
        <w:rPr>
          <w:rFonts w:ascii="Arial" w:hAnsi="Arial"/>
          <w:i/>
          <w:sz w:val="15"/>
        </w:rPr>
        <w:t>taken</w:t>
      </w:r>
      <w:r w:rsidRPr="00EB2BD8">
        <w:rPr>
          <w:rFonts w:ascii="Arial" w:hAnsi="Arial"/>
          <w:i/>
          <w:spacing w:val="-5"/>
          <w:sz w:val="15"/>
        </w:rPr>
        <w:t xml:space="preserve"> </w:t>
      </w:r>
      <w:r w:rsidRPr="00EB2BD8">
        <w:rPr>
          <w:rFonts w:ascii="Arial" w:hAnsi="Arial"/>
          <w:i/>
          <w:sz w:val="15"/>
        </w:rPr>
        <w:t>by</w:t>
      </w:r>
      <w:r w:rsidRPr="00EB2BD8">
        <w:rPr>
          <w:rFonts w:ascii="Arial" w:hAnsi="Arial"/>
          <w:i/>
          <w:spacing w:val="-4"/>
          <w:sz w:val="15"/>
        </w:rPr>
        <w:t xml:space="preserve"> </w:t>
      </w:r>
      <w:r w:rsidRPr="00EB2BD8">
        <w:rPr>
          <w:rFonts w:ascii="Arial" w:hAnsi="Arial"/>
          <w:i/>
          <w:sz w:val="15"/>
        </w:rPr>
        <w:t>the</w:t>
      </w:r>
      <w:r w:rsidRPr="00EB2BD8">
        <w:rPr>
          <w:rFonts w:ascii="Arial" w:hAnsi="Arial"/>
          <w:i/>
          <w:spacing w:val="-5"/>
          <w:sz w:val="15"/>
        </w:rPr>
        <w:t xml:space="preserve"> </w:t>
      </w:r>
      <w:r w:rsidRPr="00EB2BD8">
        <w:rPr>
          <w:rFonts w:ascii="Arial" w:hAnsi="Arial"/>
          <w:i/>
          <w:sz w:val="15"/>
        </w:rPr>
        <w:t>VBA against</w:t>
      </w:r>
      <w:r w:rsidRPr="00EB2BD8">
        <w:rPr>
          <w:rFonts w:ascii="Arial" w:hAnsi="Arial"/>
          <w:i/>
          <w:spacing w:val="-5"/>
          <w:sz w:val="15"/>
        </w:rPr>
        <w:t xml:space="preserve"> </w:t>
      </w:r>
      <w:r w:rsidRPr="00EB2BD8">
        <w:rPr>
          <w:rFonts w:ascii="Arial" w:hAnsi="Arial"/>
          <w:i/>
          <w:sz w:val="15"/>
        </w:rPr>
        <w:t>plumbing</w:t>
      </w:r>
      <w:r w:rsidRPr="00EB2BD8">
        <w:rPr>
          <w:rFonts w:ascii="Arial" w:hAnsi="Arial"/>
          <w:i/>
          <w:spacing w:val="-5"/>
          <w:sz w:val="15"/>
        </w:rPr>
        <w:t xml:space="preserve"> </w:t>
      </w:r>
      <w:r w:rsidRPr="00EB2BD8">
        <w:rPr>
          <w:rFonts w:ascii="Arial" w:hAnsi="Arial"/>
          <w:i/>
          <w:sz w:val="15"/>
        </w:rPr>
        <w:t>practitioners</w:t>
      </w:r>
      <w:r w:rsidRPr="00EB2BD8">
        <w:rPr>
          <w:rFonts w:ascii="Arial" w:hAnsi="Arial"/>
          <w:i/>
          <w:spacing w:val="-4"/>
          <w:sz w:val="15"/>
        </w:rPr>
        <w:t xml:space="preserve"> </w:t>
      </w:r>
      <w:r w:rsidRPr="00EB2BD8">
        <w:rPr>
          <w:rFonts w:ascii="Arial" w:hAnsi="Arial"/>
          <w:i/>
          <w:sz w:val="15"/>
        </w:rPr>
        <w:t>in</w:t>
      </w:r>
      <w:r w:rsidRPr="00EB2BD8">
        <w:rPr>
          <w:rFonts w:ascii="Arial" w:hAnsi="Arial"/>
          <w:i/>
          <w:spacing w:val="-5"/>
          <w:sz w:val="15"/>
        </w:rPr>
        <w:t xml:space="preserve"> </w:t>
      </w:r>
      <w:r w:rsidRPr="00EB2BD8">
        <w:rPr>
          <w:rFonts w:ascii="Arial" w:hAnsi="Arial"/>
          <w:i/>
          <w:sz w:val="15"/>
        </w:rPr>
        <w:t>the</w:t>
      </w:r>
      <w:r w:rsidRPr="00EB2BD8">
        <w:rPr>
          <w:rFonts w:ascii="Arial" w:hAnsi="Arial"/>
          <w:i/>
          <w:spacing w:val="-5"/>
          <w:sz w:val="15"/>
        </w:rPr>
        <w:t xml:space="preserve"> </w:t>
      </w:r>
      <w:r w:rsidRPr="00EB2BD8">
        <w:rPr>
          <w:rFonts w:ascii="Arial" w:hAnsi="Arial"/>
          <w:i/>
          <w:sz w:val="15"/>
        </w:rPr>
        <w:t>Magistrates’</w:t>
      </w:r>
      <w:r w:rsidRPr="00EB2BD8">
        <w:rPr>
          <w:rFonts w:ascii="Arial" w:hAnsi="Arial"/>
          <w:i/>
          <w:spacing w:val="-4"/>
          <w:sz w:val="15"/>
        </w:rPr>
        <w:t xml:space="preserve"> </w:t>
      </w:r>
      <w:r w:rsidRPr="00EB2BD8">
        <w:rPr>
          <w:rFonts w:ascii="Arial" w:hAnsi="Arial"/>
          <w:i/>
          <w:sz w:val="15"/>
        </w:rPr>
        <w:t>Court</w:t>
      </w:r>
      <w:r w:rsidRPr="00EB2BD8">
        <w:rPr>
          <w:rFonts w:ascii="Arial" w:hAnsi="Arial"/>
          <w:i/>
          <w:spacing w:val="-5"/>
          <w:sz w:val="15"/>
        </w:rPr>
        <w:t xml:space="preserve"> </w:t>
      </w:r>
      <w:r w:rsidRPr="00EB2BD8">
        <w:rPr>
          <w:rFonts w:ascii="Arial" w:hAnsi="Arial"/>
          <w:i/>
          <w:sz w:val="15"/>
        </w:rPr>
        <w:t>of</w:t>
      </w:r>
      <w:r w:rsidRPr="00EB2BD8">
        <w:rPr>
          <w:rFonts w:ascii="Arial" w:hAnsi="Arial"/>
          <w:i/>
          <w:spacing w:val="-5"/>
          <w:sz w:val="15"/>
        </w:rPr>
        <w:t xml:space="preserve"> </w:t>
      </w:r>
      <w:r w:rsidRPr="00EB2BD8">
        <w:rPr>
          <w:rFonts w:ascii="Arial" w:hAnsi="Arial"/>
          <w:i/>
          <w:sz w:val="15"/>
        </w:rPr>
        <w:t>Victoria</w:t>
      </w:r>
      <w:r w:rsidRPr="00EB2BD8">
        <w:rPr>
          <w:rFonts w:ascii="Arial" w:hAnsi="Arial"/>
          <w:i/>
          <w:spacing w:val="-4"/>
          <w:sz w:val="15"/>
        </w:rPr>
        <w:t xml:space="preserve"> </w:t>
      </w:r>
      <w:r w:rsidRPr="00EB2BD8">
        <w:rPr>
          <w:rFonts w:ascii="Arial" w:hAnsi="Arial"/>
          <w:i/>
          <w:sz w:val="15"/>
        </w:rPr>
        <w:t>and</w:t>
      </w:r>
      <w:r w:rsidRPr="00EB2BD8">
        <w:rPr>
          <w:rFonts w:ascii="Arial" w:hAnsi="Arial"/>
          <w:i/>
          <w:spacing w:val="-5"/>
          <w:sz w:val="15"/>
        </w:rPr>
        <w:t xml:space="preserve"> </w:t>
      </w:r>
      <w:r w:rsidRPr="00EB2BD8">
        <w:rPr>
          <w:rFonts w:ascii="Arial" w:hAnsi="Arial"/>
          <w:i/>
          <w:sz w:val="15"/>
        </w:rPr>
        <w:t>County</w:t>
      </w:r>
      <w:r w:rsidRPr="00EB2BD8">
        <w:rPr>
          <w:rFonts w:ascii="Arial" w:hAnsi="Arial"/>
          <w:i/>
          <w:spacing w:val="-4"/>
          <w:sz w:val="15"/>
        </w:rPr>
        <w:t xml:space="preserve"> </w:t>
      </w:r>
      <w:r w:rsidRPr="00EB2BD8">
        <w:rPr>
          <w:rFonts w:ascii="Arial" w:hAnsi="Arial"/>
          <w:i/>
          <w:sz w:val="15"/>
        </w:rPr>
        <w:t>Court</w:t>
      </w:r>
      <w:r w:rsidRPr="00EB2BD8">
        <w:rPr>
          <w:rFonts w:ascii="Arial" w:hAnsi="Arial"/>
          <w:i/>
          <w:spacing w:val="-5"/>
          <w:sz w:val="15"/>
        </w:rPr>
        <w:t xml:space="preserve"> </w:t>
      </w:r>
      <w:r w:rsidRPr="00EB2BD8">
        <w:rPr>
          <w:rFonts w:ascii="Arial" w:hAnsi="Arial"/>
          <w:i/>
          <w:sz w:val="15"/>
        </w:rPr>
        <w:t>of</w:t>
      </w:r>
      <w:r w:rsidRPr="00EB2BD8">
        <w:rPr>
          <w:rFonts w:ascii="Arial" w:hAnsi="Arial"/>
          <w:i/>
          <w:spacing w:val="-5"/>
          <w:sz w:val="15"/>
        </w:rPr>
        <w:t xml:space="preserve"> </w:t>
      </w:r>
      <w:r w:rsidRPr="00EB2BD8">
        <w:rPr>
          <w:rFonts w:ascii="Arial" w:hAnsi="Arial"/>
          <w:i/>
          <w:sz w:val="15"/>
        </w:rPr>
        <w:t>Victoria.</w:t>
      </w:r>
      <w:r w:rsidRPr="00EB2BD8">
        <w:rPr>
          <w:rFonts w:ascii="Arial" w:hAnsi="Arial"/>
          <w:i/>
          <w:spacing w:val="-5"/>
          <w:sz w:val="15"/>
        </w:rPr>
        <w:t xml:space="preserve"> </w:t>
      </w:r>
      <w:r w:rsidRPr="00EB2BD8">
        <w:rPr>
          <w:rFonts w:ascii="Arial" w:hAnsi="Arial"/>
          <w:i/>
          <w:sz w:val="15"/>
        </w:rPr>
        <w:t>The</w:t>
      </w:r>
      <w:r w:rsidRPr="00EB2BD8">
        <w:rPr>
          <w:rFonts w:ascii="Arial" w:hAnsi="Arial"/>
          <w:i/>
          <w:spacing w:val="-4"/>
          <w:sz w:val="15"/>
        </w:rPr>
        <w:t xml:space="preserve"> </w:t>
      </w:r>
      <w:r w:rsidRPr="00EB2BD8">
        <w:rPr>
          <w:rFonts w:ascii="Arial" w:hAnsi="Arial"/>
          <w:i/>
          <w:sz w:val="15"/>
        </w:rPr>
        <w:t>amount</w:t>
      </w:r>
      <w:r w:rsidRPr="00EB2BD8">
        <w:rPr>
          <w:rFonts w:ascii="Arial" w:hAnsi="Arial"/>
          <w:i/>
          <w:spacing w:val="-5"/>
          <w:sz w:val="15"/>
        </w:rPr>
        <w:t xml:space="preserve"> </w:t>
      </w:r>
      <w:r w:rsidRPr="00EB2BD8">
        <w:rPr>
          <w:rFonts w:ascii="Arial" w:hAnsi="Arial"/>
          <w:i/>
          <w:sz w:val="15"/>
        </w:rPr>
        <w:t>is</w:t>
      </w:r>
      <w:r w:rsidRPr="00EB2BD8">
        <w:rPr>
          <w:rFonts w:ascii="Arial" w:hAnsi="Arial"/>
          <w:i/>
          <w:spacing w:val="-4"/>
          <w:sz w:val="15"/>
        </w:rPr>
        <w:t xml:space="preserve"> </w:t>
      </w:r>
      <w:r w:rsidRPr="00EB2BD8">
        <w:rPr>
          <w:rFonts w:ascii="Arial" w:hAnsi="Arial"/>
          <w:i/>
          <w:sz w:val="15"/>
        </w:rPr>
        <w:t>recognised</w:t>
      </w:r>
      <w:r w:rsidRPr="00EB2BD8">
        <w:rPr>
          <w:rFonts w:ascii="Arial" w:hAnsi="Arial"/>
          <w:i/>
          <w:spacing w:val="-5"/>
          <w:sz w:val="15"/>
        </w:rPr>
        <w:t xml:space="preserve"> </w:t>
      </w:r>
      <w:r w:rsidRPr="00EB2BD8">
        <w:rPr>
          <w:rFonts w:ascii="Arial" w:hAnsi="Arial"/>
          <w:i/>
          <w:sz w:val="15"/>
        </w:rPr>
        <w:t>when</w:t>
      </w:r>
      <w:r w:rsidRPr="00EB2BD8">
        <w:rPr>
          <w:rFonts w:ascii="Arial" w:hAnsi="Arial"/>
          <w:i/>
          <w:spacing w:val="-5"/>
          <w:sz w:val="15"/>
        </w:rPr>
        <w:t xml:space="preserve"> </w:t>
      </w:r>
      <w:r w:rsidRPr="00EB2BD8">
        <w:rPr>
          <w:rFonts w:ascii="Arial" w:hAnsi="Arial"/>
          <w:i/>
          <w:sz w:val="15"/>
        </w:rPr>
        <w:t>the fines are issued (i.e. at point in time).</w:t>
      </w:r>
    </w:p>
    <w:p w14:paraId="390F8627" w14:textId="77777777" w:rsidR="00084F36" w:rsidRPr="00EB2BD8" w:rsidRDefault="00084F36">
      <w:pPr>
        <w:pStyle w:val="BodyText"/>
        <w:rPr>
          <w:rFonts w:ascii="Arial"/>
          <w:i/>
          <w:sz w:val="16"/>
        </w:rPr>
      </w:pPr>
    </w:p>
    <w:p w14:paraId="239A4EB3" w14:textId="77777777" w:rsidR="00084F36" w:rsidRPr="00EB2BD8" w:rsidRDefault="00084F36">
      <w:pPr>
        <w:pStyle w:val="BodyText"/>
        <w:spacing w:before="3"/>
        <w:rPr>
          <w:rFonts w:ascii="Arial"/>
          <w:i/>
        </w:rPr>
      </w:pPr>
    </w:p>
    <w:p w14:paraId="71C9FC45" w14:textId="77777777" w:rsidR="00084F36" w:rsidRPr="00EB2BD8" w:rsidRDefault="00EB2BD8" w:rsidP="00436F78">
      <w:pPr>
        <w:pStyle w:val="Heading2"/>
        <w:ind w:firstLine="156"/>
      </w:pPr>
      <w:bookmarkStart w:id="266" w:name="_Toc150762568"/>
      <w:r w:rsidRPr="00EB2BD8">
        <w:t>AASB</w:t>
      </w:r>
      <w:r w:rsidRPr="00EB2BD8">
        <w:rPr>
          <w:spacing w:val="11"/>
        </w:rPr>
        <w:t xml:space="preserve"> </w:t>
      </w:r>
      <w:r w:rsidRPr="00EB2BD8">
        <w:t>15</w:t>
      </w:r>
      <w:r w:rsidRPr="00EB2BD8">
        <w:rPr>
          <w:spacing w:val="12"/>
        </w:rPr>
        <w:t xml:space="preserve"> </w:t>
      </w:r>
      <w:r w:rsidRPr="00EB2BD8">
        <w:t>Revenue</w:t>
      </w:r>
      <w:r w:rsidRPr="00EB2BD8">
        <w:rPr>
          <w:spacing w:val="11"/>
        </w:rPr>
        <w:t xml:space="preserve"> </w:t>
      </w:r>
      <w:r w:rsidRPr="00EB2BD8">
        <w:t>from</w:t>
      </w:r>
      <w:r w:rsidRPr="00EB2BD8">
        <w:rPr>
          <w:spacing w:val="11"/>
        </w:rPr>
        <w:t xml:space="preserve"> </w:t>
      </w:r>
      <w:r w:rsidRPr="00EB2BD8">
        <w:t>contracts</w:t>
      </w:r>
      <w:r w:rsidRPr="00EB2BD8">
        <w:rPr>
          <w:spacing w:val="12"/>
        </w:rPr>
        <w:t xml:space="preserve"> </w:t>
      </w:r>
      <w:r w:rsidRPr="00EB2BD8">
        <w:t>with</w:t>
      </w:r>
      <w:r w:rsidRPr="00EB2BD8">
        <w:rPr>
          <w:spacing w:val="11"/>
        </w:rPr>
        <w:t xml:space="preserve"> </w:t>
      </w:r>
      <w:r w:rsidRPr="00EB2BD8">
        <w:rPr>
          <w:spacing w:val="-2"/>
        </w:rPr>
        <w:t>customers</w:t>
      </w:r>
      <w:bookmarkEnd w:id="266"/>
    </w:p>
    <w:p w14:paraId="6CDFDBB3" w14:textId="77777777" w:rsidR="00084F36" w:rsidRPr="00EB2BD8" w:rsidRDefault="00EB2BD8">
      <w:pPr>
        <w:spacing w:before="156"/>
        <w:ind w:left="1006"/>
        <w:rPr>
          <w:rFonts w:ascii="Arial"/>
          <w:sz w:val="16"/>
        </w:rPr>
      </w:pPr>
      <w:r w:rsidRPr="00EB2BD8">
        <w:rPr>
          <w:rFonts w:ascii="Arial"/>
          <w:w w:val="105"/>
          <w:sz w:val="16"/>
        </w:rPr>
        <w:t>Performance</w:t>
      </w:r>
      <w:r w:rsidRPr="00EB2BD8">
        <w:rPr>
          <w:rFonts w:ascii="Arial"/>
          <w:spacing w:val="-11"/>
          <w:w w:val="105"/>
          <w:sz w:val="16"/>
        </w:rPr>
        <w:t xml:space="preserve"> </w:t>
      </w:r>
      <w:r w:rsidRPr="00EB2BD8">
        <w:rPr>
          <w:rFonts w:ascii="Arial"/>
          <w:w w:val="105"/>
          <w:sz w:val="16"/>
        </w:rPr>
        <w:t>obligations</w:t>
      </w:r>
      <w:r w:rsidRPr="00EB2BD8">
        <w:rPr>
          <w:rFonts w:ascii="Arial"/>
          <w:spacing w:val="-11"/>
          <w:w w:val="105"/>
          <w:sz w:val="16"/>
        </w:rPr>
        <w:t xml:space="preserve"> </w:t>
      </w:r>
      <w:r w:rsidRPr="00EB2BD8">
        <w:rPr>
          <w:rFonts w:ascii="Arial"/>
          <w:w w:val="105"/>
          <w:sz w:val="16"/>
        </w:rPr>
        <w:t>and</w:t>
      </w:r>
      <w:r w:rsidRPr="00EB2BD8">
        <w:rPr>
          <w:rFonts w:ascii="Arial"/>
          <w:spacing w:val="-10"/>
          <w:w w:val="105"/>
          <w:sz w:val="16"/>
        </w:rPr>
        <w:t xml:space="preserve"> </w:t>
      </w:r>
      <w:r w:rsidRPr="00EB2BD8">
        <w:rPr>
          <w:rFonts w:ascii="Arial"/>
          <w:w w:val="105"/>
          <w:sz w:val="16"/>
        </w:rPr>
        <w:t>revenue</w:t>
      </w:r>
      <w:r w:rsidRPr="00EB2BD8">
        <w:rPr>
          <w:rFonts w:ascii="Arial"/>
          <w:spacing w:val="-11"/>
          <w:w w:val="105"/>
          <w:sz w:val="16"/>
        </w:rPr>
        <w:t xml:space="preserve"> </w:t>
      </w:r>
      <w:r w:rsidRPr="00EB2BD8">
        <w:rPr>
          <w:rFonts w:ascii="Arial"/>
          <w:w w:val="105"/>
          <w:sz w:val="16"/>
        </w:rPr>
        <w:t>recognition</w:t>
      </w:r>
      <w:r w:rsidRPr="00EB2BD8">
        <w:rPr>
          <w:rFonts w:ascii="Arial"/>
          <w:spacing w:val="-11"/>
          <w:w w:val="105"/>
          <w:sz w:val="16"/>
        </w:rPr>
        <w:t xml:space="preserve"> </w:t>
      </w:r>
      <w:r w:rsidRPr="00EB2BD8">
        <w:rPr>
          <w:rFonts w:ascii="Arial"/>
          <w:spacing w:val="-2"/>
          <w:w w:val="105"/>
          <w:sz w:val="16"/>
        </w:rPr>
        <w:t>policies</w:t>
      </w:r>
    </w:p>
    <w:p w14:paraId="62FC4CF3" w14:textId="77777777" w:rsidR="00084F36" w:rsidRPr="00EB2BD8" w:rsidRDefault="00EB2BD8">
      <w:pPr>
        <w:spacing w:before="150" w:line="290" w:lineRule="auto"/>
        <w:ind w:left="1006" w:right="1813"/>
        <w:rPr>
          <w:rFonts w:ascii="Arial"/>
          <w:sz w:val="16"/>
        </w:rPr>
      </w:pPr>
      <w:r w:rsidRPr="00EB2BD8">
        <w:rPr>
          <w:rFonts w:ascii="Arial"/>
          <w:w w:val="105"/>
          <w:sz w:val="16"/>
        </w:rPr>
        <w:t>The core principle of AASB 15 is, an entity recognises revenue at the point in time when control of a good or service transfers to the customer, for an amount that reflects the consideration the entity expects to be entitled in exchange for those goods when, or as, the performance obligations for the sale of goods and services to the customer are satisfied. Revenue is also recognised over time when the customer simultaneously receives and consumes the services as it is provided. For contracts that permit the customer to request for refund, the revenue is recognised to the extent it is highly probable</w:t>
      </w:r>
      <w:r w:rsidRPr="00EB2BD8">
        <w:rPr>
          <w:rFonts w:ascii="Arial"/>
          <w:spacing w:val="-3"/>
          <w:w w:val="105"/>
          <w:sz w:val="16"/>
        </w:rPr>
        <w:t xml:space="preserve"> </w:t>
      </w:r>
      <w:r w:rsidRPr="00EB2BD8">
        <w:rPr>
          <w:rFonts w:ascii="Arial"/>
          <w:w w:val="105"/>
          <w:sz w:val="16"/>
        </w:rPr>
        <w:t>that</w:t>
      </w:r>
      <w:r w:rsidRPr="00EB2BD8">
        <w:rPr>
          <w:rFonts w:ascii="Arial"/>
          <w:spacing w:val="-3"/>
          <w:w w:val="105"/>
          <w:sz w:val="16"/>
        </w:rPr>
        <w:t xml:space="preserve"> </w:t>
      </w:r>
      <w:r w:rsidRPr="00EB2BD8">
        <w:rPr>
          <w:rFonts w:ascii="Arial"/>
          <w:w w:val="105"/>
          <w:sz w:val="16"/>
        </w:rPr>
        <w:t>a</w:t>
      </w:r>
      <w:r w:rsidRPr="00EB2BD8">
        <w:rPr>
          <w:rFonts w:ascii="Arial"/>
          <w:spacing w:val="-2"/>
          <w:w w:val="105"/>
          <w:sz w:val="16"/>
        </w:rPr>
        <w:t xml:space="preserve"> </w:t>
      </w:r>
      <w:r w:rsidRPr="00EB2BD8">
        <w:rPr>
          <w:rFonts w:ascii="Arial"/>
          <w:w w:val="105"/>
          <w:sz w:val="16"/>
        </w:rPr>
        <w:t>significant</w:t>
      </w:r>
      <w:r w:rsidRPr="00EB2BD8">
        <w:rPr>
          <w:rFonts w:ascii="Arial"/>
          <w:spacing w:val="-3"/>
          <w:w w:val="105"/>
          <w:sz w:val="16"/>
        </w:rPr>
        <w:t xml:space="preserve"> </w:t>
      </w:r>
      <w:r w:rsidRPr="00EB2BD8">
        <w:rPr>
          <w:rFonts w:ascii="Arial"/>
          <w:w w:val="105"/>
          <w:sz w:val="16"/>
        </w:rPr>
        <w:t>cumulative</w:t>
      </w:r>
      <w:r w:rsidRPr="00EB2BD8">
        <w:rPr>
          <w:rFonts w:ascii="Arial"/>
          <w:spacing w:val="-3"/>
          <w:w w:val="105"/>
          <w:sz w:val="16"/>
        </w:rPr>
        <w:t xml:space="preserve"> </w:t>
      </w:r>
      <w:r w:rsidRPr="00EB2BD8">
        <w:rPr>
          <w:rFonts w:ascii="Arial"/>
          <w:w w:val="105"/>
          <w:sz w:val="16"/>
        </w:rPr>
        <w:t>reversal</w:t>
      </w:r>
      <w:r w:rsidRPr="00EB2BD8">
        <w:rPr>
          <w:rFonts w:ascii="Arial"/>
          <w:spacing w:val="-3"/>
          <w:w w:val="105"/>
          <w:sz w:val="16"/>
        </w:rPr>
        <w:t xml:space="preserve"> </w:t>
      </w:r>
      <w:r w:rsidRPr="00EB2BD8">
        <w:rPr>
          <w:rFonts w:ascii="Arial"/>
          <w:w w:val="105"/>
          <w:sz w:val="16"/>
        </w:rPr>
        <w:t>will</w:t>
      </w:r>
      <w:r w:rsidRPr="00EB2BD8">
        <w:rPr>
          <w:rFonts w:ascii="Arial"/>
          <w:spacing w:val="-3"/>
          <w:w w:val="105"/>
          <w:sz w:val="16"/>
        </w:rPr>
        <w:t xml:space="preserve"> </w:t>
      </w:r>
      <w:r w:rsidRPr="00EB2BD8">
        <w:rPr>
          <w:rFonts w:ascii="Arial"/>
          <w:w w:val="105"/>
          <w:sz w:val="16"/>
        </w:rPr>
        <w:t>not</w:t>
      </w:r>
      <w:r w:rsidRPr="00EB2BD8">
        <w:rPr>
          <w:rFonts w:ascii="Arial"/>
          <w:spacing w:val="-3"/>
          <w:w w:val="105"/>
          <w:sz w:val="16"/>
        </w:rPr>
        <w:t xml:space="preserve"> </w:t>
      </w:r>
      <w:r w:rsidRPr="00EB2BD8">
        <w:rPr>
          <w:rFonts w:ascii="Arial"/>
          <w:w w:val="105"/>
          <w:sz w:val="16"/>
        </w:rPr>
        <w:t>occur.</w:t>
      </w:r>
      <w:r w:rsidRPr="00EB2BD8">
        <w:rPr>
          <w:rFonts w:ascii="Arial"/>
          <w:spacing w:val="-3"/>
          <w:w w:val="105"/>
          <w:sz w:val="16"/>
        </w:rPr>
        <w:t xml:space="preserve"> </w:t>
      </w:r>
      <w:r w:rsidRPr="00EB2BD8">
        <w:rPr>
          <w:rFonts w:ascii="Arial"/>
          <w:w w:val="105"/>
          <w:sz w:val="16"/>
        </w:rPr>
        <w:t>Therefore,</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amount</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revenue</w:t>
      </w:r>
      <w:r w:rsidRPr="00EB2BD8">
        <w:rPr>
          <w:rFonts w:ascii="Arial"/>
          <w:spacing w:val="-3"/>
          <w:w w:val="105"/>
          <w:sz w:val="16"/>
        </w:rPr>
        <w:t xml:space="preserve"> </w:t>
      </w:r>
      <w:r w:rsidRPr="00EB2BD8">
        <w:rPr>
          <w:rFonts w:ascii="Arial"/>
          <w:w w:val="105"/>
          <w:sz w:val="16"/>
        </w:rPr>
        <w:t>recognised</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adjusted</w:t>
      </w:r>
      <w:r w:rsidRPr="00EB2BD8">
        <w:rPr>
          <w:rFonts w:ascii="Arial"/>
          <w:spacing w:val="-3"/>
          <w:w w:val="105"/>
          <w:sz w:val="16"/>
        </w:rPr>
        <w:t xml:space="preserve"> </w:t>
      </w:r>
      <w:r w:rsidRPr="00EB2BD8">
        <w:rPr>
          <w:rFonts w:ascii="Arial"/>
          <w:w w:val="105"/>
          <w:sz w:val="16"/>
        </w:rPr>
        <w:t>for expected</w:t>
      </w:r>
      <w:r w:rsidRPr="00EB2BD8">
        <w:rPr>
          <w:rFonts w:ascii="Arial"/>
          <w:spacing w:val="-2"/>
          <w:w w:val="105"/>
          <w:sz w:val="16"/>
        </w:rPr>
        <w:t xml:space="preserve"> </w:t>
      </w:r>
      <w:r w:rsidRPr="00EB2BD8">
        <w:rPr>
          <w:rFonts w:ascii="Arial"/>
          <w:w w:val="105"/>
          <w:sz w:val="16"/>
        </w:rPr>
        <w:t>returns,</w:t>
      </w:r>
      <w:r w:rsidRPr="00EB2BD8">
        <w:rPr>
          <w:rFonts w:ascii="Arial"/>
          <w:spacing w:val="-2"/>
          <w:w w:val="105"/>
          <w:sz w:val="16"/>
        </w:rPr>
        <w:t xml:space="preserve"> </w:t>
      </w:r>
      <w:r w:rsidRPr="00EB2BD8">
        <w:rPr>
          <w:rFonts w:ascii="Arial"/>
          <w:w w:val="105"/>
          <w:sz w:val="16"/>
        </w:rPr>
        <w:t>which</w:t>
      </w:r>
      <w:r w:rsidRPr="00EB2BD8">
        <w:rPr>
          <w:rFonts w:ascii="Arial"/>
          <w:spacing w:val="-2"/>
          <w:w w:val="105"/>
          <w:sz w:val="16"/>
        </w:rPr>
        <w:t xml:space="preserve"> </w:t>
      </w:r>
      <w:r w:rsidRPr="00EB2BD8">
        <w:rPr>
          <w:rFonts w:ascii="Arial"/>
          <w:w w:val="105"/>
          <w:sz w:val="16"/>
        </w:rPr>
        <w:t>are</w:t>
      </w:r>
      <w:r w:rsidRPr="00EB2BD8">
        <w:rPr>
          <w:rFonts w:ascii="Arial"/>
          <w:spacing w:val="-2"/>
          <w:w w:val="105"/>
          <w:sz w:val="16"/>
        </w:rPr>
        <w:t xml:space="preserve"> </w:t>
      </w:r>
      <w:r w:rsidRPr="00EB2BD8">
        <w:rPr>
          <w:rFonts w:ascii="Arial"/>
          <w:w w:val="105"/>
          <w:sz w:val="16"/>
        </w:rPr>
        <w:t>estimated</w:t>
      </w:r>
      <w:r w:rsidRPr="00EB2BD8">
        <w:rPr>
          <w:rFonts w:ascii="Arial"/>
          <w:spacing w:val="-2"/>
          <w:w w:val="105"/>
          <w:sz w:val="16"/>
        </w:rPr>
        <w:t xml:space="preserve"> </w:t>
      </w:r>
      <w:r w:rsidRPr="00EB2BD8">
        <w:rPr>
          <w:rFonts w:ascii="Arial"/>
          <w:w w:val="105"/>
          <w:sz w:val="16"/>
        </w:rPr>
        <w:t>based</w:t>
      </w:r>
      <w:r w:rsidRPr="00EB2BD8">
        <w:rPr>
          <w:rFonts w:ascii="Arial"/>
          <w:spacing w:val="-1"/>
          <w:w w:val="105"/>
          <w:sz w:val="16"/>
        </w:rPr>
        <w:t xml:space="preserve"> </w:t>
      </w:r>
      <w:r w:rsidRPr="00EB2BD8">
        <w:rPr>
          <w:rFonts w:ascii="Arial"/>
          <w:w w:val="105"/>
          <w:sz w:val="16"/>
        </w:rPr>
        <w:t>on</w:t>
      </w:r>
      <w:r w:rsidRPr="00EB2BD8">
        <w:rPr>
          <w:rFonts w:ascii="Arial"/>
          <w:spacing w:val="-2"/>
          <w:w w:val="105"/>
          <w:sz w:val="16"/>
        </w:rPr>
        <w:t xml:space="preserve"> </w:t>
      </w:r>
      <w:r w:rsidRPr="00EB2BD8">
        <w:rPr>
          <w:rFonts w:ascii="Arial"/>
          <w:w w:val="105"/>
          <w:sz w:val="16"/>
        </w:rPr>
        <w:t>historical</w:t>
      </w:r>
      <w:r w:rsidRPr="00EB2BD8">
        <w:rPr>
          <w:rFonts w:ascii="Arial"/>
          <w:spacing w:val="-2"/>
          <w:w w:val="105"/>
          <w:sz w:val="16"/>
        </w:rPr>
        <w:t xml:space="preserve"> </w:t>
      </w:r>
      <w:r w:rsidRPr="00EB2BD8">
        <w:rPr>
          <w:rFonts w:ascii="Arial"/>
          <w:w w:val="105"/>
          <w:sz w:val="16"/>
        </w:rPr>
        <w:t>data.</w:t>
      </w:r>
      <w:r w:rsidRPr="00EB2BD8">
        <w:rPr>
          <w:rFonts w:ascii="Arial"/>
          <w:spacing w:val="-2"/>
          <w:w w:val="105"/>
          <w:sz w:val="16"/>
        </w:rPr>
        <w:t xml:space="preserve"> </w:t>
      </w:r>
      <w:r w:rsidRPr="00EB2BD8">
        <w:rPr>
          <w:rFonts w:ascii="Arial"/>
          <w:w w:val="105"/>
          <w:sz w:val="16"/>
        </w:rPr>
        <w:t>For</w:t>
      </w:r>
      <w:r w:rsidRPr="00EB2BD8">
        <w:rPr>
          <w:rFonts w:ascii="Arial"/>
          <w:spacing w:val="-2"/>
          <w:w w:val="105"/>
          <w:sz w:val="16"/>
        </w:rPr>
        <w:t xml:space="preserve"> </w:t>
      </w:r>
      <w:r w:rsidRPr="00EB2BD8">
        <w:rPr>
          <w:rFonts w:ascii="Arial"/>
          <w:w w:val="105"/>
          <w:sz w:val="16"/>
        </w:rPr>
        <w:t>consideration</w:t>
      </w:r>
      <w:r w:rsidRPr="00EB2BD8">
        <w:rPr>
          <w:rFonts w:ascii="Arial"/>
          <w:spacing w:val="-2"/>
          <w:w w:val="105"/>
          <w:sz w:val="16"/>
        </w:rPr>
        <w:t xml:space="preserve"> </w:t>
      </w:r>
      <w:r w:rsidRPr="00EB2BD8">
        <w:rPr>
          <w:rFonts w:ascii="Arial"/>
          <w:w w:val="105"/>
          <w:sz w:val="16"/>
        </w:rPr>
        <w:t>received</w:t>
      </w:r>
      <w:r w:rsidRPr="00EB2BD8">
        <w:rPr>
          <w:rFonts w:ascii="Arial"/>
          <w:spacing w:val="-2"/>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advance</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recognising</w:t>
      </w:r>
      <w:r w:rsidRPr="00EB2BD8">
        <w:rPr>
          <w:rFonts w:ascii="Arial"/>
          <w:spacing w:val="-2"/>
          <w:w w:val="105"/>
          <w:sz w:val="16"/>
        </w:rPr>
        <w:t xml:space="preserve"> </w:t>
      </w:r>
      <w:r w:rsidRPr="00EB2BD8">
        <w:rPr>
          <w:rFonts w:ascii="Arial"/>
          <w:w w:val="105"/>
          <w:sz w:val="16"/>
        </w:rPr>
        <w:t>the associated revenue from the customer, it is recorded as a contract liability i.e. deferred revenue.</w:t>
      </w:r>
    </w:p>
    <w:p w14:paraId="0420E7EA" w14:textId="77777777" w:rsidR="00084F36" w:rsidRPr="00EB2BD8" w:rsidRDefault="00084F36">
      <w:pPr>
        <w:pStyle w:val="BodyText"/>
        <w:rPr>
          <w:rFonts w:ascii="Arial"/>
        </w:rPr>
      </w:pPr>
    </w:p>
    <w:p w14:paraId="7D6DA31E" w14:textId="77777777" w:rsidR="00084F36" w:rsidRPr="00EB2BD8" w:rsidRDefault="00EB2BD8" w:rsidP="00436F78">
      <w:pPr>
        <w:pStyle w:val="Heading2"/>
        <w:ind w:firstLine="156"/>
      </w:pPr>
      <w:bookmarkStart w:id="267" w:name="_Toc150762569"/>
      <w:r w:rsidRPr="00EB2BD8">
        <w:t>Application</w:t>
      </w:r>
      <w:r w:rsidRPr="00EB2BD8">
        <w:rPr>
          <w:spacing w:val="11"/>
        </w:rPr>
        <w:t xml:space="preserve"> </w:t>
      </w:r>
      <w:r w:rsidRPr="00EB2BD8">
        <w:t>of</w:t>
      </w:r>
      <w:r w:rsidRPr="00EB2BD8">
        <w:rPr>
          <w:spacing w:val="12"/>
        </w:rPr>
        <w:t xml:space="preserve"> </w:t>
      </w:r>
      <w:r w:rsidRPr="00EB2BD8">
        <w:t>AASB</w:t>
      </w:r>
      <w:r w:rsidRPr="00EB2BD8">
        <w:rPr>
          <w:spacing w:val="12"/>
        </w:rPr>
        <w:t xml:space="preserve"> </w:t>
      </w:r>
      <w:r w:rsidRPr="00EB2BD8">
        <w:rPr>
          <w:spacing w:val="-5"/>
        </w:rPr>
        <w:t>15</w:t>
      </w:r>
      <w:bookmarkEnd w:id="267"/>
    </w:p>
    <w:p w14:paraId="7217AF0E" w14:textId="77777777" w:rsidR="00084F36" w:rsidRPr="00EB2BD8" w:rsidRDefault="00EB2BD8">
      <w:pPr>
        <w:spacing w:before="156" w:line="290" w:lineRule="auto"/>
        <w:ind w:left="1006" w:right="1708"/>
        <w:rPr>
          <w:rFonts w:ascii="Arial" w:hAnsi="Arial"/>
          <w:sz w:val="16"/>
        </w:rPr>
      </w:pPr>
      <w:r w:rsidRPr="00EB2BD8">
        <w:rPr>
          <w:rFonts w:ascii="Arial" w:hAnsi="Arial"/>
          <w:w w:val="105"/>
          <w:sz w:val="16"/>
        </w:rPr>
        <w:t>Levies, fees and fines are transactions that the VBA has determined to be classified as revenue from contracts with customers in accordance with AASB 15, specifically, VBA has applied the exemption available under paragraph Aus 8.1</w:t>
      </w:r>
      <w:r w:rsidRPr="00EB2BD8">
        <w:rPr>
          <w:rFonts w:ascii="Arial" w:hAnsi="Arial"/>
          <w:spacing w:val="40"/>
          <w:w w:val="105"/>
          <w:sz w:val="16"/>
        </w:rPr>
        <w:t xml:space="preserve"> </w:t>
      </w:r>
      <w:r w:rsidRPr="00EB2BD8">
        <w:rPr>
          <w:rFonts w:ascii="Arial" w:hAnsi="Arial"/>
          <w:w w:val="105"/>
          <w:sz w:val="16"/>
        </w:rPr>
        <w:t>and</w:t>
      </w:r>
      <w:r w:rsidRPr="00EB2BD8">
        <w:rPr>
          <w:rFonts w:ascii="Arial" w:hAnsi="Arial"/>
          <w:spacing w:val="-2"/>
          <w:w w:val="105"/>
          <w:sz w:val="16"/>
        </w:rPr>
        <w:t xml:space="preserve"> </w:t>
      </w:r>
      <w:r w:rsidRPr="00EB2BD8">
        <w:rPr>
          <w:rFonts w:ascii="Arial" w:hAnsi="Arial"/>
          <w:w w:val="105"/>
          <w:sz w:val="16"/>
        </w:rPr>
        <w:t>Aus</w:t>
      </w:r>
      <w:r w:rsidRPr="00EB2BD8">
        <w:rPr>
          <w:rFonts w:ascii="Arial" w:hAnsi="Arial"/>
          <w:spacing w:val="-2"/>
          <w:w w:val="105"/>
          <w:sz w:val="16"/>
        </w:rPr>
        <w:t xml:space="preserve"> </w:t>
      </w:r>
      <w:r w:rsidRPr="00EB2BD8">
        <w:rPr>
          <w:rFonts w:ascii="Arial" w:hAnsi="Arial"/>
          <w:w w:val="105"/>
          <w:sz w:val="16"/>
        </w:rPr>
        <w:t>8.3</w:t>
      </w:r>
      <w:r w:rsidRPr="00EB2BD8">
        <w:rPr>
          <w:rFonts w:ascii="Arial" w:hAnsi="Arial"/>
          <w:spacing w:val="-2"/>
          <w:w w:val="105"/>
          <w:sz w:val="16"/>
        </w:rPr>
        <w:t xml:space="preserve"> </w:t>
      </w:r>
      <w:r w:rsidRPr="00EB2BD8">
        <w:rPr>
          <w:rFonts w:ascii="Arial" w:hAnsi="Arial"/>
          <w:w w:val="105"/>
          <w:sz w:val="16"/>
        </w:rPr>
        <w:t>and</w:t>
      </w:r>
      <w:r w:rsidRPr="00EB2BD8">
        <w:rPr>
          <w:rFonts w:ascii="Arial" w:hAnsi="Arial"/>
          <w:spacing w:val="-2"/>
          <w:w w:val="105"/>
          <w:sz w:val="16"/>
        </w:rPr>
        <w:t xml:space="preserve"> </w:t>
      </w:r>
      <w:r w:rsidRPr="00EB2BD8">
        <w:rPr>
          <w:rFonts w:ascii="Arial" w:hAnsi="Arial"/>
          <w:w w:val="105"/>
          <w:sz w:val="16"/>
        </w:rPr>
        <w:t>have</w:t>
      </w:r>
      <w:r w:rsidRPr="00EB2BD8">
        <w:rPr>
          <w:rFonts w:ascii="Arial" w:hAnsi="Arial"/>
          <w:spacing w:val="-2"/>
          <w:w w:val="105"/>
          <w:sz w:val="16"/>
        </w:rPr>
        <w:t xml:space="preserve"> </w:t>
      </w:r>
      <w:r w:rsidRPr="00EB2BD8">
        <w:rPr>
          <w:rFonts w:ascii="Arial" w:hAnsi="Arial"/>
          <w:w w:val="105"/>
          <w:sz w:val="16"/>
        </w:rPr>
        <w:t>treated</w:t>
      </w:r>
      <w:r w:rsidRPr="00EB2BD8">
        <w:rPr>
          <w:rFonts w:ascii="Arial" w:hAnsi="Arial"/>
          <w:spacing w:val="-1"/>
          <w:w w:val="105"/>
          <w:sz w:val="16"/>
        </w:rPr>
        <w:t xml:space="preserve"> </w:t>
      </w:r>
      <w:r w:rsidRPr="00EB2BD8">
        <w:rPr>
          <w:rFonts w:ascii="Arial" w:hAnsi="Arial"/>
          <w:w w:val="105"/>
          <w:sz w:val="16"/>
        </w:rPr>
        <w:t>levy</w:t>
      </w:r>
      <w:r w:rsidRPr="00EB2BD8">
        <w:rPr>
          <w:rFonts w:ascii="Arial" w:hAnsi="Arial"/>
          <w:spacing w:val="-2"/>
          <w:w w:val="105"/>
          <w:sz w:val="16"/>
        </w:rPr>
        <w:t xml:space="preserve"> </w:t>
      </w:r>
      <w:r w:rsidRPr="00EB2BD8">
        <w:rPr>
          <w:rFonts w:ascii="Arial" w:hAnsi="Arial"/>
          <w:w w:val="105"/>
          <w:sz w:val="16"/>
        </w:rPr>
        <w:t>as</w:t>
      </w:r>
      <w:r w:rsidRPr="00EB2BD8">
        <w:rPr>
          <w:rFonts w:ascii="Arial" w:hAnsi="Arial"/>
          <w:spacing w:val="-2"/>
          <w:w w:val="105"/>
          <w:sz w:val="16"/>
        </w:rPr>
        <w:t xml:space="preserve"> </w:t>
      </w:r>
      <w:r w:rsidRPr="00EB2BD8">
        <w:rPr>
          <w:rFonts w:ascii="Arial" w:hAnsi="Arial"/>
          <w:w w:val="105"/>
          <w:sz w:val="16"/>
        </w:rPr>
        <w:t>licences</w:t>
      </w:r>
      <w:r w:rsidRPr="00EB2BD8">
        <w:rPr>
          <w:rFonts w:ascii="Arial" w:hAnsi="Arial"/>
          <w:spacing w:val="-2"/>
          <w:w w:val="105"/>
          <w:sz w:val="16"/>
        </w:rPr>
        <w:t xml:space="preserve"> </w:t>
      </w:r>
      <w:r w:rsidRPr="00EB2BD8">
        <w:rPr>
          <w:rFonts w:ascii="Arial" w:hAnsi="Arial"/>
          <w:w w:val="105"/>
          <w:sz w:val="16"/>
        </w:rPr>
        <w:t>and</w:t>
      </w:r>
      <w:r w:rsidRPr="00EB2BD8">
        <w:rPr>
          <w:rFonts w:ascii="Arial" w:hAnsi="Arial"/>
          <w:spacing w:val="-2"/>
          <w:w w:val="105"/>
          <w:sz w:val="16"/>
        </w:rPr>
        <w:t xml:space="preserve"> </w:t>
      </w:r>
      <w:r w:rsidRPr="00EB2BD8">
        <w:rPr>
          <w:rFonts w:ascii="Arial" w:hAnsi="Arial"/>
          <w:w w:val="105"/>
          <w:sz w:val="16"/>
        </w:rPr>
        <w:t>not</w:t>
      </w:r>
      <w:r w:rsidRPr="00EB2BD8">
        <w:rPr>
          <w:rFonts w:ascii="Arial" w:hAnsi="Arial"/>
          <w:spacing w:val="-2"/>
          <w:w w:val="105"/>
          <w:sz w:val="16"/>
        </w:rPr>
        <w:t xml:space="preserve"> </w:t>
      </w:r>
      <w:r w:rsidRPr="00EB2BD8">
        <w:rPr>
          <w:rFonts w:ascii="Arial" w:hAnsi="Arial"/>
          <w:w w:val="105"/>
          <w:sz w:val="16"/>
        </w:rPr>
        <w:t>taxes</w:t>
      </w:r>
      <w:r w:rsidRPr="00EB2BD8">
        <w:rPr>
          <w:rFonts w:ascii="Arial" w:hAnsi="Arial"/>
          <w:spacing w:val="-1"/>
          <w:w w:val="105"/>
          <w:sz w:val="16"/>
        </w:rPr>
        <w:t xml:space="preserve"> </w:t>
      </w:r>
      <w:r w:rsidRPr="00EB2BD8">
        <w:rPr>
          <w:rFonts w:ascii="Arial" w:hAnsi="Arial"/>
          <w:w w:val="105"/>
          <w:sz w:val="16"/>
        </w:rPr>
        <w:t>in</w:t>
      </w:r>
      <w:r w:rsidRPr="00EB2BD8">
        <w:rPr>
          <w:rFonts w:ascii="Arial" w:hAnsi="Arial"/>
          <w:spacing w:val="-2"/>
          <w:w w:val="105"/>
          <w:sz w:val="16"/>
        </w:rPr>
        <w:t xml:space="preserve"> </w:t>
      </w:r>
      <w:r w:rsidRPr="00EB2BD8">
        <w:rPr>
          <w:rFonts w:ascii="Arial" w:hAnsi="Arial"/>
          <w:w w:val="105"/>
          <w:sz w:val="16"/>
        </w:rPr>
        <w:t>line</w:t>
      </w:r>
      <w:r w:rsidRPr="00EB2BD8">
        <w:rPr>
          <w:rFonts w:ascii="Arial" w:hAnsi="Arial"/>
          <w:spacing w:val="-2"/>
          <w:w w:val="105"/>
          <w:sz w:val="16"/>
        </w:rPr>
        <w:t xml:space="preserve"> </w:t>
      </w:r>
      <w:r w:rsidRPr="00EB2BD8">
        <w:rPr>
          <w:rFonts w:ascii="Arial" w:hAnsi="Arial"/>
          <w:w w:val="105"/>
          <w:sz w:val="16"/>
        </w:rPr>
        <w:t>with</w:t>
      </w:r>
      <w:r w:rsidRPr="00EB2BD8">
        <w:rPr>
          <w:rFonts w:ascii="Arial" w:hAnsi="Arial"/>
          <w:spacing w:val="-1"/>
          <w:w w:val="105"/>
          <w:sz w:val="16"/>
        </w:rPr>
        <w:t xml:space="preserve"> </w:t>
      </w:r>
      <w:r w:rsidRPr="00EB2BD8">
        <w:rPr>
          <w:rFonts w:ascii="Arial" w:hAnsi="Arial"/>
          <w:w w:val="105"/>
          <w:sz w:val="16"/>
        </w:rPr>
        <w:t>AASB</w:t>
      </w:r>
      <w:r w:rsidRPr="00EB2BD8">
        <w:rPr>
          <w:rFonts w:ascii="Arial" w:hAnsi="Arial"/>
          <w:spacing w:val="-2"/>
          <w:w w:val="105"/>
          <w:sz w:val="16"/>
        </w:rPr>
        <w:t xml:space="preserve"> </w:t>
      </w:r>
      <w:r w:rsidRPr="00EB2BD8">
        <w:rPr>
          <w:rFonts w:ascii="Arial" w:hAnsi="Arial"/>
          <w:w w:val="105"/>
          <w:sz w:val="16"/>
        </w:rPr>
        <w:t>15.</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VBA’s</w:t>
      </w:r>
      <w:r w:rsidRPr="00EB2BD8">
        <w:rPr>
          <w:rFonts w:ascii="Arial" w:hAnsi="Arial"/>
          <w:spacing w:val="-2"/>
          <w:w w:val="105"/>
          <w:sz w:val="16"/>
        </w:rPr>
        <w:t xml:space="preserve"> </w:t>
      </w:r>
      <w:r w:rsidRPr="00EB2BD8">
        <w:rPr>
          <w:rFonts w:ascii="Arial" w:hAnsi="Arial"/>
          <w:w w:val="105"/>
          <w:sz w:val="16"/>
        </w:rPr>
        <w:t>levies,</w:t>
      </w:r>
      <w:r w:rsidRPr="00EB2BD8">
        <w:rPr>
          <w:rFonts w:ascii="Arial" w:hAnsi="Arial"/>
          <w:spacing w:val="-2"/>
          <w:w w:val="105"/>
          <w:sz w:val="16"/>
        </w:rPr>
        <w:t xml:space="preserve"> </w:t>
      </w:r>
      <w:r w:rsidRPr="00EB2BD8">
        <w:rPr>
          <w:rFonts w:ascii="Arial" w:hAnsi="Arial"/>
          <w:w w:val="105"/>
          <w:sz w:val="16"/>
        </w:rPr>
        <w:t>fees</w:t>
      </w:r>
      <w:r w:rsidRPr="00EB2BD8">
        <w:rPr>
          <w:rFonts w:ascii="Arial" w:hAnsi="Arial"/>
          <w:spacing w:val="-2"/>
          <w:w w:val="105"/>
          <w:sz w:val="16"/>
        </w:rPr>
        <w:t xml:space="preserve"> </w:t>
      </w:r>
      <w:r w:rsidRPr="00EB2BD8">
        <w:rPr>
          <w:rFonts w:ascii="Arial" w:hAnsi="Arial"/>
          <w:w w:val="105"/>
          <w:sz w:val="16"/>
        </w:rPr>
        <w:t>and</w:t>
      </w:r>
      <w:r w:rsidRPr="00EB2BD8">
        <w:rPr>
          <w:rFonts w:ascii="Arial" w:hAnsi="Arial"/>
          <w:spacing w:val="-2"/>
          <w:w w:val="105"/>
          <w:sz w:val="16"/>
        </w:rPr>
        <w:t xml:space="preserve"> </w:t>
      </w:r>
      <w:r w:rsidRPr="00EB2BD8">
        <w:rPr>
          <w:rFonts w:ascii="Arial" w:hAnsi="Arial"/>
          <w:w w:val="105"/>
          <w:sz w:val="16"/>
        </w:rPr>
        <w:t>fines</w:t>
      </w:r>
      <w:r w:rsidRPr="00EB2BD8">
        <w:rPr>
          <w:rFonts w:ascii="Arial" w:hAnsi="Arial"/>
          <w:spacing w:val="-2"/>
          <w:w w:val="105"/>
          <w:sz w:val="16"/>
        </w:rPr>
        <w:t xml:space="preserve"> </w:t>
      </w:r>
      <w:r w:rsidRPr="00EB2BD8">
        <w:rPr>
          <w:rFonts w:ascii="Arial" w:hAnsi="Arial"/>
          <w:w w:val="105"/>
          <w:sz w:val="16"/>
        </w:rPr>
        <w:t>revenue is recognised as and when the enforceable rights and obligations between the VBA and applicants arise from statutory requirements even though no contractual relationship exists. The service is delivered to its customers i.e. applicants, and is measured as the amount the VBA expects to be entitled to. Any fee waivers or refunds arising are recognised as a</w:t>
      </w:r>
      <w:r w:rsidRPr="00EB2BD8">
        <w:rPr>
          <w:rFonts w:ascii="Arial" w:hAnsi="Arial"/>
          <w:spacing w:val="40"/>
          <w:w w:val="105"/>
          <w:sz w:val="16"/>
        </w:rPr>
        <w:t xml:space="preserve"> </w:t>
      </w:r>
      <w:r w:rsidRPr="00EB2BD8">
        <w:rPr>
          <w:rFonts w:ascii="Arial" w:hAnsi="Arial"/>
          <w:w w:val="105"/>
          <w:sz w:val="16"/>
        </w:rPr>
        <w:t>reduction in the amount of revenue recognised. Where revenue has been received for services to be delivered in the following years, these amounts are deferred as a contract liability, refer note 5.3.</w:t>
      </w:r>
    </w:p>
    <w:p w14:paraId="11A3A15A" w14:textId="77777777" w:rsidR="00084F36" w:rsidRPr="00EB2BD8" w:rsidRDefault="00084F36">
      <w:pPr>
        <w:pStyle w:val="BodyText"/>
        <w:rPr>
          <w:rFonts w:ascii="Arial"/>
          <w:sz w:val="20"/>
        </w:rPr>
      </w:pPr>
    </w:p>
    <w:p w14:paraId="4D71B783" w14:textId="77777777" w:rsidR="00084F36" w:rsidRPr="00EB2BD8" w:rsidRDefault="00084F36">
      <w:pPr>
        <w:pStyle w:val="BodyText"/>
        <w:rPr>
          <w:rFonts w:ascii="Arial"/>
          <w:sz w:val="20"/>
        </w:rPr>
      </w:pPr>
    </w:p>
    <w:p w14:paraId="1E99F0D0" w14:textId="77777777" w:rsidR="00084F36" w:rsidRPr="00EB2BD8" w:rsidRDefault="00084F36">
      <w:pPr>
        <w:pStyle w:val="BodyText"/>
        <w:spacing w:before="10"/>
        <w:rPr>
          <w:rFonts w:ascii="Arial"/>
          <w:sz w:val="25"/>
        </w:rPr>
      </w:pPr>
    </w:p>
    <w:p w14:paraId="12B81556" w14:textId="5CC91D3C" w:rsidR="00084F36" w:rsidRPr="00EB2BD8" w:rsidRDefault="00084F36">
      <w:pPr>
        <w:spacing w:before="96"/>
        <w:ind w:right="888"/>
        <w:jc w:val="right"/>
        <w:rPr>
          <w:sz w:val="16"/>
        </w:rPr>
      </w:pPr>
    </w:p>
    <w:p w14:paraId="3B173971" w14:textId="77777777" w:rsidR="00084F36" w:rsidRPr="00EB2BD8" w:rsidRDefault="00084F36">
      <w:pPr>
        <w:jc w:val="right"/>
        <w:rPr>
          <w:sz w:val="16"/>
        </w:rPr>
        <w:sectPr w:rsidR="00084F36" w:rsidRPr="00EB2BD8" w:rsidSect="006D75B2">
          <w:headerReference w:type="default" r:id="rId270"/>
          <w:footerReference w:type="default" r:id="rId271"/>
          <w:pgSz w:w="11910" w:h="16840"/>
          <w:pgMar w:top="760" w:right="0" w:bottom="280" w:left="0" w:header="0" w:footer="0" w:gutter="0"/>
          <w:cols w:space="720"/>
        </w:sectPr>
      </w:pPr>
    </w:p>
    <w:p w14:paraId="71CDA7D3" w14:textId="77777777" w:rsidR="00084F36" w:rsidRPr="00EB2BD8" w:rsidRDefault="00084F36">
      <w:pPr>
        <w:pStyle w:val="BodyText"/>
        <w:rPr>
          <w:sz w:val="20"/>
        </w:rPr>
      </w:pPr>
    </w:p>
    <w:p w14:paraId="79AC46DB" w14:textId="77777777" w:rsidR="00084F36" w:rsidRPr="00EB2BD8" w:rsidRDefault="00084F36">
      <w:pPr>
        <w:pStyle w:val="BodyText"/>
        <w:rPr>
          <w:sz w:val="20"/>
        </w:rPr>
      </w:pPr>
    </w:p>
    <w:p w14:paraId="61272D7A" w14:textId="77777777" w:rsidR="00084F36" w:rsidRPr="00EB2BD8" w:rsidRDefault="00084F36">
      <w:pPr>
        <w:pStyle w:val="BodyText"/>
        <w:rPr>
          <w:sz w:val="20"/>
        </w:rPr>
      </w:pPr>
    </w:p>
    <w:p w14:paraId="37088D25" w14:textId="77777777" w:rsidR="00084F36" w:rsidRPr="00EB2BD8" w:rsidRDefault="00084F36">
      <w:pPr>
        <w:pStyle w:val="BodyText"/>
        <w:rPr>
          <w:sz w:val="20"/>
        </w:rPr>
      </w:pPr>
    </w:p>
    <w:p w14:paraId="5E1B8687" w14:textId="77777777" w:rsidR="00084F36" w:rsidRPr="00EB2BD8" w:rsidRDefault="00084F36">
      <w:pPr>
        <w:pStyle w:val="BodyText"/>
        <w:spacing w:before="8"/>
        <w:rPr>
          <w:sz w:val="26"/>
        </w:rPr>
      </w:pPr>
    </w:p>
    <w:p w14:paraId="6104CAD3" w14:textId="1921B093" w:rsidR="00084F36" w:rsidRPr="00B82021" w:rsidRDefault="00B82021" w:rsidP="00B82021">
      <w:pPr>
        <w:pStyle w:val="Heading2"/>
      </w:pPr>
      <w:r w:rsidRPr="00B82021">
        <w:t xml:space="preserve"> </w:t>
      </w:r>
      <w:bookmarkStart w:id="268" w:name="_Toc150762570"/>
      <w:r>
        <w:t>2.2</w:t>
      </w:r>
      <w:r w:rsidRPr="00B82021">
        <w:t xml:space="preserve"> </w:t>
      </w:r>
      <w:r w:rsidR="004D7D83">
        <w:t>G</w:t>
      </w:r>
      <w:r w:rsidR="004D7D83" w:rsidRPr="00B82021">
        <w:t>rant</w:t>
      </w:r>
      <w:r w:rsidR="004D7D83" w:rsidRPr="00B82021">
        <w:rPr>
          <w:spacing w:val="13"/>
        </w:rPr>
        <w:t xml:space="preserve"> </w:t>
      </w:r>
      <w:r w:rsidR="004D7D83" w:rsidRPr="00B82021">
        <w:rPr>
          <w:spacing w:val="-2"/>
        </w:rPr>
        <w:t>income</w:t>
      </w:r>
      <w:bookmarkEnd w:id="268"/>
    </w:p>
    <w:p w14:paraId="0FE5DC11" w14:textId="77777777" w:rsidR="00084F36" w:rsidRPr="00EB2BD8" w:rsidRDefault="00EB2BD8">
      <w:pPr>
        <w:spacing w:before="177" w:line="290" w:lineRule="auto"/>
        <w:ind w:left="1031" w:right="1667"/>
        <w:jc w:val="both"/>
        <w:rPr>
          <w:rFonts w:ascii="Arial"/>
          <w:sz w:val="16"/>
        </w:rPr>
      </w:pPr>
      <w:r w:rsidRPr="00EB2BD8">
        <w:rPr>
          <w:rFonts w:ascii="Arial"/>
          <w:w w:val="105"/>
          <w:sz w:val="16"/>
        </w:rPr>
        <w:t>In the financial year ended 30 June 2023, the Department of Energy, Environment and Climate Action (DEECA), formerly known</w:t>
      </w:r>
      <w:r w:rsidRPr="00EB2BD8">
        <w:rPr>
          <w:rFonts w:ascii="Arial"/>
          <w:spacing w:val="-6"/>
          <w:w w:val="105"/>
          <w:sz w:val="16"/>
        </w:rPr>
        <w:t xml:space="preserve"> </w:t>
      </w:r>
      <w:r w:rsidRPr="00EB2BD8">
        <w:rPr>
          <w:rFonts w:ascii="Arial"/>
          <w:w w:val="105"/>
          <w:sz w:val="16"/>
        </w:rPr>
        <w:t>as</w:t>
      </w:r>
      <w:r w:rsidRPr="00EB2BD8">
        <w:rPr>
          <w:rFonts w:ascii="Arial"/>
          <w:spacing w:val="-5"/>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Department</w:t>
      </w:r>
      <w:r w:rsidRPr="00EB2BD8">
        <w:rPr>
          <w:rFonts w:ascii="Arial"/>
          <w:spacing w:val="-5"/>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Environment,</w:t>
      </w:r>
      <w:r w:rsidRPr="00EB2BD8">
        <w:rPr>
          <w:rFonts w:ascii="Arial"/>
          <w:spacing w:val="-5"/>
          <w:w w:val="105"/>
          <w:sz w:val="16"/>
        </w:rPr>
        <w:t xml:space="preserve"> </w:t>
      </w:r>
      <w:r w:rsidRPr="00EB2BD8">
        <w:rPr>
          <w:rFonts w:ascii="Arial"/>
          <w:w w:val="105"/>
          <w:sz w:val="16"/>
        </w:rPr>
        <w:t>Land,</w:t>
      </w:r>
      <w:r w:rsidRPr="00EB2BD8">
        <w:rPr>
          <w:rFonts w:ascii="Arial"/>
          <w:spacing w:val="-4"/>
          <w:w w:val="105"/>
          <w:sz w:val="16"/>
        </w:rPr>
        <w:t xml:space="preserve"> </w:t>
      </w:r>
      <w:r w:rsidRPr="00EB2BD8">
        <w:rPr>
          <w:rFonts w:ascii="Arial"/>
          <w:w w:val="105"/>
          <w:sz w:val="16"/>
        </w:rPr>
        <w:t>Water</w:t>
      </w:r>
      <w:r w:rsidRPr="00EB2BD8">
        <w:rPr>
          <w:rFonts w:ascii="Arial"/>
          <w:spacing w:val="-5"/>
          <w:w w:val="105"/>
          <w:sz w:val="16"/>
        </w:rPr>
        <w:t xml:space="preserve"> </w:t>
      </w:r>
      <w:r w:rsidRPr="00EB2BD8">
        <w:rPr>
          <w:rFonts w:ascii="Arial"/>
          <w:w w:val="105"/>
          <w:sz w:val="16"/>
        </w:rPr>
        <w:t>and</w:t>
      </w:r>
      <w:r w:rsidRPr="00EB2BD8">
        <w:rPr>
          <w:rFonts w:ascii="Arial"/>
          <w:spacing w:val="-4"/>
          <w:w w:val="105"/>
          <w:sz w:val="16"/>
        </w:rPr>
        <w:t xml:space="preserve"> </w:t>
      </w:r>
      <w:r w:rsidRPr="00EB2BD8">
        <w:rPr>
          <w:rFonts w:ascii="Arial"/>
          <w:w w:val="105"/>
          <w:sz w:val="16"/>
        </w:rPr>
        <w:t>Planning</w:t>
      </w:r>
      <w:r w:rsidRPr="00EB2BD8">
        <w:rPr>
          <w:rFonts w:ascii="Arial"/>
          <w:spacing w:val="-6"/>
          <w:w w:val="105"/>
          <w:sz w:val="16"/>
        </w:rPr>
        <w:t xml:space="preserve"> </w:t>
      </w:r>
      <w:r w:rsidRPr="00EB2BD8">
        <w:rPr>
          <w:rFonts w:ascii="Arial"/>
          <w:w w:val="105"/>
          <w:sz w:val="16"/>
        </w:rPr>
        <w:t>(DELWP)</w:t>
      </w:r>
      <w:r w:rsidRPr="00EB2BD8">
        <w:rPr>
          <w:rFonts w:ascii="Arial"/>
          <w:spacing w:val="-5"/>
          <w:w w:val="105"/>
          <w:sz w:val="16"/>
        </w:rPr>
        <w:t xml:space="preserve"> </w:t>
      </w:r>
      <w:r w:rsidRPr="00EB2BD8">
        <w:rPr>
          <w:rFonts w:ascii="Arial"/>
          <w:w w:val="105"/>
          <w:sz w:val="16"/>
        </w:rPr>
        <w:t>provided</w:t>
      </w:r>
      <w:r w:rsidRPr="00EB2BD8">
        <w:rPr>
          <w:rFonts w:ascii="Arial"/>
          <w:spacing w:val="-6"/>
          <w:w w:val="105"/>
          <w:sz w:val="16"/>
        </w:rPr>
        <w:t xml:space="preserve"> </w:t>
      </w:r>
      <w:r w:rsidRPr="00EB2BD8">
        <w:rPr>
          <w:rFonts w:ascii="Arial"/>
          <w:w w:val="105"/>
          <w:sz w:val="16"/>
        </w:rPr>
        <w:t>grants</w:t>
      </w:r>
      <w:r w:rsidRPr="00EB2BD8">
        <w:rPr>
          <w:rFonts w:ascii="Arial"/>
          <w:spacing w:val="-5"/>
          <w:w w:val="105"/>
          <w:sz w:val="16"/>
        </w:rPr>
        <w:t xml:space="preserve"> </w:t>
      </w:r>
      <w:r w:rsidRPr="00EB2BD8">
        <w:rPr>
          <w:rFonts w:ascii="Arial"/>
          <w:w w:val="105"/>
          <w:sz w:val="16"/>
        </w:rPr>
        <w:t>of</w:t>
      </w:r>
      <w:r w:rsidRPr="00EB2BD8">
        <w:rPr>
          <w:rFonts w:ascii="Arial"/>
          <w:spacing w:val="-5"/>
          <w:w w:val="105"/>
          <w:sz w:val="16"/>
        </w:rPr>
        <w:t xml:space="preserve"> </w:t>
      </w:r>
      <w:r w:rsidRPr="00EB2BD8">
        <w:rPr>
          <w:rFonts w:ascii="Arial"/>
          <w:w w:val="105"/>
          <w:sz w:val="16"/>
        </w:rPr>
        <w:t>$23.0</w:t>
      </w:r>
      <w:r w:rsidRPr="00EB2BD8">
        <w:rPr>
          <w:rFonts w:ascii="Arial"/>
          <w:spacing w:val="-4"/>
          <w:w w:val="105"/>
          <w:sz w:val="16"/>
        </w:rPr>
        <w:t xml:space="preserve"> </w:t>
      </w:r>
      <w:r w:rsidRPr="00EB2BD8">
        <w:rPr>
          <w:rFonts w:ascii="Arial"/>
          <w:w w:val="105"/>
          <w:sz w:val="16"/>
        </w:rPr>
        <w:t>million</w:t>
      </w:r>
      <w:r w:rsidRPr="00EB2BD8">
        <w:rPr>
          <w:rFonts w:ascii="Arial"/>
          <w:spacing w:val="-6"/>
          <w:w w:val="105"/>
          <w:sz w:val="16"/>
        </w:rPr>
        <w:t xml:space="preserve"> </w:t>
      </w:r>
      <w:r w:rsidRPr="00EB2BD8">
        <w:rPr>
          <w:rFonts w:ascii="Arial"/>
          <w:w w:val="105"/>
          <w:sz w:val="16"/>
        </w:rPr>
        <w:t>(2022:</w:t>
      </w:r>
      <w:r w:rsidRPr="00EB2BD8">
        <w:rPr>
          <w:rFonts w:ascii="Arial"/>
          <w:spacing w:val="-5"/>
          <w:w w:val="105"/>
          <w:sz w:val="16"/>
        </w:rPr>
        <w:t xml:space="preserve"> </w:t>
      </w:r>
      <w:r w:rsidRPr="00EB2BD8">
        <w:rPr>
          <w:rFonts w:ascii="Arial"/>
          <w:w w:val="105"/>
          <w:sz w:val="16"/>
        </w:rPr>
        <w:t>$11.9 million). The</w:t>
      </w:r>
      <w:r w:rsidRPr="00EB2BD8">
        <w:rPr>
          <w:rFonts w:ascii="Arial"/>
          <w:spacing w:val="-1"/>
          <w:w w:val="105"/>
          <w:sz w:val="16"/>
        </w:rPr>
        <w:t xml:space="preserve"> </w:t>
      </w:r>
      <w:r w:rsidRPr="00EB2BD8">
        <w:rPr>
          <w:rFonts w:ascii="Arial"/>
          <w:w w:val="105"/>
          <w:sz w:val="16"/>
        </w:rPr>
        <w:t>majority</w:t>
      </w:r>
      <w:r w:rsidRPr="00EB2BD8">
        <w:rPr>
          <w:rFonts w:ascii="Arial"/>
          <w:spacing w:val="-1"/>
          <w:w w:val="105"/>
          <w:sz w:val="16"/>
        </w:rPr>
        <w:t xml:space="preserve"> </w:t>
      </w:r>
      <w:r w:rsidRPr="00EB2BD8">
        <w:rPr>
          <w:rFonts w:ascii="Arial"/>
          <w:w w:val="105"/>
          <w:sz w:val="16"/>
        </w:rPr>
        <w:t>of grant monies</w:t>
      </w:r>
      <w:r w:rsidRPr="00EB2BD8">
        <w:rPr>
          <w:rFonts w:ascii="Arial"/>
          <w:spacing w:val="-1"/>
          <w:w w:val="105"/>
          <w:sz w:val="16"/>
        </w:rPr>
        <w:t xml:space="preserve"> </w:t>
      </w:r>
      <w:r w:rsidRPr="00EB2BD8">
        <w:rPr>
          <w:rFonts w:ascii="Arial"/>
          <w:w w:val="105"/>
          <w:sz w:val="16"/>
        </w:rPr>
        <w:t>received</w:t>
      </w:r>
      <w:r w:rsidRPr="00EB2BD8">
        <w:rPr>
          <w:rFonts w:ascii="Arial"/>
          <w:spacing w:val="-1"/>
          <w:w w:val="105"/>
          <w:sz w:val="16"/>
        </w:rPr>
        <w:t xml:space="preserve"> </w:t>
      </w:r>
      <w:r w:rsidRPr="00EB2BD8">
        <w:rPr>
          <w:rFonts w:ascii="Arial"/>
          <w:w w:val="105"/>
          <w:sz w:val="16"/>
        </w:rPr>
        <w:t>was</w:t>
      </w:r>
      <w:r w:rsidRPr="00EB2BD8">
        <w:rPr>
          <w:rFonts w:ascii="Arial"/>
          <w:spacing w:val="-1"/>
          <w:w w:val="105"/>
          <w:sz w:val="16"/>
        </w:rPr>
        <w:t xml:space="preserve"> </w:t>
      </w:r>
      <w:r w:rsidRPr="00EB2BD8">
        <w:rPr>
          <w:rFonts w:ascii="Arial"/>
          <w:w w:val="105"/>
          <w:sz w:val="16"/>
        </w:rPr>
        <w:t>to</w:t>
      </w:r>
      <w:r w:rsidRPr="00EB2BD8">
        <w:rPr>
          <w:rFonts w:ascii="Arial"/>
          <w:spacing w:val="-1"/>
          <w:w w:val="105"/>
          <w:sz w:val="16"/>
        </w:rPr>
        <w:t xml:space="preserve"> </w:t>
      </w:r>
      <w:r w:rsidRPr="00EB2BD8">
        <w:rPr>
          <w:rFonts w:ascii="Arial"/>
          <w:w w:val="105"/>
          <w:sz w:val="16"/>
        </w:rPr>
        <w:t>enable</w:t>
      </w:r>
      <w:r w:rsidRPr="00EB2BD8">
        <w:rPr>
          <w:rFonts w:ascii="Arial"/>
          <w:spacing w:val="-1"/>
          <w:w w:val="105"/>
          <w:sz w:val="16"/>
        </w:rPr>
        <w:t xml:space="preserve"> </w:t>
      </w:r>
      <w:r w:rsidRPr="00EB2BD8">
        <w:rPr>
          <w:rFonts w:ascii="Arial"/>
          <w:w w:val="105"/>
          <w:sz w:val="16"/>
        </w:rPr>
        <w:t>the</w:t>
      </w:r>
      <w:r w:rsidRPr="00EB2BD8">
        <w:rPr>
          <w:rFonts w:ascii="Arial"/>
          <w:spacing w:val="-1"/>
          <w:w w:val="105"/>
          <w:sz w:val="16"/>
        </w:rPr>
        <w:t xml:space="preserve"> </w:t>
      </w:r>
      <w:r w:rsidRPr="00EB2BD8">
        <w:rPr>
          <w:rFonts w:ascii="Arial"/>
          <w:w w:val="105"/>
          <w:sz w:val="16"/>
        </w:rPr>
        <w:t>VBA</w:t>
      </w:r>
      <w:r w:rsidRPr="00EB2BD8">
        <w:rPr>
          <w:rFonts w:ascii="Arial"/>
          <w:spacing w:val="-1"/>
          <w:w w:val="105"/>
          <w:sz w:val="16"/>
        </w:rPr>
        <w:t xml:space="preserve"> </w:t>
      </w:r>
      <w:r w:rsidRPr="00EB2BD8">
        <w:rPr>
          <w:rFonts w:ascii="Arial"/>
          <w:w w:val="105"/>
          <w:sz w:val="16"/>
        </w:rPr>
        <w:t>to</w:t>
      </w:r>
      <w:r w:rsidRPr="00EB2BD8">
        <w:rPr>
          <w:rFonts w:ascii="Arial"/>
          <w:spacing w:val="-1"/>
          <w:w w:val="105"/>
          <w:sz w:val="16"/>
        </w:rPr>
        <w:t xml:space="preserve"> </w:t>
      </w:r>
      <w:r w:rsidRPr="00EB2BD8">
        <w:rPr>
          <w:rFonts w:ascii="Arial"/>
          <w:w w:val="105"/>
          <w:sz w:val="16"/>
        </w:rPr>
        <w:t>continue</w:t>
      </w:r>
      <w:r w:rsidRPr="00EB2BD8">
        <w:rPr>
          <w:rFonts w:ascii="Arial"/>
          <w:spacing w:val="-1"/>
          <w:w w:val="105"/>
          <w:sz w:val="16"/>
        </w:rPr>
        <w:t xml:space="preserve"> </w:t>
      </w:r>
      <w:r w:rsidRPr="00EB2BD8">
        <w:rPr>
          <w:rFonts w:ascii="Arial"/>
          <w:w w:val="105"/>
          <w:sz w:val="16"/>
        </w:rPr>
        <w:t>their</w:t>
      </w:r>
      <w:r w:rsidRPr="00EB2BD8">
        <w:rPr>
          <w:rFonts w:ascii="Arial"/>
          <w:spacing w:val="-1"/>
          <w:w w:val="105"/>
          <w:sz w:val="16"/>
        </w:rPr>
        <w:t xml:space="preserve"> </w:t>
      </w:r>
      <w:r w:rsidRPr="00EB2BD8">
        <w:rPr>
          <w:rFonts w:ascii="Arial"/>
          <w:w w:val="105"/>
          <w:sz w:val="16"/>
        </w:rPr>
        <w:t>work</w:t>
      </w:r>
      <w:r w:rsidRPr="00EB2BD8">
        <w:rPr>
          <w:rFonts w:ascii="Arial"/>
          <w:spacing w:val="-1"/>
          <w:w w:val="105"/>
          <w:sz w:val="16"/>
        </w:rPr>
        <w:t xml:space="preserve"> </w:t>
      </w:r>
      <w:r w:rsidRPr="00EB2BD8">
        <w:rPr>
          <w:rFonts w:ascii="Arial"/>
          <w:w w:val="105"/>
          <w:sz w:val="16"/>
        </w:rPr>
        <w:t>in</w:t>
      </w:r>
      <w:r w:rsidRPr="00EB2BD8">
        <w:rPr>
          <w:rFonts w:ascii="Arial"/>
          <w:spacing w:val="-1"/>
          <w:w w:val="105"/>
          <w:sz w:val="16"/>
        </w:rPr>
        <w:t xml:space="preserve"> </w:t>
      </w:r>
      <w:r w:rsidRPr="00EB2BD8">
        <w:rPr>
          <w:rFonts w:ascii="Arial"/>
          <w:w w:val="105"/>
          <w:sz w:val="16"/>
        </w:rPr>
        <w:t>conducting</w:t>
      </w:r>
      <w:r w:rsidRPr="00EB2BD8">
        <w:rPr>
          <w:rFonts w:ascii="Arial"/>
          <w:spacing w:val="-1"/>
          <w:w w:val="105"/>
          <w:sz w:val="16"/>
        </w:rPr>
        <w:t xml:space="preserve"> </w:t>
      </w:r>
      <w:r w:rsidRPr="00EB2BD8">
        <w:rPr>
          <w:rFonts w:ascii="Arial"/>
          <w:w w:val="105"/>
          <w:sz w:val="16"/>
        </w:rPr>
        <w:t>a</w:t>
      </w:r>
      <w:r w:rsidRPr="00EB2BD8">
        <w:rPr>
          <w:rFonts w:ascii="Arial"/>
          <w:spacing w:val="-1"/>
          <w:w w:val="105"/>
          <w:sz w:val="16"/>
        </w:rPr>
        <w:t xml:space="preserve"> </w:t>
      </w:r>
      <w:r w:rsidRPr="00EB2BD8">
        <w:rPr>
          <w:rFonts w:ascii="Arial"/>
          <w:w w:val="105"/>
          <w:sz w:val="16"/>
        </w:rPr>
        <w:t>statewide</w:t>
      </w:r>
      <w:r w:rsidRPr="00EB2BD8">
        <w:rPr>
          <w:rFonts w:ascii="Arial"/>
          <w:spacing w:val="-1"/>
          <w:w w:val="105"/>
          <w:sz w:val="16"/>
        </w:rPr>
        <w:t xml:space="preserve"> </w:t>
      </w:r>
      <w:r w:rsidRPr="00EB2BD8">
        <w:rPr>
          <w:rFonts w:ascii="Arial"/>
          <w:w w:val="105"/>
          <w:sz w:val="16"/>
        </w:rPr>
        <w:t>audit of</w:t>
      </w:r>
      <w:r w:rsidRPr="00EB2BD8">
        <w:rPr>
          <w:rFonts w:ascii="Arial"/>
          <w:spacing w:val="-4"/>
          <w:w w:val="105"/>
          <w:sz w:val="16"/>
        </w:rPr>
        <w:t xml:space="preserve"> </w:t>
      </w:r>
      <w:r w:rsidRPr="00EB2BD8">
        <w:rPr>
          <w:rFonts w:ascii="Arial"/>
          <w:w w:val="105"/>
          <w:sz w:val="16"/>
        </w:rPr>
        <w:t>buildings</w:t>
      </w:r>
      <w:r w:rsidRPr="00EB2BD8">
        <w:rPr>
          <w:rFonts w:ascii="Arial"/>
          <w:spacing w:val="-4"/>
          <w:w w:val="105"/>
          <w:sz w:val="16"/>
        </w:rPr>
        <w:t xml:space="preserve"> </w:t>
      </w:r>
      <w:r w:rsidRPr="00EB2BD8">
        <w:rPr>
          <w:rFonts w:ascii="Arial"/>
          <w:w w:val="105"/>
          <w:sz w:val="16"/>
        </w:rPr>
        <w:t>with</w:t>
      </w:r>
      <w:r w:rsidRPr="00EB2BD8">
        <w:rPr>
          <w:rFonts w:ascii="Arial"/>
          <w:spacing w:val="-5"/>
          <w:w w:val="105"/>
          <w:sz w:val="16"/>
        </w:rPr>
        <w:t xml:space="preserve"> </w:t>
      </w:r>
      <w:r w:rsidRPr="00EB2BD8">
        <w:rPr>
          <w:rFonts w:ascii="Arial"/>
          <w:w w:val="105"/>
          <w:sz w:val="16"/>
        </w:rPr>
        <w:t>combustible</w:t>
      </w:r>
      <w:r w:rsidRPr="00EB2BD8">
        <w:rPr>
          <w:rFonts w:ascii="Arial"/>
          <w:spacing w:val="-3"/>
          <w:w w:val="105"/>
          <w:sz w:val="16"/>
        </w:rPr>
        <w:t xml:space="preserve"> </w:t>
      </w:r>
      <w:r w:rsidRPr="00EB2BD8">
        <w:rPr>
          <w:rFonts w:ascii="Arial"/>
          <w:w w:val="105"/>
          <w:sz w:val="16"/>
        </w:rPr>
        <w:t>cladding,</w:t>
      </w:r>
      <w:r w:rsidRPr="00EB2BD8">
        <w:rPr>
          <w:rFonts w:ascii="Arial"/>
          <w:spacing w:val="-3"/>
          <w:w w:val="105"/>
          <w:sz w:val="16"/>
        </w:rPr>
        <w:t xml:space="preserve"> </w:t>
      </w:r>
      <w:r w:rsidRPr="00EB2BD8">
        <w:rPr>
          <w:rFonts w:ascii="Arial"/>
          <w:w w:val="105"/>
          <w:sz w:val="16"/>
        </w:rPr>
        <w:t>implementing</w:t>
      </w:r>
      <w:r w:rsidRPr="00EB2BD8">
        <w:rPr>
          <w:rFonts w:ascii="Arial"/>
          <w:spacing w:val="-5"/>
          <w:w w:val="105"/>
          <w:sz w:val="16"/>
        </w:rPr>
        <w:t xml:space="preserve"> </w:t>
      </w:r>
      <w:r w:rsidRPr="00EB2BD8">
        <w:rPr>
          <w:rFonts w:ascii="Arial"/>
          <w:w w:val="105"/>
          <w:sz w:val="16"/>
        </w:rPr>
        <w:t>Automatic</w:t>
      </w:r>
      <w:r w:rsidRPr="00EB2BD8">
        <w:rPr>
          <w:rFonts w:ascii="Arial"/>
          <w:spacing w:val="-4"/>
          <w:w w:val="105"/>
          <w:sz w:val="16"/>
        </w:rPr>
        <w:t xml:space="preserve"> </w:t>
      </w:r>
      <w:r w:rsidRPr="00EB2BD8">
        <w:rPr>
          <w:rFonts w:ascii="Arial"/>
          <w:w w:val="105"/>
          <w:sz w:val="16"/>
        </w:rPr>
        <w:t>Mutual</w:t>
      </w:r>
      <w:r w:rsidRPr="00EB2BD8">
        <w:rPr>
          <w:rFonts w:ascii="Arial"/>
          <w:spacing w:val="-4"/>
          <w:w w:val="105"/>
          <w:sz w:val="16"/>
        </w:rPr>
        <w:t xml:space="preserve"> </w:t>
      </w:r>
      <w:r w:rsidRPr="00EB2BD8">
        <w:rPr>
          <w:rFonts w:ascii="Arial"/>
          <w:w w:val="105"/>
          <w:sz w:val="16"/>
        </w:rPr>
        <w:t>Recognition</w:t>
      </w:r>
      <w:r w:rsidRPr="00EB2BD8">
        <w:rPr>
          <w:rFonts w:ascii="Arial"/>
          <w:spacing w:val="-4"/>
          <w:w w:val="105"/>
          <w:sz w:val="16"/>
        </w:rPr>
        <w:t xml:space="preserve"> </w:t>
      </w:r>
      <w:r w:rsidRPr="00EB2BD8">
        <w:rPr>
          <w:rFonts w:ascii="Arial"/>
          <w:w w:val="105"/>
          <w:sz w:val="16"/>
        </w:rPr>
        <w:t>(AMR)</w:t>
      </w:r>
      <w:r w:rsidRPr="00EB2BD8">
        <w:rPr>
          <w:rFonts w:ascii="Arial"/>
          <w:spacing w:val="-4"/>
          <w:w w:val="105"/>
          <w:sz w:val="16"/>
        </w:rPr>
        <w:t xml:space="preserve"> </w:t>
      </w:r>
      <w:r w:rsidRPr="00EB2BD8">
        <w:rPr>
          <w:rFonts w:ascii="Arial"/>
          <w:w w:val="105"/>
          <w:sz w:val="16"/>
        </w:rPr>
        <w:t>Scheme,</w:t>
      </w:r>
      <w:r w:rsidRPr="00EB2BD8">
        <w:rPr>
          <w:rFonts w:ascii="Arial"/>
          <w:spacing w:val="-4"/>
          <w:w w:val="105"/>
          <w:sz w:val="16"/>
        </w:rPr>
        <w:t xml:space="preserve"> </w:t>
      </w:r>
      <w:r w:rsidRPr="00EB2BD8">
        <w:rPr>
          <w:rFonts w:ascii="Arial"/>
          <w:w w:val="105"/>
          <w:sz w:val="16"/>
        </w:rPr>
        <w:t>the</w:t>
      </w:r>
      <w:r w:rsidRPr="00EB2BD8">
        <w:rPr>
          <w:rFonts w:ascii="Arial"/>
          <w:spacing w:val="-4"/>
          <w:w w:val="105"/>
          <w:sz w:val="16"/>
        </w:rPr>
        <w:t xml:space="preserve"> </w:t>
      </w:r>
      <w:r w:rsidRPr="00EB2BD8">
        <w:rPr>
          <w:rFonts w:ascii="Arial"/>
          <w:w w:val="105"/>
          <w:sz w:val="16"/>
        </w:rPr>
        <w:t>Establishment</w:t>
      </w:r>
      <w:r w:rsidRPr="00EB2BD8">
        <w:rPr>
          <w:rFonts w:ascii="Arial"/>
          <w:spacing w:val="-4"/>
          <w:w w:val="105"/>
          <w:sz w:val="16"/>
        </w:rPr>
        <w:t xml:space="preserve"> </w:t>
      </w:r>
      <w:r w:rsidRPr="00EB2BD8">
        <w:rPr>
          <w:rFonts w:ascii="Arial"/>
          <w:w w:val="105"/>
          <w:sz w:val="16"/>
        </w:rPr>
        <w:t>of</w:t>
      </w:r>
      <w:r w:rsidRPr="00EB2BD8">
        <w:rPr>
          <w:rFonts w:ascii="Arial"/>
          <w:spacing w:val="-4"/>
          <w:w w:val="105"/>
          <w:sz w:val="16"/>
        </w:rPr>
        <w:t xml:space="preserve"> </w:t>
      </w:r>
      <w:r w:rsidRPr="00EB2BD8">
        <w:rPr>
          <w:rFonts w:ascii="Arial"/>
          <w:w w:val="105"/>
          <w:sz w:val="16"/>
        </w:rPr>
        <w:t>an Office of the State Building Surveyor and the Strengthening Building Approvals.</w:t>
      </w:r>
    </w:p>
    <w:p w14:paraId="003842BC" w14:textId="77777777" w:rsidR="00084F36" w:rsidRPr="00EB2BD8" w:rsidRDefault="00EB2BD8">
      <w:pPr>
        <w:spacing w:before="40" w:after="36"/>
        <w:ind w:right="1842"/>
        <w:jc w:val="right"/>
        <w:rPr>
          <w:rFonts w:ascii="Arial" w:hAnsi="Arial"/>
          <w:sz w:val="16"/>
        </w:rPr>
      </w:pPr>
      <w:r w:rsidRPr="00EB2BD8">
        <w:rPr>
          <w:rFonts w:ascii="Arial" w:hAnsi="Arial"/>
          <w:spacing w:val="-2"/>
          <w:w w:val="105"/>
          <w:sz w:val="16"/>
        </w:rPr>
        <w:t>($’000)</w:t>
      </w:r>
    </w:p>
    <w:tbl>
      <w:tblPr>
        <w:tblW w:w="0" w:type="auto"/>
        <w:tblInd w:w="1039" w:type="dxa"/>
        <w:tblLayout w:type="fixed"/>
        <w:tblCellMar>
          <w:left w:w="0" w:type="dxa"/>
          <w:right w:w="0" w:type="dxa"/>
        </w:tblCellMar>
        <w:tblLook w:val="01E0" w:firstRow="1" w:lastRow="1" w:firstColumn="1" w:lastColumn="1" w:noHBand="0" w:noVBand="0"/>
      </w:tblPr>
      <w:tblGrid>
        <w:gridCol w:w="6216"/>
        <w:gridCol w:w="1588"/>
        <w:gridCol w:w="1331"/>
      </w:tblGrid>
      <w:tr w:rsidR="00EB2BD8" w:rsidRPr="00EB2BD8" w14:paraId="7FD61AB0" w14:textId="77777777">
        <w:trPr>
          <w:trHeight w:val="307"/>
        </w:trPr>
        <w:tc>
          <w:tcPr>
            <w:tcW w:w="7804" w:type="dxa"/>
            <w:gridSpan w:val="2"/>
            <w:tcBorders>
              <w:top w:val="single" w:sz="4" w:space="0" w:color="0098FF"/>
              <w:left w:val="single" w:sz="4" w:space="0" w:color="0098FF"/>
            </w:tcBorders>
            <w:shd w:val="clear" w:color="auto" w:fill="0070C0"/>
          </w:tcPr>
          <w:p w14:paraId="0964CF83" w14:textId="77777777" w:rsidR="00084F36" w:rsidRPr="00EB2BD8" w:rsidRDefault="00EB2BD8">
            <w:pPr>
              <w:pStyle w:val="TableParagraph"/>
              <w:spacing w:before="63"/>
              <w:ind w:right="95"/>
              <w:jc w:val="right"/>
              <w:rPr>
                <w:rFonts w:ascii="Arial"/>
                <w:b/>
                <w:sz w:val="16"/>
              </w:rPr>
            </w:pPr>
            <w:r w:rsidRPr="00EB2BD8">
              <w:rPr>
                <w:rFonts w:ascii="Arial"/>
                <w:b/>
                <w:spacing w:val="-4"/>
                <w:w w:val="105"/>
                <w:sz w:val="16"/>
              </w:rPr>
              <w:t>2023</w:t>
            </w:r>
          </w:p>
        </w:tc>
        <w:tc>
          <w:tcPr>
            <w:tcW w:w="1331" w:type="dxa"/>
            <w:tcBorders>
              <w:top w:val="single" w:sz="4" w:space="0" w:color="0098FF"/>
              <w:right w:val="single" w:sz="4" w:space="0" w:color="0098FF"/>
            </w:tcBorders>
            <w:shd w:val="clear" w:color="auto" w:fill="0070C0"/>
          </w:tcPr>
          <w:p w14:paraId="7B798451" w14:textId="77777777" w:rsidR="00084F36" w:rsidRPr="00EB2BD8" w:rsidRDefault="00EB2BD8">
            <w:pPr>
              <w:pStyle w:val="TableParagraph"/>
              <w:spacing w:before="63"/>
              <w:ind w:right="92"/>
              <w:jc w:val="right"/>
              <w:rPr>
                <w:rFonts w:ascii="Arial"/>
                <w:b/>
                <w:sz w:val="16"/>
              </w:rPr>
            </w:pPr>
            <w:r w:rsidRPr="00EB2BD8">
              <w:rPr>
                <w:rFonts w:ascii="Arial"/>
                <w:b/>
                <w:spacing w:val="-4"/>
                <w:w w:val="105"/>
                <w:sz w:val="16"/>
              </w:rPr>
              <w:t>2022</w:t>
            </w:r>
          </w:p>
        </w:tc>
      </w:tr>
      <w:tr w:rsidR="00EB2BD8" w:rsidRPr="00EB2BD8" w14:paraId="30D02F91" w14:textId="77777777">
        <w:trPr>
          <w:trHeight w:val="319"/>
        </w:trPr>
        <w:tc>
          <w:tcPr>
            <w:tcW w:w="6216" w:type="dxa"/>
            <w:shd w:val="clear" w:color="auto" w:fill="FFFFFF"/>
          </w:tcPr>
          <w:p w14:paraId="53CACBFF" w14:textId="77777777" w:rsidR="00084F36" w:rsidRPr="00EB2BD8" w:rsidRDefault="00EB2BD8">
            <w:pPr>
              <w:pStyle w:val="TableParagraph"/>
              <w:spacing w:before="69"/>
              <w:ind w:left="105"/>
              <w:rPr>
                <w:rFonts w:ascii="Arial"/>
                <w:b/>
                <w:i/>
                <w:sz w:val="16"/>
              </w:rPr>
            </w:pPr>
            <w:r w:rsidRPr="00EB2BD8">
              <w:rPr>
                <w:rFonts w:ascii="Arial"/>
                <w:b/>
                <w:i/>
                <w:w w:val="105"/>
                <w:sz w:val="16"/>
              </w:rPr>
              <w:t>DEECA</w:t>
            </w:r>
            <w:r w:rsidRPr="00EB2BD8">
              <w:rPr>
                <w:rFonts w:ascii="Arial"/>
                <w:b/>
                <w:i/>
                <w:spacing w:val="-7"/>
                <w:w w:val="105"/>
                <w:sz w:val="16"/>
              </w:rPr>
              <w:t xml:space="preserve"> </w:t>
            </w:r>
            <w:r w:rsidRPr="00EB2BD8">
              <w:rPr>
                <w:rFonts w:ascii="Arial"/>
                <w:b/>
                <w:i/>
                <w:w w:val="105"/>
                <w:sz w:val="16"/>
              </w:rPr>
              <w:t>(formerly</w:t>
            </w:r>
            <w:r w:rsidRPr="00EB2BD8">
              <w:rPr>
                <w:rFonts w:ascii="Arial"/>
                <w:b/>
                <w:i/>
                <w:spacing w:val="-7"/>
                <w:w w:val="105"/>
                <w:sz w:val="16"/>
              </w:rPr>
              <w:t xml:space="preserve"> </w:t>
            </w:r>
            <w:r w:rsidRPr="00EB2BD8">
              <w:rPr>
                <w:rFonts w:ascii="Arial"/>
                <w:b/>
                <w:i/>
                <w:w w:val="105"/>
                <w:sz w:val="16"/>
              </w:rPr>
              <w:t>known</w:t>
            </w:r>
            <w:r w:rsidRPr="00EB2BD8">
              <w:rPr>
                <w:rFonts w:ascii="Arial"/>
                <w:b/>
                <w:i/>
                <w:spacing w:val="-7"/>
                <w:w w:val="105"/>
                <w:sz w:val="16"/>
              </w:rPr>
              <w:t xml:space="preserve"> </w:t>
            </w:r>
            <w:r w:rsidRPr="00EB2BD8">
              <w:rPr>
                <w:rFonts w:ascii="Arial"/>
                <w:b/>
                <w:i/>
                <w:w w:val="105"/>
                <w:sz w:val="16"/>
              </w:rPr>
              <w:t>as</w:t>
            </w:r>
            <w:r w:rsidRPr="00EB2BD8">
              <w:rPr>
                <w:rFonts w:ascii="Arial"/>
                <w:b/>
                <w:i/>
                <w:spacing w:val="-7"/>
                <w:w w:val="105"/>
                <w:sz w:val="16"/>
              </w:rPr>
              <w:t xml:space="preserve"> </w:t>
            </w:r>
            <w:r w:rsidRPr="00EB2BD8">
              <w:rPr>
                <w:rFonts w:ascii="Arial"/>
                <w:b/>
                <w:i/>
                <w:spacing w:val="-2"/>
                <w:w w:val="105"/>
                <w:sz w:val="16"/>
              </w:rPr>
              <w:t>DELWP):</w:t>
            </w:r>
          </w:p>
        </w:tc>
        <w:tc>
          <w:tcPr>
            <w:tcW w:w="1588" w:type="dxa"/>
            <w:shd w:val="clear" w:color="auto" w:fill="DEEAF6"/>
          </w:tcPr>
          <w:p w14:paraId="2600CB6E" w14:textId="77777777" w:rsidR="00084F36" w:rsidRPr="00EB2BD8" w:rsidRDefault="00084F36">
            <w:pPr>
              <w:pStyle w:val="TableParagraph"/>
              <w:rPr>
                <w:rFonts w:ascii="Times New Roman"/>
                <w:sz w:val="16"/>
              </w:rPr>
            </w:pPr>
          </w:p>
        </w:tc>
        <w:tc>
          <w:tcPr>
            <w:tcW w:w="1331" w:type="dxa"/>
            <w:shd w:val="clear" w:color="auto" w:fill="FFFFFF"/>
          </w:tcPr>
          <w:p w14:paraId="078913FB" w14:textId="77777777" w:rsidR="00084F36" w:rsidRPr="00EB2BD8" w:rsidRDefault="00084F36">
            <w:pPr>
              <w:pStyle w:val="TableParagraph"/>
              <w:rPr>
                <w:rFonts w:ascii="Times New Roman"/>
                <w:sz w:val="16"/>
              </w:rPr>
            </w:pPr>
          </w:p>
        </w:tc>
      </w:tr>
      <w:tr w:rsidR="00EB2BD8" w:rsidRPr="00EB2BD8" w14:paraId="167BE2D2" w14:textId="77777777">
        <w:trPr>
          <w:trHeight w:val="316"/>
        </w:trPr>
        <w:tc>
          <w:tcPr>
            <w:tcW w:w="6216" w:type="dxa"/>
            <w:shd w:val="clear" w:color="auto" w:fill="FFFFFF"/>
          </w:tcPr>
          <w:p w14:paraId="3DBDAE09" w14:textId="77777777" w:rsidR="00084F36" w:rsidRPr="00EB2BD8" w:rsidRDefault="00EB2BD8">
            <w:pPr>
              <w:pStyle w:val="TableParagraph"/>
              <w:spacing w:before="66"/>
              <w:ind w:left="105"/>
              <w:rPr>
                <w:rFonts w:ascii="Arial"/>
                <w:sz w:val="16"/>
              </w:rPr>
            </w:pPr>
            <w:r w:rsidRPr="00EB2BD8">
              <w:rPr>
                <w:rFonts w:ascii="Arial"/>
                <w:w w:val="105"/>
                <w:sz w:val="16"/>
              </w:rPr>
              <w:t>Statewide</w:t>
            </w:r>
            <w:r w:rsidRPr="00EB2BD8">
              <w:rPr>
                <w:rFonts w:ascii="Arial"/>
                <w:spacing w:val="-12"/>
                <w:w w:val="105"/>
                <w:sz w:val="16"/>
              </w:rPr>
              <w:t xml:space="preserve"> </w:t>
            </w:r>
            <w:r w:rsidRPr="00EB2BD8">
              <w:rPr>
                <w:rFonts w:ascii="Arial"/>
                <w:w w:val="105"/>
                <w:sz w:val="16"/>
              </w:rPr>
              <w:t>Cladding</w:t>
            </w:r>
            <w:r w:rsidRPr="00EB2BD8">
              <w:rPr>
                <w:rFonts w:ascii="Arial"/>
                <w:spacing w:val="-11"/>
                <w:w w:val="105"/>
                <w:sz w:val="16"/>
              </w:rPr>
              <w:t xml:space="preserve"> </w:t>
            </w:r>
            <w:r w:rsidRPr="00EB2BD8">
              <w:rPr>
                <w:rFonts w:ascii="Arial"/>
                <w:spacing w:val="-2"/>
                <w:w w:val="105"/>
                <w:sz w:val="16"/>
              </w:rPr>
              <w:t>Audit</w:t>
            </w:r>
          </w:p>
        </w:tc>
        <w:tc>
          <w:tcPr>
            <w:tcW w:w="1588" w:type="dxa"/>
            <w:shd w:val="clear" w:color="auto" w:fill="DEEAF6"/>
          </w:tcPr>
          <w:p w14:paraId="30CA5960" w14:textId="77777777" w:rsidR="00084F36" w:rsidRPr="00EB2BD8" w:rsidRDefault="00EB2BD8">
            <w:pPr>
              <w:pStyle w:val="TableParagraph"/>
              <w:spacing w:before="66"/>
              <w:ind w:right="96"/>
              <w:jc w:val="right"/>
              <w:rPr>
                <w:rFonts w:ascii="Arial"/>
                <w:sz w:val="16"/>
              </w:rPr>
            </w:pPr>
            <w:r w:rsidRPr="00EB2BD8">
              <w:rPr>
                <w:rFonts w:ascii="Arial"/>
                <w:spacing w:val="-2"/>
                <w:w w:val="105"/>
                <w:sz w:val="16"/>
              </w:rPr>
              <w:t>4,250</w:t>
            </w:r>
          </w:p>
        </w:tc>
        <w:tc>
          <w:tcPr>
            <w:tcW w:w="1331" w:type="dxa"/>
            <w:shd w:val="clear" w:color="auto" w:fill="FFFFFF"/>
          </w:tcPr>
          <w:p w14:paraId="5DD38400" w14:textId="77777777" w:rsidR="00084F36" w:rsidRPr="00EB2BD8" w:rsidRDefault="00EB2BD8">
            <w:pPr>
              <w:pStyle w:val="TableParagraph"/>
              <w:spacing w:before="66"/>
              <w:ind w:right="98"/>
              <w:jc w:val="right"/>
              <w:rPr>
                <w:rFonts w:ascii="Arial"/>
                <w:sz w:val="16"/>
              </w:rPr>
            </w:pPr>
            <w:r w:rsidRPr="00EB2BD8">
              <w:rPr>
                <w:rFonts w:ascii="Arial"/>
                <w:spacing w:val="-2"/>
                <w:w w:val="105"/>
                <w:sz w:val="16"/>
              </w:rPr>
              <w:t>11,590</w:t>
            </w:r>
          </w:p>
        </w:tc>
      </w:tr>
      <w:tr w:rsidR="00EB2BD8" w:rsidRPr="00EB2BD8" w14:paraId="59846B8B" w14:textId="77777777">
        <w:trPr>
          <w:trHeight w:val="317"/>
        </w:trPr>
        <w:tc>
          <w:tcPr>
            <w:tcW w:w="6216" w:type="dxa"/>
            <w:shd w:val="clear" w:color="auto" w:fill="FFFFFF"/>
          </w:tcPr>
          <w:p w14:paraId="29B95E91" w14:textId="77777777" w:rsidR="00084F36" w:rsidRPr="00EB2BD8" w:rsidRDefault="00EB2BD8">
            <w:pPr>
              <w:pStyle w:val="TableParagraph"/>
              <w:spacing w:before="66"/>
              <w:ind w:left="105"/>
              <w:rPr>
                <w:rFonts w:ascii="Arial"/>
                <w:sz w:val="16"/>
              </w:rPr>
            </w:pPr>
            <w:r w:rsidRPr="00EB2BD8">
              <w:rPr>
                <w:rFonts w:ascii="Arial"/>
                <w:w w:val="105"/>
                <w:sz w:val="16"/>
              </w:rPr>
              <w:t>Pathway</w:t>
            </w:r>
            <w:r w:rsidRPr="00EB2BD8">
              <w:rPr>
                <w:rFonts w:ascii="Arial"/>
                <w:spacing w:val="-10"/>
                <w:w w:val="105"/>
                <w:sz w:val="16"/>
              </w:rPr>
              <w:t xml:space="preserve"> </w:t>
            </w:r>
            <w:r w:rsidRPr="00EB2BD8">
              <w:rPr>
                <w:rFonts w:ascii="Arial"/>
                <w:w w:val="105"/>
                <w:sz w:val="16"/>
              </w:rPr>
              <w:t>to</w:t>
            </w:r>
            <w:r w:rsidRPr="00EB2BD8">
              <w:rPr>
                <w:rFonts w:ascii="Arial"/>
                <w:spacing w:val="-9"/>
                <w:w w:val="105"/>
                <w:sz w:val="16"/>
              </w:rPr>
              <w:t xml:space="preserve"> </w:t>
            </w:r>
            <w:r w:rsidRPr="00EB2BD8">
              <w:rPr>
                <w:rFonts w:ascii="Arial"/>
                <w:w w:val="105"/>
                <w:sz w:val="16"/>
              </w:rPr>
              <w:t>Cladding</w:t>
            </w:r>
            <w:r w:rsidRPr="00EB2BD8">
              <w:rPr>
                <w:rFonts w:ascii="Arial"/>
                <w:spacing w:val="-10"/>
                <w:w w:val="105"/>
                <w:sz w:val="16"/>
              </w:rPr>
              <w:t xml:space="preserve"> </w:t>
            </w:r>
            <w:r w:rsidRPr="00EB2BD8">
              <w:rPr>
                <w:rFonts w:ascii="Arial"/>
                <w:w w:val="105"/>
                <w:sz w:val="16"/>
              </w:rPr>
              <w:t>Remediation</w:t>
            </w:r>
            <w:r w:rsidRPr="00EB2BD8">
              <w:rPr>
                <w:rFonts w:ascii="Arial"/>
                <w:spacing w:val="-9"/>
                <w:w w:val="105"/>
                <w:sz w:val="16"/>
              </w:rPr>
              <w:t xml:space="preserve"> </w:t>
            </w:r>
            <w:r w:rsidRPr="00EB2BD8">
              <w:rPr>
                <w:rFonts w:ascii="Arial"/>
                <w:w w:val="105"/>
                <w:sz w:val="16"/>
              </w:rPr>
              <w:t>Program</w:t>
            </w:r>
            <w:r w:rsidRPr="00EB2BD8">
              <w:rPr>
                <w:rFonts w:ascii="Arial"/>
                <w:spacing w:val="-10"/>
                <w:w w:val="105"/>
                <w:sz w:val="16"/>
              </w:rPr>
              <w:t xml:space="preserve"> </w:t>
            </w:r>
            <w:r w:rsidRPr="00EB2BD8">
              <w:rPr>
                <w:rFonts w:ascii="Arial"/>
                <w:spacing w:val="-2"/>
                <w:w w:val="105"/>
                <w:sz w:val="16"/>
              </w:rPr>
              <w:t>Activities</w:t>
            </w:r>
          </w:p>
        </w:tc>
        <w:tc>
          <w:tcPr>
            <w:tcW w:w="1588" w:type="dxa"/>
            <w:shd w:val="clear" w:color="auto" w:fill="DEEAF6"/>
          </w:tcPr>
          <w:p w14:paraId="476DB711" w14:textId="77777777" w:rsidR="00084F36" w:rsidRPr="00EB2BD8" w:rsidRDefault="00EB2BD8">
            <w:pPr>
              <w:pStyle w:val="TableParagraph"/>
              <w:spacing w:before="66"/>
              <w:ind w:right="96"/>
              <w:jc w:val="right"/>
              <w:rPr>
                <w:rFonts w:ascii="Arial"/>
                <w:sz w:val="16"/>
              </w:rPr>
            </w:pPr>
            <w:r w:rsidRPr="00EB2BD8">
              <w:rPr>
                <w:rFonts w:ascii="Arial"/>
                <w:spacing w:val="-2"/>
                <w:w w:val="105"/>
                <w:sz w:val="16"/>
              </w:rPr>
              <w:t>9,480</w:t>
            </w:r>
          </w:p>
        </w:tc>
        <w:tc>
          <w:tcPr>
            <w:tcW w:w="1331" w:type="dxa"/>
            <w:shd w:val="clear" w:color="auto" w:fill="FFFFFF"/>
          </w:tcPr>
          <w:p w14:paraId="5714F193" w14:textId="77777777" w:rsidR="00084F36" w:rsidRPr="00EB2BD8" w:rsidRDefault="00EB2BD8">
            <w:pPr>
              <w:pStyle w:val="TableParagraph"/>
              <w:spacing w:before="66"/>
              <w:ind w:right="95"/>
              <w:jc w:val="right"/>
              <w:rPr>
                <w:rFonts w:ascii="Arial"/>
                <w:sz w:val="16"/>
              </w:rPr>
            </w:pPr>
            <w:r w:rsidRPr="00EB2BD8">
              <w:rPr>
                <w:rFonts w:ascii="Arial"/>
                <w:w w:val="104"/>
                <w:sz w:val="16"/>
              </w:rPr>
              <w:t>-</w:t>
            </w:r>
          </w:p>
        </w:tc>
      </w:tr>
      <w:tr w:rsidR="00EB2BD8" w:rsidRPr="00EB2BD8" w14:paraId="45EEF808" w14:textId="77777777">
        <w:trPr>
          <w:trHeight w:val="330"/>
        </w:trPr>
        <w:tc>
          <w:tcPr>
            <w:tcW w:w="6216" w:type="dxa"/>
            <w:shd w:val="clear" w:color="auto" w:fill="FFFFFF"/>
          </w:tcPr>
          <w:p w14:paraId="481E96DA" w14:textId="77777777" w:rsidR="00084F36" w:rsidRPr="00EB2BD8" w:rsidRDefault="00EB2BD8">
            <w:pPr>
              <w:pStyle w:val="TableParagraph"/>
              <w:spacing w:before="67"/>
              <w:ind w:left="105"/>
              <w:rPr>
                <w:rFonts w:ascii="Arial"/>
                <w:sz w:val="16"/>
              </w:rPr>
            </w:pPr>
            <w:r w:rsidRPr="00EB2BD8">
              <w:rPr>
                <w:rFonts w:ascii="Arial"/>
                <w:w w:val="105"/>
                <w:sz w:val="16"/>
              </w:rPr>
              <w:t>Automatic</w:t>
            </w:r>
            <w:r w:rsidRPr="00EB2BD8">
              <w:rPr>
                <w:rFonts w:ascii="Arial"/>
                <w:spacing w:val="-11"/>
                <w:w w:val="105"/>
                <w:sz w:val="16"/>
              </w:rPr>
              <w:t xml:space="preserve"> </w:t>
            </w:r>
            <w:r w:rsidRPr="00EB2BD8">
              <w:rPr>
                <w:rFonts w:ascii="Arial"/>
                <w:w w:val="105"/>
                <w:sz w:val="16"/>
              </w:rPr>
              <w:t>Mutual</w:t>
            </w:r>
            <w:r w:rsidRPr="00EB2BD8">
              <w:rPr>
                <w:rFonts w:ascii="Arial"/>
                <w:spacing w:val="-11"/>
                <w:w w:val="105"/>
                <w:sz w:val="16"/>
              </w:rPr>
              <w:t xml:space="preserve"> </w:t>
            </w:r>
            <w:r w:rsidRPr="00EB2BD8">
              <w:rPr>
                <w:rFonts w:ascii="Arial"/>
                <w:w w:val="105"/>
                <w:sz w:val="16"/>
              </w:rPr>
              <w:t>Recognition</w:t>
            </w:r>
            <w:r w:rsidRPr="00EB2BD8">
              <w:rPr>
                <w:rFonts w:ascii="Arial"/>
                <w:spacing w:val="-11"/>
                <w:w w:val="105"/>
                <w:sz w:val="16"/>
              </w:rPr>
              <w:t xml:space="preserve"> </w:t>
            </w:r>
            <w:r w:rsidRPr="00EB2BD8">
              <w:rPr>
                <w:rFonts w:ascii="Arial"/>
                <w:spacing w:val="-2"/>
                <w:w w:val="105"/>
                <w:sz w:val="16"/>
              </w:rPr>
              <w:t>(AMR)</w:t>
            </w:r>
          </w:p>
        </w:tc>
        <w:tc>
          <w:tcPr>
            <w:tcW w:w="1588" w:type="dxa"/>
            <w:shd w:val="clear" w:color="auto" w:fill="DEEAF6"/>
          </w:tcPr>
          <w:p w14:paraId="588DFD7D" w14:textId="77777777" w:rsidR="00084F36" w:rsidRPr="00EB2BD8" w:rsidRDefault="00EB2BD8">
            <w:pPr>
              <w:pStyle w:val="TableParagraph"/>
              <w:spacing w:before="67"/>
              <w:ind w:right="96"/>
              <w:jc w:val="right"/>
              <w:rPr>
                <w:rFonts w:ascii="Arial"/>
                <w:sz w:val="16"/>
              </w:rPr>
            </w:pPr>
            <w:r w:rsidRPr="00EB2BD8">
              <w:rPr>
                <w:rFonts w:ascii="Arial"/>
                <w:spacing w:val="-2"/>
                <w:w w:val="105"/>
                <w:sz w:val="16"/>
              </w:rPr>
              <w:t>3,979</w:t>
            </w:r>
          </w:p>
        </w:tc>
        <w:tc>
          <w:tcPr>
            <w:tcW w:w="1331" w:type="dxa"/>
            <w:shd w:val="clear" w:color="auto" w:fill="FFFFFF"/>
          </w:tcPr>
          <w:p w14:paraId="5A428B83" w14:textId="77777777" w:rsidR="00084F36" w:rsidRPr="00EB2BD8" w:rsidRDefault="00EB2BD8">
            <w:pPr>
              <w:pStyle w:val="TableParagraph"/>
              <w:spacing w:before="67"/>
              <w:ind w:right="95"/>
              <w:jc w:val="right"/>
              <w:rPr>
                <w:rFonts w:ascii="Arial"/>
                <w:sz w:val="16"/>
              </w:rPr>
            </w:pPr>
            <w:r w:rsidRPr="00EB2BD8">
              <w:rPr>
                <w:rFonts w:ascii="Arial"/>
                <w:w w:val="104"/>
                <w:sz w:val="16"/>
              </w:rPr>
              <w:t>-</w:t>
            </w:r>
          </w:p>
        </w:tc>
      </w:tr>
      <w:tr w:rsidR="00EB2BD8" w:rsidRPr="00EB2BD8" w14:paraId="5FD8F890" w14:textId="77777777">
        <w:trPr>
          <w:trHeight w:val="355"/>
        </w:trPr>
        <w:tc>
          <w:tcPr>
            <w:tcW w:w="6216" w:type="dxa"/>
            <w:shd w:val="clear" w:color="auto" w:fill="FFFFFF"/>
          </w:tcPr>
          <w:p w14:paraId="7BAE23C5" w14:textId="77777777" w:rsidR="00084F36" w:rsidRPr="00EB2BD8" w:rsidRDefault="00EB2BD8">
            <w:pPr>
              <w:pStyle w:val="TableParagraph"/>
              <w:spacing w:before="79"/>
              <w:ind w:left="105"/>
              <w:rPr>
                <w:rFonts w:ascii="Arial"/>
                <w:sz w:val="16"/>
              </w:rPr>
            </w:pPr>
            <w:r w:rsidRPr="00EB2BD8">
              <w:rPr>
                <w:rFonts w:ascii="Arial"/>
                <w:w w:val="105"/>
                <w:sz w:val="16"/>
              </w:rPr>
              <w:t>Establishment</w:t>
            </w:r>
            <w:r w:rsidRPr="00EB2BD8">
              <w:rPr>
                <w:rFonts w:ascii="Arial"/>
                <w:spacing w:val="-5"/>
                <w:w w:val="105"/>
                <w:sz w:val="16"/>
              </w:rPr>
              <w:t xml:space="preserve"> </w:t>
            </w:r>
            <w:r w:rsidRPr="00EB2BD8">
              <w:rPr>
                <w:rFonts w:ascii="Arial"/>
                <w:w w:val="105"/>
                <w:sz w:val="16"/>
              </w:rPr>
              <w:t>of</w:t>
            </w:r>
            <w:r w:rsidRPr="00EB2BD8">
              <w:rPr>
                <w:rFonts w:ascii="Arial"/>
                <w:spacing w:val="-7"/>
                <w:w w:val="105"/>
                <w:sz w:val="16"/>
              </w:rPr>
              <w:t xml:space="preserve"> </w:t>
            </w:r>
            <w:r w:rsidRPr="00EB2BD8">
              <w:rPr>
                <w:rFonts w:ascii="Arial"/>
                <w:w w:val="105"/>
                <w:sz w:val="16"/>
              </w:rPr>
              <w:t>an</w:t>
            </w:r>
            <w:r w:rsidRPr="00EB2BD8">
              <w:rPr>
                <w:rFonts w:ascii="Arial"/>
                <w:spacing w:val="-6"/>
                <w:w w:val="105"/>
                <w:sz w:val="16"/>
              </w:rPr>
              <w:t xml:space="preserve"> </w:t>
            </w:r>
            <w:r w:rsidRPr="00EB2BD8">
              <w:rPr>
                <w:rFonts w:ascii="Arial"/>
                <w:w w:val="105"/>
                <w:sz w:val="16"/>
              </w:rPr>
              <w:t>Office</w:t>
            </w:r>
            <w:r w:rsidRPr="00EB2BD8">
              <w:rPr>
                <w:rFonts w:ascii="Arial"/>
                <w:spacing w:val="-7"/>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State</w:t>
            </w:r>
            <w:r w:rsidRPr="00EB2BD8">
              <w:rPr>
                <w:rFonts w:ascii="Arial"/>
                <w:spacing w:val="-6"/>
                <w:w w:val="105"/>
                <w:sz w:val="16"/>
              </w:rPr>
              <w:t xml:space="preserve"> </w:t>
            </w:r>
            <w:r w:rsidRPr="00EB2BD8">
              <w:rPr>
                <w:rFonts w:ascii="Arial"/>
                <w:w w:val="105"/>
                <w:sz w:val="16"/>
              </w:rPr>
              <w:t>Building</w:t>
            </w:r>
            <w:r w:rsidRPr="00EB2BD8">
              <w:rPr>
                <w:rFonts w:ascii="Arial"/>
                <w:spacing w:val="-7"/>
                <w:w w:val="105"/>
                <w:sz w:val="16"/>
              </w:rPr>
              <w:t xml:space="preserve"> </w:t>
            </w:r>
            <w:r w:rsidRPr="00EB2BD8">
              <w:rPr>
                <w:rFonts w:ascii="Arial"/>
                <w:spacing w:val="-2"/>
                <w:w w:val="105"/>
                <w:sz w:val="16"/>
              </w:rPr>
              <w:t>Surveyor</w:t>
            </w:r>
          </w:p>
        </w:tc>
        <w:tc>
          <w:tcPr>
            <w:tcW w:w="1588" w:type="dxa"/>
            <w:shd w:val="clear" w:color="auto" w:fill="DEEAF6"/>
          </w:tcPr>
          <w:p w14:paraId="629F26BD" w14:textId="77777777" w:rsidR="00084F36" w:rsidRPr="00EB2BD8" w:rsidRDefault="00EB2BD8">
            <w:pPr>
              <w:pStyle w:val="TableParagraph"/>
              <w:spacing w:before="79"/>
              <w:ind w:right="96"/>
              <w:jc w:val="right"/>
              <w:rPr>
                <w:rFonts w:ascii="Arial"/>
                <w:sz w:val="16"/>
              </w:rPr>
            </w:pPr>
            <w:r w:rsidRPr="00EB2BD8">
              <w:rPr>
                <w:rFonts w:ascii="Arial"/>
                <w:spacing w:val="-2"/>
                <w:w w:val="105"/>
                <w:sz w:val="16"/>
              </w:rPr>
              <w:t>1,219</w:t>
            </w:r>
          </w:p>
        </w:tc>
        <w:tc>
          <w:tcPr>
            <w:tcW w:w="1331" w:type="dxa"/>
            <w:shd w:val="clear" w:color="auto" w:fill="FFFFFF"/>
          </w:tcPr>
          <w:p w14:paraId="0E9E0957" w14:textId="77777777" w:rsidR="00084F36" w:rsidRPr="00EB2BD8" w:rsidRDefault="00EB2BD8">
            <w:pPr>
              <w:pStyle w:val="TableParagraph"/>
              <w:spacing w:before="79"/>
              <w:ind w:right="95"/>
              <w:jc w:val="right"/>
              <w:rPr>
                <w:rFonts w:ascii="Arial"/>
                <w:sz w:val="16"/>
              </w:rPr>
            </w:pPr>
            <w:r w:rsidRPr="00EB2BD8">
              <w:rPr>
                <w:rFonts w:ascii="Arial"/>
                <w:w w:val="104"/>
                <w:sz w:val="16"/>
              </w:rPr>
              <w:t>-</w:t>
            </w:r>
          </w:p>
        </w:tc>
      </w:tr>
      <w:tr w:rsidR="00EB2BD8" w:rsidRPr="00EB2BD8" w14:paraId="2BAA9CFB" w14:textId="77777777">
        <w:trPr>
          <w:trHeight w:val="355"/>
        </w:trPr>
        <w:tc>
          <w:tcPr>
            <w:tcW w:w="6216" w:type="dxa"/>
            <w:shd w:val="clear" w:color="auto" w:fill="FFFFFF"/>
          </w:tcPr>
          <w:p w14:paraId="21C4A1BA" w14:textId="77777777" w:rsidR="00084F36" w:rsidRPr="00EB2BD8" w:rsidRDefault="00EB2BD8">
            <w:pPr>
              <w:pStyle w:val="TableParagraph"/>
              <w:spacing w:before="92"/>
              <w:ind w:left="105"/>
              <w:rPr>
                <w:rFonts w:ascii="Arial"/>
                <w:sz w:val="16"/>
              </w:rPr>
            </w:pPr>
            <w:r w:rsidRPr="00EB2BD8">
              <w:rPr>
                <w:rFonts w:ascii="Arial"/>
                <w:spacing w:val="-2"/>
                <w:w w:val="105"/>
                <w:sz w:val="16"/>
              </w:rPr>
              <w:t>Strengthening</w:t>
            </w:r>
            <w:r w:rsidRPr="00EB2BD8">
              <w:rPr>
                <w:rFonts w:ascii="Arial"/>
                <w:spacing w:val="8"/>
                <w:w w:val="105"/>
                <w:sz w:val="16"/>
              </w:rPr>
              <w:t xml:space="preserve"> </w:t>
            </w:r>
            <w:r w:rsidRPr="00EB2BD8">
              <w:rPr>
                <w:rFonts w:ascii="Arial"/>
                <w:spacing w:val="-2"/>
                <w:w w:val="105"/>
                <w:sz w:val="16"/>
              </w:rPr>
              <w:t>Building</w:t>
            </w:r>
            <w:r w:rsidRPr="00EB2BD8">
              <w:rPr>
                <w:rFonts w:ascii="Arial"/>
                <w:spacing w:val="6"/>
                <w:w w:val="105"/>
                <w:sz w:val="16"/>
              </w:rPr>
              <w:t xml:space="preserve"> </w:t>
            </w:r>
            <w:r w:rsidRPr="00EB2BD8">
              <w:rPr>
                <w:rFonts w:ascii="Arial"/>
                <w:spacing w:val="-2"/>
                <w:w w:val="105"/>
                <w:sz w:val="16"/>
              </w:rPr>
              <w:t>Approvals</w:t>
            </w:r>
          </w:p>
        </w:tc>
        <w:tc>
          <w:tcPr>
            <w:tcW w:w="1588" w:type="dxa"/>
            <w:shd w:val="clear" w:color="auto" w:fill="DEEAF6"/>
          </w:tcPr>
          <w:p w14:paraId="0F7D2840" w14:textId="77777777" w:rsidR="00084F36" w:rsidRPr="00EB2BD8" w:rsidRDefault="00EB2BD8">
            <w:pPr>
              <w:pStyle w:val="TableParagraph"/>
              <w:spacing w:before="92"/>
              <w:ind w:right="96"/>
              <w:jc w:val="right"/>
              <w:rPr>
                <w:rFonts w:ascii="Arial"/>
                <w:sz w:val="16"/>
              </w:rPr>
            </w:pPr>
            <w:r w:rsidRPr="00EB2BD8">
              <w:rPr>
                <w:rFonts w:ascii="Arial"/>
                <w:spacing w:val="-2"/>
                <w:w w:val="105"/>
                <w:sz w:val="16"/>
              </w:rPr>
              <w:t>4,076</w:t>
            </w:r>
          </w:p>
        </w:tc>
        <w:tc>
          <w:tcPr>
            <w:tcW w:w="1331" w:type="dxa"/>
            <w:shd w:val="clear" w:color="auto" w:fill="FFFFFF"/>
          </w:tcPr>
          <w:p w14:paraId="4F7DE442" w14:textId="77777777" w:rsidR="00084F36" w:rsidRPr="00EB2BD8" w:rsidRDefault="00EB2BD8">
            <w:pPr>
              <w:pStyle w:val="TableParagraph"/>
              <w:spacing w:before="92"/>
              <w:ind w:right="96"/>
              <w:jc w:val="right"/>
              <w:rPr>
                <w:rFonts w:ascii="Arial"/>
                <w:sz w:val="16"/>
              </w:rPr>
            </w:pPr>
            <w:r w:rsidRPr="00EB2BD8">
              <w:rPr>
                <w:rFonts w:ascii="Arial"/>
                <w:w w:val="104"/>
                <w:sz w:val="16"/>
              </w:rPr>
              <w:t>-</w:t>
            </w:r>
          </w:p>
        </w:tc>
      </w:tr>
      <w:tr w:rsidR="00EB2BD8" w:rsidRPr="00EB2BD8" w14:paraId="7D7DCB4E" w14:textId="77777777">
        <w:trPr>
          <w:trHeight w:val="330"/>
        </w:trPr>
        <w:tc>
          <w:tcPr>
            <w:tcW w:w="6216" w:type="dxa"/>
            <w:shd w:val="clear" w:color="auto" w:fill="FFFFFF"/>
          </w:tcPr>
          <w:p w14:paraId="4B551D54" w14:textId="77777777" w:rsidR="00084F36" w:rsidRPr="00EB2BD8" w:rsidRDefault="00EB2BD8">
            <w:pPr>
              <w:pStyle w:val="TableParagraph"/>
              <w:spacing w:before="79"/>
              <w:ind w:left="105"/>
              <w:rPr>
                <w:rFonts w:ascii="Arial"/>
                <w:sz w:val="16"/>
              </w:rPr>
            </w:pPr>
            <w:r w:rsidRPr="00EB2BD8">
              <w:rPr>
                <w:rFonts w:ascii="Arial"/>
                <w:w w:val="105"/>
                <w:sz w:val="16"/>
              </w:rPr>
              <w:t>AS4575</w:t>
            </w:r>
            <w:r w:rsidRPr="00EB2BD8">
              <w:rPr>
                <w:rFonts w:ascii="Arial"/>
                <w:spacing w:val="-7"/>
                <w:w w:val="105"/>
                <w:sz w:val="16"/>
              </w:rPr>
              <w:t xml:space="preserve"> </w:t>
            </w:r>
            <w:r w:rsidRPr="00EB2BD8">
              <w:rPr>
                <w:rFonts w:ascii="Arial"/>
                <w:w w:val="105"/>
                <w:sz w:val="16"/>
              </w:rPr>
              <w:t>-</w:t>
            </w:r>
            <w:r w:rsidRPr="00EB2BD8">
              <w:rPr>
                <w:rFonts w:ascii="Arial"/>
                <w:spacing w:val="-7"/>
                <w:w w:val="105"/>
                <w:sz w:val="16"/>
              </w:rPr>
              <w:t xml:space="preserve"> </w:t>
            </w:r>
            <w:r w:rsidRPr="00EB2BD8">
              <w:rPr>
                <w:rFonts w:ascii="Arial"/>
                <w:w w:val="105"/>
                <w:sz w:val="16"/>
              </w:rPr>
              <w:t>Gas</w:t>
            </w:r>
            <w:r w:rsidRPr="00EB2BD8">
              <w:rPr>
                <w:rFonts w:ascii="Arial"/>
                <w:spacing w:val="-7"/>
                <w:w w:val="105"/>
                <w:sz w:val="16"/>
              </w:rPr>
              <w:t xml:space="preserve"> </w:t>
            </w:r>
            <w:r w:rsidRPr="00EB2BD8">
              <w:rPr>
                <w:rFonts w:ascii="Arial"/>
                <w:w w:val="105"/>
                <w:sz w:val="16"/>
              </w:rPr>
              <w:t>Appliance</w:t>
            </w:r>
            <w:r w:rsidRPr="00EB2BD8">
              <w:rPr>
                <w:rFonts w:ascii="Arial"/>
                <w:spacing w:val="-6"/>
                <w:w w:val="105"/>
                <w:sz w:val="16"/>
              </w:rPr>
              <w:t xml:space="preserve"> </w:t>
            </w:r>
            <w:r w:rsidRPr="00EB2BD8">
              <w:rPr>
                <w:rFonts w:ascii="Arial"/>
                <w:w w:val="105"/>
                <w:sz w:val="16"/>
              </w:rPr>
              <w:t>Servicing</w:t>
            </w:r>
            <w:r w:rsidRPr="00EB2BD8">
              <w:rPr>
                <w:rFonts w:ascii="Arial"/>
                <w:spacing w:val="-7"/>
                <w:w w:val="105"/>
                <w:sz w:val="16"/>
              </w:rPr>
              <w:t xml:space="preserve"> </w:t>
            </w:r>
            <w:r w:rsidRPr="00EB2BD8">
              <w:rPr>
                <w:rFonts w:ascii="Arial"/>
                <w:w w:val="105"/>
                <w:sz w:val="16"/>
              </w:rPr>
              <w:t>Portal</w:t>
            </w:r>
            <w:r w:rsidRPr="00EB2BD8">
              <w:rPr>
                <w:rFonts w:ascii="Arial"/>
                <w:spacing w:val="-7"/>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spacing w:val="-2"/>
                <w:w w:val="105"/>
                <w:sz w:val="16"/>
              </w:rPr>
              <w:t>Support</w:t>
            </w:r>
          </w:p>
        </w:tc>
        <w:tc>
          <w:tcPr>
            <w:tcW w:w="1588" w:type="dxa"/>
            <w:shd w:val="clear" w:color="auto" w:fill="DEEAF6"/>
          </w:tcPr>
          <w:p w14:paraId="1B52F8AF" w14:textId="77777777" w:rsidR="00084F36" w:rsidRPr="00EB2BD8" w:rsidRDefault="00EB2BD8">
            <w:pPr>
              <w:pStyle w:val="TableParagraph"/>
              <w:spacing w:before="79"/>
              <w:ind w:right="94"/>
              <w:jc w:val="right"/>
              <w:rPr>
                <w:rFonts w:ascii="Arial"/>
                <w:sz w:val="16"/>
              </w:rPr>
            </w:pPr>
            <w:r w:rsidRPr="00EB2BD8">
              <w:rPr>
                <w:rFonts w:ascii="Arial"/>
                <w:w w:val="104"/>
                <w:sz w:val="16"/>
              </w:rPr>
              <w:t>-</w:t>
            </w:r>
          </w:p>
        </w:tc>
        <w:tc>
          <w:tcPr>
            <w:tcW w:w="1331" w:type="dxa"/>
            <w:shd w:val="clear" w:color="auto" w:fill="FFFFFF"/>
          </w:tcPr>
          <w:p w14:paraId="591B0AE5" w14:textId="77777777" w:rsidR="00084F36" w:rsidRPr="00EB2BD8" w:rsidRDefault="00EB2BD8">
            <w:pPr>
              <w:pStyle w:val="TableParagraph"/>
              <w:spacing w:before="79"/>
              <w:ind w:right="98"/>
              <w:jc w:val="right"/>
              <w:rPr>
                <w:rFonts w:ascii="Arial"/>
                <w:sz w:val="16"/>
              </w:rPr>
            </w:pPr>
            <w:r w:rsidRPr="00EB2BD8">
              <w:rPr>
                <w:rFonts w:ascii="Arial"/>
                <w:spacing w:val="-5"/>
                <w:w w:val="105"/>
                <w:sz w:val="16"/>
              </w:rPr>
              <w:t>138</w:t>
            </w:r>
          </w:p>
        </w:tc>
      </w:tr>
      <w:tr w:rsidR="00EB2BD8" w:rsidRPr="00EB2BD8" w14:paraId="6C59FAC8" w14:textId="77777777">
        <w:trPr>
          <w:trHeight w:val="313"/>
        </w:trPr>
        <w:tc>
          <w:tcPr>
            <w:tcW w:w="6216" w:type="dxa"/>
            <w:tcBorders>
              <w:bottom w:val="single" w:sz="12" w:space="0" w:color="000000"/>
            </w:tcBorders>
            <w:shd w:val="clear" w:color="auto" w:fill="FFFFFF"/>
          </w:tcPr>
          <w:p w14:paraId="5DED608D" w14:textId="77777777" w:rsidR="00084F36" w:rsidRPr="00EB2BD8" w:rsidRDefault="00EB2BD8">
            <w:pPr>
              <w:pStyle w:val="TableParagraph"/>
              <w:spacing w:before="67"/>
              <w:ind w:left="105"/>
              <w:rPr>
                <w:rFonts w:ascii="Arial"/>
                <w:sz w:val="16"/>
              </w:rPr>
            </w:pPr>
            <w:r w:rsidRPr="00EB2BD8">
              <w:rPr>
                <w:rFonts w:ascii="Arial"/>
                <w:w w:val="105"/>
                <w:sz w:val="16"/>
              </w:rPr>
              <w:t>7</w:t>
            </w:r>
            <w:r w:rsidRPr="00EB2BD8">
              <w:rPr>
                <w:rFonts w:ascii="Arial"/>
                <w:spacing w:val="-6"/>
                <w:w w:val="105"/>
                <w:sz w:val="16"/>
              </w:rPr>
              <w:t xml:space="preserve"> </w:t>
            </w:r>
            <w:r w:rsidRPr="00EB2BD8">
              <w:rPr>
                <w:rFonts w:ascii="Arial"/>
                <w:w w:val="105"/>
                <w:sz w:val="16"/>
              </w:rPr>
              <w:t>Star</w:t>
            </w:r>
            <w:r w:rsidRPr="00EB2BD8">
              <w:rPr>
                <w:rFonts w:ascii="Arial"/>
                <w:spacing w:val="-6"/>
                <w:w w:val="105"/>
                <w:sz w:val="16"/>
              </w:rPr>
              <w:t xml:space="preserve"> </w:t>
            </w:r>
            <w:r w:rsidRPr="00EB2BD8">
              <w:rPr>
                <w:rFonts w:ascii="Arial"/>
                <w:w w:val="105"/>
                <w:sz w:val="16"/>
              </w:rPr>
              <w:t>policy</w:t>
            </w:r>
            <w:r w:rsidRPr="00EB2BD8">
              <w:rPr>
                <w:rFonts w:ascii="Arial"/>
                <w:spacing w:val="-5"/>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program</w:t>
            </w:r>
            <w:r w:rsidRPr="00EB2BD8">
              <w:rPr>
                <w:rFonts w:ascii="Arial"/>
                <w:spacing w:val="-5"/>
                <w:w w:val="105"/>
                <w:sz w:val="16"/>
              </w:rPr>
              <w:t xml:space="preserve"> </w:t>
            </w:r>
            <w:r w:rsidRPr="00EB2BD8">
              <w:rPr>
                <w:rFonts w:ascii="Arial"/>
                <w:spacing w:val="-2"/>
                <w:w w:val="105"/>
                <w:sz w:val="16"/>
              </w:rPr>
              <w:t>support</w:t>
            </w:r>
          </w:p>
        </w:tc>
        <w:tc>
          <w:tcPr>
            <w:tcW w:w="1588" w:type="dxa"/>
            <w:tcBorders>
              <w:bottom w:val="single" w:sz="12" w:space="0" w:color="000000"/>
            </w:tcBorders>
            <w:shd w:val="clear" w:color="auto" w:fill="DEEAF6"/>
          </w:tcPr>
          <w:p w14:paraId="769DECBE" w14:textId="77777777" w:rsidR="00084F36" w:rsidRPr="00EB2BD8" w:rsidRDefault="00EB2BD8">
            <w:pPr>
              <w:pStyle w:val="TableParagraph"/>
              <w:spacing w:before="67"/>
              <w:ind w:right="94"/>
              <w:jc w:val="right"/>
              <w:rPr>
                <w:rFonts w:ascii="Arial"/>
                <w:sz w:val="16"/>
              </w:rPr>
            </w:pPr>
            <w:r w:rsidRPr="00EB2BD8">
              <w:rPr>
                <w:rFonts w:ascii="Arial"/>
                <w:w w:val="104"/>
                <w:sz w:val="16"/>
              </w:rPr>
              <w:t>-</w:t>
            </w:r>
          </w:p>
        </w:tc>
        <w:tc>
          <w:tcPr>
            <w:tcW w:w="1331" w:type="dxa"/>
            <w:tcBorders>
              <w:bottom w:val="single" w:sz="12" w:space="0" w:color="000000"/>
            </w:tcBorders>
            <w:shd w:val="clear" w:color="auto" w:fill="FFFFFF"/>
          </w:tcPr>
          <w:p w14:paraId="239027F7" w14:textId="77777777" w:rsidR="00084F36" w:rsidRPr="00EB2BD8" w:rsidRDefault="00EB2BD8">
            <w:pPr>
              <w:pStyle w:val="TableParagraph"/>
              <w:spacing w:before="67"/>
              <w:ind w:right="97"/>
              <w:jc w:val="right"/>
              <w:rPr>
                <w:rFonts w:ascii="Arial"/>
                <w:sz w:val="16"/>
              </w:rPr>
            </w:pPr>
            <w:r w:rsidRPr="00EB2BD8">
              <w:rPr>
                <w:rFonts w:ascii="Arial"/>
                <w:spacing w:val="-5"/>
                <w:w w:val="105"/>
                <w:sz w:val="16"/>
              </w:rPr>
              <w:t>130</w:t>
            </w:r>
          </w:p>
        </w:tc>
      </w:tr>
      <w:tr w:rsidR="00EB2BD8" w:rsidRPr="00EB2BD8" w14:paraId="737A13C7" w14:textId="77777777">
        <w:trPr>
          <w:trHeight w:val="287"/>
        </w:trPr>
        <w:tc>
          <w:tcPr>
            <w:tcW w:w="6216" w:type="dxa"/>
            <w:tcBorders>
              <w:top w:val="single" w:sz="12" w:space="0" w:color="000000"/>
              <w:bottom w:val="single" w:sz="12" w:space="0" w:color="000000"/>
            </w:tcBorders>
            <w:shd w:val="clear" w:color="auto" w:fill="FFFFFF"/>
          </w:tcPr>
          <w:p w14:paraId="52F6B282" w14:textId="77777777" w:rsidR="00084F36" w:rsidRPr="00EB2BD8" w:rsidRDefault="00EB2BD8">
            <w:pPr>
              <w:pStyle w:val="TableParagraph"/>
              <w:spacing w:before="54"/>
              <w:ind w:left="105"/>
              <w:rPr>
                <w:rFonts w:ascii="Arial"/>
                <w:b/>
                <w:sz w:val="16"/>
              </w:rPr>
            </w:pPr>
            <w:r w:rsidRPr="00EB2BD8">
              <w:rPr>
                <w:rFonts w:ascii="Arial"/>
                <w:b/>
                <w:w w:val="105"/>
                <w:sz w:val="16"/>
              </w:rPr>
              <w:t>Total</w:t>
            </w:r>
            <w:r w:rsidRPr="00EB2BD8">
              <w:rPr>
                <w:rFonts w:ascii="Arial"/>
                <w:b/>
                <w:spacing w:val="-8"/>
                <w:w w:val="105"/>
                <w:sz w:val="16"/>
              </w:rPr>
              <w:t xml:space="preserve"> </w:t>
            </w:r>
            <w:r w:rsidRPr="00EB2BD8">
              <w:rPr>
                <w:rFonts w:ascii="Arial"/>
                <w:b/>
                <w:w w:val="105"/>
                <w:sz w:val="16"/>
              </w:rPr>
              <w:t>DEECA</w:t>
            </w:r>
            <w:r w:rsidRPr="00EB2BD8">
              <w:rPr>
                <w:rFonts w:ascii="Arial"/>
                <w:b/>
                <w:spacing w:val="-7"/>
                <w:w w:val="105"/>
                <w:sz w:val="16"/>
              </w:rPr>
              <w:t xml:space="preserve"> </w:t>
            </w:r>
            <w:r w:rsidRPr="00EB2BD8">
              <w:rPr>
                <w:rFonts w:ascii="Arial"/>
                <w:b/>
                <w:w w:val="105"/>
                <w:sz w:val="16"/>
              </w:rPr>
              <w:t>grant</w:t>
            </w:r>
            <w:r w:rsidRPr="00EB2BD8">
              <w:rPr>
                <w:rFonts w:ascii="Arial"/>
                <w:b/>
                <w:spacing w:val="-7"/>
                <w:w w:val="105"/>
                <w:sz w:val="16"/>
              </w:rPr>
              <w:t xml:space="preserve"> </w:t>
            </w:r>
            <w:r w:rsidRPr="00EB2BD8">
              <w:rPr>
                <w:rFonts w:ascii="Arial"/>
                <w:b/>
                <w:spacing w:val="-2"/>
                <w:w w:val="105"/>
                <w:sz w:val="16"/>
              </w:rPr>
              <w:t>income</w:t>
            </w:r>
          </w:p>
        </w:tc>
        <w:tc>
          <w:tcPr>
            <w:tcW w:w="1588" w:type="dxa"/>
            <w:tcBorders>
              <w:top w:val="single" w:sz="12" w:space="0" w:color="000000"/>
              <w:bottom w:val="single" w:sz="12" w:space="0" w:color="000000"/>
            </w:tcBorders>
            <w:shd w:val="clear" w:color="auto" w:fill="DEEAF6"/>
          </w:tcPr>
          <w:p w14:paraId="5D2AF5C6" w14:textId="77777777" w:rsidR="00084F36" w:rsidRPr="00EB2BD8" w:rsidRDefault="00EB2BD8">
            <w:pPr>
              <w:pStyle w:val="TableParagraph"/>
              <w:spacing w:before="53"/>
              <w:ind w:right="95"/>
              <w:jc w:val="right"/>
              <w:rPr>
                <w:rFonts w:ascii="Arial"/>
                <w:b/>
                <w:sz w:val="16"/>
              </w:rPr>
            </w:pPr>
            <w:r w:rsidRPr="00EB2BD8">
              <w:rPr>
                <w:rFonts w:ascii="Arial"/>
                <w:b/>
                <w:spacing w:val="-2"/>
                <w:w w:val="105"/>
                <w:sz w:val="16"/>
              </w:rPr>
              <w:t>23,004</w:t>
            </w:r>
          </w:p>
        </w:tc>
        <w:tc>
          <w:tcPr>
            <w:tcW w:w="1331" w:type="dxa"/>
            <w:tcBorders>
              <w:top w:val="single" w:sz="12" w:space="0" w:color="000000"/>
              <w:bottom w:val="single" w:sz="12" w:space="0" w:color="000000"/>
            </w:tcBorders>
            <w:shd w:val="clear" w:color="auto" w:fill="FFFFFF"/>
          </w:tcPr>
          <w:p w14:paraId="542390E2" w14:textId="77777777" w:rsidR="00084F36" w:rsidRPr="00EB2BD8" w:rsidRDefault="00EB2BD8">
            <w:pPr>
              <w:pStyle w:val="TableParagraph"/>
              <w:spacing w:before="53"/>
              <w:ind w:right="97"/>
              <w:jc w:val="right"/>
              <w:rPr>
                <w:rFonts w:ascii="Arial"/>
                <w:b/>
                <w:sz w:val="16"/>
              </w:rPr>
            </w:pPr>
            <w:r w:rsidRPr="00EB2BD8">
              <w:rPr>
                <w:rFonts w:ascii="Arial"/>
                <w:b/>
                <w:spacing w:val="-2"/>
                <w:w w:val="105"/>
                <w:sz w:val="16"/>
              </w:rPr>
              <w:t>11,858</w:t>
            </w:r>
          </w:p>
        </w:tc>
      </w:tr>
      <w:tr w:rsidR="00EB2BD8" w:rsidRPr="00EB2BD8" w14:paraId="260BADC1" w14:textId="77777777">
        <w:trPr>
          <w:trHeight w:val="294"/>
        </w:trPr>
        <w:tc>
          <w:tcPr>
            <w:tcW w:w="6216" w:type="dxa"/>
            <w:tcBorders>
              <w:top w:val="single" w:sz="12" w:space="0" w:color="000000"/>
            </w:tcBorders>
            <w:shd w:val="clear" w:color="auto" w:fill="FFFFFF"/>
          </w:tcPr>
          <w:p w14:paraId="2D55A5CA" w14:textId="77777777" w:rsidR="00084F36" w:rsidRPr="00EB2BD8" w:rsidRDefault="00EB2BD8">
            <w:pPr>
              <w:pStyle w:val="TableParagraph"/>
              <w:spacing w:before="53"/>
              <w:ind w:left="105"/>
              <w:rPr>
                <w:rFonts w:ascii="Arial"/>
                <w:b/>
                <w:i/>
                <w:sz w:val="16"/>
              </w:rPr>
            </w:pPr>
            <w:r w:rsidRPr="00EB2BD8">
              <w:rPr>
                <w:rFonts w:ascii="Arial"/>
                <w:b/>
                <w:i/>
                <w:sz w:val="16"/>
              </w:rPr>
              <w:t>NON-</w:t>
            </w:r>
            <w:r w:rsidRPr="00EB2BD8">
              <w:rPr>
                <w:rFonts w:ascii="Arial"/>
                <w:b/>
                <w:i/>
                <w:spacing w:val="-2"/>
                <w:sz w:val="16"/>
              </w:rPr>
              <w:t>DEECA:</w:t>
            </w:r>
          </w:p>
        </w:tc>
        <w:tc>
          <w:tcPr>
            <w:tcW w:w="1588" w:type="dxa"/>
            <w:tcBorders>
              <w:top w:val="single" w:sz="12" w:space="0" w:color="000000"/>
            </w:tcBorders>
            <w:shd w:val="clear" w:color="auto" w:fill="DEEAF6"/>
          </w:tcPr>
          <w:p w14:paraId="49C610D2" w14:textId="77777777" w:rsidR="00084F36" w:rsidRPr="00EB2BD8" w:rsidRDefault="00084F36">
            <w:pPr>
              <w:pStyle w:val="TableParagraph"/>
              <w:rPr>
                <w:rFonts w:ascii="Times New Roman"/>
                <w:sz w:val="16"/>
              </w:rPr>
            </w:pPr>
          </w:p>
        </w:tc>
        <w:tc>
          <w:tcPr>
            <w:tcW w:w="1331" w:type="dxa"/>
            <w:tcBorders>
              <w:top w:val="single" w:sz="12" w:space="0" w:color="000000"/>
            </w:tcBorders>
            <w:shd w:val="clear" w:color="auto" w:fill="FFFFFF"/>
          </w:tcPr>
          <w:p w14:paraId="4E802B58" w14:textId="77777777" w:rsidR="00084F36" w:rsidRPr="00EB2BD8" w:rsidRDefault="00084F36">
            <w:pPr>
              <w:pStyle w:val="TableParagraph"/>
              <w:rPr>
                <w:rFonts w:ascii="Times New Roman"/>
                <w:sz w:val="16"/>
              </w:rPr>
            </w:pPr>
          </w:p>
        </w:tc>
      </w:tr>
      <w:tr w:rsidR="00EB2BD8" w:rsidRPr="00EB2BD8" w14:paraId="7F9BEF0B" w14:textId="77777777">
        <w:trPr>
          <w:trHeight w:val="299"/>
        </w:trPr>
        <w:tc>
          <w:tcPr>
            <w:tcW w:w="6216" w:type="dxa"/>
            <w:shd w:val="clear" w:color="auto" w:fill="FFFFFF"/>
          </w:tcPr>
          <w:p w14:paraId="29159656" w14:textId="77777777" w:rsidR="00084F36" w:rsidRPr="00EB2BD8" w:rsidRDefault="00EB2BD8">
            <w:pPr>
              <w:pStyle w:val="TableParagraph"/>
              <w:spacing w:before="57"/>
              <w:ind w:left="105"/>
              <w:rPr>
                <w:rFonts w:ascii="Arial"/>
                <w:sz w:val="16"/>
              </w:rPr>
            </w:pPr>
            <w:r w:rsidRPr="00EB2BD8">
              <w:rPr>
                <w:rFonts w:ascii="Arial"/>
                <w:w w:val="105"/>
                <w:sz w:val="16"/>
              </w:rPr>
              <w:t>Service</w:t>
            </w:r>
            <w:r w:rsidRPr="00EB2BD8">
              <w:rPr>
                <w:rFonts w:ascii="Arial"/>
                <w:spacing w:val="-7"/>
                <w:w w:val="105"/>
                <w:sz w:val="16"/>
              </w:rPr>
              <w:t xml:space="preserve"> </w:t>
            </w:r>
            <w:r w:rsidRPr="00EB2BD8">
              <w:rPr>
                <w:rFonts w:ascii="Arial"/>
                <w:w w:val="105"/>
                <w:sz w:val="16"/>
              </w:rPr>
              <w:t>Victoria</w:t>
            </w:r>
            <w:r w:rsidRPr="00EB2BD8">
              <w:rPr>
                <w:rFonts w:ascii="Arial"/>
                <w:spacing w:val="-7"/>
                <w:w w:val="105"/>
                <w:sz w:val="16"/>
              </w:rPr>
              <w:t xml:space="preserve"> </w:t>
            </w:r>
            <w:r w:rsidRPr="00EB2BD8">
              <w:rPr>
                <w:rFonts w:ascii="Arial"/>
                <w:w w:val="105"/>
                <w:sz w:val="16"/>
              </w:rPr>
              <w:t>-</w:t>
            </w:r>
            <w:r w:rsidRPr="00EB2BD8">
              <w:rPr>
                <w:rFonts w:ascii="Arial"/>
                <w:spacing w:val="-7"/>
                <w:w w:val="105"/>
                <w:sz w:val="16"/>
              </w:rPr>
              <w:t xml:space="preserve"> </w:t>
            </w:r>
            <w:r w:rsidRPr="00EB2BD8">
              <w:rPr>
                <w:rFonts w:ascii="Arial"/>
                <w:w w:val="105"/>
                <w:sz w:val="16"/>
              </w:rPr>
              <w:t>VBA</w:t>
            </w:r>
            <w:r w:rsidRPr="00EB2BD8">
              <w:rPr>
                <w:rFonts w:ascii="Arial"/>
                <w:spacing w:val="-7"/>
                <w:w w:val="105"/>
                <w:sz w:val="16"/>
              </w:rPr>
              <w:t xml:space="preserve"> </w:t>
            </w:r>
            <w:r w:rsidRPr="00EB2BD8">
              <w:rPr>
                <w:rFonts w:ascii="Arial"/>
                <w:w w:val="105"/>
                <w:sz w:val="16"/>
              </w:rPr>
              <w:t>Digital</w:t>
            </w:r>
            <w:r w:rsidRPr="00EB2BD8">
              <w:rPr>
                <w:rFonts w:ascii="Arial"/>
                <w:spacing w:val="-6"/>
                <w:w w:val="105"/>
                <w:sz w:val="16"/>
              </w:rPr>
              <w:t xml:space="preserve"> </w:t>
            </w:r>
            <w:r w:rsidRPr="00EB2BD8">
              <w:rPr>
                <w:rFonts w:ascii="Arial"/>
                <w:spacing w:val="-2"/>
                <w:w w:val="105"/>
                <w:sz w:val="16"/>
              </w:rPr>
              <w:t>Tokens</w:t>
            </w:r>
          </w:p>
        </w:tc>
        <w:tc>
          <w:tcPr>
            <w:tcW w:w="1588" w:type="dxa"/>
            <w:shd w:val="clear" w:color="auto" w:fill="DEEAF6"/>
          </w:tcPr>
          <w:p w14:paraId="3C35372F" w14:textId="77777777" w:rsidR="00084F36" w:rsidRPr="00EB2BD8" w:rsidRDefault="00EB2BD8">
            <w:pPr>
              <w:pStyle w:val="TableParagraph"/>
              <w:spacing w:before="62"/>
              <w:ind w:right="96"/>
              <w:jc w:val="right"/>
              <w:rPr>
                <w:rFonts w:ascii="Arial"/>
                <w:sz w:val="16"/>
              </w:rPr>
            </w:pPr>
            <w:r w:rsidRPr="00EB2BD8">
              <w:rPr>
                <w:rFonts w:ascii="Arial"/>
                <w:spacing w:val="-5"/>
                <w:w w:val="105"/>
                <w:sz w:val="16"/>
              </w:rPr>
              <w:t>150</w:t>
            </w:r>
          </w:p>
        </w:tc>
        <w:tc>
          <w:tcPr>
            <w:tcW w:w="1331" w:type="dxa"/>
            <w:shd w:val="clear" w:color="auto" w:fill="FFFFFF"/>
          </w:tcPr>
          <w:p w14:paraId="6092ED06" w14:textId="77777777" w:rsidR="00084F36" w:rsidRPr="00EB2BD8" w:rsidRDefault="00EB2BD8">
            <w:pPr>
              <w:pStyle w:val="TableParagraph"/>
              <w:spacing w:before="62"/>
              <w:ind w:right="96"/>
              <w:jc w:val="right"/>
              <w:rPr>
                <w:rFonts w:ascii="Arial"/>
                <w:sz w:val="16"/>
              </w:rPr>
            </w:pPr>
            <w:r w:rsidRPr="00EB2BD8">
              <w:rPr>
                <w:rFonts w:ascii="Arial"/>
                <w:w w:val="104"/>
                <w:sz w:val="16"/>
              </w:rPr>
              <w:t>-</w:t>
            </w:r>
          </w:p>
        </w:tc>
      </w:tr>
      <w:tr w:rsidR="00EB2BD8" w:rsidRPr="00EB2BD8" w14:paraId="3AB8D544" w14:textId="77777777">
        <w:trPr>
          <w:trHeight w:val="308"/>
        </w:trPr>
        <w:tc>
          <w:tcPr>
            <w:tcW w:w="6216" w:type="dxa"/>
            <w:shd w:val="clear" w:color="auto" w:fill="FFFFFF"/>
          </w:tcPr>
          <w:p w14:paraId="1C2E8078" w14:textId="77777777" w:rsidR="00084F36" w:rsidRPr="00EB2BD8" w:rsidRDefault="00EB2BD8">
            <w:pPr>
              <w:pStyle w:val="TableParagraph"/>
              <w:spacing w:before="53"/>
              <w:ind w:left="105"/>
              <w:rPr>
                <w:rFonts w:ascii="Arial"/>
                <w:sz w:val="16"/>
              </w:rPr>
            </w:pPr>
            <w:r w:rsidRPr="00EB2BD8">
              <w:rPr>
                <w:rFonts w:ascii="Arial"/>
                <w:w w:val="105"/>
                <w:sz w:val="16"/>
              </w:rPr>
              <w:t>Department</w:t>
            </w:r>
            <w:r w:rsidRPr="00EB2BD8">
              <w:rPr>
                <w:rFonts w:ascii="Arial"/>
                <w:spacing w:val="-8"/>
                <w:w w:val="105"/>
                <w:sz w:val="16"/>
              </w:rPr>
              <w:t xml:space="preserve"> </w:t>
            </w:r>
            <w:r w:rsidRPr="00EB2BD8">
              <w:rPr>
                <w:rFonts w:ascii="Arial"/>
                <w:w w:val="105"/>
                <w:sz w:val="16"/>
              </w:rPr>
              <w:t>of</w:t>
            </w:r>
            <w:r w:rsidRPr="00EB2BD8">
              <w:rPr>
                <w:rFonts w:ascii="Arial"/>
                <w:spacing w:val="-8"/>
                <w:w w:val="105"/>
                <w:sz w:val="16"/>
              </w:rPr>
              <w:t xml:space="preserve"> </w:t>
            </w:r>
            <w:r w:rsidRPr="00EB2BD8">
              <w:rPr>
                <w:rFonts w:ascii="Arial"/>
                <w:w w:val="105"/>
                <w:sz w:val="16"/>
              </w:rPr>
              <w:t>Treasury</w:t>
            </w:r>
            <w:r w:rsidRPr="00EB2BD8">
              <w:rPr>
                <w:rFonts w:ascii="Arial"/>
                <w:spacing w:val="-8"/>
                <w:w w:val="105"/>
                <w:sz w:val="16"/>
              </w:rPr>
              <w:t xml:space="preserve"> </w:t>
            </w:r>
            <w:r w:rsidRPr="00EB2BD8">
              <w:rPr>
                <w:rFonts w:ascii="Arial"/>
                <w:w w:val="105"/>
                <w:sz w:val="16"/>
              </w:rPr>
              <w:t>and</w:t>
            </w:r>
            <w:r w:rsidRPr="00EB2BD8">
              <w:rPr>
                <w:rFonts w:ascii="Arial"/>
                <w:spacing w:val="-9"/>
                <w:w w:val="105"/>
                <w:sz w:val="16"/>
              </w:rPr>
              <w:t xml:space="preserve"> </w:t>
            </w:r>
            <w:r w:rsidRPr="00EB2BD8">
              <w:rPr>
                <w:rFonts w:ascii="Arial"/>
                <w:w w:val="105"/>
                <w:sz w:val="16"/>
              </w:rPr>
              <w:t>Finance</w:t>
            </w:r>
            <w:r w:rsidRPr="00EB2BD8">
              <w:rPr>
                <w:rFonts w:ascii="Arial"/>
                <w:spacing w:val="-8"/>
                <w:w w:val="105"/>
                <w:sz w:val="16"/>
              </w:rPr>
              <w:t xml:space="preserve"> </w:t>
            </w:r>
            <w:r w:rsidRPr="00EB2BD8">
              <w:rPr>
                <w:rFonts w:ascii="Arial"/>
                <w:w w:val="105"/>
                <w:sz w:val="16"/>
              </w:rPr>
              <w:t>-</w:t>
            </w:r>
            <w:r w:rsidRPr="00EB2BD8">
              <w:rPr>
                <w:rFonts w:ascii="Arial"/>
                <w:spacing w:val="-8"/>
                <w:w w:val="105"/>
                <w:sz w:val="16"/>
              </w:rPr>
              <w:t xml:space="preserve"> </w:t>
            </w:r>
            <w:r w:rsidRPr="00EB2BD8">
              <w:rPr>
                <w:rFonts w:ascii="Arial"/>
                <w:w w:val="105"/>
                <w:sz w:val="16"/>
              </w:rPr>
              <w:t>Business</w:t>
            </w:r>
            <w:r w:rsidRPr="00EB2BD8">
              <w:rPr>
                <w:rFonts w:ascii="Arial"/>
                <w:spacing w:val="-8"/>
                <w:w w:val="105"/>
                <w:sz w:val="16"/>
              </w:rPr>
              <w:t xml:space="preserve"> </w:t>
            </w:r>
            <w:r w:rsidRPr="00EB2BD8">
              <w:rPr>
                <w:rFonts w:ascii="Arial"/>
                <w:w w:val="105"/>
                <w:sz w:val="16"/>
              </w:rPr>
              <w:t>Acceleration</w:t>
            </w:r>
            <w:r w:rsidRPr="00EB2BD8">
              <w:rPr>
                <w:rFonts w:ascii="Arial"/>
                <w:spacing w:val="-8"/>
                <w:w w:val="105"/>
                <w:sz w:val="16"/>
              </w:rPr>
              <w:t xml:space="preserve"> </w:t>
            </w:r>
            <w:r w:rsidRPr="00EB2BD8">
              <w:rPr>
                <w:rFonts w:ascii="Arial"/>
                <w:spacing w:val="-4"/>
                <w:w w:val="105"/>
                <w:sz w:val="16"/>
              </w:rPr>
              <w:t>Fund</w:t>
            </w:r>
          </w:p>
        </w:tc>
        <w:tc>
          <w:tcPr>
            <w:tcW w:w="1588" w:type="dxa"/>
            <w:shd w:val="clear" w:color="auto" w:fill="DEEAF6"/>
          </w:tcPr>
          <w:p w14:paraId="3F033EA8" w14:textId="77777777" w:rsidR="00084F36" w:rsidRPr="00EB2BD8" w:rsidRDefault="00EB2BD8">
            <w:pPr>
              <w:pStyle w:val="TableParagraph"/>
              <w:spacing w:before="53"/>
              <w:ind w:right="96"/>
              <w:jc w:val="right"/>
              <w:rPr>
                <w:rFonts w:ascii="Arial"/>
                <w:sz w:val="16"/>
              </w:rPr>
            </w:pPr>
            <w:r w:rsidRPr="00EB2BD8">
              <w:rPr>
                <w:rFonts w:ascii="Arial"/>
                <w:spacing w:val="-5"/>
                <w:w w:val="105"/>
                <w:sz w:val="16"/>
              </w:rPr>
              <w:t>20</w:t>
            </w:r>
          </w:p>
        </w:tc>
        <w:tc>
          <w:tcPr>
            <w:tcW w:w="1331" w:type="dxa"/>
            <w:shd w:val="clear" w:color="auto" w:fill="FFFFFF"/>
          </w:tcPr>
          <w:p w14:paraId="7A877C4F" w14:textId="77777777" w:rsidR="00084F36" w:rsidRPr="00EB2BD8" w:rsidRDefault="00EB2BD8">
            <w:pPr>
              <w:pStyle w:val="TableParagraph"/>
              <w:spacing w:before="53"/>
              <w:ind w:right="98"/>
              <w:jc w:val="right"/>
              <w:rPr>
                <w:rFonts w:ascii="Arial"/>
                <w:sz w:val="16"/>
              </w:rPr>
            </w:pPr>
            <w:r w:rsidRPr="00EB2BD8">
              <w:rPr>
                <w:rFonts w:ascii="Arial"/>
                <w:w w:val="104"/>
                <w:sz w:val="16"/>
              </w:rPr>
              <w:t>-</w:t>
            </w:r>
          </w:p>
        </w:tc>
      </w:tr>
      <w:tr w:rsidR="00EB2BD8" w:rsidRPr="00EB2BD8" w14:paraId="39E3B155" w14:textId="77777777">
        <w:trPr>
          <w:trHeight w:val="333"/>
        </w:trPr>
        <w:tc>
          <w:tcPr>
            <w:tcW w:w="6216" w:type="dxa"/>
            <w:shd w:val="clear" w:color="auto" w:fill="FFFFFF"/>
          </w:tcPr>
          <w:p w14:paraId="5FDA6133" w14:textId="77777777" w:rsidR="00084F36" w:rsidRPr="00EB2BD8" w:rsidRDefault="00EB2BD8">
            <w:pPr>
              <w:pStyle w:val="TableParagraph"/>
              <w:spacing w:before="71"/>
              <w:ind w:left="105"/>
              <w:rPr>
                <w:rFonts w:ascii="Arial"/>
                <w:sz w:val="16"/>
              </w:rPr>
            </w:pPr>
            <w:r w:rsidRPr="00EB2BD8">
              <w:rPr>
                <w:rFonts w:ascii="Arial"/>
                <w:w w:val="105"/>
                <w:sz w:val="16"/>
              </w:rPr>
              <w:t>Better</w:t>
            </w:r>
            <w:r w:rsidRPr="00EB2BD8">
              <w:rPr>
                <w:rFonts w:ascii="Arial"/>
                <w:spacing w:val="-9"/>
                <w:w w:val="105"/>
                <w:sz w:val="16"/>
              </w:rPr>
              <w:t xml:space="preserve"> </w:t>
            </w:r>
            <w:r w:rsidRPr="00EB2BD8">
              <w:rPr>
                <w:rFonts w:ascii="Arial"/>
                <w:w w:val="105"/>
                <w:sz w:val="16"/>
              </w:rPr>
              <w:t>Regulation</w:t>
            </w:r>
            <w:r w:rsidRPr="00EB2BD8">
              <w:rPr>
                <w:rFonts w:ascii="Arial"/>
                <w:spacing w:val="-8"/>
                <w:w w:val="105"/>
                <w:sz w:val="16"/>
              </w:rPr>
              <w:t xml:space="preserve"> </w:t>
            </w:r>
            <w:r w:rsidRPr="00EB2BD8">
              <w:rPr>
                <w:rFonts w:ascii="Arial"/>
                <w:w w:val="105"/>
                <w:sz w:val="16"/>
              </w:rPr>
              <w:t>Victoria</w:t>
            </w:r>
            <w:r w:rsidRPr="00EB2BD8">
              <w:rPr>
                <w:rFonts w:ascii="Arial"/>
                <w:spacing w:val="-8"/>
                <w:w w:val="105"/>
                <w:sz w:val="16"/>
              </w:rPr>
              <w:t xml:space="preserve"> </w:t>
            </w:r>
            <w:r w:rsidRPr="00EB2BD8">
              <w:rPr>
                <w:rFonts w:ascii="Arial"/>
                <w:w w:val="105"/>
                <w:sz w:val="16"/>
              </w:rPr>
              <w:t>-</w:t>
            </w:r>
            <w:r w:rsidRPr="00EB2BD8">
              <w:rPr>
                <w:rFonts w:ascii="Arial"/>
                <w:spacing w:val="-9"/>
                <w:w w:val="105"/>
                <w:sz w:val="16"/>
              </w:rPr>
              <w:t xml:space="preserve"> </w:t>
            </w:r>
            <w:r w:rsidRPr="00EB2BD8">
              <w:rPr>
                <w:rFonts w:ascii="Arial"/>
                <w:w w:val="105"/>
                <w:sz w:val="16"/>
              </w:rPr>
              <w:t>Better</w:t>
            </w:r>
            <w:r w:rsidRPr="00EB2BD8">
              <w:rPr>
                <w:rFonts w:ascii="Arial"/>
                <w:spacing w:val="-8"/>
                <w:w w:val="105"/>
                <w:sz w:val="16"/>
              </w:rPr>
              <w:t xml:space="preserve"> </w:t>
            </w:r>
            <w:r w:rsidRPr="00EB2BD8">
              <w:rPr>
                <w:rFonts w:ascii="Arial"/>
                <w:w w:val="105"/>
                <w:sz w:val="16"/>
              </w:rPr>
              <w:t>Approvals</w:t>
            </w:r>
            <w:r w:rsidRPr="00EB2BD8">
              <w:rPr>
                <w:rFonts w:ascii="Arial"/>
                <w:spacing w:val="-7"/>
                <w:w w:val="105"/>
                <w:sz w:val="16"/>
              </w:rPr>
              <w:t xml:space="preserve"> </w:t>
            </w:r>
            <w:r w:rsidRPr="00EB2BD8">
              <w:rPr>
                <w:rFonts w:ascii="Arial"/>
                <w:w w:val="105"/>
                <w:sz w:val="16"/>
              </w:rPr>
              <w:t>for</w:t>
            </w:r>
            <w:r w:rsidRPr="00EB2BD8">
              <w:rPr>
                <w:rFonts w:ascii="Arial"/>
                <w:spacing w:val="-9"/>
                <w:w w:val="105"/>
                <w:sz w:val="16"/>
              </w:rPr>
              <w:t xml:space="preserve"> </w:t>
            </w:r>
            <w:r w:rsidRPr="00EB2BD8">
              <w:rPr>
                <w:rFonts w:ascii="Arial"/>
                <w:w w:val="105"/>
                <w:sz w:val="16"/>
              </w:rPr>
              <w:t>Regulators</w:t>
            </w:r>
            <w:r w:rsidRPr="00EB2BD8">
              <w:rPr>
                <w:rFonts w:ascii="Arial"/>
                <w:spacing w:val="-7"/>
                <w:w w:val="105"/>
                <w:sz w:val="16"/>
              </w:rPr>
              <w:t xml:space="preserve"> </w:t>
            </w:r>
            <w:r w:rsidRPr="00EB2BD8">
              <w:rPr>
                <w:rFonts w:ascii="Arial"/>
                <w:spacing w:val="-2"/>
                <w:w w:val="105"/>
                <w:sz w:val="16"/>
              </w:rPr>
              <w:t>Program</w:t>
            </w:r>
          </w:p>
        </w:tc>
        <w:tc>
          <w:tcPr>
            <w:tcW w:w="1588" w:type="dxa"/>
            <w:shd w:val="clear" w:color="auto" w:fill="DEEAF6"/>
          </w:tcPr>
          <w:p w14:paraId="57CFD704" w14:textId="77777777" w:rsidR="00084F36" w:rsidRPr="00EB2BD8" w:rsidRDefault="00EB2BD8">
            <w:pPr>
              <w:pStyle w:val="TableParagraph"/>
              <w:spacing w:before="71"/>
              <w:ind w:right="94"/>
              <w:jc w:val="right"/>
              <w:rPr>
                <w:rFonts w:ascii="Arial"/>
                <w:sz w:val="16"/>
              </w:rPr>
            </w:pPr>
            <w:r w:rsidRPr="00EB2BD8">
              <w:rPr>
                <w:rFonts w:ascii="Arial"/>
                <w:w w:val="104"/>
                <w:sz w:val="16"/>
              </w:rPr>
              <w:t>-</w:t>
            </w:r>
          </w:p>
        </w:tc>
        <w:tc>
          <w:tcPr>
            <w:tcW w:w="1331" w:type="dxa"/>
            <w:shd w:val="clear" w:color="auto" w:fill="FFFFFF"/>
          </w:tcPr>
          <w:p w14:paraId="5B788719" w14:textId="77777777" w:rsidR="00084F36" w:rsidRPr="00EB2BD8" w:rsidRDefault="00EB2BD8">
            <w:pPr>
              <w:pStyle w:val="TableParagraph"/>
              <w:spacing w:before="71"/>
              <w:ind w:right="97"/>
              <w:jc w:val="right"/>
              <w:rPr>
                <w:rFonts w:ascii="Arial"/>
                <w:sz w:val="16"/>
              </w:rPr>
            </w:pPr>
            <w:r w:rsidRPr="00EB2BD8">
              <w:rPr>
                <w:rFonts w:ascii="Arial"/>
                <w:spacing w:val="-5"/>
                <w:w w:val="105"/>
                <w:sz w:val="16"/>
              </w:rPr>
              <w:t>532</w:t>
            </w:r>
          </w:p>
        </w:tc>
      </w:tr>
      <w:tr w:rsidR="00EB2BD8" w:rsidRPr="00EB2BD8" w14:paraId="115C25F2" w14:textId="77777777">
        <w:trPr>
          <w:trHeight w:val="507"/>
        </w:trPr>
        <w:tc>
          <w:tcPr>
            <w:tcW w:w="6216" w:type="dxa"/>
            <w:tcBorders>
              <w:bottom w:val="single" w:sz="12" w:space="0" w:color="000000"/>
            </w:tcBorders>
            <w:shd w:val="clear" w:color="auto" w:fill="FFFFFF"/>
          </w:tcPr>
          <w:p w14:paraId="6F16EF41" w14:textId="77777777" w:rsidR="00084F36" w:rsidRPr="00EB2BD8" w:rsidRDefault="00EB2BD8">
            <w:pPr>
              <w:pStyle w:val="TableParagraph"/>
              <w:spacing w:before="78" w:line="252" w:lineRule="auto"/>
              <w:ind w:left="104"/>
              <w:rPr>
                <w:rFonts w:ascii="Arial"/>
                <w:sz w:val="16"/>
              </w:rPr>
            </w:pPr>
            <w:r w:rsidRPr="00EB2BD8">
              <w:rPr>
                <w:rFonts w:ascii="Arial"/>
                <w:w w:val="105"/>
                <w:sz w:val="16"/>
              </w:rPr>
              <w:t>Department</w:t>
            </w:r>
            <w:r w:rsidRPr="00EB2BD8">
              <w:rPr>
                <w:rFonts w:ascii="Arial"/>
                <w:spacing w:val="-5"/>
                <w:w w:val="105"/>
                <w:sz w:val="16"/>
              </w:rPr>
              <w:t xml:space="preserve"> </w:t>
            </w:r>
            <w:r w:rsidRPr="00EB2BD8">
              <w:rPr>
                <w:rFonts w:ascii="Arial"/>
                <w:w w:val="105"/>
                <w:sz w:val="16"/>
              </w:rPr>
              <w:t>of</w:t>
            </w:r>
            <w:r w:rsidRPr="00EB2BD8">
              <w:rPr>
                <w:rFonts w:ascii="Arial"/>
                <w:spacing w:val="-5"/>
                <w:w w:val="105"/>
                <w:sz w:val="16"/>
              </w:rPr>
              <w:t xml:space="preserve"> </w:t>
            </w:r>
            <w:r w:rsidRPr="00EB2BD8">
              <w:rPr>
                <w:rFonts w:ascii="Arial"/>
                <w:w w:val="105"/>
                <w:sz w:val="16"/>
              </w:rPr>
              <w:t>Treasury</w:t>
            </w:r>
            <w:r w:rsidRPr="00EB2BD8">
              <w:rPr>
                <w:rFonts w:ascii="Arial"/>
                <w:spacing w:val="-5"/>
                <w:w w:val="105"/>
                <w:sz w:val="16"/>
              </w:rPr>
              <w:t xml:space="preserve"> </w:t>
            </w:r>
            <w:r w:rsidRPr="00EB2BD8">
              <w:rPr>
                <w:rFonts w:ascii="Arial"/>
                <w:w w:val="105"/>
                <w:sz w:val="16"/>
              </w:rPr>
              <w:t>and</w:t>
            </w:r>
            <w:r w:rsidRPr="00EB2BD8">
              <w:rPr>
                <w:rFonts w:ascii="Arial"/>
                <w:spacing w:val="-5"/>
                <w:w w:val="105"/>
                <w:sz w:val="16"/>
              </w:rPr>
              <w:t xml:space="preserve"> </w:t>
            </w:r>
            <w:r w:rsidRPr="00EB2BD8">
              <w:rPr>
                <w:rFonts w:ascii="Arial"/>
                <w:w w:val="105"/>
                <w:sz w:val="16"/>
              </w:rPr>
              <w:t>Finance</w:t>
            </w:r>
            <w:r w:rsidRPr="00EB2BD8">
              <w:rPr>
                <w:rFonts w:ascii="Arial"/>
                <w:spacing w:val="-5"/>
                <w:w w:val="105"/>
                <w:sz w:val="16"/>
              </w:rPr>
              <w:t xml:space="preserve"> </w:t>
            </w:r>
            <w:r w:rsidRPr="00EB2BD8">
              <w:rPr>
                <w:rFonts w:ascii="Arial"/>
                <w:w w:val="105"/>
                <w:sz w:val="16"/>
              </w:rPr>
              <w:t>-</w:t>
            </w:r>
            <w:r w:rsidRPr="00EB2BD8">
              <w:rPr>
                <w:rFonts w:ascii="Arial"/>
                <w:spacing w:val="-5"/>
                <w:w w:val="105"/>
                <w:sz w:val="16"/>
              </w:rPr>
              <w:t xml:space="preserve"> </w:t>
            </w:r>
            <w:r w:rsidRPr="00EB2BD8">
              <w:rPr>
                <w:rFonts w:ascii="Arial"/>
                <w:w w:val="105"/>
                <w:sz w:val="16"/>
              </w:rPr>
              <w:t>Online</w:t>
            </w:r>
            <w:r w:rsidRPr="00EB2BD8">
              <w:rPr>
                <w:rFonts w:ascii="Arial"/>
                <w:spacing w:val="-4"/>
                <w:w w:val="105"/>
                <w:sz w:val="16"/>
              </w:rPr>
              <w:t xml:space="preserve"> </w:t>
            </w:r>
            <w:r w:rsidRPr="00EB2BD8">
              <w:rPr>
                <w:rFonts w:ascii="Arial"/>
                <w:w w:val="105"/>
                <w:sz w:val="16"/>
              </w:rPr>
              <w:t>Interactive</w:t>
            </w:r>
            <w:r w:rsidRPr="00EB2BD8">
              <w:rPr>
                <w:rFonts w:ascii="Arial"/>
                <w:spacing w:val="-5"/>
                <w:w w:val="105"/>
                <w:sz w:val="16"/>
              </w:rPr>
              <w:t xml:space="preserve"> </w:t>
            </w:r>
            <w:r w:rsidRPr="00EB2BD8">
              <w:rPr>
                <w:rFonts w:ascii="Arial"/>
                <w:w w:val="105"/>
                <w:sz w:val="16"/>
              </w:rPr>
              <w:t>Forms</w:t>
            </w:r>
            <w:r w:rsidRPr="00EB2BD8">
              <w:rPr>
                <w:rFonts w:ascii="Arial"/>
                <w:spacing w:val="-5"/>
                <w:w w:val="105"/>
                <w:sz w:val="16"/>
              </w:rPr>
              <w:t xml:space="preserve"> </w:t>
            </w:r>
            <w:r w:rsidRPr="00EB2BD8">
              <w:rPr>
                <w:rFonts w:ascii="Arial"/>
                <w:w w:val="105"/>
                <w:sz w:val="16"/>
              </w:rPr>
              <w:t>for</w:t>
            </w:r>
            <w:r w:rsidRPr="00EB2BD8">
              <w:rPr>
                <w:rFonts w:ascii="Arial"/>
                <w:spacing w:val="-5"/>
                <w:w w:val="105"/>
                <w:sz w:val="16"/>
              </w:rPr>
              <w:t xml:space="preserve"> </w:t>
            </w:r>
            <w:r w:rsidRPr="00EB2BD8">
              <w:rPr>
                <w:rFonts w:ascii="Arial"/>
                <w:w w:val="105"/>
                <w:sz w:val="16"/>
              </w:rPr>
              <w:t xml:space="preserve">Building </w:t>
            </w:r>
            <w:r w:rsidRPr="00EB2BD8">
              <w:rPr>
                <w:rFonts w:ascii="Arial"/>
                <w:spacing w:val="-2"/>
                <w:w w:val="105"/>
                <w:sz w:val="16"/>
              </w:rPr>
              <w:t>Registrations</w:t>
            </w:r>
          </w:p>
        </w:tc>
        <w:tc>
          <w:tcPr>
            <w:tcW w:w="1588" w:type="dxa"/>
            <w:tcBorders>
              <w:bottom w:val="single" w:sz="12" w:space="0" w:color="000000"/>
            </w:tcBorders>
            <w:shd w:val="clear" w:color="auto" w:fill="DEEAF6"/>
          </w:tcPr>
          <w:p w14:paraId="5DE58799" w14:textId="77777777" w:rsidR="00084F36" w:rsidRPr="00EB2BD8" w:rsidRDefault="00084F36">
            <w:pPr>
              <w:pStyle w:val="TableParagraph"/>
              <w:spacing w:before="3"/>
              <w:rPr>
                <w:rFonts w:ascii="Arial"/>
                <w:sz w:val="15"/>
              </w:rPr>
            </w:pPr>
          </w:p>
          <w:p w14:paraId="498FE381" w14:textId="77777777" w:rsidR="00084F36" w:rsidRPr="00EB2BD8" w:rsidRDefault="00EB2BD8">
            <w:pPr>
              <w:pStyle w:val="TableParagraph"/>
              <w:ind w:right="94"/>
              <w:jc w:val="right"/>
              <w:rPr>
                <w:rFonts w:ascii="Arial"/>
                <w:sz w:val="16"/>
              </w:rPr>
            </w:pPr>
            <w:r w:rsidRPr="00EB2BD8">
              <w:rPr>
                <w:rFonts w:ascii="Arial"/>
                <w:w w:val="104"/>
                <w:sz w:val="16"/>
              </w:rPr>
              <w:t>-</w:t>
            </w:r>
          </w:p>
        </w:tc>
        <w:tc>
          <w:tcPr>
            <w:tcW w:w="1331" w:type="dxa"/>
            <w:tcBorders>
              <w:bottom w:val="single" w:sz="12" w:space="0" w:color="000000"/>
            </w:tcBorders>
            <w:shd w:val="clear" w:color="auto" w:fill="FFFFFF"/>
          </w:tcPr>
          <w:p w14:paraId="3017AD6C" w14:textId="77777777" w:rsidR="00084F36" w:rsidRPr="00EB2BD8" w:rsidRDefault="00084F36">
            <w:pPr>
              <w:pStyle w:val="TableParagraph"/>
              <w:spacing w:before="3"/>
              <w:rPr>
                <w:rFonts w:ascii="Arial"/>
                <w:sz w:val="15"/>
              </w:rPr>
            </w:pPr>
          </w:p>
          <w:p w14:paraId="1764CEBF" w14:textId="77777777" w:rsidR="00084F36" w:rsidRPr="00EB2BD8" w:rsidRDefault="00EB2BD8">
            <w:pPr>
              <w:pStyle w:val="TableParagraph"/>
              <w:ind w:right="97"/>
              <w:jc w:val="right"/>
              <w:rPr>
                <w:rFonts w:ascii="Arial"/>
                <w:sz w:val="16"/>
              </w:rPr>
            </w:pPr>
            <w:r w:rsidRPr="00EB2BD8">
              <w:rPr>
                <w:rFonts w:ascii="Arial"/>
                <w:spacing w:val="-2"/>
                <w:w w:val="105"/>
                <w:sz w:val="16"/>
              </w:rPr>
              <w:t>1,700</w:t>
            </w:r>
          </w:p>
        </w:tc>
      </w:tr>
      <w:tr w:rsidR="00EB2BD8" w:rsidRPr="00EB2BD8" w14:paraId="20A1C6BD" w14:textId="77777777">
        <w:trPr>
          <w:trHeight w:val="286"/>
        </w:trPr>
        <w:tc>
          <w:tcPr>
            <w:tcW w:w="6216" w:type="dxa"/>
            <w:tcBorders>
              <w:top w:val="single" w:sz="12" w:space="0" w:color="000000"/>
              <w:bottom w:val="single" w:sz="12" w:space="0" w:color="000000"/>
            </w:tcBorders>
            <w:shd w:val="clear" w:color="auto" w:fill="FFFFFF"/>
          </w:tcPr>
          <w:p w14:paraId="17285D01" w14:textId="77777777" w:rsidR="00084F36" w:rsidRPr="00EB2BD8" w:rsidRDefault="00EB2BD8">
            <w:pPr>
              <w:pStyle w:val="TableParagraph"/>
              <w:spacing w:before="53"/>
              <w:ind w:left="105"/>
              <w:rPr>
                <w:rFonts w:ascii="Arial"/>
                <w:b/>
                <w:sz w:val="16"/>
              </w:rPr>
            </w:pPr>
            <w:r w:rsidRPr="00EB2BD8">
              <w:rPr>
                <w:rFonts w:ascii="Arial"/>
                <w:b/>
                <w:w w:val="105"/>
                <w:sz w:val="16"/>
              </w:rPr>
              <w:t>Total</w:t>
            </w:r>
            <w:r w:rsidRPr="00EB2BD8">
              <w:rPr>
                <w:rFonts w:ascii="Arial"/>
                <w:b/>
                <w:spacing w:val="-10"/>
                <w:w w:val="105"/>
                <w:sz w:val="16"/>
              </w:rPr>
              <w:t xml:space="preserve"> </w:t>
            </w:r>
            <w:r w:rsidRPr="00EB2BD8">
              <w:rPr>
                <w:rFonts w:ascii="Arial"/>
                <w:b/>
                <w:w w:val="105"/>
                <w:sz w:val="16"/>
              </w:rPr>
              <w:t>NON-DEECA</w:t>
            </w:r>
            <w:r w:rsidRPr="00EB2BD8">
              <w:rPr>
                <w:rFonts w:ascii="Arial"/>
                <w:b/>
                <w:spacing w:val="-9"/>
                <w:w w:val="105"/>
                <w:sz w:val="16"/>
              </w:rPr>
              <w:t xml:space="preserve"> </w:t>
            </w:r>
            <w:r w:rsidRPr="00EB2BD8">
              <w:rPr>
                <w:rFonts w:ascii="Arial"/>
                <w:b/>
                <w:w w:val="105"/>
                <w:sz w:val="16"/>
              </w:rPr>
              <w:t>grant</w:t>
            </w:r>
            <w:r w:rsidRPr="00EB2BD8">
              <w:rPr>
                <w:rFonts w:ascii="Arial"/>
                <w:b/>
                <w:spacing w:val="-9"/>
                <w:w w:val="105"/>
                <w:sz w:val="16"/>
              </w:rPr>
              <w:t xml:space="preserve"> </w:t>
            </w:r>
            <w:r w:rsidRPr="00EB2BD8">
              <w:rPr>
                <w:rFonts w:ascii="Arial"/>
                <w:b/>
                <w:spacing w:val="-2"/>
                <w:w w:val="105"/>
                <w:sz w:val="16"/>
              </w:rPr>
              <w:t>income</w:t>
            </w:r>
          </w:p>
        </w:tc>
        <w:tc>
          <w:tcPr>
            <w:tcW w:w="1588" w:type="dxa"/>
            <w:tcBorders>
              <w:top w:val="single" w:sz="12" w:space="0" w:color="000000"/>
              <w:bottom w:val="single" w:sz="12" w:space="0" w:color="000000"/>
            </w:tcBorders>
            <w:shd w:val="clear" w:color="auto" w:fill="DEEAF6"/>
          </w:tcPr>
          <w:p w14:paraId="0284A9A9" w14:textId="77777777" w:rsidR="00084F36" w:rsidRPr="00EB2BD8" w:rsidRDefault="00EB2BD8">
            <w:pPr>
              <w:pStyle w:val="TableParagraph"/>
              <w:spacing w:before="53"/>
              <w:ind w:right="96"/>
              <w:jc w:val="right"/>
              <w:rPr>
                <w:rFonts w:ascii="Arial"/>
                <w:b/>
                <w:sz w:val="16"/>
              </w:rPr>
            </w:pPr>
            <w:r w:rsidRPr="00EB2BD8">
              <w:rPr>
                <w:rFonts w:ascii="Arial"/>
                <w:b/>
                <w:spacing w:val="-5"/>
                <w:w w:val="105"/>
                <w:sz w:val="16"/>
              </w:rPr>
              <w:t>170</w:t>
            </w:r>
          </w:p>
        </w:tc>
        <w:tc>
          <w:tcPr>
            <w:tcW w:w="1331" w:type="dxa"/>
            <w:tcBorders>
              <w:top w:val="single" w:sz="12" w:space="0" w:color="000000"/>
              <w:bottom w:val="single" w:sz="12" w:space="0" w:color="000000"/>
            </w:tcBorders>
            <w:shd w:val="clear" w:color="auto" w:fill="FFFFFF"/>
          </w:tcPr>
          <w:p w14:paraId="366D7802" w14:textId="77777777" w:rsidR="00084F36" w:rsidRPr="00EB2BD8" w:rsidRDefault="00EB2BD8">
            <w:pPr>
              <w:pStyle w:val="TableParagraph"/>
              <w:spacing w:before="53"/>
              <w:ind w:right="98"/>
              <w:jc w:val="right"/>
              <w:rPr>
                <w:rFonts w:ascii="Arial"/>
                <w:b/>
                <w:sz w:val="16"/>
              </w:rPr>
            </w:pPr>
            <w:r w:rsidRPr="00EB2BD8">
              <w:rPr>
                <w:rFonts w:ascii="Arial"/>
                <w:b/>
                <w:spacing w:val="-2"/>
                <w:w w:val="105"/>
                <w:sz w:val="16"/>
              </w:rPr>
              <w:t>2,232</w:t>
            </w:r>
          </w:p>
        </w:tc>
      </w:tr>
      <w:tr w:rsidR="00EB2BD8" w:rsidRPr="00EB2BD8" w14:paraId="51AFFB6B" w14:textId="77777777">
        <w:trPr>
          <w:trHeight w:val="287"/>
        </w:trPr>
        <w:tc>
          <w:tcPr>
            <w:tcW w:w="6216" w:type="dxa"/>
            <w:tcBorders>
              <w:top w:val="single" w:sz="12" w:space="0" w:color="000000"/>
              <w:bottom w:val="single" w:sz="12" w:space="0" w:color="000000"/>
            </w:tcBorders>
            <w:shd w:val="clear" w:color="auto" w:fill="FFFFFF"/>
          </w:tcPr>
          <w:p w14:paraId="7951FB40" w14:textId="77777777" w:rsidR="00084F36" w:rsidRPr="00EB2BD8" w:rsidRDefault="00EB2BD8">
            <w:pPr>
              <w:pStyle w:val="TableParagraph"/>
              <w:spacing w:before="53"/>
              <w:ind w:left="105"/>
              <w:rPr>
                <w:rFonts w:ascii="Arial"/>
                <w:b/>
                <w:sz w:val="16"/>
              </w:rPr>
            </w:pPr>
            <w:r w:rsidRPr="00EB2BD8">
              <w:rPr>
                <w:rFonts w:ascii="Arial"/>
                <w:b/>
                <w:w w:val="105"/>
                <w:sz w:val="16"/>
              </w:rPr>
              <w:t>Total</w:t>
            </w:r>
            <w:r w:rsidRPr="00EB2BD8">
              <w:rPr>
                <w:rFonts w:ascii="Arial"/>
                <w:b/>
                <w:spacing w:val="-6"/>
                <w:w w:val="105"/>
                <w:sz w:val="16"/>
              </w:rPr>
              <w:t xml:space="preserve"> </w:t>
            </w:r>
            <w:r w:rsidRPr="00EB2BD8">
              <w:rPr>
                <w:rFonts w:ascii="Arial"/>
                <w:b/>
                <w:w w:val="105"/>
                <w:sz w:val="16"/>
              </w:rPr>
              <w:t>grant</w:t>
            </w:r>
            <w:r w:rsidRPr="00EB2BD8">
              <w:rPr>
                <w:rFonts w:ascii="Arial"/>
                <w:b/>
                <w:spacing w:val="-7"/>
                <w:w w:val="105"/>
                <w:sz w:val="16"/>
              </w:rPr>
              <w:t xml:space="preserve"> </w:t>
            </w:r>
            <w:r w:rsidRPr="00EB2BD8">
              <w:rPr>
                <w:rFonts w:ascii="Arial"/>
                <w:b/>
                <w:spacing w:val="-2"/>
                <w:w w:val="105"/>
                <w:sz w:val="16"/>
              </w:rPr>
              <w:t>income</w:t>
            </w:r>
          </w:p>
        </w:tc>
        <w:tc>
          <w:tcPr>
            <w:tcW w:w="1588" w:type="dxa"/>
            <w:tcBorders>
              <w:top w:val="single" w:sz="12" w:space="0" w:color="000000"/>
              <w:bottom w:val="single" w:sz="12" w:space="0" w:color="000000"/>
            </w:tcBorders>
            <w:shd w:val="clear" w:color="auto" w:fill="DEEAF6"/>
          </w:tcPr>
          <w:p w14:paraId="5920C819" w14:textId="77777777" w:rsidR="00084F36" w:rsidRPr="00EB2BD8" w:rsidRDefault="00EB2BD8">
            <w:pPr>
              <w:pStyle w:val="TableParagraph"/>
              <w:spacing w:before="53"/>
              <w:ind w:right="95"/>
              <w:jc w:val="right"/>
              <w:rPr>
                <w:rFonts w:ascii="Arial"/>
                <w:b/>
                <w:sz w:val="16"/>
              </w:rPr>
            </w:pPr>
            <w:r w:rsidRPr="00EB2BD8">
              <w:rPr>
                <w:rFonts w:ascii="Arial"/>
                <w:b/>
                <w:spacing w:val="-2"/>
                <w:w w:val="105"/>
                <w:sz w:val="16"/>
              </w:rPr>
              <w:t>23,174</w:t>
            </w:r>
          </w:p>
        </w:tc>
        <w:tc>
          <w:tcPr>
            <w:tcW w:w="1331" w:type="dxa"/>
            <w:tcBorders>
              <w:top w:val="single" w:sz="12" w:space="0" w:color="000000"/>
              <w:bottom w:val="single" w:sz="12" w:space="0" w:color="000000"/>
            </w:tcBorders>
            <w:shd w:val="clear" w:color="auto" w:fill="FFFFFF"/>
          </w:tcPr>
          <w:p w14:paraId="59A95F0A" w14:textId="77777777" w:rsidR="00084F36" w:rsidRPr="00EB2BD8" w:rsidRDefault="00EB2BD8">
            <w:pPr>
              <w:pStyle w:val="TableParagraph"/>
              <w:spacing w:before="53"/>
              <w:ind w:right="97"/>
              <w:jc w:val="right"/>
              <w:rPr>
                <w:rFonts w:ascii="Arial"/>
                <w:b/>
                <w:sz w:val="16"/>
              </w:rPr>
            </w:pPr>
            <w:r w:rsidRPr="00EB2BD8">
              <w:rPr>
                <w:rFonts w:ascii="Arial"/>
                <w:b/>
                <w:spacing w:val="-2"/>
                <w:w w:val="105"/>
                <w:sz w:val="16"/>
              </w:rPr>
              <w:t>14,090</w:t>
            </w:r>
          </w:p>
        </w:tc>
      </w:tr>
    </w:tbl>
    <w:p w14:paraId="674D0A37" w14:textId="77777777" w:rsidR="00084F36" w:rsidRPr="00EB2BD8" w:rsidRDefault="00084F36">
      <w:pPr>
        <w:pStyle w:val="BodyText"/>
        <w:spacing w:before="6"/>
        <w:rPr>
          <w:rFonts w:ascii="Arial"/>
          <w:sz w:val="24"/>
        </w:rPr>
      </w:pPr>
    </w:p>
    <w:p w14:paraId="118DD1BA" w14:textId="77777777" w:rsidR="00084F36" w:rsidRPr="00EB2BD8" w:rsidRDefault="00EB2BD8" w:rsidP="004D7D83">
      <w:pPr>
        <w:pStyle w:val="Heading2"/>
        <w:ind w:firstLine="181"/>
      </w:pPr>
      <w:bookmarkStart w:id="269" w:name="_Toc150762571"/>
      <w:r w:rsidRPr="00EB2BD8">
        <w:t>AASB</w:t>
      </w:r>
      <w:r w:rsidRPr="00EB2BD8">
        <w:rPr>
          <w:spacing w:val="12"/>
        </w:rPr>
        <w:t xml:space="preserve"> </w:t>
      </w:r>
      <w:r w:rsidRPr="00EB2BD8">
        <w:t>1058</w:t>
      </w:r>
      <w:r w:rsidRPr="00EB2BD8">
        <w:rPr>
          <w:spacing w:val="13"/>
        </w:rPr>
        <w:t xml:space="preserve"> </w:t>
      </w:r>
      <w:r w:rsidRPr="00EB2BD8">
        <w:t>Income</w:t>
      </w:r>
      <w:r w:rsidRPr="00EB2BD8">
        <w:rPr>
          <w:spacing w:val="13"/>
        </w:rPr>
        <w:t xml:space="preserve"> </w:t>
      </w:r>
      <w:r w:rsidRPr="00EB2BD8">
        <w:t>of</w:t>
      </w:r>
      <w:r w:rsidRPr="00EB2BD8">
        <w:rPr>
          <w:spacing w:val="12"/>
        </w:rPr>
        <w:t xml:space="preserve"> </w:t>
      </w:r>
      <w:r w:rsidRPr="00EB2BD8">
        <w:t>not-for-profit</w:t>
      </w:r>
      <w:r w:rsidRPr="00EB2BD8">
        <w:rPr>
          <w:spacing w:val="12"/>
        </w:rPr>
        <w:t xml:space="preserve"> </w:t>
      </w:r>
      <w:r w:rsidRPr="00EB2BD8">
        <w:t>entities</w:t>
      </w:r>
      <w:r w:rsidRPr="00EB2BD8">
        <w:rPr>
          <w:spacing w:val="13"/>
        </w:rPr>
        <w:t xml:space="preserve"> </w:t>
      </w:r>
      <w:r w:rsidRPr="00EB2BD8">
        <w:t>and</w:t>
      </w:r>
      <w:r w:rsidRPr="00EB2BD8">
        <w:rPr>
          <w:spacing w:val="12"/>
        </w:rPr>
        <w:t xml:space="preserve"> </w:t>
      </w:r>
      <w:r w:rsidRPr="00EB2BD8">
        <w:rPr>
          <w:spacing w:val="-2"/>
        </w:rPr>
        <w:t>interpretation</w:t>
      </w:r>
      <w:bookmarkEnd w:id="269"/>
    </w:p>
    <w:p w14:paraId="08B375B6" w14:textId="77777777" w:rsidR="00084F36" w:rsidRPr="00EB2BD8" w:rsidRDefault="00EB2BD8">
      <w:pPr>
        <w:spacing w:before="156" w:line="290" w:lineRule="auto"/>
        <w:ind w:left="1031" w:right="1761"/>
        <w:rPr>
          <w:rFonts w:ascii="Arial" w:hAnsi="Arial"/>
          <w:sz w:val="16"/>
        </w:rPr>
      </w:pPr>
      <w:r w:rsidRPr="00EB2BD8">
        <w:rPr>
          <w:rFonts w:ascii="Arial" w:hAnsi="Arial"/>
          <w:w w:val="105"/>
          <w:sz w:val="16"/>
        </w:rPr>
        <w:t>AASB</w:t>
      </w:r>
      <w:r w:rsidRPr="00EB2BD8">
        <w:rPr>
          <w:rFonts w:ascii="Arial" w:hAnsi="Arial"/>
          <w:spacing w:val="-3"/>
          <w:w w:val="105"/>
          <w:sz w:val="16"/>
        </w:rPr>
        <w:t xml:space="preserve"> </w:t>
      </w:r>
      <w:r w:rsidRPr="00EB2BD8">
        <w:rPr>
          <w:rFonts w:ascii="Arial" w:hAnsi="Arial"/>
          <w:w w:val="105"/>
          <w:sz w:val="16"/>
        </w:rPr>
        <w:t>1058</w:t>
      </w:r>
      <w:r w:rsidRPr="00EB2BD8">
        <w:rPr>
          <w:rFonts w:ascii="Arial" w:hAnsi="Arial"/>
          <w:spacing w:val="-3"/>
          <w:w w:val="105"/>
          <w:sz w:val="16"/>
        </w:rPr>
        <w:t xml:space="preserve"> </w:t>
      </w:r>
      <w:r w:rsidRPr="00EB2BD8">
        <w:rPr>
          <w:rFonts w:ascii="Arial" w:hAnsi="Arial"/>
          <w:i/>
          <w:w w:val="105"/>
          <w:sz w:val="16"/>
        </w:rPr>
        <w:t>Income</w:t>
      </w:r>
      <w:r w:rsidRPr="00EB2BD8">
        <w:rPr>
          <w:rFonts w:ascii="Arial" w:hAnsi="Arial"/>
          <w:i/>
          <w:spacing w:val="-3"/>
          <w:w w:val="105"/>
          <w:sz w:val="16"/>
        </w:rPr>
        <w:t xml:space="preserve"> </w:t>
      </w:r>
      <w:r w:rsidRPr="00EB2BD8">
        <w:rPr>
          <w:rFonts w:ascii="Arial" w:hAnsi="Arial"/>
          <w:i/>
          <w:w w:val="105"/>
          <w:sz w:val="16"/>
        </w:rPr>
        <w:t>of</w:t>
      </w:r>
      <w:r w:rsidRPr="00EB2BD8">
        <w:rPr>
          <w:rFonts w:ascii="Arial" w:hAnsi="Arial"/>
          <w:i/>
          <w:spacing w:val="-3"/>
          <w:w w:val="105"/>
          <w:sz w:val="16"/>
        </w:rPr>
        <w:t xml:space="preserve"> </w:t>
      </w:r>
      <w:r w:rsidRPr="00EB2BD8">
        <w:rPr>
          <w:rFonts w:ascii="Arial" w:hAnsi="Arial"/>
          <w:i/>
          <w:w w:val="105"/>
          <w:sz w:val="16"/>
        </w:rPr>
        <w:t>not-for-profit</w:t>
      </w:r>
      <w:r w:rsidRPr="00EB2BD8">
        <w:rPr>
          <w:rFonts w:ascii="Arial" w:hAnsi="Arial"/>
          <w:i/>
          <w:spacing w:val="-3"/>
          <w:w w:val="105"/>
          <w:sz w:val="16"/>
        </w:rPr>
        <w:t xml:space="preserve"> </w:t>
      </w:r>
      <w:r w:rsidRPr="00EB2BD8">
        <w:rPr>
          <w:rFonts w:ascii="Arial" w:hAnsi="Arial"/>
          <w:i/>
          <w:w w:val="105"/>
          <w:sz w:val="16"/>
        </w:rPr>
        <w:t>entities</w:t>
      </w:r>
      <w:r w:rsidRPr="00EB2BD8">
        <w:rPr>
          <w:rFonts w:ascii="Arial" w:hAnsi="Arial"/>
          <w:i/>
          <w:spacing w:val="-3"/>
          <w:w w:val="105"/>
          <w:sz w:val="16"/>
        </w:rPr>
        <w:t xml:space="preserve"> </w:t>
      </w:r>
      <w:r w:rsidRPr="00EB2BD8">
        <w:rPr>
          <w:rFonts w:ascii="Arial" w:hAnsi="Arial"/>
          <w:w w:val="105"/>
          <w:sz w:val="16"/>
        </w:rPr>
        <w:t>clarifies</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income</w:t>
      </w:r>
      <w:r w:rsidRPr="00EB2BD8">
        <w:rPr>
          <w:rFonts w:ascii="Arial" w:hAnsi="Arial"/>
          <w:spacing w:val="-3"/>
          <w:w w:val="105"/>
          <w:sz w:val="16"/>
        </w:rPr>
        <w:t xml:space="preserve"> </w:t>
      </w:r>
      <w:r w:rsidRPr="00EB2BD8">
        <w:rPr>
          <w:rFonts w:ascii="Arial" w:hAnsi="Arial"/>
          <w:w w:val="105"/>
          <w:sz w:val="16"/>
        </w:rPr>
        <w:t>recognition</w:t>
      </w:r>
      <w:r w:rsidRPr="00EB2BD8">
        <w:rPr>
          <w:rFonts w:ascii="Arial" w:hAnsi="Arial"/>
          <w:spacing w:val="-2"/>
          <w:w w:val="105"/>
          <w:sz w:val="16"/>
        </w:rPr>
        <w:t xml:space="preserve"> </w:t>
      </w:r>
      <w:r w:rsidRPr="00EB2BD8">
        <w:rPr>
          <w:rFonts w:ascii="Arial" w:hAnsi="Arial"/>
          <w:w w:val="105"/>
          <w:sz w:val="16"/>
        </w:rPr>
        <w:t>requirements</w:t>
      </w:r>
      <w:r w:rsidRPr="00EB2BD8">
        <w:rPr>
          <w:rFonts w:ascii="Arial" w:hAnsi="Arial"/>
          <w:spacing w:val="-3"/>
          <w:w w:val="105"/>
          <w:sz w:val="16"/>
        </w:rPr>
        <w:t xml:space="preserve"> </w:t>
      </w:r>
      <w:r w:rsidRPr="00EB2BD8">
        <w:rPr>
          <w:rFonts w:ascii="Arial" w:hAnsi="Arial"/>
          <w:w w:val="105"/>
          <w:sz w:val="16"/>
        </w:rPr>
        <w:t>that</w:t>
      </w:r>
      <w:r w:rsidRPr="00EB2BD8">
        <w:rPr>
          <w:rFonts w:ascii="Arial" w:hAnsi="Arial"/>
          <w:spacing w:val="-3"/>
          <w:w w:val="105"/>
          <w:sz w:val="16"/>
        </w:rPr>
        <w:t xml:space="preserve"> </w:t>
      </w:r>
      <w:r w:rsidRPr="00EB2BD8">
        <w:rPr>
          <w:rFonts w:ascii="Arial" w:hAnsi="Arial"/>
          <w:w w:val="105"/>
          <w:sz w:val="16"/>
        </w:rPr>
        <w:t>apply</w:t>
      </w:r>
      <w:r w:rsidRPr="00EB2BD8">
        <w:rPr>
          <w:rFonts w:ascii="Arial" w:hAnsi="Arial"/>
          <w:spacing w:val="-3"/>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not-for</w:t>
      </w:r>
      <w:r w:rsidRPr="00EB2BD8">
        <w:rPr>
          <w:rFonts w:ascii="Arial" w:hAnsi="Arial"/>
          <w:spacing w:val="-3"/>
          <w:w w:val="105"/>
          <w:sz w:val="16"/>
        </w:rPr>
        <w:t xml:space="preserve"> </w:t>
      </w:r>
      <w:r w:rsidRPr="00EB2BD8">
        <w:rPr>
          <w:rFonts w:ascii="Arial" w:hAnsi="Arial"/>
          <w:w w:val="105"/>
          <w:sz w:val="16"/>
        </w:rPr>
        <w:t>profit</w:t>
      </w:r>
      <w:r w:rsidRPr="00EB2BD8">
        <w:rPr>
          <w:rFonts w:ascii="Arial" w:hAnsi="Arial"/>
          <w:spacing w:val="-3"/>
          <w:w w:val="105"/>
          <w:sz w:val="16"/>
        </w:rPr>
        <w:t xml:space="preserve"> </w:t>
      </w:r>
      <w:r w:rsidRPr="00EB2BD8">
        <w:rPr>
          <w:rFonts w:ascii="Arial" w:hAnsi="Arial"/>
          <w:w w:val="105"/>
          <w:sz w:val="16"/>
        </w:rPr>
        <w:t>entities. Under the AASB 1058 income recognition</w:t>
      </w:r>
      <w:r w:rsidRPr="00EB2BD8">
        <w:rPr>
          <w:rFonts w:ascii="Arial" w:hAnsi="Arial"/>
          <w:spacing w:val="-4"/>
          <w:w w:val="105"/>
          <w:sz w:val="16"/>
        </w:rPr>
        <w:t xml:space="preserve"> </w:t>
      </w:r>
      <w:r w:rsidRPr="00EB2BD8">
        <w:rPr>
          <w:rFonts w:ascii="Arial" w:hAnsi="Arial"/>
          <w:w w:val="105"/>
          <w:sz w:val="16"/>
        </w:rPr>
        <w:t>model,</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entity</w:t>
      </w:r>
      <w:r w:rsidRPr="00EB2BD8">
        <w:rPr>
          <w:rFonts w:ascii="Arial" w:hAnsi="Arial"/>
          <w:spacing w:val="-2"/>
          <w:w w:val="105"/>
          <w:sz w:val="16"/>
        </w:rPr>
        <w:t xml:space="preserve"> </w:t>
      </w:r>
      <w:r w:rsidRPr="00EB2BD8">
        <w:rPr>
          <w:rFonts w:ascii="Arial" w:hAnsi="Arial"/>
          <w:w w:val="105"/>
          <w:sz w:val="16"/>
        </w:rPr>
        <w:t>first</w:t>
      </w:r>
      <w:r w:rsidRPr="00EB2BD8">
        <w:rPr>
          <w:rFonts w:ascii="Arial" w:hAnsi="Arial"/>
          <w:spacing w:val="-3"/>
          <w:w w:val="105"/>
          <w:sz w:val="16"/>
        </w:rPr>
        <w:t xml:space="preserve"> </w:t>
      </w:r>
      <w:r w:rsidRPr="00EB2BD8">
        <w:rPr>
          <w:rFonts w:ascii="Arial" w:hAnsi="Arial"/>
          <w:w w:val="105"/>
          <w:sz w:val="16"/>
        </w:rPr>
        <w:t>determines whether an</w:t>
      </w:r>
      <w:r w:rsidRPr="00EB2BD8">
        <w:rPr>
          <w:rFonts w:ascii="Arial" w:hAnsi="Arial"/>
          <w:spacing w:val="-5"/>
          <w:w w:val="105"/>
          <w:sz w:val="16"/>
        </w:rPr>
        <w:t xml:space="preserve"> </w:t>
      </w:r>
      <w:r w:rsidRPr="00EB2BD8">
        <w:rPr>
          <w:rFonts w:ascii="Arial" w:hAnsi="Arial"/>
          <w:w w:val="105"/>
          <w:sz w:val="16"/>
        </w:rPr>
        <w:t>enforceable agreement exists and whether</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promises</w:t>
      </w:r>
      <w:r w:rsidRPr="00EB2BD8">
        <w:rPr>
          <w:rFonts w:ascii="Arial" w:hAnsi="Arial"/>
          <w:spacing w:val="-3"/>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transfer</w:t>
      </w:r>
      <w:r w:rsidRPr="00EB2BD8">
        <w:rPr>
          <w:rFonts w:ascii="Arial" w:hAnsi="Arial"/>
          <w:spacing w:val="-3"/>
          <w:w w:val="105"/>
          <w:sz w:val="16"/>
        </w:rPr>
        <w:t xml:space="preserve"> </w:t>
      </w:r>
      <w:r w:rsidRPr="00EB2BD8">
        <w:rPr>
          <w:rFonts w:ascii="Arial" w:hAnsi="Arial"/>
          <w:w w:val="105"/>
          <w:sz w:val="16"/>
        </w:rPr>
        <w:t>goods</w:t>
      </w:r>
      <w:r w:rsidRPr="00EB2BD8">
        <w:rPr>
          <w:rFonts w:ascii="Arial" w:hAnsi="Arial"/>
          <w:spacing w:val="-3"/>
          <w:w w:val="105"/>
          <w:sz w:val="16"/>
        </w:rPr>
        <w:t xml:space="preserve"> </w:t>
      </w:r>
      <w:r w:rsidRPr="00EB2BD8">
        <w:rPr>
          <w:rFonts w:ascii="Arial" w:hAnsi="Arial"/>
          <w:w w:val="105"/>
          <w:sz w:val="16"/>
        </w:rPr>
        <w:t>or</w:t>
      </w:r>
      <w:r w:rsidRPr="00EB2BD8">
        <w:rPr>
          <w:rFonts w:ascii="Arial" w:hAnsi="Arial"/>
          <w:spacing w:val="-3"/>
          <w:w w:val="105"/>
          <w:sz w:val="16"/>
        </w:rPr>
        <w:t xml:space="preserve"> </w:t>
      </w:r>
      <w:r w:rsidRPr="00EB2BD8">
        <w:rPr>
          <w:rFonts w:ascii="Arial" w:hAnsi="Arial"/>
          <w:w w:val="105"/>
          <w:sz w:val="16"/>
        </w:rPr>
        <w:t>services</w:t>
      </w:r>
      <w:r w:rsidRPr="00EB2BD8">
        <w:rPr>
          <w:rFonts w:ascii="Arial" w:hAnsi="Arial"/>
          <w:spacing w:val="-3"/>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customer</w:t>
      </w:r>
      <w:r w:rsidRPr="00EB2BD8">
        <w:rPr>
          <w:rFonts w:ascii="Arial" w:hAnsi="Arial"/>
          <w:spacing w:val="-3"/>
          <w:w w:val="105"/>
          <w:sz w:val="16"/>
        </w:rPr>
        <w:t xml:space="preserve"> </w:t>
      </w:r>
      <w:r w:rsidRPr="00EB2BD8">
        <w:rPr>
          <w:rFonts w:ascii="Arial" w:hAnsi="Arial"/>
          <w:w w:val="105"/>
          <w:sz w:val="16"/>
        </w:rPr>
        <w:t>are</w:t>
      </w:r>
      <w:r w:rsidRPr="00EB2BD8">
        <w:rPr>
          <w:rFonts w:ascii="Arial" w:hAnsi="Arial"/>
          <w:spacing w:val="-3"/>
          <w:w w:val="105"/>
          <w:sz w:val="16"/>
        </w:rPr>
        <w:t xml:space="preserve"> </w:t>
      </w:r>
      <w:r w:rsidRPr="00EB2BD8">
        <w:rPr>
          <w:rFonts w:ascii="Arial" w:hAnsi="Arial"/>
          <w:w w:val="105"/>
          <w:sz w:val="16"/>
        </w:rPr>
        <w:t>“sufficiently</w:t>
      </w:r>
      <w:r w:rsidRPr="00EB2BD8">
        <w:rPr>
          <w:rFonts w:ascii="Arial" w:hAnsi="Arial"/>
          <w:spacing w:val="-3"/>
          <w:w w:val="105"/>
          <w:sz w:val="16"/>
        </w:rPr>
        <w:t xml:space="preserve"> </w:t>
      </w:r>
      <w:r w:rsidRPr="00EB2BD8">
        <w:rPr>
          <w:rFonts w:ascii="Arial" w:hAnsi="Arial"/>
          <w:w w:val="105"/>
          <w:sz w:val="16"/>
        </w:rPr>
        <w:t>specific”.</w:t>
      </w:r>
      <w:r w:rsidRPr="00EB2BD8">
        <w:rPr>
          <w:rFonts w:ascii="Arial" w:hAnsi="Arial"/>
          <w:spacing w:val="-3"/>
          <w:w w:val="105"/>
          <w:sz w:val="16"/>
        </w:rPr>
        <w:t xml:space="preserve"> </w:t>
      </w:r>
      <w:r w:rsidRPr="00EB2BD8">
        <w:rPr>
          <w:rFonts w:ascii="Arial" w:hAnsi="Arial"/>
          <w:w w:val="105"/>
          <w:sz w:val="16"/>
        </w:rPr>
        <w:t>This</w:t>
      </w:r>
      <w:r w:rsidRPr="00EB2BD8">
        <w:rPr>
          <w:rFonts w:ascii="Arial" w:hAnsi="Arial"/>
          <w:spacing w:val="-3"/>
          <w:w w:val="105"/>
          <w:sz w:val="16"/>
        </w:rPr>
        <w:t xml:space="preserve"> </w:t>
      </w:r>
      <w:r w:rsidRPr="00EB2BD8">
        <w:rPr>
          <w:rFonts w:ascii="Arial" w:hAnsi="Arial"/>
          <w:w w:val="105"/>
          <w:sz w:val="16"/>
        </w:rPr>
        <w:t>occurs</w:t>
      </w:r>
      <w:r w:rsidRPr="00EB2BD8">
        <w:rPr>
          <w:rFonts w:ascii="Arial" w:hAnsi="Arial"/>
          <w:spacing w:val="-3"/>
          <w:w w:val="105"/>
          <w:sz w:val="16"/>
        </w:rPr>
        <w:t xml:space="preserve"> </w:t>
      </w:r>
      <w:r w:rsidRPr="00EB2BD8">
        <w:rPr>
          <w:rFonts w:ascii="Arial" w:hAnsi="Arial"/>
          <w:w w:val="105"/>
          <w:sz w:val="16"/>
        </w:rPr>
        <w:t>where</w:t>
      </w:r>
      <w:r w:rsidRPr="00EB2BD8">
        <w:rPr>
          <w:rFonts w:ascii="Arial" w:hAnsi="Arial"/>
          <w:spacing w:val="-3"/>
          <w:w w:val="105"/>
          <w:sz w:val="16"/>
        </w:rPr>
        <w:t xml:space="preserve"> </w:t>
      </w:r>
      <w:r w:rsidRPr="00EB2BD8">
        <w:rPr>
          <w:rFonts w:ascii="Arial" w:hAnsi="Arial"/>
          <w:w w:val="105"/>
          <w:sz w:val="16"/>
        </w:rPr>
        <w:t>grants</w:t>
      </w:r>
      <w:r w:rsidRPr="00EB2BD8">
        <w:rPr>
          <w:rFonts w:ascii="Arial" w:hAnsi="Arial"/>
          <w:spacing w:val="-3"/>
          <w:w w:val="105"/>
          <w:sz w:val="16"/>
        </w:rPr>
        <w:t xml:space="preserve"> </w:t>
      </w:r>
      <w:r w:rsidRPr="00EB2BD8">
        <w:rPr>
          <w:rFonts w:ascii="Arial" w:hAnsi="Arial"/>
          <w:w w:val="105"/>
          <w:sz w:val="16"/>
        </w:rPr>
        <w:t>and contracts do not contain performance obligations that are sufficiently specific, as a result income is recognised when VBA has an unconditional right to receive cash which usually coincides with receipt of cash, in accordance with AASB 1058.</w:t>
      </w:r>
    </w:p>
    <w:p w14:paraId="67B76FE0" w14:textId="77777777" w:rsidR="00084F36" w:rsidRPr="00EB2BD8" w:rsidRDefault="00EB2BD8" w:rsidP="004D7D83">
      <w:pPr>
        <w:pStyle w:val="Heading2"/>
        <w:ind w:firstLine="181"/>
      </w:pPr>
      <w:bookmarkStart w:id="270" w:name="_Toc150762572"/>
      <w:r w:rsidRPr="00EB2BD8">
        <w:t>Grants</w:t>
      </w:r>
      <w:r w:rsidRPr="00EB2BD8">
        <w:rPr>
          <w:spacing w:val="14"/>
        </w:rPr>
        <w:t xml:space="preserve"> </w:t>
      </w:r>
      <w:r w:rsidRPr="00EB2BD8">
        <w:t>recognised</w:t>
      </w:r>
      <w:r w:rsidRPr="00EB2BD8">
        <w:rPr>
          <w:spacing w:val="14"/>
        </w:rPr>
        <w:t xml:space="preserve"> </w:t>
      </w:r>
      <w:r w:rsidRPr="00EB2BD8">
        <w:t>under</w:t>
      </w:r>
      <w:r w:rsidRPr="00EB2BD8">
        <w:rPr>
          <w:spacing w:val="15"/>
        </w:rPr>
        <w:t xml:space="preserve"> </w:t>
      </w:r>
      <w:r w:rsidRPr="00EB2BD8">
        <w:t>AASB</w:t>
      </w:r>
      <w:r w:rsidRPr="00EB2BD8">
        <w:rPr>
          <w:spacing w:val="14"/>
        </w:rPr>
        <w:t xml:space="preserve"> </w:t>
      </w:r>
      <w:r w:rsidRPr="00EB2BD8">
        <w:rPr>
          <w:spacing w:val="-4"/>
        </w:rPr>
        <w:t>1058</w:t>
      </w:r>
      <w:bookmarkEnd w:id="270"/>
    </w:p>
    <w:p w14:paraId="034BDD63" w14:textId="77777777" w:rsidR="00084F36" w:rsidRPr="00EB2BD8" w:rsidRDefault="00EB2BD8">
      <w:pPr>
        <w:spacing w:before="177" w:line="271" w:lineRule="auto"/>
        <w:ind w:left="1031" w:right="1813"/>
        <w:rPr>
          <w:rFonts w:ascii="Arial"/>
          <w:sz w:val="16"/>
        </w:rPr>
      </w:pPr>
      <w:r w:rsidRPr="00EB2BD8">
        <w:rPr>
          <w:rFonts w:ascii="Arial"/>
          <w:w w:val="105"/>
          <w:sz w:val="16"/>
        </w:rPr>
        <w:t>The</w:t>
      </w:r>
      <w:r w:rsidRPr="00EB2BD8">
        <w:rPr>
          <w:rFonts w:ascii="Arial"/>
          <w:spacing w:val="-3"/>
          <w:w w:val="105"/>
          <w:sz w:val="16"/>
        </w:rPr>
        <w:t xml:space="preserve"> </w:t>
      </w:r>
      <w:r w:rsidRPr="00EB2BD8">
        <w:rPr>
          <w:rFonts w:ascii="Arial"/>
          <w:w w:val="105"/>
          <w:sz w:val="16"/>
        </w:rPr>
        <w:t>VBA</w:t>
      </w:r>
      <w:r w:rsidRPr="00EB2BD8">
        <w:rPr>
          <w:rFonts w:ascii="Arial"/>
          <w:spacing w:val="-3"/>
          <w:w w:val="105"/>
          <w:sz w:val="16"/>
        </w:rPr>
        <w:t xml:space="preserve"> </w:t>
      </w:r>
      <w:r w:rsidRPr="00EB2BD8">
        <w:rPr>
          <w:rFonts w:ascii="Arial"/>
          <w:w w:val="105"/>
          <w:sz w:val="16"/>
        </w:rPr>
        <w:t>has</w:t>
      </w:r>
      <w:r w:rsidRPr="00EB2BD8">
        <w:rPr>
          <w:rFonts w:ascii="Arial"/>
          <w:spacing w:val="-3"/>
          <w:w w:val="105"/>
          <w:sz w:val="16"/>
        </w:rPr>
        <w:t xml:space="preserve"> </w:t>
      </w:r>
      <w:r w:rsidRPr="00EB2BD8">
        <w:rPr>
          <w:rFonts w:ascii="Arial"/>
          <w:w w:val="105"/>
          <w:sz w:val="16"/>
        </w:rPr>
        <w:t>determined</w:t>
      </w:r>
      <w:r w:rsidRPr="00EB2BD8">
        <w:rPr>
          <w:rFonts w:ascii="Arial"/>
          <w:spacing w:val="-3"/>
          <w:w w:val="105"/>
          <w:sz w:val="16"/>
        </w:rPr>
        <w:t xml:space="preserve"> </w:t>
      </w:r>
      <w:r w:rsidRPr="00EB2BD8">
        <w:rPr>
          <w:rFonts w:ascii="Arial"/>
          <w:w w:val="105"/>
          <w:sz w:val="16"/>
        </w:rPr>
        <w:t>that</w:t>
      </w:r>
      <w:r w:rsidRPr="00EB2BD8">
        <w:rPr>
          <w:rFonts w:ascii="Arial"/>
          <w:spacing w:val="-1"/>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grant</w:t>
      </w:r>
      <w:r w:rsidRPr="00EB2BD8">
        <w:rPr>
          <w:rFonts w:ascii="Arial"/>
          <w:spacing w:val="-3"/>
          <w:w w:val="105"/>
          <w:sz w:val="16"/>
        </w:rPr>
        <w:t xml:space="preserve"> </w:t>
      </w:r>
      <w:r w:rsidRPr="00EB2BD8">
        <w:rPr>
          <w:rFonts w:ascii="Arial"/>
          <w:w w:val="105"/>
          <w:sz w:val="16"/>
        </w:rPr>
        <w:t>income</w:t>
      </w:r>
      <w:r w:rsidRPr="00EB2BD8">
        <w:rPr>
          <w:rFonts w:ascii="Arial"/>
          <w:spacing w:val="-3"/>
          <w:w w:val="105"/>
          <w:sz w:val="16"/>
        </w:rPr>
        <w:t xml:space="preserve"> </w:t>
      </w:r>
      <w:r w:rsidRPr="00EB2BD8">
        <w:rPr>
          <w:rFonts w:ascii="Arial"/>
          <w:w w:val="105"/>
          <w:sz w:val="16"/>
        </w:rPr>
        <w:t>included</w:t>
      </w:r>
      <w:r w:rsidRPr="00EB2BD8">
        <w:rPr>
          <w:rFonts w:ascii="Arial"/>
          <w:spacing w:val="-3"/>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table</w:t>
      </w:r>
      <w:r w:rsidRPr="00EB2BD8">
        <w:rPr>
          <w:rFonts w:ascii="Arial"/>
          <w:spacing w:val="-2"/>
          <w:w w:val="105"/>
          <w:sz w:val="16"/>
        </w:rPr>
        <w:t xml:space="preserve"> </w:t>
      </w:r>
      <w:r w:rsidRPr="00EB2BD8">
        <w:rPr>
          <w:rFonts w:ascii="Arial"/>
          <w:w w:val="105"/>
          <w:sz w:val="16"/>
        </w:rPr>
        <w:t>above</w:t>
      </w:r>
      <w:r w:rsidRPr="00EB2BD8">
        <w:rPr>
          <w:rFonts w:ascii="Arial"/>
          <w:spacing w:val="-3"/>
          <w:w w:val="105"/>
          <w:sz w:val="16"/>
        </w:rPr>
        <w:t xml:space="preserve"> </w:t>
      </w:r>
      <w:r w:rsidRPr="00EB2BD8">
        <w:rPr>
          <w:rFonts w:ascii="Arial"/>
          <w:w w:val="105"/>
          <w:sz w:val="16"/>
        </w:rPr>
        <w:t>under</w:t>
      </w:r>
      <w:r w:rsidRPr="00EB2BD8">
        <w:rPr>
          <w:rFonts w:ascii="Arial"/>
          <w:spacing w:val="-3"/>
          <w:w w:val="105"/>
          <w:sz w:val="16"/>
        </w:rPr>
        <w:t xml:space="preserve"> </w:t>
      </w:r>
      <w:r w:rsidRPr="00EB2BD8">
        <w:rPr>
          <w:rFonts w:ascii="Arial"/>
          <w:w w:val="105"/>
          <w:sz w:val="16"/>
        </w:rPr>
        <w:t>AASB</w:t>
      </w:r>
      <w:r w:rsidRPr="00EB2BD8">
        <w:rPr>
          <w:rFonts w:ascii="Arial"/>
          <w:spacing w:val="-3"/>
          <w:w w:val="105"/>
          <w:sz w:val="16"/>
        </w:rPr>
        <w:t xml:space="preserve"> </w:t>
      </w:r>
      <w:r w:rsidRPr="00EB2BD8">
        <w:rPr>
          <w:rFonts w:ascii="Arial"/>
          <w:w w:val="105"/>
          <w:sz w:val="16"/>
        </w:rPr>
        <w:t>1058</w:t>
      </w:r>
      <w:r w:rsidRPr="00EB2BD8">
        <w:rPr>
          <w:rFonts w:ascii="Arial"/>
          <w:spacing w:val="-3"/>
          <w:w w:val="105"/>
          <w:sz w:val="16"/>
        </w:rPr>
        <w:t xml:space="preserve"> </w:t>
      </w:r>
      <w:r w:rsidRPr="00EB2BD8">
        <w:rPr>
          <w:rFonts w:ascii="Arial"/>
          <w:w w:val="105"/>
          <w:sz w:val="16"/>
        </w:rPr>
        <w:t>has</w:t>
      </w:r>
      <w:r w:rsidRPr="00EB2BD8">
        <w:rPr>
          <w:rFonts w:ascii="Arial"/>
          <w:spacing w:val="-3"/>
          <w:w w:val="105"/>
          <w:sz w:val="16"/>
        </w:rPr>
        <w:t xml:space="preserve"> </w:t>
      </w:r>
      <w:r w:rsidRPr="00EB2BD8">
        <w:rPr>
          <w:rFonts w:ascii="Arial"/>
          <w:w w:val="105"/>
          <w:sz w:val="16"/>
        </w:rPr>
        <w:t>been</w:t>
      </w:r>
      <w:r w:rsidRPr="00EB2BD8">
        <w:rPr>
          <w:rFonts w:ascii="Arial"/>
          <w:spacing w:val="-2"/>
          <w:w w:val="105"/>
          <w:sz w:val="16"/>
        </w:rPr>
        <w:t xml:space="preserve"> </w:t>
      </w:r>
      <w:r w:rsidRPr="00EB2BD8">
        <w:rPr>
          <w:rFonts w:ascii="Arial"/>
          <w:w w:val="105"/>
          <w:sz w:val="16"/>
        </w:rPr>
        <w:t>earned</w:t>
      </w:r>
      <w:r w:rsidRPr="00EB2BD8">
        <w:rPr>
          <w:rFonts w:ascii="Arial"/>
          <w:spacing w:val="-3"/>
          <w:w w:val="105"/>
          <w:sz w:val="16"/>
        </w:rPr>
        <w:t xml:space="preserve"> </w:t>
      </w:r>
      <w:r w:rsidRPr="00EB2BD8">
        <w:rPr>
          <w:rFonts w:ascii="Arial"/>
          <w:w w:val="105"/>
          <w:sz w:val="16"/>
        </w:rPr>
        <w:t>under arrangements that are either not enforceable and/or linked to sufficiently specific performance obligations.</w:t>
      </w:r>
    </w:p>
    <w:p w14:paraId="1078DFDB" w14:textId="77777777" w:rsidR="00084F36" w:rsidRPr="00EB2BD8" w:rsidRDefault="00EB2BD8">
      <w:pPr>
        <w:spacing w:before="151" w:line="271" w:lineRule="auto"/>
        <w:ind w:left="1031" w:right="1813"/>
        <w:rPr>
          <w:rFonts w:ascii="Arial" w:hAnsi="Arial"/>
          <w:sz w:val="16"/>
        </w:rPr>
      </w:pPr>
      <w:r w:rsidRPr="00EB2BD8">
        <w:rPr>
          <w:rFonts w:ascii="Arial" w:hAnsi="Arial"/>
          <w:w w:val="105"/>
          <w:sz w:val="16"/>
        </w:rPr>
        <w:t>Income from grants without any sufficiently specific performance obligations, or that are not enforceable, is recognised when the authority has an unconditional right to receive cash which usually coincides with receipt of cash. On initial recognition of the asset, the VBA recognises any related contributions by owners, increases in liabilities, decreases in assets,</w:t>
      </w:r>
      <w:r w:rsidRPr="00EB2BD8">
        <w:rPr>
          <w:rFonts w:ascii="Arial" w:hAnsi="Arial"/>
          <w:spacing w:val="-4"/>
          <w:w w:val="105"/>
          <w:sz w:val="16"/>
        </w:rPr>
        <w:t xml:space="preserve"> </w:t>
      </w:r>
      <w:r w:rsidRPr="00EB2BD8">
        <w:rPr>
          <w:rFonts w:ascii="Arial" w:hAnsi="Arial"/>
          <w:w w:val="105"/>
          <w:sz w:val="16"/>
        </w:rPr>
        <w:t>and</w:t>
      </w:r>
      <w:r w:rsidRPr="00EB2BD8">
        <w:rPr>
          <w:rFonts w:ascii="Arial" w:hAnsi="Arial"/>
          <w:spacing w:val="-4"/>
          <w:w w:val="105"/>
          <w:sz w:val="16"/>
        </w:rPr>
        <w:t xml:space="preserve"> </w:t>
      </w:r>
      <w:r w:rsidRPr="00EB2BD8">
        <w:rPr>
          <w:rFonts w:ascii="Arial" w:hAnsi="Arial"/>
          <w:w w:val="105"/>
          <w:sz w:val="16"/>
        </w:rPr>
        <w:t>revenue</w:t>
      </w:r>
      <w:r w:rsidRPr="00EB2BD8">
        <w:rPr>
          <w:rFonts w:ascii="Arial" w:hAnsi="Arial"/>
          <w:spacing w:val="-4"/>
          <w:w w:val="105"/>
          <w:sz w:val="16"/>
        </w:rPr>
        <w:t xml:space="preserve"> </w:t>
      </w:r>
      <w:r w:rsidRPr="00EB2BD8">
        <w:rPr>
          <w:rFonts w:ascii="Arial" w:hAnsi="Arial"/>
          <w:w w:val="105"/>
          <w:sz w:val="16"/>
        </w:rPr>
        <w:t>(‘related</w:t>
      </w:r>
      <w:r w:rsidRPr="00EB2BD8">
        <w:rPr>
          <w:rFonts w:ascii="Arial" w:hAnsi="Arial"/>
          <w:spacing w:val="-3"/>
          <w:w w:val="105"/>
          <w:sz w:val="16"/>
        </w:rPr>
        <w:t xml:space="preserve"> </w:t>
      </w:r>
      <w:r w:rsidRPr="00EB2BD8">
        <w:rPr>
          <w:rFonts w:ascii="Arial" w:hAnsi="Arial"/>
          <w:w w:val="105"/>
          <w:sz w:val="16"/>
        </w:rPr>
        <w:t>amounts’)</w:t>
      </w:r>
      <w:r w:rsidRPr="00EB2BD8">
        <w:rPr>
          <w:rFonts w:ascii="Arial" w:hAnsi="Arial"/>
          <w:spacing w:val="-4"/>
          <w:w w:val="105"/>
          <w:sz w:val="16"/>
        </w:rPr>
        <w:t xml:space="preserve"> </w:t>
      </w:r>
      <w:r w:rsidRPr="00EB2BD8">
        <w:rPr>
          <w:rFonts w:ascii="Arial" w:hAnsi="Arial"/>
          <w:w w:val="105"/>
          <w:sz w:val="16"/>
        </w:rPr>
        <w:t>in</w:t>
      </w:r>
      <w:r w:rsidRPr="00EB2BD8">
        <w:rPr>
          <w:rFonts w:ascii="Arial" w:hAnsi="Arial"/>
          <w:spacing w:val="-4"/>
          <w:w w:val="105"/>
          <w:sz w:val="16"/>
        </w:rPr>
        <w:t xml:space="preserve"> </w:t>
      </w:r>
      <w:r w:rsidRPr="00EB2BD8">
        <w:rPr>
          <w:rFonts w:ascii="Arial" w:hAnsi="Arial"/>
          <w:w w:val="105"/>
          <w:sz w:val="16"/>
        </w:rPr>
        <w:t>accordance</w:t>
      </w:r>
      <w:r w:rsidRPr="00EB2BD8">
        <w:rPr>
          <w:rFonts w:ascii="Arial" w:hAnsi="Arial"/>
          <w:spacing w:val="-4"/>
          <w:w w:val="105"/>
          <w:sz w:val="16"/>
        </w:rPr>
        <w:t xml:space="preserve"> </w:t>
      </w:r>
      <w:r w:rsidRPr="00EB2BD8">
        <w:rPr>
          <w:rFonts w:ascii="Arial" w:hAnsi="Arial"/>
          <w:w w:val="105"/>
          <w:sz w:val="16"/>
        </w:rPr>
        <w:t>with</w:t>
      </w:r>
      <w:r w:rsidRPr="00EB2BD8">
        <w:rPr>
          <w:rFonts w:ascii="Arial" w:hAnsi="Arial"/>
          <w:spacing w:val="-3"/>
          <w:w w:val="105"/>
          <w:sz w:val="16"/>
        </w:rPr>
        <w:t xml:space="preserve"> </w:t>
      </w:r>
      <w:r w:rsidRPr="00EB2BD8">
        <w:rPr>
          <w:rFonts w:ascii="Arial" w:hAnsi="Arial"/>
          <w:w w:val="105"/>
          <w:sz w:val="16"/>
        </w:rPr>
        <w:t>other</w:t>
      </w:r>
      <w:r w:rsidRPr="00EB2BD8">
        <w:rPr>
          <w:rFonts w:ascii="Arial" w:hAnsi="Arial"/>
          <w:spacing w:val="-4"/>
          <w:w w:val="105"/>
          <w:sz w:val="16"/>
        </w:rPr>
        <w:t xml:space="preserve"> </w:t>
      </w:r>
      <w:r w:rsidRPr="00EB2BD8">
        <w:rPr>
          <w:rFonts w:ascii="Arial" w:hAnsi="Arial"/>
          <w:w w:val="105"/>
          <w:sz w:val="16"/>
        </w:rPr>
        <w:t>Australian</w:t>
      </w:r>
      <w:r w:rsidRPr="00EB2BD8">
        <w:rPr>
          <w:rFonts w:ascii="Arial" w:hAnsi="Arial"/>
          <w:spacing w:val="-4"/>
          <w:w w:val="105"/>
          <w:sz w:val="16"/>
        </w:rPr>
        <w:t xml:space="preserve"> </w:t>
      </w:r>
      <w:r w:rsidRPr="00EB2BD8">
        <w:rPr>
          <w:rFonts w:ascii="Arial" w:hAnsi="Arial"/>
          <w:w w:val="105"/>
          <w:sz w:val="16"/>
        </w:rPr>
        <w:t>Accounting</w:t>
      </w:r>
      <w:r w:rsidRPr="00EB2BD8">
        <w:rPr>
          <w:rFonts w:ascii="Arial" w:hAnsi="Arial"/>
          <w:spacing w:val="-4"/>
          <w:w w:val="105"/>
          <w:sz w:val="16"/>
        </w:rPr>
        <w:t xml:space="preserve"> </w:t>
      </w:r>
      <w:r w:rsidRPr="00EB2BD8">
        <w:rPr>
          <w:rFonts w:ascii="Arial" w:hAnsi="Arial"/>
          <w:w w:val="105"/>
          <w:sz w:val="16"/>
        </w:rPr>
        <w:t>Standards.</w:t>
      </w:r>
      <w:r w:rsidRPr="00EB2BD8">
        <w:rPr>
          <w:rFonts w:ascii="Arial" w:hAnsi="Arial"/>
          <w:spacing w:val="-4"/>
          <w:w w:val="105"/>
          <w:sz w:val="16"/>
        </w:rPr>
        <w:t xml:space="preserve"> </w:t>
      </w:r>
      <w:r w:rsidRPr="00EB2BD8">
        <w:rPr>
          <w:rFonts w:ascii="Arial" w:hAnsi="Arial"/>
          <w:w w:val="105"/>
          <w:sz w:val="16"/>
        </w:rPr>
        <w:t>Related</w:t>
      </w:r>
      <w:r w:rsidRPr="00EB2BD8">
        <w:rPr>
          <w:rFonts w:ascii="Arial" w:hAnsi="Arial"/>
          <w:spacing w:val="-4"/>
          <w:w w:val="105"/>
          <w:sz w:val="16"/>
        </w:rPr>
        <w:t xml:space="preserve"> </w:t>
      </w:r>
      <w:r w:rsidRPr="00EB2BD8">
        <w:rPr>
          <w:rFonts w:ascii="Arial" w:hAnsi="Arial"/>
          <w:w w:val="105"/>
          <w:sz w:val="16"/>
        </w:rPr>
        <w:t>amounts</w:t>
      </w:r>
      <w:r w:rsidRPr="00EB2BD8">
        <w:rPr>
          <w:rFonts w:ascii="Arial" w:hAnsi="Arial"/>
          <w:spacing w:val="-4"/>
          <w:w w:val="105"/>
          <w:sz w:val="16"/>
        </w:rPr>
        <w:t xml:space="preserve"> </w:t>
      </w:r>
      <w:r w:rsidRPr="00EB2BD8">
        <w:rPr>
          <w:rFonts w:ascii="Arial" w:hAnsi="Arial"/>
          <w:w w:val="105"/>
          <w:sz w:val="16"/>
        </w:rPr>
        <w:t>may take the form of:</w:t>
      </w:r>
    </w:p>
    <w:p w14:paraId="08309394" w14:textId="77777777" w:rsidR="00084F36" w:rsidRPr="00EB2BD8" w:rsidRDefault="00EB2BD8">
      <w:pPr>
        <w:pStyle w:val="ListParagraph"/>
        <w:numPr>
          <w:ilvl w:val="0"/>
          <w:numId w:val="47"/>
        </w:numPr>
        <w:tabs>
          <w:tab w:val="left" w:pos="1133"/>
        </w:tabs>
        <w:spacing w:before="57"/>
        <w:ind w:left="1133" w:hanging="102"/>
        <w:rPr>
          <w:rFonts w:ascii="Arial" w:hAnsi="Arial"/>
          <w:sz w:val="16"/>
        </w:rPr>
      </w:pPr>
      <w:r w:rsidRPr="00EB2BD8">
        <w:rPr>
          <w:rFonts w:ascii="Arial" w:hAnsi="Arial"/>
          <w:w w:val="105"/>
          <w:sz w:val="16"/>
        </w:rPr>
        <w:t>contributions</w:t>
      </w:r>
      <w:r w:rsidRPr="00EB2BD8">
        <w:rPr>
          <w:rFonts w:ascii="Arial" w:hAnsi="Arial"/>
          <w:spacing w:val="-7"/>
          <w:w w:val="105"/>
          <w:sz w:val="16"/>
        </w:rPr>
        <w:t xml:space="preserve"> </w:t>
      </w:r>
      <w:r w:rsidRPr="00EB2BD8">
        <w:rPr>
          <w:rFonts w:ascii="Arial" w:hAnsi="Arial"/>
          <w:w w:val="105"/>
          <w:sz w:val="16"/>
        </w:rPr>
        <w:t>by</w:t>
      </w:r>
      <w:r w:rsidRPr="00EB2BD8">
        <w:rPr>
          <w:rFonts w:ascii="Arial" w:hAnsi="Arial"/>
          <w:spacing w:val="-8"/>
          <w:w w:val="105"/>
          <w:sz w:val="16"/>
        </w:rPr>
        <w:t xml:space="preserve"> </w:t>
      </w:r>
      <w:r w:rsidRPr="00EB2BD8">
        <w:rPr>
          <w:rFonts w:ascii="Arial" w:hAnsi="Arial"/>
          <w:w w:val="105"/>
          <w:sz w:val="16"/>
        </w:rPr>
        <w:t>owners,</w:t>
      </w:r>
      <w:r w:rsidRPr="00EB2BD8">
        <w:rPr>
          <w:rFonts w:ascii="Arial" w:hAnsi="Arial"/>
          <w:spacing w:val="-8"/>
          <w:w w:val="105"/>
          <w:sz w:val="16"/>
        </w:rPr>
        <w:t xml:space="preserve"> </w:t>
      </w:r>
      <w:r w:rsidRPr="00EB2BD8">
        <w:rPr>
          <w:rFonts w:ascii="Arial" w:hAnsi="Arial"/>
          <w:w w:val="105"/>
          <w:sz w:val="16"/>
        </w:rPr>
        <w:t>in</w:t>
      </w:r>
      <w:r w:rsidRPr="00EB2BD8">
        <w:rPr>
          <w:rFonts w:ascii="Arial" w:hAnsi="Arial"/>
          <w:spacing w:val="-8"/>
          <w:w w:val="105"/>
          <w:sz w:val="16"/>
        </w:rPr>
        <w:t xml:space="preserve"> </w:t>
      </w:r>
      <w:r w:rsidRPr="00EB2BD8">
        <w:rPr>
          <w:rFonts w:ascii="Arial" w:hAnsi="Arial"/>
          <w:w w:val="105"/>
          <w:sz w:val="16"/>
        </w:rPr>
        <w:t>accordance</w:t>
      </w:r>
      <w:r w:rsidRPr="00EB2BD8">
        <w:rPr>
          <w:rFonts w:ascii="Arial" w:hAnsi="Arial"/>
          <w:spacing w:val="-7"/>
          <w:w w:val="105"/>
          <w:sz w:val="16"/>
        </w:rPr>
        <w:t xml:space="preserve"> </w:t>
      </w:r>
      <w:r w:rsidRPr="00EB2BD8">
        <w:rPr>
          <w:rFonts w:ascii="Arial" w:hAnsi="Arial"/>
          <w:w w:val="105"/>
          <w:sz w:val="16"/>
        </w:rPr>
        <w:t>with</w:t>
      </w:r>
      <w:r w:rsidRPr="00EB2BD8">
        <w:rPr>
          <w:rFonts w:ascii="Arial" w:hAnsi="Arial"/>
          <w:spacing w:val="-7"/>
          <w:w w:val="105"/>
          <w:sz w:val="16"/>
        </w:rPr>
        <w:t xml:space="preserve"> </w:t>
      </w:r>
      <w:r w:rsidRPr="00EB2BD8">
        <w:rPr>
          <w:rFonts w:ascii="Arial" w:hAnsi="Arial"/>
          <w:w w:val="105"/>
          <w:sz w:val="16"/>
        </w:rPr>
        <w:t>AASB</w:t>
      </w:r>
      <w:r w:rsidRPr="00EB2BD8">
        <w:rPr>
          <w:rFonts w:ascii="Arial" w:hAnsi="Arial"/>
          <w:spacing w:val="-8"/>
          <w:w w:val="105"/>
          <w:sz w:val="16"/>
        </w:rPr>
        <w:t xml:space="preserve"> </w:t>
      </w:r>
      <w:r w:rsidRPr="00EB2BD8">
        <w:rPr>
          <w:rFonts w:ascii="Arial" w:hAnsi="Arial"/>
          <w:spacing w:val="-4"/>
          <w:w w:val="105"/>
          <w:sz w:val="16"/>
        </w:rPr>
        <w:t>1004</w:t>
      </w:r>
    </w:p>
    <w:p w14:paraId="4A9A5607" w14:textId="77777777" w:rsidR="00084F36" w:rsidRPr="00EB2BD8" w:rsidRDefault="00084F36">
      <w:pPr>
        <w:pStyle w:val="BodyText"/>
        <w:spacing w:before="2"/>
        <w:rPr>
          <w:rFonts w:ascii="Arial"/>
          <w:sz w:val="15"/>
        </w:rPr>
      </w:pPr>
    </w:p>
    <w:p w14:paraId="1DE32C67" w14:textId="77777777" w:rsidR="00084F36" w:rsidRPr="00EB2BD8" w:rsidRDefault="00EB2BD8">
      <w:pPr>
        <w:pStyle w:val="ListParagraph"/>
        <w:numPr>
          <w:ilvl w:val="0"/>
          <w:numId w:val="47"/>
        </w:numPr>
        <w:tabs>
          <w:tab w:val="left" w:pos="1133"/>
        </w:tabs>
        <w:ind w:left="1133" w:hanging="102"/>
        <w:rPr>
          <w:rFonts w:ascii="Arial" w:hAnsi="Arial"/>
          <w:sz w:val="16"/>
        </w:rPr>
      </w:pPr>
      <w:r w:rsidRPr="00EB2BD8">
        <w:rPr>
          <w:rFonts w:ascii="Arial" w:hAnsi="Arial"/>
          <w:w w:val="105"/>
          <w:sz w:val="16"/>
        </w:rPr>
        <w:t>revenue</w:t>
      </w:r>
      <w:r w:rsidRPr="00EB2BD8">
        <w:rPr>
          <w:rFonts w:ascii="Arial" w:hAnsi="Arial"/>
          <w:spacing w:val="-7"/>
          <w:w w:val="105"/>
          <w:sz w:val="16"/>
        </w:rPr>
        <w:t xml:space="preserve"> </w:t>
      </w:r>
      <w:r w:rsidRPr="00EB2BD8">
        <w:rPr>
          <w:rFonts w:ascii="Arial" w:hAnsi="Arial"/>
          <w:w w:val="105"/>
          <w:sz w:val="16"/>
        </w:rPr>
        <w:t>or</w:t>
      </w:r>
      <w:r w:rsidRPr="00EB2BD8">
        <w:rPr>
          <w:rFonts w:ascii="Arial" w:hAnsi="Arial"/>
          <w:spacing w:val="-6"/>
          <w:w w:val="105"/>
          <w:sz w:val="16"/>
        </w:rPr>
        <w:t xml:space="preserve"> </w:t>
      </w:r>
      <w:r w:rsidRPr="00EB2BD8">
        <w:rPr>
          <w:rFonts w:ascii="Arial" w:hAnsi="Arial"/>
          <w:w w:val="105"/>
          <w:sz w:val="16"/>
        </w:rPr>
        <w:t>a</w:t>
      </w:r>
      <w:r w:rsidRPr="00EB2BD8">
        <w:rPr>
          <w:rFonts w:ascii="Arial" w:hAnsi="Arial"/>
          <w:spacing w:val="-6"/>
          <w:w w:val="105"/>
          <w:sz w:val="16"/>
        </w:rPr>
        <w:t xml:space="preserve"> </w:t>
      </w:r>
      <w:r w:rsidRPr="00EB2BD8">
        <w:rPr>
          <w:rFonts w:ascii="Arial" w:hAnsi="Arial"/>
          <w:w w:val="105"/>
          <w:sz w:val="16"/>
        </w:rPr>
        <w:t>contract</w:t>
      </w:r>
      <w:r w:rsidRPr="00EB2BD8">
        <w:rPr>
          <w:rFonts w:ascii="Arial" w:hAnsi="Arial"/>
          <w:spacing w:val="-6"/>
          <w:w w:val="105"/>
          <w:sz w:val="16"/>
        </w:rPr>
        <w:t xml:space="preserve"> </w:t>
      </w:r>
      <w:r w:rsidRPr="00EB2BD8">
        <w:rPr>
          <w:rFonts w:ascii="Arial" w:hAnsi="Arial"/>
          <w:w w:val="105"/>
          <w:sz w:val="16"/>
        </w:rPr>
        <w:t>liability</w:t>
      </w:r>
      <w:r w:rsidRPr="00EB2BD8">
        <w:rPr>
          <w:rFonts w:ascii="Arial" w:hAnsi="Arial"/>
          <w:spacing w:val="-6"/>
          <w:w w:val="105"/>
          <w:sz w:val="16"/>
        </w:rPr>
        <w:t xml:space="preserve"> </w:t>
      </w:r>
      <w:r w:rsidRPr="00EB2BD8">
        <w:rPr>
          <w:rFonts w:ascii="Arial" w:hAnsi="Arial"/>
          <w:w w:val="105"/>
          <w:sz w:val="16"/>
        </w:rPr>
        <w:t>arising</w:t>
      </w:r>
      <w:r w:rsidRPr="00EB2BD8">
        <w:rPr>
          <w:rFonts w:ascii="Arial" w:hAnsi="Arial"/>
          <w:spacing w:val="-6"/>
          <w:w w:val="105"/>
          <w:sz w:val="16"/>
        </w:rPr>
        <w:t xml:space="preserve"> </w:t>
      </w:r>
      <w:r w:rsidRPr="00EB2BD8">
        <w:rPr>
          <w:rFonts w:ascii="Arial" w:hAnsi="Arial"/>
          <w:w w:val="105"/>
          <w:sz w:val="16"/>
        </w:rPr>
        <w:t>from</w:t>
      </w:r>
      <w:r w:rsidRPr="00EB2BD8">
        <w:rPr>
          <w:rFonts w:ascii="Arial" w:hAnsi="Arial"/>
          <w:spacing w:val="-6"/>
          <w:w w:val="105"/>
          <w:sz w:val="16"/>
        </w:rPr>
        <w:t xml:space="preserve"> </w:t>
      </w:r>
      <w:r w:rsidRPr="00EB2BD8">
        <w:rPr>
          <w:rFonts w:ascii="Arial" w:hAnsi="Arial"/>
          <w:w w:val="105"/>
          <w:sz w:val="16"/>
        </w:rPr>
        <w:t>a</w:t>
      </w:r>
      <w:r w:rsidRPr="00EB2BD8">
        <w:rPr>
          <w:rFonts w:ascii="Arial" w:hAnsi="Arial"/>
          <w:spacing w:val="-6"/>
          <w:w w:val="105"/>
          <w:sz w:val="16"/>
        </w:rPr>
        <w:t xml:space="preserve"> </w:t>
      </w:r>
      <w:r w:rsidRPr="00EB2BD8">
        <w:rPr>
          <w:rFonts w:ascii="Arial" w:hAnsi="Arial"/>
          <w:w w:val="105"/>
          <w:sz w:val="16"/>
        </w:rPr>
        <w:t>contract</w:t>
      </w:r>
      <w:r w:rsidRPr="00EB2BD8">
        <w:rPr>
          <w:rFonts w:ascii="Arial" w:hAnsi="Arial"/>
          <w:spacing w:val="-6"/>
          <w:w w:val="105"/>
          <w:sz w:val="16"/>
        </w:rPr>
        <w:t xml:space="preserve"> </w:t>
      </w:r>
      <w:r w:rsidRPr="00EB2BD8">
        <w:rPr>
          <w:rFonts w:ascii="Arial" w:hAnsi="Arial"/>
          <w:w w:val="105"/>
          <w:sz w:val="16"/>
        </w:rPr>
        <w:t>with</w:t>
      </w:r>
      <w:r w:rsidRPr="00EB2BD8">
        <w:rPr>
          <w:rFonts w:ascii="Arial" w:hAnsi="Arial"/>
          <w:spacing w:val="-5"/>
          <w:w w:val="105"/>
          <w:sz w:val="16"/>
        </w:rPr>
        <w:t xml:space="preserve"> </w:t>
      </w:r>
      <w:r w:rsidRPr="00EB2BD8">
        <w:rPr>
          <w:rFonts w:ascii="Arial" w:hAnsi="Arial"/>
          <w:w w:val="105"/>
          <w:sz w:val="16"/>
        </w:rPr>
        <w:t>a</w:t>
      </w:r>
      <w:r w:rsidRPr="00EB2BD8">
        <w:rPr>
          <w:rFonts w:ascii="Arial" w:hAnsi="Arial"/>
          <w:spacing w:val="-6"/>
          <w:w w:val="105"/>
          <w:sz w:val="16"/>
        </w:rPr>
        <w:t xml:space="preserve"> </w:t>
      </w:r>
      <w:r w:rsidRPr="00EB2BD8">
        <w:rPr>
          <w:rFonts w:ascii="Arial" w:hAnsi="Arial"/>
          <w:w w:val="105"/>
          <w:sz w:val="16"/>
        </w:rPr>
        <w:t>customer,</w:t>
      </w:r>
      <w:r w:rsidRPr="00EB2BD8">
        <w:rPr>
          <w:rFonts w:ascii="Arial" w:hAnsi="Arial"/>
          <w:spacing w:val="-6"/>
          <w:w w:val="105"/>
          <w:sz w:val="16"/>
        </w:rPr>
        <w:t xml:space="preserve"> </w:t>
      </w:r>
      <w:r w:rsidRPr="00EB2BD8">
        <w:rPr>
          <w:rFonts w:ascii="Arial" w:hAnsi="Arial"/>
          <w:w w:val="105"/>
          <w:sz w:val="16"/>
        </w:rPr>
        <w:t>in</w:t>
      </w:r>
      <w:r w:rsidRPr="00EB2BD8">
        <w:rPr>
          <w:rFonts w:ascii="Arial" w:hAnsi="Arial"/>
          <w:spacing w:val="-5"/>
          <w:w w:val="105"/>
          <w:sz w:val="16"/>
        </w:rPr>
        <w:t xml:space="preserve"> </w:t>
      </w:r>
      <w:r w:rsidRPr="00EB2BD8">
        <w:rPr>
          <w:rFonts w:ascii="Arial" w:hAnsi="Arial"/>
          <w:w w:val="105"/>
          <w:sz w:val="16"/>
        </w:rPr>
        <w:t>accordance</w:t>
      </w:r>
      <w:r w:rsidRPr="00EB2BD8">
        <w:rPr>
          <w:rFonts w:ascii="Arial" w:hAnsi="Arial"/>
          <w:spacing w:val="-6"/>
          <w:w w:val="105"/>
          <w:sz w:val="16"/>
        </w:rPr>
        <w:t xml:space="preserve"> </w:t>
      </w:r>
      <w:r w:rsidRPr="00EB2BD8">
        <w:rPr>
          <w:rFonts w:ascii="Arial" w:hAnsi="Arial"/>
          <w:w w:val="105"/>
          <w:sz w:val="16"/>
        </w:rPr>
        <w:t>with</w:t>
      </w:r>
      <w:r w:rsidRPr="00EB2BD8">
        <w:rPr>
          <w:rFonts w:ascii="Arial" w:hAnsi="Arial"/>
          <w:spacing w:val="-6"/>
          <w:w w:val="105"/>
          <w:sz w:val="16"/>
        </w:rPr>
        <w:t xml:space="preserve"> </w:t>
      </w:r>
      <w:r w:rsidRPr="00EB2BD8">
        <w:rPr>
          <w:rFonts w:ascii="Arial" w:hAnsi="Arial"/>
          <w:w w:val="105"/>
          <w:sz w:val="16"/>
        </w:rPr>
        <w:t>AASB</w:t>
      </w:r>
      <w:r w:rsidRPr="00EB2BD8">
        <w:rPr>
          <w:rFonts w:ascii="Arial" w:hAnsi="Arial"/>
          <w:spacing w:val="-7"/>
          <w:w w:val="105"/>
          <w:sz w:val="16"/>
        </w:rPr>
        <w:t xml:space="preserve"> </w:t>
      </w:r>
      <w:r w:rsidRPr="00EB2BD8">
        <w:rPr>
          <w:rFonts w:ascii="Arial" w:hAnsi="Arial"/>
          <w:spacing w:val="-5"/>
          <w:w w:val="105"/>
          <w:sz w:val="16"/>
        </w:rPr>
        <w:t>15</w:t>
      </w:r>
    </w:p>
    <w:p w14:paraId="2F2B2770" w14:textId="77777777" w:rsidR="00084F36" w:rsidRPr="00EB2BD8" w:rsidRDefault="00084F36">
      <w:pPr>
        <w:pStyle w:val="BodyText"/>
        <w:spacing w:before="1"/>
        <w:rPr>
          <w:rFonts w:ascii="Arial"/>
          <w:sz w:val="15"/>
        </w:rPr>
      </w:pPr>
    </w:p>
    <w:p w14:paraId="2594BA1F" w14:textId="77777777" w:rsidR="00084F36" w:rsidRPr="00EB2BD8" w:rsidRDefault="00EB2BD8">
      <w:pPr>
        <w:pStyle w:val="ListParagraph"/>
        <w:numPr>
          <w:ilvl w:val="0"/>
          <w:numId w:val="47"/>
        </w:numPr>
        <w:tabs>
          <w:tab w:val="left" w:pos="1133"/>
        </w:tabs>
        <w:ind w:left="1133" w:hanging="102"/>
        <w:rPr>
          <w:rFonts w:ascii="Arial" w:hAnsi="Arial"/>
          <w:sz w:val="16"/>
        </w:rPr>
      </w:pPr>
      <w:r w:rsidRPr="00EB2BD8">
        <w:rPr>
          <w:rFonts w:ascii="Arial" w:hAnsi="Arial"/>
          <w:w w:val="105"/>
          <w:sz w:val="16"/>
        </w:rPr>
        <w:t>a</w:t>
      </w:r>
      <w:r w:rsidRPr="00EB2BD8">
        <w:rPr>
          <w:rFonts w:ascii="Arial" w:hAnsi="Arial"/>
          <w:spacing w:val="-7"/>
          <w:w w:val="105"/>
          <w:sz w:val="16"/>
        </w:rPr>
        <w:t xml:space="preserve"> </w:t>
      </w:r>
      <w:r w:rsidRPr="00EB2BD8">
        <w:rPr>
          <w:rFonts w:ascii="Arial" w:hAnsi="Arial"/>
          <w:w w:val="105"/>
          <w:sz w:val="16"/>
        </w:rPr>
        <w:t>lease</w:t>
      </w:r>
      <w:r w:rsidRPr="00EB2BD8">
        <w:rPr>
          <w:rFonts w:ascii="Arial" w:hAnsi="Arial"/>
          <w:spacing w:val="-6"/>
          <w:w w:val="105"/>
          <w:sz w:val="16"/>
        </w:rPr>
        <w:t xml:space="preserve"> </w:t>
      </w:r>
      <w:r w:rsidRPr="00EB2BD8">
        <w:rPr>
          <w:rFonts w:ascii="Arial" w:hAnsi="Arial"/>
          <w:w w:val="105"/>
          <w:sz w:val="16"/>
        </w:rPr>
        <w:t>liability</w:t>
      </w:r>
      <w:r w:rsidRPr="00EB2BD8">
        <w:rPr>
          <w:rFonts w:ascii="Arial" w:hAnsi="Arial"/>
          <w:spacing w:val="-6"/>
          <w:w w:val="105"/>
          <w:sz w:val="16"/>
        </w:rPr>
        <w:t xml:space="preserve"> </w:t>
      </w:r>
      <w:r w:rsidRPr="00EB2BD8">
        <w:rPr>
          <w:rFonts w:ascii="Arial" w:hAnsi="Arial"/>
          <w:w w:val="105"/>
          <w:sz w:val="16"/>
        </w:rPr>
        <w:t>in</w:t>
      </w:r>
      <w:r w:rsidRPr="00EB2BD8">
        <w:rPr>
          <w:rFonts w:ascii="Arial" w:hAnsi="Arial"/>
          <w:spacing w:val="-6"/>
          <w:w w:val="105"/>
          <w:sz w:val="16"/>
        </w:rPr>
        <w:t xml:space="preserve"> </w:t>
      </w:r>
      <w:r w:rsidRPr="00EB2BD8">
        <w:rPr>
          <w:rFonts w:ascii="Arial" w:hAnsi="Arial"/>
          <w:w w:val="105"/>
          <w:sz w:val="16"/>
        </w:rPr>
        <w:t>accordance</w:t>
      </w:r>
      <w:r w:rsidRPr="00EB2BD8">
        <w:rPr>
          <w:rFonts w:ascii="Arial" w:hAnsi="Arial"/>
          <w:spacing w:val="-7"/>
          <w:w w:val="105"/>
          <w:sz w:val="16"/>
        </w:rPr>
        <w:t xml:space="preserve"> </w:t>
      </w:r>
      <w:r w:rsidRPr="00EB2BD8">
        <w:rPr>
          <w:rFonts w:ascii="Arial" w:hAnsi="Arial"/>
          <w:w w:val="105"/>
          <w:sz w:val="16"/>
        </w:rPr>
        <w:t>with</w:t>
      </w:r>
      <w:r w:rsidRPr="00EB2BD8">
        <w:rPr>
          <w:rFonts w:ascii="Arial" w:hAnsi="Arial"/>
          <w:spacing w:val="-6"/>
          <w:w w:val="105"/>
          <w:sz w:val="16"/>
        </w:rPr>
        <w:t xml:space="preserve"> </w:t>
      </w:r>
      <w:r w:rsidRPr="00EB2BD8">
        <w:rPr>
          <w:rFonts w:ascii="Arial" w:hAnsi="Arial"/>
          <w:w w:val="105"/>
          <w:sz w:val="16"/>
        </w:rPr>
        <w:t>AASB</w:t>
      </w:r>
      <w:r w:rsidRPr="00EB2BD8">
        <w:rPr>
          <w:rFonts w:ascii="Arial" w:hAnsi="Arial"/>
          <w:spacing w:val="-6"/>
          <w:w w:val="105"/>
          <w:sz w:val="16"/>
        </w:rPr>
        <w:t xml:space="preserve"> </w:t>
      </w:r>
      <w:r w:rsidRPr="00EB2BD8">
        <w:rPr>
          <w:rFonts w:ascii="Arial" w:hAnsi="Arial"/>
          <w:spacing w:val="-5"/>
          <w:w w:val="105"/>
          <w:sz w:val="16"/>
        </w:rPr>
        <w:t>16</w:t>
      </w:r>
    </w:p>
    <w:p w14:paraId="55B50736" w14:textId="77777777" w:rsidR="00084F36" w:rsidRPr="00EB2BD8" w:rsidRDefault="00084F36">
      <w:pPr>
        <w:pStyle w:val="BodyText"/>
        <w:spacing w:before="1"/>
        <w:rPr>
          <w:rFonts w:ascii="Arial"/>
          <w:sz w:val="15"/>
        </w:rPr>
      </w:pPr>
    </w:p>
    <w:p w14:paraId="1CE27531" w14:textId="77777777" w:rsidR="00084F36" w:rsidRPr="00EB2BD8" w:rsidRDefault="00EB2BD8">
      <w:pPr>
        <w:pStyle w:val="ListParagraph"/>
        <w:numPr>
          <w:ilvl w:val="0"/>
          <w:numId w:val="47"/>
        </w:numPr>
        <w:tabs>
          <w:tab w:val="left" w:pos="1133"/>
        </w:tabs>
        <w:spacing w:before="1"/>
        <w:ind w:left="1133" w:hanging="102"/>
        <w:rPr>
          <w:rFonts w:ascii="Arial" w:hAnsi="Arial"/>
          <w:sz w:val="16"/>
        </w:rPr>
      </w:pPr>
      <w:r w:rsidRPr="00EB2BD8">
        <w:rPr>
          <w:rFonts w:ascii="Arial" w:hAnsi="Arial"/>
          <w:w w:val="105"/>
          <w:sz w:val="16"/>
        </w:rPr>
        <w:t>a</w:t>
      </w:r>
      <w:r w:rsidRPr="00EB2BD8">
        <w:rPr>
          <w:rFonts w:ascii="Arial" w:hAnsi="Arial"/>
          <w:spacing w:val="-7"/>
          <w:w w:val="105"/>
          <w:sz w:val="16"/>
        </w:rPr>
        <w:t xml:space="preserve"> </w:t>
      </w:r>
      <w:r w:rsidRPr="00EB2BD8">
        <w:rPr>
          <w:rFonts w:ascii="Arial" w:hAnsi="Arial"/>
          <w:w w:val="105"/>
          <w:sz w:val="16"/>
        </w:rPr>
        <w:t>financial</w:t>
      </w:r>
      <w:r w:rsidRPr="00EB2BD8">
        <w:rPr>
          <w:rFonts w:ascii="Arial" w:hAnsi="Arial"/>
          <w:spacing w:val="-7"/>
          <w:w w:val="105"/>
          <w:sz w:val="16"/>
        </w:rPr>
        <w:t xml:space="preserve"> </w:t>
      </w:r>
      <w:r w:rsidRPr="00EB2BD8">
        <w:rPr>
          <w:rFonts w:ascii="Arial" w:hAnsi="Arial"/>
          <w:w w:val="105"/>
          <w:sz w:val="16"/>
        </w:rPr>
        <w:t>instrument,</w:t>
      </w:r>
      <w:r w:rsidRPr="00EB2BD8">
        <w:rPr>
          <w:rFonts w:ascii="Arial" w:hAnsi="Arial"/>
          <w:spacing w:val="-7"/>
          <w:w w:val="105"/>
          <w:sz w:val="16"/>
        </w:rPr>
        <w:t xml:space="preserve"> </w:t>
      </w:r>
      <w:r w:rsidRPr="00EB2BD8">
        <w:rPr>
          <w:rFonts w:ascii="Arial" w:hAnsi="Arial"/>
          <w:w w:val="105"/>
          <w:sz w:val="16"/>
        </w:rPr>
        <w:t>in</w:t>
      </w:r>
      <w:r w:rsidRPr="00EB2BD8">
        <w:rPr>
          <w:rFonts w:ascii="Arial" w:hAnsi="Arial"/>
          <w:spacing w:val="-7"/>
          <w:w w:val="105"/>
          <w:sz w:val="16"/>
        </w:rPr>
        <w:t xml:space="preserve"> </w:t>
      </w:r>
      <w:r w:rsidRPr="00EB2BD8">
        <w:rPr>
          <w:rFonts w:ascii="Arial" w:hAnsi="Arial"/>
          <w:w w:val="105"/>
          <w:sz w:val="16"/>
        </w:rPr>
        <w:t>accordance</w:t>
      </w:r>
      <w:r w:rsidRPr="00EB2BD8">
        <w:rPr>
          <w:rFonts w:ascii="Arial" w:hAnsi="Arial"/>
          <w:spacing w:val="-7"/>
          <w:w w:val="105"/>
          <w:sz w:val="16"/>
        </w:rPr>
        <w:t xml:space="preserve"> </w:t>
      </w:r>
      <w:r w:rsidRPr="00EB2BD8">
        <w:rPr>
          <w:rFonts w:ascii="Arial" w:hAnsi="Arial"/>
          <w:w w:val="105"/>
          <w:sz w:val="16"/>
        </w:rPr>
        <w:t>with</w:t>
      </w:r>
      <w:r w:rsidRPr="00EB2BD8">
        <w:rPr>
          <w:rFonts w:ascii="Arial" w:hAnsi="Arial"/>
          <w:spacing w:val="-7"/>
          <w:w w:val="105"/>
          <w:sz w:val="16"/>
        </w:rPr>
        <w:t xml:space="preserve"> </w:t>
      </w:r>
      <w:r w:rsidRPr="00EB2BD8">
        <w:rPr>
          <w:rFonts w:ascii="Arial" w:hAnsi="Arial"/>
          <w:w w:val="105"/>
          <w:sz w:val="16"/>
        </w:rPr>
        <w:t>AASB</w:t>
      </w:r>
      <w:r w:rsidRPr="00EB2BD8">
        <w:rPr>
          <w:rFonts w:ascii="Arial" w:hAnsi="Arial"/>
          <w:spacing w:val="-7"/>
          <w:w w:val="105"/>
          <w:sz w:val="16"/>
        </w:rPr>
        <w:t xml:space="preserve"> </w:t>
      </w:r>
      <w:r w:rsidRPr="00EB2BD8">
        <w:rPr>
          <w:rFonts w:ascii="Arial" w:hAnsi="Arial"/>
          <w:spacing w:val="-10"/>
          <w:w w:val="105"/>
          <w:sz w:val="16"/>
        </w:rPr>
        <w:t>9</w:t>
      </w:r>
    </w:p>
    <w:p w14:paraId="36B692B9" w14:textId="77777777" w:rsidR="00084F36" w:rsidRPr="00EB2BD8" w:rsidRDefault="00084F36">
      <w:pPr>
        <w:pStyle w:val="BodyText"/>
        <w:rPr>
          <w:rFonts w:ascii="Arial"/>
          <w:sz w:val="15"/>
        </w:rPr>
      </w:pPr>
    </w:p>
    <w:p w14:paraId="15278659" w14:textId="77777777" w:rsidR="00084F36" w:rsidRPr="00EB2BD8" w:rsidRDefault="00EB2BD8">
      <w:pPr>
        <w:pStyle w:val="ListParagraph"/>
        <w:numPr>
          <w:ilvl w:val="0"/>
          <w:numId w:val="47"/>
        </w:numPr>
        <w:tabs>
          <w:tab w:val="left" w:pos="1133"/>
        </w:tabs>
        <w:ind w:left="1133" w:hanging="102"/>
        <w:rPr>
          <w:rFonts w:ascii="Arial" w:hAnsi="Arial"/>
          <w:sz w:val="16"/>
        </w:rPr>
      </w:pPr>
      <w:r w:rsidRPr="00EB2BD8">
        <w:rPr>
          <w:rFonts w:ascii="Arial" w:hAnsi="Arial"/>
          <w:w w:val="105"/>
          <w:sz w:val="16"/>
        </w:rPr>
        <w:t>a</w:t>
      </w:r>
      <w:r w:rsidRPr="00EB2BD8">
        <w:rPr>
          <w:rFonts w:ascii="Arial" w:hAnsi="Arial"/>
          <w:spacing w:val="-9"/>
          <w:w w:val="105"/>
          <w:sz w:val="16"/>
        </w:rPr>
        <w:t xml:space="preserve"> </w:t>
      </w:r>
      <w:r w:rsidRPr="00EB2BD8">
        <w:rPr>
          <w:rFonts w:ascii="Arial" w:hAnsi="Arial"/>
          <w:w w:val="105"/>
          <w:sz w:val="16"/>
        </w:rPr>
        <w:t>provision,</w:t>
      </w:r>
      <w:r w:rsidRPr="00EB2BD8">
        <w:rPr>
          <w:rFonts w:ascii="Arial" w:hAnsi="Arial"/>
          <w:spacing w:val="-8"/>
          <w:w w:val="105"/>
          <w:sz w:val="16"/>
        </w:rPr>
        <w:t xml:space="preserve"> </w:t>
      </w:r>
      <w:r w:rsidRPr="00EB2BD8">
        <w:rPr>
          <w:rFonts w:ascii="Arial" w:hAnsi="Arial"/>
          <w:w w:val="105"/>
          <w:sz w:val="16"/>
        </w:rPr>
        <w:t>in</w:t>
      </w:r>
      <w:r w:rsidRPr="00EB2BD8">
        <w:rPr>
          <w:rFonts w:ascii="Arial" w:hAnsi="Arial"/>
          <w:spacing w:val="-8"/>
          <w:w w:val="105"/>
          <w:sz w:val="16"/>
        </w:rPr>
        <w:t xml:space="preserve"> </w:t>
      </w:r>
      <w:r w:rsidRPr="00EB2BD8">
        <w:rPr>
          <w:rFonts w:ascii="Arial" w:hAnsi="Arial"/>
          <w:w w:val="105"/>
          <w:sz w:val="16"/>
        </w:rPr>
        <w:t>accordance</w:t>
      </w:r>
      <w:r w:rsidRPr="00EB2BD8">
        <w:rPr>
          <w:rFonts w:ascii="Arial" w:hAnsi="Arial"/>
          <w:spacing w:val="-8"/>
          <w:w w:val="105"/>
          <w:sz w:val="16"/>
        </w:rPr>
        <w:t xml:space="preserve"> </w:t>
      </w:r>
      <w:r w:rsidRPr="00EB2BD8">
        <w:rPr>
          <w:rFonts w:ascii="Arial" w:hAnsi="Arial"/>
          <w:w w:val="105"/>
          <w:sz w:val="16"/>
        </w:rPr>
        <w:t>with</w:t>
      </w:r>
      <w:r w:rsidRPr="00EB2BD8">
        <w:rPr>
          <w:rFonts w:ascii="Arial" w:hAnsi="Arial"/>
          <w:spacing w:val="-8"/>
          <w:w w:val="105"/>
          <w:sz w:val="16"/>
        </w:rPr>
        <w:t xml:space="preserve"> </w:t>
      </w:r>
      <w:r w:rsidRPr="00EB2BD8">
        <w:rPr>
          <w:rFonts w:ascii="Arial" w:hAnsi="Arial"/>
          <w:w w:val="105"/>
          <w:sz w:val="16"/>
        </w:rPr>
        <w:t>AASB</w:t>
      </w:r>
      <w:r w:rsidRPr="00EB2BD8">
        <w:rPr>
          <w:rFonts w:ascii="Arial" w:hAnsi="Arial"/>
          <w:spacing w:val="-9"/>
          <w:w w:val="105"/>
          <w:sz w:val="16"/>
        </w:rPr>
        <w:t xml:space="preserve"> </w:t>
      </w:r>
      <w:r w:rsidRPr="00EB2BD8">
        <w:rPr>
          <w:rFonts w:ascii="Arial" w:hAnsi="Arial"/>
          <w:w w:val="105"/>
          <w:sz w:val="16"/>
        </w:rPr>
        <w:t>137</w:t>
      </w:r>
      <w:r w:rsidRPr="00EB2BD8">
        <w:rPr>
          <w:rFonts w:ascii="Arial" w:hAnsi="Arial"/>
          <w:spacing w:val="-8"/>
          <w:w w:val="105"/>
          <w:sz w:val="16"/>
        </w:rPr>
        <w:t xml:space="preserve"> </w:t>
      </w:r>
      <w:r w:rsidRPr="00EB2BD8">
        <w:rPr>
          <w:rFonts w:ascii="Arial" w:hAnsi="Arial"/>
          <w:w w:val="105"/>
          <w:sz w:val="16"/>
        </w:rPr>
        <w:t>Provisions,</w:t>
      </w:r>
      <w:r w:rsidRPr="00EB2BD8">
        <w:rPr>
          <w:rFonts w:ascii="Arial" w:hAnsi="Arial"/>
          <w:spacing w:val="-8"/>
          <w:w w:val="105"/>
          <w:sz w:val="16"/>
        </w:rPr>
        <w:t xml:space="preserve"> </w:t>
      </w:r>
      <w:r w:rsidRPr="00EB2BD8">
        <w:rPr>
          <w:rFonts w:ascii="Arial" w:hAnsi="Arial"/>
          <w:w w:val="105"/>
          <w:sz w:val="16"/>
        </w:rPr>
        <w:t>Contingent</w:t>
      </w:r>
      <w:r w:rsidRPr="00EB2BD8">
        <w:rPr>
          <w:rFonts w:ascii="Arial" w:hAnsi="Arial"/>
          <w:spacing w:val="-9"/>
          <w:w w:val="105"/>
          <w:sz w:val="16"/>
        </w:rPr>
        <w:t xml:space="preserve"> </w:t>
      </w:r>
      <w:r w:rsidRPr="00EB2BD8">
        <w:rPr>
          <w:rFonts w:ascii="Arial" w:hAnsi="Arial"/>
          <w:w w:val="105"/>
          <w:sz w:val="16"/>
        </w:rPr>
        <w:t>Liabilities</w:t>
      </w:r>
      <w:r w:rsidRPr="00EB2BD8">
        <w:rPr>
          <w:rFonts w:ascii="Arial" w:hAnsi="Arial"/>
          <w:spacing w:val="-8"/>
          <w:w w:val="105"/>
          <w:sz w:val="16"/>
        </w:rPr>
        <w:t xml:space="preserve"> </w:t>
      </w:r>
      <w:r w:rsidRPr="00EB2BD8">
        <w:rPr>
          <w:rFonts w:ascii="Arial" w:hAnsi="Arial"/>
          <w:w w:val="105"/>
          <w:sz w:val="16"/>
        </w:rPr>
        <w:t>and</w:t>
      </w:r>
      <w:r w:rsidRPr="00EB2BD8">
        <w:rPr>
          <w:rFonts w:ascii="Arial" w:hAnsi="Arial"/>
          <w:spacing w:val="-8"/>
          <w:w w:val="105"/>
          <w:sz w:val="16"/>
        </w:rPr>
        <w:t xml:space="preserve"> </w:t>
      </w:r>
      <w:r w:rsidRPr="00EB2BD8">
        <w:rPr>
          <w:rFonts w:ascii="Arial" w:hAnsi="Arial"/>
          <w:w w:val="105"/>
          <w:sz w:val="16"/>
        </w:rPr>
        <w:t>Contingent</w:t>
      </w:r>
      <w:r w:rsidRPr="00EB2BD8">
        <w:rPr>
          <w:rFonts w:ascii="Arial" w:hAnsi="Arial"/>
          <w:spacing w:val="-9"/>
          <w:w w:val="105"/>
          <w:sz w:val="16"/>
        </w:rPr>
        <w:t xml:space="preserve"> </w:t>
      </w:r>
      <w:r w:rsidRPr="00EB2BD8">
        <w:rPr>
          <w:rFonts w:ascii="Arial" w:hAnsi="Arial"/>
          <w:spacing w:val="-2"/>
          <w:w w:val="105"/>
          <w:sz w:val="16"/>
        </w:rPr>
        <w:t>Assets.</w:t>
      </w:r>
    </w:p>
    <w:p w14:paraId="2859AE38" w14:textId="77777777" w:rsidR="00084F36" w:rsidRPr="00EB2BD8" w:rsidRDefault="00084F36">
      <w:pPr>
        <w:pStyle w:val="BodyText"/>
        <w:rPr>
          <w:rFonts w:ascii="Arial"/>
          <w:sz w:val="20"/>
        </w:rPr>
      </w:pPr>
    </w:p>
    <w:p w14:paraId="4C35BF65" w14:textId="2A73807B" w:rsidR="00084F36" w:rsidRPr="00EB2BD8" w:rsidRDefault="00EB2BD8" w:rsidP="004D7D83">
      <w:pPr>
        <w:tabs>
          <w:tab w:val="left" w:pos="1906"/>
        </w:tabs>
        <w:spacing w:before="91"/>
        <w:rPr>
          <w:b/>
          <w:sz w:val="16"/>
        </w:rPr>
      </w:pPr>
      <w:r w:rsidRPr="00EB2BD8">
        <w:rPr>
          <w:sz w:val="16"/>
        </w:rPr>
        <w:tab/>
      </w:r>
    </w:p>
    <w:p w14:paraId="44FC70B0" w14:textId="77777777" w:rsidR="00084F36" w:rsidRPr="00EB2BD8" w:rsidRDefault="00084F36">
      <w:pPr>
        <w:rPr>
          <w:sz w:val="16"/>
        </w:rPr>
        <w:sectPr w:rsidR="00084F36" w:rsidRPr="00EB2BD8" w:rsidSect="006D75B2">
          <w:headerReference w:type="even" r:id="rId272"/>
          <w:footerReference w:type="even" r:id="rId273"/>
          <w:footerReference w:type="default" r:id="rId274"/>
          <w:pgSz w:w="11910" w:h="16840"/>
          <w:pgMar w:top="780" w:right="0" w:bottom="280" w:left="0" w:header="0" w:footer="0" w:gutter="0"/>
          <w:cols w:space="720"/>
        </w:sectPr>
      </w:pPr>
    </w:p>
    <w:p w14:paraId="65F7AF9D" w14:textId="77777777" w:rsidR="00084F36" w:rsidRPr="00EB2BD8" w:rsidRDefault="00084F36">
      <w:pPr>
        <w:pStyle w:val="BodyText"/>
        <w:rPr>
          <w:sz w:val="20"/>
        </w:rPr>
      </w:pPr>
    </w:p>
    <w:p w14:paraId="6A1917B0" w14:textId="77777777" w:rsidR="00084F36" w:rsidRPr="00EB2BD8" w:rsidRDefault="00084F36">
      <w:pPr>
        <w:pStyle w:val="BodyText"/>
        <w:rPr>
          <w:sz w:val="20"/>
        </w:rPr>
      </w:pPr>
    </w:p>
    <w:p w14:paraId="5FAEAC3A" w14:textId="77777777" w:rsidR="00084F36" w:rsidRPr="00EB2BD8" w:rsidRDefault="00084F36">
      <w:pPr>
        <w:pStyle w:val="BodyText"/>
        <w:rPr>
          <w:sz w:val="20"/>
        </w:rPr>
      </w:pPr>
    </w:p>
    <w:p w14:paraId="4B121F7C" w14:textId="77777777" w:rsidR="00084F36" w:rsidRPr="00EB2BD8" w:rsidRDefault="00084F36">
      <w:pPr>
        <w:pStyle w:val="BodyText"/>
        <w:rPr>
          <w:sz w:val="20"/>
        </w:rPr>
      </w:pPr>
    </w:p>
    <w:p w14:paraId="114EBFE7" w14:textId="77777777" w:rsidR="00084F36" w:rsidRPr="00EB2BD8" w:rsidRDefault="00084F36">
      <w:pPr>
        <w:pStyle w:val="BodyText"/>
        <w:rPr>
          <w:sz w:val="20"/>
        </w:rPr>
      </w:pPr>
    </w:p>
    <w:p w14:paraId="1524AAF5" w14:textId="77777777" w:rsidR="00084F36" w:rsidRPr="00EB2BD8" w:rsidRDefault="00084F36">
      <w:pPr>
        <w:pStyle w:val="BodyText"/>
        <w:spacing w:before="7"/>
        <w:rPr>
          <w:sz w:val="20"/>
        </w:rPr>
      </w:pPr>
    </w:p>
    <w:p w14:paraId="3ABF28A9" w14:textId="77777777" w:rsidR="00084F36" w:rsidRPr="00EB2BD8" w:rsidRDefault="00EB2BD8" w:rsidP="00436F78">
      <w:pPr>
        <w:pStyle w:val="Heading2"/>
        <w:ind w:firstLine="156"/>
      </w:pPr>
      <w:bookmarkStart w:id="271" w:name="_Toc150762573"/>
      <w:r w:rsidRPr="00EB2BD8">
        <w:t>Application</w:t>
      </w:r>
      <w:r w:rsidRPr="00EB2BD8">
        <w:rPr>
          <w:spacing w:val="11"/>
        </w:rPr>
        <w:t xml:space="preserve"> </w:t>
      </w:r>
      <w:r w:rsidRPr="00EB2BD8">
        <w:t>of</w:t>
      </w:r>
      <w:r w:rsidRPr="00EB2BD8">
        <w:rPr>
          <w:spacing w:val="12"/>
        </w:rPr>
        <w:t xml:space="preserve"> </w:t>
      </w:r>
      <w:r w:rsidRPr="00EB2BD8">
        <w:t>AASB</w:t>
      </w:r>
      <w:r w:rsidRPr="00EB2BD8">
        <w:rPr>
          <w:spacing w:val="12"/>
        </w:rPr>
        <w:t xml:space="preserve"> </w:t>
      </w:r>
      <w:r w:rsidRPr="00EB2BD8">
        <w:rPr>
          <w:spacing w:val="-4"/>
        </w:rPr>
        <w:t>1058</w:t>
      </w:r>
      <w:bookmarkEnd w:id="271"/>
    </w:p>
    <w:p w14:paraId="5287A2F3" w14:textId="77777777" w:rsidR="00084F36" w:rsidRPr="00EB2BD8" w:rsidRDefault="00EB2BD8">
      <w:pPr>
        <w:spacing w:before="157" w:line="288" w:lineRule="auto"/>
        <w:ind w:left="1006" w:right="1813"/>
        <w:rPr>
          <w:rFonts w:ascii="Arial"/>
          <w:sz w:val="16"/>
        </w:rPr>
      </w:pPr>
      <w:r w:rsidRPr="00EB2BD8">
        <w:rPr>
          <w:rFonts w:ascii="Arial"/>
          <w:w w:val="105"/>
          <w:sz w:val="16"/>
        </w:rPr>
        <w:t>As</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existing</w:t>
      </w:r>
      <w:r w:rsidRPr="00EB2BD8">
        <w:rPr>
          <w:rFonts w:ascii="Arial"/>
          <w:spacing w:val="-2"/>
          <w:w w:val="105"/>
          <w:sz w:val="16"/>
        </w:rPr>
        <w:t xml:space="preserve"> </w:t>
      </w:r>
      <w:r w:rsidRPr="00EB2BD8">
        <w:rPr>
          <w:rFonts w:ascii="Arial"/>
          <w:w w:val="105"/>
          <w:sz w:val="16"/>
        </w:rPr>
        <w:t>VBA</w:t>
      </w:r>
      <w:r w:rsidRPr="00EB2BD8">
        <w:rPr>
          <w:rFonts w:ascii="Arial"/>
          <w:spacing w:val="-3"/>
          <w:w w:val="105"/>
          <w:sz w:val="16"/>
        </w:rPr>
        <w:t xml:space="preserve"> </w:t>
      </w:r>
      <w:r w:rsidRPr="00EB2BD8">
        <w:rPr>
          <w:rFonts w:ascii="Arial"/>
          <w:w w:val="105"/>
          <w:sz w:val="16"/>
        </w:rPr>
        <w:t>grants</w:t>
      </w:r>
      <w:r w:rsidRPr="00EB2BD8">
        <w:rPr>
          <w:rFonts w:ascii="Arial"/>
          <w:spacing w:val="-3"/>
          <w:w w:val="105"/>
          <w:sz w:val="16"/>
        </w:rPr>
        <w:t xml:space="preserve"> </w:t>
      </w:r>
      <w:r w:rsidRPr="00EB2BD8">
        <w:rPr>
          <w:rFonts w:ascii="Arial"/>
          <w:w w:val="105"/>
          <w:sz w:val="16"/>
        </w:rPr>
        <w:t>are</w:t>
      </w:r>
      <w:r w:rsidRPr="00EB2BD8">
        <w:rPr>
          <w:rFonts w:ascii="Arial"/>
          <w:spacing w:val="-2"/>
          <w:w w:val="105"/>
          <w:sz w:val="16"/>
        </w:rPr>
        <w:t xml:space="preserve"> </w:t>
      </w:r>
      <w:r w:rsidRPr="00EB2BD8">
        <w:rPr>
          <w:rFonts w:ascii="Arial"/>
          <w:w w:val="105"/>
          <w:sz w:val="16"/>
        </w:rPr>
        <w:t>non-enforceable</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there</w:t>
      </w:r>
      <w:r w:rsidRPr="00EB2BD8">
        <w:rPr>
          <w:rFonts w:ascii="Arial"/>
          <w:spacing w:val="-3"/>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no</w:t>
      </w:r>
      <w:r w:rsidRPr="00EB2BD8">
        <w:rPr>
          <w:rFonts w:ascii="Arial"/>
          <w:spacing w:val="-3"/>
          <w:w w:val="105"/>
          <w:sz w:val="16"/>
        </w:rPr>
        <w:t xml:space="preserve"> </w:t>
      </w:r>
      <w:r w:rsidRPr="00EB2BD8">
        <w:rPr>
          <w:rFonts w:ascii="Arial"/>
          <w:w w:val="105"/>
          <w:sz w:val="16"/>
        </w:rPr>
        <w:t>performance</w:t>
      </w:r>
      <w:r w:rsidRPr="00EB2BD8">
        <w:rPr>
          <w:rFonts w:ascii="Arial"/>
          <w:spacing w:val="-3"/>
          <w:w w:val="105"/>
          <w:sz w:val="16"/>
        </w:rPr>
        <w:t xml:space="preserve"> </w:t>
      </w:r>
      <w:r w:rsidRPr="00EB2BD8">
        <w:rPr>
          <w:rFonts w:ascii="Arial"/>
          <w:w w:val="105"/>
          <w:sz w:val="16"/>
        </w:rPr>
        <w:t>obligation</w:t>
      </w:r>
      <w:r w:rsidRPr="00EB2BD8">
        <w:rPr>
          <w:rFonts w:ascii="Arial"/>
          <w:spacing w:val="-3"/>
          <w:w w:val="105"/>
          <w:sz w:val="16"/>
        </w:rPr>
        <w:t xml:space="preserve"> </w:t>
      </w:r>
      <w:r w:rsidRPr="00EB2BD8">
        <w:rPr>
          <w:rFonts w:ascii="Arial"/>
          <w:w w:val="105"/>
          <w:sz w:val="16"/>
        </w:rPr>
        <w:t>that</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sufficiently</w:t>
      </w:r>
      <w:r w:rsidRPr="00EB2BD8">
        <w:rPr>
          <w:rFonts w:ascii="Arial"/>
          <w:spacing w:val="-3"/>
          <w:w w:val="105"/>
          <w:sz w:val="16"/>
        </w:rPr>
        <w:t xml:space="preserve"> </w:t>
      </w:r>
      <w:r w:rsidRPr="00EB2BD8">
        <w:rPr>
          <w:rFonts w:ascii="Arial"/>
          <w:w w:val="105"/>
          <w:sz w:val="16"/>
        </w:rPr>
        <w:t>specific, therefore the VBA recognises its grant income under note 2.2 on receipts, in accordance with AASB 1058.</w:t>
      </w:r>
    </w:p>
    <w:p w14:paraId="38833006" w14:textId="77777777" w:rsidR="00084F36" w:rsidRPr="00EB2BD8" w:rsidRDefault="00084F36">
      <w:pPr>
        <w:pStyle w:val="BodyText"/>
        <w:spacing w:before="1"/>
        <w:rPr>
          <w:rFonts w:ascii="Arial"/>
          <w:sz w:val="22"/>
        </w:rPr>
      </w:pPr>
    </w:p>
    <w:p w14:paraId="1BD637AA" w14:textId="3C8E4DE9" w:rsidR="00084F36" w:rsidRPr="00B82021" w:rsidRDefault="00B82021" w:rsidP="00B82021">
      <w:pPr>
        <w:pStyle w:val="Heading2"/>
      </w:pPr>
      <w:r>
        <w:t xml:space="preserve">  </w:t>
      </w:r>
      <w:bookmarkStart w:id="272" w:name="_Toc150762574"/>
      <w:r w:rsidR="004D7D83" w:rsidRPr="00B82021">
        <w:t>2.</w:t>
      </w:r>
      <w:r w:rsidR="004D7D83">
        <w:t>3</w:t>
      </w:r>
      <w:r w:rsidR="004D7D83" w:rsidRPr="00B82021">
        <w:t xml:space="preserve"> </w:t>
      </w:r>
      <w:r w:rsidR="004D7D83">
        <w:t>I</w:t>
      </w:r>
      <w:r w:rsidR="004D7D83" w:rsidRPr="00B82021">
        <w:t>nterest</w:t>
      </w:r>
      <w:r w:rsidR="004D7D83" w:rsidRPr="00B82021">
        <w:rPr>
          <w:spacing w:val="16"/>
        </w:rPr>
        <w:t xml:space="preserve"> </w:t>
      </w:r>
      <w:r w:rsidR="004D7D83" w:rsidRPr="00B82021">
        <w:rPr>
          <w:spacing w:val="-2"/>
        </w:rPr>
        <w:t>income</w:t>
      </w:r>
      <w:bookmarkEnd w:id="272"/>
    </w:p>
    <w:p w14:paraId="0422344D" w14:textId="77777777" w:rsidR="00084F36" w:rsidRPr="00EB2BD8" w:rsidRDefault="00084F36">
      <w:pPr>
        <w:pStyle w:val="BodyText"/>
        <w:spacing w:before="7"/>
        <w:rPr>
          <w:rFonts w:ascii="Arial"/>
          <w:b/>
          <w:sz w:val="20"/>
        </w:rPr>
      </w:pPr>
    </w:p>
    <w:p w14:paraId="2F3D22A6" w14:textId="77777777" w:rsidR="00084F36" w:rsidRPr="00EB2BD8" w:rsidRDefault="00EB2BD8">
      <w:pPr>
        <w:spacing w:after="55"/>
        <w:ind w:right="2005"/>
        <w:jc w:val="right"/>
        <w:rPr>
          <w:rFonts w:ascii="Arial" w:hAnsi="Arial"/>
          <w:sz w:val="16"/>
        </w:rPr>
      </w:pPr>
      <w:r w:rsidRPr="00EB2BD8">
        <w:rPr>
          <w:rFonts w:ascii="Arial" w:hAnsi="Arial"/>
          <w:spacing w:val="-2"/>
          <w:w w:val="105"/>
          <w:sz w:val="16"/>
        </w:rPr>
        <w:t>($’000)</w:t>
      </w:r>
    </w:p>
    <w:tbl>
      <w:tblPr>
        <w:tblW w:w="0" w:type="auto"/>
        <w:tblInd w:w="1015" w:type="dxa"/>
        <w:tblBorders>
          <w:top w:val="single" w:sz="4" w:space="0" w:color="0098FF"/>
          <w:left w:val="single" w:sz="4" w:space="0" w:color="0098FF"/>
          <w:bottom w:val="single" w:sz="4" w:space="0" w:color="0098FF"/>
          <w:right w:val="single" w:sz="4" w:space="0" w:color="0098FF"/>
          <w:insideH w:val="single" w:sz="4" w:space="0" w:color="0098FF"/>
          <w:insideV w:val="single" w:sz="4" w:space="0" w:color="0098FF"/>
        </w:tblBorders>
        <w:tblLayout w:type="fixed"/>
        <w:tblCellMar>
          <w:left w:w="0" w:type="dxa"/>
          <w:right w:w="0" w:type="dxa"/>
        </w:tblCellMar>
        <w:tblLook w:val="01E0" w:firstRow="1" w:lastRow="1" w:firstColumn="1" w:lastColumn="1" w:noHBand="0" w:noVBand="0"/>
      </w:tblPr>
      <w:tblGrid>
        <w:gridCol w:w="6270"/>
        <w:gridCol w:w="1363"/>
        <w:gridCol w:w="1362"/>
      </w:tblGrid>
      <w:tr w:rsidR="00EB2BD8" w:rsidRPr="00EB2BD8" w14:paraId="2F0EBE18" w14:textId="77777777">
        <w:trPr>
          <w:trHeight w:val="306"/>
        </w:trPr>
        <w:tc>
          <w:tcPr>
            <w:tcW w:w="7633" w:type="dxa"/>
            <w:gridSpan w:val="2"/>
            <w:tcBorders>
              <w:right w:val="nil"/>
            </w:tcBorders>
            <w:shd w:val="clear" w:color="auto" w:fill="0070C0"/>
          </w:tcPr>
          <w:p w14:paraId="57670861" w14:textId="77777777" w:rsidR="00084F36" w:rsidRPr="00EB2BD8" w:rsidRDefault="00EB2BD8">
            <w:pPr>
              <w:pStyle w:val="TableParagraph"/>
              <w:spacing w:before="64"/>
              <w:ind w:right="95"/>
              <w:jc w:val="right"/>
              <w:rPr>
                <w:rFonts w:ascii="Arial"/>
                <w:b/>
                <w:sz w:val="16"/>
              </w:rPr>
            </w:pPr>
            <w:r w:rsidRPr="00EB2BD8">
              <w:rPr>
                <w:rFonts w:ascii="Arial"/>
                <w:b/>
                <w:spacing w:val="-4"/>
                <w:w w:val="105"/>
                <w:sz w:val="16"/>
              </w:rPr>
              <w:t>2023</w:t>
            </w:r>
          </w:p>
        </w:tc>
        <w:tc>
          <w:tcPr>
            <w:tcW w:w="1362" w:type="dxa"/>
            <w:tcBorders>
              <w:left w:val="nil"/>
            </w:tcBorders>
            <w:shd w:val="clear" w:color="auto" w:fill="0070C0"/>
          </w:tcPr>
          <w:p w14:paraId="26B9556B" w14:textId="77777777" w:rsidR="00084F36" w:rsidRPr="00EB2BD8" w:rsidRDefault="00EB2BD8">
            <w:pPr>
              <w:pStyle w:val="TableParagraph"/>
              <w:spacing w:before="64"/>
              <w:ind w:right="91"/>
              <w:jc w:val="right"/>
              <w:rPr>
                <w:rFonts w:ascii="Arial"/>
                <w:b/>
                <w:sz w:val="16"/>
              </w:rPr>
            </w:pPr>
            <w:r w:rsidRPr="00EB2BD8">
              <w:rPr>
                <w:rFonts w:ascii="Arial"/>
                <w:b/>
                <w:spacing w:val="-4"/>
                <w:w w:val="105"/>
                <w:sz w:val="16"/>
              </w:rPr>
              <w:t>2022</w:t>
            </w:r>
          </w:p>
        </w:tc>
      </w:tr>
      <w:tr w:rsidR="00EB2BD8" w:rsidRPr="00EB2BD8" w14:paraId="6CC137AE" w14:textId="77777777">
        <w:trPr>
          <w:trHeight w:val="307"/>
        </w:trPr>
        <w:tc>
          <w:tcPr>
            <w:tcW w:w="6270" w:type="dxa"/>
            <w:tcBorders>
              <w:left w:val="nil"/>
              <w:bottom w:val="single" w:sz="12" w:space="0" w:color="000000"/>
              <w:right w:val="nil"/>
            </w:tcBorders>
            <w:shd w:val="clear" w:color="auto" w:fill="FFFFFF"/>
          </w:tcPr>
          <w:p w14:paraId="639F587D" w14:textId="77777777" w:rsidR="00084F36" w:rsidRPr="00EB2BD8" w:rsidRDefault="00EB2BD8">
            <w:pPr>
              <w:pStyle w:val="TableParagraph"/>
              <w:spacing w:before="64"/>
              <w:ind w:left="105"/>
              <w:rPr>
                <w:rFonts w:ascii="Arial"/>
                <w:sz w:val="16"/>
              </w:rPr>
            </w:pPr>
            <w:r w:rsidRPr="00EB2BD8">
              <w:rPr>
                <w:rFonts w:ascii="Arial"/>
                <w:w w:val="105"/>
                <w:sz w:val="16"/>
              </w:rPr>
              <w:t>Interest</w:t>
            </w:r>
            <w:r w:rsidRPr="00EB2BD8">
              <w:rPr>
                <w:rFonts w:ascii="Arial"/>
                <w:spacing w:val="-7"/>
                <w:w w:val="105"/>
                <w:sz w:val="16"/>
              </w:rPr>
              <w:t xml:space="preserve"> </w:t>
            </w:r>
            <w:r w:rsidRPr="00EB2BD8">
              <w:rPr>
                <w:rFonts w:ascii="Arial"/>
                <w:w w:val="105"/>
                <w:sz w:val="16"/>
              </w:rPr>
              <w:t>on</w:t>
            </w:r>
            <w:r w:rsidRPr="00EB2BD8">
              <w:rPr>
                <w:rFonts w:ascii="Arial"/>
                <w:spacing w:val="-6"/>
                <w:w w:val="105"/>
                <w:sz w:val="16"/>
              </w:rPr>
              <w:t xml:space="preserve"> </w:t>
            </w:r>
            <w:r w:rsidRPr="00EB2BD8">
              <w:rPr>
                <w:rFonts w:ascii="Arial"/>
                <w:w w:val="105"/>
                <w:sz w:val="16"/>
              </w:rPr>
              <w:t>bank</w:t>
            </w:r>
            <w:r w:rsidRPr="00EB2BD8">
              <w:rPr>
                <w:rFonts w:ascii="Arial"/>
                <w:spacing w:val="-6"/>
                <w:w w:val="105"/>
                <w:sz w:val="16"/>
              </w:rPr>
              <w:t xml:space="preserve"> </w:t>
            </w:r>
            <w:r w:rsidRPr="00EB2BD8">
              <w:rPr>
                <w:rFonts w:ascii="Arial"/>
                <w:w w:val="105"/>
                <w:sz w:val="16"/>
              </w:rPr>
              <w:t>deposits</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spacing w:val="-2"/>
                <w:w w:val="105"/>
                <w:sz w:val="16"/>
              </w:rPr>
              <w:t>investments</w:t>
            </w:r>
          </w:p>
        </w:tc>
        <w:tc>
          <w:tcPr>
            <w:tcW w:w="1363" w:type="dxa"/>
            <w:tcBorders>
              <w:left w:val="nil"/>
              <w:bottom w:val="single" w:sz="12" w:space="0" w:color="000000"/>
              <w:right w:val="nil"/>
            </w:tcBorders>
            <w:shd w:val="clear" w:color="auto" w:fill="DEEAF6"/>
          </w:tcPr>
          <w:p w14:paraId="73128EF8" w14:textId="77777777" w:rsidR="00084F36" w:rsidRPr="00EB2BD8" w:rsidRDefault="00EB2BD8">
            <w:pPr>
              <w:pStyle w:val="TableParagraph"/>
              <w:spacing w:before="64"/>
              <w:ind w:right="95"/>
              <w:jc w:val="right"/>
              <w:rPr>
                <w:rFonts w:ascii="Arial"/>
                <w:sz w:val="16"/>
              </w:rPr>
            </w:pPr>
            <w:r w:rsidRPr="00EB2BD8">
              <w:rPr>
                <w:rFonts w:ascii="Arial"/>
                <w:spacing w:val="-4"/>
                <w:w w:val="105"/>
                <w:sz w:val="16"/>
              </w:rPr>
              <w:t>1,602</w:t>
            </w:r>
          </w:p>
        </w:tc>
        <w:tc>
          <w:tcPr>
            <w:tcW w:w="1362" w:type="dxa"/>
            <w:tcBorders>
              <w:left w:val="nil"/>
              <w:bottom w:val="single" w:sz="12" w:space="0" w:color="000000"/>
              <w:right w:val="nil"/>
            </w:tcBorders>
            <w:shd w:val="clear" w:color="auto" w:fill="FFFFFF"/>
          </w:tcPr>
          <w:p w14:paraId="2A03BEF3" w14:textId="77777777" w:rsidR="00084F36" w:rsidRPr="00EB2BD8" w:rsidRDefault="00EB2BD8">
            <w:pPr>
              <w:pStyle w:val="TableParagraph"/>
              <w:spacing w:before="64"/>
              <w:ind w:right="95"/>
              <w:jc w:val="right"/>
              <w:rPr>
                <w:rFonts w:ascii="Arial"/>
                <w:sz w:val="16"/>
              </w:rPr>
            </w:pPr>
            <w:r w:rsidRPr="00EB2BD8">
              <w:rPr>
                <w:rFonts w:ascii="Arial"/>
                <w:spacing w:val="-5"/>
                <w:w w:val="105"/>
                <w:sz w:val="16"/>
              </w:rPr>
              <w:t>120</w:t>
            </w:r>
          </w:p>
        </w:tc>
      </w:tr>
      <w:tr w:rsidR="00EB2BD8" w:rsidRPr="00EB2BD8" w14:paraId="7324EE6A" w14:textId="77777777">
        <w:trPr>
          <w:trHeight w:val="286"/>
        </w:trPr>
        <w:tc>
          <w:tcPr>
            <w:tcW w:w="6270" w:type="dxa"/>
            <w:tcBorders>
              <w:top w:val="single" w:sz="12" w:space="0" w:color="000000"/>
              <w:left w:val="nil"/>
              <w:bottom w:val="single" w:sz="12" w:space="0" w:color="000000"/>
              <w:right w:val="nil"/>
            </w:tcBorders>
            <w:shd w:val="clear" w:color="auto" w:fill="FFFFFF"/>
          </w:tcPr>
          <w:p w14:paraId="4B821262" w14:textId="77777777" w:rsidR="00084F36" w:rsidRPr="00EB2BD8" w:rsidRDefault="00EB2BD8">
            <w:pPr>
              <w:pStyle w:val="TableParagraph"/>
              <w:spacing w:before="53"/>
              <w:ind w:left="105"/>
              <w:rPr>
                <w:rFonts w:ascii="Arial"/>
                <w:b/>
                <w:sz w:val="16"/>
              </w:rPr>
            </w:pPr>
            <w:r w:rsidRPr="00EB2BD8">
              <w:rPr>
                <w:rFonts w:ascii="Arial"/>
                <w:b/>
                <w:w w:val="105"/>
                <w:sz w:val="16"/>
              </w:rPr>
              <w:t>Total</w:t>
            </w:r>
            <w:r w:rsidRPr="00EB2BD8">
              <w:rPr>
                <w:rFonts w:ascii="Arial"/>
                <w:b/>
                <w:spacing w:val="-9"/>
                <w:w w:val="105"/>
                <w:sz w:val="16"/>
              </w:rPr>
              <w:t xml:space="preserve"> </w:t>
            </w:r>
            <w:r w:rsidRPr="00EB2BD8">
              <w:rPr>
                <w:rFonts w:ascii="Arial"/>
                <w:b/>
                <w:w w:val="105"/>
                <w:sz w:val="16"/>
              </w:rPr>
              <w:t>interest</w:t>
            </w:r>
            <w:r w:rsidRPr="00EB2BD8">
              <w:rPr>
                <w:rFonts w:ascii="Arial"/>
                <w:b/>
                <w:spacing w:val="-8"/>
                <w:w w:val="105"/>
                <w:sz w:val="16"/>
              </w:rPr>
              <w:t xml:space="preserve"> </w:t>
            </w:r>
            <w:r w:rsidRPr="00EB2BD8">
              <w:rPr>
                <w:rFonts w:ascii="Arial"/>
                <w:b/>
                <w:spacing w:val="-2"/>
                <w:w w:val="105"/>
                <w:sz w:val="16"/>
              </w:rPr>
              <w:t>income</w:t>
            </w:r>
          </w:p>
        </w:tc>
        <w:tc>
          <w:tcPr>
            <w:tcW w:w="1363" w:type="dxa"/>
            <w:tcBorders>
              <w:top w:val="single" w:sz="12" w:space="0" w:color="000000"/>
              <w:left w:val="nil"/>
              <w:bottom w:val="single" w:sz="12" w:space="0" w:color="000000"/>
              <w:right w:val="nil"/>
            </w:tcBorders>
            <w:shd w:val="clear" w:color="auto" w:fill="DEEAF6"/>
          </w:tcPr>
          <w:p w14:paraId="58082353" w14:textId="77777777" w:rsidR="00084F36" w:rsidRPr="00EB2BD8" w:rsidRDefault="00EB2BD8">
            <w:pPr>
              <w:pStyle w:val="TableParagraph"/>
              <w:spacing w:before="53"/>
              <w:ind w:right="95"/>
              <w:jc w:val="right"/>
              <w:rPr>
                <w:rFonts w:ascii="Arial"/>
                <w:b/>
                <w:sz w:val="16"/>
              </w:rPr>
            </w:pPr>
            <w:r w:rsidRPr="00EB2BD8">
              <w:rPr>
                <w:rFonts w:ascii="Arial"/>
                <w:b/>
                <w:spacing w:val="-4"/>
                <w:w w:val="105"/>
                <w:sz w:val="16"/>
              </w:rPr>
              <w:t>1,602</w:t>
            </w:r>
          </w:p>
        </w:tc>
        <w:tc>
          <w:tcPr>
            <w:tcW w:w="1362" w:type="dxa"/>
            <w:tcBorders>
              <w:top w:val="single" w:sz="12" w:space="0" w:color="000000"/>
              <w:left w:val="nil"/>
              <w:bottom w:val="single" w:sz="12" w:space="0" w:color="000000"/>
              <w:right w:val="nil"/>
            </w:tcBorders>
            <w:shd w:val="clear" w:color="auto" w:fill="FFFFFF"/>
          </w:tcPr>
          <w:p w14:paraId="4B400C4E" w14:textId="77777777" w:rsidR="00084F36" w:rsidRPr="00EB2BD8" w:rsidRDefault="00EB2BD8">
            <w:pPr>
              <w:pStyle w:val="TableParagraph"/>
              <w:spacing w:before="53"/>
              <w:ind w:right="97"/>
              <w:jc w:val="right"/>
              <w:rPr>
                <w:rFonts w:ascii="Arial"/>
                <w:b/>
                <w:sz w:val="16"/>
              </w:rPr>
            </w:pPr>
            <w:r w:rsidRPr="00EB2BD8">
              <w:rPr>
                <w:rFonts w:ascii="Arial"/>
                <w:b/>
                <w:spacing w:val="-5"/>
                <w:w w:val="105"/>
                <w:sz w:val="16"/>
              </w:rPr>
              <w:t>120</w:t>
            </w:r>
          </w:p>
        </w:tc>
      </w:tr>
    </w:tbl>
    <w:p w14:paraId="6ADB4FCB" w14:textId="77777777" w:rsidR="00084F36" w:rsidRPr="00EB2BD8" w:rsidRDefault="00084F36">
      <w:pPr>
        <w:pStyle w:val="BodyText"/>
        <w:rPr>
          <w:rFonts w:ascii="Arial"/>
        </w:rPr>
      </w:pPr>
    </w:p>
    <w:p w14:paraId="7A90FF2D" w14:textId="77777777" w:rsidR="00084F36" w:rsidRPr="00EB2BD8" w:rsidRDefault="00084F36">
      <w:pPr>
        <w:pStyle w:val="BodyText"/>
        <w:spacing w:before="7"/>
        <w:rPr>
          <w:rFonts w:ascii="Arial"/>
          <w:sz w:val="14"/>
        </w:rPr>
      </w:pPr>
    </w:p>
    <w:p w14:paraId="279A58DC" w14:textId="77777777" w:rsidR="00084F36" w:rsidRPr="00EB2BD8" w:rsidRDefault="00EB2BD8">
      <w:pPr>
        <w:spacing w:line="290" w:lineRule="auto"/>
        <w:ind w:left="1006" w:right="1813"/>
        <w:rPr>
          <w:rFonts w:ascii="Arial"/>
          <w:sz w:val="16"/>
        </w:rPr>
      </w:pPr>
      <w:r w:rsidRPr="00EB2BD8">
        <w:rPr>
          <w:rFonts w:ascii="Arial"/>
          <w:w w:val="105"/>
          <w:sz w:val="16"/>
        </w:rPr>
        <w:t>Interest</w:t>
      </w:r>
      <w:r w:rsidRPr="00EB2BD8">
        <w:rPr>
          <w:rFonts w:ascii="Arial"/>
          <w:spacing w:val="-3"/>
          <w:w w:val="105"/>
          <w:sz w:val="16"/>
        </w:rPr>
        <w:t xml:space="preserve"> </w:t>
      </w:r>
      <w:r w:rsidRPr="00EB2BD8">
        <w:rPr>
          <w:rFonts w:ascii="Arial"/>
          <w:w w:val="105"/>
          <w:sz w:val="16"/>
        </w:rPr>
        <w:t>income</w:t>
      </w:r>
      <w:r w:rsidRPr="00EB2BD8">
        <w:rPr>
          <w:rFonts w:ascii="Arial"/>
          <w:spacing w:val="-3"/>
          <w:w w:val="105"/>
          <w:sz w:val="16"/>
        </w:rPr>
        <w:t xml:space="preserve"> </w:t>
      </w:r>
      <w:r w:rsidRPr="00EB2BD8">
        <w:rPr>
          <w:rFonts w:ascii="Arial"/>
          <w:w w:val="105"/>
          <w:sz w:val="16"/>
        </w:rPr>
        <w:t>includes</w:t>
      </w:r>
      <w:r w:rsidRPr="00EB2BD8">
        <w:rPr>
          <w:rFonts w:ascii="Arial"/>
          <w:spacing w:val="-3"/>
          <w:w w:val="105"/>
          <w:sz w:val="16"/>
        </w:rPr>
        <w:t xml:space="preserve"> </w:t>
      </w:r>
      <w:r w:rsidRPr="00EB2BD8">
        <w:rPr>
          <w:rFonts w:ascii="Arial"/>
          <w:w w:val="105"/>
          <w:sz w:val="16"/>
        </w:rPr>
        <w:t>interest</w:t>
      </w:r>
      <w:r w:rsidRPr="00EB2BD8">
        <w:rPr>
          <w:rFonts w:ascii="Arial"/>
          <w:spacing w:val="-3"/>
          <w:w w:val="105"/>
          <w:sz w:val="16"/>
        </w:rPr>
        <w:t xml:space="preserve"> </w:t>
      </w:r>
      <w:r w:rsidRPr="00EB2BD8">
        <w:rPr>
          <w:rFonts w:ascii="Arial"/>
          <w:w w:val="105"/>
          <w:sz w:val="16"/>
        </w:rPr>
        <w:t>received</w:t>
      </w:r>
      <w:r w:rsidRPr="00EB2BD8">
        <w:rPr>
          <w:rFonts w:ascii="Arial"/>
          <w:spacing w:val="-3"/>
          <w:w w:val="105"/>
          <w:sz w:val="16"/>
        </w:rPr>
        <w:t xml:space="preserve"> </w:t>
      </w:r>
      <w:r w:rsidRPr="00EB2BD8">
        <w:rPr>
          <w:rFonts w:ascii="Arial"/>
          <w:w w:val="105"/>
          <w:sz w:val="16"/>
        </w:rPr>
        <w:t>on</w:t>
      </w:r>
      <w:r w:rsidRPr="00EB2BD8">
        <w:rPr>
          <w:rFonts w:ascii="Arial"/>
          <w:spacing w:val="-2"/>
          <w:w w:val="105"/>
          <w:sz w:val="16"/>
        </w:rPr>
        <w:t xml:space="preserve"> </w:t>
      </w:r>
      <w:r w:rsidRPr="00EB2BD8">
        <w:rPr>
          <w:rFonts w:ascii="Arial"/>
          <w:w w:val="105"/>
          <w:sz w:val="16"/>
        </w:rPr>
        <w:t>bank</w:t>
      </w:r>
      <w:r w:rsidRPr="00EB2BD8">
        <w:rPr>
          <w:rFonts w:ascii="Arial"/>
          <w:spacing w:val="-3"/>
          <w:w w:val="105"/>
          <w:sz w:val="16"/>
        </w:rPr>
        <w:t xml:space="preserve"> </w:t>
      </w:r>
      <w:r w:rsidRPr="00EB2BD8">
        <w:rPr>
          <w:rFonts w:ascii="Arial"/>
          <w:w w:val="105"/>
          <w:sz w:val="16"/>
        </w:rPr>
        <w:t>deposits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Central</w:t>
      </w:r>
      <w:r w:rsidRPr="00EB2BD8">
        <w:rPr>
          <w:rFonts w:ascii="Arial"/>
          <w:spacing w:val="-3"/>
          <w:w w:val="105"/>
          <w:sz w:val="16"/>
        </w:rPr>
        <w:t xml:space="preserve"> </w:t>
      </w:r>
      <w:r w:rsidRPr="00EB2BD8">
        <w:rPr>
          <w:rFonts w:ascii="Arial"/>
          <w:w w:val="105"/>
          <w:sz w:val="16"/>
        </w:rPr>
        <w:t>Banking</w:t>
      </w:r>
      <w:r w:rsidRPr="00EB2BD8">
        <w:rPr>
          <w:rFonts w:ascii="Arial"/>
          <w:spacing w:val="-3"/>
          <w:w w:val="105"/>
          <w:sz w:val="16"/>
        </w:rPr>
        <w:t xml:space="preserve"> </w:t>
      </w:r>
      <w:r w:rsidRPr="00EB2BD8">
        <w:rPr>
          <w:rFonts w:ascii="Arial"/>
          <w:w w:val="105"/>
          <w:sz w:val="16"/>
        </w:rPr>
        <w:t>System</w:t>
      </w:r>
      <w:r w:rsidRPr="00EB2BD8">
        <w:rPr>
          <w:rFonts w:ascii="Arial"/>
          <w:spacing w:val="-3"/>
          <w:w w:val="105"/>
          <w:sz w:val="16"/>
        </w:rPr>
        <w:t xml:space="preserve"> </w:t>
      </w:r>
      <w:r w:rsidRPr="00EB2BD8">
        <w:rPr>
          <w:rFonts w:ascii="Arial"/>
          <w:w w:val="105"/>
          <w:sz w:val="16"/>
        </w:rPr>
        <w:t>deposits.</w:t>
      </w:r>
      <w:r w:rsidRPr="00EB2BD8">
        <w:rPr>
          <w:rFonts w:ascii="Arial"/>
          <w:spacing w:val="-3"/>
          <w:w w:val="105"/>
          <w:sz w:val="16"/>
        </w:rPr>
        <w:t xml:space="preserve"> </w:t>
      </w:r>
      <w:r w:rsidRPr="00EB2BD8">
        <w:rPr>
          <w:rFonts w:ascii="Arial"/>
          <w:w w:val="105"/>
          <w:sz w:val="16"/>
        </w:rPr>
        <w:t>Interest</w:t>
      </w:r>
      <w:r w:rsidRPr="00EB2BD8">
        <w:rPr>
          <w:rFonts w:ascii="Arial"/>
          <w:spacing w:val="-3"/>
          <w:w w:val="105"/>
          <w:sz w:val="16"/>
        </w:rPr>
        <w:t xml:space="preserve"> </w:t>
      </w:r>
      <w:r w:rsidRPr="00EB2BD8">
        <w:rPr>
          <w:rFonts w:ascii="Arial"/>
          <w:w w:val="105"/>
          <w:sz w:val="16"/>
        </w:rPr>
        <w:t>income</w:t>
      </w:r>
      <w:r w:rsidRPr="00EB2BD8">
        <w:rPr>
          <w:rFonts w:ascii="Arial"/>
          <w:spacing w:val="-3"/>
          <w:w w:val="105"/>
          <w:sz w:val="16"/>
        </w:rPr>
        <w:t xml:space="preserve"> </w:t>
      </w:r>
      <w:r w:rsidRPr="00EB2BD8">
        <w:rPr>
          <w:rFonts w:ascii="Arial"/>
          <w:w w:val="105"/>
          <w:sz w:val="16"/>
        </w:rPr>
        <w:t>is recognised using the effective interest method, which allocates the interest over the relevant period.</w:t>
      </w:r>
    </w:p>
    <w:p w14:paraId="674FBEF8" w14:textId="77777777" w:rsidR="00084F36" w:rsidRPr="00EB2BD8" w:rsidRDefault="00084F36">
      <w:pPr>
        <w:pStyle w:val="BodyText"/>
        <w:rPr>
          <w:rFonts w:ascii="Arial"/>
          <w:sz w:val="20"/>
        </w:rPr>
      </w:pPr>
    </w:p>
    <w:p w14:paraId="795E2222" w14:textId="77777777" w:rsidR="00084F36" w:rsidRPr="00EB2BD8" w:rsidRDefault="00084F36">
      <w:pPr>
        <w:pStyle w:val="BodyText"/>
        <w:rPr>
          <w:rFonts w:ascii="Arial"/>
          <w:sz w:val="20"/>
        </w:rPr>
      </w:pPr>
    </w:p>
    <w:p w14:paraId="2B505DBA" w14:textId="77777777" w:rsidR="00084F36" w:rsidRPr="00EB2BD8" w:rsidRDefault="00084F36">
      <w:pPr>
        <w:pStyle w:val="BodyText"/>
        <w:rPr>
          <w:rFonts w:ascii="Arial"/>
          <w:sz w:val="20"/>
        </w:rPr>
      </w:pPr>
    </w:p>
    <w:p w14:paraId="45286749" w14:textId="77777777" w:rsidR="00084F36" w:rsidRPr="00EB2BD8" w:rsidRDefault="00084F36">
      <w:pPr>
        <w:pStyle w:val="BodyText"/>
        <w:rPr>
          <w:rFonts w:ascii="Arial"/>
          <w:sz w:val="20"/>
        </w:rPr>
      </w:pPr>
    </w:p>
    <w:p w14:paraId="3A0F36A2" w14:textId="77777777" w:rsidR="00084F36" w:rsidRPr="00EB2BD8" w:rsidRDefault="00084F36">
      <w:pPr>
        <w:pStyle w:val="BodyText"/>
        <w:rPr>
          <w:rFonts w:ascii="Arial"/>
          <w:sz w:val="20"/>
        </w:rPr>
      </w:pPr>
    </w:p>
    <w:p w14:paraId="74AFB9E4" w14:textId="77777777" w:rsidR="00084F36" w:rsidRPr="00EB2BD8" w:rsidRDefault="00084F36">
      <w:pPr>
        <w:pStyle w:val="BodyText"/>
        <w:rPr>
          <w:rFonts w:ascii="Arial"/>
          <w:sz w:val="20"/>
        </w:rPr>
      </w:pPr>
    </w:p>
    <w:p w14:paraId="147B6641" w14:textId="77777777" w:rsidR="00084F36" w:rsidRPr="00EB2BD8" w:rsidRDefault="00084F36">
      <w:pPr>
        <w:pStyle w:val="BodyText"/>
        <w:rPr>
          <w:rFonts w:ascii="Arial"/>
          <w:sz w:val="20"/>
        </w:rPr>
      </w:pPr>
    </w:p>
    <w:p w14:paraId="5D0E79FE" w14:textId="77777777" w:rsidR="00084F36" w:rsidRPr="00EB2BD8" w:rsidRDefault="00084F36">
      <w:pPr>
        <w:pStyle w:val="BodyText"/>
        <w:rPr>
          <w:rFonts w:ascii="Arial"/>
          <w:sz w:val="20"/>
        </w:rPr>
      </w:pPr>
    </w:p>
    <w:p w14:paraId="0F6AEFD3" w14:textId="77777777" w:rsidR="00084F36" w:rsidRPr="00EB2BD8" w:rsidRDefault="00084F36">
      <w:pPr>
        <w:pStyle w:val="BodyText"/>
        <w:rPr>
          <w:rFonts w:ascii="Arial"/>
          <w:sz w:val="20"/>
        </w:rPr>
      </w:pPr>
    </w:p>
    <w:p w14:paraId="147F305F" w14:textId="77777777" w:rsidR="00084F36" w:rsidRPr="00EB2BD8" w:rsidRDefault="00084F36">
      <w:pPr>
        <w:pStyle w:val="BodyText"/>
        <w:rPr>
          <w:rFonts w:ascii="Arial"/>
          <w:sz w:val="20"/>
        </w:rPr>
      </w:pPr>
    </w:p>
    <w:p w14:paraId="6E6F6142" w14:textId="77777777" w:rsidR="00084F36" w:rsidRPr="00EB2BD8" w:rsidRDefault="00084F36">
      <w:pPr>
        <w:pStyle w:val="BodyText"/>
        <w:rPr>
          <w:rFonts w:ascii="Arial"/>
          <w:sz w:val="20"/>
        </w:rPr>
      </w:pPr>
    </w:p>
    <w:p w14:paraId="41F31C62" w14:textId="77777777" w:rsidR="00084F36" w:rsidRPr="00EB2BD8" w:rsidRDefault="00084F36">
      <w:pPr>
        <w:pStyle w:val="BodyText"/>
        <w:rPr>
          <w:rFonts w:ascii="Arial"/>
          <w:sz w:val="20"/>
        </w:rPr>
      </w:pPr>
    </w:p>
    <w:p w14:paraId="2694BBBD" w14:textId="77777777" w:rsidR="00084F36" w:rsidRPr="00EB2BD8" w:rsidRDefault="00084F36">
      <w:pPr>
        <w:pStyle w:val="BodyText"/>
        <w:rPr>
          <w:rFonts w:ascii="Arial"/>
          <w:sz w:val="20"/>
        </w:rPr>
      </w:pPr>
    </w:p>
    <w:p w14:paraId="32F2F6DC" w14:textId="77777777" w:rsidR="00084F36" w:rsidRPr="00EB2BD8" w:rsidRDefault="00084F36">
      <w:pPr>
        <w:pStyle w:val="BodyText"/>
        <w:rPr>
          <w:rFonts w:ascii="Arial"/>
          <w:sz w:val="20"/>
        </w:rPr>
      </w:pPr>
    </w:p>
    <w:p w14:paraId="2DF52E6A" w14:textId="77777777" w:rsidR="00084F36" w:rsidRPr="00EB2BD8" w:rsidRDefault="00084F36">
      <w:pPr>
        <w:pStyle w:val="BodyText"/>
        <w:rPr>
          <w:rFonts w:ascii="Arial"/>
          <w:sz w:val="20"/>
        </w:rPr>
      </w:pPr>
    </w:p>
    <w:p w14:paraId="32025FD7" w14:textId="77777777" w:rsidR="00084F36" w:rsidRPr="00EB2BD8" w:rsidRDefault="00084F36">
      <w:pPr>
        <w:pStyle w:val="BodyText"/>
        <w:rPr>
          <w:rFonts w:ascii="Arial"/>
          <w:sz w:val="20"/>
        </w:rPr>
      </w:pPr>
    </w:p>
    <w:p w14:paraId="202391F3" w14:textId="77777777" w:rsidR="00084F36" w:rsidRPr="00EB2BD8" w:rsidRDefault="00084F36">
      <w:pPr>
        <w:pStyle w:val="BodyText"/>
        <w:rPr>
          <w:rFonts w:ascii="Arial"/>
          <w:sz w:val="20"/>
        </w:rPr>
      </w:pPr>
    </w:p>
    <w:p w14:paraId="0FA2DEC3" w14:textId="77777777" w:rsidR="00084F36" w:rsidRPr="00EB2BD8" w:rsidRDefault="00084F36">
      <w:pPr>
        <w:pStyle w:val="BodyText"/>
        <w:rPr>
          <w:rFonts w:ascii="Arial"/>
          <w:sz w:val="20"/>
        </w:rPr>
      </w:pPr>
    </w:p>
    <w:p w14:paraId="76489D41" w14:textId="77777777" w:rsidR="00084F36" w:rsidRPr="00EB2BD8" w:rsidRDefault="00084F36">
      <w:pPr>
        <w:pStyle w:val="BodyText"/>
        <w:rPr>
          <w:rFonts w:ascii="Arial"/>
          <w:sz w:val="20"/>
        </w:rPr>
      </w:pPr>
    </w:p>
    <w:p w14:paraId="5AC5AC37" w14:textId="77777777" w:rsidR="00084F36" w:rsidRPr="00EB2BD8" w:rsidRDefault="00084F36">
      <w:pPr>
        <w:pStyle w:val="BodyText"/>
        <w:rPr>
          <w:rFonts w:ascii="Arial"/>
          <w:sz w:val="20"/>
        </w:rPr>
      </w:pPr>
    </w:p>
    <w:p w14:paraId="6C6C9F82" w14:textId="77777777" w:rsidR="00084F36" w:rsidRPr="00EB2BD8" w:rsidRDefault="00084F36">
      <w:pPr>
        <w:pStyle w:val="BodyText"/>
        <w:rPr>
          <w:rFonts w:ascii="Arial"/>
          <w:sz w:val="20"/>
        </w:rPr>
      </w:pPr>
    </w:p>
    <w:p w14:paraId="1E301CCA" w14:textId="77777777" w:rsidR="00084F36" w:rsidRPr="00EB2BD8" w:rsidRDefault="00084F36">
      <w:pPr>
        <w:pStyle w:val="BodyText"/>
        <w:rPr>
          <w:rFonts w:ascii="Arial"/>
          <w:sz w:val="20"/>
        </w:rPr>
      </w:pPr>
    </w:p>
    <w:p w14:paraId="36CD2DDA" w14:textId="77777777" w:rsidR="00084F36" w:rsidRPr="00EB2BD8" w:rsidRDefault="00084F36">
      <w:pPr>
        <w:pStyle w:val="BodyText"/>
        <w:rPr>
          <w:rFonts w:ascii="Arial"/>
          <w:sz w:val="20"/>
        </w:rPr>
      </w:pPr>
    </w:p>
    <w:p w14:paraId="7864CE12" w14:textId="77777777" w:rsidR="00084F36" w:rsidRPr="00EB2BD8" w:rsidRDefault="00084F36">
      <w:pPr>
        <w:pStyle w:val="BodyText"/>
        <w:rPr>
          <w:rFonts w:ascii="Arial"/>
          <w:sz w:val="20"/>
        </w:rPr>
      </w:pPr>
    </w:p>
    <w:p w14:paraId="4E428C7D" w14:textId="77777777" w:rsidR="00084F36" w:rsidRPr="00EB2BD8" w:rsidRDefault="00084F36">
      <w:pPr>
        <w:pStyle w:val="BodyText"/>
        <w:rPr>
          <w:rFonts w:ascii="Arial"/>
          <w:sz w:val="20"/>
        </w:rPr>
      </w:pPr>
    </w:p>
    <w:p w14:paraId="6A146C4D" w14:textId="77777777" w:rsidR="00084F36" w:rsidRPr="00EB2BD8" w:rsidRDefault="00084F36">
      <w:pPr>
        <w:pStyle w:val="BodyText"/>
        <w:rPr>
          <w:rFonts w:ascii="Arial"/>
          <w:sz w:val="20"/>
        </w:rPr>
      </w:pPr>
    </w:p>
    <w:p w14:paraId="2C8BBE75" w14:textId="77777777" w:rsidR="00084F36" w:rsidRPr="00EB2BD8" w:rsidRDefault="00084F36">
      <w:pPr>
        <w:pStyle w:val="BodyText"/>
        <w:rPr>
          <w:rFonts w:ascii="Arial"/>
          <w:sz w:val="20"/>
        </w:rPr>
      </w:pPr>
    </w:p>
    <w:p w14:paraId="08166B58" w14:textId="77777777" w:rsidR="00084F36" w:rsidRPr="00EB2BD8" w:rsidRDefault="00084F36">
      <w:pPr>
        <w:pStyle w:val="BodyText"/>
        <w:rPr>
          <w:rFonts w:ascii="Arial"/>
          <w:sz w:val="20"/>
        </w:rPr>
      </w:pPr>
    </w:p>
    <w:p w14:paraId="5F20C477" w14:textId="77777777" w:rsidR="00084F36" w:rsidRPr="00EB2BD8" w:rsidRDefault="00084F36">
      <w:pPr>
        <w:pStyle w:val="BodyText"/>
        <w:rPr>
          <w:rFonts w:ascii="Arial"/>
          <w:sz w:val="20"/>
        </w:rPr>
      </w:pPr>
    </w:p>
    <w:p w14:paraId="071DFD99" w14:textId="77777777" w:rsidR="00084F36" w:rsidRPr="00EB2BD8" w:rsidRDefault="00084F36">
      <w:pPr>
        <w:pStyle w:val="BodyText"/>
        <w:rPr>
          <w:rFonts w:ascii="Arial"/>
          <w:sz w:val="20"/>
        </w:rPr>
      </w:pPr>
    </w:p>
    <w:p w14:paraId="24968D6E" w14:textId="77777777" w:rsidR="00084F36" w:rsidRPr="00EB2BD8" w:rsidRDefault="00084F36">
      <w:pPr>
        <w:pStyle w:val="BodyText"/>
        <w:rPr>
          <w:rFonts w:ascii="Arial"/>
          <w:sz w:val="20"/>
        </w:rPr>
      </w:pPr>
    </w:p>
    <w:p w14:paraId="3EBC8D4D" w14:textId="77777777" w:rsidR="00084F36" w:rsidRPr="00EB2BD8" w:rsidRDefault="00084F36">
      <w:pPr>
        <w:pStyle w:val="BodyText"/>
        <w:rPr>
          <w:rFonts w:ascii="Arial"/>
          <w:sz w:val="20"/>
        </w:rPr>
      </w:pPr>
    </w:p>
    <w:p w14:paraId="6285A2BB" w14:textId="77777777" w:rsidR="00084F36" w:rsidRPr="00EB2BD8" w:rsidRDefault="00084F36">
      <w:pPr>
        <w:pStyle w:val="BodyText"/>
        <w:rPr>
          <w:rFonts w:ascii="Arial"/>
          <w:sz w:val="20"/>
        </w:rPr>
      </w:pPr>
    </w:p>
    <w:p w14:paraId="3BC0BF05" w14:textId="77777777" w:rsidR="00084F36" w:rsidRPr="00EB2BD8" w:rsidRDefault="00084F36">
      <w:pPr>
        <w:pStyle w:val="BodyText"/>
        <w:rPr>
          <w:rFonts w:ascii="Arial"/>
          <w:sz w:val="20"/>
        </w:rPr>
      </w:pPr>
    </w:p>
    <w:p w14:paraId="6C6CE98C" w14:textId="77777777" w:rsidR="00084F36" w:rsidRPr="00EB2BD8" w:rsidRDefault="00084F36">
      <w:pPr>
        <w:pStyle w:val="BodyText"/>
        <w:rPr>
          <w:rFonts w:ascii="Arial"/>
          <w:sz w:val="20"/>
        </w:rPr>
      </w:pPr>
    </w:p>
    <w:p w14:paraId="29488BAF" w14:textId="77777777" w:rsidR="00084F36" w:rsidRPr="00EB2BD8" w:rsidRDefault="00084F36">
      <w:pPr>
        <w:pStyle w:val="BodyText"/>
        <w:rPr>
          <w:rFonts w:ascii="Arial"/>
          <w:sz w:val="20"/>
        </w:rPr>
      </w:pPr>
    </w:p>
    <w:p w14:paraId="5F237ABC" w14:textId="77777777" w:rsidR="00084F36" w:rsidRPr="00EB2BD8" w:rsidRDefault="00084F36">
      <w:pPr>
        <w:pStyle w:val="BodyText"/>
        <w:rPr>
          <w:rFonts w:ascii="Arial"/>
          <w:sz w:val="20"/>
        </w:rPr>
      </w:pPr>
    </w:p>
    <w:p w14:paraId="6F28670B" w14:textId="77777777" w:rsidR="00084F36" w:rsidRPr="00EB2BD8" w:rsidRDefault="00084F36">
      <w:pPr>
        <w:pStyle w:val="BodyText"/>
        <w:rPr>
          <w:rFonts w:ascii="Arial"/>
          <w:sz w:val="20"/>
        </w:rPr>
      </w:pPr>
    </w:p>
    <w:p w14:paraId="7C060EA6" w14:textId="77777777" w:rsidR="00084F36" w:rsidRPr="00EB2BD8" w:rsidRDefault="00084F36">
      <w:pPr>
        <w:pStyle w:val="BodyText"/>
        <w:rPr>
          <w:rFonts w:ascii="Arial"/>
          <w:sz w:val="20"/>
        </w:rPr>
      </w:pPr>
    </w:p>
    <w:p w14:paraId="0F6CE7AD" w14:textId="77777777" w:rsidR="00084F36" w:rsidRPr="00EB2BD8" w:rsidRDefault="00084F36">
      <w:pPr>
        <w:pStyle w:val="BodyText"/>
        <w:rPr>
          <w:rFonts w:ascii="Arial"/>
          <w:sz w:val="20"/>
        </w:rPr>
      </w:pPr>
    </w:p>
    <w:p w14:paraId="60008494" w14:textId="77777777" w:rsidR="00084F36" w:rsidRPr="00EB2BD8" w:rsidRDefault="00084F36">
      <w:pPr>
        <w:pStyle w:val="BodyText"/>
        <w:rPr>
          <w:rFonts w:ascii="Arial"/>
          <w:sz w:val="20"/>
        </w:rPr>
      </w:pPr>
    </w:p>
    <w:p w14:paraId="0EEB0C78" w14:textId="77777777" w:rsidR="00084F36" w:rsidRPr="00EB2BD8" w:rsidRDefault="00084F36">
      <w:pPr>
        <w:pStyle w:val="BodyText"/>
        <w:rPr>
          <w:rFonts w:ascii="Arial"/>
          <w:sz w:val="20"/>
        </w:rPr>
      </w:pPr>
    </w:p>
    <w:p w14:paraId="6A49FDE1" w14:textId="77777777" w:rsidR="00084F36" w:rsidRPr="00EB2BD8" w:rsidRDefault="00084F36">
      <w:pPr>
        <w:pStyle w:val="BodyText"/>
        <w:spacing w:before="6"/>
        <w:rPr>
          <w:rFonts w:ascii="Arial"/>
          <w:sz w:val="21"/>
        </w:rPr>
      </w:pPr>
    </w:p>
    <w:p w14:paraId="4028BB40" w14:textId="77777777" w:rsidR="00084F36" w:rsidRPr="00EB2BD8" w:rsidRDefault="00084F36">
      <w:pPr>
        <w:jc w:val="right"/>
        <w:rPr>
          <w:sz w:val="16"/>
        </w:rPr>
        <w:sectPr w:rsidR="00084F36" w:rsidRPr="00EB2BD8" w:rsidSect="006D75B2">
          <w:headerReference w:type="default" r:id="rId275"/>
          <w:footerReference w:type="default" r:id="rId276"/>
          <w:pgSz w:w="11910" w:h="16840"/>
          <w:pgMar w:top="760" w:right="0" w:bottom="280" w:left="0" w:header="0" w:footer="0" w:gutter="0"/>
          <w:cols w:space="720"/>
        </w:sectPr>
      </w:pPr>
    </w:p>
    <w:p w14:paraId="3DE78573" w14:textId="7DEC787B" w:rsidR="00084F36" w:rsidRPr="00EB2BD8" w:rsidRDefault="00084F36">
      <w:pPr>
        <w:pStyle w:val="BodyText"/>
        <w:rPr>
          <w:sz w:val="20"/>
        </w:rPr>
      </w:pPr>
    </w:p>
    <w:p w14:paraId="75F76D35" w14:textId="77777777" w:rsidR="00084F36" w:rsidRPr="00EB2BD8" w:rsidRDefault="00084F36">
      <w:pPr>
        <w:pStyle w:val="BodyText"/>
        <w:rPr>
          <w:sz w:val="20"/>
        </w:rPr>
      </w:pPr>
    </w:p>
    <w:p w14:paraId="302581B1" w14:textId="77777777" w:rsidR="00084F36" w:rsidRPr="00EB2BD8" w:rsidRDefault="00084F36">
      <w:pPr>
        <w:pStyle w:val="BodyText"/>
        <w:rPr>
          <w:sz w:val="20"/>
        </w:rPr>
      </w:pPr>
    </w:p>
    <w:p w14:paraId="29ED2B75" w14:textId="6B3B3FF5" w:rsidR="00084F36" w:rsidRPr="00EB2BD8" w:rsidRDefault="00084F36">
      <w:pPr>
        <w:pStyle w:val="BodyText"/>
        <w:rPr>
          <w:sz w:val="20"/>
        </w:rPr>
      </w:pPr>
    </w:p>
    <w:p w14:paraId="0AA8FE46" w14:textId="77777777" w:rsidR="00084F36" w:rsidRPr="00EB2BD8" w:rsidRDefault="00084F36">
      <w:pPr>
        <w:pStyle w:val="BodyText"/>
        <w:rPr>
          <w:sz w:val="20"/>
        </w:rPr>
      </w:pPr>
    </w:p>
    <w:p w14:paraId="102F83F2" w14:textId="7EE789ED" w:rsidR="00084F36" w:rsidRPr="00EB2BD8" w:rsidRDefault="00084F36">
      <w:pPr>
        <w:pStyle w:val="BodyText"/>
        <w:spacing w:before="2"/>
        <w:rPr>
          <w:sz w:val="21"/>
        </w:rPr>
      </w:pPr>
    </w:p>
    <w:p w14:paraId="09E59D74" w14:textId="0C13A2FE" w:rsidR="00084F36" w:rsidRPr="00EB2BD8" w:rsidRDefault="00EB2BD8" w:rsidP="004D7D83">
      <w:pPr>
        <w:pStyle w:val="Heading2"/>
        <w:ind w:firstLine="236"/>
      </w:pPr>
      <w:bookmarkStart w:id="273" w:name="_Toc150762575"/>
      <w:r w:rsidRPr="00EB2BD8">
        <w:t>Note</w:t>
      </w:r>
      <w:r w:rsidRPr="00EB2BD8">
        <w:rPr>
          <w:spacing w:val="-7"/>
        </w:rPr>
        <w:t xml:space="preserve"> </w:t>
      </w:r>
      <w:r w:rsidRPr="00EB2BD8">
        <w:t>3.</w:t>
      </w:r>
      <w:r w:rsidRPr="00EB2BD8">
        <w:rPr>
          <w:spacing w:val="-7"/>
        </w:rPr>
        <w:t xml:space="preserve"> </w:t>
      </w:r>
      <w:r w:rsidRPr="00EB2BD8">
        <w:t>The</w:t>
      </w:r>
      <w:r w:rsidRPr="00EB2BD8">
        <w:rPr>
          <w:spacing w:val="-7"/>
        </w:rPr>
        <w:t xml:space="preserve"> </w:t>
      </w:r>
      <w:r w:rsidRPr="00EB2BD8">
        <w:t>cost</w:t>
      </w:r>
      <w:r w:rsidRPr="00EB2BD8">
        <w:rPr>
          <w:spacing w:val="-7"/>
        </w:rPr>
        <w:t xml:space="preserve"> </w:t>
      </w:r>
      <w:r w:rsidRPr="00EB2BD8">
        <w:t>of</w:t>
      </w:r>
      <w:r w:rsidRPr="00EB2BD8">
        <w:rPr>
          <w:spacing w:val="-6"/>
        </w:rPr>
        <w:t xml:space="preserve"> </w:t>
      </w:r>
      <w:r w:rsidRPr="00EB2BD8">
        <w:t>delivering</w:t>
      </w:r>
      <w:r w:rsidRPr="00EB2BD8">
        <w:rPr>
          <w:spacing w:val="-8"/>
        </w:rPr>
        <w:t xml:space="preserve"> </w:t>
      </w:r>
      <w:r w:rsidRPr="00EB2BD8">
        <w:rPr>
          <w:spacing w:val="-2"/>
        </w:rPr>
        <w:t>services</w:t>
      </w:r>
      <w:bookmarkEnd w:id="273"/>
    </w:p>
    <w:p w14:paraId="48D62A01" w14:textId="4BA9175F" w:rsidR="00084F36" w:rsidRPr="00EB2BD8" w:rsidRDefault="00EB2BD8">
      <w:pPr>
        <w:spacing w:before="250" w:line="288" w:lineRule="auto"/>
        <w:ind w:left="1086" w:right="1672"/>
        <w:rPr>
          <w:rFonts w:ascii="Arial"/>
          <w:sz w:val="16"/>
        </w:rPr>
      </w:pPr>
      <w:r w:rsidRPr="00EB2BD8">
        <w:rPr>
          <w:rFonts w:ascii="Arial"/>
          <w:w w:val="105"/>
          <w:sz w:val="16"/>
        </w:rPr>
        <w:t>This section provides an account of the expenses incurred by the VBA in delivering services. In Note 2, the funds that enable</w:t>
      </w:r>
      <w:r w:rsidRPr="00EB2BD8">
        <w:rPr>
          <w:rFonts w:ascii="Arial"/>
          <w:spacing w:val="-9"/>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provision</w:t>
      </w:r>
      <w:r w:rsidRPr="00EB2BD8">
        <w:rPr>
          <w:rFonts w:ascii="Arial"/>
          <w:spacing w:val="-9"/>
          <w:w w:val="105"/>
          <w:sz w:val="16"/>
        </w:rPr>
        <w:t xml:space="preserve"> </w:t>
      </w:r>
      <w:r w:rsidRPr="00EB2BD8">
        <w:rPr>
          <w:rFonts w:ascii="Arial"/>
          <w:w w:val="105"/>
          <w:sz w:val="16"/>
        </w:rPr>
        <w:t>of</w:t>
      </w:r>
      <w:r w:rsidRPr="00EB2BD8">
        <w:rPr>
          <w:rFonts w:ascii="Arial"/>
          <w:spacing w:val="-9"/>
          <w:w w:val="105"/>
          <w:sz w:val="16"/>
        </w:rPr>
        <w:t xml:space="preserve"> </w:t>
      </w:r>
      <w:r w:rsidRPr="00EB2BD8">
        <w:rPr>
          <w:rFonts w:ascii="Arial"/>
          <w:w w:val="105"/>
          <w:sz w:val="16"/>
        </w:rPr>
        <w:t>services</w:t>
      </w:r>
      <w:r w:rsidRPr="00EB2BD8">
        <w:rPr>
          <w:rFonts w:ascii="Arial"/>
          <w:spacing w:val="-8"/>
          <w:w w:val="105"/>
          <w:sz w:val="16"/>
        </w:rPr>
        <w:t xml:space="preserve"> </w:t>
      </w:r>
      <w:r w:rsidRPr="00EB2BD8">
        <w:rPr>
          <w:rFonts w:ascii="Arial"/>
          <w:w w:val="105"/>
          <w:sz w:val="16"/>
        </w:rPr>
        <w:t>were</w:t>
      </w:r>
      <w:r w:rsidRPr="00EB2BD8">
        <w:rPr>
          <w:rFonts w:ascii="Arial"/>
          <w:spacing w:val="-6"/>
          <w:w w:val="105"/>
          <w:sz w:val="16"/>
        </w:rPr>
        <w:t xml:space="preserve"> </w:t>
      </w:r>
      <w:r w:rsidRPr="00EB2BD8">
        <w:rPr>
          <w:rFonts w:ascii="Arial"/>
          <w:w w:val="105"/>
          <w:sz w:val="16"/>
        </w:rPr>
        <w:t>disclosed</w:t>
      </w:r>
      <w:r w:rsidRPr="00EB2BD8">
        <w:rPr>
          <w:rFonts w:ascii="Arial"/>
          <w:spacing w:val="-6"/>
          <w:w w:val="105"/>
          <w:sz w:val="16"/>
        </w:rPr>
        <w:t xml:space="preserve"> </w:t>
      </w:r>
      <w:r w:rsidRPr="00EB2BD8">
        <w:rPr>
          <w:rFonts w:ascii="Arial"/>
          <w:w w:val="105"/>
          <w:sz w:val="16"/>
        </w:rPr>
        <w:t>and</w:t>
      </w:r>
      <w:r w:rsidRPr="00EB2BD8">
        <w:rPr>
          <w:rFonts w:ascii="Arial"/>
          <w:spacing w:val="-10"/>
          <w:w w:val="105"/>
          <w:sz w:val="16"/>
        </w:rPr>
        <w:t xml:space="preserve"> </w:t>
      </w:r>
      <w:r w:rsidRPr="00EB2BD8">
        <w:rPr>
          <w:rFonts w:ascii="Arial"/>
          <w:w w:val="105"/>
          <w:sz w:val="16"/>
        </w:rPr>
        <w:t>in</w:t>
      </w:r>
      <w:r w:rsidRPr="00EB2BD8">
        <w:rPr>
          <w:rFonts w:ascii="Arial"/>
          <w:spacing w:val="-7"/>
          <w:w w:val="105"/>
          <w:sz w:val="16"/>
        </w:rPr>
        <w:t xml:space="preserve"> </w:t>
      </w:r>
      <w:r w:rsidRPr="00EB2BD8">
        <w:rPr>
          <w:rFonts w:ascii="Arial"/>
          <w:w w:val="105"/>
          <w:sz w:val="16"/>
        </w:rPr>
        <w:t>this</w:t>
      </w:r>
      <w:r w:rsidRPr="00EB2BD8">
        <w:rPr>
          <w:rFonts w:ascii="Arial"/>
          <w:spacing w:val="-9"/>
          <w:w w:val="105"/>
          <w:sz w:val="16"/>
        </w:rPr>
        <w:t xml:space="preserve"> </w:t>
      </w:r>
      <w:r w:rsidRPr="00EB2BD8">
        <w:rPr>
          <w:rFonts w:ascii="Arial"/>
          <w:w w:val="105"/>
          <w:sz w:val="16"/>
        </w:rPr>
        <w:t>note</w:t>
      </w:r>
      <w:r w:rsidRPr="00EB2BD8">
        <w:rPr>
          <w:rFonts w:ascii="Arial"/>
          <w:spacing w:val="-9"/>
          <w:w w:val="105"/>
          <w:sz w:val="16"/>
        </w:rPr>
        <w:t xml:space="preserve"> </w:t>
      </w:r>
      <w:r w:rsidRPr="00EB2BD8">
        <w:rPr>
          <w:rFonts w:ascii="Arial"/>
          <w:w w:val="105"/>
          <w:sz w:val="16"/>
        </w:rPr>
        <w:t>the</w:t>
      </w:r>
      <w:r w:rsidRPr="00EB2BD8">
        <w:rPr>
          <w:rFonts w:ascii="Arial"/>
          <w:spacing w:val="-9"/>
          <w:w w:val="105"/>
          <w:sz w:val="16"/>
        </w:rPr>
        <w:t xml:space="preserve"> </w:t>
      </w:r>
      <w:r w:rsidRPr="00EB2BD8">
        <w:rPr>
          <w:rFonts w:ascii="Arial"/>
          <w:w w:val="105"/>
          <w:sz w:val="16"/>
        </w:rPr>
        <w:t>costs</w:t>
      </w:r>
      <w:r w:rsidRPr="00EB2BD8">
        <w:rPr>
          <w:rFonts w:ascii="Arial"/>
          <w:spacing w:val="-6"/>
          <w:w w:val="105"/>
          <w:sz w:val="16"/>
        </w:rPr>
        <w:t xml:space="preserve"> </w:t>
      </w:r>
      <w:r w:rsidRPr="00EB2BD8">
        <w:rPr>
          <w:rFonts w:ascii="Arial"/>
          <w:w w:val="105"/>
          <w:sz w:val="16"/>
        </w:rPr>
        <w:t>associated</w:t>
      </w:r>
      <w:r w:rsidRPr="00EB2BD8">
        <w:rPr>
          <w:rFonts w:ascii="Arial"/>
          <w:spacing w:val="-10"/>
          <w:w w:val="105"/>
          <w:sz w:val="16"/>
        </w:rPr>
        <w:t xml:space="preserve"> </w:t>
      </w:r>
      <w:r w:rsidRPr="00EB2BD8">
        <w:rPr>
          <w:rFonts w:ascii="Arial"/>
          <w:w w:val="105"/>
          <w:sz w:val="16"/>
        </w:rPr>
        <w:t>with</w:t>
      </w:r>
      <w:r w:rsidRPr="00EB2BD8">
        <w:rPr>
          <w:rFonts w:ascii="Arial"/>
          <w:spacing w:val="-9"/>
          <w:w w:val="105"/>
          <w:sz w:val="16"/>
        </w:rPr>
        <w:t xml:space="preserve"> </w:t>
      </w:r>
      <w:r w:rsidRPr="00EB2BD8">
        <w:rPr>
          <w:rFonts w:ascii="Arial"/>
          <w:w w:val="105"/>
          <w:sz w:val="16"/>
        </w:rPr>
        <w:t>provision</w:t>
      </w:r>
      <w:r w:rsidRPr="00EB2BD8">
        <w:rPr>
          <w:rFonts w:ascii="Arial"/>
          <w:spacing w:val="-7"/>
          <w:w w:val="105"/>
          <w:sz w:val="16"/>
        </w:rPr>
        <w:t xml:space="preserve"> </w:t>
      </w:r>
      <w:r w:rsidRPr="00EB2BD8">
        <w:rPr>
          <w:rFonts w:ascii="Arial"/>
          <w:w w:val="105"/>
          <w:sz w:val="16"/>
        </w:rPr>
        <w:t>of</w:t>
      </w:r>
      <w:r w:rsidRPr="00EB2BD8">
        <w:rPr>
          <w:rFonts w:ascii="Arial"/>
          <w:spacing w:val="-5"/>
          <w:w w:val="105"/>
          <w:sz w:val="16"/>
        </w:rPr>
        <w:t xml:space="preserve"> </w:t>
      </w:r>
      <w:r w:rsidRPr="00EB2BD8">
        <w:rPr>
          <w:rFonts w:ascii="Arial"/>
          <w:w w:val="105"/>
          <w:sz w:val="16"/>
        </w:rPr>
        <w:t>services</w:t>
      </w:r>
      <w:r w:rsidRPr="00EB2BD8">
        <w:rPr>
          <w:rFonts w:ascii="Arial"/>
          <w:spacing w:val="-5"/>
          <w:w w:val="105"/>
          <w:sz w:val="16"/>
        </w:rPr>
        <w:t xml:space="preserve"> </w:t>
      </w:r>
      <w:r w:rsidRPr="00EB2BD8">
        <w:rPr>
          <w:rFonts w:ascii="Arial"/>
          <w:w w:val="105"/>
          <w:sz w:val="16"/>
        </w:rPr>
        <w:t>are</w:t>
      </w:r>
      <w:r w:rsidRPr="00EB2BD8">
        <w:rPr>
          <w:rFonts w:ascii="Arial"/>
          <w:spacing w:val="-6"/>
          <w:w w:val="105"/>
          <w:sz w:val="16"/>
        </w:rPr>
        <w:t xml:space="preserve"> </w:t>
      </w:r>
      <w:r w:rsidRPr="00EB2BD8">
        <w:rPr>
          <w:rFonts w:ascii="Arial"/>
          <w:w w:val="105"/>
          <w:sz w:val="16"/>
        </w:rPr>
        <w:t>recorded.</w:t>
      </w:r>
    </w:p>
    <w:p w14:paraId="5B165169" w14:textId="42EDF13C" w:rsidR="00084F36" w:rsidRPr="00EB2BD8" w:rsidRDefault="00084F36">
      <w:pPr>
        <w:pStyle w:val="BodyText"/>
        <w:rPr>
          <w:rFonts w:ascii="Arial"/>
        </w:rPr>
      </w:pPr>
    </w:p>
    <w:p w14:paraId="023E1C50" w14:textId="77777777" w:rsidR="00084F36" w:rsidRPr="00EB2BD8" w:rsidRDefault="00EB2BD8" w:rsidP="004D7D83">
      <w:pPr>
        <w:pStyle w:val="Heading2"/>
        <w:ind w:firstLine="236"/>
      </w:pPr>
      <w:bookmarkStart w:id="274" w:name="_Toc150762576"/>
      <w:r w:rsidRPr="00EB2BD8">
        <w:t>Structure</w:t>
      </w:r>
      <w:bookmarkEnd w:id="274"/>
    </w:p>
    <w:p w14:paraId="23D0E382" w14:textId="2791FF3B" w:rsidR="00084F36" w:rsidRPr="00EB2BD8" w:rsidRDefault="00EB2BD8">
      <w:pPr>
        <w:pStyle w:val="ListParagraph"/>
        <w:numPr>
          <w:ilvl w:val="1"/>
          <w:numId w:val="46"/>
        </w:numPr>
        <w:tabs>
          <w:tab w:val="left" w:pos="1613"/>
        </w:tabs>
        <w:spacing w:before="154"/>
        <w:rPr>
          <w:rFonts w:ascii="Arial"/>
          <w:sz w:val="16"/>
        </w:rPr>
      </w:pPr>
      <w:r w:rsidRPr="00EB2BD8">
        <w:rPr>
          <w:rFonts w:ascii="Arial"/>
          <w:spacing w:val="-2"/>
          <w:w w:val="105"/>
          <w:sz w:val="16"/>
        </w:rPr>
        <w:t>Employee</w:t>
      </w:r>
      <w:r w:rsidRPr="00EB2BD8">
        <w:rPr>
          <w:rFonts w:ascii="Arial"/>
          <w:spacing w:val="3"/>
          <w:w w:val="105"/>
          <w:sz w:val="16"/>
        </w:rPr>
        <w:t xml:space="preserve"> </w:t>
      </w:r>
      <w:r w:rsidRPr="00EB2BD8">
        <w:rPr>
          <w:rFonts w:ascii="Arial"/>
          <w:spacing w:val="-2"/>
          <w:w w:val="105"/>
          <w:sz w:val="16"/>
        </w:rPr>
        <w:t>costs</w:t>
      </w:r>
    </w:p>
    <w:p w14:paraId="1FB4BFC8" w14:textId="7F59C535" w:rsidR="00084F36" w:rsidRPr="00EB2BD8" w:rsidRDefault="00EB2BD8">
      <w:pPr>
        <w:pStyle w:val="ListParagraph"/>
        <w:numPr>
          <w:ilvl w:val="1"/>
          <w:numId w:val="46"/>
        </w:numPr>
        <w:tabs>
          <w:tab w:val="left" w:pos="1613"/>
        </w:tabs>
        <w:spacing w:before="37"/>
        <w:ind w:hanging="526"/>
        <w:rPr>
          <w:rFonts w:ascii="Arial"/>
          <w:sz w:val="16"/>
        </w:rPr>
      </w:pPr>
      <w:r w:rsidRPr="00EB2BD8">
        <w:rPr>
          <w:rFonts w:ascii="Arial"/>
          <w:w w:val="105"/>
          <w:sz w:val="16"/>
        </w:rPr>
        <w:t>Other</w:t>
      </w:r>
      <w:r w:rsidRPr="00EB2BD8">
        <w:rPr>
          <w:rFonts w:ascii="Arial"/>
          <w:spacing w:val="-9"/>
          <w:w w:val="105"/>
          <w:sz w:val="16"/>
        </w:rPr>
        <w:t xml:space="preserve"> </w:t>
      </w:r>
      <w:r w:rsidRPr="00EB2BD8">
        <w:rPr>
          <w:rFonts w:ascii="Arial"/>
          <w:w w:val="105"/>
          <w:sz w:val="16"/>
        </w:rPr>
        <w:t>operating</w:t>
      </w:r>
      <w:r w:rsidRPr="00EB2BD8">
        <w:rPr>
          <w:rFonts w:ascii="Arial"/>
          <w:spacing w:val="-10"/>
          <w:w w:val="105"/>
          <w:sz w:val="16"/>
        </w:rPr>
        <w:t xml:space="preserve"> </w:t>
      </w:r>
      <w:r w:rsidRPr="00EB2BD8">
        <w:rPr>
          <w:rFonts w:ascii="Arial"/>
          <w:spacing w:val="-2"/>
          <w:w w:val="105"/>
          <w:sz w:val="16"/>
        </w:rPr>
        <w:t>expenses</w:t>
      </w:r>
    </w:p>
    <w:p w14:paraId="742E260F" w14:textId="17D215D4" w:rsidR="00084F36" w:rsidRPr="00EB2BD8" w:rsidRDefault="00EB2BD8">
      <w:pPr>
        <w:pStyle w:val="ListParagraph"/>
        <w:numPr>
          <w:ilvl w:val="1"/>
          <w:numId w:val="46"/>
        </w:numPr>
        <w:tabs>
          <w:tab w:val="left" w:pos="1606"/>
        </w:tabs>
        <w:spacing w:before="36"/>
        <w:ind w:left="1606" w:hanging="519"/>
        <w:rPr>
          <w:rFonts w:ascii="Arial"/>
          <w:sz w:val="16"/>
        </w:rPr>
      </w:pPr>
      <w:r w:rsidRPr="00EB2BD8">
        <w:rPr>
          <w:rFonts w:ascii="Arial"/>
          <w:w w:val="105"/>
          <w:sz w:val="16"/>
        </w:rPr>
        <w:t>Grant</w:t>
      </w:r>
      <w:r w:rsidRPr="00EB2BD8">
        <w:rPr>
          <w:rFonts w:ascii="Arial"/>
          <w:spacing w:val="-7"/>
          <w:w w:val="105"/>
          <w:sz w:val="16"/>
        </w:rPr>
        <w:t xml:space="preserve"> </w:t>
      </w:r>
      <w:r w:rsidRPr="00EB2BD8">
        <w:rPr>
          <w:rFonts w:ascii="Arial"/>
          <w:spacing w:val="-2"/>
          <w:w w:val="105"/>
          <w:sz w:val="16"/>
        </w:rPr>
        <w:t>Payments</w:t>
      </w:r>
    </w:p>
    <w:p w14:paraId="2976F574" w14:textId="04FC1E2C" w:rsidR="00084F36" w:rsidRPr="00EB2BD8" w:rsidRDefault="00084F36">
      <w:pPr>
        <w:pStyle w:val="BodyText"/>
        <w:rPr>
          <w:rFonts w:ascii="Arial"/>
        </w:rPr>
      </w:pPr>
    </w:p>
    <w:p w14:paraId="53B31B1C" w14:textId="5BBA3283" w:rsidR="00084F36" w:rsidRPr="00EB2BD8" w:rsidRDefault="00084F36">
      <w:pPr>
        <w:pStyle w:val="BodyText"/>
        <w:spacing w:before="5"/>
        <w:rPr>
          <w:rFonts w:ascii="Arial"/>
          <w:sz w:val="22"/>
        </w:rPr>
      </w:pPr>
    </w:p>
    <w:p w14:paraId="1923F550" w14:textId="3E39C5DD" w:rsidR="00084F36" w:rsidRPr="00EB2BD8" w:rsidRDefault="00B82021" w:rsidP="00B82021">
      <w:pPr>
        <w:pStyle w:val="Heading2"/>
      </w:pPr>
      <w:r>
        <w:t xml:space="preserve">   </w:t>
      </w:r>
      <w:bookmarkStart w:id="275" w:name="_Toc150762577"/>
      <w:r w:rsidR="004D7D83">
        <w:t>3.1 E</w:t>
      </w:r>
      <w:r w:rsidR="004D7D83" w:rsidRPr="00EB2BD8">
        <w:t>mployee</w:t>
      </w:r>
      <w:r w:rsidR="004D7D83" w:rsidRPr="00EB2BD8">
        <w:rPr>
          <w:spacing w:val="13"/>
        </w:rPr>
        <w:t xml:space="preserve"> </w:t>
      </w:r>
      <w:r w:rsidR="004D7D83" w:rsidRPr="00EB2BD8">
        <w:rPr>
          <w:spacing w:val="-4"/>
        </w:rPr>
        <w:t>costs</w:t>
      </w:r>
      <w:bookmarkEnd w:id="275"/>
    </w:p>
    <w:p w14:paraId="1386C65F" w14:textId="77777777" w:rsidR="00084F36" w:rsidRPr="00EB2BD8" w:rsidRDefault="00084F36">
      <w:pPr>
        <w:pStyle w:val="BodyText"/>
        <w:spacing w:before="5"/>
        <w:rPr>
          <w:rFonts w:ascii="Arial"/>
          <w:b/>
          <w:sz w:val="19"/>
        </w:rPr>
      </w:pPr>
    </w:p>
    <w:p w14:paraId="3474E8DA" w14:textId="4D5621E3" w:rsidR="00084F36" w:rsidRPr="00EB2BD8" w:rsidRDefault="00EB2BD8">
      <w:pPr>
        <w:pStyle w:val="BodyText"/>
        <w:spacing w:after="43"/>
        <w:ind w:right="1708"/>
        <w:jc w:val="right"/>
        <w:rPr>
          <w:rFonts w:ascii="Arial" w:hAnsi="Arial"/>
        </w:rPr>
      </w:pPr>
      <w:r w:rsidRPr="00EB2BD8">
        <w:rPr>
          <w:rFonts w:ascii="Arial" w:hAnsi="Arial"/>
          <w:spacing w:val="-2"/>
          <w:w w:val="105"/>
        </w:rPr>
        <w:t>($’000)</w:t>
      </w:r>
    </w:p>
    <w:tbl>
      <w:tblPr>
        <w:tblW w:w="0" w:type="auto"/>
        <w:tblInd w:w="1094" w:type="dxa"/>
        <w:tblLayout w:type="fixed"/>
        <w:tblCellMar>
          <w:left w:w="0" w:type="dxa"/>
          <w:right w:w="0" w:type="dxa"/>
        </w:tblCellMar>
        <w:tblLook w:val="01E0" w:firstRow="1" w:lastRow="1" w:firstColumn="1" w:lastColumn="1" w:noHBand="0" w:noVBand="0"/>
      </w:tblPr>
      <w:tblGrid>
        <w:gridCol w:w="5345"/>
        <w:gridCol w:w="1344"/>
        <w:gridCol w:w="1201"/>
        <w:gridCol w:w="1316"/>
      </w:tblGrid>
      <w:tr w:rsidR="00EB2BD8" w:rsidRPr="00EB2BD8" w14:paraId="304851C1" w14:textId="77777777">
        <w:trPr>
          <w:trHeight w:val="305"/>
        </w:trPr>
        <w:tc>
          <w:tcPr>
            <w:tcW w:w="6689" w:type="dxa"/>
            <w:gridSpan w:val="2"/>
            <w:tcBorders>
              <w:top w:val="single" w:sz="4" w:space="0" w:color="0098FF"/>
              <w:left w:val="single" w:sz="4" w:space="0" w:color="0098FF"/>
              <w:bottom w:val="single" w:sz="4" w:space="0" w:color="0098FF"/>
            </w:tcBorders>
            <w:shd w:val="clear" w:color="auto" w:fill="0070C0"/>
          </w:tcPr>
          <w:p w14:paraId="0415D1D5" w14:textId="77777777" w:rsidR="00084F36" w:rsidRPr="00EB2BD8" w:rsidRDefault="00EB2BD8">
            <w:pPr>
              <w:pStyle w:val="TableParagraph"/>
              <w:spacing w:before="63"/>
              <w:ind w:right="94"/>
              <w:jc w:val="right"/>
              <w:rPr>
                <w:rFonts w:ascii="Arial"/>
                <w:b/>
                <w:sz w:val="16"/>
              </w:rPr>
            </w:pPr>
            <w:r w:rsidRPr="00EB2BD8">
              <w:rPr>
                <w:rFonts w:ascii="Arial"/>
                <w:b/>
                <w:spacing w:val="-2"/>
                <w:w w:val="105"/>
                <w:sz w:val="16"/>
              </w:rPr>
              <w:t>Notes</w:t>
            </w:r>
          </w:p>
        </w:tc>
        <w:tc>
          <w:tcPr>
            <w:tcW w:w="1201" w:type="dxa"/>
            <w:tcBorders>
              <w:top w:val="single" w:sz="4" w:space="0" w:color="0098FF"/>
              <w:bottom w:val="single" w:sz="4" w:space="0" w:color="0098FF"/>
            </w:tcBorders>
            <w:shd w:val="clear" w:color="auto" w:fill="0070C0"/>
          </w:tcPr>
          <w:p w14:paraId="541F9BAA" w14:textId="77777777" w:rsidR="00084F36" w:rsidRPr="00EB2BD8" w:rsidRDefault="00EB2BD8">
            <w:pPr>
              <w:pStyle w:val="TableParagraph"/>
              <w:spacing w:before="63"/>
              <w:ind w:right="93"/>
              <w:jc w:val="right"/>
              <w:rPr>
                <w:rFonts w:ascii="Arial"/>
                <w:b/>
                <w:sz w:val="16"/>
              </w:rPr>
            </w:pPr>
            <w:r w:rsidRPr="00EB2BD8">
              <w:rPr>
                <w:rFonts w:ascii="Arial"/>
                <w:b/>
                <w:spacing w:val="-4"/>
                <w:w w:val="105"/>
                <w:sz w:val="16"/>
              </w:rPr>
              <w:t>2023</w:t>
            </w:r>
          </w:p>
        </w:tc>
        <w:tc>
          <w:tcPr>
            <w:tcW w:w="1316" w:type="dxa"/>
            <w:tcBorders>
              <w:top w:val="single" w:sz="4" w:space="0" w:color="0098FF"/>
              <w:bottom w:val="single" w:sz="4" w:space="0" w:color="0098FF"/>
              <w:right w:val="single" w:sz="4" w:space="0" w:color="0098FF"/>
            </w:tcBorders>
            <w:shd w:val="clear" w:color="auto" w:fill="0070C0"/>
          </w:tcPr>
          <w:p w14:paraId="5BA3A6F1" w14:textId="77777777" w:rsidR="00084F36" w:rsidRPr="00EB2BD8" w:rsidRDefault="00EB2BD8">
            <w:pPr>
              <w:pStyle w:val="TableParagraph"/>
              <w:spacing w:before="63"/>
              <w:ind w:right="88"/>
              <w:jc w:val="right"/>
              <w:rPr>
                <w:rFonts w:ascii="Arial"/>
                <w:b/>
                <w:sz w:val="16"/>
              </w:rPr>
            </w:pPr>
            <w:r w:rsidRPr="00EB2BD8">
              <w:rPr>
                <w:rFonts w:ascii="Arial"/>
                <w:b/>
                <w:spacing w:val="-4"/>
                <w:w w:val="105"/>
                <w:sz w:val="16"/>
              </w:rPr>
              <w:t>2022</w:t>
            </w:r>
          </w:p>
        </w:tc>
      </w:tr>
      <w:tr w:rsidR="00EB2BD8" w:rsidRPr="00EB2BD8" w14:paraId="5B1AC225" w14:textId="77777777">
        <w:trPr>
          <w:trHeight w:val="310"/>
        </w:trPr>
        <w:tc>
          <w:tcPr>
            <w:tcW w:w="5345" w:type="dxa"/>
            <w:tcBorders>
              <w:top w:val="single" w:sz="4" w:space="0" w:color="0098FF"/>
            </w:tcBorders>
            <w:shd w:val="clear" w:color="auto" w:fill="FFFFFF"/>
          </w:tcPr>
          <w:p w14:paraId="617529A9" w14:textId="1C2ED730" w:rsidR="00084F36" w:rsidRPr="00EB2BD8" w:rsidRDefault="00EB2BD8">
            <w:pPr>
              <w:pStyle w:val="TableParagraph"/>
              <w:spacing w:before="63"/>
              <w:ind w:left="104"/>
              <w:rPr>
                <w:rFonts w:ascii="Arial"/>
                <w:sz w:val="16"/>
              </w:rPr>
            </w:pPr>
            <w:r w:rsidRPr="00EB2BD8">
              <w:rPr>
                <w:rFonts w:ascii="Arial"/>
                <w:w w:val="105"/>
                <w:sz w:val="16"/>
              </w:rPr>
              <w:t>Salaries</w:t>
            </w:r>
            <w:r w:rsidRPr="00EB2BD8">
              <w:rPr>
                <w:rFonts w:ascii="Arial"/>
                <w:spacing w:val="-7"/>
                <w:w w:val="105"/>
                <w:sz w:val="16"/>
              </w:rPr>
              <w:t xml:space="preserve"> </w:t>
            </w:r>
            <w:r w:rsidRPr="00EB2BD8">
              <w:rPr>
                <w:rFonts w:ascii="Arial"/>
                <w:w w:val="105"/>
                <w:sz w:val="16"/>
              </w:rPr>
              <w:t>and</w:t>
            </w:r>
            <w:r w:rsidRPr="00EB2BD8">
              <w:rPr>
                <w:rFonts w:ascii="Arial"/>
                <w:spacing w:val="-8"/>
                <w:w w:val="105"/>
                <w:sz w:val="16"/>
              </w:rPr>
              <w:t xml:space="preserve"> </w:t>
            </w:r>
            <w:r w:rsidRPr="00EB2BD8">
              <w:rPr>
                <w:rFonts w:ascii="Arial"/>
                <w:w w:val="105"/>
                <w:sz w:val="16"/>
              </w:rPr>
              <w:t>wages,</w:t>
            </w:r>
            <w:r w:rsidRPr="00EB2BD8">
              <w:rPr>
                <w:rFonts w:ascii="Arial"/>
                <w:spacing w:val="-6"/>
                <w:w w:val="105"/>
                <w:sz w:val="16"/>
              </w:rPr>
              <w:t xml:space="preserve"> </w:t>
            </w:r>
            <w:r w:rsidRPr="00EB2BD8">
              <w:rPr>
                <w:rFonts w:ascii="Arial"/>
                <w:w w:val="105"/>
                <w:sz w:val="16"/>
              </w:rPr>
              <w:t>annual</w:t>
            </w:r>
            <w:r w:rsidRPr="00EB2BD8">
              <w:rPr>
                <w:rFonts w:ascii="Arial"/>
                <w:spacing w:val="-8"/>
                <w:w w:val="105"/>
                <w:sz w:val="16"/>
              </w:rPr>
              <w:t xml:space="preserve"> </w:t>
            </w:r>
            <w:r w:rsidRPr="00EB2BD8">
              <w:rPr>
                <w:rFonts w:ascii="Arial"/>
                <w:w w:val="105"/>
                <w:sz w:val="16"/>
              </w:rPr>
              <w:t>leave</w:t>
            </w:r>
            <w:r w:rsidRPr="00EB2BD8">
              <w:rPr>
                <w:rFonts w:ascii="Arial"/>
                <w:spacing w:val="-8"/>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long</w:t>
            </w:r>
            <w:r w:rsidRPr="00EB2BD8">
              <w:rPr>
                <w:rFonts w:ascii="Arial"/>
                <w:spacing w:val="-8"/>
                <w:w w:val="105"/>
                <w:sz w:val="16"/>
              </w:rPr>
              <w:t xml:space="preserve"> </w:t>
            </w:r>
            <w:r w:rsidRPr="00EB2BD8">
              <w:rPr>
                <w:rFonts w:ascii="Arial"/>
                <w:w w:val="105"/>
                <w:sz w:val="16"/>
              </w:rPr>
              <w:t>service</w:t>
            </w:r>
            <w:r w:rsidRPr="00EB2BD8">
              <w:rPr>
                <w:rFonts w:ascii="Arial"/>
                <w:spacing w:val="-7"/>
                <w:w w:val="105"/>
                <w:sz w:val="16"/>
              </w:rPr>
              <w:t xml:space="preserve"> </w:t>
            </w:r>
            <w:r w:rsidRPr="00EB2BD8">
              <w:rPr>
                <w:rFonts w:ascii="Arial"/>
                <w:spacing w:val="-2"/>
                <w:w w:val="105"/>
                <w:sz w:val="16"/>
              </w:rPr>
              <w:t>leave</w:t>
            </w:r>
          </w:p>
        </w:tc>
        <w:tc>
          <w:tcPr>
            <w:tcW w:w="1344" w:type="dxa"/>
            <w:tcBorders>
              <w:top w:val="single" w:sz="4" w:space="0" w:color="0098FF"/>
            </w:tcBorders>
            <w:shd w:val="clear" w:color="auto" w:fill="FFFFFF"/>
          </w:tcPr>
          <w:p w14:paraId="66CC1C59" w14:textId="77777777" w:rsidR="00084F36" w:rsidRPr="00EB2BD8" w:rsidRDefault="00084F36">
            <w:pPr>
              <w:pStyle w:val="TableParagraph"/>
              <w:rPr>
                <w:rFonts w:ascii="Times New Roman"/>
                <w:sz w:val="16"/>
              </w:rPr>
            </w:pPr>
          </w:p>
        </w:tc>
        <w:tc>
          <w:tcPr>
            <w:tcW w:w="1201" w:type="dxa"/>
            <w:tcBorders>
              <w:top w:val="single" w:sz="4" w:space="0" w:color="0098FF"/>
            </w:tcBorders>
            <w:shd w:val="clear" w:color="auto" w:fill="DEEAF6"/>
          </w:tcPr>
          <w:p w14:paraId="3F686803" w14:textId="77777777" w:rsidR="00084F36" w:rsidRPr="00EB2BD8" w:rsidRDefault="00EB2BD8">
            <w:pPr>
              <w:pStyle w:val="TableParagraph"/>
              <w:spacing w:before="63"/>
              <w:ind w:right="93"/>
              <w:jc w:val="right"/>
              <w:rPr>
                <w:rFonts w:ascii="Arial"/>
                <w:sz w:val="16"/>
              </w:rPr>
            </w:pPr>
            <w:r w:rsidRPr="00EB2BD8">
              <w:rPr>
                <w:rFonts w:ascii="Arial"/>
                <w:spacing w:val="-2"/>
                <w:w w:val="105"/>
                <w:sz w:val="16"/>
              </w:rPr>
              <w:t>59,942</w:t>
            </w:r>
          </w:p>
        </w:tc>
        <w:tc>
          <w:tcPr>
            <w:tcW w:w="1316" w:type="dxa"/>
            <w:tcBorders>
              <w:top w:val="single" w:sz="4" w:space="0" w:color="0098FF"/>
            </w:tcBorders>
            <w:shd w:val="clear" w:color="auto" w:fill="FFFFFF"/>
          </w:tcPr>
          <w:p w14:paraId="236B013A" w14:textId="77777777" w:rsidR="00084F36" w:rsidRPr="00EB2BD8" w:rsidRDefault="00EB2BD8">
            <w:pPr>
              <w:pStyle w:val="TableParagraph"/>
              <w:spacing w:before="63"/>
              <w:ind w:right="92"/>
              <w:jc w:val="right"/>
              <w:rPr>
                <w:rFonts w:ascii="Arial"/>
                <w:sz w:val="16"/>
              </w:rPr>
            </w:pPr>
            <w:r w:rsidRPr="00EB2BD8">
              <w:rPr>
                <w:rFonts w:ascii="Arial"/>
                <w:spacing w:val="-2"/>
                <w:w w:val="105"/>
                <w:sz w:val="16"/>
              </w:rPr>
              <w:t>57,747</w:t>
            </w:r>
          </w:p>
        </w:tc>
      </w:tr>
      <w:tr w:rsidR="00EB2BD8" w:rsidRPr="00EB2BD8" w14:paraId="379E0ADE" w14:textId="77777777">
        <w:trPr>
          <w:trHeight w:val="312"/>
        </w:trPr>
        <w:tc>
          <w:tcPr>
            <w:tcW w:w="5345" w:type="dxa"/>
            <w:shd w:val="clear" w:color="auto" w:fill="FFFFFF"/>
          </w:tcPr>
          <w:p w14:paraId="2C96E880" w14:textId="77777777" w:rsidR="00084F36" w:rsidRPr="00EB2BD8" w:rsidRDefault="00EB2BD8">
            <w:pPr>
              <w:pStyle w:val="TableParagraph"/>
              <w:spacing w:before="63"/>
              <w:ind w:left="104"/>
              <w:rPr>
                <w:rFonts w:ascii="Arial" w:hAnsi="Arial"/>
                <w:sz w:val="16"/>
              </w:rPr>
            </w:pPr>
            <w:r w:rsidRPr="00EB2BD8">
              <w:rPr>
                <w:rFonts w:ascii="Arial" w:hAnsi="Arial"/>
                <w:w w:val="105"/>
                <w:sz w:val="16"/>
              </w:rPr>
              <w:t>Superannuation</w:t>
            </w:r>
            <w:r w:rsidRPr="00EB2BD8">
              <w:rPr>
                <w:rFonts w:ascii="Arial" w:hAnsi="Arial"/>
                <w:spacing w:val="-11"/>
                <w:w w:val="105"/>
                <w:sz w:val="16"/>
              </w:rPr>
              <w:t xml:space="preserve"> </w:t>
            </w:r>
            <w:r w:rsidRPr="00EB2BD8">
              <w:rPr>
                <w:rFonts w:ascii="Arial" w:hAnsi="Arial"/>
                <w:w w:val="105"/>
                <w:sz w:val="16"/>
              </w:rPr>
              <w:t>expense</w:t>
            </w:r>
            <w:r w:rsidRPr="00EB2BD8">
              <w:rPr>
                <w:rFonts w:ascii="Arial" w:hAnsi="Arial"/>
                <w:spacing w:val="-10"/>
                <w:w w:val="105"/>
                <w:sz w:val="16"/>
              </w:rPr>
              <w:t xml:space="preserve"> </w:t>
            </w:r>
            <w:r w:rsidRPr="00EB2BD8">
              <w:rPr>
                <w:rFonts w:ascii="Arial" w:hAnsi="Arial"/>
                <w:w w:val="105"/>
                <w:sz w:val="16"/>
              </w:rPr>
              <w:t>–</w:t>
            </w:r>
            <w:r w:rsidRPr="00EB2BD8">
              <w:rPr>
                <w:rFonts w:ascii="Arial" w:hAnsi="Arial"/>
                <w:spacing w:val="-9"/>
                <w:w w:val="105"/>
                <w:sz w:val="16"/>
              </w:rPr>
              <w:t xml:space="preserve"> </w:t>
            </w:r>
            <w:r w:rsidRPr="00EB2BD8">
              <w:rPr>
                <w:rFonts w:ascii="Arial" w:hAnsi="Arial"/>
                <w:w w:val="105"/>
                <w:sz w:val="16"/>
              </w:rPr>
              <w:t>defined</w:t>
            </w:r>
            <w:r w:rsidRPr="00EB2BD8">
              <w:rPr>
                <w:rFonts w:ascii="Arial" w:hAnsi="Arial"/>
                <w:spacing w:val="-10"/>
                <w:w w:val="105"/>
                <w:sz w:val="16"/>
              </w:rPr>
              <w:t xml:space="preserve"> </w:t>
            </w:r>
            <w:r w:rsidRPr="00EB2BD8">
              <w:rPr>
                <w:rFonts w:ascii="Arial" w:hAnsi="Arial"/>
                <w:w w:val="105"/>
                <w:sz w:val="16"/>
              </w:rPr>
              <w:t>contribution</w:t>
            </w:r>
            <w:r w:rsidRPr="00EB2BD8">
              <w:rPr>
                <w:rFonts w:ascii="Arial" w:hAnsi="Arial"/>
                <w:spacing w:val="-10"/>
                <w:w w:val="105"/>
                <w:sz w:val="16"/>
              </w:rPr>
              <w:t xml:space="preserve"> </w:t>
            </w:r>
            <w:r w:rsidRPr="00EB2BD8">
              <w:rPr>
                <w:rFonts w:ascii="Arial" w:hAnsi="Arial"/>
                <w:w w:val="105"/>
                <w:sz w:val="16"/>
              </w:rPr>
              <w:t>and</w:t>
            </w:r>
            <w:r w:rsidRPr="00EB2BD8">
              <w:rPr>
                <w:rFonts w:ascii="Arial" w:hAnsi="Arial"/>
                <w:spacing w:val="-10"/>
                <w:w w:val="105"/>
                <w:sz w:val="16"/>
              </w:rPr>
              <w:t xml:space="preserve"> </w:t>
            </w:r>
            <w:r w:rsidRPr="00EB2BD8">
              <w:rPr>
                <w:rFonts w:ascii="Arial" w:hAnsi="Arial"/>
                <w:spacing w:val="-2"/>
                <w:w w:val="105"/>
                <w:sz w:val="16"/>
              </w:rPr>
              <w:t>benefit</w:t>
            </w:r>
          </w:p>
        </w:tc>
        <w:tc>
          <w:tcPr>
            <w:tcW w:w="1344" w:type="dxa"/>
            <w:shd w:val="clear" w:color="auto" w:fill="FFFFFF"/>
          </w:tcPr>
          <w:p w14:paraId="34622EEC" w14:textId="77777777" w:rsidR="00084F36" w:rsidRPr="00EB2BD8" w:rsidRDefault="00EB2BD8">
            <w:pPr>
              <w:pStyle w:val="TableParagraph"/>
              <w:spacing w:before="63"/>
              <w:ind w:left="876"/>
              <w:rPr>
                <w:rFonts w:ascii="Arial"/>
                <w:sz w:val="16"/>
              </w:rPr>
            </w:pPr>
            <w:r w:rsidRPr="00EB2BD8">
              <w:rPr>
                <w:rFonts w:ascii="Arial"/>
                <w:spacing w:val="-2"/>
                <w:w w:val="105"/>
                <w:sz w:val="16"/>
              </w:rPr>
              <w:t>3.1.2</w:t>
            </w:r>
          </w:p>
        </w:tc>
        <w:tc>
          <w:tcPr>
            <w:tcW w:w="1201" w:type="dxa"/>
            <w:shd w:val="clear" w:color="auto" w:fill="DEEAF6"/>
          </w:tcPr>
          <w:p w14:paraId="35AEE4F5" w14:textId="77777777" w:rsidR="00084F36" w:rsidRPr="00EB2BD8" w:rsidRDefault="00EB2BD8">
            <w:pPr>
              <w:pStyle w:val="TableParagraph"/>
              <w:spacing w:before="63"/>
              <w:ind w:right="94"/>
              <w:jc w:val="right"/>
              <w:rPr>
                <w:rFonts w:ascii="Arial"/>
                <w:sz w:val="16"/>
              </w:rPr>
            </w:pPr>
            <w:r w:rsidRPr="00EB2BD8">
              <w:rPr>
                <w:rFonts w:ascii="Arial"/>
                <w:spacing w:val="-2"/>
                <w:w w:val="105"/>
                <w:sz w:val="16"/>
              </w:rPr>
              <w:t>5,750</w:t>
            </w:r>
          </w:p>
        </w:tc>
        <w:tc>
          <w:tcPr>
            <w:tcW w:w="1316" w:type="dxa"/>
            <w:shd w:val="clear" w:color="auto" w:fill="FFFFFF"/>
          </w:tcPr>
          <w:p w14:paraId="119260F3" w14:textId="77777777" w:rsidR="00084F36" w:rsidRPr="00EB2BD8" w:rsidRDefault="00EB2BD8">
            <w:pPr>
              <w:pStyle w:val="TableParagraph"/>
              <w:spacing w:before="63"/>
              <w:ind w:right="92"/>
              <w:jc w:val="right"/>
              <w:rPr>
                <w:rFonts w:ascii="Arial"/>
                <w:sz w:val="16"/>
              </w:rPr>
            </w:pPr>
            <w:r w:rsidRPr="00EB2BD8">
              <w:rPr>
                <w:rFonts w:ascii="Arial"/>
                <w:spacing w:val="-2"/>
                <w:w w:val="105"/>
                <w:sz w:val="16"/>
              </w:rPr>
              <w:t>5,108</w:t>
            </w:r>
          </w:p>
        </w:tc>
      </w:tr>
      <w:tr w:rsidR="00EB2BD8" w:rsidRPr="00EB2BD8" w14:paraId="590F594E" w14:textId="77777777">
        <w:trPr>
          <w:trHeight w:val="315"/>
        </w:trPr>
        <w:tc>
          <w:tcPr>
            <w:tcW w:w="5345" w:type="dxa"/>
            <w:shd w:val="clear" w:color="auto" w:fill="FFFFFF"/>
          </w:tcPr>
          <w:p w14:paraId="4513B027" w14:textId="77777777" w:rsidR="00084F36" w:rsidRPr="00EB2BD8" w:rsidRDefault="00EB2BD8">
            <w:pPr>
              <w:pStyle w:val="TableParagraph"/>
              <w:spacing w:before="65"/>
              <w:ind w:left="104"/>
              <w:rPr>
                <w:rFonts w:ascii="Arial"/>
                <w:sz w:val="16"/>
              </w:rPr>
            </w:pPr>
            <w:r w:rsidRPr="00EB2BD8">
              <w:rPr>
                <w:rFonts w:ascii="Arial"/>
                <w:spacing w:val="-2"/>
                <w:w w:val="105"/>
                <w:sz w:val="16"/>
              </w:rPr>
              <w:t>Staff-related</w:t>
            </w:r>
            <w:r w:rsidRPr="00EB2BD8">
              <w:rPr>
                <w:rFonts w:ascii="Arial"/>
                <w:spacing w:val="10"/>
                <w:w w:val="105"/>
                <w:sz w:val="16"/>
              </w:rPr>
              <w:t xml:space="preserve"> </w:t>
            </w:r>
            <w:r w:rsidRPr="00EB2BD8">
              <w:rPr>
                <w:rFonts w:ascii="Arial"/>
                <w:spacing w:val="-2"/>
                <w:w w:val="105"/>
                <w:sz w:val="16"/>
              </w:rPr>
              <w:t>expenses</w:t>
            </w:r>
          </w:p>
        </w:tc>
        <w:tc>
          <w:tcPr>
            <w:tcW w:w="1344" w:type="dxa"/>
            <w:shd w:val="clear" w:color="auto" w:fill="FFFFFF"/>
          </w:tcPr>
          <w:p w14:paraId="1F59A947" w14:textId="77777777" w:rsidR="00084F36" w:rsidRPr="00EB2BD8" w:rsidRDefault="00084F36">
            <w:pPr>
              <w:pStyle w:val="TableParagraph"/>
              <w:rPr>
                <w:rFonts w:ascii="Times New Roman"/>
                <w:sz w:val="16"/>
              </w:rPr>
            </w:pPr>
          </w:p>
        </w:tc>
        <w:tc>
          <w:tcPr>
            <w:tcW w:w="1201" w:type="dxa"/>
            <w:shd w:val="clear" w:color="auto" w:fill="DEEAF6"/>
          </w:tcPr>
          <w:p w14:paraId="4DBFCBDA" w14:textId="77777777" w:rsidR="00084F36" w:rsidRPr="00EB2BD8" w:rsidRDefault="00EB2BD8">
            <w:pPr>
              <w:pStyle w:val="TableParagraph"/>
              <w:spacing w:before="65"/>
              <w:ind w:right="94"/>
              <w:jc w:val="right"/>
              <w:rPr>
                <w:rFonts w:ascii="Arial"/>
                <w:sz w:val="16"/>
              </w:rPr>
            </w:pPr>
            <w:r w:rsidRPr="00EB2BD8">
              <w:rPr>
                <w:rFonts w:ascii="Arial"/>
                <w:spacing w:val="-5"/>
                <w:w w:val="105"/>
                <w:sz w:val="16"/>
              </w:rPr>
              <w:t>941</w:t>
            </w:r>
          </w:p>
        </w:tc>
        <w:tc>
          <w:tcPr>
            <w:tcW w:w="1316" w:type="dxa"/>
            <w:shd w:val="clear" w:color="auto" w:fill="FFFFFF"/>
          </w:tcPr>
          <w:p w14:paraId="51FC59D6" w14:textId="77777777" w:rsidR="00084F36" w:rsidRPr="00EB2BD8" w:rsidRDefault="00EB2BD8">
            <w:pPr>
              <w:pStyle w:val="TableParagraph"/>
              <w:spacing w:before="65"/>
              <w:ind w:right="92"/>
              <w:jc w:val="right"/>
              <w:rPr>
                <w:rFonts w:ascii="Arial"/>
                <w:sz w:val="16"/>
              </w:rPr>
            </w:pPr>
            <w:r w:rsidRPr="00EB2BD8">
              <w:rPr>
                <w:rFonts w:ascii="Arial"/>
                <w:spacing w:val="-5"/>
                <w:w w:val="105"/>
                <w:sz w:val="16"/>
              </w:rPr>
              <w:t>888</w:t>
            </w:r>
          </w:p>
        </w:tc>
      </w:tr>
      <w:tr w:rsidR="00EB2BD8" w:rsidRPr="00EB2BD8" w14:paraId="12006A26" w14:textId="77777777">
        <w:trPr>
          <w:trHeight w:val="315"/>
        </w:trPr>
        <w:tc>
          <w:tcPr>
            <w:tcW w:w="5345" w:type="dxa"/>
            <w:shd w:val="clear" w:color="auto" w:fill="FFFFFF"/>
          </w:tcPr>
          <w:p w14:paraId="3CE1FB20" w14:textId="77777777" w:rsidR="00084F36" w:rsidRPr="00EB2BD8" w:rsidRDefault="00EB2BD8">
            <w:pPr>
              <w:pStyle w:val="TableParagraph"/>
              <w:spacing w:before="66"/>
              <w:ind w:left="104"/>
              <w:rPr>
                <w:rFonts w:ascii="Arial"/>
                <w:sz w:val="16"/>
              </w:rPr>
            </w:pPr>
            <w:r w:rsidRPr="00EB2BD8">
              <w:rPr>
                <w:rFonts w:ascii="Arial"/>
                <w:w w:val="105"/>
                <w:sz w:val="16"/>
              </w:rPr>
              <w:t>Fringe</w:t>
            </w:r>
            <w:r w:rsidRPr="00EB2BD8">
              <w:rPr>
                <w:rFonts w:ascii="Arial"/>
                <w:spacing w:val="-10"/>
                <w:w w:val="105"/>
                <w:sz w:val="16"/>
              </w:rPr>
              <w:t xml:space="preserve"> </w:t>
            </w:r>
            <w:r w:rsidRPr="00EB2BD8">
              <w:rPr>
                <w:rFonts w:ascii="Arial"/>
                <w:w w:val="105"/>
                <w:sz w:val="16"/>
              </w:rPr>
              <w:t>benefits</w:t>
            </w:r>
            <w:r w:rsidRPr="00EB2BD8">
              <w:rPr>
                <w:rFonts w:ascii="Arial"/>
                <w:spacing w:val="-8"/>
                <w:w w:val="105"/>
                <w:sz w:val="16"/>
              </w:rPr>
              <w:t xml:space="preserve"> </w:t>
            </w:r>
            <w:r w:rsidRPr="00EB2BD8">
              <w:rPr>
                <w:rFonts w:ascii="Arial"/>
                <w:spacing w:val="-5"/>
                <w:w w:val="105"/>
                <w:sz w:val="16"/>
              </w:rPr>
              <w:t>tax</w:t>
            </w:r>
          </w:p>
        </w:tc>
        <w:tc>
          <w:tcPr>
            <w:tcW w:w="1344" w:type="dxa"/>
            <w:shd w:val="clear" w:color="auto" w:fill="FFFFFF"/>
          </w:tcPr>
          <w:p w14:paraId="446BC2C8" w14:textId="77777777" w:rsidR="00084F36" w:rsidRPr="00EB2BD8" w:rsidRDefault="00084F36">
            <w:pPr>
              <w:pStyle w:val="TableParagraph"/>
              <w:rPr>
                <w:rFonts w:ascii="Times New Roman"/>
                <w:sz w:val="16"/>
              </w:rPr>
            </w:pPr>
          </w:p>
        </w:tc>
        <w:tc>
          <w:tcPr>
            <w:tcW w:w="1201" w:type="dxa"/>
            <w:shd w:val="clear" w:color="auto" w:fill="DEEAF6"/>
          </w:tcPr>
          <w:p w14:paraId="751C496C" w14:textId="77777777" w:rsidR="00084F36" w:rsidRPr="00EB2BD8" w:rsidRDefault="00EB2BD8">
            <w:pPr>
              <w:pStyle w:val="TableParagraph"/>
              <w:spacing w:before="66"/>
              <w:ind w:right="94"/>
              <w:jc w:val="right"/>
              <w:rPr>
                <w:rFonts w:ascii="Arial"/>
                <w:sz w:val="16"/>
              </w:rPr>
            </w:pPr>
            <w:r w:rsidRPr="00EB2BD8">
              <w:rPr>
                <w:rFonts w:ascii="Arial"/>
                <w:spacing w:val="-5"/>
                <w:w w:val="105"/>
                <w:sz w:val="16"/>
              </w:rPr>
              <w:t>96</w:t>
            </w:r>
          </w:p>
        </w:tc>
        <w:tc>
          <w:tcPr>
            <w:tcW w:w="1316" w:type="dxa"/>
            <w:shd w:val="clear" w:color="auto" w:fill="FFFFFF"/>
          </w:tcPr>
          <w:p w14:paraId="59399B1C" w14:textId="77777777" w:rsidR="00084F36" w:rsidRPr="00EB2BD8" w:rsidRDefault="00EB2BD8">
            <w:pPr>
              <w:pStyle w:val="TableParagraph"/>
              <w:spacing w:before="66"/>
              <w:ind w:right="92"/>
              <w:jc w:val="right"/>
              <w:rPr>
                <w:rFonts w:ascii="Arial"/>
                <w:sz w:val="16"/>
              </w:rPr>
            </w:pPr>
            <w:r w:rsidRPr="00EB2BD8">
              <w:rPr>
                <w:rFonts w:ascii="Arial"/>
                <w:spacing w:val="-5"/>
                <w:w w:val="105"/>
                <w:sz w:val="16"/>
              </w:rPr>
              <w:t>34</w:t>
            </w:r>
          </w:p>
        </w:tc>
      </w:tr>
      <w:tr w:rsidR="00EB2BD8" w:rsidRPr="00EB2BD8" w14:paraId="0A4135E3" w14:textId="77777777">
        <w:trPr>
          <w:trHeight w:val="312"/>
        </w:trPr>
        <w:tc>
          <w:tcPr>
            <w:tcW w:w="5345" w:type="dxa"/>
            <w:tcBorders>
              <w:bottom w:val="single" w:sz="12" w:space="0" w:color="000000"/>
            </w:tcBorders>
            <w:shd w:val="clear" w:color="auto" w:fill="FFFFFF"/>
          </w:tcPr>
          <w:p w14:paraId="34F4F9A4" w14:textId="77777777" w:rsidR="00084F36" w:rsidRPr="00EB2BD8" w:rsidRDefault="00EB2BD8">
            <w:pPr>
              <w:pStyle w:val="TableParagraph"/>
              <w:spacing w:before="65"/>
              <w:ind w:left="104"/>
              <w:rPr>
                <w:rFonts w:ascii="Arial"/>
                <w:sz w:val="16"/>
              </w:rPr>
            </w:pPr>
            <w:r w:rsidRPr="00EB2BD8">
              <w:rPr>
                <w:rFonts w:ascii="Arial"/>
                <w:w w:val="105"/>
                <w:sz w:val="16"/>
              </w:rPr>
              <w:t>External</w:t>
            </w:r>
            <w:r w:rsidRPr="00EB2BD8">
              <w:rPr>
                <w:rFonts w:ascii="Arial"/>
                <w:spacing w:val="-11"/>
                <w:w w:val="105"/>
                <w:sz w:val="16"/>
              </w:rPr>
              <w:t xml:space="preserve"> </w:t>
            </w:r>
            <w:r w:rsidRPr="00EB2BD8">
              <w:rPr>
                <w:rFonts w:ascii="Arial"/>
                <w:w w:val="105"/>
                <w:sz w:val="16"/>
              </w:rPr>
              <w:t>staff</w:t>
            </w:r>
            <w:r w:rsidRPr="00EB2BD8">
              <w:rPr>
                <w:rFonts w:ascii="Arial"/>
                <w:spacing w:val="-9"/>
                <w:w w:val="105"/>
                <w:sz w:val="16"/>
              </w:rPr>
              <w:t xml:space="preserve"> </w:t>
            </w:r>
            <w:r w:rsidRPr="00EB2BD8">
              <w:rPr>
                <w:rFonts w:ascii="Arial"/>
                <w:w w:val="105"/>
                <w:sz w:val="16"/>
              </w:rPr>
              <w:t>(includes</w:t>
            </w:r>
            <w:r w:rsidRPr="00EB2BD8">
              <w:rPr>
                <w:rFonts w:ascii="Arial"/>
                <w:spacing w:val="-9"/>
                <w:w w:val="105"/>
                <w:sz w:val="16"/>
              </w:rPr>
              <w:t xml:space="preserve"> </w:t>
            </w:r>
            <w:r w:rsidRPr="00EB2BD8">
              <w:rPr>
                <w:rFonts w:ascii="Arial"/>
                <w:spacing w:val="-2"/>
                <w:w w:val="105"/>
                <w:sz w:val="16"/>
              </w:rPr>
              <w:t>contractors)</w:t>
            </w:r>
          </w:p>
        </w:tc>
        <w:tc>
          <w:tcPr>
            <w:tcW w:w="1344" w:type="dxa"/>
            <w:tcBorders>
              <w:bottom w:val="single" w:sz="12" w:space="0" w:color="000000"/>
            </w:tcBorders>
            <w:shd w:val="clear" w:color="auto" w:fill="FFFFFF"/>
          </w:tcPr>
          <w:p w14:paraId="3519C725" w14:textId="77777777" w:rsidR="00084F36" w:rsidRPr="00EB2BD8" w:rsidRDefault="00084F36">
            <w:pPr>
              <w:pStyle w:val="TableParagraph"/>
              <w:rPr>
                <w:rFonts w:ascii="Times New Roman"/>
                <w:sz w:val="16"/>
              </w:rPr>
            </w:pPr>
          </w:p>
        </w:tc>
        <w:tc>
          <w:tcPr>
            <w:tcW w:w="1201" w:type="dxa"/>
            <w:tcBorders>
              <w:bottom w:val="single" w:sz="12" w:space="0" w:color="000000"/>
            </w:tcBorders>
            <w:shd w:val="clear" w:color="auto" w:fill="DEEAF6"/>
          </w:tcPr>
          <w:p w14:paraId="38F9A39E" w14:textId="77777777" w:rsidR="00084F36" w:rsidRPr="00EB2BD8" w:rsidRDefault="00EB2BD8">
            <w:pPr>
              <w:pStyle w:val="TableParagraph"/>
              <w:spacing w:before="65"/>
              <w:ind w:right="93"/>
              <w:jc w:val="right"/>
              <w:rPr>
                <w:rFonts w:ascii="Arial"/>
                <w:sz w:val="16"/>
              </w:rPr>
            </w:pPr>
            <w:r w:rsidRPr="00EB2BD8">
              <w:rPr>
                <w:rFonts w:ascii="Arial"/>
                <w:spacing w:val="-2"/>
                <w:w w:val="105"/>
                <w:sz w:val="16"/>
              </w:rPr>
              <w:t>10,797</w:t>
            </w:r>
          </w:p>
        </w:tc>
        <w:tc>
          <w:tcPr>
            <w:tcW w:w="1316" w:type="dxa"/>
            <w:tcBorders>
              <w:bottom w:val="single" w:sz="12" w:space="0" w:color="000000"/>
            </w:tcBorders>
            <w:shd w:val="clear" w:color="auto" w:fill="FFFFFF"/>
          </w:tcPr>
          <w:p w14:paraId="5C06C1AF" w14:textId="77777777" w:rsidR="00084F36" w:rsidRPr="00EB2BD8" w:rsidRDefault="00EB2BD8">
            <w:pPr>
              <w:pStyle w:val="TableParagraph"/>
              <w:spacing w:before="65"/>
              <w:ind w:right="93"/>
              <w:jc w:val="right"/>
              <w:rPr>
                <w:rFonts w:ascii="Arial"/>
                <w:sz w:val="16"/>
              </w:rPr>
            </w:pPr>
            <w:r w:rsidRPr="00EB2BD8">
              <w:rPr>
                <w:rFonts w:ascii="Arial"/>
                <w:spacing w:val="-2"/>
                <w:w w:val="105"/>
                <w:sz w:val="16"/>
              </w:rPr>
              <w:t>8,576</w:t>
            </w:r>
          </w:p>
        </w:tc>
      </w:tr>
      <w:tr w:rsidR="00EB2BD8" w:rsidRPr="00EB2BD8" w14:paraId="5024FC2D" w14:textId="77777777">
        <w:trPr>
          <w:trHeight w:val="285"/>
        </w:trPr>
        <w:tc>
          <w:tcPr>
            <w:tcW w:w="6689" w:type="dxa"/>
            <w:gridSpan w:val="2"/>
            <w:tcBorders>
              <w:top w:val="single" w:sz="12" w:space="0" w:color="000000"/>
              <w:bottom w:val="single" w:sz="12" w:space="0" w:color="000000"/>
            </w:tcBorders>
            <w:shd w:val="clear" w:color="auto" w:fill="FFFFFF"/>
          </w:tcPr>
          <w:p w14:paraId="02BCFABE" w14:textId="7E211568" w:rsidR="00084F36" w:rsidRPr="00EB2BD8" w:rsidRDefault="00EB2BD8">
            <w:pPr>
              <w:pStyle w:val="TableParagraph"/>
              <w:spacing w:before="52"/>
              <w:ind w:left="104"/>
              <w:rPr>
                <w:rFonts w:ascii="Arial"/>
                <w:b/>
                <w:sz w:val="16"/>
              </w:rPr>
            </w:pPr>
            <w:r w:rsidRPr="00EB2BD8">
              <w:rPr>
                <w:rFonts w:ascii="Arial"/>
                <w:b/>
                <w:w w:val="105"/>
                <w:sz w:val="16"/>
              </w:rPr>
              <w:t>Total</w:t>
            </w:r>
            <w:r w:rsidRPr="00EB2BD8">
              <w:rPr>
                <w:rFonts w:ascii="Arial"/>
                <w:b/>
                <w:spacing w:val="-9"/>
                <w:w w:val="105"/>
                <w:sz w:val="16"/>
              </w:rPr>
              <w:t xml:space="preserve"> </w:t>
            </w:r>
            <w:r w:rsidRPr="00EB2BD8">
              <w:rPr>
                <w:rFonts w:ascii="Arial"/>
                <w:b/>
                <w:w w:val="105"/>
                <w:sz w:val="16"/>
              </w:rPr>
              <w:t>employee</w:t>
            </w:r>
            <w:r w:rsidRPr="00EB2BD8">
              <w:rPr>
                <w:rFonts w:ascii="Arial"/>
                <w:b/>
                <w:spacing w:val="-9"/>
                <w:w w:val="105"/>
                <w:sz w:val="16"/>
              </w:rPr>
              <w:t xml:space="preserve"> </w:t>
            </w:r>
            <w:r w:rsidRPr="00EB2BD8">
              <w:rPr>
                <w:rFonts w:ascii="Arial"/>
                <w:b/>
                <w:spacing w:val="-2"/>
                <w:w w:val="105"/>
                <w:sz w:val="16"/>
              </w:rPr>
              <w:t>costs</w:t>
            </w:r>
          </w:p>
        </w:tc>
        <w:tc>
          <w:tcPr>
            <w:tcW w:w="1201" w:type="dxa"/>
            <w:tcBorders>
              <w:top w:val="single" w:sz="12" w:space="0" w:color="000000"/>
              <w:bottom w:val="single" w:sz="12" w:space="0" w:color="000000"/>
            </w:tcBorders>
            <w:shd w:val="clear" w:color="auto" w:fill="DEEAF6"/>
          </w:tcPr>
          <w:p w14:paraId="26EC041F" w14:textId="77777777" w:rsidR="00084F36" w:rsidRPr="00EB2BD8" w:rsidRDefault="00EB2BD8">
            <w:pPr>
              <w:pStyle w:val="TableParagraph"/>
              <w:spacing w:before="52"/>
              <w:ind w:right="93"/>
              <w:jc w:val="right"/>
              <w:rPr>
                <w:rFonts w:ascii="Arial"/>
                <w:b/>
                <w:sz w:val="16"/>
              </w:rPr>
            </w:pPr>
            <w:r w:rsidRPr="00EB2BD8">
              <w:rPr>
                <w:rFonts w:ascii="Arial"/>
                <w:b/>
                <w:spacing w:val="-2"/>
                <w:w w:val="105"/>
                <w:sz w:val="16"/>
              </w:rPr>
              <w:t>77,526</w:t>
            </w:r>
          </w:p>
        </w:tc>
        <w:tc>
          <w:tcPr>
            <w:tcW w:w="1316" w:type="dxa"/>
            <w:tcBorders>
              <w:top w:val="single" w:sz="12" w:space="0" w:color="000000"/>
              <w:bottom w:val="single" w:sz="12" w:space="0" w:color="000000"/>
            </w:tcBorders>
            <w:shd w:val="clear" w:color="auto" w:fill="FFFFFF"/>
          </w:tcPr>
          <w:p w14:paraId="4766DC7A" w14:textId="77777777" w:rsidR="00084F36" w:rsidRPr="00EB2BD8" w:rsidRDefault="00EB2BD8">
            <w:pPr>
              <w:pStyle w:val="TableParagraph"/>
              <w:spacing w:before="52"/>
              <w:ind w:right="93"/>
              <w:jc w:val="right"/>
              <w:rPr>
                <w:rFonts w:ascii="Arial"/>
                <w:b/>
                <w:sz w:val="16"/>
              </w:rPr>
            </w:pPr>
            <w:r w:rsidRPr="00EB2BD8">
              <w:rPr>
                <w:rFonts w:ascii="Arial"/>
                <w:b/>
                <w:spacing w:val="-2"/>
                <w:w w:val="105"/>
                <w:sz w:val="16"/>
              </w:rPr>
              <w:t>72,353</w:t>
            </w:r>
          </w:p>
        </w:tc>
      </w:tr>
    </w:tbl>
    <w:p w14:paraId="35EB2B9B" w14:textId="77777777" w:rsidR="00084F36" w:rsidRPr="00EB2BD8" w:rsidRDefault="00084F36">
      <w:pPr>
        <w:pStyle w:val="BodyText"/>
        <w:rPr>
          <w:rFonts w:ascii="Arial"/>
          <w:sz w:val="20"/>
        </w:rPr>
      </w:pPr>
    </w:p>
    <w:p w14:paraId="19F4AA4F" w14:textId="615D5771" w:rsidR="00084F36" w:rsidRPr="00EB2BD8" w:rsidRDefault="00084F36">
      <w:pPr>
        <w:pStyle w:val="BodyText"/>
        <w:spacing w:before="6"/>
        <w:rPr>
          <w:rFonts w:ascii="Arial"/>
          <w:sz w:val="16"/>
        </w:rPr>
      </w:pPr>
    </w:p>
    <w:p w14:paraId="5A3659BC" w14:textId="77777777" w:rsidR="00084F36" w:rsidRPr="00EB2BD8" w:rsidRDefault="00EB2BD8">
      <w:pPr>
        <w:spacing w:line="288" w:lineRule="auto"/>
        <w:ind w:left="1086" w:right="1813"/>
        <w:rPr>
          <w:rFonts w:ascii="Arial"/>
          <w:sz w:val="16"/>
        </w:rPr>
      </w:pPr>
      <w:r w:rsidRPr="00EB2BD8">
        <w:rPr>
          <w:rFonts w:ascii="Arial"/>
          <w:w w:val="105"/>
          <w:sz w:val="16"/>
        </w:rPr>
        <w:t>Employee</w:t>
      </w:r>
      <w:r w:rsidRPr="00EB2BD8">
        <w:rPr>
          <w:rFonts w:ascii="Arial"/>
          <w:spacing w:val="-7"/>
          <w:w w:val="105"/>
          <w:sz w:val="16"/>
        </w:rPr>
        <w:t xml:space="preserve"> </w:t>
      </w:r>
      <w:r w:rsidRPr="00EB2BD8">
        <w:rPr>
          <w:rFonts w:ascii="Arial"/>
          <w:w w:val="105"/>
          <w:sz w:val="16"/>
        </w:rPr>
        <w:t>expenses</w:t>
      </w:r>
      <w:r w:rsidRPr="00EB2BD8">
        <w:rPr>
          <w:rFonts w:ascii="Arial"/>
          <w:spacing w:val="-6"/>
          <w:w w:val="105"/>
          <w:sz w:val="16"/>
        </w:rPr>
        <w:t xml:space="preserve"> </w:t>
      </w:r>
      <w:r w:rsidRPr="00EB2BD8">
        <w:rPr>
          <w:rFonts w:ascii="Arial"/>
          <w:w w:val="105"/>
          <w:sz w:val="16"/>
        </w:rPr>
        <w:t>include</w:t>
      </w:r>
      <w:r w:rsidRPr="00EB2BD8">
        <w:rPr>
          <w:rFonts w:ascii="Arial"/>
          <w:spacing w:val="-6"/>
          <w:w w:val="105"/>
          <w:sz w:val="16"/>
        </w:rPr>
        <w:t xml:space="preserve"> </w:t>
      </w:r>
      <w:r w:rsidRPr="00EB2BD8">
        <w:rPr>
          <w:rFonts w:ascii="Arial"/>
          <w:w w:val="105"/>
          <w:sz w:val="16"/>
        </w:rPr>
        <w:t>all</w:t>
      </w:r>
      <w:r w:rsidRPr="00EB2BD8">
        <w:rPr>
          <w:rFonts w:ascii="Arial"/>
          <w:spacing w:val="-7"/>
          <w:w w:val="105"/>
          <w:sz w:val="16"/>
        </w:rPr>
        <w:t xml:space="preserve"> </w:t>
      </w:r>
      <w:r w:rsidRPr="00EB2BD8">
        <w:rPr>
          <w:rFonts w:ascii="Arial"/>
          <w:w w:val="105"/>
          <w:sz w:val="16"/>
        </w:rPr>
        <w:t>costs</w:t>
      </w:r>
      <w:r w:rsidRPr="00EB2BD8">
        <w:rPr>
          <w:rFonts w:ascii="Arial"/>
          <w:spacing w:val="-6"/>
          <w:w w:val="105"/>
          <w:sz w:val="16"/>
        </w:rPr>
        <w:t xml:space="preserve"> </w:t>
      </w:r>
      <w:r w:rsidRPr="00EB2BD8">
        <w:rPr>
          <w:rFonts w:ascii="Arial"/>
          <w:w w:val="105"/>
          <w:sz w:val="16"/>
        </w:rPr>
        <w:t>related</w:t>
      </w:r>
      <w:r w:rsidRPr="00EB2BD8">
        <w:rPr>
          <w:rFonts w:ascii="Arial"/>
          <w:spacing w:val="-7"/>
          <w:w w:val="105"/>
          <w:sz w:val="16"/>
        </w:rPr>
        <w:t xml:space="preserve"> </w:t>
      </w:r>
      <w:r w:rsidRPr="00EB2BD8">
        <w:rPr>
          <w:rFonts w:ascii="Arial"/>
          <w:w w:val="105"/>
          <w:sz w:val="16"/>
        </w:rPr>
        <w:t>to</w:t>
      </w:r>
      <w:r w:rsidRPr="00EB2BD8">
        <w:rPr>
          <w:rFonts w:ascii="Arial"/>
          <w:spacing w:val="-7"/>
          <w:w w:val="105"/>
          <w:sz w:val="16"/>
        </w:rPr>
        <w:t xml:space="preserve"> </w:t>
      </w:r>
      <w:r w:rsidRPr="00EB2BD8">
        <w:rPr>
          <w:rFonts w:ascii="Arial"/>
          <w:w w:val="105"/>
          <w:sz w:val="16"/>
        </w:rPr>
        <w:t>employment</w:t>
      </w:r>
      <w:r w:rsidRPr="00EB2BD8">
        <w:rPr>
          <w:rFonts w:ascii="Arial"/>
          <w:spacing w:val="-6"/>
          <w:w w:val="105"/>
          <w:sz w:val="16"/>
        </w:rPr>
        <w:t xml:space="preserve"> </w:t>
      </w:r>
      <w:r w:rsidRPr="00EB2BD8">
        <w:rPr>
          <w:rFonts w:ascii="Arial"/>
          <w:w w:val="105"/>
          <w:sz w:val="16"/>
        </w:rPr>
        <w:t>including</w:t>
      </w:r>
      <w:r w:rsidRPr="00EB2BD8">
        <w:rPr>
          <w:rFonts w:ascii="Arial"/>
          <w:spacing w:val="-7"/>
          <w:w w:val="105"/>
          <w:sz w:val="16"/>
        </w:rPr>
        <w:t xml:space="preserve"> </w:t>
      </w:r>
      <w:r w:rsidRPr="00EB2BD8">
        <w:rPr>
          <w:rFonts w:ascii="Arial"/>
          <w:w w:val="105"/>
          <w:sz w:val="16"/>
        </w:rPr>
        <w:t>wages</w:t>
      </w:r>
      <w:r w:rsidRPr="00EB2BD8">
        <w:rPr>
          <w:rFonts w:ascii="Arial"/>
          <w:spacing w:val="-6"/>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salaries,</w:t>
      </w:r>
      <w:r w:rsidRPr="00EB2BD8">
        <w:rPr>
          <w:rFonts w:ascii="Arial"/>
          <w:spacing w:val="-6"/>
          <w:w w:val="105"/>
          <w:sz w:val="16"/>
        </w:rPr>
        <w:t xml:space="preserve"> </w:t>
      </w:r>
      <w:r w:rsidRPr="00EB2BD8">
        <w:rPr>
          <w:rFonts w:ascii="Arial"/>
          <w:w w:val="105"/>
          <w:sz w:val="16"/>
        </w:rPr>
        <w:t>fringe</w:t>
      </w:r>
      <w:r w:rsidRPr="00EB2BD8">
        <w:rPr>
          <w:rFonts w:ascii="Arial"/>
          <w:spacing w:val="-7"/>
          <w:w w:val="105"/>
          <w:sz w:val="16"/>
        </w:rPr>
        <w:t xml:space="preserve"> </w:t>
      </w:r>
      <w:r w:rsidRPr="00EB2BD8">
        <w:rPr>
          <w:rFonts w:ascii="Arial"/>
          <w:w w:val="105"/>
          <w:sz w:val="16"/>
        </w:rPr>
        <w:t>benefit</w:t>
      </w:r>
      <w:r w:rsidRPr="00EB2BD8">
        <w:rPr>
          <w:rFonts w:ascii="Arial"/>
          <w:spacing w:val="-6"/>
          <w:w w:val="105"/>
          <w:sz w:val="16"/>
        </w:rPr>
        <w:t xml:space="preserve"> </w:t>
      </w:r>
      <w:r w:rsidRPr="00EB2BD8">
        <w:rPr>
          <w:rFonts w:ascii="Arial"/>
          <w:w w:val="105"/>
          <w:sz w:val="16"/>
        </w:rPr>
        <w:t>tax,</w:t>
      </w:r>
      <w:r w:rsidRPr="00EB2BD8">
        <w:rPr>
          <w:rFonts w:ascii="Arial"/>
          <w:spacing w:val="-6"/>
          <w:w w:val="105"/>
          <w:sz w:val="16"/>
        </w:rPr>
        <w:t xml:space="preserve"> </w:t>
      </w:r>
      <w:r w:rsidRPr="00EB2BD8">
        <w:rPr>
          <w:rFonts w:ascii="Arial"/>
          <w:w w:val="105"/>
          <w:sz w:val="16"/>
        </w:rPr>
        <w:t>leave entitlements, termination payments, payroll tax and WorkCover premiums.</w:t>
      </w:r>
    </w:p>
    <w:p w14:paraId="721D749C" w14:textId="77777777" w:rsidR="00084F36" w:rsidRPr="00EB2BD8" w:rsidRDefault="00084F36">
      <w:pPr>
        <w:pStyle w:val="BodyText"/>
        <w:spacing w:before="2"/>
        <w:rPr>
          <w:rFonts w:ascii="Arial"/>
          <w:sz w:val="19"/>
        </w:rPr>
      </w:pPr>
    </w:p>
    <w:p w14:paraId="6F0F736A" w14:textId="145086D4" w:rsidR="00084F36" w:rsidRPr="00EB2BD8" w:rsidRDefault="00EB2BD8">
      <w:pPr>
        <w:spacing w:line="288" w:lineRule="auto"/>
        <w:ind w:left="1086" w:right="1813"/>
        <w:rPr>
          <w:rFonts w:ascii="Arial"/>
          <w:sz w:val="16"/>
        </w:rPr>
      </w:pPr>
      <w:r w:rsidRPr="00EB2BD8">
        <w:rPr>
          <w:rFonts w:ascii="Arial"/>
          <w:w w:val="105"/>
          <w:sz w:val="16"/>
        </w:rPr>
        <w:t>Staff-related</w:t>
      </w:r>
      <w:r w:rsidRPr="00EB2BD8">
        <w:rPr>
          <w:rFonts w:ascii="Arial"/>
          <w:spacing w:val="-8"/>
          <w:w w:val="105"/>
          <w:sz w:val="16"/>
        </w:rPr>
        <w:t xml:space="preserve"> </w:t>
      </w:r>
      <w:r w:rsidRPr="00EB2BD8">
        <w:rPr>
          <w:rFonts w:ascii="Arial"/>
          <w:w w:val="105"/>
          <w:sz w:val="16"/>
        </w:rPr>
        <w:t>expenses</w:t>
      </w:r>
      <w:r w:rsidRPr="00EB2BD8">
        <w:rPr>
          <w:rFonts w:ascii="Arial"/>
          <w:spacing w:val="-7"/>
          <w:w w:val="105"/>
          <w:sz w:val="16"/>
        </w:rPr>
        <w:t xml:space="preserve"> </w:t>
      </w:r>
      <w:r w:rsidRPr="00EB2BD8">
        <w:rPr>
          <w:rFonts w:ascii="Arial"/>
          <w:w w:val="105"/>
          <w:sz w:val="16"/>
        </w:rPr>
        <w:t>includes</w:t>
      </w:r>
      <w:r w:rsidRPr="00EB2BD8">
        <w:rPr>
          <w:rFonts w:ascii="Arial"/>
          <w:spacing w:val="-7"/>
          <w:w w:val="105"/>
          <w:sz w:val="16"/>
        </w:rPr>
        <w:t xml:space="preserve"> </w:t>
      </w:r>
      <w:r w:rsidRPr="00EB2BD8">
        <w:rPr>
          <w:rFonts w:ascii="Arial"/>
          <w:w w:val="105"/>
          <w:sz w:val="16"/>
        </w:rPr>
        <w:t>other</w:t>
      </w:r>
      <w:r w:rsidRPr="00EB2BD8">
        <w:rPr>
          <w:rFonts w:ascii="Arial"/>
          <w:spacing w:val="-7"/>
          <w:w w:val="105"/>
          <w:sz w:val="16"/>
        </w:rPr>
        <w:t xml:space="preserve"> </w:t>
      </w:r>
      <w:r w:rsidRPr="00EB2BD8">
        <w:rPr>
          <w:rFonts w:ascii="Arial"/>
          <w:w w:val="105"/>
          <w:sz w:val="16"/>
        </w:rPr>
        <w:t>costs</w:t>
      </w:r>
      <w:r w:rsidRPr="00EB2BD8">
        <w:rPr>
          <w:rFonts w:ascii="Arial"/>
          <w:spacing w:val="-7"/>
          <w:w w:val="105"/>
          <w:sz w:val="16"/>
        </w:rPr>
        <w:t xml:space="preserve"> </w:t>
      </w:r>
      <w:r w:rsidRPr="00EB2BD8">
        <w:rPr>
          <w:rFonts w:ascii="Arial"/>
          <w:w w:val="105"/>
          <w:sz w:val="16"/>
        </w:rPr>
        <w:t>related</w:t>
      </w:r>
      <w:r w:rsidRPr="00EB2BD8">
        <w:rPr>
          <w:rFonts w:ascii="Arial"/>
          <w:spacing w:val="-8"/>
          <w:w w:val="105"/>
          <w:sz w:val="16"/>
        </w:rPr>
        <w:t xml:space="preserve"> </w:t>
      </w:r>
      <w:r w:rsidRPr="00EB2BD8">
        <w:rPr>
          <w:rFonts w:ascii="Arial"/>
          <w:w w:val="105"/>
          <w:sz w:val="16"/>
        </w:rPr>
        <w:t>to</w:t>
      </w:r>
      <w:r w:rsidRPr="00EB2BD8">
        <w:rPr>
          <w:rFonts w:ascii="Arial"/>
          <w:spacing w:val="-8"/>
          <w:w w:val="105"/>
          <w:sz w:val="16"/>
        </w:rPr>
        <w:t xml:space="preserve"> </w:t>
      </w:r>
      <w:r w:rsidRPr="00EB2BD8">
        <w:rPr>
          <w:rFonts w:ascii="Arial"/>
          <w:w w:val="105"/>
          <w:sz w:val="16"/>
        </w:rPr>
        <w:t>employment</w:t>
      </w:r>
      <w:r w:rsidRPr="00EB2BD8">
        <w:rPr>
          <w:rFonts w:ascii="Arial"/>
          <w:spacing w:val="-7"/>
          <w:w w:val="105"/>
          <w:sz w:val="16"/>
        </w:rPr>
        <w:t xml:space="preserve"> </w:t>
      </w:r>
      <w:r w:rsidRPr="00EB2BD8">
        <w:rPr>
          <w:rFonts w:ascii="Arial"/>
          <w:w w:val="105"/>
          <w:sz w:val="16"/>
        </w:rPr>
        <w:t>including</w:t>
      </w:r>
      <w:r w:rsidRPr="00EB2BD8">
        <w:rPr>
          <w:rFonts w:ascii="Arial"/>
          <w:spacing w:val="-8"/>
          <w:w w:val="105"/>
          <w:sz w:val="16"/>
        </w:rPr>
        <w:t xml:space="preserve"> </w:t>
      </w:r>
      <w:r w:rsidRPr="00EB2BD8">
        <w:rPr>
          <w:rFonts w:ascii="Arial"/>
          <w:w w:val="105"/>
          <w:sz w:val="16"/>
        </w:rPr>
        <w:t>recruitment,</w:t>
      </w:r>
      <w:r w:rsidRPr="00EB2BD8">
        <w:rPr>
          <w:rFonts w:ascii="Arial"/>
          <w:spacing w:val="-7"/>
          <w:w w:val="105"/>
          <w:sz w:val="16"/>
        </w:rPr>
        <w:t xml:space="preserve"> </w:t>
      </w:r>
      <w:r w:rsidRPr="00EB2BD8">
        <w:rPr>
          <w:rFonts w:ascii="Arial"/>
          <w:w w:val="105"/>
          <w:sz w:val="16"/>
        </w:rPr>
        <w:t>training,</w:t>
      </w:r>
      <w:r w:rsidRPr="00EB2BD8">
        <w:rPr>
          <w:rFonts w:ascii="Arial"/>
          <w:spacing w:val="-7"/>
          <w:w w:val="105"/>
          <w:sz w:val="16"/>
        </w:rPr>
        <w:t xml:space="preserve"> </w:t>
      </w:r>
      <w:r w:rsidRPr="00EB2BD8">
        <w:rPr>
          <w:rFonts w:ascii="Arial"/>
          <w:w w:val="105"/>
          <w:sz w:val="16"/>
        </w:rPr>
        <w:t>study</w:t>
      </w:r>
      <w:r w:rsidRPr="00EB2BD8">
        <w:rPr>
          <w:rFonts w:ascii="Arial"/>
          <w:spacing w:val="-7"/>
          <w:w w:val="105"/>
          <w:sz w:val="16"/>
        </w:rPr>
        <w:t xml:space="preserve"> </w:t>
      </w:r>
      <w:r w:rsidRPr="00EB2BD8">
        <w:rPr>
          <w:rFonts w:ascii="Arial"/>
          <w:w w:val="105"/>
          <w:sz w:val="16"/>
        </w:rPr>
        <w:t>assistance</w:t>
      </w:r>
      <w:r w:rsidRPr="00EB2BD8">
        <w:rPr>
          <w:rFonts w:ascii="Arial"/>
          <w:spacing w:val="-8"/>
          <w:w w:val="105"/>
          <w:sz w:val="16"/>
        </w:rPr>
        <w:t xml:space="preserve"> </w:t>
      </w:r>
      <w:r w:rsidRPr="00EB2BD8">
        <w:rPr>
          <w:rFonts w:ascii="Arial"/>
          <w:w w:val="105"/>
          <w:sz w:val="16"/>
        </w:rPr>
        <w:t>and learning and development.</w:t>
      </w:r>
    </w:p>
    <w:p w14:paraId="3ECB9554" w14:textId="2D36FA97" w:rsidR="00084F36" w:rsidRPr="00EB2BD8" w:rsidRDefault="00084F36">
      <w:pPr>
        <w:pStyle w:val="BodyText"/>
        <w:spacing w:before="3"/>
        <w:rPr>
          <w:rFonts w:ascii="Arial"/>
          <w:sz w:val="19"/>
        </w:rPr>
      </w:pPr>
    </w:p>
    <w:p w14:paraId="232CA00B" w14:textId="6D38C635" w:rsidR="00084F36" w:rsidRPr="00EB2BD8" w:rsidRDefault="00EB2BD8">
      <w:pPr>
        <w:spacing w:line="288" w:lineRule="auto"/>
        <w:ind w:left="1086" w:right="1813"/>
        <w:rPr>
          <w:rFonts w:ascii="Arial"/>
          <w:sz w:val="16"/>
        </w:rPr>
      </w:pPr>
      <w:r w:rsidRPr="00EB2BD8">
        <w:rPr>
          <w:rFonts w:ascii="Arial"/>
          <w:w w:val="105"/>
          <w:sz w:val="16"/>
        </w:rPr>
        <w:t>The</w:t>
      </w:r>
      <w:r w:rsidRPr="00EB2BD8">
        <w:rPr>
          <w:rFonts w:ascii="Arial"/>
          <w:spacing w:val="-5"/>
          <w:w w:val="105"/>
          <w:sz w:val="16"/>
        </w:rPr>
        <w:t xml:space="preserve"> </w:t>
      </w:r>
      <w:r w:rsidRPr="00EB2BD8">
        <w:rPr>
          <w:rFonts w:ascii="Arial"/>
          <w:w w:val="105"/>
          <w:sz w:val="16"/>
        </w:rPr>
        <w:t>amount</w:t>
      </w:r>
      <w:r w:rsidRPr="00EB2BD8">
        <w:rPr>
          <w:rFonts w:ascii="Arial"/>
          <w:spacing w:val="-4"/>
          <w:w w:val="105"/>
          <w:sz w:val="16"/>
        </w:rPr>
        <w:t xml:space="preserve"> </w:t>
      </w:r>
      <w:r w:rsidRPr="00EB2BD8">
        <w:rPr>
          <w:rFonts w:ascii="Arial"/>
          <w:w w:val="105"/>
          <w:sz w:val="16"/>
        </w:rPr>
        <w:t>recognised</w:t>
      </w:r>
      <w:r w:rsidRPr="00EB2BD8">
        <w:rPr>
          <w:rFonts w:ascii="Arial"/>
          <w:spacing w:val="-5"/>
          <w:w w:val="105"/>
          <w:sz w:val="16"/>
        </w:rPr>
        <w:t xml:space="preserve"> </w:t>
      </w:r>
      <w:r w:rsidRPr="00EB2BD8">
        <w:rPr>
          <w:rFonts w:ascii="Arial"/>
          <w:w w:val="105"/>
          <w:sz w:val="16"/>
        </w:rPr>
        <w:t>in</w:t>
      </w:r>
      <w:r w:rsidRPr="00EB2BD8">
        <w:rPr>
          <w:rFonts w:ascii="Arial"/>
          <w:spacing w:val="-5"/>
          <w:w w:val="105"/>
          <w:sz w:val="16"/>
        </w:rPr>
        <w:t xml:space="preserve"> </w:t>
      </w:r>
      <w:r w:rsidRPr="00EB2BD8">
        <w:rPr>
          <w:rFonts w:ascii="Arial"/>
          <w:w w:val="105"/>
          <w:sz w:val="16"/>
        </w:rPr>
        <w:t>the</w:t>
      </w:r>
      <w:r w:rsidRPr="00EB2BD8">
        <w:rPr>
          <w:rFonts w:ascii="Arial"/>
          <w:spacing w:val="-4"/>
          <w:w w:val="105"/>
          <w:sz w:val="16"/>
        </w:rPr>
        <w:t xml:space="preserve"> </w:t>
      </w:r>
      <w:r w:rsidRPr="00EB2BD8">
        <w:rPr>
          <w:rFonts w:ascii="Arial"/>
          <w:w w:val="105"/>
          <w:sz w:val="16"/>
        </w:rPr>
        <w:t>comprehensive</w:t>
      </w:r>
      <w:r w:rsidRPr="00EB2BD8">
        <w:rPr>
          <w:rFonts w:ascii="Arial"/>
          <w:spacing w:val="-5"/>
          <w:w w:val="105"/>
          <w:sz w:val="16"/>
        </w:rPr>
        <w:t xml:space="preserve"> </w:t>
      </w:r>
      <w:r w:rsidRPr="00EB2BD8">
        <w:rPr>
          <w:rFonts w:ascii="Arial"/>
          <w:w w:val="105"/>
          <w:sz w:val="16"/>
        </w:rPr>
        <w:t>operating</w:t>
      </w:r>
      <w:r w:rsidRPr="00EB2BD8">
        <w:rPr>
          <w:rFonts w:ascii="Arial"/>
          <w:spacing w:val="-5"/>
          <w:w w:val="105"/>
          <w:sz w:val="16"/>
        </w:rPr>
        <w:t xml:space="preserve"> </w:t>
      </w:r>
      <w:r w:rsidRPr="00EB2BD8">
        <w:rPr>
          <w:rFonts w:ascii="Arial"/>
          <w:w w:val="105"/>
          <w:sz w:val="16"/>
        </w:rPr>
        <w:t>statement</w:t>
      </w:r>
      <w:r w:rsidRPr="00EB2BD8">
        <w:rPr>
          <w:rFonts w:ascii="Arial"/>
          <w:spacing w:val="-4"/>
          <w:w w:val="105"/>
          <w:sz w:val="16"/>
        </w:rPr>
        <w:t xml:space="preserve"> </w:t>
      </w:r>
      <w:r w:rsidRPr="00EB2BD8">
        <w:rPr>
          <w:rFonts w:ascii="Arial"/>
          <w:w w:val="105"/>
          <w:sz w:val="16"/>
        </w:rPr>
        <w:t>in</w:t>
      </w:r>
      <w:r w:rsidRPr="00EB2BD8">
        <w:rPr>
          <w:rFonts w:ascii="Arial"/>
          <w:spacing w:val="-5"/>
          <w:w w:val="105"/>
          <w:sz w:val="16"/>
        </w:rPr>
        <w:t xml:space="preserve"> </w:t>
      </w:r>
      <w:r w:rsidRPr="00EB2BD8">
        <w:rPr>
          <w:rFonts w:ascii="Arial"/>
          <w:w w:val="105"/>
          <w:sz w:val="16"/>
        </w:rPr>
        <w:t>relation</w:t>
      </w:r>
      <w:r w:rsidRPr="00EB2BD8">
        <w:rPr>
          <w:rFonts w:ascii="Arial"/>
          <w:spacing w:val="-5"/>
          <w:w w:val="105"/>
          <w:sz w:val="16"/>
        </w:rPr>
        <w:t xml:space="preserve"> </w:t>
      </w:r>
      <w:r w:rsidRPr="00EB2BD8">
        <w:rPr>
          <w:rFonts w:ascii="Arial"/>
          <w:w w:val="105"/>
          <w:sz w:val="16"/>
        </w:rPr>
        <w:t>to</w:t>
      </w:r>
      <w:r w:rsidRPr="00EB2BD8">
        <w:rPr>
          <w:rFonts w:ascii="Arial"/>
          <w:spacing w:val="-5"/>
          <w:w w:val="105"/>
          <w:sz w:val="16"/>
        </w:rPr>
        <w:t xml:space="preserve"> </w:t>
      </w:r>
      <w:r w:rsidRPr="00EB2BD8">
        <w:rPr>
          <w:rFonts w:ascii="Arial"/>
          <w:w w:val="105"/>
          <w:sz w:val="16"/>
        </w:rPr>
        <w:t>superannuation</w:t>
      </w:r>
      <w:r w:rsidRPr="00EB2BD8">
        <w:rPr>
          <w:rFonts w:ascii="Arial"/>
          <w:spacing w:val="-5"/>
          <w:w w:val="105"/>
          <w:sz w:val="16"/>
        </w:rPr>
        <w:t xml:space="preserve"> </w:t>
      </w:r>
      <w:r w:rsidRPr="00EB2BD8">
        <w:rPr>
          <w:rFonts w:ascii="Arial"/>
          <w:w w:val="105"/>
          <w:sz w:val="16"/>
        </w:rPr>
        <w:t>corresponds</w:t>
      </w:r>
      <w:r w:rsidRPr="00EB2BD8">
        <w:rPr>
          <w:rFonts w:ascii="Arial"/>
          <w:spacing w:val="-4"/>
          <w:w w:val="105"/>
          <w:sz w:val="16"/>
        </w:rPr>
        <w:t xml:space="preserve"> </w:t>
      </w:r>
      <w:r w:rsidRPr="00EB2BD8">
        <w:rPr>
          <w:rFonts w:ascii="Arial"/>
          <w:w w:val="105"/>
          <w:sz w:val="16"/>
        </w:rPr>
        <w:t>to</w:t>
      </w:r>
      <w:r w:rsidRPr="00EB2BD8">
        <w:rPr>
          <w:rFonts w:ascii="Arial"/>
          <w:spacing w:val="-5"/>
          <w:w w:val="105"/>
          <w:sz w:val="16"/>
        </w:rPr>
        <w:t xml:space="preserve"> </w:t>
      </w:r>
      <w:r w:rsidRPr="00EB2BD8">
        <w:rPr>
          <w:rFonts w:ascii="Arial"/>
          <w:w w:val="105"/>
          <w:sz w:val="16"/>
        </w:rPr>
        <w:t>employer contributions</w:t>
      </w:r>
      <w:r w:rsidRPr="00EB2BD8">
        <w:rPr>
          <w:rFonts w:ascii="Arial"/>
          <w:spacing w:val="-1"/>
          <w:w w:val="105"/>
          <w:sz w:val="16"/>
        </w:rPr>
        <w:t xml:space="preserve"> </w:t>
      </w:r>
      <w:r w:rsidRPr="00EB2BD8">
        <w:rPr>
          <w:rFonts w:ascii="Arial"/>
          <w:w w:val="105"/>
          <w:sz w:val="16"/>
        </w:rPr>
        <w:t>for</w:t>
      </w:r>
      <w:r w:rsidRPr="00EB2BD8">
        <w:rPr>
          <w:rFonts w:ascii="Arial"/>
          <w:spacing w:val="-1"/>
          <w:w w:val="105"/>
          <w:sz w:val="16"/>
        </w:rPr>
        <w:t xml:space="preserve"> </w:t>
      </w:r>
      <w:r w:rsidRPr="00EB2BD8">
        <w:rPr>
          <w:rFonts w:ascii="Arial"/>
          <w:w w:val="105"/>
          <w:sz w:val="16"/>
        </w:rPr>
        <w:t>members</w:t>
      </w:r>
      <w:r w:rsidRPr="00EB2BD8">
        <w:rPr>
          <w:rFonts w:ascii="Arial"/>
          <w:spacing w:val="-1"/>
          <w:w w:val="105"/>
          <w:sz w:val="16"/>
        </w:rPr>
        <w:t xml:space="preserve"> </w:t>
      </w:r>
      <w:r w:rsidRPr="00EB2BD8">
        <w:rPr>
          <w:rFonts w:ascii="Arial"/>
          <w:w w:val="105"/>
          <w:sz w:val="16"/>
        </w:rPr>
        <w:t>of</w:t>
      </w:r>
      <w:r w:rsidRPr="00EB2BD8">
        <w:rPr>
          <w:rFonts w:ascii="Arial"/>
          <w:spacing w:val="-1"/>
          <w:w w:val="105"/>
          <w:sz w:val="16"/>
        </w:rPr>
        <w:t xml:space="preserve"> </w:t>
      </w:r>
      <w:r w:rsidRPr="00EB2BD8">
        <w:rPr>
          <w:rFonts w:ascii="Arial"/>
          <w:w w:val="105"/>
          <w:sz w:val="16"/>
        </w:rPr>
        <w:t>both</w:t>
      </w:r>
      <w:r w:rsidRPr="00EB2BD8">
        <w:rPr>
          <w:rFonts w:ascii="Arial"/>
          <w:spacing w:val="-2"/>
          <w:w w:val="105"/>
          <w:sz w:val="16"/>
        </w:rPr>
        <w:t xml:space="preserve"> </w:t>
      </w:r>
      <w:r w:rsidRPr="00EB2BD8">
        <w:rPr>
          <w:rFonts w:ascii="Arial"/>
          <w:w w:val="105"/>
          <w:sz w:val="16"/>
        </w:rPr>
        <w:t>defined</w:t>
      </w:r>
      <w:r w:rsidRPr="00EB2BD8">
        <w:rPr>
          <w:rFonts w:ascii="Arial"/>
          <w:spacing w:val="-2"/>
          <w:w w:val="105"/>
          <w:sz w:val="16"/>
        </w:rPr>
        <w:t xml:space="preserve"> </w:t>
      </w:r>
      <w:r w:rsidRPr="00EB2BD8">
        <w:rPr>
          <w:rFonts w:ascii="Arial"/>
          <w:w w:val="105"/>
          <w:sz w:val="16"/>
        </w:rPr>
        <w:t>benefit</w:t>
      </w:r>
      <w:r w:rsidRPr="00EB2BD8">
        <w:rPr>
          <w:rFonts w:ascii="Arial"/>
          <w:spacing w:val="-1"/>
          <w:w w:val="105"/>
          <w:sz w:val="16"/>
        </w:rPr>
        <w:t xml:space="preserve"> </w:t>
      </w:r>
      <w:r w:rsidRPr="00EB2BD8">
        <w:rPr>
          <w:rFonts w:ascii="Arial"/>
          <w:w w:val="105"/>
          <w:sz w:val="16"/>
        </w:rPr>
        <w:t>and</w:t>
      </w:r>
      <w:r w:rsidRPr="00EB2BD8">
        <w:rPr>
          <w:rFonts w:ascii="Arial"/>
          <w:spacing w:val="-1"/>
          <w:w w:val="105"/>
          <w:sz w:val="16"/>
        </w:rPr>
        <w:t xml:space="preserve"> </w:t>
      </w:r>
      <w:r w:rsidRPr="00EB2BD8">
        <w:rPr>
          <w:rFonts w:ascii="Arial"/>
          <w:w w:val="105"/>
          <w:sz w:val="16"/>
        </w:rPr>
        <w:t>defined</w:t>
      </w:r>
      <w:r w:rsidRPr="00EB2BD8">
        <w:rPr>
          <w:rFonts w:ascii="Arial"/>
          <w:spacing w:val="-1"/>
          <w:w w:val="105"/>
          <w:sz w:val="16"/>
        </w:rPr>
        <w:t xml:space="preserve"> </w:t>
      </w:r>
      <w:r w:rsidRPr="00EB2BD8">
        <w:rPr>
          <w:rFonts w:ascii="Arial"/>
          <w:w w:val="105"/>
          <w:sz w:val="16"/>
        </w:rPr>
        <w:t>contribution</w:t>
      </w:r>
      <w:r w:rsidRPr="00EB2BD8">
        <w:rPr>
          <w:rFonts w:ascii="Arial"/>
          <w:spacing w:val="-1"/>
          <w:w w:val="105"/>
          <w:sz w:val="16"/>
        </w:rPr>
        <w:t xml:space="preserve"> </w:t>
      </w:r>
      <w:r w:rsidRPr="00EB2BD8">
        <w:rPr>
          <w:rFonts w:ascii="Arial"/>
          <w:w w:val="105"/>
          <w:sz w:val="16"/>
        </w:rPr>
        <w:t>superannuation</w:t>
      </w:r>
      <w:r w:rsidRPr="00EB2BD8">
        <w:rPr>
          <w:rFonts w:ascii="Arial"/>
          <w:spacing w:val="-2"/>
          <w:w w:val="105"/>
          <w:sz w:val="16"/>
        </w:rPr>
        <w:t xml:space="preserve"> </w:t>
      </w:r>
      <w:r w:rsidRPr="00EB2BD8">
        <w:rPr>
          <w:rFonts w:ascii="Arial"/>
          <w:w w:val="105"/>
          <w:sz w:val="16"/>
        </w:rPr>
        <w:t>plans</w:t>
      </w:r>
      <w:r w:rsidRPr="00EB2BD8">
        <w:rPr>
          <w:rFonts w:ascii="Arial"/>
          <w:spacing w:val="-1"/>
          <w:w w:val="105"/>
          <w:sz w:val="16"/>
        </w:rPr>
        <w:t xml:space="preserve"> </w:t>
      </w:r>
      <w:r w:rsidRPr="00EB2BD8">
        <w:rPr>
          <w:rFonts w:ascii="Arial"/>
          <w:w w:val="105"/>
          <w:sz w:val="16"/>
        </w:rPr>
        <w:t>that</w:t>
      </w:r>
      <w:r w:rsidRPr="00EB2BD8">
        <w:rPr>
          <w:rFonts w:ascii="Arial"/>
          <w:spacing w:val="-1"/>
          <w:w w:val="105"/>
          <w:sz w:val="16"/>
        </w:rPr>
        <w:t xml:space="preserve"> </w:t>
      </w:r>
      <w:r w:rsidRPr="00EB2BD8">
        <w:rPr>
          <w:rFonts w:ascii="Arial"/>
          <w:w w:val="105"/>
          <w:sz w:val="16"/>
        </w:rPr>
        <w:t>are</w:t>
      </w:r>
      <w:r w:rsidRPr="00EB2BD8">
        <w:rPr>
          <w:rFonts w:ascii="Arial"/>
          <w:spacing w:val="-2"/>
          <w:w w:val="105"/>
          <w:sz w:val="16"/>
        </w:rPr>
        <w:t xml:space="preserve"> </w:t>
      </w:r>
      <w:r w:rsidRPr="00EB2BD8">
        <w:rPr>
          <w:rFonts w:ascii="Arial"/>
          <w:w w:val="105"/>
          <w:sz w:val="16"/>
        </w:rPr>
        <w:t>paid</w:t>
      </w:r>
      <w:r w:rsidRPr="00EB2BD8">
        <w:rPr>
          <w:rFonts w:ascii="Arial"/>
          <w:spacing w:val="-2"/>
          <w:w w:val="105"/>
          <w:sz w:val="16"/>
        </w:rPr>
        <w:t xml:space="preserve"> </w:t>
      </w:r>
      <w:r w:rsidRPr="00EB2BD8">
        <w:rPr>
          <w:rFonts w:ascii="Arial"/>
          <w:w w:val="105"/>
          <w:sz w:val="16"/>
        </w:rPr>
        <w:t>or</w:t>
      </w:r>
      <w:r w:rsidRPr="00EB2BD8">
        <w:rPr>
          <w:rFonts w:ascii="Arial"/>
          <w:spacing w:val="-1"/>
          <w:w w:val="105"/>
          <w:sz w:val="16"/>
        </w:rPr>
        <w:t xml:space="preserve"> </w:t>
      </w:r>
      <w:r w:rsidRPr="00EB2BD8">
        <w:rPr>
          <w:rFonts w:ascii="Arial"/>
          <w:w w:val="105"/>
          <w:sz w:val="16"/>
        </w:rPr>
        <w:t>payable during the reporting period. The VBA does not recognise any defined benefit liabilities because it has no legal or constructive obligation to pay future benefits relating to its employees. Instead, the Department of Treasury and Finance (DTF)</w:t>
      </w:r>
      <w:r w:rsidRPr="00EB2BD8">
        <w:rPr>
          <w:rFonts w:ascii="Arial"/>
          <w:spacing w:val="-5"/>
          <w:w w:val="105"/>
          <w:sz w:val="16"/>
        </w:rPr>
        <w:t xml:space="preserve"> </w:t>
      </w:r>
      <w:r w:rsidRPr="00EB2BD8">
        <w:rPr>
          <w:rFonts w:ascii="Arial"/>
          <w:w w:val="105"/>
          <w:sz w:val="16"/>
        </w:rPr>
        <w:t>discloses</w:t>
      </w:r>
      <w:r w:rsidRPr="00EB2BD8">
        <w:rPr>
          <w:rFonts w:ascii="Arial"/>
          <w:spacing w:val="-5"/>
          <w:w w:val="105"/>
          <w:sz w:val="16"/>
        </w:rPr>
        <w:t xml:space="preserve"> </w:t>
      </w:r>
      <w:r w:rsidRPr="00EB2BD8">
        <w:rPr>
          <w:rFonts w:ascii="Arial"/>
          <w:w w:val="105"/>
          <w:sz w:val="16"/>
        </w:rPr>
        <w:t>in</w:t>
      </w:r>
      <w:r w:rsidRPr="00EB2BD8">
        <w:rPr>
          <w:rFonts w:ascii="Arial"/>
          <w:spacing w:val="-5"/>
          <w:w w:val="105"/>
          <w:sz w:val="16"/>
        </w:rPr>
        <w:t xml:space="preserve"> </w:t>
      </w:r>
      <w:r w:rsidRPr="00EB2BD8">
        <w:rPr>
          <w:rFonts w:ascii="Arial"/>
          <w:w w:val="105"/>
          <w:sz w:val="16"/>
        </w:rPr>
        <w:t>its</w:t>
      </w:r>
      <w:r w:rsidRPr="00EB2BD8">
        <w:rPr>
          <w:rFonts w:ascii="Arial"/>
          <w:spacing w:val="-5"/>
          <w:w w:val="105"/>
          <w:sz w:val="16"/>
        </w:rPr>
        <w:t xml:space="preserve"> </w:t>
      </w:r>
      <w:r w:rsidRPr="00EB2BD8">
        <w:rPr>
          <w:rFonts w:ascii="Arial"/>
          <w:w w:val="105"/>
          <w:sz w:val="16"/>
        </w:rPr>
        <w:t>annual</w:t>
      </w:r>
      <w:r w:rsidRPr="00EB2BD8">
        <w:rPr>
          <w:rFonts w:ascii="Arial"/>
          <w:spacing w:val="-5"/>
          <w:w w:val="105"/>
          <w:sz w:val="16"/>
        </w:rPr>
        <w:t xml:space="preserve"> </w:t>
      </w:r>
      <w:r w:rsidRPr="00EB2BD8">
        <w:rPr>
          <w:rFonts w:ascii="Arial"/>
          <w:w w:val="105"/>
          <w:sz w:val="16"/>
        </w:rPr>
        <w:t>financial</w:t>
      </w:r>
      <w:r w:rsidRPr="00EB2BD8">
        <w:rPr>
          <w:rFonts w:ascii="Arial"/>
          <w:spacing w:val="-5"/>
          <w:w w:val="105"/>
          <w:sz w:val="16"/>
        </w:rPr>
        <w:t xml:space="preserve"> </w:t>
      </w:r>
      <w:r w:rsidRPr="00EB2BD8">
        <w:rPr>
          <w:rFonts w:ascii="Arial"/>
          <w:w w:val="105"/>
          <w:sz w:val="16"/>
        </w:rPr>
        <w:t>statements</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net</w:t>
      </w:r>
      <w:r w:rsidRPr="00EB2BD8">
        <w:rPr>
          <w:rFonts w:ascii="Arial"/>
          <w:spacing w:val="-5"/>
          <w:w w:val="105"/>
          <w:sz w:val="16"/>
        </w:rPr>
        <w:t xml:space="preserve"> </w:t>
      </w:r>
      <w:r w:rsidRPr="00EB2BD8">
        <w:rPr>
          <w:rFonts w:ascii="Arial"/>
          <w:w w:val="105"/>
          <w:sz w:val="16"/>
        </w:rPr>
        <w:t>defined</w:t>
      </w:r>
      <w:r w:rsidRPr="00EB2BD8">
        <w:rPr>
          <w:rFonts w:ascii="Arial"/>
          <w:spacing w:val="-5"/>
          <w:w w:val="105"/>
          <w:sz w:val="16"/>
        </w:rPr>
        <w:t xml:space="preserve"> </w:t>
      </w:r>
      <w:r w:rsidRPr="00EB2BD8">
        <w:rPr>
          <w:rFonts w:ascii="Arial"/>
          <w:w w:val="105"/>
          <w:sz w:val="16"/>
        </w:rPr>
        <w:t>benefit</w:t>
      </w:r>
      <w:r w:rsidRPr="00EB2BD8">
        <w:rPr>
          <w:rFonts w:ascii="Arial"/>
          <w:spacing w:val="-5"/>
          <w:w w:val="105"/>
          <w:sz w:val="16"/>
        </w:rPr>
        <w:t xml:space="preserve"> </w:t>
      </w:r>
      <w:r w:rsidRPr="00EB2BD8">
        <w:rPr>
          <w:rFonts w:ascii="Arial"/>
          <w:w w:val="105"/>
          <w:sz w:val="16"/>
        </w:rPr>
        <w:t>cost</w:t>
      </w:r>
      <w:r w:rsidRPr="00EB2BD8">
        <w:rPr>
          <w:rFonts w:ascii="Arial"/>
          <w:spacing w:val="-5"/>
          <w:w w:val="105"/>
          <w:sz w:val="16"/>
        </w:rPr>
        <w:t xml:space="preserve"> </w:t>
      </w:r>
      <w:r w:rsidRPr="00EB2BD8">
        <w:rPr>
          <w:rFonts w:ascii="Arial"/>
          <w:w w:val="105"/>
          <w:sz w:val="16"/>
        </w:rPr>
        <w:t>related</w:t>
      </w:r>
      <w:r w:rsidRPr="00EB2BD8">
        <w:rPr>
          <w:rFonts w:ascii="Arial"/>
          <w:spacing w:val="-5"/>
          <w:w w:val="105"/>
          <w:sz w:val="16"/>
        </w:rPr>
        <w:t xml:space="preserve"> </w:t>
      </w:r>
      <w:r w:rsidRPr="00EB2BD8">
        <w:rPr>
          <w:rFonts w:ascii="Arial"/>
          <w:w w:val="105"/>
          <w:sz w:val="16"/>
        </w:rPr>
        <w:t>to</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members</w:t>
      </w:r>
      <w:r w:rsidRPr="00EB2BD8">
        <w:rPr>
          <w:rFonts w:ascii="Arial"/>
          <w:spacing w:val="-5"/>
          <w:w w:val="105"/>
          <w:sz w:val="16"/>
        </w:rPr>
        <w:t xml:space="preserve"> </w:t>
      </w:r>
      <w:r w:rsidRPr="00EB2BD8">
        <w:rPr>
          <w:rFonts w:ascii="Arial"/>
          <w:w w:val="105"/>
          <w:sz w:val="16"/>
        </w:rPr>
        <w:t>of</w:t>
      </w:r>
      <w:r w:rsidRPr="00EB2BD8">
        <w:rPr>
          <w:rFonts w:ascii="Arial"/>
          <w:spacing w:val="-5"/>
          <w:w w:val="105"/>
          <w:sz w:val="16"/>
        </w:rPr>
        <w:t xml:space="preserve"> </w:t>
      </w:r>
      <w:r w:rsidRPr="00EB2BD8">
        <w:rPr>
          <w:rFonts w:ascii="Arial"/>
          <w:w w:val="105"/>
          <w:sz w:val="16"/>
        </w:rPr>
        <w:t>these</w:t>
      </w:r>
      <w:r w:rsidRPr="00EB2BD8">
        <w:rPr>
          <w:rFonts w:ascii="Arial"/>
          <w:spacing w:val="-5"/>
          <w:w w:val="105"/>
          <w:sz w:val="16"/>
        </w:rPr>
        <w:t xml:space="preserve"> </w:t>
      </w:r>
      <w:r w:rsidRPr="00EB2BD8">
        <w:rPr>
          <w:rFonts w:ascii="Arial"/>
          <w:w w:val="105"/>
          <w:sz w:val="16"/>
        </w:rPr>
        <w:t>plans</w:t>
      </w:r>
      <w:r w:rsidRPr="00EB2BD8">
        <w:rPr>
          <w:rFonts w:ascii="Arial"/>
          <w:spacing w:val="-5"/>
          <w:w w:val="105"/>
          <w:sz w:val="16"/>
        </w:rPr>
        <w:t xml:space="preserve"> </w:t>
      </w:r>
      <w:r w:rsidRPr="00EB2BD8">
        <w:rPr>
          <w:rFonts w:ascii="Arial"/>
          <w:w w:val="105"/>
          <w:sz w:val="16"/>
        </w:rPr>
        <w:t>as</w:t>
      </w:r>
      <w:r w:rsidRPr="00EB2BD8">
        <w:rPr>
          <w:rFonts w:ascii="Arial"/>
          <w:spacing w:val="-5"/>
          <w:w w:val="105"/>
          <w:sz w:val="16"/>
        </w:rPr>
        <w:t xml:space="preserve"> </w:t>
      </w:r>
      <w:r w:rsidRPr="00EB2BD8">
        <w:rPr>
          <w:rFonts w:ascii="Arial"/>
          <w:w w:val="105"/>
          <w:sz w:val="16"/>
        </w:rPr>
        <w:t>an administered liability (on behalf of the State as the sponsoring employer).</w:t>
      </w:r>
    </w:p>
    <w:p w14:paraId="02048863" w14:textId="77777777" w:rsidR="00084F36" w:rsidRPr="00EB2BD8" w:rsidRDefault="00084F36">
      <w:pPr>
        <w:pStyle w:val="BodyText"/>
        <w:rPr>
          <w:rFonts w:ascii="Arial"/>
          <w:sz w:val="20"/>
        </w:rPr>
      </w:pPr>
    </w:p>
    <w:p w14:paraId="02F0EEE6" w14:textId="56067D42" w:rsidR="00084F36" w:rsidRPr="00EB2BD8" w:rsidRDefault="00084F36">
      <w:pPr>
        <w:pStyle w:val="BodyText"/>
        <w:rPr>
          <w:rFonts w:ascii="Arial"/>
          <w:sz w:val="20"/>
        </w:rPr>
      </w:pPr>
    </w:p>
    <w:p w14:paraId="7009921F" w14:textId="77777777" w:rsidR="00084F36" w:rsidRPr="00EB2BD8" w:rsidRDefault="00084F36">
      <w:pPr>
        <w:pStyle w:val="BodyText"/>
        <w:rPr>
          <w:rFonts w:ascii="Arial"/>
          <w:sz w:val="20"/>
        </w:rPr>
      </w:pPr>
    </w:p>
    <w:p w14:paraId="3A379250" w14:textId="77777777" w:rsidR="00084F36" w:rsidRPr="00EB2BD8" w:rsidRDefault="00084F36">
      <w:pPr>
        <w:pStyle w:val="BodyText"/>
        <w:rPr>
          <w:rFonts w:ascii="Arial"/>
          <w:sz w:val="20"/>
        </w:rPr>
      </w:pPr>
    </w:p>
    <w:p w14:paraId="00F4DE5C" w14:textId="77777777" w:rsidR="00084F36" w:rsidRPr="00EB2BD8" w:rsidRDefault="00084F36">
      <w:pPr>
        <w:pStyle w:val="BodyText"/>
        <w:rPr>
          <w:rFonts w:ascii="Arial"/>
          <w:sz w:val="20"/>
        </w:rPr>
      </w:pPr>
    </w:p>
    <w:p w14:paraId="4D0313FD" w14:textId="77777777" w:rsidR="00084F36" w:rsidRPr="00EB2BD8" w:rsidRDefault="00084F36">
      <w:pPr>
        <w:pStyle w:val="BodyText"/>
        <w:rPr>
          <w:rFonts w:ascii="Arial"/>
          <w:sz w:val="20"/>
        </w:rPr>
      </w:pPr>
    </w:p>
    <w:p w14:paraId="0A229CF8" w14:textId="77777777" w:rsidR="00084F36" w:rsidRPr="00EB2BD8" w:rsidRDefault="00084F36">
      <w:pPr>
        <w:pStyle w:val="BodyText"/>
        <w:rPr>
          <w:rFonts w:ascii="Arial"/>
          <w:sz w:val="20"/>
        </w:rPr>
      </w:pPr>
    </w:p>
    <w:p w14:paraId="6CEC7CAE" w14:textId="12CEC042" w:rsidR="00084F36" w:rsidRPr="00EB2BD8" w:rsidRDefault="00084F36">
      <w:pPr>
        <w:pStyle w:val="BodyText"/>
        <w:rPr>
          <w:rFonts w:ascii="Arial"/>
          <w:sz w:val="20"/>
        </w:rPr>
      </w:pPr>
    </w:p>
    <w:p w14:paraId="47780DF4" w14:textId="40DE1681" w:rsidR="00084F36" w:rsidRPr="00EB2BD8" w:rsidRDefault="00084F36">
      <w:pPr>
        <w:pStyle w:val="BodyText"/>
        <w:rPr>
          <w:rFonts w:ascii="Arial"/>
          <w:sz w:val="20"/>
        </w:rPr>
      </w:pPr>
    </w:p>
    <w:p w14:paraId="63BC3576" w14:textId="77777777" w:rsidR="00084F36" w:rsidRPr="00EB2BD8" w:rsidRDefault="00084F36">
      <w:pPr>
        <w:pStyle w:val="BodyText"/>
        <w:rPr>
          <w:rFonts w:ascii="Arial"/>
          <w:sz w:val="20"/>
        </w:rPr>
      </w:pPr>
    </w:p>
    <w:p w14:paraId="465BD851" w14:textId="79CA6B8B" w:rsidR="00084F36" w:rsidRPr="00EB2BD8" w:rsidRDefault="00084F36">
      <w:pPr>
        <w:pStyle w:val="BodyText"/>
        <w:rPr>
          <w:rFonts w:ascii="Arial"/>
          <w:sz w:val="20"/>
        </w:rPr>
      </w:pPr>
    </w:p>
    <w:p w14:paraId="4C867D35" w14:textId="77777777" w:rsidR="00084F36" w:rsidRPr="00EB2BD8" w:rsidRDefault="00084F36">
      <w:pPr>
        <w:pStyle w:val="BodyText"/>
        <w:rPr>
          <w:rFonts w:ascii="Arial"/>
          <w:sz w:val="20"/>
        </w:rPr>
      </w:pPr>
    </w:p>
    <w:p w14:paraId="5E7E35AA" w14:textId="0F6A686D" w:rsidR="00084F36" w:rsidRPr="00EB2BD8" w:rsidRDefault="00084F36">
      <w:pPr>
        <w:pStyle w:val="BodyText"/>
        <w:rPr>
          <w:rFonts w:ascii="Arial"/>
          <w:sz w:val="20"/>
        </w:rPr>
      </w:pPr>
    </w:p>
    <w:p w14:paraId="2ADDABAD" w14:textId="379B25F1" w:rsidR="00084F36" w:rsidRPr="00EB2BD8" w:rsidRDefault="00084F36">
      <w:pPr>
        <w:pStyle w:val="BodyText"/>
        <w:rPr>
          <w:rFonts w:ascii="Arial"/>
          <w:sz w:val="20"/>
        </w:rPr>
      </w:pPr>
    </w:p>
    <w:p w14:paraId="150FDB6D" w14:textId="77777777" w:rsidR="00084F36" w:rsidRPr="00EB2BD8" w:rsidRDefault="00084F36">
      <w:pPr>
        <w:pStyle w:val="BodyText"/>
        <w:rPr>
          <w:rFonts w:ascii="Arial"/>
          <w:sz w:val="20"/>
        </w:rPr>
      </w:pPr>
    </w:p>
    <w:p w14:paraId="1C619454" w14:textId="38784F84" w:rsidR="00084F36" w:rsidRPr="00EB2BD8" w:rsidRDefault="00084F36">
      <w:pPr>
        <w:pStyle w:val="BodyText"/>
        <w:rPr>
          <w:rFonts w:ascii="Arial"/>
          <w:sz w:val="20"/>
        </w:rPr>
      </w:pPr>
    </w:p>
    <w:p w14:paraId="6684290A" w14:textId="77777777" w:rsidR="00084F36" w:rsidRPr="00EB2BD8" w:rsidRDefault="00084F36">
      <w:pPr>
        <w:pStyle w:val="BodyText"/>
        <w:rPr>
          <w:rFonts w:ascii="Arial"/>
          <w:sz w:val="20"/>
        </w:rPr>
      </w:pPr>
    </w:p>
    <w:p w14:paraId="77274C41" w14:textId="77777777" w:rsidR="00084F36" w:rsidRPr="00EB2BD8" w:rsidRDefault="00084F36">
      <w:pPr>
        <w:pStyle w:val="BodyText"/>
        <w:rPr>
          <w:rFonts w:ascii="Arial"/>
          <w:sz w:val="20"/>
        </w:rPr>
      </w:pPr>
    </w:p>
    <w:p w14:paraId="39A561D5" w14:textId="54A3CF6D" w:rsidR="00084F36" w:rsidRPr="00EB2BD8" w:rsidRDefault="00084F36">
      <w:pPr>
        <w:pStyle w:val="BodyText"/>
        <w:rPr>
          <w:rFonts w:ascii="Arial"/>
          <w:sz w:val="20"/>
        </w:rPr>
      </w:pPr>
    </w:p>
    <w:p w14:paraId="18A70AEA" w14:textId="1F9A5072" w:rsidR="00084F36" w:rsidRPr="00EB2BD8" w:rsidRDefault="00084F36">
      <w:pPr>
        <w:pStyle w:val="BodyText"/>
        <w:spacing w:before="9"/>
        <w:rPr>
          <w:rFonts w:ascii="Arial"/>
          <w:sz w:val="19"/>
        </w:rPr>
      </w:pPr>
    </w:p>
    <w:p w14:paraId="16733D39" w14:textId="77777777" w:rsidR="00084F36" w:rsidRPr="00EB2BD8" w:rsidRDefault="00084F36">
      <w:pPr>
        <w:pStyle w:val="BodyText"/>
        <w:rPr>
          <w:sz w:val="20"/>
        </w:rPr>
      </w:pPr>
    </w:p>
    <w:p w14:paraId="5E0073FE" w14:textId="77777777" w:rsidR="00084F36" w:rsidRPr="00EB2BD8" w:rsidRDefault="00084F36">
      <w:pPr>
        <w:pStyle w:val="BodyText"/>
        <w:rPr>
          <w:sz w:val="20"/>
        </w:rPr>
      </w:pPr>
    </w:p>
    <w:p w14:paraId="526ED1A1" w14:textId="77777777" w:rsidR="00084F36" w:rsidRPr="00EB2BD8" w:rsidRDefault="00084F36">
      <w:pPr>
        <w:pStyle w:val="BodyText"/>
        <w:rPr>
          <w:sz w:val="20"/>
        </w:rPr>
      </w:pPr>
    </w:p>
    <w:p w14:paraId="006CFF15" w14:textId="77777777" w:rsidR="00084F36" w:rsidRPr="00EB2BD8" w:rsidRDefault="00084F36">
      <w:pPr>
        <w:pStyle w:val="BodyText"/>
        <w:rPr>
          <w:sz w:val="20"/>
        </w:rPr>
      </w:pPr>
    </w:p>
    <w:p w14:paraId="70828A30" w14:textId="77777777" w:rsidR="00084F36" w:rsidRPr="00EB2BD8" w:rsidRDefault="00084F36">
      <w:pPr>
        <w:pStyle w:val="BodyText"/>
        <w:rPr>
          <w:sz w:val="20"/>
        </w:rPr>
      </w:pPr>
    </w:p>
    <w:p w14:paraId="5AFC512B" w14:textId="77777777" w:rsidR="00084F36" w:rsidRPr="00EB2BD8" w:rsidRDefault="00084F36">
      <w:pPr>
        <w:pStyle w:val="BodyText"/>
        <w:spacing w:before="1"/>
        <w:rPr>
          <w:sz w:val="23"/>
        </w:rPr>
      </w:pPr>
    </w:p>
    <w:p w14:paraId="1CC2BC0F" w14:textId="6177ED2D" w:rsidR="00084F36" w:rsidRPr="00EB2BD8" w:rsidRDefault="00B82021" w:rsidP="004D7D83">
      <w:pPr>
        <w:pStyle w:val="Heading2"/>
        <w:ind w:firstLine="157"/>
      </w:pPr>
      <w:bookmarkStart w:id="276" w:name="_Toc150762578"/>
      <w:r>
        <w:t xml:space="preserve">3.1.1 </w:t>
      </w:r>
      <w:r w:rsidR="00EB2BD8" w:rsidRPr="00EB2BD8">
        <w:t>Employee-related</w:t>
      </w:r>
      <w:r w:rsidR="00EB2BD8" w:rsidRPr="00EB2BD8">
        <w:rPr>
          <w:spacing w:val="32"/>
        </w:rPr>
        <w:t xml:space="preserve"> </w:t>
      </w:r>
      <w:r w:rsidR="00EB2BD8" w:rsidRPr="00EB2BD8">
        <w:rPr>
          <w:spacing w:val="-2"/>
        </w:rPr>
        <w:t>provisions</w:t>
      </w:r>
      <w:bookmarkEnd w:id="276"/>
    </w:p>
    <w:p w14:paraId="75B55254" w14:textId="77777777" w:rsidR="00084F36" w:rsidRPr="00EB2BD8" w:rsidRDefault="00084F36">
      <w:pPr>
        <w:pStyle w:val="BodyText"/>
        <w:spacing w:before="10"/>
        <w:rPr>
          <w:rFonts w:ascii="Arial"/>
          <w:b/>
          <w:sz w:val="32"/>
        </w:rPr>
      </w:pPr>
    </w:p>
    <w:p w14:paraId="48245A46" w14:textId="77777777" w:rsidR="00084F36" w:rsidRPr="00EB2BD8" w:rsidRDefault="00EB2BD8">
      <w:pPr>
        <w:spacing w:line="288" w:lineRule="auto"/>
        <w:ind w:left="1007" w:right="1761"/>
        <w:rPr>
          <w:rFonts w:ascii="Arial"/>
          <w:sz w:val="16"/>
        </w:rPr>
      </w:pPr>
      <w:r w:rsidRPr="00EB2BD8">
        <w:rPr>
          <w:rFonts w:ascii="Arial"/>
          <w:w w:val="105"/>
          <w:sz w:val="16"/>
        </w:rPr>
        <w:t>Provision</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made</w:t>
      </w:r>
      <w:r w:rsidRPr="00EB2BD8">
        <w:rPr>
          <w:rFonts w:ascii="Arial"/>
          <w:spacing w:val="-3"/>
          <w:w w:val="105"/>
          <w:sz w:val="16"/>
        </w:rPr>
        <w:t xml:space="preserve"> </w:t>
      </w:r>
      <w:r w:rsidRPr="00EB2BD8">
        <w:rPr>
          <w:rFonts w:ascii="Arial"/>
          <w:w w:val="105"/>
          <w:sz w:val="16"/>
        </w:rPr>
        <w:t>for</w:t>
      </w:r>
      <w:r w:rsidRPr="00EB2BD8">
        <w:rPr>
          <w:rFonts w:ascii="Arial"/>
          <w:spacing w:val="-3"/>
          <w:w w:val="105"/>
          <w:sz w:val="16"/>
        </w:rPr>
        <w:t xml:space="preserve"> </w:t>
      </w:r>
      <w:r w:rsidRPr="00EB2BD8">
        <w:rPr>
          <w:rFonts w:ascii="Arial"/>
          <w:w w:val="105"/>
          <w:sz w:val="16"/>
        </w:rPr>
        <w:t>benefits</w:t>
      </w:r>
      <w:r w:rsidRPr="00EB2BD8">
        <w:rPr>
          <w:rFonts w:ascii="Arial"/>
          <w:spacing w:val="-3"/>
          <w:w w:val="105"/>
          <w:sz w:val="16"/>
        </w:rPr>
        <w:t xml:space="preserve"> </w:t>
      </w:r>
      <w:r w:rsidRPr="00EB2BD8">
        <w:rPr>
          <w:rFonts w:ascii="Arial"/>
          <w:w w:val="105"/>
          <w:sz w:val="16"/>
        </w:rPr>
        <w:t>accruing</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employees</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respect</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wages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salaries,</w:t>
      </w:r>
      <w:r w:rsidRPr="00EB2BD8">
        <w:rPr>
          <w:rFonts w:ascii="Arial"/>
          <w:spacing w:val="-3"/>
          <w:w w:val="105"/>
          <w:sz w:val="16"/>
        </w:rPr>
        <w:t xml:space="preserve"> </w:t>
      </w:r>
      <w:r w:rsidRPr="00EB2BD8">
        <w:rPr>
          <w:rFonts w:ascii="Arial"/>
          <w:w w:val="105"/>
          <w:sz w:val="16"/>
        </w:rPr>
        <w:t>annual</w:t>
      </w:r>
      <w:r w:rsidRPr="00EB2BD8">
        <w:rPr>
          <w:rFonts w:ascii="Arial"/>
          <w:spacing w:val="-3"/>
          <w:w w:val="105"/>
          <w:sz w:val="16"/>
        </w:rPr>
        <w:t xml:space="preserve"> </w:t>
      </w:r>
      <w:r w:rsidRPr="00EB2BD8">
        <w:rPr>
          <w:rFonts w:ascii="Arial"/>
          <w:w w:val="105"/>
          <w:sz w:val="16"/>
        </w:rPr>
        <w:t>leave</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long</w:t>
      </w:r>
      <w:r w:rsidRPr="00EB2BD8">
        <w:rPr>
          <w:rFonts w:ascii="Arial"/>
          <w:spacing w:val="-3"/>
          <w:w w:val="105"/>
          <w:sz w:val="16"/>
        </w:rPr>
        <w:t xml:space="preserve"> </w:t>
      </w:r>
      <w:r w:rsidRPr="00EB2BD8">
        <w:rPr>
          <w:rFonts w:ascii="Arial"/>
          <w:w w:val="105"/>
          <w:sz w:val="16"/>
        </w:rPr>
        <w:t>service</w:t>
      </w:r>
      <w:r w:rsidRPr="00EB2BD8">
        <w:rPr>
          <w:rFonts w:ascii="Arial"/>
          <w:spacing w:val="-3"/>
          <w:w w:val="105"/>
          <w:sz w:val="16"/>
        </w:rPr>
        <w:t xml:space="preserve"> </w:t>
      </w:r>
      <w:r w:rsidRPr="00EB2BD8">
        <w:rPr>
          <w:rFonts w:ascii="Arial"/>
          <w:w w:val="105"/>
          <w:sz w:val="16"/>
        </w:rPr>
        <w:t>leave (LSL) for services rendered to the reporting date and recorded as an expense during the period the services are delivered.</w:t>
      </w:r>
    </w:p>
    <w:p w14:paraId="35A80FB7" w14:textId="77777777" w:rsidR="00084F36" w:rsidRPr="00EB2BD8" w:rsidRDefault="00084F36">
      <w:pPr>
        <w:pStyle w:val="BodyText"/>
        <w:spacing w:before="9"/>
        <w:rPr>
          <w:rFonts w:ascii="Arial"/>
          <w:sz w:val="24"/>
        </w:rPr>
      </w:pPr>
    </w:p>
    <w:p w14:paraId="0B6FA29F" w14:textId="77777777" w:rsidR="00084F36" w:rsidRPr="00EB2BD8" w:rsidRDefault="00EB2BD8">
      <w:pPr>
        <w:spacing w:after="56"/>
        <w:ind w:left="9509"/>
        <w:rPr>
          <w:rFonts w:ascii="Arial" w:hAnsi="Arial"/>
          <w:sz w:val="16"/>
        </w:rPr>
      </w:pPr>
      <w:r w:rsidRPr="00EB2BD8">
        <w:rPr>
          <w:rFonts w:ascii="Arial" w:hAnsi="Arial"/>
          <w:spacing w:val="-2"/>
          <w:w w:val="105"/>
          <w:sz w:val="16"/>
        </w:rPr>
        <w:t>($’000)</w:t>
      </w:r>
    </w:p>
    <w:tbl>
      <w:tblPr>
        <w:tblW w:w="0" w:type="auto"/>
        <w:tblInd w:w="1015" w:type="dxa"/>
        <w:tblLayout w:type="fixed"/>
        <w:tblCellMar>
          <w:left w:w="0" w:type="dxa"/>
          <w:right w:w="0" w:type="dxa"/>
        </w:tblCellMar>
        <w:tblLook w:val="01E0" w:firstRow="1" w:lastRow="1" w:firstColumn="1" w:lastColumn="1" w:noHBand="0" w:noVBand="0"/>
      </w:tblPr>
      <w:tblGrid>
        <w:gridCol w:w="6216"/>
        <w:gridCol w:w="1456"/>
        <w:gridCol w:w="1455"/>
      </w:tblGrid>
      <w:tr w:rsidR="00EB2BD8" w:rsidRPr="00EB2BD8" w14:paraId="0766FCC4" w14:textId="77777777">
        <w:trPr>
          <w:trHeight w:val="307"/>
        </w:trPr>
        <w:tc>
          <w:tcPr>
            <w:tcW w:w="7672" w:type="dxa"/>
            <w:gridSpan w:val="2"/>
            <w:tcBorders>
              <w:top w:val="single" w:sz="4" w:space="0" w:color="0098FF"/>
              <w:left w:val="single" w:sz="4" w:space="0" w:color="0098FF"/>
            </w:tcBorders>
            <w:shd w:val="clear" w:color="auto" w:fill="0070C0"/>
          </w:tcPr>
          <w:p w14:paraId="54BE57A5" w14:textId="77777777" w:rsidR="00084F36" w:rsidRPr="00EB2BD8" w:rsidRDefault="00EB2BD8">
            <w:pPr>
              <w:pStyle w:val="TableParagraph"/>
              <w:spacing w:before="64"/>
              <w:ind w:right="96"/>
              <w:jc w:val="right"/>
              <w:rPr>
                <w:rFonts w:ascii="Arial"/>
                <w:b/>
                <w:sz w:val="16"/>
              </w:rPr>
            </w:pPr>
            <w:r w:rsidRPr="00EB2BD8">
              <w:rPr>
                <w:rFonts w:ascii="Arial"/>
                <w:b/>
                <w:spacing w:val="-4"/>
                <w:w w:val="105"/>
                <w:sz w:val="16"/>
              </w:rPr>
              <w:t>2023</w:t>
            </w:r>
          </w:p>
        </w:tc>
        <w:tc>
          <w:tcPr>
            <w:tcW w:w="1455" w:type="dxa"/>
            <w:tcBorders>
              <w:top w:val="single" w:sz="4" w:space="0" w:color="0098FF"/>
              <w:bottom w:val="single" w:sz="4" w:space="0" w:color="0098FF"/>
              <w:right w:val="single" w:sz="4" w:space="0" w:color="0098FF"/>
            </w:tcBorders>
            <w:shd w:val="clear" w:color="auto" w:fill="0070C0"/>
          </w:tcPr>
          <w:p w14:paraId="25354363" w14:textId="77777777" w:rsidR="00084F36" w:rsidRPr="00EB2BD8" w:rsidRDefault="00EB2BD8">
            <w:pPr>
              <w:pStyle w:val="TableParagraph"/>
              <w:spacing w:before="64"/>
              <w:ind w:right="91"/>
              <w:jc w:val="right"/>
              <w:rPr>
                <w:rFonts w:ascii="Arial"/>
                <w:b/>
                <w:sz w:val="16"/>
              </w:rPr>
            </w:pPr>
            <w:r w:rsidRPr="00EB2BD8">
              <w:rPr>
                <w:rFonts w:ascii="Arial"/>
                <w:b/>
                <w:spacing w:val="-4"/>
                <w:w w:val="105"/>
                <w:sz w:val="16"/>
              </w:rPr>
              <w:t>2022</w:t>
            </w:r>
          </w:p>
        </w:tc>
      </w:tr>
      <w:tr w:rsidR="00EB2BD8" w:rsidRPr="00EB2BD8" w14:paraId="37BD036F" w14:textId="77777777">
        <w:trPr>
          <w:trHeight w:val="311"/>
        </w:trPr>
        <w:tc>
          <w:tcPr>
            <w:tcW w:w="6216" w:type="dxa"/>
            <w:tcBorders>
              <w:top w:val="single" w:sz="4" w:space="0" w:color="0098FF"/>
            </w:tcBorders>
            <w:shd w:val="clear" w:color="auto" w:fill="FFFFFF"/>
          </w:tcPr>
          <w:p w14:paraId="14FBAFD7" w14:textId="77777777" w:rsidR="00084F36" w:rsidRPr="00EB2BD8" w:rsidRDefault="00EB2BD8">
            <w:pPr>
              <w:pStyle w:val="TableParagraph"/>
              <w:spacing w:before="63"/>
              <w:ind w:left="105"/>
              <w:rPr>
                <w:rFonts w:ascii="Arial"/>
                <w:b/>
                <w:sz w:val="16"/>
              </w:rPr>
            </w:pPr>
            <w:r w:rsidRPr="00EB2BD8">
              <w:rPr>
                <w:rFonts w:ascii="Arial"/>
                <w:b/>
                <w:w w:val="105"/>
                <w:sz w:val="16"/>
              </w:rPr>
              <w:t>Current</w:t>
            </w:r>
            <w:r w:rsidRPr="00EB2BD8">
              <w:rPr>
                <w:rFonts w:ascii="Arial"/>
                <w:b/>
                <w:spacing w:val="-12"/>
                <w:w w:val="105"/>
                <w:sz w:val="16"/>
              </w:rPr>
              <w:t xml:space="preserve"> </w:t>
            </w:r>
            <w:r w:rsidRPr="00EB2BD8">
              <w:rPr>
                <w:rFonts w:ascii="Arial"/>
                <w:b/>
                <w:spacing w:val="-2"/>
                <w:w w:val="105"/>
                <w:sz w:val="16"/>
              </w:rPr>
              <w:t>provisions</w:t>
            </w:r>
          </w:p>
        </w:tc>
        <w:tc>
          <w:tcPr>
            <w:tcW w:w="1456" w:type="dxa"/>
            <w:shd w:val="clear" w:color="auto" w:fill="DEEAF6"/>
          </w:tcPr>
          <w:p w14:paraId="16958D45" w14:textId="77777777" w:rsidR="00084F36" w:rsidRPr="00EB2BD8" w:rsidRDefault="00084F36">
            <w:pPr>
              <w:pStyle w:val="TableParagraph"/>
              <w:rPr>
                <w:rFonts w:ascii="Times New Roman"/>
                <w:sz w:val="16"/>
              </w:rPr>
            </w:pPr>
          </w:p>
        </w:tc>
        <w:tc>
          <w:tcPr>
            <w:tcW w:w="1455" w:type="dxa"/>
            <w:tcBorders>
              <w:top w:val="single" w:sz="4" w:space="0" w:color="0098FF"/>
            </w:tcBorders>
            <w:shd w:val="clear" w:color="auto" w:fill="FFFFFF"/>
          </w:tcPr>
          <w:p w14:paraId="02595275" w14:textId="77777777" w:rsidR="00084F36" w:rsidRPr="00EB2BD8" w:rsidRDefault="00084F36">
            <w:pPr>
              <w:pStyle w:val="TableParagraph"/>
              <w:rPr>
                <w:rFonts w:ascii="Times New Roman"/>
                <w:sz w:val="16"/>
              </w:rPr>
            </w:pPr>
          </w:p>
        </w:tc>
      </w:tr>
      <w:tr w:rsidR="00EB2BD8" w:rsidRPr="00EB2BD8" w14:paraId="51028F81" w14:textId="77777777">
        <w:trPr>
          <w:trHeight w:val="315"/>
        </w:trPr>
        <w:tc>
          <w:tcPr>
            <w:tcW w:w="6216" w:type="dxa"/>
            <w:shd w:val="clear" w:color="auto" w:fill="FFFFFF"/>
          </w:tcPr>
          <w:p w14:paraId="69398441" w14:textId="77777777" w:rsidR="00084F36" w:rsidRPr="00EB2BD8" w:rsidRDefault="00EB2BD8">
            <w:pPr>
              <w:pStyle w:val="TableParagraph"/>
              <w:spacing w:before="64"/>
              <w:ind w:left="105"/>
              <w:rPr>
                <w:rFonts w:ascii="Arial"/>
                <w:b/>
                <w:i/>
                <w:sz w:val="16"/>
              </w:rPr>
            </w:pPr>
            <w:r w:rsidRPr="00EB2BD8">
              <w:rPr>
                <w:rFonts w:ascii="Arial"/>
                <w:b/>
                <w:i/>
                <w:w w:val="105"/>
                <w:sz w:val="16"/>
              </w:rPr>
              <w:t>Annual</w:t>
            </w:r>
            <w:r w:rsidRPr="00EB2BD8">
              <w:rPr>
                <w:rFonts w:ascii="Arial"/>
                <w:b/>
                <w:i/>
                <w:spacing w:val="-8"/>
                <w:w w:val="105"/>
                <w:sz w:val="16"/>
              </w:rPr>
              <w:t xml:space="preserve"> </w:t>
            </w:r>
            <w:r w:rsidRPr="00EB2BD8">
              <w:rPr>
                <w:rFonts w:ascii="Arial"/>
                <w:b/>
                <w:i/>
                <w:spacing w:val="-2"/>
                <w:w w:val="105"/>
                <w:sz w:val="16"/>
              </w:rPr>
              <w:t>leave</w:t>
            </w:r>
          </w:p>
        </w:tc>
        <w:tc>
          <w:tcPr>
            <w:tcW w:w="1456" w:type="dxa"/>
            <w:shd w:val="clear" w:color="auto" w:fill="DEEAF6"/>
          </w:tcPr>
          <w:p w14:paraId="5E9394AB" w14:textId="77777777" w:rsidR="00084F36" w:rsidRPr="00EB2BD8" w:rsidRDefault="00084F36">
            <w:pPr>
              <w:pStyle w:val="TableParagraph"/>
              <w:rPr>
                <w:rFonts w:ascii="Times New Roman"/>
                <w:sz w:val="16"/>
              </w:rPr>
            </w:pPr>
          </w:p>
        </w:tc>
        <w:tc>
          <w:tcPr>
            <w:tcW w:w="1455" w:type="dxa"/>
            <w:shd w:val="clear" w:color="auto" w:fill="FFFFFF"/>
          </w:tcPr>
          <w:p w14:paraId="5EBB42E7" w14:textId="77777777" w:rsidR="00084F36" w:rsidRPr="00EB2BD8" w:rsidRDefault="00084F36">
            <w:pPr>
              <w:pStyle w:val="TableParagraph"/>
              <w:rPr>
                <w:rFonts w:ascii="Times New Roman"/>
                <w:sz w:val="16"/>
              </w:rPr>
            </w:pPr>
          </w:p>
        </w:tc>
      </w:tr>
      <w:tr w:rsidR="00EB2BD8" w:rsidRPr="00EB2BD8" w14:paraId="4FC639A5" w14:textId="77777777">
        <w:trPr>
          <w:trHeight w:val="317"/>
        </w:trPr>
        <w:tc>
          <w:tcPr>
            <w:tcW w:w="6216" w:type="dxa"/>
            <w:shd w:val="clear" w:color="auto" w:fill="FFFFFF"/>
          </w:tcPr>
          <w:p w14:paraId="6A481DCE" w14:textId="77777777" w:rsidR="00084F36" w:rsidRPr="00EB2BD8" w:rsidRDefault="00EB2BD8">
            <w:pPr>
              <w:pStyle w:val="TableParagraph"/>
              <w:spacing w:before="67"/>
              <w:ind w:left="105"/>
              <w:rPr>
                <w:rFonts w:ascii="Arial"/>
                <w:sz w:val="16"/>
              </w:rPr>
            </w:pPr>
            <w:r w:rsidRPr="00EB2BD8">
              <w:rPr>
                <w:rFonts w:ascii="Arial"/>
                <w:w w:val="105"/>
                <w:sz w:val="16"/>
              </w:rPr>
              <w:t>Unconditional</w:t>
            </w:r>
            <w:r w:rsidRPr="00EB2BD8">
              <w:rPr>
                <w:rFonts w:ascii="Arial"/>
                <w:spacing w:val="-7"/>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expected</w:t>
            </w:r>
            <w:r w:rsidRPr="00EB2BD8">
              <w:rPr>
                <w:rFonts w:ascii="Arial"/>
                <w:spacing w:val="-7"/>
                <w:w w:val="105"/>
                <w:sz w:val="16"/>
              </w:rPr>
              <w:t xml:space="preserve"> </w:t>
            </w:r>
            <w:r w:rsidRPr="00EB2BD8">
              <w:rPr>
                <w:rFonts w:ascii="Arial"/>
                <w:w w:val="105"/>
                <w:sz w:val="16"/>
              </w:rPr>
              <w:t>to</w:t>
            </w:r>
            <w:r w:rsidRPr="00EB2BD8">
              <w:rPr>
                <w:rFonts w:ascii="Arial"/>
                <w:spacing w:val="-7"/>
                <w:w w:val="105"/>
                <w:sz w:val="16"/>
              </w:rPr>
              <w:t xml:space="preserve"> </w:t>
            </w:r>
            <w:r w:rsidRPr="00EB2BD8">
              <w:rPr>
                <w:rFonts w:ascii="Arial"/>
                <w:w w:val="105"/>
                <w:sz w:val="16"/>
              </w:rPr>
              <w:t>settle</w:t>
            </w:r>
            <w:r w:rsidRPr="00EB2BD8">
              <w:rPr>
                <w:rFonts w:ascii="Arial"/>
                <w:spacing w:val="-7"/>
                <w:w w:val="105"/>
                <w:sz w:val="16"/>
              </w:rPr>
              <w:t xml:space="preserve"> </w:t>
            </w:r>
            <w:r w:rsidRPr="00EB2BD8">
              <w:rPr>
                <w:rFonts w:ascii="Arial"/>
                <w:w w:val="105"/>
                <w:sz w:val="16"/>
              </w:rPr>
              <w:t>within</w:t>
            </w:r>
            <w:r w:rsidRPr="00EB2BD8">
              <w:rPr>
                <w:rFonts w:ascii="Arial"/>
                <w:spacing w:val="-7"/>
                <w:w w:val="105"/>
                <w:sz w:val="16"/>
              </w:rPr>
              <w:t xml:space="preserve"> </w:t>
            </w:r>
            <w:r w:rsidRPr="00EB2BD8">
              <w:rPr>
                <w:rFonts w:ascii="Arial"/>
                <w:w w:val="105"/>
                <w:sz w:val="16"/>
              </w:rPr>
              <w:t>12</w:t>
            </w:r>
            <w:r w:rsidRPr="00EB2BD8">
              <w:rPr>
                <w:rFonts w:ascii="Arial"/>
                <w:spacing w:val="-7"/>
                <w:w w:val="105"/>
                <w:sz w:val="16"/>
              </w:rPr>
              <w:t xml:space="preserve"> </w:t>
            </w:r>
            <w:r w:rsidRPr="00EB2BD8">
              <w:rPr>
                <w:rFonts w:ascii="Arial"/>
                <w:spacing w:val="-2"/>
                <w:w w:val="105"/>
                <w:sz w:val="16"/>
              </w:rPr>
              <w:t>months</w:t>
            </w:r>
          </w:p>
        </w:tc>
        <w:tc>
          <w:tcPr>
            <w:tcW w:w="1456" w:type="dxa"/>
            <w:shd w:val="clear" w:color="auto" w:fill="DEEAF6"/>
          </w:tcPr>
          <w:p w14:paraId="6BAC4EC9" w14:textId="77777777" w:rsidR="00084F36" w:rsidRPr="00EB2BD8" w:rsidRDefault="00EB2BD8">
            <w:pPr>
              <w:pStyle w:val="TableParagraph"/>
              <w:spacing w:before="67"/>
              <w:ind w:right="97"/>
              <w:jc w:val="right"/>
              <w:rPr>
                <w:rFonts w:ascii="Arial"/>
                <w:sz w:val="16"/>
              </w:rPr>
            </w:pPr>
            <w:r w:rsidRPr="00EB2BD8">
              <w:rPr>
                <w:rFonts w:ascii="Arial"/>
                <w:spacing w:val="-2"/>
                <w:w w:val="105"/>
                <w:sz w:val="16"/>
              </w:rPr>
              <w:t>1,505</w:t>
            </w:r>
          </w:p>
        </w:tc>
        <w:tc>
          <w:tcPr>
            <w:tcW w:w="1455" w:type="dxa"/>
            <w:shd w:val="clear" w:color="auto" w:fill="FFFFFF"/>
          </w:tcPr>
          <w:p w14:paraId="4C5764E3" w14:textId="77777777" w:rsidR="00084F36" w:rsidRPr="00EB2BD8" w:rsidRDefault="00EB2BD8">
            <w:pPr>
              <w:pStyle w:val="TableParagraph"/>
              <w:spacing w:before="67"/>
              <w:ind w:right="95"/>
              <w:jc w:val="right"/>
              <w:rPr>
                <w:rFonts w:ascii="Arial"/>
                <w:sz w:val="16"/>
              </w:rPr>
            </w:pPr>
            <w:r w:rsidRPr="00EB2BD8">
              <w:rPr>
                <w:rFonts w:ascii="Arial"/>
                <w:spacing w:val="-2"/>
                <w:w w:val="105"/>
                <w:sz w:val="16"/>
              </w:rPr>
              <w:t>1,189</w:t>
            </w:r>
          </w:p>
        </w:tc>
      </w:tr>
      <w:tr w:rsidR="00EB2BD8" w:rsidRPr="00EB2BD8" w14:paraId="49B34B8B" w14:textId="77777777">
        <w:trPr>
          <w:trHeight w:val="316"/>
        </w:trPr>
        <w:tc>
          <w:tcPr>
            <w:tcW w:w="6216" w:type="dxa"/>
            <w:shd w:val="clear" w:color="auto" w:fill="FFFFFF"/>
          </w:tcPr>
          <w:p w14:paraId="029E5F57" w14:textId="77777777" w:rsidR="00084F36" w:rsidRPr="00EB2BD8" w:rsidRDefault="00EB2BD8">
            <w:pPr>
              <w:pStyle w:val="TableParagraph"/>
              <w:spacing w:before="66"/>
              <w:ind w:left="105"/>
              <w:rPr>
                <w:rFonts w:ascii="Arial"/>
                <w:sz w:val="16"/>
              </w:rPr>
            </w:pPr>
            <w:r w:rsidRPr="00EB2BD8">
              <w:rPr>
                <w:rFonts w:ascii="Arial"/>
                <w:w w:val="105"/>
                <w:sz w:val="16"/>
              </w:rPr>
              <w:t>Unconditional</w:t>
            </w:r>
            <w:r w:rsidRPr="00EB2BD8">
              <w:rPr>
                <w:rFonts w:ascii="Arial"/>
                <w:spacing w:val="-6"/>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expected</w:t>
            </w:r>
            <w:r w:rsidRPr="00EB2BD8">
              <w:rPr>
                <w:rFonts w:ascii="Arial"/>
                <w:spacing w:val="-7"/>
                <w:w w:val="105"/>
                <w:sz w:val="16"/>
              </w:rPr>
              <w:t xml:space="preserve"> </w:t>
            </w:r>
            <w:r w:rsidRPr="00EB2BD8">
              <w:rPr>
                <w:rFonts w:ascii="Arial"/>
                <w:w w:val="105"/>
                <w:sz w:val="16"/>
              </w:rPr>
              <w:t>to</w:t>
            </w:r>
            <w:r w:rsidRPr="00EB2BD8">
              <w:rPr>
                <w:rFonts w:ascii="Arial"/>
                <w:spacing w:val="-6"/>
                <w:w w:val="105"/>
                <w:sz w:val="16"/>
              </w:rPr>
              <w:t xml:space="preserve"> </w:t>
            </w:r>
            <w:r w:rsidRPr="00EB2BD8">
              <w:rPr>
                <w:rFonts w:ascii="Arial"/>
                <w:w w:val="105"/>
                <w:sz w:val="16"/>
              </w:rPr>
              <w:t>settle</w:t>
            </w:r>
            <w:r w:rsidRPr="00EB2BD8">
              <w:rPr>
                <w:rFonts w:ascii="Arial"/>
                <w:spacing w:val="-7"/>
                <w:w w:val="105"/>
                <w:sz w:val="16"/>
              </w:rPr>
              <w:t xml:space="preserve"> </w:t>
            </w:r>
            <w:r w:rsidRPr="00EB2BD8">
              <w:rPr>
                <w:rFonts w:ascii="Arial"/>
                <w:w w:val="105"/>
                <w:sz w:val="16"/>
              </w:rPr>
              <w:t>after</w:t>
            </w:r>
            <w:r w:rsidRPr="00EB2BD8">
              <w:rPr>
                <w:rFonts w:ascii="Arial"/>
                <w:spacing w:val="-6"/>
                <w:w w:val="105"/>
                <w:sz w:val="16"/>
              </w:rPr>
              <w:t xml:space="preserve"> </w:t>
            </w:r>
            <w:r w:rsidRPr="00EB2BD8">
              <w:rPr>
                <w:rFonts w:ascii="Arial"/>
                <w:w w:val="105"/>
                <w:sz w:val="16"/>
              </w:rPr>
              <w:t>12</w:t>
            </w:r>
            <w:r w:rsidRPr="00EB2BD8">
              <w:rPr>
                <w:rFonts w:ascii="Arial"/>
                <w:spacing w:val="-7"/>
                <w:w w:val="105"/>
                <w:sz w:val="16"/>
              </w:rPr>
              <w:t xml:space="preserve"> </w:t>
            </w:r>
            <w:r w:rsidRPr="00EB2BD8">
              <w:rPr>
                <w:rFonts w:ascii="Arial"/>
                <w:spacing w:val="-2"/>
                <w:w w:val="105"/>
                <w:sz w:val="16"/>
              </w:rPr>
              <w:t>months</w:t>
            </w:r>
          </w:p>
        </w:tc>
        <w:tc>
          <w:tcPr>
            <w:tcW w:w="1456" w:type="dxa"/>
            <w:shd w:val="clear" w:color="auto" w:fill="DEEAF6"/>
          </w:tcPr>
          <w:p w14:paraId="10BC2B67" w14:textId="77777777" w:rsidR="00084F36" w:rsidRPr="00EB2BD8" w:rsidRDefault="00EB2BD8">
            <w:pPr>
              <w:pStyle w:val="TableParagraph"/>
              <w:spacing w:before="66"/>
              <w:ind w:right="97"/>
              <w:jc w:val="right"/>
              <w:rPr>
                <w:rFonts w:ascii="Arial"/>
                <w:sz w:val="16"/>
              </w:rPr>
            </w:pPr>
            <w:r w:rsidRPr="00EB2BD8">
              <w:rPr>
                <w:rFonts w:ascii="Arial"/>
                <w:spacing w:val="-2"/>
                <w:w w:val="105"/>
                <w:sz w:val="16"/>
              </w:rPr>
              <w:t>2,607</w:t>
            </w:r>
          </w:p>
        </w:tc>
        <w:tc>
          <w:tcPr>
            <w:tcW w:w="1455" w:type="dxa"/>
            <w:shd w:val="clear" w:color="auto" w:fill="FFFFFF"/>
          </w:tcPr>
          <w:p w14:paraId="1DD9DB00" w14:textId="77777777" w:rsidR="00084F36" w:rsidRPr="00EB2BD8" w:rsidRDefault="00EB2BD8">
            <w:pPr>
              <w:pStyle w:val="TableParagraph"/>
              <w:spacing w:before="66"/>
              <w:ind w:right="95"/>
              <w:jc w:val="right"/>
              <w:rPr>
                <w:rFonts w:ascii="Arial"/>
                <w:sz w:val="16"/>
              </w:rPr>
            </w:pPr>
            <w:r w:rsidRPr="00EB2BD8">
              <w:rPr>
                <w:rFonts w:ascii="Arial"/>
                <w:spacing w:val="-2"/>
                <w:w w:val="105"/>
                <w:sz w:val="16"/>
              </w:rPr>
              <w:t>3,038</w:t>
            </w:r>
          </w:p>
        </w:tc>
      </w:tr>
      <w:tr w:rsidR="00EB2BD8" w:rsidRPr="00EB2BD8" w14:paraId="09B835B1" w14:textId="77777777">
        <w:trPr>
          <w:trHeight w:val="317"/>
        </w:trPr>
        <w:tc>
          <w:tcPr>
            <w:tcW w:w="6216" w:type="dxa"/>
            <w:shd w:val="clear" w:color="auto" w:fill="FFFFFF"/>
          </w:tcPr>
          <w:p w14:paraId="7E65E457" w14:textId="77777777" w:rsidR="00084F36" w:rsidRPr="00EB2BD8" w:rsidRDefault="00EB2BD8">
            <w:pPr>
              <w:pStyle w:val="TableParagraph"/>
              <w:spacing w:before="66"/>
              <w:ind w:left="105"/>
              <w:rPr>
                <w:rFonts w:ascii="Arial"/>
                <w:b/>
                <w:i/>
                <w:sz w:val="16"/>
              </w:rPr>
            </w:pPr>
            <w:r w:rsidRPr="00EB2BD8">
              <w:rPr>
                <w:rFonts w:ascii="Arial"/>
                <w:b/>
                <w:i/>
                <w:w w:val="105"/>
                <w:sz w:val="16"/>
              </w:rPr>
              <w:t>Long</w:t>
            </w:r>
            <w:r w:rsidRPr="00EB2BD8">
              <w:rPr>
                <w:rFonts w:ascii="Arial"/>
                <w:b/>
                <w:i/>
                <w:spacing w:val="-8"/>
                <w:w w:val="105"/>
                <w:sz w:val="16"/>
              </w:rPr>
              <w:t xml:space="preserve"> </w:t>
            </w:r>
            <w:r w:rsidRPr="00EB2BD8">
              <w:rPr>
                <w:rFonts w:ascii="Arial"/>
                <w:b/>
                <w:i/>
                <w:w w:val="105"/>
                <w:sz w:val="16"/>
              </w:rPr>
              <w:t>service</w:t>
            </w:r>
            <w:r w:rsidRPr="00EB2BD8">
              <w:rPr>
                <w:rFonts w:ascii="Arial"/>
                <w:b/>
                <w:i/>
                <w:spacing w:val="-8"/>
                <w:w w:val="105"/>
                <w:sz w:val="16"/>
              </w:rPr>
              <w:t xml:space="preserve"> </w:t>
            </w:r>
            <w:r w:rsidRPr="00EB2BD8">
              <w:rPr>
                <w:rFonts w:ascii="Arial"/>
                <w:b/>
                <w:i/>
                <w:spacing w:val="-2"/>
                <w:w w:val="105"/>
                <w:sz w:val="16"/>
              </w:rPr>
              <w:t>leave</w:t>
            </w:r>
          </w:p>
        </w:tc>
        <w:tc>
          <w:tcPr>
            <w:tcW w:w="1456" w:type="dxa"/>
            <w:shd w:val="clear" w:color="auto" w:fill="DEEAF6"/>
          </w:tcPr>
          <w:p w14:paraId="25F5DD6F" w14:textId="77777777" w:rsidR="00084F36" w:rsidRPr="00EB2BD8" w:rsidRDefault="00084F36">
            <w:pPr>
              <w:pStyle w:val="TableParagraph"/>
              <w:rPr>
                <w:rFonts w:ascii="Times New Roman"/>
                <w:sz w:val="16"/>
              </w:rPr>
            </w:pPr>
          </w:p>
        </w:tc>
        <w:tc>
          <w:tcPr>
            <w:tcW w:w="1455" w:type="dxa"/>
            <w:shd w:val="clear" w:color="auto" w:fill="FFFFFF"/>
          </w:tcPr>
          <w:p w14:paraId="643CC0AA" w14:textId="77777777" w:rsidR="00084F36" w:rsidRPr="00EB2BD8" w:rsidRDefault="00084F36">
            <w:pPr>
              <w:pStyle w:val="TableParagraph"/>
              <w:rPr>
                <w:rFonts w:ascii="Times New Roman"/>
                <w:sz w:val="16"/>
              </w:rPr>
            </w:pPr>
          </w:p>
        </w:tc>
      </w:tr>
      <w:tr w:rsidR="00EB2BD8" w:rsidRPr="00EB2BD8" w14:paraId="7EFDA693" w14:textId="77777777">
        <w:trPr>
          <w:trHeight w:val="317"/>
        </w:trPr>
        <w:tc>
          <w:tcPr>
            <w:tcW w:w="6216" w:type="dxa"/>
            <w:shd w:val="clear" w:color="auto" w:fill="FFFFFF"/>
          </w:tcPr>
          <w:p w14:paraId="7AF08B68" w14:textId="77777777" w:rsidR="00084F36" w:rsidRPr="00EB2BD8" w:rsidRDefault="00EB2BD8">
            <w:pPr>
              <w:pStyle w:val="TableParagraph"/>
              <w:spacing w:before="67"/>
              <w:ind w:left="105"/>
              <w:rPr>
                <w:rFonts w:ascii="Arial"/>
                <w:sz w:val="16"/>
              </w:rPr>
            </w:pPr>
            <w:r w:rsidRPr="00EB2BD8">
              <w:rPr>
                <w:rFonts w:ascii="Arial"/>
                <w:w w:val="105"/>
                <w:sz w:val="16"/>
              </w:rPr>
              <w:t>Unconditional</w:t>
            </w:r>
            <w:r w:rsidRPr="00EB2BD8">
              <w:rPr>
                <w:rFonts w:ascii="Arial"/>
                <w:spacing w:val="-7"/>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expected</w:t>
            </w:r>
            <w:r w:rsidRPr="00EB2BD8">
              <w:rPr>
                <w:rFonts w:ascii="Arial"/>
                <w:spacing w:val="-7"/>
                <w:w w:val="105"/>
                <w:sz w:val="16"/>
              </w:rPr>
              <w:t xml:space="preserve"> </w:t>
            </w:r>
            <w:r w:rsidRPr="00EB2BD8">
              <w:rPr>
                <w:rFonts w:ascii="Arial"/>
                <w:w w:val="105"/>
                <w:sz w:val="16"/>
              </w:rPr>
              <w:t>to</w:t>
            </w:r>
            <w:r w:rsidRPr="00EB2BD8">
              <w:rPr>
                <w:rFonts w:ascii="Arial"/>
                <w:spacing w:val="-7"/>
                <w:w w:val="105"/>
                <w:sz w:val="16"/>
              </w:rPr>
              <w:t xml:space="preserve"> </w:t>
            </w:r>
            <w:r w:rsidRPr="00EB2BD8">
              <w:rPr>
                <w:rFonts w:ascii="Arial"/>
                <w:w w:val="105"/>
                <w:sz w:val="16"/>
              </w:rPr>
              <w:t>settle</w:t>
            </w:r>
            <w:r w:rsidRPr="00EB2BD8">
              <w:rPr>
                <w:rFonts w:ascii="Arial"/>
                <w:spacing w:val="-7"/>
                <w:w w:val="105"/>
                <w:sz w:val="16"/>
              </w:rPr>
              <w:t xml:space="preserve"> </w:t>
            </w:r>
            <w:r w:rsidRPr="00EB2BD8">
              <w:rPr>
                <w:rFonts w:ascii="Arial"/>
                <w:w w:val="105"/>
                <w:sz w:val="16"/>
              </w:rPr>
              <w:t>within</w:t>
            </w:r>
            <w:r w:rsidRPr="00EB2BD8">
              <w:rPr>
                <w:rFonts w:ascii="Arial"/>
                <w:spacing w:val="-7"/>
                <w:w w:val="105"/>
                <w:sz w:val="16"/>
              </w:rPr>
              <w:t xml:space="preserve"> </w:t>
            </w:r>
            <w:r w:rsidRPr="00EB2BD8">
              <w:rPr>
                <w:rFonts w:ascii="Arial"/>
                <w:w w:val="105"/>
                <w:sz w:val="16"/>
              </w:rPr>
              <w:t>12</w:t>
            </w:r>
            <w:r w:rsidRPr="00EB2BD8">
              <w:rPr>
                <w:rFonts w:ascii="Arial"/>
                <w:spacing w:val="-7"/>
                <w:w w:val="105"/>
                <w:sz w:val="16"/>
              </w:rPr>
              <w:t xml:space="preserve"> </w:t>
            </w:r>
            <w:r w:rsidRPr="00EB2BD8">
              <w:rPr>
                <w:rFonts w:ascii="Arial"/>
                <w:spacing w:val="-2"/>
                <w:w w:val="105"/>
                <w:sz w:val="16"/>
              </w:rPr>
              <w:t>months</w:t>
            </w:r>
          </w:p>
        </w:tc>
        <w:tc>
          <w:tcPr>
            <w:tcW w:w="1456" w:type="dxa"/>
            <w:shd w:val="clear" w:color="auto" w:fill="DEEAF6"/>
          </w:tcPr>
          <w:p w14:paraId="79211940" w14:textId="77777777" w:rsidR="00084F36" w:rsidRPr="00EB2BD8" w:rsidRDefault="00EB2BD8">
            <w:pPr>
              <w:pStyle w:val="TableParagraph"/>
              <w:spacing w:before="67"/>
              <w:ind w:right="97"/>
              <w:jc w:val="right"/>
              <w:rPr>
                <w:rFonts w:ascii="Arial"/>
                <w:sz w:val="16"/>
              </w:rPr>
            </w:pPr>
            <w:r w:rsidRPr="00EB2BD8">
              <w:rPr>
                <w:rFonts w:ascii="Arial"/>
                <w:spacing w:val="-5"/>
                <w:w w:val="105"/>
                <w:sz w:val="16"/>
              </w:rPr>
              <w:t>403</w:t>
            </w:r>
          </w:p>
        </w:tc>
        <w:tc>
          <w:tcPr>
            <w:tcW w:w="1455" w:type="dxa"/>
            <w:shd w:val="clear" w:color="auto" w:fill="FFFFFF"/>
          </w:tcPr>
          <w:p w14:paraId="05D2B1DA" w14:textId="77777777" w:rsidR="00084F36" w:rsidRPr="00EB2BD8" w:rsidRDefault="00EB2BD8">
            <w:pPr>
              <w:pStyle w:val="TableParagraph"/>
              <w:spacing w:before="67"/>
              <w:ind w:right="95"/>
              <w:jc w:val="right"/>
              <w:rPr>
                <w:rFonts w:ascii="Arial"/>
                <w:sz w:val="16"/>
              </w:rPr>
            </w:pPr>
            <w:r w:rsidRPr="00EB2BD8">
              <w:rPr>
                <w:rFonts w:ascii="Arial"/>
                <w:spacing w:val="-5"/>
                <w:w w:val="105"/>
                <w:sz w:val="16"/>
              </w:rPr>
              <w:t>329</w:t>
            </w:r>
          </w:p>
        </w:tc>
      </w:tr>
      <w:tr w:rsidR="00EB2BD8" w:rsidRPr="00EB2BD8" w14:paraId="62D348F5" w14:textId="77777777">
        <w:trPr>
          <w:trHeight w:val="316"/>
        </w:trPr>
        <w:tc>
          <w:tcPr>
            <w:tcW w:w="6216" w:type="dxa"/>
            <w:shd w:val="clear" w:color="auto" w:fill="FFFFFF"/>
          </w:tcPr>
          <w:p w14:paraId="63EC3FF3" w14:textId="77777777" w:rsidR="00084F36" w:rsidRPr="00EB2BD8" w:rsidRDefault="00EB2BD8">
            <w:pPr>
              <w:pStyle w:val="TableParagraph"/>
              <w:spacing w:before="66"/>
              <w:ind w:left="105"/>
              <w:rPr>
                <w:rFonts w:ascii="Arial"/>
                <w:sz w:val="16"/>
              </w:rPr>
            </w:pPr>
            <w:r w:rsidRPr="00EB2BD8">
              <w:rPr>
                <w:rFonts w:ascii="Arial"/>
                <w:w w:val="105"/>
                <w:sz w:val="16"/>
              </w:rPr>
              <w:t>Unconditional</w:t>
            </w:r>
            <w:r w:rsidRPr="00EB2BD8">
              <w:rPr>
                <w:rFonts w:ascii="Arial"/>
                <w:spacing w:val="-6"/>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expected</w:t>
            </w:r>
            <w:r w:rsidRPr="00EB2BD8">
              <w:rPr>
                <w:rFonts w:ascii="Arial"/>
                <w:spacing w:val="-7"/>
                <w:w w:val="105"/>
                <w:sz w:val="16"/>
              </w:rPr>
              <w:t xml:space="preserve"> </w:t>
            </w:r>
            <w:r w:rsidRPr="00EB2BD8">
              <w:rPr>
                <w:rFonts w:ascii="Arial"/>
                <w:w w:val="105"/>
                <w:sz w:val="16"/>
              </w:rPr>
              <w:t>to</w:t>
            </w:r>
            <w:r w:rsidRPr="00EB2BD8">
              <w:rPr>
                <w:rFonts w:ascii="Arial"/>
                <w:spacing w:val="-6"/>
                <w:w w:val="105"/>
                <w:sz w:val="16"/>
              </w:rPr>
              <w:t xml:space="preserve"> </w:t>
            </w:r>
            <w:r w:rsidRPr="00EB2BD8">
              <w:rPr>
                <w:rFonts w:ascii="Arial"/>
                <w:w w:val="105"/>
                <w:sz w:val="16"/>
              </w:rPr>
              <w:t>settle</w:t>
            </w:r>
            <w:r w:rsidRPr="00EB2BD8">
              <w:rPr>
                <w:rFonts w:ascii="Arial"/>
                <w:spacing w:val="-7"/>
                <w:w w:val="105"/>
                <w:sz w:val="16"/>
              </w:rPr>
              <w:t xml:space="preserve"> </w:t>
            </w:r>
            <w:r w:rsidRPr="00EB2BD8">
              <w:rPr>
                <w:rFonts w:ascii="Arial"/>
                <w:w w:val="105"/>
                <w:sz w:val="16"/>
              </w:rPr>
              <w:t>after</w:t>
            </w:r>
            <w:r w:rsidRPr="00EB2BD8">
              <w:rPr>
                <w:rFonts w:ascii="Arial"/>
                <w:spacing w:val="-6"/>
                <w:w w:val="105"/>
                <w:sz w:val="16"/>
              </w:rPr>
              <w:t xml:space="preserve"> </w:t>
            </w:r>
            <w:r w:rsidRPr="00EB2BD8">
              <w:rPr>
                <w:rFonts w:ascii="Arial"/>
                <w:w w:val="105"/>
                <w:sz w:val="16"/>
              </w:rPr>
              <w:t>12</w:t>
            </w:r>
            <w:r w:rsidRPr="00EB2BD8">
              <w:rPr>
                <w:rFonts w:ascii="Arial"/>
                <w:spacing w:val="-7"/>
                <w:w w:val="105"/>
                <w:sz w:val="16"/>
              </w:rPr>
              <w:t xml:space="preserve"> </w:t>
            </w:r>
            <w:r w:rsidRPr="00EB2BD8">
              <w:rPr>
                <w:rFonts w:ascii="Arial"/>
                <w:spacing w:val="-2"/>
                <w:w w:val="105"/>
                <w:sz w:val="16"/>
              </w:rPr>
              <w:t>months</w:t>
            </w:r>
          </w:p>
        </w:tc>
        <w:tc>
          <w:tcPr>
            <w:tcW w:w="1456" w:type="dxa"/>
            <w:shd w:val="clear" w:color="auto" w:fill="DEEAF6"/>
          </w:tcPr>
          <w:p w14:paraId="795E3281" w14:textId="77777777" w:rsidR="00084F36" w:rsidRPr="00EB2BD8" w:rsidRDefault="00EB2BD8">
            <w:pPr>
              <w:pStyle w:val="TableParagraph"/>
              <w:spacing w:before="66"/>
              <w:ind w:right="96"/>
              <w:jc w:val="right"/>
              <w:rPr>
                <w:rFonts w:ascii="Arial"/>
                <w:sz w:val="16"/>
              </w:rPr>
            </w:pPr>
            <w:r w:rsidRPr="00EB2BD8">
              <w:rPr>
                <w:rFonts w:ascii="Arial"/>
                <w:spacing w:val="-4"/>
                <w:w w:val="105"/>
                <w:sz w:val="16"/>
              </w:rPr>
              <w:t>2,687</w:t>
            </w:r>
          </w:p>
        </w:tc>
        <w:tc>
          <w:tcPr>
            <w:tcW w:w="1455" w:type="dxa"/>
            <w:shd w:val="clear" w:color="auto" w:fill="FFFFFF"/>
          </w:tcPr>
          <w:p w14:paraId="2DC467EA" w14:textId="77777777" w:rsidR="00084F36" w:rsidRPr="00EB2BD8" w:rsidRDefault="00EB2BD8">
            <w:pPr>
              <w:pStyle w:val="TableParagraph"/>
              <w:spacing w:before="66"/>
              <w:ind w:right="95"/>
              <w:jc w:val="right"/>
              <w:rPr>
                <w:rFonts w:ascii="Arial"/>
                <w:sz w:val="16"/>
              </w:rPr>
            </w:pPr>
            <w:r w:rsidRPr="00EB2BD8">
              <w:rPr>
                <w:rFonts w:ascii="Arial"/>
                <w:spacing w:val="-2"/>
                <w:w w:val="105"/>
                <w:sz w:val="16"/>
              </w:rPr>
              <w:t>2,498</w:t>
            </w:r>
          </w:p>
        </w:tc>
      </w:tr>
      <w:tr w:rsidR="00EB2BD8" w:rsidRPr="00EB2BD8" w14:paraId="61F70064" w14:textId="77777777">
        <w:trPr>
          <w:trHeight w:val="317"/>
        </w:trPr>
        <w:tc>
          <w:tcPr>
            <w:tcW w:w="6216" w:type="dxa"/>
            <w:shd w:val="clear" w:color="auto" w:fill="FFFFFF"/>
          </w:tcPr>
          <w:p w14:paraId="5EA2CDBF" w14:textId="77777777" w:rsidR="00084F36" w:rsidRPr="00EB2BD8" w:rsidRDefault="00EB2BD8">
            <w:pPr>
              <w:pStyle w:val="TableParagraph"/>
              <w:spacing w:before="66"/>
              <w:ind w:left="105"/>
              <w:rPr>
                <w:rFonts w:ascii="Arial"/>
                <w:b/>
                <w:i/>
                <w:sz w:val="16"/>
              </w:rPr>
            </w:pPr>
            <w:r w:rsidRPr="00EB2BD8">
              <w:rPr>
                <w:rFonts w:ascii="Arial"/>
                <w:b/>
                <w:i/>
                <w:w w:val="105"/>
                <w:sz w:val="16"/>
              </w:rPr>
              <w:t>Provisions</w:t>
            </w:r>
            <w:r w:rsidRPr="00EB2BD8">
              <w:rPr>
                <w:rFonts w:ascii="Arial"/>
                <w:b/>
                <w:i/>
                <w:spacing w:val="-9"/>
                <w:w w:val="105"/>
                <w:sz w:val="16"/>
              </w:rPr>
              <w:t xml:space="preserve"> </w:t>
            </w:r>
            <w:r w:rsidRPr="00EB2BD8">
              <w:rPr>
                <w:rFonts w:ascii="Arial"/>
                <w:b/>
                <w:i/>
                <w:w w:val="105"/>
                <w:sz w:val="16"/>
              </w:rPr>
              <w:t>for</w:t>
            </w:r>
            <w:r w:rsidRPr="00EB2BD8">
              <w:rPr>
                <w:rFonts w:ascii="Arial"/>
                <w:b/>
                <w:i/>
                <w:spacing w:val="-9"/>
                <w:w w:val="105"/>
                <w:sz w:val="16"/>
              </w:rPr>
              <w:t xml:space="preserve"> </w:t>
            </w:r>
            <w:r w:rsidRPr="00EB2BD8">
              <w:rPr>
                <w:rFonts w:ascii="Arial"/>
                <w:b/>
                <w:i/>
                <w:w w:val="105"/>
                <w:sz w:val="16"/>
              </w:rPr>
              <w:t>on-</w:t>
            </w:r>
            <w:r w:rsidRPr="00EB2BD8">
              <w:rPr>
                <w:rFonts w:ascii="Arial"/>
                <w:b/>
                <w:i/>
                <w:spacing w:val="-2"/>
                <w:w w:val="105"/>
                <w:sz w:val="16"/>
              </w:rPr>
              <w:t>costs</w:t>
            </w:r>
          </w:p>
        </w:tc>
        <w:tc>
          <w:tcPr>
            <w:tcW w:w="1456" w:type="dxa"/>
            <w:shd w:val="clear" w:color="auto" w:fill="DEEAF6"/>
          </w:tcPr>
          <w:p w14:paraId="26BC040F" w14:textId="77777777" w:rsidR="00084F36" w:rsidRPr="00EB2BD8" w:rsidRDefault="00084F36">
            <w:pPr>
              <w:pStyle w:val="TableParagraph"/>
              <w:rPr>
                <w:rFonts w:ascii="Times New Roman"/>
                <w:sz w:val="16"/>
              </w:rPr>
            </w:pPr>
          </w:p>
        </w:tc>
        <w:tc>
          <w:tcPr>
            <w:tcW w:w="1455" w:type="dxa"/>
            <w:shd w:val="clear" w:color="auto" w:fill="FFFFFF"/>
          </w:tcPr>
          <w:p w14:paraId="15F48DF7" w14:textId="77777777" w:rsidR="00084F36" w:rsidRPr="00EB2BD8" w:rsidRDefault="00084F36">
            <w:pPr>
              <w:pStyle w:val="TableParagraph"/>
              <w:rPr>
                <w:rFonts w:ascii="Times New Roman"/>
                <w:sz w:val="16"/>
              </w:rPr>
            </w:pPr>
          </w:p>
        </w:tc>
      </w:tr>
      <w:tr w:rsidR="00EB2BD8" w:rsidRPr="00EB2BD8" w14:paraId="266974AC" w14:textId="77777777">
        <w:trPr>
          <w:trHeight w:val="317"/>
        </w:trPr>
        <w:tc>
          <w:tcPr>
            <w:tcW w:w="6216" w:type="dxa"/>
            <w:shd w:val="clear" w:color="auto" w:fill="FFFFFF"/>
          </w:tcPr>
          <w:p w14:paraId="5BD6D6FD" w14:textId="77777777" w:rsidR="00084F36" w:rsidRPr="00EB2BD8" w:rsidRDefault="00EB2BD8">
            <w:pPr>
              <w:pStyle w:val="TableParagraph"/>
              <w:spacing w:before="67"/>
              <w:ind w:left="105"/>
              <w:rPr>
                <w:rFonts w:ascii="Arial"/>
                <w:sz w:val="16"/>
              </w:rPr>
            </w:pPr>
            <w:r w:rsidRPr="00EB2BD8">
              <w:rPr>
                <w:rFonts w:ascii="Arial"/>
                <w:w w:val="105"/>
                <w:sz w:val="16"/>
              </w:rPr>
              <w:t>Unconditional</w:t>
            </w:r>
            <w:r w:rsidRPr="00EB2BD8">
              <w:rPr>
                <w:rFonts w:ascii="Arial"/>
                <w:spacing w:val="-7"/>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expected</w:t>
            </w:r>
            <w:r w:rsidRPr="00EB2BD8">
              <w:rPr>
                <w:rFonts w:ascii="Arial"/>
                <w:spacing w:val="-7"/>
                <w:w w:val="105"/>
                <w:sz w:val="16"/>
              </w:rPr>
              <w:t xml:space="preserve"> </w:t>
            </w:r>
            <w:r w:rsidRPr="00EB2BD8">
              <w:rPr>
                <w:rFonts w:ascii="Arial"/>
                <w:w w:val="105"/>
                <w:sz w:val="16"/>
              </w:rPr>
              <w:t>to</w:t>
            </w:r>
            <w:r w:rsidRPr="00EB2BD8">
              <w:rPr>
                <w:rFonts w:ascii="Arial"/>
                <w:spacing w:val="-7"/>
                <w:w w:val="105"/>
                <w:sz w:val="16"/>
              </w:rPr>
              <w:t xml:space="preserve"> </w:t>
            </w:r>
            <w:r w:rsidRPr="00EB2BD8">
              <w:rPr>
                <w:rFonts w:ascii="Arial"/>
                <w:w w:val="105"/>
                <w:sz w:val="16"/>
              </w:rPr>
              <w:t>settle</w:t>
            </w:r>
            <w:r w:rsidRPr="00EB2BD8">
              <w:rPr>
                <w:rFonts w:ascii="Arial"/>
                <w:spacing w:val="-7"/>
                <w:w w:val="105"/>
                <w:sz w:val="16"/>
              </w:rPr>
              <w:t xml:space="preserve"> </w:t>
            </w:r>
            <w:r w:rsidRPr="00EB2BD8">
              <w:rPr>
                <w:rFonts w:ascii="Arial"/>
                <w:w w:val="105"/>
                <w:sz w:val="16"/>
              </w:rPr>
              <w:t>within</w:t>
            </w:r>
            <w:r w:rsidRPr="00EB2BD8">
              <w:rPr>
                <w:rFonts w:ascii="Arial"/>
                <w:spacing w:val="-7"/>
                <w:w w:val="105"/>
                <w:sz w:val="16"/>
              </w:rPr>
              <w:t xml:space="preserve"> </w:t>
            </w:r>
            <w:r w:rsidRPr="00EB2BD8">
              <w:rPr>
                <w:rFonts w:ascii="Arial"/>
                <w:w w:val="105"/>
                <w:sz w:val="16"/>
              </w:rPr>
              <w:t>12</w:t>
            </w:r>
            <w:r w:rsidRPr="00EB2BD8">
              <w:rPr>
                <w:rFonts w:ascii="Arial"/>
                <w:spacing w:val="-7"/>
                <w:w w:val="105"/>
                <w:sz w:val="16"/>
              </w:rPr>
              <w:t xml:space="preserve"> </w:t>
            </w:r>
            <w:r w:rsidRPr="00EB2BD8">
              <w:rPr>
                <w:rFonts w:ascii="Arial"/>
                <w:spacing w:val="-2"/>
                <w:w w:val="105"/>
                <w:sz w:val="16"/>
              </w:rPr>
              <w:t>months</w:t>
            </w:r>
          </w:p>
        </w:tc>
        <w:tc>
          <w:tcPr>
            <w:tcW w:w="1456" w:type="dxa"/>
            <w:shd w:val="clear" w:color="auto" w:fill="DEEAF6"/>
          </w:tcPr>
          <w:p w14:paraId="5C029FDE" w14:textId="77777777" w:rsidR="00084F36" w:rsidRPr="00EB2BD8" w:rsidRDefault="00EB2BD8">
            <w:pPr>
              <w:pStyle w:val="TableParagraph"/>
              <w:spacing w:before="67"/>
              <w:ind w:right="97"/>
              <w:jc w:val="right"/>
              <w:rPr>
                <w:rFonts w:ascii="Arial"/>
                <w:sz w:val="16"/>
              </w:rPr>
            </w:pPr>
            <w:r w:rsidRPr="00EB2BD8">
              <w:rPr>
                <w:rFonts w:ascii="Arial"/>
                <w:spacing w:val="-5"/>
                <w:w w:val="105"/>
                <w:sz w:val="16"/>
              </w:rPr>
              <w:t>319</w:t>
            </w:r>
          </w:p>
        </w:tc>
        <w:tc>
          <w:tcPr>
            <w:tcW w:w="1455" w:type="dxa"/>
            <w:shd w:val="clear" w:color="auto" w:fill="FFFFFF"/>
          </w:tcPr>
          <w:p w14:paraId="6BBC006E" w14:textId="77777777" w:rsidR="00084F36" w:rsidRPr="00EB2BD8" w:rsidRDefault="00EB2BD8">
            <w:pPr>
              <w:pStyle w:val="TableParagraph"/>
              <w:spacing w:before="67"/>
              <w:ind w:right="95"/>
              <w:jc w:val="right"/>
              <w:rPr>
                <w:rFonts w:ascii="Arial"/>
                <w:sz w:val="16"/>
              </w:rPr>
            </w:pPr>
            <w:r w:rsidRPr="00EB2BD8">
              <w:rPr>
                <w:rFonts w:ascii="Arial"/>
                <w:spacing w:val="-5"/>
                <w:w w:val="105"/>
                <w:sz w:val="16"/>
              </w:rPr>
              <w:t>250</w:t>
            </w:r>
          </w:p>
        </w:tc>
      </w:tr>
      <w:tr w:rsidR="00EB2BD8" w:rsidRPr="00EB2BD8" w14:paraId="641FC24A" w14:textId="77777777">
        <w:trPr>
          <w:trHeight w:val="314"/>
        </w:trPr>
        <w:tc>
          <w:tcPr>
            <w:tcW w:w="6216" w:type="dxa"/>
            <w:tcBorders>
              <w:bottom w:val="single" w:sz="12" w:space="0" w:color="000000"/>
            </w:tcBorders>
            <w:shd w:val="clear" w:color="auto" w:fill="FFFFFF"/>
          </w:tcPr>
          <w:p w14:paraId="36ADB5F0" w14:textId="77777777" w:rsidR="00084F36" w:rsidRPr="00EB2BD8" w:rsidRDefault="00EB2BD8">
            <w:pPr>
              <w:pStyle w:val="TableParagraph"/>
              <w:spacing w:before="66"/>
              <w:ind w:left="105"/>
              <w:rPr>
                <w:rFonts w:ascii="Arial"/>
                <w:sz w:val="16"/>
              </w:rPr>
            </w:pPr>
            <w:r w:rsidRPr="00EB2BD8">
              <w:rPr>
                <w:rFonts w:ascii="Arial"/>
                <w:w w:val="105"/>
                <w:sz w:val="16"/>
              </w:rPr>
              <w:t>Unconditional</w:t>
            </w:r>
            <w:r w:rsidRPr="00EB2BD8">
              <w:rPr>
                <w:rFonts w:ascii="Arial"/>
                <w:spacing w:val="-6"/>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expected</w:t>
            </w:r>
            <w:r w:rsidRPr="00EB2BD8">
              <w:rPr>
                <w:rFonts w:ascii="Arial"/>
                <w:spacing w:val="-7"/>
                <w:w w:val="105"/>
                <w:sz w:val="16"/>
              </w:rPr>
              <w:t xml:space="preserve"> </w:t>
            </w:r>
            <w:r w:rsidRPr="00EB2BD8">
              <w:rPr>
                <w:rFonts w:ascii="Arial"/>
                <w:w w:val="105"/>
                <w:sz w:val="16"/>
              </w:rPr>
              <w:t>to</w:t>
            </w:r>
            <w:r w:rsidRPr="00EB2BD8">
              <w:rPr>
                <w:rFonts w:ascii="Arial"/>
                <w:spacing w:val="-6"/>
                <w:w w:val="105"/>
                <w:sz w:val="16"/>
              </w:rPr>
              <w:t xml:space="preserve"> </w:t>
            </w:r>
            <w:r w:rsidRPr="00EB2BD8">
              <w:rPr>
                <w:rFonts w:ascii="Arial"/>
                <w:w w:val="105"/>
                <w:sz w:val="16"/>
              </w:rPr>
              <w:t>settle</w:t>
            </w:r>
            <w:r w:rsidRPr="00EB2BD8">
              <w:rPr>
                <w:rFonts w:ascii="Arial"/>
                <w:spacing w:val="-7"/>
                <w:w w:val="105"/>
                <w:sz w:val="16"/>
              </w:rPr>
              <w:t xml:space="preserve"> </w:t>
            </w:r>
            <w:r w:rsidRPr="00EB2BD8">
              <w:rPr>
                <w:rFonts w:ascii="Arial"/>
                <w:w w:val="105"/>
                <w:sz w:val="16"/>
              </w:rPr>
              <w:t>after</w:t>
            </w:r>
            <w:r w:rsidRPr="00EB2BD8">
              <w:rPr>
                <w:rFonts w:ascii="Arial"/>
                <w:spacing w:val="-6"/>
                <w:w w:val="105"/>
                <w:sz w:val="16"/>
              </w:rPr>
              <w:t xml:space="preserve"> </w:t>
            </w:r>
            <w:r w:rsidRPr="00EB2BD8">
              <w:rPr>
                <w:rFonts w:ascii="Arial"/>
                <w:w w:val="105"/>
                <w:sz w:val="16"/>
              </w:rPr>
              <w:t>12</w:t>
            </w:r>
            <w:r w:rsidRPr="00EB2BD8">
              <w:rPr>
                <w:rFonts w:ascii="Arial"/>
                <w:spacing w:val="-7"/>
                <w:w w:val="105"/>
                <w:sz w:val="16"/>
              </w:rPr>
              <w:t xml:space="preserve"> </w:t>
            </w:r>
            <w:r w:rsidRPr="00EB2BD8">
              <w:rPr>
                <w:rFonts w:ascii="Arial"/>
                <w:spacing w:val="-2"/>
                <w:w w:val="105"/>
                <w:sz w:val="16"/>
              </w:rPr>
              <w:t>months</w:t>
            </w:r>
          </w:p>
        </w:tc>
        <w:tc>
          <w:tcPr>
            <w:tcW w:w="1456" w:type="dxa"/>
            <w:tcBorders>
              <w:bottom w:val="single" w:sz="12" w:space="0" w:color="000000"/>
            </w:tcBorders>
            <w:shd w:val="clear" w:color="auto" w:fill="DEEAF6"/>
          </w:tcPr>
          <w:p w14:paraId="41298EA8" w14:textId="77777777" w:rsidR="00084F36" w:rsidRPr="00EB2BD8" w:rsidRDefault="00EB2BD8">
            <w:pPr>
              <w:pStyle w:val="TableParagraph"/>
              <w:spacing w:before="66"/>
              <w:ind w:right="97"/>
              <w:jc w:val="right"/>
              <w:rPr>
                <w:rFonts w:ascii="Arial"/>
                <w:sz w:val="16"/>
              </w:rPr>
            </w:pPr>
            <w:r w:rsidRPr="00EB2BD8">
              <w:rPr>
                <w:rFonts w:ascii="Arial"/>
                <w:spacing w:val="-5"/>
                <w:w w:val="105"/>
                <w:sz w:val="16"/>
              </w:rPr>
              <w:t>894</w:t>
            </w:r>
          </w:p>
        </w:tc>
        <w:tc>
          <w:tcPr>
            <w:tcW w:w="1455" w:type="dxa"/>
            <w:tcBorders>
              <w:bottom w:val="single" w:sz="12" w:space="0" w:color="000000"/>
            </w:tcBorders>
            <w:shd w:val="clear" w:color="auto" w:fill="FFFFFF"/>
          </w:tcPr>
          <w:p w14:paraId="72528E08" w14:textId="77777777" w:rsidR="00084F36" w:rsidRPr="00EB2BD8" w:rsidRDefault="00EB2BD8">
            <w:pPr>
              <w:pStyle w:val="TableParagraph"/>
              <w:spacing w:before="66"/>
              <w:ind w:right="95"/>
              <w:jc w:val="right"/>
              <w:rPr>
                <w:rFonts w:ascii="Arial"/>
                <w:sz w:val="16"/>
              </w:rPr>
            </w:pPr>
            <w:r w:rsidRPr="00EB2BD8">
              <w:rPr>
                <w:rFonts w:ascii="Arial"/>
                <w:spacing w:val="-5"/>
                <w:w w:val="105"/>
                <w:sz w:val="16"/>
              </w:rPr>
              <w:t>918</w:t>
            </w:r>
          </w:p>
        </w:tc>
      </w:tr>
      <w:tr w:rsidR="00EB2BD8" w:rsidRPr="00EB2BD8" w14:paraId="1E8533FB" w14:textId="77777777">
        <w:trPr>
          <w:trHeight w:val="286"/>
        </w:trPr>
        <w:tc>
          <w:tcPr>
            <w:tcW w:w="6216" w:type="dxa"/>
            <w:tcBorders>
              <w:top w:val="single" w:sz="12" w:space="0" w:color="000000"/>
              <w:bottom w:val="single" w:sz="12" w:space="0" w:color="000000"/>
            </w:tcBorders>
            <w:shd w:val="clear" w:color="auto" w:fill="FFFFFF"/>
          </w:tcPr>
          <w:p w14:paraId="316D749D" w14:textId="77777777" w:rsidR="00084F36" w:rsidRPr="00EB2BD8" w:rsidRDefault="00EB2BD8">
            <w:pPr>
              <w:pStyle w:val="TableParagraph"/>
              <w:spacing w:before="53"/>
              <w:ind w:left="105"/>
              <w:rPr>
                <w:rFonts w:ascii="Arial"/>
                <w:b/>
                <w:sz w:val="16"/>
              </w:rPr>
            </w:pPr>
            <w:r w:rsidRPr="00EB2BD8">
              <w:rPr>
                <w:rFonts w:ascii="Arial"/>
                <w:b/>
                <w:w w:val="105"/>
                <w:sz w:val="16"/>
              </w:rPr>
              <w:t>Total</w:t>
            </w:r>
            <w:r w:rsidRPr="00EB2BD8">
              <w:rPr>
                <w:rFonts w:ascii="Arial"/>
                <w:b/>
                <w:spacing w:val="-8"/>
                <w:w w:val="105"/>
                <w:sz w:val="16"/>
              </w:rPr>
              <w:t xml:space="preserve"> </w:t>
            </w:r>
            <w:r w:rsidRPr="00EB2BD8">
              <w:rPr>
                <w:rFonts w:ascii="Arial"/>
                <w:b/>
                <w:w w:val="105"/>
                <w:sz w:val="16"/>
              </w:rPr>
              <w:t>current</w:t>
            </w:r>
            <w:r w:rsidRPr="00EB2BD8">
              <w:rPr>
                <w:rFonts w:ascii="Arial"/>
                <w:b/>
                <w:spacing w:val="-8"/>
                <w:w w:val="105"/>
                <w:sz w:val="16"/>
              </w:rPr>
              <w:t xml:space="preserve"> </w:t>
            </w:r>
            <w:r w:rsidRPr="00EB2BD8">
              <w:rPr>
                <w:rFonts w:ascii="Arial"/>
                <w:b/>
                <w:spacing w:val="-2"/>
                <w:w w:val="105"/>
                <w:sz w:val="16"/>
              </w:rPr>
              <w:t>provisions</w:t>
            </w:r>
          </w:p>
        </w:tc>
        <w:tc>
          <w:tcPr>
            <w:tcW w:w="1456" w:type="dxa"/>
            <w:tcBorders>
              <w:top w:val="single" w:sz="12" w:space="0" w:color="000000"/>
              <w:bottom w:val="single" w:sz="12" w:space="0" w:color="000000"/>
            </w:tcBorders>
            <w:shd w:val="clear" w:color="auto" w:fill="DEEAF6"/>
          </w:tcPr>
          <w:p w14:paraId="4F1F7BCF" w14:textId="77777777" w:rsidR="00084F36" w:rsidRPr="00EB2BD8" w:rsidRDefault="00EB2BD8">
            <w:pPr>
              <w:pStyle w:val="TableParagraph"/>
              <w:spacing w:before="54"/>
              <w:ind w:right="96"/>
              <w:jc w:val="right"/>
              <w:rPr>
                <w:rFonts w:ascii="Arial"/>
                <w:b/>
                <w:sz w:val="16"/>
              </w:rPr>
            </w:pPr>
            <w:r w:rsidRPr="00EB2BD8">
              <w:rPr>
                <w:rFonts w:ascii="Arial"/>
                <w:b/>
                <w:spacing w:val="-4"/>
                <w:w w:val="105"/>
                <w:sz w:val="16"/>
              </w:rPr>
              <w:t>8,415</w:t>
            </w:r>
          </w:p>
        </w:tc>
        <w:tc>
          <w:tcPr>
            <w:tcW w:w="1455" w:type="dxa"/>
            <w:tcBorders>
              <w:top w:val="single" w:sz="12" w:space="0" w:color="000000"/>
              <w:bottom w:val="single" w:sz="12" w:space="0" w:color="000000"/>
            </w:tcBorders>
            <w:shd w:val="clear" w:color="auto" w:fill="FFFFFF"/>
          </w:tcPr>
          <w:p w14:paraId="05DD86B3" w14:textId="77777777" w:rsidR="00084F36" w:rsidRPr="00EB2BD8" w:rsidRDefault="00EB2BD8">
            <w:pPr>
              <w:pStyle w:val="TableParagraph"/>
              <w:spacing w:before="54"/>
              <w:ind w:right="96"/>
              <w:jc w:val="right"/>
              <w:rPr>
                <w:rFonts w:ascii="Arial"/>
                <w:b/>
                <w:sz w:val="16"/>
              </w:rPr>
            </w:pPr>
            <w:r w:rsidRPr="00EB2BD8">
              <w:rPr>
                <w:rFonts w:ascii="Arial"/>
                <w:b/>
                <w:spacing w:val="-2"/>
                <w:w w:val="105"/>
                <w:sz w:val="16"/>
              </w:rPr>
              <w:t>8,222</w:t>
            </w:r>
          </w:p>
        </w:tc>
      </w:tr>
      <w:tr w:rsidR="00EB2BD8" w:rsidRPr="00EB2BD8" w14:paraId="5D73EF2C" w14:textId="77777777">
        <w:trPr>
          <w:trHeight w:val="297"/>
        </w:trPr>
        <w:tc>
          <w:tcPr>
            <w:tcW w:w="6216" w:type="dxa"/>
            <w:tcBorders>
              <w:top w:val="single" w:sz="12" w:space="0" w:color="000000"/>
            </w:tcBorders>
            <w:shd w:val="clear" w:color="auto" w:fill="FFFFFF"/>
          </w:tcPr>
          <w:p w14:paraId="7727EB70" w14:textId="77777777" w:rsidR="00084F36" w:rsidRPr="00EB2BD8" w:rsidRDefault="00EB2BD8">
            <w:pPr>
              <w:pStyle w:val="TableParagraph"/>
              <w:spacing w:before="54"/>
              <w:ind w:left="105"/>
              <w:rPr>
                <w:rFonts w:ascii="Arial"/>
                <w:b/>
                <w:sz w:val="16"/>
              </w:rPr>
            </w:pPr>
            <w:r w:rsidRPr="00EB2BD8">
              <w:rPr>
                <w:rFonts w:ascii="Arial"/>
                <w:b/>
                <w:spacing w:val="-2"/>
                <w:w w:val="105"/>
                <w:sz w:val="16"/>
              </w:rPr>
              <w:t>Non-current</w:t>
            </w:r>
            <w:r w:rsidRPr="00EB2BD8">
              <w:rPr>
                <w:rFonts w:ascii="Arial"/>
                <w:b/>
                <w:spacing w:val="7"/>
                <w:w w:val="105"/>
                <w:sz w:val="16"/>
              </w:rPr>
              <w:t xml:space="preserve"> </w:t>
            </w:r>
            <w:r w:rsidRPr="00EB2BD8">
              <w:rPr>
                <w:rFonts w:ascii="Arial"/>
                <w:b/>
                <w:spacing w:val="-2"/>
                <w:w w:val="105"/>
                <w:sz w:val="16"/>
              </w:rPr>
              <w:t>provisions</w:t>
            </w:r>
          </w:p>
        </w:tc>
        <w:tc>
          <w:tcPr>
            <w:tcW w:w="1456" w:type="dxa"/>
            <w:tcBorders>
              <w:top w:val="single" w:sz="12" w:space="0" w:color="000000"/>
            </w:tcBorders>
            <w:shd w:val="clear" w:color="auto" w:fill="DEEAF6"/>
          </w:tcPr>
          <w:p w14:paraId="51801DEC" w14:textId="77777777" w:rsidR="00084F36" w:rsidRPr="00EB2BD8" w:rsidRDefault="00084F36">
            <w:pPr>
              <w:pStyle w:val="TableParagraph"/>
              <w:rPr>
                <w:rFonts w:ascii="Times New Roman"/>
                <w:sz w:val="16"/>
              </w:rPr>
            </w:pPr>
          </w:p>
        </w:tc>
        <w:tc>
          <w:tcPr>
            <w:tcW w:w="1455" w:type="dxa"/>
            <w:tcBorders>
              <w:top w:val="single" w:sz="12" w:space="0" w:color="000000"/>
            </w:tcBorders>
            <w:shd w:val="clear" w:color="auto" w:fill="FFFFFF"/>
          </w:tcPr>
          <w:p w14:paraId="3B08D8DA" w14:textId="77777777" w:rsidR="00084F36" w:rsidRPr="00EB2BD8" w:rsidRDefault="00084F36">
            <w:pPr>
              <w:pStyle w:val="TableParagraph"/>
              <w:rPr>
                <w:rFonts w:ascii="Times New Roman"/>
                <w:sz w:val="16"/>
              </w:rPr>
            </w:pPr>
          </w:p>
        </w:tc>
      </w:tr>
      <w:tr w:rsidR="00EB2BD8" w:rsidRPr="00EB2BD8" w14:paraId="4A38DEC8" w14:textId="77777777">
        <w:trPr>
          <w:trHeight w:val="310"/>
        </w:trPr>
        <w:tc>
          <w:tcPr>
            <w:tcW w:w="6216" w:type="dxa"/>
            <w:shd w:val="clear" w:color="auto" w:fill="FFFFFF"/>
          </w:tcPr>
          <w:p w14:paraId="43AB4BDE" w14:textId="77777777" w:rsidR="00084F36" w:rsidRPr="00EB2BD8" w:rsidRDefault="00EB2BD8">
            <w:pPr>
              <w:pStyle w:val="TableParagraph"/>
              <w:spacing w:before="60"/>
              <w:ind w:left="105"/>
              <w:rPr>
                <w:rFonts w:ascii="Arial"/>
                <w:sz w:val="16"/>
              </w:rPr>
            </w:pPr>
            <w:r w:rsidRPr="00EB2BD8">
              <w:rPr>
                <w:rFonts w:ascii="Arial"/>
                <w:w w:val="105"/>
                <w:sz w:val="16"/>
              </w:rPr>
              <w:t>Employee</w:t>
            </w:r>
            <w:r w:rsidRPr="00EB2BD8">
              <w:rPr>
                <w:rFonts w:ascii="Arial"/>
                <w:spacing w:val="-12"/>
                <w:w w:val="105"/>
                <w:sz w:val="16"/>
              </w:rPr>
              <w:t xml:space="preserve"> </w:t>
            </w:r>
            <w:r w:rsidRPr="00EB2BD8">
              <w:rPr>
                <w:rFonts w:ascii="Arial"/>
                <w:spacing w:val="-2"/>
                <w:w w:val="105"/>
                <w:sz w:val="16"/>
              </w:rPr>
              <w:t>benefits</w:t>
            </w:r>
          </w:p>
        </w:tc>
        <w:tc>
          <w:tcPr>
            <w:tcW w:w="1456" w:type="dxa"/>
            <w:shd w:val="clear" w:color="auto" w:fill="DEEAF6"/>
          </w:tcPr>
          <w:p w14:paraId="1D8A582C" w14:textId="77777777" w:rsidR="00084F36" w:rsidRPr="00EB2BD8" w:rsidRDefault="00EB2BD8">
            <w:pPr>
              <w:pStyle w:val="TableParagraph"/>
              <w:spacing w:before="60"/>
              <w:ind w:right="96"/>
              <w:jc w:val="right"/>
              <w:rPr>
                <w:rFonts w:ascii="Arial"/>
                <w:sz w:val="16"/>
              </w:rPr>
            </w:pPr>
            <w:r w:rsidRPr="00EB2BD8">
              <w:rPr>
                <w:rFonts w:ascii="Arial"/>
                <w:spacing w:val="-4"/>
                <w:w w:val="105"/>
                <w:sz w:val="16"/>
              </w:rPr>
              <w:t>1,903</w:t>
            </w:r>
          </w:p>
        </w:tc>
        <w:tc>
          <w:tcPr>
            <w:tcW w:w="1455" w:type="dxa"/>
            <w:shd w:val="clear" w:color="auto" w:fill="FFFFFF"/>
          </w:tcPr>
          <w:p w14:paraId="5F653F43" w14:textId="77777777" w:rsidR="00084F36" w:rsidRPr="00EB2BD8" w:rsidRDefault="00EB2BD8">
            <w:pPr>
              <w:pStyle w:val="TableParagraph"/>
              <w:spacing w:before="60"/>
              <w:ind w:right="95"/>
              <w:jc w:val="right"/>
              <w:rPr>
                <w:rFonts w:ascii="Arial"/>
                <w:sz w:val="16"/>
              </w:rPr>
            </w:pPr>
            <w:r w:rsidRPr="00EB2BD8">
              <w:rPr>
                <w:rFonts w:ascii="Arial"/>
                <w:spacing w:val="-2"/>
                <w:w w:val="105"/>
                <w:sz w:val="16"/>
              </w:rPr>
              <w:t>1,587</w:t>
            </w:r>
          </w:p>
        </w:tc>
      </w:tr>
      <w:tr w:rsidR="00EB2BD8" w:rsidRPr="00EB2BD8" w14:paraId="057B857E" w14:textId="77777777">
        <w:trPr>
          <w:trHeight w:val="314"/>
        </w:trPr>
        <w:tc>
          <w:tcPr>
            <w:tcW w:w="6216" w:type="dxa"/>
            <w:tcBorders>
              <w:bottom w:val="single" w:sz="12" w:space="0" w:color="000000"/>
            </w:tcBorders>
            <w:shd w:val="clear" w:color="auto" w:fill="FFFFFF"/>
          </w:tcPr>
          <w:p w14:paraId="02C778A6" w14:textId="77777777" w:rsidR="00084F36" w:rsidRPr="00EB2BD8" w:rsidRDefault="00EB2BD8">
            <w:pPr>
              <w:pStyle w:val="TableParagraph"/>
              <w:spacing w:before="66"/>
              <w:ind w:left="105"/>
              <w:rPr>
                <w:rFonts w:ascii="Arial"/>
                <w:sz w:val="16"/>
              </w:rPr>
            </w:pPr>
            <w:r w:rsidRPr="00EB2BD8">
              <w:rPr>
                <w:rFonts w:ascii="Arial"/>
                <w:sz w:val="16"/>
              </w:rPr>
              <w:t>On-</w:t>
            </w:r>
            <w:r w:rsidRPr="00EB2BD8">
              <w:rPr>
                <w:rFonts w:ascii="Arial"/>
                <w:spacing w:val="-2"/>
                <w:sz w:val="16"/>
              </w:rPr>
              <w:t>Costs</w:t>
            </w:r>
          </w:p>
        </w:tc>
        <w:tc>
          <w:tcPr>
            <w:tcW w:w="1456" w:type="dxa"/>
            <w:tcBorders>
              <w:bottom w:val="single" w:sz="12" w:space="0" w:color="000000"/>
            </w:tcBorders>
            <w:shd w:val="clear" w:color="auto" w:fill="DEEAF6"/>
          </w:tcPr>
          <w:p w14:paraId="396C318D" w14:textId="77777777" w:rsidR="00084F36" w:rsidRPr="00EB2BD8" w:rsidRDefault="00EB2BD8">
            <w:pPr>
              <w:pStyle w:val="TableParagraph"/>
              <w:spacing w:before="66"/>
              <w:ind w:right="96"/>
              <w:jc w:val="right"/>
              <w:rPr>
                <w:rFonts w:ascii="Arial"/>
                <w:sz w:val="16"/>
              </w:rPr>
            </w:pPr>
            <w:r w:rsidRPr="00EB2BD8">
              <w:rPr>
                <w:rFonts w:ascii="Arial"/>
                <w:spacing w:val="-5"/>
                <w:w w:val="105"/>
                <w:sz w:val="16"/>
              </w:rPr>
              <w:t>327</w:t>
            </w:r>
          </w:p>
        </w:tc>
        <w:tc>
          <w:tcPr>
            <w:tcW w:w="1455" w:type="dxa"/>
            <w:tcBorders>
              <w:bottom w:val="single" w:sz="12" w:space="0" w:color="000000"/>
            </w:tcBorders>
            <w:shd w:val="clear" w:color="auto" w:fill="FFFFFF"/>
          </w:tcPr>
          <w:p w14:paraId="06B5BF60" w14:textId="77777777" w:rsidR="00084F36" w:rsidRPr="00EB2BD8" w:rsidRDefault="00EB2BD8">
            <w:pPr>
              <w:pStyle w:val="TableParagraph"/>
              <w:spacing w:before="66"/>
              <w:ind w:right="95"/>
              <w:jc w:val="right"/>
              <w:rPr>
                <w:rFonts w:ascii="Arial"/>
                <w:sz w:val="16"/>
              </w:rPr>
            </w:pPr>
            <w:r w:rsidRPr="00EB2BD8">
              <w:rPr>
                <w:rFonts w:ascii="Arial"/>
                <w:spacing w:val="-5"/>
                <w:w w:val="105"/>
                <w:sz w:val="16"/>
              </w:rPr>
              <w:t>269</w:t>
            </w:r>
          </w:p>
        </w:tc>
      </w:tr>
      <w:tr w:rsidR="00EB2BD8" w:rsidRPr="00EB2BD8" w14:paraId="4200C0D3" w14:textId="77777777">
        <w:trPr>
          <w:trHeight w:val="287"/>
        </w:trPr>
        <w:tc>
          <w:tcPr>
            <w:tcW w:w="6216" w:type="dxa"/>
            <w:tcBorders>
              <w:top w:val="single" w:sz="12" w:space="0" w:color="000000"/>
              <w:bottom w:val="single" w:sz="12" w:space="0" w:color="000000"/>
            </w:tcBorders>
            <w:shd w:val="clear" w:color="auto" w:fill="FFFFFF"/>
          </w:tcPr>
          <w:p w14:paraId="6EBCEE6A" w14:textId="77777777" w:rsidR="00084F36" w:rsidRPr="00EB2BD8" w:rsidRDefault="00EB2BD8">
            <w:pPr>
              <w:pStyle w:val="TableParagraph"/>
              <w:spacing w:before="53"/>
              <w:ind w:left="105"/>
              <w:rPr>
                <w:rFonts w:ascii="Arial"/>
                <w:b/>
                <w:sz w:val="16"/>
              </w:rPr>
            </w:pPr>
            <w:r w:rsidRPr="00EB2BD8">
              <w:rPr>
                <w:rFonts w:ascii="Arial"/>
                <w:b/>
                <w:w w:val="105"/>
                <w:sz w:val="16"/>
              </w:rPr>
              <w:t>Total</w:t>
            </w:r>
            <w:r w:rsidRPr="00EB2BD8">
              <w:rPr>
                <w:rFonts w:ascii="Arial"/>
                <w:b/>
                <w:spacing w:val="-10"/>
                <w:w w:val="105"/>
                <w:sz w:val="16"/>
              </w:rPr>
              <w:t xml:space="preserve"> </w:t>
            </w:r>
            <w:r w:rsidRPr="00EB2BD8">
              <w:rPr>
                <w:rFonts w:ascii="Arial"/>
                <w:b/>
                <w:w w:val="105"/>
                <w:sz w:val="16"/>
              </w:rPr>
              <w:t>non-current</w:t>
            </w:r>
            <w:r w:rsidRPr="00EB2BD8">
              <w:rPr>
                <w:rFonts w:ascii="Arial"/>
                <w:b/>
                <w:spacing w:val="-10"/>
                <w:w w:val="105"/>
                <w:sz w:val="16"/>
              </w:rPr>
              <w:t xml:space="preserve"> </w:t>
            </w:r>
            <w:r w:rsidRPr="00EB2BD8">
              <w:rPr>
                <w:rFonts w:ascii="Arial"/>
                <w:b/>
                <w:spacing w:val="-2"/>
                <w:w w:val="105"/>
                <w:sz w:val="16"/>
              </w:rPr>
              <w:t>provisions</w:t>
            </w:r>
          </w:p>
        </w:tc>
        <w:tc>
          <w:tcPr>
            <w:tcW w:w="1456" w:type="dxa"/>
            <w:tcBorders>
              <w:top w:val="single" w:sz="12" w:space="0" w:color="000000"/>
              <w:bottom w:val="single" w:sz="12" w:space="0" w:color="000000"/>
            </w:tcBorders>
            <w:shd w:val="clear" w:color="auto" w:fill="DEEAF6"/>
          </w:tcPr>
          <w:p w14:paraId="611348D3" w14:textId="77777777" w:rsidR="00084F36" w:rsidRPr="00EB2BD8" w:rsidRDefault="00EB2BD8">
            <w:pPr>
              <w:pStyle w:val="TableParagraph"/>
              <w:spacing w:before="54"/>
              <w:ind w:right="96"/>
              <w:jc w:val="right"/>
              <w:rPr>
                <w:rFonts w:ascii="Arial"/>
                <w:b/>
                <w:sz w:val="16"/>
              </w:rPr>
            </w:pPr>
            <w:r w:rsidRPr="00EB2BD8">
              <w:rPr>
                <w:rFonts w:ascii="Arial"/>
                <w:b/>
                <w:spacing w:val="-4"/>
                <w:w w:val="105"/>
                <w:sz w:val="16"/>
              </w:rPr>
              <w:t>2,230</w:t>
            </w:r>
          </w:p>
        </w:tc>
        <w:tc>
          <w:tcPr>
            <w:tcW w:w="1455" w:type="dxa"/>
            <w:tcBorders>
              <w:top w:val="single" w:sz="12" w:space="0" w:color="000000"/>
              <w:bottom w:val="single" w:sz="12" w:space="0" w:color="000000"/>
            </w:tcBorders>
            <w:shd w:val="clear" w:color="auto" w:fill="FFFFFF"/>
          </w:tcPr>
          <w:p w14:paraId="3BDDAB48" w14:textId="77777777" w:rsidR="00084F36" w:rsidRPr="00EB2BD8" w:rsidRDefault="00EB2BD8">
            <w:pPr>
              <w:pStyle w:val="TableParagraph"/>
              <w:spacing w:before="54"/>
              <w:ind w:right="96"/>
              <w:jc w:val="right"/>
              <w:rPr>
                <w:rFonts w:ascii="Arial"/>
                <w:b/>
                <w:sz w:val="16"/>
              </w:rPr>
            </w:pPr>
            <w:r w:rsidRPr="00EB2BD8">
              <w:rPr>
                <w:rFonts w:ascii="Arial"/>
                <w:b/>
                <w:spacing w:val="-2"/>
                <w:w w:val="105"/>
                <w:sz w:val="16"/>
              </w:rPr>
              <w:t>1,856</w:t>
            </w:r>
          </w:p>
        </w:tc>
      </w:tr>
      <w:tr w:rsidR="00EB2BD8" w:rsidRPr="00EB2BD8" w14:paraId="588FB42E" w14:textId="77777777">
        <w:trPr>
          <w:trHeight w:val="286"/>
        </w:trPr>
        <w:tc>
          <w:tcPr>
            <w:tcW w:w="6216" w:type="dxa"/>
            <w:tcBorders>
              <w:top w:val="single" w:sz="12" w:space="0" w:color="000000"/>
              <w:bottom w:val="single" w:sz="12" w:space="0" w:color="000000"/>
            </w:tcBorders>
            <w:shd w:val="clear" w:color="auto" w:fill="FFFFFF"/>
          </w:tcPr>
          <w:p w14:paraId="31F2260F" w14:textId="77777777" w:rsidR="00084F36" w:rsidRPr="00EB2BD8" w:rsidRDefault="00EB2BD8">
            <w:pPr>
              <w:pStyle w:val="TableParagraph"/>
              <w:spacing w:before="54"/>
              <w:ind w:left="105"/>
              <w:rPr>
                <w:rFonts w:ascii="Arial"/>
                <w:b/>
                <w:sz w:val="16"/>
              </w:rPr>
            </w:pPr>
            <w:r w:rsidRPr="00EB2BD8">
              <w:rPr>
                <w:rFonts w:ascii="Arial"/>
                <w:b/>
                <w:w w:val="105"/>
                <w:sz w:val="16"/>
              </w:rPr>
              <w:t>Total</w:t>
            </w:r>
            <w:r w:rsidRPr="00EB2BD8">
              <w:rPr>
                <w:rFonts w:ascii="Arial"/>
                <w:b/>
                <w:spacing w:val="-5"/>
                <w:w w:val="105"/>
                <w:sz w:val="16"/>
              </w:rPr>
              <w:t xml:space="preserve"> </w:t>
            </w:r>
            <w:r w:rsidRPr="00EB2BD8">
              <w:rPr>
                <w:rFonts w:ascii="Arial"/>
                <w:b/>
                <w:spacing w:val="-2"/>
                <w:w w:val="105"/>
                <w:sz w:val="16"/>
              </w:rPr>
              <w:t>provisions</w:t>
            </w:r>
          </w:p>
        </w:tc>
        <w:tc>
          <w:tcPr>
            <w:tcW w:w="1456" w:type="dxa"/>
            <w:tcBorders>
              <w:top w:val="single" w:sz="12" w:space="0" w:color="000000"/>
              <w:bottom w:val="single" w:sz="12" w:space="0" w:color="000000"/>
            </w:tcBorders>
            <w:shd w:val="clear" w:color="auto" w:fill="DEEAF6"/>
          </w:tcPr>
          <w:p w14:paraId="31AAEB43" w14:textId="77777777" w:rsidR="00084F36" w:rsidRPr="00EB2BD8" w:rsidRDefault="00EB2BD8">
            <w:pPr>
              <w:pStyle w:val="TableParagraph"/>
              <w:spacing w:before="54"/>
              <w:ind w:right="96"/>
              <w:jc w:val="right"/>
              <w:rPr>
                <w:rFonts w:ascii="Arial"/>
                <w:b/>
                <w:sz w:val="16"/>
              </w:rPr>
            </w:pPr>
            <w:r w:rsidRPr="00EB2BD8">
              <w:rPr>
                <w:rFonts w:ascii="Arial"/>
                <w:b/>
                <w:spacing w:val="-2"/>
                <w:w w:val="105"/>
                <w:sz w:val="16"/>
              </w:rPr>
              <w:t>10,645</w:t>
            </w:r>
          </w:p>
        </w:tc>
        <w:tc>
          <w:tcPr>
            <w:tcW w:w="1455" w:type="dxa"/>
            <w:tcBorders>
              <w:top w:val="single" w:sz="12" w:space="0" w:color="000000"/>
              <w:bottom w:val="single" w:sz="12" w:space="0" w:color="000000"/>
            </w:tcBorders>
            <w:shd w:val="clear" w:color="auto" w:fill="FFFFFF"/>
          </w:tcPr>
          <w:p w14:paraId="05102CB4" w14:textId="77777777" w:rsidR="00084F36" w:rsidRPr="00EB2BD8" w:rsidRDefault="00EB2BD8">
            <w:pPr>
              <w:pStyle w:val="TableParagraph"/>
              <w:spacing w:before="54"/>
              <w:ind w:right="96"/>
              <w:jc w:val="right"/>
              <w:rPr>
                <w:rFonts w:ascii="Arial"/>
                <w:b/>
                <w:sz w:val="16"/>
              </w:rPr>
            </w:pPr>
            <w:r w:rsidRPr="00EB2BD8">
              <w:rPr>
                <w:rFonts w:ascii="Arial"/>
                <w:b/>
                <w:spacing w:val="-2"/>
                <w:w w:val="105"/>
                <w:sz w:val="16"/>
              </w:rPr>
              <w:t>10,078</w:t>
            </w:r>
          </w:p>
        </w:tc>
      </w:tr>
    </w:tbl>
    <w:p w14:paraId="1C002ACB" w14:textId="77777777" w:rsidR="00084F36" w:rsidRPr="00EB2BD8" w:rsidRDefault="00084F36">
      <w:pPr>
        <w:pStyle w:val="BodyText"/>
        <w:rPr>
          <w:rFonts w:ascii="Arial"/>
        </w:rPr>
      </w:pPr>
    </w:p>
    <w:p w14:paraId="4D767EAB" w14:textId="77777777" w:rsidR="00084F36" w:rsidRPr="00EB2BD8" w:rsidRDefault="00084F36">
      <w:pPr>
        <w:pStyle w:val="BodyText"/>
        <w:rPr>
          <w:rFonts w:ascii="Arial"/>
        </w:rPr>
      </w:pPr>
    </w:p>
    <w:p w14:paraId="55E6468E" w14:textId="77777777" w:rsidR="00084F36" w:rsidRPr="00EB2BD8" w:rsidRDefault="00084F36">
      <w:pPr>
        <w:pStyle w:val="BodyText"/>
        <w:rPr>
          <w:rFonts w:ascii="Arial"/>
        </w:rPr>
      </w:pPr>
    </w:p>
    <w:p w14:paraId="7E2D86A8" w14:textId="77777777" w:rsidR="00084F36" w:rsidRPr="00EB2BD8" w:rsidRDefault="00084F36">
      <w:pPr>
        <w:pStyle w:val="BodyText"/>
        <w:rPr>
          <w:rFonts w:ascii="Arial"/>
        </w:rPr>
      </w:pPr>
    </w:p>
    <w:p w14:paraId="3393C967" w14:textId="77777777" w:rsidR="00084F36" w:rsidRPr="00EB2BD8" w:rsidRDefault="00084F36">
      <w:pPr>
        <w:pStyle w:val="BodyText"/>
        <w:spacing w:before="8"/>
        <w:rPr>
          <w:rFonts w:ascii="Arial"/>
          <w:sz w:val="14"/>
        </w:rPr>
      </w:pPr>
    </w:p>
    <w:p w14:paraId="47A23D53" w14:textId="08CE2B49" w:rsidR="00084F36" w:rsidRPr="00EB2BD8" w:rsidRDefault="00436F78" w:rsidP="00436F78">
      <w:pPr>
        <w:pStyle w:val="Heading2"/>
      </w:pPr>
      <w:r>
        <w:t xml:space="preserve">  </w:t>
      </w:r>
      <w:bookmarkStart w:id="277" w:name="_Toc150762579"/>
      <w:r w:rsidR="00EB2BD8" w:rsidRPr="00EB2BD8">
        <w:t>Reconciliation</w:t>
      </w:r>
      <w:r w:rsidR="00EB2BD8" w:rsidRPr="00EB2BD8">
        <w:rPr>
          <w:spacing w:val="14"/>
        </w:rPr>
        <w:t xml:space="preserve"> </w:t>
      </w:r>
      <w:r w:rsidR="00EB2BD8" w:rsidRPr="00EB2BD8">
        <w:t>of</w:t>
      </w:r>
      <w:r w:rsidR="00EB2BD8" w:rsidRPr="00EB2BD8">
        <w:rPr>
          <w:spacing w:val="15"/>
        </w:rPr>
        <w:t xml:space="preserve"> </w:t>
      </w:r>
      <w:r w:rsidR="00EB2BD8" w:rsidRPr="00EB2BD8">
        <w:t>movement</w:t>
      </w:r>
      <w:r w:rsidR="00EB2BD8" w:rsidRPr="00EB2BD8">
        <w:rPr>
          <w:spacing w:val="14"/>
        </w:rPr>
        <w:t xml:space="preserve"> </w:t>
      </w:r>
      <w:r w:rsidR="00EB2BD8" w:rsidRPr="00EB2BD8">
        <w:t>in</w:t>
      </w:r>
      <w:r w:rsidR="00EB2BD8" w:rsidRPr="00EB2BD8">
        <w:rPr>
          <w:spacing w:val="15"/>
        </w:rPr>
        <w:t xml:space="preserve"> </w:t>
      </w:r>
      <w:r w:rsidR="00EB2BD8" w:rsidRPr="00EB2BD8">
        <w:t>on-cost</w:t>
      </w:r>
      <w:r w:rsidR="00EB2BD8" w:rsidRPr="00EB2BD8">
        <w:rPr>
          <w:spacing w:val="15"/>
        </w:rPr>
        <w:t xml:space="preserve"> </w:t>
      </w:r>
      <w:r w:rsidR="00EB2BD8" w:rsidRPr="00EB2BD8">
        <w:rPr>
          <w:spacing w:val="-2"/>
        </w:rPr>
        <w:t>provision</w:t>
      </w:r>
      <w:bookmarkEnd w:id="277"/>
    </w:p>
    <w:p w14:paraId="361768E1" w14:textId="77777777" w:rsidR="00084F36" w:rsidRPr="00EB2BD8" w:rsidRDefault="00084F36">
      <w:pPr>
        <w:pStyle w:val="BodyText"/>
        <w:spacing w:before="9"/>
        <w:rPr>
          <w:rFonts w:ascii="Arial"/>
          <w:b/>
        </w:rPr>
      </w:pPr>
    </w:p>
    <w:p w14:paraId="3B1F3D68" w14:textId="77777777" w:rsidR="00084F36" w:rsidRPr="00EB2BD8" w:rsidRDefault="00EB2BD8">
      <w:pPr>
        <w:spacing w:after="55"/>
        <w:ind w:left="9509"/>
        <w:rPr>
          <w:rFonts w:ascii="Arial" w:hAnsi="Arial"/>
          <w:sz w:val="16"/>
        </w:rPr>
      </w:pPr>
      <w:r w:rsidRPr="00EB2BD8">
        <w:rPr>
          <w:rFonts w:ascii="Arial" w:hAnsi="Arial"/>
          <w:spacing w:val="-2"/>
          <w:w w:val="105"/>
          <w:sz w:val="16"/>
        </w:rPr>
        <w:t>($’000)</w:t>
      </w:r>
    </w:p>
    <w:tbl>
      <w:tblPr>
        <w:tblW w:w="0" w:type="auto"/>
        <w:tblInd w:w="1015" w:type="dxa"/>
        <w:tblLayout w:type="fixed"/>
        <w:tblCellMar>
          <w:left w:w="0" w:type="dxa"/>
          <w:right w:w="0" w:type="dxa"/>
        </w:tblCellMar>
        <w:tblLook w:val="01E0" w:firstRow="1" w:lastRow="1" w:firstColumn="1" w:lastColumn="1" w:noHBand="0" w:noVBand="0"/>
      </w:tblPr>
      <w:tblGrid>
        <w:gridCol w:w="7671"/>
        <w:gridCol w:w="1454"/>
      </w:tblGrid>
      <w:tr w:rsidR="00EB2BD8" w:rsidRPr="00EB2BD8" w14:paraId="28949F30" w14:textId="77777777">
        <w:trPr>
          <w:trHeight w:val="307"/>
        </w:trPr>
        <w:tc>
          <w:tcPr>
            <w:tcW w:w="9125" w:type="dxa"/>
            <w:gridSpan w:val="2"/>
            <w:tcBorders>
              <w:top w:val="single" w:sz="4" w:space="0" w:color="0098FF"/>
              <w:left w:val="single" w:sz="4" w:space="0" w:color="0098FF"/>
              <w:bottom w:val="single" w:sz="4" w:space="0" w:color="0098FF"/>
              <w:right w:val="single" w:sz="4" w:space="0" w:color="0098FF"/>
            </w:tcBorders>
            <w:shd w:val="clear" w:color="auto" w:fill="0070C0"/>
          </w:tcPr>
          <w:p w14:paraId="38838511" w14:textId="77777777" w:rsidR="00084F36" w:rsidRPr="00EB2BD8" w:rsidRDefault="00EB2BD8">
            <w:pPr>
              <w:pStyle w:val="TableParagraph"/>
              <w:spacing w:before="64"/>
              <w:ind w:right="89"/>
              <w:jc w:val="right"/>
              <w:rPr>
                <w:rFonts w:ascii="Arial"/>
                <w:b/>
                <w:sz w:val="16"/>
              </w:rPr>
            </w:pPr>
            <w:r w:rsidRPr="00EB2BD8">
              <w:rPr>
                <w:rFonts w:ascii="Arial"/>
                <w:b/>
                <w:spacing w:val="-4"/>
                <w:w w:val="105"/>
                <w:sz w:val="16"/>
              </w:rPr>
              <w:t>2023</w:t>
            </w:r>
          </w:p>
        </w:tc>
      </w:tr>
      <w:tr w:rsidR="00EB2BD8" w:rsidRPr="00EB2BD8" w14:paraId="3F904E33" w14:textId="77777777">
        <w:trPr>
          <w:trHeight w:val="311"/>
        </w:trPr>
        <w:tc>
          <w:tcPr>
            <w:tcW w:w="7671" w:type="dxa"/>
            <w:tcBorders>
              <w:top w:val="single" w:sz="4" w:space="0" w:color="0098FF"/>
            </w:tcBorders>
            <w:shd w:val="clear" w:color="auto" w:fill="FFFFFF"/>
          </w:tcPr>
          <w:p w14:paraId="68ABCF40" w14:textId="77777777" w:rsidR="00084F36" w:rsidRPr="00EB2BD8" w:rsidRDefault="00EB2BD8">
            <w:pPr>
              <w:pStyle w:val="TableParagraph"/>
              <w:spacing w:before="6"/>
              <w:ind w:left="105"/>
              <w:rPr>
                <w:rFonts w:ascii="Arial"/>
                <w:b/>
                <w:sz w:val="16"/>
              </w:rPr>
            </w:pPr>
            <w:r w:rsidRPr="00EB2BD8">
              <w:rPr>
                <w:rFonts w:ascii="Arial"/>
                <w:b/>
                <w:w w:val="105"/>
                <w:sz w:val="16"/>
              </w:rPr>
              <w:t>Opening</w:t>
            </w:r>
            <w:r w:rsidRPr="00EB2BD8">
              <w:rPr>
                <w:rFonts w:ascii="Arial"/>
                <w:b/>
                <w:spacing w:val="-9"/>
                <w:w w:val="105"/>
                <w:sz w:val="16"/>
              </w:rPr>
              <w:t xml:space="preserve"> </w:t>
            </w:r>
            <w:r w:rsidRPr="00EB2BD8">
              <w:rPr>
                <w:rFonts w:ascii="Arial"/>
                <w:b/>
                <w:spacing w:val="-2"/>
                <w:w w:val="105"/>
                <w:sz w:val="16"/>
              </w:rPr>
              <w:t>Balance</w:t>
            </w:r>
          </w:p>
        </w:tc>
        <w:tc>
          <w:tcPr>
            <w:tcW w:w="1454" w:type="dxa"/>
            <w:tcBorders>
              <w:top w:val="single" w:sz="4" w:space="0" w:color="0098FF"/>
            </w:tcBorders>
            <w:shd w:val="clear" w:color="auto" w:fill="DEEAF6"/>
          </w:tcPr>
          <w:p w14:paraId="223AA9C9" w14:textId="77777777" w:rsidR="00084F36" w:rsidRPr="00EB2BD8" w:rsidRDefault="00EB2BD8">
            <w:pPr>
              <w:pStyle w:val="TableParagraph"/>
              <w:spacing w:before="63"/>
              <w:ind w:right="93"/>
              <w:jc w:val="right"/>
              <w:rPr>
                <w:rFonts w:ascii="Arial"/>
                <w:b/>
                <w:sz w:val="16"/>
              </w:rPr>
            </w:pPr>
            <w:r w:rsidRPr="00EB2BD8">
              <w:rPr>
                <w:rFonts w:ascii="Arial"/>
                <w:b/>
                <w:spacing w:val="-2"/>
                <w:w w:val="105"/>
                <w:sz w:val="16"/>
              </w:rPr>
              <w:t>1,437</w:t>
            </w:r>
          </w:p>
        </w:tc>
      </w:tr>
      <w:tr w:rsidR="00EB2BD8" w:rsidRPr="00EB2BD8" w14:paraId="58597685" w14:textId="77777777">
        <w:trPr>
          <w:trHeight w:val="315"/>
        </w:trPr>
        <w:tc>
          <w:tcPr>
            <w:tcW w:w="7671" w:type="dxa"/>
            <w:shd w:val="clear" w:color="auto" w:fill="FFFFFF"/>
          </w:tcPr>
          <w:p w14:paraId="1E14CDA0" w14:textId="46B1A6BA" w:rsidR="00084F36" w:rsidRPr="00EB2BD8" w:rsidRDefault="00EB2BD8">
            <w:pPr>
              <w:pStyle w:val="TableParagraph"/>
              <w:spacing w:before="64"/>
              <w:ind w:left="105"/>
              <w:rPr>
                <w:rFonts w:ascii="Arial"/>
                <w:sz w:val="16"/>
              </w:rPr>
            </w:pPr>
            <w:r w:rsidRPr="00EB2BD8">
              <w:rPr>
                <w:rFonts w:ascii="Arial"/>
                <w:spacing w:val="-2"/>
                <w:w w:val="105"/>
                <w:sz w:val="16"/>
              </w:rPr>
              <w:t>Additional</w:t>
            </w:r>
            <w:r w:rsidRPr="00EB2BD8">
              <w:rPr>
                <w:rFonts w:ascii="Arial"/>
                <w:spacing w:val="7"/>
                <w:w w:val="105"/>
                <w:sz w:val="16"/>
              </w:rPr>
              <w:t xml:space="preserve"> </w:t>
            </w:r>
            <w:r w:rsidRPr="00EB2BD8">
              <w:rPr>
                <w:rFonts w:ascii="Arial"/>
                <w:spacing w:val="-2"/>
                <w:w w:val="105"/>
                <w:sz w:val="16"/>
              </w:rPr>
              <w:t>provisions</w:t>
            </w:r>
            <w:r w:rsidRPr="00EB2BD8">
              <w:rPr>
                <w:rFonts w:ascii="Arial"/>
                <w:spacing w:val="7"/>
                <w:w w:val="105"/>
                <w:sz w:val="16"/>
              </w:rPr>
              <w:t xml:space="preserve"> </w:t>
            </w:r>
            <w:r w:rsidR="00B82021">
              <w:rPr>
                <w:rFonts w:ascii="Arial"/>
                <w:spacing w:val="-2"/>
                <w:w w:val="105"/>
                <w:sz w:val="16"/>
              </w:rPr>
              <w:t>recognized</w:t>
            </w:r>
          </w:p>
        </w:tc>
        <w:tc>
          <w:tcPr>
            <w:tcW w:w="1454" w:type="dxa"/>
            <w:shd w:val="clear" w:color="auto" w:fill="DEEAF6"/>
          </w:tcPr>
          <w:p w14:paraId="1F213776" w14:textId="77777777" w:rsidR="00084F36" w:rsidRPr="00EB2BD8" w:rsidRDefault="00EB2BD8">
            <w:pPr>
              <w:pStyle w:val="TableParagraph"/>
              <w:spacing w:before="64"/>
              <w:ind w:right="94"/>
              <w:jc w:val="right"/>
              <w:rPr>
                <w:rFonts w:ascii="Arial"/>
                <w:sz w:val="16"/>
              </w:rPr>
            </w:pPr>
            <w:r w:rsidRPr="00EB2BD8">
              <w:rPr>
                <w:rFonts w:ascii="Arial"/>
                <w:spacing w:val="-5"/>
                <w:w w:val="105"/>
                <w:sz w:val="16"/>
              </w:rPr>
              <w:t>988</w:t>
            </w:r>
          </w:p>
        </w:tc>
      </w:tr>
      <w:tr w:rsidR="00EB2BD8" w:rsidRPr="00EB2BD8" w14:paraId="448A1286" w14:textId="77777777">
        <w:trPr>
          <w:trHeight w:val="317"/>
        </w:trPr>
        <w:tc>
          <w:tcPr>
            <w:tcW w:w="7671" w:type="dxa"/>
            <w:shd w:val="clear" w:color="auto" w:fill="FFFFFF"/>
          </w:tcPr>
          <w:p w14:paraId="7B249F2F" w14:textId="77777777" w:rsidR="00084F36" w:rsidRPr="00EB2BD8" w:rsidRDefault="00EB2BD8">
            <w:pPr>
              <w:pStyle w:val="TableParagraph"/>
              <w:spacing w:before="67"/>
              <w:ind w:left="105"/>
              <w:rPr>
                <w:rFonts w:ascii="Arial"/>
                <w:sz w:val="16"/>
              </w:rPr>
            </w:pPr>
            <w:r w:rsidRPr="00EB2BD8">
              <w:rPr>
                <w:rFonts w:ascii="Arial"/>
                <w:w w:val="105"/>
                <w:sz w:val="16"/>
              </w:rPr>
              <w:t>Additions</w:t>
            </w:r>
            <w:r w:rsidRPr="00EB2BD8">
              <w:rPr>
                <w:rFonts w:ascii="Arial"/>
                <w:spacing w:val="-7"/>
                <w:w w:val="105"/>
                <w:sz w:val="16"/>
              </w:rPr>
              <w:t xml:space="preserve"> </w:t>
            </w:r>
            <w:r w:rsidRPr="00EB2BD8">
              <w:rPr>
                <w:rFonts w:ascii="Arial"/>
                <w:w w:val="105"/>
                <w:sz w:val="16"/>
              </w:rPr>
              <w:t>due</w:t>
            </w:r>
            <w:r w:rsidRPr="00EB2BD8">
              <w:rPr>
                <w:rFonts w:ascii="Arial"/>
                <w:spacing w:val="-7"/>
                <w:w w:val="105"/>
                <w:sz w:val="16"/>
              </w:rPr>
              <w:t xml:space="preserve"> </w:t>
            </w:r>
            <w:r w:rsidRPr="00EB2BD8">
              <w:rPr>
                <w:rFonts w:ascii="Arial"/>
                <w:w w:val="105"/>
                <w:sz w:val="16"/>
              </w:rPr>
              <w:t>to</w:t>
            </w:r>
            <w:r w:rsidRPr="00EB2BD8">
              <w:rPr>
                <w:rFonts w:ascii="Arial"/>
                <w:spacing w:val="-7"/>
                <w:w w:val="105"/>
                <w:sz w:val="16"/>
              </w:rPr>
              <w:t xml:space="preserve"> </w:t>
            </w:r>
            <w:r w:rsidRPr="00EB2BD8">
              <w:rPr>
                <w:rFonts w:ascii="Arial"/>
                <w:w w:val="105"/>
                <w:sz w:val="16"/>
              </w:rPr>
              <w:t>transfer</w:t>
            </w:r>
            <w:r w:rsidRPr="00EB2BD8">
              <w:rPr>
                <w:rFonts w:ascii="Arial"/>
                <w:spacing w:val="-6"/>
                <w:w w:val="105"/>
                <w:sz w:val="16"/>
              </w:rPr>
              <w:t xml:space="preserve"> </w:t>
            </w:r>
            <w:r w:rsidRPr="00EB2BD8">
              <w:rPr>
                <w:rFonts w:ascii="Arial"/>
                <w:spacing w:val="-5"/>
                <w:w w:val="105"/>
                <w:sz w:val="16"/>
              </w:rPr>
              <w:t>in</w:t>
            </w:r>
          </w:p>
        </w:tc>
        <w:tc>
          <w:tcPr>
            <w:tcW w:w="1454" w:type="dxa"/>
            <w:shd w:val="clear" w:color="auto" w:fill="DEEAF6"/>
          </w:tcPr>
          <w:p w14:paraId="46FBCA3B" w14:textId="77777777" w:rsidR="00084F36" w:rsidRPr="00EB2BD8" w:rsidRDefault="00EB2BD8">
            <w:pPr>
              <w:pStyle w:val="TableParagraph"/>
              <w:spacing w:before="67"/>
              <w:ind w:right="93"/>
              <w:jc w:val="right"/>
              <w:rPr>
                <w:rFonts w:ascii="Arial"/>
                <w:sz w:val="16"/>
              </w:rPr>
            </w:pPr>
            <w:r w:rsidRPr="00EB2BD8">
              <w:rPr>
                <w:rFonts w:ascii="Arial"/>
                <w:w w:val="104"/>
                <w:sz w:val="16"/>
              </w:rPr>
              <w:t>2</w:t>
            </w:r>
          </w:p>
        </w:tc>
      </w:tr>
      <w:tr w:rsidR="00EB2BD8" w:rsidRPr="00EB2BD8" w14:paraId="15A52A04" w14:textId="77777777">
        <w:trPr>
          <w:trHeight w:val="316"/>
        </w:trPr>
        <w:tc>
          <w:tcPr>
            <w:tcW w:w="7671" w:type="dxa"/>
            <w:shd w:val="clear" w:color="auto" w:fill="FFFFFF"/>
          </w:tcPr>
          <w:p w14:paraId="7FF57764" w14:textId="77777777" w:rsidR="00084F36" w:rsidRPr="00EB2BD8" w:rsidRDefault="00EB2BD8">
            <w:pPr>
              <w:pStyle w:val="TableParagraph"/>
              <w:spacing w:before="66"/>
              <w:ind w:left="105"/>
              <w:rPr>
                <w:rFonts w:ascii="Arial"/>
                <w:sz w:val="16"/>
              </w:rPr>
            </w:pPr>
            <w:r w:rsidRPr="00EB2BD8">
              <w:rPr>
                <w:rFonts w:ascii="Arial"/>
                <w:w w:val="105"/>
                <w:sz w:val="16"/>
              </w:rPr>
              <w:t>Reductions</w:t>
            </w:r>
            <w:r w:rsidRPr="00EB2BD8">
              <w:rPr>
                <w:rFonts w:ascii="Arial"/>
                <w:spacing w:val="-7"/>
                <w:w w:val="105"/>
                <w:sz w:val="16"/>
              </w:rPr>
              <w:t xml:space="preserve"> </w:t>
            </w:r>
            <w:r w:rsidRPr="00EB2BD8">
              <w:rPr>
                <w:rFonts w:ascii="Arial"/>
                <w:w w:val="105"/>
                <w:sz w:val="16"/>
              </w:rPr>
              <w:t>due</w:t>
            </w:r>
            <w:r w:rsidRPr="00EB2BD8">
              <w:rPr>
                <w:rFonts w:ascii="Arial"/>
                <w:spacing w:val="-7"/>
                <w:w w:val="105"/>
                <w:sz w:val="16"/>
              </w:rPr>
              <w:t xml:space="preserve"> </w:t>
            </w:r>
            <w:r w:rsidRPr="00EB2BD8">
              <w:rPr>
                <w:rFonts w:ascii="Arial"/>
                <w:w w:val="105"/>
                <w:sz w:val="16"/>
              </w:rPr>
              <w:t>to</w:t>
            </w:r>
            <w:r w:rsidRPr="00EB2BD8">
              <w:rPr>
                <w:rFonts w:ascii="Arial"/>
                <w:spacing w:val="-7"/>
                <w:w w:val="105"/>
                <w:sz w:val="16"/>
              </w:rPr>
              <w:t xml:space="preserve"> </w:t>
            </w:r>
            <w:r w:rsidRPr="00EB2BD8">
              <w:rPr>
                <w:rFonts w:ascii="Arial"/>
                <w:w w:val="105"/>
                <w:sz w:val="16"/>
              </w:rPr>
              <w:t>transfer</w:t>
            </w:r>
            <w:r w:rsidRPr="00EB2BD8">
              <w:rPr>
                <w:rFonts w:ascii="Arial"/>
                <w:spacing w:val="-7"/>
                <w:w w:val="105"/>
                <w:sz w:val="16"/>
              </w:rPr>
              <w:t xml:space="preserve"> </w:t>
            </w:r>
            <w:r w:rsidRPr="00EB2BD8">
              <w:rPr>
                <w:rFonts w:ascii="Arial"/>
                <w:spacing w:val="-5"/>
                <w:w w:val="105"/>
                <w:sz w:val="16"/>
              </w:rPr>
              <w:t>out</w:t>
            </w:r>
          </w:p>
        </w:tc>
        <w:tc>
          <w:tcPr>
            <w:tcW w:w="1454" w:type="dxa"/>
            <w:shd w:val="clear" w:color="auto" w:fill="DEEAF6"/>
          </w:tcPr>
          <w:p w14:paraId="06F239EF" w14:textId="77777777" w:rsidR="00084F36" w:rsidRPr="00EB2BD8" w:rsidRDefault="00EB2BD8">
            <w:pPr>
              <w:pStyle w:val="TableParagraph"/>
              <w:spacing w:before="66"/>
              <w:ind w:right="95"/>
              <w:jc w:val="right"/>
              <w:rPr>
                <w:rFonts w:ascii="Arial"/>
                <w:sz w:val="16"/>
              </w:rPr>
            </w:pPr>
            <w:r w:rsidRPr="00EB2BD8">
              <w:rPr>
                <w:rFonts w:ascii="Arial"/>
                <w:spacing w:val="-4"/>
                <w:w w:val="105"/>
                <w:sz w:val="16"/>
              </w:rPr>
              <w:t>(43)</w:t>
            </w:r>
          </w:p>
        </w:tc>
      </w:tr>
      <w:tr w:rsidR="00EB2BD8" w:rsidRPr="00EB2BD8" w14:paraId="0CD298D1" w14:textId="77777777">
        <w:trPr>
          <w:trHeight w:val="286"/>
        </w:trPr>
        <w:tc>
          <w:tcPr>
            <w:tcW w:w="7671" w:type="dxa"/>
            <w:shd w:val="clear" w:color="auto" w:fill="FFFFFF"/>
          </w:tcPr>
          <w:p w14:paraId="7C49AB06" w14:textId="77777777" w:rsidR="00084F36" w:rsidRPr="00EB2BD8" w:rsidRDefault="00EB2BD8">
            <w:pPr>
              <w:pStyle w:val="TableParagraph"/>
              <w:spacing w:before="66"/>
              <w:ind w:left="105"/>
              <w:rPr>
                <w:rFonts w:ascii="Arial"/>
                <w:sz w:val="16"/>
              </w:rPr>
            </w:pPr>
            <w:r w:rsidRPr="00EB2BD8">
              <w:rPr>
                <w:rFonts w:ascii="Arial"/>
                <w:w w:val="105"/>
                <w:sz w:val="16"/>
              </w:rPr>
              <w:t>Reductions</w:t>
            </w:r>
            <w:r w:rsidRPr="00EB2BD8">
              <w:rPr>
                <w:rFonts w:ascii="Arial"/>
                <w:spacing w:val="-9"/>
                <w:w w:val="105"/>
                <w:sz w:val="16"/>
              </w:rPr>
              <w:t xml:space="preserve"> </w:t>
            </w:r>
            <w:r w:rsidRPr="00EB2BD8">
              <w:rPr>
                <w:rFonts w:ascii="Arial"/>
                <w:w w:val="105"/>
                <w:sz w:val="16"/>
              </w:rPr>
              <w:t>arising</w:t>
            </w:r>
            <w:r w:rsidRPr="00EB2BD8">
              <w:rPr>
                <w:rFonts w:ascii="Arial"/>
                <w:spacing w:val="-9"/>
                <w:w w:val="105"/>
                <w:sz w:val="16"/>
              </w:rPr>
              <w:t xml:space="preserve"> </w:t>
            </w:r>
            <w:r w:rsidRPr="00EB2BD8">
              <w:rPr>
                <w:rFonts w:ascii="Arial"/>
                <w:w w:val="105"/>
                <w:sz w:val="16"/>
              </w:rPr>
              <w:t>from</w:t>
            </w:r>
            <w:r w:rsidRPr="00EB2BD8">
              <w:rPr>
                <w:rFonts w:ascii="Arial"/>
                <w:spacing w:val="-9"/>
                <w:w w:val="105"/>
                <w:sz w:val="16"/>
              </w:rPr>
              <w:t xml:space="preserve"> </w:t>
            </w:r>
            <w:r w:rsidRPr="00EB2BD8">
              <w:rPr>
                <w:rFonts w:ascii="Arial"/>
                <w:w w:val="105"/>
                <w:sz w:val="16"/>
              </w:rPr>
              <w:t>payments/other</w:t>
            </w:r>
            <w:r w:rsidRPr="00EB2BD8">
              <w:rPr>
                <w:rFonts w:ascii="Arial"/>
                <w:spacing w:val="-9"/>
                <w:w w:val="105"/>
                <w:sz w:val="16"/>
              </w:rPr>
              <w:t xml:space="preserve"> </w:t>
            </w:r>
            <w:r w:rsidRPr="00EB2BD8">
              <w:rPr>
                <w:rFonts w:ascii="Arial"/>
                <w:w w:val="105"/>
                <w:sz w:val="16"/>
              </w:rPr>
              <w:t>sacrifices</w:t>
            </w:r>
            <w:r w:rsidRPr="00EB2BD8">
              <w:rPr>
                <w:rFonts w:ascii="Arial"/>
                <w:spacing w:val="-10"/>
                <w:w w:val="105"/>
                <w:sz w:val="16"/>
              </w:rPr>
              <w:t xml:space="preserve"> </w:t>
            </w:r>
            <w:r w:rsidRPr="00EB2BD8">
              <w:rPr>
                <w:rFonts w:ascii="Arial"/>
                <w:w w:val="105"/>
                <w:sz w:val="16"/>
              </w:rPr>
              <w:t>of</w:t>
            </w:r>
            <w:r w:rsidRPr="00EB2BD8">
              <w:rPr>
                <w:rFonts w:ascii="Arial"/>
                <w:spacing w:val="-9"/>
                <w:w w:val="105"/>
                <w:sz w:val="16"/>
              </w:rPr>
              <w:t xml:space="preserve"> </w:t>
            </w:r>
            <w:r w:rsidRPr="00EB2BD8">
              <w:rPr>
                <w:rFonts w:ascii="Arial"/>
                <w:w w:val="105"/>
                <w:sz w:val="16"/>
              </w:rPr>
              <w:t>future</w:t>
            </w:r>
            <w:r w:rsidRPr="00EB2BD8">
              <w:rPr>
                <w:rFonts w:ascii="Arial"/>
                <w:spacing w:val="-9"/>
                <w:w w:val="105"/>
                <w:sz w:val="16"/>
              </w:rPr>
              <w:t xml:space="preserve"> </w:t>
            </w:r>
            <w:r w:rsidRPr="00EB2BD8">
              <w:rPr>
                <w:rFonts w:ascii="Arial"/>
                <w:w w:val="105"/>
                <w:sz w:val="16"/>
              </w:rPr>
              <w:t>economic</w:t>
            </w:r>
            <w:r w:rsidRPr="00EB2BD8">
              <w:rPr>
                <w:rFonts w:ascii="Arial"/>
                <w:spacing w:val="-9"/>
                <w:w w:val="105"/>
                <w:sz w:val="16"/>
              </w:rPr>
              <w:t xml:space="preserve"> </w:t>
            </w:r>
            <w:r w:rsidRPr="00EB2BD8">
              <w:rPr>
                <w:rFonts w:ascii="Arial"/>
                <w:spacing w:val="-2"/>
                <w:w w:val="105"/>
                <w:sz w:val="16"/>
              </w:rPr>
              <w:t>benefits</w:t>
            </w:r>
          </w:p>
        </w:tc>
        <w:tc>
          <w:tcPr>
            <w:tcW w:w="1454" w:type="dxa"/>
            <w:shd w:val="clear" w:color="auto" w:fill="DEEAF6"/>
          </w:tcPr>
          <w:p w14:paraId="313301A3" w14:textId="77777777" w:rsidR="00084F36" w:rsidRPr="00EB2BD8" w:rsidRDefault="00EB2BD8">
            <w:pPr>
              <w:pStyle w:val="TableParagraph"/>
              <w:spacing w:before="66"/>
              <w:ind w:right="95"/>
              <w:jc w:val="right"/>
              <w:rPr>
                <w:rFonts w:ascii="Arial"/>
                <w:sz w:val="16"/>
              </w:rPr>
            </w:pPr>
            <w:r w:rsidRPr="00EB2BD8">
              <w:rPr>
                <w:rFonts w:ascii="Arial"/>
                <w:spacing w:val="-2"/>
                <w:w w:val="105"/>
                <w:sz w:val="16"/>
              </w:rPr>
              <w:t>(794)</w:t>
            </w:r>
          </w:p>
        </w:tc>
      </w:tr>
      <w:tr w:rsidR="00EB2BD8" w:rsidRPr="00EB2BD8" w14:paraId="17486176" w14:textId="77777777">
        <w:trPr>
          <w:trHeight w:val="346"/>
        </w:trPr>
        <w:tc>
          <w:tcPr>
            <w:tcW w:w="7671" w:type="dxa"/>
            <w:tcBorders>
              <w:bottom w:val="single" w:sz="12" w:space="0" w:color="000000"/>
            </w:tcBorders>
            <w:shd w:val="clear" w:color="auto" w:fill="FFFFFF"/>
          </w:tcPr>
          <w:p w14:paraId="063D5229" w14:textId="77777777" w:rsidR="00084F36" w:rsidRPr="00EB2BD8" w:rsidRDefault="00EB2BD8">
            <w:pPr>
              <w:pStyle w:val="TableParagraph"/>
              <w:spacing w:before="35"/>
              <w:ind w:left="105"/>
              <w:rPr>
                <w:rFonts w:ascii="Arial"/>
                <w:sz w:val="16"/>
              </w:rPr>
            </w:pPr>
            <w:r w:rsidRPr="00EB2BD8">
              <w:rPr>
                <w:rFonts w:ascii="Arial"/>
                <w:w w:val="105"/>
                <w:sz w:val="16"/>
              </w:rPr>
              <w:t>Unwind</w:t>
            </w:r>
            <w:r w:rsidRPr="00EB2BD8">
              <w:rPr>
                <w:rFonts w:ascii="Arial"/>
                <w:spacing w:val="-7"/>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discount</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effect</w:t>
            </w:r>
            <w:r w:rsidRPr="00EB2BD8">
              <w:rPr>
                <w:rFonts w:ascii="Arial"/>
                <w:spacing w:val="-6"/>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changes</w:t>
            </w:r>
            <w:r w:rsidRPr="00EB2BD8">
              <w:rPr>
                <w:rFonts w:ascii="Arial"/>
                <w:spacing w:val="-6"/>
                <w:w w:val="105"/>
                <w:sz w:val="16"/>
              </w:rPr>
              <w:t xml:space="preserve"> </w:t>
            </w:r>
            <w:r w:rsidRPr="00EB2BD8">
              <w:rPr>
                <w:rFonts w:ascii="Arial"/>
                <w:w w:val="105"/>
                <w:sz w:val="16"/>
              </w:rPr>
              <w:t>in</w:t>
            </w:r>
            <w:r w:rsidRPr="00EB2BD8">
              <w:rPr>
                <w:rFonts w:ascii="Arial"/>
                <w:spacing w:val="-6"/>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discount</w:t>
            </w:r>
            <w:r w:rsidRPr="00EB2BD8">
              <w:rPr>
                <w:rFonts w:ascii="Arial"/>
                <w:spacing w:val="-6"/>
                <w:w w:val="105"/>
                <w:sz w:val="16"/>
              </w:rPr>
              <w:t xml:space="preserve"> </w:t>
            </w:r>
            <w:r w:rsidRPr="00EB2BD8">
              <w:rPr>
                <w:rFonts w:ascii="Arial"/>
                <w:spacing w:val="-4"/>
                <w:w w:val="105"/>
                <w:sz w:val="16"/>
              </w:rPr>
              <w:t>rate</w:t>
            </w:r>
          </w:p>
        </w:tc>
        <w:tc>
          <w:tcPr>
            <w:tcW w:w="1454" w:type="dxa"/>
            <w:tcBorders>
              <w:bottom w:val="single" w:sz="12" w:space="0" w:color="000000"/>
            </w:tcBorders>
            <w:shd w:val="clear" w:color="auto" w:fill="DEEAF6"/>
          </w:tcPr>
          <w:p w14:paraId="7985A643" w14:textId="77777777" w:rsidR="00084F36" w:rsidRPr="00EB2BD8" w:rsidRDefault="00EB2BD8">
            <w:pPr>
              <w:pStyle w:val="TableParagraph"/>
              <w:spacing w:before="98"/>
              <w:ind w:right="95"/>
              <w:jc w:val="right"/>
              <w:rPr>
                <w:rFonts w:ascii="Arial"/>
                <w:sz w:val="16"/>
              </w:rPr>
            </w:pPr>
            <w:r w:rsidRPr="00EB2BD8">
              <w:rPr>
                <w:rFonts w:ascii="Arial"/>
                <w:spacing w:val="-4"/>
                <w:w w:val="105"/>
                <w:sz w:val="16"/>
              </w:rPr>
              <w:t>(50)</w:t>
            </w:r>
          </w:p>
        </w:tc>
      </w:tr>
      <w:tr w:rsidR="00EB2BD8" w:rsidRPr="00EB2BD8" w14:paraId="335AAA3A" w14:textId="77777777">
        <w:trPr>
          <w:trHeight w:val="286"/>
        </w:trPr>
        <w:tc>
          <w:tcPr>
            <w:tcW w:w="7671" w:type="dxa"/>
            <w:tcBorders>
              <w:top w:val="single" w:sz="12" w:space="0" w:color="000000"/>
              <w:bottom w:val="single" w:sz="12" w:space="0" w:color="000000"/>
            </w:tcBorders>
            <w:shd w:val="clear" w:color="auto" w:fill="FFFFFF"/>
          </w:tcPr>
          <w:p w14:paraId="4ECFAEED" w14:textId="77777777" w:rsidR="00084F36" w:rsidRPr="00EB2BD8" w:rsidRDefault="00EB2BD8">
            <w:pPr>
              <w:pStyle w:val="TableParagraph"/>
              <w:spacing w:before="5"/>
              <w:ind w:left="105"/>
              <w:rPr>
                <w:rFonts w:ascii="Arial"/>
                <w:b/>
                <w:sz w:val="16"/>
              </w:rPr>
            </w:pPr>
            <w:r w:rsidRPr="00EB2BD8">
              <w:rPr>
                <w:rFonts w:ascii="Arial"/>
                <w:b/>
                <w:w w:val="105"/>
                <w:sz w:val="16"/>
              </w:rPr>
              <w:t>Closing</w:t>
            </w:r>
            <w:r w:rsidRPr="00EB2BD8">
              <w:rPr>
                <w:rFonts w:ascii="Arial"/>
                <w:b/>
                <w:spacing w:val="-10"/>
                <w:w w:val="105"/>
                <w:sz w:val="16"/>
              </w:rPr>
              <w:t xml:space="preserve"> </w:t>
            </w:r>
            <w:r w:rsidRPr="00EB2BD8">
              <w:rPr>
                <w:rFonts w:ascii="Arial"/>
                <w:b/>
                <w:spacing w:val="-2"/>
                <w:w w:val="105"/>
                <w:sz w:val="16"/>
              </w:rPr>
              <w:t>balance</w:t>
            </w:r>
          </w:p>
        </w:tc>
        <w:tc>
          <w:tcPr>
            <w:tcW w:w="1454" w:type="dxa"/>
            <w:tcBorders>
              <w:top w:val="single" w:sz="12" w:space="0" w:color="000000"/>
              <w:bottom w:val="single" w:sz="12" w:space="0" w:color="000000"/>
            </w:tcBorders>
            <w:shd w:val="clear" w:color="auto" w:fill="DEEAF6"/>
          </w:tcPr>
          <w:p w14:paraId="1076A9BE" w14:textId="77777777" w:rsidR="00084F36" w:rsidRPr="00EB2BD8" w:rsidRDefault="00EB2BD8">
            <w:pPr>
              <w:pStyle w:val="TableParagraph"/>
              <w:spacing w:before="53"/>
              <w:ind w:right="94"/>
              <w:jc w:val="right"/>
              <w:rPr>
                <w:rFonts w:ascii="Arial"/>
                <w:b/>
                <w:sz w:val="16"/>
              </w:rPr>
            </w:pPr>
            <w:r w:rsidRPr="00EB2BD8">
              <w:rPr>
                <w:rFonts w:ascii="Arial"/>
                <w:b/>
                <w:spacing w:val="-2"/>
                <w:w w:val="105"/>
                <w:sz w:val="16"/>
              </w:rPr>
              <w:t>1,540</w:t>
            </w:r>
          </w:p>
        </w:tc>
      </w:tr>
      <w:tr w:rsidR="00EB2BD8" w:rsidRPr="00EB2BD8" w14:paraId="457D7603" w14:textId="77777777">
        <w:trPr>
          <w:trHeight w:val="265"/>
        </w:trPr>
        <w:tc>
          <w:tcPr>
            <w:tcW w:w="7671" w:type="dxa"/>
            <w:tcBorders>
              <w:top w:val="single" w:sz="12" w:space="0" w:color="000000"/>
            </w:tcBorders>
            <w:shd w:val="clear" w:color="auto" w:fill="FFFFFF"/>
          </w:tcPr>
          <w:p w14:paraId="3841427F" w14:textId="77777777" w:rsidR="00084F36" w:rsidRPr="00EB2BD8" w:rsidRDefault="00EB2BD8">
            <w:pPr>
              <w:pStyle w:val="TableParagraph"/>
              <w:spacing w:before="5"/>
              <w:ind w:left="105"/>
              <w:rPr>
                <w:rFonts w:ascii="Arial"/>
                <w:sz w:val="16"/>
              </w:rPr>
            </w:pPr>
            <w:r w:rsidRPr="00EB2BD8">
              <w:rPr>
                <w:rFonts w:ascii="Arial"/>
                <w:spacing w:val="-2"/>
                <w:w w:val="105"/>
                <w:sz w:val="16"/>
              </w:rPr>
              <w:t>Current</w:t>
            </w:r>
          </w:p>
        </w:tc>
        <w:tc>
          <w:tcPr>
            <w:tcW w:w="1454" w:type="dxa"/>
            <w:tcBorders>
              <w:top w:val="single" w:sz="12" w:space="0" w:color="000000"/>
            </w:tcBorders>
            <w:shd w:val="clear" w:color="auto" w:fill="DEEAF6"/>
          </w:tcPr>
          <w:p w14:paraId="3AA0CA4B" w14:textId="77777777" w:rsidR="00084F36" w:rsidRPr="00EB2BD8" w:rsidRDefault="00EB2BD8">
            <w:pPr>
              <w:pStyle w:val="TableParagraph"/>
              <w:spacing w:before="53"/>
              <w:ind w:right="94"/>
              <w:jc w:val="right"/>
              <w:rPr>
                <w:rFonts w:ascii="Arial"/>
                <w:sz w:val="16"/>
              </w:rPr>
            </w:pPr>
            <w:r w:rsidRPr="00EB2BD8">
              <w:rPr>
                <w:rFonts w:ascii="Arial"/>
                <w:spacing w:val="-2"/>
                <w:w w:val="105"/>
                <w:sz w:val="16"/>
              </w:rPr>
              <w:t>1,213</w:t>
            </w:r>
          </w:p>
        </w:tc>
      </w:tr>
      <w:tr w:rsidR="00EB2BD8" w:rsidRPr="00EB2BD8" w14:paraId="0622F0B8" w14:textId="77777777">
        <w:trPr>
          <w:trHeight w:val="338"/>
        </w:trPr>
        <w:tc>
          <w:tcPr>
            <w:tcW w:w="7671" w:type="dxa"/>
            <w:tcBorders>
              <w:bottom w:val="single" w:sz="12" w:space="0" w:color="000000"/>
            </w:tcBorders>
            <w:shd w:val="clear" w:color="auto" w:fill="FFFFFF"/>
          </w:tcPr>
          <w:p w14:paraId="792537F7" w14:textId="77777777" w:rsidR="00084F36" w:rsidRPr="00EB2BD8" w:rsidRDefault="00EB2BD8">
            <w:pPr>
              <w:pStyle w:val="TableParagraph"/>
              <w:spacing w:before="28"/>
              <w:ind w:left="105"/>
              <w:rPr>
                <w:rFonts w:ascii="Arial"/>
                <w:sz w:val="16"/>
              </w:rPr>
            </w:pPr>
            <w:r w:rsidRPr="00EB2BD8">
              <w:rPr>
                <w:rFonts w:ascii="Arial"/>
                <w:sz w:val="16"/>
              </w:rPr>
              <w:t>Non-</w:t>
            </w:r>
            <w:r w:rsidRPr="00EB2BD8">
              <w:rPr>
                <w:rFonts w:ascii="Arial"/>
                <w:spacing w:val="-2"/>
                <w:sz w:val="16"/>
              </w:rPr>
              <w:t>current</w:t>
            </w:r>
          </w:p>
        </w:tc>
        <w:tc>
          <w:tcPr>
            <w:tcW w:w="1454" w:type="dxa"/>
            <w:tcBorders>
              <w:bottom w:val="single" w:sz="12" w:space="0" w:color="000000"/>
            </w:tcBorders>
            <w:shd w:val="clear" w:color="auto" w:fill="DEEAF6"/>
          </w:tcPr>
          <w:p w14:paraId="23E0E7A2" w14:textId="77777777" w:rsidR="00084F36" w:rsidRPr="00EB2BD8" w:rsidRDefault="00EB2BD8">
            <w:pPr>
              <w:pStyle w:val="TableParagraph"/>
              <w:spacing w:before="91"/>
              <w:ind w:right="94"/>
              <w:jc w:val="right"/>
              <w:rPr>
                <w:rFonts w:ascii="Arial"/>
                <w:sz w:val="16"/>
              </w:rPr>
            </w:pPr>
            <w:r w:rsidRPr="00EB2BD8">
              <w:rPr>
                <w:rFonts w:ascii="Arial"/>
                <w:spacing w:val="-5"/>
                <w:w w:val="105"/>
                <w:sz w:val="16"/>
              </w:rPr>
              <w:t>327</w:t>
            </w:r>
          </w:p>
        </w:tc>
      </w:tr>
    </w:tbl>
    <w:p w14:paraId="05798589" w14:textId="77777777" w:rsidR="00084F36" w:rsidRPr="00EB2BD8" w:rsidRDefault="00084F36">
      <w:pPr>
        <w:pStyle w:val="BodyText"/>
        <w:rPr>
          <w:rFonts w:ascii="Arial"/>
        </w:rPr>
      </w:pPr>
    </w:p>
    <w:p w14:paraId="22047F36" w14:textId="77777777" w:rsidR="00084F36" w:rsidRPr="00EB2BD8" w:rsidRDefault="00084F36">
      <w:pPr>
        <w:pStyle w:val="BodyText"/>
        <w:rPr>
          <w:rFonts w:ascii="Arial"/>
        </w:rPr>
      </w:pPr>
    </w:p>
    <w:p w14:paraId="2190F510" w14:textId="77777777" w:rsidR="00084F36" w:rsidRPr="00EB2BD8" w:rsidRDefault="00084F36">
      <w:pPr>
        <w:pStyle w:val="BodyText"/>
        <w:rPr>
          <w:rFonts w:ascii="Arial"/>
        </w:rPr>
      </w:pPr>
    </w:p>
    <w:p w14:paraId="5116345D" w14:textId="77777777" w:rsidR="00084F36" w:rsidRPr="00EB2BD8" w:rsidRDefault="00084F36">
      <w:pPr>
        <w:pStyle w:val="BodyText"/>
        <w:rPr>
          <w:rFonts w:ascii="Arial"/>
        </w:rPr>
      </w:pPr>
    </w:p>
    <w:p w14:paraId="5BE3AD8C" w14:textId="77777777" w:rsidR="00084F36" w:rsidRPr="00EB2BD8" w:rsidRDefault="00084F36">
      <w:pPr>
        <w:pStyle w:val="BodyText"/>
        <w:rPr>
          <w:rFonts w:ascii="Arial"/>
        </w:rPr>
      </w:pPr>
    </w:p>
    <w:p w14:paraId="4885C4ED" w14:textId="77777777" w:rsidR="00084F36" w:rsidRPr="00EB2BD8" w:rsidRDefault="00084F36">
      <w:pPr>
        <w:pStyle w:val="BodyText"/>
        <w:rPr>
          <w:rFonts w:ascii="Arial"/>
        </w:rPr>
      </w:pPr>
    </w:p>
    <w:p w14:paraId="4EE0959C" w14:textId="77777777" w:rsidR="00084F36" w:rsidRPr="00EB2BD8" w:rsidRDefault="00084F36">
      <w:pPr>
        <w:pStyle w:val="BodyText"/>
        <w:rPr>
          <w:rFonts w:ascii="Arial"/>
        </w:rPr>
      </w:pPr>
    </w:p>
    <w:p w14:paraId="3D6F96F4" w14:textId="77777777" w:rsidR="00084F36" w:rsidRPr="00EB2BD8" w:rsidRDefault="00084F36">
      <w:pPr>
        <w:jc w:val="right"/>
        <w:rPr>
          <w:sz w:val="16"/>
        </w:rPr>
        <w:sectPr w:rsidR="00084F36" w:rsidRPr="00EB2BD8" w:rsidSect="006D75B2">
          <w:headerReference w:type="default" r:id="rId277"/>
          <w:footerReference w:type="default" r:id="rId278"/>
          <w:pgSz w:w="11910" w:h="16840"/>
          <w:pgMar w:top="760" w:right="0" w:bottom="280" w:left="0" w:header="0" w:footer="0" w:gutter="0"/>
          <w:cols w:space="720"/>
        </w:sectPr>
      </w:pPr>
    </w:p>
    <w:p w14:paraId="5B2C3CB7" w14:textId="77777777" w:rsidR="00084F36" w:rsidRPr="00EB2BD8" w:rsidRDefault="00084F36">
      <w:pPr>
        <w:pStyle w:val="BodyText"/>
        <w:rPr>
          <w:sz w:val="20"/>
        </w:rPr>
      </w:pPr>
    </w:p>
    <w:p w14:paraId="4B221E9B" w14:textId="77777777" w:rsidR="00084F36" w:rsidRPr="00EB2BD8" w:rsidRDefault="00084F36">
      <w:pPr>
        <w:pStyle w:val="BodyText"/>
        <w:rPr>
          <w:sz w:val="20"/>
        </w:rPr>
      </w:pPr>
    </w:p>
    <w:p w14:paraId="76FD1040" w14:textId="77777777" w:rsidR="00084F36" w:rsidRPr="00EB2BD8" w:rsidRDefault="00084F36">
      <w:pPr>
        <w:pStyle w:val="BodyText"/>
        <w:rPr>
          <w:sz w:val="20"/>
        </w:rPr>
      </w:pPr>
    </w:p>
    <w:p w14:paraId="65654F53" w14:textId="77777777" w:rsidR="00084F36" w:rsidRPr="00EB2BD8" w:rsidRDefault="00084F36">
      <w:pPr>
        <w:pStyle w:val="BodyText"/>
        <w:rPr>
          <w:sz w:val="20"/>
        </w:rPr>
      </w:pPr>
    </w:p>
    <w:p w14:paraId="7AA10887" w14:textId="77777777" w:rsidR="00084F36" w:rsidRPr="00EB2BD8" w:rsidRDefault="00084F36">
      <w:pPr>
        <w:pStyle w:val="BodyText"/>
        <w:rPr>
          <w:sz w:val="20"/>
        </w:rPr>
      </w:pPr>
    </w:p>
    <w:p w14:paraId="0ED11A08" w14:textId="77777777" w:rsidR="00084F36" w:rsidRPr="00EB2BD8" w:rsidRDefault="00084F36">
      <w:pPr>
        <w:pStyle w:val="BodyText"/>
        <w:spacing w:before="2"/>
        <w:rPr>
          <w:sz w:val="26"/>
        </w:rPr>
      </w:pPr>
    </w:p>
    <w:p w14:paraId="06E06978" w14:textId="77777777" w:rsidR="00084F36" w:rsidRPr="00EB2BD8" w:rsidRDefault="00084F36">
      <w:pPr>
        <w:rPr>
          <w:sz w:val="26"/>
        </w:rPr>
        <w:sectPr w:rsidR="00084F36" w:rsidRPr="00EB2BD8" w:rsidSect="006D75B2">
          <w:headerReference w:type="even" r:id="rId279"/>
          <w:footerReference w:type="even" r:id="rId280"/>
          <w:footerReference w:type="default" r:id="rId281"/>
          <w:pgSz w:w="11910" w:h="16840"/>
          <w:pgMar w:top="780" w:right="0" w:bottom="280" w:left="0" w:header="0" w:footer="0" w:gutter="0"/>
          <w:cols w:space="720"/>
        </w:sectPr>
      </w:pPr>
    </w:p>
    <w:p w14:paraId="6A3ADBC9" w14:textId="77777777" w:rsidR="00084F36" w:rsidRPr="00EB2BD8" w:rsidRDefault="00EB2BD8" w:rsidP="004D7D83">
      <w:pPr>
        <w:pStyle w:val="Heading2"/>
        <w:ind w:left="996"/>
      </w:pPr>
      <w:bookmarkStart w:id="278" w:name="_Toc150762580"/>
      <w:r w:rsidRPr="00EB2BD8">
        <w:t xml:space="preserve">Wages and salaries, annual leave and sick </w:t>
      </w:r>
      <w:r w:rsidRPr="00EB2BD8">
        <w:rPr>
          <w:spacing w:val="-2"/>
        </w:rPr>
        <w:t>leave:</w:t>
      </w:r>
      <w:bookmarkEnd w:id="278"/>
    </w:p>
    <w:p w14:paraId="6F0E9AE3" w14:textId="77777777" w:rsidR="00084F36" w:rsidRPr="00EB2BD8" w:rsidRDefault="00EB2BD8">
      <w:pPr>
        <w:spacing w:before="115" w:line="290" w:lineRule="auto"/>
        <w:ind w:left="996" w:right="17"/>
        <w:rPr>
          <w:rFonts w:ascii="Arial" w:hAnsi="Arial"/>
          <w:sz w:val="16"/>
        </w:rPr>
      </w:pPr>
      <w:r w:rsidRPr="00EB2BD8">
        <w:rPr>
          <w:rFonts w:ascii="Arial" w:hAnsi="Arial"/>
          <w:w w:val="105"/>
          <w:sz w:val="16"/>
        </w:rPr>
        <w:t>Liability</w:t>
      </w:r>
      <w:r w:rsidRPr="00EB2BD8">
        <w:rPr>
          <w:rFonts w:ascii="Arial" w:hAnsi="Arial"/>
          <w:spacing w:val="-1"/>
          <w:w w:val="105"/>
          <w:sz w:val="16"/>
        </w:rPr>
        <w:t xml:space="preserve"> </w:t>
      </w:r>
      <w:r w:rsidRPr="00EB2BD8">
        <w:rPr>
          <w:rFonts w:ascii="Arial" w:hAnsi="Arial"/>
          <w:w w:val="105"/>
          <w:sz w:val="16"/>
        </w:rPr>
        <w:t>for</w:t>
      </w:r>
      <w:r w:rsidRPr="00EB2BD8">
        <w:rPr>
          <w:rFonts w:ascii="Arial" w:hAnsi="Arial"/>
          <w:spacing w:val="-1"/>
          <w:w w:val="105"/>
          <w:sz w:val="16"/>
        </w:rPr>
        <w:t xml:space="preserve"> </w:t>
      </w:r>
      <w:r w:rsidRPr="00EB2BD8">
        <w:rPr>
          <w:rFonts w:ascii="Arial" w:hAnsi="Arial"/>
          <w:w w:val="105"/>
          <w:sz w:val="16"/>
        </w:rPr>
        <w:t>wages</w:t>
      </w:r>
      <w:r w:rsidRPr="00EB2BD8">
        <w:rPr>
          <w:rFonts w:ascii="Arial" w:hAnsi="Arial"/>
          <w:spacing w:val="-1"/>
          <w:w w:val="105"/>
          <w:sz w:val="16"/>
        </w:rPr>
        <w:t xml:space="preserve"> </w:t>
      </w:r>
      <w:r w:rsidRPr="00EB2BD8">
        <w:rPr>
          <w:rFonts w:ascii="Arial" w:hAnsi="Arial"/>
          <w:w w:val="105"/>
          <w:sz w:val="16"/>
        </w:rPr>
        <w:t>and</w:t>
      </w:r>
      <w:r w:rsidRPr="00EB2BD8">
        <w:rPr>
          <w:rFonts w:ascii="Arial" w:hAnsi="Arial"/>
          <w:spacing w:val="-1"/>
          <w:w w:val="105"/>
          <w:sz w:val="16"/>
        </w:rPr>
        <w:t xml:space="preserve"> </w:t>
      </w:r>
      <w:r w:rsidRPr="00EB2BD8">
        <w:rPr>
          <w:rFonts w:ascii="Arial" w:hAnsi="Arial"/>
          <w:w w:val="105"/>
          <w:sz w:val="16"/>
        </w:rPr>
        <w:t>salaries</w:t>
      </w:r>
      <w:r w:rsidRPr="00EB2BD8">
        <w:rPr>
          <w:rFonts w:ascii="Arial" w:hAnsi="Arial"/>
          <w:spacing w:val="-1"/>
          <w:w w:val="105"/>
          <w:sz w:val="16"/>
        </w:rPr>
        <w:t xml:space="preserve"> </w:t>
      </w:r>
      <w:r w:rsidRPr="00EB2BD8">
        <w:rPr>
          <w:rFonts w:ascii="Arial" w:hAnsi="Arial"/>
          <w:w w:val="105"/>
          <w:sz w:val="16"/>
        </w:rPr>
        <w:t>(including</w:t>
      </w:r>
      <w:r w:rsidRPr="00EB2BD8">
        <w:rPr>
          <w:rFonts w:ascii="Arial" w:hAnsi="Arial"/>
          <w:spacing w:val="-1"/>
          <w:w w:val="105"/>
          <w:sz w:val="16"/>
        </w:rPr>
        <w:t xml:space="preserve"> </w:t>
      </w:r>
      <w:r w:rsidRPr="00EB2BD8">
        <w:rPr>
          <w:rFonts w:ascii="Arial" w:hAnsi="Arial"/>
          <w:w w:val="105"/>
          <w:sz w:val="16"/>
        </w:rPr>
        <w:t>non-monetary benefits, annual leave and on-costs), is recognised as part of the employee benefits provision as ‘current liabilities’, because the VBA does not have an unconditional</w:t>
      </w:r>
      <w:r w:rsidRPr="00EB2BD8">
        <w:rPr>
          <w:rFonts w:ascii="Arial" w:hAnsi="Arial"/>
          <w:spacing w:val="-8"/>
          <w:w w:val="105"/>
          <w:sz w:val="16"/>
        </w:rPr>
        <w:t xml:space="preserve"> </w:t>
      </w:r>
      <w:r w:rsidRPr="00EB2BD8">
        <w:rPr>
          <w:rFonts w:ascii="Arial" w:hAnsi="Arial"/>
          <w:w w:val="105"/>
          <w:sz w:val="16"/>
        </w:rPr>
        <w:t>right</w:t>
      </w:r>
      <w:r w:rsidRPr="00EB2BD8">
        <w:rPr>
          <w:rFonts w:ascii="Arial" w:hAnsi="Arial"/>
          <w:spacing w:val="-7"/>
          <w:w w:val="105"/>
          <w:sz w:val="16"/>
        </w:rPr>
        <w:t xml:space="preserve"> </w:t>
      </w:r>
      <w:r w:rsidRPr="00EB2BD8">
        <w:rPr>
          <w:rFonts w:ascii="Arial" w:hAnsi="Arial"/>
          <w:w w:val="105"/>
          <w:sz w:val="16"/>
        </w:rPr>
        <w:t>to</w:t>
      </w:r>
      <w:r w:rsidRPr="00EB2BD8">
        <w:rPr>
          <w:rFonts w:ascii="Arial" w:hAnsi="Arial"/>
          <w:spacing w:val="-7"/>
          <w:w w:val="105"/>
          <w:sz w:val="16"/>
        </w:rPr>
        <w:t xml:space="preserve"> </w:t>
      </w:r>
      <w:r w:rsidRPr="00EB2BD8">
        <w:rPr>
          <w:rFonts w:ascii="Arial" w:hAnsi="Arial"/>
          <w:w w:val="105"/>
          <w:sz w:val="16"/>
        </w:rPr>
        <w:t>defer</w:t>
      </w:r>
      <w:r w:rsidRPr="00EB2BD8">
        <w:rPr>
          <w:rFonts w:ascii="Arial" w:hAnsi="Arial"/>
          <w:spacing w:val="-7"/>
          <w:w w:val="105"/>
          <w:sz w:val="16"/>
        </w:rPr>
        <w:t xml:space="preserve"> </w:t>
      </w:r>
      <w:r w:rsidRPr="00EB2BD8">
        <w:rPr>
          <w:rFonts w:ascii="Arial" w:hAnsi="Arial"/>
          <w:w w:val="105"/>
          <w:sz w:val="16"/>
        </w:rPr>
        <w:t>settlement</w:t>
      </w:r>
      <w:r w:rsidRPr="00EB2BD8">
        <w:rPr>
          <w:rFonts w:ascii="Arial" w:hAnsi="Arial"/>
          <w:spacing w:val="-7"/>
          <w:w w:val="105"/>
          <w:sz w:val="16"/>
        </w:rPr>
        <w:t xml:space="preserve"> </w:t>
      </w:r>
      <w:r w:rsidRPr="00EB2BD8">
        <w:rPr>
          <w:rFonts w:ascii="Arial" w:hAnsi="Arial"/>
          <w:w w:val="105"/>
          <w:sz w:val="16"/>
        </w:rPr>
        <w:t>of</w:t>
      </w:r>
      <w:r w:rsidRPr="00EB2BD8">
        <w:rPr>
          <w:rFonts w:ascii="Arial" w:hAnsi="Arial"/>
          <w:spacing w:val="-7"/>
          <w:w w:val="105"/>
          <w:sz w:val="16"/>
        </w:rPr>
        <w:t xml:space="preserve"> </w:t>
      </w:r>
      <w:r w:rsidRPr="00EB2BD8">
        <w:rPr>
          <w:rFonts w:ascii="Arial" w:hAnsi="Arial"/>
          <w:w w:val="105"/>
          <w:sz w:val="16"/>
        </w:rPr>
        <w:t>these</w:t>
      </w:r>
      <w:r w:rsidRPr="00EB2BD8">
        <w:rPr>
          <w:rFonts w:ascii="Arial" w:hAnsi="Arial"/>
          <w:spacing w:val="-7"/>
          <w:w w:val="105"/>
          <w:sz w:val="16"/>
        </w:rPr>
        <w:t xml:space="preserve"> </w:t>
      </w:r>
      <w:r w:rsidRPr="00EB2BD8">
        <w:rPr>
          <w:rFonts w:ascii="Arial" w:hAnsi="Arial"/>
          <w:spacing w:val="-2"/>
          <w:w w:val="105"/>
          <w:sz w:val="16"/>
        </w:rPr>
        <w:t>liabilities.</w:t>
      </w:r>
    </w:p>
    <w:p w14:paraId="1E58F3BF" w14:textId="77777777" w:rsidR="00084F36" w:rsidRPr="00EB2BD8" w:rsidRDefault="00084F36">
      <w:pPr>
        <w:pStyle w:val="BodyText"/>
        <w:spacing w:before="1"/>
        <w:rPr>
          <w:rFonts w:ascii="Arial"/>
          <w:sz w:val="19"/>
        </w:rPr>
      </w:pPr>
    </w:p>
    <w:p w14:paraId="558BB4D6" w14:textId="77777777" w:rsidR="00084F36" w:rsidRPr="00EB2BD8" w:rsidRDefault="00EB2BD8">
      <w:pPr>
        <w:spacing w:line="290" w:lineRule="auto"/>
        <w:ind w:left="996" w:right="17"/>
        <w:rPr>
          <w:rFonts w:ascii="Arial"/>
          <w:sz w:val="16"/>
        </w:rPr>
      </w:pPr>
      <w:r w:rsidRPr="00EB2BD8">
        <w:rPr>
          <w:rFonts w:ascii="Arial"/>
          <w:w w:val="105"/>
          <w:sz w:val="16"/>
        </w:rPr>
        <w:t>The</w:t>
      </w:r>
      <w:r w:rsidRPr="00EB2BD8">
        <w:rPr>
          <w:rFonts w:ascii="Arial"/>
          <w:spacing w:val="-2"/>
          <w:w w:val="105"/>
          <w:sz w:val="16"/>
        </w:rPr>
        <w:t xml:space="preserve"> </w:t>
      </w:r>
      <w:r w:rsidRPr="00EB2BD8">
        <w:rPr>
          <w:rFonts w:ascii="Arial"/>
          <w:w w:val="105"/>
          <w:sz w:val="16"/>
        </w:rPr>
        <w:t>liability</w:t>
      </w:r>
      <w:r w:rsidRPr="00EB2BD8">
        <w:rPr>
          <w:rFonts w:ascii="Arial"/>
          <w:spacing w:val="-2"/>
          <w:w w:val="105"/>
          <w:sz w:val="16"/>
        </w:rPr>
        <w:t xml:space="preserve"> </w:t>
      </w:r>
      <w:r w:rsidRPr="00EB2BD8">
        <w:rPr>
          <w:rFonts w:ascii="Arial"/>
          <w:w w:val="105"/>
          <w:sz w:val="16"/>
        </w:rPr>
        <w:t>for</w:t>
      </w:r>
      <w:r w:rsidRPr="00EB2BD8">
        <w:rPr>
          <w:rFonts w:ascii="Arial"/>
          <w:spacing w:val="-2"/>
          <w:w w:val="105"/>
          <w:sz w:val="16"/>
        </w:rPr>
        <w:t xml:space="preserve"> </w:t>
      </w:r>
      <w:r w:rsidRPr="00EB2BD8">
        <w:rPr>
          <w:rFonts w:ascii="Arial"/>
          <w:w w:val="105"/>
          <w:sz w:val="16"/>
        </w:rPr>
        <w:t>salaries</w:t>
      </w:r>
      <w:r w:rsidRPr="00EB2BD8">
        <w:rPr>
          <w:rFonts w:ascii="Arial"/>
          <w:spacing w:val="-2"/>
          <w:w w:val="105"/>
          <w:sz w:val="16"/>
        </w:rPr>
        <w:t xml:space="preserve"> </w:t>
      </w:r>
      <w:r w:rsidRPr="00EB2BD8">
        <w:rPr>
          <w:rFonts w:ascii="Arial"/>
          <w:w w:val="105"/>
          <w:sz w:val="16"/>
        </w:rPr>
        <w:t>and</w:t>
      </w:r>
      <w:r w:rsidRPr="00EB2BD8">
        <w:rPr>
          <w:rFonts w:ascii="Arial"/>
          <w:spacing w:val="-2"/>
          <w:w w:val="105"/>
          <w:sz w:val="16"/>
        </w:rPr>
        <w:t xml:space="preserve"> </w:t>
      </w:r>
      <w:r w:rsidRPr="00EB2BD8">
        <w:rPr>
          <w:rFonts w:ascii="Arial"/>
          <w:w w:val="105"/>
          <w:sz w:val="16"/>
        </w:rPr>
        <w:t>wages</w:t>
      </w:r>
      <w:r w:rsidRPr="00EB2BD8">
        <w:rPr>
          <w:rFonts w:ascii="Arial"/>
          <w:spacing w:val="-2"/>
          <w:w w:val="105"/>
          <w:sz w:val="16"/>
        </w:rPr>
        <w:t xml:space="preserve"> </w:t>
      </w:r>
      <w:r w:rsidRPr="00EB2BD8">
        <w:rPr>
          <w:rFonts w:ascii="Arial"/>
          <w:w w:val="105"/>
          <w:sz w:val="16"/>
        </w:rPr>
        <w:t>are</w:t>
      </w:r>
      <w:r w:rsidRPr="00EB2BD8">
        <w:rPr>
          <w:rFonts w:ascii="Arial"/>
          <w:spacing w:val="-2"/>
          <w:w w:val="105"/>
          <w:sz w:val="16"/>
        </w:rPr>
        <w:t xml:space="preserve"> </w:t>
      </w:r>
      <w:r w:rsidRPr="00EB2BD8">
        <w:rPr>
          <w:rFonts w:ascii="Arial"/>
          <w:w w:val="105"/>
          <w:sz w:val="16"/>
        </w:rPr>
        <w:t>recognised</w:t>
      </w:r>
      <w:r w:rsidRPr="00EB2BD8">
        <w:rPr>
          <w:rFonts w:ascii="Arial"/>
          <w:spacing w:val="-2"/>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the balance</w:t>
      </w:r>
      <w:r w:rsidRPr="00EB2BD8">
        <w:rPr>
          <w:rFonts w:ascii="Arial"/>
          <w:spacing w:val="-6"/>
          <w:w w:val="105"/>
          <w:sz w:val="16"/>
        </w:rPr>
        <w:t xml:space="preserve"> </w:t>
      </w:r>
      <w:r w:rsidRPr="00EB2BD8">
        <w:rPr>
          <w:rFonts w:ascii="Arial"/>
          <w:w w:val="105"/>
          <w:sz w:val="16"/>
        </w:rPr>
        <w:t>sheet</w:t>
      </w:r>
      <w:r w:rsidRPr="00EB2BD8">
        <w:rPr>
          <w:rFonts w:ascii="Arial"/>
          <w:spacing w:val="-4"/>
          <w:w w:val="105"/>
          <w:sz w:val="16"/>
        </w:rPr>
        <w:t xml:space="preserve"> </w:t>
      </w:r>
      <w:r w:rsidRPr="00EB2BD8">
        <w:rPr>
          <w:rFonts w:ascii="Arial"/>
          <w:w w:val="105"/>
          <w:sz w:val="16"/>
        </w:rPr>
        <w:t>at</w:t>
      </w:r>
      <w:r w:rsidRPr="00EB2BD8">
        <w:rPr>
          <w:rFonts w:ascii="Arial"/>
          <w:spacing w:val="-6"/>
          <w:w w:val="105"/>
          <w:sz w:val="16"/>
        </w:rPr>
        <w:t xml:space="preserve"> </w:t>
      </w:r>
      <w:r w:rsidRPr="00EB2BD8">
        <w:rPr>
          <w:rFonts w:ascii="Arial"/>
          <w:w w:val="105"/>
          <w:sz w:val="16"/>
        </w:rPr>
        <w:t>remuneration</w:t>
      </w:r>
      <w:r w:rsidRPr="00EB2BD8">
        <w:rPr>
          <w:rFonts w:ascii="Arial"/>
          <w:spacing w:val="-6"/>
          <w:w w:val="105"/>
          <w:sz w:val="16"/>
        </w:rPr>
        <w:t xml:space="preserve"> </w:t>
      </w:r>
      <w:r w:rsidRPr="00EB2BD8">
        <w:rPr>
          <w:rFonts w:ascii="Arial"/>
          <w:w w:val="105"/>
          <w:sz w:val="16"/>
        </w:rPr>
        <w:t>rates</w:t>
      </w:r>
      <w:r w:rsidRPr="00EB2BD8">
        <w:rPr>
          <w:rFonts w:ascii="Arial"/>
          <w:spacing w:val="-6"/>
          <w:w w:val="105"/>
          <w:sz w:val="16"/>
        </w:rPr>
        <w:t xml:space="preserve"> </w:t>
      </w:r>
      <w:r w:rsidRPr="00EB2BD8">
        <w:rPr>
          <w:rFonts w:ascii="Arial"/>
          <w:w w:val="105"/>
          <w:sz w:val="16"/>
        </w:rPr>
        <w:t>which</w:t>
      </w:r>
      <w:r w:rsidRPr="00EB2BD8">
        <w:rPr>
          <w:rFonts w:ascii="Arial"/>
          <w:spacing w:val="-6"/>
          <w:w w:val="105"/>
          <w:sz w:val="16"/>
        </w:rPr>
        <w:t xml:space="preserve"> </w:t>
      </w:r>
      <w:r w:rsidRPr="00EB2BD8">
        <w:rPr>
          <w:rFonts w:ascii="Arial"/>
          <w:w w:val="105"/>
          <w:sz w:val="16"/>
        </w:rPr>
        <w:t>are</w:t>
      </w:r>
      <w:r w:rsidRPr="00EB2BD8">
        <w:rPr>
          <w:rFonts w:ascii="Arial"/>
          <w:spacing w:val="-6"/>
          <w:w w:val="105"/>
          <w:sz w:val="16"/>
        </w:rPr>
        <w:t xml:space="preserve"> </w:t>
      </w:r>
      <w:r w:rsidRPr="00EB2BD8">
        <w:rPr>
          <w:rFonts w:ascii="Arial"/>
          <w:w w:val="105"/>
          <w:sz w:val="16"/>
        </w:rPr>
        <w:t>current</w:t>
      </w:r>
      <w:r w:rsidRPr="00EB2BD8">
        <w:rPr>
          <w:rFonts w:ascii="Arial"/>
          <w:spacing w:val="-6"/>
          <w:w w:val="105"/>
          <w:sz w:val="16"/>
        </w:rPr>
        <w:t xml:space="preserve"> </w:t>
      </w:r>
      <w:r w:rsidRPr="00EB2BD8">
        <w:rPr>
          <w:rFonts w:ascii="Arial"/>
          <w:w w:val="105"/>
          <w:sz w:val="16"/>
        </w:rPr>
        <w:t>at the reporting date. As the VBA expects the liabilities to be wholly settled within 12 months of the reporting date, they are measured at undiscounted amounts.</w:t>
      </w:r>
    </w:p>
    <w:p w14:paraId="6BA55666" w14:textId="77777777" w:rsidR="00084F36" w:rsidRPr="00EB2BD8" w:rsidRDefault="00084F36">
      <w:pPr>
        <w:pStyle w:val="BodyText"/>
        <w:spacing w:before="1"/>
        <w:rPr>
          <w:rFonts w:ascii="Arial"/>
          <w:sz w:val="19"/>
        </w:rPr>
      </w:pPr>
    </w:p>
    <w:p w14:paraId="40F06D08" w14:textId="77777777" w:rsidR="00084F36" w:rsidRPr="00EB2BD8" w:rsidRDefault="00EB2BD8">
      <w:pPr>
        <w:spacing w:line="290" w:lineRule="auto"/>
        <w:ind w:left="996"/>
        <w:rPr>
          <w:rFonts w:ascii="Arial"/>
          <w:sz w:val="16"/>
        </w:rPr>
      </w:pPr>
      <w:r w:rsidRPr="00EB2BD8">
        <w:rPr>
          <w:rFonts w:ascii="Arial"/>
          <w:w w:val="105"/>
          <w:sz w:val="16"/>
        </w:rPr>
        <w:t>The</w:t>
      </w:r>
      <w:r w:rsidRPr="00EB2BD8">
        <w:rPr>
          <w:rFonts w:ascii="Arial"/>
          <w:spacing w:val="-5"/>
          <w:w w:val="105"/>
          <w:sz w:val="16"/>
        </w:rPr>
        <w:t xml:space="preserve"> </w:t>
      </w:r>
      <w:r w:rsidRPr="00EB2BD8">
        <w:rPr>
          <w:rFonts w:ascii="Arial"/>
          <w:w w:val="105"/>
          <w:sz w:val="16"/>
        </w:rPr>
        <w:t>annual</w:t>
      </w:r>
      <w:r w:rsidRPr="00EB2BD8">
        <w:rPr>
          <w:rFonts w:ascii="Arial"/>
          <w:spacing w:val="-5"/>
          <w:w w:val="105"/>
          <w:sz w:val="16"/>
        </w:rPr>
        <w:t xml:space="preserve"> </w:t>
      </w:r>
      <w:r w:rsidRPr="00EB2BD8">
        <w:rPr>
          <w:rFonts w:ascii="Arial"/>
          <w:w w:val="105"/>
          <w:sz w:val="16"/>
        </w:rPr>
        <w:t>leave</w:t>
      </w:r>
      <w:r w:rsidRPr="00EB2BD8">
        <w:rPr>
          <w:rFonts w:ascii="Arial"/>
          <w:spacing w:val="-5"/>
          <w:w w:val="105"/>
          <w:sz w:val="16"/>
        </w:rPr>
        <w:t xml:space="preserve"> </w:t>
      </w:r>
      <w:r w:rsidRPr="00EB2BD8">
        <w:rPr>
          <w:rFonts w:ascii="Arial"/>
          <w:w w:val="105"/>
          <w:sz w:val="16"/>
        </w:rPr>
        <w:t>liability</w:t>
      </w:r>
      <w:r w:rsidRPr="00EB2BD8">
        <w:rPr>
          <w:rFonts w:ascii="Arial"/>
          <w:spacing w:val="-5"/>
          <w:w w:val="105"/>
          <w:sz w:val="16"/>
        </w:rPr>
        <w:t xml:space="preserve"> </w:t>
      </w:r>
      <w:r w:rsidRPr="00EB2BD8">
        <w:rPr>
          <w:rFonts w:ascii="Arial"/>
          <w:w w:val="105"/>
          <w:sz w:val="16"/>
        </w:rPr>
        <w:t>is</w:t>
      </w:r>
      <w:r w:rsidRPr="00EB2BD8">
        <w:rPr>
          <w:rFonts w:ascii="Arial"/>
          <w:spacing w:val="-5"/>
          <w:w w:val="105"/>
          <w:sz w:val="16"/>
        </w:rPr>
        <w:t xml:space="preserve"> </w:t>
      </w:r>
      <w:r w:rsidRPr="00EB2BD8">
        <w:rPr>
          <w:rFonts w:ascii="Arial"/>
          <w:w w:val="105"/>
          <w:sz w:val="16"/>
        </w:rPr>
        <w:t>classified</w:t>
      </w:r>
      <w:r w:rsidRPr="00EB2BD8">
        <w:rPr>
          <w:rFonts w:ascii="Arial"/>
          <w:spacing w:val="-5"/>
          <w:w w:val="105"/>
          <w:sz w:val="16"/>
        </w:rPr>
        <w:t xml:space="preserve"> </w:t>
      </w:r>
      <w:r w:rsidRPr="00EB2BD8">
        <w:rPr>
          <w:rFonts w:ascii="Arial"/>
          <w:w w:val="105"/>
          <w:sz w:val="16"/>
        </w:rPr>
        <w:t>as</w:t>
      </w:r>
      <w:r w:rsidRPr="00EB2BD8">
        <w:rPr>
          <w:rFonts w:ascii="Arial"/>
          <w:spacing w:val="-5"/>
          <w:w w:val="105"/>
          <w:sz w:val="16"/>
        </w:rPr>
        <w:t xml:space="preserve"> </w:t>
      </w:r>
      <w:r w:rsidRPr="00EB2BD8">
        <w:rPr>
          <w:rFonts w:ascii="Arial"/>
          <w:w w:val="105"/>
          <w:sz w:val="16"/>
        </w:rPr>
        <w:t>a</w:t>
      </w:r>
      <w:r w:rsidRPr="00EB2BD8">
        <w:rPr>
          <w:rFonts w:ascii="Arial"/>
          <w:spacing w:val="-5"/>
          <w:w w:val="105"/>
          <w:sz w:val="16"/>
        </w:rPr>
        <w:t xml:space="preserve"> </w:t>
      </w:r>
      <w:r w:rsidRPr="00EB2BD8">
        <w:rPr>
          <w:rFonts w:ascii="Arial"/>
          <w:w w:val="105"/>
          <w:sz w:val="16"/>
        </w:rPr>
        <w:t>current</w:t>
      </w:r>
      <w:r w:rsidRPr="00EB2BD8">
        <w:rPr>
          <w:rFonts w:ascii="Arial"/>
          <w:spacing w:val="-5"/>
          <w:w w:val="105"/>
          <w:sz w:val="16"/>
        </w:rPr>
        <w:t xml:space="preserve"> </w:t>
      </w:r>
      <w:r w:rsidRPr="00EB2BD8">
        <w:rPr>
          <w:rFonts w:ascii="Arial"/>
          <w:w w:val="105"/>
          <w:sz w:val="16"/>
        </w:rPr>
        <w:t>liability and measured at the undiscounted amount expected to be</w:t>
      </w:r>
      <w:r w:rsidRPr="00EB2BD8">
        <w:rPr>
          <w:rFonts w:ascii="Arial"/>
          <w:spacing w:val="-5"/>
          <w:w w:val="105"/>
          <w:sz w:val="16"/>
        </w:rPr>
        <w:t xml:space="preserve"> </w:t>
      </w:r>
      <w:r w:rsidRPr="00EB2BD8">
        <w:rPr>
          <w:rFonts w:ascii="Arial"/>
          <w:w w:val="105"/>
          <w:sz w:val="16"/>
        </w:rPr>
        <w:t>paid,</w:t>
      </w:r>
      <w:r w:rsidRPr="00EB2BD8">
        <w:rPr>
          <w:rFonts w:ascii="Arial"/>
          <w:spacing w:val="-5"/>
          <w:w w:val="105"/>
          <w:sz w:val="16"/>
        </w:rPr>
        <w:t xml:space="preserve"> </w:t>
      </w:r>
      <w:r w:rsidRPr="00EB2BD8">
        <w:rPr>
          <w:rFonts w:ascii="Arial"/>
          <w:w w:val="105"/>
          <w:sz w:val="16"/>
        </w:rPr>
        <w:t>as</w:t>
      </w:r>
      <w:r w:rsidRPr="00EB2BD8">
        <w:rPr>
          <w:rFonts w:ascii="Arial"/>
          <w:spacing w:val="-5"/>
          <w:w w:val="105"/>
          <w:sz w:val="16"/>
        </w:rPr>
        <w:t xml:space="preserve"> </w:t>
      </w:r>
      <w:r w:rsidRPr="00EB2BD8">
        <w:rPr>
          <w:rFonts w:ascii="Arial"/>
          <w:w w:val="105"/>
          <w:sz w:val="16"/>
        </w:rPr>
        <w:t>the</w:t>
      </w:r>
      <w:r w:rsidRPr="00EB2BD8">
        <w:rPr>
          <w:rFonts w:ascii="Arial"/>
          <w:spacing w:val="-4"/>
          <w:w w:val="105"/>
          <w:sz w:val="16"/>
        </w:rPr>
        <w:t xml:space="preserve"> </w:t>
      </w:r>
      <w:r w:rsidRPr="00EB2BD8">
        <w:rPr>
          <w:rFonts w:ascii="Arial"/>
          <w:w w:val="105"/>
          <w:sz w:val="16"/>
        </w:rPr>
        <w:t>VBA</w:t>
      </w:r>
      <w:r w:rsidRPr="00EB2BD8">
        <w:rPr>
          <w:rFonts w:ascii="Arial"/>
          <w:spacing w:val="-5"/>
          <w:w w:val="105"/>
          <w:sz w:val="16"/>
        </w:rPr>
        <w:t xml:space="preserve"> </w:t>
      </w:r>
      <w:r w:rsidRPr="00EB2BD8">
        <w:rPr>
          <w:rFonts w:ascii="Arial"/>
          <w:w w:val="105"/>
          <w:sz w:val="16"/>
        </w:rPr>
        <w:t>does</w:t>
      </w:r>
      <w:r w:rsidRPr="00EB2BD8">
        <w:rPr>
          <w:rFonts w:ascii="Arial"/>
          <w:spacing w:val="-5"/>
          <w:w w:val="105"/>
          <w:sz w:val="16"/>
        </w:rPr>
        <w:t xml:space="preserve"> </w:t>
      </w:r>
      <w:r w:rsidRPr="00EB2BD8">
        <w:rPr>
          <w:rFonts w:ascii="Arial"/>
          <w:w w:val="105"/>
          <w:sz w:val="16"/>
        </w:rPr>
        <w:t>not</w:t>
      </w:r>
      <w:r w:rsidRPr="00EB2BD8">
        <w:rPr>
          <w:rFonts w:ascii="Arial"/>
          <w:spacing w:val="-3"/>
          <w:w w:val="105"/>
          <w:sz w:val="16"/>
        </w:rPr>
        <w:t xml:space="preserve"> </w:t>
      </w:r>
      <w:r w:rsidRPr="00EB2BD8">
        <w:rPr>
          <w:rFonts w:ascii="Arial"/>
          <w:w w:val="105"/>
          <w:sz w:val="16"/>
        </w:rPr>
        <w:t>have</w:t>
      </w:r>
      <w:r w:rsidRPr="00EB2BD8">
        <w:rPr>
          <w:rFonts w:ascii="Arial"/>
          <w:spacing w:val="-5"/>
          <w:w w:val="105"/>
          <w:sz w:val="16"/>
        </w:rPr>
        <w:t xml:space="preserve"> </w:t>
      </w:r>
      <w:r w:rsidRPr="00EB2BD8">
        <w:rPr>
          <w:rFonts w:ascii="Arial"/>
          <w:w w:val="105"/>
          <w:sz w:val="16"/>
        </w:rPr>
        <w:t>an</w:t>
      </w:r>
      <w:r w:rsidRPr="00EB2BD8">
        <w:rPr>
          <w:rFonts w:ascii="Arial"/>
          <w:spacing w:val="-5"/>
          <w:w w:val="105"/>
          <w:sz w:val="16"/>
        </w:rPr>
        <w:t xml:space="preserve"> </w:t>
      </w:r>
      <w:r w:rsidRPr="00EB2BD8">
        <w:rPr>
          <w:rFonts w:ascii="Arial"/>
          <w:w w:val="105"/>
          <w:sz w:val="16"/>
        </w:rPr>
        <w:t>unconditional</w:t>
      </w:r>
      <w:r w:rsidRPr="00EB2BD8">
        <w:rPr>
          <w:rFonts w:ascii="Arial"/>
          <w:spacing w:val="-5"/>
          <w:w w:val="105"/>
          <w:sz w:val="16"/>
        </w:rPr>
        <w:t xml:space="preserve"> </w:t>
      </w:r>
      <w:r w:rsidRPr="00EB2BD8">
        <w:rPr>
          <w:rFonts w:ascii="Arial"/>
          <w:w w:val="105"/>
          <w:sz w:val="16"/>
        </w:rPr>
        <w:t>right to defer settlement of the liability for at least 12 months after the end of the reporting period.</w:t>
      </w:r>
    </w:p>
    <w:p w14:paraId="6293ADFC" w14:textId="77777777" w:rsidR="00084F36" w:rsidRPr="00EB2BD8" w:rsidRDefault="00084F36">
      <w:pPr>
        <w:pStyle w:val="BodyText"/>
        <w:spacing w:before="1"/>
        <w:rPr>
          <w:rFonts w:ascii="Arial"/>
          <w:sz w:val="19"/>
        </w:rPr>
      </w:pPr>
    </w:p>
    <w:p w14:paraId="568693D5" w14:textId="77777777" w:rsidR="00084F36" w:rsidRPr="00EB2BD8" w:rsidRDefault="00EB2BD8">
      <w:pPr>
        <w:spacing w:line="290" w:lineRule="auto"/>
        <w:ind w:left="996" w:right="17"/>
        <w:rPr>
          <w:rFonts w:ascii="Arial"/>
          <w:sz w:val="16"/>
        </w:rPr>
      </w:pPr>
      <w:r w:rsidRPr="00EB2BD8">
        <w:rPr>
          <w:rFonts w:ascii="Arial"/>
          <w:w w:val="105"/>
          <w:sz w:val="16"/>
        </w:rPr>
        <w:t>No provision has been made for sick leave as all sick leave is non-vesting and it is not considered probable that the average sick leave taken in the future will be greater</w:t>
      </w:r>
      <w:r w:rsidRPr="00EB2BD8">
        <w:rPr>
          <w:rFonts w:ascii="Arial"/>
          <w:spacing w:val="-5"/>
          <w:w w:val="105"/>
          <w:sz w:val="16"/>
        </w:rPr>
        <w:t xml:space="preserve"> </w:t>
      </w:r>
      <w:r w:rsidRPr="00EB2BD8">
        <w:rPr>
          <w:rFonts w:ascii="Arial"/>
          <w:w w:val="105"/>
          <w:sz w:val="16"/>
        </w:rPr>
        <w:t>than</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benefits</w:t>
      </w:r>
      <w:r w:rsidRPr="00EB2BD8">
        <w:rPr>
          <w:rFonts w:ascii="Arial"/>
          <w:spacing w:val="-5"/>
          <w:w w:val="105"/>
          <w:sz w:val="16"/>
        </w:rPr>
        <w:t xml:space="preserve"> </w:t>
      </w:r>
      <w:r w:rsidRPr="00EB2BD8">
        <w:rPr>
          <w:rFonts w:ascii="Arial"/>
          <w:w w:val="105"/>
          <w:sz w:val="16"/>
        </w:rPr>
        <w:t>accrued</w:t>
      </w:r>
      <w:r w:rsidRPr="00EB2BD8">
        <w:rPr>
          <w:rFonts w:ascii="Arial"/>
          <w:spacing w:val="-5"/>
          <w:w w:val="105"/>
          <w:sz w:val="16"/>
        </w:rPr>
        <w:t xml:space="preserve"> </w:t>
      </w:r>
      <w:r w:rsidRPr="00EB2BD8">
        <w:rPr>
          <w:rFonts w:ascii="Arial"/>
          <w:w w:val="105"/>
          <w:sz w:val="16"/>
        </w:rPr>
        <w:t>in</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future.</w:t>
      </w:r>
      <w:r w:rsidRPr="00EB2BD8">
        <w:rPr>
          <w:rFonts w:ascii="Arial"/>
          <w:spacing w:val="-5"/>
          <w:w w:val="105"/>
          <w:sz w:val="16"/>
        </w:rPr>
        <w:t xml:space="preserve"> </w:t>
      </w:r>
      <w:r w:rsidRPr="00EB2BD8">
        <w:rPr>
          <w:rFonts w:ascii="Arial"/>
          <w:w w:val="105"/>
          <w:sz w:val="16"/>
        </w:rPr>
        <w:t>As</w:t>
      </w:r>
      <w:r w:rsidRPr="00EB2BD8">
        <w:rPr>
          <w:rFonts w:ascii="Arial"/>
          <w:spacing w:val="-5"/>
          <w:w w:val="105"/>
          <w:sz w:val="16"/>
        </w:rPr>
        <w:t xml:space="preserve"> </w:t>
      </w:r>
      <w:r w:rsidRPr="00EB2BD8">
        <w:rPr>
          <w:rFonts w:ascii="Arial"/>
          <w:w w:val="105"/>
          <w:sz w:val="16"/>
        </w:rPr>
        <w:t>sick leave is non-vesting, an expense is recognised in the Statement of Comprehensive Income as it is taken.</w:t>
      </w:r>
    </w:p>
    <w:p w14:paraId="03E232D1" w14:textId="77777777" w:rsidR="00084F36" w:rsidRPr="00EB2BD8" w:rsidRDefault="00EB2BD8">
      <w:pPr>
        <w:spacing w:before="137" w:line="290" w:lineRule="auto"/>
        <w:ind w:left="664" w:right="1801"/>
        <w:rPr>
          <w:rFonts w:ascii="Arial"/>
          <w:sz w:val="16"/>
        </w:rPr>
      </w:pPr>
      <w:r w:rsidRPr="00EB2BD8">
        <w:br w:type="column"/>
      </w:r>
      <w:r w:rsidRPr="00EB2BD8">
        <w:rPr>
          <w:rFonts w:ascii="Arial"/>
          <w:w w:val="105"/>
          <w:sz w:val="16"/>
        </w:rPr>
        <w:t>The provision for employee benefits includes the following</w:t>
      </w:r>
      <w:r w:rsidRPr="00EB2BD8">
        <w:rPr>
          <w:rFonts w:ascii="Arial"/>
          <w:spacing w:val="-8"/>
          <w:w w:val="105"/>
          <w:sz w:val="16"/>
        </w:rPr>
        <w:t xml:space="preserve"> </w:t>
      </w:r>
      <w:r w:rsidRPr="00EB2BD8">
        <w:rPr>
          <w:rFonts w:ascii="Arial"/>
          <w:w w:val="105"/>
          <w:sz w:val="16"/>
        </w:rPr>
        <w:t>labour</w:t>
      </w:r>
      <w:r w:rsidRPr="00EB2BD8">
        <w:rPr>
          <w:rFonts w:ascii="Arial"/>
          <w:spacing w:val="-8"/>
          <w:w w:val="105"/>
          <w:sz w:val="16"/>
        </w:rPr>
        <w:t xml:space="preserve"> </w:t>
      </w:r>
      <w:r w:rsidRPr="00EB2BD8">
        <w:rPr>
          <w:rFonts w:ascii="Arial"/>
          <w:w w:val="105"/>
          <w:sz w:val="16"/>
        </w:rPr>
        <w:t>on-costs;</w:t>
      </w:r>
      <w:r w:rsidRPr="00EB2BD8">
        <w:rPr>
          <w:rFonts w:ascii="Arial"/>
          <w:spacing w:val="-8"/>
          <w:w w:val="105"/>
          <w:sz w:val="16"/>
        </w:rPr>
        <w:t xml:space="preserve"> </w:t>
      </w:r>
      <w:r w:rsidRPr="00EB2BD8">
        <w:rPr>
          <w:rFonts w:ascii="Arial"/>
          <w:w w:val="105"/>
          <w:sz w:val="16"/>
        </w:rPr>
        <w:t>superannuation,</w:t>
      </w:r>
      <w:r w:rsidRPr="00EB2BD8">
        <w:rPr>
          <w:rFonts w:ascii="Arial"/>
          <w:spacing w:val="-8"/>
          <w:w w:val="105"/>
          <w:sz w:val="16"/>
        </w:rPr>
        <w:t xml:space="preserve"> </w:t>
      </w:r>
      <w:r w:rsidRPr="00EB2BD8">
        <w:rPr>
          <w:rFonts w:ascii="Arial"/>
          <w:w w:val="105"/>
          <w:sz w:val="16"/>
        </w:rPr>
        <w:t>payroll</w:t>
      </w:r>
      <w:r w:rsidRPr="00EB2BD8">
        <w:rPr>
          <w:rFonts w:ascii="Arial"/>
          <w:spacing w:val="-8"/>
          <w:w w:val="105"/>
          <w:sz w:val="16"/>
        </w:rPr>
        <w:t xml:space="preserve"> </w:t>
      </w:r>
      <w:r w:rsidRPr="00EB2BD8">
        <w:rPr>
          <w:rFonts w:ascii="Arial"/>
          <w:w w:val="105"/>
          <w:sz w:val="16"/>
        </w:rPr>
        <w:t>tax and WorkCover.</w:t>
      </w:r>
    </w:p>
    <w:p w14:paraId="17C426A3" w14:textId="77777777" w:rsidR="00084F36" w:rsidRPr="00EB2BD8" w:rsidRDefault="00084F36">
      <w:pPr>
        <w:pStyle w:val="BodyText"/>
        <w:spacing w:before="3"/>
        <w:rPr>
          <w:rFonts w:ascii="Arial"/>
          <w:sz w:val="19"/>
        </w:rPr>
      </w:pPr>
    </w:p>
    <w:p w14:paraId="5B0B0338" w14:textId="77777777" w:rsidR="00084F36" w:rsidRPr="00EB2BD8" w:rsidRDefault="00EB2BD8">
      <w:pPr>
        <w:spacing w:line="290" w:lineRule="auto"/>
        <w:ind w:left="664" w:right="1724"/>
        <w:rPr>
          <w:rFonts w:ascii="Arial"/>
          <w:sz w:val="16"/>
        </w:rPr>
      </w:pPr>
      <w:r w:rsidRPr="00EB2BD8">
        <w:rPr>
          <w:rFonts w:ascii="Arial"/>
          <w:b/>
          <w:w w:val="105"/>
          <w:sz w:val="16"/>
        </w:rPr>
        <w:t xml:space="preserve">Unconditional long service leave </w:t>
      </w:r>
      <w:r w:rsidRPr="00EB2BD8">
        <w:rPr>
          <w:rFonts w:ascii="Arial"/>
          <w:w w:val="105"/>
          <w:sz w:val="16"/>
        </w:rPr>
        <w:t>is disclosed as a current liability; even where the VBA does not expect to settle the liability within 12 months because it will not have</w:t>
      </w:r>
      <w:r w:rsidRPr="00EB2BD8">
        <w:rPr>
          <w:rFonts w:ascii="Arial"/>
          <w:spacing w:val="-5"/>
          <w:w w:val="105"/>
          <w:sz w:val="16"/>
        </w:rPr>
        <w:t xml:space="preserve"> </w:t>
      </w:r>
      <w:r w:rsidRPr="00EB2BD8">
        <w:rPr>
          <w:rFonts w:ascii="Arial"/>
          <w:w w:val="105"/>
          <w:sz w:val="16"/>
        </w:rPr>
        <w:t>the</w:t>
      </w:r>
      <w:r w:rsidRPr="00EB2BD8">
        <w:rPr>
          <w:rFonts w:ascii="Arial"/>
          <w:spacing w:val="-4"/>
          <w:w w:val="105"/>
          <w:sz w:val="16"/>
        </w:rPr>
        <w:t xml:space="preserve"> </w:t>
      </w:r>
      <w:r w:rsidRPr="00EB2BD8">
        <w:rPr>
          <w:rFonts w:ascii="Arial"/>
          <w:w w:val="105"/>
          <w:sz w:val="16"/>
        </w:rPr>
        <w:t>unconditional</w:t>
      </w:r>
      <w:r w:rsidRPr="00EB2BD8">
        <w:rPr>
          <w:rFonts w:ascii="Arial"/>
          <w:spacing w:val="-5"/>
          <w:w w:val="105"/>
          <w:sz w:val="16"/>
        </w:rPr>
        <w:t xml:space="preserve"> </w:t>
      </w:r>
      <w:r w:rsidRPr="00EB2BD8">
        <w:rPr>
          <w:rFonts w:ascii="Arial"/>
          <w:w w:val="105"/>
          <w:sz w:val="16"/>
        </w:rPr>
        <w:t>right</w:t>
      </w:r>
      <w:r w:rsidRPr="00EB2BD8">
        <w:rPr>
          <w:rFonts w:ascii="Arial"/>
          <w:spacing w:val="-5"/>
          <w:w w:val="105"/>
          <w:sz w:val="16"/>
        </w:rPr>
        <w:t xml:space="preserve"> </w:t>
      </w:r>
      <w:r w:rsidRPr="00EB2BD8">
        <w:rPr>
          <w:rFonts w:ascii="Arial"/>
          <w:w w:val="105"/>
          <w:sz w:val="16"/>
        </w:rPr>
        <w:t>to</w:t>
      </w:r>
      <w:r w:rsidRPr="00EB2BD8">
        <w:rPr>
          <w:rFonts w:ascii="Arial"/>
          <w:spacing w:val="-5"/>
          <w:w w:val="105"/>
          <w:sz w:val="16"/>
        </w:rPr>
        <w:t xml:space="preserve"> </w:t>
      </w:r>
      <w:r w:rsidRPr="00EB2BD8">
        <w:rPr>
          <w:rFonts w:ascii="Arial"/>
          <w:w w:val="105"/>
          <w:sz w:val="16"/>
        </w:rPr>
        <w:t>defer</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settlement</w:t>
      </w:r>
      <w:r w:rsidRPr="00EB2BD8">
        <w:rPr>
          <w:rFonts w:ascii="Arial"/>
          <w:spacing w:val="-5"/>
          <w:w w:val="105"/>
          <w:sz w:val="16"/>
        </w:rPr>
        <w:t xml:space="preserve"> </w:t>
      </w:r>
      <w:r w:rsidRPr="00EB2BD8">
        <w:rPr>
          <w:rFonts w:ascii="Arial"/>
          <w:w w:val="105"/>
          <w:sz w:val="16"/>
        </w:rPr>
        <w:t>of</w:t>
      </w:r>
      <w:r w:rsidRPr="00EB2BD8">
        <w:rPr>
          <w:rFonts w:ascii="Arial"/>
          <w:spacing w:val="-5"/>
          <w:w w:val="105"/>
          <w:sz w:val="16"/>
        </w:rPr>
        <w:t xml:space="preserve"> </w:t>
      </w:r>
      <w:r w:rsidRPr="00EB2BD8">
        <w:rPr>
          <w:rFonts w:ascii="Arial"/>
          <w:w w:val="105"/>
          <w:sz w:val="16"/>
        </w:rPr>
        <w:t>the entitlement should an employee take leave within 12 months. The components of this current long service leave liability are measured at:</w:t>
      </w:r>
    </w:p>
    <w:p w14:paraId="50876A89" w14:textId="77777777" w:rsidR="00084F36" w:rsidRPr="00EB2BD8" w:rsidRDefault="00084F36">
      <w:pPr>
        <w:pStyle w:val="BodyText"/>
        <w:rPr>
          <w:rFonts w:ascii="Arial"/>
          <w:sz w:val="19"/>
        </w:rPr>
      </w:pPr>
    </w:p>
    <w:p w14:paraId="760EF8E3" w14:textId="77777777" w:rsidR="00084F36" w:rsidRPr="00EB2BD8" w:rsidRDefault="00EB2BD8">
      <w:pPr>
        <w:pStyle w:val="ListParagraph"/>
        <w:numPr>
          <w:ilvl w:val="0"/>
          <w:numId w:val="45"/>
        </w:numPr>
        <w:tabs>
          <w:tab w:val="left" w:pos="1336"/>
        </w:tabs>
        <w:spacing w:line="285" w:lineRule="auto"/>
        <w:ind w:right="2161"/>
        <w:rPr>
          <w:rFonts w:ascii="Arial" w:hAnsi="Arial"/>
          <w:sz w:val="16"/>
        </w:rPr>
      </w:pPr>
      <w:r w:rsidRPr="00EB2BD8">
        <w:rPr>
          <w:rFonts w:ascii="Arial" w:hAnsi="Arial"/>
          <w:w w:val="105"/>
          <w:sz w:val="16"/>
        </w:rPr>
        <w:t>undiscounted</w:t>
      </w:r>
      <w:r w:rsidRPr="00EB2BD8">
        <w:rPr>
          <w:rFonts w:ascii="Arial" w:hAnsi="Arial"/>
          <w:spacing w:val="-12"/>
          <w:w w:val="105"/>
          <w:sz w:val="16"/>
        </w:rPr>
        <w:t xml:space="preserve"> </w:t>
      </w:r>
      <w:r w:rsidRPr="00EB2BD8">
        <w:rPr>
          <w:rFonts w:ascii="Arial" w:hAnsi="Arial"/>
          <w:w w:val="105"/>
          <w:sz w:val="16"/>
        </w:rPr>
        <w:t>value</w:t>
      </w:r>
      <w:r w:rsidRPr="00EB2BD8">
        <w:rPr>
          <w:rFonts w:ascii="Arial" w:hAnsi="Arial"/>
          <w:spacing w:val="-12"/>
          <w:w w:val="105"/>
          <w:sz w:val="16"/>
        </w:rPr>
        <w:t xml:space="preserve"> </w:t>
      </w:r>
      <w:r w:rsidRPr="00EB2BD8">
        <w:rPr>
          <w:rFonts w:ascii="Arial" w:hAnsi="Arial"/>
          <w:w w:val="105"/>
          <w:sz w:val="16"/>
        </w:rPr>
        <w:t>–</w:t>
      </w:r>
      <w:r w:rsidRPr="00EB2BD8">
        <w:rPr>
          <w:rFonts w:ascii="Arial" w:hAnsi="Arial"/>
          <w:spacing w:val="-11"/>
          <w:w w:val="105"/>
          <w:sz w:val="16"/>
        </w:rPr>
        <w:t xml:space="preserve"> </w:t>
      </w:r>
      <w:r w:rsidRPr="00EB2BD8">
        <w:rPr>
          <w:rFonts w:ascii="Arial" w:hAnsi="Arial"/>
          <w:w w:val="105"/>
          <w:sz w:val="16"/>
        </w:rPr>
        <w:t>if</w:t>
      </w:r>
      <w:r w:rsidRPr="00EB2BD8">
        <w:rPr>
          <w:rFonts w:ascii="Arial" w:hAnsi="Arial"/>
          <w:spacing w:val="-12"/>
          <w:w w:val="105"/>
          <w:sz w:val="16"/>
        </w:rPr>
        <w:t xml:space="preserve"> </w:t>
      </w:r>
      <w:r w:rsidRPr="00EB2BD8">
        <w:rPr>
          <w:rFonts w:ascii="Arial" w:hAnsi="Arial"/>
          <w:w w:val="105"/>
          <w:sz w:val="16"/>
        </w:rPr>
        <w:t>the</w:t>
      </w:r>
      <w:r w:rsidRPr="00EB2BD8">
        <w:rPr>
          <w:rFonts w:ascii="Arial" w:hAnsi="Arial"/>
          <w:spacing w:val="-12"/>
          <w:w w:val="105"/>
          <w:sz w:val="16"/>
        </w:rPr>
        <w:t xml:space="preserve"> </w:t>
      </w:r>
      <w:r w:rsidRPr="00EB2BD8">
        <w:rPr>
          <w:rFonts w:ascii="Arial" w:hAnsi="Arial"/>
          <w:w w:val="105"/>
          <w:sz w:val="16"/>
        </w:rPr>
        <w:t>VBA</w:t>
      </w:r>
      <w:r w:rsidRPr="00EB2BD8">
        <w:rPr>
          <w:rFonts w:ascii="Arial" w:hAnsi="Arial"/>
          <w:spacing w:val="-12"/>
          <w:w w:val="105"/>
          <w:sz w:val="16"/>
        </w:rPr>
        <w:t xml:space="preserve"> </w:t>
      </w:r>
      <w:r w:rsidRPr="00EB2BD8">
        <w:rPr>
          <w:rFonts w:ascii="Arial" w:hAnsi="Arial"/>
          <w:w w:val="105"/>
          <w:sz w:val="16"/>
        </w:rPr>
        <w:t>expects</w:t>
      </w:r>
      <w:r w:rsidRPr="00EB2BD8">
        <w:rPr>
          <w:rFonts w:ascii="Arial" w:hAnsi="Arial"/>
          <w:spacing w:val="-11"/>
          <w:w w:val="105"/>
          <w:sz w:val="16"/>
        </w:rPr>
        <w:t xml:space="preserve"> </w:t>
      </w:r>
      <w:r w:rsidRPr="00EB2BD8">
        <w:rPr>
          <w:rFonts w:ascii="Arial" w:hAnsi="Arial"/>
          <w:w w:val="105"/>
          <w:sz w:val="16"/>
        </w:rPr>
        <w:t>to wholly settle within 12 months; or</w:t>
      </w:r>
    </w:p>
    <w:p w14:paraId="376F049E" w14:textId="77777777" w:rsidR="00084F36" w:rsidRPr="00EB2BD8" w:rsidRDefault="00EB2BD8">
      <w:pPr>
        <w:pStyle w:val="ListParagraph"/>
        <w:numPr>
          <w:ilvl w:val="0"/>
          <w:numId w:val="45"/>
        </w:numPr>
        <w:tabs>
          <w:tab w:val="left" w:pos="1336"/>
        </w:tabs>
        <w:spacing w:before="3" w:line="285" w:lineRule="auto"/>
        <w:ind w:right="2001" w:hanging="337"/>
        <w:rPr>
          <w:rFonts w:ascii="Arial" w:hAnsi="Arial"/>
          <w:sz w:val="16"/>
        </w:rPr>
      </w:pPr>
      <w:r w:rsidRPr="00EB2BD8">
        <w:rPr>
          <w:rFonts w:ascii="Arial" w:hAnsi="Arial"/>
          <w:w w:val="105"/>
          <w:sz w:val="16"/>
        </w:rPr>
        <w:t>present</w:t>
      </w:r>
      <w:r w:rsidRPr="00EB2BD8">
        <w:rPr>
          <w:rFonts w:ascii="Arial" w:hAnsi="Arial"/>
          <w:spacing w:val="-12"/>
          <w:w w:val="105"/>
          <w:sz w:val="16"/>
        </w:rPr>
        <w:t xml:space="preserve"> </w:t>
      </w:r>
      <w:r w:rsidRPr="00EB2BD8">
        <w:rPr>
          <w:rFonts w:ascii="Arial" w:hAnsi="Arial"/>
          <w:w w:val="105"/>
          <w:sz w:val="16"/>
        </w:rPr>
        <w:t>value</w:t>
      </w:r>
      <w:r w:rsidRPr="00EB2BD8">
        <w:rPr>
          <w:rFonts w:ascii="Arial" w:hAnsi="Arial"/>
          <w:spacing w:val="-8"/>
          <w:w w:val="105"/>
          <w:sz w:val="16"/>
        </w:rPr>
        <w:t xml:space="preserve"> </w:t>
      </w:r>
      <w:r w:rsidRPr="00EB2BD8">
        <w:rPr>
          <w:rFonts w:ascii="Arial" w:hAnsi="Arial"/>
          <w:w w:val="105"/>
          <w:sz w:val="16"/>
        </w:rPr>
        <w:t>–</w:t>
      </w:r>
      <w:r w:rsidRPr="00EB2BD8">
        <w:rPr>
          <w:rFonts w:ascii="Arial" w:hAnsi="Arial"/>
          <w:spacing w:val="-12"/>
          <w:w w:val="105"/>
          <w:sz w:val="16"/>
        </w:rPr>
        <w:t xml:space="preserve"> </w:t>
      </w:r>
      <w:r w:rsidRPr="00EB2BD8">
        <w:rPr>
          <w:rFonts w:ascii="Arial" w:hAnsi="Arial"/>
          <w:w w:val="105"/>
          <w:sz w:val="16"/>
        </w:rPr>
        <w:t>if</w:t>
      </w:r>
      <w:r w:rsidRPr="00EB2BD8">
        <w:rPr>
          <w:rFonts w:ascii="Arial" w:hAnsi="Arial"/>
          <w:spacing w:val="-9"/>
          <w:w w:val="105"/>
          <w:sz w:val="16"/>
        </w:rPr>
        <w:t xml:space="preserve"> </w:t>
      </w:r>
      <w:r w:rsidRPr="00EB2BD8">
        <w:rPr>
          <w:rFonts w:ascii="Arial" w:hAnsi="Arial"/>
          <w:w w:val="105"/>
          <w:sz w:val="16"/>
        </w:rPr>
        <w:t>the</w:t>
      </w:r>
      <w:r w:rsidRPr="00EB2BD8">
        <w:rPr>
          <w:rFonts w:ascii="Arial" w:hAnsi="Arial"/>
          <w:spacing w:val="-12"/>
          <w:w w:val="105"/>
          <w:sz w:val="16"/>
        </w:rPr>
        <w:t xml:space="preserve"> </w:t>
      </w:r>
      <w:r w:rsidRPr="00EB2BD8">
        <w:rPr>
          <w:rFonts w:ascii="Arial" w:hAnsi="Arial"/>
          <w:w w:val="105"/>
          <w:sz w:val="16"/>
        </w:rPr>
        <w:t>VBA</w:t>
      </w:r>
      <w:r w:rsidRPr="00EB2BD8">
        <w:rPr>
          <w:rFonts w:ascii="Arial" w:hAnsi="Arial"/>
          <w:spacing w:val="-11"/>
          <w:w w:val="105"/>
          <w:sz w:val="16"/>
        </w:rPr>
        <w:t xml:space="preserve"> </w:t>
      </w:r>
      <w:r w:rsidRPr="00EB2BD8">
        <w:rPr>
          <w:rFonts w:ascii="Arial" w:hAnsi="Arial"/>
          <w:w w:val="105"/>
          <w:sz w:val="16"/>
        </w:rPr>
        <w:t>does</w:t>
      </w:r>
      <w:r w:rsidRPr="00EB2BD8">
        <w:rPr>
          <w:rFonts w:ascii="Arial" w:hAnsi="Arial"/>
          <w:spacing w:val="-11"/>
          <w:w w:val="105"/>
          <w:sz w:val="16"/>
        </w:rPr>
        <w:t xml:space="preserve"> </w:t>
      </w:r>
      <w:r w:rsidRPr="00EB2BD8">
        <w:rPr>
          <w:rFonts w:ascii="Arial" w:hAnsi="Arial"/>
          <w:w w:val="105"/>
          <w:sz w:val="16"/>
        </w:rPr>
        <w:t>not</w:t>
      </w:r>
      <w:r w:rsidRPr="00EB2BD8">
        <w:rPr>
          <w:rFonts w:ascii="Arial" w:hAnsi="Arial"/>
          <w:spacing w:val="-11"/>
          <w:w w:val="105"/>
          <w:sz w:val="16"/>
        </w:rPr>
        <w:t xml:space="preserve"> </w:t>
      </w:r>
      <w:r w:rsidRPr="00EB2BD8">
        <w:rPr>
          <w:rFonts w:ascii="Arial" w:hAnsi="Arial"/>
          <w:w w:val="105"/>
          <w:sz w:val="16"/>
        </w:rPr>
        <w:t>expect</w:t>
      </w:r>
      <w:r w:rsidRPr="00EB2BD8">
        <w:rPr>
          <w:rFonts w:ascii="Arial" w:hAnsi="Arial"/>
          <w:spacing w:val="-12"/>
          <w:w w:val="105"/>
          <w:sz w:val="16"/>
        </w:rPr>
        <w:t xml:space="preserve"> </w:t>
      </w:r>
      <w:r w:rsidRPr="00EB2BD8">
        <w:rPr>
          <w:rFonts w:ascii="Arial" w:hAnsi="Arial"/>
          <w:w w:val="105"/>
          <w:sz w:val="16"/>
        </w:rPr>
        <w:t>to wholly settle within 12 months.</w:t>
      </w:r>
    </w:p>
    <w:p w14:paraId="3910E775" w14:textId="77777777" w:rsidR="00084F36" w:rsidRPr="00EB2BD8" w:rsidRDefault="00084F36">
      <w:pPr>
        <w:pStyle w:val="BodyText"/>
        <w:spacing w:before="7"/>
        <w:rPr>
          <w:rFonts w:ascii="Arial"/>
          <w:sz w:val="19"/>
        </w:rPr>
      </w:pPr>
    </w:p>
    <w:p w14:paraId="588C46F9" w14:textId="77777777" w:rsidR="00084F36" w:rsidRPr="00EB2BD8" w:rsidRDefault="00EB2BD8">
      <w:pPr>
        <w:spacing w:line="290" w:lineRule="auto"/>
        <w:ind w:left="664" w:right="1801"/>
        <w:rPr>
          <w:rFonts w:ascii="Arial"/>
          <w:sz w:val="16"/>
        </w:rPr>
      </w:pPr>
      <w:r w:rsidRPr="00EB2BD8">
        <w:rPr>
          <w:rFonts w:ascii="Arial"/>
          <w:b/>
          <w:w w:val="105"/>
          <w:sz w:val="16"/>
        </w:rPr>
        <w:t xml:space="preserve">Conditional long service leave </w:t>
      </w:r>
      <w:r w:rsidRPr="00EB2BD8">
        <w:rPr>
          <w:rFonts w:ascii="Arial"/>
          <w:w w:val="105"/>
          <w:sz w:val="16"/>
        </w:rPr>
        <w:t>is disclosed as a non- current liability. There is a conditional right to defer the settlement of the entitlement until the employee has completed the requisite years of service. This non- current</w:t>
      </w:r>
      <w:r w:rsidRPr="00EB2BD8">
        <w:rPr>
          <w:rFonts w:ascii="Arial"/>
          <w:spacing w:val="-5"/>
          <w:w w:val="105"/>
          <w:sz w:val="16"/>
        </w:rPr>
        <w:t xml:space="preserve"> </w:t>
      </w:r>
      <w:r w:rsidRPr="00EB2BD8">
        <w:rPr>
          <w:rFonts w:ascii="Arial"/>
          <w:w w:val="105"/>
          <w:sz w:val="16"/>
        </w:rPr>
        <w:t>long</w:t>
      </w:r>
      <w:r w:rsidRPr="00EB2BD8">
        <w:rPr>
          <w:rFonts w:ascii="Arial"/>
          <w:spacing w:val="-5"/>
          <w:w w:val="105"/>
          <w:sz w:val="16"/>
        </w:rPr>
        <w:t xml:space="preserve"> </w:t>
      </w:r>
      <w:r w:rsidRPr="00EB2BD8">
        <w:rPr>
          <w:rFonts w:ascii="Arial"/>
          <w:w w:val="105"/>
          <w:sz w:val="16"/>
        </w:rPr>
        <w:t>service</w:t>
      </w:r>
      <w:r w:rsidRPr="00EB2BD8">
        <w:rPr>
          <w:rFonts w:ascii="Arial"/>
          <w:spacing w:val="-5"/>
          <w:w w:val="105"/>
          <w:sz w:val="16"/>
        </w:rPr>
        <w:t xml:space="preserve"> </w:t>
      </w:r>
      <w:r w:rsidRPr="00EB2BD8">
        <w:rPr>
          <w:rFonts w:ascii="Arial"/>
          <w:w w:val="105"/>
          <w:sz w:val="16"/>
        </w:rPr>
        <w:t>leave</w:t>
      </w:r>
      <w:r w:rsidRPr="00EB2BD8">
        <w:rPr>
          <w:rFonts w:ascii="Arial"/>
          <w:spacing w:val="-5"/>
          <w:w w:val="105"/>
          <w:sz w:val="16"/>
        </w:rPr>
        <w:t xml:space="preserve"> </w:t>
      </w:r>
      <w:r w:rsidRPr="00EB2BD8">
        <w:rPr>
          <w:rFonts w:ascii="Arial"/>
          <w:w w:val="105"/>
          <w:sz w:val="16"/>
        </w:rPr>
        <w:t>is</w:t>
      </w:r>
      <w:r w:rsidRPr="00EB2BD8">
        <w:rPr>
          <w:rFonts w:ascii="Arial"/>
          <w:spacing w:val="-4"/>
          <w:w w:val="105"/>
          <w:sz w:val="16"/>
        </w:rPr>
        <w:t xml:space="preserve"> </w:t>
      </w:r>
      <w:r w:rsidRPr="00EB2BD8">
        <w:rPr>
          <w:rFonts w:ascii="Arial"/>
          <w:w w:val="105"/>
          <w:sz w:val="16"/>
        </w:rPr>
        <w:t>measured</w:t>
      </w:r>
      <w:r w:rsidRPr="00EB2BD8">
        <w:rPr>
          <w:rFonts w:ascii="Arial"/>
          <w:spacing w:val="-5"/>
          <w:w w:val="105"/>
          <w:sz w:val="16"/>
        </w:rPr>
        <w:t xml:space="preserve"> </w:t>
      </w:r>
      <w:r w:rsidRPr="00EB2BD8">
        <w:rPr>
          <w:rFonts w:ascii="Arial"/>
          <w:w w:val="105"/>
          <w:sz w:val="16"/>
        </w:rPr>
        <w:t>at</w:t>
      </w:r>
      <w:r w:rsidRPr="00EB2BD8">
        <w:rPr>
          <w:rFonts w:ascii="Arial"/>
          <w:spacing w:val="-5"/>
          <w:w w:val="105"/>
          <w:sz w:val="16"/>
        </w:rPr>
        <w:t xml:space="preserve"> </w:t>
      </w:r>
      <w:r w:rsidRPr="00EB2BD8">
        <w:rPr>
          <w:rFonts w:ascii="Arial"/>
          <w:w w:val="105"/>
          <w:sz w:val="16"/>
        </w:rPr>
        <w:t>present</w:t>
      </w:r>
      <w:r w:rsidRPr="00EB2BD8">
        <w:rPr>
          <w:rFonts w:ascii="Arial"/>
          <w:spacing w:val="-5"/>
          <w:w w:val="105"/>
          <w:sz w:val="16"/>
        </w:rPr>
        <w:t xml:space="preserve"> </w:t>
      </w:r>
      <w:r w:rsidRPr="00EB2BD8">
        <w:rPr>
          <w:rFonts w:ascii="Arial"/>
          <w:w w:val="105"/>
          <w:sz w:val="16"/>
        </w:rPr>
        <w:t>value.</w:t>
      </w:r>
    </w:p>
    <w:p w14:paraId="188BA5A3" w14:textId="77777777" w:rsidR="00084F36" w:rsidRPr="00EB2BD8" w:rsidRDefault="00084F36">
      <w:pPr>
        <w:pStyle w:val="BodyText"/>
        <w:spacing w:before="1"/>
        <w:rPr>
          <w:rFonts w:ascii="Arial"/>
          <w:sz w:val="19"/>
        </w:rPr>
      </w:pPr>
    </w:p>
    <w:p w14:paraId="405E1643" w14:textId="77777777" w:rsidR="00084F36" w:rsidRPr="00EB2BD8" w:rsidRDefault="00EB2BD8">
      <w:pPr>
        <w:spacing w:line="290" w:lineRule="auto"/>
        <w:ind w:left="664" w:right="1684"/>
        <w:rPr>
          <w:rFonts w:ascii="Arial" w:hAnsi="Arial"/>
          <w:sz w:val="16"/>
        </w:rPr>
      </w:pPr>
      <w:r w:rsidRPr="00EB2BD8">
        <w:rPr>
          <w:rFonts w:ascii="Arial" w:hAnsi="Arial"/>
          <w:w w:val="105"/>
          <w:sz w:val="16"/>
        </w:rPr>
        <w:t>Any</w:t>
      </w:r>
      <w:r w:rsidRPr="00EB2BD8">
        <w:rPr>
          <w:rFonts w:ascii="Arial" w:hAnsi="Arial"/>
          <w:spacing w:val="-7"/>
          <w:w w:val="105"/>
          <w:sz w:val="16"/>
        </w:rPr>
        <w:t xml:space="preserve"> </w:t>
      </w:r>
      <w:r w:rsidRPr="00EB2BD8">
        <w:rPr>
          <w:rFonts w:ascii="Arial" w:hAnsi="Arial"/>
          <w:w w:val="105"/>
          <w:sz w:val="16"/>
        </w:rPr>
        <w:t>gain</w:t>
      </w:r>
      <w:r w:rsidRPr="00EB2BD8">
        <w:rPr>
          <w:rFonts w:ascii="Arial" w:hAnsi="Arial"/>
          <w:spacing w:val="-8"/>
          <w:w w:val="105"/>
          <w:sz w:val="16"/>
        </w:rPr>
        <w:t xml:space="preserve"> </w:t>
      </w:r>
      <w:r w:rsidRPr="00EB2BD8">
        <w:rPr>
          <w:rFonts w:ascii="Arial" w:hAnsi="Arial"/>
          <w:w w:val="105"/>
          <w:sz w:val="16"/>
        </w:rPr>
        <w:t>or</w:t>
      </w:r>
      <w:r w:rsidRPr="00EB2BD8">
        <w:rPr>
          <w:rFonts w:ascii="Arial" w:hAnsi="Arial"/>
          <w:spacing w:val="-6"/>
          <w:w w:val="105"/>
          <w:sz w:val="16"/>
        </w:rPr>
        <w:t xml:space="preserve"> </w:t>
      </w:r>
      <w:r w:rsidRPr="00EB2BD8">
        <w:rPr>
          <w:rFonts w:ascii="Arial" w:hAnsi="Arial"/>
          <w:w w:val="105"/>
          <w:sz w:val="16"/>
        </w:rPr>
        <w:t>loss</w:t>
      </w:r>
      <w:r w:rsidRPr="00EB2BD8">
        <w:rPr>
          <w:rFonts w:ascii="Arial" w:hAnsi="Arial"/>
          <w:spacing w:val="-7"/>
          <w:w w:val="105"/>
          <w:sz w:val="16"/>
        </w:rPr>
        <w:t xml:space="preserve"> </w:t>
      </w:r>
      <w:r w:rsidRPr="00EB2BD8">
        <w:rPr>
          <w:rFonts w:ascii="Arial" w:hAnsi="Arial"/>
          <w:w w:val="105"/>
          <w:sz w:val="16"/>
        </w:rPr>
        <w:t>following</w:t>
      </w:r>
      <w:r w:rsidRPr="00EB2BD8">
        <w:rPr>
          <w:rFonts w:ascii="Arial" w:hAnsi="Arial"/>
          <w:spacing w:val="-8"/>
          <w:w w:val="105"/>
          <w:sz w:val="16"/>
        </w:rPr>
        <w:t xml:space="preserve"> </w:t>
      </w:r>
      <w:r w:rsidRPr="00EB2BD8">
        <w:rPr>
          <w:rFonts w:ascii="Arial" w:hAnsi="Arial"/>
          <w:w w:val="105"/>
          <w:sz w:val="16"/>
        </w:rPr>
        <w:t>revaluation</w:t>
      </w:r>
      <w:r w:rsidRPr="00EB2BD8">
        <w:rPr>
          <w:rFonts w:ascii="Arial" w:hAnsi="Arial"/>
          <w:spacing w:val="-8"/>
          <w:w w:val="105"/>
          <w:sz w:val="16"/>
        </w:rPr>
        <w:t xml:space="preserve"> </w:t>
      </w:r>
      <w:r w:rsidRPr="00EB2BD8">
        <w:rPr>
          <w:rFonts w:ascii="Arial" w:hAnsi="Arial"/>
          <w:w w:val="105"/>
          <w:sz w:val="16"/>
        </w:rPr>
        <w:t>of</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7"/>
          <w:w w:val="105"/>
          <w:sz w:val="16"/>
        </w:rPr>
        <w:t xml:space="preserve"> </w:t>
      </w:r>
      <w:r w:rsidRPr="00EB2BD8">
        <w:rPr>
          <w:rFonts w:ascii="Arial" w:hAnsi="Arial"/>
          <w:w w:val="105"/>
          <w:sz w:val="16"/>
        </w:rPr>
        <w:t>present</w:t>
      </w:r>
      <w:r w:rsidRPr="00EB2BD8">
        <w:rPr>
          <w:rFonts w:ascii="Arial" w:hAnsi="Arial"/>
          <w:spacing w:val="-7"/>
          <w:w w:val="105"/>
          <w:sz w:val="16"/>
        </w:rPr>
        <w:t xml:space="preserve"> </w:t>
      </w:r>
      <w:r w:rsidRPr="00EB2BD8">
        <w:rPr>
          <w:rFonts w:ascii="Arial" w:hAnsi="Arial"/>
          <w:w w:val="105"/>
          <w:sz w:val="16"/>
        </w:rPr>
        <w:t>value of</w:t>
      </w:r>
      <w:r w:rsidRPr="00EB2BD8">
        <w:rPr>
          <w:rFonts w:ascii="Arial" w:hAnsi="Arial"/>
          <w:spacing w:val="-3"/>
          <w:w w:val="105"/>
          <w:sz w:val="16"/>
        </w:rPr>
        <w:t xml:space="preserve"> </w:t>
      </w:r>
      <w:r w:rsidRPr="00EB2BD8">
        <w:rPr>
          <w:rFonts w:ascii="Arial" w:hAnsi="Arial"/>
          <w:w w:val="105"/>
          <w:sz w:val="16"/>
        </w:rPr>
        <w:t>non-current</w:t>
      </w:r>
      <w:r w:rsidRPr="00EB2BD8">
        <w:rPr>
          <w:rFonts w:ascii="Arial" w:hAnsi="Arial"/>
          <w:spacing w:val="-2"/>
          <w:w w:val="105"/>
          <w:sz w:val="16"/>
        </w:rPr>
        <w:t xml:space="preserve"> </w:t>
      </w:r>
      <w:r w:rsidRPr="00EB2BD8">
        <w:rPr>
          <w:rFonts w:ascii="Arial" w:hAnsi="Arial"/>
          <w:w w:val="105"/>
          <w:sz w:val="16"/>
        </w:rPr>
        <w:t>long</w:t>
      </w:r>
      <w:r w:rsidRPr="00EB2BD8">
        <w:rPr>
          <w:rFonts w:ascii="Arial" w:hAnsi="Arial"/>
          <w:spacing w:val="-5"/>
          <w:w w:val="105"/>
          <w:sz w:val="16"/>
        </w:rPr>
        <w:t xml:space="preserve"> </w:t>
      </w:r>
      <w:r w:rsidRPr="00EB2BD8">
        <w:rPr>
          <w:rFonts w:ascii="Arial" w:hAnsi="Arial"/>
          <w:w w:val="105"/>
          <w:sz w:val="16"/>
        </w:rPr>
        <w:t>service</w:t>
      </w:r>
      <w:r w:rsidRPr="00EB2BD8">
        <w:rPr>
          <w:rFonts w:ascii="Arial" w:hAnsi="Arial"/>
          <w:spacing w:val="-5"/>
          <w:w w:val="105"/>
          <w:sz w:val="16"/>
        </w:rPr>
        <w:t xml:space="preserve"> </w:t>
      </w:r>
      <w:r w:rsidRPr="00EB2BD8">
        <w:rPr>
          <w:rFonts w:ascii="Arial" w:hAnsi="Arial"/>
          <w:w w:val="105"/>
          <w:sz w:val="16"/>
        </w:rPr>
        <w:t>leave</w:t>
      </w:r>
      <w:r w:rsidRPr="00EB2BD8">
        <w:rPr>
          <w:rFonts w:ascii="Arial" w:hAnsi="Arial"/>
          <w:spacing w:val="-5"/>
          <w:w w:val="105"/>
          <w:sz w:val="16"/>
        </w:rPr>
        <w:t xml:space="preserve"> </w:t>
      </w:r>
      <w:r w:rsidRPr="00EB2BD8">
        <w:rPr>
          <w:rFonts w:ascii="Arial" w:hAnsi="Arial"/>
          <w:w w:val="105"/>
          <w:sz w:val="16"/>
        </w:rPr>
        <w:t>liability</w:t>
      </w:r>
      <w:r w:rsidRPr="00EB2BD8">
        <w:rPr>
          <w:rFonts w:ascii="Arial" w:hAnsi="Arial"/>
          <w:spacing w:val="-1"/>
          <w:w w:val="105"/>
          <w:sz w:val="16"/>
        </w:rPr>
        <w:t xml:space="preserve"> </w:t>
      </w:r>
      <w:r w:rsidRPr="00EB2BD8">
        <w:rPr>
          <w:rFonts w:ascii="Arial" w:hAnsi="Arial"/>
          <w:w w:val="105"/>
          <w:sz w:val="16"/>
        </w:rPr>
        <w:t>is</w:t>
      </w:r>
      <w:r w:rsidRPr="00EB2BD8">
        <w:rPr>
          <w:rFonts w:ascii="Arial" w:hAnsi="Arial"/>
          <w:spacing w:val="-3"/>
          <w:w w:val="105"/>
          <w:sz w:val="16"/>
        </w:rPr>
        <w:t xml:space="preserve"> </w:t>
      </w:r>
      <w:r w:rsidRPr="00EB2BD8">
        <w:rPr>
          <w:rFonts w:ascii="Arial" w:hAnsi="Arial"/>
          <w:w w:val="105"/>
          <w:sz w:val="16"/>
        </w:rPr>
        <w:t>recognised</w:t>
      </w:r>
      <w:r w:rsidRPr="00EB2BD8">
        <w:rPr>
          <w:rFonts w:ascii="Arial" w:hAnsi="Arial"/>
          <w:spacing w:val="-2"/>
          <w:w w:val="105"/>
          <w:sz w:val="16"/>
        </w:rPr>
        <w:t xml:space="preserve"> </w:t>
      </w:r>
      <w:r w:rsidRPr="00EB2BD8">
        <w:rPr>
          <w:rFonts w:ascii="Arial" w:hAnsi="Arial"/>
          <w:w w:val="105"/>
          <w:sz w:val="16"/>
        </w:rPr>
        <w:t>as a transaction, except to the extent that a gain or loss arises</w:t>
      </w:r>
      <w:r w:rsidRPr="00EB2BD8">
        <w:rPr>
          <w:rFonts w:ascii="Arial" w:hAnsi="Arial"/>
          <w:spacing w:val="-5"/>
          <w:w w:val="105"/>
          <w:sz w:val="16"/>
        </w:rPr>
        <w:t xml:space="preserve"> </w:t>
      </w:r>
      <w:r w:rsidRPr="00EB2BD8">
        <w:rPr>
          <w:rFonts w:ascii="Arial" w:hAnsi="Arial"/>
          <w:w w:val="105"/>
          <w:sz w:val="16"/>
        </w:rPr>
        <w:t>due</w:t>
      </w:r>
      <w:r w:rsidRPr="00EB2BD8">
        <w:rPr>
          <w:rFonts w:ascii="Arial" w:hAnsi="Arial"/>
          <w:spacing w:val="-6"/>
          <w:w w:val="105"/>
          <w:sz w:val="16"/>
        </w:rPr>
        <w:t xml:space="preserve"> </w:t>
      </w:r>
      <w:r w:rsidRPr="00EB2BD8">
        <w:rPr>
          <w:rFonts w:ascii="Arial" w:hAnsi="Arial"/>
          <w:w w:val="105"/>
          <w:sz w:val="16"/>
        </w:rPr>
        <w:t>to</w:t>
      </w:r>
      <w:r w:rsidRPr="00EB2BD8">
        <w:rPr>
          <w:rFonts w:ascii="Arial" w:hAnsi="Arial"/>
          <w:spacing w:val="-8"/>
          <w:w w:val="105"/>
          <w:sz w:val="16"/>
        </w:rPr>
        <w:t xml:space="preserve"> </w:t>
      </w:r>
      <w:r w:rsidRPr="00EB2BD8">
        <w:rPr>
          <w:rFonts w:ascii="Arial" w:hAnsi="Arial"/>
          <w:w w:val="105"/>
          <w:sz w:val="16"/>
        </w:rPr>
        <w:t>changes</w:t>
      </w:r>
      <w:r w:rsidRPr="00EB2BD8">
        <w:rPr>
          <w:rFonts w:ascii="Arial" w:hAnsi="Arial"/>
          <w:spacing w:val="-6"/>
          <w:w w:val="105"/>
          <w:sz w:val="16"/>
        </w:rPr>
        <w:t xml:space="preserve"> </w:t>
      </w:r>
      <w:r w:rsidRPr="00EB2BD8">
        <w:rPr>
          <w:rFonts w:ascii="Arial" w:hAnsi="Arial"/>
          <w:w w:val="105"/>
          <w:sz w:val="16"/>
        </w:rPr>
        <w:t>in</w:t>
      </w:r>
      <w:r w:rsidRPr="00EB2BD8">
        <w:rPr>
          <w:rFonts w:ascii="Arial" w:hAnsi="Arial"/>
          <w:spacing w:val="-7"/>
          <w:w w:val="105"/>
          <w:sz w:val="16"/>
        </w:rPr>
        <w:t xml:space="preserve"> </w:t>
      </w:r>
      <w:r w:rsidRPr="00EB2BD8">
        <w:rPr>
          <w:rFonts w:ascii="Arial" w:hAnsi="Arial"/>
          <w:w w:val="105"/>
          <w:sz w:val="16"/>
        </w:rPr>
        <w:t>bond</w:t>
      </w:r>
      <w:r w:rsidRPr="00EB2BD8">
        <w:rPr>
          <w:rFonts w:ascii="Arial" w:hAnsi="Arial"/>
          <w:spacing w:val="-3"/>
          <w:w w:val="105"/>
          <w:sz w:val="16"/>
        </w:rPr>
        <w:t xml:space="preserve"> </w:t>
      </w:r>
      <w:r w:rsidRPr="00EB2BD8">
        <w:rPr>
          <w:rFonts w:ascii="Arial" w:hAnsi="Arial"/>
          <w:w w:val="105"/>
          <w:sz w:val="16"/>
        </w:rPr>
        <w:t>interest</w:t>
      </w:r>
      <w:r w:rsidRPr="00EB2BD8">
        <w:rPr>
          <w:rFonts w:ascii="Arial" w:hAnsi="Arial"/>
          <w:spacing w:val="-4"/>
          <w:w w:val="105"/>
          <w:sz w:val="16"/>
        </w:rPr>
        <w:t xml:space="preserve"> </w:t>
      </w:r>
      <w:r w:rsidRPr="00EB2BD8">
        <w:rPr>
          <w:rFonts w:ascii="Arial" w:hAnsi="Arial"/>
          <w:w w:val="105"/>
          <w:sz w:val="16"/>
        </w:rPr>
        <w:t>rates</w:t>
      </w:r>
      <w:r w:rsidRPr="00EB2BD8">
        <w:rPr>
          <w:rFonts w:ascii="Arial" w:hAnsi="Arial"/>
          <w:spacing w:val="-4"/>
          <w:w w:val="105"/>
          <w:sz w:val="16"/>
        </w:rPr>
        <w:t xml:space="preserve"> </w:t>
      </w:r>
      <w:r w:rsidRPr="00EB2BD8">
        <w:rPr>
          <w:rFonts w:ascii="Arial" w:hAnsi="Arial"/>
          <w:w w:val="105"/>
          <w:sz w:val="16"/>
        </w:rPr>
        <w:t>for</w:t>
      </w:r>
      <w:r w:rsidRPr="00EB2BD8">
        <w:rPr>
          <w:rFonts w:ascii="Arial" w:hAnsi="Arial"/>
          <w:spacing w:val="-4"/>
          <w:w w:val="105"/>
          <w:sz w:val="16"/>
        </w:rPr>
        <w:t xml:space="preserve"> </w:t>
      </w:r>
      <w:r w:rsidRPr="00EB2BD8">
        <w:rPr>
          <w:rFonts w:ascii="Arial" w:hAnsi="Arial"/>
          <w:w w:val="105"/>
          <w:sz w:val="16"/>
        </w:rPr>
        <w:t>which</w:t>
      </w:r>
      <w:r w:rsidRPr="00EB2BD8">
        <w:rPr>
          <w:rFonts w:ascii="Arial" w:hAnsi="Arial"/>
          <w:spacing w:val="-4"/>
          <w:w w:val="105"/>
          <w:sz w:val="16"/>
        </w:rPr>
        <w:t xml:space="preserve"> </w:t>
      </w:r>
      <w:r w:rsidRPr="00EB2BD8">
        <w:rPr>
          <w:rFonts w:ascii="Arial" w:hAnsi="Arial"/>
          <w:w w:val="105"/>
          <w:sz w:val="16"/>
        </w:rPr>
        <w:t>it</w:t>
      </w:r>
      <w:r w:rsidRPr="00EB2BD8">
        <w:rPr>
          <w:rFonts w:ascii="Arial" w:hAnsi="Arial"/>
          <w:spacing w:val="-4"/>
          <w:w w:val="105"/>
          <w:sz w:val="16"/>
        </w:rPr>
        <w:t xml:space="preserve"> </w:t>
      </w:r>
      <w:r w:rsidRPr="00EB2BD8">
        <w:rPr>
          <w:rFonts w:ascii="Arial" w:hAnsi="Arial"/>
          <w:w w:val="105"/>
          <w:sz w:val="16"/>
        </w:rPr>
        <w:t xml:space="preserve">is then recognised as an ‘other economic flow’ in the net </w:t>
      </w:r>
      <w:r w:rsidRPr="00EB2BD8">
        <w:rPr>
          <w:rFonts w:ascii="Arial" w:hAnsi="Arial"/>
          <w:spacing w:val="-2"/>
          <w:w w:val="105"/>
          <w:sz w:val="16"/>
        </w:rPr>
        <w:t>result.</w:t>
      </w:r>
    </w:p>
    <w:p w14:paraId="7488DD15" w14:textId="77777777" w:rsidR="00084F36" w:rsidRPr="00EB2BD8" w:rsidRDefault="00084F36">
      <w:pPr>
        <w:spacing w:line="290" w:lineRule="auto"/>
        <w:rPr>
          <w:rFonts w:ascii="Arial" w:hAnsi="Arial"/>
          <w:sz w:val="16"/>
        </w:rPr>
        <w:sectPr w:rsidR="00084F36" w:rsidRPr="00EB2BD8" w:rsidSect="006D75B2">
          <w:type w:val="continuous"/>
          <w:pgSz w:w="11910" w:h="16840"/>
          <w:pgMar w:top="1920" w:right="0" w:bottom="280" w:left="0" w:header="0" w:footer="0" w:gutter="0"/>
          <w:cols w:num="2" w:space="720" w:equalWidth="0">
            <w:col w:w="5225" w:space="40"/>
            <w:col w:w="6645"/>
          </w:cols>
        </w:sectPr>
      </w:pPr>
    </w:p>
    <w:p w14:paraId="4196592D" w14:textId="7CEFE0EC" w:rsidR="00084F36" w:rsidRPr="00EB2BD8" w:rsidRDefault="00084F36">
      <w:pPr>
        <w:pStyle w:val="BodyText"/>
        <w:rPr>
          <w:rFonts w:ascii="Arial"/>
          <w:sz w:val="20"/>
        </w:rPr>
      </w:pPr>
    </w:p>
    <w:p w14:paraId="3FE7F893" w14:textId="77777777" w:rsidR="00084F36" w:rsidRPr="00EB2BD8" w:rsidRDefault="00084F36">
      <w:pPr>
        <w:pStyle w:val="BodyText"/>
        <w:rPr>
          <w:rFonts w:ascii="Arial"/>
          <w:sz w:val="20"/>
        </w:rPr>
      </w:pPr>
    </w:p>
    <w:p w14:paraId="41380874" w14:textId="77777777" w:rsidR="00084F36" w:rsidRPr="00EB2BD8" w:rsidRDefault="00084F36">
      <w:pPr>
        <w:pStyle w:val="BodyText"/>
        <w:rPr>
          <w:rFonts w:ascii="Arial"/>
          <w:sz w:val="20"/>
        </w:rPr>
      </w:pPr>
    </w:p>
    <w:p w14:paraId="1DA916F2" w14:textId="77777777" w:rsidR="00084F36" w:rsidRPr="00EB2BD8" w:rsidRDefault="00084F36">
      <w:pPr>
        <w:pStyle w:val="BodyText"/>
        <w:rPr>
          <w:rFonts w:ascii="Arial"/>
          <w:sz w:val="20"/>
        </w:rPr>
      </w:pPr>
    </w:p>
    <w:p w14:paraId="7AE1FC5B" w14:textId="77777777" w:rsidR="00084F36" w:rsidRPr="00EB2BD8" w:rsidRDefault="00084F36">
      <w:pPr>
        <w:pStyle w:val="BodyText"/>
        <w:rPr>
          <w:rFonts w:ascii="Arial"/>
          <w:sz w:val="20"/>
        </w:rPr>
      </w:pPr>
    </w:p>
    <w:p w14:paraId="4A9B22F9" w14:textId="77777777" w:rsidR="00084F36" w:rsidRPr="00EB2BD8" w:rsidRDefault="00084F36">
      <w:pPr>
        <w:pStyle w:val="BodyText"/>
        <w:rPr>
          <w:rFonts w:ascii="Arial"/>
          <w:sz w:val="20"/>
        </w:rPr>
      </w:pPr>
    </w:p>
    <w:p w14:paraId="3C99844C" w14:textId="77777777" w:rsidR="00084F36" w:rsidRPr="00EB2BD8" w:rsidRDefault="00084F36">
      <w:pPr>
        <w:pStyle w:val="BodyText"/>
        <w:rPr>
          <w:rFonts w:ascii="Arial"/>
          <w:sz w:val="20"/>
        </w:rPr>
      </w:pPr>
    </w:p>
    <w:p w14:paraId="68752947" w14:textId="77777777" w:rsidR="00084F36" w:rsidRPr="00EB2BD8" w:rsidRDefault="00084F36">
      <w:pPr>
        <w:pStyle w:val="BodyText"/>
        <w:rPr>
          <w:rFonts w:ascii="Arial"/>
          <w:sz w:val="20"/>
        </w:rPr>
      </w:pPr>
    </w:p>
    <w:p w14:paraId="71BD888B" w14:textId="77777777" w:rsidR="00084F36" w:rsidRPr="00EB2BD8" w:rsidRDefault="00084F36">
      <w:pPr>
        <w:pStyle w:val="BodyText"/>
        <w:rPr>
          <w:rFonts w:ascii="Arial"/>
          <w:sz w:val="20"/>
        </w:rPr>
      </w:pPr>
    </w:p>
    <w:p w14:paraId="0F2C3116" w14:textId="77777777" w:rsidR="00084F36" w:rsidRPr="00EB2BD8" w:rsidRDefault="00084F36">
      <w:pPr>
        <w:pStyle w:val="BodyText"/>
        <w:rPr>
          <w:rFonts w:ascii="Arial"/>
          <w:sz w:val="20"/>
        </w:rPr>
      </w:pPr>
    </w:p>
    <w:p w14:paraId="2D63E4BF" w14:textId="77777777" w:rsidR="00084F36" w:rsidRPr="00EB2BD8" w:rsidRDefault="00084F36">
      <w:pPr>
        <w:pStyle w:val="BodyText"/>
        <w:rPr>
          <w:rFonts w:ascii="Arial"/>
          <w:sz w:val="20"/>
        </w:rPr>
      </w:pPr>
    </w:p>
    <w:p w14:paraId="6C4B3F5D" w14:textId="77777777" w:rsidR="00084F36" w:rsidRPr="00EB2BD8" w:rsidRDefault="00084F36">
      <w:pPr>
        <w:pStyle w:val="BodyText"/>
        <w:rPr>
          <w:rFonts w:ascii="Arial"/>
          <w:sz w:val="20"/>
        </w:rPr>
      </w:pPr>
    </w:p>
    <w:p w14:paraId="1DCAB3AB" w14:textId="77777777" w:rsidR="00084F36" w:rsidRPr="00EB2BD8" w:rsidRDefault="00084F36">
      <w:pPr>
        <w:pStyle w:val="BodyText"/>
        <w:rPr>
          <w:rFonts w:ascii="Arial"/>
          <w:sz w:val="20"/>
        </w:rPr>
      </w:pPr>
    </w:p>
    <w:p w14:paraId="045B7BB8" w14:textId="77777777" w:rsidR="00084F36" w:rsidRPr="00EB2BD8" w:rsidRDefault="00084F36">
      <w:pPr>
        <w:pStyle w:val="BodyText"/>
        <w:rPr>
          <w:rFonts w:ascii="Arial"/>
          <w:sz w:val="20"/>
        </w:rPr>
      </w:pPr>
    </w:p>
    <w:p w14:paraId="44A5F818" w14:textId="77777777" w:rsidR="00084F36" w:rsidRPr="00EB2BD8" w:rsidRDefault="00084F36">
      <w:pPr>
        <w:pStyle w:val="BodyText"/>
        <w:rPr>
          <w:rFonts w:ascii="Arial"/>
          <w:sz w:val="20"/>
        </w:rPr>
      </w:pPr>
    </w:p>
    <w:p w14:paraId="2E2B77AD" w14:textId="77777777" w:rsidR="00084F36" w:rsidRPr="00EB2BD8" w:rsidRDefault="00084F36">
      <w:pPr>
        <w:pStyle w:val="BodyText"/>
        <w:rPr>
          <w:rFonts w:ascii="Arial"/>
          <w:sz w:val="20"/>
        </w:rPr>
      </w:pPr>
    </w:p>
    <w:p w14:paraId="549B0236" w14:textId="77777777" w:rsidR="00084F36" w:rsidRPr="00EB2BD8" w:rsidRDefault="00084F36">
      <w:pPr>
        <w:pStyle w:val="BodyText"/>
        <w:rPr>
          <w:rFonts w:ascii="Arial"/>
          <w:sz w:val="20"/>
        </w:rPr>
      </w:pPr>
    </w:p>
    <w:p w14:paraId="59B0ADB4" w14:textId="77777777" w:rsidR="00084F36" w:rsidRPr="00EB2BD8" w:rsidRDefault="00084F36">
      <w:pPr>
        <w:pStyle w:val="BodyText"/>
        <w:rPr>
          <w:rFonts w:ascii="Arial"/>
          <w:sz w:val="20"/>
        </w:rPr>
      </w:pPr>
    </w:p>
    <w:p w14:paraId="6A04B54B" w14:textId="77777777" w:rsidR="00084F36" w:rsidRPr="00EB2BD8" w:rsidRDefault="00084F36">
      <w:pPr>
        <w:pStyle w:val="BodyText"/>
        <w:rPr>
          <w:rFonts w:ascii="Arial"/>
          <w:sz w:val="20"/>
        </w:rPr>
      </w:pPr>
    </w:p>
    <w:p w14:paraId="51ABF575" w14:textId="77777777" w:rsidR="00084F36" w:rsidRPr="00EB2BD8" w:rsidRDefault="00084F36">
      <w:pPr>
        <w:pStyle w:val="BodyText"/>
        <w:rPr>
          <w:rFonts w:ascii="Arial"/>
          <w:sz w:val="20"/>
        </w:rPr>
      </w:pPr>
    </w:p>
    <w:p w14:paraId="4CF462F8" w14:textId="77777777" w:rsidR="00084F36" w:rsidRPr="00EB2BD8" w:rsidRDefault="00084F36">
      <w:pPr>
        <w:pStyle w:val="BodyText"/>
        <w:rPr>
          <w:rFonts w:ascii="Arial"/>
          <w:sz w:val="20"/>
        </w:rPr>
      </w:pPr>
    </w:p>
    <w:p w14:paraId="56859949" w14:textId="77777777" w:rsidR="00084F36" w:rsidRPr="00EB2BD8" w:rsidRDefault="00084F36">
      <w:pPr>
        <w:pStyle w:val="BodyText"/>
        <w:rPr>
          <w:rFonts w:ascii="Arial"/>
          <w:sz w:val="20"/>
        </w:rPr>
      </w:pPr>
    </w:p>
    <w:p w14:paraId="5E567383" w14:textId="77777777" w:rsidR="00084F36" w:rsidRPr="00EB2BD8" w:rsidRDefault="00084F36">
      <w:pPr>
        <w:pStyle w:val="BodyText"/>
        <w:rPr>
          <w:rFonts w:ascii="Arial"/>
          <w:sz w:val="20"/>
        </w:rPr>
      </w:pPr>
    </w:p>
    <w:p w14:paraId="359A5B4E" w14:textId="77777777" w:rsidR="00084F36" w:rsidRPr="00EB2BD8" w:rsidRDefault="00084F36">
      <w:pPr>
        <w:pStyle w:val="BodyText"/>
        <w:rPr>
          <w:rFonts w:ascii="Arial"/>
          <w:sz w:val="20"/>
        </w:rPr>
      </w:pPr>
    </w:p>
    <w:p w14:paraId="7DAD9CB1" w14:textId="77777777" w:rsidR="00084F36" w:rsidRPr="00EB2BD8" w:rsidRDefault="00084F36">
      <w:pPr>
        <w:pStyle w:val="BodyText"/>
        <w:rPr>
          <w:rFonts w:ascii="Arial"/>
          <w:sz w:val="20"/>
        </w:rPr>
      </w:pPr>
    </w:p>
    <w:p w14:paraId="08613EF2" w14:textId="77777777" w:rsidR="00084F36" w:rsidRPr="00EB2BD8" w:rsidRDefault="00084F36">
      <w:pPr>
        <w:pStyle w:val="BodyText"/>
        <w:rPr>
          <w:rFonts w:ascii="Arial"/>
          <w:sz w:val="20"/>
        </w:rPr>
      </w:pPr>
    </w:p>
    <w:p w14:paraId="15B87B25" w14:textId="77777777" w:rsidR="00084F36" w:rsidRPr="00EB2BD8" w:rsidRDefault="00084F36">
      <w:pPr>
        <w:pStyle w:val="BodyText"/>
        <w:rPr>
          <w:rFonts w:ascii="Arial"/>
          <w:sz w:val="20"/>
        </w:rPr>
      </w:pPr>
    </w:p>
    <w:p w14:paraId="6158FAE1" w14:textId="77777777" w:rsidR="00084F36" w:rsidRPr="00EB2BD8" w:rsidRDefault="00084F36">
      <w:pPr>
        <w:pStyle w:val="BodyText"/>
        <w:rPr>
          <w:rFonts w:ascii="Arial"/>
          <w:sz w:val="20"/>
        </w:rPr>
      </w:pPr>
    </w:p>
    <w:p w14:paraId="2D9D6BAC" w14:textId="77777777" w:rsidR="00084F36" w:rsidRPr="00EB2BD8" w:rsidRDefault="00084F36">
      <w:pPr>
        <w:pStyle w:val="BodyText"/>
        <w:rPr>
          <w:rFonts w:ascii="Arial"/>
          <w:sz w:val="20"/>
        </w:rPr>
      </w:pPr>
    </w:p>
    <w:p w14:paraId="0E0CAC46" w14:textId="2C14C7ED" w:rsidR="00084F36" w:rsidRPr="00EB2BD8" w:rsidRDefault="0080190C" w:rsidP="0080190C">
      <w:pPr>
        <w:tabs>
          <w:tab w:val="left" w:pos="1906"/>
        </w:tabs>
        <w:rPr>
          <w:b/>
          <w:sz w:val="16"/>
        </w:rPr>
      </w:pPr>
      <w:r>
        <w:rPr>
          <w:spacing w:val="-5"/>
          <w:sz w:val="16"/>
        </w:rPr>
        <w:t xml:space="preserve">                  </w:t>
      </w:r>
      <w:r w:rsidR="00EB2BD8" w:rsidRPr="00EB2BD8">
        <w:rPr>
          <w:sz w:val="16"/>
        </w:rPr>
        <w:tab/>
      </w:r>
    </w:p>
    <w:p w14:paraId="1739A364" w14:textId="77777777" w:rsidR="00084F36" w:rsidRPr="00EB2BD8" w:rsidRDefault="00084F36">
      <w:pPr>
        <w:rPr>
          <w:sz w:val="16"/>
        </w:rPr>
        <w:sectPr w:rsidR="00084F36" w:rsidRPr="00EB2BD8" w:rsidSect="006D75B2">
          <w:type w:val="continuous"/>
          <w:pgSz w:w="11910" w:h="16840"/>
          <w:pgMar w:top="1920" w:right="0" w:bottom="280" w:left="0" w:header="0" w:footer="0" w:gutter="0"/>
          <w:cols w:space="720"/>
        </w:sectPr>
      </w:pPr>
    </w:p>
    <w:p w14:paraId="7AEE0EEA" w14:textId="77777777" w:rsidR="00084F36" w:rsidRPr="00EB2BD8" w:rsidRDefault="00084F36">
      <w:pPr>
        <w:pStyle w:val="BodyText"/>
        <w:rPr>
          <w:sz w:val="20"/>
        </w:rPr>
      </w:pPr>
    </w:p>
    <w:p w14:paraId="19BF1262" w14:textId="77777777" w:rsidR="00084F36" w:rsidRPr="00EB2BD8" w:rsidRDefault="00084F36">
      <w:pPr>
        <w:pStyle w:val="BodyText"/>
        <w:rPr>
          <w:sz w:val="20"/>
        </w:rPr>
      </w:pPr>
    </w:p>
    <w:p w14:paraId="5230F851" w14:textId="77777777" w:rsidR="00084F36" w:rsidRPr="00EB2BD8" w:rsidRDefault="00084F36">
      <w:pPr>
        <w:pStyle w:val="BodyText"/>
        <w:rPr>
          <w:sz w:val="20"/>
        </w:rPr>
      </w:pPr>
    </w:p>
    <w:p w14:paraId="3BB3168A" w14:textId="77777777" w:rsidR="00084F36" w:rsidRPr="00EB2BD8" w:rsidRDefault="00084F36">
      <w:pPr>
        <w:pStyle w:val="BodyText"/>
        <w:rPr>
          <w:sz w:val="20"/>
        </w:rPr>
      </w:pPr>
    </w:p>
    <w:p w14:paraId="6074812D" w14:textId="77777777" w:rsidR="00084F36" w:rsidRPr="00EB2BD8" w:rsidRDefault="00084F36">
      <w:pPr>
        <w:pStyle w:val="BodyText"/>
        <w:rPr>
          <w:sz w:val="20"/>
        </w:rPr>
      </w:pPr>
    </w:p>
    <w:p w14:paraId="708C7B67" w14:textId="77777777" w:rsidR="00084F36" w:rsidRPr="00EB2BD8" w:rsidRDefault="00084F36">
      <w:pPr>
        <w:pStyle w:val="BodyText"/>
        <w:spacing w:before="6"/>
        <w:rPr>
          <w:sz w:val="27"/>
        </w:rPr>
      </w:pPr>
    </w:p>
    <w:p w14:paraId="58671960" w14:textId="7F3E8410" w:rsidR="00084F36" w:rsidRPr="00EB2BD8" w:rsidRDefault="00462776" w:rsidP="004D7D83">
      <w:pPr>
        <w:pStyle w:val="Heading2"/>
        <w:ind w:firstLine="146"/>
      </w:pPr>
      <w:bookmarkStart w:id="279" w:name="_Toc150762581"/>
      <w:r>
        <w:t>3.1.</w:t>
      </w:r>
      <w:r w:rsidR="004D7D83">
        <w:t>2</w:t>
      </w:r>
      <w:r>
        <w:t xml:space="preserve"> </w:t>
      </w:r>
      <w:r w:rsidR="00EB2BD8" w:rsidRPr="00EB2BD8">
        <w:t>Superannuation</w:t>
      </w:r>
      <w:r w:rsidR="00EB2BD8" w:rsidRPr="00EB2BD8">
        <w:rPr>
          <w:spacing w:val="29"/>
        </w:rPr>
        <w:t xml:space="preserve"> </w:t>
      </w:r>
      <w:r w:rsidR="00EB2BD8" w:rsidRPr="00EB2BD8">
        <w:rPr>
          <w:spacing w:val="-2"/>
        </w:rPr>
        <w:t>contributions</w:t>
      </w:r>
      <w:bookmarkEnd w:id="279"/>
    </w:p>
    <w:p w14:paraId="06455491" w14:textId="77777777" w:rsidR="00084F36" w:rsidRPr="00EB2BD8" w:rsidRDefault="00084F36">
      <w:pPr>
        <w:pStyle w:val="BodyText"/>
        <w:spacing w:before="10"/>
        <w:rPr>
          <w:rFonts w:ascii="Arial"/>
          <w:b/>
          <w:sz w:val="32"/>
        </w:rPr>
      </w:pPr>
    </w:p>
    <w:p w14:paraId="2CC9E63D" w14:textId="77777777" w:rsidR="00084F36" w:rsidRPr="00EB2BD8" w:rsidRDefault="00EB2BD8">
      <w:pPr>
        <w:spacing w:line="288" w:lineRule="auto"/>
        <w:ind w:left="996" w:right="1761"/>
        <w:rPr>
          <w:rFonts w:ascii="Arial"/>
          <w:sz w:val="16"/>
        </w:rPr>
      </w:pPr>
      <w:r w:rsidRPr="00EB2BD8">
        <w:rPr>
          <w:rFonts w:ascii="Arial"/>
          <w:w w:val="105"/>
          <w:sz w:val="16"/>
        </w:rPr>
        <w:t>Employees of the VBA are entitled to receive superannuation benefits and the VBA contributes to both defined benefit and defined</w:t>
      </w:r>
      <w:r w:rsidRPr="00EB2BD8">
        <w:rPr>
          <w:rFonts w:ascii="Arial"/>
          <w:spacing w:val="-3"/>
          <w:w w:val="105"/>
          <w:sz w:val="16"/>
        </w:rPr>
        <w:t xml:space="preserve"> </w:t>
      </w:r>
      <w:r w:rsidRPr="00EB2BD8">
        <w:rPr>
          <w:rFonts w:ascii="Arial"/>
          <w:w w:val="105"/>
          <w:sz w:val="16"/>
        </w:rPr>
        <w:t>contribution</w:t>
      </w:r>
      <w:r w:rsidRPr="00EB2BD8">
        <w:rPr>
          <w:rFonts w:ascii="Arial"/>
          <w:spacing w:val="-3"/>
          <w:w w:val="105"/>
          <w:sz w:val="16"/>
        </w:rPr>
        <w:t xml:space="preserve"> </w:t>
      </w:r>
      <w:r w:rsidRPr="00EB2BD8">
        <w:rPr>
          <w:rFonts w:ascii="Arial"/>
          <w:w w:val="105"/>
          <w:sz w:val="16"/>
        </w:rPr>
        <w:t>plans.</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defined</w:t>
      </w:r>
      <w:r w:rsidRPr="00EB2BD8">
        <w:rPr>
          <w:rFonts w:ascii="Arial"/>
          <w:spacing w:val="-3"/>
          <w:w w:val="105"/>
          <w:sz w:val="16"/>
        </w:rPr>
        <w:t xml:space="preserve"> </w:t>
      </w:r>
      <w:r w:rsidRPr="00EB2BD8">
        <w:rPr>
          <w:rFonts w:ascii="Arial"/>
          <w:w w:val="105"/>
          <w:sz w:val="16"/>
        </w:rPr>
        <w:t>benefit</w:t>
      </w:r>
      <w:r w:rsidRPr="00EB2BD8">
        <w:rPr>
          <w:rFonts w:ascii="Arial"/>
          <w:spacing w:val="-3"/>
          <w:w w:val="105"/>
          <w:sz w:val="16"/>
        </w:rPr>
        <w:t xml:space="preserve"> </w:t>
      </w:r>
      <w:r w:rsidRPr="00EB2BD8">
        <w:rPr>
          <w:rFonts w:ascii="Arial"/>
          <w:w w:val="105"/>
          <w:sz w:val="16"/>
        </w:rPr>
        <w:t>plan(s)</w:t>
      </w:r>
      <w:r w:rsidRPr="00EB2BD8">
        <w:rPr>
          <w:rFonts w:ascii="Arial"/>
          <w:spacing w:val="-2"/>
          <w:w w:val="105"/>
          <w:sz w:val="16"/>
        </w:rPr>
        <w:t xml:space="preserve"> </w:t>
      </w:r>
      <w:r w:rsidRPr="00EB2BD8">
        <w:rPr>
          <w:rFonts w:ascii="Arial"/>
          <w:w w:val="105"/>
          <w:sz w:val="16"/>
        </w:rPr>
        <w:t>provides</w:t>
      </w:r>
      <w:r w:rsidRPr="00EB2BD8">
        <w:rPr>
          <w:rFonts w:ascii="Arial"/>
          <w:spacing w:val="-3"/>
          <w:w w:val="105"/>
          <w:sz w:val="16"/>
        </w:rPr>
        <w:t xml:space="preserve"> </w:t>
      </w:r>
      <w:r w:rsidRPr="00EB2BD8">
        <w:rPr>
          <w:rFonts w:ascii="Arial"/>
          <w:w w:val="105"/>
          <w:sz w:val="16"/>
        </w:rPr>
        <w:t>benefits</w:t>
      </w:r>
      <w:r w:rsidRPr="00EB2BD8">
        <w:rPr>
          <w:rFonts w:ascii="Arial"/>
          <w:spacing w:val="-3"/>
          <w:w w:val="105"/>
          <w:sz w:val="16"/>
        </w:rPr>
        <w:t xml:space="preserve"> </w:t>
      </w:r>
      <w:r w:rsidRPr="00EB2BD8">
        <w:rPr>
          <w:rFonts w:ascii="Arial"/>
          <w:w w:val="105"/>
          <w:sz w:val="16"/>
        </w:rPr>
        <w:t>based</w:t>
      </w:r>
      <w:r w:rsidRPr="00EB2BD8">
        <w:rPr>
          <w:rFonts w:ascii="Arial"/>
          <w:spacing w:val="-3"/>
          <w:w w:val="105"/>
          <w:sz w:val="16"/>
        </w:rPr>
        <w:t xml:space="preserve"> </w:t>
      </w:r>
      <w:r w:rsidRPr="00EB2BD8">
        <w:rPr>
          <w:rFonts w:ascii="Arial"/>
          <w:w w:val="105"/>
          <w:sz w:val="16"/>
        </w:rPr>
        <w:t>on</w:t>
      </w:r>
      <w:r w:rsidRPr="00EB2BD8">
        <w:rPr>
          <w:rFonts w:ascii="Arial"/>
          <w:spacing w:val="-3"/>
          <w:w w:val="105"/>
          <w:sz w:val="16"/>
        </w:rPr>
        <w:t xml:space="preserve"> </w:t>
      </w:r>
      <w:r w:rsidRPr="00EB2BD8">
        <w:rPr>
          <w:rFonts w:ascii="Arial"/>
          <w:w w:val="105"/>
          <w:sz w:val="16"/>
        </w:rPr>
        <w:t>years</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service</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final</w:t>
      </w:r>
      <w:r w:rsidRPr="00EB2BD8">
        <w:rPr>
          <w:rFonts w:ascii="Arial"/>
          <w:spacing w:val="-3"/>
          <w:w w:val="105"/>
          <w:sz w:val="16"/>
        </w:rPr>
        <w:t xml:space="preserve"> </w:t>
      </w:r>
      <w:r w:rsidRPr="00EB2BD8">
        <w:rPr>
          <w:rFonts w:ascii="Arial"/>
          <w:w w:val="105"/>
          <w:sz w:val="16"/>
        </w:rPr>
        <w:t>average</w:t>
      </w:r>
      <w:r w:rsidRPr="00EB2BD8">
        <w:rPr>
          <w:rFonts w:ascii="Arial"/>
          <w:spacing w:val="-3"/>
          <w:w w:val="105"/>
          <w:sz w:val="16"/>
        </w:rPr>
        <w:t xml:space="preserve"> </w:t>
      </w:r>
      <w:r w:rsidRPr="00EB2BD8">
        <w:rPr>
          <w:rFonts w:ascii="Arial"/>
          <w:w w:val="105"/>
          <w:sz w:val="16"/>
        </w:rPr>
        <w:t>salary.</w:t>
      </w:r>
    </w:p>
    <w:p w14:paraId="58928867" w14:textId="77777777" w:rsidR="00084F36" w:rsidRPr="00EB2BD8" w:rsidRDefault="00084F36">
      <w:pPr>
        <w:pStyle w:val="BodyText"/>
        <w:spacing w:before="9"/>
        <w:rPr>
          <w:rFonts w:ascii="Arial"/>
          <w:sz w:val="24"/>
        </w:rPr>
      </w:pPr>
    </w:p>
    <w:p w14:paraId="0887B3E2" w14:textId="77777777" w:rsidR="00084F36" w:rsidRPr="00EB2BD8" w:rsidRDefault="00EB2BD8">
      <w:pPr>
        <w:spacing w:after="56"/>
        <w:ind w:right="1883"/>
        <w:jc w:val="right"/>
        <w:rPr>
          <w:rFonts w:ascii="Arial" w:hAnsi="Arial"/>
          <w:sz w:val="16"/>
        </w:rPr>
      </w:pPr>
      <w:r w:rsidRPr="00EB2BD8">
        <w:rPr>
          <w:rFonts w:ascii="Arial" w:hAnsi="Arial"/>
          <w:spacing w:val="-2"/>
          <w:w w:val="105"/>
          <w:sz w:val="16"/>
        </w:rPr>
        <w:t>($’000)</w:t>
      </w:r>
    </w:p>
    <w:tbl>
      <w:tblPr>
        <w:tblW w:w="0" w:type="auto"/>
        <w:tblInd w:w="1004" w:type="dxa"/>
        <w:tblLayout w:type="fixed"/>
        <w:tblCellMar>
          <w:left w:w="0" w:type="dxa"/>
          <w:right w:w="0" w:type="dxa"/>
        </w:tblCellMar>
        <w:tblLook w:val="01E0" w:firstRow="1" w:lastRow="1" w:firstColumn="1" w:lastColumn="1" w:noHBand="0" w:noVBand="0"/>
      </w:tblPr>
      <w:tblGrid>
        <w:gridCol w:w="4629"/>
        <w:gridCol w:w="1189"/>
        <w:gridCol w:w="1323"/>
        <w:gridCol w:w="1058"/>
        <w:gridCol w:w="926"/>
      </w:tblGrid>
      <w:tr w:rsidR="00EB2BD8" w:rsidRPr="00EB2BD8" w14:paraId="282438FD" w14:textId="77777777">
        <w:trPr>
          <w:trHeight w:val="802"/>
        </w:trPr>
        <w:tc>
          <w:tcPr>
            <w:tcW w:w="9125" w:type="dxa"/>
            <w:gridSpan w:val="5"/>
            <w:tcBorders>
              <w:top w:val="single" w:sz="4" w:space="0" w:color="00B0F0"/>
              <w:left w:val="single" w:sz="4" w:space="0" w:color="00B0F0"/>
              <w:bottom w:val="single" w:sz="4" w:space="0" w:color="00B0F0"/>
              <w:right w:val="single" w:sz="4" w:space="0" w:color="00B0F0"/>
            </w:tcBorders>
            <w:shd w:val="clear" w:color="auto" w:fill="0070C0"/>
          </w:tcPr>
          <w:p w14:paraId="590C9E1F" w14:textId="77777777" w:rsidR="00084F36" w:rsidRPr="00EB2BD8" w:rsidRDefault="00EB2BD8">
            <w:pPr>
              <w:pStyle w:val="TableParagraph"/>
              <w:tabs>
                <w:tab w:val="left" w:pos="7329"/>
                <w:tab w:val="left" w:pos="7628"/>
              </w:tabs>
              <w:spacing w:before="8" w:line="288" w:lineRule="auto"/>
              <w:ind w:left="5711" w:right="180" w:hanging="803"/>
              <w:rPr>
                <w:rFonts w:ascii="Arial"/>
                <w:b/>
                <w:sz w:val="16"/>
              </w:rPr>
            </w:pPr>
            <w:r w:rsidRPr="00EB2BD8">
              <w:rPr>
                <w:rFonts w:ascii="Arial"/>
                <w:b/>
                <w:w w:val="105"/>
                <w:sz w:val="16"/>
              </w:rPr>
              <w:t>Paid contribution for the</w:t>
            </w:r>
            <w:r w:rsidRPr="00EB2BD8">
              <w:rPr>
                <w:rFonts w:ascii="Arial"/>
                <w:b/>
                <w:sz w:val="16"/>
              </w:rPr>
              <w:tab/>
            </w:r>
            <w:r w:rsidRPr="00EB2BD8">
              <w:rPr>
                <w:rFonts w:ascii="Arial"/>
                <w:b/>
                <w:sz w:val="16"/>
              </w:rPr>
              <w:tab/>
            </w:r>
            <w:r w:rsidRPr="00EB2BD8">
              <w:rPr>
                <w:rFonts w:ascii="Arial"/>
                <w:b/>
                <w:spacing w:val="-2"/>
                <w:w w:val="105"/>
                <w:sz w:val="16"/>
              </w:rPr>
              <w:t xml:space="preserve">Contribution </w:t>
            </w:r>
            <w:r w:rsidRPr="00EB2BD8">
              <w:rPr>
                <w:rFonts w:ascii="Arial"/>
                <w:b/>
                <w:spacing w:val="-4"/>
                <w:w w:val="105"/>
                <w:sz w:val="16"/>
              </w:rPr>
              <w:t>year</w:t>
            </w:r>
            <w:r w:rsidRPr="00EB2BD8">
              <w:rPr>
                <w:rFonts w:ascii="Arial"/>
                <w:b/>
                <w:sz w:val="16"/>
              </w:rPr>
              <w:tab/>
            </w:r>
            <w:r w:rsidRPr="00EB2BD8">
              <w:rPr>
                <w:rFonts w:ascii="Arial"/>
                <w:b/>
                <w:w w:val="105"/>
                <w:sz w:val="16"/>
              </w:rPr>
              <w:t>outstanding</w:t>
            </w:r>
            <w:r w:rsidRPr="00EB2BD8">
              <w:rPr>
                <w:rFonts w:ascii="Arial"/>
                <w:b/>
                <w:spacing w:val="-12"/>
                <w:w w:val="105"/>
                <w:sz w:val="16"/>
              </w:rPr>
              <w:t xml:space="preserve"> </w:t>
            </w:r>
            <w:r w:rsidRPr="00EB2BD8">
              <w:rPr>
                <w:rFonts w:ascii="Arial"/>
                <w:b/>
                <w:w w:val="105"/>
                <w:sz w:val="16"/>
              </w:rPr>
              <w:t>at</w:t>
            </w:r>
            <w:r w:rsidRPr="00EB2BD8">
              <w:rPr>
                <w:rFonts w:ascii="Arial"/>
                <w:b/>
                <w:spacing w:val="-12"/>
                <w:w w:val="105"/>
                <w:sz w:val="16"/>
              </w:rPr>
              <w:t xml:space="preserve"> </w:t>
            </w:r>
            <w:r w:rsidRPr="00EB2BD8">
              <w:rPr>
                <w:rFonts w:ascii="Arial"/>
                <w:b/>
                <w:w w:val="105"/>
                <w:sz w:val="16"/>
              </w:rPr>
              <w:t>year-</w:t>
            </w:r>
          </w:p>
          <w:p w14:paraId="541AEDDE" w14:textId="77777777" w:rsidR="00084F36" w:rsidRPr="00EB2BD8" w:rsidRDefault="00EB2BD8">
            <w:pPr>
              <w:pStyle w:val="TableParagraph"/>
              <w:tabs>
                <w:tab w:val="left" w:pos="6618"/>
                <w:tab w:val="left" w:pos="7722"/>
                <w:tab w:val="left" w:pos="8648"/>
              </w:tabs>
              <w:spacing w:before="90"/>
              <w:ind w:left="5343"/>
              <w:rPr>
                <w:rFonts w:ascii="Arial"/>
                <w:b/>
                <w:sz w:val="16"/>
              </w:rPr>
            </w:pPr>
            <w:r w:rsidRPr="00EB2BD8">
              <w:rPr>
                <w:rFonts w:ascii="Arial"/>
                <w:b/>
                <w:spacing w:val="-4"/>
                <w:w w:val="105"/>
                <w:sz w:val="16"/>
              </w:rPr>
              <w:t>2023</w:t>
            </w:r>
            <w:r w:rsidRPr="00EB2BD8">
              <w:rPr>
                <w:rFonts w:ascii="Arial"/>
                <w:b/>
                <w:sz w:val="16"/>
              </w:rPr>
              <w:tab/>
            </w:r>
            <w:r w:rsidRPr="00EB2BD8">
              <w:rPr>
                <w:rFonts w:ascii="Arial"/>
                <w:b/>
                <w:spacing w:val="-4"/>
                <w:w w:val="105"/>
                <w:position w:val="1"/>
                <w:sz w:val="16"/>
              </w:rPr>
              <w:t>2022</w:t>
            </w:r>
            <w:r w:rsidRPr="00EB2BD8">
              <w:rPr>
                <w:rFonts w:ascii="Arial"/>
                <w:b/>
                <w:position w:val="1"/>
                <w:sz w:val="16"/>
              </w:rPr>
              <w:tab/>
            </w:r>
            <w:r w:rsidRPr="00EB2BD8">
              <w:rPr>
                <w:rFonts w:ascii="Arial"/>
                <w:b/>
                <w:spacing w:val="-4"/>
                <w:w w:val="105"/>
                <w:position w:val="1"/>
                <w:sz w:val="16"/>
              </w:rPr>
              <w:t>2023</w:t>
            </w:r>
            <w:r w:rsidRPr="00EB2BD8">
              <w:rPr>
                <w:rFonts w:ascii="Arial"/>
                <w:b/>
                <w:position w:val="1"/>
                <w:sz w:val="16"/>
              </w:rPr>
              <w:tab/>
            </w:r>
            <w:r w:rsidRPr="00EB2BD8">
              <w:rPr>
                <w:rFonts w:ascii="Arial"/>
                <w:b/>
                <w:spacing w:val="-4"/>
                <w:w w:val="105"/>
                <w:position w:val="1"/>
                <w:sz w:val="16"/>
              </w:rPr>
              <w:t>2022</w:t>
            </w:r>
          </w:p>
        </w:tc>
      </w:tr>
      <w:tr w:rsidR="00EB2BD8" w:rsidRPr="00EB2BD8" w14:paraId="1202068B" w14:textId="77777777">
        <w:trPr>
          <w:trHeight w:val="298"/>
        </w:trPr>
        <w:tc>
          <w:tcPr>
            <w:tcW w:w="4629" w:type="dxa"/>
            <w:tcBorders>
              <w:top w:val="single" w:sz="4" w:space="0" w:color="00B0F0"/>
            </w:tcBorders>
            <w:shd w:val="clear" w:color="auto" w:fill="FFFFFF"/>
          </w:tcPr>
          <w:p w14:paraId="10AB0580" w14:textId="77777777" w:rsidR="00084F36" w:rsidRPr="00EB2BD8" w:rsidRDefault="00EB2BD8">
            <w:pPr>
              <w:pStyle w:val="TableParagraph"/>
              <w:spacing w:before="38"/>
              <w:ind w:left="105"/>
              <w:rPr>
                <w:rFonts w:ascii="Arial"/>
                <w:b/>
                <w:sz w:val="16"/>
              </w:rPr>
            </w:pPr>
            <w:r w:rsidRPr="00EB2BD8">
              <w:rPr>
                <w:rFonts w:ascii="Arial"/>
                <w:b/>
                <w:w w:val="105"/>
                <w:sz w:val="16"/>
              </w:rPr>
              <w:t>Defined</w:t>
            </w:r>
            <w:r w:rsidRPr="00EB2BD8">
              <w:rPr>
                <w:rFonts w:ascii="Arial"/>
                <w:b/>
                <w:spacing w:val="-8"/>
                <w:w w:val="105"/>
                <w:sz w:val="16"/>
              </w:rPr>
              <w:t xml:space="preserve"> </w:t>
            </w:r>
            <w:r w:rsidRPr="00EB2BD8">
              <w:rPr>
                <w:rFonts w:ascii="Arial"/>
                <w:b/>
                <w:w w:val="105"/>
                <w:sz w:val="16"/>
              </w:rPr>
              <w:t>benefit</w:t>
            </w:r>
            <w:r w:rsidRPr="00EB2BD8">
              <w:rPr>
                <w:rFonts w:ascii="Arial"/>
                <w:b/>
                <w:spacing w:val="-7"/>
                <w:w w:val="105"/>
                <w:sz w:val="16"/>
              </w:rPr>
              <w:t xml:space="preserve"> </w:t>
            </w:r>
            <w:r w:rsidRPr="00EB2BD8">
              <w:rPr>
                <w:rFonts w:ascii="Arial"/>
                <w:b/>
                <w:w w:val="105"/>
                <w:sz w:val="16"/>
              </w:rPr>
              <w:t>plans</w:t>
            </w:r>
            <w:r w:rsidRPr="00EB2BD8">
              <w:rPr>
                <w:rFonts w:ascii="Arial"/>
                <w:b/>
                <w:spacing w:val="-7"/>
                <w:w w:val="105"/>
                <w:sz w:val="16"/>
              </w:rPr>
              <w:t xml:space="preserve"> </w:t>
            </w:r>
            <w:r w:rsidRPr="00EB2BD8">
              <w:rPr>
                <w:rFonts w:ascii="Arial"/>
                <w:b/>
                <w:spacing w:val="-4"/>
                <w:w w:val="105"/>
                <w:position w:val="6"/>
                <w:sz w:val="11"/>
              </w:rPr>
              <w:t>(a)</w:t>
            </w:r>
            <w:r w:rsidRPr="00EB2BD8">
              <w:rPr>
                <w:rFonts w:ascii="Arial"/>
                <w:b/>
                <w:spacing w:val="-4"/>
                <w:w w:val="105"/>
                <w:sz w:val="16"/>
              </w:rPr>
              <w:t>:</w:t>
            </w:r>
          </w:p>
        </w:tc>
        <w:tc>
          <w:tcPr>
            <w:tcW w:w="1189" w:type="dxa"/>
            <w:tcBorders>
              <w:top w:val="single" w:sz="4" w:space="0" w:color="00B0F0"/>
            </w:tcBorders>
            <w:shd w:val="clear" w:color="auto" w:fill="DEEAF6"/>
          </w:tcPr>
          <w:p w14:paraId="0BFEACD6" w14:textId="77777777" w:rsidR="00084F36" w:rsidRPr="00EB2BD8" w:rsidRDefault="00084F36">
            <w:pPr>
              <w:pStyle w:val="TableParagraph"/>
              <w:rPr>
                <w:rFonts w:ascii="Times New Roman"/>
                <w:sz w:val="16"/>
              </w:rPr>
            </w:pPr>
          </w:p>
        </w:tc>
        <w:tc>
          <w:tcPr>
            <w:tcW w:w="1323" w:type="dxa"/>
            <w:tcBorders>
              <w:top w:val="single" w:sz="4" w:space="0" w:color="00B0F0"/>
            </w:tcBorders>
            <w:shd w:val="clear" w:color="auto" w:fill="FFFFFF"/>
          </w:tcPr>
          <w:p w14:paraId="44393D19" w14:textId="77777777" w:rsidR="00084F36" w:rsidRPr="00EB2BD8" w:rsidRDefault="00084F36">
            <w:pPr>
              <w:pStyle w:val="TableParagraph"/>
              <w:rPr>
                <w:rFonts w:ascii="Times New Roman"/>
                <w:sz w:val="16"/>
              </w:rPr>
            </w:pPr>
          </w:p>
        </w:tc>
        <w:tc>
          <w:tcPr>
            <w:tcW w:w="1058" w:type="dxa"/>
            <w:tcBorders>
              <w:top w:val="single" w:sz="4" w:space="0" w:color="00B0F0"/>
            </w:tcBorders>
            <w:shd w:val="clear" w:color="auto" w:fill="DEEAF6"/>
          </w:tcPr>
          <w:p w14:paraId="62E9BA20" w14:textId="77777777" w:rsidR="00084F36" w:rsidRPr="00EB2BD8" w:rsidRDefault="00084F36">
            <w:pPr>
              <w:pStyle w:val="TableParagraph"/>
              <w:rPr>
                <w:rFonts w:ascii="Times New Roman"/>
                <w:sz w:val="16"/>
              </w:rPr>
            </w:pPr>
          </w:p>
        </w:tc>
        <w:tc>
          <w:tcPr>
            <w:tcW w:w="926" w:type="dxa"/>
            <w:tcBorders>
              <w:top w:val="single" w:sz="4" w:space="0" w:color="00B0F0"/>
            </w:tcBorders>
            <w:shd w:val="clear" w:color="auto" w:fill="FFFFFF"/>
          </w:tcPr>
          <w:p w14:paraId="3B9659DB" w14:textId="77777777" w:rsidR="00084F36" w:rsidRPr="00EB2BD8" w:rsidRDefault="00084F36">
            <w:pPr>
              <w:pStyle w:val="TableParagraph"/>
              <w:rPr>
                <w:rFonts w:ascii="Times New Roman"/>
                <w:sz w:val="16"/>
              </w:rPr>
            </w:pPr>
          </w:p>
        </w:tc>
      </w:tr>
      <w:tr w:rsidR="00EB2BD8" w:rsidRPr="00EB2BD8" w14:paraId="7B4D8ED0" w14:textId="77777777">
        <w:trPr>
          <w:trHeight w:val="318"/>
        </w:trPr>
        <w:tc>
          <w:tcPr>
            <w:tcW w:w="4629" w:type="dxa"/>
            <w:shd w:val="clear" w:color="auto" w:fill="FFFFFF"/>
          </w:tcPr>
          <w:p w14:paraId="72C1D01E" w14:textId="77777777" w:rsidR="00084F36" w:rsidRPr="00EB2BD8" w:rsidRDefault="00EB2BD8">
            <w:pPr>
              <w:pStyle w:val="TableParagraph"/>
              <w:spacing w:before="64"/>
              <w:ind w:left="105"/>
              <w:rPr>
                <w:rFonts w:ascii="Arial"/>
                <w:sz w:val="16"/>
              </w:rPr>
            </w:pPr>
            <w:r w:rsidRPr="00EB2BD8">
              <w:rPr>
                <w:rFonts w:ascii="Arial"/>
                <w:spacing w:val="-2"/>
                <w:w w:val="105"/>
                <w:sz w:val="16"/>
              </w:rPr>
              <w:t>State</w:t>
            </w:r>
            <w:r w:rsidRPr="00EB2BD8">
              <w:rPr>
                <w:rFonts w:ascii="Arial"/>
                <w:spacing w:val="6"/>
                <w:w w:val="105"/>
                <w:sz w:val="16"/>
              </w:rPr>
              <w:t xml:space="preserve"> </w:t>
            </w:r>
            <w:r w:rsidRPr="00EB2BD8">
              <w:rPr>
                <w:rFonts w:ascii="Arial"/>
                <w:spacing w:val="-2"/>
                <w:w w:val="105"/>
                <w:sz w:val="16"/>
              </w:rPr>
              <w:t>Superannuation</w:t>
            </w:r>
            <w:r w:rsidRPr="00EB2BD8">
              <w:rPr>
                <w:rFonts w:ascii="Arial"/>
                <w:spacing w:val="6"/>
                <w:w w:val="105"/>
                <w:sz w:val="16"/>
              </w:rPr>
              <w:t xml:space="preserve"> </w:t>
            </w:r>
            <w:r w:rsidRPr="00EB2BD8">
              <w:rPr>
                <w:rFonts w:ascii="Arial"/>
                <w:spacing w:val="-4"/>
                <w:w w:val="105"/>
                <w:sz w:val="16"/>
              </w:rPr>
              <w:t>Fund</w:t>
            </w:r>
          </w:p>
        </w:tc>
        <w:tc>
          <w:tcPr>
            <w:tcW w:w="1189" w:type="dxa"/>
            <w:shd w:val="clear" w:color="auto" w:fill="DEEAF6"/>
          </w:tcPr>
          <w:p w14:paraId="105A15FF" w14:textId="77777777" w:rsidR="00084F36" w:rsidRPr="00EB2BD8" w:rsidRDefault="00EB2BD8">
            <w:pPr>
              <w:pStyle w:val="TableParagraph"/>
              <w:spacing w:before="72"/>
              <w:ind w:right="95"/>
              <w:jc w:val="right"/>
              <w:rPr>
                <w:rFonts w:ascii="Arial"/>
                <w:sz w:val="16"/>
              </w:rPr>
            </w:pPr>
            <w:r w:rsidRPr="00EB2BD8">
              <w:rPr>
                <w:rFonts w:ascii="Arial"/>
                <w:spacing w:val="-5"/>
                <w:w w:val="105"/>
                <w:sz w:val="16"/>
              </w:rPr>
              <w:t>32</w:t>
            </w:r>
          </w:p>
        </w:tc>
        <w:tc>
          <w:tcPr>
            <w:tcW w:w="1323" w:type="dxa"/>
            <w:shd w:val="clear" w:color="auto" w:fill="FFFFFF"/>
          </w:tcPr>
          <w:p w14:paraId="6B0A9E4B" w14:textId="77777777" w:rsidR="00084F36" w:rsidRPr="00EB2BD8" w:rsidRDefault="00EB2BD8">
            <w:pPr>
              <w:pStyle w:val="TableParagraph"/>
              <w:spacing w:before="64"/>
              <w:ind w:left="853"/>
              <w:rPr>
                <w:rFonts w:ascii="Arial"/>
                <w:sz w:val="16"/>
              </w:rPr>
            </w:pPr>
            <w:r w:rsidRPr="00EB2BD8">
              <w:rPr>
                <w:rFonts w:ascii="Arial"/>
                <w:spacing w:val="-5"/>
                <w:w w:val="105"/>
                <w:sz w:val="16"/>
              </w:rPr>
              <w:t>31</w:t>
            </w:r>
          </w:p>
        </w:tc>
        <w:tc>
          <w:tcPr>
            <w:tcW w:w="1058" w:type="dxa"/>
            <w:shd w:val="clear" w:color="auto" w:fill="DEEAF6"/>
          </w:tcPr>
          <w:p w14:paraId="1167881A" w14:textId="77777777" w:rsidR="00084F36" w:rsidRPr="00EB2BD8" w:rsidRDefault="00EB2BD8">
            <w:pPr>
              <w:pStyle w:val="TableParagraph"/>
              <w:spacing w:before="64"/>
              <w:ind w:right="95"/>
              <w:jc w:val="right"/>
              <w:rPr>
                <w:rFonts w:ascii="Arial"/>
                <w:sz w:val="16"/>
              </w:rPr>
            </w:pPr>
            <w:r w:rsidRPr="00EB2BD8">
              <w:rPr>
                <w:rFonts w:ascii="Arial"/>
                <w:w w:val="104"/>
                <w:sz w:val="16"/>
              </w:rPr>
              <w:t>2</w:t>
            </w:r>
          </w:p>
        </w:tc>
        <w:tc>
          <w:tcPr>
            <w:tcW w:w="926" w:type="dxa"/>
            <w:shd w:val="clear" w:color="auto" w:fill="FFFFFF"/>
          </w:tcPr>
          <w:p w14:paraId="4BDD13CD" w14:textId="77777777" w:rsidR="00084F36" w:rsidRPr="00EB2BD8" w:rsidRDefault="00EB2BD8">
            <w:pPr>
              <w:pStyle w:val="TableParagraph"/>
              <w:spacing w:before="64"/>
              <w:ind w:right="95"/>
              <w:jc w:val="right"/>
              <w:rPr>
                <w:rFonts w:ascii="Arial"/>
                <w:sz w:val="16"/>
              </w:rPr>
            </w:pPr>
            <w:r w:rsidRPr="00EB2BD8">
              <w:rPr>
                <w:rFonts w:ascii="Arial"/>
                <w:w w:val="104"/>
                <w:sz w:val="16"/>
              </w:rPr>
              <w:t>2</w:t>
            </w:r>
          </w:p>
        </w:tc>
      </w:tr>
      <w:tr w:rsidR="00EB2BD8" w:rsidRPr="00EB2BD8" w14:paraId="726924C1" w14:textId="77777777">
        <w:trPr>
          <w:trHeight w:val="313"/>
        </w:trPr>
        <w:tc>
          <w:tcPr>
            <w:tcW w:w="4629" w:type="dxa"/>
            <w:shd w:val="clear" w:color="auto" w:fill="FFFFFF"/>
          </w:tcPr>
          <w:p w14:paraId="696CBE9E" w14:textId="77777777" w:rsidR="00084F36" w:rsidRPr="00EB2BD8" w:rsidRDefault="00EB2BD8">
            <w:pPr>
              <w:pStyle w:val="TableParagraph"/>
              <w:spacing w:before="62"/>
              <w:ind w:left="105"/>
              <w:rPr>
                <w:rFonts w:ascii="Arial"/>
                <w:b/>
                <w:sz w:val="16"/>
              </w:rPr>
            </w:pPr>
            <w:r w:rsidRPr="00EB2BD8">
              <w:rPr>
                <w:rFonts w:ascii="Arial"/>
                <w:b/>
                <w:spacing w:val="-2"/>
                <w:w w:val="105"/>
                <w:sz w:val="16"/>
              </w:rPr>
              <w:t>Defined</w:t>
            </w:r>
            <w:r w:rsidRPr="00EB2BD8">
              <w:rPr>
                <w:rFonts w:ascii="Arial"/>
                <w:b/>
                <w:spacing w:val="7"/>
                <w:w w:val="105"/>
                <w:sz w:val="16"/>
              </w:rPr>
              <w:t xml:space="preserve"> </w:t>
            </w:r>
            <w:r w:rsidRPr="00EB2BD8">
              <w:rPr>
                <w:rFonts w:ascii="Arial"/>
                <w:b/>
                <w:spacing w:val="-2"/>
                <w:w w:val="105"/>
                <w:sz w:val="16"/>
              </w:rPr>
              <w:t>contribution</w:t>
            </w:r>
            <w:r w:rsidRPr="00EB2BD8">
              <w:rPr>
                <w:rFonts w:ascii="Arial"/>
                <w:b/>
                <w:spacing w:val="7"/>
                <w:w w:val="105"/>
                <w:sz w:val="16"/>
              </w:rPr>
              <w:t xml:space="preserve"> </w:t>
            </w:r>
            <w:r w:rsidRPr="00EB2BD8">
              <w:rPr>
                <w:rFonts w:ascii="Arial"/>
                <w:b/>
                <w:spacing w:val="-2"/>
                <w:w w:val="105"/>
                <w:sz w:val="16"/>
              </w:rPr>
              <w:t>plans:</w:t>
            </w:r>
          </w:p>
        </w:tc>
        <w:tc>
          <w:tcPr>
            <w:tcW w:w="1189" w:type="dxa"/>
            <w:shd w:val="clear" w:color="auto" w:fill="DEEAF6"/>
          </w:tcPr>
          <w:p w14:paraId="0BD99363" w14:textId="77777777" w:rsidR="00084F36" w:rsidRPr="00EB2BD8" w:rsidRDefault="00084F36">
            <w:pPr>
              <w:pStyle w:val="TableParagraph"/>
              <w:rPr>
                <w:rFonts w:ascii="Times New Roman"/>
                <w:sz w:val="16"/>
              </w:rPr>
            </w:pPr>
          </w:p>
        </w:tc>
        <w:tc>
          <w:tcPr>
            <w:tcW w:w="1323" w:type="dxa"/>
            <w:shd w:val="clear" w:color="auto" w:fill="FFFFFF"/>
          </w:tcPr>
          <w:p w14:paraId="34F7E43A" w14:textId="77777777" w:rsidR="00084F36" w:rsidRPr="00EB2BD8" w:rsidRDefault="00084F36">
            <w:pPr>
              <w:pStyle w:val="TableParagraph"/>
              <w:rPr>
                <w:rFonts w:ascii="Times New Roman"/>
                <w:sz w:val="16"/>
              </w:rPr>
            </w:pPr>
          </w:p>
        </w:tc>
        <w:tc>
          <w:tcPr>
            <w:tcW w:w="1058" w:type="dxa"/>
            <w:shd w:val="clear" w:color="auto" w:fill="DEEAF6"/>
          </w:tcPr>
          <w:p w14:paraId="24FB65CE" w14:textId="77777777" w:rsidR="00084F36" w:rsidRPr="00EB2BD8" w:rsidRDefault="00084F36">
            <w:pPr>
              <w:pStyle w:val="TableParagraph"/>
              <w:rPr>
                <w:rFonts w:ascii="Times New Roman"/>
                <w:sz w:val="16"/>
              </w:rPr>
            </w:pPr>
          </w:p>
        </w:tc>
        <w:tc>
          <w:tcPr>
            <w:tcW w:w="926" w:type="dxa"/>
            <w:shd w:val="clear" w:color="auto" w:fill="FFFFFF"/>
          </w:tcPr>
          <w:p w14:paraId="5B7D566B" w14:textId="77777777" w:rsidR="00084F36" w:rsidRPr="00EB2BD8" w:rsidRDefault="00084F36">
            <w:pPr>
              <w:pStyle w:val="TableParagraph"/>
              <w:rPr>
                <w:rFonts w:ascii="Times New Roman"/>
                <w:sz w:val="16"/>
              </w:rPr>
            </w:pPr>
          </w:p>
        </w:tc>
      </w:tr>
      <w:tr w:rsidR="00EB2BD8" w:rsidRPr="00EB2BD8" w14:paraId="41C18988" w14:textId="77777777">
        <w:trPr>
          <w:trHeight w:val="297"/>
        </w:trPr>
        <w:tc>
          <w:tcPr>
            <w:tcW w:w="4629" w:type="dxa"/>
            <w:shd w:val="clear" w:color="auto" w:fill="FFFFFF"/>
          </w:tcPr>
          <w:p w14:paraId="46B3F0CE" w14:textId="77777777" w:rsidR="00084F36" w:rsidRPr="00EB2BD8" w:rsidRDefault="00EB2BD8">
            <w:pPr>
              <w:pStyle w:val="TableParagraph"/>
              <w:spacing w:before="67"/>
              <w:ind w:left="105"/>
              <w:rPr>
                <w:rFonts w:ascii="Arial"/>
                <w:sz w:val="16"/>
              </w:rPr>
            </w:pPr>
            <w:r w:rsidRPr="00EB2BD8">
              <w:rPr>
                <w:rFonts w:ascii="Arial"/>
                <w:spacing w:val="-2"/>
                <w:w w:val="105"/>
                <w:sz w:val="16"/>
              </w:rPr>
              <w:t>VicSuper</w:t>
            </w:r>
          </w:p>
        </w:tc>
        <w:tc>
          <w:tcPr>
            <w:tcW w:w="1189" w:type="dxa"/>
            <w:shd w:val="clear" w:color="auto" w:fill="DEEAF6"/>
          </w:tcPr>
          <w:p w14:paraId="0029EFDF" w14:textId="77777777" w:rsidR="00084F36" w:rsidRPr="00EB2BD8" w:rsidRDefault="00EB2BD8">
            <w:pPr>
              <w:pStyle w:val="TableParagraph"/>
              <w:spacing w:before="75"/>
              <w:ind w:right="95"/>
              <w:jc w:val="right"/>
              <w:rPr>
                <w:rFonts w:ascii="Arial"/>
                <w:sz w:val="16"/>
              </w:rPr>
            </w:pPr>
            <w:r w:rsidRPr="00EB2BD8">
              <w:rPr>
                <w:rFonts w:ascii="Arial"/>
                <w:spacing w:val="-2"/>
                <w:w w:val="105"/>
                <w:sz w:val="16"/>
              </w:rPr>
              <w:t>1,453</w:t>
            </w:r>
          </w:p>
        </w:tc>
        <w:tc>
          <w:tcPr>
            <w:tcW w:w="1323" w:type="dxa"/>
            <w:shd w:val="clear" w:color="auto" w:fill="FFFFFF"/>
          </w:tcPr>
          <w:p w14:paraId="63E3FA1A" w14:textId="77777777" w:rsidR="00084F36" w:rsidRPr="00EB2BD8" w:rsidRDefault="00EB2BD8">
            <w:pPr>
              <w:pStyle w:val="TableParagraph"/>
              <w:spacing w:before="67"/>
              <w:ind w:right="95"/>
              <w:jc w:val="right"/>
              <w:rPr>
                <w:rFonts w:ascii="Arial"/>
                <w:sz w:val="16"/>
              </w:rPr>
            </w:pPr>
            <w:r w:rsidRPr="00EB2BD8">
              <w:rPr>
                <w:rFonts w:ascii="Arial"/>
                <w:spacing w:val="-2"/>
                <w:w w:val="105"/>
                <w:sz w:val="16"/>
              </w:rPr>
              <w:t>1,964</w:t>
            </w:r>
          </w:p>
        </w:tc>
        <w:tc>
          <w:tcPr>
            <w:tcW w:w="1058" w:type="dxa"/>
            <w:shd w:val="clear" w:color="auto" w:fill="DEEAF6"/>
          </w:tcPr>
          <w:p w14:paraId="3BFEAB36" w14:textId="77777777" w:rsidR="00084F36" w:rsidRPr="00EB2BD8" w:rsidRDefault="00EB2BD8">
            <w:pPr>
              <w:pStyle w:val="TableParagraph"/>
              <w:spacing w:before="67"/>
              <w:ind w:right="95"/>
              <w:jc w:val="right"/>
              <w:rPr>
                <w:rFonts w:ascii="Arial"/>
                <w:sz w:val="16"/>
              </w:rPr>
            </w:pPr>
            <w:r w:rsidRPr="00EB2BD8">
              <w:rPr>
                <w:rFonts w:ascii="Arial"/>
                <w:w w:val="104"/>
                <w:sz w:val="16"/>
              </w:rPr>
              <w:t>-</w:t>
            </w:r>
          </w:p>
        </w:tc>
        <w:tc>
          <w:tcPr>
            <w:tcW w:w="926" w:type="dxa"/>
            <w:shd w:val="clear" w:color="auto" w:fill="FFFFFF"/>
          </w:tcPr>
          <w:p w14:paraId="33FB10D5" w14:textId="77777777" w:rsidR="00084F36" w:rsidRPr="00EB2BD8" w:rsidRDefault="00EB2BD8">
            <w:pPr>
              <w:pStyle w:val="TableParagraph"/>
              <w:spacing w:before="67"/>
              <w:ind w:right="97"/>
              <w:jc w:val="right"/>
              <w:rPr>
                <w:rFonts w:ascii="Arial"/>
                <w:sz w:val="16"/>
              </w:rPr>
            </w:pPr>
            <w:r w:rsidRPr="00EB2BD8">
              <w:rPr>
                <w:rFonts w:ascii="Arial"/>
                <w:spacing w:val="-5"/>
                <w:w w:val="105"/>
                <w:sz w:val="16"/>
              </w:rPr>
              <w:t>156</w:t>
            </w:r>
          </w:p>
        </w:tc>
      </w:tr>
      <w:tr w:rsidR="00EB2BD8" w:rsidRPr="00EB2BD8" w14:paraId="066DE27E" w14:textId="77777777">
        <w:trPr>
          <w:trHeight w:val="317"/>
        </w:trPr>
        <w:tc>
          <w:tcPr>
            <w:tcW w:w="4629" w:type="dxa"/>
            <w:shd w:val="clear" w:color="auto" w:fill="FFFFFF"/>
          </w:tcPr>
          <w:p w14:paraId="38C5EB31" w14:textId="77777777" w:rsidR="00084F36" w:rsidRPr="00EB2BD8" w:rsidRDefault="00EB2BD8">
            <w:pPr>
              <w:pStyle w:val="TableParagraph"/>
              <w:spacing w:before="38"/>
              <w:ind w:left="141"/>
              <w:rPr>
                <w:rFonts w:ascii="Arial"/>
                <w:sz w:val="16"/>
              </w:rPr>
            </w:pPr>
            <w:r w:rsidRPr="00EB2BD8">
              <w:rPr>
                <w:rFonts w:ascii="Arial"/>
                <w:spacing w:val="-2"/>
                <w:w w:val="105"/>
                <w:sz w:val="16"/>
              </w:rPr>
              <w:t>Australian</w:t>
            </w:r>
            <w:r w:rsidRPr="00EB2BD8">
              <w:rPr>
                <w:rFonts w:ascii="Arial"/>
                <w:spacing w:val="7"/>
                <w:w w:val="105"/>
                <w:sz w:val="16"/>
              </w:rPr>
              <w:t xml:space="preserve"> </w:t>
            </w:r>
            <w:r w:rsidRPr="00EB2BD8">
              <w:rPr>
                <w:rFonts w:ascii="Arial"/>
                <w:spacing w:val="-4"/>
                <w:w w:val="105"/>
                <w:sz w:val="16"/>
              </w:rPr>
              <w:t>Super</w:t>
            </w:r>
          </w:p>
        </w:tc>
        <w:tc>
          <w:tcPr>
            <w:tcW w:w="1189" w:type="dxa"/>
            <w:shd w:val="clear" w:color="auto" w:fill="DEEAF6"/>
          </w:tcPr>
          <w:p w14:paraId="1BDC86E7" w14:textId="77777777" w:rsidR="00084F36" w:rsidRPr="00EB2BD8" w:rsidRDefault="00EB2BD8">
            <w:pPr>
              <w:pStyle w:val="TableParagraph"/>
              <w:spacing w:before="94"/>
              <w:ind w:right="95"/>
              <w:jc w:val="right"/>
              <w:rPr>
                <w:rFonts w:ascii="Arial"/>
                <w:sz w:val="16"/>
              </w:rPr>
            </w:pPr>
            <w:r w:rsidRPr="00EB2BD8">
              <w:rPr>
                <w:rFonts w:ascii="Arial"/>
                <w:spacing w:val="-5"/>
                <w:w w:val="105"/>
                <w:sz w:val="16"/>
              </w:rPr>
              <w:t>653</w:t>
            </w:r>
          </w:p>
        </w:tc>
        <w:tc>
          <w:tcPr>
            <w:tcW w:w="1323" w:type="dxa"/>
            <w:shd w:val="clear" w:color="auto" w:fill="FFFFFF"/>
          </w:tcPr>
          <w:p w14:paraId="7630060F" w14:textId="77777777" w:rsidR="00084F36" w:rsidRPr="00EB2BD8" w:rsidRDefault="00EB2BD8">
            <w:pPr>
              <w:pStyle w:val="TableParagraph"/>
              <w:spacing w:before="86"/>
              <w:ind w:right="96"/>
              <w:jc w:val="right"/>
              <w:rPr>
                <w:rFonts w:ascii="Arial"/>
                <w:sz w:val="16"/>
              </w:rPr>
            </w:pPr>
            <w:r w:rsidRPr="00EB2BD8">
              <w:rPr>
                <w:rFonts w:ascii="Arial"/>
                <w:spacing w:val="-5"/>
                <w:w w:val="105"/>
                <w:sz w:val="16"/>
              </w:rPr>
              <w:t>539</w:t>
            </w:r>
          </w:p>
        </w:tc>
        <w:tc>
          <w:tcPr>
            <w:tcW w:w="1058" w:type="dxa"/>
            <w:shd w:val="clear" w:color="auto" w:fill="DEEAF6"/>
          </w:tcPr>
          <w:p w14:paraId="2B656BDB" w14:textId="77777777" w:rsidR="00084F36" w:rsidRPr="00EB2BD8" w:rsidRDefault="00EB2BD8">
            <w:pPr>
              <w:pStyle w:val="TableParagraph"/>
              <w:spacing w:before="86"/>
              <w:ind w:right="96"/>
              <w:jc w:val="right"/>
              <w:rPr>
                <w:rFonts w:ascii="Arial"/>
                <w:sz w:val="16"/>
              </w:rPr>
            </w:pPr>
            <w:r w:rsidRPr="00EB2BD8">
              <w:rPr>
                <w:rFonts w:ascii="Arial"/>
                <w:spacing w:val="-5"/>
                <w:w w:val="105"/>
                <w:sz w:val="16"/>
              </w:rPr>
              <w:t>57</w:t>
            </w:r>
          </w:p>
        </w:tc>
        <w:tc>
          <w:tcPr>
            <w:tcW w:w="926" w:type="dxa"/>
            <w:shd w:val="clear" w:color="auto" w:fill="FFFFFF"/>
          </w:tcPr>
          <w:p w14:paraId="6CE77484" w14:textId="77777777" w:rsidR="00084F36" w:rsidRPr="00EB2BD8" w:rsidRDefault="00EB2BD8">
            <w:pPr>
              <w:pStyle w:val="TableParagraph"/>
              <w:spacing w:before="86"/>
              <w:ind w:right="97"/>
              <w:jc w:val="right"/>
              <w:rPr>
                <w:rFonts w:ascii="Arial"/>
                <w:sz w:val="16"/>
              </w:rPr>
            </w:pPr>
            <w:r w:rsidRPr="00EB2BD8">
              <w:rPr>
                <w:rFonts w:ascii="Arial"/>
                <w:spacing w:val="-5"/>
                <w:w w:val="105"/>
                <w:sz w:val="16"/>
              </w:rPr>
              <w:t>43</w:t>
            </w:r>
          </w:p>
        </w:tc>
      </w:tr>
      <w:tr w:rsidR="00EB2BD8" w:rsidRPr="00EB2BD8" w14:paraId="26D5B3EF" w14:textId="77777777">
        <w:trPr>
          <w:trHeight w:val="312"/>
        </w:trPr>
        <w:tc>
          <w:tcPr>
            <w:tcW w:w="4629" w:type="dxa"/>
            <w:shd w:val="clear" w:color="auto" w:fill="FFFFFF"/>
          </w:tcPr>
          <w:p w14:paraId="4096BD09" w14:textId="77777777" w:rsidR="00084F36" w:rsidRPr="00EB2BD8" w:rsidRDefault="00EB2BD8">
            <w:pPr>
              <w:pStyle w:val="TableParagraph"/>
              <w:spacing w:before="39"/>
              <w:ind w:left="141"/>
              <w:rPr>
                <w:rFonts w:ascii="Arial"/>
                <w:sz w:val="16"/>
              </w:rPr>
            </w:pPr>
            <w:r w:rsidRPr="00EB2BD8">
              <w:rPr>
                <w:rFonts w:ascii="Arial"/>
                <w:w w:val="105"/>
                <w:sz w:val="16"/>
              </w:rPr>
              <w:t>Aware</w:t>
            </w:r>
            <w:r w:rsidRPr="00EB2BD8">
              <w:rPr>
                <w:rFonts w:ascii="Arial"/>
                <w:spacing w:val="-8"/>
                <w:w w:val="105"/>
                <w:sz w:val="16"/>
              </w:rPr>
              <w:t xml:space="preserve"> </w:t>
            </w:r>
            <w:r w:rsidRPr="00EB2BD8">
              <w:rPr>
                <w:rFonts w:ascii="Arial"/>
                <w:w w:val="105"/>
                <w:sz w:val="16"/>
              </w:rPr>
              <w:t>Super</w:t>
            </w:r>
            <w:r w:rsidRPr="00EB2BD8">
              <w:rPr>
                <w:rFonts w:ascii="Arial"/>
                <w:spacing w:val="-8"/>
                <w:w w:val="105"/>
                <w:sz w:val="16"/>
              </w:rPr>
              <w:t xml:space="preserve"> </w:t>
            </w:r>
            <w:r w:rsidRPr="00EB2BD8">
              <w:rPr>
                <w:rFonts w:ascii="Arial"/>
                <w:spacing w:val="-4"/>
                <w:w w:val="105"/>
                <w:sz w:val="16"/>
              </w:rPr>
              <w:t>Fund</w:t>
            </w:r>
          </w:p>
        </w:tc>
        <w:tc>
          <w:tcPr>
            <w:tcW w:w="1189" w:type="dxa"/>
            <w:shd w:val="clear" w:color="auto" w:fill="DEEAF6"/>
          </w:tcPr>
          <w:p w14:paraId="71DEE420" w14:textId="77777777" w:rsidR="00084F36" w:rsidRPr="00EB2BD8" w:rsidRDefault="00EB2BD8">
            <w:pPr>
              <w:pStyle w:val="TableParagraph"/>
              <w:spacing w:before="39"/>
              <w:ind w:right="96"/>
              <w:jc w:val="right"/>
              <w:rPr>
                <w:rFonts w:ascii="Arial"/>
                <w:sz w:val="16"/>
              </w:rPr>
            </w:pPr>
            <w:r w:rsidRPr="00EB2BD8">
              <w:rPr>
                <w:rFonts w:ascii="Arial"/>
                <w:spacing w:val="-5"/>
                <w:w w:val="105"/>
                <w:sz w:val="16"/>
              </w:rPr>
              <w:t>610</w:t>
            </w:r>
          </w:p>
        </w:tc>
        <w:tc>
          <w:tcPr>
            <w:tcW w:w="1323" w:type="dxa"/>
            <w:shd w:val="clear" w:color="auto" w:fill="FFFFFF"/>
          </w:tcPr>
          <w:p w14:paraId="0EE28202" w14:textId="77777777" w:rsidR="00084F36" w:rsidRPr="00EB2BD8" w:rsidRDefault="00EB2BD8">
            <w:pPr>
              <w:pStyle w:val="TableParagraph"/>
              <w:spacing w:before="86"/>
              <w:ind w:right="95"/>
              <w:jc w:val="right"/>
              <w:rPr>
                <w:rFonts w:ascii="Arial"/>
                <w:sz w:val="16"/>
              </w:rPr>
            </w:pPr>
            <w:r w:rsidRPr="00EB2BD8">
              <w:rPr>
                <w:rFonts w:ascii="Arial"/>
                <w:w w:val="104"/>
                <w:sz w:val="16"/>
              </w:rPr>
              <w:t>-</w:t>
            </w:r>
          </w:p>
        </w:tc>
        <w:tc>
          <w:tcPr>
            <w:tcW w:w="1058" w:type="dxa"/>
            <w:shd w:val="clear" w:color="auto" w:fill="DEEAF6"/>
          </w:tcPr>
          <w:p w14:paraId="22A24D3C" w14:textId="77777777" w:rsidR="00084F36" w:rsidRPr="00EB2BD8" w:rsidRDefault="00EB2BD8">
            <w:pPr>
              <w:pStyle w:val="TableParagraph"/>
              <w:spacing w:before="86"/>
              <w:ind w:right="97"/>
              <w:jc w:val="right"/>
              <w:rPr>
                <w:rFonts w:ascii="Arial"/>
                <w:sz w:val="16"/>
              </w:rPr>
            </w:pPr>
            <w:r w:rsidRPr="00EB2BD8">
              <w:rPr>
                <w:rFonts w:ascii="Arial"/>
                <w:spacing w:val="-5"/>
                <w:w w:val="105"/>
                <w:sz w:val="16"/>
              </w:rPr>
              <w:t>174</w:t>
            </w:r>
          </w:p>
        </w:tc>
        <w:tc>
          <w:tcPr>
            <w:tcW w:w="926" w:type="dxa"/>
            <w:shd w:val="clear" w:color="auto" w:fill="FFFFFF"/>
          </w:tcPr>
          <w:p w14:paraId="4779CDB7" w14:textId="77777777" w:rsidR="00084F36" w:rsidRPr="00EB2BD8" w:rsidRDefault="00EB2BD8">
            <w:pPr>
              <w:pStyle w:val="TableParagraph"/>
              <w:spacing w:before="86"/>
              <w:ind w:right="95"/>
              <w:jc w:val="right"/>
              <w:rPr>
                <w:rFonts w:ascii="Arial"/>
                <w:sz w:val="16"/>
              </w:rPr>
            </w:pPr>
            <w:r w:rsidRPr="00EB2BD8">
              <w:rPr>
                <w:rFonts w:ascii="Arial"/>
                <w:w w:val="104"/>
                <w:sz w:val="16"/>
              </w:rPr>
              <w:t>-</w:t>
            </w:r>
          </w:p>
        </w:tc>
      </w:tr>
      <w:tr w:rsidR="00EB2BD8" w:rsidRPr="00EB2BD8" w14:paraId="50E17726" w14:textId="77777777">
        <w:trPr>
          <w:trHeight w:val="317"/>
        </w:trPr>
        <w:tc>
          <w:tcPr>
            <w:tcW w:w="4629" w:type="dxa"/>
            <w:shd w:val="clear" w:color="auto" w:fill="FFFFFF"/>
          </w:tcPr>
          <w:p w14:paraId="6F64921E" w14:textId="77777777" w:rsidR="00084F36" w:rsidRPr="00EB2BD8" w:rsidRDefault="00EB2BD8">
            <w:pPr>
              <w:pStyle w:val="TableParagraph"/>
              <w:spacing w:before="43"/>
              <w:ind w:left="141"/>
              <w:rPr>
                <w:rFonts w:ascii="Arial"/>
                <w:sz w:val="16"/>
              </w:rPr>
            </w:pPr>
            <w:r w:rsidRPr="00EB2BD8">
              <w:rPr>
                <w:rFonts w:ascii="Arial"/>
                <w:w w:val="105"/>
                <w:sz w:val="16"/>
              </w:rPr>
              <w:t>Hostplus</w:t>
            </w:r>
            <w:r w:rsidRPr="00EB2BD8">
              <w:rPr>
                <w:rFonts w:ascii="Arial"/>
                <w:spacing w:val="-9"/>
                <w:w w:val="105"/>
                <w:sz w:val="16"/>
              </w:rPr>
              <w:t xml:space="preserve"> </w:t>
            </w:r>
            <w:r w:rsidRPr="00EB2BD8">
              <w:rPr>
                <w:rFonts w:ascii="Arial"/>
                <w:w w:val="105"/>
                <w:sz w:val="16"/>
              </w:rPr>
              <w:t>Super</w:t>
            </w:r>
            <w:r w:rsidRPr="00EB2BD8">
              <w:rPr>
                <w:rFonts w:ascii="Arial"/>
                <w:spacing w:val="-8"/>
                <w:w w:val="105"/>
                <w:sz w:val="16"/>
              </w:rPr>
              <w:t xml:space="preserve"> </w:t>
            </w:r>
            <w:r w:rsidRPr="00EB2BD8">
              <w:rPr>
                <w:rFonts w:ascii="Arial"/>
                <w:spacing w:val="-4"/>
                <w:w w:val="105"/>
                <w:sz w:val="16"/>
              </w:rPr>
              <w:t>Fund</w:t>
            </w:r>
          </w:p>
        </w:tc>
        <w:tc>
          <w:tcPr>
            <w:tcW w:w="1189" w:type="dxa"/>
            <w:shd w:val="clear" w:color="auto" w:fill="DEEAF6"/>
          </w:tcPr>
          <w:p w14:paraId="00466EE1" w14:textId="77777777" w:rsidR="00084F36" w:rsidRPr="00EB2BD8" w:rsidRDefault="00EB2BD8">
            <w:pPr>
              <w:pStyle w:val="TableParagraph"/>
              <w:spacing w:before="43"/>
              <w:ind w:right="96"/>
              <w:jc w:val="right"/>
              <w:rPr>
                <w:rFonts w:ascii="Arial"/>
                <w:sz w:val="16"/>
              </w:rPr>
            </w:pPr>
            <w:r w:rsidRPr="00EB2BD8">
              <w:rPr>
                <w:rFonts w:ascii="Arial"/>
                <w:spacing w:val="-5"/>
                <w:w w:val="105"/>
                <w:sz w:val="16"/>
              </w:rPr>
              <w:t>366</w:t>
            </w:r>
          </w:p>
        </w:tc>
        <w:tc>
          <w:tcPr>
            <w:tcW w:w="1323" w:type="dxa"/>
            <w:shd w:val="clear" w:color="auto" w:fill="FFFFFF"/>
          </w:tcPr>
          <w:p w14:paraId="29186975" w14:textId="77777777" w:rsidR="00084F36" w:rsidRPr="00EB2BD8" w:rsidRDefault="00EB2BD8">
            <w:pPr>
              <w:pStyle w:val="TableParagraph"/>
              <w:spacing w:before="91"/>
              <w:ind w:right="97"/>
              <w:jc w:val="right"/>
              <w:rPr>
                <w:rFonts w:ascii="Arial"/>
                <w:sz w:val="16"/>
              </w:rPr>
            </w:pPr>
            <w:r w:rsidRPr="00EB2BD8">
              <w:rPr>
                <w:rFonts w:ascii="Arial"/>
                <w:spacing w:val="-5"/>
                <w:w w:val="105"/>
                <w:sz w:val="16"/>
              </w:rPr>
              <w:t>354</w:t>
            </w:r>
          </w:p>
        </w:tc>
        <w:tc>
          <w:tcPr>
            <w:tcW w:w="1058" w:type="dxa"/>
            <w:shd w:val="clear" w:color="auto" w:fill="DEEAF6"/>
          </w:tcPr>
          <w:p w14:paraId="28927E6E" w14:textId="77777777" w:rsidR="00084F36" w:rsidRPr="00EB2BD8" w:rsidRDefault="00EB2BD8">
            <w:pPr>
              <w:pStyle w:val="TableParagraph"/>
              <w:spacing w:before="91"/>
              <w:ind w:right="96"/>
              <w:jc w:val="right"/>
              <w:rPr>
                <w:rFonts w:ascii="Arial"/>
                <w:sz w:val="16"/>
              </w:rPr>
            </w:pPr>
            <w:r w:rsidRPr="00EB2BD8">
              <w:rPr>
                <w:rFonts w:ascii="Arial"/>
                <w:spacing w:val="-5"/>
                <w:w w:val="105"/>
                <w:sz w:val="16"/>
              </w:rPr>
              <w:t>28</w:t>
            </w:r>
          </w:p>
        </w:tc>
        <w:tc>
          <w:tcPr>
            <w:tcW w:w="926" w:type="dxa"/>
            <w:shd w:val="clear" w:color="auto" w:fill="FFFFFF"/>
          </w:tcPr>
          <w:p w14:paraId="17090A6B" w14:textId="77777777" w:rsidR="00084F36" w:rsidRPr="00EB2BD8" w:rsidRDefault="00EB2BD8">
            <w:pPr>
              <w:pStyle w:val="TableParagraph"/>
              <w:spacing w:before="91"/>
              <w:ind w:right="97"/>
              <w:jc w:val="right"/>
              <w:rPr>
                <w:rFonts w:ascii="Arial"/>
                <w:sz w:val="16"/>
              </w:rPr>
            </w:pPr>
            <w:r w:rsidRPr="00EB2BD8">
              <w:rPr>
                <w:rFonts w:ascii="Arial"/>
                <w:spacing w:val="-5"/>
                <w:w w:val="105"/>
                <w:sz w:val="16"/>
              </w:rPr>
              <w:t>25</w:t>
            </w:r>
          </w:p>
        </w:tc>
      </w:tr>
      <w:tr w:rsidR="00EB2BD8" w:rsidRPr="00EB2BD8" w14:paraId="30D56BF4" w14:textId="77777777">
        <w:trPr>
          <w:trHeight w:val="317"/>
        </w:trPr>
        <w:tc>
          <w:tcPr>
            <w:tcW w:w="4629" w:type="dxa"/>
            <w:shd w:val="clear" w:color="auto" w:fill="FFFFFF"/>
          </w:tcPr>
          <w:p w14:paraId="74A4C332" w14:textId="77777777" w:rsidR="00084F36" w:rsidRPr="00EB2BD8" w:rsidRDefault="00EB2BD8">
            <w:pPr>
              <w:pStyle w:val="TableParagraph"/>
              <w:spacing w:before="42"/>
              <w:ind w:left="141"/>
              <w:rPr>
                <w:rFonts w:ascii="Arial"/>
                <w:sz w:val="16"/>
              </w:rPr>
            </w:pPr>
            <w:r w:rsidRPr="00EB2BD8">
              <w:rPr>
                <w:rFonts w:ascii="Arial"/>
                <w:w w:val="105"/>
                <w:sz w:val="16"/>
              </w:rPr>
              <w:t>CBUS</w:t>
            </w:r>
            <w:r w:rsidRPr="00EB2BD8">
              <w:rPr>
                <w:rFonts w:ascii="Arial"/>
                <w:spacing w:val="-8"/>
                <w:w w:val="105"/>
                <w:sz w:val="16"/>
              </w:rPr>
              <w:t xml:space="preserve"> </w:t>
            </w:r>
            <w:r w:rsidRPr="00EB2BD8">
              <w:rPr>
                <w:rFonts w:ascii="Arial"/>
                <w:spacing w:val="-2"/>
                <w:w w:val="105"/>
                <w:sz w:val="16"/>
              </w:rPr>
              <w:t>Super</w:t>
            </w:r>
          </w:p>
        </w:tc>
        <w:tc>
          <w:tcPr>
            <w:tcW w:w="1189" w:type="dxa"/>
            <w:shd w:val="clear" w:color="auto" w:fill="DEEAF6"/>
          </w:tcPr>
          <w:p w14:paraId="6FE13F8F" w14:textId="77777777" w:rsidR="00084F36" w:rsidRPr="00EB2BD8" w:rsidRDefault="00EB2BD8">
            <w:pPr>
              <w:pStyle w:val="TableParagraph"/>
              <w:spacing w:before="42"/>
              <w:ind w:right="96"/>
              <w:jc w:val="right"/>
              <w:rPr>
                <w:rFonts w:ascii="Arial"/>
                <w:sz w:val="16"/>
              </w:rPr>
            </w:pPr>
            <w:r w:rsidRPr="00EB2BD8">
              <w:rPr>
                <w:rFonts w:ascii="Arial"/>
                <w:spacing w:val="-5"/>
                <w:w w:val="105"/>
                <w:sz w:val="16"/>
              </w:rPr>
              <w:t>310</w:t>
            </w:r>
          </w:p>
        </w:tc>
        <w:tc>
          <w:tcPr>
            <w:tcW w:w="1323" w:type="dxa"/>
            <w:shd w:val="clear" w:color="auto" w:fill="FFFFFF"/>
          </w:tcPr>
          <w:p w14:paraId="2F504E75" w14:textId="77777777" w:rsidR="00084F36" w:rsidRPr="00EB2BD8" w:rsidRDefault="00EB2BD8">
            <w:pPr>
              <w:pStyle w:val="TableParagraph"/>
              <w:spacing w:before="90"/>
              <w:ind w:right="97"/>
              <w:jc w:val="right"/>
              <w:rPr>
                <w:rFonts w:ascii="Arial"/>
                <w:sz w:val="16"/>
              </w:rPr>
            </w:pPr>
            <w:r w:rsidRPr="00EB2BD8">
              <w:rPr>
                <w:rFonts w:ascii="Arial"/>
                <w:spacing w:val="-5"/>
                <w:w w:val="105"/>
                <w:sz w:val="16"/>
              </w:rPr>
              <w:t>276</w:t>
            </w:r>
          </w:p>
        </w:tc>
        <w:tc>
          <w:tcPr>
            <w:tcW w:w="1058" w:type="dxa"/>
            <w:shd w:val="clear" w:color="auto" w:fill="DEEAF6"/>
          </w:tcPr>
          <w:p w14:paraId="36DE9B92" w14:textId="77777777" w:rsidR="00084F36" w:rsidRPr="00EB2BD8" w:rsidRDefault="00EB2BD8">
            <w:pPr>
              <w:pStyle w:val="TableParagraph"/>
              <w:spacing w:before="90"/>
              <w:ind w:right="96"/>
              <w:jc w:val="right"/>
              <w:rPr>
                <w:rFonts w:ascii="Arial"/>
                <w:sz w:val="16"/>
              </w:rPr>
            </w:pPr>
            <w:r w:rsidRPr="00EB2BD8">
              <w:rPr>
                <w:rFonts w:ascii="Arial"/>
                <w:spacing w:val="-5"/>
                <w:w w:val="105"/>
                <w:sz w:val="16"/>
              </w:rPr>
              <w:t>26</w:t>
            </w:r>
          </w:p>
        </w:tc>
        <w:tc>
          <w:tcPr>
            <w:tcW w:w="926" w:type="dxa"/>
            <w:shd w:val="clear" w:color="auto" w:fill="FFFFFF"/>
          </w:tcPr>
          <w:p w14:paraId="15030B4E" w14:textId="77777777" w:rsidR="00084F36" w:rsidRPr="00EB2BD8" w:rsidRDefault="00EB2BD8">
            <w:pPr>
              <w:pStyle w:val="TableParagraph"/>
              <w:spacing w:before="90"/>
              <w:ind w:right="97"/>
              <w:jc w:val="right"/>
              <w:rPr>
                <w:rFonts w:ascii="Arial"/>
                <w:sz w:val="16"/>
              </w:rPr>
            </w:pPr>
            <w:r w:rsidRPr="00EB2BD8">
              <w:rPr>
                <w:rFonts w:ascii="Arial"/>
                <w:spacing w:val="-5"/>
                <w:w w:val="105"/>
                <w:sz w:val="16"/>
              </w:rPr>
              <w:t>20</w:t>
            </w:r>
          </w:p>
        </w:tc>
      </w:tr>
      <w:tr w:rsidR="00EB2BD8" w:rsidRPr="00EB2BD8" w14:paraId="0EE64168" w14:textId="77777777">
        <w:trPr>
          <w:trHeight w:val="316"/>
        </w:trPr>
        <w:tc>
          <w:tcPr>
            <w:tcW w:w="4629" w:type="dxa"/>
            <w:shd w:val="clear" w:color="auto" w:fill="FFFFFF"/>
          </w:tcPr>
          <w:p w14:paraId="069B4776" w14:textId="77777777" w:rsidR="00084F36" w:rsidRPr="00EB2BD8" w:rsidRDefault="00EB2BD8">
            <w:pPr>
              <w:pStyle w:val="TableParagraph"/>
              <w:spacing w:before="43"/>
              <w:ind w:left="141"/>
              <w:rPr>
                <w:rFonts w:ascii="Arial"/>
                <w:sz w:val="16"/>
              </w:rPr>
            </w:pPr>
            <w:r w:rsidRPr="00EB2BD8">
              <w:rPr>
                <w:rFonts w:ascii="Arial"/>
                <w:spacing w:val="-2"/>
                <w:w w:val="105"/>
                <w:sz w:val="16"/>
              </w:rPr>
              <w:t>UniSuper</w:t>
            </w:r>
          </w:p>
        </w:tc>
        <w:tc>
          <w:tcPr>
            <w:tcW w:w="1189" w:type="dxa"/>
            <w:shd w:val="clear" w:color="auto" w:fill="DEEAF6"/>
          </w:tcPr>
          <w:p w14:paraId="0E1128DA" w14:textId="77777777" w:rsidR="00084F36" w:rsidRPr="00EB2BD8" w:rsidRDefault="00EB2BD8">
            <w:pPr>
              <w:pStyle w:val="TableParagraph"/>
              <w:spacing w:before="43"/>
              <w:ind w:right="96"/>
              <w:jc w:val="right"/>
              <w:rPr>
                <w:rFonts w:ascii="Arial"/>
                <w:sz w:val="16"/>
              </w:rPr>
            </w:pPr>
            <w:r w:rsidRPr="00EB2BD8">
              <w:rPr>
                <w:rFonts w:ascii="Arial"/>
                <w:spacing w:val="-5"/>
                <w:w w:val="105"/>
                <w:sz w:val="16"/>
              </w:rPr>
              <w:t>233</w:t>
            </w:r>
          </w:p>
        </w:tc>
        <w:tc>
          <w:tcPr>
            <w:tcW w:w="1323" w:type="dxa"/>
            <w:shd w:val="clear" w:color="auto" w:fill="FFFFFF"/>
          </w:tcPr>
          <w:p w14:paraId="4358E266" w14:textId="77777777" w:rsidR="00084F36" w:rsidRPr="00EB2BD8" w:rsidRDefault="00EB2BD8">
            <w:pPr>
              <w:pStyle w:val="TableParagraph"/>
              <w:spacing w:before="90"/>
              <w:ind w:right="97"/>
              <w:jc w:val="right"/>
              <w:rPr>
                <w:rFonts w:ascii="Arial"/>
                <w:sz w:val="16"/>
              </w:rPr>
            </w:pPr>
            <w:r w:rsidRPr="00EB2BD8">
              <w:rPr>
                <w:rFonts w:ascii="Arial"/>
                <w:spacing w:val="-5"/>
                <w:w w:val="105"/>
                <w:sz w:val="16"/>
              </w:rPr>
              <w:t>136</w:t>
            </w:r>
          </w:p>
        </w:tc>
        <w:tc>
          <w:tcPr>
            <w:tcW w:w="1058" w:type="dxa"/>
            <w:shd w:val="clear" w:color="auto" w:fill="DEEAF6"/>
          </w:tcPr>
          <w:p w14:paraId="43F24D87" w14:textId="77777777" w:rsidR="00084F36" w:rsidRPr="00EB2BD8" w:rsidRDefault="00EB2BD8">
            <w:pPr>
              <w:pStyle w:val="TableParagraph"/>
              <w:spacing w:before="90"/>
              <w:ind w:right="96"/>
              <w:jc w:val="right"/>
              <w:rPr>
                <w:rFonts w:ascii="Arial"/>
                <w:sz w:val="16"/>
              </w:rPr>
            </w:pPr>
            <w:r w:rsidRPr="00EB2BD8">
              <w:rPr>
                <w:rFonts w:ascii="Arial"/>
                <w:spacing w:val="-5"/>
                <w:w w:val="105"/>
                <w:sz w:val="16"/>
              </w:rPr>
              <w:t>21</w:t>
            </w:r>
          </w:p>
        </w:tc>
        <w:tc>
          <w:tcPr>
            <w:tcW w:w="926" w:type="dxa"/>
            <w:shd w:val="clear" w:color="auto" w:fill="FFFFFF"/>
          </w:tcPr>
          <w:p w14:paraId="41951227" w14:textId="77777777" w:rsidR="00084F36" w:rsidRPr="00EB2BD8" w:rsidRDefault="00EB2BD8">
            <w:pPr>
              <w:pStyle w:val="TableParagraph"/>
              <w:spacing w:before="90"/>
              <w:ind w:right="95"/>
              <w:jc w:val="right"/>
              <w:rPr>
                <w:rFonts w:ascii="Arial"/>
                <w:sz w:val="16"/>
              </w:rPr>
            </w:pPr>
            <w:r w:rsidRPr="00EB2BD8">
              <w:rPr>
                <w:rFonts w:ascii="Arial"/>
                <w:w w:val="104"/>
                <w:sz w:val="16"/>
              </w:rPr>
              <w:t>-</w:t>
            </w:r>
          </w:p>
        </w:tc>
      </w:tr>
      <w:tr w:rsidR="00EB2BD8" w:rsidRPr="00EB2BD8" w14:paraId="13F36F83" w14:textId="77777777">
        <w:trPr>
          <w:trHeight w:val="317"/>
        </w:trPr>
        <w:tc>
          <w:tcPr>
            <w:tcW w:w="4629" w:type="dxa"/>
            <w:shd w:val="clear" w:color="auto" w:fill="FFFFFF"/>
          </w:tcPr>
          <w:p w14:paraId="3267E117" w14:textId="77777777" w:rsidR="00084F36" w:rsidRPr="00EB2BD8" w:rsidRDefault="00EB2BD8">
            <w:pPr>
              <w:pStyle w:val="TableParagraph"/>
              <w:spacing w:before="43"/>
              <w:ind w:left="141"/>
              <w:rPr>
                <w:rFonts w:ascii="Arial"/>
                <w:sz w:val="16"/>
              </w:rPr>
            </w:pPr>
            <w:r w:rsidRPr="00EB2BD8">
              <w:rPr>
                <w:rFonts w:ascii="Arial"/>
                <w:w w:val="105"/>
                <w:sz w:val="16"/>
              </w:rPr>
              <w:t>Vision</w:t>
            </w:r>
            <w:r w:rsidRPr="00EB2BD8">
              <w:rPr>
                <w:rFonts w:ascii="Arial"/>
                <w:spacing w:val="-8"/>
                <w:w w:val="105"/>
                <w:sz w:val="16"/>
              </w:rPr>
              <w:t xml:space="preserve"> </w:t>
            </w:r>
            <w:r w:rsidRPr="00EB2BD8">
              <w:rPr>
                <w:rFonts w:ascii="Arial"/>
                <w:spacing w:val="-2"/>
                <w:w w:val="105"/>
                <w:sz w:val="16"/>
              </w:rPr>
              <w:t>Super</w:t>
            </w:r>
          </w:p>
        </w:tc>
        <w:tc>
          <w:tcPr>
            <w:tcW w:w="1189" w:type="dxa"/>
            <w:shd w:val="clear" w:color="auto" w:fill="DEEAF6"/>
          </w:tcPr>
          <w:p w14:paraId="5632EC92" w14:textId="77777777" w:rsidR="00084F36" w:rsidRPr="00EB2BD8" w:rsidRDefault="00EB2BD8">
            <w:pPr>
              <w:pStyle w:val="TableParagraph"/>
              <w:spacing w:before="43"/>
              <w:ind w:right="96"/>
              <w:jc w:val="right"/>
              <w:rPr>
                <w:rFonts w:ascii="Arial"/>
                <w:sz w:val="16"/>
              </w:rPr>
            </w:pPr>
            <w:r w:rsidRPr="00EB2BD8">
              <w:rPr>
                <w:rFonts w:ascii="Arial"/>
                <w:spacing w:val="-5"/>
                <w:w w:val="105"/>
                <w:sz w:val="16"/>
              </w:rPr>
              <w:t>220</w:t>
            </w:r>
          </w:p>
        </w:tc>
        <w:tc>
          <w:tcPr>
            <w:tcW w:w="1323" w:type="dxa"/>
            <w:shd w:val="clear" w:color="auto" w:fill="FFFFFF"/>
          </w:tcPr>
          <w:p w14:paraId="7AAA863C" w14:textId="77777777" w:rsidR="00084F36" w:rsidRPr="00EB2BD8" w:rsidRDefault="00EB2BD8">
            <w:pPr>
              <w:pStyle w:val="TableParagraph"/>
              <w:spacing w:before="91"/>
              <w:ind w:right="97"/>
              <w:jc w:val="right"/>
              <w:rPr>
                <w:rFonts w:ascii="Arial"/>
                <w:sz w:val="16"/>
              </w:rPr>
            </w:pPr>
            <w:r w:rsidRPr="00EB2BD8">
              <w:rPr>
                <w:rFonts w:ascii="Arial"/>
                <w:spacing w:val="-5"/>
                <w:w w:val="105"/>
                <w:sz w:val="16"/>
              </w:rPr>
              <w:t>197</w:t>
            </w:r>
          </w:p>
        </w:tc>
        <w:tc>
          <w:tcPr>
            <w:tcW w:w="1058" w:type="dxa"/>
            <w:shd w:val="clear" w:color="auto" w:fill="DEEAF6"/>
          </w:tcPr>
          <w:p w14:paraId="7AECACE5" w14:textId="77777777" w:rsidR="00084F36" w:rsidRPr="00EB2BD8" w:rsidRDefault="00EB2BD8">
            <w:pPr>
              <w:pStyle w:val="TableParagraph"/>
              <w:spacing w:before="91"/>
              <w:ind w:right="95"/>
              <w:jc w:val="right"/>
              <w:rPr>
                <w:rFonts w:ascii="Arial"/>
                <w:sz w:val="16"/>
              </w:rPr>
            </w:pPr>
            <w:r w:rsidRPr="00EB2BD8">
              <w:rPr>
                <w:rFonts w:ascii="Arial"/>
                <w:w w:val="104"/>
                <w:sz w:val="16"/>
              </w:rPr>
              <w:t>-</w:t>
            </w:r>
          </w:p>
        </w:tc>
        <w:tc>
          <w:tcPr>
            <w:tcW w:w="926" w:type="dxa"/>
            <w:shd w:val="clear" w:color="auto" w:fill="FFFFFF"/>
          </w:tcPr>
          <w:p w14:paraId="64B1CC31" w14:textId="77777777" w:rsidR="00084F36" w:rsidRPr="00EB2BD8" w:rsidRDefault="00EB2BD8">
            <w:pPr>
              <w:pStyle w:val="TableParagraph"/>
              <w:spacing w:before="91"/>
              <w:ind w:right="97"/>
              <w:jc w:val="right"/>
              <w:rPr>
                <w:rFonts w:ascii="Arial"/>
                <w:sz w:val="16"/>
              </w:rPr>
            </w:pPr>
            <w:r w:rsidRPr="00EB2BD8">
              <w:rPr>
                <w:rFonts w:ascii="Arial"/>
                <w:spacing w:val="-5"/>
                <w:w w:val="105"/>
                <w:sz w:val="16"/>
              </w:rPr>
              <w:t>15</w:t>
            </w:r>
          </w:p>
        </w:tc>
      </w:tr>
      <w:tr w:rsidR="00EB2BD8" w:rsidRPr="00EB2BD8" w14:paraId="1614DD2C" w14:textId="77777777">
        <w:trPr>
          <w:trHeight w:val="317"/>
        </w:trPr>
        <w:tc>
          <w:tcPr>
            <w:tcW w:w="4629" w:type="dxa"/>
            <w:shd w:val="clear" w:color="auto" w:fill="FFFFFF"/>
          </w:tcPr>
          <w:p w14:paraId="7D09A3CB" w14:textId="77777777" w:rsidR="00084F36" w:rsidRPr="00EB2BD8" w:rsidRDefault="00EB2BD8">
            <w:pPr>
              <w:pStyle w:val="TableParagraph"/>
              <w:spacing w:before="42"/>
              <w:ind w:left="141"/>
              <w:rPr>
                <w:rFonts w:ascii="Arial"/>
                <w:sz w:val="16"/>
              </w:rPr>
            </w:pPr>
            <w:r w:rsidRPr="00EB2BD8">
              <w:rPr>
                <w:rFonts w:ascii="Arial"/>
                <w:w w:val="105"/>
                <w:sz w:val="16"/>
              </w:rPr>
              <w:t>Care</w:t>
            </w:r>
            <w:r w:rsidRPr="00EB2BD8">
              <w:rPr>
                <w:rFonts w:ascii="Arial"/>
                <w:spacing w:val="-6"/>
                <w:w w:val="105"/>
                <w:sz w:val="16"/>
              </w:rPr>
              <w:t xml:space="preserve"> </w:t>
            </w:r>
            <w:r w:rsidRPr="00EB2BD8">
              <w:rPr>
                <w:rFonts w:ascii="Arial"/>
                <w:spacing w:val="-2"/>
                <w:w w:val="105"/>
                <w:sz w:val="16"/>
              </w:rPr>
              <w:t>Super</w:t>
            </w:r>
          </w:p>
        </w:tc>
        <w:tc>
          <w:tcPr>
            <w:tcW w:w="1189" w:type="dxa"/>
            <w:shd w:val="clear" w:color="auto" w:fill="DEEAF6"/>
          </w:tcPr>
          <w:p w14:paraId="75DD8D37" w14:textId="77777777" w:rsidR="00084F36" w:rsidRPr="00EB2BD8" w:rsidRDefault="00EB2BD8">
            <w:pPr>
              <w:pStyle w:val="TableParagraph"/>
              <w:spacing w:before="42"/>
              <w:ind w:right="96"/>
              <w:jc w:val="right"/>
              <w:rPr>
                <w:rFonts w:ascii="Arial"/>
                <w:sz w:val="16"/>
              </w:rPr>
            </w:pPr>
            <w:r w:rsidRPr="00EB2BD8">
              <w:rPr>
                <w:rFonts w:ascii="Arial"/>
                <w:spacing w:val="-5"/>
                <w:w w:val="105"/>
                <w:sz w:val="16"/>
              </w:rPr>
              <w:t>176</w:t>
            </w:r>
          </w:p>
        </w:tc>
        <w:tc>
          <w:tcPr>
            <w:tcW w:w="1323" w:type="dxa"/>
            <w:shd w:val="clear" w:color="auto" w:fill="FFFFFF"/>
          </w:tcPr>
          <w:p w14:paraId="4F7F7B87" w14:textId="77777777" w:rsidR="00084F36" w:rsidRPr="00EB2BD8" w:rsidRDefault="00EB2BD8">
            <w:pPr>
              <w:pStyle w:val="TableParagraph"/>
              <w:spacing w:before="90"/>
              <w:ind w:right="97"/>
              <w:jc w:val="right"/>
              <w:rPr>
                <w:rFonts w:ascii="Arial"/>
                <w:sz w:val="16"/>
              </w:rPr>
            </w:pPr>
            <w:r w:rsidRPr="00EB2BD8">
              <w:rPr>
                <w:rFonts w:ascii="Arial"/>
                <w:spacing w:val="-5"/>
                <w:w w:val="105"/>
                <w:sz w:val="16"/>
              </w:rPr>
              <w:t>169</w:t>
            </w:r>
          </w:p>
        </w:tc>
        <w:tc>
          <w:tcPr>
            <w:tcW w:w="1058" w:type="dxa"/>
            <w:shd w:val="clear" w:color="auto" w:fill="DEEAF6"/>
          </w:tcPr>
          <w:p w14:paraId="68B2D051" w14:textId="77777777" w:rsidR="00084F36" w:rsidRPr="00EB2BD8" w:rsidRDefault="00EB2BD8">
            <w:pPr>
              <w:pStyle w:val="TableParagraph"/>
              <w:spacing w:before="90"/>
              <w:ind w:right="95"/>
              <w:jc w:val="right"/>
              <w:rPr>
                <w:rFonts w:ascii="Arial"/>
                <w:sz w:val="16"/>
              </w:rPr>
            </w:pPr>
            <w:r w:rsidRPr="00EB2BD8">
              <w:rPr>
                <w:rFonts w:ascii="Arial"/>
                <w:w w:val="104"/>
                <w:sz w:val="16"/>
              </w:rPr>
              <w:t>-</w:t>
            </w:r>
          </w:p>
        </w:tc>
        <w:tc>
          <w:tcPr>
            <w:tcW w:w="926" w:type="dxa"/>
            <w:shd w:val="clear" w:color="auto" w:fill="FFFFFF"/>
          </w:tcPr>
          <w:p w14:paraId="2EEEB14F" w14:textId="77777777" w:rsidR="00084F36" w:rsidRPr="00EB2BD8" w:rsidRDefault="00EB2BD8">
            <w:pPr>
              <w:pStyle w:val="TableParagraph"/>
              <w:spacing w:before="90"/>
              <w:ind w:right="95"/>
              <w:jc w:val="right"/>
              <w:rPr>
                <w:rFonts w:ascii="Arial"/>
                <w:sz w:val="16"/>
              </w:rPr>
            </w:pPr>
            <w:r w:rsidRPr="00EB2BD8">
              <w:rPr>
                <w:rFonts w:ascii="Arial"/>
                <w:w w:val="104"/>
                <w:sz w:val="16"/>
              </w:rPr>
              <w:t>-</w:t>
            </w:r>
          </w:p>
        </w:tc>
      </w:tr>
      <w:tr w:rsidR="00EB2BD8" w:rsidRPr="00EB2BD8" w14:paraId="5F8DA7FF" w14:textId="77777777">
        <w:trPr>
          <w:trHeight w:val="310"/>
        </w:trPr>
        <w:tc>
          <w:tcPr>
            <w:tcW w:w="4629" w:type="dxa"/>
            <w:shd w:val="clear" w:color="auto" w:fill="FFFFFF"/>
          </w:tcPr>
          <w:p w14:paraId="3975A0AD" w14:textId="77777777" w:rsidR="00084F36" w:rsidRPr="00EB2BD8" w:rsidRDefault="00EB2BD8">
            <w:pPr>
              <w:pStyle w:val="TableParagraph"/>
              <w:spacing w:before="43"/>
              <w:ind w:left="141"/>
              <w:rPr>
                <w:rFonts w:ascii="Arial"/>
                <w:sz w:val="16"/>
              </w:rPr>
            </w:pPr>
            <w:r w:rsidRPr="00EB2BD8">
              <w:rPr>
                <w:rFonts w:ascii="Arial"/>
                <w:spacing w:val="-2"/>
                <w:w w:val="105"/>
                <w:sz w:val="16"/>
              </w:rPr>
              <w:t>Rest</w:t>
            </w:r>
            <w:r w:rsidRPr="00EB2BD8">
              <w:rPr>
                <w:rFonts w:ascii="Arial"/>
                <w:spacing w:val="5"/>
                <w:w w:val="105"/>
                <w:sz w:val="16"/>
              </w:rPr>
              <w:t xml:space="preserve"> </w:t>
            </w:r>
            <w:r w:rsidRPr="00EB2BD8">
              <w:rPr>
                <w:rFonts w:ascii="Arial"/>
                <w:spacing w:val="-2"/>
                <w:w w:val="105"/>
                <w:sz w:val="16"/>
              </w:rPr>
              <w:t>Superannuation</w:t>
            </w:r>
            <w:r w:rsidRPr="00EB2BD8">
              <w:rPr>
                <w:rFonts w:ascii="Arial"/>
                <w:spacing w:val="6"/>
                <w:w w:val="105"/>
                <w:sz w:val="16"/>
              </w:rPr>
              <w:t xml:space="preserve"> </w:t>
            </w:r>
            <w:r w:rsidRPr="00EB2BD8">
              <w:rPr>
                <w:rFonts w:ascii="Arial"/>
                <w:spacing w:val="-4"/>
                <w:w w:val="105"/>
                <w:sz w:val="16"/>
              </w:rPr>
              <w:t>Fund</w:t>
            </w:r>
          </w:p>
        </w:tc>
        <w:tc>
          <w:tcPr>
            <w:tcW w:w="1189" w:type="dxa"/>
            <w:shd w:val="clear" w:color="auto" w:fill="DEEAF6"/>
          </w:tcPr>
          <w:p w14:paraId="70A1CF75" w14:textId="77777777" w:rsidR="00084F36" w:rsidRPr="00EB2BD8" w:rsidRDefault="00EB2BD8">
            <w:pPr>
              <w:pStyle w:val="TableParagraph"/>
              <w:spacing w:before="43"/>
              <w:ind w:right="96"/>
              <w:jc w:val="right"/>
              <w:rPr>
                <w:rFonts w:ascii="Arial"/>
                <w:sz w:val="16"/>
              </w:rPr>
            </w:pPr>
            <w:r w:rsidRPr="00EB2BD8">
              <w:rPr>
                <w:rFonts w:ascii="Arial"/>
                <w:spacing w:val="-5"/>
                <w:w w:val="105"/>
                <w:sz w:val="16"/>
              </w:rPr>
              <w:t>160</w:t>
            </w:r>
          </w:p>
        </w:tc>
        <w:tc>
          <w:tcPr>
            <w:tcW w:w="1323" w:type="dxa"/>
            <w:shd w:val="clear" w:color="auto" w:fill="FFFFFF"/>
          </w:tcPr>
          <w:p w14:paraId="0AA0A7B4" w14:textId="77777777" w:rsidR="00084F36" w:rsidRPr="00EB2BD8" w:rsidRDefault="00EB2BD8">
            <w:pPr>
              <w:pStyle w:val="TableParagraph"/>
              <w:spacing w:before="73"/>
              <w:ind w:right="97"/>
              <w:jc w:val="right"/>
              <w:rPr>
                <w:rFonts w:ascii="Arial"/>
                <w:sz w:val="16"/>
              </w:rPr>
            </w:pPr>
            <w:r w:rsidRPr="00EB2BD8">
              <w:rPr>
                <w:rFonts w:ascii="Arial"/>
                <w:spacing w:val="-5"/>
                <w:w w:val="105"/>
                <w:sz w:val="16"/>
              </w:rPr>
              <w:t>115</w:t>
            </w:r>
          </w:p>
        </w:tc>
        <w:tc>
          <w:tcPr>
            <w:tcW w:w="1058" w:type="dxa"/>
            <w:shd w:val="clear" w:color="auto" w:fill="DEEAF6"/>
          </w:tcPr>
          <w:p w14:paraId="504E62F5" w14:textId="77777777" w:rsidR="00084F36" w:rsidRPr="00EB2BD8" w:rsidRDefault="00EB2BD8">
            <w:pPr>
              <w:pStyle w:val="TableParagraph"/>
              <w:spacing w:before="73"/>
              <w:ind w:right="95"/>
              <w:jc w:val="right"/>
              <w:rPr>
                <w:rFonts w:ascii="Arial"/>
                <w:sz w:val="16"/>
              </w:rPr>
            </w:pPr>
            <w:r w:rsidRPr="00EB2BD8">
              <w:rPr>
                <w:rFonts w:ascii="Arial"/>
                <w:w w:val="104"/>
                <w:sz w:val="16"/>
              </w:rPr>
              <w:t>-</w:t>
            </w:r>
          </w:p>
        </w:tc>
        <w:tc>
          <w:tcPr>
            <w:tcW w:w="926" w:type="dxa"/>
            <w:shd w:val="clear" w:color="auto" w:fill="FFFFFF"/>
          </w:tcPr>
          <w:p w14:paraId="6A371E2E" w14:textId="77777777" w:rsidR="00084F36" w:rsidRPr="00EB2BD8" w:rsidRDefault="00EB2BD8">
            <w:pPr>
              <w:pStyle w:val="TableParagraph"/>
              <w:spacing w:before="73"/>
              <w:ind w:right="95"/>
              <w:jc w:val="right"/>
              <w:rPr>
                <w:rFonts w:ascii="Arial"/>
                <w:sz w:val="16"/>
              </w:rPr>
            </w:pPr>
            <w:r w:rsidRPr="00EB2BD8">
              <w:rPr>
                <w:rFonts w:ascii="Arial"/>
                <w:w w:val="104"/>
                <w:sz w:val="16"/>
              </w:rPr>
              <w:t>-</w:t>
            </w:r>
          </w:p>
        </w:tc>
      </w:tr>
      <w:tr w:rsidR="00EB2BD8" w:rsidRPr="00EB2BD8" w14:paraId="0D563120" w14:textId="77777777">
        <w:trPr>
          <w:trHeight w:val="324"/>
        </w:trPr>
        <w:tc>
          <w:tcPr>
            <w:tcW w:w="4629" w:type="dxa"/>
            <w:tcBorders>
              <w:bottom w:val="single" w:sz="12" w:space="0" w:color="000000"/>
            </w:tcBorders>
            <w:shd w:val="clear" w:color="auto" w:fill="FFFFFF"/>
          </w:tcPr>
          <w:p w14:paraId="5872C0F2" w14:textId="77777777" w:rsidR="00084F36" w:rsidRPr="00EB2BD8" w:rsidRDefault="00EB2BD8">
            <w:pPr>
              <w:pStyle w:val="TableParagraph"/>
              <w:spacing w:before="64"/>
              <w:ind w:left="141"/>
              <w:rPr>
                <w:rFonts w:ascii="Arial"/>
                <w:sz w:val="16"/>
              </w:rPr>
            </w:pPr>
            <w:r w:rsidRPr="00EB2BD8">
              <w:rPr>
                <w:rFonts w:ascii="Arial"/>
                <w:spacing w:val="-2"/>
                <w:w w:val="105"/>
                <w:sz w:val="16"/>
              </w:rPr>
              <w:t>Others</w:t>
            </w:r>
          </w:p>
        </w:tc>
        <w:tc>
          <w:tcPr>
            <w:tcW w:w="1189" w:type="dxa"/>
            <w:tcBorders>
              <w:bottom w:val="single" w:sz="12" w:space="0" w:color="000000"/>
            </w:tcBorders>
            <w:shd w:val="clear" w:color="auto" w:fill="DEEAF6"/>
          </w:tcPr>
          <w:p w14:paraId="4560DF8D" w14:textId="77777777" w:rsidR="00084F36" w:rsidRPr="00EB2BD8" w:rsidRDefault="00EB2BD8">
            <w:pPr>
              <w:pStyle w:val="TableParagraph"/>
              <w:spacing w:before="53"/>
              <w:ind w:right="94"/>
              <w:jc w:val="right"/>
              <w:rPr>
                <w:rFonts w:ascii="Arial"/>
                <w:sz w:val="16"/>
              </w:rPr>
            </w:pPr>
            <w:r w:rsidRPr="00EB2BD8">
              <w:rPr>
                <w:rFonts w:ascii="Arial"/>
                <w:spacing w:val="-4"/>
                <w:w w:val="105"/>
                <w:sz w:val="16"/>
              </w:rPr>
              <w:t>1,537</w:t>
            </w:r>
          </w:p>
        </w:tc>
        <w:tc>
          <w:tcPr>
            <w:tcW w:w="1323" w:type="dxa"/>
            <w:tcBorders>
              <w:bottom w:val="single" w:sz="12" w:space="0" w:color="000000"/>
            </w:tcBorders>
            <w:shd w:val="clear" w:color="auto" w:fill="FFFFFF"/>
          </w:tcPr>
          <w:p w14:paraId="306D03AF" w14:textId="77777777" w:rsidR="00084F36" w:rsidRPr="00EB2BD8" w:rsidRDefault="00EB2BD8">
            <w:pPr>
              <w:pStyle w:val="TableParagraph"/>
              <w:spacing w:before="64"/>
              <w:ind w:right="96"/>
              <w:jc w:val="right"/>
              <w:rPr>
                <w:rFonts w:ascii="Arial"/>
                <w:sz w:val="16"/>
              </w:rPr>
            </w:pPr>
            <w:r w:rsidRPr="00EB2BD8">
              <w:rPr>
                <w:rFonts w:ascii="Arial"/>
                <w:spacing w:val="-4"/>
                <w:w w:val="105"/>
                <w:sz w:val="16"/>
              </w:rPr>
              <w:t>1,327</w:t>
            </w:r>
          </w:p>
        </w:tc>
        <w:tc>
          <w:tcPr>
            <w:tcW w:w="1058" w:type="dxa"/>
            <w:tcBorders>
              <w:bottom w:val="single" w:sz="12" w:space="0" w:color="000000"/>
            </w:tcBorders>
            <w:shd w:val="clear" w:color="auto" w:fill="DEEAF6"/>
          </w:tcPr>
          <w:p w14:paraId="613313C8" w14:textId="77777777" w:rsidR="00084F36" w:rsidRPr="00EB2BD8" w:rsidRDefault="00EB2BD8">
            <w:pPr>
              <w:pStyle w:val="TableParagraph"/>
              <w:spacing w:before="64"/>
              <w:ind w:right="97"/>
              <w:jc w:val="right"/>
              <w:rPr>
                <w:rFonts w:ascii="Arial"/>
                <w:sz w:val="16"/>
              </w:rPr>
            </w:pPr>
            <w:r w:rsidRPr="00EB2BD8">
              <w:rPr>
                <w:rFonts w:ascii="Arial"/>
                <w:spacing w:val="-5"/>
                <w:w w:val="105"/>
                <w:sz w:val="16"/>
              </w:rPr>
              <w:t>165</w:t>
            </w:r>
          </w:p>
        </w:tc>
        <w:tc>
          <w:tcPr>
            <w:tcW w:w="926" w:type="dxa"/>
            <w:tcBorders>
              <w:bottom w:val="single" w:sz="12" w:space="0" w:color="000000"/>
            </w:tcBorders>
            <w:shd w:val="clear" w:color="auto" w:fill="FFFFFF"/>
          </w:tcPr>
          <w:p w14:paraId="7F8ADD3C" w14:textId="77777777" w:rsidR="00084F36" w:rsidRPr="00EB2BD8" w:rsidRDefault="00EB2BD8">
            <w:pPr>
              <w:pStyle w:val="TableParagraph"/>
              <w:spacing w:before="64"/>
              <w:ind w:right="97"/>
              <w:jc w:val="right"/>
              <w:rPr>
                <w:rFonts w:ascii="Arial"/>
                <w:sz w:val="16"/>
              </w:rPr>
            </w:pPr>
            <w:r w:rsidRPr="00EB2BD8">
              <w:rPr>
                <w:rFonts w:ascii="Arial"/>
                <w:spacing w:val="-5"/>
                <w:w w:val="105"/>
                <w:sz w:val="16"/>
              </w:rPr>
              <w:t>151</w:t>
            </w:r>
          </w:p>
        </w:tc>
      </w:tr>
      <w:tr w:rsidR="00EB2BD8" w:rsidRPr="00EB2BD8" w14:paraId="5AAB0D0D" w14:textId="77777777">
        <w:trPr>
          <w:trHeight w:val="287"/>
        </w:trPr>
        <w:tc>
          <w:tcPr>
            <w:tcW w:w="4629" w:type="dxa"/>
            <w:tcBorders>
              <w:top w:val="single" w:sz="12" w:space="0" w:color="000000"/>
              <w:bottom w:val="single" w:sz="12" w:space="0" w:color="000000"/>
            </w:tcBorders>
            <w:shd w:val="clear" w:color="auto" w:fill="FFFFFF"/>
          </w:tcPr>
          <w:p w14:paraId="3EA74283" w14:textId="77777777" w:rsidR="00084F36" w:rsidRPr="00EB2BD8" w:rsidRDefault="00EB2BD8">
            <w:pPr>
              <w:pStyle w:val="TableParagraph"/>
              <w:spacing w:before="40"/>
              <w:ind w:left="105"/>
              <w:rPr>
                <w:rFonts w:ascii="Arial"/>
                <w:b/>
                <w:sz w:val="16"/>
              </w:rPr>
            </w:pPr>
            <w:r w:rsidRPr="00EB2BD8">
              <w:rPr>
                <w:rFonts w:ascii="Arial"/>
                <w:b/>
                <w:spacing w:val="-2"/>
                <w:w w:val="105"/>
                <w:sz w:val="16"/>
              </w:rPr>
              <w:t>Total</w:t>
            </w:r>
          </w:p>
        </w:tc>
        <w:tc>
          <w:tcPr>
            <w:tcW w:w="1189" w:type="dxa"/>
            <w:tcBorders>
              <w:top w:val="single" w:sz="12" w:space="0" w:color="000000"/>
              <w:bottom w:val="single" w:sz="12" w:space="0" w:color="000000"/>
            </w:tcBorders>
            <w:shd w:val="clear" w:color="auto" w:fill="DEEAF6"/>
          </w:tcPr>
          <w:p w14:paraId="31AF63AC" w14:textId="77777777" w:rsidR="00084F36" w:rsidRPr="00EB2BD8" w:rsidRDefault="00EB2BD8">
            <w:pPr>
              <w:pStyle w:val="TableParagraph"/>
              <w:spacing w:before="43"/>
              <w:ind w:right="95"/>
              <w:jc w:val="right"/>
              <w:rPr>
                <w:rFonts w:ascii="Arial"/>
                <w:b/>
                <w:sz w:val="16"/>
              </w:rPr>
            </w:pPr>
            <w:r w:rsidRPr="00EB2BD8">
              <w:rPr>
                <w:rFonts w:ascii="Arial"/>
                <w:b/>
                <w:spacing w:val="-2"/>
                <w:w w:val="105"/>
                <w:sz w:val="16"/>
              </w:rPr>
              <w:t>5,750</w:t>
            </w:r>
          </w:p>
        </w:tc>
        <w:tc>
          <w:tcPr>
            <w:tcW w:w="1323" w:type="dxa"/>
            <w:tcBorders>
              <w:top w:val="single" w:sz="12" w:space="0" w:color="000000"/>
              <w:bottom w:val="single" w:sz="12" w:space="0" w:color="000000"/>
            </w:tcBorders>
            <w:shd w:val="clear" w:color="auto" w:fill="FFFFFF"/>
          </w:tcPr>
          <w:p w14:paraId="308F8D49" w14:textId="77777777" w:rsidR="00084F36" w:rsidRPr="00EB2BD8" w:rsidRDefault="00EB2BD8">
            <w:pPr>
              <w:pStyle w:val="TableParagraph"/>
              <w:spacing w:before="59"/>
              <w:ind w:right="93"/>
              <w:jc w:val="right"/>
              <w:rPr>
                <w:rFonts w:ascii="Arial"/>
                <w:b/>
                <w:sz w:val="16"/>
              </w:rPr>
            </w:pPr>
            <w:r w:rsidRPr="00EB2BD8">
              <w:rPr>
                <w:rFonts w:ascii="Arial"/>
                <w:b/>
                <w:spacing w:val="-2"/>
                <w:w w:val="105"/>
                <w:sz w:val="16"/>
              </w:rPr>
              <w:t>5,108</w:t>
            </w:r>
          </w:p>
        </w:tc>
        <w:tc>
          <w:tcPr>
            <w:tcW w:w="1058" w:type="dxa"/>
            <w:tcBorders>
              <w:top w:val="single" w:sz="12" w:space="0" w:color="000000"/>
              <w:bottom w:val="single" w:sz="12" w:space="0" w:color="000000"/>
            </w:tcBorders>
            <w:shd w:val="clear" w:color="auto" w:fill="DEEAF6"/>
          </w:tcPr>
          <w:p w14:paraId="0E2BEE28" w14:textId="77777777" w:rsidR="00084F36" w:rsidRPr="00EB2BD8" w:rsidRDefault="00EB2BD8">
            <w:pPr>
              <w:pStyle w:val="TableParagraph"/>
              <w:spacing w:before="40"/>
              <w:ind w:right="97"/>
              <w:jc w:val="right"/>
              <w:rPr>
                <w:rFonts w:ascii="Arial"/>
                <w:b/>
                <w:sz w:val="16"/>
              </w:rPr>
            </w:pPr>
            <w:r w:rsidRPr="00EB2BD8">
              <w:rPr>
                <w:rFonts w:ascii="Arial"/>
                <w:b/>
                <w:spacing w:val="-5"/>
                <w:w w:val="105"/>
                <w:sz w:val="16"/>
              </w:rPr>
              <w:t>473</w:t>
            </w:r>
          </w:p>
        </w:tc>
        <w:tc>
          <w:tcPr>
            <w:tcW w:w="926" w:type="dxa"/>
            <w:tcBorders>
              <w:top w:val="single" w:sz="12" w:space="0" w:color="000000"/>
              <w:bottom w:val="single" w:sz="12" w:space="0" w:color="000000"/>
            </w:tcBorders>
            <w:shd w:val="clear" w:color="auto" w:fill="FFFFFF"/>
          </w:tcPr>
          <w:p w14:paraId="465C36B1" w14:textId="77777777" w:rsidR="00084F36" w:rsidRPr="00EB2BD8" w:rsidRDefault="00EB2BD8">
            <w:pPr>
              <w:pStyle w:val="TableParagraph"/>
              <w:spacing w:before="40"/>
              <w:ind w:right="97"/>
              <w:jc w:val="right"/>
              <w:rPr>
                <w:rFonts w:ascii="Arial"/>
                <w:b/>
                <w:sz w:val="16"/>
              </w:rPr>
            </w:pPr>
            <w:r w:rsidRPr="00EB2BD8">
              <w:rPr>
                <w:rFonts w:ascii="Arial"/>
                <w:b/>
                <w:spacing w:val="-5"/>
                <w:w w:val="105"/>
                <w:sz w:val="16"/>
              </w:rPr>
              <w:t>412</w:t>
            </w:r>
          </w:p>
        </w:tc>
      </w:tr>
    </w:tbl>
    <w:p w14:paraId="6F208303" w14:textId="77777777" w:rsidR="00084F36" w:rsidRPr="00EB2BD8" w:rsidRDefault="00084F36">
      <w:pPr>
        <w:pStyle w:val="BodyText"/>
        <w:rPr>
          <w:rFonts w:ascii="Arial"/>
        </w:rPr>
      </w:pPr>
    </w:p>
    <w:p w14:paraId="4D4EFB62" w14:textId="77777777" w:rsidR="00084F36" w:rsidRPr="00EB2BD8" w:rsidRDefault="00084F36">
      <w:pPr>
        <w:pStyle w:val="BodyText"/>
        <w:spacing w:before="11"/>
        <w:rPr>
          <w:rFonts w:ascii="Arial"/>
          <w:sz w:val="21"/>
        </w:rPr>
      </w:pPr>
    </w:p>
    <w:p w14:paraId="6A0EAAA7" w14:textId="77777777" w:rsidR="00084F36" w:rsidRPr="00EB2BD8" w:rsidRDefault="00EB2BD8">
      <w:pPr>
        <w:ind w:left="996"/>
        <w:rPr>
          <w:rFonts w:ascii="Arial"/>
          <w:i/>
          <w:sz w:val="15"/>
        </w:rPr>
      </w:pPr>
      <w:r w:rsidRPr="00EB2BD8">
        <w:rPr>
          <w:rFonts w:ascii="Arial"/>
          <w:i/>
          <w:spacing w:val="-2"/>
          <w:sz w:val="15"/>
        </w:rPr>
        <w:t>Note:</w:t>
      </w:r>
    </w:p>
    <w:p w14:paraId="4FB5B085" w14:textId="77777777" w:rsidR="00084F36" w:rsidRPr="00EB2BD8" w:rsidRDefault="00EB2BD8">
      <w:pPr>
        <w:spacing w:before="137"/>
        <w:ind w:left="996"/>
        <w:rPr>
          <w:rFonts w:ascii="Arial"/>
          <w:i/>
          <w:sz w:val="15"/>
        </w:rPr>
      </w:pPr>
      <w:r w:rsidRPr="00EB2BD8">
        <w:rPr>
          <w:rFonts w:ascii="Arial"/>
          <w:i/>
          <w:sz w:val="15"/>
        </w:rPr>
        <w:t>(a)</w:t>
      </w:r>
      <w:r w:rsidRPr="00EB2BD8">
        <w:rPr>
          <w:rFonts w:ascii="Arial"/>
          <w:i/>
          <w:spacing w:val="30"/>
          <w:sz w:val="15"/>
        </w:rPr>
        <w:t xml:space="preserve"> </w:t>
      </w:r>
      <w:r w:rsidRPr="00EB2BD8">
        <w:rPr>
          <w:rFonts w:ascii="Arial"/>
          <w:i/>
          <w:sz w:val="15"/>
        </w:rPr>
        <w:t>The</w:t>
      </w:r>
      <w:r w:rsidRPr="00EB2BD8">
        <w:rPr>
          <w:rFonts w:ascii="Arial"/>
          <w:i/>
          <w:spacing w:val="-6"/>
          <w:sz w:val="15"/>
        </w:rPr>
        <w:t xml:space="preserve"> </w:t>
      </w:r>
      <w:r w:rsidRPr="00EB2BD8">
        <w:rPr>
          <w:rFonts w:ascii="Arial"/>
          <w:i/>
          <w:sz w:val="15"/>
        </w:rPr>
        <w:t>basis</w:t>
      </w:r>
      <w:r w:rsidRPr="00EB2BD8">
        <w:rPr>
          <w:rFonts w:ascii="Arial"/>
          <w:i/>
          <w:spacing w:val="-6"/>
          <w:sz w:val="15"/>
        </w:rPr>
        <w:t xml:space="preserve"> </w:t>
      </w:r>
      <w:r w:rsidRPr="00EB2BD8">
        <w:rPr>
          <w:rFonts w:ascii="Arial"/>
          <w:i/>
          <w:sz w:val="15"/>
        </w:rPr>
        <w:t>for</w:t>
      </w:r>
      <w:r w:rsidRPr="00EB2BD8">
        <w:rPr>
          <w:rFonts w:ascii="Arial"/>
          <w:i/>
          <w:spacing w:val="-6"/>
          <w:sz w:val="15"/>
        </w:rPr>
        <w:t xml:space="preserve"> </w:t>
      </w:r>
      <w:r w:rsidRPr="00EB2BD8">
        <w:rPr>
          <w:rFonts w:ascii="Arial"/>
          <w:i/>
          <w:sz w:val="15"/>
        </w:rPr>
        <w:t>determining</w:t>
      </w:r>
      <w:r w:rsidRPr="00EB2BD8">
        <w:rPr>
          <w:rFonts w:ascii="Arial"/>
          <w:i/>
          <w:spacing w:val="-6"/>
          <w:sz w:val="15"/>
        </w:rPr>
        <w:t xml:space="preserve"> </w:t>
      </w:r>
      <w:r w:rsidRPr="00EB2BD8">
        <w:rPr>
          <w:rFonts w:ascii="Arial"/>
          <w:i/>
          <w:sz w:val="15"/>
        </w:rPr>
        <w:t>the</w:t>
      </w:r>
      <w:r w:rsidRPr="00EB2BD8">
        <w:rPr>
          <w:rFonts w:ascii="Arial"/>
          <w:i/>
          <w:spacing w:val="-7"/>
          <w:sz w:val="15"/>
        </w:rPr>
        <w:t xml:space="preserve"> </w:t>
      </w:r>
      <w:r w:rsidRPr="00EB2BD8">
        <w:rPr>
          <w:rFonts w:ascii="Arial"/>
          <w:i/>
          <w:sz w:val="15"/>
        </w:rPr>
        <w:t>level</w:t>
      </w:r>
      <w:r w:rsidRPr="00EB2BD8">
        <w:rPr>
          <w:rFonts w:ascii="Arial"/>
          <w:i/>
          <w:spacing w:val="-5"/>
          <w:sz w:val="15"/>
        </w:rPr>
        <w:t xml:space="preserve"> </w:t>
      </w:r>
      <w:r w:rsidRPr="00EB2BD8">
        <w:rPr>
          <w:rFonts w:ascii="Arial"/>
          <w:i/>
          <w:sz w:val="15"/>
        </w:rPr>
        <w:t>of</w:t>
      </w:r>
      <w:r w:rsidRPr="00EB2BD8">
        <w:rPr>
          <w:rFonts w:ascii="Arial"/>
          <w:i/>
          <w:spacing w:val="-7"/>
          <w:sz w:val="15"/>
        </w:rPr>
        <w:t xml:space="preserve"> </w:t>
      </w:r>
      <w:r w:rsidRPr="00EB2BD8">
        <w:rPr>
          <w:rFonts w:ascii="Arial"/>
          <w:i/>
          <w:sz w:val="15"/>
        </w:rPr>
        <w:t>contributions</w:t>
      </w:r>
      <w:r w:rsidRPr="00EB2BD8">
        <w:rPr>
          <w:rFonts w:ascii="Arial"/>
          <w:i/>
          <w:spacing w:val="-5"/>
          <w:sz w:val="15"/>
        </w:rPr>
        <w:t xml:space="preserve"> </w:t>
      </w:r>
      <w:r w:rsidRPr="00EB2BD8">
        <w:rPr>
          <w:rFonts w:ascii="Arial"/>
          <w:i/>
          <w:sz w:val="15"/>
        </w:rPr>
        <w:t>is</w:t>
      </w:r>
      <w:r w:rsidRPr="00EB2BD8">
        <w:rPr>
          <w:rFonts w:ascii="Arial"/>
          <w:i/>
          <w:spacing w:val="-6"/>
          <w:sz w:val="15"/>
        </w:rPr>
        <w:t xml:space="preserve"> </w:t>
      </w:r>
      <w:r w:rsidRPr="00EB2BD8">
        <w:rPr>
          <w:rFonts w:ascii="Arial"/>
          <w:i/>
          <w:sz w:val="15"/>
        </w:rPr>
        <w:t>determined</w:t>
      </w:r>
      <w:r w:rsidRPr="00EB2BD8">
        <w:rPr>
          <w:rFonts w:ascii="Arial"/>
          <w:i/>
          <w:spacing w:val="-6"/>
          <w:sz w:val="15"/>
        </w:rPr>
        <w:t xml:space="preserve"> </w:t>
      </w:r>
      <w:r w:rsidRPr="00EB2BD8">
        <w:rPr>
          <w:rFonts w:ascii="Arial"/>
          <w:i/>
          <w:sz w:val="15"/>
        </w:rPr>
        <w:t>by</w:t>
      </w:r>
      <w:r w:rsidRPr="00EB2BD8">
        <w:rPr>
          <w:rFonts w:ascii="Arial"/>
          <w:i/>
          <w:spacing w:val="-5"/>
          <w:sz w:val="15"/>
        </w:rPr>
        <w:t xml:space="preserve"> </w:t>
      </w:r>
      <w:r w:rsidRPr="00EB2BD8">
        <w:rPr>
          <w:rFonts w:ascii="Arial"/>
          <w:i/>
          <w:sz w:val="15"/>
        </w:rPr>
        <w:t>the</w:t>
      </w:r>
      <w:r w:rsidRPr="00EB2BD8">
        <w:rPr>
          <w:rFonts w:ascii="Arial"/>
          <w:i/>
          <w:spacing w:val="-7"/>
          <w:sz w:val="15"/>
        </w:rPr>
        <w:t xml:space="preserve"> </w:t>
      </w:r>
      <w:r w:rsidRPr="00EB2BD8">
        <w:rPr>
          <w:rFonts w:ascii="Arial"/>
          <w:i/>
          <w:sz w:val="15"/>
        </w:rPr>
        <w:t>various</w:t>
      </w:r>
      <w:r w:rsidRPr="00EB2BD8">
        <w:rPr>
          <w:rFonts w:ascii="Arial"/>
          <w:i/>
          <w:spacing w:val="-5"/>
          <w:sz w:val="15"/>
        </w:rPr>
        <w:t xml:space="preserve"> </w:t>
      </w:r>
      <w:r w:rsidRPr="00EB2BD8">
        <w:rPr>
          <w:rFonts w:ascii="Arial"/>
          <w:i/>
          <w:sz w:val="15"/>
        </w:rPr>
        <w:t>actuaries</w:t>
      </w:r>
      <w:r w:rsidRPr="00EB2BD8">
        <w:rPr>
          <w:rFonts w:ascii="Arial"/>
          <w:i/>
          <w:spacing w:val="-6"/>
          <w:sz w:val="15"/>
        </w:rPr>
        <w:t xml:space="preserve"> </w:t>
      </w:r>
      <w:r w:rsidRPr="00EB2BD8">
        <w:rPr>
          <w:rFonts w:ascii="Arial"/>
          <w:i/>
          <w:sz w:val="15"/>
        </w:rPr>
        <w:t>of</w:t>
      </w:r>
      <w:r w:rsidRPr="00EB2BD8">
        <w:rPr>
          <w:rFonts w:ascii="Arial"/>
          <w:i/>
          <w:spacing w:val="-6"/>
          <w:sz w:val="15"/>
        </w:rPr>
        <w:t xml:space="preserve"> </w:t>
      </w:r>
      <w:r w:rsidRPr="00EB2BD8">
        <w:rPr>
          <w:rFonts w:ascii="Arial"/>
          <w:i/>
          <w:sz w:val="15"/>
        </w:rPr>
        <w:t>the</w:t>
      </w:r>
      <w:r w:rsidRPr="00EB2BD8">
        <w:rPr>
          <w:rFonts w:ascii="Arial"/>
          <w:i/>
          <w:spacing w:val="-6"/>
          <w:sz w:val="15"/>
        </w:rPr>
        <w:t xml:space="preserve"> </w:t>
      </w:r>
      <w:r w:rsidRPr="00EB2BD8">
        <w:rPr>
          <w:rFonts w:ascii="Arial"/>
          <w:i/>
          <w:sz w:val="15"/>
        </w:rPr>
        <w:t>defined</w:t>
      </w:r>
      <w:r w:rsidRPr="00EB2BD8">
        <w:rPr>
          <w:rFonts w:ascii="Arial"/>
          <w:i/>
          <w:spacing w:val="-7"/>
          <w:sz w:val="15"/>
        </w:rPr>
        <w:t xml:space="preserve"> </w:t>
      </w:r>
      <w:r w:rsidRPr="00EB2BD8">
        <w:rPr>
          <w:rFonts w:ascii="Arial"/>
          <w:i/>
          <w:sz w:val="15"/>
        </w:rPr>
        <w:t>benefit</w:t>
      </w:r>
      <w:r w:rsidRPr="00EB2BD8">
        <w:rPr>
          <w:rFonts w:ascii="Arial"/>
          <w:i/>
          <w:spacing w:val="-6"/>
          <w:sz w:val="15"/>
        </w:rPr>
        <w:t xml:space="preserve"> </w:t>
      </w:r>
      <w:r w:rsidRPr="00EB2BD8">
        <w:rPr>
          <w:rFonts w:ascii="Arial"/>
          <w:i/>
          <w:sz w:val="15"/>
        </w:rPr>
        <w:t>superannuation</w:t>
      </w:r>
      <w:r w:rsidRPr="00EB2BD8">
        <w:rPr>
          <w:rFonts w:ascii="Arial"/>
          <w:i/>
          <w:spacing w:val="-7"/>
          <w:sz w:val="15"/>
        </w:rPr>
        <w:t xml:space="preserve"> </w:t>
      </w:r>
      <w:r w:rsidRPr="00EB2BD8">
        <w:rPr>
          <w:rFonts w:ascii="Arial"/>
          <w:i/>
          <w:spacing w:val="-2"/>
          <w:sz w:val="15"/>
        </w:rPr>
        <w:t>plans.</w:t>
      </w:r>
    </w:p>
    <w:p w14:paraId="0841AEB8" w14:textId="77777777" w:rsidR="00084F36" w:rsidRPr="00EB2BD8" w:rsidRDefault="00084F36">
      <w:pPr>
        <w:pStyle w:val="BodyText"/>
        <w:rPr>
          <w:rFonts w:ascii="Arial"/>
          <w:i/>
          <w:sz w:val="20"/>
        </w:rPr>
      </w:pPr>
    </w:p>
    <w:p w14:paraId="5AD8787F" w14:textId="77777777" w:rsidR="00084F36" w:rsidRPr="00EB2BD8" w:rsidRDefault="00084F36">
      <w:pPr>
        <w:pStyle w:val="BodyText"/>
        <w:rPr>
          <w:rFonts w:ascii="Arial"/>
          <w:i/>
          <w:sz w:val="20"/>
        </w:rPr>
      </w:pPr>
    </w:p>
    <w:p w14:paraId="3D938E0F" w14:textId="77777777" w:rsidR="00084F36" w:rsidRPr="00EB2BD8" w:rsidRDefault="00084F36">
      <w:pPr>
        <w:pStyle w:val="BodyText"/>
        <w:rPr>
          <w:rFonts w:ascii="Arial"/>
          <w:i/>
          <w:sz w:val="20"/>
        </w:rPr>
      </w:pPr>
    </w:p>
    <w:p w14:paraId="60BD9AD5" w14:textId="77777777" w:rsidR="00084F36" w:rsidRPr="00EB2BD8" w:rsidRDefault="00084F36">
      <w:pPr>
        <w:pStyle w:val="BodyText"/>
        <w:rPr>
          <w:rFonts w:ascii="Arial"/>
          <w:i/>
          <w:sz w:val="20"/>
        </w:rPr>
      </w:pPr>
    </w:p>
    <w:p w14:paraId="64E9BEDC" w14:textId="77777777" w:rsidR="00084F36" w:rsidRPr="00EB2BD8" w:rsidRDefault="00084F36">
      <w:pPr>
        <w:pStyle w:val="BodyText"/>
        <w:rPr>
          <w:rFonts w:ascii="Arial"/>
          <w:i/>
          <w:sz w:val="20"/>
        </w:rPr>
      </w:pPr>
    </w:p>
    <w:p w14:paraId="764BE3D2" w14:textId="77777777" w:rsidR="00084F36" w:rsidRPr="00EB2BD8" w:rsidRDefault="00084F36">
      <w:pPr>
        <w:pStyle w:val="BodyText"/>
        <w:rPr>
          <w:rFonts w:ascii="Arial"/>
          <w:i/>
          <w:sz w:val="20"/>
        </w:rPr>
      </w:pPr>
    </w:p>
    <w:p w14:paraId="586FF0B0" w14:textId="77777777" w:rsidR="00084F36" w:rsidRPr="00EB2BD8" w:rsidRDefault="00084F36">
      <w:pPr>
        <w:pStyle w:val="BodyText"/>
        <w:rPr>
          <w:rFonts w:ascii="Arial"/>
          <w:i/>
          <w:sz w:val="20"/>
        </w:rPr>
      </w:pPr>
    </w:p>
    <w:p w14:paraId="59718473" w14:textId="77777777" w:rsidR="00084F36" w:rsidRPr="00EB2BD8" w:rsidRDefault="00084F36">
      <w:pPr>
        <w:pStyle w:val="BodyText"/>
        <w:rPr>
          <w:rFonts w:ascii="Arial"/>
          <w:i/>
          <w:sz w:val="20"/>
        </w:rPr>
      </w:pPr>
    </w:p>
    <w:p w14:paraId="72F31AEC" w14:textId="77777777" w:rsidR="00084F36" w:rsidRPr="00EB2BD8" w:rsidRDefault="00084F36">
      <w:pPr>
        <w:pStyle w:val="BodyText"/>
        <w:rPr>
          <w:rFonts w:ascii="Arial"/>
          <w:i/>
          <w:sz w:val="20"/>
        </w:rPr>
      </w:pPr>
    </w:p>
    <w:p w14:paraId="735CC631" w14:textId="77777777" w:rsidR="00084F36" w:rsidRPr="00EB2BD8" w:rsidRDefault="00084F36">
      <w:pPr>
        <w:pStyle w:val="BodyText"/>
        <w:rPr>
          <w:rFonts w:ascii="Arial"/>
          <w:i/>
          <w:sz w:val="20"/>
        </w:rPr>
      </w:pPr>
    </w:p>
    <w:p w14:paraId="492C4CBF" w14:textId="77777777" w:rsidR="00084F36" w:rsidRPr="00EB2BD8" w:rsidRDefault="00084F36">
      <w:pPr>
        <w:pStyle w:val="BodyText"/>
        <w:rPr>
          <w:rFonts w:ascii="Arial"/>
          <w:i/>
          <w:sz w:val="20"/>
        </w:rPr>
      </w:pPr>
    </w:p>
    <w:p w14:paraId="43891A79" w14:textId="77777777" w:rsidR="00084F36" w:rsidRPr="00EB2BD8" w:rsidRDefault="00084F36">
      <w:pPr>
        <w:pStyle w:val="BodyText"/>
        <w:rPr>
          <w:rFonts w:ascii="Arial"/>
          <w:i/>
          <w:sz w:val="20"/>
        </w:rPr>
      </w:pPr>
    </w:p>
    <w:p w14:paraId="7DC95AB0" w14:textId="77777777" w:rsidR="00084F36" w:rsidRPr="00EB2BD8" w:rsidRDefault="00084F36">
      <w:pPr>
        <w:pStyle w:val="BodyText"/>
        <w:rPr>
          <w:rFonts w:ascii="Arial"/>
          <w:i/>
          <w:sz w:val="20"/>
        </w:rPr>
      </w:pPr>
    </w:p>
    <w:p w14:paraId="30A8FDC3" w14:textId="77777777" w:rsidR="00084F36" w:rsidRPr="00EB2BD8" w:rsidRDefault="00084F36">
      <w:pPr>
        <w:pStyle w:val="BodyText"/>
        <w:rPr>
          <w:rFonts w:ascii="Arial"/>
          <w:i/>
          <w:sz w:val="20"/>
        </w:rPr>
      </w:pPr>
    </w:p>
    <w:p w14:paraId="5E1BE400" w14:textId="77777777" w:rsidR="00084F36" w:rsidRPr="00EB2BD8" w:rsidRDefault="00084F36">
      <w:pPr>
        <w:pStyle w:val="BodyText"/>
        <w:rPr>
          <w:rFonts w:ascii="Arial"/>
          <w:i/>
          <w:sz w:val="20"/>
        </w:rPr>
      </w:pPr>
    </w:p>
    <w:p w14:paraId="6F06BCBF" w14:textId="77777777" w:rsidR="00084F36" w:rsidRPr="00EB2BD8" w:rsidRDefault="00084F36">
      <w:pPr>
        <w:pStyle w:val="BodyText"/>
        <w:rPr>
          <w:rFonts w:ascii="Arial"/>
          <w:i/>
          <w:sz w:val="20"/>
        </w:rPr>
      </w:pPr>
    </w:p>
    <w:p w14:paraId="7083E90A" w14:textId="77777777" w:rsidR="00084F36" w:rsidRPr="00EB2BD8" w:rsidRDefault="00084F36">
      <w:pPr>
        <w:pStyle w:val="BodyText"/>
        <w:rPr>
          <w:rFonts w:ascii="Arial"/>
          <w:i/>
          <w:sz w:val="20"/>
        </w:rPr>
      </w:pPr>
    </w:p>
    <w:p w14:paraId="0F901601" w14:textId="77777777" w:rsidR="00084F36" w:rsidRPr="00EB2BD8" w:rsidRDefault="00084F36">
      <w:pPr>
        <w:pStyle w:val="BodyText"/>
        <w:rPr>
          <w:rFonts w:ascii="Arial"/>
          <w:i/>
          <w:sz w:val="20"/>
        </w:rPr>
      </w:pPr>
    </w:p>
    <w:p w14:paraId="25A8D119" w14:textId="77777777" w:rsidR="00084F36" w:rsidRPr="00EB2BD8" w:rsidRDefault="00084F36">
      <w:pPr>
        <w:pStyle w:val="BodyText"/>
        <w:rPr>
          <w:rFonts w:ascii="Arial"/>
          <w:i/>
          <w:sz w:val="20"/>
        </w:rPr>
      </w:pPr>
    </w:p>
    <w:p w14:paraId="586A706A" w14:textId="77777777" w:rsidR="00084F36" w:rsidRPr="00EB2BD8" w:rsidRDefault="00084F36">
      <w:pPr>
        <w:pStyle w:val="BodyText"/>
        <w:rPr>
          <w:rFonts w:ascii="Arial"/>
          <w:i/>
          <w:sz w:val="20"/>
        </w:rPr>
      </w:pPr>
    </w:p>
    <w:p w14:paraId="06678587" w14:textId="77777777" w:rsidR="00084F36" w:rsidRPr="00EB2BD8" w:rsidRDefault="00084F36">
      <w:pPr>
        <w:pStyle w:val="BodyText"/>
        <w:rPr>
          <w:rFonts w:ascii="Arial"/>
          <w:i/>
          <w:sz w:val="20"/>
        </w:rPr>
      </w:pPr>
    </w:p>
    <w:p w14:paraId="4C7A388D" w14:textId="77777777" w:rsidR="00084F36" w:rsidRPr="00EB2BD8" w:rsidRDefault="00084F36">
      <w:pPr>
        <w:pStyle w:val="BodyText"/>
        <w:rPr>
          <w:rFonts w:ascii="Arial"/>
          <w:i/>
          <w:sz w:val="20"/>
        </w:rPr>
      </w:pPr>
    </w:p>
    <w:p w14:paraId="07D84F05" w14:textId="77777777" w:rsidR="00084F36" w:rsidRPr="00EB2BD8" w:rsidRDefault="00084F36">
      <w:pPr>
        <w:pStyle w:val="BodyText"/>
        <w:rPr>
          <w:rFonts w:ascii="Arial"/>
          <w:i/>
          <w:sz w:val="20"/>
        </w:rPr>
      </w:pPr>
    </w:p>
    <w:p w14:paraId="105C2579" w14:textId="77777777" w:rsidR="00084F36" w:rsidRPr="00EB2BD8" w:rsidRDefault="00084F36">
      <w:pPr>
        <w:pStyle w:val="BodyText"/>
        <w:spacing w:before="8"/>
        <w:rPr>
          <w:rFonts w:ascii="Arial"/>
          <w:i/>
          <w:sz w:val="23"/>
        </w:rPr>
      </w:pPr>
    </w:p>
    <w:p w14:paraId="3A163E57" w14:textId="634D5498" w:rsidR="00084F36" w:rsidRPr="00EB2BD8" w:rsidRDefault="00084F36">
      <w:pPr>
        <w:spacing w:before="95"/>
        <w:ind w:right="888"/>
        <w:jc w:val="right"/>
        <w:rPr>
          <w:sz w:val="16"/>
        </w:rPr>
      </w:pPr>
    </w:p>
    <w:p w14:paraId="02626FF8" w14:textId="77777777" w:rsidR="00084F36" w:rsidRPr="00EB2BD8" w:rsidRDefault="00084F36">
      <w:pPr>
        <w:jc w:val="right"/>
        <w:rPr>
          <w:sz w:val="16"/>
        </w:rPr>
        <w:sectPr w:rsidR="00084F36" w:rsidRPr="00EB2BD8" w:rsidSect="006D75B2">
          <w:headerReference w:type="default" r:id="rId282"/>
          <w:footerReference w:type="default" r:id="rId283"/>
          <w:pgSz w:w="11910" w:h="16840"/>
          <w:pgMar w:top="760" w:right="0" w:bottom="280" w:left="0" w:header="0" w:footer="0" w:gutter="0"/>
          <w:cols w:space="720"/>
        </w:sectPr>
      </w:pPr>
    </w:p>
    <w:p w14:paraId="3CEE7DDF" w14:textId="77777777" w:rsidR="00084F36" w:rsidRPr="00EB2BD8" w:rsidRDefault="00084F36">
      <w:pPr>
        <w:pStyle w:val="BodyText"/>
        <w:rPr>
          <w:sz w:val="20"/>
        </w:rPr>
      </w:pPr>
    </w:p>
    <w:p w14:paraId="245FB379" w14:textId="77777777" w:rsidR="00084F36" w:rsidRPr="00EB2BD8" w:rsidRDefault="00084F36">
      <w:pPr>
        <w:pStyle w:val="BodyText"/>
        <w:rPr>
          <w:sz w:val="20"/>
        </w:rPr>
      </w:pPr>
    </w:p>
    <w:p w14:paraId="0674EC2C" w14:textId="77777777" w:rsidR="00084F36" w:rsidRPr="00EB2BD8" w:rsidRDefault="00084F36">
      <w:pPr>
        <w:pStyle w:val="BodyText"/>
        <w:rPr>
          <w:sz w:val="20"/>
        </w:rPr>
      </w:pPr>
    </w:p>
    <w:p w14:paraId="4E9504D6" w14:textId="77777777" w:rsidR="00084F36" w:rsidRPr="00EB2BD8" w:rsidRDefault="00084F36">
      <w:pPr>
        <w:pStyle w:val="BodyText"/>
        <w:rPr>
          <w:sz w:val="20"/>
        </w:rPr>
      </w:pPr>
    </w:p>
    <w:p w14:paraId="45E77011" w14:textId="77777777" w:rsidR="00084F36" w:rsidRPr="00EB2BD8" w:rsidRDefault="00084F36">
      <w:pPr>
        <w:pStyle w:val="BodyText"/>
        <w:rPr>
          <w:sz w:val="20"/>
        </w:rPr>
      </w:pPr>
    </w:p>
    <w:p w14:paraId="5AC30C59" w14:textId="154E27A8" w:rsidR="00084F36" w:rsidRPr="00EB2BD8" w:rsidRDefault="00084F36">
      <w:pPr>
        <w:pStyle w:val="BodyText"/>
        <w:spacing w:before="7"/>
      </w:pPr>
    </w:p>
    <w:p w14:paraId="07BD99D0" w14:textId="6DAEA178" w:rsidR="00084F36" w:rsidRPr="00EB2BD8" w:rsidRDefault="00436F78" w:rsidP="00436F78">
      <w:pPr>
        <w:pStyle w:val="Heading2"/>
      </w:pPr>
      <w:r>
        <w:t xml:space="preserve">  </w:t>
      </w:r>
      <w:bookmarkStart w:id="280" w:name="_Toc150762582"/>
      <w:r w:rsidR="004D7D83">
        <w:t>3.2 O</w:t>
      </w:r>
      <w:r w:rsidR="004D7D83" w:rsidRPr="00EB2BD8">
        <w:t>ther</w:t>
      </w:r>
      <w:r w:rsidR="004D7D83" w:rsidRPr="00EB2BD8">
        <w:rPr>
          <w:spacing w:val="17"/>
        </w:rPr>
        <w:t xml:space="preserve"> </w:t>
      </w:r>
      <w:r w:rsidR="004D7D83" w:rsidRPr="00EB2BD8">
        <w:t>operating</w:t>
      </w:r>
      <w:r w:rsidR="004D7D83" w:rsidRPr="00EB2BD8">
        <w:rPr>
          <w:spacing w:val="17"/>
        </w:rPr>
        <w:t xml:space="preserve"> </w:t>
      </w:r>
      <w:r w:rsidR="004D7D83" w:rsidRPr="00EB2BD8">
        <w:rPr>
          <w:spacing w:val="-2"/>
        </w:rPr>
        <w:t>expenses</w:t>
      </w:r>
      <w:bookmarkEnd w:id="280"/>
    </w:p>
    <w:p w14:paraId="0FC26E1F" w14:textId="77777777" w:rsidR="00084F36" w:rsidRPr="00EB2BD8" w:rsidRDefault="00084F36">
      <w:pPr>
        <w:pStyle w:val="BodyText"/>
        <w:rPr>
          <w:rFonts w:ascii="Arial"/>
          <w:b/>
          <w:sz w:val="12"/>
        </w:rPr>
      </w:pPr>
    </w:p>
    <w:p w14:paraId="31075F86" w14:textId="77777777" w:rsidR="00084F36" w:rsidRPr="00EB2BD8" w:rsidRDefault="00EB2BD8">
      <w:pPr>
        <w:spacing w:before="102" w:after="57"/>
        <w:ind w:right="1816"/>
        <w:jc w:val="right"/>
        <w:rPr>
          <w:rFonts w:ascii="Arial" w:hAnsi="Arial"/>
          <w:sz w:val="16"/>
        </w:rPr>
      </w:pPr>
      <w:r w:rsidRPr="00EB2BD8">
        <w:rPr>
          <w:rFonts w:ascii="Arial" w:hAnsi="Arial"/>
          <w:spacing w:val="-2"/>
          <w:w w:val="105"/>
          <w:sz w:val="16"/>
        </w:rPr>
        <w:t>($’000)</w:t>
      </w:r>
    </w:p>
    <w:tbl>
      <w:tblPr>
        <w:tblW w:w="0" w:type="auto"/>
        <w:tblInd w:w="985" w:type="dxa"/>
        <w:tblLayout w:type="fixed"/>
        <w:tblCellMar>
          <w:left w:w="0" w:type="dxa"/>
          <w:right w:w="0" w:type="dxa"/>
        </w:tblCellMar>
        <w:tblLook w:val="01E0" w:firstRow="1" w:lastRow="1" w:firstColumn="1" w:lastColumn="1" w:noHBand="0" w:noVBand="0"/>
      </w:tblPr>
      <w:tblGrid>
        <w:gridCol w:w="7010"/>
        <w:gridCol w:w="1190"/>
        <w:gridCol w:w="1006"/>
      </w:tblGrid>
      <w:tr w:rsidR="00EB2BD8" w:rsidRPr="00EB2BD8" w14:paraId="25629AB7" w14:textId="77777777">
        <w:trPr>
          <w:trHeight w:val="319"/>
        </w:trPr>
        <w:tc>
          <w:tcPr>
            <w:tcW w:w="8200" w:type="dxa"/>
            <w:gridSpan w:val="2"/>
            <w:tcBorders>
              <w:top w:val="single" w:sz="4" w:space="0" w:color="0098FF"/>
              <w:bottom w:val="single" w:sz="4" w:space="0" w:color="0098FF"/>
            </w:tcBorders>
            <w:shd w:val="clear" w:color="auto" w:fill="0070C0"/>
          </w:tcPr>
          <w:p w14:paraId="02E85D5E" w14:textId="77777777" w:rsidR="00084F36" w:rsidRPr="00EB2BD8" w:rsidRDefault="00EB2BD8">
            <w:pPr>
              <w:pStyle w:val="TableParagraph"/>
              <w:spacing w:before="70"/>
              <w:ind w:right="13"/>
              <w:jc w:val="right"/>
              <w:rPr>
                <w:rFonts w:ascii="Arial"/>
                <w:b/>
                <w:sz w:val="16"/>
              </w:rPr>
            </w:pPr>
            <w:r w:rsidRPr="00EB2BD8">
              <w:rPr>
                <w:rFonts w:ascii="Arial"/>
                <w:b/>
                <w:spacing w:val="-4"/>
                <w:w w:val="105"/>
                <w:sz w:val="16"/>
              </w:rPr>
              <w:t>2023</w:t>
            </w:r>
          </w:p>
        </w:tc>
        <w:tc>
          <w:tcPr>
            <w:tcW w:w="1006" w:type="dxa"/>
            <w:tcBorders>
              <w:top w:val="single" w:sz="4" w:space="0" w:color="0098FF"/>
              <w:bottom w:val="single" w:sz="4" w:space="0" w:color="0098FF"/>
              <w:right w:val="single" w:sz="4" w:space="0" w:color="0098FF"/>
            </w:tcBorders>
            <w:shd w:val="clear" w:color="auto" w:fill="0070C0"/>
          </w:tcPr>
          <w:p w14:paraId="27528FC7" w14:textId="77777777" w:rsidR="00084F36" w:rsidRPr="00EB2BD8" w:rsidRDefault="00EB2BD8">
            <w:pPr>
              <w:pStyle w:val="TableParagraph"/>
              <w:spacing w:before="70"/>
              <w:ind w:right="89"/>
              <w:jc w:val="right"/>
              <w:rPr>
                <w:rFonts w:ascii="Arial"/>
                <w:b/>
                <w:sz w:val="16"/>
              </w:rPr>
            </w:pPr>
            <w:r w:rsidRPr="00EB2BD8">
              <w:rPr>
                <w:rFonts w:ascii="Arial"/>
                <w:b/>
                <w:spacing w:val="-4"/>
                <w:w w:val="105"/>
                <w:sz w:val="16"/>
              </w:rPr>
              <w:t>2022</w:t>
            </w:r>
          </w:p>
        </w:tc>
      </w:tr>
      <w:tr w:rsidR="00EB2BD8" w:rsidRPr="00EB2BD8" w14:paraId="669172EF" w14:textId="77777777">
        <w:trPr>
          <w:trHeight w:val="321"/>
        </w:trPr>
        <w:tc>
          <w:tcPr>
            <w:tcW w:w="7010" w:type="dxa"/>
            <w:tcBorders>
              <w:top w:val="single" w:sz="4" w:space="0" w:color="0098FF"/>
            </w:tcBorders>
            <w:shd w:val="clear" w:color="auto" w:fill="FFFFFF"/>
          </w:tcPr>
          <w:p w14:paraId="52D62BA8" w14:textId="77777777" w:rsidR="00084F36" w:rsidRPr="00EB2BD8" w:rsidRDefault="00EB2BD8">
            <w:pPr>
              <w:pStyle w:val="TableParagraph"/>
              <w:spacing w:before="70"/>
              <w:ind w:left="105"/>
              <w:rPr>
                <w:rFonts w:ascii="Arial"/>
                <w:sz w:val="16"/>
              </w:rPr>
            </w:pPr>
            <w:r w:rsidRPr="00EB2BD8">
              <w:rPr>
                <w:rFonts w:ascii="Arial"/>
                <w:w w:val="105"/>
                <w:sz w:val="16"/>
              </w:rPr>
              <w:t>Accommodation</w:t>
            </w:r>
            <w:r w:rsidRPr="00EB2BD8">
              <w:rPr>
                <w:rFonts w:ascii="Arial"/>
                <w:spacing w:val="-11"/>
                <w:w w:val="105"/>
                <w:sz w:val="16"/>
              </w:rPr>
              <w:t xml:space="preserve"> </w:t>
            </w:r>
            <w:r w:rsidRPr="00EB2BD8">
              <w:rPr>
                <w:rFonts w:ascii="Arial"/>
                <w:w w:val="105"/>
                <w:sz w:val="16"/>
              </w:rPr>
              <w:t>and</w:t>
            </w:r>
            <w:r w:rsidRPr="00EB2BD8">
              <w:rPr>
                <w:rFonts w:ascii="Arial"/>
                <w:spacing w:val="-11"/>
                <w:w w:val="105"/>
                <w:sz w:val="16"/>
              </w:rPr>
              <w:t xml:space="preserve"> </w:t>
            </w:r>
            <w:r w:rsidRPr="00EB2BD8">
              <w:rPr>
                <w:rFonts w:ascii="Arial"/>
                <w:spacing w:val="-2"/>
                <w:w w:val="105"/>
                <w:sz w:val="16"/>
              </w:rPr>
              <w:t>utilities</w:t>
            </w:r>
          </w:p>
        </w:tc>
        <w:tc>
          <w:tcPr>
            <w:tcW w:w="1190" w:type="dxa"/>
            <w:tcBorders>
              <w:top w:val="single" w:sz="4" w:space="0" w:color="0098FF"/>
            </w:tcBorders>
            <w:shd w:val="clear" w:color="auto" w:fill="DEEAF6"/>
          </w:tcPr>
          <w:p w14:paraId="7D55A950" w14:textId="77777777" w:rsidR="00084F36" w:rsidRPr="00EB2BD8" w:rsidRDefault="00EB2BD8">
            <w:pPr>
              <w:pStyle w:val="TableParagraph"/>
              <w:spacing w:before="70"/>
              <w:ind w:right="14"/>
              <w:jc w:val="right"/>
              <w:rPr>
                <w:rFonts w:ascii="Arial"/>
                <w:sz w:val="16"/>
              </w:rPr>
            </w:pPr>
            <w:r w:rsidRPr="00EB2BD8">
              <w:rPr>
                <w:rFonts w:ascii="Arial"/>
                <w:spacing w:val="-2"/>
                <w:w w:val="105"/>
                <w:sz w:val="16"/>
              </w:rPr>
              <w:t>1,447</w:t>
            </w:r>
          </w:p>
        </w:tc>
        <w:tc>
          <w:tcPr>
            <w:tcW w:w="1006" w:type="dxa"/>
            <w:tcBorders>
              <w:top w:val="single" w:sz="4" w:space="0" w:color="0098FF"/>
            </w:tcBorders>
            <w:shd w:val="clear" w:color="auto" w:fill="FFFFFF"/>
          </w:tcPr>
          <w:p w14:paraId="5A4D67BC" w14:textId="77777777" w:rsidR="00084F36" w:rsidRPr="00EB2BD8" w:rsidRDefault="00EB2BD8">
            <w:pPr>
              <w:pStyle w:val="TableParagraph"/>
              <w:spacing w:before="70"/>
              <w:ind w:right="94"/>
              <w:jc w:val="right"/>
              <w:rPr>
                <w:rFonts w:ascii="Arial"/>
                <w:sz w:val="16"/>
              </w:rPr>
            </w:pPr>
            <w:r w:rsidRPr="00EB2BD8">
              <w:rPr>
                <w:rFonts w:ascii="Arial"/>
                <w:spacing w:val="-2"/>
                <w:w w:val="105"/>
                <w:sz w:val="16"/>
              </w:rPr>
              <w:t>1,515</w:t>
            </w:r>
          </w:p>
        </w:tc>
      </w:tr>
      <w:tr w:rsidR="00EB2BD8" w:rsidRPr="00EB2BD8" w14:paraId="7E8DD1FF" w14:textId="77777777">
        <w:trPr>
          <w:trHeight w:val="320"/>
        </w:trPr>
        <w:tc>
          <w:tcPr>
            <w:tcW w:w="7010" w:type="dxa"/>
            <w:shd w:val="clear" w:color="auto" w:fill="FFFFFF"/>
          </w:tcPr>
          <w:p w14:paraId="74F31A48" w14:textId="77777777" w:rsidR="00084F36" w:rsidRPr="00EB2BD8" w:rsidRDefault="00EB2BD8">
            <w:pPr>
              <w:pStyle w:val="TableParagraph"/>
              <w:spacing w:before="55"/>
              <w:ind w:left="105"/>
              <w:rPr>
                <w:rFonts w:ascii="Arial"/>
                <w:sz w:val="11"/>
              </w:rPr>
            </w:pPr>
            <w:r w:rsidRPr="00EB2BD8">
              <w:rPr>
                <w:rFonts w:ascii="Arial"/>
                <w:w w:val="105"/>
                <w:sz w:val="16"/>
              </w:rPr>
              <w:t>Payments</w:t>
            </w:r>
            <w:r w:rsidRPr="00EB2BD8">
              <w:rPr>
                <w:rFonts w:ascii="Arial"/>
                <w:spacing w:val="-7"/>
                <w:w w:val="105"/>
                <w:sz w:val="16"/>
              </w:rPr>
              <w:t xml:space="preserve"> </w:t>
            </w:r>
            <w:r w:rsidRPr="00EB2BD8">
              <w:rPr>
                <w:rFonts w:ascii="Arial"/>
                <w:w w:val="105"/>
                <w:sz w:val="16"/>
              </w:rPr>
              <w:t>to</w:t>
            </w:r>
            <w:r w:rsidRPr="00EB2BD8">
              <w:rPr>
                <w:rFonts w:ascii="Arial"/>
                <w:spacing w:val="-7"/>
                <w:w w:val="105"/>
                <w:sz w:val="16"/>
              </w:rPr>
              <w:t xml:space="preserve"> </w:t>
            </w:r>
            <w:r w:rsidRPr="00EB2BD8">
              <w:rPr>
                <w:rFonts w:ascii="Arial"/>
                <w:w w:val="105"/>
                <w:sz w:val="16"/>
              </w:rPr>
              <w:t>DEECA</w:t>
            </w:r>
            <w:r w:rsidRPr="00EB2BD8">
              <w:rPr>
                <w:rFonts w:ascii="Arial"/>
                <w:spacing w:val="-7"/>
                <w:w w:val="105"/>
                <w:sz w:val="16"/>
              </w:rPr>
              <w:t xml:space="preserve"> </w:t>
            </w:r>
            <w:r w:rsidRPr="00EB2BD8">
              <w:rPr>
                <w:rFonts w:ascii="Arial"/>
                <w:w w:val="105"/>
                <w:sz w:val="16"/>
              </w:rPr>
              <w:t>for</w:t>
            </w:r>
            <w:r w:rsidRPr="00EB2BD8">
              <w:rPr>
                <w:rFonts w:ascii="Arial"/>
                <w:spacing w:val="-7"/>
                <w:w w:val="105"/>
                <w:sz w:val="16"/>
              </w:rPr>
              <w:t xml:space="preserve"> </w:t>
            </w:r>
            <w:r w:rsidRPr="00EB2BD8">
              <w:rPr>
                <w:rFonts w:ascii="Arial"/>
                <w:w w:val="105"/>
                <w:sz w:val="16"/>
              </w:rPr>
              <w:t>supporting</w:t>
            </w:r>
            <w:r w:rsidRPr="00EB2BD8">
              <w:rPr>
                <w:rFonts w:ascii="Arial"/>
                <w:spacing w:val="-7"/>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building</w:t>
            </w:r>
            <w:r w:rsidRPr="00EB2BD8">
              <w:rPr>
                <w:rFonts w:ascii="Arial"/>
                <w:spacing w:val="-7"/>
                <w:w w:val="105"/>
                <w:sz w:val="16"/>
              </w:rPr>
              <w:t xml:space="preserve"> </w:t>
            </w:r>
            <w:r w:rsidRPr="00EB2BD8">
              <w:rPr>
                <w:rFonts w:ascii="Arial"/>
                <w:w w:val="105"/>
                <w:sz w:val="16"/>
              </w:rPr>
              <w:t>policy</w:t>
            </w:r>
            <w:r w:rsidRPr="00EB2BD8">
              <w:rPr>
                <w:rFonts w:ascii="Arial"/>
                <w:spacing w:val="-6"/>
                <w:w w:val="105"/>
                <w:sz w:val="16"/>
              </w:rPr>
              <w:t xml:space="preserve"> </w:t>
            </w:r>
            <w:r w:rsidRPr="00EB2BD8">
              <w:rPr>
                <w:rFonts w:ascii="Arial"/>
                <w:spacing w:val="-2"/>
                <w:w w:val="105"/>
                <w:sz w:val="16"/>
              </w:rPr>
              <w:t>function</w:t>
            </w:r>
            <w:r w:rsidRPr="00EB2BD8">
              <w:rPr>
                <w:rFonts w:ascii="Arial"/>
                <w:spacing w:val="-2"/>
                <w:w w:val="105"/>
                <w:position w:val="6"/>
                <w:sz w:val="11"/>
              </w:rPr>
              <w:t>(a)</w:t>
            </w:r>
          </w:p>
        </w:tc>
        <w:tc>
          <w:tcPr>
            <w:tcW w:w="1190" w:type="dxa"/>
            <w:shd w:val="clear" w:color="auto" w:fill="DEEAF6"/>
          </w:tcPr>
          <w:p w14:paraId="2D4425BB" w14:textId="77777777" w:rsidR="00084F36" w:rsidRPr="00EB2BD8" w:rsidRDefault="00EB2BD8">
            <w:pPr>
              <w:pStyle w:val="TableParagraph"/>
              <w:spacing w:before="68"/>
              <w:ind w:right="13"/>
              <w:jc w:val="right"/>
              <w:rPr>
                <w:rFonts w:ascii="Arial"/>
                <w:sz w:val="16"/>
              </w:rPr>
            </w:pPr>
            <w:r w:rsidRPr="00EB2BD8">
              <w:rPr>
                <w:rFonts w:ascii="Arial"/>
                <w:spacing w:val="-4"/>
                <w:w w:val="105"/>
                <w:sz w:val="16"/>
              </w:rPr>
              <w:t>1,563</w:t>
            </w:r>
          </w:p>
        </w:tc>
        <w:tc>
          <w:tcPr>
            <w:tcW w:w="1006" w:type="dxa"/>
            <w:shd w:val="clear" w:color="auto" w:fill="FFFFFF"/>
          </w:tcPr>
          <w:p w14:paraId="2A684E3A" w14:textId="77777777" w:rsidR="00084F36" w:rsidRPr="00EB2BD8" w:rsidRDefault="00EB2BD8">
            <w:pPr>
              <w:pStyle w:val="TableParagraph"/>
              <w:spacing w:before="68"/>
              <w:ind w:right="94"/>
              <w:jc w:val="right"/>
              <w:rPr>
                <w:rFonts w:ascii="Arial"/>
                <w:sz w:val="16"/>
              </w:rPr>
            </w:pPr>
            <w:r w:rsidRPr="00EB2BD8">
              <w:rPr>
                <w:rFonts w:ascii="Arial"/>
                <w:spacing w:val="-2"/>
                <w:w w:val="105"/>
                <w:sz w:val="16"/>
              </w:rPr>
              <w:t>1,534</w:t>
            </w:r>
          </w:p>
        </w:tc>
      </w:tr>
      <w:tr w:rsidR="00EB2BD8" w:rsidRPr="00EB2BD8" w14:paraId="3885AB62" w14:textId="77777777">
        <w:trPr>
          <w:trHeight w:val="319"/>
        </w:trPr>
        <w:tc>
          <w:tcPr>
            <w:tcW w:w="7010" w:type="dxa"/>
            <w:shd w:val="clear" w:color="auto" w:fill="FFFFFF"/>
          </w:tcPr>
          <w:p w14:paraId="21BE160E" w14:textId="77777777" w:rsidR="00084F36" w:rsidRPr="00EB2BD8" w:rsidRDefault="00EB2BD8">
            <w:pPr>
              <w:pStyle w:val="TableParagraph"/>
              <w:spacing w:before="68"/>
              <w:ind w:left="105"/>
              <w:rPr>
                <w:rFonts w:ascii="Arial"/>
                <w:sz w:val="16"/>
              </w:rPr>
            </w:pPr>
            <w:r w:rsidRPr="00EB2BD8">
              <w:rPr>
                <w:rFonts w:ascii="Arial"/>
                <w:w w:val="105"/>
                <w:sz w:val="16"/>
              </w:rPr>
              <w:t>Legal</w:t>
            </w:r>
            <w:r w:rsidRPr="00EB2BD8">
              <w:rPr>
                <w:rFonts w:ascii="Arial"/>
                <w:spacing w:val="-8"/>
                <w:w w:val="105"/>
                <w:sz w:val="16"/>
              </w:rPr>
              <w:t xml:space="preserve"> </w:t>
            </w:r>
            <w:r w:rsidRPr="00EB2BD8">
              <w:rPr>
                <w:rFonts w:ascii="Arial"/>
                <w:spacing w:val="-4"/>
                <w:w w:val="105"/>
                <w:sz w:val="16"/>
              </w:rPr>
              <w:t>fees</w:t>
            </w:r>
          </w:p>
        </w:tc>
        <w:tc>
          <w:tcPr>
            <w:tcW w:w="1190" w:type="dxa"/>
            <w:shd w:val="clear" w:color="auto" w:fill="DEEAF6"/>
          </w:tcPr>
          <w:p w14:paraId="1460D8A7" w14:textId="77777777" w:rsidR="00084F36" w:rsidRPr="00EB2BD8" w:rsidRDefault="00EB2BD8">
            <w:pPr>
              <w:pStyle w:val="TableParagraph"/>
              <w:spacing w:before="68"/>
              <w:ind w:right="14"/>
              <w:jc w:val="right"/>
              <w:rPr>
                <w:rFonts w:ascii="Arial"/>
                <w:sz w:val="16"/>
              </w:rPr>
            </w:pPr>
            <w:r w:rsidRPr="00EB2BD8">
              <w:rPr>
                <w:rFonts w:ascii="Arial"/>
                <w:spacing w:val="-2"/>
                <w:w w:val="105"/>
                <w:sz w:val="16"/>
              </w:rPr>
              <w:t>2,025</w:t>
            </w:r>
          </w:p>
        </w:tc>
        <w:tc>
          <w:tcPr>
            <w:tcW w:w="1006" w:type="dxa"/>
            <w:shd w:val="clear" w:color="auto" w:fill="FFFFFF"/>
          </w:tcPr>
          <w:p w14:paraId="62642FAB" w14:textId="77777777" w:rsidR="00084F36" w:rsidRPr="00EB2BD8" w:rsidRDefault="00EB2BD8">
            <w:pPr>
              <w:pStyle w:val="TableParagraph"/>
              <w:spacing w:before="68"/>
              <w:ind w:right="94"/>
              <w:jc w:val="right"/>
              <w:rPr>
                <w:rFonts w:ascii="Arial"/>
                <w:sz w:val="16"/>
              </w:rPr>
            </w:pPr>
            <w:r w:rsidRPr="00EB2BD8">
              <w:rPr>
                <w:rFonts w:ascii="Arial"/>
                <w:spacing w:val="-2"/>
                <w:w w:val="105"/>
                <w:sz w:val="16"/>
              </w:rPr>
              <w:t>1,404</w:t>
            </w:r>
          </w:p>
        </w:tc>
      </w:tr>
      <w:tr w:rsidR="00EB2BD8" w:rsidRPr="00EB2BD8" w14:paraId="2DEBCD38" w14:textId="77777777">
        <w:trPr>
          <w:trHeight w:val="319"/>
        </w:trPr>
        <w:tc>
          <w:tcPr>
            <w:tcW w:w="7010" w:type="dxa"/>
            <w:shd w:val="clear" w:color="auto" w:fill="FFFFFF"/>
          </w:tcPr>
          <w:p w14:paraId="7B0C9688" w14:textId="77777777" w:rsidR="00084F36" w:rsidRPr="00EB2BD8" w:rsidRDefault="00EB2BD8">
            <w:pPr>
              <w:pStyle w:val="TableParagraph"/>
              <w:spacing w:before="67"/>
              <w:ind w:left="105"/>
              <w:rPr>
                <w:rFonts w:ascii="Arial"/>
                <w:sz w:val="16"/>
              </w:rPr>
            </w:pPr>
            <w:r w:rsidRPr="00EB2BD8">
              <w:rPr>
                <w:rFonts w:ascii="Arial"/>
                <w:w w:val="105"/>
                <w:sz w:val="16"/>
              </w:rPr>
              <w:t>IT</w:t>
            </w:r>
            <w:r w:rsidRPr="00EB2BD8">
              <w:rPr>
                <w:rFonts w:ascii="Arial"/>
                <w:spacing w:val="-8"/>
                <w:w w:val="105"/>
                <w:sz w:val="16"/>
              </w:rPr>
              <w:t xml:space="preserve"> </w:t>
            </w:r>
            <w:r w:rsidRPr="00EB2BD8">
              <w:rPr>
                <w:rFonts w:ascii="Arial"/>
                <w:w w:val="105"/>
                <w:sz w:val="16"/>
              </w:rPr>
              <w:t>services</w:t>
            </w:r>
            <w:r w:rsidRPr="00EB2BD8">
              <w:rPr>
                <w:rFonts w:ascii="Arial"/>
                <w:spacing w:val="-8"/>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records</w:t>
            </w:r>
            <w:r w:rsidRPr="00EB2BD8">
              <w:rPr>
                <w:rFonts w:ascii="Arial"/>
                <w:spacing w:val="-8"/>
                <w:w w:val="105"/>
                <w:sz w:val="16"/>
              </w:rPr>
              <w:t xml:space="preserve"> </w:t>
            </w:r>
            <w:r w:rsidRPr="00EB2BD8">
              <w:rPr>
                <w:rFonts w:ascii="Arial"/>
                <w:w w:val="105"/>
                <w:sz w:val="16"/>
              </w:rPr>
              <w:t>management</w:t>
            </w:r>
            <w:r w:rsidRPr="00EB2BD8">
              <w:rPr>
                <w:rFonts w:ascii="Arial"/>
                <w:spacing w:val="-7"/>
                <w:w w:val="105"/>
                <w:sz w:val="16"/>
              </w:rPr>
              <w:t xml:space="preserve"> </w:t>
            </w:r>
            <w:r w:rsidRPr="00EB2BD8">
              <w:rPr>
                <w:rFonts w:ascii="Arial"/>
                <w:spacing w:val="-2"/>
                <w:w w:val="105"/>
                <w:sz w:val="16"/>
              </w:rPr>
              <w:t>expenses</w:t>
            </w:r>
          </w:p>
        </w:tc>
        <w:tc>
          <w:tcPr>
            <w:tcW w:w="1190" w:type="dxa"/>
            <w:shd w:val="clear" w:color="auto" w:fill="DEEAF6"/>
          </w:tcPr>
          <w:p w14:paraId="2CF7C7A2" w14:textId="77777777" w:rsidR="00084F36" w:rsidRPr="00EB2BD8" w:rsidRDefault="00EB2BD8">
            <w:pPr>
              <w:pStyle w:val="TableParagraph"/>
              <w:spacing w:before="67"/>
              <w:ind w:right="14"/>
              <w:jc w:val="right"/>
              <w:rPr>
                <w:rFonts w:ascii="Arial"/>
                <w:sz w:val="16"/>
              </w:rPr>
            </w:pPr>
            <w:r w:rsidRPr="00EB2BD8">
              <w:rPr>
                <w:rFonts w:ascii="Arial"/>
                <w:spacing w:val="-2"/>
                <w:w w:val="105"/>
                <w:sz w:val="16"/>
              </w:rPr>
              <w:t>5,848</w:t>
            </w:r>
          </w:p>
        </w:tc>
        <w:tc>
          <w:tcPr>
            <w:tcW w:w="1006" w:type="dxa"/>
            <w:shd w:val="clear" w:color="auto" w:fill="FFFFFF"/>
          </w:tcPr>
          <w:p w14:paraId="38B25ECE" w14:textId="77777777" w:rsidR="00084F36" w:rsidRPr="00EB2BD8" w:rsidRDefault="00EB2BD8">
            <w:pPr>
              <w:pStyle w:val="TableParagraph"/>
              <w:spacing w:before="67"/>
              <w:ind w:right="94"/>
              <w:jc w:val="right"/>
              <w:rPr>
                <w:rFonts w:ascii="Arial"/>
                <w:sz w:val="16"/>
              </w:rPr>
            </w:pPr>
            <w:r w:rsidRPr="00EB2BD8">
              <w:rPr>
                <w:rFonts w:ascii="Arial"/>
                <w:spacing w:val="-2"/>
                <w:w w:val="105"/>
                <w:sz w:val="16"/>
              </w:rPr>
              <w:t>4,197</w:t>
            </w:r>
          </w:p>
        </w:tc>
      </w:tr>
      <w:tr w:rsidR="00EB2BD8" w:rsidRPr="00EB2BD8" w14:paraId="6038AFF5" w14:textId="77777777">
        <w:trPr>
          <w:trHeight w:val="319"/>
        </w:trPr>
        <w:tc>
          <w:tcPr>
            <w:tcW w:w="7010" w:type="dxa"/>
            <w:shd w:val="clear" w:color="auto" w:fill="FFFFFF"/>
          </w:tcPr>
          <w:p w14:paraId="4A2CA2A7" w14:textId="77777777" w:rsidR="00084F36" w:rsidRPr="00EB2BD8" w:rsidRDefault="00EB2BD8">
            <w:pPr>
              <w:pStyle w:val="TableParagraph"/>
              <w:spacing w:before="68"/>
              <w:ind w:left="105"/>
              <w:rPr>
                <w:rFonts w:ascii="Arial"/>
                <w:sz w:val="16"/>
              </w:rPr>
            </w:pPr>
            <w:r w:rsidRPr="00EB2BD8">
              <w:rPr>
                <w:rFonts w:ascii="Arial"/>
                <w:spacing w:val="-2"/>
                <w:w w:val="105"/>
                <w:sz w:val="16"/>
              </w:rPr>
              <w:t>Consultants</w:t>
            </w:r>
          </w:p>
        </w:tc>
        <w:tc>
          <w:tcPr>
            <w:tcW w:w="1190" w:type="dxa"/>
            <w:shd w:val="clear" w:color="auto" w:fill="DEEAF6"/>
          </w:tcPr>
          <w:p w14:paraId="2D68BB2F" w14:textId="77777777" w:rsidR="00084F36" w:rsidRPr="00EB2BD8" w:rsidRDefault="00EB2BD8">
            <w:pPr>
              <w:pStyle w:val="TableParagraph"/>
              <w:spacing w:before="68"/>
              <w:ind w:right="14"/>
              <w:jc w:val="right"/>
              <w:rPr>
                <w:rFonts w:ascii="Arial"/>
                <w:sz w:val="16"/>
              </w:rPr>
            </w:pPr>
            <w:r w:rsidRPr="00EB2BD8">
              <w:rPr>
                <w:rFonts w:ascii="Arial"/>
                <w:spacing w:val="-2"/>
                <w:w w:val="105"/>
                <w:sz w:val="16"/>
              </w:rPr>
              <w:t>2,326</w:t>
            </w:r>
          </w:p>
        </w:tc>
        <w:tc>
          <w:tcPr>
            <w:tcW w:w="1006" w:type="dxa"/>
            <w:shd w:val="clear" w:color="auto" w:fill="FFFFFF"/>
          </w:tcPr>
          <w:p w14:paraId="25E1BDBD" w14:textId="77777777" w:rsidR="00084F36" w:rsidRPr="00EB2BD8" w:rsidRDefault="00EB2BD8">
            <w:pPr>
              <w:pStyle w:val="TableParagraph"/>
              <w:spacing w:before="68"/>
              <w:ind w:right="94"/>
              <w:jc w:val="right"/>
              <w:rPr>
                <w:rFonts w:ascii="Arial"/>
                <w:sz w:val="16"/>
              </w:rPr>
            </w:pPr>
            <w:r w:rsidRPr="00EB2BD8">
              <w:rPr>
                <w:rFonts w:ascii="Arial"/>
                <w:spacing w:val="-2"/>
                <w:w w:val="105"/>
                <w:sz w:val="16"/>
              </w:rPr>
              <w:t>3,375</w:t>
            </w:r>
          </w:p>
        </w:tc>
      </w:tr>
      <w:tr w:rsidR="00EB2BD8" w:rsidRPr="00EB2BD8" w14:paraId="03DBA056" w14:textId="77777777">
        <w:trPr>
          <w:trHeight w:val="318"/>
        </w:trPr>
        <w:tc>
          <w:tcPr>
            <w:tcW w:w="7010" w:type="dxa"/>
            <w:shd w:val="clear" w:color="auto" w:fill="FFFFFF"/>
          </w:tcPr>
          <w:p w14:paraId="79C341F6" w14:textId="77777777" w:rsidR="00084F36" w:rsidRPr="00EB2BD8" w:rsidRDefault="00EB2BD8">
            <w:pPr>
              <w:pStyle w:val="TableParagraph"/>
              <w:spacing w:before="67"/>
              <w:ind w:left="105"/>
              <w:rPr>
                <w:rFonts w:ascii="Arial"/>
                <w:sz w:val="16"/>
              </w:rPr>
            </w:pPr>
            <w:r w:rsidRPr="00EB2BD8">
              <w:rPr>
                <w:rFonts w:ascii="Arial"/>
                <w:w w:val="105"/>
                <w:sz w:val="16"/>
              </w:rPr>
              <w:t>General</w:t>
            </w:r>
            <w:r w:rsidRPr="00EB2BD8">
              <w:rPr>
                <w:rFonts w:ascii="Arial"/>
                <w:spacing w:val="-8"/>
                <w:w w:val="105"/>
                <w:sz w:val="16"/>
              </w:rPr>
              <w:t xml:space="preserve"> </w:t>
            </w:r>
            <w:r w:rsidRPr="00EB2BD8">
              <w:rPr>
                <w:rFonts w:ascii="Arial"/>
                <w:w w:val="105"/>
                <w:sz w:val="16"/>
              </w:rPr>
              <w:t>office</w:t>
            </w:r>
            <w:r w:rsidRPr="00EB2BD8">
              <w:rPr>
                <w:rFonts w:ascii="Arial"/>
                <w:spacing w:val="-7"/>
                <w:w w:val="105"/>
                <w:sz w:val="16"/>
              </w:rPr>
              <w:t xml:space="preserve"> </w:t>
            </w:r>
            <w:r w:rsidRPr="00EB2BD8">
              <w:rPr>
                <w:rFonts w:ascii="Arial"/>
                <w:spacing w:val="-2"/>
                <w:w w:val="105"/>
                <w:sz w:val="16"/>
              </w:rPr>
              <w:t>expenses</w:t>
            </w:r>
          </w:p>
        </w:tc>
        <w:tc>
          <w:tcPr>
            <w:tcW w:w="1190" w:type="dxa"/>
            <w:shd w:val="clear" w:color="auto" w:fill="DEEAF6"/>
          </w:tcPr>
          <w:p w14:paraId="52C67327" w14:textId="77777777" w:rsidR="00084F36" w:rsidRPr="00EB2BD8" w:rsidRDefault="00EB2BD8">
            <w:pPr>
              <w:pStyle w:val="TableParagraph"/>
              <w:spacing w:before="67"/>
              <w:ind w:right="14"/>
              <w:jc w:val="right"/>
              <w:rPr>
                <w:rFonts w:ascii="Arial"/>
                <w:sz w:val="16"/>
              </w:rPr>
            </w:pPr>
            <w:r w:rsidRPr="00EB2BD8">
              <w:rPr>
                <w:rFonts w:ascii="Arial"/>
                <w:spacing w:val="-2"/>
                <w:w w:val="105"/>
                <w:sz w:val="16"/>
              </w:rPr>
              <w:t>1,983</w:t>
            </w:r>
          </w:p>
        </w:tc>
        <w:tc>
          <w:tcPr>
            <w:tcW w:w="1006" w:type="dxa"/>
            <w:shd w:val="clear" w:color="auto" w:fill="FFFFFF"/>
          </w:tcPr>
          <w:p w14:paraId="223C7184" w14:textId="77777777" w:rsidR="00084F36" w:rsidRPr="00EB2BD8" w:rsidRDefault="00EB2BD8">
            <w:pPr>
              <w:pStyle w:val="TableParagraph"/>
              <w:spacing w:before="67"/>
              <w:ind w:right="93"/>
              <w:jc w:val="right"/>
              <w:rPr>
                <w:rFonts w:ascii="Arial"/>
                <w:sz w:val="16"/>
              </w:rPr>
            </w:pPr>
            <w:r w:rsidRPr="00EB2BD8">
              <w:rPr>
                <w:rFonts w:ascii="Arial"/>
                <w:spacing w:val="-4"/>
                <w:w w:val="105"/>
                <w:sz w:val="16"/>
              </w:rPr>
              <w:t>2,001</w:t>
            </w:r>
          </w:p>
        </w:tc>
      </w:tr>
      <w:tr w:rsidR="00EB2BD8" w:rsidRPr="00EB2BD8" w14:paraId="719F5136" w14:textId="77777777">
        <w:trPr>
          <w:trHeight w:val="319"/>
        </w:trPr>
        <w:tc>
          <w:tcPr>
            <w:tcW w:w="7010" w:type="dxa"/>
            <w:shd w:val="clear" w:color="auto" w:fill="FFFFFF"/>
          </w:tcPr>
          <w:p w14:paraId="1BA2AC61" w14:textId="77777777" w:rsidR="00084F36" w:rsidRPr="00EB2BD8" w:rsidRDefault="00EB2BD8">
            <w:pPr>
              <w:pStyle w:val="TableParagraph"/>
              <w:spacing w:before="67"/>
              <w:ind w:left="105"/>
              <w:rPr>
                <w:rFonts w:ascii="Arial"/>
                <w:sz w:val="16"/>
              </w:rPr>
            </w:pPr>
            <w:r w:rsidRPr="00EB2BD8">
              <w:rPr>
                <w:rFonts w:ascii="Arial"/>
                <w:w w:val="105"/>
                <w:sz w:val="16"/>
              </w:rPr>
              <w:t>Printing</w:t>
            </w:r>
            <w:r w:rsidRPr="00EB2BD8">
              <w:rPr>
                <w:rFonts w:ascii="Arial"/>
                <w:spacing w:val="-7"/>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spacing w:val="-2"/>
                <w:w w:val="105"/>
                <w:sz w:val="16"/>
              </w:rPr>
              <w:t>stationery</w:t>
            </w:r>
          </w:p>
        </w:tc>
        <w:tc>
          <w:tcPr>
            <w:tcW w:w="1190" w:type="dxa"/>
            <w:shd w:val="clear" w:color="auto" w:fill="DEEAF6"/>
          </w:tcPr>
          <w:p w14:paraId="4ABBD45D" w14:textId="77777777" w:rsidR="00084F36" w:rsidRPr="00EB2BD8" w:rsidRDefault="00EB2BD8">
            <w:pPr>
              <w:pStyle w:val="TableParagraph"/>
              <w:spacing w:before="67"/>
              <w:ind w:right="14"/>
              <w:jc w:val="right"/>
              <w:rPr>
                <w:rFonts w:ascii="Arial"/>
                <w:sz w:val="16"/>
              </w:rPr>
            </w:pPr>
            <w:r w:rsidRPr="00EB2BD8">
              <w:rPr>
                <w:rFonts w:ascii="Arial"/>
                <w:spacing w:val="-5"/>
                <w:w w:val="105"/>
                <w:sz w:val="16"/>
              </w:rPr>
              <w:t>427</w:t>
            </w:r>
          </w:p>
        </w:tc>
        <w:tc>
          <w:tcPr>
            <w:tcW w:w="1006" w:type="dxa"/>
            <w:shd w:val="clear" w:color="auto" w:fill="FFFFFF"/>
          </w:tcPr>
          <w:p w14:paraId="22CEC66F" w14:textId="77777777" w:rsidR="00084F36" w:rsidRPr="00EB2BD8" w:rsidRDefault="00EB2BD8">
            <w:pPr>
              <w:pStyle w:val="TableParagraph"/>
              <w:spacing w:before="67"/>
              <w:ind w:right="94"/>
              <w:jc w:val="right"/>
              <w:rPr>
                <w:rFonts w:ascii="Arial"/>
                <w:sz w:val="16"/>
              </w:rPr>
            </w:pPr>
            <w:r w:rsidRPr="00EB2BD8">
              <w:rPr>
                <w:rFonts w:ascii="Arial"/>
                <w:spacing w:val="-5"/>
                <w:w w:val="105"/>
                <w:sz w:val="16"/>
              </w:rPr>
              <w:t>378</w:t>
            </w:r>
          </w:p>
        </w:tc>
      </w:tr>
      <w:tr w:rsidR="00EB2BD8" w:rsidRPr="00EB2BD8" w14:paraId="207F2501" w14:textId="77777777">
        <w:trPr>
          <w:trHeight w:val="320"/>
        </w:trPr>
        <w:tc>
          <w:tcPr>
            <w:tcW w:w="7010" w:type="dxa"/>
            <w:shd w:val="clear" w:color="auto" w:fill="FFFFFF"/>
          </w:tcPr>
          <w:p w14:paraId="07FB6A00" w14:textId="77777777" w:rsidR="00084F36" w:rsidRPr="00EB2BD8" w:rsidRDefault="00EB2BD8">
            <w:pPr>
              <w:pStyle w:val="TableParagraph"/>
              <w:spacing w:before="68"/>
              <w:ind w:left="105"/>
              <w:rPr>
                <w:rFonts w:ascii="Arial"/>
                <w:sz w:val="16"/>
              </w:rPr>
            </w:pPr>
            <w:r w:rsidRPr="00EB2BD8">
              <w:rPr>
                <w:rFonts w:ascii="Arial"/>
                <w:w w:val="105"/>
                <w:sz w:val="16"/>
              </w:rPr>
              <w:t>Motor</w:t>
            </w:r>
            <w:r w:rsidRPr="00EB2BD8">
              <w:rPr>
                <w:rFonts w:ascii="Arial"/>
                <w:spacing w:val="-7"/>
                <w:w w:val="105"/>
                <w:sz w:val="16"/>
              </w:rPr>
              <w:t xml:space="preserve"> </w:t>
            </w:r>
            <w:r w:rsidRPr="00EB2BD8">
              <w:rPr>
                <w:rFonts w:ascii="Arial"/>
                <w:w w:val="105"/>
                <w:sz w:val="16"/>
              </w:rPr>
              <w:t>vehicles</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travel</w:t>
            </w:r>
            <w:r w:rsidRPr="00EB2BD8">
              <w:rPr>
                <w:rFonts w:ascii="Arial"/>
                <w:spacing w:val="-7"/>
                <w:w w:val="105"/>
                <w:sz w:val="16"/>
              </w:rPr>
              <w:t xml:space="preserve"> </w:t>
            </w:r>
            <w:r w:rsidRPr="00EB2BD8">
              <w:rPr>
                <w:rFonts w:ascii="Arial"/>
                <w:spacing w:val="-2"/>
                <w:w w:val="105"/>
                <w:sz w:val="16"/>
              </w:rPr>
              <w:t>expenses</w:t>
            </w:r>
          </w:p>
        </w:tc>
        <w:tc>
          <w:tcPr>
            <w:tcW w:w="1190" w:type="dxa"/>
            <w:shd w:val="clear" w:color="auto" w:fill="DEEAF6"/>
          </w:tcPr>
          <w:p w14:paraId="531E2C55" w14:textId="77777777" w:rsidR="00084F36" w:rsidRPr="00EB2BD8" w:rsidRDefault="00EB2BD8">
            <w:pPr>
              <w:pStyle w:val="TableParagraph"/>
              <w:spacing w:before="68"/>
              <w:ind w:right="13"/>
              <w:jc w:val="right"/>
              <w:rPr>
                <w:rFonts w:ascii="Arial"/>
                <w:sz w:val="16"/>
              </w:rPr>
            </w:pPr>
            <w:r w:rsidRPr="00EB2BD8">
              <w:rPr>
                <w:rFonts w:ascii="Arial"/>
                <w:spacing w:val="-5"/>
                <w:w w:val="105"/>
                <w:sz w:val="16"/>
              </w:rPr>
              <w:t>430</w:t>
            </w:r>
          </w:p>
        </w:tc>
        <w:tc>
          <w:tcPr>
            <w:tcW w:w="1006" w:type="dxa"/>
            <w:shd w:val="clear" w:color="auto" w:fill="FFFFFF"/>
          </w:tcPr>
          <w:p w14:paraId="4797AAC5" w14:textId="77777777" w:rsidR="00084F36" w:rsidRPr="00EB2BD8" w:rsidRDefault="00EB2BD8">
            <w:pPr>
              <w:pStyle w:val="TableParagraph"/>
              <w:spacing w:before="68"/>
              <w:ind w:right="94"/>
              <w:jc w:val="right"/>
              <w:rPr>
                <w:rFonts w:ascii="Arial"/>
                <w:sz w:val="16"/>
              </w:rPr>
            </w:pPr>
            <w:r w:rsidRPr="00EB2BD8">
              <w:rPr>
                <w:rFonts w:ascii="Arial"/>
                <w:spacing w:val="-5"/>
                <w:w w:val="105"/>
                <w:sz w:val="16"/>
              </w:rPr>
              <w:t>377</w:t>
            </w:r>
          </w:p>
        </w:tc>
      </w:tr>
      <w:tr w:rsidR="00EB2BD8" w:rsidRPr="00EB2BD8" w14:paraId="2DB7CE51" w14:textId="77777777">
        <w:trPr>
          <w:trHeight w:val="320"/>
        </w:trPr>
        <w:tc>
          <w:tcPr>
            <w:tcW w:w="7010" w:type="dxa"/>
            <w:shd w:val="clear" w:color="auto" w:fill="FFFFFF"/>
          </w:tcPr>
          <w:p w14:paraId="48BB5E3F" w14:textId="77777777" w:rsidR="00084F36" w:rsidRPr="00EB2BD8" w:rsidRDefault="00EB2BD8">
            <w:pPr>
              <w:pStyle w:val="TableParagraph"/>
              <w:spacing w:before="68"/>
              <w:ind w:left="105"/>
              <w:rPr>
                <w:rFonts w:ascii="Arial"/>
                <w:sz w:val="16"/>
              </w:rPr>
            </w:pPr>
            <w:r w:rsidRPr="00EB2BD8">
              <w:rPr>
                <w:rFonts w:ascii="Arial"/>
                <w:w w:val="105"/>
                <w:sz w:val="16"/>
              </w:rPr>
              <w:t>Insurance</w:t>
            </w:r>
            <w:r w:rsidRPr="00EB2BD8">
              <w:rPr>
                <w:rFonts w:ascii="Arial"/>
                <w:spacing w:val="-11"/>
                <w:w w:val="105"/>
                <w:sz w:val="16"/>
              </w:rPr>
              <w:t xml:space="preserve"> </w:t>
            </w:r>
            <w:r w:rsidRPr="00EB2BD8">
              <w:rPr>
                <w:rFonts w:ascii="Arial"/>
                <w:spacing w:val="-2"/>
                <w:w w:val="105"/>
                <w:sz w:val="16"/>
              </w:rPr>
              <w:t>premiums</w:t>
            </w:r>
          </w:p>
        </w:tc>
        <w:tc>
          <w:tcPr>
            <w:tcW w:w="1190" w:type="dxa"/>
            <w:shd w:val="clear" w:color="auto" w:fill="DEEAF6"/>
          </w:tcPr>
          <w:p w14:paraId="571B6A48" w14:textId="77777777" w:rsidR="00084F36" w:rsidRPr="00EB2BD8" w:rsidRDefault="00EB2BD8">
            <w:pPr>
              <w:pStyle w:val="TableParagraph"/>
              <w:spacing w:before="68"/>
              <w:ind w:right="14"/>
              <w:jc w:val="right"/>
              <w:rPr>
                <w:rFonts w:ascii="Arial"/>
                <w:sz w:val="16"/>
              </w:rPr>
            </w:pPr>
            <w:r w:rsidRPr="00EB2BD8">
              <w:rPr>
                <w:rFonts w:ascii="Arial"/>
                <w:spacing w:val="-2"/>
                <w:w w:val="105"/>
                <w:sz w:val="16"/>
              </w:rPr>
              <w:t>3,353</w:t>
            </w:r>
          </w:p>
        </w:tc>
        <w:tc>
          <w:tcPr>
            <w:tcW w:w="1006" w:type="dxa"/>
            <w:shd w:val="clear" w:color="auto" w:fill="FFFFFF"/>
          </w:tcPr>
          <w:p w14:paraId="51C92C5D" w14:textId="77777777" w:rsidR="00084F36" w:rsidRPr="00EB2BD8" w:rsidRDefault="00EB2BD8">
            <w:pPr>
              <w:pStyle w:val="TableParagraph"/>
              <w:spacing w:before="68"/>
              <w:ind w:right="94"/>
              <w:jc w:val="right"/>
              <w:rPr>
                <w:rFonts w:ascii="Arial"/>
                <w:sz w:val="16"/>
              </w:rPr>
            </w:pPr>
            <w:r w:rsidRPr="00EB2BD8">
              <w:rPr>
                <w:rFonts w:ascii="Arial"/>
                <w:spacing w:val="-2"/>
                <w:w w:val="105"/>
                <w:sz w:val="16"/>
              </w:rPr>
              <w:t>2,749</w:t>
            </w:r>
          </w:p>
        </w:tc>
      </w:tr>
      <w:tr w:rsidR="00EB2BD8" w:rsidRPr="00EB2BD8" w14:paraId="68C47D12" w14:textId="77777777">
        <w:trPr>
          <w:trHeight w:val="320"/>
        </w:trPr>
        <w:tc>
          <w:tcPr>
            <w:tcW w:w="7010" w:type="dxa"/>
            <w:shd w:val="clear" w:color="auto" w:fill="FFFFFF"/>
          </w:tcPr>
          <w:p w14:paraId="7F72CDCB" w14:textId="77777777" w:rsidR="00084F36" w:rsidRPr="00EB2BD8" w:rsidRDefault="00EB2BD8">
            <w:pPr>
              <w:pStyle w:val="TableParagraph"/>
              <w:spacing w:before="68"/>
              <w:ind w:left="105"/>
              <w:rPr>
                <w:rFonts w:ascii="Arial"/>
                <w:sz w:val="16"/>
              </w:rPr>
            </w:pPr>
            <w:r w:rsidRPr="00EB2BD8">
              <w:rPr>
                <w:rFonts w:ascii="Arial"/>
                <w:w w:val="105"/>
                <w:sz w:val="16"/>
              </w:rPr>
              <w:t>Regulatory</w:t>
            </w:r>
            <w:r w:rsidRPr="00EB2BD8">
              <w:rPr>
                <w:rFonts w:ascii="Arial"/>
                <w:spacing w:val="-9"/>
                <w:w w:val="105"/>
                <w:sz w:val="16"/>
              </w:rPr>
              <w:t xml:space="preserve"> </w:t>
            </w:r>
            <w:r w:rsidRPr="00EB2BD8">
              <w:rPr>
                <w:rFonts w:ascii="Arial"/>
                <w:w w:val="105"/>
                <w:sz w:val="16"/>
              </w:rPr>
              <w:t>events,</w:t>
            </w:r>
            <w:r w:rsidRPr="00EB2BD8">
              <w:rPr>
                <w:rFonts w:ascii="Arial"/>
                <w:spacing w:val="-9"/>
                <w:w w:val="105"/>
                <w:sz w:val="16"/>
              </w:rPr>
              <w:t xml:space="preserve"> </w:t>
            </w:r>
            <w:r w:rsidRPr="00EB2BD8">
              <w:rPr>
                <w:rFonts w:ascii="Arial"/>
                <w:w w:val="105"/>
                <w:sz w:val="16"/>
              </w:rPr>
              <w:t>seminars</w:t>
            </w:r>
            <w:r w:rsidRPr="00EB2BD8">
              <w:rPr>
                <w:rFonts w:ascii="Arial"/>
                <w:spacing w:val="-9"/>
                <w:w w:val="105"/>
                <w:sz w:val="16"/>
              </w:rPr>
              <w:t xml:space="preserve"> </w:t>
            </w:r>
            <w:r w:rsidRPr="00EB2BD8">
              <w:rPr>
                <w:rFonts w:ascii="Arial"/>
                <w:w w:val="105"/>
                <w:sz w:val="16"/>
              </w:rPr>
              <w:t>and</w:t>
            </w:r>
            <w:r w:rsidRPr="00EB2BD8">
              <w:rPr>
                <w:rFonts w:ascii="Arial"/>
                <w:spacing w:val="-8"/>
                <w:w w:val="105"/>
                <w:sz w:val="16"/>
              </w:rPr>
              <w:t xml:space="preserve"> </w:t>
            </w:r>
            <w:r w:rsidRPr="00EB2BD8">
              <w:rPr>
                <w:rFonts w:ascii="Arial"/>
                <w:spacing w:val="-2"/>
                <w:w w:val="105"/>
                <w:sz w:val="16"/>
              </w:rPr>
              <w:t>meetings</w:t>
            </w:r>
          </w:p>
        </w:tc>
        <w:tc>
          <w:tcPr>
            <w:tcW w:w="1190" w:type="dxa"/>
            <w:shd w:val="clear" w:color="auto" w:fill="DEEAF6"/>
          </w:tcPr>
          <w:p w14:paraId="724DD2D0" w14:textId="77777777" w:rsidR="00084F36" w:rsidRPr="00EB2BD8" w:rsidRDefault="00EB2BD8">
            <w:pPr>
              <w:pStyle w:val="TableParagraph"/>
              <w:spacing w:before="68"/>
              <w:ind w:right="13"/>
              <w:jc w:val="right"/>
              <w:rPr>
                <w:rFonts w:ascii="Arial"/>
                <w:sz w:val="16"/>
              </w:rPr>
            </w:pPr>
            <w:r w:rsidRPr="00EB2BD8">
              <w:rPr>
                <w:rFonts w:ascii="Arial"/>
                <w:spacing w:val="-5"/>
                <w:w w:val="105"/>
                <w:sz w:val="16"/>
              </w:rPr>
              <w:t>118</w:t>
            </w:r>
          </w:p>
        </w:tc>
        <w:tc>
          <w:tcPr>
            <w:tcW w:w="1006" w:type="dxa"/>
            <w:shd w:val="clear" w:color="auto" w:fill="FFFFFF"/>
          </w:tcPr>
          <w:p w14:paraId="2E9D6F53" w14:textId="77777777" w:rsidR="00084F36" w:rsidRPr="00EB2BD8" w:rsidRDefault="00EB2BD8">
            <w:pPr>
              <w:pStyle w:val="TableParagraph"/>
              <w:spacing w:before="68"/>
              <w:ind w:right="94"/>
              <w:jc w:val="right"/>
              <w:rPr>
                <w:rFonts w:ascii="Arial"/>
                <w:sz w:val="16"/>
              </w:rPr>
            </w:pPr>
            <w:r w:rsidRPr="00EB2BD8">
              <w:rPr>
                <w:rFonts w:ascii="Arial"/>
                <w:spacing w:val="-5"/>
                <w:w w:val="105"/>
                <w:sz w:val="16"/>
              </w:rPr>
              <w:t>81</w:t>
            </w:r>
          </w:p>
        </w:tc>
      </w:tr>
      <w:tr w:rsidR="00EB2BD8" w:rsidRPr="00EB2BD8" w14:paraId="2B1C48E0" w14:textId="77777777">
        <w:trPr>
          <w:trHeight w:val="320"/>
        </w:trPr>
        <w:tc>
          <w:tcPr>
            <w:tcW w:w="7010" w:type="dxa"/>
            <w:shd w:val="clear" w:color="auto" w:fill="FFFFFF"/>
          </w:tcPr>
          <w:p w14:paraId="54FF050A" w14:textId="77777777" w:rsidR="00084F36" w:rsidRPr="00EB2BD8" w:rsidRDefault="00EB2BD8">
            <w:pPr>
              <w:pStyle w:val="TableParagraph"/>
              <w:spacing w:before="68"/>
              <w:ind w:left="105"/>
              <w:rPr>
                <w:rFonts w:ascii="Arial"/>
                <w:sz w:val="16"/>
              </w:rPr>
            </w:pPr>
            <w:r w:rsidRPr="00EB2BD8">
              <w:rPr>
                <w:rFonts w:ascii="Arial"/>
                <w:w w:val="105"/>
                <w:sz w:val="16"/>
              </w:rPr>
              <w:t>External</w:t>
            </w:r>
            <w:r w:rsidRPr="00EB2BD8">
              <w:rPr>
                <w:rFonts w:ascii="Arial"/>
                <w:spacing w:val="-8"/>
                <w:w w:val="105"/>
                <w:sz w:val="16"/>
              </w:rPr>
              <w:t xml:space="preserve"> </w:t>
            </w:r>
            <w:r w:rsidRPr="00EB2BD8">
              <w:rPr>
                <w:rFonts w:ascii="Arial"/>
                <w:w w:val="105"/>
                <w:sz w:val="16"/>
              </w:rPr>
              <w:t>audit</w:t>
            </w:r>
            <w:r w:rsidRPr="00EB2BD8">
              <w:rPr>
                <w:rFonts w:ascii="Arial"/>
                <w:spacing w:val="-8"/>
                <w:w w:val="105"/>
                <w:sz w:val="16"/>
              </w:rPr>
              <w:t xml:space="preserve"> </w:t>
            </w:r>
            <w:r w:rsidRPr="00EB2BD8">
              <w:rPr>
                <w:rFonts w:ascii="Arial"/>
                <w:spacing w:val="-4"/>
                <w:w w:val="105"/>
                <w:sz w:val="16"/>
              </w:rPr>
              <w:t>fees</w:t>
            </w:r>
          </w:p>
        </w:tc>
        <w:tc>
          <w:tcPr>
            <w:tcW w:w="1190" w:type="dxa"/>
            <w:shd w:val="clear" w:color="auto" w:fill="DEEAF6"/>
          </w:tcPr>
          <w:p w14:paraId="567120E1" w14:textId="77777777" w:rsidR="00084F36" w:rsidRPr="00EB2BD8" w:rsidRDefault="00EB2BD8">
            <w:pPr>
              <w:pStyle w:val="TableParagraph"/>
              <w:spacing w:before="68"/>
              <w:ind w:right="13"/>
              <w:jc w:val="right"/>
              <w:rPr>
                <w:rFonts w:ascii="Arial"/>
                <w:sz w:val="16"/>
              </w:rPr>
            </w:pPr>
            <w:r w:rsidRPr="00EB2BD8">
              <w:rPr>
                <w:rFonts w:ascii="Arial"/>
                <w:spacing w:val="-5"/>
                <w:w w:val="105"/>
                <w:sz w:val="16"/>
              </w:rPr>
              <w:t>60</w:t>
            </w:r>
          </w:p>
        </w:tc>
        <w:tc>
          <w:tcPr>
            <w:tcW w:w="1006" w:type="dxa"/>
            <w:shd w:val="clear" w:color="auto" w:fill="FFFFFF"/>
          </w:tcPr>
          <w:p w14:paraId="4D07462F" w14:textId="77777777" w:rsidR="00084F36" w:rsidRPr="00EB2BD8" w:rsidRDefault="00EB2BD8">
            <w:pPr>
              <w:pStyle w:val="TableParagraph"/>
              <w:spacing w:before="68"/>
              <w:ind w:right="94"/>
              <w:jc w:val="right"/>
              <w:rPr>
                <w:rFonts w:ascii="Arial"/>
                <w:sz w:val="16"/>
              </w:rPr>
            </w:pPr>
            <w:r w:rsidRPr="00EB2BD8">
              <w:rPr>
                <w:rFonts w:ascii="Arial"/>
                <w:spacing w:val="-5"/>
                <w:w w:val="105"/>
                <w:sz w:val="16"/>
              </w:rPr>
              <w:t>58</w:t>
            </w:r>
          </w:p>
        </w:tc>
      </w:tr>
      <w:tr w:rsidR="00EB2BD8" w:rsidRPr="00EB2BD8" w14:paraId="01E24A2B" w14:textId="77777777">
        <w:trPr>
          <w:trHeight w:val="319"/>
        </w:trPr>
        <w:tc>
          <w:tcPr>
            <w:tcW w:w="7010" w:type="dxa"/>
            <w:shd w:val="clear" w:color="auto" w:fill="FFFFFF"/>
          </w:tcPr>
          <w:p w14:paraId="77247E02" w14:textId="77777777" w:rsidR="00084F36" w:rsidRPr="00EB2BD8" w:rsidRDefault="00EB2BD8">
            <w:pPr>
              <w:pStyle w:val="TableParagraph"/>
              <w:spacing w:before="68"/>
              <w:ind w:left="105"/>
              <w:rPr>
                <w:rFonts w:ascii="Arial"/>
                <w:sz w:val="16"/>
              </w:rPr>
            </w:pPr>
            <w:r w:rsidRPr="00EB2BD8">
              <w:rPr>
                <w:rFonts w:ascii="Arial"/>
                <w:w w:val="105"/>
                <w:sz w:val="16"/>
              </w:rPr>
              <w:t>Internal</w:t>
            </w:r>
            <w:r w:rsidRPr="00EB2BD8">
              <w:rPr>
                <w:rFonts w:ascii="Arial"/>
                <w:spacing w:val="-8"/>
                <w:w w:val="105"/>
                <w:sz w:val="16"/>
              </w:rPr>
              <w:t xml:space="preserve"> </w:t>
            </w:r>
            <w:r w:rsidRPr="00EB2BD8">
              <w:rPr>
                <w:rFonts w:ascii="Arial"/>
                <w:w w:val="105"/>
                <w:sz w:val="16"/>
              </w:rPr>
              <w:t>audit</w:t>
            </w:r>
            <w:r w:rsidRPr="00EB2BD8">
              <w:rPr>
                <w:rFonts w:ascii="Arial"/>
                <w:spacing w:val="-8"/>
                <w:w w:val="105"/>
                <w:sz w:val="16"/>
              </w:rPr>
              <w:t xml:space="preserve"> </w:t>
            </w:r>
            <w:r w:rsidRPr="00EB2BD8">
              <w:rPr>
                <w:rFonts w:ascii="Arial"/>
                <w:spacing w:val="-4"/>
                <w:w w:val="105"/>
                <w:sz w:val="16"/>
              </w:rPr>
              <w:t>fees</w:t>
            </w:r>
          </w:p>
        </w:tc>
        <w:tc>
          <w:tcPr>
            <w:tcW w:w="1190" w:type="dxa"/>
            <w:shd w:val="clear" w:color="auto" w:fill="DEEAF6"/>
          </w:tcPr>
          <w:p w14:paraId="4E02FB40" w14:textId="77777777" w:rsidR="00084F36" w:rsidRPr="00EB2BD8" w:rsidRDefault="00EB2BD8">
            <w:pPr>
              <w:pStyle w:val="TableParagraph"/>
              <w:spacing w:before="68"/>
              <w:ind w:right="14"/>
              <w:jc w:val="right"/>
              <w:rPr>
                <w:rFonts w:ascii="Arial"/>
                <w:sz w:val="16"/>
              </w:rPr>
            </w:pPr>
            <w:r w:rsidRPr="00EB2BD8">
              <w:rPr>
                <w:rFonts w:ascii="Arial"/>
                <w:spacing w:val="-5"/>
                <w:w w:val="105"/>
                <w:sz w:val="16"/>
              </w:rPr>
              <w:t>225</w:t>
            </w:r>
          </w:p>
        </w:tc>
        <w:tc>
          <w:tcPr>
            <w:tcW w:w="1006" w:type="dxa"/>
            <w:shd w:val="clear" w:color="auto" w:fill="FFFFFF"/>
          </w:tcPr>
          <w:p w14:paraId="636DAF13" w14:textId="77777777" w:rsidR="00084F36" w:rsidRPr="00EB2BD8" w:rsidRDefault="00EB2BD8">
            <w:pPr>
              <w:pStyle w:val="TableParagraph"/>
              <w:spacing w:before="68"/>
              <w:ind w:right="94"/>
              <w:jc w:val="right"/>
              <w:rPr>
                <w:rFonts w:ascii="Arial"/>
                <w:sz w:val="16"/>
              </w:rPr>
            </w:pPr>
            <w:r w:rsidRPr="00EB2BD8">
              <w:rPr>
                <w:rFonts w:ascii="Arial"/>
                <w:spacing w:val="-5"/>
                <w:w w:val="105"/>
                <w:sz w:val="16"/>
              </w:rPr>
              <w:t>277</w:t>
            </w:r>
          </w:p>
        </w:tc>
      </w:tr>
      <w:tr w:rsidR="00EB2BD8" w:rsidRPr="00EB2BD8" w14:paraId="2562CBE2" w14:textId="77777777">
        <w:trPr>
          <w:trHeight w:val="319"/>
        </w:trPr>
        <w:tc>
          <w:tcPr>
            <w:tcW w:w="7010" w:type="dxa"/>
            <w:shd w:val="clear" w:color="auto" w:fill="FFFFFF"/>
          </w:tcPr>
          <w:p w14:paraId="6143F410" w14:textId="77777777" w:rsidR="00084F36" w:rsidRPr="00EB2BD8" w:rsidRDefault="00EB2BD8">
            <w:pPr>
              <w:pStyle w:val="TableParagraph"/>
              <w:spacing w:before="67"/>
              <w:ind w:left="105"/>
              <w:rPr>
                <w:rFonts w:ascii="Arial"/>
                <w:sz w:val="16"/>
              </w:rPr>
            </w:pPr>
            <w:r w:rsidRPr="00EB2BD8">
              <w:rPr>
                <w:rFonts w:ascii="Arial"/>
                <w:w w:val="105"/>
                <w:sz w:val="16"/>
              </w:rPr>
              <w:t>Minor</w:t>
            </w:r>
            <w:r w:rsidRPr="00EB2BD8">
              <w:rPr>
                <w:rFonts w:ascii="Arial"/>
                <w:spacing w:val="-8"/>
                <w:w w:val="105"/>
                <w:sz w:val="16"/>
              </w:rPr>
              <w:t xml:space="preserve"> </w:t>
            </w:r>
            <w:r w:rsidRPr="00EB2BD8">
              <w:rPr>
                <w:rFonts w:ascii="Arial"/>
                <w:spacing w:val="-2"/>
                <w:w w:val="105"/>
                <w:sz w:val="16"/>
              </w:rPr>
              <w:t>assets</w:t>
            </w:r>
          </w:p>
        </w:tc>
        <w:tc>
          <w:tcPr>
            <w:tcW w:w="1190" w:type="dxa"/>
            <w:shd w:val="clear" w:color="auto" w:fill="DEEAF6"/>
          </w:tcPr>
          <w:p w14:paraId="06F6FC9C" w14:textId="77777777" w:rsidR="00084F36" w:rsidRPr="00EB2BD8" w:rsidRDefault="00EB2BD8">
            <w:pPr>
              <w:pStyle w:val="TableParagraph"/>
              <w:spacing w:before="67"/>
              <w:ind w:right="13"/>
              <w:jc w:val="right"/>
              <w:rPr>
                <w:rFonts w:ascii="Arial"/>
                <w:sz w:val="16"/>
              </w:rPr>
            </w:pPr>
            <w:r w:rsidRPr="00EB2BD8">
              <w:rPr>
                <w:rFonts w:ascii="Arial"/>
                <w:spacing w:val="-5"/>
                <w:w w:val="105"/>
                <w:sz w:val="16"/>
              </w:rPr>
              <w:t>192</w:t>
            </w:r>
          </w:p>
        </w:tc>
        <w:tc>
          <w:tcPr>
            <w:tcW w:w="1006" w:type="dxa"/>
            <w:shd w:val="clear" w:color="auto" w:fill="FFFFFF"/>
          </w:tcPr>
          <w:p w14:paraId="4C459B47" w14:textId="77777777" w:rsidR="00084F36" w:rsidRPr="00EB2BD8" w:rsidRDefault="00EB2BD8">
            <w:pPr>
              <w:pStyle w:val="TableParagraph"/>
              <w:spacing w:before="67"/>
              <w:ind w:right="94"/>
              <w:jc w:val="right"/>
              <w:rPr>
                <w:rFonts w:ascii="Arial"/>
                <w:sz w:val="16"/>
              </w:rPr>
            </w:pPr>
            <w:r w:rsidRPr="00EB2BD8">
              <w:rPr>
                <w:rFonts w:ascii="Arial"/>
                <w:spacing w:val="-5"/>
                <w:w w:val="105"/>
                <w:sz w:val="16"/>
              </w:rPr>
              <w:t>59</w:t>
            </w:r>
          </w:p>
        </w:tc>
      </w:tr>
      <w:tr w:rsidR="00EB2BD8" w:rsidRPr="00EB2BD8" w14:paraId="394A2344" w14:textId="77777777">
        <w:trPr>
          <w:trHeight w:val="320"/>
        </w:trPr>
        <w:tc>
          <w:tcPr>
            <w:tcW w:w="7010" w:type="dxa"/>
            <w:shd w:val="clear" w:color="auto" w:fill="FFFFFF"/>
          </w:tcPr>
          <w:p w14:paraId="5A3475D1" w14:textId="77777777" w:rsidR="00084F36" w:rsidRPr="00EB2BD8" w:rsidRDefault="00EB2BD8">
            <w:pPr>
              <w:pStyle w:val="TableParagraph"/>
              <w:spacing w:before="55"/>
              <w:ind w:left="105"/>
              <w:rPr>
                <w:rFonts w:ascii="Arial"/>
                <w:sz w:val="11"/>
              </w:rPr>
            </w:pPr>
            <w:r w:rsidRPr="00EB2BD8">
              <w:rPr>
                <w:rFonts w:ascii="Arial"/>
                <w:w w:val="105"/>
                <w:sz w:val="16"/>
              </w:rPr>
              <w:t>Bad</w:t>
            </w:r>
            <w:r w:rsidRPr="00EB2BD8">
              <w:rPr>
                <w:rFonts w:ascii="Arial"/>
                <w:spacing w:val="-7"/>
                <w:w w:val="105"/>
                <w:sz w:val="16"/>
              </w:rPr>
              <w:t xml:space="preserve"> </w:t>
            </w:r>
            <w:r w:rsidRPr="00EB2BD8">
              <w:rPr>
                <w:rFonts w:ascii="Arial"/>
                <w:w w:val="105"/>
                <w:sz w:val="16"/>
              </w:rPr>
              <w:t>debts</w:t>
            </w:r>
            <w:r w:rsidRPr="00EB2BD8">
              <w:rPr>
                <w:rFonts w:ascii="Arial"/>
                <w:spacing w:val="-6"/>
                <w:w w:val="105"/>
                <w:sz w:val="16"/>
              </w:rPr>
              <w:t xml:space="preserve"> </w:t>
            </w:r>
            <w:r w:rsidRPr="00EB2BD8">
              <w:rPr>
                <w:rFonts w:ascii="Arial"/>
                <w:w w:val="105"/>
                <w:sz w:val="16"/>
              </w:rPr>
              <w:t>written</w:t>
            </w:r>
            <w:r w:rsidRPr="00EB2BD8">
              <w:rPr>
                <w:rFonts w:ascii="Arial"/>
                <w:spacing w:val="-7"/>
                <w:w w:val="105"/>
                <w:sz w:val="16"/>
              </w:rPr>
              <w:t xml:space="preserve"> </w:t>
            </w:r>
            <w:r w:rsidRPr="00EB2BD8">
              <w:rPr>
                <w:rFonts w:ascii="Arial"/>
                <w:spacing w:val="-2"/>
                <w:w w:val="105"/>
                <w:sz w:val="16"/>
              </w:rPr>
              <w:t>off</w:t>
            </w:r>
            <w:r w:rsidRPr="00EB2BD8">
              <w:rPr>
                <w:rFonts w:ascii="Arial"/>
                <w:spacing w:val="-2"/>
                <w:w w:val="105"/>
                <w:position w:val="6"/>
                <w:sz w:val="11"/>
              </w:rPr>
              <w:t>(b)</w:t>
            </w:r>
          </w:p>
        </w:tc>
        <w:tc>
          <w:tcPr>
            <w:tcW w:w="1190" w:type="dxa"/>
            <w:shd w:val="clear" w:color="auto" w:fill="DEEAF6"/>
          </w:tcPr>
          <w:p w14:paraId="2998AF2A" w14:textId="77777777" w:rsidR="00084F36" w:rsidRPr="00EB2BD8" w:rsidRDefault="00EB2BD8">
            <w:pPr>
              <w:pStyle w:val="TableParagraph"/>
              <w:spacing w:before="68"/>
              <w:ind w:right="14"/>
              <w:jc w:val="right"/>
              <w:rPr>
                <w:rFonts w:ascii="Arial"/>
                <w:sz w:val="16"/>
              </w:rPr>
            </w:pPr>
            <w:r w:rsidRPr="00EB2BD8">
              <w:rPr>
                <w:rFonts w:ascii="Arial"/>
                <w:spacing w:val="-2"/>
                <w:w w:val="105"/>
                <w:sz w:val="16"/>
              </w:rPr>
              <w:t>2,244</w:t>
            </w:r>
          </w:p>
        </w:tc>
        <w:tc>
          <w:tcPr>
            <w:tcW w:w="1006" w:type="dxa"/>
            <w:shd w:val="clear" w:color="auto" w:fill="FFFFFF"/>
          </w:tcPr>
          <w:p w14:paraId="6184A8BC" w14:textId="77777777" w:rsidR="00084F36" w:rsidRPr="00EB2BD8" w:rsidRDefault="00EB2BD8">
            <w:pPr>
              <w:pStyle w:val="TableParagraph"/>
              <w:spacing w:before="68"/>
              <w:ind w:right="94"/>
              <w:jc w:val="right"/>
              <w:rPr>
                <w:rFonts w:ascii="Arial"/>
                <w:sz w:val="16"/>
              </w:rPr>
            </w:pPr>
            <w:r w:rsidRPr="00EB2BD8">
              <w:rPr>
                <w:rFonts w:ascii="Arial"/>
                <w:spacing w:val="-5"/>
                <w:w w:val="105"/>
                <w:sz w:val="16"/>
              </w:rPr>
              <w:t>48</w:t>
            </w:r>
          </w:p>
        </w:tc>
      </w:tr>
      <w:tr w:rsidR="00EB2BD8" w:rsidRPr="00EB2BD8" w14:paraId="1C8A0C34" w14:textId="77777777">
        <w:trPr>
          <w:trHeight w:val="316"/>
        </w:trPr>
        <w:tc>
          <w:tcPr>
            <w:tcW w:w="7010" w:type="dxa"/>
            <w:tcBorders>
              <w:bottom w:val="single" w:sz="12" w:space="0" w:color="000000"/>
            </w:tcBorders>
            <w:shd w:val="clear" w:color="auto" w:fill="FFFFFF"/>
          </w:tcPr>
          <w:p w14:paraId="6C37C1EA" w14:textId="77777777" w:rsidR="00084F36" w:rsidRPr="00EB2BD8" w:rsidRDefault="00EB2BD8">
            <w:pPr>
              <w:pStyle w:val="TableParagraph"/>
              <w:spacing w:before="68"/>
              <w:ind w:left="105"/>
              <w:rPr>
                <w:rFonts w:ascii="Arial"/>
                <w:sz w:val="16"/>
              </w:rPr>
            </w:pPr>
            <w:r w:rsidRPr="00EB2BD8">
              <w:rPr>
                <w:rFonts w:ascii="Arial"/>
                <w:w w:val="105"/>
                <w:sz w:val="16"/>
              </w:rPr>
              <w:t>Provision</w:t>
            </w:r>
            <w:r w:rsidRPr="00EB2BD8">
              <w:rPr>
                <w:rFonts w:ascii="Arial"/>
                <w:spacing w:val="-8"/>
                <w:w w:val="105"/>
                <w:sz w:val="16"/>
              </w:rPr>
              <w:t xml:space="preserve"> </w:t>
            </w:r>
            <w:r w:rsidRPr="00EB2BD8">
              <w:rPr>
                <w:rFonts w:ascii="Arial"/>
                <w:w w:val="105"/>
                <w:sz w:val="16"/>
              </w:rPr>
              <w:t>for</w:t>
            </w:r>
            <w:r w:rsidRPr="00EB2BD8">
              <w:rPr>
                <w:rFonts w:ascii="Arial"/>
                <w:spacing w:val="-8"/>
                <w:w w:val="105"/>
                <w:sz w:val="16"/>
              </w:rPr>
              <w:t xml:space="preserve"> </w:t>
            </w:r>
            <w:r w:rsidRPr="00EB2BD8">
              <w:rPr>
                <w:rFonts w:ascii="Arial"/>
                <w:w w:val="105"/>
                <w:sz w:val="16"/>
              </w:rPr>
              <w:t>Impairment</w:t>
            </w:r>
            <w:r w:rsidRPr="00EB2BD8">
              <w:rPr>
                <w:rFonts w:ascii="Arial"/>
                <w:spacing w:val="-7"/>
                <w:w w:val="105"/>
                <w:sz w:val="16"/>
              </w:rPr>
              <w:t xml:space="preserve"> </w:t>
            </w:r>
            <w:r w:rsidRPr="00EB2BD8">
              <w:rPr>
                <w:rFonts w:ascii="Arial"/>
                <w:w w:val="105"/>
                <w:sz w:val="16"/>
              </w:rPr>
              <w:t>of</w:t>
            </w:r>
            <w:r w:rsidRPr="00EB2BD8">
              <w:rPr>
                <w:rFonts w:ascii="Arial"/>
                <w:spacing w:val="-8"/>
                <w:w w:val="105"/>
                <w:sz w:val="16"/>
              </w:rPr>
              <w:t xml:space="preserve"> </w:t>
            </w:r>
            <w:r w:rsidRPr="00EB2BD8">
              <w:rPr>
                <w:rFonts w:ascii="Arial"/>
                <w:spacing w:val="-2"/>
                <w:w w:val="105"/>
                <w:sz w:val="16"/>
              </w:rPr>
              <w:t>Receivables</w:t>
            </w:r>
          </w:p>
        </w:tc>
        <w:tc>
          <w:tcPr>
            <w:tcW w:w="1190" w:type="dxa"/>
            <w:tcBorders>
              <w:bottom w:val="single" w:sz="12" w:space="0" w:color="000000"/>
            </w:tcBorders>
            <w:shd w:val="clear" w:color="auto" w:fill="DEEAF6"/>
          </w:tcPr>
          <w:p w14:paraId="32172286" w14:textId="77777777" w:rsidR="00084F36" w:rsidRPr="00EB2BD8" w:rsidRDefault="00EB2BD8">
            <w:pPr>
              <w:pStyle w:val="TableParagraph"/>
              <w:spacing w:before="68"/>
              <w:ind w:right="14"/>
              <w:jc w:val="right"/>
              <w:rPr>
                <w:rFonts w:ascii="Arial"/>
                <w:sz w:val="16"/>
              </w:rPr>
            </w:pPr>
            <w:r w:rsidRPr="00EB2BD8">
              <w:rPr>
                <w:rFonts w:ascii="Arial"/>
                <w:spacing w:val="-2"/>
                <w:w w:val="105"/>
                <w:sz w:val="16"/>
              </w:rPr>
              <w:t>(2,279)</w:t>
            </w:r>
          </w:p>
        </w:tc>
        <w:tc>
          <w:tcPr>
            <w:tcW w:w="1006" w:type="dxa"/>
            <w:tcBorders>
              <w:bottom w:val="single" w:sz="12" w:space="0" w:color="000000"/>
            </w:tcBorders>
            <w:shd w:val="clear" w:color="auto" w:fill="FFFFFF"/>
          </w:tcPr>
          <w:p w14:paraId="3C94338A" w14:textId="77777777" w:rsidR="00084F36" w:rsidRPr="00EB2BD8" w:rsidRDefault="00EB2BD8">
            <w:pPr>
              <w:pStyle w:val="TableParagraph"/>
              <w:spacing w:before="68"/>
              <w:ind w:right="94"/>
              <w:jc w:val="right"/>
              <w:rPr>
                <w:rFonts w:ascii="Arial"/>
                <w:sz w:val="16"/>
              </w:rPr>
            </w:pPr>
            <w:r w:rsidRPr="00EB2BD8">
              <w:rPr>
                <w:rFonts w:ascii="Arial"/>
                <w:spacing w:val="-5"/>
                <w:w w:val="105"/>
                <w:sz w:val="16"/>
              </w:rPr>
              <w:t>171</w:t>
            </w:r>
          </w:p>
        </w:tc>
      </w:tr>
      <w:tr w:rsidR="00EB2BD8" w:rsidRPr="00EB2BD8" w14:paraId="37719655" w14:textId="77777777">
        <w:trPr>
          <w:trHeight w:val="318"/>
        </w:trPr>
        <w:tc>
          <w:tcPr>
            <w:tcW w:w="7010" w:type="dxa"/>
            <w:tcBorders>
              <w:top w:val="single" w:sz="12" w:space="0" w:color="000000"/>
              <w:bottom w:val="single" w:sz="12" w:space="0" w:color="000000"/>
            </w:tcBorders>
            <w:shd w:val="clear" w:color="auto" w:fill="FFFFFF"/>
          </w:tcPr>
          <w:p w14:paraId="7702DCE9" w14:textId="77777777" w:rsidR="00084F36" w:rsidRPr="00EB2BD8" w:rsidRDefault="00EB2BD8">
            <w:pPr>
              <w:pStyle w:val="TableParagraph"/>
              <w:spacing w:before="69"/>
              <w:ind w:left="105"/>
              <w:rPr>
                <w:rFonts w:ascii="Arial"/>
                <w:b/>
                <w:sz w:val="16"/>
              </w:rPr>
            </w:pPr>
            <w:r w:rsidRPr="00EB2BD8">
              <w:rPr>
                <w:rFonts w:ascii="Arial"/>
                <w:b/>
                <w:w w:val="105"/>
                <w:sz w:val="16"/>
              </w:rPr>
              <w:t>Total</w:t>
            </w:r>
            <w:r w:rsidRPr="00EB2BD8">
              <w:rPr>
                <w:rFonts w:ascii="Arial"/>
                <w:b/>
                <w:spacing w:val="-8"/>
                <w:w w:val="105"/>
                <w:sz w:val="16"/>
              </w:rPr>
              <w:t xml:space="preserve"> </w:t>
            </w:r>
            <w:r w:rsidRPr="00EB2BD8">
              <w:rPr>
                <w:rFonts w:ascii="Arial"/>
                <w:b/>
                <w:w w:val="105"/>
                <w:sz w:val="16"/>
              </w:rPr>
              <w:t>other</w:t>
            </w:r>
            <w:r w:rsidRPr="00EB2BD8">
              <w:rPr>
                <w:rFonts w:ascii="Arial"/>
                <w:b/>
                <w:spacing w:val="-8"/>
                <w:w w:val="105"/>
                <w:sz w:val="16"/>
              </w:rPr>
              <w:t xml:space="preserve"> </w:t>
            </w:r>
            <w:r w:rsidRPr="00EB2BD8">
              <w:rPr>
                <w:rFonts w:ascii="Arial"/>
                <w:b/>
                <w:w w:val="105"/>
                <w:sz w:val="16"/>
              </w:rPr>
              <w:t>operating</w:t>
            </w:r>
            <w:r w:rsidRPr="00EB2BD8">
              <w:rPr>
                <w:rFonts w:ascii="Arial"/>
                <w:b/>
                <w:spacing w:val="-8"/>
                <w:w w:val="105"/>
                <w:sz w:val="16"/>
              </w:rPr>
              <w:t xml:space="preserve"> </w:t>
            </w:r>
            <w:r w:rsidRPr="00EB2BD8">
              <w:rPr>
                <w:rFonts w:ascii="Arial"/>
                <w:b/>
                <w:spacing w:val="-2"/>
                <w:w w:val="105"/>
                <w:sz w:val="16"/>
              </w:rPr>
              <w:t>expenses</w:t>
            </w:r>
          </w:p>
        </w:tc>
        <w:tc>
          <w:tcPr>
            <w:tcW w:w="1190" w:type="dxa"/>
            <w:tcBorders>
              <w:top w:val="single" w:sz="12" w:space="0" w:color="000000"/>
              <w:bottom w:val="single" w:sz="12" w:space="0" w:color="000000"/>
            </w:tcBorders>
            <w:shd w:val="clear" w:color="auto" w:fill="DEEAF6"/>
          </w:tcPr>
          <w:p w14:paraId="43E1D56C" w14:textId="77777777" w:rsidR="00084F36" w:rsidRPr="00EB2BD8" w:rsidRDefault="00EB2BD8">
            <w:pPr>
              <w:pStyle w:val="TableParagraph"/>
              <w:spacing w:before="69"/>
              <w:ind w:right="13"/>
              <w:jc w:val="right"/>
              <w:rPr>
                <w:rFonts w:ascii="Arial"/>
                <w:b/>
                <w:sz w:val="16"/>
              </w:rPr>
            </w:pPr>
            <w:r w:rsidRPr="00EB2BD8">
              <w:rPr>
                <w:rFonts w:ascii="Arial"/>
                <w:b/>
                <w:spacing w:val="-2"/>
                <w:w w:val="105"/>
                <w:sz w:val="16"/>
              </w:rPr>
              <w:t>19,962</w:t>
            </w:r>
          </w:p>
        </w:tc>
        <w:tc>
          <w:tcPr>
            <w:tcW w:w="1006" w:type="dxa"/>
            <w:tcBorders>
              <w:top w:val="single" w:sz="12" w:space="0" w:color="000000"/>
              <w:bottom w:val="single" w:sz="12" w:space="0" w:color="000000"/>
            </w:tcBorders>
            <w:shd w:val="clear" w:color="auto" w:fill="FFFFFF"/>
          </w:tcPr>
          <w:p w14:paraId="49C576F6" w14:textId="77777777" w:rsidR="00084F36" w:rsidRPr="00EB2BD8" w:rsidRDefault="00EB2BD8">
            <w:pPr>
              <w:pStyle w:val="TableParagraph"/>
              <w:spacing w:before="69"/>
              <w:ind w:right="94"/>
              <w:jc w:val="right"/>
              <w:rPr>
                <w:rFonts w:ascii="Arial"/>
                <w:b/>
                <w:sz w:val="16"/>
              </w:rPr>
            </w:pPr>
            <w:r w:rsidRPr="00EB2BD8">
              <w:rPr>
                <w:rFonts w:ascii="Arial"/>
                <w:b/>
                <w:spacing w:val="-2"/>
                <w:w w:val="105"/>
                <w:sz w:val="16"/>
              </w:rPr>
              <w:t>18,224</w:t>
            </w:r>
          </w:p>
        </w:tc>
      </w:tr>
    </w:tbl>
    <w:p w14:paraId="1BA101FD" w14:textId="77777777" w:rsidR="00084F36" w:rsidRPr="00EB2BD8" w:rsidRDefault="00084F36">
      <w:pPr>
        <w:pStyle w:val="BodyText"/>
        <w:spacing w:before="11"/>
        <w:rPr>
          <w:rFonts w:ascii="Arial"/>
        </w:rPr>
      </w:pPr>
    </w:p>
    <w:p w14:paraId="0AD608DA" w14:textId="77777777" w:rsidR="00084F36" w:rsidRPr="00EB2BD8" w:rsidRDefault="00EB2BD8">
      <w:pPr>
        <w:ind w:left="982"/>
        <w:rPr>
          <w:rFonts w:ascii="Arial"/>
          <w:i/>
          <w:sz w:val="15"/>
        </w:rPr>
      </w:pPr>
      <w:r w:rsidRPr="00EB2BD8">
        <w:rPr>
          <w:rFonts w:ascii="Arial"/>
          <w:i/>
          <w:spacing w:val="-2"/>
          <w:sz w:val="15"/>
        </w:rPr>
        <w:t>Note:</w:t>
      </w:r>
    </w:p>
    <w:p w14:paraId="501E40AD" w14:textId="77777777" w:rsidR="00084F36" w:rsidRPr="00EB2BD8" w:rsidRDefault="00EB2BD8">
      <w:pPr>
        <w:pStyle w:val="ListParagraph"/>
        <w:numPr>
          <w:ilvl w:val="0"/>
          <w:numId w:val="44"/>
        </w:numPr>
        <w:tabs>
          <w:tab w:val="left" w:pos="1380"/>
        </w:tabs>
        <w:spacing w:before="138" w:line="273" w:lineRule="auto"/>
        <w:ind w:right="2029"/>
        <w:rPr>
          <w:rFonts w:ascii="Arial"/>
          <w:i/>
          <w:sz w:val="15"/>
        </w:rPr>
      </w:pPr>
      <w:r w:rsidRPr="00EB2BD8">
        <w:rPr>
          <w:rFonts w:ascii="Arial"/>
          <w:i/>
          <w:sz w:val="15"/>
        </w:rPr>
        <w:t>The</w:t>
      </w:r>
      <w:r w:rsidRPr="00EB2BD8">
        <w:rPr>
          <w:rFonts w:ascii="Arial"/>
          <w:i/>
          <w:spacing w:val="-5"/>
          <w:sz w:val="15"/>
        </w:rPr>
        <w:t xml:space="preserve"> </w:t>
      </w:r>
      <w:r w:rsidRPr="00EB2BD8">
        <w:rPr>
          <w:rFonts w:ascii="Arial"/>
          <w:i/>
          <w:sz w:val="15"/>
        </w:rPr>
        <w:t>Department</w:t>
      </w:r>
      <w:r w:rsidRPr="00EB2BD8">
        <w:rPr>
          <w:rFonts w:ascii="Arial"/>
          <w:i/>
          <w:spacing w:val="-5"/>
          <w:sz w:val="15"/>
        </w:rPr>
        <w:t xml:space="preserve"> </w:t>
      </w:r>
      <w:r w:rsidRPr="00EB2BD8">
        <w:rPr>
          <w:rFonts w:ascii="Arial"/>
          <w:i/>
          <w:sz w:val="15"/>
        </w:rPr>
        <w:t>of</w:t>
      </w:r>
      <w:r w:rsidRPr="00EB2BD8">
        <w:rPr>
          <w:rFonts w:ascii="Arial"/>
          <w:i/>
          <w:spacing w:val="-5"/>
          <w:sz w:val="15"/>
        </w:rPr>
        <w:t xml:space="preserve"> </w:t>
      </w:r>
      <w:r w:rsidRPr="00EB2BD8">
        <w:rPr>
          <w:rFonts w:ascii="Arial"/>
          <w:i/>
          <w:sz w:val="15"/>
        </w:rPr>
        <w:t>Energy,</w:t>
      </w:r>
      <w:r w:rsidRPr="00EB2BD8">
        <w:rPr>
          <w:rFonts w:ascii="Arial"/>
          <w:i/>
          <w:spacing w:val="-5"/>
          <w:sz w:val="15"/>
        </w:rPr>
        <w:t xml:space="preserve"> </w:t>
      </w:r>
      <w:r w:rsidRPr="00EB2BD8">
        <w:rPr>
          <w:rFonts w:ascii="Arial"/>
          <w:i/>
          <w:sz w:val="15"/>
        </w:rPr>
        <w:t>Environment</w:t>
      </w:r>
      <w:r w:rsidRPr="00EB2BD8">
        <w:rPr>
          <w:rFonts w:ascii="Arial"/>
          <w:i/>
          <w:spacing w:val="-5"/>
          <w:sz w:val="15"/>
        </w:rPr>
        <w:t xml:space="preserve"> </w:t>
      </w:r>
      <w:r w:rsidRPr="00EB2BD8">
        <w:rPr>
          <w:rFonts w:ascii="Arial"/>
          <w:i/>
          <w:sz w:val="15"/>
        </w:rPr>
        <w:t>and</w:t>
      </w:r>
      <w:r w:rsidRPr="00EB2BD8">
        <w:rPr>
          <w:rFonts w:ascii="Arial"/>
          <w:i/>
          <w:spacing w:val="-5"/>
          <w:sz w:val="15"/>
        </w:rPr>
        <w:t xml:space="preserve"> </w:t>
      </w:r>
      <w:r w:rsidRPr="00EB2BD8">
        <w:rPr>
          <w:rFonts w:ascii="Arial"/>
          <w:i/>
          <w:sz w:val="15"/>
        </w:rPr>
        <w:t>Climate</w:t>
      </w:r>
      <w:r w:rsidRPr="00EB2BD8">
        <w:rPr>
          <w:rFonts w:ascii="Arial"/>
          <w:i/>
          <w:spacing w:val="-5"/>
          <w:sz w:val="15"/>
        </w:rPr>
        <w:t xml:space="preserve"> </w:t>
      </w:r>
      <w:r w:rsidRPr="00EB2BD8">
        <w:rPr>
          <w:rFonts w:ascii="Arial"/>
          <w:i/>
          <w:sz w:val="15"/>
        </w:rPr>
        <w:t>Action</w:t>
      </w:r>
      <w:r w:rsidRPr="00EB2BD8">
        <w:rPr>
          <w:rFonts w:ascii="Arial"/>
          <w:i/>
          <w:spacing w:val="-5"/>
          <w:sz w:val="15"/>
        </w:rPr>
        <w:t xml:space="preserve"> </w:t>
      </w:r>
      <w:r w:rsidRPr="00EB2BD8">
        <w:rPr>
          <w:rFonts w:ascii="Arial"/>
          <w:i/>
          <w:sz w:val="15"/>
        </w:rPr>
        <w:t>(DEECA),</w:t>
      </w:r>
      <w:r w:rsidRPr="00EB2BD8">
        <w:rPr>
          <w:rFonts w:ascii="Arial"/>
          <w:i/>
          <w:spacing w:val="-5"/>
          <w:sz w:val="15"/>
        </w:rPr>
        <w:t xml:space="preserve"> </w:t>
      </w:r>
      <w:r w:rsidRPr="00EB2BD8">
        <w:rPr>
          <w:rFonts w:ascii="Arial"/>
          <w:i/>
          <w:sz w:val="15"/>
        </w:rPr>
        <w:t>formerly</w:t>
      </w:r>
      <w:r w:rsidRPr="00EB2BD8">
        <w:rPr>
          <w:rFonts w:ascii="Arial"/>
          <w:i/>
          <w:spacing w:val="-5"/>
          <w:sz w:val="15"/>
        </w:rPr>
        <w:t xml:space="preserve"> </w:t>
      </w:r>
      <w:r w:rsidRPr="00EB2BD8">
        <w:rPr>
          <w:rFonts w:ascii="Arial"/>
          <w:i/>
          <w:sz w:val="15"/>
        </w:rPr>
        <w:t>known</w:t>
      </w:r>
      <w:r w:rsidRPr="00EB2BD8">
        <w:rPr>
          <w:rFonts w:ascii="Arial"/>
          <w:i/>
          <w:spacing w:val="-5"/>
          <w:sz w:val="15"/>
        </w:rPr>
        <w:t xml:space="preserve"> </w:t>
      </w:r>
      <w:r w:rsidRPr="00EB2BD8">
        <w:rPr>
          <w:rFonts w:ascii="Arial"/>
          <w:i/>
          <w:sz w:val="15"/>
        </w:rPr>
        <w:t>as</w:t>
      </w:r>
      <w:r w:rsidRPr="00EB2BD8">
        <w:rPr>
          <w:rFonts w:ascii="Arial"/>
          <w:i/>
          <w:spacing w:val="-5"/>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Department</w:t>
      </w:r>
      <w:r w:rsidRPr="00EB2BD8">
        <w:rPr>
          <w:rFonts w:ascii="Arial"/>
          <w:i/>
          <w:spacing w:val="-5"/>
          <w:sz w:val="15"/>
        </w:rPr>
        <w:t xml:space="preserve"> </w:t>
      </w:r>
      <w:r w:rsidRPr="00EB2BD8">
        <w:rPr>
          <w:rFonts w:ascii="Arial"/>
          <w:i/>
          <w:sz w:val="15"/>
        </w:rPr>
        <w:t>of</w:t>
      </w:r>
      <w:r w:rsidRPr="00EB2BD8">
        <w:rPr>
          <w:rFonts w:ascii="Arial"/>
          <w:i/>
          <w:spacing w:val="-5"/>
          <w:sz w:val="15"/>
        </w:rPr>
        <w:t xml:space="preserve"> </w:t>
      </w:r>
      <w:r w:rsidRPr="00EB2BD8">
        <w:rPr>
          <w:rFonts w:ascii="Arial"/>
          <w:i/>
          <w:sz w:val="15"/>
        </w:rPr>
        <w:t>Environment,</w:t>
      </w:r>
      <w:r w:rsidRPr="00EB2BD8">
        <w:rPr>
          <w:rFonts w:ascii="Arial"/>
          <w:i/>
          <w:spacing w:val="-5"/>
          <w:sz w:val="15"/>
        </w:rPr>
        <w:t xml:space="preserve"> </w:t>
      </w:r>
      <w:r w:rsidRPr="00EB2BD8">
        <w:rPr>
          <w:rFonts w:ascii="Arial"/>
          <w:i/>
          <w:sz w:val="15"/>
        </w:rPr>
        <w:t>Land, Water and Planning (DELWP)</w:t>
      </w:r>
    </w:p>
    <w:p w14:paraId="33A41081" w14:textId="77777777" w:rsidR="00084F36" w:rsidRPr="00EB2BD8" w:rsidRDefault="00EB2BD8">
      <w:pPr>
        <w:pStyle w:val="ListParagraph"/>
        <w:numPr>
          <w:ilvl w:val="0"/>
          <w:numId w:val="44"/>
        </w:numPr>
        <w:tabs>
          <w:tab w:val="left" w:pos="1380"/>
        </w:tabs>
        <w:spacing w:before="56" w:line="276" w:lineRule="auto"/>
        <w:ind w:right="1755"/>
        <w:rPr>
          <w:rFonts w:ascii="Arial"/>
          <w:i/>
          <w:sz w:val="15"/>
        </w:rPr>
      </w:pPr>
      <w:r w:rsidRPr="00EB2BD8">
        <w:rPr>
          <w:rFonts w:ascii="Arial"/>
          <w:i/>
          <w:sz w:val="15"/>
        </w:rPr>
        <w:t>The VBA has revised the policy in relation to debtor management.</w:t>
      </w:r>
      <w:r w:rsidRPr="00EB2BD8">
        <w:rPr>
          <w:rFonts w:ascii="Arial"/>
          <w:i/>
          <w:spacing w:val="40"/>
          <w:sz w:val="15"/>
        </w:rPr>
        <w:t xml:space="preserve"> </w:t>
      </w:r>
      <w:r w:rsidRPr="00EB2BD8">
        <w:rPr>
          <w:rFonts w:ascii="Arial"/>
          <w:i/>
          <w:sz w:val="15"/>
        </w:rPr>
        <w:t>As a result of this change, there has been a reassessment of matters</w:t>
      </w:r>
      <w:r w:rsidRPr="00EB2BD8">
        <w:rPr>
          <w:rFonts w:ascii="Arial"/>
          <w:i/>
          <w:spacing w:val="-4"/>
          <w:sz w:val="15"/>
        </w:rPr>
        <w:t xml:space="preserve"> </w:t>
      </w:r>
      <w:r w:rsidRPr="00EB2BD8">
        <w:rPr>
          <w:rFonts w:ascii="Arial"/>
          <w:i/>
          <w:sz w:val="15"/>
        </w:rPr>
        <w:t>which</w:t>
      </w:r>
      <w:r w:rsidRPr="00EB2BD8">
        <w:rPr>
          <w:rFonts w:ascii="Arial"/>
          <w:i/>
          <w:spacing w:val="-5"/>
          <w:sz w:val="15"/>
        </w:rPr>
        <w:t xml:space="preserve"> </w:t>
      </w:r>
      <w:r w:rsidRPr="00EB2BD8">
        <w:rPr>
          <w:rFonts w:ascii="Arial"/>
          <w:i/>
          <w:sz w:val="15"/>
        </w:rPr>
        <w:t>fall</w:t>
      </w:r>
      <w:r w:rsidRPr="00EB2BD8">
        <w:rPr>
          <w:rFonts w:ascii="Arial"/>
          <w:i/>
          <w:spacing w:val="-4"/>
          <w:sz w:val="15"/>
        </w:rPr>
        <w:t xml:space="preserve"> </w:t>
      </w:r>
      <w:r w:rsidRPr="00EB2BD8">
        <w:rPr>
          <w:rFonts w:ascii="Arial"/>
          <w:i/>
          <w:sz w:val="15"/>
        </w:rPr>
        <w:t>within</w:t>
      </w:r>
      <w:r w:rsidRPr="00EB2BD8">
        <w:rPr>
          <w:rFonts w:ascii="Arial"/>
          <w:i/>
          <w:spacing w:val="-5"/>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statute</w:t>
      </w:r>
      <w:r w:rsidRPr="00EB2BD8">
        <w:rPr>
          <w:rFonts w:ascii="Arial"/>
          <w:i/>
          <w:spacing w:val="-5"/>
          <w:sz w:val="15"/>
        </w:rPr>
        <w:t xml:space="preserve"> </w:t>
      </w:r>
      <w:r w:rsidRPr="00EB2BD8">
        <w:rPr>
          <w:rFonts w:ascii="Arial"/>
          <w:i/>
          <w:sz w:val="15"/>
        </w:rPr>
        <w:t>of</w:t>
      </w:r>
      <w:r w:rsidRPr="00EB2BD8">
        <w:rPr>
          <w:rFonts w:ascii="Arial"/>
          <w:i/>
          <w:spacing w:val="-5"/>
          <w:sz w:val="15"/>
        </w:rPr>
        <w:t xml:space="preserve"> </w:t>
      </w:r>
      <w:r w:rsidRPr="00EB2BD8">
        <w:rPr>
          <w:rFonts w:ascii="Arial"/>
          <w:i/>
          <w:sz w:val="15"/>
        </w:rPr>
        <w:t>limitations</w:t>
      </w:r>
      <w:r w:rsidRPr="00EB2BD8">
        <w:rPr>
          <w:rFonts w:ascii="Arial"/>
          <w:i/>
          <w:spacing w:val="-4"/>
          <w:sz w:val="15"/>
        </w:rPr>
        <w:t xml:space="preserve"> </w:t>
      </w:r>
      <w:r w:rsidRPr="00EB2BD8">
        <w:rPr>
          <w:rFonts w:ascii="Arial"/>
          <w:i/>
          <w:sz w:val="15"/>
        </w:rPr>
        <w:t>period</w:t>
      </w:r>
      <w:r w:rsidRPr="00EB2BD8">
        <w:rPr>
          <w:rFonts w:ascii="Arial"/>
          <w:i/>
          <w:spacing w:val="-5"/>
          <w:sz w:val="15"/>
        </w:rPr>
        <w:t xml:space="preserve"> </w:t>
      </w:r>
      <w:r w:rsidRPr="00EB2BD8">
        <w:rPr>
          <w:rFonts w:ascii="Arial"/>
          <w:i/>
          <w:sz w:val="15"/>
        </w:rPr>
        <w:t>and</w:t>
      </w:r>
      <w:r w:rsidRPr="00EB2BD8">
        <w:rPr>
          <w:rFonts w:ascii="Arial"/>
          <w:i/>
          <w:spacing w:val="-5"/>
          <w:sz w:val="15"/>
        </w:rPr>
        <w:t xml:space="preserve"> </w:t>
      </w:r>
      <w:r w:rsidRPr="00EB2BD8">
        <w:rPr>
          <w:rFonts w:ascii="Arial"/>
          <w:i/>
          <w:sz w:val="15"/>
        </w:rPr>
        <w:t>transfer</w:t>
      </w:r>
      <w:r w:rsidRPr="00EB2BD8">
        <w:rPr>
          <w:rFonts w:ascii="Arial"/>
          <w:i/>
          <w:spacing w:val="-5"/>
          <w:sz w:val="15"/>
        </w:rPr>
        <w:t xml:space="preserve"> </w:t>
      </w:r>
      <w:r w:rsidRPr="00EB2BD8">
        <w:rPr>
          <w:rFonts w:ascii="Arial"/>
          <w:i/>
          <w:sz w:val="15"/>
        </w:rPr>
        <w:t>of</w:t>
      </w:r>
      <w:r w:rsidRPr="00EB2BD8">
        <w:rPr>
          <w:rFonts w:ascii="Arial"/>
          <w:i/>
          <w:spacing w:val="-5"/>
          <w:sz w:val="15"/>
        </w:rPr>
        <w:t xml:space="preserve"> </w:t>
      </w:r>
      <w:r w:rsidRPr="00EB2BD8">
        <w:rPr>
          <w:rFonts w:ascii="Arial"/>
          <w:i/>
          <w:sz w:val="15"/>
        </w:rPr>
        <w:t>ownership</w:t>
      </w:r>
      <w:r w:rsidRPr="00EB2BD8">
        <w:rPr>
          <w:rFonts w:ascii="Arial"/>
          <w:i/>
          <w:spacing w:val="-5"/>
          <w:sz w:val="15"/>
        </w:rPr>
        <w:t xml:space="preserve"> </w:t>
      </w:r>
      <w:r w:rsidRPr="00EB2BD8">
        <w:rPr>
          <w:rFonts w:ascii="Arial"/>
          <w:i/>
          <w:sz w:val="15"/>
        </w:rPr>
        <w:t>to</w:t>
      </w:r>
      <w:r w:rsidRPr="00EB2BD8">
        <w:rPr>
          <w:rFonts w:ascii="Arial"/>
          <w:i/>
          <w:spacing w:val="-1"/>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Victorian</w:t>
      </w:r>
      <w:r w:rsidRPr="00EB2BD8">
        <w:rPr>
          <w:rFonts w:ascii="Arial"/>
          <w:i/>
          <w:spacing w:val="-5"/>
          <w:sz w:val="15"/>
        </w:rPr>
        <w:t xml:space="preserve"> </w:t>
      </w:r>
      <w:r w:rsidRPr="00EB2BD8">
        <w:rPr>
          <w:rFonts w:ascii="Arial"/>
          <w:i/>
          <w:sz w:val="15"/>
        </w:rPr>
        <w:t>courts.</w:t>
      </w:r>
      <w:r w:rsidRPr="00EB2BD8">
        <w:rPr>
          <w:rFonts w:ascii="Arial"/>
          <w:i/>
          <w:spacing w:val="33"/>
          <w:sz w:val="15"/>
        </w:rPr>
        <w:t xml:space="preserve"> </w:t>
      </w:r>
      <w:r w:rsidRPr="00EB2BD8">
        <w:rPr>
          <w:rFonts w:ascii="Arial"/>
          <w:i/>
          <w:sz w:val="15"/>
        </w:rPr>
        <w:t>Management</w:t>
      </w:r>
      <w:r w:rsidRPr="00EB2BD8">
        <w:rPr>
          <w:rFonts w:ascii="Arial"/>
          <w:i/>
          <w:spacing w:val="-5"/>
          <w:sz w:val="15"/>
        </w:rPr>
        <w:t xml:space="preserve"> </w:t>
      </w:r>
      <w:r w:rsidRPr="00EB2BD8">
        <w:rPr>
          <w:rFonts w:ascii="Arial"/>
          <w:i/>
          <w:sz w:val="15"/>
        </w:rPr>
        <w:t>has</w:t>
      </w:r>
      <w:r w:rsidRPr="00EB2BD8">
        <w:rPr>
          <w:rFonts w:ascii="Arial"/>
          <w:i/>
          <w:spacing w:val="-4"/>
          <w:sz w:val="15"/>
        </w:rPr>
        <w:t xml:space="preserve"> </w:t>
      </w:r>
      <w:r w:rsidRPr="00EB2BD8">
        <w:rPr>
          <w:rFonts w:ascii="Arial"/>
          <w:i/>
          <w:sz w:val="15"/>
        </w:rPr>
        <w:t>therefore elected to record this change in treatment within the financial reporting period of 30 June 2023 (FY22: $48k).</w:t>
      </w:r>
    </w:p>
    <w:p w14:paraId="3819EEAB" w14:textId="77777777" w:rsidR="00084F36" w:rsidRPr="00EB2BD8" w:rsidRDefault="00084F36">
      <w:pPr>
        <w:pStyle w:val="BodyText"/>
        <w:rPr>
          <w:rFonts w:ascii="Arial"/>
          <w:i/>
          <w:sz w:val="16"/>
        </w:rPr>
      </w:pPr>
    </w:p>
    <w:p w14:paraId="55E5ECBD" w14:textId="77777777" w:rsidR="00084F36" w:rsidRPr="00EB2BD8" w:rsidRDefault="00084F36">
      <w:pPr>
        <w:pStyle w:val="BodyText"/>
        <w:rPr>
          <w:rFonts w:ascii="Arial"/>
          <w:i/>
          <w:sz w:val="16"/>
        </w:rPr>
      </w:pPr>
    </w:p>
    <w:p w14:paraId="70B7E799" w14:textId="77777777" w:rsidR="00084F36" w:rsidRPr="00EB2BD8" w:rsidRDefault="00084F36">
      <w:pPr>
        <w:pStyle w:val="BodyText"/>
        <w:spacing w:before="9"/>
        <w:rPr>
          <w:rFonts w:ascii="Arial"/>
          <w:i/>
          <w:sz w:val="14"/>
        </w:rPr>
      </w:pPr>
    </w:p>
    <w:p w14:paraId="5A3CC9B9" w14:textId="77777777" w:rsidR="00084F36" w:rsidRPr="00EB2BD8" w:rsidRDefault="00EB2BD8">
      <w:pPr>
        <w:spacing w:line="288" w:lineRule="auto"/>
        <w:ind w:left="982" w:right="1672"/>
        <w:rPr>
          <w:rFonts w:ascii="Arial"/>
          <w:b/>
          <w:sz w:val="16"/>
        </w:rPr>
      </w:pPr>
      <w:r w:rsidRPr="00EB2BD8">
        <w:rPr>
          <w:rFonts w:ascii="Arial"/>
          <w:b/>
          <w:w w:val="105"/>
          <w:sz w:val="16"/>
        </w:rPr>
        <w:t xml:space="preserve">Other operating expenses </w:t>
      </w:r>
      <w:r w:rsidRPr="00EB2BD8">
        <w:rPr>
          <w:rFonts w:ascii="Arial"/>
          <w:w w:val="105"/>
          <w:sz w:val="16"/>
        </w:rPr>
        <w:t>generally represent the day-to-day running costs incurred in normal operations. It also includes bad debts written off from transactions that are mutually agreed</w:t>
      </w:r>
      <w:r w:rsidRPr="00EB2BD8">
        <w:rPr>
          <w:rFonts w:ascii="Arial"/>
          <w:b/>
          <w:w w:val="105"/>
          <w:sz w:val="16"/>
        </w:rPr>
        <w:t>.</w:t>
      </w:r>
    </w:p>
    <w:p w14:paraId="6913A2D5" w14:textId="77777777" w:rsidR="00084F36" w:rsidRPr="00EB2BD8" w:rsidRDefault="00084F36">
      <w:pPr>
        <w:pStyle w:val="BodyText"/>
        <w:rPr>
          <w:rFonts w:ascii="Arial"/>
          <w:b/>
          <w:sz w:val="20"/>
        </w:rPr>
      </w:pPr>
    </w:p>
    <w:p w14:paraId="315AC369" w14:textId="77777777" w:rsidR="00084F36" w:rsidRPr="00EB2BD8" w:rsidRDefault="00084F36">
      <w:pPr>
        <w:pStyle w:val="BodyText"/>
        <w:rPr>
          <w:rFonts w:ascii="Arial"/>
          <w:b/>
          <w:sz w:val="20"/>
        </w:rPr>
      </w:pPr>
    </w:p>
    <w:p w14:paraId="02075A8E" w14:textId="77777777" w:rsidR="00084F36" w:rsidRPr="00EB2BD8" w:rsidRDefault="00084F36">
      <w:pPr>
        <w:pStyle w:val="BodyText"/>
        <w:rPr>
          <w:rFonts w:ascii="Arial"/>
          <w:b/>
          <w:sz w:val="20"/>
        </w:rPr>
      </w:pPr>
    </w:p>
    <w:p w14:paraId="6F29B108" w14:textId="77777777" w:rsidR="00084F36" w:rsidRPr="00EB2BD8" w:rsidRDefault="00084F36">
      <w:pPr>
        <w:pStyle w:val="BodyText"/>
        <w:rPr>
          <w:rFonts w:ascii="Arial"/>
          <w:b/>
          <w:sz w:val="20"/>
        </w:rPr>
      </w:pPr>
    </w:p>
    <w:p w14:paraId="2D7969A2" w14:textId="77777777" w:rsidR="00084F36" w:rsidRPr="00EB2BD8" w:rsidRDefault="00084F36">
      <w:pPr>
        <w:pStyle w:val="BodyText"/>
        <w:rPr>
          <w:rFonts w:ascii="Arial"/>
          <w:b/>
          <w:sz w:val="20"/>
        </w:rPr>
      </w:pPr>
    </w:p>
    <w:p w14:paraId="25D641A5" w14:textId="77777777" w:rsidR="00084F36" w:rsidRPr="00EB2BD8" w:rsidRDefault="00084F36">
      <w:pPr>
        <w:pStyle w:val="BodyText"/>
        <w:rPr>
          <w:rFonts w:ascii="Arial"/>
          <w:b/>
          <w:sz w:val="20"/>
        </w:rPr>
      </w:pPr>
    </w:p>
    <w:p w14:paraId="27A12FF5" w14:textId="77777777" w:rsidR="00084F36" w:rsidRPr="00EB2BD8" w:rsidRDefault="00084F36">
      <w:pPr>
        <w:pStyle w:val="BodyText"/>
        <w:rPr>
          <w:rFonts w:ascii="Arial"/>
          <w:b/>
          <w:sz w:val="20"/>
        </w:rPr>
      </w:pPr>
    </w:p>
    <w:p w14:paraId="6DB99BC0" w14:textId="77777777" w:rsidR="00084F36" w:rsidRPr="00EB2BD8" w:rsidRDefault="00084F36">
      <w:pPr>
        <w:pStyle w:val="BodyText"/>
        <w:rPr>
          <w:rFonts w:ascii="Arial"/>
          <w:b/>
          <w:sz w:val="20"/>
        </w:rPr>
      </w:pPr>
    </w:p>
    <w:p w14:paraId="0498F51D" w14:textId="77777777" w:rsidR="00084F36" w:rsidRPr="00EB2BD8" w:rsidRDefault="00084F36">
      <w:pPr>
        <w:pStyle w:val="BodyText"/>
        <w:rPr>
          <w:rFonts w:ascii="Arial"/>
          <w:b/>
          <w:sz w:val="20"/>
        </w:rPr>
      </w:pPr>
    </w:p>
    <w:p w14:paraId="7AFFFD6C" w14:textId="77777777" w:rsidR="00084F36" w:rsidRPr="00EB2BD8" w:rsidRDefault="00084F36">
      <w:pPr>
        <w:pStyle w:val="BodyText"/>
        <w:rPr>
          <w:rFonts w:ascii="Arial"/>
          <w:b/>
          <w:sz w:val="20"/>
        </w:rPr>
      </w:pPr>
    </w:p>
    <w:p w14:paraId="49AA18A9" w14:textId="77777777" w:rsidR="00084F36" w:rsidRPr="00EB2BD8" w:rsidRDefault="00084F36">
      <w:pPr>
        <w:pStyle w:val="BodyText"/>
        <w:rPr>
          <w:rFonts w:ascii="Arial"/>
          <w:b/>
          <w:sz w:val="20"/>
        </w:rPr>
      </w:pPr>
    </w:p>
    <w:p w14:paraId="1D80F220" w14:textId="77777777" w:rsidR="00084F36" w:rsidRPr="00EB2BD8" w:rsidRDefault="00084F36">
      <w:pPr>
        <w:pStyle w:val="BodyText"/>
        <w:rPr>
          <w:rFonts w:ascii="Arial"/>
          <w:b/>
          <w:sz w:val="20"/>
        </w:rPr>
      </w:pPr>
    </w:p>
    <w:p w14:paraId="76D56A39" w14:textId="77777777" w:rsidR="00084F36" w:rsidRPr="00EB2BD8" w:rsidRDefault="00084F36">
      <w:pPr>
        <w:pStyle w:val="BodyText"/>
        <w:rPr>
          <w:rFonts w:ascii="Arial"/>
          <w:b/>
          <w:sz w:val="20"/>
        </w:rPr>
      </w:pPr>
    </w:p>
    <w:p w14:paraId="7458FA2D" w14:textId="77777777" w:rsidR="00084F36" w:rsidRPr="00EB2BD8" w:rsidRDefault="00084F36">
      <w:pPr>
        <w:pStyle w:val="BodyText"/>
        <w:rPr>
          <w:rFonts w:ascii="Arial"/>
          <w:b/>
          <w:sz w:val="20"/>
        </w:rPr>
      </w:pPr>
    </w:p>
    <w:p w14:paraId="148278BA" w14:textId="77777777" w:rsidR="00084F36" w:rsidRPr="00EB2BD8" w:rsidRDefault="00084F36">
      <w:pPr>
        <w:pStyle w:val="BodyText"/>
        <w:rPr>
          <w:rFonts w:ascii="Arial"/>
          <w:b/>
          <w:sz w:val="20"/>
        </w:rPr>
      </w:pPr>
    </w:p>
    <w:p w14:paraId="6C5E2C18" w14:textId="77777777" w:rsidR="00084F36" w:rsidRPr="00EB2BD8" w:rsidRDefault="00084F36">
      <w:pPr>
        <w:pStyle w:val="BodyText"/>
        <w:rPr>
          <w:rFonts w:ascii="Arial"/>
          <w:b/>
          <w:sz w:val="20"/>
        </w:rPr>
      </w:pPr>
    </w:p>
    <w:p w14:paraId="73CE7B38" w14:textId="77777777" w:rsidR="00084F36" w:rsidRPr="00EB2BD8" w:rsidRDefault="00084F36">
      <w:pPr>
        <w:pStyle w:val="BodyText"/>
        <w:rPr>
          <w:rFonts w:ascii="Arial"/>
          <w:b/>
          <w:sz w:val="20"/>
        </w:rPr>
      </w:pPr>
    </w:p>
    <w:p w14:paraId="5359FFC4" w14:textId="77777777" w:rsidR="00084F36" w:rsidRPr="00EB2BD8" w:rsidRDefault="00084F36">
      <w:pPr>
        <w:pStyle w:val="BodyText"/>
        <w:rPr>
          <w:rFonts w:ascii="Arial"/>
          <w:b/>
          <w:sz w:val="20"/>
        </w:rPr>
      </w:pPr>
    </w:p>
    <w:p w14:paraId="3EB5D5C0" w14:textId="77777777" w:rsidR="00084F36" w:rsidRPr="00EB2BD8" w:rsidRDefault="00084F36">
      <w:pPr>
        <w:pStyle w:val="BodyText"/>
        <w:rPr>
          <w:rFonts w:ascii="Arial"/>
          <w:b/>
          <w:sz w:val="20"/>
        </w:rPr>
      </w:pPr>
    </w:p>
    <w:p w14:paraId="60D5EE88" w14:textId="77777777" w:rsidR="00084F36" w:rsidRPr="00EB2BD8" w:rsidRDefault="00084F36">
      <w:pPr>
        <w:pStyle w:val="BodyText"/>
        <w:rPr>
          <w:rFonts w:ascii="Arial"/>
          <w:b/>
          <w:sz w:val="20"/>
        </w:rPr>
      </w:pPr>
    </w:p>
    <w:p w14:paraId="0A2CB1B3" w14:textId="77777777" w:rsidR="00084F36" w:rsidRPr="00EB2BD8" w:rsidRDefault="00084F36">
      <w:pPr>
        <w:pStyle w:val="BodyText"/>
        <w:spacing w:before="1"/>
        <w:rPr>
          <w:rFonts w:ascii="Arial"/>
          <w:b/>
          <w:sz w:val="21"/>
        </w:rPr>
      </w:pPr>
    </w:p>
    <w:p w14:paraId="6FA9CEC8" w14:textId="34468F63" w:rsidR="00084F36" w:rsidRPr="00EB2BD8" w:rsidRDefault="00EB2BD8">
      <w:pPr>
        <w:tabs>
          <w:tab w:val="left" w:pos="1906"/>
        </w:tabs>
        <w:spacing w:before="1"/>
        <w:ind w:left="842"/>
        <w:rPr>
          <w:b/>
          <w:sz w:val="16"/>
        </w:rPr>
      </w:pPr>
      <w:r w:rsidRPr="00EB2BD8">
        <w:rPr>
          <w:sz w:val="16"/>
        </w:rPr>
        <w:tab/>
      </w:r>
    </w:p>
    <w:p w14:paraId="606EB5AE" w14:textId="77777777" w:rsidR="00084F36" w:rsidRPr="00EB2BD8" w:rsidRDefault="00084F36">
      <w:pPr>
        <w:rPr>
          <w:sz w:val="16"/>
        </w:rPr>
        <w:sectPr w:rsidR="00084F36" w:rsidRPr="00EB2BD8" w:rsidSect="006D75B2">
          <w:headerReference w:type="even" r:id="rId284"/>
          <w:footerReference w:type="even" r:id="rId285"/>
          <w:footerReference w:type="default" r:id="rId286"/>
          <w:pgSz w:w="11910" w:h="16840"/>
          <w:pgMar w:top="780" w:right="0" w:bottom="280" w:left="0" w:header="0" w:footer="0" w:gutter="0"/>
          <w:cols w:space="720"/>
        </w:sectPr>
      </w:pPr>
    </w:p>
    <w:p w14:paraId="41494837" w14:textId="77777777" w:rsidR="00084F36" w:rsidRPr="00EB2BD8" w:rsidRDefault="00084F36">
      <w:pPr>
        <w:pStyle w:val="BodyText"/>
        <w:rPr>
          <w:sz w:val="20"/>
        </w:rPr>
      </w:pPr>
    </w:p>
    <w:p w14:paraId="33644BA9" w14:textId="77777777" w:rsidR="00084F36" w:rsidRPr="00EB2BD8" w:rsidRDefault="00084F36">
      <w:pPr>
        <w:pStyle w:val="BodyText"/>
        <w:rPr>
          <w:sz w:val="20"/>
        </w:rPr>
      </w:pPr>
    </w:p>
    <w:p w14:paraId="29B75887" w14:textId="77777777" w:rsidR="00084F36" w:rsidRPr="00EB2BD8" w:rsidRDefault="00084F36">
      <w:pPr>
        <w:pStyle w:val="BodyText"/>
        <w:rPr>
          <w:sz w:val="20"/>
        </w:rPr>
      </w:pPr>
    </w:p>
    <w:p w14:paraId="79CC0D7A" w14:textId="77777777" w:rsidR="00084F36" w:rsidRPr="00EB2BD8" w:rsidRDefault="00084F36">
      <w:pPr>
        <w:pStyle w:val="BodyText"/>
        <w:rPr>
          <w:sz w:val="20"/>
        </w:rPr>
      </w:pPr>
    </w:p>
    <w:p w14:paraId="242E0ABE" w14:textId="77777777" w:rsidR="00084F36" w:rsidRPr="00EB2BD8" w:rsidRDefault="00084F36">
      <w:pPr>
        <w:pStyle w:val="BodyText"/>
        <w:rPr>
          <w:sz w:val="20"/>
        </w:rPr>
      </w:pPr>
    </w:p>
    <w:p w14:paraId="155ED399" w14:textId="77777777" w:rsidR="00084F36" w:rsidRPr="00EB2BD8" w:rsidRDefault="00084F36">
      <w:pPr>
        <w:pStyle w:val="BodyText"/>
        <w:spacing w:before="9"/>
        <w:rPr>
          <w:sz w:val="24"/>
        </w:rPr>
      </w:pPr>
    </w:p>
    <w:p w14:paraId="71E84D60" w14:textId="44D72F0E" w:rsidR="00084F36" w:rsidRPr="00EB2BD8" w:rsidRDefault="00436F78" w:rsidP="00436F78">
      <w:pPr>
        <w:pStyle w:val="Heading2"/>
        <w:ind w:left="0" w:firstLine="720"/>
      </w:pPr>
      <w:r>
        <w:t xml:space="preserve">    </w:t>
      </w:r>
      <w:bookmarkStart w:id="281" w:name="_Toc150762583"/>
      <w:r w:rsidR="00273892">
        <w:t>3.3 G</w:t>
      </w:r>
      <w:r w:rsidR="00273892" w:rsidRPr="00EB2BD8">
        <w:t>rant</w:t>
      </w:r>
      <w:r w:rsidR="00273892" w:rsidRPr="00EB2BD8">
        <w:rPr>
          <w:spacing w:val="13"/>
        </w:rPr>
        <w:t xml:space="preserve"> </w:t>
      </w:r>
      <w:r w:rsidR="00273892" w:rsidRPr="00EB2BD8">
        <w:rPr>
          <w:spacing w:val="-2"/>
        </w:rPr>
        <w:t>payments</w:t>
      </w:r>
      <w:bookmarkEnd w:id="281"/>
    </w:p>
    <w:p w14:paraId="77ED4FF0" w14:textId="77777777" w:rsidR="00084F36" w:rsidRPr="00EB2BD8" w:rsidRDefault="00084F36">
      <w:pPr>
        <w:pStyle w:val="BodyText"/>
        <w:spacing w:before="9"/>
        <w:rPr>
          <w:rFonts w:ascii="Arial"/>
          <w:b/>
          <w:sz w:val="11"/>
        </w:rPr>
      </w:pPr>
    </w:p>
    <w:p w14:paraId="662091F6" w14:textId="77777777" w:rsidR="00084F36" w:rsidRPr="00EB2BD8" w:rsidRDefault="00EB2BD8">
      <w:pPr>
        <w:spacing w:before="102" w:after="55"/>
        <w:ind w:right="1846"/>
        <w:jc w:val="right"/>
        <w:rPr>
          <w:rFonts w:ascii="Arial" w:hAnsi="Arial"/>
          <w:sz w:val="16"/>
        </w:rPr>
      </w:pPr>
      <w:r w:rsidRPr="00EB2BD8">
        <w:rPr>
          <w:rFonts w:ascii="Arial" w:hAnsi="Arial"/>
          <w:spacing w:val="-2"/>
          <w:w w:val="105"/>
          <w:sz w:val="16"/>
        </w:rPr>
        <w:t>($’000)</w:t>
      </w:r>
    </w:p>
    <w:tbl>
      <w:tblPr>
        <w:tblW w:w="0" w:type="auto"/>
        <w:tblInd w:w="1036" w:type="dxa"/>
        <w:tblLayout w:type="fixed"/>
        <w:tblCellMar>
          <w:left w:w="0" w:type="dxa"/>
          <w:right w:w="0" w:type="dxa"/>
        </w:tblCellMar>
        <w:tblLook w:val="01E0" w:firstRow="1" w:lastRow="1" w:firstColumn="1" w:lastColumn="1" w:noHBand="0" w:noVBand="0"/>
      </w:tblPr>
      <w:tblGrid>
        <w:gridCol w:w="6876"/>
        <w:gridCol w:w="1191"/>
        <w:gridCol w:w="1058"/>
      </w:tblGrid>
      <w:tr w:rsidR="00EB2BD8" w:rsidRPr="00EB2BD8" w14:paraId="3572F758" w14:textId="77777777">
        <w:trPr>
          <w:trHeight w:val="307"/>
        </w:trPr>
        <w:tc>
          <w:tcPr>
            <w:tcW w:w="8067" w:type="dxa"/>
            <w:gridSpan w:val="2"/>
            <w:tcBorders>
              <w:top w:val="single" w:sz="4" w:space="0" w:color="0098FF"/>
              <w:bottom w:val="single" w:sz="4" w:space="0" w:color="0098FF"/>
            </w:tcBorders>
            <w:shd w:val="clear" w:color="auto" w:fill="0070C0"/>
          </w:tcPr>
          <w:p w14:paraId="0A8C7A3D" w14:textId="77777777" w:rsidR="00084F36" w:rsidRPr="00EB2BD8" w:rsidRDefault="00EB2BD8">
            <w:pPr>
              <w:pStyle w:val="TableParagraph"/>
              <w:spacing w:before="64"/>
              <w:ind w:right="95"/>
              <w:jc w:val="right"/>
              <w:rPr>
                <w:rFonts w:ascii="Arial"/>
                <w:b/>
                <w:sz w:val="16"/>
              </w:rPr>
            </w:pPr>
            <w:r w:rsidRPr="00EB2BD8">
              <w:rPr>
                <w:rFonts w:ascii="Arial"/>
                <w:b/>
                <w:spacing w:val="-4"/>
                <w:w w:val="105"/>
                <w:sz w:val="16"/>
              </w:rPr>
              <w:t>2023</w:t>
            </w:r>
          </w:p>
        </w:tc>
        <w:tc>
          <w:tcPr>
            <w:tcW w:w="1058" w:type="dxa"/>
            <w:tcBorders>
              <w:top w:val="single" w:sz="4" w:space="0" w:color="0098FF"/>
              <w:bottom w:val="single" w:sz="4" w:space="0" w:color="0098FF"/>
              <w:right w:val="single" w:sz="4" w:space="0" w:color="0098FF"/>
            </w:tcBorders>
            <w:shd w:val="clear" w:color="auto" w:fill="0070C0"/>
          </w:tcPr>
          <w:p w14:paraId="4A3A30E7" w14:textId="77777777" w:rsidR="00084F36" w:rsidRPr="00EB2BD8" w:rsidRDefault="00EB2BD8">
            <w:pPr>
              <w:pStyle w:val="TableParagraph"/>
              <w:spacing w:before="64"/>
              <w:ind w:right="89"/>
              <w:jc w:val="right"/>
              <w:rPr>
                <w:rFonts w:ascii="Arial"/>
                <w:b/>
                <w:sz w:val="16"/>
              </w:rPr>
            </w:pPr>
            <w:r w:rsidRPr="00EB2BD8">
              <w:rPr>
                <w:rFonts w:ascii="Arial"/>
                <w:b/>
                <w:spacing w:val="-4"/>
                <w:w w:val="105"/>
                <w:sz w:val="16"/>
              </w:rPr>
              <w:t>2022</w:t>
            </w:r>
          </w:p>
        </w:tc>
      </w:tr>
      <w:tr w:rsidR="00EB2BD8" w:rsidRPr="00EB2BD8" w14:paraId="6A518ED4" w14:textId="77777777">
        <w:trPr>
          <w:trHeight w:val="311"/>
        </w:trPr>
        <w:tc>
          <w:tcPr>
            <w:tcW w:w="6876" w:type="dxa"/>
            <w:tcBorders>
              <w:top w:val="single" w:sz="4" w:space="0" w:color="0098FF"/>
            </w:tcBorders>
            <w:shd w:val="clear" w:color="auto" w:fill="FFFFFF"/>
          </w:tcPr>
          <w:p w14:paraId="1687B440" w14:textId="77777777" w:rsidR="00084F36" w:rsidRPr="00EB2BD8" w:rsidRDefault="00EB2BD8">
            <w:pPr>
              <w:pStyle w:val="TableParagraph"/>
              <w:spacing w:before="63"/>
              <w:ind w:left="105"/>
              <w:rPr>
                <w:rFonts w:ascii="Arial"/>
                <w:b/>
                <w:sz w:val="16"/>
              </w:rPr>
            </w:pPr>
            <w:r w:rsidRPr="00EB2BD8">
              <w:rPr>
                <w:rFonts w:ascii="Arial"/>
                <w:b/>
                <w:w w:val="105"/>
                <w:sz w:val="16"/>
              </w:rPr>
              <w:t>Specific</w:t>
            </w:r>
            <w:r w:rsidRPr="00EB2BD8">
              <w:rPr>
                <w:rFonts w:ascii="Arial"/>
                <w:b/>
                <w:spacing w:val="-10"/>
                <w:w w:val="105"/>
                <w:sz w:val="16"/>
              </w:rPr>
              <w:t xml:space="preserve"> </w:t>
            </w:r>
            <w:r w:rsidRPr="00EB2BD8">
              <w:rPr>
                <w:rFonts w:ascii="Arial"/>
                <w:b/>
                <w:w w:val="105"/>
                <w:sz w:val="16"/>
              </w:rPr>
              <w:t>Purpose</w:t>
            </w:r>
            <w:r w:rsidRPr="00EB2BD8">
              <w:rPr>
                <w:rFonts w:ascii="Arial"/>
                <w:b/>
                <w:spacing w:val="-9"/>
                <w:w w:val="105"/>
                <w:sz w:val="16"/>
              </w:rPr>
              <w:t xml:space="preserve"> </w:t>
            </w:r>
            <w:r w:rsidRPr="00EB2BD8">
              <w:rPr>
                <w:rFonts w:ascii="Arial"/>
                <w:b/>
                <w:spacing w:val="-2"/>
                <w:w w:val="105"/>
                <w:sz w:val="16"/>
              </w:rPr>
              <w:t>Grants</w:t>
            </w:r>
          </w:p>
        </w:tc>
        <w:tc>
          <w:tcPr>
            <w:tcW w:w="1191" w:type="dxa"/>
            <w:tcBorders>
              <w:top w:val="single" w:sz="4" w:space="0" w:color="0098FF"/>
            </w:tcBorders>
            <w:shd w:val="clear" w:color="auto" w:fill="DEEAF6"/>
          </w:tcPr>
          <w:p w14:paraId="6F1AC773" w14:textId="77777777" w:rsidR="00084F36" w:rsidRPr="00EB2BD8" w:rsidRDefault="00084F36">
            <w:pPr>
              <w:pStyle w:val="TableParagraph"/>
              <w:rPr>
                <w:rFonts w:ascii="Times New Roman"/>
                <w:sz w:val="16"/>
              </w:rPr>
            </w:pPr>
          </w:p>
        </w:tc>
        <w:tc>
          <w:tcPr>
            <w:tcW w:w="1058" w:type="dxa"/>
            <w:tcBorders>
              <w:top w:val="single" w:sz="4" w:space="0" w:color="0098FF"/>
            </w:tcBorders>
            <w:shd w:val="clear" w:color="auto" w:fill="FFFFFF"/>
          </w:tcPr>
          <w:p w14:paraId="71627C90" w14:textId="77777777" w:rsidR="00084F36" w:rsidRPr="00EB2BD8" w:rsidRDefault="00084F36">
            <w:pPr>
              <w:pStyle w:val="TableParagraph"/>
              <w:rPr>
                <w:rFonts w:ascii="Times New Roman"/>
                <w:sz w:val="16"/>
              </w:rPr>
            </w:pPr>
          </w:p>
        </w:tc>
      </w:tr>
      <w:tr w:rsidR="00EB2BD8" w:rsidRPr="00EB2BD8" w14:paraId="5E133B95" w14:textId="77777777">
        <w:trPr>
          <w:trHeight w:val="315"/>
        </w:trPr>
        <w:tc>
          <w:tcPr>
            <w:tcW w:w="6876" w:type="dxa"/>
            <w:shd w:val="clear" w:color="auto" w:fill="FFFFFF"/>
          </w:tcPr>
          <w:p w14:paraId="55E15838" w14:textId="77777777" w:rsidR="00084F36" w:rsidRPr="00EB2BD8" w:rsidRDefault="00EB2BD8">
            <w:pPr>
              <w:pStyle w:val="TableParagraph"/>
              <w:spacing w:before="64"/>
              <w:ind w:left="105"/>
              <w:rPr>
                <w:rFonts w:ascii="Arial"/>
                <w:sz w:val="16"/>
              </w:rPr>
            </w:pPr>
            <w:r w:rsidRPr="00EB2BD8">
              <w:rPr>
                <w:rFonts w:ascii="Arial"/>
                <w:w w:val="105"/>
                <w:sz w:val="16"/>
              </w:rPr>
              <w:t>Australian</w:t>
            </w:r>
            <w:r w:rsidRPr="00EB2BD8">
              <w:rPr>
                <w:rFonts w:ascii="Arial"/>
                <w:spacing w:val="-11"/>
                <w:w w:val="105"/>
                <w:sz w:val="16"/>
              </w:rPr>
              <w:t xml:space="preserve"> </w:t>
            </w:r>
            <w:r w:rsidRPr="00EB2BD8">
              <w:rPr>
                <w:rFonts w:ascii="Arial"/>
                <w:w w:val="105"/>
                <w:sz w:val="16"/>
              </w:rPr>
              <w:t>Building</w:t>
            </w:r>
            <w:r w:rsidRPr="00EB2BD8">
              <w:rPr>
                <w:rFonts w:ascii="Arial"/>
                <w:spacing w:val="-10"/>
                <w:w w:val="105"/>
                <w:sz w:val="16"/>
              </w:rPr>
              <w:t xml:space="preserve"> </w:t>
            </w:r>
            <w:r w:rsidRPr="00EB2BD8">
              <w:rPr>
                <w:rFonts w:ascii="Arial"/>
                <w:w w:val="105"/>
                <w:sz w:val="16"/>
              </w:rPr>
              <w:t>Codes</w:t>
            </w:r>
            <w:r w:rsidRPr="00EB2BD8">
              <w:rPr>
                <w:rFonts w:ascii="Arial"/>
                <w:spacing w:val="-10"/>
                <w:w w:val="105"/>
                <w:sz w:val="16"/>
              </w:rPr>
              <w:t xml:space="preserve"> </w:t>
            </w:r>
            <w:r w:rsidRPr="00EB2BD8">
              <w:rPr>
                <w:rFonts w:ascii="Arial"/>
                <w:spacing w:val="-2"/>
                <w:w w:val="105"/>
                <w:sz w:val="16"/>
              </w:rPr>
              <w:t>Board</w:t>
            </w:r>
          </w:p>
        </w:tc>
        <w:tc>
          <w:tcPr>
            <w:tcW w:w="1191" w:type="dxa"/>
            <w:shd w:val="clear" w:color="auto" w:fill="DEEAF6"/>
          </w:tcPr>
          <w:p w14:paraId="41024A30" w14:textId="77777777" w:rsidR="00084F36" w:rsidRPr="00EB2BD8" w:rsidRDefault="00EB2BD8">
            <w:pPr>
              <w:pStyle w:val="TableParagraph"/>
              <w:spacing w:before="64"/>
              <w:ind w:right="96"/>
              <w:jc w:val="right"/>
              <w:rPr>
                <w:rFonts w:ascii="Arial"/>
                <w:sz w:val="16"/>
              </w:rPr>
            </w:pPr>
            <w:r w:rsidRPr="00EB2BD8">
              <w:rPr>
                <w:rFonts w:ascii="Arial"/>
                <w:spacing w:val="-2"/>
                <w:w w:val="105"/>
                <w:sz w:val="16"/>
              </w:rPr>
              <w:t>1,043</w:t>
            </w:r>
          </w:p>
        </w:tc>
        <w:tc>
          <w:tcPr>
            <w:tcW w:w="1058" w:type="dxa"/>
            <w:shd w:val="clear" w:color="auto" w:fill="FFFFFF"/>
          </w:tcPr>
          <w:p w14:paraId="0FE4F838" w14:textId="77777777" w:rsidR="00084F36" w:rsidRPr="00EB2BD8" w:rsidRDefault="00EB2BD8">
            <w:pPr>
              <w:pStyle w:val="TableParagraph"/>
              <w:spacing w:before="64"/>
              <w:ind w:right="93"/>
              <w:jc w:val="right"/>
              <w:rPr>
                <w:rFonts w:ascii="Arial"/>
                <w:sz w:val="16"/>
              </w:rPr>
            </w:pPr>
            <w:r w:rsidRPr="00EB2BD8">
              <w:rPr>
                <w:rFonts w:ascii="Arial"/>
                <w:spacing w:val="-2"/>
                <w:w w:val="105"/>
                <w:sz w:val="16"/>
              </w:rPr>
              <w:t>1,043</w:t>
            </w:r>
          </w:p>
        </w:tc>
      </w:tr>
      <w:tr w:rsidR="00EB2BD8" w:rsidRPr="00EB2BD8" w14:paraId="4A1FEC13" w14:textId="77777777">
        <w:trPr>
          <w:trHeight w:val="314"/>
        </w:trPr>
        <w:tc>
          <w:tcPr>
            <w:tcW w:w="6876" w:type="dxa"/>
            <w:tcBorders>
              <w:bottom w:val="single" w:sz="12" w:space="0" w:color="000000"/>
            </w:tcBorders>
            <w:shd w:val="clear" w:color="auto" w:fill="FFFFFF"/>
          </w:tcPr>
          <w:p w14:paraId="22E1A8A9" w14:textId="77777777" w:rsidR="00084F36" w:rsidRPr="00EB2BD8" w:rsidRDefault="00EB2BD8">
            <w:pPr>
              <w:pStyle w:val="TableParagraph"/>
              <w:spacing w:before="67"/>
              <w:ind w:left="105"/>
              <w:rPr>
                <w:rFonts w:ascii="Arial"/>
                <w:sz w:val="16"/>
              </w:rPr>
            </w:pPr>
            <w:r w:rsidRPr="00EB2BD8">
              <w:rPr>
                <w:rFonts w:ascii="Arial"/>
                <w:w w:val="105"/>
                <w:sz w:val="16"/>
              </w:rPr>
              <w:t>Research</w:t>
            </w:r>
            <w:r w:rsidRPr="00EB2BD8">
              <w:rPr>
                <w:rFonts w:ascii="Arial"/>
                <w:spacing w:val="-11"/>
                <w:w w:val="105"/>
                <w:sz w:val="16"/>
              </w:rPr>
              <w:t xml:space="preserve"> </w:t>
            </w:r>
            <w:r w:rsidRPr="00EB2BD8">
              <w:rPr>
                <w:rFonts w:ascii="Arial"/>
                <w:spacing w:val="-2"/>
                <w:w w:val="105"/>
                <w:sz w:val="16"/>
              </w:rPr>
              <w:t>grants</w:t>
            </w:r>
          </w:p>
        </w:tc>
        <w:tc>
          <w:tcPr>
            <w:tcW w:w="1191" w:type="dxa"/>
            <w:tcBorders>
              <w:bottom w:val="single" w:sz="12" w:space="0" w:color="000000"/>
            </w:tcBorders>
            <w:shd w:val="clear" w:color="auto" w:fill="DEEAF6"/>
          </w:tcPr>
          <w:p w14:paraId="46101397" w14:textId="77777777" w:rsidR="00084F36" w:rsidRPr="00EB2BD8" w:rsidRDefault="00EB2BD8">
            <w:pPr>
              <w:pStyle w:val="TableParagraph"/>
              <w:spacing w:before="67"/>
              <w:ind w:right="96"/>
              <w:jc w:val="right"/>
              <w:rPr>
                <w:rFonts w:ascii="Arial"/>
                <w:sz w:val="16"/>
              </w:rPr>
            </w:pPr>
            <w:r w:rsidRPr="00EB2BD8">
              <w:rPr>
                <w:rFonts w:ascii="Arial"/>
                <w:spacing w:val="-5"/>
                <w:w w:val="105"/>
                <w:sz w:val="16"/>
              </w:rPr>
              <w:t>180</w:t>
            </w:r>
          </w:p>
        </w:tc>
        <w:tc>
          <w:tcPr>
            <w:tcW w:w="1058" w:type="dxa"/>
            <w:tcBorders>
              <w:bottom w:val="single" w:sz="12" w:space="0" w:color="000000"/>
            </w:tcBorders>
            <w:shd w:val="clear" w:color="auto" w:fill="FFFFFF"/>
          </w:tcPr>
          <w:p w14:paraId="71CC6A89" w14:textId="77777777" w:rsidR="00084F36" w:rsidRPr="00EB2BD8" w:rsidRDefault="00EB2BD8">
            <w:pPr>
              <w:pStyle w:val="TableParagraph"/>
              <w:spacing w:before="67"/>
              <w:ind w:right="93"/>
              <w:jc w:val="right"/>
              <w:rPr>
                <w:rFonts w:ascii="Arial"/>
                <w:sz w:val="16"/>
              </w:rPr>
            </w:pPr>
            <w:r w:rsidRPr="00EB2BD8">
              <w:rPr>
                <w:rFonts w:ascii="Arial"/>
                <w:w w:val="104"/>
                <w:sz w:val="16"/>
              </w:rPr>
              <w:t>-</w:t>
            </w:r>
          </w:p>
        </w:tc>
      </w:tr>
      <w:tr w:rsidR="00EB2BD8" w:rsidRPr="00EB2BD8" w14:paraId="476FF5C1" w14:textId="77777777">
        <w:trPr>
          <w:trHeight w:val="286"/>
        </w:trPr>
        <w:tc>
          <w:tcPr>
            <w:tcW w:w="6876" w:type="dxa"/>
            <w:tcBorders>
              <w:top w:val="single" w:sz="12" w:space="0" w:color="000000"/>
              <w:bottom w:val="single" w:sz="12" w:space="0" w:color="000000"/>
            </w:tcBorders>
            <w:shd w:val="clear" w:color="auto" w:fill="FFFFFF"/>
          </w:tcPr>
          <w:p w14:paraId="45B07ABB" w14:textId="77777777" w:rsidR="00084F36" w:rsidRPr="00EB2BD8" w:rsidRDefault="00EB2BD8">
            <w:pPr>
              <w:pStyle w:val="TableParagraph"/>
              <w:spacing w:before="53"/>
              <w:ind w:left="105"/>
              <w:rPr>
                <w:rFonts w:ascii="Arial"/>
                <w:b/>
                <w:sz w:val="16"/>
              </w:rPr>
            </w:pPr>
            <w:r w:rsidRPr="00EB2BD8">
              <w:rPr>
                <w:rFonts w:ascii="Arial"/>
                <w:b/>
                <w:w w:val="105"/>
                <w:sz w:val="16"/>
              </w:rPr>
              <w:t>Total</w:t>
            </w:r>
            <w:r w:rsidRPr="00EB2BD8">
              <w:rPr>
                <w:rFonts w:ascii="Arial"/>
                <w:b/>
                <w:spacing w:val="-6"/>
                <w:w w:val="105"/>
                <w:sz w:val="16"/>
              </w:rPr>
              <w:t xml:space="preserve"> </w:t>
            </w:r>
            <w:r w:rsidRPr="00EB2BD8">
              <w:rPr>
                <w:rFonts w:ascii="Arial"/>
                <w:b/>
                <w:w w:val="105"/>
                <w:sz w:val="16"/>
              </w:rPr>
              <w:t>grant</w:t>
            </w:r>
            <w:r w:rsidRPr="00EB2BD8">
              <w:rPr>
                <w:rFonts w:ascii="Arial"/>
                <w:b/>
                <w:spacing w:val="-7"/>
                <w:w w:val="105"/>
                <w:sz w:val="16"/>
              </w:rPr>
              <w:t xml:space="preserve"> </w:t>
            </w:r>
            <w:r w:rsidRPr="00EB2BD8">
              <w:rPr>
                <w:rFonts w:ascii="Arial"/>
                <w:b/>
                <w:spacing w:val="-2"/>
                <w:w w:val="105"/>
                <w:sz w:val="16"/>
              </w:rPr>
              <w:t>payments</w:t>
            </w:r>
          </w:p>
        </w:tc>
        <w:tc>
          <w:tcPr>
            <w:tcW w:w="1191" w:type="dxa"/>
            <w:tcBorders>
              <w:top w:val="single" w:sz="12" w:space="0" w:color="000000"/>
              <w:bottom w:val="single" w:sz="12" w:space="0" w:color="000000"/>
            </w:tcBorders>
            <w:shd w:val="clear" w:color="auto" w:fill="DEEAF6"/>
          </w:tcPr>
          <w:p w14:paraId="1E612C01" w14:textId="77777777" w:rsidR="00084F36" w:rsidRPr="00EB2BD8" w:rsidRDefault="00EB2BD8">
            <w:pPr>
              <w:pStyle w:val="TableParagraph"/>
              <w:spacing w:before="54"/>
              <w:ind w:right="95"/>
              <w:jc w:val="right"/>
              <w:rPr>
                <w:rFonts w:ascii="Arial"/>
                <w:b/>
                <w:sz w:val="16"/>
              </w:rPr>
            </w:pPr>
            <w:r w:rsidRPr="00EB2BD8">
              <w:rPr>
                <w:rFonts w:ascii="Arial"/>
                <w:b/>
                <w:spacing w:val="-4"/>
                <w:w w:val="105"/>
                <w:sz w:val="16"/>
              </w:rPr>
              <w:t>1,223</w:t>
            </w:r>
          </w:p>
        </w:tc>
        <w:tc>
          <w:tcPr>
            <w:tcW w:w="1058" w:type="dxa"/>
            <w:tcBorders>
              <w:top w:val="single" w:sz="12" w:space="0" w:color="000000"/>
              <w:bottom w:val="single" w:sz="12" w:space="0" w:color="000000"/>
            </w:tcBorders>
            <w:shd w:val="clear" w:color="auto" w:fill="FFFFFF"/>
          </w:tcPr>
          <w:p w14:paraId="10E1F490" w14:textId="77777777" w:rsidR="00084F36" w:rsidRPr="00EB2BD8" w:rsidRDefault="00EB2BD8">
            <w:pPr>
              <w:pStyle w:val="TableParagraph"/>
              <w:spacing w:before="54"/>
              <w:ind w:right="94"/>
              <w:jc w:val="right"/>
              <w:rPr>
                <w:rFonts w:ascii="Arial"/>
                <w:b/>
                <w:sz w:val="16"/>
              </w:rPr>
            </w:pPr>
            <w:r w:rsidRPr="00EB2BD8">
              <w:rPr>
                <w:rFonts w:ascii="Arial"/>
                <w:b/>
                <w:spacing w:val="-2"/>
                <w:w w:val="105"/>
                <w:sz w:val="16"/>
              </w:rPr>
              <w:t>1,043</w:t>
            </w:r>
          </w:p>
        </w:tc>
      </w:tr>
    </w:tbl>
    <w:p w14:paraId="2D33C4DB" w14:textId="77777777" w:rsidR="00084F36" w:rsidRPr="00EB2BD8" w:rsidRDefault="00084F36">
      <w:pPr>
        <w:pStyle w:val="BodyText"/>
        <w:rPr>
          <w:rFonts w:ascii="Arial"/>
          <w:sz w:val="12"/>
        </w:rPr>
      </w:pPr>
    </w:p>
    <w:p w14:paraId="3613D3EF" w14:textId="77777777" w:rsidR="00084F36" w:rsidRPr="00EB2BD8" w:rsidRDefault="00EB2BD8">
      <w:pPr>
        <w:spacing w:before="102" w:line="290" w:lineRule="auto"/>
        <w:ind w:left="1033" w:right="1813"/>
        <w:rPr>
          <w:rFonts w:ascii="Arial" w:hAnsi="Arial"/>
          <w:sz w:val="16"/>
        </w:rPr>
      </w:pPr>
      <w:r w:rsidRPr="00EB2BD8">
        <w:rPr>
          <w:rFonts w:ascii="Arial" w:hAnsi="Arial"/>
          <w:w w:val="105"/>
          <w:sz w:val="16"/>
        </w:rPr>
        <w:t>Grant</w:t>
      </w:r>
      <w:r w:rsidRPr="00EB2BD8">
        <w:rPr>
          <w:rFonts w:ascii="Arial" w:hAnsi="Arial"/>
          <w:spacing w:val="-3"/>
          <w:w w:val="105"/>
          <w:sz w:val="16"/>
        </w:rPr>
        <w:t xml:space="preserve"> </w:t>
      </w:r>
      <w:r w:rsidRPr="00EB2BD8">
        <w:rPr>
          <w:rFonts w:ascii="Arial" w:hAnsi="Arial"/>
          <w:w w:val="105"/>
          <w:sz w:val="16"/>
        </w:rPr>
        <w:t>payments</w:t>
      </w:r>
      <w:r w:rsidRPr="00EB2BD8">
        <w:rPr>
          <w:rFonts w:ascii="Arial" w:hAnsi="Arial"/>
          <w:spacing w:val="-3"/>
          <w:w w:val="105"/>
          <w:sz w:val="16"/>
        </w:rPr>
        <w:t xml:space="preserve"> </w:t>
      </w:r>
      <w:r w:rsidRPr="00EB2BD8">
        <w:rPr>
          <w:rFonts w:ascii="Arial" w:hAnsi="Arial"/>
          <w:w w:val="105"/>
          <w:sz w:val="16"/>
        </w:rPr>
        <w:t>are</w:t>
      </w:r>
      <w:r w:rsidRPr="00EB2BD8">
        <w:rPr>
          <w:rFonts w:ascii="Arial" w:hAnsi="Arial"/>
          <w:spacing w:val="-3"/>
          <w:w w:val="105"/>
          <w:sz w:val="16"/>
        </w:rPr>
        <w:t xml:space="preserve"> </w:t>
      </w:r>
      <w:r w:rsidRPr="00EB2BD8">
        <w:rPr>
          <w:rFonts w:ascii="Arial" w:hAnsi="Arial"/>
          <w:w w:val="105"/>
          <w:sz w:val="16"/>
        </w:rPr>
        <w:t>contributions</w:t>
      </w:r>
      <w:r w:rsidRPr="00EB2BD8">
        <w:rPr>
          <w:rFonts w:ascii="Arial" w:hAnsi="Arial"/>
          <w:spacing w:val="-3"/>
          <w:w w:val="105"/>
          <w:sz w:val="16"/>
        </w:rPr>
        <w:t xml:space="preserve"> </w:t>
      </w:r>
      <w:r w:rsidRPr="00EB2BD8">
        <w:rPr>
          <w:rFonts w:ascii="Arial" w:hAnsi="Arial"/>
          <w:w w:val="105"/>
          <w:sz w:val="16"/>
        </w:rPr>
        <w:t>of</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VBA’s</w:t>
      </w:r>
      <w:r w:rsidRPr="00EB2BD8">
        <w:rPr>
          <w:rFonts w:ascii="Arial" w:hAnsi="Arial"/>
          <w:spacing w:val="-3"/>
          <w:w w:val="105"/>
          <w:sz w:val="16"/>
        </w:rPr>
        <w:t xml:space="preserve"> </w:t>
      </w:r>
      <w:r w:rsidRPr="00EB2BD8">
        <w:rPr>
          <w:rFonts w:ascii="Arial" w:hAnsi="Arial"/>
          <w:w w:val="105"/>
          <w:sz w:val="16"/>
        </w:rPr>
        <w:t>resources</w:t>
      </w:r>
      <w:r w:rsidRPr="00EB2BD8">
        <w:rPr>
          <w:rFonts w:ascii="Arial" w:hAnsi="Arial"/>
          <w:spacing w:val="-3"/>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another</w:t>
      </w:r>
      <w:r w:rsidRPr="00EB2BD8">
        <w:rPr>
          <w:rFonts w:ascii="Arial" w:hAnsi="Arial"/>
          <w:spacing w:val="-3"/>
          <w:w w:val="105"/>
          <w:sz w:val="16"/>
        </w:rPr>
        <w:t xml:space="preserve"> </w:t>
      </w:r>
      <w:r w:rsidRPr="00EB2BD8">
        <w:rPr>
          <w:rFonts w:ascii="Arial" w:hAnsi="Arial"/>
          <w:w w:val="105"/>
          <w:sz w:val="16"/>
        </w:rPr>
        <w:t>party</w:t>
      </w:r>
      <w:r w:rsidRPr="00EB2BD8">
        <w:rPr>
          <w:rFonts w:ascii="Arial" w:hAnsi="Arial"/>
          <w:spacing w:val="-3"/>
          <w:w w:val="105"/>
          <w:sz w:val="16"/>
        </w:rPr>
        <w:t xml:space="preserve"> </w:t>
      </w:r>
      <w:r w:rsidRPr="00EB2BD8">
        <w:rPr>
          <w:rFonts w:ascii="Arial" w:hAnsi="Arial"/>
          <w:w w:val="105"/>
          <w:sz w:val="16"/>
        </w:rPr>
        <w:t>for</w:t>
      </w:r>
      <w:r w:rsidRPr="00EB2BD8">
        <w:rPr>
          <w:rFonts w:ascii="Arial" w:hAnsi="Arial"/>
          <w:spacing w:val="-3"/>
          <w:w w:val="105"/>
          <w:sz w:val="16"/>
        </w:rPr>
        <w:t xml:space="preserve"> </w:t>
      </w:r>
      <w:r w:rsidRPr="00EB2BD8">
        <w:rPr>
          <w:rFonts w:ascii="Arial" w:hAnsi="Arial"/>
          <w:w w:val="105"/>
          <w:sz w:val="16"/>
        </w:rPr>
        <w:t>specific</w:t>
      </w:r>
      <w:r w:rsidRPr="00EB2BD8">
        <w:rPr>
          <w:rFonts w:ascii="Arial" w:hAnsi="Arial"/>
          <w:spacing w:val="-3"/>
          <w:w w:val="105"/>
          <w:sz w:val="16"/>
        </w:rPr>
        <w:t xml:space="preserve"> </w:t>
      </w:r>
      <w:r w:rsidRPr="00EB2BD8">
        <w:rPr>
          <w:rFonts w:ascii="Arial" w:hAnsi="Arial"/>
          <w:w w:val="105"/>
          <w:sz w:val="16"/>
        </w:rPr>
        <w:t>purposes</w:t>
      </w:r>
      <w:r w:rsidRPr="00EB2BD8">
        <w:rPr>
          <w:rFonts w:ascii="Arial" w:hAnsi="Arial"/>
          <w:spacing w:val="-3"/>
          <w:w w:val="105"/>
          <w:sz w:val="16"/>
        </w:rPr>
        <w:t xml:space="preserve"> </w:t>
      </w:r>
      <w:r w:rsidRPr="00EB2BD8">
        <w:rPr>
          <w:rFonts w:ascii="Arial" w:hAnsi="Arial"/>
          <w:w w:val="105"/>
          <w:sz w:val="16"/>
        </w:rPr>
        <w:t>where</w:t>
      </w:r>
      <w:r w:rsidRPr="00EB2BD8">
        <w:rPr>
          <w:rFonts w:ascii="Arial" w:hAnsi="Arial"/>
          <w:spacing w:val="-3"/>
          <w:w w:val="105"/>
          <w:sz w:val="16"/>
        </w:rPr>
        <w:t xml:space="preserve"> </w:t>
      </w:r>
      <w:r w:rsidRPr="00EB2BD8">
        <w:rPr>
          <w:rFonts w:ascii="Arial" w:hAnsi="Arial"/>
          <w:w w:val="105"/>
          <w:sz w:val="16"/>
        </w:rPr>
        <w:t>there</w:t>
      </w:r>
      <w:r w:rsidRPr="00EB2BD8">
        <w:rPr>
          <w:rFonts w:ascii="Arial" w:hAnsi="Arial"/>
          <w:spacing w:val="-3"/>
          <w:w w:val="105"/>
          <w:sz w:val="16"/>
        </w:rPr>
        <w:t xml:space="preserve"> </w:t>
      </w:r>
      <w:r w:rsidRPr="00EB2BD8">
        <w:rPr>
          <w:rFonts w:ascii="Arial" w:hAnsi="Arial"/>
          <w:w w:val="105"/>
          <w:sz w:val="16"/>
        </w:rPr>
        <w:t>is</w:t>
      </w:r>
      <w:r w:rsidRPr="00EB2BD8">
        <w:rPr>
          <w:rFonts w:ascii="Arial" w:hAnsi="Arial"/>
          <w:spacing w:val="-3"/>
          <w:w w:val="105"/>
          <w:sz w:val="16"/>
        </w:rPr>
        <w:t xml:space="preserve"> </w:t>
      </w:r>
      <w:r w:rsidRPr="00EB2BD8">
        <w:rPr>
          <w:rFonts w:ascii="Arial" w:hAnsi="Arial"/>
          <w:w w:val="105"/>
          <w:sz w:val="16"/>
        </w:rPr>
        <w:t>no expectation that the amount will be repaid in equal value (either by money, goods or services).</w:t>
      </w:r>
    </w:p>
    <w:p w14:paraId="31B65184" w14:textId="77777777" w:rsidR="00084F36" w:rsidRPr="00EB2BD8" w:rsidRDefault="00084F36">
      <w:pPr>
        <w:pStyle w:val="BodyText"/>
        <w:spacing w:before="2"/>
        <w:rPr>
          <w:rFonts w:ascii="Arial"/>
          <w:sz w:val="19"/>
        </w:rPr>
      </w:pPr>
    </w:p>
    <w:p w14:paraId="3A61F8B0" w14:textId="77777777" w:rsidR="00084F36" w:rsidRPr="00EB2BD8" w:rsidRDefault="00EB2BD8">
      <w:pPr>
        <w:spacing w:before="1" w:line="290" w:lineRule="auto"/>
        <w:ind w:left="1033" w:right="1672"/>
        <w:rPr>
          <w:rFonts w:ascii="Arial"/>
          <w:sz w:val="16"/>
        </w:rPr>
      </w:pPr>
      <w:r w:rsidRPr="00EB2BD8">
        <w:rPr>
          <w:rFonts w:ascii="Arial"/>
          <w:w w:val="105"/>
          <w:sz w:val="16"/>
        </w:rPr>
        <w:t>Grants</w:t>
      </w:r>
      <w:r w:rsidRPr="00EB2BD8">
        <w:rPr>
          <w:rFonts w:ascii="Arial"/>
          <w:spacing w:val="-3"/>
          <w:w w:val="105"/>
          <w:sz w:val="16"/>
        </w:rPr>
        <w:t xml:space="preserve"> </w:t>
      </w:r>
      <w:r w:rsidRPr="00EB2BD8">
        <w:rPr>
          <w:rFonts w:ascii="Arial"/>
          <w:w w:val="105"/>
          <w:sz w:val="16"/>
        </w:rPr>
        <w:t>can</w:t>
      </w:r>
      <w:r w:rsidRPr="00EB2BD8">
        <w:rPr>
          <w:rFonts w:ascii="Arial"/>
          <w:spacing w:val="-3"/>
          <w:w w:val="105"/>
          <w:sz w:val="16"/>
        </w:rPr>
        <w:t xml:space="preserve"> </w:t>
      </w:r>
      <w:r w:rsidRPr="00EB2BD8">
        <w:rPr>
          <w:rFonts w:ascii="Arial"/>
          <w:w w:val="105"/>
          <w:sz w:val="16"/>
        </w:rPr>
        <w:t>either</w:t>
      </w:r>
      <w:r w:rsidRPr="00EB2BD8">
        <w:rPr>
          <w:rFonts w:ascii="Arial"/>
          <w:spacing w:val="-3"/>
          <w:w w:val="105"/>
          <w:sz w:val="16"/>
        </w:rPr>
        <w:t xml:space="preserve"> </w:t>
      </w:r>
      <w:r w:rsidRPr="00EB2BD8">
        <w:rPr>
          <w:rFonts w:ascii="Arial"/>
          <w:w w:val="105"/>
          <w:sz w:val="16"/>
        </w:rPr>
        <w:t>be</w:t>
      </w:r>
      <w:r w:rsidRPr="00EB2BD8">
        <w:rPr>
          <w:rFonts w:ascii="Arial"/>
          <w:spacing w:val="-3"/>
          <w:w w:val="105"/>
          <w:sz w:val="16"/>
        </w:rPr>
        <w:t xml:space="preserve"> </w:t>
      </w:r>
      <w:r w:rsidRPr="00EB2BD8">
        <w:rPr>
          <w:rFonts w:ascii="Arial"/>
          <w:w w:val="105"/>
          <w:sz w:val="16"/>
        </w:rPr>
        <w:t>operating</w:t>
      </w:r>
      <w:r w:rsidRPr="00EB2BD8">
        <w:rPr>
          <w:rFonts w:ascii="Arial"/>
          <w:spacing w:val="-2"/>
          <w:w w:val="105"/>
          <w:sz w:val="16"/>
        </w:rPr>
        <w:t xml:space="preserve"> </w:t>
      </w:r>
      <w:r w:rsidRPr="00EB2BD8">
        <w:rPr>
          <w:rFonts w:ascii="Arial"/>
          <w:w w:val="105"/>
          <w:sz w:val="16"/>
        </w:rPr>
        <w:t>or</w:t>
      </w:r>
      <w:r w:rsidRPr="00EB2BD8">
        <w:rPr>
          <w:rFonts w:ascii="Arial"/>
          <w:spacing w:val="-3"/>
          <w:w w:val="105"/>
          <w:sz w:val="16"/>
        </w:rPr>
        <w:t xml:space="preserve"> </w:t>
      </w:r>
      <w:r w:rsidRPr="00EB2BD8">
        <w:rPr>
          <w:rFonts w:ascii="Arial"/>
          <w:w w:val="105"/>
          <w:sz w:val="16"/>
        </w:rPr>
        <w:t>capital</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nature.</w:t>
      </w:r>
      <w:r w:rsidRPr="00EB2BD8">
        <w:rPr>
          <w:rFonts w:ascii="Arial"/>
          <w:spacing w:val="-3"/>
          <w:w w:val="105"/>
          <w:sz w:val="16"/>
        </w:rPr>
        <w:t xml:space="preserve"> </w:t>
      </w:r>
      <w:r w:rsidRPr="00EB2BD8">
        <w:rPr>
          <w:rFonts w:ascii="Arial"/>
          <w:w w:val="105"/>
          <w:sz w:val="16"/>
        </w:rPr>
        <w:t>Grants</w:t>
      </w:r>
      <w:r w:rsidRPr="00EB2BD8">
        <w:rPr>
          <w:rFonts w:ascii="Arial"/>
          <w:spacing w:val="-3"/>
          <w:w w:val="105"/>
          <w:sz w:val="16"/>
        </w:rPr>
        <w:t xml:space="preserve"> </w:t>
      </w:r>
      <w:r w:rsidRPr="00EB2BD8">
        <w:rPr>
          <w:rFonts w:ascii="Arial"/>
          <w:w w:val="105"/>
          <w:sz w:val="16"/>
        </w:rPr>
        <w:t>can</w:t>
      </w:r>
      <w:r w:rsidRPr="00EB2BD8">
        <w:rPr>
          <w:rFonts w:ascii="Arial"/>
          <w:spacing w:val="-3"/>
          <w:w w:val="105"/>
          <w:sz w:val="16"/>
        </w:rPr>
        <w:t xml:space="preserve"> </w:t>
      </w:r>
      <w:r w:rsidRPr="00EB2BD8">
        <w:rPr>
          <w:rFonts w:ascii="Arial"/>
          <w:w w:val="105"/>
          <w:sz w:val="16"/>
        </w:rPr>
        <w:t>be</w:t>
      </w:r>
      <w:r w:rsidRPr="00EB2BD8">
        <w:rPr>
          <w:rFonts w:ascii="Arial"/>
          <w:spacing w:val="-3"/>
          <w:w w:val="105"/>
          <w:sz w:val="16"/>
        </w:rPr>
        <w:t xml:space="preserve"> </w:t>
      </w:r>
      <w:r w:rsidRPr="00EB2BD8">
        <w:rPr>
          <w:rFonts w:ascii="Arial"/>
          <w:w w:val="105"/>
          <w:sz w:val="16"/>
        </w:rPr>
        <w:t>paid</w:t>
      </w:r>
      <w:r w:rsidRPr="00EB2BD8">
        <w:rPr>
          <w:rFonts w:ascii="Arial"/>
          <w:spacing w:val="-3"/>
          <w:w w:val="105"/>
          <w:sz w:val="16"/>
        </w:rPr>
        <w:t xml:space="preserve"> </w:t>
      </w:r>
      <w:r w:rsidRPr="00EB2BD8">
        <w:rPr>
          <w:rFonts w:ascii="Arial"/>
          <w:w w:val="105"/>
          <w:sz w:val="16"/>
        </w:rPr>
        <w:t>as</w:t>
      </w:r>
      <w:r w:rsidRPr="00EB2BD8">
        <w:rPr>
          <w:rFonts w:ascii="Arial"/>
          <w:spacing w:val="-3"/>
          <w:w w:val="105"/>
          <w:sz w:val="16"/>
        </w:rPr>
        <w:t xml:space="preserve"> </w:t>
      </w:r>
      <w:r w:rsidRPr="00EB2BD8">
        <w:rPr>
          <w:rFonts w:ascii="Arial"/>
          <w:w w:val="105"/>
          <w:sz w:val="16"/>
        </w:rPr>
        <w:t>general-purpose</w:t>
      </w:r>
      <w:r w:rsidRPr="00EB2BD8">
        <w:rPr>
          <w:rFonts w:ascii="Arial"/>
          <w:spacing w:val="-2"/>
          <w:w w:val="105"/>
          <w:sz w:val="16"/>
        </w:rPr>
        <w:t xml:space="preserve"> </w:t>
      </w:r>
      <w:r w:rsidRPr="00EB2BD8">
        <w:rPr>
          <w:rFonts w:ascii="Arial"/>
          <w:w w:val="105"/>
          <w:sz w:val="16"/>
        </w:rPr>
        <w:t>grants,</w:t>
      </w:r>
      <w:r w:rsidRPr="00EB2BD8">
        <w:rPr>
          <w:rFonts w:ascii="Arial"/>
          <w:spacing w:val="-3"/>
          <w:w w:val="105"/>
          <w:sz w:val="16"/>
        </w:rPr>
        <w:t xml:space="preserve"> </w:t>
      </w:r>
      <w:r w:rsidRPr="00EB2BD8">
        <w:rPr>
          <w:rFonts w:ascii="Arial"/>
          <w:w w:val="105"/>
          <w:sz w:val="16"/>
        </w:rPr>
        <w:t>which</w:t>
      </w:r>
      <w:r w:rsidRPr="00EB2BD8">
        <w:rPr>
          <w:rFonts w:ascii="Arial"/>
          <w:spacing w:val="-3"/>
          <w:w w:val="105"/>
          <w:sz w:val="16"/>
        </w:rPr>
        <w:t xml:space="preserve"> </w:t>
      </w:r>
      <w:r w:rsidRPr="00EB2BD8">
        <w:rPr>
          <w:rFonts w:ascii="Arial"/>
          <w:w w:val="105"/>
          <w:sz w:val="16"/>
        </w:rPr>
        <w:t>refer</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grants</w:t>
      </w:r>
      <w:r w:rsidRPr="00EB2BD8">
        <w:rPr>
          <w:rFonts w:ascii="Arial"/>
          <w:spacing w:val="-3"/>
          <w:w w:val="105"/>
          <w:sz w:val="16"/>
        </w:rPr>
        <w:t xml:space="preserve"> </w:t>
      </w:r>
      <w:r w:rsidRPr="00EB2BD8">
        <w:rPr>
          <w:rFonts w:ascii="Arial"/>
          <w:w w:val="105"/>
          <w:sz w:val="16"/>
        </w:rPr>
        <w:t>that are not subject to conditions regarding their use. Alternatively, they may be paid as specific purpose grants which are paid for a particular purpose and/or have conditions attached regarding their use.</w:t>
      </w:r>
    </w:p>
    <w:p w14:paraId="5B8E5991" w14:textId="77777777" w:rsidR="00084F36" w:rsidRPr="00EB2BD8" w:rsidRDefault="00084F36">
      <w:pPr>
        <w:pStyle w:val="BodyText"/>
        <w:spacing w:before="2"/>
        <w:rPr>
          <w:rFonts w:ascii="Arial"/>
          <w:sz w:val="19"/>
        </w:rPr>
      </w:pPr>
    </w:p>
    <w:p w14:paraId="7F0F0383" w14:textId="77777777" w:rsidR="00084F36" w:rsidRPr="00EB2BD8" w:rsidRDefault="00EB2BD8">
      <w:pPr>
        <w:spacing w:line="288" w:lineRule="auto"/>
        <w:ind w:left="1033" w:right="1813"/>
        <w:rPr>
          <w:rFonts w:ascii="Arial"/>
          <w:sz w:val="16"/>
        </w:rPr>
      </w:pPr>
      <w:r w:rsidRPr="00EB2BD8">
        <w:rPr>
          <w:rFonts w:ascii="Arial"/>
          <w:w w:val="105"/>
          <w:sz w:val="16"/>
        </w:rPr>
        <w:t>Grant</w:t>
      </w:r>
      <w:r w:rsidRPr="00EB2BD8">
        <w:rPr>
          <w:rFonts w:ascii="Arial"/>
          <w:spacing w:val="-3"/>
          <w:w w:val="105"/>
          <w:sz w:val="16"/>
        </w:rPr>
        <w:t xml:space="preserve"> </w:t>
      </w:r>
      <w:r w:rsidRPr="00EB2BD8">
        <w:rPr>
          <w:rFonts w:ascii="Arial"/>
          <w:w w:val="105"/>
          <w:sz w:val="16"/>
        </w:rPr>
        <w:t>expenses</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recognised</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reporting</w:t>
      </w:r>
      <w:r w:rsidRPr="00EB2BD8">
        <w:rPr>
          <w:rFonts w:ascii="Arial"/>
          <w:spacing w:val="-3"/>
          <w:w w:val="105"/>
          <w:sz w:val="16"/>
        </w:rPr>
        <w:t xml:space="preserve"> </w:t>
      </w:r>
      <w:r w:rsidRPr="00EB2BD8">
        <w:rPr>
          <w:rFonts w:ascii="Arial"/>
          <w:w w:val="105"/>
          <w:sz w:val="16"/>
        </w:rPr>
        <w:t>period</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which</w:t>
      </w:r>
      <w:r w:rsidRPr="00EB2BD8">
        <w:rPr>
          <w:rFonts w:ascii="Arial"/>
          <w:spacing w:val="-3"/>
          <w:w w:val="105"/>
          <w:sz w:val="16"/>
        </w:rPr>
        <w:t xml:space="preserve"> </w:t>
      </w:r>
      <w:r w:rsidRPr="00EB2BD8">
        <w:rPr>
          <w:rFonts w:ascii="Arial"/>
          <w:w w:val="105"/>
          <w:sz w:val="16"/>
        </w:rPr>
        <w:t>they</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paid</w:t>
      </w:r>
      <w:r w:rsidRPr="00EB2BD8">
        <w:rPr>
          <w:rFonts w:ascii="Arial"/>
          <w:spacing w:val="-3"/>
          <w:w w:val="105"/>
          <w:sz w:val="16"/>
        </w:rPr>
        <w:t xml:space="preserve"> </w:t>
      </w:r>
      <w:r w:rsidRPr="00EB2BD8">
        <w:rPr>
          <w:rFonts w:ascii="Arial"/>
          <w:w w:val="105"/>
          <w:sz w:val="16"/>
        </w:rPr>
        <w:t>or</w:t>
      </w:r>
      <w:r w:rsidRPr="00EB2BD8">
        <w:rPr>
          <w:rFonts w:ascii="Arial"/>
          <w:spacing w:val="-3"/>
          <w:w w:val="105"/>
          <w:sz w:val="16"/>
        </w:rPr>
        <w:t xml:space="preserve"> </w:t>
      </w:r>
      <w:r w:rsidRPr="00EB2BD8">
        <w:rPr>
          <w:rFonts w:ascii="Arial"/>
          <w:w w:val="105"/>
          <w:sz w:val="16"/>
        </w:rPr>
        <w:t>payable.</w:t>
      </w:r>
      <w:r w:rsidRPr="00EB2BD8">
        <w:rPr>
          <w:rFonts w:ascii="Arial"/>
          <w:spacing w:val="-1"/>
          <w:w w:val="105"/>
          <w:sz w:val="16"/>
        </w:rPr>
        <w:t xml:space="preserve"> </w:t>
      </w:r>
      <w:r w:rsidRPr="00EB2BD8">
        <w:rPr>
          <w:rFonts w:ascii="Arial"/>
          <w:w w:val="105"/>
          <w:sz w:val="16"/>
        </w:rPr>
        <w:t>Grants</w:t>
      </w:r>
      <w:r w:rsidRPr="00EB2BD8">
        <w:rPr>
          <w:rFonts w:ascii="Arial"/>
          <w:spacing w:val="-3"/>
          <w:w w:val="105"/>
          <w:sz w:val="16"/>
        </w:rPr>
        <w:t xml:space="preserve"> </w:t>
      </w:r>
      <w:r w:rsidRPr="00EB2BD8">
        <w:rPr>
          <w:rFonts w:ascii="Arial"/>
          <w:w w:val="105"/>
          <w:sz w:val="16"/>
        </w:rPr>
        <w:t>can</w:t>
      </w:r>
      <w:r w:rsidRPr="00EB2BD8">
        <w:rPr>
          <w:rFonts w:ascii="Arial"/>
          <w:spacing w:val="-3"/>
          <w:w w:val="105"/>
          <w:sz w:val="16"/>
        </w:rPr>
        <w:t xml:space="preserve"> </w:t>
      </w:r>
      <w:r w:rsidRPr="00EB2BD8">
        <w:rPr>
          <w:rFonts w:ascii="Arial"/>
          <w:w w:val="105"/>
          <w:sz w:val="16"/>
        </w:rPr>
        <w:t>take</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form</w:t>
      </w:r>
      <w:r w:rsidRPr="00EB2BD8">
        <w:rPr>
          <w:rFonts w:ascii="Arial"/>
          <w:spacing w:val="-3"/>
          <w:w w:val="105"/>
          <w:sz w:val="16"/>
        </w:rPr>
        <w:t xml:space="preserve"> </w:t>
      </w:r>
      <w:r w:rsidRPr="00EB2BD8">
        <w:rPr>
          <w:rFonts w:ascii="Arial"/>
          <w:w w:val="105"/>
          <w:sz w:val="16"/>
        </w:rPr>
        <w:t>of money, assets, goods, services or forgiveness of liabilities.</w:t>
      </w:r>
    </w:p>
    <w:p w14:paraId="7E06B1BF" w14:textId="77777777" w:rsidR="00084F36" w:rsidRPr="00EB2BD8" w:rsidRDefault="00084F36">
      <w:pPr>
        <w:pStyle w:val="BodyText"/>
        <w:rPr>
          <w:rFonts w:ascii="Arial"/>
          <w:sz w:val="20"/>
        </w:rPr>
      </w:pPr>
    </w:p>
    <w:p w14:paraId="61DDE1A6" w14:textId="77777777" w:rsidR="00084F36" w:rsidRPr="00EB2BD8" w:rsidRDefault="00084F36">
      <w:pPr>
        <w:pStyle w:val="BodyText"/>
        <w:rPr>
          <w:rFonts w:ascii="Arial"/>
          <w:sz w:val="20"/>
        </w:rPr>
      </w:pPr>
    </w:p>
    <w:p w14:paraId="1826817D" w14:textId="77777777" w:rsidR="00084F36" w:rsidRPr="00EB2BD8" w:rsidRDefault="00084F36">
      <w:pPr>
        <w:pStyle w:val="BodyText"/>
        <w:rPr>
          <w:rFonts w:ascii="Arial"/>
          <w:sz w:val="20"/>
        </w:rPr>
      </w:pPr>
    </w:p>
    <w:p w14:paraId="18424645" w14:textId="77777777" w:rsidR="00084F36" w:rsidRPr="00EB2BD8" w:rsidRDefault="00084F36">
      <w:pPr>
        <w:pStyle w:val="BodyText"/>
        <w:rPr>
          <w:rFonts w:ascii="Arial"/>
          <w:sz w:val="20"/>
        </w:rPr>
      </w:pPr>
    </w:p>
    <w:p w14:paraId="418E7ED6" w14:textId="77777777" w:rsidR="00084F36" w:rsidRPr="00EB2BD8" w:rsidRDefault="00084F36">
      <w:pPr>
        <w:pStyle w:val="BodyText"/>
        <w:rPr>
          <w:rFonts w:ascii="Arial"/>
          <w:sz w:val="20"/>
        </w:rPr>
      </w:pPr>
    </w:p>
    <w:p w14:paraId="12A4B34F" w14:textId="77777777" w:rsidR="00084F36" w:rsidRPr="00EB2BD8" w:rsidRDefault="00084F36">
      <w:pPr>
        <w:pStyle w:val="BodyText"/>
        <w:rPr>
          <w:rFonts w:ascii="Arial"/>
          <w:sz w:val="20"/>
        </w:rPr>
      </w:pPr>
    </w:p>
    <w:p w14:paraId="537F8FD3" w14:textId="77777777" w:rsidR="00084F36" w:rsidRPr="00EB2BD8" w:rsidRDefault="00084F36">
      <w:pPr>
        <w:pStyle w:val="BodyText"/>
        <w:rPr>
          <w:rFonts w:ascii="Arial"/>
          <w:sz w:val="20"/>
        </w:rPr>
      </w:pPr>
    </w:p>
    <w:p w14:paraId="5FBD7F59" w14:textId="77777777" w:rsidR="00084F36" w:rsidRPr="00EB2BD8" w:rsidRDefault="00084F36">
      <w:pPr>
        <w:pStyle w:val="BodyText"/>
        <w:rPr>
          <w:rFonts w:ascii="Arial"/>
          <w:sz w:val="20"/>
        </w:rPr>
      </w:pPr>
    </w:p>
    <w:p w14:paraId="03CB502E" w14:textId="77777777" w:rsidR="00084F36" w:rsidRPr="00EB2BD8" w:rsidRDefault="00084F36">
      <w:pPr>
        <w:pStyle w:val="BodyText"/>
        <w:rPr>
          <w:rFonts w:ascii="Arial"/>
          <w:sz w:val="20"/>
        </w:rPr>
      </w:pPr>
    </w:p>
    <w:p w14:paraId="29CF95D5" w14:textId="77777777" w:rsidR="00084F36" w:rsidRPr="00EB2BD8" w:rsidRDefault="00084F36">
      <w:pPr>
        <w:pStyle w:val="BodyText"/>
        <w:rPr>
          <w:rFonts w:ascii="Arial"/>
          <w:sz w:val="20"/>
        </w:rPr>
      </w:pPr>
    </w:p>
    <w:p w14:paraId="1BB3CACC" w14:textId="77777777" w:rsidR="00084F36" w:rsidRPr="00EB2BD8" w:rsidRDefault="00084F36">
      <w:pPr>
        <w:pStyle w:val="BodyText"/>
        <w:rPr>
          <w:rFonts w:ascii="Arial"/>
          <w:sz w:val="20"/>
        </w:rPr>
      </w:pPr>
    </w:p>
    <w:p w14:paraId="5B77B359" w14:textId="77777777" w:rsidR="00084F36" w:rsidRPr="00EB2BD8" w:rsidRDefault="00084F36">
      <w:pPr>
        <w:pStyle w:val="BodyText"/>
        <w:rPr>
          <w:rFonts w:ascii="Arial"/>
          <w:sz w:val="20"/>
        </w:rPr>
      </w:pPr>
    </w:p>
    <w:p w14:paraId="1A2842DD" w14:textId="77777777" w:rsidR="00084F36" w:rsidRPr="00EB2BD8" w:rsidRDefault="00084F36">
      <w:pPr>
        <w:pStyle w:val="BodyText"/>
        <w:rPr>
          <w:rFonts w:ascii="Arial"/>
          <w:sz w:val="20"/>
        </w:rPr>
      </w:pPr>
    </w:p>
    <w:p w14:paraId="1599D07C" w14:textId="77777777" w:rsidR="00084F36" w:rsidRPr="00EB2BD8" w:rsidRDefault="00084F36">
      <w:pPr>
        <w:pStyle w:val="BodyText"/>
        <w:rPr>
          <w:rFonts w:ascii="Arial"/>
          <w:sz w:val="20"/>
        </w:rPr>
      </w:pPr>
    </w:p>
    <w:p w14:paraId="48DFE15D" w14:textId="77777777" w:rsidR="00084F36" w:rsidRPr="00EB2BD8" w:rsidRDefault="00084F36">
      <w:pPr>
        <w:pStyle w:val="BodyText"/>
        <w:rPr>
          <w:rFonts w:ascii="Arial"/>
          <w:sz w:val="20"/>
        </w:rPr>
      </w:pPr>
    </w:p>
    <w:p w14:paraId="4FD58F17" w14:textId="77777777" w:rsidR="00084F36" w:rsidRPr="00EB2BD8" w:rsidRDefault="00084F36">
      <w:pPr>
        <w:pStyle w:val="BodyText"/>
        <w:rPr>
          <w:rFonts w:ascii="Arial"/>
          <w:sz w:val="20"/>
        </w:rPr>
      </w:pPr>
    </w:p>
    <w:p w14:paraId="4EDF4B2F" w14:textId="77777777" w:rsidR="00084F36" w:rsidRPr="00EB2BD8" w:rsidRDefault="00084F36">
      <w:pPr>
        <w:pStyle w:val="BodyText"/>
        <w:rPr>
          <w:rFonts w:ascii="Arial"/>
          <w:sz w:val="20"/>
        </w:rPr>
      </w:pPr>
    </w:p>
    <w:p w14:paraId="67541E24" w14:textId="77777777" w:rsidR="00084F36" w:rsidRPr="00EB2BD8" w:rsidRDefault="00084F36">
      <w:pPr>
        <w:pStyle w:val="BodyText"/>
        <w:rPr>
          <w:rFonts w:ascii="Arial"/>
          <w:sz w:val="20"/>
        </w:rPr>
      </w:pPr>
    </w:p>
    <w:p w14:paraId="211543A4" w14:textId="77777777" w:rsidR="00084F36" w:rsidRPr="00EB2BD8" w:rsidRDefault="00084F36">
      <w:pPr>
        <w:pStyle w:val="BodyText"/>
        <w:rPr>
          <w:rFonts w:ascii="Arial"/>
          <w:sz w:val="20"/>
        </w:rPr>
      </w:pPr>
    </w:p>
    <w:p w14:paraId="47D0A805" w14:textId="77777777" w:rsidR="00084F36" w:rsidRPr="00EB2BD8" w:rsidRDefault="00084F36">
      <w:pPr>
        <w:pStyle w:val="BodyText"/>
        <w:rPr>
          <w:rFonts w:ascii="Arial"/>
          <w:sz w:val="20"/>
        </w:rPr>
      </w:pPr>
    </w:p>
    <w:p w14:paraId="2ACA9F8F" w14:textId="77777777" w:rsidR="00084F36" w:rsidRPr="00EB2BD8" w:rsidRDefault="00084F36">
      <w:pPr>
        <w:pStyle w:val="BodyText"/>
        <w:rPr>
          <w:rFonts w:ascii="Arial"/>
          <w:sz w:val="20"/>
        </w:rPr>
      </w:pPr>
    </w:p>
    <w:p w14:paraId="3A57FF53" w14:textId="77777777" w:rsidR="00084F36" w:rsidRPr="00EB2BD8" w:rsidRDefault="00084F36">
      <w:pPr>
        <w:pStyle w:val="BodyText"/>
        <w:rPr>
          <w:rFonts w:ascii="Arial"/>
          <w:sz w:val="20"/>
        </w:rPr>
      </w:pPr>
    </w:p>
    <w:p w14:paraId="5CEAECD7" w14:textId="77777777" w:rsidR="00084F36" w:rsidRPr="00EB2BD8" w:rsidRDefault="00084F36">
      <w:pPr>
        <w:pStyle w:val="BodyText"/>
        <w:rPr>
          <w:rFonts w:ascii="Arial"/>
          <w:sz w:val="20"/>
        </w:rPr>
      </w:pPr>
    </w:p>
    <w:p w14:paraId="3B8CDE34" w14:textId="77777777" w:rsidR="00084F36" w:rsidRPr="00EB2BD8" w:rsidRDefault="00084F36">
      <w:pPr>
        <w:pStyle w:val="BodyText"/>
        <w:rPr>
          <w:rFonts w:ascii="Arial"/>
          <w:sz w:val="20"/>
        </w:rPr>
      </w:pPr>
    </w:p>
    <w:p w14:paraId="26355286" w14:textId="77777777" w:rsidR="00084F36" w:rsidRPr="00EB2BD8" w:rsidRDefault="00084F36">
      <w:pPr>
        <w:pStyle w:val="BodyText"/>
        <w:rPr>
          <w:rFonts w:ascii="Arial"/>
          <w:sz w:val="20"/>
        </w:rPr>
      </w:pPr>
    </w:p>
    <w:p w14:paraId="66ABAC27" w14:textId="77777777" w:rsidR="00084F36" w:rsidRPr="00EB2BD8" w:rsidRDefault="00084F36">
      <w:pPr>
        <w:pStyle w:val="BodyText"/>
        <w:rPr>
          <w:rFonts w:ascii="Arial"/>
          <w:sz w:val="20"/>
        </w:rPr>
      </w:pPr>
    </w:p>
    <w:p w14:paraId="62F84D53" w14:textId="77777777" w:rsidR="00084F36" w:rsidRPr="00EB2BD8" w:rsidRDefault="00084F36">
      <w:pPr>
        <w:pStyle w:val="BodyText"/>
        <w:rPr>
          <w:rFonts w:ascii="Arial"/>
          <w:sz w:val="20"/>
        </w:rPr>
      </w:pPr>
    </w:p>
    <w:p w14:paraId="6ABB5E57" w14:textId="77777777" w:rsidR="00084F36" w:rsidRPr="00EB2BD8" w:rsidRDefault="00084F36">
      <w:pPr>
        <w:pStyle w:val="BodyText"/>
        <w:rPr>
          <w:rFonts w:ascii="Arial"/>
          <w:sz w:val="20"/>
        </w:rPr>
      </w:pPr>
    </w:p>
    <w:p w14:paraId="311F0CBE" w14:textId="77777777" w:rsidR="00084F36" w:rsidRPr="00EB2BD8" w:rsidRDefault="00084F36">
      <w:pPr>
        <w:pStyle w:val="BodyText"/>
        <w:rPr>
          <w:rFonts w:ascii="Arial"/>
          <w:sz w:val="20"/>
        </w:rPr>
      </w:pPr>
    </w:p>
    <w:p w14:paraId="0F38A666" w14:textId="77777777" w:rsidR="00084F36" w:rsidRPr="00EB2BD8" w:rsidRDefault="00084F36">
      <w:pPr>
        <w:pStyle w:val="BodyText"/>
        <w:rPr>
          <w:rFonts w:ascii="Arial"/>
          <w:sz w:val="20"/>
        </w:rPr>
      </w:pPr>
    </w:p>
    <w:p w14:paraId="0B545493" w14:textId="77777777" w:rsidR="00084F36" w:rsidRPr="00EB2BD8" w:rsidRDefault="00084F36">
      <w:pPr>
        <w:pStyle w:val="BodyText"/>
        <w:rPr>
          <w:rFonts w:ascii="Arial"/>
          <w:sz w:val="20"/>
        </w:rPr>
      </w:pPr>
    </w:p>
    <w:p w14:paraId="3D3D43C0" w14:textId="77777777" w:rsidR="00084F36" w:rsidRPr="00EB2BD8" w:rsidRDefault="00084F36">
      <w:pPr>
        <w:pStyle w:val="BodyText"/>
        <w:rPr>
          <w:rFonts w:ascii="Arial"/>
          <w:sz w:val="20"/>
        </w:rPr>
      </w:pPr>
    </w:p>
    <w:p w14:paraId="725CE700" w14:textId="77777777" w:rsidR="00084F36" w:rsidRPr="00EB2BD8" w:rsidRDefault="00084F36">
      <w:pPr>
        <w:pStyle w:val="BodyText"/>
        <w:rPr>
          <w:rFonts w:ascii="Arial"/>
          <w:sz w:val="20"/>
        </w:rPr>
      </w:pPr>
    </w:p>
    <w:p w14:paraId="7116EB6D" w14:textId="77777777" w:rsidR="00084F36" w:rsidRPr="00EB2BD8" w:rsidRDefault="00084F36">
      <w:pPr>
        <w:pStyle w:val="BodyText"/>
        <w:rPr>
          <w:rFonts w:ascii="Arial"/>
          <w:sz w:val="20"/>
        </w:rPr>
      </w:pPr>
    </w:p>
    <w:p w14:paraId="17529B54" w14:textId="77777777" w:rsidR="00084F36" w:rsidRPr="00EB2BD8" w:rsidRDefault="00084F36">
      <w:pPr>
        <w:pStyle w:val="BodyText"/>
        <w:rPr>
          <w:rFonts w:ascii="Arial"/>
          <w:sz w:val="20"/>
        </w:rPr>
      </w:pPr>
    </w:p>
    <w:p w14:paraId="571D9A30" w14:textId="77777777" w:rsidR="00084F36" w:rsidRPr="00EB2BD8" w:rsidRDefault="00084F36">
      <w:pPr>
        <w:pStyle w:val="BodyText"/>
        <w:rPr>
          <w:rFonts w:ascii="Arial"/>
          <w:sz w:val="20"/>
        </w:rPr>
      </w:pPr>
    </w:p>
    <w:p w14:paraId="25B117E1" w14:textId="77777777" w:rsidR="00084F36" w:rsidRPr="00EB2BD8" w:rsidRDefault="00084F36">
      <w:pPr>
        <w:pStyle w:val="BodyText"/>
        <w:rPr>
          <w:rFonts w:ascii="Arial"/>
          <w:sz w:val="20"/>
        </w:rPr>
      </w:pPr>
    </w:p>
    <w:p w14:paraId="15EDD08F" w14:textId="77777777" w:rsidR="00084F36" w:rsidRPr="00EB2BD8" w:rsidRDefault="00084F36">
      <w:pPr>
        <w:pStyle w:val="BodyText"/>
        <w:spacing w:before="10"/>
        <w:rPr>
          <w:rFonts w:ascii="Arial"/>
          <w:sz w:val="24"/>
        </w:rPr>
      </w:pPr>
    </w:p>
    <w:p w14:paraId="00D9DDF9" w14:textId="77777777" w:rsidR="00084F36" w:rsidRPr="00EB2BD8" w:rsidRDefault="00084F36">
      <w:pPr>
        <w:jc w:val="right"/>
        <w:rPr>
          <w:sz w:val="16"/>
        </w:rPr>
        <w:sectPr w:rsidR="00084F36" w:rsidRPr="00EB2BD8" w:rsidSect="006D75B2">
          <w:headerReference w:type="default" r:id="rId287"/>
          <w:footerReference w:type="default" r:id="rId288"/>
          <w:pgSz w:w="11910" w:h="16840"/>
          <w:pgMar w:top="760" w:right="0" w:bottom="280" w:left="0" w:header="0" w:footer="0" w:gutter="0"/>
          <w:cols w:space="720"/>
        </w:sectPr>
      </w:pPr>
    </w:p>
    <w:p w14:paraId="4F475B86" w14:textId="77777777" w:rsidR="00084F36" w:rsidRPr="00EB2BD8" w:rsidRDefault="00084F36">
      <w:pPr>
        <w:pStyle w:val="BodyText"/>
        <w:rPr>
          <w:sz w:val="20"/>
        </w:rPr>
      </w:pPr>
    </w:p>
    <w:p w14:paraId="7F8EF679" w14:textId="77777777" w:rsidR="00084F36" w:rsidRPr="00EB2BD8" w:rsidRDefault="00084F36">
      <w:pPr>
        <w:pStyle w:val="BodyText"/>
        <w:rPr>
          <w:sz w:val="20"/>
        </w:rPr>
      </w:pPr>
    </w:p>
    <w:p w14:paraId="2A927526" w14:textId="77777777" w:rsidR="00084F36" w:rsidRPr="00EB2BD8" w:rsidRDefault="00084F36">
      <w:pPr>
        <w:pStyle w:val="BodyText"/>
        <w:rPr>
          <w:sz w:val="20"/>
        </w:rPr>
      </w:pPr>
    </w:p>
    <w:p w14:paraId="4FA4E994" w14:textId="77777777" w:rsidR="00084F36" w:rsidRPr="00EB2BD8" w:rsidRDefault="00084F36">
      <w:pPr>
        <w:pStyle w:val="BodyText"/>
        <w:rPr>
          <w:sz w:val="20"/>
        </w:rPr>
      </w:pPr>
    </w:p>
    <w:p w14:paraId="04A1A424" w14:textId="77777777" w:rsidR="00084F36" w:rsidRPr="00EB2BD8" w:rsidRDefault="00084F36">
      <w:pPr>
        <w:pStyle w:val="BodyText"/>
        <w:rPr>
          <w:sz w:val="20"/>
        </w:rPr>
      </w:pPr>
    </w:p>
    <w:p w14:paraId="4822B698" w14:textId="77777777" w:rsidR="00084F36" w:rsidRPr="00EB2BD8" w:rsidRDefault="00084F36">
      <w:pPr>
        <w:pStyle w:val="BodyText"/>
        <w:spacing w:before="4"/>
      </w:pPr>
    </w:p>
    <w:p w14:paraId="76C3C3ED" w14:textId="77777777" w:rsidR="00084F36" w:rsidRPr="00EB2BD8" w:rsidRDefault="00EB2BD8" w:rsidP="00273892">
      <w:pPr>
        <w:pStyle w:val="Heading2"/>
        <w:ind w:firstLine="228"/>
      </w:pPr>
      <w:bookmarkStart w:id="282" w:name="_Toc150762584"/>
      <w:r w:rsidRPr="00EB2BD8">
        <w:t>Note</w:t>
      </w:r>
      <w:r w:rsidRPr="00EB2BD8">
        <w:rPr>
          <w:spacing w:val="-9"/>
        </w:rPr>
        <w:t xml:space="preserve"> </w:t>
      </w:r>
      <w:r w:rsidRPr="00EB2BD8">
        <w:t>4.</w:t>
      </w:r>
      <w:r w:rsidRPr="00EB2BD8">
        <w:rPr>
          <w:spacing w:val="-8"/>
        </w:rPr>
        <w:t xml:space="preserve"> </w:t>
      </w:r>
      <w:r w:rsidRPr="00EB2BD8">
        <w:t>Key</w:t>
      </w:r>
      <w:r w:rsidRPr="00EB2BD8">
        <w:rPr>
          <w:spacing w:val="-8"/>
        </w:rPr>
        <w:t xml:space="preserve"> </w:t>
      </w:r>
      <w:r w:rsidRPr="00EB2BD8">
        <w:t>assets</w:t>
      </w:r>
      <w:r w:rsidRPr="00EB2BD8">
        <w:rPr>
          <w:spacing w:val="-9"/>
        </w:rPr>
        <w:t xml:space="preserve"> </w:t>
      </w:r>
      <w:r w:rsidRPr="00EB2BD8">
        <w:t>available</w:t>
      </w:r>
      <w:r w:rsidRPr="00EB2BD8">
        <w:rPr>
          <w:spacing w:val="-8"/>
        </w:rPr>
        <w:t xml:space="preserve"> </w:t>
      </w:r>
      <w:r w:rsidRPr="00EB2BD8">
        <w:t>to</w:t>
      </w:r>
      <w:r w:rsidRPr="00EB2BD8">
        <w:rPr>
          <w:spacing w:val="-9"/>
        </w:rPr>
        <w:t xml:space="preserve"> </w:t>
      </w:r>
      <w:r w:rsidRPr="00EB2BD8">
        <w:t>support</w:t>
      </w:r>
      <w:r w:rsidRPr="00EB2BD8">
        <w:rPr>
          <w:spacing w:val="-8"/>
        </w:rPr>
        <w:t xml:space="preserve"> </w:t>
      </w:r>
      <w:r w:rsidRPr="00EB2BD8">
        <w:t>output</w:t>
      </w:r>
      <w:r w:rsidRPr="00EB2BD8">
        <w:rPr>
          <w:spacing w:val="-9"/>
        </w:rPr>
        <w:t xml:space="preserve"> </w:t>
      </w:r>
      <w:r w:rsidRPr="00EB2BD8">
        <w:rPr>
          <w:spacing w:val="-2"/>
        </w:rPr>
        <w:t>delivery</w:t>
      </w:r>
      <w:bookmarkEnd w:id="282"/>
    </w:p>
    <w:p w14:paraId="4F404BB7" w14:textId="77777777" w:rsidR="00084F36" w:rsidRPr="00EB2BD8" w:rsidRDefault="00EB2BD8">
      <w:pPr>
        <w:spacing w:before="250" w:line="288" w:lineRule="auto"/>
        <w:ind w:left="1078" w:right="1672"/>
        <w:rPr>
          <w:rFonts w:ascii="Arial"/>
          <w:sz w:val="16"/>
        </w:rPr>
      </w:pPr>
      <w:r w:rsidRPr="00EB2BD8">
        <w:rPr>
          <w:rFonts w:ascii="Arial"/>
          <w:w w:val="105"/>
          <w:sz w:val="16"/>
        </w:rPr>
        <w:t>The</w:t>
      </w:r>
      <w:r w:rsidRPr="00EB2BD8">
        <w:rPr>
          <w:rFonts w:ascii="Arial"/>
          <w:spacing w:val="-6"/>
          <w:w w:val="105"/>
          <w:sz w:val="16"/>
        </w:rPr>
        <w:t xml:space="preserve"> </w:t>
      </w:r>
      <w:r w:rsidRPr="00EB2BD8">
        <w:rPr>
          <w:rFonts w:ascii="Arial"/>
          <w:w w:val="105"/>
          <w:sz w:val="16"/>
        </w:rPr>
        <w:t>VBA</w:t>
      </w:r>
      <w:r w:rsidRPr="00EB2BD8">
        <w:rPr>
          <w:rFonts w:ascii="Arial"/>
          <w:spacing w:val="-5"/>
          <w:w w:val="105"/>
          <w:sz w:val="16"/>
        </w:rPr>
        <w:t xml:space="preserve"> </w:t>
      </w:r>
      <w:r w:rsidRPr="00EB2BD8">
        <w:rPr>
          <w:rFonts w:ascii="Arial"/>
          <w:w w:val="105"/>
          <w:sz w:val="16"/>
        </w:rPr>
        <w:t>controls</w:t>
      </w:r>
      <w:r w:rsidRPr="00EB2BD8">
        <w:rPr>
          <w:rFonts w:ascii="Arial"/>
          <w:spacing w:val="-5"/>
          <w:w w:val="105"/>
          <w:sz w:val="16"/>
        </w:rPr>
        <w:t xml:space="preserve"> </w:t>
      </w:r>
      <w:r w:rsidRPr="00EB2BD8">
        <w:rPr>
          <w:rFonts w:ascii="Arial"/>
          <w:w w:val="105"/>
          <w:sz w:val="16"/>
        </w:rPr>
        <w:t>infrastructure</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other</w:t>
      </w:r>
      <w:r w:rsidRPr="00EB2BD8">
        <w:rPr>
          <w:rFonts w:ascii="Arial"/>
          <w:spacing w:val="-5"/>
          <w:w w:val="105"/>
          <w:sz w:val="16"/>
        </w:rPr>
        <w:t xml:space="preserve"> </w:t>
      </w:r>
      <w:r w:rsidRPr="00EB2BD8">
        <w:rPr>
          <w:rFonts w:ascii="Arial"/>
          <w:w w:val="105"/>
          <w:sz w:val="16"/>
        </w:rPr>
        <w:t>investments</w:t>
      </w:r>
      <w:r w:rsidRPr="00EB2BD8">
        <w:rPr>
          <w:rFonts w:ascii="Arial"/>
          <w:spacing w:val="-5"/>
          <w:w w:val="105"/>
          <w:sz w:val="16"/>
        </w:rPr>
        <w:t xml:space="preserve"> </w:t>
      </w:r>
      <w:r w:rsidRPr="00EB2BD8">
        <w:rPr>
          <w:rFonts w:ascii="Arial"/>
          <w:w w:val="105"/>
          <w:sz w:val="16"/>
        </w:rPr>
        <w:t>that</w:t>
      </w:r>
      <w:r w:rsidRPr="00EB2BD8">
        <w:rPr>
          <w:rFonts w:ascii="Arial"/>
          <w:spacing w:val="-5"/>
          <w:w w:val="105"/>
          <w:sz w:val="16"/>
        </w:rPr>
        <w:t xml:space="preserve"> </w:t>
      </w:r>
      <w:r w:rsidRPr="00EB2BD8">
        <w:rPr>
          <w:rFonts w:ascii="Arial"/>
          <w:w w:val="105"/>
          <w:sz w:val="16"/>
        </w:rPr>
        <w:t>are</w:t>
      </w:r>
      <w:r w:rsidRPr="00EB2BD8">
        <w:rPr>
          <w:rFonts w:ascii="Arial"/>
          <w:spacing w:val="-6"/>
          <w:w w:val="105"/>
          <w:sz w:val="16"/>
        </w:rPr>
        <w:t xml:space="preserve"> </w:t>
      </w:r>
      <w:r w:rsidRPr="00EB2BD8">
        <w:rPr>
          <w:rFonts w:ascii="Arial"/>
          <w:w w:val="105"/>
          <w:sz w:val="16"/>
        </w:rPr>
        <w:t>utilised</w:t>
      </w:r>
      <w:r w:rsidRPr="00EB2BD8">
        <w:rPr>
          <w:rFonts w:ascii="Arial"/>
          <w:spacing w:val="-6"/>
          <w:w w:val="105"/>
          <w:sz w:val="16"/>
        </w:rPr>
        <w:t xml:space="preserve"> </w:t>
      </w:r>
      <w:r w:rsidRPr="00EB2BD8">
        <w:rPr>
          <w:rFonts w:ascii="Arial"/>
          <w:w w:val="105"/>
          <w:sz w:val="16"/>
        </w:rPr>
        <w:t>in</w:t>
      </w:r>
      <w:r w:rsidRPr="00EB2BD8">
        <w:rPr>
          <w:rFonts w:ascii="Arial"/>
          <w:spacing w:val="-6"/>
          <w:w w:val="105"/>
          <w:sz w:val="16"/>
        </w:rPr>
        <w:t xml:space="preserve"> </w:t>
      </w:r>
      <w:r w:rsidRPr="00EB2BD8">
        <w:rPr>
          <w:rFonts w:ascii="Arial"/>
          <w:w w:val="105"/>
          <w:sz w:val="16"/>
        </w:rPr>
        <w:t>fulfilling</w:t>
      </w:r>
      <w:r w:rsidRPr="00EB2BD8">
        <w:rPr>
          <w:rFonts w:ascii="Arial"/>
          <w:spacing w:val="-6"/>
          <w:w w:val="105"/>
          <w:sz w:val="16"/>
        </w:rPr>
        <w:t xml:space="preserve"> </w:t>
      </w:r>
      <w:r w:rsidRPr="00EB2BD8">
        <w:rPr>
          <w:rFonts w:ascii="Arial"/>
          <w:w w:val="105"/>
          <w:sz w:val="16"/>
        </w:rPr>
        <w:t>its</w:t>
      </w:r>
      <w:r w:rsidRPr="00EB2BD8">
        <w:rPr>
          <w:rFonts w:ascii="Arial"/>
          <w:spacing w:val="-5"/>
          <w:w w:val="105"/>
          <w:sz w:val="16"/>
        </w:rPr>
        <w:t xml:space="preserve"> </w:t>
      </w:r>
      <w:r w:rsidRPr="00EB2BD8">
        <w:rPr>
          <w:rFonts w:ascii="Arial"/>
          <w:w w:val="105"/>
          <w:sz w:val="16"/>
        </w:rPr>
        <w:t>objectives</w:t>
      </w:r>
      <w:r w:rsidRPr="00EB2BD8">
        <w:rPr>
          <w:rFonts w:ascii="Arial"/>
          <w:spacing w:val="-5"/>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conducting</w:t>
      </w:r>
      <w:r w:rsidRPr="00EB2BD8">
        <w:rPr>
          <w:rFonts w:ascii="Arial"/>
          <w:spacing w:val="-6"/>
          <w:w w:val="105"/>
          <w:sz w:val="16"/>
        </w:rPr>
        <w:t xml:space="preserve"> </w:t>
      </w:r>
      <w:r w:rsidRPr="00EB2BD8">
        <w:rPr>
          <w:rFonts w:ascii="Arial"/>
          <w:w w:val="105"/>
          <w:sz w:val="16"/>
        </w:rPr>
        <w:t>its</w:t>
      </w:r>
      <w:r w:rsidRPr="00EB2BD8">
        <w:rPr>
          <w:rFonts w:ascii="Arial"/>
          <w:spacing w:val="-5"/>
          <w:w w:val="105"/>
          <w:sz w:val="16"/>
        </w:rPr>
        <w:t xml:space="preserve"> </w:t>
      </w:r>
      <w:r w:rsidRPr="00EB2BD8">
        <w:rPr>
          <w:rFonts w:ascii="Arial"/>
          <w:w w:val="105"/>
          <w:sz w:val="16"/>
        </w:rPr>
        <w:t>activities. They represent the resources that have been entrusted to the VBA to be utilised for delivery of those outputs.</w:t>
      </w:r>
    </w:p>
    <w:p w14:paraId="70A5859E" w14:textId="77777777" w:rsidR="00084F36" w:rsidRPr="00EB2BD8" w:rsidRDefault="00084F36">
      <w:pPr>
        <w:pStyle w:val="BodyText"/>
        <w:rPr>
          <w:rFonts w:ascii="Arial"/>
        </w:rPr>
      </w:pPr>
    </w:p>
    <w:p w14:paraId="1903EBF2" w14:textId="77777777" w:rsidR="00084F36" w:rsidRPr="00EB2BD8" w:rsidRDefault="00EB2BD8" w:rsidP="00273892">
      <w:pPr>
        <w:pStyle w:val="Heading2"/>
        <w:ind w:firstLine="228"/>
      </w:pPr>
      <w:bookmarkStart w:id="283" w:name="_Toc150762585"/>
      <w:r w:rsidRPr="00EB2BD8">
        <w:t>Fair</w:t>
      </w:r>
      <w:r w:rsidRPr="00EB2BD8">
        <w:rPr>
          <w:spacing w:val="5"/>
        </w:rPr>
        <w:t xml:space="preserve"> </w:t>
      </w:r>
      <w:r w:rsidRPr="00EB2BD8">
        <w:t>value</w:t>
      </w:r>
      <w:r w:rsidRPr="00EB2BD8">
        <w:rPr>
          <w:spacing w:val="5"/>
        </w:rPr>
        <w:t xml:space="preserve"> </w:t>
      </w:r>
      <w:r w:rsidRPr="00EB2BD8">
        <w:t>measurement</w:t>
      </w:r>
      <w:bookmarkEnd w:id="283"/>
    </w:p>
    <w:p w14:paraId="467F6BF8" w14:textId="77777777" w:rsidR="00084F36" w:rsidRPr="00EB2BD8" w:rsidRDefault="00EB2BD8">
      <w:pPr>
        <w:spacing w:before="155" w:line="288" w:lineRule="auto"/>
        <w:ind w:left="1078" w:right="1813"/>
        <w:rPr>
          <w:rFonts w:ascii="Arial"/>
          <w:sz w:val="16"/>
        </w:rPr>
      </w:pPr>
      <w:r w:rsidRPr="00EB2BD8">
        <w:rPr>
          <w:rFonts w:ascii="Arial"/>
          <w:w w:val="105"/>
          <w:sz w:val="16"/>
        </w:rPr>
        <w:t>Where</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assets</w:t>
      </w:r>
      <w:r w:rsidRPr="00EB2BD8">
        <w:rPr>
          <w:rFonts w:ascii="Arial"/>
          <w:spacing w:val="-4"/>
          <w:w w:val="105"/>
          <w:sz w:val="16"/>
        </w:rPr>
        <w:t xml:space="preserve"> </w:t>
      </w:r>
      <w:r w:rsidRPr="00EB2BD8">
        <w:rPr>
          <w:rFonts w:ascii="Arial"/>
          <w:w w:val="105"/>
          <w:sz w:val="16"/>
        </w:rPr>
        <w:t>included</w:t>
      </w:r>
      <w:r w:rsidRPr="00EB2BD8">
        <w:rPr>
          <w:rFonts w:ascii="Arial"/>
          <w:spacing w:val="-5"/>
          <w:w w:val="105"/>
          <w:sz w:val="16"/>
        </w:rPr>
        <w:t xml:space="preserve"> </w:t>
      </w:r>
      <w:r w:rsidRPr="00EB2BD8">
        <w:rPr>
          <w:rFonts w:ascii="Arial"/>
          <w:w w:val="105"/>
          <w:sz w:val="16"/>
        </w:rPr>
        <w:t>in</w:t>
      </w:r>
      <w:r w:rsidRPr="00EB2BD8">
        <w:rPr>
          <w:rFonts w:ascii="Arial"/>
          <w:spacing w:val="-4"/>
          <w:w w:val="105"/>
          <w:sz w:val="16"/>
        </w:rPr>
        <w:t xml:space="preserve"> </w:t>
      </w:r>
      <w:r w:rsidRPr="00EB2BD8">
        <w:rPr>
          <w:rFonts w:ascii="Arial"/>
          <w:w w:val="105"/>
          <w:sz w:val="16"/>
        </w:rPr>
        <w:t>this</w:t>
      </w:r>
      <w:r w:rsidRPr="00EB2BD8">
        <w:rPr>
          <w:rFonts w:ascii="Arial"/>
          <w:spacing w:val="-4"/>
          <w:w w:val="105"/>
          <w:sz w:val="16"/>
        </w:rPr>
        <w:t xml:space="preserve"> </w:t>
      </w:r>
      <w:r w:rsidRPr="00EB2BD8">
        <w:rPr>
          <w:rFonts w:ascii="Arial"/>
          <w:w w:val="105"/>
          <w:sz w:val="16"/>
        </w:rPr>
        <w:t>section</w:t>
      </w:r>
      <w:r w:rsidRPr="00EB2BD8">
        <w:rPr>
          <w:rFonts w:ascii="Arial"/>
          <w:spacing w:val="-5"/>
          <w:w w:val="105"/>
          <w:sz w:val="16"/>
        </w:rPr>
        <w:t xml:space="preserve"> </w:t>
      </w:r>
      <w:r w:rsidRPr="00EB2BD8">
        <w:rPr>
          <w:rFonts w:ascii="Arial"/>
          <w:w w:val="105"/>
          <w:sz w:val="16"/>
        </w:rPr>
        <w:t>are</w:t>
      </w:r>
      <w:r w:rsidRPr="00EB2BD8">
        <w:rPr>
          <w:rFonts w:ascii="Arial"/>
          <w:spacing w:val="-4"/>
          <w:w w:val="105"/>
          <w:sz w:val="16"/>
        </w:rPr>
        <w:t xml:space="preserve"> </w:t>
      </w:r>
      <w:r w:rsidRPr="00EB2BD8">
        <w:rPr>
          <w:rFonts w:ascii="Arial"/>
          <w:w w:val="105"/>
          <w:sz w:val="16"/>
        </w:rPr>
        <w:t>carried</w:t>
      </w:r>
      <w:r w:rsidRPr="00EB2BD8">
        <w:rPr>
          <w:rFonts w:ascii="Arial"/>
          <w:spacing w:val="-5"/>
          <w:w w:val="105"/>
          <w:sz w:val="16"/>
        </w:rPr>
        <w:t xml:space="preserve"> </w:t>
      </w:r>
      <w:r w:rsidRPr="00EB2BD8">
        <w:rPr>
          <w:rFonts w:ascii="Arial"/>
          <w:w w:val="105"/>
          <w:sz w:val="16"/>
        </w:rPr>
        <w:t>at</w:t>
      </w:r>
      <w:r w:rsidRPr="00EB2BD8">
        <w:rPr>
          <w:rFonts w:ascii="Arial"/>
          <w:spacing w:val="-4"/>
          <w:w w:val="105"/>
          <w:sz w:val="16"/>
        </w:rPr>
        <w:t xml:space="preserve"> </w:t>
      </w:r>
      <w:r w:rsidRPr="00EB2BD8">
        <w:rPr>
          <w:rFonts w:ascii="Arial"/>
          <w:w w:val="105"/>
          <w:sz w:val="16"/>
        </w:rPr>
        <w:t>fair</w:t>
      </w:r>
      <w:r w:rsidRPr="00EB2BD8">
        <w:rPr>
          <w:rFonts w:ascii="Arial"/>
          <w:spacing w:val="-3"/>
          <w:w w:val="105"/>
          <w:sz w:val="16"/>
        </w:rPr>
        <w:t xml:space="preserve"> </w:t>
      </w:r>
      <w:r w:rsidRPr="00EB2BD8">
        <w:rPr>
          <w:rFonts w:ascii="Arial"/>
          <w:w w:val="105"/>
          <w:sz w:val="16"/>
        </w:rPr>
        <w:t>value,</w:t>
      </w:r>
      <w:r w:rsidRPr="00EB2BD8">
        <w:rPr>
          <w:rFonts w:ascii="Arial"/>
          <w:spacing w:val="-4"/>
          <w:w w:val="105"/>
          <w:sz w:val="16"/>
        </w:rPr>
        <w:t xml:space="preserve"> </w:t>
      </w:r>
      <w:r w:rsidRPr="00EB2BD8">
        <w:rPr>
          <w:rFonts w:ascii="Arial"/>
          <w:w w:val="105"/>
          <w:sz w:val="16"/>
        </w:rPr>
        <w:t>additional</w:t>
      </w:r>
      <w:r w:rsidRPr="00EB2BD8">
        <w:rPr>
          <w:rFonts w:ascii="Arial"/>
          <w:spacing w:val="-5"/>
          <w:w w:val="105"/>
          <w:sz w:val="16"/>
        </w:rPr>
        <w:t xml:space="preserve"> </w:t>
      </w:r>
      <w:r w:rsidRPr="00EB2BD8">
        <w:rPr>
          <w:rFonts w:ascii="Arial"/>
          <w:w w:val="105"/>
          <w:sz w:val="16"/>
        </w:rPr>
        <w:t>information</w:t>
      </w:r>
      <w:r w:rsidRPr="00EB2BD8">
        <w:rPr>
          <w:rFonts w:ascii="Arial"/>
          <w:spacing w:val="-5"/>
          <w:w w:val="105"/>
          <w:sz w:val="16"/>
        </w:rPr>
        <w:t xml:space="preserve"> </w:t>
      </w:r>
      <w:r w:rsidRPr="00EB2BD8">
        <w:rPr>
          <w:rFonts w:ascii="Arial"/>
          <w:w w:val="105"/>
          <w:sz w:val="16"/>
        </w:rPr>
        <w:t>is</w:t>
      </w:r>
      <w:r w:rsidRPr="00EB2BD8">
        <w:rPr>
          <w:rFonts w:ascii="Arial"/>
          <w:spacing w:val="-4"/>
          <w:w w:val="105"/>
          <w:sz w:val="16"/>
        </w:rPr>
        <w:t xml:space="preserve"> </w:t>
      </w:r>
      <w:r w:rsidRPr="00EB2BD8">
        <w:rPr>
          <w:rFonts w:ascii="Arial"/>
          <w:w w:val="105"/>
          <w:sz w:val="16"/>
        </w:rPr>
        <w:t>disclosed</w:t>
      </w:r>
      <w:r w:rsidRPr="00EB2BD8">
        <w:rPr>
          <w:rFonts w:ascii="Arial"/>
          <w:spacing w:val="-5"/>
          <w:w w:val="105"/>
          <w:sz w:val="16"/>
        </w:rPr>
        <w:t xml:space="preserve"> </w:t>
      </w:r>
      <w:r w:rsidRPr="00EB2BD8">
        <w:rPr>
          <w:rFonts w:ascii="Arial"/>
          <w:w w:val="105"/>
          <w:sz w:val="16"/>
        </w:rPr>
        <w:t>in</w:t>
      </w:r>
      <w:r w:rsidRPr="00EB2BD8">
        <w:rPr>
          <w:rFonts w:ascii="Arial"/>
          <w:spacing w:val="-4"/>
          <w:w w:val="105"/>
          <w:sz w:val="16"/>
        </w:rPr>
        <w:t xml:space="preserve"> </w:t>
      </w:r>
      <w:r w:rsidRPr="00EB2BD8">
        <w:rPr>
          <w:rFonts w:ascii="Arial"/>
          <w:w w:val="105"/>
          <w:sz w:val="16"/>
        </w:rPr>
        <w:t>note</w:t>
      </w:r>
      <w:r w:rsidRPr="00EB2BD8">
        <w:rPr>
          <w:rFonts w:ascii="Arial"/>
          <w:spacing w:val="-5"/>
          <w:w w:val="105"/>
          <w:sz w:val="16"/>
        </w:rPr>
        <w:t xml:space="preserve"> </w:t>
      </w:r>
      <w:r w:rsidRPr="00EB2BD8">
        <w:rPr>
          <w:rFonts w:ascii="Arial"/>
          <w:w w:val="105"/>
          <w:sz w:val="16"/>
        </w:rPr>
        <w:t>7.3</w:t>
      </w:r>
      <w:r w:rsidRPr="00EB2BD8">
        <w:rPr>
          <w:rFonts w:ascii="Arial"/>
          <w:spacing w:val="-5"/>
          <w:w w:val="105"/>
          <w:sz w:val="16"/>
        </w:rPr>
        <w:t xml:space="preserve"> </w:t>
      </w:r>
      <w:r w:rsidRPr="00EB2BD8">
        <w:rPr>
          <w:rFonts w:ascii="Arial"/>
          <w:w w:val="105"/>
          <w:sz w:val="16"/>
        </w:rPr>
        <w:t>in connection with how those fair values were determined.</w:t>
      </w:r>
    </w:p>
    <w:p w14:paraId="215DE6C2" w14:textId="77777777" w:rsidR="00084F36" w:rsidRPr="00EB2BD8" w:rsidRDefault="00084F36">
      <w:pPr>
        <w:pStyle w:val="BodyText"/>
        <w:rPr>
          <w:rFonts w:ascii="Arial"/>
        </w:rPr>
      </w:pPr>
    </w:p>
    <w:p w14:paraId="2A6A55E7" w14:textId="77777777" w:rsidR="00084F36" w:rsidRPr="00EB2BD8" w:rsidRDefault="00EB2BD8" w:rsidP="00273892">
      <w:pPr>
        <w:pStyle w:val="Heading2"/>
        <w:ind w:firstLine="228"/>
      </w:pPr>
      <w:bookmarkStart w:id="284" w:name="_Toc150762586"/>
      <w:r w:rsidRPr="00EB2BD8">
        <w:t>Structure</w:t>
      </w:r>
      <w:bookmarkEnd w:id="284"/>
    </w:p>
    <w:p w14:paraId="4C6E45F3" w14:textId="77777777" w:rsidR="00084F36" w:rsidRPr="00EB2BD8" w:rsidRDefault="00EB2BD8">
      <w:pPr>
        <w:pStyle w:val="ListParagraph"/>
        <w:numPr>
          <w:ilvl w:val="1"/>
          <w:numId w:val="61"/>
        </w:numPr>
        <w:tabs>
          <w:tab w:val="left" w:pos="1605"/>
        </w:tabs>
        <w:spacing w:before="154"/>
        <w:ind w:left="1605" w:hanging="527"/>
        <w:jc w:val="left"/>
        <w:rPr>
          <w:rFonts w:ascii="Arial"/>
          <w:sz w:val="16"/>
        </w:rPr>
      </w:pPr>
      <w:r w:rsidRPr="00EB2BD8">
        <w:rPr>
          <w:rFonts w:ascii="Arial"/>
          <w:w w:val="105"/>
          <w:sz w:val="16"/>
        </w:rPr>
        <w:t>Property,</w:t>
      </w:r>
      <w:r w:rsidRPr="00EB2BD8">
        <w:rPr>
          <w:rFonts w:ascii="Arial"/>
          <w:spacing w:val="-8"/>
          <w:w w:val="105"/>
          <w:sz w:val="16"/>
        </w:rPr>
        <w:t xml:space="preserve"> </w:t>
      </w:r>
      <w:r w:rsidRPr="00EB2BD8">
        <w:rPr>
          <w:rFonts w:ascii="Arial"/>
          <w:w w:val="105"/>
          <w:sz w:val="16"/>
        </w:rPr>
        <w:t>plant</w:t>
      </w:r>
      <w:r w:rsidRPr="00EB2BD8">
        <w:rPr>
          <w:rFonts w:ascii="Arial"/>
          <w:spacing w:val="-7"/>
          <w:w w:val="105"/>
          <w:sz w:val="16"/>
        </w:rPr>
        <w:t xml:space="preserve"> </w:t>
      </w:r>
      <w:r w:rsidRPr="00EB2BD8">
        <w:rPr>
          <w:rFonts w:ascii="Arial"/>
          <w:w w:val="105"/>
          <w:sz w:val="16"/>
        </w:rPr>
        <w:t>and</w:t>
      </w:r>
      <w:r w:rsidRPr="00EB2BD8">
        <w:rPr>
          <w:rFonts w:ascii="Arial"/>
          <w:spacing w:val="-9"/>
          <w:w w:val="105"/>
          <w:sz w:val="16"/>
        </w:rPr>
        <w:t xml:space="preserve"> </w:t>
      </w:r>
      <w:r w:rsidRPr="00EB2BD8">
        <w:rPr>
          <w:rFonts w:ascii="Arial"/>
          <w:spacing w:val="-2"/>
          <w:w w:val="105"/>
          <w:sz w:val="16"/>
        </w:rPr>
        <w:t>equipment</w:t>
      </w:r>
    </w:p>
    <w:p w14:paraId="3D7E5C9C" w14:textId="77777777" w:rsidR="00084F36" w:rsidRPr="00EB2BD8" w:rsidRDefault="00EB2BD8">
      <w:pPr>
        <w:pStyle w:val="ListParagraph"/>
        <w:numPr>
          <w:ilvl w:val="1"/>
          <w:numId w:val="61"/>
        </w:numPr>
        <w:tabs>
          <w:tab w:val="left" w:pos="1605"/>
        </w:tabs>
        <w:spacing w:before="36"/>
        <w:ind w:left="1605" w:hanging="527"/>
        <w:jc w:val="left"/>
        <w:rPr>
          <w:rFonts w:ascii="Arial"/>
          <w:sz w:val="16"/>
        </w:rPr>
      </w:pPr>
      <w:r w:rsidRPr="00EB2BD8">
        <w:rPr>
          <w:rFonts w:ascii="Arial"/>
          <w:spacing w:val="-2"/>
          <w:w w:val="105"/>
          <w:sz w:val="16"/>
        </w:rPr>
        <w:t>Intangible</w:t>
      </w:r>
      <w:r w:rsidRPr="00EB2BD8">
        <w:rPr>
          <w:rFonts w:ascii="Arial"/>
          <w:spacing w:val="6"/>
          <w:w w:val="105"/>
          <w:sz w:val="16"/>
        </w:rPr>
        <w:t xml:space="preserve"> </w:t>
      </w:r>
      <w:r w:rsidRPr="00EB2BD8">
        <w:rPr>
          <w:rFonts w:ascii="Arial"/>
          <w:spacing w:val="-2"/>
          <w:w w:val="105"/>
          <w:sz w:val="16"/>
        </w:rPr>
        <w:t>assets</w:t>
      </w:r>
    </w:p>
    <w:p w14:paraId="33B3A4A4" w14:textId="77777777" w:rsidR="00084F36" w:rsidRPr="00EB2BD8" w:rsidRDefault="00EB2BD8">
      <w:pPr>
        <w:pStyle w:val="ListParagraph"/>
        <w:numPr>
          <w:ilvl w:val="1"/>
          <w:numId w:val="61"/>
        </w:numPr>
        <w:tabs>
          <w:tab w:val="left" w:pos="1599"/>
        </w:tabs>
        <w:spacing w:before="38"/>
        <w:ind w:left="1599" w:hanging="521"/>
        <w:jc w:val="left"/>
        <w:rPr>
          <w:rFonts w:ascii="Arial"/>
          <w:sz w:val="16"/>
        </w:rPr>
      </w:pPr>
      <w:r w:rsidRPr="00EB2BD8">
        <w:rPr>
          <w:rFonts w:ascii="Arial"/>
          <w:w w:val="105"/>
          <w:sz w:val="16"/>
        </w:rPr>
        <w:t>Depreciation</w:t>
      </w:r>
      <w:r w:rsidRPr="00EB2BD8">
        <w:rPr>
          <w:rFonts w:ascii="Arial"/>
          <w:spacing w:val="-11"/>
          <w:w w:val="105"/>
          <w:sz w:val="16"/>
        </w:rPr>
        <w:t xml:space="preserve"> </w:t>
      </w:r>
      <w:r w:rsidRPr="00EB2BD8">
        <w:rPr>
          <w:rFonts w:ascii="Arial"/>
          <w:w w:val="105"/>
          <w:sz w:val="16"/>
        </w:rPr>
        <w:t>and</w:t>
      </w:r>
      <w:r w:rsidRPr="00EB2BD8">
        <w:rPr>
          <w:rFonts w:ascii="Arial"/>
          <w:spacing w:val="-12"/>
          <w:w w:val="105"/>
          <w:sz w:val="16"/>
        </w:rPr>
        <w:t xml:space="preserve"> </w:t>
      </w:r>
      <w:r w:rsidRPr="00EB2BD8">
        <w:rPr>
          <w:rFonts w:ascii="Arial"/>
          <w:spacing w:val="-2"/>
          <w:w w:val="105"/>
          <w:sz w:val="16"/>
        </w:rPr>
        <w:t>amortisation</w:t>
      </w:r>
    </w:p>
    <w:p w14:paraId="0DBFE480" w14:textId="77777777" w:rsidR="00084F36" w:rsidRPr="00EB2BD8" w:rsidRDefault="00084F36">
      <w:pPr>
        <w:pStyle w:val="BodyText"/>
        <w:rPr>
          <w:rFonts w:ascii="Arial"/>
        </w:rPr>
      </w:pPr>
    </w:p>
    <w:p w14:paraId="15ADA977" w14:textId="77777777" w:rsidR="00084F36" w:rsidRPr="00EB2BD8" w:rsidRDefault="00084F36">
      <w:pPr>
        <w:pStyle w:val="BodyText"/>
        <w:spacing w:before="2"/>
        <w:rPr>
          <w:rFonts w:ascii="Arial"/>
          <w:sz w:val="21"/>
        </w:rPr>
      </w:pPr>
    </w:p>
    <w:p w14:paraId="424AFF17" w14:textId="374A15CC" w:rsidR="00084F36" w:rsidRPr="00462776" w:rsidRDefault="00462776" w:rsidP="00462776">
      <w:pPr>
        <w:pStyle w:val="Heading2"/>
      </w:pPr>
      <w:r w:rsidRPr="00462776">
        <w:t xml:space="preserve">  </w:t>
      </w:r>
      <w:bookmarkStart w:id="285" w:name="_Toc150762587"/>
      <w:r w:rsidR="00273892" w:rsidRPr="00462776">
        <w:t xml:space="preserve">4.1 </w:t>
      </w:r>
      <w:r w:rsidR="00273892">
        <w:t>P</w:t>
      </w:r>
      <w:r w:rsidR="00273892" w:rsidRPr="00462776">
        <w:t>roperty, plant and equipment</w:t>
      </w:r>
      <w:bookmarkEnd w:id="285"/>
    </w:p>
    <w:p w14:paraId="5228EC6C" w14:textId="77777777" w:rsidR="00084F36" w:rsidRPr="00EB2BD8" w:rsidRDefault="00084F36">
      <w:pPr>
        <w:pStyle w:val="BodyText"/>
        <w:spacing w:before="8"/>
        <w:rPr>
          <w:rFonts w:ascii="Arial"/>
          <w:b/>
          <w:sz w:val="19"/>
        </w:rPr>
      </w:pPr>
    </w:p>
    <w:p w14:paraId="0702C7A0" w14:textId="77777777" w:rsidR="00084F36" w:rsidRPr="00EB2BD8" w:rsidRDefault="00EB2BD8">
      <w:pPr>
        <w:spacing w:after="45"/>
        <w:ind w:right="1719"/>
        <w:jc w:val="right"/>
        <w:rPr>
          <w:rFonts w:ascii="Arial" w:hAnsi="Arial"/>
          <w:sz w:val="16"/>
        </w:rPr>
      </w:pPr>
      <w:r w:rsidRPr="00EB2BD8">
        <w:rPr>
          <w:rFonts w:ascii="Arial" w:hAnsi="Arial"/>
          <w:spacing w:val="-2"/>
          <w:w w:val="105"/>
          <w:sz w:val="16"/>
        </w:rPr>
        <w:t>($’000)</w:t>
      </w:r>
    </w:p>
    <w:tbl>
      <w:tblPr>
        <w:tblW w:w="0" w:type="auto"/>
        <w:tblInd w:w="1086" w:type="dxa"/>
        <w:tblLayout w:type="fixed"/>
        <w:tblCellMar>
          <w:left w:w="0" w:type="dxa"/>
          <w:right w:w="0" w:type="dxa"/>
        </w:tblCellMar>
        <w:tblLook w:val="01E0" w:firstRow="1" w:lastRow="1" w:firstColumn="1" w:lastColumn="1" w:noHBand="0" w:noVBand="0"/>
      </w:tblPr>
      <w:tblGrid>
        <w:gridCol w:w="4867"/>
        <w:gridCol w:w="1612"/>
        <w:gridCol w:w="1417"/>
        <w:gridCol w:w="1310"/>
      </w:tblGrid>
      <w:tr w:rsidR="00EB2BD8" w:rsidRPr="00EB2BD8" w14:paraId="148A84EF" w14:textId="77777777">
        <w:trPr>
          <w:trHeight w:val="724"/>
        </w:trPr>
        <w:tc>
          <w:tcPr>
            <w:tcW w:w="6479" w:type="dxa"/>
            <w:gridSpan w:val="2"/>
            <w:tcBorders>
              <w:top w:val="single" w:sz="4" w:space="0" w:color="0098FF"/>
              <w:left w:val="single" w:sz="4" w:space="0" w:color="0098FF"/>
            </w:tcBorders>
            <w:shd w:val="clear" w:color="auto" w:fill="0070C0"/>
          </w:tcPr>
          <w:p w14:paraId="10B0F72E" w14:textId="77777777" w:rsidR="00084F36" w:rsidRPr="00EB2BD8" w:rsidRDefault="00084F36">
            <w:pPr>
              <w:pStyle w:val="TableParagraph"/>
              <w:spacing w:before="3"/>
              <w:rPr>
                <w:rFonts w:ascii="Arial"/>
                <w:sz w:val="15"/>
              </w:rPr>
            </w:pPr>
          </w:p>
          <w:p w14:paraId="70076012" w14:textId="77777777" w:rsidR="00084F36" w:rsidRPr="00EB2BD8" w:rsidRDefault="00EB2BD8">
            <w:pPr>
              <w:pStyle w:val="TableParagraph"/>
              <w:ind w:right="127"/>
              <w:jc w:val="right"/>
              <w:rPr>
                <w:rFonts w:ascii="Arial"/>
                <w:b/>
                <w:sz w:val="16"/>
              </w:rPr>
            </w:pPr>
            <w:r w:rsidRPr="00EB2BD8">
              <w:rPr>
                <w:rFonts w:ascii="Arial"/>
                <w:b/>
                <w:w w:val="105"/>
                <w:sz w:val="16"/>
              </w:rPr>
              <w:t>Gross</w:t>
            </w:r>
            <w:r w:rsidRPr="00EB2BD8">
              <w:rPr>
                <w:rFonts w:ascii="Arial"/>
                <w:b/>
                <w:spacing w:val="-8"/>
                <w:w w:val="105"/>
                <w:sz w:val="16"/>
              </w:rPr>
              <w:t xml:space="preserve"> </w:t>
            </w:r>
            <w:r w:rsidRPr="00EB2BD8">
              <w:rPr>
                <w:rFonts w:ascii="Arial"/>
                <w:b/>
                <w:spacing w:val="-2"/>
                <w:w w:val="105"/>
                <w:sz w:val="16"/>
              </w:rPr>
              <w:t>carrying</w:t>
            </w:r>
          </w:p>
          <w:p w14:paraId="65FD93DD" w14:textId="77777777" w:rsidR="00084F36" w:rsidRPr="00EB2BD8" w:rsidRDefault="00EB2BD8">
            <w:pPr>
              <w:pStyle w:val="TableParagraph"/>
              <w:spacing w:before="8"/>
              <w:ind w:right="127"/>
              <w:jc w:val="right"/>
              <w:rPr>
                <w:rFonts w:ascii="Arial"/>
                <w:b/>
                <w:sz w:val="16"/>
              </w:rPr>
            </w:pPr>
            <w:r w:rsidRPr="00EB2BD8">
              <w:rPr>
                <w:rFonts w:ascii="Arial"/>
                <w:b/>
                <w:spacing w:val="-2"/>
                <w:w w:val="105"/>
                <w:sz w:val="16"/>
              </w:rPr>
              <w:t>amount</w:t>
            </w:r>
          </w:p>
        </w:tc>
        <w:tc>
          <w:tcPr>
            <w:tcW w:w="1417" w:type="dxa"/>
            <w:tcBorders>
              <w:top w:val="single" w:sz="4" w:space="0" w:color="0098FF"/>
            </w:tcBorders>
            <w:shd w:val="clear" w:color="auto" w:fill="0070C0"/>
          </w:tcPr>
          <w:p w14:paraId="4C1E72E8" w14:textId="77777777" w:rsidR="00084F36" w:rsidRPr="00EB2BD8" w:rsidRDefault="00084F36">
            <w:pPr>
              <w:pStyle w:val="TableParagraph"/>
              <w:spacing w:before="3"/>
              <w:rPr>
                <w:rFonts w:ascii="Arial"/>
                <w:sz w:val="15"/>
              </w:rPr>
            </w:pPr>
          </w:p>
          <w:p w14:paraId="472AFE28" w14:textId="77777777" w:rsidR="00084F36" w:rsidRPr="00EB2BD8" w:rsidRDefault="00EB2BD8">
            <w:pPr>
              <w:pStyle w:val="TableParagraph"/>
              <w:spacing w:line="252" w:lineRule="auto"/>
              <w:ind w:left="192" w:right="227" w:hanging="55"/>
              <w:rPr>
                <w:rFonts w:ascii="Arial"/>
                <w:b/>
                <w:sz w:val="16"/>
              </w:rPr>
            </w:pPr>
            <w:r w:rsidRPr="00EB2BD8">
              <w:rPr>
                <w:rFonts w:ascii="Arial"/>
                <w:b/>
                <w:spacing w:val="-2"/>
                <w:w w:val="105"/>
                <w:sz w:val="16"/>
              </w:rPr>
              <w:t>Accumulated depreciation</w:t>
            </w:r>
          </w:p>
        </w:tc>
        <w:tc>
          <w:tcPr>
            <w:tcW w:w="1310" w:type="dxa"/>
            <w:tcBorders>
              <w:top w:val="single" w:sz="4" w:space="0" w:color="0098FF"/>
              <w:right w:val="single" w:sz="4" w:space="0" w:color="0098FF"/>
            </w:tcBorders>
            <w:shd w:val="clear" w:color="auto" w:fill="0070C0"/>
          </w:tcPr>
          <w:p w14:paraId="57651022" w14:textId="77777777" w:rsidR="00084F36" w:rsidRPr="00EB2BD8" w:rsidRDefault="00084F36">
            <w:pPr>
              <w:pStyle w:val="TableParagraph"/>
              <w:spacing w:before="3"/>
              <w:rPr>
                <w:rFonts w:ascii="Arial"/>
                <w:sz w:val="15"/>
              </w:rPr>
            </w:pPr>
          </w:p>
          <w:p w14:paraId="5B28CCC1" w14:textId="77777777" w:rsidR="00084F36" w:rsidRPr="00EB2BD8" w:rsidRDefault="00EB2BD8">
            <w:pPr>
              <w:pStyle w:val="TableParagraph"/>
              <w:ind w:right="88"/>
              <w:jc w:val="right"/>
              <w:rPr>
                <w:rFonts w:ascii="Arial"/>
                <w:b/>
                <w:sz w:val="16"/>
              </w:rPr>
            </w:pPr>
            <w:r w:rsidRPr="00EB2BD8">
              <w:rPr>
                <w:rFonts w:ascii="Arial"/>
                <w:b/>
                <w:w w:val="105"/>
                <w:sz w:val="16"/>
              </w:rPr>
              <w:t>Net</w:t>
            </w:r>
            <w:r w:rsidRPr="00EB2BD8">
              <w:rPr>
                <w:rFonts w:ascii="Arial"/>
                <w:b/>
                <w:spacing w:val="-5"/>
                <w:w w:val="105"/>
                <w:sz w:val="16"/>
              </w:rPr>
              <w:t xml:space="preserve"> </w:t>
            </w:r>
            <w:r w:rsidRPr="00EB2BD8">
              <w:rPr>
                <w:rFonts w:ascii="Arial"/>
                <w:b/>
                <w:spacing w:val="-2"/>
                <w:w w:val="105"/>
                <w:sz w:val="16"/>
              </w:rPr>
              <w:t>carrying</w:t>
            </w:r>
          </w:p>
          <w:p w14:paraId="4743F13D" w14:textId="77777777" w:rsidR="00084F36" w:rsidRPr="00EB2BD8" w:rsidRDefault="00EB2BD8">
            <w:pPr>
              <w:pStyle w:val="TableParagraph"/>
              <w:spacing w:before="8"/>
              <w:ind w:right="87"/>
              <w:jc w:val="right"/>
              <w:rPr>
                <w:rFonts w:ascii="Arial"/>
                <w:b/>
                <w:sz w:val="16"/>
              </w:rPr>
            </w:pPr>
            <w:r w:rsidRPr="00EB2BD8">
              <w:rPr>
                <w:rFonts w:ascii="Arial"/>
                <w:b/>
                <w:spacing w:val="-2"/>
                <w:w w:val="105"/>
                <w:sz w:val="16"/>
              </w:rPr>
              <w:t>amount</w:t>
            </w:r>
          </w:p>
        </w:tc>
      </w:tr>
      <w:tr w:rsidR="00EB2BD8" w:rsidRPr="00EB2BD8" w14:paraId="315778BC" w14:textId="77777777">
        <w:trPr>
          <w:trHeight w:val="317"/>
        </w:trPr>
        <w:tc>
          <w:tcPr>
            <w:tcW w:w="4867" w:type="dxa"/>
            <w:shd w:val="clear" w:color="auto" w:fill="FFFFFF"/>
          </w:tcPr>
          <w:p w14:paraId="211A7B26" w14:textId="77777777" w:rsidR="00084F36" w:rsidRPr="00EB2BD8" w:rsidRDefault="00EB2BD8">
            <w:pPr>
              <w:pStyle w:val="TableParagraph"/>
              <w:spacing w:before="67"/>
              <w:ind w:left="104"/>
              <w:rPr>
                <w:rFonts w:ascii="Arial"/>
                <w:b/>
                <w:sz w:val="16"/>
              </w:rPr>
            </w:pPr>
            <w:r w:rsidRPr="00EB2BD8">
              <w:rPr>
                <w:rFonts w:ascii="Arial"/>
                <w:b/>
                <w:spacing w:val="-4"/>
                <w:w w:val="105"/>
                <w:sz w:val="16"/>
              </w:rPr>
              <w:t>2023</w:t>
            </w:r>
          </w:p>
        </w:tc>
        <w:tc>
          <w:tcPr>
            <w:tcW w:w="1612" w:type="dxa"/>
            <w:shd w:val="clear" w:color="auto" w:fill="DEEAF6"/>
          </w:tcPr>
          <w:p w14:paraId="0FF32EBC" w14:textId="77777777" w:rsidR="00084F36" w:rsidRPr="00EB2BD8" w:rsidRDefault="00084F36">
            <w:pPr>
              <w:pStyle w:val="TableParagraph"/>
              <w:rPr>
                <w:rFonts w:ascii="Times New Roman"/>
                <w:sz w:val="16"/>
              </w:rPr>
            </w:pPr>
          </w:p>
        </w:tc>
        <w:tc>
          <w:tcPr>
            <w:tcW w:w="1417" w:type="dxa"/>
            <w:shd w:val="clear" w:color="auto" w:fill="DEEAF6"/>
          </w:tcPr>
          <w:p w14:paraId="7F54922C" w14:textId="77777777" w:rsidR="00084F36" w:rsidRPr="00EB2BD8" w:rsidRDefault="00084F36">
            <w:pPr>
              <w:pStyle w:val="TableParagraph"/>
              <w:rPr>
                <w:rFonts w:ascii="Times New Roman"/>
                <w:sz w:val="16"/>
              </w:rPr>
            </w:pPr>
          </w:p>
        </w:tc>
        <w:tc>
          <w:tcPr>
            <w:tcW w:w="1310" w:type="dxa"/>
            <w:shd w:val="clear" w:color="auto" w:fill="DEEAF6"/>
          </w:tcPr>
          <w:p w14:paraId="6A78A4CF" w14:textId="77777777" w:rsidR="00084F36" w:rsidRPr="00EB2BD8" w:rsidRDefault="00084F36">
            <w:pPr>
              <w:pStyle w:val="TableParagraph"/>
              <w:rPr>
                <w:rFonts w:ascii="Times New Roman"/>
                <w:sz w:val="16"/>
              </w:rPr>
            </w:pPr>
          </w:p>
        </w:tc>
      </w:tr>
      <w:tr w:rsidR="00EB2BD8" w:rsidRPr="00EB2BD8" w14:paraId="7CF4AA26" w14:textId="77777777">
        <w:trPr>
          <w:trHeight w:val="315"/>
        </w:trPr>
        <w:tc>
          <w:tcPr>
            <w:tcW w:w="4867" w:type="dxa"/>
            <w:shd w:val="clear" w:color="auto" w:fill="FFFFFF"/>
          </w:tcPr>
          <w:p w14:paraId="03BF8E7B" w14:textId="77777777" w:rsidR="00084F36" w:rsidRPr="00EB2BD8" w:rsidRDefault="00EB2BD8">
            <w:pPr>
              <w:pStyle w:val="TableParagraph"/>
              <w:spacing w:before="66"/>
              <w:ind w:left="104"/>
              <w:rPr>
                <w:rFonts w:ascii="Arial"/>
                <w:sz w:val="16"/>
              </w:rPr>
            </w:pPr>
            <w:r w:rsidRPr="00EB2BD8">
              <w:rPr>
                <w:rFonts w:ascii="Arial"/>
                <w:w w:val="105"/>
                <w:sz w:val="16"/>
              </w:rPr>
              <w:t>Land</w:t>
            </w:r>
            <w:r w:rsidRPr="00EB2BD8">
              <w:rPr>
                <w:rFonts w:ascii="Arial"/>
                <w:spacing w:val="-6"/>
                <w:w w:val="105"/>
                <w:sz w:val="16"/>
              </w:rPr>
              <w:t xml:space="preserve"> </w:t>
            </w:r>
            <w:r w:rsidRPr="00EB2BD8">
              <w:rPr>
                <w:rFonts w:ascii="Arial"/>
                <w:w w:val="105"/>
                <w:sz w:val="16"/>
              </w:rPr>
              <w:t>at</w:t>
            </w:r>
            <w:r w:rsidRPr="00EB2BD8">
              <w:rPr>
                <w:rFonts w:ascii="Arial"/>
                <w:spacing w:val="-4"/>
                <w:w w:val="105"/>
                <w:sz w:val="16"/>
              </w:rPr>
              <w:t xml:space="preserve"> </w:t>
            </w:r>
            <w:r w:rsidRPr="00EB2BD8">
              <w:rPr>
                <w:rFonts w:ascii="Arial"/>
                <w:w w:val="105"/>
                <w:sz w:val="16"/>
              </w:rPr>
              <w:t>fair</w:t>
            </w:r>
            <w:r w:rsidRPr="00EB2BD8">
              <w:rPr>
                <w:rFonts w:ascii="Arial"/>
                <w:spacing w:val="-4"/>
                <w:w w:val="105"/>
                <w:sz w:val="16"/>
              </w:rPr>
              <w:t xml:space="preserve"> </w:t>
            </w:r>
            <w:r w:rsidRPr="00EB2BD8">
              <w:rPr>
                <w:rFonts w:ascii="Arial"/>
                <w:spacing w:val="-2"/>
                <w:w w:val="105"/>
                <w:sz w:val="16"/>
              </w:rPr>
              <w:t>value</w:t>
            </w:r>
          </w:p>
        </w:tc>
        <w:tc>
          <w:tcPr>
            <w:tcW w:w="1612" w:type="dxa"/>
            <w:shd w:val="clear" w:color="auto" w:fill="DEEAF6"/>
          </w:tcPr>
          <w:p w14:paraId="66C9B16A" w14:textId="77777777" w:rsidR="00084F36" w:rsidRPr="00EB2BD8" w:rsidRDefault="00EB2BD8">
            <w:pPr>
              <w:pStyle w:val="TableParagraph"/>
              <w:spacing w:before="66"/>
              <w:ind w:right="128"/>
              <w:jc w:val="right"/>
              <w:rPr>
                <w:rFonts w:ascii="Arial"/>
                <w:sz w:val="16"/>
              </w:rPr>
            </w:pPr>
            <w:r w:rsidRPr="00EB2BD8">
              <w:rPr>
                <w:rFonts w:ascii="Arial"/>
                <w:spacing w:val="-2"/>
                <w:w w:val="105"/>
                <w:sz w:val="16"/>
              </w:rPr>
              <w:t>1,075</w:t>
            </w:r>
          </w:p>
        </w:tc>
        <w:tc>
          <w:tcPr>
            <w:tcW w:w="1417" w:type="dxa"/>
            <w:shd w:val="clear" w:color="auto" w:fill="DEEAF6"/>
          </w:tcPr>
          <w:p w14:paraId="62A81A34" w14:textId="77777777" w:rsidR="00084F36" w:rsidRPr="00EB2BD8" w:rsidRDefault="00EB2BD8">
            <w:pPr>
              <w:pStyle w:val="TableParagraph"/>
              <w:spacing w:before="66"/>
              <w:ind w:right="229"/>
              <w:jc w:val="right"/>
              <w:rPr>
                <w:rFonts w:ascii="Arial"/>
                <w:sz w:val="16"/>
              </w:rPr>
            </w:pPr>
            <w:r w:rsidRPr="00EB2BD8">
              <w:rPr>
                <w:rFonts w:ascii="Arial"/>
                <w:w w:val="104"/>
                <w:sz w:val="16"/>
              </w:rPr>
              <w:t>-</w:t>
            </w:r>
          </w:p>
        </w:tc>
        <w:tc>
          <w:tcPr>
            <w:tcW w:w="1310" w:type="dxa"/>
            <w:shd w:val="clear" w:color="auto" w:fill="DEEAF6"/>
          </w:tcPr>
          <w:p w14:paraId="66022FE7" w14:textId="77777777" w:rsidR="00084F36" w:rsidRPr="00EB2BD8" w:rsidRDefault="00EB2BD8">
            <w:pPr>
              <w:pStyle w:val="TableParagraph"/>
              <w:spacing w:before="66"/>
              <w:ind w:right="94"/>
              <w:jc w:val="right"/>
              <w:rPr>
                <w:rFonts w:ascii="Arial"/>
                <w:sz w:val="16"/>
              </w:rPr>
            </w:pPr>
            <w:r w:rsidRPr="00EB2BD8">
              <w:rPr>
                <w:rFonts w:ascii="Arial"/>
                <w:spacing w:val="-2"/>
                <w:w w:val="105"/>
                <w:sz w:val="16"/>
              </w:rPr>
              <w:t>1,075</w:t>
            </w:r>
          </w:p>
        </w:tc>
      </w:tr>
      <w:tr w:rsidR="00EB2BD8" w:rsidRPr="00EB2BD8" w14:paraId="362EB49C" w14:textId="77777777">
        <w:trPr>
          <w:trHeight w:val="315"/>
        </w:trPr>
        <w:tc>
          <w:tcPr>
            <w:tcW w:w="4867" w:type="dxa"/>
            <w:shd w:val="clear" w:color="auto" w:fill="FFFFFF"/>
          </w:tcPr>
          <w:p w14:paraId="51306FF6" w14:textId="77777777" w:rsidR="00084F36" w:rsidRPr="00EB2BD8" w:rsidRDefault="00EB2BD8">
            <w:pPr>
              <w:pStyle w:val="TableParagraph"/>
              <w:spacing w:before="65"/>
              <w:ind w:left="104"/>
              <w:rPr>
                <w:rFonts w:ascii="Arial"/>
                <w:sz w:val="16"/>
              </w:rPr>
            </w:pPr>
            <w:r w:rsidRPr="00EB2BD8">
              <w:rPr>
                <w:rFonts w:ascii="Arial"/>
                <w:w w:val="105"/>
                <w:sz w:val="16"/>
              </w:rPr>
              <w:t>Buildings</w:t>
            </w:r>
            <w:r w:rsidRPr="00EB2BD8">
              <w:rPr>
                <w:rFonts w:ascii="Arial"/>
                <w:spacing w:val="-7"/>
                <w:w w:val="105"/>
                <w:sz w:val="16"/>
              </w:rPr>
              <w:t xml:space="preserve"> </w:t>
            </w:r>
            <w:r w:rsidRPr="00EB2BD8">
              <w:rPr>
                <w:rFonts w:ascii="Arial"/>
                <w:w w:val="105"/>
                <w:sz w:val="16"/>
              </w:rPr>
              <w:t>at</w:t>
            </w:r>
            <w:r w:rsidRPr="00EB2BD8">
              <w:rPr>
                <w:rFonts w:ascii="Arial"/>
                <w:spacing w:val="-6"/>
                <w:w w:val="105"/>
                <w:sz w:val="16"/>
              </w:rPr>
              <w:t xml:space="preserve"> </w:t>
            </w:r>
            <w:r w:rsidRPr="00EB2BD8">
              <w:rPr>
                <w:rFonts w:ascii="Arial"/>
                <w:w w:val="105"/>
                <w:sz w:val="16"/>
              </w:rPr>
              <w:t>fair</w:t>
            </w:r>
            <w:r w:rsidRPr="00EB2BD8">
              <w:rPr>
                <w:rFonts w:ascii="Arial"/>
                <w:spacing w:val="-6"/>
                <w:w w:val="105"/>
                <w:sz w:val="16"/>
              </w:rPr>
              <w:t xml:space="preserve"> </w:t>
            </w:r>
            <w:r w:rsidRPr="00EB2BD8">
              <w:rPr>
                <w:rFonts w:ascii="Arial"/>
                <w:spacing w:val="-2"/>
                <w:w w:val="105"/>
                <w:sz w:val="16"/>
              </w:rPr>
              <w:t>value</w:t>
            </w:r>
          </w:p>
        </w:tc>
        <w:tc>
          <w:tcPr>
            <w:tcW w:w="1612" w:type="dxa"/>
            <w:shd w:val="clear" w:color="auto" w:fill="DEEAF6"/>
          </w:tcPr>
          <w:p w14:paraId="4A440975" w14:textId="77777777" w:rsidR="00084F36" w:rsidRPr="00EB2BD8" w:rsidRDefault="00EB2BD8">
            <w:pPr>
              <w:pStyle w:val="TableParagraph"/>
              <w:spacing w:before="65"/>
              <w:ind w:right="128"/>
              <w:jc w:val="right"/>
              <w:rPr>
                <w:rFonts w:ascii="Arial"/>
                <w:sz w:val="16"/>
              </w:rPr>
            </w:pPr>
            <w:r w:rsidRPr="00EB2BD8">
              <w:rPr>
                <w:rFonts w:ascii="Arial"/>
                <w:spacing w:val="-5"/>
                <w:w w:val="105"/>
                <w:sz w:val="16"/>
              </w:rPr>
              <w:t>840</w:t>
            </w:r>
          </w:p>
        </w:tc>
        <w:tc>
          <w:tcPr>
            <w:tcW w:w="1417" w:type="dxa"/>
            <w:shd w:val="clear" w:color="auto" w:fill="DEEAF6"/>
          </w:tcPr>
          <w:p w14:paraId="2F2BA638" w14:textId="77777777" w:rsidR="00084F36" w:rsidRPr="00EB2BD8" w:rsidRDefault="00EB2BD8">
            <w:pPr>
              <w:pStyle w:val="TableParagraph"/>
              <w:spacing w:before="65"/>
              <w:ind w:right="230"/>
              <w:jc w:val="right"/>
              <w:rPr>
                <w:rFonts w:ascii="Arial"/>
                <w:sz w:val="16"/>
              </w:rPr>
            </w:pPr>
            <w:r w:rsidRPr="00EB2BD8">
              <w:rPr>
                <w:rFonts w:ascii="Arial"/>
                <w:spacing w:val="-4"/>
                <w:w w:val="105"/>
                <w:sz w:val="16"/>
              </w:rPr>
              <w:t>(28)</w:t>
            </w:r>
          </w:p>
        </w:tc>
        <w:tc>
          <w:tcPr>
            <w:tcW w:w="1310" w:type="dxa"/>
            <w:shd w:val="clear" w:color="auto" w:fill="DEEAF6"/>
          </w:tcPr>
          <w:p w14:paraId="38948E95" w14:textId="77777777" w:rsidR="00084F36" w:rsidRPr="00EB2BD8" w:rsidRDefault="00EB2BD8">
            <w:pPr>
              <w:pStyle w:val="TableParagraph"/>
              <w:spacing w:before="65"/>
              <w:ind w:right="94"/>
              <w:jc w:val="right"/>
              <w:rPr>
                <w:rFonts w:ascii="Arial"/>
                <w:sz w:val="16"/>
              </w:rPr>
            </w:pPr>
            <w:r w:rsidRPr="00EB2BD8">
              <w:rPr>
                <w:rFonts w:ascii="Arial"/>
                <w:spacing w:val="-5"/>
                <w:w w:val="105"/>
                <w:sz w:val="16"/>
              </w:rPr>
              <w:t>812</w:t>
            </w:r>
          </w:p>
        </w:tc>
      </w:tr>
      <w:tr w:rsidR="00EB2BD8" w:rsidRPr="00EB2BD8" w14:paraId="0F3DEDEE" w14:textId="77777777">
        <w:trPr>
          <w:trHeight w:val="315"/>
        </w:trPr>
        <w:tc>
          <w:tcPr>
            <w:tcW w:w="4867" w:type="dxa"/>
            <w:shd w:val="clear" w:color="auto" w:fill="FFFFFF"/>
          </w:tcPr>
          <w:p w14:paraId="38D38D47" w14:textId="77777777" w:rsidR="00084F36" w:rsidRPr="00EB2BD8" w:rsidRDefault="00EB2BD8">
            <w:pPr>
              <w:pStyle w:val="TableParagraph"/>
              <w:spacing w:before="65"/>
              <w:ind w:left="104"/>
              <w:rPr>
                <w:rFonts w:ascii="Arial"/>
                <w:sz w:val="16"/>
              </w:rPr>
            </w:pPr>
            <w:r w:rsidRPr="00EB2BD8">
              <w:rPr>
                <w:rFonts w:ascii="Arial"/>
                <w:w w:val="105"/>
                <w:sz w:val="16"/>
              </w:rPr>
              <w:t>Buildings-right-of-use</w:t>
            </w:r>
            <w:r w:rsidRPr="00EB2BD8">
              <w:rPr>
                <w:rFonts w:ascii="Arial"/>
                <w:spacing w:val="-12"/>
                <w:w w:val="105"/>
                <w:sz w:val="16"/>
              </w:rPr>
              <w:t xml:space="preserve"> </w:t>
            </w:r>
            <w:r w:rsidRPr="00EB2BD8">
              <w:rPr>
                <w:rFonts w:ascii="Arial"/>
                <w:w w:val="105"/>
                <w:sz w:val="16"/>
              </w:rPr>
              <w:t>at</w:t>
            </w:r>
            <w:r w:rsidRPr="00EB2BD8">
              <w:rPr>
                <w:rFonts w:ascii="Arial"/>
                <w:spacing w:val="-11"/>
                <w:w w:val="105"/>
                <w:sz w:val="16"/>
              </w:rPr>
              <w:t xml:space="preserve"> </w:t>
            </w:r>
            <w:r w:rsidRPr="00EB2BD8">
              <w:rPr>
                <w:rFonts w:ascii="Arial"/>
                <w:w w:val="105"/>
                <w:sz w:val="16"/>
              </w:rPr>
              <w:t>fair</w:t>
            </w:r>
            <w:r w:rsidRPr="00EB2BD8">
              <w:rPr>
                <w:rFonts w:ascii="Arial"/>
                <w:spacing w:val="-11"/>
                <w:w w:val="105"/>
                <w:sz w:val="16"/>
              </w:rPr>
              <w:t xml:space="preserve"> </w:t>
            </w:r>
            <w:r w:rsidRPr="00EB2BD8">
              <w:rPr>
                <w:rFonts w:ascii="Arial"/>
                <w:spacing w:val="-2"/>
                <w:w w:val="105"/>
                <w:sz w:val="16"/>
              </w:rPr>
              <w:t>value</w:t>
            </w:r>
          </w:p>
        </w:tc>
        <w:tc>
          <w:tcPr>
            <w:tcW w:w="1612" w:type="dxa"/>
            <w:shd w:val="clear" w:color="auto" w:fill="DEEAF6"/>
          </w:tcPr>
          <w:p w14:paraId="26DFB702" w14:textId="77777777" w:rsidR="00084F36" w:rsidRPr="00EB2BD8" w:rsidRDefault="00EB2BD8">
            <w:pPr>
              <w:pStyle w:val="TableParagraph"/>
              <w:spacing w:before="65"/>
              <w:ind w:right="127"/>
              <w:jc w:val="right"/>
              <w:rPr>
                <w:rFonts w:ascii="Arial"/>
                <w:sz w:val="16"/>
              </w:rPr>
            </w:pPr>
            <w:r w:rsidRPr="00EB2BD8">
              <w:rPr>
                <w:rFonts w:ascii="Arial"/>
                <w:spacing w:val="-2"/>
                <w:w w:val="105"/>
                <w:sz w:val="16"/>
              </w:rPr>
              <w:t>12,062</w:t>
            </w:r>
          </w:p>
        </w:tc>
        <w:tc>
          <w:tcPr>
            <w:tcW w:w="1417" w:type="dxa"/>
            <w:shd w:val="clear" w:color="auto" w:fill="DEEAF6"/>
          </w:tcPr>
          <w:p w14:paraId="6F7C95E0" w14:textId="77777777" w:rsidR="00084F36" w:rsidRPr="00EB2BD8" w:rsidRDefault="00EB2BD8">
            <w:pPr>
              <w:pStyle w:val="TableParagraph"/>
              <w:spacing w:before="65"/>
              <w:ind w:right="230"/>
              <w:jc w:val="right"/>
              <w:rPr>
                <w:rFonts w:ascii="Arial"/>
                <w:sz w:val="16"/>
              </w:rPr>
            </w:pPr>
            <w:r w:rsidRPr="00EB2BD8">
              <w:rPr>
                <w:rFonts w:ascii="Arial"/>
                <w:spacing w:val="-2"/>
                <w:w w:val="105"/>
                <w:sz w:val="16"/>
              </w:rPr>
              <w:t>(9,144)</w:t>
            </w:r>
          </w:p>
        </w:tc>
        <w:tc>
          <w:tcPr>
            <w:tcW w:w="1310" w:type="dxa"/>
            <w:shd w:val="clear" w:color="auto" w:fill="DEEAF6"/>
          </w:tcPr>
          <w:p w14:paraId="198E9D86" w14:textId="77777777" w:rsidR="00084F36" w:rsidRPr="00EB2BD8" w:rsidRDefault="00EB2BD8">
            <w:pPr>
              <w:pStyle w:val="TableParagraph"/>
              <w:spacing w:before="65"/>
              <w:ind w:right="94"/>
              <w:jc w:val="right"/>
              <w:rPr>
                <w:rFonts w:ascii="Arial"/>
                <w:sz w:val="16"/>
              </w:rPr>
            </w:pPr>
            <w:r w:rsidRPr="00EB2BD8">
              <w:rPr>
                <w:rFonts w:ascii="Arial"/>
                <w:spacing w:val="-2"/>
                <w:w w:val="105"/>
                <w:sz w:val="16"/>
              </w:rPr>
              <w:t>2,918</w:t>
            </w:r>
          </w:p>
        </w:tc>
      </w:tr>
      <w:tr w:rsidR="00EB2BD8" w:rsidRPr="00EB2BD8" w14:paraId="49C4531C" w14:textId="77777777">
        <w:trPr>
          <w:trHeight w:val="315"/>
        </w:trPr>
        <w:tc>
          <w:tcPr>
            <w:tcW w:w="4867" w:type="dxa"/>
            <w:shd w:val="clear" w:color="auto" w:fill="FFFFFF"/>
          </w:tcPr>
          <w:p w14:paraId="55DD8B8A" w14:textId="77777777" w:rsidR="00084F36" w:rsidRPr="00EB2BD8" w:rsidRDefault="00EB2BD8">
            <w:pPr>
              <w:pStyle w:val="TableParagraph"/>
              <w:spacing w:before="66"/>
              <w:ind w:left="104"/>
              <w:rPr>
                <w:rFonts w:ascii="Arial"/>
                <w:sz w:val="16"/>
              </w:rPr>
            </w:pPr>
            <w:r w:rsidRPr="00EB2BD8">
              <w:rPr>
                <w:rFonts w:ascii="Arial"/>
                <w:w w:val="105"/>
                <w:sz w:val="16"/>
              </w:rPr>
              <w:t>Plant,</w:t>
            </w:r>
            <w:r w:rsidRPr="00EB2BD8">
              <w:rPr>
                <w:rFonts w:ascii="Arial"/>
                <w:spacing w:val="-7"/>
                <w:w w:val="105"/>
                <w:sz w:val="16"/>
              </w:rPr>
              <w:t xml:space="preserve"> </w:t>
            </w:r>
            <w:r w:rsidRPr="00EB2BD8">
              <w:rPr>
                <w:rFonts w:ascii="Arial"/>
                <w:w w:val="105"/>
                <w:sz w:val="16"/>
              </w:rPr>
              <w:t>equipment</w:t>
            </w:r>
            <w:r w:rsidRPr="00EB2BD8">
              <w:rPr>
                <w:rFonts w:ascii="Arial"/>
                <w:spacing w:val="-7"/>
                <w:w w:val="105"/>
                <w:sz w:val="16"/>
              </w:rPr>
              <w:t xml:space="preserve"> </w:t>
            </w:r>
            <w:r w:rsidRPr="00EB2BD8">
              <w:rPr>
                <w:rFonts w:ascii="Arial"/>
                <w:w w:val="105"/>
                <w:sz w:val="16"/>
              </w:rPr>
              <w:t>and</w:t>
            </w:r>
            <w:r w:rsidRPr="00EB2BD8">
              <w:rPr>
                <w:rFonts w:ascii="Arial"/>
                <w:spacing w:val="-8"/>
                <w:w w:val="105"/>
                <w:sz w:val="16"/>
              </w:rPr>
              <w:t xml:space="preserve"> </w:t>
            </w:r>
            <w:r w:rsidRPr="00EB2BD8">
              <w:rPr>
                <w:rFonts w:ascii="Arial"/>
                <w:w w:val="105"/>
                <w:sz w:val="16"/>
              </w:rPr>
              <w:t>motor</w:t>
            </w:r>
            <w:r w:rsidRPr="00EB2BD8">
              <w:rPr>
                <w:rFonts w:ascii="Arial"/>
                <w:spacing w:val="-6"/>
                <w:w w:val="105"/>
                <w:sz w:val="16"/>
              </w:rPr>
              <w:t xml:space="preserve"> </w:t>
            </w:r>
            <w:r w:rsidRPr="00EB2BD8">
              <w:rPr>
                <w:rFonts w:ascii="Arial"/>
                <w:w w:val="105"/>
                <w:sz w:val="16"/>
              </w:rPr>
              <w:t>vehicles</w:t>
            </w:r>
            <w:r w:rsidRPr="00EB2BD8">
              <w:rPr>
                <w:rFonts w:ascii="Arial"/>
                <w:spacing w:val="-7"/>
                <w:w w:val="105"/>
                <w:sz w:val="16"/>
              </w:rPr>
              <w:t xml:space="preserve"> </w:t>
            </w:r>
            <w:r w:rsidRPr="00EB2BD8">
              <w:rPr>
                <w:rFonts w:ascii="Arial"/>
                <w:w w:val="105"/>
                <w:sz w:val="16"/>
              </w:rPr>
              <w:t>at</w:t>
            </w:r>
            <w:r w:rsidRPr="00EB2BD8">
              <w:rPr>
                <w:rFonts w:ascii="Arial"/>
                <w:spacing w:val="-7"/>
                <w:w w:val="105"/>
                <w:sz w:val="16"/>
              </w:rPr>
              <w:t xml:space="preserve"> </w:t>
            </w:r>
            <w:r w:rsidRPr="00EB2BD8">
              <w:rPr>
                <w:rFonts w:ascii="Arial"/>
                <w:w w:val="105"/>
                <w:sz w:val="16"/>
              </w:rPr>
              <w:t>fair</w:t>
            </w:r>
            <w:r w:rsidRPr="00EB2BD8">
              <w:rPr>
                <w:rFonts w:ascii="Arial"/>
                <w:spacing w:val="-7"/>
                <w:w w:val="105"/>
                <w:sz w:val="16"/>
              </w:rPr>
              <w:t xml:space="preserve"> </w:t>
            </w:r>
            <w:r w:rsidRPr="00EB2BD8">
              <w:rPr>
                <w:rFonts w:ascii="Arial"/>
                <w:spacing w:val="-2"/>
                <w:w w:val="105"/>
                <w:sz w:val="16"/>
              </w:rPr>
              <w:t>value</w:t>
            </w:r>
          </w:p>
        </w:tc>
        <w:tc>
          <w:tcPr>
            <w:tcW w:w="1612" w:type="dxa"/>
            <w:shd w:val="clear" w:color="auto" w:fill="DEEAF6"/>
          </w:tcPr>
          <w:p w14:paraId="2F3F234C" w14:textId="77777777" w:rsidR="00084F36" w:rsidRPr="00EB2BD8" w:rsidRDefault="00EB2BD8">
            <w:pPr>
              <w:pStyle w:val="TableParagraph"/>
              <w:spacing w:before="66"/>
              <w:ind w:right="128"/>
              <w:jc w:val="right"/>
              <w:rPr>
                <w:rFonts w:ascii="Arial"/>
                <w:sz w:val="16"/>
              </w:rPr>
            </w:pPr>
            <w:r w:rsidRPr="00EB2BD8">
              <w:rPr>
                <w:rFonts w:ascii="Arial"/>
                <w:spacing w:val="-2"/>
                <w:w w:val="105"/>
                <w:sz w:val="16"/>
              </w:rPr>
              <w:t>6,427</w:t>
            </w:r>
          </w:p>
        </w:tc>
        <w:tc>
          <w:tcPr>
            <w:tcW w:w="1417" w:type="dxa"/>
            <w:shd w:val="clear" w:color="auto" w:fill="DEEAF6"/>
          </w:tcPr>
          <w:p w14:paraId="2439DF3F" w14:textId="77777777" w:rsidR="00084F36" w:rsidRPr="00EB2BD8" w:rsidRDefault="00EB2BD8">
            <w:pPr>
              <w:pStyle w:val="TableParagraph"/>
              <w:spacing w:before="66"/>
              <w:ind w:right="230"/>
              <w:jc w:val="right"/>
              <w:rPr>
                <w:rFonts w:ascii="Arial"/>
                <w:sz w:val="16"/>
              </w:rPr>
            </w:pPr>
            <w:r w:rsidRPr="00EB2BD8">
              <w:rPr>
                <w:rFonts w:ascii="Arial"/>
                <w:spacing w:val="-2"/>
                <w:w w:val="105"/>
                <w:sz w:val="16"/>
              </w:rPr>
              <w:t>(5,934)</w:t>
            </w:r>
          </w:p>
        </w:tc>
        <w:tc>
          <w:tcPr>
            <w:tcW w:w="1310" w:type="dxa"/>
            <w:shd w:val="clear" w:color="auto" w:fill="DEEAF6"/>
          </w:tcPr>
          <w:p w14:paraId="5B36360C" w14:textId="77777777" w:rsidR="00084F36" w:rsidRPr="00EB2BD8" w:rsidRDefault="00EB2BD8">
            <w:pPr>
              <w:pStyle w:val="TableParagraph"/>
              <w:spacing w:before="66"/>
              <w:ind w:right="93"/>
              <w:jc w:val="right"/>
              <w:rPr>
                <w:rFonts w:ascii="Arial"/>
                <w:sz w:val="16"/>
              </w:rPr>
            </w:pPr>
            <w:r w:rsidRPr="00EB2BD8">
              <w:rPr>
                <w:rFonts w:ascii="Arial"/>
                <w:spacing w:val="-5"/>
                <w:w w:val="105"/>
                <w:sz w:val="16"/>
              </w:rPr>
              <w:t>493</w:t>
            </w:r>
          </w:p>
        </w:tc>
      </w:tr>
      <w:tr w:rsidR="00EB2BD8" w:rsidRPr="00EB2BD8" w14:paraId="5F4C8E99" w14:textId="77777777">
        <w:trPr>
          <w:trHeight w:val="312"/>
        </w:trPr>
        <w:tc>
          <w:tcPr>
            <w:tcW w:w="4867" w:type="dxa"/>
            <w:tcBorders>
              <w:bottom w:val="single" w:sz="12" w:space="0" w:color="000000"/>
            </w:tcBorders>
            <w:shd w:val="clear" w:color="auto" w:fill="FFFFFF"/>
          </w:tcPr>
          <w:p w14:paraId="0BB53078" w14:textId="77777777" w:rsidR="00084F36" w:rsidRPr="00EB2BD8" w:rsidRDefault="00EB2BD8">
            <w:pPr>
              <w:pStyle w:val="TableParagraph"/>
              <w:spacing w:before="65"/>
              <w:ind w:left="104"/>
              <w:rPr>
                <w:rFonts w:ascii="Arial"/>
                <w:sz w:val="16"/>
              </w:rPr>
            </w:pPr>
            <w:r w:rsidRPr="00EB2BD8">
              <w:rPr>
                <w:rFonts w:ascii="Arial"/>
                <w:w w:val="105"/>
                <w:sz w:val="16"/>
              </w:rPr>
              <w:t>Plant,</w:t>
            </w:r>
            <w:r w:rsidRPr="00EB2BD8">
              <w:rPr>
                <w:rFonts w:ascii="Arial"/>
                <w:spacing w:val="-9"/>
                <w:w w:val="105"/>
                <w:sz w:val="16"/>
              </w:rPr>
              <w:t xml:space="preserve"> </w:t>
            </w:r>
            <w:r w:rsidRPr="00EB2BD8">
              <w:rPr>
                <w:rFonts w:ascii="Arial"/>
                <w:w w:val="105"/>
                <w:sz w:val="16"/>
              </w:rPr>
              <w:t>equipment</w:t>
            </w:r>
            <w:r w:rsidRPr="00EB2BD8">
              <w:rPr>
                <w:rFonts w:ascii="Arial"/>
                <w:spacing w:val="-8"/>
                <w:w w:val="105"/>
                <w:sz w:val="16"/>
              </w:rPr>
              <w:t xml:space="preserve"> </w:t>
            </w:r>
            <w:r w:rsidRPr="00EB2BD8">
              <w:rPr>
                <w:rFonts w:ascii="Arial"/>
                <w:w w:val="105"/>
                <w:sz w:val="16"/>
              </w:rPr>
              <w:t>and</w:t>
            </w:r>
            <w:r w:rsidRPr="00EB2BD8">
              <w:rPr>
                <w:rFonts w:ascii="Arial"/>
                <w:spacing w:val="-10"/>
                <w:w w:val="105"/>
                <w:sz w:val="16"/>
              </w:rPr>
              <w:t xml:space="preserve"> </w:t>
            </w:r>
            <w:r w:rsidRPr="00EB2BD8">
              <w:rPr>
                <w:rFonts w:ascii="Arial"/>
                <w:w w:val="105"/>
                <w:sz w:val="16"/>
              </w:rPr>
              <w:t>motor</w:t>
            </w:r>
            <w:r w:rsidRPr="00EB2BD8">
              <w:rPr>
                <w:rFonts w:ascii="Arial"/>
                <w:spacing w:val="-8"/>
                <w:w w:val="105"/>
                <w:sz w:val="16"/>
              </w:rPr>
              <w:t xml:space="preserve"> </w:t>
            </w:r>
            <w:r w:rsidRPr="00EB2BD8">
              <w:rPr>
                <w:rFonts w:ascii="Arial"/>
                <w:w w:val="105"/>
                <w:sz w:val="16"/>
              </w:rPr>
              <w:t>vehicles-right-of-use</w:t>
            </w:r>
            <w:r w:rsidRPr="00EB2BD8">
              <w:rPr>
                <w:rFonts w:ascii="Arial"/>
                <w:spacing w:val="-9"/>
                <w:w w:val="105"/>
                <w:sz w:val="16"/>
              </w:rPr>
              <w:t xml:space="preserve"> </w:t>
            </w:r>
            <w:r w:rsidRPr="00EB2BD8">
              <w:rPr>
                <w:rFonts w:ascii="Arial"/>
                <w:w w:val="105"/>
                <w:sz w:val="16"/>
              </w:rPr>
              <w:t>at</w:t>
            </w:r>
            <w:r w:rsidRPr="00EB2BD8">
              <w:rPr>
                <w:rFonts w:ascii="Arial"/>
                <w:spacing w:val="-9"/>
                <w:w w:val="105"/>
                <w:sz w:val="16"/>
              </w:rPr>
              <w:t xml:space="preserve"> </w:t>
            </w:r>
            <w:r w:rsidRPr="00EB2BD8">
              <w:rPr>
                <w:rFonts w:ascii="Arial"/>
                <w:w w:val="105"/>
                <w:sz w:val="16"/>
              </w:rPr>
              <w:t>fair</w:t>
            </w:r>
            <w:r w:rsidRPr="00EB2BD8">
              <w:rPr>
                <w:rFonts w:ascii="Arial"/>
                <w:spacing w:val="-8"/>
                <w:w w:val="105"/>
                <w:sz w:val="16"/>
              </w:rPr>
              <w:t xml:space="preserve"> </w:t>
            </w:r>
            <w:r w:rsidRPr="00EB2BD8">
              <w:rPr>
                <w:rFonts w:ascii="Arial"/>
                <w:spacing w:val="-2"/>
                <w:w w:val="105"/>
                <w:sz w:val="16"/>
              </w:rPr>
              <w:t>value</w:t>
            </w:r>
          </w:p>
        </w:tc>
        <w:tc>
          <w:tcPr>
            <w:tcW w:w="1612" w:type="dxa"/>
            <w:tcBorders>
              <w:bottom w:val="single" w:sz="12" w:space="0" w:color="000000"/>
            </w:tcBorders>
            <w:shd w:val="clear" w:color="auto" w:fill="DEEAF6"/>
          </w:tcPr>
          <w:p w14:paraId="41111029" w14:textId="77777777" w:rsidR="00084F36" w:rsidRPr="00EB2BD8" w:rsidRDefault="00EB2BD8">
            <w:pPr>
              <w:pStyle w:val="TableParagraph"/>
              <w:spacing w:before="65"/>
              <w:ind w:right="128"/>
              <w:jc w:val="right"/>
              <w:rPr>
                <w:rFonts w:ascii="Arial"/>
                <w:sz w:val="16"/>
              </w:rPr>
            </w:pPr>
            <w:r w:rsidRPr="00EB2BD8">
              <w:rPr>
                <w:rFonts w:ascii="Arial"/>
                <w:spacing w:val="-2"/>
                <w:w w:val="105"/>
                <w:sz w:val="16"/>
              </w:rPr>
              <w:t>2,402</w:t>
            </w:r>
          </w:p>
        </w:tc>
        <w:tc>
          <w:tcPr>
            <w:tcW w:w="1417" w:type="dxa"/>
            <w:tcBorders>
              <w:bottom w:val="single" w:sz="12" w:space="0" w:color="000000"/>
            </w:tcBorders>
            <w:shd w:val="clear" w:color="auto" w:fill="DEEAF6"/>
          </w:tcPr>
          <w:p w14:paraId="46A5C0F2" w14:textId="77777777" w:rsidR="00084F36" w:rsidRPr="00EB2BD8" w:rsidRDefault="00EB2BD8">
            <w:pPr>
              <w:pStyle w:val="TableParagraph"/>
              <w:spacing w:before="65"/>
              <w:ind w:right="230"/>
              <w:jc w:val="right"/>
              <w:rPr>
                <w:rFonts w:ascii="Arial"/>
                <w:sz w:val="16"/>
              </w:rPr>
            </w:pPr>
            <w:r w:rsidRPr="00EB2BD8">
              <w:rPr>
                <w:rFonts w:ascii="Arial"/>
                <w:spacing w:val="-2"/>
                <w:w w:val="105"/>
                <w:sz w:val="16"/>
              </w:rPr>
              <w:t>(391)</w:t>
            </w:r>
          </w:p>
        </w:tc>
        <w:tc>
          <w:tcPr>
            <w:tcW w:w="1310" w:type="dxa"/>
            <w:tcBorders>
              <w:bottom w:val="single" w:sz="12" w:space="0" w:color="000000"/>
            </w:tcBorders>
            <w:shd w:val="clear" w:color="auto" w:fill="DEEAF6"/>
          </w:tcPr>
          <w:p w14:paraId="5FE7EBC3" w14:textId="77777777" w:rsidR="00084F36" w:rsidRPr="00EB2BD8" w:rsidRDefault="00EB2BD8">
            <w:pPr>
              <w:pStyle w:val="TableParagraph"/>
              <w:spacing w:before="65"/>
              <w:ind w:right="94"/>
              <w:jc w:val="right"/>
              <w:rPr>
                <w:rFonts w:ascii="Arial"/>
                <w:sz w:val="16"/>
              </w:rPr>
            </w:pPr>
            <w:r w:rsidRPr="00EB2BD8">
              <w:rPr>
                <w:rFonts w:ascii="Arial"/>
                <w:spacing w:val="-2"/>
                <w:w w:val="105"/>
                <w:sz w:val="16"/>
              </w:rPr>
              <w:t>2,011</w:t>
            </w:r>
          </w:p>
        </w:tc>
      </w:tr>
      <w:tr w:rsidR="00EB2BD8" w:rsidRPr="00EB2BD8" w14:paraId="5711DCFA" w14:textId="77777777">
        <w:trPr>
          <w:trHeight w:val="285"/>
        </w:trPr>
        <w:tc>
          <w:tcPr>
            <w:tcW w:w="4867" w:type="dxa"/>
            <w:tcBorders>
              <w:top w:val="single" w:sz="12" w:space="0" w:color="000000"/>
              <w:bottom w:val="single" w:sz="12" w:space="0" w:color="000000"/>
            </w:tcBorders>
            <w:shd w:val="clear" w:color="auto" w:fill="FFFFFF"/>
          </w:tcPr>
          <w:p w14:paraId="17077FF7" w14:textId="77777777" w:rsidR="00084F36" w:rsidRPr="00EB2BD8" w:rsidRDefault="00EB2BD8">
            <w:pPr>
              <w:pStyle w:val="TableParagraph"/>
              <w:spacing w:before="52"/>
              <w:ind w:left="104"/>
              <w:rPr>
                <w:rFonts w:ascii="Arial"/>
                <w:b/>
                <w:sz w:val="16"/>
              </w:rPr>
            </w:pPr>
            <w:r w:rsidRPr="00EB2BD8">
              <w:rPr>
                <w:rFonts w:ascii="Arial"/>
                <w:b/>
                <w:w w:val="105"/>
                <w:sz w:val="16"/>
              </w:rPr>
              <w:t>Net</w:t>
            </w:r>
            <w:r w:rsidRPr="00EB2BD8">
              <w:rPr>
                <w:rFonts w:ascii="Arial"/>
                <w:b/>
                <w:spacing w:val="-8"/>
                <w:w w:val="105"/>
                <w:sz w:val="16"/>
              </w:rPr>
              <w:t xml:space="preserve"> </w:t>
            </w:r>
            <w:r w:rsidRPr="00EB2BD8">
              <w:rPr>
                <w:rFonts w:ascii="Arial"/>
                <w:b/>
                <w:w w:val="105"/>
                <w:sz w:val="16"/>
              </w:rPr>
              <w:t>carrying</w:t>
            </w:r>
            <w:r w:rsidRPr="00EB2BD8">
              <w:rPr>
                <w:rFonts w:ascii="Arial"/>
                <w:b/>
                <w:spacing w:val="-8"/>
                <w:w w:val="105"/>
                <w:sz w:val="16"/>
              </w:rPr>
              <w:t xml:space="preserve"> </w:t>
            </w:r>
            <w:r w:rsidRPr="00EB2BD8">
              <w:rPr>
                <w:rFonts w:ascii="Arial"/>
                <w:b/>
                <w:spacing w:val="-2"/>
                <w:w w:val="105"/>
                <w:sz w:val="16"/>
              </w:rPr>
              <w:t>amount</w:t>
            </w:r>
          </w:p>
        </w:tc>
        <w:tc>
          <w:tcPr>
            <w:tcW w:w="1612" w:type="dxa"/>
            <w:tcBorders>
              <w:top w:val="single" w:sz="12" w:space="0" w:color="000000"/>
              <w:bottom w:val="single" w:sz="12" w:space="0" w:color="000000"/>
            </w:tcBorders>
            <w:shd w:val="clear" w:color="auto" w:fill="DEEAF6"/>
          </w:tcPr>
          <w:p w14:paraId="15C4EE4A" w14:textId="77777777" w:rsidR="00084F36" w:rsidRPr="00EB2BD8" w:rsidRDefault="00EB2BD8">
            <w:pPr>
              <w:pStyle w:val="TableParagraph"/>
              <w:spacing w:before="52"/>
              <w:ind w:right="127"/>
              <w:jc w:val="right"/>
              <w:rPr>
                <w:rFonts w:ascii="Arial"/>
                <w:b/>
                <w:sz w:val="16"/>
              </w:rPr>
            </w:pPr>
            <w:r w:rsidRPr="00EB2BD8">
              <w:rPr>
                <w:rFonts w:ascii="Arial"/>
                <w:b/>
                <w:spacing w:val="-2"/>
                <w:w w:val="105"/>
                <w:sz w:val="16"/>
              </w:rPr>
              <w:t>22,806</w:t>
            </w:r>
          </w:p>
        </w:tc>
        <w:tc>
          <w:tcPr>
            <w:tcW w:w="1417" w:type="dxa"/>
            <w:tcBorders>
              <w:top w:val="single" w:sz="12" w:space="0" w:color="000000"/>
              <w:bottom w:val="single" w:sz="12" w:space="0" w:color="000000"/>
            </w:tcBorders>
            <w:shd w:val="clear" w:color="auto" w:fill="DEEAF6"/>
          </w:tcPr>
          <w:p w14:paraId="3EF65244" w14:textId="77777777" w:rsidR="00084F36" w:rsidRPr="00EB2BD8" w:rsidRDefault="00EB2BD8">
            <w:pPr>
              <w:pStyle w:val="TableParagraph"/>
              <w:spacing w:before="52"/>
              <w:ind w:right="230"/>
              <w:jc w:val="right"/>
              <w:rPr>
                <w:rFonts w:ascii="Arial"/>
                <w:b/>
                <w:sz w:val="16"/>
              </w:rPr>
            </w:pPr>
            <w:r w:rsidRPr="00EB2BD8">
              <w:rPr>
                <w:rFonts w:ascii="Arial"/>
                <w:b/>
                <w:spacing w:val="-2"/>
                <w:w w:val="105"/>
                <w:sz w:val="16"/>
              </w:rPr>
              <w:t>(15,497)</w:t>
            </w:r>
          </w:p>
        </w:tc>
        <w:tc>
          <w:tcPr>
            <w:tcW w:w="1310" w:type="dxa"/>
            <w:tcBorders>
              <w:top w:val="single" w:sz="12" w:space="0" w:color="000000"/>
              <w:bottom w:val="single" w:sz="12" w:space="0" w:color="000000"/>
            </w:tcBorders>
            <w:shd w:val="clear" w:color="auto" w:fill="DEEAF6"/>
          </w:tcPr>
          <w:p w14:paraId="0ABEDC30" w14:textId="77777777" w:rsidR="00084F36" w:rsidRPr="00EB2BD8" w:rsidRDefault="00EB2BD8">
            <w:pPr>
              <w:pStyle w:val="TableParagraph"/>
              <w:spacing w:before="52"/>
              <w:ind w:right="94"/>
              <w:jc w:val="right"/>
              <w:rPr>
                <w:rFonts w:ascii="Arial"/>
                <w:b/>
                <w:sz w:val="16"/>
              </w:rPr>
            </w:pPr>
            <w:r w:rsidRPr="00EB2BD8">
              <w:rPr>
                <w:rFonts w:ascii="Arial"/>
                <w:b/>
                <w:spacing w:val="-2"/>
                <w:w w:val="105"/>
                <w:sz w:val="16"/>
              </w:rPr>
              <w:t>7,309</w:t>
            </w:r>
          </w:p>
        </w:tc>
      </w:tr>
    </w:tbl>
    <w:p w14:paraId="63573DDB" w14:textId="77777777" w:rsidR="00084F36" w:rsidRPr="00EB2BD8" w:rsidRDefault="00084F36">
      <w:pPr>
        <w:pStyle w:val="BodyText"/>
        <w:spacing w:before="6"/>
        <w:rPr>
          <w:rFonts w:ascii="Arial"/>
          <w:sz w:val="5"/>
        </w:rPr>
      </w:pPr>
    </w:p>
    <w:tbl>
      <w:tblPr>
        <w:tblW w:w="0" w:type="auto"/>
        <w:tblInd w:w="1079" w:type="dxa"/>
        <w:tblLayout w:type="fixed"/>
        <w:tblCellMar>
          <w:left w:w="0" w:type="dxa"/>
          <w:right w:w="0" w:type="dxa"/>
        </w:tblCellMar>
        <w:tblLook w:val="01E0" w:firstRow="1" w:lastRow="1" w:firstColumn="1" w:lastColumn="1" w:noHBand="0" w:noVBand="0"/>
      </w:tblPr>
      <w:tblGrid>
        <w:gridCol w:w="5230"/>
        <w:gridCol w:w="1468"/>
        <w:gridCol w:w="1482"/>
        <w:gridCol w:w="1031"/>
      </w:tblGrid>
      <w:tr w:rsidR="00EB2BD8" w:rsidRPr="00EB2BD8" w14:paraId="0E557626" w14:textId="77777777">
        <w:trPr>
          <w:trHeight w:val="244"/>
        </w:trPr>
        <w:tc>
          <w:tcPr>
            <w:tcW w:w="5230" w:type="dxa"/>
            <w:shd w:val="clear" w:color="auto" w:fill="FFFFFF"/>
          </w:tcPr>
          <w:p w14:paraId="24ECEF00" w14:textId="77777777" w:rsidR="00084F36" w:rsidRPr="00EB2BD8" w:rsidRDefault="00EB2BD8">
            <w:pPr>
              <w:pStyle w:val="TableParagraph"/>
              <w:spacing w:before="1"/>
              <w:ind w:left="106"/>
              <w:rPr>
                <w:rFonts w:ascii="Arial"/>
                <w:b/>
                <w:sz w:val="16"/>
              </w:rPr>
            </w:pPr>
            <w:r w:rsidRPr="00EB2BD8">
              <w:rPr>
                <w:rFonts w:ascii="Arial"/>
                <w:b/>
                <w:spacing w:val="-4"/>
                <w:w w:val="105"/>
                <w:sz w:val="16"/>
              </w:rPr>
              <w:t>2022</w:t>
            </w:r>
          </w:p>
        </w:tc>
        <w:tc>
          <w:tcPr>
            <w:tcW w:w="3981" w:type="dxa"/>
            <w:gridSpan w:val="3"/>
            <w:shd w:val="clear" w:color="auto" w:fill="FFFFFF"/>
          </w:tcPr>
          <w:p w14:paraId="309990D1" w14:textId="77777777" w:rsidR="00084F36" w:rsidRPr="00EB2BD8" w:rsidRDefault="00084F36">
            <w:pPr>
              <w:pStyle w:val="TableParagraph"/>
              <w:rPr>
                <w:rFonts w:ascii="Times New Roman"/>
                <w:sz w:val="16"/>
              </w:rPr>
            </w:pPr>
          </w:p>
        </w:tc>
      </w:tr>
      <w:tr w:rsidR="00EB2BD8" w:rsidRPr="00EB2BD8" w14:paraId="7332B341" w14:textId="77777777">
        <w:trPr>
          <w:trHeight w:val="308"/>
        </w:trPr>
        <w:tc>
          <w:tcPr>
            <w:tcW w:w="5230" w:type="dxa"/>
            <w:shd w:val="clear" w:color="auto" w:fill="FFFFFF"/>
          </w:tcPr>
          <w:p w14:paraId="7FA24992" w14:textId="77777777" w:rsidR="00084F36" w:rsidRPr="00EB2BD8" w:rsidRDefault="00EB2BD8">
            <w:pPr>
              <w:pStyle w:val="TableParagraph"/>
              <w:spacing w:before="58"/>
              <w:ind w:left="106"/>
              <w:rPr>
                <w:rFonts w:ascii="Arial"/>
                <w:sz w:val="16"/>
              </w:rPr>
            </w:pPr>
            <w:r w:rsidRPr="00EB2BD8">
              <w:rPr>
                <w:rFonts w:ascii="Arial"/>
                <w:w w:val="105"/>
                <w:sz w:val="16"/>
              </w:rPr>
              <w:t>Land</w:t>
            </w:r>
            <w:r w:rsidRPr="00EB2BD8">
              <w:rPr>
                <w:rFonts w:ascii="Arial"/>
                <w:spacing w:val="-6"/>
                <w:w w:val="105"/>
                <w:sz w:val="16"/>
              </w:rPr>
              <w:t xml:space="preserve"> </w:t>
            </w:r>
            <w:r w:rsidRPr="00EB2BD8">
              <w:rPr>
                <w:rFonts w:ascii="Arial"/>
                <w:w w:val="105"/>
                <w:sz w:val="16"/>
              </w:rPr>
              <w:t>at</w:t>
            </w:r>
            <w:r w:rsidRPr="00EB2BD8">
              <w:rPr>
                <w:rFonts w:ascii="Arial"/>
                <w:spacing w:val="-4"/>
                <w:w w:val="105"/>
                <w:sz w:val="16"/>
              </w:rPr>
              <w:t xml:space="preserve"> </w:t>
            </w:r>
            <w:r w:rsidRPr="00EB2BD8">
              <w:rPr>
                <w:rFonts w:ascii="Arial"/>
                <w:w w:val="105"/>
                <w:sz w:val="16"/>
              </w:rPr>
              <w:t>fair</w:t>
            </w:r>
            <w:r w:rsidRPr="00EB2BD8">
              <w:rPr>
                <w:rFonts w:ascii="Arial"/>
                <w:spacing w:val="-4"/>
                <w:w w:val="105"/>
                <w:sz w:val="16"/>
              </w:rPr>
              <w:t xml:space="preserve"> </w:t>
            </w:r>
            <w:r w:rsidRPr="00EB2BD8">
              <w:rPr>
                <w:rFonts w:ascii="Arial"/>
                <w:spacing w:val="-2"/>
                <w:w w:val="105"/>
                <w:sz w:val="16"/>
              </w:rPr>
              <w:t>value</w:t>
            </w:r>
          </w:p>
        </w:tc>
        <w:tc>
          <w:tcPr>
            <w:tcW w:w="1468" w:type="dxa"/>
            <w:shd w:val="clear" w:color="auto" w:fill="FFFFFF"/>
          </w:tcPr>
          <w:p w14:paraId="0FED67F8" w14:textId="77777777" w:rsidR="00084F36" w:rsidRPr="00EB2BD8" w:rsidRDefault="00EB2BD8">
            <w:pPr>
              <w:pStyle w:val="TableParagraph"/>
              <w:spacing w:before="58"/>
              <w:ind w:right="344"/>
              <w:jc w:val="right"/>
              <w:rPr>
                <w:rFonts w:ascii="Arial"/>
                <w:sz w:val="16"/>
              </w:rPr>
            </w:pPr>
            <w:r w:rsidRPr="00EB2BD8">
              <w:rPr>
                <w:rFonts w:ascii="Arial"/>
                <w:spacing w:val="-2"/>
                <w:w w:val="105"/>
                <w:sz w:val="16"/>
              </w:rPr>
              <w:t>1,075</w:t>
            </w:r>
          </w:p>
        </w:tc>
        <w:tc>
          <w:tcPr>
            <w:tcW w:w="1482" w:type="dxa"/>
            <w:shd w:val="clear" w:color="auto" w:fill="FFFFFF"/>
          </w:tcPr>
          <w:p w14:paraId="21BA475F" w14:textId="77777777" w:rsidR="00084F36" w:rsidRPr="00EB2BD8" w:rsidRDefault="00EB2BD8">
            <w:pPr>
              <w:pStyle w:val="TableParagraph"/>
              <w:spacing w:before="58"/>
              <w:ind w:right="511"/>
              <w:jc w:val="right"/>
              <w:rPr>
                <w:rFonts w:ascii="Arial"/>
                <w:sz w:val="16"/>
              </w:rPr>
            </w:pPr>
            <w:r w:rsidRPr="00EB2BD8">
              <w:rPr>
                <w:rFonts w:ascii="Arial"/>
                <w:w w:val="104"/>
                <w:sz w:val="16"/>
              </w:rPr>
              <w:t>-</w:t>
            </w:r>
          </w:p>
        </w:tc>
        <w:tc>
          <w:tcPr>
            <w:tcW w:w="1031" w:type="dxa"/>
            <w:shd w:val="clear" w:color="auto" w:fill="FFFFFF"/>
          </w:tcPr>
          <w:p w14:paraId="0250DCC9" w14:textId="77777777" w:rsidR="00084F36" w:rsidRPr="00EB2BD8" w:rsidRDefault="00EB2BD8">
            <w:pPr>
              <w:pStyle w:val="TableParagraph"/>
              <w:spacing w:before="58"/>
              <w:ind w:right="95"/>
              <w:jc w:val="right"/>
              <w:rPr>
                <w:rFonts w:ascii="Arial"/>
                <w:sz w:val="16"/>
              </w:rPr>
            </w:pPr>
            <w:r w:rsidRPr="00EB2BD8">
              <w:rPr>
                <w:rFonts w:ascii="Arial"/>
                <w:spacing w:val="-2"/>
                <w:w w:val="105"/>
                <w:sz w:val="16"/>
              </w:rPr>
              <w:t>1,075</w:t>
            </w:r>
          </w:p>
        </w:tc>
      </w:tr>
      <w:tr w:rsidR="00EB2BD8" w:rsidRPr="00EB2BD8" w14:paraId="7AB948F4" w14:textId="77777777">
        <w:trPr>
          <w:trHeight w:val="315"/>
        </w:trPr>
        <w:tc>
          <w:tcPr>
            <w:tcW w:w="5230" w:type="dxa"/>
            <w:shd w:val="clear" w:color="auto" w:fill="FFFFFF"/>
          </w:tcPr>
          <w:p w14:paraId="7B13B335" w14:textId="77777777" w:rsidR="00084F36" w:rsidRPr="00EB2BD8" w:rsidRDefault="00EB2BD8">
            <w:pPr>
              <w:pStyle w:val="TableParagraph"/>
              <w:spacing w:before="65"/>
              <w:ind w:left="106"/>
              <w:rPr>
                <w:rFonts w:ascii="Arial"/>
                <w:sz w:val="16"/>
              </w:rPr>
            </w:pPr>
            <w:r w:rsidRPr="00EB2BD8">
              <w:rPr>
                <w:rFonts w:ascii="Arial"/>
                <w:w w:val="105"/>
                <w:sz w:val="16"/>
              </w:rPr>
              <w:t>Buildings</w:t>
            </w:r>
            <w:r w:rsidRPr="00EB2BD8">
              <w:rPr>
                <w:rFonts w:ascii="Arial"/>
                <w:spacing w:val="-7"/>
                <w:w w:val="105"/>
                <w:sz w:val="16"/>
              </w:rPr>
              <w:t xml:space="preserve"> </w:t>
            </w:r>
            <w:r w:rsidRPr="00EB2BD8">
              <w:rPr>
                <w:rFonts w:ascii="Arial"/>
                <w:w w:val="105"/>
                <w:sz w:val="16"/>
              </w:rPr>
              <w:t>at</w:t>
            </w:r>
            <w:r w:rsidRPr="00EB2BD8">
              <w:rPr>
                <w:rFonts w:ascii="Arial"/>
                <w:spacing w:val="-6"/>
                <w:w w:val="105"/>
                <w:sz w:val="16"/>
              </w:rPr>
              <w:t xml:space="preserve"> </w:t>
            </w:r>
            <w:r w:rsidRPr="00EB2BD8">
              <w:rPr>
                <w:rFonts w:ascii="Arial"/>
                <w:w w:val="105"/>
                <w:sz w:val="16"/>
              </w:rPr>
              <w:t>fair</w:t>
            </w:r>
            <w:r w:rsidRPr="00EB2BD8">
              <w:rPr>
                <w:rFonts w:ascii="Arial"/>
                <w:spacing w:val="-6"/>
                <w:w w:val="105"/>
                <w:sz w:val="16"/>
              </w:rPr>
              <w:t xml:space="preserve"> </w:t>
            </w:r>
            <w:r w:rsidRPr="00EB2BD8">
              <w:rPr>
                <w:rFonts w:ascii="Arial"/>
                <w:spacing w:val="-2"/>
                <w:w w:val="105"/>
                <w:sz w:val="16"/>
              </w:rPr>
              <w:t>value</w:t>
            </w:r>
          </w:p>
        </w:tc>
        <w:tc>
          <w:tcPr>
            <w:tcW w:w="1468" w:type="dxa"/>
            <w:shd w:val="clear" w:color="auto" w:fill="FFFFFF"/>
          </w:tcPr>
          <w:p w14:paraId="3DCEED11" w14:textId="77777777" w:rsidR="00084F36" w:rsidRPr="00EB2BD8" w:rsidRDefault="00EB2BD8">
            <w:pPr>
              <w:pStyle w:val="TableParagraph"/>
              <w:spacing w:before="65"/>
              <w:ind w:right="344"/>
              <w:jc w:val="right"/>
              <w:rPr>
                <w:rFonts w:ascii="Arial"/>
                <w:sz w:val="16"/>
              </w:rPr>
            </w:pPr>
            <w:r w:rsidRPr="00EB2BD8">
              <w:rPr>
                <w:rFonts w:ascii="Arial"/>
                <w:spacing w:val="-5"/>
                <w:w w:val="105"/>
                <w:sz w:val="16"/>
              </w:rPr>
              <w:t>840</w:t>
            </w:r>
          </w:p>
        </w:tc>
        <w:tc>
          <w:tcPr>
            <w:tcW w:w="1482" w:type="dxa"/>
            <w:shd w:val="clear" w:color="auto" w:fill="FFFFFF"/>
          </w:tcPr>
          <w:p w14:paraId="466985E8" w14:textId="77777777" w:rsidR="00084F36" w:rsidRPr="00EB2BD8" w:rsidRDefault="00EB2BD8">
            <w:pPr>
              <w:pStyle w:val="TableParagraph"/>
              <w:spacing w:before="65"/>
              <w:ind w:right="511"/>
              <w:jc w:val="right"/>
              <w:rPr>
                <w:rFonts w:ascii="Arial"/>
                <w:sz w:val="16"/>
              </w:rPr>
            </w:pPr>
            <w:r w:rsidRPr="00EB2BD8">
              <w:rPr>
                <w:rFonts w:ascii="Arial"/>
                <w:w w:val="104"/>
                <w:sz w:val="16"/>
              </w:rPr>
              <w:t>-</w:t>
            </w:r>
          </w:p>
        </w:tc>
        <w:tc>
          <w:tcPr>
            <w:tcW w:w="1031" w:type="dxa"/>
            <w:shd w:val="clear" w:color="auto" w:fill="FFFFFF"/>
          </w:tcPr>
          <w:p w14:paraId="5943023A" w14:textId="77777777" w:rsidR="00084F36" w:rsidRPr="00EB2BD8" w:rsidRDefault="00EB2BD8">
            <w:pPr>
              <w:pStyle w:val="TableParagraph"/>
              <w:spacing w:before="65"/>
              <w:ind w:right="95"/>
              <w:jc w:val="right"/>
              <w:rPr>
                <w:rFonts w:ascii="Arial"/>
                <w:sz w:val="16"/>
              </w:rPr>
            </w:pPr>
            <w:r w:rsidRPr="00EB2BD8">
              <w:rPr>
                <w:rFonts w:ascii="Arial"/>
                <w:spacing w:val="-5"/>
                <w:w w:val="105"/>
                <w:sz w:val="16"/>
              </w:rPr>
              <w:t>840</w:t>
            </w:r>
          </w:p>
        </w:tc>
      </w:tr>
      <w:tr w:rsidR="00EB2BD8" w:rsidRPr="00EB2BD8" w14:paraId="4E6BF9A9" w14:textId="77777777">
        <w:trPr>
          <w:trHeight w:val="315"/>
        </w:trPr>
        <w:tc>
          <w:tcPr>
            <w:tcW w:w="5230" w:type="dxa"/>
            <w:shd w:val="clear" w:color="auto" w:fill="FFFFFF"/>
          </w:tcPr>
          <w:p w14:paraId="3130A956" w14:textId="77777777" w:rsidR="00084F36" w:rsidRPr="00EB2BD8" w:rsidRDefault="00EB2BD8">
            <w:pPr>
              <w:pStyle w:val="TableParagraph"/>
              <w:spacing w:before="66"/>
              <w:ind w:left="106"/>
              <w:rPr>
                <w:rFonts w:ascii="Arial"/>
                <w:sz w:val="16"/>
              </w:rPr>
            </w:pPr>
            <w:r w:rsidRPr="00EB2BD8">
              <w:rPr>
                <w:rFonts w:ascii="Arial"/>
                <w:w w:val="105"/>
                <w:sz w:val="16"/>
              </w:rPr>
              <w:t>Buildings-right-of-use</w:t>
            </w:r>
            <w:r w:rsidRPr="00EB2BD8">
              <w:rPr>
                <w:rFonts w:ascii="Arial"/>
                <w:spacing w:val="-12"/>
                <w:w w:val="105"/>
                <w:sz w:val="16"/>
              </w:rPr>
              <w:t xml:space="preserve"> </w:t>
            </w:r>
            <w:r w:rsidRPr="00EB2BD8">
              <w:rPr>
                <w:rFonts w:ascii="Arial"/>
                <w:w w:val="105"/>
                <w:sz w:val="16"/>
              </w:rPr>
              <w:t>at</w:t>
            </w:r>
            <w:r w:rsidRPr="00EB2BD8">
              <w:rPr>
                <w:rFonts w:ascii="Arial"/>
                <w:spacing w:val="-11"/>
                <w:w w:val="105"/>
                <w:sz w:val="16"/>
              </w:rPr>
              <w:t xml:space="preserve"> </w:t>
            </w:r>
            <w:r w:rsidRPr="00EB2BD8">
              <w:rPr>
                <w:rFonts w:ascii="Arial"/>
                <w:w w:val="105"/>
                <w:sz w:val="16"/>
              </w:rPr>
              <w:t>fair</w:t>
            </w:r>
            <w:r w:rsidRPr="00EB2BD8">
              <w:rPr>
                <w:rFonts w:ascii="Arial"/>
                <w:spacing w:val="-11"/>
                <w:w w:val="105"/>
                <w:sz w:val="16"/>
              </w:rPr>
              <w:t xml:space="preserve"> </w:t>
            </w:r>
            <w:r w:rsidRPr="00EB2BD8">
              <w:rPr>
                <w:rFonts w:ascii="Arial"/>
                <w:spacing w:val="-2"/>
                <w:w w:val="105"/>
                <w:sz w:val="16"/>
              </w:rPr>
              <w:t>value</w:t>
            </w:r>
          </w:p>
        </w:tc>
        <w:tc>
          <w:tcPr>
            <w:tcW w:w="1468" w:type="dxa"/>
            <w:shd w:val="clear" w:color="auto" w:fill="FFFFFF"/>
          </w:tcPr>
          <w:p w14:paraId="32DD02EA" w14:textId="77777777" w:rsidR="00084F36" w:rsidRPr="00EB2BD8" w:rsidRDefault="00EB2BD8">
            <w:pPr>
              <w:pStyle w:val="TableParagraph"/>
              <w:spacing w:before="66"/>
              <w:ind w:right="344"/>
              <w:jc w:val="right"/>
              <w:rPr>
                <w:rFonts w:ascii="Arial"/>
                <w:sz w:val="16"/>
              </w:rPr>
            </w:pPr>
            <w:r w:rsidRPr="00EB2BD8">
              <w:rPr>
                <w:rFonts w:ascii="Arial"/>
                <w:spacing w:val="-2"/>
                <w:w w:val="105"/>
                <w:sz w:val="16"/>
              </w:rPr>
              <w:t>11,921</w:t>
            </w:r>
          </w:p>
        </w:tc>
        <w:tc>
          <w:tcPr>
            <w:tcW w:w="1482" w:type="dxa"/>
            <w:shd w:val="clear" w:color="auto" w:fill="FFFFFF"/>
          </w:tcPr>
          <w:p w14:paraId="63C58719" w14:textId="77777777" w:rsidR="00084F36" w:rsidRPr="00EB2BD8" w:rsidRDefault="00EB2BD8">
            <w:pPr>
              <w:pStyle w:val="TableParagraph"/>
              <w:spacing w:before="66"/>
              <w:ind w:right="512"/>
              <w:jc w:val="right"/>
              <w:rPr>
                <w:rFonts w:ascii="Arial"/>
                <w:sz w:val="16"/>
              </w:rPr>
            </w:pPr>
            <w:r w:rsidRPr="00EB2BD8">
              <w:rPr>
                <w:rFonts w:ascii="Arial"/>
                <w:spacing w:val="-2"/>
                <w:w w:val="105"/>
                <w:sz w:val="16"/>
              </w:rPr>
              <w:t>(7,085)</w:t>
            </w:r>
          </w:p>
        </w:tc>
        <w:tc>
          <w:tcPr>
            <w:tcW w:w="1031" w:type="dxa"/>
            <w:shd w:val="clear" w:color="auto" w:fill="FFFFFF"/>
          </w:tcPr>
          <w:p w14:paraId="2BDCBDD9" w14:textId="77777777" w:rsidR="00084F36" w:rsidRPr="00EB2BD8" w:rsidRDefault="00EB2BD8">
            <w:pPr>
              <w:pStyle w:val="TableParagraph"/>
              <w:spacing w:before="66"/>
              <w:ind w:right="95"/>
              <w:jc w:val="right"/>
              <w:rPr>
                <w:rFonts w:ascii="Arial"/>
                <w:sz w:val="16"/>
              </w:rPr>
            </w:pPr>
            <w:r w:rsidRPr="00EB2BD8">
              <w:rPr>
                <w:rFonts w:ascii="Arial"/>
                <w:spacing w:val="-2"/>
                <w:w w:val="105"/>
                <w:sz w:val="16"/>
              </w:rPr>
              <w:t>4,836</w:t>
            </w:r>
          </w:p>
        </w:tc>
      </w:tr>
      <w:tr w:rsidR="00EB2BD8" w:rsidRPr="00EB2BD8" w14:paraId="4D367FBC" w14:textId="77777777">
        <w:trPr>
          <w:trHeight w:val="315"/>
        </w:trPr>
        <w:tc>
          <w:tcPr>
            <w:tcW w:w="5230" w:type="dxa"/>
            <w:shd w:val="clear" w:color="auto" w:fill="FFFFFF"/>
          </w:tcPr>
          <w:p w14:paraId="1F559B58" w14:textId="77777777" w:rsidR="00084F36" w:rsidRPr="00EB2BD8" w:rsidRDefault="00EB2BD8">
            <w:pPr>
              <w:pStyle w:val="TableParagraph"/>
              <w:spacing w:before="65"/>
              <w:ind w:left="106"/>
              <w:rPr>
                <w:rFonts w:ascii="Arial"/>
                <w:sz w:val="16"/>
              </w:rPr>
            </w:pPr>
            <w:r w:rsidRPr="00EB2BD8">
              <w:rPr>
                <w:rFonts w:ascii="Arial"/>
                <w:w w:val="105"/>
                <w:sz w:val="16"/>
              </w:rPr>
              <w:t>Plant,</w:t>
            </w:r>
            <w:r w:rsidRPr="00EB2BD8">
              <w:rPr>
                <w:rFonts w:ascii="Arial"/>
                <w:spacing w:val="-7"/>
                <w:w w:val="105"/>
                <w:sz w:val="16"/>
              </w:rPr>
              <w:t xml:space="preserve"> </w:t>
            </w:r>
            <w:r w:rsidRPr="00EB2BD8">
              <w:rPr>
                <w:rFonts w:ascii="Arial"/>
                <w:w w:val="105"/>
                <w:sz w:val="16"/>
              </w:rPr>
              <w:t>equipment</w:t>
            </w:r>
            <w:r w:rsidRPr="00EB2BD8">
              <w:rPr>
                <w:rFonts w:ascii="Arial"/>
                <w:spacing w:val="-7"/>
                <w:w w:val="105"/>
                <w:sz w:val="16"/>
              </w:rPr>
              <w:t xml:space="preserve"> </w:t>
            </w:r>
            <w:r w:rsidRPr="00EB2BD8">
              <w:rPr>
                <w:rFonts w:ascii="Arial"/>
                <w:w w:val="105"/>
                <w:sz w:val="16"/>
              </w:rPr>
              <w:t>and</w:t>
            </w:r>
            <w:r w:rsidRPr="00EB2BD8">
              <w:rPr>
                <w:rFonts w:ascii="Arial"/>
                <w:spacing w:val="-8"/>
                <w:w w:val="105"/>
                <w:sz w:val="16"/>
              </w:rPr>
              <w:t xml:space="preserve"> </w:t>
            </w:r>
            <w:r w:rsidRPr="00EB2BD8">
              <w:rPr>
                <w:rFonts w:ascii="Arial"/>
                <w:w w:val="105"/>
                <w:sz w:val="16"/>
              </w:rPr>
              <w:t>motor</w:t>
            </w:r>
            <w:r w:rsidRPr="00EB2BD8">
              <w:rPr>
                <w:rFonts w:ascii="Arial"/>
                <w:spacing w:val="-6"/>
                <w:w w:val="105"/>
                <w:sz w:val="16"/>
              </w:rPr>
              <w:t xml:space="preserve"> </w:t>
            </w:r>
            <w:r w:rsidRPr="00EB2BD8">
              <w:rPr>
                <w:rFonts w:ascii="Arial"/>
                <w:w w:val="105"/>
                <w:sz w:val="16"/>
              </w:rPr>
              <w:t>vehicles</w:t>
            </w:r>
            <w:r w:rsidRPr="00EB2BD8">
              <w:rPr>
                <w:rFonts w:ascii="Arial"/>
                <w:spacing w:val="-7"/>
                <w:w w:val="105"/>
                <w:sz w:val="16"/>
              </w:rPr>
              <w:t xml:space="preserve"> </w:t>
            </w:r>
            <w:r w:rsidRPr="00EB2BD8">
              <w:rPr>
                <w:rFonts w:ascii="Arial"/>
                <w:w w:val="105"/>
                <w:sz w:val="16"/>
              </w:rPr>
              <w:t>at</w:t>
            </w:r>
            <w:r w:rsidRPr="00EB2BD8">
              <w:rPr>
                <w:rFonts w:ascii="Arial"/>
                <w:spacing w:val="-7"/>
                <w:w w:val="105"/>
                <w:sz w:val="16"/>
              </w:rPr>
              <w:t xml:space="preserve"> </w:t>
            </w:r>
            <w:r w:rsidRPr="00EB2BD8">
              <w:rPr>
                <w:rFonts w:ascii="Arial"/>
                <w:w w:val="105"/>
                <w:sz w:val="16"/>
              </w:rPr>
              <w:t>fair</w:t>
            </w:r>
            <w:r w:rsidRPr="00EB2BD8">
              <w:rPr>
                <w:rFonts w:ascii="Arial"/>
                <w:spacing w:val="-7"/>
                <w:w w:val="105"/>
                <w:sz w:val="16"/>
              </w:rPr>
              <w:t xml:space="preserve"> </w:t>
            </w:r>
            <w:r w:rsidRPr="00EB2BD8">
              <w:rPr>
                <w:rFonts w:ascii="Arial"/>
                <w:spacing w:val="-2"/>
                <w:w w:val="105"/>
                <w:sz w:val="16"/>
              </w:rPr>
              <w:t>value</w:t>
            </w:r>
          </w:p>
        </w:tc>
        <w:tc>
          <w:tcPr>
            <w:tcW w:w="1468" w:type="dxa"/>
            <w:shd w:val="clear" w:color="auto" w:fill="FFFFFF"/>
          </w:tcPr>
          <w:p w14:paraId="3235355E" w14:textId="77777777" w:rsidR="00084F36" w:rsidRPr="00EB2BD8" w:rsidRDefault="00EB2BD8">
            <w:pPr>
              <w:pStyle w:val="TableParagraph"/>
              <w:spacing w:before="65"/>
              <w:ind w:right="344"/>
              <w:jc w:val="right"/>
              <w:rPr>
                <w:rFonts w:ascii="Arial"/>
                <w:sz w:val="16"/>
              </w:rPr>
            </w:pPr>
            <w:r w:rsidRPr="00EB2BD8">
              <w:rPr>
                <w:rFonts w:ascii="Arial"/>
                <w:spacing w:val="-2"/>
                <w:w w:val="105"/>
                <w:sz w:val="16"/>
              </w:rPr>
              <w:t>7,522</w:t>
            </w:r>
          </w:p>
        </w:tc>
        <w:tc>
          <w:tcPr>
            <w:tcW w:w="1482" w:type="dxa"/>
            <w:shd w:val="clear" w:color="auto" w:fill="FFFFFF"/>
          </w:tcPr>
          <w:p w14:paraId="3E4D2C0B" w14:textId="77777777" w:rsidR="00084F36" w:rsidRPr="00EB2BD8" w:rsidRDefault="00EB2BD8">
            <w:pPr>
              <w:pStyle w:val="TableParagraph"/>
              <w:spacing w:before="65"/>
              <w:ind w:right="512"/>
              <w:jc w:val="right"/>
              <w:rPr>
                <w:rFonts w:ascii="Arial"/>
                <w:sz w:val="16"/>
              </w:rPr>
            </w:pPr>
            <w:r w:rsidRPr="00EB2BD8">
              <w:rPr>
                <w:rFonts w:ascii="Arial"/>
                <w:spacing w:val="-2"/>
                <w:w w:val="105"/>
                <w:sz w:val="16"/>
              </w:rPr>
              <w:t>(6,179)</w:t>
            </w:r>
          </w:p>
        </w:tc>
        <w:tc>
          <w:tcPr>
            <w:tcW w:w="1031" w:type="dxa"/>
            <w:shd w:val="clear" w:color="auto" w:fill="FFFFFF"/>
          </w:tcPr>
          <w:p w14:paraId="319F741E" w14:textId="77777777" w:rsidR="00084F36" w:rsidRPr="00EB2BD8" w:rsidRDefault="00EB2BD8">
            <w:pPr>
              <w:pStyle w:val="TableParagraph"/>
              <w:spacing w:before="65"/>
              <w:ind w:right="95"/>
              <w:jc w:val="right"/>
              <w:rPr>
                <w:rFonts w:ascii="Arial"/>
                <w:sz w:val="16"/>
              </w:rPr>
            </w:pPr>
            <w:r w:rsidRPr="00EB2BD8">
              <w:rPr>
                <w:rFonts w:ascii="Arial"/>
                <w:spacing w:val="-2"/>
                <w:w w:val="105"/>
                <w:sz w:val="16"/>
              </w:rPr>
              <w:t>1,343</w:t>
            </w:r>
          </w:p>
        </w:tc>
      </w:tr>
      <w:tr w:rsidR="00EB2BD8" w:rsidRPr="00EB2BD8" w14:paraId="71D8B03B" w14:textId="77777777">
        <w:trPr>
          <w:trHeight w:val="312"/>
        </w:trPr>
        <w:tc>
          <w:tcPr>
            <w:tcW w:w="5230" w:type="dxa"/>
            <w:tcBorders>
              <w:bottom w:val="single" w:sz="12" w:space="0" w:color="000000"/>
            </w:tcBorders>
            <w:shd w:val="clear" w:color="auto" w:fill="FFFFFF"/>
          </w:tcPr>
          <w:p w14:paraId="3ECF2B29" w14:textId="77777777" w:rsidR="00084F36" w:rsidRPr="00EB2BD8" w:rsidRDefault="00EB2BD8">
            <w:pPr>
              <w:pStyle w:val="TableParagraph"/>
              <w:spacing w:before="65"/>
              <w:ind w:left="106"/>
              <w:rPr>
                <w:rFonts w:ascii="Arial"/>
                <w:sz w:val="16"/>
              </w:rPr>
            </w:pPr>
            <w:r w:rsidRPr="00EB2BD8">
              <w:rPr>
                <w:rFonts w:ascii="Arial"/>
                <w:w w:val="105"/>
                <w:sz w:val="16"/>
              </w:rPr>
              <w:t>Plant,</w:t>
            </w:r>
            <w:r w:rsidRPr="00EB2BD8">
              <w:rPr>
                <w:rFonts w:ascii="Arial"/>
                <w:spacing w:val="-9"/>
                <w:w w:val="105"/>
                <w:sz w:val="16"/>
              </w:rPr>
              <w:t xml:space="preserve"> </w:t>
            </w:r>
            <w:r w:rsidRPr="00EB2BD8">
              <w:rPr>
                <w:rFonts w:ascii="Arial"/>
                <w:w w:val="105"/>
                <w:sz w:val="16"/>
              </w:rPr>
              <w:t>equipment</w:t>
            </w:r>
            <w:r w:rsidRPr="00EB2BD8">
              <w:rPr>
                <w:rFonts w:ascii="Arial"/>
                <w:spacing w:val="-8"/>
                <w:w w:val="105"/>
                <w:sz w:val="16"/>
              </w:rPr>
              <w:t xml:space="preserve"> </w:t>
            </w:r>
            <w:r w:rsidRPr="00EB2BD8">
              <w:rPr>
                <w:rFonts w:ascii="Arial"/>
                <w:w w:val="105"/>
                <w:sz w:val="16"/>
              </w:rPr>
              <w:t>and</w:t>
            </w:r>
            <w:r w:rsidRPr="00EB2BD8">
              <w:rPr>
                <w:rFonts w:ascii="Arial"/>
                <w:spacing w:val="-10"/>
                <w:w w:val="105"/>
                <w:sz w:val="16"/>
              </w:rPr>
              <w:t xml:space="preserve"> </w:t>
            </w:r>
            <w:r w:rsidRPr="00EB2BD8">
              <w:rPr>
                <w:rFonts w:ascii="Arial"/>
                <w:w w:val="105"/>
                <w:sz w:val="16"/>
              </w:rPr>
              <w:t>motor</w:t>
            </w:r>
            <w:r w:rsidRPr="00EB2BD8">
              <w:rPr>
                <w:rFonts w:ascii="Arial"/>
                <w:spacing w:val="-8"/>
                <w:w w:val="105"/>
                <w:sz w:val="16"/>
              </w:rPr>
              <w:t xml:space="preserve"> </w:t>
            </w:r>
            <w:r w:rsidRPr="00EB2BD8">
              <w:rPr>
                <w:rFonts w:ascii="Arial"/>
                <w:w w:val="105"/>
                <w:sz w:val="16"/>
              </w:rPr>
              <w:t>vehicles-right-of-use</w:t>
            </w:r>
            <w:r w:rsidRPr="00EB2BD8">
              <w:rPr>
                <w:rFonts w:ascii="Arial"/>
                <w:spacing w:val="-9"/>
                <w:w w:val="105"/>
                <w:sz w:val="16"/>
              </w:rPr>
              <w:t xml:space="preserve"> </w:t>
            </w:r>
            <w:r w:rsidRPr="00EB2BD8">
              <w:rPr>
                <w:rFonts w:ascii="Arial"/>
                <w:w w:val="105"/>
                <w:sz w:val="16"/>
              </w:rPr>
              <w:t>at</w:t>
            </w:r>
            <w:r w:rsidRPr="00EB2BD8">
              <w:rPr>
                <w:rFonts w:ascii="Arial"/>
                <w:spacing w:val="-9"/>
                <w:w w:val="105"/>
                <w:sz w:val="16"/>
              </w:rPr>
              <w:t xml:space="preserve"> </w:t>
            </w:r>
            <w:r w:rsidRPr="00EB2BD8">
              <w:rPr>
                <w:rFonts w:ascii="Arial"/>
                <w:w w:val="105"/>
                <w:sz w:val="16"/>
              </w:rPr>
              <w:t>fair</w:t>
            </w:r>
            <w:r w:rsidRPr="00EB2BD8">
              <w:rPr>
                <w:rFonts w:ascii="Arial"/>
                <w:spacing w:val="-8"/>
                <w:w w:val="105"/>
                <w:sz w:val="16"/>
              </w:rPr>
              <w:t xml:space="preserve"> </w:t>
            </w:r>
            <w:r w:rsidRPr="00EB2BD8">
              <w:rPr>
                <w:rFonts w:ascii="Arial"/>
                <w:spacing w:val="-2"/>
                <w:w w:val="105"/>
                <w:sz w:val="16"/>
              </w:rPr>
              <w:t>value</w:t>
            </w:r>
          </w:p>
        </w:tc>
        <w:tc>
          <w:tcPr>
            <w:tcW w:w="1468" w:type="dxa"/>
            <w:tcBorders>
              <w:bottom w:val="single" w:sz="12" w:space="0" w:color="000000"/>
            </w:tcBorders>
            <w:shd w:val="clear" w:color="auto" w:fill="FFFFFF"/>
          </w:tcPr>
          <w:p w14:paraId="2CB791E5" w14:textId="77777777" w:rsidR="00084F36" w:rsidRPr="00EB2BD8" w:rsidRDefault="00EB2BD8">
            <w:pPr>
              <w:pStyle w:val="TableParagraph"/>
              <w:spacing w:before="65"/>
              <w:ind w:right="344"/>
              <w:jc w:val="right"/>
              <w:rPr>
                <w:rFonts w:ascii="Arial"/>
                <w:sz w:val="16"/>
              </w:rPr>
            </w:pPr>
            <w:r w:rsidRPr="00EB2BD8">
              <w:rPr>
                <w:rFonts w:ascii="Arial"/>
                <w:spacing w:val="-2"/>
                <w:w w:val="105"/>
                <w:sz w:val="16"/>
              </w:rPr>
              <w:t>1,382</w:t>
            </w:r>
          </w:p>
        </w:tc>
        <w:tc>
          <w:tcPr>
            <w:tcW w:w="1482" w:type="dxa"/>
            <w:tcBorders>
              <w:bottom w:val="single" w:sz="12" w:space="0" w:color="000000"/>
            </w:tcBorders>
            <w:shd w:val="clear" w:color="auto" w:fill="FFFFFF"/>
          </w:tcPr>
          <w:p w14:paraId="1964DB68" w14:textId="77777777" w:rsidR="00084F36" w:rsidRPr="00EB2BD8" w:rsidRDefault="00EB2BD8">
            <w:pPr>
              <w:pStyle w:val="TableParagraph"/>
              <w:spacing w:before="65"/>
              <w:ind w:right="511"/>
              <w:jc w:val="right"/>
              <w:rPr>
                <w:rFonts w:ascii="Arial"/>
                <w:sz w:val="16"/>
              </w:rPr>
            </w:pPr>
            <w:r w:rsidRPr="00EB2BD8">
              <w:rPr>
                <w:rFonts w:ascii="Arial"/>
                <w:spacing w:val="-2"/>
                <w:w w:val="105"/>
                <w:sz w:val="16"/>
              </w:rPr>
              <w:t>(316)</w:t>
            </w:r>
          </w:p>
        </w:tc>
        <w:tc>
          <w:tcPr>
            <w:tcW w:w="1031" w:type="dxa"/>
            <w:tcBorders>
              <w:bottom w:val="single" w:sz="12" w:space="0" w:color="000000"/>
            </w:tcBorders>
            <w:shd w:val="clear" w:color="auto" w:fill="FFFFFF"/>
          </w:tcPr>
          <w:p w14:paraId="4D41D6C2" w14:textId="77777777" w:rsidR="00084F36" w:rsidRPr="00EB2BD8" w:rsidRDefault="00EB2BD8">
            <w:pPr>
              <w:pStyle w:val="TableParagraph"/>
              <w:spacing w:before="65"/>
              <w:ind w:right="95"/>
              <w:jc w:val="right"/>
              <w:rPr>
                <w:rFonts w:ascii="Arial"/>
                <w:sz w:val="16"/>
              </w:rPr>
            </w:pPr>
            <w:r w:rsidRPr="00EB2BD8">
              <w:rPr>
                <w:rFonts w:ascii="Arial"/>
                <w:spacing w:val="-2"/>
                <w:w w:val="105"/>
                <w:sz w:val="16"/>
              </w:rPr>
              <w:t>1,066</w:t>
            </w:r>
          </w:p>
        </w:tc>
      </w:tr>
      <w:tr w:rsidR="00EB2BD8" w:rsidRPr="00EB2BD8" w14:paraId="0EEE13CF" w14:textId="77777777">
        <w:trPr>
          <w:trHeight w:val="285"/>
        </w:trPr>
        <w:tc>
          <w:tcPr>
            <w:tcW w:w="5230" w:type="dxa"/>
            <w:tcBorders>
              <w:top w:val="single" w:sz="12" w:space="0" w:color="000000"/>
              <w:bottom w:val="single" w:sz="12" w:space="0" w:color="000000"/>
            </w:tcBorders>
            <w:shd w:val="clear" w:color="auto" w:fill="FFFFFF"/>
          </w:tcPr>
          <w:p w14:paraId="20EDCCE2" w14:textId="77777777" w:rsidR="00084F36" w:rsidRPr="00EB2BD8" w:rsidRDefault="00EB2BD8">
            <w:pPr>
              <w:pStyle w:val="TableParagraph"/>
              <w:spacing w:before="52"/>
              <w:ind w:left="106"/>
              <w:rPr>
                <w:rFonts w:ascii="Arial"/>
                <w:b/>
                <w:sz w:val="16"/>
              </w:rPr>
            </w:pPr>
            <w:r w:rsidRPr="00EB2BD8">
              <w:rPr>
                <w:rFonts w:ascii="Arial"/>
                <w:b/>
                <w:w w:val="105"/>
                <w:sz w:val="16"/>
              </w:rPr>
              <w:t>Net</w:t>
            </w:r>
            <w:r w:rsidRPr="00EB2BD8">
              <w:rPr>
                <w:rFonts w:ascii="Arial"/>
                <w:b/>
                <w:spacing w:val="-8"/>
                <w:w w:val="105"/>
                <w:sz w:val="16"/>
              </w:rPr>
              <w:t xml:space="preserve"> </w:t>
            </w:r>
            <w:r w:rsidRPr="00EB2BD8">
              <w:rPr>
                <w:rFonts w:ascii="Arial"/>
                <w:b/>
                <w:w w:val="105"/>
                <w:sz w:val="16"/>
              </w:rPr>
              <w:t>carrying</w:t>
            </w:r>
            <w:r w:rsidRPr="00EB2BD8">
              <w:rPr>
                <w:rFonts w:ascii="Arial"/>
                <w:b/>
                <w:spacing w:val="-8"/>
                <w:w w:val="105"/>
                <w:sz w:val="16"/>
              </w:rPr>
              <w:t xml:space="preserve"> </w:t>
            </w:r>
            <w:r w:rsidRPr="00EB2BD8">
              <w:rPr>
                <w:rFonts w:ascii="Arial"/>
                <w:b/>
                <w:spacing w:val="-2"/>
                <w:w w:val="105"/>
                <w:sz w:val="16"/>
              </w:rPr>
              <w:t>amount</w:t>
            </w:r>
          </w:p>
        </w:tc>
        <w:tc>
          <w:tcPr>
            <w:tcW w:w="1468" w:type="dxa"/>
            <w:tcBorders>
              <w:top w:val="single" w:sz="12" w:space="0" w:color="000000"/>
              <w:bottom w:val="single" w:sz="12" w:space="0" w:color="000000"/>
            </w:tcBorders>
            <w:shd w:val="clear" w:color="auto" w:fill="FFFFFF"/>
          </w:tcPr>
          <w:p w14:paraId="5DD9C0E8" w14:textId="77777777" w:rsidR="00084F36" w:rsidRPr="00EB2BD8" w:rsidRDefault="00EB2BD8">
            <w:pPr>
              <w:pStyle w:val="TableParagraph"/>
              <w:spacing w:before="52"/>
              <w:ind w:right="343"/>
              <w:jc w:val="right"/>
              <w:rPr>
                <w:rFonts w:ascii="Arial"/>
                <w:b/>
                <w:sz w:val="16"/>
              </w:rPr>
            </w:pPr>
            <w:r w:rsidRPr="00EB2BD8">
              <w:rPr>
                <w:rFonts w:ascii="Arial"/>
                <w:b/>
                <w:spacing w:val="-2"/>
                <w:w w:val="105"/>
                <w:sz w:val="16"/>
              </w:rPr>
              <w:t>22,740</w:t>
            </w:r>
          </w:p>
        </w:tc>
        <w:tc>
          <w:tcPr>
            <w:tcW w:w="1482" w:type="dxa"/>
            <w:tcBorders>
              <w:top w:val="single" w:sz="12" w:space="0" w:color="000000"/>
              <w:bottom w:val="single" w:sz="12" w:space="0" w:color="000000"/>
            </w:tcBorders>
            <w:shd w:val="clear" w:color="auto" w:fill="FFFFFF"/>
          </w:tcPr>
          <w:p w14:paraId="05CA7713" w14:textId="77777777" w:rsidR="00084F36" w:rsidRPr="00EB2BD8" w:rsidRDefault="00EB2BD8">
            <w:pPr>
              <w:pStyle w:val="TableParagraph"/>
              <w:spacing w:before="52"/>
              <w:ind w:right="512"/>
              <w:jc w:val="right"/>
              <w:rPr>
                <w:rFonts w:ascii="Arial"/>
                <w:b/>
                <w:sz w:val="16"/>
              </w:rPr>
            </w:pPr>
            <w:r w:rsidRPr="00EB2BD8">
              <w:rPr>
                <w:rFonts w:ascii="Arial"/>
                <w:b/>
                <w:spacing w:val="-2"/>
                <w:w w:val="105"/>
                <w:sz w:val="16"/>
              </w:rPr>
              <w:t>(13,580)</w:t>
            </w:r>
          </w:p>
        </w:tc>
        <w:tc>
          <w:tcPr>
            <w:tcW w:w="1031" w:type="dxa"/>
            <w:tcBorders>
              <w:top w:val="single" w:sz="12" w:space="0" w:color="000000"/>
              <w:bottom w:val="single" w:sz="12" w:space="0" w:color="000000"/>
            </w:tcBorders>
            <w:shd w:val="clear" w:color="auto" w:fill="FFFFFF"/>
          </w:tcPr>
          <w:p w14:paraId="4346D1DE" w14:textId="77777777" w:rsidR="00084F36" w:rsidRPr="00EB2BD8" w:rsidRDefault="00EB2BD8">
            <w:pPr>
              <w:pStyle w:val="TableParagraph"/>
              <w:spacing w:before="52"/>
              <w:ind w:right="96"/>
              <w:jc w:val="right"/>
              <w:rPr>
                <w:rFonts w:ascii="Arial"/>
                <w:b/>
                <w:sz w:val="16"/>
              </w:rPr>
            </w:pPr>
            <w:r w:rsidRPr="00EB2BD8">
              <w:rPr>
                <w:rFonts w:ascii="Arial"/>
                <w:b/>
                <w:spacing w:val="-2"/>
                <w:w w:val="105"/>
                <w:sz w:val="16"/>
              </w:rPr>
              <w:t>9,160</w:t>
            </w:r>
          </w:p>
        </w:tc>
      </w:tr>
    </w:tbl>
    <w:p w14:paraId="5E7A9DBA" w14:textId="77777777" w:rsidR="00084F36" w:rsidRPr="00EB2BD8" w:rsidRDefault="00084F36">
      <w:pPr>
        <w:pStyle w:val="BodyText"/>
        <w:rPr>
          <w:rFonts w:ascii="Arial"/>
        </w:rPr>
      </w:pPr>
    </w:p>
    <w:p w14:paraId="2101C4E2" w14:textId="77777777" w:rsidR="00084F36" w:rsidRPr="00EB2BD8" w:rsidRDefault="00084F36">
      <w:pPr>
        <w:pStyle w:val="BodyText"/>
        <w:rPr>
          <w:rFonts w:ascii="Arial"/>
        </w:rPr>
      </w:pPr>
    </w:p>
    <w:p w14:paraId="5BEAE38C" w14:textId="77777777" w:rsidR="00084F36" w:rsidRPr="00EB2BD8" w:rsidRDefault="00084F36">
      <w:pPr>
        <w:pStyle w:val="BodyText"/>
        <w:rPr>
          <w:rFonts w:ascii="Arial"/>
        </w:rPr>
      </w:pPr>
    </w:p>
    <w:p w14:paraId="5D285CB5" w14:textId="77777777" w:rsidR="00084F36" w:rsidRPr="00EB2BD8" w:rsidRDefault="00084F36">
      <w:pPr>
        <w:pStyle w:val="BodyText"/>
        <w:rPr>
          <w:rFonts w:ascii="Arial"/>
        </w:rPr>
      </w:pPr>
    </w:p>
    <w:p w14:paraId="70796657" w14:textId="77777777" w:rsidR="00084F36" w:rsidRPr="00EB2BD8" w:rsidRDefault="00084F36">
      <w:pPr>
        <w:pStyle w:val="BodyText"/>
        <w:rPr>
          <w:rFonts w:ascii="Arial"/>
        </w:rPr>
      </w:pPr>
    </w:p>
    <w:p w14:paraId="7C580898" w14:textId="77777777" w:rsidR="00084F36" w:rsidRPr="00EB2BD8" w:rsidRDefault="00084F36">
      <w:pPr>
        <w:pStyle w:val="BodyText"/>
        <w:rPr>
          <w:rFonts w:ascii="Arial"/>
        </w:rPr>
      </w:pPr>
    </w:p>
    <w:p w14:paraId="584EAC20" w14:textId="77777777" w:rsidR="00084F36" w:rsidRPr="00EB2BD8" w:rsidRDefault="00084F36">
      <w:pPr>
        <w:pStyle w:val="BodyText"/>
        <w:rPr>
          <w:rFonts w:ascii="Arial"/>
        </w:rPr>
      </w:pPr>
    </w:p>
    <w:p w14:paraId="5D2E19AC" w14:textId="77777777" w:rsidR="00084F36" w:rsidRPr="00EB2BD8" w:rsidRDefault="00084F36">
      <w:pPr>
        <w:pStyle w:val="BodyText"/>
        <w:rPr>
          <w:rFonts w:ascii="Arial"/>
        </w:rPr>
      </w:pPr>
    </w:p>
    <w:p w14:paraId="4C9BB15A" w14:textId="77777777" w:rsidR="00084F36" w:rsidRPr="00EB2BD8" w:rsidRDefault="00084F36">
      <w:pPr>
        <w:pStyle w:val="BodyText"/>
        <w:rPr>
          <w:rFonts w:ascii="Arial"/>
        </w:rPr>
      </w:pPr>
    </w:p>
    <w:p w14:paraId="0BEFA9AF" w14:textId="77777777" w:rsidR="00084F36" w:rsidRPr="00EB2BD8" w:rsidRDefault="00084F36">
      <w:pPr>
        <w:pStyle w:val="BodyText"/>
        <w:rPr>
          <w:rFonts w:ascii="Arial"/>
        </w:rPr>
      </w:pPr>
    </w:p>
    <w:p w14:paraId="044D45D7" w14:textId="77777777" w:rsidR="00084F36" w:rsidRPr="00EB2BD8" w:rsidRDefault="00084F36">
      <w:pPr>
        <w:pStyle w:val="BodyText"/>
        <w:rPr>
          <w:rFonts w:ascii="Arial"/>
        </w:rPr>
      </w:pPr>
    </w:p>
    <w:p w14:paraId="237D037A" w14:textId="77777777" w:rsidR="00084F36" w:rsidRPr="00EB2BD8" w:rsidRDefault="00084F36">
      <w:pPr>
        <w:pStyle w:val="BodyText"/>
        <w:rPr>
          <w:rFonts w:ascii="Arial"/>
        </w:rPr>
      </w:pPr>
    </w:p>
    <w:p w14:paraId="0DFB25E8" w14:textId="77777777" w:rsidR="00084F36" w:rsidRPr="00EB2BD8" w:rsidRDefault="00084F36">
      <w:pPr>
        <w:pStyle w:val="BodyText"/>
        <w:rPr>
          <w:rFonts w:ascii="Arial"/>
        </w:rPr>
      </w:pPr>
    </w:p>
    <w:p w14:paraId="76E9ECCD" w14:textId="77777777" w:rsidR="00084F36" w:rsidRPr="00EB2BD8" w:rsidRDefault="00084F36">
      <w:pPr>
        <w:pStyle w:val="BodyText"/>
        <w:rPr>
          <w:rFonts w:ascii="Arial"/>
        </w:rPr>
      </w:pPr>
    </w:p>
    <w:p w14:paraId="072E652B" w14:textId="77777777" w:rsidR="00084F36" w:rsidRPr="00EB2BD8" w:rsidRDefault="00084F36">
      <w:pPr>
        <w:pStyle w:val="BodyText"/>
        <w:rPr>
          <w:rFonts w:ascii="Arial"/>
        </w:rPr>
      </w:pPr>
    </w:p>
    <w:p w14:paraId="19EBDD4B" w14:textId="77777777" w:rsidR="00084F36" w:rsidRPr="00EB2BD8" w:rsidRDefault="00084F36">
      <w:pPr>
        <w:pStyle w:val="BodyText"/>
        <w:rPr>
          <w:rFonts w:ascii="Arial"/>
        </w:rPr>
      </w:pPr>
    </w:p>
    <w:p w14:paraId="08954258" w14:textId="77777777" w:rsidR="00084F36" w:rsidRPr="00EB2BD8" w:rsidRDefault="00084F36">
      <w:pPr>
        <w:pStyle w:val="BodyText"/>
        <w:rPr>
          <w:rFonts w:ascii="Arial"/>
        </w:rPr>
      </w:pPr>
    </w:p>
    <w:p w14:paraId="7645058D" w14:textId="28B33325" w:rsidR="00084F36" w:rsidRPr="00EB2BD8" w:rsidRDefault="00273892" w:rsidP="00273892">
      <w:pPr>
        <w:tabs>
          <w:tab w:val="left" w:pos="1906"/>
        </w:tabs>
        <w:rPr>
          <w:b/>
          <w:sz w:val="16"/>
        </w:rPr>
      </w:pPr>
      <w:r>
        <w:rPr>
          <w:spacing w:val="-5"/>
          <w:sz w:val="16"/>
        </w:rPr>
        <w:t xml:space="preserve">             </w:t>
      </w:r>
      <w:r w:rsidR="00EB2BD8" w:rsidRPr="00EB2BD8">
        <w:rPr>
          <w:sz w:val="16"/>
        </w:rPr>
        <w:tab/>
      </w:r>
    </w:p>
    <w:p w14:paraId="50F2EB88" w14:textId="77777777" w:rsidR="00084F36" w:rsidRPr="00EB2BD8" w:rsidRDefault="00084F36">
      <w:pPr>
        <w:rPr>
          <w:sz w:val="16"/>
        </w:rPr>
        <w:sectPr w:rsidR="00084F36" w:rsidRPr="00EB2BD8" w:rsidSect="006D75B2">
          <w:headerReference w:type="even" r:id="rId289"/>
          <w:footerReference w:type="even" r:id="rId290"/>
          <w:footerReference w:type="default" r:id="rId291"/>
          <w:pgSz w:w="11910" w:h="16840"/>
          <w:pgMar w:top="780" w:right="0" w:bottom="280" w:left="0" w:header="0" w:footer="0" w:gutter="0"/>
          <w:cols w:space="720"/>
        </w:sectPr>
      </w:pPr>
    </w:p>
    <w:p w14:paraId="20972F63" w14:textId="7EEB3DCC" w:rsidR="00084F36" w:rsidRPr="00EB2BD8" w:rsidRDefault="00084F36">
      <w:pPr>
        <w:pStyle w:val="BodyText"/>
        <w:rPr>
          <w:sz w:val="20"/>
        </w:rPr>
      </w:pPr>
    </w:p>
    <w:p w14:paraId="6301B6F7" w14:textId="0DA26773" w:rsidR="00084F36" w:rsidRPr="00EB2BD8" w:rsidRDefault="00084F36">
      <w:pPr>
        <w:pStyle w:val="BodyText"/>
        <w:rPr>
          <w:sz w:val="20"/>
        </w:rPr>
      </w:pPr>
    </w:p>
    <w:p w14:paraId="53D4FEF1" w14:textId="6284680F" w:rsidR="00084F36" w:rsidRPr="00EB2BD8" w:rsidRDefault="00084F36">
      <w:pPr>
        <w:pStyle w:val="BodyText"/>
        <w:rPr>
          <w:sz w:val="20"/>
        </w:rPr>
      </w:pPr>
    </w:p>
    <w:p w14:paraId="2D453BE5" w14:textId="16C95A62" w:rsidR="00084F36" w:rsidRPr="00EB2BD8" w:rsidRDefault="00084F36">
      <w:pPr>
        <w:pStyle w:val="BodyText"/>
        <w:rPr>
          <w:sz w:val="20"/>
        </w:rPr>
      </w:pPr>
    </w:p>
    <w:p w14:paraId="54177996" w14:textId="77777777" w:rsidR="00084F36" w:rsidRPr="00EB2BD8" w:rsidRDefault="00084F36">
      <w:pPr>
        <w:pStyle w:val="BodyText"/>
        <w:rPr>
          <w:sz w:val="20"/>
        </w:rPr>
      </w:pPr>
    </w:p>
    <w:p w14:paraId="23A04E94" w14:textId="77777777" w:rsidR="00084F36" w:rsidRPr="00EB2BD8" w:rsidRDefault="00084F36">
      <w:pPr>
        <w:pStyle w:val="BodyText"/>
        <w:spacing w:before="6"/>
        <w:rPr>
          <w:sz w:val="20"/>
        </w:rPr>
      </w:pPr>
    </w:p>
    <w:p w14:paraId="57F34A7F" w14:textId="78A9FEB1" w:rsidR="00084F36" w:rsidRPr="00273892" w:rsidRDefault="00273892" w:rsidP="00273892">
      <w:pPr>
        <w:pStyle w:val="Heading2"/>
        <w:ind w:left="1058"/>
      </w:pPr>
      <w:bookmarkStart w:id="286" w:name="_Toc150762588"/>
      <w:r w:rsidRPr="00273892">
        <w:t xml:space="preserve">4.1.1 </w:t>
      </w:r>
      <w:r w:rsidR="00EB2BD8" w:rsidRPr="00273892">
        <w:t xml:space="preserve">Total right-of-use assets: buildings, plant, </w:t>
      </w:r>
      <w:r w:rsidRPr="00273892">
        <w:br/>
      </w:r>
      <w:r w:rsidR="00EB2BD8" w:rsidRPr="00273892">
        <w:t>equipment and vehicles</w:t>
      </w:r>
      <w:bookmarkEnd w:id="286"/>
    </w:p>
    <w:p w14:paraId="2B7DD5F6" w14:textId="77777777" w:rsidR="00084F36" w:rsidRPr="00EB2BD8" w:rsidRDefault="00084F36">
      <w:pPr>
        <w:pStyle w:val="BodyText"/>
        <w:spacing w:before="11"/>
        <w:rPr>
          <w:rFonts w:ascii="Arial"/>
          <w:b/>
          <w:sz w:val="32"/>
        </w:rPr>
      </w:pPr>
    </w:p>
    <w:p w14:paraId="15860075" w14:textId="77777777" w:rsidR="00084F36" w:rsidRPr="00EB2BD8" w:rsidRDefault="00EB2BD8">
      <w:pPr>
        <w:ind w:left="1058"/>
        <w:rPr>
          <w:rFonts w:ascii="Arial"/>
          <w:sz w:val="16"/>
        </w:rPr>
      </w:pPr>
      <w:r w:rsidRPr="00EB2BD8">
        <w:rPr>
          <w:rFonts w:ascii="Arial"/>
          <w:sz w:val="16"/>
        </w:rPr>
        <w:t>The</w:t>
      </w:r>
      <w:r w:rsidRPr="00EB2BD8">
        <w:rPr>
          <w:rFonts w:ascii="Arial"/>
          <w:spacing w:val="7"/>
          <w:sz w:val="16"/>
        </w:rPr>
        <w:t xml:space="preserve"> </w:t>
      </w:r>
      <w:r w:rsidRPr="00EB2BD8">
        <w:rPr>
          <w:rFonts w:ascii="Arial"/>
          <w:sz w:val="16"/>
        </w:rPr>
        <w:t>following</w:t>
      </w:r>
      <w:r w:rsidRPr="00EB2BD8">
        <w:rPr>
          <w:rFonts w:ascii="Arial"/>
          <w:spacing w:val="7"/>
          <w:sz w:val="16"/>
        </w:rPr>
        <w:t xml:space="preserve"> </w:t>
      </w:r>
      <w:r w:rsidRPr="00EB2BD8">
        <w:rPr>
          <w:rFonts w:ascii="Arial"/>
          <w:sz w:val="16"/>
        </w:rPr>
        <w:t>tables</w:t>
      </w:r>
      <w:r w:rsidRPr="00EB2BD8">
        <w:rPr>
          <w:rFonts w:ascii="Arial"/>
          <w:spacing w:val="5"/>
          <w:sz w:val="16"/>
        </w:rPr>
        <w:t xml:space="preserve"> </w:t>
      </w:r>
      <w:r w:rsidRPr="00EB2BD8">
        <w:rPr>
          <w:rFonts w:ascii="Arial"/>
          <w:sz w:val="16"/>
        </w:rPr>
        <w:t>are</w:t>
      </w:r>
      <w:r w:rsidRPr="00EB2BD8">
        <w:rPr>
          <w:rFonts w:ascii="Arial"/>
          <w:spacing w:val="11"/>
          <w:sz w:val="16"/>
        </w:rPr>
        <w:t xml:space="preserve"> </w:t>
      </w:r>
      <w:r w:rsidRPr="00EB2BD8">
        <w:rPr>
          <w:rFonts w:ascii="Arial"/>
          <w:sz w:val="16"/>
        </w:rPr>
        <w:t>subsets</w:t>
      </w:r>
      <w:r w:rsidRPr="00EB2BD8">
        <w:rPr>
          <w:rFonts w:ascii="Arial"/>
          <w:spacing w:val="6"/>
          <w:sz w:val="16"/>
        </w:rPr>
        <w:t xml:space="preserve"> </w:t>
      </w:r>
      <w:r w:rsidRPr="00EB2BD8">
        <w:rPr>
          <w:rFonts w:ascii="Arial"/>
          <w:sz w:val="16"/>
        </w:rPr>
        <w:t>of</w:t>
      </w:r>
      <w:r w:rsidRPr="00EB2BD8">
        <w:rPr>
          <w:rFonts w:ascii="Arial"/>
          <w:spacing w:val="11"/>
          <w:sz w:val="16"/>
        </w:rPr>
        <w:t xml:space="preserve"> </w:t>
      </w:r>
      <w:r w:rsidRPr="00EB2BD8">
        <w:rPr>
          <w:rFonts w:ascii="Arial"/>
          <w:sz w:val="16"/>
        </w:rPr>
        <w:t>buildings,</w:t>
      </w:r>
      <w:r w:rsidRPr="00EB2BD8">
        <w:rPr>
          <w:rFonts w:ascii="Arial"/>
          <w:spacing w:val="10"/>
          <w:sz w:val="16"/>
        </w:rPr>
        <w:t xml:space="preserve"> </w:t>
      </w:r>
      <w:r w:rsidRPr="00EB2BD8">
        <w:rPr>
          <w:rFonts w:ascii="Arial"/>
          <w:sz w:val="16"/>
        </w:rPr>
        <w:t>and</w:t>
      </w:r>
      <w:r w:rsidRPr="00EB2BD8">
        <w:rPr>
          <w:rFonts w:ascii="Arial"/>
          <w:spacing w:val="8"/>
          <w:sz w:val="16"/>
        </w:rPr>
        <w:t xml:space="preserve"> </w:t>
      </w:r>
      <w:r w:rsidRPr="00EB2BD8">
        <w:rPr>
          <w:rFonts w:ascii="Arial"/>
          <w:sz w:val="16"/>
        </w:rPr>
        <w:t>plant</w:t>
      </w:r>
      <w:r w:rsidRPr="00EB2BD8">
        <w:rPr>
          <w:rFonts w:ascii="Arial"/>
          <w:spacing w:val="7"/>
          <w:sz w:val="16"/>
        </w:rPr>
        <w:t xml:space="preserve"> </w:t>
      </w:r>
      <w:r w:rsidRPr="00EB2BD8">
        <w:rPr>
          <w:rFonts w:ascii="Arial"/>
          <w:sz w:val="16"/>
        </w:rPr>
        <w:t>and</w:t>
      </w:r>
      <w:r w:rsidRPr="00EB2BD8">
        <w:rPr>
          <w:rFonts w:ascii="Arial"/>
          <w:spacing w:val="10"/>
          <w:sz w:val="16"/>
        </w:rPr>
        <w:t xml:space="preserve"> </w:t>
      </w:r>
      <w:r w:rsidRPr="00EB2BD8">
        <w:rPr>
          <w:rFonts w:ascii="Arial"/>
          <w:sz w:val="16"/>
        </w:rPr>
        <w:t>equipment</w:t>
      </w:r>
      <w:r w:rsidRPr="00EB2BD8">
        <w:rPr>
          <w:rFonts w:ascii="Arial"/>
          <w:spacing w:val="11"/>
          <w:sz w:val="16"/>
        </w:rPr>
        <w:t xml:space="preserve"> </w:t>
      </w:r>
      <w:r w:rsidRPr="00EB2BD8">
        <w:rPr>
          <w:rFonts w:ascii="Arial"/>
          <w:sz w:val="16"/>
        </w:rPr>
        <w:t>by</w:t>
      </w:r>
      <w:r w:rsidRPr="00EB2BD8">
        <w:rPr>
          <w:rFonts w:ascii="Arial"/>
          <w:spacing w:val="7"/>
          <w:sz w:val="16"/>
        </w:rPr>
        <w:t xml:space="preserve"> </w:t>
      </w:r>
      <w:r w:rsidRPr="00EB2BD8">
        <w:rPr>
          <w:rFonts w:ascii="Arial"/>
          <w:sz w:val="16"/>
        </w:rPr>
        <w:t>right-of-use</w:t>
      </w:r>
      <w:r w:rsidRPr="00EB2BD8">
        <w:rPr>
          <w:rFonts w:ascii="Arial"/>
          <w:spacing w:val="11"/>
          <w:sz w:val="16"/>
        </w:rPr>
        <w:t xml:space="preserve"> </w:t>
      </w:r>
      <w:r w:rsidRPr="00EB2BD8">
        <w:rPr>
          <w:rFonts w:ascii="Arial"/>
          <w:spacing w:val="-2"/>
          <w:sz w:val="16"/>
        </w:rPr>
        <w:t>assets.</w:t>
      </w:r>
    </w:p>
    <w:p w14:paraId="50CC43EC" w14:textId="1D26BC88" w:rsidR="00084F36" w:rsidRPr="00EB2BD8" w:rsidRDefault="00084F36">
      <w:pPr>
        <w:pStyle w:val="BodyText"/>
        <w:spacing w:before="3"/>
        <w:rPr>
          <w:rFonts w:ascii="Arial"/>
        </w:rPr>
      </w:pPr>
    </w:p>
    <w:p w14:paraId="47569026" w14:textId="13E9CD68" w:rsidR="00084F36" w:rsidRPr="00EB2BD8" w:rsidRDefault="00EB2BD8">
      <w:pPr>
        <w:spacing w:before="102" w:after="45"/>
        <w:ind w:left="9560"/>
        <w:rPr>
          <w:rFonts w:ascii="Arial" w:hAnsi="Arial"/>
          <w:sz w:val="16"/>
        </w:rPr>
      </w:pPr>
      <w:r w:rsidRPr="00EB2BD8">
        <w:rPr>
          <w:rFonts w:ascii="Arial" w:hAnsi="Arial"/>
          <w:spacing w:val="-2"/>
          <w:w w:val="105"/>
          <w:sz w:val="16"/>
        </w:rPr>
        <w:t>($’000)</w:t>
      </w:r>
    </w:p>
    <w:tbl>
      <w:tblPr>
        <w:tblW w:w="0" w:type="auto"/>
        <w:tblInd w:w="1066" w:type="dxa"/>
        <w:tblLayout w:type="fixed"/>
        <w:tblCellMar>
          <w:left w:w="0" w:type="dxa"/>
          <w:right w:w="0" w:type="dxa"/>
        </w:tblCellMar>
        <w:tblLook w:val="01E0" w:firstRow="1" w:lastRow="1" w:firstColumn="1" w:lastColumn="1" w:noHBand="0" w:noVBand="0"/>
      </w:tblPr>
      <w:tblGrid>
        <w:gridCol w:w="4388"/>
        <w:gridCol w:w="2208"/>
        <w:gridCol w:w="1276"/>
        <w:gridCol w:w="1251"/>
      </w:tblGrid>
      <w:tr w:rsidR="00EB2BD8" w:rsidRPr="00EB2BD8" w14:paraId="22A20070" w14:textId="77777777">
        <w:trPr>
          <w:trHeight w:val="811"/>
        </w:trPr>
        <w:tc>
          <w:tcPr>
            <w:tcW w:w="6596" w:type="dxa"/>
            <w:gridSpan w:val="2"/>
            <w:tcBorders>
              <w:top w:val="single" w:sz="4" w:space="0" w:color="0098FF"/>
              <w:left w:val="single" w:sz="4" w:space="0" w:color="0098FF"/>
              <w:bottom w:val="single" w:sz="4" w:space="0" w:color="0098FF"/>
            </w:tcBorders>
            <w:shd w:val="clear" w:color="auto" w:fill="0070C0"/>
          </w:tcPr>
          <w:p w14:paraId="5EE4CC5B" w14:textId="5E0F3EA3" w:rsidR="00084F36" w:rsidRPr="00EB2BD8" w:rsidRDefault="00084F36">
            <w:pPr>
              <w:pStyle w:val="TableParagraph"/>
              <w:spacing w:before="1"/>
              <w:rPr>
                <w:rFonts w:ascii="Arial"/>
                <w:sz w:val="19"/>
              </w:rPr>
            </w:pPr>
          </w:p>
          <w:p w14:paraId="0A80B500" w14:textId="006E12F8" w:rsidR="00084F36" w:rsidRPr="00EB2BD8" w:rsidRDefault="00EB2BD8">
            <w:pPr>
              <w:pStyle w:val="TableParagraph"/>
              <w:ind w:right="115"/>
              <w:jc w:val="right"/>
              <w:rPr>
                <w:rFonts w:ascii="Arial"/>
                <w:b/>
                <w:sz w:val="16"/>
              </w:rPr>
            </w:pPr>
            <w:r w:rsidRPr="00EB2BD8">
              <w:rPr>
                <w:rFonts w:ascii="Arial"/>
                <w:b/>
                <w:w w:val="105"/>
                <w:sz w:val="16"/>
              </w:rPr>
              <w:t>Gross</w:t>
            </w:r>
            <w:r w:rsidRPr="00EB2BD8">
              <w:rPr>
                <w:rFonts w:ascii="Arial"/>
                <w:b/>
                <w:spacing w:val="-7"/>
                <w:w w:val="105"/>
                <w:sz w:val="16"/>
              </w:rPr>
              <w:t xml:space="preserve"> </w:t>
            </w:r>
            <w:r w:rsidRPr="00EB2BD8">
              <w:rPr>
                <w:rFonts w:ascii="Arial"/>
                <w:b/>
                <w:spacing w:val="-2"/>
                <w:w w:val="105"/>
                <w:sz w:val="16"/>
              </w:rPr>
              <w:t>carrying</w:t>
            </w:r>
          </w:p>
          <w:p w14:paraId="06AC70BC" w14:textId="2DDDDC26" w:rsidR="00084F36" w:rsidRPr="00EB2BD8" w:rsidRDefault="00EB2BD8">
            <w:pPr>
              <w:pStyle w:val="TableParagraph"/>
              <w:spacing w:before="9"/>
              <w:ind w:right="114"/>
              <w:jc w:val="right"/>
              <w:rPr>
                <w:rFonts w:ascii="Arial"/>
                <w:b/>
                <w:sz w:val="16"/>
              </w:rPr>
            </w:pPr>
            <w:r w:rsidRPr="00EB2BD8">
              <w:rPr>
                <w:rFonts w:ascii="Arial"/>
                <w:b/>
                <w:spacing w:val="-2"/>
                <w:w w:val="105"/>
                <w:sz w:val="16"/>
              </w:rPr>
              <w:t>amount</w:t>
            </w:r>
          </w:p>
        </w:tc>
        <w:tc>
          <w:tcPr>
            <w:tcW w:w="1276" w:type="dxa"/>
            <w:tcBorders>
              <w:top w:val="single" w:sz="4" w:space="0" w:color="0098FF"/>
              <w:bottom w:val="single" w:sz="4" w:space="0" w:color="0098FF"/>
            </w:tcBorders>
            <w:shd w:val="clear" w:color="auto" w:fill="0070C0"/>
          </w:tcPr>
          <w:p w14:paraId="206D8476" w14:textId="77777777" w:rsidR="00084F36" w:rsidRPr="00EB2BD8" w:rsidRDefault="00084F36">
            <w:pPr>
              <w:pStyle w:val="TableParagraph"/>
              <w:spacing w:before="1"/>
              <w:rPr>
                <w:rFonts w:ascii="Arial"/>
                <w:sz w:val="19"/>
              </w:rPr>
            </w:pPr>
          </w:p>
          <w:p w14:paraId="247F6422" w14:textId="77777777" w:rsidR="00084F36" w:rsidRPr="00EB2BD8" w:rsidRDefault="00EB2BD8">
            <w:pPr>
              <w:pStyle w:val="TableParagraph"/>
              <w:spacing w:line="252" w:lineRule="auto"/>
              <w:ind w:left="183" w:hanging="55"/>
              <w:rPr>
                <w:rFonts w:ascii="Arial"/>
                <w:b/>
                <w:sz w:val="16"/>
              </w:rPr>
            </w:pPr>
            <w:r w:rsidRPr="00EB2BD8">
              <w:rPr>
                <w:rFonts w:ascii="Arial"/>
                <w:b/>
                <w:spacing w:val="-2"/>
                <w:w w:val="105"/>
                <w:sz w:val="16"/>
              </w:rPr>
              <w:t>Accumulated depreciation</w:t>
            </w:r>
          </w:p>
        </w:tc>
        <w:tc>
          <w:tcPr>
            <w:tcW w:w="1251" w:type="dxa"/>
            <w:tcBorders>
              <w:top w:val="single" w:sz="4" w:space="0" w:color="0098FF"/>
              <w:bottom w:val="single" w:sz="4" w:space="0" w:color="0098FF"/>
              <w:right w:val="single" w:sz="4" w:space="0" w:color="0098FF"/>
            </w:tcBorders>
            <w:shd w:val="clear" w:color="auto" w:fill="0070C0"/>
          </w:tcPr>
          <w:p w14:paraId="463127D8" w14:textId="77777777" w:rsidR="00084F36" w:rsidRPr="00EB2BD8" w:rsidRDefault="00084F36">
            <w:pPr>
              <w:pStyle w:val="TableParagraph"/>
              <w:spacing w:before="1"/>
              <w:rPr>
                <w:rFonts w:ascii="Arial"/>
                <w:sz w:val="19"/>
              </w:rPr>
            </w:pPr>
          </w:p>
          <w:p w14:paraId="66D26BD9" w14:textId="77777777" w:rsidR="00084F36" w:rsidRPr="00EB2BD8" w:rsidRDefault="00EB2BD8">
            <w:pPr>
              <w:pStyle w:val="TableParagraph"/>
              <w:ind w:right="87"/>
              <w:jc w:val="right"/>
              <w:rPr>
                <w:rFonts w:ascii="Arial"/>
                <w:b/>
                <w:sz w:val="16"/>
              </w:rPr>
            </w:pPr>
            <w:r w:rsidRPr="00EB2BD8">
              <w:rPr>
                <w:rFonts w:ascii="Arial"/>
                <w:b/>
                <w:w w:val="105"/>
                <w:sz w:val="16"/>
              </w:rPr>
              <w:t>Net</w:t>
            </w:r>
            <w:r w:rsidRPr="00EB2BD8">
              <w:rPr>
                <w:rFonts w:ascii="Arial"/>
                <w:b/>
                <w:spacing w:val="-5"/>
                <w:w w:val="105"/>
                <w:sz w:val="16"/>
              </w:rPr>
              <w:t xml:space="preserve"> </w:t>
            </w:r>
            <w:r w:rsidRPr="00EB2BD8">
              <w:rPr>
                <w:rFonts w:ascii="Arial"/>
                <w:b/>
                <w:spacing w:val="-2"/>
                <w:w w:val="105"/>
                <w:sz w:val="16"/>
              </w:rPr>
              <w:t>carrying</w:t>
            </w:r>
          </w:p>
          <w:p w14:paraId="318050A1" w14:textId="77777777" w:rsidR="00084F36" w:rsidRPr="00EB2BD8" w:rsidRDefault="00EB2BD8">
            <w:pPr>
              <w:pStyle w:val="TableParagraph"/>
              <w:spacing w:before="9"/>
              <w:ind w:right="86"/>
              <w:jc w:val="right"/>
              <w:rPr>
                <w:rFonts w:ascii="Arial"/>
                <w:b/>
                <w:sz w:val="16"/>
              </w:rPr>
            </w:pPr>
            <w:r w:rsidRPr="00EB2BD8">
              <w:rPr>
                <w:rFonts w:ascii="Arial"/>
                <w:b/>
                <w:spacing w:val="-2"/>
                <w:w w:val="105"/>
                <w:sz w:val="16"/>
              </w:rPr>
              <w:t>amount</w:t>
            </w:r>
          </w:p>
        </w:tc>
      </w:tr>
      <w:tr w:rsidR="00EB2BD8" w:rsidRPr="00EB2BD8" w14:paraId="7152B51E" w14:textId="77777777">
        <w:trPr>
          <w:trHeight w:val="311"/>
        </w:trPr>
        <w:tc>
          <w:tcPr>
            <w:tcW w:w="4388" w:type="dxa"/>
            <w:tcBorders>
              <w:top w:val="single" w:sz="4" w:space="0" w:color="0098FF"/>
            </w:tcBorders>
            <w:shd w:val="clear" w:color="auto" w:fill="FFFFFF"/>
          </w:tcPr>
          <w:p w14:paraId="3BF79B42" w14:textId="77777777" w:rsidR="00084F36" w:rsidRPr="00EB2BD8" w:rsidRDefault="00EB2BD8">
            <w:pPr>
              <w:pStyle w:val="TableParagraph"/>
              <w:spacing w:before="63"/>
              <w:ind w:left="105"/>
              <w:rPr>
                <w:rFonts w:ascii="Arial"/>
                <w:b/>
                <w:sz w:val="16"/>
              </w:rPr>
            </w:pPr>
            <w:r w:rsidRPr="00EB2BD8">
              <w:rPr>
                <w:rFonts w:ascii="Arial"/>
                <w:b/>
                <w:spacing w:val="-4"/>
                <w:w w:val="105"/>
                <w:sz w:val="16"/>
              </w:rPr>
              <w:t>2023</w:t>
            </w:r>
          </w:p>
        </w:tc>
        <w:tc>
          <w:tcPr>
            <w:tcW w:w="2208" w:type="dxa"/>
            <w:tcBorders>
              <w:top w:val="single" w:sz="4" w:space="0" w:color="0098FF"/>
            </w:tcBorders>
            <w:shd w:val="clear" w:color="auto" w:fill="FFFFFF"/>
          </w:tcPr>
          <w:p w14:paraId="250C1343" w14:textId="77777777" w:rsidR="00084F36" w:rsidRPr="00EB2BD8" w:rsidRDefault="00084F36">
            <w:pPr>
              <w:pStyle w:val="TableParagraph"/>
              <w:rPr>
                <w:rFonts w:ascii="Times New Roman"/>
                <w:sz w:val="16"/>
              </w:rPr>
            </w:pPr>
          </w:p>
        </w:tc>
        <w:tc>
          <w:tcPr>
            <w:tcW w:w="1276" w:type="dxa"/>
            <w:tcBorders>
              <w:top w:val="single" w:sz="4" w:space="0" w:color="0098FF"/>
            </w:tcBorders>
            <w:shd w:val="clear" w:color="auto" w:fill="FFFFFF"/>
          </w:tcPr>
          <w:p w14:paraId="5B4BB479" w14:textId="77777777" w:rsidR="00084F36" w:rsidRPr="00EB2BD8" w:rsidRDefault="00084F36">
            <w:pPr>
              <w:pStyle w:val="TableParagraph"/>
              <w:rPr>
                <w:rFonts w:ascii="Times New Roman"/>
                <w:sz w:val="16"/>
              </w:rPr>
            </w:pPr>
          </w:p>
        </w:tc>
        <w:tc>
          <w:tcPr>
            <w:tcW w:w="1251" w:type="dxa"/>
            <w:tcBorders>
              <w:top w:val="single" w:sz="4" w:space="0" w:color="0098FF"/>
            </w:tcBorders>
            <w:shd w:val="clear" w:color="auto" w:fill="DEEAF6"/>
          </w:tcPr>
          <w:p w14:paraId="02577C93" w14:textId="77777777" w:rsidR="00084F36" w:rsidRPr="00EB2BD8" w:rsidRDefault="00084F36">
            <w:pPr>
              <w:pStyle w:val="TableParagraph"/>
              <w:rPr>
                <w:rFonts w:ascii="Times New Roman"/>
                <w:sz w:val="16"/>
              </w:rPr>
            </w:pPr>
          </w:p>
        </w:tc>
      </w:tr>
      <w:tr w:rsidR="00EB2BD8" w:rsidRPr="00EB2BD8" w14:paraId="4CD18CBA" w14:textId="77777777">
        <w:trPr>
          <w:trHeight w:val="315"/>
        </w:trPr>
        <w:tc>
          <w:tcPr>
            <w:tcW w:w="4388" w:type="dxa"/>
            <w:shd w:val="clear" w:color="auto" w:fill="FFFFFF"/>
          </w:tcPr>
          <w:p w14:paraId="0CFB3611" w14:textId="32B37395" w:rsidR="00084F36" w:rsidRPr="00EB2BD8" w:rsidRDefault="00EB2BD8">
            <w:pPr>
              <w:pStyle w:val="TableParagraph"/>
              <w:spacing w:before="64"/>
              <w:ind w:left="105"/>
              <w:rPr>
                <w:rFonts w:ascii="Arial"/>
                <w:sz w:val="16"/>
              </w:rPr>
            </w:pPr>
            <w:r w:rsidRPr="00EB2BD8">
              <w:rPr>
                <w:rFonts w:ascii="Arial"/>
                <w:w w:val="105"/>
                <w:sz w:val="16"/>
              </w:rPr>
              <w:t>Buildings</w:t>
            </w:r>
            <w:r w:rsidRPr="00EB2BD8">
              <w:rPr>
                <w:rFonts w:ascii="Arial"/>
                <w:spacing w:val="-7"/>
                <w:w w:val="105"/>
                <w:sz w:val="16"/>
              </w:rPr>
              <w:t xml:space="preserve"> </w:t>
            </w:r>
            <w:r w:rsidRPr="00EB2BD8">
              <w:rPr>
                <w:rFonts w:ascii="Arial"/>
                <w:w w:val="105"/>
                <w:sz w:val="16"/>
              </w:rPr>
              <w:t>at</w:t>
            </w:r>
            <w:r w:rsidRPr="00EB2BD8">
              <w:rPr>
                <w:rFonts w:ascii="Arial"/>
                <w:spacing w:val="-6"/>
                <w:w w:val="105"/>
                <w:sz w:val="16"/>
              </w:rPr>
              <w:t xml:space="preserve"> </w:t>
            </w:r>
            <w:r w:rsidRPr="00EB2BD8">
              <w:rPr>
                <w:rFonts w:ascii="Arial"/>
                <w:w w:val="105"/>
                <w:sz w:val="16"/>
              </w:rPr>
              <w:t>fair</w:t>
            </w:r>
            <w:r w:rsidRPr="00EB2BD8">
              <w:rPr>
                <w:rFonts w:ascii="Arial"/>
                <w:spacing w:val="-6"/>
                <w:w w:val="105"/>
                <w:sz w:val="16"/>
              </w:rPr>
              <w:t xml:space="preserve"> </w:t>
            </w:r>
            <w:r w:rsidRPr="00EB2BD8">
              <w:rPr>
                <w:rFonts w:ascii="Arial"/>
                <w:spacing w:val="-2"/>
                <w:w w:val="105"/>
                <w:sz w:val="16"/>
              </w:rPr>
              <w:t>value</w:t>
            </w:r>
          </w:p>
        </w:tc>
        <w:tc>
          <w:tcPr>
            <w:tcW w:w="2208" w:type="dxa"/>
            <w:shd w:val="clear" w:color="auto" w:fill="FFFFFF"/>
          </w:tcPr>
          <w:p w14:paraId="1C55DF74" w14:textId="77777777" w:rsidR="00084F36" w:rsidRPr="00EB2BD8" w:rsidRDefault="00EB2BD8">
            <w:pPr>
              <w:pStyle w:val="TableParagraph"/>
              <w:spacing w:before="64"/>
              <w:ind w:right="115"/>
              <w:jc w:val="right"/>
              <w:rPr>
                <w:rFonts w:ascii="Arial"/>
                <w:sz w:val="16"/>
              </w:rPr>
            </w:pPr>
            <w:r w:rsidRPr="00EB2BD8">
              <w:rPr>
                <w:rFonts w:ascii="Arial"/>
                <w:spacing w:val="-2"/>
                <w:w w:val="105"/>
                <w:sz w:val="16"/>
              </w:rPr>
              <w:t>12,062</w:t>
            </w:r>
          </w:p>
        </w:tc>
        <w:tc>
          <w:tcPr>
            <w:tcW w:w="1276" w:type="dxa"/>
            <w:shd w:val="clear" w:color="auto" w:fill="FFFFFF"/>
          </w:tcPr>
          <w:p w14:paraId="256A1E3D" w14:textId="77777777" w:rsidR="00084F36" w:rsidRPr="00EB2BD8" w:rsidRDefault="00EB2BD8">
            <w:pPr>
              <w:pStyle w:val="TableParagraph"/>
              <w:spacing w:before="64"/>
              <w:ind w:right="94"/>
              <w:jc w:val="right"/>
              <w:rPr>
                <w:rFonts w:ascii="Arial"/>
                <w:sz w:val="16"/>
              </w:rPr>
            </w:pPr>
            <w:r w:rsidRPr="00EB2BD8">
              <w:rPr>
                <w:rFonts w:ascii="Arial"/>
                <w:spacing w:val="-2"/>
                <w:w w:val="105"/>
                <w:sz w:val="16"/>
              </w:rPr>
              <w:t>(9,144)</w:t>
            </w:r>
          </w:p>
        </w:tc>
        <w:tc>
          <w:tcPr>
            <w:tcW w:w="1251" w:type="dxa"/>
            <w:shd w:val="clear" w:color="auto" w:fill="DEEAF6"/>
          </w:tcPr>
          <w:p w14:paraId="7316CD5E" w14:textId="77777777" w:rsidR="00084F36" w:rsidRPr="00EB2BD8" w:rsidRDefault="00EB2BD8">
            <w:pPr>
              <w:pStyle w:val="TableParagraph"/>
              <w:spacing w:before="64"/>
              <w:ind w:right="92"/>
              <w:jc w:val="right"/>
              <w:rPr>
                <w:rFonts w:ascii="Arial"/>
                <w:sz w:val="16"/>
              </w:rPr>
            </w:pPr>
            <w:r w:rsidRPr="00EB2BD8">
              <w:rPr>
                <w:rFonts w:ascii="Arial"/>
                <w:spacing w:val="-2"/>
                <w:w w:val="105"/>
                <w:sz w:val="16"/>
              </w:rPr>
              <w:t>2,918</w:t>
            </w:r>
          </w:p>
        </w:tc>
      </w:tr>
      <w:tr w:rsidR="00EB2BD8" w:rsidRPr="00EB2BD8" w14:paraId="43D77D8C" w14:textId="77777777">
        <w:trPr>
          <w:trHeight w:val="314"/>
        </w:trPr>
        <w:tc>
          <w:tcPr>
            <w:tcW w:w="4388" w:type="dxa"/>
            <w:tcBorders>
              <w:bottom w:val="single" w:sz="12" w:space="0" w:color="000000"/>
            </w:tcBorders>
            <w:shd w:val="clear" w:color="auto" w:fill="FFFFFF"/>
          </w:tcPr>
          <w:p w14:paraId="1E10A5E5" w14:textId="56A27957" w:rsidR="00084F36" w:rsidRPr="00EB2BD8" w:rsidRDefault="00EB2BD8">
            <w:pPr>
              <w:pStyle w:val="TableParagraph"/>
              <w:spacing w:before="67"/>
              <w:ind w:left="105"/>
              <w:rPr>
                <w:rFonts w:ascii="Arial"/>
                <w:sz w:val="16"/>
              </w:rPr>
            </w:pPr>
            <w:r w:rsidRPr="00EB2BD8">
              <w:rPr>
                <w:rFonts w:ascii="Arial"/>
                <w:w w:val="105"/>
                <w:sz w:val="16"/>
              </w:rPr>
              <w:t>Plant,</w:t>
            </w:r>
            <w:r w:rsidRPr="00EB2BD8">
              <w:rPr>
                <w:rFonts w:ascii="Arial"/>
                <w:spacing w:val="-8"/>
                <w:w w:val="105"/>
                <w:sz w:val="16"/>
              </w:rPr>
              <w:t xml:space="preserve"> </w:t>
            </w:r>
            <w:r w:rsidRPr="00EB2BD8">
              <w:rPr>
                <w:rFonts w:ascii="Arial"/>
                <w:w w:val="105"/>
                <w:sz w:val="16"/>
              </w:rPr>
              <w:t>equipment</w:t>
            </w:r>
            <w:r w:rsidRPr="00EB2BD8">
              <w:rPr>
                <w:rFonts w:ascii="Arial"/>
                <w:spacing w:val="-8"/>
                <w:w w:val="105"/>
                <w:sz w:val="16"/>
              </w:rPr>
              <w:t xml:space="preserve"> </w:t>
            </w:r>
            <w:r w:rsidRPr="00EB2BD8">
              <w:rPr>
                <w:rFonts w:ascii="Arial"/>
                <w:w w:val="105"/>
                <w:sz w:val="16"/>
              </w:rPr>
              <w:t>and</w:t>
            </w:r>
            <w:r w:rsidRPr="00EB2BD8">
              <w:rPr>
                <w:rFonts w:ascii="Arial"/>
                <w:spacing w:val="-8"/>
                <w:w w:val="105"/>
                <w:sz w:val="16"/>
              </w:rPr>
              <w:t xml:space="preserve"> </w:t>
            </w:r>
            <w:r w:rsidRPr="00EB2BD8">
              <w:rPr>
                <w:rFonts w:ascii="Arial"/>
                <w:w w:val="105"/>
                <w:sz w:val="16"/>
              </w:rPr>
              <w:t>motor</w:t>
            </w:r>
            <w:r w:rsidRPr="00EB2BD8">
              <w:rPr>
                <w:rFonts w:ascii="Arial"/>
                <w:spacing w:val="-8"/>
                <w:w w:val="105"/>
                <w:sz w:val="16"/>
              </w:rPr>
              <w:t xml:space="preserve"> </w:t>
            </w:r>
            <w:r w:rsidRPr="00EB2BD8">
              <w:rPr>
                <w:rFonts w:ascii="Arial"/>
                <w:spacing w:val="-2"/>
                <w:w w:val="105"/>
                <w:sz w:val="16"/>
              </w:rPr>
              <w:t>vehicles</w:t>
            </w:r>
          </w:p>
        </w:tc>
        <w:tc>
          <w:tcPr>
            <w:tcW w:w="2208" w:type="dxa"/>
            <w:tcBorders>
              <w:bottom w:val="single" w:sz="12" w:space="0" w:color="000000"/>
            </w:tcBorders>
            <w:shd w:val="clear" w:color="auto" w:fill="FFFFFF"/>
          </w:tcPr>
          <w:p w14:paraId="7FB9125C" w14:textId="77777777" w:rsidR="00084F36" w:rsidRPr="00EB2BD8" w:rsidRDefault="00EB2BD8">
            <w:pPr>
              <w:pStyle w:val="TableParagraph"/>
              <w:spacing w:before="67"/>
              <w:ind w:right="116"/>
              <w:jc w:val="right"/>
              <w:rPr>
                <w:rFonts w:ascii="Arial"/>
                <w:sz w:val="16"/>
              </w:rPr>
            </w:pPr>
            <w:r w:rsidRPr="00EB2BD8">
              <w:rPr>
                <w:rFonts w:ascii="Arial"/>
                <w:spacing w:val="-2"/>
                <w:w w:val="105"/>
                <w:sz w:val="16"/>
              </w:rPr>
              <w:t>2,402</w:t>
            </w:r>
          </w:p>
        </w:tc>
        <w:tc>
          <w:tcPr>
            <w:tcW w:w="1276" w:type="dxa"/>
            <w:tcBorders>
              <w:bottom w:val="single" w:sz="12" w:space="0" w:color="000000"/>
            </w:tcBorders>
            <w:shd w:val="clear" w:color="auto" w:fill="FFFFFF"/>
          </w:tcPr>
          <w:p w14:paraId="7A026142" w14:textId="77777777" w:rsidR="00084F36" w:rsidRPr="00EB2BD8" w:rsidRDefault="00EB2BD8">
            <w:pPr>
              <w:pStyle w:val="TableParagraph"/>
              <w:spacing w:before="67"/>
              <w:ind w:right="94"/>
              <w:jc w:val="right"/>
              <w:rPr>
                <w:rFonts w:ascii="Arial"/>
                <w:sz w:val="16"/>
              </w:rPr>
            </w:pPr>
            <w:r w:rsidRPr="00EB2BD8">
              <w:rPr>
                <w:rFonts w:ascii="Arial"/>
                <w:spacing w:val="-2"/>
                <w:w w:val="105"/>
                <w:sz w:val="16"/>
              </w:rPr>
              <w:t>(391)</w:t>
            </w:r>
          </w:p>
        </w:tc>
        <w:tc>
          <w:tcPr>
            <w:tcW w:w="1251" w:type="dxa"/>
            <w:tcBorders>
              <w:bottom w:val="single" w:sz="12" w:space="0" w:color="000000"/>
            </w:tcBorders>
            <w:shd w:val="clear" w:color="auto" w:fill="DEEAF6"/>
          </w:tcPr>
          <w:p w14:paraId="485A1B56" w14:textId="77777777" w:rsidR="00084F36" w:rsidRPr="00EB2BD8" w:rsidRDefault="00EB2BD8">
            <w:pPr>
              <w:pStyle w:val="TableParagraph"/>
              <w:spacing w:before="67"/>
              <w:ind w:right="92"/>
              <w:jc w:val="right"/>
              <w:rPr>
                <w:rFonts w:ascii="Arial"/>
                <w:sz w:val="16"/>
              </w:rPr>
            </w:pPr>
            <w:r w:rsidRPr="00EB2BD8">
              <w:rPr>
                <w:rFonts w:ascii="Arial"/>
                <w:spacing w:val="-2"/>
                <w:w w:val="105"/>
                <w:sz w:val="16"/>
              </w:rPr>
              <w:t>2,011</w:t>
            </w:r>
          </w:p>
        </w:tc>
      </w:tr>
      <w:tr w:rsidR="00EB2BD8" w:rsidRPr="00EB2BD8" w14:paraId="248F5C9A" w14:textId="77777777">
        <w:trPr>
          <w:trHeight w:val="286"/>
        </w:trPr>
        <w:tc>
          <w:tcPr>
            <w:tcW w:w="4388" w:type="dxa"/>
            <w:tcBorders>
              <w:top w:val="single" w:sz="12" w:space="0" w:color="000000"/>
              <w:bottom w:val="single" w:sz="12" w:space="0" w:color="000000"/>
            </w:tcBorders>
            <w:shd w:val="clear" w:color="auto" w:fill="FFFFFF"/>
          </w:tcPr>
          <w:p w14:paraId="3CF82C64" w14:textId="57E86B49" w:rsidR="00084F36" w:rsidRPr="00EB2BD8" w:rsidRDefault="00EB2BD8">
            <w:pPr>
              <w:pStyle w:val="TableParagraph"/>
              <w:spacing w:before="53"/>
              <w:ind w:left="105"/>
              <w:rPr>
                <w:rFonts w:ascii="Arial"/>
                <w:b/>
                <w:sz w:val="16"/>
              </w:rPr>
            </w:pPr>
            <w:r w:rsidRPr="00EB2BD8">
              <w:rPr>
                <w:rFonts w:ascii="Arial"/>
                <w:b/>
                <w:w w:val="105"/>
                <w:sz w:val="16"/>
              </w:rPr>
              <w:t>Net</w:t>
            </w:r>
            <w:r w:rsidRPr="00EB2BD8">
              <w:rPr>
                <w:rFonts w:ascii="Arial"/>
                <w:b/>
                <w:spacing w:val="-8"/>
                <w:w w:val="105"/>
                <w:sz w:val="16"/>
              </w:rPr>
              <w:t xml:space="preserve"> </w:t>
            </w:r>
            <w:r w:rsidRPr="00EB2BD8">
              <w:rPr>
                <w:rFonts w:ascii="Arial"/>
                <w:b/>
                <w:w w:val="105"/>
                <w:sz w:val="16"/>
              </w:rPr>
              <w:t>carrying</w:t>
            </w:r>
            <w:r w:rsidRPr="00EB2BD8">
              <w:rPr>
                <w:rFonts w:ascii="Arial"/>
                <w:b/>
                <w:spacing w:val="-7"/>
                <w:w w:val="105"/>
                <w:sz w:val="16"/>
              </w:rPr>
              <w:t xml:space="preserve"> </w:t>
            </w:r>
            <w:r w:rsidRPr="00EB2BD8">
              <w:rPr>
                <w:rFonts w:ascii="Arial"/>
                <w:b/>
                <w:spacing w:val="-2"/>
                <w:w w:val="105"/>
                <w:sz w:val="16"/>
              </w:rPr>
              <w:t>amount</w:t>
            </w:r>
          </w:p>
        </w:tc>
        <w:tc>
          <w:tcPr>
            <w:tcW w:w="2208" w:type="dxa"/>
            <w:tcBorders>
              <w:top w:val="single" w:sz="12" w:space="0" w:color="000000"/>
              <w:bottom w:val="single" w:sz="12" w:space="0" w:color="000000"/>
            </w:tcBorders>
            <w:shd w:val="clear" w:color="auto" w:fill="FFFFFF"/>
          </w:tcPr>
          <w:p w14:paraId="17CBCB94" w14:textId="77777777" w:rsidR="00084F36" w:rsidRPr="00EB2BD8" w:rsidRDefault="00EB2BD8">
            <w:pPr>
              <w:pStyle w:val="TableParagraph"/>
              <w:spacing w:before="53"/>
              <w:ind w:right="115"/>
              <w:jc w:val="right"/>
              <w:rPr>
                <w:rFonts w:ascii="Arial"/>
                <w:b/>
                <w:sz w:val="16"/>
              </w:rPr>
            </w:pPr>
            <w:r w:rsidRPr="00EB2BD8">
              <w:rPr>
                <w:rFonts w:ascii="Arial"/>
                <w:b/>
                <w:spacing w:val="-2"/>
                <w:w w:val="105"/>
                <w:sz w:val="16"/>
              </w:rPr>
              <w:t>14,464</w:t>
            </w:r>
          </w:p>
        </w:tc>
        <w:tc>
          <w:tcPr>
            <w:tcW w:w="1276" w:type="dxa"/>
            <w:tcBorders>
              <w:top w:val="single" w:sz="12" w:space="0" w:color="000000"/>
              <w:bottom w:val="single" w:sz="12" w:space="0" w:color="000000"/>
            </w:tcBorders>
            <w:shd w:val="clear" w:color="auto" w:fill="FFFFFF"/>
          </w:tcPr>
          <w:p w14:paraId="004D98AE" w14:textId="77777777" w:rsidR="00084F36" w:rsidRPr="00EB2BD8" w:rsidRDefault="00EB2BD8">
            <w:pPr>
              <w:pStyle w:val="TableParagraph"/>
              <w:spacing w:before="53"/>
              <w:ind w:right="94"/>
              <w:jc w:val="right"/>
              <w:rPr>
                <w:rFonts w:ascii="Arial"/>
                <w:b/>
                <w:sz w:val="16"/>
              </w:rPr>
            </w:pPr>
            <w:r w:rsidRPr="00EB2BD8">
              <w:rPr>
                <w:rFonts w:ascii="Arial"/>
                <w:b/>
                <w:spacing w:val="-2"/>
                <w:w w:val="105"/>
                <w:sz w:val="16"/>
              </w:rPr>
              <w:t>(9,535)</w:t>
            </w:r>
          </w:p>
        </w:tc>
        <w:tc>
          <w:tcPr>
            <w:tcW w:w="1251" w:type="dxa"/>
            <w:tcBorders>
              <w:top w:val="single" w:sz="12" w:space="0" w:color="000000"/>
              <w:bottom w:val="single" w:sz="12" w:space="0" w:color="000000"/>
            </w:tcBorders>
            <w:shd w:val="clear" w:color="auto" w:fill="DEEAF6"/>
          </w:tcPr>
          <w:p w14:paraId="3BE6E942" w14:textId="77777777" w:rsidR="00084F36" w:rsidRPr="00EB2BD8" w:rsidRDefault="00EB2BD8">
            <w:pPr>
              <w:pStyle w:val="TableParagraph"/>
              <w:spacing w:before="53"/>
              <w:ind w:right="92"/>
              <w:jc w:val="right"/>
              <w:rPr>
                <w:rFonts w:ascii="Arial"/>
                <w:b/>
                <w:sz w:val="16"/>
              </w:rPr>
            </w:pPr>
            <w:r w:rsidRPr="00EB2BD8">
              <w:rPr>
                <w:rFonts w:ascii="Arial"/>
                <w:b/>
                <w:spacing w:val="-2"/>
                <w:w w:val="105"/>
                <w:sz w:val="16"/>
              </w:rPr>
              <w:t>4,929</w:t>
            </w:r>
          </w:p>
        </w:tc>
      </w:tr>
      <w:tr w:rsidR="00EB2BD8" w:rsidRPr="00EB2BD8" w14:paraId="3D36A20D" w14:textId="77777777">
        <w:trPr>
          <w:trHeight w:val="297"/>
        </w:trPr>
        <w:tc>
          <w:tcPr>
            <w:tcW w:w="4388" w:type="dxa"/>
            <w:tcBorders>
              <w:top w:val="single" w:sz="12" w:space="0" w:color="000000"/>
            </w:tcBorders>
            <w:shd w:val="clear" w:color="auto" w:fill="FFFFFF"/>
          </w:tcPr>
          <w:p w14:paraId="2AE036B8" w14:textId="2850708F" w:rsidR="00084F36" w:rsidRPr="00EB2BD8" w:rsidRDefault="00EB2BD8">
            <w:pPr>
              <w:pStyle w:val="TableParagraph"/>
              <w:spacing w:before="53"/>
              <w:ind w:left="105"/>
              <w:rPr>
                <w:rFonts w:ascii="Arial"/>
                <w:b/>
                <w:sz w:val="16"/>
              </w:rPr>
            </w:pPr>
            <w:r w:rsidRPr="00EB2BD8">
              <w:rPr>
                <w:rFonts w:ascii="Arial"/>
                <w:b/>
                <w:spacing w:val="-4"/>
                <w:w w:val="105"/>
                <w:sz w:val="16"/>
              </w:rPr>
              <w:t>2022</w:t>
            </w:r>
          </w:p>
        </w:tc>
        <w:tc>
          <w:tcPr>
            <w:tcW w:w="2208" w:type="dxa"/>
            <w:tcBorders>
              <w:top w:val="single" w:sz="12" w:space="0" w:color="000000"/>
            </w:tcBorders>
            <w:shd w:val="clear" w:color="auto" w:fill="FFFFFF"/>
          </w:tcPr>
          <w:p w14:paraId="76A00236" w14:textId="77777777" w:rsidR="00084F36" w:rsidRPr="00EB2BD8" w:rsidRDefault="00084F36">
            <w:pPr>
              <w:pStyle w:val="TableParagraph"/>
              <w:rPr>
                <w:rFonts w:ascii="Times New Roman"/>
                <w:sz w:val="16"/>
              </w:rPr>
            </w:pPr>
          </w:p>
        </w:tc>
        <w:tc>
          <w:tcPr>
            <w:tcW w:w="1276" w:type="dxa"/>
            <w:tcBorders>
              <w:top w:val="single" w:sz="12" w:space="0" w:color="000000"/>
            </w:tcBorders>
            <w:shd w:val="clear" w:color="auto" w:fill="FFFFFF"/>
          </w:tcPr>
          <w:p w14:paraId="7381DBDB" w14:textId="77777777" w:rsidR="00084F36" w:rsidRPr="00EB2BD8" w:rsidRDefault="00084F36">
            <w:pPr>
              <w:pStyle w:val="TableParagraph"/>
              <w:rPr>
                <w:rFonts w:ascii="Times New Roman"/>
                <w:sz w:val="16"/>
              </w:rPr>
            </w:pPr>
          </w:p>
        </w:tc>
        <w:tc>
          <w:tcPr>
            <w:tcW w:w="1251" w:type="dxa"/>
            <w:tcBorders>
              <w:top w:val="single" w:sz="12" w:space="0" w:color="000000"/>
            </w:tcBorders>
            <w:shd w:val="clear" w:color="auto" w:fill="DEEAF6"/>
          </w:tcPr>
          <w:p w14:paraId="57DC65B4" w14:textId="77777777" w:rsidR="00084F36" w:rsidRPr="00EB2BD8" w:rsidRDefault="00084F36">
            <w:pPr>
              <w:pStyle w:val="TableParagraph"/>
              <w:rPr>
                <w:rFonts w:ascii="Times New Roman"/>
                <w:sz w:val="16"/>
              </w:rPr>
            </w:pPr>
          </w:p>
        </w:tc>
      </w:tr>
      <w:tr w:rsidR="00EB2BD8" w:rsidRPr="00EB2BD8" w14:paraId="6A4C2247" w14:textId="77777777">
        <w:trPr>
          <w:trHeight w:val="310"/>
        </w:trPr>
        <w:tc>
          <w:tcPr>
            <w:tcW w:w="4388" w:type="dxa"/>
            <w:shd w:val="clear" w:color="auto" w:fill="FFFFFF"/>
          </w:tcPr>
          <w:p w14:paraId="73F3A9A2" w14:textId="77777777" w:rsidR="00084F36" w:rsidRPr="00EB2BD8" w:rsidRDefault="00EB2BD8">
            <w:pPr>
              <w:pStyle w:val="TableParagraph"/>
              <w:spacing w:before="60"/>
              <w:ind w:left="105"/>
              <w:rPr>
                <w:rFonts w:ascii="Arial"/>
                <w:sz w:val="16"/>
              </w:rPr>
            </w:pPr>
            <w:r w:rsidRPr="00EB2BD8">
              <w:rPr>
                <w:rFonts w:ascii="Arial"/>
                <w:w w:val="105"/>
                <w:sz w:val="16"/>
              </w:rPr>
              <w:t>Buildings</w:t>
            </w:r>
            <w:r w:rsidRPr="00EB2BD8">
              <w:rPr>
                <w:rFonts w:ascii="Arial"/>
                <w:spacing w:val="-7"/>
                <w:w w:val="105"/>
                <w:sz w:val="16"/>
              </w:rPr>
              <w:t xml:space="preserve"> </w:t>
            </w:r>
            <w:r w:rsidRPr="00EB2BD8">
              <w:rPr>
                <w:rFonts w:ascii="Arial"/>
                <w:w w:val="105"/>
                <w:sz w:val="16"/>
              </w:rPr>
              <w:t>at</w:t>
            </w:r>
            <w:r w:rsidRPr="00EB2BD8">
              <w:rPr>
                <w:rFonts w:ascii="Arial"/>
                <w:spacing w:val="-6"/>
                <w:w w:val="105"/>
                <w:sz w:val="16"/>
              </w:rPr>
              <w:t xml:space="preserve"> </w:t>
            </w:r>
            <w:r w:rsidRPr="00EB2BD8">
              <w:rPr>
                <w:rFonts w:ascii="Arial"/>
                <w:w w:val="105"/>
                <w:sz w:val="16"/>
              </w:rPr>
              <w:t>fair</w:t>
            </w:r>
            <w:r w:rsidRPr="00EB2BD8">
              <w:rPr>
                <w:rFonts w:ascii="Arial"/>
                <w:spacing w:val="-6"/>
                <w:w w:val="105"/>
                <w:sz w:val="16"/>
              </w:rPr>
              <w:t xml:space="preserve"> </w:t>
            </w:r>
            <w:r w:rsidRPr="00EB2BD8">
              <w:rPr>
                <w:rFonts w:ascii="Arial"/>
                <w:spacing w:val="-2"/>
                <w:w w:val="105"/>
                <w:sz w:val="16"/>
              </w:rPr>
              <w:t>value</w:t>
            </w:r>
          </w:p>
        </w:tc>
        <w:tc>
          <w:tcPr>
            <w:tcW w:w="2208" w:type="dxa"/>
            <w:shd w:val="clear" w:color="auto" w:fill="FFFFFF"/>
          </w:tcPr>
          <w:p w14:paraId="65BF8EAE" w14:textId="77777777" w:rsidR="00084F36" w:rsidRPr="00EB2BD8" w:rsidRDefault="00EB2BD8">
            <w:pPr>
              <w:pStyle w:val="TableParagraph"/>
              <w:spacing w:before="60"/>
              <w:ind w:right="115"/>
              <w:jc w:val="right"/>
              <w:rPr>
                <w:rFonts w:ascii="Arial"/>
                <w:sz w:val="16"/>
              </w:rPr>
            </w:pPr>
            <w:r w:rsidRPr="00EB2BD8">
              <w:rPr>
                <w:rFonts w:ascii="Arial"/>
                <w:spacing w:val="-2"/>
                <w:w w:val="105"/>
                <w:sz w:val="16"/>
              </w:rPr>
              <w:t>11,921</w:t>
            </w:r>
          </w:p>
        </w:tc>
        <w:tc>
          <w:tcPr>
            <w:tcW w:w="1276" w:type="dxa"/>
            <w:shd w:val="clear" w:color="auto" w:fill="FFFFFF"/>
          </w:tcPr>
          <w:p w14:paraId="00D19988" w14:textId="77777777" w:rsidR="00084F36" w:rsidRPr="00EB2BD8" w:rsidRDefault="00EB2BD8">
            <w:pPr>
              <w:pStyle w:val="TableParagraph"/>
              <w:spacing w:before="60"/>
              <w:ind w:right="92"/>
              <w:jc w:val="right"/>
              <w:rPr>
                <w:rFonts w:ascii="Arial"/>
                <w:sz w:val="16"/>
              </w:rPr>
            </w:pPr>
            <w:r w:rsidRPr="00EB2BD8">
              <w:rPr>
                <w:rFonts w:ascii="Arial"/>
                <w:spacing w:val="-2"/>
                <w:w w:val="105"/>
                <w:sz w:val="16"/>
              </w:rPr>
              <w:t>(7,085)</w:t>
            </w:r>
          </w:p>
        </w:tc>
        <w:tc>
          <w:tcPr>
            <w:tcW w:w="1251" w:type="dxa"/>
            <w:shd w:val="clear" w:color="auto" w:fill="DEEAF6"/>
          </w:tcPr>
          <w:p w14:paraId="03FBB49A" w14:textId="77777777" w:rsidR="00084F36" w:rsidRPr="00EB2BD8" w:rsidRDefault="00EB2BD8">
            <w:pPr>
              <w:pStyle w:val="TableParagraph"/>
              <w:spacing w:before="60"/>
              <w:ind w:right="91"/>
              <w:jc w:val="right"/>
              <w:rPr>
                <w:rFonts w:ascii="Arial"/>
                <w:sz w:val="16"/>
              </w:rPr>
            </w:pPr>
            <w:r w:rsidRPr="00EB2BD8">
              <w:rPr>
                <w:rFonts w:ascii="Arial"/>
                <w:spacing w:val="-2"/>
                <w:w w:val="105"/>
                <w:sz w:val="16"/>
              </w:rPr>
              <w:t>4,836</w:t>
            </w:r>
          </w:p>
        </w:tc>
      </w:tr>
      <w:tr w:rsidR="00EB2BD8" w:rsidRPr="00EB2BD8" w14:paraId="767E8425" w14:textId="77777777">
        <w:trPr>
          <w:trHeight w:val="314"/>
        </w:trPr>
        <w:tc>
          <w:tcPr>
            <w:tcW w:w="4388" w:type="dxa"/>
            <w:tcBorders>
              <w:bottom w:val="single" w:sz="12" w:space="0" w:color="000000"/>
            </w:tcBorders>
            <w:shd w:val="clear" w:color="auto" w:fill="FFFFFF"/>
          </w:tcPr>
          <w:p w14:paraId="05CBFB2F" w14:textId="77777777" w:rsidR="00084F36" w:rsidRPr="00EB2BD8" w:rsidRDefault="00EB2BD8">
            <w:pPr>
              <w:pStyle w:val="TableParagraph"/>
              <w:spacing w:before="66"/>
              <w:ind w:left="105"/>
              <w:rPr>
                <w:rFonts w:ascii="Arial"/>
                <w:sz w:val="16"/>
              </w:rPr>
            </w:pPr>
            <w:r w:rsidRPr="00EB2BD8">
              <w:rPr>
                <w:rFonts w:ascii="Arial"/>
                <w:w w:val="105"/>
                <w:sz w:val="16"/>
              </w:rPr>
              <w:t>Plant,</w:t>
            </w:r>
            <w:r w:rsidRPr="00EB2BD8">
              <w:rPr>
                <w:rFonts w:ascii="Arial"/>
                <w:spacing w:val="-8"/>
                <w:w w:val="105"/>
                <w:sz w:val="16"/>
              </w:rPr>
              <w:t xml:space="preserve"> </w:t>
            </w:r>
            <w:r w:rsidRPr="00EB2BD8">
              <w:rPr>
                <w:rFonts w:ascii="Arial"/>
                <w:w w:val="105"/>
                <w:sz w:val="16"/>
              </w:rPr>
              <w:t>equipment</w:t>
            </w:r>
            <w:r w:rsidRPr="00EB2BD8">
              <w:rPr>
                <w:rFonts w:ascii="Arial"/>
                <w:spacing w:val="-8"/>
                <w:w w:val="105"/>
                <w:sz w:val="16"/>
              </w:rPr>
              <w:t xml:space="preserve"> </w:t>
            </w:r>
            <w:r w:rsidRPr="00EB2BD8">
              <w:rPr>
                <w:rFonts w:ascii="Arial"/>
                <w:w w:val="105"/>
                <w:sz w:val="16"/>
              </w:rPr>
              <w:t>and</w:t>
            </w:r>
            <w:r w:rsidRPr="00EB2BD8">
              <w:rPr>
                <w:rFonts w:ascii="Arial"/>
                <w:spacing w:val="-8"/>
                <w:w w:val="105"/>
                <w:sz w:val="16"/>
              </w:rPr>
              <w:t xml:space="preserve"> </w:t>
            </w:r>
            <w:r w:rsidRPr="00EB2BD8">
              <w:rPr>
                <w:rFonts w:ascii="Arial"/>
                <w:w w:val="105"/>
                <w:sz w:val="16"/>
              </w:rPr>
              <w:t>motor</w:t>
            </w:r>
            <w:r w:rsidRPr="00EB2BD8">
              <w:rPr>
                <w:rFonts w:ascii="Arial"/>
                <w:spacing w:val="-8"/>
                <w:w w:val="105"/>
                <w:sz w:val="16"/>
              </w:rPr>
              <w:t xml:space="preserve"> </w:t>
            </w:r>
            <w:r w:rsidRPr="00EB2BD8">
              <w:rPr>
                <w:rFonts w:ascii="Arial"/>
                <w:spacing w:val="-2"/>
                <w:w w:val="105"/>
                <w:sz w:val="16"/>
              </w:rPr>
              <w:t>vehicles</w:t>
            </w:r>
          </w:p>
        </w:tc>
        <w:tc>
          <w:tcPr>
            <w:tcW w:w="2208" w:type="dxa"/>
            <w:tcBorders>
              <w:bottom w:val="single" w:sz="12" w:space="0" w:color="000000"/>
            </w:tcBorders>
            <w:shd w:val="clear" w:color="auto" w:fill="FFFFFF"/>
          </w:tcPr>
          <w:p w14:paraId="7D6FF830" w14:textId="069C0B30" w:rsidR="00084F36" w:rsidRPr="00EB2BD8" w:rsidRDefault="00EB2BD8">
            <w:pPr>
              <w:pStyle w:val="TableParagraph"/>
              <w:spacing w:before="66"/>
              <w:ind w:right="115"/>
              <w:jc w:val="right"/>
              <w:rPr>
                <w:rFonts w:ascii="Arial"/>
                <w:sz w:val="16"/>
              </w:rPr>
            </w:pPr>
            <w:r w:rsidRPr="00EB2BD8">
              <w:rPr>
                <w:rFonts w:ascii="Arial"/>
                <w:spacing w:val="-2"/>
                <w:w w:val="105"/>
                <w:sz w:val="16"/>
              </w:rPr>
              <w:t>1,382</w:t>
            </w:r>
          </w:p>
        </w:tc>
        <w:tc>
          <w:tcPr>
            <w:tcW w:w="1276" w:type="dxa"/>
            <w:tcBorders>
              <w:bottom w:val="single" w:sz="12" w:space="0" w:color="000000"/>
            </w:tcBorders>
            <w:shd w:val="clear" w:color="auto" w:fill="FFFFFF"/>
          </w:tcPr>
          <w:p w14:paraId="4B913988" w14:textId="77777777" w:rsidR="00084F36" w:rsidRPr="00EB2BD8" w:rsidRDefault="00EB2BD8">
            <w:pPr>
              <w:pStyle w:val="TableParagraph"/>
              <w:spacing w:before="66"/>
              <w:ind w:right="92"/>
              <w:jc w:val="right"/>
              <w:rPr>
                <w:rFonts w:ascii="Arial"/>
                <w:sz w:val="16"/>
              </w:rPr>
            </w:pPr>
            <w:r w:rsidRPr="00EB2BD8">
              <w:rPr>
                <w:rFonts w:ascii="Arial"/>
                <w:spacing w:val="-2"/>
                <w:w w:val="105"/>
                <w:sz w:val="16"/>
              </w:rPr>
              <w:t>(316)</w:t>
            </w:r>
          </w:p>
        </w:tc>
        <w:tc>
          <w:tcPr>
            <w:tcW w:w="1251" w:type="dxa"/>
            <w:tcBorders>
              <w:bottom w:val="single" w:sz="12" w:space="0" w:color="000000"/>
            </w:tcBorders>
            <w:shd w:val="clear" w:color="auto" w:fill="DEEAF6"/>
          </w:tcPr>
          <w:p w14:paraId="1D58E60F" w14:textId="77777777" w:rsidR="00084F36" w:rsidRPr="00EB2BD8" w:rsidRDefault="00EB2BD8">
            <w:pPr>
              <w:pStyle w:val="TableParagraph"/>
              <w:spacing w:before="66"/>
              <w:ind w:right="91"/>
              <w:jc w:val="right"/>
              <w:rPr>
                <w:rFonts w:ascii="Arial"/>
                <w:sz w:val="16"/>
              </w:rPr>
            </w:pPr>
            <w:r w:rsidRPr="00EB2BD8">
              <w:rPr>
                <w:rFonts w:ascii="Arial"/>
                <w:spacing w:val="-2"/>
                <w:w w:val="105"/>
                <w:sz w:val="16"/>
              </w:rPr>
              <w:t>1,066</w:t>
            </w:r>
          </w:p>
        </w:tc>
      </w:tr>
      <w:tr w:rsidR="00EB2BD8" w:rsidRPr="00EB2BD8" w14:paraId="5FFD537C" w14:textId="77777777">
        <w:trPr>
          <w:trHeight w:val="286"/>
        </w:trPr>
        <w:tc>
          <w:tcPr>
            <w:tcW w:w="4388" w:type="dxa"/>
            <w:tcBorders>
              <w:top w:val="single" w:sz="12" w:space="0" w:color="000000"/>
              <w:bottom w:val="single" w:sz="12" w:space="0" w:color="000000"/>
            </w:tcBorders>
            <w:shd w:val="clear" w:color="auto" w:fill="FFFFFF"/>
          </w:tcPr>
          <w:p w14:paraId="6EA07035" w14:textId="77777777" w:rsidR="00084F36" w:rsidRPr="00EB2BD8" w:rsidRDefault="00EB2BD8">
            <w:pPr>
              <w:pStyle w:val="TableParagraph"/>
              <w:spacing w:before="53"/>
              <w:ind w:left="105"/>
              <w:rPr>
                <w:rFonts w:ascii="Arial"/>
                <w:b/>
                <w:sz w:val="16"/>
              </w:rPr>
            </w:pPr>
            <w:r w:rsidRPr="00EB2BD8">
              <w:rPr>
                <w:rFonts w:ascii="Arial"/>
                <w:b/>
                <w:w w:val="105"/>
                <w:sz w:val="16"/>
              </w:rPr>
              <w:t>Net</w:t>
            </w:r>
            <w:r w:rsidRPr="00EB2BD8">
              <w:rPr>
                <w:rFonts w:ascii="Arial"/>
                <w:b/>
                <w:spacing w:val="-8"/>
                <w:w w:val="105"/>
                <w:sz w:val="16"/>
              </w:rPr>
              <w:t xml:space="preserve"> </w:t>
            </w:r>
            <w:r w:rsidRPr="00EB2BD8">
              <w:rPr>
                <w:rFonts w:ascii="Arial"/>
                <w:b/>
                <w:w w:val="105"/>
                <w:sz w:val="16"/>
              </w:rPr>
              <w:t>carrying</w:t>
            </w:r>
            <w:r w:rsidRPr="00EB2BD8">
              <w:rPr>
                <w:rFonts w:ascii="Arial"/>
                <w:b/>
                <w:spacing w:val="-7"/>
                <w:w w:val="105"/>
                <w:sz w:val="16"/>
              </w:rPr>
              <w:t xml:space="preserve"> </w:t>
            </w:r>
            <w:r w:rsidRPr="00EB2BD8">
              <w:rPr>
                <w:rFonts w:ascii="Arial"/>
                <w:b/>
                <w:spacing w:val="-2"/>
                <w:w w:val="105"/>
                <w:sz w:val="16"/>
              </w:rPr>
              <w:t>amount</w:t>
            </w:r>
          </w:p>
        </w:tc>
        <w:tc>
          <w:tcPr>
            <w:tcW w:w="2208" w:type="dxa"/>
            <w:tcBorders>
              <w:top w:val="single" w:sz="12" w:space="0" w:color="000000"/>
              <w:bottom w:val="single" w:sz="12" w:space="0" w:color="000000"/>
            </w:tcBorders>
            <w:shd w:val="clear" w:color="auto" w:fill="FFFFFF"/>
          </w:tcPr>
          <w:p w14:paraId="1BFD8955" w14:textId="5B96A90B" w:rsidR="00084F36" w:rsidRPr="00EB2BD8" w:rsidRDefault="00EB2BD8">
            <w:pPr>
              <w:pStyle w:val="TableParagraph"/>
              <w:spacing w:before="53"/>
              <w:ind w:right="115"/>
              <w:jc w:val="right"/>
              <w:rPr>
                <w:rFonts w:ascii="Arial"/>
                <w:b/>
                <w:sz w:val="16"/>
              </w:rPr>
            </w:pPr>
            <w:r w:rsidRPr="00EB2BD8">
              <w:rPr>
                <w:rFonts w:ascii="Arial"/>
                <w:b/>
                <w:spacing w:val="-2"/>
                <w:w w:val="105"/>
                <w:sz w:val="16"/>
              </w:rPr>
              <w:t>13,303</w:t>
            </w:r>
          </w:p>
        </w:tc>
        <w:tc>
          <w:tcPr>
            <w:tcW w:w="1276" w:type="dxa"/>
            <w:tcBorders>
              <w:top w:val="single" w:sz="12" w:space="0" w:color="000000"/>
              <w:bottom w:val="single" w:sz="12" w:space="0" w:color="000000"/>
            </w:tcBorders>
            <w:shd w:val="clear" w:color="auto" w:fill="FFFFFF"/>
          </w:tcPr>
          <w:p w14:paraId="688A40E4" w14:textId="77777777" w:rsidR="00084F36" w:rsidRPr="00EB2BD8" w:rsidRDefault="00EB2BD8">
            <w:pPr>
              <w:pStyle w:val="TableParagraph"/>
              <w:spacing w:before="53"/>
              <w:ind w:right="94"/>
              <w:jc w:val="right"/>
              <w:rPr>
                <w:rFonts w:ascii="Arial"/>
                <w:b/>
                <w:sz w:val="16"/>
              </w:rPr>
            </w:pPr>
            <w:r w:rsidRPr="00EB2BD8">
              <w:rPr>
                <w:rFonts w:ascii="Arial"/>
                <w:b/>
                <w:spacing w:val="-2"/>
                <w:w w:val="105"/>
                <w:sz w:val="16"/>
              </w:rPr>
              <w:t>(7,401)</w:t>
            </w:r>
          </w:p>
        </w:tc>
        <w:tc>
          <w:tcPr>
            <w:tcW w:w="1251" w:type="dxa"/>
            <w:tcBorders>
              <w:top w:val="single" w:sz="12" w:space="0" w:color="000000"/>
              <w:bottom w:val="single" w:sz="12" w:space="0" w:color="000000"/>
            </w:tcBorders>
            <w:shd w:val="clear" w:color="auto" w:fill="DEEAF6"/>
          </w:tcPr>
          <w:p w14:paraId="1AE861D1" w14:textId="77777777" w:rsidR="00084F36" w:rsidRPr="00EB2BD8" w:rsidRDefault="00EB2BD8">
            <w:pPr>
              <w:pStyle w:val="TableParagraph"/>
              <w:spacing w:before="53"/>
              <w:ind w:right="92"/>
              <w:jc w:val="right"/>
              <w:rPr>
                <w:rFonts w:ascii="Arial"/>
                <w:b/>
                <w:sz w:val="16"/>
              </w:rPr>
            </w:pPr>
            <w:r w:rsidRPr="00EB2BD8">
              <w:rPr>
                <w:rFonts w:ascii="Arial"/>
                <w:b/>
                <w:spacing w:val="-2"/>
                <w:w w:val="105"/>
                <w:sz w:val="16"/>
              </w:rPr>
              <w:t>5,902</w:t>
            </w:r>
          </w:p>
        </w:tc>
      </w:tr>
    </w:tbl>
    <w:p w14:paraId="14789D9B" w14:textId="49ABD116" w:rsidR="00084F36" w:rsidRPr="00EB2BD8" w:rsidRDefault="00084F36">
      <w:pPr>
        <w:pStyle w:val="BodyText"/>
        <w:rPr>
          <w:rFonts w:ascii="Arial"/>
        </w:rPr>
      </w:pPr>
    </w:p>
    <w:p w14:paraId="724309D0" w14:textId="212982DE" w:rsidR="00084F36" w:rsidRPr="00EB2BD8" w:rsidRDefault="00084F36">
      <w:pPr>
        <w:pStyle w:val="BodyText"/>
        <w:spacing w:before="10"/>
        <w:rPr>
          <w:rFonts w:ascii="Arial"/>
          <w:sz w:val="26"/>
        </w:rPr>
      </w:pPr>
    </w:p>
    <w:p w14:paraId="10DC6DD9" w14:textId="492BB9BA" w:rsidR="00084F36" w:rsidRPr="00EB2BD8" w:rsidRDefault="00EB2BD8">
      <w:pPr>
        <w:spacing w:after="46"/>
        <w:ind w:left="9558"/>
        <w:rPr>
          <w:rFonts w:ascii="Arial" w:hAnsi="Arial"/>
          <w:sz w:val="16"/>
        </w:rPr>
      </w:pPr>
      <w:r w:rsidRPr="00EB2BD8">
        <w:rPr>
          <w:rFonts w:ascii="Arial" w:hAnsi="Arial"/>
          <w:spacing w:val="-2"/>
          <w:w w:val="105"/>
          <w:sz w:val="16"/>
        </w:rPr>
        <w:t>($’000)</w:t>
      </w:r>
    </w:p>
    <w:tbl>
      <w:tblPr>
        <w:tblW w:w="0" w:type="auto"/>
        <w:tblInd w:w="1061" w:type="dxa"/>
        <w:tblLayout w:type="fixed"/>
        <w:tblCellMar>
          <w:left w:w="0" w:type="dxa"/>
          <w:right w:w="0" w:type="dxa"/>
        </w:tblCellMar>
        <w:tblLook w:val="01E0" w:firstRow="1" w:lastRow="1" w:firstColumn="1" w:lastColumn="1" w:noHBand="0" w:noVBand="0"/>
      </w:tblPr>
      <w:tblGrid>
        <w:gridCol w:w="5818"/>
        <w:gridCol w:w="2041"/>
        <w:gridCol w:w="1265"/>
      </w:tblGrid>
      <w:tr w:rsidR="00EB2BD8" w:rsidRPr="00EB2BD8" w14:paraId="1A73CCC3" w14:textId="77777777">
        <w:trPr>
          <w:trHeight w:val="810"/>
        </w:trPr>
        <w:tc>
          <w:tcPr>
            <w:tcW w:w="7859" w:type="dxa"/>
            <w:gridSpan w:val="2"/>
            <w:tcBorders>
              <w:top w:val="single" w:sz="4" w:space="0" w:color="0098FF"/>
            </w:tcBorders>
            <w:shd w:val="clear" w:color="auto" w:fill="0070C0"/>
          </w:tcPr>
          <w:p w14:paraId="736EC5EA" w14:textId="64970FB0" w:rsidR="00084F36" w:rsidRPr="00EB2BD8" w:rsidRDefault="00084F36">
            <w:pPr>
              <w:pStyle w:val="TableParagraph"/>
              <w:rPr>
                <w:rFonts w:ascii="Arial"/>
                <w:sz w:val="18"/>
              </w:rPr>
            </w:pPr>
          </w:p>
          <w:p w14:paraId="7BABA906" w14:textId="77777777" w:rsidR="00084F36" w:rsidRPr="00EB2BD8" w:rsidRDefault="00EB2BD8">
            <w:pPr>
              <w:pStyle w:val="TableParagraph"/>
              <w:spacing w:before="108"/>
              <w:ind w:right="149"/>
              <w:jc w:val="right"/>
              <w:rPr>
                <w:rFonts w:ascii="Arial"/>
                <w:b/>
                <w:sz w:val="16"/>
              </w:rPr>
            </w:pPr>
            <w:r w:rsidRPr="00EB2BD8">
              <w:rPr>
                <w:rFonts w:ascii="Arial"/>
                <w:b/>
                <w:w w:val="105"/>
                <w:sz w:val="16"/>
              </w:rPr>
              <w:t>Buildings</w:t>
            </w:r>
            <w:r w:rsidRPr="00EB2BD8">
              <w:rPr>
                <w:rFonts w:ascii="Arial"/>
                <w:b/>
                <w:spacing w:val="-6"/>
                <w:w w:val="105"/>
                <w:sz w:val="16"/>
              </w:rPr>
              <w:t xml:space="preserve"> </w:t>
            </w:r>
            <w:r w:rsidRPr="00EB2BD8">
              <w:rPr>
                <w:rFonts w:ascii="Arial"/>
                <w:b/>
                <w:w w:val="105"/>
                <w:sz w:val="16"/>
              </w:rPr>
              <w:t>at</w:t>
            </w:r>
            <w:r w:rsidRPr="00EB2BD8">
              <w:rPr>
                <w:rFonts w:ascii="Arial"/>
                <w:b/>
                <w:spacing w:val="-6"/>
                <w:w w:val="105"/>
                <w:sz w:val="16"/>
              </w:rPr>
              <w:t xml:space="preserve"> </w:t>
            </w:r>
            <w:r w:rsidRPr="00EB2BD8">
              <w:rPr>
                <w:rFonts w:ascii="Arial"/>
                <w:b/>
                <w:w w:val="105"/>
                <w:sz w:val="16"/>
              </w:rPr>
              <w:t>fair</w:t>
            </w:r>
            <w:r w:rsidRPr="00EB2BD8">
              <w:rPr>
                <w:rFonts w:ascii="Arial"/>
                <w:b/>
                <w:spacing w:val="-6"/>
                <w:w w:val="105"/>
                <w:sz w:val="16"/>
              </w:rPr>
              <w:t xml:space="preserve"> </w:t>
            </w:r>
            <w:r w:rsidRPr="00EB2BD8">
              <w:rPr>
                <w:rFonts w:ascii="Arial"/>
                <w:b/>
                <w:spacing w:val="-2"/>
                <w:w w:val="105"/>
                <w:sz w:val="16"/>
              </w:rPr>
              <w:t>value</w:t>
            </w:r>
          </w:p>
        </w:tc>
        <w:tc>
          <w:tcPr>
            <w:tcW w:w="1265" w:type="dxa"/>
            <w:tcBorders>
              <w:top w:val="single" w:sz="4" w:space="0" w:color="0098FF"/>
              <w:right w:val="single" w:sz="4" w:space="0" w:color="0098FF"/>
            </w:tcBorders>
            <w:shd w:val="clear" w:color="auto" w:fill="0070C0"/>
          </w:tcPr>
          <w:p w14:paraId="038057AD" w14:textId="77777777" w:rsidR="00084F36" w:rsidRPr="00EB2BD8" w:rsidRDefault="00EB2BD8">
            <w:pPr>
              <w:pStyle w:val="TableParagraph"/>
              <w:spacing w:before="26" w:line="252" w:lineRule="auto"/>
              <w:ind w:left="162" w:right="87" w:firstLine="549"/>
              <w:jc w:val="right"/>
              <w:rPr>
                <w:rFonts w:ascii="Arial"/>
                <w:b/>
                <w:sz w:val="16"/>
              </w:rPr>
            </w:pPr>
            <w:r w:rsidRPr="00EB2BD8">
              <w:rPr>
                <w:rFonts w:ascii="Arial"/>
                <w:b/>
                <w:spacing w:val="-2"/>
                <w:w w:val="105"/>
                <w:sz w:val="16"/>
              </w:rPr>
              <w:t xml:space="preserve">Plant, equipment </w:t>
            </w:r>
            <w:r w:rsidRPr="00EB2BD8">
              <w:rPr>
                <w:rFonts w:ascii="Arial"/>
                <w:b/>
                <w:w w:val="105"/>
                <w:sz w:val="16"/>
              </w:rPr>
              <w:t>and</w:t>
            </w:r>
            <w:r w:rsidRPr="00EB2BD8">
              <w:rPr>
                <w:rFonts w:ascii="Arial"/>
                <w:b/>
                <w:spacing w:val="-5"/>
                <w:w w:val="105"/>
                <w:sz w:val="16"/>
              </w:rPr>
              <w:t xml:space="preserve"> </w:t>
            </w:r>
            <w:r w:rsidRPr="00EB2BD8">
              <w:rPr>
                <w:rFonts w:ascii="Arial"/>
                <w:b/>
                <w:spacing w:val="-2"/>
                <w:w w:val="105"/>
                <w:sz w:val="16"/>
              </w:rPr>
              <w:t>vehicles</w:t>
            </w:r>
          </w:p>
          <w:p w14:paraId="6DB02B23" w14:textId="77777777" w:rsidR="00084F36" w:rsidRPr="00EB2BD8" w:rsidRDefault="00EB2BD8">
            <w:pPr>
              <w:pStyle w:val="TableParagraph"/>
              <w:spacing w:line="183" w:lineRule="exact"/>
              <w:ind w:right="87"/>
              <w:jc w:val="right"/>
              <w:rPr>
                <w:rFonts w:ascii="Arial"/>
                <w:b/>
                <w:sz w:val="16"/>
              </w:rPr>
            </w:pPr>
            <w:r w:rsidRPr="00EB2BD8">
              <w:rPr>
                <w:rFonts w:ascii="Arial"/>
                <w:b/>
                <w:w w:val="105"/>
                <w:sz w:val="16"/>
              </w:rPr>
              <w:t>at</w:t>
            </w:r>
            <w:r w:rsidRPr="00EB2BD8">
              <w:rPr>
                <w:rFonts w:ascii="Arial"/>
                <w:b/>
                <w:spacing w:val="-4"/>
                <w:w w:val="105"/>
                <w:sz w:val="16"/>
              </w:rPr>
              <w:t xml:space="preserve"> </w:t>
            </w:r>
            <w:r w:rsidRPr="00EB2BD8">
              <w:rPr>
                <w:rFonts w:ascii="Arial"/>
                <w:b/>
                <w:w w:val="105"/>
                <w:sz w:val="16"/>
              </w:rPr>
              <w:t>fair</w:t>
            </w:r>
            <w:r w:rsidRPr="00EB2BD8">
              <w:rPr>
                <w:rFonts w:ascii="Arial"/>
                <w:b/>
                <w:spacing w:val="-3"/>
                <w:w w:val="105"/>
                <w:sz w:val="16"/>
              </w:rPr>
              <w:t xml:space="preserve"> </w:t>
            </w:r>
            <w:r w:rsidRPr="00EB2BD8">
              <w:rPr>
                <w:rFonts w:ascii="Arial"/>
                <w:b/>
                <w:spacing w:val="-2"/>
                <w:w w:val="105"/>
                <w:sz w:val="16"/>
              </w:rPr>
              <w:t>value</w:t>
            </w:r>
          </w:p>
        </w:tc>
      </w:tr>
      <w:tr w:rsidR="00EB2BD8" w:rsidRPr="00EB2BD8" w14:paraId="2ACE0176" w14:textId="77777777">
        <w:trPr>
          <w:trHeight w:val="312"/>
        </w:trPr>
        <w:tc>
          <w:tcPr>
            <w:tcW w:w="5818" w:type="dxa"/>
            <w:tcBorders>
              <w:top w:val="single" w:sz="4" w:space="0" w:color="0098FF"/>
            </w:tcBorders>
            <w:shd w:val="clear" w:color="auto" w:fill="FFFFFF"/>
          </w:tcPr>
          <w:p w14:paraId="67830FCE" w14:textId="58847EE0" w:rsidR="00084F36" w:rsidRPr="00EB2BD8" w:rsidRDefault="00EB2BD8">
            <w:pPr>
              <w:pStyle w:val="TableParagraph"/>
              <w:spacing w:before="64"/>
              <w:ind w:left="105"/>
              <w:rPr>
                <w:rFonts w:ascii="Arial" w:hAnsi="Arial"/>
                <w:b/>
                <w:sz w:val="16"/>
              </w:rPr>
            </w:pPr>
            <w:r w:rsidRPr="00EB2BD8">
              <w:rPr>
                <w:rFonts w:ascii="Arial" w:hAnsi="Arial"/>
                <w:b/>
                <w:w w:val="105"/>
                <w:sz w:val="16"/>
              </w:rPr>
              <w:t>Opening</w:t>
            </w:r>
            <w:r w:rsidRPr="00EB2BD8">
              <w:rPr>
                <w:rFonts w:ascii="Arial" w:hAnsi="Arial"/>
                <w:b/>
                <w:spacing w:val="-6"/>
                <w:w w:val="105"/>
                <w:sz w:val="16"/>
              </w:rPr>
              <w:t xml:space="preserve"> </w:t>
            </w:r>
            <w:r w:rsidRPr="00EB2BD8">
              <w:rPr>
                <w:rFonts w:ascii="Arial" w:hAnsi="Arial"/>
                <w:b/>
                <w:w w:val="105"/>
                <w:sz w:val="16"/>
              </w:rPr>
              <w:t>balance</w:t>
            </w:r>
            <w:r w:rsidRPr="00EB2BD8">
              <w:rPr>
                <w:rFonts w:ascii="Arial" w:hAnsi="Arial"/>
                <w:b/>
                <w:spacing w:val="-5"/>
                <w:w w:val="105"/>
                <w:sz w:val="16"/>
              </w:rPr>
              <w:t xml:space="preserve"> </w:t>
            </w:r>
            <w:r w:rsidRPr="00EB2BD8">
              <w:rPr>
                <w:rFonts w:ascii="Arial" w:hAnsi="Arial"/>
                <w:b/>
                <w:w w:val="105"/>
                <w:sz w:val="16"/>
              </w:rPr>
              <w:t>–</w:t>
            </w:r>
            <w:r w:rsidRPr="00EB2BD8">
              <w:rPr>
                <w:rFonts w:ascii="Arial" w:hAnsi="Arial"/>
                <w:b/>
                <w:spacing w:val="-5"/>
                <w:w w:val="105"/>
                <w:sz w:val="16"/>
              </w:rPr>
              <w:t xml:space="preserve"> </w:t>
            </w:r>
            <w:r w:rsidRPr="00EB2BD8">
              <w:rPr>
                <w:rFonts w:ascii="Arial" w:hAnsi="Arial"/>
                <w:b/>
                <w:w w:val="105"/>
                <w:sz w:val="16"/>
              </w:rPr>
              <w:t>1</w:t>
            </w:r>
            <w:r w:rsidRPr="00EB2BD8">
              <w:rPr>
                <w:rFonts w:ascii="Arial" w:hAnsi="Arial"/>
                <w:b/>
                <w:spacing w:val="-5"/>
                <w:w w:val="105"/>
                <w:sz w:val="16"/>
              </w:rPr>
              <w:t xml:space="preserve"> </w:t>
            </w:r>
            <w:r w:rsidRPr="00EB2BD8">
              <w:rPr>
                <w:rFonts w:ascii="Arial" w:hAnsi="Arial"/>
                <w:b/>
                <w:w w:val="105"/>
                <w:sz w:val="16"/>
              </w:rPr>
              <w:t>July</w:t>
            </w:r>
            <w:r w:rsidRPr="00EB2BD8">
              <w:rPr>
                <w:rFonts w:ascii="Arial" w:hAnsi="Arial"/>
                <w:b/>
                <w:spacing w:val="-5"/>
                <w:w w:val="105"/>
                <w:sz w:val="16"/>
              </w:rPr>
              <w:t xml:space="preserve"> </w:t>
            </w:r>
            <w:r w:rsidRPr="00EB2BD8">
              <w:rPr>
                <w:rFonts w:ascii="Arial" w:hAnsi="Arial"/>
                <w:b/>
                <w:spacing w:val="-4"/>
                <w:w w:val="105"/>
                <w:sz w:val="16"/>
              </w:rPr>
              <w:t>2022</w:t>
            </w:r>
          </w:p>
        </w:tc>
        <w:tc>
          <w:tcPr>
            <w:tcW w:w="2041" w:type="dxa"/>
            <w:shd w:val="clear" w:color="auto" w:fill="DEEAF6"/>
          </w:tcPr>
          <w:p w14:paraId="2A02502B" w14:textId="77777777" w:rsidR="00084F36" w:rsidRPr="00EB2BD8" w:rsidRDefault="00EB2BD8">
            <w:pPr>
              <w:pStyle w:val="TableParagraph"/>
              <w:spacing w:before="64"/>
              <w:ind w:right="150"/>
              <w:jc w:val="right"/>
              <w:rPr>
                <w:rFonts w:ascii="Arial"/>
                <w:sz w:val="16"/>
              </w:rPr>
            </w:pPr>
            <w:r w:rsidRPr="00EB2BD8">
              <w:rPr>
                <w:rFonts w:ascii="Arial"/>
                <w:spacing w:val="-4"/>
                <w:w w:val="105"/>
                <w:sz w:val="16"/>
              </w:rPr>
              <w:t>4,836</w:t>
            </w:r>
          </w:p>
        </w:tc>
        <w:tc>
          <w:tcPr>
            <w:tcW w:w="1265" w:type="dxa"/>
            <w:shd w:val="clear" w:color="auto" w:fill="DEEAF6"/>
          </w:tcPr>
          <w:p w14:paraId="35CA3E8A" w14:textId="77777777" w:rsidR="00084F36" w:rsidRPr="00EB2BD8" w:rsidRDefault="00EB2BD8">
            <w:pPr>
              <w:pStyle w:val="TableParagraph"/>
              <w:spacing w:before="64"/>
              <w:ind w:right="93"/>
              <w:jc w:val="right"/>
              <w:rPr>
                <w:rFonts w:ascii="Arial"/>
                <w:sz w:val="16"/>
              </w:rPr>
            </w:pPr>
            <w:r w:rsidRPr="00EB2BD8">
              <w:rPr>
                <w:rFonts w:ascii="Arial"/>
                <w:spacing w:val="-4"/>
                <w:w w:val="105"/>
                <w:sz w:val="16"/>
              </w:rPr>
              <w:t>1,066</w:t>
            </w:r>
          </w:p>
        </w:tc>
      </w:tr>
      <w:tr w:rsidR="00EB2BD8" w:rsidRPr="00EB2BD8" w14:paraId="3AE06770" w14:textId="77777777">
        <w:trPr>
          <w:trHeight w:val="314"/>
        </w:trPr>
        <w:tc>
          <w:tcPr>
            <w:tcW w:w="5818" w:type="dxa"/>
            <w:shd w:val="clear" w:color="auto" w:fill="FFFFFF"/>
          </w:tcPr>
          <w:p w14:paraId="3C1AD0BA" w14:textId="705BD421" w:rsidR="00084F36" w:rsidRPr="00EB2BD8" w:rsidRDefault="00EB2BD8">
            <w:pPr>
              <w:pStyle w:val="TableParagraph"/>
              <w:spacing w:before="64"/>
              <w:ind w:left="105"/>
              <w:rPr>
                <w:rFonts w:ascii="Arial"/>
                <w:sz w:val="16"/>
              </w:rPr>
            </w:pPr>
            <w:r w:rsidRPr="00EB2BD8">
              <w:rPr>
                <w:rFonts w:ascii="Arial"/>
                <w:spacing w:val="-2"/>
                <w:w w:val="105"/>
                <w:sz w:val="16"/>
              </w:rPr>
              <w:t>Additions</w:t>
            </w:r>
          </w:p>
        </w:tc>
        <w:tc>
          <w:tcPr>
            <w:tcW w:w="2041" w:type="dxa"/>
            <w:shd w:val="clear" w:color="auto" w:fill="DEEAF6"/>
          </w:tcPr>
          <w:p w14:paraId="6BC646A2" w14:textId="77777777" w:rsidR="00084F36" w:rsidRPr="00EB2BD8" w:rsidRDefault="00EB2BD8">
            <w:pPr>
              <w:pStyle w:val="TableParagraph"/>
              <w:spacing w:before="64"/>
              <w:ind w:right="151"/>
              <w:jc w:val="right"/>
              <w:rPr>
                <w:rFonts w:ascii="Arial"/>
                <w:sz w:val="16"/>
              </w:rPr>
            </w:pPr>
            <w:r w:rsidRPr="00EB2BD8">
              <w:rPr>
                <w:rFonts w:ascii="Arial"/>
                <w:spacing w:val="-5"/>
                <w:w w:val="105"/>
                <w:sz w:val="16"/>
              </w:rPr>
              <w:t>141</w:t>
            </w:r>
          </w:p>
        </w:tc>
        <w:tc>
          <w:tcPr>
            <w:tcW w:w="1265" w:type="dxa"/>
            <w:shd w:val="clear" w:color="auto" w:fill="DEEAF6"/>
          </w:tcPr>
          <w:p w14:paraId="3090B79A" w14:textId="77777777" w:rsidR="00084F36" w:rsidRPr="00EB2BD8" w:rsidRDefault="00EB2BD8">
            <w:pPr>
              <w:pStyle w:val="TableParagraph"/>
              <w:spacing w:before="64"/>
              <w:ind w:right="93"/>
              <w:jc w:val="right"/>
              <w:rPr>
                <w:rFonts w:ascii="Arial"/>
                <w:sz w:val="16"/>
              </w:rPr>
            </w:pPr>
            <w:r w:rsidRPr="00EB2BD8">
              <w:rPr>
                <w:rFonts w:ascii="Arial"/>
                <w:spacing w:val="-2"/>
                <w:w w:val="105"/>
                <w:sz w:val="16"/>
              </w:rPr>
              <w:t>1,063</w:t>
            </w:r>
          </w:p>
        </w:tc>
      </w:tr>
      <w:tr w:rsidR="00EB2BD8" w:rsidRPr="00EB2BD8" w14:paraId="5A039527" w14:textId="77777777">
        <w:trPr>
          <w:trHeight w:val="316"/>
        </w:trPr>
        <w:tc>
          <w:tcPr>
            <w:tcW w:w="5818" w:type="dxa"/>
            <w:shd w:val="clear" w:color="auto" w:fill="FFFFFF"/>
          </w:tcPr>
          <w:p w14:paraId="4DECFB05" w14:textId="77777777" w:rsidR="00084F36" w:rsidRPr="00EB2BD8" w:rsidRDefault="00EB2BD8">
            <w:pPr>
              <w:pStyle w:val="TableParagraph"/>
              <w:spacing w:before="66"/>
              <w:ind w:left="105"/>
              <w:rPr>
                <w:rFonts w:ascii="Arial"/>
                <w:sz w:val="16"/>
              </w:rPr>
            </w:pPr>
            <w:r w:rsidRPr="00EB2BD8">
              <w:rPr>
                <w:rFonts w:ascii="Arial"/>
                <w:spacing w:val="-2"/>
                <w:w w:val="105"/>
                <w:sz w:val="16"/>
              </w:rPr>
              <w:t>Disposals</w:t>
            </w:r>
          </w:p>
        </w:tc>
        <w:tc>
          <w:tcPr>
            <w:tcW w:w="2041" w:type="dxa"/>
            <w:shd w:val="clear" w:color="auto" w:fill="DEEAF6"/>
          </w:tcPr>
          <w:p w14:paraId="1766C5A9" w14:textId="77777777" w:rsidR="00084F36" w:rsidRPr="00EB2BD8" w:rsidRDefault="00EB2BD8">
            <w:pPr>
              <w:pStyle w:val="TableParagraph"/>
              <w:spacing w:before="66"/>
              <w:ind w:right="149"/>
              <w:jc w:val="right"/>
              <w:rPr>
                <w:rFonts w:ascii="Arial"/>
                <w:sz w:val="16"/>
              </w:rPr>
            </w:pPr>
            <w:r w:rsidRPr="00EB2BD8">
              <w:rPr>
                <w:rFonts w:ascii="Arial"/>
                <w:w w:val="104"/>
                <w:sz w:val="16"/>
              </w:rPr>
              <w:t>-</w:t>
            </w:r>
          </w:p>
        </w:tc>
        <w:tc>
          <w:tcPr>
            <w:tcW w:w="1265" w:type="dxa"/>
            <w:shd w:val="clear" w:color="auto" w:fill="DEEAF6"/>
          </w:tcPr>
          <w:p w14:paraId="5CB9ABE0" w14:textId="77777777" w:rsidR="00084F36" w:rsidRPr="00EB2BD8" w:rsidRDefault="00EB2BD8">
            <w:pPr>
              <w:pStyle w:val="TableParagraph"/>
              <w:spacing w:before="66"/>
              <w:ind w:right="94"/>
              <w:jc w:val="right"/>
              <w:rPr>
                <w:rFonts w:ascii="Arial"/>
                <w:sz w:val="16"/>
              </w:rPr>
            </w:pPr>
            <w:r w:rsidRPr="00EB2BD8">
              <w:rPr>
                <w:rFonts w:ascii="Arial"/>
                <w:spacing w:val="-4"/>
                <w:w w:val="105"/>
                <w:sz w:val="16"/>
              </w:rPr>
              <w:t>(43)</w:t>
            </w:r>
          </w:p>
        </w:tc>
      </w:tr>
      <w:tr w:rsidR="00EB2BD8" w:rsidRPr="00EB2BD8" w14:paraId="5BEF1A79" w14:textId="77777777">
        <w:trPr>
          <w:trHeight w:val="314"/>
        </w:trPr>
        <w:tc>
          <w:tcPr>
            <w:tcW w:w="5818" w:type="dxa"/>
            <w:tcBorders>
              <w:bottom w:val="single" w:sz="12" w:space="0" w:color="000000"/>
            </w:tcBorders>
            <w:shd w:val="clear" w:color="auto" w:fill="FFFFFF"/>
          </w:tcPr>
          <w:p w14:paraId="567DDEC5" w14:textId="57734B56" w:rsidR="00084F36" w:rsidRPr="00EB2BD8" w:rsidRDefault="00EB2BD8">
            <w:pPr>
              <w:pStyle w:val="TableParagraph"/>
              <w:spacing w:before="66"/>
              <w:ind w:left="105"/>
              <w:rPr>
                <w:rFonts w:ascii="Arial"/>
                <w:sz w:val="16"/>
              </w:rPr>
            </w:pPr>
            <w:r w:rsidRPr="00EB2BD8">
              <w:rPr>
                <w:rFonts w:ascii="Arial"/>
                <w:spacing w:val="-2"/>
                <w:w w:val="105"/>
                <w:sz w:val="16"/>
              </w:rPr>
              <w:t>Depreciation</w:t>
            </w:r>
          </w:p>
        </w:tc>
        <w:tc>
          <w:tcPr>
            <w:tcW w:w="2041" w:type="dxa"/>
            <w:tcBorders>
              <w:bottom w:val="single" w:sz="12" w:space="0" w:color="000000"/>
            </w:tcBorders>
            <w:shd w:val="clear" w:color="auto" w:fill="DEEAF6"/>
          </w:tcPr>
          <w:p w14:paraId="35D81118" w14:textId="77777777" w:rsidR="00084F36" w:rsidRPr="00EB2BD8" w:rsidRDefault="00EB2BD8">
            <w:pPr>
              <w:pStyle w:val="TableParagraph"/>
              <w:spacing w:before="66"/>
              <w:ind w:right="151"/>
              <w:jc w:val="right"/>
              <w:rPr>
                <w:rFonts w:ascii="Arial"/>
                <w:sz w:val="16"/>
              </w:rPr>
            </w:pPr>
            <w:r w:rsidRPr="00EB2BD8">
              <w:rPr>
                <w:rFonts w:ascii="Arial"/>
                <w:spacing w:val="-2"/>
                <w:w w:val="105"/>
                <w:sz w:val="16"/>
              </w:rPr>
              <w:t>(2,059)</w:t>
            </w:r>
          </w:p>
        </w:tc>
        <w:tc>
          <w:tcPr>
            <w:tcW w:w="1265" w:type="dxa"/>
            <w:tcBorders>
              <w:bottom w:val="single" w:sz="12" w:space="0" w:color="000000"/>
            </w:tcBorders>
            <w:shd w:val="clear" w:color="auto" w:fill="DEEAF6"/>
          </w:tcPr>
          <w:p w14:paraId="3D14A447" w14:textId="77777777" w:rsidR="00084F36" w:rsidRPr="00EB2BD8" w:rsidRDefault="00EB2BD8">
            <w:pPr>
              <w:pStyle w:val="TableParagraph"/>
              <w:spacing w:before="66"/>
              <w:ind w:right="94"/>
              <w:jc w:val="right"/>
              <w:rPr>
                <w:rFonts w:ascii="Arial"/>
                <w:sz w:val="16"/>
              </w:rPr>
            </w:pPr>
            <w:r w:rsidRPr="00EB2BD8">
              <w:rPr>
                <w:rFonts w:ascii="Arial"/>
                <w:spacing w:val="-4"/>
                <w:w w:val="105"/>
                <w:sz w:val="16"/>
              </w:rPr>
              <w:t>(75)</w:t>
            </w:r>
          </w:p>
        </w:tc>
      </w:tr>
      <w:tr w:rsidR="00EB2BD8" w:rsidRPr="00EB2BD8" w14:paraId="2200075F" w14:textId="77777777">
        <w:trPr>
          <w:trHeight w:val="287"/>
        </w:trPr>
        <w:tc>
          <w:tcPr>
            <w:tcW w:w="5818" w:type="dxa"/>
            <w:tcBorders>
              <w:top w:val="single" w:sz="12" w:space="0" w:color="000000"/>
              <w:bottom w:val="single" w:sz="12" w:space="0" w:color="000000"/>
            </w:tcBorders>
            <w:shd w:val="clear" w:color="auto" w:fill="FFFFFF"/>
          </w:tcPr>
          <w:p w14:paraId="7ED77642" w14:textId="77777777" w:rsidR="00084F36" w:rsidRPr="00EB2BD8" w:rsidRDefault="00EB2BD8">
            <w:pPr>
              <w:pStyle w:val="TableParagraph"/>
              <w:spacing w:before="53"/>
              <w:ind w:left="105"/>
              <w:rPr>
                <w:rFonts w:ascii="Arial" w:hAnsi="Arial"/>
                <w:b/>
                <w:sz w:val="16"/>
              </w:rPr>
            </w:pPr>
            <w:r w:rsidRPr="00EB2BD8">
              <w:rPr>
                <w:rFonts w:ascii="Arial" w:hAnsi="Arial"/>
                <w:b/>
                <w:w w:val="105"/>
                <w:sz w:val="16"/>
              </w:rPr>
              <w:t>Closing</w:t>
            </w:r>
            <w:r w:rsidRPr="00EB2BD8">
              <w:rPr>
                <w:rFonts w:ascii="Arial" w:hAnsi="Arial"/>
                <w:b/>
                <w:spacing w:val="-7"/>
                <w:w w:val="105"/>
                <w:sz w:val="16"/>
              </w:rPr>
              <w:t xml:space="preserve"> </w:t>
            </w:r>
            <w:r w:rsidRPr="00EB2BD8">
              <w:rPr>
                <w:rFonts w:ascii="Arial" w:hAnsi="Arial"/>
                <w:b/>
                <w:w w:val="105"/>
                <w:sz w:val="16"/>
              </w:rPr>
              <w:t>balance</w:t>
            </w:r>
            <w:r w:rsidRPr="00EB2BD8">
              <w:rPr>
                <w:rFonts w:ascii="Arial" w:hAnsi="Arial"/>
                <w:b/>
                <w:spacing w:val="-5"/>
                <w:w w:val="105"/>
                <w:sz w:val="16"/>
              </w:rPr>
              <w:t xml:space="preserve"> </w:t>
            </w:r>
            <w:r w:rsidRPr="00EB2BD8">
              <w:rPr>
                <w:rFonts w:ascii="Arial" w:hAnsi="Arial"/>
                <w:b/>
                <w:w w:val="105"/>
                <w:sz w:val="16"/>
              </w:rPr>
              <w:t>–</w:t>
            </w:r>
            <w:r w:rsidRPr="00EB2BD8">
              <w:rPr>
                <w:rFonts w:ascii="Arial" w:hAnsi="Arial"/>
                <w:b/>
                <w:spacing w:val="-6"/>
                <w:w w:val="105"/>
                <w:sz w:val="16"/>
              </w:rPr>
              <w:t xml:space="preserve"> </w:t>
            </w:r>
            <w:r w:rsidRPr="00EB2BD8">
              <w:rPr>
                <w:rFonts w:ascii="Arial" w:hAnsi="Arial"/>
                <w:b/>
                <w:w w:val="105"/>
                <w:sz w:val="16"/>
              </w:rPr>
              <w:t>30</w:t>
            </w:r>
            <w:r w:rsidRPr="00EB2BD8">
              <w:rPr>
                <w:rFonts w:ascii="Arial" w:hAnsi="Arial"/>
                <w:b/>
                <w:spacing w:val="-4"/>
                <w:w w:val="105"/>
                <w:sz w:val="16"/>
              </w:rPr>
              <w:t xml:space="preserve"> </w:t>
            </w:r>
            <w:r w:rsidRPr="00EB2BD8">
              <w:rPr>
                <w:rFonts w:ascii="Arial" w:hAnsi="Arial"/>
                <w:b/>
                <w:w w:val="105"/>
                <w:sz w:val="16"/>
              </w:rPr>
              <w:t>June</w:t>
            </w:r>
            <w:r w:rsidRPr="00EB2BD8">
              <w:rPr>
                <w:rFonts w:ascii="Arial" w:hAnsi="Arial"/>
                <w:b/>
                <w:spacing w:val="-6"/>
                <w:w w:val="105"/>
                <w:sz w:val="16"/>
              </w:rPr>
              <w:t xml:space="preserve"> </w:t>
            </w:r>
            <w:r w:rsidRPr="00EB2BD8">
              <w:rPr>
                <w:rFonts w:ascii="Arial" w:hAnsi="Arial"/>
                <w:b/>
                <w:spacing w:val="-4"/>
                <w:w w:val="105"/>
                <w:sz w:val="16"/>
              </w:rPr>
              <w:t>2023</w:t>
            </w:r>
          </w:p>
        </w:tc>
        <w:tc>
          <w:tcPr>
            <w:tcW w:w="2041" w:type="dxa"/>
            <w:tcBorders>
              <w:top w:val="single" w:sz="12" w:space="0" w:color="000000"/>
              <w:bottom w:val="single" w:sz="12" w:space="0" w:color="000000"/>
            </w:tcBorders>
            <w:shd w:val="clear" w:color="auto" w:fill="DEEAF6"/>
          </w:tcPr>
          <w:p w14:paraId="2AE0CE2B" w14:textId="77777777" w:rsidR="00084F36" w:rsidRPr="00EB2BD8" w:rsidRDefault="00EB2BD8">
            <w:pPr>
              <w:pStyle w:val="TableParagraph"/>
              <w:spacing w:before="54"/>
              <w:ind w:right="150"/>
              <w:jc w:val="right"/>
              <w:rPr>
                <w:rFonts w:ascii="Arial"/>
                <w:b/>
                <w:sz w:val="16"/>
              </w:rPr>
            </w:pPr>
            <w:r w:rsidRPr="00EB2BD8">
              <w:rPr>
                <w:rFonts w:ascii="Arial"/>
                <w:b/>
                <w:spacing w:val="-4"/>
                <w:w w:val="105"/>
                <w:sz w:val="16"/>
              </w:rPr>
              <w:t>2,918</w:t>
            </w:r>
          </w:p>
        </w:tc>
        <w:tc>
          <w:tcPr>
            <w:tcW w:w="1265" w:type="dxa"/>
            <w:tcBorders>
              <w:top w:val="single" w:sz="12" w:space="0" w:color="000000"/>
              <w:bottom w:val="single" w:sz="12" w:space="0" w:color="000000"/>
            </w:tcBorders>
            <w:shd w:val="clear" w:color="auto" w:fill="DEEAF6"/>
          </w:tcPr>
          <w:p w14:paraId="0D521BC5" w14:textId="77777777" w:rsidR="00084F36" w:rsidRPr="00EB2BD8" w:rsidRDefault="00EB2BD8">
            <w:pPr>
              <w:pStyle w:val="TableParagraph"/>
              <w:spacing w:before="54"/>
              <w:ind w:right="93"/>
              <w:jc w:val="right"/>
              <w:rPr>
                <w:rFonts w:ascii="Arial"/>
                <w:b/>
                <w:sz w:val="16"/>
              </w:rPr>
            </w:pPr>
            <w:r w:rsidRPr="00EB2BD8">
              <w:rPr>
                <w:rFonts w:ascii="Arial"/>
                <w:b/>
                <w:spacing w:val="-2"/>
                <w:w w:val="105"/>
                <w:sz w:val="16"/>
              </w:rPr>
              <w:t>2,011</w:t>
            </w:r>
          </w:p>
        </w:tc>
      </w:tr>
      <w:tr w:rsidR="00EB2BD8" w:rsidRPr="00EB2BD8" w14:paraId="38CFBA5C" w14:textId="77777777">
        <w:trPr>
          <w:trHeight w:val="296"/>
        </w:trPr>
        <w:tc>
          <w:tcPr>
            <w:tcW w:w="5818" w:type="dxa"/>
            <w:tcBorders>
              <w:top w:val="single" w:sz="12" w:space="0" w:color="000000"/>
            </w:tcBorders>
            <w:shd w:val="clear" w:color="auto" w:fill="FFFFFF"/>
          </w:tcPr>
          <w:p w14:paraId="762780D4" w14:textId="77777777" w:rsidR="00084F36" w:rsidRPr="00EB2BD8" w:rsidRDefault="00EB2BD8">
            <w:pPr>
              <w:pStyle w:val="TableParagraph"/>
              <w:spacing w:before="54"/>
              <w:ind w:left="105"/>
              <w:rPr>
                <w:rFonts w:ascii="Arial" w:hAnsi="Arial"/>
                <w:b/>
                <w:sz w:val="16"/>
              </w:rPr>
            </w:pPr>
            <w:r w:rsidRPr="00EB2BD8">
              <w:rPr>
                <w:rFonts w:ascii="Arial" w:hAnsi="Arial"/>
                <w:b/>
                <w:w w:val="105"/>
                <w:sz w:val="16"/>
              </w:rPr>
              <w:t>Opening</w:t>
            </w:r>
            <w:r w:rsidRPr="00EB2BD8">
              <w:rPr>
                <w:rFonts w:ascii="Arial" w:hAnsi="Arial"/>
                <w:b/>
                <w:spacing w:val="-6"/>
                <w:w w:val="105"/>
                <w:sz w:val="16"/>
              </w:rPr>
              <w:t xml:space="preserve"> </w:t>
            </w:r>
            <w:r w:rsidRPr="00EB2BD8">
              <w:rPr>
                <w:rFonts w:ascii="Arial" w:hAnsi="Arial"/>
                <w:b/>
                <w:w w:val="105"/>
                <w:sz w:val="16"/>
              </w:rPr>
              <w:t>balance</w:t>
            </w:r>
            <w:r w:rsidRPr="00EB2BD8">
              <w:rPr>
                <w:rFonts w:ascii="Arial" w:hAnsi="Arial"/>
                <w:b/>
                <w:spacing w:val="-5"/>
                <w:w w:val="105"/>
                <w:sz w:val="16"/>
              </w:rPr>
              <w:t xml:space="preserve"> </w:t>
            </w:r>
            <w:r w:rsidRPr="00EB2BD8">
              <w:rPr>
                <w:rFonts w:ascii="Arial" w:hAnsi="Arial"/>
                <w:b/>
                <w:w w:val="105"/>
                <w:sz w:val="16"/>
              </w:rPr>
              <w:t>–</w:t>
            </w:r>
            <w:r w:rsidRPr="00EB2BD8">
              <w:rPr>
                <w:rFonts w:ascii="Arial" w:hAnsi="Arial"/>
                <w:b/>
                <w:spacing w:val="-5"/>
                <w:w w:val="105"/>
                <w:sz w:val="16"/>
              </w:rPr>
              <w:t xml:space="preserve"> </w:t>
            </w:r>
            <w:r w:rsidRPr="00EB2BD8">
              <w:rPr>
                <w:rFonts w:ascii="Arial" w:hAnsi="Arial"/>
                <w:b/>
                <w:w w:val="105"/>
                <w:sz w:val="16"/>
              </w:rPr>
              <w:t>1</w:t>
            </w:r>
            <w:r w:rsidRPr="00EB2BD8">
              <w:rPr>
                <w:rFonts w:ascii="Arial" w:hAnsi="Arial"/>
                <w:b/>
                <w:spacing w:val="-5"/>
                <w:w w:val="105"/>
                <w:sz w:val="16"/>
              </w:rPr>
              <w:t xml:space="preserve"> </w:t>
            </w:r>
            <w:r w:rsidRPr="00EB2BD8">
              <w:rPr>
                <w:rFonts w:ascii="Arial" w:hAnsi="Arial"/>
                <w:b/>
                <w:w w:val="105"/>
                <w:sz w:val="16"/>
              </w:rPr>
              <w:t>July</w:t>
            </w:r>
            <w:r w:rsidRPr="00EB2BD8">
              <w:rPr>
                <w:rFonts w:ascii="Arial" w:hAnsi="Arial"/>
                <w:b/>
                <w:spacing w:val="-5"/>
                <w:w w:val="105"/>
                <w:sz w:val="16"/>
              </w:rPr>
              <w:t xml:space="preserve"> </w:t>
            </w:r>
            <w:r w:rsidRPr="00EB2BD8">
              <w:rPr>
                <w:rFonts w:ascii="Arial" w:hAnsi="Arial"/>
                <w:b/>
                <w:spacing w:val="-4"/>
                <w:w w:val="105"/>
                <w:sz w:val="16"/>
              </w:rPr>
              <w:t>2021</w:t>
            </w:r>
          </w:p>
        </w:tc>
        <w:tc>
          <w:tcPr>
            <w:tcW w:w="2041" w:type="dxa"/>
            <w:tcBorders>
              <w:top w:val="single" w:sz="12" w:space="0" w:color="000000"/>
            </w:tcBorders>
            <w:shd w:val="clear" w:color="auto" w:fill="DEEAF6"/>
          </w:tcPr>
          <w:p w14:paraId="6486437E" w14:textId="77777777" w:rsidR="00084F36" w:rsidRPr="00EB2BD8" w:rsidRDefault="00EB2BD8">
            <w:pPr>
              <w:pStyle w:val="TableParagraph"/>
              <w:spacing w:before="54"/>
              <w:ind w:right="150"/>
              <w:jc w:val="right"/>
              <w:rPr>
                <w:rFonts w:ascii="Arial"/>
                <w:sz w:val="16"/>
              </w:rPr>
            </w:pPr>
            <w:r w:rsidRPr="00EB2BD8">
              <w:rPr>
                <w:rFonts w:ascii="Arial"/>
                <w:spacing w:val="-2"/>
                <w:w w:val="105"/>
                <w:sz w:val="16"/>
              </w:rPr>
              <w:t>6,200</w:t>
            </w:r>
          </w:p>
        </w:tc>
        <w:tc>
          <w:tcPr>
            <w:tcW w:w="1265" w:type="dxa"/>
            <w:tcBorders>
              <w:top w:val="single" w:sz="12" w:space="0" w:color="000000"/>
            </w:tcBorders>
            <w:shd w:val="clear" w:color="auto" w:fill="DEEAF6"/>
          </w:tcPr>
          <w:p w14:paraId="0DD829FE" w14:textId="77777777" w:rsidR="00084F36" w:rsidRPr="00EB2BD8" w:rsidRDefault="00EB2BD8">
            <w:pPr>
              <w:pStyle w:val="TableParagraph"/>
              <w:spacing w:before="54"/>
              <w:ind w:right="92"/>
              <w:jc w:val="right"/>
              <w:rPr>
                <w:rFonts w:ascii="Arial"/>
                <w:sz w:val="16"/>
              </w:rPr>
            </w:pPr>
            <w:r w:rsidRPr="00EB2BD8">
              <w:rPr>
                <w:rFonts w:ascii="Arial"/>
                <w:spacing w:val="-5"/>
                <w:w w:val="105"/>
                <w:sz w:val="16"/>
              </w:rPr>
              <w:t>243</w:t>
            </w:r>
          </w:p>
        </w:tc>
      </w:tr>
      <w:tr w:rsidR="00EB2BD8" w:rsidRPr="00EB2BD8" w14:paraId="1C68072A" w14:textId="77777777">
        <w:trPr>
          <w:trHeight w:val="310"/>
        </w:trPr>
        <w:tc>
          <w:tcPr>
            <w:tcW w:w="5818" w:type="dxa"/>
            <w:shd w:val="clear" w:color="auto" w:fill="FFFFFF"/>
          </w:tcPr>
          <w:p w14:paraId="142D2109" w14:textId="16D9414E" w:rsidR="00084F36" w:rsidRPr="00EB2BD8" w:rsidRDefault="00EB2BD8">
            <w:pPr>
              <w:pStyle w:val="TableParagraph"/>
              <w:spacing w:before="59"/>
              <w:ind w:left="105"/>
              <w:rPr>
                <w:rFonts w:ascii="Arial"/>
                <w:sz w:val="16"/>
              </w:rPr>
            </w:pPr>
            <w:r w:rsidRPr="00EB2BD8">
              <w:rPr>
                <w:rFonts w:ascii="Arial"/>
                <w:spacing w:val="-2"/>
                <w:w w:val="105"/>
                <w:sz w:val="16"/>
              </w:rPr>
              <w:t>Additions</w:t>
            </w:r>
          </w:p>
        </w:tc>
        <w:tc>
          <w:tcPr>
            <w:tcW w:w="2041" w:type="dxa"/>
            <w:shd w:val="clear" w:color="auto" w:fill="DEEAF6"/>
          </w:tcPr>
          <w:p w14:paraId="2258FFEF" w14:textId="77777777" w:rsidR="00084F36" w:rsidRPr="00EB2BD8" w:rsidRDefault="00EB2BD8">
            <w:pPr>
              <w:pStyle w:val="TableParagraph"/>
              <w:spacing w:before="59"/>
              <w:ind w:right="150"/>
              <w:jc w:val="right"/>
              <w:rPr>
                <w:rFonts w:ascii="Arial"/>
                <w:sz w:val="16"/>
              </w:rPr>
            </w:pPr>
            <w:r w:rsidRPr="00EB2BD8">
              <w:rPr>
                <w:rFonts w:ascii="Arial"/>
                <w:spacing w:val="-5"/>
                <w:w w:val="105"/>
                <w:sz w:val="16"/>
              </w:rPr>
              <w:t>449</w:t>
            </w:r>
          </w:p>
        </w:tc>
        <w:tc>
          <w:tcPr>
            <w:tcW w:w="1265" w:type="dxa"/>
            <w:shd w:val="clear" w:color="auto" w:fill="DEEAF6"/>
          </w:tcPr>
          <w:p w14:paraId="4B5F2700" w14:textId="77777777" w:rsidR="00084F36" w:rsidRPr="00EB2BD8" w:rsidRDefault="00EB2BD8">
            <w:pPr>
              <w:pStyle w:val="TableParagraph"/>
              <w:spacing w:before="59"/>
              <w:ind w:right="92"/>
              <w:jc w:val="right"/>
              <w:rPr>
                <w:rFonts w:ascii="Arial"/>
                <w:sz w:val="16"/>
              </w:rPr>
            </w:pPr>
            <w:r w:rsidRPr="00EB2BD8">
              <w:rPr>
                <w:rFonts w:ascii="Arial"/>
                <w:spacing w:val="-2"/>
                <w:w w:val="105"/>
                <w:sz w:val="16"/>
              </w:rPr>
              <w:t>1,200</w:t>
            </w:r>
          </w:p>
        </w:tc>
      </w:tr>
      <w:tr w:rsidR="00EB2BD8" w:rsidRPr="00EB2BD8" w14:paraId="270CD7AA" w14:textId="77777777">
        <w:trPr>
          <w:trHeight w:val="317"/>
        </w:trPr>
        <w:tc>
          <w:tcPr>
            <w:tcW w:w="5818" w:type="dxa"/>
            <w:shd w:val="clear" w:color="auto" w:fill="FFFFFF"/>
          </w:tcPr>
          <w:p w14:paraId="5DE799C4" w14:textId="21794CFF" w:rsidR="00084F36" w:rsidRPr="00EB2BD8" w:rsidRDefault="00EB2BD8">
            <w:pPr>
              <w:pStyle w:val="TableParagraph"/>
              <w:spacing w:before="67"/>
              <w:ind w:left="105"/>
              <w:rPr>
                <w:rFonts w:ascii="Arial"/>
                <w:sz w:val="16"/>
              </w:rPr>
            </w:pPr>
            <w:r w:rsidRPr="00EB2BD8">
              <w:rPr>
                <w:rFonts w:ascii="Arial"/>
                <w:spacing w:val="-2"/>
                <w:w w:val="105"/>
                <w:sz w:val="16"/>
              </w:rPr>
              <w:t>Disposals</w:t>
            </w:r>
          </w:p>
        </w:tc>
        <w:tc>
          <w:tcPr>
            <w:tcW w:w="2041" w:type="dxa"/>
            <w:shd w:val="clear" w:color="auto" w:fill="DEEAF6"/>
          </w:tcPr>
          <w:p w14:paraId="1902E74C" w14:textId="77777777" w:rsidR="00084F36" w:rsidRPr="00EB2BD8" w:rsidRDefault="00EB2BD8">
            <w:pPr>
              <w:pStyle w:val="TableParagraph"/>
              <w:spacing w:before="67"/>
              <w:ind w:right="149"/>
              <w:jc w:val="right"/>
              <w:rPr>
                <w:rFonts w:ascii="Arial"/>
                <w:sz w:val="16"/>
              </w:rPr>
            </w:pPr>
            <w:r w:rsidRPr="00EB2BD8">
              <w:rPr>
                <w:rFonts w:ascii="Arial"/>
                <w:w w:val="104"/>
                <w:sz w:val="16"/>
              </w:rPr>
              <w:t>-</w:t>
            </w:r>
          </w:p>
        </w:tc>
        <w:tc>
          <w:tcPr>
            <w:tcW w:w="1265" w:type="dxa"/>
            <w:shd w:val="clear" w:color="auto" w:fill="DEEAF6"/>
          </w:tcPr>
          <w:p w14:paraId="1F700216" w14:textId="77777777" w:rsidR="00084F36" w:rsidRPr="00EB2BD8" w:rsidRDefault="00EB2BD8">
            <w:pPr>
              <w:pStyle w:val="TableParagraph"/>
              <w:spacing w:before="67"/>
              <w:ind w:right="94"/>
              <w:jc w:val="right"/>
              <w:rPr>
                <w:rFonts w:ascii="Arial"/>
                <w:sz w:val="16"/>
              </w:rPr>
            </w:pPr>
            <w:r w:rsidRPr="00EB2BD8">
              <w:rPr>
                <w:rFonts w:ascii="Arial"/>
                <w:spacing w:val="-2"/>
                <w:w w:val="105"/>
                <w:sz w:val="16"/>
              </w:rPr>
              <w:t>(137)</w:t>
            </w:r>
          </w:p>
        </w:tc>
      </w:tr>
      <w:tr w:rsidR="00EB2BD8" w:rsidRPr="00EB2BD8" w14:paraId="3A8A0B5F" w14:textId="77777777">
        <w:trPr>
          <w:trHeight w:val="314"/>
        </w:trPr>
        <w:tc>
          <w:tcPr>
            <w:tcW w:w="5818" w:type="dxa"/>
            <w:tcBorders>
              <w:bottom w:val="single" w:sz="12" w:space="0" w:color="000000"/>
            </w:tcBorders>
            <w:shd w:val="clear" w:color="auto" w:fill="FFFFFF"/>
          </w:tcPr>
          <w:p w14:paraId="32BA6E26" w14:textId="22A17504" w:rsidR="00084F36" w:rsidRPr="00EB2BD8" w:rsidRDefault="00EB2BD8">
            <w:pPr>
              <w:pStyle w:val="TableParagraph"/>
              <w:spacing w:before="66"/>
              <w:ind w:left="105"/>
              <w:rPr>
                <w:rFonts w:ascii="Arial"/>
                <w:sz w:val="16"/>
              </w:rPr>
            </w:pPr>
            <w:r w:rsidRPr="00EB2BD8">
              <w:rPr>
                <w:rFonts w:ascii="Arial"/>
                <w:spacing w:val="-2"/>
                <w:w w:val="105"/>
                <w:sz w:val="16"/>
              </w:rPr>
              <w:t>Depreciation</w:t>
            </w:r>
          </w:p>
        </w:tc>
        <w:tc>
          <w:tcPr>
            <w:tcW w:w="2041" w:type="dxa"/>
            <w:tcBorders>
              <w:bottom w:val="single" w:sz="12" w:space="0" w:color="000000"/>
            </w:tcBorders>
            <w:shd w:val="clear" w:color="auto" w:fill="DEEAF6"/>
          </w:tcPr>
          <w:p w14:paraId="35207608" w14:textId="77777777" w:rsidR="00084F36" w:rsidRPr="00EB2BD8" w:rsidRDefault="00EB2BD8">
            <w:pPr>
              <w:pStyle w:val="TableParagraph"/>
              <w:spacing w:before="66"/>
              <w:ind w:right="150"/>
              <w:jc w:val="right"/>
              <w:rPr>
                <w:rFonts w:ascii="Arial"/>
                <w:sz w:val="16"/>
              </w:rPr>
            </w:pPr>
            <w:r w:rsidRPr="00EB2BD8">
              <w:rPr>
                <w:rFonts w:ascii="Arial"/>
                <w:spacing w:val="-2"/>
                <w:w w:val="105"/>
                <w:sz w:val="16"/>
              </w:rPr>
              <w:t>(1,813)</w:t>
            </w:r>
          </w:p>
        </w:tc>
        <w:tc>
          <w:tcPr>
            <w:tcW w:w="1265" w:type="dxa"/>
            <w:tcBorders>
              <w:bottom w:val="single" w:sz="12" w:space="0" w:color="000000"/>
            </w:tcBorders>
            <w:shd w:val="clear" w:color="auto" w:fill="DEEAF6"/>
          </w:tcPr>
          <w:p w14:paraId="395CDCA9" w14:textId="77777777" w:rsidR="00084F36" w:rsidRPr="00EB2BD8" w:rsidRDefault="00EB2BD8">
            <w:pPr>
              <w:pStyle w:val="TableParagraph"/>
              <w:spacing w:before="66"/>
              <w:ind w:right="94"/>
              <w:jc w:val="right"/>
              <w:rPr>
                <w:rFonts w:ascii="Arial"/>
                <w:sz w:val="16"/>
              </w:rPr>
            </w:pPr>
            <w:r w:rsidRPr="00EB2BD8">
              <w:rPr>
                <w:rFonts w:ascii="Arial"/>
                <w:spacing w:val="-2"/>
                <w:w w:val="105"/>
                <w:sz w:val="16"/>
              </w:rPr>
              <w:t>(240)</w:t>
            </w:r>
          </w:p>
        </w:tc>
      </w:tr>
      <w:tr w:rsidR="00EB2BD8" w:rsidRPr="00EB2BD8" w14:paraId="167E696C" w14:textId="77777777">
        <w:trPr>
          <w:trHeight w:val="286"/>
        </w:trPr>
        <w:tc>
          <w:tcPr>
            <w:tcW w:w="5818" w:type="dxa"/>
            <w:tcBorders>
              <w:top w:val="single" w:sz="12" w:space="0" w:color="000000"/>
              <w:bottom w:val="single" w:sz="12" w:space="0" w:color="000000"/>
            </w:tcBorders>
            <w:shd w:val="clear" w:color="auto" w:fill="FFFFFF"/>
          </w:tcPr>
          <w:p w14:paraId="5CE31C64" w14:textId="77777777" w:rsidR="00084F36" w:rsidRPr="00EB2BD8" w:rsidRDefault="00EB2BD8">
            <w:pPr>
              <w:pStyle w:val="TableParagraph"/>
              <w:spacing w:before="53"/>
              <w:ind w:left="105"/>
              <w:rPr>
                <w:rFonts w:ascii="Arial" w:hAnsi="Arial"/>
                <w:b/>
                <w:sz w:val="16"/>
              </w:rPr>
            </w:pPr>
            <w:r w:rsidRPr="00EB2BD8">
              <w:rPr>
                <w:rFonts w:ascii="Arial" w:hAnsi="Arial"/>
                <w:b/>
                <w:w w:val="105"/>
                <w:sz w:val="16"/>
              </w:rPr>
              <w:t>Closing</w:t>
            </w:r>
            <w:r w:rsidRPr="00EB2BD8">
              <w:rPr>
                <w:rFonts w:ascii="Arial" w:hAnsi="Arial"/>
                <w:b/>
                <w:spacing w:val="-7"/>
                <w:w w:val="105"/>
                <w:sz w:val="16"/>
              </w:rPr>
              <w:t xml:space="preserve"> </w:t>
            </w:r>
            <w:r w:rsidRPr="00EB2BD8">
              <w:rPr>
                <w:rFonts w:ascii="Arial" w:hAnsi="Arial"/>
                <w:b/>
                <w:w w:val="105"/>
                <w:sz w:val="16"/>
              </w:rPr>
              <w:t>balance</w:t>
            </w:r>
            <w:r w:rsidRPr="00EB2BD8">
              <w:rPr>
                <w:rFonts w:ascii="Arial" w:hAnsi="Arial"/>
                <w:b/>
                <w:spacing w:val="-5"/>
                <w:w w:val="105"/>
                <w:sz w:val="16"/>
              </w:rPr>
              <w:t xml:space="preserve"> </w:t>
            </w:r>
            <w:r w:rsidRPr="00EB2BD8">
              <w:rPr>
                <w:rFonts w:ascii="Arial" w:hAnsi="Arial"/>
                <w:b/>
                <w:w w:val="105"/>
                <w:sz w:val="16"/>
              </w:rPr>
              <w:t>–</w:t>
            </w:r>
            <w:r w:rsidRPr="00EB2BD8">
              <w:rPr>
                <w:rFonts w:ascii="Arial" w:hAnsi="Arial"/>
                <w:b/>
                <w:spacing w:val="-6"/>
                <w:w w:val="105"/>
                <w:sz w:val="16"/>
              </w:rPr>
              <w:t xml:space="preserve"> </w:t>
            </w:r>
            <w:r w:rsidRPr="00EB2BD8">
              <w:rPr>
                <w:rFonts w:ascii="Arial" w:hAnsi="Arial"/>
                <w:b/>
                <w:w w:val="105"/>
                <w:sz w:val="16"/>
              </w:rPr>
              <w:t>30</w:t>
            </w:r>
            <w:r w:rsidRPr="00EB2BD8">
              <w:rPr>
                <w:rFonts w:ascii="Arial" w:hAnsi="Arial"/>
                <w:b/>
                <w:spacing w:val="-4"/>
                <w:w w:val="105"/>
                <w:sz w:val="16"/>
              </w:rPr>
              <w:t xml:space="preserve"> </w:t>
            </w:r>
            <w:r w:rsidRPr="00EB2BD8">
              <w:rPr>
                <w:rFonts w:ascii="Arial" w:hAnsi="Arial"/>
                <w:b/>
                <w:w w:val="105"/>
                <w:sz w:val="16"/>
              </w:rPr>
              <w:t>June</w:t>
            </w:r>
            <w:r w:rsidRPr="00EB2BD8">
              <w:rPr>
                <w:rFonts w:ascii="Arial" w:hAnsi="Arial"/>
                <w:b/>
                <w:spacing w:val="-6"/>
                <w:w w:val="105"/>
                <w:sz w:val="16"/>
              </w:rPr>
              <w:t xml:space="preserve"> </w:t>
            </w:r>
            <w:r w:rsidRPr="00EB2BD8">
              <w:rPr>
                <w:rFonts w:ascii="Arial" w:hAnsi="Arial"/>
                <w:b/>
                <w:spacing w:val="-4"/>
                <w:w w:val="105"/>
                <w:sz w:val="16"/>
              </w:rPr>
              <w:t>2022</w:t>
            </w:r>
          </w:p>
        </w:tc>
        <w:tc>
          <w:tcPr>
            <w:tcW w:w="2041" w:type="dxa"/>
            <w:tcBorders>
              <w:top w:val="single" w:sz="12" w:space="0" w:color="000000"/>
              <w:bottom w:val="single" w:sz="12" w:space="0" w:color="000000"/>
            </w:tcBorders>
            <w:shd w:val="clear" w:color="auto" w:fill="DEEAF6"/>
          </w:tcPr>
          <w:p w14:paraId="0FC52337" w14:textId="77777777" w:rsidR="00084F36" w:rsidRPr="00EB2BD8" w:rsidRDefault="00EB2BD8">
            <w:pPr>
              <w:pStyle w:val="TableParagraph"/>
              <w:spacing w:before="54"/>
              <w:ind w:right="151"/>
              <w:jc w:val="right"/>
              <w:rPr>
                <w:rFonts w:ascii="Arial"/>
                <w:b/>
                <w:sz w:val="16"/>
              </w:rPr>
            </w:pPr>
            <w:r w:rsidRPr="00EB2BD8">
              <w:rPr>
                <w:rFonts w:ascii="Arial"/>
                <w:b/>
                <w:spacing w:val="-2"/>
                <w:w w:val="105"/>
                <w:sz w:val="16"/>
              </w:rPr>
              <w:t>4,836</w:t>
            </w:r>
          </w:p>
        </w:tc>
        <w:tc>
          <w:tcPr>
            <w:tcW w:w="1265" w:type="dxa"/>
            <w:tcBorders>
              <w:top w:val="single" w:sz="12" w:space="0" w:color="000000"/>
              <w:bottom w:val="single" w:sz="12" w:space="0" w:color="000000"/>
            </w:tcBorders>
            <w:shd w:val="clear" w:color="auto" w:fill="DEEAF6"/>
          </w:tcPr>
          <w:p w14:paraId="18E4A443" w14:textId="77777777" w:rsidR="00084F36" w:rsidRPr="00EB2BD8" w:rsidRDefault="00EB2BD8">
            <w:pPr>
              <w:pStyle w:val="TableParagraph"/>
              <w:spacing w:before="54"/>
              <w:ind w:right="93"/>
              <w:jc w:val="right"/>
              <w:rPr>
                <w:rFonts w:ascii="Arial"/>
                <w:b/>
                <w:sz w:val="16"/>
              </w:rPr>
            </w:pPr>
            <w:r w:rsidRPr="00EB2BD8">
              <w:rPr>
                <w:rFonts w:ascii="Arial"/>
                <w:b/>
                <w:spacing w:val="-2"/>
                <w:w w:val="105"/>
                <w:sz w:val="16"/>
              </w:rPr>
              <w:t>1,066</w:t>
            </w:r>
          </w:p>
        </w:tc>
      </w:tr>
    </w:tbl>
    <w:p w14:paraId="0A9F07DD" w14:textId="77777777" w:rsidR="00084F36" w:rsidRPr="00EB2BD8" w:rsidRDefault="00084F36">
      <w:pPr>
        <w:pStyle w:val="BodyText"/>
        <w:spacing w:before="6"/>
        <w:rPr>
          <w:rFonts w:ascii="Arial"/>
          <w:sz w:val="25"/>
        </w:rPr>
      </w:pPr>
    </w:p>
    <w:p w14:paraId="11FD6289" w14:textId="7244D2EE" w:rsidR="00084F36" w:rsidRPr="00EB2BD8" w:rsidRDefault="00EB2BD8">
      <w:pPr>
        <w:spacing w:line="290" w:lineRule="auto"/>
        <w:ind w:left="1058" w:right="1711"/>
        <w:rPr>
          <w:rFonts w:ascii="Arial"/>
          <w:sz w:val="16"/>
        </w:rPr>
      </w:pPr>
      <w:r w:rsidRPr="00EB2BD8">
        <w:rPr>
          <w:rFonts w:ascii="Arial"/>
          <w:b/>
          <w:w w:val="105"/>
          <w:sz w:val="16"/>
        </w:rPr>
        <w:t>Initial</w:t>
      </w:r>
      <w:r w:rsidRPr="00EB2BD8">
        <w:rPr>
          <w:rFonts w:ascii="Arial"/>
          <w:b/>
          <w:spacing w:val="-4"/>
          <w:w w:val="105"/>
          <w:sz w:val="16"/>
        </w:rPr>
        <w:t xml:space="preserve"> </w:t>
      </w:r>
      <w:r w:rsidRPr="00EB2BD8">
        <w:rPr>
          <w:rFonts w:ascii="Arial"/>
          <w:b/>
          <w:w w:val="105"/>
          <w:sz w:val="16"/>
        </w:rPr>
        <w:t>recognition:</w:t>
      </w:r>
      <w:r w:rsidRPr="00EB2BD8">
        <w:rPr>
          <w:rFonts w:ascii="Arial"/>
          <w:b/>
          <w:spacing w:val="-4"/>
          <w:w w:val="105"/>
          <w:sz w:val="16"/>
        </w:rPr>
        <w:t xml:space="preserve"> </w:t>
      </w:r>
      <w:r w:rsidRPr="00EB2BD8">
        <w:rPr>
          <w:rFonts w:ascii="Arial"/>
          <w:w w:val="105"/>
          <w:sz w:val="16"/>
        </w:rPr>
        <w:t>Items</w:t>
      </w:r>
      <w:r w:rsidRPr="00EB2BD8">
        <w:rPr>
          <w:rFonts w:ascii="Arial"/>
          <w:spacing w:val="-3"/>
          <w:w w:val="105"/>
          <w:sz w:val="16"/>
        </w:rPr>
        <w:t xml:space="preserve"> </w:t>
      </w:r>
      <w:r w:rsidRPr="00EB2BD8">
        <w:rPr>
          <w:rFonts w:ascii="Arial"/>
          <w:w w:val="105"/>
          <w:sz w:val="16"/>
        </w:rPr>
        <w:t>of</w:t>
      </w:r>
      <w:r w:rsidRPr="00EB2BD8">
        <w:rPr>
          <w:rFonts w:ascii="Arial"/>
          <w:spacing w:val="-4"/>
          <w:w w:val="105"/>
          <w:sz w:val="16"/>
        </w:rPr>
        <w:t xml:space="preserve"> </w:t>
      </w:r>
      <w:r w:rsidRPr="00EB2BD8">
        <w:rPr>
          <w:rFonts w:ascii="Arial"/>
          <w:w w:val="105"/>
          <w:sz w:val="16"/>
        </w:rPr>
        <w:t>property,</w:t>
      </w:r>
      <w:r w:rsidRPr="00EB2BD8">
        <w:rPr>
          <w:rFonts w:ascii="Arial"/>
          <w:spacing w:val="-3"/>
          <w:w w:val="105"/>
          <w:sz w:val="16"/>
        </w:rPr>
        <w:t xml:space="preserve"> </w:t>
      </w:r>
      <w:r w:rsidRPr="00EB2BD8">
        <w:rPr>
          <w:rFonts w:ascii="Arial"/>
          <w:w w:val="105"/>
          <w:sz w:val="16"/>
        </w:rPr>
        <w:t>plant</w:t>
      </w:r>
      <w:r w:rsidRPr="00EB2BD8">
        <w:rPr>
          <w:rFonts w:ascii="Arial"/>
          <w:spacing w:val="-1"/>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equipment</w:t>
      </w:r>
      <w:r w:rsidRPr="00EB2BD8">
        <w:rPr>
          <w:rFonts w:ascii="Arial"/>
          <w:spacing w:val="-3"/>
          <w:w w:val="105"/>
          <w:sz w:val="16"/>
        </w:rPr>
        <w:t xml:space="preserve"> </w:t>
      </w:r>
      <w:r w:rsidRPr="00EB2BD8">
        <w:rPr>
          <w:rFonts w:ascii="Arial"/>
          <w:w w:val="105"/>
          <w:sz w:val="16"/>
        </w:rPr>
        <w:t>(PPE)</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measured</w:t>
      </w:r>
      <w:r w:rsidRPr="00EB2BD8">
        <w:rPr>
          <w:rFonts w:ascii="Arial"/>
          <w:spacing w:val="-3"/>
          <w:w w:val="105"/>
          <w:sz w:val="16"/>
        </w:rPr>
        <w:t xml:space="preserve"> </w:t>
      </w:r>
      <w:r w:rsidRPr="00EB2BD8">
        <w:rPr>
          <w:rFonts w:ascii="Arial"/>
          <w:w w:val="105"/>
          <w:sz w:val="16"/>
        </w:rPr>
        <w:t>initially</w:t>
      </w:r>
      <w:r w:rsidRPr="00EB2BD8">
        <w:rPr>
          <w:rFonts w:ascii="Arial"/>
          <w:spacing w:val="-2"/>
          <w:w w:val="105"/>
          <w:sz w:val="16"/>
        </w:rPr>
        <w:t xml:space="preserve"> </w:t>
      </w:r>
      <w:r w:rsidRPr="00EB2BD8">
        <w:rPr>
          <w:rFonts w:ascii="Arial"/>
          <w:w w:val="105"/>
          <w:sz w:val="16"/>
        </w:rPr>
        <w:t>at</w:t>
      </w:r>
      <w:r w:rsidRPr="00EB2BD8">
        <w:rPr>
          <w:rFonts w:ascii="Arial"/>
          <w:spacing w:val="-3"/>
          <w:w w:val="105"/>
          <w:sz w:val="16"/>
        </w:rPr>
        <w:t xml:space="preserve"> </w:t>
      </w:r>
      <w:r w:rsidRPr="00EB2BD8">
        <w:rPr>
          <w:rFonts w:ascii="Arial"/>
          <w:w w:val="105"/>
          <w:sz w:val="16"/>
        </w:rPr>
        <w:t>cost</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subsequently</w:t>
      </w:r>
      <w:r w:rsidRPr="00EB2BD8">
        <w:rPr>
          <w:rFonts w:ascii="Arial"/>
          <w:spacing w:val="-3"/>
          <w:w w:val="105"/>
          <w:sz w:val="16"/>
        </w:rPr>
        <w:t xml:space="preserve"> </w:t>
      </w:r>
      <w:r w:rsidRPr="00EB2BD8">
        <w:rPr>
          <w:rFonts w:ascii="Arial"/>
          <w:w w:val="105"/>
          <w:sz w:val="16"/>
        </w:rPr>
        <w:t>revalued at</w:t>
      </w:r>
      <w:r w:rsidRPr="00EB2BD8">
        <w:rPr>
          <w:rFonts w:ascii="Arial"/>
          <w:spacing w:val="-12"/>
          <w:w w:val="105"/>
          <w:sz w:val="16"/>
        </w:rPr>
        <w:t xml:space="preserve"> </w:t>
      </w:r>
      <w:r w:rsidRPr="00EB2BD8">
        <w:rPr>
          <w:rFonts w:ascii="Arial"/>
          <w:w w:val="105"/>
          <w:sz w:val="16"/>
        </w:rPr>
        <w:t>fair</w:t>
      </w:r>
      <w:r w:rsidRPr="00EB2BD8">
        <w:rPr>
          <w:rFonts w:ascii="Arial"/>
          <w:spacing w:val="-9"/>
          <w:w w:val="105"/>
          <w:sz w:val="16"/>
        </w:rPr>
        <w:t xml:space="preserve"> </w:t>
      </w:r>
      <w:r w:rsidRPr="00EB2BD8">
        <w:rPr>
          <w:rFonts w:ascii="Arial"/>
          <w:w w:val="105"/>
          <w:sz w:val="16"/>
        </w:rPr>
        <w:t>value</w:t>
      </w:r>
      <w:r w:rsidRPr="00EB2BD8">
        <w:rPr>
          <w:rFonts w:ascii="Arial"/>
          <w:spacing w:val="-14"/>
          <w:w w:val="105"/>
          <w:sz w:val="16"/>
        </w:rPr>
        <w:t xml:space="preserve"> </w:t>
      </w:r>
      <w:r w:rsidRPr="00EB2BD8">
        <w:rPr>
          <w:rFonts w:ascii="Arial"/>
          <w:w w:val="105"/>
          <w:sz w:val="16"/>
        </w:rPr>
        <w:t>less</w:t>
      </w:r>
      <w:r w:rsidRPr="00EB2BD8">
        <w:rPr>
          <w:rFonts w:ascii="Arial"/>
          <w:spacing w:val="-10"/>
          <w:w w:val="105"/>
          <w:sz w:val="16"/>
        </w:rPr>
        <w:t xml:space="preserve"> </w:t>
      </w:r>
      <w:r w:rsidRPr="00EB2BD8">
        <w:rPr>
          <w:rFonts w:ascii="Arial"/>
          <w:w w:val="105"/>
          <w:sz w:val="16"/>
        </w:rPr>
        <w:t>accumulated</w:t>
      </w:r>
      <w:r w:rsidRPr="00EB2BD8">
        <w:rPr>
          <w:rFonts w:ascii="Arial"/>
          <w:spacing w:val="-11"/>
          <w:w w:val="105"/>
          <w:sz w:val="16"/>
        </w:rPr>
        <w:t xml:space="preserve"> </w:t>
      </w:r>
      <w:r w:rsidRPr="00EB2BD8">
        <w:rPr>
          <w:rFonts w:ascii="Arial"/>
          <w:w w:val="105"/>
          <w:sz w:val="16"/>
        </w:rPr>
        <w:t>depreciation</w:t>
      </w:r>
      <w:r w:rsidRPr="00EB2BD8">
        <w:rPr>
          <w:rFonts w:ascii="Arial"/>
          <w:spacing w:val="-12"/>
          <w:w w:val="105"/>
          <w:sz w:val="16"/>
        </w:rPr>
        <w:t xml:space="preserve"> </w:t>
      </w:r>
      <w:r w:rsidRPr="00EB2BD8">
        <w:rPr>
          <w:rFonts w:ascii="Arial"/>
          <w:w w:val="105"/>
          <w:sz w:val="16"/>
        </w:rPr>
        <w:t>and</w:t>
      </w:r>
      <w:r w:rsidRPr="00EB2BD8">
        <w:rPr>
          <w:rFonts w:ascii="Arial"/>
          <w:spacing w:val="-12"/>
          <w:w w:val="105"/>
          <w:sz w:val="16"/>
        </w:rPr>
        <w:t xml:space="preserve"> </w:t>
      </w:r>
      <w:r w:rsidRPr="00EB2BD8">
        <w:rPr>
          <w:rFonts w:ascii="Arial"/>
          <w:w w:val="105"/>
          <w:sz w:val="16"/>
        </w:rPr>
        <w:t>impairment.</w:t>
      </w:r>
      <w:r w:rsidRPr="00EB2BD8">
        <w:rPr>
          <w:rFonts w:ascii="Arial"/>
          <w:spacing w:val="-10"/>
          <w:w w:val="105"/>
          <w:sz w:val="16"/>
        </w:rPr>
        <w:t xml:space="preserve"> </w:t>
      </w:r>
      <w:r w:rsidRPr="00EB2BD8">
        <w:rPr>
          <w:rFonts w:ascii="Arial"/>
          <w:w w:val="105"/>
          <w:sz w:val="16"/>
        </w:rPr>
        <w:t>Where</w:t>
      </w:r>
      <w:r w:rsidRPr="00EB2BD8">
        <w:rPr>
          <w:rFonts w:ascii="Arial"/>
          <w:spacing w:val="-11"/>
          <w:w w:val="105"/>
          <w:sz w:val="16"/>
        </w:rPr>
        <w:t xml:space="preserve"> </w:t>
      </w:r>
      <w:r w:rsidRPr="00EB2BD8">
        <w:rPr>
          <w:rFonts w:ascii="Arial"/>
          <w:w w:val="105"/>
          <w:sz w:val="16"/>
        </w:rPr>
        <w:t>an</w:t>
      </w:r>
      <w:r w:rsidRPr="00EB2BD8">
        <w:rPr>
          <w:rFonts w:ascii="Arial"/>
          <w:spacing w:val="-11"/>
          <w:w w:val="105"/>
          <w:sz w:val="16"/>
        </w:rPr>
        <w:t xml:space="preserve"> </w:t>
      </w:r>
      <w:r w:rsidRPr="00EB2BD8">
        <w:rPr>
          <w:rFonts w:ascii="Arial"/>
          <w:w w:val="105"/>
          <w:sz w:val="16"/>
        </w:rPr>
        <w:t>asset</w:t>
      </w:r>
      <w:r w:rsidRPr="00EB2BD8">
        <w:rPr>
          <w:rFonts w:ascii="Arial"/>
          <w:spacing w:val="-11"/>
          <w:w w:val="105"/>
          <w:sz w:val="16"/>
        </w:rPr>
        <w:t xml:space="preserve"> </w:t>
      </w:r>
      <w:r w:rsidRPr="00EB2BD8">
        <w:rPr>
          <w:rFonts w:ascii="Arial"/>
          <w:w w:val="105"/>
          <w:sz w:val="16"/>
        </w:rPr>
        <w:t>is</w:t>
      </w:r>
      <w:r w:rsidRPr="00EB2BD8">
        <w:rPr>
          <w:rFonts w:ascii="Arial"/>
          <w:spacing w:val="-12"/>
          <w:w w:val="105"/>
          <w:sz w:val="16"/>
        </w:rPr>
        <w:t xml:space="preserve"> </w:t>
      </w:r>
      <w:r w:rsidRPr="00EB2BD8">
        <w:rPr>
          <w:rFonts w:ascii="Arial"/>
          <w:w w:val="105"/>
          <w:sz w:val="16"/>
        </w:rPr>
        <w:t>acquired</w:t>
      </w:r>
      <w:r w:rsidRPr="00EB2BD8">
        <w:rPr>
          <w:rFonts w:ascii="Arial"/>
          <w:spacing w:val="-11"/>
          <w:w w:val="105"/>
          <w:sz w:val="16"/>
        </w:rPr>
        <w:t xml:space="preserve"> </w:t>
      </w:r>
      <w:r w:rsidRPr="00EB2BD8">
        <w:rPr>
          <w:rFonts w:ascii="Arial"/>
          <w:w w:val="105"/>
          <w:sz w:val="16"/>
        </w:rPr>
        <w:t>for</w:t>
      </w:r>
      <w:r w:rsidRPr="00EB2BD8">
        <w:rPr>
          <w:rFonts w:ascii="Arial"/>
          <w:spacing w:val="-11"/>
          <w:w w:val="105"/>
          <w:sz w:val="16"/>
        </w:rPr>
        <w:t xml:space="preserve"> </w:t>
      </w:r>
      <w:r w:rsidRPr="00EB2BD8">
        <w:rPr>
          <w:rFonts w:ascii="Arial"/>
          <w:w w:val="105"/>
          <w:sz w:val="16"/>
        </w:rPr>
        <w:t>no</w:t>
      </w:r>
      <w:r w:rsidRPr="00EB2BD8">
        <w:rPr>
          <w:rFonts w:ascii="Arial"/>
          <w:spacing w:val="-14"/>
          <w:w w:val="105"/>
          <w:sz w:val="16"/>
        </w:rPr>
        <w:t xml:space="preserve"> </w:t>
      </w:r>
      <w:r w:rsidRPr="00EB2BD8">
        <w:rPr>
          <w:rFonts w:ascii="Arial"/>
          <w:w w:val="105"/>
          <w:sz w:val="16"/>
        </w:rPr>
        <w:t>or</w:t>
      </w:r>
      <w:r w:rsidRPr="00EB2BD8">
        <w:rPr>
          <w:rFonts w:ascii="Arial"/>
          <w:spacing w:val="-9"/>
          <w:w w:val="105"/>
          <w:sz w:val="16"/>
        </w:rPr>
        <w:t xml:space="preserve"> </w:t>
      </w:r>
      <w:r w:rsidRPr="00EB2BD8">
        <w:rPr>
          <w:rFonts w:ascii="Arial"/>
          <w:w w:val="105"/>
          <w:sz w:val="16"/>
        </w:rPr>
        <w:t>nominal cost,</w:t>
      </w:r>
      <w:r w:rsidRPr="00EB2BD8">
        <w:rPr>
          <w:rFonts w:ascii="Arial"/>
          <w:spacing w:val="-1"/>
          <w:w w:val="105"/>
          <w:sz w:val="16"/>
        </w:rPr>
        <w:t xml:space="preserve"> </w:t>
      </w:r>
      <w:r w:rsidRPr="00EB2BD8">
        <w:rPr>
          <w:rFonts w:ascii="Arial"/>
          <w:w w:val="105"/>
          <w:sz w:val="16"/>
        </w:rPr>
        <w:t>the</w:t>
      </w:r>
      <w:r w:rsidRPr="00EB2BD8">
        <w:rPr>
          <w:rFonts w:ascii="Arial"/>
          <w:spacing w:val="-1"/>
          <w:w w:val="105"/>
          <w:sz w:val="16"/>
        </w:rPr>
        <w:t xml:space="preserve"> </w:t>
      </w:r>
      <w:r w:rsidRPr="00EB2BD8">
        <w:rPr>
          <w:rFonts w:ascii="Arial"/>
          <w:w w:val="105"/>
          <w:sz w:val="16"/>
        </w:rPr>
        <w:t>cost</w:t>
      </w:r>
      <w:r w:rsidRPr="00EB2BD8">
        <w:rPr>
          <w:rFonts w:ascii="Arial"/>
          <w:spacing w:val="-1"/>
          <w:w w:val="105"/>
          <w:sz w:val="16"/>
        </w:rPr>
        <w:t xml:space="preserve"> </w:t>
      </w:r>
      <w:r w:rsidRPr="00EB2BD8">
        <w:rPr>
          <w:rFonts w:ascii="Arial"/>
          <w:w w:val="105"/>
          <w:sz w:val="16"/>
        </w:rPr>
        <w:t>is</w:t>
      </w:r>
      <w:r w:rsidRPr="00EB2BD8">
        <w:rPr>
          <w:rFonts w:ascii="Arial"/>
          <w:spacing w:val="-1"/>
          <w:w w:val="105"/>
          <w:sz w:val="16"/>
        </w:rPr>
        <w:t xml:space="preserve"> </w:t>
      </w:r>
      <w:r w:rsidRPr="00EB2BD8">
        <w:rPr>
          <w:rFonts w:ascii="Arial"/>
          <w:w w:val="105"/>
          <w:sz w:val="16"/>
        </w:rPr>
        <w:t>its fair value at the date of acquisition. Assets transferred as part of restructure of administrative arrangement are transferred at their carrying amount.</w:t>
      </w:r>
    </w:p>
    <w:p w14:paraId="40B9CC8E" w14:textId="7A97AF0E" w:rsidR="00084F36" w:rsidRPr="00EB2BD8" w:rsidRDefault="00084F36">
      <w:pPr>
        <w:pStyle w:val="BodyText"/>
        <w:rPr>
          <w:rFonts w:ascii="Arial"/>
          <w:sz w:val="20"/>
        </w:rPr>
      </w:pPr>
    </w:p>
    <w:p w14:paraId="32E93290" w14:textId="17440098" w:rsidR="00084F36" w:rsidRPr="00EB2BD8" w:rsidRDefault="00084F36">
      <w:pPr>
        <w:pStyle w:val="BodyText"/>
        <w:rPr>
          <w:rFonts w:ascii="Arial"/>
          <w:sz w:val="20"/>
        </w:rPr>
      </w:pPr>
    </w:p>
    <w:p w14:paraId="37458306" w14:textId="1E74C256" w:rsidR="00084F36" w:rsidRPr="00EB2BD8" w:rsidRDefault="00084F36">
      <w:pPr>
        <w:pStyle w:val="BodyText"/>
        <w:rPr>
          <w:rFonts w:ascii="Arial"/>
          <w:sz w:val="20"/>
        </w:rPr>
      </w:pPr>
    </w:p>
    <w:p w14:paraId="00C04650" w14:textId="77777777" w:rsidR="00084F36" w:rsidRPr="00EB2BD8" w:rsidRDefault="00084F36">
      <w:pPr>
        <w:pStyle w:val="BodyText"/>
        <w:rPr>
          <w:rFonts w:ascii="Arial"/>
          <w:sz w:val="20"/>
        </w:rPr>
      </w:pPr>
    </w:p>
    <w:p w14:paraId="6B562953" w14:textId="77777777" w:rsidR="00084F36" w:rsidRPr="00EB2BD8" w:rsidRDefault="00084F36">
      <w:pPr>
        <w:pStyle w:val="BodyText"/>
        <w:rPr>
          <w:rFonts w:ascii="Arial"/>
          <w:sz w:val="20"/>
        </w:rPr>
      </w:pPr>
    </w:p>
    <w:p w14:paraId="637C532E" w14:textId="03341762" w:rsidR="00084F36" w:rsidRPr="00EB2BD8" w:rsidRDefault="00084F36">
      <w:pPr>
        <w:pStyle w:val="BodyText"/>
        <w:rPr>
          <w:rFonts w:ascii="Arial"/>
          <w:sz w:val="20"/>
        </w:rPr>
      </w:pPr>
    </w:p>
    <w:p w14:paraId="33900505" w14:textId="77777777" w:rsidR="00084F36" w:rsidRPr="00EB2BD8" w:rsidRDefault="00084F36">
      <w:pPr>
        <w:pStyle w:val="BodyText"/>
        <w:rPr>
          <w:rFonts w:ascii="Arial"/>
          <w:sz w:val="20"/>
        </w:rPr>
      </w:pPr>
    </w:p>
    <w:p w14:paraId="371D6D94" w14:textId="7A701703" w:rsidR="00084F36" w:rsidRPr="00EB2BD8" w:rsidRDefault="00084F36">
      <w:pPr>
        <w:pStyle w:val="BodyText"/>
        <w:rPr>
          <w:rFonts w:ascii="Arial"/>
          <w:sz w:val="20"/>
        </w:rPr>
      </w:pPr>
    </w:p>
    <w:p w14:paraId="7F019BA8" w14:textId="210C6570" w:rsidR="00084F36" w:rsidRPr="00EB2BD8" w:rsidRDefault="00084F36">
      <w:pPr>
        <w:pStyle w:val="BodyText"/>
        <w:rPr>
          <w:rFonts w:ascii="Arial"/>
          <w:sz w:val="20"/>
        </w:rPr>
      </w:pPr>
    </w:p>
    <w:p w14:paraId="7BBD7483" w14:textId="7EFB4422" w:rsidR="00084F36" w:rsidRPr="00EB2BD8" w:rsidRDefault="00084F36">
      <w:pPr>
        <w:pStyle w:val="BodyText"/>
        <w:rPr>
          <w:rFonts w:ascii="Arial"/>
          <w:sz w:val="20"/>
        </w:rPr>
      </w:pPr>
    </w:p>
    <w:p w14:paraId="2BB223C2" w14:textId="2B597B64" w:rsidR="00084F36" w:rsidRPr="00EB2BD8" w:rsidRDefault="00084F36" w:rsidP="00273892">
      <w:pPr>
        <w:spacing w:before="95"/>
        <w:ind w:left="10080" w:right="888" w:firstLine="720"/>
        <w:rPr>
          <w:sz w:val="16"/>
        </w:rPr>
      </w:pPr>
    </w:p>
    <w:p w14:paraId="6C12A290" w14:textId="77777777" w:rsidR="00084F36" w:rsidRPr="00EB2BD8" w:rsidRDefault="00084F36">
      <w:pPr>
        <w:jc w:val="right"/>
        <w:rPr>
          <w:sz w:val="16"/>
        </w:rPr>
        <w:sectPr w:rsidR="00084F36" w:rsidRPr="00EB2BD8" w:rsidSect="006D75B2">
          <w:headerReference w:type="default" r:id="rId292"/>
          <w:footerReference w:type="default" r:id="rId293"/>
          <w:pgSz w:w="11910" w:h="16840"/>
          <w:pgMar w:top="760" w:right="0" w:bottom="280" w:left="0" w:header="0" w:footer="0" w:gutter="0"/>
          <w:cols w:space="720"/>
        </w:sectPr>
      </w:pPr>
    </w:p>
    <w:p w14:paraId="12B87191" w14:textId="77777777" w:rsidR="00084F36" w:rsidRPr="00EB2BD8" w:rsidRDefault="00084F36">
      <w:pPr>
        <w:pStyle w:val="BodyText"/>
        <w:rPr>
          <w:sz w:val="20"/>
        </w:rPr>
      </w:pPr>
    </w:p>
    <w:p w14:paraId="48E99227" w14:textId="77777777" w:rsidR="00084F36" w:rsidRPr="00EB2BD8" w:rsidRDefault="00084F36">
      <w:pPr>
        <w:pStyle w:val="BodyText"/>
        <w:rPr>
          <w:sz w:val="20"/>
        </w:rPr>
      </w:pPr>
    </w:p>
    <w:p w14:paraId="4398D123" w14:textId="77777777" w:rsidR="00084F36" w:rsidRPr="00EB2BD8" w:rsidRDefault="00084F36">
      <w:pPr>
        <w:pStyle w:val="BodyText"/>
        <w:rPr>
          <w:sz w:val="20"/>
        </w:rPr>
      </w:pPr>
    </w:p>
    <w:p w14:paraId="589C05ED" w14:textId="77777777" w:rsidR="00084F36" w:rsidRPr="00EB2BD8" w:rsidRDefault="00084F36">
      <w:pPr>
        <w:pStyle w:val="BodyText"/>
        <w:rPr>
          <w:sz w:val="20"/>
        </w:rPr>
      </w:pPr>
    </w:p>
    <w:p w14:paraId="749C499C" w14:textId="77777777" w:rsidR="00084F36" w:rsidRPr="00EB2BD8" w:rsidRDefault="00084F36">
      <w:pPr>
        <w:pStyle w:val="BodyText"/>
        <w:rPr>
          <w:sz w:val="20"/>
        </w:rPr>
      </w:pPr>
    </w:p>
    <w:p w14:paraId="2AC0D0D2" w14:textId="77777777" w:rsidR="00084F36" w:rsidRPr="00EB2BD8" w:rsidRDefault="00084F36">
      <w:pPr>
        <w:pStyle w:val="BodyText"/>
        <w:spacing w:before="1"/>
        <w:rPr>
          <w:sz w:val="20"/>
        </w:rPr>
      </w:pPr>
    </w:p>
    <w:p w14:paraId="4217D88A" w14:textId="77777777" w:rsidR="00084F36" w:rsidRPr="00EB2BD8" w:rsidRDefault="00084F36">
      <w:pPr>
        <w:rPr>
          <w:sz w:val="20"/>
        </w:rPr>
        <w:sectPr w:rsidR="00084F36" w:rsidRPr="00EB2BD8" w:rsidSect="006D75B2">
          <w:headerReference w:type="even" r:id="rId294"/>
          <w:footerReference w:type="even" r:id="rId295"/>
          <w:footerReference w:type="default" r:id="rId296"/>
          <w:pgSz w:w="11910" w:h="16840"/>
          <w:pgMar w:top="780" w:right="0" w:bottom="280" w:left="0" w:header="0" w:footer="0" w:gutter="0"/>
          <w:cols w:space="720"/>
        </w:sectPr>
      </w:pPr>
    </w:p>
    <w:p w14:paraId="27DAEE37" w14:textId="77777777" w:rsidR="00084F36" w:rsidRPr="00EB2BD8" w:rsidRDefault="00EB2BD8" w:rsidP="00273892">
      <w:pPr>
        <w:pStyle w:val="Heading2"/>
        <w:ind w:left="1052"/>
      </w:pPr>
      <w:bookmarkStart w:id="287" w:name="_Toc150762589"/>
      <w:r w:rsidRPr="00EB2BD8">
        <w:t>Right-of-use asset acquired by lessee Initial recognition and measurement</w:t>
      </w:r>
      <w:bookmarkEnd w:id="287"/>
    </w:p>
    <w:p w14:paraId="14F183C8" w14:textId="77777777" w:rsidR="00084F36" w:rsidRPr="00EB2BD8" w:rsidRDefault="00EB2BD8">
      <w:pPr>
        <w:spacing w:before="115" w:line="290" w:lineRule="auto"/>
        <w:ind w:left="1052" w:right="391"/>
        <w:rPr>
          <w:rFonts w:ascii="Arial"/>
          <w:sz w:val="16"/>
        </w:rPr>
      </w:pPr>
      <w:r w:rsidRPr="00EB2BD8">
        <w:rPr>
          <w:rFonts w:ascii="Arial"/>
          <w:w w:val="105"/>
          <w:sz w:val="16"/>
        </w:rPr>
        <w:t>The VBA recognises a right-of-use asset and a lease liability</w:t>
      </w:r>
      <w:r w:rsidRPr="00EB2BD8">
        <w:rPr>
          <w:rFonts w:ascii="Arial"/>
          <w:spacing w:val="-4"/>
          <w:w w:val="105"/>
          <w:sz w:val="16"/>
        </w:rPr>
        <w:t xml:space="preserve"> </w:t>
      </w:r>
      <w:r w:rsidRPr="00EB2BD8">
        <w:rPr>
          <w:rFonts w:ascii="Arial"/>
          <w:w w:val="105"/>
          <w:sz w:val="16"/>
        </w:rPr>
        <w:t>at</w:t>
      </w:r>
      <w:r w:rsidRPr="00EB2BD8">
        <w:rPr>
          <w:rFonts w:ascii="Arial"/>
          <w:spacing w:val="-4"/>
          <w:w w:val="105"/>
          <w:sz w:val="16"/>
        </w:rPr>
        <w:t xml:space="preserve"> </w:t>
      </w:r>
      <w:r w:rsidRPr="00EB2BD8">
        <w:rPr>
          <w:rFonts w:ascii="Arial"/>
          <w:w w:val="105"/>
          <w:sz w:val="16"/>
        </w:rPr>
        <w:t>the</w:t>
      </w:r>
      <w:r w:rsidRPr="00EB2BD8">
        <w:rPr>
          <w:rFonts w:ascii="Arial"/>
          <w:spacing w:val="-4"/>
          <w:w w:val="105"/>
          <w:sz w:val="16"/>
        </w:rPr>
        <w:t xml:space="preserve"> </w:t>
      </w:r>
      <w:r w:rsidRPr="00EB2BD8">
        <w:rPr>
          <w:rFonts w:ascii="Arial"/>
          <w:w w:val="105"/>
          <w:sz w:val="16"/>
        </w:rPr>
        <w:t>lease</w:t>
      </w:r>
      <w:r w:rsidRPr="00EB2BD8">
        <w:rPr>
          <w:rFonts w:ascii="Arial"/>
          <w:spacing w:val="-4"/>
          <w:w w:val="105"/>
          <w:sz w:val="16"/>
        </w:rPr>
        <w:t xml:space="preserve"> </w:t>
      </w:r>
      <w:r w:rsidRPr="00EB2BD8">
        <w:rPr>
          <w:rFonts w:ascii="Arial"/>
          <w:w w:val="105"/>
          <w:sz w:val="16"/>
        </w:rPr>
        <w:t>commencement</w:t>
      </w:r>
      <w:r w:rsidRPr="00EB2BD8">
        <w:rPr>
          <w:rFonts w:ascii="Arial"/>
          <w:spacing w:val="-4"/>
          <w:w w:val="105"/>
          <w:sz w:val="16"/>
        </w:rPr>
        <w:t xml:space="preserve"> </w:t>
      </w:r>
      <w:r w:rsidRPr="00EB2BD8">
        <w:rPr>
          <w:rFonts w:ascii="Arial"/>
          <w:w w:val="105"/>
          <w:sz w:val="16"/>
        </w:rPr>
        <w:t>date.</w:t>
      </w:r>
      <w:r w:rsidRPr="00EB2BD8">
        <w:rPr>
          <w:rFonts w:ascii="Arial"/>
          <w:spacing w:val="-4"/>
          <w:w w:val="105"/>
          <w:sz w:val="16"/>
        </w:rPr>
        <w:t xml:space="preserve"> </w:t>
      </w:r>
      <w:r w:rsidRPr="00EB2BD8">
        <w:rPr>
          <w:rFonts w:ascii="Arial"/>
          <w:w w:val="105"/>
          <w:sz w:val="16"/>
        </w:rPr>
        <w:t>The</w:t>
      </w:r>
      <w:r w:rsidRPr="00EB2BD8">
        <w:rPr>
          <w:rFonts w:ascii="Arial"/>
          <w:spacing w:val="-4"/>
          <w:w w:val="105"/>
          <w:sz w:val="16"/>
        </w:rPr>
        <w:t xml:space="preserve"> </w:t>
      </w:r>
      <w:r w:rsidRPr="00EB2BD8">
        <w:rPr>
          <w:rFonts w:ascii="Arial"/>
          <w:w w:val="105"/>
          <w:sz w:val="16"/>
        </w:rPr>
        <w:t>right-of- use</w:t>
      </w:r>
      <w:r w:rsidRPr="00EB2BD8">
        <w:rPr>
          <w:rFonts w:ascii="Arial"/>
          <w:spacing w:val="-6"/>
          <w:w w:val="105"/>
          <w:sz w:val="16"/>
        </w:rPr>
        <w:t xml:space="preserve"> </w:t>
      </w:r>
      <w:r w:rsidRPr="00EB2BD8">
        <w:rPr>
          <w:rFonts w:ascii="Arial"/>
          <w:w w:val="105"/>
          <w:sz w:val="16"/>
        </w:rPr>
        <w:t>asset</w:t>
      </w:r>
      <w:r w:rsidRPr="00EB2BD8">
        <w:rPr>
          <w:rFonts w:ascii="Arial"/>
          <w:spacing w:val="-6"/>
          <w:w w:val="105"/>
          <w:sz w:val="16"/>
        </w:rPr>
        <w:t xml:space="preserve"> </w:t>
      </w:r>
      <w:r w:rsidRPr="00EB2BD8">
        <w:rPr>
          <w:rFonts w:ascii="Arial"/>
          <w:w w:val="105"/>
          <w:sz w:val="16"/>
        </w:rPr>
        <w:t>is</w:t>
      </w:r>
      <w:r w:rsidRPr="00EB2BD8">
        <w:rPr>
          <w:rFonts w:ascii="Arial"/>
          <w:spacing w:val="-6"/>
          <w:w w:val="105"/>
          <w:sz w:val="16"/>
        </w:rPr>
        <w:t xml:space="preserve"> </w:t>
      </w:r>
      <w:r w:rsidRPr="00EB2BD8">
        <w:rPr>
          <w:rFonts w:ascii="Arial"/>
          <w:w w:val="105"/>
          <w:sz w:val="16"/>
        </w:rPr>
        <w:t>initially</w:t>
      </w:r>
      <w:r w:rsidRPr="00EB2BD8">
        <w:rPr>
          <w:rFonts w:ascii="Arial"/>
          <w:spacing w:val="-6"/>
          <w:w w:val="105"/>
          <w:sz w:val="16"/>
        </w:rPr>
        <w:t xml:space="preserve"> </w:t>
      </w:r>
      <w:r w:rsidRPr="00EB2BD8">
        <w:rPr>
          <w:rFonts w:ascii="Arial"/>
          <w:w w:val="105"/>
          <w:sz w:val="16"/>
        </w:rPr>
        <w:t>measured</w:t>
      </w:r>
      <w:r w:rsidRPr="00EB2BD8">
        <w:rPr>
          <w:rFonts w:ascii="Arial"/>
          <w:spacing w:val="-5"/>
          <w:w w:val="105"/>
          <w:sz w:val="16"/>
        </w:rPr>
        <w:t xml:space="preserve"> </w:t>
      </w:r>
      <w:r w:rsidRPr="00EB2BD8">
        <w:rPr>
          <w:rFonts w:ascii="Arial"/>
          <w:w w:val="105"/>
          <w:sz w:val="16"/>
        </w:rPr>
        <w:t>at</w:t>
      </w:r>
      <w:r w:rsidRPr="00EB2BD8">
        <w:rPr>
          <w:rFonts w:ascii="Arial"/>
          <w:spacing w:val="-6"/>
          <w:w w:val="105"/>
          <w:sz w:val="16"/>
        </w:rPr>
        <w:t xml:space="preserve"> </w:t>
      </w:r>
      <w:r w:rsidRPr="00EB2BD8">
        <w:rPr>
          <w:rFonts w:ascii="Arial"/>
          <w:w w:val="105"/>
          <w:sz w:val="16"/>
        </w:rPr>
        <w:t>cost</w:t>
      </w:r>
      <w:r w:rsidRPr="00EB2BD8">
        <w:rPr>
          <w:rFonts w:ascii="Arial"/>
          <w:spacing w:val="-6"/>
          <w:w w:val="105"/>
          <w:sz w:val="16"/>
        </w:rPr>
        <w:t xml:space="preserve"> </w:t>
      </w:r>
      <w:r w:rsidRPr="00EB2BD8">
        <w:rPr>
          <w:rFonts w:ascii="Arial"/>
          <w:w w:val="105"/>
          <w:sz w:val="16"/>
        </w:rPr>
        <w:t>which</w:t>
      </w:r>
      <w:r w:rsidRPr="00EB2BD8">
        <w:rPr>
          <w:rFonts w:ascii="Arial"/>
          <w:spacing w:val="-6"/>
          <w:w w:val="105"/>
          <w:sz w:val="16"/>
        </w:rPr>
        <w:t xml:space="preserve"> </w:t>
      </w:r>
      <w:r w:rsidRPr="00EB2BD8">
        <w:rPr>
          <w:rFonts w:ascii="Arial"/>
          <w:w w:val="105"/>
          <w:sz w:val="16"/>
        </w:rPr>
        <w:t>comprises the initial amount of the lease liability adjusted for:</w:t>
      </w:r>
    </w:p>
    <w:p w14:paraId="1059544B" w14:textId="77777777" w:rsidR="00084F36" w:rsidRPr="00EB2BD8" w:rsidRDefault="00EB2BD8">
      <w:pPr>
        <w:pStyle w:val="ListParagraph"/>
        <w:numPr>
          <w:ilvl w:val="3"/>
          <w:numId w:val="43"/>
        </w:numPr>
        <w:tabs>
          <w:tab w:val="left" w:pos="1724"/>
        </w:tabs>
        <w:spacing w:line="285" w:lineRule="auto"/>
        <w:ind w:right="852"/>
        <w:rPr>
          <w:rFonts w:ascii="Arial" w:hAnsi="Arial"/>
          <w:sz w:val="16"/>
        </w:rPr>
      </w:pPr>
      <w:r w:rsidRPr="00EB2BD8">
        <w:rPr>
          <w:rFonts w:ascii="Arial" w:hAnsi="Arial"/>
          <w:w w:val="105"/>
          <w:sz w:val="16"/>
        </w:rPr>
        <w:t>any</w:t>
      </w:r>
      <w:r w:rsidRPr="00EB2BD8">
        <w:rPr>
          <w:rFonts w:ascii="Arial" w:hAnsi="Arial"/>
          <w:spacing w:val="-12"/>
          <w:w w:val="105"/>
          <w:sz w:val="16"/>
        </w:rPr>
        <w:t xml:space="preserve"> </w:t>
      </w:r>
      <w:r w:rsidRPr="00EB2BD8">
        <w:rPr>
          <w:rFonts w:ascii="Arial" w:hAnsi="Arial"/>
          <w:w w:val="105"/>
          <w:sz w:val="16"/>
        </w:rPr>
        <w:t>lease</w:t>
      </w:r>
      <w:r w:rsidRPr="00EB2BD8">
        <w:rPr>
          <w:rFonts w:ascii="Arial" w:hAnsi="Arial"/>
          <w:spacing w:val="-12"/>
          <w:w w:val="105"/>
          <w:sz w:val="16"/>
        </w:rPr>
        <w:t xml:space="preserve"> </w:t>
      </w:r>
      <w:r w:rsidRPr="00EB2BD8">
        <w:rPr>
          <w:rFonts w:ascii="Arial" w:hAnsi="Arial"/>
          <w:w w:val="105"/>
          <w:sz w:val="16"/>
        </w:rPr>
        <w:t>payments</w:t>
      </w:r>
      <w:r w:rsidRPr="00EB2BD8">
        <w:rPr>
          <w:rFonts w:ascii="Arial" w:hAnsi="Arial"/>
          <w:spacing w:val="-11"/>
          <w:w w:val="105"/>
          <w:sz w:val="16"/>
        </w:rPr>
        <w:t xml:space="preserve"> </w:t>
      </w:r>
      <w:r w:rsidRPr="00EB2BD8">
        <w:rPr>
          <w:rFonts w:ascii="Arial" w:hAnsi="Arial"/>
          <w:w w:val="105"/>
          <w:sz w:val="16"/>
        </w:rPr>
        <w:t>made</w:t>
      </w:r>
      <w:r w:rsidRPr="00EB2BD8">
        <w:rPr>
          <w:rFonts w:ascii="Arial" w:hAnsi="Arial"/>
          <w:spacing w:val="-12"/>
          <w:w w:val="105"/>
          <w:sz w:val="16"/>
        </w:rPr>
        <w:t xml:space="preserve"> </w:t>
      </w:r>
      <w:r w:rsidRPr="00EB2BD8">
        <w:rPr>
          <w:rFonts w:ascii="Arial" w:hAnsi="Arial"/>
          <w:w w:val="105"/>
          <w:sz w:val="16"/>
        </w:rPr>
        <w:t>at</w:t>
      </w:r>
      <w:r w:rsidRPr="00EB2BD8">
        <w:rPr>
          <w:rFonts w:ascii="Arial" w:hAnsi="Arial"/>
          <w:spacing w:val="-12"/>
          <w:w w:val="105"/>
          <w:sz w:val="16"/>
        </w:rPr>
        <w:t xml:space="preserve"> </w:t>
      </w:r>
      <w:r w:rsidRPr="00EB2BD8">
        <w:rPr>
          <w:rFonts w:ascii="Arial" w:hAnsi="Arial"/>
          <w:w w:val="105"/>
          <w:sz w:val="16"/>
        </w:rPr>
        <w:t>or</w:t>
      </w:r>
      <w:r w:rsidRPr="00EB2BD8">
        <w:rPr>
          <w:rFonts w:ascii="Arial" w:hAnsi="Arial"/>
          <w:spacing w:val="-12"/>
          <w:w w:val="105"/>
          <w:sz w:val="16"/>
        </w:rPr>
        <w:t xml:space="preserve"> </w:t>
      </w:r>
      <w:r w:rsidRPr="00EB2BD8">
        <w:rPr>
          <w:rFonts w:ascii="Arial" w:hAnsi="Arial"/>
          <w:w w:val="105"/>
          <w:sz w:val="16"/>
        </w:rPr>
        <w:t>before</w:t>
      </w:r>
      <w:r w:rsidRPr="00EB2BD8">
        <w:rPr>
          <w:rFonts w:ascii="Arial" w:hAnsi="Arial"/>
          <w:spacing w:val="-11"/>
          <w:w w:val="105"/>
          <w:sz w:val="16"/>
        </w:rPr>
        <w:t xml:space="preserve"> </w:t>
      </w:r>
      <w:r w:rsidRPr="00EB2BD8">
        <w:rPr>
          <w:rFonts w:ascii="Arial" w:hAnsi="Arial"/>
          <w:w w:val="105"/>
          <w:sz w:val="16"/>
        </w:rPr>
        <w:t>the commencement date; plus</w:t>
      </w:r>
    </w:p>
    <w:p w14:paraId="4E038368" w14:textId="77777777" w:rsidR="00084F36" w:rsidRPr="00EB2BD8" w:rsidRDefault="00EB2BD8">
      <w:pPr>
        <w:pStyle w:val="ListParagraph"/>
        <w:numPr>
          <w:ilvl w:val="3"/>
          <w:numId w:val="43"/>
        </w:numPr>
        <w:tabs>
          <w:tab w:val="left" w:pos="1724"/>
        </w:tabs>
        <w:spacing w:before="1"/>
        <w:rPr>
          <w:rFonts w:ascii="Arial" w:hAnsi="Arial"/>
          <w:sz w:val="16"/>
        </w:rPr>
      </w:pPr>
      <w:r w:rsidRPr="00EB2BD8">
        <w:rPr>
          <w:rFonts w:ascii="Arial" w:hAnsi="Arial"/>
          <w:spacing w:val="-2"/>
          <w:w w:val="105"/>
          <w:sz w:val="16"/>
        </w:rPr>
        <w:t>any</w:t>
      </w:r>
      <w:r w:rsidRPr="00EB2BD8">
        <w:rPr>
          <w:rFonts w:ascii="Arial" w:hAnsi="Arial"/>
          <w:spacing w:val="-3"/>
          <w:w w:val="105"/>
          <w:sz w:val="16"/>
        </w:rPr>
        <w:t xml:space="preserve"> </w:t>
      </w:r>
      <w:r w:rsidRPr="00EB2BD8">
        <w:rPr>
          <w:rFonts w:ascii="Arial" w:hAnsi="Arial"/>
          <w:spacing w:val="-2"/>
          <w:w w:val="105"/>
          <w:sz w:val="16"/>
        </w:rPr>
        <w:t>initial</w:t>
      </w:r>
      <w:r w:rsidRPr="00EB2BD8">
        <w:rPr>
          <w:rFonts w:ascii="Arial" w:hAnsi="Arial"/>
          <w:spacing w:val="-1"/>
          <w:w w:val="105"/>
          <w:sz w:val="16"/>
        </w:rPr>
        <w:t xml:space="preserve"> </w:t>
      </w:r>
      <w:r w:rsidRPr="00EB2BD8">
        <w:rPr>
          <w:rFonts w:ascii="Arial" w:hAnsi="Arial"/>
          <w:spacing w:val="-2"/>
          <w:w w:val="105"/>
          <w:sz w:val="16"/>
        </w:rPr>
        <w:t>direct</w:t>
      </w:r>
      <w:r w:rsidRPr="00EB2BD8">
        <w:rPr>
          <w:rFonts w:ascii="Arial" w:hAnsi="Arial"/>
          <w:spacing w:val="-1"/>
          <w:w w:val="105"/>
          <w:sz w:val="16"/>
        </w:rPr>
        <w:t xml:space="preserve"> </w:t>
      </w:r>
      <w:r w:rsidRPr="00EB2BD8">
        <w:rPr>
          <w:rFonts w:ascii="Arial" w:hAnsi="Arial"/>
          <w:spacing w:val="-2"/>
          <w:w w:val="105"/>
          <w:sz w:val="16"/>
        </w:rPr>
        <w:t>costs</w:t>
      </w:r>
      <w:r w:rsidRPr="00EB2BD8">
        <w:rPr>
          <w:rFonts w:ascii="Arial" w:hAnsi="Arial"/>
          <w:spacing w:val="-3"/>
          <w:w w:val="105"/>
          <w:sz w:val="16"/>
        </w:rPr>
        <w:t xml:space="preserve"> </w:t>
      </w:r>
      <w:r w:rsidRPr="00EB2BD8">
        <w:rPr>
          <w:rFonts w:ascii="Arial" w:hAnsi="Arial"/>
          <w:spacing w:val="-2"/>
          <w:w w:val="105"/>
          <w:sz w:val="16"/>
        </w:rPr>
        <w:t>incurred;</w:t>
      </w:r>
      <w:r w:rsidRPr="00EB2BD8">
        <w:rPr>
          <w:rFonts w:ascii="Arial" w:hAnsi="Arial"/>
          <w:spacing w:val="-1"/>
          <w:w w:val="105"/>
          <w:sz w:val="16"/>
        </w:rPr>
        <w:t xml:space="preserve"> </w:t>
      </w:r>
      <w:r w:rsidRPr="00EB2BD8">
        <w:rPr>
          <w:rFonts w:ascii="Arial" w:hAnsi="Arial"/>
          <w:spacing w:val="-5"/>
          <w:w w:val="105"/>
          <w:sz w:val="16"/>
        </w:rPr>
        <w:t>and</w:t>
      </w:r>
    </w:p>
    <w:p w14:paraId="77D51587" w14:textId="77777777" w:rsidR="00084F36" w:rsidRPr="00EB2BD8" w:rsidRDefault="00EB2BD8">
      <w:pPr>
        <w:pStyle w:val="ListParagraph"/>
        <w:numPr>
          <w:ilvl w:val="3"/>
          <w:numId w:val="43"/>
        </w:numPr>
        <w:tabs>
          <w:tab w:val="left" w:pos="1724"/>
        </w:tabs>
        <w:spacing w:before="38" w:line="288" w:lineRule="auto"/>
        <w:ind w:right="413"/>
        <w:rPr>
          <w:rFonts w:ascii="Arial" w:hAnsi="Arial"/>
          <w:sz w:val="16"/>
        </w:rPr>
      </w:pPr>
      <w:r w:rsidRPr="00EB2BD8">
        <w:rPr>
          <w:rFonts w:ascii="Arial" w:hAnsi="Arial"/>
          <w:w w:val="105"/>
          <w:sz w:val="16"/>
        </w:rPr>
        <w:t>an estimate of costs to dismantle and remove the</w:t>
      </w:r>
      <w:r w:rsidRPr="00EB2BD8">
        <w:rPr>
          <w:rFonts w:ascii="Arial" w:hAnsi="Arial"/>
          <w:spacing w:val="-10"/>
          <w:w w:val="105"/>
          <w:sz w:val="16"/>
        </w:rPr>
        <w:t xml:space="preserve"> </w:t>
      </w:r>
      <w:r w:rsidRPr="00EB2BD8">
        <w:rPr>
          <w:rFonts w:ascii="Arial" w:hAnsi="Arial"/>
          <w:w w:val="105"/>
          <w:sz w:val="16"/>
        </w:rPr>
        <w:t>underlying</w:t>
      </w:r>
      <w:r w:rsidRPr="00EB2BD8">
        <w:rPr>
          <w:rFonts w:ascii="Arial" w:hAnsi="Arial"/>
          <w:spacing w:val="-9"/>
          <w:w w:val="105"/>
          <w:sz w:val="16"/>
        </w:rPr>
        <w:t xml:space="preserve"> </w:t>
      </w:r>
      <w:r w:rsidRPr="00EB2BD8">
        <w:rPr>
          <w:rFonts w:ascii="Arial" w:hAnsi="Arial"/>
          <w:w w:val="105"/>
          <w:sz w:val="16"/>
        </w:rPr>
        <w:t>asset</w:t>
      </w:r>
      <w:r w:rsidRPr="00EB2BD8">
        <w:rPr>
          <w:rFonts w:ascii="Arial" w:hAnsi="Arial"/>
          <w:spacing w:val="-9"/>
          <w:w w:val="105"/>
          <w:sz w:val="16"/>
        </w:rPr>
        <w:t xml:space="preserve"> </w:t>
      </w:r>
      <w:r w:rsidRPr="00EB2BD8">
        <w:rPr>
          <w:rFonts w:ascii="Arial" w:hAnsi="Arial"/>
          <w:w w:val="105"/>
          <w:sz w:val="16"/>
        </w:rPr>
        <w:t>or</w:t>
      </w:r>
      <w:r w:rsidRPr="00EB2BD8">
        <w:rPr>
          <w:rFonts w:ascii="Arial" w:hAnsi="Arial"/>
          <w:spacing w:val="-9"/>
          <w:w w:val="105"/>
          <w:sz w:val="16"/>
        </w:rPr>
        <w:t xml:space="preserve"> </w:t>
      </w:r>
      <w:r w:rsidRPr="00EB2BD8">
        <w:rPr>
          <w:rFonts w:ascii="Arial" w:hAnsi="Arial"/>
          <w:w w:val="105"/>
          <w:sz w:val="16"/>
        </w:rPr>
        <w:t>to</w:t>
      </w:r>
      <w:r w:rsidRPr="00EB2BD8">
        <w:rPr>
          <w:rFonts w:ascii="Arial" w:hAnsi="Arial"/>
          <w:spacing w:val="-10"/>
          <w:w w:val="105"/>
          <w:sz w:val="16"/>
        </w:rPr>
        <w:t xml:space="preserve"> </w:t>
      </w:r>
      <w:r w:rsidRPr="00EB2BD8">
        <w:rPr>
          <w:rFonts w:ascii="Arial" w:hAnsi="Arial"/>
          <w:w w:val="105"/>
          <w:sz w:val="16"/>
        </w:rPr>
        <w:t>restore</w:t>
      </w:r>
      <w:r w:rsidRPr="00EB2BD8">
        <w:rPr>
          <w:rFonts w:ascii="Arial" w:hAnsi="Arial"/>
          <w:spacing w:val="-10"/>
          <w:w w:val="105"/>
          <w:sz w:val="16"/>
        </w:rPr>
        <w:t xml:space="preserve"> </w:t>
      </w:r>
      <w:r w:rsidRPr="00EB2BD8">
        <w:rPr>
          <w:rFonts w:ascii="Arial" w:hAnsi="Arial"/>
          <w:w w:val="105"/>
          <w:sz w:val="16"/>
        </w:rPr>
        <w:t>the</w:t>
      </w:r>
      <w:r w:rsidRPr="00EB2BD8">
        <w:rPr>
          <w:rFonts w:ascii="Arial" w:hAnsi="Arial"/>
          <w:spacing w:val="-9"/>
          <w:w w:val="105"/>
          <w:sz w:val="16"/>
        </w:rPr>
        <w:t xml:space="preserve"> </w:t>
      </w:r>
      <w:r w:rsidRPr="00EB2BD8">
        <w:rPr>
          <w:rFonts w:ascii="Arial" w:hAnsi="Arial"/>
          <w:w w:val="105"/>
          <w:sz w:val="16"/>
        </w:rPr>
        <w:t>underlying asset</w:t>
      </w:r>
      <w:r w:rsidRPr="00EB2BD8">
        <w:rPr>
          <w:rFonts w:ascii="Arial" w:hAnsi="Arial"/>
          <w:spacing w:val="-3"/>
          <w:w w:val="105"/>
          <w:sz w:val="16"/>
        </w:rPr>
        <w:t xml:space="preserve"> </w:t>
      </w:r>
      <w:r w:rsidRPr="00EB2BD8">
        <w:rPr>
          <w:rFonts w:ascii="Arial" w:hAnsi="Arial"/>
          <w:w w:val="105"/>
          <w:sz w:val="16"/>
        </w:rPr>
        <w:t>or the site on which it is located, less any lease incentive received.</w:t>
      </w:r>
    </w:p>
    <w:p w14:paraId="44A7D9B3" w14:textId="77777777" w:rsidR="00084F36" w:rsidRPr="00EB2BD8" w:rsidRDefault="00084F36">
      <w:pPr>
        <w:pStyle w:val="BodyText"/>
        <w:rPr>
          <w:rFonts w:ascii="Arial"/>
        </w:rPr>
      </w:pPr>
    </w:p>
    <w:p w14:paraId="76577307" w14:textId="77777777" w:rsidR="00084F36" w:rsidRPr="00EB2BD8" w:rsidRDefault="00EB2BD8" w:rsidP="00273892">
      <w:pPr>
        <w:pStyle w:val="Heading2"/>
        <w:ind w:left="1052"/>
      </w:pPr>
      <w:bookmarkStart w:id="288" w:name="_Toc150762590"/>
      <w:r w:rsidRPr="00EB2BD8">
        <w:t xml:space="preserve">Right-of-use asset – Subsequent </w:t>
      </w:r>
      <w:r w:rsidRPr="00EB2BD8">
        <w:rPr>
          <w:spacing w:val="-2"/>
        </w:rPr>
        <w:t>measurement</w:t>
      </w:r>
      <w:bookmarkEnd w:id="288"/>
    </w:p>
    <w:p w14:paraId="13E4CCEE" w14:textId="77777777" w:rsidR="00084F36" w:rsidRPr="00EB2BD8" w:rsidRDefault="00EB2BD8">
      <w:pPr>
        <w:spacing w:before="115" w:line="290" w:lineRule="auto"/>
        <w:ind w:left="1052" w:right="371"/>
        <w:rPr>
          <w:rFonts w:ascii="Arial"/>
          <w:sz w:val="16"/>
        </w:rPr>
      </w:pPr>
      <w:r w:rsidRPr="00EB2BD8">
        <w:rPr>
          <w:rFonts w:ascii="Arial"/>
          <w:w w:val="105"/>
          <w:sz w:val="16"/>
        </w:rPr>
        <w:t>The VBA depreciates the right-of-use assets on a straight-line</w:t>
      </w:r>
      <w:r w:rsidRPr="00EB2BD8">
        <w:rPr>
          <w:rFonts w:ascii="Arial"/>
          <w:spacing w:val="-2"/>
          <w:w w:val="105"/>
          <w:sz w:val="16"/>
        </w:rPr>
        <w:t xml:space="preserve"> </w:t>
      </w:r>
      <w:r w:rsidRPr="00EB2BD8">
        <w:rPr>
          <w:rFonts w:ascii="Arial"/>
          <w:w w:val="105"/>
          <w:sz w:val="16"/>
        </w:rPr>
        <w:t>basis</w:t>
      </w:r>
      <w:r w:rsidRPr="00EB2BD8">
        <w:rPr>
          <w:rFonts w:ascii="Arial"/>
          <w:spacing w:val="-2"/>
          <w:w w:val="105"/>
          <w:sz w:val="16"/>
        </w:rPr>
        <w:t xml:space="preserve"> </w:t>
      </w:r>
      <w:r w:rsidRPr="00EB2BD8">
        <w:rPr>
          <w:rFonts w:ascii="Arial"/>
          <w:w w:val="105"/>
          <w:sz w:val="16"/>
        </w:rPr>
        <w:t>from</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lease</w:t>
      </w:r>
      <w:r w:rsidRPr="00EB2BD8">
        <w:rPr>
          <w:rFonts w:ascii="Arial"/>
          <w:spacing w:val="-2"/>
          <w:w w:val="105"/>
          <w:sz w:val="16"/>
        </w:rPr>
        <w:t xml:space="preserve"> </w:t>
      </w:r>
      <w:r w:rsidRPr="00EB2BD8">
        <w:rPr>
          <w:rFonts w:ascii="Arial"/>
          <w:w w:val="105"/>
          <w:sz w:val="16"/>
        </w:rPr>
        <w:t>commencement</w:t>
      </w:r>
      <w:r w:rsidRPr="00EB2BD8">
        <w:rPr>
          <w:rFonts w:ascii="Arial"/>
          <w:spacing w:val="-2"/>
          <w:w w:val="105"/>
          <w:sz w:val="16"/>
        </w:rPr>
        <w:t xml:space="preserve"> </w:t>
      </w:r>
      <w:r w:rsidRPr="00EB2BD8">
        <w:rPr>
          <w:rFonts w:ascii="Arial"/>
          <w:w w:val="105"/>
          <w:sz w:val="16"/>
        </w:rPr>
        <w:t>date</w:t>
      </w:r>
      <w:r w:rsidRPr="00EB2BD8">
        <w:rPr>
          <w:rFonts w:ascii="Arial"/>
          <w:spacing w:val="-2"/>
          <w:w w:val="105"/>
          <w:sz w:val="16"/>
        </w:rPr>
        <w:t xml:space="preserve"> </w:t>
      </w:r>
      <w:r w:rsidRPr="00EB2BD8">
        <w:rPr>
          <w:rFonts w:ascii="Arial"/>
          <w:w w:val="105"/>
          <w:sz w:val="16"/>
        </w:rPr>
        <w:t>to the earlier of the end of the useful life of the right-of-use asset or the end of the lease term. The right-of-use assets are also subject to revaluation as required by Financial Reporting Direction (FRD) 103 Non-Financial Physical Assets. In addition, the right-of-use asset is periodically reduced by impairment losses, if any and adjusted</w:t>
      </w:r>
      <w:r w:rsidRPr="00EB2BD8">
        <w:rPr>
          <w:rFonts w:ascii="Arial"/>
          <w:spacing w:val="-6"/>
          <w:w w:val="105"/>
          <w:sz w:val="16"/>
        </w:rPr>
        <w:t xml:space="preserve"> </w:t>
      </w:r>
      <w:r w:rsidRPr="00EB2BD8">
        <w:rPr>
          <w:rFonts w:ascii="Arial"/>
          <w:w w:val="105"/>
          <w:sz w:val="16"/>
        </w:rPr>
        <w:t>for</w:t>
      </w:r>
      <w:r w:rsidRPr="00EB2BD8">
        <w:rPr>
          <w:rFonts w:ascii="Arial"/>
          <w:spacing w:val="-6"/>
          <w:w w:val="105"/>
          <w:sz w:val="16"/>
        </w:rPr>
        <w:t xml:space="preserve"> </w:t>
      </w:r>
      <w:r w:rsidRPr="00EB2BD8">
        <w:rPr>
          <w:rFonts w:ascii="Arial"/>
          <w:w w:val="105"/>
          <w:sz w:val="16"/>
        </w:rPr>
        <w:t>certain</w:t>
      </w:r>
      <w:r w:rsidRPr="00EB2BD8">
        <w:rPr>
          <w:rFonts w:ascii="Arial"/>
          <w:spacing w:val="-6"/>
          <w:w w:val="105"/>
          <w:sz w:val="16"/>
        </w:rPr>
        <w:t xml:space="preserve"> </w:t>
      </w:r>
      <w:r w:rsidRPr="00EB2BD8">
        <w:rPr>
          <w:rFonts w:ascii="Arial"/>
          <w:w w:val="105"/>
          <w:sz w:val="16"/>
        </w:rPr>
        <w:t>remeasurements</w:t>
      </w:r>
      <w:r w:rsidRPr="00EB2BD8">
        <w:rPr>
          <w:rFonts w:ascii="Arial"/>
          <w:spacing w:val="-6"/>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lease</w:t>
      </w:r>
      <w:r w:rsidRPr="00EB2BD8">
        <w:rPr>
          <w:rFonts w:ascii="Arial"/>
          <w:spacing w:val="-6"/>
          <w:w w:val="105"/>
          <w:sz w:val="16"/>
        </w:rPr>
        <w:t xml:space="preserve"> </w:t>
      </w:r>
      <w:r w:rsidRPr="00EB2BD8">
        <w:rPr>
          <w:rFonts w:ascii="Arial"/>
          <w:w w:val="105"/>
          <w:sz w:val="16"/>
        </w:rPr>
        <w:t>liability.</w:t>
      </w:r>
    </w:p>
    <w:p w14:paraId="4B9683D4" w14:textId="77777777" w:rsidR="00084F36" w:rsidRPr="00EB2BD8" w:rsidRDefault="00084F36">
      <w:pPr>
        <w:pStyle w:val="BodyText"/>
        <w:spacing w:before="6"/>
        <w:rPr>
          <w:rFonts w:ascii="Arial"/>
        </w:rPr>
      </w:pPr>
    </w:p>
    <w:p w14:paraId="684C2CC9" w14:textId="77777777" w:rsidR="00084F36" w:rsidRPr="00EB2BD8" w:rsidRDefault="00EB2BD8">
      <w:pPr>
        <w:spacing w:line="285" w:lineRule="auto"/>
        <w:ind w:left="1052"/>
        <w:rPr>
          <w:rFonts w:ascii="Arial"/>
          <w:sz w:val="16"/>
        </w:rPr>
      </w:pPr>
      <w:r w:rsidRPr="00EB2BD8">
        <w:rPr>
          <w:rFonts w:ascii="Arial"/>
          <w:b/>
          <w:w w:val="105"/>
          <w:sz w:val="20"/>
        </w:rPr>
        <w:t>Non-specialised land and non-specialised buildings</w:t>
      </w:r>
      <w:r w:rsidRPr="00EB2BD8">
        <w:rPr>
          <w:rFonts w:ascii="Arial"/>
          <w:b/>
          <w:spacing w:val="-4"/>
          <w:w w:val="105"/>
          <w:sz w:val="20"/>
        </w:rPr>
        <w:t xml:space="preserve"> </w:t>
      </w:r>
      <w:r w:rsidRPr="00EB2BD8">
        <w:rPr>
          <w:rFonts w:ascii="Arial"/>
          <w:w w:val="105"/>
          <w:sz w:val="16"/>
        </w:rPr>
        <w:t>are valued using the market approach, whereby assets are compared to recent comparable sales or sales of comparable</w:t>
      </w:r>
      <w:r w:rsidRPr="00EB2BD8">
        <w:rPr>
          <w:rFonts w:ascii="Arial"/>
          <w:spacing w:val="-6"/>
          <w:w w:val="105"/>
          <w:sz w:val="16"/>
        </w:rPr>
        <w:t xml:space="preserve"> </w:t>
      </w:r>
      <w:r w:rsidRPr="00EB2BD8">
        <w:rPr>
          <w:rFonts w:ascii="Arial"/>
          <w:w w:val="105"/>
          <w:sz w:val="16"/>
        </w:rPr>
        <w:t>assets</w:t>
      </w:r>
      <w:r w:rsidRPr="00EB2BD8">
        <w:rPr>
          <w:rFonts w:ascii="Arial"/>
          <w:spacing w:val="-6"/>
          <w:w w:val="105"/>
          <w:sz w:val="16"/>
        </w:rPr>
        <w:t xml:space="preserve"> </w:t>
      </w:r>
      <w:r w:rsidRPr="00EB2BD8">
        <w:rPr>
          <w:rFonts w:ascii="Arial"/>
          <w:w w:val="105"/>
          <w:sz w:val="16"/>
        </w:rPr>
        <w:t>that</w:t>
      </w:r>
      <w:r w:rsidRPr="00EB2BD8">
        <w:rPr>
          <w:rFonts w:ascii="Arial"/>
          <w:spacing w:val="-6"/>
          <w:w w:val="105"/>
          <w:sz w:val="16"/>
        </w:rPr>
        <w:t xml:space="preserve"> </w:t>
      </w:r>
      <w:r w:rsidRPr="00EB2BD8">
        <w:rPr>
          <w:rFonts w:ascii="Arial"/>
          <w:w w:val="105"/>
          <w:sz w:val="16"/>
        </w:rPr>
        <w:t>are</w:t>
      </w:r>
      <w:r w:rsidRPr="00EB2BD8">
        <w:rPr>
          <w:rFonts w:ascii="Arial"/>
          <w:spacing w:val="-6"/>
          <w:w w:val="105"/>
          <w:sz w:val="16"/>
        </w:rPr>
        <w:t xml:space="preserve"> </w:t>
      </w:r>
      <w:r w:rsidRPr="00EB2BD8">
        <w:rPr>
          <w:rFonts w:ascii="Arial"/>
          <w:w w:val="105"/>
          <w:sz w:val="16"/>
        </w:rPr>
        <w:t>considered</w:t>
      </w:r>
      <w:r w:rsidRPr="00EB2BD8">
        <w:rPr>
          <w:rFonts w:ascii="Arial"/>
          <w:spacing w:val="-6"/>
          <w:w w:val="105"/>
          <w:sz w:val="16"/>
        </w:rPr>
        <w:t xml:space="preserve"> </w:t>
      </w:r>
      <w:r w:rsidRPr="00EB2BD8">
        <w:rPr>
          <w:rFonts w:ascii="Arial"/>
          <w:w w:val="105"/>
          <w:sz w:val="16"/>
        </w:rPr>
        <w:t>to</w:t>
      </w:r>
      <w:r w:rsidRPr="00EB2BD8">
        <w:rPr>
          <w:rFonts w:ascii="Arial"/>
          <w:spacing w:val="-6"/>
          <w:w w:val="105"/>
          <w:sz w:val="16"/>
        </w:rPr>
        <w:t xml:space="preserve"> </w:t>
      </w:r>
      <w:r w:rsidRPr="00EB2BD8">
        <w:rPr>
          <w:rFonts w:ascii="Arial"/>
          <w:w w:val="105"/>
          <w:sz w:val="16"/>
        </w:rPr>
        <w:t>have</w:t>
      </w:r>
      <w:r w:rsidRPr="00EB2BD8">
        <w:rPr>
          <w:rFonts w:ascii="Arial"/>
          <w:spacing w:val="-6"/>
          <w:w w:val="105"/>
          <w:sz w:val="16"/>
        </w:rPr>
        <w:t xml:space="preserve"> </w:t>
      </w:r>
      <w:r w:rsidRPr="00EB2BD8">
        <w:rPr>
          <w:rFonts w:ascii="Arial"/>
          <w:w w:val="105"/>
          <w:sz w:val="16"/>
        </w:rPr>
        <w:t>nominal</w:t>
      </w:r>
      <w:r w:rsidRPr="00EB2BD8">
        <w:rPr>
          <w:rFonts w:ascii="Arial"/>
          <w:spacing w:val="-6"/>
          <w:w w:val="105"/>
          <w:sz w:val="16"/>
        </w:rPr>
        <w:t xml:space="preserve"> </w:t>
      </w:r>
      <w:r w:rsidRPr="00EB2BD8">
        <w:rPr>
          <w:rFonts w:ascii="Arial"/>
          <w:w w:val="105"/>
          <w:sz w:val="16"/>
        </w:rPr>
        <w:t>value.</w:t>
      </w:r>
    </w:p>
    <w:p w14:paraId="4D5F13E1" w14:textId="77777777" w:rsidR="00084F36" w:rsidRPr="00EB2BD8" w:rsidRDefault="00084F36">
      <w:pPr>
        <w:pStyle w:val="BodyText"/>
        <w:spacing w:before="9"/>
        <w:rPr>
          <w:rFonts w:ascii="Arial"/>
          <w:sz w:val="19"/>
        </w:rPr>
      </w:pPr>
    </w:p>
    <w:p w14:paraId="538A780D" w14:textId="77777777" w:rsidR="00084F36" w:rsidRPr="00EB2BD8" w:rsidRDefault="00EB2BD8">
      <w:pPr>
        <w:spacing w:line="290" w:lineRule="auto"/>
        <w:ind w:left="1052" w:right="375"/>
        <w:rPr>
          <w:rFonts w:ascii="Arial"/>
          <w:sz w:val="16"/>
        </w:rPr>
      </w:pPr>
      <w:r w:rsidRPr="00EB2BD8">
        <w:rPr>
          <w:rFonts w:ascii="Arial"/>
          <w:w w:val="105"/>
          <w:sz w:val="16"/>
        </w:rPr>
        <w:t>For non-specialised land and non-specialised buildings, an independent valuation was performed by the Valuer- General of Victoria to determine the fair value using the market approach. Valuation of the assets was</w:t>
      </w:r>
      <w:r w:rsidRPr="00EB2BD8">
        <w:rPr>
          <w:rFonts w:ascii="Arial"/>
          <w:spacing w:val="40"/>
          <w:w w:val="105"/>
          <w:sz w:val="16"/>
        </w:rPr>
        <w:t xml:space="preserve"> </w:t>
      </w:r>
      <w:r w:rsidRPr="00EB2BD8">
        <w:rPr>
          <w:rFonts w:ascii="Arial"/>
          <w:w w:val="105"/>
          <w:sz w:val="16"/>
        </w:rPr>
        <w:t>determined by analysing comparable sales and allowing for share, size, topography, location and other relevant factors</w:t>
      </w:r>
      <w:r w:rsidRPr="00EB2BD8">
        <w:rPr>
          <w:rFonts w:ascii="Arial"/>
          <w:spacing w:val="-3"/>
          <w:w w:val="105"/>
          <w:sz w:val="16"/>
        </w:rPr>
        <w:t xml:space="preserve"> </w:t>
      </w:r>
      <w:r w:rsidRPr="00EB2BD8">
        <w:rPr>
          <w:rFonts w:ascii="Arial"/>
          <w:w w:val="105"/>
          <w:sz w:val="16"/>
        </w:rPr>
        <w:t>specific</w:t>
      </w:r>
      <w:r w:rsidRPr="00EB2BD8">
        <w:rPr>
          <w:rFonts w:ascii="Arial"/>
          <w:spacing w:val="-2"/>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asset</w:t>
      </w:r>
      <w:r w:rsidRPr="00EB2BD8">
        <w:rPr>
          <w:rFonts w:ascii="Arial"/>
          <w:spacing w:val="-3"/>
          <w:w w:val="105"/>
          <w:sz w:val="16"/>
        </w:rPr>
        <w:t xml:space="preserve"> </w:t>
      </w:r>
      <w:r w:rsidRPr="00EB2BD8">
        <w:rPr>
          <w:rFonts w:ascii="Arial"/>
          <w:w w:val="105"/>
          <w:sz w:val="16"/>
        </w:rPr>
        <w:t>being</w:t>
      </w:r>
      <w:r w:rsidRPr="00EB2BD8">
        <w:rPr>
          <w:rFonts w:ascii="Arial"/>
          <w:spacing w:val="-3"/>
          <w:w w:val="105"/>
          <w:sz w:val="16"/>
        </w:rPr>
        <w:t xml:space="preserve"> </w:t>
      </w:r>
      <w:r w:rsidRPr="00EB2BD8">
        <w:rPr>
          <w:rFonts w:ascii="Arial"/>
          <w:w w:val="105"/>
          <w:sz w:val="16"/>
        </w:rPr>
        <w:t>valued.</w:t>
      </w:r>
      <w:r w:rsidRPr="00EB2BD8">
        <w:rPr>
          <w:rFonts w:ascii="Arial"/>
          <w:spacing w:val="-3"/>
          <w:w w:val="105"/>
          <w:sz w:val="16"/>
        </w:rPr>
        <w:t xml:space="preserve"> </w:t>
      </w:r>
      <w:r w:rsidRPr="00EB2BD8">
        <w:rPr>
          <w:rFonts w:ascii="Arial"/>
          <w:w w:val="105"/>
          <w:sz w:val="16"/>
        </w:rPr>
        <w:t>From</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sales analysed,</w:t>
      </w:r>
      <w:r w:rsidRPr="00EB2BD8">
        <w:rPr>
          <w:rFonts w:ascii="Arial"/>
          <w:spacing w:val="-6"/>
          <w:w w:val="105"/>
          <w:sz w:val="16"/>
        </w:rPr>
        <w:t xml:space="preserve"> </w:t>
      </w:r>
      <w:r w:rsidRPr="00EB2BD8">
        <w:rPr>
          <w:rFonts w:ascii="Arial"/>
          <w:w w:val="105"/>
          <w:sz w:val="16"/>
        </w:rPr>
        <w:t>an</w:t>
      </w:r>
      <w:r w:rsidRPr="00EB2BD8">
        <w:rPr>
          <w:rFonts w:ascii="Arial"/>
          <w:spacing w:val="-6"/>
          <w:w w:val="105"/>
          <w:sz w:val="16"/>
        </w:rPr>
        <w:t xml:space="preserve"> </w:t>
      </w:r>
      <w:r w:rsidRPr="00EB2BD8">
        <w:rPr>
          <w:rFonts w:ascii="Arial"/>
          <w:w w:val="105"/>
          <w:sz w:val="16"/>
        </w:rPr>
        <w:t>appropriate</w:t>
      </w:r>
      <w:r w:rsidRPr="00EB2BD8">
        <w:rPr>
          <w:rFonts w:ascii="Arial"/>
          <w:spacing w:val="-6"/>
          <w:w w:val="105"/>
          <w:sz w:val="16"/>
        </w:rPr>
        <w:t xml:space="preserve"> </w:t>
      </w:r>
      <w:r w:rsidRPr="00EB2BD8">
        <w:rPr>
          <w:rFonts w:ascii="Arial"/>
          <w:w w:val="105"/>
          <w:sz w:val="16"/>
        </w:rPr>
        <w:t>rate</w:t>
      </w:r>
      <w:r w:rsidRPr="00EB2BD8">
        <w:rPr>
          <w:rFonts w:ascii="Arial"/>
          <w:spacing w:val="-6"/>
          <w:w w:val="105"/>
          <w:sz w:val="16"/>
        </w:rPr>
        <w:t xml:space="preserve"> </w:t>
      </w:r>
      <w:r w:rsidRPr="00EB2BD8">
        <w:rPr>
          <w:rFonts w:ascii="Arial"/>
          <w:w w:val="105"/>
          <w:sz w:val="16"/>
        </w:rPr>
        <w:t>per</w:t>
      </w:r>
      <w:r w:rsidRPr="00EB2BD8">
        <w:rPr>
          <w:rFonts w:ascii="Arial"/>
          <w:spacing w:val="-6"/>
          <w:w w:val="105"/>
          <w:sz w:val="16"/>
        </w:rPr>
        <w:t xml:space="preserve"> </w:t>
      </w:r>
      <w:r w:rsidRPr="00EB2BD8">
        <w:rPr>
          <w:rFonts w:ascii="Arial"/>
          <w:w w:val="105"/>
          <w:sz w:val="16"/>
        </w:rPr>
        <w:t>square</w:t>
      </w:r>
      <w:r w:rsidRPr="00EB2BD8">
        <w:rPr>
          <w:rFonts w:ascii="Arial"/>
          <w:spacing w:val="-6"/>
          <w:w w:val="105"/>
          <w:sz w:val="16"/>
        </w:rPr>
        <w:t xml:space="preserve"> </w:t>
      </w:r>
      <w:r w:rsidRPr="00EB2BD8">
        <w:rPr>
          <w:rFonts w:ascii="Arial"/>
          <w:w w:val="105"/>
          <w:sz w:val="16"/>
        </w:rPr>
        <w:t>metre</w:t>
      </w:r>
      <w:r w:rsidRPr="00EB2BD8">
        <w:rPr>
          <w:rFonts w:ascii="Arial"/>
          <w:spacing w:val="-6"/>
          <w:w w:val="105"/>
          <w:sz w:val="16"/>
        </w:rPr>
        <w:t xml:space="preserve"> </w:t>
      </w:r>
      <w:r w:rsidRPr="00EB2BD8">
        <w:rPr>
          <w:rFonts w:ascii="Arial"/>
          <w:w w:val="105"/>
          <w:sz w:val="16"/>
        </w:rPr>
        <w:t>has</w:t>
      </w:r>
      <w:r w:rsidRPr="00EB2BD8">
        <w:rPr>
          <w:rFonts w:ascii="Arial"/>
          <w:spacing w:val="-6"/>
          <w:w w:val="105"/>
          <w:sz w:val="16"/>
        </w:rPr>
        <w:t xml:space="preserve"> </w:t>
      </w:r>
      <w:r w:rsidRPr="00EB2BD8">
        <w:rPr>
          <w:rFonts w:ascii="Arial"/>
          <w:w w:val="105"/>
          <w:sz w:val="16"/>
        </w:rPr>
        <w:t>been applied to the subject asset. The effective date of the valuation was 30 June 2021.</w:t>
      </w:r>
    </w:p>
    <w:p w14:paraId="022C7859" w14:textId="77777777" w:rsidR="00084F36" w:rsidRPr="00EB2BD8" w:rsidRDefault="00084F36">
      <w:pPr>
        <w:pStyle w:val="BodyText"/>
        <w:spacing w:before="10"/>
        <w:rPr>
          <w:rFonts w:ascii="Arial"/>
        </w:rPr>
      </w:pPr>
    </w:p>
    <w:p w14:paraId="7F1197D7" w14:textId="77777777" w:rsidR="00084F36" w:rsidRPr="00EB2BD8" w:rsidRDefault="00EB2BD8">
      <w:pPr>
        <w:spacing w:line="290" w:lineRule="auto"/>
        <w:ind w:left="1052" w:right="371"/>
        <w:rPr>
          <w:rFonts w:ascii="Arial"/>
          <w:sz w:val="16"/>
        </w:rPr>
      </w:pPr>
      <w:r w:rsidRPr="00EB2BD8">
        <w:rPr>
          <w:rFonts w:ascii="Arial"/>
          <w:w w:val="105"/>
          <w:sz w:val="16"/>
        </w:rPr>
        <w:t>To the extent that non-specialised land and non- specialised buildings do not contain significant, unobservable</w:t>
      </w:r>
      <w:r w:rsidRPr="00EB2BD8">
        <w:rPr>
          <w:rFonts w:ascii="Arial"/>
          <w:spacing w:val="-7"/>
          <w:w w:val="105"/>
          <w:sz w:val="16"/>
        </w:rPr>
        <w:t xml:space="preserve"> </w:t>
      </w:r>
      <w:r w:rsidRPr="00EB2BD8">
        <w:rPr>
          <w:rFonts w:ascii="Arial"/>
          <w:w w:val="105"/>
          <w:sz w:val="16"/>
        </w:rPr>
        <w:t>adjustments,</w:t>
      </w:r>
      <w:r w:rsidRPr="00EB2BD8">
        <w:rPr>
          <w:rFonts w:ascii="Arial"/>
          <w:spacing w:val="-7"/>
          <w:w w:val="105"/>
          <w:sz w:val="16"/>
        </w:rPr>
        <w:t xml:space="preserve"> </w:t>
      </w:r>
      <w:r w:rsidRPr="00EB2BD8">
        <w:rPr>
          <w:rFonts w:ascii="Arial"/>
          <w:w w:val="105"/>
          <w:sz w:val="16"/>
        </w:rPr>
        <w:t>these</w:t>
      </w:r>
      <w:r w:rsidRPr="00EB2BD8">
        <w:rPr>
          <w:rFonts w:ascii="Arial"/>
          <w:spacing w:val="-8"/>
          <w:w w:val="105"/>
          <w:sz w:val="16"/>
        </w:rPr>
        <w:t xml:space="preserve"> </w:t>
      </w:r>
      <w:r w:rsidRPr="00EB2BD8">
        <w:rPr>
          <w:rFonts w:ascii="Arial"/>
          <w:w w:val="105"/>
          <w:sz w:val="16"/>
        </w:rPr>
        <w:t>assets</w:t>
      </w:r>
      <w:r w:rsidRPr="00EB2BD8">
        <w:rPr>
          <w:rFonts w:ascii="Arial"/>
          <w:spacing w:val="-7"/>
          <w:w w:val="105"/>
          <w:sz w:val="16"/>
        </w:rPr>
        <w:t xml:space="preserve"> </w:t>
      </w:r>
      <w:r w:rsidRPr="00EB2BD8">
        <w:rPr>
          <w:rFonts w:ascii="Arial"/>
          <w:w w:val="105"/>
          <w:sz w:val="16"/>
        </w:rPr>
        <w:t>are</w:t>
      </w:r>
      <w:r w:rsidRPr="00EB2BD8">
        <w:rPr>
          <w:rFonts w:ascii="Arial"/>
          <w:spacing w:val="-7"/>
          <w:w w:val="105"/>
          <w:sz w:val="16"/>
        </w:rPr>
        <w:t xml:space="preserve"> </w:t>
      </w:r>
      <w:r w:rsidRPr="00EB2BD8">
        <w:rPr>
          <w:rFonts w:ascii="Arial"/>
          <w:w w:val="105"/>
          <w:sz w:val="16"/>
        </w:rPr>
        <w:t>classified</w:t>
      </w:r>
      <w:r w:rsidRPr="00EB2BD8">
        <w:rPr>
          <w:rFonts w:ascii="Arial"/>
          <w:spacing w:val="-7"/>
          <w:w w:val="105"/>
          <w:sz w:val="16"/>
        </w:rPr>
        <w:t xml:space="preserve"> </w:t>
      </w:r>
      <w:r w:rsidRPr="00EB2BD8">
        <w:rPr>
          <w:rFonts w:ascii="Arial"/>
          <w:w w:val="105"/>
          <w:sz w:val="16"/>
        </w:rPr>
        <w:t>as Level 2 under the market approach.</w:t>
      </w:r>
    </w:p>
    <w:p w14:paraId="60FB0512" w14:textId="77777777" w:rsidR="00084F36" w:rsidRPr="00EB2BD8" w:rsidRDefault="00084F36">
      <w:pPr>
        <w:pStyle w:val="BodyText"/>
        <w:spacing w:before="1"/>
        <w:rPr>
          <w:rFonts w:ascii="Arial"/>
          <w:sz w:val="19"/>
        </w:rPr>
      </w:pPr>
    </w:p>
    <w:p w14:paraId="642903ED" w14:textId="1BA152C7" w:rsidR="00462776" w:rsidRPr="00EB2BD8" w:rsidRDefault="00EB2BD8" w:rsidP="00462776">
      <w:pPr>
        <w:spacing w:line="290" w:lineRule="auto"/>
        <w:ind w:left="1052" w:right="371"/>
        <w:rPr>
          <w:rFonts w:ascii="Arial"/>
          <w:sz w:val="16"/>
        </w:rPr>
      </w:pPr>
      <w:r w:rsidRPr="00EB2BD8">
        <w:br w:type="column"/>
      </w:r>
    </w:p>
    <w:p w14:paraId="14889070" w14:textId="77777777" w:rsidR="00462776" w:rsidRPr="00EB2BD8" w:rsidRDefault="00462776" w:rsidP="00462776">
      <w:pPr>
        <w:pStyle w:val="BodyText"/>
        <w:spacing w:before="1"/>
        <w:rPr>
          <w:rFonts w:ascii="Arial"/>
          <w:sz w:val="19"/>
        </w:rPr>
      </w:pPr>
    </w:p>
    <w:p w14:paraId="0486AD9F" w14:textId="77777777" w:rsidR="00462776" w:rsidRDefault="00462776" w:rsidP="00462776">
      <w:pPr>
        <w:spacing w:before="1" w:line="290" w:lineRule="auto"/>
        <w:ind w:left="273" w:right="279"/>
        <w:rPr>
          <w:rFonts w:ascii="Arial" w:hAnsi="Arial"/>
          <w:w w:val="105"/>
          <w:sz w:val="16"/>
        </w:rPr>
      </w:pPr>
      <w:r w:rsidRPr="00EB2BD8">
        <w:rPr>
          <w:rFonts w:ascii="Arial" w:hAnsi="Arial"/>
          <w:w w:val="105"/>
          <w:sz w:val="16"/>
        </w:rPr>
        <w:t xml:space="preserve">A full revaluation of VBA's land and buildings was performed by </w:t>
      </w:r>
    </w:p>
    <w:p w14:paraId="73C47FD8" w14:textId="77777777" w:rsidR="00462776" w:rsidRDefault="00462776" w:rsidP="00462776">
      <w:pPr>
        <w:spacing w:before="1" w:line="290" w:lineRule="auto"/>
        <w:ind w:left="273" w:right="279"/>
        <w:rPr>
          <w:rFonts w:ascii="Arial" w:hAnsi="Arial"/>
          <w:spacing w:val="-5"/>
          <w:w w:val="105"/>
          <w:sz w:val="16"/>
        </w:rPr>
      </w:pPr>
      <w:r w:rsidRPr="00EB2BD8">
        <w:rPr>
          <w:rFonts w:ascii="Arial" w:hAnsi="Arial"/>
          <w:w w:val="105"/>
          <w:sz w:val="16"/>
        </w:rPr>
        <w:t>the Valuer-General of Victoria (VGV) as at 30</w:t>
      </w:r>
      <w:r w:rsidRPr="00EB2BD8">
        <w:rPr>
          <w:rFonts w:ascii="Arial" w:hAnsi="Arial"/>
          <w:spacing w:val="-5"/>
          <w:w w:val="105"/>
          <w:sz w:val="16"/>
        </w:rPr>
        <w:t xml:space="preserve"> </w:t>
      </w:r>
      <w:r w:rsidRPr="00EB2BD8">
        <w:rPr>
          <w:rFonts w:ascii="Arial" w:hAnsi="Arial"/>
          <w:w w:val="105"/>
          <w:sz w:val="16"/>
        </w:rPr>
        <w:t>June</w:t>
      </w:r>
      <w:r w:rsidRPr="00EB2BD8">
        <w:rPr>
          <w:rFonts w:ascii="Arial" w:hAnsi="Arial"/>
          <w:spacing w:val="-5"/>
          <w:w w:val="105"/>
          <w:sz w:val="16"/>
        </w:rPr>
        <w:t xml:space="preserve"> </w:t>
      </w:r>
      <w:r w:rsidRPr="00EB2BD8">
        <w:rPr>
          <w:rFonts w:ascii="Arial" w:hAnsi="Arial"/>
          <w:w w:val="105"/>
          <w:sz w:val="16"/>
        </w:rPr>
        <w:t>2021</w:t>
      </w:r>
      <w:r w:rsidRPr="00EB2BD8">
        <w:rPr>
          <w:rFonts w:ascii="Arial" w:hAnsi="Arial"/>
          <w:spacing w:val="-4"/>
          <w:w w:val="105"/>
          <w:sz w:val="16"/>
        </w:rPr>
        <w:t xml:space="preserve"> </w:t>
      </w:r>
      <w:r w:rsidRPr="00EB2BD8">
        <w:rPr>
          <w:rFonts w:ascii="Arial" w:hAnsi="Arial"/>
          <w:w w:val="105"/>
          <w:sz w:val="16"/>
        </w:rPr>
        <w:t>and</w:t>
      </w:r>
      <w:r w:rsidRPr="00EB2BD8">
        <w:rPr>
          <w:rFonts w:ascii="Arial" w:hAnsi="Arial"/>
          <w:spacing w:val="-5"/>
          <w:w w:val="105"/>
          <w:sz w:val="16"/>
        </w:rPr>
        <w:t xml:space="preserve"> </w:t>
      </w:r>
      <w:r w:rsidRPr="00EB2BD8">
        <w:rPr>
          <w:rFonts w:ascii="Arial" w:hAnsi="Arial"/>
          <w:w w:val="105"/>
          <w:sz w:val="16"/>
        </w:rPr>
        <w:t>a</w:t>
      </w:r>
      <w:r w:rsidRPr="00EB2BD8">
        <w:rPr>
          <w:rFonts w:ascii="Arial" w:hAnsi="Arial"/>
          <w:spacing w:val="-5"/>
          <w:w w:val="105"/>
          <w:sz w:val="16"/>
        </w:rPr>
        <w:t xml:space="preserve"> </w:t>
      </w:r>
    </w:p>
    <w:p w14:paraId="6D0E0756" w14:textId="77777777" w:rsidR="00462776" w:rsidRDefault="00462776" w:rsidP="00462776">
      <w:pPr>
        <w:spacing w:before="1" w:line="290" w:lineRule="auto"/>
        <w:ind w:left="273" w:right="279"/>
        <w:rPr>
          <w:rFonts w:ascii="Arial" w:hAnsi="Arial"/>
          <w:spacing w:val="40"/>
          <w:w w:val="105"/>
          <w:sz w:val="16"/>
        </w:rPr>
      </w:pPr>
      <w:r w:rsidRPr="00EB2BD8">
        <w:rPr>
          <w:rFonts w:ascii="Arial" w:hAnsi="Arial"/>
          <w:w w:val="105"/>
          <w:sz w:val="16"/>
        </w:rPr>
        <w:t>managerial</w:t>
      </w:r>
      <w:r w:rsidRPr="00EB2BD8">
        <w:rPr>
          <w:rFonts w:ascii="Arial" w:hAnsi="Arial"/>
          <w:spacing w:val="-5"/>
          <w:w w:val="105"/>
          <w:sz w:val="16"/>
        </w:rPr>
        <w:t xml:space="preserve"> </w:t>
      </w:r>
      <w:r w:rsidRPr="00EB2BD8">
        <w:rPr>
          <w:rFonts w:ascii="Arial" w:hAnsi="Arial"/>
          <w:w w:val="105"/>
          <w:sz w:val="16"/>
        </w:rPr>
        <w:t>valuation</w:t>
      </w:r>
      <w:r w:rsidRPr="00EB2BD8">
        <w:rPr>
          <w:rFonts w:ascii="Arial" w:hAnsi="Arial"/>
          <w:spacing w:val="-5"/>
          <w:w w:val="105"/>
          <w:sz w:val="16"/>
        </w:rPr>
        <w:t xml:space="preserve"> </w:t>
      </w:r>
      <w:r w:rsidRPr="00EB2BD8">
        <w:rPr>
          <w:rFonts w:ascii="Arial" w:hAnsi="Arial"/>
          <w:w w:val="105"/>
          <w:sz w:val="16"/>
        </w:rPr>
        <w:t>was</w:t>
      </w:r>
      <w:r w:rsidRPr="00EB2BD8">
        <w:rPr>
          <w:rFonts w:ascii="Arial" w:hAnsi="Arial"/>
          <w:spacing w:val="-5"/>
          <w:w w:val="105"/>
          <w:sz w:val="16"/>
        </w:rPr>
        <w:t xml:space="preserve"> </w:t>
      </w:r>
      <w:r w:rsidRPr="00EB2BD8">
        <w:rPr>
          <w:rFonts w:ascii="Arial" w:hAnsi="Arial"/>
          <w:w w:val="105"/>
          <w:sz w:val="16"/>
        </w:rPr>
        <w:t>adopted</w:t>
      </w:r>
      <w:r w:rsidRPr="00EB2BD8">
        <w:rPr>
          <w:rFonts w:ascii="Arial" w:hAnsi="Arial"/>
          <w:spacing w:val="-5"/>
          <w:w w:val="105"/>
          <w:sz w:val="16"/>
        </w:rPr>
        <w:t xml:space="preserve"> </w:t>
      </w:r>
      <w:r w:rsidRPr="00EB2BD8">
        <w:rPr>
          <w:rFonts w:ascii="Arial" w:hAnsi="Arial"/>
          <w:w w:val="105"/>
          <w:sz w:val="16"/>
        </w:rPr>
        <w:t>in 2022 and 2023.</w:t>
      </w:r>
      <w:r w:rsidRPr="00EB2BD8">
        <w:rPr>
          <w:rFonts w:ascii="Arial" w:hAnsi="Arial"/>
          <w:spacing w:val="40"/>
          <w:w w:val="105"/>
          <w:sz w:val="16"/>
        </w:rPr>
        <w:t xml:space="preserve"> </w:t>
      </w:r>
    </w:p>
    <w:p w14:paraId="7AD9B19C" w14:textId="77777777" w:rsidR="00462776" w:rsidRDefault="00462776" w:rsidP="00462776">
      <w:pPr>
        <w:spacing w:before="1" w:line="290" w:lineRule="auto"/>
        <w:ind w:left="273" w:right="279"/>
        <w:rPr>
          <w:rFonts w:ascii="Arial" w:hAnsi="Arial"/>
          <w:w w:val="105"/>
          <w:sz w:val="16"/>
        </w:rPr>
      </w:pPr>
      <w:r w:rsidRPr="00EB2BD8">
        <w:rPr>
          <w:rFonts w:ascii="Arial" w:hAnsi="Arial"/>
          <w:w w:val="105"/>
          <w:sz w:val="16"/>
        </w:rPr>
        <w:t xml:space="preserve">in accordance with the requirements of FRD 103. </w:t>
      </w:r>
    </w:p>
    <w:p w14:paraId="186C65A4" w14:textId="77777777" w:rsidR="00462776" w:rsidRDefault="00462776" w:rsidP="00462776">
      <w:pPr>
        <w:spacing w:before="1" w:line="290" w:lineRule="auto"/>
        <w:ind w:left="273" w:right="279"/>
        <w:rPr>
          <w:rFonts w:ascii="Arial" w:hAnsi="Arial"/>
          <w:w w:val="105"/>
          <w:sz w:val="16"/>
        </w:rPr>
      </w:pPr>
      <w:r w:rsidRPr="00EB2BD8">
        <w:rPr>
          <w:rFonts w:ascii="Arial" w:hAnsi="Arial"/>
          <w:w w:val="105"/>
          <w:sz w:val="16"/>
        </w:rPr>
        <w:t>The valuation, which conforms to Australian Valuation</w:t>
      </w:r>
    </w:p>
    <w:p w14:paraId="0FEC95F5" w14:textId="77777777" w:rsidR="00462776" w:rsidRDefault="00462776" w:rsidP="00462776">
      <w:pPr>
        <w:spacing w:before="1" w:line="290" w:lineRule="auto"/>
        <w:ind w:left="273" w:right="279"/>
        <w:rPr>
          <w:rFonts w:ascii="Arial" w:hAnsi="Arial"/>
          <w:w w:val="105"/>
          <w:sz w:val="16"/>
        </w:rPr>
      </w:pPr>
      <w:r w:rsidRPr="00EB2BD8">
        <w:rPr>
          <w:rFonts w:ascii="Arial" w:hAnsi="Arial"/>
          <w:spacing w:val="-3"/>
          <w:w w:val="105"/>
          <w:sz w:val="16"/>
        </w:rPr>
        <w:t xml:space="preserve"> </w:t>
      </w:r>
      <w:r w:rsidRPr="00EB2BD8">
        <w:rPr>
          <w:rFonts w:ascii="Arial" w:hAnsi="Arial"/>
          <w:w w:val="105"/>
          <w:sz w:val="16"/>
        </w:rPr>
        <w:t>Standards,</w:t>
      </w:r>
      <w:r w:rsidRPr="00EB2BD8">
        <w:rPr>
          <w:rFonts w:ascii="Arial" w:hAnsi="Arial"/>
          <w:spacing w:val="-3"/>
          <w:w w:val="105"/>
          <w:sz w:val="16"/>
        </w:rPr>
        <w:t xml:space="preserve"> </w:t>
      </w:r>
      <w:r w:rsidRPr="00EB2BD8">
        <w:rPr>
          <w:rFonts w:ascii="Arial" w:hAnsi="Arial"/>
          <w:w w:val="105"/>
          <w:sz w:val="16"/>
        </w:rPr>
        <w:t>was</w:t>
      </w:r>
      <w:r w:rsidRPr="00EB2BD8">
        <w:rPr>
          <w:rFonts w:ascii="Arial" w:hAnsi="Arial"/>
          <w:spacing w:val="-3"/>
          <w:w w:val="105"/>
          <w:sz w:val="16"/>
        </w:rPr>
        <w:t xml:space="preserve"> </w:t>
      </w:r>
      <w:r w:rsidRPr="00EB2BD8">
        <w:rPr>
          <w:rFonts w:ascii="Arial" w:hAnsi="Arial"/>
          <w:w w:val="105"/>
          <w:sz w:val="16"/>
        </w:rPr>
        <w:t>determined</w:t>
      </w:r>
      <w:r w:rsidRPr="00EB2BD8">
        <w:rPr>
          <w:rFonts w:ascii="Arial" w:hAnsi="Arial"/>
          <w:spacing w:val="-3"/>
          <w:w w:val="105"/>
          <w:sz w:val="16"/>
        </w:rPr>
        <w:t xml:space="preserve"> </w:t>
      </w:r>
      <w:r w:rsidRPr="00EB2BD8">
        <w:rPr>
          <w:rFonts w:ascii="Arial" w:hAnsi="Arial"/>
          <w:w w:val="105"/>
          <w:sz w:val="16"/>
        </w:rPr>
        <w:t>by</w:t>
      </w:r>
      <w:r w:rsidRPr="00EB2BD8">
        <w:rPr>
          <w:rFonts w:ascii="Arial" w:hAnsi="Arial"/>
          <w:spacing w:val="-3"/>
          <w:w w:val="105"/>
          <w:sz w:val="16"/>
        </w:rPr>
        <w:t xml:space="preserve"> </w:t>
      </w:r>
      <w:r w:rsidRPr="00EB2BD8">
        <w:rPr>
          <w:rFonts w:ascii="Arial" w:hAnsi="Arial"/>
          <w:w w:val="105"/>
          <w:sz w:val="16"/>
        </w:rPr>
        <w:t>reference</w:t>
      </w:r>
      <w:r w:rsidRPr="00EB2BD8">
        <w:rPr>
          <w:rFonts w:ascii="Arial" w:hAnsi="Arial"/>
          <w:spacing w:val="-3"/>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 xml:space="preserve">the amounts </w:t>
      </w:r>
    </w:p>
    <w:p w14:paraId="299907F3" w14:textId="77777777" w:rsidR="00462776" w:rsidRDefault="00462776" w:rsidP="00462776">
      <w:pPr>
        <w:spacing w:before="1" w:line="290" w:lineRule="auto"/>
        <w:ind w:left="273" w:right="279"/>
        <w:rPr>
          <w:rFonts w:ascii="Arial" w:hAnsi="Arial"/>
          <w:w w:val="105"/>
          <w:sz w:val="16"/>
        </w:rPr>
      </w:pPr>
      <w:r w:rsidRPr="00EB2BD8">
        <w:rPr>
          <w:rFonts w:ascii="Arial" w:hAnsi="Arial"/>
          <w:w w:val="105"/>
          <w:sz w:val="16"/>
        </w:rPr>
        <w:t xml:space="preserve">for which assets could be exchanged between knowledge, </w:t>
      </w:r>
    </w:p>
    <w:p w14:paraId="440F38E9" w14:textId="0241990C" w:rsidR="00462776" w:rsidRPr="00EB2BD8" w:rsidRDefault="00462776" w:rsidP="00462776">
      <w:pPr>
        <w:spacing w:before="1" w:line="290" w:lineRule="auto"/>
        <w:ind w:left="273" w:right="279"/>
        <w:rPr>
          <w:rFonts w:ascii="Arial" w:hAnsi="Arial"/>
          <w:sz w:val="16"/>
        </w:rPr>
      </w:pPr>
      <w:r w:rsidRPr="00EB2BD8">
        <w:rPr>
          <w:rFonts w:ascii="Arial" w:hAnsi="Arial"/>
          <w:w w:val="105"/>
          <w:sz w:val="16"/>
        </w:rPr>
        <w:t xml:space="preserve">able willing parties in an arm’s length </w:t>
      </w:r>
      <w:r w:rsidRPr="00EB2BD8">
        <w:rPr>
          <w:rFonts w:ascii="Arial" w:hAnsi="Arial"/>
          <w:spacing w:val="-2"/>
          <w:w w:val="105"/>
          <w:sz w:val="16"/>
        </w:rPr>
        <w:t>transaction.</w:t>
      </w:r>
    </w:p>
    <w:p w14:paraId="7658E9F8" w14:textId="6DD2C34D" w:rsidR="00084F36" w:rsidRPr="00EB2BD8" w:rsidRDefault="00EB2BD8">
      <w:pPr>
        <w:spacing w:before="137" w:line="290" w:lineRule="auto"/>
        <w:ind w:left="273" w:right="1672"/>
        <w:rPr>
          <w:rFonts w:ascii="Arial"/>
          <w:sz w:val="16"/>
        </w:rPr>
      </w:pPr>
      <w:r w:rsidRPr="00EB2BD8">
        <w:rPr>
          <w:rFonts w:ascii="Arial"/>
          <w:w w:val="105"/>
          <w:sz w:val="16"/>
        </w:rPr>
        <w:t>In compliance with FRD 103, in the year ended 30 June 2023, management conducted an annual assessment of the fair value of land and buildings. To facilitate this, management obtained from the Department of Treasury and</w:t>
      </w:r>
      <w:r w:rsidRPr="00EB2BD8">
        <w:rPr>
          <w:rFonts w:ascii="Arial"/>
          <w:spacing w:val="-5"/>
          <w:w w:val="105"/>
          <w:sz w:val="16"/>
        </w:rPr>
        <w:t xml:space="preserve"> </w:t>
      </w:r>
      <w:r w:rsidRPr="00EB2BD8">
        <w:rPr>
          <w:rFonts w:ascii="Arial"/>
          <w:w w:val="105"/>
          <w:sz w:val="16"/>
        </w:rPr>
        <w:t>Finance</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VGV</w:t>
      </w:r>
      <w:r w:rsidRPr="00EB2BD8">
        <w:rPr>
          <w:rFonts w:ascii="Arial"/>
          <w:spacing w:val="-5"/>
          <w:w w:val="105"/>
          <w:sz w:val="16"/>
        </w:rPr>
        <w:t xml:space="preserve"> </w:t>
      </w:r>
      <w:r w:rsidRPr="00EB2BD8">
        <w:rPr>
          <w:rFonts w:ascii="Arial"/>
          <w:w w:val="105"/>
          <w:sz w:val="16"/>
        </w:rPr>
        <w:t>indices</w:t>
      </w:r>
      <w:r w:rsidRPr="00EB2BD8">
        <w:rPr>
          <w:rFonts w:ascii="Arial"/>
          <w:spacing w:val="-4"/>
          <w:w w:val="105"/>
          <w:sz w:val="16"/>
        </w:rPr>
        <w:t xml:space="preserve"> </w:t>
      </w:r>
      <w:r w:rsidRPr="00EB2BD8">
        <w:rPr>
          <w:rFonts w:ascii="Arial"/>
          <w:w w:val="105"/>
          <w:sz w:val="16"/>
        </w:rPr>
        <w:t>for</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financial</w:t>
      </w:r>
      <w:r w:rsidRPr="00EB2BD8">
        <w:rPr>
          <w:rFonts w:ascii="Arial"/>
          <w:spacing w:val="-4"/>
          <w:w w:val="105"/>
          <w:sz w:val="16"/>
        </w:rPr>
        <w:t xml:space="preserve"> </w:t>
      </w:r>
      <w:r w:rsidRPr="00EB2BD8">
        <w:rPr>
          <w:rFonts w:ascii="Arial"/>
          <w:w w:val="105"/>
          <w:sz w:val="16"/>
        </w:rPr>
        <w:t>year</w:t>
      </w:r>
      <w:r w:rsidRPr="00EB2BD8">
        <w:rPr>
          <w:rFonts w:ascii="Arial"/>
          <w:spacing w:val="-5"/>
          <w:w w:val="105"/>
          <w:sz w:val="16"/>
        </w:rPr>
        <w:t xml:space="preserve"> </w:t>
      </w:r>
      <w:r w:rsidRPr="00EB2BD8">
        <w:rPr>
          <w:rFonts w:ascii="Arial"/>
          <w:w w:val="105"/>
          <w:sz w:val="16"/>
        </w:rPr>
        <w:t>ended 30 June 2023.</w:t>
      </w:r>
    </w:p>
    <w:p w14:paraId="4C14CA0D" w14:textId="77777777" w:rsidR="00084F36" w:rsidRPr="00EB2BD8" w:rsidRDefault="00084F36">
      <w:pPr>
        <w:pStyle w:val="BodyText"/>
        <w:spacing w:before="1"/>
        <w:rPr>
          <w:rFonts w:ascii="Arial"/>
          <w:sz w:val="19"/>
        </w:rPr>
      </w:pPr>
    </w:p>
    <w:p w14:paraId="54983168" w14:textId="77777777" w:rsidR="00084F36" w:rsidRPr="00EB2BD8" w:rsidRDefault="00EB2BD8">
      <w:pPr>
        <w:spacing w:line="290" w:lineRule="auto"/>
        <w:ind w:left="273" w:right="1672"/>
        <w:rPr>
          <w:rFonts w:ascii="Arial"/>
          <w:sz w:val="16"/>
        </w:rPr>
      </w:pPr>
      <w:r w:rsidRPr="00EB2BD8">
        <w:rPr>
          <w:rFonts w:ascii="Arial"/>
          <w:w w:val="105"/>
          <w:sz w:val="16"/>
        </w:rPr>
        <w:t>Management regards the VGV indices to be a reliable and</w:t>
      </w:r>
      <w:r w:rsidRPr="00EB2BD8">
        <w:rPr>
          <w:rFonts w:ascii="Arial"/>
          <w:spacing w:val="-4"/>
          <w:w w:val="105"/>
          <w:sz w:val="16"/>
        </w:rPr>
        <w:t xml:space="preserve"> </w:t>
      </w:r>
      <w:r w:rsidRPr="00EB2BD8">
        <w:rPr>
          <w:rFonts w:ascii="Arial"/>
          <w:w w:val="105"/>
          <w:sz w:val="16"/>
        </w:rPr>
        <w:t>relevant</w:t>
      </w:r>
      <w:r w:rsidRPr="00EB2BD8">
        <w:rPr>
          <w:rFonts w:ascii="Arial"/>
          <w:spacing w:val="-4"/>
          <w:w w:val="105"/>
          <w:sz w:val="16"/>
        </w:rPr>
        <w:t xml:space="preserve"> </w:t>
      </w:r>
      <w:r w:rsidRPr="00EB2BD8">
        <w:rPr>
          <w:rFonts w:ascii="Arial"/>
          <w:w w:val="105"/>
          <w:sz w:val="16"/>
        </w:rPr>
        <w:t>data</w:t>
      </w:r>
      <w:r w:rsidRPr="00EB2BD8">
        <w:rPr>
          <w:rFonts w:ascii="Arial"/>
          <w:spacing w:val="-4"/>
          <w:w w:val="105"/>
          <w:sz w:val="16"/>
        </w:rPr>
        <w:t xml:space="preserve"> </w:t>
      </w:r>
      <w:r w:rsidRPr="00EB2BD8">
        <w:rPr>
          <w:rFonts w:ascii="Arial"/>
          <w:w w:val="105"/>
          <w:sz w:val="16"/>
        </w:rPr>
        <w:t>set</w:t>
      </w:r>
      <w:r w:rsidRPr="00EB2BD8">
        <w:rPr>
          <w:rFonts w:ascii="Arial"/>
          <w:spacing w:val="-4"/>
          <w:w w:val="105"/>
          <w:sz w:val="16"/>
        </w:rPr>
        <w:t xml:space="preserve"> </w:t>
      </w:r>
      <w:r w:rsidRPr="00EB2BD8">
        <w:rPr>
          <w:rFonts w:ascii="Arial"/>
          <w:w w:val="105"/>
          <w:sz w:val="16"/>
        </w:rPr>
        <w:t>to</w:t>
      </w:r>
      <w:r w:rsidRPr="00EB2BD8">
        <w:rPr>
          <w:rFonts w:ascii="Arial"/>
          <w:spacing w:val="-4"/>
          <w:w w:val="105"/>
          <w:sz w:val="16"/>
        </w:rPr>
        <w:t xml:space="preserve"> </w:t>
      </w:r>
      <w:r w:rsidRPr="00EB2BD8">
        <w:rPr>
          <w:rFonts w:ascii="Arial"/>
          <w:w w:val="105"/>
          <w:sz w:val="16"/>
        </w:rPr>
        <w:t>form</w:t>
      </w:r>
      <w:r w:rsidRPr="00EB2BD8">
        <w:rPr>
          <w:rFonts w:ascii="Arial"/>
          <w:spacing w:val="-5"/>
          <w:w w:val="105"/>
          <w:sz w:val="16"/>
        </w:rPr>
        <w:t xml:space="preserve"> </w:t>
      </w:r>
      <w:r w:rsidRPr="00EB2BD8">
        <w:rPr>
          <w:rFonts w:ascii="Arial"/>
          <w:w w:val="105"/>
          <w:sz w:val="16"/>
        </w:rPr>
        <w:t>the</w:t>
      </w:r>
      <w:r w:rsidRPr="00EB2BD8">
        <w:rPr>
          <w:rFonts w:ascii="Arial"/>
          <w:spacing w:val="-4"/>
          <w:w w:val="105"/>
          <w:sz w:val="16"/>
        </w:rPr>
        <w:t xml:space="preserve"> </w:t>
      </w:r>
      <w:r w:rsidRPr="00EB2BD8">
        <w:rPr>
          <w:rFonts w:ascii="Arial"/>
          <w:w w:val="105"/>
          <w:sz w:val="16"/>
        </w:rPr>
        <w:t>basis</w:t>
      </w:r>
      <w:r w:rsidRPr="00EB2BD8">
        <w:rPr>
          <w:rFonts w:ascii="Arial"/>
          <w:spacing w:val="-4"/>
          <w:w w:val="105"/>
          <w:sz w:val="16"/>
        </w:rPr>
        <w:t xml:space="preserve"> </w:t>
      </w:r>
      <w:r w:rsidRPr="00EB2BD8">
        <w:rPr>
          <w:rFonts w:ascii="Arial"/>
          <w:w w:val="105"/>
          <w:sz w:val="16"/>
        </w:rPr>
        <w:t>of</w:t>
      </w:r>
      <w:r w:rsidRPr="00EB2BD8">
        <w:rPr>
          <w:rFonts w:ascii="Arial"/>
          <w:spacing w:val="-4"/>
          <w:w w:val="105"/>
          <w:sz w:val="16"/>
        </w:rPr>
        <w:t xml:space="preserve"> </w:t>
      </w:r>
      <w:r w:rsidRPr="00EB2BD8">
        <w:rPr>
          <w:rFonts w:ascii="Arial"/>
          <w:w w:val="105"/>
          <w:sz w:val="16"/>
        </w:rPr>
        <w:t>their</w:t>
      </w:r>
      <w:r w:rsidRPr="00EB2BD8">
        <w:rPr>
          <w:rFonts w:ascii="Arial"/>
          <w:spacing w:val="-4"/>
          <w:w w:val="105"/>
          <w:sz w:val="16"/>
        </w:rPr>
        <w:t xml:space="preserve"> </w:t>
      </w:r>
      <w:r w:rsidRPr="00EB2BD8">
        <w:rPr>
          <w:rFonts w:ascii="Arial"/>
          <w:w w:val="105"/>
          <w:sz w:val="16"/>
        </w:rPr>
        <w:t>estimates. As the movement was less than 10% for land and buildings, a revaluation was not required for the financial year 30 June 2023. The fair value of land and buildings will continue to be subjected to market impacts.</w:t>
      </w:r>
    </w:p>
    <w:p w14:paraId="6DAC5711" w14:textId="77777777" w:rsidR="00084F36" w:rsidRPr="00EB2BD8" w:rsidRDefault="00084F36">
      <w:pPr>
        <w:pStyle w:val="BodyText"/>
        <w:rPr>
          <w:rFonts w:ascii="Arial"/>
        </w:rPr>
      </w:pPr>
    </w:p>
    <w:p w14:paraId="079523C9" w14:textId="77777777" w:rsidR="00084F36" w:rsidRPr="00EB2BD8" w:rsidRDefault="00084F36">
      <w:pPr>
        <w:pStyle w:val="BodyText"/>
        <w:spacing w:before="1"/>
        <w:rPr>
          <w:rFonts w:ascii="Arial"/>
          <w:sz w:val="20"/>
        </w:rPr>
      </w:pPr>
    </w:p>
    <w:p w14:paraId="7F8A8C30" w14:textId="77777777" w:rsidR="00084F36" w:rsidRPr="00EB2BD8" w:rsidRDefault="00EB2BD8">
      <w:pPr>
        <w:spacing w:line="288" w:lineRule="auto"/>
        <w:ind w:left="273" w:right="1672"/>
        <w:rPr>
          <w:rFonts w:ascii="Arial"/>
          <w:sz w:val="16"/>
        </w:rPr>
      </w:pPr>
      <w:r w:rsidRPr="00EB2BD8">
        <w:rPr>
          <w:rFonts w:ascii="Arial"/>
          <w:b/>
          <w:w w:val="105"/>
          <w:sz w:val="20"/>
        </w:rPr>
        <w:t>Plant</w:t>
      </w:r>
      <w:r w:rsidRPr="00EB2BD8">
        <w:rPr>
          <w:rFonts w:ascii="Arial"/>
          <w:b/>
          <w:spacing w:val="-15"/>
          <w:w w:val="105"/>
          <w:sz w:val="20"/>
        </w:rPr>
        <w:t xml:space="preserve"> </w:t>
      </w:r>
      <w:r w:rsidRPr="00EB2BD8">
        <w:rPr>
          <w:rFonts w:ascii="Arial"/>
          <w:b/>
          <w:w w:val="105"/>
          <w:sz w:val="20"/>
        </w:rPr>
        <w:t>and</w:t>
      </w:r>
      <w:r w:rsidRPr="00EB2BD8">
        <w:rPr>
          <w:rFonts w:ascii="Arial"/>
          <w:b/>
          <w:spacing w:val="-14"/>
          <w:w w:val="105"/>
          <w:sz w:val="20"/>
        </w:rPr>
        <w:t xml:space="preserve"> </w:t>
      </w:r>
      <w:r w:rsidRPr="00EB2BD8">
        <w:rPr>
          <w:rFonts w:ascii="Arial"/>
          <w:b/>
          <w:w w:val="105"/>
          <w:sz w:val="20"/>
        </w:rPr>
        <w:t>equipment</w:t>
      </w:r>
      <w:r w:rsidRPr="00EB2BD8">
        <w:rPr>
          <w:rFonts w:ascii="Arial"/>
          <w:b/>
          <w:spacing w:val="-15"/>
          <w:w w:val="105"/>
          <w:sz w:val="20"/>
        </w:rPr>
        <w:t xml:space="preserve"> </w:t>
      </w:r>
      <w:r w:rsidRPr="00EB2BD8">
        <w:rPr>
          <w:rFonts w:ascii="Arial"/>
          <w:w w:val="105"/>
          <w:sz w:val="16"/>
        </w:rPr>
        <w:t>are</w:t>
      </w:r>
      <w:r w:rsidRPr="00EB2BD8">
        <w:rPr>
          <w:rFonts w:ascii="Arial"/>
          <w:spacing w:val="-8"/>
          <w:w w:val="105"/>
          <w:sz w:val="16"/>
        </w:rPr>
        <w:t xml:space="preserve"> </w:t>
      </w:r>
      <w:r w:rsidRPr="00EB2BD8">
        <w:rPr>
          <w:rFonts w:ascii="Arial"/>
          <w:w w:val="105"/>
          <w:sz w:val="16"/>
        </w:rPr>
        <w:t>held</w:t>
      </w:r>
      <w:r w:rsidRPr="00EB2BD8">
        <w:rPr>
          <w:rFonts w:ascii="Arial"/>
          <w:spacing w:val="-9"/>
          <w:w w:val="105"/>
          <w:sz w:val="16"/>
        </w:rPr>
        <w:t xml:space="preserve"> </w:t>
      </w:r>
      <w:r w:rsidRPr="00EB2BD8">
        <w:rPr>
          <w:rFonts w:ascii="Arial"/>
          <w:w w:val="105"/>
          <w:sz w:val="16"/>
        </w:rPr>
        <w:t>at</w:t>
      </w:r>
      <w:r w:rsidRPr="00EB2BD8">
        <w:rPr>
          <w:rFonts w:ascii="Arial"/>
          <w:spacing w:val="-9"/>
          <w:w w:val="105"/>
          <w:sz w:val="16"/>
        </w:rPr>
        <w:t xml:space="preserve"> </w:t>
      </w:r>
      <w:r w:rsidRPr="00EB2BD8">
        <w:rPr>
          <w:rFonts w:ascii="Arial"/>
          <w:w w:val="105"/>
          <w:sz w:val="16"/>
        </w:rPr>
        <w:t>fair</w:t>
      </w:r>
      <w:r w:rsidRPr="00EB2BD8">
        <w:rPr>
          <w:rFonts w:ascii="Arial"/>
          <w:spacing w:val="-9"/>
          <w:w w:val="105"/>
          <w:sz w:val="16"/>
        </w:rPr>
        <w:t xml:space="preserve"> </w:t>
      </w:r>
      <w:r w:rsidRPr="00EB2BD8">
        <w:rPr>
          <w:rFonts w:ascii="Arial"/>
          <w:w w:val="105"/>
          <w:sz w:val="16"/>
        </w:rPr>
        <w:t>value.</w:t>
      </w:r>
      <w:r w:rsidRPr="00EB2BD8">
        <w:rPr>
          <w:rFonts w:ascii="Arial"/>
          <w:spacing w:val="30"/>
          <w:w w:val="105"/>
          <w:sz w:val="16"/>
        </w:rPr>
        <w:t xml:space="preserve"> </w:t>
      </w:r>
      <w:r w:rsidRPr="00EB2BD8">
        <w:rPr>
          <w:rFonts w:ascii="Arial"/>
          <w:w w:val="105"/>
          <w:sz w:val="16"/>
        </w:rPr>
        <w:t>When plant</w:t>
      </w:r>
      <w:r w:rsidRPr="00EB2BD8">
        <w:rPr>
          <w:rFonts w:ascii="Arial"/>
          <w:spacing w:val="-1"/>
          <w:w w:val="105"/>
          <w:sz w:val="16"/>
        </w:rPr>
        <w:t xml:space="preserve"> </w:t>
      </w:r>
      <w:r w:rsidRPr="00EB2BD8">
        <w:rPr>
          <w:rFonts w:ascii="Arial"/>
          <w:w w:val="105"/>
          <w:sz w:val="16"/>
        </w:rPr>
        <w:t>and</w:t>
      </w:r>
      <w:r w:rsidRPr="00EB2BD8">
        <w:rPr>
          <w:rFonts w:ascii="Arial"/>
          <w:spacing w:val="-1"/>
          <w:w w:val="105"/>
          <w:sz w:val="16"/>
        </w:rPr>
        <w:t xml:space="preserve"> </w:t>
      </w:r>
      <w:r w:rsidRPr="00EB2BD8">
        <w:rPr>
          <w:rFonts w:ascii="Arial"/>
          <w:w w:val="105"/>
          <w:sz w:val="16"/>
        </w:rPr>
        <w:t>equipment</w:t>
      </w:r>
      <w:r w:rsidRPr="00EB2BD8">
        <w:rPr>
          <w:rFonts w:ascii="Arial"/>
          <w:spacing w:val="-1"/>
          <w:w w:val="105"/>
          <w:sz w:val="16"/>
        </w:rPr>
        <w:t xml:space="preserve"> </w:t>
      </w:r>
      <w:r w:rsidRPr="00EB2BD8">
        <w:rPr>
          <w:rFonts w:ascii="Arial"/>
          <w:w w:val="105"/>
          <w:sz w:val="16"/>
        </w:rPr>
        <w:t>are</w:t>
      </w:r>
      <w:r w:rsidRPr="00EB2BD8">
        <w:rPr>
          <w:rFonts w:ascii="Arial"/>
          <w:spacing w:val="-1"/>
          <w:w w:val="105"/>
          <w:sz w:val="16"/>
        </w:rPr>
        <w:t xml:space="preserve"> </w:t>
      </w:r>
      <w:r w:rsidRPr="00EB2BD8">
        <w:rPr>
          <w:rFonts w:ascii="Arial"/>
          <w:w w:val="105"/>
          <w:sz w:val="16"/>
        </w:rPr>
        <w:t>specialised</w:t>
      </w:r>
      <w:r w:rsidRPr="00EB2BD8">
        <w:rPr>
          <w:rFonts w:ascii="Arial"/>
          <w:spacing w:val="-1"/>
          <w:w w:val="105"/>
          <w:sz w:val="16"/>
        </w:rPr>
        <w:t xml:space="preserve"> </w:t>
      </w:r>
      <w:r w:rsidRPr="00EB2BD8">
        <w:rPr>
          <w:rFonts w:ascii="Arial"/>
          <w:w w:val="105"/>
          <w:sz w:val="16"/>
        </w:rPr>
        <w:t>in</w:t>
      </w:r>
      <w:r w:rsidRPr="00EB2BD8">
        <w:rPr>
          <w:rFonts w:ascii="Arial"/>
          <w:spacing w:val="-1"/>
          <w:w w:val="105"/>
          <w:sz w:val="16"/>
        </w:rPr>
        <w:t xml:space="preserve"> </w:t>
      </w:r>
      <w:r w:rsidRPr="00EB2BD8">
        <w:rPr>
          <w:rFonts w:ascii="Arial"/>
          <w:w w:val="105"/>
          <w:sz w:val="16"/>
        </w:rPr>
        <w:t>use (such</w:t>
      </w:r>
      <w:r w:rsidRPr="00EB2BD8">
        <w:rPr>
          <w:rFonts w:ascii="Arial"/>
          <w:spacing w:val="-1"/>
          <w:w w:val="105"/>
          <w:sz w:val="16"/>
        </w:rPr>
        <w:t xml:space="preserve"> </w:t>
      </w:r>
      <w:r w:rsidRPr="00EB2BD8">
        <w:rPr>
          <w:rFonts w:ascii="Arial"/>
          <w:w w:val="105"/>
          <w:sz w:val="16"/>
        </w:rPr>
        <w:t>that</w:t>
      </w:r>
      <w:r w:rsidRPr="00EB2BD8">
        <w:rPr>
          <w:rFonts w:ascii="Arial"/>
          <w:spacing w:val="-1"/>
          <w:w w:val="105"/>
          <w:sz w:val="16"/>
        </w:rPr>
        <w:t xml:space="preserve"> </w:t>
      </w:r>
      <w:r w:rsidRPr="00EB2BD8">
        <w:rPr>
          <w:rFonts w:ascii="Arial"/>
          <w:w w:val="105"/>
          <w:sz w:val="16"/>
        </w:rPr>
        <w:t>is rarely sold other than as part of a going concern) is determined using the current replacement cost method.</w:t>
      </w:r>
    </w:p>
    <w:p w14:paraId="01311A28" w14:textId="77777777" w:rsidR="00084F36" w:rsidRPr="00EB2BD8" w:rsidRDefault="00084F36">
      <w:pPr>
        <w:pStyle w:val="BodyText"/>
        <w:spacing w:before="6"/>
        <w:rPr>
          <w:rFonts w:ascii="Arial"/>
          <w:sz w:val="19"/>
        </w:rPr>
      </w:pPr>
    </w:p>
    <w:p w14:paraId="53C528CD" w14:textId="77777777" w:rsidR="00084F36" w:rsidRPr="00EB2BD8" w:rsidRDefault="00EB2BD8">
      <w:pPr>
        <w:spacing w:line="288" w:lineRule="auto"/>
        <w:ind w:left="273" w:right="1672"/>
        <w:rPr>
          <w:rFonts w:ascii="Arial"/>
          <w:sz w:val="16"/>
        </w:rPr>
      </w:pPr>
      <w:r w:rsidRPr="00EB2BD8">
        <w:rPr>
          <w:rFonts w:ascii="Arial"/>
          <w:w w:val="105"/>
          <w:sz w:val="16"/>
        </w:rPr>
        <w:t>There</w:t>
      </w:r>
      <w:r w:rsidRPr="00EB2BD8">
        <w:rPr>
          <w:rFonts w:ascii="Arial"/>
          <w:spacing w:val="-7"/>
          <w:w w:val="105"/>
          <w:sz w:val="16"/>
        </w:rPr>
        <w:t xml:space="preserve"> </w:t>
      </w:r>
      <w:r w:rsidRPr="00EB2BD8">
        <w:rPr>
          <w:rFonts w:ascii="Arial"/>
          <w:w w:val="105"/>
          <w:sz w:val="16"/>
        </w:rPr>
        <w:t>were</w:t>
      </w:r>
      <w:r w:rsidRPr="00EB2BD8">
        <w:rPr>
          <w:rFonts w:ascii="Arial"/>
          <w:spacing w:val="-7"/>
          <w:w w:val="105"/>
          <w:sz w:val="16"/>
        </w:rPr>
        <w:t xml:space="preserve"> </w:t>
      </w:r>
      <w:r w:rsidRPr="00EB2BD8">
        <w:rPr>
          <w:rFonts w:ascii="Arial"/>
          <w:w w:val="105"/>
          <w:sz w:val="16"/>
        </w:rPr>
        <w:t>no</w:t>
      </w:r>
      <w:r w:rsidRPr="00EB2BD8">
        <w:rPr>
          <w:rFonts w:ascii="Arial"/>
          <w:spacing w:val="-6"/>
          <w:w w:val="105"/>
          <w:sz w:val="16"/>
        </w:rPr>
        <w:t xml:space="preserve"> </w:t>
      </w:r>
      <w:r w:rsidRPr="00EB2BD8">
        <w:rPr>
          <w:rFonts w:ascii="Arial"/>
          <w:w w:val="105"/>
          <w:sz w:val="16"/>
        </w:rPr>
        <w:t>changes</w:t>
      </w:r>
      <w:r w:rsidRPr="00EB2BD8">
        <w:rPr>
          <w:rFonts w:ascii="Arial"/>
          <w:spacing w:val="-7"/>
          <w:w w:val="105"/>
          <w:sz w:val="16"/>
        </w:rPr>
        <w:t xml:space="preserve"> </w:t>
      </w:r>
      <w:r w:rsidRPr="00EB2BD8">
        <w:rPr>
          <w:rFonts w:ascii="Arial"/>
          <w:w w:val="105"/>
          <w:sz w:val="16"/>
        </w:rPr>
        <w:t>in</w:t>
      </w:r>
      <w:r w:rsidRPr="00EB2BD8">
        <w:rPr>
          <w:rFonts w:ascii="Arial"/>
          <w:spacing w:val="-7"/>
          <w:w w:val="105"/>
          <w:sz w:val="16"/>
        </w:rPr>
        <w:t xml:space="preserve"> </w:t>
      </w:r>
      <w:r w:rsidRPr="00EB2BD8">
        <w:rPr>
          <w:rFonts w:ascii="Arial"/>
          <w:w w:val="105"/>
          <w:sz w:val="16"/>
        </w:rPr>
        <w:t>valuation</w:t>
      </w:r>
      <w:r w:rsidRPr="00EB2BD8">
        <w:rPr>
          <w:rFonts w:ascii="Arial"/>
          <w:spacing w:val="-7"/>
          <w:w w:val="105"/>
          <w:sz w:val="16"/>
        </w:rPr>
        <w:t xml:space="preserve"> </w:t>
      </w:r>
      <w:r w:rsidRPr="00EB2BD8">
        <w:rPr>
          <w:rFonts w:ascii="Arial"/>
          <w:w w:val="105"/>
          <w:sz w:val="16"/>
        </w:rPr>
        <w:t>techniques throughout the period to 30 June 2023.</w:t>
      </w:r>
    </w:p>
    <w:p w14:paraId="4DBB2A1F" w14:textId="77777777" w:rsidR="00084F36" w:rsidRPr="00EB2BD8" w:rsidRDefault="00084F36">
      <w:pPr>
        <w:pStyle w:val="BodyText"/>
        <w:spacing w:before="6"/>
        <w:rPr>
          <w:rFonts w:ascii="Arial"/>
          <w:sz w:val="19"/>
        </w:rPr>
      </w:pPr>
    </w:p>
    <w:p w14:paraId="204BD0EA" w14:textId="77777777" w:rsidR="00084F36" w:rsidRPr="00EB2BD8" w:rsidRDefault="00EB2BD8">
      <w:pPr>
        <w:spacing w:before="1" w:line="288" w:lineRule="auto"/>
        <w:ind w:left="274" w:right="1672"/>
        <w:rPr>
          <w:rFonts w:ascii="Arial"/>
          <w:sz w:val="16"/>
        </w:rPr>
      </w:pPr>
      <w:r w:rsidRPr="00EB2BD8">
        <w:rPr>
          <w:rFonts w:ascii="Arial"/>
          <w:w w:val="105"/>
          <w:sz w:val="16"/>
        </w:rPr>
        <w:t>For</w:t>
      </w:r>
      <w:r w:rsidRPr="00EB2BD8">
        <w:rPr>
          <w:rFonts w:ascii="Arial"/>
          <w:spacing w:val="-4"/>
          <w:w w:val="105"/>
          <w:sz w:val="16"/>
        </w:rPr>
        <w:t xml:space="preserve"> </w:t>
      </w:r>
      <w:r w:rsidRPr="00EB2BD8">
        <w:rPr>
          <w:rFonts w:ascii="Arial"/>
          <w:w w:val="105"/>
          <w:sz w:val="16"/>
        </w:rPr>
        <w:t>all</w:t>
      </w:r>
      <w:r w:rsidRPr="00EB2BD8">
        <w:rPr>
          <w:rFonts w:ascii="Arial"/>
          <w:spacing w:val="-4"/>
          <w:w w:val="105"/>
          <w:sz w:val="16"/>
        </w:rPr>
        <w:t xml:space="preserve"> </w:t>
      </w:r>
      <w:r w:rsidRPr="00EB2BD8">
        <w:rPr>
          <w:rFonts w:ascii="Arial"/>
          <w:w w:val="105"/>
          <w:sz w:val="16"/>
        </w:rPr>
        <w:t>assets</w:t>
      </w:r>
      <w:r w:rsidRPr="00EB2BD8">
        <w:rPr>
          <w:rFonts w:ascii="Arial"/>
          <w:spacing w:val="-3"/>
          <w:w w:val="105"/>
          <w:sz w:val="16"/>
        </w:rPr>
        <w:t xml:space="preserve"> </w:t>
      </w:r>
      <w:r w:rsidRPr="00EB2BD8">
        <w:rPr>
          <w:rFonts w:ascii="Arial"/>
          <w:w w:val="105"/>
          <w:sz w:val="16"/>
        </w:rPr>
        <w:t>measured</w:t>
      </w:r>
      <w:r w:rsidRPr="00EB2BD8">
        <w:rPr>
          <w:rFonts w:ascii="Arial"/>
          <w:spacing w:val="-4"/>
          <w:w w:val="105"/>
          <w:sz w:val="16"/>
        </w:rPr>
        <w:t xml:space="preserve"> </w:t>
      </w:r>
      <w:r w:rsidRPr="00EB2BD8">
        <w:rPr>
          <w:rFonts w:ascii="Arial"/>
          <w:w w:val="105"/>
          <w:sz w:val="16"/>
        </w:rPr>
        <w:t>at</w:t>
      </w:r>
      <w:r w:rsidRPr="00EB2BD8">
        <w:rPr>
          <w:rFonts w:ascii="Arial"/>
          <w:spacing w:val="-4"/>
          <w:w w:val="105"/>
          <w:sz w:val="16"/>
        </w:rPr>
        <w:t xml:space="preserve"> </w:t>
      </w:r>
      <w:r w:rsidRPr="00EB2BD8">
        <w:rPr>
          <w:rFonts w:ascii="Arial"/>
          <w:w w:val="105"/>
          <w:sz w:val="16"/>
        </w:rPr>
        <w:t>fair</w:t>
      </w:r>
      <w:r w:rsidRPr="00EB2BD8">
        <w:rPr>
          <w:rFonts w:ascii="Arial"/>
          <w:spacing w:val="-4"/>
          <w:w w:val="105"/>
          <w:sz w:val="16"/>
        </w:rPr>
        <w:t xml:space="preserve"> </w:t>
      </w:r>
      <w:r w:rsidRPr="00EB2BD8">
        <w:rPr>
          <w:rFonts w:ascii="Arial"/>
          <w:w w:val="105"/>
          <w:sz w:val="16"/>
        </w:rPr>
        <w:t>value,</w:t>
      </w:r>
      <w:r w:rsidRPr="00EB2BD8">
        <w:rPr>
          <w:rFonts w:ascii="Arial"/>
          <w:spacing w:val="-4"/>
          <w:w w:val="105"/>
          <w:sz w:val="16"/>
        </w:rPr>
        <w:t xml:space="preserve"> </w:t>
      </w:r>
      <w:r w:rsidRPr="00EB2BD8">
        <w:rPr>
          <w:rFonts w:ascii="Arial"/>
          <w:w w:val="105"/>
          <w:sz w:val="16"/>
        </w:rPr>
        <w:t>the</w:t>
      </w:r>
      <w:r w:rsidRPr="00EB2BD8">
        <w:rPr>
          <w:rFonts w:ascii="Arial"/>
          <w:spacing w:val="-4"/>
          <w:w w:val="105"/>
          <w:sz w:val="16"/>
        </w:rPr>
        <w:t xml:space="preserve"> </w:t>
      </w:r>
      <w:r w:rsidRPr="00EB2BD8">
        <w:rPr>
          <w:rFonts w:ascii="Arial"/>
          <w:w w:val="105"/>
          <w:sz w:val="16"/>
        </w:rPr>
        <w:t>current</w:t>
      </w:r>
      <w:r w:rsidRPr="00EB2BD8">
        <w:rPr>
          <w:rFonts w:ascii="Arial"/>
          <w:spacing w:val="-4"/>
          <w:w w:val="105"/>
          <w:sz w:val="16"/>
        </w:rPr>
        <w:t xml:space="preserve"> </w:t>
      </w:r>
      <w:r w:rsidRPr="00EB2BD8">
        <w:rPr>
          <w:rFonts w:ascii="Arial"/>
          <w:w w:val="105"/>
          <w:sz w:val="16"/>
        </w:rPr>
        <w:t>use</w:t>
      </w:r>
      <w:r w:rsidRPr="00EB2BD8">
        <w:rPr>
          <w:rFonts w:ascii="Arial"/>
          <w:spacing w:val="-4"/>
          <w:w w:val="105"/>
          <w:sz w:val="16"/>
        </w:rPr>
        <w:t xml:space="preserve"> </w:t>
      </w:r>
      <w:r w:rsidRPr="00EB2BD8">
        <w:rPr>
          <w:rFonts w:ascii="Arial"/>
          <w:w w:val="105"/>
          <w:sz w:val="16"/>
        </w:rPr>
        <w:t>is considered the highest and best use.</w:t>
      </w:r>
    </w:p>
    <w:p w14:paraId="179A58D5" w14:textId="77777777" w:rsidR="00084F36" w:rsidRPr="00EB2BD8" w:rsidRDefault="00084F36">
      <w:pPr>
        <w:pStyle w:val="BodyText"/>
        <w:spacing w:before="2"/>
        <w:rPr>
          <w:rFonts w:ascii="Arial"/>
          <w:sz w:val="19"/>
        </w:rPr>
      </w:pPr>
    </w:p>
    <w:p w14:paraId="174EA338" w14:textId="77777777" w:rsidR="00084F36" w:rsidRPr="00EB2BD8" w:rsidRDefault="00EB2BD8">
      <w:pPr>
        <w:spacing w:before="1" w:line="288" w:lineRule="auto"/>
        <w:ind w:left="273" w:right="1672"/>
        <w:rPr>
          <w:rFonts w:ascii="Arial"/>
          <w:sz w:val="16"/>
        </w:rPr>
      </w:pPr>
      <w:r w:rsidRPr="00EB2BD8">
        <w:rPr>
          <w:rFonts w:ascii="Arial"/>
          <w:b/>
          <w:w w:val="105"/>
          <w:sz w:val="20"/>
        </w:rPr>
        <w:t xml:space="preserve">Vehicles </w:t>
      </w:r>
      <w:r w:rsidRPr="00EB2BD8">
        <w:rPr>
          <w:rFonts w:ascii="Arial"/>
          <w:w w:val="105"/>
          <w:sz w:val="16"/>
        </w:rPr>
        <w:t>are valued using the current replacement cost</w:t>
      </w:r>
      <w:r w:rsidRPr="00EB2BD8">
        <w:rPr>
          <w:rFonts w:ascii="Arial"/>
          <w:spacing w:val="-6"/>
          <w:w w:val="105"/>
          <w:sz w:val="16"/>
        </w:rPr>
        <w:t xml:space="preserve"> </w:t>
      </w:r>
      <w:r w:rsidRPr="00EB2BD8">
        <w:rPr>
          <w:rFonts w:ascii="Arial"/>
          <w:w w:val="105"/>
          <w:sz w:val="16"/>
        </w:rPr>
        <w:t>method</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associated</w:t>
      </w:r>
      <w:r w:rsidRPr="00EB2BD8">
        <w:rPr>
          <w:rFonts w:ascii="Arial"/>
          <w:spacing w:val="-6"/>
          <w:w w:val="105"/>
          <w:sz w:val="16"/>
        </w:rPr>
        <w:t xml:space="preserve"> </w:t>
      </w:r>
      <w:r w:rsidRPr="00EB2BD8">
        <w:rPr>
          <w:rFonts w:ascii="Arial"/>
          <w:w w:val="105"/>
          <w:sz w:val="16"/>
        </w:rPr>
        <w:t>depreciation</w:t>
      </w:r>
      <w:r w:rsidRPr="00EB2BD8">
        <w:rPr>
          <w:rFonts w:ascii="Arial"/>
          <w:spacing w:val="-6"/>
          <w:w w:val="105"/>
          <w:sz w:val="16"/>
        </w:rPr>
        <w:t xml:space="preserve"> </w:t>
      </w:r>
      <w:r w:rsidRPr="00EB2BD8">
        <w:rPr>
          <w:rFonts w:ascii="Arial"/>
          <w:w w:val="105"/>
          <w:sz w:val="16"/>
        </w:rPr>
        <w:t>is</w:t>
      </w:r>
      <w:r w:rsidRPr="00EB2BD8">
        <w:rPr>
          <w:rFonts w:ascii="Arial"/>
          <w:spacing w:val="-6"/>
          <w:w w:val="105"/>
          <w:sz w:val="16"/>
        </w:rPr>
        <w:t xml:space="preserve"> </w:t>
      </w:r>
      <w:r w:rsidRPr="00EB2BD8">
        <w:rPr>
          <w:rFonts w:ascii="Arial"/>
          <w:w w:val="105"/>
          <w:sz w:val="16"/>
        </w:rPr>
        <w:t>adjusted. The</w:t>
      </w:r>
      <w:r w:rsidRPr="00EB2BD8">
        <w:rPr>
          <w:rFonts w:ascii="Arial"/>
          <w:spacing w:val="-4"/>
          <w:w w:val="105"/>
          <w:sz w:val="16"/>
        </w:rPr>
        <w:t xml:space="preserve"> </w:t>
      </w:r>
      <w:r w:rsidRPr="00EB2BD8">
        <w:rPr>
          <w:rFonts w:ascii="Arial"/>
          <w:w w:val="105"/>
          <w:sz w:val="16"/>
        </w:rPr>
        <w:t>VBA</w:t>
      </w:r>
      <w:r w:rsidRPr="00EB2BD8">
        <w:rPr>
          <w:rFonts w:ascii="Arial"/>
          <w:spacing w:val="-4"/>
          <w:w w:val="105"/>
          <w:sz w:val="16"/>
        </w:rPr>
        <w:t xml:space="preserve"> </w:t>
      </w:r>
      <w:r w:rsidRPr="00EB2BD8">
        <w:rPr>
          <w:rFonts w:ascii="Arial"/>
          <w:w w:val="105"/>
          <w:sz w:val="16"/>
        </w:rPr>
        <w:t>acquires</w:t>
      </w:r>
      <w:r w:rsidRPr="00EB2BD8">
        <w:rPr>
          <w:rFonts w:ascii="Arial"/>
          <w:spacing w:val="-4"/>
          <w:w w:val="105"/>
          <w:sz w:val="16"/>
        </w:rPr>
        <w:t xml:space="preserve"> </w:t>
      </w:r>
      <w:r w:rsidRPr="00EB2BD8">
        <w:rPr>
          <w:rFonts w:ascii="Arial"/>
          <w:w w:val="105"/>
          <w:sz w:val="16"/>
        </w:rPr>
        <w:t>new</w:t>
      </w:r>
      <w:r w:rsidRPr="00EB2BD8">
        <w:rPr>
          <w:rFonts w:ascii="Arial"/>
          <w:spacing w:val="-4"/>
          <w:w w:val="105"/>
          <w:sz w:val="16"/>
        </w:rPr>
        <w:t xml:space="preserve"> </w:t>
      </w:r>
      <w:r w:rsidRPr="00EB2BD8">
        <w:rPr>
          <w:rFonts w:ascii="Arial"/>
          <w:w w:val="105"/>
          <w:sz w:val="16"/>
        </w:rPr>
        <w:t>vehicles</w:t>
      </w:r>
      <w:r w:rsidRPr="00EB2BD8">
        <w:rPr>
          <w:rFonts w:ascii="Arial"/>
          <w:spacing w:val="-4"/>
          <w:w w:val="105"/>
          <w:sz w:val="16"/>
        </w:rPr>
        <w:t xml:space="preserve"> </w:t>
      </w:r>
      <w:r w:rsidRPr="00EB2BD8">
        <w:rPr>
          <w:rFonts w:ascii="Arial"/>
          <w:w w:val="105"/>
          <w:sz w:val="16"/>
        </w:rPr>
        <w:t>and</w:t>
      </w:r>
      <w:r w:rsidRPr="00EB2BD8">
        <w:rPr>
          <w:rFonts w:ascii="Arial"/>
          <w:spacing w:val="-4"/>
          <w:w w:val="105"/>
          <w:sz w:val="16"/>
        </w:rPr>
        <w:t xml:space="preserve"> </w:t>
      </w:r>
      <w:r w:rsidRPr="00EB2BD8">
        <w:rPr>
          <w:rFonts w:ascii="Arial"/>
          <w:w w:val="105"/>
          <w:sz w:val="16"/>
        </w:rPr>
        <w:t>at</w:t>
      </w:r>
      <w:r w:rsidRPr="00EB2BD8">
        <w:rPr>
          <w:rFonts w:ascii="Arial"/>
          <w:spacing w:val="-4"/>
          <w:w w:val="105"/>
          <w:sz w:val="16"/>
        </w:rPr>
        <w:t xml:space="preserve"> </w:t>
      </w:r>
      <w:r w:rsidRPr="00EB2BD8">
        <w:rPr>
          <w:rFonts w:ascii="Arial"/>
          <w:w w:val="105"/>
          <w:sz w:val="16"/>
        </w:rPr>
        <w:t>times</w:t>
      </w:r>
      <w:r w:rsidRPr="00EB2BD8">
        <w:rPr>
          <w:rFonts w:ascii="Arial"/>
          <w:spacing w:val="-3"/>
          <w:w w:val="105"/>
          <w:sz w:val="16"/>
        </w:rPr>
        <w:t xml:space="preserve"> </w:t>
      </w:r>
      <w:r w:rsidRPr="00EB2BD8">
        <w:rPr>
          <w:rFonts w:ascii="Arial"/>
          <w:w w:val="105"/>
          <w:sz w:val="16"/>
        </w:rPr>
        <w:t>disposes</w:t>
      </w:r>
      <w:r w:rsidRPr="00EB2BD8">
        <w:rPr>
          <w:rFonts w:ascii="Arial"/>
          <w:spacing w:val="-4"/>
          <w:w w:val="105"/>
          <w:sz w:val="16"/>
        </w:rPr>
        <w:t xml:space="preserve"> </w:t>
      </w:r>
      <w:r w:rsidRPr="00EB2BD8">
        <w:rPr>
          <w:rFonts w:ascii="Arial"/>
          <w:w w:val="105"/>
          <w:sz w:val="16"/>
        </w:rPr>
        <w:t>of them before the end of their economic life. Refer to note</w:t>
      </w:r>
    </w:p>
    <w:p w14:paraId="3ED86BE4" w14:textId="77777777" w:rsidR="00084F36" w:rsidRPr="00EB2BD8" w:rsidRDefault="00EB2BD8">
      <w:pPr>
        <w:spacing w:before="1"/>
        <w:ind w:left="273"/>
        <w:rPr>
          <w:rFonts w:ascii="Arial"/>
          <w:sz w:val="16"/>
        </w:rPr>
      </w:pPr>
      <w:r w:rsidRPr="00EB2BD8">
        <w:rPr>
          <w:rFonts w:ascii="Arial"/>
          <w:w w:val="105"/>
          <w:sz w:val="16"/>
        </w:rPr>
        <w:t>4.3</w:t>
      </w:r>
      <w:r w:rsidRPr="00EB2BD8">
        <w:rPr>
          <w:rFonts w:ascii="Arial"/>
          <w:spacing w:val="-8"/>
          <w:w w:val="105"/>
          <w:sz w:val="16"/>
        </w:rPr>
        <w:t xml:space="preserve"> </w:t>
      </w:r>
      <w:r w:rsidRPr="00EB2BD8">
        <w:rPr>
          <w:rFonts w:ascii="Arial"/>
          <w:w w:val="105"/>
          <w:sz w:val="16"/>
        </w:rPr>
        <w:t>for</w:t>
      </w:r>
      <w:r w:rsidRPr="00EB2BD8">
        <w:rPr>
          <w:rFonts w:ascii="Arial"/>
          <w:spacing w:val="-8"/>
          <w:w w:val="105"/>
          <w:sz w:val="16"/>
        </w:rPr>
        <w:t xml:space="preserve"> </w:t>
      </w:r>
      <w:r w:rsidRPr="00EB2BD8">
        <w:rPr>
          <w:rFonts w:ascii="Arial"/>
          <w:w w:val="105"/>
          <w:sz w:val="16"/>
        </w:rPr>
        <w:t>relevant</w:t>
      </w:r>
      <w:r w:rsidRPr="00EB2BD8">
        <w:rPr>
          <w:rFonts w:ascii="Arial"/>
          <w:spacing w:val="-6"/>
          <w:w w:val="105"/>
          <w:sz w:val="16"/>
        </w:rPr>
        <w:t xml:space="preserve"> </w:t>
      </w:r>
      <w:r w:rsidRPr="00EB2BD8">
        <w:rPr>
          <w:rFonts w:ascii="Arial"/>
          <w:w w:val="105"/>
          <w:sz w:val="16"/>
        </w:rPr>
        <w:t>depreciation</w:t>
      </w:r>
      <w:r w:rsidRPr="00EB2BD8">
        <w:rPr>
          <w:rFonts w:ascii="Arial"/>
          <w:spacing w:val="-8"/>
          <w:w w:val="105"/>
          <w:sz w:val="16"/>
        </w:rPr>
        <w:t xml:space="preserve"> </w:t>
      </w:r>
      <w:r w:rsidRPr="00EB2BD8">
        <w:rPr>
          <w:rFonts w:ascii="Arial"/>
          <w:spacing w:val="-2"/>
          <w:w w:val="105"/>
          <w:sz w:val="16"/>
        </w:rPr>
        <w:t>rates.</w:t>
      </w:r>
    </w:p>
    <w:p w14:paraId="0FAFEDC9" w14:textId="77777777" w:rsidR="00084F36" w:rsidRPr="00EB2BD8" w:rsidRDefault="00084F36">
      <w:pPr>
        <w:pStyle w:val="BodyText"/>
        <w:spacing w:before="8"/>
        <w:rPr>
          <w:rFonts w:ascii="Arial"/>
          <w:sz w:val="22"/>
        </w:rPr>
      </w:pPr>
    </w:p>
    <w:p w14:paraId="6B41F755" w14:textId="77777777" w:rsidR="00084F36" w:rsidRPr="00EB2BD8" w:rsidRDefault="00EB2BD8">
      <w:pPr>
        <w:spacing w:line="288" w:lineRule="auto"/>
        <w:ind w:left="273" w:right="1672"/>
        <w:rPr>
          <w:rFonts w:ascii="Arial"/>
          <w:sz w:val="16"/>
        </w:rPr>
      </w:pPr>
      <w:r w:rsidRPr="00EB2BD8">
        <w:rPr>
          <w:rFonts w:ascii="Arial"/>
          <w:w w:val="105"/>
          <w:sz w:val="16"/>
        </w:rPr>
        <w:t>Refer</w:t>
      </w:r>
      <w:r w:rsidRPr="00EB2BD8">
        <w:rPr>
          <w:rFonts w:ascii="Arial"/>
          <w:spacing w:val="-4"/>
          <w:w w:val="105"/>
          <w:sz w:val="16"/>
        </w:rPr>
        <w:t xml:space="preserve"> </w:t>
      </w:r>
      <w:r w:rsidRPr="00EB2BD8">
        <w:rPr>
          <w:rFonts w:ascii="Arial"/>
          <w:w w:val="105"/>
          <w:sz w:val="16"/>
        </w:rPr>
        <w:t>to</w:t>
      </w:r>
      <w:r w:rsidRPr="00EB2BD8">
        <w:rPr>
          <w:rFonts w:ascii="Arial"/>
          <w:spacing w:val="-4"/>
          <w:w w:val="105"/>
          <w:sz w:val="16"/>
        </w:rPr>
        <w:t xml:space="preserve"> </w:t>
      </w:r>
      <w:r w:rsidRPr="00EB2BD8">
        <w:rPr>
          <w:rFonts w:ascii="Arial"/>
          <w:w w:val="105"/>
          <w:sz w:val="16"/>
        </w:rPr>
        <w:t>note</w:t>
      </w:r>
      <w:r w:rsidRPr="00EB2BD8">
        <w:rPr>
          <w:rFonts w:ascii="Arial"/>
          <w:spacing w:val="-4"/>
          <w:w w:val="105"/>
          <w:sz w:val="16"/>
        </w:rPr>
        <w:t xml:space="preserve"> </w:t>
      </w:r>
      <w:r w:rsidRPr="00EB2BD8">
        <w:rPr>
          <w:rFonts w:ascii="Arial"/>
          <w:w w:val="105"/>
          <w:sz w:val="16"/>
        </w:rPr>
        <w:t>7.3</w:t>
      </w:r>
      <w:r w:rsidRPr="00EB2BD8">
        <w:rPr>
          <w:rFonts w:ascii="Arial"/>
          <w:spacing w:val="-4"/>
          <w:w w:val="105"/>
          <w:sz w:val="16"/>
        </w:rPr>
        <w:t xml:space="preserve"> </w:t>
      </w:r>
      <w:r w:rsidRPr="00EB2BD8">
        <w:rPr>
          <w:rFonts w:ascii="Arial"/>
          <w:w w:val="105"/>
          <w:sz w:val="16"/>
        </w:rPr>
        <w:t>for</w:t>
      </w:r>
      <w:r w:rsidRPr="00EB2BD8">
        <w:rPr>
          <w:rFonts w:ascii="Arial"/>
          <w:spacing w:val="-4"/>
          <w:w w:val="105"/>
          <w:sz w:val="16"/>
        </w:rPr>
        <w:t xml:space="preserve"> </w:t>
      </w:r>
      <w:r w:rsidRPr="00EB2BD8">
        <w:rPr>
          <w:rFonts w:ascii="Arial"/>
          <w:w w:val="105"/>
          <w:sz w:val="16"/>
        </w:rPr>
        <w:t>additional</w:t>
      </w:r>
      <w:r w:rsidRPr="00EB2BD8">
        <w:rPr>
          <w:rFonts w:ascii="Arial"/>
          <w:spacing w:val="-4"/>
          <w:w w:val="105"/>
          <w:sz w:val="16"/>
        </w:rPr>
        <w:t xml:space="preserve"> </w:t>
      </w:r>
      <w:r w:rsidRPr="00EB2BD8">
        <w:rPr>
          <w:rFonts w:ascii="Arial"/>
          <w:w w:val="105"/>
          <w:sz w:val="16"/>
        </w:rPr>
        <w:t>information</w:t>
      </w:r>
      <w:r w:rsidRPr="00EB2BD8">
        <w:rPr>
          <w:rFonts w:ascii="Arial"/>
          <w:spacing w:val="-4"/>
          <w:w w:val="105"/>
          <w:sz w:val="16"/>
        </w:rPr>
        <w:t xml:space="preserve"> </w:t>
      </w:r>
      <w:r w:rsidRPr="00EB2BD8">
        <w:rPr>
          <w:rFonts w:ascii="Arial"/>
          <w:w w:val="105"/>
          <w:sz w:val="16"/>
        </w:rPr>
        <w:t>on</w:t>
      </w:r>
      <w:r w:rsidRPr="00EB2BD8">
        <w:rPr>
          <w:rFonts w:ascii="Arial"/>
          <w:spacing w:val="-4"/>
          <w:w w:val="105"/>
          <w:sz w:val="16"/>
        </w:rPr>
        <w:t xml:space="preserve"> </w:t>
      </w:r>
      <w:r w:rsidRPr="00EB2BD8">
        <w:rPr>
          <w:rFonts w:ascii="Arial"/>
          <w:w w:val="105"/>
          <w:sz w:val="16"/>
        </w:rPr>
        <w:t>fair</w:t>
      </w:r>
      <w:r w:rsidRPr="00EB2BD8">
        <w:rPr>
          <w:rFonts w:ascii="Arial"/>
          <w:spacing w:val="-4"/>
          <w:w w:val="105"/>
          <w:sz w:val="16"/>
        </w:rPr>
        <w:t xml:space="preserve"> </w:t>
      </w:r>
      <w:r w:rsidRPr="00EB2BD8">
        <w:rPr>
          <w:rFonts w:ascii="Arial"/>
          <w:w w:val="105"/>
          <w:sz w:val="16"/>
        </w:rPr>
        <w:t>value determination of property, plant and equipment.</w:t>
      </w:r>
    </w:p>
    <w:p w14:paraId="5CBA6460" w14:textId="77777777" w:rsidR="00084F36" w:rsidRPr="00EB2BD8" w:rsidRDefault="00084F36">
      <w:pPr>
        <w:spacing w:line="288" w:lineRule="auto"/>
        <w:rPr>
          <w:rFonts w:ascii="Arial"/>
          <w:sz w:val="16"/>
        </w:rPr>
        <w:sectPr w:rsidR="00084F36" w:rsidRPr="00EB2BD8" w:rsidSect="006D75B2">
          <w:type w:val="continuous"/>
          <w:pgSz w:w="11910" w:h="16840"/>
          <w:pgMar w:top="1920" w:right="0" w:bottom="280" w:left="0" w:header="0" w:footer="0" w:gutter="0"/>
          <w:cols w:num="2" w:space="720" w:equalWidth="0">
            <w:col w:w="5672" w:space="40"/>
            <w:col w:w="6198"/>
          </w:cols>
        </w:sectPr>
      </w:pPr>
    </w:p>
    <w:p w14:paraId="75A9914F" w14:textId="400DA922" w:rsidR="00084F36" w:rsidRDefault="00084F36">
      <w:pPr>
        <w:pStyle w:val="BodyText"/>
        <w:spacing w:before="6"/>
        <w:rPr>
          <w:rFonts w:ascii="Arial"/>
          <w:sz w:val="25"/>
        </w:rPr>
      </w:pPr>
    </w:p>
    <w:p w14:paraId="6F7D1F3D" w14:textId="77777777" w:rsidR="00577085" w:rsidRDefault="00577085">
      <w:pPr>
        <w:pStyle w:val="BodyText"/>
        <w:spacing w:before="6"/>
        <w:rPr>
          <w:rFonts w:ascii="Arial"/>
          <w:sz w:val="25"/>
        </w:rPr>
      </w:pPr>
    </w:p>
    <w:p w14:paraId="439BBAAF" w14:textId="77777777" w:rsidR="00577085" w:rsidRDefault="00577085">
      <w:pPr>
        <w:pStyle w:val="BodyText"/>
        <w:spacing w:before="6"/>
        <w:rPr>
          <w:rFonts w:ascii="Arial"/>
          <w:sz w:val="25"/>
        </w:rPr>
      </w:pPr>
    </w:p>
    <w:p w14:paraId="19A63A73" w14:textId="77777777" w:rsidR="00577085" w:rsidRPr="00EB2BD8" w:rsidRDefault="00577085">
      <w:pPr>
        <w:pStyle w:val="BodyText"/>
        <w:spacing w:before="6"/>
        <w:rPr>
          <w:rFonts w:ascii="Arial"/>
          <w:sz w:val="25"/>
        </w:rPr>
      </w:pPr>
    </w:p>
    <w:p w14:paraId="05388D1F" w14:textId="7DBDE9CE" w:rsidR="00084F36" w:rsidRPr="00EB2BD8" w:rsidRDefault="00EB2BD8">
      <w:pPr>
        <w:tabs>
          <w:tab w:val="left" w:pos="1906"/>
        </w:tabs>
        <w:spacing w:before="91"/>
        <w:ind w:left="842"/>
        <w:rPr>
          <w:b/>
          <w:sz w:val="16"/>
        </w:rPr>
      </w:pPr>
      <w:r w:rsidRPr="00EB2BD8">
        <w:rPr>
          <w:sz w:val="16"/>
        </w:rPr>
        <w:tab/>
      </w:r>
    </w:p>
    <w:p w14:paraId="658A96D5" w14:textId="77777777" w:rsidR="00084F36" w:rsidRPr="00EB2BD8" w:rsidRDefault="00084F36">
      <w:pPr>
        <w:rPr>
          <w:sz w:val="16"/>
        </w:rPr>
        <w:sectPr w:rsidR="00084F36" w:rsidRPr="00EB2BD8" w:rsidSect="006D75B2">
          <w:type w:val="continuous"/>
          <w:pgSz w:w="11910" w:h="16840"/>
          <w:pgMar w:top="1920" w:right="0" w:bottom="280" w:left="0" w:header="0" w:footer="0" w:gutter="0"/>
          <w:cols w:space="720"/>
        </w:sectPr>
      </w:pPr>
    </w:p>
    <w:p w14:paraId="14F0A3D6" w14:textId="77777777" w:rsidR="00084F36" w:rsidRPr="00EB2BD8" w:rsidRDefault="00084F36">
      <w:pPr>
        <w:pStyle w:val="BodyText"/>
        <w:rPr>
          <w:sz w:val="20"/>
        </w:rPr>
      </w:pPr>
    </w:p>
    <w:p w14:paraId="6ECA0A14" w14:textId="77777777" w:rsidR="00084F36" w:rsidRPr="00EB2BD8" w:rsidRDefault="00084F36">
      <w:pPr>
        <w:pStyle w:val="BodyText"/>
        <w:rPr>
          <w:sz w:val="20"/>
        </w:rPr>
      </w:pPr>
    </w:p>
    <w:p w14:paraId="57F18A17" w14:textId="77777777" w:rsidR="00084F36" w:rsidRPr="00EB2BD8" w:rsidRDefault="00084F36">
      <w:pPr>
        <w:pStyle w:val="BodyText"/>
        <w:rPr>
          <w:sz w:val="20"/>
        </w:rPr>
      </w:pPr>
    </w:p>
    <w:p w14:paraId="684B72B0" w14:textId="77777777" w:rsidR="00084F36" w:rsidRPr="00EB2BD8" w:rsidRDefault="00084F36">
      <w:pPr>
        <w:pStyle w:val="BodyText"/>
        <w:rPr>
          <w:sz w:val="20"/>
        </w:rPr>
      </w:pPr>
    </w:p>
    <w:p w14:paraId="317BBE14" w14:textId="77777777" w:rsidR="00084F36" w:rsidRPr="00EB2BD8" w:rsidRDefault="00084F36">
      <w:pPr>
        <w:pStyle w:val="BodyText"/>
        <w:rPr>
          <w:sz w:val="20"/>
        </w:rPr>
      </w:pPr>
    </w:p>
    <w:p w14:paraId="7337CD92" w14:textId="77777777" w:rsidR="00084F36" w:rsidRPr="00EB2BD8" w:rsidRDefault="00084F36">
      <w:pPr>
        <w:pStyle w:val="BodyText"/>
        <w:rPr>
          <w:sz w:val="20"/>
        </w:rPr>
      </w:pPr>
    </w:p>
    <w:p w14:paraId="3ED63EBE" w14:textId="77777777" w:rsidR="00084F36" w:rsidRPr="00EB2BD8" w:rsidRDefault="00084F36">
      <w:pPr>
        <w:pStyle w:val="BodyText"/>
        <w:spacing w:before="10"/>
        <w:rPr>
          <w:sz w:val="20"/>
        </w:rPr>
      </w:pPr>
    </w:p>
    <w:p w14:paraId="3C31DDA9" w14:textId="4ADBE32D" w:rsidR="00084F36" w:rsidRPr="00EB2BD8" w:rsidRDefault="00462776" w:rsidP="00086D4B">
      <w:pPr>
        <w:pStyle w:val="Heading2"/>
        <w:ind w:left="1030"/>
      </w:pPr>
      <w:bookmarkStart w:id="289" w:name="_Toc150762591"/>
      <w:r>
        <w:t xml:space="preserve">4.1.2 </w:t>
      </w:r>
      <w:r w:rsidR="00EB2BD8" w:rsidRPr="00EB2BD8">
        <w:t>Reconciliation</w:t>
      </w:r>
      <w:r w:rsidR="00EB2BD8" w:rsidRPr="00EB2BD8">
        <w:rPr>
          <w:spacing w:val="13"/>
        </w:rPr>
        <w:t xml:space="preserve"> </w:t>
      </w:r>
      <w:r w:rsidR="00EB2BD8" w:rsidRPr="00EB2BD8">
        <w:t>of</w:t>
      </w:r>
      <w:r w:rsidR="00EB2BD8" w:rsidRPr="00EB2BD8">
        <w:rPr>
          <w:spacing w:val="12"/>
        </w:rPr>
        <w:t xml:space="preserve"> </w:t>
      </w:r>
      <w:r w:rsidR="00EB2BD8" w:rsidRPr="00EB2BD8">
        <w:t>movements</w:t>
      </w:r>
      <w:r w:rsidR="00EB2BD8" w:rsidRPr="00EB2BD8">
        <w:rPr>
          <w:spacing w:val="13"/>
        </w:rPr>
        <w:t xml:space="preserve"> </w:t>
      </w:r>
      <w:r w:rsidR="00EB2BD8" w:rsidRPr="00EB2BD8">
        <w:t>in</w:t>
      </w:r>
      <w:r w:rsidR="00EB2BD8" w:rsidRPr="00EB2BD8">
        <w:rPr>
          <w:spacing w:val="13"/>
        </w:rPr>
        <w:t xml:space="preserve"> </w:t>
      </w:r>
      <w:r w:rsidR="00EB2BD8" w:rsidRPr="00EB2BD8">
        <w:t>carrying</w:t>
      </w:r>
      <w:r w:rsidR="00EB2BD8" w:rsidRPr="00EB2BD8">
        <w:rPr>
          <w:spacing w:val="13"/>
        </w:rPr>
        <w:t xml:space="preserve"> </w:t>
      </w:r>
      <w:r w:rsidR="00EB2BD8" w:rsidRPr="00EB2BD8">
        <w:t>amount</w:t>
      </w:r>
      <w:r w:rsidR="00EB2BD8" w:rsidRPr="00EB2BD8">
        <w:rPr>
          <w:spacing w:val="13"/>
        </w:rPr>
        <w:t xml:space="preserve"> </w:t>
      </w:r>
      <w:r w:rsidR="00EB2BD8" w:rsidRPr="00EB2BD8">
        <w:t>of</w:t>
      </w:r>
      <w:r w:rsidR="00EB2BD8" w:rsidRPr="00EB2BD8">
        <w:rPr>
          <w:spacing w:val="13"/>
        </w:rPr>
        <w:t xml:space="preserve"> </w:t>
      </w:r>
      <w:r w:rsidR="00086D4B">
        <w:rPr>
          <w:spacing w:val="13"/>
        </w:rPr>
        <w:br/>
      </w:r>
      <w:r w:rsidR="00EB2BD8" w:rsidRPr="00EB2BD8">
        <w:t>property,</w:t>
      </w:r>
      <w:r>
        <w:t xml:space="preserve"> </w:t>
      </w:r>
      <w:r w:rsidR="00EB2BD8" w:rsidRPr="00EB2BD8">
        <w:t>plant</w:t>
      </w:r>
      <w:r w:rsidR="00EB2BD8" w:rsidRPr="00EB2BD8">
        <w:rPr>
          <w:spacing w:val="13"/>
        </w:rPr>
        <w:t xml:space="preserve"> </w:t>
      </w:r>
      <w:r w:rsidR="00EB2BD8" w:rsidRPr="00EB2BD8">
        <w:t>and</w:t>
      </w:r>
      <w:r w:rsidR="00EB2BD8" w:rsidRPr="00EB2BD8">
        <w:rPr>
          <w:spacing w:val="13"/>
        </w:rPr>
        <w:t xml:space="preserve"> </w:t>
      </w:r>
      <w:r w:rsidR="00EB2BD8" w:rsidRPr="00EB2BD8">
        <w:rPr>
          <w:spacing w:val="-2"/>
        </w:rPr>
        <w:t>equipment</w:t>
      </w:r>
      <w:bookmarkEnd w:id="289"/>
    </w:p>
    <w:p w14:paraId="60115FAE" w14:textId="77777777" w:rsidR="00084F36" w:rsidRPr="00EB2BD8" w:rsidRDefault="00084F36">
      <w:pPr>
        <w:pStyle w:val="BodyText"/>
        <w:rPr>
          <w:rFonts w:ascii="Arial"/>
          <w:b/>
          <w:sz w:val="20"/>
        </w:rPr>
      </w:pPr>
    </w:p>
    <w:p w14:paraId="15907466" w14:textId="77777777" w:rsidR="00084F36" w:rsidRPr="00EB2BD8" w:rsidRDefault="00084F36">
      <w:pPr>
        <w:pStyle w:val="BodyText"/>
        <w:spacing w:before="4" w:after="1"/>
        <w:rPr>
          <w:rFonts w:ascii="Arial"/>
          <w:b/>
          <w:sz w:val="11"/>
        </w:rPr>
      </w:pPr>
    </w:p>
    <w:tbl>
      <w:tblPr>
        <w:tblW w:w="0" w:type="auto"/>
        <w:tblInd w:w="1063" w:type="dxa"/>
        <w:tblLayout w:type="fixed"/>
        <w:tblCellMar>
          <w:left w:w="0" w:type="dxa"/>
          <w:right w:w="0" w:type="dxa"/>
        </w:tblCellMar>
        <w:tblLook w:val="01E0" w:firstRow="1" w:lastRow="1" w:firstColumn="1" w:lastColumn="1" w:noHBand="0" w:noVBand="0"/>
      </w:tblPr>
      <w:tblGrid>
        <w:gridCol w:w="3751"/>
        <w:gridCol w:w="1421"/>
        <w:gridCol w:w="1338"/>
        <w:gridCol w:w="1721"/>
        <w:gridCol w:w="1029"/>
      </w:tblGrid>
      <w:tr w:rsidR="00EB2BD8" w:rsidRPr="00EB2BD8" w14:paraId="6FE818A1" w14:textId="77777777">
        <w:trPr>
          <w:trHeight w:val="1046"/>
        </w:trPr>
        <w:tc>
          <w:tcPr>
            <w:tcW w:w="5172" w:type="dxa"/>
            <w:gridSpan w:val="2"/>
            <w:tcBorders>
              <w:top w:val="single" w:sz="4" w:space="0" w:color="0098FF"/>
              <w:bottom w:val="single" w:sz="4" w:space="0" w:color="0098FF"/>
            </w:tcBorders>
            <w:shd w:val="clear" w:color="auto" w:fill="0070C0"/>
          </w:tcPr>
          <w:p w14:paraId="61CE2CE4" w14:textId="77777777" w:rsidR="00084F36" w:rsidRPr="00EB2BD8" w:rsidRDefault="00084F36">
            <w:pPr>
              <w:pStyle w:val="TableParagraph"/>
              <w:rPr>
                <w:rFonts w:ascii="Arial"/>
                <w:b/>
                <w:sz w:val="18"/>
              </w:rPr>
            </w:pPr>
          </w:p>
          <w:p w14:paraId="3D9D1DBD" w14:textId="77777777" w:rsidR="00084F36" w:rsidRPr="00EB2BD8" w:rsidRDefault="00EB2BD8">
            <w:pPr>
              <w:pStyle w:val="TableParagraph"/>
              <w:spacing w:before="130"/>
              <w:ind w:right="240"/>
              <w:jc w:val="right"/>
              <w:rPr>
                <w:rFonts w:ascii="Arial"/>
                <w:b/>
                <w:sz w:val="16"/>
              </w:rPr>
            </w:pPr>
            <w:r w:rsidRPr="00EB2BD8">
              <w:rPr>
                <w:rFonts w:ascii="Arial"/>
                <w:b/>
                <w:w w:val="105"/>
                <w:sz w:val="16"/>
              </w:rPr>
              <w:t>Land</w:t>
            </w:r>
            <w:r w:rsidRPr="00EB2BD8">
              <w:rPr>
                <w:rFonts w:ascii="Arial"/>
                <w:b/>
                <w:spacing w:val="-4"/>
                <w:w w:val="105"/>
                <w:sz w:val="16"/>
              </w:rPr>
              <w:t xml:space="preserve"> </w:t>
            </w:r>
            <w:r w:rsidRPr="00EB2BD8">
              <w:rPr>
                <w:rFonts w:ascii="Arial"/>
                <w:b/>
                <w:w w:val="105"/>
                <w:sz w:val="16"/>
              </w:rPr>
              <w:t>at</w:t>
            </w:r>
            <w:r w:rsidRPr="00EB2BD8">
              <w:rPr>
                <w:rFonts w:ascii="Arial"/>
                <w:b/>
                <w:spacing w:val="-4"/>
                <w:w w:val="105"/>
                <w:sz w:val="16"/>
              </w:rPr>
              <w:t xml:space="preserve"> fair</w:t>
            </w:r>
          </w:p>
          <w:p w14:paraId="4F8ABF9D" w14:textId="77777777" w:rsidR="00084F36" w:rsidRPr="00EB2BD8" w:rsidRDefault="00EB2BD8">
            <w:pPr>
              <w:pStyle w:val="TableParagraph"/>
              <w:spacing w:before="9"/>
              <w:ind w:right="240"/>
              <w:jc w:val="right"/>
              <w:rPr>
                <w:rFonts w:ascii="Arial"/>
                <w:b/>
                <w:sz w:val="16"/>
              </w:rPr>
            </w:pPr>
            <w:r w:rsidRPr="00EB2BD8">
              <w:rPr>
                <w:rFonts w:ascii="Arial"/>
                <w:b/>
                <w:spacing w:val="-2"/>
                <w:w w:val="105"/>
                <w:sz w:val="16"/>
              </w:rPr>
              <w:t>value</w:t>
            </w:r>
          </w:p>
        </w:tc>
        <w:tc>
          <w:tcPr>
            <w:tcW w:w="1338" w:type="dxa"/>
            <w:tcBorders>
              <w:top w:val="single" w:sz="4" w:space="0" w:color="0098FF"/>
              <w:bottom w:val="single" w:sz="4" w:space="0" w:color="0098FF"/>
            </w:tcBorders>
            <w:shd w:val="clear" w:color="auto" w:fill="0070C0"/>
          </w:tcPr>
          <w:p w14:paraId="18E5CFB7" w14:textId="77777777" w:rsidR="00084F36" w:rsidRPr="00EB2BD8" w:rsidRDefault="00084F36">
            <w:pPr>
              <w:pStyle w:val="TableParagraph"/>
              <w:rPr>
                <w:rFonts w:ascii="Arial"/>
                <w:b/>
                <w:sz w:val="18"/>
              </w:rPr>
            </w:pPr>
          </w:p>
          <w:p w14:paraId="435E659D" w14:textId="77777777" w:rsidR="00084F36" w:rsidRPr="00EB2BD8" w:rsidRDefault="00EB2BD8">
            <w:pPr>
              <w:pStyle w:val="TableParagraph"/>
              <w:spacing w:before="130" w:line="252" w:lineRule="auto"/>
              <w:ind w:left="474" w:right="118" w:hanging="224"/>
              <w:rPr>
                <w:rFonts w:ascii="Arial"/>
                <w:b/>
                <w:sz w:val="16"/>
              </w:rPr>
            </w:pPr>
            <w:r w:rsidRPr="00EB2BD8">
              <w:rPr>
                <w:rFonts w:ascii="Arial"/>
                <w:b/>
                <w:w w:val="105"/>
                <w:sz w:val="16"/>
              </w:rPr>
              <w:t>Buildings</w:t>
            </w:r>
            <w:r w:rsidRPr="00EB2BD8">
              <w:rPr>
                <w:rFonts w:ascii="Arial"/>
                <w:b/>
                <w:spacing w:val="-12"/>
                <w:w w:val="105"/>
                <w:sz w:val="16"/>
              </w:rPr>
              <w:t xml:space="preserve"> </w:t>
            </w:r>
            <w:r w:rsidRPr="00EB2BD8">
              <w:rPr>
                <w:rFonts w:ascii="Arial"/>
                <w:b/>
                <w:w w:val="105"/>
                <w:sz w:val="16"/>
              </w:rPr>
              <w:t>at fair</w:t>
            </w:r>
            <w:r w:rsidRPr="00EB2BD8">
              <w:rPr>
                <w:rFonts w:ascii="Arial"/>
                <w:b/>
                <w:spacing w:val="-4"/>
                <w:w w:val="105"/>
                <w:sz w:val="16"/>
              </w:rPr>
              <w:t xml:space="preserve"> </w:t>
            </w:r>
            <w:r w:rsidRPr="00EB2BD8">
              <w:rPr>
                <w:rFonts w:ascii="Arial"/>
                <w:b/>
                <w:spacing w:val="-2"/>
                <w:w w:val="105"/>
                <w:sz w:val="16"/>
              </w:rPr>
              <w:t>value</w:t>
            </w:r>
          </w:p>
        </w:tc>
        <w:tc>
          <w:tcPr>
            <w:tcW w:w="1721" w:type="dxa"/>
            <w:tcBorders>
              <w:top w:val="single" w:sz="4" w:space="0" w:color="0098FF"/>
              <w:bottom w:val="single" w:sz="4" w:space="0" w:color="0098FF"/>
            </w:tcBorders>
            <w:shd w:val="clear" w:color="auto" w:fill="0070C0"/>
          </w:tcPr>
          <w:p w14:paraId="176D127A" w14:textId="77777777" w:rsidR="00084F36" w:rsidRPr="00EB2BD8" w:rsidRDefault="00084F36">
            <w:pPr>
              <w:pStyle w:val="TableParagraph"/>
              <w:spacing w:before="10"/>
              <w:rPr>
                <w:rFonts w:ascii="Arial"/>
                <w:b/>
                <w:sz w:val="20"/>
              </w:rPr>
            </w:pPr>
          </w:p>
          <w:p w14:paraId="4E6A8F03" w14:textId="77777777" w:rsidR="00084F36" w:rsidRPr="00EB2BD8" w:rsidRDefault="00EB2BD8">
            <w:pPr>
              <w:pStyle w:val="TableParagraph"/>
              <w:spacing w:line="252" w:lineRule="auto"/>
              <w:ind w:left="133" w:right="390" w:firstLine="736"/>
              <w:jc w:val="both"/>
              <w:rPr>
                <w:rFonts w:ascii="Arial"/>
                <w:b/>
                <w:sz w:val="16"/>
              </w:rPr>
            </w:pPr>
            <w:r w:rsidRPr="00EB2BD8">
              <w:rPr>
                <w:rFonts w:ascii="Arial"/>
                <w:b/>
                <w:spacing w:val="-2"/>
                <w:w w:val="105"/>
                <w:sz w:val="16"/>
              </w:rPr>
              <w:t xml:space="preserve">Plant, </w:t>
            </w:r>
            <w:r w:rsidRPr="00EB2BD8">
              <w:rPr>
                <w:rFonts w:ascii="Arial"/>
                <w:b/>
                <w:w w:val="105"/>
                <w:sz w:val="16"/>
              </w:rPr>
              <w:t>equipment</w:t>
            </w:r>
            <w:r w:rsidRPr="00EB2BD8">
              <w:rPr>
                <w:rFonts w:ascii="Arial"/>
                <w:b/>
                <w:spacing w:val="-12"/>
                <w:w w:val="105"/>
                <w:sz w:val="16"/>
              </w:rPr>
              <w:t xml:space="preserve"> </w:t>
            </w:r>
            <w:r w:rsidRPr="00EB2BD8">
              <w:rPr>
                <w:rFonts w:ascii="Arial"/>
                <w:b/>
                <w:w w:val="105"/>
                <w:sz w:val="16"/>
              </w:rPr>
              <w:t>and motor</w:t>
            </w:r>
            <w:r w:rsidRPr="00EB2BD8">
              <w:rPr>
                <w:rFonts w:ascii="Arial"/>
                <w:b/>
                <w:spacing w:val="-7"/>
                <w:w w:val="105"/>
                <w:sz w:val="16"/>
              </w:rPr>
              <w:t xml:space="preserve"> </w:t>
            </w:r>
            <w:r w:rsidRPr="00EB2BD8">
              <w:rPr>
                <w:rFonts w:ascii="Arial"/>
                <w:b/>
                <w:spacing w:val="-2"/>
                <w:w w:val="105"/>
                <w:sz w:val="16"/>
              </w:rPr>
              <w:t>vehicles</w:t>
            </w:r>
          </w:p>
        </w:tc>
        <w:tc>
          <w:tcPr>
            <w:tcW w:w="1029" w:type="dxa"/>
            <w:tcBorders>
              <w:top w:val="single" w:sz="4" w:space="0" w:color="0098FF"/>
              <w:bottom w:val="single" w:sz="4" w:space="0" w:color="0098FF"/>
              <w:right w:val="single" w:sz="4" w:space="0" w:color="0098FF"/>
            </w:tcBorders>
            <w:shd w:val="clear" w:color="auto" w:fill="0070C0"/>
          </w:tcPr>
          <w:p w14:paraId="68FD44DF" w14:textId="77777777" w:rsidR="00084F36" w:rsidRPr="00EB2BD8" w:rsidRDefault="00084F36">
            <w:pPr>
              <w:pStyle w:val="TableParagraph"/>
              <w:rPr>
                <w:rFonts w:ascii="Arial"/>
                <w:b/>
                <w:sz w:val="18"/>
              </w:rPr>
            </w:pPr>
          </w:p>
          <w:p w14:paraId="57481699" w14:textId="77777777" w:rsidR="00084F36" w:rsidRPr="00EB2BD8" w:rsidRDefault="00084F36">
            <w:pPr>
              <w:pStyle w:val="TableParagraph"/>
              <w:spacing w:before="8"/>
              <w:rPr>
                <w:rFonts w:ascii="Arial"/>
                <w:b/>
                <w:sz w:val="19"/>
              </w:rPr>
            </w:pPr>
          </w:p>
          <w:p w14:paraId="0397C187" w14:textId="77777777" w:rsidR="00084F36" w:rsidRPr="00EB2BD8" w:rsidRDefault="00EB2BD8">
            <w:pPr>
              <w:pStyle w:val="TableParagraph"/>
              <w:ind w:right="91"/>
              <w:jc w:val="right"/>
              <w:rPr>
                <w:rFonts w:ascii="Arial"/>
                <w:b/>
                <w:sz w:val="16"/>
              </w:rPr>
            </w:pPr>
            <w:r w:rsidRPr="00EB2BD8">
              <w:rPr>
                <w:rFonts w:ascii="Arial"/>
                <w:b/>
                <w:spacing w:val="-2"/>
                <w:w w:val="105"/>
                <w:sz w:val="16"/>
              </w:rPr>
              <w:t>Total</w:t>
            </w:r>
          </w:p>
        </w:tc>
      </w:tr>
      <w:tr w:rsidR="00EB2BD8" w:rsidRPr="00EB2BD8" w14:paraId="44C16AC8" w14:textId="77777777">
        <w:trPr>
          <w:trHeight w:val="312"/>
        </w:trPr>
        <w:tc>
          <w:tcPr>
            <w:tcW w:w="3751" w:type="dxa"/>
            <w:tcBorders>
              <w:top w:val="single" w:sz="4" w:space="0" w:color="0098FF"/>
            </w:tcBorders>
            <w:shd w:val="clear" w:color="auto" w:fill="FFFFFF"/>
          </w:tcPr>
          <w:p w14:paraId="3605C85B" w14:textId="77777777" w:rsidR="00084F36" w:rsidRPr="00EB2BD8" w:rsidRDefault="00EB2BD8">
            <w:pPr>
              <w:pStyle w:val="TableParagraph"/>
              <w:spacing w:before="64"/>
              <w:ind w:left="105"/>
              <w:rPr>
                <w:rFonts w:ascii="Arial"/>
                <w:b/>
                <w:sz w:val="16"/>
              </w:rPr>
            </w:pPr>
            <w:r w:rsidRPr="00EB2BD8">
              <w:rPr>
                <w:rFonts w:ascii="Arial"/>
                <w:b/>
                <w:spacing w:val="-4"/>
                <w:w w:val="105"/>
                <w:sz w:val="16"/>
              </w:rPr>
              <w:t>2023</w:t>
            </w:r>
          </w:p>
        </w:tc>
        <w:tc>
          <w:tcPr>
            <w:tcW w:w="1421" w:type="dxa"/>
            <w:tcBorders>
              <w:top w:val="single" w:sz="4" w:space="0" w:color="0098FF"/>
            </w:tcBorders>
            <w:shd w:val="clear" w:color="auto" w:fill="DEEAF6"/>
          </w:tcPr>
          <w:p w14:paraId="16E42C3E" w14:textId="77777777" w:rsidR="00084F36" w:rsidRPr="00EB2BD8" w:rsidRDefault="00084F36">
            <w:pPr>
              <w:pStyle w:val="TableParagraph"/>
              <w:rPr>
                <w:rFonts w:ascii="Times New Roman"/>
                <w:sz w:val="16"/>
              </w:rPr>
            </w:pPr>
          </w:p>
        </w:tc>
        <w:tc>
          <w:tcPr>
            <w:tcW w:w="1338" w:type="dxa"/>
            <w:tcBorders>
              <w:top w:val="single" w:sz="4" w:space="0" w:color="0098FF"/>
            </w:tcBorders>
            <w:shd w:val="clear" w:color="auto" w:fill="DEEAF6"/>
          </w:tcPr>
          <w:p w14:paraId="4A82108D" w14:textId="77777777" w:rsidR="00084F36" w:rsidRPr="00EB2BD8" w:rsidRDefault="00084F36">
            <w:pPr>
              <w:pStyle w:val="TableParagraph"/>
              <w:rPr>
                <w:rFonts w:ascii="Times New Roman"/>
                <w:sz w:val="16"/>
              </w:rPr>
            </w:pPr>
          </w:p>
        </w:tc>
        <w:tc>
          <w:tcPr>
            <w:tcW w:w="1721" w:type="dxa"/>
            <w:tcBorders>
              <w:top w:val="single" w:sz="4" w:space="0" w:color="0098FF"/>
            </w:tcBorders>
            <w:shd w:val="clear" w:color="auto" w:fill="DEEAF6"/>
          </w:tcPr>
          <w:p w14:paraId="7AC1DCBE" w14:textId="77777777" w:rsidR="00084F36" w:rsidRPr="00EB2BD8" w:rsidRDefault="00084F36">
            <w:pPr>
              <w:pStyle w:val="TableParagraph"/>
              <w:rPr>
                <w:rFonts w:ascii="Times New Roman"/>
                <w:sz w:val="16"/>
              </w:rPr>
            </w:pPr>
          </w:p>
        </w:tc>
        <w:tc>
          <w:tcPr>
            <w:tcW w:w="1029" w:type="dxa"/>
            <w:tcBorders>
              <w:top w:val="single" w:sz="4" w:space="0" w:color="0098FF"/>
            </w:tcBorders>
            <w:shd w:val="clear" w:color="auto" w:fill="DEEAF6"/>
          </w:tcPr>
          <w:p w14:paraId="7A3E57F6" w14:textId="77777777" w:rsidR="00084F36" w:rsidRPr="00EB2BD8" w:rsidRDefault="00084F36">
            <w:pPr>
              <w:pStyle w:val="TableParagraph"/>
              <w:rPr>
                <w:rFonts w:ascii="Times New Roman"/>
                <w:sz w:val="16"/>
              </w:rPr>
            </w:pPr>
          </w:p>
        </w:tc>
      </w:tr>
      <w:tr w:rsidR="00EB2BD8" w:rsidRPr="00EB2BD8" w14:paraId="620494FD" w14:textId="77777777">
        <w:trPr>
          <w:trHeight w:val="314"/>
        </w:trPr>
        <w:tc>
          <w:tcPr>
            <w:tcW w:w="3751" w:type="dxa"/>
            <w:shd w:val="clear" w:color="auto" w:fill="FFFFFF"/>
          </w:tcPr>
          <w:p w14:paraId="4B2A6295" w14:textId="77777777" w:rsidR="00084F36" w:rsidRPr="00EB2BD8" w:rsidRDefault="00EB2BD8">
            <w:pPr>
              <w:pStyle w:val="TableParagraph"/>
              <w:spacing w:before="64"/>
              <w:ind w:left="105"/>
              <w:rPr>
                <w:rFonts w:ascii="Arial"/>
                <w:b/>
                <w:sz w:val="16"/>
              </w:rPr>
            </w:pPr>
            <w:r w:rsidRPr="00EB2BD8">
              <w:rPr>
                <w:rFonts w:ascii="Arial"/>
                <w:b/>
                <w:w w:val="105"/>
                <w:sz w:val="16"/>
              </w:rPr>
              <w:t>Balance</w:t>
            </w:r>
            <w:r w:rsidRPr="00EB2BD8">
              <w:rPr>
                <w:rFonts w:ascii="Arial"/>
                <w:b/>
                <w:spacing w:val="-6"/>
                <w:w w:val="105"/>
                <w:sz w:val="16"/>
              </w:rPr>
              <w:t xml:space="preserve"> </w:t>
            </w:r>
            <w:r w:rsidRPr="00EB2BD8">
              <w:rPr>
                <w:rFonts w:ascii="Arial"/>
                <w:b/>
                <w:w w:val="105"/>
                <w:sz w:val="16"/>
              </w:rPr>
              <w:t>at</w:t>
            </w:r>
            <w:r w:rsidRPr="00EB2BD8">
              <w:rPr>
                <w:rFonts w:ascii="Arial"/>
                <w:b/>
                <w:spacing w:val="-5"/>
                <w:w w:val="105"/>
                <w:sz w:val="16"/>
              </w:rPr>
              <w:t xml:space="preserve"> </w:t>
            </w:r>
            <w:r w:rsidRPr="00EB2BD8">
              <w:rPr>
                <w:rFonts w:ascii="Arial"/>
                <w:b/>
                <w:w w:val="105"/>
                <w:sz w:val="16"/>
              </w:rPr>
              <w:t>the</w:t>
            </w:r>
            <w:r w:rsidRPr="00EB2BD8">
              <w:rPr>
                <w:rFonts w:ascii="Arial"/>
                <w:b/>
                <w:spacing w:val="-4"/>
                <w:w w:val="105"/>
                <w:sz w:val="16"/>
              </w:rPr>
              <w:t xml:space="preserve"> </w:t>
            </w:r>
            <w:r w:rsidRPr="00EB2BD8">
              <w:rPr>
                <w:rFonts w:ascii="Arial"/>
                <w:b/>
                <w:w w:val="105"/>
                <w:sz w:val="16"/>
              </w:rPr>
              <w:t>beginning</w:t>
            </w:r>
            <w:r w:rsidRPr="00EB2BD8">
              <w:rPr>
                <w:rFonts w:ascii="Arial"/>
                <w:b/>
                <w:spacing w:val="-6"/>
                <w:w w:val="105"/>
                <w:sz w:val="16"/>
              </w:rPr>
              <w:t xml:space="preserve"> </w:t>
            </w:r>
            <w:r w:rsidRPr="00EB2BD8">
              <w:rPr>
                <w:rFonts w:ascii="Arial"/>
                <w:b/>
                <w:w w:val="105"/>
                <w:sz w:val="16"/>
              </w:rPr>
              <w:t>of</w:t>
            </w:r>
            <w:r w:rsidRPr="00EB2BD8">
              <w:rPr>
                <w:rFonts w:ascii="Arial"/>
                <w:b/>
                <w:spacing w:val="-6"/>
                <w:w w:val="105"/>
                <w:sz w:val="16"/>
              </w:rPr>
              <w:t xml:space="preserve"> </w:t>
            </w:r>
            <w:r w:rsidRPr="00EB2BD8">
              <w:rPr>
                <w:rFonts w:ascii="Arial"/>
                <w:b/>
                <w:w w:val="105"/>
                <w:sz w:val="16"/>
              </w:rPr>
              <w:t>the</w:t>
            </w:r>
            <w:r w:rsidRPr="00EB2BD8">
              <w:rPr>
                <w:rFonts w:ascii="Arial"/>
                <w:b/>
                <w:spacing w:val="-5"/>
                <w:w w:val="105"/>
                <w:sz w:val="16"/>
              </w:rPr>
              <w:t xml:space="preserve"> </w:t>
            </w:r>
            <w:r w:rsidRPr="00EB2BD8">
              <w:rPr>
                <w:rFonts w:ascii="Arial"/>
                <w:b/>
                <w:spacing w:val="-4"/>
                <w:w w:val="105"/>
                <w:sz w:val="16"/>
              </w:rPr>
              <w:t>year</w:t>
            </w:r>
          </w:p>
        </w:tc>
        <w:tc>
          <w:tcPr>
            <w:tcW w:w="1421" w:type="dxa"/>
            <w:shd w:val="clear" w:color="auto" w:fill="DEEAF6"/>
          </w:tcPr>
          <w:p w14:paraId="3414C57F" w14:textId="77777777" w:rsidR="00084F36" w:rsidRPr="00EB2BD8" w:rsidRDefault="00EB2BD8">
            <w:pPr>
              <w:pStyle w:val="TableParagraph"/>
              <w:spacing w:before="64"/>
              <w:ind w:right="241"/>
              <w:jc w:val="right"/>
              <w:rPr>
                <w:rFonts w:ascii="Arial"/>
                <w:b/>
                <w:sz w:val="16"/>
              </w:rPr>
            </w:pPr>
            <w:r w:rsidRPr="00EB2BD8">
              <w:rPr>
                <w:rFonts w:ascii="Arial"/>
                <w:b/>
                <w:spacing w:val="-2"/>
                <w:w w:val="105"/>
                <w:sz w:val="16"/>
              </w:rPr>
              <w:t>1,075</w:t>
            </w:r>
          </w:p>
        </w:tc>
        <w:tc>
          <w:tcPr>
            <w:tcW w:w="1338" w:type="dxa"/>
            <w:shd w:val="clear" w:color="auto" w:fill="DEEAF6"/>
          </w:tcPr>
          <w:p w14:paraId="1BE96B09" w14:textId="77777777" w:rsidR="00084F36" w:rsidRPr="00EB2BD8" w:rsidRDefault="00EB2BD8">
            <w:pPr>
              <w:pStyle w:val="TableParagraph"/>
              <w:spacing w:before="64"/>
              <w:ind w:right="124"/>
              <w:jc w:val="right"/>
              <w:rPr>
                <w:rFonts w:ascii="Arial"/>
                <w:b/>
                <w:sz w:val="16"/>
              </w:rPr>
            </w:pPr>
            <w:r w:rsidRPr="00EB2BD8">
              <w:rPr>
                <w:rFonts w:ascii="Arial"/>
                <w:b/>
                <w:spacing w:val="-4"/>
                <w:w w:val="105"/>
                <w:sz w:val="16"/>
              </w:rPr>
              <w:t>5,676</w:t>
            </w:r>
          </w:p>
        </w:tc>
        <w:tc>
          <w:tcPr>
            <w:tcW w:w="1721" w:type="dxa"/>
            <w:shd w:val="clear" w:color="auto" w:fill="DEEAF6"/>
          </w:tcPr>
          <w:p w14:paraId="64BC0033" w14:textId="77777777" w:rsidR="00084F36" w:rsidRPr="00EB2BD8" w:rsidRDefault="00EB2BD8">
            <w:pPr>
              <w:pStyle w:val="TableParagraph"/>
              <w:spacing w:before="64"/>
              <w:ind w:right="391"/>
              <w:jc w:val="right"/>
              <w:rPr>
                <w:rFonts w:ascii="Arial"/>
                <w:b/>
                <w:sz w:val="16"/>
              </w:rPr>
            </w:pPr>
            <w:r w:rsidRPr="00EB2BD8">
              <w:rPr>
                <w:rFonts w:ascii="Arial"/>
                <w:b/>
                <w:spacing w:val="-4"/>
                <w:w w:val="105"/>
                <w:sz w:val="16"/>
              </w:rPr>
              <w:t>2,409</w:t>
            </w:r>
          </w:p>
        </w:tc>
        <w:tc>
          <w:tcPr>
            <w:tcW w:w="1029" w:type="dxa"/>
            <w:shd w:val="clear" w:color="auto" w:fill="DEEAF6"/>
          </w:tcPr>
          <w:p w14:paraId="1B608CC1" w14:textId="77777777" w:rsidR="00084F36" w:rsidRPr="00EB2BD8" w:rsidRDefault="00EB2BD8">
            <w:pPr>
              <w:pStyle w:val="TableParagraph"/>
              <w:spacing w:before="64"/>
              <w:ind w:right="97"/>
              <w:jc w:val="right"/>
              <w:rPr>
                <w:rFonts w:ascii="Arial"/>
                <w:b/>
                <w:sz w:val="16"/>
              </w:rPr>
            </w:pPr>
            <w:r w:rsidRPr="00EB2BD8">
              <w:rPr>
                <w:rFonts w:ascii="Arial"/>
                <w:b/>
                <w:spacing w:val="-2"/>
                <w:w w:val="105"/>
                <w:sz w:val="16"/>
              </w:rPr>
              <w:t>9,160</w:t>
            </w:r>
          </w:p>
        </w:tc>
      </w:tr>
      <w:tr w:rsidR="00EB2BD8" w:rsidRPr="00EB2BD8" w14:paraId="689B3E5A" w14:textId="77777777">
        <w:trPr>
          <w:trHeight w:val="316"/>
        </w:trPr>
        <w:tc>
          <w:tcPr>
            <w:tcW w:w="3751" w:type="dxa"/>
            <w:shd w:val="clear" w:color="auto" w:fill="FFFFFF"/>
          </w:tcPr>
          <w:p w14:paraId="64D495AF" w14:textId="77777777" w:rsidR="00084F36" w:rsidRPr="00EB2BD8" w:rsidRDefault="00EB2BD8">
            <w:pPr>
              <w:pStyle w:val="TableParagraph"/>
              <w:spacing w:before="66"/>
              <w:ind w:left="105"/>
              <w:rPr>
                <w:rFonts w:ascii="Arial"/>
                <w:sz w:val="16"/>
              </w:rPr>
            </w:pPr>
            <w:r w:rsidRPr="00EB2BD8">
              <w:rPr>
                <w:rFonts w:ascii="Arial"/>
                <w:spacing w:val="-2"/>
                <w:w w:val="105"/>
                <w:sz w:val="16"/>
              </w:rPr>
              <w:t>Additions</w:t>
            </w:r>
          </w:p>
        </w:tc>
        <w:tc>
          <w:tcPr>
            <w:tcW w:w="1421" w:type="dxa"/>
            <w:shd w:val="clear" w:color="auto" w:fill="DEEAF6"/>
          </w:tcPr>
          <w:p w14:paraId="4A7F4A5E" w14:textId="77777777" w:rsidR="00084F36" w:rsidRPr="00EB2BD8" w:rsidRDefault="00EB2BD8">
            <w:pPr>
              <w:pStyle w:val="TableParagraph"/>
              <w:spacing w:before="66"/>
              <w:ind w:right="240"/>
              <w:jc w:val="right"/>
              <w:rPr>
                <w:rFonts w:ascii="Arial"/>
                <w:sz w:val="16"/>
              </w:rPr>
            </w:pPr>
            <w:r w:rsidRPr="00EB2BD8">
              <w:rPr>
                <w:rFonts w:ascii="Arial"/>
                <w:w w:val="104"/>
                <w:sz w:val="16"/>
              </w:rPr>
              <w:t>-</w:t>
            </w:r>
          </w:p>
        </w:tc>
        <w:tc>
          <w:tcPr>
            <w:tcW w:w="1338" w:type="dxa"/>
            <w:shd w:val="clear" w:color="auto" w:fill="DEEAF6"/>
          </w:tcPr>
          <w:p w14:paraId="1054D24A" w14:textId="77777777" w:rsidR="00084F36" w:rsidRPr="00EB2BD8" w:rsidRDefault="00EB2BD8">
            <w:pPr>
              <w:pStyle w:val="TableParagraph"/>
              <w:spacing w:before="66"/>
              <w:ind w:right="125"/>
              <w:jc w:val="right"/>
              <w:rPr>
                <w:rFonts w:ascii="Arial"/>
                <w:sz w:val="16"/>
              </w:rPr>
            </w:pPr>
            <w:r w:rsidRPr="00EB2BD8">
              <w:rPr>
                <w:rFonts w:ascii="Arial"/>
                <w:spacing w:val="-5"/>
                <w:w w:val="105"/>
                <w:sz w:val="16"/>
              </w:rPr>
              <w:t>141</w:t>
            </w:r>
          </w:p>
        </w:tc>
        <w:tc>
          <w:tcPr>
            <w:tcW w:w="1721" w:type="dxa"/>
            <w:shd w:val="clear" w:color="auto" w:fill="DEEAF6"/>
          </w:tcPr>
          <w:p w14:paraId="21142811" w14:textId="77777777" w:rsidR="00084F36" w:rsidRPr="00EB2BD8" w:rsidRDefault="00EB2BD8">
            <w:pPr>
              <w:pStyle w:val="TableParagraph"/>
              <w:spacing w:before="66"/>
              <w:ind w:right="391"/>
              <w:jc w:val="right"/>
              <w:rPr>
                <w:rFonts w:ascii="Arial"/>
                <w:sz w:val="16"/>
              </w:rPr>
            </w:pPr>
            <w:r w:rsidRPr="00EB2BD8">
              <w:rPr>
                <w:rFonts w:ascii="Arial"/>
                <w:spacing w:val="-4"/>
                <w:w w:val="105"/>
                <w:sz w:val="16"/>
              </w:rPr>
              <w:t>1,116</w:t>
            </w:r>
          </w:p>
        </w:tc>
        <w:tc>
          <w:tcPr>
            <w:tcW w:w="1029" w:type="dxa"/>
            <w:shd w:val="clear" w:color="auto" w:fill="DEEAF6"/>
          </w:tcPr>
          <w:p w14:paraId="1D51DD15" w14:textId="77777777" w:rsidR="00084F36" w:rsidRPr="00EB2BD8" w:rsidRDefault="00EB2BD8">
            <w:pPr>
              <w:pStyle w:val="TableParagraph"/>
              <w:spacing w:before="66"/>
              <w:ind w:right="97"/>
              <w:jc w:val="right"/>
              <w:rPr>
                <w:rFonts w:ascii="Arial"/>
                <w:sz w:val="16"/>
              </w:rPr>
            </w:pPr>
            <w:r w:rsidRPr="00EB2BD8">
              <w:rPr>
                <w:rFonts w:ascii="Arial"/>
                <w:spacing w:val="-4"/>
                <w:w w:val="105"/>
                <w:sz w:val="16"/>
              </w:rPr>
              <w:t>1,257</w:t>
            </w:r>
          </w:p>
        </w:tc>
      </w:tr>
      <w:tr w:rsidR="00EB2BD8" w:rsidRPr="00EB2BD8" w14:paraId="6C45471C" w14:textId="77777777">
        <w:trPr>
          <w:trHeight w:val="317"/>
        </w:trPr>
        <w:tc>
          <w:tcPr>
            <w:tcW w:w="3751" w:type="dxa"/>
            <w:shd w:val="clear" w:color="auto" w:fill="FFFFFF"/>
          </w:tcPr>
          <w:p w14:paraId="26B3E6BA" w14:textId="77777777" w:rsidR="00084F36" w:rsidRPr="00EB2BD8" w:rsidRDefault="00EB2BD8">
            <w:pPr>
              <w:pStyle w:val="TableParagraph"/>
              <w:spacing w:before="66"/>
              <w:ind w:left="105"/>
              <w:rPr>
                <w:rFonts w:ascii="Arial"/>
                <w:sz w:val="16"/>
              </w:rPr>
            </w:pPr>
            <w:r w:rsidRPr="00EB2BD8">
              <w:rPr>
                <w:rFonts w:ascii="Arial"/>
                <w:spacing w:val="-2"/>
                <w:w w:val="105"/>
                <w:sz w:val="16"/>
              </w:rPr>
              <w:t>Disposals/retirements</w:t>
            </w:r>
          </w:p>
        </w:tc>
        <w:tc>
          <w:tcPr>
            <w:tcW w:w="1421" w:type="dxa"/>
            <w:shd w:val="clear" w:color="auto" w:fill="DEEAF6"/>
          </w:tcPr>
          <w:p w14:paraId="5EA733DA" w14:textId="77777777" w:rsidR="00084F36" w:rsidRPr="00EB2BD8" w:rsidRDefault="00EB2BD8">
            <w:pPr>
              <w:pStyle w:val="TableParagraph"/>
              <w:spacing w:before="66"/>
              <w:ind w:right="240"/>
              <w:jc w:val="right"/>
              <w:rPr>
                <w:rFonts w:ascii="Arial"/>
                <w:sz w:val="16"/>
              </w:rPr>
            </w:pPr>
            <w:r w:rsidRPr="00EB2BD8">
              <w:rPr>
                <w:rFonts w:ascii="Arial"/>
                <w:w w:val="104"/>
                <w:sz w:val="16"/>
              </w:rPr>
              <w:t>-</w:t>
            </w:r>
          </w:p>
        </w:tc>
        <w:tc>
          <w:tcPr>
            <w:tcW w:w="1338" w:type="dxa"/>
            <w:shd w:val="clear" w:color="auto" w:fill="DEEAF6"/>
          </w:tcPr>
          <w:p w14:paraId="4F7D1A92" w14:textId="77777777" w:rsidR="00084F36" w:rsidRPr="00EB2BD8" w:rsidRDefault="00EB2BD8">
            <w:pPr>
              <w:pStyle w:val="TableParagraph"/>
              <w:spacing w:before="66"/>
              <w:ind w:right="124"/>
              <w:jc w:val="right"/>
              <w:rPr>
                <w:rFonts w:ascii="Arial"/>
                <w:sz w:val="16"/>
              </w:rPr>
            </w:pPr>
            <w:r w:rsidRPr="00EB2BD8">
              <w:rPr>
                <w:rFonts w:ascii="Arial"/>
                <w:w w:val="104"/>
                <w:sz w:val="16"/>
              </w:rPr>
              <w:t>-</w:t>
            </w:r>
          </w:p>
        </w:tc>
        <w:tc>
          <w:tcPr>
            <w:tcW w:w="1721" w:type="dxa"/>
            <w:shd w:val="clear" w:color="auto" w:fill="DEEAF6"/>
          </w:tcPr>
          <w:p w14:paraId="0D712DDB" w14:textId="77777777" w:rsidR="00084F36" w:rsidRPr="00EB2BD8" w:rsidRDefault="00EB2BD8">
            <w:pPr>
              <w:pStyle w:val="TableParagraph"/>
              <w:spacing w:before="66"/>
              <w:ind w:right="392"/>
              <w:jc w:val="right"/>
              <w:rPr>
                <w:rFonts w:ascii="Arial"/>
                <w:sz w:val="16"/>
              </w:rPr>
            </w:pPr>
            <w:r w:rsidRPr="00EB2BD8">
              <w:rPr>
                <w:rFonts w:ascii="Arial"/>
                <w:spacing w:val="-2"/>
                <w:w w:val="105"/>
                <w:sz w:val="16"/>
              </w:rPr>
              <w:t>(301)</w:t>
            </w:r>
          </w:p>
        </w:tc>
        <w:tc>
          <w:tcPr>
            <w:tcW w:w="1029" w:type="dxa"/>
            <w:shd w:val="clear" w:color="auto" w:fill="DEEAF6"/>
          </w:tcPr>
          <w:p w14:paraId="49F8E3BB" w14:textId="77777777" w:rsidR="00084F36" w:rsidRPr="00EB2BD8" w:rsidRDefault="00EB2BD8">
            <w:pPr>
              <w:pStyle w:val="TableParagraph"/>
              <w:spacing w:before="66"/>
              <w:ind w:right="97"/>
              <w:jc w:val="right"/>
              <w:rPr>
                <w:rFonts w:ascii="Arial"/>
                <w:sz w:val="16"/>
              </w:rPr>
            </w:pPr>
            <w:r w:rsidRPr="00EB2BD8">
              <w:rPr>
                <w:rFonts w:ascii="Arial"/>
                <w:spacing w:val="-2"/>
                <w:w w:val="105"/>
                <w:sz w:val="16"/>
              </w:rPr>
              <w:t>(301)</w:t>
            </w:r>
          </w:p>
        </w:tc>
      </w:tr>
      <w:tr w:rsidR="00EB2BD8" w:rsidRPr="00EB2BD8" w14:paraId="7CA758AA" w14:textId="77777777">
        <w:trPr>
          <w:trHeight w:val="317"/>
        </w:trPr>
        <w:tc>
          <w:tcPr>
            <w:tcW w:w="3751" w:type="dxa"/>
            <w:shd w:val="clear" w:color="auto" w:fill="FFFFFF"/>
          </w:tcPr>
          <w:p w14:paraId="38C5F6A2" w14:textId="77777777" w:rsidR="00084F36" w:rsidRPr="00EB2BD8" w:rsidRDefault="00EB2BD8">
            <w:pPr>
              <w:pStyle w:val="TableParagraph"/>
              <w:spacing w:before="54"/>
              <w:ind w:left="105"/>
              <w:rPr>
                <w:rFonts w:ascii="Arial"/>
                <w:sz w:val="11"/>
              </w:rPr>
            </w:pPr>
            <w:r w:rsidRPr="00EB2BD8">
              <w:rPr>
                <w:rFonts w:ascii="Arial"/>
                <w:spacing w:val="-2"/>
                <w:w w:val="105"/>
                <w:sz w:val="16"/>
              </w:rPr>
              <w:t>Revaluations</w:t>
            </w:r>
            <w:r w:rsidRPr="00EB2BD8">
              <w:rPr>
                <w:rFonts w:ascii="Arial"/>
                <w:spacing w:val="-2"/>
                <w:w w:val="105"/>
                <w:position w:val="6"/>
                <w:sz w:val="11"/>
              </w:rPr>
              <w:t>(a)</w:t>
            </w:r>
          </w:p>
        </w:tc>
        <w:tc>
          <w:tcPr>
            <w:tcW w:w="1421" w:type="dxa"/>
            <w:shd w:val="clear" w:color="auto" w:fill="DEEAF6"/>
          </w:tcPr>
          <w:p w14:paraId="1D936943" w14:textId="77777777" w:rsidR="00084F36" w:rsidRPr="00EB2BD8" w:rsidRDefault="00EB2BD8">
            <w:pPr>
              <w:pStyle w:val="TableParagraph"/>
              <w:spacing w:before="67"/>
              <w:ind w:right="240"/>
              <w:jc w:val="right"/>
              <w:rPr>
                <w:rFonts w:ascii="Arial"/>
                <w:sz w:val="16"/>
              </w:rPr>
            </w:pPr>
            <w:r w:rsidRPr="00EB2BD8">
              <w:rPr>
                <w:rFonts w:ascii="Arial"/>
                <w:w w:val="104"/>
                <w:sz w:val="16"/>
              </w:rPr>
              <w:t>-</w:t>
            </w:r>
          </w:p>
        </w:tc>
        <w:tc>
          <w:tcPr>
            <w:tcW w:w="1338" w:type="dxa"/>
            <w:shd w:val="clear" w:color="auto" w:fill="DEEAF6"/>
          </w:tcPr>
          <w:p w14:paraId="3B3A02F6" w14:textId="77777777" w:rsidR="00084F36" w:rsidRPr="00EB2BD8" w:rsidRDefault="00EB2BD8">
            <w:pPr>
              <w:pStyle w:val="TableParagraph"/>
              <w:spacing w:before="67"/>
              <w:ind w:right="124"/>
              <w:jc w:val="right"/>
              <w:rPr>
                <w:rFonts w:ascii="Arial"/>
                <w:sz w:val="16"/>
              </w:rPr>
            </w:pPr>
            <w:r w:rsidRPr="00EB2BD8">
              <w:rPr>
                <w:rFonts w:ascii="Arial"/>
                <w:w w:val="104"/>
                <w:sz w:val="16"/>
              </w:rPr>
              <w:t>-</w:t>
            </w:r>
          </w:p>
        </w:tc>
        <w:tc>
          <w:tcPr>
            <w:tcW w:w="1721" w:type="dxa"/>
            <w:shd w:val="clear" w:color="auto" w:fill="DEEAF6"/>
          </w:tcPr>
          <w:p w14:paraId="3B90661E" w14:textId="77777777" w:rsidR="00084F36" w:rsidRPr="00EB2BD8" w:rsidRDefault="00EB2BD8">
            <w:pPr>
              <w:pStyle w:val="TableParagraph"/>
              <w:spacing w:before="67"/>
              <w:ind w:right="390"/>
              <w:jc w:val="right"/>
              <w:rPr>
                <w:rFonts w:ascii="Arial"/>
                <w:sz w:val="16"/>
              </w:rPr>
            </w:pPr>
            <w:r w:rsidRPr="00EB2BD8">
              <w:rPr>
                <w:rFonts w:ascii="Arial"/>
                <w:w w:val="104"/>
                <w:sz w:val="16"/>
              </w:rPr>
              <w:t>-</w:t>
            </w:r>
          </w:p>
        </w:tc>
        <w:tc>
          <w:tcPr>
            <w:tcW w:w="1029" w:type="dxa"/>
            <w:shd w:val="clear" w:color="auto" w:fill="DEEAF6"/>
          </w:tcPr>
          <w:p w14:paraId="2DAA6311" w14:textId="77777777" w:rsidR="00084F36" w:rsidRPr="00EB2BD8" w:rsidRDefault="00EB2BD8">
            <w:pPr>
              <w:pStyle w:val="TableParagraph"/>
              <w:spacing w:before="67"/>
              <w:ind w:right="96"/>
              <w:jc w:val="right"/>
              <w:rPr>
                <w:rFonts w:ascii="Arial"/>
                <w:sz w:val="16"/>
              </w:rPr>
            </w:pPr>
            <w:r w:rsidRPr="00EB2BD8">
              <w:rPr>
                <w:rFonts w:ascii="Arial"/>
                <w:w w:val="104"/>
                <w:sz w:val="16"/>
              </w:rPr>
              <w:t>-</w:t>
            </w:r>
          </w:p>
        </w:tc>
      </w:tr>
      <w:tr w:rsidR="00EB2BD8" w:rsidRPr="00EB2BD8" w14:paraId="741ED4AD" w14:textId="77777777">
        <w:trPr>
          <w:trHeight w:val="314"/>
        </w:trPr>
        <w:tc>
          <w:tcPr>
            <w:tcW w:w="3751" w:type="dxa"/>
            <w:tcBorders>
              <w:bottom w:val="single" w:sz="12" w:space="0" w:color="000000"/>
            </w:tcBorders>
            <w:shd w:val="clear" w:color="auto" w:fill="FFFFFF"/>
          </w:tcPr>
          <w:p w14:paraId="3B017BA0" w14:textId="77777777" w:rsidR="00084F36" w:rsidRPr="00EB2BD8" w:rsidRDefault="00EB2BD8">
            <w:pPr>
              <w:pStyle w:val="TableParagraph"/>
              <w:spacing w:before="66"/>
              <w:ind w:left="105"/>
              <w:rPr>
                <w:rFonts w:ascii="Arial"/>
                <w:sz w:val="16"/>
              </w:rPr>
            </w:pPr>
            <w:r w:rsidRPr="00EB2BD8">
              <w:rPr>
                <w:rFonts w:ascii="Arial"/>
                <w:spacing w:val="-2"/>
                <w:w w:val="105"/>
                <w:sz w:val="16"/>
              </w:rPr>
              <w:t>Depreciation</w:t>
            </w:r>
          </w:p>
        </w:tc>
        <w:tc>
          <w:tcPr>
            <w:tcW w:w="1421" w:type="dxa"/>
            <w:tcBorders>
              <w:bottom w:val="single" w:sz="12" w:space="0" w:color="000000"/>
            </w:tcBorders>
            <w:shd w:val="clear" w:color="auto" w:fill="DEEAF6"/>
          </w:tcPr>
          <w:p w14:paraId="42F08B5B" w14:textId="77777777" w:rsidR="00084F36" w:rsidRPr="00EB2BD8" w:rsidRDefault="00EB2BD8">
            <w:pPr>
              <w:pStyle w:val="TableParagraph"/>
              <w:spacing w:before="66"/>
              <w:ind w:right="240"/>
              <w:jc w:val="right"/>
              <w:rPr>
                <w:rFonts w:ascii="Arial"/>
                <w:sz w:val="16"/>
              </w:rPr>
            </w:pPr>
            <w:r w:rsidRPr="00EB2BD8">
              <w:rPr>
                <w:rFonts w:ascii="Arial"/>
                <w:w w:val="104"/>
                <w:sz w:val="16"/>
              </w:rPr>
              <w:t>-</w:t>
            </w:r>
          </w:p>
        </w:tc>
        <w:tc>
          <w:tcPr>
            <w:tcW w:w="1338" w:type="dxa"/>
            <w:tcBorders>
              <w:bottom w:val="single" w:sz="12" w:space="0" w:color="000000"/>
            </w:tcBorders>
            <w:shd w:val="clear" w:color="auto" w:fill="DEEAF6"/>
          </w:tcPr>
          <w:p w14:paraId="211F00EC" w14:textId="77777777" w:rsidR="00084F36" w:rsidRPr="00EB2BD8" w:rsidRDefault="00EB2BD8">
            <w:pPr>
              <w:pStyle w:val="TableParagraph"/>
              <w:spacing w:before="66"/>
              <w:ind w:right="125"/>
              <w:jc w:val="right"/>
              <w:rPr>
                <w:rFonts w:ascii="Arial"/>
                <w:sz w:val="16"/>
              </w:rPr>
            </w:pPr>
            <w:r w:rsidRPr="00EB2BD8">
              <w:rPr>
                <w:rFonts w:ascii="Arial"/>
                <w:spacing w:val="-2"/>
                <w:w w:val="105"/>
                <w:sz w:val="16"/>
              </w:rPr>
              <w:t>(2,087)</w:t>
            </w:r>
          </w:p>
        </w:tc>
        <w:tc>
          <w:tcPr>
            <w:tcW w:w="1721" w:type="dxa"/>
            <w:tcBorders>
              <w:bottom w:val="single" w:sz="12" w:space="0" w:color="000000"/>
            </w:tcBorders>
            <w:shd w:val="clear" w:color="auto" w:fill="DEEAF6"/>
          </w:tcPr>
          <w:p w14:paraId="3D730F90" w14:textId="77777777" w:rsidR="00084F36" w:rsidRPr="00EB2BD8" w:rsidRDefault="00EB2BD8">
            <w:pPr>
              <w:pStyle w:val="TableParagraph"/>
              <w:spacing w:before="66"/>
              <w:ind w:right="392"/>
              <w:jc w:val="right"/>
              <w:rPr>
                <w:rFonts w:ascii="Arial"/>
                <w:sz w:val="16"/>
              </w:rPr>
            </w:pPr>
            <w:r w:rsidRPr="00EB2BD8">
              <w:rPr>
                <w:rFonts w:ascii="Arial"/>
                <w:spacing w:val="-2"/>
                <w:w w:val="105"/>
                <w:sz w:val="16"/>
              </w:rPr>
              <w:t>(720)</w:t>
            </w:r>
          </w:p>
        </w:tc>
        <w:tc>
          <w:tcPr>
            <w:tcW w:w="1029" w:type="dxa"/>
            <w:tcBorders>
              <w:bottom w:val="single" w:sz="12" w:space="0" w:color="000000"/>
            </w:tcBorders>
            <w:shd w:val="clear" w:color="auto" w:fill="DEEAF6"/>
          </w:tcPr>
          <w:p w14:paraId="0228D923" w14:textId="77777777" w:rsidR="00084F36" w:rsidRPr="00EB2BD8" w:rsidRDefault="00EB2BD8">
            <w:pPr>
              <w:pStyle w:val="TableParagraph"/>
              <w:spacing w:before="66"/>
              <w:ind w:right="98"/>
              <w:jc w:val="right"/>
              <w:rPr>
                <w:rFonts w:ascii="Arial"/>
                <w:sz w:val="16"/>
              </w:rPr>
            </w:pPr>
            <w:r w:rsidRPr="00EB2BD8">
              <w:rPr>
                <w:rFonts w:ascii="Arial"/>
                <w:spacing w:val="-2"/>
                <w:w w:val="105"/>
                <w:sz w:val="16"/>
              </w:rPr>
              <w:t>(2,807)</w:t>
            </w:r>
          </w:p>
        </w:tc>
      </w:tr>
      <w:tr w:rsidR="00EB2BD8" w:rsidRPr="00EB2BD8" w14:paraId="113E655C" w14:textId="77777777">
        <w:trPr>
          <w:trHeight w:val="286"/>
        </w:trPr>
        <w:tc>
          <w:tcPr>
            <w:tcW w:w="3751" w:type="dxa"/>
            <w:tcBorders>
              <w:top w:val="single" w:sz="12" w:space="0" w:color="000000"/>
              <w:bottom w:val="single" w:sz="12" w:space="0" w:color="000000"/>
            </w:tcBorders>
            <w:shd w:val="clear" w:color="auto" w:fill="FFFFFF"/>
          </w:tcPr>
          <w:p w14:paraId="5DD1DD32" w14:textId="77777777" w:rsidR="00084F36" w:rsidRPr="00EB2BD8" w:rsidRDefault="00EB2BD8">
            <w:pPr>
              <w:pStyle w:val="TableParagraph"/>
              <w:spacing w:before="53"/>
              <w:ind w:left="105"/>
              <w:rPr>
                <w:rFonts w:ascii="Arial"/>
                <w:b/>
                <w:sz w:val="16"/>
              </w:rPr>
            </w:pPr>
            <w:r w:rsidRPr="00EB2BD8">
              <w:rPr>
                <w:rFonts w:ascii="Arial"/>
                <w:b/>
                <w:w w:val="105"/>
                <w:sz w:val="16"/>
              </w:rPr>
              <w:t>Balance</w:t>
            </w:r>
            <w:r w:rsidRPr="00EB2BD8">
              <w:rPr>
                <w:rFonts w:ascii="Arial"/>
                <w:b/>
                <w:spacing w:val="-4"/>
                <w:w w:val="105"/>
                <w:sz w:val="16"/>
              </w:rPr>
              <w:t xml:space="preserve"> </w:t>
            </w:r>
            <w:r w:rsidRPr="00EB2BD8">
              <w:rPr>
                <w:rFonts w:ascii="Arial"/>
                <w:b/>
                <w:w w:val="105"/>
                <w:sz w:val="16"/>
              </w:rPr>
              <w:t>at</w:t>
            </w:r>
            <w:r w:rsidRPr="00EB2BD8">
              <w:rPr>
                <w:rFonts w:ascii="Arial"/>
                <w:b/>
                <w:spacing w:val="-5"/>
                <w:w w:val="105"/>
                <w:sz w:val="16"/>
              </w:rPr>
              <w:t xml:space="preserve"> </w:t>
            </w:r>
            <w:r w:rsidRPr="00EB2BD8">
              <w:rPr>
                <w:rFonts w:ascii="Arial"/>
                <w:b/>
                <w:w w:val="105"/>
                <w:sz w:val="16"/>
              </w:rPr>
              <w:t>the</w:t>
            </w:r>
            <w:r w:rsidRPr="00EB2BD8">
              <w:rPr>
                <w:rFonts w:ascii="Arial"/>
                <w:b/>
                <w:spacing w:val="-3"/>
                <w:w w:val="105"/>
                <w:sz w:val="16"/>
              </w:rPr>
              <w:t xml:space="preserve"> </w:t>
            </w:r>
            <w:r w:rsidRPr="00EB2BD8">
              <w:rPr>
                <w:rFonts w:ascii="Arial"/>
                <w:b/>
                <w:w w:val="105"/>
                <w:sz w:val="16"/>
              </w:rPr>
              <w:t>end</w:t>
            </w:r>
            <w:r w:rsidRPr="00EB2BD8">
              <w:rPr>
                <w:rFonts w:ascii="Arial"/>
                <w:b/>
                <w:spacing w:val="-4"/>
                <w:w w:val="105"/>
                <w:sz w:val="16"/>
              </w:rPr>
              <w:t xml:space="preserve"> </w:t>
            </w:r>
            <w:r w:rsidRPr="00EB2BD8">
              <w:rPr>
                <w:rFonts w:ascii="Arial"/>
                <w:b/>
                <w:w w:val="105"/>
                <w:sz w:val="16"/>
              </w:rPr>
              <w:t>of</w:t>
            </w:r>
            <w:r w:rsidRPr="00EB2BD8">
              <w:rPr>
                <w:rFonts w:ascii="Arial"/>
                <w:b/>
                <w:spacing w:val="-5"/>
                <w:w w:val="105"/>
                <w:sz w:val="16"/>
              </w:rPr>
              <w:t xml:space="preserve"> </w:t>
            </w:r>
            <w:r w:rsidRPr="00EB2BD8">
              <w:rPr>
                <w:rFonts w:ascii="Arial"/>
                <w:b/>
                <w:w w:val="105"/>
                <w:sz w:val="16"/>
              </w:rPr>
              <w:t>the</w:t>
            </w:r>
            <w:r w:rsidRPr="00EB2BD8">
              <w:rPr>
                <w:rFonts w:ascii="Arial"/>
                <w:b/>
                <w:spacing w:val="-4"/>
                <w:w w:val="105"/>
                <w:sz w:val="16"/>
              </w:rPr>
              <w:t xml:space="preserve"> year</w:t>
            </w:r>
          </w:p>
        </w:tc>
        <w:tc>
          <w:tcPr>
            <w:tcW w:w="1421" w:type="dxa"/>
            <w:tcBorders>
              <w:top w:val="single" w:sz="12" w:space="0" w:color="000000"/>
              <w:bottom w:val="single" w:sz="12" w:space="0" w:color="000000"/>
            </w:tcBorders>
            <w:shd w:val="clear" w:color="auto" w:fill="DEEAF6"/>
          </w:tcPr>
          <w:p w14:paraId="571FAABE" w14:textId="77777777" w:rsidR="00084F36" w:rsidRPr="00EB2BD8" w:rsidRDefault="00EB2BD8">
            <w:pPr>
              <w:pStyle w:val="TableParagraph"/>
              <w:spacing w:before="54"/>
              <w:ind w:right="241"/>
              <w:jc w:val="right"/>
              <w:rPr>
                <w:rFonts w:ascii="Arial"/>
                <w:b/>
                <w:sz w:val="16"/>
              </w:rPr>
            </w:pPr>
            <w:r w:rsidRPr="00EB2BD8">
              <w:rPr>
                <w:rFonts w:ascii="Arial"/>
                <w:b/>
                <w:spacing w:val="-2"/>
                <w:w w:val="105"/>
                <w:sz w:val="16"/>
              </w:rPr>
              <w:t>1,075</w:t>
            </w:r>
          </w:p>
        </w:tc>
        <w:tc>
          <w:tcPr>
            <w:tcW w:w="1338" w:type="dxa"/>
            <w:tcBorders>
              <w:top w:val="single" w:sz="12" w:space="0" w:color="000000"/>
              <w:bottom w:val="single" w:sz="12" w:space="0" w:color="000000"/>
            </w:tcBorders>
            <w:shd w:val="clear" w:color="auto" w:fill="DEEAF6"/>
          </w:tcPr>
          <w:p w14:paraId="74E62438" w14:textId="77777777" w:rsidR="00084F36" w:rsidRPr="00EB2BD8" w:rsidRDefault="00EB2BD8">
            <w:pPr>
              <w:pStyle w:val="TableParagraph"/>
              <w:spacing w:before="54"/>
              <w:ind w:right="125"/>
              <w:jc w:val="right"/>
              <w:rPr>
                <w:rFonts w:ascii="Arial"/>
                <w:b/>
                <w:sz w:val="16"/>
              </w:rPr>
            </w:pPr>
            <w:r w:rsidRPr="00EB2BD8">
              <w:rPr>
                <w:rFonts w:ascii="Arial"/>
                <w:b/>
                <w:spacing w:val="-2"/>
                <w:w w:val="105"/>
                <w:sz w:val="16"/>
              </w:rPr>
              <w:t>3,730</w:t>
            </w:r>
          </w:p>
        </w:tc>
        <w:tc>
          <w:tcPr>
            <w:tcW w:w="1721" w:type="dxa"/>
            <w:tcBorders>
              <w:top w:val="single" w:sz="12" w:space="0" w:color="000000"/>
              <w:bottom w:val="single" w:sz="12" w:space="0" w:color="000000"/>
            </w:tcBorders>
            <w:shd w:val="clear" w:color="auto" w:fill="DEEAF6"/>
          </w:tcPr>
          <w:p w14:paraId="3C087972" w14:textId="77777777" w:rsidR="00084F36" w:rsidRPr="00EB2BD8" w:rsidRDefault="00EB2BD8">
            <w:pPr>
              <w:pStyle w:val="TableParagraph"/>
              <w:spacing w:before="54"/>
              <w:ind w:right="391"/>
              <w:jc w:val="right"/>
              <w:rPr>
                <w:rFonts w:ascii="Arial"/>
                <w:b/>
                <w:sz w:val="16"/>
              </w:rPr>
            </w:pPr>
            <w:r w:rsidRPr="00EB2BD8">
              <w:rPr>
                <w:rFonts w:ascii="Arial"/>
                <w:b/>
                <w:spacing w:val="-4"/>
                <w:w w:val="105"/>
                <w:sz w:val="16"/>
              </w:rPr>
              <w:t>2,504</w:t>
            </w:r>
          </w:p>
        </w:tc>
        <w:tc>
          <w:tcPr>
            <w:tcW w:w="1029" w:type="dxa"/>
            <w:tcBorders>
              <w:top w:val="single" w:sz="12" w:space="0" w:color="000000"/>
              <w:bottom w:val="single" w:sz="12" w:space="0" w:color="000000"/>
            </w:tcBorders>
            <w:shd w:val="clear" w:color="auto" w:fill="DEEAF6"/>
          </w:tcPr>
          <w:p w14:paraId="2C27E30E" w14:textId="77777777" w:rsidR="00084F36" w:rsidRPr="00EB2BD8" w:rsidRDefault="00EB2BD8">
            <w:pPr>
              <w:pStyle w:val="TableParagraph"/>
              <w:spacing w:before="54"/>
              <w:ind w:right="97"/>
              <w:jc w:val="right"/>
              <w:rPr>
                <w:rFonts w:ascii="Arial"/>
                <w:b/>
                <w:sz w:val="16"/>
              </w:rPr>
            </w:pPr>
            <w:r w:rsidRPr="00EB2BD8">
              <w:rPr>
                <w:rFonts w:ascii="Arial"/>
                <w:b/>
                <w:spacing w:val="-2"/>
                <w:w w:val="105"/>
                <w:sz w:val="16"/>
              </w:rPr>
              <w:t>7,309</w:t>
            </w:r>
          </w:p>
        </w:tc>
      </w:tr>
    </w:tbl>
    <w:p w14:paraId="21C322A9" w14:textId="77777777" w:rsidR="00084F36" w:rsidRPr="00EB2BD8" w:rsidRDefault="00084F36">
      <w:pPr>
        <w:pStyle w:val="BodyText"/>
        <w:rPr>
          <w:rFonts w:ascii="Arial"/>
          <w:b/>
          <w:sz w:val="20"/>
        </w:rPr>
      </w:pPr>
    </w:p>
    <w:p w14:paraId="561575A0" w14:textId="77777777" w:rsidR="00084F36" w:rsidRPr="00EB2BD8" w:rsidRDefault="00084F36">
      <w:pPr>
        <w:pStyle w:val="BodyText"/>
        <w:rPr>
          <w:rFonts w:ascii="Arial"/>
          <w:b/>
          <w:sz w:val="12"/>
        </w:rPr>
      </w:pPr>
    </w:p>
    <w:tbl>
      <w:tblPr>
        <w:tblW w:w="0" w:type="auto"/>
        <w:tblInd w:w="1060" w:type="dxa"/>
        <w:tblLayout w:type="fixed"/>
        <w:tblCellMar>
          <w:left w:w="0" w:type="dxa"/>
          <w:right w:w="0" w:type="dxa"/>
        </w:tblCellMar>
        <w:tblLook w:val="01E0" w:firstRow="1" w:lastRow="1" w:firstColumn="1" w:lastColumn="1" w:noHBand="0" w:noVBand="0"/>
      </w:tblPr>
      <w:tblGrid>
        <w:gridCol w:w="3750"/>
        <w:gridCol w:w="1644"/>
        <w:gridCol w:w="1454"/>
        <w:gridCol w:w="1390"/>
        <w:gridCol w:w="1028"/>
      </w:tblGrid>
      <w:tr w:rsidR="00EB2BD8" w:rsidRPr="00EB2BD8" w14:paraId="6180AD76" w14:textId="77777777">
        <w:trPr>
          <w:trHeight w:val="569"/>
        </w:trPr>
        <w:tc>
          <w:tcPr>
            <w:tcW w:w="3750" w:type="dxa"/>
            <w:shd w:val="clear" w:color="auto" w:fill="FFFFFF"/>
          </w:tcPr>
          <w:p w14:paraId="104E58DD" w14:textId="77777777" w:rsidR="00084F36" w:rsidRPr="00EB2BD8" w:rsidRDefault="00EB2BD8">
            <w:pPr>
              <w:pStyle w:val="TableParagraph"/>
              <w:spacing w:before="2"/>
              <w:ind w:left="107"/>
              <w:rPr>
                <w:rFonts w:ascii="Arial"/>
                <w:b/>
                <w:sz w:val="16"/>
              </w:rPr>
            </w:pPr>
            <w:r w:rsidRPr="00EB2BD8">
              <w:rPr>
                <w:rFonts w:ascii="Arial"/>
                <w:b/>
                <w:spacing w:val="-4"/>
                <w:w w:val="105"/>
                <w:sz w:val="16"/>
              </w:rPr>
              <w:t>2022</w:t>
            </w:r>
          </w:p>
          <w:p w14:paraId="28B3D2AE" w14:textId="77777777" w:rsidR="00084F36" w:rsidRPr="00EB2BD8" w:rsidRDefault="00EB2BD8">
            <w:pPr>
              <w:pStyle w:val="TableParagraph"/>
              <w:spacing w:before="133"/>
              <w:ind w:left="107"/>
              <w:rPr>
                <w:rFonts w:ascii="Arial"/>
                <w:b/>
                <w:sz w:val="16"/>
              </w:rPr>
            </w:pPr>
            <w:r w:rsidRPr="00EB2BD8">
              <w:rPr>
                <w:rFonts w:ascii="Arial"/>
                <w:b/>
                <w:w w:val="105"/>
                <w:sz w:val="16"/>
              </w:rPr>
              <w:t>Balance</w:t>
            </w:r>
            <w:r w:rsidRPr="00EB2BD8">
              <w:rPr>
                <w:rFonts w:ascii="Arial"/>
                <w:b/>
                <w:spacing w:val="-6"/>
                <w:w w:val="105"/>
                <w:sz w:val="16"/>
              </w:rPr>
              <w:t xml:space="preserve"> </w:t>
            </w:r>
            <w:r w:rsidRPr="00EB2BD8">
              <w:rPr>
                <w:rFonts w:ascii="Arial"/>
                <w:b/>
                <w:w w:val="105"/>
                <w:sz w:val="16"/>
              </w:rPr>
              <w:t>at</w:t>
            </w:r>
            <w:r w:rsidRPr="00EB2BD8">
              <w:rPr>
                <w:rFonts w:ascii="Arial"/>
                <w:b/>
                <w:spacing w:val="-5"/>
                <w:w w:val="105"/>
                <w:sz w:val="16"/>
              </w:rPr>
              <w:t xml:space="preserve"> </w:t>
            </w:r>
            <w:r w:rsidRPr="00EB2BD8">
              <w:rPr>
                <w:rFonts w:ascii="Arial"/>
                <w:b/>
                <w:w w:val="105"/>
                <w:sz w:val="16"/>
              </w:rPr>
              <w:t>the</w:t>
            </w:r>
            <w:r w:rsidRPr="00EB2BD8">
              <w:rPr>
                <w:rFonts w:ascii="Arial"/>
                <w:b/>
                <w:spacing w:val="-4"/>
                <w:w w:val="105"/>
                <w:sz w:val="16"/>
              </w:rPr>
              <w:t xml:space="preserve"> </w:t>
            </w:r>
            <w:r w:rsidRPr="00EB2BD8">
              <w:rPr>
                <w:rFonts w:ascii="Arial"/>
                <w:b/>
                <w:w w:val="105"/>
                <w:sz w:val="16"/>
              </w:rPr>
              <w:t>beginning</w:t>
            </w:r>
            <w:r w:rsidRPr="00EB2BD8">
              <w:rPr>
                <w:rFonts w:ascii="Arial"/>
                <w:b/>
                <w:spacing w:val="-6"/>
                <w:w w:val="105"/>
                <w:sz w:val="16"/>
              </w:rPr>
              <w:t xml:space="preserve"> </w:t>
            </w:r>
            <w:r w:rsidRPr="00EB2BD8">
              <w:rPr>
                <w:rFonts w:ascii="Arial"/>
                <w:b/>
                <w:w w:val="105"/>
                <w:sz w:val="16"/>
              </w:rPr>
              <w:t>of</w:t>
            </w:r>
            <w:r w:rsidRPr="00EB2BD8">
              <w:rPr>
                <w:rFonts w:ascii="Arial"/>
                <w:b/>
                <w:spacing w:val="-6"/>
                <w:w w:val="105"/>
                <w:sz w:val="16"/>
              </w:rPr>
              <w:t xml:space="preserve"> </w:t>
            </w:r>
            <w:r w:rsidRPr="00EB2BD8">
              <w:rPr>
                <w:rFonts w:ascii="Arial"/>
                <w:b/>
                <w:w w:val="105"/>
                <w:sz w:val="16"/>
              </w:rPr>
              <w:t>the</w:t>
            </w:r>
            <w:r w:rsidRPr="00EB2BD8">
              <w:rPr>
                <w:rFonts w:ascii="Arial"/>
                <w:b/>
                <w:spacing w:val="-5"/>
                <w:w w:val="105"/>
                <w:sz w:val="16"/>
              </w:rPr>
              <w:t xml:space="preserve"> </w:t>
            </w:r>
            <w:r w:rsidRPr="00EB2BD8">
              <w:rPr>
                <w:rFonts w:ascii="Arial"/>
                <w:b/>
                <w:spacing w:val="-4"/>
                <w:w w:val="105"/>
                <w:sz w:val="16"/>
              </w:rPr>
              <w:t>year</w:t>
            </w:r>
          </w:p>
        </w:tc>
        <w:tc>
          <w:tcPr>
            <w:tcW w:w="1644" w:type="dxa"/>
            <w:shd w:val="clear" w:color="auto" w:fill="FFFFFF"/>
          </w:tcPr>
          <w:p w14:paraId="15A62020" w14:textId="77777777" w:rsidR="00084F36" w:rsidRPr="00EB2BD8" w:rsidRDefault="00084F36">
            <w:pPr>
              <w:pStyle w:val="TableParagraph"/>
              <w:rPr>
                <w:rFonts w:ascii="Arial"/>
                <w:b/>
                <w:sz w:val="18"/>
              </w:rPr>
            </w:pPr>
          </w:p>
          <w:p w14:paraId="212B26F8" w14:textId="77777777" w:rsidR="00084F36" w:rsidRPr="00EB2BD8" w:rsidRDefault="00EB2BD8">
            <w:pPr>
              <w:pStyle w:val="TableParagraph"/>
              <w:spacing w:before="112"/>
              <w:ind w:right="461"/>
              <w:jc w:val="right"/>
              <w:rPr>
                <w:rFonts w:ascii="Arial"/>
                <w:b/>
                <w:sz w:val="16"/>
              </w:rPr>
            </w:pPr>
            <w:r w:rsidRPr="00EB2BD8">
              <w:rPr>
                <w:rFonts w:ascii="Arial"/>
                <w:b/>
                <w:spacing w:val="-5"/>
                <w:w w:val="105"/>
                <w:sz w:val="16"/>
              </w:rPr>
              <w:t>910</w:t>
            </w:r>
          </w:p>
        </w:tc>
        <w:tc>
          <w:tcPr>
            <w:tcW w:w="1454" w:type="dxa"/>
            <w:shd w:val="clear" w:color="auto" w:fill="FFFFFF"/>
          </w:tcPr>
          <w:p w14:paraId="0F82CC8B" w14:textId="77777777" w:rsidR="00084F36" w:rsidRPr="00EB2BD8" w:rsidRDefault="00084F36">
            <w:pPr>
              <w:pStyle w:val="TableParagraph"/>
              <w:rPr>
                <w:rFonts w:ascii="Arial"/>
                <w:b/>
                <w:sz w:val="18"/>
              </w:rPr>
            </w:pPr>
          </w:p>
          <w:p w14:paraId="27ED98CF" w14:textId="77777777" w:rsidR="00084F36" w:rsidRPr="00EB2BD8" w:rsidRDefault="00EB2BD8">
            <w:pPr>
              <w:pStyle w:val="TableParagraph"/>
              <w:spacing w:before="112"/>
              <w:ind w:right="461"/>
              <w:jc w:val="right"/>
              <w:rPr>
                <w:rFonts w:ascii="Arial"/>
                <w:b/>
                <w:sz w:val="16"/>
              </w:rPr>
            </w:pPr>
            <w:r w:rsidRPr="00EB2BD8">
              <w:rPr>
                <w:rFonts w:ascii="Arial"/>
                <w:b/>
                <w:spacing w:val="-2"/>
                <w:w w:val="105"/>
                <w:sz w:val="16"/>
              </w:rPr>
              <w:t>6,880</w:t>
            </w:r>
          </w:p>
        </w:tc>
        <w:tc>
          <w:tcPr>
            <w:tcW w:w="1390" w:type="dxa"/>
            <w:shd w:val="clear" w:color="auto" w:fill="FFFFFF"/>
          </w:tcPr>
          <w:p w14:paraId="610C0C66" w14:textId="77777777" w:rsidR="00084F36" w:rsidRPr="00EB2BD8" w:rsidRDefault="00084F36">
            <w:pPr>
              <w:pStyle w:val="TableParagraph"/>
              <w:rPr>
                <w:rFonts w:ascii="Arial"/>
                <w:b/>
                <w:sz w:val="18"/>
              </w:rPr>
            </w:pPr>
          </w:p>
          <w:p w14:paraId="26447EAC" w14:textId="77777777" w:rsidR="00084F36" w:rsidRPr="00EB2BD8" w:rsidRDefault="00EB2BD8">
            <w:pPr>
              <w:pStyle w:val="TableParagraph"/>
              <w:spacing w:before="112"/>
              <w:ind w:right="396"/>
              <w:jc w:val="right"/>
              <w:rPr>
                <w:rFonts w:ascii="Arial"/>
                <w:b/>
                <w:sz w:val="16"/>
              </w:rPr>
            </w:pPr>
            <w:r w:rsidRPr="00EB2BD8">
              <w:rPr>
                <w:rFonts w:ascii="Arial"/>
                <w:b/>
                <w:spacing w:val="-2"/>
                <w:w w:val="105"/>
                <w:sz w:val="16"/>
              </w:rPr>
              <w:t>2,540</w:t>
            </w:r>
          </w:p>
        </w:tc>
        <w:tc>
          <w:tcPr>
            <w:tcW w:w="1028" w:type="dxa"/>
            <w:shd w:val="clear" w:color="auto" w:fill="FFFFFF"/>
          </w:tcPr>
          <w:p w14:paraId="2CBC4941" w14:textId="77777777" w:rsidR="00084F36" w:rsidRPr="00EB2BD8" w:rsidRDefault="00084F36">
            <w:pPr>
              <w:pStyle w:val="TableParagraph"/>
              <w:rPr>
                <w:rFonts w:ascii="Arial"/>
                <w:b/>
                <w:sz w:val="18"/>
              </w:rPr>
            </w:pPr>
          </w:p>
          <w:p w14:paraId="4E530201" w14:textId="77777777" w:rsidR="00084F36" w:rsidRPr="00EB2BD8" w:rsidRDefault="00EB2BD8">
            <w:pPr>
              <w:pStyle w:val="TableParagraph"/>
              <w:spacing w:before="112"/>
              <w:ind w:right="100"/>
              <w:jc w:val="right"/>
              <w:rPr>
                <w:rFonts w:ascii="Arial"/>
                <w:b/>
                <w:sz w:val="16"/>
              </w:rPr>
            </w:pPr>
            <w:r w:rsidRPr="00EB2BD8">
              <w:rPr>
                <w:rFonts w:ascii="Arial"/>
                <w:b/>
                <w:spacing w:val="-2"/>
                <w:w w:val="105"/>
                <w:sz w:val="16"/>
              </w:rPr>
              <w:t>10,330</w:t>
            </w:r>
          </w:p>
        </w:tc>
      </w:tr>
      <w:tr w:rsidR="00EB2BD8" w:rsidRPr="00EB2BD8" w14:paraId="39EBDD11" w14:textId="77777777">
        <w:trPr>
          <w:trHeight w:val="317"/>
        </w:trPr>
        <w:tc>
          <w:tcPr>
            <w:tcW w:w="3750" w:type="dxa"/>
            <w:shd w:val="clear" w:color="auto" w:fill="FFFFFF"/>
          </w:tcPr>
          <w:p w14:paraId="208B848D" w14:textId="77777777" w:rsidR="00084F36" w:rsidRPr="00EB2BD8" w:rsidRDefault="00EB2BD8">
            <w:pPr>
              <w:pStyle w:val="TableParagraph"/>
              <w:spacing w:before="67"/>
              <w:ind w:left="107"/>
              <w:rPr>
                <w:rFonts w:ascii="Arial"/>
                <w:sz w:val="16"/>
              </w:rPr>
            </w:pPr>
            <w:r w:rsidRPr="00EB2BD8">
              <w:rPr>
                <w:rFonts w:ascii="Arial"/>
                <w:spacing w:val="-2"/>
                <w:w w:val="105"/>
                <w:sz w:val="16"/>
              </w:rPr>
              <w:t>Additions</w:t>
            </w:r>
          </w:p>
        </w:tc>
        <w:tc>
          <w:tcPr>
            <w:tcW w:w="1644" w:type="dxa"/>
            <w:shd w:val="clear" w:color="auto" w:fill="FFFFFF"/>
          </w:tcPr>
          <w:p w14:paraId="2368D24B" w14:textId="77777777" w:rsidR="00084F36" w:rsidRPr="00EB2BD8" w:rsidRDefault="00EB2BD8">
            <w:pPr>
              <w:pStyle w:val="TableParagraph"/>
              <w:spacing w:before="67"/>
              <w:ind w:right="459"/>
              <w:jc w:val="right"/>
              <w:rPr>
                <w:rFonts w:ascii="Arial"/>
                <w:sz w:val="16"/>
              </w:rPr>
            </w:pPr>
            <w:r w:rsidRPr="00EB2BD8">
              <w:rPr>
                <w:rFonts w:ascii="Arial"/>
                <w:w w:val="104"/>
                <w:sz w:val="16"/>
              </w:rPr>
              <w:t>-</w:t>
            </w:r>
          </w:p>
        </w:tc>
        <w:tc>
          <w:tcPr>
            <w:tcW w:w="1454" w:type="dxa"/>
            <w:shd w:val="clear" w:color="auto" w:fill="FFFFFF"/>
          </w:tcPr>
          <w:p w14:paraId="07583C26" w14:textId="77777777" w:rsidR="00084F36" w:rsidRPr="00EB2BD8" w:rsidRDefault="00EB2BD8">
            <w:pPr>
              <w:pStyle w:val="TableParagraph"/>
              <w:spacing w:before="67"/>
              <w:ind w:right="461"/>
              <w:jc w:val="right"/>
              <w:rPr>
                <w:rFonts w:ascii="Arial"/>
                <w:sz w:val="16"/>
              </w:rPr>
            </w:pPr>
            <w:r w:rsidRPr="00EB2BD8">
              <w:rPr>
                <w:rFonts w:ascii="Arial"/>
                <w:spacing w:val="-5"/>
                <w:w w:val="105"/>
                <w:sz w:val="16"/>
              </w:rPr>
              <w:t>449</w:t>
            </w:r>
          </w:p>
        </w:tc>
        <w:tc>
          <w:tcPr>
            <w:tcW w:w="1390" w:type="dxa"/>
            <w:shd w:val="clear" w:color="auto" w:fill="FFFFFF"/>
          </w:tcPr>
          <w:p w14:paraId="5F083A6C" w14:textId="77777777" w:rsidR="00084F36" w:rsidRPr="00EB2BD8" w:rsidRDefault="00EB2BD8">
            <w:pPr>
              <w:pStyle w:val="TableParagraph"/>
              <w:spacing w:before="67"/>
              <w:ind w:right="395"/>
              <w:jc w:val="right"/>
              <w:rPr>
                <w:rFonts w:ascii="Arial"/>
                <w:sz w:val="16"/>
              </w:rPr>
            </w:pPr>
            <w:r w:rsidRPr="00EB2BD8">
              <w:rPr>
                <w:rFonts w:ascii="Arial"/>
                <w:spacing w:val="-2"/>
                <w:w w:val="105"/>
                <w:sz w:val="16"/>
              </w:rPr>
              <w:t>1,200</w:t>
            </w:r>
          </w:p>
        </w:tc>
        <w:tc>
          <w:tcPr>
            <w:tcW w:w="1028" w:type="dxa"/>
            <w:shd w:val="clear" w:color="auto" w:fill="FFFFFF"/>
          </w:tcPr>
          <w:p w14:paraId="59B6190D" w14:textId="77777777" w:rsidR="00084F36" w:rsidRPr="00EB2BD8" w:rsidRDefault="00EB2BD8">
            <w:pPr>
              <w:pStyle w:val="TableParagraph"/>
              <w:spacing w:before="67"/>
              <w:ind w:right="100"/>
              <w:jc w:val="right"/>
              <w:rPr>
                <w:rFonts w:ascii="Arial"/>
                <w:sz w:val="16"/>
              </w:rPr>
            </w:pPr>
            <w:r w:rsidRPr="00EB2BD8">
              <w:rPr>
                <w:rFonts w:ascii="Arial"/>
                <w:spacing w:val="-2"/>
                <w:w w:val="105"/>
                <w:sz w:val="16"/>
              </w:rPr>
              <w:t>1,649</w:t>
            </w:r>
          </w:p>
        </w:tc>
      </w:tr>
      <w:tr w:rsidR="00EB2BD8" w:rsidRPr="00EB2BD8" w14:paraId="1214060B" w14:textId="77777777">
        <w:trPr>
          <w:trHeight w:val="314"/>
        </w:trPr>
        <w:tc>
          <w:tcPr>
            <w:tcW w:w="3750" w:type="dxa"/>
            <w:shd w:val="clear" w:color="auto" w:fill="FFFFFF"/>
          </w:tcPr>
          <w:p w14:paraId="288CAABF" w14:textId="77777777" w:rsidR="00084F36" w:rsidRPr="00EB2BD8" w:rsidRDefault="00EB2BD8">
            <w:pPr>
              <w:pStyle w:val="TableParagraph"/>
              <w:spacing w:before="66"/>
              <w:ind w:left="107"/>
              <w:rPr>
                <w:rFonts w:ascii="Arial"/>
                <w:sz w:val="16"/>
              </w:rPr>
            </w:pPr>
            <w:r w:rsidRPr="00EB2BD8">
              <w:rPr>
                <w:rFonts w:ascii="Arial"/>
                <w:spacing w:val="-2"/>
                <w:w w:val="105"/>
                <w:sz w:val="16"/>
              </w:rPr>
              <w:t>Disposals/retirements</w:t>
            </w:r>
          </w:p>
        </w:tc>
        <w:tc>
          <w:tcPr>
            <w:tcW w:w="1644" w:type="dxa"/>
            <w:shd w:val="clear" w:color="auto" w:fill="FFFFFF"/>
          </w:tcPr>
          <w:p w14:paraId="377F257F" w14:textId="77777777" w:rsidR="00084F36" w:rsidRPr="00EB2BD8" w:rsidRDefault="00EB2BD8">
            <w:pPr>
              <w:pStyle w:val="TableParagraph"/>
              <w:spacing w:before="66"/>
              <w:ind w:right="459"/>
              <w:jc w:val="right"/>
              <w:rPr>
                <w:rFonts w:ascii="Arial"/>
                <w:sz w:val="16"/>
              </w:rPr>
            </w:pPr>
            <w:r w:rsidRPr="00EB2BD8">
              <w:rPr>
                <w:rFonts w:ascii="Arial"/>
                <w:w w:val="104"/>
                <w:sz w:val="16"/>
              </w:rPr>
              <w:t>-</w:t>
            </w:r>
          </w:p>
        </w:tc>
        <w:tc>
          <w:tcPr>
            <w:tcW w:w="1454" w:type="dxa"/>
            <w:shd w:val="clear" w:color="auto" w:fill="FFFFFF"/>
          </w:tcPr>
          <w:p w14:paraId="23CE5740" w14:textId="77777777" w:rsidR="00084F36" w:rsidRPr="00EB2BD8" w:rsidRDefault="00EB2BD8">
            <w:pPr>
              <w:pStyle w:val="TableParagraph"/>
              <w:spacing w:before="66"/>
              <w:ind w:right="458"/>
              <w:jc w:val="right"/>
              <w:rPr>
                <w:rFonts w:ascii="Arial"/>
                <w:sz w:val="16"/>
              </w:rPr>
            </w:pPr>
            <w:r w:rsidRPr="00EB2BD8">
              <w:rPr>
                <w:rFonts w:ascii="Arial"/>
                <w:w w:val="104"/>
                <w:sz w:val="16"/>
              </w:rPr>
              <w:t>-</w:t>
            </w:r>
          </w:p>
        </w:tc>
        <w:tc>
          <w:tcPr>
            <w:tcW w:w="1390" w:type="dxa"/>
            <w:shd w:val="clear" w:color="auto" w:fill="FFFFFF"/>
          </w:tcPr>
          <w:p w14:paraId="3DF5EB1F" w14:textId="77777777" w:rsidR="00084F36" w:rsidRPr="00EB2BD8" w:rsidRDefault="00EB2BD8">
            <w:pPr>
              <w:pStyle w:val="TableParagraph"/>
              <w:spacing w:before="66"/>
              <w:ind w:right="397"/>
              <w:jc w:val="right"/>
              <w:rPr>
                <w:rFonts w:ascii="Arial"/>
                <w:sz w:val="16"/>
              </w:rPr>
            </w:pPr>
            <w:r w:rsidRPr="00EB2BD8">
              <w:rPr>
                <w:rFonts w:ascii="Arial"/>
                <w:spacing w:val="-2"/>
                <w:w w:val="105"/>
                <w:sz w:val="16"/>
              </w:rPr>
              <w:t>(142)</w:t>
            </w:r>
          </w:p>
        </w:tc>
        <w:tc>
          <w:tcPr>
            <w:tcW w:w="1028" w:type="dxa"/>
            <w:shd w:val="clear" w:color="auto" w:fill="FFFFFF"/>
          </w:tcPr>
          <w:p w14:paraId="1E49D8EF" w14:textId="77777777" w:rsidR="00084F36" w:rsidRPr="00EB2BD8" w:rsidRDefault="00EB2BD8">
            <w:pPr>
              <w:pStyle w:val="TableParagraph"/>
              <w:spacing w:before="66"/>
              <w:ind w:right="100"/>
              <w:jc w:val="right"/>
              <w:rPr>
                <w:rFonts w:ascii="Arial"/>
                <w:sz w:val="16"/>
              </w:rPr>
            </w:pPr>
            <w:r w:rsidRPr="00EB2BD8">
              <w:rPr>
                <w:rFonts w:ascii="Arial"/>
                <w:spacing w:val="-2"/>
                <w:w w:val="105"/>
                <w:sz w:val="16"/>
              </w:rPr>
              <w:t>(142)</w:t>
            </w:r>
          </w:p>
        </w:tc>
      </w:tr>
      <w:tr w:rsidR="00EB2BD8" w:rsidRPr="00EB2BD8" w14:paraId="1D4FCFD9" w14:textId="77777777">
        <w:trPr>
          <w:trHeight w:val="320"/>
        </w:trPr>
        <w:tc>
          <w:tcPr>
            <w:tcW w:w="3750" w:type="dxa"/>
            <w:shd w:val="clear" w:color="auto" w:fill="FFFFFF"/>
          </w:tcPr>
          <w:p w14:paraId="253896D6" w14:textId="77777777" w:rsidR="00084F36" w:rsidRPr="00EB2BD8" w:rsidRDefault="00EB2BD8">
            <w:pPr>
              <w:pStyle w:val="TableParagraph"/>
              <w:spacing w:before="56"/>
              <w:ind w:left="107"/>
              <w:rPr>
                <w:rFonts w:ascii="Arial"/>
                <w:sz w:val="11"/>
              </w:rPr>
            </w:pPr>
            <w:r w:rsidRPr="00EB2BD8">
              <w:rPr>
                <w:rFonts w:ascii="Arial"/>
                <w:spacing w:val="-2"/>
                <w:w w:val="105"/>
                <w:sz w:val="16"/>
              </w:rPr>
              <w:t>Revaluations</w:t>
            </w:r>
            <w:r w:rsidRPr="00EB2BD8">
              <w:rPr>
                <w:rFonts w:ascii="Arial"/>
                <w:spacing w:val="-2"/>
                <w:w w:val="105"/>
                <w:position w:val="6"/>
                <w:sz w:val="11"/>
              </w:rPr>
              <w:t>(a)</w:t>
            </w:r>
          </w:p>
        </w:tc>
        <w:tc>
          <w:tcPr>
            <w:tcW w:w="1644" w:type="dxa"/>
            <w:shd w:val="clear" w:color="auto" w:fill="FFFFFF"/>
          </w:tcPr>
          <w:p w14:paraId="06FF441F" w14:textId="77777777" w:rsidR="00084F36" w:rsidRPr="00EB2BD8" w:rsidRDefault="00EB2BD8">
            <w:pPr>
              <w:pStyle w:val="TableParagraph"/>
              <w:spacing w:before="69"/>
              <w:ind w:right="460"/>
              <w:jc w:val="right"/>
              <w:rPr>
                <w:rFonts w:ascii="Arial"/>
                <w:sz w:val="16"/>
              </w:rPr>
            </w:pPr>
            <w:r w:rsidRPr="00EB2BD8">
              <w:rPr>
                <w:rFonts w:ascii="Arial"/>
                <w:spacing w:val="-5"/>
                <w:w w:val="105"/>
                <w:sz w:val="16"/>
              </w:rPr>
              <w:t>165</w:t>
            </w:r>
          </w:p>
        </w:tc>
        <w:tc>
          <w:tcPr>
            <w:tcW w:w="1454" w:type="dxa"/>
            <w:shd w:val="clear" w:color="auto" w:fill="FFFFFF"/>
          </w:tcPr>
          <w:p w14:paraId="09E50B78" w14:textId="77777777" w:rsidR="00084F36" w:rsidRPr="00EB2BD8" w:rsidRDefault="00EB2BD8">
            <w:pPr>
              <w:pStyle w:val="TableParagraph"/>
              <w:spacing w:before="69"/>
              <w:ind w:right="460"/>
              <w:jc w:val="right"/>
              <w:rPr>
                <w:rFonts w:ascii="Arial"/>
                <w:sz w:val="16"/>
              </w:rPr>
            </w:pPr>
            <w:r w:rsidRPr="00EB2BD8">
              <w:rPr>
                <w:rFonts w:ascii="Arial"/>
                <w:spacing w:val="-5"/>
                <w:w w:val="105"/>
                <w:sz w:val="16"/>
              </w:rPr>
              <w:t>177</w:t>
            </w:r>
          </w:p>
        </w:tc>
        <w:tc>
          <w:tcPr>
            <w:tcW w:w="1390" w:type="dxa"/>
            <w:shd w:val="clear" w:color="auto" w:fill="FFFFFF"/>
          </w:tcPr>
          <w:p w14:paraId="32F5A288" w14:textId="77777777" w:rsidR="00084F36" w:rsidRPr="00EB2BD8" w:rsidRDefault="00EB2BD8">
            <w:pPr>
              <w:pStyle w:val="TableParagraph"/>
              <w:spacing w:before="69"/>
              <w:ind w:right="394"/>
              <w:jc w:val="right"/>
              <w:rPr>
                <w:rFonts w:ascii="Arial"/>
                <w:sz w:val="16"/>
              </w:rPr>
            </w:pPr>
            <w:r w:rsidRPr="00EB2BD8">
              <w:rPr>
                <w:rFonts w:ascii="Arial"/>
                <w:w w:val="104"/>
                <w:sz w:val="16"/>
              </w:rPr>
              <w:t>-</w:t>
            </w:r>
          </w:p>
        </w:tc>
        <w:tc>
          <w:tcPr>
            <w:tcW w:w="1028" w:type="dxa"/>
            <w:shd w:val="clear" w:color="auto" w:fill="FFFFFF"/>
          </w:tcPr>
          <w:p w14:paraId="14690E21" w14:textId="77777777" w:rsidR="00084F36" w:rsidRPr="00EB2BD8" w:rsidRDefault="00EB2BD8">
            <w:pPr>
              <w:pStyle w:val="TableParagraph"/>
              <w:spacing w:before="69"/>
              <w:ind w:right="100"/>
              <w:jc w:val="right"/>
              <w:rPr>
                <w:rFonts w:ascii="Arial"/>
                <w:sz w:val="16"/>
              </w:rPr>
            </w:pPr>
            <w:r w:rsidRPr="00EB2BD8">
              <w:rPr>
                <w:rFonts w:ascii="Arial"/>
                <w:spacing w:val="-5"/>
                <w:w w:val="105"/>
                <w:sz w:val="16"/>
              </w:rPr>
              <w:t>342</w:t>
            </w:r>
          </w:p>
        </w:tc>
      </w:tr>
      <w:tr w:rsidR="00EB2BD8" w:rsidRPr="00EB2BD8" w14:paraId="4FCC30E1" w14:textId="77777777">
        <w:trPr>
          <w:trHeight w:val="314"/>
        </w:trPr>
        <w:tc>
          <w:tcPr>
            <w:tcW w:w="3750" w:type="dxa"/>
            <w:tcBorders>
              <w:bottom w:val="single" w:sz="12" w:space="0" w:color="000000"/>
            </w:tcBorders>
            <w:shd w:val="clear" w:color="auto" w:fill="FFFFFF"/>
          </w:tcPr>
          <w:p w14:paraId="19E572BA" w14:textId="77777777" w:rsidR="00084F36" w:rsidRPr="00EB2BD8" w:rsidRDefault="00EB2BD8">
            <w:pPr>
              <w:pStyle w:val="TableParagraph"/>
              <w:spacing w:before="67"/>
              <w:ind w:left="107"/>
              <w:rPr>
                <w:rFonts w:ascii="Arial"/>
                <w:sz w:val="16"/>
              </w:rPr>
            </w:pPr>
            <w:r w:rsidRPr="00EB2BD8">
              <w:rPr>
                <w:rFonts w:ascii="Arial"/>
                <w:spacing w:val="-2"/>
                <w:w w:val="105"/>
                <w:sz w:val="16"/>
              </w:rPr>
              <w:t>Depreciation</w:t>
            </w:r>
          </w:p>
        </w:tc>
        <w:tc>
          <w:tcPr>
            <w:tcW w:w="1644" w:type="dxa"/>
            <w:tcBorders>
              <w:bottom w:val="single" w:sz="12" w:space="0" w:color="000000"/>
            </w:tcBorders>
            <w:shd w:val="clear" w:color="auto" w:fill="FFFFFF"/>
          </w:tcPr>
          <w:p w14:paraId="126F1A92" w14:textId="77777777" w:rsidR="00084F36" w:rsidRPr="00EB2BD8" w:rsidRDefault="00EB2BD8">
            <w:pPr>
              <w:pStyle w:val="TableParagraph"/>
              <w:spacing w:before="67"/>
              <w:ind w:right="459"/>
              <w:jc w:val="right"/>
              <w:rPr>
                <w:rFonts w:ascii="Arial"/>
                <w:sz w:val="16"/>
              </w:rPr>
            </w:pPr>
            <w:r w:rsidRPr="00EB2BD8">
              <w:rPr>
                <w:rFonts w:ascii="Arial"/>
                <w:w w:val="104"/>
                <w:sz w:val="16"/>
              </w:rPr>
              <w:t>-</w:t>
            </w:r>
          </w:p>
        </w:tc>
        <w:tc>
          <w:tcPr>
            <w:tcW w:w="1454" w:type="dxa"/>
            <w:tcBorders>
              <w:bottom w:val="single" w:sz="12" w:space="0" w:color="000000"/>
            </w:tcBorders>
            <w:shd w:val="clear" w:color="auto" w:fill="FFFFFF"/>
          </w:tcPr>
          <w:p w14:paraId="4B5B1414" w14:textId="77777777" w:rsidR="00084F36" w:rsidRPr="00EB2BD8" w:rsidRDefault="00EB2BD8">
            <w:pPr>
              <w:pStyle w:val="TableParagraph"/>
              <w:spacing w:before="67"/>
              <w:ind w:right="460"/>
              <w:jc w:val="right"/>
              <w:rPr>
                <w:rFonts w:ascii="Arial"/>
                <w:sz w:val="16"/>
              </w:rPr>
            </w:pPr>
            <w:r w:rsidRPr="00EB2BD8">
              <w:rPr>
                <w:rFonts w:ascii="Arial"/>
                <w:spacing w:val="-2"/>
                <w:w w:val="105"/>
                <w:sz w:val="16"/>
              </w:rPr>
              <w:t>(1,830)</w:t>
            </w:r>
          </w:p>
        </w:tc>
        <w:tc>
          <w:tcPr>
            <w:tcW w:w="1390" w:type="dxa"/>
            <w:tcBorders>
              <w:bottom w:val="single" w:sz="12" w:space="0" w:color="000000"/>
            </w:tcBorders>
            <w:shd w:val="clear" w:color="auto" w:fill="FFFFFF"/>
          </w:tcPr>
          <w:p w14:paraId="001E1039" w14:textId="77777777" w:rsidR="00084F36" w:rsidRPr="00EB2BD8" w:rsidRDefault="00EB2BD8">
            <w:pPr>
              <w:pStyle w:val="TableParagraph"/>
              <w:spacing w:before="67"/>
              <w:ind w:right="397"/>
              <w:jc w:val="right"/>
              <w:rPr>
                <w:rFonts w:ascii="Arial"/>
                <w:sz w:val="16"/>
              </w:rPr>
            </w:pPr>
            <w:r w:rsidRPr="00EB2BD8">
              <w:rPr>
                <w:rFonts w:ascii="Arial"/>
                <w:spacing w:val="-2"/>
                <w:w w:val="105"/>
                <w:sz w:val="16"/>
              </w:rPr>
              <w:t>(1,189)</w:t>
            </w:r>
          </w:p>
        </w:tc>
        <w:tc>
          <w:tcPr>
            <w:tcW w:w="1028" w:type="dxa"/>
            <w:tcBorders>
              <w:bottom w:val="single" w:sz="12" w:space="0" w:color="000000"/>
            </w:tcBorders>
            <w:shd w:val="clear" w:color="auto" w:fill="FFFFFF"/>
          </w:tcPr>
          <w:p w14:paraId="1C60FCBA" w14:textId="77777777" w:rsidR="00084F36" w:rsidRPr="00EB2BD8" w:rsidRDefault="00EB2BD8">
            <w:pPr>
              <w:pStyle w:val="TableParagraph"/>
              <w:spacing w:before="67"/>
              <w:ind w:right="100"/>
              <w:jc w:val="right"/>
              <w:rPr>
                <w:rFonts w:ascii="Arial"/>
                <w:sz w:val="16"/>
              </w:rPr>
            </w:pPr>
            <w:r w:rsidRPr="00EB2BD8">
              <w:rPr>
                <w:rFonts w:ascii="Arial"/>
                <w:spacing w:val="-2"/>
                <w:w w:val="105"/>
                <w:sz w:val="16"/>
              </w:rPr>
              <w:t>(3,019)</w:t>
            </w:r>
          </w:p>
        </w:tc>
      </w:tr>
      <w:tr w:rsidR="00EB2BD8" w:rsidRPr="00EB2BD8" w14:paraId="3B34A337" w14:textId="77777777">
        <w:trPr>
          <w:trHeight w:val="286"/>
        </w:trPr>
        <w:tc>
          <w:tcPr>
            <w:tcW w:w="3750" w:type="dxa"/>
            <w:tcBorders>
              <w:top w:val="single" w:sz="12" w:space="0" w:color="000000"/>
              <w:bottom w:val="single" w:sz="12" w:space="0" w:color="000000"/>
            </w:tcBorders>
            <w:shd w:val="clear" w:color="auto" w:fill="FFFFFF"/>
          </w:tcPr>
          <w:p w14:paraId="677C10A3" w14:textId="77777777" w:rsidR="00084F36" w:rsidRPr="00EB2BD8" w:rsidRDefault="00EB2BD8">
            <w:pPr>
              <w:pStyle w:val="TableParagraph"/>
              <w:spacing w:before="53"/>
              <w:ind w:left="107"/>
              <w:rPr>
                <w:rFonts w:ascii="Arial"/>
                <w:b/>
                <w:sz w:val="16"/>
              </w:rPr>
            </w:pPr>
            <w:r w:rsidRPr="00EB2BD8">
              <w:rPr>
                <w:rFonts w:ascii="Arial"/>
                <w:b/>
                <w:w w:val="105"/>
                <w:sz w:val="16"/>
              </w:rPr>
              <w:t>Balance</w:t>
            </w:r>
            <w:r w:rsidRPr="00EB2BD8">
              <w:rPr>
                <w:rFonts w:ascii="Arial"/>
                <w:b/>
                <w:spacing w:val="-4"/>
                <w:w w:val="105"/>
                <w:sz w:val="16"/>
              </w:rPr>
              <w:t xml:space="preserve"> </w:t>
            </w:r>
            <w:r w:rsidRPr="00EB2BD8">
              <w:rPr>
                <w:rFonts w:ascii="Arial"/>
                <w:b/>
                <w:w w:val="105"/>
                <w:sz w:val="16"/>
              </w:rPr>
              <w:t>at</w:t>
            </w:r>
            <w:r w:rsidRPr="00EB2BD8">
              <w:rPr>
                <w:rFonts w:ascii="Arial"/>
                <w:b/>
                <w:spacing w:val="-5"/>
                <w:w w:val="105"/>
                <w:sz w:val="16"/>
              </w:rPr>
              <w:t xml:space="preserve"> </w:t>
            </w:r>
            <w:r w:rsidRPr="00EB2BD8">
              <w:rPr>
                <w:rFonts w:ascii="Arial"/>
                <w:b/>
                <w:w w:val="105"/>
                <w:sz w:val="16"/>
              </w:rPr>
              <w:t>the</w:t>
            </w:r>
            <w:r w:rsidRPr="00EB2BD8">
              <w:rPr>
                <w:rFonts w:ascii="Arial"/>
                <w:b/>
                <w:spacing w:val="-3"/>
                <w:w w:val="105"/>
                <w:sz w:val="16"/>
              </w:rPr>
              <w:t xml:space="preserve"> </w:t>
            </w:r>
            <w:r w:rsidRPr="00EB2BD8">
              <w:rPr>
                <w:rFonts w:ascii="Arial"/>
                <w:b/>
                <w:w w:val="105"/>
                <w:sz w:val="16"/>
              </w:rPr>
              <w:t>end</w:t>
            </w:r>
            <w:r w:rsidRPr="00EB2BD8">
              <w:rPr>
                <w:rFonts w:ascii="Arial"/>
                <w:b/>
                <w:spacing w:val="-4"/>
                <w:w w:val="105"/>
                <w:sz w:val="16"/>
              </w:rPr>
              <w:t xml:space="preserve"> </w:t>
            </w:r>
            <w:r w:rsidRPr="00EB2BD8">
              <w:rPr>
                <w:rFonts w:ascii="Arial"/>
                <w:b/>
                <w:w w:val="105"/>
                <w:sz w:val="16"/>
              </w:rPr>
              <w:t>of</w:t>
            </w:r>
            <w:r w:rsidRPr="00EB2BD8">
              <w:rPr>
                <w:rFonts w:ascii="Arial"/>
                <w:b/>
                <w:spacing w:val="-5"/>
                <w:w w:val="105"/>
                <w:sz w:val="16"/>
              </w:rPr>
              <w:t xml:space="preserve"> </w:t>
            </w:r>
            <w:r w:rsidRPr="00EB2BD8">
              <w:rPr>
                <w:rFonts w:ascii="Arial"/>
                <w:b/>
                <w:w w:val="105"/>
                <w:sz w:val="16"/>
              </w:rPr>
              <w:t>the</w:t>
            </w:r>
            <w:r w:rsidRPr="00EB2BD8">
              <w:rPr>
                <w:rFonts w:ascii="Arial"/>
                <w:b/>
                <w:spacing w:val="-4"/>
                <w:w w:val="105"/>
                <w:sz w:val="16"/>
              </w:rPr>
              <w:t xml:space="preserve"> year</w:t>
            </w:r>
          </w:p>
        </w:tc>
        <w:tc>
          <w:tcPr>
            <w:tcW w:w="1644" w:type="dxa"/>
            <w:tcBorders>
              <w:top w:val="single" w:sz="12" w:space="0" w:color="000000"/>
              <w:bottom w:val="single" w:sz="12" w:space="0" w:color="000000"/>
            </w:tcBorders>
            <w:shd w:val="clear" w:color="auto" w:fill="FFFFFF"/>
          </w:tcPr>
          <w:p w14:paraId="1D972272" w14:textId="77777777" w:rsidR="00084F36" w:rsidRPr="00EB2BD8" w:rsidRDefault="00EB2BD8">
            <w:pPr>
              <w:pStyle w:val="TableParagraph"/>
              <w:spacing w:before="53"/>
              <w:ind w:right="461"/>
              <w:jc w:val="right"/>
              <w:rPr>
                <w:rFonts w:ascii="Arial"/>
                <w:b/>
                <w:sz w:val="16"/>
              </w:rPr>
            </w:pPr>
            <w:r w:rsidRPr="00EB2BD8">
              <w:rPr>
                <w:rFonts w:ascii="Arial"/>
                <w:b/>
                <w:spacing w:val="-2"/>
                <w:w w:val="105"/>
                <w:sz w:val="16"/>
              </w:rPr>
              <w:t>1,075</w:t>
            </w:r>
          </w:p>
        </w:tc>
        <w:tc>
          <w:tcPr>
            <w:tcW w:w="1454" w:type="dxa"/>
            <w:tcBorders>
              <w:top w:val="single" w:sz="12" w:space="0" w:color="000000"/>
              <w:bottom w:val="single" w:sz="12" w:space="0" w:color="000000"/>
            </w:tcBorders>
            <w:shd w:val="clear" w:color="auto" w:fill="FFFFFF"/>
          </w:tcPr>
          <w:p w14:paraId="4A11321A" w14:textId="77777777" w:rsidR="00084F36" w:rsidRPr="00EB2BD8" w:rsidRDefault="00EB2BD8">
            <w:pPr>
              <w:pStyle w:val="TableParagraph"/>
              <w:spacing w:before="53"/>
              <w:ind w:right="461"/>
              <w:jc w:val="right"/>
              <w:rPr>
                <w:rFonts w:ascii="Arial"/>
                <w:b/>
                <w:sz w:val="16"/>
              </w:rPr>
            </w:pPr>
            <w:r w:rsidRPr="00EB2BD8">
              <w:rPr>
                <w:rFonts w:ascii="Arial"/>
                <w:b/>
                <w:spacing w:val="-2"/>
                <w:w w:val="105"/>
                <w:sz w:val="16"/>
              </w:rPr>
              <w:t>5,676</w:t>
            </w:r>
          </w:p>
        </w:tc>
        <w:tc>
          <w:tcPr>
            <w:tcW w:w="1390" w:type="dxa"/>
            <w:tcBorders>
              <w:top w:val="single" w:sz="12" w:space="0" w:color="000000"/>
              <w:bottom w:val="single" w:sz="12" w:space="0" w:color="000000"/>
            </w:tcBorders>
            <w:shd w:val="clear" w:color="auto" w:fill="FFFFFF"/>
          </w:tcPr>
          <w:p w14:paraId="10BBDC40" w14:textId="77777777" w:rsidR="00084F36" w:rsidRPr="00EB2BD8" w:rsidRDefault="00EB2BD8">
            <w:pPr>
              <w:pStyle w:val="TableParagraph"/>
              <w:spacing w:before="53"/>
              <w:ind w:right="397"/>
              <w:jc w:val="right"/>
              <w:rPr>
                <w:rFonts w:ascii="Arial"/>
                <w:b/>
                <w:sz w:val="16"/>
              </w:rPr>
            </w:pPr>
            <w:r w:rsidRPr="00EB2BD8">
              <w:rPr>
                <w:rFonts w:ascii="Arial"/>
                <w:b/>
                <w:spacing w:val="-2"/>
                <w:w w:val="105"/>
                <w:sz w:val="16"/>
              </w:rPr>
              <w:t>2,409</w:t>
            </w:r>
          </w:p>
        </w:tc>
        <w:tc>
          <w:tcPr>
            <w:tcW w:w="1028" w:type="dxa"/>
            <w:tcBorders>
              <w:top w:val="single" w:sz="12" w:space="0" w:color="000000"/>
              <w:bottom w:val="single" w:sz="12" w:space="0" w:color="000000"/>
            </w:tcBorders>
            <w:shd w:val="clear" w:color="auto" w:fill="FFFFFF"/>
          </w:tcPr>
          <w:p w14:paraId="11FD3DB2" w14:textId="77777777" w:rsidR="00084F36" w:rsidRPr="00EB2BD8" w:rsidRDefault="00EB2BD8">
            <w:pPr>
              <w:pStyle w:val="TableParagraph"/>
              <w:spacing w:before="53"/>
              <w:ind w:right="101"/>
              <w:jc w:val="right"/>
              <w:rPr>
                <w:rFonts w:ascii="Arial"/>
                <w:b/>
                <w:sz w:val="16"/>
              </w:rPr>
            </w:pPr>
            <w:r w:rsidRPr="00EB2BD8">
              <w:rPr>
                <w:rFonts w:ascii="Arial"/>
                <w:b/>
                <w:spacing w:val="-2"/>
                <w:w w:val="105"/>
                <w:sz w:val="16"/>
              </w:rPr>
              <w:t>9,160</w:t>
            </w:r>
          </w:p>
        </w:tc>
      </w:tr>
    </w:tbl>
    <w:p w14:paraId="6D664EBE" w14:textId="77777777" w:rsidR="00084F36" w:rsidRPr="00EB2BD8" w:rsidRDefault="00084F36">
      <w:pPr>
        <w:pStyle w:val="BodyText"/>
        <w:rPr>
          <w:rFonts w:ascii="Arial"/>
          <w:b/>
          <w:sz w:val="22"/>
        </w:rPr>
      </w:pPr>
    </w:p>
    <w:p w14:paraId="08E7C018" w14:textId="77777777" w:rsidR="00084F36" w:rsidRPr="00EB2BD8" w:rsidRDefault="00EB2BD8">
      <w:pPr>
        <w:spacing w:before="193"/>
        <w:ind w:left="1060"/>
        <w:rPr>
          <w:rFonts w:ascii="Arial"/>
          <w:i/>
          <w:sz w:val="15"/>
        </w:rPr>
      </w:pPr>
      <w:r w:rsidRPr="00EB2BD8">
        <w:rPr>
          <w:rFonts w:ascii="Arial"/>
          <w:i/>
          <w:spacing w:val="-4"/>
          <w:sz w:val="15"/>
        </w:rPr>
        <w:t>Note</w:t>
      </w:r>
    </w:p>
    <w:p w14:paraId="3DC10FF1" w14:textId="77777777" w:rsidR="00084F36" w:rsidRPr="00EB2BD8" w:rsidRDefault="00EB2BD8">
      <w:pPr>
        <w:spacing w:before="82" w:line="273" w:lineRule="auto"/>
        <w:ind w:left="1325" w:right="1813" w:hanging="266"/>
        <w:rPr>
          <w:rFonts w:ascii="Arial"/>
          <w:i/>
          <w:sz w:val="15"/>
        </w:rPr>
      </w:pPr>
      <w:r w:rsidRPr="00EB2BD8">
        <w:rPr>
          <w:rFonts w:ascii="Arial"/>
          <w:i/>
          <w:sz w:val="15"/>
        </w:rPr>
        <w:t>(a)</w:t>
      </w:r>
      <w:r w:rsidRPr="00EB2BD8">
        <w:rPr>
          <w:rFonts w:ascii="Arial"/>
          <w:i/>
          <w:spacing w:val="40"/>
          <w:sz w:val="15"/>
        </w:rPr>
        <w:t xml:space="preserve"> </w:t>
      </w:r>
      <w:r w:rsidRPr="00EB2BD8">
        <w:rPr>
          <w:rFonts w:ascii="Arial"/>
          <w:i/>
          <w:sz w:val="15"/>
        </w:rPr>
        <w:t>Fair</w:t>
      </w:r>
      <w:r w:rsidRPr="00EB2BD8">
        <w:rPr>
          <w:rFonts w:ascii="Arial"/>
          <w:i/>
          <w:spacing w:val="-2"/>
          <w:sz w:val="15"/>
        </w:rPr>
        <w:t xml:space="preserve"> </w:t>
      </w:r>
      <w:r w:rsidRPr="00EB2BD8">
        <w:rPr>
          <w:rFonts w:ascii="Arial"/>
          <w:i/>
          <w:sz w:val="15"/>
        </w:rPr>
        <w:t>value</w:t>
      </w:r>
      <w:r w:rsidRPr="00EB2BD8">
        <w:rPr>
          <w:rFonts w:ascii="Arial"/>
          <w:i/>
          <w:spacing w:val="-1"/>
          <w:sz w:val="15"/>
        </w:rPr>
        <w:t xml:space="preserve"> </w:t>
      </w:r>
      <w:r w:rsidRPr="00EB2BD8">
        <w:rPr>
          <w:rFonts w:ascii="Arial"/>
          <w:i/>
          <w:sz w:val="15"/>
        </w:rPr>
        <w:t>assessments have</w:t>
      </w:r>
      <w:r w:rsidRPr="00EB2BD8">
        <w:rPr>
          <w:rFonts w:ascii="Arial"/>
          <w:i/>
          <w:spacing w:val="-2"/>
          <w:sz w:val="15"/>
        </w:rPr>
        <w:t xml:space="preserve"> </w:t>
      </w:r>
      <w:r w:rsidRPr="00EB2BD8">
        <w:rPr>
          <w:rFonts w:ascii="Arial"/>
          <w:i/>
          <w:sz w:val="15"/>
        </w:rPr>
        <w:t>been</w:t>
      </w:r>
      <w:r w:rsidRPr="00EB2BD8">
        <w:rPr>
          <w:rFonts w:ascii="Arial"/>
          <w:i/>
          <w:spacing w:val="-1"/>
          <w:sz w:val="15"/>
        </w:rPr>
        <w:t xml:space="preserve"> </w:t>
      </w:r>
      <w:r w:rsidRPr="00EB2BD8">
        <w:rPr>
          <w:rFonts w:ascii="Arial"/>
          <w:i/>
          <w:sz w:val="15"/>
        </w:rPr>
        <w:t>performed for all</w:t>
      </w:r>
      <w:r w:rsidRPr="00EB2BD8">
        <w:rPr>
          <w:rFonts w:ascii="Arial"/>
          <w:i/>
          <w:spacing w:val="-1"/>
          <w:sz w:val="15"/>
        </w:rPr>
        <w:t xml:space="preserve"> </w:t>
      </w:r>
      <w:r w:rsidRPr="00EB2BD8">
        <w:rPr>
          <w:rFonts w:ascii="Arial"/>
          <w:i/>
          <w:sz w:val="15"/>
        </w:rPr>
        <w:t>classes</w:t>
      </w:r>
      <w:r w:rsidRPr="00EB2BD8">
        <w:rPr>
          <w:rFonts w:ascii="Arial"/>
          <w:i/>
          <w:spacing w:val="-1"/>
          <w:sz w:val="15"/>
        </w:rPr>
        <w:t xml:space="preserve"> </w:t>
      </w:r>
      <w:r w:rsidRPr="00EB2BD8">
        <w:rPr>
          <w:rFonts w:ascii="Arial"/>
          <w:i/>
          <w:sz w:val="15"/>
        </w:rPr>
        <w:t>of</w:t>
      </w:r>
      <w:r w:rsidRPr="00EB2BD8">
        <w:rPr>
          <w:rFonts w:ascii="Arial"/>
          <w:i/>
          <w:spacing w:val="-1"/>
          <w:sz w:val="15"/>
        </w:rPr>
        <w:t xml:space="preserve"> </w:t>
      </w:r>
      <w:r w:rsidRPr="00EB2BD8">
        <w:rPr>
          <w:rFonts w:ascii="Arial"/>
          <w:i/>
          <w:sz w:val="15"/>
        </w:rPr>
        <w:t>assets</w:t>
      </w:r>
      <w:r w:rsidRPr="00EB2BD8">
        <w:rPr>
          <w:rFonts w:ascii="Arial"/>
          <w:i/>
          <w:spacing w:val="-1"/>
          <w:sz w:val="15"/>
        </w:rPr>
        <w:t xml:space="preserve"> </w:t>
      </w:r>
      <w:r w:rsidRPr="00EB2BD8">
        <w:rPr>
          <w:rFonts w:ascii="Arial"/>
          <w:i/>
          <w:sz w:val="15"/>
        </w:rPr>
        <w:t>in</w:t>
      </w:r>
      <w:r w:rsidRPr="00EB2BD8">
        <w:rPr>
          <w:rFonts w:ascii="Arial"/>
          <w:i/>
          <w:spacing w:val="-1"/>
          <w:sz w:val="15"/>
        </w:rPr>
        <w:t xml:space="preserve"> </w:t>
      </w:r>
      <w:r w:rsidRPr="00EB2BD8">
        <w:rPr>
          <w:rFonts w:ascii="Arial"/>
          <w:i/>
          <w:sz w:val="15"/>
        </w:rPr>
        <w:t>this</w:t>
      </w:r>
      <w:r w:rsidRPr="00EB2BD8">
        <w:rPr>
          <w:rFonts w:ascii="Arial"/>
          <w:i/>
          <w:spacing w:val="-1"/>
          <w:sz w:val="15"/>
        </w:rPr>
        <w:t xml:space="preserve"> </w:t>
      </w:r>
      <w:r w:rsidRPr="00EB2BD8">
        <w:rPr>
          <w:rFonts w:ascii="Arial"/>
          <w:i/>
          <w:sz w:val="15"/>
        </w:rPr>
        <w:t>purpose group and the decision was made that movements</w:t>
      </w:r>
      <w:r w:rsidRPr="00EB2BD8">
        <w:rPr>
          <w:rFonts w:ascii="Arial"/>
          <w:i/>
          <w:spacing w:val="-3"/>
          <w:sz w:val="15"/>
        </w:rPr>
        <w:t xml:space="preserve"> </w:t>
      </w:r>
      <w:r w:rsidRPr="00EB2BD8">
        <w:rPr>
          <w:rFonts w:ascii="Arial"/>
          <w:i/>
          <w:sz w:val="15"/>
        </w:rPr>
        <w:t>were</w:t>
      </w:r>
      <w:r w:rsidRPr="00EB2BD8">
        <w:rPr>
          <w:rFonts w:ascii="Arial"/>
          <w:i/>
          <w:spacing w:val="-3"/>
          <w:sz w:val="15"/>
        </w:rPr>
        <w:t xml:space="preserve"> </w:t>
      </w:r>
      <w:r w:rsidRPr="00EB2BD8">
        <w:rPr>
          <w:rFonts w:ascii="Arial"/>
          <w:i/>
          <w:sz w:val="15"/>
        </w:rPr>
        <w:t>not</w:t>
      </w:r>
      <w:r w:rsidRPr="00EB2BD8">
        <w:rPr>
          <w:rFonts w:ascii="Arial"/>
          <w:i/>
          <w:spacing w:val="-4"/>
          <w:sz w:val="15"/>
        </w:rPr>
        <w:t xml:space="preserve"> </w:t>
      </w:r>
      <w:r w:rsidRPr="00EB2BD8">
        <w:rPr>
          <w:rFonts w:ascii="Arial"/>
          <w:i/>
          <w:sz w:val="15"/>
        </w:rPr>
        <w:t>material</w:t>
      </w:r>
      <w:r w:rsidRPr="00EB2BD8">
        <w:rPr>
          <w:rFonts w:ascii="Arial"/>
          <w:i/>
          <w:spacing w:val="-3"/>
          <w:sz w:val="15"/>
        </w:rPr>
        <w:t xml:space="preserve"> </w:t>
      </w:r>
      <w:r w:rsidRPr="00EB2BD8">
        <w:rPr>
          <w:rFonts w:ascii="Arial"/>
          <w:i/>
          <w:sz w:val="15"/>
        </w:rPr>
        <w:t>(less</w:t>
      </w:r>
      <w:r w:rsidRPr="00EB2BD8">
        <w:rPr>
          <w:rFonts w:ascii="Arial"/>
          <w:i/>
          <w:spacing w:val="-3"/>
          <w:sz w:val="15"/>
        </w:rPr>
        <w:t xml:space="preserve"> </w:t>
      </w:r>
      <w:r w:rsidRPr="00EB2BD8">
        <w:rPr>
          <w:rFonts w:ascii="Arial"/>
          <w:i/>
          <w:sz w:val="15"/>
        </w:rPr>
        <w:t>than</w:t>
      </w:r>
      <w:r w:rsidRPr="00EB2BD8">
        <w:rPr>
          <w:rFonts w:ascii="Arial"/>
          <w:i/>
          <w:spacing w:val="-4"/>
          <w:sz w:val="15"/>
        </w:rPr>
        <w:t xml:space="preserve"> </w:t>
      </w:r>
      <w:r w:rsidRPr="00EB2BD8">
        <w:rPr>
          <w:rFonts w:ascii="Arial"/>
          <w:i/>
          <w:sz w:val="15"/>
        </w:rPr>
        <w:t>or</w:t>
      </w:r>
      <w:r w:rsidRPr="00EB2BD8">
        <w:rPr>
          <w:rFonts w:ascii="Arial"/>
          <w:i/>
          <w:spacing w:val="-4"/>
          <w:sz w:val="15"/>
        </w:rPr>
        <w:t xml:space="preserve"> </w:t>
      </w:r>
      <w:r w:rsidRPr="00EB2BD8">
        <w:rPr>
          <w:rFonts w:ascii="Arial"/>
          <w:i/>
          <w:sz w:val="15"/>
        </w:rPr>
        <w:t>equal</w:t>
      </w:r>
      <w:r w:rsidRPr="00EB2BD8">
        <w:rPr>
          <w:rFonts w:ascii="Arial"/>
          <w:i/>
          <w:spacing w:val="-3"/>
          <w:sz w:val="15"/>
        </w:rPr>
        <w:t xml:space="preserve"> </w:t>
      </w:r>
      <w:r w:rsidRPr="00EB2BD8">
        <w:rPr>
          <w:rFonts w:ascii="Arial"/>
          <w:i/>
          <w:sz w:val="15"/>
        </w:rPr>
        <w:t>to</w:t>
      </w:r>
      <w:r w:rsidRPr="00EB2BD8">
        <w:rPr>
          <w:rFonts w:ascii="Arial"/>
          <w:i/>
          <w:spacing w:val="-4"/>
          <w:sz w:val="15"/>
        </w:rPr>
        <w:t xml:space="preserve"> </w:t>
      </w:r>
      <w:r w:rsidRPr="00EB2BD8">
        <w:rPr>
          <w:rFonts w:ascii="Arial"/>
          <w:i/>
          <w:sz w:val="15"/>
        </w:rPr>
        <w:t>10</w:t>
      </w:r>
      <w:r w:rsidRPr="00EB2BD8">
        <w:rPr>
          <w:rFonts w:ascii="Arial"/>
          <w:i/>
          <w:spacing w:val="-4"/>
          <w:sz w:val="15"/>
        </w:rPr>
        <w:t xml:space="preserve"> </w:t>
      </w:r>
      <w:r w:rsidRPr="00EB2BD8">
        <w:rPr>
          <w:rFonts w:ascii="Arial"/>
          <w:i/>
          <w:sz w:val="15"/>
        </w:rPr>
        <w:t>per</w:t>
      </w:r>
      <w:r w:rsidRPr="00EB2BD8">
        <w:rPr>
          <w:rFonts w:ascii="Arial"/>
          <w:i/>
          <w:spacing w:val="-4"/>
          <w:sz w:val="15"/>
        </w:rPr>
        <w:t xml:space="preserve"> </w:t>
      </w:r>
      <w:r w:rsidRPr="00EB2BD8">
        <w:rPr>
          <w:rFonts w:ascii="Arial"/>
          <w:i/>
          <w:sz w:val="15"/>
        </w:rPr>
        <w:t>cent)</w:t>
      </w:r>
      <w:r w:rsidRPr="00EB2BD8">
        <w:rPr>
          <w:rFonts w:ascii="Arial"/>
          <w:i/>
          <w:spacing w:val="-4"/>
          <w:sz w:val="15"/>
        </w:rPr>
        <w:t xml:space="preserve"> </w:t>
      </w:r>
      <w:r w:rsidRPr="00EB2BD8">
        <w:rPr>
          <w:rFonts w:ascii="Arial"/>
          <w:i/>
          <w:sz w:val="15"/>
        </w:rPr>
        <w:t>for</w:t>
      </w:r>
      <w:r w:rsidRPr="00EB2BD8">
        <w:rPr>
          <w:rFonts w:ascii="Arial"/>
          <w:i/>
          <w:spacing w:val="-3"/>
          <w:sz w:val="15"/>
        </w:rPr>
        <w:t xml:space="preserve"> </w:t>
      </w:r>
      <w:r w:rsidRPr="00EB2BD8">
        <w:rPr>
          <w:rFonts w:ascii="Arial"/>
          <w:i/>
          <w:sz w:val="15"/>
        </w:rPr>
        <w:t>a</w:t>
      </w:r>
      <w:r w:rsidRPr="00EB2BD8">
        <w:rPr>
          <w:rFonts w:ascii="Arial"/>
          <w:i/>
          <w:spacing w:val="-4"/>
          <w:sz w:val="15"/>
        </w:rPr>
        <w:t xml:space="preserve"> </w:t>
      </w:r>
      <w:r w:rsidRPr="00EB2BD8">
        <w:rPr>
          <w:rFonts w:ascii="Arial"/>
          <w:i/>
          <w:sz w:val="15"/>
        </w:rPr>
        <w:t>full</w:t>
      </w:r>
      <w:r w:rsidRPr="00EB2BD8">
        <w:rPr>
          <w:rFonts w:ascii="Arial"/>
          <w:i/>
          <w:spacing w:val="-3"/>
          <w:sz w:val="15"/>
        </w:rPr>
        <w:t xml:space="preserve"> </w:t>
      </w:r>
      <w:r w:rsidRPr="00EB2BD8">
        <w:rPr>
          <w:rFonts w:ascii="Arial"/>
          <w:i/>
          <w:sz w:val="15"/>
        </w:rPr>
        <w:t>revaluation.</w:t>
      </w:r>
      <w:r w:rsidRPr="00EB2BD8">
        <w:rPr>
          <w:rFonts w:ascii="Arial"/>
          <w:i/>
          <w:spacing w:val="34"/>
          <w:sz w:val="15"/>
        </w:rPr>
        <w:t xml:space="preserve"> </w:t>
      </w:r>
      <w:r w:rsidRPr="00EB2BD8">
        <w:rPr>
          <w:rFonts w:ascii="Arial"/>
          <w:i/>
          <w:sz w:val="15"/>
        </w:rPr>
        <w:t>The</w:t>
      </w:r>
      <w:r w:rsidRPr="00EB2BD8">
        <w:rPr>
          <w:rFonts w:ascii="Arial"/>
          <w:i/>
          <w:spacing w:val="-3"/>
          <w:sz w:val="15"/>
        </w:rPr>
        <w:t xml:space="preserve"> </w:t>
      </w:r>
      <w:r w:rsidRPr="00EB2BD8">
        <w:rPr>
          <w:rFonts w:ascii="Arial"/>
          <w:i/>
          <w:sz w:val="15"/>
        </w:rPr>
        <w:t>next</w:t>
      </w:r>
      <w:r w:rsidRPr="00EB2BD8">
        <w:rPr>
          <w:rFonts w:ascii="Arial"/>
          <w:i/>
          <w:spacing w:val="-6"/>
          <w:sz w:val="15"/>
        </w:rPr>
        <w:t xml:space="preserve"> </w:t>
      </w:r>
      <w:r w:rsidRPr="00EB2BD8">
        <w:rPr>
          <w:rFonts w:ascii="Arial"/>
          <w:i/>
          <w:sz w:val="15"/>
        </w:rPr>
        <w:t>scheduled</w:t>
      </w:r>
      <w:r w:rsidRPr="00EB2BD8">
        <w:rPr>
          <w:rFonts w:ascii="Arial"/>
          <w:i/>
          <w:spacing w:val="-4"/>
          <w:sz w:val="15"/>
        </w:rPr>
        <w:t xml:space="preserve"> </w:t>
      </w:r>
      <w:r w:rsidRPr="00EB2BD8">
        <w:rPr>
          <w:rFonts w:ascii="Arial"/>
          <w:i/>
          <w:sz w:val="15"/>
        </w:rPr>
        <w:t>full</w:t>
      </w:r>
      <w:r w:rsidRPr="00EB2BD8">
        <w:rPr>
          <w:rFonts w:ascii="Arial"/>
          <w:i/>
          <w:spacing w:val="-5"/>
          <w:sz w:val="15"/>
        </w:rPr>
        <w:t xml:space="preserve"> </w:t>
      </w:r>
      <w:r w:rsidRPr="00EB2BD8">
        <w:rPr>
          <w:rFonts w:ascii="Arial"/>
          <w:i/>
          <w:sz w:val="15"/>
        </w:rPr>
        <w:t>revaluation</w:t>
      </w:r>
      <w:r w:rsidRPr="00EB2BD8">
        <w:rPr>
          <w:rFonts w:ascii="Arial"/>
          <w:i/>
          <w:spacing w:val="-7"/>
          <w:sz w:val="15"/>
        </w:rPr>
        <w:t xml:space="preserve"> </w:t>
      </w:r>
      <w:r w:rsidRPr="00EB2BD8">
        <w:rPr>
          <w:rFonts w:ascii="Arial"/>
          <w:i/>
          <w:sz w:val="15"/>
        </w:rPr>
        <w:t>for</w:t>
      </w:r>
      <w:r w:rsidRPr="00EB2BD8">
        <w:rPr>
          <w:rFonts w:ascii="Arial"/>
          <w:i/>
          <w:spacing w:val="-6"/>
          <w:sz w:val="15"/>
        </w:rPr>
        <w:t xml:space="preserve"> </w:t>
      </w:r>
      <w:r w:rsidRPr="00EB2BD8">
        <w:rPr>
          <w:rFonts w:ascii="Arial"/>
          <w:i/>
          <w:sz w:val="15"/>
        </w:rPr>
        <w:t>this purpose group will be conducted in 2026.</w:t>
      </w:r>
    </w:p>
    <w:p w14:paraId="328D655F" w14:textId="77777777" w:rsidR="00084F36" w:rsidRPr="00EB2BD8" w:rsidRDefault="00084F36">
      <w:pPr>
        <w:pStyle w:val="BodyText"/>
        <w:rPr>
          <w:rFonts w:ascii="Arial"/>
          <w:i/>
          <w:sz w:val="20"/>
        </w:rPr>
      </w:pPr>
    </w:p>
    <w:p w14:paraId="7576B8A9" w14:textId="77777777" w:rsidR="00084F36" w:rsidRPr="00EB2BD8" w:rsidRDefault="00084F36">
      <w:pPr>
        <w:pStyle w:val="BodyText"/>
        <w:rPr>
          <w:rFonts w:ascii="Arial"/>
          <w:i/>
          <w:sz w:val="20"/>
        </w:rPr>
      </w:pPr>
    </w:p>
    <w:p w14:paraId="669732B7" w14:textId="77777777" w:rsidR="00084F36" w:rsidRPr="00EB2BD8" w:rsidRDefault="00084F36">
      <w:pPr>
        <w:pStyle w:val="BodyText"/>
        <w:rPr>
          <w:rFonts w:ascii="Arial"/>
          <w:i/>
          <w:sz w:val="20"/>
        </w:rPr>
      </w:pPr>
    </w:p>
    <w:p w14:paraId="5181721E" w14:textId="77777777" w:rsidR="00084F36" w:rsidRPr="00EB2BD8" w:rsidRDefault="00084F36">
      <w:pPr>
        <w:pStyle w:val="BodyText"/>
        <w:rPr>
          <w:rFonts w:ascii="Arial"/>
          <w:i/>
          <w:sz w:val="20"/>
        </w:rPr>
      </w:pPr>
    </w:p>
    <w:p w14:paraId="6E03C85B" w14:textId="77777777" w:rsidR="00084F36" w:rsidRPr="00EB2BD8" w:rsidRDefault="00084F36">
      <w:pPr>
        <w:pStyle w:val="BodyText"/>
        <w:rPr>
          <w:rFonts w:ascii="Arial"/>
          <w:i/>
          <w:sz w:val="20"/>
        </w:rPr>
      </w:pPr>
    </w:p>
    <w:p w14:paraId="222A34A2" w14:textId="77777777" w:rsidR="00084F36" w:rsidRPr="00EB2BD8" w:rsidRDefault="00084F36">
      <w:pPr>
        <w:pStyle w:val="BodyText"/>
        <w:rPr>
          <w:rFonts w:ascii="Arial"/>
          <w:i/>
          <w:sz w:val="20"/>
        </w:rPr>
      </w:pPr>
    </w:p>
    <w:p w14:paraId="48320225" w14:textId="77777777" w:rsidR="00084F36" w:rsidRPr="00EB2BD8" w:rsidRDefault="00084F36">
      <w:pPr>
        <w:pStyle w:val="BodyText"/>
        <w:rPr>
          <w:rFonts w:ascii="Arial"/>
          <w:i/>
          <w:sz w:val="20"/>
        </w:rPr>
      </w:pPr>
    </w:p>
    <w:p w14:paraId="4189105F" w14:textId="77777777" w:rsidR="00084F36" w:rsidRPr="00EB2BD8" w:rsidRDefault="00084F36">
      <w:pPr>
        <w:pStyle w:val="BodyText"/>
        <w:rPr>
          <w:rFonts w:ascii="Arial"/>
          <w:i/>
          <w:sz w:val="20"/>
        </w:rPr>
      </w:pPr>
    </w:p>
    <w:p w14:paraId="4245D890" w14:textId="77777777" w:rsidR="00084F36" w:rsidRPr="00EB2BD8" w:rsidRDefault="00084F36">
      <w:pPr>
        <w:pStyle w:val="BodyText"/>
        <w:rPr>
          <w:rFonts w:ascii="Arial"/>
          <w:i/>
          <w:sz w:val="20"/>
        </w:rPr>
      </w:pPr>
    </w:p>
    <w:p w14:paraId="0C91F42B" w14:textId="77777777" w:rsidR="00084F36" w:rsidRPr="00EB2BD8" w:rsidRDefault="00084F36">
      <w:pPr>
        <w:pStyle w:val="BodyText"/>
        <w:rPr>
          <w:rFonts w:ascii="Arial"/>
          <w:i/>
          <w:sz w:val="20"/>
        </w:rPr>
      </w:pPr>
    </w:p>
    <w:p w14:paraId="5650BFA8" w14:textId="77777777" w:rsidR="00084F36" w:rsidRPr="00EB2BD8" w:rsidRDefault="00084F36">
      <w:pPr>
        <w:pStyle w:val="BodyText"/>
        <w:rPr>
          <w:rFonts w:ascii="Arial"/>
          <w:i/>
          <w:sz w:val="20"/>
        </w:rPr>
      </w:pPr>
    </w:p>
    <w:p w14:paraId="72D5660C" w14:textId="77777777" w:rsidR="00084F36" w:rsidRPr="00EB2BD8" w:rsidRDefault="00084F36">
      <w:pPr>
        <w:pStyle w:val="BodyText"/>
        <w:rPr>
          <w:rFonts w:ascii="Arial"/>
          <w:i/>
          <w:sz w:val="20"/>
        </w:rPr>
      </w:pPr>
    </w:p>
    <w:p w14:paraId="7FB8C847" w14:textId="77777777" w:rsidR="00084F36" w:rsidRPr="00EB2BD8" w:rsidRDefault="00084F36">
      <w:pPr>
        <w:pStyle w:val="BodyText"/>
        <w:rPr>
          <w:rFonts w:ascii="Arial"/>
          <w:i/>
          <w:sz w:val="20"/>
        </w:rPr>
      </w:pPr>
    </w:p>
    <w:p w14:paraId="6EE8379D" w14:textId="77777777" w:rsidR="00084F36" w:rsidRPr="00EB2BD8" w:rsidRDefault="00084F36">
      <w:pPr>
        <w:pStyle w:val="BodyText"/>
        <w:rPr>
          <w:rFonts w:ascii="Arial"/>
          <w:i/>
          <w:sz w:val="20"/>
        </w:rPr>
      </w:pPr>
    </w:p>
    <w:p w14:paraId="5DAA6A8F" w14:textId="77777777" w:rsidR="00084F36" w:rsidRPr="00EB2BD8" w:rsidRDefault="00084F36">
      <w:pPr>
        <w:pStyle w:val="BodyText"/>
        <w:rPr>
          <w:rFonts w:ascii="Arial"/>
          <w:i/>
          <w:sz w:val="20"/>
        </w:rPr>
      </w:pPr>
    </w:p>
    <w:p w14:paraId="6DC6D8C5" w14:textId="77777777" w:rsidR="00084F36" w:rsidRPr="00EB2BD8" w:rsidRDefault="00084F36">
      <w:pPr>
        <w:pStyle w:val="BodyText"/>
        <w:rPr>
          <w:rFonts w:ascii="Arial"/>
          <w:i/>
          <w:sz w:val="20"/>
        </w:rPr>
      </w:pPr>
    </w:p>
    <w:p w14:paraId="00770232" w14:textId="77777777" w:rsidR="00084F36" w:rsidRPr="00EB2BD8" w:rsidRDefault="00084F36">
      <w:pPr>
        <w:pStyle w:val="BodyText"/>
        <w:rPr>
          <w:rFonts w:ascii="Arial"/>
          <w:i/>
          <w:sz w:val="20"/>
        </w:rPr>
      </w:pPr>
    </w:p>
    <w:p w14:paraId="709BD8C1" w14:textId="77777777" w:rsidR="00084F36" w:rsidRPr="00EB2BD8" w:rsidRDefault="00084F36">
      <w:pPr>
        <w:pStyle w:val="BodyText"/>
        <w:rPr>
          <w:rFonts w:ascii="Arial"/>
          <w:i/>
          <w:sz w:val="20"/>
        </w:rPr>
      </w:pPr>
    </w:p>
    <w:p w14:paraId="25F9B94D" w14:textId="77777777" w:rsidR="00084F36" w:rsidRPr="00EB2BD8" w:rsidRDefault="00084F36">
      <w:pPr>
        <w:jc w:val="right"/>
        <w:rPr>
          <w:sz w:val="16"/>
        </w:rPr>
        <w:sectPr w:rsidR="00084F36" w:rsidRPr="00EB2BD8" w:rsidSect="006D75B2">
          <w:headerReference w:type="default" r:id="rId297"/>
          <w:footerReference w:type="default" r:id="rId298"/>
          <w:pgSz w:w="11910" w:h="16840"/>
          <w:pgMar w:top="760" w:right="0" w:bottom="280" w:left="0" w:header="0" w:footer="0" w:gutter="0"/>
          <w:cols w:space="720"/>
        </w:sectPr>
      </w:pPr>
    </w:p>
    <w:p w14:paraId="43FD1C4A" w14:textId="77777777" w:rsidR="00084F36" w:rsidRPr="00EB2BD8" w:rsidRDefault="00084F36">
      <w:pPr>
        <w:pStyle w:val="BodyText"/>
        <w:rPr>
          <w:sz w:val="20"/>
        </w:rPr>
      </w:pPr>
    </w:p>
    <w:p w14:paraId="60332D34" w14:textId="77777777" w:rsidR="00084F36" w:rsidRPr="00EB2BD8" w:rsidRDefault="00084F36">
      <w:pPr>
        <w:pStyle w:val="BodyText"/>
        <w:rPr>
          <w:sz w:val="20"/>
        </w:rPr>
      </w:pPr>
    </w:p>
    <w:p w14:paraId="265A1A6E" w14:textId="77777777" w:rsidR="00084F36" w:rsidRPr="00EB2BD8" w:rsidRDefault="00084F36">
      <w:pPr>
        <w:pStyle w:val="BodyText"/>
        <w:rPr>
          <w:sz w:val="20"/>
        </w:rPr>
      </w:pPr>
    </w:p>
    <w:p w14:paraId="69B4AF12" w14:textId="77777777" w:rsidR="00084F36" w:rsidRPr="00EB2BD8" w:rsidRDefault="00084F36">
      <w:pPr>
        <w:pStyle w:val="BodyText"/>
        <w:rPr>
          <w:sz w:val="20"/>
        </w:rPr>
      </w:pPr>
    </w:p>
    <w:p w14:paraId="53AD3FD2" w14:textId="77777777" w:rsidR="00084F36" w:rsidRPr="00EB2BD8" w:rsidRDefault="00084F36">
      <w:pPr>
        <w:pStyle w:val="BodyText"/>
        <w:rPr>
          <w:sz w:val="20"/>
        </w:rPr>
      </w:pPr>
    </w:p>
    <w:p w14:paraId="387645EA" w14:textId="77777777" w:rsidR="00084F36" w:rsidRPr="00EB2BD8" w:rsidRDefault="00084F36">
      <w:pPr>
        <w:pStyle w:val="BodyText"/>
        <w:spacing w:before="1"/>
        <w:rPr>
          <w:sz w:val="23"/>
        </w:rPr>
      </w:pPr>
    </w:p>
    <w:p w14:paraId="2C64E7B1" w14:textId="788D0E3A" w:rsidR="00084F36" w:rsidRPr="00EB2BD8" w:rsidRDefault="00273892" w:rsidP="00273892">
      <w:pPr>
        <w:pStyle w:val="Heading2"/>
      </w:pPr>
      <w:r>
        <w:t xml:space="preserve">    </w:t>
      </w:r>
      <w:bookmarkStart w:id="290" w:name="_Toc150762592"/>
      <w:r>
        <w:t>4.2 I</w:t>
      </w:r>
      <w:r w:rsidRPr="00EB2BD8">
        <w:t>ntangible</w:t>
      </w:r>
      <w:r w:rsidRPr="00EB2BD8">
        <w:rPr>
          <w:spacing w:val="22"/>
        </w:rPr>
        <w:t xml:space="preserve"> </w:t>
      </w:r>
      <w:r w:rsidRPr="00EB2BD8">
        <w:rPr>
          <w:spacing w:val="-2"/>
        </w:rPr>
        <w:t>assets</w:t>
      </w:r>
      <w:bookmarkEnd w:id="290"/>
    </w:p>
    <w:p w14:paraId="3619484B" w14:textId="77777777" w:rsidR="00084F36" w:rsidRPr="00EB2BD8" w:rsidRDefault="00084F36">
      <w:pPr>
        <w:pStyle w:val="BodyText"/>
        <w:spacing w:before="8"/>
        <w:rPr>
          <w:rFonts w:ascii="Arial"/>
          <w:b/>
          <w:sz w:val="11"/>
        </w:rPr>
      </w:pPr>
    </w:p>
    <w:p w14:paraId="02F73AAB" w14:textId="77777777" w:rsidR="00084F36" w:rsidRPr="00EB2BD8" w:rsidRDefault="00EB2BD8">
      <w:pPr>
        <w:spacing w:before="102" w:after="51"/>
        <w:ind w:right="1825"/>
        <w:jc w:val="right"/>
        <w:rPr>
          <w:rFonts w:ascii="Arial" w:hAnsi="Arial"/>
          <w:sz w:val="16"/>
        </w:rPr>
      </w:pPr>
      <w:r w:rsidRPr="00EB2BD8">
        <w:rPr>
          <w:rFonts w:ascii="Arial" w:hAnsi="Arial"/>
          <w:spacing w:val="-2"/>
          <w:w w:val="105"/>
          <w:sz w:val="16"/>
        </w:rPr>
        <w:t>($’000)</w:t>
      </w:r>
    </w:p>
    <w:tbl>
      <w:tblPr>
        <w:tblW w:w="0" w:type="auto"/>
        <w:tblInd w:w="1062" w:type="dxa"/>
        <w:tblLayout w:type="fixed"/>
        <w:tblCellMar>
          <w:left w:w="0" w:type="dxa"/>
          <w:right w:w="0" w:type="dxa"/>
        </w:tblCellMar>
        <w:tblLook w:val="01E0" w:firstRow="1" w:lastRow="1" w:firstColumn="1" w:lastColumn="1" w:noHBand="0" w:noVBand="0"/>
      </w:tblPr>
      <w:tblGrid>
        <w:gridCol w:w="6480"/>
        <w:gridCol w:w="1323"/>
        <w:gridCol w:w="1322"/>
      </w:tblGrid>
      <w:tr w:rsidR="00EB2BD8" w:rsidRPr="00EB2BD8" w14:paraId="52D64212" w14:textId="77777777">
        <w:trPr>
          <w:trHeight w:val="317"/>
        </w:trPr>
        <w:tc>
          <w:tcPr>
            <w:tcW w:w="7803" w:type="dxa"/>
            <w:gridSpan w:val="2"/>
            <w:shd w:val="clear" w:color="auto" w:fill="0070C0"/>
          </w:tcPr>
          <w:p w14:paraId="6192684B" w14:textId="77777777" w:rsidR="00084F36" w:rsidRPr="00EB2BD8" w:rsidRDefault="00EB2BD8">
            <w:pPr>
              <w:pStyle w:val="TableParagraph"/>
              <w:spacing w:before="69"/>
              <w:ind w:right="99"/>
              <w:jc w:val="right"/>
              <w:rPr>
                <w:rFonts w:ascii="Arial"/>
                <w:b/>
                <w:sz w:val="16"/>
              </w:rPr>
            </w:pPr>
            <w:r w:rsidRPr="00EB2BD8">
              <w:rPr>
                <w:rFonts w:ascii="Arial"/>
                <w:b/>
                <w:spacing w:val="-4"/>
                <w:w w:val="105"/>
                <w:sz w:val="16"/>
              </w:rPr>
              <w:t>2023</w:t>
            </w:r>
          </w:p>
        </w:tc>
        <w:tc>
          <w:tcPr>
            <w:tcW w:w="1322" w:type="dxa"/>
            <w:shd w:val="clear" w:color="auto" w:fill="0070C0"/>
          </w:tcPr>
          <w:p w14:paraId="48B7EB9A" w14:textId="77777777" w:rsidR="00084F36" w:rsidRPr="00EB2BD8" w:rsidRDefault="00EB2BD8">
            <w:pPr>
              <w:pStyle w:val="TableParagraph"/>
              <w:spacing w:before="69"/>
              <w:ind w:right="98"/>
              <w:jc w:val="right"/>
              <w:rPr>
                <w:rFonts w:ascii="Arial"/>
                <w:b/>
                <w:sz w:val="16"/>
              </w:rPr>
            </w:pPr>
            <w:r w:rsidRPr="00EB2BD8">
              <w:rPr>
                <w:rFonts w:ascii="Arial"/>
                <w:b/>
                <w:spacing w:val="-4"/>
                <w:w w:val="105"/>
                <w:sz w:val="16"/>
              </w:rPr>
              <w:t>2022</w:t>
            </w:r>
          </w:p>
        </w:tc>
      </w:tr>
      <w:tr w:rsidR="00EB2BD8" w:rsidRPr="00EB2BD8" w14:paraId="1BF59B88" w14:textId="77777777">
        <w:trPr>
          <w:trHeight w:val="287"/>
        </w:trPr>
        <w:tc>
          <w:tcPr>
            <w:tcW w:w="6480" w:type="dxa"/>
            <w:shd w:val="clear" w:color="auto" w:fill="FFFFFF"/>
          </w:tcPr>
          <w:p w14:paraId="00B17F30" w14:textId="77777777" w:rsidR="00084F36" w:rsidRPr="00EB2BD8" w:rsidRDefault="00EB2BD8">
            <w:pPr>
              <w:pStyle w:val="TableParagraph"/>
              <w:spacing w:before="68"/>
              <w:ind w:left="100"/>
              <w:rPr>
                <w:rFonts w:ascii="Arial"/>
                <w:b/>
                <w:sz w:val="16"/>
              </w:rPr>
            </w:pPr>
            <w:r w:rsidRPr="00EB2BD8">
              <w:rPr>
                <w:rFonts w:ascii="Arial"/>
                <w:b/>
                <w:w w:val="105"/>
                <w:sz w:val="16"/>
              </w:rPr>
              <w:t>Computer</w:t>
            </w:r>
            <w:r w:rsidRPr="00EB2BD8">
              <w:rPr>
                <w:rFonts w:ascii="Arial"/>
                <w:b/>
                <w:spacing w:val="-11"/>
                <w:w w:val="105"/>
                <w:sz w:val="16"/>
              </w:rPr>
              <w:t xml:space="preserve"> </w:t>
            </w:r>
            <w:r w:rsidRPr="00EB2BD8">
              <w:rPr>
                <w:rFonts w:ascii="Arial"/>
                <w:b/>
                <w:spacing w:val="-2"/>
                <w:w w:val="105"/>
                <w:sz w:val="16"/>
              </w:rPr>
              <w:t>Software</w:t>
            </w:r>
          </w:p>
        </w:tc>
        <w:tc>
          <w:tcPr>
            <w:tcW w:w="1323" w:type="dxa"/>
            <w:shd w:val="clear" w:color="auto" w:fill="DEEAF6"/>
          </w:tcPr>
          <w:p w14:paraId="34691554" w14:textId="77777777" w:rsidR="00084F36" w:rsidRPr="00EB2BD8" w:rsidRDefault="00084F36">
            <w:pPr>
              <w:pStyle w:val="TableParagraph"/>
              <w:rPr>
                <w:rFonts w:ascii="Times New Roman"/>
                <w:sz w:val="16"/>
              </w:rPr>
            </w:pPr>
          </w:p>
        </w:tc>
        <w:tc>
          <w:tcPr>
            <w:tcW w:w="1322" w:type="dxa"/>
            <w:shd w:val="clear" w:color="auto" w:fill="FFFFFF"/>
          </w:tcPr>
          <w:p w14:paraId="3E63F688" w14:textId="77777777" w:rsidR="00084F36" w:rsidRPr="00EB2BD8" w:rsidRDefault="00084F36">
            <w:pPr>
              <w:pStyle w:val="TableParagraph"/>
              <w:rPr>
                <w:rFonts w:ascii="Times New Roman"/>
                <w:sz w:val="16"/>
              </w:rPr>
            </w:pPr>
          </w:p>
        </w:tc>
      </w:tr>
      <w:tr w:rsidR="00EB2BD8" w:rsidRPr="00EB2BD8" w14:paraId="7C6244C8" w14:textId="77777777">
        <w:trPr>
          <w:trHeight w:val="246"/>
        </w:trPr>
        <w:tc>
          <w:tcPr>
            <w:tcW w:w="6480" w:type="dxa"/>
            <w:shd w:val="clear" w:color="auto" w:fill="FFFFFF"/>
          </w:tcPr>
          <w:p w14:paraId="385C8394" w14:textId="77777777" w:rsidR="00084F36" w:rsidRPr="00EB2BD8" w:rsidRDefault="00EB2BD8">
            <w:pPr>
              <w:pStyle w:val="TableParagraph"/>
              <w:spacing w:before="35"/>
              <w:ind w:left="100"/>
              <w:rPr>
                <w:rFonts w:ascii="Arial"/>
                <w:b/>
                <w:sz w:val="16"/>
              </w:rPr>
            </w:pPr>
            <w:r w:rsidRPr="00EB2BD8">
              <w:rPr>
                <w:rFonts w:ascii="Arial"/>
                <w:b/>
                <w:w w:val="105"/>
                <w:sz w:val="16"/>
              </w:rPr>
              <w:t>Gross</w:t>
            </w:r>
            <w:r w:rsidRPr="00EB2BD8">
              <w:rPr>
                <w:rFonts w:ascii="Arial"/>
                <w:b/>
                <w:spacing w:val="-9"/>
                <w:w w:val="105"/>
                <w:sz w:val="16"/>
              </w:rPr>
              <w:t xml:space="preserve"> </w:t>
            </w:r>
            <w:r w:rsidRPr="00EB2BD8">
              <w:rPr>
                <w:rFonts w:ascii="Arial"/>
                <w:b/>
                <w:w w:val="105"/>
                <w:sz w:val="16"/>
              </w:rPr>
              <w:t>carrying</w:t>
            </w:r>
            <w:r w:rsidRPr="00EB2BD8">
              <w:rPr>
                <w:rFonts w:ascii="Arial"/>
                <w:b/>
                <w:spacing w:val="-9"/>
                <w:w w:val="105"/>
                <w:sz w:val="16"/>
              </w:rPr>
              <w:t xml:space="preserve"> </w:t>
            </w:r>
            <w:r w:rsidRPr="00EB2BD8">
              <w:rPr>
                <w:rFonts w:ascii="Arial"/>
                <w:b/>
                <w:spacing w:val="-2"/>
                <w:w w:val="105"/>
                <w:sz w:val="16"/>
              </w:rPr>
              <w:t>amount</w:t>
            </w:r>
          </w:p>
        </w:tc>
        <w:tc>
          <w:tcPr>
            <w:tcW w:w="1323" w:type="dxa"/>
            <w:shd w:val="clear" w:color="auto" w:fill="DEEAF6"/>
          </w:tcPr>
          <w:p w14:paraId="50309011" w14:textId="77777777" w:rsidR="00084F36" w:rsidRPr="00EB2BD8" w:rsidRDefault="00084F36">
            <w:pPr>
              <w:pStyle w:val="TableParagraph"/>
              <w:rPr>
                <w:rFonts w:ascii="Times New Roman"/>
                <w:sz w:val="16"/>
              </w:rPr>
            </w:pPr>
          </w:p>
        </w:tc>
        <w:tc>
          <w:tcPr>
            <w:tcW w:w="1322" w:type="dxa"/>
            <w:shd w:val="clear" w:color="auto" w:fill="FFFFFF"/>
          </w:tcPr>
          <w:p w14:paraId="7213CB11" w14:textId="77777777" w:rsidR="00084F36" w:rsidRPr="00EB2BD8" w:rsidRDefault="00084F36">
            <w:pPr>
              <w:pStyle w:val="TableParagraph"/>
              <w:rPr>
                <w:rFonts w:ascii="Times New Roman"/>
                <w:sz w:val="16"/>
              </w:rPr>
            </w:pPr>
          </w:p>
        </w:tc>
      </w:tr>
      <w:tr w:rsidR="00EB2BD8" w:rsidRPr="00EB2BD8" w14:paraId="17D09184" w14:textId="77777777">
        <w:trPr>
          <w:trHeight w:val="277"/>
        </w:trPr>
        <w:tc>
          <w:tcPr>
            <w:tcW w:w="6480" w:type="dxa"/>
            <w:shd w:val="clear" w:color="auto" w:fill="FFFFFF"/>
          </w:tcPr>
          <w:p w14:paraId="60F5A55D" w14:textId="77777777" w:rsidR="00084F36" w:rsidRPr="00EB2BD8" w:rsidRDefault="00EB2BD8">
            <w:pPr>
              <w:pStyle w:val="TableParagraph"/>
              <w:spacing w:before="27"/>
              <w:ind w:left="100"/>
              <w:rPr>
                <w:rFonts w:ascii="Arial"/>
                <w:b/>
                <w:sz w:val="16"/>
              </w:rPr>
            </w:pPr>
            <w:r w:rsidRPr="00EB2BD8">
              <w:rPr>
                <w:rFonts w:ascii="Arial"/>
                <w:b/>
                <w:w w:val="105"/>
                <w:sz w:val="16"/>
              </w:rPr>
              <w:t>Opening</w:t>
            </w:r>
            <w:r w:rsidRPr="00EB2BD8">
              <w:rPr>
                <w:rFonts w:ascii="Arial"/>
                <w:b/>
                <w:spacing w:val="-9"/>
                <w:w w:val="105"/>
                <w:sz w:val="16"/>
              </w:rPr>
              <w:t xml:space="preserve"> </w:t>
            </w:r>
            <w:r w:rsidRPr="00EB2BD8">
              <w:rPr>
                <w:rFonts w:ascii="Arial"/>
                <w:b/>
                <w:spacing w:val="-2"/>
                <w:w w:val="105"/>
                <w:sz w:val="16"/>
              </w:rPr>
              <w:t>balance</w:t>
            </w:r>
          </w:p>
        </w:tc>
        <w:tc>
          <w:tcPr>
            <w:tcW w:w="1323" w:type="dxa"/>
            <w:shd w:val="clear" w:color="auto" w:fill="DEEAF6"/>
          </w:tcPr>
          <w:p w14:paraId="4AD5D29A" w14:textId="77777777" w:rsidR="00084F36" w:rsidRPr="00EB2BD8" w:rsidRDefault="00EB2BD8">
            <w:pPr>
              <w:pStyle w:val="TableParagraph"/>
              <w:spacing w:before="27"/>
              <w:ind w:right="99"/>
              <w:jc w:val="right"/>
              <w:rPr>
                <w:rFonts w:ascii="Arial"/>
                <w:sz w:val="16"/>
              </w:rPr>
            </w:pPr>
            <w:r w:rsidRPr="00EB2BD8">
              <w:rPr>
                <w:rFonts w:ascii="Arial"/>
                <w:spacing w:val="-2"/>
                <w:w w:val="105"/>
                <w:sz w:val="16"/>
              </w:rPr>
              <w:t>17,571</w:t>
            </w:r>
          </w:p>
        </w:tc>
        <w:tc>
          <w:tcPr>
            <w:tcW w:w="1322" w:type="dxa"/>
            <w:shd w:val="clear" w:color="auto" w:fill="FFFFFF"/>
          </w:tcPr>
          <w:p w14:paraId="07FD346B" w14:textId="77777777" w:rsidR="00084F36" w:rsidRPr="00EB2BD8" w:rsidRDefault="00EB2BD8">
            <w:pPr>
              <w:pStyle w:val="TableParagraph"/>
              <w:spacing w:before="27"/>
              <w:ind w:right="98"/>
              <w:jc w:val="right"/>
              <w:rPr>
                <w:rFonts w:ascii="Arial"/>
                <w:sz w:val="16"/>
              </w:rPr>
            </w:pPr>
            <w:r w:rsidRPr="00EB2BD8">
              <w:rPr>
                <w:rFonts w:ascii="Arial"/>
                <w:spacing w:val="-2"/>
                <w:w w:val="105"/>
                <w:sz w:val="16"/>
              </w:rPr>
              <w:t>14,108</w:t>
            </w:r>
          </w:p>
        </w:tc>
      </w:tr>
      <w:tr w:rsidR="00EB2BD8" w:rsidRPr="00EB2BD8" w14:paraId="7164734B" w14:textId="77777777">
        <w:trPr>
          <w:trHeight w:val="314"/>
        </w:trPr>
        <w:tc>
          <w:tcPr>
            <w:tcW w:w="6480" w:type="dxa"/>
            <w:tcBorders>
              <w:bottom w:val="single" w:sz="12" w:space="0" w:color="000000"/>
            </w:tcBorders>
            <w:shd w:val="clear" w:color="auto" w:fill="FFFFFF"/>
          </w:tcPr>
          <w:p w14:paraId="376B219C" w14:textId="77777777" w:rsidR="00084F36" w:rsidRPr="00EB2BD8" w:rsidRDefault="00EB2BD8">
            <w:pPr>
              <w:pStyle w:val="TableParagraph"/>
              <w:spacing w:before="66"/>
              <w:ind w:left="100"/>
              <w:rPr>
                <w:rFonts w:ascii="Arial"/>
                <w:sz w:val="16"/>
              </w:rPr>
            </w:pPr>
            <w:r w:rsidRPr="00EB2BD8">
              <w:rPr>
                <w:rFonts w:ascii="Arial"/>
                <w:spacing w:val="-2"/>
                <w:w w:val="105"/>
                <w:sz w:val="16"/>
              </w:rPr>
              <w:t>Additions</w:t>
            </w:r>
          </w:p>
        </w:tc>
        <w:tc>
          <w:tcPr>
            <w:tcW w:w="1323" w:type="dxa"/>
            <w:tcBorders>
              <w:bottom w:val="single" w:sz="12" w:space="0" w:color="000000"/>
            </w:tcBorders>
            <w:shd w:val="clear" w:color="auto" w:fill="DEEAF6"/>
          </w:tcPr>
          <w:p w14:paraId="23F54167" w14:textId="77777777" w:rsidR="00084F36" w:rsidRPr="00EB2BD8" w:rsidRDefault="00EB2BD8">
            <w:pPr>
              <w:pStyle w:val="TableParagraph"/>
              <w:spacing w:before="66"/>
              <w:ind w:right="99"/>
              <w:jc w:val="right"/>
              <w:rPr>
                <w:rFonts w:ascii="Arial"/>
                <w:sz w:val="16"/>
              </w:rPr>
            </w:pPr>
            <w:r w:rsidRPr="00EB2BD8">
              <w:rPr>
                <w:rFonts w:ascii="Arial"/>
                <w:spacing w:val="-2"/>
                <w:w w:val="105"/>
                <w:sz w:val="16"/>
              </w:rPr>
              <w:t>3,282</w:t>
            </w:r>
          </w:p>
        </w:tc>
        <w:tc>
          <w:tcPr>
            <w:tcW w:w="1322" w:type="dxa"/>
            <w:tcBorders>
              <w:bottom w:val="single" w:sz="12" w:space="0" w:color="000000"/>
            </w:tcBorders>
            <w:shd w:val="clear" w:color="auto" w:fill="FFFFFF"/>
          </w:tcPr>
          <w:p w14:paraId="12DADD32" w14:textId="77777777" w:rsidR="00084F36" w:rsidRPr="00EB2BD8" w:rsidRDefault="00EB2BD8">
            <w:pPr>
              <w:pStyle w:val="TableParagraph"/>
              <w:spacing w:before="66"/>
              <w:ind w:right="97"/>
              <w:jc w:val="right"/>
              <w:rPr>
                <w:rFonts w:ascii="Arial"/>
                <w:sz w:val="16"/>
              </w:rPr>
            </w:pPr>
            <w:r w:rsidRPr="00EB2BD8">
              <w:rPr>
                <w:rFonts w:ascii="Arial"/>
                <w:spacing w:val="-4"/>
                <w:w w:val="105"/>
                <w:sz w:val="16"/>
              </w:rPr>
              <w:t>3,467</w:t>
            </w:r>
          </w:p>
        </w:tc>
      </w:tr>
      <w:tr w:rsidR="00EB2BD8" w:rsidRPr="00EB2BD8" w14:paraId="1DA1F86E" w14:textId="77777777">
        <w:trPr>
          <w:trHeight w:val="286"/>
        </w:trPr>
        <w:tc>
          <w:tcPr>
            <w:tcW w:w="6480" w:type="dxa"/>
            <w:tcBorders>
              <w:top w:val="single" w:sz="12" w:space="0" w:color="000000"/>
              <w:bottom w:val="single" w:sz="12" w:space="0" w:color="000000"/>
            </w:tcBorders>
            <w:shd w:val="clear" w:color="auto" w:fill="FFFFFF"/>
          </w:tcPr>
          <w:p w14:paraId="35A803ED" w14:textId="77777777" w:rsidR="00084F36" w:rsidRPr="00EB2BD8" w:rsidRDefault="00EB2BD8">
            <w:pPr>
              <w:pStyle w:val="TableParagraph"/>
              <w:spacing w:before="53"/>
              <w:ind w:left="100"/>
              <w:rPr>
                <w:rFonts w:ascii="Arial"/>
                <w:b/>
                <w:sz w:val="16"/>
              </w:rPr>
            </w:pPr>
            <w:r w:rsidRPr="00EB2BD8">
              <w:rPr>
                <w:rFonts w:ascii="Arial"/>
                <w:b/>
                <w:w w:val="105"/>
                <w:sz w:val="16"/>
              </w:rPr>
              <w:t>Closing</w:t>
            </w:r>
            <w:r w:rsidRPr="00EB2BD8">
              <w:rPr>
                <w:rFonts w:ascii="Arial"/>
                <w:b/>
                <w:spacing w:val="-10"/>
                <w:w w:val="105"/>
                <w:sz w:val="16"/>
              </w:rPr>
              <w:t xml:space="preserve"> </w:t>
            </w:r>
            <w:r w:rsidRPr="00EB2BD8">
              <w:rPr>
                <w:rFonts w:ascii="Arial"/>
                <w:b/>
                <w:spacing w:val="-2"/>
                <w:w w:val="105"/>
                <w:sz w:val="16"/>
              </w:rPr>
              <w:t>balance</w:t>
            </w:r>
          </w:p>
        </w:tc>
        <w:tc>
          <w:tcPr>
            <w:tcW w:w="1323" w:type="dxa"/>
            <w:tcBorders>
              <w:top w:val="single" w:sz="12" w:space="0" w:color="000000"/>
              <w:bottom w:val="single" w:sz="12" w:space="0" w:color="000000"/>
            </w:tcBorders>
            <w:shd w:val="clear" w:color="auto" w:fill="DEEAF6"/>
          </w:tcPr>
          <w:p w14:paraId="09AB625C" w14:textId="77777777" w:rsidR="00084F36" w:rsidRPr="00EB2BD8" w:rsidRDefault="00EB2BD8">
            <w:pPr>
              <w:pStyle w:val="TableParagraph"/>
              <w:spacing w:before="53"/>
              <w:ind w:right="99"/>
              <w:jc w:val="right"/>
              <w:rPr>
                <w:rFonts w:ascii="Arial"/>
                <w:sz w:val="16"/>
              </w:rPr>
            </w:pPr>
            <w:r w:rsidRPr="00EB2BD8">
              <w:rPr>
                <w:rFonts w:ascii="Arial"/>
                <w:spacing w:val="-2"/>
                <w:w w:val="105"/>
                <w:sz w:val="16"/>
              </w:rPr>
              <w:t>20,853</w:t>
            </w:r>
          </w:p>
        </w:tc>
        <w:tc>
          <w:tcPr>
            <w:tcW w:w="1322" w:type="dxa"/>
            <w:tcBorders>
              <w:top w:val="single" w:sz="12" w:space="0" w:color="000000"/>
              <w:bottom w:val="single" w:sz="12" w:space="0" w:color="000000"/>
            </w:tcBorders>
            <w:shd w:val="clear" w:color="auto" w:fill="FFFFFF"/>
          </w:tcPr>
          <w:p w14:paraId="0EE90CEF" w14:textId="77777777" w:rsidR="00084F36" w:rsidRPr="00EB2BD8" w:rsidRDefault="00EB2BD8">
            <w:pPr>
              <w:pStyle w:val="TableParagraph"/>
              <w:spacing w:before="53"/>
              <w:ind w:right="98"/>
              <w:jc w:val="right"/>
              <w:rPr>
                <w:rFonts w:ascii="Arial"/>
                <w:sz w:val="16"/>
              </w:rPr>
            </w:pPr>
            <w:r w:rsidRPr="00EB2BD8">
              <w:rPr>
                <w:rFonts w:ascii="Arial"/>
                <w:spacing w:val="-2"/>
                <w:w w:val="105"/>
                <w:sz w:val="16"/>
              </w:rPr>
              <w:t>17,575</w:t>
            </w:r>
          </w:p>
        </w:tc>
      </w:tr>
      <w:tr w:rsidR="00EB2BD8" w:rsidRPr="00EB2BD8" w14:paraId="312A4D61" w14:textId="77777777">
        <w:trPr>
          <w:trHeight w:val="297"/>
        </w:trPr>
        <w:tc>
          <w:tcPr>
            <w:tcW w:w="6480" w:type="dxa"/>
            <w:tcBorders>
              <w:top w:val="single" w:sz="12" w:space="0" w:color="000000"/>
            </w:tcBorders>
            <w:shd w:val="clear" w:color="auto" w:fill="FFFFFF"/>
          </w:tcPr>
          <w:p w14:paraId="69C45200" w14:textId="77777777" w:rsidR="00084F36" w:rsidRPr="00EB2BD8" w:rsidRDefault="00EB2BD8">
            <w:pPr>
              <w:pStyle w:val="TableParagraph"/>
              <w:spacing w:before="53"/>
              <w:ind w:left="100"/>
              <w:rPr>
                <w:rFonts w:ascii="Arial"/>
                <w:b/>
                <w:sz w:val="16"/>
              </w:rPr>
            </w:pPr>
            <w:r w:rsidRPr="00EB2BD8">
              <w:rPr>
                <w:rFonts w:ascii="Arial"/>
                <w:b/>
                <w:w w:val="105"/>
                <w:sz w:val="16"/>
              </w:rPr>
              <w:t>Accumulated</w:t>
            </w:r>
            <w:r w:rsidRPr="00EB2BD8">
              <w:rPr>
                <w:rFonts w:ascii="Arial"/>
                <w:b/>
                <w:spacing w:val="-11"/>
                <w:w w:val="105"/>
                <w:sz w:val="16"/>
              </w:rPr>
              <w:t xml:space="preserve"> </w:t>
            </w:r>
            <w:r w:rsidRPr="00EB2BD8">
              <w:rPr>
                <w:rFonts w:ascii="Arial"/>
                <w:b/>
                <w:w w:val="105"/>
                <w:sz w:val="16"/>
              </w:rPr>
              <w:t>amortisation</w:t>
            </w:r>
            <w:r w:rsidRPr="00EB2BD8">
              <w:rPr>
                <w:rFonts w:ascii="Arial"/>
                <w:b/>
                <w:spacing w:val="-11"/>
                <w:w w:val="105"/>
                <w:sz w:val="16"/>
              </w:rPr>
              <w:t xml:space="preserve"> </w:t>
            </w:r>
            <w:r w:rsidRPr="00EB2BD8">
              <w:rPr>
                <w:rFonts w:ascii="Arial"/>
                <w:b/>
                <w:w w:val="105"/>
                <w:sz w:val="16"/>
              </w:rPr>
              <w:t>and</w:t>
            </w:r>
            <w:r w:rsidRPr="00EB2BD8">
              <w:rPr>
                <w:rFonts w:ascii="Arial"/>
                <w:b/>
                <w:spacing w:val="-12"/>
                <w:w w:val="105"/>
                <w:sz w:val="16"/>
              </w:rPr>
              <w:t xml:space="preserve"> </w:t>
            </w:r>
            <w:r w:rsidRPr="00EB2BD8">
              <w:rPr>
                <w:rFonts w:ascii="Arial"/>
                <w:b/>
                <w:spacing w:val="-2"/>
                <w:w w:val="105"/>
                <w:sz w:val="16"/>
              </w:rPr>
              <w:t>impairment</w:t>
            </w:r>
          </w:p>
        </w:tc>
        <w:tc>
          <w:tcPr>
            <w:tcW w:w="1323" w:type="dxa"/>
            <w:tcBorders>
              <w:top w:val="single" w:sz="12" w:space="0" w:color="000000"/>
            </w:tcBorders>
            <w:shd w:val="clear" w:color="auto" w:fill="DEEAF6"/>
          </w:tcPr>
          <w:p w14:paraId="2B8AB320" w14:textId="77777777" w:rsidR="00084F36" w:rsidRPr="00EB2BD8" w:rsidRDefault="00084F36">
            <w:pPr>
              <w:pStyle w:val="TableParagraph"/>
              <w:rPr>
                <w:rFonts w:ascii="Times New Roman"/>
                <w:sz w:val="16"/>
              </w:rPr>
            </w:pPr>
          </w:p>
        </w:tc>
        <w:tc>
          <w:tcPr>
            <w:tcW w:w="1322" w:type="dxa"/>
            <w:tcBorders>
              <w:top w:val="single" w:sz="12" w:space="0" w:color="000000"/>
            </w:tcBorders>
            <w:shd w:val="clear" w:color="auto" w:fill="FFFFFF"/>
          </w:tcPr>
          <w:p w14:paraId="0306A666" w14:textId="77777777" w:rsidR="00084F36" w:rsidRPr="00EB2BD8" w:rsidRDefault="00084F36">
            <w:pPr>
              <w:pStyle w:val="TableParagraph"/>
              <w:rPr>
                <w:rFonts w:ascii="Times New Roman"/>
                <w:sz w:val="16"/>
              </w:rPr>
            </w:pPr>
          </w:p>
        </w:tc>
      </w:tr>
      <w:tr w:rsidR="00EB2BD8" w:rsidRPr="00EB2BD8" w14:paraId="5728D42F" w14:textId="77777777">
        <w:trPr>
          <w:trHeight w:val="310"/>
        </w:trPr>
        <w:tc>
          <w:tcPr>
            <w:tcW w:w="6480" w:type="dxa"/>
            <w:shd w:val="clear" w:color="auto" w:fill="FFFFFF"/>
          </w:tcPr>
          <w:p w14:paraId="3EE7502B" w14:textId="77777777" w:rsidR="00084F36" w:rsidRPr="00EB2BD8" w:rsidRDefault="00EB2BD8">
            <w:pPr>
              <w:pStyle w:val="TableParagraph"/>
              <w:spacing w:before="60"/>
              <w:ind w:left="100"/>
              <w:rPr>
                <w:rFonts w:ascii="Arial"/>
                <w:b/>
                <w:sz w:val="16"/>
              </w:rPr>
            </w:pPr>
            <w:r w:rsidRPr="00EB2BD8">
              <w:rPr>
                <w:rFonts w:ascii="Arial"/>
                <w:b/>
                <w:w w:val="105"/>
                <w:sz w:val="16"/>
              </w:rPr>
              <w:t>Opening</w:t>
            </w:r>
            <w:r w:rsidRPr="00EB2BD8">
              <w:rPr>
                <w:rFonts w:ascii="Arial"/>
                <w:b/>
                <w:spacing w:val="-9"/>
                <w:w w:val="105"/>
                <w:sz w:val="16"/>
              </w:rPr>
              <w:t xml:space="preserve"> </w:t>
            </w:r>
            <w:r w:rsidRPr="00EB2BD8">
              <w:rPr>
                <w:rFonts w:ascii="Arial"/>
                <w:b/>
                <w:spacing w:val="-2"/>
                <w:w w:val="105"/>
                <w:sz w:val="16"/>
              </w:rPr>
              <w:t>balance</w:t>
            </w:r>
          </w:p>
        </w:tc>
        <w:tc>
          <w:tcPr>
            <w:tcW w:w="1323" w:type="dxa"/>
            <w:shd w:val="clear" w:color="auto" w:fill="DEEAF6"/>
          </w:tcPr>
          <w:p w14:paraId="4AFB4881" w14:textId="77777777" w:rsidR="00084F36" w:rsidRPr="00EB2BD8" w:rsidRDefault="00EB2BD8">
            <w:pPr>
              <w:pStyle w:val="TableParagraph"/>
              <w:spacing w:before="60"/>
              <w:ind w:right="100"/>
              <w:jc w:val="right"/>
              <w:rPr>
                <w:rFonts w:ascii="Arial"/>
                <w:sz w:val="16"/>
              </w:rPr>
            </w:pPr>
            <w:r w:rsidRPr="00EB2BD8">
              <w:rPr>
                <w:rFonts w:ascii="Arial"/>
                <w:spacing w:val="-2"/>
                <w:w w:val="105"/>
                <w:sz w:val="16"/>
              </w:rPr>
              <w:t>(8,863)</w:t>
            </w:r>
          </w:p>
        </w:tc>
        <w:tc>
          <w:tcPr>
            <w:tcW w:w="1322" w:type="dxa"/>
            <w:shd w:val="clear" w:color="auto" w:fill="FFFFFF"/>
          </w:tcPr>
          <w:p w14:paraId="25195043" w14:textId="77777777" w:rsidR="00084F36" w:rsidRPr="00EB2BD8" w:rsidRDefault="00EB2BD8">
            <w:pPr>
              <w:pStyle w:val="TableParagraph"/>
              <w:spacing w:before="60"/>
              <w:ind w:right="99"/>
              <w:jc w:val="right"/>
              <w:rPr>
                <w:rFonts w:ascii="Arial"/>
                <w:sz w:val="16"/>
              </w:rPr>
            </w:pPr>
            <w:r w:rsidRPr="00EB2BD8">
              <w:rPr>
                <w:rFonts w:ascii="Arial"/>
                <w:spacing w:val="-2"/>
                <w:w w:val="105"/>
                <w:sz w:val="16"/>
              </w:rPr>
              <w:t>(6,681)</w:t>
            </w:r>
          </w:p>
        </w:tc>
      </w:tr>
      <w:tr w:rsidR="00EB2BD8" w:rsidRPr="00EB2BD8" w14:paraId="217AEFB2" w14:textId="77777777">
        <w:trPr>
          <w:trHeight w:val="313"/>
        </w:trPr>
        <w:tc>
          <w:tcPr>
            <w:tcW w:w="6480" w:type="dxa"/>
            <w:tcBorders>
              <w:bottom w:val="single" w:sz="12" w:space="0" w:color="000000"/>
            </w:tcBorders>
            <w:shd w:val="clear" w:color="auto" w:fill="FFFFFF"/>
          </w:tcPr>
          <w:p w14:paraId="5460F19B" w14:textId="77777777" w:rsidR="00084F36" w:rsidRPr="00EB2BD8" w:rsidRDefault="00EB2BD8">
            <w:pPr>
              <w:pStyle w:val="TableParagraph"/>
              <w:spacing w:before="67"/>
              <w:ind w:left="100"/>
              <w:rPr>
                <w:rFonts w:ascii="Arial"/>
                <w:sz w:val="16"/>
              </w:rPr>
            </w:pPr>
            <w:r w:rsidRPr="00EB2BD8">
              <w:rPr>
                <w:rFonts w:ascii="Arial"/>
                <w:spacing w:val="-2"/>
                <w:w w:val="105"/>
                <w:sz w:val="16"/>
              </w:rPr>
              <w:t>Amortisation</w:t>
            </w:r>
          </w:p>
        </w:tc>
        <w:tc>
          <w:tcPr>
            <w:tcW w:w="1323" w:type="dxa"/>
            <w:tcBorders>
              <w:bottom w:val="single" w:sz="12" w:space="0" w:color="000000"/>
            </w:tcBorders>
            <w:shd w:val="clear" w:color="auto" w:fill="DEEAF6"/>
          </w:tcPr>
          <w:p w14:paraId="26219BAE" w14:textId="77777777" w:rsidR="00084F36" w:rsidRPr="00EB2BD8" w:rsidRDefault="00EB2BD8">
            <w:pPr>
              <w:pStyle w:val="TableParagraph"/>
              <w:spacing w:before="67"/>
              <w:ind w:right="100"/>
              <w:jc w:val="right"/>
              <w:rPr>
                <w:rFonts w:ascii="Arial"/>
                <w:sz w:val="16"/>
              </w:rPr>
            </w:pPr>
            <w:r w:rsidRPr="00EB2BD8">
              <w:rPr>
                <w:rFonts w:ascii="Arial"/>
                <w:spacing w:val="-2"/>
                <w:w w:val="105"/>
                <w:sz w:val="16"/>
              </w:rPr>
              <w:t>(2,593)</w:t>
            </w:r>
          </w:p>
        </w:tc>
        <w:tc>
          <w:tcPr>
            <w:tcW w:w="1322" w:type="dxa"/>
            <w:tcBorders>
              <w:bottom w:val="single" w:sz="12" w:space="0" w:color="000000"/>
            </w:tcBorders>
            <w:shd w:val="clear" w:color="auto" w:fill="FFFFFF"/>
          </w:tcPr>
          <w:p w14:paraId="725E29EA" w14:textId="77777777" w:rsidR="00084F36" w:rsidRPr="00EB2BD8" w:rsidRDefault="00EB2BD8">
            <w:pPr>
              <w:pStyle w:val="TableParagraph"/>
              <w:spacing w:before="67"/>
              <w:ind w:right="98"/>
              <w:jc w:val="right"/>
              <w:rPr>
                <w:rFonts w:ascii="Arial"/>
                <w:sz w:val="16"/>
              </w:rPr>
            </w:pPr>
            <w:r w:rsidRPr="00EB2BD8">
              <w:rPr>
                <w:rFonts w:ascii="Arial"/>
                <w:spacing w:val="-2"/>
                <w:w w:val="105"/>
                <w:sz w:val="16"/>
              </w:rPr>
              <w:t>(2,186)</w:t>
            </w:r>
          </w:p>
        </w:tc>
      </w:tr>
      <w:tr w:rsidR="00EB2BD8" w:rsidRPr="00EB2BD8" w14:paraId="1FDDD9AF" w14:textId="77777777">
        <w:trPr>
          <w:trHeight w:val="287"/>
        </w:trPr>
        <w:tc>
          <w:tcPr>
            <w:tcW w:w="6480" w:type="dxa"/>
            <w:tcBorders>
              <w:top w:val="single" w:sz="12" w:space="0" w:color="000000"/>
              <w:bottom w:val="single" w:sz="12" w:space="0" w:color="000000"/>
            </w:tcBorders>
            <w:shd w:val="clear" w:color="auto" w:fill="FFFFFF"/>
          </w:tcPr>
          <w:p w14:paraId="044A328B" w14:textId="77777777" w:rsidR="00084F36" w:rsidRPr="00EB2BD8" w:rsidRDefault="00EB2BD8">
            <w:pPr>
              <w:pStyle w:val="TableParagraph"/>
              <w:spacing w:before="53"/>
              <w:ind w:left="100"/>
              <w:rPr>
                <w:rFonts w:ascii="Arial"/>
                <w:b/>
                <w:sz w:val="16"/>
              </w:rPr>
            </w:pPr>
            <w:r w:rsidRPr="00EB2BD8">
              <w:rPr>
                <w:rFonts w:ascii="Arial"/>
                <w:b/>
                <w:w w:val="105"/>
                <w:sz w:val="16"/>
              </w:rPr>
              <w:t>Closing</w:t>
            </w:r>
            <w:r w:rsidRPr="00EB2BD8">
              <w:rPr>
                <w:rFonts w:ascii="Arial"/>
                <w:b/>
                <w:spacing w:val="-10"/>
                <w:w w:val="105"/>
                <w:sz w:val="16"/>
              </w:rPr>
              <w:t xml:space="preserve"> </w:t>
            </w:r>
            <w:r w:rsidRPr="00EB2BD8">
              <w:rPr>
                <w:rFonts w:ascii="Arial"/>
                <w:b/>
                <w:spacing w:val="-2"/>
                <w:w w:val="105"/>
                <w:sz w:val="16"/>
              </w:rPr>
              <w:t>balance</w:t>
            </w:r>
          </w:p>
        </w:tc>
        <w:tc>
          <w:tcPr>
            <w:tcW w:w="1323" w:type="dxa"/>
            <w:tcBorders>
              <w:top w:val="single" w:sz="12" w:space="0" w:color="000000"/>
              <w:bottom w:val="single" w:sz="12" w:space="0" w:color="000000"/>
            </w:tcBorders>
            <w:shd w:val="clear" w:color="auto" w:fill="DEEAF6"/>
          </w:tcPr>
          <w:p w14:paraId="2D81BEC9" w14:textId="77777777" w:rsidR="00084F36" w:rsidRPr="00EB2BD8" w:rsidRDefault="00EB2BD8">
            <w:pPr>
              <w:pStyle w:val="TableParagraph"/>
              <w:spacing w:before="53"/>
              <w:ind w:right="100"/>
              <w:jc w:val="right"/>
              <w:rPr>
                <w:rFonts w:ascii="Arial"/>
                <w:b/>
                <w:sz w:val="16"/>
              </w:rPr>
            </w:pPr>
            <w:r w:rsidRPr="00EB2BD8">
              <w:rPr>
                <w:rFonts w:ascii="Arial"/>
                <w:b/>
                <w:spacing w:val="-2"/>
                <w:w w:val="105"/>
                <w:sz w:val="16"/>
              </w:rPr>
              <w:t>(11,456)</w:t>
            </w:r>
          </w:p>
        </w:tc>
        <w:tc>
          <w:tcPr>
            <w:tcW w:w="1322" w:type="dxa"/>
            <w:tcBorders>
              <w:top w:val="single" w:sz="12" w:space="0" w:color="000000"/>
              <w:bottom w:val="single" w:sz="12" w:space="0" w:color="000000"/>
            </w:tcBorders>
            <w:shd w:val="clear" w:color="auto" w:fill="FFFFFF"/>
          </w:tcPr>
          <w:p w14:paraId="6580F903" w14:textId="77777777" w:rsidR="00084F36" w:rsidRPr="00EB2BD8" w:rsidRDefault="00EB2BD8">
            <w:pPr>
              <w:pStyle w:val="TableParagraph"/>
              <w:spacing w:before="53"/>
              <w:ind w:right="98"/>
              <w:jc w:val="right"/>
              <w:rPr>
                <w:rFonts w:ascii="Arial"/>
                <w:b/>
                <w:sz w:val="16"/>
              </w:rPr>
            </w:pPr>
            <w:r w:rsidRPr="00EB2BD8">
              <w:rPr>
                <w:rFonts w:ascii="Arial"/>
                <w:b/>
                <w:spacing w:val="-2"/>
                <w:w w:val="105"/>
                <w:sz w:val="16"/>
              </w:rPr>
              <w:t>(8,867)</w:t>
            </w:r>
          </w:p>
        </w:tc>
      </w:tr>
      <w:tr w:rsidR="00EB2BD8" w:rsidRPr="00EB2BD8" w14:paraId="1751140D" w14:textId="77777777">
        <w:trPr>
          <w:trHeight w:val="286"/>
        </w:trPr>
        <w:tc>
          <w:tcPr>
            <w:tcW w:w="6480" w:type="dxa"/>
            <w:tcBorders>
              <w:top w:val="single" w:sz="12" w:space="0" w:color="000000"/>
              <w:bottom w:val="single" w:sz="12" w:space="0" w:color="000000"/>
            </w:tcBorders>
            <w:shd w:val="clear" w:color="auto" w:fill="FFFFFF"/>
          </w:tcPr>
          <w:p w14:paraId="1CF4D024" w14:textId="77777777" w:rsidR="00084F36" w:rsidRPr="00EB2BD8" w:rsidRDefault="00EB2BD8">
            <w:pPr>
              <w:pStyle w:val="TableParagraph"/>
              <w:spacing w:before="53"/>
              <w:ind w:left="100"/>
              <w:rPr>
                <w:rFonts w:ascii="Arial"/>
                <w:b/>
                <w:sz w:val="16"/>
              </w:rPr>
            </w:pPr>
            <w:r w:rsidRPr="00EB2BD8">
              <w:rPr>
                <w:rFonts w:ascii="Arial"/>
                <w:b/>
                <w:w w:val="105"/>
                <w:sz w:val="16"/>
              </w:rPr>
              <w:t>Net</w:t>
            </w:r>
            <w:r w:rsidRPr="00EB2BD8">
              <w:rPr>
                <w:rFonts w:ascii="Arial"/>
                <w:b/>
                <w:spacing w:val="-6"/>
                <w:w w:val="105"/>
                <w:sz w:val="16"/>
              </w:rPr>
              <w:t xml:space="preserve"> </w:t>
            </w:r>
            <w:r w:rsidRPr="00EB2BD8">
              <w:rPr>
                <w:rFonts w:ascii="Arial"/>
                <w:b/>
                <w:w w:val="105"/>
                <w:sz w:val="16"/>
              </w:rPr>
              <w:t>book</w:t>
            </w:r>
            <w:r w:rsidRPr="00EB2BD8">
              <w:rPr>
                <w:rFonts w:ascii="Arial"/>
                <w:b/>
                <w:spacing w:val="-5"/>
                <w:w w:val="105"/>
                <w:sz w:val="16"/>
              </w:rPr>
              <w:t xml:space="preserve"> </w:t>
            </w:r>
            <w:r w:rsidRPr="00EB2BD8">
              <w:rPr>
                <w:rFonts w:ascii="Arial"/>
                <w:b/>
                <w:w w:val="105"/>
                <w:sz w:val="16"/>
              </w:rPr>
              <w:t>value</w:t>
            </w:r>
            <w:r w:rsidRPr="00EB2BD8">
              <w:rPr>
                <w:rFonts w:ascii="Arial"/>
                <w:b/>
                <w:spacing w:val="-5"/>
                <w:w w:val="105"/>
                <w:sz w:val="16"/>
              </w:rPr>
              <w:t xml:space="preserve"> </w:t>
            </w:r>
            <w:r w:rsidRPr="00EB2BD8">
              <w:rPr>
                <w:rFonts w:ascii="Arial"/>
                <w:b/>
                <w:w w:val="105"/>
                <w:sz w:val="16"/>
              </w:rPr>
              <w:t>at</w:t>
            </w:r>
            <w:r w:rsidRPr="00EB2BD8">
              <w:rPr>
                <w:rFonts w:ascii="Arial"/>
                <w:b/>
                <w:spacing w:val="-6"/>
                <w:w w:val="105"/>
                <w:sz w:val="16"/>
              </w:rPr>
              <w:t xml:space="preserve"> </w:t>
            </w:r>
            <w:r w:rsidRPr="00EB2BD8">
              <w:rPr>
                <w:rFonts w:ascii="Arial"/>
                <w:b/>
                <w:w w:val="105"/>
                <w:sz w:val="16"/>
              </w:rPr>
              <w:t>end</w:t>
            </w:r>
            <w:r w:rsidRPr="00EB2BD8">
              <w:rPr>
                <w:rFonts w:ascii="Arial"/>
                <w:b/>
                <w:spacing w:val="-4"/>
                <w:w w:val="105"/>
                <w:sz w:val="16"/>
              </w:rPr>
              <w:t xml:space="preserve"> </w:t>
            </w:r>
            <w:r w:rsidRPr="00EB2BD8">
              <w:rPr>
                <w:rFonts w:ascii="Arial"/>
                <w:b/>
                <w:w w:val="105"/>
                <w:sz w:val="16"/>
              </w:rPr>
              <w:t>of</w:t>
            </w:r>
            <w:r w:rsidRPr="00EB2BD8">
              <w:rPr>
                <w:rFonts w:ascii="Arial"/>
                <w:b/>
                <w:spacing w:val="-5"/>
                <w:w w:val="105"/>
                <w:sz w:val="16"/>
              </w:rPr>
              <w:t xml:space="preserve"> </w:t>
            </w:r>
            <w:r w:rsidRPr="00EB2BD8">
              <w:rPr>
                <w:rFonts w:ascii="Arial"/>
                <w:b/>
                <w:w w:val="105"/>
                <w:sz w:val="16"/>
              </w:rPr>
              <w:t>financial</w:t>
            </w:r>
            <w:r w:rsidRPr="00EB2BD8">
              <w:rPr>
                <w:rFonts w:ascii="Arial"/>
                <w:b/>
                <w:spacing w:val="-6"/>
                <w:w w:val="105"/>
                <w:sz w:val="16"/>
              </w:rPr>
              <w:t xml:space="preserve"> </w:t>
            </w:r>
            <w:r w:rsidRPr="00EB2BD8">
              <w:rPr>
                <w:rFonts w:ascii="Arial"/>
                <w:b/>
                <w:spacing w:val="-4"/>
                <w:w w:val="105"/>
                <w:sz w:val="16"/>
              </w:rPr>
              <w:t>year</w:t>
            </w:r>
          </w:p>
        </w:tc>
        <w:tc>
          <w:tcPr>
            <w:tcW w:w="1323" w:type="dxa"/>
            <w:tcBorders>
              <w:top w:val="single" w:sz="12" w:space="0" w:color="000000"/>
              <w:bottom w:val="single" w:sz="12" w:space="0" w:color="000000"/>
            </w:tcBorders>
            <w:shd w:val="clear" w:color="auto" w:fill="DEEAF6"/>
          </w:tcPr>
          <w:p w14:paraId="76E1A614" w14:textId="77777777" w:rsidR="00084F36" w:rsidRPr="00EB2BD8" w:rsidRDefault="00EB2BD8">
            <w:pPr>
              <w:pStyle w:val="TableParagraph"/>
              <w:spacing w:before="53"/>
              <w:ind w:right="99"/>
              <w:jc w:val="right"/>
              <w:rPr>
                <w:rFonts w:ascii="Arial"/>
                <w:b/>
                <w:sz w:val="16"/>
              </w:rPr>
            </w:pPr>
            <w:r w:rsidRPr="00EB2BD8">
              <w:rPr>
                <w:rFonts w:ascii="Arial"/>
                <w:b/>
                <w:spacing w:val="-2"/>
                <w:w w:val="105"/>
                <w:sz w:val="16"/>
              </w:rPr>
              <w:t>9,397</w:t>
            </w:r>
          </w:p>
        </w:tc>
        <w:tc>
          <w:tcPr>
            <w:tcW w:w="1322" w:type="dxa"/>
            <w:tcBorders>
              <w:top w:val="single" w:sz="12" w:space="0" w:color="000000"/>
              <w:bottom w:val="single" w:sz="12" w:space="0" w:color="000000"/>
            </w:tcBorders>
            <w:shd w:val="clear" w:color="auto" w:fill="FFFFFF"/>
          </w:tcPr>
          <w:p w14:paraId="49AD4586" w14:textId="77777777" w:rsidR="00084F36" w:rsidRPr="00EB2BD8" w:rsidRDefault="00EB2BD8">
            <w:pPr>
              <w:pStyle w:val="TableParagraph"/>
              <w:spacing w:before="53"/>
              <w:ind w:right="99"/>
              <w:jc w:val="right"/>
              <w:rPr>
                <w:rFonts w:ascii="Arial"/>
                <w:b/>
                <w:sz w:val="16"/>
              </w:rPr>
            </w:pPr>
            <w:r w:rsidRPr="00EB2BD8">
              <w:rPr>
                <w:rFonts w:ascii="Arial"/>
                <w:b/>
                <w:spacing w:val="-2"/>
                <w:w w:val="105"/>
                <w:sz w:val="16"/>
              </w:rPr>
              <w:t>8,708</w:t>
            </w:r>
          </w:p>
        </w:tc>
      </w:tr>
    </w:tbl>
    <w:p w14:paraId="1C7AFF8E" w14:textId="77777777" w:rsidR="00084F36" w:rsidRPr="00EB2BD8" w:rsidRDefault="00084F36">
      <w:pPr>
        <w:pStyle w:val="BodyText"/>
        <w:rPr>
          <w:rFonts w:ascii="Arial"/>
        </w:rPr>
      </w:pPr>
    </w:p>
    <w:p w14:paraId="35AAB358" w14:textId="77777777" w:rsidR="00084F36" w:rsidRPr="00EB2BD8" w:rsidRDefault="00EB2BD8" w:rsidP="00273892">
      <w:pPr>
        <w:pStyle w:val="Heading2"/>
        <w:ind w:firstLine="204"/>
      </w:pPr>
      <w:bookmarkStart w:id="291" w:name="_Toc150762593"/>
      <w:r w:rsidRPr="00EB2BD8">
        <w:t>Initial</w:t>
      </w:r>
      <w:r w:rsidRPr="00EB2BD8">
        <w:rPr>
          <w:spacing w:val="11"/>
        </w:rPr>
        <w:t xml:space="preserve"> </w:t>
      </w:r>
      <w:r w:rsidRPr="00EB2BD8">
        <w:t>recognition</w:t>
      </w:r>
      <w:bookmarkEnd w:id="291"/>
    </w:p>
    <w:p w14:paraId="70AEF8C1" w14:textId="77777777" w:rsidR="00084F36" w:rsidRPr="00EB2BD8" w:rsidRDefault="00EB2BD8">
      <w:pPr>
        <w:spacing w:before="157" w:line="290" w:lineRule="auto"/>
        <w:ind w:left="1054" w:right="1652"/>
        <w:rPr>
          <w:rFonts w:ascii="Arial"/>
          <w:sz w:val="16"/>
        </w:rPr>
      </w:pPr>
      <w:r w:rsidRPr="00EB2BD8">
        <w:rPr>
          <w:rFonts w:ascii="Arial"/>
          <w:b/>
          <w:w w:val="105"/>
          <w:sz w:val="16"/>
        </w:rPr>
        <w:t xml:space="preserve">Purchased intangible assets </w:t>
      </w:r>
      <w:r w:rsidRPr="00EB2BD8">
        <w:rPr>
          <w:rFonts w:ascii="Arial"/>
          <w:w w:val="105"/>
          <w:sz w:val="16"/>
        </w:rPr>
        <w:t xml:space="preserve">are initially recognised at cost. When the recognition criteria in AASB 138 </w:t>
      </w:r>
      <w:r w:rsidRPr="00EB2BD8">
        <w:rPr>
          <w:rFonts w:ascii="Arial"/>
          <w:i/>
          <w:w w:val="105"/>
          <w:sz w:val="16"/>
        </w:rPr>
        <w:t>Intangible Assets</w:t>
      </w:r>
      <w:r w:rsidRPr="00EB2BD8">
        <w:rPr>
          <w:rFonts w:ascii="Arial"/>
          <w:i/>
          <w:spacing w:val="40"/>
          <w:w w:val="105"/>
          <w:sz w:val="16"/>
        </w:rPr>
        <w:t xml:space="preserve"> </w:t>
      </w:r>
      <w:r w:rsidRPr="00EB2BD8">
        <w:rPr>
          <w:rFonts w:ascii="Arial"/>
          <w:w w:val="105"/>
          <w:sz w:val="16"/>
        </w:rPr>
        <w:t>is met, internally generated intangible assets are recognised at cost. Subsequently, intangible assets with finite useful lives are carried at cost less accumulated amortisation and accumulated impairment losses. Depreciation and amortisation begin when</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asset is</w:t>
      </w:r>
      <w:r w:rsidRPr="00EB2BD8">
        <w:rPr>
          <w:rFonts w:ascii="Arial"/>
          <w:spacing w:val="-2"/>
          <w:w w:val="105"/>
          <w:sz w:val="16"/>
        </w:rPr>
        <w:t xml:space="preserve"> </w:t>
      </w:r>
      <w:r w:rsidRPr="00EB2BD8">
        <w:rPr>
          <w:rFonts w:ascii="Arial"/>
          <w:w w:val="105"/>
          <w:sz w:val="16"/>
        </w:rPr>
        <w:t>available</w:t>
      </w:r>
      <w:r w:rsidRPr="00EB2BD8">
        <w:rPr>
          <w:rFonts w:ascii="Arial"/>
          <w:spacing w:val="-2"/>
          <w:w w:val="105"/>
          <w:sz w:val="16"/>
        </w:rPr>
        <w:t xml:space="preserve"> </w:t>
      </w:r>
      <w:r w:rsidRPr="00EB2BD8">
        <w:rPr>
          <w:rFonts w:ascii="Arial"/>
          <w:w w:val="105"/>
          <w:sz w:val="16"/>
        </w:rPr>
        <w:t>for</w:t>
      </w:r>
      <w:r w:rsidRPr="00EB2BD8">
        <w:rPr>
          <w:rFonts w:ascii="Arial"/>
          <w:spacing w:val="-2"/>
          <w:w w:val="105"/>
          <w:sz w:val="16"/>
        </w:rPr>
        <w:t xml:space="preserve"> </w:t>
      </w:r>
      <w:r w:rsidRPr="00EB2BD8">
        <w:rPr>
          <w:rFonts w:ascii="Arial"/>
          <w:w w:val="105"/>
          <w:sz w:val="16"/>
        </w:rPr>
        <w:t>use,</w:t>
      </w:r>
      <w:r w:rsidRPr="00EB2BD8">
        <w:rPr>
          <w:rFonts w:ascii="Arial"/>
          <w:spacing w:val="-2"/>
          <w:w w:val="105"/>
          <w:sz w:val="16"/>
        </w:rPr>
        <w:t xml:space="preserve"> </w:t>
      </w:r>
      <w:r w:rsidRPr="00EB2BD8">
        <w:rPr>
          <w:rFonts w:ascii="Arial"/>
          <w:w w:val="105"/>
          <w:sz w:val="16"/>
        </w:rPr>
        <w:t>that</w:t>
      </w:r>
      <w:r w:rsidRPr="00EB2BD8">
        <w:rPr>
          <w:rFonts w:ascii="Arial"/>
          <w:spacing w:val="-2"/>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when</w:t>
      </w:r>
      <w:r w:rsidRPr="00EB2BD8">
        <w:rPr>
          <w:rFonts w:ascii="Arial"/>
          <w:spacing w:val="-2"/>
          <w:w w:val="105"/>
          <w:sz w:val="16"/>
        </w:rPr>
        <w:t xml:space="preserve"> </w:t>
      </w:r>
      <w:r w:rsidRPr="00EB2BD8">
        <w:rPr>
          <w:rFonts w:ascii="Arial"/>
          <w:w w:val="105"/>
          <w:sz w:val="16"/>
        </w:rPr>
        <w:t>it</w:t>
      </w:r>
      <w:r w:rsidRPr="00EB2BD8">
        <w:rPr>
          <w:rFonts w:ascii="Arial"/>
          <w:spacing w:val="-2"/>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location</w:t>
      </w:r>
      <w:r w:rsidRPr="00EB2BD8">
        <w:rPr>
          <w:rFonts w:ascii="Arial"/>
          <w:spacing w:val="-2"/>
          <w:w w:val="105"/>
          <w:sz w:val="16"/>
        </w:rPr>
        <w:t xml:space="preserve"> </w:t>
      </w:r>
      <w:r w:rsidRPr="00EB2BD8">
        <w:rPr>
          <w:rFonts w:ascii="Arial"/>
          <w:w w:val="105"/>
          <w:sz w:val="16"/>
        </w:rPr>
        <w:t>and</w:t>
      </w:r>
      <w:r w:rsidRPr="00EB2BD8">
        <w:rPr>
          <w:rFonts w:ascii="Arial"/>
          <w:spacing w:val="-2"/>
          <w:w w:val="105"/>
          <w:sz w:val="16"/>
        </w:rPr>
        <w:t xml:space="preserve"> </w:t>
      </w:r>
      <w:r w:rsidRPr="00EB2BD8">
        <w:rPr>
          <w:rFonts w:ascii="Arial"/>
          <w:w w:val="105"/>
          <w:sz w:val="16"/>
        </w:rPr>
        <w:t>condition</w:t>
      </w:r>
      <w:r w:rsidRPr="00EB2BD8">
        <w:rPr>
          <w:rFonts w:ascii="Arial"/>
          <w:spacing w:val="-2"/>
          <w:w w:val="105"/>
          <w:sz w:val="16"/>
        </w:rPr>
        <w:t xml:space="preserve"> </w:t>
      </w:r>
      <w:r w:rsidRPr="00EB2BD8">
        <w:rPr>
          <w:rFonts w:ascii="Arial"/>
          <w:w w:val="105"/>
          <w:sz w:val="16"/>
        </w:rPr>
        <w:t>necessary</w:t>
      </w:r>
      <w:r w:rsidRPr="00EB2BD8">
        <w:rPr>
          <w:rFonts w:ascii="Arial"/>
          <w:spacing w:val="-2"/>
          <w:w w:val="105"/>
          <w:sz w:val="16"/>
        </w:rPr>
        <w:t xml:space="preserve"> </w:t>
      </w:r>
      <w:r w:rsidRPr="00EB2BD8">
        <w:rPr>
          <w:rFonts w:ascii="Arial"/>
          <w:w w:val="105"/>
          <w:sz w:val="16"/>
        </w:rPr>
        <w:t>for</w:t>
      </w:r>
      <w:r w:rsidRPr="00EB2BD8">
        <w:rPr>
          <w:rFonts w:ascii="Arial"/>
          <w:spacing w:val="-2"/>
          <w:w w:val="105"/>
          <w:sz w:val="16"/>
        </w:rPr>
        <w:t xml:space="preserve"> </w:t>
      </w:r>
      <w:r w:rsidRPr="00EB2BD8">
        <w:rPr>
          <w:rFonts w:ascii="Arial"/>
          <w:w w:val="105"/>
          <w:sz w:val="16"/>
        </w:rPr>
        <w:t>it</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be</w:t>
      </w:r>
      <w:r w:rsidRPr="00EB2BD8">
        <w:rPr>
          <w:rFonts w:ascii="Arial"/>
          <w:spacing w:val="-2"/>
          <w:w w:val="105"/>
          <w:sz w:val="16"/>
        </w:rPr>
        <w:t xml:space="preserve"> </w:t>
      </w:r>
      <w:r w:rsidRPr="00EB2BD8">
        <w:rPr>
          <w:rFonts w:ascii="Arial"/>
          <w:w w:val="105"/>
          <w:sz w:val="16"/>
        </w:rPr>
        <w:t>capable</w:t>
      </w:r>
      <w:r w:rsidRPr="00EB2BD8">
        <w:rPr>
          <w:rFonts w:ascii="Arial"/>
          <w:spacing w:val="-1"/>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operating in the manner intended by management.</w:t>
      </w:r>
    </w:p>
    <w:p w14:paraId="0389F064" w14:textId="77777777" w:rsidR="00084F36" w:rsidRPr="00EB2BD8" w:rsidRDefault="00084F36">
      <w:pPr>
        <w:pStyle w:val="BodyText"/>
        <w:rPr>
          <w:rFonts w:ascii="Arial"/>
          <w:sz w:val="19"/>
        </w:rPr>
      </w:pPr>
    </w:p>
    <w:p w14:paraId="5DD7CB92" w14:textId="77777777" w:rsidR="00084F36" w:rsidRPr="00EB2BD8" w:rsidRDefault="00EB2BD8">
      <w:pPr>
        <w:spacing w:before="1" w:line="288" w:lineRule="auto"/>
        <w:ind w:left="1055" w:right="1155" w:hanging="1"/>
        <w:rPr>
          <w:rFonts w:ascii="Arial"/>
          <w:sz w:val="16"/>
        </w:rPr>
      </w:pPr>
      <w:r w:rsidRPr="00EB2BD8">
        <w:rPr>
          <w:rFonts w:ascii="Arial"/>
          <w:w w:val="105"/>
          <w:sz w:val="16"/>
        </w:rPr>
        <w:t>An</w:t>
      </w:r>
      <w:r w:rsidRPr="00EB2BD8">
        <w:rPr>
          <w:rFonts w:ascii="Arial"/>
          <w:spacing w:val="-12"/>
          <w:w w:val="105"/>
          <w:sz w:val="16"/>
        </w:rPr>
        <w:t xml:space="preserve"> </w:t>
      </w:r>
      <w:r w:rsidRPr="00EB2BD8">
        <w:rPr>
          <w:rFonts w:ascii="Arial"/>
          <w:w w:val="105"/>
          <w:sz w:val="16"/>
        </w:rPr>
        <w:t>internally</w:t>
      </w:r>
      <w:r w:rsidRPr="00EB2BD8">
        <w:rPr>
          <w:rFonts w:ascii="Arial"/>
          <w:spacing w:val="-10"/>
          <w:w w:val="105"/>
          <w:sz w:val="16"/>
        </w:rPr>
        <w:t xml:space="preserve"> </w:t>
      </w:r>
      <w:r w:rsidRPr="00EB2BD8">
        <w:rPr>
          <w:rFonts w:ascii="Arial"/>
          <w:w w:val="105"/>
          <w:sz w:val="16"/>
        </w:rPr>
        <w:t>generated</w:t>
      </w:r>
      <w:r w:rsidRPr="00EB2BD8">
        <w:rPr>
          <w:rFonts w:ascii="Arial"/>
          <w:spacing w:val="-12"/>
          <w:w w:val="105"/>
          <w:sz w:val="16"/>
        </w:rPr>
        <w:t xml:space="preserve"> </w:t>
      </w:r>
      <w:r w:rsidRPr="00EB2BD8">
        <w:rPr>
          <w:rFonts w:ascii="Arial"/>
          <w:w w:val="105"/>
          <w:sz w:val="16"/>
        </w:rPr>
        <w:t>intangible</w:t>
      </w:r>
      <w:r w:rsidRPr="00EB2BD8">
        <w:rPr>
          <w:rFonts w:ascii="Arial"/>
          <w:spacing w:val="-10"/>
          <w:w w:val="105"/>
          <w:sz w:val="16"/>
        </w:rPr>
        <w:t xml:space="preserve"> </w:t>
      </w:r>
      <w:r w:rsidRPr="00EB2BD8">
        <w:rPr>
          <w:rFonts w:ascii="Arial"/>
          <w:w w:val="105"/>
          <w:sz w:val="16"/>
        </w:rPr>
        <w:t>asset</w:t>
      </w:r>
      <w:r w:rsidRPr="00EB2BD8">
        <w:rPr>
          <w:rFonts w:ascii="Arial"/>
          <w:spacing w:val="-9"/>
          <w:w w:val="105"/>
          <w:sz w:val="16"/>
        </w:rPr>
        <w:t xml:space="preserve"> </w:t>
      </w:r>
      <w:r w:rsidRPr="00EB2BD8">
        <w:rPr>
          <w:rFonts w:ascii="Arial"/>
          <w:w w:val="105"/>
          <w:sz w:val="16"/>
        </w:rPr>
        <w:t>arising</w:t>
      </w:r>
      <w:r w:rsidRPr="00EB2BD8">
        <w:rPr>
          <w:rFonts w:ascii="Arial"/>
          <w:spacing w:val="-12"/>
          <w:w w:val="105"/>
          <w:sz w:val="16"/>
        </w:rPr>
        <w:t xml:space="preserve"> </w:t>
      </w:r>
      <w:r w:rsidRPr="00EB2BD8">
        <w:rPr>
          <w:rFonts w:ascii="Arial"/>
          <w:w w:val="105"/>
          <w:sz w:val="16"/>
        </w:rPr>
        <w:t>from</w:t>
      </w:r>
      <w:r w:rsidRPr="00EB2BD8">
        <w:rPr>
          <w:rFonts w:ascii="Arial"/>
          <w:spacing w:val="-11"/>
          <w:w w:val="105"/>
          <w:sz w:val="16"/>
        </w:rPr>
        <w:t xml:space="preserve"> </w:t>
      </w:r>
      <w:r w:rsidRPr="00EB2BD8">
        <w:rPr>
          <w:rFonts w:ascii="Arial"/>
          <w:w w:val="105"/>
          <w:sz w:val="16"/>
        </w:rPr>
        <w:t>development</w:t>
      </w:r>
      <w:r w:rsidRPr="00EB2BD8">
        <w:rPr>
          <w:rFonts w:ascii="Arial"/>
          <w:spacing w:val="-8"/>
          <w:w w:val="105"/>
          <w:sz w:val="16"/>
        </w:rPr>
        <w:t xml:space="preserve"> </w:t>
      </w:r>
      <w:r w:rsidRPr="00EB2BD8">
        <w:rPr>
          <w:rFonts w:ascii="Arial"/>
          <w:w w:val="105"/>
          <w:sz w:val="16"/>
        </w:rPr>
        <w:t>(or</w:t>
      </w:r>
      <w:r w:rsidRPr="00EB2BD8">
        <w:rPr>
          <w:rFonts w:ascii="Arial"/>
          <w:spacing w:val="-12"/>
          <w:w w:val="105"/>
          <w:sz w:val="16"/>
        </w:rPr>
        <w:t xml:space="preserve"> </w:t>
      </w:r>
      <w:r w:rsidRPr="00EB2BD8">
        <w:rPr>
          <w:rFonts w:ascii="Arial"/>
          <w:w w:val="105"/>
          <w:sz w:val="16"/>
        </w:rPr>
        <w:t>from</w:t>
      </w:r>
      <w:r w:rsidRPr="00EB2BD8">
        <w:rPr>
          <w:rFonts w:ascii="Arial"/>
          <w:spacing w:val="-11"/>
          <w:w w:val="105"/>
          <w:sz w:val="16"/>
        </w:rPr>
        <w:t xml:space="preserve"> </w:t>
      </w:r>
      <w:r w:rsidRPr="00EB2BD8">
        <w:rPr>
          <w:rFonts w:ascii="Arial"/>
          <w:w w:val="105"/>
          <w:sz w:val="16"/>
        </w:rPr>
        <w:t>the</w:t>
      </w:r>
      <w:r w:rsidRPr="00EB2BD8">
        <w:rPr>
          <w:rFonts w:ascii="Arial"/>
          <w:spacing w:val="-12"/>
          <w:w w:val="105"/>
          <w:sz w:val="16"/>
        </w:rPr>
        <w:t xml:space="preserve"> </w:t>
      </w:r>
      <w:r w:rsidRPr="00EB2BD8">
        <w:rPr>
          <w:rFonts w:ascii="Arial"/>
          <w:w w:val="105"/>
          <w:sz w:val="16"/>
        </w:rPr>
        <w:t>development</w:t>
      </w:r>
      <w:r w:rsidRPr="00EB2BD8">
        <w:rPr>
          <w:rFonts w:ascii="Arial"/>
          <w:spacing w:val="-8"/>
          <w:w w:val="105"/>
          <w:sz w:val="16"/>
        </w:rPr>
        <w:t xml:space="preserve"> </w:t>
      </w:r>
      <w:r w:rsidRPr="00EB2BD8">
        <w:rPr>
          <w:rFonts w:ascii="Arial"/>
          <w:w w:val="105"/>
          <w:sz w:val="16"/>
        </w:rPr>
        <w:t>phase</w:t>
      </w:r>
      <w:r w:rsidRPr="00EB2BD8">
        <w:rPr>
          <w:rFonts w:ascii="Arial"/>
          <w:spacing w:val="-12"/>
          <w:w w:val="105"/>
          <w:sz w:val="16"/>
        </w:rPr>
        <w:t xml:space="preserve"> </w:t>
      </w:r>
      <w:r w:rsidRPr="00EB2BD8">
        <w:rPr>
          <w:rFonts w:ascii="Arial"/>
          <w:w w:val="105"/>
          <w:sz w:val="16"/>
        </w:rPr>
        <w:t>of</w:t>
      </w:r>
      <w:r w:rsidRPr="00EB2BD8">
        <w:rPr>
          <w:rFonts w:ascii="Arial"/>
          <w:spacing w:val="-11"/>
          <w:w w:val="105"/>
          <w:sz w:val="16"/>
        </w:rPr>
        <w:t xml:space="preserve"> </w:t>
      </w:r>
      <w:r w:rsidRPr="00EB2BD8">
        <w:rPr>
          <w:rFonts w:ascii="Arial"/>
          <w:w w:val="105"/>
          <w:sz w:val="16"/>
        </w:rPr>
        <w:t>an</w:t>
      </w:r>
      <w:r w:rsidRPr="00EB2BD8">
        <w:rPr>
          <w:rFonts w:ascii="Arial"/>
          <w:spacing w:val="-12"/>
          <w:w w:val="105"/>
          <w:sz w:val="16"/>
        </w:rPr>
        <w:t xml:space="preserve"> </w:t>
      </w:r>
      <w:r w:rsidRPr="00EB2BD8">
        <w:rPr>
          <w:rFonts w:ascii="Arial"/>
          <w:w w:val="105"/>
          <w:sz w:val="16"/>
        </w:rPr>
        <w:t>internal</w:t>
      </w:r>
      <w:r w:rsidRPr="00EB2BD8">
        <w:rPr>
          <w:rFonts w:ascii="Arial"/>
          <w:spacing w:val="-3"/>
          <w:w w:val="105"/>
          <w:sz w:val="16"/>
        </w:rPr>
        <w:t xml:space="preserve"> </w:t>
      </w:r>
      <w:r w:rsidRPr="00EB2BD8">
        <w:rPr>
          <w:rFonts w:ascii="Arial"/>
          <w:w w:val="105"/>
          <w:sz w:val="16"/>
        </w:rPr>
        <w:t>project)</w:t>
      </w:r>
      <w:r w:rsidRPr="00EB2BD8">
        <w:rPr>
          <w:rFonts w:ascii="Arial"/>
          <w:spacing w:val="-3"/>
          <w:w w:val="105"/>
          <w:sz w:val="16"/>
        </w:rPr>
        <w:t xml:space="preserve"> </w:t>
      </w:r>
      <w:r w:rsidRPr="00EB2BD8">
        <w:rPr>
          <w:rFonts w:ascii="Arial"/>
          <w:w w:val="105"/>
          <w:sz w:val="16"/>
        </w:rPr>
        <w:t>is recognised if, and only if, all the following are demonstrated:</w:t>
      </w:r>
    </w:p>
    <w:p w14:paraId="3AA9966D" w14:textId="77777777" w:rsidR="00084F36" w:rsidRPr="00EB2BD8" w:rsidRDefault="00084F36">
      <w:pPr>
        <w:pStyle w:val="BodyText"/>
        <w:spacing w:before="3"/>
        <w:rPr>
          <w:rFonts w:ascii="Arial"/>
          <w:sz w:val="19"/>
        </w:rPr>
      </w:pPr>
    </w:p>
    <w:p w14:paraId="16FCAD24" w14:textId="77777777" w:rsidR="00084F36" w:rsidRPr="00EB2BD8" w:rsidRDefault="00EB2BD8">
      <w:pPr>
        <w:pStyle w:val="ListParagraph"/>
        <w:numPr>
          <w:ilvl w:val="0"/>
          <w:numId w:val="42"/>
        </w:numPr>
        <w:tabs>
          <w:tab w:val="left" w:pos="1449"/>
        </w:tabs>
        <w:spacing w:before="1"/>
        <w:ind w:left="1449" w:hanging="395"/>
        <w:rPr>
          <w:rFonts w:ascii="Arial"/>
          <w:sz w:val="16"/>
        </w:rPr>
      </w:pPr>
      <w:r w:rsidRPr="00EB2BD8">
        <w:rPr>
          <w:rFonts w:ascii="Arial"/>
          <w:spacing w:val="-2"/>
          <w:w w:val="105"/>
          <w:sz w:val="16"/>
        </w:rPr>
        <w:t>the</w:t>
      </w:r>
      <w:r w:rsidRPr="00EB2BD8">
        <w:rPr>
          <w:rFonts w:ascii="Arial"/>
          <w:spacing w:val="-6"/>
          <w:w w:val="105"/>
          <w:sz w:val="16"/>
        </w:rPr>
        <w:t xml:space="preserve"> </w:t>
      </w:r>
      <w:r w:rsidRPr="00EB2BD8">
        <w:rPr>
          <w:rFonts w:ascii="Arial"/>
          <w:spacing w:val="-2"/>
          <w:w w:val="105"/>
          <w:sz w:val="16"/>
        </w:rPr>
        <w:t>technical</w:t>
      </w:r>
      <w:r w:rsidRPr="00EB2BD8">
        <w:rPr>
          <w:rFonts w:ascii="Arial"/>
          <w:spacing w:val="-4"/>
          <w:w w:val="105"/>
          <w:sz w:val="16"/>
        </w:rPr>
        <w:t xml:space="preserve"> </w:t>
      </w:r>
      <w:r w:rsidRPr="00EB2BD8">
        <w:rPr>
          <w:rFonts w:ascii="Arial"/>
          <w:spacing w:val="-2"/>
          <w:w w:val="105"/>
          <w:sz w:val="16"/>
        </w:rPr>
        <w:t>feasibility</w:t>
      </w:r>
      <w:r w:rsidRPr="00EB2BD8">
        <w:rPr>
          <w:rFonts w:ascii="Arial"/>
          <w:spacing w:val="-3"/>
          <w:w w:val="105"/>
          <w:sz w:val="16"/>
        </w:rPr>
        <w:t xml:space="preserve"> </w:t>
      </w:r>
      <w:r w:rsidRPr="00EB2BD8">
        <w:rPr>
          <w:rFonts w:ascii="Arial"/>
          <w:spacing w:val="-2"/>
          <w:w w:val="105"/>
          <w:sz w:val="16"/>
        </w:rPr>
        <w:t>of completing</w:t>
      </w:r>
      <w:r w:rsidRPr="00EB2BD8">
        <w:rPr>
          <w:rFonts w:ascii="Arial"/>
          <w:spacing w:val="-4"/>
          <w:w w:val="105"/>
          <w:sz w:val="16"/>
        </w:rPr>
        <w:t xml:space="preserve"> </w:t>
      </w:r>
      <w:r w:rsidRPr="00EB2BD8">
        <w:rPr>
          <w:rFonts w:ascii="Arial"/>
          <w:spacing w:val="-2"/>
          <w:w w:val="105"/>
          <w:sz w:val="16"/>
        </w:rPr>
        <w:t>the</w:t>
      </w:r>
      <w:r w:rsidRPr="00EB2BD8">
        <w:rPr>
          <w:rFonts w:ascii="Arial"/>
          <w:spacing w:val="-1"/>
          <w:w w:val="105"/>
          <w:sz w:val="16"/>
        </w:rPr>
        <w:t xml:space="preserve"> </w:t>
      </w:r>
      <w:r w:rsidRPr="00EB2BD8">
        <w:rPr>
          <w:rFonts w:ascii="Arial"/>
          <w:spacing w:val="-2"/>
          <w:w w:val="105"/>
          <w:sz w:val="16"/>
        </w:rPr>
        <w:t>intangible asset</w:t>
      </w:r>
      <w:r w:rsidRPr="00EB2BD8">
        <w:rPr>
          <w:rFonts w:ascii="Arial"/>
          <w:spacing w:val="1"/>
          <w:w w:val="105"/>
          <w:sz w:val="16"/>
        </w:rPr>
        <w:t xml:space="preserve"> </w:t>
      </w:r>
      <w:r w:rsidRPr="00EB2BD8">
        <w:rPr>
          <w:rFonts w:ascii="Arial"/>
          <w:spacing w:val="-2"/>
          <w:w w:val="105"/>
          <w:sz w:val="16"/>
        </w:rPr>
        <w:t>so</w:t>
      </w:r>
      <w:r w:rsidRPr="00EB2BD8">
        <w:rPr>
          <w:rFonts w:ascii="Arial"/>
          <w:spacing w:val="-1"/>
          <w:w w:val="105"/>
          <w:sz w:val="16"/>
        </w:rPr>
        <w:t xml:space="preserve"> </w:t>
      </w:r>
      <w:r w:rsidRPr="00EB2BD8">
        <w:rPr>
          <w:rFonts w:ascii="Arial"/>
          <w:spacing w:val="-2"/>
          <w:w w:val="105"/>
          <w:sz w:val="16"/>
        </w:rPr>
        <w:t>that</w:t>
      </w:r>
      <w:r w:rsidRPr="00EB2BD8">
        <w:rPr>
          <w:rFonts w:ascii="Arial"/>
          <w:spacing w:val="-1"/>
          <w:w w:val="105"/>
          <w:sz w:val="16"/>
        </w:rPr>
        <w:t xml:space="preserve"> </w:t>
      </w:r>
      <w:r w:rsidRPr="00EB2BD8">
        <w:rPr>
          <w:rFonts w:ascii="Arial"/>
          <w:spacing w:val="-2"/>
          <w:w w:val="105"/>
          <w:sz w:val="16"/>
        </w:rPr>
        <w:t>it</w:t>
      </w:r>
      <w:r w:rsidRPr="00EB2BD8">
        <w:rPr>
          <w:rFonts w:ascii="Arial"/>
          <w:spacing w:val="-4"/>
          <w:w w:val="105"/>
          <w:sz w:val="16"/>
        </w:rPr>
        <w:t xml:space="preserve"> </w:t>
      </w:r>
      <w:r w:rsidRPr="00EB2BD8">
        <w:rPr>
          <w:rFonts w:ascii="Arial"/>
          <w:spacing w:val="-2"/>
          <w:w w:val="105"/>
          <w:sz w:val="16"/>
        </w:rPr>
        <w:t>will be</w:t>
      </w:r>
      <w:r w:rsidRPr="00EB2BD8">
        <w:rPr>
          <w:rFonts w:ascii="Arial"/>
          <w:spacing w:val="-1"/>
          <w:w w:val="105"/>
          <w:sz w:val="16"/>
        </w:rPr>
        <w:t xml:space="preserve"> </w:t>
      </w:r>
      <w:r w:rsidRPr="00EB2BD8">
        <w:rPr>
          <w:rFonts w:ascii="Arial"/>
          <w:spacing w:val="-2"/>
          <w:w w:val="105"/>
          <w:sz w:val="16"/>
        </w:rPr>
        <w:t>available for</w:t>
      </w:r>
      <w:r w:rsidRPr="00EB2BD8">
        <w:rPr>
          <w:rFonts w:ascii="Arial"/>
          <w:spacing w:val="-4"/>
          <w:w w:val="105"/>
          <w:sz w:val="16"/>
        </w:rPr>
        <w:t xml:space="preserve"> </w:t>
      </w:r>
      <w:r w:rsidRPr="00EB2BD8">
        <w:rPr>
          <w:rFonts w:ascii="Arial"/>
          <w:spacing w:val="-2"/>
          <w:w w:val="105"/>
          <w:sz w:val="16"/>
        </w:rPr>
        <w:t>use</w:t>
      </w:r>
      <w:r w:rsidRPr="00EB2BD8">
        <w:rPr>
          <w:rFonts w:ascii="Arial"/>
          <w:spacing w:val="-1"/>
          <w:w w:val="105"/>
          <w:sz w:val="16"/>
        </w:rPr>
        <w:t xml:space="preserve"> </w:t>
      </w:r>
      <w:r w:rsidRPr="00EB2BD8">
        <w:rPr>
          <w:rFonts w:ascii="Arial"/>
          <w:spacing w:val="-2"/>
          <w:w w:val="105"/>
          <w:sz w:val="16"/>
        </w:rPr>
        <w:t>or</w:t>
      </w:r>
      <w:r w:rsidRPr="00EB2BD8">
        <w:rPr>
          <w:rFonts w:ascii="Arial"/>
          <w:spacing w:val="-1"/>
          <w:w w:val="105"/>
          <w:sz w:val="16"/>
        </w:rPr>
        <w:t xml:space="preserve"> </w:t>
      </w:r>
      <w:r w:rsidRPr="00EB2BD8">
        <w:rPr>
          <w:rFonts w:ascii="Arial"/>
          <w:spacing w:val="-2"/>
          <w:w w:val="105"/>
          <w:sz w:val="16"/>
        </w:rPr>
        <w:t>sale;</w:t>
      </w:r>
    </w:p>
    <w:p w14:paraId="768AF3E0" w14:textId="77777777" w:rsidR="00084F36" w:rsidRPr="00EB2BD8" w:rsidRDefault="00EB2BD8">
      <w:pPr>
        <w:pStyle w:val="ListParagraph"/>
        <w:numPr>
          <w:ilvl w:val="0"/>
          <w:numId w:val="42"/>
        </w:numPr>
        <w:tabs>
          <w:tab w:val="left" w:pos="1449"/>
        </w:tabs>
        <w:spacing w:before="32"/>
        <w:ind w:left="1449" w:hanging="395"/>
        <w:rPr>
          <w:rFonts w:ascii="Arial"/>
          <w:sz w:val="16"/>
        </w:rPr>
      </w:pPr>
      <w:r w:rsidRPr="00EB2BD8">
        <w:rPr>
          <w:rFonts w:ascii="Arial"/>
          <w:spacing w:val="-2"/>
          <w:w w:val="105"/>
          <w:sz w:val="16"/>
        </w:rPr>
        <w:t>an</w:t>
      </w:r>
      <w:r w:rsidRPr="00EB2BD8">
        <w:rPr>
          <w:rFonts w:ascii="Arial"/>
          <w:spacing w:val="-4"/>
          <w:w w:val="105"/>
          <w:sz w:val="16"/>
        </w:rPr>
        <w:t xml:space="preserve"> </w:t>
      </w:r>
      <w:r w:rsidRPr="00EB2BD8">
        <w:rPr>
          <w:rFonts w:ascii="Arial"/>
          <w:spacing w:val="-2"/>
          <w:w w:val="105"/>
          <w:sz w:val="16"/>
        </w:rPr>
        <w:t>intention</w:t>
      </w:r>
      <w:r w:rsidRPr="00EB2BD8">
        <w:rPr>
          <w:rFonts w:ascii="Arial"/>
          <w:spacing w:val="-5"/>
          <w:w w:val="105"/>
          <w:sz w:val="16"/>
        </w:rPr>
        <w:t xml:space="preserve"> </w:t>
      </w:r>
      <w:r w:rsidRPr="00EB2BD8">
        <w:rPr>
          <w:rFonts w:ascii="Arial"/>
          <w:spacing w:val="-2"/>
          <w:w w:val="105"/>
          <w:sz w:val="16"/>
        </w:rPr>
        <w:t>to</w:t>
      </w:r>
      <w:r w:rsidRPr="00EB2BD8">
        <w:rPr>
          <w:rFonts w:ascii="Arial"/>
          <w:w w:val="105"/>
          <w:sz w:val="16"/>
        </w:rPr>
        <w:t xml:space="preserve"> </w:t>
      </w:r>
      <w:r w:rsidRPr="00EB2BD8">
        <w:rPr>
          <w:rFonts w:ascii="Arial"/>
          <w:spacing w:val="-2"/>
          <w:w w:val="105"/>
          <w:sz w:val="16"/>
        </w:rPr>
        <w:t>complete</w:t>
      </w:r>
      <w:r w:rsidRPr="00EB2BD8">
        <w:rPr>
          <w:rFonts w:ascii="Arial"/>
          <w:spacing w:val="-4"/>
          <w:w w:val="105"/>
          <w:sz w:val="16"/>
        </w:rPr>
        <w:t xml:space="preserve"> </w:t>
      </w:r>
      <w:r w:rsidRPr="00EB2BD8">
        <w:rPr>
          <w:rFonts w:ascii="Arial"/>
          <w:spacing w:val="-2"/>
          <w:w w:val="105"/>
          <w:sz w:val="16"/>
        </w:rPr>
        <w:t>the</w:t>
      </w:r>
      <w:r w:rsidRPr="00EB2BD8">
        <w:rPr>
          <w:rFonts w:ascii="Arial"/>
          <w:spacing w:val="-3"/>
          <w:w w:val="105"/>
          <w:sz w:val="16"/>
        </w:rPr>
        <w:t xml:space="preserve"> </w:t>
      </w:r>
      <w:r w:rsidRPr="00EB2BD8">
        <w:rPr>
          <w:rFonts w:ascii="Arial"/>
          <w:spacing w:val="-2"/>
          <w:w w:val="105"/>
          <w:sz w:val="16"/>
        </w:rPr>
        <w:t>intangible asset</w:t>
      </w:r>
      <w:r w:rsidRPr="00EB2BD8">
        <w:rPr>
          <w:rFonts w:ascii="Arial"/>
          <w:spacing w:val="-1"/>
          <w:w w:val="105"/>
          <w:sz w:val="16"/>
        </w:rPr>
        <w:t xml:space="preserve"> </w:t>
      </w:r>
      <w:r w:rsidRPr="00EB2BD8">
        <w:rPr>
          <w:rFonts w:ascii="Arial"/>
          <w:spacing w:val="-2"/>
          <w:w w:val="105"/>
          <w:sz w:val="16"/>
        </w:rPr>
        <w:t>and</w:t>
      </w:r>
      <w:r w:rsidRPr="00EB2BD8">
        <w:rPr>
          <w:rFonts w:ascii="Arial"/>
          <w:spacing w:val="-3"/>
          <w:w w:val="105"/>
          <w:sz w:val="16"/>
        </w:rPr>
        <w:t xml:space="preserve"> </w:t>
      </w:r>
      <w:r w:rsidRPr="00EB2BD8">
        <w:rPr>
          <w:rFonts w:ascii="Arial"/>
          <w:spacing w:val="-2"/>
          <w:w w:val="105"/>
          <w:sz w:val="16"/>
        </w:rPr>
        <w:t>use</w:t>
      </w:r>
      <w:r w:rsidRPr="00EB2BD8">
        <w:rPr>
          <w:rFonts w:ascii="Arial"/>
          <w:spacing w:val="-3"/>
          <w:w w:val="105"/>
          <w:sz w:val="16"/>
        </w:rPr>
        <w:t xml:space="preserve"> </w:t>
      </w:r>
      <w:r w:rsidRPr="00EB2BD8">
        <w:rPr>
          <w:rFonts w:ascii="Arial"/>
          <w:spacing w:val="-2"/>
          <w:w w:val="105"/>
          <w:sz w:val="16"/>
        </w:rPr>
        <w:t>or</w:t>
      </w:r>
      <w:r w:rsidRPr="00EB2BD8">
        <w:rPr>
          <w:rFonts w:ascii="Arial"/>
          <w:spacing w:val="-4"/>
          <w:w w:val="105"/>
          <w:sz w:val="16"/>
        </w:rPr>
        <w:t xml:space="preserve"> </w:t>
      </w:r>
      <w:r w:rsidRPr="00EB2BD8">
        <w:rPr>
          <w:rFonts w:ascii="Arial"/>
          <w:spacing w:val="-2"/>
          <w:w w:val="105"/>
          <w:sz w:val="16"/>
        </w:rPr>
        <w:t>sell</w:t>
      </w:r>
      <w:r w:rsidRPr="00EB2BD8">
        <w:rPr>
          <w:rFonts w:ascii="Arial"/>
          <w:spacing w:val="-3"/>
          <w:w w:val="105"/>
          <w:sz w:val="16"/>
        </w:rPr>
        <w:t xml:space="preserve"> </w:t>
      </w:r>
      <w:r w:rsidRPr="00EB2BD8">
        <w:rPr>
          <w:rFonts w:ascii="Arial"/>
          <w:spacing w:val="-5"/>
          <w:w w:val="105"/>
          <w:sz w:val="16"/>
        </w:rPr>
        <w:t>it;</w:t>
      </w:r>
    </w:p>
    <w:p w14:paraId="4BBAC240" w14:textId="77777777" w:rsidR="00084F36" w:rsidRPr="00EB2BD8" w:rsidRDefault="00EB2BD8">
      <w:pPr>
        <w:pStyle w:val="ListParagraph"/>
        <w:numPr>
          <w:ilvl w:val="0"/>
          <w:numId w:val="42"/>
        </w:numPr>
        <w:tabs>
          <w:tab w:val="left" w:pos="1449"/>
        </w:tabs>
        <w:spacing w:before="33"/>
        <w:ind w:left="1449" w:hanging="395"/>
        <w:rPr>
          <w:rFonts w:ascii="Arial"/>
          <w:sz w:val="16"/>
        </w:rPr>
      </w:pPr>
      <w:r w:rsidRPr="00EB2BD8">
        <w:rPr>
          <w:rFonts w:ascii="Arial"/>
          <w:w w:val="105"/>
          <w:sz w:val="16"/>
        </w:rPr>
        <w:t>the</w:t>
      </w:r>
      <w:r w:rsidRPr="00EB2BD8">
        <w:rPr>
          <w:rFonts w:ascii="Arial"/>
          <w:spacing w:val="-12"/>
          <w:w w:val="105"/>
          <w:sz w:val="16"/>
        </w:rPr>
        <w:t xml:space="preserve"> </w:t>
      </w:r>
      <w:r w:rsidRPr="00EB2BD8">
        <w:rPr>
          <w:rFonts w:ascii="Arial"/>
          <w:w w:val="105"/>
          <w:sz w:val="16"/>
        </w:rPr>
        <w:t>ability</w:t>
      </w:r>
      <w:r w:rsidRPr="00EB2BD8">
        <w:rPr>
          <w:rFonts w:ascii="Arial"/>
          <w:spacing w:val="-8"/>
          <w:w w:val="105"/>
          <w:sz w:val="16"/>
        </w:rPr>
        <w:t xml:space="preserve"> </w:t>
      </w:r>
      <w:r w:rsidRPr="00EB2BD8">
        <w:rPr>
          <w:rFonts w:ascii="Arial"/>
          <w:w w:val="105"/>
          <w:sz w:val="16"/>
        </w:rPr>
        <w:t>to</w:t>
      </w:r>
      <w:r w:rsidRPr="00EB2BD8">
        <w:rPr>
          <w:rFonts w:ascii="Arial"/>
          <w:spacing w:val="-9"/>
          <w:w w:val="105"/>
          <w:sz w:val="16"/>
        </w:rPr>
        <w:t xml:space="preserve"> </w:t>
      </w:r>
      <w:r w:rsidRPr="00EB2BD8">
        <w:rPr>
          <w:rFonts w:ascii="Arial"/>
          <w:w w:val="105"/>
          <w:sz w:val="16"/>
        </w:rPr>
        <w:t>use</w:t>
      </w:r>
      <w:r w:rsidRPr="00EB2BD8">
        <w:rPr>
          <w:rFonts w:ascii="Arial"/>
          <w:spacing w:val="-12"/>
          <w:w w:val="105"/>
          <w:sz w:val="16"/>
        </w:rPr>
        <w:t xml:space="preserve"> </w:t>
      </w:r>
      <w:r w:rsidRPr="00EB2BD8">
        <w:rPr>
          <w:rFonts w:ascii="Arial"/>
          <w:w w:val="105"/>
          <w:sz w:val="16"/>
        </w:rPr>
        <w:t>or</w:t>
      </w:r>
      <w:r w:rsidRPr="00EB2BD8">
        <w:rPr>
          <w:rFonts w:ascii="Arial"/>
          <w:spacing w:val="-11"/>
          <w:w w:val="105"/>
          <w:sz w:val="16"/>
        </w:rPr>
        <w:t xml:space="preserve"> </w:t>
      </w:r>
      <w:r w:rsidRPr="00EB2BD8">
        <w:rPr>
          <w:rFonts w:ascii="Arial"/>
          <w:w w:val="105"/>
          <w:sz w:val="16"/>
        </w:rPr>
        <w:t>sell</w:t>
      </w:r>
      <w:r w:rsidRPr="00EB2BD8">
        <w:rPr>
          <w:rFonts w:ascii="Arial"/>
          <w:spacing w:val="-11"/>
          <w:w w:val="105"/>
          <w:sz w:val="16"/>
        </w:rPr>
        <w:t xml:space="preserve"> </w:t>
      </w:r>
      <w:r w:rsidRPr="00EB2BD8">
        <w:rPr>
          <w:rFonts w:ascii="Arial"/>
          <w:w w:val="105"/>
          <w:sz w:val="16"/>
        </w:rPr>
        <w:t>the</w:t>
      </w:r>
      <w:r w:rsidRPr="00EB2BD8">
        <w:rPr>
          <w:rFonts w:ascii="Arial"/>
          <w:spacing w:val="-11"/>
          <w:w w:val="105"/>
          <w:sz w:val="16"/>
        </w:rPr>
        <w:t xml:space="preserve"> </w:t>
      </w:r>
      <w:r w:rsidRPr="00EB2BD8">
        <w:rPr>
          <w:rFonts w:ascii="Arial"/>
          <w:w w:val="105"/>
          <w:sz w:val="16"/>
        </w:rPr>
        <w:t>intangible</w:t>
      </w:r>
      <w:r w:rsidRPr="00EB2BD8">
        <w:rPr>
          <w:rFonts w:ascii="Arial"/>
          <w:spacing w:val="-9"/>
          <w:w w:val="105"/>
          <w:sz w:val="16"/>
        </w:rPr>
        <w:t xml:space="preserve"> </w:t>
      </w:r>
      <w:r w:rsidRPr="00EB2BD8">
        <w:rPr>
          <w:rFonts w:ascii="Arial"/>
          <w:spacing w:val="-2"/>
          <w:w w:val="105"/>
          <w:sz w:val="16"/>
        </w:rPr>
        <w:t>asset;</w:t>
      </w:r>
    </w:p>
    <w:p w14:paraId="56BADE0D" w14:textId="77777777" w:rsidR="00084F36" w:rsidRPr="00EB2BD8" w:rsidRDefault="00EB2BD8">
      <w:pPr>
        <w:pStyle w:val="ListParagraph"/>
        <w:numPr>
          <w:ilvl w:val="0"/>
          <w:numId w:val="42"/>
        </w:numPr>
        <w:tabs>
          <w:tab w:val="left" w:pos="1449"/>
        </w:tabs>
        <w:spacing w:before="32"/>
        <w:ind w:left="1449" w:hanging="395"/>
        <w:rPr>
          <w:rFonts w:ascii="Arial"/>
          <w:sz w:val="16"/>
        </w:rPr>
      </w:pPr>
      <w:r w:rsidRPr="00EB2BD8">
        <w:rPr>
          <w:rFonts w:ascii="Arial"/>
          <w:sz w:val="16"/>
        </w:rPr>
        <w:t>the</w:t>
      </w:r>
      <w:r w:rsidRPr="00EB2BD8">
        <w:rPr>
          <w:rFonts w:ascii="Arial"/>
          <w:spacing w:val="10"/>
          <w:sz w:val="16"/>
        </w:rPr>
        <w:t xml:space="preserve"> </w:t>
      </w:r>
      <w:r w:rsidRPr="00EB2BD8">
        <w:rPr>
          <w:rFonts w:ascii="Arial"/>
          <w:sz w:val="16"/>
        </w:rPr>
        <w:t>intangible</w:t>
      </w:r>
      <w:r w:rsidRPr="00EB2BD8">
        <w:rPr>
          <w:rFonts w:ascii="Arial"/>
          <w:spacing w:val="6"/>
          <w:sz w:val="16"/>
        </w:rPr>
        <w:t xml:space="preserve"> </w:t>
      </w:r>
      <w:r w:rsidRPr="00EB2BD8">
        <w:rPr>
          <w:rFonts w:ascii="Arial"/>
          <w:sz w:val="16"/>
        </w:rPr>
        <w:t>asset</w:t>
      </w:r>
      <w:r w:rsidRPr="00EB2BD8">
        <w:rPr>
          <w:rFonts w:ascii="Arial"/>
          <w:spacing w:val="11"/>
          <w:sz w:val="16"/>
        </w:rPr>
        <w:t xml:space="preserve"> </w:t>
      </w:r>
      <w:r w:rsidRPr="00EB2BD8">
        <w:rPr>
          <w:rFonts w:ascii="Arial"/>
          <w:sz w:val="16"/>
        </w:rPr>
        <w:t>will</w:t>
      </w:r>
      <w:r w:rsidRPr="00EB2BD8">
        <w:rPr>
          <w:rFonts w:ascii="Arial"/>
          <w:spacing w:val="6"/>
          <w:sz w:val="16"/>
        </w:rPr>
        <w:t xml:space="preserve"> </w:t>
      </w:r>
      <w:r w:rsidRPr="00EB2BD8">
        <w:rPr>
          <w:rFonts w:ascii="Arial"/>
          <w:sz w:val="16"/>
        </w:rPr>
        <w:t>generate</w:t>
      </w:r>
      <w:r w:rsidRPr="00EB2BD8">
        <w:rPr>
          <w:rFonts w:ascii="Arial"/>
          <w:spacing w:val="8"/>
          <w:sz w:val="16"/>
        </w:rPr>
        <w:t xml:space="preserve"> </w:t>
      </w:r>
      <w:r w:rsidRPr="00EB2BD8">
        <w:rPr>
          <w:rFonts w:ascii="Arial"/>
          <w:sz w:val="16"/>
        </w:rPr>
        <w:t>probable</w:t>
      </w:r>
      <w:r w:rsidRPr="00EB2BD8">
        <w:rPr>
          <w:rFonts w:ascii="Arial"/>
          <w:spacing w:val="11"/>
          <w:sz w:val="16"/>
        </w:rPr>
        <w:t xml:space="preserve"> </w:t>
      </w:r>
      <w:r w:rsidRPr="00EB2BD8">
        <w:rPr>
          <w:rFonts w:ascii="Arial"/>
          <w:sz w:val="16"/>
        </w:rPr>
        <w:t>future</w:t>
      </w:r>
      <w:r w:rsidRPr="00EB2BD8">
        <w:rPr>
          <w:rFonts w:ascii="Arial"/>
          <w:spacing w:val="10"/>
          <w:sz w:val="16"/>
        </w:rPr>
        <w:t xml:space="preserve"> </w:t>
      </w:r>
      <w:r w:rsidRPr="00EB2BD8">
        <w:rPr>
          <w:rFonts w:ascii="Arial"/>
          <w:sz w:val="16"/>
        </w:rPr>
        <w:t>economic</w:t>
      </w:r>
      <w:r w:rsidRPr="00EB2BD8">
        <w:rPr>
          <w:rFonts w:ascii="Arial"/>
          <w:spacing w:val="8"/>
          <w:sz w:val="16"/>
        </w:rPr>
        <w:t xml:space="preserve"> </w:t>
      </w:r>
      <w:r w:rsidRPr="00EB2BD8">
        <w:rPr>
          <w:rFonts w:ascii="Arial"/>
          <w:spacing w:val="-2"/>
          <w:sz w:val="16"/>
        </w:rPr>
        <w:t>benefits;</w:t>
      </w:r>
    </w:p>
    <w:p w14:paraId="59E57987" w14:textId="77777777" w:rsidR="00084F36" w:rsidRPr="00EB2BD8" w:rsidRDefault="00EB2BD8">
      <w:pPr>
        <w:pStyle w:val="ListParagraph"/>
        <w:numPr>
          <w:ilvl w:val="0"/>
          <w:numId w:val="42"/>
        </w:numPr>
        <w:tabs>
          <w:tab w:val="left" w:pos="1451"/>
        </w:tabs>
        <w:spacing w:before="33" w:line="280" w:lineRule="auto"/>
        <w:ind w:left="1451" w:right="1915" w:hanging="397"/>
        <w:rPr>
          <w:rFonts w:ascii="Arial"/>
          <w:sz w:val="16"/>
        </w:rPr>
      </w:pPr>
      <w:r w:rsidRPr="00EB2BD8">
        <w:rPr>
          <w:rFonts w:ascii="Arial"/>
          <w:spacing w:val="-2"/>
          <w:w w:val="105"/>
          <w:sz w:val="16"/>
        </w:rPr>
        <w:t>the</w:t>
      </w:r>
      <w:r w:rsidRPr="00EB2BD8">
        <w:rPr>
          <w:rFonts w:ascii="Arial"/>
          <w:spacing w:val="-3"/>
          <w:w w:val="105"/>
          <w:sz w:val="16"/>
        </w:rPr>
        <w:t xml:space="preserve"> </w:t>
      </w:r>
      <w:r w:rsidRPr="00EB2BD8">
        <w:rPr>
          <w:rFonts w:ascii="Arial"/>
          <w:spacing w:val="-2"/>
          <w:w w:val="105"/>
          <w:sz w:val="16"/>
        </w:rPr>
        <w:t>availability of adequate</w:t>
      </w:r>
      <w:r w:rsidRPr="00EB2BD8">
        <w:rPr>
          <w:rFonts w:ascii="Arial"/>
          <w:spacing w:val="-3"/>
          <w:w w:val="105"/>
          <w:sz w:val="16"/>
        </w:rPr>
        <w:t xml:space="preserve"> </w:t>
      </w:r>
      <w:r w:rsidRPr="00EB2BD8">
        <w:rPr>
          <w:rFonts w:ascii="Arial"/>
          <w:spacing w:val="-2"/>
          <w:w w:val="105"/>
          <w:sz w:val="16"/>
        </w:rPr>
        <w:t>technical, financial</w:t>
      </w:r>
      <w:r w:rsidRPr="00EB2BD8">
        <w:rPr>
          <w:rFonts w:ascii="Arial"/>
          <w:spacing w:val="-4"/>
          <w:w w:val="105"/>
          <w:sz w:val="16"/>
        </w:rPr>
        <w:t xml:space="preserve"> </w:t>
      </w:r>
      <w:r w:rsidRPr="00EB2BD8">
        <w:rPr>
          <w:rFonts w:ascii="Arial"/>
          <w:spacing w:val="-2"/>
          <w:w w:val="105"/>
          <w:sz w:val="16"/>
        </w:rPr>
        <w:t>and</w:t>
      </w:r>
      <w:r w:rsidRPr="00EB2BD8">
        <w:rPr>
          <w:rFonts w:ascii="Arial"/>
          <w:spacing w:val="-6"/>
          <w:w w:val="105"/>
          <w:sz w:val="16"/>
        </w:rPr>
        <w:t xml:space="preserve"> </w:t>
      </w:r>
      <w:r w:rsidRPr="00EB2BD8">
        <w:rPr>
          <w:rFonts w:ascii="Arial"/>
          <w:spacing w:val="-2"/>
          <w:w w:val="105"/>
          <w:sz w:val="16"/>
        </w:rPr>
        <w:t>other resources</w:t>
      </w:r>
      <w:r w:rsidRPr="00EB2BD8">
        <w:rPr>
          <w:rFonts w:ascii="Arial"/>
          <w:spacing w:val="-4"/>
          <w:w w:val="105"/>
          <w:sz w:val="16"/>
        </w:rPr>
        <w:t xml:space="preserve"> </w:t>
      </w:r>
      <w:r w:rsidRPr="00EB2BD8">
        <w:rPr>
          <w:rFonts w:ascii="Arial"/>
          <w:spacing w:val="-2"/>
          <w:w w:val="105"/>
          <w:sz w:val="16"/>
        </w:rPr>
        <w:t>to complete</w:t>
      </w:r>
      <w:r w:rsidRPr="00EB2BD8">
        <w:rPr>
          <w:rFonts w:ascii="Arial"/>
          <w:spacing w:val="-3"/>
          <w:w w:val="105"/>
          <w:sz w:val="16"/>
        </w:rPr>
        <w:t xml:space="preserve"> </w:t>
      </w:r>
      <w:r w:rsidRPr="00EB2BD8">
        <w:rPr>
          <w:rFonts w:ascii="Arial"/>
          <w:spacing w:val="-2"/>
          <w:w w:val="105"/>
          <w:sz w:val="16"/>
        </w:rPr>
        <w:t>the</w:t>
      </w:r>
      <w:r w:rsidRPr="00EB2BD8">
        <w:rPr>
          <w:rFonts w:ascii="Arial"/>
          <w:spacing w:val="-3"/>
          <w:w w:val="105"/>
          <w:sz w:val="16"/>
        </w:rPr>
        <w:t xml:space="preserve"> </w:t>
      </w:r>
      <w:r w:rsidRPr="00EB2BD8">
        <w:rPr>
          <w:rFonts w:ascii="Arial"/>
          <w:spacing w:val="-2"/>
          <w:w w:val="105"/>
          <w:sz w:val="16"/>
        </w:rPr>
        <w:t>development and</w:t>
      </w:r>
      <w:r w:rsidRPr="00EB2BD8">
        <w:rPr>
          <w:rFonts w:ascii="Arial"/>
          <w:spacing w:val="-4"/>
          <w:w w:val="105"/>
          <w:sz w:val="16"/>
        </w:rPr>
        <w:t xml:space="preserve"> </w:t>
      </w:r>
      <w:r w:rsidRPr="00EB2BD8">
        <w:rPr>
          <w:rFonts w:ascii="Arial"/>
          <w:spacing w:val="-2"/>
          <w:w w:val="105"/>
          <w:sz w:val="16"/>
        </w:rPr>
        <w:t>to</w:t>
      </w:r>
      <w:r w:rsidRPr="00EB2BD8">
        <w:rPr>
          <w:rFonts w:ascii="Arial"/>
          <w:spacing w:val="-7"/>
          <w:w w:val="105"/>
          <w:sz w:val="16"/>
        </w:rPr>
        <w:t xml:space="preserve"> </w:t>
      </w:r>
      <w:r w:rsidRPr="00EB2BD8">
        <w:rPr>
          <w:rFonts w:ascii="Arial"/>
          <w:spacing w:val="-2"/>
          <w:w w:val="105"/>
          <w:sz w:val="16"/>
        </w:rPr>
        <w:t>use or</w:t>
      </w:r>
      <w:r w:rsidRPr="00EB2BD8">
        <w:rPr>
          <w:rFonts w:ascii="Arial"/>
          <w:spacing w:val="-8"/>
          <w:w w:val="105"/>
          <w:sz w:val="16"/>
        </w:rPr>
        <w:t xml:space="preserve"> </w:t>
      </w:r>
      <w:r w:rsidRPr="00EB2BD8">
        <w:rPr>
          <w:rFonts w:ascii="Arial"/>
          <w:spacing w:val="-2"/>
          <w:w w:val="105"/>
          <w:sz w:val="16"/>
        </w:rPr>
        <w:t>sell</w:t>
      </w:r>
      <w:r w:rsidRPr="00EB2BD8">
        <w:rPr>
          <w:rFonts w:ascii="Arial"/>
          <w:spacing w:val="-7"/>
          <w:w w:val="105"/>
          <w:sz w:val="16"/>
        </w:rPr>
        <w:t xml:space="preserve"> </w:t>
      </w:r>
      <w:r w:rsidRPr="00EB2BD8">
        <w:rPr>
          <w:rFonts w:ascii="Arial"/>
          <w:spacing w:val="-2"/>
          <w:w w:val="105"/>
          <w:sz w:val="16"/>
        </w:rPr>
        <w:t xml:space="preserve">the </w:t>
      </w:r>
      <w:r w:rsidRPr="00EB2BD8">
        <w:rPr>
          <w:rFonts w:ascii="Arial"/>
          <w:w w:val="105"/>
          <w:sz w:val="16"/>
        </w:rPr>
        <w:t>intangible asset; and</w:t>
      </w:r>
    </w:p>
    <w:p w14:paraId="537423F5" w14:textId="77777777" w:rsidR="00084F36" w:rsidRPr="00EB2BD8" w:rsidRDefault="00EB2BD8">
      <w:pPr>
        <w:pStyle w:val="ListParagraph"/>
        <w:numPr>
          <w:ilvl w:val="0"/>
          <w:numId w:val="42"/>
        </w:numPr>
        <w:tabs>
          <w:tab w:val="left" w:pos="1452"/>
        </w:tabs>
        <w:spacing w:before="4"/>
        <w:rPr>
          <w:rFonts w:ascii="Arial"/>
          <w:sz w:val="16"/>
        </w:rPr>
      </w:pPr>
      <w:r w:rsidRPr="00EB2BD8">
        <w:rPr>
          <w:rFonts w:ascii="Arial"/>
          <w:sz w:val="16"/>
        </w:rPr>
        <w:t>the</w:t>
      </w:r>
      <w:r w:rsidRPr="00EB2BD8">
        <w:rPr>
          <w:rFonts w:ascii="Arial"/>
          <w:spacing w:val="6"/>
          <w:sz w:val="16"/>
        </w:rPr>
        <w:t xml:space="preserve"> </w:t>
      </w:r>
      <w:r w:rsidRPr="00EB2BD8">
        <w:rPr>
          <w:rFonts w:ascii="Arial"/>
          <w:sz w:val="16"/>
        </w:rPr>
        <w:t>ability</w:t>
      </w:r>
      <w:r w:rsidRPr="00EB2BD8">
        <w:rPr>
          <w:rFonts w:ascii="Arial"/>
          <w:spacing w:val="11"/>
          <w:sz w:val="16"/>
        </w:rPr>
        <w:t xml:space="preserve"> </w:t>
      </w:r>
      <w:r w:rsidRPr="00EB2BD8">
        <w:rPr>
          <w:rFonts w:ascii="Arial"/>
          <w:sz w:val="16"/>
        </w:rPr>
        <w:t>to</w:t>
      </w:r>
      <w:r w:rsidRPr="00EB2BD8">
        <w:rPr>
          <w:rFonts w:ascii="Arial"/>
          <w:spacing w:val="7"/>
          <w:sz w:val="16"/>
        </w:rPr>
        <w:t xml:space="preserve"> </w:t>
      </w:r>
      <w:r w:rsidRPr="00EB2BD8">
        <w:rPr>
          <w:rFonts w:ascii="Arial"/>
          <w:sz w:val="16"/>
        </w:rPr>
        <w:t>measure</w:t>
      </w:r>
      <w:r w:rsidRPr="00EB2BD8">
        <w:rPr>
          <w:rFonts w:ascii="Arial"/>
          <w:spacing w:val="6"/>
          <w:sz w:val="16"/>
        </w:rPr>
        <w:t xml:space="preserve"> </w:t>
      </w:r>
      <w:r w:rsidRPr="00EB2BD8">
        <w:rPr>
          <w:rFonts w:ascii="Arial"/>
          <w:sz w:val="16"/>
        </w:rPr>
        <w:t>reliably</w:t>
      </w:r>
      <w:r w:rsidRPr="00EB2BD8">
        <w:rPr>
          <w:rFonts w:ascii="Arial"/>
          <w:spacing w:val="12"/>
          <w:sz w:val="16"/>
        </w:rPr>
        <w:t xml:space="preserve"> </w:t>
      </w:r>
      <w:r w:rsidRPr="00EB2BD8">
        <w:rPr>
          <w:rFonts w:ascii="Arial"/>
          <w:sz w:val="16"/>
        </w:rPr>
        <w:t>the</w:t>
      </w:r>
      <w:r w:rsidRPr="00EB2BD8">
        <w:rPr>
          <w:rFonts w:ascii="Arial"/>
          <w:spacing w:val="6"/>
          <w:sz w:val="16"/>
        </w:rPr>
        <w:t xml:space="preserve"> </w:t>
      </w:r>
      <w:r w:rsidRPr="00EB2BD8">
        <w:rPr>
          <w:rFonts w:ascii="Arial"/>
          <w:sz w:val="16"/>
        </w:rPr>
        <w:t>expenditure</w:t>
      </w:r>
      <w:r w:rsidRPr="00EB2BD8">
        <w:rPr>
          <w:rFonts w:ascii="Arial"/>
          <w:spacing w:val="6"/>
          <w:sz w:val="16"/>
        </w:rPr>
        <w:t xml:space="preserve"> </w:t>
      </w:r>
      <w:r w:rsidRPr="00EB2BD8">
        <w:rPr>
          <w:rFonts w:ascii="Arial"/>
          <w:sz w:val="16"/>
        </w:rPr>
        <w:t>attributable</w:t>
      </w:r>
      <w:r w:rsidRPr="00EB2BD8">
        <w:rPr>
          <w:rFonts w:ascii="Arial"/>
          <w:spacing w:val="11"/>
          <w:sz w:val="16"/>
        </w:rPr>
        <w:t xml:space="preserve"> </w:t>
      </w:r>
      <w:r w:rsidRPr="00EB2BD8">
        <w:rPr>
          <w:rFonts w:ascii="Arial"/>
          <w:sz w:val="16"/>
        </w:rPr>
        <w:t>to</w:t>
      </w:r>
      <w:r w:rsidRPr="00EB2BD8">
        <w:rPr>
          <w:rFonts w:ascii="Arial"/>
          <w:spacing w:val="7"/>
          <w:sz w:val="16"/>
        </w:rPr>
        <w:t xml:space="preserve"> </w:t>
      </w:r>
      <w:r w:rsidRPr="00EB2BD8">
        <w:rPr>
          <w:rFonts w:ascii="Arial"/>
          <w:sz w:val="16"/>
        </w:rPr>
        <w:t>the</w:t>
      </w:r>
      <w:r w:rsidRPr="00EB2BD8">
        <w:rPr>
          <w:rFonts w:ascii="Arial"/>
          <w:spacing w:val="6"/>
          <w:sz w:val="16"/>
        </w:rPr>
        <w:t xml:space="preserve"> </w:t>
      </w:r>
      <w:r w:rsidRPr="00EB2BD8">
        <w:rPr>
          <w:rFonts w:ascii="Arial"/>
          <w:sz w:val="16"/>
        </w:rPr>
        <w:t>intangible</w:t>
      </w:r>
      <w:r w:rsidRPr="00EB2BD8">
        <w:rPr>
          <w:rFonts w:ascii="Arial"/>
          <w:spacing w:val="12"/>
          <w:sz w:val="16"/>
        </w:rPr>
        <w:t xml:space="preserve"> </w:t>
      </w:r>
      <w:r w:rsidRPr="00EB2BD8">
        <w:rPr>
          <w:rFonts w:ascii="Arial"/>
          <w:sz w:val="16"/>
        </w:rPr>
        <w:t>asset</w:t>
      </w:r>
      <w:r w:rsidRPr="00EB2BD8">
        <w:rPr>
          <w:rFonts w:ascii="Arial"/>
          <w:spacing w:val="10"/>
          <w:sz w:val="16"/>
        </w:rPr>
        <w:t xml:space="preserve"> </w:t>
      </w:r>
      <w:r w:rsidRPr="00EB2BD8">
        <w:rPr>
          <w:rFonts w:ascii="Arial"/>
          <w:sz w:val="16"/>
        </w:rPr>
        <w:t>during</w:t>
      </w:r>
      <w:r w:rsidRPr="00EB2BD8">
        <w:rPr>
          <w:rFonts w:ascii="Arial"/>
          <w:spacing w:val="8"/>
          <w:sz w:val="16"/>
        </w:rPr>
        <w:t xml:space="preserve"> </w:t>
      </w:r>
      <w:r w:rsidRPr="00EB2BD8">
        <w:rPr>
          <w:rFonts w:ascii="Arial"/>
          <w:sz w:val="16"/>
        </w:rPr>
        <w:t>its</w:t>
      </w:r>
      <w:r w:rsidRPr="00EB2BD8">
        <w:rPr>
          <w:rFonts w:ascii="Arial"/>
          <w:spacing w:val="10"/>
          <w:sz w:val="16"/>
        </w:rPr>
        <w:t xml:space="preserve"> </w:t>
      </w:r>
      <w:r w:rsidRPr="00EB2BD8">
        <w:rPr>
          <w:rFonts w:ascii="Arial"/>
          <w:spacing w:val="-2"/>
          <w:sz w:val="16"/>
        </w:rPr>
        <w:t>development.</w:t>
      </w:r>
    </w:p>
    <w:p w14:paraId="299447C5" w14:textId="77777777" w:rsidR="00084F36" w:rsidRPr="00EB2BD8" w:rsidRDefault="00084F36">
      <w:pPr>
        <w:pStyle w:val="BodyText"/>
        <w:rPr>
          <w:rFonts w:ascii="Arial"/>
          <w:sz w:val="20"/>
        </w:rPr>
      </w:pPr>
    </w:p>
    <w:p w14:paraId="38921B45" w14:textId="77777777" w:rsidR="00084F36" w:rsidRPr="00EB2BD8" w:rsidRDefault="00EB2BD8" w:rsidP="00273892">
      <w:pPr>
        <w:pStyle w:val="Heading2"/>
        <w:ind w:firstLine="204"/>
      </w:pPr>
      <w:bookmarkStart w:id="292" w:name="_Toc150762594"/>
      <w:r w:rsidRPr="00EB2BD8">
        <w:t>Subsequent</w:t>
      </w:r>
      <w:r w:rsidRPr="00EB2BD8">
        <w:rPr>
          <w:spacing w:val="22"/>
        </w:rPr>
        <w:t xml:space="preserve"> </w:t>
      </w:r>
      <w:r w:rsidRPr="00EB2BD8">
        <w:rPr>
          <w:spacing w:val="-2"/>
        </w:rPr>
        <w:t>measurement</w:t>
      </w:r>
      <w:bookmarkEnd w:id="292"/>
    </w:p>
    <w:p w14:paraId="582D0393" w14:textId="77777777" w:rsidR="00084F36" w:rsidRPr="00EB2BD8" w:rsidRDefault="00EB2BD8">
      <w:pPr>
        <w:spacing w:before="156" w:line="290" w:lineRule="auto"/>
        <w:ind w:left="1054" w:right="1813"/>
        <w:rPr>
          <w:rFonts w:ascii="Arial" w:hAnsi="Arial"/>
          <w:sz w:val="16"/>
        </w:rPr>
      </w:pPr>
      <w:r w:rsidRPr="00EB2BD8">
        <w:rPr>
          <w:rFonts w:ascii="Arial" w:hAnsi="Arial"/>
          <w:w w:val="105"/>
          <w:sz w:val="16"/>
        </w:rPr>
        <w:t>Intangible</w:t>
      </w:r>
      <w:r w:rsidRPr="00EB2BD8">
        <w:rPr>
          <w:rFonts w:ascii="Arial" w:hAnsi="Arial"/>
          <w:spacing w:val="-3"/>
          <w:w w:val="105"/>
          <w:sz w:val="16"/>
        </w:rPr>
        <w:t xml:space="preserve"> </w:t>
      </w:r>
      <w:r w:rsidRPr="00EB2BD8">
        <w:rPr>
          <w:rFonts w:ascii="Arial" w:hAnsi="Arial"/>
          <w:w w:val="105"/>
          <w:sz w:val="16"/>
        </w:rPr>
        <w:t>assets</w:t>
      </w:r>
      <w:r w:rsidRPr="00EB2BD8">
        <w:rPr>
          <w:rFonts w:ascii="Arial" w:hAnsi="Arial"/>
          <w:spacing w:val="-3"/>
          <w:w w:val="105"/>
          <w:sz w:val="16"/>
        </w:rPr>
        <w:t xml:space="preserve"> </w:t>
      </w:r>
      <w:r w:rsidRPr="00EB2BD8">
        <w:rPr>
          <w:rFonts w:ascii="Arial" w:hAnsi="Arial"/>
          <w:w w:val="105"/>
          <w:sz w:val="16"/>
        </w:rPr>
        <w:t>with</w:t>
      </w:r>
      <w:r w:rsidRPr="00EB2BD8">
        <w:rPr>
          <w:rFonts w:ascii="Arial" w:hAnsi="Arial"/>
          <w:spacing w:val="-3"/>
          <w:w w:val="105"/>
          <w:sz w:val="16"/>
        </w:rPr>
        <w:t xml:space="preserve"> </w:t>
      </w:r>
      <w:r w:rsidRPr="00EB2BD8">
        <w:rPr>
          <w:rFonts w:ascii="Arial" w:hAnsi="Arial"/>
          <w:w w:val="105"/>
          <w:sz w:val="16"/>
        </w:rPr>
        <w:t>finite</w:t>
      </w:r>
      <w:r w:rsidRPr="00EB2BD8">
        <w:rPr>
          <w:rFonts w:ascii="Arial" w:hAnsi="Arial"/>
          <w:spacing w:val="-3"/>
          <w:w w:val="105"/>
          <w:sz w:val="16"/>
        </w:rPr>
        <w:t xml:space="preserve"> </w:t>
      </w:r>
      <w:r w:rsidRPr="00EB2BD8">
        <w:rPr>
          <w:rFonts w:ascii="Arial" w:hAnsi="Arial"/>
          <w:w w:val="105"/>
          <w:sz w:val="16"/>
        </w:rPr>
        <w:t>useful</w:t>
      </w:r>
      <w:r w:rsidRPr="00EB2BD8">
        <w:rPr>
          <w:rFonts w:ascii="Arial" w:hAnsi="Arial"/>
          <w:spacing w:val="-3"/>
          <w:w w:val="105"/>
          <w:sz w:val="16"/>
        </w:rPr>
        <w:t xml:space="preserve"> </w:t>
      </w:r>
      <w:r w:rsidRPr="00EB2BD8">
        <w:rPr>
          <w:rFonts w:ascii="Arial" w:hAnsi="Arial"/>
          <w:w w:val="105"/>
          <w:sz w:val="16"/>
        </w:rPr>
        <w:t>lives</w:t>
      </w:r>
      <w:r w:rsidRPr="00EB2BD8">
        <w:rPr>
          <w:rFonts w:ascii="Arial" w:hAnsi="Arial"/>
          <w:spacing w:val="-3"/>
          <w:w w:val="105"/>
          <w:sz w:val="16"/>
        </w:rPr>
        <w:t xml:space="preserve"> </w:t>
      </w:r>
      <w:r w:rsidRPr="00EB2BD8">
        <w:rPr>
          <w:rFonts w:ascii="Arial" w:hAnsi="Arial"/>
          <w:w w:val="105"/>
          <w:sz w:val="16"/>
        </w:rPr>
        <w:t>are</w:t>
      </w:r>
      <w:r w:rsidRPr="00EB2BD8">
        <w:rPr>
          <w:rFonts w:ascii="Arial" w:hAnsi="Arial"/>
          <w:spacing w:val="-3"/>
          <w:w w:val="105"/>
          <w:sz w:val="16"/>
        </w:rPr>
        <w:t xml:space="preserve"> </w:t>
      </w:r>
      <w:r w:rsidRPr="00EB2BD8">
        <w:rPr>
          <w:rFonts w:ascii="Arial" w:hAnsi="Arial"/>
          <w:w w:val="105"/>
          <w:sz w:val="16"/>
        </w:rPr>
        <w:t>amortised</w:t>
      </w:r>
      <w:r w:rsidRPr="00EB2BD8">
        <w:rPr>
          <w:rFonts w:ascii="Arial" w:hAnsi="Arial"/>
          <w:spacing w:val="-3"/>
          <w:w w:val="105"/>
          <w:sz w:val="16"/>
        </w:rPr>
        <w:t xml:space="preserve"> </w:t>
      </w:r>
      <w:r w:rsidRPr="00EB2BD8">
        <w:rPr>
          <w:rFonts w:ascii="Arial" w:hAnsi="Arial"/>
          <w:w w:val="105"/>
          <w:sz w:val="16"/>
        </w:rPr>
        <w:t>as</w:t>
      </w:r>
      <w:r w:rsidRPr="00EB2BD8">
        <w:rPr>
          <w:rFonts w:ascii="Arial" w:hAnsi="Arial"/>
          <w:spacing w:val="-3"/>
          <w:w w:val="105"/>
          <w:sz w:val="16"/>
        </w:rPr>
        <w:t xml:space="preserve"> </w:t>
      </w:r>
      <w:r w:rsidRPr="00EB2BD8">
        <w:rPr>
          <w:rFonts w:ascii="Arial" w:hAnsi="Arial"/>
          <w:w w:val="105"/>
          <w:sz w:val="16"/>
        </w:rPr>
        <w:t>an</w:t>
      </w:r>
      <w:r w:rsidRPr="00EB2BD8">
        <w:rPr>
          <w:rFonts w:ascii="Arial" w:hAnsi="Arial"/>
          <w:spacing w:val="-2"/>
          <w:w w:val="105"/>
          <w:sz w:val="16"/>
        </w:rPr>
        <w:t xml:space="preserve"> </w:t>
      </w:r>
      <w:r w:rsidRPr="00EB2BD8">
        <w:rPr>
          <w:rFonts w:ascii="Arial" w:hAnsi="Arial"/>
          <w:w w:val="105"/>
          <w:sz w:val="16"/>
        </w:rPr>
        <w:t>‘expense</w:t>
      </w:r>
      <w:r w:rsidRPr="00EB2BD8">
        <w:rPr>
          <w:rFonts w:ascii="Arial" w:hAnsi="Arial"/>
          <w:spacing w:val="-3"/>
          <w:w w:val="105"/>
          <w:sz w:val="16"/>
        </w:rPr>
        <w:t xml:space="preserve"> </w:t>
      </w:r>
      <w:r w:rsidRPr="00EB2BD8">
        <w:rPr>
          <w:rFonts w:ascii="Arial" w:hAnsi="Arial"/>
          <w:w w:val="105"/>
          <w:sz w:val="16"/>
        </w:rPr>
        <w:t>from</w:t>
      </w:r>
      <w:r w:rsidRPr="00EB2BD8">
        <w:rPr>
          <w:rFonts w:ascii="Arial" w:hAnsi="Arial"/>
          <w:spacing w:val="-2"/>
          <w:w w:val="105"/>
          <w:sz w:val="16"/>
        </w:rPr>
        <w:t xml:space="preserve"> </w:t>
      </w:r>
      <w:r w:rsidRPr="00EB2BD8">
        <w:rPr>
          <w:rFonts w:ascii="Arial" w:hAnsi="Arial"/>
          <w:w w:val="105"/>
          <w:sz w:val="16"/>
        </w:rPr>
        <w:t>transactions’</w:t>
      </w:r>
      <w:r w:rsidRPr="00EB2BD8">
        <w:rPr>
          <w:rFonts w:ascii="Arial" w:hAnsi="Arial"/>
          <w:spacing w:val="-3"/>
          <w:w w:val="105"/>
          <w:sz w:val="16"/>
        </w:rPr>
        <w:t xml:space="preserve"> </w:t>
      </w:r>
      <w:r w:rsidRPr="00EB2BD8">
        <w:rPr>
          <w:rFonts w:ascii="Arial" w:hAnsi="Arial"/>
          <w:w w:val="105"/>
          <w:sz w:val="16"/>
        </w:rPr>
        <w:t>on</w:t>
      </w:r>
      <w:r w:rsidRPr="00EB2BD8">
        <w:rPr>
          <w:rFonts w:ascii="Arial" w:hAnsi="Arial"/>
          <w:spacing w:val="-3"/>
          <w:w w:val="105"/>
          <w:sz w:val="16"/>
        </w:rPr>
        <w:t xml:space="preserve"> </w:t>
      </w:r>
      <w:r w:rsidRPr="00EB2BD8">
        <w:rPr>
          <w:rFonts w:ascii="Arial" w:hAnsi="Arial"/>
          <w:w w:val="105"/>
          <w:sz w:val="16"/>
        </w:rPr>
        <w:t>a</w:t>
      </w:r>
      <w:r w:rsidRPr="00EB2BD8">
        <w:rPr>
          <w:rFonts w:ascii="Arial" w:hAnsi="Arial"/>
          <w:spacing w:val="-3"/>
          <w:w w:val="105"/>
          <w:sz w:val="16"/>
        </w:rPr>
        <w:t xml:space="preserve"> </w:t>
      </w:r>
      <w:r w:rsidRPr="00EB2BD8">
        <w:rPr>
          <w:rFonts w:ascii="Arial" w:hAnsi="Arial"/>
          <w:w w:val="105"/>
          <w:sz w:val="16"/>
        </w:rPr>
        <w:t>straight-line</w:t>
      </w:r>
      <w:r w:rsidRPr="00EB2BD8">
        <w:rPr>
          <w:rFonts w:ascii="Arial" w:hAnsi="Arial"/>
          <w:spacing w:val="-3"/>
          <w:w w:val="105"/>
          <w:sz w:val="16"/>
        </w:rPr>
        <w:t xml:space="preserve"> </w:t>
      </w:r>
      <w:r w:rsidRPr="00EB2BD8">
        <w:rPr>
          <w:rFonts w:ascii="Arial" w:hAnsi="Arial"/>
          <w:w w:val="105"/>
          <w:sz w:val="16"/>
        </w:rPr>
        <w:t>basis</w:t>
      </w:r>
      <w:r w:rsidRPr="00EB2BD8">
        <w:rPr>
          <w:rFonts w:ascii="Arial" w:hAnsi="Arial"/>
          <w:spacing w:val="-3"/>
          <w:w w:val="105"/>
          <w:sz w:val="16"/>
        </w:rPr>
        <w:t xml:space="preserve"> </w:t>
      </w:r>
      <w:r w:rsidRPr="00EB2BD8">
        <w:rPr>
          <w:rFonts w:ascii="Arial" w:hAnsi="Arial"/>
          <w:w w:val="105"/>
          <w:sz w:val="16"/>
        </w:rPr>
        <w:t>over</w:t>
      </w:r>
      <w:r w:rsidRPr="00EB2BD8">
        <w:rPr>
          <w:rFonts w:ascii="Arial" w:hAnsi="Arial"/>
          <w:spacing w:val="-3"/>
          <w:w w:val="105"/>
          <w:sz w:val="16"/>
        </w:rPr>
        <w:t xml:space="preserve"> </w:t>
      </w:r>
      <w:r w:rsidRPr="00EB2BD8">
        <w:rPr>
          <w:rFonts w:ascii="Arial" w:hAnsi="Arial"/>
          <w:w w:val="105"/>
          <w:sz w:val="16"/>
        </w:rPr>
        <w:t>their useful lives.</w:t>
      </w:r>
      <w:r w:rsidRPr="00EB2BD8">
        <w:rPr>
          <w:rFonts w:ascii="Arial" w:hAnsi="Arial"/>
          <w:spacing w:val="40"/>
          <w:w w:val="105"/>
          <w:sz w:val="16"/>
        </w:rPr>
        <w:t xml:space="preserve"> </w:t>
      </w:r>
      <w:r w:rsidRPr="00EB2BD8">
        <w:rPr>
          <w:rFonts w:ascii="Arial" w:hAnsi="Arial"/>
          <w:w w:val="105"/>
          <w:sz w:val="16"/>
        </w:rPr>
        <w:t>Produced intangible assets have useful lives of between three and seven years.</w:t>
      </w:r>
    </w:p>
    <w:p w14:paraId="51EF129E" w14:textId="77777777" w:rsidR="00084F36" w:rsidRPr="00EB2BD8" w:rsidRDefault="00084F36">
      <w:pPr>
        <w:pStyle w:val="BodyText"/>
        <w:spacing w:before="3"/>
        <w:rPr>
          <w:rFonts w:ascii="Arial"/>
          <w:sz w:val="22"/>
        </w:rPr>
      </w:pPr>
    </w:p>
    <w:p w14:paraId="5BAA06AC" w14:textId="77777777" w:rsidR="00084F36" w:rsidRPr="00EB2BD8" w:rsidRDefault="00EB2BD8" w:rsidP="00273892">
      <w:pPr>
        <w:pStyle w:val="Heading2"/>
        <w:ind w:firstLine="204"/>
      </w:pPr>
      <w:bookmarkStart w:id="293" w:name="_Toc150762595"/>
      <w:r w:rsidRPr="00EB2BD8">
        <w:t>Impairment</w:t>
      </w:r>
      <w:r w:rsidRPr="00EB2BD8">
        <w:rPr>
          <w:spacing w:val="15"/>
        </w:rPr>
        <w:t xml:space="preserve"> </w:t>
      </w:r>
      <w:r w:rsidRPr="00EB2BD8">
        <w:t>of</w:t>
      </w:r>
      <w:r w:rsidRPr="00EB2BD8">
        <w:rPr>
          <w:spacing w:val="15"/>
        </w:rPr>
        <w:t xml:space="preserve"> </w:t>
      </w:r>
      <w:r w:rsidRPr="00EB2BD8">
        <w:t>intangible</w:t>
      </w:r>
      <w:r w:rsidRPr="00EB2BD8">
        <w:rPr>
          <w:spacing w:val="16"/>
        </w:rPr>
        <w:t xml:space="preserve"> </w:t>
      </w:r>
      <w:r w:rsidRPr="00EB2BD8">
        <w:rPr>
          <w:spacing w:val="-2"/>
        </w:rPr>
        <w:t>assets</w:t>
      </w:r>
      <w:bookmarkEnd w:id="293"/>
    </w:p>
    <w:p w14:paraId="24CED512" w14:textId="77777777" w:rsidR="00084F36" w:rsidRPr="00EB2BD8" w:rsidRDefault="00EB2BD8">
      <w:pPr>
        <w:spacing w:before="157" w:line="288" w:lineRule="auto"/>
        <w:ind w:left="1055" w:right="1813" w:hanging="1"/>
        <w:rPr>
          <w:rFonts w:ascii="Arial"/>
          <w:sz w:val="16"/>
        </w:rPr>
      </w:pPr>
      <w:r w:rsidRPr="00EB2BD8">
        <w:rPr>
          <w:rFonts w:ascii="Arial"/>
          <w:w w:val="105"/>
          <w:sz w:val="16"/>
        </w:rPr>
        <w:t>Intangible</w:t>
      </w:r>
      <w:r w:rsidRPr="00EB2BD8">
        <w:rPr>
          <w:rFonts w:ascii="Arial"/>
          <w:spacing w:val="-8"/>
          <w:w w:val="105"/>
          <w:sz w:val="16"/>
        </w:rPr>
        <w:t xml:space="preserve"> </w:t>
      </w:r>
      <w:r w:rsidRPr="00EB2BD8">
        <w:rPr>
          <w:rFonts w:ascii="Arial"/>
          <w:w w:val="105"/>
          <w:sz w:val="16"/>
        </w:rPr>
        <w:t>assets</w:t>
      </w:r>
      <w:r w:rsidRPr="00EB2BD8">
        <w:rPr>
          <w:rFonts w:ascii="Arial"/>
          <w:spacing w:val="-7"/>
          <w:w w:val="105"/>
          <w:sz w:val="16"/>
        </w:rPr>
        <w:t xml:space="preserve"> </w:t>
      </w:r>
      <w:r w:rsidRPr="00EB2BD8">
        <w:rPr>
          <w:rFonts w:ascii="Arial"/>
          <w:w w:val="105"/>
          <w:sz w:val="16"/>
        </w:rPr>
        <w:t>with</w:t>
      </w:r>
      <w:r w:rsidRPr="00EB2BD8">
        <w:rPr>
          <w:rFonts w:ascii="Arial"/>
          <w:spacing w:val="-9"/>
          <w:w w:val="105"/>
          <w:sz w:val="16"/>
        </w:rPr>
        <w:t xml:space="preserve"> </w:t>
      </w:r>
      <w:r w:rsidRPr="00EB2BD8">
        <w:rPr>
          <w:rFonts w:ascii="Arial"/>
          <w:w w:val="105"/>
          <w:sz w:val="16"/>
        </w:rPr>
        <w:t>indefinite</w:t>
      </w:r>
      <w:r w:rsidRPr="00EB2BD8">
        <w:rPr>
          <w:rFonts w:ascii="Arial"/>
          <w:spacing w:val="-6"/>
          <w:w w:val="105"/>
          <w:sz w:val="16"/>
        </w:rPr>
        <w:t xml:space="preserve"> </w:t>
      </w:r>
      <w:r w:rsidRPr="00EB2BD8">
        <w:rPr>
          <w:rFonts w:ascii="Arial"/>
          <w:w w:val="105"/>
          <w:sz w:val="16"/>
        </w:rPr>
        <w:t>useful</w:t>
      </w:r>
      <w:r w:rsidRPr="00EB2BD8">
        <w:rPr>
          <w:rFonts w:ascii="Arial"/>
          <w:spacing w:val="-8"/>
          <w:w w:val="105"/>
          <w:sz w:val="16"/>
        </w:rPr>
        <w:t xml:space="preserve"> </w:t>
      </w:r>
      <w:r w:rsidRPr="00EB2BD8">
        <w:rPr>
          <w:rFonts w:ascii="Arial"/>
          <w:w w:val="105"/>
          <w:sz w:val="16"/>
        </w:rPr>
        <w:t>lives</w:t>
      </w:r>
      <w:r w:rsidRPr="00EB2BD8">
        <w:rPr>
          <w:rFonts w:ascii="Arial"/>
          <w:spacing w:val="-6"/>
          <w:w w:val="105"/>
          <w:sz w:val="16"/>
        </w:rPr>
        <w:t xml:space="preserve"> </w:t>
      </w:r>
      <w:r w:rsidRPr="00EB2BD8">
        <w:rPr>
          <w:rFonts w:ascii="Arial"/>
          <w:w w:val="105"/>
          <w:sz w:val="16"/>
        </w:rPr>
        <w:t>(and</w:t>
      </w:r>
      <w:r w:rsidRPr="00EB2BD8">
        <w:rPr>
          <w:rFonts w:ascii="Arial"/>
          <w:spacing w:val="-9"/>
          <w:w w:val="105"/>
          <w:sz w:val="16"/>
        </w:rPr>
        <w:t xml:space="preserve"> </w:t>
      </w:r>
      <w:r w:rsidRPr="00EB2BD8">
        <w:rPr>
          <w:rFonts w:ascii="Arial"/>
          <w:w w:val="105"/>
          <w:sz w:val="16"/>
        </w:rPr>
        <w:t>intangible</w:t>
      </w:r>
      <w:r w:rsidRPr="00EB2BD8">
        <w:rPr>
          <w:rFonts w:ascii="Arial"/>
          <w:spacing w:val="-7"/>
          <w:w w:val="105"/>
          <w:sz w:val="16"/>
        </w:rPr>
        <w:t xml:space="preserve"> </w:t>
      </w:r>
      <w:r w:rsidRPr="00EB2BD8">
        <w:rPr>
          <w:rFonts w:ascii="Arial"/>
          <w:w w:val="105"/>
          <w:sz w:val="16"/>
        </w:rPr>
        <w:t>assets</w:t>
      </w:r>
      <w:r w:rsidRPr="00EB2BD8">
        <w:rPr>
          <w:rFonts w:ascii="Arial"/>
          <w:spacing w:val="-4"/>
          <w:w w:val="105"/>
          <w:sz w:val="16"/>
        </w:rPr>
        <w:t xml:space="preserve"> </w:t>
      </w:r>
      <w:r w:rsidRPr="00EB2BD8">
        <w:rPr>
          <w:rFonts w:ascii="Arial"/>
          <w:w w:val="105"/>
          <w:sz w:val="16"/>
        </w:rPr>
        <w:t>not</w:t>
      </w:r>
      <w:r w:rsidRPr="00EB2BD8">
        <w:rPr>
          <w:rFonts w:ascii="Arial"/>
          <w:spacing w:val="-8"/>
          <w:w w:val="105"/>
          <w:sz w:val="16"/>
        </w:rPr>
        <w:t xml:space="preserve"> </w:t>
      </w:r>
      <w:r w:rsidRPr="00EB2BD8">
        <w:rPr>
          <w:rFonts w:ascii="Arial"/>
          <w:w w:val="105"/>
          <w:sz w:val="16"/>
        </w:rPr>
        <w:t>yet</w:t>
      </w:r>
      <w:r w:rsidRPr="00EB2BD8">
        <w:rPr>
          <w:rFonts w:ascii="Arial"/>
          <w:spacing w:val="-7"/>
          <w:w w:val="105"/>
          <w:sz w:val="16"/>
        </w:rPr>
        <w:t xml:space="preserve"> </w:t>
      </w:r>
      <w:r w:rsidRPr="00EB2BD8">
        <w:rPr>
          <w:rFonts w:ascii="Arial"/>
          <w:w w:val="105"/>
          <w:sz w:val="16"/>
        </w:rPr>
        <w:t>available</w:t>
      </w:r>
      <w:r w:rsidRPr="00EB2BD8">
        <w:rPr>
          <w:rFonts w:ascii="Arial"/>
          <w:spacing w:val="-5"/>
          <w:w w:val="105"/>
          <w:sz w:val="16"/>
        </w:rPr>
        <w:t xml:space="preserve"> </w:t>
      </w:r>
      <w:r w:rsidRPr="00EB2BD8">
        <w:rPr>
          <w:rFonts w:ascii="Arial"/>
          <w:w w:val="105"/>
          <w:sz w:val="16"/>
        </w:rPr>
        <w:t>for</w:t>
      </w:r>
      <w:r w:rsidRPr="00EB2BD8">
        <w:rPr>
          <w:rFonts w:ascii="Arial"/>
          <w:spacing w:val="-6"/>
          <w:w w:val="105"/>
          <w:sz w:val="16"/>
        </w:rPr>
        <w:t xml:space="preserve"> </w:t>
      </w:r>
      <w:r w:rsidRPr="00EB2BD8">
        <w:rPr>
          <w:rFonts w:ascii="Arial"/>
          <w:w w:val="105"/>
          <w:sz w:val="16"/>
        </w:rPr>
        <w:t>use)</w:t>
      </w:r>
      <w:r w:rsidRPr="00EB2BD8">
        <w:rPr>
          <w:rFonts w:ascii="Arial"/>
          <w:spacing w:val="-7"/>
          <w:w w:val="105"/>
          <w:sz w:val="16"/>
        </w:rPr>
        <w:t xml:space="preserve"> </w:t>
      </w:r>
      <w:r w:rsidRPr="00EB2BD8">
        <w:rPr>
          <w:rFonts w:ascii="Arial"/>
          <w:w w:val="105"/>
          <w:sz w:val="16"/>
        </w:rPr>
        <w:t>are</w:t>
      </w:r>
      <w:r w:rsidRPr="00EB2BD8">
        <w:rPr>
          <w:rFonts w:ascii="Arial"/>
          <w:spacing w:val="-8"/>
          <w:w w:val="105"/>
          <w:sz w:val="16"/>
        </w:rPr>
        <w:t xml:space="preserve"> </w:t>
      </w:r>
      <w:r w:rsidRPr="00EB2BD8">
        <w:rPr>
          <w:rFonts w:ascii="Arial"/>
          <w:w w:val="105"/>
          <w:sz w:val="16"/>
        </w:rPr>
        <w:t>tested</w:t>
      </w:r>
      <w:r w:rsidRPr="00EB2BD8">
        <w:rPr>
          <w:rFonts w:ascii="Arial"/>
          <w:spacing w:val="-9"/>
          <w:w w:val="105"/>
          <w:sz w:val="16"/>
        </w:rPr>
        <w:t xml:space="preserve"> </w:t>
      </w:r>
      <w:r w:rsidRPr="00EB2BD8">
        <w:rPr>
          <w:rFonts w:ascii="Arial"/>
          <w:w w:val="105"/>
          <w:sz w:val="16"/>
        </w:rPr>
        <w:t>annually</w:t>
      </w:r>
      <w:r w:rsidRPr="00EB2BD8">
        <w:rPr>
          <w:rFonts w:ascii="Arial"/>
          <w:spacing w:val="-5"/>
          <w:w w:val="105"/>
          <w:sz w:val="16"/>
        </w:rPr>
        <w:t xml:space="preserve"> </w:t>
      </w:r>
      <w:r w:rsidRPr="00EB2BD8">
        <w:rPr>
          <w:rFonts w:ascii="Arial"/>
          <w:w w:val="105"/>
          <w:sz w:val="16"/>
        </w:rPr>
        <w:t>for impairment</w:t>
      </w:r>
      <w:r w:rsidRPr="00EB2BD8">
        <w:rPr>
          <w:rFonts w:ascii="Arial"/>
          <w:spacing w:val="-13"/>
          <w:w w:val="105"/>
          <w:sz w:val="16"/>
        </w:rPr>
        <w:t xml:space="preserve"> </w:t>
      </w:r>
      <w:r w:rsidRPr="00EB2BD8">
        <w:rPr>
          <w:rFonts w:ascii="Arial"/>
          <w:w w:val="105"/>
          <w:sz w:val="16"/>
        </w:rPr>
        <w:t>and</w:t>
      </w:r>
      <w:r w:rsidRPr="00EB2BD8">
        <w:rPr>
          <w:rFonts w:ascii="Arial"/>
          <w:spacing w:val="-11"/>
          <w:w w:val="105"/>
          <w:sz w:val="16"/>
        </w:rPr>
        <w:t xml:space="preserve"> </w:t>
      </w:r>
      <w:r w:rsidRPr="00EB2BD8">
        <w:rPr>
          <w:rFonts w:ascii="Arial"/>
          <w:w w:val="105"/>
          <w:sz w:val="16"/>
        </w:rPr>
        <w:t>whenever</w:t>
      </w:r>
      <w:r w:rsidRPr="00EB2BD8">
        <w:rPr>
          <w:rFonts w:ascii="Arial"/>
          <w:spacing w:val="-13"/>
          <w:w w:val="105"/>
          <w:sz w:val="16"/>
        </w:rPr>
        <w:t xml:space="preserve"> </w:t>
      </w:r>
      <w:r w:rsidRPr="00EB2BD8">
        <w:rPr>
          <w:rFonts w:ascii="Arial"/>
          <w:w w:val="105"/>
          <w:sz w:val="16"/>
        </w:rPr>
        <w:t>there</w:t>
      </w:r>
      <w:r w:rsidRPr="00EB2BD8">
        <w:rPr>
          <w:rFonts w:ascii="Arial"/>
          <w:spacing w:val="-12"/>
          <w:w w:val="105"/>
          <w:sz w:val="16"/>
        </w:rPr>
        <w:t xml:space="preserve"> </w:t>
      </w:r>
      <w:r w:rsidRPr="00EB2BD8">
        <w:rPr>
          <w:rFonts w:ascii="Arial"/>
          <w:w w:val="105"/>
          <w:sz w:val="16"/>
        </w:rPr>
        <w:t>is</w:t>
      </w:r>
      <w:r w:rsidRPr="00EB2BD8">
        <w:rPr>
          <w:rFonts w:ascii="Arial"/>
          <w:spacing w:val="-12"/>
          <w:w w:val="105"/>
          <w:sz w:val="16"/>
        </w:rPr>
        <w:t xml:space="preserve"> </w:t>
      </w:r>
      <w:r w:rsidRPr="00EB2BD8">
        <w:rPr>
          <w:rFonts w:ascii="Arial"/>
          <w:w w:val="105"/>
          <w:sz w:val="16"/>
        </w:rPr>
        <w:t>an</w:t>
      </w:r>
      <w:r w:rsidRPr="00EB2BD8">
        <w:rPr>
          <w:rFonts w:ascii="Arial"/>
          <w:spacing w:val="-12"/>
          <w:w w:val="105"/>
          <w:sz w:val="16"/>
        </w:rPr>
        <w:t xml:space="preserve"> </w:t>
      </w:r>
      <w:r w:rsidRPr="00EB2BD8">
        <w:rPr>
          <w:rFonts w:ascii="Arial"/>
          <w:w w:val="105"/>
          <w:sz w:val="16"/>
        </w:rPr>
        <w:t>indication</w:t>
      </w:r>
      <w:r w:rsidRPr="00EB2BD8">
        <w:rPr>
          <w:rFonts w:ascii="Arial"/>
          <w:spacing w:val="-13"/>
          <w:w w:val="105"/>
          <w:sz w:val="16"/>
        </w:rPr>
        <w:t xml:space="preserve"> </w:t>
      </w:r>
      <w:r w:rsidRPr="00EB2BD8">
        <w:rPr>
          <w:rFonts w:ascii="Arial"/>
          <w:w w:val="105"/>
          <w:sz w:val="16"/>
        </w:rPr>
        <w:t>that</w:t>
      </w:r>
      <w:r w:rsidRPr="00EB2BD8">
        <w:rPr>
          <w:rFonts w:ascii="Arial"/>
          <w:spacing w:val="-12"/>
          <w:w w:val="105"/>
          <w:sz w:val="16"/>
        </w:rPr>
        <w:t xml:space="preserve"> </w:t>
      </w:r>
      <w:r w:rsidRPr="00EB2BD8">
        <w:rPr>
          <w:rFonts w:ascii="Arial"/>
          <w:w w:val="105"/>
          <w:sz w:val="16"/>
        </w:rPr>
        <w:t>the</w:t>
      </w:r>
      <w:r w:rsidRPr="00EB2BD8">
        <w:rPr>
          <w:rFonts w:ascii="Arial"/>
          <w:spacing w:val="-12"/>
          <w:w w:val="105"/>
          <w:sz w:val="16"/>
        </w:rPr>
        <w:t xml:space="preserve"> </w:t>
      </w:r>
      <w:r w:rsidRPr="00EB2BD8">
        <w:rPr>
          <w:rFonts w:ascii="Arial"/>
          <w:w w:val="105"/>
          <w:sz w:val="16"/>
        </w:rPr>
        <w:t>asset</w:t>
      </w:r>
      <w:r w:rsidRPr="00EB2BD8">
        <w:rPr>
          <w:rFonts w:ascii="Arial"/>
          <w:spacing w:val="-12"/>
          <w:w w:val="105"/>
          <w:sz w:val="16"/>
        </w:rPr>
        <w:t xml:space="preserve"> </w:t>
      </w:r>
      <w:r w:rsidRPr="00EB2BD8">
        <w:rPr>
          <w:rFonts w:ascii="Arial"/>
          <w:w w:val="105"/>
          <w:sz w:val="16"/>
        </w:rPr>
        <w:t>may</w:t>
      </w:r>
      <w:r w:rsidRPr="00EB2BD8">
        <w:rPr>
          <w:rFonts w:ascii="Arial"/>
          <w:spacing w:val="-12"/>
          <w:w w:val="105"/>
          <w:sz w:val="16"/>
        </w:rPr>
        <w:t xml:space="preserve"> </w:t>
      </w:r>
      <w:r w:rsidRPr="00EB2BD8">
        <w:rPr>
          <w:rFonts w:ascii="Arial"/>
          <w:w w:val="105"/>
          <w:sz w:val="16"/>
        </w:rPr>
        <w:t>be</w:t>
      </w:r>
      <w:r w:rsidRPr="00EB2BD8">
        <w:rPr>
          <w:rFonts w:ascii="Arial"/>
          <w:spacing w:val="-11"/>
          <w:w w:val="105"/>
          <w:sz w:val="16"/>
        </w:rPr>
        <w:t xml:space="preserve"> </w:t>
      </w:r>
      <w:r w:rsidRPr="00EB2BD8">
        <w:rPr>
          <w:rFonts w:ascii="Arial"/>
          <w:w w:val="105"/>
          <w:sz w:val="16"/>
        </w:rPr>
        <w:t>impaired.</w:t>
      </w:r>
      <w:r w:rsidRPr="00EB2BD8">
        <w:rPr>
          <w:rFonts w:ascii="Arial"/>
          <w:spacing w:val="5"/>
          <w:w w:val="105"/>
          <w:sz w:val="16"/>
        </w:rPr>
        <w:t xml:space="preserve"> </w:t>
      </w:r>
      <w:r w:rsidRPr="00EB2BD8">
        <w:rPr>
          <w:rFonts w:ascii="Arial"/>
          <w:w w:val="105"/>
          <w:sz w:val="16"/>
        </w:rPr>
        <w:t>Intangible</w:t>
      </w:r>
      <w:r w:rsidRPr="00EB2BD8">
        <w:rPr>
          <w:rFonts w:ascii="Arial"/>
          <w:spacing w:val="-10"/>
          <w:w w:val="105"/>
          <w:sz w:val="16"/>
        </w:rPr>
        <w:t xml:space="preserve"> </w:t>
      </w:r>
      <w:r w:rsidRPr="00EB2BD8">
        <w:rPr>
          <w:rFonts w:ascii="Arial"/>
          <w:w w:val="105"/>
          <w:sz w:val="16"/>
        </w:rPr>
        <w:t>assets</w:t>
      </w:r>
      <w:r w:rsidRPr="00EB2BD8">
        <w:rPr>
          <w:rFonts w:ascii="Arial"/>
          <w:spacing w:val="-13"/>
          <w:w w:val="105"/>
          <w:sz w:val="16"/>
        </w:rPr>
        <w:t xml:space="preserve"> </w:t>
      </w:r>
      <w:r w:rsidRPr="00EB2BD8">
        <w:rPr>
          <w:rFonts w:ascii="Arial"/>
          <w:w w:val="105"/>
          <w:sz w:val="16"/>
        </w:rPr>
        <w:t>with</w:t>
      </w:r>
      <w:r w:rsidRPr="00EB2BD8">
        <w:rPr>
          <w:rFonts w:ascii="Arial"/>
          <w:spacing w:val="-11"/>
          <w:w w:val="105"/>
          <w:sz w:val="16"/>
        </w:rPr>
        <w:t xml:space="preserve"> </w:t>
      </w:r>
      <w:r w:rsidRPr="00EB2BD8">
        <w:rPr>
          <w:rFonts w:ascii="Arial"/>
          <w:w w:val="105"/>
          <w:sz w:val="16"/>
        </w:rPr>
        <w:t>finite</w:t>
      </w:r>
      <w:r w:rsidRPr="00EB2BD8">
        <w:rPr>
          <w:rFonts w:ascii="Arial"/>
          <w:spacing w:val="-14"/>
          <w:w w:val="105"/>
          <w:sz w:val="16"/>
        </w:rPr>
        <w:t xml:space="preserve"> </w:t>
      </w:r>
      <w:r w:rsidRPr="00EB2BD8">
        <w:rPr>
          <w:rFonts w:ascii="Arial"/>
          <w:w w:val="105"/>
          <w:sz w:val="16"/>
        </w:rPr>
        <w:t>useful</w:t>
      </w:r>
      <w:r w:rsidRPr="00EB2BD8">
        <w:rPr>
          <w:rFonts w:ascii="Arial"/>
          <w:spacing w:val="-2"/>
          <w:w w:val="105"/>
          <w:sz w:val="16"/>
        </w:rPr>
        <w:t xml:space="preserve"> </w:t>
      </w:r>
      <w:r w:rsidRPr="00EB2BD8">
        <w:rPr>
          <w:rFonts w:ascii="Arial"/>
          <w:w w:val="105"/>
          <w:sz w:val="16"/>
        </w:rPr>
        <w:t>lives</w:t>
      </w:r>
      <w:r w:rsidRPr="00EB2BD8">
        <w:rPr>
          <w:rFonts w:ascii="Arial"/>
          <w:spacing w:val="-3"/>
          <w:w w:val="105"/>
          <w:sz w:val="16"/>
        </w:rPr>
        <w:t xml:space="preserve"> </w:t>
      </w:r>
      <w:r w:rsidRPr="00EB2BD8">
        <w:rPr>
          <w:rFonts w:ascii="Arial"/>
          <w:w w:val="105"/>
          <w:sz w:val="16"/>
        </w:rPr>
        <w:t>are tested for impairment whenever an indication of impairment is identified.</w:t>
      </w:r>
    </w:p>
    <w:p w14:paraId="2DD0CC30" w14:textId="77777777" w:rsidR="00084F36" w:rsidRPr="00EB2BD8" w:rsidRDefault="00084F36">
      <w:pPr>
        <w:pStyle w:val="BodyText"/>
        <w:spacing w:before="7"/>
        <w:rPr>
          <w:rFonts w:ascii="Arial"/>
          <w:sz w:val="19"/>
        </w:rPr>
      </w:pPr>
    </w:p>
    <w:p w14:paraId="3E360D34" w14:textId="77777777" w:rsidR="00084F36" w:rsidRPr="00EB2BD8" w:rsidRDefault="00EB2BD8">
      <w:pPr>
        <w:ind w:left="1055"/>
        <w:rPr>
          <w:rFonts w:ascii="Arial"/>
          <w:sz w:val="16"/>
        </w:rPr>
      </w:pPr>
      <w:r w:rsidRPr="00EB2BD8">
        <w:rPr>
          <w:rFonts w:ascii="Arial"/>
          <w:w w:val="105"/>
          <w:sz w:val="16"/>
        </w:rPr>
        <w:t>The</w:t>
      </w:r>
      <w:r w:rsidRPr="00EB2BD8">
        <w:rPr>
          <w:rFonts w:ascii="Arial"/>
          <w:spacing w:val="-7"/>
          <w:w w:val="105"/>
          <w:sz w:val="16"/>
        </w:rPr>
        <w:t xml:space="preserve"> </w:t>
      </w:r>
      <w:r w:rsidRPr="00EB2BD8">
        <w:rPr>
          <w:rFonts w:ascii="Arial"/>
          <w:w w:val="105"/>
          <w:sz w:val="16"/>
        </w:rPr>
        <w:t>policy</w:t>
      </w:r>
      <w:r w:rsidRPr="00EB2BD8">
        <w:rPr>
          <w:rFonts w:ascii="Arial"/>
          <w:spacing w:val="-6"/>
          <w:w w:val="105"/>
          <w:sz w:val="16"/>
        </w:rPr>
        <w:t xml:space="preserve"> </w:t>
      </w:r>
      <w:r w:rsidRPr="00EB2BD8">
        <w:rPr>
          <w:rFonts w:ascii="Arial"/>
          <w:w w:val="105"/>
          <w:sz w:val="16"/>
        </w:rPr>
        <w:t>in</w:t>
      </w:r>
      <w:r w:rsidRPr="00EB2BD8">
        <w:rPr>
          <w:rFonts w:ascii="Arial"/>
          <w:spacing w:val="-6"/>
          <w:w w:val="105"/>
          <w:sz w:val="16"/>
        </w:rPr>
        <w:t xml:space="preserve"> </w:t>
      </w:r>
      <w:r w:rsidRPr="00EB2BD8">
        <w:rPr>
          <w:rFonts w:ascii="Arial"/>
          <w:w w:val="105"/>
          <w:sz w:val="16"/>
        </w:rPr>
        <w:t>connection</w:t>
      </w:r>
      <w:r w:rsidRPr="00EB2BD8">
        <w:rPr>
          <w:rFonts w:ascii="Arial"/>
          <w:spacing w:val="-6"/>
          <w:w w:val="105"/>
          <w:sz w:val="16"/>
        </w:rPr>
        <w:t xml:space="preserve"> </w:t>
      </w:r>
      <w:r w:rsidRPr="00EB2BD8">
        <w:rPr>
          <w:rFonts w:ascii="Arial"/>
          <w:w w:val="105"/>
          <w:sz w:val="16"/>
        </w:rPr>
        <w:t>with</w:t>
      </w:r>
      <w:r w:rsidRPr="00EB2BD8">
        <w:rPr>
          <w:rFonts w:ascii="Arial"/>
          <w:spacing w:val="-5"/>
          <w:w w:val="105"/>
          <w:sz w:val="16"/>
        </w:rPr>
        <w:t xml:space="preserve"> </w:t>
      </w:r>
      <w:r w:rsidRPr="00EB2BD8">
        <w:rPr>
          <w:rFonts w:ascii="Arial"/>
          <w:w w:val="105"/>
          <w:sz w:val="16"/>
        </w:rPr>
        <w:t>testing</w:t>
      </w:r>
      <w:r w:rsidRPr="00EB2BD8">
        <w:rPr>
          <w:rFonts w:ascii="Arial"/>
          <w:spacing w:val="-6"/>
          <w:w w:val="105"/>
          <w:sz w:val="16"/>
        </w:rPr>
        <w:t xml:space="preserve"> </w:t>
      </w:r>
      <w:r w:rsidRPr="00EB2BD8">
        <w:rPr>
          <w:rFonts w:ascii="Arial"/>
          <w:w w:val="105"/>
          <w:sz w:val="16"/>
        </w:rPr>
        <w:t>for</w:t>
      </w:r>
      <w:r w:rsidRPr="00EB2BD8">
        <w:rPr>
          <w:rFonts w:ascii="Arial"/>
          <w:spacing w:val="-6"/>
          <w:w w:val="105"/>
          <w:sz w:val="16"/>
        </w:rPr>
        <w:t xml:space="preserve"> </w:t>
      </w:r>
      <w:r w:rsidRPr="00EB2BD8">
        <w:rPr>
          <w:rFonts w:ascii="Arial"/>
          <w:w w:val="105"/>
          <w:sz w:val="16"/>
        </w:rPr>
        <w:t>impairment</w:t>
      </w:r>
      <w:r w:rsidRPr="00EB2BD8">
        <w:rPr>
          <w:rFonts w:ascii="Arial"/>
          <w:spacing w:val="-6"/>
          <w:w w:val="105"/>
          <w:sz w:val="16"/>
        </w:rPr>
        <w:t xml:space="preserve"> </w:t>
      </w:r>
      <w:r w:rsidRPr="00EB2BD8">
        <w:rPr>
          <w:rFonts w:ascii="Arial"/>
          <w:w w:val="105"/>
          <w:sz w:val="16"/>
        </w:rPr>
        <w:t>is</w:t>
      </w:r>
      <w:r w:rsidRPr="00EB2BD8">
        <w:rPr>
          <w:rFonts w:ascii="Arial"/>
          <w:spacing w:val="-6"/>
          <w:w w:val="105"/>
          <w:sz w:val="16"/>
        </w:rPr>
        <w:t xml:space="preserve"> </w:t>
      </w:r>
      <w:r w:rsidRPr="00EB2BD8">
        <w:rPr>
          <w:rFonts w:ascii="Arial"/>
          <w:w w:val="105"/>
          <w:sz w:val="16"/>
        </w:rPr>
        <w:t>outlined</w:t>
      </w:r>
      <w:r w:rsidRPr="00EB2BD8">
        <w:rPr>
          <w:rFonts w:ascii="Arial"/>
          <w:spacing w:val="-6"/>
          <w:w w:val="105"/>
          <w:sz w:val="16"/>
        </w:rPr>
        <w:t xml:space="preserve"> </w:t>
      </w:r>
      <w:r w:rsidRPr="00EB2BD8">
        <w:rPr>
          <w:rFonts w:ascii="Arial"/>
          <w:w w:val="105"/>
          <w:sz w:val="16"/>
        </w:rPr>
        <w:t>in</w:t>
      </w:r>
      <w:r w:rsidRPr="00EB2BD8">
        <w:rPr>
          <w:rFonts w:ascii="Arial"/>
          <w:spacing w:val="-6"/>
          <w:w w:val="105"/>
          <w:sz w:val="16"/>
        </w:rPr>
        <w:t xml:space="preserve"> </w:t>
      </w:r>
      <w:r w:rsidRPr="00EB2BD8">
        <w:rPr>
          <w:rFonts w:ascii="Arial"/>
          <w:w w:val="105"/>
          <w:sz w:val="16"/>
        </w:rPr>
        <w:t>note</w:t>
      </w:r>
      <w:r w:rsidRPr="00EB2BD8">
        <w:rPr>
          <w:rFonts w:ascii="Arial"/>
          <w:spacing w:val="-6"/>
          <w:w w:val="105"/>
          <w:sz w:val="16"/>
        </w:rPr>
        <w:t xml:space="preserve"> </w:t>
      </w:r>
      <w:r w:rsidRPr="00EB2BD8">
        <w:rPr>
          <w:rFonts w:ascii="Arial"/>
          <w:spacing w:val="-4"/>
          <w:w w:val="105"/>
          <w:sz w:val="16"/>
        </w:rPr>
        <w:t>4.3.</w:t>
      </w:r>
    </w:p>
    <w:p w14:paraId="13B3716D" w14:textId="7E0B6AA2" w:rsidR="00084F36" w:rsidRPr="00462776" w:rsidRDefault="00462776" w:rsidP="00462776">
      <w:pPr>
        <w:pStyle w:val="Heading2"/>
        <w:ind w:left="0" w:firstLine="720"/>
      </w:pPr>
      <w:r>
        <w:t xml:space="preserve">   </w:t>
      </w:r>
      <w:bookmarkStart w:id="294" w:name="_Toc150762596"/>
      <w:r w:rsidR="00EB2BD8" w:rsidRPr="00462776">
        <w:t>Significant intangible assets</w:t>
      </w:r>
      <w:bookmarkEnd w:id="294"/>
    </w:p>
    <w:p w14:paraId="66132C40" w14:textId="77777777" w:rsidR="00084F36" w:rsidRPr="00EB2BD8" w:rsidRDefault="00EB2BD8">
      <w:pPr>
        <w:spacing w:before="156" w:line="273" w:lineRule="auto"/>
        <w:ind w:left="1054" w:right="1813"/>
        <w:rPr>
          <w:rFonts w:ascii="Arial"/>
          <w:sz w:val="16"/>
        </w:rPr>
      </w:pPr>
      <w:r w:rsidRPr="00EB2BD8">
        <w:rPr>
          <w:rFonts w:ascii="Arial"/>
          <w:w w:val="105"/>
          <w:sz w:val="16"/>
        </w:rPr>
        <w:t>The VBA has capitalised software development expenditure for the development of its Building Activity Management System.</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carrying</w:t>
      </w:r>
      <w:r w:rsidRPr="00EB2BD8">
        <w:rPr>
          <w:rFonts w:ascii="Arial"/>
          <w:spacing w:val="-2"/>
          <w:w w:val="105"/>
          <w:sz w:val="16"/>
        </w:rPr>
        <w:t xml:space="preserve"> </w:t>
      </w:r>
      <w:r w:rsidRPr="00EB2BD8">
        <w:rPr>
          <w:rFonts w:ascii="Arial"/>
          <w:w w:val="105"/>
          <w:sz w:val="16"/>
        </w:rPr>
        <w:t>amount</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capitalised</w:t>
      </w:r>
      <w:r w:rsidRPr="00EB2BD8">
        <w:rPr>
          <w:rFonts w:ascii="Arial"/>
          <w:spacing w:val="-3"/>
          <w:w w:val="105"/>
          <w:sz w:val="16"/>
        </w:rPr>
        <w:t xml:space="preserve"> </w:t>
      </w:r>
      <w:r w:rsidRPr="00EB2BD8">
        <w:rPr>
          <w:rFonts w:ascii="Arial"/>
          <w:w w:val="105"/>
          <w:sz w:val="16"/>
        </w:rPr>
        <w:t>software</w:t>
      </w:r>
      <w:r w:rsidRPr="00EB2BD8">
        <w:rPr>
          <w:rFonts w:ascii="Arial"/>
          <w:spacing w:val="-3"/>
          <w:w w:val="105"/>
          <w:sz w:val="16"/>
        </w:rPr>
        <w:t xml:space="preserve"> </w:t>
      </w:r>
      <w:r w:rsidRPr="00EB2BD8">
        <w:rPr>
          <w:rFonts w:ascii="Arial"/>
          <w:w w:val="105"/>
          <w:sz w:val="16"/>
        </w:rPr>
        <w:t>development</w:t>
      </w:r>
      <w:r w:rsidRPr="00EB2BD8">
        <w:rPr>
          <w:rFonts w:ascii="Arial"/>
          <w:spacing w:val="-3"/>
          <w:w w:val="105"/>
          <w:sz w:val="16"/>
        </w:rPr>
        <w:t xml:space="preserve"> </w:t>
      </w:r>
      <w:r w:rsidRPr="00EB2BD8">
        <w:rPr>
          <w:rFonts w:ascii="Arial"/>
          <w:w w:val="105"/>
          <w:sz w:val="16"/>
        </w:rPr>
        <w:t>expenditure</w:t>
      </w:r>
      <w:r w:rsidRPr="00EB2BD8">
        <w:rPr>
          <w:rFonts w:ascii="Arial"/>
          <w:spacing w:val="-3"/>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$3.3</w:t>
      </w:r>
      <w:r w:rsidRPr="00EB2BD8">
        <w:rPr>
          <w:rFonts w:ascii="Arial"/>
          <w:spacing w:val="-3"/>
          <w:w w:val="105"/>
          <w:sz w:val="16"/>
        </w:rPr>
        <w:t xml:space="preserve"> </w:t>
      </w:r>
      <w:r w:rsidRPr="00EB2BD8">
        <w:rPr>
          <w:rFonts w:ascii="Arial"/>
          <w:w w:val="105"/>
          <w:sz w:val="16"/>
        </w:rPr>
        <w:t>million</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FY23</w:t>
      </w:r>
      <w:r w:rsidRPr="00EB2BD8">
        <w:rPr>
          <w:rFonts w:ascii="Arial"/>
          <w:spacing w:val="-3"/>
          <w:w w:val="105"/>
          <w:sz w:val="16"/>
        </w:rPr>
        <w:t xml:space="preserve"> </w:t>
      </w:r>
      <w:r w:rsidRPr="00EB2BD8">
        <w:rPr>
          <w:rFonts w:ascii="Arial"/>
          <w:w w:val="105"/>
          <w:sz w:val="16"/>
        </w:rPr>
        <w:t>(2022:</w:t>
      </w:r>
      <w:r w:rsidRPr="00EB2BD8">
        <w:rPr>
          <w:rFonts w:ascii="Arial"/>
          <w:spacing w:val="-3"/>
          <w:w w:val="105"/>
          <w:sz w:val="16"/>
        </w:rPr>
        <w:t xml:space="preserve"> </w:t>
      </w:r>
      <w:r w:rsidRPr="00EB2BD8">
        <w:rPr>
          <w:rFonts w:ascii="Arial"/>
          <w:w w:val="105"/>
          <w:sz w:val="16"/>
        </w:rPr>
        <w:t>$3.4 million).</w:t>
      </w:r>
      <w:r w:rsidRPr="00EB2BD8">
        <w:rPr>
          <w:rFonts w:ascii="Arial"/>
          <w:spacing w:val="40"/>
          <w:w w:val="105"/>
          <w:sz w:val="16"/>
        </w:rPr>
        <w:t xml:space="preserve"> </w:t>
      </w:r>
      <w:r w:rsidRPr="00EB2BD8">
        <w:rPr>
          <w:rFonts w:ascii="Arial"/>
          <w:w w:val="105"/>
          <w:sz w:val="16"/>
        </w:rPr>
        <w:t>Its useful life is 7 years and will be amortised fully by 29 July 2028.</w:t>
      </w:r>
    </w:p>
    <w:p w14:paraId="0895824C" w14:textId="77777777" w:rsidR="00084F36" w:rsidRPr="00EB2BD8" w:rsidRDefault="00084F36">
      <w:pPr>
        <w:pStyle w:val="BodyText"/>
        <w:rPr>
          <w:rFonts w:ascii="Arial"/>
          <w:sz w:val="20"/>
        </w:rPr>
      </w:pPr>
    </w:p>
    <w:p w14:paraId="6AB4586D" w14:textId="77777777" w:rsidR="00084F36" w:rsidRPr="00EB2BD8" w:rsidRDefault="00084F36">
      <w:pPr>
        <w:pStyle w:val="BodyText"/>
        <w:rPr>
          <w:rFonts w:ascii="Arial"/>
          <w:sz w:val="20"/>
        </w:rPr>
      </w:pPr>
    </w:p>
    <w:p w14:paraId="23B13DFE" w14:textId="77777777" w:rsidR="00084F36" w:rsidRPr="00EB2BD8" w:rsidRDefault="00084F36">
      <w:pPr>
        <w:pStyle w:val="BodyText"/>
        <w:spacing w:before="4"/>
        <w:rPr>
          <w:rFonts w:ascii="Arial"/>
          <w:sz w:val="23"/>
        </w:rPr>
      </w:pPr>
    </w:p>
    <w:p w14:paraId="61A3FE6E" w14:textId="42089317" w:rsidR="00084F36" w:rsidRPr="00EB2BD8" w:rsidRDefault="00084F36">
      <w:pPr>
        <w:tabs>
          <w:tab w:val="left" w:pos="1906"/>
        </w:tabs>
        <w:spacing w:before="91"/>
        <w:ind w:left="842"/>
        <w:rPr>
          <w:b/>
          <w:sz w:val="16"/>
        </w:rPr>
      </w:pPr>
    </w:p>
    <w:p w14:paraId="6B64B4E6" w14:textId="77777777" w:rsidR="00084F36" w:rsidRPr="00EB2BD8" w:rsidRDefault="00084F36">
      <w:pPr>
        <w:rPr>
          <w:sz w:val="16"/>
        </w:rPr>
        <w:sectPr w:rsidR="00084F36" w:rsidRPr="00EB2BD8" w:rsidSect="006D75B2">
          <w:headerReference w:type="even" r:id="rId299"/>
          <w:footerReference w:type="even" r:id="rId300"/>
          <w:footerReference w:type="default" r:id="rId301"/>
          <w:pgSz w:w="11910" w:h="16840"/>
          <w:pgMar w:top="780" w:right="0" w:bottom="280" w:left="0" w:header="0" w:footer="0" w:gutter="0"/>
          <w:cols w:space="720"/>
        </w:sectPr>
      </w:pPr>
    </w:p>
    <w:p w14:paraId="7BF0CB46" w14:textId="77777777" w:rsidR="00084F36" w:rsidRPr="00EB2BD8" w:rsidRDefault="00084F36">
      <w:pPr>
        <w:pStyle w:val="BodyText"/>
        <w:rPr>
          <w:sz w:val="20"/>
        </w:rPr>
      </w:pPr>
    </w:p>
    <w:p w14:paraId="5FB34266" w14:textId="77777777" w:rsidR="00084F36" w:rsidRPr="00EB2BD8" w:rsidRDefault="00084F36">
      <w:pPr>
        <w:pStyle w:val="BodyText"/>
        <w:rPr>
          <w:sz w:val="20"/>
        </w:rPr>
      </w:pPr>
    </w:p>
    <w:p w14:paraId="7B073A90" w14:textId="77777777" w:rsidR="00084F36" w:rsidRPr="00EB2BD8" w:rsidRDefault="00084F36">
      <w:pPr>
        <w:pStyle w:val="BodyText"/>
        <w:rPr>
          <w:sz w:val="20"/>
        </w:rPr>
      </w:pPr>
    </w:p>
    <w:p w14:paraId="5F5E9BA6" w14:textId="77777777" w:rsidR="00084F36" w:rsidRPr="00EB2BD8" w:rsidRDefault="00084F36">
      <w:pPr>
        <w:pStyle w:val="BodyText"/>
        <w:rPr>
          <w:sz w:val="20"/>
        </w:rPr>
      </w:pPr>
    </w:p>
    <w:p w14:paraId="4B861A87" w14:textId="77777777" w:rsidR="00084F36" w:rsidRPr="00EB2BD8" w:rsidRDefault="00084F36">
      <w:pPr>
        <w:pStyle w:val="BodyText"/>
        <w:rPr>
          <w:sz w:val="20"/>
        </w:rPr>
      </w:pPr>
    </w:p>
    <w:p w14:paraId="72B4841B" w14:textId="77777777" w:rsidR="00084F36" w:rsidRPr="00EB2BD8" w:rsidRDefault="00084F36">
      <w:pPr>
        <w:pStyle w:val="BodyText"/>
        <w:spacing w:before="6"/>
        <w:rPr>
          <w:sz w:val="22"/>
        </w:rPr>
      </w:pPr>
    </w:p>
    <w:p w14:paraId="123D0290" w14:textId="00A75A6E" w:rsidR="00084F36" w:rsidRPr="00EB2BD8" w:rsidRDefault="00273892" w:rsidP="00462776">
      <w:pPr>
        <w:pStyle w:val="Heading2"/>
      </w:pPr>
      <w:r>
        <w:t xml:space="preserve">   </w:t>
      </w:r>
      <w:bookmarkStart w:id="295" w:name="_Toc150762597"/>
      <w:r>
        <w:t>4.3 D</w:t>
      </w:r>
      <w:r w:rsidRPr="00EB2BD8">
        <w:t>epreciation</w:t>
      </w:r>
      <w:r w:rsidRPr="00EB2BD8">
        <w:rPr>
          <w:spacing w:val="16"/>
        </w:rPr>
        <w:t xml:space="preserve"> </w:t>
      </w:r>
      <w:r w:rsidRPr="00EB2BD8">
        <w:t>and</w:t>
      </w:r>
      <w:r w:rsidRPr="00EB2BD8">
        <w:rPr>
          <w:spacing w:val="18"/>
        </w:rPr>
        <w:t xml:space="preserve"> </w:t>
      </w:r>
      <w:r w:rsidRPr="00EB2BD8">
        <w:rPr>
          <w:spacing w:val="-2"/>
        </w:rPr>
        <w:t>amortisation</w:t>
      </w:r>
      <w:bookmarkEnd w:id="295"/>
    </w:p>
    <w:p w14:paraId="49980070" w14:textId="77777777" w:rsidR="00084F36" w:rsidRPr="00EB2BD8" w:rsidRDefault="00084F36">
      <w:pPr>
        <w:pStyle w:val="BodyText"/>
        <w:spacing w:before="9"/>
        <w:rPr>
          <w:rFonts w:ascii="Arial"/>
          <w:b/>
          <w:sz w:val="11"/>
        </w:rPr>
      </w:pPr>
    </w:p>
    <w:p w14:paraId="6755B661" w14:textId="77777777" w:rsidR="00084F36" w:rsidRPr="00EB2BD8" w:rsidRDefault="00EB2BD8">
      <w:pPr>
        <w:spacing w:before="102" w:after="55"/>
        <w:ind w:right="1714"/>
        <w:jc w:val="right"/>
        <w:rPr>
          <w:rFonts w:ascii="Arial" w:hAnsi="Arial"/>
          <w:sz w:val="16"/>
        </w:rPr>
      </w:pPr>
      <w:r w:rsidRPr="00EB2BD8">
        <w:rPr>
          <w:rFonts w:ascii="Arial" w:hAnsi="Arial"/>
          <w:spacing w:val="-2"/>
          <w:w w:val="105"/>
          <w:sz w:val="16"/>
        </w:rPr>
        <w:t>($’000)</w:t>
      </w:r>
    </w:p>
    <w:tbl>
      <w:tblPr>
        <w:tblW w:w="0" w:type="auto"/>
        <w:tblInd w:w="1063" w:type="dxa"/>
        <w:tblLayout w:type="fixed"/>
        <w:tblCellMar>
          <w:left w:w="0" w:type="dxa"/>
          <w:right w:w="0" w:type="dxa"/>
        </w:tblCellMar>
        <w:tblLook w:val="01E0" w:firstRow="1" w:lastRow="1" w:firstColumn="1" w:lastColumn="1" w:noHBand="0" w:noVBand="0"/>
      </w:tblPr>
      <w:tblGrid>
        <w:gridCol w:w="4391"/>
        <w:gridCol w:w="2049"/>
        <w:gridCol w:w="1395"/>
        <w:gridCol w:w="1396"/>
      </w:tblGrid>
      <w:tr w:rsidR="00EB2BD8" w:rsidRPr="00EB2BD8" w14:paraId="0A8140B3" w14:textId="77777777">
        <w:trPr>
          <w:trHeight w:val="307"/>
        </w:trPr>
        <w:tc>
          <w:tcPr>
            <w:tcW w:w="6440" w:type="dxa"/>
            <w:gridSpan w:val="2"/>
            <w:tcBorders>
              <w:top w:val="single" w:sz="4" w:space="0" w:color="0098FF"/>
              <w:bottom w:val="single" w:sz="4" w:space="0" w:color="0098FF"/>
            </w:tcBorders>
            <w:shd w:val="clear" w:color="auto" w:fill="0070C0"/>
          </w:tcPr>
          <w:p w14:paraId="5E42A471" w14:textId="77777777" w:rsidR="00084F36" w:rsidRPr="00EB2BD8" w:rsidRDefault="00EB2BD8">
            <w:pPr>
              <w:pStyle w:val="TableParagraph"/>
              <w:spacing w:before="64"/>
              <w:ind w:right="95"/>
              <w:jc w:val="right"/>
              <w:rPr>
                <w:rFonts w:ascii="Arial"/>
                <w:b/>
                <w:sz w:val="16"/>
              </w:rPr>
            </w:pPr>
            <w:r w:rsidRPr="00EB2BD8">
              <w:rPr>
                <w:rFonts w:ascii="Arial"/>
                <w:b/>
                <w:spacing w:val="-2"/>
                <w:w w:val="105"/>
                <w:sz w:val="16"/>
              </w:rPr>
              <w:t>Notes</w:t>
            </w:r>
          </w:p>
        </w:tc>
        <w:tc>
          <w:tcPr>
            <w:tcW w:w="1395" w:type="dxa"/>
            <w:tcBorders>
              <w:top w:val="single" w:sz="4" w:space="0" w:color="0098FF"/>
              <w:bottom w:val="single" w:sz="4" w:space="0" w:color="0098FF"/>
            </w:tcBorders>
            <w:shd w:val="clear" w:color="auto" w:fill="0070C0"/>
          </w:tcPr>
          <w:p w14:paraId="3DAB70E5" w14:textId="77777777" w:rsidR="00084F36" w:rsidRPr="00EB2BD8" w:rsidRDefault="00EB2BD8">
            <w:pPr>
              <w:pStyle w:val="TableParagraph"/>
              <w:spacing w:before="64"/>
              <w:ind w:right="95"/>
              <w:jc w:val="right"/>
              <w:rPr>
                <w:rFonts w:ascii="Arial"/>
                <w:b/>
                <w:sz w:val="16"/>
              </w:rPr>
            </w:pPr>
            <w:r w:rsidRPr="00EB2BD8">
              <w:rPr>
                <w:rFonts w:ascii="Arial"/>
                <w:b/>
                <w:spacing w:val="-4"/>
                <w:w w:val="105"/>
                <w:sz w:val="16"/>
              </w:rPr>
              <w:t>2023</w:t>
            </w:r>
          </w:p>
        </w:tc>
        <w:tc>
          <w:tcPr>
            <w:tcW w:w="1396" w:type="dxa"/>
            <w:tcBorders>
              <w:top w:val="single" w:sz="4" w:space="0" w:color="0098FF"/>
              <w:bottom w:val="single" w:sz="4" w:space="0" w:color="0098FF"/>
              <w:right w:val="single" w:sz="4" w:space="0" w:color="0098FF"/>
            </w:tcBorders>
            <w:shd w:val="clear" w:color="auto" w:fill="0070C0"/>
          </w:tcPr>
          <w:p w14:paraId="7516E5F8" w14:textId="77777777" w:rsidR="00084F36" w:rsidRPr="00EB2BD8" w:rsidRDefault="00EB2BD8">
            <w:pPr>
              <w:pStyle w:val="TableParagraph"/>
              <w:spacing w:before="64"/>
              <w:ind w:right="89"/>
              <w:jc w:val="right"/>
              <w:rPr>
                <w:rFonts w:ascii="Arial"/>
                <w:b/>
                <w:sz w:val="16"/>
              </w:rPr>
            </w:pPr>
            <w:r w:rsidRPr="00EB2BD8">
              <w:rPr>
                <w:rFonts w:ascii="Arial"/>
                <w:b/>
                <w:spacing w:val="-4"/>
                <w:w w:val="105"/>
                <w:sz w:val="16"/>
              </w:rPr>
              <w:t>2022</w:t>
            </w:r>
          </w:p>
        </w:tc>
      </w:tr>
      <w:tr w:rsidR="00EB2BD8" w:rsidRPr="00EB2BD8" w14:paraId="0A028295" w14:textId="77777777">
        <w:trPr>
          <w:trHeight w:val="311"/>
        </w:trPr>
        <w:tc>
          <w:tcPr>
            <w:tcW w:w="4391" w:type="dxa"/>
            <w:tcBorders>
              <w:top w:val="single" w:sz="4" w:space="0" w:color="0098FF"/>
            </w:tcBorders>
            <w:shd w:val="clear" w:color="auto" w:fill="FFFFFF"/>
          </w:tcPr>
          <w:p w14:paraId="1B9BD232" w14:textId="77777777" w:rsidR="00084F36" w:rsidRPr="00EB2BD8" w:rsidRDefault="00EB2BD8">
            <w:pPr>
              <w:pStyle w:val="TableParagraph"/>
              <w:spacing w:before="63"/>
              <w:ind w:left="105"/>
              <w:rPr>
                <w:rFonts w:ascii="Arial"/>
                <w:sz w:val="16"/>
              </w:rPr>
            </w:pPr>
            <w:r w:rsidRPr="00EB2BD8">
              <w:rPr>
                <w:rFonts w:ascii="Arial"/>
                <w:spacing w:val="-2"/>
                <w:w w:val="105"/>
                <w:sz w:val="16"/>
              </w:rPr>
              <w:t>Buildings</w:t>
            </w:r>
          </w:p>
        </w:tc>
        <w:tc>
          <w:tcPr>
            <w:tcW w:w="2049" w:type="dxa"/>
            <w:tcBorders>
              <w:top w:val="single" w:sz="4" w:space="0" w:color="0098FF"/>
            </w:tcBorders>
            <w:shd w:val="clear" w:color="auto" w:fill="FFFFFF"/>
          </w:tcPr>
          <w:p w14:paraId="43DB805C" w14:textId="77777777" w:rsidR="00084F36" w:rsidRPr="00EB2BD8" w:rsidRDefault="00EB2BD8">
            <w:pPr>
              <w:pStyle w:val="TableParagraph"/>
              <w:spacing w:before="63"/>
              <w:ind w:right="95"/>
              <w:jc w:val="right"/>
              <w:rPr>
                <w:rFonts w:ascii="Arial"/>
                <w:sz w:val="16"/>
              </w:rPr>
            </w:pPr>
            <w:r w:rsidRPr="00EB2BD8">
              <w:rPr>
                <w:rFonts w:ascii="Arial"/>
                <w:spacing w:val="-2"/>
                <w:w w:val="105"/>
                <w:sz w:val="16"/>
              </w:rPr>
              <w:t>4.1.2</w:t>
            </w:r>
          </w:p>
        </w:tc>
        <w:tc>
          <w:tcPr>
            <w:tcW w:w="1395" w:type="dxa"/>
            <w:tcBorders>
              <w:top w:val="single" w:sz="4" w:space="0" w:color="0098FF"/>
            </w:tcBorders>
            <w:shd w:val="clear" w:color="auto" w:fill="DEEAF6"/>
          </w:tcPr>
          <w:p w14:paraId="56D82C1A" w14:textId="77777777" w:rsidR="00084F36" w:rsidRPr="00EB2BD8" w:rsidRDefault="00EB2BD8">
            <w:pPr>
              <w:pStyle w:val="TableParagraph"/>
              <w:spacing w:before="63"/>
              <w:ind w:right="95"/>
              <w:jc w:val="right"/>
              <w:rPr>
                <w:rFonts w:ascii="Arial"/>
                <w:sz w:val="16"/>
              </w:rPr>
            </w:pPr>
            <w:r w:rsidRPr="00EB2BD8">
              <w:rPr>
                <w:rFonts w:ascii="Arial"/>
                <w:spacing w:val="-2"/>
                <w:w w:val="105"/>
                <w:sz w:val="16"/>
              </w:rPr>
              <w:t>2,087</w:t>
            </w:r>
          </w:p>
        </w:tc>
        <w:tc>
          <w:tcPr>
            <w:tcW w:w="1396" w:type="dxa"/>
            <w:tcBorders>
              <w:top w:val="single" w:sz="4" w:space="0" w:color="0098FF"/>
            </w:tcBorders>
            <w:shd w:val="clear" w:color="auto" w:fill="FFFFFF"/>
          </w:tcPr>
          <w:p w14:paraId="3E20C3C0" w14:textId="77777777" w:rsidR="00084F36" w:rsidRPr="00EB2BD8" w:rsidRDefault="00EB2BD8">
            <w:pPr>
              <w:pStyle w:val="TableParagraph"/>
              <w:spacing w:before="63"/>
              <w:ind w:right="94"/>
              <w:jc w:val="right"/>
              <w:rPr>
                <w:rFonts w:ascii="Arial"/>
                <w:sz w:val="16"/>
              </w:rPr>
            </w:pPr>
            <w:r w:rsidRPr="00EB2BD8">
              <w:rPr>
                <w:rFonts w:ascii="Arial"/>
                <w:spacing w:val="-2"/>
                <w:w w:val="105"/>
                <w:sz w:val="16"/>
              </w:rPr>
              <w:t>1,830</w:t>
            </w:r>
          </w:p>
        </w:tc>
      </w:tr>
      <w:tr w:rsidR="00EB2BD8" w:rsidRPr="00EB2BD8" w14:paraId="224673D5" w14:textId="77777777">
        <w:trPr>
          <w:trHeight w:val="315"/>
        </w:trPr>
        <w:tc>
          <w:tcPr>
            <w:tcW w:w="4391" w:type="dxa"/>
            <w:shd w:val="clear" w:color="auto" w:fill="FFFFFF"/>
          </w:tcPr>
          <w:p w14:paraId="1D583BD6" w14:textId="77777777" w:rsidR="00084F36" w:rsidRPr="00EB2BD8" w:rsidRDefault="00EB2BD8">
            <w:pPr>
              <w:pStyle w:val="TableParagraph"/>
              <w:spacing w:before="64"/>
              <w:ind w:left="105"/>
              <w:rPr>
                <w:rFonts w:ascii="Arial"/>
                <w:sz w:val="16"/>
              </w:rPr>
            </w:pPr>
            <w:r w:rsidRPr="00EB2BD8">
              <w:rPr>
                <w:rFonts w:ascii="Arial"/>
                <w:w w:val="105"/>
                <w:sz w:val="16"/>
              </w:rPr>
              <w:t>Plant,</w:t>
            </w:r>
            <w:r w:rsidRPr="00EB2BD8">
              <w:rPr>
                <w:rFonts w:ascii="Arial"/>
                <w:spacing w:val="-8"/>
                <w:w w:val="105"/>
                <w:sz w:val="16"/>
              </w:rPr>
              <w:t xml:space="preserve"> </w:t>
            </w:r>
            <w:r w:rsidRPr="00EB2BD8">
              <w:rPr>
                <w:rFonts w:ascii="Arial"/>
                <w:w w:val="105"/>
                <w:sz w:val="16"/>
              </w:rPr>
              <w:t>equipment</w:t>
            </w:r>
            <w:r w:rsidRPr="00EB2BD8">
              <w:rPr>
                <w:rFonts w:ascii="Arial"/>
                <w:spacing w:val="-8"/>
                <w:w w:val="105"/>
                <w:sz w:val="16"/>
              </w:rPr>
              <w:t xml:space="preserve"> </w:t>
            </w:r>
            <w:r w:rsidRPr="00EB2BD8">
              <w:rPr>
                <w:rFonts w:ascii="Arial"/>
                <w:w w:val="105"/>
                <w:sz w:val="16"/>
              </w:rPr>
              <w:t>and</w:t>
            </w:r>
            <w:r w:rsidRPr="00EB2BD8">
              <w:rPr>
                <w:rFonts w:ascii="Arial"/>
                <w:spacing w:val="-8"/>
                <w:w w:val="105"/>
                <w:sz w:val="16"/>
              </w:rPr>
              <w:t xml:space="preserve"> </w:t>
            </w:r>
            <w:r w:rsidRPr="00EB2BD8">
              <w:rPr>
                <w:rFonts w:ascii="Arial"/>
                <w:w w:val="105"/>
                <w:sz w:val="16"/>
              </w:rPr>
              <w:t>motor</w:t>
            </w:r>
            <w:r w:rsidRPr="00EB2BD8">
              <w:rPr>
                <w:rFonts w:ascii="Arial"/>
                <w:spacing w:val="-8"/>
                <w:w w:val="105"/>
                <w:sz w:val="16"/>
              </w:rPr>
              <w:t xml:space="preserve"> </w:t>
            </w:r>
            <w:r w:rsidRPr="00EB2BD8">
              <w:rPr>
                <w:rFonts w:ascii="Arial"/>
                <w:spacing w:val="-2"/>
                <w:w w:val="105"/>
                <w:sz w:val="16"/>
              </w:rPr>
              <w:t>vehicles</w:t>
            </w:r>
          </w:p>
        </w:tc>
        <w:tc>
          <w:tcPr>
            <w:tcW w:w="2049" w:type="dxa"/>
            <w:shd w:val="clear" w:color="auto" w:fill="FFFFFF"/>
          </w:tcPr>
          <w:p w14:paraId="5CFC52F0" w14:textId="77777777" w:rsidR="00084F36" w:rsidRPr="00EB2BD8" w:rsidRDefault="00EB2BD8">
            <w:pPr>
              <w:pStyle w:val="TableParagraph"/>
              <w:spacing w:before="64"/>
              <w:ind w:right="95"/>
              <w:jc w:val="right"/>
              <w:rPr>
                <w:rFonts w:ascii="Arial"/>
                <w:sz w:val="16"/>
              </w:rPr>
            </w:pPr>
            <w:r w:rsidRPr="00EB2BD8">
              <w:rPr>
                <w:rFonts w:ascii="Arial"/>
                <w:spacing w:val="-2"/>
                <w:w w:val="105"/>
                <w:sz w:val="16"/>
              </w:rPr>
              <w:t>4.1.2</w:t>
            </w:r>
          </w:p>
        </w:tc>
        <w:tc>
          <w:tcPr>
            <w:tcW w:w="1395" w:type="dxa"/>
            <w:shd w:val="clear" w:color="auto" w:fill="DEEAF6"/>
          </w:tcPr>
          <w:p w14:paraId="5706A4FE" w14:textId="77777777" w:rsidR="00084F36" w:rsidRPr="00EB2BD8" w:rsidRDefault="00EB2BD8">
            <w:pPr>
              <w:pStyle w:val="TableParagraph"/>
              <w:spacing w:before="64"/>
              <w:ind w:right="95"/>
              <w:jc w:val="right"/>
              <w:rPr>
                <w:rFonts w:ascii="Arial"/>
                <w:sz w:val="16"/>
              </w:rPr>
            </w:pPr>
            <w:r w:rsidRPr="00EB2BD8">
              <w:rPr>
                <w:rFonts w:ascii="Arial"/>
                <w:spacing w:val="-5"/>
                <w:w w:val="105"/>
                <w:sz w:val="16"/>
              </w:rPr>
              <w:t>720</w:t>
            </w:r>
          </w:p>
        </w:tc>
        <w:tc>
          <w:tcPr>
            <w:tcW w:w="1396" w:type="dxa"/>
            <w:shd w:val="clear" w:color="auto" w:fill="FFFFFF"/>
          </w:tcPr>
          <w:p w14:paraId="34F47C04" w14:textId="77777777" w:rsidR="00084F36" w:rsidRPr="00EB2BD8" w:rsidRDefault="00EB2BD8">
            <w:pPr>
              <w:pStyle w:val="TableParagraph"/>
              <w:spacing w:before="64"/>
              <w:ind w:right="94"/>
              <w:jc w:val="right"/>
              <w:rPr>
                <w:rFonts w:ascii="Arial"/>
                <w:sz w:val="16"/>
              </w:rPr>
            </w:pPr>
            <w:r w:rsidRPr="00EB2BD8">
              <w:rPr>
                <w:rFonts w:ascii="Arial"/>
                <w:spacing w:val="-2"/>
                <w:w w:val="105"/>
                <w:sz w:val="16"/>
              </w:rPr>
              <w:t>1,189</w:t>
            </w:r>
          </w:p>
        </w:tc>
      </w:tr>
      <w:tr w:rsidR="00EB2BD8" w:rsidRPr="00EB2BD8" w14:paraId="28F6E4C1" w14:textId="77777777">
        <w:trPr>
          <w:trHeight w:val="314"/>
        </w:trPr>
        <w:tc>
          <w:tcPr>
            <w:tcW w:w="4391" w:type="dxa"/>
            <w:tcBorders>
              <w:bottom w:val="single" w:sz="12" w:space="0" w:color="000000"/>
            </w:tcBorders>
            <w:shd w:val="clear" w:color="auto" w:fill="FFFFFF"/>
          </w:tcPr>
          <w:p w14:paraId="03D665B5" w14:textId="77777777" w:rsidR="00084F36" w:rsidRPr="00EB2BD8" w:rsidRDefault="00EB2BD8">
            <w:pPr>
              <w:pStyle w:val="TableParagraph"/>
              <w:spacing w:before="67"/>
              <w:ind w:left="105"/>
              <w:rPr>
                <w:rFonts w:ascii="Arial"/>
                <w:sz w:val="16"/>
              </w:rPr>
            </w:pPr>
            <w:r w:rsidRPr="00EB2BD8">
              <w:rPr>
                <w:rFonts w:ascii="Arial"/>
                <w:spacing w:val="-2"/>
                <w:w w:val="105"/>
                <w:sz w:val="16"/>
              </w:rPr>
              <w:t>Intangibles</w:t>
            </w:r>
            <w:r w:rsidRPr="00EB2BD8">
              <w:rPr>
                <w:rFonts w:ascii="Arial"/>
                <w:spacing w:val="8"/>
                <w:w w:val="105"/>
                <w:sz w:val="16"/>
              </w:rPr>
              <w:t xml:space="preserve"> </w:t>
            </w:r>
            <w:r w:rsidRPr="00EB2BD8">
              <w:rPr>
                <w:rFonts w:ascii="Arial"/>
                <w:spacing w:val="-2"/>
                <w:w w:val="105"/>
                <w:sz w:val="16"/>
              </w:rPr>
              <w:t>(amortisation)</w:t>
            </w:r>
          </w:p>
        </w:tc>
        <w:tc>
          <w:tcPr>
            <w:tcW w:w="2049" w:type="dxa"/>
            <w:tcBorders>
              <w:bottom w:val="single" w:sz="12" w:space="0" w:color="000000"/>
            </w:tcBorders>
            <w:shd w:val="clear" w:color="auto" w:fill="FFFFFF"/>
          </w:tcPr>
          <w:p w14:paraId="5308947D" w14:textId="77777777" w:rsidR="00084F36" w:rsidRPr="00EB2BD8" w:rsidRDefault="00EB2BD8">
            <w:pPr>
              <w:pStyle w:val="TableParagraph"/>
              <w:spacing w:before="67"/>
              <w:ind w:right="95"/>
              <w:jc w:val="right"/>
              <w:rPr>
                <w:rFonts w:ascii="Arial"/>
                <w:sz w:val="16"/>
              </w:rPr>
            </w:pPr>
            <w:r w:rsidRPr="00EB2BD8">
              <w:rPr>
                <w:rFonts w:ascii="Arial"/>
                <w:spacing w:val="-5"/>
                <w:w w:val="105"/>
                <w:sz w:val="16"/>
              </w:rPr>
              <w:t>4.2</w:t>
            </w:r>
          </w:p>
        </w:tc>
        <w:tc>
          <w:tcPr>
            <w:tcW w:w="1395" w:type="dxa"/>
            <w:tcBorders>
              <w:bottom w:val="single" w:sz="12" w:space="0" w:color="000000"/>
            </w:tcBorders>
            <w:shd w:val="clear" w:color="auto" w:fill="DEEAF6"/>
          </w:tcPr>
          <w:p w14:paraId="0B35610C" w14:textId="77777777" w:rsidR="00084F36" w:rsidRPr="00EB2BD8" w:rsidRDefault="00EB2BD8">
            <w:pPr>
              <w:pStyle w:val="TableParagraph"/>
              <w:spacing w:before="67"/>
              <w:ind w:right="95"/>
              <w:jc w:val="right"/>
              <w:rPr>
                <w:rFonts w:ascii="Arial"/>
                <w:sz w:val="16"/>
              </w:rPr>
            </w:pPr>
            <w:r w:rsidRPr="00EB2BD8">
              <w:rPr>
                <w:rFonts w:ascii="Arial"/>
                <w:spacing w:val="-2"/>
                <w:w w:val="105"/>
                <w:sz w:val="16"/>
              </w:rPr>
              <w:t>2,593</w:t>
            </w:r>
          </w:p>
        </w:tc>
        <w:tc>
          <w:tcPr>
            <w:tcW w:w="1396" w:type="dxa"/>
            <w:tcBorders>
              <w:bottom w:val="single" w:sz="12" w:space="0" w:color="000000"/>
            </w:tcBorders>
            <w:shd w:val="clear" w:color="auto" w:fill="FFFFFF"/>
          </w:tcPr>
          <w:p w14:paraId="19D8B079" w14:textId="77777777" w:rsidR="00084F36" w:rsidRPr="00EB2BD8" w:rsidRDefault="00EB2BD8">
            <w:pPr>
              <w:pStyle w:val="TableParagraph"/>
              <w:spacing w:before="67"/>
              <w:ind w:right="94"/>
              <w:jc w:val="right"/>
              <w:rPr>
                <w:rFonts w:ascii="Arial"/>
                <w:sz w:val="16"/>
              </w:rPr>
            </w:pPr>
            <w:r w:rsidRPr="00EB2BD8">
              <w:rPr>
                <w:rFonts w:ascii="Arial"/>
                <w:spacing w:val="-2"/>
                <w:w w:val="105"/>
                <w:sz w:val="16"/>
              </w:rPr>
              <w:t>2,186</w:t>
            </w:r>
          </w:p>
        </w:tc>
      </w:tr>
      <w:tr w:rsidR="00EB2BD8" w:rsidRPr="00EB2BD8" w14:paraId="7B3ACF8E" w14:textId="77777777">
        <w:trPr>
          <w:trHeight w:val="286"/>
        </w:trPr>
        <w:tc>
          <w:tcPr>
            <w:tcW w:w="6440" w:type="dxa"/>
            <w:gridSpan w:val="2"/>
            <w:tcBorders>
              <w:top w:val="single" w:sz="12" w:space="0" w:color="000000"/>
              <w:bottom w:val="single" w:sz="12" w:space="0" w:color="000000"/>
            </w:tcBorders>
            <w:shd w:val="clear" w:color="auto" w:fill="FFFFFF"/>
          </w:tcPr>
          <w:p w14:paraId="22B28EF1" w14:textId="77777777" w:rsidR="00084F36" w:rsidRPr="00EB2BD8" w:rsidRDefault="00EB2BD8">
            <w:pPr>
              <w:pStyle w:val="TableParagraph"/>
              <w:spacing w:before="53"/>
              <w:ind w:left="105"/>
              <w:rPr>
                <w:rFonts w:ascii="Arial"/>
                <w:b/>
                <w:sz w:val="16"/>
              </w:rPr>
            </w:pPr>
            <w:r w:rsidRPr="00EB2BD8">
              <w:rPr>
                <w:rFonts w:ascii="Arial"/>
                <w:b/>
                <w:w w:val="105"/>
                <w:sz w:val="16"/>
              </w:rPr>
              <w:t>Total</w:t>
            </w:r>
            <w:r w:rsidRPr="00EB2BD8">
              <w:rPr>
                <w:rFonts w:ascii="Arial"/>
                <w:b/>
                <w:spacing w:val="-9"/>
                <w:w w:val="105"/>
                <w:sz w:val="16"/>
              </w:rPr>
              <w:t xml:space="preserve"> </w:t>
            </w:r>
            <w:r w:rsidRPr="00EB2BD8">
              <w:rPr>
                <w:rFonts w:ascii="Arial"/>
                <w:b/>
                <w:w w:val="105"/>
                <w:sz w:val="16"/>
              </w:rPr>
              <w:t>depreciation</w:t>
            </w:r>
            <w:r w:rsidRPr="00EB2BD8">
              <w:rPr>
                <w:rFonts w:ascii="Arial"/>
                <w:b/>
                <w:spacing w:val="-8"/>
                <w:w w:val="105"/>
                <w:sz w:val="16"/>
              </w:rPr>
              <w:t xml:space="preserve"> </w:t>
            </w:r>
            <w:r w:rsidRPr="00EB2BD8">
              <w:rPr>
                <w:rFonts w:ascii="Arial"/>
                <w:b/>
                <w:w w:val="105"/>
                <w:sz w:val="16"/>
              </w:rPr>
              <w:t>and</w:t>
            </w:r>
            <w:r w:rsidRPr="00EB2BD8">
              <w:rPr>
                <w:rFonts w:ascii="Arial"/>
                <w:b/>
                <w:spacing w:val="-8"/>
                <w:w w:val="105"/>
                <w:sz w:val="16"/>
              </w:rPr>
              <w:t xml:space="preserve"> </w:t>
            </w:r>
            <w:r w:rsidRPr="00EB2BD8">
              <w:rPr>
                <w:rFonts w:ascii="Arial"/>
                <w:b/>
                <w:spacing w:val="-2"/>
                <w:w w:val="105"/>
                <w:sz w:val="16"/>
              </w:rPr>
              <w:t>amortisation</w:t>
            </w:r>
          </w:p>
        </w:tc>
        <w:tc>
          <w:tcPr>
            <w:tcW w:w="1395" w:type="dxa"/>
            <w:tcBorders>
              <w:top w:val="single" w:sz="12" w:space="0" w:color="000000"/>
              <w:bottom w:val="single" w:sz="12" w:space="0" w:color="000000"/>
            </w:tcBorders>
            <w:shd w:val="clear" w:color="auto" w:fill="DEEAF6"/>
          </w:tcPr>
          <w:p w14:paraId="37226A53" w14:textId="77777777" w:rsidR="00084F36" w:rsidRPr="00EB2BD8" w:rsidRDefault="00EB2BD8">
            <w:pPr>
              <w:pStyle w:val="TableParagraph"/>
              <w:spacing w:before="53"/>
              <w:ind w:right="95"/>
              <w:jc w:val="right"/>
              <w:rPr>
                <w:rFonts w:ascii="Arial"/>
                <w:b/>
                <w:sz w:val="16"/>
              </w:rPr>
            </w:pPr>
            <w:r w:rsidRPr="00EB2BD8">
              <w:rPr>
                <w:rFonts w:ascii="Arial"/>
                <w:b/>
                <w:spacing w:val="-2"/>
                <w:w w:val="105"/>
                <w:sz w:val="16"/>
              </w:rPr>
              <w:t>5,400</w:t>
            </w:r>
          </w:p>
        </w:tc>
        <w:tc>
          <w:tcPr>
            <w:tcW w:w="1396" w:type="dxa"/>
            <w:tcBorders>
              <w:top w:val="single" w:sz="12" w:space="0" w:color="000000"/>
              <w:bottom w:val="single" w:sz="12" w:space="0" w:color="000000"/>
            </w:tcBorders>
            <w:shd w:val="clear" w:color="auto" w:fill="FFFFFF"/>
          </w:tcPr>
          <w:p w14:paraId="3E55C386" w14:textId="77777777" w:rsidR="00084F36" w:rsidRPr="00EB2BD8" w:rsidRDefault="00EB2BD8">
            <w:pPr>
              <w:pStyle w:val="TableParagraph"/>
              <w:spacing w:before="53"/>
              <w:ind w:right="95"/>
              <w:jc w:val="right"/>
              <w:rPr>
                <w:rFonts w:ascii="Arial"/>
                <w:b/>
                <w:sz w:val="16"/>
              </w:rPr>
            </w:pPr>
            <w:r w:rsidRPr="00EB2BD8">
              <w:rPr>
                <w:rFonts w:ascii="Arial"/>
                <w:b/>
                <w:spacing w:val="-2"/>
                <w:w w:val="105"/>
                <w:sz w:val="16"/>
              </w:rPr>
              <w:t>5,205</w:t>
            </w:r>
          </w:p>
        </w:tc>
      </w:tr>
    </w:tbl>
    <w:p w14:paraId="1A397FA9" w14:textId="77777777" w:rsidR="00084F36" w:rsidRPr="00EB2BD8" w:rsidRDefault="00084F36">
      <w:pPr>
        <w:pStyle w:val="BodyText"/>
        <w:spacing w:before="2"/>
        <w:rPr>
          <w:rFonts w:ascii="Arial"/>
          <w:sz w:val="25"/>
        </w:rPr>
      </w:pPr>
    </w:p>
    <w:p w14:paraId="2AE340A6" w14:textId="77777777" w:rsidR="00084F36" w:rsidRPr="00EB2BD8" w:rsidRDefault="00EB2BD8">
      <w:pPr>
        <w:spacing w:line="290" w:lineRule="auto"/>
        <w:ind w:left="1060" w:right="1155"/>
        <w:rPr>
          <w:rFonts w:ascii="Arial"/>
          <w:sz w:val="16"/>
        </w:rPr>
      </w:pPr>
      <w:r w:rsidRPr="00EB2BD8">
        <w:rPr>
          <w:rFonts w:ascii="Arial"/>
          <w:w w:val="105"/>
          <w:sz w:val="16"/>
        </w:rPr>
        <w:t>All</w:t>
      </w:r>
      <w:r w:rsidRPr="00EB2BD8">
        <w:rPr>
          <w:rFonts w:ascii="Arial"/>
          <w:spacing w:val="-3"/>
          <w:w w:val="105"/>
          <w:sz w:val="16"/>
        </w:rPr>
        <w:t xml:space="preserve"> </w:t>
      </w:r>
      <w:r w:rsidRPr="00EB2BD8">
        <w:rPr>
          <w:rFonts w:ascii="Arial"/>
          <w:w w:val="105"/>
          <w:sz w:val="16"/>
        </w:rPr>
        <w:t>buildings,</w:t>
      </w:r>
      <w:r w:rsidRPr="00EB2BD8">
        <w:rPr>
          <w:rFonts w:ascii="Arial"/>
          <w:spacing w:val="-3"/>
          <w:w w:val="105"/>
          <w:sz w:val="16"/>
        </w:rPr>
        <w:t xml:space="preserve"> </w:t>
      </w:r>
      <w:r w:rsidRPr="00EB2BD8">
        <w:rPr>
          <w:rFonts w:ascii="Arial"/>
          <w:w w:val="105"/>
          <w:sz w:val="16"/>
        </w:rPr>
        <w:t>plant</w:t>
      </w:r>
      <w:r w:rsidRPr="00EB2BD8">
        <w:rPr>
          <w:rFonts w:ascii="Arial"/>
          <w:spacing w:val="-3"/>
          <w:w w:val="105"/>
          <w:sz w:val="16"/>
        </w:rPr>
        <w:t xml:space="preserve"> </w:t>
      </w:r>
      <w:r w:rsidRPr="00EB2BD8">
        <w:rPr>
          <w:rFonts w:ascii="Arial"/>
          <w:w w:val="105"/>
          <w:sz w:val="16"/>
        </w:rPr>
        <w:t>and</w:t>
      </w:r>
      <w:r w:rsidRPr="00EB2BD8">
        <w:rPr>
          <w:rFonts w:ascii="Arial"/>
          <w:spacing w:val="-2"/>
          <w:w w:val="105"/>
          <w:sz w:val="16"/>
        </w:rPr>
        <w:t xml:space="preserve"> </w:t>
      </w:r>
      <w:r w:rsidRPr="00EB2BD8">
        <w:rPr>
          <w:rFonts w:ascii="Arial"/>
          <w:w w:val="105"/>
          <w:sz w:val="16"/>
        </w:rPr>
        <w:t>equipment</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other</w:t>
      </w:r>
      <w:r w:rsidRPr="00EB2BD8">
        <w:rPr>
          <w:rFonts w:ascii="Arial"/>
          <w:spacing w:val="-2"/>
          <w:w w:val="105"/>
          <w:sz w:val="16"/>
        </w:rPr>
        <w:t xml:space="preserve"> </w:t>
      </w:r>
      <w:r w:rsidRPr="00EB2BD8">
        <w:rPr>
          <w:rFonts w:ascii="Arial"/>
          <w:w w:val="105"/>
          <w:sz w:val="16"/>
        </w:rPr>
        <w:t>non-financial</w:t>
      </w:r>
      <w:r w:rsidRPr="00EB2BD8">
        <w:rPr>
          <w:rFonts w:ascii="Arial"/>
          <w:spacing w:val="-3"/>
          <w:w w:val="105"/>
          <w:sz w:val="16"/>
        </w:rPr>
        <w:t xml:space="preserve"> </w:t>
      </w:r>
      <w:r w:rsidRPr="00EB2BD8">
        <w:rPr>
          <w:rFonts w:ascii="Arial"/>
          <w:w w:val="105"/>
          <w:sz w:val="16"/>
        </w:rPr>
        <w:t>physical</w:t>
      </w:r>
      <w:r w:rsidRPr="00EB2BD8">
        <w:rPr>
          <w:rFonts w:ascii="Arial"/>
          <w:spacing w:val="-2"/>
          <w:w w:val="105"/>
          <w:sz w:val="16"/>
        </w:rPr>
        <w:t xml:space="preserve"> </w:t>
      </w:r>
      <w:r w:rsidRPr="00EB2BD8">
        <w:rPr>
          <w:rFonts w:ascii="Arial"/>
          <w:w w:val="105"/>
          <w:sz w:val="16"/>
        </w:rPr>
        <w:t>assets</w:t>
      </w:r>
      <w:r w:rsidRPr="00EB2BD8">
        <w:rPr>
          <w:rFonts w:ascii="Arial"/>
          <w:spacing w:val="-3"/>
          <w:w w:val="105"/>
          <w:sz w:val="16"/>
        </w:rPr>
        <w:t xml:space="preserve"> </w:t>
      </w:r>
      <w:r w:rsidRPr="00EB2BD8">
        <w:rPr>
          <w:rFonts w:ascii="Arial"/>
          <w:w w:val="105"/>
          <w:sz w:val="16"/>
        </w:rPr>
        <w:t>other</w:t>
      </w:r>
      <w:r w:rsidRPr="00EB2BD8">
        <w:rPr>
          <w:rFonts w:ascii="Arial"/>
          <w:spacing w:val="-3"/>
          <w:w w:val="105"/>
          <w:sz w:val="16"/>
        </w:rPr>
        <w:t xml:space="preserve"> </w:t>
      </w:r>
      <w:r w:rsidRPr="00EB2BD8">
        <w:rPr>
          <w:rFonts w:ascii="Arial"/>
          <w:w w:val="105"/>
          <w:sz w:val="16"/>
        </w:rPr>
        <w:t>than</w:t>
      </w:r>
      <w:r w:rsidRPr="00EB2BD8">
        <w:rPr>
          <w:rFonts w:ascii="Arial"/>
          <w:spacing w:val="-3"/>
          <w:w w:val="105"/>
          <w:sz w:val="16"/>
        </w:rPr>
        <w:t xml:space="preserve"> </w:t>
      </w:r>
      <w:r w:rsidRPr="00EB2BD8">
        <w:rPr>
          <w:rFonts w:ascii="Arial"/>
          <w:w w:val="105"/>
          <w:sz w:val="16"/>
        </w:rPr>
        <w:t>land</w:t>
      </w:r>
      <w:r w:rsidRPr="00EB2BD8">
        <w:rPr>
          <w:rFonts w:ascii="Arial"/>
          <w:spacing w:val="-2"/>
          <w:w w:val="105"/>
          <w:sz w:val="16"/>
        </w:rPr>
        <w:t xml:space="preserve"> </w:t>
      </w:r>
      <w:r w:rsidRPr="00EB2BD8">
        <w:rPr>
          <w:rFonts w:ascii="Arial"/>
          <w:w w:val="105"/>
          <w:sz w:val="16"/>
        </w:rPr>
        <w:t>that</w:t>
      </w:r>
      <w:r w:rsidRPr="00EB2BD8">
        <w:rPr>
          <w:rFonts w:ascii="Arial"/>
          <w:spacing w:val="-3"/>
          <w:w w:val="105"/>
          <w:sz w:val="16"/>
        </w:rPr>
        <w:t xml:space="preserve"> </w:t>
      </w:r>
      <w:r w:rsidRPr="00EB2BD8">
        <w:rPr>
          <w:rFonts w:ascii="Arial"/>
          <w:w w:val="105"/>
          <w:sz w:val="16"/>
        </w:rPr>
        <w:t>have</w:t>
      </w:r>
      <w:r w:rsidRPr="00EB2BD8">
        <w:rPr>
          <w:rFonts w:ascii="Arial"/>
          <w:spacing w:val="-3"/>
          <w:w w:val="105"/>
          <w:sz w:val="16"/>
        </w:rPr>
        <w:t xml:space="preserve"> </w:t>
      </w:r>
      <w:r w:rsidRPr="00EB2BD8">
        <w:rPr>
          <w:rFonts w:ascii="Arial"/>
          <w:w w:val="105"/>
          <w:sz w:val="16"/>
        </w:rPr>
        <w:t>finite</w:t>
      </w:r>
      <w:r w:rsidRPr="00EB2BD8">
        <w:rPr>
          <w:rFonts w:ascii="Arial"/>
          <w:spacing w:val="-2"/>
          <w:w w:val="105"/>
          <w:sz w:val="16"/>
        </w:rPr>
        <w:t xml:space="preserve"> </w:t>
      </w:r>
      <w:r w:rsidRPr="00EB2BD8">
        <w:rPr>
          <w:rFonts w:ascii="Arial"/>
          <w:w w:val="105"/>
          <w:sz w:val="16"/>
        </w:rPr>
        <w:t>useful</w:t>
      </w:r>
      <w:r w:rsidRPr="00EB2BD8">
        <w:rPr>
          <w:rFonts w:ascii="Arial"/>
          <w:spacing w:val="-3"/>
          <w:w w:val="105"/>
          <w:sz w:val="16"/>
        </w:rPr>
        <w:t xml:space="preserve"> </w:t>
      </w:r>
      <w:r w:rsidRPr="00EB2BD8">
        <w:rPr>
          <w:rFonts w:ascii="Arial"/>
          <w:w w:val="105"/>
          <w:sz w:val="16"/>
        </w:rPr>
        <w:t>lives</w:t>
      </w:r>
      <w:r w:rsidRPr="00EB2BD8">
        <w:rPr>
          <w:rFonts w:ascii="Arial"/>
          <w:spacing w:val="-3"/>
          <w:w w:val="105"/>
          <w:sz w:val="16"/>
        </w:rPr>
        <w:t xml:space="preserve"> </w:t>
      </w:r>
      <w:r w:rsidRPr="00EB2BD8">
        <w:rPr>
          <w:rFonts w:ascii="Arial"/>
          <w:w w:val="105"/>
          <w:sz w:val="16"/>
        </w:rPr>
        <w:t xml:space="preserve">are </w:t>
      </w:r>
      <w:r w:rsidRPr="00EB2BD8">
        <w:rPr>
          <w:rFonts w:ascii="Arial"/>
          <w:spacing w:val="-2"/>
          <w:w w:val="105"/>
          <w:sz w:val="16"/>
        </w:rPr>
        <w:t>depreciated.</w:t>
      </w:r>
    </w:p>
    <w:p w14:paraId="6B33FA5E" w14:textId="77777777" w:rsidR="00084F36" w:rsidRPr="00EB2BD8" w:rsidRDefault="00084F36">
      <w:pPr>
        <w:pStyle w:val="BodyText"/>
        <w:spacing w:before="6"/>
        <w:rPr>
          <w:rFonts w:ascii="Arial"/>
          <w:sz w:val="14"/>
        </w:rPr>
      </w:pPr>
    </w:p>
    <w:p w14:paraId="4418CEBA" w14:textId="77777777" w:rsidR="00084F36" w:rsidRDefault="00EB2BD8">
      <w:pPr>
        <w:spacing w:line="290" w:lineRule="auto"/>
        <w:ind w:left="1060" w:right="1672"/>
        <w:rPr>
          <w:rFonts w:ascii="Arial" w:hAnsi="Arial"/>
          <w:w w:val="105"/>
          <w:sz w:val="16"/>
        </w:rPr>
      </w:pPr>
      <w:r w:rsidRPr="00EB2BD8">
        <w:rPr>
          <w:rFonts w:ascii="Arial" w:hAnsi="Arial"/>
          <w:w w:val="105"/>
          <w:sz w:val="16"/>
        </w:rPr>
        <w:t>Depreciation is generally calculated on a straight-line basis at rates that allocate the asset’s value, less any estimated residual</w:t>
      </w:r>
      <w:r w:rsidRPr="00EB2BD8">
        <w:rPr>
          <w:rFonts w:ascii="Arial" w:hAnsi="Arial"/>
          <w:spacing w:val="-3"/>
          <w:w w:val="105"/>
          <w:sz w:val="16"/>
        </w:rPr>
        <w:t xml:space="preserve"> </w:t>
      </w:r>
      <w:r w:rsidRPr="00EB2BD8">
        <w:rPr>
          <w:rFonts w:ascii="Arial" w:hAnsi="Arial"/>
          <w:w w:val="105"/>
          <w:sz w:val="16"/>
        </w:rPr>
        <w:t>value,</w:t>
      </w:r>
      <w:r w:rsidRPr="00EB2BD8">
        <w:rPr>
          <w:rFonts w:ascii="Arial" w:hAnsi="Arial"/>
          <w:spacing w:val="-3"/>
          <w:w w:val="105"/>
          <w:sz w:val="16"/>
        </w:rPr>
        <w:t xml:space="preserve"> </w:t>
      </w:r>
      <w:r w:rsidRPr="00EB2BD8">
        <w:rPr>
          <w:rFonts w:ascii="Arial" w:hAnsi="Arial"/>
          <w:w w:val="105"/>
          <w:sz w:val="16"/>
        </w:rPr>
        <w:t>over</w:t>
      </w:r>
      <w:r w:rsidRPr="00EB2BD8">
        <w:rPr>
          <w:rFonts w:ascii="Arial" w:hAnsi="Arial"/>
          <w:spacing w:val="-3"/>
          <w:w w:val="105"/>
          <w:sz w:val="16"/>
        </w:rPr>
        <w:t xml:space="preserve"> </w:t>
      </w:r>
      <w:r w:rsidRPr="00EB2BD8">
        <w:rPr>
          <w:rFonts w:ascii="Arial" w:hAnsi="Arial"/>
          <w:w w:val="105"/>
          <w:sz w:val="16"/>
        </w:rPr>
        <w:t>its</w:t>
      </w:r>
      <w:r w:rsidRPr="00EB2BD8">
        <w:rPr>
          <w:rFonts w:ascii="Arial" w:hAnsi="Arial"/>
          <w:spacing w:val="-3"/>
          <w:w w:val="105"/>
          <w:sz w:val="16"/>
        </w:rPr>
        <w:t xml:space="preserve"> </w:t>
      </w:r>
      <w:r w:rsidRPr="00EB2BD8">
        <w:rPr>
          <w:rFonts w:ascii="Arial" w:hAnsi="Arial"/>
          <w:w w:val="105"/>
          <w:sz w:val="16"/>
        </w:rPr>
        <w:t>estimated</w:t>
      </w:r>
      <w:r w:rsidRPr="00EB2BD8">
        <w:rPr>
          <w:rFonts w:ascii="Arial" w:hAnsi="Arial"/>
          <w:spacing w:val="-3"/>
          <w:w w:val="105"/>
          <w:sz w:val="16"/>
        </w:rPr>
        <w:t xml:space="preserve"> </w:t>
      </w:r>
      <w:r w:rsidRPr="00EB2BD8">
        <w:rPr>
          <w:rFonts w:ascii="Arial" w:hAnsi="Arial"/>
          <w:w w:val="105"/>
          <w:sz w:val="16"/>
        </w:rPr>
        <w:t>useful</w:t>
      </w:r>
      <w:r w:rsidRPr="00EB2BD8">
        <w:rPr>
          <w:rFonts w:ascii="Arial" w:hAnsi="Arial"/>
          <w:spacing w:val="-3"/>
          <w:w w:val="105"/>
          <w:sz w:val="16"/>
        </w:rPr>
        <w:t xml:space="preserve"> </w:t>
      </w:r>
      <w:r w:rsidRPr="00EB2BD8">
        <w:rPr>
          <w:rFonts w:ascii="Arial" w:hAnsi="Arial"/>
          <w:w w:val="105"/>
          <w:sz w:val="16"/>
        </w:rPr>
        <w:t>life.</w:t>
      </w:r>
      <w:r w:rsidRPr="00EB2BD8">
        <w:rPr>
          <w:rFonts w:ascii="Arial" w:hAnsi="Arial"/>
          <w:spacing w:val="40"/>
          <w:w w:val="105"/>
          <w:sz w:val="16"/>
        </w:rPr>
        <w:t xml:space="preserve"> </w:t>
      </w:r>
      <w:r w:rsidRPr="00EB2BD8">
        <w:rPr>
          <w:rFonts w:ascii="Arial" w:hAnsi="Arial"/>
          <w:w w:val="105"/>
          <w:sz w:val="16"/>
        </w:rPr>
        <w:t>Estimated</w:t>
      </w:r>
      <w:r w:rsidRPr="00EB2BD8">
        <w:rPr>
          <w:rFonts w:ascii="Arial" w:hAnsi="Arial"/>
          <w:spacing w:val="-3"/>
          <w:w w:val="105"/>
          <w:sz w:val="16"/>
        </w:rPr>
        <w:t xml:space="preserve"> </w:t>
      </w:r>
      <w:r w:rsidRPr="00EB2BD8">
        <w:rPr>
          <w:rFonts w:ascii="Arial" w:hAnsi="Arial"/>
          <w:w w:val="105"/>
          <w:sz w:val="16"/>
        </w:rPr>
        <w:t>useful</w:t>
      </w:r>
      <w:r w:rsidRPr="00EB2BD8">
        <w:rPr>
          <w:rFonts w:ascii="Arial" w:hAnsi="Arial"/>
          <w:spacing w:val="-3"/>
          <w:w w:val="105"/>
          <w:sz w:val="16"/>
        </w:rPr>
        <w:t xml:space="preserve"> </w:t>
      </w:r>
      <w:r w:rsidRPr="00EB2BD8">
        <w:rPr>
          <w:rFonts w:ascii="Arial" w:hAnsi="Arial"/>
          <w:w w:val="105"/>
          <w:sz w:val="16"/>
        </w:rPr>
        <w:t>lives</w:t>
      </w:r>
      <w:r w:rsidRPr="00EB2BD8">
        <w:rPr>
          <w:rFonts w:ascii="Arial" w:hAnsi="Arial"/>
          <w:spacing w:val="-3"/>
          <w:w w:val="105"/>
          <w:sz w:val="16"/>
        </w:rPr>
        <w:t xml:space="preserve"> </w:t>
      </w:r>
      <w:r w:rsidRPr="00EB2BD8">
        <w:rPr>
          <w:rFonts w:ascii="Arial" w:hAnsi="Arial"/>
          <w:w w:val="105"/>
          <w:sz w:val="16"/>
        </w:rPr>
        <w:t>for</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different</w:t>
      </w:r>
      <w:r w:rsidRPr="00EB2BD8">
        <w:rPr>
          <w:rFonts w:ascii="Arial" w:hAnsi="Arial"/>
          <w:spacing w:val="-3"/>
          <w:w w:val="105"/>
          <w:sz w:val="16"/>
        </w:rPr>
        <w:t xml:space="preserve"> </w:t>
      </w:r>
      <w:r w:rsidRPr="00EB2BD8">
        <w:rPr>
          <w:rFonts w:ascii="Arial" w:hAnsi="Arial"/>
          <w:w w:val="105"/>
          <w:sz w:val="16"/>
        </w:rPr>
        <w:t>asset</w:t>
      </w:r>
      <w:r w:rsidRPr="00EB2BD8">
        <w:rPr>
          <w:rFonts w:ascii="Arial" w:hAnsi="Arial"/>
          <w:spacing w:val="-1"/>
          <w:w w:val="105"/>
          <w:sz w:val="16"/>
        </w:rPr>
        <w:t xml:space="preserve"> </w:t>
      </w:r>
      <w:r w:rsidRPr="00EB2BD8">
        <w:rPr>
          <w:rFonts w:ascii="Arial" w:hAnsi="Arial"/>
          <w:w w:val="105"/>
          <w:sz w:val="16"/>
        </w:rPr>
        <w:t>classes</w:t>
      </w:r>
      <w:r w:rsidRPr="00EB2BD8">
        <w:rPr>
          <w:rFonts w:ascii="Arial" w:hAnsi="Arial"/>
          <w:spacing w:val="-3"/>
          <w:w w:val="105"/>
          <w:sz w:val="16"/>
        </w:rPr>
        <w:t xml:space="preserve"> </w:t>
      </w:r>
      <w:r w:rsidRPr="00EB2BD8">
        <w:rPr>
          <w:rFonts w:ascii="Arial" w:hAnsi="Arial"/>
          <w:w w:val="105"/>
          <w:sz w:val="16"/>
        </w:rPr>
        <w:t>for</w:t>
      </w:r>
      <w:r w:rsidRPr="00EB2BD8">
        <w:rPr>
          <w:rFonts w:ascii="Arial" w:hAnsi="Arial"/>
          <w:spacing w:val="-3"/>
          <w:w w:val="105"/>
          <w:sz w:val="16"/>
        </w:rPr>
        <w:t xml:space="preserve"> </w:t>
      </w:r>
      <w:r w:rsidRPr="00EB2BD8">
        <w:rPr>
          <w:rFonts w:ascii="Arial" w:hAnsi="Arial"/>
          <w:w w:val="105"/>
          <w:sz w:val="16"/>
        </w:rPr>
        <w:t>current</w:t>
      </w:r>
      <w:r w:rsidRPr="00EB2BD8">
        <w:rPr>
          <w:rFonts w:ascii="Arial" w:hAnsi="Arial"/>
          <w:spacing w:val="-3"/>
          <w:w w:val="105"/>
          <w:sz w:val="16"/>
        </w:rPr>
        <w:t xml:space="preserve"> </w:t>
      </w:r>
      <w:r w:rsidRPr="00EB2BD8">
        <w:rPr>
          <w:rFonts w:ascii="Arial" w:hAnsi="Arial"/>
          <w:w w:val="105"/>
          <w:sz w:val="16"/>
        </w:rPr>
        <w:t>and</w:t>
      </w:r>
      <w:r w:rsidRPr="00EB2BD8">
        <w:rPr>
          <w:rFonts w:ascii="Arial" w:hAnsi="Arial"/>
          <w:spacing w:val="-2"/>
          <w:w w:val="105"/>
          <w:sz w:val="16"/>
        </w:rPr>
        <w:t xml:space="preserve"> </w:t>
      </w:r>
      <w:r w:rsidRPr="00EB2BD8">
        <w:rPr>
          <w:rFonts w:ascii="Arial" w:hAnsi="Arial"/>
          <w:w w:val="105"/>
          <w:sz w:val="16"/>
        </w:rPr>
        <w:t>prior</w:t>
      </w:r>
      <w:r w:rsidRPr="00EB2BD8">
        <w:rPr>
          <w:rFonts w:ascii="Arial" w:hAnsi="Arial"/>
          <w:spacing w:val="-3"/>
          <w:w w:val="105"/>
          <w:sz w:val="16"/>
        </w:rPr>
        <w:t xml:space="preserve"> </w:t>
      </w:r>
      <w:r w:rsidRPr="00EB2BD8">
        <w:rPr>
          <w:rFonts w:ascii="Arial" w:hAnsi="Arial"/>
          <w:w w:val="105"/>
          <w:sz w:val="16"/>
        </w:rPr>
        <w:t>years are included in the table below:</w:t>
      </w:r>
    </w:p>
    <w:p w14:paraId="1B1B6247" w14:textId="77777777" w:rsidR="00704578" w:rsidRDefault="00704578">
      <w:pPr>
        <w:spacing w:line="290" w:lineRule="auto"/>
        <w:ind w:left="1060" w:right="1672"/>
        <w:rPr>
          <w:rFonts w:ascii="Arial" w:hAnsi="Arial"/>
          <w:w w:val="105"/>
          <w:sz w:val="16"/>
        </w:rPr>
      </w:pPr>
    </w:p>
    <w:tbl>
      <w:tblPr>
        <w:tblStyle w:val="TableGrid"/>
        <w:tblW w:w="0" w:type="auto"/>
        <w:tblInd w:w="1060" w:type="dxa"/>
        <w:tblLook w:val="04A0" w:firstRow="1" w:lastRow="0" w:firstColumn="1" w:lastColumn="0" w:noHBand="0" w:noVBand="1"/>
      </w:tblPr>
      <w:tblGrid>
        <w:gridCol w:w="3046"/>
        <w:gridCol w:w="2280"/>
      </w:tblGrid>
      <w:tr w:rsidR="00704578" w14:paraId="5AA0B54C" w14:textId="77777777" w:rsidTr="00704578">
        <w:trPr>
          <w:cnfStyle w:val="100000000000" w:firstRow="1" w:lastRow="0" w:firstColumn="0" w:lastColumn="0" w:oddVBand="0" w:evenVBand="0" w:oddHBand="0" w:evenHBand="0" w:firstRowFirstColumn="0" w:firstRowLastColumn="0" w:lastRowFirstColumn="0" w:lastRowLastColumn="0"/>
        </w:trPr>
        <w:tc>
          <w:tcPr>
            <w:tcW w:w="3046" w:type="dxa"/>
          </w:tcPr>
          <w:p w14:paraId="04ABAEC0" w14:textId="337EC83E" w:rsidR="00704578" w:rsidRDefault="00704578">
            <w:pPr>
              <w:spacing w:line="290" w:lineRule="auto"/>
              <w:ind w:right="1672"/>
              <w:rPr>
                <w:rFonts w:ascii="Arial" w:hAnsi="Arial"/>
                <w:sz w:val="16"/>
              </w:rPr>
            </w:pPr>
            <w:r>
              <w:rPr>
                <w:rFonts w:ascii="Arial" w:hAnsi="Arial"/>
                <w:sz w:val="16"/>
              </w:rPr>
              <w:t>Buildings</w:t>
            </w:r>
          </w:p>
        </w:tc>
        <w:tc>
          <w:tcPr>
            <w:tcW w:w="1559" w:type="dxa"/>
          </w:tcPr>
          <w:p w14:paraId="495B9CF1" w14:textId="77777777" w:rsidR="00704578" w:rsidRDefault="00704578">
            <w:pPr>
              <w:spacing w:line="290" w:lineRule="auto"/>
              <w:ind w:right="1672"/>
              <w:rPr>
                <w:rFonts w:ascii="Arial" w:hAnsi="Arial"/>
                <w:sz w:val="16"/>
              </w:rPr>
            </w:pPr>
          </w:p>
        </w:tc>
      </w:tr>
      <w:tr w:rsidR="00704578" w14:paraId="0AA16D05" w14:textId="77777777" w:rsidTr="00704578">
        <w:tc>
          <w:tcPr>
            <w:tcW w:w="3046" w:type="dxa"/>
          </w:tcPr>
          <w:p w14:paraId="62580617" w14:textId="5511592B" w:rsidR="00704578" w:rsidRDefault="00704578" w:rsidP="00704578">
            <w:pPr>
              <w:spacing w:line="290" w:lineRule="auto"/>
              <w:ind w:right="-106"/>
              <w:rPr>
                <w:rFonts w:ascii="Arial" w:hAnsi="Arial"/>
                <w:sz w:val="16"/>
              </w:rPr>
            </w:pPr>
            <w:r>
              <w:rPr>
                <w:rFonts w:ascii="Arial" w:hAnsi="Arial"/>
                <w:sz w:val="16"/>
              </w:rPr>
              <w:t>-Building owned</w:t>
            </w:r>
          </w:p>
        </w:tc>
        <w:tc>
          <w:tcPr>
            <w:tcW w:w="1559" w:type="dxa"/>
          </w:tcPr>
          <w:p w14:paraId="65EE8642" w14:textId="16B595E2" w:rsidR="00704578" w:rsidRDefault="00704578" w:rsidP="00704578">
            <w:pPr>
              <w:spacing w:line="290" w:lineRule="auto"/>
              <w:ind w:right="173"/>
              <w:rPr>
                <w:rFonts w:ascii="Arial" w:hAnsi="Arial"/>
                <w:sz w:val="16"/>
              </w:rPr>
            </w:pPr>
            <w:r>
              <w:rPr>
                <w:rFonts w:ascii="Arial" w:hAnsi="Arial"/>
                <w:sz w:val="16"/>
              </w:rPr>
              <w:t>40 years</w:t>
            </w:r>
          </w:p>
        </w:tc>
      </w:tr>
      <w:tr w:rsidR="00704578" w14:paraId="0597A201" w14:textId="77777777" w:rsidTr="00704578">
        <w:tc>
          <w:tcPr>
            <w:tcW w:w="3046" w:type="dxa"/>
          </w:tcPr>
          <w:p w14:paraId="6DE00087" w14:textId="07C9134F" w:rsidR="00704578" w:rsidRDefault="00704578" w:rsidP="00704578">
            <w:pPr>
              <w:spacing w:line="290" w:lineRule="auto"/>
              <w:ind w:right="36"/>
              <w:rPr>
                <w:rFonts w:ascii="Arial" w:hAnsi="Arial"/>
                <w:sz w:val="16"/>
              </w:rPr>
            </w:pPr>
            <w:r>
              <w:rPr>
                <w:rFonts w:ascii="Arial" w:hAnsi="Arial"/>
                <w:sz w:val="16"/>
              </w:rPr>
              <w:t>-Building right of use</w:t>
            </w:r>
          </w:p>
        </w:tc>
        <w:tc>
          <w:tcPr>
            <w:tcW w:w="1559" w:type="dxa"/>
          </w:tcPr>
          <w:p w14:paraId="45811F39" w14:textId="6C4C48D7" w:rsidR="00704578" w:rsidRDefault="00704578">
            <w:pPr>
              <w:spacing w:line="290" w:lineRule="auto"/>
              <w:ind w:right="1672"/>
              <w:rPr>
                <w:rFonts w:ascii="Arial" w:hAnsi="Arial"/>
                <w:sz w:val="16"/>
              </w:rPr>
            </w:pPr>
            <w:r>
              <w:rPr>
                <w:rFonts w:ascii="Arial" w:hAnsi="Arial"/>
                <w:sz w:val="16"/>
              </w:rPr>
              <w:t>5 years</w:t>
            </w:r>
          </w:p>
        </w:tc>
      </w:tr>
      <w:tr w:rsidR="00704578" w14:paraId="215DB255" w14:textId="77777777" w:rsidTr="00704578">
        <w:tc>
          <w:tcPr>
            <w:tcW w:w="3046" w:type="dxa"/>
          </w:tcPr>
          <w:p w14:paraId="252EC11A" w14:textId="47DBA8D6" w:rsidR="00704578" w:rsidRPr="00704578" w:rsidRDefault="00704578" w:rsidP="00704578">
            <w:pPr>
              <w:spacing w:line="290" w:lineRule="auto"/>
              <w:ind w:right="178"/>
              <w:rPr>
                <w:rFonts w:ascii="Arial" w:hAnsi="Arial"/>
                <w:b/>
                <w:sz w:val="16"/>
              </w:rPr>
            </w:pPr>
            <w:r w:rsidRPr="00704578">
              <w:rPr>
                <w:rFonts w:ascii="Arial" w:hAnsi="Arial"/>
                <w:b/>
                <w:sz w:val="16"/>
              </w:rPr>
              <w:t>Motor vehicles:</w:t>
            </w:r>
          </w:p>
        </w:tc>
        <w:tc>
          <w:tcPr>
            <w:tcW w:w="1559" w:type="dxa"/>
          </w:tcPr>
          <w:p w14:paraId="0DB2D9E4" w14:textId="77777777" w:rsidR="00704578" w:rsidRDefault="00704578">
            <w:pPr>
              <w:spacing w:line="290" w:lineRule="auto"/>
              <w:ind w:right="1672"/>
              <w:rPr>
                <w:rFonts w:ascii="Arial" w:hAnsi="Arial"/>
                <w:sz w:val="16"/>
              </w:rPr>
            </w:pPr>
          </w:p>
        </w:tc>
      </w:tr>
      <w:tr w:rsidR="00704578" w14:paraId="7780997C" w14:textId="77777777" w:rsidTr="00704578">
        <w:tc>
          <w:tcPr>
            <w:tcW w:w="3046" w:type="dxa"/>
          </w:tcPr>
          <w:p w14:paraId="228F2AB1" w14:textId="76493FB1" w:rsidR="00704578" w:rsidRDefault="00704578" w:rsidP="00704578">
            <w:pPr>
              <w:spacing w:line="290" w:lineRule="auto"/>
              <w:ind w:right="178"/>
              <w:rPr>
                <w:rFonts w:ascii="Arial" w:hAnsi="Arial"/>
                <w:sz w:val="16"/>
              </w:rPr>
            </w:pPr>
            <w:r w:rsidRPr="00704578">
              <w:rPr>
                <w:rFonts w:ascii="Arial" w:hAnsi="Arial"/>
                <w:sz w:val="16"/>
              </w:rPr>
              <w:t>-Motor vehicles-owned</w:t>
            </w:r>
          </w:p>
        </w:tc>
        <w:tc>
          <w:tcPr>
            <w:tcW w:w="1559" w:type="dxa"/>
          </w:tcPr>
          <w:p w14:paraId="69658A89" w14:textId="5C6C5970" w:rsidR="00704578" w:rsidRDefault="00E329DC" w:rsidP="00E329DC">
            <w:pPr>
              <w:spacing w:line="290" w:lineRule="auto"/>
              <w:ind w:right="43"/>
              <w:rPr>
                <w:rFonts w:ascii="Arial" w:hAnsi="Arial"/>
                <w:sz w:val="16"/>
              </w:rPr>
            </w:pPr>
            <w:r>
              <w:rPr>
                <w:rFonts w:ascii="Arial" w:hAnsi="Arial"/>
                <w:sz w:val="16"/>
              </w:rPr>
              <w:t>3-5 years</w:t>
            </w:r>
          </w:p>
        </w:tc>
      </w:tr>
      <w:tr w:rsidR="00704578" w14:paraId="1F26E899" w14:textId="77777777" w:rsidTr="00704578">
        <w:tc>
          <w:tcPr>
            <w:tcW w:w="3046" w:type="dxa"/>
          </w:tcPr>
          <w:p w14:paraId="1B8D2395" w14:textId="731D5891" w:rsidR="00704578" w:rsidRDefault="00704578" w:rsidP="00704578">
            <w:pPr>
              <w:spacing w:line="290" w:lineRule="auto"/>
              <w:ind w:right="178"/>
              <w:rPr>
                <w:rFonts w:ascii="Arial" w:hAnsi="Arial"/>
                <w:sz w:val="16"/>
              </w:rPr>
            </w:pPr>
            <w:r w:rsidRPr="00704578">
              <w:rPr>
                <w:rFonts w:ascii="Arial" w:hAnsi="Arial"/>
                <w:sz w:val="16"/>
              </w:rPr>
              <w:t>-Motor vehicles-right-of-use</w:t>
            </w:r>
          </w:p>
        </w:tc>
        <w:tc>
          <w:tcPr>
            <w:tcW w:w="1559" w:type="dxa"/>
          </w:tcPr>
          <w:p w14:paraId="109AD696" w14:textId="6FA898A2" w:rsidR="00704578" w:rsidRDefault="00E329DC" w:rsidP="00E329DC">
            <w:pPr>
              <w:spacing w:line="290" w:lineRule="auto"/>
              <w:ind w:right="43"/>
              <w:rPr>
                <w:rFonts w:ascii="Arial" w:hAnsi="Arial"/>
                <w:sz w:val="16"/>
              </w:rPr>
            </w:pPr>
            <w:r>
              <w:rPr>
                <w:rFonts w:ascii="Arial" w:hAnsi="Arial"/>
                <w:sz w:val="16"/>
              </w:rPr>
              <w:t>3 years</w:t>
            </w:r>
          </w:p>
        </w:tc>
      </w:tr>
      <w:tr w:rsidR="00704578" w14:paraId="63477E51" w14:textId="77777777" w:rsidTr="00704578">
        <w:tc>
          <w:tcPr>
            <w:tcW w:w="3046" w:type="dxa"/>
          </w:tcPr>
          <w:p w14:paraId="32B60096" w14:textId="78F72B89" w:rsidR="00704578" w:rsidRPr="00704578" w:rsidRDefault="00704578" w:rsidP="00704578">
            <w:pPr>
              <w:spacing w:before="80"/>
              <w:rPr>
                <w:rFonts w:ascii="Arial"/>
                <w:b/>
                <w:sz w:val="16"/>
              </w:rPr>
            </w:pPr>
            <w:r w:rsidRPr="00EB2BD8">
              <w:rPr>
                <w:rFonts w:ascii="Arial"/>
                <w:b/>
                <w:w w:val="105"/>
                <w:sz w:val="16"/>
              </w:rPr>
              <w:t>IT</w:t>
            </w:r>
            <w:r w:rsidRPr="00EB2BD8">
              <w:rPr>
                <w:rFonts w:ascii="Arial"/>
                <w:b/>
                <w:spacing w:val="-1"/>
                <w:w w:val="105"/>
                <w:sz w:val="16"/>
              </w:rPr>
              <w:t xml:space="preserve"> </w:t>
            </w:r>
            <w:r w:rsidRPr="00EB2BD8">
              <w:rPr>
                <w:rFonts w:ascii="Arial"/>
                <w:b/>
                <w:spacing w:val="-2"/>
                <w:w w:val="105"/>
                <w:sz w:val="16"/>
              </w:rPr>
              <w:t>equipment</w:t>
            </w:r>
          </w:p>
        </w:tc>
        <w:tc>
          <w:tcPr>
            <w:tcW w:w="1559" w:type="dxa"/>
          </w:tcPr>
          <w:p w14:paraId="0B414D84" w14:textId="249380A6" w:rsidR="00704578" w:rsidRDefault="00E329DC" w:rsidP="00E329DC">
            <w:pPr>
              <w:spacing w:line="290" w:lineRule="auto"/>
              <w:ind w:right="43"/>
              <w:rPr>
                <w:rFonts w:ascii="Arial" w:hAnsi="Arial"/>
                <w:sz w:val="16"/>
              </w:rPr>
            </w:pPr>
            <w:r>
              <w:rPr>
                <w:rFonts w:ascii="Arial" w:hAnsi="Arial"/>
                <w:sz w:val="16"/>
              </w:rPr>
              <w:t>3 years</w:t>
            </w:r>
          </w:p>
        </w:tc>
      </w:tr>
      <w:tr w:rsidR="00704578" w14:paraId="12259D37" w14:textId="77777777" w:rsidTr="00704578">
        <w:tc>
          <w:tcPr>
            <w:tcW w:w="3046" w:type="dxa"/>
          </w:tcPr>
          <w:p w14:paraId="10FEF0B8" w14:textId="7B5522A1" w:rsidR="00704578" w:rsidRDefault="00704578" w:rsidP="00704578">
            <w:pPr>
              <w:spacing w:line="290" w:lineRule="auto"/>
              <w:rPr>
                <w:rFonts w:ascii="Arial" w:hAnsi="Arial"/>
                <w:sz w:val="16"/>
              </w:rPr>
            </w:pPr>
            <w:r w:rsidRPr="00EB2BD8">
              <w:rPr>
                <w:rFonts w:ascii="Arial"/>
                <w:b/>
                <w:w w:val="105"/>
                <w:sz w:val="16"/>
              </w:rPr>
              <w:t>Office</w:t>
            </w:r>
            <w:r w:rsidRPr="00EB2BD8">
              <w:rPr>
                <w:rFonts w:ascii="Arial"/>
                <w:b/>
                <w:spacing w:val="-12"/>
                <w:w w:val="105"/>
                <w:sz w:val="16"/>
              </w:rPr>
              <w:t xml:space="preserve"> </w:t>
            </w:r>
            <w:r w:rsidRPr="00EB2BD8">
              <w:rPr>
                <w:rFonts w:ascii="Arial"/>
                <w:b/>
                <w:w w:val="105"/>
                <w:sz w:val="16"/>
              </w:rPr>
              <w:t>machines</w:t>
            </w:r>
            <w:r w:rsidRPr="00EB2BD8">
              <w:rPr>
                <w:rFonts w:ascii="Arial"/>
                <w:b/>
                <w:spacing w:val="-11"/>
                <w:w w:val="105"/>
                <w:sz w:val="16"/>
              </w:rPr>
              <w:t xml:space="preserve"> </w:t>
            </w:r>
            <w:r w:rsidRPr="00EB2BD8">
              <w:rPr>
                <w:rFonts w:ascii="Arial"/>
                <w:b/>
                <w:w w:val="105"/>
                <w:sz w:val="16"/>
              </w:rPr>
              <w:t>and</w:t>
            </w:r>
            <w:r w:rsidRPr="00EB2BD8">
              <w:rPr>
                <w:rFonts w:ascii="Arial"/>
                <w:b/>
                <w:spacing w:val="-12"/>
                <w:w w:val="105"/>
                <w:sz w:val="16"/>
              </w:rPr>
              <w:t xml:space="preserve"> </w:t>
            </w:r>
            <w:r w:rsidRPr="00EB2BD8">
              <w:rPr>
                <w:rFonts w:ascii="Arial"/>
                <w:b/>
                <w:w w:val="105"/>
                <w:sz w:val="16"/>
              </w:rPr>
              <w:t>equipment</w:t>
            </w:r>
          </w:p>
        </w:tc>
        <w:tc>
          <w:tcPr>
            <w:tcW w:w="1559" w:type="dxa"/>
          </w:tcPr>
          <w:p w14:paraId="1F657426" w14:textId="00933C36" w:rsidR="00704578" w:rsidRDefault="00E329DC" w:rsidP="00E329DC">
            <w:pPr>
              <w:spacing w:line="290" w:lineRule="auto"/>
              <w:ind w:right="43"/>
              <w:rPr>
                <w:rFonts w:ascii="Arial" w:hAnsi="Arial"/>
                <w:sz w:val="16"/>
              </w:rPr>
            </w:pPr>
            <w:r>
              <w:rPr>
                <w:rFonts w:ascii="Arial" w:hAnsi="Arial"/>
                <w:sz w:val="16"/>
              </w:rPr>
              <w:t>10 years</w:t>
            </w:r>
          </w:p>
        </w:tc>
      </w:tr>
      <w:tr w:rsidR="00704578" w14:paraId="6B8BCC83" w14:textId="77777777" w:rsidTr="00704578">
        <w:tc>
          <w:tcPr>
            <w:tcW w:w="3046" w:type="dxa"/>
          </w:tcPr>
          <w:p w14:paraId="48C5E090" w14:textId="04F49F9F" w:rsidR="00704578" w:rsidRDefault="00704578" w:rsidP="00704578">
            <w:pPr>
              <w:spacing w:line="290" w:lineRule="auto"/>
              <w:ind w:right="178"/>
              <w:rPr>
                <w:rFonts w:ascii="Arial" w:hAnsi="Arial"/>
                <w:sz w:val="16"/>
              </w:rPr>
            </w:pPr>
            <w:r w:rsidRPr="00EB2BD8">
              <w:rPr>
                <w:rFonts w:ascii="Arial"/>
                <w:b/>
                <w:w w:val="105"/>
                <w:sz w:val="16"/>
              </w:rPr>
              <w:t>Software and intangibles</w:t>
            </w:r>
          </w:p>
        </w:tc>
        <w:tc>
          <w:tcPr>
            <w:tcW w:w="1559" w:type="dxa"/>
          </w:tcPr>
          <w:p w14:paraId="6A44C6CE" w14:textId="44296904" w:rsidR="00704578" w:rsidRDefault="00E329DC" w:rsidP="00E329DC">
            <w:pPr>
              <w:spacing w:line="290" w:lineRule="auto"/>
              <w:ind w:right="326"/>
              <w:rPr>
                <w:rFonts w:ascii="Arial" w:hAnsi="Arial"/>
                <w:sz w:val="16"/>
              </w:rPr>
            </w:pPr>
            <w:r>
              <w:rPr>
                <w:rFonts w:ascii="Arial" w:hAnsi="Arial"/>
                <w:sz w:val="16"/>
              </w:rPr>
              <w:t>3 to 7 years</w:t>
            </w:r>
          </w:p>
        </w:tc>
      </w:tr>
    </w:tbl>
    <w:p w14:paraId="3F6F0C83" w14:textId="77777777" w:rsidR="00704578" w:rsidRPr="00EB2BD8" w:rsidRDefault="00704578">
      <w:pPr>
        <w:spacing w:line="290" w:lineRule="auto"/>
        <w:ind w:left="1060" w:right="1672"/>
        <w:rPr>
          <w:rFonts w:ascii="Arial" w:hAnsi="Arial"/>
          <w:sz w:val="16"/>
        </w:rPr>
      </w:pPr>
    </w:p>
    <w:p w14:paraId="06BF82AD" w14:textId="3067FB4F" w:rsidR="00084F36" w:rsidRPr="00EB2BD8" w:rsidRDefault="00084F36">
      <w:pPr>
        <w:pStyle w:val="BodyText"/>
        <w:spacing w:before="9"/>
        <w:rPr>
          <w:rFonts w:ascii="Arial"/>
        </w:rPr>
      </w:pPr>
    </w:p>
    <w:p w14:paraId="7B328A26" w14:textId="77777777" w:rsidR="00084F36" w:rsidRPr="00EB2BD8" w:rsidRDefault="00084F36">
      <w:pPr>
        <w:pStyle w:val="BodyText"/>
        <w:rPr>
          <w:rFonts w:ascii="Arial"/>
          <w:b/>
          <w:sz w:val="11"/>
        </w:rPr>
      </w:pPr>
    </w:p>
    <w:p w14:paraId="5CEAC3D2" w14:textId="77777777" w:rsidR="00084F36" w:rsidRPr="00EB2BD8" w:rsidRDefault="00EB2BD8">
      <w:pPr>
        <w:spacing w:before="102" w:line="288" w:lineRule="auto"/>
        <w:ind w:left="1060" w:right="1813"/>
        <w:rPr>
          <w:rFonts w:ascii="Arial"/>
          <w:sz w:val="16"/>
        </w:rPr>
      </w:pPr>
      <w:r w:rsidRPr="00EB2BD8">
        <w:rPr>
          <w:rFonts w:ascii="Arial"/>
          <w:w w:val="105"/>
          <w:sz w:val="16"/>
        </w:rPr>
        <w:t>The</w:t>
      </w:r>
      <w:r w:rsidRPr="00EB2BD8">
        <w:rPr>
          <w:rFonts w:ascii="Arial"/>
          <w:spacing w:val="-3"/>
          <w:w w:val="105"/>
          <w:sz w:val="16"/>
        </w:rPr>
        <w:t xml:space="preserve"> </w:t>
      </w:r>
      <w:r w:rsidRPr="00EB2BD8">
        <w:rPr>
          <w:rFonts w:ascii="Arial"/>
          <w:w w:val="105"/>
          <w:sz w:val="16"/>
        </w:rPr>
        <w:t>estimated</w:t>
      </w:r>
      <w:r w:rsidRPr="00EB2BD8">
        <w:rPr>
          <w:rFonts w:ascii="Arial"/>
          <w:spacing w:val="-2"/>
          <w:w w:val="105"/>
          <w:sz w:val="16"/>
        </w:rPr>
        <w:t xml:space="preserve"> </w:t>
      </w:r>
      <w:r w:rsidRPr="00EB2BD8">
        <w:rPr>
          <w:rFonts w:ascii="Arial"/>
          <w:w w:val="105"/>
          <w:sz w:val="16"/>
        </w:rPr>
        <w:t>useful</w:t>
      </w:r>
      <w:r w:rsidRPr="00EB2BD8">
        <w:rPr>
          <w:rFonts w:ascii="Arial"/>
          <w:spacing w:val="-3"/>
          <w:w w:val="105"/>
          <w:sz w:val="16"/>
        </w:rPr>
        <w:t xml:space="preserve"> </w:t>
      </w:r>
      <w:r w:rsidRPr="00EB2BD8">
        <w:rPr>
          <w:rFonts w:ascii="Arial"/>
          <w:w w:val="105"/>
          <w:sz w:val="16"/>
        </w:rPr>
        <w:t>lives,</w:t>
      </w:r>
      <w:r w:rsidRPr="00EB2BD8">
        <w:rPr>
          <w:rFonts w:ascii="Arial"/>
          <w:spacing w:val="-3"/>
          <w:w w:val="105"/>
          <w:sz w:val="16"/>
        </w:rPr>
        <w:t xml:space="preserve"> </w:t>
      </w:r>
      <w:r w:rsidRPr="00EB2BD8">
        <w:rPr>
          <w:rFonts w:ascii="Arial"/>
          <w:w w:val="105"/>
          <w:sz w:val="16"/>
        </w:rPr>
        <w:t>residual</w:t>
      </w:r>
      <w:r w:rsidRPr="00EB2BD8">
        <w:rPr>
          <w:rFonts w:ascii="Arial"/>
          <w:spacing w:val="-3"/>
          <w:w w:val="105"/>
          <w:sz w:val="16"/>
        </w:rPr>
        <w:t xml:space="preserve"> </w:t>
      </w:r>
      <w:r w:rsidRPr="00EB2BD8">
        <w:rPr>
          <w:rFonts w:ascii="Arial"/>
          <w:w w:val="105"/>
          <w:sz w:val="16"/>
        </w:rPr>
        <w:t>values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depreciation</w:t>
      </w:r>
      <w:r w:rsidRPr="00EB2BD8">
        <w:rPr>
          <w:rFonts w:ascii="Arial"/>
          <w:spacing w:val="-3"/>
          <w:w w:val="105"/>
          <w:sz w:val="16"/>
        </w:rPr>
        <w:t xml:space="preserve"> </w:t>
      </w:r>
      <w:r w:rsidRPr="00EB2BD8">
        <w:rPr>
          <w:rFonts w:ascii="Arial"/>
          <w:w w:val="105"/>
          <w:sz w:val="16"/>
        </w:rPr>
        <w:t>method</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reviewed</w:t>
      </w:r>
      <w:r w:rsidRPr="00EB2BD8">
        <w:rPr>
          <w:rFonts w:ascii="Arial"/>
          <w:spacing w:val="-3"/>
          <w:w w:val="105"/>
          <w:sz w:val="16"/>
        </w:rPr>
        <w:t xml:space="preserve"> </w:t>
      </w:r>
      <w:r w:rsidRPr="00EB2BD8">
        <w:rPr>
          <w:rFonts w:ascii="Arial"/>
          <w:w w:val="105"/>
          <w:sz w:val="16"/>
        </w:rPr>
        <w:t>at</w:t>
      </w:r>
      <w:r w:rsidRPr="00EB2BD8">
        <w:rPr>
          <w:rFonts w:ascii="Arial"/>
          <w:spacing w:val="-3"/>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end</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each</w:t>
      </w:r>
      <w:r w:rsidRPr="00EB2BD8">
        <w:rPr>
          <w:rFonts w:ascii="Arial"/>
          <w:spacing w:val="-3"/>
          <w:w w:val="105"/>
          <w:sz w:val="16"/>
        </w:rPr>
        <w:t xml:space="preserve"> </w:t>
      </w:r>
      <w:r w:rsidRPr="00EB2BD8">
        <w:rPr>
          <w:rFonts w:ascii="Arial"/>
          <w:w w:val="105"/>
          <w:sz w:val="16"/>
        </w:rPr>
        <w:t>annual</w:t>
      </w:r>
      <w:r w:rsidRPr="00EB2BD8">
        <w:rPr>
          <w:rFonts w:ascii="Arial"/>
          <w:spacing w:val="-3"/>
          <w:w w:val="105"/>
          <w:sz w:val="16"/>
        </w:rPr>
        <w:t xml:space="preserve"> </w:t>
      </w:r>
      <w:r w:rsidRPr="00EB2BD8">
        <w:rPr>
          <w:rFonts w:ascii="Arial"/>
          <w:w w:val="105"/>
          <w:sz w:val="16"/>
        </w:rPr>
        <w:t>reporting period, and adjustments made where appropriate.</w:t>
      </w:r>
    </w:p>
    <w:p w14:paraId="35673E69" w14:textId="77777777" w:rsidR="00084F36" w:rsidRPr="00EB2BD8" w:rsidRDefault="00084F36">
      <w:pPr>
        <w:pStyle w:val="BodyText"/>
        <w:spacing w:before="9"/>
        <w:rPr>
          <w:rFonts w:ascii="Arial"/>
          <w:sz w:val="14"/>
        </w:rPr>
      </w:pPr>
    </w:p>
    <w:p w14:paraId="54D203EE" w14:textId="77777777" w:rsidR="00084F36" w:rsidRPr="00EB2BD8" w:rsidRDefault="00EB2BD8">
      <w:pPr>
        <w:spacing w:line="290" w:lineRule="auto"/>
        <w:ind w:left="1060" w:right="1761"/>
        <w:rPr>
          <w:rFonts w:ascii="Arial" w:hAnsi="Arial"/>
          <w:sz w:val="16"/>
        </w:rPr>
      </w:pPr>
      <w:r w:rsidRPr="00EB2BD8">
        <w:rPr>
          <w:rFonts w:ascii="Arial" w:hAnsi="Arial"/>
          <w:w w:val="105"/>
          <w:sz w:val="16"/>
        </w:rPr>
        <w:t>Right-of-use</w:t>
      </w:r>
      <w:r w:rsidRPr="00EB2BD8">
        <w:rPr>
          <w:rFonts w:ascii="Arial" w:hAnsi="Arial"/>
          <w:spacing w:val="-3"/>
          <w:w w:val="105"/>
          <w:sz w:val="16"/>
        </w:rPr>
        <w:t xml:space="preserve"> </w:t>
      </w:r>
      <w:r w:rsidRPr="00EB2BD8">
        <w:rPr>
          <w:rFonts w:ascii="Arial" w:hAnsi="Arial"/>
          <w:w w:val="105"/>
          <w:sz w:val="16"/>
        </w:rPr>
        <w:t>assets</w:t>
      </w:r>
      <w:r w:rsidRPr="00EB2BD8">
        <w:rPr>
          <w:rFonts w:ascii="Arial" w:hAnsi="Arial"/>
          <w:spacing w:val="-3"/>
          <w:w w:val="105"/>
          <w:sz w:val="16"/>
        </w:rPr>
        <w:t xml:space="preserve"> </w:t>
      </w:r>
      <w:r w:rsidRPr="00EB2BD8">
        <w:rPr>
          <w:rFonts w:ascii="Arial" w:hAnsi="Arial"/>
          <w:w w:val="105"/>
          <w:sz w:val="16"/>
        </w:rPr>
        <w:t>are</w:t>
      </w:r>
      <w:r w:rsidRPr="00EB2BD8">
        <w:rPr>
          <w:rFonts w:ascii="Arial" w:hAnsi="Arial"/>
          <w:spacing w:val="-3"/>
          <w:w w:val="105"/>
          <w:sz w:val="16"/>
        </w:rPr>
        <w:t xml:space="preserve"> </w:t>
      </w:r>
      <w:r w:rsidRPr="00EB2BD8">
        <w:rPr>
          <w:rFonts w:ascii="Arial" w:hAnsi="Arial"/>
          <w:w w:val="105"/>
          <w:sz w:val="16"/>
        </w:rPr>
        <w:t>depreciated</w:t>
      </w:r>
      <w:r w:rsidRPr="00EB2BD8">
        <w:rPr>
          <w:rFonts w:ascii="Arial" w:hAnsi="Arial"/>
          <w:spacing w:val="-3"/>
          <w:w w:val="105"/>
          <w:sz w:val="16"/>
        </w:rPr>
        <w:t xml:space="preserve"> </w:t>
      </w:r>
      <w:r w:rsidRPr="00EB2BD8">
        <w:rPr>
          <w:rFonts w:ascii="Arial" w:hAnsi="Arial"/>
          <w:w w:val="105"/>
          <w:sz w:val="16"/>
        </w:rPr>
        <w:t>over</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shorter</w:t>
      </w:r>
      <w:r w:rsidRPr="00EB2BD8">
        <w:rPr>
          <w:rFonts w:ascii="Arial" w:hAnsi="Arial"/>
          <w:spacing w:val="-3"/>
          <w:w w:val="105"/>
          <w:sz w:val="16"/>
        </w:rPr>
        <w:t xml:space="preserve"> </w:t>
      </w:r>
      <w:r w:rsidRPr="00EB2BD8">
        <w:rPr>
          <w:rFonts w:ascii="Arial" w:hAnsi="Arial"/>
          <w:w w:val="105"/>
          <w:sz w:val="16"/>
        </w:rPr>
        <w:t>of</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lease</w:t>
      </w:r>
      <w:r w:rsidRPr="00EB2BD8">
        <w:rPr>
          <w:rFonts w:ascii="Arial" w:hAnsi="Arial"/>
          <w:spacing w:val="-3"/>
          <w:w w:val="105"/>
          <w:sz w:val="16"/>
        </w:rPr>
        <w:t xml:space="preserve"> </w:t>
      </w:r>
      <w:r w:rsidRPr="00EB2BD8">
        <w:rPr>
          <w:rFonts w:ascii="Arial" w:hAnsi="Arial"/>
          <w:w w:val="105"/>
          <w:sz w:val="16"/>
        </w:rPr>
        <w:t>term</w:t>
      </w:r>
      <w:r w:rsidRPr="00EB2BD8">
        <w:rPr>
          <w:rFonts w:ascii="Arial" w:hAnsi="Arial"/>
          <w:spacing w:val="-3"/>
          <w:w w:val="105"/>
          <w:sz w:val="16"/>
        </w:rPr>
        <w:t xml:space="preserve"> </w:t>
      </w:r>
      <w:r w:rsidRPr="00EB2BD8">
        <w:rPr>
          <w:rFonts w:ascii="Arial" w:hAnsi="Arial"/>
          <w:w w:val="105"/>
          <w:sz w:val="16"/>
        </w:rPr>
        <w:t>and</w:t>
      </w:r>
      <w:r w:rsidRPr="00EB2BD8">
        <w:rPr>
          <w:rFonts w:ascii="Arial" w:hAnsi="Arial"/>
          <w:spacing w:val="-1"/>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assets’</w:t>
      </w:r>
      <w:r w:rsidRPr="00EB2BD8">
        <w:rPr>
          <w:rFonts w:ascii="Arial" w:hAnsi="Arial"/>
          <w:spacing w:val="-3"/>
          <w:w w:val="105"/>
          <w:sz w:val="16"/>
        </w:rPr>
        <w:t xml:space="preserve"> </w:t>
      </w:r>
      <w:r w:rsidRPr="00EB2BD8">
        <w:rPr>
          <w:rFonts w:ascii="Arial" w:hAnsi="Arial"/>
          <w:w w:val="105"/>
          <w:sz w:val="16"/>
        </w:rPr>
        <w:t>useful</w:t>
      </w:r>
      <w:r w:rsidRPr="00EB2BD8">
        <w:rPr>
          <w:rFonts w:ascii="Arial" w:hAnsi="Arial"/>
          <w:spacing w:val="-3"/>
          <w:w w:val="105"/>
          <w:sz w:val="16"/>
        </w:rPr>
        <w:t xml:space="preserve"> </w:t>
      </w:r>
      <w:r w:rsidRPr="00EB2BD8">
        <w:rPr>
          <w:rFonts w:ascii="Arial" w:hAnsi="Arial"/>
          <w:w w:val="105"/>
          <w:sz w:val="16"/>
        </w:rPr>
        <w:t>lives.</w:t>
      </w:r>
      <w:r w:rsidRPr="00EB2BD8">
        <w:rPr>
          <w:rFonts w:ascii="Arial" w:hAnsi="Arial"/>
          <w:spacing w:val="-3"/>
          <w:w w:val="105"/>
          <w:sz w:val="16"/>
        </w:rPr>
        <w:t xml:space="preserve"> </w:t>
      </w:r>
      <w:r w:rsidRPr="00EB2BD8">
        <w:rPr>
          <w:rFonts w:ascii="Arial" w:hAnsi="Arial"/>
          <w:w w:val="105"/>
          <w:sz w:val="16"/>
        </w:rPr>
        <w:t>Where</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VBA</w:t>
      </w:r>
      <w:r w:rsidRPr="00EB2BD8">
        <w:rPr>
          <w:rFonts w:ascii="Arial" w:hAnsi="Arial"/>
          <w:spacing w:val="-3"/>
          <w:w w:val="105"/>
          <w:sz w:val="16"/>
        </w:rPr>
        <w:t xml:space="preserve"> </w:t>
      </w:r>
      <w:r w:rsidRPr="00EB2BD8">
        <w:rPr>
          <w:rFonts w:ascii="Arial" w:hAnsi="Arial"/>
          <w:w w:val="105"/>
          <w:sz w:val="16"/>
        </w:rPr>
        <w:t>obtains ownership of the underlying leased asset or if the cost of the right-of-use asset reflects that the entity will exercise a purchase option, the entity depreciates the right-of-use asset over its useful life.</w:t>
      </w:r>
    </w:p>
    <w:p w14:paraId="17EDADBC" w14:textId="77777777" w:rsidR="00084F36" w:rsidRPr="00EB2BD8" w:rsidRDefault="00084F36">
      <w:pPr>
        <w:pStyle w:val="BodyText"/>
        <w:spacing w:before="5"/>
        <w:rPr>
          <w:rFonts w:ascii="Arial"/>
          <w:sz w:val="14"/>
        </w:rPr>
      </w:pPr>
    </w:p>
    <w:p w14:paraId="142ECAD5" w14:textId="77777777" w:rsidR="00084F36" w:rsidRPr="00EB2BD8" w:rsidRDefault="00EB2BD8">
      <w:pPr>
        <w:spacing w:line="290" w:lineRule="auto"/>
        <w:ind w:left="1060" w:right="1672"/>
        <w:rPr>
          <w:rFonts w:ascii="Arial"/>
          <w:sz w:val="16"/>
        </w:rPr>
      </w:pPr>
      <w:r w:rsidRPr="00EB2BD8">
        <w:rPr>
          <w:rFonts w:ascii="Arial"/>
          <w:b/>
          <w:w w:val="105"/>
          <w:sz w:val="16"/>
        </w:rPr>
        <w:t>Indefinite</w:t>
      </w:r>
      <w:r w:rsidRPr="00EB2BD8">
        <w:rPr>
          <w:rFonts w:ascii="Arial"/>
          <w:b/>
          <w:spacing w:val="-2"/>
          <w:w w:val="105"/>
          <w:sz w:val="16"/>
        </w:rPr>
        <w:t xml:space="preserve"> </w:t>
      </w:r>
      <w:r w:rsidRPr="00EB2BD8">
        <w:rPr>
          <w:rFonts w:ascii="Arial"/>
          <w:b/>
          <w:w w:val="105"/>
          <w:sz w:val="16"/>
        </w:rPr>
        <w:t>life</w:t>
      </w:r>
      <w:r w:rsidRPr="00EB2BD8">
        <w:rPr>
          <w:rFonts w:ascii="Arial"/>
          <w:b/>
          <w:spacing w:val="-4"/>
          <w:w w:val="105"/>
          <w:sz w:val="16"/>
        </w:rPr>
        <w:t xml:space="preserve"> </w:t>
      </w:r>
      <w:r w:rsidRPr="00EB2BD8">
        <w:rPr>
          <w:rFonts w:ascii="Arial"/>
          <w:b/>
          <w:w w:val="105"/>
          <w:sz w:val="16"/>
        </w:rPr>
        <w:t>assets:</w:t>
      </w:r>
      <w:r w:rsidRPr="00EB2BD8">
        <w:rPr>
          <w:rFonts w:ascii="Arial"/>
          <w:b/>
          <w:spacing w:val="-2"/>
          <w:w w:val="105"/>
          <w:sz w:val="16"/>
        </w:rPr>
        <w:t xml:space="preserve"> </w:t>
      </w:r>
      <w:r w:rsidRPr="00EB2BD8">
        <w:rPr>
          <w:rFonts w:ascii="Arial"/>
          <w:w w:val="105"/>
          <w:sz w:val="16"/>
        </w:rPr>
        <w:t>Land</w:t>
      </w:r>
      <w:r w:rsidRPr="00EB2BD8">
        <w:rPr>
          <w:rFonts w:ascii="Arial"/>
          <w:spacing w:val="-2"/>
          <w:w w:val="105"/>
          <w:sz w:val="16"/>
        </w:rPr>
        <w:t xml:space="preserve"> </w:t>
      </w:r>
      <w:r w:rsidRPr="00EB2BD8">
        <w:rPr>
          <w:rFonts w:ascii="Arial"/>
          <w:w w:val="105"/>
          <w:sz w:val="16"/>
        </w:rPr>
        <w:t>that</w:t>
      </w:r>
      <w:r w:rsidRPr="00EB2BD8">
        <w:rPr>
          <w:rFonts w:ascii="Arial"/>
          <w:spacing w:val="-2"/>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considered</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have</w:t>
      </w:r>
      <w:r w:rsidRPr="00EB2BD8">
        <w:rPr>
          <w:rFonts w:ascii="Arial"/>
          <w:spacing w:val="-2"/>
          <w:w w:val="105"/>
          <w:sz w:val="16"/>
        </w:rPr>
        <w:t xml:space="preserve"> </w:t>
      </w:r>
      <w:r w:rsidRPr="00EB2BD8">
        <w:rPr>
          <w:rFonts w:ascii="Arial"/>
          <w:w w:val="105"/>
          <w:sz w:val="16"/>
        </w:rPr>
        <w:t>an</w:t>
      </w:r>
      <w:r w:rsidRPr="00EB2BD8">
        <w:rPr>
          <w:rFonts w:ascii="Arial"/>
          <w:spacing w:val="-2"/>
          <w:w w:val="105"/>
          <w:sz w:val="16"/>
        </w:rPr>
        <w:t xml:space="preserve"> </w:t>
      </w:r>
      <w:r w:rsidRPr="00EB2BD8">
        <w:rPr>
          <w:rFonts w:ascii="Arial"/>
          <w:w w:val="105"/>
          <w:sz w:val="16"/>
        </w:rPr>
        <w:t>indefinite</w:t>
      </w:r>
      <w:r w:rsidRPr="00EB2BD8">
        <w:rPr>
          <w:rFonts w:ascii="Arial"/>
          <w:spacing w:val="-2"/>
          <w:w w:val="105"/>
          <w:sz w:val="16"/>
        </w:rPr>
        <w:t xml:space="preserve"> </w:t>
      </w:r>
      <w:r w:rsidRPr="00EB2BD8">
        <w:rPr>
          <w:rFonts w:ascii="Arial"/>
          <w:w w:val="105"/>
          <w:sz w:val="16"/>
        </w:rPr>
        <w:t>life</w:t>
      </w:r>
      <w:r w:rsidRPr="00EB2BD8">
        <w:rPr>
          <w:rFonts w:ascii="Arial"/>
          <w:spacing w:val="-2"/>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not</w:t>
      </w:r>
      <w:r w:rsidRPr="00EB2BD8">
        <w:rPr>
          <w:rFonts w:ascii="Arial"/>
          <w:spacing w:val="-2"/>
          <w:w w:val="105"/>
          <w:sz w:val="16"/>
        </w:rPr>
        <w:t xml:space="preserve"> </w:t>
      </w:r>
      <w:r w:rsidRPr="00EB2BD8">
        <w:rPr>
          <w:rFonts w:ascii="Arial"/>
          <w:w w:val="105"/>
          <w:sz w:val="16"/>
        </w:rPr>
        <w:t>depreciated.</w:t>
      </w:r>
      <w:r w:rsidRPr="00EB2BD8">
        <w:rPr>
          <w:rFonts w:ascii="Arial"/>
          <w:spacing w:val="-2"/>
          <w:w w:val="105"/>
          <w:sz w:val="16"/>
        </w:rPr>
        <w:t xml:space="preserve"> </w:t>
      </w:r>
      <w:r w:rsidRPr="00EB2BD8">
        <w:rPr>
          <w:rFonts w:ascii="Arial"/>
          <w:w w:val="105"/>
          <w:sz w:val="16"/>
        </w:rPr>
        <w:t>Depreciation</w:t>
      </w:r>
      <w:r w:rsidRPr="00EB2BD8">
        <w:rPr>
          <w:rFonts w:ascii="Arial"/>
          <w:spacing w:val="-1"/>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not</w:t>
      </w:r>
      <w:r w:rsidRPr="00EB2BD8">
        <w:rPr>
          <w:rFonts w:ascii="Arial"/>
          <w:spacing w:val="-2"/>
          <w:w w:val="105"/>
          <w:sz w:val="16"/>
        </w:rPr>
        <w:t xml:space="preserve"> </w:t>
      </w:r>
      <w:r w:rsidRPr="00EB2BD8">
        <w:rPr>
          <w:rFonts w:ascii="Arial"/>
          <w:w w:val="105"/>
          <w:sz w:val="16"/>
        </w:rPr>
        <w:t>recognised</w:t>
      </w:r>
      <w:r w:rsidRPr="00EB2BD8">
        <w:rPr>
          <w:rFonts w:ascii="Arial"/>
          <w:spacing w:val="-2"/>
          <w:w w:val="105"/>
          <w:sz w:val="16"/>
        </w:rPr>
        <w:t xml:space="preserve"> </w:t>
      </w:r>
      <w:r w:rsidRPr="00EB2BD8">
        <w:rPr>
          <w:rFonts w:ascii="Arial"/>
          <w:w w:val="105"/>
          <w:sz w:val="16"/>
        </w:rPr>
        <w:t xml:space="preserve">in respect of these assets because their service potential has not, in any material sense, been consumed during the reporting </w:t>
      </w:r>
      <w:r w:rsidRPr="00EB2BD8">
        <w:rPr>
          <w:rFonts w:ascii="Arial"/>
          <w:spacing w:val="-2"/>
          <w:w w:val="105"/>
          <w:sz w:val="16"/>
        </w:rPr>
        <w:t>period.</w:t>
      </w:r>
    </w:p>
    <w:p w14:paraId="6228166F" w14:textId="77777777" w:rsidR="00084F36" w:rsidRPr="00EB2BD8" w:rsidRDefault="00084F36">
      <w:pPr>
        <w:pStyle w:val="BodyText"/>
        <w:spacing w:before="5"/>
        <w:rPr>
          <w:rFonts w:ascii="Arial"/>
          <w:sz w:val="14"/>
        </w:rPr>
      </w:pPr>
    </w:p>
    <w:p w14:paraId="36F17DFC" w14:textId="77777777" w:rsidR="00084F36" w:rsidRPr="00EB2BD8" w:rsidRDefault="00EB2BD8">
      <w:pPr>
        <w:spacing w:line="290" w:lineRule="auto"/>
        <w:ind w:left="1060" w:right="1800"/>
        <w:rPr>
          <w:rFonts w:ascii="Arial"/>
          <w:sz w:val="16"/>
        </w:rPr>
      </w:pPr>
      <w:r w:rsidRPr="00EB2BD8">
        <w:rPr>
          <w:rFonts w:ascii="Arial"/>
          <w:b/>
          <w:w w:val="105"/>
          <w:sz w:val="16"/>
        </w:rPr>
        <w:t>Impairment</w:t>
      </w:r>
      <w:r w:rsidRPr="00EB2BD8">
        <w:rPr>
          <w:rFonts w:ascii="Arial"/>
          <w:b/>
          <w:spacing w:val="-1"/>
          <w:w w:val="105"/>
          <w:sz w:val="16"/>
        </w:rPr>
        <w:t xml:space="preserve"> </w:t>
      </w:r>
      <w:r w:rsidRPr="00EB2BD8">
        <w:rPr>
          <w:rFonts w:ascii="Arial"/>
          <w:b/>
          <w:w w:val="105"/>
          <w:sz w:val="16"/>
        </w:rPr>
        <w:t>of</w:t>
      </w:r>
      <w:r w:rsidRPr="00EB2BD8">
        <w:rPr>
          <w:rFonts w:ascii="Arial"/>
          <w:b/>
          <w:spacing w:val="-1"/>
          <w:w w:val="105"/>
          <w:sz w:val="16"/>
        </w:rPr>
        <w:t xml:space="preserve"> </w:t>
      </w:r>
      <w:r w:rsidRPr="00EB2BD8">
        <w:rPr>
          <w:rFonts w:ascii="Arial"/>
          <w:b/>
          <w:w w:val="105"/>
          <w:sz w:val="16"/>
        </w:rPr>
        <w:t>property,</w:t>
      </w:r>
      <w:r w:rsidRPr="00EB2BD8">
        <w:rPr>
          <w:rFonts w:ascii="Arial"/>
          <w:b/>
          <w:spacing w:val="-1"/>
          <w:w w:val="105"/>
          <w:sz w:val="16"/>
        </w:rPr>
        <w:t xml:space="preserve"> </w:t>
      </w:r>
      <w:r w:rsidRPr="00EB2BD8">
        <w:rPr>
          <w:rFonts w:ascii="Arial"/>
          <w:b/>
          <w:w w:val="105"/>
          <w:sz w:val="16"/>
        </w:rPr>
        <w:t>plant</w:t>
      </w:r>
      <w:r w:rsidRPr="00EB2BD8">
        <w:rPr>
          <w:rFonts w:ascii="Arial"/>
          <w:b/>
          <w:spacing w:val="-1"/>
          <w:w w:val="105"/>
          <w:sz w:val="16"/>
        </w:rPr>
        <w:t xml:space="preserve"> </w:t>
      </w:r>
      <w:r w:rsidRPr="00EB2BD8">
        <w:rPr>
          <w:rFonts w:ascii="Arial"/>
          <w:b/>
          <w:w w:val="105"/>
          <w:sz w:val="16"/>
        </w:rPr>
        <w:t>and</w:t>
      </w:r>
      <w:r w:rsidRPr="00EB2BD8">
        <w:rPr>
          <w:rFonts w:ascii="Arial"/>
          <w:b/>
          <w:spacing w:val="-1"/>
          <w:w w:val="105"/>
          <w:sz w:val="16"/>
        </w:rPr>
        <w:t xml:space="preserve"> </w:t>
      </w:r>
      <w:r w:rsidRPr="00EB2BD8">
        <w:rPr>
          <w:rFonts w:ascii="Arial"/>
          <w:b/>
          <w:w w:val="105"/>
          <w:sz w:val="16"/>
        </w:rPr>
        <w:t xml:space="preserve">equipment: </w:t>
      </w:r>
      <w:r w:rsidRPr="00EB2BD8">
        <w:rPr>
          <w:rFonts w:ascii="Arial"/>
          <w:w w:val="105"/>
          <w:sz w:val="16"/>
        </w:rPr>
        <w:t>The</w:t>
      </w:r>
      <w:r w:rsidRPr="00EB2BD8">
        <w:rPr>
          <w:rFonts w:ascii="Arial"/>
          <w:spacing w:val="-1"/>
          <w:w w:val="105"/>
          <w:sz w:val="16"/>
        </w:rPr>
        <w:t xml:space="preserve"> </w:t>
      </w:r>
      <w:r w:rsidRPr="00EB2BD8">
        <w:rPr>
          <w:rFonts w:ascii="Arial"/>
          <w:w w:val="105"/>
          <w:sz w:val="16"/>
        </w:rPr>
        <w:t>recoverable</w:t>
      </w:r>
      <w:r w:rsidRPr="00EB2BD8">
        <w:rPr>
          <w:rFonts w:ascii="Arial"/>
          <w:spacing w:val="-1"/>
          <w:w w:val="105"/>
          <w:sz w:val="16"/>
        </w:rPr>
        <w:t xml:space="preserve"> </w:t>
      </w:r>
      <w:r w:rsidRPr="00EB2BD8">
        <w:rPr>
          <w:rFonts w:ascii="Arial"/>
          <w:w w:val="105"/>
          <w:sz w:val="16"/>
        </w:rPr>
        <w:t>amount</w:t>
      </w:r>
      <w:r w:rsidRPr="00EB2BD8">
        <w:rPr>
          <w:rFonts w:ascii="Arial"/>
          <w:spacing w:val="-1"/>
          <w:w w:val="105"/>
          <w:sz w:val="16"/>
        </w:rPr>
        <w:t xml:space="preserve"> </w:t>
      </w:r>
      <w:r w:rsidRPr="00EB2BD8">
        <w:rPr>
          <w:rFonts w:ascii="Arial"/>
          <w:w w:val="105"/>
          <w:sz w:val="16"/>
        </w:rPr>
        <w:t>of</w:t>
      </w:r>
      <w:r w:rsidRPr="00EB2BD8">
        <w:rPr>
          <w:rFonts w:ascii="Arial"/>
          <w:spacing w:val="-1"/>
          <w:w w:val="105"/>
          <w:sz w:val="16"/>
        </w:rPr>
        <w:t xml:space="preserve"> </w:t>
      </w:r>
      <w:r w:rsidRPr="00EB2BD8">
        <w:rPr>
          <w:rFonts w:ascii="Arial"/>
          <w:w w:val="105"/>
          <w:sz w:val="16"/>
        </w:rPr>
        <w:t>primarily non-cash-generating</w:t>
      </w:r>
      <w:r w:rsidRPr="00EB2BD8">
        <w:rPr>
          <w:rFonts w:ascii="Arial"/>
          <w:spacing w:val="-1"/>
          <w:w w:val="105"/>
          <w:sz w:val="16"/>
        </w:rPr>
        <w:t xml:space="preserve"> </w:t>
      </w:r>
      <w:r w:rsidRPr="00EB2BD8">
        <w:rPr>
          <w:rFonts w:ascii="Arial"/>
          <w:w w:val="105"/>
          <w:sz w:val="16"/>
        </w:rPr>
        <w:t>assets</w:t>
      </w:r>
      <w:r w:rsidRPr="00EB2BD8">
        <w:rPr>
          <w:rFonts w:ascii="Arial"/>
          <w:spacing w:val="-1"/>
          <w:w w:val="105"/>
          <w:sz w:val="16"/>
        </w:rPr>
        <w:t xml:space="preserve"> </w:t>
      </w:r>
      <w:r w:rsidRPr="00EB2BD8">
        <w:rPr>
          <w:rFonts w:ascii="Arial"/>
          <w:w w:val="105"/>
          <w:sz w:val="16"/>
        </w:rPr>
        <w:t>of</w:t>
      </w:r>
      <w:r w:rsidRPr="00EB2BD8">
        <w:rPr>
          <w:rFonts w:ascii="Arial"/>
          <w:spacing w:val="-1"/>
          <w:w w:val="105"/>
          <w:sz w:val="16"/>
        </w:rPr>
        <w:t xml:space="preserve"> </w:t>
      </w:r>
      <w:r w:rsidRPr="00EB2BD8">
        <w:rPr>
          <w:rFonts w:ascii="Arial"/>
          <w:w w:val="105"/>
          <w:sz w:val="16"/>
        </w:rPr>
        <w:t>not- for-profit</w:t>
      </w:r>
      <w:r w:rsidRPr="00EB2BD8">
        <w:rPr>
          <w:rFonts w:ascii="Arial"/>
          <w:spacing w:val="-3"/>
          <w:w w:val="105"/>
          <w:sz w:val="16"/>
        </w:rPr>
        <w:t xml:space="preserve"> </w:t>
      </w:r>
      <w:r w:rsidRPr="00EB2BD8">
        <w:rPr>
          <w:rFonts w:ascii="Arial"/>
          <w:w w:val="105"/>
          <w:sz w:val="16"/>
        </w:rPr>
        <w:t>entities,</w:t>
      </w:r>
      <w:r w:rsidRPr="00EB2BD8">
        <w:rPr>
          <w:rFonts w:ascii="Arial"/>
          <w:spacing w:val="-3"/>
          <w:w w:val="105"/>
          <w:sz w:val="16"/>
        </w:rPr>
        <w:t xml:space="preserve"> </w:t>
      </w:r>
      <w:r w:rsidRPr="00EB2BD8">
        <w:rPr>
          <w:rFonts w:ascii="Arial"/>
          <w:w w:val="105"/>
          <w:sz w:val="16"/>
        </w:rPr>
        <w:t>which</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typically</w:t>
      </w:r>
      <w:r w:rsidRPr="00EB2BD8">
        <w:rPr>
          <w:rFonts w:ascii="Arial"/>
          <w:spacing w:val="-3"/>
          <w:w w:val="105"/>
          <w:sz w:val="16"/>
        </w:rPr>
        <w:t xml:space="preserve"> </w:t>
      </w:r>
      <w:r w:rsidRPr="00EB2BD8">
        <w:rPr>
          <w:rFonts w:ascii="Arial"/>
          <w:w w:val="105"/>
          <w:sz w:val="16"/>
        </w:rPr>
        <w:t>specialised</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nature</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held</w:t>
      </w:r>
      <w:r w:rsidRPr="00EB2BD8">
        <w:rPr>
          <w:rFonts w:ascii="Arial"/>
          <w:spacing w:val="-3"/>
          <w:w w:val="105"/>
          <w:sz w:val="16"/>
        </w:rPr>
        <w:t xml:space="preserve"> </w:t>
      </w:r>
      <w:r w:rsidRPr="00EB2BD8">
        <w:rPr>
          <w:rFonts w:ascii="Arial"/>
          <w:w w:val="105"/>
          <w:sz w:val="16"/>
        </w:rPr>
        <w:t>for</w:t>
      </w:r>
      <w:r w:rsidRPr="00EB2BD8">
        <w:rPr>
          <w:rFonts w:ascii="Arial"/>
          <w:spacing w:val="-3"/>
          <w:w w:val="105"/>
          <w:sz w:val="16"/>
        </w:rPr>
        <w:t xml:space="preserve"> </w:t>
      </w:r>
      <w:r w:rsidRPr="00EB2BD8">
        <w:rPr>
          <w:rFonts w:ascii="Arial"/>
          <w:w w:val="105"/>
          <w:sz w:val="16"/>
        </w:rPr>
        <w:t>continuing</w:t>
      </w:r>
      <w:r w:rsidRPr="00EB2BD8">
        <w:rPr>
          <w:rFonts w:ascii="Arial"/>
          <w:spacing w:val="-3"/>
          <w:w w:val="105"/>
          <w:sz w:val="16"/>
        </w:rPr>
        <w:t xml:space="preserve"> </w:t>
      </w:r>
      <w:r w:rsidRPr="00EB2BD8">
        <w:rPr>
          <w:rFonts w:ascii="Arial"/>
          <w:w w:val="105"/>
          <w:sz w:val="16"/>
        </w:rPr>
        <w:t>use</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their</w:t>
      </w:r>
      <w:r w:rsidRPr="00EB2BD8">
        <w:rPr>
          <w:rFonts w:ascii="Arial"/>
          <w:spacing w:val="-3"/>
          <w:w w:val="105"/>
          <w:sz w:val="16"/>
        </w:rPr>
        <w:t xml:space="preserve"> </w:t>
      </w:r>
      <w:r w:rsidRPr="00EB2BD8">
        <w:rPr>
          <w:rFonts w:ascii="Arial"/>
          <w:w w:val="105"/>
          <w:sz w:val="16"/>
        </w:rPr>
        <w:t>service</w:t>
      </w:r>
      <w:r w:rsidRPr="00EB2BD8">
        <w:rPr>
          <w:rFonts w:ascii="Arial"/>
          <w:spacing w:val="-3"/>
          <w:w w:val="105"/>
          <w:sz w:val="16"/>
        </w:rPr>
        <w:t xml:space="preserve"> </w:t>
      </w:r>
      <w:r w:rsidRPr="00EB2BD8">
        <w:rPr>
          <w:rFonts w:ascii="Arial"/>
          <w:w w:val="105"/>
          <w:sz w:val="16"/>
        </w:rPr>
        <w:t>capacity,</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expected to be materially the same as fair value determined under AASB13 Fair Value Measurement, with the consequence that AASB136 Impairment of Assets does not apply to such assets that are regularly revalued.</w:t>
      </w:r>
    </w:p>
    <w:p w14:paraId="697B0855" w14:textId="77777777" w:rsidR="00084F36" w:rsidRPr="00EB2BD8" w:rsidRDefault="00084F36">
      <w:pPr>
        <w:pStyle w:val="BodyText"/>
        <w:spacing w:before="6"/>
        <w:rPr>
          <w:rFonts w:ascii="Arial"/>
          <w:sz w:val="14"/>
        </w:rPr>
      </w:pPr>
    </w:p>
    <w:p w14:paraId="2FFB9247" w14:textId="77777777" w:rsidR="00084F36" w:rsidRPr="00EB2BD8" w:rsidRDefault="00EB2BD8">
      <w:pPr>
        <w:spacing w:line="290" w:lineRule="auto"/>
        <w:ind w:left="1060" w:right="1672"/>
        <w:rPr>
          <w:rFonts w:ascii="Arial" w:hAnsi="Arial"/>
          <w:sz w:val="16"/>
        </w:rPr>
      </w:pPr>
      <w:r w:rsidRPr="00EB2BD8">
        <w:rPr>
          <w:rFonts w:ascii="Arial" w:hAnsi="Arial"/>
          <w:w w:val="105"/>
          <w:sz w:val="16"/>
        </w:rPr>
        <w:t>The assets concerned are tested as to whether their carrying value exceeds their recoverable amount. Where an asset’s carrying</w:t>
      </w:r>
      <w:r w:rsidRPr="00EB2BD8">
        <w:rPr>
          <w:rFonts w:ascii="Arial" w:hAnsi="Arial"/>
          <w:spacing w:val="-3"/>
          <w:w w:val="105"/>
          <w:sz w:val="16"/>
        </w:rPr>
        <w:t xml:space="preserve"> </w:t>
      </w:r>
      <w:r w:rsidRPr="00EB2BD8">
        <w:rPr>
          <w:rFonts w:ascii="Arial" w:hAnsi="Arial"/>
          <w:w w:val="105"/>
          <w:sz w:val="16"/>
        </w:rPr>
        <w:t>value</w:t>
      </w:r>
      <w:r w:rsidRPr="00EB2BD8">
        <w:rPr>
          <w:rFonts w:ascii="Arial" w:hAnsi="Arial"/>
          <w:spacing w:val="-3"/>
          <w:w w:val="105"/>
          <w:sz w:val="16"/>
        </w:rPr>
        <w:t xml:space="preserve"> </w:t>
      </w:r>
      <w:r w:rsidRPr="00EB2BD8">
        <w:rPr>
          <w:rFonts w:ascii="Arial" w:hAnsi="Arial"/>
          <w:w w:val="105"/>
          <w:sz w:val="16"/>
        </w:rPr>
        <w:t>exceeds</w:t>
      </w:r>
      <w:r w:rsidRPr="00EB2BD8">
        <w:rPr>
          <w:rFonts w:ascii="Arial" w:hAnsi="Arial"/>
          <w:spacing w:val="-3"/>
          <w:w w:val="105"/>
          <w:sz w:val="16"/>
        </w:rPr>
        <w:t xml:space="preserve"> </w:t>
      </w:r>
      <w:r w:rsidRPr="00EB2BD8">
        <w:rPr>
          <w:rFonts w:ascii="Arial" w:hAnsi="Arial"/>
          <w:w w:val="105"/>
          <w:sz w:val="16"/>
        </w:rPr>
        <w:t>its</w:t>
      </w:r>
      <w:r w:rsidRPr="00EB2BD8">
        <w:rPr>
          <w:rFonts w:ascii="Arial" w:hAnsi="Arial"/>
          <w:spacing w:val="-3"/>
          <w:w w:val="105"/>
          <w:sz w:val="16"/>
        </w:rPr>
        <w:t xml:space="preserve"> </w:t>
      </w:r>
      <w:r w:rsidRPr="00EB2BD8">
        <w:rPr>
          <w:rFonts w:ascii="Arial" w:hAnsi="Arial"/>
          <w:w w:val="105"/>
          <w:sz w:val="16"/>
        </w:rPr>
        <w:t>recoverable</w:t>
      </w:r>
      <w:r w:rsidRPr="00EB2BD8">
        <w:rPr>
          <w:rFonts w:ascii="Arial" w:hAnsi="Arial"/>
          <w:spacing w:val="-3"/>
          <w:w w:val="105"/>
          <w:sz w:val="16"/>
        </w:rPr>
        <w:t xml:space="preserve"> </w:t>
      </w:r>
      <w:r w:rsidRPr="00EB2BD8">
        <w:rPr>
          <w:rFonts w:ascii="Arial" w:hAnsi="Arial"/>
          <w:w w:val="105"/>
          <w:sz w:val="16"/>
        </w:rPr>
        <w:t>amount,</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difference</w:t>
      </w:r>
      <w:r w:rsidRPr="00EB2BD8">
        <w:rPr>
          <w:rFonts w:ascii="Arial" w:hAnsi="Arial"/>
          <w:spacing w:val="-3"/>
          <w:w w:val="105"/>
          <w:sz w:val="16"/>
        </w:rPr>
        <w:t xml:space="preserve"> </w:t>
      </w:r>
      <w:r w:rsidRPr="00EB2BD8">
        <w:rPr>
          <w:rFonts w:ascii="Arial" w:hAnsi="Arial"/>
          <w:w w:val="105"/>
          <w:sz w:val="16"/>
        </w:rPr>
        <w:t>is</w:t>
      </w:r>
      <w:r w:rsidRPr="00EB2BD8">
        <w:rPr>
          <w:rFonts w:ascii="Arial" w:hAnsi="Arial"/>
          <w:spacing w:val="-3"/>
          <w:w w:val="105"/>
          <w:sz w:val="16"/>
        </w:rPr>
        <w:t xml:space="preserve"> </w:t>
      </w:r>
      <w:r w:rsidRPr="00EB2BD8">
        <w:rPr>
          <w:rFonts w:ascii="Arial" w:hAnsi="Arial"/>
          <w:w w:val="105"/>
          <w:sz w:val="16"/>
        </w:rPr>
        <w:t>written</w:t>
      </w:r>
      <w:r w:rsidRPr="00EB2BD8">
        <w:rPr>
          <w:rFonts w:ascii="Arial" w:hAnsi="Arial"/>
          <w:spacing w:val="-3"/>
          <w:w w:val="105"/>
          <w:sz w:val="16"/>
        </w:rPr>
        <w:t xml:space="preserve"> </w:t>
      </w:r>
      <w:r w:rsidRPr="00EB2BD8">
        <w:rPr>
          <w:rFonts w:ascii="Arial" w:hAnsi="Arial"/>
          <w:w w:val="105"/>
          <w:sz w:val="16"/>
        </w:rPr>
        <w:t>off</w:t>
      </w:r>
      <w:r w:rsidRPr="00EB2BD8">
        <w:rPr>
          <w:rFonts w:ascii="Arial" w:hAnsi="Arial"/>
          <w:spacing w:val="-3"/>
          <w:w w:val="105"/>
          <w:sz w:val="16"/>
        </w:rPr>
        <w:t xml:space="preserve"> </w:t>
      </w:r>
      <w:r w:rsidRPr="00EB2BD8">
        <w:rPr>
          <w:rFonts w:ascii="Arial" w:hAnsi="Arial"/>
          <w:w w:val="105"/>
          <w:sz w:val="16"/>
        </w:rPr>
        <w:t>as</w:t>
      </w:r>
      <w:r w:rsidRPr="00EB2BD8">
        <w:rPr>
          <w:rFonts w:ascii="Arial" w:hAnsi="Arial"/>
          <w:spacing w:val="-3"/>
          <w:w w:val="105"/>
          <w:sz w:val="16"/>
        </w:rPr>
        <w:t xml:space="preserve"> </w:t>
      </w:r>
      <w:r w:rsidRPr="00EB2BD8">
        <w:rPr>
          <w:rFonts w:ascii="Arial" w:hAnsi="Arial"/>
          <w:w w:val="105"/>
          <w:sz w:val="16"/>
        </w:rPr>
        <w:t>an</w:t>
      </w:r>
      <w:r w:rsidRPr="00EB2BD8">
        <w:rPr>
          <w:rFonts w:ascii="Arial" w:hAnsi="Arial"/>
          <w:spacing w:val="-3"/>
          <w:w w:val="105"/>
          <w:sz w:val="16"/>
        </w:rPr>
        <w:t xml:space="preserve"> </w:t>
      </w:r>
      <w:r w:rsidRPr="00EB2BD8">
        <w:rPr>
          <w:rFonts w:ascii="Arial" w:hAnsi="Arial"/>
          <w:w w:val="105"/>
          <w:sz w:val="16"/>
        </w:rPr>
        <w:t>‘other</w:t>
      </w:r>
      <w:r w:rsidRPr="00EB2BD8">
        <w:rPr>
          <w:rFonts w:ascii="Arial" w:hAnsi="Arial"/>
          <w:spacing w:val="-3"/>
          <w:w w:val="105"/>
          <w:sz w:val="16"/>
        </w:rPr>
        <w:t xml:space="preserve"> </w:t>
      </w:r>
      <w:r w:rsidRPr="00EB2BD8">
        <w:rPr>
          <w:rFonts w:ascii="Arial" w:hAnsi="Arial"/>
          <w:w w:val="105"/>
          <w:sz w:val="16"/>
        </w:rPr>
        <w:t>economic</w:t>
      </w:r>
      <w:r w:rsidRPr="00EB2BD8">
        <w:rPr>
          <w:rFonts w:ascii="Arial" w:hAnsi="Arial"/>
          <w:spacing w:val="-3"/>
          <w:w w:val="105"/>
          <w:sz w:val="16"/>
        </w:rPr>
        <w:t xml:space="preserve"> </w:t>
      </w:r>
      <w:r w:rsidRPr="00EB2BD8">
        <w:rPr>
          <w:rFonts w:ascii="Arial" w:hAnsi="Arial"/>
          <w:w w:val="105"/>
          <w:sz w:val="16"/>
        </w:rPr>
        <w:t>flow’,</w:t>
      </w:r>
      <w:r w:rsidRPr="00EB2BD8">
        <w:rPr>
          <w:rFonts w:ascii="Arial" w:hAnsi="Arial"/>
          <w:spacing w:val="-1"/>
          <w:w w:val="105"/>
          <w:sz w:val="16"/>
        </w:rPr>
        <w:t xml:space="preserve"> </w:t>
      </w:r>
      <w:r w:rsidRPr="00EB2BD8">
        <w:rPr>
          <w:rFonts w:ascii="Arial" w:hAnsi="Arial"/>
          <w:w w:val="105"/>
          <w:sz w:val="16"/>
        </w:rPr>
        <w:t>except</w:t>
      </w:r>
      <w:r w:rsidRPr="00EB2BD8">
        <w:rPr>
          <w:rFonts w:ascii="Arial" w:hAnsi="Arial"/>
          <w:spacing w:val="-3"/>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extent that it can be debited to an asset revaluation surplus amount applicable to that class of asset.</w:t>
      </w:r>
    </w:p>
    <w:p w14:paraId="612768C3" w14:textId="77777777" w:rsidR="00084F36" w:rsidRPr="00EB2BD8" w:rsidRDefault="00084F36">
      <w:pPr>
        <w:pStyle w:val="BodyText"/>
        <w:spacing w:before="5"/>
        <w:rPr>
          <w:rFonts w:ascii="Arial"/>
          <w:sz w:val="14"/>
        </w:rPr>
      </w:pPr>
    </w:p>
    <w:p w14:paraId="3FEAD8CE" w14:textId="77777777" w:rsidR="00084F36" w:rsidRPr="00EB2BD8" w:rsidRDefault="00EB2BD8">
      <w:pPr>
        <w:spacing w:line="290" w:lineRule="auto"/>
        <w:ind w:left="1060" w:right="1761"/>
        <w:rPr>
          <w:rFonts w:ascii="Arial" w:hAnsi="Arial"/>
          <w:sz w:val="16"/>
        </w:rPr>
      </w:pPr>
      <w:r w:rsidRPr="00EB2BD8">
        <w:rPr>
          <w:rFonts w:ascii="Arial" w:hAnsi="Arial"/>
          <w:w w:val="105"/>
          <w:sz w:val="16"/>
        </w:rPr>
        <w:t>If there is an indication that there has been a reversal in impairment, the carrying amount shall be increased to its recoverable</w:t>
      </w:r>
      <w:r w:rsidRPr="00EB2BD8">
        <w:rPr>
          <w:rFonts w:ascii="Arial" w:hAnsi="Arial"/>
          <w:spacing w:val="-3"/>
          <w:w w:val="105"/>
          <w:sz w:val="16"/>
        </w:rPr>
        <w:t xml:space="preserve"> </w:t>
      </w:r>
      <w:r w:rsidRPr="00EB2BD8">
        <w:rPr>
          <w:rFonts w:ascii="Arial" w:hAnsi="Arial"/>
          <w:w w:val="105"/>
          <w:sz w:val="16"/>
        </w:rPr>
        <w:t>amount.</w:t>
      </w:r>
      <w:r w:rsidRPr="00EB2BD8">
        <w:rPr>
          <w:rFonts w:ascii="Arial" w:hAnsi="Arial"/>
          <w:spacing w:val="-3"/>
          <w:w w:val="105"/>
          <w:sz w:val="16"/>
        </w:rPr>
        <w:t xml:space="preserve"> </w:t>
      </w:r>
      <w:r w:rsidRPr="00EB2BD8">
        <w:rPr>
          <w:rFonts w:ascii="Arial" w:hAnsi="Arial"/>
          <w:w w:val="105"/>
          <w:sz w:val="16"/>
        </w:rPr>
        <w:t>However,</w:t>
      </w:r>
      <w:r w:rsidRPr="00EB2BD8">
        <w:rPr>
          <w:rFonts w:ascii="Arial" w:hAnsi="Arial"/>
          <w:spacing w:val="-3"/>
          <w:w w:val="105"/>
          <w:sz w:val="16"/>
        </w:rPr>
        <w:t xml:space="preserve"> </w:t>
      </w:r>
      <w:r w:rsidRPr="00EB2BD8">
        <w:rPr>
          <w:rFonts w:ascii="Arial" w:hAnsi="Arial"/>
          <w:w w:val="105"/>
          <w:sz w:val="16"/>
        </w:rPr>
        <w:t>this</w:t>
      </w:r>
      <w:r w:rsidRPr="00EB2BD8">
        <w:rPr>
          <w:rFonts w:ascii="Arial" w:hAnsi="Arial"/>
          <w:spacing w:val="-3"/>
          <w:w w:val="105"/>
          <w:sz w:val="16"/>
        </w:rPr>
        <w:t xml:space="preserve"> </w:t>
      </w:r>
      <w:r w:rsidRPr="00EB2BD8">
        <w:rPr>
          <w:rFonts w:ascii="Arial" w:hAnsi="Arial"/>
          <w:w w:val="105"/>
          <w:sz w:val="16"/>
        </w:rPr>
        <w:t>reversal</w:t>
      </w:r>
      <w:r w:rsidRPr="00EB2BD8">
        <w:rPr>
          <w:rFonts w:ascii="Arial" w:hAnsi="Arial"/>
          <w:spacing w:val="-3"/>
          <w:w w:val="105"/>
          <w:sz w:val="16"/>
        </w:rPr>
        <w:t xml:space="preserve"> </w:t>
      </w:r>
      <w:r w:rsidRPr="00EB2BD8">
        <w:rPr>
          <w:rFonts w:ascii="Arial" w:hAnsi="Arial"/>
          <w:w w:val="105"/>
          <w:sz w:val="16"/>
        </w:rPr>
        <w:t>should</w:t>
      </w:r>
      <w:r w:rsidRPr="00EB2BD8">
        <w:rPr>
          <w:rFonts w:ascii="Arial" w:hAnsi="Arial"/>
          <w:spacing w:val="-3"/>
          <w:w w:val="105"/>
          <w:sz w:val="16"/>
        </w:rPr>
        <w:t xml:space="preserve"> </w:t>
      </w:r>
      <w:r w:rsidRPr="00EB2BD8">
        <w:rPr>
          <w:rFonts w:ascii="Arial" w:hAnsi="Arial"/>
          <w:w w:val="105"/>
          <w:sz w:val="16"/>
        </w:rPr>
        <w:t>not</w:t>
      </w:r>
      <w:r w:rsidRPr="00EB2BD8">
        <w:rPr>
          <w:rFonts w:ascii="Arial" w:hAnsi="Arial"/>
          <w:spacing w:val="-3"/>
          <w:w w:val="105"/>
          <w:sz w:val="16"/>
        </w:rPr>
        <w:t xml:space="preserve"> </w:t>
      </w:r>
      <w:r w:rsidRPr="00EB2BD8">
        <w:rPr>
          <w:rFonts w:ascii="Arial" w:hAnsi="Arial"/>
          <w:w w:val="105"/>
          <w:sz w:val="16"/>
        </w:rPr>
        <w:t>increase</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asset’s</w:t>
      </w:r>
      <w:r w:rsidRPr="00EB2BD8">
        <w:rPr>
          <w:rFonts w:ascii="Arial" w:hAnsi="Arial"/>
          <w:spacing w:val="-3"/>
          <w:w w:val="105"/>
          <w:sz w:val="16"/>
        </w:rPr>
        <w:t xml:space="preserve"> </w:t>
      </w:r>
      <w:r w:rsidRPr="00EB2BD8">
        <w:rPr>
          <w:rFonts w:ascii="Arial" w:hAnsi="Arial"/>
          <w:w w:val="105"/>
          <w:sz w:val="16"/>
        </w:rPr>
        <w:t>carrying</w:t>
      </w:r>
      <w:r w:rsidRPr="00EB2BD8">
        <w:rPr>
          <w:rFonts w:ascii="Arial" w:hAnsi="Arial"/>
          <w:spacing w:val="-3"/>
          <w:w w:val="105"/>
          <w:sz w:val="16"/>
        </w:rPr>
        <w:t xml:space="preserve"> </w:t>
      </w:r>
      <w:r w:rsidRPr="00EB2BD8">
        <w:rPr>
          <w:rFonts w:ascii="Arial" w:hAnsi="Arial"/>
          <w:w w:val="105"/>
          <w:sz w:val="16"/>
        </w:rPr>
        <w:t>amount</w:t>
      </w:r>
      <w:r w:rsidRPr="00EB2BD8">
        <w:rPr>
          <w:rFonts w:ascii="Arial" w:hAnsi="Arial"/>
          <w:spacing w:val="-3"/>
          <w:w w:val="105"/>
          <w:sz w:val="16"/>
        </w:rPr>
        <w:t xml:space="preserve"> </w:t>
      </w:r>
      <w:r w:rsidRPr="00EB2BD8">
        <w:rPr>
          <w:rFonts w:ascii="Arial" w:hAnsi="Arial"/>
          <w:w w:val="105"/>
          <w:sz w:val="16"/>
        </w:rPr>
        <w:t>above</w:t>
      </w:r>
      <w:r w:rsidRPr="00EB2BD8">
        <w:rPr>
          <w:rFonts w:ascii="Arial" w:hAnsi="Arial"/>
          <w:spacing w:val="-3"/>
          <w:w w:val="105"/>
          <w:sz w:val="16"/>
        </w:rPr>
        <w:t xml:space="preserve"> </w:t>
      </w:r>
      <w:r w:rsidRPr="00EB2BD8">
        <w:rPr>
          <w:rFonts w:ascii="Arial" w:hAnsi="Arial"/>
          <w:w w:val="105"/>
          <w:sz w:val="16"/>
        </w:rPr>
        <w:t>what</w:t>
      </w:r>
      <w:r w:rsidRPr="00EB2BD8">
        <w:rPr>
          <w:rFonts w:ascii="Arial" w:hAnsi="Arial"/>
          <w:spacing w:val="-3"/>
          <w:w w:val="105"/>
          <w:sz w:val="16"/>
        </w:rPr>
        <w:t xml:space="preserve"> </w:t>
      </w:r>
      <w:r w:rsidRPr="00EB2BD8">
        <w:rPr>
          <w:rFonts w:ascii="Arial" w:hAnsi="Arial"/>
          <w:w w:val="105"/>
          <w:sz w:val="16"/>
        </w:rPr>
        <w:t>would</w:t>
      </w:r>
      <w:r w:rsidRPr="00EB2BD8">
        <w:rPr>
          <w:rFonts w:ascii="Arial" w:hAnsi="Arial"/>
          <w:spacing w:val="-3"/>
          <w:w w:val="105"/>
          <w:sz w:val="16"/>
        </w:rPr>
        <w:t xml:space="preserve"> </w:t>
      </w:r>
      <w:r w:rsidRPr="00EB2BD8">
        <w:rPr>
          <w:rFonts w:ascii="Arial" w:hAnsi="Arial"/>
          <w:w w:val="105"/>
          <w:sz w:val="16"/>
        </w:rPr>
        <w:t>have</w:t>
      </w:r>
      <w:r w:rsidRPr="00EB2BD8">
        <w:rPr>
          <w:rFonts w:ascii="Arial" w:hAnsi="Arial"/>
          <w:spacing w:val="-3"/>
          <w:w w:val="105"/>
          <w:sz w:val="16"/>
        </w:rPr>
        <w:t xml:space="preserve"> </w:t>
      </w:r>
      <w:r w:rsidRPr="00EB2BD8">
        <w:rPr>
          <w:rFonts w:ascii="Arial" w:hAnsi="Arial"/>
          <w:w w:val="105"/>
          <w:sz w:val="16"/>
        </w:rPr>
        <w:t>been determined, net of depreciation or amortisation, if no impairment loss had been recognised in prior years.</w:t>
      </w:r>
    </w:p>
    <w:p w14:paraId="2F8C3A1E" w14:textId="77777777" w:rsidR="00084F36" w:rsidRPr="00EB2BD8" w:rsidRDefault="00084F36">
      <w:pPr>
        <w:pStyle w:val="BodyText"/>
        <w:spacing w:before="5"/>
        <w:rPr>
          <w:rFonts w:ascii="Arial"/>
          <w:sz w:val="14"/>
        </w:rPr>
      </w:pPr>
    </w:p>
    <w:p w14:paraId="319E5E3A" w14:textId="77777777" w:rsidR="00084F36" w:rsidRPr="00EB2BD8" w:rsidRDefault="00EB2BD8">
      <w:pPr>
        <w:spacing w:before="1" w:line="290" w:lineRule="auto"/>
        <w:ind w:left="1060" w:right="1813"/>
        <w:rPr>
          <w:rFonts w:ascii="Arial"/>
          <w:sz w:val="16"/>
        </w:rPr>
      </w:pPr>
      <w:r w:rsidRPr="00EB2BD8">
        <w:rPr>
          <w:rFonts w:ascii="Arial"/>
          <w:w w:val="105"/>
          <w:sz w:val="16"/>
        </w:rPr>
        <w:t>The recoverable amount for most assets is measured at the higher of depreciated replacement cost and fair value less costs</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sell.</w:t>
      </w:r>
      <w:r w:rsidRPr="00EB2BD8">
        <w:rPr>
          <w:rFonts w:ascii="Arial"/>
          <w:spacing w:val="-2"/>
          <w:w w:val="105"/>
          <w:sz w:val="16"/>
        </w:rPr>
        <w:t xml:space="preserve"> </w:t>
      </w:r>
      <w:r w:rsidRPr="00EB2BD8">
        <w:rPr>
          <w:rFonts w:ascii="Arial"/>
          <w:w w:val="105"/>
          <w:sz w:val="16"/>
        </w:rPr>
        <w:t>Recoverable</w:t>
      </w:r>
      <w:r w:rsidRPr="00EB2BD8">
        <w:rPr>
          <w:rFonts w:ascii="Arial"/>
          <w:spacing w:val="-2"/>
          <w:w w:val="105"/>
          <w:sz w:val="16"/>
        </w:rPr>
        <w:t xml:space="preserve"> </w:t>
      </w:r>
      <w:r w:rsidRPr="00EB2BD8">
        <w:rPr>
          <w:rFonts w:ascii="Arial"/>
          <w:w w:val="105"/>
          <w:sz w:val="16"/>
        </w:rPr>
        <w:t>amount</w:t>
      </w:r>
      <w:r w:rsidRPr="00EB2BD8">
        <w:rPr>
          <w:rFonts w:ascii="Arial"/>
          <w:spacing w:val="-2"/>
          <w:w w:val="105"/>
          <w:sz w:val="16"/>
        </w:rPr>
        <w:t xml:space="preserve"> </w:t>
      </w:r>
      <w:r w:rsidRPr="00EB2BD8">
        <w:rPr>
          <w:rFonts w:ascii="Arial"/>
          <w:w w:val="105"/>
          <w:sz w:val="16"/>
        </w:rPr>
        <w:t>for</w:t>
      </w:r>
      <w:r w:rsidRPr="00EB2BD8">
        <w:rPr>
          <w:rFonts w:ascii="Arial"/>
          <w:spacing w:val="-2"/>
          <w:w w:val="105"/>
          <w:sz w:val="16"/>
        </w:rPr>
        <w:t xml:space="preserve"> </w:t>
      </w:r>
      <w:r w:rsidRPr="00EB2BD8">
        <w:rPr>
          <w:rFonts w:ascii="Arial"/>
          <w:w w:val="105"/>
          <w:sz w:val="16"/>
        </w:rPr>
        <w:t>assets</w:t>
      </w:r>
      <w:r w:rsidRPr="00EB2BD8">
        <w:rPr>
          <w:rFonts w:ascii="Arial"/>
          <w:spacing w:val="-2"/>
          <w:w w:val="105"/>
          <w:sz w:val="16"/>
        </w:rPr>
        <w:t xml:space="preserve"> </w:t>
      </w:r>
      <w:r w:rsidRPr="00EB2BD8">
        <w:rPr>
          <w:rFonts w:ascii="Arial"/>
          <w:w w:val="105"/>
          <w:sz w:val="16"/>
        </w:rPr>
        <w:t>held</w:t>
      </w:r>
      <w:r w:rsidRPr="00EB2BD8">
        <w:rPr>
          <w:rFonts w:ascii="Arial"/>
          <w:spacing w:val="-2"/>
          <w:w w:val="105"/>
          <w:sz w:val="16"/>
        </w:rPr>
        <w:t xml:space="preserve"> </w:t>
      </w:r>
      <w:r w:rsidRPr="00EB2BD8">
        <w:rPr>
          <w:rFonts w:ascii="Arial"/>
          <w:w w:val="105"/>
          <w:sz w:val="16"/>
        </w:rPr>
        <w:t>primarily</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generate</w:t>
      </w:r>
      <w:r w:rsidRPr="00EB2BD8">
        <w:rPr>
          <w:rFonts w:ascii="Arial"/>
          <w:spacing w:val="-2"/>
          <w:w w:val="105"/>
          <w:sz w:val="16"/>
        </w:rPr>
        <w:t xml:space="preserve"> </w:t>
      </w:r>
      <w:r w:rsidRPr="00EB2BD8">
        <w:rPr>
          <w:rFonts w:ascii="Arial"/>
          <w:w w:val="105"/>
          <w:sz w:val="16"/>
        </w:rPr>
        <w:t>net</w:t>
      </w:r>
      <w:r w:rsidRPr="00EB2BD8">
        <w:rPr>
          <w:rFonts w:ascii="Arial"/>
          <w:spacing w:val="-2"/>
          <w:w w:val="105"/>
          <w:sz w:val="16"/>
        </w:rPr>
        <w:t xml:space="preserve"> </w:t>
      </w:r>
      <w:r w:rsidRPr="00EB2BD8">
        <w:rPr>
          <w:rFonts w:ascii="Arial"/>
          <w:w w:val="105"/>
          <w:sz w:val="16"/>
        </w:rPr>
        <w:t>cash</w:t>
      </w:r>
      <w:r w:rsidRPr="00EB2BD8">
        <w:rPr>
          <w:rFonts w:ascii="Arial"/>
          <w:spacing w:val="-2"/>
          <w:w w:val="105"/>
          <w:sz w:val="16"/>
        </w:rPr>
        <w:t xml:space="preserve"> </w:t>
      </w:r>
      <w:r w:rsidRPr="00EB2BD8">
        <w:rPr>
          <w:rFonts w:ascii="Arial"/>
          <w:w w:val="105"/>
          <w:sz w:val="16"/>
        </w:rPr>
        <w:t>inflows</w:t>
      </w:r>
      <w:r w:rsidRPr="00EB2BD8">
        <w:rPr>
          <w:rFonts w:ascii="Arial"/>
          <w:spacing w:val="-2"/>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measured</w:t>
      </w:r>
      <w:r w:rsidRPr="00EB2BD8">
        <w:rPr>
          <w:rFonts w:ascii="Arial"/>
          <w:spacing w:val="-2"/>
          <w:w w:val="105"/>
          <w:sz w:val="16"/>
        </w:rPr>
        <w:t xml:space="preserve"> </w:t>
      </w:r>
      <w:r w:rsidRPr="00EB2BD8">
        <w:rPr>
          <w:rFonts w:ascii="Arial"/>
          <w:w w:val="105"/>
          <w:sz w:val="16"/>
        </w:rPr>
        <w:t>at</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higher</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the present value of future cash flows expected to be obtained from the asset and fair value less costs to sell.</w:t>
      </w:r>
    </w:p>
    <w:p w14:paraId="23919BEE" w14:textId="77777777" w:rsidR="00084F36" w:rsidRPr="00EB2BD8" w:rsidRDefault="00084F36">
      <w:pPr>
        <w:pStyle w:val="BodyText"/>
        <w:rPr>
          <w:rFonts w:ascii="Arial"/>
          <w:sz w:val="20"/>
        </w:rPr>
      </w:pPr>
    </w:p>
    <w:p w14:paraId="2417D088" w14:textId="77777777" w:rsidR="00084F36" w:rsidRPr="00EB2BD8" w:rsidRDefault="00084F36">
      <w:pPr>
        <w:pStyle w:val="BodyText"/>
        <w:rPr>
          <w:rFonts w:ascii="Arial"/>
          <w:sz w:val="20"/>
        </w:rPr>
      </w:pPr>
    </w:p>
    <w:p w14:paraId="40A7A76E" w14:textId="77777777" w:rsidR="00084F36" w:rsidRPr="00EB2BD8" w:rsidRDefault="00084F36">
      <w:pPr>
        <w:pStyle w:val="BodyText"/>
        <w:spacing w:before="5"/>
        <w:rPr>
          <w:rFonts w:ascii="Arial"/>
          <w:sz w:val="20"/>
        </w:rPr>
      </w:pPr>
    </w:p>
    <w:p w14:paraId="7227EC99" w14:textId="77777777" w:rsidR="00084F36" w:rsidRPr="00EB2BD8" w:rsidRDefault="00084F36">
      <w:pPr>
        <w:jc w:val="right"/>
        <w:rPr>
          <w:sz w:val="16"/>
        </w:rPr>
        <w:sectPr w:rsidR="00084F36" w:rsidRPr="00EB2BD8" w:rsidSect="006D75B2">
          <w:headerReference w:type="default" r:id="rId302"/>
          <w:footerReference w:type="default" r:id="rId303"/>
          <w:pgSz w:w="11910" w:h="16840"/>
          <w:pgMar w:top="760" w:right="0" w:bottom="280" w:left="0" w:header="0" w:footer="0" w:gutter="0"/>
          <w:cols w:space="720"/>
        </w:sectPr>
      </w:pPr>
    </w:p>
    <w:p w14:paraId="7B2853B2" w14:textId="77777777" w:rsidR="00084F36" w:rsidRPr="00EB2BD8" w:rsidRDefault="00084F36">
      <w:pPr>
        <w:pStyle w:val="BodyText"/>
        <w:rPr>
          <w:sz w:val="20"/>
        </w:rPr>
      </w:pPr>
    </w:p>
    <w:p w14:paraId="551FBED0" w14:textId="77777777" w:rsidR="00084F36" w:rsidRPr="00EB2BD8" w:rsidRDefault="00084F36">
      <w:pPr>
        <w:pStyle w:val="BodyText"/>
        <w:rPr>
          <w:sz w:val="20"/>
        </w:rPr>
      </w:pPr>
    </w:p>
    <w:p w14:paraId="3DE80D33" w14:textId="77777777" w:rsidR="00084F36" w:rsidRPr="00EB2BD8" w:rsidRDefault="00084F36">
      <w:pPr>
        <w:pStyle w:val="BodyText"/>
        <w:rPr>
          <w:sz w:val="20"/>
        </w:rPr>
      </w:pPr>
    </w:p>
    <w:p w14:paraId="0A4F3CFD" w14:textId="77777777" w:rsidR="00084F36" w:rsidRPr="00EB2BD8" w:rsidRDefault="00084F36">
      <w:pPr>
        <w:pStyle w:val="BodyText"/>
        <w:rPr>
          <w:sz w:val="20"/>
        </w:rPr>
      </w:pPr>
    </w:p>
    <w:p w14:paraId="1CE37920" w14:textId="77777777" w:rsidR="00084F36" w:rsidRPr="00EB2BD8" w:rsidRDefault="00084F36">
      <w:pPr>
        <w:pStyle w:val="BodyText"/>
        <w:rPr>
          <w:sz w:val="20"/>
        </w:rPr>
      </w:pPr>
    </w:p>
    <w:p w14:paraId="5DAA717A" w14:textId="77777777" w:rsidR="00084F36" w:rsidRPr="000B7959" w:rsidRDefault="00084F36" w:rsidP="000B7959">
      <w:pPr>
        <w:pStyle w:val="Heading2"/>
      </w:pPr>
    </w:p>
    <w:p w14:paraId="6ED03FA4" w14:textId="77777777" w:rsidR="00084F36" w:rsidRPr="000B7959" w:rsidRDefault="00EB2BD8" w:rsidP="00273892">
      <w:pPr>
        <w:pStyle w:val="Heading2"/>
        <w:ind w:firstLine="200"/>
      </w:pPr>
      <w:bookmarkStart w:id="296" w:name="_Toc150762598"/>
      <w:r w:rsidRPr="000B7959">
        <w:t>Note 5. Other assets and liabilities</w:t>
      </w:r>
      <w:bookmarkEnd w:id="296"/>
    </w:p>
    <w:p w14:paraId="46266D1D" w14:textId="77777777" w:rsidR="00084F36" w:rsidRPr="00EB2BD8" w:rsidRDefault="00084F36">
      <w:pPr>
        <w:pStyle w:val="BodyText"/>
        <w:spacing w:before="6"/>
        <w:rPr>
          <w:rFonts w:ascii="Arial"/>
          <w:b/>
          <w:sz w:val="33"/>
        </w:rPr>
      </w:pPr>
    </w:p>
    <w:p w14:paraId="4B34D929" w14:textId="77777777" w:rsidR="00084F36" w:rsidRPr="00EB2BD8" w:rsidRDefault="00EB2BD8">
      <w:pPr>
        <w:ind w:left="1050"/>
        <w:rPr>
          <w:rFonts w:ascii="Arial" w:hAnsi="Arial"/>
          <w:sz w:val="16"/>
        </w:rPr>
      </w:pPr>
      <w:r w:rsidRPr="00EB2BD8">
        <w:rPr>
          <w:rFonts w:ascii="Arial" w:hAnsi="Arial"/>
          <w:w w:val="105"/>
          <w:sz w:val="16"/>
        </w:rPr>
        <w:t>This</w:t>
      </w:r>
      <w:r w:rsidRPr="00EB2BD8">
        <w:rPr>
          <w:rFonts w:ascii="Arial" w:hAnsi="Arial"/>
          <w:spacing w:val="-7"/>
          <w:w w:val="105"/>
          <w:sz w:val="16"/>
        </w:rPr>
        <w:t xml:space="preserve"> </w:t>
      </w:r>
      <w:r w:rsidRPr="00EB2BD8">
        <w:rPr>
          <w:rFonts w:ascii="Arial" w:hAnsi="Arial"/>
          <w:w w:val="105"/>
          <w:sz w:val="16"/>
        </w:rPr>
        <w:t>section</w:t>
      </w:r>
      <w:r w:rsidRPr="00EB2BD8">
        <w:rPr>
          <w:rFonts w:ascii="Arial" w:hAnsi="Arial"/>
          <w:spacing w:val="-7"/>
          <w:w w:val="105"/>
          <w:sz w:val="16"/>
        </w:rPr>
        <w:t xml:space="preserve"> </w:t>
      </w:r>
      <w:r w:rsidRPr="00EB2BD8">
        <w:rPr>
          <w:rFonts w:ascii="Arial" w:hAnsi="Arial"/>
          <w:w w:val="105"/>
          <w:sz w:val="16"/>
        </w:rPr>
        <w:t>sets</w:t>
      </w:r>
      <w:r w:rsidRPr="00EB2BD8">
        <w:rPr>
          <w:rFonts w:ascii="Arial" w:hAnsi="Arial"/>
          <w:spacing w:val="-7"/>
          <w:w w:val="105"/>
          <w:sz w:val="16"/>
        </w:rPr>
        <w:t xml:space="preserve"> </w:t>
      </w:r>
      <w:r w:rsidRPr="00EB2BD8">
        <w:rPr>
          <w:rFonts w:ascii="Arial" w:hAnsi="Arial"/>
          <w:w w:val="105"/>
          <w:sz w:val="16"/>
        </w:rPr>
        <w:t>out</w:t>
      </w:r>
      <w:r w:rsidRPr="00EB2BD8">
        <w:rPr>
          <w:rFonts w:ascii="Arial" w:hAnsi="Arial"/>
          <w:spacing w:val="-6"/>
          <w:w w:val="105"/>
          <w:sz w:val="16"/>
        </w:rPr>
        <w:t xml:space="preserve"> </w:t>
      </w:r>
      <w:r w:rsidRPr="00EB2BD8">
        <w:rPr>
          <w:rFonts w:ascii="Arial" w:hAnsi="Arial"/>
          <w:w w:val="105"/>
          <w:sz w:val="16"/>
        </w:rPr>
        <w:t>those</w:t>
      </w:r>
      <w:r w:rsidRPr="00EB2BD8">
        <w:rPr>
          <w:rFonts w:ascii="Arial" w:hAnsi="Arial"/>
          <w:spacing w:val="-8"/>
          <w:w w:val="105"/>
          <w:sz w:val="16"/>
        </w:rPr>
        <w:t xml:space="preserve"> </w:t>
      </w:r>
      <w:r w:rsidRPr="00EB2BD8">
        <w:rPr>
          <w:rFonts w:ascii="Arial" w:hAnsi="Arial"/>
          <w:w w:val="105"/>
          <w:sz w:val="16"/>
        </w:rPr>
        <w:t>assets</w:t>
      </w:r>
      <w:r w:rsidRPr="00EB2BD8">
        <w:rPr>
          <w:rFonts w:ascii="Arial" w:hAnsi="Arial"/>
          <w:spacing w:val="-6"/>
          <w:w w:val="105"/>
          <w:sz w:val="16"/>
        </w:rPr>
        <w:t xml:space="preserve"> </w:t>
      </w:r>
      <w:r w:rsidRPr="00EB2BD8">
        <w:rPr>
          <w:rFonts w:ascii="Arial" w:hAnsi="Arial"/>
          <w:w w:val="105"/>
          <w:sz w:val="16"/>
        </w:rPr>
        <w:t>and</w:t>
      </w:r>
      <w:r w:rsidRPr="00EB2BD8">
        <w:rPr>
          <w:rFonts w:ascii="Arial" w:hAnsi="Arial"/>
          <w:spacing w:val="-7"/>
          <w:w w:val="105"/>
          <w:sz w:val="16"/>
        </w:rPr>
        <w:t xml:space="preserve"> </w:t>
      </w:r>
      <w:r w:rsidRPr="00EB2BD8">
        <w:rPr>
          <w:rFonts w:ascii="Arial" w:hAnsi="Arial"/>
          <w:w w:val="105"/>
          <w:sz w:val="16"/>
        </w:rPr>
        <w:t>liabilities</w:t>
      </w:r>
      <w:r w:rsidRPr="00EB2BD8">
        <w:rPr>
          <w:rFonts w:ascii="Arial" w:hAnsi="Arial"/>
          <w:spacing w:val="-7"/>
          <w:w w:val="105"/>
          <w:sz w:val="16"/>
        </w:rPr>
        <w:t xml:space="preserve"> </w:t>
      </w:r>
      <w:r w:rsidRPr="00EB2BD8">
        <w:rPr>
          <w:rFonts w:ascii="Arial" w:hAnsi="Arial"/>
          <w:w w:val="105"/>
          <w:sz w:val="16"/>
        </w:rPr>
        <w:t>that</w:t>
      </w:r>
      <w:r w:rsidRPr="00EB2BD8">
        <w:rPr>
          <w:rFonts w:ascii="Arial" w:hAnsi="Arial"/>
          <w:spacing w:val="-6"/>
          <w:w w:val="105"/>
          <w:sz w:val="16"/>
        </w:rPr>
        <w:t xml:space="preserve"> </w:t>
      </w:r>
      <w:r w:rsidRPr="00EB2BD8">
        <w:rPr>
          <w:rFonts w:ascii="Arial" w:hAnsi="Arial"/>
          <w:w w:val="105"/>
          <w:sz w:val="16"/>
        </w:rPr>
        <w:t>arose</w:t>
      </w:r>
      <w:r w:rsidRPr="00EB2BD8">
        <w:rPr>
          <w:rFonts w:ascii="Arial" w:hAnsi="Arial"/>
          <w:spacing w:val="-8"/>
          <w:w w:val="105"/>
          <w:sz w:val="16"/>
        </w:rPr>
        <w:t xml:space="preserve"> </w:t>
      </w:r>
      <w:r w:rsidRPr="00EB2BD8">
        <w:rPr>
          <w:rFonts w:ascii="Arial" w:hAnsi="Arial"/>
          <w:w w:val="105"/>
          <w:sz w:val="16"/>
        </w:rPr>
        <w:t>from</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8"/>
          <w:w w:val="105"/>
          <w:sz w:val="16"/>
        </w:rPr>
        <w:t xml:space="preserve"> </w:t>
      </w:r>
      <w:r w:rsidRPr="00EB2BD8">
        <w:rPr>
          <w:rFonts w:ascii="Arial" w:hAnsi="Arial"/>
          <w:w w:val="105"/>
          <w:sz w:val="16"/>
        </w:rPr>
        <w:t>VBA’s</w:t>
      </w:r>
      <w:r w:rsidRPr="00EB2BD8">
        <w:rPr>
          <w:rFonts w:ascii="Arial" w:hAnsi="Arial"/>
          <w:spacing w:val="-6"/>
          <w:w w:val="105"/>
          <w:sz w:val="16"/>
        </w:rPr>
        <w:t xml:space="preserve"> </w:t>
      </w:r>
      <w:r w:rsidRPr="00EB2BD8">
        <w:rPr>
          <w:rFonts w:ascii="Arial" w:hAnsi="Arial"/>
          <w:w w:val="105"/>
          <w:sz w:val="16"/>
        </w:rPr>
        <w:t>controlled</w:t>
      </w:r>
      <w:r w:rsidRPr="00EB2BD8">
        <w:rPr>
          <w:rFonts w:ascii="Arial" w:hAnsi="Arial"/>
          <w:spacing w:val="-8"/>
          <w:w w:val="105"/>
          <w:sz w:val="16"/>
        </w:rPr>
        <w:t xml:space="preserve"> </w:t>
      </w:r>
      <w:r w:rsidRPr="00EB2BD8">
        <w:rPr>
          <w:rFonts w:ascii="Arial" w:hAnsi="Arial"/>
          <w:spacing w:val="-2"/>
          <w:w w:val="105"/>
          <w:sz w:val="16"/>
        </w:rPr>
        <w:t>operations.</w:t>
      </w:r>
    </w:p>
    <w:p w14:paraId="457BDBC0" w14:textId="77777777" w:rsidR="00084F36" w:rsidRPr="00EB2BD8" w:rsidRDefault="00084F36">
      <w:pPr>
        <w:pStyle w:val="BodyText"/>
        <w:rPr>
          <w:rFonts w:ascii="Arial"/>
        </w:rPr>
      </w:pPr>
    </w:p>
    <w:p w14:paraId="0C11D9CA" w14:textId="77777777" w:rsidR="00084F36" w:rsidRPr="00EB2BD8" w:rsidRDefault="00EB2BD8" w:rsidP="000B7959">
      <w:pPr>
        <w:pStyle w:val="Heading2"/>
        <w:ind w:left="330" w:firstLine="720"/>
      </w:pPr>
      <w:bookmarkStart w:id="297" w:name="_Toc150762599"/>
      <w:r w:rsidRPr="00EB2BD8">
        <w:t>Structure</w:t>
      </w:r>
      <w:bookmarkEnd w:id="297"/>
    </w:p>
    <w:p w14:paraId="23DCC3F8" w14:textId="77777777" w:rsidR="00084F36" w:rsidRPr="00EB2BD8" w:rsidRDefault="00EB2BD8">
      <w:pPr>
        <w:pStyle w:val="ListParagraph"/>
        <w:numPr>
          <w:ilvl w:val="1"/>
          <w:numId w:val="41"/>
        </w:numPr>
        <w:tabs>
          <w:tab w:val="left" w:pos="1577"/>
        </w:tabs>
        <w:spacing w:before="154"/>
        <w:rPr>
          <w:rFonts w:ascii="Arial"/>
          <w:sz w:val="16"/>
        </w:rPr>
      </w:pPr>
      <w:r w:rsidRPr="00EB2BD8">
        <w:rPr>
          <w:rFonts w:ascii="Arial"/>
          <w:spacing w:val="-2"/>
          <w:w w:val="105"/>
          <w:sz w:val="16"/>
        </w:rPr>
        <w:t>Receivables</w:t>
      </w:r>
    </w:p>
    <w:p w14:paraId="6756D3AA" w14:textId="77777777" w:rsidR="00084F36" w:rsidRPr="00EB2BD8" w:rsidRDefault="00EB2BD8">
      <w:pPr>
        <w:pStyle w:val="ListParagraph"/>
        <w:numPr>
          <w:ilvl w:val="1"/>
          <w:numId w:val="41"/>
        </w:numPr>
        <w:tabs>
          <w:tab w:val="left" w:pos="1577"/>
        </w:tabs>
        <w:spacing w:before="38"/>
        <w:rPr>
          <w:rFonts w:ascii="Arial"/>
          <w:sz w:val="16"/>
        </w:rPr>
      </w:pPr>
      <w:r w:rsidRPr="00EB2BD8">
        <w:rPr>
          <w:rFonts w:ascii="Arial"/>
          <w:spacing w:val="-2"/>
          <w:w w:val="105"/>
          <w:sz w:val="16"/>
        </w:rPr>
        <w:t>Payables</w:t>
      </w:r>
    </w:p>
    <w:p w14:paraId="0903010B" w14:textId="77777777" w:rsidR="00084F36" w:rsidRPr="00EB2BD8" w:rsidRDefault="00EB2BD8">
      <w:pPr>
        <w:pStyle w:val="ListParagraph"/>
        <w:numPr>
          <w:ilvl w:val="1"/>
          <w:numId w:val="41"/>
        </w:numPr>
        <w:tabs>
          <w:tab w:val="left" w:pos="1577"/>
        </w:tabs>
        <w:spacing w:before="36"/>
        <w:rPr>
          <w:rFonts w:ascii="Arial"/>
          <w:sz w:val="16"/>
        </w:rPr>
      </w:pPr>
      <w:r w:rsidRPr="00EB2BD8">
        <w:rPr>
          <w:rFonts w:ascii="Arial"/>
          <w:w w:val="105"/>
          <w:sz w:val="16"/>
        </w:rPr>
        <w:t>Contract</w:t>
      </w:r>
      <w:r w:rsidRPr="00EB2BD8">
        <w:rPr>
          <w:rFonts w:ascii="Arial"/>
          <w:spacing w:val="-11"/>
          <w:w w:val="105"/>
          <w:sz w:val="16"/>
        </w:rPr>
        <w:t xml:space="preserve"> </w:t>
      </w:r>
      <w:r w:rsidRPr="00EB2BD8">
        <w:rPr>
          <w:rFonts w:ascii="Arial"/>
          <w:spacing w:val="-2"/>
          <w:w w:val="105"/>
          <w:sz w:val="16"/>
        </w:rPr>
        <w:t>liabilities</w:t>
      </w:r>
    </w:p>
    <w:p w14:paraId="534BC622" w14:textId="77777777" w:rsidR="00084F36" w:rsidRPr="00EB2BD8" w:rsidRDefault="00EB2BD8">
      <w:pPr>
        <w:pStyle w:val="ListParagraph"/>
        <w:numPr>
          <w:ilvl w:val="1"/>
          <w:numId w:val="41"/>
        </w:numPr>
        <w:tabs>
          <w:tab w:val="left" w:pos="1577"/>
        </w:tabs>
        <w:spacing w:before="37"/>
        <w:rPr>
          <w:rFonts w:ascii="Arial"/>
          <w:sz w:val="16"/>
        </w:rPr>
      </w:pPr>
      <w:r w:rsidRPr="00EB2BD8">
        <w:rPr>
          <w:rFonts w:ascii="Arial"/>
          <w:w w:val="105"/>
          <w:sz w:val="16"/>
        </w:rPr>
        <w:t>Other</w:t>
      </w:r>
      <w:r w:rsidRPr="00EB2BD8">
        <w:rPr>
          <w:rFonts w:ascii="Arial"/>
          <w:spacing w:val="-7"/>
          <w:w w:val="105"/>
          <w:sz w:val="16"/>
        </w:rPr>
        <w:t xml:space="preserve"> </w:t>
      </w:r>
      <w:r w:rsidRPr="00EB2BD8">
        <w:rPr>
          <w:rFonts w:ascii="Arial"/>
          <w:spacing w:val="-2"/>
          <w:w w:val="105"/>
          <w:sz w:val="16"/>
        </w:rPr>
        <w:t>provisions</w:t>
      </w:r>
    </w:p>
    <w:p w14:paraId="1CFCD69A" w14:textId="77777777" w:rsidR="00084F36" w:rsidRPr="00EB2BD8" w:rsidRDefault="00EB2BD8">
      <w:pPr>
        <w:pStyle w:val="ListParagraph"/>
        <w:numPr>
          <w:ilvl w:val="1"/>
          <w:numId w:val="41"/>
        </w:numPr>
        <w:tabs>
          <w:tab w:val="left" w:pos="1577"/>
        </w:tabs>
        <w:spacing w:before="37"/>
        <w:rPr>
          <w:rFonts w:ascii="Arial"/>
          <w:sz w:val="16"/>
        </w:rPr>
      </w:pPr>
      <w:r w:rsidRPr="00EB2BD8">
        <w:rPr>
          <w:rFonts w:ascii="Arial"/>
          <w:w w:val="105"/>
          <w:sz w:val="16"/>
        </w:rPr>
        <w:t>Other</w:t>
      </w:r>
      <w:r w:rsidRPr="00EB2BD8">
        <w:rPr>
          <w:rFonts w:ascii="Arial"/>
          <w:spacing w:val="-12"/>
          <w:w w:val="105"/>
          <w:sz w:val="16"/>
        </w:rPr>
        <w:t xml:space="preserve"> </w:t>
      </w:r>
      <w:r w:rsidRPr="00EB2BD8">
        <w:rPr>
          <w:rFonts w:ascii="Arial"/>
          <w:w w:val="105"/>
          <w:sz w:val="16"/>
        </w:rPr>
        <w:t>non-financial</w:t>
      </w:r>
      <w:r w:rsidRPr="00EB2BD8">
        <w:rPr>
          <w:rFonts w:ascii="Arial"/>
          <w:spacing w:val="-10"/>
          <w:w w:val="105"/>
          <w:sz w:val="16"/>
        </w:rPr>
        <w:t xml:space="preserve"> </w:t>
      </w:r>
      <w:r w:rsidRPr="00EB2BD8">
        <w:rPr>
          <w:rFonts w:ascii="Arial"/>
          <w:spacing w:val="-2"/>
          <w:w w:val="105"/>
          <w:sz w:val="16"/>
        </w:rPr>
        <w:t>assets</w:t>
      </w:r>
    </w:p>
    <w:p w14:paraId="2AC19A07" w14:textId="77777777" w:rsidR="00084F36" w:rsidRPr="00EB2BD8" w:rsidRDefault="00EB2BD8">
      <w:pPr>
        <w:pStyle w:val="ListParagraph"/>
        <w:numPr>
          <w:ilvl w:val="1"/>
          <w:numId w:val="41"/>
        </w:numPr>
        <w:tabs>
          <w:tab w:val="left" w:pos="1577"/>
        </w:tabs>
        <w:spacing w:before="37"/>
        <w:rPr>
          <w:rFonts w:ascii="Arial"/>
          <w:sz w:val="16"/>
        </w:rPr>
      </w:pPr>
      <w:r w:rsidRPr="00EB2BD8">
        <w:rPr>
          <w:rFonts w:ascii="Arial"/>
          <w:w w:val="105"/>
          <w:sz w:val="16"/>
        </w:rPr>
        <w:t>Other</w:t>
      </w:r>
      <w:r w:rsidRPr="00EB2BD8">
        <w:rPr>
          <w:rFonts w:ascii="Arial"/>
          <w:spacing w:val="-7"/>
          <w:w w:val="105"/>
          <w:sz w:val="16"/>
        </w:rPr>
        <w:t xml:space="preserve"> </w:t>
      </w:r>
      <w:r w:rsidRPr="00EB2BD8">
        <w:rPr>
          <w:rFonts w:ascii="Arial"/>
          <w:spacing w:val="-2"/>
          <w:w w:val="105"/>
          <w:sz w:val="16"/>
        </w:rPr>
        <w:t>liabilities</w:t>
      </w:r>
    </w:p>
    <w:p w14:paraId="603ECE57" w14:textId="77777777" w:rsidR="00084F36" w:rsidRPr="00EB2BD8" w:rsidRDefault="00EB2BD8">
      <w:pPr>
        <w:pStyle w:val="ListParagraph"/>
        <w:numPr>
          <w:ilvl w:val="1"/>
          <w:numId w:val="41"/>
        </w:numPr>
        <w:tabs>
          <w:tab w:val="left" w:pos="1577"/>
        </w:tabs>
        <w:spacing w:before="37"/>
        <w:rPr>
          <w:rFonts w:ascii="Arial"/>
          <w:sz w:val="16"/>
        </w:rPr>
      </w:pPr>
      <w:r w:rsidRPr="00EB2BD8">
        <w:rPr>
          <w:rFonts w:ascii="Arial"/>
          <w:w w:val="105"/>
          <w:sz w:val="16"/>
        </w:rPr>
        <w:t>Maturity</w:t>
      </w:r>
      <w:r w:rsidRPr="00EB2BD8">
        <w:rPr>
          <w:rFonts w:ascii="Arial"/>
          <w:spacing w:val="-9"/>
          <w:w w:val="105"/>
          <w:sz w:val="16"/>
        </w:rPr>
        <w:t xml:space="preserve"> </w:t>
      </w:r>
      <w:r w:rsidRPr="00EB2BD8">
        <w:rPr>
          <w:rFonts w:ascii="Arial"/>
          <w:w w:val="105"/>
          <w:sz w:val="16"/>
        </w:rPr>
        <w:t>analysis</w:t>
      </w:r>
      <w:r w:rsidRPr="00EB2BD8">
        <w:rPr>
          <w:rFonts w:ascii="Arial"/>
          <w:spacing w:val="-8"/>
          <w:w w:val="105"/>
          <w:sz w:val="16"/>
        </w:rPr>
        <w:t xml:space="preserve"> </w:t>
      </w:r>
      <w:r w:rsidRPr="00EB2BD8">
        <w:rPr>
          <w:rFonts w:ascii="Arial"/>
          <w:w w:val="105"/>
          <w:sz w:val="16"/>
        </w:rPr>
        <w:t>of</w:t>
      </w:r>
      <w:r w:rsidRPr="00EB2BD8">
        <w:rPr>
          <w:rFonts w:ascii="Arial"/>
          <w:spacing w:val="-9"/>
          <w:w w:val="105"/>
          <w:sz w:val="16"/>
        </w:rPr>
        <w:t xml:space="preserve"> </w:t>
      </w:r>
      <w:r w:rsidRPr="00EB2BD8">
        <w:rPr>
          <w:rFonts w:ascii="Arial"/>
          <w:w w:val="105"/>
          <w:sz w:val="16"/>
        </w:rPr>
        <w:t>contractual</w:t>
      </w:r>
      <w:r w:rsidRPr="00EB2BD8">
        <w:rPr>
          <w:rFonts w:ascii="Arial"/>
          <w:spacing w:val="-9"/>
          <w:w w:val="105"/>
          <w:sz w:val="16"/>
        </w:rPr>
        <w:t xml:space="preserve"> </w:t>
      </w:r>
      <w:r w:rsidRPr="00EB2BD8">
        <w:rPr>
          <w:rFonts w:ascii="Arial"/>
          <w:w w:val="105"/>
          <w:sz w:val="16"/>
        </w:rPr>
        <w:t>financial</w:t>
      </w:r>
      <w:r w:rsidRPr="00EB2BD8">
        <w:rPr>
          <w:rFonts w:ascii="Arial"/>
          <w:spacing w:val="-9"/>
          <w:w w:val="105"/>
          <w:sz w:val="16"/>
        </w:rPr>
        <w:t xml:space="preserve"> </w:t>
      </w:r>
      <w:r w:rsidRPr="00EB2BD8">
        <w:rPr>
          <w:rFonts w:ascii="Arial"/>
          <w:w w:val="105"/>
          <w:sz w:val="16"/>
        </w:rPr>
        <w:t>liabilities</w:t>
      </w:r>
      <w:r w:rsidRPr="00EB2BD8">
        <w:rPr>
          <w:rFonts w:ascii="Arial"/>
          <w:spacing w:val="-9"/>
          <w:w w:val="105"/>
          <w:sz w:val="16"/>
        </w:rPr>
        <w:t xml:space="preserve"> </w:t>
      </w:r>
      <w:r w:rsidRPr="00EB2BD8">
        <w:rPr>
          <w:rFonts w:ascii="Arial"/>
          <w:w w:val="105"/>
          <w:sz w:val="16"/>
        </w:rPr>
        <w:t>and</w:t>
      </w:r>
      <w:r w:rsidRPr="00EB2BD8">
        <w:rPr>
          <w:rFonts w:ascii="Arial"/>
          <w:spacing w:val="-9"/>
          <w:w w:val="105"/>
          <w:sz w:val="16"/>
        </w:rPr>
        <w:t xml:space="preserve"> </w:t>
      </w:r>
      <w:r w:rsidRPr="00EB2BD8">
        <w:rPr>
          <w:rFonts w:ascii="Arial"/>
          <w:w w:val="105"/>
          <w:sz w:val="16"/>
        </w:rPr>
        <w:t>other</w:t>
      </w:r>
      <w:r w:rsidRPr="00EB2BD8">
        <w:rPr>
          <w:rFonts w:ascii="Arial"/>
          <w:spacing w:val="-8"/>
          <w:w w:val="105"/>
          <w:sz w:val="16"/>
        </w:rPr>
        <w:t xml:space="preserve"> </w:t>
      </w:r>
      <w:r w:rsidRPr="00EB2BD8">
        <w:rPr>
          <w:rFonts w:ascii="Arial"/>
          <w:spacing w:val="-2"/>
          <w:w w:val="105"/>
          <w:sz w:val="16"/>
        </w:rPr>
        <w:t>liabilities</w:t>
      </w:r>
    </w:p>
    <w:p w14:paraId="647ECA9A" w14:textId="77777777" w:rsidR="00084F36" w:rsidRPr="00EB2BD8" w:rsidRDefault="00084F36">
      <w:pPr>
        <w:pStyle w:val="BodyText"/>
        <w:rPr>
          <w:rFonts w:ascii="Arial"/>
        </w:rPr>
      </w:pPr>
    </w:p>
    <w:p w14:paraId="07480A59" w14:textId="77777777" w:rsidR="00084F36" w:rsidRPr="00EB2BD8" w:rsidRDefault="00084F36">
      <w:pPr>
        <w:pStyle w:val="BodyText"/>
        <w:spacing w:before="1"/>
        <w:rPr>
          <w:rFonts w:ascii="Arial"/>
          <w:sz w:val="17"/>
        </w:rPr>
      </w:pPr>
    </w:p>
    <w:p w14:paraId="71C1A968" w14:textId="23044804" w:rsidR="00084F36" w:rsidRPr="00EB2BD8" w:rsidRDefault="000B7959" w:rsidP="000B7959">
      <w:pPr>
        <w:pStyle w:val="Heading2"/>
      </w:pPr>
      <w:r>
        <w:t xml:space="preserve">  </w:t>
      </w:r>
      <w:bookmarkStart w:id="298" w:name="_Toc150762600"/>
      <w:r>
        <w:t>5.1</w:t>
      </w:r>
      <w:r w:rsidR="00273892">
        <w:t xml:space="preserve"> R</w:t>
      </w:r>
      <w:r w:rsidR="00273892" w:rsidRPr="00EB2BD8">
        <w:t>eceivables</w:t>
      </w:r>
      <w:bookmarkEnd w:id="298"/>
    </w:p>
    <w:p w14:paraId="2D8CFA03" w14:textId="77777777" w:rsidR="00084F36" w:rsidRPr="00EB2BD8" w:rsidRDefault="00084F36">
      <w:pPr>
        <w:pStyle w:val="BodyText"/>
        <w:spacing w:before="2"/>
        <w:rPr>
          <w:rFonts w:ascii="Arial"/>
          <w:b/>
          <w:sz w:val="11"/>
        </w:rPr>
      </w:pPr>
    </w:p>
    <w:p w14:paraId="1460090E" w14:textId="77777777" w:rsidR="00084F36" w:rsidRPr="00EB2BD8" w:rsidRDefault="00EB2BD8">
      <w:pPr>
        <w:spacing w:before="101"/>
        <w:ind w:right="1879"/>
        <w:jc w:val="right"/>
        <w:rPr>
          <w:rFonts w:ascii="Arial" w:hAnsi="Arial"/>
          <w:sz w:val="16"/>
        </w:rPr>
      </w:pPr>
      <w:r w:rsidRPr="00EB2BD8">
        <w:rPr>
          <w:rFonts w:ascii="Arial" w:hAnsi="Arial"/>
          <w:spacing w:val="-2"/>
          <w:w w:val="105"/>
          <w:sz w:val="16"/>
        </w:rPr>
        <w:t>($’000)</w:t>
      </w:r>
    </w:p>
    <w:p w14:paraId="434807E5" w14:textId="77777777" w:rsidR="00084F36" w:rsidRPr="00EB2BD8" w:rsidRDefault="00084F36">
      <w:pPr>
        <w:pStyle w:val="BodyText"/>
        <w:spacing w:before="7"/>
        <w:rPr>
          <w:rFonts w:ascii="Arial"/>
          <w:sz w:val="5"/>
        </w:rPr>
      </w:pPr>
    </w:p>
    <w:tbl>
      <w:tblPr>
        <w:tblW w:w="0" w:type="auto"/>
        <w:tblInd w:w="1058" w:type="dxa"/>
        <w:tblLayout w:type="fixed"/>
        <w:tblCellMar>
          <w:left w:w="0" w:type="dxa"/>
          <w:right w:w="0" w:type="dxa"/>
        </w:tblCellMar>
        <w:tblLook w:val="01E0" w:firstRow="1" w:lastRow="1" w:firstColumn="1" w:lastColumn="1" w:noHBand="0" w:noVBand="0"/>
      </w:tblPr>
      <w:tblGrid>
        <w:gridCol w:w="6182"/>
        <w:gridCol w:w="1448"/>
        <w:gridCol w:w="1447"/>
      </w:tblGrid>
      <w:tr w:rsidR="00EB2BD8" w:rsidRPr="00EB2BD8" w14:paraId="0489A942" w14:textId="77777777">
        <w:trPr>
          <w:trHeight w:val="295"/>
        </w:trPr>
        <w:tc>
          <w:tcPr>
            <w:tcW w:w="7630" w:type="dxa"/>
            <w:gridSpan w:val="2"/>
            <w:tcBorders>
              <w:top w:val="single" w:sz="8" w:space="0" w:color="0098FF"/>
              <w:bottom w:val="single" w:sz="8" w:space="0" w:color="0098FF"/>
            </w:tcBorders>
            <w:shd w:val="clear" w:color="auto" w:fill="0070C0"/>
          </w:tcPr>
          <w:p w14:paraId="3D63C3AB" w14:textId="77777777" w:rsidR="00084F36" w:rsidRPr="00EB2BD8" w:rsidRDefault="00EB2BD8">
            <w:pPr>
              <w:pStyle w:val="TableParagraph"/>
              <w:spacing w:before="58"/>
              <w:ind w:right="100"/>
              <w:jc w:val="right"/>
              <w:rPr>
                <w:rFonts w:ascii="Arial"/>
                <w:b/>
                <w:sz w:val="16"/>
              </w:rPr>
            </w:pPr>
            <w:r w:rsidRPr="00EB2BD8">
              <w:rPr>
                <w:rFonts w:ascii="Arial"/>
                <w:b/>
                <w:spacing w:val="-4"/>
                <w:w w:val="105"/>
                <w:sz w:val="16"/>
              </w:rPr>
              <w:t>2023</w:t>
            </w:r>
          </w:p>
        </w:tc>
        <w:tc>
          <w:tcPr>
            <w:tcW w:w="1447" w:type="dxa"/>
            <w:tcBorders>
              <w:top w:val="single" w:sz="8" w:space="0" w:color="0098FF"/>
              <w:bottom w:val="single" w:sz="8" w:space="0" w:color="0098FF"/>
            </w:tcBorders>
            <w:shd w:val="clear" w:color="auto" w:fill="0070C0"/>
          </w:tcPr>
          <w:p w14:paraId="37564B0B" w14:textId="77777777" w:rsidR="00084F36" w:rsidRPr="00EB2BD8" w:rsidRDefault="00EB2BD8">
            <w:pPr>
              <w:pStyle w:val="TableParagraph"/>
              <w:spacing w:before="58"/>
              <w:ind w:right="100"/>
              <w:jc w:val="right"/>
              <w:rPr>
                <w:rFonts w:ascii="Arial"/>
                <w:b/>
                <w:sz w:val="16"/>
              </w:rPr>
            </w:pPr>
            <w:r w:rsidRPr="00EB2BD8">
              <w:rPr>
                <w:rFonts w:ascii="Arial"/>
                <w:b/>
                <w:spacing w:val="-4"/>
                <w:w w:val="105"/>
                <w:sz w:val="16"/>
              </w:rPr>
              <w:t>2022</w:t>
            </w:r>
          </w:p>
        </w:tc>
      </w:tr>
      <w:tr w:rsidR="00EB2BD8" w:rsidRPr="00EB2BD8" w14:paraId="215EEB24" w14:textId="77777777">
        <w:trPr>
          <w:trHeight w:val="303"/>
        </w:trPr>
        <w:tc>
          <w:tcPr>
            <w:tcW w:w="6182" w:type="dxa"/>
            <w:tcBorders>
              <w:top w:val="single" w:sz="8" w:space="0" w:color="0098FF"/>
            </w:tcBorders>
            <w:shd w:val="clear" w:color="auto" w:fill="FFFFFF"/>
          </w:tcPr>
          <w:p w14:paraId="302F0EA9" w14:textId="77777777" w:rsidR="00084F36" w:rsidRPr="00EB2BD8" w:rsidRDefault="00EB2BD8">
            <w:pPr>
              <w:pStyle w:val="TableParagraph"/>
              <w:spacing w:before="58"/>
              <w:ind w:left="100"/>
              <w:rPr>
                <w:rFonts w:ascii="Arial"/>
                <w:b/>
                <w:sz w:val="16"/>
              </w:rPr>
            </w:pPr>
            <w:r w:rsidRPr="00EB2BD8">
              <w:rPr>
                <w:rFonts w:ascii="Arial"/>
                <w:b/>
                <w:spacing w:val="-2"/>
                <w:w w:val="105"/>
                <w:sz w:val="16"/>
              </w:rPr>
              <w:t>Contractual</w:t>
            </w:r>
          </w:p>
        </w:tc>
        <w:tc>
          <w:tcPr>
            <w:tcW w:w="1448" w:type="dxa"/>
            <w:tcBorders>
              <w:top w:val="single" w:sz="8" w:space="0" w:color="0098FF"/>
            </w:tcBorders>
            <w:shd w:val="clear" w:color="auto" w:fill="DEEAF6"/>
          </w:tcPr>
          <w:p w14:paraId="18524064" w14:textId="77777777" w:rsidR="00084F36" w:rsidRPr="00EB2BD8" w:rsidRDefault="00084F36">
            <w:pPr>
              <w:pStyle w:val="TableParagraph"/>
              <w:rPr>
                <w:rFonts w:ascii="Times New Roman"/>
                <w:sz w:val="16"/>
              </w:rPr>
            </w:pPr>
          </w:p>
        </w:tc>
        <w:tc>
          <w:tcPr>
            <w:tcW w:w="1447" w:type="dxa"/>
            <w:tcBorders>
              <w:top w:val="single" w:sz="8" w:space="0" w:color="0098FF"/>
            </w:tcBorders>
            <w:shd w:val="clear" w:color="auto" w:fill="FFFFFF"/>
          </w:tcPr>
          <w:p w14:paraId="267CEB63" w14:textId="77777777" w:rsidR="00084F36" w:rsidRPr="00EB2BD8" w:rsidRDefault="00084F36">
            <w:pPr>
              <w:pStyle w:val="TableParagraph"/>
              <w:rPr>
                <w:rFonts w:ascii="Times New Roman"/>
                <w:sz w:val="16"/>
              </w:rPr>
            </w:pPr>
          </w:p>
        </w:tc>
      </w:tr>
      <w:tr w:rsidR="00EB2BD8" w:rsidRPr="00EB2BD8" w14:paraId="5B93D33C" w14:textId="77777777">
        <w:trPr>
          <w:trHeight w:val="310"/>
        </w:trPr>
        <w:tc>
          <w:tcPr>
            <w:tcW w:w="6182" w:type="dxa"/>
            <w:shd w:val="clear" w:color="auto" w:fill="FFFFFF"/>
          </w:tcPr>
          <w:p w14:paraId="516F8411" w14:textId="77777777" w:rsidR="00084F36" w:rsidRPr="00EB2BD8" w:rsidRDefault="00EB2BD8">
            <w:pPr>
              <w:pStyle w:val="TableParagraph"/>
              <w:spacing w:before="61"/>
              <w:ind w:left="100"/>
              <w:rPr>
                <w:rFonts w:ascii="Arial"/>
                <w:sz w:val="16"/>
              </w:rPr>
            </w:pPr>
            <w:r w:rsidRPr="00EB2BD8">
              <w:rPr>
                <w:rFonts w:ascii="Arial"/>
                <w:w w:val="105"/>
                <w:sz w:val="16"/>
              </w:rPr>
              <w:t>Other</w:t>
            </w:r>
            <w:r w:rsidRPr="00EB2BD8">
              <w:rPr>
                <w:rFonts w:ascii="Arial"/>
                <w:spacing w:val="-7"/>
                <w:w w:val="105"/>
                <w:sz w:val="16"/>
              </w:rPr>
              <w:t xml:space="preserve"> </w:t>
            </w:r>
            <w:r w:rsidRPr="00EB2BD8">
              <w:rPr>
                <w:rFonts w:ascii="Arial"/>
                <w:spacing w:val="-2"/>
                <w:w w:val="105"/>
                <w:sz w:val="16"/>
              </w:rPr>
              <w:t>receivables</w:t>
            </w:r>
          </w:p>
        </w:tc>
        <w:tc>
          <w:tcPr>
            <w:tcW w:w="1448" w:type="dxa"/>
            <w:shd w:val="clear" w:color="auto" w:fill="DEEAF6"/>
          </w:tcPr>
          <w:p w14:paraId="3E2A5EA9" w14:textId="77777777" w:rsidR="00084F36" w:rsidRPr="00EB2BD8" w:rsidRDefault="00EB2BD8">
            <w:pPr>
              <w:pStyle w:val="TableParagraph"/>
              <w:spacing w:before="61"/>
              <w:ind w:right="101"/>
              <w:jc w:val="right"/>
              <w:rPr>
                <w:rFonts w:ascii="Arial"/>
                <w:sz w:val="16"/>
              </w:rPr>
            </w:pPr>
            <w:r w:rsidRPr="00EB2BD8">
              <w:rPr>
                <w:rFonts w:ascii="Arial"/>
                <w:spacing w:val="-5"/>
                <w:w w:val="105"/>
                <w:sz w:val="16"/>
              </w:rPr>
              <w:t>142</w:t>
            </w:r>
          </w:p>
        </w:tc>
        <w:tc>
          <w:tcPr>
            <w:tcW w:w="1447" w:type="dxa"/>
            <w:shd w:val="clear" w:color="auto" w:fill="FFFFFF"/>
          </w:tcPr>
          <w:p w14:paraId="7A7E551B" w14:textId="77777777" w:rsidR="00084F36" w:rsidRPr="00EB2BD8" w:rsidRDefault="00EB2BD8">
            <w:pPr>
              <w:pStyle w:val="TableParagraph"/>
              <w:spacing w:before="61"/>
              <w:ind w:right="100"/>
              <w:jc w:val="right"/>
              <w:rPr>
                <w:rFonts w:ascii="Arial"/>
                <w:sz w:val="16"/>
              </w:rPr>
            </w:pPr>
            <w:r w:rsidRPr="00EB2BD8">
              <w:rPr>
                <w:rFonts w:ascii="Arial"/>
                <w:spacing w:val="-5"/>
                <w:w w:val="105"/>
                <w:sz w:val="16"/>
              </w:rPr>
              <w:t>340</w:t>
            </w:r>
          </w:p>
        </w:tc>
      </w:tr>
      <w:tr w:rsidR="00EB2BD8" w:rsidRPr="00EB2BD8" w14:paraId="6D7FEC6A" w14:textId="77777777">
        <w:trPr>
          <w:trHeight w:val="315"/>
        </w:trPr>
        <w:tc>
          <w:tcPr>
            <w:tcW w:w="6182" w:type="dxa"/>
            <w:shd w:val="clear" w:color="auto" w:fill="FFFFFF"/>
          </w:tcPr>
          <w:p w14:paraId="511B8A53" w14:textId="77777777" w:rsidR="00084F36" w:rsidRPr="00EB2BD8" w:rsidRDefault="00EB2BD8">
            <w:pPr>
              <w:pStyle w:val="TableParagraph"/>
              <w:spacing w:before="65"/>
              <w:ind w:left="100"/>
              <w:rPr>
                <w:rFonts w:ascii="Arial"/>
                <w:sz w:val="16"/>
              </w:rPr>
            </w:pPr>
            <w:r w:rsidRPr="00EB2BD8">
              <w:rPr>
                <w:rFonts w:ascii="Arial"/>
                <w:w w:val="105"/>
                <w:sz w:val="16"/>
              </w:rPr>
              <w:t>Allowance</w:t>
            </w:r>
            <w:r w:rsidRPr="00EB2BD8">
              <w:rPr>
                <w:rFonts w:ascii="Arial"/>
                <w:spacing w:val="-10"/>
                <w:w w:val="105"/>
                <w:sz w:val="16"/>
              </w:rPr>
              <w:t xml:space="preserve"> </w:t>
            </w:r>
            <w:r w:rsidRPr="00EB2BD8">
              <w:rPr>
                <w:rFonts w:ascii="Arial"/>
                <w:w w:val="105"/>
                <w:sz w:val="16"/>
              </w:rPr>
              <w:t>for</w:t>
            </w:r>
            <w:r w:rsidRPr="00EB2BD8">
              <w:rPr>
                <w:rFonts w:ascii="Arial"/>
                <w:spacing w:val="-8"/>
                <w:w w:val="105"/>
                <w:sz w:val="16"/>
              </w:rPr>
              <w:t xml:space="preserve"> </w:t>
            </w:r>
            <w:r w:rsidRPr="00EB2BD8">
              <w:rPr>
                <w:rFonts w:ascii="Arial"/>
                <w:w w:val="105"/>
                <w:sz w:val="16"/>
              </w:rPr>
              <w:t>impairment</w:t>
            </w:r>
            <w:r w:rsidRPr="00EB2BD8">
              <w:rPr>
                <w:rFonts w:ascii="Arial"/>
                <w:spacing w:val="-9"/>
                <w:w w:val="105"/>
                <w:sz w:val="16"/>
              </w:rPr>
              <w:t xml:space="preserve"> </w:t>
            </w:r>
            <w:r w:rsidRPr="00EB2BD8">
              <w:rPr>
                <w:rFonts w:ascii="Arial"/>
                <w:w w:val="105"/>
                <w:sz w:val="16"/>
              </w:rPr>
              <w:t>losses</w:t>
            </w:r>
            <w:r w:rsidRPr="00EB2BD8">
              <w:rPr>
                <w:rFonts w:ascii="Arial"/>
                <w:spacing w:val="-8"/>
                <w:w w:val="105"/>
                <w:sz w:val="16"/>
              </w:rPr>
              <w:t xml:space="preserve"> </w:t>
            </w:r>
            <w:r w:rsidRPr="00EB2BD8">
              <w:rPr>
                <w:rFonts w:ascii="Arial"/>
                <w:w w:val="105"/>
                <w:sz w:val="16"/>
              </w:rPr>
              <w:t>of</w:t>
            </w:r>
            <w:r w:rsidRPr="00EB2BD8">
              <w:rPr>
                <w:rFonts w:ascii="Arial"/>
                <w:spacing w:val="-8"/>
                <w:w w:val="105"/>
                <w:sz w:val="16"/>
              </w:rPr>
              <w:t xml:space="preserve"> </w:t>
            </w:r>
            <w:r w:rsidRPr="00EB2BD8">
              <w:rPr>
                <w:rFonts w:ascii="Arial"/>
                <w:w w:val="105"/>
                <w:sz w:val="16"/>
              </w:rPr>
              <w:t>contractual</w:t>
            </w:r>
            <w:r w:rsidRPr="00EB2BD8">
              <w:rPr>
                <w:rFonts w:ascii="Arial"/>
                <w:spacing w:val="-10"/>
                <w:w w:val="105"/>
                <w:sz w:val="16"/>
              </w:rPr>
              <w:t xml:space="preserve"> </w:t>
            </w:r>
            <w:r w:rsidRPr="00EB2BD8">
              <w:rPr>
                <w:rFonts w:ascii="Arial"/>
                <w:spacing w:val="-2"/>
                <w:w w:val="105"/>
                <w:sz w:val="16"/>
              </w:rPr>
              <w:t>receivables</w:t>
            </w:r>
          </w:p>
        </w:tc>
        <w:tc>
          <w:tcPr>
            <w:tcW w:w="1448" w:type="dxa"/>
            <w:shd w:val="clear" w:color="auto" w:fill="DEEAF6"/>
          </w:tcPr>
          <w:p w14:paraId="289670B7" w14:textId="77777777" w:rsidR="00084F36" w:rsidRPr="00EB2BD8" w:rsidRDefault="00EB2BD8">
            <w:pPr>
              <w:pStyle w:val="TableParagraph"/>
              <w:spacing w:before="65"/>
              <w:ind w:right="101"/>
              <w:jc w:val="right"/>
              <w:rPr>
                <w:rFonts w:ascii="Arial"/>
                <w:sz w:val="16"/>
              </w:rPr>
            </w:pPr>
            <w:r w:rsidRPr="00EB2BD8">
              <w:rPr>
                <w:rFonts w:ascii="Arial"/>
                <w:spacing w:val="-2"/>
                <w:w w:val="105"/>
                <w:sz w:val="16"/>
              </w:rPr>
              <w:t>(121)</w:t>
            </w:r>
          </w:p>
        </w:tc>
        <w:tc>
          <w:tcPr>
            <w:tcW w:w="1447" w:type="dxa"/>
            <w:shd w:val="clear" w:color="auto" w:fill="FFFFFF"/>
          </w:tcPr>
          <w:p w14:paraId="2E6ED8CD" w14:textId="77777777" w:rsidR="00084F36" w:rsidRPr="00EB2BD8" w:rsidRDefault="00EB2BD8">
            <w:pPr>
              <w:pStyle w:val="TableParagraph"/>
              <w:spacing w:before="65"/>
              <w:ind w:right="101"/>
              <w:jc w:val="right"/>
              <w:rPr>
                <w:rFonts w:ascii="Arial"/>
                <w:sz w:val="16"/>
              </w:rPr>
            </w:pPr>
            <w:r w:rsidRPr="00EB2BD8">
              <w:rPr>
                <w:rFonts w:ascii="Arial"/>
                <w:spacing w:val="-2"/>
                <w:w w:val="105"/>
                <w:sz w:val="16"/>
              </w:rPr>
              <w:t>(199)</w:t>
            </w:r>
          </w:p>
        </w:tc>
      </w:tr>
      <w:tr w:rsidR="00EB2BD8" w:rsidRPr="00EB2BD8" w14:paraId="1599A7AD" w14:textId="77777777">
        <w:trPr>
          <w:trHeight w:val="315"/>
        </w:trPr>
        <w:tc>
          <w:tcPr>
            <w:tcW w:w="6182" w:type="dxa"/>
            <w:shd w:val="clear" w:color="auto" w:fill="FFFFFF"/>
          </w:tcPr>
          <w:p w14:paraId="5F9D8455" w14:textId="77777777" w:rsidR="00084F36" w:rsidRPr="00EB2BD8" w:rsidRDefault="00EB2BD8">
            <w:pPr>
              <w:pStyle w:val="TableParagraph"/>
              <w:spacing w:before="66"/>
              <w:ind w:left="100"/>
              <w:rPr>
                <w:rFonts w:ascii="Arial"/>
                <w:b/>
                <w:sz w:val="16"/>
              </w:rPr>
            </w:pPr>
            <w:r w:rsidRPr="00EB2BD8">
              <w:rPr>
                <w:rFonts w:ascii="Arial"/>
                <w:b/>
                <w:spacing w:val="-2"/>
                <w:w w:val="105"/>
                <w:sz w:val="16"/>
              </w:rPr>
              <w:t>Statutory</w:t>
            </w:r>
          </w:p>
        </w:tc>
        <w:tc>
          <w:tcPr>
            <w:tcW w:w="1448" w:type="dxa"/>
            <w:shd w:val="clear" w:color="auto" w:fill="DEEAF6"/>
          </w:tcPr>
          <w:p w14:paraId="38EAAB63" w14:textId="77777777" w:rsidR="00084F36" w:rsidRPr="00EB2BD8" w:rsidRDefault="00084F36">
            <w:pPr>
              <w:pStyle w:val="TableParagraph"/>
              <w:rPr>
                <w:rFonts w:ascii="Times New Roman"/>
                <w:sz w:val="16"/>
              </w:rPr>
            </w:pPr>
          </w:p>
        </w:tc>
        <w:tc>
          <w:tcPr>
            <w:tcW w:w="1447" w:type="dxa"/>
            <w:shd w:val="clear" w:color="auto" w:fill="FFFFFF"/>
          </w:tcPr>
          <w:p w14:paraId="1DBDCE22" w14:textId="77777777" w:rsidR="00084F36" w:rsidRPr="00EB2BD8" w:rsidRDefault="00084F36">
            <w:pPr>
              <w:pStyle w:val="TableParagraph"/>
              <w:rPr>
                <w:rFonts w:ascii="Times New Roman"/>
                <w:sz w:val="16"/>
              </w:rPr>
            </w:pPr>
          </w:p>
        </w:tc>
      </w:tr>
      <w:tr w:rsidR="00EB2BD8" w:rsidRPr="00EB2BD8" w14:paraId="1C5F578F" w14:textId="77777777">
        <w:trPr>
          <w:trHeight w:val="315"/>
        </w:trPr>
        <w:tc>
          <w:tcPr>
            <w:tcW w:w="6182" w:type="dxa"/>
            <w:shd w:val="clear" w:color="auto" w:fill="FFFFFF"/>
          </w:tcPr>
          <w:p w14:paraId="42C2499A" w14:textId="77777777" w:rsidR="00084F36" w:rsidRPr="00EB2BD8" w:rsidRDefault="00EB2BD8">
            <w:pPr>
              <w:pStyle w:val="TableParagraph"/>
              <w:spacing w:before="65"/>
              <w:ind w:left="100"/>
              <w:rPr>
                <w:rFonts w:ascii="Arial"/>
                <w:sz w:val="16"/>
              </w:rPr>
            </w:pPr>
            <w:r w:rsidRPr="00EB2BD8">
              <w:rPr>
                <w:rFonts w:ascii="Arial"/>
                <w:w w:val="105"/>
                <w:sz w:val="16"/>
              </w:rPr>
              <w:t>Building</w:t>
            </w:r>
            <w:r w:rsidRPr="00EB2BD8">
              <w:rPr>
                <w:rFonts w:ascii="Arial"/>
                <w:spacing w:val="-10"/>
                <w:w w:val="105"/>
                <w:sz w:val="16"/>
              </w:rPr>
              <w:t xml:space="preserve"> </w:t>
            </w:r>
            <w:r w:rsidRPr="00EB2BD8">
              <w:rPr>
                <w:rFonts w:ascii="Arial"/>
                <w:w w:val="105"/>
                <w:sz w:val="16"/>
              </w:rPr>
              <w:t>Practitioner</w:t>
            </w:r>
            <w:r w:rsidRPr="00EB2BD8">
              <w:rPr>
                <w:rFonts w:ascii="Arial"/>
                <w:spacing w:val="-8"/>
                <w:w w:val="105"/>
                <w:sz w:val="16"/>
              </w:rPr>
              <w:t xml:space="preserve"> </w:t>
            </w:r>
            <w:r w:rsidRPr="00EB2BD8">
              <w:rPr>
                <w:rFonts w:ascii="Arial"/>
                <w:w w:val="105"/>
                <w:sz w:val="16"/>
              </w:rPr>
              <w:t>Board</w:t>
            </w:r>
            <w:r w:rsidRPr="00EB2BD8">
              <w:rPr>
                <w:rFonts w:ascii="Arial"/>
                <w:spacing w:val="-10"/>
                <w:w w:val="105"/>
                <w:sz w:val="16"/>
              </w:rPr>
              <w:t xml:space="preserve"> </w:t>
            </w:r>
            <w:r w:rsidRPr="00EB2BD8">
              <w:rPr>
                <w:rFonts w:ascii="Arial"/>
                <w:w w:val="105"/>
                <w:sz w:val="16"/>
              </w:rPr>
              <w:t>fines</w:t>
            </w:r>
            <w:r w:rsidRPr="00EB2BD8">
              <w:rPr>
                <w:rFonts w:ascii="Arial"/>
                <w:spacing w:val="-8"/>
                <w:w w:val="105"/>
                <w:sz w:val="16"/>
              </w:rPr>
              <w:t xml:space="preserve"> </w:t>
            </w:r>
            <w:r w:rsidRPr="00EB2BD8">
              <w:rPr>
                <w:rFonts w:ascii="Arial"/>
                <w:w w:val="105"/>
                <w:sz w:val="16"/>
              </w:rPr>
              <w:t>and</w:t>
            </w:r>
            <w:r w:rsidRPr="00EB2BD8">
              <w:rPr>
                <w:rFonts w:ascii="Arial"/>
                <w:spacing w:val="-10"/>
                <w:w w:val="105"/>
                <w:sz w:val="16"/>
              </w:rPr>
              <w:t xml:space="preserve"> </w:t>
            </w:r>
            <w:r w:rsidRPr="00EB2BD8">
              <w:rPr>
                <w:rFonts w:ascii="Arial"/>
                <w:spacing w:val="-4"/>
                <w:w w:val="105"/>
                <w:sz w:val="16"/>
              </w:rPr>
              <w:t>costs</w:t>
            </w:r>
          </w:p>
        </w:tc>
        <w:tc>
          <w:tcPr>
            <w:tcW w:w="1448" w:type="dxa"/>
            <w:shd w:val="clear" w:color="auto" w:fill="DEEAF6"/>
          </w:tcPr>
          <w:p w14:paraId="328E63CD" w14:textId="77777777" w:rsidR="00084F36" w:rsidRPr="00EB2BD8" w:rsidRDefault="00EB2BD8">
            <w:pPr>
              <w:pStyle w:val="TableParagraph"/>
              <w:spacing w:before="65"/>
              <w:ind w:right="101"/>
              <w:jc w:val="right"/>
              <w:rPr>
                <w:rFonts w:ascii="Arial"/>
                <w:sz w:val="16"/>
              </w:rPr>
            </w:pPr>
            <w:r w:rsidRPr="00EB2BD8">
              <w:rPr>
                <w:rFonts w:ascii="Arial"/>
                <w:spacing w:val="-5"/>
                <w:w w:val="105"/>
                <w:sz w:val="16"/>
              </w:rPr>
              <w:t>442</w:t>
            </w:r>
          </w:p>
        </w:tc>
        <w:tc>
          <w:tcPr>
            <w:tcW w:w="1447" w:type="dxa"/>
            <w:shd w:val="clear" w:color="auto" w:fill="FFFFFF"/>
          </w:tcPr>
          <w:p w14:paraId="1B97748F" w14:textId="77777777" w:rsidR="00084F36" w:rsidRPr="00EB2BD8" w:rsidRDefault="00EB2BD8">
            <w:pPr>
              <w:pStyle w:val="TableParagraph"/>
              <w:spacing w:before="65"/>
              <w:ind w:right="100"/>
              <w:jc w:val="right"/>
              <w:rPr>
                <w:rFonts w:ascii="Arial"/>
                <w:sz w:val="16"/>
              </w:rPr>
            </w:pPr>
            <w:r w:rsidRPr="00EB2BD8">
              <w:rPr>
                <w:rFonts w:ascii="Arial"/>
                <w:spacing w:val="-2"/>
                <w:w w:val="105"/>
                <w:sz w:val="16"/>
              </w:rPr>
              <w:t>2,368</w:t>
            </w:r>
          </w:p>
        </w:tc>
      </w:tr>
      <w:tr w:rsidR="00EB2BD8" w:rsidRPr="00EB2BD8" w14:paraId="7F366EFB" w14:textId="77777777">
        <w:trPr>
          <w:trHeight w:val="315"/>
        </w:trPr>
        <w:tc>
          <w:tcPr>
            <w:tcW w:w="6182" w:type="dxa"/>
            <w:shd w:val="clear" w:color="auto" w:fill="FFFFFF"/>
          </w:tcPr>
          <w:p w14:paraId="10AED8FA" w14:textId="77777777" w:rsidR="00084F36" w:rsidRPr="00EB2BD8" w:rsidRDefault="00EB2BD8">
            <w:pPr>
              <w:pStyle w:val="TableParagraph"/>
              <w:spacing w:before="65"/>
              <w:ind w:left="100"/>
              <w:rPr>
                <w:rFonts w:ascii="Arial"/>
                <w:sz w:val="16"/>
              </w:rPr>
            </w:pPr>
            <w:r w:rsidRPr="00EB2BD8">
              <w:rPr>
                <w:rFonts w:ascii="Arial"/>
                <w:w w:val="105"/>
                <w:sz w:val="16"/>
              </w:rPr>
              <w:t>Other</w:t>
            </w:r>
            <w:r w:rsidRPr="00EB2BD8">
              <w:rPr>
                <w:rFonts w:ascii="Arial"/>
                <w:spacing w:val="-7"/>
                <w:w w:val="105"/>
                <w:sz w:val="16"/>
              </w:rPr>
              <w:t xml:space="preserve"> </w:t>
            </w:r>
            <w:r w:rsidRPr="00EB2BD8">
              <w:rPr>
                <w:rFonts w:ascii="Arial"/>
                <w:spacing w:val="-2"/>
                <w:w w:val="105"/>
                <w:sz w:val="16"/>
              </w:rPr>
              <w:t>receivables</w:t>
            </w:r>
          </w:p>
        </w:tc>
        <w:tc>
          <w:tcPr>
            <w:tcW w:w="1448" w:type="dxa"/>
            <w:shd w:val="clear" w:color="auto" w:fill="DEEAF6"/>
          </w:tcPr>
          <w:p w14:paraId="1EC6A200" w14:textId="77777777" w:rsidR="00084F36" w:rsidRPr="00EB2BD8" w:rsidRDefault="00EB2BD8">
            <w:pPr>
              <w:pStyle w:val="TableParagraph"/>
              <w:spacing w:before="65"/>
              <w:ind w:right="100"/>
              <w:jc w:val="right"/>
              <w:rPr>
                <w:rFonts w:ascii="Arial"/>
                <w:sz w:val="16"/>
              </w:rPr>
            </w:pPr>
            <w:r w:rsidRPr="00EB2BD8">
              <w:rPr>
                <w:rFonts w:ascii="Arial"/>
                <w:spacing w:val="-5"/>
                <w:w w:val="105"/>
                <w:sz w:val="16"/>
              </w:rPr>
              <w:t>54</w:t>
            </w:r>
          </w:p>
        </w:tc>
        <w:tc>
          <w:tcPr>
            <w:tcW w:w="1447" w:type="dxa"/>
            <w:shd w:val="clear" w:color="auto" w:fill="FFFFFF"/>
          </w:tcPr>
          <w:p w14:paraId="45418FCC" w14:textId="77777777" w:rsidR="00084F36" w:rsidRPr="00EB2BD8" w:rsidRDefault="00EB2BD8">
            <w:pPr>
              <w:pStyle w:val="TableParagraph"/>
              <w:spacing w:before="65"/>
              <w:ind w:right="100"/>
              <w:jc w:val="right"/>
              <w:rPr>
                <w:rFonts w:ascii="Arial"/>
                <w:sz w:val="16"/>
              </w:rPr>
            </w:pPr>
            <w:r w:rsidRPr="00EB2BD8">
              <w:rPr>
                <w:rFonts w:ascii="Arial"/>
                <w:spacing w:val="-5"/>
                <w:w w:val="105"/>
                <w:sz w:val="16"/>
              </w:rPr>
              <w:t>550</w:t>
            </w:r>
          </w:p>
        </w:tc>
      </w:tr>
      <w:tr w:rsidR="00EB2BD8" w:rsidRPr="00EB2BD8" w14:paraId="063FA10E" w14:textId="77777777">
        <w:trPr>
          <w:trHeight w:val="315"/>
        </w:trPr>
        <w:tc>
          <w:tcPr>
            <w:tcW w:w="6182" w:type="dxa"/>
            <w:shd w:val="clear" w:color="auto" w:fill="FFFFFF"/>
          </w:tcPr>
          <w:p w14:paraId="664C8645" w14:textId="77777777" w:rsidR="00084F36" w:rsidRPr="00EB2BD8" w:rsidRDefault="00EB2BD8">
            <w:pPr>
              <w:pStyle w:val="TableParagraph"/>
              <w:spacing w:before="66"/>
              <w:ind w:left="100"/>
              <w:rPr>
                <w:rFonts w:ascii="Arial"/>
                <w:sz w:val="16"/>
              </w:rPr>
            </w:pPr>
            <w:r w:rsidRPr="00EB2BD8">
              <w:rPr>
                <w:rFonts w:ascii="Arial"/>
                <w:w w:val="105"/>
                <w:sz w:val="16"/>
              </w:rPr>
              <w:t>GST</w:t>
            </w:r>
            <w:r w:rsidRPr="00EB2BD8">
              <w:rPr>
                <w:rFonts w:ascii="Arial"/>
                <w:spacing w:val="-6"/>
                <w:w w:val="105"/>
                <w:sz w:val="16"/>
              </w:rPr>
              <w:t xml:space="preserve"> </w:t>
            </w:r>
            <w:r w:rsidRPr="00EB2BD8">
              <w:rPr>
                <w:rFonts w:ascii="Arial"/>
                <w:w w:val="105"/>
                <w:sz w:val="16"/>
              </w:rPr>
              <w:t>input</w:t>
            </w:r>
            <w:r w:rsidRPr="00EB2BD8">
              <w:rPr>
                <w:rFonts w:ascii="Arial"/>
                <w:spacing w:val="-6"/>
                <w:w w:val="105"/>
                <w:sz w:val="16"/>
              </w:rPr>
              <w:t xml:space="preserve"> </w:t>
            </w:r>
            <w:r w:rsidRPr="00EB2BD8">
              <w:rPr>
                <w:rFonts w:ascii="Arial"/>
                <w:w w:val="105"/>
                <w:sz w:val="16"/>
              </w:rPr>
              <w:t>tax</w:t>
            </w:r>
            <w:r w:rsidRPr="00EB2BD8">
              <w:rPr>
                <w:rFonts w:ascii="Arial"/>
                <w:spacing w:val="-6"/>
                <w:w w:val="105"/>
                <w:sz w:val="16"/>
              </w:rPr>
              <w:t xml:space="preserve"> </w:t>
            </w:r>
            <w:r w:rsidRPr="00EB2BD8">
              <w:rPr>
                <w:rFonts w:ascii="Arial"/>
                <w:w w:val="105"/>
                <w:sz w:val="16"/>
              </w:rPr>
              <w:t>credit</w:t>
            </w:r>
            <w:r w:rsidRPr="00EB2BD8">
              <w:rPr>
                <w:rFonts w:ascii="Arial"/>
                <w:spacing w:val="-5"/>
                <w:w w:val="105"/>
                <w:sz w:val="16"/>
              </w:rPr>
              <w:t xml:space="preserve"> </w:t>
            </w:r>
            <w:r w:rsidRPr="00EB2BD8">
              <w:rPr>
                <w:rFonts w:ascii="Arial"/>
                <w:spacing w:val="-2"/>
                <w:w w:val="105"/>
                <w:sz w:val="16"/>
              </w:rPr>
              <w:t>recoverable</w:t>
            </w:r>
          </w:p>
        </w:tc>
        <w:tc>
          <w:tcPr>
            <w:tcW w:w="1448" w:type="dxa"/>
            <w:shd w:val="clear" w:color="auto" w:fill="DEEAF6"/>
          </w:tcPr>
          <w:p w14:paraId="20C80545" w14:textId="77777777" w:rsidR="00084F36" w:rsidRPr="00EB2BD8" w:rsidRDefault="00EB2BD8">
            <w:pPr>
              <w:pStyle w:val="TableParagraph"/>
              <w:spacing w:before="66"/>
              <w:ind w:right="101"/>
              <w:jc w:val="right"/>
              <w:rPr>
                <w:rFonts w:ascii="Arial"/>
                <w:sz w:val="16"/>
              </w:rPr>
            </w:pPr>
            <w:r w:rsidRPr="00EB2BD8">
              <w:rPr>
                <w:rFonts w:ascii="Arial"/>
                <w:spacing w:val="-5"/>
                <w:w w:val="105"/>
                <w:sz w:val="16"/>
              </w:rPr>
              <w:t>889</w:t>
            </w:r>
          </w:p>
        </w:tc>
        <w:tc>
          <w:tcPr>
            <w:tcW w:w="1447" w:type="dxa"/>
            <w:shd w:val="clear" w:color="auto" w:fill="FFFFFF"/>
          </w:tcPr>
          <w:p w14:paraId="347EF9BD" w14:textId="77777777" w:rsidR="00084F36" w:rsidRPr="00EB2BD8" w:rsidRDefault="00EB2BD8">
            <w:pPr>
              <w:pStyle w:val="TableParagraph"/>
              <w:spacing w:before="66"/>
              <w:ind w:right="100"/>
              <w:jc w:val="right"/>
              <w:rPr>
                <w:rFonts w:ascii="Arial"/>
                <w:sz w:val="16"/>
              </w:rPr>
            </w:pPr>
            <w:r w:rsidRPr="00EB2BD8">
              <w:rPr>
                <w:rFonts w:ascii="Arial"/>
                <w:spacing w:val="-5"/>
                <w:w w:val="105"/>
                <w:sz w:val="16"/>
              </w:rPr>
              <w:t>855</w:t>
            </w:r>
          </w:p>
        </w:tc>
      </w:tr>
      <w:tr w:rsidR="00EB2BD8" w:rsidRPr="00EB2BD8" w14:paraId="1C7C9BFD" w14:textId="77777777">
        <w:trPr>
          <w:trHeight w:val="312"/>
        </w:trPr>
        <w:tc>
          <w:tcPr>
            <w:tcW w:w="6182" w:type="dxa"/>
            <w:tcBorders>
              <w:bottom w:val="single" w:sz="12" w:space="0" w:color="000000"/>
            </w:tcBorders>
            <w:shd w:val="clear" w:color="auto" w:fill="FFFFFF"/>
          </w:tcPr>
          <w:p w14:paraId="52123DF2" w14:textId="77777777" w:rsidR="00084F36" w:rsidRPr="00EB2BD8" w:rsidRDefault="00EB2BD8">
            <w:pPr>
              <w:pStyle w:val="TableParagraph"/>
              <w:spacing w:before="65"/>
              <w:ind w:left="100"/>
              <w:rPr>
                <w:rFonts w:ascii="Arial"/>
                <w:sz w:val="16"/>
              </w:rPr>
            </w:pPr>
            <w:r w:rsidRPr="00EB2BD8">
              <w:rPr>
                <w:rFonts w:ascii="Arial"/>
                <w:w w:val="105"/>
                <w:sz w:val="16"/>
              </w:rPr>
              <w:t>Allowance</w:t>
            </w:r>
            <w:r w:rsidRPr="00EB2BD8">
              <w:rPr>
                <w:rFonts w:ascii="Arial"/>
                <w:spacing w:val="-9"/>
                <w:w w:val="105"/>
                <w:sz w:val="16"/>
              </w:rPr>
              <w:t xml:space="preserve"> </w:t>
            </w:r>
            <w:r w:rsidRPr="00EB2BD8">
              <w:rPr>
                <w:rFonts w:ascii="Arial"/>
                <w:w w:val="105"/>
                <w:sz w:val="16"/>
              </w:rPr>
              <w:t>for</w:t>
            </w:r>
            <w:r w:rsidRPr="00EB2BD8">
              <w:rPr>
                <w:rFonts w:ascii="Arial"/>
                <w:spacing w:val="-8"/>
                <w:w w:val="105"/>
                <w:sz w:val="16"/>
              </w:rPr>
              <w:t xml:space="preserve"> </w:t>
            </w:r>
            <w:r w:rsidRPr="00EB2BD8">
              <w:rPr>
                <w:rFonts w:ascii="Arial"/>
                <w:w w:val="105"/>
                <w:sz w:val="16"/>
              </w:rPr>
              <w:t>impairment</w:t>
            </w:r>
            <w:r w:rsidRPr="00EB2BD8">
              <w:rPr>
                <w:rFonts w:ascii="Arial"/>
                <w:spacing w:val="-8"/>
                <w:w w:val="105"/>
                <w:sz w:val="16"/>
              </w:rPr>
              <w:t xml:space="preserve"> </w:t>
            </w:r>
            <w:r w:rsidRPr="00EB2BD8">
              <w:rPr>
                <w:rFonts w:ascii="Arial"/>
                <w:w w:val="105"/>
                <w:sz w:val="16"/>
              </w:rPr>
              <w:t>losses</w:t>
            </w:r>
            <w:r w:rsidRPr="00EB2BD8">
              <w:rPr>
                <w:rFonts w:ascii="Arial"/>
                <w:spacing w:val="-8"/>
                <w:w w:val="105"/>
                <w:sz w:val="16"/>
              </w:rPr>
              <w:t xml:space="preserve"> </w:t>
            </w:r>
            <w:r w:rsidRPr="00EB2BD8">
              <w:rPr>
                <w:rFonts w:ascii="Arial"/>
                <w:w w:val="105"/>
                <w:sz w:val="16"/>
              </w:rPr>
              <w:t>of</w:t>
            </w:r>
            <w:r w:rsidRPr="00EB2BD8">
              <w:rPr>
                <w:rFonts w:ascii="Arial"/>
                <w:spacing w:val="-8"/>
                <w:w w:val="105"/>
                <w:sz w:val="16"/>
              </w:rPr>
              <w:t xml:space="preserve"> </w:t>
            </w:r>
            <w:r w:rsidRPr="00EB2BD8">
              <w:rPr>
                <w:rFonts w:ascii="Arial"/>
                <w:w w:val="105"/>
                <w:sz w:val="16"/>
              </w:rPr>
              <w:t>statutory</w:t>
            </w:r>
            <w:r w:rsidRPr="00EB2BD8">
              <w:rPr>
                <w:rFonts w:ascii="Arial"/>
                <w:spacing w:val="-8"/>
                <w:w w:val="105"/>
                <w:sz w:val="16"/>
              </w:rPr>
              <w:t xml:space="preserve"> </w:t>
            </w:r>
            <w:r w:rsidRPr="00EB2BD8">
              <w:rPr>
                <w:rFonts w:ascii="Arial"/>
                <w:spacing w:val="-2"/>
                <w:w w:val="105"/>
                <w:sz w:val="16"/>
              </w:rPr>
              <w:t>receivables</w:t>
            </w:r>
          </w:p>
        </w:tc>
        <w:tc>
          <w:tcPr>
            <w:tcW w:w="1448" w:type="dxa"/>
            <w:tcBorders>
              <w:bottom w:val="single" w:sz="12" w:space="0" w:color="000000"/>
            </w:tcBorders>
            <w:shd w:val="clear" w:color="auto" w:fill="DEEAF6"/>
          </w:tcPr>
          <w:p w14:paraId="20DF5F08" w14:textId="77777777" w:rsidR="00084F36" w:rsidRPr="00EB2BD8" w:rsidRDefault="00EB2BD8">
            <w:pPr>
              <w:pStyle w:val="TableParagraph"/>
              <w:spacing w:before="65"/>
              <w:ind w:right="101"/>
              <w:jc w:val="right"/>
              <w:rPr>
                <w:rFonts w:ascii="Arial"/>
                <w:sz w:val="16"/>
              </w:rPr>
            </w:pPr>
            <w:r w:rsidRPr="00EB2BD8">
              <w:rPr>
                <w:rFonts w:ascii="Arial"/>
                <w:spacing w:val="-2"/>
                <w:w w:val="105"/>
                <w:sz w:val="16"/>
              </w:rPr>
              <w:t>(386)</w:t>
            </w:r>
          </w:p>
        </w:tc>
        <w:tc>
          <w:tcPr>
            <w:tcW w:w="1447" w:type="dxa"/>
            <w:tcBorders>
              <w:bottom w:val="single" w:sz="12" w:space="0" w:color="000000"/>
            </w:tcBorders>
            <w:shd w:val="clear" w:color="auto" w:fill="FFFFFF"/>
          </w:tcPr>
          <w:p w14:paraId="344D81E2" w14:textId="77777777" w:rsidR="00084F36" w:rsidRPr="00EB2BD8" w:rsidRDefault="00EB2BD8">
            <w:pPr>
              <w:pStyle w:val="TableParagraph"/>
              <w:spacing w:before="65"/>
              <w:ind w:right="101"/>
              <w:jc w:val="right"/>
              <w:rPr>
                <w:rFonts w:ascii="Arial"/>
                <w:sz w:val="16"/>
              </w:rPr>
            </w:pPr>
            <w:r w:rsidRPr="00EB2BD8">
              <w:rPr>
                <w:rFonts w:ascii="Arial"/>
                <w:spacing w:val="-2"/>
                <w:w w:val="105"/>
                <w:sz w:val="16"/>
              </w:rPr>
              <w:t>(2,587)</w:t>
            </w:r>
          </w:p>
        </w:tc>
      </w:tr>
      <w:tr w:rsidR="00EB2BD8" w:rsidRPr="00EB2BD8" w14:paraId="1FA8D303" w14:textId="77777777">
        <w:trPr>
          <w:trHeight w:val="285"/>
        </w:trPr>
        <w:tc>
          <w:tcPr>
            <w:tcW w:w="6182" w:type="dxa"/>
            <w:tcBorders>
              <w:top w:val="single" w:sz="12" w:space="0" w:color="000000"/>
              <w:bottom w:val="single" w:sz="12" w:space="0" w:color="000000"/>
            </w:tcBorders>
            <w:shd w:val="clear" w:color="auto" w:fill="FFFFFF"/>
          </w:tcPr>
          <w:p w14:paraId="7378E710" w14:textId="77777777" w:rsidR="00084F36" w:rsidRPr="00EB2BD8" w:rsidRDefault="00EB2BD8">
            <w:pPr>
              <w:pStyle w:val="TableParagraph"/>
              <w:spacing w:before="52"/>
              <w:ind w:left="100"/>
              <w:rPr>
                <w:rFonts w:ascii="Arial"/>
                <w:b/>
                <w:sz w:val="16"/>
              </w:rPr>
            </w:pPr>
            <w:r w:rsidRPr="00EB2BD8">
              <w:rPr>
                <w:rFonts w:ascii="Arial"/>
                <w:b/>
                <w:w w:val="105"/>
                <w:sz w:val="16"/>
              </w:rPr>
              <w:t>Total</w:t>
            </w:r>
            <w:r w:rsidRPr="00EB2BD8">
              <w:rPr>
                <w:rFonts w:ascii="Arial"/>
                <w:b/>
                <w:spacing w:val="-6"/>
                <w:w w:val="105"/>
                <w:sz w:val="16"/>
              </w:rPr>
              <w:t xml:space="preserve"> </w:t>
            </w:r>
            <w:r w:rsidRPr="00EB2BD8">
              <w:rPr>
                <w:rFonts w:ascii="Arial"/>
                <w:b/>
                <w:spacing w:val="-2"/>
                <w:w w:val="105"/>
                <w:sz w:val="16"/>
              </w:rPr>
              <w:t>receivables</w:t>
            </w:r>
          </w:p>
        </w:tc>
        <w:tc>
          <w:tcPr>
            <w:tcW w:w="1448" w:type="dxa"/>
            <w:tcBorders>
              <w:top w:val="single" w:sz="12" w:space="0" w:color="000000"/>
              <w:bottom w:val="single" w:sz="12" w:space="0" w:color="000000"/>
            </w:tcBorders>
            <w:shd w:val="clear" w:color="auto" w:fill="DEEAF6"/>
          </w:tcPr>
          <w:p w14:paraId="00454CD3" w14:textId="77777777" w:rsidR="00084F36" w:rsidRPr="00EB2BD8" w:rsidRDefault="00EB2BD8">
            <w:pPr>
              <w:pStyle w:val="TableParagraph"/>
              <w:spacing w:before="52"/>
              <w:ind w:right="101"/>
              <w:jc w:val="right"/>
              <w:rPr>
                <w:rFonts w:ascii="Arial"/>
                <w:b/>
                <w:sz w:val="16"/>
              </w:rPr>
            </w:pPr>
            <w:r w:rsidRPr="00EB2BD8">
              <w:rPr>
                <w:rFonts w:ascii="Arial"/>
                <w:b/>
                <w:spacing w:val="-2"/>
                <w:w w:val="105"/>
                <w:sz w:val="16"/>
              </w:rPr>
              <w:t>1,020</w:t>
            </w:r>
          </w:p>
        </w:tc>
        <w:tc>
          <w:tcPr>
            <w:tcW w:w="1447" w:type="dxa"/>
            <w:tcBorders>
              <w:top w:val="single" w:sz="12" w:space="0" w:color="000000"/>
              <w:bottom w:val="single" w:sz="12" w:space="0" w:color="000000"/>
            </w:tcBorders>
            <w:shd w:val="clear" w:color="auto" w:fill="FFFFFF"/>
          </w:tcPr>
          <w:p w14:paraId="7DA0DF70" w14:textId="77777777" w:rsidR="00084F36" w:rsidRPr="00EB2BD8" w:rsidRDefault="00EB2BD8">
            <w:pPr>
              <w:pStyle w:val="TableParagraph"/>
              <w:spacing w:before="52"/>
              <w:ind w:right="100"/>
              <w:jc w:val="right"/>
              <w:rPr>
                <w:rFonts w:ascii="Arial"/>
                <w:b/>
                <w:sz w:val="16"/>
              </w:rPr>
            </w:pPr>
            <w:r w:rsidRPr="00EB2BD8">
              <w:rPr>
                <w:rFonts w:ascii="Arial"/>
                <w:b/>
                <w:spacing w:val="-2"/>
                <w:w w:val="105"/>
                <w:sz w:val="16"/>
              </w:rPr>
              <w:t>1,327</w:t>
            </w:r>
          </w:p>
        </w:tc>
      </w:tr>
      <w:tr w:rsidR="00EB2BD8" w:rsidRPr="00EB2BD8" w14:paraId="06A26065" w14:textId="77777777">
        <w:trPr>
          <w:trHeight w:val="601"/>
        </w:trPr>
        <w:tc>
          <w:tcPr>
            <w:tcW w:w="6182" w:type="dxa"/>
            <w:tcBorders>
              <w:top w:val="single" w:sz="12" w:space="0" w:color="000000"/>
              <w:bottom w:val="single" w:sz="12" w:space="0" w:color="000000"/>
            </w:tcBorders>
            <w:shd w:val="clear" w:color="auto" w:fill="FFFFFF"/>
          </w:tcPr>
          <w:p w14:paraId="2AB3DD9A" w14:textId="77777777" w:rsidR="00084F36" w:rsidRPr="00EB2BD8" w:rsidRDefault="00EB2BD8">
            <w:pPr>
              <w:pStyle w:val="TableParagraph"/>
              <w:spacing w:before="52"/>
              <w:ind w:left="100"/>
              <w:rPr>
                <w:rFonts w:ascii="Arial"/>
                <w:b/>
                <w:sz w:val="16"/>
              </w:rPr>
            </w:pPr>
            <w:r w:rsidRPr="00EB2BD8">
              <w:rPr>
                <w:rFonts w:ascii="Arial"/>
                <w:b/>
                <w:spacing w:val="-2"/>
                <w:w w:val="105"/>
                <w:sz w:val="16"/>
              </w:rPr>
              <w:t>Represented</w:t>
            </w:r>
            <w:r w:rsidRPr="00EB2BD8">
              <w:rPr>
                <w:rFonts w:ascii="Arial"/>
                <w:b/>
                <w:spacing w:val="6"/>
                <w:w w:val="105"/>
                <w:sz w:val="16"/>
              </w:rPr>
              <w:t xml:space="preserve"> </w:t>
            </w:r>
            <w:r w:rsidRPr="00EB2BD8">
              <w:rPr>
                <w:rFonts w:ascii="Arial"/>
                <w:b/>
                <w:spacing w:val="-5"/>
                <w:w w:val="105"/>
                <w:sz w:val="16"/>
              </w:rPr>
              <w:t>by</w:t>
            </w:r>
          </w:p>
          <w:p w14:paraId="514929AC" w14:textId="77777777" w:rsidR="00084F36" w:rsidRPr="00EB2BD8" w:rsidRDefault="00EB2BD8">
            <w:pPr>
              <w:pStyle w:val="TableParagraph"/>
              <w:spacing w:before="118"/>
              <w:ind w:left="100"/>
              <w:rPr>
                <w:rFonts w:ascii="Arial"/>
                <w:sz w:val="16"/>
              </w:rPr>
            </w:pPr>
            <w:r w:rsidRPr="00EB2BD8">
              <w:rPr>
                <w:rFonts w:ascii="Arial"/>
                <w:w w:val="105"/>
                <w:sz w:val="16"/>
              </w:rPr>
              <w:t>Current</w:t>
            </w:r>
            <w:r w:rsidRPr="00EB2BD8">
              <w:rPr>
                <w:rFonts w:ascii="Arial"/>
                <w:spacing w:val="-10"/>
                <w:w w:val="105"/>
                <w:sz w:val="16"/>
              </w:rPr>
              <w:t xml:space="preserve"> </w:t>
            </w:r>
            <w:r w:rsidRPr="00EB2BD8">
              <w:rPr>
                <w:rFonts w:ascii="Arial"/>
                <w:spacing w:val="-2"/>
                <w:w w:val="105"/>
                <w:sz w:val="16"/>
              </w:rPr>
              <w:t>receivables</w:t>
            </w:r>
          </w:p>
        </w:tc>
        <w:tc>
          <w:tcPr>
            <w:tcW w:w="1448" w:type="dxa"/>
            <w:tcBorders>
              <w:top w:val="single" w:sz="12" w:space="0" w:color="000000"/>
              <w:bottom w:val="single" w:sz="12" w:space="0" w:color="000000"/>
            </w:tcBorders>
            <w:shd w:val="clear" w:color="auto" w:fill="DEEAF6"/>
          </w:tcPr>
          <w:p w14:paraId="7ED08552" w14:textId="77777777" w:rsidR="00084F36" w:rsidRPr="00EB2BD8" w:rsidRDefault="00084F36">
            <w:pPr>
              <w:pStyle w:val="TableParagraph"/>
              <w:rPr>
                <w:rFonts w:ascii="Arial"/>
                <w:sz w:val="18"/>
              </w:rPr>
            </w:pPr>
          </w:p>
          <w:p w14:paraId="209792D4" w14:textId="77777777" w:rsidR="00084F36" w:rsidRPr="00EB2BD8" w:rsidRDefault="00EB2BD8">
            <w:pPr>
              <w:pStyle w:val="TableParagraph"/>
              <w:spacing w:before="147"/>
              <w:ind w:right="101"/>
              <w:jc w:val="right"/>
              <w:rPr>
                <w:rFonts w:ascii="Arial"/>
                <w:sz w:val="16"/>
              </w:rPr>
            </w:pPr>
            <w:r w:rsidRPr="00EB2BD8">
              <w:rPr>
                <w:rFonts w:ascii="Arial"/>
                <w:spacing w:val="-2"/>
                <w:w w:val="105"/>
                <w:sz w:val="16"/>
              </w:rPr>
              <w:t>1,020</w:t>
            </w:r>
          </w:p>
        </w:tc>
        <w:tc>
          <w:tcPr>
            <w:tcW w:w="1447" w:type="dxa"/>
            <w:tcBorders>
              <w:top w:val="single" w:sz="12" w:space="0" w:color="000000"/>
              <w:bottom w:val="single" w:sz="12" w:space="0" w:color="000000"/>
            </w:tcBorders>
            <w:shd w:val="clear" w:color="auto" w:fill="FFFFFF"/>
          </w:tcPr>
          <w:p w14:paraId="71E88230" w14:textId="77777777" w:rsidR="00084F36" w:rsidRPr="00EB2BD8" w:rsidRDefault="00084F36">
            <w:pPr>
              <w:pStyle w:val="TableParagraph"/>
              <w:rPr>
                <w:rFonts w:ascii="Arial"/>
                <w:sz w:val="18"/>
              </w:rPr>
            </w:pPr>
          </w:p>
          <w:p w14:paraId="7FD76DF6" w14:textId="77777777" w:rsidR="00084F36" w:rsidRPr="00EB2BD8" w:rsidRDefault="00EB2BD8">
            <w:pPr>
              <w:pStyle w:val="TableParagraph"/>
              <w:spacing w:before="147"/>
              <w:ind w:right="100"/>
              <w:jc w:val="right"/>
              <w:rPr>
                <w:rFonts w:ascii="Arial"/>
                <w:sz w:val="16"/>
              </w:rPr>
            </w:pPr>
            <w:r w:rsidRPr="00EB2BD8">
              <w:rPr>
                <w:rFonts w:ascii="Arial"/>
                <w:spacing w:val="-2"/>
                <w:w w:val="105"/>
                <w:sz w:val="16"/>
              </w:rPr>
              <w:t>1,327</w:t>
            </w:r>
          </w:p>
        </w:tc>
      </w:tr>
    </w:tbl>
    <w:p w14:paraId="1E58B712" w14:textId="77777777" w:rsidR="00084F36" w:rsidRPr="00EB2BD8" w:rsidRDefault="00084F36">
      <w:pPr>
        <w:pStyle w:val="BodyText"/>
        <w:rPr>
          <w:rFonts w:ascii="Arial"/>
        </w:rPr>
      </w:pPr>
    </w:p>
    <w:p w14:paraId="4C73DFBE" w14:textId="77777777" w:rsidR="00084F36" w:rsidRPr="00EB2BD8" w:rsidRDefault="00084F36">
      <w:pPr>
        <w:pStyle w:val="BodyText"/>
        <w:rPr>
          <w:rFonts w:ascii="Arial"/>
        </w:rPr>
      </w:pPr>
    </w:p>
    <w:p w14:paraId="145B4A54" w14:textId="77777777" w:rsidR="00084F36" w:rsidRPr="00EB2BD8" w:rsidRDefault="00EB2BD8">
      <w:pPr>
        <w:spacing w:before="134" w:line="324" w:lineRule="auto"/>
        <w:ind w:left="1050" w:right="1813"/>
        <w:rPr>
          <w:rFonts w:ascii="Arial" w:hAnsi="Arial"/>
          <w:sz w:val="16"/>
        </w:rPr>
      </w:pPr>
      <w:r w:rsidRPr="00EB2BD8">
        <w:rPr>
          <w:rFonts w:ascii="Arial" w:hAnsi="Arial"/>
          <w:b/>
          <w:w w:val="105"/>
          <w:sz w:val="16"/>
        </w:rPr>
        <w:t xml:space="preserve">Contractual receivables </w:t>
      </w:r>
      <w:r w:rsidRPr="00EB2BD8">
        <w:rPr>
          <w:rFonts w:ascii="Arial" w:hAnsi="Arial"/>
          <w:w w:val="105"/>
          <w:sz w:val="16"/>
        </w:rPr>
        <w:t>are classified as financial instruments and categorised as ‘financial assets at amortised cost’. They are initially recognised at fair value plus any directly attributable transaction costs. The VBA holds the contractual receivables</w:t>
      </w:r>
      <w:r w:rsidRPr="00EB2BD8">
        <w:rPr>
          <w:rFonts w:ascii="Arial" w:hAnsi="Arial"/>
          <w:spacing w:val="-6"/>
          <w:w w:val="105"/>
          <w:sz w:val="16"/>
        </w:rPr>
        <w:t xml:space="preserve"> </w:t>
      </w:r>
      <w:r w:rsidRPr="00EB2BD8">
        <w:rPr>
          <w:rFonts w:ascii="Arial" w:hAnsi="Arial"/>
          <w:w w:val="105"/>
          <w:sz w:val="16"/>
        </w:rPr>
        <w:t>with</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6"/>
          <w:w w:val="105"/>
          <w:sz w:val="16"/>
        </w:rPr>
        <w:t xml:space="preserve"> </w:t>
      </w:r>
      <w:r w:rsidRPr="00EB2BD8">
        <w:rPr>
          <w:rFonts w:ascii="Arial" w:hAnsi="Arial"/>
          <w:w w:val="105"/>
          <w:sz w:val="16"/>
        </w:rPr>
        <w:t>objective</w:t>
      </w:r>
      <w:r w:rsidRPr="00EB2BD8">
        <w:rPr>
          <w:rFonts w:ascii="Arial" w:hAnsi="Arial"/>
          <w:spacing w:val="-6"/>
          <w:w w:val="105"/>
          <w:sz w:val="16"/>
        </w:rPr>
        <w:t xml:space="preserve"> </w:t>
      </w:r>
      <w:r w:rsidRPr="00EB2BD8">
        <w:rPr>
          <w:rFonts w:ascii="Arial" w:hAnsi="Arial"/>
          <w:w w:val="105"/>
          <w:sz w:val="16"/>
        </w:rPr>
        <w:t>to</w:t>
      </w:r>
      <w:r w:rsidRPr="00EB2BD8">
        <w:rPr>
          <w:rFonts w:ascii="Arial" w:hAnsi="Arial"/>
          <w:spacing w:val="-6"/>
          <w:w w:val="105"/>
          <w:sz w:val="16"/>
        </w:rPr>
        <w:t xml:space="preserve"> </w:t>
      </w:r>
      <w:r w:rsidRPr="00EB2BD8">
        <w:rPr>
          <w:rFonts w:ascii="Arial" w:hAnsi="Arial"/>
          <w:w w:val="105"/>
          <w:sz w:val="16"/>
        </w:rPr>
        <w:t>collect</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6"/>
          <w:w w:val="105"/>
          <w:sz w:val="16"/>
        </w:rPr>
        <w:t xml:space="preserve"> </w:t>
      </w:r>
      <w:r w:rsidRPr="00EB2BD8">
        <w:rPr>
          <w:rFonts w:ascii="Arial" w:hAnsi="Arial"/>
          <w:w w:val="105"/>
          <w:sz w:val="16"/>
        </w:rPr>
        <w:t>contractual</w:t>
      </w:r>
      <w:r w:rsidRPr="00EB2BD8">
        <w:rPr>
          <w:rFonts w:ascii="Arial" w:hAnsi="Arial"/>
          <w:spacing w:val="-6"/>
          <w:w w:val="105"/>
          <w:sz w:val="16"/>
        </w:rPr>
        <w:t xml:space="preserve"> </w:t>
      </w:r>
      <w:r w:rsidRPr="00EB2BD8">
        <w:rPr>
          <w:rFonts w:ascii="Arial" w:hAnsi="Arial"/>
          <w:w w:val="105"/>
          <w:sz w:val="16"/>
        </w:rPr>
        <w:t>cash</w:t>
      </w:r>
      <w:r w:rsidRPr="00EB2BD8">
        <w:rPr>
          <w:rFonts w:ascii="Arial" w:hAnsi="Arial"/>
          <w:spacing w:val="-6"/>
          <w:w w:val="105"/>
          <w:sz w:val="16"/>
        </w:rPr>
        <w:t xml:space="preserve"> </w:t>
      </w:r>
      <w:r w:rsidRPr="00EB2BD8">
        <w:rPr>
          <w:rFonts w:ascii="Arial" w:hAnsi="Arial"/>
          <w:w w:val="105"/>
          <w:sz w:val="16"/>
        </w:rPr>
        <w:t>flows</w:t>
      </w:r>
      <w:r w:rsidRPr="00EB2BD8">
        <w:rPr>
          <w:rFonts w:ascii="Arial" w:hAnsi="Arial"/>
          <w:spacing w:val="-6"/>
          <w:w w:val="105"/>
          <w:sz w:val="16"/>
        </w:rPr>
        <w:t xml:space="preserve"> </w:t>
      </w:r>
      <w:r w:rsidRPr="00EB2BD8">
        <w:rPr>
          <w:rFonts w:ascii="Arial" w:hAnsi="Arial"/>
          <w:w w:val="105"/>
          <w:sz w:val="16"/>
        </w:rPr>
        <w:t>and</w:t>
      </w:r>
      <w:r w:rsidRPr="00EB2BD8">
        <w:rPr>
          <w:rFonts w:ascii="Arial" w:hAnsi="Arial"/>
          <w:spacing w:val="-6"/>
          <w:w w:val="105"/>
          <w:sz w:val="16"/>
        </w:rPr>
        <w:t xml:space="preserve"> </w:t>
      </w:r>
      <w:r w:rsidRPr="00EB2BD8">
        <w:rPr>
          <w:rFonts w:ascii="Arial" w:hAnsi="Arial"/>
          <w:w w:val="105"/>
          <w:sz w:val="16"/>
        </w:rPr>
        <w:t>therefore</w:t>
      </w:r>
      <w:r w:rsidRPr="00EB2BD8">
        <w:rPr>
          <w:rFonts w:ascii="Arial" w:hAnsi="Arial"/>
          <w:spacing w:val="-6"/>
          <w:w w:val="105"/>
          <w:sz w:val="16"/>
        </w:rPr>
        <w:t xml:space="preserve"> </w:t>
      </w:r>
      <w:r w:rsidRPr="00EB2BD8">
        <w:rPr>
          <w:rFonts w:ascii="Arial" w:hAnsi="Arial"/>
          <w:w w:val="105"/>
          <w:sz w:val="16"/>
        </w:rPr>
        <w:t>subsequently</w:t>
      </w:r>
      <w:r w:rsidRPr="00EB2BD8">
        <w:rPr>
          <w:rFonts w:ascii="Arial" w:hAnsi="Arial"/>
          <w:spacing w:val="-6"/>
          <w:w w:val="105"/>
          <w:sz w:val="16"/>
        </w:rPr>
        <w:t xml:space="preserve"> </w:t>
      </w:r>
      <w:r w:rsidRPr="00EB2BD8">
        <w:rPr>
          <w:rFonts w:ascii="Arial" w:hAnsi="Arial"/>
          <w:w w:val="105"/>
          <w:sz w:val="16"/>
        </w:rPr>
        <w:t>measures</w:t>
      </w:r>
      <w:r w:rsidRPr="00EB2BD8">
        <w:rPr>
          <w:rFonts w:ascii="Arial" w:hAnsi="Arial"/>
          <w:spacing w:val="-5"/>
          <w:w w:val="105"/>
          <w:sz w:val="16"/>
        </w:rPr>
        <w:t xml:space="preserve"> </w:t>
      </w:r>
      <w:r w:rsidRPr="00EB2BD8">
        <w:rPr>
          <w:rFonts w:ascii="Arial" w:hAnsi="Arial"/>
          <w:w w:val="105"/>
          <w:sz w:val="16"/>
        </w:rPr>
        <w:t>at</w:t>
      </w:r>
      <w:r w:rsidRPr="00EB2BD8">
        <w:rPr>
          <w:rFonts w:ascii="Arial" w:hAnsi="Arial"/>
          <w:spacing w:val="-6"/>
          <w:w w:val="105"/>
          <w:sz w:val="16"/>
        </w:rPr>
        <w:t xml:space="preserve"> </w:t>
      </w:r>
      <w:r w:rsidRPr="00EB2BD8">
        <w:rPr>
          <w:rFonts w:ascii="Arial" w:hAnsi="Arial"/>
          <w:w w:val="105"/>
          <w:sz w:val="16"/>
        </w:rPr>
        <w:t>amortised</w:t>
      </w:r>
      <w:r w:rsidRPr="00EB2BD8">
        <w:rPr>
          <w:rFonts w:ascii="Arial" w:hAnsi="Arial"/>
          <w:spacing w:val="-6"/>
          <w:w w:val="105"/>
          <w:sz w:val="16"/>
        </w:rPr>
        <w:t xml:space="preserve"> </w:t>
      </w:r>
      <w:r w:rsidRPr="00EB2BD8">
        <w:rPr>
          <w:rFonts w:ascii="Arial" w:hAnsi="Arial"/>
          <w:w w:val="105"/>
          <w:sz w:val="16"/>
        </w:rPr>
        <w:t>cost using the effective interest method, less any impairment.</w:t>
      </w:r>
    </w:p>
    <w:p w14:paraId="0D3F24E0" w14:textId="77777777" w:rsidR="00084F36" w:rsidRPr="00EB2BD8" w:rsidRDefault="00084F36">
      <w:pPr>
        <w:pStyle w:val="BodyText"/>
        <w:spacing w:before="8"/>
        <w:rPr>
          <w:rFonts w:ascii="Arial"/>
          <w:sz w:val="21"/>
        </w:rPr>
      </w:pPr>
    </w:p>
    <w:p w14:paraId="4A766D3B" w14:textId="77777777" w:rsidR="00084F36" w:rsidRPr="00EB2BD8" w:rsidRDefault="00EB2BD8">
      <w:pPr>
        <w:spacing w:line="324" w:lineRule="auto"/>
        <w:ind w:left="1050" w:right="1813"/>
        <w:rPr>
          <w:rFonts w:ascii="Arial"/>
          <w:sz w:val="16"/>
        </w:rPr>
      </w:pPr>
      <w:r w:rsidRPr="00EB2BD8">
        <w:rPr>
          <w:rFonts w:ascii="Arial"/>
          <w:b/>
          <w:w w:val="105"/>
          <w:sz w:val="16"/>
        </w:rPr>
        <w:t xml:space="preserve">Statutory receivables </w:t>
      </w:r>
      <w:r w:rsidRPr="00EB2BD8">
        <w:rPr>
          <w:rFonts w:ascii="Arial"/>
          <w:w w:val="105"/>
          <w:sz w:val="16"/>
        </w:rPr>
        <w:t>do not arise from contracts and are recognised and measured similarly to contractual receivables (except for impairment) but are not classified as financial instruments for disclosure purposes. The VBA applies AASB 9 Financial</w:t>
      </w:r>
      <w:r w:rsidRPr="00EB2BD8">
        <w:rPr>
          <w:rFonts w:ascii="Arial"/>
          <w:spacing w:val="-7"/>
          <w:w w:val="105"/>
          <w:sz w:val="16"/>
        </w:rPr>
        <w:t xml:space="preserve"> </w:t>
      </w:r>
      <w:r w:rsidRPr="00EB2BD8">
        <w:rPr>
          <w:rFonts w:ascii="Arial"/>
          <w:w w:val="105"/>
          <w:sz w:val="16"/>
        </w:rPr>
        <w:t>Instruments</w:t>
      </w:r>
      <w:r w:rsidRPr="00EB2BD8">
        <w:rPr>
          <w:rFonts w:ascii="Arial"/>
          <w:spacing w:val="-6"/>
          <w:w w:val="105"/>
          <w:sz w:val="16"/>
        </w:rPr>
        <w:t xml:space="preserve"> </w:t>
      </w:r>
      <w:r w:rsidRPr="00EB2BD8">
        <w:rPr>
          <w:rFonts w:ascii="Arial"/>
          <w:w w:val="105"/>
          <w:sz w:val="16"/>
        </w:rPr>
        <w:t>for</w:t>
      </w:r>
      <w:r w:rsidRPr="00EB2BD8">
        <w:rPr>
          <w:rFonts w:ascii="Arial"/>
          <w:spacing w:val="-6"/>
          <w:w w:val="105"/>
          <w:sz w:val="16"/>
        </w:rPr>
        <w:t xml:space="preserve"> </w:t>
      </w:r>
      <w:r w:rsidRPr="00EB2BD8">
        <w:rPr>
          <w:rFonts w:ascii="Arial"/>
          <w:w w:val="105"/>
          <w:sz w:val="16"/>
        </w:rPr>
        <w:t>initial</w:t>
      </w:r>
      <w:r w:rsidRPr="00EB2BD8">
        <w:rPr>
          <w:rFonts w:ascii="Arial"/>
          <w:spacing w:val="-5"/>
          <w:w w:val="105"/>
          <w:sz w:val="16"/>
        </w:rPr>
        <w:t xml:space="preserve"> </w:t>
      </w:r>
      <w:r w:rsidRPr="00EB2BD8">
        <w:rPr>
          <w:rFonts w:ascii="Arial"/>
          <w:w w:val="105"/>
          <w:sz w:val="16"/>
        </w:rPr>
        <w:t>measurement</w:t>
      </w:r>
      <w:r w:rsidRPr="00EB2BD8">
        <w:rPr>
          <w:rFonts w:ascii="Arial"/>
          <w:spacing w:val="-6"/>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statutory</w:t>
      </w:r>
      <w:r w:rsidRPr="00EB2BD8">
        <w:rPr>
          <w:rFonts w:ascii="Arial"/>
          <w:spacing w:val="-6"/>
          <w:w w:val="105"/>
          <w:sz w:val="16"/>
        </w:rPr>
        <w:t xml:space="preserve"> </w:t>
      </w:r>
      <w:r w:rsidRPr="00EB2BD8">
        <w:rPr>
          <w:rFonts w:ascii="Arial"/>
          <w:w w:val="105"/>
          <w:sz w:val="16"/>
        </w:rPr>
        <w:t>receivables,</w:t>
      </w:r>
      <w:r w:rsidRPr="00EB2BD8">
        <w:rPr>
          <w:rFonts w:ascii="Arial"/>
          <w:spacing w:val="-6"/>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as</w:t>
      </w:r>
      <w:r w:rsidRPr="00EB2BD8">
        <w:rPr>
          <w:rFonts w:ascii="Arial"/>
          <w:spacing w:val="-6"/>
          <w:w w:val="105"/>
          <w:sz w:val="16"/>
        </w:rPr>
        <w:t xml:space="preserve"> </w:t>
      </w:r>
      <w:r w:rsidRPr="00EB2BD8">
        <w:rPr>
          <w:rFonts w:ascii="Arial"/>
          <w:w w:val="105"/>
          <w:sz w:val="16"/>
        </w:rPr>
        <w:t>a</w:t>
      </w:r>
      <w:r w:rsidRPr="00EB2BD8">
        <w:rPr>
          <w:rFonts w:ascii="Arial"/>
          <w:spacing w:val="-7"/>
          <w:w w:val="105"/>
          <w:sz w:val="16"/>
        </w:rPr>
        <w:t xml:space="preserve"> </w:t>
      </w:r>
      <w:r w:rsidRPr="00EB2BD8">
        <w:rPr>
          <w:rFonts w:ascii="Arial"/>
          <w:w w:val="105"/>
          <w:sz w:val="16"/>
        </w:rPr>
        <w:t>result,</w:t>
      </w:r>
      <w:r w:rsidRPr="00EB2BD8">
        <w:rPr>
          <w:rFonts w:ascii="Arial"/>
          <w:spacing w:val="-6"/>
          <w:w w:val="105"/>
          <w:sz w:val="16"/>
        </w:rPr>
        <w:t xml:space="preserve"> </w:t>
      </w:r>
      <w:r w:rsidRPr="00EB2BD8">
        <w:rPr>
          <w:rFonts w:ascii="Arial"/>
          <w:w w:val="105"/>
          <w:sz w:val="16"/>
        </w:rPr>
        <w:t>statutory</w:t>
      </w:r>
      <w:r w:rsidRPr="00EB2BD8">
        <w:rPr>
          <w:rFonts w:ascii="Arial"/>
          <w:spacing w:val="-6"/>
          <w:w w:val="105"/>
          <w:sz w:val="16"/>
        </w:rPr>
        <w:t xml:space="preserve"> </w:t>
      </w:r>
      <w:r w:rsidRPr="00EB2BD8">
        <w:rPr>
          <w:rFonts w:ascii="Arial"/>
          <w:w w:val="105"/>
          <w:sz w:val="16"/>
        </w:rPr>
        <w:t>receivables</w:t>
      </w:r>
      <w:r w:rsidRPr="00EB2BD8">
        <w:rPr>
          <w:rFonts w:ascii="Arial"/>
          <w:spacing w:val="-6"/>
          <w:w w:val="105"/>
          <w:sz w:val="16"/>
        </w:rPr>
        <w:t xml:space="preserve"> </w:t>
      </w:r>
      <w:r w:rsidRPr="00EB2BD8">
        <w:rPr>
          <w:rFonts w:ascii="Arial"/>
          <w:w w:val="105"/>
          <w:sz w:val="16"/>
        </w:rPr>
        <w:t>are</w:t>
      </w:r>
      <w:r w:rsidRPr="00EB2BD8">
        <w:rPr>
          <w:rFonts w:ascii="Arial"/>
          <w:spacing w:val="-7"/>
          <w:w w:val="105"/>
          <w:sz w:val="16"/>
        </w:rPr>
        <w:t xml:space="preserve"> </w:t>
      </w:r>
      <w:r w:rsidRPr="00EB2BD8">
        <w:rPr>
          <w:rFonts w:ascii="Arial"/>
          <w:w w:val="105"/>
          <w:sz w:val="16"/>
        </w:rPr>
        <w:t>initially recognised</w:t>
      </w:r>
      <w:r w:rsidRPr="00EB2BD8">
        <w:rPr>
          <w:rFonts w:ascii="Arial"/>
          <w:spacing w:val="-5"/>
          <w:w w:val="105"/>
          <w:sz w:val="16"/>
        </w:rPr>
        <w:t xml:space="preserve"> </w:t>
      </w:r>
      <w:r w:rsidRPr="00EB2BD8">
        <w:rPr>
          <w:rFonts w:ascii="Arial"/>
          <w:w w:val="105"/>
          <w:sz w:val="16"/>
        </w:rPr>
        <w:t>at</w:t>
      </w:r>
      <w:r w:rsidRPr="00EB2BD8">
        <w:rPr>
          <w:rFonts w:ascii="Arial"/>
          <w:spacing w:val="-5"/>
          <w:w w:val="105"/>
          <w:sz w:val="16"/>
        </w:rPr>
        <w:t xml:space="preserve"> </w:t>
      </w:r>
      <w:r w:rsidRPr="00EB2BD8">
        <w:rPr>
          <w:rFonts w:ascii="Arial"/>
          <w:w w:val="105"/>
          <w:sz w:val="16"/>
        </w:rPr>
        <w:t>fair</w:t>
      </w:r>
      <w:r w:rsidRPr="00EB2BD8">
        <w:rPr>
          <w:rFonts w:ascii="Arial"/>
          <w:spacing w:val="-5"/>
          <w:w w:val="105"/>
          <w:sz w:val="16"/>
        </w:rPr>
        <w:t xml:space="preserve"> </w:t>
      </w:r>
      <w:r w:rsidRPr="00EB2BD8">
        <w:rPr>
          <w:rFonts w:ascii="Arial"/>
          <w:w w:val="105"/>
          <w:sz w:val="16"/>
        </w:rPr>
        <w:t>value</w:t>
      </w:r>
      <w:r w:rsidRPr="00EB2BD8">
        <w:rPr>
          <w:rFonts w:ascii="Arial"/>
          <w:spacing w:val="-5"/>
          <w:w w:val="105"/>
          <w:sz w:val="16"/>
        </w:rPr>
        <w:t xml:space="preserve"> </w:t>
      </w:r>
      <w:r w:rsidRPr="00EB2BD8">
        <w:rPr>
          <w:rFonts w:ascii="Arial"/>
          <w:w w:val="105"/>
          <w:sz w:val="16"/>
        </w:rPr>
        <w:t>plus</w:t>
      </w:r>
      <w:r w:rsidRPr="00EB2BD8">
        <w:rPr>
          <w:rFonts w:ascii="Arial"/>
          <w:spacing w:val="-5"/>
          <w:w w:val="105"/>
          <w:sz w:val="16"/>
        </w:rPr>
        <w:t xml:space="preserve"> </w:t>
      </w:r>
      <w:r w:rsidRPr="00EB2BD8">
        <w:rPr>
          <w:rFonts w:ascii="Arial"/>
          <w:w w:val="105"/>
          <w:sz w:val="16"/>
        </w:rPr>
        <w:t>any</w:t>
      </w:r>
      <w:r w:rsidRPr="00EB2BD8">
        <w:rPr>
          <w:rFonts w:ascii="Arial"/>
          <w:spacing w:val="-5"/>
          <w:w w:val="105"/>
          <w:sz w:val="16"/>
        </w:rPr>
        <w:t xml:space="preserve"> </w:t>
      </w:r>
      <w:r w:rsidRPr="00EB2BD8">
        <w:rPr>
          <w:rFonts w:ascii="Arial"/>
          <w:w w:val="105"/>
          <w:sz w:val="16"/>
        </w:rPr>
        <w:t>directly</w:t>
      </w:r>
      <w:r w:rsidRPr="00EB2BD8">
        <w:rPr>
          <w:rFonts w:ascii="Arial"/>
          <w:spacing w:val="-5"/>
          <w:w w:val="105"/>
          <w:sz w:val="16"/>
        </w:rPr>
        <w:t xml:space="preserve"> </w:t>
      </w:r>
      <w:r w:rsidRPr="00EB2BD8">
        <w:rPr>
          <w:rFonts w:ascii="Arial"/>
          <w:w w:val="105"/>
          <w:sz w:val="16"/>
        </w:rPr>
        <w:t>attributable</w:t>
      </w:r>
      <w:r w:rsidRPr="00EB2BD8">
        <w:rPr>
          <w:rFonts w:ascii="Arial"/>
          <w:spacing w:val="-5"/>
          <w:w w:val="105"/>
          <w:sz w:val="16"/>
        </w:rPr>
        <w:t xml:space="preserve"> </w:t>
      </w:r>
      <w:r w:rsidRPr="00EB2BD8">
        <w:rPr>
          <w:rFonts w:ascii="Arial"/>
          <w:w w:val="105"/>
          <w:sz w:val="16"/>
        </w:rPr>
        <w:t>transaction</w:t>
      </w:r>
      <w:r w:rsidRPr="00EB2BD8">
        <w:rPr>
          <w:rFonts w:ascii="Arial"/>
          <w:spacing w:val="-5"/>
          <w:w w:val="105"/>
          <w:sz w:val="16"/>
        </w:rPr>
        <w:t xml:space="preserve"> </w:t>
      </w:r>
      <w:r w:rsidRPr="00EB2BD8">
        <w:rPr>
          <w:rFonts w:ascii="Arial"/>
          <w:w w:val="105"/>
          <w:sz w:val="16"/>
        </w:rPr>
        <w:t>cost.</w:t>
      </w:r>
      <w:r w:rsidRPr="00EB2BD8">
        <w:rPr>
          <w:rFonts w:ascii="Arial"/>
          <w:spacing w:val="-5"/>
          <w:w w:val="105"/>
          <w:sz w:val="16"/>
        </w:rPr>
        <w:t xml:space="preserve"> </w:t>
      </w:r>
      <w:r w:rsidRPr="00EB2BD8">
        <w:rPr>
          <w:rFonts w:ascii="Arial"/>
          <w:w w:val="105"/>
          <w:sz w:val="16"/>
        </w:rPr>
        <w:t>Amounts</w:t>
      </w:r>
      <w:r w:rsidRPr="00EB2BD8">
        <w:rPr>
          <w:rFonts w:ascii="Arial"/>
          <w:spacing w:val="-5"/>
          <w:w w:val="105"/>
          <w:sz w:val="16"/>
        </w:rPr>
        <w:t xml:space="preserve"> </w:t>
      </w:r>
      <w:r w:rsidRPr="00EB2BD8">
        <w:rPr>
          <w:rFonts w:ascii="Arial"/>
          <w:w w:val="105"/>
          <w:sz w:val="16"/>
        </w:rPr>
        <w:t>recognised</w:t>
      </w:r>
      <w:r w:rsidRPr="00EB2BD8">
        <w:rPr>
          <w:rFonts w:ascii="Arial"/>
          <w:spacing w:val="-5"/>
          <w:w w:val="105"/>
          <w:sz w:val="16"/>
        </w:rPr>
        <w:t xml:space="preserve"> </w:t>
      </w:r>
      <w:r w:rsidRPr="00EB2BD8">
        <w:rPr>
          <w:rFonts w:ascii="Arial"/>
          <w:w w:val="105"/>
          <w:sz w:val="16"/>
        </w:rPr>
        <w:t>from</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Victorian</w:t>
      </w:r>
      <w:r w:rsidRPr="00EB2BD8">
        <w:rPr>
          <w:rFonts w:ascii="Arial"/>
          <w:spacing w:val="-5"/>
          <w:w w:val="105"/>
          <w:sz w:val="16"/>
        </w:rPr>
        <w:t xml:space="preserve"> </w:t>
      </w:r>
      <w:r w:rsidRPr="00EB2BD8">
        <w:rPr>
          <w:rFonts w:ascii="Arial"/>
          <w:w w:val="105"/>
          <w:sz w:val="16"/>
        </w:rPr>
        <w:t>Government represent funding for all commitments incurred and are drawn from the Consolidated Fund as the commitments fall due.</w:t>
      </w:r>
    </w:p>
    <w:p w14:paraId="3C4951B1" w14:textId="77777777" w:rsidR="00084F36" w:rsidRPr="00EB2BD8" w:rsidRDefault="00084F36">
      <w:pPr>
        <w:pStyle w:val="BodyText"/>
        <w:spacing w:before="8"/>
        <w:rPr>
          <w:rFonts w:ascii="Arial"/>
          <w:sz w:val="21"/>
        </w:rPr>
      </w:pPr>
    </w:p>
    <w:p w14:paraId="63CFC44C" w14:textId="77777777" w:rsidR="00084F36" w:rsidRPr="00EB2BD8" w:rsidRDefault="00EB2BD8">
      <w:pPr>
        <w:spacing w:before="1" w:line="326" w:lineRule="auto"/>
        <w:ind w:left="1050" w:right="1672"/>
        <w:rPr>
          <w:rFonts w:ascii="Arial" w:hAnsi="Arial"/>
          <w:sz w:val="16"/>
        </w:rPr>
      </w:pPr>
      <w:r w:rsidRPr="00EB2BD8">
        <w:rPr>
          <w:rFonts w:ascii="Arial" w:hAnsi="Arial"/>
          <w:w w:val="105"/>
          <w:sz w:val="16"/>
        </w:rPr>
        <w:t>Details</w:t>
      </w:r>
      <w:r w:rsidRPr="00EB2BD8">
        <w:rPr>
          <w:rFonts w:ascii="Arial" w:hAnsi="Arial"/>
          <w:spacing w:val="-4"/>
          <w:w w:val="105"/>
          <w:sz w:val="16"/>
        </w:rPr>
        <w:t xml:space="preserve"> </w:t>
      </w:r>
      <w:r w:rsidRPr="00EB2BD8">
        <w:rPr>
          <w:rFonts w:ascii="Arial" w:hAnsi="Arial"/>
          <w:w w:val="105"/>
          <w:sz w:val="16"/>
        </w:rPr>
        <w:t>about</w:t>
      </w:r>
      <w:r w:rsidRPr="00EB2BD8">
        <w:rPr>
          <w:rFonts w:ascii="Arial" w:hAnsi="Arial"/>
          <w:spacing w:val="-5"/>
          <w:w w:val="105"/>
          <w:sz w:val="16"/>
        </w:rPr>
        <w:t xml:space="preserve"> </w:t>
      </w:r>
      <w:r w:rsidRPr="00EB2BD8">
        <w:rPr>
          <w:rFonts w:ascii="Arial" w:hAnsi="Arial"/>
          <w:w w:val="105"/>
          <w:sz w:val="16"/>
        </w:rPr>
        <w:t>the</w:t>
      </w:r>
      <w:r w:rsidRPr="00EB2BD8">
        <w:rPr>
          <w:rFonts w:ascii="Arial" w:hAnsi="Arial"/>
          <w:spacing w:val="-6"/>
          <w:w w:val="105"/>
          <w:sz w:val="16"/>
        </w:rPr>
        <w:t xml:space="preserve"> </w:t>
      </w:r>
      <w:r w:rsidRPr="00EB2BD8">
        <w:rPr>
          <w:rFonts w:ascii="Arial" w:hAnsi="Arial"/>
          <w:w w:val="105"/>
          <w:sz w:val="16"/>
        </w:rPr>
        <w:t>VBA’s</w:t>
      </w:r>
      <w:r w:rsidRPr="00EB2BD8">
        <w:rPr>
          <w:rFonts w:ascii="Arial" w:hAnsi="Arial"/>
          <w:spacing w:val="-5"/>
          <w:w w:val="105"/>
          <w:sz w:val="16"/>
        </w:rPr>
        <w:t xml:space="preserve"> </w:t>
      </w:r>
      <w:r w:rsidRPr="00EB2BD8">
        <w:rPr>
          <w:rFonts w:ascii="Arial" w:hAnsi="Arial"/>
          <w:w w:val="105"/>
          <w:sz w:val="16"/>
        </w:rPr>
        <w:t>impairment</w:t>
      </w:r>
      <w:r w:rsidRPr="00EB2BD8">
        <w:rPr>
          <w:rFonts w:ascii="Arial" w:hAnsi="Arial"/>
          <w:spacing w:val="-5"/>
          <w:w w:val="105"/>
          <w:sz w:val="16"/>
        </w:rPr>
        <w:t xml:space="preserve"> </w:t>
      </w:r>
      <w:r w:rsidRPr="00EB2BD8">
        <w:rPr>
          <w:rFonts w:ascii="Arial" w:hAnsi="Arial"/>
          <w:w w:val="105"/>
          <w:sz w:val="16"/>
        </w:rPr>
        <w:t>policies,</w:t>
      </w:r>
      <w:r w:rsidRPr="00EB2BD8">
        <w:rPr>
          <w:rFonts w:ascii="Arial" w:hAnsi="Arial"/>
          <w:spacing w:val="-4"/>
          <w:w w:val="105"/>
          <w:sz w:val="16"/>
        </w:rPr>
        <w:t xml:space="preserve"> </w:t>
      </w:r>
      <w:r w:rsidRPr="00EB2BD8">
        <w:rPr>
          <w:rFonts w:ascii="Arial" w:hAnsi="Arial"/>
          <w:w w:val="105"/>
          <w:sz w:val="16"/>
        </w:rPr>
        <w:t>the</w:t>
      </w:r>
      <w:r w:rsidRPr="00EB2BD8">
        <w:rPr>
          <w:rFonts w:ascii="Arial" w:hAnsi="Arial"/>
          <w:spacing w:val="-6"/>
          <w:w w:val="105"/>
          <w:sz w:val="16"/>
        </w:rPr>
        <w:t xml:space="preserve"> </w:t>
      </w:r>
      <w:r w:rsidRPr="00EB2BD8">
        <w:rPr>
          <w:rFonts w:ascii="Arial" w:hAnsi="Arial"/>
          <w:w w:val="105"/>
          <w:sz w:val="16"/>
        </w:rPr>
        <w:t>VBA’s</w:t>
      </w:r>
      <w:r w:rsidRPr="00EB2BD8">
        <w:rPr>
          <w:rFonts w:ascii="Arial" w:hAnsi="Arial"/>
          <w:spacing w:val="-5"/>
          <w:w w:val="105"/>
          <w:sz w:val="16"/>
        </w:rPr>
        <w:t xml:space="preserve"> </w:t>
      </w:r>
      <w:r w:rsidRPr="00EB2BD8">
        <w:rPr>
          <w:rFonts w:ascii="Arial" w:hAnsi="Arial"/>
          <w:w w:val="105"/>
          <w:sz w:val="16"/>
        </w:rPr>
        <w:t>exposure</w:t>
      </w:r>
      <w:r w:rsidRPr="00EB2BD8">
        <w:rPr>
          <w:rFonts w:ascii="Arial" w:hAnsi="Arial"/>
          <w:spacing w:val="-6"/>
          <w:w w:val="105"/>
          <w:sz w:val="16"/>
        </w:rPr>
        <w:t xml:space="preserve"> </w:t>
      </w:r>
      <w:r w:rsidRPr="00EB2BD8">
        <w:rPr>
          <w:rFonts w:ascii="Arial" w:hAnsi="Arial"/>
          <w:w w:val="105"/>
          <w:sz w:val="16"/>
        </w:rPr>
        <w:t>to</w:t>
      </w:r>
      <w:r w:rsidRPr="00EB2BD8">
        <w:rPr>
          <w:rFonts w:ascii="Arial" w:hAnsi="Arial"/>
          <w:spacing w:val="-6"/>
          <w:w w:val="105"/>
          <w:sz w:val="16"/>
        </w:rPr>
        <w:t xml:space="preserve"> </w:t>
      </w:r>
      <w:r w:rsidRPr="00EB2BD8">
        <w:rPr>
          <w:rFonts w:ascii="Arial" w:hAnsi="Arial"/>
          <w:w w:val="105"/>
          <w:sz w:val="16"/>
        </w:rPr>
        <w:t>credit</w:t>
      </w:r>
      <w:r w:rsidRPr="00EB2BD8">
        <w:rPr>
          <w:rFonts w:ascii="Arial" w:hAnsi="Arial"/>
          <w:spacing w:val="-5"/>
          <w:w w:val="105"/>
          <w:sz w:val="16"/>
        </w:rPr>
        <w:t xml:space="preserve"> </w:t>
      </w:r>
      <w:r w:rsidRPr="00EB2BD8">
        <w:rPr>
          <w:rFonts w:ascii="Arial" w:hAnsi="Arial"/>
          <w:w w:val="105"/>
          <w:sz w:val="16"/>
        </w:rPr>
        <w:t>risk,</w:t>
      </w:r>
      <w:r w:rsidRPr="00EB2BD8">
        <w:rPr>
          <w:rFonts w:ascii="Arial" w:hAnsi="Arial"/>
          <w:spacing w:val="-5"/>
          <w:w w:val="105"/>
          <w:sz w:val="16"/>
        </w:rPr>
        <w:t xml:space="preserve"> </w:t>
      </w:r>
      <w:r w:rsidRPr="00EB2BD8">
        <w:rPr>
          <w:rFonts w:ascii="Arial" w:hAnsi="Arial"/>
          <w:w w:val="105"/>
          <w:sz w:val="16"/>
        </w:rPr>
        <w:t>and</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6"/>
          <w:w w:val="105"/>
          <w:sz w:val="16"/>
        </w:rPr>
        <w:t xml:space="preserve"> </w:t>
      </w:r>
      <w:r w:rsidRPr="00EB2BD8">
        <w:rPr>
          <w:rFonts w:ascii="Arial" w:hAnsi="Arial"/>
          <w:w w:val="105"/>
          <w:sz w:val="16"/>
        </w:rPr>
        <w:t>calculation</w:t>
      </w:r>
      <w:r w:rsidRPr="00EB2BD8">
        <w:rPr>
          <w:rFonts w:ascii="Arial" w:hAnsi="Arial"/>
          <w:spacing w:val="-6"/>
          <w:w w:val="105"/>
          <w:sz w:val="16"/>
        </w:rPr>
        <w:t xml:space="preserve"> </w:t>
      </w:r>
      <w:r w:rsidRPr="00EB2BD8">
        <w:rPr>
          <w:rFonts w:ascii="Arial" w:hAnsi="Arial"/>
          <w:w w:val="105"/>
          <w:sz w:val="16"/>
        </w:rPr>
        <w:t>of</w:t>
      </w:r>
      <w:r w:rsidRPr="00EB2BD8">
        <w:rPr>
          <w:rFonts w:ascii="Arial" w:hAnsi="Arial"/>
          <w:spacing w:val="-5"/>
          <w:w w:val="105"/>
          <w:sz w:val="16"/>
        </w:rPr>
        <w:t xml:space="preserve"> </w:t>
      </w: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w w:val="105"/>
          <w:sz w:val="16"/>
        </w:rPr>
        <w:t>loss</w:t>
      </w:r>
      <w:r w:rsidRPr="00EB2BD8">
        <w:rPr>
          <w:rFonts w:ascii="Arial" w:hAnsi="Arial"/>
          <w:spacing w:val="-5"/>
          <w:w w:val="105"/>
          <w:sz w:val="16"/>
        </w:rPr>
        <w:t xml:space="preserve"> </w:t>
      </w:r>
      <w:r w:rsidRPr="00EB2BD8">
        <w:rPr>
          <w:rFonts w:ascii="Arial" w:hAnsi="Arial"/>
          <w:w w:val="105"/>
          <w:sz w:val="16"/>
        </w:rPr>
        <w:t>allowance</w:t>
      </w:r>
      <w:r w:rsidRPr="00EB2BD8">
        <w:rPr>
          <w:rFonts w:ascii="Arial" w:hAnsi="Arial"/>
          <w:spacing w:val="-5"/>
          <w:w w:val="105"/>
          <w:sz w:val="16"/>
        </w:rPr>
        <w:t xml:space="preserve"> </w:t>
      </w:r>
      <w:r w:rsidRPr="00EB2BD8">
        <w:rPr>
          <w:rFonts w:ascii="Arial" w:hAnsi="Arial"/>
          <w:w w:val="105"/>
          <w:sz w:val="16"/>
        </w:rPr>
        <w:t>are set out in note 7.1.3.</w:t>
      </w:r>
    </w:p>
    <w:p w14:paraId="34AA7F03" w14:textId="77777777" w:rsidR="00084F36" w:rsidRPr="00EB2BD8" w:rsidRDefault="00084F36">
      <w:pPr>
        <w:pStyle w:val="BodyText"/>
        <w:rPr>
          <w:rFonts w:ascii="Arial"/>
          <w:sz w:val="20"/>
        </w:rPr>
      </w:pPr>
    </w:p>
    <w:p w14:paraId="0BD7630B" w14:textId="77777777" w:rsidR="00084F36" w:rsidRPr="00EB2BD8" w:rsidRDefault="00084F36">
      <w:pPr>
        <w:pStyle w:val="BodyText"/>
        <w:rPr>
          <w:rFonts w:ascii="Arial"/>
          <w:sz w:val="20"/>
        </w:rPr>
      </w:pPr>
    </w:p>
    <w:p w14:paraId="60FF6560" w14:textId="77777777" w:rsidR="00084F36" w:rsidRPr="00EB2BD8" w:rsidRDefault="00084F36">
      <w:pPr>
        <w:pStyle w:val="BodyText"/>
        <w:rPr>
          <w:rFonts w:ascii="Arial"/>
          <w:sz w:val="20"/>
        </w:rPr>
      </w:pPr>
    </w:p>
    <w:p w14:paraId="40E0FF8C" w14:textId="77777777" w:rsidR="00084F36" w:rsidRPr="00EB2BD8" w:rsidRDefault="00084F36">
      <w:pPr>
        <w:pStyle w:val="BodyText"/>
        <w:rPr>
          <w:rFonts w:ascii="Arial"/>
          <w:sz w:val="20"/>
        </w:rPr>
      </w:pPr>
    </w:p>
    <w:p w14:paraId="12B87860" w14:textId="77777777" w:rsidR="00084F36" w:rsidRPr="00EB2BD8" w:rsidRDefault="00084F36">
      <w:pPr>
        <w:pStyle w:val="BodyText"/>
        <w:rPr>
          <w:rFonts w:ascii="Arial"/>
          <w:sz w:val="20"/>
        </w:rPr>
      </w:pPr>
    </w:p>
    <w:p w14:paraId="49EEBE89" w14:textId="77777777" w:rsidR="00084F36" w:rsidRPr="00EB2BD8" w:rsidRDefault="00084F36">
      <w:pPr>
        <w:pStyle w:val="BodyText"/>
        <w:spacing w:before="2"/>
        <w:rPr>
          <w:rFonts w:ascii="Arial"/>
          <w:sz w:val="23"/>
        </w:rPr>
      </w:pPr>
    </w:p>
    <w:p w14:paraId="6710686E" w14:textId="5DFFA242" w:rsidR="00084F36" w:rsidRPr="00EB2BD8" w:rsidRDefault="00EB2BD8">
      <w:pPr>
        <w:tabs>
          <w:tab w:val="left" w:pos="1906"/>
        </w:tabs>
        <w:spacing w:before="91"/>
        <w:ind w:left="842"/>
        <w:rPr>
          <w:b/>
          <w:sz w:val="16"/>
        </w:rPr>
      </w:pPr>
      <w:r w:rsidRPr="00EB2BD8">
        <w:rPr>
          <w:sz w:val="16"/>
        </w:rPr>
        <w:tab/>
      </w:r>
    </w:p>
    <w:p w14:paraId="7B833BEB" w14:textId="77777777" w:rsidR="00084F36" w:rsidRPr="00EB2BD8" w:rsidRDefault="00084F36">
      <w:pPr>
        <w:rPr>
          <w:sz w:val="16"/>
        </w:rPr>
        <w:sectPr w:rsidR="00084F36" w:rsidRPr="00EB2BD8" w:rsidSect="006D75B2">
          <w:headerReference w:type="even" r:id="rId304"/>
          <w:footerReference w:type="even" r:id="rId305"/>
          <w:footerReference w:type="default" r:id="rId306"/>
          <w:pgSz w:w="11910" w:h="16840"/>
          <w:pgMar w:top="780" w:right="0" w:bottom="280" w:left="0" w:header="0" w:footer="0" w:gutter="0"/>
          <w:cols w:space="720"/>
        </w:sectPr>
      </w:pPr>
    </w:p>
    <w:p w14:paraId="044C93E2" w14:textId="77777777" w:rsidR="00084F36" w:rsidRPr="00EB2BD8" w:rsidRDefault="00084F36">
      <w:pPr>
        <w:pStyle w:val="BodyText"/>
        <w:rPr>
          <w:sz w:val="20"/>
        </w:rPr>
      </w:pPr>
    </w:p>
    <w:p w14:paraId="08D1EA32" w14:textId="77777777" w:rsidR="00084F36" w:rsidRPr="00EB2BD8" w:rsidRDefault="00084F36">
      <w:pPr>
        <w:pStyle w:val="BodyText"/>
        <w:rPr>
          <w:sz w:val="20"/>
        </w:rPr>
      </w:pPr>
    </w:p>
    <w:p w14:paraId="78123044" w14:textId="77777777" w:rsidR="00084F36" w:rsidRPr="00EB2BD8" w:rsidRDefault="00084F36">
      <w:pPr>
        <w:pStyle w:val="BodyText"/>
        <w:rPr>
          <w:sz w:val="20"/>
        </w:rPr>
      </w:pPr>
    </w:p>
    <w:p w14:paraId="6CD29211" w14:textId="77777777" w:rsidR="00084F36" w:rsidRPr="00EB2BD8" w:rsidRDefault="00084F36">
      <w:pPr>
        <w:pStyle w:val="BodyText"/>
        <w:rPr>
          <w:sz w:val="20"/>
        </w:rPr>
      </w:pPr>
    </w:p>
    <w:p w14:paraId="653A8FA2" w14:textId="77777777" w:rsidR="00084F36" w:rsidRPr="00EB2BD8" w:rsidRDefault="00084F36">
      <w:pPr>
        <w:pStyle w:val="BodyText"/>
        <w:rPr>
          <w:sz w:val="20"/>
        </w:rPr>
      </w:pPr>
    </w:p>
    <w:p w14:paraId="647AE1BE" w14:textId="26C8654A" w:rsidR="00084F36" w:rsidRPr="00EB2BD8" w:rsidRDefault="00273892" w:rsidP="000B7959">
      <w:pPr>
        <w:pStyle w:val="Heading2"/>
      </w:pPr>
      <w:r>
        <w:t xml:space="preserve"> </w:t>
      </w:r>
      <w:bookmarkStart w:id="299" w:name="_Toc150762601"/>
      <w:r>
        <w:t>5.2 P</w:t>
      </w:r>
      <w:r w:rsidRPr="00EB2BD8">
        <w:t>ayables</w:t>
      </w:r>
      <w:bookmarkEnd w:id="299"/>
    </w:p>
    <w:p w14:paraId="59332B23" w14:textId="77777777" w:rsidR="00084F36" w:rsidRPr="00EB2BD8" w:rsidRDefault="00084F36">
      <w:pPr>
        <w:pStyle w:val="BodyText"/>
        <w:spacing w:before="9"/>
        <w:rPr>
          <w:rFonts w:ascii="Arial"/>
          <w:b/>
          <w:sz w:val="11"/>
        </w:rPr>
      </w:pPr>
    </w:p>
    <w:p w14:paraId="1B0AB3E3" w14:textId="77777777" w:rsidR="00084F36" w:rsidRPr="00EB2BD8" w:rsidRDefault="00EB2BD8">
      <w:pPr>
        <w:spacing w:before="102" w:after="48"/>
        <w:ind w:right="1863"/>
        <w:jc w:val="right"/>
        <w:rPr>
          <w:rFonts w:ascii="Arial" w:hAnsi="Arial"/>
          <w:sz w:val="16"/>
        </w:rPr>
      </w:pPr>
      <w:r w:rsidRPr="00EB2BD8">
        <w:rPr>
          <w:rFonts w:ascii="Arial" w:hAnsi="Arial"/>
          <w:spacing w:val="-2"/>
          <w:w w:val="105"/>
          <w:sz w:val="16"/>
        </w:rPr>
        <w:t>($’000)</w:t>
      </w:r>
    </w:p>
    <w:tbl>
      <w:tblPr>
        <w:tblW w:w="0" w:type="auto"/>
        <w:tblInd w:w="1019" w:type="dxa"/>
        <w:tblLayout w:type="fixed"/>
        <w:tblCellMar>
          <w:left w:w="0" w:type="dxa"/>
          <w:right w:w="0" w:type="dxa"/>
        </w:tblCellMar>
        <w:tblLook w:val="01E0" w:firstRow="1" w:lastRow="1" w:firstColumn="1" w:lastColumn="1" w:noHBand="0" w:noVBand="0"/>
      </w:tblPr>
      <w:tblGrid>
        <w:gridCol w:w="6084"/>
        <w:gridCol w:w="1400"/>
        <w:gridCol w:w="1643"/>
      </w:tblGrid>
      <w:tr w:rsidR="00EB2BD8" w:rsidRPr="00EB2BD8" w14:paraId="0D386771" w14:textId="77777777">
        <w:trPr>
          <w:trHeight w:val="307"/>
        </w:trPr>
        <w:tc>
          <w:tcPr>
            <w:tcW w:w="7484" w:type="dxa"/>
            <w:gridSpan w:val="2"/>
            <w:tcBorders>
              <w:top w:val="single" w:sz="4" w:space="0" w:color="0098FF"/>
              <w:bottom w:val="single" w:sz="4" w:space="0" w:color="0098FF"/>
            </w:tcBorders>
            <w:shd w:val="clear" w:color="auto" w:fill="0070C0"/>
          </w:tcPr>
          <w:p w14:paraId="04A3BA99" w14:textId="77777777" w:rsidR="00084F36" w:rsidRPr="00EB2BD8" w:rsidRDefault="00EB2BD8">
            <w:pPr>
              <w:pStyle w:val="TableParagraph"/>
              <w:spacing w:before="64"/>
              <w:ind w:right="95"/>
              <w:jc w:val="right"/>
              <w:rPr>
                <w:rFonts w:ascii="Arial"/>
                <w:b/>
                <w:sz w:val="16"/>
              </w:rPr>
            </w:pPr>
            <w:r w:rsidRPr="00EB2BD8">
              <w:rPr>
                <w:rFonts w:ascii="Arial"/>
                <w:b/>
                <w:spacing w:val="-4"/>
                <w:w w:val="105"/>
                <w:sz w:val="16"/>
              </w:rPr>
              <w:t>2023</w:t>
            </w:r>
          </w:p>
        </w:tc>
        <w:tc>
          <w:tcPr>
            <w:tcW w:w="1643" w:type="dxa"/>
            <w:tcBorders>
              <w:top w:val="single" w:sz="4" w:space="0" w:color="0098FF"/>
              <w:bottom w:val="single" w:sz="4" w:space="0" w:color="0098FF"/>
              <w:right w:val="single" w:sz="4" w:space="0" w:color="0098FF"/>
            </w:tcBorders>
            <w:shd w:val="clear" w:color="auto" w:fill="0070C0"/>
          </w:tcPr>
          <w:p w14:paraId="183A3CBA" w14:textId="77777777" w:rsidR="00084F36" w:rsidRPr="00EB2BD8" w:rsidRDefault="00EB2BD8">
            <w:pPr>
              <w:pStyle w:val="TableParagraph"/>
              <w:spacing w:before="64"/>
              <w:ind w:right="91"/>
              <w:jc w:val="right"/>
              <w:rPr>
                <w:rFonts w:ascii="Arial"/>
                <w:b/>
                <w:sz w:val="16"/>
              </w:rPr>
            </w:pPr>
            <w:r w:rsidRPr="00EB2BD8">
              <w:rPr>
                <w:rFonts w:ascii="Arial"/>
                <w:b/>
                <w:spacing w:val="-4"/>
                <w:w w:val="105"/>
                <w:sz w:val="16"/>
              </w:rPr>
              <w:t>2022</w:t>
            </w:r>
          </w:p>
        </w:tc>
      </w:tr>
      <w:tr w:rsidR="00EB2BD8" w:rsidRPr="00EB2BD8" w14:paraId="0775F4D3" w14:textId="77777777">
        <w:trPr>
          <w:trHeight w:val="311"/>
        </w:trPr>
        <w:tc>
          <w:tcPr>
            <w:tcW w:w="6084" w:type="dxa"/>
            <w:tcBorders>
              <w:top w:val="single" w:sz="4" w:space="0" w:color="0098FF"/>
            </w:tcBorders>
            <w:shd w:val="clear" w:color="auto" w:fill="FFFFFF"/>
          </w:tcPr>
          <w:p w14:paraId="47E5128C" w14:textId="77777777" w:rsidR="00084F36" w:rsidRPr="00EB2BD8" w:rsidRDefault="00EB2BD8">
            <w:pPr>
              <w:pStyle w:val="TableParagraph"/>
              <w:spacing w:before="63"/>
              <w:ind w:left="105"/>
              <w:rPr>
                <w:rFonts w:ascii="Arial"/>
                <w:b/>
                <w:sz w:val="16"/>
              </w:rPr>
            </w:pPr>
            <w:r w:rsidRPr="00EB2BD8">
              <w:rPr>
                <w:rFonts w:ascii="Arial"/>
                <w:b/>
                <w:spacing w:val="-2"/>
                <w:w w:val="105"/>
                <w:sz w:val="16"/>
              </w:rPr>
              <w:t>Contractual</w:t>
            </w:r>
          </w:p>
        </w:tc>
        <w:tc>
          <w:tcPr>
            <w:tcW w:w="1400" w:type="dxa"/>
            <w:tcBorders>
              <w:top w:val="single" w:sz="4" w:space="0" w:color="0098FF"/>
            </w:tcBorders>
            <w:shd w:val="clear" w:color="auto" w:fill="DEEAF6"/>
          </w:tcPr>
          <w:p w14:paraId="3A055D0D" w14:textId="77777777" w:rsidR="00084F36" w:rsidRPr="00EB2BD8" w:rsidRDefault="00084F36">
            <w:pPr>
              <w:pStyle w:val="TableParagraph"/>
              <w:rPr>
                <w:rFonts w:ascii="Times New Roman"/>
                <w:sz w:val="16"/>
              </w:rPr>
            </w:pPr>
          </w:p>
        </w:tc>
        <w:tc>
          <w:tcPr>
            <w:tcW w:w="1643" w:type="dxa"/>
            <w:tcBorders>
              <w:top w:val="single" w:sz="4" w:space="0" w:color="0098FF"/>
            </w:tcBorders>
            <w:shd w:val="clear" w:color="auto" w:fill="FFFFFF"/>
          </w:tcPr>
          <w:p w14:paraId="7ACF8D8B" w14:textId="77777777" w:rsidR="00084F36" w:rsidRPr="00EB2BD8" w:rsidRDefault="00084F36">
            <w:pPr>
              <w:pStyle w:val="TableParagraph"/>
              <w:rPr>
                <w:rFonts w:ascii="Times New Roman"/>
                <w:sz w:val="16"/>
              </w:rPr>
            </w:pPr>
          </w:p>
        </w:tc>
      </w:tr>
      <w:tr w:rsidR="00EB2BD8" w:rsidRPr="00EB2BD8" w14:paraId="79CD8487" w14:textId="77777777">
        <w:trPr>
          <w:trHeight w:val="315"/>
        </w:trPr>
        <w:tc>
          <w:tcPr>
            <w:tcW w:w="6084" w:type="dxa"/>
            <w:shd w:val="clear" w:color="auto" w:fill="FFFFFF"/>
          </w:tcPr>
          <w:p w14:paraId="533E08B6" w14:textId="77777777" w:rsidR="00084F36" w:rsidRPr="00EB2BD8" w:rsidRDefault="00EB2BD8">
            <w:pPr>
              <w:pStyle w:val="TableParagraph"/>
              <w:spacing w:before="64"/>
              <w:ind w:left="105"/>
              <w:rPr>
                <w:rFonts w:ascii="Arial"/>
                <w:sz w:val="16"/>
              </w:rPr>
            </w:pPr>
            <w:r w:rsidRPr="00EB2BD8">
              <w:rPr>
                <w:rFonts w:ascii="Arial"/>
                <w:w w:val="105"/>
                <w:sz w:val="16"/>
              </w:rPr>
              <w:t>Supplies</w:t>
            </w:r>
            <w:r w:rsidRPr="00EB2BD8">
              <w:rPr>
                <w:rFonts w:ascii="Arial"/>
                <w:spacing w:val="-9"/>
                <w:w w:val="105"/>
                <w:sz w:val="16"/>
              </w:rPr>
              <w:t xml:space="preserve"> </w:t>
            </w:r>
            <w:r w:rsidRPr="00EB2BD8">
              <w:rPr>
                <w:rFonts w:ascii="Arial"/>
                <w:w w:val="105"/>
                <w:sz w:val="16"/>
              </w:rPr>
              <w:t>and</w:t>
            </w:r>
            <w:r w:rsidRPr="00EB2BD8">
              <w:rPr>
                <w:rFonts w:ascii="Arial"/>
                <w:spacing w:val="-8"/>
                <w:w w:val="105"/>
                <w:sz w:val="16"/>
              </w:rPr>
              <w:t xml:space="preserve"> </w:t>
            </w:r>
            <w:r w:rsidRPr="00EB2BD8">
              <w:rPr>
                <w:rFonts w:ascii="Arial"/>
                <w:spacing w:val="-2"/>
                <w:w w:val="105"/>
                <w:sz w:val="16"/>
              </w:rPr>
              <w:t>services</w:t>
            </w:r>
          </w:p>
        </w:tc>
        <w:tc>
          <w:tcPr>
            <w:tcW w:w="1400" w:type="dxa"/>
            <w:shd w:val="clear" w:color="auto" w:fill="DEEAF6"/>
          </w:tcPr>
          <w:p w14:paraId="0DE10197" w14:textId="77777777" w:rsidR="00084F36" w:rsidRPr="00EB2BD8" w:rsidRDefault="00EB2BD8">
            <w:pPr>
              <w:pStyle w:val="TableParagraph"/>
              <w:spacing w:before="64"/>
              <w:ind w:right="95"/>
              <w:jc w:val="right"/>
              <w:rPr>
                <w:rFonts w:ascii="Arial"/>
                <w:sz w:val="16"/>
              </w:rPr>
            </w:pPr>
            <w:r w:rsidRPr="00EB2BD8">
              <w:rPr>
                <w:rFonts w:ascii="Arial"/>
                <w:spacing w:val="-4"/>
                <w:w w:val="105"/>
                <w:sz w:val="16"/>
              </w:rPr>
              <w:t>2,274</w:t>
            </w:r>
          </w:p>
        </w:tc>
        <w:tc>
          <w:tcPr>
            <w:tcW w:w="1643" w:type="dxa"/>
            <w:shd w:val="clear" w:color="auto" w:fill="FFFFFF"/>
          </w:tcPr>
          <w:p w14:paraId="0C06BEAC" w14:textId="77777777" w:rsidR="00084F36" w:rsidRPr="00EB2BD8" w:rsidRDefault="00EB2BD8">
            <w:pPr>
              <w:pStyle w:val="TableParagraph"/>
              <w:spacing w:before="64"/>
              <w:ind w:right="95"/>
              <w:jc w:val="right"/>
              <w:rPr>
                <w:rFonts w:ascii="Arial"/>
                <w:sz w:val="16"/>
              </w:rPr>
            </w:pPr>
            <w:r w:rsidRPr="00EB2BD8">
              <w:rPr>
                <w:rFonts w:ascii="Arial"/>
                <w:spacing w:val="-2"/>
                <w:w w:val="105"/>
                <w:sz w:val="16"/>
              </w:rPr>
              <w:t>3,012</w:t>
            </w:r>
          </w:p>
        </w:tc>
      </w:tr>
      <w:tr w:rsidR="00EB2BD8" w:rsidRPr="00EB2BD8" w14:paraId="4BEF7BEF" w14:textId="77777777">
        <w:trPr>
          <w:trHeight w:val="317"/>
        </w:trPr>
        <w:tc>
          <w:tcPr>
            <w:tcW w:w="6084" w:type="dxa"/>
            <w:shd w:val="clear" w:color="auto" w:fill="FFFFFF"/>
          </w:tcPr>
          <w:p w14:paraId="5C622A26" w14:textId="77777777" w:rsidR="00084F36" w:rsidRPr="00EB2BD8" w:rsidRDefault="00EB2BD8">
            <w:pPr>
              <w:pStyle w:val="TableParagraph"/>
              <w:spacing w:before="67"/>
              <w:ind w:left="105"/>
              <w:rPr>
                <w:rFonts w:ascii="Arial"/>
                <w:sz w:val="16"/>
              </w:rPr>
            </w:pPr>
            <w:r w:rsidRPr="00EB2BD8">
              <w:rPr>
                <w:rFonts w:ascii="Arial"/>
                <w:w w:val="105"/>
                <w:sz w:val="16"/>
              </w:rPr>
              <w:t>Cladding</w:t>
            </w:r>
            <w:r w:rsidRPr="00EB2BD8">
              <w:rPr>
                <w:rFonts w:ascii="Arial"/>
                <w:spacing w:val="-8"/>
                <w:w w:val="105"/>
                <w:sz w:val="16"/>
              </w:rPr>
              <w:t xml:space="preserve"> </w:t>
            </w:r>
            <w:r w:rsidRPr="00EB2BD8">
              <w:rPr>
                <w:rFonts w:ascii="Arial"/>
                <w:w w:val="105"/>
                <w:sz w:val="16"/>
              </w:rPr>
              <w:t>rectification</w:t>
            </w:r>
            <w:r w:rsidRPr="00EB2BD8">
              <w:rPr>
                <w:rFonts w:ascii="Arial"/>
                <w:spacing w:val="-8"/>
                <w:w w:val="105"/>
                <w:sz w:val="16"/>
              </w:rPr>
              <w:t xml:space="preserve"> </w:t>
            </w:r>
            <w:r w:rsidRPr="00EB2BD8">
              <w:rPr>
                <w:rFonts w:ascii="Arial"/>
                <w:w w:val="105"/>
                <w:sz w:val="16"/>
              </w:rPr>
              <w:t>levy</w:t>
            </w:r>
            <w:r w:rsidRPr="00EB2BD8">
              <w:rPr>
                <w:rFonts w:ascii="Arial"/>
                <w:spacing w:val="-8"/>
                <w:w w:val="105"/>
                <w:sz w:val="16"/>
              </w:rPr>
              <w:t xml:space="preserve"> </w:t>
            </w:r>
            <w:r w:rsidRPr="00EB2BD8">
              <w:rPr>
                <w:rFonts w:ascii="Arial"/>
                <w:w w:val="105"/>
                <w:sz w:val="16"/>
              </w:rPr>
              <w:t>payable</w:t>
            </w:r>
            <w:r w:rsidRPr="00EB2BD8">
              <w:rPr>
                <w:rFonts w:ascii="Arial"/>
                <w:spacing w:val="-8"/>
                <w:w w:val="105"/>
                <w:sz w:val="16"/>
              </w:rPr>
              <w:t xml:space="preserve"> </w:t>
            </w:r>
            <w:r w:rsidRPr="00EB2BD8">
              <w:rPr>
                <w:rFonts w:ascii="Arial"/>
                <w:w w:val="105"/>
                <w:sz w:val="16"/>
              </w:rPr>
              <w:t>to</w:t>
            </w:r>
            <w:r w:rsidRPr="00EB2BD8">
              <w:rPr>
                <w:rFonts w:ascii="Arial"/>
                <w:spacing w:val="-8"/>
                <w:w w:val="105"/>
                <w:sz w:val="16"/>
              </w:rPr>
              <w:t xml:space="preserve"> </w:t>
            </w:r>
            <w:r w:rsidRPr="00EB2BD8">
              <w:rPr>
                <w:rFonts w:ascii="Arial"/>
                <w:spacing w:val="-5"/>
                <w:w w:val="105"/>
                <w:sz w:val="16"/>
              </w:rPr>
              <w:t>CSV</w:t>
            </w:r>
          </w:p>
        </w:tc>
        <w:tc>
          <w:tcPr>
            <w:tcW w:w="1400" w:type="dxa"/>
            <w:shd w:val="clear" w:color="auto" w:fill="DEEAF6"/>
          </w:tcPr>
          <w:p w14:paraId="3CF7DE6E" w14:textId="77777777" w:rsidR="00084F36" w:rsidRPr="00EB2BD8" w:rsidRDefault="00EB2BD8">
            <w:pPr>
              <w:pStyle w:val="TableParagraph"/>
              <w:spacing w:before="67"/>
              <w:ind w:right="95"/>
              <w:jc w:val="right"/>
              <w:rPr>
                <w:rFonts w:ascii="Arial"/>
                <w:sz w:val="16"/>
              </w:rPr>
            </w:pPr>
            <w:r w:rsidRPr="00EB2BD8">
              <w:rPr>
                <w:rFonts w:ascii="Arial"/>
                <w:spacing w:val="-2"/>
                <w:w w:val="105"/>
                <w:sz w:val="16"/>
              </w:rPr>
              <w:t>11,339</w:t>
            </w:r>
          </w:p>
        </w:tc>
        <w:tc>
          <w:tcPr>
            <w:tcW w:w="1643" w:type="dxa"/>
            <w:shd w:val="clear" w:color="auto" w:fill="FFFFFF"/>
          </w:tcPr>
          <w:p w14:paraId="0C1CE7A6" w14:textId="77777777" w:rsidR="00084F36" w:rsidRPr="00EB2BD8" w:rsidRDefault="00EB2BD8">
            <w:pPr>
              <w:pStyle w:val="TableParagraph"/>
              <w:spacing w:before="67"/>
              <w:ind w:right="95"/>
              <w:jc w:val="right"/>
              <w:rPr>
                <w:rFonts w:ascii="Arial"/>
                <w:sz w:val="16"/>
              </w:rPr>
            </w:pPr>
            <w:r w:rsidRPr="00EB2BD8">
              <w:rPr>
                <w:rFonts w:ascii="Arial"/>
                <w:spacing w:val="-2"/>
                <w:w w:val="105"/>
                <w:sz w:val="16"/>
              </w:rPr>
              <w:t>7,661</w:t>
            </w:r>
          </w:p>
        </w:tc>
      </w:tr>
      <w:tr w:rsidR="00EB2BD8" w:rsidRPr="00EB2BD8" w14:paraId="7BFD4FF4" w14:textId="77777777">
        <w:trPr>
          <w:trHeight w:val="316"/>
        </w:trPr>
        <w:tc>
          <w:tcPr>
            <w:tcW w:w="6084" w:type="dxa"/>
            <w:shd w:val="clear" w:color="auto" w:fill="FFFFFF"/>
          </w:tcPr>
          <w:p w14:paraId="3D72553E" w14:textId="77777777" w:rsidR="00084F36" w:rsidRPr="00EB2BD8" w:rsidRDefault="00EB2BD8">
            <w:pPr>
              <w:pStyle w:val="TableParagraph"/>
              <w:spacing w:before="66"/>
              <w:ind w:left="105"/>
              <w:rPr>
                <w:rFonts w:ascii="Arial"/>
                <w:b/>
                <w:sz w:val="16"/>
              </w:rPr>
            </w:pPr>
            <w:r w:rsidRPr="00EB2BD8">
              <w:rPr>
                <w:rFonts w:ascii="Arial"/>
                <w:b/>
                <w:spacing w:val="-2"/>
                <w:w w:val="105"/>
                <w:sz w:val="16"/>
              </w:rPr>
              <w:t>Statutory</w:t>
            </w:r>
          </w:p>
        </w:tc>
        <w:tc>
          <w:tcPr>
            <w:tcW w:w="1400" w:type="dxa"/>
            <w:shd w:val="clear" w:color="auto" w:fill="DEEAF6"/>
          </w:tcPr>
          <w:p w14:paraId="663D080F" w14:textId="77777777" w:rsidR="00084F36" w:rsidRPr="00EB2BD8" w:rsidRDefault="00084F36">
            <w:pPr>
              <w:pStyle w:val="TableParagraph"/>
              <w:rPr>
                <w:rFonts w:ascii="Times New Roman"/>
                <w:sz w:val="16"/>
              </w:rPr>
            </w:pPr>
          </w:p>
        </w:tc>
        <w:tc>
          <w:tcPr>
            <w:tcW w:w="1643" w:type="dxa"/>
            <w:shd w:val="clear" w:color="auto" w:fill="FFFFFF"/>
          </w:tcPr>
          <w:p w14:paraId="4E6B0DCD" w14:textId="77777777" w:rsidR="00084F36" w:rsidRPr="00EB2BD8" w:rsidRDefault="00084F36">
            <w:pPr>
              <w:pStyle w:val="TableParagraph"/>
              <w:rPr>
                <w:rFonts w:ascii="Times New Roman"/>
                <w:sz w:val="16"/>
              </w:rPr>
            </w:pPr>
          </w:p>
        </w:tc>
      </w:tr>
      <w:tr w:rsidR="00EB2BD8" w:rsidRPr="00EB2BD8" w14:paraId="706023E3" w14:textId="77777777">
        <w:trPr>
          <w:trHeight w:val="317"/>
        </w:trPr>
        <w:tc>
          <w:tcPr>
            <w:tcW w:w="6084" w:type="dxa"/>
            <w:shd w:val="clear" w:color="auto" w:fill="FFFFFF"/>
          </w:tcPr>
          <w:p w14:paraId="3FF145B7" w14:textId="77777777" w:rsidR="00084F36" w:rsidRPr="00EB2BD8" w:rsidRDefault="00EB2BD8">
            <w:pPr>
              <w:pStyle w:val="TableParagraph"/>
              <w:spacing w:before="66"/>
              <w:ind w:left="105"/>
              <w:rPr>
                <w:rFonts w:ascii="Arial"/>
                <w:sz w:val="16"/>
              </w:rPr>
            </w:pPr>
            <w:r w:rsidRPr="00EB2BD8">
              <w:rPr>
                <w:rFonts w:ascii="Arial"/>
                <w:w w:val="105"/>
                <w:sz w:val="16"/>
              </w:rPr>
              <w:t>Fringe</w:t>
            </w:r>
            <w:r w:rsidRPr="00EB2BD8">
              <w:rPr>
                <w:rFonts w:ascii="Arial"/>
                <w:spacing w:val="-8"/>
                <w:w w:val="105"/>
                <w:sz w:val="16"/>
              </w:rPr>
              <w:t xml:space="preserve"> </w:t>
            </w:r>
            <w:r w:rsidRPr="00EB2BD8">
              <w:rPr>
                <w:rFonts w:ascii="Arial"/>
                <w:w w:val="105"/>
                <w:sz w:val="16"/>
              </w:rPr>
              <w:t>Benefits</w:t>
            </w:r>
            <w:r w:rsidRPr="00EB2BD8">
              <w:rPr>
                <w:rFonts w:ascii="Arial"/>
                <w:spacing w:val="-6"/>
                <w:w w:val="105"/>
                <w:sz w:val="16"/>
              </w:rPr>
              <w:t xml:space="preserve"> </w:t>
            </w:r>
            <w:r w:rsidRPr="00EB2BD8">
              <w:rPr>
                <w:rFonts w:ascii="Arial"/>
                <w:w w:val="105"/>
                <w:sz w:val="16"/>
              </w:rPr>
              <w:t>Tax</w:t>
            </w:r>
            <w:r w:rsidRPr="00EB2BD8">
              <w:rPr>
                <w:rFonts w:ascii="Arial"/>
                <w:spacing w:val="-7"/>
                <w:w w:val="105"/>
                <w:sz w:val="16"/>
              </w:rPr>
              <w:t xml:space="preserve"> </w:t>
            </w:r>
            <w:r w:rsidRPr="00EB2BD8">
              <w:rPr>
                <w:rFonts w:ascii="Arial"/>
                <w:spacing w:val="-2"/>
                <w:w w:val="105"/>
                <w:sz w:val="16"/>
              </w:rPr>
              <w:t>payable</w:t>
            </w:r>
          </w:p>
        </w:tc>
        <w:tc>
          <w:tcPr>
            <w:tcW w:w="1400" w:type="dxa"/>
            <w:shd w:val="clear" w:color="auto" w:fill="DEEAF6"/>
          </w:tcPr>
          <w:p w14:paraId="260C63E9" w14:textId="77777777" w:rsidR="00084F36" w:rsidRPr="00EB2BD8" w:rsidRDefault="00EB2BD8">
            <w:pPr>
              <w:pStyle w:val="TableParagraph"/>
              <w:spacing w:before="66"/>
              <w:ind w:right="96"/>
              <w:jc w:val="right"/>
              <w:rPr>
                <w:rFonts w:ascii="Arial"/>
                <w:sz w:val="16"/>
              </w:rPr>
            </w:pPr>
            <w:r w:rsidRPr="00EB2BD8">
              <w:rPr>
                <w:rFonts w:ascii="Arial"/>
                <w:spacing w:val="-5"/>
                <w:w w:val="105"/>
                <w:sz w:val="16"/>
              </w:rPr>
              <w:t>65</w:t>
            </w:r>
          </w:p>
        </w:tc>
        <w:tc>
          <w:tcPr>
            <w:tcW w:w="1643" w:type="dxa"/>
            <w:shd w:val="clear" w:color="auto" w:fill="FFFFFF"/>
          </w:tcPr>
          <w:p w14:paraId="4461A0BC" w14:textId="77777777" w:rsidR="00084F36" w:rsidRPr="00EB2BD8" w:rsidRDefault="00EB2BD8">
            <w:pPr>
              <w:pStyle w:val="TableParagraph"/>
              <w:spacing w:before="66"/>
              <w:ind w:right="95"/>
              <w:jc w:val="right"/>
              <w:rPr>
                <w:rFonts w:ascii="Arial"/>
                <w:sz w:val="16"/>
              </w:rPr>
            </w:pPr>
            <w:r w:rsidRPr="00EB2BD8">
              <w:rPr>
                <w:rFonts w:ascii="Arial"/>
                <w:spacing w:val="-5"/>
                <w:w w:val="105"/>
                <w:sz w:val="16"/>
              </w:rPr>
              <w:t>10</w:t>
            </w:r>
          </w:p>
        </w:tc>
      </w:tr>
      <w:tr w:rsidR="00EB2BD8" w:rsidRPr="00EB2BD8" w14:paraId="65324933" w14:textId="77777777">
        <w:trPr>
          <w:trHeight w:val="314"/>
        </w:trPr>
        <w:tc>
          <w:tcPr>
            <w:tcW w:w="6084" w:type="dxa"/>
            <w:tcBorders>
              <w:bottom w:val="single" w:sz="12" w:space="0" w:color="000000"/>
            </w:tcBorders>
            <w:shd w:val="clear" w:color="auto" w:fill="FFFFFF"/>
          </w:tcPr>
          <w:p w14:paraId="334DA244" w14:textId="77777777" w:rsidR="00084F36" w:rsidRPr="00EB2BD8" w:rsidRDefault="00EB2BD8">
            <w:pPr>
              <w:pStyle w:val="TableParagraph"/>
              <w:spacing w:before="67"/>
              <w:ind w:left="105"/>
              <w:rPr>
                <w:rFonts w:ascii="Arial"/>
                <w:sz w:val="16"/>
              </w:rPr>
            </w:pPr>
            <w:r w:rsidRPr="00EB2BD8">
              <w:rPr>
                <w:rFonts w:ascii="Arial"/>
                <w:w w:val="105"/>
                <w:sz w:val="16"/>
              </w:rPr>
              <w:t>Other</w:t>
            </w:r>
            <w:r w:rsidRPr="00EB2BD8">
              <w:rPr>
                <w:rFonts w:ascii="Arial"/>
                <w:spacing w:val="-7"/>
                <w:w w:val="105"/>
                <w:sz w:val="16"/>
              </w:rPr>
              <w:t xml:space="preserve"> </w:t>
            </w:r>
            <w:r w:rsidRPr="00EB2BD8">
              <w:rPr>
                <w:rFonts w:ascii="Arial"/>
                <w:w w:val="105"/>
                <w:sz w:val="16"/>
              </w:rPr>
              <w:t>taxes</w:t>
            </w:r>
            <w:r w:rsidRPr="00EB2BD8">
              <w:rPr>
                <w:rFonts w:ascii="Arial"/>
                <w:spacing w:val="-6"/>
                <w:w w:val="105"/>
                <w:sz w:val="16"/>
              </w:rPr>
              <w:t xml:space="preserve"> </w:t>
            </w:r>
            <w:r w:rsidRPr="00EB2BD8">
              <w:rPr>
                <w:rFonts w:ascii="Arial"/>
                <w:spacing w:val="-2"/>
                <w:w w:val="105"/>
                <w:sz w:val="16"/>
              </w:rPr>
              <w:t>payable</w:t>
            </w:r>
          </w:p>
        </w:tc>
        <w:tc>
          <w:tcPr>
            <w:tcW w:w="1400" w:type="dxa"/>
            <w:tcBorders>
              <w:bottom w:val="single" w:sz="12" w:space="0" w:color="000000"/>
            </w:tcBorders>
            <w:shd w:val="clear" w:color="auto" w:fill="DEEAF6"/>
          </w:tcPr>
          <w:p w14:paraId="4456ECA2" w14:textId="77777777" w:rsidR="00084F36" w:rsidRPr="00EB2BD8" w:rsidRDefault="00EB2BD8">
            <w:pPr>
              <w:pStyle w:val="TableParagraph"/>
              <w:spacing w:before="67"/>
              <w:ind w:right="95"/>
              <w:jc w:val="right"/>
              <w:rPr>
                <w:rFonts w:ascii="Arial"/>
                <w:sz w:val="16"/>
              </w:rPr>
            </w:pPr>
            <w:r w:rsidRPr="00EB2BD8">
              <w:rPr>
                <w:rFonts w:ascii="Arial"/>
                <w:spacing w:val="-5"/>
                <w:w w:val="105"/>
                <w:sz w:val="16"/>
              </w:rPr>
              <w:t>235</w:t>
            </w:r>
          </w:p>
        </w:tc>
        <w:tc>
          <w:tcPr>
            <w:tcW w:w="1643" w:type="dxa"/>
            <w:tcBorders>
              <w:bottom w:val="single" w:sz="12" w:space="0" w:color="000000"/>
            </w:tcBorders>
            <w:shd w:val="clear" w:color="auto" w:fill="FFFFFF"/>
          </w:tcPr>
          <w:p w14:paraId="55C0EC33" w14:textId="77777777" w:rsidR="00084F36" w:rsidRPr="00EB2BD8" w:rsidRDefault="00EB2BD8">
            <w:pPr>
              <w:pStyle w:val="TableParagraph"/>
              <w:spacing w:before="67"/>
              <w:ind w:right="95"/>
              <w:jc w:val="right"/>
              <w:rPr>
                <w:rFonts w:ascii="Arial"/>
                <w:sz w:val="16"/>
              </w:rPr>
            </w:pPr>
            <w:r w:rsidRPr="00EB2BD8">
              <w:rPr>
                <w:rFonts w:ascii="Arial"/>
                <w:spacing w:val="-5"/>
                <w:w w:val="105"/>
                <w:sz w:val="16"/>
              </w:rPr>
              <w:t>218</w:t>
            </w:r>
          </w:p>
        </w:tc>
      </w:tr>
      <w:tr w:rsidR="00EB2BD8" w:rsidRPr="00EB2BD8" w14:paraId="5EF85A80" w14:textId="77777777">
        <w:trPr>
          <w:trHeight w:val="286"/>
        </w:trPr>
        <w:tc>
          <w:tcPr>
            <w:tcW w:w="6084" w:type="dxa"/>
            <w:tcBorders>
              <w:top w:val="single" w:sz="12" w:space="0" w:color="000000"/>
              <w:bottom w:val="single" w:sz="12" w:space="0" w:color="000000"/>
            </w:tcBorders>
            <w:shd w:val="clear" w:color="auto" w:fill="FFFFFF"/>
          </w:tcPr>
          <w:p w14:paraId="552F2036" w14:textId="77777777" w:rsidR="00084F36" w:rsidRPr="00EB2BD8" w:rsidRDefault="00EB2BD8">
            <w:pPr>
              <w:pStyle w:val="TableParagraph"/>
              <w:spacing w:before="53"/>
              <w:ind w:left="105"/>
              <w:rPr>
                <w:rFonts w:ascii="Arial"/>
                <w:b/>
                <w:sz w:val="16"/>
              </w:rPr>
            </w:pPr>
            <w:r w:rsidRPr="00EB2BD8">
              <w:rPr>
                <w:rFonts w:ascii="Arial"/>
                <w:b/>
                <w:w w:val="105"/>
                <w:sz w:val="16"/>
              </w:rPr>
              <w:t>Total</w:t>
            </w:r>
            <w:r w:rsidRPr="00EB2BD8">
              <w:rPr>
                <w:rFonts w:ascii="Arial"/>
                <w:b/>
                <w:spacing w:val="-6"/>
                <w:w w:val="105"/>
                <w:sz w:val="16"/>
              </w:rPr>
              <w:t xml:space="preserve"> </w:t>
            </w:r>
            <w:r w:rsidRPr="00EB2BD8">
              <w:rPr>
                <w:rFonts w:ascii="Arial"/>
                <w:b/>
                <w:spacing w:val="-2"/>
                <w:w w:val="105"/>
                <w:sz w:val="16"/>
              </w:rPr>
              <w:t>payables</w:t>
            </w:r>
          </w:p>
        </w:tc>
        <w:tc>
          <w:tcPr>
            <w:tcW w:w="1400" w:type="dxa"/>
            <w:tcBorders>
              <w:top w:val="single" w:sz="12" w:space="0" w:color="000000"/>
              <w:bottom w:val="single" w:sz="12" w:space="0" w:color="000000"/>
            </w:tcBorders>
            <w:shd w:val="clear" w:color="auto" w:fill="DEEAF6"/>
          </w:tcPr>
          <w:p w14:paraId="0BF3AD09" w14:textId="77777777" w:rsidR="00084F36" w:rsidRPr="00EB2BD8" w:rsidRDefault="00EB2BD8">
            <w:pPr>
              <w:pStyle w:val="TableParagraph"/>
              <w:spacing w:before="53"/>
              <w:ind w:right="95"/>
              <w:jc w:val="right"/>
              <w:rPr>
                <w:rFonts w:ascii="Arial"/>
                <w:b/>
                <w:sz w:val="16"/>
              </w:rPr>
            </w:pPr>
            <w:r w:rsidRPr="00EB2BD8">
              <w:rPr>
                <w:rFonts w:ascii="Arial"/>
                <w:b/>
                <w:spacing w:val="-2"/>
                <w:w w:val="105"/>
                <w:sz w:val="16"/>
              </w:rPr>
              <w:t>13,913</w:t>
            </w:r>
          </w:p>
        </w:tc>
        <w:tc>
          <w:tcPr>
            <w:tcW w:w="1643" w:type="dxa"/>
            <w:tcBorders>
              <w:top w:val="single" w:sz="12" w:space="0" w:color="000000"/>
              <w:bottom w:val="single" w:sz="12" w:space="0" w:color="000000"/>
            </w:tcBorders>
            <w:shd w:val="clear" w:color="auto" w:fill="FFFFFF"/>
          </w:tcPr>
          <w:p w14:paraId="1E41D796" w14:textId="77777777" w:rsidR="00084F36" w:rsidRPr="00EB2BD8" w:rsidRDefault="00EB2BD8">
            <w:pPr>
              <w:pStyle w:val="TableParagraph"/>
              <w:spacing w:before="53"/>
              <w:ind w:right="96"/>
              <w:jc w:val="right"/>
              <w:rPr>
                <w:rFonts w:ascii="Arial"/>
                <w:b/>
                <w:sz w:val="16"/>
              </w:rPr>
            </w:pPr>
            <w:r w:rsidRPr="00EB2BD8">
              <w:rPr>
                <w:rFonts w:ascii="Arial"/>
                <w:b/>
                <w:spacing w:val="-2"/>
                <w:w w:val="105"/>
                <w:sz w:val="16"/>
              </w:rPr>
              <w:t>10,901</w:t>
            </w:r>
          </w:p>
        </w:tc>
      </w:tr>
      <w:tr w:rsidR="00EB2BD8" w:rsidRPr="00EB2BD8" w14:paraId="76574CC6" w14:textId="77777777">
        <w:trPr>
          <w:trHeight w:val="604"/>
        </w:trPr>
        <w:tc>
          <w:tcPr>
            <w:tcW w:w="6084" w:type="dxa"/>
            <w:tcBorders>
              <w:top w:val="single" w:sz="12" w:space="0" w:color="000000"/>
              <w:bottom w:val="single" w:sz="18" w:space="0" w:color="000000"/>
            </w:tcBorders>
            <w:shd w:val="clear" w:color="auto" w:fill="FFFFFF"/>
          </w:tcPr>
          <w:p w14:paraId="78B4C580" w14:textId="77777777" w:rsidR="00084F36" w:rsidRPr="00EB2BD8" w:rsidRDefault="00EB2BD8">
            <w:pPr>
              <w:pStyle w:val="TableParagraph"/>
              <w:spacing w:before="53"/>
              <w:ind w:left="105"/>
              <w:rPr>
                <w:rFonts w:ascii="Arial"/>
                <w:b/>
                <w:sz w:val="16"/>
              </w:rPr>
            </w:pPr>
            <w:r w:rsidRPr="00EB2BD8">
              <w:rPr>
                <w:rFonts w:ascii="Arial"/>
                <w:b/>
                <w:spacing w:val="-2"/>
                <w:w w:val="105"/>
                <w:sz w:val="16"/>
              </w:rPr>
              <w:t>Represented</w:t>
            </w:r>
            <w:r w:rsidRPr="00EB2BD8">
              <w:rPr>
                <w:rFonts w:ascii="Arial"/>
                <w:b/>
                <w:spacing w:val="6"/>
                <w:w w:val="105"/>
                <w:sz w:val="16"/>
              </w:rPr>
              <w:t xml:space="preserve"> </w:t>
            </w:r>
            <w:r w:rsidRPr="00EB2BD8">
              <w:rPr>
                <w:rFonts w:ascii="Arial"/>
                <w:b/>
                <w:spacing w:val="-5"/>
                <w:w w:val="105"/>
                <w:sz w:val="16"/>
              </w:rPr>
              <w:t>by</w:t>
            </w:r>
          </w:p>
          <w:p w14:paraId="4A09BA02" w14:textId="77777777" w:rsidR="00084F36" w:rsidRPr="00EB2BD8" w:rsidRDefault="00EB2BD8">
            <w:pPr>
              <w:pStyle w:val="TableParagraph"/>
              <w:spacing w:before="120"/>
              <w:ind w:left="105"/>
              <w:rPr>
                <w:rFonts w:ascii="Arial"/>
                <w:sz w:val="16"/>
              </w:rPr>
            </w:pPr>
            <w:r w:rsidRPr="00EB2BD8">
              <w:rPr>
                <w:rFonts w:ascii="Arial"/>
                <w:w w:val="105"/>
                <w:sz w:val="16"/>
              </w:rPr>
              <w:t>Current</w:t>
            </w:r>
            <w:r w:rsidRPr="00EB2BD8">
              <w:rPr>
                <w:rFonts w:ascii="Arial"/>
                <w:spacing w:val="-10"/>
                <w:w w:val="105"/>
                <w:sz w:val="16"/>
              </w:rPr>
              <w:t xml:space="preserve"> </w:t>
            </w:r>
            <w:r w:rsidRPr="00EB2BD8">
              <w:rPr>
                <w:rFonts w:ascii="Arial"/>
                <w:spacing w:val="-2"/>
                <w:w w:val="105"/>
                <w:sz w:val="16"/>
              </w:rPr>
              <w:t>payables</w:t>
            </w:r>
          </w:p>
        </w:tc>
        <w:tc>
          <w:tcPr>
            <w:tcW w:w="1400" w:type="dxa"/>
            <w:tcBorders>
              <w:top w:val="single" w:sz="12" w:space="0" w:color="000000"/>
              <w:bottom w:val="single" w:sz="18" w:space="0" w:color="000000"/>
            </w:tcBorders>
            <w:shd w:val="clear" w:color="auto" w:fill="DEEAF6"/>
          </w:tcPr>
          <w:p w14:paraId="7231B7F7" w14:textId="77777777" w:rsidR="00084F36" w:rsidRPr="00EB2BD8" w:rsidRDefault="00084F36">
            <w:pPr>
              <w:pStyle w:val="TableParagraph"/>
              <w:rPr>
                <w:rFonts w:ascii="Arial"/>
                <w:sz w:val="18"/>
              </w:rPr>
            </w:pPr>
          </w:p>
          <w:p w14:paraId="786B6561" w14:textId="77777777" w:rsidR="00084F36" w:rsidRPr="00EB2BD8" w:rsidRDefault="00EB2BD8">
            <w:pPr>
              <w:pStyle w:val="TableParagraph"/>
              <w:spacing w:before="150"/>
              <w:ind w:right="95"/>
              <w:jc w:val="right"/>
              <w:rPr>
                <w:rFonts w:ascii="Arial"/>
                <w:sz w:val="16"/>
              </w:rPr>
            </w:pPr>
            <w:r w:rsidRPr="00EB2BD8">
              <w:rPr>
                <w:rFonts w:ascii="Arial"/>
                <w:spacing w:val="-2"/>
                <w:w w:val="105"/>
                <w:sz w:val="16"/>
              </w:rPr>
              <w:t>13,913</w:t>
            </w:r>
          </w:p>
        </w:tc>
        <w:tc>
          <w:tcPr>
            <w:tcW w:w="1643" w:type="dxa"/>
            <w:tcBorders>
              <w:top w:val="single" w:sz="12" w:space="0" w:color="000000"/>
              <w:bottom w:val="single" w:sz="18" w:space="0" w:color="000000"/>
            </w:tcBorders>
            <w:shd w:val="clear" w:color="auto" w:fill="FFFFFF"/>
          </w:tcPr>
          <w:p w14:paraId="4B1D34BF" w14:textId="77777777" w:rsidR="00084F36" w:rsidRPr="00EB2BD8" w:rsidRDefault="00084F36">
            <w:pPr>
              <w:pStyle w:val="TableParagraph"/>
              <w:rPr>
                <w:rFonts w:ascii="Arial"/>
                <w:sz w:val="18"/>
              </w:rPr>
            </w:pPr>
          </w:p>
          <w:p w14:paraId="3A7D5CA1" w14:textId="77777777" w:rsidR="00084F36" w:rsidRPr="00EB2BD8" w:rsidRDefault="00EB2BD8">
            <w:pPr>
              <w:pStyle w:val="TableParagraph"/>
              <w:spacing w:before="150"/>
              <w:ind w:right="95"/>
              <w:jc w:val="right"/>
              <w:rPr>
                <w:rFonts w:ascii="Arial"/>
                <w:sz w:val="16"/>
              </w:rPr>
            </w:pPr>
            <w:r w:rsidRPr="00EB2BD8">
              <w:rPr>
                <w:rFonts w:ascii="Arial"/>
                <w:spacing w:val="-2"/>
                <w:w w:val="105"/>
                <w:sz w:val="16"/>
              </w:rPr>
              <w:t>10,901</w:t>
            </w:r>
          </w:p>
        </w:tc>
      </w:tr>
    </w:tbl>
    <w:p w14:paraId="0E29424A" w14:textId="77777777" w:rsidR="00084F36" w:rsidRPr="00EB2BD8" w:rsidRDefault="00084F36">
      <w:pPr>
        <w:pStyle w:val="BodyText"/>
        <w:rPr>
          <w:rFonts w:ascii="Arial"/>
        </w:rPr>
      </w:pPr>
    </w:p>
    <w:p w14:paraId="5FE0DC2F" w14:textId="77777777" w:rsidR="00084F36" w:rsidRPr="00EB2BD8" w:rsidRDefault="00084F36">
      <w:pPr>
        <w:pStyle w:val="BodyText"/>
        <w:rPr>
          <w:rFonts w:ascii="Arial"/>
        </w:rPr>
      </w:pPr>
    </w:p>
    <w:p w14:paraId="506BE5F8" w14:textId="77777777" w:rsidR="00084F36" w:rsidRPr="00EB2BD8" w:rsidRDefault="00EB2BD8">
      <w:pPr>
        <w:spacing w:before="106" w:line="290" w:lineRule="auto"/>
        <w:ind w:left="1016" w:right="2320"/>
        <w:jc w:val="both"/>
        <w:rPr>
          <w:rFonts w:ascii="Arial"/>
          <w:sz w:val="16"/>
        </w:rPr>
      </w:pPr>
      <w:r w:rsidRPr="00EB2BD8">
        <w:rPr>
          <w:rFonts w:ascii="Arial"/>
          <w:b/>
          <w:w w:val="105"/>
          <w:sz w:val="16"/>
        </w:rPr>
        <w:t>Contractual</w:t>
      </w:r>
      <w:r w:rsidRPr="00EB2BD8">
        <w:rPr>
          <w:rFonts w:ascii="Arial"/>
          <w:b/>
          <w:spacing w:val="-2"/>
          <w:w w:val="105"/>
          <w:sz w:val="16"/>
        </w:rPr>
        <w:t xml:space="preserve"> </w:t>
      </w:r>
      <w:r w:rsidRPr="00EB2BD8">
        <w:rPr>
          <w:rFonts w:ascii="Arial"/>
          <w:b/>
          <w:w w:val="105"/>
          <w:sz w:val="16"/>
        </w:rPr>
        <w:t>payables</w:t>
      </w:r>
      <w:r w:rsidRPr="00EB2BD8">
        <w:rPr>
          <w:rFonts w:ascii="Arial"/>
          <w:b/>
          <w:spacing w:val="-2"/>
          <w:w w:val="105"/>
          <w:sz w:val="16"/>
        </w:rPr>
        <w:t xml:space="preserve"> </w:t>
      </w:r>
      <w:r w:rsidRPr="00EB2BD8">
        <w:rPr>
          <w:rFonts w:ascii="Arial"/>
          <w:w w:val="105"/>
          <w:sz w:val="16"/>
        </w:rPr>
        <w:t>include</w:t>
      </w:r>
      <w:r w:rsidRPr="00EB2BD8">
        <w:rPr>
          <w:rFonts w:ascii="Arial"/>
          <w:spacing w:val="-2"/>
          <w:w w:val="105"/>
          <w:sz w:val="16"/>
        </w:rPr>
        <w:t xml:space="preserve"> </w:t>
      </w:r>
      <w:r w:rsidRPr="00EB2BD8">
        <w:rPr>
          <w:rFonts w:ascii="Arial"/>
          <w:w w:val="105"/>
          <w:sz w:val="16"/>
        </w:rPr>
        <w:t>amounts</w:t>
      </w:r>
      <w:r w:rsidRPr="00EB2BD8">
        <w:rPr>
          <w:rFonts w:ascii="Arial"/>
          <w:spacing w:val="-2"/>
          <w:w w:val="105"/>
          <w:sz w:val="16"/>
        </w:rPr>
        <w:t xml:space="preserve"> </w:t>
      </w:r>
      <w:r w:rsidRPr="00EB2BD8">
        <w:rPr>
          <w:rFonts w:ascii="Arial"/>
          <w:w w:val="105"/>
          <w:sz w:val="16"/>
        </w:rPr>
        <w:t>payable</w:t>
      </w:r>
      <w:r w:rsidRPr="00EB2BD8">
        <w:rPr>
          <w:rFonts w:ascii="Arial"/>
          <w:spacing w:val="-2"/>
          <w:w w:val="105"/>
          <w:sz w:val="16"/>
        </w:rPr>
        <w:t xml:space="preserve"> </w:t>
      </w:r>
      <w:r w:rsidRPr="00EB2BD8">
        <w:rPr>
          <w:rFonts w:ascii="Arial"/>
          <w:w w:val="105"/>
          <w:sz w:val="16"/>
        </w:rPr>
        <w:t>for</w:t>
      </w:r>
      <w:r w:rsidRPr="00EB2BD8">
        <w:rPr>
          <w:rFonts w:ascii="Arial"/>
          <w:spacing w:val="-2"/>
          <w:w w:val="105"/>
          <w:sz w:val="16"/>
        </w:rPr>
        <w:t xml:space="preserve"> </w:t>
      </w:r>
      <w:r w:rsidRPr="00EB2BD8">
        <w:rPr>
          <w:rFonts w:ascii="Arial"/>
          <w:w w:val="105"/>
          <w:sz w:val="16"/>
        </w:rPr>
        <w:t>supplies</w:t>
      </w:r>
      <w:r w:rsidRPr="00EB2BD8">
        <w:rPr>
          <w:rFonts w:ascii="Arial"/>
          <w:spacing w:val="-2"/>
          <w:w w:val="105"/>
          <w:sz w:val="16"/>
        </w:rPr>
        <w:t xml:space="preserve"> </w:t>
      </w:r>
      <w:r w:rsidRPr="00EB2BD8">
        <w:rPr>
          <w:rFonts w:ascii="Arial"/>
          <w:w w:val="105"/>
          <w:sz w:val="16"/>
        </w:rPr>
        <w:t>and</w:t>
      </w:r>
      <w:r w:rsidRPr="00EB2BD8">
        <w:rPr>
          <w:rFonts w:ascii="Arial"/>
          <w:spacing w:val="-2"/>
          <w:w w:val="105"/>
          <w:sz w:val="16"/>
        </w:rPr>
        <w:t xml:space="preserve"> </w:t>
      </w:r>
      <w:r w:rsidRPr="00EB2BD8">
        <w:rPr>
          <w:rFonts w:ascii="Arial"/>
          <w:w w:val="105"/>
          <w:sz w:val="16"/>
        </w:rPr>
        <w:t>services</w:t>
      </w:r>
      <w:r w:rsidRPr="00EB2BD8">
        <w:rPr>
          <w:rFonts w:ascii="Arial"/>
          <w:spacing w:val="-2"/>
          <w:w w:val="105"/>
          <w:sz w:val="16"/>
        </w:rPr>
        <w:t xml:space="preserve"> </w:t>
      </w:r>
      <w:r w:rsidRPr="00EB2BD8">
        <w:rPr>
          <w:rFonts w:ascii="Arial"/>
          <w:w w:val="105"/>
          <w:sz w:val="16"/>
        </w:rPr>
        <w:t>and</w:t>
      </w:r>
      <w:r w:rsidRPr="00EB2BD8">
        <w:rPr>
          <w:rFonts w:ascii="Arial"/>
          <w:spacing w:val="-2"/>
          <w:w w:val="105"/>
          <w:sz w:val="16"/>
        </w:rPr>
        <w:t xml:space="preserve"> </w:t>
      </w:r>
      <w:r w:rsidRPr="00EB2BD8">
        <w:rPr>
          <w:rFonts w:ascii="Arial"/>
          <w:w w:val="105"/>
          <w:sz w:val="16"/>
        </w:rPr>
        <w:t>cladding</w:t>
      </w:r>
      <w:r w:rsidRPr="00EB2BD8">
        <w:rPr>
          <w:rFonts w:ascii="Arial"/>
          <w:spacing w:val="-2"/>
          <w:w w:val="105"/>
          <w:sz w:val="16"/>
        </w:rPr>
        <w:t xml:space="preserve"> </w:t>
      </w:r>
      <w:r w:rsidRPr="00EB2BD8">
        <w:rPr>
          <w:rFonts w:ascii="Arial"/>
          <w:w w:val="105"/>
          <w:sz w:val="16"/>
        </w:rPr>
        <w:t>levy.</w:t>
      </w:r>
      <w:r w:rsidRPr="00EB2BD8">
        <w:rPr>
          <w:rFonts w:ascii="Arial"/>
          <w:spacing w:val="-2"/>
          <w:w w:val="105"/>
          <w:sz w:val="16"/>
        </w:rPr>
        <w:t xml:space="preserve"> </w:t>
      </w:r>
      <w:r w:rsidRPr="00EB2BD8">
        <w:rPr>
          <w:rFonts w:ascii="Arial"/>
          <w:w w:val="105"/>
          <w:sz w:val="16"/>
        </w:rPr>
        <w:t>They</w:t>
      </w:r>
      <w:r w:rsidRPr="00EB2BD8">
        <w:rPr>
          <w:rFonts w:ascii="Arial"/>
          <w:spacing w:val="-2"/>
          <w:w w:val="105"/>
          <w:sz w:val="16"/>
        </w:rPr>
        <w:t xml:space="preserve"> </w:t>
      </w:r>
      <w:r w:rsidRPr="00EB2BD8">
        <w:rPr>
          <w:rFonts w:ascii="Arial"/>
          <w:w w:val="105"/>
          <w:sz w:val="16"/>
        </w:rPr>
        <w:t>are</w:t>
      </w:r>
      <w:r w:rsidRPr="00EB2BD8">
        <w:rPr>
          <w:rFonts w:ascii="Arial"/>
          <w:spacing w:val="-2"/>
          <w:w w:val="105"/>
          <w:sz w:val="16"/>
        </w:rPr>
        <w:t xml:space="preserve"> </w:t>
      </w:r>
      <w:r w:rsidRPr="00EB2BD8">
        <w:rPr>
          <w:rFonts w:ascii="Arial"/>
          <w:w w:val="105"/>
          <w:sz w:val="16"/>
        </w:rPr>
        <w:t>classified</w:t>
      </w:r>
      <w:r w:rsidRPr="00EB2BD8">
        <w:rPr>
          <w:rFonts w:ascii="Arial"/>
          <w:spacing w:val="-2"/>
          <w:w w:val="105"/>
          <w:sz w:val="16"/>
        </w:rPr>
        <w:t xml:space="preserve"> </w:t>
      </w:r>
      <w:r w:rsidRPr="00EB2BD8">
        <w:rPr>
          <w:rFonts w:ascii="Arial"/>
          <w:w w:val="105"/>
          <w:sz w:val="16"/>
        </w:rPr>
        <w:t>as financial</w:t>
      </w:r>
      <w:r w:rsidRPr="00EB2BD8">
        <w:rPr>
          <w:rFonts w:ascii="Arial"/>
          <w:spacing w:val="-3"/>
          <w:w w:val="105"/>
          <w:sz w:val="16"/>
        </w:rPr>
        <w:t xml:space="preserve"> </w:t>
      </w:r>
      <w:r w:rsidRPr="00EB2BD8">
        <w:rPr>
          <w:rFonts w:ascii="Arial"/>
          <w:w w:val="105"/>
          <w:sz w:val="16"/>
        </w:rPr>
        <w:t>instruments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measured</w:t>
      </w:r>
      <w:r w:rsidRPr="00EB2BD8">
        <w:rPr>
          <w:rFonts w:ascii="Arial"/>
          <w:spacing w:val="-3"/>
          <w:w w:val="105"/>
          <w:sz w:val="16"/>
        </w:rPr>
        <w:t xml:space="preserve"> </w:t>
      </w:r>
      <w:r w:rsidRPr="00EB2BD8">
        <w:rPr>
          <w:rFonts w:ascii="Arial"/>
          <w:w w:val="105"/>
          <w:sz w:val="16"/>
        </w:rPr>
        <w:t>at</w:t>
      </w:r>
      <w:r w:rsidRPr="00EB2BD8">
        <w:rPr>
          <w:rFonts w:ascii="Arial"/>
          <w:spacing w:val="-3"/>
          <w:w w:val="105"/>
          <w:sz w:val="16"/>
        </w:rPr>
        <w:t xml:space="preserve"> </w:t>
      </w:r>
      <w:r w:rsidRPr="00EB2BD8">
        <w:rPr>
          <w:rFonts w:ascii="Arial"/>
          <w:w w:val="105"/>
          <w:sz w:val="16"/>
        </w:rPr>
        <w:t>amortised</w:t>
      </w:r>
      <w:r w:rsidRPr="00EB2BD8">
        <w:rPr>
          <w:rFonts w:ascii="Arial"/>
          <w:spacing w:val="-3"/>
          <w:w w:val="105"/>
          <w:sz w:val="16"/>
        </w:rPr>
        <w:t xml:space="preserve"> </w:t>
      </w:r>
      <w:r w:rsidRPr="00EB2BD8">
        <w:rPr>
          <w:rFonts w:ascii="Arial"/>
          <w:w w:val="105"/>
          <w:sz w:val="16"/>
        </w:rPr>
        <w:t>cost.</w:t>
      </w:r>
      <w:r w:rsidRPr="00EB2BD8">
        <w:rPr>
          <w:rFonts w:ascii="Arial"/>
          <w:spacing w:val="-3"/>
          <w:w w:val="105"/>
          <w:sz w:val="16"/>
        </w:rPr>
        <w:t xml:space="preserve"> </w:t>
      </w:r>
      <w:r w:rsidRPr="00EB2BD8">
        <w:rPr>
          <w:rFonts w:ascii="Arial"/>
          <w:w w:val="105"/>
          <w:sz w:val="16"/>
        </w:rPr>
        <w:t>Accounts</w:t>
      </w:r>
      <w:r w:rsidRPr="00EB2BD8">
        <w:rPr>
          <w:rFonts w:ascii="Arial"/>
          <w:spacing w:val="-3"/>
          <w:w w:val="105"/>
          <w:sz w:val="16"/>
        </w:rPr>
        <w:t xml:space="preserve"> </w:t>
      </w:r>
      <w:r w:rsidRPr="00EB2BD8">
        <w:rPr>
          <w:rFonts w:ascii="Arial"/>
          <w:w w:val="105"/>
          <w:sz w:val="16"/>
        </w:rPr>
        <w:t>payable</w:t>
      </w:r>
      <w:r w:rsidRPr="00EB2BD8">
        <w:rPr>
          <w:rFonts w:ascii="Arial"/>
          <w:spacing w:val="-2"/>
          <w:w w:val="105"/>
          <w:sz w:val="16"/>
        </w:rPr>
        <w:t xml:space="preserve"> </w:t>
      </w:r>
      <w:r w:rsidRPr="00EB2BD8">
        <w:rPr>
          <w:rFonts w:ascii="Arial"/>
          <w:w w:val="105"/>
          <w:sz w:val="16"/>
        </w:rPr>
        <w:t>represent</w:t>
      </w:r>
      <w:r w:rsidRPr="00EB2BD8">
        <w:rPr>
          <w:rFonts w:ascii="Arial"/>
          <w:spacing w:val="-3"/>
          <w:w w:val="105"/>
          <w:sz w:val="16"/>
        </w:rPr>
        <w:t xml:space="preserve"> </w:t>
      </w:r>
      <w:r w:rsidRPr="00EB2BD8">
        <w:rPr>
          <w:rFonts w:ascii="Arial"/>
          <w:w w:val="105"/>
          <w:sz w:val="16"/>
        </w:rPr>
        <w:t>liabilities</w:t>
      </w:r>
      <w:r w:rsidRPr="00EB2BD8">
        <w:rPr>
          <w:rFonts w:ascii="Arial"/>
          <w:spacing w:val="-3"/>
          <w:w w:val="105"/>
          <w:sz w:val="16"/>
        </w:rPr>
        <w:t xml:space="preserve"> </w:t>
      </w:r>
      <w:r w:rsidRPr="00EB2BD8">
        <w:rPr>
          <w:rFonts w:ascii="Arial"/>
          <w:w w:val="105"/>
          <w:sz w:val="16"/>
        </w:rPr>
        <w:t>for</w:t>
      </w:r>
      <w:r w:rsidRPr="00EB2BD8">
        <w:rPr>
          <w:rFonts w:ascii="Arial"/>
          <w:spacing w:val="-3"/>
          <w:w w:val="105"/>
          <w:sz w:val="16"/>
        </w:rPr>
        <w:t xml:space="preserve"> </w:t>
      </w:r>
      <w:r w:rsidRPr="00EB2BD8">
        <w:rPr>
          <w:rFonts w:ascii="Arial"/>
          <w:w w:val="105"/>
          <w:sz w:val="16"/>
        </w:rPr>
        <w:t>goods</w:t>
      </w:r>
      <w:r w:rsidRPr="00EB2BD8">
        <w:rPr>
          <w:rFonts w:ascii="Arial"/>
          <w:spacing w:val="-2"/>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services provided to the VBA prior to the end of the financial year that are unpaid.</w:t>
      </w:r>
    </w:p>
    <w:p w14:paraId="56622E57" w14:textId="77777777" w:rsidR="00084F36" w:rsidRPr="00EB2BD8" w:rsidRDefault="00084F36">
      <w:pPr>
        <w:pStyle w:val="BodyText"/>
        <w:spacing w:before="1"/>
        <w:rPr>
          <w:rFonts w:ascii="Arial"/>
          <w:sz w:val="19"/>
        </w:rPr>
      </w:pPr>
    </w:p>
    <w:p w14:paraId="0F9891E1" w14:textId="77777777" w:rsidR="00084F36" w:rsidRPr="00EB2BD8" w:rsidRDefault="00EB2BD8">
      <w:pPr>
        <w:spacing w:line="290" w:lineRule="auto"/>
        <w:ind w:left="1016" w:right="1672"/>
        <w:rPr>
          <w:rFonts w:ascii="Arial"/>
          <w:sz w:val="16"/>
        </w:rPr>
      </w:pPr>
      <w:r w:rsidRPr="00EB2BD8">
        <w:rPr>
          <w:rFonts w:ascii="Arial"/>
          <w:b/>
          <w:w w:val="105"/>
          <w:sz w:val="16"/>
        </w:rPr>
        <w:t xml:space="preserve">Statutory payables </w:t>
      </w:r>
      <w:r w:rsidRPr="00EB2BD8">
        <w:rPr>
          <w:rFonts w:ascii="Arial"/>
          <w:w w:val="105"/>
          <w:sz w:val="16"/>
        </w:rPr>
        <w:t>include payables such as Fringe Benefits Tax and other taxes payable. These are recognised and measured</w:t>
      </w:r>
      <w:r w:rsidRPr="00EB2BD8">
        <w:rPr>
          <w:rFonts w:ascii="Arial"/>
          <w:spacing w:val="-3"/>
          <w:w w:val="105"/>
          <w:sz w:val="16"/>
        </w:rPr>
        <w:t xml:space="preserve"> </w:t>
      </w:r>
      <w:r w:rsidRPr="00EB2BD8">
        <w:rPr>
          <w:rFonts w:ascii="Arial"/>
          <w:w w:val="105"/>
          <w:sz w:val="16"/>
        </w:rPr>
        <w:t>similarly</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contractual</w:t>
      </w:r>
      <w:r w:rsidRPr="00EB2BD8">
        <w:rPr>
          <w:rFonts w:ascii="Arial"/>
          <w:spacing w:val="-3"/>
          <w:w w:val="105"/>
          <w:sz w:val="16"/>
        </w:rPr>
        <w:t xml:space="preserve"> </w:t>
      </w:r>
      <w:r w:rsidRPr="00EB2BD8">
        <w:rPr>
          <w:rFonts w:ascii="Arial"/>
          <w:w w:val="105"/>
          <w:sz w:val="16"/>
        </w:rPr>
        <w:t>payables</w:t>
      </w:r>
      <w:r w:rsidRPr="00EB2BD8">
        <w:rPr>
          <w:rFonts w:ascii="Arial"/>
          <w:spacing w:val="-3"/>
          <w:w w:val="105"/>
          <w:sz w:val="16"/>
        </w:rPr>
        <w:t xml:space="preserve"> </w:t>
      </w:r>
      <w:r w:rsidRPr="00EB2BD8">
        <w:rPr>
          <w:rFonts w:ascii="Arial"/>
          <w:w w:val="105"/>
          <w:sz w:val="16"/>
        </w:rPr>
        <w:t>but</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not</w:t>
      </w:r>
      <w:r w:rsidRPr="00EB2BD8">
        <w:rPr>
          <w:rFonts w:ascii="Arial"/>
          <w:spacing w:val="-3"/>
          <w:w w:val="105"/>
          <w:sz w:val="16"/>
        </w:rPr>
        <w:t xml:space="preserve"> </w:t>
      </w:r>
      <w:r w:rsidRPr="00EB2BD8">
        <w:rPr>
          <w:rFonts w:ascii="Arial"/>
          <w:w w:val="105"/>
          <w:sz w:val="16"/>
        </w:rPr>
        <w:t>classified</w:t>
      </w:r>
      <w:r w:rsidRPr="00EB2BD8">
        <w:rPr>
          <w:rFonts w:ascii="Arial"/>
          <w:spacing w:val="-3"/>
          <w:w w:val="105"/>
          <w:sz w:val="16"/>
        </w:rPr>
        <w:t xml:space="preserve"> </w:t>
      </w:r>
      <w:r w:rsidRPr="00EB2BD8">
        <w:rPr>
          <w:rFonts w:ascii="Arial"/>
          <w:w w:val="105"/>
          <w:sz w:val="16"/>
        </w:rPr>
        <w:t>as</w:t>
      </w:r>
      <w:r w:rsidRPr="00EB2BD8">
        <w:rPr>
          <w:rFonts w:ascii="Arial"/>
          <w:spacing w:val="-3"/>
          <w:w w:val="105"/>
          <w:sz w:val="16"/>
        </w:rPr>
        <w:t xml:space="preserve"> </w:t>
      </w:r>
      <w:r w:rsidRPr="00EB2BD8">
        <w:rPr>
          <w:rFonts w:ascii="Arial"/>
          <w:w w:val="105"/>
          <w:sz w:val="16"/>
        </w:rPr>
        <w:t>financial</w:t>
      </w:r>
      <w:r w:rsidRPr="00EB2BD8">
        <w:rPr>
          <w:rFonts w:ascii="Arial"/>
          <w:spacing w:val="-3"/>
          <w:w w:val="105"/>
          <w:sz w:val="16"/>
        </w:rPr>
        <w:t xml:space="preserve"> </w:t>
      </w:r>
      <w:r w:rsidRPr="00EB2BD8">
        <w:rPr>
          <w:rFonts w:ascii="Arial"/>
          <w:w w:val="105"/>
          <w:sz w:val="16"/>
        </w:rPr>
        <w:t>instruments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not</w:t>
      </w:r>
      <w:r w:rsidRPr="00EB2BD8">
        <w:rPr>
          <w:rFonts w:ascii="Arial"/>
          <w:spacing w:val="-3"/>
          <w:w w:val="105"/>
          <w:sz w:val="16"/>
        </w:rPr>
        <w:t xml:space="preserve"> </w:t>
      </w:r>
      <w:r w:rsidRPr="00EB2BD8">
        <w:rPr>
          <w:rFonts w:ascii="Arial"/>
          <w:w w:val="105"/>
          <w:sz w:val="16"/>
        </w:rPr>
        <w:t>included</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category</w:t>
      </w:r>
      <w:r w:rsidRPr="00EB2BD8">
        <w:rPr>
          <w:rFonts w:ascii="Arial"/>
          <w:spacing w:val="-3"/>
          <w:w w:val="105"/>
          <w:sz w:val="16"/>
        </w:rPr>
        <w:t xml:space="preserve"> </w:t>
      </w:r>
      <w:r w:rsidRPr="00EB2BD8">
        <w:rPr>
          <w:rFonts w:ascii="Arial"/>
          <w:w w:val="105"/>
          <w:sz w:val="16"/>
        </w:rPr>
        <w:t>of financial liabilities at amortised cost, because they do not arise from contracts.</w:t>
      </w:r>
    </w:p>
    <w:p w14:paraId="6B212925" w14:textId="77777777" w:rsidR="00084F36" w:rsidRPr="00EB2BD8" w:rsidRDefault="00084F36">
      <w:pPr>
        <w:pStyle w:val="BodyText"/>
        <w:spacing w:before="3"/>
        <w:rPr>
          <w:rFonts w:ascii="Arial"/>
          <w:sz w:val="19"/>
        </w:rPr>
      </w:pPr>
    </w:p>
    <w:p w14:paraId="72346A6C" w14:textId="77777777" w:rsidR="00084F36" w:rsidRPr="00EB2BD8" w:rsidRDefault="00EB2BD8">
      <w:pPr>
        <w:ind w:left="1016"/>
        <w:rPr>
          <w:rFonts w:ascii="Arial"/>
          <w:sz w:val="16"/>
        </w:rPr>
      </w:pPr>
      <w:r w:rsidRPr="00EB2BD8">
        <w:rPr>
          <w:rFonts w:ascii="Arial"/>
          <w:w w:val="105"/>
          <w:sz w:val="16"/>
        </w:rPr>
        <w:t>Payables</w:t>
      </w:r>
      <w:r w:rsidRPr="00EB2BD8">
        <w:rPr>
          <w:rFonts w:ascii="Arial"/>
          <w:spacing w:val="-7"/>
          <w:w w:val="105"/>
          <w:sz w:val="16"/>
        </w:rPr>
        <w:t xml:space="preserve"> </w:t>
      </w:r>
      <w:r w:rsidRPr="00EB2BD8">
        <w:rPr>
          <w:rFonts w:ascii="Arial"/>
          <w:w w:val="105"/>
          <w:sz w:val="16"/>
        </w:rPr>
        <w:t>for</w:t>
      </w:r>
      <w:r w:rsidRPr="00EB2BD8">
        <w:rPr>
          <w:rFonts w:ascii="Arial"/>
          <w:spacing w:val="-6"/>
          <w:w w:val="105"/>
          <w:sz w:val="16"/>
        </w:rPr>
        <w:t xml:space="preserve"> </w:t>
      </w:r>
      <w:r w:rsidRPr="00EB2BD8">
        <w:rPr>
          <w:rFonts w:ascii="Arial"/>
          <w:w w:val="105"/>
          <w:sz w:val="16"/>
        </w:rPr>
        <w:t>supplies</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services</w:t>
      </w:r>
      <w:r w:rsidRPr="00EB2BD8">
        <w:rPr>
          <w:rFonts w:ascii="Arial"/>
          <w:spacing w:val="-6"/>
          <w:w w:val="105"/>
          <w:sz w:val="16"/>
        </w:rPr>
        <w:t xml:space="preserve"> </w:t>
      </w:r>
      <w:r w:rsidRPr="00EB2BD8">
        <w:rPr>
          <w:rFonts w:ascii="Arial"/>
          <w:w w:val="105"/>
          <w:sz w:val="16"/>
        </w:rPr>
        <w:t>have</w:t>
      </w:r>
      <w:r w:rsidRPr="00EB2BD8">
        <w:rPr>
          <w:rFonts w:ascii="Arial"/>
          <w:spacing w:val="-6"/>
          <w:w w:val="105"/>
          <w:sz w:val="16"/>
        </w:rPr>
        <w:t xml:space="preserve"> </w:t>
      </w:r>
      <w:r w:rsidRPr="00EB2BD8">
        <w:rPr>
          <w:rFonts w:ascii="Arial"/>
          <w:w w:val="105"/>
          <w:sz w:val="16"/>
        </w:rPr>
        <w:t>an</w:t>
      </w:r>
      <w:r w:rsidRPr="00EB2BD8">
        <w:rPr>
          <w:rFonts w:ascii="Arial"/>
          <w:spacing w:val="-6"/>
          <w:w w:val="105"/>
          <w:sz w:val="16"/>
        </w:rPr>
        <w:t xml:space="preserve"> </w:t>
      </w:r>
      <w:r w:rsidRPr="00EB2BD8">
        <w:rPr>
          <w:rFonts w:ascii="Arial"/>
          <w:w w:val="105"/>
          <w:sz w:val="16"/>
        </w:rPr>
        <w:t>average</w:t>
      </w:r>
      <w:r w:rsidRPr="00EB2BD8">
        <w:rPr>
          <w:rFonts w:ascii="Arial"/>
          <w:spacing w:val="-6"/>
          <w:w w:val="105"/>
          <w:sz w:val="16"/>
        </w:rPr>
        <w:t xml:space="preserve"> </w:t>
      </w:r>
      <w:r w:rsidRPr="00EB2BD8">
        <w:rPr>
          <w:rFonts w:ascii="Arial"/>
          <w:w w:val="105"/>
          <w:sz w:val="16"/>
        </w:rPr>
        <w:t>credit</w:t>
      </w:r>
      <w:r w:rsidRPr="00EB2BD8">
        <w:rPr>
          <w:rFonts w:ascii="Arial"/>
          <w:spacing w:val="-6"/>
          <w:w w:val="105"/>
          <w:sz w:val="16"/>
        </w:rPr>
        <w:t xml:space="preserve"> </w:t>
      </w:r>
      <w:r w:rsidRPr="00EB2BD8">
        <w:rPr>
          <w:rFonts w:ascii="Arial"/>
          <w:w w:val="105"/>
          <w:sz w:val="16"/>
        </w:rPr>
        <w:t>period</w:t>
      </w:r>
      <w:r w:rsidRPr="00EB2BD8">
        <w:rPr>
          <w:rFonts w:ascii="Arial"/>
          <w:spacing w:val="-6"/>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30</w:t>
      </w:r>
      <w:r w:rsidRPr="00EB2BD8">
        <w:rPr>
          <w:rFonts w:ascii="Arial"/>
          <w:spacing w:val="-7"/>
          <w:w w:val="105"/>
          <w:sz w:val="16"/>
        </w:rPr>
        <w:t xml:space="preserve"> </w:t>
      </w:r>
      <w:r w:rsidRPr="00EB2BD8">
        <w:rPr>
          <w:rFonts w:ascii="Arial"/>
          <w:spacing w:val="-2"/>
          <w:w w:val="105"/>
          <w:sz w:val="16"/>
        </w:rPr>
        <w:t>days.</w:t>
      </w:r>
    </w:p>
    <w:p w14:paraId="5FE3A658" w14:textId="77777777" w:rsidR="00084F36" w:rsidRPr="00EB2BD8" w:rsidRDefault="00084F36">
      <w:pPr>
        <w:pStyle w:val="BodyText"/>
        <w:spacing w:before="7"/>
        <w:rPr>
          <w:rFonts w:ascii="Arial"/>
          <w:sz w:val="22"/>
        </w:rPr>
      </w:pPr>
    </w:p>
    <w:p w14:paraId="3B717A93" w14:textId="77777777" w:rsidR="00084F36" w:rsidRPr="00EB2BD8" w:rsidRDefault="00EB2BD8">
      <w:pPr>
        <w:spacing w:before="1" w:line="288" w:lineRule="auto"/>
        <w:ind w:left="1016" w:right="1672"/>
        <w:rPr>
          <w:rFonts w:ascii="Arial"/>
          <w:sz w:val="16"/>
        </w:rPr>
      </w:pPr>
      <w:r w:rsidRPr="00EB2BD8">
        <w:rPr>
          <w:rFonts w:ascii="Arial"/>
          <w:w w:val="105"/>
          <w:sz w:val="16"/>
        </w:rPr>
        <w:t>The</w:t>
      </w:r>
      <w:r w:rsidRPr="00EB2BD8">
        <w:rPr>
          <w:rFonts w:ascii="Arial"/>
          <w:spacing w:val="-3"/>
          <w:w w:val="105"/>
          <w:sz w:val="16"/>
        </w:rPr>
        <w:t xml:space="preserve"> </w:t>
      </w:r>
      <w:r w:rsidRPr="00EB2BD8">
        <w:rPr>
          <w:rFonts w:ascii="Arial"/>
          <w:w w:val="105"/>
          <w:sz w:val="16"/>
        </w:rPr>
        <w:t>terms</w:t>
      </w:r>
      <w:r w:rsidRPr="00EB2BD8">
        <w:rPr>
          <w:rFonts w:ascii="Arial"/>
          <w:spacing w:val="-3"/>
          <w:w w:val="105"/>
          <w:sz w:val="16"/>
        </w:rPr>
        <w:t xml:space="preserve"> </w:t>
      </w:r>
      <w:r w:rsidRPr="00EB2BD8">
        <w:rPr>
          <w:rFonts w:ascii="Arial"/>
          <w:w w:val="105"/>
          <w:sz w:val="16"/>
        </w:rPr>
        <w:t>and</w:t>
      </w:r>
      <w:r w:rsidRPr="00EB2BD8">
        <w:rPr>
          <w:rFonts w:ascii="Arial"/>
          <w:spacing w:val="-2"/>
          <w:w w:val="105"/>
          <w:sz w:val="16"/>
        </w:rPr>
        <w:t xml:space="preserve"> </w:t>
      </w:r>
      <w:r w:rsidRPr="00EB2BD8">
        <w:rPr>
          <w:rFonts w:ascii="Arial"/>
          <w:w w:val="105"/>
          <w:sz w:val="16"/>
        </w:rPr>
        <w:t>conditions</w:t>
      </w:r>
      <w:r w:rsidRPr="00EB2BD8">
        <w:rPr>
          <w:rFonts w:ascii="Arial"/>
          <w:spacing w:val="-2"/>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amounts</w:t>
      </w:r>
      <w:r w:rsidRPr="00EB2BD8">
        <w:rPr>
          <w:rFonts w:ascii="Arial"/>
          <w:spacing w:val="-3"/>
          <w:w w:val="105"/>
          <w:sz w:val="16"/>
        </w:rPr>
        <w:t xml:space="preserve"> </w:t>
      </w:r>
      <w:r w:rsidRPr="00EB2BD8">
        <w:rPr>
          <w:rFonts w:ascii="Arial"/>
          <w:w w:val="105"/>
          <w:sz w:val="16"/>
        </w:rPr>
        <w:t>payable</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government</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agencies</w:t>
      </w:r>
      <w:r w:rsidRPr="00EB2BD8">
        <w:rPr>
          <w:rFonts w:ascii="Arial"/>
          <w:spacing w:val="-3"/>
          <w:w w:val="105"/>
          <w:sz w:val="16"/>
        </w:rPr>
        <w:t xml:space="preserve"> </w:t>
      </w:r>
      <w:r w:rsidRPr="00EB2BD8">
        <w:rPr>
          <w:rFonts w:ascii="Arial"/>
          <w:w w:val="105"/>
          <w:sz w:val="16"/>
        </w:rPr>
        <w:t>vary</w:t>
      </w:r>
      <w:r w:rsidRPr="00EB2BD8">
        <w:rPr>
          <w:rFonts w:ascii="Arial"/>
          <w:spacing w:val="-3"/>
          <w:w w:val="105"/>
          <w:sz w:val="16"/>
        </w:rPr>
        <w:t xml:space="preserve"> </w:t>
      </w:r>
      <w:r w:rsidRPr="00EB2BD8">
        <w:rPr>
          <w:rFonts w:ascii="Arial"/>
          <w:w w:val="105"/>
          <w:sz w:val="16"/>
        </w:rPr>
        <w:t>according</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particular</w:t>
      </w:r>
      <w:r w:rsidRPr="00EB2BD8">
        <w:rPr>
          <w:rFonts w:ascii="Arial"/>
          <w:spacing w:val="-2"/>
          <w:w w:val="105"/>
          <w:sz w:val="16"/>
        </w:rPr>
        <w:t xml:space="preserve"> </w:t>
      </w:r>
      <w:r w:rsidRPr="00EB2BD8">
        <w:rPr>
          <w:rFonts w:ascii="Arial"/>
          <w:w w:val="105"/>
          <w:sz w:val="16"/>
        </w:rPr>
        <w:t>agreements. As they are not legislative payables, they are not classified as financial instruments.</w:t>
      </w:r>
    </w:p>
    <w:p w14:paraId="0B7835DE" w14:textId="77777777" w:rsidR="00084F36" w:rsidRPr="00EB2BD8" w:rsidRDefault="00084F36">
      <w:pPr>
        <w:pStyle w:val="BodyText"/>
        <w:rPr>
          <w:rFonts w:ascii="Arial"/>
          <w:sz w:val="20"/>
        </w:rPr>
      </w:pPr>
    </w:p>
    <w:p w14:paraId="1DB73EAC" w14:textId="77777777" w:rsidR="00084F36" w:rsidRPr="00EB2BD8" w:rsidRDefault="00084F36">
      <w:pPr>
        <w:pStyle w:val="BodyText"/>
        <w:rPr>
          <w:rFonts w:ascii="Arial"/>
          <w:sz w:val="20"/>
        </w:rPr>
      </w:pPr>
    </w:p>
    <w:p w14:paraId="19EC08BB" w14:textId="77777777" w:rsidR="00084F36" w:rsidRPr="00EB2BD8" w:rsidRDefault="00084F36">
      <w:pPr>
        <w:pStyle w:val="BodyText"/>
        <w:rPr>
          <w:rFonts w:ascii="Arial"/>
          <w:sz w:val="20"/>
        </w:rPr>
      </w:pPr>
    </w:p>
    <w:p w14:paraId="0F17A2E9" w14:textId="77777777" w:rsidR="00084F36" w:rsidRPr="00EB2BD8" w:rsidRDefault="00084F36">
      <w:pPr>
        <w:pStyle w:val="BodyText"/>
        <w:rPr>
          <w:rFonts w:ascii="Arial"/>
          <w:sz w:val="20"/>
        </w:rPr>
      </w:pPr>
    </w:p>
    <w:p w14:paraId="18D1883C" w14:textId="77777777" w:rsidR="00084F36" w:rsidRPr="00EB2BD8" w:rsidRDefault="00084F36">
      <w:pPr>
        <w:pStyle w:val="BodyText"/>
        <w:rPr>
          <w:rFonts w:ascii="Arial"/>
          <w:sz w:val="20"/>
        </w:rPr>
      </w:pPr>
    </w:p>
    <w:p w14:paraId="39641321" w14:textId="77777777" w:rsidR="00084F36" w:rsidRPr="00EB2BD8" w:rsidRDefault="00084F36">
      <w:pPr>
        <w:pStyle w:val="BodyText"/>
        <w:rPr>
          <w:rFonts w:ascii="Arial"/>
          <w:sz w:val="20"/>
        </w:rPr>
      </w:pPr>
    </w:p>
    <w:p w14:paraId="4F3EAEB5" w14:textId="77777777" w:rsidR="00084F36" w:rsidRPr="00EB2BD8" w:rsidRDefault="00084F36">
      <w:pPr>
        <w:pStyle w:val="BodyText"/>
        <w:rPr>
          <w:rFonts w:ascii="Arial"/>
          <w:sz w:val="20"/>
        </w:rPr>
      </w:pPr>
    </w:p>
    <w:p w14:paraId="32C127CD" w14:textId="77777777" w:rsidR="00084F36" w:rsidRPr="00EB2BD8" w:rsidRDefault="00084F36">
      <w:pPr>
        <w:pStyle w:val="BodyText"/>
        <w:rPr>
          <w:rFonts w:ascii="Arial"/>
          <w:sz w:val="20"/>
        </w:rPr>
      </w:pPr>
    </w:p>
    <w:p w14:paraId="3720B957" w14:textId="77777777" w:rsidR="00084F36" w:rsidRPr="00EB2BD8" w:rsidRDefault="00084F36">
      <w:pPr>
        <w:pStyle w:val="BodyText"/>
        <w:rPr>
          <w:rFonts w:ascii="Arial"/>
          <w:sz w:val="20"/>
        </w:rPr>
      </w:pPr>
    </w:p>
    <w:p w14:paraId="7D731E96" w14:textId="77777777" w:rsidR="00084F36" w:rsidRPr="00EB2BD8" w:rsidRDefault="00084F36">
      <w:pPr>
        <w:pStyle w:val="BodyText"/>
        <w:rPr>
          <w:rFonts w:ascii="Arial"/>
          <w:sz w:val="20"/>
        </w:rPr>
      </w:pPr>
    </w:p>
    <w:p w14:paraId="4469547B" w14:textId="77777777" w:rsidR="00084F36" w:rsidRPr="00EB2BD8" w:rsidRDefault="00084F36">
      <w:pPr>
        <w:pStyle w:val="BodyText"/>
        <w:rPr>
          <w:rFonts w:ascii="Arial"/>
          <w:sz w:val="20"/>
        </w:rPr>
      </w:pPr>
    </w:p>
    <w:p w14:paraId="17DAD36B" w14:textId="77777777" w:rsidR="00084F36" w:rsidRPr="00EB2BD8" w:rsidRDefault="00084F36">
      <w:pPr>
        <w:pStyle w:val="BodyText"/>
        <w:rPr>
          <w:rFonts w:ascii="Arial"/>
          <w:sz w:val="20"/>
        </w:rPr>
      </w:pPr>
    </w:p>
    <w:p w14:paraId="40ED7674" w14:textId="77777777" w:rsidR="00084F36" w:rsidRPr="00EB2BD8" w:rsidRDefault="00084F36">
      <w:pPr>
        <w:pStyle w:val="BodyText"/>
        <w:rPr>
          <w:rFonts w:ascii="Arial"/>
          <w:sz w:val="20"/>
        </w:rPr>
      </w:pPr>
    </w:p>
    <w:p w14:paraId="70E61E06" w14:textId="77777777" w:rsidR="00084F36" w:rsidRPr="00EB2BD8" w:rsidRDefault="00084F36">
      <w:pPr>
        <w:pStyle w:val="BodyText"/>
        <w:rPr>
          <w:rFonts w:ascii="Arial"/>
          <w:sz w:val="20"/>
        </w:rPr>
      </w:pPr>
    </w:p>
    <w:p w14:paraId="471ABCDF" w14:textId="77777777" w:rsidR="00084F36" w:rsidRPr="00EB2BD8" w:rsidRDefault="00084F36">
      <w:pPr>
        <w:pStyle w:val="BodyText"/>
        <w:rPr>
          <w:rFonts w:ascii="Arial"/>
          <w:sz w:val="20"/>
        </w:rPr>
      </w:pPr>
    </w:p>
    <w:p w14:paraId="67CC980B" w14:textId="77777777" w:rsidR="00084F36" w:rsidRPr="00EB2BD8" w:rsidRDefault="00084F36">
      <w:pPr>
        <w:pStyle w:val="BodyText"/>
        <w:rPr>
          <w:rFonts w:ascii="Arial"/>
          <w:sz w:val="20"/>
        </w:rPr>
      </w:pPr>
    </w:p>
    <w:p w14:paraId="2EF1C074" w14:textId="77777777" w:rsidR="00084F36" w:rsidRPr="00EB2BD8" w:rsidRDefault="00084F36">
      <w:pPr>
        <w:pStyle w:val="BodyText"/>
        <w:rPr>
          <w:rFonts w:ascii="Arial"/>
          <w:sz w:val="20"/>
        </w:rPr>
      </w:pPr>
    </w:p>
    <w:p w14:paraId="0B70EF8C" w14:textId="77777777" w:rsidR="00084F36" w:rsidRPr="00EB2BD8" w:rsidRDefault="00084F36">
      <w:pPr>
        <w:pStyle w:val="BodyText"/>
        <w:rPr>
          <w:rFonts w:ascii="Arial"/>
          <w:sz w:val="20"/>
        </w:rPr>
      </w:pPr>
    </w:p>
    <w:p w14:paraId="06A27354" w14:textId="77777777" w:rsidR="00084F36" w:rsidRPr="00EB2BD8" w:rsidRDefault="00084F36">
      <w:pPr>
        <w:pStyle w:val="BodyText"/>
        <w:rPr>
          <w:rFonts w:ascii="Arial"/>
          <w:sz w:val="20"/>
        </w:rPr>
      </w:pPr>
    </w:p>
    <w:p w14:paraId="212F0A1A" w14:textId="77777777" w:rsidR="00084F36" w:rsidRPr="00EB2BD8" w:rsidRDefault="00084F36">
      <w:pPr>
        <w:pStyle w:val="BodyText"/>
        <w:rPr>
          <w:rFonts w:ascii="Arial"/>
          <w:sz w:val="20"/>
        </w:rPr>
      </w:pPr>
    </w:p>
    <w:p w14:paraId="24A33DD8" w14:textId="77777777" w:rsidR="00084F36" w:rsidRPr="00EB2BD8" w:rsidRDefault="00084F36">
      <w:pPr>
        <w:pStyle w:val="BodyText"/>
        <w:rPr>
          <w:rFonts w:ascii="Arial"/>
          <w:sz w:val="20"/>
        </w:rPr>
      </w:pPr>
    </w:p>
    <w:p w14:paraId="25885C5D" w14:textId="77777777" w:rsidR="00084F36" w:rsidRPr="00EB2BD8" w:rsidRDefault="00084F36">
      <w:pPr>
        <w:pStyle w:val="BodyText"/>
        <w:rPr>
          <w:rFonts w:ascii="Arial"/>
          <w:sz w:val="20"/>
        </w:rPr>
      </w:pPr>
    </w:p>
    <w:p w14:paraId="7B4C2DE7" w14:textId="77777777" w:rsidR="00084F36" w:rsidRPr="00EB2BD8" w:rsidRDefault="00084F36">
      <w:pPr>
        <w:pStyle w:val="BodyText"/>
        <w:rPr>
          <w:rFonts w:ascii="Arial"/>
          <w:sz w:val="20"/>
        </w:rPr>
      </w:pPr>
    </w:p>
    <w:p w14:paraId="3489FA1E" w14:textId="77777777" w:rsidR="00084F36" w:rsidRPr="00EB2BD8" w:rsidRDefault="00084F36">
      <w:pPr>
        <w:pStyle w:val="BodyText"/>
        <w:rPr>
          <w:rFonts w:ascii="Arial"/>
          <w:sz w:val="20"/>
        </w:rPr>
      </w:pPr>
    </w:p>
    <w:p w14:paraId="2C4D2CD6" w14:textId="77777777" w:rsidR="00084F36" w:rsidRPr="00EB2BD8" w:rsidRDefault="00084F36">
      <w:pPr>
        <w:pStyle w:val="BodyText"/>
        <w:rPr>
          <w:rFonts w:ascii="Arial"/>
          <w:sz w:val="20"/>
        </w:rPr>
      </w:pPr>
    </w:p>
    <w:p w14:paraId="27BDE2B6" w14:textId="77777777" w:rsidR="00084F36" w:rsidRPr="00EB2BD8" w:rsidRDefault="00084F36">
      <w:pPr>
        <w:pStyle w:val="BodyText"/>
        <w:rPr>
          <w:rFonts w:ascii="Arial"/>
          <w:sz w:val="20"/>
        </w:rPr>
      </w:pPr>
    </w:p>
    <w:p w14:paraId="3AAF3935" w14:textId="77777777" w:rsidR="00084F36" w:rsidRPr="00EB2BD8" w:rsidRDefault="00084F36">
      <w:pPr>
        <w:pStyle w:val="BodyText"/>
        <w:spacing w:before="5"/>
        <w:rPr>
          <w:rFonts w:ascii="Arial"/>
          <w:sz w:val="29"/>
        </w:rPr>
      </w:pPr>
    </w:p>
    <w:p w14:paraId="7F3DCC54" w14:textId="77777777" w:rsidR="00084F36" w:rsidRPr="00EB2BD8" w:rsidRDefault="00084F36">
      <w:pPr>
        <w:jc w:val="right"/>
        <w:rPr>
          <w:sz w:val="16"/>
        </w:rPr>
        <w:sectPr w:rsidR="00084F36" w:rsidRPr="00EB2BD8" w:rsidSect="006D75B2">
          <w:headerReference w:type="default" r:id="rId307"/>
          <w:footerReference w:type="default" r:id="rId308"/>
          <w:pgSz w:w="11910" w:h="16840"/>
          <w:pgMar w:top="760" w:right="0" w:bottom="280" w:left="0" w:header="0" w:footer="0" w:gutter="0"/>
          <w:cols w:space="720"/>
        </w:sectPr>
      </w:pPr>
    </w:p>
    <w:p w14:paraId="788EA8F8" w14:textId="77777777" w:rsidR="00084F36" w:rsidRPr="00EB2BD8" w:rsidRDefault="00084F36">
      <w:pPr>
        <w:pStyle w:val="BodyText"/>
        <w:rPr>
          <w:sz w:val="20"/>
        </w:rPr>
      </w:pPr>
    </w:p>
    <w:p w14:paraId="13F53586" w14:textId="77777777" w:rsidR="00084F36" w:rsidRPr="00EB2BD8" w:rsidRDefault="00084F36">
      <w:pPr>
        <w:pStyle w:val="BodyText"/>
        <w:rPr>
          <w:sz w:val="20"/>
        </w:rPr>
      </w:pPr>
    </w:p>
    <w:p w14:paraId="41130542" w14:textId="77777777" w:rsidR="00084F36" w:rsidRPr="00EB2BD8" w:rsidRDefault="00084F36">
      <w:pPr>
        <w:pStyle w:val="BodyText"/>
        <w:rPr>
          <w:sz w:val="20"/>
        </w:rPr>
      </w:pPr>
    </w:p>
    <w:p w14:paraId="11BD9BEE" w14:textId="77777777" w:rsidR="00084F36" w:rsidRPr="00EB2BD8" w:rsidRDefault="00084F36">
      <w:pPr>
        <w:pStyle w:val="BodyText"/>
        <w:rPr>
          <w:sz w:val="20"/>
        </w:rPr>
      </w:pPr>
    </w:p>
    <w:p w14:paraId="3213C2F7" w14:textId="77777777" w:rsidR="00084F36" w:rsidRPr="00EB2BD8" w:rsidRDefault="00084F36">
      <w:pPr>
        <w:pStyle w:val="BodyText"/>
        <w:rPr>
          <w:sz w:val="20"/>
        </w:rPr>
      </w:pPr>
    </w:p>
    <w:p w14:paraId="3B2B5ED7" w14:textId="77777777" w:rsidR="00084F36" w:rsidRPr="00EB2BD8" w:rsidRDefault="00084F36">
      <w:pPr>
        <w:pStyle w:val="BodyText"/>
        <w:spacing w:before="7"/>
        <w:rPr>
          <w:sz w:val="19"/>
        </w:rPr>
      </w:pPr>
    </w:p>
    <w:p w14:paraId="09E2212B" w14:textId="357165E3" w:rsidR="00084F36" w:rsidRPr="00EB2BD8" w:rsidRDefault="00086D4B" w:rsidP="00086D4B">
      <w:pPr>
        <w:pStyle w:val="Heading2"/>
      </w:pPr>
      <w:r>
        <w:t xml:space="preserve">   </w:t>
      </w:r>
      <w:bookmarkStart w:id="300" w:name="_Toc150762602"/>
      <w:r w:rsidR="00772B16">
        <w:t xml:space="preserve">5.3 </w:t>
      </w:r>
      <w:r w:rsidR="00273892">
        <w:t>C</w:t>
      </w:r>
      <w:r w:rsidR="00273892" w:rsidRPr="00EB2BD8">
        <w:t>ontract</w:t>
      </w:r>
      <w:r w:rsidR="00273892" w:rsidRPr="00EB2BD8">
        <w:rPr>
          <w:spacing w:val="21"/>
        </w:rPr>
        <w:t xml:space="preserve"> </w:t>
      </w:r>
      <w:r w:rsidR="00273892" w:rsidRPr="00EB2BD8">
        <w:rPr>
          <w:spacing w:val="-2"/>
        </w:rPr>
        <w:t>liabilities</w:t>
      </w:r>
      <w:bookmarkEnd w:id="300"/>
    </w:p>
    <w:p w14:paraId="431F37E7" w14:textId="77777777" w:rsidR="00084F36" w:rsidRPr="00EB2BD8" w:rsidRDefault="00084F36">
      <w:pPr>
        <w:pStyle w:val="BodyText"/>
        <w:spacing w:before="9"/>
        <w:rPr>
          <w:rFonts w:ascii="Arial"/>
          <w:b/>
          <w:sz w:val="11"/>
        </w:rPr>
      </w:pPr>
    </w:p>
    <w:p w14:paraId="1FB0651F" w14:textId="77777777" w:rsidR="00084F36" w:rsidRPr="00EB2BD8" w:rsidRDefault="00EB2BD8">
      <w:pPr>
        <w:spacing w:before="102" w:after="56"/>
        <w:ind w:right="1982"/>
        <w:jc w:val="right"/>
        <w:rPr>
          <w:rFonts w:ascii="Arial" w:hAnsi="Arial"/>
          <w:sz w:val="16"/>
        </w:rPr>
      </w:pPr>
      <w:r w:rsidRPr="00EB2BD8">
        <w:rPr>
          <w:rFonts w:ascii="Arial" w:hAnsi="Arial"/>
          <w:spacing w:val="-2"/>
          <w:w w:val="105"/>
          <w:sz w:val="16"/>
        </w:rPr>
        <w:t>($’000)</w:t>
      </w:r>
    </w:p>
    <w:tbl>
      <w:tblPr>
        <w:tblW w:w="0" w:type="auto"/>
        <w:tblInd w:w="1019" w:type="dxa"/>
        <w:tblLayout w:type="fixed"/>
        <w:tblCellMar>
          <w:left w:w="0" w:type="dxa"/>
          <w:right w:w="0" w:type="dxa"/>
        </w:tblCellMar>
        <w:tblLook w:val="01E0" w:firstRow="1" w:lastRow="1" w:firstColumn="1" w:lastColumn="1" w:noHBand="0" w:noVBand="0"/>
      </w:tblPr>
      <w:tblGrid>
        <w:gridCol w:w="6228"/>
        <w:gridCol w:w="1393"/>
        <w:gridCol w:w="1392"/>
      </w:tblGrid>
      <w:tr w:rsidR="00EB2BD8" w:rsidRPr="00EB2BD8" w14:paraId="23EC047D" w14:textId="77777777">
        <w:trPr>
          <w:trHeight w:val="307"/>
        </w:trPr>
        <w:tc>
          <w:tcPr>
            <w:tcW w:w="7621" w:type="dxa"/>
            <w:gridSpan w:val="2"/>
            <w:tcBorders>
              <w:top w:val="single" w:sz="4" w:space="0" w:color="0098FF"/>
              <w:left w:val="single" w:sz="4" w:space="0" w:color="0098FF"/>
              <w:bottom w:val="single" w:sz="4" w:space="0" w:color="0098FF"/>
            </w:tcBorders>
            <w:shd w:val="clear" w:color="auto" w:fill="0070C0"/>
          </w:tcPr>
          <w:p w14:paraId="4D2425AF" w14:textId="77777777" w:rsidR="00084F36" w:rsidRPr="00EB2BD8" w:rsidRDefault="00EB2BD8">
            <w:pPr>
              <w:pStyle w:val="TableParagraph"/>
              <w:spacing w:before="64"/>
              <w:ind w:right="96"/>
              <w:jc w:val="right"/>
              <w:rPr>
                <w:rFonts w:ascii="Arial"/>
                <w:b/>
                <w:sz w:val="16"/>
              </w:rPr>
            </w:pPr>
            <w:r w:rsidRPr="00EB2BD8">
              <w:rPr>
                <w:rFonts w:ascii="Arial"/>
                <w:b/>
                <w:spacing w:val="-4"/>
                <w:w w:val="105"/>
                <w:sz w:val="16"/>
              </w:rPr>
              <w:t>2023</w:t>
            </w:r>
          </w:p>
        </w:tc>
        <w:tc>
          <w:tcPr>
            <w:tcW w:w="1392" w:type="dxa"/>
            <w:tcBorders>
              <w:top w:val="single" w:sz="4" w:space="0" w:color="0098FF"/>
              <w:bottom w:val="single" w:sz="4" w:space="0" w:color="0098FF"/>
              <w:right w:val="single" w:sz="4" w:space="0" w:color="0098FF"/>
            </w:tcBorders>
            <w:shd w:val="clear" w:color="auto" w:fill="0070C0"/>
          </w:tcPr>
          <w:p w14:paraId="7EC69917" w14:textId="77777777" w:rsidR="00084F36" w:rsidRPr="00EB2BD8" w:rsidRDefault="00EB2BD8">
            <w:pPr>
              <w:pStyle w:val="TableParagraph"/>
              <w:spacing w:before="64"/>
              <w:ind w:right="91"/>
              <w:jc w:val="right"/>
              <w:rPr>
                <w:rFonts w:ascii="Arial"/>
                <w:b/>
                <w:sz w:val="16"/>
              </w:rPr>
            </w:pPr>
            <w:r w:rsidRPr="00EB2BD8">
              <w:rPr>
                <w:rFonts w:ascii="Arial"/>
                <w:b/>
                <w:spacing w:val="-4"/>
                <w:w w:val="105"/>
                <w:sz w:val="16"/>
              </w:rPr>
              <w:t>2022</w:t>
            </w:r>
          </w:p>
        </w:tc>
      </w:tr>
      <w:tr w:rsidR="00EB2BD8" w:rsidRPr="00EB2BD8" w14:paraId="034725BA" w14:textId="77777777">
        <w:trPr>
          <w:trHeight w:val="342"/>
        </w:trPr>
        <w:tc>
          <w:tcPr>
            <w:tcW w:w="6228" w:type="dxa"/>
            <w:tcBorders>
              <w:top w:val="single" w:sz="4" w:space="0" w:color="0098FF"/>
            </w:tcBorders>
            <w:shd w:val="clear" w:color="auto" w:fill="FFFFFF"/>
          </w:tcPr>
          <w:p w14:paraId="3074F013" w14:textId="77777777" w:rsidR="00084F36" w:rsidRPr="00EB2BD8" w:rsidRDefault="00EB2BD8">
            <w:pPr>
              <w:pStyle w:val="TableParagraph"/>
              <w:spacing w:before="63"/>
              <w:ind w:left="105"/>
              <w:rPr>
                <w:rFonts w:ascii="Arial"/>
                <w:sz w:val="16"/>
              </w:rPr>
            </w:pPr>
            <w:r w:rsidRPr="00EB2BD8">
              <w:rPr>
                <w:rFonts w:ascii="Arial"/>
                <w:w w:val="105"/>
                <w:sz w:val="16"/>
              </w:rPr>
              <w:t>Opening</w:t>
            </w:r>
            <w:r w:rsidRPr="00EB2BD8">
              <w:rPr>
                <w:rFonts w:ascii="Arial"/>
                <w:spacing w:val="-11"/>
                <w:w w:val="105"/>
                <w:sz w:val="16"/>
              </w:rPr>
              <w:t xml:space="preserve"> </w:t>
            </w:r>
            <w:r w:rsidRPr="00EB2BD8">
              <w:rPr>
                <w:rFonts w:ascii="Arial"/>
                <w:spacing w:val="-2"/>
                <w:w w:val="105"/>
                <w:sz w:val="16"/>
              </w:rPr>
              <w:t>balance</w:t>
            </w:r>
          </w:p>
        </w:tc>
        <w:tc>
          <w:tcPr>
            <w:tcW w:w="1393" w:type="dxa"/>
            <w:tcBorders>
              <w:top w:val="single" w:sz="4" w:space="0" w:color="0098FF"/>
            </w:tcBorders>
            <w:shd w:val="clear" w:color="auto" w:fill="DEEAF6"/>
          </w:tcPr>
          <w:p w14:paraId="112AD961" w14:textId="77777777" w:rsidR="00084F36" w:rsidRPr="00EB2BD8" w:rsidRDefault="00EB2BD8">
            <w:pPr>
              <w:pStyle w:val="TableParagraph"/>
              <w:spacing w:before="63"/>
              <w:ind w:right="96"/>
              <w:jc w:val="right"/>
              <w:rPr>
                <w:rFonts w:ascii="Arial"/>
                <w:sz w:val="16"/>
              </w:rPr>
            </w:pPr>
            <w:r w:rsidRPr="00EB2BD8">
              <w:rPr>
                <w:rFonts w:ascii="Arial"/>
                <w:spacing w:val="-2"/>
                <w:w w:val="105"/>
                <w:sz w:val="16"/>
              </w:rPr>
              <w:t>8,229</w:t>
            </w:r>
          </w:p>
        </w:tc>
        <w:tc>
          <w:tcPr>
            <w:tcW w:w="1392" w:type="dxa"/>
            <w:tcBorders>
              <w:top w:val="single" w:sz="4" w:space="0" w:color="0098FF"/>
            </w:tcBorders>
            <w:shd w:val="clear" w:color="auto" w:fill="FFFFFF"/>
          </w:tcPr>
          <w:p w14:paraId="33E214DD" w14:textId="77777777" w:rsidR="00084F36" w:rsidRPr="00EB2BD8" w:rsidRDefault="00EB2BD8">
            <w:pPr>
              <w:pStyle w:val="TableParagraph"/>
              <w:spacing w:before="63"/>
              <w:ind w:right="96"/>
              <w:jc w:val="right"/>
              <w:rPr>
                <w:rFonts w:ascii="Arial"/>
                <w:sz w:val="16"/>
              </w:rPr>
            </w:pPr>
            <w:r w:rsidRPr="00EB2BD8">
              <w:rPr>
                <w:rFonts w:ascii="Arial"/>
                <w:spacing w:val="-2"/>
                <w:w w:val="105"/>
                <w:sz w:val="16"/>
              </w:rPr>
              <w:t>7,085</w:t>
            </w:r>
          </w:p>
        </w:tc>
      </w:tr>
      <w:tr w:rsidR="00EB2BD8" w:rsidRPr="00EB2BD8" w14:paraId="4E89A770" w14:textId="77777777">
        <w:trPr>
          <w:trHeight w:val="600"/>
        </w:trPr>
        <w:tc>
          <w:tcPr>
            <w:tcW w:w="6228" w:type="dxa"/>
            <w:shd w:val="clear" w:color="auto" w:fill="FFFFFF"/>
          </w:tcPr>
          <w:p w14:paraId="5B7EEFF7" w14:textId="77777777" w:rsidR="00084F36" w:rsidRPr="00EB2BD8" w:rsidRDefault="00EB2BD8">
            <w:pPr>
              <w:pStyle w:val="TableParagraph"/>
              <w:spacing w:before="95" w:line="252" w:lineRule="auto"/>
              <w:ind w:left="105" w:right="1638"/>
              <w:rPr>
                <w:rFonts w:ascii="Arial"/>
                <w:sz w:val="16"/>
              </w:rPr>
            </w:pPr>
            <w:r w:rsidRPr="00EB2BD8">
              <w:rPr>
                <w:rFonts w:ascii="Arial"/>
                <w:w w:val="105"/>
                <w:sz w:val="16"/>
              </w:rPr>
              <w:t>Add:</w:t>
            </w:r>
            <w:r w:rsidRPr="00EB2BD8">
              <w:rPr>
                <w:rFonts w:ascii="Arial"/>
                <w:spacing w:val="-6"/>
                <w:w w:val="105"/>
                <w:sz w:val="16"/>
              </w:rPr>
              <w:t xml:space="preserve"> </w:t>
            </w:r>
            <w:r w:rsidRPr="00EB2BD8">
              <w:rPr>
                <w:rFonts w:ascii="Arial"/>
                <w:w w:val="105"/>
                <w:sz w:val="16"/>
              </w:rPr>
              <w:t>Payments</w:t>
            </w:r>
            <w:r w:rsidRPr="00EB2BD8">
              <w:rPr>
                <w:rFonts w:ascii="Arial"/>
                <w:spacing w:val="-6"/>
                <w:w w:val="105"/>
                <w:sz w:val="16"/>
              </w:rPr>
              <w:t xml:space="preserve"> </w:t>
            </w:r>
            <w:r w:rsidRPr="00EB2BD8">
              <w:rPr>
                <w:rFonts w:ascii="Arial"/>
                <w:w w:val="105"/>
                <w:sz w:val="16"/>
              </w:rPr>
              <w:t>received</w:t>
            </w:r>
            <w:r w:rsidRPr="00EB2BD8">
              <w:rPr>
                <w:rFonts w:ascii="Arial"/>
                <w:spacing w:val="-6"/>
                <w:w w:val="105"/>
                <w:sz w:val="16"/>
              </w:rPr>
              <w:t xml:space="preserve"> </w:t>
            </w:r>
            <w:r w:rsidRPr="00EB2BD8">
              <w:rPr>
                <w:rFonts w:ascii="Arial"/>
                <w:w w:val="105"/>
                <w:sz w:val="16"/>
              </w:rPr>
              <w:t>for</w:t>
            </w:r>
            <w:r w:rsidRPr="00EB2BD8">
              <w:rPr>
                <w:rFonts w:ascii="Arial"/>
                <w:spacing w:val="-6"/>
                <w:w w:val="105"/>
                <w:sz w:val="16"/>
              </w:rPr>
              <w:t xml:space="preserve"> </w:t>
            </w:r>
            <w:r w:rsidRPr="00EB2BD8">
              <w:rPr>
                <w:rFonts w:ascii="Arial"/>
                <w:w w:val="105"/>
                <w:sz w:val="16"/>
              </w:rPr>
              <w:t>performance</w:t>
            </w:r>
            <w:r w:rsidRPr="00EB2BD8">
              <w:rPr>
                <w:rFonts w:ascii="Arial"/>
                <w:spacing w:val="-6"/>
                <w:w w:val="105"/>
                <w:sz w:val="16"/>
              </w:rPr>
              <w:t xml:space="preserve"> </w:t>
            </w:r>
            <w:r w:rsidRPr="00EB2BD8">
              <w:rPr>
                <w:rFonts w:ascii="Arial"/>
                <w:w w:val="105"/>
                <w:sz w:val="16"/>
              </w:rPr>
              <w:t>obligations</w:t>
            </w:r>
            <w:r w:rsidRPr="00EB2BD8">
              <w:rPr>
                <w:rFonts w:ascii="Arial"/>
                <w:spacing w:val="-7"/>
                <w:w w:val="105"/>
                <w:sz w:val="16"/>
              </w:rPr>
              <w:t xml:space="preserve"> </w:t>
            </w:r>
            <w:r w:rsidRPr="00EB2BD8">
              <w:rPr>
                <w:rFonts w:ascii="Arial"/>
                <w:w w:val="105"/>
                <w:sz w:val="16"/>
              </w:rPr>
              <w:t>yet</w:t>
            </w:r>
            <w:r w:rsidRPr="00EB2BD8">
              <w:rPr>
                <w:rFonts w:ascii="Arial"/>
                <w:spacing w:val="-6"/>
                <w:w w:val="105"/>
                <w:sz w:val="16"/>
              </w:rPr>
              <w:t xml:space="preserve"> </w:t>
            </w:r>
            <w:r w:rsidRPr="00EB2BD8">
              <w:rPr>
                <w:rFonts w:ascii="Arial"/>
                <w:w w:val="105"/>
                <w:sz w:val="16"/>
              </w:rPr>
              <w:t>to be completed during the period</w:t>
            </w:r>
          </w:p>
        </w:tc>
        <w:tc>
          <w:tcPr>
            <w:tcW w:w="1393" w:type="dxa"/>
            <w:shd w:val="clear" w:color="auto" w:fill="DEEAF6"/>
          </w:tcPr>
          <w:p w14:paraId="2FC8B4B2" w14:textId="77777777" w:rsidR="00084F36" w:rsidRPr="00EB2BD8" w:rsidRDefault="00084F36">
            <w:pPr>
              <w:pStyle w:val="TableParagraph"/>
              <w:spacing w:before="7"/>
              <w:rPr>
                <w:rFonts w:ascii="Arial"/>
                <w:sz w:val="16"/>
              </w:rPr>
            </w:pPr>
          </w:p>
          <w:p w14:paraId="41C8D29A" w14:textId="77777777" w:rsidR="00084F36" w:rsidRPr="00EB2BD8" w:rsidRDefault="00EB2BD8">
            <w:pPr>
              <w:pStyle w:val="TableParagraph"/>
              <w:spacing w:before="1"/>
              <w:ind w:right="96"/>
              <w:jc w:val="right"/>
              <w:rPr>
                <w:rFonts w:ascii="Arial"/>
                <w:sz w:val="16"/>
              </w:rPr>
            </w:pPr>
            <w:r w:rsidRPr="00EB2BD8">
              <w:rPr>
                <w:rFonts w:ascii="Arial"/>
                <w:spacing w:val="-2"/>
                <w:w w:val="105"/>
                <w:sz w:val="16"/>
              </w:rPr>
              <w:t>20,909</w:t>
            </w:r>
          </w:p>
        </w:tc>
        <w:tc>
          <w:tcPr>
            <w:tcW w:w="1392" w:type="dxa"/>
            <w:shd w:val="clear" w:color="auto" w:fill="FFFFFF"/>
          </w:tcPr>
          <w:p w14:paraId="504431CA" w14:textId="77777777" w:rsidR="00084F36" w:rsidRPr="00EB2BD8" w:rsidRDefault="00084F36">
            <w:pPr>
              <w:pStyle w:val="TableParagraph"/>
              <w:spacing w:before="7"/>
              <w:rPr>
                <w:rFonts w:ascii="Arial"/>
                <w:sz w:val="16"/>
              </w:rPr>
            </w:pPr>
          </w:p>
          <w:p w14:paraId="6336F609" w14:textId="77777777" w:rsidR="00084F36" w:rsidRPr="00EB2BD8" w:rsidRDefault="00EB2BD8">
            <w:pPr>
              <w:pStyle w:val="TableParagraph"/>
              <w:spacing w:before="1"/>
              <w:ind w:right="95"/>
              <w:jc w:val="right"/>
              <w:rPr>
                <w:rFonts w:ascii="Arial"/>
                <w:sz w:val="16"/>
              </w:rPr>
            </w:pPr>
            <w:r w:rsidRPr="00EB2BD8">
              <w:rPr>
                <w:rFonts w:ascii="Arial"/>
                <w:spacing w:val="-2"/>
                <w:w w:val="105"/>
                <w:sz w:val="16"/>
              </w:rPr>
              <w:t>12,015</w:t>
            </w:r>
          </w:p>
        </w:tc>
      </w:tr>
      <w:tr w:rsidR="00EB2BD8" w:rsidRPr="00EB2BD8" w14:paraId="16DCA203" w14:textId="77777777">
        <w:trPr>
          <w:trHeight w:val="631"/>
        </w:trPr>
        <w:tc>
          <w:tcPr>
            <w:tcW w:w="6228" w:type="dxa"/>
            <w:tcBorders>
              <w:bottom w:val="single" w:sz="12" w:space="0" w:color="000000"/>
            </w:tcBorders>
            <w:shd w:val="clear" w:color="auto" w:fill="FFFFFF"/>
          </w:tcPr>
          <w:p w14:paraId="11E94A4F" w14:textId="77777777" w:rsidR="00084F36" w:rsidRPr="00EB2BD8" w:rsidRDefault="00EB2BD8">
            <w:pPr>
              <w:pStyle w:val="TableParagraph"/>
              <w:spacing w:before="128" w:line="252" w:lineRule="auto"/>
              <w:ind w:left="105" w:right="1638"/>
              <w:rPr>
                <w:rFonts w:ascii="Arial"/>
                <w:sz w:val="16"/>
              </w:rPr>
            </w:pPr>
            <w:r w:rsidRPr="00EB2BD8">
              <w:rPr>
                <w:rFonts w:ascii="Arial"/>
                <w:w w:val="105"/>
                <w:sz w:val="16"/>
              </w:rPr>
              <w:t>Less:</w:t>
            </w:r>
            <w:r w:rsidRPr="00EB2BD8">
              <w:rPr>
                <w:rFonts w:ascii="Arial"/>
                <w:spacing w:val="-6"/>
                <w:w w:val="105"/>
                <w:sz w:val="16"/>
              </w:rPr>
              <w:t xml:space="preserve"> </w:t>
            </w:r>
            <w:r w:rsidRPr="00EB2BD8">
              <w:rPr>
                <w:rFonts w:ascii="Arial"/>
                <w:w w:val="105"/>
                <w:sz w:val="16"/>
              </w:rPr>
              <w:t>Revenue</w:t>
            </w:r>
            <w:r w:rsidRPr="00EB2BD8">
              <w:rPr>
                <w:rFonts w:ascii="Arial"/>
                <w:spacing w:val="-5"/>
                <w:w w:val="105"/>
                <w:sz w:val="16"/>
              </w:rPr>
              <w:t xml:space="preserve"> </w:t>
            </w:r>
            <w:r w:rsidRPr="00EB2BD8">
              <w:rPr>
                <w:rFonts w:ascii="Arial"/>
                <w:w w:val="105"/>
                <w:sz w:val="16"/>
              </w:rPr>
              <w:t>recognised</w:t>
            </w:r>
            <w:r w:rsidRPr="00EB2BD8">
              <w:rPr>
                <w:rFonts w:ascii="Arial"/>
                <w:spacing w:val="-6"/>
                <w:w w:val="105"/>
                <w:sz w:val="16"/>
              </w:rPr>
              <w:t xml:space="preserve"> </w:t>
            </w:r>
            <w:r w:rsidRPr="00EB2BD8">
              <w:rPr>
                <w:rFonts w:ascii="Arial"/>
                <w:w w:val="105"/>
                <w:sz w:val="16"/>
              </w:rPr>
              <w:t>in</w:t>
            </w:r>
            <w:r w:rsidRPr="00EB2BD8">
              <w:rPr>
                <w:rFonts w:ascii="Arial"/>
                <w:spacing w:val="-6"/>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reporting</w:t>
            </w:r>
            <w:r w:rsidRPr="00EB2BD8">
              <w:rPr>
                <w:rFonts w:ascii="Arial"/>
                <w:spacing w:val="-6"/>
                <w:w w:val="105"/>
                <w:sz w:val="16"/>
              </w:rPr>
              <w:t xml:space="preserve"> </w:t>
            </w:r>
            <w:r w:rsidRPr="00EB2BD8">
              <w:rPr>
                <w:rFonts w:ascii="Arial"/>
                <w:w w:val="105"/>
                <w:sz w:val="16"/>
              </w:rPr>
              <w:t>period</w:t>
            </w:r>
            <w:r w:rsidRPr="00EB2BD8">
              <w:rPr>
                <w:rFonts w:ascii="Arial"/>
                <w:spacing w:val="-6"/>
                <w:w w:val="105"/>
                <w:sz w:val="16"/>
              </w:rPr>
              <w:t xml:space="preserve"> </w:t>
            </w:r>
            <w:r w:rsidRPr="00EB2BD8">
              <w:rPr>
                <w:rFonts w:ascii="Arial"/>
                <w:w w:val="105"/>
                <w:sz w:val="16"/>
              </w:rPr>
              <w:t>for</w:t>
            </w:r>
            <w:r w:rsidRPr="00EB2BD8">
              <w:rPr>
                <w:rFonts w:ascii="Arial"/>
                <w:spacing w:val="-6"/>
                <w:w w:val="105"/>
                <w:sz w:val="16"/>
              </w:rPr>
              <w:t xml:space="preserve"> </w:t>
            </w:r>
            <w:r w:rsidRPr="00EB2BD8">
              <w:rPr>
                <w:rFonts w:ascii="Arial"/>
                <w:w w:val="105"/>
                <w:sz w:val="16"/>
              </w:rPr>
              <w:t>the completion of a performance obligation</w:t>
            </w:r>
          </w:p>
        </w:tc>
        <w:tc>
          <w:tcPr>
            <w:tcW w:w="1393" w:type="dxa"/>
            <w:tcBorders>
              <w:bottom w:val="single" w:sz="12" w:space="0" w:color="000000"/>
            </w:tcBorders>
            <w:shd w:val="clear" w:color="auto" w:fill="DEEAF6"/>
          </w:tcPr>
          <w:p w14:paraId="3DD46B47" w14:textId="77777777" w:rsidR="00084F36" w:rsidRPr="00EB2BD8" w:rsidRDefault="00084F36">
            <w:pPr>
              <w:pStyle w:val="TableParagraph"/>
              <w:spacing w:before="7"/>
              <w:rPr>
                <w:rFonts w:ascii="Arial"/>
                <w:sz w:val="19"/>
              </w:rPr>
            </w:pPr>
          </w:p>
          <w:p w14:paraId="19244D93" w14:textId="77777777" w:rsidR="00084F36" w:rsidRPr="00EB2BD8" w:rsidRDefault="00EB2BD8">
            <w:pPr>
              <w:pStyle w:val="TableParagraph"/>
              <w:ind w:right="97"/>
              <w:jc w:val="right"/>
              <w:rPr>
                <w:rFonts w:ascii="Arial"/>
                <w:sz w:val="16"/>
              </w:rPr>
            </w:pPr>
            <w:r w:rsidRPr="00EB2BD8">
              <w:rPr>
                <w:rFonts w:ascii="Arial"/>
                <w:spacing w:val="-2"/>
                <w:w w:val="105"/>
                <w:sz w:val="16"/>
              </w:rPr>
              <w:t>(16,479)</w:t>
            </w:r>
          </w:p>
        </w:tc>
        <w:tc>
          <w:tcPr>
            <w:tcW w:w="1392" w:type="dxa"/>
            <w:tcBorders>
              <w:bottom w:val="single" w:sz="12" w:space="0" w:color="000000"/>
            </w:tcBorders>
            <w:shd w:val="clear" w:color="auto" w:fill="FFFFFF"/>
          </w:tcPr>
          <w:p w14:paraId="20C0BE85" w14:textId="77777777" w:rsidR="00084F36" w:rsidRPr="00EB2BD8" w:rsidRDefault="00084F36">
            <w:pPr>
              <w:pStyle w:val="TableParagraph"/>
              <w:spacing w:before="7"/>
              <w:rPr>
                <w:rFonts w:ascii="Arial"/>
                <w:sz w:val="19"/>
              </w:rPr>
            </w:pPr>
          </w:p>
          <w:p w14:paraId="1D59BE0C" w14:textId="77777777" w:rsidR="00084F36" w:rsidRPr="00EB2BD8" w:rsidRDefault="00EB2BD8">
            <w:pPr>
              <w:pStyle w:val="TableParagraph"/>
              <w:ind w:right="97"/>
              <w:jc w:val="right"/>
              <w:rPr>
                <w:rFonts w:ascii="Arial"/>
                <w:sz w:val="16"/>
              </w:rPr>
            </w:pPr>
            <w:r w:rsidRPr="00EB2BD8">
              <w:rPr>
                <w:rFonts w:ascii="Arial"/>
                <w:spacing w:val="-2"/>
                <w:w w:val="105"/>
                <w:sz w:val="16"/>
              </w:rPr>
              <w:t>(10,871)</w:t>
            </w:r>
          </w:p>
        </w:tc>
      </w:tr>
      <w:tr w:rsidR="00EB2BD8" w:rsidRPr="00EB2BD8" w14:paraId="7632FF26" w14:textId="77777777">
        <w:trPr>
          <w:trHeight w:val="287"/>
        </w:trPr>
        <w:tc>
          <w:tcPr>
            <w:tcW w:w="6228" w:type="dxa"/>
            <w:tcBorders>
              <w:top w:val="single" w:sz="12" w:space="0" w:color="000000"/>
              <w:bottom w:val="single" w:sz="12" w:space="0" w:color="000000"/>
            </w:tcBorders>
            <w:shd w:val="clear" w:color="auto" w:fill="FFFFFF"/>
          </w:tcPr>
          <w:p w14:paraId="294003CA" w14:textId="77777777" w:rsidR="00084F36" w:rsidRPr="00EB2BD8" w:rsidRDefault="00EB2BD8">
            <w:pPr>
              <w:pStyle w:val="TableParagraph"/>
              <w:spacing w:before="53"/>
              <w:ind w:left="105"/>
              <w:rPr>
                <w:rFonts w:ascii="Arial"/>
                <w:b/>
                <w:sz w:val="16"/>
              </w:rPr>
            </w:pPr>
            <w:r w:rsidRPr="00EB2BD8">
              <w:rPr>
                <w:rFonts w:ascii="Arial"/>
                <w:b/>
                <w:w w:val="105"/>
                <w:sz w:val="16"/>
              </w:rPr>
              <w:t>Total</w:t>
            </w:r>
            <w:r w:rsidRPr="00EB2BD8">
              <w:rPr>
                <w:rFonts w:ascii="Arial"/>
                <w:b/>
                <w:spacing w:val="-10"/>
                <w:w w:val="105"/>
                <w:sz w:val="16"/>
              </w:rPr>
              <w:t xml:space="preserve"> </w:t>
            </w:r>
            <w:r w:rsidRPr="00EB2BD8">
              <w:rPr>
                <w:rFonts w:ascii="Arial"/>
                <w:b/>
                <w:w w:val="105"/>
                <w:sz w:val="16"/>
              </w:rPr>
              <w:t>contractual</w:t>
            </w:r>
            <w:r w:rsidRPr="00EB2BD8">
              <w:rPr>
                <w:rFonts w:ascii="Arial"/>
                <w:b/>
                <w:spacing w:val="-9"/>
                <w:w w:val="105"/>
                <w:sz w:val="16"/>
              </w:rPr>
              <w:t xml:space="preserve"> </w:t>
            </w:r>
            <w:r w:rsidRPr="00EB2BD8">
              <w:rPr>
                <w:rFonts w:ascii="Arial"/>
                <w:b/>
                <w:spacing w:val="-2"/>
                <w:w w:val="105"/>
                <w:sz w:val="16"/>
              </w:rPr>
              <w:t>liabilities</w:t>
            </w:r>
          </w:p>
        </w:tc>
        <w:tc>
          <w:tcPr>
            <w:tcW w:w="1393" w:type="dxa"/>
            <w:tcBorders>
              <w:top w:val="single" w:sz="12" w:space="0" w:color="000000"/>
              <w:bottom w:val="single" w:sz="12" w:space="0" w:color="000000"/>
            </w:tcBorders>
            <w:shd w:val="clear" w:color="auto" w:fill="DEEAF6"/>
          </w:tcPr>
          <w:p w14:paraId="17DE26CA" w14:textId="77777777" w:rsidR="00084F36" w:rsidRPr="00EB2BD8" w:rsidRDefault="00EB2BD8">
            <w:pPr>
              <w:pStyle w:val="TableParagraph"/>
              <w:spacing w:before="53"/>
              <w:ind w:right="96"/>
              <w:jc w:val="right"/>
              <w:rPr>
                <w:rFonts w:ascii="Arial"/>
                <w:b/>
                <w:sz w:val="16"/>
              </w:rPr>
            </w:pPr>
            <w:r w:rsidRPr="00EB2BD8">
              <w:rPr>
                <w:rFonts w:ascii="Arial"/>
                <w:b/>
                <w:spacing w:val="-2"/>
                <w:w w:val="105"/>
                <w:sz w:val="16"/>
              </w:rPr>
              <w:t>12,659</w:t>
            </w:r>
          </w:p>
        </w:tc>
        <w:tc>
          <w:tcPr>
            <w:tcW w:w="1392" w:type="dxa"/>
            <w:tcBorders>
              <w:top w:val="single" w:sz="12" w:space="0" w:color="000000"/>
              <w:bottom w:val="single" w:sz="12" w:space="0" w:color="000000"/>
            </w:tcBorders>
            <w:shd w:val="clear" w:color="auto" w:fill="FFFFFF"/>
          </w:tcPr>
          <w:p w14:paraId="4082D505" w14:textId="77777777" w:rsidR="00084F36" w:rsidRPr="00EB2BD8" w:rsidRDefault="00EB2BD8">
            <w:pPr>
              <w:pStyle w:val="TableParagraph"/>
              <w:spacing w:before="53"/>
              <w:ind w:right="97"/>
              <w:jc w:val="right"/>
              <w:rPr>
                <w:rFonts w:ascii="Arial"/>
                <w:b/>
                <w:sz w:val="16"/>
              </w:rPr>
            </w:pPr>
            <w:r w:rsidRPr="00EB2BD8">
              <w:rPr>
                <w:rFonts w:ascii="Arial"/>
                <w:b/>
                <w:spacing w:val="-2"/>
                <w:w w:val="105"/>
                <w:sz w:val="16"/>
              </w:rPr>
              <w:t>8,229</w:t>
            </w:r>
          </w:p>
        </w:tc>
      </w:tr>
      <w:tr w:rsidR="00EB2BD8" w:rsidRPr="00EB2BD8" w14:paraId="760BD7C6" w14:textId="77777777">
        <w:trPr>
          <w:trHeight w:val="296"/>
        </w:trPr>
        <w:tc>
          <w:tcPr>
            <w:tcW w:w="6228" w:type="dxa"/>
            <w:tcBorders>
              <w:top w:val="single" w:sz="12" w:space="0" w:color="000000"/>
            </w:tcBorders>
            <w:shd w:val="clear" w:color="auto" w:fill="FFFFFF"/>
          </w:tcPr>
          <w:p w14:paraId="1D7348F2" w14:textId="77777777" w:rsidR="00084F36" w:rsidRPr="00EB2BD8" w:rsidRDefault="00EB2BD8">
            <w:pPr>
              <w:pStyle w:val="TableParagraph"/>
              <w:spacing w:before="53"/>
              <w:ind w:left="105"/>
              <w:rPr>
                <w:rFonts w:ascii="Arial"/>
                <w:b/>
                <w:sz w:val="16"/>
              </w:rPr>
            </w:pPr>
            <w:r w:rsidRPr="00EB2BD8">
              <w:rPr>
                <w:rFonts w:ascii="Arial"/>
                <w:b/>
                <w:spacing w:val="-2"/>
                <w:w w:val="105"/>
                <w:sz w:val="16"/>
              </w:rPr>
              <w:t>Represented</w:t>
            </w:r>
            <w:r w:rsidRPr="00EB2BD8">
              <w:rPr>
                <w:rFonts w:ascii="Arial"/>
                <w:b/>
                <w:spacing w:val="6"/>
                <w:w w:val="105"/>
                <w:sz w:val="16"/>
              </w:rPr>
              <w:t xml:space="preserve"> </w:t>
            </w:r>
            <w:r w:rsidRPr="00EB2BD8">
              <w:rPr>
                <w:rFonts w:ascii="Arial"/>
                <w:b/>
                <w:spacing w:val="-5"/>
                <w:w w:val="105"/>
                <w:sz w:val="16"/>
              </w:rPr>
              <w:t>by</w:t>
            </w:r>
          </w:p>
        </w:tc>
        <w:tc>
          <w:tcPr>
            <w:tcW w:w="1393" w:type="dxa"/>
            <w:tcBorders>
              <w:top w:val="single" w:sz="12" w:space="0" w:color="000000"/>
            </w:tcBorders>
            <w:shd w:val="clear" w:color="auto" w:fill="DEEAF6"/>
          </w:tcPr>
          <w:p w14:paraId="6AC2345E" w14:textId="77777777" w:rsidR="00084F36" w:rsidRPr="00EB2BD8" w:rsidRDefault="00084F36">
            <w:pPr>
              <w:pStyle w:val="TableParagraph"/>
              <w:rPr>
                <w:rFonts w:ascii="Times New Roman"/>
                <w:sz w:val="16"/>
              </w:rPr>
            </w:pPr>
          </w:p>
        </w:tc>
        <w:tc>
          <w:tcPr>
            <w:tcW w:w="1392" w:type="dxa"/>
            <w:tcBorders>
              <w:top w:val="single" w:sz="12" w:space="0" w:color="000000"/>
            </w:tcBorders>
            <w:shd w:val="clear" w:color="auto" w:fill="FFFFFF"/>
          </w:tcPr>
          <w:p w14:paraId="375FECCA" w14:textId="77777777" w:rsidR="00084F36" w:rsidRPr="00EB2BD8" w:rsidRDefault="00084F36">
            <w:pPr>
              <w:pStyle w:val="TableParagraph"/>
              <w:rPr>
                <w:rFonts w:ascii="Times New Roman"/>
                <w:sz w:val="16"/>
              </w:rPr>
            </w:pPr>
          </w:p>
        </w:tc>
      </w:tr>
      <w:tr w:rsidR="00EB2BD8" w:rsidRPr="00EB2BD8" w14:paraId="6FEF8442" w14:textId="77777777">
        <w:trPr>
          <w:trHeight w:val="310"/>
        </w:trPr>
        <w:tc>
          <w:tcPr>
            <w:tcW w:w="6228" w:type="dxa"/>
            <w:shd w:val="clear" w:color="auto" w:fill="FFFFFF"/>
          </w:tcPr>
          <w:p w14:paraId="3F61B154" w14:textId="77777777" w:rsidR="00084F36" w:rsidRPr="00EB2BD8" w:rsidRDefault="00EB2BD8">
            <w:pPr>
              <w:pStyle w:val="TableParagraph"/>
              <w:spacing w:before="59"/>
              <w:ind w:left="105"/>
              <w:rPr>
                <w:rFonts w:ascii="Arial"/>
                <w:sz w:val="16"/>
              </w:rPr>
            </w:pPr>
            <w:r w:rsidRPr="00EB2BD8">
              <w:rPr>
                <w:rFonts w:ascii="Arial"/>
                <w:w w:val="105"/>
                <w:sz w:val="16"/>
              </w:rPr>
              <w:t>Current</w:t>
            </w:r>
            <w:r w:rsidRPr="00EB2BD8">
              <w:rPr>
                <w:rFonts w:ascii="Arial"/>
                <w:spacing w:val="-9"/>
                <w:w w:val="105"/>
                <w:sz w:val="16"/>
              </w:rPr>
              <w:t xml:space="preserve"> </w:t>
            </w:r>
            <w:r w:rsidRPr="00EB2BD8">
              <w:rPr>
                <w:rFonts w:ascii="Arial"/>
                <w:w w:val="105"/>
                <w:sz w:val="16"/>
              </w:rPr>
              <w:t>contract</w:t>
            </w:r>
            <w:r w:rsidRPr="00EB2BD8">
              <w:rPr>
                <w:rFonts w:ascii="Arial"/>
                <w:spacing w:val="-8"/>
                <w:w w:val="105"/>
                <w:sz w:val="16"/>
              </w:rPr>
              <w:t xml:space="preserve"> </w:t>
            </w:r>
            <w:r w:rsidRPr="00EB2BD8">
              <w:rPr>
                <w:rFonts w:ascii="Arial"/>
                <w:spacing w:val="-2"/>
                <w:w w:val="105"/>
                <w:sz w:val="16"/>
              </w:rPr>
              <w:t>liabilities</w:t>
            </w:r>
          </w:p>
        </w:tc>
        <w:tc>
          <w:tcPr>
            <w:tcW w:w="1393" w:type="dxa"/>
            <w:shd w:val="clear" w:color="auto" w:fill="DEEAF6"/>
          </w:tcPr>
          <w:p w14:paraId="21DCBAA9" w14:textId="77777777" w:rsidR="00084F36" w:rsidRPr="00EB2BD8" w:rsidRDefault="00EB2BD8">
            <w:pPr>
              <w:pStyle w:val="TableParagraph"/>
              <w:spacing w:before="59"/>
              <w:ind w:right="96"/>
              <w:jc w:val="right"/>
              <w:rPr>
                <w:rFonts w:ascii="Arial"/>
                <w:sz w:val="16"/>
              </w:rPr>
            </w:pPr>
            <w:r w:rsidRPr="00EB2BD8">
              <w:rPr>
                <w:rFonts w:ascii="Arial"/>
                <w:spacing w:val="-2"/>
                <w:w w:val="105"/>
                <w:sz w:val="16"/>
              </w:rPr>
              <w:t>11,208</w:t>
            </w:r>
          </w:p>
        </w:tc>
        <w:tc>
          <w:tcPr>
            <w:tcW w:w="1392" w:type="dxa"/>
            <w:shd w:val="clear" w:color="auto" w:fill="FFFFFF"/>
          </w:tcPr>
          <w:p w14:paraId="2BF1A263" w14:textId="77777777" w:rsidR="00084F36" w:rsidRPr="00EB2BD8" w:rsidRDefault="00EB2BD8">
            <w:pPr>
              <w:pStyle w:val="TableParagraph"/>
              <w:spacing w:before="59"/>
              <w:ind w:right="96"/>
              <w:jc w:val="right"/>
              <w:rPr>
                <w:rFonts w:ascii="Arial"/>
                <w:sz w:val="16"/>
              </w:rPr>
            </w:pPr>
            <w:r w:rsidRPr="00EB2BD8">
              <w:rPr>
                <w:rFonts w:ascii="Arial"/>
                <w:spacing w:val="-2"/>
                <w:w w:val="105"/>
                <w:sz w:val="16"/>
              </w:rPr>
              <w:t>6,757</w:t>
            </w:r>
          </w:p>
        </w:tc>
      </w:tr>
      <w:tr w:rsidR="00EB2BD8" w:rsidRPr="00EB2BD8" w14:paraId="69977092" w14:textId="77777777">
        <w:trPr>
          <w:trHeight w:val="314"/>
        </w:trPr>
        <w:tc>
          <w:tcPr>
            <w:tcW w:w="6228" w:type="dxa"/>
            <w:tcBorders>
              <w:bottom w:val="single" w:sz="12" w:space="0" w:color="000000"/>
            </w:tcBorders>
            <w:shd w:val="clear" w:color="auto" w:fill="FFFFFF"/>
          </w:tcPr>
          <w:p w14:paraId="52B1BF14" w14:textId="77777777" w:rsidR="00084F36" w:rsidRPr="00EB2BD8" w:rsidRDefault="00EB2BD8">
            <w:pPr>
              <w:pStyle w:val="TableParagraph"/>
              <w:spacing w:before="67"/>
              <w:ind w:left="105"/>
              <w:rPr>
                <w:rFonts w:ascii="Arial"/>
                <w:sz w:val="16"/>
              </w:rPr>
            </w:pPr>
            <w:r w:rsidRPr="00EB2BD8">
              <w:rPr>
                <w:rFonts w:ascii="Arial"/>
                <w:w w:val="105"/>
                <w:sz w:val="16"/>
              </w:rPr>
              <w:t>Non-current</w:t>
            </w:r>
            <w:r w:rsidRPr="00EB2BD8">
              <w:rPr>
                <w:rFonts w:ascii="Arial"/>
                <w:spacing w:val="-11"/>
                <w:w w:val="105"/>
                <w:sz w:val="16"/>
              </w:rPr>
              <w:t xml:space="preserve"> </w:t>
            </w:r>
            <w:r w:rsidRPr="00EB2BD8">
              <w:rPr>
                <w:rFonts w:ascii="Arial"/>
                <w:w w:val="105"/>
                <w:sz w:val="16"/>
              </w:rPr>
              <w:t>contract</w:t>
            </w:r>
            <w:r w:rsidRPr="00EB2BD8">
              <w:rPr>
                <w:rFonts w:ascii="Arial"/>
                <w:spacing w:val="-11"/>
                <w:w w:val="105"/>
                <w:sz w:val="16"/>
              </w:rPr>
              <w:t xml:space="preserve"> </w:t>
            </w:r>
            <w:r w:rsidRPr="00EB2BD8">
              <w:rPr>
                <w:rFonts w:ascii="Arial"/>
                <w:spacing w:val="-2"/>
                <w:w w:val="105"/>
                <w:sz w:val="16"/>
              </w:rPr>
              <w:t>liabilities</w:t>
            </w:r>
          </w:p>
        </w:tc>
        <w:tc>
          <w:tcPr>
            <w:tcW w:w="1393" w:type="dxa"/>
            <w:tcBorders>
              <w:bottom w:val="single" w:sz="12" w:space="0" w:color="000000"/>
            </w:tcBorders>
            <w:shd w:val="clear" w:color="auto" w:fill="DEEAF6"/>
          </w:tcPr>
          <w:p w14:paraId="07FC39B6" w14:textId="77777777" w:rsidR="00084F36" w:rsidRPr="00EB2BD8" w:rsidRDefault="00EB2BD8">
            <w:pPr>
              <w:pStyle w:val="TableParagraph"/>
              <w:spacing w:before="67"/>
              <w:ind w:right="96"/>
              <w:jc w:val="right"/>
              <w:rPr>
                <w:rFonts w:ascii="Arial"/>
                <w:sz w:val="16"/>
              </w:rPr>
            </w:pPr>
            <w:r w:rsidRPr="00EB2BD8">
              <w:rPr>
                <w:rFonts w:ascii="Arial"/>
                <w:spacing w:val="-2"/>
                <w:w w:val="105"/>
                <w:sz w:val="16"/>
              </w:rPr>
              <w:t>1,451</w:t>
            </w:r>
          </w:p>
        </w:tc>
        <w:tc>
          <w:tcPr>
            <w:tcW w:w="1392" w:type="dxa"/>
            <w:tcBorders>
              <w:bottom w:val="single" w:sz="12" w:space="0" w:color="000000"/>
            </w:tcBorders>
            <w:shd w:val="clear" w:color="auto" w:fill="FFFFFF"/>
          </w:tcPr>
          <w:p w14:paraId="723EAD9E" w14:textId="77777777" w:rsidR="00084F36" w:rsidRPr="00EB2BD8" w:rsidRDefault="00EB2BD8">
            <w:pPr>
              <w:pStyle w:val="TableParagraph"/>
              <w:spacing w:before="67"/>
              <w:ind w:right="96"/>
              <w:jc w:val="right"/>
              <w:rPr>
                <w:rFonts w:ascii="Arial"/>
                <w:sz w:val="16"/>
              </w:rPr>
            </w:pPr>
            <w:r w:rsidRPr="00EB2BD8">
              <w:rPr>
                <w:rFonts w:ascii="Arial"/>
                <w:spacing w:val="-2"/>
                <w:w w:val="105"/>
                <w:sz w:val="16"/>
              </w:rPr>
              <w:t>1,472</w:t>
            </w:r>
          </w:p>
        </w:tc>
      </w:tr>
    </w:tbl>
    <w:p w14:paraId="71C679B6" w14:textId="77777777" w:rsidR="00084F36" w:rsidRPr="00EB2BD8" w:rsidRDefault="00084F36">
      <w:pPr>
        <w:pStyle w:val="BodyText"/>
        <w:rPr>
          <w:rFonts w:ascii="Arial"/>
        </w:rPr>
      </w:pPr>
    </w:p>
    <w:p w14:paraId="663831CD" w14:textId="77777777" w:rsidR="00084F36" w:rsidRPr="00EB2BD8" w:rsidRDefault="00084F36">
      <w:pPr>
        <w:pStyle w:val="BodyText"/>
        <w:spacing w:before="1"/>
        <w:rPr>
          <w:rFonts w:ascii="Arial"/>
          <w:sz w:val="26"/>
        </w:rPr>
      </w:pPr>
    </w:p>
    <w:p w14:paraId="14DB7AE3" w14:textId="77777777" w:rsidR="00084F36" w:rsidRPr="00EB2BD8" w:rsidRDefault="00EB2BD8">
      <w:pPr>
        <w:ind w:left="1011"/>
        <w:rPr>
          <w:rFonts w:ascii="Arial"/>
          <w:sz w:val="16"/>
        </w:rPr>
      </w:pPr>
      <w:r w:rsidRPr="00EB2BD8">
        <w:rPr>
          <w:rFonts w:ascii="Arial"/>
          <w:w w:val="105"/>
          <w:sz w:val="16"/>
        </w:rPr>
        <w:t>Contract</w:t>
      </w:r>
      <w:r w:rsidRPr="00EB2BD8">
        <w:rPr>
          <w:rFonts w:ascii="Arial"/>
          <w:spacing w:val="-9"/>
          <w:w w:val="105"/>
          <w:sz w:val="16"/>
        </w:rPr>
        <w:t xml:space="preserve"> </w:t>
      </w:r>
      <w:r w:rsidRPr="00EB2BD8">
        <w:rPr>
          <w:rFonts w:ascii="Arial"/>
          <w:w w:val="105"/>
          <w:sz w:val="16"/>
        </w:rPr>
        <w:t>liabilities</w:t>
      </w:r>
      <w:r w:rsidRPr="00EB2BD8">
        <w:rPr>
          <w:rFonts w:ascii="Arial"/>
          <w:spacing w:val="-8"/>
          <w:w w:val="105"/>
          <w:sz w:val="16"/>
        </w:rPr>
        <w:t xml:space="preserve"> </w:t>
      </w:r>
      <w:r w:rsidRPr="00EB2BD8">
        <w:rPr>
          <w:rFonts w:ascii="Arial"/>
          <w:w w:val="105"/>
          <w:sz w:val="16"/>
        </w:rPr>
        <w:t>are</w:t>
      </w:r>
      <w:r w:rsidRPr="00EB2BD8">
        <w:rPr>
          <w:rFonts w:ascii="Arial"/>
          <w:spacing w:val="-9"/>
          <w:w w:val="105"/>
          <w:sz w:val="16"/>
        </w:rPr>
        <w:t xml:space="preserve"> </w:t>
      </w:r>
      <w:r w:rsidRPr="00EB2BD8">
        <w:rPr>
          <w:rFonts w:ascii="Arial"/>
          <w:w w:val="105"/>
          <w:sz w:val="16"/>
        </w:rPr>
        <w:t>deferred</w:t>
      </w:r>
      <w:r w:rsidRPr="00EB2BD8">
        <w:rPr>
          <w:rFonts w:ascii="Arial"/>
          <w:spacing w:val="-7"/>
          <w:w w:val="105"/>
          <w:sz w:val="16"/>
        </w:rPr>
        <w:t xml:space="preserve"> </w:t>
      </w:r>
      <w:r w:rsidRPr="00EB2BD8">
        <w:rPr>
          <w:rFonts w:ascii="Arial"/>
          <w:w w:val="105"/>
          <w:sz w:val="16"/>
        </w:rPr>
        <w:t>revenue</w:t>
      </w:r>
      <w:r w:rsidRPr="00EB2BD8">
        <w:rPr>
          <w:rFonts w:ascii="Arial"/>
          <w:spacing w:val="-8"/>
          <w:w w:val="105"/>
          <w:sz w:val="16"/>
        </w:rPr>
        <w:t xml:space="preserve"> </w:t>
      </w:r>
      <w:r w:rsidRPr="00EB2BD8">
        <w:rPr>
          <w:rFonts w:ascii="Arial"/>
          <w:w w:val="105"/>
          <w:sz w:val="16"/>
        </w:rPr>
        <w:t>representing</w:t>
      </w:r>
      <w:r w:rsidRPr="00EB2BD8">
        <w:rPr>
          <w:rFonts w:ascii="Arial"/>
          <w:spacing w:val="-9"/>
          <w:w w:val="105"/>
          <w:sz w:val="16"/>
        </w:rPr>
        <w:t xml:space="preserve"> </w:t>
      </w:r>
      <w:r w:rsidRPr="00EB2BD8">
        <w:rPr>
          <w:rFonts w:ascii="Arial"/>
          <w:w w:val="105"/>
          <w:sz w:val="16"/>
        </w:rPr>
        <w:t>consideration</w:t>
      </w:r>
      <w:r w:rsidRPr="00EB2BD8">
        <w:rPr>
          <w:rFonts w:ascii="Arial"/>
          <w:spacing w:val="-8"/>
          <w:w w:val="105"/>
          <w:sz w:val="16"/>
        </w:rPr>
        <w:t xml:space="preserve"> </w:t>
      </w:r>
      <w:r w:rsidRPr="00EB2BD8">
        <w:rPr>
          <w:rFonts w:ascii="Arial"/>
          <w:w w:val="105"/>
          <w:sz w:val="16"/>
        </w:rPr>
        <w:t>received</w:t>
      </w:r>
      <w:r w:rsidRPr="00EB2BD8">
        <w:rPr>
          <w:rFonts w:ascii="Arial"/>
          <w:spacing w:val="-9"/>
          <w:w w:val="105"/>
          <w:sz w:val="16"/>
        </w:rPr>
        <w:t xml:space="preserve"> </w:t>
      </w:r>
      <w:r w:rsidRPr="00EB2BD8">
        <w:rPr>
          <w:rFonts w:ascii="Arial"/>
          <w:w w:val="105"/>
          <w:sz w:val="16"/>
        </w:rPr>
        <w:t>in</w:t>
      </w:r>
      <w:r w:rsidRPr="00EB2BD8">
        <w:rPr>
          <w:rFonts w:ascii="Arial"/>
          <w:spacing w:val="-8"/>
          <w:w w:val="105"/>
          <w:sz w:val="16"/>
        </w:rPr>
        <w:t xml:space="preserve"> </w:t>
      </w:r>
      <w:r w:rsidRPr="00EB2BD8">
        <w:rPr>
          <w:rFonts w:ascii="Arial"/>
          <w:w w:val="105"/>
          <w:sz w:val="16"/>
        </w:rPr>
        <w:t>advance</w:t>
      </w:r>
      <w:r w:rsidRPr="00EB2BD8">
        <w:rPr>
          <w:rFonts w:ascii="Arial"/>
          <w:spacing w:val="-8"/>
          <w:w w:val="105"/>
          <w:sz w:val="16"/>
        </w:rPr>
        <w:t xml:space="preserve"> </w:t>
      </w:r>
      <w:r w:rsidRPr="00EB2BD8">
        <w:rPr>
          <w:rFonts w:ascii="Arial"/>
          <w:w w:val="105"/>
          <w:sz w:val="16"/>
        </w:rPr>
        <w:t>from</w:t>
      </w:r>
      <w:r w:rsidRPr="00EB2BD8">
        <w:rPr>
          <w:rFonts w:ascii="Arial"/>
          <w:spacing w:val="-9"/>
          <w:w w:val="105"/>
          <w:sz w:val="16"/>
        </w:rPr>
        <w:t xml:space="preserve"> </w:t>
      </w:r>
      <w:r w:rsidRPr="00EB2BD8">
        <w:rPr>
          <w:rFonts w:ascii="Arial"/>
          <w:w w:val="105"/>
          <w:sz w:val="16"/>
        </w:rPr>
        <w:t>customers</w:t>
      </w:r>
      <w:r w:rsidRPr="00EB2BD8">
        <w:rPr>
          <w:rFonts w:ascii="Arial"/>
          <w:spacing w:val="-7"/>
          <w:w w:val="105"/>
          <w:sz w:val="16"/>
        </w:rPr>
        <w:t xml:space="preserve"> </w:t>
      </w:r>
      <w:r w:rsidRPr="00EB2BD8">
        <w:rPr>
          <w:rFonts w:ascii="Arial"/>
          <w:w w:val="105"/>
          <w:sz w:val="16"/>
        </w:rPr>
        <w:t>as</w:t>
      </w:r>
      <w:r w:rsidRPr="00EB2BD8">
        <w:rPr>
          <w:rFonts w:ascii="Arial"/>
          <w:spacing w:val="-9"/>
          <w:w w:val="105"/>
          <w:sz w:val="16"/>
        </w:rPr>
        <w:t xml:space="preserve"> </w:t>
      </w:r>
      <w:r w:rsidRPr="00EB2BD8">
        <w:rPr>
          <w:rFonts w:ascii="Arial"/>
          <w:spacing w:val="-2"/>
          <w:w w:val="105"/>
          <w:sz w:val="16"/>
        </w:rPr>
        <w:t>follows:</w:t>
      </w:r>
    </w:p>
    <w:p w14:paraId="43062224" w14:textId="77777777" w:rsidR="00084F36" w:rsidRPr="00EB2BD8" w:rsidRDefault="00084F36">
      <w:pPr>
        <w:pStyle w:val="BodyText"/>
        <w:rPr>
          <w:rFonts w:ascii="Arial"/>
        </w:rPr>
      </w:pPr>
    </w:p>
    <w:p w14:paraId="5D58AA73" w14:textId="77777777" w:rsidR="00084F36" w:rsidRPr="00EB2BD8" w:rsidRDefault="00084F36">
      <w:pPr>
        <w:pStyle w:val="BodyText"/>
        <w:spacing w:before="3"/>
        <w:rPr>
          <w:rFonts w:ascii="Arial"/>
          <w:sz w:val="15"/>
        </w:rPr>
      </w:pPr>
    </w:p>
    <w:p w14:paraId="2D8FE2C8" w14:textId="64A54F76" w:rsidR="00084F36" w:rsidRPr="00EB2BD8" w:rsidRDefault="00EB2BD8" w:rsidP="00772B16">
      <w:pPr>
        <w:pStyle w:val="Heading2"/>
        <w:ind w:left="1011"/>
      </w:pPr>
      <w:bookmarkStart w:id="301" w:name="_Toc150762603"/>
      <w:r w:rsidRPr="00EB2BD8">
        <w:t xml:space="preserve">Practitioner registration fees (Building &amp; Plumbing), </w:t>
      </w:r>
      <w:r w:rsidR="00772B16">
        <w:br/>
      </w:r>
      <w:r w:rsidRPr="00EB2BD8">
        <w:t>licence fees (Plumbing) and building permit levy</w:t>
      </w:r>
      <w:bookmarkEnd w:id="301"/>
    </w:p>
    <w:p w14:paraId="03FBE6CE" w14:textId="77777777" w:rsidR="00084F36" w:rsidRPr="00EB2BD8" w:rsidRDefault="00EB2BD8">
      <w:pPr>
        <w:spacing w:before="115" w:line="290" w:lineRule="auto"/>
        <w:ind w:left="1011" w:right="1709"/>
        <w:rPr>
          <w:rFonts w:ascii="Arial"/>
          <w:sz w:val="16"/>
        </w:rPr>
      </w:pPr>
      <w:r w:rsidRPr="00EB2BD8">
        <w:rPr>
          <w:rFonts w:ascii="Arial"/>
          <w:w w:val="105"/>
          <w:sz w:val="16"/>
        </w:rPr>
        <w:t>Yearly registration and licence renewal fees received throughout the year are recognised as revenue on a pro-rata basis. Plumbing</w:t>
      </w:r>
      <w:r w:rsidRPr="00EB2BD8">
        <w:rPr>
          <w:rFonts w:ascii="Arial"/>
          <w:spacing w:val="-3"/>
          <w:w w:val="105"/>
          <w:sz w:val="16"/>
        </w:rPr>
        <w:t xml:space="preserve"> </w:t>
      </w:r>
      <w:r w:rsidRPr="00EB2BD8">
        <w:rPr>
          <w:rFonts w:ascii="Arial"/>
          <w:w w:val="105"/>
          <w:sz w:val="16"/>
        </w:rPr>
        <w:t>registrations</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recognised</w:t>
      </w:r>
      <w:r w:rsidRPr="00EB2BD8">
        <w:rPr>
          <w:rFonts w:ascii="Arial"/>
          <w:spacing w:val="-2"/>
          <w:w w:val="105"/>
          <w:sz w:val="16"/>
        </w:rPr>
        <w:t xml:space="preserve"> </w:t>
      </w:r>
      <w:r w:rsidRPr="00EB2BD8">
        <w:rPr>
          <w:rFonts w:ascii="Arial"/>
          <w:w w:val="105"/>
          <w:sz w:val="16"/>
        </w:rPr>
        <w:t>over</w:t>
      </w:r>
      <w:r w:rsidRPr="00EB2BD8">
        <w:rPr>
          <w:rFonts w:ascii="Arial"/>
          <w:spacing w:val="-3"/>
          <w:w w:val="105"/>
          <w:sz w:val="16"/>
        </w:rPr>
        <w:t xml:space="preserve"> </w:t>
      </w:r>
      <w:r w:rsidRPr="00EB2BD8">
        <w:rPr>
          <w:rFonts w:ascii="Arial"/>
          <w:w w:val="105"/>
          <w:sz w:val="16"/>
        </w:rPr>
        <w:t>a</w:t>
      </w:r>
      <w:r w:rsidRPr="00EB2BD8">
        <w:rPr>
          <w:rFonts w:ascii="Arial"/>
          <w:spacing w:val="-2"/>
          <w:w w:val="105"/>
          <w:sz w:val="16"/>
        </w:rPr>
        <w:t xml:space="preserve"> </w:t>
      </w:r>
      <w:r w:rsidRPr="00EB2BD8">
        <w:rPr>
          <w:rFonts w:ascii="Arial"/>
          <w:w w:val="105"/>
          <w:sz w:val="16"/>
        </w:rPr>
        <w:t>period</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three</w:t>
      </w:r>
      <w:r w:rsidRPr="00EB2BD8">
        <w:rPr>
          <w:rFonts w:ascii="Arial"/>
          <w:spacing w:val="-2"/>
          <w:w w:val="105"/>
          <w:sz w:val="16"/>
        </w:rPr>
        <w:t xml:space="preserve"> </w:t>
      </w:r>
      <w:r w:rsidRPr="00EB2BD8">
        <w:rPr>
          <w:rFonts w:ascii="Arial"/>
          <w:w w:val="105"/>
          <w:sz w:val="16"/>
        </w:rPr>
        <w:t>years</w:t>
      </w:r>
      <w:r w:rsidRPr="00EB2BD8">
        <w:rPr>
          <w:rFonts w:ascii="Arial"/>
          <w:spacing w:val="-3"/>
          <w:w w:val="105"/>
          <w:sz w:val="16"/>
        </w:rPr>
        <w:t xml:space="preserve"> </w:t>
      </w:r>
      <w:r w:rsidRPr="00EB2BD8">
        <w:rPr>
          <w:rFonts w:ascii="Arial"/>
          <w:w w:val="105"/>
          <w:sz w:val="16"/>
        </w:rPr>
        <w:t>from</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date</w:t>
      </w:r>
      <w:r w:rsidRPr="00EB2BD8">
        <w:rPr>
          <w:rFonts w:ascii="Arial"/>
          <w:spacing w:val="-3"/>
          <w:w w:val="105"/>
          <w:sz w:val="16"/>
        </w:rPr>
        <w:t xml:space="preserve"> </w:t>
      </w:r>
      <w:r w:rsidRPr="00EB2BD8">
        <w:rPr>
          <w:rFonts w:ascii="Arial"/>
          <w:w w:val="105"/>
          <w:sz w:val="16"/>
        </w:rPr>
        <w:t>paid.</w:t>
      </w:r>
      <w:r w:rsidRPr="00EB2BD8">
        <w:rPr>
          <w:rFonts w:ascii="Arial"/>
          <w:spacing w:val="40"/>
          <w:w w:val="105"/>
          <w:sz w:val="16"/>
        </w:rPr>
        <w:t xml:space="preserve"> </w:t>
      </w:r>
      <w:r w:rsidRPr="00EB2BD8">
        <w:rPr>
          <w:rFonts w:ascii="Arial"/>
          <w:w w:val="105"/>
          <w:sz w:val="16"/>
        </w:rPr>
        <w:t>Practitioner</w:t>
      </w:r>
      <w:r w:rsidRPr="00EB2BD8">
        <w:rPr>
          <w:rFonts w:ascii="Arial"/>
          <w:spacing w:val="-3"/>
          <w:w w:val="105"/>
          <w:sz w:val="16"/>
        </w:rPr>
        <w:t xml:space="preserve"> </w:t>
      </w:r>
      <w:r w:rsidRPr="00EB2BD8">
        <w:rPr>
          <w:rFonts w:ascii="Arial"/>
          <w:w w:val="105"/>
          <w:sz w:val="16"/>
        </w:rPr>
        <w:t>registration</w:t>
      </w:r>
      <w:r w:rsidRPr="00EB2BD8">
        <w:rPr>
          <w:rFonts w:ascii="Arial"/>
          <w:spacing w:val="-3"/>
          <w:w w:val="105"/>
          <w:sz w:val="16"/>
        </w:rPr>
        <w:t xml:space="preserve"> </w:t>
      </w:r>
      <w:r w:rsidRPr="00EB2BD8">
        <w:rPr>
          <w:rFonts w:ascii="Arial"/>
          <w:w w:val="105"/>
          <w:sz w:val="16"/>
        </w:rPr>
        <w:t>renewal</w:t>
      </w:r>
      <w:r w:rsidRPr="00EB2BD8">
        <w:rPr>
          <w:rFonts w:ascii="Arial"/>
          <w:spacing w:val="-3"/>
          <w:w w:val="105"/>
          <w:sz w:val="16"/>
        </w:rPr>
        <w:t xml:space="preserve"> </w:t>
      </w:r>
      <w:r w:rsidRPr="00EB2BD8">
        <w:rPr>
          <w:rFonts w:ascii="Arial"/>
          <w:w w:val="105"/>
          <w:sz w:val="16"/>
        </w:rPr>
        <w:t>fees (both building and plumbing) and licence renewal fees (plumbing) received relating to subsequent years are recognised at year-end as contract liabilities.</w:t>
      </w:r>
      <w:r w:rsidRPr="00EB2BD8">
        <w:rPr>
          <w:rFonts w:ascii="Arial"/>
          <w:spacing w:val="40"/>
          <w:w w:val="105"/>
          <w:sz w:val="16"/>
        </w:rPr>
        <w:t xml:space="preserve"> </w:t>
      </w:r>
      <w:r w:rsidRPr="00EB2BD8">
        <w:rPr>
          <w:rFonts w:ascii="Arial"/>
          <w:w w:val="105"/>
          <w:sz w:val="16"/>
        </w:rPr>
        <w:t>Building permit levy received in bank at 30 June 2023, pending to be processed in Building Activity Management System on 1 July 2023 is recognised at year-end as contract liability.</w:t>
      </w:r>
    </w:p>
    <w:p w14:paraId="71D21FA2" w14:textId="77777777" w:rsidR="00084F36" w:rsidRPr="00EB2BD8" w:rsidRDefault="00084F36">
      <w:pPr>
        <w:pStyle w:val="BodyText"/>
        <w:rPr>
          <w:rFonts w:ascii="Arial"/>
          <w:sz w:val="20"/>
        </w:rPr>
      </w:pPr>
    </w:p>
    <w:p w14:paraId="25148FE6" w14:textId="77777777" w:rsidR="00084F36" w:rsidRPr="00EB2BD8" w:rsidRDefault="00084F36">
      <w:pPr>
        <w:pStyle w:val="BodyText"/>
        <w:rPr>
          <w:rFonts w:ascii="Arial"/>
          <w:sz w:val="20"/>
        </w:rPr>
      </w:pPr>
    </w:p>
    <w:p w14:paraId="20E142BF" w14:textId="77777777" w:rsidR="00084F36" w:rsidRPr="00EB2BD8" w:rsidRDefault="00084F36">
      <w:pPr>
        <w:pStyle w:val="BodyText"/>
        <w:rPr>
          <w:rFonts w:ascii="Arial"/>
          <w:sz w:val="20"/>
        </w:rPr>
      </w:pPr>
    </w:p>
    <w:p w14:paraId="7CCA6B34" w14:textId="77777777" w:rsidR="00084F36" w:rsidRPr="00EB2BD8" w:rsidRDefault="00084F36">
      <w:pPr>
        <w:pStyle w:val="BodyText"/>
        <w:rPr>
          <w:rFonts w:ascii="Arial"/>
          <w:sz w:val="20"/>
        </w:rPr>
      </w:pPr>
    </w:p>
    <w:p w14:paraId="7C7FB794" w14:textId="77777777" w:rsidR="00084F36" w:rsidRPr="00EB2BD8" w:rsidRDefault="00084F36">
      <w:pPr>
        <w:pStyle w:val="BodyText"/>
        <w:rPr>
          <w:rFonts w:ascii="Arial"/>
          <w:sz w:val="20"/>
        </w:rPr>
      </w:pPr>
    </w:p>
    <w:p w14:paraId="4AB29530" w14:textId="77777777" w:rsidR="00084F36" w:rsidRPr="00EB2BD8" w:rsidRDefault="00084F36">
      <w:pPr>
        <w:pStyle w:val="BodyText"/>
        <w:rPr>
          <w:rFonts w:ascii="Arial"/>
          <w:sz w:val="20"/>
        </w:rPr>
      </w:pPr>
    </w:p>
    <w:p w14:paraId="401225FC" w14:textId="77777777" w:rsidR="00084F36" w:rsidRPr="00EB2BD8" w:rsidRDefault="00084F36">
      <w:pPr>
        <w:pStyle w:val="BodyText"/>
        <w:rPr>
          <w:rFonts w:ascii="Arial"/>
          <w:sz w:val="20"/>
        </w:rPr>
      </w:pPr>
    </w:p>
    <w:p w14:paraId="1347FC55" w14:textId="77777777" w:rsidR="00084F36" w:rsidRPr="00EB2BD8" w:rsidRDefault="00084F36">
      <w:pPr>
        <w:pStyle w:val="BodyText"/>
        <w:rPr>
          <w:rFonts w:ascii="Arial"/>
          <w:sz w:val="20"/>
        </w:rPr>
      </w:pPr>
    </w:p>
    <w:p w14:paraId="4BA7FCCE" w14:textId="77777777" w:rsidR="00084F36" w:rsidRPr="00EB2BD8" w:rsidRDefault="00084F36">
      <w:pPr>
        <w:pStyle w:val="BodyText"/>
        <w:rPr>
          <w:rFonts w:ascii="Arial"/>
          <w:sz w:val="20"/>
        </w:rPr>
      </w:pPr>
    </w:p>
    <w:p w14:paraId="069A3FF5" w14:textId="77777777" w:rsidR="00084F36" w:rsidRPr="00EB2BD8" w:rsidRDefault="00084F36">
      <w:pPr>
        <w:pStyle w:val="BodyText"/>
        <w:rPr>
          <w:rFonts w:ascii="Arial"/>
          <w:sz w:val="20"/>
        </w:rPr>
      </w:pPr>
    </w:p>
    <w:p w14:paraId="66945AAA" w14:textId="77777777" w:rsidR="00084F36" w:rsidRPr="00EB2BD8" w:rsidRDefault="00084F36">
      <w:pPr>
        <w:pStyle w:val="BodyText"/>
        <w:rPr>
          <w:rFonts w:ascii="Arial"/>
          <w:sz w:val="20"/>
        </w:rPr>
      </w:pPr>
    </w:p>
    <w:p w14:paraId="64672298" w14:textId="77777777" w:rsidR="00084F36" w:rsidRPr="00EB2BD8" w:rsidRDefault="00084F36">
      <w:pPr>
        <w:pStyle w:val="BodyText"/>
        <w:rPr>
          <w:rFonts w:ascii="Arial"/>
          <w:sz w:val="20"/>
        </w:rPr>
      </w:pPr>
    </w:p>
    <w:p w14:paraId="63A6FE34" w14:textId="77777777" w:rsidR="00084F36" w:rsidRPr="00EB2BD8" w:rsidRDefault="00084F36">
      <w:pPr>
        <w:pStyle w:val="BodyText"/>
        <w:rPr>
          <w:rFonts w:ascii="Arial"/>
          <w:sz w:val="20"/>
        </w:rPr>
      </w:pPr>
    </w:p>
    <w:p w14:paraId="1872FAB1" w14:textId="77777777" w:rsidR="00084F36" w:rsidRPr="00EB2BD8" w:rsidRDefault="00084F36">
      <w:pPr>
        <w:pStyle w:val="BodyText"/>
        <w:rPr>
          <w:rFonts w:ascii="Arial"/>
          <w:sz w:val="20"/>
        </w:rPr>
      </w:pPr>
    </w:p>
    <w:p w14:paraId="0E081E10" w14:textId="77777777" w:rsidR="00084F36" w:rsidRPr="00EB2BD8" w:rsidRDefault="00084F36">
      <w:pPr>
        <w:pStyle w:val="BodyText"/>
        <w:rPr>
          <w:rFonts w:ascii="Arial"/>
          <w:sz w:val="20"/>
        </w:rPr>
      </w:pPr>
    </w:p>
    <w:p w14:paraId="68760368" w14:textId="77777777" w:rsidR="00084F36" w:rsidRPr="00EB2BD8" w:rsidRDefault="00084F36">
      <w:pPr>
        <w:pStyle w:val="BodyText"/>
        <w:rPr>
          <w:rFonts w:ascii="Arial"/>
          <w:sz w:val="20"/>
        </w:rPr>
      </w:pPr>
    </w:p>
    <w:p w14:paraId="126DA472" w14:textId="77777777" w:rsidR="00084F36" w:rsidRPr="00EB2BD8" w:rsidRDefault="00084F36">
      <w:pPr>
        <w:pStyle w:val="BodyText"/>
        <w:rPr>
          <w:rFonts w:ascii="Arial"/>
          <w:sz w:val="20"/>
        </w:rPr>
      </w:pPr>
    </w:p>
    <w:p w14:paraId="134A5FF7" w14:textId="77777777" w:rsidR="00084F36" w:rsidRPr="00EB2BD8" w:rsidRDefault="00084F36">
      <w:pPr>
        <w:pStyle w:val="BodyText"/>
        <w:rPr>
          <w:rFonts w:ascii="Arial"/>
          <w:sz w:val="20"/>
        </w:rPr>
      </w:pPr>
    </w:p>
    <w:p w14:paraId="27504333" w14:textId="77777777" w:rsidR="00084F36" w:rsidRPr="00EB2BD8" w:rsidRDefault="00084F36">
      <w:pPr>
        <w:pStyle w:val="BodyText"/>
        <w:rPr>
          <w:rFonts w:ascii="Arial"/>
          <w:sz w:val="20"/>
        </w:rPr>
      </w:pPr>
    </w:p>
    <w:p w14:paraId="4D2EC568" w14:textId="77777777" w:rsidR="00084F36" w:rsidRPr="00EB2BD8" w:rsidRDefault="00084F36">
      <w:pPr>
        <w:pStyle w:val="BodyText"/>
        <w:rPr>
          <w:rFonts w:ascii="Arial"/>
          <w:sz w:val="20"/>
        </w:rPr>
      </w:pPr>
    </w:p>
    <w:p w14:paraId="1658045F" w14:textId="77777777" w:rsidR="00084F36" w:rsidRPr="00EB2BD8" w:rsidRDefault="00084F36">
      <w:pPr>
        <w:pStyle w:val="BodyText"/>
        <w:rPr>
          <w:rFonts w:ascii="Arial"/>
          <w:sz w:val="20"/>
        </w:rPr>
      </w:pPr>
    </w:p>
    <w:p w14:paraId="49AC5EF8" w14:textId="77777777" w:rsidR="00084F36" w:rsidRPr="00EB2BD8" w:rsidRDefault="00084F36">
      <w:pPr>
        <w:pStyle w:val="BodyText"/>
        <w:rPr>
          <w:rFonts w:ascii="Arial"/>
          <w:sz w:val="20"/>
        </w:rPr>
      </w:pPr>
    </w:p>
    <w:p w14:paraId="74C41B3E" w14:textId="77777777" w:rsidR="00084F36" w:rsidRPr="00EB2BD8" w:rsidRDefault="00084F36">
      <w:pPr>
        <w:pStyle w:val="BodyText"/>
        <w:rPr>
          <w:rFonts w:ascii="Arial"/>
          <w:sz w:val="20"/>
        </w:rPr>
      </w:pPr>
    </w:p>
    <w:p w14:paraId="225620D9" w14:textId="77777777" w:rsidR="00084F36" w:rsidRPr="00EB2BD8" w:rsidRDefault="00084F36">
      <w:pPr>
        <w:pStyle w:val="BodyText"/>
        <w:rPr>
          <w:rFonts w:ascii="Arial"/>
          <w:sz w:val="20"/>
        </w:rPr>
      </w:pPr>
    </w:p>
    <w:p w14:paraId="5D36DA1B" w14:textId="77777777" w:rsidR="00084F36" w:rsidRPr="00EB2BD8" w:rsidRDefault="00084F36">
      <w:pPr>
        <w:pStyle w:val="BodyText"/>
        <w:rPr>
          <w:rFonts w:ascii="Arial"/>
          <w:sz w:val="20"/>
        </w:rPr>
      </w:pPr>
    </w:p>
    <w:p w14:paraId="1C5A1D45" w14:textId="77777777" w:rsidR="00084F36" w:rsidRPr="00EB2BD8" w:rsidRDefault="00084F36">
      <w:pPr>
        <w:pStyle w:val="BodyText"/>
        <w:rPr>
          <w:rFonts w:ascii="Arial"/>
          <w:sz w:val="20"/>
        </w:rPr>
      </w:pPr>
    </w:p>
    <w:p w14:paraId="4821A347" w14:textId="77777777" w:rsidR="00084F36" w:rsidRPr="00EB2BD8" w:rsidRDefault="00084F36">
      <w:pPr>
        <w:pStyle w:val="BodyText"/>
        <w:rPr>
          <w:rFonts w:ascii="Arial"/>
          <w:sz w:val="20"/>
        </w:rPr>
      </w:pPr>
    </w:p>
    <w:p w14:paraId="4E447FE5" w14:textId="3300B411" w:rsidR="00084F36" w:rsidRPr="00EB2BD8" w:rsidRDefault="00EB2BD8" w:rsidP="00772B16">
      <w:pPr>
        <w:tabs>
          <w:tab w:val="left" w:pos="1906"/>
        </w:tabs>
        <w:spacing w:before="92"/>
        <w:rPr>
          <w:b/>
          <w:sz w:val="16"/>
        </w:rPr>
      </w:pPr>
      <w:r w:rsidRPr="00EB2BD8">
        <w:rPr>
          <w:sz w:val="16"/>
        </w:rPr>
        <w:tab/>
      </w:r>
    </w:p>
    <w:p w14:paraId="34EB5BAB" w14:textId="77777777" w:rsidR="00084F36" w:rsidRPr="00EB2BD8" w:rsidRDefault="00084F36">
      <w:pPr>
        <w:rPr>
          <w:sz w:val="16"/>
        </w:rPr>
        <w:sectPr w:rsidR="00084F36" w:rsidRPr="00EB2BD8" w:rsidSect="006D75B2">
          <w:headerReference w:type="even" r:id="rId309"/>
          <w:footerReference w:type="even" r:id="rId310"/>
          <w:footerReference w:type="default" r:id="rId311"/>
          <w:pgSz w:w="11910" w:h="16840"/>
          <w:pgMar w:top="780" w:right="0" w:bottom="280" w:left="0" w:header="0" w:footer="0" w:gutter="0"/>
          <w:cols w:space="720"/>
        </w:sectPr>
      </w:pPr>
    </w:p>
    <w:p w14:paraId="61380141" w14:textId="77777777" w:rsidR="00084F36" w:rsidRPr="00EB2BD8" w:rsidRDefault="00084F36">
      <w:pPr>
        <w:pStyle w:val="BodyText"/>
        <w:rPr>
          <w:sz w:val="20"/>
        </w:rPr>
      </w:pPr>
    </w:p>
    <w:p w14:paraId="3C9506A9" w14:textId="77777777" w:rsidR="00084F36" w:rsidRPr="00EB2BD8" w:rsidRDefault="00084F36">
      <w:pPr>
        <w:pStyle w:val="BodyText"/>
        <w:rPr>
          <w:sz w:val="20"/>
        </w:rPr>
      </w:pPr>
    </w:p>
    <w:p w14:paraId="3C2D5863" w14:textId="77777777" w:rsidR="00084F36" w:rsidRPr="00EB2BD8" w:rsidRDefault="00084F36">
      <w:pPr>
        <w:pStyle w:val="BodyText"/>
        <w:rPr>
          <w:sz w:val="20"/>
        </w:rPr>
      </w:pPr>
    </w:p>
    <w:p w14:paraId="32A4A362" w14:textId="77777777" w:rsidR="00084F36" w:rsidRPr="00EB2BD8" w:rsidRDefault="00084F36">
      <w:pPr>
        <w:pStyle w:val="BodyText"/>
        <w:rPr>
          <w:sz w:val="20"/>
        </w:rPr>
      </w:pPr>
    </w:p>
    <w:p w14:paraId="711CC323" w14:textId="77777777" w:rsidR="00084F36" w:rsidRPr="00EB2BD8" w:rsidRDefault="00084F36">
      <w:pPr>
        <w:pStyle w:val="BodyText"/>
        <w:rPr>
          <w:sz w:val="20"/>
        </w:rPr>
      </w:pPr>
    </w:p>
    <w:p w14:paraId="7776FC10" w14:textId="77777777" w:rsidR="00084F36" w:rsidRPr="00EB2BD8" w:rsidRDefault="00084F36">
      <w:pPr>
        <w:pStyle w:val="BodyText"/>
        <w:spacing w:before="1"/>
        <w:rPr>
          <w:sz w:val="23"/>
        </w:rPr>
      </w:pPr>
    </w:p>
    <w:p w14:paraId="2AB0F6D0" w14:textId="76790E5A" w:rsidR="00084F36" w:rsidRPr="00EB2BD8" w:rsidRDefault="00086D4B" w:rsidP="00086D4B">
      <w:pPr>
        <w:pStyle w:val="Heading2"/>
      </w:pPr>
      <w:r>
        <w:t xml:space="preserve">  </w:t>
      </w:r>
      <w:bookmarkStart w:id="302" w:name="_Toc150762604"/>
      <w:r w:rsidR="00273892">
        <w:t>5.4 O</w:t>
      </w:r>
      <w:r w:rsidR="00273892" w:rsidRPr="00EB2BD8">
        <w:t>ther</w:t>
      </w:r>
      <w:r w:rsidR="00273892" w:rsidRPr="00EB2BD8">
        <w:rPr>
          <w:spacing w:val="13"/>
        </w:rPr>
        <w:t xml:space="preserve"> </w:t>
      </w:r>
      <w:r w:rsidR="00273892" w:rsidRPr="00EB2BD8">
        <w:t>provisions</w:t>
      </w:r>
      <w:bookmarkEnd w:id="302"/>
    </w:p>
    <w:p w14:paraId="61F94CEC" w14:textId="77777777" w:rsidR="00084F36" w:rsidRPr="00EB2BD8" w:rsidRDefault="00084F36">
      <w:pPr>
        <w:pStyle w:val="BodyText"/>
        <w:rPr>
          <w:rFonts w:ascii="Arial"/>
          <w:b/>
          <w:sz w:val="11"/>
        </w:rPr>
      </w:pPr>
    </w:p>
    <w:p w14:paraId="3408DEE3" w14:textId="77777777" w:rsidR="00084F36" w:rsidRPr="00EB2BD8" w:rsidRDefault="00EB2BD8">
      <w:pPr>
        <w:spacing w:before="102" w:after="46"/>
        <w:ind w:left="9522"/>
        <w:rPr>
          <w:rFonts w:ascii="Arial" w:hAnsi="Arial"/>
          <w:sz w:val="16"/>
        </w:rPr>
      </w:pPr>
      <w:r w:rsidRPr="00EB2BD8">
        <w:rPr>
          <w:rFonts w:ascii="Arial" w:hAnsi="Arial"/>
          <w:spacing w:val="-2"/>
          <w:w w:val="105"/>
          <w:sz w:val="16"/>
        </w:rPr>
        <w:t>($’000)</w:t>
      </w:r>
    </w:p>
    <w:tbl>
      <w:tblPr>
        <w:tblW w:w="0" w:type="auto"/>
        <w:tblInd w:w="1028" w:type="dxa"/>
        <w:tblBorders>
          <w:top w:val="single" w:sz="4" w:space="0" w:color="0098FF"/>
          <w:left w:val="single" w:sz="4" w:space="0" w:color="0098FF"/>
          <w:bottom w:val="single" w:sz="4" w:space="0" w:color="0098FF"/>
          <w:right w:val="single" w:sz="4" w:space="0" w:color="0098FF"/>
          <w:insideH w:val="single" w:sz="4" w:space="0" w:color="0098FF"/>
          <w:insideV w:val="single" w:sz="4" w:space="0" w:color="0098FF"/>
        </w:tblBorders>
        <w:tblLayout w:type="fixed"/>
        <w:tblCellMar>
          <w:left w:w="0" w:type="dxa"/>
          <w:right w:w="0" w:type="dxa"/>
        </w:tblCellMar>
        <w:tblLook w:val="01E0" w:firstRow="1" w:lastRow="1" w:firstColumn="1" w:lastColumn="1" w:noHBand="0" w:noVBand="0"/>
      </w:tblPr>
      <w:tblGrid>
        <w:gridCol w:w="6043"/>
        <w:gridCol w:w="1395"/>
        <w:gridCol w:w="1687"/>
      </w:tblGrid>
      <w:tr w:rsidR="00EB2BD8" w:rsidRPr="00EB2BD8" w14:paraId="77D08416" w14:textId="77777777">
        <w:trPr>
          <w:trHeight w:val="297"/>
        </w:trPr>
        <w:tc>
          <w:tcPr>
            <w:tcW w:w="7438" w:type="dxa"/>
            <w:gridSpan w:val="2"/>
            <w:tcBorders>
              <w:right w:val="nil"/>
            </w:tcBorders>
            <w:shd w:val="clear" w:color="auto" w:fill="0070C0"/>
          </w:tcPr>
          <w:p w14:paraId="535B8C8C" w14:textId="77777777" w:rsidR="00084F36" w:rsidRPr="00EB2BD8" w:rsidRDefault="00EB2BD8">
            <w:pPr>
              <w:pStyle w:val="TableParagraph"/>
              <w:spacing w:before="58"/>
              <w:ind w:right="94"/>
              <w:jc w:val="right"/>
              <w:rPr>
                <w:rFonts w:ascii="Arial"/>
                <w:b/>
                <w:sz w:val="16"/>
              </w:rPr>
            </w:pPr>
            <w:r w:rsidRPr="00EB2BD8">
              <w:rPr>
                <w:rFonts w:ascii="Arial"/>
                <w:b/>
                <w:spacing w:val="-4"/>
                <w:w w:val="105"/>
                <w:sz w:val="16"/>
              </w:rPr>
              <w:t>2023</w:t>
            </w:r>
          </w:p>
        </w:tc>
        <w:tc>
          <w:tcPr>
            <w:tcW w:w="1687" w:type="dxa"/>
            <w:tcBorders>
              <w:left w:val="nil"/>
            </w:tcBorders>
            <w:shd w:val="clear" w:color="auto" w:fill="0070C0"/>
          </w:tcPr>
          <w:p w14:paraId="7A2BA7C7" w14:textId="77777777" w:rsidR="00084F36" w:rsidRPr="00EB2BD8" w:rsidRDefault="00EB2BD8">
            <w:pPr>
              <w:pStyle w:val="TableParagraph"/>
              <w:spacing w:before="58"/>
              <w:ind w:right="89"/>
              <w:jc w:val="right"/>
              <w:rPr>
                <w:rFonts w:ascii="Arial"/>
                <w:b/>
                <w:sz w:val="16"/>
              </w:rPr>
            </w:pPr>
            <w:r w:rsidRPr="00EB2BD8">
              <w:rPr>
                <w:rFonts w:ascii="Arial"/>
                <w:b/>
                <w:spacing w:val="-4"/>
                <w:w w:val="105"/>
                <w:sz w:val="16"/>
              </w:rPr>
              <w:t>2022</w:t>
            </w:r>
          </w:p>
        </w:tc>
      </w:tr>
      <w:tr w:rsidR="00EB2BD8" w:rsidRPr="00EB2BD8" w14:paraId="7B1EE03E" w14:textId="77777777">
        <w:trPr>
          <w:trHeight w:val="623"/>
        </w:trPr>
        <w:tc>
          <w:tcPr>
            <w:tcW w:w="6043" w:type="dxa"/>
            <w:tcBorders>
              <w:left w:val="nil"/>
              <w:bottom w:val="single" w:sz="12" w:space="0" w:color="000000"/>
              <w:right w:val="nil"/>
            </w:tcBorders>
            <w:shd w:val="clear" w:color="auto" w:fill="FFFFFF"/>
          </w:tcPr>
          <w:p w14:paraId="15683781" w14:textId="77777777" w:rsidR="00084F36" w:rsidRPr="00EB2BD8" w:rsidRDefault="00EB2BD8">
            <w:pPr>
              <w:pStyle w:val="TableParagraph"/>
              <w:spacing w:before="63"/>
              <w:ind w:left="105"/>
              <w:rPr>
                <w:rFonts w:ascii="Arial"/>
                <w:b/>
                <w:sz w:val="16"/>
              </w:rPr>
            </w:pPr>
            <w:r w:rsidRPr="00EB2BD8">
              <w:rPr>
                <w:rFonts w:ascii="Arial"/>
                <w:b/>
                <w:w w:val="105"/>
                <w:sz w:val="16"/>
              </w:rPr>
              <w:t>Current</w:t>
            </w:r>
            <w:r w:rsidRPr="00EB2BD8">
              <w:rPr>
                <w:rFonts w:ascii="Arial"/>
                <w:b/>
                <w:spacing w:val="-12"/>
                <w:w w:val="105"/>
                <w:sz w:val="16"/>
              </w:rPr>
              <w:t xml:space="preserve"> </w:t>
            </w:r>
            <w:r w:rsidRPr="00EB2BD8">
              <w:rPr>
                <w:rFonts w:ascii="Arial"/>
                <w:b/>
                <w:spacing w:val="-2"/>
                <w:w w:val="105"/>
                <w:sz w:val="16"/>
              </w:rPr>
              <w:t>provisions</w:t>
            </w:r>
          </w:p>
          <w:p w14:paraId="5A261EE9" w14:textId="77777777" w:rsidR="00084F36" w:rsidRPr="00EB2BD8" w:rsidRDefault="00EB2BD8">
            <w:pPr>
              <w:pStyle w:val="TableParagraph"/>
              <w:spacing w:before="128"/>
              <w:ind w:left="105"/>
              <w:rPr>
                <w:rFonts w:ascii="Arial"/>
                <w:i/>
                <w:sz w:val="16"/>
              </w:rPr>
            </w:pPr>
            <w:r w:rsidRPr="00EB2BD8">
              <w:rPr>
                <w:rFonts w:ascii="Arial"/>
                <w:i/>
                <w:w w:val="105"/>
                <w:sz w:val="16"/>
              </w:rPr>
              <w:t>Onerous</w:t>
            </w:r>
            <w:r w:rsidRPr="00EB2BD8">
              <w:rPr>
                <w:rFonts w:ascii="Arial"/>
                <w:i/>
                <w:spacing w:val="-11"/>
                <w:w w:val="105"/>
                <w:sz w:val="16"/>
              </w:rPr>
              <w:t xml:space="preserve"> </w:t>
            </w:r>
            <w:r w:rsidRPr="00EB2BD8">
              <w:rPr>
                <w:rFonts w:ascii="Arial"/>
                <w:i/>
                <w:spacing w:val="-2"/>
                <w:w w:val="105"/>
                <w:sz w:val="16"/>
              </w:rPr>
              <w:t>contracts</w:t>
            </w:r>
          </w:p>
        </w:tc>
        <w:tc>
          <w:tcPr>
            <w:tcW w:w="1395" w:type="dxa"/>
            <w:tcBorders>
              <w:left w:val="nil"/>
              <w:bottom w:val="single" w:sz="12" w:space="0" w:color="000000"/>
              <w:right w:val="nil"/>
            </w:tcBorders>
            <w:shd w:val="clear" w:color="auto" w:fill="DEEAF6"/>
          </w:tcPr>
          <w:p w14:paraId="037CC2B0" w14:textId="77777777" w:rsidR="00084F36" w:rsidRPr="00EB2BD8" w:rsidRDefault="00084F36">
            <w:pPr>
              <w:pStyle w:val="TableParagraph"/>
              <w:rPr>
                <w:rFonts w:ascii="Arial"/>
                <w:sz w:val="18"/>
              </w:rPr>
            </w:pPr>
          </w:p>
          <w:p w14:paraId="64459EF2" w14:textId="77777777" w:rsidR="00084F36" w:rsidRPr="00EB2BD8" w:rsidRDefault="00084F36">
            <w:pPr>
              <w:pStyle w:val="TableParagraph"/>
              <w:spacing w:before="7"/>
              <w:rPr>
                <w:rFonts w:ascii="Arial"/>
                <w:sz w:val="14"/>
              </w:rPr>
            </w:pPr>
          </w:p>
          <w:p w14:paraId="5DEF8EEA" w14:textId="77777777" w:rsidR="00084F36" w:rsidRPr="00EB2BD8" w:rsidRDefault="00EB2BD8">
            <w:pPr>
              <w:pStyle w:val="TableParagraph"/>
              <w:ind w:right="95"/>
              <w:jc w:val="right"/>
              <w:rPr>
                <w:rFonts w:ascii="Arial"/>
                <w:sz w:val="16"/>
              </w:rPr>
            </w:pPr>
            <w:r w:rsidRPr="00EB2BD8">
              <w:rPr>
                <w:rFonts w:ascii="Arial"/>
                <w:spacing w:val="-2"/>
                <w:w w:val="105"/>
                <w:sz w:val="16"/>
              </w:rPr>
              <w:t>1,238</w:t>
            </w:r>
          </w:p>
        </w:tc>
        <w:tc>
          <w:tcPr>
            <w:tcW w:w="1687" w:type="dxa"/>
            <w:tcBorders>
              <w:left w:val="nil"/>
              <w:bottom w:val="single" w:sz="12" w:space="0" w:color="000000"/>
              <w:right w:val="nil"/>
            </w:tcBorders>
            <w:shd w:val="clear" w:color="auto" w:fill="FFFFFF"/>
          </w:tcPr>
          <w:p w14:paraId="4A4AA184" w14:textId="77777777" w:rsidR="00084F36" w:rsidRPr="00EB2BD8" w:rsidRDefault="00084F36">
            <w:pPr>
              <w:pStyle w:val="TableParagraph"/>
              <w:rPr>
                <w:rFonts w:ascii="Arial"/>
                <w:sz w:val="18"/>
              </w:rPr>
            </w:pPr>
          </w:p>
          <w:p w14:paraId="2C231E1F" w14:textId="77777777" w:rsidR="00084F36" w:rsidRPr="00EB2BD8" w:rsidRDefault="00084F36">
            <w:pPr>
              <w:pStyle w:val="TableParagraph"/>
              <w:spacing w:before="7"/>
              <w:rPr>
                <w:rFonts w:ascii="Arial"/>
                <w:sz w:val="14"/>
              </w:rPr>
            </w:pPr>
          </w:p>
          <w:p w14:paraId="5A474495" w14:textId="77777777" w:rsidR="00084F36" w:rsidRPr="00EB2BD8" w:rsidRDefault="00EB2BD8">
            <w:pPr>
              <w:pStyle w:val="TableParagraph"/>
              <w:ind w:right="93"/>
              <w:jc w:val="right"/>
              <w:rPr>
                <w:rFonts w:ascii="Arial"/>
                <w:sz w:val="16"/>
              </w:rPr>
            </w:pPr>
            <w:r w:rsidRPr="00EB2BD8">
              <w:rPr>
                <w:rFonts w:ascii="Arial"/>
                <w:spacing w:val="-5"/>
                <w:w w:val="105"/>
                <w:sz w:val="16"/>
              </w:rPr>
              <w:t>936</w:t>
            </w:r>
          </w:p>
        </w:tc>
      </w:tr>
      <w:tr w:rsidR="00EB2BD8" w:rsidRPr="00EB2BD8" w14:paraId="6248A292" w14:textId="77777777">
        <w:trPr>
          <w:trHeight w:val="287"/>
        </w:trPr>
        <w:tc>
          <w:tcPr>
            <w:tcW w:w="6043" w:type="dxa"/>
            <w:tcBorders>
              <w:top w:val="single" w:sz="12" w:space="0" w:color="000000"/>
              <w:left w:val="nil"/>
              <w:bottom w:val="single" w:sz="12" w:space="0" w:color="000000"/>
              <w:right w:val="nil"/>
            </w:tcBorders>
            <w:shd w:val="clear" w:color="auto" w:fill="FFFFFF"/>
          </w:tcPr>
          <w:p w14:paraId="6A8D9BBD" w14:textId="77777777" w:rsidR="00084F36" w:rsidRPr="00EB2BD8" w:rsidRDefault="00EB2BD8">
            <w:pPr>
              <w:pStyle w:val="TableParagraph"/>
              <w:spacing w:before="53"/>
              <w:ind w:left="105"/>
              <w:rPr>
                <w:rFonts w:ascii="Arial"/>
                <w:b/>
                <w:sz w:val="16"/>
              </w:rPr>
            </w:pPr>
            <w:r w:rsidRPr="00EB2BD8">
              <w:rPr>
                <w:rFonts w:ascii="Arial"/>
                <w:b/>
                <w:w w:val="105"/>
                <w:sz w:val="16"/>
              </w:rPr>
              <w:t>Total</w:t>
            </w:r>
            <w:r w:rsidRPr="00EB2BD8">
              <w:rPr>
                <w:rFonts w:ascii="Arial"/>
                <w:b/>
                <w:spacing w:val="-9"/>
                <w:w w:val="105"/>
                <w:sz w:val="16"/>
              </w:rPr>
              <w:t xml:space="preserve"> </w:t>
            </w:r>
            <w:r w:rsidRPr="00EB2BD8">
              <w:rPr>
                <w:rFonts w:ascii="Arial"/>
                <w:b/>
                <w:w w:val="105"/>
                <w:sz w:val="16"/>
              </w:rPr>
              <w:t>current</w:t>
            </w:r>
            <w:r w:rsidRPr="00EB2BD8">
              <w:rPr>
                <w:rFonts w:ascii="Arial"/>
                <w:b/>
                <w:spacing w:val="-8"/>
                <w:w w:val="105"/>
                <w:sz w:val="16"/>
              </w:rPr>
              <w:t xml:space="preserve"> </w:t>
            </w:r>
            <w:r w:rsidRPr="00EB2BD8">
              <w:rPr>
                <w:rFonts w:ascii="Arial"/>
                <w:b/>
                <w:w w:val="105"/>
                <w:sz w:val="16"/>
              </w:rPr>
              <w:t>other</w:t>
            </w:r>
            <w:r w:rsidRPr="00EB2BD8">
              <w:rPr>
                <w:rFonts w:ascii="Arial"/>
                <w:b/>
                <w:spacing w:val="-6"/>
                <w:w w:val="105"/>
                <w:sz w:val="16"/>
              </w:rPr>
              <w:t xml:space="preserve"> </w:t>
            </w:r>
            <w:r w:rsidRPr="00EB2BD8">
              <w:rPr>
                <w:rFonts w:ascii="Arial"/>
                <w:b/>
                <w:spacing w:val="-2"/>
                <w:w w:val="105"/>
                <w:sz w:val="16"/>
              </w:rPr>
              <w:t>provisions</w:t>
            </w:r>
          </w:p>
        </w:tc>
        <w:tc>
          <w:tcPr>
            <w:tcW w:w="1395" w:type="dxa"/>
            <w:tcBorders>
              <w:top w:val="single" w:sz="12" w:space="0" w:color="000000"/>
              <w:left w:val="nil"/>
              <w:bottom w:val="single" w:sz="12" w:space="0" w:color="000000"/>
              <w:right w:val="nil"/>
            </w:tcBorders>
            <w:shd w:val="clear" w:color="auto" w:fill="DEEAF6"/>
          </w:tcPr>
          <w:p w14:paraId="559C8D2E" w14:textId="77777777" w:rsidR="00084F36" w:rsidRPr="00EB2BD8" w:rsidRDefault="00EB2BD8">
            <w:pPr>
              <w:pStyle w:val="TableParagraph"/>
              <w:spacing w:before="53"/>
              <w:ind w:right="95"/>
              <w:jc w:val="right"/>
              <w:rPr>
                <w:rFonts w:ascii="Arial"/>
                <w:b/>
                <w:sz w:val="16"/>
              </w:rPr>
            </w:pPr>
            <w:r w:rsidRPr="00EB2BD8">
              <w:rPr>
                <w:rFonts w:ascii="Arial"/>
                <w:b/>
                <w:spacing w:val="-2"/>
                <w:w w:val="105"/>
                <w:sz w:val="16"/>
              </w:rPr>
              <w:t>1,238</w:t>
            </w:r>
          </w:p>
        </w:tc>
        <w:tc>
          <w:tcPr>
            <w:tcW w:w="1687" w:type="dxa"/>
            <w:tcBorders>
              <w:top w:val="single" w:sz="12" w:space="0" w:color="000000"/>
              <w:left w:val="nil"/>
              <w:bottom w:val="single" w:sz="12" w:space="0" w:color="000000"/>
              <w:right w:val="nil"/>
            </w:tcBorders>
            <w:shd w:val="clear" w:color="auto" w:fill="FFFFFF"/>
          </w:tcPr>
          <w:p w14:paraId="71E110A6" w14:textId="77777777" w:rsidR="00084F36" w:rsidRPr="00EB2BD8" w:rsidRDefault="00EB2BD8">
            <w:pPr>
              <w:pStyle w:val="TableParagraph"/>
              <w:spacing w:before="53"/>
              <w:ind w:right="94"/>
              <w:jc w:val="right"/>
              <w:rPr>
                <w:rFonts w:ascii="Arial"/>
                <w:b/>
                <w:sz w:val="16"/>
              </w:rPr>
            </w:pPr>
            <w:r w:rsidRPr="00EB2BD8">
              <w:rPr>
                <w:rFonts w:ascii="Arial"/>
                <w:b/>
                <w:spacing w:val="-5"/>
                <w:w w:val="105"/>
                <w:sz w:val="16"/>
              </w:rPr>
              <w:t>936</w:t>
            </w:r>
          </w:p>
        </w:tc>
      </w:tr>
      <w:tr w:rsidR="00EB2BD8" w:rsidRPr="00EB2BD8" w14:paraId="5D0FE287" w14:textId="77777777">
        <w:trPr>
          <w:trHeight w:val="603"/>
        </w:trPr>
        <w:tc>
          <w:tcPr>
            <w:tcW w:w="6043" w:type="dxa"/>
            <w:tcBorders>
              <w:top w:val="single" w:sz="12" w:space="0" w:color="000000"/>
              <w:left w:val="nil"/>
              <w:bottom w:val="single" w:sz="12" w:space="0" w:color="000000"/>
              <w:right w:val="nil"/>
            </w:tcBorders>
            <w:shd w:val="clear" w:color="auto" w:fill="FFFFFF"/>
          </w:tcPr>
          <w:p w14:paraId="17919508" w14:textId="77777777" w:rsidR="00084F36" w:rsidRPr="00EB2BD8" w:rsidRDefault="00EB2BD8">
            <w:pPr>
              <w:pStyle w:val="TableParagraph"/>
              <w:spacing w:before="53"/>
              <w:ind w:left="105"/>
              <w:rPr>
                <w:rFonts w:ascii="Arial"/>
                <w:b/>
                <w:sz w:val="16"/>
              </w:rPr>
            </w:pPr>
            <w:r w:rsidRPr="00EB2BD8">
              <w:rPr>
                <w:rFonts w:ascii="Arial"/>
                <w:b/>
                <w:spacing w:val="-2"/>
                <w:w w:val="105"/>
                <w:sz w:val="16"/>
              </w:rPr>
              <w:t>Non-current</w:t>
            </w:r>
            <w:r w:rsidRPr="00EB2BD8">
              <w:rPr>
                <w:rFonts w:ascii="Arial"/>
                <w:b/>
                <w:spacing w:val="7"/>
                <w:w w:val="105"/>
                <w:sz w:val="16"/>
              </w:rPr>
              <w:t xml:space="preserve"> </w:t>
            </w:r>
            <w:r w:rsidRPr="00EB2BD8">
              <w:rPr>
                <w:rFonts w:ascii="Arial"/>
                <w:b/>
                <w:spacing w:val="-2"/>
                <w:w w:val="105"/>
                <w:sz w:val="16"/>
              </w:rPr>
              <w:t>provisions</w:t>
            </w:r>
          </w:p>
          <w:p w14:paraId="470F0D27" w14:textId="77777777" w:rsidR="00084F36" w:rsidRPr="00EB2BD8" w:rsidRDefault="00EB2BD8">
            <w:pPr>
              <w:pStyle w:val="TableParagraph"/>
              <w:spacing w:before="119"/>
              <w:ind w:left="105"/>
              <w:rPr>
                <w:rFonts w:ascii="Arial"/>
                <w:i/>
                <w:sz w:val="16"/>
              </w:rPr>
            </w:pPr>
            <w:r w:rsidRPr="00EB2BD8">
              <w:rPr>
                <w:rFonts w:ascii="Arial"/>
                <w:i/>
                <w:spacing w:val="-2"/>
                <w:w w:val="105"/>
                <w:sz w:val="16"/>
              </w:rPr>
              <w:t>Make-good</w:t>
            </w:r>
            <w:r w:rsidRPr="00EB2BD8">
              <w:rPr>
                <w:rFonts w:ascii="Arial"/>
                <w:i/>
                <w:spacing w:val="4"/>
                <w:w w:val="105"/>
                <w:sz w:val="16"/>
              </w:rPr>
              <w:t xml:space="preserve"> </w:t>
            </w:r>
            <w:r w:rsidRPr="00EB2BD8">
              <w:rPr>
                <w:rFonts w:ascii="Arial"/>
                <w:i/>
                <w:spacing w:val="-2"/>
                <w:w w:val="105"/>
                <w:sz w:val="16"/>
              </w:rPr>
              <w:t>provision</w:t>
            </w:r>
          </w:p>
        </w:tc>
        <w:tc>
          <w:tcPr>
            <w:tcW w:w="1395" w:type="dxa"/>
            <w:tcBorders>
              <w:top w:val="single" w:sz="12" w:space="0" w:color="000000"/>
              <w:left w:val="nil"/>
              <w:bottom w:val="single" w:sz="12" w:space="0" w:color="000000"/>
              <w:right w:val="nil"/>
            </w:tcBorders>
            <w:shd w:val="clear" w:color="auto" w:fill="DEEAF6"/>
          </w:tcPr>
          <w:p w14:paraId="27786251" w14:textId="77777777" w:rsidR="00084F36" w:rsidRPr="00EB2BD8" w:rsidRDefault="00084F36">
            <w:pPr>
              <w:pStyle w:val="TableParagraph"/>
              <w:rPr>
                <w:rFonts w:ascii="Arial"/>
                <w:sz w:val="18"/>
              </w:rPr>
            </w:pPr>
          </w:p>
          <w:p w14:paraId="50608C66" w14:textId="77777777" w:rsidR="00084F36" w:rsidRPr="00EB2BD8" w:rsidRDefault="00EB2BD8">
            <w:pPr>
              <w:pStyle w:val="TableParagraph"/>
              <w:spacing w:before="149"/>
              <w:ind w:right="95"/>
              <w:jc w:val="right"/>
              <w:rPr>
                <w:rFonts w:ascii="Arial"/>
                <w:sz w:val="16"/>
              </w:rPr>
            </w:pPr>
            <w:r w:rsidRPr="00EB2BD8">
              <w:rPr>
                <w:rFonts w:ascii="Arial"/>
                <w:spacing w:val="-5"/>
                <w:w w:val="105"/>
                <w:sz w:val="16"/>
              </w:rPr>
              <w:t>714</w:t>
            </w:r>
          </w:p>
        </w:tc>
        <w:tc>
          <w:tcPr>
            <w:tcW w:w="1687" w:type="dxa"/>
            <w:tcBorders>
              <w:top w:val="single" w:sz="12" w:space="0" w:color="000000"/>
              <w:left w:val="nil"/>
              <w:bottom w:val="single" w:sz="12" w:space="0" w:color="000000"/>
              <w:right w:val="nil"/>
            </w:tcBorders>
            <w:shd w:val="clear" w:color="auto" w:fill="FFFFFF"/>
          </w:tcPr>
          <w:p w14:paraId="22F71021" w14:textId="77777777" w:rsidR="00084F36" w:rsidRPr="00EB2BD8" w:rsidRDefault="00084F36">
            <w:pPr>
              <w:pStyle w:val="TableParagraph"/>
              <w:rPr>
                <w:rFonts w:ascii="Arial"/>
                <w:sz w:val="18"/>
              </w:rPr>
            </w:pPr>
          </w:p>
          <w:p w14:paraId="7B328B1D" w14:textId="77777777" w:rsidR="00084F36" w:rsidRPr="00EB2BD8" w:rsidRDefault="00EB2BD8">
            <w:pPr>
              <w:pStyle w:val="TableParagraph"/>
              <w:spacing w:before="149"/>
              <w:ind w:right="93"/>
              <w:jc w:val="right"/>
              <w:rPr>
                <w:rFonts w:ascii="Arial"/>
                <w:sz w:val="16"/>
              </w:rPr>
            </w:pPr>
            <w:r w:rsidRPr="00EB2BD8">
              <w:rPr>
                <w:rFonts w:ascii="Arial"/>
                <w:spacing w:val="-5"/>
                <w:w w:val="105"/>
                <w:sz w:val="16"/>
              </w:rPr>
              <w:t>686</w:t>
            </w:r>
          </w:p>
        </w:tc>
      </w:tr>
      <w:tr w:rsidR="00EB2BD8" w:rsidRPr="00EB2BD8" w14:paraId="45F5F056" w14:textId="77777777">
        <w:trPr>
          <w:trHeight w:val="287"/>
        </w:trPr>
        <w:tc>
          <w:tcPr>
            <w:tcW w:w="6043" w:type="dxa"/>
            <w:tcBorders>
              <w:top w:val="single" w:sz="12" w:space="0" w:color="000000"/>
              <w:left w:val="nil"/>
              <w:bottom w:val="single" w:sz="12" w:space="0" w:color="000000"/>
              <w:right w:val="nil"/>
            </w:tcBorders>
            <w:shd w:val="clear" w:color="auto" w:fill="FFFFFF"/>
          </w:tcPr>
          <w:p w14:paraId="45722CC9" w14:textId="77777777" w:rsidR="00084F36" w:rsidRPr="00EB2BD8" w:rsidRDefault="00EB2BD8">
            <w:pPr>
              <w:pStyle w:val="TableParagraph"/>
              <w:spacing w:before="53"/>
              <w:ind w:left="105"/>
              <w:rPr>
                <w:rFonts w:ascii="Arial"/>
                <w:b/>
                <w:sz w:val="16"/>
              </w:rPr>
            </w:pPr>
            <w:r w:rsidRPr="00EB2BD8">
              <w:rPr>
                <w:rFonts w:ascii="Arial"/>
                <w:b/>
                <w:w w:val="105"/>
                <w:sz w:val="16"/>
              </w:rPr>
              <w:t>Total</w:t>
            </w:r>
            <w:r w:rsidRPr="00EB2BD8">
              <w:rPr>
                <w:rFonts w:ascii="Arial"/>
                <w:b/>
                <w:spacing w:val="-8"/>
                <w:w w:val="105"/>
                <w:sz w:val="16"/>
              </w:rPr>
              <w:t xml:space="preserve"> </w:t>
            </w:r>
            <w:r w:rsidRPr="00EB2BD8">
              <w:rPr>
                <w:rFonts w:ascii="Arial"/>
                <w:b/>
                <w:w w:val="105"/>
                <w:sz w:val="16"/>
              </w:rPr>
              <w:t>non-current</w:t>
            </w:r>
            <w:r w:rsidRPr="00EB2BD8">
              <w:rPr>
                <w:rFonts w:ascii="Arial"/>
                <w:b/>
                <w:spacing w:val="-8"/>
                <w:w w:val="105"/>
                <w:sz w:val="16"/>
              </w:rPr>
              <w:t xml:space="preserve"> </w:t>
            </w:r>
            <w:r w:rsidRPr="00EB2BD8">
              <w:rPr>
                <w:rFonts w:ascii="Arial"/>
                <w:b/>
                <w:w w:val="105"/>
                <w:sz w:val="16"/>
              </w:rPr>
              <w:t>other</w:t>
            </w:r>
            <w:r w:rsidRPr="00EB2BD8">
              <w:rPr>
                <w:rFonts w:ascii="Arial"/>
                <w:b/>
                <w:spacing w:val="-8"/>
                <w:w w:val="105"/>
                <w:sz w:val="16"/>
              </w:rPr>
              <w:t xml:space="preserve"> </w:t>
            </w:r>
            <w:r w:rsidRPr="00EB2BD8">
              <w:rPr>
                <w:rFonts w:ascii="Arial"/>
                <w:b/>
                <w:spacing w:val="-2"/>
                <w:w w:val="105"/>
                <w:sz w:val="16"/>
              </w:rPr>
              <w:t>provisions</w:t>
            </w:r>
          </w:p>
        </w:tc>
        <w:tc>
          <w:tcPr>
            <w:tcW w:w="1395" w:type="dxa"/>
            <w:tcBorders>
              <w:top w:val="single" w:sz="12" w:space="0" w:color="000000"/>
              <w:left w:val="nil"/>
              <w:bottom w:val="single" w:sz="12" w:space="0" w:color="000000"/>
              <w:right w:val="nil"/>
            </w:tcBorders>
            <w:shd w:val="clear" w:color="auto" w:fill="DEEAF6"/>
          </w:tcPr>
          <w:p w14:paraId="482CE965" w14:textId="77777777" w:rsidR="00084F36" w:rsidRPr="00EB2BD8" w:rsidRDefault="00EB2BD8">
            <w:pPr>
              <w:pStyle w:val="TableParagraph"/>
              <w:spacing w:before="53"/>
              <w:ind w:right="95"/>
              <w:jc w:val="right"/>
              <w:rPr>
                <w:rFonts w:ascii="Arial"/>
                <w:b/>
                <w:sz w:val="16"/>
              </w:rPr>
            </w:pPr>
            <w:r w:rsidRPr="00EB2BD8">
              <w:rPr>
                <w:rFonts w:ascii="Arial"/>
                <w:b/>
                <w:spacing w:val="-5"/>
                <w:w w:val="105"/>
                <w:sz w:val="16"/>
              </w:rPr>
              <w:t>714</w:t>
            </w:r>
          </w:p>
        </w:tc>
        <w:tc>
          <w:tcPr>
            <w:tcW w:w="1687" w:type="dxa"/>
            <w:tcBorders>
              <w:top w:val="single" w:sz="12" w:space="0" w:color="000000"/>
              <w:left w:val="nil"/>
              <w:bottom w:val="single" w:sz="12" w:space="0" w:color="000000"/>
              <w:right w:val="nil"/>
            </w:tcBorders>
            <w:shd w:val="clear" w:color="auto" w:fill="FFFFFF"/>
          </w:tcPr>
          <w:p w14:paraId="7E02A161" w14:textId="77777777" w:rsidR="00084F36" w:rsidRPr="00EB2BD8" w:rsidRDefault="00EB2BD8">
            <w:pPr>
              <w:pStyle w:val="TableParagraph"/>
              <w:spacing w:before="53"/>
              <w:ind w:right="94"/>
              <w:jc w:val="right"/>
              <w:rPr>
                <w:rFonts w:ascii="Arial"/>
                <w:b/>
                <w:sz w:val="16"/>
              </w:rPr>
            </w:pPr>
            <w:r w:rsidRPr="00EB2BD8">
              <w:rPr>
                <w:rFonts w:ascii="Arial"/>
                <w:b/>
                <w:spacing w:val="-5"/>
                <w:w w:val="105"/>
                <w:sz w:val="16"/>
              </w:rPr>
              <w:t>686</w:t>
            </w:r>
          </w:p>
        </w:tc>
      </w:tr>
      <w:tr w:rsidR="00EB2BD8" w:rsidRPr="00EB2BD8" w14:paraId="360EDA19" w14:textId="77777777">
        <w:trPr>
          <w:trHeight w:val="286"/>
        </w:trPr>
        <w:tc>
          <w:tcPr>
            <w:tcW w:w="6043" w:type="dxa"/>
            <w:tcBorders>
              <w:top w:val="single" w:sz="12" w:space="0" w:color="000000"/>
              <w:left w:val="nil"/>
              <w:bottom w:val="single" w:sz="12" w:space="0" w:color="000000"/>
              <w:right w:val="nil"/>
            </w:tcBorders>
            <w:shd w:val="clear" w:color="auto" w:fill="FFFFFF"/>
          </w:tcPr>
          <w:p w14:paraId="0711F4E1" w14:textId="77777777" w:rsidR="00084F36" w:rsidRPr="00EB2BD8" w:rsidRDefault="00EB2BD8">
            <w:pPr>
              <w:pStyle w:val="TableParagraph"/>
              <w:spacing w:before="53"/>
              <w:ind w:left="105"/>
              <w:rPr>
                <w:rFonts w:ascii="Arial"/>
                <w:b/>
                <w:sz w:val="16"/>
              </w:rPr>
            </w:pPr>
            <w:r w:rsidRPr="00EB2BD8">
              <w:rPr>
                <w:rFonts w:ascii="Arial"/>
                <w:b/>
                <w:w w:val="105"/>
                <w:sz w:val="16"/>
              </w:rPr>
              <w:t>Total</w:t>
            </w:r>
            <w:r w:rsidRPr="00EB2BD8">
              <w:rPr>
                <w:rFonts w:ascii="Arial"/>
                <w:b/>
                <w:spacing w:val="-7"/>
                <w:w w:val="105"/>
                <w:sz w:val="16"/>
              </w:rPr>
              <w:t xml:space="preserve"> </w:t>
            </w:r>
            <w:r w:rsidRPr="00EB2BD8">
              <w:rPr>
                <w:rFonts w:ascii="Arial"/>
                <w:b/>
                <w:w w:val="105"/>
                <w:sz w:val="16"/>
              </w:rPr>
              <w:t>other</w:t>
            </w:r>
            <w:r w:rsidRPr="00EB2BD8">
              <w:rPr>
                <w:rFonts w:ascii="Arial"/>
                <w:b/>
                <w:spacing w:val="-6"/>
                <w:w w:val="105"/>
                <w:sz w:val="16"/>
              </w:rPr>
              <w:t xml:space="preserve"> </w:t>
            </w:r>
            <w:r w:rsidRPr="00EB2BD8">
              <w:rPr>
                <w:rFonts w:ascii="Arial"/>
                <w:b/>
                <w:spacing w:val="-2"/>
                <w:w w:val="105"/>
                <w:sz w:val="16"/>
              </w:rPr>
              <w:t>provisions</w:t>
            </w:r>
          </w:p>
        </w:tc>
        <w:tc>
          <w:tcPr>
            <w:tcW w:w="1395" w:type="dxa"/>
            <w:tcBorders>
              <w:top w:val="single" w:sz="12" w:space="0" w:color="000000"/>
              <w:left w:val="nil"/>
              <w:bottom w:val="single" w:sz="12" w:space="0" w:color="000000"/>
              <w:right w:val="nil"/>
            </w:tcBorders>
            <w:shd w:val="clear" w:color="auto" w:fill="DEEAF6"/>
          </w:tcPr>
          <w:p w14:paraId="56EC02DA" w14:textId="77777777" w:rsidR="00084F36" w:rsidRPr="00EB2BD8" w:rsidRDefault="00EB2BD8">
            <w:pPr>
              <w:pStyle w:val="TableParagraph"/>
              <w:spacing w:before="53"/>
              <w:ind w:right="95"/>
              <w:jc w:val="right"/>
              <w:rPr>
                <w:rFonts w:ascii="Arial"/>
                <w:b/>
                <w:sz w:val="16"/>
              </w:rPr>
            </w:pPr>
            <w:r w:rsidRPr="00EB2BD8">
              <w:rPr>
                <w:rFonts w:ascii="Arial"/>
                <w:b/>
                <w:spacing w:val="-2"/>
                <w:w w:val="105"/>
                <w:sz w:val="16"/>
              </w:rPr>
              <w:t>1,952</w:t>
            </w:r>
          </w:p>
        </w:tc>
        <w:tc>
          <w:tcPr>
            <w:tcW w:w="1687" w:type="dxa"/>
            <w:tcBorders>
              <w:top w:val="single" w:sz="12" w:space="0" w:color="000000"/>
              <w:left w:val="nil"/>
              <w:bottom w:val="single" w:sz="12" w:space="0" w:color="000000"/>
              <w:right w:val="nil"/>
            </w:tcBorders>
            <w:shd w:val="clear" w:color="auto" w:fill="FFFFFF"/>
          </w:tcPr>
          <w:p w14:paraId="373637FE" w14:textId="77777777" w:rsidR="00084F36" w:rsidRPr="00EB2BD8" w:rsidRDefault="00EB2BD8">
            <w:pPr>
              <w:pStyle w:val="TableParagraph"/>
              <w:spacing w:before="53"/>
              <w:ind w:right="94"/>
              <w:jc w:val="right"/>
              <w:rPr>
                <w:rFonts w:ascii="Arial"/>
                <w:b/>
                <w:sz w:val="16"/>
              </w:rPr>
            </w:pPr>
            <w:r w:rsidRPr="00EB2BD8">
              <w:rPr>
                <w:rFonts w:ascii="Arial"/>
                <w:b/>
                <w:spacing w:val="-2"/>
                <w:w w:val="105"/>
                <w:sz w:val="16"/>
              </w:rPr>
              <w:t>1,622</w:t>
            </w:r>
          </w:p>
        </w:tc>
      </w:tr>
    </w:tbl>
    <w:p w14:paraId="72D1CE37" w14:textId="77777777" w:rsidR="00084F36" w:rsidRPr="00EB2BD8" w:rsidRDefault="00084F36">
      <w:pPr>
        <w:pStyle w:val="BodyText"/>
        <w:rPr>
          <w:rFonts w:ascii="Arial"/>
          <w:sz w:val="21"/>
        </w:rPr>
      </w:pPr>
    </w:p>
    <w:p w14:paraId="75E10BB7" w14:textId="77777777" w:rsidR="00084F36" w:rsidRPr="00EB2BD8" w:rsidRDefault="00EB2BD8">
      <w:pPr>
        <w:spacing w:line="290" w:lineRule="auto"/>
        <w:ind w:left="1020" w:right="1672"/>
        <w:rPr>
          <w:rFonts w:ascii="Arial"/>
          <w:sz w:val="16"/>
        </w:rPr>
      </w:pPr>
      <w:r w:rsidRPr="00EB2BD8">
        <w:rPr>
          <w:rFonts w:ascii="Arial"/>
          <w:w w:val="105"/>
          <w:sz w:val="16"/>
        </w:rPr>
        <w:t>Other provisions are recognised when the VBA has a present obligation, the future sacrifice of economic benefits is probable, and the amount of the provision can be measured reliably. The amount recognised as a provision is the best estimate</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consideration</w:t>
      </w:r>
      <w:r w:rsidRPr="00EB2BD8">
        <w:rPr>
          <w:rFonts w:ascii="Arial"/>
          <w:spacing w:val="-2"/>
          <w:w w:val="105"/>
          <w:sz w:val="16"/>
        </w:rPr>
        <w:t xml:space="preserve"> </w:t>
      </w:r>
      <w:r w:rsidRPr="00EB2BD8">
        <w:rPr>
          <w:rFonts w:ascii="Arial"/>
          <w:w w:val="105"/>
          <w:sz w:val="16"/>
        </w:rPr>
        <w:t>required</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settle</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present</w:t>
      </w:r>
      <w:r w:rsidRPr="00EB2BD8">
        <w:rPr>
          <w:rFonts w:ascii="Arial"/>
          <w:spacing w:val="-1"/>
          <w:w w:val="105"/>
          <w:sz w:val="16"/>
        </w:rPr>
        <w:t xml:space="preserve"> </w:t>
      </w:r>
      <w:r w:rsidRPr="00EB2BD8">
        <w:rPr>
          <w:rFonts w:ascii="Arial"/>
          <w:w w:val="105"/>
          <w:sz w:val="16"/>
        </w:rPr>
        <w:t>obligation</w:t>
      </w:r>
      <w:r w:rsidRPr="00EB2BD8">
        <w:rPr>
          <w:rFonts w:ascii="Arial"/>
          <w:spacing w:val="-3"/>
          <w:w w:val="105"/>
          <w:sz w:val="16"/>
        </w:rPr>
        <w:t xml:space="preserve"> </w:t>
      </w:r>
      <w:r w:rsidRPr="00EB2BD8">
        <w:rPr>
          <w:rFonts w:ascii="Arial"/>
          <w:w w:val="105"/>
          <w:sz w:val="16"/>
        </w:rPr>
        <w:t>at</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reporting</w:t>
      </w:r>
      <w:r w:rsidRPr="00EB2BD8">
        <w:rPr>
          <w:rFonts w:ascii="Arial"/>
          <w:spacing w:val="-3"/>
          <w:w w:val="105"/>
          <w:sz w:val="16"/>
        </w:rPr>
        <w:t xml:space="preserve"> </w:t>
      </w:r>
      <w:r w:rsidRPr="00EB2BD8">
        <w:rPr>
          <w:rFonts w:ascii="Arial"/>
          <w:w w:val="105"/>
          <w:sz w:val="16"/>
        </w:rPr>
        <w:t>date,</w:t>
      </w:r>
      <w:r w:rsidRPr="00EB2BD8">
        <w:rPr>
          <w:rFonts w:ascii="Arial"/>
          <w:spacing w:val="-3"/>
          <w:w w:val="105"/>
          <w:sz w:val="16"/>
        </w:rPr>
        <w:t xml:space="preserve"> </w:t>
      </w:r>
      <w:r w:rsidRPr="00EB2BD8">
        <w:rPr>
          <w:rFonts w:ascii="Arial"/>
          <w:w w:val="105"/>
          <w:sz w:val="16"/>
        </w:rPr>
        <w:t>taking</w:t>
      </w:r>
      <w:r w:rsidRPr="00EB2BD8">
        <w:rPr>
          <w:rFonts w:ascii="Arial"/>
          <w:spacing w:val="-3"/>
          <w:w w:val="105"/>
          <w:sz w:val="16"/>
        </w:rPr>
        <w:t xml:space="preserve"> </w:t>
      </w:r>
      <w:r w:rsidRPr="00EB2BD8">
        <w:rPr>
          <w:rFonts w:ascii="Arial"/>
          <w:w w:val="105"/>
          <w:sz w:val="16"/>
        </w:rPr>
        <w:t>into</w:t>
      </w:r>
      <w:r w:rsidRPr="00EB2BD8">
        <w:rPr>
          <w:rFonts w:ascii="Arial"/>
          <w:spacing w:val="-3"/>
          <w:w w:val="105"/>
          <w:sz w:val="16"/>
        </w:rPr>
        <w:t xml:space="preserve"> </w:t>
      </w:r>
      <w:r w:rsidRPr="00EB2BD8">
        <w:rPr>
          <w:rFonts w:ascii="Arial"/>
          <w:w w:val="105"/>
          <w:sz w:val="16"/>
        </w:rPr>
        <w:t>account</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risks</w:t>
      </w:r>
      <w:r w:rsidRPr="00EB2BD8">
        <w:rPr>
          <w:rFonts w:ascii="Arial"/>
          <w:spacing w:val="-3"/>
          <w:w w:val="105"/>
          <w:sz w:val="16"/>
        </w:rPr>
        <w:t xml:space="preserve"> </w:t>
      </w:r>
      <w:r w:rsidRPr="00EB2BD8">
        <w:rPr>
          <w:rFonts w:ascii="Arial"/>
          <w:w w:val="105"/>
          <w:sz w:val="16"/>
        </w:rPr>
        <w:t>and uncertainties surrounding the obligation.</w:t>
      </w:r>
    </w:p>
    <w:p w14:paraId="558B4F82" w14:textId="77777777" w:rsidR="00084F36" w:rsidRPr="00EB2BD8" w:rsidRDefault="00084F36">
      <w:pPr>
        <w:pStyle w:val="BodyText"/>
        <w:spacing w:before="2"/>
        <w:rPr>
          <w:rFonts w:ascii="Arial"/>
          <w:sz w:val="19"/>
        </w:rPr>
      </w:pPr>
    </w:p>
    <w:p w14:paraId="5C761AF2" w14:textId="77777777" w:rsidR="00084F36" w:rsidRPr="00EB2BD8" w:rsidRDefault="00EB2BD8">
      <w:pPr>
        <w:spacing w:line="290" w:lineRule="auto"/>
        <w:ind w:left="1020" w:right="1813"/>
        <w:rPr>
          <w:rFonts w:ascii="Arial"/>
          <w:sz w:val="16"/>
        </w:rPr>
      </w:pPr>
      <w:r w:rsidRPr="00EB2BD8">
        <w:rPr>
          <w:rFonts w:ascii="Arial"/>
          <w:w w:val="105"/>
          <w:sz w:val="16"/>
        </w:rPr>
        <w:t>Where</w:t>
      </w:r>
      <w:r w:rsidRPr="00EB2BD8">
        <w:rPr>
          <w:rFonts w:ascii="Arial"/>
          <w:spacing w:val="-3"/>
          <w:w w:val="105"/>
          <w:sz w:val="16"/>
        </w:rPr>
        <w:t xml:space="preserve"> </w:t>
      </w:r>
      <w:r w:rsidRPr="00EB2BD8">
        <w:rPr>
          <w:rFonts w:ascii="Arial"/>
          <w:w w:val="105"/>
          <w:sz w:val="16"/>
        </w:rPr>
        <w:t>a</w:t>
      </w:r>
      <w:r w:rsidRPr="00EB2BD8">
        <w:rPr>
          <w:rFonts w:ascii="Arial"/>
          <w:spacing w:val="-3"/>
          <w:w w:val="105"/>
          <w:sz w:val="16"/>
        </w:rPr>
        <w:t xml:space="preserve"> </w:t>
      </w:r>
      <w:r w:rsidRPr="00EB2BD8">
        <w:rPr>
          <w:rFonts w:ascii="Arial"/>
          <w:w w:val="105"/>
          <w:sz w:val="16"/>
        </w:rPr>
        <w:t>provision</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measured</w:t>
      </w:r>
      <w:r w:rsidRPr="00EB2BD8">
        <w:rPr>
          <w:rFonts w:ascii="Arial"/>
          <w:spacing w:val="-3"/>
          <w:w w:val="105"/>
          <w:sz w:val="16"/>
        </w:rPr>
        <w:t xml:space="preserve"> </w:t>
      </w:r>
      <w:r w:rsidRPr="00EB2BD8">
        <w:rPr>
          <w:rFonts w:ascii="Arial"/>
          <w:w w:val="105"/>
          <w:sz w:val="16"/>
        </w:rPr>
        <w:t>using</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cash</w:t>
      </w:r>
      <w:r w:rsidRPr="00EB2BD8">
        <w:rPr>
          <w:rFonts w:ascii="Arial"/>
          <w:spacing w:val="-3"/>
          <w:w w:val="105"/>
          <w:sz w:val="16"/>
        </w:rPr>
        <w:t xml:space="preserve"> </w:t>
      </w:r>
      <w:r w:rsidRPr="00EB2BD8">
        <w:rPr>
          <w:rFonts w:ascii="Arial"/>
          <w:w w:val="105"/>
          <w:sz w:val="16"/>
        </w:rPr>
        <w:t>flows</w:t>
      </w:r>
      <w:r w:rsidRPr="00EB2BD8">
        <w:rPr>
          <w:rFonts w:ascii="Arial"/>
          <w:spacing w:val="-3"/>
          <w:w w:val="105"/>
          <w:sz w:val="16"/>
        </w:rPr>
        <w:t xml:space="preserve"> </w:t>
      </w:r>
      <w:r w:rsidRPr="00EB2BD8">
        <w:rPr>
          <w:rFonts w:ascii="Arial"/>
          <w:w w:val="105"/>
          <w:sz w:val="16"/>
        </w:rPr>
        <w:t>estimated</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settle</w:t>
      </w:r>
      <w:r w:rsidRPr="00EB2BD8">
        <w:rPr>
          <w:rFonts w:ascii="Arial"/>
          <w:spacing w:val="-3"/>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present</w:t>
      </w:r>
      <w:r w:rsidRPr="00EB2BD8">
        <w:rPr>
          <w:rFonts w:ascii="Arial"/>
          <w:spacing w:val="-3"/>
          <w:w w:val="105"/>
          <w:sz w:val="16"/>
        </w:rPr>
        <w:t xml:space="preserve"> </w:t>
      </w:r>
      <w:r w:rsidRPr="00EB2BD8">
        <w:rPr>
          <w:rFonts w:ascii="Arial"/>
          <w:w w:val="105"/>
          <w:sz w:val="16"/>
        </w:rPr>
        <w:t>obligation,</w:t>
      </w:r>
      <w:r w:rsidRPr="00EB2BD8">
        <w:rPr>
          <w:rFonts w:ascii="Arial"/>
          <w:spacing w:val="-3"/>
          <w:w w:val="105"/>
          <w:sz w:val="16"/>
        </w:rPr>
        <w:t xml:space="preserve"> </w:t>
      </w:r>
      <w:r w:rsidRPr="00EB2BD8">
        <w:rPr>
          <w:rFonts w:ascii="Arial"/>
          <w:w w:val="105"/>
          <w:sz w:val="16"/>
        </w:rPr>
        <w:t>its</w:t>
      </w:r>
      <w:r w:rsidRPr="00EB2BD8">
        <w:rPr>
          <w:rFonts w:ascii="Arial"/>
          <w:spacing w:val="-3"/>
          <w:w w:val="105"/>
          <w:sz w:val="16"/>
        </w:rPr>
        <w:t xml:space="preserve"> </w:t>
      </w:r>
      <w:r w:rsidRPr="00EB2BD8">
        <w:rPr>
          <w:rFonts w:ascii="Arial"/>
          <w:w w:val="105"/>
          <w:sz w:val="16"/>
        </w:rPr>
        <w:t>carrying</w:t>
      </w:r>
      <w:r w:rsidRPr="00EB2BD8">
        <w:rPr>
          <w:rFonts w:ascii="Arial"/>
          <w:spacing w:val="-3"/>
          <w:w w:val="105"/>
          <w:sz w:val="16"/>
        </w:rPr>
        <w:t xml:space="preserve"> </w:t>
      </w:r>
      <w:r w:rsidRPr="00EB2BD8">
        <w:rPr>
          <w:rFonts w:ascii="Arial"/>
          <w:w w:val="105"/>
          <w:sz w:val="16"/>
        </w:rPr>
        <w:t>amount</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 xml:space="preserve">the present value of those cash flows, using a discount rate that reflects the time, value of money and risks specific to the </w:t>
      </w:r>
      <w:r w:rsidRPr="00EB2BD8">
        <w:rPr>
          <w:rFonts w:ascii="Arial"/>
          <w:spacing w:val="-2"/>
          <w:w w:val="105"/>
          <w:sz w:val="16"/>
        </w:rPr>
        <w:t>provision.</w:t>
      </w:r>
    </w:p>
    <w:p w14:paraId="39F4A542" w14:textId="77777777" w:rsidR="00084F36" w:rsidRPr="00EB2BD8" w:rsidRDefault="00084F36">
      <w:pPr>
        <w:pStyle w:val="BodyText"/>
        <w:rPr>
          <w:rFonts w:ascii="Arial"/>
        </w:rPr>
      </w:pPr>
    </w:p>
    <w:p w14:paraId="7974ABAA" w14:textId="77777777" w:rsidR="00084F36" w:rsidRPr="00EB2BD8" w:rsidRDefault="00EB2BD8" w:rsidP="00772B16">
      <w:pPr>
        <w:pStyle w:val="Heading2"/>
        <w:ind w:firstLine="170"/>
      </w:pPr>
      <w:bookmarkStart w:id="303" w:name="_Toc150762605"/>
      <w:r w:rsidRPr="00EB2BD8">
        <w:t>Reconciliation</w:t>
      </w:r>
      <w:r w:rsidRPr="00EB2BD8">
        <w:rPr>
          <w:spacing w:val="14"/>
        </w:rPr>
        <w:t xml:space="preserve"> </w:t>
      </w:r>
      <w:r w:rsidRPr="00EB2BD8">
        <w:t>of</w:t>
      </w:r>
      <w:r w:rsidRPr="00EB2BD8">
        <w:rPr>
          <w:spacing w:val="14"/>
        </w:rPr>
        <w:t xml:space="preserve"> </w:t>
      </w:r>
      <w:r w:rsidRPr="00EB2BD8">
        <w:t>movements</w:t>
      </w:r>
      <w:r w:rsidRPr="00EB2BD8">
        <w:rPr>
          <w:spacing w:val="14"/>
        </w:rPr>
        <w:t xml:space="preserve"> </w:t>
      </w:r>
      <w:r w:rsidRPr="00EB2BD8">
        <w:t>in</w:t>
      </w:r>
      <w:r w:rsidRPr="00EB2BD8">
        <w:rPr>
          <w:spacing w:val="14"/>
        </w:rPr>
        <w:t xml:space="preserve"> </w:t>
      </w:r>
      <w:r w:rsidRPr="00EB2BD8">
        <w:t>other</w:t>
      </w:r>
      <w:r w:rsidRPr="00EB2BD8">
        <w:rPr>
          <w:spacing w:val="14"/>
        </w:rPr>
        <w:t xml:space="preserve"> </w:t>
      </w:r>
      <w:r w:rsidRPr="00EB2BD8">
        <w:rPr>
          <w:spacing w:val="-2"/>
        </w:rPr>
        <w:t>provisions</w:t>
      </w:r>
      <w:bookmarkEnd w:id="303"/>
    </w:p>
    <w:p w14:paraId="0BEA9F08" w14:textId="77777777" w:rsidR="00084F36" w:rsidRPr="00EB2BD8" w:rsidRDefault="00084F36">
      <w:pPr>
        <w:pStyle w:val="BodyText"/>
        <w:rPr>
          <w:rFonts w:ascii="Arial"/>
          <w:b/>
        </w:rPr>
      </w:pPr>
    </w:p>
    <w:p w14:paraId="42E3BC90" w14:textId="77777777" w:rsidR="00084F36" w:rsidRPr="00EB2BD8" w:rsidRDefault="00EB2BD8">
      <w:pPr>
        <w:spacing w:after="47"/>
        <w:ind w:left="9522"/>
        <w:rPr>
          <w:rFonts w:ascii="Arial" w:hAnsi="Arial"/>
          <w:sz w:val="16"/>
        </w:rPr>
      </w:pPr>
      <w:r w:rsidRPr="00EB2BD8">
        <w:rPr>
          <w:rFonts w:ascii="Arial" w:hAnsi="Arial"/>
          <w:spacing w:val="-2"/>
          <w:w w:val="105"/>
          <w:sz w:val="16"/>
        </w:rPr>
        <w:t>($’000)</w:t>
      </w:r>
    </w:p>
    <w:tbl>
      <w:tblPr>
        <w:tblW w:w="0" w:type="auto"/>
        <w:tblInd w:w="1028" w:type="dxa"/>
        <w:tblLayout w:type="fixed"/>
        <w:tblCellMar>
          <w:left w:w="0" w:type="dxa"/>
          <w:right w:w="0" w:type="dxa"/>
        </w:tblCellMar>
        <w:tblLook w:val="01E0" w:firstRow="1" w:lastRow="1" w:firstColumn="1" w:lastColumn="1" w:noHBand="0" w:noVBand="0"/>
      </w:tblPr>
      <w:tblGrid>
        <w:gridCol w:w="4151"/>
        <w:gridCol w:w="2025"/>
        <w:gridCol w:w="1414"/>
        <w:gridCol w:w="1536"/>
      </w:tblGrid>
      <w:tr w:rsidR="00EB2BD8" w:rsidRPr="00EB2BD8" w14:paraId="5A5865DA" w14:textId="77777777">
        <w:trPr>
          <w:trHeight w:val="614"/>
        </w:trPr>
        <w:tc>
          <w:tcPr>
            <w:tcW w:w="6176" w:type="dxa"/>
            <w:gridSpan w:val="2"/>
            <w:tcBorders>
              <w:top w:val="single" w:sz="4" w:space="0" w:color="0098FF"/>
              <w:left w:val="single" w:sz="4" w:space="0" w:color="0098FF"/>
              <w:bottom w:val="single" w:sz="4" w:space="0" w:color="0098FF"/>
            </w:tcBorders>
            <w:shd w:val="clear" w:color="auto" w:fill="0070C0"/>
          </w:tcPr>
          <w:p w14:paraId="35C5C52B" w14:textId="77777777" w:rsidR="00084F36" w:rsidRPr="00EB2BD8" w:rsidRDefault="00084F36">
            <w:pPr>
              <w:pStyle w:val="TableParagraph"/>
              <w:spacing w:before="10"/>
              <w:rPr>
                <w:rFonts w:ascii="Arial"/>
                <w:sz w:val="18"/>
              </w:rPr>
            </w:pPr>
          </w:p>
          <w:p w14:paraId="7F29C8D3" w14:textId="77777777" w:rsidR="00084F36" w:rsidRPr="00EB2BD8" w:rsidRDefault="00EB2BD8">
            <w:pPr>
              <w:pStyle w:val="TableParagraph"/>
              <w:ind w:right="96"/>
              <w:jc w:val="right"/>
              <w:rPr>
                <w:rFonts w:ascii="Arial"/>
                <w:b/>
                <w:sz w:val="16"/>
              </w:rPr>
            </w:pPr>
            <w:r w:rsidRPr="00EB2BD8">
              <w:rPr>
                <w:rFonts w:ascii="Arial"/>
                <w:b/>
                <w:sz w:val="16"/>
              </w:rPr>
              <w:t>Make-</w:t>
            </w:r>
            <w:r w:rsidRPr="00EB2BD8">
              <w:rPr>
                <w:rFonts w:ascii="Arial"/>
                <w:b/>
                <w:spacing w:val="-4"/>
                <w:sz w:val="16"/>
              </w:rPr>
              <w:t>good</w:t>
            </w:r>
          </w:p>
        </w:tc>
        <w:tc>
          <w:tcPr>
            <w:tcW w:w="1414" w:type="dxa"/>
            <w:tcBorders>
              <w:top w:val="single" w:sz="4" w:space="0" w:color="0098FF"/>
              <w:bottom w:val="single" w:sz="4" w:space="0" w:color="0098FF"/>
            </w:tcBorders>
            <w:shd w:val="clear" w:color="auto" w:fill="0070C0"/>
          </w:tcPr>
          <w:p w14:paraId="010A4E6D" w14:textId="77777777" w:rsidR="00084F36" w:rsidRPr="00EB2BD8" w:rsidRDefault="00EB2BD8">
            <w:pPr>
              <w:pStyle w:val="TableParagraph"/>
              <w:spacing w:before="120" w:line="252" w:lineRule="auto"/>
              <w:ind w:left="561" w:right="92" w:firstLine="64"/>
              <w:rPr>
                <w:rFonts w:ascii="Arial"/>
                <w:b/>
                <w:sz w:val="16"/>
              </w:rPr>
            </w:pPr>
            <w:r w:rsidRPr="00EB2BD8">
              <w:rPr>
                <w:rFonts w:ascii="Arial"/>
                <w:b/>
                <w:spacing w:val="-2"/>
                <w:w w:val="105"/>
                <w:sz w:val="16"/>
              </w:rPr>
              <w:t>Onerous contracts</w:t>
            </w:r>
          </w:p>
        </w:tc>
        <w:tc>
          <w:tcPr>
            <w:tcW w:w="1536" w:type="dxa"/>
            <w:tcBorders>
              <w:top w:val="single" w:sz="4" w:space="0" w:color="0098FF"/>
              <w:bottom w:val="single" w:sz="4" w:space="0" w:color="0098FF"/>
              <w:right w:val="single" w:sz="4" w:space="0" w:color="0098FF"/>
            </w:tcBorders>
            <w:shd w:val="clear" w:color="auto" w:fill="0070C0"/>
          </w:tcPr>
          <w:p w14:paraId="036F642C" w14:textId="77777777" w:rsidR="00084F36" w:rsidRPr="00EB2BD8" w:rsidRDefault="00084F36">
            <w:pPr>
              <w:pStyle w:val="TableParagraph"/>
              <w:spacing w:before="10"/>
              <w:rPr>
                <w:rFonts w:ascii="Arial"/>
                <w:sz w:val="18"/>
              </w:rPr>
            </w:pPr>
          </w:p>
          <w:p w14:paraId="6362A4C8" w14:textId="77777777" w:rsidR="00084F36" w:rsidRPr="00EB2BD8" w:rsidRDefault="00EB2BD8">
            <w:pPr>
              <w:pStyle w:val="TableParagraph"/>
              <w:ind w:right="89"/>
              <w:jc w:val="right"/>
              <w:rPr>
                <w:rFonts w:ascii="Arial"/>
                <w:b/>
                <w:sz w:val="16"/>
              </w:rPr>
            </w:pPr>
            <w:r w:rsidRPr="00EB2BD8">
              <w:rPr>
                <w:rFonts w:ascii="Arial"/>
                <w:b/>
                <w:spacing w:val="-2"/>
                <w:w w:val="105"/>
                <w:sz w:val="16"/>
              </w:rPr>
              <w:t>Total</w:t>
            </w:r>
          </w:p>
        </w:tc>
      </w:tr>
      <w:tr w:rsidR="00EB2BD8" w:rsidRPr="00EB2BD8" w14:paraId="0BF0C313" w14:textId="77777777">
        <w:trPr>
          <w:trHeight w:val="312"/>
        </w:trPr>
        <w:tc>
          <w:tcPr>
            <w:tcW w:w="4151" w:type="dxa"/>
            <w:tcBorders>
              <w:top w:val="single" w:sz="4" w:space="0" w:color="0098FF"/>
            </w:tcBorders>
            <w:shd w:val="clear" w:color="auto" w:fill="FFFFFF"/>
          </w:tcPr>
          <w:p w14:paraId="0C484AF1" w14:textId="77777777" w:rsidR="00084F36" w:rsidRPr="00EB2BD8" w:rsidRDefault="00EB2BD8">
            <w:pPr>
              <w:pStyle w:val="TableParagraph"/>
              <w:spacing w:before="64"/>
              <w:ind w:left="105"/>
              <w:rPr>
                <w:rFonts w:ascii="Arial"/>
                <w:b/>
                <w:sz w:val="16"/>
              </w:rPr>
            </w:pPr>
            <w:r w:rsidRPr="00EB2BD8">
              <w:rPr>
                <w:rFonts w:ascii="Arial"/>
                <w:b/>
                <w:spacing w:val="-4"/>
                <w:w w:val="105"/>
                <w:sz w:val="16"/>
              </w:rPr>
              <w:t>2023</w:t>
            </w:r>
          </w:p>
        </w:tc>
        <w:tc>
          <w:tcPr>
            <w:tcW w:w="2025" w:type="dxa"/>
            <w:tcBorders>
              <w:top w:val="single" w:sz="4" w:space="0" w:color="0098FF"/>
            </w:tcBorders>
            <w:shd w:val="clear" w:color="auto" w:fill="FFFFFF"/>
          </w:tcPr>
          <w:p w14:paraId="4C6FC4DC" w14:textId="77777777" w:rsidR="00084F36" w:rsidRPr="00EB2BD8" w:rsidRDefault="00084F36">
            <w:pPr>
              <w:pStyle w:val="TableParagraph"/>
              <w:rPr>
                <w:rFonts w:ascii="Times New Roman"/>
                <w:sz w:val="16"/>
              </w:rPr>
            </w:pPr>
          </w:p>
        </w:tc>
        <w:tc>
          <w:tcPr>
            <w:tcW w:w="1414" w:type="dxa"/>
            <w:tcBorders>
              <w:top w:val="single" w:sz="4" w:space="0" w:color="0098FF"/>
            </w:tcBorders>
            <w:shd w:val="clear" w:color="auto" w:fill="DEEAF6"/>
          </w:tcPr>
          <w:p w14:paraId="76E0066F" w14:textId="77777777" w:rsidR="00084F36" w:rsidRPr="00EB2BD8" w:rsidRDefault="00084F36">
            <w:pPr>
              <w:pStyle w:val="TableParagraph"/>
              <w:rPr>
                <w:rFonts w:ascii="Times New Roman"/>
                <w:sz w:val="16"/>
              </w:rPr>
            </w:pPr>
          </w:p>
        </w:tc>
        <w:tc>
          <w:tcPr>
            <w:tcW w:w="1536" w:type="dxa"/>
            <w:tcBorders>
              <w:top w:val="single" w:sz="4" w:space="0" w:color="0098FF"/>
            </w:tcBorders>
            <w:shd w:val="clear" w:color="auto" w:fill="FFFFFF"/>
          </w:tcPr>
          <w:p w14:paraId="0B63BA5A" w14:textId="77777777" w:rsidR="00084F36" w:rsidRPr="00EB2BD8" w:rsidRDefault="00084F36">
            <w:pPr>
              <w:pStyle w:val="TableParagraph"/>
              <w:rPr>
                <w:rFonts w:ascii="Times New Roman"/>
                <w:sz w:val="16"/>
              </w:rPr>
            </w:pPr>
          </w:p>
        </w:tc>
      </w:tr>
      <w:tr w:rsidR="00EB2BD8" w:rsidRPr="00EB2BD8" w14:paraId="448B2AB1" w14:textId="77777777">
        <w:trPr>
          <w:trHeight w:val="314"/>
        </w:trPr>
        <w:tc>
          <w:tcPr>
            <w:tcW w:w="4151" w:type="dxa"/>
            <w:shd w:val="clear" w:color="auto" w:fill="FFFFFF"/>
          </w:tcPr>
          <w:p w14:paraId="2E78621B" w14:textId="77777777" w:rsidR="00084F36" w:rsidRPr="00EB2BD8" w:rsidRDefault="00EB2BD8">
            <w:pPr>
              <w:pStyle w:val="TableParagraph"/>
              <w:spacing w:before="64"/>
              <w:ind w:left="105"/>
              <w:rPr>
                <w:rFonts w:ascii="Arial"/>
                <w:b/>
                <w:sz w:val="16"/>
              </w:rPr>
            </w:pPr>
            <w:r w:rsidRPr="00EB2BD8">
              <w:rPr>
                <w:rFonts w:ascii="Arial"/>
                <w:b/>
                <w:w w:val="105"/>
                <w:sz w:val="16"/>
              </w:rPr>
              <w:t>Opening</w:t>
            </w:r>
            <w:r w:rsidRPr="00EB2BD8">
              <w:rPr>
                <w:rFonts w:ascii="Arial"/>
                <w:b/>
                <w:spacing w:val="-9"/>
                <w:w w:val="105"/>
                <w:sz w:val="16"/>
              </w:rPr>
              <w:t xml:space="preserve"> </w:t>
            </w:r>
            <w:r w:rsidRPr="00EB2BD8">
              <w:rPr>
                <w:rFonts w:ascii="Arial"/>
                <w:b/>
                <w:spacing w:val="-2"/>
                <w:w w:val="105"/>
                <w:sz w:val="16"/>
              </w:rPr>
              <w:t>Balance</w:t>
            </w:r>
          </w:p>
        </w:tc>
        <w:tc>
          <w:tcPr>
            <w:tcW w:w="2025" w:type="dxa"/>
            <w:shd w:val="clear" w:color="auto" w:fill="FFFFFF"/>
          </w:tcPr>
          <w:p w14:paraId="5B58741B" w14:textId="77777777" w:rsidR="00084F36" w:rsidRPr="00EB2BD8" w:rsidRDefault="00EB2BD8">
            <w:pPr>
              <w:pStyle w:val="TableParagraph"/>
              <w:spacing w:before="64"/>
              <w:ind w:right="97"/>
              <w:jc w:val="right"/>
              <w:rPr>
                <w:rFonts w:ascii="Arial"/>
                <w:b/>
                <w:sz w:val="16"/>
              </w:rPr>
            </w:pPr>
            <w:r w:rsidRPr="00EB2BD8">
              <w:rPr>
                <w:rFonts w:ascii="Arial"/>
                <w:b/>
                <w:spacing w:val="-5"/>
                <w:w w:val="105"/>
                <w:sz w:val="16"/>
              </w:rPr>
              <w:t>686</w:t>
            </w:r>
          </w:p>
        </w:tc>
        <w:tc>
          <w:tcPr>
            <w:tcW w:w="1414" w:type="dxa"/>
            <w:shd w:val="clear" w:color="auto" w:fill="DEEAF6"/>
          </w:tcPr>
          <w:p w14:paraId="6B6B28E4" w14:textId="77777777" w:rsidR="00084F36" w:rsidRPr="00EB2BD8" w:rsidRDefault="00EB2BD8">
            <w:pPr>
              <w:pStyle w:val="TableParagraph"/>
              <w:spacing w:before="64"/>
              <w:ind w:right="95"/>
              <w:jc w:val="right"/>
              <w:rPr>
                <w:rFonts w:ascii="Arial"/>
                <w:b/>
                <w:sz w:val="16"/>
              </w:rPr>
            </w:pPr>
            <w:r w:rsidRPr="00EB2BD8">
              <w:rPr>
                <w:rFonts w:ascii="Arial"/>
                <w:b/>
                <w:spacing w:val="-5"/>
                <w:w w:val="105"/>
                <w:sz w:val="16"/>
              </w:rPr>
              <w:t>936</w:t>
            </w:r>
          </w:p>
        </w:tc>
        <w:tc>
          <w:tcPr>
            <w:tcW w:w="1536" w:type="dxa"/>
            <w:shd w:val="clear" w:color="auto" w:fill="FFFFFF"/>
          </w:tcPr>
          <w:p w14:paraId="090CA10D" w14:textId="77777777" w:rsidR="00084F36" w:rsidRPr="00EB2BD8" w:rsidRDefault="00EB2BD8">
            <w:pPr>
              <w:pStyle w:val="TableParagraph"/>
              <w:spacing w:before="64"/>
              <w:ind w:right="95"/>
              <w:jc w:val="right"/>
              <w:rPr>
                <w:rFonts w:ascii="Arial"/>
                <w:b/>
                <w:sz w:val="16"/>
              </w:rPr>
            </w:pPr>
            <w:r w:rsidRPr="00EB2BD8">
              <w:rPr>
                <w:rFonts w:ascii="Arial"/>
                <w:b/>
                <w:spacing w:val="-2"/>
                <w:w w:val="105"/>
                <w:sz w:val="16"/>
              </w:rPr>
              <w:t>1,622</w:t>
            </w:r>
          </w:p>
        </w:tc>
      </w:tr>
      <w:tr w:rsidR="00EB2BD8" w:rsidRPr="00EB2BD8" w14:paraId="27A121DE" w14:textId="77777777">
        <w:trPr>
          <w:trHeight w:val="314"/>
        </w:trPr>
        <w:tc>
          <w:tcPr>
            <w:tcW w:w="4151" w:type="dxa"/>
            <w:tcBorders>
              <w:bottom w:val="single" w:sz="12" w:space="0" w:color="000000"/>
            </w:tcBorders>
            <w:shd w:val="clear" w:color="auto" w:fill="FFFFFF"/>
          </w:tcPr>
          <w:p w14:paraId="29F1A045" w14:textId="77777777" w:rsidR="00084F36" w:rsidRPr="00EB2BD8" w:rsidRDefault="00EB2BD8">
            <w:pPr>
              <w:pStyle w:val="TableParagraph"/>
              <w:spacing w:before="66"/>
              <w:ind w:left="105"/>
              <w:rPr>
                <w:rFonts w:ascii="Arial"/>
                <w:sz w:val="16"/>
              </w:rPr>
            </w:pPr>
            <w:r w:rsidRPr="00EB2BD8">
              <w:rPr>
                <w:rFonts w:ascii="Arial"/>
                <w:spacing w:val="-2"/>
                <w:w w:val="105"/>
                <w:sz w:val="16"/>
              </w:rPr>
              <w:t>Additional</w:t>
            </w:r>
            <w:r w:rsidRPr="00EB2BD8">
              <w:rPr>
                <w:rFonts w:ascii="Arial"/>
                <w:spacing w:val="7"/>
                <w:w w:val="105"/>
                <w:sz w:val="16"/>
              </w:rPr>
              <w:t xml:space="preserve"> </w:t>
            </w:r>
            <w:r w:rsidRPr="00EB2BD8">
              <w:rPr>
                <w:rFonts w:ascii="Arial"/>
                <w:spacing w:val="-2"/>
                <w:w w:val="105"/>
                <w:sz w:val="16"/>
              </w:rPr>
              <w:t>provisions</w:t>
            </w:r>
            <w:r w:rsidRPr="00EB2BD8">
              <w:rPr>
                <w:rFonts w:ascii="Arial"/>
                <w:spacing w:val="7"/>
                <w:w w:val="105"/>
                <w:sz w:val="16"/>
              </w:rPr>
              <w:t xml:space="preserve"> </w:t>
            </w:r>
            <w:r w:rsidRPr="00EB2BD8">
              <w:rPr>
                <w:rFonts w:ascii="Arial"/>
                <w:spacing w:val="-2"/>
                <w:w w:val="105"/>
                <w:sz w:val="16"/>
              </w:rPr>
              <w:t>recognised</w:t>
            </w:r>
          </w:p>
        </w:tc>
        <w:tc>
          <w:tcPr>
            <w:tcW w:w="2025" w:type="dxa"/>
            <w:tcBorders>
              <w:bottom w:val="single" w:sz="12" w:space="0" w:color="000000"/>
            </w:tcBorders>
            <w:shd w:val="clear" w:color="auto" w:fill="FFFFFF"/>
          </w:tcPr>
          <w:p w14:paraId="359E33FC" w14:textId="77777777" w:rsidR="00084F36" w:rsidRPr="00EB2BD8" w:rsidRDefault="00EB2BD8">
            <w:pPr>
              <w:pStyle w:val="TableParagraph"/>
              <w:spacing w:before="66"/>
              <w:ind w:right="97"/>
              <w:jc w:val="right"/>
              <w:rPr>
                <w:rFonts w:ascii="Arial"/>
                <w:sz w:val="16"/>
              </w:rPr>
            </w:pPr>
            <w:r w:rsidRPr="00EB2BD8">
              <w:rPr>
                <w:rFonts w:ascii="Arial"/>
                <w:spacing w:val="-5"/>
                <w:w w:val="105"/>
                <w:sz w:val="16"/>
              </w:rPr>
              <w:t>28</w:t>
            </w:r>
          </w:p>
        </w:tc>
        <w:tc>
          <w:tcPr>
            <w:tcW w:w="1414" w:type="dxa"/>
            <w:tcBorders>
              <w:bottom w:val="single" w:sz="12" w:space="0" w:color="000000"/>
            </w:tcBorders>
            <w:shd w:val="clear" w:color="auto" w:fill="DEEAF6"/>
          </w:tcPr>
          <w:p w14:paraId="113D17E0" w14:textId="77777777" w:rsidR="00084F36" w:rsidRPr="00EB2BD8" w:rsidRDefault="00EB2BD8">
            <w:pPr>
              <w:pStyle w:val="TableParagraph"/>
              <w:spacing w:before="66"/>
              <w:ind w:right="95"/>
              <w:jc w:val="right"/>
              <w:rPr>
                <w:rFonts w:ascii="Arial"/>
                <w:sz w:val="16"/>
              </w:rPr>
            </w:pPr>
            <w:r w:rsidRPr="00EB2BD8">
              <w:rPr>
                <w:rFonts w:ascii="Arial"/>
                <w:spacing w:val="-5"/>
                <w:w w:val="105"/>
                <w:sz w:val="16"/>
              </w:rPr>
              <w:t>302</w:t>
            </w:r>
          </w:p>
        </w:tc>
        <w:tc>
          <w:tcPr>
            <w:tcW w:w="1536" w:type="dxa"/>
            <w:tcBorders>
              <w:bottom w:val="single" w:sz="12" w:space="0" w:color="000000"/>
            </w:tcBorders>
            <w:shd w:val="clear" w:color="auto" w:fill="FFFFFF"/>
          </w:tcPr>
          <w:p w14:paraId="6FC9B13B" w14:textId="77777777" w:rsidR="00084F36" w:rsidRPr="00EB2BD8" w:rsidRDefault="00EB2BD8">
            <w:pPr>
              <w:pStyle w:val="TableParagraph"/>
              <w:spacing w:before="66"/>
              <w:ind w:right="95"/>
              <w:jc w:val="right"/>
              <w:rPr>
                <w:rFonts w:ascii="Arial"/>
                <w:sz w:val="16"/>
              </w:rPr>
            </w:pPr>
            <w:r w:rsidRPr="00EB2BD8">
              <w:rPr>
                <w:rFonts w:ascii="Arial"/>
                <w:spacing w:val="-5"/>
                <w:w w:val="105"/>
                <w:sz w:val="16"/>
              </w:rPr>
              <w:t>330</w:t>
            </w:r>
          </w:p>
        </w:tc>
      </w:tr>
      <w:tr w:rsidR="00EB2BD8" w:rsidRPr="00EB2BD8" w14:paraId="21464AC3" w14:textId="77777777">
        <w:trPr>
          <w:trHeight w:val="286"/>
        </w:trPr>
        <w:tc>
          <w:tcPr>
            <w:tcW w:w="4151" w:type="dxa"/>
            <w:tcBorders>
              <w:top w:val="single" w:sz="12" w:space="0" w:color="000000"/>
              <w:bottom w:val="single" w:sz="12" w:space="0" w:color="000000"/>
            </w:tcBorders>
            <w:shd w:val="clear" w:color="auto" w:fill="FFFFFF"/>
          </w:tcPr>
          <w:p w14:paraId="6B9CF7D2" w14:textId="77777777" w:rsidR="00084F36" w:rsidRPr="00EB2BD8" w:rsidRDefault="00EB2BD8">
            <w:pPr>
              <w:pStyle w:val="TableParagraph"/>
              <w:spacing w:before="53"/>
              <w:ind w:left="105"/>
              <w:rPr>
                <w:rFonts w:ascii="Arial"/>
                <w:b/>
                <w:sz w:val="16"/>
              </w:rPr>
            </w:pPr>
            <w:r w:rsidRPr="00EB2BD8">
              <w:rPr>
                <w:rFonts w:ascii="Arial"/>
                <w:b/>
                <w:w w:val="105"/>
                <w:sz w:val="16"/>
              </w:rPr>
              <w:t>Closing</w:t>
            </w:r>
            <w:r w:rsidRPr="00EB2BD8">
              <w:rPr>
                <w:rFonts w:ascii="Arial"/>
                <w:b/>
                <w:spacing w:val="-10"/>
                <w:w w:val="105"/>
                <w:sz w:val="16"/>
              </w:rPr>
              <w:t xml:space="preserve"> </w:t>
            </w:r>
            <w:r w:rsidRPr="00EB2BD8">
              <w:rPr>
                <w:rFonts w:ascii="Arial"/>
                <w:b/>
                <w:spacing w:val="-2"/>
                <w:w w:val="105"/>
                <w:sz w:val="16"/>
              </w:rPr>
              <w:t>balance</w:t>
            </w:r>
          </w:p>
        </w:tc>
        <w:tc>
          <w:tcPr>
            <w:tcW w:w="2025" w:type="dxa"/>
            <w:tcBorders>
              <w:top w:val="single" w:sz="12" w:space="0" w:color="000000"/>
              <w:bottom w:val="single" w:sz="12" w:space="0" w:color="000000"/>
            </w:tcBorders>
            <w:shd w:val="clear" w:color="auto" w:fill="FFFFFF"/>
          </w:tcPr>
          <w:p w14:paraId="7FDC19A3" w14:textId="77777777" w:rsidR="00084F36" w:rsidRPr="00EB2BD8" w:rsidRDefault="00EB2BD8">
            <w:pPr>
              <w:pStyle w:val="TableParagraph"/>
              <w:spacing w:before="53"/>
              <w:ind w:right="97"/>
              <w:jc w:val="right"/>
              <w:rPr>
                <w:rFonts w:ascii="Arial"/>
                <w:b/>
                <w:sz w:val="16"/>
              </w:rPr>
            </w:pPr>
            <w:r w:rsidRPr="00EB2BD8">
              <w:rPr>
                <w:rFonts w:ascii="Arial"/>
                <w:b/>
                <w:spacing w:val="-5"/>
                <w:w w:val="105"/>
                <w:sz w:val="16"/>
              </w:rPr>
              <w:t>714</w:t>
            </w:r>
          </w:p>
        </w:tc>
        <w:tc>
          <w:tcPr>
            <w:tcW w:w="1414" w:type="dxa"/>
            <w:tcBorders>
              <w:top w:val="single" w:sz="12" w:space="0" w:color="000000"/>
              <w:bottom w:val="single" w:sz="12" w:space="0" w:color="000000"/>
            </w:tcBorders>
            <w:shd w:val="clear" w:color="auto" w:fill="DEEAF6"/>
          </w:tcPr>
          <w:p w14:paraId="39D08737" w14:textId="77777777" w:rsidR="00084F36" w:rsidRPr="00EB2BD8" w:rsidRDefault="00EB2BD8">
            <w:pPr>
              <w:pStyle w:val="TableParagraph"/>
              <w:spacing w:before="53"/>
              <w:ind w:right="95"/>
              <w:jc w:val="right"/>
              <w:rPr>
                <w:rFonts w:ascii="Arial"/>
                <w:b/>
                <w:sz w:val="16"/>
              </w:rPr>
            </w:pPr>
            <w:r w:rsidRPr="00EB2BD8">
              <w:rPr>
                <w:rFonts w:ascii="Arial"/>
                <w:b/>
                <w:spacing w:val="-2"/>
                <w:w w:val="105"/>
                <w:sz w:val="16"/>
              </w:rPr>
              <w:t>1,238</w:t>
            </w:r>
          </w:p>
        </w:tc>
        <w:tc>
          <w:tcPr>
            <w:tcW w:w="1536" w:type="dxa"/>
            <w:tcBorders>
              <w:top w:val="single" w:sz="12" w:space="0" w:color="000000"/>
              <w:bottom w:val="single" w:sz="12" w:space="0" w:color="000000"/>
            </w:tcBorders>
            <w:shd w:val="clear" w:color="auto" w:fill="FFFFFF"/>
          </w:tcPr>
          <w:p w14:paraId="0FE00C58" w14:textId="77777777" w:rsidR="00084F36" w:rsidRPr="00EB2BD8" w:rsidRDefault="00EB2BD8">
            <w:pPr>
              <w:pStyle w:val="TableParagraph"/>
              <w:spacing w:before="53"/>
              <w:ind w:right="95"/>
              <w:jc w:val="right"/>
              <w:rPr>
                <w:rFonts w:ascii="Arial"/>
                <w:b/>
                <w:sz w:val="16"/>
              </w:rPr>
            </w:pPr>
            <w:r w:rsidRPr="00EB2BD8">
              <w:rPr>
                <w:rFonts w:ascii="Arial"/>
                <w:b/>
                <w:spacing w:val="-2"/>
                <w:w w:val="105"/>
                <w:sz w:val="16"/>
              </w:rPr>
              <w:t>1,952</w:t>
            </w:r>
          </w:p>
        </w:tc>
      </w:tr>
    </w:tbl>
    <w:p w14:paraId="20AED68F" w14:textId="77777777" w:rsidR="00084F36" w:rsidRPr="00EB2BD8" w:rsidRDefault="00084F36">
      <w:pPr>
        <w:pStyle w:val="BodyText"/>
        <w:rPr>
          <w:rFonts w:ascii="Arial"/>
        </w:rPr>
      </w:pPr>
    </w:p>
    <w:p w14:paraId="6E69FCDF" w14:textId="77777777" w:rsidR="00084F36" w:rsidRPr="00EB2BD8" w:rsidRDefault="00EB2BD8">
      <w:pPr>
        <w:spacing w:line="290" w:lineRule="auto"/>
        <w:ind w:left="1020" w:right="1813"/>
        <w:rPr>
          <w:rFonts w:ascii="Arial"/>
          <w:sz w:val="16"/>
        </w:rPr>
      </w:pPr>
      <w:r w:rsidRPr="00EB2BD8">
        <w:rPr>
          <w:rFonts w:ascii="Arial"/>
          <w:w w:val="105"/>
          <w:sz w:val="16"/>
        </w:rPr>
        <w:t>When some or all the economic benefits required to settle a provision are expected to be received from a third party, the receivable</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recognised</w:t>
      </w:r>
      <w:r w:rsidRPr="00EB2BD8">
        <w:rPr>
          <w:rFonts w:ascii="Arial"/>
          <w:spacing w:val="-2"/>
          <w:w w:val="105"/>
          <w:sz w:val="16"/>
        </w:rPr>
        <w:t xml:space="preserve"> </w:t>
      </w:r>
      <w:r w:rsidRPr="00EB2BD8">
        <w:rPr>
          <w:rFonts w:ascii="Arial"/>
          <w:w w:val="105"/>
          <w:sz w:val="16"/>
        </w:rPr>
        <w:t>as</w:t>
      </w:r>
      <w:r w:rsidRPr="00EB2BD8">
        <w:rPr>
          <w:rFonts w:ascii="Arial"/>
          <w:spacing w:val="-3"/>
          <w:w w:val="105"/>
          <w:sz w:val="16"/>
        </w:rPr>
        <w:t xml:space="preserve"> </w:t>
      </w:r>
      <w:r w:rsidRPr="00EB2BD8">
        <w:rPr>
          <w:rFonts w:ascii="Arial"/>
          <w:w w:val="105"/>
          <w:sz w:val="16"/>
        </w:rPr>
        <w:t>an</w:t>
      </w:r>
      <w:r w:rsidRPr="00EB2BD8">
        <w:rPr>
          <w:rFonts w:ascii="Arial"/>
          <w:spacing w:val="-2"/>
          <w:w w:val="105"/>
          <w:sz w:val="16"/>
        </w:rPr>
        <w:t xml:space="preserve"> </w:t>
      </w:r>
      <w:r w:rsidRPr="00EB2BD8">
        <w:rPr>
          <w:rFonts w:ascii="Arial"/>
          <w:w w:val="105"/>
          <w:sz w:val="16"/>
        </w:rPr>
        <w:t>asset</w:t>
      </w:r>
      <w:r w:rsidRPr="00EB2BD8">
        <w:rPr>
          <w:rFonts w:ascii="Arial"/>
          <w:spacing w:val="-3"/>
          <w:w w:val="105"/>
          <w:sz w:val="16"/>
        </w:rPr>
        <w:t xml:space="preserve"> </w:t>
      </w:r>
      <w:r w:rsidRPr="00EB2BD8">
        <w:rPr>
          <w:rFonts w:ascii="Arial"/>
          <w:w w:val="105"/>
          <w:sz w:val="16"/>
        </w:rPr>
        <w:t>if</w:t>
      </w:r>
      <w:r w:rsidRPr="00EB2BD8">
        <w:rPr>
          <w:rFonts w:ascii="Arial"/>
          <w:spacing w:val="-3"/>
          <w:w w:val="105"/>
          <w:sz w:val="16"/>
        </w:rPr>
        <w:t xml:space="preserve"> </w:t>
      </w:r>
      <w:r w:rsidRPr="00EB2BD8">
        <w:rPr>
          <w:rFonts w:ascii="Arial"/>
          <w:w w:val="105"/>
          <w:sz w:val="16"/>
        </w:rPr>
        <w:t>it</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virtually</w:t>
      </w:r>
      <w:r w:rsidRPr="00EB2BD8">
        <w:rPr>
          <w:rFonts w:ascii="Arial"/>
          <w:spacing w:val="-3"/>
          <w:w w:val="105"/>
          <w:sz w:val="16"/>
        </w:rPr>
        <w:t xml:space="preserve"> </w:t>
      </w:r>
      <w:r w:rsidRPr="00EB2BD8">
        <w:rPr>
          <w:rFonts w:ascii="Arial"/>
          <w:w w:val="105"/>
          <w:sz w:val="16"/>
        </w:rPr>
        <w:t>certain</w:t>
      </w:r>
      <w:r w:rsidRPr="00EB2BD8">
        <w:rPr>
          <w:rFonts w:ascii="Arial"/>
          <w:spacing w:val="-3"/>
          <w:w w:val="105"/>
          <w:sz w:val="16"/>
        </w:rPr>
        <w:t xml:space="preserve"> </w:t>
      </w:r>
      <w:r w:rsidRPr="00EB2BD8">
        <w:rPr>
          <w:rFonts w:ascii="Arial"/>
          <w:w w:val="105"/>
          <w:sz w:val="16"/>
        </w:rPr>
        <w:t>that</w:t>
      </w:r>
      <w:r w:rsidRPr="00EB2BD8">
        <w:rPr>
          <w:rFonts w:ascii="Arial"/>
          <w:spacing w:val="-3"/>
          <w:w w:val="105"/>
          <w:sz w:val="16"/>
        </w:rPr>
        <w:t xml:space="preserve"> </w:t>
      </w:r>
      <w:r w:rsidRPr="00EB2BD8">
        <w:rPr>
          <w:rFonts w:ascii="Arial"/>
          <w:w w:val="105"/>
          <w:sz w:val="16"/>
        </w:rPr>
        <w:t>recovery</w:t>
      </w:r>
      <w:r w:rsidRPr="00EB2BD8">
        <w:rPr>
          <w:rFonts w:ascii="Arial"/>
          <w:spacing w:val="-3"/>
          <w:w w:val="105"/>
          <w:sz w:val="16"/>
        </w:rPr>
        <w:t xml:space="preserve"> </w:t>
      </w:r>
      <w:r w:rsidRPr="00EB2BD8">
        <w:rPr>
          <w:rFonts w:ascii="Arial"/>
          <w:w w:val="105"/>
          <w:sz w:val="16"/>
        </w:rPr>
        <w:t>will</w:t>
      </w:r>
      <w:r w:rsidRPr="00EB2BD8">
        <w:rPr>
          <w:rFonts w:ascii="Arial"/>
          <w:spacing w:val="-2"/>
          <w:w w:val="105"/>
          <w:sz w:val="16"/>
        </w:rPr>
        <w:t xml:space="preserve"> </w:t>
      </w:r>
      <w:r w:rsidRPr="00EB2BD8">
        <w:rPr>
          <w:rFonts w:ascii="Arial"/>
          <w:w w:val="105"/>
          <w:sz w:val="16"/>
        </w:rPr>
        <w:t>be</w:t>
      </w:r>
      <w:r w:rsidRPr="00EB2BD8">
        <w:rPr>
          <w:rFonts w:ascii="Arial"/>
          <w:spacing w:val="-3"/>
          <w:w w:val="105"/>
          <w:sz w:val="16"/>
        </w:rPr>
        <w:t xml:space="preserve"> </w:t>
      </w:r>
      <w:r w:rsidRPr="00EB2BD8">
        <w:rPr>
          <w:rFonts w:ascii="Arial"/>
          <w:w w:val="105"/>
          <w:sz w:val="16"/>
        </w:rPr>
        <w:t>received,</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amount</w:t>
      </w:r>
      <w:r w:rsidRPr="00EB2BD8">
        <w:rPr>
          <w:rFonts w:ascii="Arial"/>
          <w:spacing w:val="-1"/>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receivable can be measured reliably.</w:t>
      </w:r>
    </w:p>
    <w:p w14:paraId="7316D771" w14:textId="77777777" w:rsidR="00084F36" w:rsidRPr="00EB2BD8" w:rsidRDefault="00084F36">
      <w:pPr>
        <w:pStyle w:val="BodyText"/>
        <w:spacing w:before="2"/>
        <w:rPr>
          <w:rFonts w:ascii="Arial"/>
          <w:sz w:val="19"/>
        </w:rPr>
      </w:pPr>
    </w:p>
    <w:p w14:paraId="4E540190" w14:textId="77777777" w:rsidR="00084F36" w:rsidRPr="00EB2BD8" w:rsidRDefault="00EB2BD8" w:rsidP="00772B16">
      <w:pPr>
        <w:pStyle w:val="Heading2"/>
        <w:ind w:firstLine="170"/>
      </w:pPr>
      <w:bookmarkStart w:id="304" w:name="_Toc150762606"/>
      <w:r w:rsidRPr="00EB2BD8">
        <w:t>Make-good</w:t>
      </w:r>
      <w:r w:rsidRPr="00EB2BD8">
        <w:rPr>
          <w:spacing w:val="21"/>
        </w:rPr>
        <w:t xml:space="preserve"> </w:t>
      </w:r>
      <w:r w:rsidRPr="00EB2BD8">
        <w:rPr>
          <w:spacing w:val="-2"/>
        </w:rPr>
        <w:t>provision</w:t>
      </w:r>
      <w:bookmarkEnd w:id="304"/>
    </w:p>
    <w:p w14:paraId="07CCC05E" w14:textId="77777777" w:rsidR="00084F36" w:rsidRPr="00EB2BD8" w:rsidRDefault="00EB2BD8">
      <w:pPr>
        <w:spacing w:before="156" w:line="290" w:lineRule="auto"/>
        <w:ind w:left="1020" w:right="1672"/>
        <w:rPr>
          <w:rFonts w:ascii="Arial"/>
          <w:sz w:val="16"/>
        </w:rPr>
      </w:pPr>
      <w:r w:rsidRPr="00EB2BD8">
        <w:rPr>
          <w:rFonts w:ascii="Arial"/>
          <w:w w:val="105"/>
          <w:sz w:val="16"/>
        </w:rPr>
        <w:t>Under the Goods Shed North lease agreement, the VBA agreed to bring the leased property back to its original condition, requiring future costs to dismantle and remove the office fit-out at the end of the lease. Under AASB 137 Provisions, Contingent</w:t>
      </w:r>
      <w:r w:rsidRPr="00EB2BD8">
        <w:rPr>
          <w:rFonts w:ascii="Arial"/>
          <w:spacing w:val="-3"/>
          <w:w w:val="105"/>
          <w:sz w:val="16"/>
        </w:rPr>
        <w:t xml:space="preserve"> </w:t>
      </w:r>
      <w:r w:rsidRPr="00EB2BD8">
        <w:rPr>
          <w:rFonts w:ascii="Arial"/>
          <w:w w:val="105"/>
          <w:sz w:val="16"/>
        </w:rPr>
        <w:t>Liabilities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Contingent</w:t>
      </w:r>
      <w:r w:rsidRPr="00EB2BD8">
        <w:rPr>
          <w:rFonts w:ascii="Arial"/>
          <w:spacing w:val="-3"/>
          <w:w w:val="105"/>
          <w:sz w:val="16"/>
        </w:rPr>
        <w:t xml:space="preserve"> </w:t>
      </w:r>
      <w:r w:rsidRPr="00EB2BD8">
        <w:rPr>
          <w:rFonts w:ascii="Arial"/>
          <w:w w:val="105"/>
          <w:sz w:val="16"/>
        </w:rPr>
        <w:t>Assets,</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VBA</w:t>
      </w:r>
      <w:r w:rsidRPr="00EB2BD8">
        <w:rPr>
          <w:rFonts w:ascii="Arial"/>
          <w:spacing w:val="-3"/>
          <w:w w:val="105"/>
          <w:sz w:val="16"/>
        </w:rPr>
        <w:t xml:space="preserve"> </w:t>
      </w:r>
      <w:r w:rsidRPr="00EB2BD8">
        <w:rPr>
          <w:rFonts w:ascii="Arial"/>
          <w:w w:val="105"/>
          <w:sz w:val="16"/>
        </w:rPr>
        <w:t>has</w:t>
      </w:r>
      <w:r w:rsidRPr="00EB2BD8">
        <w:rPr>
          <w:rFonts w:ascii="Arial"/>
          <w:spacing w:val="-3"/>
          <w:w w:val="105"/>
          <w:sz w:val="16"/>
        </w:rPr>
        <w:t xml:space="preserve"> </w:t>
      </w:r>
      <w:r w:rsidRPr="00EB2BD8">
        <w:rPr>
          <w:rFonts w:ascii="Arial"/>
          <w:w w:val="105"/>
          <w:sz w:val="16"/>
        </w:rPr>
        <w:t>recognised</w:t>
      </w:r>
      <w:r w:rsidRPr="00EB2BD8">
        <w:rPr>
          <w:rFonts w:ascii="Arial"/>
          <w:spacing w:val="-3"/>
          <w:w w:val="105"/>
          <w:sz w:val="16"/>
        </w:rPr>
        <w:t xml:space="preserve"> </w:t>
      </w:r>
      <w:r w:rsidRPr="00EB2BD8">
        <w:rPr>
          <w:rFonts w:ascii="Arial"/>
          <w:w w:val="105"/>
          <w:sz w:val="16"/>
        </w:rPr>
        <w:t>this</w:t>
      </w:r>
      <w:r w:rsidRPr="00EB2BD8">
        <w:rPr>
          <w:rFonts w:ascii="Arial"/>
          <w:spacing w:val="-3"/>
          <w:w w:val="105"/>
          <w:sz w:val="16"/>
        </w:rPr>
        <w:t xml:space="preserve"> </w:t>
      </w:r>
      <w:r w:rsidRPr="00EB2BD8">
        <w:rPr>
          <w:rFonts w:ascii="Arial"/>
          <w:w w:val="105"/>
          <w:sz w:val="16"/>
        </w:rPr>
        <w:t>liability</w:t>
      </w:r>
      <w:r w:rsidRPr="00EB2BD8">
        <w:rPr>
          <w:rFonts w:ascii="Arial"/>
          <w:spacing w:val="-3"/>
          <w:w w:val="105"/>
          <w:sz w:val="16"/>
        </w:rPr>
        <w:t xml:space="preserve"> </w:t>
      </w:r>
      <w:r w:rsidRPr="00EB2BD8">
        <w:rPr>
          <w:rFonts w:ascii="Arial"/>
          <w:w w:val="105"/>
          <w:sz w:val="16"/>
        </w:rPr>
        <w:t>at</w:t>
      </w:r>
      <w:r w:rsidRPr="00EB2BD8">
        <w:rPr>
          <w:rFonts w:ascii="Arial"/>
          <w:spacing w:val="-3"/>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commencement</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lease,</w:t>
      </w:r>
      <w:r w:rsidRPr="00EB2BD8">
        <w:rPr>
          <w:rFonts w:ascii="Arial"/>
          <w:spacing w:val="-1"/>
          <w:w w:val="105"/>
          <w:sz w:val="16"/>
        </w:rPr>
        <w:t xml:space="preserve"> </w:t>
      </w:r>
      <w:r w:rsidRPr="00EB2BD8">
        <w:rPr>
          <w:rFonts w:ascii="Arial"/>
          <w:w w:val="105"/>
          <w:sz w:val="16"/>
        </w:rPr>
        <w:t>rather than at the end of the lease when the make-good work will be done.</w:t>
      </w:r>
    </w:p>
    <w:p w14:paraId="54FC7B76" w14:textId="77777777" w:rsidR="00084F36" w:rsidRPr="00EB2BD8" w:rsidRDefault="00084F36">
      <w:pPr>
        <w:pStyle w:val="BodyText"/>
        <w:rPr>
          <w:rFonts w:ascii="Arial"/>
        </w:rPr>
      </w:pPr>
    </w:p>
    <w:p w14:paraId="7519493D" w14:textId="77777777" w:rsidR="00084F36" w:rsidRPr="00EB2BD8" w:rsidRDefault="00EB2BD8" w:rsidP="00772B16">
      <w:pPr>
        <w:pStyle w:val="Heading2"/>
        <w:ind w:firstLine="170"/>
      </w:pPr>
      <w:bookmarkStart w:id="305" w:name="_Toc150762607"/>
      <w:r w:rsidRPr="00EB2BD8">
        <w:t>Onerous</w:t>
      </w:r>
      <w:r w:rsidRPr="00EB2BD8">
        <w:rPr>
          <w:spacing w:val="15"/>
        </w:rPr>
        <w:t xml:space="preserve"> </w:t>
      </w:r>
      <w:r w:rsidRPr="00EB2BD8">
        <w:t>contracts</w:t>
      </w:r>
      <w:bookmarkEnd w:id="305"/>
    </w:p>
    <w:p w14:paraId="661B8E29" w14:textId="77777777" w:rsidR="00084F36" w:rsidRPr="00EB2BD8" w:rsidRDefault="00EB2BD8">
      <w:pPr>
        <w:spacing w:before="156" w:line="290" w:lineRule="auto"/>
        <w:ind w:left="1020" w:right="1813"/>
        <w:rPr>
          <w:rFonts w:ascii="Arial"/>
          <w:sz w:val="16"/>
        </w:rPr>
      </w:pPr>
      <w:r w:rsidRPr="00EB2BD8">
        <w:rPr>
          <w:rFonts w:ascii="Arial"/>
          <w:w w:val="105"/>
          <w:sz w:val="16"/>
        </w:rPr>
        <w:t>An</w:t>
      </w:r>
      <w:r w:rsidRPr="00EB2BD8">
        <w:rPr>
          <w:rFonts w:ascii="Arial"/>
          <w:spacing w:val="-3"/>
          <w:w w:val="105"/>
          <w:sz w:val="16"/>
        </w:rPr>
        <w:t xml:space="preserve"> </w:t>
      </w:r>
      <w:r w:rsidRPr="00EB2BD8">
        <w:rPr>
          <w:rFonts w:ascii="Arial"/>
          <w:w w:val="105"/>
          <w:sz w:val="16"/>
        </w:rPr>
        <w:t>onerous</w:t>
      </w:r>
      <w:r w:rsidRPr="00EB2BD8">
        <w:rPr>
          <w:rFonts w:ascii="Arial"/>
          <w:spacing w:val="-3"/>
          <w:w w:val="105"/>
          <w:sz w:val="16"/>
        </w:rPr>
        <w:t xml:space="preserve"> </w:t>
      </w:r>
      <w:r w:rsidRPr="00EB2BD8">
        <w:rPr>
          <w:rFonts w:ascii="Arial"/>
          <w:w w:val="105"/>
          <w:sz w:val="16"/>
        </w:rPr>
        <w:t>contract</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considered</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exist</w:t>
      </w:r>
      <w:r w:rsidRPr="00EB2BD8">
        <w:rPr>
          <w:rFonts w:ascii="Arial"/>
          <w:spacing w:val="-3"/>
          <w:w w:val="105"/>
          <w:sz w:val="16"/>
        </w:rPr>
        <w:t xml:space="preserve"> </w:t>
      </w:r>
      <w:r w:rsidRPr="00EB2BD8">
        <w:rPr>
          <w:rFonts w:ascii="Arial"/>
          <w:w w:val="105"/>
          <w:sz w:val="16"/>
        </w:rPr>
        <w:t>when</w:t>
      </w:r>
      <w:r w:rsidRPr="00EB2BD8">
        <w:rPr>
          <w:rFonts w:ascii="Arial"/>
          <w:spacing w:val="-3"/>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unavoidable</w:t>
      </w:r>
      <w:r w:rsidRPr="00EB2BD8">
        <w:rPr>
          <w:rFonts w:ascii="Arial"/>
          <w:spacing w:val="-3"/>
          <w:w w:val="105"/>
          <w:sz w:val="16"/>
        </w:rPr>
        <w:t xml:space="preserve"> </w:t>
      </w:r>
      <w:r w:rsidRPr="00EB2BD8">
        <w:rPr>
          <w:rFonts w:ascii="Arial"/>
          <w:w w:val="105"/>
          <w:sz w:val="16"/>
        </w:rPr>
        <w:t>cost</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meeting</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contractual</w:t>
      </w:r>
      <w:r w:rsidRPr="00EB2BD8">
        <w:rPr>
          <w:rFonts w:ascii="Arial"/>
          <w:spacing w:val="-3"/>
          <w:w w:val="105"/>
          <w:sz w:val="16"/>
        </w:rPr>
        <w:t xml:space="preserve"> </w:t>
      </w:r>
      <w:r w:rsidRPr="00EB2BD8">
        <w:rPr>
          <w:rFonts w:ascii="Arial"/>
          <w:w w:val="105"/>
          <w:sz w:val="16"/>
        </w:rPr>
        <w:t>obligations</w:t>
      </w:r>
      <w:r w:rsidRPr="00EB2BD8">
        <w:rPr>
          <w:rFonts w:ascii="Arial"/>
          <w:spacing w:val="-3"/>
          <w:w w:val="105"/>
          <w:sz w:val="16"/>
        </w:rPr>
        <w:t xml:space="preserve"> </w:t>
      </w:r>
      <w:r w:rsidRPr="00EB2BD8">
        <w:rPr>
          <w:rFonts w:ascii="Arial"/>
          <w:w w:val="105"/>
          <w:sz w:val="16"/>
        </w:rPr>
        <w:t>exceeds</w:t>
      </w:r>
      <w:r w:rsidRPr="00EB2BD8">
        <w:rPr>
          <w:rFonts w:ascii="Arial"/>
          <w:spacing w:val="-3"/>
          <w:w w:val="105"/>
          <w:sz w:val="16"/>
        </w:rPr>
        <w:t xml:space="preserve"> </w:t>
      </w:r>
      <w:r w:rsidRPr="00EB2BD8">
        <w:rPr>
          <w:rFonts w:ascii="Arial"/>
          <w:w w:val="105"/>
          <w:sz w:val="16"/>
        </w:rPr>
        <w:t>the estimated economic benefits to be received.</w:t>
      </w:r>
    </w:p>
    <w:p w14:paraId="4A29B567" w14:textId="77777777" w:rsidR="00084F36" w:rsidRPr="00EB2BD8" w:rsidRDefault="00084F36">
      <w:pPr>
        <w:pStyle w:val="BodyText"/>
        <w:spacing w:before="2"/>
        <w:rPr>
          <w:rFonts w:ascii="Arial"/>
          <w:sz w:val="19"/>
        </w:rPr>
      </w:pPr>
    </w:p>
    <w:p w14:paraId="3D210995" w14:textId="77777777" w:rsidR="00084F36" w:rsidRPr="00EB2BD8" w:rsidRDefault="00EB2BD8">
      <w:pPr>
        <w:spacing w:before="1" w:line="290" w:lineRule="auto"/>
        <w:ind w:left="1020" w:right="1672"/>
        <w:rPr>
          <w:rFonts w:ascii="Arial"/>
          <w:sz w:val="16"/>
        </w:rPr>
      </w:pPr>
      <w:r w:rsidRPr="00EB2BD8">
        <w:rPr>
          <w:rFonts w:ascii="Arial"/>
          <w:w w:val="105"/>
          <w:sz w:val="16"/>
        </w:rPr>
        <w:t>Present obligations arising under onerous contracts are recognised as a provision to the extent that the present obligation exceeds</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estimated</w:t>
      </w:r>
      <w:r w:rsidRPr="00EB2BD8">
        <w:rPr>
          <w:rFonts w:ascii="Arial"/>
          <w:spacing w:val="-3"/>
          <w:w w:val="105"/>
          <w:sz w:val="16"/>
        </w:rPr>
        <w:t xml:space="preserve"> </w:t>
      </w:r>
      <w:r w:rsidRPr="00EB2BD8">
        <w:rPr>
          <w:rFonts w:ascii="Arial"/>
          <w:w w:val="105"/>
          <w:sz w:val="16"/>
        </w:rPr>
        <w:t>economic</w:t>
      </w:r>
      <w:r w:rsidRPr="00EB2BD8">
        <w:rPr>
          <w:rFonts w:ascii="Arial"/>
          <w:spacing w:val="-3"/>
          <w:w w:val="105"/>
          <w:sz w:val="16"/>
        </w:rPr>
        <w:t xml:space="preserve"> </w:t>
      </w:r>
      <w:r w:rsidRPr="00EB2BD8">
        <w:rPr>
          <w:rFonts w:ascii="Arial"/>
          <w:w w:val="105"/>
          <w:sz w:val="16"/>
        </w:rPr>
        <w:t>benefits</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be</w:t>
      </w:r>
      <w:r w:rsidRPr="00EB2BD8">
        <w:rPr>
          <w:rFonts w:ascii="Arial"/>
          <w:spacing w:val="-3"/>
          <w:w w:val="105"/>
          <w:sz w:val="16"/>
        </w:rPr>
        <w:t xml:space="preserve"> </w:t>
      </w:r>
      <w:r w:rsidRPr="00EB2BD8">
        <w:rPr>
          <w:rFonts w:ascii="Arial"/>
          <w:w w:val="105"/>
          <w:sz w:val="16"/>
        </w:rPr>
        <w:t>received.</w:t>
      </w:r>
      <w:r w:rsidRPr="00EB2BD8">
        <w:rPr>
          <w:rFonts w:ascii="Arial"/>
          <w:spacing w:val="-3"/>
          <w:w w:val="105"/>
          <w:sz w:val="16"/>
        </w:rPr>
        <w:t xml:space="preserve"> </w:t>
      </w:r>
      <w:r w:rsidRPr="00EB2BD8">
        <w:rPr>
          <w:rFonts w:ascii="Arial"/>
          <w:w w:val="105"/>
          <w:sz w:val="16"/>
        </w:rPr>
        <w:t>This</w:t>
      </w:r>
      <w:r w:rsidRPr="00EB2BD8">
        <w:rPr>
          <w:rFonts w:ascii="Arial"/>
          <w:spacing w:val="-3"/>
          <w:w w:val="105"/>
          <w:sz w:val="16"/>
        </w:rPr>
        <w:t xml:space="preserve"> </w:t>
      </w:r>
      <w:r w:rsidRPr="00EB2BD8">
        <w:rPr>
          <w:rFonts w:ascii="Arial"/>
          <w:w w:val="105"/>
          <w:sz w:val="16"/>
        </w:rPr>
        <w:t>provision</w:t>
      </w:r>
      <w:r w:rsidRPr="00EB2BD8">
        <w:rPr>
          <w:rFonts w:ascii="Arial"/>
          <w:spacing w:val="-3"/>
          <w:w w:val="105"/>
          <w:sz w:val="16"/>
        </w:rPr>
        <w:t xml:space="preserve"> </w:t>
      </w:r>
      <w:r w:rsidRPr="00EB2BD8">
        <w:rPr>
          <w:rFonts w:ascii="Arial"/>
          <w:w w:val="105"/>
          <w:sz w:val="16"/>
        </w:rPr>
        <w:t>represents</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present</w:t>
      </w:r>
      <w:r w:rsidRPr="00EB2BD8">
        <w:rPr>
          <w:rFonts w:ascii="Arial"/>
          <w:spacing w:val="-3"/>
          <w:w w:val="105"/>
          <w:sz w:val="16"/>
        </w:rPr>
        <w:t xml:space="preserve"> </w:t>
      </w:r>
      <w:r w:rsidRPr="00EB2BD8">
        <w:rPr>
          <w:rFonts w:ascii="Arial"/>
          <w:w w:val="105"/>
          <w:sz w:val="16"/>
        </w:rPr>
        <w:t>value</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future</w:t>
      </w:r>
      <w:r w:rsidRPr="00EB2BD8">
        <w:rPr>
          <w:rFonts w:ascii="Arial"/>
          <w:spacing w:val="-3"/>
          <w:w w:val="105"/>
          <w:sz w:val="16"/>
        </w:rPr>
        <w:t xml:space="preserve"> </w:t>
      </w:r>
      <w:r w:rsidRPr="00EB2BD8">
        <w:rPr>
          <w:rFonts w:ascii="Arial"/>
          <w:w w:val="105"/>
          <w:sz w:val="16"/>
        </w:rPr>
        <w:t>payments that the VBA is presently obligated to make in respect of onerous contracts under agreements.</w:t>
      </w:r>
    </w:p>
    <w:p w14:paraId="377978D0" w14:textId="77777777" w:rsidR="00084F36" w:rsidRPr="00EB2BD8" w:rsidRDefault="00084F36">
      <w:pPr>
        <w:pStyle w:val="BodyText"/>
        <w:rPr>
          <w:rFonts w:ascii="Arial"/>
          <w:sz w:val="20"/>
        </w:rPr>
      </w:pPr>
    </w:p>
    <w:p w14:paraId="4A1C9BAE" w14:textId="77777777" w:rsidR="00084F36" w:rsidRPr="00EB2BD8" w:rsidRDefault="00084F36">
      <w:pPr>
        <w:pStyle w:val="BodyText"/>
        <w:rPr>
          <w:rFonts w:ascii="Arial"/>
          <w:sz w:val="20"/>
        </w:rPr>
      </w:pPr>
    </w:p>
    <w:p w14:paraId="67BE91F2" w14:textId="77777777" w:rsidR="00084F36" w:rsidRPr="00EB2BD8" w:rsidRDefault="00084F36">
      <w:pPr>
        <w:jc w:val="right"/>
        <w:rPr>
          <w:sz w:val="16"/>
        </w:rPr>
        <w:sectPr w:rsidR="00084F36" w:rsidRPr="00EB2BD8" w:rsidSect="006D75B2">
          <w:headerReference w:type="default" r:id="rId312"/>
          <w:footerReference w:type="default" r:id="rId313"/>
          <w:pgSz w:w="11910" w:h="16840"/>
          <w:pgMar w:top="760" w:right="0" w:bottom="280" w:left="0" w:header="0" w:footer="0" w:gutter="0"/>
          <w:cols w:space="720"/>
        </w:sectPr>
      </w:pPr>
    </w:p>
    <w:p w14:paraId="1F434E84" w14:textId="77777777" w:rsidR="00084F36" w:rsidRPr="00EB2BD8" w:rsidRDefault="00084F36">
      <w:pPr>
        <w:pStyle w:val="BodyText"/>
        <w:rPr>
          <w:sz w:val="20"/>
        </w:rPr>
      </w:pPr>
    </w:p>
    <w:p w14:paraId="7427D3C0" w14:textId="77777777" w:rsidR="00084F36" w:rsidRPr="00EB2BD8" w:rsidRDefault="00084F36">
      <w:pPr>
        <w:pStyle w:val="BodyText"/>
        <w:rPr>
          <w:sz w:val="20"/>
        </w:rPr>
      </w:pPr>
    </w:p>
    <w:p w14:paraId="36F356A0" w14:textId="77777777" w:rsidR="00084F36" w:rsidRPr="00EB2BD8" w:rsidRDefault="00084F36">
      <w:pPr>
        <w:pStyle w:val="BodyText"/>
        <w:rPr>
          <w:sz w:val="20"/>
        </w:rPr>
      </w:pPr>
    </w:p>
    <w:p w14:paraId="304F04EE" w14:textId="77777777" w:rsidR="00084F36" w:rsidRPr="00EB2BD8" w:rsidRDefault="00084F36">
      <w:pPr>
        <w:pStyle w:val="BodyText"/>
        <w:rPr>
          <w:sz w:val="20"/>
        </w:rPr>
      </w:pPr>
    </w:p>
    <w:p w14:paraId="627CD8E7" w14:textId="77777777" w:rsidR="00084F36" w:rsidRPr="00EB2BD8" w:rsidRDefault="00084F36">
      <w:pPr>
        <w:pStyle w:val="BodyText"/>
        <w:rPr>
          <w:sz w:val="20"/>
        </w:rPr>
      </w:pPr>
    </w:p>
    <w:p w14:paraId="6A9A09D4" w14:textId="77777777" w:rsidR="00084F36" w:rsidRPr="00EB2BD8" w:rsidRDefault="00084F36">
      <w:pPr>
        <w:pStyle w:val="BodyText"/>
        <w:spacing w:before="2"/>
        <w:rPr>
          <w:sz w:val="23"/>
        </w:rPr>
      </w:pPr>
    </w:p>
    <w:p w14:paraId="32780A25" w14:textId="1D28948C" w:rsidR="00084F36" w:rsidRPr="00EB2BD8" w:rsidRDefault="00086D4B" w:rsidP="00086D4B">
      <w:pPr>
        <w:pStyle w:val="Heading2"/>
      </w:pPr>
      <w:r>
        <w:t xml:space="preserve"> </w:t>
      </w:r>
      <w:bookmarkStart w:id="306" w:name="_Toc150762608"/>
      <w:r w:rsidR="00772B16">
        <w:t xml:space="preserve">5.5 </w:t>
      </w:r>
      <w:r w:rsidR="00273892">
        <w:t>O</w:t>
      </w:r>
      <w:r w:rsidR="00273892" w:rsidRPr="00EB2BD8">
        <w:t>ther</w:t>
      </w:r>
      <w:r w:rsidR="00273892" w:rsidRPr="00EB2BD8">
        <w:rPr>
          <w:spacing w:val="20"/>
        </w:rPr>
        <w:t xml:space="preserve"> </w:t>
      </w:r>
      <w:r w:rsidR="00273892" w:rsidRPr="00EB2BD8">
        <w:t>non-financial</w:t>
      </w:r>
      <w:r w:rsidR="00273892" w:rsidRPr="00EB2BD8">
        <w:rPr>
          <w:spacing w:val="21"/>
        </w:rPr>
        <w:t xml:space="preserve"> </w:t>
      </w:r>
      <w:r w:rsidR="00273892" w:rsidRPr="00EB2BD8">
        <w:rPr>
          <w:spacing w:val="-2"/>
        </w:rPr>
        <w:t>assets</w:t>
      </w:r>
      <w:bookmarkEnd w:id="306"/>
    </w:p>
    <w:p w14:paraId="4229F825" w14:textId="77777777" w:rsidR="00084F36" w:rsidRPr="00EB2BD8" w:rsidRDefault="00084F36">
      <w:pPr>
        <w:pStyle w:val="BodyText"/>
        <w:spacing w:before="9"/>
        <w:rPr>
          <w:rFonts w:ascii="Arial"/>
          <w:b/>
          <w:sz w:val="11"/>
        </w:rPr>
      </w:pPr>
    </w:p>
    <w:p w14:paraId="5F2180F3" w14:textId="77777777" w:rsidR="00084F36" w:rsidRPr="00EB2BD8" w:rsidRDefault="00EB2BD8">
      <w:pPr>
        <w:spacing w:before="102" w:after="56"/>
        <w:ind w:left="9259"/>
        <w:rPr>
          <w:rFonts w:ascii="Arial" w:hAnsi="Arial"/>
          <w:sz w:val="16"/>
        </w:rPr>
      </w:pPr>
      <w:r w:rsidRPr="00EB2BD8">
        <w:rPr>
          <w:rFonts w:ascii="Arial" w:hAnsi="Arial"/>
          <w:spacing w:val="-2"/>
          <w:w w:val="105"/>
          <w:sz w:val="16"/>
        </w:rPr>
        <w:t>($’000)</w:t>
      </w:r>
    </w:p>
    <w:tbl>
      <w:tblPr>
        <w:tblW w:w="0" w:type="auto"/>
        <w:tblInd w:w="1023" w:type="dxa"/>
        <w:tblBorders>
          <w:top w:val="single" w:sz="4" w:space="0" w:color="0098FF"/>
          <w:left w:val="single" w:sz="4" w:space="0" w:color="0098FF"/>
          <w:bottom w:val="single" w:sz="4" w:space="0" w:color="0098FF"/>
          <w:right w:val="single" w:sz="4" w:space="0" w:color="0098FF"/>
          <w:insideH w:val="single" w:sz="4" w:space="0" w:color="0098FF"/>
          <w:insideV w:val="single" w:sz="4" w:space="0" w:color="0098FF"/>
        </w:tblBorders>
        <w:tblLayout w:type="fixed"/>
        <w:tblCellMar>
          <w:left w:w="0" w:type="dxa"/>
          <w:right w:w="0" w:type="dxa"/>
        </w:tblCellMar>
        <w:tblLook w:val="01E0" w:firstRow="1" w:lastRow="1" w:firstColumn="1" w:lastColumn="1" w:noHBand="0" w:noVBand="0"/>
      </w:tblPr>
      <w:tblGrid>
        <w:gridCol w:w="6084"/>
        <w:gridCol w:w="1392"/>
        <w:gridCol w:w="1393"/>
      </w:tblGrid>
      <w:tr w:rsidR="00EB2BD8" w:rsidRPr="00EB2BD8" w14:paraId="1FA847F2" w14:textId="77777777">
        <w:trPr>
          <w:trHeight w:val="307"/>
        </w:trPr>
        <w:tc>
          <w:tcPr>
            <w:tcW w:w="7476" w:type="dxa"/>
            <w:gridSpan w:val="2"/>
            <w:tcBorders>
              <w:right w:val="nil"/>
            </w:tcBorders>
            <w:shd w:val="clear" w:color="auto" w:fill="0070C0"/>
          </w:tcPr>
          <w:p w14:paraId="235CDE7E" w14:textId="77777777" w:rsidR="00084F36" w:rsidRPr="00EB2BD8" w:rsidRDefault="00EB2BD8">
            <w:pPr>
              <w:pStyle w:val="TableParagraph"/>
              <w:spacing w:before="64"/>
              <w:ind w:right="95"/>
              <w:jc w:val="right"/>
              <w:rPr>
                <w:rFonts w:ascii="Arial"/>
                <w:b/>
                <w:sz w:val="16"/>
              </w:rPr>
            </w:pPr>
            <w:r w:rsidRPr="00EB2BD8">
              <w:rPr>
                <w:rFonts w:ascii="Arial"/>
                <w:b/>
                <w:spacing w:val="-4"/>
                <w:w w:val="105"/>
                <w:sz w:val="16"/>
              </w:rPr>
              <w:t>2023</w:t>
            </w:r>
          </w:p>
        </w:tc>
        <w:tc>
          <w:tcPr>
            <w:tcW w:w="1393" w:type="dxa"/>
            <w:tcBorders>
              <w:left w:val="nil"/>
            </w:tcBorders>
            <w:shd w:val="clear" w:color="auto" w:fill="0070C0"/>
          </w:tcPr>
          <w:p w14:paraId="3CD0570C" w14:textId="77777777" w:rsidR="00084F36" w:rsidRPr="00EB2BD8" w:rsidRDefault="00EB2BD8">
            <w:pPr>
              <w:pStyle w:val="TableParagraph"/>
              <w:spacing w:before="64"/>
              <w:ind w:right="90"/>
              <w:jc w:val="right"/>
              <w:rPr>
                <w:rFonts w:ascii="Arial"/>
                <w:b/>
                <w:sz w:val="16"/>
              </w:rPr>
            </w:pPr>
            <w:r w:rsidRPr="00EB2BD8">
              <w:rPr>
                <w:rFonts w:ascii="Arial"/>
                <w:b/>
                <w:spacing w:val="-4"/>
                <w:w w:val="105"/>
                <w:sz w:val="16"/>
              </w:rPr>
              <w:t>2022</w:t>
            </w:r>
          </w:p>
        </w:tc>
      </w:tr>
      <w:tr w:rsidR="00EB2BD8" w:rsidRPr="00EB2BD8" w14:paraId="21F9BF42" w14:textId="77777777">
        <w:trPr>
          <w:trHeight w:val="623"/>
        </w:trPr>
        <w:tc>
          <w:tcPr>
            <w:tcW w:w="6084" w:type="dxa"/>
            <w:tcBorders>
              <w:left w:val="nil"/>
              <w:bottom w:val="single" w:sz="12" w:space="0" w:color="000000"/>
              <w:right w:val="nil"/>
            </w:tcBorders>
            <w:shd w:val="clear" w:color="auto" w:fill="FFFFFF"/>
          </w:tcPr>
          <w:p w14:paraId="15DCC790" w14:textId="77777777" w:rsidR="00084F36" w:rsidRPr="00EB2BD8" w:rsidRDefault="00EB2BD8">
            <w:pPr>
              <w:pStyle w:val="TableParagraph"/>
              <w:spacing w:before="63"/>
              <w:ind w:left="105"/>
              <w:rPr>
                <w:rFonts w:ascii="Arial"/>
                <w:b/>
                <w:sz w:val="16"/>
              </w:rPr>
            </w:pPr>
            <w:r w:rsidRPr="00EB2BD8">
              <w:rPr>
                <w:rFonts w:ascii="Arial"/>
                <w:b/>
                <w:w w:val="105"/>
                <w:sz w:val="16"/>
              </w:rPr>
              <w:t>Current</w:t>
            </w:r>
            <w:r w:rsidRPr="00EB2BD8">
              <w:rPr>
                <w:rFonts w:ascii="Arial"/>
                <w:b/>
                <w:spacing w:val="-8"/>
                <w:w w:val="105"/>
                <w:sz w:val="16"/>
              </w:rPr>
              <w:t xml:space="preserve"> </w:t>
            </w:r>
            <w:r w:rsidRPr="00EB2BD8">
              <w:rPr>
                <w:rFonts w:ascii="Arial"/>
                <w:b/>
                <w:w w:val="105"/>
                <w:sz w:val="16"/>
              </w:rPr>
              <w:t>other</w:t>
            </w:r>
            <w:r w:rsidRPr="00EB2BD8">
              <w:rPr>
                <w:rFonts w:ascii="Arial"/>
                <w:b/>
                <w:spacing w:val="-8"/>
                <w:w w:val="105"/>
                <w:sz w:val="16"/>
              </w:rPr>
              <w:t xml:space="preserve"> </w:t>
            </w:r>
            <w:r w:rsidRPr="00EB2BD8">
              <w:rPr>
                <w:rFonts w:ascii="Arial"/>
                <w:b/>
                <w:spacing w:val="-2"/>
                <w:w w:val="105"/>
                <w:sz w:val="16"/>
              </w:rPr>
              <w:t>assets</w:t>
            </w:r>
          </w:p>
          <w:p w14:paraId="51E09F13" w14:textId="77777777" w:rsidR="00084F36" w:rsidRPr="00EB2BD8" w:rsidRDefault="00EB2BD8">
            <w:pPr>
              <w:pStyle w:val="TableParagraph"/>
              <w:spacing w:before="128"/>
              <w:ind w:left="105"/>
              <w:rPr>
                <w:rFonts w:ascii="Arial"/>
                <w:sz w:val="16"/>
              </w:rPr>
            </w:pPr>
            <w:r w:rsidRPr="00EB2BD8">
              <w:rPr>
                <w:rFonts w:ascii="Arial"/>
                <w:spacing w:val="-2"/>
                <w:w w:val="105"/>
                <w:sz w:val="16"/>
              </w:rPr>
              <w:t>Prepayments</w:t>
            </w:r>
          </w:p>
        </w:tc>
        <w:tc>
          <w:tcPr>
            <w:tcW w:w="1392" w:type="dxa"/>
            <w:tcBorders>
              <w:left w:val="nil"/>
              <w:bottom w:val="single" w:sz="12" w:space="0" w:color="000000"/>
              <w:right w:val="nil"/>
            </w:tcBorders>
            <w:shd w:val="clear" w:color="auto" w:fill="DEEAF6"/>
          </w:tcPr>
          <w:p w14:paraId="31438BD9" w14:textId="77777777" w:rsidR="00084F36" w:rsidRPr="00EB2BD8" w:rsidRDefault="00084F36">
            <w:pPr>
              <w:pStyle w:val="TableParagraph"/>
              <w:rPr>
                <w:rFonts w:ascii="Arial"/>
                <w:sz w:val="18"/>
              </w:rPr>
            </w:pPr>
          </w:p>
          <w:p w14:paraId="0758C58C" w14:textId="77777777" w:rsidR="00084F36" w:rsidRPr="00EB2BD8" w:rsidRDefault="00084F36">
            <w:pPr>
              <w:pStyle w:val="TableParagraph"/>
              <w:spacing w:before="7"/>
              <w:rPr>
                <w:rFonts w:ascii="Arial"/>
                <w:sz w:val="14"/>
              </w:rPr>
            </w:pPr>
          </w:p>
          <w:p w14:paraId="739F4ACC" w14:textId="77777777" w:rsidR="00084F36" w:rsidRPr="00EB2BD8" w:rsidRDefault="00EB2BD8">
            <w:pPr>
              <w:pStyle w:val="TableParagraph"/>
              <w:ind w:right="96"/>
              <w:jc w:val="right"/>
              <w:rPr>
                <w:rFonts w:ascii="Arial"/>
                <w:sz w:val="16"/>
              </w:rPr>
            </w:pPr>
            <w:r w:rsidRPr="00EB2BD8">
              <w:rPr>
                <w:rFonts w:ascii="Arial"/>
                <w:spacing w:val="-2"/>
                <w:w w:val="105"/>
                <w:sz w:val="16"/>
              </w:rPr>
              <w:t>1,861</w:t>
            </w:r>
          </w:p>
        </w:tc>
        <w:tc>
          <w:tcPr>
            <w:tcW w:w="1393" w:type="dxa"/>
            <w:tcBorders>
              <w:left w:val="nil"/>
              <w:bottom w:val="single" w:sz="12" w:space="0" w:color="000000"/>
              <w:right w:val="nil"/>
            </w:tcBorders>
            <w:shd w:val="clear" w:color="auto" w:fill="FFFFFF"/>
          </w:tcPr>
          <w:p w14:paraId="41056421" w14:textId="77777777" w:rsidR="00084F36" w:rsidRPr="00EB2BD8" w:rsidRDefault="00084F36">
            <w:pPr>
              <w:pStyle w:val="TableParagraph"/>
              <w:rPr>
                <w:rFonts w:ascii="Arial"/>
                <w:sz w:val="18"/>
              </w:rPr>
            </w:pPr>
          </w:p>
          <w:p w14:paraId="06DF0EBF" w14:textId="77777777" w:rsidR="00084F36" w:rsidRPr="00EB2BD8" w:rsidRDefault="00084F36">
            <w:pPr>
              <w:pStyle w:val="TableParagraph"/>
              <w:spacing w:before="7"/>
              <w:rPr>
                <w:rFonts w:ascii="Arial"/>
                <w:sz w:val="14"/>
              </w:rPr>
            </w:pPr>
          </w:p>
          <w:p w14:paraId="3645772D" w14:textId="77777777" w:rsidR="00084F36" w:rsidRPr="00EB2BD8" w:rsidRDefault="00EB2BD8">
            <w:pPr>
              <w:pStyle w:val="TableParagraph"/>
              <w:ind w:right="95"/>
              <w:jc w:val="right"/>
              <w:rPr>
                <w:rFonts w:ascii="Arial"/>
                <w:sz w:val="16"/>
              </w:rPr>
            </w:pPr>
            <w:r w:rsidRPr="00EB2BD8">
              <w:rPr>
                <w:rFonts w:ascii="Arial"/>
                <w:spacing w:val="-2"/>
                <w:w w:val="105"/>
                <w:sz w:val="16"/>
              </w:rPr>
              <w:t>2,098</w:t>
            </w:r>
          </w:p>
        </w:tc>
      </w:tr>
      <w:tr w:rsidR="00EB2BD8" w:rsidRPr="00EB2BD8" w14:paraId="7C2240BB" w14:textId="77777777">
        <w:trPr>
          <w:trHeight w:val="287"/>
        </w:trPr>
        <w:tc>
          <w:tcPr>
            <w:tcW w:w="6084" w:type="dxa"/>
            <w:tcBorders>
              <w:top w:val="single" w:sz="12" w:space="0" w:color="000000"/>
              <w:left w:val="nil"/>
              <w:bottom w:val="single" w:sz="12" w:space="0" w:color="000000"/>
              <w:right w:val="nil"/>
            </w:tcBorders>
            <w:shd w:val="clear" w:color="auto" w:fill="FFFFFF"/>
          </w:tcPr>
          <w:p w14:paraId="052B0C84" w14:textId="77777777" w:rsidR="00084F36" w:rsidRPr="00EB2BD8" w:rsidRDefault="00EB2BD8">
            <w:pPr>
              <w:pStyle w:val="TableParagraph"/>
              <w:spacing w:before="53"/>
              <w:ind w:left="105"/>
              <w:rPr>
                <w:rFonts w:ascii="Arial"/>
                <w:b/>
                <w:sz w:val="16"/>
              </w:rPr>
            </w:pPr>
            <w:r w:rsidRPr="00EB2BD8">
              <w:rPr>
                <w:rFonts w:ascii="Arial"/>
                <w:b/>
                <w:w w:val="105"/>
                <w:sz w:val="16"/>
              </w:rPr>
              <w:t>Total</w:t>
            </w:r>
            <w:r w:rsidRPr="00EB2BD8">
              <w:rPr>
                <w:rFonts w:ascii="Arial"/>
                <w:b/>
                <w:spacing w:val="-9"/>
                <w:w w:val="105"/>
                <w:sz w:val="16"/>
              </w:rPr>
              <w:t xml:space="preserve"> </w:t>
            </w:r>
            <w:r w:rsidRPr="00EB2BD8">
              <w:rPr>
                <w:rFonts w:ascii="Arial"/>
                <w:b/>
                <w:w w:val="105"/>
                <w:sz w:val="16"/>
              </w:rPr>
              <w:t>current</w:t>
            </w:r>
            <w:r w:rsidRPr="00EB2BD8">
              <w:rPr>
                <w:rFonts w:ascii="Arial"/>
                <w:b/>
                <w:spacing w:val="-8"/>
                <w:w w:val="105"/>
                <w:sz w:val="16"/>
              </w:rPr>
              <w:t xml:space="preserve"> </w:t>
            </w:r>
            <w:r w:rsidRPr="00EB2BD8">
              <w:rPr>
                <w:rFonts w:ascii="Arial"/>
                <w:b/>
                <w:w w:val="105"/>
                <w:sz w:val="16"/>
              </w:rPr>
              <w:t>other</w:t>
            </w:r>
            <w:r w:rsidRPr="00EB2BD8">
              <w:rPr>
                <w:rFonts w:ascii="Arial"/>
                <w:b/>
                <w:spacing w:val="-6"/>
                <w:w w:val="105"/>
                <w:sz w:val="16"/>
              </w:rPr>
              <w:t xml:space="preserve"> </w:t>
            </w:r>
            <w:r w:rsidRPr="00EB2BD8">
              <w:rPr>
                <w:rFonts w:ascii="Arial"/>
                <w:b/>
                <w:spacing w:val="-2"/>
                <w:w w:val="105"/>
                <w:sz w:val="16"/>
              </w:rPr>
              <w:t>assets</w:t>
            </w:r>
          </w:p>
        </w:tc>
        <w:tc>
          <w:tcPr>
            <w:tcW w:w="1392" w:type="dxa"/>
            <w:tcBorders>
              <w:top w:val="single" w:sz="12" w:space="0" w:color="000000"/>
              <w:left w:val="nil"/>
              <w:bottom w:val="single" w:sz="12" w:space="0" w:color="000000"/>
              <w:right w:val="nil"/>
            </w:tcBorders>
            <w:shd w:val="clear" w:color="auto" w:fill="DEEAF6"/>
          </w:tcPr>
          <w:p w14:paraId="5F8BC6A5" w14:textId="77777777" w:rsidR="00084F36" w:rsidRPr="00EB2BD8" w:rsidRDefault="00EB2BD8">
            <w:pPr>
              <w:pStyle w:val="TableParagraph"/>
              <w:spacing w:before="54"/>
              <w:ind w:right="96"/>
              <w:jc w:val="right"/>
              <w:rPr>
                <w:rFonts w:ascii="Arial"/>
                <w:b/>
                <w:sz w:val="16"/>
              </w:rPr>
            </w:pPr>
            <w:r w:rsidRPr="00EB2BD8">
              <w:rPr>
                <w:rFonts w:ascii="Arial"/>
                <w:b/>
                <w:spacing w:val="-2"/>
                <w:w w:val="105"/>
                <w:sz w:val="16"/>
              </w:rPr>
              <w:t>1,861</w:t>
            </w:r>
          </w:p>
        </w:tc>
        <w:tc>
          <w:tcPr>
            <w:tcW w:w="1393" w:type="dxa"/>
            <w:tcBorders>
              <w:top w:val="single" w:sz="12" w:space="0" w:color="000000"/>
              <w:left w:val="nil"/>
              <w:bottom w:val="single" w:sz="12" w:space="0" w:color="000000"/>
              <w:right w:val="nil"/>
            </w:tcBorders>
            <w:shd w:val="clear" w:color="auto" w:fill="FFFFFF"/>
          </w:tcPr>
          <w:p w14:paraId="1050859B" w14:textId="77777777" w:rsidR="00084F36" w:rsidRPr="00EB2BD8" w:rsidRDefault="00EB2BD8">
            <w:pPr>
              <w:pStyle w:val="TableParagraph"/>
              <w:spacing w:before="54"/>
              <w:ind w:right="96"/>
              <w:jc w:val="right"/>
              <w:rPr>
                <w:rFonts w:ascii="Arial"/>
                <w:b/>
                <w:sz w:val="16"/>
              </w:rPr>
            </w:pPr>
            <w:r w:rsidRPr="00EB2BD8">
              <w:rPr>
                <w:rFonts w:ascii="Arial"/>
                <w:b/>
                <w:spacing w:val="-2"/>
                <w:w w:val="105"/>
                <w:sz w:val="16"/>
              </w:rPr>
              <w:t>2,098</w:t>
            </w:r>
          </w:p>
        </w:tc>
      </w:tr>
      <w:tr w:rsidR="00EB2BD8" w:rsidRPr="00EB2BD8" w14:paraId="01824F65" w14:textId="77777777">
        <w:trPr>
          <w:trHeight w:val="286"/>
        </w:trPr>
        <w:tc>
          <w:tcPr>
            <w:tcW w:w="6084" w:type="dxa"/>
            <w:tcBorders>
              <w:top w:val="single" w:sz="12" w:space="0" w:color="000000"/>
              <w:left w:val="nil"/>
              <w:bottom w:val="single" w:sz="12" w:space="0" w:color="000000"/>
              <w:right w:val="nil"/>
            </w:tcBorders>
            <w:shd w:val="clear" w:color="auto" w:fill="FFFFFF"/>
          </w:tcPr>
          <w:p w14:paraId="491A3354" w14:textId="77777777" w:rsidR="00084F36" w:rsidRPr="00EB2BD8" w:rsidRDefault="00EB2BD8">
            <w:pPr>
              <w:pStyle w:val="TableParagraph"/>
              <w:spacing w:before="54"/>
              <w:ind w:left="105"/>
              <w:rPr>
                <w:rFonts w:ascii="Arial"/>
                <w:b/>
                <w:sz w:val="16"/>
              </w:rPr>
            </w:pPr>
            <w:r w:rsidRPr="00EB2BD8">
              <w:rPr>
                <w:rFonts w:ascii="Arial"/>
                <w:b/>
                <w:w w:val="105"/>
                <w:sz w:val="16"/>
              </w:rPr>
              <w:t>Total</w:t>
            </w:r>
            <w:r w:rsidRPr="00EB2BD8">
              <w:rPr>
                <w:rFonts w:ascii="Arial"/>
                <w:b/>
                <w:spacing w:val="-9"/>
                <w:w w:val="105"/>
                <w:sz w:val="16"/>
              </w:rPr>
              <w:t xml:space="preserve"> </w:t>
            </w:r>
            <w:r w:rsidRPr="00EB2BD8">
              <w:rPr>
                <w:rFonts w:ascii="Arial"/>
                <w:b/>
                <w:w w:val="105"/>
                <w:sz w:val="16"/>
              </w:rPr>
              <w:t>other</w:t>
            </w:r>
            <w:r w:rsidRPr="00EB2BD8">
              <w:rPr>
                <w:rFonts w:ascii="Arial"/>
                <w:b/>
                <w:spacing w:val="-9"/>
                <w:w w:val="105"/>
                <w:sz w:val="16"/>
              </w:rPr>
              <w:t xml:space="preserve"> </w:t>
            </w:r>
            <w:r w:rsidRPr="00EB2BD8">
              <w:rPr>
                <w:rFonts w:ascii="Arial"/>
                <w:b/>
                <w:w w:val="105"/>
                <w:sz w:val="16"/>
              </w:rPr>
              <w:t>non-financial</w:t>
            </w:r>
            <w:r w:rsidRPr="00EB2BD8">
              <w:rPr>
                <w:rFonts w:ascii="Arial"/>
                <w:b/>
                <w:spacing w:val="-9"/>
                <w:w w:val="105"/>
                <w:sz w:val="16"/>
              </w:rPr>
              <w:t xml:space="preserve"> </w:t>
            </w:r>
            <w:r w:rsidRPr="00EB2BD8">
              <w:rPr>
                <w:rFonts w:ascii="Arial"/>
                <w:b/>
                <w:spacing w:val="-2"/>
                <w:w w:val="105"/>
                <w:sz w:val="16"/>
              </w:rPr>
              <w:t>assets</w:t>
            </w:r>
          </w:p>
        </w:tc>
        <w:tc>
          <w:tcPr>
            <w:tcW w:w="1392" w:type="dxa"/>
            <w:tcBorders>
              <w:top w:val="single" w:sz="12" w:space="0" w:color="000000"/>
              <w:left w:val="nil"/>
              <w:bottom w:val="single" w:sz="12" w:space="0" w:color="000000"/>
              <w:right w:val="nil"/>
            </w:tcBorders>
            <w:shd w:val="clear" w:color="auto" w:fill="DEEAF6"/>
          </w:tcPr>
          <w:p w14:paraId="0D2FFEDA" w14:textId="77777777" w:rsidR="00084F36" w:rsidRPr="00EB2BD8" w:rsidRDefault="00EB2BD8">
            <w:pPr>
              <w:pStyle w:val="TableParagraph"/>
              <w:spacing w:before="54"/>
              <w:ind w:right="96"/>
              <w:jc w:val="right"/>
              <w:rPr>
                <w:rFonts w:ascii="Arial"/>
                <w:b/>
                <w:sz w:val="16"/>
              </w:rPr>
            </w:pPr>
            <w:r w:rsidRPr="00EB2BD8">
              <w:rPr>
                <w:rFonts w:ascii="Arial"/>
                <w:b/>
                <w:spacing w:val="-2"/>
                <w:w w:val="105"/>
                <w:sz w:val="16"/>
              </w:rPr>
              <w:t>1,861</w:t>
            </w:r>
          </w:p>
        </w:tc>
        <w:tc>
          <w:tcPr>
            <w:tcW w:w="1393" w:type="dxa"/>
            <w:tcBorders>
              <w:top w:val="single" w:sz="12" w:space="0" w:color="000000"/>
              <w:left w:val="nil"/>
              <w:bottom w:val="single" w:sz="12" w:space="0" w:color="000000"/>
              <w:right w:val="nil"/>
            </w:tcBorders>
            <w:shd w:val="clear" w:color="auto" w:fill="FFFFFF"/>
          </w:tcPr>
          <w:p w14:paraId="0550A2CD" w14:textId="77777777" w:rsidR="00084F36" w:rsidRPr="00EB2BD8" w:rsidRDefault="00EB2BD8">
            <w:pPr>
              <w:pStyle w:val="TableParagraph"/>
              <w:spacing w:before="54"/>
              <w:ind w:right="96"/>
              <w:jc w:val="right"/>
              <w:rPr>
                <w:rFonts w:ascii="Arial"/>
                <w:b/>
                <w:sz w:val="16"/>
              </w:rPr>
            </w:pPr>
            <w:r w:rsidRPr="00EB2BD8">
              <w:rPr>
                <w:rFonts w:ascii="Arial"/>
                <w:b/>
                <w:spacing w:val="-2"/>
                <w:w w:val="105"/>
                <w:sz w:val="16"/>
              </w:rPr>
              <w:t>2,098</w:t>
            </w:r>
          </w:p>
        </w:tc>
      </w:tr>
    </w:tbl>
    <w:p w14:paraId="7F2C7CA7" w14:textId="77777777" w:rsidR="00084F36" w:rsidRPr="00EB2BD8" w:rsidRDefault="00084F36">
      <w:pPr>
        <w:pStyle w:val="BodyText"/>
        <w:rPr>
          <w:rFonts w:ascii="Arial"/>
        </w:rPr>
      </w:pPr>
    </w:p>
    <w:p w14:paraId="68B6FDE4" w14:textId="77777777" w:rsidR="00084F36" w:rsidRPr="00EB2BD8" w:rsidRDefault="00EB2BD8">
      <w:pPr>
        <w:spacing w:before="110" w:line="290" w:lineRule="auto"/>
        <w:ind w:left="1015" w:right="1813"/>
        <w:rPr>
          <w:rFonts w:ascii="Arial"/>
          <w:sz w:val="16"/>
        </w:rPr>
      </w:pPr>
      <w:r w:rsidRPr="00EB2BD8">
        <w:rPr>
          <w:rFonts w:ascii="Arial"/>
          <w:w w:val="105"/>
          <w:sz w:val="16"/>
        </w:rPr>
        <w:t>Other</w:t>
      </w:r>
      <w:r w:rsidRPr="00EB2BD8">
        <w:rPr>
          <w:rFonts w:ascii="Arial"/>
          <w:spacing w:val="-3"/>
          <w:w w:val="105"/>
          <w:sz w:val="16"/>
        </w:rPr>
        <w:t xml:space="preserve"> </w:t>
      </w:r>
      <w:r w:rsidRPr="00EB2BD8">
        <w:rPr>
          <w:rFonts w:ascii="Arial"/>
          <w:w w:val="105"/>
          <w:sz w:val="16"/>
        </w:rPr>
        <w:t>non-financial</w:t>
      </w:r>
      <w:r w:rsidRPr="00EB2BD8">
        <w:rPr>
          <w:rFonts w:ascii="Arial"/>
          <w:spacing w:val="-2"/>
          <w:w w:val="105"/>
          <w:sz w:val="16"/>
        </w:rPr>
        <w:t xml:space="preserve"> </w:t>
      </w:r>
      <w:r w:rsidRPr="00EB2BD8">
        <w:rPr>
          <w:rFonts w:ascii="Arial"/>
          <w:w w:val="105"/>
          <w:sz w:val="16"/>
        </w:rPr>
        <w:t>assets</w:t>
      </w:r>
      <w:r w:rsidRPr="00EB2BD8">
        <w:rPr>
          <w:rFonts w:ascii="Arial"/>
          <w:spacing w:val="-3"/>
          <w:w w:val="105"/>
          <w:sz w:val="16"/>
        </w:rPr>
        <w:t xml:space="preserve"> </w:t>
      </w:r>
      <w:r w:rsidRPr="00EB2BD8">
        <w:rPr>
          <w:rFonts w:ascii="Arial"/>
          <w:w w:val="105"/>
          <w:sz w:val="16"/>
        </w:rPr>
        <w:t>include</w:t>
      </w:r>
      <w:r w:rsidRPr="00EB2BD8">
        <w:rPr>
          <w:rFonts w:ascii="Arial"/>
          <w:spacing w:val="-3"/>
          <w:w w:val="105"/>
          <w:sz w:val="16"/>
        </w:rPr>
        <w:t xml:space="preserve"> </w:t>
      </w:r>
      <w:r w:rsidRPr="00EB2BD8">
        <w:rPr>
          <w:rFonts w:ascii="Arial"/>
          <w:w w:val="105"/>
          <w:sz w:val="16"/>
        </w:rPr>
        <w:t>prepayments,</w:t>
      </w:r>
      <w:r w:rsidRPr="00EB2BD8">
        <w:rPr>
          <w:rFonts w:ascii="Arial"/>
          <w:spacing w:val="-3"/>
          <w:w w:val="105"/>
          <w:sz w:val="16"/>
        </w:rPr>
        <w:t xml:space="preserve"> </w:t>
      </w:r>
      <w:r w:rsidRPr="00EB2BD8">
        <w:rPr>
          <w:rFonts w:ascii="Arial"/>
          <w:w w:val="105"/>
          <w:sz w:val="16"/>
        </w:rPr>
        <w:t>which</w:t>
      </w:r>
      <w:r w:rsidRPr="00EB2BD8">
        <w:rPr>
          <w:rFonts w:ascii="Arial"/>
          <w:spacing w:val="-3"/>
          <w:w w:val="105"/>
          <w:sz w:val="16"/>
        </w:rPr>
        <w:t xml:space="preserve"> </w:t>
      </w:r>
      <w:r w:rsidRPr="00EB2BD8">
        <w:rPr>
          <w:rFonts w:ascii="Arial"/>
          <w:w w:val="105"/>
          <w:sz w:val="16"/>
        </w:rPr>
        <w:t>represent</w:t>
      </w:r>
      <w:r w:rsidRPr="00EB2BD8">
        <w:rPr>
          <w:rFonts w:ascii="Arial"/>
          <w:spacing w:val="-3"/>
          <w:w w:val="105"/>
          <w:sz w:val="16"/>
        </w:rPr>
        <w:t xml:space="preserve"> </w:t>
      </w:r>
      <w:r w:rsidRPr="00EB2BD8">
        <w:rPr>
          <w:rFonts w:ascii="Arial"/>
          <w:w w:val="105"/>
          <w:sz w:val="16"/>
        </w:rPr>
        <w:t>payments</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advance</w:t>
      </w:r>
      <w:r w:rsidRPr="00EB2BD8">
        <w:rPr>
          <w:rFonts w:ascii="Arial"/>
          <w:spacing w:val="-3"/>
          <w:w w:val="105"/>
          <w:sz w:val="16"/>
        </w:rPr>
        <w:t xml:space="preserve"> </w:t>
      </w:r>
      <w:r w:rsidRPr="00EB2BD8">
        <w:rPr>
          <w:rFonts w:ascii="Arial"/>
          <w:w w:val="105"/>
          <w:sz w:val="16"/>
        </w:rPr>
        <w:t>of</w:t>
      </w:r>
      <w:r w:rsidRPr="00EB2BD8">
        <w:rPr>
          <w:rFonts w:ascii="Arial"/>
          <w:spacing w:val="-1"/>
          <w:w w:val="105"/>
          <w:sz w:val="16"/>
        </w:rPr>
        <w:t xml:space="preserve"> </w:t>
      </w:r>
      <w:r w:rsidRPr="00EB2BD8">
        <w:rPr>
          <w:rFonts w:ascii="Arial"/>
          <w:w w:val="105"/>
          <w:sz w:val="16"/>
        </w:rPr>
        <w:t>receipt</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goods</w:t>
      </w:r>
      <w:r w:rsidRPr="00EB2BD8">
        <w:rPr>
          <w:rFonts w:ascii="Arial"/>
          <w:spacing w:val="-3"/>
          <w:w w:val="105"/>
          <w:sz w:val="16"/>
        </w:rPr>
        <w:t xml:space="preserve"> </w:t>
      </w:r>
      <w:r w:rsidRPr="00EB2BD8">
        <w:rPr>
          <w:rFonts w:ascii="Arial"/>
          <w:w w:val="105"/>
          <w:sz w:val="16"/>
        </w:rPr>
        <w:t>or</w:t>
      </w:r>
      <w:r w:rsidRPr="00EB2BD8">
        <w:rPr>
          <w:rFonts w:ascii="Arial"/>
          <w:spacing w:val="-3"/>
          <w:w w:val="105"/>
          <w:sz w:val="16"/>
        </w:rPr>
        <w:t xml:space="preserve"> </w:t>
      </w:r>
      <w:r w:rsidRPr="00EB2BD8">
        <w:rPr>
          <w:rFonts w:ascii="Arial"/>
          <w:w w:val="105"/>
          <w:sz w:val="16"/>
        </w:rPr>
        <w:t>services,</w:t>
      </w:r>
      <w:r w:rsidRPr="00EB2BD8">
        <w:rPr>
          <w:rFonts w:ascii="Arial"/>
          <w:spacing w:val="-1"/>
          <w:w w:val="105"/>
          <w:sz w:val="16"/>
        </w:rPr>
        <w:t xml:space="preserve"> </w:t>
      </w:r>
      <w:r w:rsidRPr="00EB2BD8">
        <w:rPr>
          <w:rFonts w:ascii="Arial"/>
          <w:w w:val="105"/>
          <w:sz w:val="16"/>
        </w:rPr>
        <w:t>or the payments made for services covering a term extending beyond that financial accounting period.</w:t>
      </w:r>
    </w:p>
    <w:p w14:paraId="4F36F682" w14:textId="77777777" w:rsidR="00084F36" w:rsidRPr="00EB2BD8" w:rsidRDefault="00084F36">
      <w:pPr>
        <w:pStyle w:val="BodyText"/>
        <w:rPr>
          <w:rFonts w:ascii="Arial"/>
        </w:rPr>
      </w:pPr>
    </w:p>
    <w:p w14:paraId="0A9BBB89" w14:textId="1F7B8E80" w:rsidR="00084F36" w:rsidRPr="00772B16" w:rsidRDefault="00772B16" w:rsidP="00086D4B">
      <w:pPr>
        <w:pStyle w:val="Heading2"/>
        <w:ind w:firstLine="165"/>
      </w:pPr>
      <w:bookmarkStart w:id="307" w:name="_Toc150762609"/>
      <w:r w:rsidRPr="00772B16">
        <w:t>5.</w:t>
      </w:r>
      <w:r>
        <w:t>6</w:t>
      </w:r>
      <w:r w:rsidRPr="00772B16">
        <w:t xml:space="preserve"> </w:t>
      </w:r>
      <w:r w:rsidR="00273892">
        <w:t>O</w:t>
      </w:r>
      <w:r w:rsidR="00273892" w:rsidRPr="00772B16">
        <w:t>ther</w:t>
      </w:r>
      <w:r w:rsidR="00273892" w:rsidRPr="00772B16">
        <w:rPr>
          <w:spacing w:val="13"/>
        </w:rPr>
        <w:t xml:space="preserve"> </w:t>
      </w:r>
      <w:r w:rsidR="00273892" w:rsidRPr="00772B16">
        <w:t>liabilities</w:t>
      </w:r>
      <w:bookmarkEnd w:id="307"/>
    </w:p>
    <w:p w14:paraId="1376363D" w14:textId="77777777" w:rsidR="00084F36" w:rsidRPr="00EB2BD8" w:rsidRDefault="00084F36">
      <w:pPr>
        <w:pStyle w:val="BodyText"/>
        <w:spacing w:before="7"/>
        <w:rPr>
          <w:rFonts w:ascii="Arial"/>
          <w:b/>
          <w:sz w:val="20"/>
        </w:rPr>
      </w:pPr>
    </w:p>
    <w:p w14:paraId="390B6FDE" w14:textId="77777777" w:rsidR="00084F36" w:rsidRPr="00EB2BD8" w:rsidRDefault="00EB2BD8">
      <w:pPr>
        <w:spacing w:before="1" w:after="55"/>
        <w:ind w:left="9259"/>
        <w:rPr>
          <w:rFonts w:ascii="Arial" w:hAnsi="Arial"/>
          <w:sz w:val="16"/>
        </w:rPr>
      </w:pPr>
      <w:r w:rsidRPr="00EB2BD8">
        <w:rPr>
          <w:rFonts w:ascii="Arial" w:hAnsi="Arial"/>
          <w:spacing w:val="-2"/>
          <w:w w:val="105"/>
          <w:sz w:val="16"/>
        </w:rPr>
        <w:t>($’000)</w:t>
      </w:r>
    </w:p>
    <w:tbl>
      <w:tblPr>
        <w:tblW w:w="0" w:type="auto"/>
        <w:tblInd w:w="1023" w:type="dxa"/>
        <w:tblLayout w:type="fixed"/>
        <w:tblCellMar>
          <w:left w:w="0" w:type="dxa"/>
          <w:right w:w="0" w:type="dxa"/>
        </w:tblCellMar>
        <w:tblLook w:val="01E0" w:firstRow="1" w:lastRow="1" w:firstColumn="1" w:lastColumn="1" w:noHBand="0" w:noVBand="0"/>
      </w:tblPr>
      <w:tblGrid>
        <w:gridCol w:w="6084"/>
        <w:gridCol w:w="1392"/>
        <w:gridCol w:w="1393"/>
      </w:tblGrid>
      <w:tr w:rsidR="00EB2BD8" w:rsidRPr="00EB2BD8" w14:paraId="02B2C02D" w14:textId="77777777">
        <w:trPr>
          <w:trHeight w:val="306"/>
        </w:trPr>
        <w:tc>
          <w:tcPr>
            <w:tcW w:w="7476" w:type="dxa"/>
            <w:gridSpan w:val="2"/>
            <w:tcBorders>
              <w:top w:val="single" w:sz="4" w:space="0" w:color="0098FF"/>
              <w:left w:val="single" w:sz="4" w:space="0" w:color="0098FF"/>
              <w:bottom w:val="single" w:sz="4" w:space="0" w:color="0098FF"/>
            </w:tcBorders>
            <w:shd w:val="clear" w:color="auto" w:fill="0070C0"/>
          </w:tcPr>
          <w:p w14:paraId="06CF69D9" w14:textId="77777777" w:rsidR="00084F36" w:rsidRPr="00EB2BD8" w:rsidRDefault="00EB2BD8">
            <w:pPr>
              <w:pStyle w:val="TableParagraph"/>
              <w:spacing w:before="63"/>
              <w:ind w:right="95"/>
              <w:jc w:val="right"/>
              <w:rPr>
                <w:rFonts w:ascii="Arial"/>
                <w:b/>
                <w:sz w:val="16"/>
              </w:rPr>
            </w:pPr>
            <w:r w:rsidRPr="00EB2BD8">
              <w:rPr>
                <w:rFonts w:ascii="Arial"/>
                <w:b/>
                <w:spacing w:val="-4"/>
                <w:w w:val="105"/>
                <w:sz w:val="16"/>
              </w:rPr>
              <w:t>2023</w:t>
            </w:r>
          </w:p>
        </w:tc>
        <w:tc>
          <w:tcPr>
            <w:tcW w:w="1393" w:type="dxa"/>
            <w:tcBorders>
              <w:top w:val="single" w:sz="4" w:space="0" w:color="0098FF"/>
              <w:bottom w:val="single" w:sz="4" w:space="0" w:color="0098FF"/>
              <w:right w:val="single" w:sz="4" w:space="0" w:color="0098FF"/>
            </w:tcBorders>
            <w:shd w:val="clear" w:color="auto" w:fill="0070C0"/>
          </w:tcPr>
          <w:p w14:paraId="5E1C6746" w14:textId="77777777" w:rsidR="00084F36" w:rsidRPr="00EB2BD8" w:rsidRDefault="00EB2BD8">
            <w:pPr>
              <w:pStyle w:val="TableParagraph"/>
              <w:spacing w:before="63"/>
              <w:ind w:right="90"/>
              <w:jc w:val="right"/>
              <w:rPr>
                <w:rFonts w:ascii="Arial"/>
                <w:b/>
                <w:sz w:val="16"/>
              </w:rPr>
            </w:pPr>
            <w:r w:rsidRPr="00EB2BD8">
              <w:rPr>
                <w:rFonts w:ascii="Arial"/>
                <w:b/>
                <w:spacing w:val="-4"/>
                <w:w w:val="105"/>
                <w:sz w:val="16"/>
              </w:rPr>
              <w:t>2022</w:t>
            </w:r>
          </w:p>
        </w:tc>
      </w:tr>
      <w:tr w:rsidR="00EB2BD8" w:rsidRPr="00EB2BD8" w14:paraId="6D6995FE" w14:textId="77777777">
        <w:trPr>
          <w:trHeight w:val="312"/>
        </w:trPr>
        <w:tc>
          <w:tcPr>
            <w:tcW w:w="6084" w:type="dxa"/>
            <w:tcBorders>
              <w:top w:val="single" w:sz="4" w:space="0" w:color="0098FF"/>
            </w:tcBorders>
            <w:shd w:val="clear" w:color="auto" w:fill="FFFFFF"/>
          </w:tcPr>
          <w:p w14:paraId="1E83265D" w14:textId="77777777" w:rsidR="00084F36" w:rsidRPr="00EB2BD8" w:rsidRDefault="00EB2BD8">
            <w:pPr>
              <w:pStyle w:val="TableParagraph"/>
              <w:spacing w:before="64"/>
              <w:ind w:left="105"/>
              <w:rPr>
                <w:rFonts w:ascii="Arial"/>
                <w:sz w:val="16"/>
              </w:rPr>
            </w:pPr>
            <w:r w:rsidRPr="00EB2BD8">
              <w:rPr>
                <w:rFonts w:ascii="Arial"/>
                <w:w w:val="105"/>
                <w:sz w:val="16"/>
              </w:rPr>
              <w:t>DBDRV</w:t>
            </w:r>
            <w:r w:rsidRPr="00EB2BD8">
              <w:rPr>
                <w:rFonts w:ascii="Arial"/>
                <w:spacing w:val="-10"/>
                <w:w w:val="105"/>
                <w:sz w:val="16"/>
              </w:rPr>
              <w:t xml:space="preserve"> </w:t>
            </w:r>
            <w:r w:rsidRPr="00EB2BD8">
              <w:rPr>
                <w:rFonts w:ascii="Arial"/>
                <w:spacing w:val="-2"/>
                <w:w w:val="105"/>
                <w:sz w:val="16"/>
              </w:rPr>
              <w:t>clearing</w:t>
            </w:r>
          </w:p>
        </w:tc>
        <w:tc>
          <w:tcPr>
            <w:tcW w:w="1392" w:type="dxa"/>
            <w:tcBorders>
              <w:top w:val="single" w:sz="4" w:space="0" w:color="0098FF"/>
            </w:tcBorders>
            <w:shd w:val="clear" w:color="auto" w:fill="DEEAF6"/>
          </w:tcPr>
          <w:p w14:paraId="2863711D" w14:textId="77777777" w:rsidR="00084F36" w:rsidRPr="00EB2BD8" w:rsidRDefault="00EB2BD8">
            <w:pPr>
              <w:pStyle w:val="TableParagraph"/>
              <w:spacing w:before="64"/>
              <w:ind w:right="96"/>
              <w:jc w:val="right"/>
              <w:rPr>
                <w:rFonts w:ascii="Arial"/>
                <w:sz w:val="16"/>
              </w:rPr>
            </w:pPr>
            <w:r w:rsidRPr="00EB2BD8">
              <w:rPr>
                <w:rFonts w:ascii="Arial"/>
                <w:spacing w:val="-2"/>
                <w:w w:val="105"/>
                <w:sz w:val="16"/>
              </w:rPr>
              <w:t>1,265</w:t>
            </w:r>
          </w:p>
        </w:tc>
        <w:tc>
          <w:tcPr>
            <w:tcW w:w="1393" w:type="dxa"/>
            <w:tcBorders>
              <w:top w:val="single" w:sz="4" w:space="0" w:color="0098FF"/>
            </w:tcBorders>
            <w:shd w:val="clear" w:color="auto" w:fill="FFFFFF"/>
          </w:tcPr>
          <w:p w14:paraId="09F74047" w14:textId="77777777" w:rsidR="00084F36" w:rsidRPr="00EB2BD8" w:rsidRDefault="00EB2BD8">
            <w:pPr>
              <w:pStyle w:val="TableParagraph"/>
              <w:spacing w:before="64"/>
              <w:ind w:right="95"/>
              <w:jc w:val="right"/>
              <w:rPr>
                <w:rFonts w:ascii="Arial"/>
                <w:sz w:val="16"/>
              </w:rPr>
            </w:pPr>
            <w:r w:rsidRPr="00EB2BD8">
              <w:rPr>
                <w:rFonts w:ascii="Arial"/>
                <w:spacing w:val="-2"/>
                <w:w w:val="105"/>
                <w:sz w:val="16"/>
              </w:rPr>
              <w:t>1,250</w:t>
            </w:r>
          </w:p>
        </w:tc>
      </w:tr>
      <w:tr w:rsidR="00EB2BD8" w:rsidRPr="00EB2BD8" w14:paraId="701DADA5" w14:textId="77777777">
        <w:trPr>
          <w:trHeight w:val="314"/>
        </w:trPr>
        <w:tc>
          <w:tcPr>
            <w:tcW w:w="6084" w:type="dxa"/>
            <w:shd w:val="clear" w:color="auto" w:fill="FFFFFF"/>
          </w:tcPr>
          <w:p w14:paraId="06AC25F1" w14:textId="77777777" w:rsidR="00084F36" w:rsidRPr="00EB2BD8" w:rsidRDefault="00EB2BD8">
            <w:pPr>
              <w:pStyle w:val="TableParagraph"/>
              <w:spacing w:before="64"/>
              <w:ind w:left="105"/>
              <w:rPr>
                <w:rFonts w:ascii="Arial"/>
                <w:sz w:val="16"/>
              </w:rPr>
            </w:pPr>
            <w:r w:rsidRPr="00EB2BD8">
              <w:rPr>
                <w:rFonts w:ascii="Arial"/>
                <w:w w:val="105"/>
                <w:sz w:val="16"/>
              </w:rPr>
              <w:t>Domestic</w:t>
            </w:r>
            <w:r w:rsidRPr="00EB2BD8">
              <w:rPr>
                <w:rFonts w:ascii="Arial"/>
                <w:spacing w:val="-11"/>
                <w:w w:val="105"/>
                <w:sz w:val="16"/>
              </w:rPr>
              <w:t xml:space="preserve"> </w:t>
            </w:r>
            <w:r w:rsidRPr="00EB2BD8">
              <w:rPr>
                <w:rFonts w:ascii="Arial"/>
                <w:w w:val="105"/>
                <w:sz w:val="16"/>
              </w:rPr>
              <w:t>building</w:t>
            </w:r>
            <w:r w:rsidRPr="00EB2BD8">
              <w:rPr>
                <w:rFonts w:ascii="Arial"/>
                <w:spacing w:val="-10"/>
                <w:w w:val="105"/>
                <w:sz w:val="16"/>
              </w:rPr>
              <w:t xml:space="preserve"> </w:t>
            </w:r>
            <w:r w:rsidRPr="00EB2BD8">
              <w:rPr>
                <w:rFonts w:ascii="Arial"/>
                <w:spacing w:val="-4"/>
                <w:w w:val="105"/>
                <w:sz w:val="16"/>
              </w:rPr>
              <w:t>list</w:t>
            </w:r>
          </w:p>
        </w:tc>
        <w:tc>
          <w:tcPr>
            <w:tcW w:w="1392" w:type="dxa"/>
            <w:shd w:val="clear" w:color="auto" w:fill="DEEAF6"/>
          </w:tcPr>
          <w:p w14:paraId="15383AFC" w14:textId="77777777" w:rsidR="00084F36" w:rsidRPr="00EB2BD8" w:rsidRDefault="00EB2BD8">
            <w:pPr>
              <w:pStyle w:val="TableParagraph"/>
              <w:spacing w:before="64"/>
              <w:ind w:right="96"/>
              <w:jc w:val="right"/>
              <w:rPr>
                <w:rFonts w:ascii="Arial"/>
                <w:sz w:val="16"/>
              </w:rPr>
            </w:pPr>
            <w:r w:rsidRPr="00EB2BD8">
              <w:rPr>
                <w:rFonts w:ascii="Arial"/>
                <w:spacing w:val="-5"/>
                <w:w w:val="105"/>
                <w:sz w:val="16"/>
              </w:rPr>
              <w:t>442</w:t>
            </w:r>
          </w:p>
        </w:tc>
        <w:tc>
          <w:tcPr>
            <w:tcW w:w="1393" w:type="dxa"/>
            <w:shd w:val="clear" w:color="auto" w:fill="FFFFFF"/>
          </w:tcPr>
          <w:p w14:paraId="293BA460" w14:textId="77777777" w:rsidR="00084F36" w:rsidRPr="00EB2BD8" w:rsidRDefault="00EB2BD8">
            <w:pPr>
              <w:pStyle w:val="TableParagraph"/>
              <w:spacing w:before="64"/>
              <w:ind w:right="96"/>
              <w:jc w:val="right"/>
              <w:rPr>
                <w:rFonts w:ascii="Arial"/>
                <w:sz w:val="16"/>
              </w:rPr>
            </w:pPr>
            <w:r w:rsidRPr="00EB2BD8">
              <w:rPr>
                <w:rFonts w:ascii="Arial"/>
                <w:spacing w:val="-5"/>
                <w:w w:val="105"/>
                <w:sz w:val="16"/>
              </w:rPr>
              <w:t>442</w:t>
            </w:r>
          </w:p>
        </w:tc>
      </w:tr>
      <w:tr w:rsidR="00EB2BD8" w:rsidRPr="00EB2BD8" w14:paraId="00887032" w14:textId="77777777">
        <w:trPr>
          <w:trHeight w:val="314"/>
        </w:trPr>
        <w:tc>
          <w:tcPr>
            <w:tcW w:w="6084" w:type="dxa"/>
            <w:tcBorders>
              <w:bottom w:val="single" w:sz="12" w:space="0" w:color="000000"/>
            </w:tcBorders>
            <w:shd w:val="clear" w:color="auto" w:fill="FFFFFF"/>
          </w:tcPr>
          <w:p w14:paraId="3D9B8AAD" w14:textId="77777777" w:rsidR="00084F36" w:rsidRPr="00EB2BD8" w:rsidRDefault="00EB2BD8">
            <w:pPr>
              <w:pStyle w:val="TableParagraph"/>
              <w:spacing w:before="66"/>
              <w:ind w:left="105"/>
              <w:rPr>
                <w:rFonts w:ascii="Arial"/>
                <w:sz w:val="16"/>
              </w:rPr>
            </w:pPr>
            <w:r w:rsidRPr="00EB2BD8">
              <w:rPr>
                <w:rFonts w:ascii="Arial"/>
                <w:spacing w:val="-2"/>
                <w:w w:val="105"/>
                <w:sz w:val="16"/>
              </w:rPr>
              <w:t>Others</w:t>
            </w:r>
          </w:p>
        </w:tc>
        <w:tc>
          <w:tcPr>
            <w:tcW w:w="1392" w:type="dxa"/>
            <w:tcBorders>
              <w:bottom w:val="single" w:sz="12" w:space="0" w:color="000000"/>
            </w:tcBorders>
            <w:shd w:val="clear" w:color="auto" w:fill="DEEAF6"/>
          </w:tcPr>
          <w:p w14:paraId="1323F2E1" w14:textId="77777777" w:rsidR="00084F36" w:rsidRPr="00EB2BD8" w:rsidRDefault="00EB2BD8">
            <w:pPr>
              <w:pStyle w:val="TableParagraph"/>
              <w:spacing w:before="66"/>
              <w:ind w:right="96"/>
              <w:jc w:val="right"/>
              <w:rPr>
                <w:rFonts w:ascii="Arial"/>
                <w:sz w:val="16"/>
              </w:rPr>
            </w:pPr>
            <w:r w:rsidRPr="00EB2BD8">
              <w:rPr>
                <w:rFonts w:ascii="Arial"/>
                <w:spacing w:val="-5"/>
                <w:w w:val="105"/>
                <w:sz w:val="16"/>
              </w:rPr>
              <w:t>26</w:t>
            </w:r>
          </w:p>
        </w:tc>
        <w:tc>
          <w:tcPr>
            <w:tcW w:w="1393" w:type="dxa"/>
            <w:tcBorders>
              <w:bottom w:val="single" w:sz="12" w:space="0" w:color="000000"/>
            </w:tcBorders>
            <w:shd w:val="clear" w:color="auto" w:fill="FFFFFF"/>
          </w:tcPr>
          <w:p w14:paraId="65296805" w14:textId="77777777" w:rsidR="00084F36" w:rsidRPr="00EB2BD8" w:rsidRDefault="00EB2BD8">
            <w:pPr>
              <w:pStyle w:val="TableParagraph"/>
              <w:spacing w:before="66"/>
              <w:ind w:right="95"/>
              <w:jc w:val="right"/>
              <w:rPr>
                <w:rFonts w:ascii="Arial"/>
                <w:sz w:val="16"/>
              </w:rPr>
            </w:pPr>
            <w:r w:rsidRPr="00EB2BD8">
              <w:rPr>
                <w:rFonts w:ascii="Arial"/>
                <w:spacing w:val="-5"/>
                <w:w w:val="105"/>
                <w:sz w:val="16"/>
              </w:rPr>
              <w:t>16</w:t>
            </w:r>
          </w:p>
        </w:tc>
      </w:tr>
      <w:tr w:rsidR="00EB2BD8" w:rsidRPr="00EB2BD8" w14:paraId="3F931297" w14:textId="77777777">
        <w:trPr>
          <w:trHeight w:val="287"/>
        </w:trPr>
        <w:tc>
          <w:tcPr>
            <w:tcW w:w="6084" w:type="dxa"/>
            <w:tcBorders>
              <w:top w:val="single" w:sz="12" w:space="0" w:color="000000"/>
              <w:bottom w:val="single" w:sz="12" w:space="0" w:color="000000"/>
            </w:tcBorders>
            <w:shd w:val="clear" w:color="auto" w:fill="FFFFFF"/>
          </w:tcPr>
          <w:p w14:paraId="0D44E29E" w14:textId="77777777" w:rsidR="00084F36" w:rsidRPr="00EB2BD8" w:rsidRDefault="00EB2BD8">
            <w:pPr>
              <w:pStyle w:val="TableParagraph"/>
              <w:spacing w:before="40"/>
              <w:ind w:left="105"/>
              <w:rPr>
                <w:rFonts w:ascii="Arial"/>
                <w:b/>
                <w:sz w:val="16"/>
              </w:rPr>
            </w:pPr>
            <w:r w:rsidRPr="00EB2BD8">
              <w:rPr>
                <w:rFonts w:ascii="Arial"/>
                <w:b/>
                <w:w w:val="105"/>
                <w:sz w:val="16"/>
              </w:rPr>
              <w:t>Total</w:t>
            </w:r>
            <w:r w:rsidRPr="00EB2BD8">
              <w:rPr>
                <w:rFonts w:ascii="Arial"/>
                <w:b/>
                <w:spacing w:val="-7"/>
                <w:w w:val="105"/>
                <w:sz w:val="16"/>
              </w:rPr>
              <w:t xml:space="preserve"> </w:t>
            </w:r>
            <w:r w:rsidRPr="00EB2BD8">
              <w:rPr>
                <w:rFonts w:ascii="Arial"/>
                <w:b/>
                <w:w w:val="105"/>
                <w:sz w:val="16"/>
              </w:rPr>
              <w:t>other</w:t>
            </w:r>
            <w:r w:rsidRPr="00EB2BD8">
              <w:rPr>
                <w:rFonts w:ascii="Arial"/>
                <w:b/>
                <w:spacing w:val="-6"/>
                <w:w w:val="105"/>
                <w:sz w:val="16"/>
              </w:rPr>
              <w:t xml:space="preserve"> </w:t>
            </w:r>
            <w:r w:rsidRPr="00EB2BD8">
              <w:rPr>
                <w:rFonts w:ascii="Arial"/>
                <w:b/>
                <w:spacing w:val="-2"/>
                <w:w w:val="105"/>
                <w:sz w:val="16"/>
              </w:rPr>
              <w:t>liabilities</w:t>
            </w:r>
          </w:p>
        </w:tc>
        <w:tc>
          <w:tcPr>
            <w:tcW w:w="1392" w:type="dxa"/>
            <w:tcBorders>
              <w:top w:val="single" w:sz="12" w:space="0" w:color="000000"/>
              <w:bottom w:val="single" w:sz="12" w:space="0" w:color="000000"/>
            </w:tcBorders>
            <w:shd w:val="clear" w:color="auto" w:fill="DEEAF6"/>
          </w:tcPr>
          <w:p w14:paraId="26B68092" w14:textId="77777777" w:rsidR="00084F36" w:rsidRPr="00EB2BD8" w:rsidRDefault="00EB2BD8">
            <w:pPr>
              <w:pStyle w:val="TableParagraph"/>
              <w:spacing w:before="53"/>
              <w:ind w:right="96"/>
              <w:jc w:val="right"/>
              <w:rPr>
                <w:rFonts w:ascii="Arial"/>
                <w:b/>
                <w:sz w:val="16"/>
              </w:rPr>
            </w:pPr>
            <w:r w:rsidRPr="00EB2BD8">
              <w:rPr>
                <w:rFonts w:ascii="Arial"/>
                <w:b/>
                <w:spacing w:val="-2"/>
                <w:w w:val="105"/>
                <w:sz w:val="16"/>
              </w:rPr>
              <w:t>1,733</w:t>
            </w:r>
          </w:p>
        </w:tc>
        <w:tc>
          <w:tcPr>
            <w:tcW w:w="1393" w:type="dxa"/>
            <w:tcBorders>
              <w:top w:val="single" w:sz="12" w:space="0" w:color="000000"/>
              <w:bottom w:val="single" w:sz="12" w:space="0" w:color="000000"/>
            </w:tcBorders>
            <w:shd w:val="clear" w:color="auto" w:fill="FFFFFF"/>
          </w:tcPr>
          <w:p w14:paraId="426F36B8" w14:textId="77777777" w:rsidR="00084F36" w:rsidRPr="00EB2BD8" w:rsidRDefault="00EB2BD8">
            <w:pPr>
              <w:pStyle w:val="TableParagraph"/>
              <w:spacing w:before="53"/>
              <w:ind w:right="96"/>
              <w:jc w:val="right"/>
              <w:rPr>
                <w:rFonts w:ascii="Arial"/>
                <w:b/>
                <w:sz w:val="16"/>
              </w:rPr>
            </w:pPr>
            <w:r w:rsidRPr="00EB2BD8">
              <w:rPr>
                <w:rFonts w:ascii="Arial"/>
                <w:b/>
                <w:spacing w:val="-2"/>
                <w:w w:val="105"/>
                <w:sz w:val="16"/>
              </w:rPr>
              <w:t>1,708</w:t>
            </w:r>
          </w:p>
        </w:tc>
      </w:tr>
    </w:tbl>
    <w:p w14:paraId="083CEFA5" w14:textId="77777777" w:rsidR="00084F36" w:rsidRPr="00EB2BD8" w:rsidRDefault="00084F36">
      <w:pPr>
        <w:pStyle w:val="BodyText"/>
        <w:rPr>
          <w:rFonts w:ascii="Arial"/>
        </w:rPr>
      </w:pPr>
    </w:p>
    <w:p w14:paraId="24C236AE" w14:textId="77777777" w:rsidR="00084F36" w:rsidRPr="00EB2BD8" w:rsidRDefault="00084F36">
      <w:pPr>
        <w:pStyle w:val="BodyText"/>
        <w:rPr>
          <w:rFonts w:ascii="Arial"/>
        </w:rPr>
      </w:pPr>
    </w:p>
    <w:p w14:paraId="49B86B5B" w14:textId="77777777" w:rsidR="00084F36" w:rsidRPr="00EB2BD8" w:rsidRDefault="00084F36">
      <w:pPr>
        <w:pStyle w:val="BodyText"/>
        <w:rPr>
          <w:rFonts w:ascii="Arial"/>
        </w:rPr>
      </w:pPr>
    </w:p>
    <w:p w14:paraId="42FB5A19" w14:textId="77777777" w:rsidR="00084F36" w:rsidRPr="00EB2BD8" w:rsidRDefault="00084F36">
      <w:pPr>
        <w:pStyle w:val="BodyText"/>
        <w:rPr>
          <w:rFonts w:ascii="Arial"/>
        </w:rPr>
      </w:pPr>
    </w:p>
    <w:p w14:paraId="3FBC5B55" w14:textId="77777777" w:rsidR="00084F36" w:rsidRPr="00EB2BD8" w:rsidRDefault="00084F36">
      <w:pPr>
        <w:pStyle w:val="BodyText"/>
        <w:rPr>
          <w:rFonts w:ascii="Arial"/>
        </w:rPr>
      </w:pPr>
    </w:p>
    <w:p w14:paraId="38089516" w14:textId="77777777" w:rsidR="00084F36" w:rsidRPr="00EB2BD8" w:rsidRDefault="00084F36">
      <w:pPr>
        <w:pStyle w:val="BodyText"/>
        <w:rPr>
          <w:rFonts w:ascii="Arial"/>
        </w:rPr>
      </w:pPr>
    </w:p>
    <w:p w14:paraId="3C4C323A" w14:textId="77777777" w:rsidR="00084F36" w:rsidRPr="00EB2BD8" w:rsidRDefault="00084F36">
      <w:pPr>
        <w:pStyle w:val="BodyText"/>
        <w:rPr>
          <w:rFonts w:ascii="Arial"/>
        </w:rPr>
      </w:pPr>
    </w:p>
    <w:p w14:paraId="522FAE9D" w14:textId="77777777" w:rsidR="00084F36" w:rsidRPr="00EB2BD8" w:rsidRDefault="00084F36">
      <w:pPr>
        <w:pStyle w:val="BodyText"/>
        <w:rPr>
          <w:rFonts w:ascii="Arial"/>
        </w:rPr>
      </w:pPr>
    </w:p>
    <w:p w14:paraId="0A4AAB2F" w14:textId="77777777" w:rsidR="00084F36" w:rsidRPr="00EB2BD8" w:rsidRDefault="00084F36">
      <w:pPr>
        <w:pStyle w:val="BodyText"/>
        <w:rPr>
          <w:rFonts w:ascii="Arial"/>
        </w:rPr>
      </w:pPr>
    </w:p>
    <w:p w14:paraId="6D95DDFF" w14:textId="77777777" w:rsidR="00084F36" w:rsidRPr="00EB2BD8" w:rsidRDefault="00084F36">
      <w:pPr>
        <w:pStyle w:val="BodyText"/>
        <w:rPr>
          <w:rFonts w:ascii="Arial"/>
        </w:rPr>
      </w:pPr>
    </w:p>
    <w:p w14:paraId="29727B1F" w14:textId="77777777" w:rsidR="00084F36" w:rsidRPr="00EB2BD8" w:rsidRDefault="00084F36">
      <w:pPr>
        <w:pStyle w:val="BodyText"/>
        <w:rPr>
          <w:rFonts w:ascii="Arial"/>
        </w:rPr>
      </w:pPr>
    </w:p>
    <w:p w14:paraId="27EA14ED" w14:textId="77777777" w:rsidR="00084F36" w:rsidRPr="00EB2BD8" w:rsidRDefault="00084F36">
      <w:pPr>
        <w:pStyle w:val="BodyText"/>
        <w:rPr>
          <w:rFonts w:ascii="Arial"/>
        </w:rPr>
      </w:pPr>
    </w:p>
    <w:p w14:paraId="5A319892" w14:textId="77777777" w:rsidR="00084F36" w:rsidRPr="00EB2BD8" w:rsidRDefault="00084F36">
      <w:pPr>
        <w:pStyle w:val="BodyText"/>
        <w:rPr>
          <w:rFonts w:ascii="Arial"/>
        </w:rPr>
      </w:pPr>
    </w:p>
    <w:p w14:paraId="3BB6F607" w14:textId="77777777" w:rsidR="00084F36" w:rsidRPr="00EB2BD8" w:rsidRDefault="00084F36">
      <w:pPr>
        <w:pStyle w:val="BodyText"/>
        <w:rPr>
          <w:rFonts w:ascii="Arial"/>
        </w:rPr>
      </w:pPr>
    </w:p>
    <w:p w14:paraId="75092DFA" w14:textId="77777777" w:rsidR="00084F36" w:rsidRPr="00EB2BD8" w:rsidRDefault="00084F36">
      <w:pPr>
        <w:pStyle w:val="BodyText"/>
        <w:rPr>
          <w:rFonts w:ascii="Arial"/>
        </w:rPr>
      </w:pPr>
    </w:p>
    <w:p w14:paraId="7C35BBF0" w14:textId="77777777" w:rsidR="00084F36" w:rsidRPr="00EB2BD8" w:rsidRDefault="00084F36">
      <w:pPr>
        <w:pStyle w:val="BodyText"/>
        <w:rPr>
          <w:rFonts w:ascii="Arial"/>
        </w:rPr>
      </w:pPr>
    </w:p>
    <w:p w14:paraId="3477EA96" w14:textId="77777777" w:rsidR="00084F36" w:rsidRPr="00EB2BD8" w:rsidRDefault="00084F36">
      <w:pPr>
        <w:pStyle w:val="BodyText"/>
        <w:rPr>
          <w:rFonts w:ascii="Arial"/>
        </w:rPr>
      </w:pPr>
    </w:p>
    <w:p w14:paraId="776F54D4" w14:textId="77777777" w:rsidR="00084F36" w:rsidRPr="00EB2BD8" w:rsidRDefault="00084F36">
      <w:pPr>
        <w:pStyle w:val="BodyText"/>
        <w:rPr>
          <w:rFonts w:ascii="Arial"/>
        </w:rPr>
      </w:pPr>
    </w:p>
    <w:p w14:paraId="05164F24" w14:textId="77777777" w:rsidR="00084F36" w:rsidRPr="00EB2BD8" w:rsidRDefault="00084F36">
      <w:pPr>
        <w:pStyle w:val="BodyText"/>
        <w:rPr>
          <w:rFonts w:ascii="Arial"/>
        </w:rPr>
      </w:pPr>
    </w:p>
    <w:p w14:paraId="43E6D0F3" w14:textId="77777777" w:rsidR="00084F36" w:rsidRPr="00EB2BD8" w:rsidRDefault="00084F36">
      <w:pPr>
        <w:pStyle w:val="BodyText"/>
        <w:rPr>
          <w:rFonts w:ascii="Arial"/>
        </w:rPr>
      </w:pPr>
    </w:p>
    <w:p w14:paraId="08EACEF3" w14:textId="77777777" w:rsidR="00084F36" w:rsidRPr="00EB2BD8" w:rsidRDefault="00084F36">
      <w:pPr>
        <w:pStyle w:val="BodyText"/>
        <w:rPr>
          <w:rFonts w:ascii="Arial"/>
        </w:rPr>
      </w:pPr>
    </w:p>
    <w:p w14:paraId="3311FD7F" w14:textId="77777777" w:rsidR="00084F36" w:rsidRPr="00EB2BD8" w:rsidRDefault="00084F36">
      <w:pPr>
        <w:pStyle w:val="BodyText"/>
        <w:rPr>
          <w:rFonts w:ascii="Arial"/>
        </w:rPr>
      </w:pPr>
    </w:p>
    <w:p w14:paraId="5436B3F9" w14:textId="77777777" w:rsidR="00084F36" w:rsidRPr="00EB2BD8" w:rsidRDefault="00084F36">
      <w:pPr>
        <w:pStyle w:val="BodyText"/>
        <w:rPr>
          <w:rFonts w:ascii="Arial"/>
        </w:rPr>
      </w:pPr>
    </w:p>
    <w:p w14:paraId="51A33232" w14:textId="77777777" w:rsidR="00084F36" w:rsidRPr="00EB2BD8" w:rsidRDefault="00084F36">
      <w:pPr>
        <w:pStyle w:val="BodyText"/>
        <w:rPr>
          <w:rFonts w:ascii="Arial"/>
        </w:rPr>
      </w:pPr>
    </w:p>
    <w:p w14:paraId="7CC980BA" w14:textId="77777777" w:rsidR="00084F36" w:rsidRPr="00EB2BD8" w:rsidRDefault="00084F36">
      <w:pPr>
        <w:pStyle w:val="BodyText"/>
        <w:rPr>
          <w:rFonts w:ascii="Arial"/>
        </w:rPr>
      </w:pPr>
    </w:p>
    <w:p w14:paraId="595C543C" w14:textId="77777777" w:rsidR="00084F36" w:rsidRPr="00EB2BD8" w:rsidRDefault="00084F36">
      <w:pPr>
        <w:pStyle w:val="BodyText"/>
        <w:rPr>
          <w:rFonts w:ascii="Arial"/>
        </w:rPr>
      </w:pPr>
    </w:p>
    <w:p w14:paraId="46185498" w14:textId="77777777" w:rsidR="00084F36" w:rsidRPr="00EB2BD8" w:rsidRDefault="00084F36">
      <w:pPr>
        <w:pStyle w:val="BodyText"/>
        <w:rPr>
          <w:rFonts w:ascii="Arial"/>
        </w:rPr>
      </w:pPr>
    </w:p>
    <w:p w14:paraId="2E721A0B" w14:textId="77777777" w:rsidR="00084F36" w:rsidRPr="00EB2BD8" w:rsidRDefault="00084F36">
      <w:pPr>
        <w:pStyle w:val="BodyText"/>
        <w:rPr>
          <w:rFonts w:ascii="Arial"/>
        </w:rPr>
      </w:pPr>
    </w:p>
    <w:p w14:paraId="6A5DF521" w14:textId="77777777" w:rsidR="00084F36" w:rsidRPr="00EB2BD8" w:rsidRDefault="00084F36">
      <w:pPr>
        <w:pStyle w:val="BodyText"/>
        <w:rPr>
          <w:rFonts w:ascii="Arial"/>
        </w:rPr>
      </w:pPr>
    </w:p>
    <w:p w14:paraId="3191EABA" w14:textId="77777777" w:rsidR="00084F36" w:rsidRPr="00EB2BD8" w:rsidRDefault="00084F36">
      <w:pPr>
        <w:pStyle w:val="BodyText"/>
        <w:rPr>
          <w:rFonts w:ascii="Arial"/>
        </w:rPr>
      </w:pPr>
    </w:p>
    <w:p w14:paraId="45E69F16" w14:textId="77777777" w:rsidR="00084F36" w:rsidRPr="00EB2BD8" w:rsidRDefault="00084F36">
      <w:pPr>
        <w:pStyle w:val="BodyText"/>
        <w:rPr>
          <w:rFonts w:ascii="Arial"/>
        </w:rPr>
      </w:pPr>
    </w:p>
    <w:p w14:paraId="3B71EDB4" w14:textId="77777777" w:rsidR="00084F36" w:rsidRPr="00EB2BD8" w:rsidRDefault="00084F36">
      <w:pPr>
        <w:pStyle w:val="BodyText"/>
        <w:rPr>
          <w:rFonts w:ascii="Arial"/>
        </w:rPr>
      </w:pPr>
    </w:p>
    <w:p w14:paraId="1CB8DCA6" w14:textId="77777777" w:rsidR="00084F36" w:rsidRPr="00EB2BD8" w:rsidRDefault="00084F36">
      <w:pPr>
        <w:pStyle w:val="BodyText"/>
        <w:rPr>
          <w:rFonts w:ascii="Arial"/>
        </w:rPr>
      </w:pPr>
    </w:p>
    <w:p w14:paraId="7AF58000" w14:textId="77777777" w:rsidR="00084F36" w:rsidRPr="00EB2BD8" w:rsidRDefault="00084F36">
      <w:pPr>
        <w:pStyle w:val="BodyText"/>
        <w:rPr>
          <w:rFonts w:ascii="Arial"/>
        </w:rPr>
      </w:pPr>
    </w:p>
    <w:p w14:paraId="373C8CF1" w14:textId="77777777" w:rsidR="00084F36" w:rsidRPr="00EB2BD8" w:rsidRDefault="00084F36">
      <w:pPr>
        <w:pStyle w:val="BodyText"/>
        <w:rPr>
          <w:rFonts w:ascii="Arial"/>
        </w:rPr>
      </w:pPr>
    </w:p>
    <w:p w14:paraId="28F7C6A7" w14:textId="77777777" w:rsidR="00084F36" w:rsidRPr="00EB2BD8" w:rsidRDefault="00084F36">
      <w:pPr>
        <w:pStyle w:val="BodyText"/>
        <w:rPr>
          <w:rFonts w:ascii="Arial"/>
        </w:rPr>
      </w:pPr>
    </w:p>
    <w:p w14:paraId="448CCAFC" w14:textId="77777777" w:rsidR="00084F36" w:rsidRPr="00EB2BD8" w:rsidRDefault="00084F36">
      <w:pPr>
        <w:pStyle w:val="BodyText"/>
        <w:rPr>
          <w:rFonts w:ascii="Arial"/>
        </w:rPr>
      </w:pPr>
    </w:p>
    <w:p w14:paraId="685408F9" w14:textId="3D08ADD8" w:rsidR="00084F36" w:rsidRPr="00EB2BD8" w:rsidRDefault="00EB2BD8">
      <w:pPr>
        <w:tabs>
          <w:tab w:val="left" w:pos="1906"/>
        </w:tabs>
        <w:spacing w:before="142"/>
        <w:ind w:left="842"/>
        <w:rPr>
          <w:b/>
          <w:sz w:val="16"/>
        </w:rPr>
      </w:pPr>
      <w:r w:rsidRPr="00EB2BD8">
        <w:rPr>
          <w:sz w:val="16"/>
        </w:rPr>
        <w:tab/>
      </w:r>
    </w:p>
    <w:p w14:paraId="7AE93A14" w14:textId="77777777" w:rsidR="00084F36" w:rsidRPr="00EB2BD8" w:rsidRDefault="00084F36">
      <w:pPr>
        <w:rPr>
          <w:sz w:val="16"/>
        </w:rPr>
        <w:sectPr w:rsidR="00084F36" w:rsidRPr="00EB2BD8" w:rsidSect="006D75B2">
          <w:headerReference w:type="even" r:id="rId314"/>
          <w:footerReference w:type="even" r:id="rId315"/>
          <w:footerReference w:type="default" r:id="rId316"/>
          <w:pgSz w:w="11910" w:h="16840"/>
          <w:pgMar w:top="780" w:right="0" w:bottom="280" w:left="0" w:header="0" w:footer="0" w:gutter="0"/>
          <w:cols w:space="720"/>
        </w:sectPr>
      </w:pPr>
    </w:p>
    <w:p w14:paraId="4817AA90" w14:textId="77777777" w:rsidR="00084F36" w:rsidRPr="00EB2BD8" w:rsidRDefault="00084F36">
      <w:pPr>
        <w:pStyle w:val="BodyText"/>
        <w:rPr>
          <w:sz w:val="20"/>
        </w:rPr>
      </w:pPr>
    </w:p>
    <w:p w14:paraId="4EF732A0" w14:textId="77777777" w:rsidR="00084F36" w:rsidRPr="00EB2BD8" w:rsidRDefault="00084F36">
      <w:pPr>
        <w:pStyle w:val="BodyText"/>
        <w:rPr>
          <w:sz w:val="20"/>
        </w:rPr>
      </w:pPr>
    </w:p>
    <w:p w14:paraId="7C5DF592" w14:textId="77777777" w:rsidR="00084F36" w:rsidRPr="00EB2BD8" w:rsidRDefault="00084F36">
      <w:pPr>
        <w:pStyle w:val="BodyText"/>
        <w:rPr>
          <w:sz w:val="20"/>
        </w:rPr>
      </w:pPr>
    </w:p>
    <w:p w14:paraId="3BA2CCE3" w14:textId="77777777" w:rsidR="00084F36" w:rsidRPr="00EB2BD8" w:rsidRDefault="00084F36">
      <w:pPr>
        <w:pStyle w:val="BodyText"/>
        <w:rPr>
          <w:sz w:val="20"/>
        </w:rPr>
      </w:pPr>
    </w:p>
    <w:p w14:paraId="6F9AFB33" w14:textId="77777777" w:rsidR="00084F36" w:rsidRPr="00EB2BD8" w:rsidRDefault="00084F36">
      <w:pPr>
        <w:pStyle w:val="BodyText"/>
        <w:rPr>
          <w:sz w:val="20"/>
        </w:rPr>
      </w:pPr>
    </w:p>
    <w:p w14:paraId="27A3D275" w14:textId="77777777" w:rsidR="00084F36" w:rsidRPr="00EB2BD8" w:rsidRDefault="00084F36">
      <w:pPr>
        <w:pStyle w:val="BodyText"/>
        <w:spacing w:before="11"/>
        <w:rPr>
          <w:sz w:val="22"/>
        </w:rPr>
      </w:pPr>
    </w:p>
    <w:p w14:paraId="52CDA0F4" w14:textId="40CDAAED" w:rsidR="00084F36" w:rsidRPr="00EB2BD8" w:rsidRDefault="00086D4B" w:rsidP="00086D4B">
      <w:pPr>
        <w:pStyle w:val="Heading2"/>
      </w:pPr>
      <w:r>
        <w:t xml:space="preserve"> </w:t>
      </w:r>
      <w:bookmarkStart w:id="308" w:name="_Toc150762610"/>
      <w:r w:rsidR="00772B16">
        <w:t xml:space="preserve">5.7 </w:t>
      </w:r>
      <w:r w:rsidR="00273892">
        <w:t>M</w:t>
      </w:r>
      <w:r w:rsidR="00273892" w:rsidRPr="00EB2BD8">
        <w:t xml:space="preserve">aturity analysis of contractual financial liabilities and </w:t>
      </w:r>
      <w:r w:rsidR="00273892">
        <w:br/>
      </w:r>
      <w:r>
        <w:t xml:space="preserve"> </w:t>
      </w:r>
      <w:r w:rsidR="00273892" w:rsidRPr="00EB2BD8">
        <w:t xml:space="preserve">other </w:t>
      </w:r>
      <w:r w:rsidR="00273892" w:rsidRPr="00EB2BD8">
        <w:rPr>
          <w:spacing w:val="-2"/>
        </w:rPr>
        <w:t>liabilities</w:t>
      </w:r>
      <w:r w:rsidR="00EB2BD8" w:rsidRPr="00EB2BD8">
        <w:rPr>
          <w:spacing w:val="-2"/>
          <w:vertAlign w:val="superscript"/>
        </w:rPr>
        <w:t>(a)</w:t>
      </w:r>
      <w:bookmarkEnd w:id="308"/>
    </w:p>
    <w:p w14:paraId="35A4914D" w14:textId="77777777" w:rsidR="00084F36" w:rsidRPr="00EB2BD8" w:rsidRDefault="00084F36">
      <w:pPr>
        <w:pStyle w:val="BodyText"/>
        <w:rPr>
          <w:rFonts w:ascii="Arial"/>
          <w:b/>
          <w:sz w:val="28"/>
        </w:rPr>
      </w:pPr>
    </w:p>
    <w:p w14:paraId="0566F697" w14:textId="77777777" w:rsidR="00084F36" w:rsidRPr="00EB2BD8" w:rsidRDefault="00EB2BD8">
      <w:pPr>
        <w:spacing w:before="103" w:after="45"/>
        <w:ind w:right="1784"/>
        <w:jc w:val="right"/>
        <w:rPr>
          <w:rFonts w:ascii="Arial" w:hAnsi="Arial"/>
          <w:sz w:val="16"/>
        </w:rPr>
      </w:pPr>
      <w:r w:rsidRPr="00EB2BD8">
        <w:rPr>
          <w:rFonts w:ascii="Arial" w:hAnsi="Arial"/>
          <w:spacing w:val="-2"/>
          <w:w w:val="105"/>
          <w:sz w:val="16"/>
        </w:rPr>
        <w:t>($’000)</w:t>
      </w:r>
    </w:p>
    <w:tbl>
      <w:tblPr>
        <w:tblW w:w="0" w:type="auto"/>
        <w:tblInd w:w="1023" w:type="dxa"/>
        <w:tblLayout w:type="fixed"/>
        <w:tblCellMar>
          <w:left w:w="0" w:type="dxa"/>
          <w:right w:w="0" w:type="dxa"/>
        </w:tblCellMar>
        <w:tblLook w:val="01E0" w:firstRow="1" w:lastRow="1" w:firstColumn="1" w:lastColumn="1" w:noHBand="0" w:noVBand="0"/>
      </w:tblPr>
      <w:tblGrid>
        <w:gridCol w:w="2255"/>
        <w:gridCol w:w="1270"/>
        <w:gridCol w:w="1009"/>
        <w:gridCol w:w="1134"/>
        <w:gridCol w:w="884"/>
        <w:gridCol w:w="884"/>
        <w:gridCol w:w="885"/>
        <w:gridCol w:w="884"/>
      </w:tblGrid>
      <w:tr w:rsidR="00EB2BD8" w:rsidRPr="00EB2BD8" w14:paraId="666F0318" w14:textId="77777777">
        <w:trPr>
          <w:trHeight w:val="955"/>
        </w:trPr>
        <w:tc>
          <w:tcPr>
            <w:tcW w:w="2255" w:type="dxa"/>
            <w:tcBorders>
              <w:top w:val="single" w:sz="4" w:space="0" w:color="0098FF"/>
              <w:left w:val="single" w:sz="4" w:space="0" w:color="0098FF"/>
              <w:bottom w:val="single" w:sz="4" w:space="0" w:color="0098FF"/>
            </w:tcBorders>
            <w:shd w:val="clear" w:color="auto" w:fill="0070C0"/>
          </w:tcPr>
          <w:p w14:paraId="5A0EBA7F" w14:textId="77777777" w:rsidR="00084F36" w:rsidRPr="00EB2BD8" w:rsidRDefault="00084F36">
            <w:pPr>
              <w:pStyle w:val="TableParagraph"/>
              <w:rPr>
                <w:rFonts w:ascii="Arial"/>
                <w:sz w:val="18"/>
              </w:rPr>
            </w:pPr>
          </w:p>
          <w:p w14:paraId="02158A75" w14:textId="77777777" w:rsidR="00084F36" w:rsidRPr="00EB2BD8" w:rsidRDefault="00084F36">
            <w:pPr>
              <w:pStyle w:val="TableParagraph"/>
              <w:rPr>
                <w:rFonts w:ascii="Arial"/>
                <w:sz w:val="18"/>
              </w:rPr>
            </w:pPr>
          </w:p>
          <w:p w14:paraId="0F6D68B3" w14:textId="77777777" w:rsidR="00084F36" w:rsidRPr="00EB2BD8" w:rsidRDefault="00084F36">
            <w:pPr>
              <w:pStyle w:val="TableParagraph"/>
              <w:rPr>
                <w:rFonts w:ascii="Arial"/>
                <w:sz w:val="18"/>
              </w:rPr>
            </w:pPr>
          </w:p>
          <w:p w14:paraId="7356455D" w14:textId="77777777" w:rsidR="00084F36" w:rsidRPr="00EB2BD8" w:rsidRDefault="00EB2BD8">
            <w:pPr>
              <w:pStyle w:val="TableParagraph"/>
              <w:spacing w:before="148" w:line="165" w:lineRule="exact"/>
              <w:ind w:left="100"/>
              <w:rPr>
                <w:rFonts w:ascii="Arial"/>
                <w:b/>
                <w:sz w:val="16"/>
              </w:rPr>
            </w:pPr>
            <w:r w:rsidRPr="00EB2BD8">
              <w:rPr>
                <w:rFonts w:ascii="Arial"/>
                <w:b/>
                <w:spacing w:val="-4"/>
                <w:w w:val="105"/>
                <w:sz w:val="16"/>
              </w:rPr>
              <w:t>2023</w:t>
            </w:r>
          </w:p>
        </w:tc>
        <w:tc>
          <w:tcPr>
            <w:tcW w:w="1270" w:type="dxa"/>
            <w:tcBorders>
              <w:top w:val="single" w:sz="4" w:space="0" w:color="0098FF"/>
              <w:bottom w:val="single" w:sz="4" w:space="0" w:color="0098FF"/>
            </w:tcBorders>
            <w:shd w:val="clear" w:color="auto" w:fill="0070C0"/>
          </w:tcPr>
          <w:p w14:paraId="4FAFE351" w14:textId="77777777" w:rsidR="00084F36" w:rsidRPr="00EB2BD8" w:rsidRDefault="00084F36">
            <w:pPr>
              <w:pStyle w:val="TableParagraph"/>
              <w:rPr>
                <w:rFonts w:ascii="Arial"/>
                <w:sz w:val="18"/>
              </w:rPr>
            </w:pPr>
          </w:p>
          <w:p w14:paraId="29B06EDF" w14:textId="77777777" w:rsidR="00084F36" w:rsidRPr="00EB2BD8" w:rsidRDefault="00084F36">
            <w:pPr>
              <w:pStyle w:val="TableParagraph"/>
              <w:rPr>
                <w:rFonts w:ascii="Arial"/>
                <w:sz w:val="18"/>
              </w:rPr>
            </w:pPr>
          </w:p>
          <w:p w14:paraId="709A2FAF" w14:textId="77777777" w:rsidR="00084F36" w:rsidRPr="00EB2BD8" w:rsidRDefault="00EB2BD8">
            <w:pPr>
              <w:pStyle w:val="TableParagraph"/>
              <w:spacing w:before="141" w:line="190" w:lineRule="atLeast"/>
              <w:ind w:left="566" w:right="89" w:hanging="84"/>
              <w:rPr>
                <w:rFonts w:ascii="Arial"/>
                <w:b/>
                <w:sz w:val="16"/>
              </w:rPr>
            </w:pPr>
            <w:r w:rsidRPr="00EB2BD8">
              <w:rPr>
                <w:rFonts w:ascii="Arial"/>
                <w:b/>
                <w:spacing w:val="-2"/>
                <w:w w:val="105"/>
                <w:sz w:val="16"/>
              </w:rPr>
              <w:t>Carrying amount</w:t>
            </w:r>
          </w:p>
        </w:tc>
        <w:tc>
          <w:tcPr>
            <w:tcW w:w="1009" w:type="dxa"/>
            <w:tcBorders>
              <w:top w:val="single" w:sz="4" w:space="0" w:color="0098FF"/>
              <w:bottom w:val="single" w:sz="4" w:space="0" w:color="0098FF"/>
            </w:tcBorders>
            <w:shd w:val="clear" w:color="auto" w:fill="0070C0"/>
          </w:tcPr>
          <w:p w14:paraId="66244222" w14:textId="77777777" w:rsidR="00084F36" w:rsidRPr="00EB2BD8" w:rsidRDefault="00084F36">
            <w:pPr>
              <w:pStyle w:val="TableParagraph"/>
              <w:rPr>
                <w:rFonts w:ascii="Arial"/>
                <w:sz w:val="18"/>
              </w:rPr>
            </w:pPr>
          </w:p>
          <w:p w14:paraId="180A1268" w14:textId="77777777" w:rsidR="00084F36" w:rsidRPr="00EB2BD8" w:rsidRDefault="00084F36">
            <w:pPr>
              <w:pStyle w:val="TableParagraph"/>
              <w:rPr>
                <w:rFonts w:ascii="Arial"/>
                <w:sz w:val="18"/>
              </w:rPr>
            </w:pPr>
          </w:p>
          <w:p w14:paraId="5570E384" w14:textId="77777777" w:rsidR="00084F36" w:rsidRPr="00EB2BD8" w:rsidRDefault="00EB2BD8">
            <w:pPr>
              <w:pStyle w:val="TableParagraph"/>
              <w:spacing w:before="141" w:line="190" w:lineRule="atLeast"/>
              <w:ind w:left="305" w:right="89" w:hanging="56"/>
              <w:rPr>
                <w:rFonts w:ascii="Arial"/>
                <w:b/>
                <w:sz w:val="16"/>
              </w:rPr>
            </w:pPr>
            <w:r w:rsidRPr="00EB2BD8">
              <w:rPr>
                <w:rFonts w:ascii="Arial"/>
                <w:b/>
                <w:spacing w:val="-2"/>
                <w:w w:val="105"/>
                <w:sz w:val="16"/>
              </w:rPr>
              <w:t>Nominal amount</w:t>
            </w:r>
          </w:p>
        </w:tc>
        <w:tc>
          <w:tcPr>
            <w:tcW w:w="1134" w:type="dxa"/>
            <w:tcBorders>
              <w:top w:val="single" w:sz="4" w:space="0" w:color="0098FF"/>
              <w:bottom w:val="single" w:sz="4" w:space="0" w:color="0098FF"/>
            </w:tcBorders>
            <w:shd w:val="clear" w:color="auto" w:fill="0070C0"/>
          </w:tcPr>
          <w:p w14:paraId="66D52095" w14:textId="77777777" w:rsidR="00084F36" w:rsidRPr="00EB2BD8" w:rsidRDefault="00084F36">
            <w:pPr>
              <w:pStyle w:val="TableParagraph"/>
              <w:rPr>
                <w:rFonts w:ascii="Arial"/>
                <w:sz w:val="18"/>
              </w:rPr>
            </w:pPr>
          </w:p>
          <w:p w14:paraId="194FE7F9" w14:textId="77777777" w:rsidR="00084F36" w:rsidRPr="00EB2BD8" w:rsidRDefault="00084F36">
            <w:pPr>
              <w:pStyle w:val="TableParagraph"/>
              <w:rPr>
                <w:rFonts w:ascii="Arial"/>
                <w:sz w:val="18"/>
              </w:rPr>
            </w:pPr>
          </w:p>
          <w:p w14:paraId="2982E7E4" w14:textId="77777777" w:rsidR="00084F36" w:rsidRPr="00EB2BD8" w:rsidRDefault="00084F36">
            <w:pPr>
              <w:pStyle w:val="TableParagraph"/>
              <w:spacing w:before="1"/>
              <w:rPr>
                <w:rFonts w:ascii="Arial"/>
                <w:sz w:val="14"/>
              </w:rPr>
            </w:pPr>
          </w:p>
          <w:p w14:paraId="1E06E4A8" w14:textId="77777777" w:rsidR="00084F36" w:rsidRPr="00EB2BD8" w:rsidRDefault="00EB2BD8">
            <w:pPr>
              <w:pStyle w:val="TableParagraph"/>
              <w:ind w:right="95"/>
              <w:jc w:val="right"/>
              <w:rPr>
                <w:rFonts w:ascii="Arial"/>
                <w:b/>
                <w:sz w:val="16"/>
              </w:rPr>
            </w:pPr>
            <w:r w:rsidRPr="00EB2BD8">
              <w:rPr>
                <w:rFonts w:ascii="Arial"/>
                <w:b/>
                <w:w w:val="105"/>
                <w:sz w:val="16"/>
              </w:rPr>
              <w:t>Less</w:t>
            </w:r>
            <w:r w:rsidRPr="00EB2BD8">
              <w:rPr>
                <w:rFonts w:ascii="Arial"/>
                <w:b/>
                <w:spacing w:val="-6"/>
                <w:w w:val="105"/>
                <w:sz w:val="16"/>
              </w:rPr>
              <w:t xml:space="preserve"> </w:t>
            </w:r>
            <w:r w:rsidRPr="00EB2BD8">
              <w:rPr>
                <w:rFonts w:ascii="Arial"/>
                <w:b/>
                <w:w w:val="105"/>
                <w:sz w:val="16"/>
              </w:rPr>
              <w:t>than</w:t>
            </w:r>
            <w:r w:rsidRPr="00EB2BD8">
              <w:rPr>
                <w:rFonts w:ascii="Arial"/>
                <w:b/>
                <w:spacing w:val="-5"/>
                <w:w w:val="105"/>
                <w:sz w:val="16"/>
              </w:rPr>
              <w:t xml:space="preserve"> </w:t>
            </w:r>
            <w:r w:rsidRPr="00EB2BD8">
              <w:rPr>
                <w:rFonts w:ascii="Arial"/>
                <w:b/>
                <w:spacing w:val="-10"/>
                <w:w w:val="105"/>
                <w:sz w:val="16"/>
              </w:rPr>
              <w:t>1</w:t>
            </w:r>
          </w:p>
          <w:p w14:paraId="097EB7CF" w14:textId="77777777" w:rsidR="00084F36" w:rsidRPr="00EB2BD8" w:rsidRDefault="00EB2BD8">
            <w:pPr>
              <w:pStyle w:val="TableParagraph"/>
              <w:spacing w:before="9" w:line="165" w:lineRule="exact"/>
              <w:ind w:right="95"/>
              <w:jc w:val="right"/>
              <w:rPr>
                <w:rFonts w:ascii="Arial"/>
                <w:b/>
                <w:sz w:val="16"/>
              </w:rPr>
            </w:pPr>
            <w:r w:rsidRPr="00EB2BD8">
              <w:rPr>
                <w:rFonts w:ascii="Arial"/>
                <w:b/>
                <w:spacing w:val="-2"/>
                <w:w w:val="105"/>
                <w:sz w:val="16"/>
              </w:rPr>
              <w:t>month</w:t>
            </w:r>
          </w:p>
        </w:tc>
        <w:tc>
          <w:tcPr>
            <w:tcW w:w="1768" w:type="dxa"/>
            <w:gridSpan w:val="2"/>
            <w:tcBorders>
              <w:top w:val="single" w:sz="4" w:space="0" w:color="0098FF"/>
              <w:bottom w:val="single" w:sz="4" w:space="0" w:color="0098FF"/>
            </w:tcBorders>
            <w:shd w:val="clear" w:color="auto" w:fill="0070C0"/>
          </w:tcPr>
          <w:p w14:paraId="5D5E2B35" w14:textId="77777777" w:rsidR="00084F36" w:rsidRPr="00EB2BD8" w:rsidRDefault="00EB2BD8">
            <w:pPr>
              <w:pStyle w:val="TableParagraph"/>
              <w:spacing w:before="98"/>
              <w:ind w:left="132"/>
              <w:rPr>
                <w:rFonts w:ascii="Arial"/>
                <w:b/>
                <w:sz w:val="16"/>
              </w:rPr>
            </w:pPr>
            <w:r w:rsidRPr="00EB2BD8">
              <w:rPr>
                <w:rFonts w:ascii="Arial"/>
                <w:b/>
                <w:w w:val="105"/>
                <w:sz w:val="16"/>
              </w:rPr>
              <w:t>Maturity</w:t>
            </w:r>
            <w:r w:rsidRPr="00EB2BD8">
              <w:rPr>
                <w:rFonts w:ascii="Arial"/>
                <w:b/>
                <w:spacing w:val="-9"/>
                <w:w w:val="105"/>
                <w:sz w:val="16"/>
              </w:rPr>
              <w:t xml:space="preserve"> </w:t>
            </w:r>
            <w:r w:rsidRPr="00EB2BD8">
              <w:rPr>
                <w:rFonts w:ascii="Arial"/>
                <w:b/>
                <w:spacing w:val="-4"/>
                <w:w w:val="105"/>
                <w:sz w:val="16"/>
              </w:rPr>
              <w:t>dates</w:t>
            </w:r>
          </w:p>
          <w:p w14:paraId="00AC7423" w14:textId="77777777" w:rsidR="00084F36" w:rsidRPr="00EB2BD8" w:rsidRDefault="00EB2BD8">
            <w:pPr>
              <w:pStyle w:val="TableParagraph"/>
              <w:spacing w:before="101"/>
              <w:ind w:right="92"/>
              <w:jc w:val="right"/>
              <w:rPr>
                <w:rFonts w:ascii="Arial"/>
                <w:b/>
                <w:sz w:val="16"/>
              </w:rPr>
            </w:pPr>
            <w:r w:rsidRPr="00EB2BD8">
              <w:rPr>
                <w:rFonts w:ascii="Arial"/>
                <w:b/>
                <w:w w:val="104"/>
                <w:sz w:val="16"/>
              </w:rPr>
              <w:t>3</w:t>
            </w:r>
          </w:p>
          <w:p w14:paraId="72F01B0F" w14:textId="77777777" w:rsidR="00084F36" w:rsidRPr="00EB2BD8" w:rsidRDefault="00EB2BD8">
            <w:pPr>
              <w:pStyle w:val="TableParagraph"/>
              <w:tabs>
                <w:tab w:val="left" w:pos="522"/>
              </w:tabs>
              <w:spacing w:before="9"/>
              <w:ind w:right="92"/>
              <w:jc w:val="right"/>
              <w:rPr>
                <w:rFonts w:ascii="Arial"/>
                <w:b/>
                <w:sz w:val="16"/>
              </w:rPr>
            </w:pPr>
            <w:r w:rsidRPr="00EB2BD8">
              <w:rPr>
                <w:rFonts w:ascii="Arial"/>
                <w:b/>
                <w:sz w:val="16"/>
              </w:rPr>
              <w:t>1-</w:t>
            </w:r>
            <w:r w:rsidRPr="00EB2BD8">
              <w:rPr>
                <w:rFonts w:ascii="Arial"/>
                <w:b/>
                <w:spacing w:val="-10"/>
                <w:sz w:val="16"/>
              </w:rPr>
              <w:t>3</w:t>
            </w:r>
            <w:r w:rsidRPr="00EB2BD8">
              <w:rPr>
                <w:rFonts w:ascii="Arial"/>
                <w:b/>
                <w:sz w:val="16"/>
              </w:rPr>
              <w:tab/>
            </w:r>
            <w:r w:rsidRPr="00EB2BD8">
              <w:rPr>
                <w:rFonts w:ascii="Arial"/>
                <w:b/>
                <w:spacing w:val="-2"/>
                <w:sz w:val="16"/>
              </w:rPr>
              <w:t>months</w:t>
            </w:r>
          </w:p>
          <w:p w14:paraId="004AFF12" w14:textId="77777777" w:rsidR="00084F36" w:rsidRPr="00EB2BD8" w:rsidRDefault="00EB2BD8">
            <w:pPr>
              <w:pStyle w:val="TableParagraph"/>
              <w:tabs>
                <w:tab w:val="left" w:pos="905"/>
              </w:tabs>
              <w:spacing w:before="9" w:line="165" w:lineRule="exact"/>
              <w:ind w:right="94"/>
              <w:jc w:val="right"/>
              <w:rPr>
                <w:rFonts w:ascii="Arial"/>
                <w:b/>
                <w:sz w:val="16"/>
              </w:rPr>
            </w:pPr>
            <w:r w:rsidRPr="00EB2BD8">
              <w:rPr>
                <w:rFonts w:ascii="Arial"/>
                <w:b/>
                <w:spacing w:val="-2"/>
                <w:w w:val="105"/>
                <w:sz w:val="16"/>
              </w:rPr>
              <w:t>months</w:t>
            </w:r>
            <w:r w:rsidRPr="00EB2BD8">
              <w:rPr>
                <w:rFonts w:ascii="Arial"/>
                <w:b/>
                <w:sz w:val="16"/>
              </w:rPr>
              <w:tab/>
            </w:r>
            <w:r w:rsidRPr="00EB2BD8">
              <w:rPr>
                <w:rFonts w:ascii="Arial"/>
                <w:b/>
                <w:w w:val="105"/>
                <w:sz w:val="16"/>
              </w:rPr>
              <w:t>-</w:t>
            </w:r>
            <w:r w:rsidRPr="00EB2BD8">
              <w:rPr>
                <w:rFonts w:ascii="Arial"/>
                <w:b/>
                <w:spacing w:val="-1"/>
                <w:w w:val="105"/>
                <w:sz w:val="16"/>
              </w:rPr>
              <w:t xml:space="preserve"> </w:t>
            </w:r>
            <w:r w:rsidRPr="00EB2BD8">
              <w:rPr>
                <w:rFonts w:ascii="Arial"/>
                <w:b/>
                <w:w w:val="105"/>
                <w:sz w:val="16"/>
              </w:rPr>
              <w:t>1</w:t>
            </w:r>
            <w:r w:rsidRPr="00EB2BD8">
              <w:rPr>
                <w:rFonts w:ascii="Arial"/>
                <w:b/>
                <w:spacing w:val="-1"/>
                <w:w w:val="105"/>
                <w:sz w:val="16"/>
              </w:rPr>
              <w:t xml:space="preserve"> </w:t>
            </w:r>
            <w:r w:rsidRPr="00EB2BD8">
              <w:rPr>
                <w:rFonts w:ascii="Arial"/>
                <w:b/>
                <w:spacing w:val="-4"/>
                <w:w w:val="105"/>
                <w:sz w:val="16"/>
              </w:rPr>
              <w:t>year</w:t>
            </w:r>
          </w:p>
        </w:tc>
        <w:tc>
          <w:tcPr>
            <w:tcW w:w="885" w:type="dxa"/>
            <w:tcBorders>
              <w:top w:val="single" w:sz="4" w:space="0" w:color="0098FF"/>
              <w:bottom w:val="single" w:sz="4" w:space="0" w:color="0098FF"/>
            </w:tcBorders>
            <w:shd w:val="clear" w:color="auto" w:fill="0070C0"/>
          </w:tcPr>
          <w:p w14:paraId="582814DA" w14:textId="77777777" w:rsidR="00084F36" w:rsidRPr="00EB2BD8" w:rsidRDefault="00084F36">
            <w:pPr>
              <w:pStyle w:val="TableParagraph"/>
              <w:rPr>
                <w:rFonts w:ascii="Arial"/>
                <w:sz w:val="18"/>
              </w:rPr>
            </w:pPr>
          </w:p>
          <w:p w14:paraId="14B4DBB2" w14:textId="77777777" w:rsidR="00084F36" w:rsidRPr="00EB2BD8" w:rsidRDefault="00084F36">
            <w:pPr>
              <w:pStyle w:val="TableParagraph"/>
              <w:rPr>
                <w:rFonts w:ascii="Arial"/>
                <w:sz w:val="18"/>
              </w:rPr>
            </w:pPr>
          </w:p>
          <w:p w14:paraId="795CFE1F" w14:textId="77777777" w:rsidR="00084F36" w:rsidRPr="00EB2BD8" w:rsidRDefault="00084F36">
            <w:pPr>
              <w:pStyle w:val="TableParagraph"/>
              <w:spacing w:before="1"/>
              <w:rPr>
                <w:rFonts w:ascii="Arial"/>
                <w:sz w:val="14"/>
              </w:rPr>
            </w:pPr>
          </w:p>
          <w:p w14:paraId="7F8DEFE2" w14:textId="77777777" w:rsidR="00084F36" w:rsidRPr="00EB2BD8" w:rsidRDefault="00EB2BD8">
            <w:pPr>
              <w:pStyle w:val="TableParagraph"/>
              <w:ind w:right="94"/>
              <w:jc w:val="right"/>
              <w:rPr>
                <w:rFonts w:ascii="Arial"/>
                <w:b/>
                <w:sz w:val="16"/>
              </w:rPr>
            </w:pPr>
            <w:r w:rsidRPr="00EB2BD8">
              <w:rPr>
                <w:rFonts w:ascii="Arial"/>
                <w:b/>
                <w:sz w:val="16"/>
              </w:rPr>
              <w:t>1-</w:t>
            </w:r>
            <w:r w:rsidRPr="00EB2BD8">
              <w:rPr>
                <w:rFonts w:ascii="Arial"/>
                <w:b/>
                <w:spacing w:val="-10"/>
                <w:sz w:val="16"/>
              </w:rPr>
              <w:t>5</w:t>
            </w:r>
          </w:p>
          <w:p w14:paraId="03389E6D" w14:textId="77777777" w:rsidR="00084F36" w:rsidRPr="00EB2BD8" w:rsidRDefault="00EB2BD8">
            <w:pPr>
              <w:pStyle w:val="TableParagraph"/>
              <w:spacing w:before="9" w:line="165" w:lineRule="exact"/>
              <w:ind w:right="94"/>
              <w:jc w:val="right"/>
              <w:rPr>
                <w:rFonts w:ascii="Arial"/>
                <w:b/>
                <w:sz w:val="16"/>
              </w:rPr>
            </w:pPr>
            <w:r w:rsidRPr="00EB2BD8">
              <w:rPr>
                <w:rFonts w:ascii="Arial"/>
                <w:b/>
                <w:spacing w:val="-2"/>
                <w:w w:val="105"/>
                <w:sz w:val="16"/>
              </w:rPr>
              <w:t>years</w:t>
            </w:r>
          </w:p>
        </w:tc>
        <w:tc>
          <w:tcPr>
            <w:tcW w:w="884" w:type="dxa"/>
            <w:tcBorders>
              <w:top w:val="single" w:sz="4" w:space="0" w:color="0098FF"/>
              <w:bottom w:val="single" w:sz="4" w:space="0" w:color="0098FF"/>
              <w:right w:val="single" w:sz="4" w:space="0" w:color="0098FF"/>
            </w:tcBorders>
            <w:shd w:val="clear" w:color="auto" w:fill="0070C0"/>
          </w:tcPr>
          <w:p w14:paraId="2E226FAD" w14:textId="77777777" w:rsidR="00084F36" w:rsidRPr="00EB2BD8" w:rsidRDefault="00084F36">
            <w:pPr>
              <w:pStyle w:val="TableParagraph"/>
              <w:rPr>
                <w:rFonts w:ascii="Arial"/>
                <w:sz w:val="18"/>
              </w:rPr>
            </w:pPr>
          </w:p>
          <w:p w14:paraId="7A22FC8A" w14:textId="77777777" w:rsidR="00084F36" w:rsidRPr="00EB2BD8" w:rsidRDefault="00084F36">
            <w:pPr>
              <w:pStyle w:val="TableParagraph"/>
              <w:rPr>
                <w:rFonts w:ascii="Arial"/>
                <w:sz w:val="18"/>
              </w:rPr>
            </w:pPr>
          </w:p>
          <w:p w14:paraId="2B3F2FEC" w14:textId="77777777" w:rsidR="00084F36" w:rsidRPr="00EB2BD8" w:rsidRDefault="00084F36">
            <w:pPr>
              <w:pStyle w:val="TableParagraph"/>
              <w:spacing w:before="1"/>
              <w:rPr>
                <w:rFonts w:ascii="Arial"/>
                <w:sz w:val="14"/>
              </w:rPr>
            </w:pPr>
          </w:p>
          <w:p w14:paraId="321E38E4" w14:textId="77777777" w:rsidR="00084F36" w:rsidRPr="00EB2BD8" w:rsidRDefault="00EB2BD8">
            <w:pPr>
              <w:pStyle w:val="TableParagraph"/>
              <w:ind w:right="88"/>
              <w:jc w:val="right"/>
              <w:rPr>
                <w:rFonts w:ascii="Arial"/>
                <w:b/>
                <w:sz w:val="16"/>
              </w:rPr>
            </w:pPr>
            <w:r w:rsidRPr="00EB2BD8">
              <w:rPr>
                <w:rFonts w:ascii="Arial"/>
                <w:b/>
                <w:spacing w:val="-5"/>
                <w:w w:val="105"/>
                <w:sz w:val="16"/>
              </w:rPr>
              <w:t>5+</w:t>
            </w:r>
          </w:p>
          <w:p w14:paraId="4C795998" w14:textId="77777777" w:rsidR="00084F36" w:rsidRPr="00EB2BD8" w:rsidRDefault="00EB2BD8">
            <w:pPr>
              <w:pStyle w:val="TableParagraph"/>
              <w:spacing w:before="9" w:line="165" w:lineRule="exact"/>
              <w:ind w:right="88"/>
              <w:jc w:val="right"/>
              <w:rPr>
                <w:rFonts w:ascii="Arial"/>
                <w:b/>
                <w:sz w:val="16"/>
              </w:rPr>
            </w:pPr>
            <w:r w:rsidRPr="00EB2BD8">
              <w:rPr>
                <w:rFonts w:ascii="Arial"/>
                <w:b/>
                <w:spacing w:val="-2"/>
                <w:w w:val="105"/>
                <w:sz w:val="16"/>
              </w:rPr>
              <w:t>years</w:t>
            </w:r>
          </w:p>
        </w:tc>
      </w:tr>
      <w:tr w:rsidR="00EB2BD8" w:rsidRPr="00EB2BD8" w14:paraId="381E76C9" w14:textId="77777777">
        <w:trPr>
          <w:trHeight w:val="309"/>
        </w:trPr>
        <w:tc>
          <w:tcPr>
            <w:tcW w:w="2255" w:type="dxa"/>
            <w:tcBorders>
              <w:top w:val="single" w:sz="4" w:space="0" w:color="0098FF"/>
            </w:tcBorders>
            <w:shd w:val="clear" w:color="auto" w:fill="FFFFFF"/>
          </w:tcPr>
          <w:p w14:paraId="4BD6989E" w14:textId="77777777" w:rsidR="00084F36" w:rsidRPr="00EB2BD8" w:rsidRDefault="00EB2BD8">
            <w:pPr>
              <w:pStyle w:val="TableParagraph"/>
              <w:spacing w:before="51"/>
              <w:ind w:left="105"/>
              <w:rPr>
                <w:rFonts w:ascii="Arial"/>
                <w:b/>
                <w:sz w:val="11"/>
              </w:rPr>
            </w:pPr>
            <w:r w:rsidRPr="00EB2BD8">
              <w:rPr>
                <w:rFonts w:ascii="Arial"/>
                <w:b/>
                <w:spacing w:val="-2"/>
                <w:w w:val="105"/>
                <w:sz w:val="16"/>
              </w:rPr>
              <w:t>Payables:</w:t>
            </w:r>
            <w:r w:rsidRPr="00EB2BD8">
              <w:rPr>
                <w:rFonts w:ascii="Arial"/>
                <w:b/>
                <w:spacing w:val="-2"/>
                <w:w w:val="105"/>
                <w:position w:val="6"/>
                <w:sz w:val="11"/>
              </w:rPr>
              <w:t>(b)</w:t>
            </w:r>
          </w:p>
        </w:tc>
        <w:tc>
          <w:tcPr>
            <w:tcW w:w="1270" w:type="dxa"/>
            <w:tcBorders>
              <w:top w:val="single" w:sz="4" w:space="0" w:color="0098FF"/>
            </w:tcBorders>
            <w:shd w:val="clear" w:color="auto" w:fill="DEEAF6"/>
          </w:tcPr>
          <w:p w14:paraId="02A9CAA1" w14:textId="77777777" w:rsidR="00084F36" w:rsidRPr="00EB2BD8" w:rsidRDefault="00084F36">
            <w:pPr>
              <w:pStyle w:val="TableParagraph"/>
              <w:rPr>
                <w:rFonts w:ascii="Times New Roman"/>
                <w:sz w:val="16"/>
              </w:rPr>
            </w:pPr>
          </w:p>
        </w:tc>
        <w:tc>
          <w:tcPr>
            <w:tcW w:w="1009" w:type="dxa"/>
            <w:tcBorders>
              <w:top w:val="single" w:sz="4" w:space="0" w:color="0098FF"/>
            </w:tcBorders>
            <w:shd w:val="clear" w:color="auto" w:fill="FFFFFF"/>
          </w:tcPr>
          <w:p w14:paraId="46CF452D" w14:textId="77777777" w:rsidR="00084F36" w:rsidRPr="00EB2BD8" w:rsidRDefault="00084F36">
            <w:pPr>
              <w:pStyle w:val="TableParagraph"/>
              <w:rPr>
                <w:rFonts w:ascii="Times New Roman"/>
                <w:sz w:val="16"/>
              </w:rPr>
            </w:pPr>
          </w:p>
        </w:tc>
        <w:tc>
          <w:tcPr>
            <w:tcW w:w="1134" w:type="dxa"/>
            <w:tcBorders>
              <w:top w:val="single" w:sz="4" w:space="0" w:color="0098FF"/>
            </w:tcBorders>
            <w:shd w:val="clear" w:color="auto" w:fill="DEEAF6"/>
          </w:tcPr>
          <w:p w14:paraId="189D9C27" w14:textId="77777777" w:rsidR="00084F36" w:rsidRPr="00EB2BD8" w:rsidRDefault="00084F36">
            <w:pPr>
              <w:pStyle w:val="TableParagraph"/>
              <w:rPr>
                <w:rFonts w:ascii="Times New Roman"/>
                <w:sz w:val="16"/>
              </w:rPr>
            </w:pPr>
          </w:p>
        </w:tc>
        <w:tc>
          <w:tcPr>
            <w:tcW w:w="884" w:type="dxa"/>
            <w:tcBorders>
              <w:top w:val="single" w:sz="4" w:space="0" w:color="0098FF"/>
            </w:tcBorders>
            <w:shd w:val="clear" w:color="auto" w:fill="FFFFFF"/>
          </w:tcPr>
          <w:p w14:paraId="717C559D" w14:textId="77777777" w:rsidR="00084F36" w:rsidRPr="00EB2BD8" w:rsidRDefault="00084F36">
            <w:pPr>
              <w:pStyle w:val="TableParagraph"/>
              <w:rPr>
                <w:rFonts w:ascii="Times New Roman"/>
                <w:sz w:val="16"/>
              </w:rPr>
            </w:pPr>
          </w:p>
        </w:tc>
        <w:tc>
          <w:tcPr>
            <w:tcW w:w="884" w:type="dxa"/>
            <w:tcBorders>
              <w:top w:val="single" w:sz="4" w:space="0" w:color="0098FF"/>
            </w:tcBorders>
            <w:shd w:val="clear" w:color="auto" w:fill="DEEAF6"/>
          </w:tcPr>
          <w:p w14:paraId="49ED52E2" w14:textId="77777777" w:rsidR="00084F36" w:rsidRPr="00EB2BD8" w:rsidRDefault="00084F36">
            <w:pPr>
              <w:pStyle w:val="TableParagraph"/>
              <w:rPr>
                <w:rFonts w:ascii="Times New Roman"/>
                <w:sz w:val="16"/>
              </w:rPr>
            </w:pPr>
          </w:p>
        </w:tc>
        <w:tc>
          <w:tcPr>
            <w:tcW w:w="885" w:type="dxa"/>
            <w:tcBorders>
              <w:top w:val="single" w:sz="4" w:space="0" w:color="0098FF"/>
            </w:tcBorders>
            <w:shd w:val="clear" w:color="auto" w:fill="FFFFFF"/>
          </w:tcPr>
          <w:p w14:paraId="309182D7" w14:textId="77777777" w:rsidR="00084F36" w:rsidRPr="00EB2BD8" w:rsidRDefault="00084F36">
            <w:pPr>
              <w:pStyle w:val="TableParagraph"/>
              <w:rPr>
                <w:rFonts w:ascii="Times New Roman"/>
                <w:sz w:val="16"/>
              </w:rPr>
            </w:pPr>
          </w:p>
        </w:tc>
        <w:tc>
          <w:tcPr>
            <w:tcW w:w="884" w:type="dxa"/>
            <w:tcBorders>
              <w:top w:val="single" w:sz="4" w:space="0" w:color="0098FF"/>
            </w:tcBorders>
            <w:shd w:val="clear" w:color="auto" w:fill="DEEAF6"/>
          </w:tcPr>
          <w:p w14:paraId="59554AAB" w14:textId="77777777" w:rsidR="00084F36" w:rsidRPr="00EB2BD8" w:rsidRDefault="00084F36">
            <w:pPr>
              <w:pStyle w:val="TableParagraph"/>
              <w:rPr>
                <w:rFonts w:ascii="Times New Roman"/>
                <w:sz w:val="16"/>
              </w:rPr>
            </w:pPr>
          </w:p>
        </w:tc>
      </w:tr>
      <w:tr w:rsidR="00EB2BD8" w:rsidRPr="00EB2BD8" w14:paraId="378A8E34" w14:textId="77777777">
        <w:trPr>
          <w:trHeight w:val="632"/>
        </w:trPr>
        <w:tc>
          <w:tcPr>
            <w:tcW w:w="2255" w:type="dxa"/>
            <w:shd w:val="clear" w:color="auto" w:fill="FFFFFF"/>
          </w:tcPr>
          <w:p w14:paraId="03BFCFBF" w14:textId="77777777" w:rsidR="00084F36" w:rsidRPr="00EB2BD8" w:rsidRDefault="00EB2BD8">
            <w:pPr>
              <w:pStyle w:val="TableParagraph"/>
              <w:spacing w:before="67"/>
              <w:ind w:left="105"/>
              <w:rPr>
                <w:rFonts w:ascii="Arial"/>
                <w:sz w:val="16"/>
              </w:rPr>
            </w:pPr>
            <w:r w:rsidRPr="00EB2BD8">
              <w:rPr>
                <w:rFonts w:ascii="Arial"/>
                <w:w w:val="105"/>
                <w:sz w:val="16"/>
              </w:rPr>
              <w:t>Contract</w:t>
            </w:r>
            <w:r w:rsidRPr="00EB2BD8">
              <w:rPr>
                <w:rFonts w:ascii="Arial"/>
                <w:spacing w:val="-11"/>
                <w:w w:val="105"/>
                <w:sz w:val="16"/>
              </w:rPr>
              <w:t xml:space="preserve"> </w:t>
            </w:r>
            <w:r w:rsidRPr="00EB2BD8">
              <w:rPr>
                <w:rFonts w:ascii="Arial"/>
                <w:spacing w:val="-2"/>
                <w:w w:val="105"/>
                <w:sz w:val="16"/>
              </w:rPr>
              <w:t>payables</w:t>
            </w:r>
          </w:p>
          <w:p w14:paraId="709173E1" w14:textId="77777777" w:rsidR="00084F36" w:rsidRPr="00EB2BD8" w:rsidRDefault="00EB2BD8">
            <w:pPr>
              <w:pStyle w:val="TableParagraph"/>
              <w:spacing w:before="120"/>
              <w:ind w:left="105"/>
              <w:rPr>
                <w:rFonts w:ascii="Arial"/>
                <w:sz w:val="11"/>
              </w:rPr>
            </w:pPr>
            <w:r w:rsidRPr="00EB2BD8">
              <w:rPr>
                <w:rFonts w:ascii="Arial"/>
                <w:w w:val="105"/>
                <w:sz w:val="16"/>
              </w:rPr>
              <w:t>Security</w:t>
            </w:r>
            <w:r w:rsidRPr="00EB2BD8">
              <w:rPr>
                <w:rFonts w:ascii="Arial"/>
                <w:spacing w:val="-12"/>
                <w:w w:val="105"/>
                <w:sz w:val="16"/>
              </w:rPr>
              <w:t xml:space="preserve"> </w:t>
            </w:r>
            <w:r w:rsidRPr="00EB2BD8">
              <w:rPr>
                <w:rFonts w:ascii="Arial"/>
                <w:spacing w:val="-2"/>
                <w:w w:val="105"/>
                <w:sz w:val="16"/>
              </w:rPr>
              <w:t>deposits</w:t>
            </w:r>
            <w:r w:rsidRPr="00EB2BD8">
              <w:rPr>
                <w:rFonts w:ascii="Arial"/>
                <w:spacing w:val="-2"/>
                <w:w w:val="105"/>
                <w:position w:val="6"/>
                <w:sz w:val="11"/>
              </w:rPr>
              <w:t>(c)</w:t>
            </w:r>
          </w:p>
        </w:tc>
        <w:tc>
          <w:tcPr>
            <w:tcW w:w="1270" w:type="dxa"/>
            <w:shd w:val="clear" w:color="auto" w:fill="DEEAF6"/>
          </w:tcPr>
          <w:p w14:paraId="17175FFF" w14:textId="77777777" w:rsidR="00084F36" w:rsidRPr="00EB2BD8" w:rsidRDefault="00EB2BD8">
            <w:pPr>
              <w:pStyle w:val="TableParagraph"/>
              <w:spacing w:before="67"/>
              <w:ind w:left="659"/>
              <w:rPr>
                <w:rFonts w:ascii="Arial"/>
                <w:sz w:val="16"/>
              </w:rPr>
            </w:pPr>
            <w:r w:rsidRPr="00EB2BD8">
              <w:rPr>
                <w:rFonts w:ascii="Arial"/>
                <w:spacing w:val="-2"/>
                <w:w w:val="105"/>
                <w:sz w:val="16"/>
              </w:rPr>
              <w:t>13,613</w:t>
            </w:r>
          </w:p>
          <w:p w14:paraId="76CA8AC8" w14:textId="77777777" w:rsidR="00084F36" w:rsidRPr="00EB2BD8" w:rsidRDefault="00EB2BD8">
            <w:pPr>
              <w:pStyle w:val="TableParagraph"/>
              <w:spacing w:before="133"/>
              <w:ind w:left="753"/>
              <w:rPr>
                <w:rFonts w:ascii="Arial"/>
                <w:sz w:val="16"/>
              </w:rPr>
            </w:pPr>
            <w:r w:rsidRPr="00EB2BD8">
              <w:rPr>
                <w:rFonts w:ascii="Arial"/>
                <w:spacing w:val="-2"/>
                <w:w w:val="105"/>
                <w:sz w:val="16"/>
              </w:rPr>
              <w:t>2,976</w:t>
            </w:r>
          </w:p>
        </w:tc>
        <w:tc>
          <w:tcPr>
            <w:tcW w:w="1009" w:type="dxa"/>
            <w:shd w:val="clear" w:color="auto" w:fill="FFFFFF"/>
          </w:tcPr>
          <w:p w14:paraId="533B0FFE" w14:textId="77777777" w:rsidR="00084F36" w:rsidRPr="00EB2BD8" w:rsidRDefault="00EB2BD8">
            <w:pPr>
              <w:pStyle w:val="TableParagraph"/>
              <w:spacing w:before="67"/>
              <w:ind w:left="398"/>
              <w:rPr>
                <w:rFonts w:ascii="Arial"/>
                <w:sz w:val="16"/>
              </w:rPr>
            </w:pPr>
            <w:r w:rsidRPr="00EB2BD8">
              <w:rPr>
                <w:rFonts w:ascii="Arial"/>
                <w:spacing w:val="-2"/>
                <w:w w:val="105"/>
                <w:sz w:val="16"/>
              </w:rPr>
              <w:t>13,613</w:t>
            </w:r>
          </w:p>
          <w:p w14:paraId="1BE16E80" w14:textId="77777777" w:rsidR="00084F36" w:rsidRPr="00EB2BD8" w:rsidRDefault="00EB2BD8">
            <w:pPr>
              <w:pStyle w:val="TableParagraph"/>
              <w:spacing w:before="133"/>
              <w:ind w:left="492"/>
              <w:rPr>
                <w:rFonts w:ascii="Arial"/>
                <w:sz w:val="16"/>
              </w:rPr>
            </w:pPr>
            <w:r w:rsidRPr="00EB2BD8">
              <w:rPr>
                <w:rFonts w:ascii="Arial"/>
                <w:spacing w:val="-2"/>
                <w:w w:val="105"/>
                <w:sz w:val="16"/>
              </w:rPr>
              <w:t>2,976</w:t>
            </w:r>
          </w:p>
        </w:tc>
        <w:tc>
          <w:tcPr>
            <w:tcW w:w="1134" w:type="dxa"/>
            <w:shd w:val="clear" w:color="auto" w:fill="DEEAF6"/>
          </w:tcPr>
          <w:p w14:paraId="3258D534" w14:textId="77777777" w:rsidR="00084F36" w:rsidRPr="00EB2BD8" w:rsidRDefault="00EB2BD8">
            <w:pPr>
              <w:pStyle w:val="TableParagraph"/>
              <w:spacing w:before="67"/>
              <w:ind w:right="96"/>
              <w:jc w:val="right"/>
              <w:rPr>
                <w:rFonts w:ascii="Arial"/>
                <w:sz w:val="16"/>
              </w:rPr>
            </w:pPr>
            <w:r w:rsidRPr="00EB2BD8">
              <w:rPr>
                <w:rFonts w:ascii="Arial"/>
                <w:spacing w:val="-2"/>
                <w:w w:val="105"/>
                <w:sz w:val="16"/>
              </w:rPr>
              <w:t>13,595</w:t>
            </w:r>
          </w:p>
          <w:p w14:paraId="14F80848" w14:textId="77777777" w:rsidR="00084F36" w:rsidRPr="00EB2BD8" w:rsidRDefault="00EB2BD8">
            <w:pPr>
              <w:pStyle w:val="TableParagraph"/>
              <w:spacing w:before="133"/>
              <w:ind w:right="96"/>
              <w:jc w:val="right"/>
              <w:rPr>
                <w:rFonts w:ascii="Arial"/>
                <w:sz w:val="16"/>
              </w:rPr>
            </w:pPr>
            <w:r w:rsidRPr="00EB2BD8">
              <w:rPr>
                <w:rFonts w:ascii="Arial"/>
                <w:w w:val="104"/>
                <w:sz w:val="16"/>
              </w:rPr>
              <w:t>-</w:t>
            </w:r>
          </w:p>
        </w:tc>
        <w:tc>
          <w:tcPr>
            <w:tcW w:w="884" w:type="dxa"/>
            <w:shd w:val="clear" w:color="auto" w:fill="FFFFFF"/>
          </w:tcPr>
          <w:p w14:paraId="0A626436" w14:textId="77777777" w:rsidR="00084F36" w:rsidRPr="00EB2BD8" w:rsidRDefault="00EB2BD8">
            <w:pPr>
              <w:pStyle w:val="TableParagraph"/>
              <w:spacing w:before="67"/>
              <w:ind w:right="96"/>
              <w:jc w:val="right"/>
              <w:rPr>
                <w:rFonts w:ascii="Arial"/>
                <w:sz w:val="16"/>
              </w:rPr>
            </w:pPr>
            <w:r w:rsidRPr="00EB2BD8">
              <w:rPr>
                <w:rFonts w:ascii="Arial"/>
                <w:spacing w:val="-5"/>
                <w:w w:val="105"/>
                <w:sz w:val="16"/>
              </w:rPr>
              <w:t>23</w:t>
            </w:r>
          </w:p>
          <w:p w14:paraId="7BAB2BFA" w14:textId="77777777" w:rsidR="00084F36" w:rsidRPr="00EB2BD8" w:rsidRDefault="00EB2BD8">
            <w:pPr>
              <w:pStyle w:val="TableParagraph"/>
              <w:spacing w:before="133"/>
              <w:ind w:right="95"/>
              <w:jc w:val="right"/>
              <w:rPr>
                <w:rFonts w:ascii="Arial"/>
                <w:sz w:val="16"/>
              </w:rPr>
            </w:pPr>
            <w:r w:rsidRPr="00EB2BD8">
              <w:rPr>
                <w:rFonts w:ascii="Arial"/>
                <w:w w:val="104"/>
                <w:sz w:val="16"/>
              </w:rPr>
              <w:t>-</w:t>
            </w:r>
          </w:p>
        </w:tc>
        <w:tc>
          <w:tcPr>
            <w:tcW w:w="884" w:type="dxa"/>
            <w:shd w:val="clear" w:color="auto" w:fill="DEEAF6"/>
          </w:tcPr>
          <w:p w14:paraId="70C31725" w14:textId="77777777" w:rsidR="00084F36" w:rsidRPr="00EB2BD8" w:rsidRDefault="00EB2BD8">
            <w:pPr>
              <w:pStyle w:val="TableParagraph"/>
              <w:spacing w:before="61"/>
              <w:ind w:right="92"/>
              <w:jc w:val="right"/>
              <w:rPr>
                <w:rFonts w:ascii="Arial"/>
                <w:sz w:val="16"/>
              </w:rPr>
            </w:pPr>
            <w:r w:rsidRPr="00EB2BD8">
              <w:rPr>
                <w:rFonts w:ascii="Arial"/>
                <w:w w:val="104"/>
                <w:sz w:val="16"/>
              </w:rPr>
              <w:t>3</w:t>
            </w:r>
          </w:p>
          <w:p w14:paraId="075BD411" w14:textId="77777777" w:rsidR="00084F36" w:rsidRPr="00EB2BD8" w:rsidRDefault="00EB2BD8">
            <w:pPr>
              <w:pStyle w:val="TableParagraph"/>
              <w:spacing w:before="116"/>
              <w:ind w:right="92"/>
              <w:jc w:val="right"/>
              <w:rPr>
                <w:rFonts w:ascii="Arial"/>
                <w:sz w:val="16"/>
              </w:rPr>
            </w:pPr>
            <w:r w:rsidRPr="00EB2BD8">
              <w:rPr>
                <w:rFonts w:ascii="Arial"/>
                <w:w w:val="104"/>
                <w:sz w:val="16"/>
              </w:rPr>
              <w:t>-</w:t>
            </w:r>
          </w:p>
        </w:tc>
        <w:tc>
          <w:tcPr>
            <w:tcW w:w="885" w:type="dxa"/>
            <w:shd w:val="clear" w:color="auto" w:fill="FFFFFF"/>
          </w:tcPr>
          <w:p w14:paraId="68E339C2" w14:textId="77777777" w:rsidR="00084F36" w:rsidRPr="00EB2BD8" w:rsidRDefault="00EB2BD8">
            <w:pPr>
              <w:pStyle w:val="TableParagraph"/>
              <w:spacing w:before="67"/>
              <w:ind w:right="94"/>
              <w:jc w:val="right"/>
              <w:rPr>
                <w:rFonts w:ascii="Arial"/>
                <w:sz w:val="16"/>
              </w:rPr>
            </w:pPr>
            <w:r w:rsidRPr="00EB2BD8">
              <w:rPr>
                <w:rFonts w:ascii="Arial"/>
                <w:spacing w:val="-5"/>
                <w:w w:val="105"/>
                <w:sz w:val="16"/>
              </w:rPr>
              <w:t>(8)</w:t>
            </w:r>
          </w:p>
          <w:p w14:paraId="702BC069" w14:textId="77777777" w:rsidR="00084F36" w:rsidRPr="00EB2BD8" w:rsidRDefault="00EB2BD8">
            <w:pPr>
              <w:pStyle w:val="TableParagraph"/>
              <w:spacing w:before="133"/>
              <w:ind w:right="94"/>
              <w:jc w:val="right"/>
              <w:rPr>
                <w:rFonts w:ascii="Arial"/>
                <w:sz w:val="16"/>
              </w:rPr>
            </w:pPr>
            <w:r w:rsidRPr="00EB2BD8">
              <w:rPr>
                <w:rFonts w:ascii="Arial"/>
                <w:spacing w:val="-2"/>
                <w:w w:val="105"/>
                <w:sz w:val="16"/>
              </w:rPr>
              <w:t>1,636</w:t>
            </w:r>
          </w:p>
        </w:tc>
        <w:tc>
          <w:tcPr>
            <w:tcW w:w="884" w:type="dxa"/>
            <w:shd w:val="clear" w:color="auto" w:fill="DEEAF6"/>
          </w:tcPr>
          <w:p w14:paraId="59815C6D" w14:textId="77777777" w:rsidR="00084F36" w:rsidRPr="00EB2BD8" w:rsidRDefault="00EB2BD8">
            <w:pPr>
              <w:pStyle w:val="TableParagraph"/>
              <w:spacing w:before="67"/>
              <w:ind w:right="91"/>
              <w:jc w:val="right"/>
              <w:rPr>
                <w:rFonts w:ascii="Arial"/>
                <w:sz w:val="16"/>
              </w:rPr>
            </w:pPr>
            <w:r w:rsidRPr="00EB2BD8">
              <w:rPr>
                <w:rFonts w:ascii="Arial"/>
                <w:w w:val="104"/>
                <w:sz w:val="16"/>
              </w:rPr>
              <w:t>-</w:t>
            </w:r>
          </w:p>
          <w:p w14:paraId="52C3AB2C" w14:textId="77777777" w:rsidR="00084F36" w:rsidRPr="00EB2BD8" w:rsidRDefault="00EB2BD8">
            <w:pPr>
              <w:pStyle w:val="TableParagraph"/>
              <w:spacing w:before="133"/>
              <w:ind w:right="93"/>
              <w:jc w:val="right"/>
              <w:rPr>
                <w:rFonts w:ascii="Arial"/>
                <w:sz w:val="16"/>
              </w:rPr>
            </w:pPr>
            <w:r w:rsidRPr="00EB2BD8">
              <w:rPr>
                <w:rFonts w:ascii="Arial"/>
                <w:spacing w:val="-2"/>
                <w:w w:val="105"/>
                <w:sz w:val="16"/>
              </w:rPr>
              <w:t>1,340</w:t>
            </w:r>
          </w:p>
        </w:tc>
      </w:tr>
      <w:tr w:rsidR="00EB2BD8" w:rsidRPr="00EB2BD8" w14:paraId="7E085F0F" w14:textId="77777777">
        <w:trPr>
          <w:trHeight w:val="316"/>
        </w:trPr>
        <w:tc>
          <w:tcPr>
            <w:tcW w:w="2255" w:type="dxa"/>
            <w:tcBorders>
              <w:bottom w:val="single" w:sz="12" w:space="0" w:color="000000"/>
            </w:tcBorders>
            <w:shd w:val="clear" w:color="auto" w:fill="FFFFFF"/>
          </w:tcPr>
          <w:p w14:paraId="597E24D9" w14:textId="77777777" w:rsidR="00084F36" w:rsidRPr="00EB2BD8" w:rsidRDefault="00EB2BD8">
            <w:pPr>
              <w:pStyle w:val="TableParagraph"/>
              <w:spacing w:before="70"/>
              <w:ind w:left="105"/>
              <w:rPr>
                <w:rFonts w:ascii="Arial"/>
                <w:sz w:val="16"/>
              </w:rPr>
            </w:pPr>
            <w:r w:rsidRPr="00EB2BD8">
              <w:rPr>
                <w:rFonts w:ascii="Arial"/>
                <w:w w:val="105"/>
                <w:sz w:val="16"/>
              </w:rPr>
              <w:t>Other</w:t>
            </w:r>
            <w:r w:rsidRPr="00EB2BD8">
              <w:rPr>
                <w:rFonts w:ascii="Arial"/>
                <w:spacing w:val="-7"/>
                <w:w w:val="105"/>
                <w:sz w:val="16"/>
              </w:rPr>
              <w:t xml:space="preserve"> </w:t>
            </w:r>
            <w:r w:rsidRPr="00EB2BD8">
              <w:rPr>
                <w:rFonts w:ascii="Arial"/>
                <w:spacing w:val="-2"/>
                <w:w w:val="105"/>
                <w:sz w:val="16"/>
              </w:rPr>
              <w:t>liabilities</w:t>
            </w:r>
          </w:p>
        </w:tc>
        <w:tc>
          <w:tcPr>
            <w:tcW w:w="1270" w:type="dxa"/>
            <w:tcBorders>
              <w:bottom w:val="single" w:sz="12" w:space="0" w:color="000000"/>
            </w:tcBorders>
            <w:shd w:val="clear" w:color="auto" w:fill="DEEAF6"/>
          </w:tcPr>
          <w:p w14:paraId="57588F5E" w14:textId="77777777" w:rsidR="00084F36" w:rsidRPr="00EB2BD8" w:rsidRDefault="00EB2BD8">
            <w:pPr>
              <w:pStyle w:val="TableParagraph"/>
              <w:spacing w:before="70"/>
              <w:ind w:right="95"/>
              <w:jc w:val="right"/>
              <w:rPr>
                <w:rFonts w:ascii="Arial"/>
                <w:sz w:val="16"/>
              </w:rPr>
            </w:pPr>
            <w:r w:rsidRPr="00EB2BD8">
              <w:rPr>
                <w:rFonts w:ascii="Arial"/>
                <w:spacing w:val="-4"/>
                <w:w w:val="105"/>
                <w:sz w:val="16"/>
              </w:rPr>
              <w:t>1,733</w:t>
            </w:r>
          </w:p>
        </w:tc>
        <w:tc>
          <w:tcPr>
            <w:tcW w:w="1009" w:type="dxa"/>
            <w:tcBorders>
              <w:bottom w:val="single" w:sz="12" w:space="0" w:color="000000"/>
            </w:tcBorders>
            <w:shd w:val="clear" w:color="auto" w:fill="FFFFFF"/>
          </w:tcPr>
          <w:p w14:paraId="7B80F09F" w14:textId="77777777" w:rsidR="00084F36" w:rsidRPr="00EB2BD8" w:rsidRDefault="00EB2BD8">
            <w:pPr>
              <w:pStyle w:val="TableParagraph"/>
              <w:spacing w:before="70"/>
              <w:ind w:right="95"/>
              <w:jc w:val="right"/>
              <w:rPr>
                <w:rFonts w:ascii="Arial"/>
                <w:sz w:val="16"/>
              </w:rPr>
            </w:pPr>
            <w:r w:rsidRPr="00EB2BD8">
              <w:rPr>
                <w:rFonts w:ascii="Arial"/>
                <w:spacing w:val="-4"/>
                <w:w w:val="105"/>
                <w:sz w:val="16"/>
              </w:rPr>
              <w:t>1,733</w:t>
            </w:r>
          </w:p>
        </w:tc>
        <w:tc>
          <w:tcPr>
            <w:tcW w:w="1134" w:type="dxa"/>
            <w:tcBorders>
              <w:bottom w:val="single" w:sz="12" w:space="0" w:color="000000"/>
            </w:tcBorders>
            <w:shd w:val="clear" w:color="auto" w:fill="DEEAF6"/>
          </w:tcPr>
          <w:p w14:paraId="1C9BFE0C" w14:textId="77777777" w:rsidR="00084F36" w:rsidRPr="00EB2BD8" w:rsidRDefault="00EB2BD8">
            <w:pPr>
              <w:pStyle w:val="TableParagraph"/>
              <w:spacing w:before="70"/>
              <w:ind w:right="96"/>
              <w:jc w:val="right"/>
              <w:rPr>
                <w:rFonts w:ascii="Arial"/>
                <w:sz w:val="16"/>
              </w:rPr>
            </w:pPr>
            <w:r w:rsidRPr="00EB2BD8">
              <w:rPr>
                <w:rFonts w:ascii="Arial"/>
                <w:spacing w:val="-4"/>
                <w:w w:val="105"/>
                <w:sz w:val="16"/>
              </w:rPr>
              <w:t>1,733</w:t>
            </w:r>
          </w:p>
        </w:tc>
        <w:tc>
          <w:tcPr>
            <w:tcW w:w="884" w:type="dxa"/>
            <w:tcBorders>
              <w:bottom w:val="single" w:sz="12" w:space="0" w:color="000000"/>
            </w:tcBorders>
            <w:shd w:val="clear" w:color="auto" w:fill="FFFFFF"/>
          </w:tcPr>
          <w:p w14:paraId="276DD69F" w14:textId="77777777" w:rsidR="00084F36" w:rsidRPr="00EB2BD8" w:rsidRDefault="00EB2BD8">
            <w:pPr>
              <w:pStyle w:val="TableParagraph"/>
              <w:spacing w:before="70"/>
              <w:ind w:right="95"/>
              <w:jc w:val="right"/>
              <w:rPr>
                <w:rFonts w:ascii="Arial"/>
                <w:sz w:val="16"/>
              </w:rPr>
            </w:pPr>
            <w:r w:rsidRPr="00EB2BD8">
              <w:rPr>
                <w:rFonts w:ascii="Arial"/>
                <w:w w:val="104"/>
                <w:sz w:val="16"/>
              </w:rPr>
              <w:t>-</w:t>
            </w:r>
          </w:p>
        </w:tc>
        <w:tc>
          <w:tcPr>
            <w:tcW w:w="884" w:type="dxa"/>
            <w:tcBorders>
              <w:bottom w:val="single" w:sz="12" w:space="0" w:color="000000"/>
            </w:tcBorders>
            <w:shd w:val="clear" w:color="auto" w:fill="DEEAF6"/>
          </w:tcPr>
          <w:p w14:paraId="3BCF5772" w14:textId="77777777" w:rsidR="00084F36" w:rsidRPr="00EB2BD8" w:rsidRDefault="00EB2BD8">
            <w:pPr>
              <w:pStyle w:val="TableParagraph"/>
              <w:spacing w:before="63"/>
              <w:ind w:right="92"/>
              <w:jc w:val="right"/>
              <w:rPr>
                <w:rFonts w:ascii="Arial"/>
                <w:sz w:val="16"/>
              </w:rPr>
            </w:pPr>
            <w:r w:rsidRPr="00EB2BD8">
              <w:rPr>
                <w:rFonts w:ascii="Arial"/>
                <w:w w:val="104"/>
                <w:sz w:val="16"/>
              </w:rPr>
              <w:t>-</w:t>
            </w:r>
          </w:p>
        </w:tc>
        <w:tc>
          <w:tcPr>
            <w:tcW w:w="885" w:type="dxa"/>
            <w:tcBorders>
              <w:bottom w:val="single" w:sz="12" w:space="0" w:color="000000"/>
            </w:tcBorders>
            <w:shd w:val="clear" w:color="auto" w:fill="FFFFFF"/>
          </w:tcPr>
          <w:p w14:paraId="1C5A8769" w14:textId="77777777" w:rsidR="00084F36" w:rsidRPr="00EB2BD8" w:rsidRDefault="00EB2BD8">
            <w:pPr>
              <w:pStyle w:val="TableParagraph"/>
              <w:spacing w:before="70"/>
              <w:ind w:right="93"/>
              <w:jc w:val="right"/>
              <w:rPr>
                <w:rFonts w:ascii="Arial"/>
                <w:sz w:val="16"/>
              </w:rPr>
            </w:pPr>
            <w:r w:rsidRPr="00EB2BD8">
              <w:rPr>
                <w:rFonts w:ascii="Arial"/>
                <w:w w:val="104"/>
                <w:sz w:val="16"/>
              </w:rPr>
              <w:t>-</w:t>
            </w:r>
          </w:p>
        </w:tc>
        <w:tc>
          <w:tcPr>
            <w:tcW w:w="884" w:type="dxa"/>
            <w:tcBorders>
              <w:bottom w:val="single" w:sz="12" w:space="0" w:color="000000"/>
            </w:tcBorders>
            <w:shd w:val="clear" w:color="auto" w:fill="DEEAF6"/>
          </w:tcPr>
          <w:p w14:paraId="58097633" w14:textId="77777777" w:rsidR="00084F36" w:rsidRPr="00EB2BD8" w:rsidRDefault="00EB2BD8">
            <w:pPr>
              <w:pStyle w:val="TableParagraph"/>
              <w:spacing w:before="70"/>
              <w:ind w:right="91"/>
              <w:jc w:val="right"/>
              <w:rPr>
                <w:rFonts w:ascii="Arial"/>
                <w:sz w:val="16"/>
              </w:rPr>
            </w:pPr>
            <w:r w:rsidRPr="00EB2BD8">
              <w:rPr>
                <w:rFonts w:ascii="Arial"/>
                <w:w w:val="104"/>
                <w:sz w:val="16"/>
              </w:rPr>
              <w:t>-</w:t>
            </w:r>
          </w:p>
        </w:tc>
      </w:tr>
      <w:tr w:rsidR="00EB2BD8" w:rsidRPr="00EB2BD8" w14:paraId="7C9D5988" w14:textId="77777777">
        <w:trPr>
          <w:trHeight w:val="287"/>
        </w:trPr>
        <w:tc>
          <w:tcPr>
            <w:tcW w:w="2255" w:type="dxa"/>
            <w:tcBorders>
              <w:top w:val="single" w:sz="12" w:space="0" w:color="000000"/>
              <w:bottom w:val="single" w:sz="12" w:space="0" w:color="000000"/>
            </w:tcBorders>
            <w:shd w:val="clear" w:color="auto" w:fill="FFFFFF"/>
          </w:tcPr>
          <w:p w14:paraId="2233CF2B" w14:textId="77777777" w:rsidR="00084F36" w:rsidRPr="00EB2BD8" w:rsidRDefault="00EB2BD8">
            <w:pPr>
              <w:pStyle w:val="TableParagraph"/>
              <w:spacing w:before="54"/>
              <w:ind w:left="105"/>
              <w:rPr>
                <w:rFonts w:ascii="Arial"/>
                <w:b/>
                <w:sz w:val="16"/>
              </w:rPr>
            </w:pPr>
            <w:r w:rsidRPr="00EB2BD8">
              <w:rPr>
                <w:rFonts w:ascii="Arial"/>
                <w:b/>
                <w:spacing w:val="-2"/>
                <w:w w:val="105"/>
                <w:sz w:val="16"/>
              </w:rPr>
              <w:t>Total</w:t>
            </w:r>
          </w:p>
        </w:tc>
        <w:tc>
          <w:tcPr>
            <w:tcW w:w="1270" w:type="dxa"/>
            <w:tcBorders>
              <w:top w:val="single" w:sz="12" w:space="0" w:color="000000"/>
              <w:bottom w:val="single" w:sz="12" w:space="0" w:color="000000"/>
            </w:tcBorders>
            <w:shd w:val="clear" w:color="auto" w:fill="DEEAF6"/>
          </w:tcPr>
          <w:p w14:paraId="389F5CE5" w14:textId="77777777" w:rsidR="00084F36" w:rsidRPr="00EB2BD8" w:rsidRDefault="00EB2BD8">
            <w:pPr>
              <w:pStyle w:val="TableParagraph"/>
              <w:spacing w:before="54"/>
              <w:ind w:right="95"/>
              <w:jc w:val="right"/>
              <w:rPr>
                <w:rFonts w:ascii="Arial"/>
                <w:b/>
                <w:sz w:val="16"/>
              </w:rPr>
            </w:pPr>
            <w:r w:rsidRPr="00EB2BD8">
              <w:rPr>
                <w:rFonts w:ascii="Arial"/>
                <w:b/>
                <w:spacing w:val="-2"/>
                <w:w w:val="105"/>
                <w:sz w:val="16"/>
              </w:rPr>
              <w:t>18,322</w:t>
            </w:r>
          </w:p>
        </w:tc>
        <w:tc>
          <w:tcPr>
            <w:tcW w:w="1009" w:type="dxa"/>
            <w:tcBorders>
              <w:top w:val="single" w:sz="12" w:space="0" w:color="000000"/>
              <w:bottom w:val="single" w:sz="12" w:space="0" w:color="000000"/>
            </w:tcBorders>
            <w:shd w:val="clear" w:color="auto" w:fill="FFFFFF"/>
          </w:tcPr>
          <w:p w14:paraId="54BB807A" w14:textId="77777777" w:rsidR="00084F36" w:rsidRPr="00EB2BD8" w:rsidRDefault="00EB2BD8">
            <w:pPr>
              <w:pStyle w:val="TableParagraph"/>
              <w:spacing w:before="54"/>
              <w:ind w:right="95"/>
              <w:jc w:val="right"/>
              <w:rPr>
                <w:rFonts w:ascii="Arial"/>
                <w:b/>
                <w:sz w:val="16"/>
              </w:rPr>
            </w:pPr>
            <w:r w:rsidRPr="00EB2BD8">
              <w:rPr>
                <w:rFonts w:ascii="Arial"/>
                <w:b/>
                <w:spacing w:val="-2"/>
                <w:w w:val="105"/>
                <w:sz w:val="16"/>
              </w:rPr>
              <w:t>18,322</w:t>
            </w:r>
          </w:p>
        </w:tc>
        <w:tc>
          <w:tcPr>
            <w:tcW w:w="1134" w:type="dxa"/>
            <w:tcBorders>
              <w:top w:val="single" w:sz="12" w:space="0" w:color="000000"/>
              <w:bottom w:val="single" w:sz="12" w:space="0" w:color="000000"/>
            </w:tcBorders>
            <w:shd w:val="clear" w:color="auto" w:fill="DEEAF6"/>
          </w:tcPr>
          <w:p w14:paraId="383CA682" w14:textId="77777777" w:rsidR="00084F36" w:rsidRPr="00EB2BD8" w:rsidRDefault="00EB2BD8">
            <w:pPr>
              <w:pStyle w:val="TableParagraph"/>
              <w:spacing w:before="54"/>
              <w:ind w:right="96"/>
              <w:jc w:val="right"/>
              <w:rPr>
                <w:rFonts w:ascii="Arial"/>
                <w:b/>
                <w:sz w:val="16"/>
              </w:rPr>
            </w:pPr>
            <w:r w:rsidRPr="00EB2BD8">
              <w:rPr>
                <w:rFonts w:ascii="Arial"/>
                <w:b/>
                <w:spacing w:val="-2"/>
                <w:w w:val="105"/>
                <w:sz w:val="16"/>
              </w:rPr>
              <w:t>15,328</w:t>
            </w:r>
          </w:p>
        </w:tc>
        <w:tc>
          <w:tcPr>
            <w:tcW w:w="884" w:type="dxa"/>
            <w:tcBorders>
              <w:top w:val="single" w:sz="12" w:space="0" w:color="000000"/>
              <w:bottom w:val="single" w:sz="12" w:space="0" w:color="000000"/>
            </w:tcBorders>
            <w:shd w:val="clear" w:color="auto" w:fill="FFFFFF"/>
          </w:tcPr>
          <w:p w14:paraId="09CC8912" w14:textId="77777777" w:rsidR="00084F36" w:rsidRPr="00EB2BD8" w:rsidRDefault="00EB2BD8">
            <w:pPr>
              <w:pStyle w:val="TableParagraph"/>
              <w:spacing w:before="54"/>
              <w:ind w:right="96"/>
              <w:jc w:val="right"/>
              <w:rPr>
                <w:rFonts w:ascii="Arial"/>
                <w:b/>
                <w:sz w:val="16"/>
              </w:rPr>
            </w:pPr>
            <w:r w:rsidRPr="00EB2BD8">
              <w:rPr>
                <w:rFonts w:ascii="Arial"/>
                <w:b/>
                <w:spacing w:val="-5"/>
                <w:w w:val="105"/>
                <w:sz w:val="16"/>
              </w:rPr>
              <w:t>23</w:t>
            </w:r>
          </w:p>
        </w:tc>
        <w:tc>
          <w:tcPr>
            <w:tcW w:w="884" w:type="dxa"/>
            <w:tcBorders>
              <w:top w:val="single" w:sz="12" w:space="0" w:color="000000"/>
              <w:bottom w:val="single" w:sz="12" w:space="0" w:color="000000"/>
            </w:tcBorders>
            <w:shd w:val="clear" w:color="auto" w:fill="DEEAF6"/>
          </w:tcPr>
          <w:p w14:paraId="06B321BA" w14:textId="77777777" w:rsidR="00084F36" w:rsidRPr="00EB2BD8" w:rsidRDefault="00EB2BD8">
            <w:pPr>
              <w:pStyle w:val="TableParagraph"/>
              <w:spacing w:before="43"/>
              <w:ind w:right="92"/>
              <w:jc w:val="right"/>
              <w:rPr>
                <w:rFonts w:ascii="Arial"/>
                <w:b/>
                <w:sz w:val="16"/>
              </w:rPr>
            </w:pPr>
            <w:r w:rsidRPr="00EB2BD8">
              <w:rPr>
                <w:rFonts w:ascii="Arial"/>
                <w:b/>
                <w:w w:val="104"/>
                <w:sz w:val="16"/>
              </w:rPr>
              <w:t>3</w:t>
            </w:r>
          </w:p>
        </w:tc>
        <w:tc>
          <w:tcPr>
            <w:tcW w:w="885" w:type="dxa"/>
            <w:tcBorders>
              <w:top w:val="single" w:sz="12" w:space="0" w:color="000000"/>
              <w:bottom w:val="single" w:sz="12" w:space="0" w:color="000000"/>
            </w:tcBorders>
            <w:shd w:val="clear" w:color="auto" w:fill="FFFFFF"/>
          </w:tcPr>
          <w:p w14:paraId="21219A2A" w14:textId="77777777" w:rsidR="00084F36" w:rsidRPr="00EB2BD8" w:rsidRDefault="00EB2BD8">
            <w:pPr>
              <w:pStyle w:val="TableParagraph"/>
              <w:spacing w:before="54"/>
              <w:ind w:right="94"/>
              <w:jc w:val="right"/>
              <w:rPr>
                <w:rFonts w:ascii="Arial"/>
                <w:b/>
                <w:sz w:val="16"/>
              </w:rPr>
            </w:pPr>
            <w:r w:rsidRPr="00EB2BD8">
              <w:rPr>
                <w:rFonts w:ascii="Arial"/>
                <w:b/>
                <w:spacing w:val="-4"/>
                <w:w w:val="105"/>
                <w:sz w:val="16"/>
              </w:rPr>
              <w:t>1628</w:t>
            </w:r>
          </w:p>
        </w:tc>
        <w:tc>
          <w:tcPr>
            <w:tcW w:w="884" w:type="dxa"/>
            <w:tcBorders>
              <w:top w:val="single" w:sz="12" w:space="0" w:color="000000"/>
              <w:bottom w:val="single" w:sz="12" w:space="0" w:color="000000"/>
            </w:tcBorders>
            <w:shd w:val="clear" w:color="auto" w:fill="DEEAF6"/>
          </w:tcPr>
          <w:p w14:paraId="2123FC93" w14:textId="77777777" w:rsidR="00084F36" w:rsidRPr="00EB2BD8" w:rsidRDefault="00EB2BD8">
            <w:pPr>
              <w:pStyle w:val="TableParagraph"/>
              <w:spacing w:before="54"/>
              <w:ind w:right="94"/>
              <w:jc w:val="right"/>
              <w:rPr>
                <w:rFonts w:ascii="Arial"/>
                <w:b/>
                <w:sz w:val="16"/>
              </w:rPr>
            </w:pPr>
            <w:r w:rsidRPr="00EB2BD8">
              <w:rPr>
                <w:rFonts w:ascii="Arial"/>
                <w:b/>
                <w:spacing w:val="-2"/>
                <w:w w:val="105"/>
                <w:sz w:val="16"/>
              </w:rPr>
              <w:t>1,340</w:t>
            </w:r>
          </w:p>
        </w:tc>
      </w:tr>
    </w:tbl>
    <w:p w14:paraId="3B80B735" w14:textId="77777777" w:rsidR="00084F36" w:rsidRPr="00EB2BD8" w:rsidRDefault="00084F36">
      <w:pPr>
        <w:pStyle w:val="BodyText"/>
        <w:spacing w:before="8" w:after="1"/>
        <w:rPr>
          <w:rFonts w:ascii="Arial"/>
          <w:sz w:val="24"/>
        </w:rPr>
      </w:pPr>
    </w:p>
    <w:tbl>
      <w:tblPr>
        <w:tblW w:w="0" w:type="auto"/>
        <w:tblInd w:w="1023" w:type="dxa"/>
        <w:tblLayout w:type="fixed"/>
        <w:tblCellMar>
          <w:left w:w="0" w:type="dxa"/>
          <w:right w:w="0" w:type="dxa"/>
        </w:tblCellMar>
        <w:tblLook w:val="01E0" w:firstRow="1" w:lastRow="1" w:firstColumn="1" w:lastColumn="1" w:noHBand="0" w:noVBand="0"/>
      </w:tblPr>
      <w:tblGrid>
        <w:gridCol w:w="2255"/>
        <w:gridCol w:w="1270"/>
        <w:gridCol w:w="1009"/>
        <w:gridCol w:w="1134"/>
        <w:gridCol w:w="884"/>
        <w:gridCol w:w="885"/>
        <w:gridCol w:w="884"/>
        <w:gridCol w:w="884"/>
      </w:tblGrid>
      <w:tr w:rsidR="00EB2BD8" w:rsidRPr="00EB2BD8" w14:paraId="1096509E" w14:textId="77777777">
        <w:trPr>
          <w:trHeight w:val="579"/>
        </w:trPr>
        <w:tc>
          <w:tcPr>
            <w:tcW w:w="2255" w:type="dxa"/>
            <w:tcBorders>
              <w:left w:val="single" w:sz="4" w:space="0" w:color="0098FF"/>
              <w:bottom w:val="single" w:sz="4" w:space="0" w:color="0098FF"/>
            </w:tcBorders>
            <w:shd w:val="clear" w:color="auto" w:fill="0070C0"/>
          </w:tcPr>
          <w:p w14:paraId="54014F62" w14:textId="77777777" w:rsidR="00084F36" w:rsidRPr="00EB2BD8" w:rsidRDefault="00084F36">
            <w:pPr>
              <w:pStyle w:val="TableParagraph"/>
              <w:rPr>
                <w:rFonts w:ascii="Arial"/>
                <w:sz w:val="18"/>
              </w:rPr>
            </w:pPr>
          </w:p>
          <w:p w14:paraId="514F485A" w14:textId="77777777" w:rsidR="00084F36" w:rsidRPr="00EB2BD8" w:rsidRDefault="00084F36">
            <w:pPr>
              <w:pStyle w:val="TableParagraph"/>
              <w:spacing w:before="1"/>
              <w:rPr>
                <w:rFonts w:ascii="Arial"/>
                <w:sz w:val="16"/>
              </w:rPr>
            </w:pPr>
          </w:p>
          <w:p w14:paraId="69979828" w14:textId="77777777" w:rsidR="00084F36" w:rsidRPr="00EB2BD8" w:rsidRDefault="00EB2BD8">
            <w:pPr>
              <w:pStyle w:val="TableParagraph"/>
              <w:spacing w:before="1" w:line="167" w:lineRule="exact"/>
              <w:ind w:left="100"/>
              <w:rPr>
                <w:rFonts w:ascii="Arial"/>
                <w:b/>
                <w:sz w:val="16"/>
              </w:rPr>
            </w:pPr>
            <w:r w:rsidRPr="00EB2BD8">
              <w:rPr>
                <w:rFonts w:ascii="Arial"/>
                <w:b/>
                <w:spacing w:val="-4"/>
                <w:w w:val="105"/>
                <w:sz w:val="16"/>
              </w:rPr>
              <w:t>2022</w:t>
            </w:r>
          </w:p>
        </w:tc>
        <w:tc>
          <w:tcPr>
            <w:tcW w:w="1270" w:type="dxa"/>
            <w:shd w:val="clear" w:color="auto" w:fill="0070C0"/>
          </w:tcPr>
          <w:p w14:paraId="77B53335" w14:textId="77777777" w:rsidR="00084F36" w:rsidRPr="00EB2BD8" w:rsidRDefault="00084F36">
            <w:pPr>
              <w:pStyle w:val="TableParagraph"/>
              <w:spacing w:before="6"/>
              <w:rPr>
                <w:rFonts w:ascii="Arial"/>
                <w:sz w:val="15"/>
              </w:rPr>
            </w:pPr>
          </w:p>
          <w:p w14:paraId="7D7A820B" w14:textId="77777777" w:rsidR="00084F36" w:rsidRPr="00EB2BD8" w:rsidRDefault="00EB2BD8">
            <w:pPr>
              <w:pStyle w:val="TableParagraph"/>
              <w:spacing w:before="1" w:line="190" w:lineRule="atLeast"/>
              <w:ind w:left="566" w:right="89" w:hanging="84"/>
              <w:rPr>
                <w:rFonts w:ascii="Arial"/>
                <w:b/>
                <w:sz w:val="16"/>
              </w:rPr>
            </w:pPr>
            <w:r w:rsidRPr="00EB2BD8">
              <w:rPr>
                <w:rFonts w:ascii="Arial"/>
                <w:b/>
                <w:spacing w:val="-2"/>
                <w:w w:val="105"/>
                <w:sz w:val="16"/>
              </w:rPr>
              <w:t>Carrying amount</w:t>
            </w:r>
          </w:p>
        </w:tc>
        <w:tc>
          <w:tcPr>
            <w:tcW w:w="1009" w:type="dxa"/>
            <w:shd w:val="clear" w:color="auto" w:fill="0070C0"/>
          </w:tcPr>
          <w:p w14:paraId="5FDBE1B2" w14:textId="77777777" w:rsidR="00084F36" w:rsidRPr="00EB2BD8" w:rsidRDefault="00084F36">
            <w:pPr>
              <w:pStyle w:val="TableParagraph"/>
              <w:spacing w:before="6"/>
              <w:rPr>
                <w:rFonts w:ascii="Arial"/>
                <w:sz w:val="15"/>
              </w:rPr>
            </w:pPr>
          </w:p>
          <w:p w14:paraId="116E53B1" w14:textId="77777777" w:rsidR="00084F36" w:rsidRPr="00EB2BD8" w:rsidRDefault="00EB2BD8">
            <w:pPr>
              <w:pStyle w:val="TableParagraph"/>
              <w:spacing w:before="1" w:line="190" w:lineRule="atLeast"/>
              <w:ind w:left="305" w:right="89" w:hanging="56"/>
              <w:rPr>
                <w:rFonts w:ascii="Arial"/>
                <w:b/>
                <w:sz w:val="16"/>
              </w:rPr>
            </w:pPr>
            <w:r w:rsidRPr="00EB2BD8">
              <w:rPr>
                <w:rFonts w:ascii="Arial"/>
                <w:b/>
                <w:spacing w:val="-2"/>
                <w:w w:val="105"/>
                <w:sz w:val="16"/>
              </w:rPr>
              <w:t>Nominal amount</w:t>
            </w:r>
          </w:p>
        </w:tc>
        <w:tc>
          <w:tcPr>
            <w:tcW w:w="1134" w:type="dxa"/>
            <w:shd w:val="clear" w:color="auto" w:fill="0070C0"/>
          </w:tcPr>
          <w:p w14:paraId="508D619A" w14:textId="77777777" w:rsidR="00084F36" w:rsidRPr="00EB2BD8" w:rsidRDefault="00084F36">
            <w:pPr>
              <w:pStyle w:val="TableParagraph"/>
              <w:spacing w:before="4"/>
              <w:rPr>
                <w:rFonts w:ascii="Arial"/>
                <w:sz w:val="17"/>
              </w:rPr>
            </w:pPr>
          </w:p>
          <w:p w14:paraId="5AE6228A" w14:textId="77777777" w:rsidR="00084F36" w:rsidRPr="00EB2BD8" w:rsidRDefault="00EB2BD8">
            <w:pPr>
              <w:pStyle w:val="TableParagraph"/>
              <w:spacing w:before="1"/>
              <w:ind w:right="95"/>
              <w:jc w:val="right"/>
              <w:rPr>
                <w:rFonts w:ascii="Arial"/>
                <w:b/>
                <w:sz w:val="16"/>
              </w:rPr>
            </w:pPr>
            <w:r w:rsidRPr="00EB2BD8">
              <w:rPr>
                <w:rFonts w:ascii="Arial"/>
                <w:b/>
                <w:w w:val="105"/>
                <w:sz w:val="16"/>
              </w:rPr>
              <w:t>Less</w:t>
            </w:r>
            <w:r w:rsidRPr="00EB2BD8">
              <w:rPr>
                <w:rFonts w:ascii="Arial"/>
                <w:b/>
                <w:spacing w:val="-6"/>
                <w:w w:val="105"/>
                <w:sz w:val="16"/>
              </w:rPr>
              <w:t xml:space="preserve"> </w:t>
            </w:r>
            <w:r w:rsidRPr="00EB2BD8">
              <w:rPr>
                <w:rFonts w:ascii="Arial"/>
                <w:b/>
                <w:w w:val="105"/>
                <w:sz w:val="16"/>
              </w:rPr>
              <w:t>than</w:t>
            </w:r>
            <w:r w:rsidRPr="00EB2BD8">
              <w:rPr>
                <w:rFonts w:ascii="Arial"/>
                <w:b/>
                <w:spacing w:val="-5"/>
                <w:w w:val="105"/>
                <w:sz w:val="16"/>
              </w:rPr>
              <w:t xml:space="preserve"> </w:t>
            </w:r>
            <w:r w:rsidRPr="00EB2BD8">
              <w:rPr>
                <w:rFonts w:ascii="Arial"/>
                <w:b/>
                <w:spacing w:val="-10"/>
                <w:w w:val="105"/>
                <w:sz w:val="16"/>
              </w:rPr>
              <w:t>1</w:t>
            </w:r>
          </w:p>
          <w:p w14:paraId="49C800EB" w14:textId="77777777" w:rsidR="00084F36" w:rsidRPr="00EB2BD8" w:rsidRDefault="00EB2BD8">
            <w:pPr>
              <w:pStyle w:val="TableParagraph"/>
              <w:spacing w:before="8" w:line="167" w:lineRule="exact"/>
              <w:ind w:right="95"/>
              <w:jc w:val="right"/>
              <w:rPr>
                <w:rFonts w:ascii="Arial"/>
                <w:b/>
                <w:sz w:val="16"/>
              </w:rPr>
            </w:pPr>
            <w:r w:rsidRPr="00EB2BD8">
              <w:rPr>
                <w:rFonts w:ascii="Arial"/>
                <w:b/>
                <w:spacing w:val="-2"/>
                <w:w w:val="105"/>
                <w:sz w:val="16"/>
              </w:rPr>
              <w:t>month</w:t>
            </w:r>
          </w:p>
        </w:tc>
        <w:tc>
          <w:tcPr>
            <w:tcW w:w="884" w:type="dxa"/>
            <w:shd w:val="clear" w:color="auto" w:fill="0070C0"/>
          </w:tcPr>
          <w:p w14:paraId="18D809B8" w14:textId="77777777" w:rsidR="00084F36" w:rsidRPr="00EB2BD8" w:rsidRDefault="00084F36">
            <w:pPr>
              <w:pStyle w:val="TableParagraph"/>
              <w:spacing w:before="4"/>
              <w:rPr>
                <w:rFonts w:ascii="Arial"/>
                <w:sz w:val="17"/>
              </w:rPr>
            </w:pPr>
          </w:p>
          <w:p w14:paraId="32F9A339" w14:textId="77777777" w:rsidR="00084F36" w:rsidRPr="00EB2BD8" w:rsidRDefault="00EB2BD8">
            <w:pPr>
              <w:pStyle w:val="TableParagraph"/>
              <w:spacing w:before="1"/>
              <w:ind w:right="96"/>
              <w:jc w:val="right"/>
              <w:rPr>
                <w:rFonts w:ascii="Arial"/>
                <w:b/>
                <w:sz w:val="16"/>
              </w:rPr>
            </w:pPr>
            <w:r w:rsidRPr="00EB2BD8">
              <w:rPr>
                <w:rFonts w:ascii="Arial"/>
                <w:b/>
                <w:sz w:val="16"/>
              </w:rPr>
              <w:t>1-</w:t>
            </w:r>
            <w:r w:rsidRPr="00EB2BD8">
              <w:rPr>
                <w:rFonts w:ascii="Arial"/>
                <w:b/>
                <w:spacing w:val="-10"/>
                <w:sz w:val="16"/>
              </w:rPr>
              <w:t>3</w:t>
            </w:r>
          </w:p>
          <w:p w14:paraId="2DF79135" w14:textId="77777777" w:rsidR="00084F36" w:rsidRPr="00EB2BD8" w:rsidRDefault="00EB2BD8">
            <w:pPr>
              <w:pStyle w:val="TableParagraph"/>
              <w:spacing w:before="8" w:line="167" w:lineRule="exact"/>
              <w:ind w:right="95"/>
              <w:jc w:val="right"/>
              <w:rPr>
                <w:rFonts w:ascii="Arial"/>
                <w:b/>
                <w:sz w:val="16"/>
              </w:rPr>
            </w:pPr>
            <w:r w:rsidRPr="00EB2BD8">
              <w:rPr>
                <w:rFonts w:ascii="Arial"/>
                <w:b/>
                <w:spacing w:val="-2"/>
                <w:w w:val="105"/>
                <w:sz w:val="16"/>
              </w:rPr>
              <w:t>months</w:t>
            </w:r>
          </w:p>
        </w:tc>
        <w:tc>
          <w:tcPr>
            <w:tcW w:w="885" w:type="dxa"/>
            <w:shd w:val="clear" w:color="auto" w:fill="0070C0"/>
          </w:tcPr>
          <w:p w14:paraId="0D8A6D62" w14:textId="77777777" w:rsidR="00084F36" w:rsidRPr="00EB2BD8" w:rsidRDefault="00EB2BD8">
            <w:pPr>
              <w:pStyle w:val="TableParagraph"/>
              <w:spacing w:before="6"/>
              <w:ind w:right="93"/>
              <w:jc w:val="right"/>
              <w:rPr>
                <w:rFonts w:ascii="Arial"/>
                <w:b/>
                <w:sz w:val="16"/>
              </w:rPr>
            </w:pPr>
            <w:r w:rsidRPr="00EB2BD8">
              <w:rPr>
                <w:rFonts w:ascii="Arial"/>
                <w:b/>
                <w:w w:val="104"/>
                <w:sz w:val="16"/>
              </w:rPr>
              <w:t>3</w:t>
            </w:r>
          </w:p>
          <w:p w14:paraId="1292F4E3" w14:textId="77777777" w:rsidR="00084F36" w:rsidRPr="00EB2BD8" w:rsidRDefault="00EB2BD8">
            <w:pPr>
              <w:pStyle w:val="TableParagraph"/>
              <w:spacing w:before="10"/>
              <w:ind w:right="93"/>
              <w:jc w:val="right"/>
              <w:rPr>
                <w:rFonts w:ascii="Arial"/>
                <w:b/>
                <w:sz w:val="16"/>
              </w:rPr>
            </w:pPr>
            <w:r w:rsidRPr="00EB2BD8">
              <w:rPr>
                <w:rFonts w:ascii="Arial"/>
                <w:b/>
                <w:spacing w:val="-2"/>
                <w:w w:val="105"/>
                <w:sz w:val="16"/>
              </w:rPr>
              <w:t>months</w:t>
            </w:r>
          </w:p>
          <w:p w14:paraId="2AC9695B" w14:textId="77777777" w:rsidR="00084F36" w:rsidRPr="00EB2BD8" w:rsidRDefault="00EB2BD8">
            <w:pPr>
              <w:pStyle w:val="TableParagraph"/>
              <w:spacing w:before="9" w:line="167" w:lineRule="exact"/>
              <w:ind w:right="95"/>
              <w:jc w:val="right"/>
              <w:rPr>
                <w:rFonts w:ascii="Arial"/>
                <w:b/>
                <w:sz w:val="16"/>
              </w:rPr>
            </w:pPr>
            <w:r w:rsidRPr="00EB2BD8">
              <w:rPr>
                <w:rFonts w:ascii="Arial"/>
                <w:b/>
                <w:w w:val="105"/>
                <w:sz w:val="16"/>
              </w:rPr>
              <w:t>-</w:t>
            </w:r>
            <w:r w:rsidRPr="00EB2BD8">
              <w:rPr>
                <w:rFonts w:ascii="Arial"/>
                <w:b/>
                <w:spacing w:val="-1"/>
                <w:w w:val="105"/>
                <w:sz w:val="16"/>
              </w:rPr>
              <w:t xml:space="preserve"> </w:t>
            </w:r>
            <w:r w:rsidRPr="00EB2BD8">
              <w:rPr>
                <w:rFonts w:ascii="Arial"/>
                <w:b/>
                <w:w w:val="105"/>
                <w:sz w:val="16"/>
              </w:rPr>
              <w:t>1</w:t>
            </w:r>
            <w:r w:rsidRPr="00EB2BD8">
              <w:rPr>
                <w:rFonts w:ascii="Arial"/>
                <w:b/>
                <w:spacing w:val="-1"/>
                <w:w w:val="105"/>
                <w:sz w:val="16"/>
              </w:rPr>
              <w:t xml:space="preserve"> </w:t>
            </w:r>
            <w:r w:rsidRPr="00EB2BD8">
              <w:rPr>
                <w:rFonts w:ascii="Arial"/>
                <w:b/>
                <w:spacing w:val="-4"/>
                <w:w w:val="105"/>
                <w:sz w:val="16"/>
              </w:rPr>
              <w:t>year</w:t>
            </w:r>
          </w:p>
        </w:tc>
        <w:tc>
          <w:tcPr>
            <w:tcW w:w="884" w:type="dxa"/>
            <w:shd w:val="clear" w:color="auto" w:fill="0070C0"/>
          </w:tcPr>
          <w:p w14:paraId="0BDB8714" w14:textId="77777777" w:rsidR="00084F36" w:rsidRPr="00EB2BD8" w:rsidRDefault="00084F36">
            <w:pPr>
              <w:pStyle w:val="TableParagraph"/>
              <w:spacing w:before="4"/>
              <w:rPr>
                <w:rFonts w:ascii="Arial"/>
                <w:sz w:val="17"/>
              </w:rPr>
            </w:pPr>
          </w:p>
          <w:p w14:paraId="7FD9B486" w14:textId="77777777" w:rsidR="00084F36" w:rsidRPr="00EB2BD8" w:rsidRDefault="00EB2BD8">
            <w:pPr>
              <w:pStyle w:val="TableParagraph"/>
              <w:spacing w:before="1"/>
              <w:ind w:right="94"/>
              <w:jc w:val="right"/>
              <w:rPr>
                <w:rFonts w:ascii="Arial"/>
                <w:b/>
                <w:sz w:val="16"/>
              </w:rPr>
            </w:pPr>
            <w:r w:rsidRPr="00EB2BD8">
              <w:rPr>
                <w:rFonts w:ascii="Arial"/>
                <w:b/>
                <w:sz w:val="16"/>
              </w:rPr>
              <w:t>1-</w:t>
            </w:r>
            <w:r w:rsidRPr="00EB2BD8">
              <w:rPr>
                <w:rFonts w:ascii="Arial"/>
                <w:b/>
                <w:spacing w:val="-10"/>
                <w:sz w:val="16"/>
              </w:rPr>
              <w:t>5</w:t>
            </w:r>
          </w:p>
          <w:p w14:paraId="5DEF639A" w14:textId="77777777" w:rsidR="00084F36" w:rsidRPr="00EB2BD8" w:rsidRDefault="00EB2BD8">
            <w:pPr>
              <w:pStyle w:val="TableParagraph"/>
              <w:spacing w:before="8" w:line="167" w:lineRule="exact"/>
              <w:ind w:right="94"/>
              <w:jc w:val="right"/>
              <w:rPr>
                <w:rFonts w:ascii="Arial"/>
                <w:b/>
                <w:sz w:val="16"/>
              </w:rPr>
            </w:pPr>
            <w:r w:rsidRPr="00EB2BD8">
              <w:rPr>
                <w:rFonts w:ascii="Arial"/>
                <w:b/>
                <w:spacing w:val="-2"/>
                <w:w w:val="105"/>
                <w:sz w:val="16"/>
              </w:rPr>
              <w:t>years</w:t>
            </w:r>
          </w:p>
        </w:tc>
        <w:tc>
          <w:tcPr>
            <w:tcW w:w="884" w:type="dxa"/>
            <w:shd w:val="clear" w:color="auto" w:fill="0070C0"/>
          </w:tcPr>
          <w:p w14:paraId="43CCEC94" w14:textId="77777777" w:rsidR="00084F36" w:rsidRPr="00EB2BD8" w:rsidRDefault="00084F36">
            <w:pPr>
              <w:pStyle w:val="TableParagraph"/>
              <w:spacing w:before="4"/>
              <w:rPr>
                <w:rFonts w:ascii="Arial"/>
                <w:sz w:val="17"/>
              </w:rPr>
            </w:pPr>
          </w:p>
          <w:p w14:paraId="279CB73E" w14:textId="77777777" w:rsidR="00084F36" w:rsidRPr="00EB2BD8" w:rsidRDefault="00EB2BD8">
            <w:pPr>
              <w:pStyle w:val="TableParagraph"/>
              <w:spacing w:before="1"/>
              <w:ind w:right="93"/>
              <w:jc w:val="right"/>
              <w:rPr>
                <w:rFonts w:ascii="Arial"/>
                <w:b/>
                <w:sz w:val="16"/>
              </w:rPr>
            </w:pPr>
            <w:r w:rsidRPr="00EB2BD8">
              <w:rPr>
                <w:rFonts w:ascii="Arial"/>
                <w:b/>
                <w:spacing w:val="-5"/>
                <w:w w:val="105"/>
                <w:sz w:val="16"/>
              </w:rPr>
              <w:t>5+</w:t>
            </w:r>
          </w:p>
          <w:p w14:paraId="422E9852" w14:textId="77777777" w:rsidR="00084F36" w:rsidRPr="00EB2BD8" w:rsidRDefault="00EB2BD8">
            <w:pPr>
              <w:pStyle w:val="TableParagraph"/>
              <w:spacing w:before="8" w:line="167" w:lineRule="exact"/>
              <w:ind w:right="93"/>
              <w:jc w:val="right"/>
              <w:rPr>
                <w:rFonts w:ascii="Arial"/>
                <w:b/>
                <w:sz w:val="16"/>
              </w:rPr>
            </w:pPr>
            <w:r w:rsidRPr="00EB2BD8">
              <w:rPr>
                <w:rFonts w:ascii="Arial"/>
                <w:b/>
                <w:spacing w:val="-2"/>
                <w:w w:val="105"/>
                <w:sz w:val="16"/>
              </w:rPr>
              <w:t>years</w:t>
            </w:r>
          </w:p>
        </w:tc>
      </w:tr>
      <w:tr w:rsidR="00EB2BD8" w:rsidRPr="00EB2BD8" w14:paraId="6E8EC0B6" w14:textId="77777777">
        <w:trPr>
          <w:trHeight w:val="311"/>
        </w:trPr>
        <w:tc>
          <w:tcPr>
            <w:tcW w:w="2255" w:type="dxa"/>
            <w:tcBorders>
              <w:top w:val="single" w:sz="4" w:space="0" w:color="0098FF"/>
            </w:tcBorders>
            <w:shd w:val="clear" w:color="auto" w:fill="FFFFFF"/>
          </w:tcPr>
          <w:p w14:paraId="719F742B" w14:textId="77777777" w:rsidR="00084F36" w:rsidRPr="00EB2BD8" w:rsidRDefault="00EB2BD8">
            <w:pPr>
              <w:pStyle w:val="TableParagraph"/>
              <w:spacing w:before="50"/>
              <w:ind w:left="105"/>
              <w:rPr>
                <w:rFonts w:ascii="Arial"/>
                <w:b/>
                <w:sz w:val="11"/>
              </w:rPr>
            </w:pPr>
            <w:r w:rsidRPr="00EB2BD8">
              <w:rPr>
                <w:rFonts w:ascii="Arial"/>
                <w:b/>
                <w:spacing w:val="-2"/>
                <w:w w:val="105"/>
                <w:sz w:val="16"/>
              </w:rPr>
              <w:t>Payables:</w:t>
            </w:r>
            <w:r w:rsidRPr="00EB2BD8">
              <w:rPr>
                <w:rFonts w:ascii="Arial"/>
                <w:b/>
                <w:spacing w:val="-2"/>
                <w:w w:val="105"/>
                <w:position w:val="6"/>
                <w:sz w:val="11"/>
              </w:rPr>
              <w:t>(b)</w:t>
            </w:r>
          </w:p>
        </w:tc>
        <w:tc>
          <w:tcPr>
            <w:tcW w:w="1270" w:type="dxa"/>
            <w:shd w:val="clear" w:color="auto" w:fill="DEEAF6"/>
          </w:tcPr>
          <w:p w14:paraId="0D388D5C" w14:textId="77777777" w:rsidR="00084F36" w:rsidRPr="00EB2BD8" w:rsidRDefault="00084F36">
            <w:pPr>
              <w:pStyle w:val="TableParagraph"/>
              <w:rPr>
                <w:rFonts w:ascii="Times New Roman"/>
                <w:sz w:val="16"/>
              </w:rPr>
            </w:pPr>
          </w:p>
        </w:tc>
        <w:tc>
          <w:tcPr>
            <w:tcW w:w="1009" w:type="dxa"/>
            <w:shd w:val="clear" w:color="auto" w:fill="FFFFFF"/>
          </w:tcPr>
          <w:p w14:paraId="4D93C016" w14:textId="77777777" w:rsidR="00084F36" w:rsidRPr="00EB2BD8" w:rsidRDefault="00084F36">
            <w:pPr>
              <w:pStyle w:val="TableParagraph"/>
              <w:rPr>
                <w:rFonts w:ascii="Times New Roman"/>
                <w:sz w:val="16"/>
              </w:rPr>
            </w:pPr>
          </w:p>
        </w:tc>
        <w:tc>
          <w:tcPr>
            <w:tcW w:w="1134" w:type="dxa"/>
            <w:shd w:val="clear" w:color="auto" w:fill="DEEAF6"/>
          </w:tcPr>
          <w:p w14:paraId="383CF8A4" w14:textId="77777777" w:rsidR="00084F36" w:rsidRPr="00EB2BD8" w:rsidRDefault="00084F36">
            <w:pPr>
              <w:pStyle w:val="TableParagraph"/>
              <w:rPr>
                <w:rFonts w:ascii="Times New Roman"/>
                <w:sz w:val="16"/>
              </w:rPr>
            </w:pPr>
          </w:p>
        </w:tc>
        <w:tc>
          <w:tcPr>
            <w:tcW w:w="884" w:type="dxa"/>
            <w:shd w:val="clear" w:color="auto" w:fill="FFFFFF"/>
          </w:tcPr>
          <w:p w14:paraId="161B6D98" w14:textId="77777777" w:rsidR="00084F36" w:rsidRPr="00EB2BD8" w:rsidRDefault="00084F36">
            <w:pPr>
              <w:pStyle w:val="TableParagraph"/>
              <w:rPr>
                <w:rFonts w:ascii="Times New Roman"/>
                <w:sz w:val="16"/>
              </w:rPr>
            </w:pPr>
          </w:p>
        </w:tc>
        <w:tc>
          <w:tcPr>
            <w:tcW w:w="885" w:type="dxa"/>
            <w:shd w:val="clear" w:color="auto" w:fill="DEEAF6"/>
          </w:tcPr>
          <w:p w14:paraId="354814AB" w14:textId="77777777" w:rsidR="00084F36" w:rsidRPr="00EB2BD8" w:rsidRDefault="00084F36">
            <w:pPr>
              <w:pStyle w:val="TableParagraph"/>
              <w:rPr>
                <w:rFonts w:ascii="Times New Roman"/>
                <w:sz w:val="16"/>
              </w:rPr>
            </w:pPr>
          </w:p>
        </w:tc>
        <w:tc>
          <w:tcPr>
            <w:tcW w:w="884" w:type="dxa"/>
            <w:shd w:val="clear" w:color="auto" w:fill="FFFFFF"/>
          </w:tcPr>
          <w:p w14:paraId="294DC3A8" w14:textId="77777777" w:rsidR="00084F36" w:rsidRPr="00EB2BD8" w:rsidRDefault="00084F36">
            <w:pPr>
              <w:pStyle w:val="TableParagraph"/>
              <w:rPr>
                <w:rFonts w:ascii="Times New Roman"/>
                <w:sz w:val="16"/>
              </w:rPr>
            </w:pPr>
          </w:p>
        </w:tc>
        <w:tc>
          <w:tcPr>
            <w:tcW w:w="884" w:type="dxa"/>
            <w:shd w:val="clear" w:color="auto" w:fill="DEEAF6"/>
          </w:tcPr>
          <w:p w14:paraId="2757CE36" w14:textId="77777777" w:rsidR="00084F36" w:rsidRPr="00EB2BD8" w:rsidRDefault="00084F36">
            <w:pPr>
              <w:pStyle w:val="TableParagraph"/>
              <w:rPr>
                <w:rFonts w:ascii="Times New Roman"/>
                <w:sz w:val="16"/>
              </w:rPr>
            </w:pPr>
          </w:p>
        </w:tc>
      </w:tr>
      <w:tr w:rsidR="00EB2BD8" w:rsidRPr="00EB2BD8" w14:paraId="06D90E2D" w14:textId="77777777">
        <w:trPr>
          <w:trHeight w:val="315"/>
        </w:trPr>
        <w:tc>
          <w:tcPr>
            <w:tcW w:w="2255" w:type="dxa"/>
            <w:shd w:val="clear" w:color="auto" w:fill="FFFFFF"/>
          </w:tcPr>
          <w:p w14:paraId="7583F0D0" w14:textId="77777777" w:rsidR="00084F36" w:rsidRPr="00EB2BD8" w:rsidRDefault="00EB2BD8">
            <w:pPr>
              <w:pStyle w:val="TableParagraph"/>
              <w:spacing w:before="64"/>
              <w:ind w:left="105"/>
              <w:rPr>
                <w:rFonts w:ascii="Arial"/>
                <w:sz w:val="16"/>
              </w:rPr>
            </w:pPr>
            <w:r w:rsidRPr="00EB2BD8">
              <w:rPr>
                <w:rFonts w:ascii="Arial"/>
                <w:w w:val="105"/>
                <w:sz w:val="16"/>
              </w:rPr>
              <w:t>Contract</w:t>
            </w:r>
            <w:r w:rsidRPr="00EB2BD8">
              <w:rPr>
                <w:rFonts w:ascii="Arial"/>
                <w:spacing w:val="-11"/>
                <w:w w:val="105"/>
                <w:sz w:val="16"/>
              </w:rPr>
              <w:t xml:space="preserve"> </w:t>
            </w:r>
            <w:r w:rsidRPr="00EB2BD8">
              <w:rPr>
                <w:rFonts w:ascii="Arial"/>
                <w:spacing w:val="-2"/>
                <w:w w:val="105"/>
                <w:sz w:val="16"/>
              </w:rPr>
              <w:t>payables</w:t>
            </w:r>
          </w:p>
        </w:tc>
        <w:tc>
          <w:tcPr>
            <w:tcW w:w="1270" w:type="dxa"/>
            <w:shd w:val="clear" w:color="auto" w:fill="DEEAF6"/>
          </w:tcPr>
          <w:p w14:paraId="61BA4E93" w14:textId="77777777" w:rsidR="00084F36" w:rsidRPr="00EB2BD8" w:rsidRDefault="00EB2BD8">
            <w:pPr>
              <w:pStyle w:val="TableParagraph"/>
              <w:spacing w:before="64"/>
              <w:ind w:right="94"/>
              <w:jc w:val="right"/>
              <w:rPr>
                <w:rFonts w:ascii="Arial"/>
                <w:sz w:val="16"/>
              </w:rPr>
            </w:pPr>
            <w:r w:rsidRPr="00EB2BD8">
              <w:rPr>
                <w:rFonts w:ascii="Arial"/>
                <w:spacing w:val="-2"/>
                <w:w w:val="105"/>
                <w:sz w:val="16"/>
              </w:rPr>
              <w:t>10,673</w:t>
            </w:r>
          </w:p>
        </w:tc>
        <w:tc>
          <w:tcPr>
            <w:tcW w:w="1009" w:type="dxa"/>
            <w:shd w:val="clear" w:color="auto" w:fill="FFFFFF"/>
          </w:tcPr>
          <w:p w14:paraId="436556B6" w14:textId="77777777" w:rsidR="00084F36" w:rsidRPr="00EB2BD8" w:rsidRDefault="00EB2BD8">
            <w:pPr>
              <w:pStyle w:val="TableParagraph"/>
              <w:spacing w:before="64"/>
              <w:ind w:right="95"/>
              <w:jc w:val="right"/>
              <w:rPr>
                <w:rFonts w:ascii="Arial"/>
                <w:sz w:val="16"/>
              </w:rPr>
            </w:pPr>
            <w:r w:rsidRPr="00EB2BD8">
              <w:rPr>
                <w:rFonts w:ascii="Arial"/>
                <w:spacing w:val="-2"/>
                <w:w w:val="105"/>
                <w:sz w:val="16"/>
              </w:rPr>
              <w:t>10,673</w:t>
            </w:r>
          </w:p>
        </w:tc>
        <w:tc>
          <w:tcPr>
            <w:tcW w:w="1134" w:type="dxa"/>
            <w:shd w:val="clear" w:color="auto" w:fill="DEEAF6"/>
          </w:tcPr>
          <w:p w14:paraId="21BC60E1" w14:textId="77777777" w:rsidR="00084F36" w:rsidRPr="00EB2BD8" w:rsidRDefault="00EB2BD8">
            <w:pPr>
              <w:pStyle w:val="TableParagraph"/>
              <w:spacing w:before="64"/>
              <w:ind w:right="96"/>
              <w:jc w:val="right"/>
              <w:rPr>
                <w:rFonts w:ascii="Arial"/>
                <w:sz w:val="16"/>
              </w:rPr>
            </w:pPr>
            <w:r w:rsidRPr="00EB2BD8">
              <w:rPr>
                <w:rFonts w:ascii="Arial"/>
                <w:spacing w:val="-2"/>
                <w:w w:val="105"/>
                <w:sz w:val="16"/>
              </w:rPr>
              <w:t>10,690</w:t>
            </w:r>
          </w:p>
        </w:tc>
        <w:tc>
          <w:tcPr>
            <w:tcW w:w="884" w:type="dxa"/>
            <w:shd w:val="clear" w:color="auto" w:fill="FFFFFF"/>
          </w:tcPr>
          <w:p w14:paraId="52DD6CA2" w14:textId="77777777" w:rsidR="00084F36" w:rsidRPr="00EB2BD8" w:rsidRDefault="00EB2BD8">
            <w:pPr>
              <w:pStyle w:val="TableParagraph"/>
              <w:spacing w:before="64"/>
              <w:ind w:right="96"/>
              <w:jc w:val="right"/>
              <w:rPr>
                <w:rFonts w:ascii="Arial"/>
                <w:sz w:val="16"/>
              </w:rPr>
            </w:pPr>
            <w:r w:rsidRPr="00EB2BD8">
              <w:rPr>
                <w:rFonts w:ascii="Arial"/>
                <w:spacing w:val="-4"/>
                <w:w w:val="105"/>
                <w:sz w:val="16"/>
              </w:rPr>
              <w:t>(13)</w:t>
            </w:r>
          </w:p>
        </w:tc>
        <w:tc>
          <w:tcPr>
            <w:tcW w:w="885" w:type="dxa"/>
            <w:shd w:val="clear" w:color="auto" w:fill="DEEAF6"/>
          </w:tcPr>
          <w:p w14:paraId="139D54FA" w14:textId="77777777" w:rsidR="00084F36" w:rsidRPr="00EB2BD8" w:rsidRDefault="00EB2BD8">
            <w:pPr>
              <w:pStyle w:val="TableParagraph"/>
              <w:spacing w:before="64"/>
              <w:ind w:right="93"/>
              <w:jc w:val="right"/>
              <w:rPr>
                <w:rFonts w:ascii="Arial"/>
                <w:sz w:val="16"/>
              </w:rPr>
            </w:pPr>
            <w:r w:rsidRPr="00EB2BD8">
              <w:rPr>
                <w:rFonts w:ascii="Arial"/>
                <w:spacing w:val="-5"/>
                <w:w w:val="105"/>
                <w:sz w:val="16"/>
              </w:rPr>
              <w:t>(4)</w:t>
            </w:r>
          </w:p>
        </w:tc>
        <w:tc>
          <w:tcPr>
            <w:tcW w:w="884" w:type="dxa"/>
            <w:shd w:val="clear" w:color="auto" w:fill="FFFFFF"/>
          </w:tcPr>
          <w:p w14:paraId="15D1B14C" w14:textId="77777777" w:rsidR="00084F36" w:rsidRPr="00EB2BD8" w:rsidRDefault="00EB2BD8">
            <w:pPr>
              <w:pStyle w:val="TableParagraph"/>
              <w:spacing w:before="64"/>
              <w:ind w:right="92"/>
              <w:jc w:val="right"/>
              <w:rPr>
                <w:rFonts w:ascii="Arial"/>
                <w:sz w:val="16"/>
              </w:rPr>
            </w:pPr>
            <w:r w:rsidRPr="00EB2BD8">
              <w:rPr>
                <w:rFonts w:ascii="Arial"/>
                <w:w w:val="104"/>
                <w:sz w:val="16"/>
              </w:rPr>
              <w:t>-</w:t>
            </w:r>
          </w:p>
        </w:tc>
        <w:tc>
          <w:tcPr>
            <w:tcW w:w="884" w:type="dxa"/>
            <w:shd w:val="clear" w:color="auto" w:fill="DEEAF6"/>
          </w:tcPr>
          <w:p w14:paraId="288B661C" w14:textId="77777777" w:rsidR="00084F36" w:rsidRPr="00EB2BD8" w:rsidRDefault="00EB2BD8">
            <w:pPr>
              <w:pStyle w:val="TableParagraph"/>
              <w:spacing w:before="64"/>
              <w:ind w:right="91"/>
              <w:jc w:val="right"/>
              <w:rPr>
                <w:rFonts w:ascii="Arial"/>
                <w:sz w:val="16"/>
              </w:rPr>
            </w:pPr>
            <w:r w:rsidRPr="00EB2BD8">
              <w:rPr>
                <w:rFonts w:ascii="Arial"/>
                <w:w w:val="104"/>
                <w:sz w:val="16"/>
              </w:rPr>
              <w:t>-</w:t>
            </w:r>
          </w:p>
        </w:tc>
      </w:tr>
      <w:tr w:rsidR="00EB2BD8" w:rsidRPr="00EB2BD8" w14:paraId="174A9D07" w14:textId="77777777">
        <w:trPr>
          <w:trHeight w:val="317"/>
        </w:trPr>
        <w:tc>
          <w:tcPr>
            <w:tcW w:w="2255" w:type="dxa"/>
            <w:shd w:val="clear" w:color="auto" w:fill="FFFFFF"/>
          </w:tcPr>
          <w:p w14:paraId="50018B32" w14:textId="77777777" w:rsidR="00084F36" w:rsidRPr="00EB2BD8" w:rsidRDefault="00EB2BD8">
            <w:pPr>
              <w:pStyle w:val="TableParagraph"/>
              <w:spacing w:before="54"/>
              <w:ind w:left="105"/>
              <w:rPr>
                <w:rFonts w:ascii="Arial"/>
                <w:sz w:val="11"/>
              </w:rPr>
            </w:pPr>
            <w:r w:rsidRPr="00EB2BD8">
              <w:rPr>
                <w:rFonts w:ascii="Arial"/>
                <w:w w:val="105"/>
                <w:sz w:val="16"/>
              </w:rPr>
              <w:t>Security</w:t>
            </w:r>
            <w:r w:rsidRPr="00EB2BD8">
              <w:rPr>
                <w:rFonts w:ascii="Arial"/>
                <w:spacing w:val="-12"/>
                <w:w w:val="105"/>
                <w:sz w:val="16"/>
              </w:rPr>
              <w:t xml:space="preserve"> </w:t>
            </w:r>
            <w:r w:rsidRPr="00EB2BD8">
              <w:rPr>
                <w:rFonts w:ascii="Arial"/>
                <w:spacing w:val="-2"/>
                <w:w w:val="105"/>
                <w:sz w:val="16"/>
              </w:rPr>
              <w:t>deposits</w:t>
            </w:r>
            <w:r w:rsidRPr="00EB2BD8">
              <w:rPr>
                <w:rFonts w:ascii="Arial"/>
                <w:spacing w:val="-2"/>
                <w:w w:val="105"/>
                <w:position w:val="6"/>
                <w:sz w:val="11"/>
              </w:rPr>
              <w:t>(c)</w:t>
            </w:r>
          </w:p>
        </w:tc>
        <w:tc>
          <w:tcPr>
            <w:tcW w:w="1270" w:type="dxa"/>
            <w:shd w:val="clear" w:color="auto" w:fill="DEEAF6"/>
          </w:tcPr>
          <w:p w14:paraId="6645D581" w14:textId="77777777" w:rsidR="00084F36" w:rsidRPr="00EB2BD8" w:rsidRDefault="00EB2BD8">
            <w:pPr>
              <w:pStyle w:val="TableParagraph"/>
              <w:spacing w:before="67"/>
              <w:ind w:right="95"/>
              <w:jc w:val="right"/>
              <w:rPr>
                <w:rFonts w:ascii="Arial"/>
                <w:sz w:val="16"/>
              </w:rPr>
            </w:pPr>
            <w:r w:rsidRPr="00EB2BD8">
              <w:rPr>
                <w:rFonts w:ascii="Arial"/>
                <w:spacing w:val="-2"/>
                <w:w w:val="105"/>
                <w:sz w:val="16"/>
              </w:rPr>
              <w:t>2,856</w:t>
            </w:r>
          </w:p>
        </w:tc>
        <w:tc>
          <w:tcPr>
            <w:tcW w:w="1009" w:type="dxa"/>
            <w:shd w:val="clear" w:color="auto" w:fill="FFFFFF"/>
          </w:tcPr>
          <w:p w14:paraId="201C95A0" w14:textId="77777777" w:rsidR="00084F36" w:rsidRPr="00EB2BD8" w:rsidRDefault="00EB2BD8">
            <w:pPr>
              <w:pStyle w:val="TableParagraph"/>
              <w:spacing w:before="67"/>
              <w:ind w:right="95"/>
              <w:jc w:val="right"/>
              <w:rPr>
                <w:rFonts w:ascii="Arial"/>
                <w:sz w:val="16"/>
              </w:rPr>
            </w:pPr>
            <w:r w:rsidRPr="00EB2BD8">
              <w:rPr>
                <w:rFonts w:ascii="Arial"/>
                <w:spacing w:val="-2"/>
                <w:w w:val="105"/>
                <w:sz w:val="16"/>
              </w:rPr>
              <w:t>2,856</w:t>
            </w:r>
          </w:p>
        </w:tc>
        <w:tc>
          <w:tcPr>
            <w:tcW w:w="1134" w:type="dxa"/>
            <w:shd w:val="clear" w:color="auto" w:fill="DEEAF6"/>
          </w:tcPr>
          <w:p w14:paraId="03A4D3DA" w14:textId="77777777" w:rsidR="00084F36" w:rsidRPr="00EB2BD8" w:rsidRDefault="00EB2BD8">
            <w:pPr>
              <w:pStyle w:val="TableParagraph"/>
              <w:spacing w:before="67"/>
              <w:ind w:right="96"/>
              <w:jc w:val="right"/>
              <w:rPr>
                <w:rFonts w:ascii="Arial"/>
                <w:sz w:val="16"/>
              </w:rPr>
            </w:pPr>
            <w:r w:rsidRPr="00EB2BD8">
              <w:rPr>
                <w:rFonts w:ascii="Arial"/>
                <w:w w:val="104"/>
                <w:sz w:val="16"/>
              </w:rPr>
              <w:t>-</w:t>
            </w:r>
          </w:p>
        </w:tc>
        <w:tc>
          <w:tcPr>
            <w:tcW w:w="884" w:type="dxa"/>
            <w:shd w:val="clear" w:color="auto" w:fill="FFFFFF"/>
          </w:tcPr>
          <w:p w14:paraId="655FF290" w14:textId="77777777" w:rsidR="00084F36" w:rsidRPr="00EB2BD8" w:rsidRDefault="00EB2BD8">
            <w:pPr>
              <w:pStyle w:val="TableParagraph"/>
              <w:spacing w:before="67"/>
              <w:ind w:right="95"/>
              <w:jc w:val="right"/>
              <w:rPr>
                <w:rFonts w:ascii="Arial"/>
                <w:sz w:val="16"/>
              </w:rPr>
            </w:pPr>
            <w:r w:rsidRPr="00EB2BD8">
              <w:rPr>
                <w:rFonts w:ascii="Arial"/>
                <w:w w:val="104"/>
                <w:sz w:val="16"/>
              </w:rPr>
              <w:t>-</w:t>
            </w:r>
          </w:p>
        </w:tc>
        <w:tc>
          <w:tcPr>
            <w:tcW w:w="885" w:type="dxa"/>
            <w:shd w:val="clear" w:color="auto" w:fill="DEEAF6"/>
          </w:tcPr>
          <w:p w14:paraId="2CE96A23" w14:textId="77777777" w:rsidR="00084F36" w:rsidRPr="00EB2BD8" w:rsidRDefault="00EB2BD8">
            <w:pPr>
              <w:pStyle w:val="TableParagraph"/>
              <w:spacing w:before="67"/>
              <w:ind w:right="92"/>
              <w:jc w:val="right"/>
              <w:rPr>
                <w:rFonts w:ascii="Arial"/>
                <w:sz w:val="16"/>
              </w:rPr>
            </w:pPr>
            <w:r w:rsidRPr="00EB2BD8">
              <w:rPr>
                <w:rFonts w:ascii="Arial"/>
                <w:w w:val="104"/>
                <w:sz w:val="16"/>
              </w:rPr>
              <w:t>-</w:t>
            </w:r>
          </w:p>
        </w:tc>
        <w:tc>
          <w:tcPr>
            <w:tcW w:w="884" w:type="dxa"/>
            <w:shd w:val="clear" w:color="auto" w:fill="FFFFFF"/>
          </w:tcPr>
          <w:p w14:paraId="119982CE" w14:textId="77777777" w:rsidR="00084F36" w:rsidRPr="00EB2BD8" w:rsidRDefault="00EB2BD8">
            <w:pPr>
              <w:pStyle w:val="TableParagraph"/>
              <w:spacing w:before="67"/>
              <w:ind w:right="93"/>
              <w:jc w:val="right"/>
              <w:rPr>
                <w:rFonts w:ascii="Arial"/>
                <w:sz w:val="16"/>
              </w:rPr>
            </w:pPr>
            <w:r w:rsidRPr="00EB2BD8">
              <w:rPr>
                <w:rFonts w:ascii="Arial"/>
                <w:spacing w:val="-2"/>
                <w:w w:val="105"/>
                <w:sz w:val="16"/>
              </w:rPr>
              <w:t>1,654</w:t>
            </w:r>
          </w:p>
        </w:tc>
        <w:tc>
          <w:tcPr>
            <w:tcW w:w="884" w:type="dxa"/>
            <w:shd w:val="clear" w:color="auto" w:fill="DEEAF6"/>
          </w:tcPr>
          <w:p w14:paraId="493BD441" w14:textId="77777777" w:rsidR="00084F36" w:rsidRPr="00EB2BD8" w:rsidRDefault="00EB2BD8">
            <w:pPr>
              <w:pStyle w:val="TableParagraph"/>
              <w:spacing w:before="67"/>
              <w:ind w:right="94"/>
              <w:jc w:val="right"/>
              <w:rPr>
                <w:rFonts w:ascii="Arial"/>
                <w:sz w:val="16"/>
              </w:rPr>
            </w:pPr>
            <w:r w:rsidRPr="00EB2BD8">
              <w:rPr>
                <w:rFonts w:ascii="Arial"/>
                <w:spacing w:val="-2"/>
                <w:w w:val="105"/>
                <w:sz w:val="16"/>
              </w:rPr>
              <w:t>1,202</w:t>
            </w:r>
          </w:p>
        </w:tc>
      </w:tr>
      <w:tr w:rsidR="00EB2BD8" w:rsidRPr="00EB2BD8" w14:paraId="2C432535" w14:textId="77777777">
        <w:trPr>
          <w:trHeight w:val="314"/>
        </w:trPr>
        <w:tc>
          <w:tcPr>
            <w:tcW w:w="2255" w:type="dxa"/>
            <w:tcBorders>
              <w:bottom w:val="single" w:sz="12" w:space="0" w:color="000000"/>
            </w:tcBorders>
            <w:shd w:val="clear" w:color="auto" w:fill="FFFFFF"/>
          </w:tcPr>
          <w:p w14:paraId="2476E019" w14:textId="77777777" w:rsidR="00084F36" w:rsidRPr="00EB2BD8" w:rsidRDefault="00EB2BD8">
            <w:pPr>
              <w:pStyle w:val="TableParagraph"/>
              <w:spacing w:before="66"/>
              <w:ind w:left="105"/>
              <w:rPr>
                <w:rFonts w:ascii="Arial"/>
                <w:sz w:val="16"/>
              </w:rPr>
            </w:pPr>
            <w:r w:rsidRPr="00EB2BD8">
              <w:rPr>
                <w:rFonts w:ascii="Arial"/>
                <w:w w:val="105"/>
                <w:sz w:val="16"/>
              </w:rPr>
              <w:t>Other</w:t>
            </w:r>
            <w:r w:rsidRPr="00EB2BD8">
              <w:rPr>
                <w:rFonts w:ascii="Arial"/>
                <w:spacing w:val="-7"/>
                <w:w w:val="105"/>
                <w:sz w:val="16"/>
              </w:rPr>
              <w:t xml:space="preserve"> </w:t>
            </w:r>
            <w:r w:rsidRPr="00EB2BD8">
              <w:rPr>
                <w:rFonts w:ascii="Arial"/>
                <w:spacing w:val="-2"/>
                <w:w w:val="105"/>
                <w:sz w:val="16"/>
              </w:rPr>
              <w:t>liabilities</w:t>
            </w:r>
          </w:p>
        </w:tc>
        <w:tc>
          <w:tcPr>
            <w:tcW w:w="1270" w:type="dxa"/>
            <w:tcBorders>
              <w:bottom w:val="single" w:sz="12" w:space="0" w:color="000000"/>
            </w:tcBorders>
            <w:shd w:val="clear" w:color="auto" w:fill="DEEAF6"/>
          </w:tcPr>
          <w:p w14:paraId="7F7FEEA7" w14:textId="77777777" w:rsidR="00084F36" w:rsidRPr="00EB2BD8" w:rsidRDefault="00EB2BD8">
            <w:pPr>
              <w:pStyle w:val="TableParagraph"/>
              <w:spacing w:before="66"/>
              <w:ind w:right="95"/>
              <w:jc w:val="right"/>
              <w:rPr>
                <w:rFonts w:ascii="Arial"/>
                <w:sz w:val="16"/>
              </w:rPr>
            </w:pPr>
            <w:r w:rsidRPr="00EB2BD8">
              <w:rPr>
                <w:rFonts w:ascii="Arial"/>
                <w:spacing w:val="-2"/>
                <w:w w:val="105"/>
                <w:sz w:val="16"/>
              </w:rPr>
              <w:t>1,708</w:t>
            </w:r>
          </w:p>
        </w:tc>
        <w:tc>
          <w:tcPr>
            <w:tcW w:w="1009" w:type="dxa"/>
            <w:tcBorders>
              <w:bottom w:val="single" w:sz="12" w:space="0" w:color="000000"/>
            </w:tcBorders>
            <w:shd w:val="clear" w:color="auto" w:fill="FFFFFF"/>
          </w:tcPr>
          <w:p w14:paraId="69F3791F" w14:textId="77777777" w:rsidR="00084F36" w:rsidRPr="00EB2BD8" w:rsidRDefault="00EB2BD8">
            <w:pPr>
              <w:pStyle w:val="TableParagraph"/>
              <w:spacing w:before="66"/>
              <w:ind w:right="95"/>
              <w:jc w:val="right"/>
              <w:rPr>
                <w:rFonts w:ascii="Arial"/>
                <w:sz w:val="16"/>
              </w:rPr>
            </w:pPr>
            <w:r w:rsidRPr="00EB2BD8">
              <w:rPr>
                <w:rFonts w:ascii="Arial"/>
                <w:spacing w:val="-2"/>
                <w:w w:val="105"/>
                <w:sz w:val="16"/>
              </w:rPr>
              <w:t>1,708</w:t>
            </w:r>
          </w:p>
        </w:tc>
        <w:tc>
          <w:tcPr>
            <w:tcW w:w="1134" w:type="dxa"/>
            <w:tcBorders>
              <w:bottom w:val="single" w:sz="12" w:space="0" w:color="000000"/>
            </w:tcBorders>
            <w:shd w:val="clear" w:color="auto" w:fill="DEEAF6"/>
          </w:tcPr>
          <w:p w14:paraId="3C7A8F3A" w14:textId="77777777" w:rsidR="00084F36" w:rsidRPr="00EB2BD8" w:rsidRDefault="00EB2BD8">
            <w:pPr>
              <w:pStyle w:val="TableParagraph"/>
              <w:spacing w:before="66"/>
              <w:ind w:right="96"/>
              <w:jc w:val="right"/>
              <w:rPr>
                <w:rFonts w:ascii="Arial"/>
                <w:sz w:val="16"/>
              </w:rPr>
            </w:pPr>
            <w:r w:rsidRPr="00EB2BD8">
              <w:rPr>
                <w:rFonts w:ascii="Arial"/>
                <w:spacing w:val="-2"/>
                <w:w w:val="105"/>
                <w:sz w:val="16"/>
              </w:rPr>
              <w:t>1,708</w:t>
            </w:r>
          </w:p>
        </w:tc>
        <w:tc>
          <w:tcPr>
            <w:tcW w:w="884" w:type="dxa"/>
            <w:tcBorders>
              <w:bottom w:val="single" w:sz="12" w:space="0" w:color="000000"/>
            </w:tcBorders>
            <w:shd w:val="clear" w:color="auto" w:fill="FFFFFF"/>
          </w:tcPr>
          <w:p w14:paraId="44D56C4D" w14:textId="77777777" w:rsidR="00084F36" w:rsidRPr="00EB2BD8" w:rsidRDefault="00EB2BD8">
            <w:pPr>
              <w:pStyle w:val="TableParagraph"/>
              <w:spacing w:before="66"/>
              <w:ind w:right="95"/>
              <w:jc w:val="right"/>
              <w:rPr>
                <w:rFonts w:ascii="Arial"/>
                <w:sz w:val="16"/>
              </w:rPr>
            </w:pPr>
            <w:r w:rsidRPr="00EB2BD8">
              <w:rPr>
                <w:rFonts w:ascii="Arial"/>
                <w:w w:val="104"/>
                <w:sz w:val="16"/>
              </w:rPr>
              <w:t>-</w:t>
            </w:r>
          </w:p>
        </w:tc>
        <w:tc>
          <w:tcPr>
            <w:tcW w:w="885" w:type="dxa"/>
            <w:tcBorders>
              <w:bottom w:val="single" w:sz="12" w:space="0" w:color="000000"/>
            </w:tcBorders>
            <w:shd w:val="clear" w:color="auto" w:fill="DEEAF6"/>
          </w:tcPr>
          <w:p w14:paraId="4AA8A3B5" w14:textId="77777777" w:rsidR="00084F36" w:rsidRPr="00EB2BD8" w:rsidRDefault="00EB2BD8">
            <w:pPr>
              <w:pStyle w:val="TableParagraph"/>
              <w:spacing w:before="66"/>
              <w:ind w:right="93"/>
              <w:jc w:val="right"/>
              <w:rPr>
                <w:rFonts w:ascii="Arial"/>
                <w:sz w:val="16"/>
              </w:rPr>
            </w:pPr>
            <w:r w:rsidRPr="00EB2BD8">
              <w:rPr>
                <w:rFonts w:ascii="Arial"/>
                <w:w w:val="104"/>
                <w:sz w:val="16"/>
              </w:rPr>
              <w:t>-</w:t>
            </w:r>
          </w:p>
        </w:tc>
        <w:tc>
          <w:tcPr>
            <w:tcW w:w="884" w:type="dxa"/>
            <w:tcBorders>
              <w:bottom w:val="single" w:sz="12" w:space="0" w:color="000000"/>
            </w:tcBorders>
            <w:shd w:val="clear" w:color="auto" w:fill="FFFFFF"/>
          </w:tcPr>
          <w:p w14:paraId="429D3982" w14:textId="77777777" w:rsidR="00084F36" w:rsidRPr="00EB2BD8" w:rsidRDefault="00EB2BD8">
            <w:pPr>
              <w:pStyle w:val="TableParagraph"/>
              <w:spacing w:before="66"/>
              <w:ind w:right="92"/>
              <w:jc w:val="right"/>
              <w:rPr>
                <w:rFonts w:ascii="Arial"/>
                <w:sz w:val="16"/>
              </w:rPr>
            </w:pPr>
            <w:r w:rsidRPr="00EB2BD8">
              <w:rPr>
                <w:rFonts w:ascii="Arial"/>
                <w:w w:val="104"/>
                <w:sz w:val="16"/>
              </w:rPr>
              <w:t>-</w:t>
            </w:r>
          </w:p>
        </w:tc>
        <w:tc>
          <w:tcPr>
            <w:tcW w:w="884" w:type="dxa"/>
            <w:tcBorders>
              <w:bottom w:val="single" w:sz="12" w:space="0" w:color="000000"/>
            </w:tcBorders>
            <w:shd w:val="clear" w:color="auto" w:fill="DEEAF6"/>
          </w:tcPr>
          <w:p w14:paraId="24B41981" w14:textId="77777777" w:rsidR="00084F36" w:rsidRPr="00EB2BD8" w:rsidRDefault="00EB2BD8">
            <w:pPr>
              <w:pStyle w:val="TableParagraph"/>
              <w:spacing w:before="66"/>
              <w:ind w:right="91"/>
              <w:jc w:val="right"/>
              <w:rPr>
                <w:rFonts w:ascii="Arial"/>
                <w:sz w:val="16"/>
              </w:rPr>
            </w:pPr>
            <w:r w:rsidRPr="00EB2BD8">
              <w:rPr>
                <w:rFonts w:ascii="Arial"/>
                <w:w w:val="104"/>
                <w:sz w:val="16"/>
              </w:rPr>
              <w:t>-</w:t>
            </w:r>
          </w:p>
        </w:tc>
      </w:tr>
      <w:tr w:rsidR="00EB2BD8" w:rsidRPr="00EB2BD8" w14:paraId="44D987FC" w14:textId="77777777">
        <w:trPr>
          <w:trHeight w:val="286"/>
        </w:trPr>
        <w:tc>
          <w:tcPr>
            <w:tcW w:w="2255" w:type="dxa"/>
            <w:tcBorders>
              <w:top w:val="single" w:sz="12" w:space="0" w:color="000000"/>
              <w:bottom w:val="single" w:sz="12" w:space="0" w:color="000000"/>
            </w:tcBorders>
            <w:shd w:val="clear" w:color="auto" w:fill="FFFFFF"/>
          </w:tcPr>
          <w:p w14:paraId="26F736B3" w14:textId="77777777" w:rsidR="00084F36" w:rsidRPr="00EB2BD8" w:rsidRDefault="00EB2BD8">
            <w:pPr>
              <w:pStyle w:val="TableParagraph"/>
              <w:spacing w:before="53"/>
              <w:ind w:left="105"/>
              <w:rPr>
                <w:rFonts w:ascii="Arial"/>
                <w:b/>
                <w:sz w:val="16"/>
              </w:rPr>
            </w:pPr>
            <w:r w:rsidRPr="00EB2BD8">
              <w:rPr>
                <w:rFonts w:ascii="Arial"/>
                <w:b/>
                <w:spacing w:val="-2"/>
                <w:w w:val="105"/>
                <w:sz w:val="16"/>
              </w:rPr>
              <w:t>Total</w:t>
            </w:r>
          </w:p>
        </w:tc>
        <w:tc>
          <w:tcPr>
            <w:tcW w:w="1270" w:type="dxa"/>
            <w:tcBorders>
              <w:top w:val="single" w:sz="12" w:space="0" w:color="000000"/>
              <w:bottom w:val="single" w:sz="12" w:space="0" w:color="000000"/>
            </w:tcBorders>
            <w:shd w:val="clear" w:color="auto" w:fill="DEEAF6"/>
          </w:tcPr>
          <w:p w14:paraId="74FA3FB3" w14:textId="77777777" w:rsidR="00084F36" w:rsidRPr="00EB2BD8" w:rsidRDefault="00EB2BD8">
            <w:pPr>
              <w:pStyle w:val="TableParagraph"/>
              <w:spacing w:before="54"/>
              <w:ind w:right="95"/>
              <w:jc w:val="right"/>
              <w:rPr>
                <w:rFonts w:ascii="Arial"/>
                <w:b/>
                <w:sz w:val="16"/>
              </w:rPr>
            </w:pPr>
            <w:r w:rsidRPr="00EB2BD8">
              <w:rPr>
                <w:rFonts w:ascii="Arial"/>
                <w:b/>
                <w:spacing w:val="-2"/>
                <w:w w:val="105"/>
                <w:sz w:val="16"/>
              </w:rPr>
              <w:t>15,237</w:t>
            </w:r>
          </w:p>
        </w:tc>
        <w:tc>
          <w:tcPr>
            <w:tcW w:w="1009" w:type="dxa"/>
            <w:tcBorders>
              <w:top w:val="single" w:sz="12" w:space="0" w:color="000000"/>
              <w:bottom w:val="single" w:sz="12" w:space="0" w:color="000000"/>
            </w:tcBorders>
            <w:shd w:val="clear" w:color="auto" w:fill="FFFFFF"/>
          </w:tcPr>
          <w:p w14:paraId="3F6AAB97" w14:textId="77777777" w:rsidR="00084F36" w:rsidRPr="00EB2BD8" w:rsidRDefault="00EB2BD8">
            <w:pPr>
              <w:pStyle w:val="TableParagraph"/>
              <w:spacing w:before="54"/>
              <w:ind w:right="95"/>
              <w:jc w:val="right"/>
              <w:rPr>
                <w:rFonts w:ascii="Arial"/>
                <w:b/>
                <w:sz w:val="16"/>
              </w:rPr>
            </w:pPr>
            <w:r w:rsidRPr="00EB2BD8">
              <w:rPr>
                <w:rFonts w:ascii="Arial"/>
                <w:b/>
                <w:spacing w:val="-2"/>
                <w:w w:val="105"/>
                <w:sz w:val="16"/>
              </w:rPr>
              <w:t>15,237</w:t>
            </w:r>
          </w:p>
        </w:tc>
        <w:tc>
          <w:tcPr>
            <w:tcW w:w="1134" w:type="dxa"/>
            <w:tcBorders>
              <w:top w:val="single" w:sz="12" w:space="0" w:color="000000"/>
              <w:bottom w:val="single" w:sz="12" w:space="0" w:color="000000"/>
            </w:tcBorders>
            <w:shd w:val="clear" w:color="auto" w:fill="DEEAF6"/>
          </w:tcPr>
          <w:p w14:paraId="7A45998B" w14:textId="77777777" w:rsidR="00084F36" w:rsidRPr="00EB2BD8" w:rsidRDefault="00EB2BD8">
            <w:pPr>
              <w:pStyle w:val="TableParagraph"/>
              <w:spacing w:before="54"/>
              <w:ind w:right="96"/>
              <w:jc w:val="right"/>
              <w:rPr>
                <w:rFonts w:ascii="Arial"/>
                <w:b/>
                <w:sz w:val="16"/>
              </w:rPr>
            </w:pPr>
            <w:r w:rsidRPr="00EB2BD8">
              <w:rPr>
                <w:rFonts w:ascii="Arial"/>
                <w:b/>
                <w:spacing w:val="-2"/>
                <w:w w:val="105"/>
                <w:sz w:val="16"/>
              </w:rPr>
              <w:t>12,398</w:t>
            </w:r>
          </w:p>
        </w:tc>
        <w:tc>
          <w:tcPr>
            <w:tcW w:w="884" w:type="dxa"/>
            <w:tcBorders>
              <w:top w:val="single" w:sz="12" w:space="0" w:color="000000"/>
              <w:bottom w:val="single" w:sz="12" w:space="0" w:color="000000"/>
            </w:tcBorders>
            <w:shd w:val="clear" w:color="auto" w:fill="FFFFFF"/>
          </w:tcPr>
          <w:p w14:paraId="5B205398" w14:textId="77777777" w:rsidR="00084F36" w:rsidRPr="00EB2BD8" w:rsidRDefault="00EB2BD8">
            <w:pPr>
              <w:pStyle w:val="TableParagraph"/>
              <w:spacing w:before="54"/>
              <w:ind w:right="97"/>
              <w:jc w:val="right"/>
              <w:rPr>
                <w:rFonts w:ascii="Arial"/>
                <w:b/>
                <w:sz w:val="16"/>
              </w:rPr>
            </w:pPr>
            <w:r w:rsidRPr="00EB2BD8">
              <w:rPr>
                <w:rFonts w:ascii="Arial"/>
                <w:b/>
                <w:spacing w:val="-4"/>
                <w:w w:val="105"/>
                <w:sz w:val="16"/>
              </w:rPr>
              <w:t>(13)</w:t>
            </w:r>
          </w:p>
        </w:tc>
        <w:tc>
          <w:tcPr>
            <w:tcW w:w="885" w:type="dxa"/>
            <w:tcBorders>
              <w:top w:val="single" w:sz="12" w:space="0" w:color="000000"/>
              <w:bottom w:val="single" w:sz="12" w:space="0" w:color="000000"/>
            </w:tcBorders>
            <w:shd w:val="clear" w:color="auto" w:fill="DEEAF6"/>
          </w:tcPr>
          <w:p w14:paraId="0233CFDB" w14:textId="77777777" w:rsidR="00084F36" w:rsidRPr="00EB2BD8" w:rsidRDefault="00EB2BD8">
            <w:pPr>
              <w:pStyle w:val="TableParagraph"/>
              <w:spacing w:before="54"/>
              <w:ind w:right="94"/>
              <w:jc w:val="right"/>
              <w:rPr>
                <w:rFonts w:ascii="Arial"/>
                <w:b/>
                <w:sz w:val="16"/>
              </w:rPr>
            </w:pPr>
            <w:r w:rsidRPr="00EB2BD8">
              <w:rPr>
                <w:rFonts w:ascii="Arial"/>
                <w:b/>
                <w:spacing w:val="-5"/>
                <w:w w:val="105"/>
                <w:sz w:val="16"/>
              </w:rPr>
              <w:t>(4)</w:t>
            </w:r>
          </w:p>
        </w:tc>
        <w:tc>
          <w:tcPr>
            <w:tcW w:w="884" w:type="dxa"/>
            <w:tcBorders>
              <w:top w:val="single" w:sz="12" w:space="0" w:color="000000"/>
              <w:bottom w:val="single" w:sz="12" w:space="0" w:color="000000"/>
            </w:tcBorders>
            <w:shd w:val="clear" w:color="auto" w:fill="FFFFFF"/>
          </w:tcPr>
          <w:p w14:paraId="18B9ABAD" w14:textId="77777777" w:rsidR="00084F36" w:rsidRPr="00EB2BD8" w:rsidRDefault="00EB2BD8">
            <w:pPr>
              <w:pStyle w:val="TableParagraph"/>
              <w:spacing w:before="54"/>
              <w:ind w:right="94"/>
              <w:jc w:val="right"/>
              <w:rPr>
                <w:rFonts w:ascii="Arial"/>
                <w:b/>
                <w:sz w:val="16"/>
              </w:rPr>
            </w:pPr>
            <w:r w:rsidRPr="00EB2BD8">
              <w:rPr>
                <w:rFonts w:ascii="Arial"/>
                <w:b/>
                <w:spacing w:val="-2"/>
                <w:w w:val="105"/>
                <w:sz w:val="16"/>
              </w:rPr>
              <w:t>1,654</w:t>
            </w:r>
          </w:p>
        </w:tc>
        <w:tc>
          <w:tcPr>
            <w:tcW w:w="884" w:type="dxa"/>
            <w:tcBorders>
              <w:top w:val="single" w:sz="12" w:space="0" w:color="000000"/>
              <w:bottom w:val="single" w:sz="12" w:space="0" w:color="000000"/>
            </w:tcBorders>
            <w:shd w:val="clear" w:color="auto" w:fill="DEEAF6"/>
          </w:tcPr>
          <w:p w14:paraId="25FBB849" w14:textId="77777777" w:rsidR="00084F36" w:rsidRPr="00EB2BD8" w:rsidRDefault="00EB2BD8">
            <w:pPr>
              <w:pStyle w:val="TableParagraph"/>
              <w:spacing w:before="54"/>
              <w:ind w:right="94"/>
              <w:jc w:val="right"/>
              <w:rPr>
                <w:rFonts w:ascii="Arial"/>
                <w:b/>
                <w:sz w:val="16"/>
              </w:rPr>
            </w:pPr>
            <w:r w:rsidRPr="00EB2BD8">
              <w:rPr>
                <w:rFonts w:ascii="Arial"/>
                <w:b/>
                <w:spacing w:val="-2"/>
                <w:w w:val="105"/>
                <w:sz w:val="16"/>
              </w:rPr>
              <w:t>1,202</w:t>
            </w:r>
          </w:p>
        </w:tc>
      </w:tr>
    </w:tbl>
    <w:p w14:paraId="6842A29D" w14:textId="77777777" w:rsidR="00084F36" w:rsidRPr="00EB2BD8" w:rsidRDefault="00084F36">
      <w:pPr>
        <w:pStyle w:val="BodyText"/>
        <w:rPr>
          <w:rFonts w:ascii="Arial"/>
        </w:rPr>
      </w:pPr>
    </w:p>
    <w:p w14:paraId="5F655998" w14:textId="77777777" w:rsidR="00084F36" w:rsidRPr="00EB2BD8" w:rsidRDefault="00EB2BD8">
      <w:pPr>
        <w:spacing w:before="160"/>
        <w:ind w:left="1076"/>
        <w:rPr>
          <w:rFonts w:ascii="Arial"/>
          <w:i/>
          <w:sz w:val="15"/>
        </w:rPr>
      </w:pPr>
      <w:r w:rsidRPr="00EB2BD8">
        <w:rPr>
          <w:rFonts w:ascii="Arial"/>
          <w:i/>
          <w:spacing w:val="-2"/>
          <w:sz w:val="15"/>
        </w:rPr>
        <w:t>Note:</w:t>
      </w:r>
    </w:p>
    <w:p w14:paraId="4E2B0006" w14:textId="77777777" w:rsidR="00084F36" w:rsidRPr="00EB2BD8" w:rsidRDefault="00EB2BD8">
      <w:pPr>
        <w:pStyle w:val="ListParagraph"/>
        <w:numPr>
          <w:ilvl w:val="0"/>
          <w:numId w:val="40"/>
        </w:numPr>
        <w:tabs>
          <w:tab w:val="left" w:pos="1410"/>
        </w:tabs>
        <w:spacing w:before="82"/>
        <w:ind w:left="1410" w:hanging="334"/>
        <w:rPr>
          <w:rFonts w:ascii="Arial"/>
          <w:i/>
          <w:sz w:val="15"/>
        </w:rPr>
      </w:pPr>
      <w:r w:rsidRPr="00EB2BD8">
        <w:rPr>
          <w:rFonts w:ascii="Arial"/>
          <w:i/>
          <w:spacing w:val="-2"/>
          <w:sz w:val="15"/>
        </w:rPr>
        <w:t>Maturity</w:t>
      </w:r>
      <w:r w:rsidRPr="00EB2BD8">
        <w:rPr>
          <w:rFonts w:ascii="Arial"/>
          <w:i/>
          <w:spacing w:val="-1"/>
          <w:sz w:val="15"/>
        </w:rPr>
        <w:t xml:space="preserve"> </w:t>
      </w:r>
      <w:r w:rsidRPr="00EB2BD8">
        <w:rPr>
          <w:rFonts w:ascii="Arial"/>
          <w:i/>
          <w:spacing w:val="-2"/>
          <w:sz w:val="15"/>
        </w:rPr>
        <w:t>analysis</w:t>
      </w:r>
      <w:r w:rsidRPr="00EB2BD8">
        <w:rPr>
          <w:rFonts w:ascii="Arial"/>
          <w:i/>
          <w:spacing w:val="-3"/>
          <w:sz w:val="15"/>
        </w:rPr>
        <w:t xml:space="preserve"> </w:t>
      </w:r>
      <w:r w:rsidRPr="00EB2BD8">
        <w:rPr>
          <w:rFonts w:ascii="Arial"/>
          <w:i/>
          <w:spacing w:val="-2"/>
          <w:sz w:val="15"/>
        </w:rPr>
        <w:t>is</w:t>
      </w:r>
      <w:r w:rsidRPr="00EB2BD8">
        <w:rPr>
          <w:rFonts w:ascii="Arial"/>
          <w:i/>
          <w:spacing w:val="3"/>
          <w:sz w:val="15"/>
        </w:rPr>
        <w:t xml:space="preserve"> </w:t>
      </w:r>
      <w:r w:rsidRPr="00EB2BD8">
        <w:rPr>
          <w:rFonts w:ascii="Arial"/>
          <w:i/>
          <w:spacing w:val="-2"/>
          <w:sz w:val="15"/>
        </w:rPr>
        <w:t>presented</w:t>
      </w:r>
      <w:r w:rsidRPr="00EB2BD8">
        <w:rPr>
          <w:rFonts w:ascii="Arial"/>
          <w:i/>
          <w:spacing w:val="1"/>
          <w:sz w:val="15"/>
        </w:rPr>
        <w:t xml:space="preserve"> </w:t>
      </w:r>
      <w:r w:rsidRPr="00EB2BD8">
        <w:rPr>
          <w:rFonts w:ascii="Arial"/>
          <w:i/>
          <w:spacing w:val="-2"/>
          <w:sz w:val="15"/>
        </w:rPr>
        <w:t>using</w:t>
      </w:r>
      <w:r w:rsidRPr="00EB2BD8">
        <w:rPr>
          <w:rFonts w:ascii="Arial"/>
          <w:i/>
          <w:spacing w:val="1"/>
          <w:sz w:val="15"/>
        </w:rPr>
        <w:t xml:space="preserve"> </w:t>
      </w:r>
      <w:r w:rsidRPr="00EB2BD8">
        <w:rPr>
          <w:rFonts w:ascii="Arial"/>
          <w:i/>
          <w:spacing w:val="-2"/>
          <w:sz w:val="15"/>
        </w:rPr>
        <w:t>the</w:t>
      </w:r>
      <w:r w:rsidRPr="00EB2BD8">
        <w:rPr>
          <w:rFonts w:ascii="Arial"/>
          <w:i/>
          <w:sz w:val="15"/>
        </w:rPr>
        <w:t xml:space="preserve"> </w:t>
      </w:r>
      <w:r w:rsidRPr="00EB2BD8">
        <w:rPr>
          <w:rFonts w:ascii="Arial"/>
          <w:i/>
          <w:spacing w:val="-2"/>
          <w:sz w:val="15"/>
        </w:rPr>
        <w:t>contractual</w:t>
      </w:r>
      <w:r w:rsidRPr="00EB2BD8">
        <w:rPr>
          <w:rFonts w:ascii="Arial"/>
          <w:i/>
          <w:spacing w:val="2"/>
          <w:sz w:val="15"/>
        </w:rPr>
        <w:t xml:space="preserve"> </w:t>
      </w:r>
      <w:r w:rsidRPr="00EB2BD8">
        <w:rPr>
          <w:rFonts w:ascii="Arial"/>
          <w:i/>
          <w:spacing w:val="-2"/>
          <w:sz w:val="15"/>
        </w:rPr>
        <w:t>undiscounted</w:t>
      </w:r>
      <w:r w:rsidRPr="00EB2BD8">
        <w:rPr>
          <w:rFonts w:ascii="Arial"/>
          <w:i/>
          <w:spacing w:val="2"/>
          <w:sz w:val="15"/>
        </w:rPr>
        <w:t xml:space="preserve"> </w:t>
      </w:r>
      <w:r w:rsidRPr="00EB2BD8">
        <w:rPr>
          <w:rFonts w:ascii="Arial"/>
          <w:i/>
          <w:spacing w:val="-2"/>
          <w:sz w:val="15"/>
        </w:rPr>
        <w:t>cash</w:t>
      </w:r>
      <w:r w:rsidRPr="00EB2BD8">
        <w:rPr>
          <w:rFonts w:ascii="Arial"/>
          <w:i/>
          <w:sz w:val="15"/>
        </w:rPr>
        <w:t xml:space="preserve"> </w:t>
      </w:r>
      <w:r w:rsidRPr="00EB2BD8">
        <w:rPr>
          <w:rFonts w:ascii="Arial"/>
          <w:i/>
          <w:spacing w:val="-2"/>
          <w:sz w:val="15"/>
        </w:rPr>
        <w:t>flows.</w:t>
      </w:r>
    </w:p>
    <w:p w14:paraId="62ACBDEB" w14:textId="77777777" w:rsidR="00084F36" w:rsidRPr="00EB2BD8" w:rsidRDefault="00EB2BD8">
      <w:pPr>
        <w:pStyle w:val="ListParagraph"/>
        <w:numPr>
          <w:ilvl w:val="0"/>
          <w:numId w:val="40"/>
        </w:numPr>
        <w:tabs>
          <w:tab w:val="left" w:pos="1410"/>
        </w:tabs>
        <w:spacing w:before="80"/>
        <w:ind w:left="1410" w:hanging="334"/>
        <w:rPr>
          <w:rFonts w:ascii="Arial"/>
          <w:i/>
          <w:sz w:val="15"/>
        </w:rPr>
      </w:pPr>
      <w:r w:rsidRPr="00EB2BD8">
        <w:rPr>
          <w:rFonts w:ascii="Arial"/>
          <w:i/>
          <w:spacing w:val="-2"/>
          <w:sz w:val="15"/>
        </w:rPr>
        <w:t>The</w:t>
      </w:r>
      <w:r w:rsidRPr="00EB2BD8">
        <w:rPr>
          <w:rFonts w:ascii="Arial"/>
          <w:i/>
          <w:sz w:val="15"/>
        </w:rPr>
        <w:t xml:space="preserve"> </w:t>
      </w:r>
      <w:r w:rsidRPr="00EB2BD8">
        <w:rPr>
          <w:rFonts w:ascii="Arial"/>
          <w:i/>
          <w:spacing w:val="-2"/>
          <w:sz w:val="15"/>
        </w:rPr>
        <w:t>carrying</w:t>
      </w:r>
      <w:r w:rsidRPr="00EB2BD8">
        <w:rPr>
          <w:rFonts w:ascii="Arial"/>
          <w:i/>
          <w:spacing w:val="1"/>
          <w:sz w:val="15"/>
        </w:rPr>
        <w:t xml:space="preserve"> </w:t>
      </w:r>
      <w:r w:rsidRPr="00EB2BD8">
        <w:rPr>
          <w:rFonts w:ascii="Arial"/>
          <w:i/>
          <w:spacing w:val="-2"/>
          <w:sz w:val="15"/>
        </w:rPr>
        <w:t>amounts</w:t>
      </w:r>
      <w:r w:rsidRPr="00EB2BD8">
        <w:rPr>
          <w:rFonts w:ascii="Arial"/>
          <w:i/>
          <w:spacing w:val="4"/>
          <w:sz w:val="15"/>
        </w:rPr>
        <w:t xml:space="preserve"> </w:t>
      </w:r>
      <w:r w:rsidRPr="00EB2BD8">
        <w:rPr>
          <w:rFonts w:ascii="Arial"/>
          <w:i/>
          <w:spacing w:val="-2"/>
          <w:sz w:val="15"/>
        </w:rPr>
        <w:t>disclosed</w:t>
      </w:r>
      <w:r w:rsidRPr="00EB2BD8">
        <w:rPr>
          <w:rFonts w:ascii="Arial"/>
          <w:i/>
          <w:spacing w:val="1"/>
          <w:sz w:val="15"/>
        </w:rPr>
        <w:t xml:space="preserve"> </w:t>
      </w:r>
      <w:r w:rsidRPr="00EB2BD8">
        <w:rPr>
          <w:rFonts w:ascii="Arial"/>
          <w:i/>
          <w:spacing w:val="-2"/>
          <w:sz w:val="15"/>
        </w:rPr>
        <w:t>exclude</w:t>
      </w:r>
      <w:r w:rsidRPr="00EB2BD8">
        <w:rPr>
          <w:rFonts w:ascii="Arial"/>
          <w:i/>
          <w:spacing w:val="3"/>
          <w:sz w:val="15"/>
        </w:rPr>
        <w:t xml:space="preserve"> </w:t>
      </w:r>
      <w:r w:rsidRPr="00EB2BD8">
        <w:rPr>
          <w:rFonts w:ascii="Arial"/>
          <w:i/>
          <w:spacing w:val="-2"/>
          <w:sz w:val="15"/>
        </w:rPr>
        <w:t>statutory</w:t>
      </w:r>
      <w:r w:rsidRPr="00EB2BD8">
        <w:rPr>
          <w:rFonts w:ascii="Arial"/>
          <w:i/>
          <w:spacing w:val="2"/>
          <w:sz w:val="15"/>
        </w:rPr>
        <w:t xml:space="preserve"> </w:t>
      </w:r>
      <w:r w:rsidRPr="00EB2BD8">
        <w:rPr>
          <w:rFonts w:ascii="Arial"/>
          <w:i/>
          <w:spacing w:val="-2"/>
          <w:sz w:val="15"/>
        </w:rPr>
        <w:t>amounts</w:t>
      </w:r>
      <w:r w:rsidRPr="00EB2BD8">
        <w:rPr>
          <w:rFonts w:ascii="Arial"/>
          <w:i/>
          <w:spacing w:val="1"/>
          <w:sz w:val="15"/>
        </w:rPr>
        <w:t xml:space="preserve"> </w:t>
      </w:r>
      <w:r w:rsidRPr="00EB2BD8">
        <w:rPr>
          <w:rFonts w:ascii="Arial"/>
          <w:i/>
          <w:spacing w:val="-2"/>
          <w:sz w:val="15"/>
        </w:rPr>
        <w:t>(e.g.</w:t>
      </w:r>
      <w:r w:rsidRPr="00EB2BD8">
        <w:rPr>
          <w:rFonts w:ascii="Arial"/>
          <w:i/>
          <w:spacing w:val="2"/>
          <w:sz w:val="15"/>
        </w:rPr>
        <w:t xml:space="preserve"> </w:t>
      </w:r>
      <w:r w:rsidRPr="00EB2BD8">
        <w:rPr>
          <w:rFonts w:ascii="Arial"/>
          <w:i/>
          <w:spacing w:val="-2"/>
          <w:sz w:val="15"/>
        </w:rPr>
        <w:t>GST</w:t>
      </w:r>
      <w:r w:rsidRPr="00EB2BD8">
        <w:rPr>
          <w:rFonts w:ascii="Arial"/>
          <w:i/>
          <w:sz w:val="15"/>
        </w:rPr>
        <w:t xml:space="preserve"> </w:t>
      </w:r>
      <w:r w:rsidRPr="00EB2BD8">
        <w:rPr>
          <w:rFonts w:ascii="Arial"/>
          <w:i/>
          <w:spacing w:val="-2"/>
          <w:sz w:val="15"/>
        </w:rPr>
        <w:t>payables).</w:t>
      </w:r>
    </w:p>
    <w:p w14:paraId="17FED51D" w14:textId="77777777" w:rsidR="00084F36" w:rsidRPr="00EB2BD8" w:rsidRDefault="00EB2BD8">
      <w:pPr>
        <w:pStyle w:val="ListParagraph"/>
        <w:numPr>
          <w:ilvl w:val="0"/>
          <w:numId w:val="40"/>
        </w:numPr>
        <w:tabs>
          <w:tab w:val="left" w:pos="1411"/>
          <w:tab w:val="left" w:pos="1413"/>
        </w:tabs>
        <w:spacing w:before="81" w:line="276" w:lineRule="auto"/>
        <w:ind w:left="1413" w:right="1946"/>
        <w:rPr>
          <w:rFonts w:ascii="Arial"/>
          <w:i/>
          <w:sz w:val="15"/>
        </w:rPr>
      </w:pPr>
      <w:r w:rsidRPr="00EB2BD8">
        <w:rPr>
          <w:rFonts w:ascii="Arial"/>
          <w:i/>
          <w:sz w:val="15"/>
        </w:rPr>
        <w:t>Security deposits are bonds paid by consumers for relocatable homes. Building permits lapse after two years so it is expected deposits</w:t>
      </w:r>
      <w:r w:rsidRPr="00EB2BD8">
        <w:rPr>
          <w:rFonts w:ascii="Arial"/>
          <w:i/>
          <w:spacing w:val="-7"/>
          <w:sz w:val="15"/>
        </w:rPr>
        <w:t xml:space="preserve"> </w:t>
      </w:r>
      <w:r w:rsidRPr="00EB2BD8">
        <w:rPr>
          <w:rFonts w:ascii="Arial"/>
          <w:i/>
          <w:sz w:val="15"/>
        </w:rPr>
        <w:t>are</w:t>
      </w:r>
      <w:r w:rsidRPr="00EB2BD8">
        <w:rPr>
          <w:rFonts w:ascii="Arial"/>
          <w:i/>
          <w:spacing w:val="-8"/>
          <w:sz w:val="15"/>
        </w:rPr>
        <w:t xml:space="preserve"> </w:t>
      </w:r>
      <w:r w:rsidRPr="00EB2BD8">
        <w:rPr>
          <w:rFonts w:ascii="Arial"/>
          <w:i/>
          <w:sz w:val="15"/>
        </w:rPr>
        <w:t>refunded</w:t>
      </w:r>
      <w:r w:rsidRPr="00EB2BD8">
        <w:rPr>
          <w:rFonts w:ascii="Arial"/>
          <w:i/>
          <w:spacing w:val="-10"/>
          <w:sz w:val="15"/>
        </w:rPr>
        <w:t xml:space="preserve"> </w:t>
      </w:r>
      <w:r w:rsidRPr="00EB2BD8">
        <w:rPr>
          <w:rFonts w:ascii="Arial"/>
          <w:i/>
          <w:sz w:val="15"/>
        </w:rPr>
        <w:t>within</w:t>
      </w:r>
      <w:r w:rsidRPr="00EB2BD8">
        <w:rPr>
          <w:rFonts w:ascii="Arial"/>
          <w:i/>
          <w:spacing w:val="-8"/>
          <w:sz w:val="15"/>
        </w:rPr>
        <w:t xml:space="preserve"> </w:t>
      </w:r>
      <w:r w:rsidRPr="00EB2BD8">
        <w:rPr>
          <w:rFonts w:ascii="Arial"/>
          <w:i/>
          <w:sz w:val="15"/>
        </w:rPr>
        <w:t>the</w:t>
      </w:r>
      <w:r w:rsidRPr="00EB2BD8">
        <w:rPr>
          <w:rFonts w:ascii="Arial"/>
          <w:i/>
          <w:spacing w:val="-8"/>
          <w:sz w:val="15"/>
        </w:rPr>
        <w:t xml:space="preserve"> </w:t>
      </w:r>
      <w:r w:rsidRPr="00EB2BD8">
        <w:rPr>
          <w:rFonts w:ascii="Arial"/>
          <w:i/>
          <w:sz w:val="15"/>
        </w:rPr>
        <w:t>two-year</w:t>
      </w:r>
      <w:r w:rsidRPr="00EB2BD8">
        <w:rPr>
          <w:rFonts w:ascii="Arial"/>
          <w:i/>
          <w:spacing w:val="-10"/>
          <w:sz w:val="15"/>
        </w:rPr>
        <w:t xml:space="preserve"> </w:t>
      </w:r>
      <w:r w:rsidRPr="00EB2BD8">
        <w:rPr>
          <w:rFonts w:ascii="Arial"/>
          <w:i/>
          <w:sz w:val="15"/>
        </w:rPr>
        <w:t>period.</w:t>
      </w:r>
      <w:r w:rsidRPr="00EB2BD8">
        <w:rPr>
          <w:rFonts w:ascii="Arial"/>
          <w:i/>
          <w:spacing w:val="-6"/>
          <w:sz w:val="15"/>
        </w:rPr>
        <w:t xml:space="preserve"> </w:t>
      </w:r>
      <w:r w:rsidRPr="00EB2BD8">
        <w:rPr>
          <w:rFonts w:ascii="Arial"/>
          <w:i/>
          <w:sz w:val="15"/>
        </w:rPr>
        <w:t>However,</w:t>
      </w:r>
      <w:r w:rsidRPr="00EB2BD8">
        <w:rPr>
          <w:rFonts w:ascii="Arial"/>
          <w:i/>
          <w:spacing w:val="-9"/>
          <w:sz w:val="15"/>
        </w:rPr>
        <w:t xml:space="preserve"> </w:t>
      </w:r>
      <w:r w:rsidRPr="00EB2BD8">
        <w:rPr>
          <w:rFonts w:ascii="Arial"/>
          <w:i/>
          <w:sz w:val="15"/>
        </w:rPr>
        <w:t>building</w:t>
      </w:r>
      <w:r w:rsidRPr="00EB2BD8">
        <w:rPr>
          <w:rFonts w:ascii="Arial"/>
          <w:i/>
          <w:spacing w:val="-8"/>
          <w:sz w:val="15"/>
        </w:rPr>
        <w:t xml:space="preserve"> </w:t>
      </w:r>
      <w:r w:rsidRPr="00EB2BD8">
        <w:rPr>
          <w:rFonts w:ascii="Arial"/>
          <w:i/>
          <w:sz w:val="15"/>
        </w:rPr>
        <w:t>permits</w:t>
      </w:r>
      <w:r w:rsidRPr="00EB2BD8">
        <w:rPr>
          <w:rFonts w:ascii="Arial"/>
          <w:i/>
          <w:spacing w:val="-7"/>
          <w:sz w:val="15"/>
        </w:rPr>
        <w:t xml:space="preserve"> </w:t>
      </w:r>
      <w:r w:rsidRPr="00EB2BD8">
        <w:rPr>
          <w:rFonts w:ascii="Arial"/>
          <w:i/>
          <w:sz w:val="15"/>
        </w:rPr>
        <w:t>can</w:t>
      </w:r>
      <w:r w:rsidRPr="00EB2BD8">
        <w:rPr>
          <w:rFonts w:ascii="Arial"/>
          <w:i/>
          <w:spacing w:val="-8"/>
          <w:sz w:val="15"/>
        </w:rPr>
        <w:t xml:space="preserve"> </w:t>
      </w:r>
      <w:r w:rsidRPr="00EB2BD8">
        <w:rPr>
          <w:rFonts w:ascii="Arial"/>
          <w:i/>
          <w:sz w:val="15"/>
        </w:rPr>
        <w:t>be</w:t>
      </w:r>
      <w:r w:rsidRPr="00EB2BD8">
        <w:rPr>
          <w:rFonts w:ascii="Arial"/>
          <w:i/>
          <w:spacing w:val="-9"/>
          <w:sz w:val="15"/>
        </w:rPr>
        <w:t xml:space="preserve"> </w:t>
      </w:r>
      <w:r w:rsidRPr="00EB2BD8">
        <w:rPr>
          <w:rFonts w:ascii="Arial"/>
          <w:i/>
          <w:sz w:val="15"/>
        </w:rPr>
        <w:t>extended</w:t>
      </w:r>
      <w:r w:rsidRPr="00EB2BD8">
        <w:rPr>
          <w:rFonts w:ascii="Arial"/>
          <w:i/>
          <w:spacing w:val="-10"/>
          <w:sz w:val="15"/>
        </w:rPr>
        <w:t xml:space="preserve"> </w:t>
      </w:r>
      <w:r w:rsidRPr="00EB2BD8">
        <w:rPr>
          <w:rFonts w:ascii="Arial"/>
          <w:i/>
          <w:sz w:val="15"/>
        </w:rPr>
        <w:t>for</w:t>
      </w:r>
      <w:r w:rsidRPr="00EB2BD8">
        <w:rPr>
          <w:rFonts w:ascii="Arial"/>
          <w:i/>
          <w:spacing w:val="-10"/>
          <w:sz w:val="15"/>
        </w:rPr>
        <w:t xml:space="preserve"> </w:t>
      </w:r>
      <w:r w:rsidRPr="00EB2BD8">
        <w:rPr>
          <w:rFonts w:ascii="Arial"/>
          <w:i/>
          <w:sz w:val="15"/>
        </w:rPr>
        <w:t>completion</w:t>
      </w:r>
      <w:r w:rsidRPr="00EB2BD8">
        <w:rPr>
          <w:rFonts w:ascii="Arial"/>
          <w:i/>
          <w:spacing w:val="-5"/>
          <w:sz w:val="15"/>
        </w:rPr>
        <w:t xml:space="preserve"> </w:t>
      </w:r>
      <w:r w:rsidRPr="00EB2BD8">
        <w:rPr>
          <w:rFonts w:ascii="Arial"/>
          <w:i/>
          <w:sz w:val="15"/>
        </w:rPr>
        <w:t>of</w:t>
      </w:r>
      <w:r w:rsidRPr="00EB2BD8">
        <w:rPr>
          <w:rFonts w:ascii="Arial"/>
          <w:i/>
          <w:spacing w:val="-5"/>
          <w:sz w:val="15"/>
        </w:rPr>
        <w:t xml:space="preserve"> </w:t>
      </w:r>
      <w:r w:rsidRPr="00EB2BD8">
        <w:rPr>
          <w:rFonts w:ascii="Arial"/>
          <w:i/>
          <w:sz w:val="15"/>
        </w:rPr>
        <w:t>work,</w:t>
      </w:r>
      <w:r w:rsidRPr="00EB2BD8">
        <w:rPr>
          <w:rFonts w:ascii="Arial"/>
          <w:i/>
          <w:spacing w:val="-5"/>
          <w:sz w:val="15"/>
        </w:rPr>
        <w:t xml:space="preserve"> </w:t>
      </w:r>
      <w:r w:rsidRPr="00EB2BD8">
        <w:rPr>
          <w:rFonts w:ascii="Arial"/>
          <w:i/>
          <w:sz w:val="15"/>
        </w:rPr>
        <w:t>and</w:t>
      </w:r>
      <w:r w:rsidRPr="00EB2BD8">
        <w:rPr>
          <w:rFonts w:ascii="Arial"/>
          <w:i/>
          <w:spacing w:val="-5"/>
          <w:sz w:val="15"/>
        </w:rPr>
        <w:t xml:space="preserve"> </w:t>
      </w:r>
      <w:r w:rsidRPr="00EB2BD8">
        <w:rPr>
          <w:rFonts w:ascii="Arial"/>
          <w:i/>
          <w:sz w:val="15"/>
        </w:rPr>
        <w:t>there</w:t>
      </w:r>
      <w:r w:rsidRPr="00EB2BD8">
        <w:rPr>
          <w:rFonts w:ascii="Arial"/>
          <w:i/>
          <w:spacing w:val="-5"/>
          <w:sz w:val="15"/>
        </w:rPr>
        <w:t xml:space="preserve"> </w:t>
      </w:r>
      <w:r w:rsidRPr="00EB2BD8">
        <w:rPr>
          <w:rFonts w:ascii="Arial"/>
          <w:i/>
          <w:sz w:val="15"/>
        </w:rPr>
        <w:t>are instances of work taking an extended period of time to reach completion.</w:t>
      </w:r>
    </w:p>
    <w:p w14:paraId="26426CDD" w14:textId="77777777" w:rsidR="00084F36" w:rsidRPr="00EB2BD8" w:rsidRDefault="00084F36">
      <w:pPr>
        <w:pStyle w:val="BodyText"/>
        <w:rPr>
          <w:rFonts w:ascii="Arial"/>
          <w:i/>
          <w:sz w:val="20"/>
        </w:rPr>
      </w:pPr>
    </w:p>
    <w:p w14:paraId="5D571E05" w14:textId="77777777" w:rsidR="00084F36" w:rsidRPr="00EB2BD8" w:rsidRDefault="00084F36">
      <w:pPr>
        <w:pStyle w:val="BodyText"/>
        <w:rPr>
          <w:rFonts w:ascii="Arial"/>
          <w:i/>
          <w:sz w:val="20"/>
        </w:rPr>
      </w:pPr>
    </w:p>
    <w:p w14:paraId="72278772" w14:textId="77777777" w:rsidR="00084F36" w:rsidRPr="00EB2BD8" w:rsidRDefault="00084F36">
      <w:pPr>
        <w:pStyle w:val="BodyText"/>
        <w:rPr>
          <w:rFonts w:ascii="Arial"/>
          <w:i/>
          <w:sz w:val="20"/>
        </w:rPr>
      </w:pPr>
    </w:p>
    <w:p w14:paraId="71841440" w14:textId="77777777" w:rsidR="00084F36" w:rsidRPr="00EB2BD8" w:rsidRDefault="00084F36">
      <w:pPr>
        <w:pStyle w:val="BodyText"/>
        <w:rPr>
          <w:rFonts w:ascii="Arial"/>
          <w:i/>
          <w:sz w:val="20"/>
        </w:rPr>
      </w:pPr>
    </w:p>
    <w:p w14:paraId="7309D48E" w14:textId="77777777" w:rsidR="00084F36" w:rsidRPr="00EB2BD8" w:rsidRDefault="00084F36">
      <w:pPr>
        <w:pStyle w:val="BodyText"/>
        <w:rPr>
          <w:rFonts w:ascii="Arial"/>
          <w:i/>
          <w:sz w:val="20"/>
        </w:rPr>
      </w:pPr>
    </w:p>
    <w:p w14:paraId="5B2C4EC9" w14:textId="77777777" w:rsidR="00084F36" w:rsidRPr="00EB2BD8" w:rsidRDefault="00084F36">
      <w:pPr>
        <w:pStyle w:val="BodyText"/>
        <w:rPr>
          <w:rFonts w:ascii="Arial"/>
          <w:i/>
          <w:sz w:val="20"/>
        </w:rPr>
      </w:pPr>
    </w:p>
    <w:p w14:paraId="4DD750F5" w14:textId="77777777" w:rsidR="00084F36" w:rsidRPr="00EB2BD8" w:rsidRDefault="00084F36">
      <w:pPr>
        <w:pStyle w:val="BodyText"/>
        <w:rPr>
          <w:rFonts w:ascii="Arial"/>
          <w:i/>
          <w:sz w:val="20"/>
        </w:rPr>
      </w:pPr>
    </w:p>
    <w:p w14:paraId="58499BF9" w14:textId="77777777" w:rsidR="00084F36" w:rsidRPr="00EB2BD8" w:rsidRDefault="00084F36">
      <w:pPr>
        <w:pStyle w:val="BodyText"/>
        <w:rPr>
          <w:rFonts w:ascii="Arial"/>
          <w:i/>
          <w:sz w:val="20"/>
        </w:rPr>
      </w:pPr>
    </w:p>
    <w:p w14:paraId="1AF1788D" w14:textId="77777777" w:rsidR="00084F36" w:rsidRPr="00EB2BD8" w:rsidRDefault="00084F36">
      <w:pPr>
        <w:pStyle w:val="BodyText"/>
        <w:rPr>
          <w:rFonts w:ascii="Arial"/>
          <w:i/>
          <w:sz w:val="20"/>
        </w:rPr>
      </w:pPr>
    </w:p>
    <w:p w14:paraId="3CAA6B93" w14:textId="77777777" w:rsidR="00084F36" w:rsidRPr="00EB2BD8" w:rsidRDefault="00084F36">
      <w:pPr>
        <w:pStyle w:val="BodyText"/>
        <w:rPr>
          <w:rFonts w:ascii="Arial"/>
          <w:i/>
          <w:sz w:val="20"/>
        </w:rPr>
      </w:pPr>
    </w:p>
    <w:p w14:paraId="70EDC2A3" w14:textId="77777777" w:rsidR="00084F36" w:rsidRPr="00EB2BD8" w:rsidRDefault="00084F36">
      <w:pPr>
        <w:pStyle w:val="BodyText"/>
        <w:rPr>
          <w:rFonts w:ascii="Arial"/>
          <w:i/>
          <w:sz w:val="20"/>
        </w:rPr>
      </w:pPr>
    </w:p>
    <w:p w14:paraId="6C50D80E" w14:textId="77777777" w:rsidR="00084F36" w:rsidRPr="00EB2BD8" w:rsidRDefault="00084F36">
      <w:pPr>
        <w:pStyle w:val="BodyText"/>
        <w:rPr>
          <w:rFonts w:ascii="Arial"/>
          <w:i/>
          <w:sz w:val="20"/>
        </w:rPr>
      </w:pPr>
    </w:p>
    <w:p w14:paraId="747D8034" w14:textId="77777777" w:rsidR="00084F36" w:rsidRPr="00EB2BD8" w:rsidRDefault="00084F36">
      <w:pPr>
        <w:pStyle w:val="BodyText"/>
        <w:rPr>
          <w:rFonts w:ascii="Arial"/>
          <w:i/>
          <w:sz w:val="20"/>
        </w:rPr>
      </w:pPr>
    </w:p>
    <w:p w14:paraId="0DAC331F" w14:textId="77777777" w:rsidR="00084F36" w:rsidRPr="00EB2BD8" w:rsidRDefault="00084F36">
      <w:pPr>
        <w:pStyle w:val="BodyText"/>
        <w:rPr>
          <w:rFonts w:ascii="Arial"/>
          <w:i/>
          <w:sz w:val="20"/>
        </w:rPr>
      </w:pPr>
    </w:p>
    <w:p w14:paraId="2231D2DA" w14:textId="77777777" w:rsidR="00084F36" w:rsidRPr="00EB2BD8" w:rsidRDefault="00084F36">
      <w:pPr>
        <w:pStyle w:val="BodyText"/>
        <w:rPr>
          <w:rFonts w:ascii="Arial"/>
          <w:i/>
          <w:sz w:val="20"/>
        </w:rPr>
      </w:pPr>
    </w:p>
    <w:p w14:paraId="6C72BD93" w14:textId="77777777" w:rsidR="00084F36" w:rsidRPr="00EB2BD8" w:rsidRDefault="00084F36">
      <w:pPr>
        <w:pStyle w:val="BodyText"/>
        <w:rPr>
          <w:rFonts w:ascii="Arial"/>
          <w:i/>
          <w:sz w:val="20"/>
        </w:rPr>
      </w:pPr>
    </w:p>
    <w:p w14:paraId="08DF9C14" w14:textId="77777777" w:rsidR="00084F36" w:rsidRPr="00EB2BD8" w:rsidRDefault="00084F36">
      <w:pPr>
        <w:pStyle w:val="BodyText"/>
        <w:rPr>
          <w:rFonts w:ascii="Arial"/>
          <w:i/>
          <w:sz w:val="20"/>
        </w:rPr>
      </w:pPr>
    </w:p>
    <w:p w14:paraId="05735F7F" w14:textId="77777777" w:rsidR="00084F36" w:rsidRPr="00EB2BD8" w:rsidRDefault="00084F36">
      <w:pPr>
        <w:pStyle w:val="BodyText"/>
        <w:rPr>
          <w:rFonts w:ascii="Arial"/>
          <w:i/>
          <w:sz w:val="20"/>
        </w:rPr>
      </w:pPr>
    </w:p>
    <w:p w14:paraId="36232F67" w14:textId="77777777" w:rsidR="00084F36" w:rsidRPr="00EB2BD8" w:rsidRDefault="00084F36">
      <w:pPr>
        <w:pStyle w:val="BodyText"/>
        <w:rPr>
          <w:rFonts w:ascii="Arial"/>
          <w:i/>
          <w:sz w:val="20"/>
        </w:rPr>
      </w:pPr>
    </w:p>
    <w:p w14:paraId="7EDE58F5" w14:textId="77777777" w:rsidR="00084F36" w:rsidRPr="00EB2BD8" w:rsidRDefault="00084F36">
      <w:pPr>
        <w:pStyle w:val="BodyText"/>
        <w:rPr>
          <w:rFonts w:ascii="Arial"/>
          <w:i/>
          <w:sz w:val="20"/>
        </w:rPr>
      </w:pPr>
    </w:p>
    <w:p w14:paraId="3307A757" w14:textId="77777777" w:rsidR="00084F36" w:rsidRPr="00EB2BD8" w:rsidRDefault="00084F36">
      <w:pPr>
        <w:pStyle w:val="BodyText"/>
        <w:rPr>
          <w:rFonts w:ascii="Arial"/>
          <w:i/>
          <w:sz w:val="20"/>
        </w:rPr>
      </w:pPr>
    </w:p>
    <w:p w14:paraId="47AB83A8" w14:textId="77777777" w:rsidR="00084F36" w:rsidRPr="00EB2BD8" w:rsidRDefault="00084F36">
      <w:pPr>
        <w:pStyle w:val="BodyText"/>
        <w:rPr>
          <w:rFonts w:ascii="Arial"/>
          <w:i/>
          <w:sz w:val="20"/>
        </w:rPr>
      </w:pPr>
    </w:p>
    <w:p w14:paraId="19E68FB6" w14:textId="77777777" w:rsidR="00084F36" w:rsidRPr="00EB2BD8" w:rsidRDefault="00084F36">
      <w:pPr>
        <w:pStyle w:val="BodyText"/>
        <w:rPr>
          <w:rFonts w:ascii="Arial"/>
          <w:i/>
          <w:sz w:val="20"/>
        </w:rPr>
      </w:pPr>
    </w:p>
    <w:p w14:paraId="3D23FE20" w14:textId="77777777" w:rsidR="00084F36" w:rsidRPr="00EB2BD8" w:rsidRDefault="00084F36">
      <w:pPr>
        <w:pStyle w:val="BodyText"/>
        <w:spacing w:before="6"/>
        <w:rPr>
          <w:rFonts w:ascii="Arial"/>
          <w:i/>
          <w:sz w:val="20"/>
        </w:rPr>
      </w:pPr>
    </w:p>
    <w:p w14:paraId="267A52A2" w14:textId="77777777" w:rsidR="00084F36" w:rsidRPr="00EB2BD8" w:rsidRDefault="00084F36">
      <w:pPr>
        <w:jc w:val="right"/>
        <w:rPr>
          <w:sz w:val="16"/>
        </w:rPr>
        <w:sectPr w:rsidR="00084F36" w:rsidRPr="00EB2BD8" w:rsidSect="006D75B2">
          <w:headerReference w:type="default" r:id="rId317"/>
          <w:footerReference w:type="default" r:id="rId318"/>
          <w:pgSz w:w="11910" w:h="16840"/>
          <w:pgMar w:top="760" w:right="0" w:bottom="280" w:left="0" w:header="0" w:footer="0" w:gutter="0"/>
          <w:cols w:space="720"/>
        </w:sectPr>
      </w:pPr>
    </w:p>
    <w:p w14:paraId="2CDE7B23" w14:textId="77777777" w:rsidR="00084F36" w:rsidRPr="00EB2BD8" w:rsidRDefault="00084F36">
      <w:pPr>
        <w:pStyle w:val="BodyText"/>
        <w:rPr>
          <w:sz w:val="20"/>
        </w:rPr>
      </w:pPr>
    </w:p>
    <w:p w14:paraId="6E26C5D4" w14:textId="77777777" w:rsidR="00084F36" w:rsidRPr="00EB2BD8" w:rsidRDefault="00084F36">
      <w:pPr>
        <w:pStyle w:val="BodyText"/>
        <w:rPr>
          <w:sz w:val="20"/>
        </w:rPr>
      </w:pPr>
    </w:p>
    <w:p w14:paraId="6080473B" w14:textId="77777777" w:rsidR="00084F36" w:rsidRPr="00EB2BD8" w:rsidRDefault="00084F36">
      <w:pPr>
        <w:pStyle w:val="BodyText"/>
        <w:rPr>
          <w:sz w:val="20"/>
        </w:rPr>
      </w:pPr>
    </w:p>
    <w:p w14:paraId="34398DF5" w14:textId="77777777" w:rsidR="00084F36" w:rsidRPr="00EB2BD8" w:rsidRDefault="00084F36">
      <w:pPr>
        <w:pStyle w:val="BodyText"/>
        <w:rPr>
          <w:sz w:val="20"/>
        </w:rPr>
      </w:pPr>
    </w:p>
    <w:p w14:paraId="1F07BC95" w14:textId="77777777" w:rsidR="00084F36" w:rsidRPr="00EB2BD8" w:rsidRDefault="00084F36">
      <w:pPr>
        <w:pStyle w:val="BodyText"/>
        <w:rPr>
          <w:sz w:val="20"/>
        </w:rPr>
      </w:pPr>
    </w:p>
    <w:p w14:paraId="06DA6C09" w14:textId="77777777" w:rsidR="00084F36" w:rsidRPr="00EB2BD8" w:rsidRDefault="00084F36">
      <w:pPr>
        <w:pStyle w:val="BodyText"/>
        <w:spacing w:before="4"/>
        <w:rPr>
          <w:sz w:val="22"/>
        </w:rPr>
      </w:pPr>
    </w:p>
    <w:p w14:paraId="046F48D3" w14:textId="77777777" w:rsidR="00084F36" w:rsidRPr="00EB2BD8" w:rsidRDefault="00EB2BD8" w:rsidP="00772B16">
      <w:pPr>
        <w:pStyle w:val="Heading2"/>
        <w:ind w:firstLine="215"/>
      </w:pPr>
      <w:bookmarkStart w:id="309" w:name="_Toc150762611"/>
      <w:r w:rsidRPr="00EB2BD8">
        <w:t>Note</w:t>
      </w:r>
      <w:r w:rsidRPr="00EB2BD8">
        <w:rPr>
          <w:spacing w:val="-7"/>
        </w:rPr>
        <w:t xml:space="preserve"> </w:t>
      </w:r>
      <w:r w:rsidRPr="00EB2BD8">
        <w:t>6.</w:t>
      </w:r>
      <w:r w:rsidRPr="00EB2BD8">
        <w:rPr>
          <w:spacing w:val="-7"/>
        </w:rPr>
        <w:t xml:space="preserve"> </w:t>
      </w:r>
      <w:r w:rsidRPr="00EB2BD8">
        <w:t>How</w:t>
      </w:r>
      <w:r w:rsidRPr="00EB2BD8">
        <w:rPr>
          <w:spacing w:val="-8"/>
        </w:rPr>
        <w:t xml:space="preserve"> </w:t>
      </w:r>
      <w:r w:rsidRPr="00EB2BD8">
        <w:t>we</w:t>
      </w:r>
      <w:r w:rsidRPr="00EB2BD8">
        <w:rPr>
          <w:spacing w:val="-7"/>
        </w:rPr>
        <w:t xml:space="preserve"> </w:t>
      </w:r>
      <w:r w:rsidRPr="00EB2BD8">
        <w:t>financed</w:t>
      </w:r>
      <w:r w:rsidRPr="00EB2BD8">
        <w:rPr>
          <w:spacing w:val="-6"/>
        </w:rPr>
        <w:t xml:space="preserve"> </w:t>
      </w:r>
      <w:r w:rsidRPr="00EB2BD8">
        <w:t>our</w:t>
      </w:r>
      <w:r w:rsidRPr="00EB2BD8">
        <w:rPr>
          <w:spacing w:val="-7"/>
        </w:rPr>
        <w:t xml:space="preserve"> </w:t>
      </w:r>
      <w:r w:rsidRPr="00EB2BD8">
        <w:rPr>
          <w:spacing w:val="-2"/>
        </w:rPr>
        <w:t>operations</w:t>
      </w:r>
      <w:bookmarkEnd w:id="309"/>
    </w:p>
    <w:p w14:paraId="3C4978EE" w14:textId="77777777" w:rsidR="00084F36" w:rsidRPr="00EB2BD8" w:rsidRDefault="00084F36">
      <w:pPr>
        <w:pStyle w:val="BodyText"/>
        <w:spacing w:before="5"/>
        <w:rPr>
          <w:rFonts w:ascii="Arial"/>
          <w:b/>
          <w:sz w:val="33"/>
        </w:rPr>
      </w:pPr>
    </w:p>
    <w:p w14:paraId="69B117BA" w14:textId="77777777" w:rsidR="00084F36" w:rsidRPr="00EB2BD8" w:rsidRDefault="00EB2BD8">
      <w:pPr>
        <w:spacing w:line="288" w:lineRule="auto"/>
        <w:ind w:left="1065" w:right="1813"/>
        <w:rPr>
          <w:rFonts w:ascii="Arial"/>
          <w:sz w:val="16"/>
        </w:rPr>
      </w:pPr>
      <w:r w:rsidRPr="00EB2BD8">
        <w:rPr>
          <w:rFonts w:ascii="Arial"/>
          <w:w w:val="105"/>
          <w:sz w:val="16"/>
        </w:rPr>
        <w:t>This</w:t>
      </w:r>
      <w:r w:rsidRPr="00EB2BD8">
        <w:rPr>
          <w:rFonts w:ascii="Arial"/>
          <w:spacing w:val="-5"/>
          <w:w w:val="105"/>
          <w:sz w:val="16"/>
        </w:rPr>
        <w:t xml:space="preserve"> </w:t>
      </w:r>
      <w:r w:rsidRPr="00EB2BD8">
        <w:rPr>
          <w:rFonts w:ascii="Arial"/>
          <w:w w:val="105"/>
          <w:sz w:val="16"/>
        </w:rPr>
        <w:t>section</w:t>
      </w:r>
      <w:r w:rsidRPr="00EB2BD8">
        <w:rPr>
          <w:rFonts w:ascii="Arial"/>
          <w:spacing w:val="-6"/>
          <w:w w:val="105"/>
          <w:sz w:val="16"/>
        </w:rPr>
        <w:t xml:space="preserve"> </w:t>
      </w:r>
      <w:r w:rsidRPr="00EB2BD8">
        <w:rPr>
          <w:rFonts w:ascii="Arial"/>
          <w:w w:val="105"/>
          <w:sz w:val="16"/>
        </w:rPr>
        <w:t>provides</w:t>
      </w:r>
      <w:r w:rsidRPr="00EB2BD8">
        <w:rPr>
          <w:rFonts w:ascii="Arial"/>
          <w:spacing w:val="-5"/>
          <w:w w:val="105"/>
          <w:sz w:val="16"/>
        </w:rPr>
        <w:t xml:space="preserve"> </w:t>
      </w:r>
      <w:r w:rsidRPr="00EB2BD8">
        <w:rPr>
          <w:rFonts w:ascii="Arial"/>
          <w:w w:val="105"/>
          <w:sz w:val="16"/>
        </w:rPr>
        <w:t>information</w:t>
      </w:r>
      <w:r w:rsidRPr="00EB2BD8">
        <w:rPr>
          <w:rFonts w:ascii="Arial"/>
          <w:spacing w:val="-6"/>
          <w:w w:val="105"/>
          <w:sz w:val="16"/>
        </w:rPr>
        <w:t xml:space="preserve"> </w:t>
      </w:r>
      <w:r w:rsidRPr="00EB2BD8">
        <w:rPr>
          <w:rFonts w:ascii="Arial"/>
          <w:w w:val="105"/>
          <w:sz w:val="16"/>
        </w:rPr>
        <w:t>on</w:t>
      </w:r>
      <w:r w:rsidRPr="00EB2BD8">
        <w:rPr>
          <w:rFonts w:ascii="Arial"/>
          <w:spacing w:val="-6"/>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sources</w:t>
      </w:r>
      <w:r w:rsidRPr="00EB2BD8">
        <w:rPr>
          <w:rFonts w:ascii="Arial"/>
          <w:spacing w:val="-5"/>
          <w:w w:val="105"/>
          <w:sz w:val="16"/>
        </w:rPr>
        <w:t xml:space="preserve"> </w:t>
      </w:r>
      <w:r w:rsidRPr="00EB2BD8">
        <w:rPr>
          <w:rFonts w:ascii="Arial"/>
          <w:w w:val="105"/>
          <w:sz w:val="16"/>
        </w:rPr>
        <w:t>of</w:t>
      </w:r>
      <w:r w:rsidRPr="00EB2BD8">
        <w:rPr>
          <w:rFonts w:ascii="Arial"/>
          <w:spacing w:val="-5"/>
          <w:w w:val="105"/>
          <w:sz w:val="16"/>
        </w:rPr>
        <w:t xml:space="preserve"> </w:t>
      </w:r>
      <w:r w:rsidRPr="00EB2BD8">
        <w:rPr>
          <w:rFonts w:ascii="Arial"/>
          <w:w w:val="105"/>
          <w:sz w:val="16"/>
        </w:rPr>
        <w:t>finance</w:t>
      </w:r>
      <w:r w:rsidRPr="00EB2BD8">
        <w:rPr>
          <w:rFonts w:ascii="Arial"/>
          <w:spacing w:val="-6"/>
          <w:w w:val="105"/>
          <w:sz w:val="16"/>
        </w:rPr>
        <w:t xml:space="preserve"> </w:t>
      </w:r>
      <w:r w:rsidRPr="00EB2BD8">
        <w:rPr>
          <w:rFonts w:ascii="Arial"/>
          <w:w w:val="105"/>
          <w:sz w:val="16"/>
        </w:rPr>
        <w:t>utilised</w:t>
      </w:r>
      <w:r w:rsidRPr="00EB2BD8">
        <w:rPr>
          <w:rFonts w:ascii="Arial"/>
          <w:spacing w:val="-6"/>
          <w:w w:val="105"/>
          <w:sz w:val="16"/>
        </w:rPr>
        <w:t xml:space="preserve"> </w:t>
      </w:r>
      <w:r w:rsidRPr="00EB2BD8">
        <w:rPr>
          <w:rFonts w:ascii="Arial"/>
          <w:w w:val="105"/>
          <w:sz w:val="16"/>
        </w:rPr>
        <w:t>by</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VBA</w:t>
      </w:r>
      <w:r w:rsidRPr="00EB2BD8">
        <w:rPr>
          <w:rFonts w:ascii="Arial"/>
          <w:spacing w:val="-5"/>
          <w:w w:val="105"/>
          <w:sz w:val="16"/>
        </w:rPr>
        <w:t xml:space="preserve"> </w:t>
      </w:r>
      <w:r w:rsidRPr="00EB2BD8">
        <w:rPr>
          <w:rFonts w:ascii="Arial"/>
          <w:w w:val="105"/>
          <w:sz w:val="16"/>
        </w:rPr>
        <w:t>during</w:t>
      </w:r>
      <w:r w:rsidRPr="00EB2BD8">
        <w:rPr>
          <w:rFonts w:ascii="Arial"/>
          <w:spacing w:val="-6"/>
          <w:w w:val="105"/>
          <w:sz w:val="16"/>
        </w:rPr>
        <w:t xml:space="preserve"> </w:t>
      </w:r>
      <w:r w:rsidRPr="00EB2BD8">
        <w:rPr>
          <w:rFonts w:ascii="Arial"/>
          <w:w w:val="105"/>
          <w:sz w:val="16"/>
        </w:rPr>
        <w:t>its</w:t>
      </w:r>
      <w:r w:rsidRPr="00EB2BD8">
        <w:rPr>
          <w:rFonts w:ascii="Arial"/>
          <w:spacing w:val="-5"/>
          <w:w w:val="105"/>
          <w:sz w:val="16"/>
        </w:rPr>
        <w:t xml:space="preserve"> </w:t>
      </w:r>
      <w:r w:rsidRPr="00EB2BD8">
        <w:rPr>
          <w:rFonts w:ascii="Arial"/>
          <w:w w:val="105"/>
          <w:sz w:val="16"/>
        </w:rPr>
        <w:t>operations,</w:t>
      </w:r>
      <w:r w:rsidRPr="00EB2BD8">
        <w:rPr>
          <w:rFonts w:ascii="Arial"/>
          <w:spacing w:val="-5"/>
          <w:w w:val="105"/>
          <w:sz w:val="16"/>
        </w:rPr>
        <w:t xml:space="preserve"> </w:t>
      </w:r>
      <w:r w:rsidRPr="00EB2BD8">
        <w:rPr>
          <w:rFonts w:ascii="Arial"/>
          <w:w w:val="105"/>
          <w:sz w:val="16"/>
        </w:rPr>
        <w:t>along</w:t>
      </w:r>
      <w:r w:rsidRPr="00EB2BD8">
        <w:rPr>
          <w:rFonts w:ascii="Arial"/>
          <w:spacing w:val="-6"/>
          <w:w w:val="105"/>
          <w:sz w:val="16"/>
        </w:rPr>
        <w:t xml:space="preserve"> </w:t>
      </w:r>
      <w:r w:rsidRPr="00EB2BD8">
        <w:rPr>
          <w:rFonts w:ascii="Arial"/>
          <w:w w:val="105"/>
          <w:sz w:val="16"/>
        </w:rPr>
        <w:t>with</w:t>
      </w:r>
      <w:r w:rsidRPr="00EB2BD8">
        <w:rPr>
          <w:rFonts w:ascii="Arial"/>
          <w:spacing w:val="-6"/>
          <w:w w:val="105"/>
          <w:sz w:val="16"/>
        </w:rPr>
        <w:t xml:space="preserve"> </w:t>
      </w:r>
      <w:r w:rsidRPr="00EB2BD8">
        <w:rPr>
          <w:rFonts w:ascii="Arial"/>
          <w:w w:val="105"/>
          <w:sz w:val="16"/>
        </w:rPr>
        <w:t>interest expenses and other information related to financing activities of the VBA.</w:t>
      </w:r>
    </w:p>
    <w:p w14:paraId="49E82F88" w14:textId="77777777" w:rsidR="00084F36" w:rsidRPr="00EB2BD8" w:rsidRDefault="00084F36">
      <w:pPr>
        <w:pStyle w:val="BodyText"/>
        <w:spacing w:before="2"/>
        <w:rPr>
          <w:rFonts w:ascii="Arial"/>
          <w:sz w:val="19"/>
        </w:rPr>
      </w:pPr>
    </w:p>
    <w:p w14:paraId="6B746300" w14:textId="77777777" w:rsidR="00084F36" w:rsidRPr="00EB2BD8" w:rsidRDefault="00EB2BD8">
      <w:pPr>
        <w:spacing w:before="1" w:line="288" w:lineRule="auto"/>
        <w:ind w:left="1065" w:right="1813"/>
        <w:rPr>
          <w:rFonts w:ascii="Arial"/>
          <w:sz w:val="16"/>
        </w:rPr>
      </w:pPr>
      <w:r w:rsidRPr="00EB2BD8">
        <w:rPr>
          <w:rFonts w:ascii="Arial"/>
          <w:w w:val="105"/>
          <w:sz w:val="16"/>
        </w:rPr>
        <w:t>This</w:t>
      </w:r>
      <w:r w:rsidRPr="00EB2BD8">
        <w:rPr>
          <w:rFonts w:ascii="Arial"/>
          <w:spacing w:val="-6"/>
          <w:w w:val="105"/>
          <w:sz w:val="16"/>
        </w:rPr>
        <w:t xml:space="preserve"> </w:t>
      </w:r>
      <w:r w:rsidRPr="00EB2BD8">
        <w:rPr>
          <w:rFonts w:ascii="Arial"/>
          <w:w w:val="105"/>
          <w:sz w:val="16"/>
        </w:rPr>
        <w:t>section</w:t>
      </w:r>
      <w:r w:rsidRPr="00EB2BD8">
        <w:rPr>
          <w:rFonts w:ascii="Arial"/>
          <w:spacing w:val="-7"/>
          <w:w w:val="105"/>
          <w:sz w:val="16"/>
        </w:rPr>
        <w:t xml:space="preserve"> </w:t>
      </w:r>
      <w:r w:rsidRPr="00EB2BD8">
        <w:rPr>
          <w:rFonts w:ascii="Arial"/>
          <w:w w:val="105"/>
          <w:sz w:val="16"/>
        </w:rPr>
        <w:t>includes</w:t>
      </w:r>
      <w:r w:rsidRPr="00EB2BD8">
        <w:rPr>
          <w:rFonts w:ascii="Arial"/>
          <w:spacing w:val="-6"/>
          <w:w w:val="105"/>
          <w:sz w:val="16"/>
        </w:rPr>
        <w:t xml:space="preserve"> </w:t>
      </w:r>
      <w:r w:rsidRPr="00EB2BD8">
        <w:rPr>
          <w:rFonts w:ascii="Arial"/>
          <w:w w:val="105"/>
          <w:sz w:val="16"/>
        </w:rPr>
        <w:t>disclosures</w:t>
      </w:r>
      <w:r w:rsidRPr="00EB2BD8">
        <w:rPr>
          <w:rFonts w:ascii="Arial"/>
          <w:spacing w:val="-6"/>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balances</w:t>
      </w:r>
      <w:r w:rsidRPr="00EB2BD8">
        <w:rPr>
          <w:rFonts w:ascii="Arial"/>
          <w:spacing w:val="-5"/>
          <w:w w:val="105"/>
          <w:sz w:val="16"/>
        </w:rPr>
        <w:t xml:space="preserve"> </w:t>
      </w:r>
      <w:r w:rsidRPr="00EB2BD8">
        <w:rPr>
          <w:rFonts w:ascii="Arial"/>
          <w:w w:val="105"/>
          <w:sz w:val="16"/>
        </w:rPr>
        <w:t>that</w:t>
      </w:r>
      <w:r w:rsidRPr="00EB2BD8">
        <w:rPr>
          <w:rFonts w:ascii="Arial"/>
          <w:spacing w:val="-6"/>
          <w:w w:val="105"/>
          <w:sz w:val="16"/>
        </w:rPr>
        <w:t xml:space="preserve"> </w:t>
      </w:r>
      <w:r w:rsidRPr="00EB2BD8">
        <w:rPr>
          <w:rFonts w:ascii="Arial"/>
          <w:w w:val="105"/>
          <w:sz w:val="16"/>
        </w:rPr>
        <w:t>are</w:t>
      </w:r>
      <w:r w:rsidRPr="00EB2BD8">
        <w:rPr>
          <w:rFonts w:ascii="Arial"/>
          <w:spacing w:val="-7"/>
          <w:w w:val="105"/>
          <w:sz w:val="16"/>
        </w:rPr>
        <w:t xml:space="preserve"> </w:t>
      </w:r>
      <w:r w:rsidRPr="00EB2BD8">
        <w:rPr>
          <w:rFonts w:ascii="Arial"/>
          <w:w w:val="105"/>
          <w:sz w:val="16"/>
        </w:rPr>
        <w:t>financial</w:t>
      </w:r>
      <w:r w:rsidRPr="00EB2BD8">
        <w:rPr>
          <w:rFonts w:ascii="Arial"/>
          <w:spacing w:val="-7"/>
          <w:w w:val="105"/>
          <w:sz w:val="16"/>
        </w:rPr>
        <w:t xml:space="preserve"> </w:t>
      </w:r>
      <w:r w:rsidRPr="00EB2BD8">
        <w:rPr>
          <w:rFonts w:ascii="Arial"/>
          <w:w w:val="105"/>
          <w:sz w:val="16"/>
        </w:rPr>
        <w:t>instruments</w:t>
      </w:r>
      <w:r w:rsidRPr="00EB2BD8">
        <w:rPr>
          <w:rFonts w:ascii="Arial"/>
          <w:spacing w:val="-5"/>
          <w:w w:val="105"/>
          <w:sz w:val="16"/>
        </w:rPr>
        <w:t xml:space="preserve"> </w:t>
      </w:r>
      <w:r w:rsidRPr="00EB2BD8">
        <w:rPr>
          <w:rFonts w:ascii="Arial"/>
          <w:w w:val="105"/>
          <w:sz w:val="16"/>
        </w:rPr>
        <w:t>(such</w:t>
      </w:r>
      <w:r w:rsidRPr="00EB2BD8">
        <w:rPr>
          <w:rFonts w:ascii="Arial"/>
          <w:spacing w:val="-7"/>
          <w:w w:val="105"/>
          <w:sz w:val="16"/>
        </w:rPr>
        <w:t xml:space="preserve"> </w:t>
      </w:r>
      <w:r w:rsidRPr="00EB2BD8">
        <w:rPr>
          <w:rFonts w:ascii="Arial"/>
          <w:w w:val="105"/>
          <w:sz w:val="16"/>
        </w:rPr>
        <w:t>as</w:t>
      </w:r>
      <w:r w:rsidRPr="00EB2BD8">
        <w:rPr>
          <w:rFonts w:ascii="Arial"/>
          <w:spacing w:val="-6"/>
          <w:w w:val="105"/>
          <w:sz w:val="16"/>
        </w:rPr>
        <w:t xml:space="preserve"> </w:t>
      </w:r>
      <w:r w:rsidRPr="00EB2BD8">
        <w:rPr>
          <w:rFonts w:ascii="Arial"/>
          <w:w w:val="105"/>
          <w:sz w:val="16"/>
        </w:rPr>
        <w:t>interest-bearing</w:t>
      </w:r>
      <w:r w:rsidRPr="00EB2BD8">
        <w:rPr>
          <w:rFonts w:ascii="Arial"/>
          <w:spacing w:val="-7"/>
          <w:w w:val="105"/>
          <w:sz w:val="16"/>
        </w:rPr>
        <w:t xml:space="preserve"> </w:t>
      </w:r>
      <w:r w:rsidRPr="00EB2BD8">
        <w:rPr>
          <w:rFonts w:ascii="Arial"/>
          <w:w w:val="105"/>
          <w:sz w:val="16"/>
        </w:rPr>
        <w:t>liabilities</w:t>
      </w:r>
      <w:r w:rsidRPr="00EB2BD8">
        <w:rPr>
          <w:rFonts w:ascii="Arial"/>
          <w:spacing w:val="-6"/>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cash balances). Notes 7.1 and 7.3 provide additional, specific financial instrument disclosures.</w:t>
      </w:r>
    </w:p>
    <w:p w14:paraId="6B06D4BC" w14:textId="77777777" w:rsidR="00084F36" w:rsidRPr="00EB2BD8" w:rsidRDefault="00084F36">
      <w:pPr>
        <w:pStyle w:val="BodyText"/>
        <w:rPr>
          <w:rFonts w:ascii="Arial"/>
        </w:rPr>
      </w:pPr>
    </w:p>
    <w:p w14:paraId="001C1322" w14:textId="77777777" w:rsidR="00084F36" w:rsidRPr="00EB2BD8" w:rsidRDefault="00EB2BD8" w:rsidP="00772B16">
      <w:pPr>
        <w:pStyle w:val="Heading2"/>
        <w:ind w:firstLine="215"/>
      </w:pPr>
      <w:bookmarkStart w:id="310" w:name="_Toc150762612"/>
      <w:r w:rsidRPr="00EB2BD8">
        <w:t>Structure</w:t>
      </w:r>
      <w:bookmarkEnd w:id="310"/>
    </w:p>
    <w:p w14:paraId="5016A2F1" w14:textId="77777777" w:rsidR="00084F36" w:rsidRPr="00EB2BD8" w:rsidRDefault="00EB2BD8">
      <w:pPr>
        <w:pStyle w:val="ListParagraph"/>
        <w:numPr>
          <w:ilvl w:val="1"/>
          <w:numId w:val="39"/>
        </w:numPr>
        <w:tabs>
          <w:tab w:val="left" w:pos="1592"/>
        </w:tabs>
        <w:spacing w:before="155"/>
        <w:rPr>
          <w:rFonts w:ascii="Arial"/>
          <w:sz w:val="16"/>
        </w:rPr>
      </w:pPr>
      <w:r w:rsidRPr="00EB2BD8">
        <w:rPr>
          <w:rFonts w:ascii="Arial"/>
          <w:sz w:val="16"/>
        </w:rPr>
        <w:t>Interest-bearing</w:t>
      </w:r>
      <w:r w:rsidRPr="00EB2BD8">
        <w:rPr>
          <w:rFonts w:ascii="Arial"/>
          <w:spacing w:val="40"/>
          <w:sz w:val="16"/>
        </w:rPr>
        <w:t xml:space="preserve"> </w:t>
      </w:r>
      <w:r w:rsidRPr="00EB2BD8">
        <w:rPr>
          <w:rFonts w:ascii="Arial"/>
          <w:spacing w:val="-2"/>
          <w:sz w:val="16"/>
        </w:rPr>
        <w:t>liabilities</w:t>
      </w:r>
    </w:p>
    <w:p w14:paraId="0F75DC1C" w14:textId="77777777" w:rsidR="00084F36" w:rsidRPr="00EB2BD8" w:rsidRDefault="00EB2BD8">
      <w:pPr>
        <w:pStyle w:val="ListParagraph"/>
        <w:numPr>
          <w:ilvl w:val="1"/>
          <w:numId w:val="39"/>
        </w:numPr>
        <w:tabs>
          <w:tab w:val="left" w:pos="1592"/>
        </w:tabs>
        <w:spacing w:before="37"/>
        <w:rPr>
          <w:rFonts w:ascii="Arial"/>
          <w:sz w:val="16"/>
        </w:rPr>
      </w:pPr>
      <w:r w:rsidRPr="00EB2BD8">
        <w:rPr>
          <w:rFonts w:ascii="Arial"/>
          <w:spacing w:val="-2"/>
          <w:w w:val="105"/>
          <w:sz w:val="16"/>
        </w:rPr>
        <w:t>Leases</w:t>
      </w:r>
    </w:p>
    <w:p w14:paraId="3789D6E5" w14:textId="77777777" w:rsidR="00084F36" w:rsidRPr="00EB2BD8" w:rsidRDefault="00EB2BD8">
      <w:pPr>
        <w:pStyle w:val="ListParagraph"/>
        <w:numPr>
          <w:ilvl w:val="1"/>
          <w:numId w:val="39"/>
        </w:numPr>
        <w:tabs>
          <w:tab w:val="left" w:pos="1592"/>
        </w:tabs>
        <w:spacing w:before="37"/>
        <w:rPr>
          <w:rFonts w:ascii="Arial"/>
          <w:sz w:val="16"/>
        </w:rPr>
      </w:pPr>
      <w:r w:rsidRPr="00EB2BD8">
        <w:rPr>
          <w:rFonts w:ascii="Arial"/>
          <w:w w:val="105"/>
          <w:sz w:val="16"/>
        </w:rPr>
        <w:t>Cash</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spacing w:val="-2"/>
          <w:w w:val="105"/>
          <w:sz w:val="16"/>
        </w:rPr>
        <w:t>deposits</w:t>
      </w:r>
    </w:p>
    <w:p w14:paraId="3E05D5ED" w14:textId="77777777" w:rsidR="00084F36" w:rsidRPr="00EB2BD8" w:rsidRDefault="00EB2BD8">
      <w:pPr>
        <w:pStyle w:val="ListParagraph"/>
        <w:numPr>
          <w:ilvl w:val="1"/>
          <w:numId w:val="39"/>
        </w:numPr>
        <w:tabs>
          <w:tab w:val="left" w:pos="1592"/>
        </w:tabs>
        <w:spacing w:before="37"/>
        <w:rPr>
          <w:rFonts w:ascii="Arial"/>
          <w:sz w:val="16"/>
        </w:rPr>
      </w:pPr>
      <w:r w:rsidRPr="00EB2BD8">
        <w:rPr>
          <w:rFonts w:ascii="Arial"/>
          <w:w w:val="105"/>
          <w:sz w:val="16"/>
        </w:rPr>
        <w:t>Commitments</w:t>
      </w:r>
      <w:r w:rsidRPr="00EB2BD8">
        <w:rPr>
          <w:rFonts w:ascii="Arial"/>
          <w:spacing w:val="-10"/>
          <w:w w:val="105"/>
          <w:sz w:val="16"/>
        </w:rPr>
        <w:t xml:space="preserve"> </w:t>
      </w:r>
      <w:r w:rsidRPr="00EB2BD8">
        <w:rPr>
          <w:rFonts w:ascii="Arial"/>
          <w:w w:val="105"/>
          <w:sz w:val="16"/>
        </w:rPr>
        <w:t>for</w:t>
      </w:r>
      <w:r w:rsidRPr="00EB2BD8">
        <w:rPr>
          <w:rFonts w:ascii="Arial"/>
          <w:spacing w:val="-9"/>
          <w:w w:val="105"/>
          <w:sz w:val="16"/>
        </w:rPr>
        <w:t xml:space="preserve"> </w:t>
      </w:r>
      <w:r w:rsidRPr="00EB2BD8">
        <w:rPr>
          <w:rFonts w:ascii="Arial"/>
          <w:spacing w:val="-2"/>
          <w:w w:val="105"/>
          <w:sz w:val="16"/>
        </w:rPr>
        <w:t>expenditure</w:t>
      </w:r>
    </w:p>
    <w:p w14:paraId="00ECAA8F" w14:textId="77777777" w:rsidR="00084F36" w:rsidRPr="00EB2BD8" w:rsidRDefault="00084F36">
      <w:pPr>
        <w:pStyle w:val="BodyText"/>
        <w:rPr>
          <w:rFonts w:ascii="Arial"/>
        </w:rPr>
      </w:pPr>
    </w:p>
    <w:p w14:paraId="1257F20A" w14:textId="77777777" w:rsidR="00084F36" w:rsidRPr="00EB2BD8" w:rsidRDefault="00084F36">
      <w:pPr>
        <w:pStyle w:val="BodyText"/>
        <w:spacing w:before="10"/>
        <w:rPr>
          <w:rFonts w:ascii="Arial"/>
          <w:sz w:val="15"/>
        </w:rPr>
      </w:pPr>
    </w:p>
    <w:p w14:paraId="52ED250D" w14:textId="66FEE2F3" w:rsidR="00084F36" w:rsidRPr="00EB2BD8" w:rsidRDefault="00772B16" w:rsidP="00772B16">
      <w:pPr>
        <w:pStyle w:val="Heading2"/>
        <w:ind w:firstLine="215"/>
      </w:pPr>
      <w:bookmarkStart w:id="311" w:name="_Toc150762613"/>
      <w:r>
        <w:t xml:space="preserve">6.1 </w:t>
      </w:r>
      <w:r w:rsidR="004D7D83">
        <w:t>I</w:t>
      </w:r>
      <w:r w:rsidR="004D7D83" w:rsidRPr="00EB2BD8">
        <w:t>nterest-</w:t>
      </w:r>
      <w:r w:rsidR="004D7D83" w:rsidRPr="00EB2BD8">
        <w:rPr>
          <w:spacing w:val="7"/>
        </w:rPr>
        <w:t xml:space="preserve"> </w:t>
      </w:r>
      <w:r w:rsidR="004D7D83" w:rsidRPr="00EB2BD8">
        <w:t>bearing</w:t>
      </w:r>
      <w:r w:rsidR="004D7D83" w:rsidRPr="00EB2BD8">
        <w:rPr>
          <w:spacing w:val="7"/>
        </w:rPr>
        <w:t xml:space="preserve"> </w:t>
      </w:r>
      <w:r w:rsidR="004D7D83" w:rsidRPr="00EB2BD8">
        <w:rPr>
          <w:spacing w:val="-2"/>
        </w:rPr>
        <w:t>liabilities</w:t>
      </w:r>
      <w:bookmarkEnd w:id="311"/>
    </w:p>
    <w:p w14:paraId="6EB34AA2" w14:textId="77777777" w:rsidR="00084F36" w:rsidRPr="00EB2BD8" w:rsidRDefault="00084F36">
      <w:pPr>
        <w:pStyle w:val="BodyText"/>
        <w:spacing w:before="8"/>
        <w:rPr>
          <w:rFonts w:ascii="Arial"/>
          <w:b/>
          <w:sz w:val="19"/>
        </w:rPr>
      </w:pPr>
    </w:p>
    <w:p w14:paraId="6F432861" w14:textId="77777777" w:rsidR="00084F36" w:rsidRPr="00EB2BD8" w:rsidRDefault="00EB2BD8">
      <w:pPr>
        <w:spacing w:after="45"/>
        <w:ind w:right="1864"/>
        <w:jc w:val="right"/>
        <w:rPr>
          <w:rFonts w:ascii="Arial" w:hAnsi="Arial"/>
          <w:sz w:val="16"/>
        </w:rPr>
      </w:pPr>
      <w:r w:rsidRPr="00EB2BD8">
        <w:rPr>
          <w:rFonts w:ascii="Arial" w:hAnsi="Arial"/>
          <w:spacing w:val="-2"/>
          <w:w w:val="105"/>
          <w:sz w:val="16"/>
        </w:rPr>
        <w:t>($’000)</w:t>
      </w:r>
    </w:p>
    <w:tbl>
      <w:tblPr>
        <w:tblW w:w="0" w:type="auto"/>
        <w:tblInd w:w="1073" w:type="dxa"/>
        <w:tblBorders>
          <w:top w:val="single" w:sz="4" w:space="0" w:color="0098FF"/>
          <w:left w:val="single" w:sz="4" w:space="0" w:color="0098FF"/>
          <w:bottom w:val="single" w:sz="4" w:space="0" w:color="0098FF"/>
          <w:right w:val="single" w:sz="4" w:space="0" w:color="0098FF"/>
          <w:insideH w:val="single" w:sz="4" w:space="0" w:color="0098FF"/>
          <w:insideV w:val="single" w:sz="4" w:space="0" w:color="0098FF"/>
        </w:tblBorders>
        <w:tblLayout w:type="fixed"/>
        <w:tblCellMar>
          <w:left w:w="0" w:type="dxa"/>
          <w:right w:w="0" w:type="dxa"/>
        </w:tblCellMar>
        <w:tblLook w:val="01E0" w:firstRow="1" w:lastRow="1" w:firstColumn="1" w:lastColumn="1" w:noHBand="0" w:noVBand="0"/>
      </w:tblPr>
      <w:tblGrid>
        <w:gridCol w:w="6409"/>
        <w:gridCol w:w="1227"/>
        <w:gridCol w:w="1440"/>
      </w:tblGrid>
      <w:tr w:rsidR="00EB2BD8" w:rsidRPr="00EB2BD8" w14:paraId="37FADAC7" w14:textId="77777777">
        <w:trPr>
          <w:trHeight w:val="407"/>
        </w:trPr>
        <w:tc>
          <w:tcPr>
            <w:tcW w:w="7636" w:type="dxa"/>
            <w:gridSpan w:val="2"/>
            <w:tcBorders>
              <w:right w:val="nil"/>
            </w:tcBorders>
            <w:shd w:val="clear" w:color="auto" w:fill="0070C0"/>
          </w:tcPr>
          <w:p w14:paraId="7E70F111" w14:textId="77777777" w:rsidR="00084F36" w:rsidRPr="00EB2BD8" w:rsidRDefault="00EB2BD8">
            <w:pPr>
              <w:pStyle w:val="TableParagraph"/>
              <w:spacing w:before="114"/>
              <w:ind w:right="93"/>
              <w:jc w:val="right"/>
              <w:rPr>
                <w:rFonts w:ascii="Arial"/>
                <w:b/>
                <w:sz w:val="16"/>
              </w:rPr>
            </w:pPr>
            <w:r w:rsidRPr="00EB2BD8">
              <w:rPr>
                <w:rFonts w:ascii="Arial"/>
                <w:b/>
                <w:spacing w:val="-4"/>
                <w:w w:val="105"/>
                <w:sz w:val="16"/>
              </w:rPr>
              <w:t>2023</w:t>
            </w:r>
          </w:p>
        </w:tc>
        <w:tc>
          <w:tcPr>
            <w:tcW w:w="1440" w:type="dxa"/>
            <w:tcBorders>
              <w:left w:val="nil"/>
            </w:tcBorders>
            <w:shd w:val="clear" w:color="auto" w:fill="0070C0"/>
          </w:tcPr>
          <w:p w14:paraId="4DDD25AA" w14:textId="77777777" w:rsidR="00084F36" w:rsidRPr="00EB2BD8" w:rsidRDefault="00EB2BD8">
            <w:pPr>
              <w:pStyle w:val="TableParagraph"/>
              <w:spacing w:before="114"/>
              <w:ind w:right="89"/>
              <w:jc w:val="right"/>
              <w:rPr>
                <w:rFonts w:ascii="Arial"/>
                <w:b/>
                <w:sz w:val="16"/>
              </w:rPr>
            </w:pPr>
            <w:r w:rsidRPr="00EB2BD8">
              <w:rPr>
                <w:rFonts w:ascii="Arial"/>
                <w:b/>
                <w:spacing w:val="-4"/>
                <w:w w:val="105"/>
                <w:sz w:val="16"/>
              </w:rPr>
              <w:t>2022</w:t>
            </w:r>
          </w:p>
        </w:tc>
      </w:tr>
      <w:tr w:rsidR="00EB2BD8" w:rsidRPr="00EB2BD8" w14:paraId="54C2982E" w14:textId="77777777">
        <w:trPr>
          <w:trHeight w:val="620"/>
        </w:trPr>
        <w:tc>
          <w:tcPr>
            <w:tcW w:w="6409" w:type="dxa"/>
            <w:tcBorders>
              <w:left w:val="nil"/>
              <w:bottom w:val="single" w:sz="12" w:space="0" w:color="000000"/>
              <w:right w:val="nil"/>
            </w:tcBorders>
            <w:shd w:val="clear" w:color="auto" w:fill="FFFFFF"/>
          </w:tcPr>
          <w:p w14:paraId="2DA7CCFA" w14:textId="77777777" w:rsidR="00084F36" w:rsidRPr="00EB2BD8" w:rsidRDefault="00EB2BD8">
            <w:pPr>
              <w:pStyle w:val="TableParagraph"/>
              <w:spacing w:before="63"/>
              <w:ind w:left="104"/>
              <w:rPr>
                <w:rFonts w:ascii="Arial"/>
                <w:b/>
                <w:sz w:val="16"/>
              </w:rPr>
            </w:pPr>
            <w:r w:rsidRPr="00EB2BD8">
              <w:rPr>
                <w:rFonts w:ascii="Arial"/>
                <w:b/>
                <w:spacing w:val="-2"/>
                <w:w w:val="105"/>
                <w:sz w:val="16"/>
              </w:rPr>
              <w:t>Current</w:t>
            </w:r>
            <w:r w:rsidRPr="00EB2BD8">
              <w:rPr>
                <w:rFonts w:ascii="Arial"/>
                <w:b/>
                <w:spacing w:val="8"/>
                <w:w w:val="105"/>
                <w:sz w:val="16"/>
              </w:rPr>
              <w:t xml:space="preserve"> </w:t>
            </w:r>
            <w:r w:rsidRPr="00EB2BD8">
              <w:rPr>
                <w:rFonts w:ascii="Arial"/>
                <w:b/>
                <w:spacing w:val="-2"/>
                <w:w w:val="105"/>
                <w:sz w:val="16"/>
              </w:rPr>
              <w:t>interest-bearing</w:t>
            </w:r>
            <w:r w:rsidRPr="00EB2BD8">
              <w:rPr>
                <w:rFonts w:ascii="Arial"/>
                <w:b/>
                <w:spacing w:val="8"/>
                <w:w w:val="105"/>
                <w:sz w:val="16"/>
              </w:rPr>
              <w:t xml:space="preserve"> </w:t>
            </w:r>
            <w:r w:rsidRPr="00EB2BD8">
              <w:rPr>
                <w:rFonts w:ascii="Arial"/>
                <w:b/>
                <w:spacing w:val="-2"/>
                <w:w w:val="105"/>
                <w:sz w:val="16"/>
              </w:rPr>
              <w:t>liabilities</w:t>
            </w:r>
          </w:p>
          <w:p w14:paraId="196F4DA4" w14:textId="77777777" w:rsidR="00084F36" w:rsidRPr="00EB2BD8" w:rsidRDefault="00EB2BD8">
            <w:pPr>
              <w:pStyle w:val="TableParagraph"/>
              <w:spacing w:before="113"/>
              <w:ind w:left="104"/>
              <w:rPr>
                <w:rFonts w:ascii="Arial"/>
                <w:sz w:val="11"/>
              </w:rPr>
            </w:pPr>
            <w:r w:rsidRPr="00EB2BD8">
              <w:rPr>
                <w:rFonts w:ascii="Arial"/>
                <w:w w:val="105"/>
                <w:sz w:val="16"/>
              </w:rPr>
              <w:t>Lease</w:t>
            </w:r>
            <w:r w:rsidRPr="00EB2BD8">
              <w:rPr>
                <w:rFonts w:ascii="Arial"/>
                <w:spacing w:val="-11"/>
                <w:w w:val="105"/>
                <w:sz w:val="16"/>
              </w:rPr>
              <w:t xml:space="preserve"> </w:t>
            </w:r>
            <w:r w:rsidRPr="00EB2BD8">
              <w:rPr>
                <w:rFonts w:ascii="Arial"/>
                <w:w w:val="105"/>
                <w:sz w:val="16"/>
              </w:rPr>
              <w:t>liabilities</w:t>
            </w:r>
            <w:r w:rsidRPr="00EB2BD8">
              <w:rPr>
                <w:rFonts w:ascii="Arial"/>
                <w:spacing w:val="-9"/>
                <w:w w:val="105"/>
                <w:sz w:val="16"/>
              </w:rPr>
              <w:t xml:space="preserve"> </w:t>
            </w:r>
            <w:r w:rsidRPr="00EB2BD8">
              <w:rPr>
                <w:rFonts w:ascii="Arial"/>
                <w:spacing w:val="-5"/>
                <w:w w:val="105"/>
                <w:position w:val="6"/>
                <w:sz w:val="11"/>
              </w:rPr>
              <w:t>(a)</w:t>
            </w:r>
          </w:p>
        </w:tc>
        <w:tc>
          <w:tcPr>
            <w:tcW w:w="1227" w:type="dxa"/>
            <w:tcBorders>
              <w:left w:val="nil"/>
              <w:bottom w:val="single" w:sz="12" w:space="0" w:color="000000"/>
              <w:right w:val="nil"/>
            </w:tcBorders>
            <w:shd w:val="clear" w:color="auto" w:fill="DEEAF6"/>
          </w:tcPr>
          <w:p w14:paraId="5E02569B" w14:textId="77777777" w:rsidR="00084F36" w:rsidRPr="00EB2BD8" w:rsidRDefault="00084F36">
            <w:pPr>
              <w:pStyle w:val="TableParagraph"/>
              <w:rPr>
                <w:rFonts w:ascii="Arial"/>
                <w:sz w:val="18"/>
              </w:rPr>
            </w:pPr>
          </w:p>
          <w:p w14:paraId="1AC163D5" w14:textId="77777777" w:rsidR="00084F36" w:rsidRPr="00EB2BD8" w:rsidRDefault="00084F36">
            <w:pPr>
              <w:pStyle w:val="TableParagraph"/>
              <w:spacing w:before="5"/>
              <w:rPr>
                <w:rFonts w:ascii="Arial"/>
                <w:sz w:val="14"/>
              </w:rPr>
            </w:pPr>
          </w:p>
          <w:p w14:paraId="081FAEF6" w14:textId="77777777" w:rsidR="00084F36" w:rsidRPr="00EB2BD8" w:rsidRDefault="00EB2BD8">
            <w:pPr>
              <w:pStyle w:val="TableParagraph"/>
              <w:spacing w:before="1"/>
              <w:ind w:right="93"/>
              <w:jc w:val="right"/>
              <w:rPr>
                <w:rFonts w:ascii="Arial"/>
                <w:sz w:val="16"/>
              </w:rPr>
            </w:pPr>
            <w:r w:rsidRPr="00EB2BD8">
              <w:rPr>
                <w:rFonts w:ascii="Arial"/>
                <w:spacing w:val="-2"/>
                <w:w w:val="105"/>
                <w:sz w:val="16"/>
              </w:rPr>
              <w:t>2,731</w:t>
            </w:r>
          </w:p>
        </w:tc>
        <w:tc>
          <w:tcPr>
            <w:tcW w:w="1440" w:type="dxa"/>
            <w:tcBorders>
              <w:left w:val="nil"/>
              <w:bottom w:val="single" w:sz="12" w:space="0" w:color="000000"/>
              <w:right w:val="nil"/>
            </w:tcBorders>
            <w:shd w:val="clear" w:color="auto" w:fill="FFFFFF"/>
          </w:tcPr>
          <w:p w14:paraId="4287B8E8" w14:textId="77777777" w:rsidR="00084F36" w:rsidRPr="00EB2BD8" w:rsidRDefault="00084F36">
            <w:pPr>
              <w:pStyle w:val="TableParagraph"/>
              <w:rPr>
                <w:rFonts w:ascii="Arial"/>
                <w:sz w:val="18"/>
              </w:rPr>
            </w:pPr>
          </w:p>
          <w:p w14:paraId="6BCD7631" w14:textId="77777777" w:rsidR="00084F36" w:rsidRPr="00EB2BD8" w:rsidRDefault="00084F36">
            <w:pPr>
              <w:pStyle w:val="TableParagraph"/>
              <w:spacing w:before="5"/>
              <w:rPr>
                <w:rFonts w:ascii="Arial"/>
                <w:sz w:val="14"/>
              </w:rPr>
            </w:pPr>
          </w:p>
          <w:p w14:paraId="443C34CE" w14:textId="77777777" w:rsidR="00084F36" w:rsidRPr="00EB2BD8" w:rsidRDefault="00EB2BD8">
            <w:pPr>
              <w:pStyle w:val="TableParagraph"/>
              <w:spacing w:before="1"/>
              <w:ind w:right="94"/>
              <w:jc w:val="right"/>
              <w:rPr>
                <w:rFonts w:ascii="Arial"/>
                <w:sz w:val="16"/>
              </w:rPr>
            </w:pPr>
            <w:r w:rsidRPr="00EB2BD8">
              <w:rPr>
                <w:rFonts w:ascii="Arial"/>
                <w:spacing w:val="-2"/>
                <w:w w:val="105"/>
                <w:sz w:val="16"/>
              </w:rPr>
              <w:t>2,296</w:t>
            </w:r>
          </w:p>
        </w:tc>
      </w:tr>
      <w:tr w:rsidR="00EB2BD8" w:rsidRPr="00EB2BD8" w14:paraId="36AD58CC" w14:textId="77777777">
        <w:trPr>
          <w:trHeight w:val="285"/>
        </w:trPr>
        <w:tc>
          <w:tcPr>
            <w:tcW w:w="6409" w:type="dxa"/>
            <w:tcBorders>
              <w:top w:val="single" w:sz="12" w:space="0" w:color="000000"/>
              <w:left w:val="nil"/>
              <w:bottom w:val="single" w:sz="12" w:space="0" w:color="000000"/>
              <w:right w:val="nil"/>
            </w:tcBorders>
            <w:shd w:val="clear" w:color="auto" w:fill="FFFFFF"/>
          </w:tcPr>
          <w:p w14:paraId="4854F247" w14:textId="77777777" w:rsidR="00084F36" w:rsidRPr="00EB2BD8" w:rsidRDefault="00EB2BD8">
            <w:pPr>
              <w:pStyle w:val="TableParagraph"/>
              <w:spacing w:before="52"/>
              <w:ind w:left="104"/>
              <w:rPr>
                <w:rFonts w:ascii="Arial"/>
                <w:b/>
                <w:sz w:val="16"/>
              </w:rPr>
            </w:pPr>
            <w:r w:rsidRPr="00EB2BD8">
              <w:rPr>
                <w:rFonts w:ascii="Arial"/>
                <w:b/>
                <w:w w:val="105"/>
                <w:sz w:val="16"/>
              </w:rPr>
              <w:t>Total</w:t>
            </w:r>
            <w:r w:rsidRPr="00EB2BD8">
              <w:rPr>
                <w:rFonts w:ascii="Arial"/>
                <w:b/>
                <w:spacing w:val="-12"/>
                <w:w w:val="105"/>
                <w:sz w:val="16"/>
              </w:rPr>
              <w:t xml:space="preserve"> </w:t>
            </w:r>
            <w:r w:rsidRPr="00EB2BD8">
              <w:rPr>
                <w:rFonts w:ascii="Arial"/>
                <w:b/>
                <w:w w:val="105"/>
                <w:sz w:val="16"/>
              </w:rPr>
              <w:t>current</w:t>
            </w:r>
            <w:r w:rsidRPr="00EB2BD8">
              <w:rPr>
                <w:rFonts w:ascii="Arial"/>
                <w:b/>
                <w:spacing w:val="-11"/>
                <w:w w:val="105"/>
                <w:sz w:val="16"/>
              </w:rPr>
              <w:t xml:space="preserve"> </w:t>
            </w:r>
            <w:r w:rsidRPr="00EB2BD8">
              <w:rPr>
                <w:rFonts w:ascii="Arial"/>
                <w:b/>
                <w:w w:val="105"/>
                <w:sz w:val="16"/>
              </w:rPr>
              <w:t>interest-bearing</w:t>
            </w:r>
            <w:r w:rsidRPr="00EB2BD8">
              <w:rPr>
                <w:rFonts w:ascii="Arial"/>
                <w:b/>
                <w:spacing w:val="-12"/>
                <w:w w:val="105"/>
                <w:sz w:val="16"/>
              </w:rPr>
              <w:t xml:space="preserve"> </w:t>
            </w:r>
            <w:r w:rsidRPr="00EB2BD8">
              <w:rPr>
                <w:rFonts w:ascii="Arial"/>
                <w:b/>
                <w:spacing w:val="-2"/>
                <w:w w:val="105"/>
                <w:sz w:val="16"/>
              </w:rPr>
              <w:t>liabilities</w:t>
            </w:r>
          </w:p>
        </w:tc>
        <w:tc>
          <w:tcPr>
            <w:tcW w:w="1227" w:type="dxa"/>
            <w:tcBorders>
              <w:top w:val="single" w:sz="12" w:space="0" w:color="000000"/>
              <w:left w:val="nil"/>
              <w:bottom w:val="single" w:sz="12" w:space="0" w:color="000000"/>
              <w:right w:val="nil"/>
            </w:tcBorders>
            <w:shd w:val="clear" w:color="auto" w:fill="DEEAF6"/>
          </w:tcPr>
          <w:p w14:paraId="7DDF7843" w14:textId="77777777" w:rsidR="00084F36" w:rsidRPr="00EB2BD8" w:rsidRDefault="00EB2BD8">
            <w:pPr>
              <w:pStyle w:val="TableParagraph"/>
              <w:spacing w:before="52"/>
              <w:ind w:right="93"/>
              <w:jc w:val="right"/>
              <w:rPr>
                <w:rFonts w:ascii="Arial"/>
                <w:b/>
                <w:sz w:val="16"/>
              </w:rPr>
            </w:pPr>
            <w:r w:rsidRPr="00EB2BD8">
              <w:rPr>
                <w:rFonts w:ascii="Arial"/>
                <w:b/>
                <w:spacing w:val="-2"/>
                <w:w w:val="105"/>
                <w:sz w:val="16"/>
              </w:rPr>
              <w:t>2,731</w:t>
            </w:r>
          </w:p>
        </w:tc>
        <w:tc>
          <w:tcPr>
            <w:tcW w:w="1440" w:type="dxa"/>
            <w:tcBorders>
              <w:top w:val="single" w:sz="12" w:space="0" w:color="000000"/>
              <w:left w:val="nil"/>
              <w:bottom w:val="single" w:sz="12" w:space="0" w:color="000000"/>
              <w:right w:val="nil"/>
            </w:tcBorders>
            <w:shd w:val="clear" w:color="auto" w:fill="FFFFFF"/>
          </w:tcPr>
          <w:p w14:paraId="0115A6D1" w14:textId="77777777" w:rsidR="00084F36" w:rsidRPr="00EB2BD8" w:rsidRDefault="00EB2BD8">
            <w:pPr>
              <w:pStyle w:val="TableParagraph"/>
              <w:spacing w:before="52"/>
              <w:ind w:right="95"/>
              <w:jc w:val="right"/>
              <w:rPr>
                <w:rFonts w:ascii="Arial"/>
                <w:b/>
                <w:sz w:val="16"/>
              </w:rPr>
            </w:pPr>
            <w:r w:rsidRPr="00EB2BD8">
              <w:rPr>
                <w:rFonts w:ascii="Arial"/>
                <w:b/>
                <w:spacing w:val="-2"/>
                <w:w w:val="105"/>
                <w:sz w:val="16"/>
              </w:rPr>
              <w:t>2,296</w:t>
            </w:r>
          </w:p>
        </w:tc>
      </w:tr>
      <w:tr w:rsidR="00EB2BD8" w:rsidRPr="00EB2BD8" w14:paraId="6A37BD48" w14:textId="77777777">
        <w:trPr>
          <w:trHeight w:val="601"/>
        </w:trPr>
        <w:tc>
          <w:tcPr>
            <w:tcW w:w="6409" w:type="dxa"/>
            <w:tcBorders>
              <w:top w:val="single" w:sz="12" w:space="0" w:color="000000"/>
              <w:left w:val="nil"/>
              <w:bottom w:val="single" w:sz="12" w:space="0" w:color="000000"/>
              <w:right w:val="nil"/>
            </w:tcBorders>
            <w:shd w:val="clear" w:color="auto" w:fill="FFFFFF"/>
          </w:tcPr>
          <w:p w14:paraId="33345EC8" w14:textId="77777777" w:rsidR="00084F36" w:rsidRPr="00EB2BD8" w:rsidRDefault="00EB2BD8">
            <w:pPr>
              <w:pStyle w:val="TableParagraph"/>
              <w:spacing w:before="52"/>
              <w:ind w:left="104"/>
              <w:rPr>
                <w:rFonts w:ascii="Arial"/>
                <w:b/>
                <w:sz w:val="16"/>
              </w:rPr>
            </w:pPr>
            <w:r w:rsidRPr="00EB2BD8">
              <w:rPr>
                <w:rFonts w:ascii="Arial"/>
                <w:b/>
                <w:spacing w:val="-2"/>
                <w:w w:val="105"/>
                <w:sz w:val="16"/>
              </w:rPr>
              <w:t>Non-current</w:t>
            </w:r>
            <w:r w:rsidRPr="00EB2BD8">
              <w:rPr>
                <w:rFonts w:ascii="Arial"/>
                <w:b/>
                <w:spacing w:val="10"/>
                <w:w w:val="105"/>
                <w:sz w:val="16"/>
              </w:rPr>
              <w:t xml:space="preserve"> </w:t>
            </w:r>
            <w:r w:rsidRPr="00EB2BD8">
              <w:rPr>
                <w:rFonts w:ascii="Arial"/>
                <w:b/>
                <w:spacing w:val="-2"/>
                <w:w w:val="105"/>
                <w:sz w:val="16"/>
              </w:rPr>
              <w:t>interest-bearing</w:t>
            </w:r>
            <w:r w:rsidRPr="00EB2BD8">
              <w:rPr>
                <w:rFonts w:ascii="Arial"/>
                <w:b/>
                <w:spacing w:val="11"/>
                <w:w w:val="105"/>
                <w:sz w:val="16"/>
              </w:rPr>
              <w:t xml:space="preserve"> </w:t>
            </w:r>
            <w:r w:rsidRPr="00EB2BD8">
              <w:rPr>
                <w:rFonts w:ascii="Arial"/>
                <w:b/>
                <w:spacing w:val="-2"/>
                <w:w w:val="105"/>
                <w:sz w:val="16"/>
              </w:rPr>
              <w:t>liabilities</w:t>
            </w:r>
          </w:p>
          <w:p w14:paraId="7B24E755" w14:textId="77777777" w:rsidR="00084F36" w:rsidRPr="00EB2BD8" w:rsidRDefault="00EB2BD8">
            <w:pPr>
              <w:pStyle w:val="TableParagraph"/>
              <w:spacing w:before="105"/>
              <w:ind w:left="104"/>
              <w:rPr>
                <w:rFonts w:ascii="Arial"/>
                <w:sz w:val="11"/>
              </w:rPr>
            </w:pPr>
            <w:r w:rsidRPr="00EB2BD8">
              <w:rPr>
                <w:rFonts w:ascii="Arial"/>
                <w:w w:val="105"/>
                <w:sz w:val="16"/>
              </w:rPr>
              <w:t>Lease</w:t>
            </w:r>
            <w:r w:rsidRPr="00EB2BD8">
              <w:rPr>
                <w:rFonts w:ascii="Arial"/>
                <w:spacing w:val="-11"/>
                <w:w w:val="105"/>
                <w:sz w:val="16"/>
              </w:rPr>
              <w:t xml:space="preserve"> </w:t>
            </w:r>
            <w:r w:rsidRPr="00EB2BD8">
              <w:rPr>
                <w:rFonts w:ascii="Arial"/>
                <w:w w:val="105"/>
                <w:sz w:val="16"/>
              </w:rPr>
              <w:t>liabilities</w:t>
            </w:r>
            <w:r w:rsidRPr="00EB2BD8">
              <w:rPr>
                <w:rFonts w:ascii="Arial"/>
                <w:spacing w:val="-9"/>
                <w:w w:val="105"/>
                <w:sz w:val="16"/>
              </w:rPr>
              <w:t xml:space="preserve"> </w:t>
            </w:r>
            <w:r w:rsidRPr="00EB2BD8">
              <w:rPr>
                <w:rFonts w:ascii="Arial"/>
                <w:spacing w:val="-5"/>
                <w:w w:val="105"/>
                <w:position w:val="6"/>
                <w:sz w:val="11"/>
              </w:rPr>
              <w:t>(a)</w:t>
            </w:r>
          </w:p>
        </w:tc>
        <w:tc>
          <w:tcPr>
            <w:tcW w:w="1227" w:type="dxa"/>
            <w:tcBorders>
              <w:top w:val="single" w:sz="12" w:space="0" w:color="000000"/>
              <w:left w:val="nil"/>
              <w:bottom w:val="single" w:sz="12" w:space="0" w:color="000000"/>
              <w:right w:val="nil"/>
            </w:tcBorders>
            <w:shd w:val="clear" w:color="auto" w:fill="DEEAF6"/>
          </w:tcPr>
          <w:p w14:paraId="51CBAF6C" w14:textId="77777777" w:rsidR="00084F36" w:rsidRPr="00EB2BD8" w:rsidRDefault="00084F36">
            <w:pPr>
              <w:pStyle w:val="TableParagraph"/>
              <w:rPr>
                <w:rFonts w:ascii="Arial"/>
                <w:sz w:val="18"/>
              </w:rPr>
            </w:pPr>
          </w:p>
          <w:p w14:paraId="0E15B2B5" w14:textId="77777777" w:rsidR="00084F36" w:rsidRPr="00EB2BD8" w:rsidRDefault="00EB2BD8">
            <w:pPr>
              <w:pStyle w:val="TableParagraph"/>
              <w:spacing w:before="147"/>
              <w:ind w:right="93"/>
              <w:jc w:val="right"/>
              <w:rPr>
                <w:rFonts w:ascii="Arial"/>
                <w:sz w:val="16"/>
              </w:rPr>
            </w:pPr>
            <w:r w:rsidRPr="00EB2BD8">
              <w:rPr>
                <w:rFonts w:ascii="Arial"/>
                <w:spacing w:val="-2"/>
                <w:w w:val="105"/>
                <w:sz w:val="16"/>
              </w:rPr>
              <w:t>2,492</w:t>
            </w:r>
          </w:p>
        </w:tc>
        <w:tc>
          <w:tcPr>
            <w:tcW w:w="1440" w:type="dxa"/>
            <w:tcBorders>
              <w:top w:val="single" w:sz="12" w:space="0" w:color="000000"/>
              <w:left w:val="nil"/>
              <w:bottom w:val="single" w:sz="12" w:space="0" w:color="000000"/>
              <w:right w:val="nil"/>
            </w:tcBorders>
            <w:shd w:val="clear" w:color="auto" w:fill="FFFFFF"/>
          </w:tcPr>
          <w:p w14:paraId="71756F84" w14:textId="77777777" w:rsidR="00084F36" w:rsidRPr="00EB2BD8" w:rsidRDefault="00084F36">
            <w:pPr>
              <w:pStyle w:val="TableParagraph"/>
              <w:rPr>
                <w:rFonts w:ascii="Arial"/>
                <w:sz w:val="18"/>
              </w:rPr>
            </w:pPr>
          </w:p>
          <w:p w14:paraId="414409C6" w14:textId="77777777" w:rsidR="00084F36" w:rsidRPr="00EB2BD8" w:rsidRDefault="00EB2BD8">
            <w:pPr>
              <w:pStyle w:val="TableParagraph"/>
              <w:spacing w:before="147"/>
              <w:ind w:right="94"/>
              <w:jc w:val="right"/>
              <w:rPr>
                <w:rFonts w:ascii="Arial"/>
                <w:sz w:val="16"/>
              </w:rPr>
            </w:pPr>
            <w:r w:rsidRPr="00EB2BD8">
              <w:rPr>
                <w:rFonts w:ascii="Arial"/>
                <w:spacing w:val="-2"/>
                <w:w w:val="105"/>
                <w:sz w:val="16"/>
              </w:rPr>
              <w:t>4,082</w:t>
            </w:r>
          </w:p>
        </w:tc>
      </w:tr>
      <w:tr w:rsidR="00EB2BD8" w:rsidRPr="00EB2BD8" w14:paraId="54818DFB" w14:textId="77777777">
        <w:trPr>
          <w:trHeight w:val="285"/>
        </w:trPr>
        <w:tc>
          <w:tcPr>
            <w:tcW w:w="6409" w:type="dxa"/>
            <w:tcBorders>
              <w:top w:val="single" w:sz="12" w:space="0" w:color="000000"/>
              <w:left w:val="nil"/>
              <w:bottom w:val="single" w:sz="12" w:space="0" w:color="000000"/>
              <w:right w:val="nil"/>
            </w:tcBorders>
            <w:shd w:val="clear" w:color="auto" w:fill="FFFFFF"/>
          </w:tcPr>
          <w:p w14:paraId="77655084" w14:textId="77777777" w:rsidR="00084F36" w:rsidRPr="00EB2BD8" w:rsidRDefault="00EB2BD8">
            <w:pPr>
              <w:pStyle w:val="TableParagraph"/>
              <w:spacing w:before="52"/>
              <w:ind w:left="104"/>
              <w:rPr>
                <w:rFonts w:ascii="Arial"/>
                <w:b/>
                <w:sz w:val="16"/>
              </w:rPr>
            </w:pPr>
            <w:r w:rsidRPr="00EB2BD8">
              <w:rPr>
                <w:rFonts w:ascii="Arial"/>
                <w:b/>
                <w:spacing w:val="-2"/>
                <w:w w:val="105"/>
                <w:sz w:val="16"/>
              </w:rPr>
              <w:t>Total</w:t>
            </w:r>
            <w:r w:rsidRPr="00EB2BD8">
              <w:rPr>
                <w:rFonts w:ascii="Arial"/>
                <w:b/>
                <w:spacing w:val="8"/>
                <w:w w:val="105"/>
                <w:sz w:val="16"/>
              </w:rPr>
              <w:t xml:space="preserve"> </w:t>
            </w:r>
            <w:r w:rsidRPr="00EB2BD8">
              <w:rPr>
                <w:rFonts w:ascii="Arial"/>
                <w:b/>
                <w:spacing w:val="-2"/>
                <w:w w:val="105"/>
                <w:sz w:val="16"/>
              </w:rPr>
              <w:t>non-current</w:t>
            </w:r>
            <w:r w:rsidRPr="00EB2BD8">
              <w:rPr>
                <w:rFonts w:ascii="Arial"/>
                <w:b/>
                <w:spacing w:val="8"/>
                <w:w w:val="105"/>
                <w:sz w:val="16"/>
              </w:rPr>
              <w:t xml:space="preserve"> </w:t>
            </w:r>
            <w:r w:rsidRPr="00EB2BD8">
              <w:rPr>
                <w:rFonts w:ascii="Arial"/>
                <w:b/>
                <w:spacing w:val="-2"/>
                <w:w w:val="105"/>
                <w:sz w:val="16"/>
              </w:rPr>
              <w:t>interest-bearing</w:t>
            </w:r>
            <w:r w:rsidRPr="00EB2BD8">
              <w:rPr>
                <w:rFonts w:ascii="Arial"/>
                <w:b/>
                <w:spacing w:val="9"/>
                <w:w w:val="105"/>
                <w:sz w:val="16"/>
              </w:rPr>
              <w:t xml:space="preserve"> </w:t>
            </w:r>
            <w:r w:rsidRPr="00EB2BD8">
              <w:rPr>
                <w:rFonts w:ascii="Arial"/>
                <w:b/>
                <w:spacing w:val="-2"/>
                <w:w w:val="105"/>
                <w:sz w:val="16"/>
              </w:rPr>
              <w:t>liabilities</w:t>
            </w:r>
          </w:p>
        </w:tc>
        <w:tc>
          <w:tcPr>
            <w:tcW w:w="1227" w:type="dxa"/>
            <w:tcBorders>
              <w:top w:val="single" w:sz="12" w:space="0" w:color="000000"/>
              <w:left w:val="nil"/>
              <w:bottom w:val="single" w:sz="12" w:space="0" w:color="000000"/>
              <w:right w:val="nil"/>
            </w:tcBorders>
            <w:shd w:val="clear" w:color="auto" w:fill="DEEAF6"/>
          </w:tcPr>
          <w:p w14:paraId="04CEBE3C" w14:textId="77777777" w:rsidR="00084F36" w:rsidRPr="00EB2BD8" w:rsidRDefault="00EB2BD8">
            <w:pPr>
              <w:pStyle w:val="TableParagraph"/>
              <w:spacing w:before="52"/>
              <w:ind w:right="93"/>
              <w:jc w:val="right"/>
              <w:rPr>
                <w:rFonts w:ascii="Arial"/>
                <w:b/>
                <w:sz w:val="16"/>
              </w:rPr>
            </w:pPr>
            <w:r w:rsidRPr="00EB2BD8">
              <w:rPr>
                <w:rFonts w:ascii="Arial"/>
                <w:b/>
                <w:spacing w:val="-4"/>
                <w:w w:val="105"/>
                <w:sz w:val="16"/>
              </w:rPr>
              <w:t>2,492</w:t>
            </w:r>
          </w:p>
        </w:tc>
        <w:tc>
          <w:tcPr>
            <w:tcW w:w="1440" w:type="dxa"/>
            <w:tcBorders>
              <w:top w:val="single" w:sz="12" w:space="0" w:color="000000"/>
              <w:left w:val="nil"/>
              <w:bottom w:val="single" w:sz="12" w:space="0" w:color="000000"/>
              <w:right w:val="nil"/>
            </w:tcBorders>
            <w:shd w:val="clear" w:color="auto" w:fill="FFFFFF"/>
          </w:tcPr>
          <w:p w14:paraId="0A64B507" w14:textId="77777777" w:rsidR="00084F36" w:rsidRPr="00EB2BD8" w:rsidRDefault="00EB2BD8">
            <w:pPr>
              <w:pStyle w:val="TableParagraph"/>
              <w:spacing w:before="52"/>
              <w:ind w:right="95"/>
              <w:jc w:val="right"/>
              <w:rPr>
                <w:rFonts w:ascii="Arial"/>
                <w:b/>
                <w:sz w:val="16"/>
              </w:rPr>
            </w:pPr>
            <w:r w:rsidRPr="00EB2BD8">
              <w:rPr>
                <w:rFonts w:ascii="Arial"/>
                <w:b/>
                <w:spacing w:val="-2"/>
                <w:w w:val="105"/>
                <w:sz w:val="16"/>
              </w:rPr>
              <w:t>4,082</w:t>
            </w:r>
          </w:p>
        </w:tc>
      </w:tr>
      <w:tr w:rsidR="00EB2BD8" w:rsidRPr="00EB2BD8" w14:paraId="4EC9319E" w14:textId="77777777">
        <w:trPr>
          <w:trHeight w:val="286"/>
        </w:trPr>
        <w:tc>
          <w:tcPr>
            <w:tcW w:w="6409" w:type="dxa"/>
            <w:tcBorders>
              <w:top w:val="single" w:sz="12" w:space="0" w:color="000000"/>
              <w:left w:val="nil"/>
              <w:bottom w:val="single" w:sz="12" w:space="0" w:color="000000"/>
              <w:right w:val="nil"/>
            </w:tcBorders>
            <w:shd w:val="clear" w:color="auto" w:fill="FFFFFF"/>
          </w:tcPr>
          <w:p w14:paraId="0930B81E" w14:textId="77777777" w:rsidR="00084F36" w:rsidRPr="00EB2BD8" w:rsidRDefault="00EB2BD8">
            <w:pPr>
              <w:pStyle w:val="TableParagraph"/>
              <w:spacing w:before="52"/>
              <w:ind w:left="104"/>
              <w:rPr>
                <w:rFonts w:ascii="Arial"/>
                <w:b/>
                <w:sz w:val="16"/>
              </w:rPr>
            </w:pPr>
            <w:r w:rsidRPr="00EB2BD8">
              <w:rPr>
                <w:rFonts w:ascii="Arial"/>
                <w:b/>
                <w:spacing w:val="-2"/>
                <w:w w:val="105"/>
                <w:sz w:val="16"/>
              </w:rPr>
              <w:t>Total</w:t>
            </w:r>
            <w:r w:rsidRPr="00EB2BD8">
              <w:rPr>
                <w:rFonts w:ascii="Arial"/>
                <w:b/>
                <w:spacing w:val="8"/>
                <w:w w:val="105"/>
                <w:sz w:val="16"/>
              </w:rPr>
              <w:t xml:space="preserve"> </w:t>
            </w:r>
            <w:r w:rsidRPr="00EB2BD8">
              <w:rPr>
                <w:rFonts w:ascii="Arial"/>
                <w:b/>
                <w:spacing w:val="-2"/>
                <w:w w:val="105"/>
                <w:sz w:val="16"/>
              </w:rPr>
              <w:t>interest-bearing</w:t>
            </w:r>
            <w:r w:rsidRPr="00EB2BD8">
              <w:rPr>
                <w:rFonts w:ascii="Arial"/>
                <w:b/>
                <w:spacing w:val="9"/>
                <w:w w:val="105"/>
                <w:sz w:val="16"/>
              </w:rPr>
              <w:t xml:space="preserve"> </w:t>
            </w:r>
            <w:r w:rsidRPr="00EB2BD8">
              <w:rPr>
                <w:rFonts w:ascii="Arial"/>
                <w:b/>
                <w:spacing w:val="-2"/>
                <w:w w:val="105"/>
                <w:sz w:val="16"/>
              </w:rPr>
              <w:t>liabilities</w:t>
            </w:r>
          </w:p>
        </w:tc>
        <w:tc>
          <w:tcPr>
            <w:tcW w:w="1227" w:type="dxa"/>
            <w:tcBorders>
              <w:top w:val="single" w:sz="12" w:space="0" w:color="000000"/>
              <w:left w:val="nil"/>
              <w:bottom w:val="single" w:sz="12" w:space="0" w:color="000000"/>
              <w:right w:val="nil"/>
            </w:tcBorders>
            <w:shd w:val="clear" w:color="auto" w:fill="DEEAF6"/>
          </w:tcPr>
          <w:p w14:paraId="2D1419E3" w14:textId="77777777" w:rsidR="00084F36" w:rsidRPr="00EB2BD8" w:rsidRDefault="00EB2BD8">
            <w:pPr>
              <w:pStyle w:val="TableParagraph"/>
              <w:spacing w:before="52"/>
              <w:ind w:right="93"/>
              <w:jc w:val="right"/>
              <w:rPr>
                <w:rFonts w:ascii="Arial"/>
                <w:b/>
                <w:sz w:val="16"/>
              </w:rPr>
            </w:pPr>
            <w:r w:rsidRPr="00EB2BD8">
              <w:rPr>
                <w:rFonts w:ascii="Arial"/>
                <w:b/>
                <w:spacing w:val="-2"/>
                <w:w w:val="105"/>
                <w:sz w:val="16"/>
              </w:rPr>
              <w:t>5,223</w:t>
            </w:r>
          </w:p>
        </w:tc>
        <w:tc>
          <w:tcPr>
            <w:tcW w:w="1440" w:type="dxa"/>
            <w:tcBorders>
              <w:top w:val="single" w:sz="12" w:space="0" w:color="000000"/>
              <w:left w:val="nil"/>
              <w:bottom w:val="single" w:sz="12" w:space="0" w:color="000000"/>
              <w:right w:val="nil"/>
            </w:tcBorders>
            <w:shd w:val="clear" w:color="auto" w:fill="FFFFFF"/>
          </w:tcPr>
          <w:p w14:paraId="7731DBC6" w14:textId="77777777" w:rsidR="00084F36" w:rsidRPr="00EB2BD8" w:rsidRDefault="00EB2BD8">
            <w:pPr>
              <w:pStyle w:val="TableParagraph"/>
              <w:spacing w:before="52"/>
              <w:ind w:right="95"/>
              <w:jc w:val="right"/>
              <w:rPr>
                <w:rFonts w:ascii="Arial"/>
                <w:b/>
                <w:sz w:val="16"/>
              </w:rPr>
            </w:pPr>
            <w:r w:rsidRPr="00EB2BD8">
              <w:rPr>
                <w:rFonts w:ascii="Arial"/>
                <w:b/>
                <w:spacing w:val="-2"/>
                <w:w w:val="105"/>
                <w:sz w:val="16"/>
              </w:rPr>
              <w:t>6,378</w:t>
            </w:r>
          </w:p>
        </w:tc>
      </w:tr>
    </w:tbl>
    <w:p w14:paraId="17814973" w14:textId="77777777" w:rsidR="00084F36" w:rsidRPr="00EB2BD8" w:rsidRDefault="00084F36">
      <w:pPr>
        <w:pStyle w:val="BodyText"/>
        <w:spacing w:before="10"/>
        <w:rPr>
          <w:rFonts w:ascii="Arial"/>
          <w:sz w:val="26"/>
        </w:rPr>
      </w:pPr>
    </w:p>
    <w:p w14:paraId="55EB8C74" w14:textId="77777777" w:rsidR="00084F36" w:rsidRPr="00EB2BD8" w:rsidRDefault="00EB2BD8">
      <w:pPr>
        <w:ind w:left="1065"/>
        <w:rPr>
          <w:rFonts w:ascii="Arial"/>
          <w:i/>
          <w:sz w:val="15"/>
        </w:rPr>
      </w:pPr>
      <w:r w:rsidRPr="00EB2BD8">
        <w:rPr>
          <w:rFonts w:ascii="Arial"/>
          <w:i/>
          <w:spacing w:val="-2"/>
          <w:sz w:val="15"/>
        </w:rPr>
        <w:t>Notes:</w:t>
      </w:r>
    </w:p>
    <w:p w14:paraId="48782983" w14:textId="77777777" w:rsidR="00084F36" w:rsidRPr="00EB2BD8" w:rsidRDefault="00084F36">
      <w:pPr>
        <w:pStyle w:val="BodyText"/>
        <w:spacing w:before="7"/>
        <w:rPr>
          <w:rFonts w:ascii="Arial"/>
          <w:i/>
          <w:sz w:val="14"/>
        </w:rPr>
      </w:pPr>
    </w:p>
    <w:p w14:paraId="44DD6B98" w14:textId="77777777" w:rsidR="00084F36" w:rsidRPr="00EB2BD8" w:rsidRDefault="00EB2BD8">
      <w:pPr>
        <w:ind w:left="1329" w:right="1761" w:hanging="265"/>
        <w:rPr>
          <w:rFonts w:ascii="Arial"/>
          <w:i/>
          <w:sz w:val="15"/>
        </w:rPr>
      </w:pPr>
      <w:r w:rsidRPr="00EB2BD8">
        <w:rPr>
          <w:rFonts w:ascii="Arial"/>
          <w:i/>
          <w:sz w:val="15"/>
        </w:rPr>
        <w:t>(a)</w:t>
      </w:r>
      <w:r w:rsidRPr="00EB2BD8">
        <w:rPr>
          <w:rFonts w:ascii="Arial"/>
          <w:i/>
          <w:spacing w:val="30"/>
          <w:sz w:val="15"/>
        </w:rPr>
        <w:t xml:space="preserve"> </w:t>
      </w:r>
      <w:r w:rsidRPr="00EB2BD8">
        <w:rPr>
          <w:rFonts w:ascii="Arial"/>
          <w:i/>
          <w:sz w:val="15"/>
        </w:rPr>
        <w:t>Secured</w:t>
      </w:r>
      <w:r w:rsidRPr="00EB2BD8">
        <w:rPr>
          <w:rFonts w:ascii="Arial"/>
          <w:i/>
          <w:spacing w:val="-8"/>
          <w:sz w:val="15"/>
        </w:rPr>
        <w:t xml:space="preserve"> </w:t>
      </w:r>
      <w:r w:rsidRPr="00EB2BD8">
        <w:rPr>
          <w:rFonts w:ascii="Arial"/>
          <w:i/>
          <w:sz w:val="15"/>
        </w:rPr>
        <w:t>by</w:t>
      </w:r>
      <w:r w:rsidRPr="00EB2BD8">
        <w:rPr>
          <w:rFonts w:ascii="Arial"/>
          <w:i/>
          <w:spacing w:val="-8"/>
          <w:sz w:val="15"/>
        </w:rPr>
        <w:t xml:space="preserve"> </w:t>
      </w:r>
      <w:r w:rsidRPr="00EB2BD8">
        <w:rPr>
          <w:rFonts w:ascii="Arial"/>
          <w:i/>
          <w:sz w:val="15"/>
        </w:rPr>
        <w:t>the</w:t>
      </w:r>
      <w:r w:rsidRPr="00EB2BD8">
        <w:rPr>
          <w:rFonts w:ascii="Arial"/>
          <w:i/>
          <w:spacing w:val="-9"/>
          <w:sz w:val="15"/>
        </w:rPr>
        <w:t xml:space="preserve"> </w:t>
      </w:r>
      <w:r w:rsidRPr="00EB2BD8">
        <w:rPr>
          <w:rFonts w:ascii="Arial"/>
          <w:i/>
          <w:sz w:val="15"/>
        </w:rPr>
        <w:t>assets</w:t>
      </w:r>
      <w:r w:rsidRPr="00EB2BD8">
        <w:rPr>
          <w:rFonts w:ascii="Arial"/>
          <w:i/>
          <w:spacing w:val="-9"/>
          <w:sz w:val="15"/>
        </w:rPr>
        <w:t xml:space="preserve"> </w:t>
      </w:r>
      <w:r w:rsidRPr="00EB2BD8">
        <w:rPr>
          <w:rFonts w:ascii="Arial"/>
          <w:i/>
          <w:sz w:val="15"/>
        </w:rPr>
        <w:t>leased.</w:t>
      </w:r>
      <w:r w:rsidRPr="00EB2BD8">
        <w:rPr>
          <w:rFonts w:ascii="Arial"/>
          <w:i/>
          <w:spacing w:val="-7"/>
          <w:sz w:val="15"/>
        </w:rPr>
        <w:t xml:space="preserve"> </w:t>
      </w:r>
      <w:r w:rsidRPr="00EB2BD8">
        <w:rPr>
          <w:rFonts w:ascii="Arial"/>
          <w:i/>
          <w:sz w:val="15"/>
        </w:rPr>
        <w:t>Lease</w:t>
      </w:r>
      <w:r w:rsidRPr="00EB2BD8">
        <w:rPr>
          <w:rFonts w:ascii="Arial"/>
          <w:i/>
          <w:spacing w:val="-9"/>
          <w:sz w:val="15"/>
        </w:rPr>
        <w:t xml:space="preserve"> </w:t>
      </w:r>
      <w:r w:rsidRPr="00EB2BD8">
        <w:rPr>
          <w:rFonts w:ascii="Arial"/>
          <w:i/>
          <w:sz w:val="15"/>
        </w:rPr>
        <w:t>liabilities</w:t>
      </w:r>
      <w:r w:rsidRPr="00EB2BD8">
        <w:rPr>
          <w:rFonts w:ascii="Arial"/>
          <w:i/>
          <w:spacing w:val="-10"/>
          <w:sz w:val="15"/>
        </w:rPr>
        <w:t xml:space="preserve"> </w:t>
      </w:r>
      <w:r w:rsidRPr="00EB2BD8">
        <w:rPr>
          <w:rFonts w:ascii="Arial"/>
          <w:i/>
          <w:sz w:val="15"/>
        </w:rPr>
        <w:t>are</w:t>
      </w:r>
      <w:r w:rsidRPr="00EB2BD8">
        <w:rPr>
          <w:rFonts w:ascii="Arial"/>
          <w:i/>
          <w:spacing w:val="-7"/>
          <w:sz w:val="15"/>
        </w:rPr>
        <w:t xml:space="preserve"> </w:t>
      </w:r>
      <w:r w:rsidRPr="00EB2BD8">
        <w:rPr>
          <w:rFonts w:ascii="Arial"/>
          <w:i/>
          <w:sz w:val="15"/>
        </w:rPr>
        <w:t>effectively</w:t>
      </w:r>
      <w:r w:rsidRPr="00EB2BD8">
        <w:rPr>
          <w:rFonts w:ascii="Arial"/>
          <w:i/>
          <w:spacing w:val="-8"/>
          <w:sz w:val="15"/>
        </w:rPr>
        <w:t xml:space="preserve"> </w:t>
      </w:r>
      <w:r w:rsidRPr="00EB2BD8">
        <w:rPr>
          <w:rFonts w:ascii="Arial"/>
          <w:i/>
          <w:sz w:val="15"/>
        </w:rPr>
        <w:t>secured</w:t>
      </w:r>
      <w:r w:rsidRPr="00EB2BD8">
        <w:rPr>
          <w:rFonts w:ascii="Arial"/>
          <w:i/>
          <w:spacing w:val="-8"/>
          <w:sz w:val="15"/>
        </w:rPr>
        <w:t xml:space="preserve"> </w:t>
      </w:r>
      <w:r w:rsidRPr="00EB2BD8">
        <w:rPr>
          <w:rFonts w:ascii="Arial"/>
          <w:i/>
          <w:sz w:val="15"/>
        </w:rPr>
        <w:t>as</w:t>
      </w:r>
      <w:r w:rsidRPr="00EB2BD8">
        <w:rPr>
          <w:rFonts w:ascii="Arial"/>
          <w:i/>
          <w:spacing w:val="-9"/>
          <w:sz w:val="15"/>
        </w:rPr>
        <w:t xml:space="preserve"> </w:t>
      </w:r>
      <w:r w:rsidRPr="00EB2BD8">
        <w:rPr>
          <w:rFonts w:ascii="Arial"/>
          <w:i/>
          <w:sz w:val="15"/>
        </w:rPr>
        <w:t>the</w:t>
      </w:r>
      <w:r w:rsidRPr="00EB2BD8">
        <w:rPr>
          <w:rFonts w:ascii="Arial"/>
          <w:i/>
          <w:spacing w:val="-8"/>
          <w:sz w:val="15"/>
        </w:rPr>
        <w:t xml:space="preserve"> </w:t>
      </w:r>
      <w:r w:rsidRPr="00EB2BD8">
        <w:rPr>
          <w:rFonts w:ascii="Arial"/>
          <w:i/>
          <w:sz w:val="15"/>
        </w:rPr>
        <w:t>rights</w:t>
      </w:r>
      <w:r w:rsidRPr="00EB2BD8">
        <w:rPr>
          <w:rFonts w:ascii="Arial"/>
          <w:i/>
          <w:spacing w:val="-10"/>
          <w:sz w:val="15"/>
        </w:rPr>
        <w:t xml:space="preserve"> </w:t>
      </w:r>
      <w:r w:rsidRPr="00EB2BD8">
        <w:rPr>
          <w:rFonts w:ascii="Arial"/>
          <w:i/>
          <w:sz w:val="15"/>
        </w:rPr>
        <w:t>to</w:t>
      </w:r>
      <w:r w:rsidRPr="00EB2BD8">
        <w:rPr>
          <w:rFonts w:ascii="Arial"/>
          <w:i/>
          <w:spacing w:val="-9"/>
          <w:sz w:val="15"/>
        </w:rPr>
        <w:t xml:space="preserve"> </w:t>
      </w:r>
      <w:r w:rsidRPr="00EB2BD8">
        <w:rPr>
          <w:rFonts w:ascii="Arial"/>
          <w:i/>
          <w:sz w:val="15"/>
        </w:rPr>
        <w:t>the</w:t>
      </w:r>
      <w:r w:rsidRPr="00EB2BD8">
        <w:rPr>
          <w:rFonts w:ascii="Arial"/>
          <w:i/>
          <w:spacing w:val="-8"/>
          <w:sz w:val="15"/>
        </w:rPr>
        <w:t xml:space="preserve"> </w:t>
      </w:r>
      <w:r w:rsidRPr="00EB2BD8">
        <w:rPr>
          <w:rFonts w:ascii="Arial"/>
          <w:i/>
          <w:sz w:val="15"/>
        </w:rPr>
        <w:t>leased</w:t>
      </w:r>
      <w:r w:rsidRPr="00EB2BD8">
        <w:rPr>
          <w:rFonts w:ascii="Arial"/>
          <w:i/>
          <w:spacing w:val="-8"/>
          <w:sz w:val="15"/>
        </w:rPr>
        <w:t xml:space="preserve"> </w:t>
      </w:r>
      <w:r w:rsidRPr="00EB2BD8">
        <w:rPr>
          <w:rFonts w:ascii="Arial"/>
          <w:i/>
          <w:sz w:val="15"/>
        </w:rPr>
        <w:t>assets</w:t>
      </w:r>
      <w:r w:rsidRPr="00EB2BD8">
        <w:rPr>
          <w:rFonts w:ascii="Arial"/>
          <w:i/>
          <w:spacing w:val="-10"/>
          <w:sz w:val="15"/>
        </w:rPr>
        <w:t xml:space="preserve"> </w:t>
      </w:r>
      <w:r w:rsidRPr="00EB2BD8">
        <w:rPr>
          <w:rFonts w:ascii="Arial"/>
          <w:i/>
          <w:sz w:val="15"/>
        </w:rPr>
        <w:t>revert</w:t>
      </w:r>
      <w:r w:rsidRPr="00EB2BD8">
        <w:rPr>
          <w:rFonts w:ascii="Arial"/>
          <w:i/>
          <w:spacing w:val="-8"/>
          <w:sz w:val="15"/>
        </w:rPr>
        <w:t xml:space="preserve"> </w:t>
      </w:r>
      <w:r w:rsidRPr="00EB2BD8">
        <w:rPr>
          <w:rFonts w:ascii="Arial"/>
          <w:i/>
          <w:sz w:val="15"/>
        </w:rPr>
        <w:t>to</w:t>
      </w:r>
      <w:r w:rsidRPr="00EB2BD8">
        <w:rPr>
          <w:rFonts w:ascii="Arial"/>
          <w:i/>
          <w:spacing w:val="-9"/>
          <w:sz w:val="15"/>
        </w:rPr>
        <w:t xml:space="preserve"> </w:t>
      </w:r>
      <w:r w:rsidRPr="00EB2BD8">
        <w:rPr>
          <w:rFonts w:ascii="Arial"/>
          <w:i/>
          <w:sz w:val="15"/>
        </w:rPr>
        <w:t>the</w:t>
      </w:r>
      <w:r w:rsidRPr="00EB2BD8">
        <w:rPr>
          <w:rFonts w:ascii="Arial"/>
          <w:i/>
          <w:spacing w:val="-7"/>
          <w:sz w:val="15"/>
        </w:rPr>
        <w:t xml:space="preserve"> </w:t>
      </w:r>
      <w:r w:rsidRPr="00EB2BD8">
        <w:rPr>
          <w:rFonts w:ascii="Arial"/>
          <w:i/>
          <w:sz w:val="15"/>
        </w:rPr>
        <w:t>lessor</w:t>
      </w:r>
      <w:r w:rsidRPr="00EB2BD8">
        <w:rPr>
          <w:rFonts w:ascii="Arial"/>
          <w:i/>
          <w:spacing w:val="-6"/>
          <w:sz w:val="15"/>
        </w:rPr>
        <w:t xml:space="preserve"> </w:t>
      </w:r>
      <w:r w:rsidRPr="00EB2BD8">
        <w:rPr>
          <w:rFonts w:ascii="Arial"/>
          <w:i/>
          <w:sz w:val="15"/>
        </w:rPr>
        <w:t>in</w:t>
      </w:r>
      <w:r w:rsidRPr="00EB2BD8">
        <w:rPr>
          <w:rFonts w:ascii="Arial"/>
          <w:i/>
          <w:spacing w:val="-6"/>
          <w:sz w:val="15"/>
        </w:rPr>
        <w:t xml:space="preserve"> </w:t>
      </w:r>
      <w:r w:rsidRPr="00EB2BD8">
        <w:rPr>
          <w:rFonts w:ascii="Arial"/>
          <w:i/>
          <w:sz w:val="15"/>
        </w:rPr>
        <w:t>the</w:t>
      </w:r>
      <w:r w:rsidRPr="00EB2BD8">
        <w:rPr>
          <w:rFonts w:ascii="Arial"/>
          <w:i/>
          <w:spacing w:val="-6"/>
          <w:sz w:val="15"/>
        </w:rPr>
        <w:t xml:space="preserve"> </w:t>
      </w:r>
      <w:r w:rsidRPr="00EB2BD8">
        <w:rPr>
          <w:rFonts w:ascii="Arial"/>
          <w:i/>
          <w:sz w:val="15"/>
        </w:rPr>
        <w:t>event of</w:t>
      </w:r>
      <w:r w:rsidRPr="00EB2BD8">
        <w:rPr>
          <w:rFonts w:ascii="Arial"/>
          <w:i/>
          <w:spacing w:val="-1"/>
          <w:sz w:val="15"/>
        </w:rPr>
        <w:t xml:space="preserve"> </w:t>
      </w:r>
      <w:r w:rsidRPr="00EB2BD8">
        <w:rPr>
          <w:rFonts w:ascii="Arial"/>
          <w:i/>
          <w:sz w:val="15"/>
        </w:rPr>
        <w:t>default.</w:t>
      </w:r>
    </w:p>
    <w:p w14:paraId="7D757A5C" w14:textId="77777777" w:rsidR="00084F36" w:rsidRPr="00EB2BD8" w:rsidRDefault="00084F36">
      <w:pPr>
        <w:pStyle w:val="BodyText"/>
        <w:rPr>
          <w:rFonts w:ascii="Arial"/>
          <w:i/>
          <w:sz w:val="16"/>
        </w:rPr>
      </w:pPr>
    </w:p>
    <w:p w14:paraId="1EE41AF4" w14:textId="77777777" w:rsidR="00084F36" w:rsidRPr="00EB2BD8" w:rsidRDefault="00EB2BD8">
      <w:pPr>
        <w:spacing w:before="115" w:line="288" w:lineRule="auto"/>
        <w:ind w:left="1065" w:right="1761"/>
        <w:rPr>
          <w:rFonts w:ascii="Arial" w:hAnsi="Arial"/>
          <w:sz w:val="16"/>
        </w:rPr>
      </w:pPr>
      <w:r w:rsidRPr="00EB2BD8">
        <w:rPr>
          <w:rFonts w:ascii="Arial" w:hAnsi="Arial"/>
          <w:w w:val="105"/>
          <w:sz w:val="16"/>
        </w:rPr>
        <w:t>All</w:t>
      </w:r>
      <w:r w:rsidRPr="00EB2BD8">
        <w:rPr>
          <w:rFonts w:ascii="Arial" w:hAnsi="Arial"/>
          <w:spacing w:val="-1"/>
          <w:w w:val="105"/>
          <w:sz w:val="16"/>
        </w:rPr>
        <w:t xml:space="preserve"> </w:t>
      </w:r>
      <w:r w:rsidRPr="00EB2BD8">
        <w:rPr>
          <w:rFonts w:ascii="Arial" w:hAnsi="Arial"/>
          <w:w w:val="105"/>
          <w:sz w:val="16"/>
        </w:rPr>
        <w:t>interest-bearing</w:t>
      </w:r>
      <w:r w:rsidRPr="00EB2BD8">
        <w:rPr>
          <w:rFonts w:ascii="Arial" w:hAnsi="Arial"/>
          <w:spacing w:val="-1"/>
          <w:w w:val="105"/>
          <w:sz w:val="16"/>
        </w:rPr>
        <w:t xml:space="preserve"> </w:t>
      </w:r>
      <w:r w:rsidRPr="00EB2BD8">
        <w:rPr>
          <w:rFonts w:ascii="Arial" w:hAnsi="Arial"/>
          <w:w w:val="105"/>
          <w:sz w:val="16"/>
        </w:rPr>
        <w:t>liabilities are</w:t>
      </w:r>
      <w:r w:rsidRPr="00EB2BD8">
        <w:rPr>
          <w:rFonts w:ascii="Arial" w:hAnsi="Arial"/>
          <w:spacing w:val="-1"/>
          <w:w w:val="105"/>
          <w:sz w:val="16"/>
        </w:rPr>
        <w:t xml:space="preserve"> </w:t>
      </w:r>
      <w:r w:rsidRPr="00EB2BD8">
        <w:rPr>
          <w:rFonts w:ascii="Arial" w:hAnsi="Arial"/>
          <w:w w:val="105"/>
          <w:sz w:val="16"/>
        </w:rPr>
        <w:t>initially recognised</w:t>
      </w:r>
      <w:r w:rsidRPr="00EB2BD8">
        <w:rPr>
          <w:rFonts w:ascii="Arial" w:hAnsi="Arial"/>
          <w:spacing w:val="-1"/>
          <w:w w:val="105"/>
          <w:sz w:val="16"/>
        </w:rPr>
        <w:t xml:space="preserve"> </w:t>
      </w:r>
      <w:r w:rsidRPr="00EB2BD8">
        <w:rPr>
          <w:rFonts w:ascii="Arial" w:hAnsi="Arial"/>
          <w:w w:val="105"/>
          <w:sz w:val="16"/>
        </w:rPr>
        <w:t>at the</w:t>
      </w:r>
      <w:r w:rsidRPr="00EB2BD8">
        <w:rPr>
          <w:rFonts w:ascii="Arial" w:hAnsi="Arial"/>
          <w:spacing w:val="-1"/>
          <w:w w:val="105"/>
          <w:sz w:val="16"/>
        </w:rPr>
        <w:t xml:space="preserve"> </w:t>
      </w:r>
      <w:r w:rsidRPr="00EB2BD8">
        <w:rPr>
          <w:rFonts w:ascii="Arial" w:hAnsi="Arial"/>
          <w:w w:val="105"/>
          <w:sz w:val="16"/>
        </w:rPr>
        <w:t>fair value</w:t>
      </w:r>
      <w:r w:rsidRPr="00EB2BD8">
        <w:rPr>
          <w:rFonts w:ascii="Arial" w:hAnsi="Arial"/>
          <w:spacing w:val="-1"/>
          <w:w w:val="105"/>
          <w:sz w:val="16"/>
        </w:rPr>
        <w:t xml:space="preserve"> </w:t>
      </w:r>
      <w:r w:rsidRPr="00EB2BD8">
        <w:rPr>
          <w:rFonts w:ascii="Arial" w:hAnsi="Arial"/>
          <w:w w:val="105"/>
          <w:sz w:val="16"/>
        </w:rPr>
        <w:t>of the consideration received, less directly attributable transaction costs. The measurement basis subsequent to initial recognition depends on whether the VBA has categorised its</w:t>
      </w:r>
      <w:r w:rsidRPr="00EB2BD8">
        <w:rPr>
          <w:rFonts w:ascii="Arial" w:hAnsi="Arial"/>
          <w:spacing w:val="-6"/>
          <w:w w:val="105"/>
          <w:sz w:val="16"/>
        </w:rPr>
        <w:t xml:space="preserve"> </w:t>
      </w:r>
      <w:r w:rsidRPr="00EB2BD8">
        <w:rPr>
          <w:rFonts w:ascii="Arial" w:hAnsi="Arial"/>
          <w:w w:val="105"/>
          <w:sz w:val="16"/>
        </w:rPr>
        <w:t>interest-bearing</w:t>
      </w:r>
      <w:r w:rsidRPr="00EB2BD8">
        <w:rPr>
          <w:rFonts w:ascii="Arial" w:hAnsi="Arial"/>
          <w:spacing w:val="-6"/>
          <w:w w:val="105"/>
          <w:sz w:val="16"/>
        </w:rPr>
        <w:t xml:space="preserve"> </w:t>
      </w:r>
      <w:r w:rsidRPr="00EB2BD8">
        <w:rPr>
          <w:rFonts w:ascii="Arial" w:hAnsi="Arial"/>
          <w:w w:val="105"/>
          <w:sz w:val="16"/>
        </w:rPr>
        <w:t>liabilities</w:t>
      </w:r>
      <w:r w:rsidRPr="00EB2BD8">
        <w:rPr>
          <w:rFonts w:ascii="Arial" w:hAnsi="Arial"/>
          <w:spacing w:val="-6"/>
          <w:w w:val="105"/>
          <w:sz w:val="16"/>
        </w:rPr>
        <w:t xml:space="preserve"> </w:t>
      </w:r>
      <w:r w:rsidRPr="00EB2BD8">
        <w:rPr>
          <w:rFonts w:ascii="Arial" w:hAnsi="Arial"/>
          <w:w w:val="105"/>
          <w:sz w:val="16"/>
        </w:rPr>
        <w:t>as</w:t>
      </w:r>
      <w:r w:rsidRPr="00EB2BD8">
        <w:rPr>
          <w:rFonts w:ascii="Arial" w:hAnsi="Arial"/>
          <w:spacing w:val="-6"/>
          <w:w w:val="105"/>
          <w:sz w:val="16"/>
        </w:rPr>
        <w:t xml:space="preserve"> </w:t>
      </w:r>
      <w:r w:rsidRPr="00EB2BD8">
        <w:rPr>
          <w:rFonts w:ascii="Arial" w:hAnsi="Arial"/>
          <w:w w:val="105"/>
          <w:sz w:val="16"/>
        </w:rPr>
        <w:t>financial</w:t>
      </w:r>
      <w:r w:rsidRPr="00EB2BD8">
        <w:rPr>
          <w:rFonts w:ascii="Arial" w:hAnsi="Arial"/>
          <w:spacing w:val="-6"/>
          <w:w w:val="105"/>
          <w:sz w:val="16"/>
        </w:rPr>
        <w:t xml:space="preserve"> </w:t>
      </w:r>
      <w:r w:rsidRPr="00EB2BD8">
        <w:rPr>
          <w:rFonts w:ascii="Arial" w:hAnsi="Arial"/>
          <w:w w:val="105"/>
          <w:sz w:val="16"/>
        </w:rPr>
        <w:t>liabilities</w:t>
      </w:r>
      <w:r w:rsidRPr="00EB2BD8">
        <w:rPr>
          <w:rFonts w:ascii="Arial" w:hAnsi="Arial"/>
          <w:spacing w:val="-6"/>
          <w:w w:val="105"/>
          <w:sz w:val="16"/>
        </w:rPr>
        <w:t xml:space="preserve"> </w:t>
      </w:r>
      <w:r w:rsidRPr="00EB2BD8">
        <w:rPr>
          <w:rFonts w:ascii="Arial" w:hAnsi="Arial"/>
          <w:w w:val="105"/>
          <w:sz w:val="16"/>
        </w:rPr>
        <w:t>at</w:t>
      </w:r>
      <w:r w:rsidRPr="00EB2BD8">
        <w:rPr>
          <w:rFonts w:ascii="Arial" w:hAnsi="Arial"/>
          <w:spacing w:val="-6"/>
          <w:w w:val="105"/>
          <w:sz w:val="16"/>
        </w:rPr>
        <w:t xml:space="preserve"> </w:t>
      </w:r>
      <w:r w:rsidRPr="00EB2BD8">
        <w:rPr>
          <w:rFonts w:ascii="Arial" w:hAnsi="Arial"/>
          <w:w w:val="105"/>
          <w:sz w:val="16"/>
        </w:rPr>
        <w:t>‘amortised</w:t>
      </w:r>
      <w:r w:rsidRPr="00EB2BD8">
        <w:rPr>
          <w:rFonts w:ascii="Arial" w:hAnsi="Arial"/>
          <w:spacing w:val="-6"/>
          <w:w w:val="105"/>
          <w:sz w:val="16"/>
        </w:rPr>
        <w:t xml:space="preserve"> </w:t>
      </w:r>
      <w:r w:rsidRPr="00EB2BD8">
        <w:rPr>
          <w:rFonts w:ascii="Arial" w:hAnsi="Arial"/>
          <w:w w:val="105"/>
          <w:sz w:val="16"/>
        </w:rPr>
        <w:t>cost’.</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6"/>
          <w:w w:val="105"/>
          <w:sz w:val="16"/>
        </w:rPr>
        <w:t xml:space="preserve"> </w:t>
      </w:r>
      <w:r w:rsidRPr="00EB2BD8">
        <w:rPr>
          <w:rFonts w:ascii="Arial" w:hAnsi="Arial"/>
          <w:w w:val="105"/>
          <w:sz w:val="16"/>
        </w:rPr>
        <w:t>classification</w:t>
      </w:r>
      <w:r w:rsidRPr="00EB2BD8">
        <w:rPr>
          <w:rFonts w:ascii="Arial" w:hAnsi="Arial"/>
          <w:spacing w:val="-6"/>
          <w:w w:val="105"/>
          <w:sz w:val="16"/>
        </w:rPr>
        <w:t xml:space="preserve"> </w:t>
      </w:r>
      <w:r w:rsidRPr="00EB2BD8">
        <w:rPr>
          <w:rFonts w:ascii="Arial" w:hAnsi="Arial"/>
          <w:w w:val="105"/>
          <w:sz w:val="16"/>
        </w:rPr>
        <w:t>depends</w:t>
      </w:r>
      <w:r w:rsidRPr="00EB2BD8">
        <w:rPr>
          <w:rFonts w:ascii="Arial" w:hAnsi="Arial"/>
          <w:spacing w:val="-6"/>
          <w:w w:val="105"/>
          <w:sz w:val="16"/>
        </w:rPr>
        <w:t xml:space="preserve"> </w:t>
      </w:r>
      <w:r w:rsidRPr="00EB2BD8">
        <w:rPr>
          <w:rFonts w:ascii="Arial" w:hAnsi="Arial"/>
          <w:w w:val="105"/>
          <w:sz w:val="16"/>
        </w:rPr>
        <w:t>on</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6"/>
          <w:w w:val="105"/>
          <w:sz w:val="16"/>
        </w:rPr>
        <w:t xml:space="preserve"> </w:t>
      </w:r>
      <w:r w:rsidRPr="00EB2BD8">
        <w:rPr>
          <w:rFonts w:ascii="Arial" w:hAnsi="Arial"/>
          <w:w w:val="105"/>
          <w:sz w:val="16"/>
        </w:rPr>
        <w:t>nature</w:t>
      </w:r>
      <w:r w:rsidRPr="00EB2BD8">
        <w:rPr>
          <w:rFonts w:ascii="Arial" w:hAnsi="Arial"/>
          <w:spacing w:val="-6"/>
          <w:w w:val="105"/>
          <w:sz w:val="16"/>
        </w:rPr>
        <w:t xml:space="preserve"> </w:t>
      </w:r>
      <w:r w:rsidRPr="00EB2BD8">
        <w:rPr>
          <w:rFonts w:ascii="Arial" w:hAnsi="Arial"/>
          <w:w w:val="105"/>
          <w:sz w:val="16"/>
        </w:rPr>
        <w:t>and</w:t>
      </w:r>
      <w:r w:rsidRPr="00EB2BD8">
        <w:rPr>
          <w:rFonts w:ascii="Arial" w:hAnsi="Arial"/>
          <w:spacing w:val="-6"/>
          <w:w w:val="105"/>
          <w:sz w:val="16"/>
        </w:rPr>
        <w:t xml:space="preserve"> </w:t>
      </w:r>
      <w:r w:rsidRPr="00EB2BD8">
        <w:rPr>
          <w:rFonts w:ascii="Arial" w:hAnsi="Arial"/>
          <w:w w:val="105"/>
          <w:sz w:val="16"/>
        </w:rPr>
        <w:t>purpose of</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interest-bearing</w:t>
      </w:r>
      <w:r w:rsidRPr="00EB2BD8">
        <w:rPr>
          <w:rFonts w:ascii="Arial" w:hAnsi="Arial"/>
          <w:spacing w:val="-3"/>
          <w:w w:val="105"/>
          <w:sz w:val="16"/>
        </w:rPr>
        <w:t xml:space="preserve"> </w:t>
      </w:r>
      <w:r w:rsidRPr="00EB2BD8">
        <w:rPr>
          <w:rFonts w:ascii="Arial" w:hAnsi="Arial"/>
          <w:w w:val="105"/>
          <w:sz w:val="16"/>
        </w:rPr>
        <w:t>liabilities.</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VBA</w:t>
      </w:r>
      <w:r w:rsidRPr="00EB2BD8">
        <w:rPr>
          <w:rFonts w:ascii="Arial" w:hAnsi="Arial"/>
          <w:spacing w:val="-2"/>
          <w:w w:val="105"/>
          <w:sz w:val="16"/>
        </w:rPr>
        <w:t xml:space="preserve"> </w:t>
      </w:r>
      <w:r w:rsidRPr="00EB2BD8">
        <w:rPr>
          <w:rFonts w:ascii="Arial" w:hAnsi="Arial"/>
          <w:w w:val="105"/>
          <w:sz w:val="16"/>
        </w:rPr>
        <w:t>determines</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classification</w:t>
      </w:r>
      <w:r w:rsidRPr="00EB2BD8">
        <w:rPr>
          <w:rFonts w:ascii="Arial" w:hAnsi="Arial"/>
          <w:spacing w:val="-3"/>
          <w:w w:val="105"/>
          <w:sz w:val="16"/>
        </w:rPr>
        <w:t xml:space="preserve"> </w:t>
      </w:r>
      <w:r w:rsidRPr="00EB2BD8">
        <w:rPr>
          <w:rFonts w:ascii="Arial" w:hAnsi="Arial"/>
          <w:w w:val="105"/>
          <w:sz w:val="16"/>
        </w:rPr>
        <w:t>of</w:t>
      </w:r>
      <w:r w:rsidRPr="00EB2BD8">
        <w:rPr>
          <w:rFonts w:ascii="Arial" w:hAnsi="Arial"/>
          <w:spacing w:val="-1"/>
          <w:w w:val="105"/>
          <w:sz w:val="16"/>
        </w:rPr>
        <w:t xml:space="preserve"> </w:t>
      </w:r>
      <w:r w:rsidRPr="00EB2BD8">
        <w:rPr>
          <w:rFonts w:ascii="Arial" w:hAnsi="Arial"/>
          <w:w w:val="105"/>
          <w:sz w:val="16"/>
        </w:rPr>
        <w:t>its</w:t>
      </w:r>
      <w:r w:rsidRPr="00EB2BD8">
        <w:rPr>
          <w:rFonts w:ascii="Arial" w:hAnsi="Arial"/>
          <w:spacing w:val="-2"/>
          <w:w w:val="105"/>
          <w:sz w:val="16"/>
        </w:rPr>
        <w:t xml:space="preserve"> </w:t>
      </w:r>
      <w:r w:rsidRPr="00EB2BD8">
        <w:rPr>
          <w:rFonts w:ascii="Arial" w:hAnsi="Arial"/>
          <w:w w:val="105"/>
          <w:sz w:val="16"/>
        </w:rPr>
        <w:t>interest-bearing</w:t>
      </w:r>
      <w:r w:rsidRPr="00EB2BD8">
        <w:rPr>
          <w:rFonts w:ascii="Arial" w:hAnsi="Arial"/>
          <w:spacing w:val="-3"/>
          <w:w w:val="105"/>
          <w:sz w:val="16"/>
        </w:rPr>
        <w:t xml:space="preserve"> </w:t>
      </w:r>
      <w:r w:rsidRPr="00EB2BD8">
        <w:rPr>
          <w:rFonts w:ascii="Arial" w:hAnsi="Arial"/>
          <w:w w:val="105"/>
          <w:sz w:val="16"/>
        </w:rPr>
        <w:t>liabilities</w:t>
      </w:r>
      <w:r w:rsidRPr="00EB2BD8">
        <w:rPr>
          <w:rFonts w:ascii="Arial" w:hAnsi="Arial"/>
          <w:spacing w:val="-1"/>
          <w:w w:val="105"/>
          <w:sz w:val="16"/>
        </w:rPr>
        <w:t xml:space="preserve"> </w:t>
      </w:r>
      <w:r w:rsidRPr="00EB2BD8">
        <w:rPr>
          <w:rFonts w:ascii="Arial" w:hAnsi="Arial"/>
          <w:w w:val="105"/>
          <w:sz w:val="16"/>
        </w:rPr>
        <w:t>at</w:t>
      </w:r>
      <w:r w:rsidRPr="00EB2BD8">
        <w:rPr>
          <w:rFonts w:ascii="Arial" w:hAnsi="Arial"/>
          <w:spacing w:val="-2"/>
          <w:w w:val="105"/>
          <w:sz w:val="16"/>
        </w:rPr>
        <w:t xml:space="preserve"> </w:t>
      </w:r>
      <w:r w:rsidRPr="00EB2BD8">
        <w:rPr>
          <w:rFonts w:ascii="Arial" w:hAnsi="Arial"/>
          <w:w w:val="105"/>
          <w:sz w:val="16"/>
        </w:rPr>
        <w:t>initial</w:t>
      </w:r>
      <w:r w:rsidRPr="00EB2BD8">
        <w:rPr>
          <w:rFonts w:ascii="Arial" w:hAnsi="Arial"/>
          <w:spacing w:val="-3"/>
          <w:w w:val="105"/>
          <w:sz w:val="16"/>
        </w:rPr>
        <w:t xml:space="preserve"> </w:t>
      </w:r>
      <w:r w:rsidRPr="00EB2BD8">
        <w:rPr>
          <w:rFonts w:ascii="Arial" w:hAnsi="Arial"/>
          <w:w w:val="105"/>
          <w:sz w:val="16"/>
        </w:rPr>
        <w:t>recognition.</w:t>
      </w:r>
    </w:p>
    <w:p w14:paraId="2FEABC1D" w14:textId="77777777" w:rsidR="00084F36" w:rsidRPr="00EB2BD8" w:rsidRDefault="00084F36">
      <w:pPr>
        <w:pStyle w:val="BodyText"/>
        <w:rPr>
          <w:rFonts w:ascii="Arial"/>
          <w:sz w:val="20"/>
        </w:rPr>
      </w:pPr>
    </w:p>
    <w:p w14:paraId="5B3F6439" w14:textId="77777777" w:rsidR="00084F36" w:rsidRPr="00EB2BD8" w:rsidRDefault="00084F36">
      <w:pPr>
        <w:pStyle w:val="BodyText"/>
        <w:rPr>
          <w:rFonts w:ascii="Arial"/>
          <w:sz w:val="20"/>
        </w:rPr>
      </w:pPr>
    </w:p>
    <w:p w14:paraId="29F4C7AF" w14:textId="77777777" w:rsidR="00084F36" w:rsidRPr="00EB2BD8" w:rsidRDefault="00084F36">
      <w:pPr>
        <w:pStyle w:val="BodyText"/>
        <w:rPr>
          <w:rFonts w:ascii="Arial"/>
          <w:sz w:val="20"/>
        </w:rPr>
      </w:pPr>
    </w:p>
    <w:p w14:paraId="2E9D4A69" w14:textId="77777777" w:rsidR="00084F36" w:rsidRPr="00EB2BD8" w:rsidRDefault="00084F36">
      <w:pPr>
        <w:pStyle w:val="BodyText"/>
        <w:rPr>
          <w:rFonts w:ascii="Arial"/>
          <w:sz w:val="20"/>
        </w:rPr>
      </w:pPr>
    </w:p>
    <w:p w14:paraId="633C5CB5" w14:textId="77777777" w:rsidR="00084F36" w:rsidRPr="00EB2BD8" w:rsidRDefault="00084F36">
      <w:pPr>
        <w:pStyle w:val="BodyText"/>
        <w:rPr>
          <w:rFonts w:ascii="Arial"/>
          <w:sz w:val="20"/>
        </w:rPr>
      </w:pPr>
    </w:p>
    <w:p w14:paraId="1DBD7F4C" w14:textId="77777777" w:rsidR="00084F36" w:rsidRPr="00EB2BD8" w:rsidRDefault="00084F36">
      <w:pPr>
        <w:pStyle w:val="BodyText"/>
        <w:rPr>
          <w:rFonts w:ascii="Arial"/>
          <w:sz w:val="20"/>
        </w:rPr>
      </w:pPr>
    </w:p>
    <w:p w14:paraId="09C93D89" w14:textId="77777777" w:rsidR="00084F36" w:rsidRPr="00EB2BD8" w:rsidRDefault="00084F36">
      <w:pPr>
        <w:pStyle w:val="BodyText"/>
        <w:rPr>
          <w:rFonts w:ascii="Arial"/>
          <w:sz w:val="20"/>
        </w:rPr>
      </w:pPr>
    </w:p>
    <w:p w14:paraId="084A69B8" w14:textId="77777777" w:rsidR="00084F36" w:rsidRPr="00EB2BD8" w:rsidRDefault="00084F36">
      <w:pPr>
        <w:pStyle w:val="BodyText"/>
        <w:rPr>
          <w:rFonts w:ascii="Arial"/>
          <w:sz w:val="20"/>
        </w:rPr>
      </w:pPr>
    </w:p>
    <w:p w14:paraId="29C66D1F" w14:textId="77777777" w:rsidR="00084F36" w:rsidRPr="00EB2BD8" w:rsidRDefault="00084F36">
      <w:pPr>
        <w:pStyle w:val="BodyText"/>
        <w:rPr>
          <w:rFonts w:ascii="Arial"/>
          <w:sz w:val="20"/>
        </w:rPr>
      </w:pPr>
    </w:p>
    <w:p w14:paraId="3C54F75C" w14:textId="77777777" w:rsidR="00084F36" w:rsidRPr="00EB2BD8" w:rsidRDefault="00084F36">
      <w:pPr>
        <w:pStyle w:val="BodyText"/>
        <w:rPr>
          <w:rFonts w:ascii="Arial"/>
          <w:sz w:val="20"/>
        </w:rPr>
      </w:pPr>
    </w:p>
    <w:p w14:paraId="22A247A2" w14:textId="77777777" w:rsidR="00084F36" w:rsidRPr="00EB2BD8" w:rsidRDefault="00084F36">
      <w:pPr>
        <w:pStyle w:val="BodyText"/>
        <w:rPr>
          <w:rFonts w:ascii="Arial"/>
          <w:sz w:val="20"/>
        </w:rPr>
      </w:pPr>
    </w:p>
    <w:p w14:paraId="46A2E911" w14:textId="77777777" w:rsidR="00084F36" w:rsidRPr="00EB2BD8" w:rsidRDefault="00084F36">
      <w:pPr>
        <w:pStyle w:val="BodyText"/>
        <w:rPr>
          <w:rFonts w:ascii="Arial"/>
          <w:sz w:val="20"/>
        </w:rPr>
      </w:pPr>
    </w:p>
    <w:p w14:paraId="72D41B7F" w14:textId="77777777" w:rsidR="00084F36" w:rsidRPr="00EB2BD8" w:rsidRDefault="00084F36">
      <w:pPr>
        <w:pStyle w:val="BodyText"/>
        <w:rPr>
          <w:rFonts w:ascii="Arial"/>
          <w:sz w:val="20"/>
        </w:rPr>
      </w:pPr>
    </w:p>
    <w:p w14:paraId="4E2FCDAC" w14:textId="77777777" w:rsidR="00084F36" w:rsidRPr="00EB2BD8" w:rsidRDefault="00084F36">
      <w:pPr>
        <w:pStyle w:val="BodyText"/>
        <w:rPr>
          <w:rFonts w:ascii="Arial"/>
          <w:sz w:val="20"/>
        </w:rPr>
      </w:pPr>
    </w:p>
    <w:p w14:paraId="1AF2271D" w14:textId="77777777" w:rsidR="00084F36" w:rsidRPr="00EB2BD8" w:rsidRDefault="00084F36">
      <w:pPr>
        <w:pStyle w:val="BodyText"/>
        <w:rPr>
          <w:rFonts w:ascii="Arial"/>
          <w:sz w:val="20"/>
        </w:rPr>
      </w:pPr>
    </w:p>
    <w:p w14:paraId="56D33F07" w14:textId="77777777" w:rsidR="00084F36" w:rsidRPr="00EB2BD8" w:rsidRDefault="00084F36">
      <w:pPr>
        <w:pStyle w:val="BodyText"/>
        <w:rPr>
          <w:rFonts w:ascii="Arial"/>
          <w:sz w:val="20"/>
        </w:rPr>
      </w:pPr>
    </w:p>
    <w:p w14:paraId="0125D1EE" w14:textId="77777777" w:rsidR="00084F36" w:rsidRPr="00EB2BD8" w:rsidRDefault="00084F36">
      <w:pPr>
        <w:pStyle w:val="BodyText"/>
        <w:rPr>
          <w:rFonts w:ascii="Arial"/>
          <w:sz w:val="20"/>
        </w:rPr>
      </w:pPr>
    </w:p>
    <w:p w14:paraId="67A62C5B" w14:textId="1101FDC1" w:rsidR="00084F36" w:rsidRPr="00EB2BD8" w:rsidRDefault="00EB2BD8" w:rsidP="00772B16">
      <w:pPr>
        <w:tabs>
          <w:tab w:val="left" w:pos="1906"/>
        </w:tabs>
        <w:spacing w:before="91"/>
        <w:rPr>
          <w:b/>
          <w:sz w:val="16"/>
        </w:rPr>
      </w:pPr>
      <w:r w:rsidRPr="00EB2BD8">
        <w:rPr>
          <w:sz w:val="16"/>
        </w:rPr>
        <w:tab/>
      </w:r>
    </w:p>
    <w:p w14:paraId="6D007D21" w14:textId="77777777" w:rsidR="00084F36" w:rsidRPr="00EB2BD8" w:rsidRDefault="00084F36">
      <w:pPr>
        <w:rPr>
          <w:sz w:val="16"/>
        </w:rPr>
        <w:sectPr w:rsidR="00084F36" w:rsidRPr="00EB2BD8" w:rsidSect="006D75B2">
          <w:headerReference w:type="even" r:id="rId319"/>
          <w:footerReference w:type="even" r:id="rId320"/>
          <w:footerReference w:type="default" r:id="rId321"/>
          <w:pgSz w:w="11910" w:h="16840"/>
          <w:pgMar w:top="780" w:right="0" w:bottom="280" w:left="0" w:header="0" w:footer="0" w:gutter="0"/>
          <w:cols w:space="720"/>
        </w:sectPr>
      </w:pPr>
    </w:p>
    <w:p w14:paraId="4C983659" w14:textId="77777777" w:rsidR="00084F36" w:rsidRPr="00EB2BD8" w:rsidRDefault="00084F36">
      <w:pPr>
        <w:pStyle w:val="BodyText"/>
        <w:rPr>
          <w:sz w:val="20"/>
        </w:rPr>
      </w:pPr>
    </w:p>
    <w:p w14:paraId="0669C69B" w14:textId="77777777" w:rsidR="00084F36" w:rsidRPr="00EB2BD8" w:rsidRDefault="00084F36">
      <w:pPr>
        <w:pStyle w:val="BodyText"/>
        <w:rPr>
          <w:sz w:val="20"/>
        </w:rPr>
      </w:pPr>
    </w:p>
    <w:p w14:paraId="22F4ECB8" w14:textId="77777777" w:rsidR="00084F36" w:rsidRPr="00EB2BD8" w:rsidRDefault="00084F36">
      <w:pPr>
        <w:pStyle w:val="BodyText"/>
        <w:rPr>
          <w:sz w:val="20"/>
        </w:rPr>
      </w:pPr>
    </w:p>
    <w:p w14:paraId="292A2277" w14:textId="77777777" w:rsidR="00084F36" w:rsidRPr="00EB2BD8" w:rsidRDefault="00084F36">
      <w:pPr>
        <w:pStyle w:val="BodyText"/>
        <w:rPr>
          <w:sz w:val="20"/>
        </w:rPr>
      </w:pPr>
    </w:p>
    <w:p w14:paraId="5078FDFB" w14:textId="77777777" w:rsidR="00084F36" w:rsidRPr="00EB2BD8" w:rsidRDefault="00084F36">
      <w:pPr>
        <w:pStyle w:val="BodyText"/>
        <w:rPr>
          <w:sz w:val="20"/>
        </w:rPr>
      </w:pPr>
    </w:p>
    <w:p w14:paraId="4CB45C5A" w14:textId="77777777" w:rsidR="00084F36" w:rsidRPr="00EB2BD8" w:rsidRDefault="00084F36">
      <w:pPr>
        <w:pStyle w:val="BodyText"/>
        <w:spacing w:before="2"/>
        <w:rPr>
          <w:sz w:val="24"/>
        </w:rPr>
      </w:pPr>
    </w:p>
    <w:p w14:paraId="3E47BE30" w14:textId="5715B769" w:rsidR="00084F36" w:rsidRPr="00EB2BD8" w:rsidRDefault="00772B16" w:rsidP="00772B16">
      <w:pPr>
        <w:pStyle w:val="Heading2"/>
      </w:pPr>
      <w:bookmarkStart w:id="312" w:name="_Toc150762614"/>
      <w:r>
        <w:t xml:space="preserve">6.1.1 </w:t>
      </w:r>
      <w:r w:rsidR="00EB2BD8" w:rsidRPr="00EB2BD8">
        <w:t>Maturity</w:t>
      </w:r>
      <w:r w:rsidR="00EB2BD8" w:rsidRPr="00EB2BD8">
        <w:rPr>
          <w:spacing w:val="16"/>
        </w:rPr>
        <w:t xml:space="preserve"> </w:t>
      </w:r>
      <w:r w:rsidR="00EB2BD8" w:rsidRPr="00EB2BD8">
        <w:t>analysis</w:t>
      </w:r>
      <w:r w:rsidR="00EB2BD8" w:rsidRPr="00EB2BD8">
        <w:rPr>
          <w:spacing w:val="17"/>
        </w:rPr>
        <w:t xml:space="preserve"> </w:t>
      </w:r>
      <w:r w:rsidR="00EB2BD8" w:rsidRPr="00EB2BD8">
        <w:t>of</w:t>
      </w:r>
      <w:r w:rsidR="00EB2BD8" w:rsidRPr="00EB2BD8">
        <w:rPr>
          <w:spacing w:val="16"/>
        </w:rPr>
        <w:t xml:space="preserve"> </w:t>
      </w:r>
      <w:r w:rsidR="00EB2BD8" w:rsidRPr="00EB2BD8">
        <w:t>interest-bearing</w:t>
      </w:r>
      <w:r w:rsidR="00EB2BD8" w:rsidRPr="00EB2BD8">
        <w:rPr>
          <w:spacing w:val="17"/>
        </w:rPr>
        <w:t xml:space="preserve"> </w:t>
      </w:r>
      <w:r w:rsidR="00EB2BD8" w:rsidRPr="00EB2BD8">
        <w:rPr>
          <w:spacing w:val="-2"/>
        </w:rPr>
        <w:t>liabilities</w:t>
      </w:r>
      <w:bookmarkEnd w:id="312"/>
    </w:p>
    <w:p w14:paraId="61581AF1" w14:textId="77777777" w:rsidR="00084F36" w:rsidRPr="00EB2BD8" w:rsidRDefault="00084F36">
      <w:pPr>
        <w:pStyle w:val="BodyText"/>
        <w:spacing w:before="3"/>
        <w:rPr>
          <w:rFonts w:ascii="Arial"/>
          <w:b/>
          <w:sz w:val="9"/>
        </w:rPr>
      </w:pPr>
    </w:p>
    <w:p w14:paraId="0C0E71C9" w14:textId="77777777" w:rsidR="00084F36" w:rsidRPr="00EB2BD8" w:rsidRDefault="00EB2BD8">
      <w:pPr>
        <w:spacing w:before="102" w:after="46"/>
        <w:ind w:right="1734"/>
        <w:jc w:val="right"/>
        <w:rPr>
          <w:rFonts w:ascii="Arial" w:hAnsi="Arial"/>
          <w:sz w:val="16"/>
        </w:rPr>
      </w:pPr>
      <w:r w:rsidRPr="00EB2BD8">
        <w:rPr>
          <w:rFonts w:ascii="Arial" w:hAnsi="Arial"/>
          <w:spacing w:val="-2"/>
          <w:w w:val="105"/>
          <w:sz w:val="16"/>
        </w:rPr>
        <w:t>($’000)</w:t>
      </w:r>
    </w:p>
    <w:tbl>
      <w:tblPr>
        <w:tblW w:w="0" w:type="auto"/>
        <w:tblInd w:w="1021" w:type="dxa"/>
        <w:tblBorders>
          <w:top w:val="single" w:sz="4" w:space="0" w:color="0098FF"/>
          <w:left w:val="single" w:sz="4" w:space="0" w:color="0098FF"/>
          <w:bottom w:val="single" w:sz="4" w:space="0" w:color="0098FF"/>
          <w:right w:val="single" w:sz="4" w:space="0" w:color="0098FF"/>
          <w:insideH w:val="single" w:sz="4" w:space="0" w:color="0098FF"/>
          <w:insideV w:val="single" w:sz="4" w:space="0" w:color="0098FF"/>
        </w:tblBorders>
        <w:tblLayout w:type="fixed"/>
        <w:tblCellMar>
          <w:left w:w="0" w:type="dxa"/>
          <w:right w:w="0" w:type="dxa"/>
        </w:tblCellMar>
        <w:tblLook w:val="01E0" w:firstRow="1" w:lastRow="1" w:firstColumn="1" w:lastColumn="1" w:noHBand="0" w:noVBand="0"/>
      </w:tblPr>
      <w:tblGrid>
        <w:gridCol w:w="2801"/>
        <w:gridCol w:w="1060"/>
        <w:gridCol w:w="1060"/>
        <w:gridCol w:w="1059"/>
        <w:gridCol w:w="1060"/>
        <w:gridCol w:w="1033"/>
        <w:gridCol w:w="1183"/>
      </w:tblGrid>
      <w:tr w:rsidR="00EB2BD8" w:rsidRPr="00EB2BD8" w14:paraId="2F66A5E4" w14:textId="77777777">
        <w:trPr>
          <w:trHeight w:val="1013"/>
        </w:trPr>
        <w:tc>
          <w:tcPr>
            <w:tcW w:w="2801" w:type="dxa"/>
            <w:tcBorders>
              <w:right w:val="nil"/>
            </w:tcBorders>
            <w:shd w:val="clear" w:color="auto" w:fill="0070C0"/>
          </w:tcPr>
          <w:p w14:paraId="212FE485" w14:textId="77777777" w:rsidR="00084F36" w:rsidRPr="00EB2BD8" w:rsidRDefault="00084F36">
            <w:pPr>
              <w:pStyle w:val="TableParagraph"/>
              <w:rPr>
                <w:rFonts w:ascii="Arial"/>
                <w:sz w:val="18"/>
              </w:rPr>
            </w:pPr>
          </w:p>
          <w:p w14:paraId="455E7425" w14:textId="77777777" w:rsidR="00084F36" w:rsidRPr="00EB2BD8" w:rsidRDefault="00084F36">
            <w:pPr>
              <w:pStyle w:val="TableParagraph"/>
              <w:spacing w:before="2"/>
              <w:rPr>
                <w:rFonts w:ascii="Arial"/>
                <w:sz w:val="16"/>
              </w:rPr>
            </w:pPr>
          </w:p>
          <w:p w14:paraId="539A8143" w14:textId="77777777" w:rsidR="00084F36" w:rsidRPr="00EB2BD8" w:rsidRDefault="00EB2BD8">
            <w:pPr>
              <w:pStyle w:val="TableParagraph"/>
              <w:ind w:left="100"/>
              <w:rPr>
                <w:rFonts w:ascii="Arial"/>
                <w:b/>
                <w:sz w:val="16"/>
              </w:rPr>
            </w:pPr>
            <w:r w:rsidRPr="00EB2BD8">
              <w:rPr>
                <w:rFonts w:ascii="Arial"/>
                <w:b/>
                <w:spacing w:val="-4"/>
                <w:w w:val="105"/>
                <w:sz w:val="16"/>
              </w:rPr>
              <w:t>2023</w:t>
            </w:r>
          </w:p>
        </w:tc>
        <w:tc>
          <w:tcPr>
            <w:tcW w:w="1060" w:type="dxa"/>
            <w:tcBorders>
              <w:left w:val="nil"/>
              <w:right w:val="nil"/>
            </w:tcBorders>
            <w:shd w:val="clear" w:color="auto" w:fill="0070C0"/>
          </w:tcPr>
          <w:p w14:paraId="695DCEAA" w14:textId="77777777" w:rsidR="00084F36" w:rsidRPr="00EB2BD8" w:rsidRDefault="00084F36">
            <w:pPr>
              <w:pStyle w:val="TableParagraph"/>
              <w:rPr>
                <w:rFonts w:ascii="Arial"/>
                <w:sz w:val="18"/>
              </w:rPr>
            </w:pPr>
          </w:p>
          <w:p w14:paraId="4ECE3C1B" w14:textId="77777777" w:rsidR="00084F36" w:rsidRPr="00EB2BD8" w:rsidRDefault="00084F36">
            <w:pPr>
              <w:pStyle w:val="TableParagraph"/>
              <w:spacing w:before="7"/>
              <w:rPr>
                <w:rFonts w:ascii="Arial"/>
                <w:sz w:val="26"/>
              </w:rPr>
            </w:pPr>
          </w:p>
          <w:p w14:paraId="58E4A44F" w14:textId="77777777" w:rsidR="00084F36" w:rsidRPr="00EB2BD8" w:rsidRDefault="00EB2BD8">
            <w:pPr>
              <w:pStyle w:val="TableParagraph"/>
              <w:spacing w:line="252" w:lineRule="auto"/>
              <w:ind w:left="357" w:right="88" w:hanging="84"/>
              <w:rPr>
                <w:rFonts w:ascii="Arial"/>
                <w:b/>
                <w:sz w:val="16"/>
              </w:rPr>
            </w:pPr>
            <w:r w:rsidRPr="00EB2BD8">
              <w:rPr>
                <w:rFonts w:ascii="Arial"/>
                <w:b/>
                <w:spacing w:val="-2"/>
                <w:w w:val="105"/>
                <w:sz w:val="16"/>
              </w:rPr>
              <w:t>Carrying amount</w:t>
            </w:r>
          </w:p>
        </w:tc>
        <w:tc>
          <w:tcPr>
            <w:tcW w:w="1060" w:type="dxa"/>
            <w:tcBorders>
              <w:left w:val="nil"/>
              <w:right w:val="nil"/>
            </w:tcBorders>
            <w:shd w:val="clear" w:color="auto" w:fill="0070C0"/>
          </w:tcPr>
          <w:p w14:paraId="568055FF" w14:textId="77777777" w:rsidR="00084F36" w:rsidRPr="00EB2BD8" w:rsidRDefault="00084F36">
            <w:pPr>
              <w:pStyle w:val="TableParagraph"/>
              <w:rPr>
                <w:rFonts w:ascii="Arial"/>
                <w:sz w:val="18"/>
              </w:rPr>
            </w:pPr>
          </w:p>
          <w:p w14:paraId="146FF5AD" w14:textId="77777777" w:rsidR="00084F36" w:rsidRPr="00EB2BD8" w:rsidRDefault="00084F36">
            <w:pPr>
              <w:pStyle w:val="TableParagraph"/>
              <w:spacing w:before="7"/>
              <w:rPr>
                <w:rFonts w:ascii="Arial"/>
                <w:sz w:val="26"/>
              </w:rPr>
            </w:pPr>
          </w:p>
          <w:p w14:paraId="26309FC0" w14:textId="77777777" w:rsidR="00084F36" w:rsidRPr="00EB2BD8" w:rsidRDefault="00EB2BD8">
            <w:pPr>
              <w:pStyle w:val="TableParagraph"/>
              <w:spacing w:line="252" w:lineRule="auto"/>
              <w:ind w:left="357" w:right="88" w:hanging="56"/>
              <w:rPr>
                <w:rFonts w:ascii="Arial"/>
                <w:b/>
                <w:sz w:val="16"/>
              </w:rPr>
            </w:pPr>
            <w:r w:rsidRPr="00EB2BD8">
              <w:rPr>
                <w:rFonts w:ascii="Arial"/>
                <w:b/>
                <w:spacing w:val="-2"/>
                <w:w w:val="105"/>
                <w:sz w:val="16"/>
              </w:rPr>
              <w:t>Nominal amount</w:t>
            </w:r>
          </w:p>
        </w:tc>
        <w:tc>
          <w:tcPr>
            <w:tcW w:w="2119" w:type="dxa"/>
            <w:gridSpan w:val="2"/>
            <w:tcBorders>
              <w:left w:val="nil"/>
              <w:right w:val="nil"/>
            </w:tcBorders>
            <w:shd w:val="clear" w:color="auto" w:fill="0070C0"/>
          </w:tcPr>
          <w:p w14:paraId="326D618B" w14:textId="77777777" w:rsidR="00084F36" w:rsidRPr="00EB2BD8" w:rsidRDefault="00EB2BD8">
            <w:pPr>
              <w:pStyle w:val="TableParagraph"/>
              <w:spacing w:before="103"/>
              <w:ind w:left="105"/>
              <w:jc w:val="center"/>
              <w:rPr>
                <w:rFonts w:ascii="Arial"/>
                <w:b/>
                <w:sz w:val="16"/>
              </w:rPr>
            </w:pPr>
            <w:r w:rsidRPr="00EB2BD8">
              <w:rPr>
                <w:rFonts w:ascii="Arial"/>
                <w:b/>
                <w:w w:val="105"/>
                <w:sz w:val="16"/>
              </w:rPr>
              <w:t>Maturity</w:t>
            </w:r>
            <w:r w:rsidRPr="00EB2BD8">
              <w:rPr>
                <w:rFonts w:ascii="Arial"/>
                <w:b/>
                <w:spacing w:val="-9"/>
                <w:w w:val="105"/>
                <w:sz w:val="16"/>
              </w:rPr>
              <w:t xml:space="preserve"> </w:t>
            </w:r>
            <w:r w:rsidRPr="00EB2BD8">
              <w:rPr>
                <w:rFonts w:ascii="Arial"/>
                <w:b/>
                <w:spacing w:val="-4"/>
                <w:w w:val="105"/>
                <w:sz w:val="16"/>
              </w:rPr>
              <w:t>dates</w:t>
            </w:r>
          </w:p>
          <w:p w14:paraId="2943CE57" w14:textId="77777777" w:rsidR="00084F36" w:rsidRPr="00EB2BD8" w:rsidRDefault="00EB2BD8">
            <w:pPr>
              <w:pStyle w:val="TableParagraph"/>
              <w:tabs>
                <w:tab w:val="right" w:pos="1926"/>
              </w:tabs>
              <w:spacing w:before="226"/>
              <w:ind w:left="84"/>
              <w:jc w:val="center"/>
              <w:rPr>
                <w:rFonts w:ascii="Arial"/>
                <w:b/>
                <w:sz w:val="16"/>
              </w:rPr>
            </w:pPr>
            <w:r w:rsidRPr="00EB2BD8">
              <w:rPr>
                <w:rFonts w:ascii="Arial"/>
                <w:b/>
                <w:sz w:val="16"/>
              </w:rPr>
              <w:t>Less</w:t>
            </w:r>
            <w:r w:rsidRPr="00EB2BD8">
              <w:rPr>
                <w:rFonts w:ascii="Arial"/>
                <w:b/>
                <w:spacing w:val="14"/>
                <w:sz w:val="16"/>
              </w:rPr>
              <w:t xml:space="preserve"> </w:t>
            </w:r>
            <w:r w:rsidRPr="00EB2BD8">
              <w:rPr>
                <w:rFonts w:ascii="Arial"/>
                <w:b/>
                <w:spacing w:val="-4"/>
                <w:sz w:val="16"/>
              </w:rPr>
              <w:t>than</w:t>
            </w:r>
            <w:r w:rsidRPr="00EB2BD8">
              <w:rPr>
                <w:rFonts w:ascii="Arial"/>
                <w:b/>
                <w:sz w:val="16"/>
              </w:rPr>
              <w:tab/>
            </w:r>
            <w:r w:rsidRPr="00EB2BD8">
              <w:rPr>
                <w:rFonts w:ascii="Arial"/>
                <w:b/>
                <w:spacing w:val="-5"/>
                <w:sz w:val="16"/>
              </w:rPr>
              <w:t>1-</w:t>
            </w:r>
            <w:r w:rsidRPr="00EB2BD8">
              <w:rPr>
                <w:rFonts w:ascii="Arial"/>
                <w:b/>
                <w:sz w:val="16"/>
              </w:rPr>
              <w:t>3</w:t>
            </w:r>
          </w:p>
          <w:p w14:paraId="294FA5F7" w14:textId="77777777" w:rsidR="00084F36" w:rsidRPr="00EB2BD8" w:rsidRDefault="00EB2BD8">
            <w:pPr>
              <w:pStyle w:val="TableParagraph"/>
              <w:tabs>
                <w:tab w:val="left" w:pos="1416"/>
              </w:tabs>
              <w:spacing w:before="10"/>
              <w:ind w:left="311"/>
              <w:rPr>
                <w:rFonts w:ascii="Arial"/>
                <w:b/>
                <w:sz w:val="16"/>
              </w:rPr>
            </w:pPr>
            <w:r w:rsidRPr="00EB2BD8">
              <w:rPr>
                <w:rFonts w:ascii="Arial"/>
                <w:b/>
                <w:w w:val="105"/>
                <w:sz w:val="16"/>
              </w:rPr>
              <w:t>1</w:t>
            </w:r>
            <w:r w:rsidRPr="00EB2BD8">
              <w:rPr>
                <w:rFonts w:ascii="Arial"/>
                <w:b/>
                <w:spacing w:val="-2"/>
                <w:w w:val="105"/>
                <w:sz w:val="16"/>
              </w:rPr>
              <w:t xml:space="preserve"> month</w:t>
            </w:r>
            <w:r w:rsidRPr="00EB2BD8">
              <w:rPr>
                <w:rFonts w:ascii="Arial"/>
                <w:b/>
                <w:sz w:val="16"/>
              </w:rPr>
              <w:tab/>
            </w:r>
            <w:r w:rsidRPr="00EB2BD8">
              <w:rPr>
                <w:rFonts w:ascii="Arial"/>
                <w:b/>
                <w:spacing w:val="-2"/>
                <w:w w:val="105"/>
                <w:sz w:val="16"/>
              </w:rPr>
              <w:t>months</w:t>
            </w:r>
          </w:p>
        </w:tc>
        <w:tc>
          <w:tcPr>
            <w:tcW w:w="1033" w:type="dxa"/>
            <w:tcBorders>
              <w:left w:val="nil"/>
              <w:right w:val="nil"/>
            </w:tcBorders>
            <w:shd w:val="clear" w:color="auto" w:fill="0070C0"/>
          </w:tcPr>
          <w:p w14:paraId="6F9EBDB5" w14:textId="77777777" w:rsidR="00084F36" w:rsidRPr="00EB2BD8" w:rsidRDefault="00084F36">
            <w:pPr>
              <w:pStyle w:val="TableParagraph"/>
              <w:rPr>
                <w:rFonts w:ascii="Arial"/>
                <w:sz w:val="18"/>
              </w:rPr>
            </w:pPr>
          </w:p>
          <w:p w14:paraId="37E0C5CF" w14:textId="77777777" w:rsidR="00084F36" w:rsidRPr="00EB2BD8" w:rsidRDefault="00084F36">
            <w:pPr>
              <w:pStyle w:val="TableParagraph"/>
              <w:spacing w:before="7"/>
              <w:rPr>
                <w:rFonts w:ascii="Arial"/>
                <w:sz w:val="26"/>
              </w:rPr>
            </w:pPr>
          </w:p>
          <w:p w14:paraId="4511762F" w14:textId="77777777" w:rsidR="00084F36" w:rsidRPr="00EB2BD8" w:rsidRDefault="00EB2BD8">
            <w:pPr>
              <w:pStyle w:val="TableParagraph"/>
              <w:ind w:right="92"/>
              <w:jc w:val="right"/>
              <w:rPr>
                <w:rFonts w:ascii="Arial"/>
                <w:b/>
                <w:sz w:val="16"/>
              </w:rPr>
            </w:pPr>
            <w:r w:rsidRPr="00EB2BD8">
              <w:rPr>
                <w:rFonts w:ascii="Arial"/>
                <w:b/>
                <w:w w:val="105"/>
                <w:sz w:val="16"/>
              </w:rPr>
              <w:t>3</w:t>
            </w:r>
            <w:r w:rsidRPr="00EB2BD8">
              <w:rPr>
                <w:rFonts w:ascii="Arial"/>
                <w:b/>
                <w:spacing w:val="-2"/>
                <w:w w:val="105"/>
                <w:sz w:val="16"/>
              </w:rPr>
              <w:t xml:space="preserve"> months</w:t>
            </w:r>
          </w:p>
          <w:p w14:paraId="49EFB6B3" w14:textId="77777777" w:rsidR="00084F36" w:rsidRPr="00EB2BD8" w:rsidRDefault="00EB2BD8">
            <w:pPr>
              <w:pStyle w:val="TableParagraph"/>
              <w:spacing w:before="10"/>
              <w:ind w:right="94"/>
              <w:jc w:val="right"/>
              <w:rPr>
                <w:rFonts w:ascii="Arial"/>
                <w:b/>
                <w:sz w:val="16"/>
              </w:rPr>
            </w:pPr>
            <w:r w:rsidRPr="00EB2BD8">
              <w:rPr>
                <w:rFonts w:ascii="Arial"/>
                <w:b/>
                <w:w w:val="105"/>
                <w:sz w:val="16"/>
              </w:rPr>
              <w:t>-</w:t>
            </w:r>
            <w:r w:rsidRPr="00EB2BD8">
              <w:rPr>
                <w:rFonts w:ascii="Arial"/>
                <w:b/>
                <w:spacing w:val="-1"/>
                <w:w w:val="105"/>
                <w:sz w:val="16"/>
              </w:rPr>
              <w:t xml:space="preserve"> </w:t>
            </w:r>
            <w:r w:rsidRPr="00EB2BD8">
              <w:rPr>
                <w:rFonts w:ascii="Arial"/>
                <w:b/>
                <w:w w:val="105"/>
                <w:sz w:val="16"/>
              </w:rPr>
              <w:t>1</w:t>
            </w:r>
            <w:r w:rsidRPr="00EB2BD8">
              <w:rPr>
                <w:rFonts w:ascii="Arial"/>
                <w:b/>
                <w:spacing w:val="-1"/>
                <w:w w:val="105"/>
                <w:sz w:val="16"/>
              </w:rPr>
              <w:t xml:space="preserve"> </w:t>
            </w:r>
            <w:r w:rsidRPr="00EB2BD8">
              <w:rPr>
                <w:rFonts w:ascii="Arial"/>
                <w:b/>
                <w:spacing w:val="-4"/>
                <w:w w:val="105"/>
                <w:sz w:val="16"/>
              </w:rPr>
              <w:t>year</w:t>
            </w:r>
          </w:p>
        </w:tc>
        <w:tc>
          <w:tcPr>
            <w:tcW w:w="1183" w:type="dxa"/>
            <w:tcBorders>
              <w:left w:val="nil"/>
            </w:tcBorders>
            <w:shd w:val="clear" w:color="auto" w:fill="0070C0"/>
          </w:tcPr>
          <w:p w14:paraId="0C40D1C3" w14:textId="77777777" w:rsidR="00084F36" w:rsidRPr="00EB2BD8" w:rsidRDefault="00084F36">
            <w:pPr>
              <w:pStyle w:val="TableParagraph"/>
              <w:rPr>
                <w:rFonts w:ascii="Arial"/>
                <w:sz w:val="18"/>
              </w:rPr>
            </w:pPr>
          </w:p>
          <w:p w14:paraId="2DBBEC6C" w14:textId="77777777" w:rsidR="00084F36" w:rsidRPr="00EB2BD8" w:rsidRDefault="00084F36">
            <w:pPr>
              <w:pStyle w:val="TableParagraph"/>
              <w:spacing w:before="7"/>
              <w:rPr>
                <w:rFonts w:ascii="Arial"/>
                <w:sz w:val="26"/>
              </w:rPr>
            </w:pPr>
          </w:p>
          <w:p w14:paraId="1D69C91F" w14:textId="77777777" w:rsidR="00084F36" w:rsidRPr="00EB2BD8" w:rsidRDefault="00EB2BD8">
            <w:pPr>
              <w:pStyle w:val="TableParagraph"/>
              <w:ind w:right="88"/>
              <w:jc w:val="right"/>
              <w:rPr>
                <w:rFonts w:ascii="Arial"/>
                <w:b/>
                <w:sz w:val="16"/>
              </w:rPr>
            </w:pPr>
            <w:r w:rsidRPr="00EB2BD8">
              <w:rPr>
                <w:rFonts w:ascii="Arial"/>
                <w:b/>
                <w:sz w:val="16"/>
              </w:rPr>
              <w:t>1-</w:t>
            </w:r>
            <w:r w:rsidRPr="00EB2BD8">
              <w:rPr>
                <w:rFonts w:ascii="Arial"/>
                <w:b/>
                <w:spacing w:val="-10"/>
                <w:sz w:val="16"/>
              </w:rPr>
              <w:t>5</w:t>
            </w:r>
          </w:p>
          <w:p w14:paraId="7E557496" w14:textId="77777777" w:rsidR="00084F36" w:rsidRPr="00EB2BD8" w:rsidRDefault="00EB2BD8">
            <w:pPr>
              <w:pStyle w:val="TableParagraph"/>
              <w:spacing w:before="10"/>
              <w:ind w:right="88"/>
              <w:jc w:val="right"/>
              <w:rPr>
                <w:rFonts w:ascii="Arial"/>
                <w:b/>
                <w:sz w:val="16"/>
              </w:rPr>
            </w:pPr>
            <w:r w:rsidRPr="00EB2BD8">
              <w:rPr>
                <w:rFonts w:ascii="Arial"/>
                <w:b/>
                <w:spacing w:val="-2"/>
                <w:w w:val="105"/>
                <w:sz w:val="16"/>
              </w:rPr>
              <w:t>years</w:t>
            </w:r>
          </w:p>
        </w:tc>
      </w:tr>
      <w:tr w:rsidR="00EB2BD8" w:rsidRPr="00EB2BD8" w14:paraId="698905C6" w14:textId="77777777">
        <w:trPr>
          <w:trHeight w:val="307"/>
        </w:trPr>
        <w:tc>
          <w:tcPr>
            <w:tcW w:w="2801" w:type="dxa"/>
            <w:tcBorders>
              <w:left w:val="nil"/>
              <w:bottom w:val="single" w:sz="12" w:space="0" w:color="000000"/>
              <w:right w:val="nil"/>
            </w:tcBorders>
            <w:shd w:val="clear" w:color="auto" w:fill="FFFFFF"/>
          </w:tcPr>
          <w:p w14:paraId="0FF6D800" w14:textId="77777777" w:rsidR="00084F36" w:rsidRPr="00EB2BD8" w:rsidRDefault="00EB2BD8">
            <w:pPr>
              <w:pStyle w:val="TableParagraph"/>
              <w:spacing w:before="64"/>
              <w:ind w:left="105"/>
              <w:rPr>
                <w:rFonts w:ascii="Arial"/>
                <w:sz w:val="16"/>
              </w:rPr>
            </w:pPr>
            <w:r w:rsidRPr="00EB2BD8">
              <w:rPr>
                <w:rFonts w:ascii="Arial"/>
                <w:w w:val="105"/>
                <w:sz w:val="16"/>
              </w:rPr>
              <w:t>Lease</w:t>
            </w:r>
            <w:r w:rsidRPr="00EB2BD8">
              <w:rPr>
                <w:rFonts w:ascii="Arial"/>
                <w:spacing w:val="-7"/>
                <w:w w:val="105"/>
                <w:sz w:val="16"/>
              </w:rPr>
              <w:t xml:space="preserve"> </w:t>
            </w:r>
            <w:r w:rsidRPr="00EB2BD8">
              <w:rPr>
                <w:rFonts w:ascii="Arial"/>
                <w:spacing w:val="-2"/>
                <w:w w:val="105"/>
                <w:sz w:val="16"/>
              </w:rPr>
              <w:t>liabilities</w:t>
            </w:r>
          </w:p>
        </w:tc>
        <w:tc>
          <w:tcPr>
            <w:tcW w:w="1060" w:type="dxa"/>
            <w:tcBorders>
              <w:left w:val="nil"/>
              <w:bottom w:val="single" w:sz="12" w:space="0" w:color="000000"/>
              <w:right w:val="nil"/>
            </w:tcBorders>
            <w:shd w:val="clear" w:color="auto" w:fill="DEEAF6"/>
          </w:tcPr>
          <w:p w14:paraId="0BC92602" w14:textId="77777777" w:rsidR="00084F36" w:rsidRPr="00EB2BD8" w:rsidRDefault="00EB2BD8">
            <w:pPr>
              <w:pStyle w:val="TableParagraph"/>
              <w:spacing w:before="64"/>
              <w:ind w:right="95"/>
              <w:jc w:val="right"/>
              <w:rPr>
                <w:rFonts w:ascii="Arial"/>
                <w:sz w:val="16"/>
              </w:rPr>
            </w:pPr>
            <w:r w:rsidRPr="00EB2BD8">
              <w:rPr>
                <w:rFonts w:ascii="Arial"/>
                <w:spacing w:val="-2"/>
                <w:w w:val="105"/>
                <w:sz w:val="16"/>
              </w:rPr>
              <w:t>5,223</w:t>
            </w:r>
          </w:p>
        </w:tc>
        <w:tc>
          <w:tcPr>
            <w:tcW w:w="1060" w:type="dxa"/>
            <w:tcBorders>
              <w:left w:val="nil"/>
              <w:bottom w:val="single" w:sz="12" w:space="0" w:color="000000"/>
              <w:right w:val="nil"/>
            </w:tcBorders>
            <w:shd w:val="clear" w:color="auto" w:fill="FFFFFF"/>
          </w:tcPr>
          <w:p w14:paraId="3EC3E26F" w14:textId="77777777" w:rsidR="00084F36" w:rsidRPr="00EB2BD8" w:rsidRDefault="00EB2BD8">
            <w:pPr>
              <w:pStyle w:val="TableParagraph"/>
              <w:spacing w:before="64"/>
              <w:ind w:right="94"/>
              <w:jc w:val="right"/>
              <w:rPr>
                <w:rFonts w:ascii="Arial"/>
                <w:sz w:val="16"/>
              </w:rPr>
            </w:pPr>
            <w:r w:rsidRPr="00EB2BD8">
              <w:rPr>
                <w:rFonts w:ascii="Arial"/>
                <w:spacing w:val="-4"/>
                <w:w w:val="105"/>
                <w:sz w:val="16"/>
              </w:rPr>
              <w:t>5,067</w:t>
            </w:r>
          </w:p>
        </w:tc>
        <w:tc>
          <w:tcPr>
            <w:tcW w:w="1059" w:type="dxa"/>
            <w:tcBorders>
              <w:left w:val="nil"/>
              <w:bottom w:val="single" w:sz="12" w:space="0" w:color="000000"/>
              <w:right w:val="nil"/>
            </w:tcBorders>
            <w:shd w:val="clear" w:color="auto" w:fill="DEEAF6"/>
          </w:tcPr>
          <w:p w14:paraId="7BD28FA4" w14:textId="77777777" w:rsidR="00084F36" w:rsidRPr="00EB2BD8" w:rsidRDefault="00EB2BD8">
            <w:pPr>
              <w:pStyle w:val="TableParagraph"/>
              <w:spacing w:before="64"/>
              <w:ind w:right="93"/>
              <w:jc w:val="right"/>
              <w:rPr>
                <w:rFonts w:ascii="Arial"/>
                <w:sz w:val="16"/>
              </w:rPr>
            </w:pPr>
            <w:r w:rsidRPr="00EB2BD8">
              <w:rPr>
                <w:rFonts w:ascii="Arial"/>
                <w:spacing w:val="-5"/>
                <w:w w:val="105"/>
                <w:sz w:val="16"/>
              </w:rPr>
              <w:t>213</w:t>
            </w:r>
          </w:p>
        </w:tc>
        <w:tc>
          <w:tcPr>
            <w:tcW w:w="1060" w:type="dxa"/>
            <w:tcBorders>
              <w:left w:val="nil"/>
              <w:bottom w:val="single" w:sz="12" w:space="0" w:color="000000"/>
              <w:right w:val="nil"/>
            </w:tcBorders>
            <w:shd w:val="clear" w:color="auto" w:fill="FFFFFF"/>
          </w:tcPr>
          <w:p w14:paraId="57DD862E" w14:textId="77777777" w:rsidR="00084F36" w:rsidRPr="00EB2BD8" w:rsidRDefault="00EB2BD8">
            <w:pPr>
              <w:pStyle w:val="TableParagraph"/>
              <w:spacing w:before="64"/>
              <w:ind w:right="94"/>
              <w:jc w:val="right"/>
              <w:rPr>
                <w:rFonts w:ascii="Arial"/>
                <w:sz w:val="16"/>
              </w:rPr>
            </w:pPr>
            <w:r w:rsidRPr="00EB2BD8">
              <w:rPr>
                <w:rFonts w:ascii="Arial"/>
                <w:spacing w:val="-5"/>
                <w:w w:val="105"/>
                <w:sz w:val="16"/>
              </w:rPr>
              <w:t>425</w:t>
            </w:r>
          </w:p>
        </w:tc>
        <w:tc>
          <w:tcPr>
            <w:tcW w:w="1033" w:type="dxa"/>
            <w:tcBorders>
              <w:left w:val="nil"/>
              <w:bottom w:val="single" w:sz="12" w:space="0" w:color="000000"/>
              <w:right w:val="nil"/>
            </w:tcBorders>
            <w:shd w:val="clear" w:color="auto" w:fill="DEEAF6"/>
          </w:tcPr>
          <w:p w14:paraId="6871796F" w14:textId="77777777" w:rsidR="00084F36" w:rsidRPr="00EB2BD8" w:rsidRDefault="00EB2BD8">
            <w:pPr>
              <w:pStyle w:val="TableParagraph"/>
              <w:spacing w:before="64"/>
              <w:ind w:right="94"/>
              <w:jc w:val="right"/>
              <w:rPr>
                <w:rFonts w:ascii="Arial"/>
                <w:sz w:val="16"/>
              </w:rPr>
            </w:pPr>
            <w:r w:rsidRPr="00EB2BD8">
              <w:rPr>
                <w:rFonts w:ascii="Arial"/>
                <w:spacing w:val="-2"/>
                <w:w w:val="105"/>
                <w:sz w:val="16"/>
              </w:rPr>
              <w:t>1,944</w:t>
            </w:r>
          </w:p>
        </w:tc>
        <w:tc>
          <w:tcPr>
            <w:tcW w:w="1183" w:type="dxa"/>
            <w:tcBorders>
              <w:left w:val="nil"/>
              <w:bottom w:val="single" w:sz="12" w:space="0" w:color="000000"/>
              <w:right w:val="nil"/>
            </w:tcBorders>
            <w:shd w:val="clear" w:color="auto" w:fill="FFFFFF"/>
          </w:tcPr>
          <w:p w14:paraId="644C98A6" w14:textId="77777777" w:rsidR="00084F36" w:rsidRPr="00EB2BD8" w:rsidRDefault="00EB2BD8">
            <w:pPr>
              <w:pStyle w:val="TableParagraph"/>
              <w:spacing w:before="64"/>
              <w:ind w:right="93"/>
              <w:jc w:val="right"/>
              <w:rPr>
                <w:rFonts w:ascii="Arial"/>
                <w:sz w:val="16"/>
              </w:rPr>
            </w:pPr>
            <w:r w:rsidRPr="00EB2BD8">
              <w:rPr>
                <w:rFonts w:ascii="Arial"/>
                <w:spacing w:val="-2"/>
                <w:w w:val="105"/>
                <w:sz w:val="16"/>
              </w:rPr>
              <w:t>2,485</w:t>
            </w:r>
          </w:p>
        </w:tc>
      </w:tr>
      <w:tr w:rsidR="00EB2BD8" w:rsidRPr="00EB2BD8" w14:paraId="726A74DF" w14:textId="77777777">
        <w:trPr>
          <w:trHeight w:val="286"/>
        </w:trPr>
        <w:tc>
          <w:tcPr>
            <w:tcW w:w="2801" w:type="dxa"/>
            <w:tcBorders>
              <w:top w:val="single" w:sz="12" w:space="0" w:color="000000"/>
              <w:left w:val="nil"/>
              <w:bottom w:val="single" w:sz="12" w:space="0" w:color="000000"/>
              <w:right w:val="nil"/>
            </w:tcBorders>
            <w:shd w:val="clear" w:color="auto" w:fill="FFFFFF"/>
          </w:tcPr>
          <w:p w14:paraId="48AF653B" w14:textId="77777777" w:rsidR="00084F36" w:rsidRPr="00EB2BD8" w:rsidRDefault="00EB2BD8">
            <w:pPr>
              <w:pStyle w:val="TableParagraph"/>
              <w:spacing w:before="53"/>
              <w:ind w:left="105"/>
              <w:rPr>
                <w:rFonts w:ascii="Arial"/>
                <w:b/>
                <w:sz w:val="16"/>
              </w:rPr>
            </w:pPr>
            <w:r w:rsidRPr="00EB2BD8">
              <w:rPr>
                <w:rFonts w:ascii="Arial"/>
                <w:b/>
                <w:spacing w:val="-2"/>
                <w:w w:val="105"/>
                <w:sz w:val="16"/>
              </w:rPr>
              <w:t>Total</w:t>
            </w:r>
          </w:p>
        </w:tc>
        <w:tc>
          <w:tcPr>
            <w:tcW w:w="1060" w:type="dxa"/>
            <w:tcBorders>
              <w:top w:val="single" w:sz="12" w:space="0" w:color="000000"/>
              <w:left w:val="nil"/>
              <w:bottom w:val="single" w:sz="12" w:space="0" w:color="000000"/>
              <w:right w:val="nil"/>
            </w:tcBorders>
            <w:shd w:val="clear" w:color="auto" w:fill="DEEAF6"/>
          </w:tcPr>
          <w:p w14:paraId="0BCB5C48" w14:textId="77777777" w:rsidR="00084F36" w:rsidRPr="00EB2BD8" w:rsidRDefault="00EB2BD8">
            <w:pPr>
              <w:pStyle w:val="TableParagraph"/>
              <w:spacing w:before="53"/>
              <w:ind w:right="95"/>
              <w:jc w:val="right"/>
              <w:rPr>
                <w:rFonts w:ascii="Arial"/>
                <w:b/>
                <w:sz w:val="16"/>
              </w:rPr>
            </w:pPr>
            <w:r w:rsidRPr="00EB2BD8">
              <w:rPr>
                <w:rFonts w:ascii="Arial"/>
                <w:b/>
                <w:spacing w:val="-2"/>
                <w:w w:val="105"/>
                <w:sz w:val="16"/>
              </w:rPr>
              <w:t>5,223</w:t>
            </w:r>
          </w:p>
        </w:tc>
        <w:tc>
          <w:tcPr>
            <w:tcW w:w="1060" w:type="dxa"/>
            <w:tcBorders>
              <w:top w:val="single" w:sz="12" w:space="0" w:color="000000"/>
              <w:left w:val="nil"/>
              <w:bottom w:val="single" w:sz="12" w:space="0" w:color="000000"/>
              <w:right w:val="nil"/>
            </w:tcBorders>
            <w:shd w:val="clear" w:color="auto" w:fill="FFFFFF"/>
          </w:tcPr>
          <w:p w14:paraId="139FF373" w14:textId="77777777" w:rsidR="00084F36" w:rsidRPr="00EB2BD8" w:rsidRDefault="00EB2BD8">
            <w:pPr>
              <w:pStyle w:val="TableParagraph"/>
              <w:spacing w:before="53"/>
              <w:ind w:right="94"/>
              <w:jc w:val="right"/>
              <w:rPr>
                <w:rFonts w:ascii="Arial"/>
                <w:b/>
                <w:sz w:val="16"/>
              </w:rPr>
            </w:pPr>
            <w:r w:rsidRPr="00EB2BD8">
              <w:rPr>
                <w:rFonts w:ascii="Arial"/>
                <w:b/>
                <w:spacing w:val="-4"/>
                <w:w w:val="105"/>
                <w:sz w:val="16"/>
              </w:rPr>
              <w:t>5,067</w:t>
            </w:r>
          </w:p>
        </w:tc>
        <w:tc>
          <w:tcPr>
            <w:tcW w:w="1059" w:type="dxa"/>
            <w:tcBorders>
              <w:top w:val="single" w:sz="12" w:space="0" w:color="000000"/>
              <w:left w:val="nil"/>
              <w:bottom w:val="single" w:sz="12" w:space="0" w:color="000000"/>
              <w:right w:val="nil"/>
            </w:tcBorders>
            <w:shd w:val="clear" w:color="auto" w:fill="DEEAF6"/>
          </w:tcPr>
          <w:p w14:paraId="7A4B4C94" w14:textId="77777777" w:rsidR="00084F36" w:rsidRPr="00EB2BD8" w:rsidRDefault="00EB2BD8">
            <w:pPr>
              <w:pStyle w:val="TableParagraph"/>
              <w:spacing w:before="53"/>
              <w:ind w:right="93"/>
              <w:jc w:val="right"/>
              <w:rPr>
                <w:rFonts w:ascii="Arial"/>
                <w:b/>
                <w:sz w:val="16"/>
              </w:rPr>
            </w:pPr>
            <w:r w:rsidRPr="00EB2BD8">
              <w:rPr>
                <w:rFonts w:ascii="Arial"/>
                <w:b/>
                <w:spacing w:val="-5"/>
                <w:w w:val="105"/>
                <w:sz w:val="16"/>
              </w:rPr>
              <w:t>213</w:t>
            </w:r>
          </w:p>
        </w:tc>
        <w:tc>
          <w:tcPr>
            <w:tcW w:w="1060" w:type="dxa"/>
            <w:tcBorders>
              <w:top w:val="single" w:sz="12" w:space="0" w:color="000000"/>
              <w:left w:val="nil"/>
              <w:bottom w:val="single" w:sz="12" w:space="0" w:color="000000"/>
              <w:right w:val="nil"/>
            </w:tcBorders>
            <w:shd w:val="clear" w:color="auto" w:fill="FFFFFF"/>
          </w:tcPr>
          <w:p w14:paraId="35C5C6BF" w14:textId="77777777" w:rsidR="00084F36" w:rsidRPr="00EB2BD8" w:rsidRDefault="00EB2BD8">
            <w:pPr>
              <w:pStyle w:val="TableParagraph"/>
              <w:spacing w:before="53"/>
              <w:ind w:right="94"/>
              <w:jc w:val="right"/>
              <w:rPr>
                <w:rFonts w:ascii="Arial"/>
                <w:b/>
                <w:sz w:val="16"/>
              </w:rPr>
            </w:pPr>
            <w:r w:rsidRPr="00EB2BD8">
              <w:rPr>
                <w:rFonts w:ascii="Arial"/>
                <w:b/>
                <w:spacing w:val="-5"/>
                <w:w w:val="105"/>
                <w:sz w:val="16"/>
              </w:rPr>
              <w:t>425</w:t>
            </w:r>
          </w:p>
        </w:tc>
        <w:tc>
          <w:tcPr>
            <w:tcW w:w="1033" w:type="dxa"/>
            <w:tcBorders>
              <w:top w:val="single" w:sz="12" w:space="0" w:color="000000"/>
              <w:left w:val="nil"/>
              <w:bottom w:val="single" w:sz="12" w:space="0" w:color="000000"/>
              <w:right w:val="nil"/>
            </w:tcBorders>
            <w:shd w:val="clear" w:color="auto" w:fill="DEEAF6"/>
          </w:tcPr>
          <w:p w14:paraId="7F666653" w14:textId="77777777" w:rsidR="00084F36" w:rsidRPr="00EB2BD8" w:rsidRDefault="00EB2BD8">
            <w:pPr>
              <w:pStyle w:val="TableParagraph"/>
              <w:spacing w:before="53"/>
              <w:ind w:right="94"/>
              <w:jc w:val="right"/>
              <w:rPr>
                <w:rFonts w:ascii="Arial"/>
                <w:b/>
                <w:sz w:val="16"/>
              </w:rPr>
            </w:pPr>
            <w:r w:rsidRPr="00EB2BD8">
              <w:rPr>
                <w:rFonts w:ascii="Arial"/>
                <w:b/>
                <w:spacing w:val="-2"/>
                <w:w w:val="105"/>
                <w:sz w:val="16"/>
              </w:rPr>
              <w:t>1,944</w:t>
            </w:r>
          </w:p>
        </w:tc>
        <w:tc>
          <w:tcPr>
            <w:tcW w:w="1183" w:type="dxa"/>
            <w:tcBorders>
              <w:top w:val="single" w:sz="12" w:space="0" w:color="000000"/>
              <w:left w:val="nil"/>
              <w:bottom w:val="single" w:sz="12" w:space="0" w:color="000000"/>
              <w:right w:val="nil"/>
            </w:tcBorders>
            <w:shd w:val="clear" w:color="auto" w:fill="FFFFFF"/>
          </w:tcPr>
          <w:p w14:paraId="16706F4C" w14:textId="77777777" w:rsidR="00084F36" w:rsidRPr="00EB2BD8" w:rsidRDefault="00EB2BD8">
            <w:pPr>
              <w:pStyle w:val="TableParagraph"/>
              <w:spacing w:before="53"/>
              <w:ind w:right="93"/>
              <w:jc w:val="right"/>
              <w:rPr>
                <w:rFonts w:ascii="Arial"/>
                <w:b/>
                <w:sz w:val="16"/>
              </w:rPr>
            </w:pPr>
            <w:r w:rsidRPr="00EB2BD8">
              <w:rPr>
                <w:rFonts w:ascii="Arial"/>
                <w:b/>
                <w:spacing w:val="-2"/>
                <w:w w:val="105"/>
                <w:sz w:val="16"/>
              </w:rPr>
              <w:t>2,485</w:t>
            </w:r>
          </w:p>
        </w:tc>
      </w:tr>
    </w:tbl>
    <w:p w14:paraId="79128D0A" w14:textId="77777777" w:rsidR="00084F36" w:rsidRPr="00EB2BD8" w:rsidRDefault="00084F36">
      <w:pPr>
        <w:pStyle w:val="BodyText"/>
        <w:rPr>
          <w:rFonts w:ascii="Arial"/>
          <w:sz w:val="26"/>
        </w:rPr>
      </w:pPr>
    </w:p>
    <w:tbl>
      <w:tblPr>
        <w:tblW w:w="0" w:type="auto"/>
        <w:tblInd w:w="1021" w:type="dxa"/>
        <w:tblBorders>
          <w:top w:val="single" w:sz="4" w:space="0" w:color="0098FF"/>
          <w:left w:val="single" w:sz="4" w:space="0" w:color="0098FF"/>
          <w:bottom w:val="single" w:sz="4" w:space="0" w:color="0098FF"/>
          <w:right w:val="single" w:sz="4" w:space="0" w:color="0098FF"/>
          <w:insideH w:val="single" w:sz="4" w:space="0" w:color="0098FF"/>
          <w:insideV w:val="single" w:sz="4" w:space="0" w:color="0098FF"/>
        </w:tblBorders>
        <w:tblLayout w:type="fixed"/>
        <w:tblCellMar>
          <w:left w:w="0" w:type="dxa"/>
          <w:right w:w="0" w:type="dxa"/>
        </w:tblCellMar>
        <w:tblLook w:val="01E0" w:firstRow="1" w:lastRow="1" w:firstColumn="1" w:lastColumn="1" w:noHBand="0" w:noVBand="0"/>
      </w:tblPr>
      <w:tblGrid>
        <w:gridCol w:w="2801"/>
        <w:gridCol w:w="1060"/>
        <w:gridCol w:w="1060"/>
        <w:gridCol w:w="1059"/>
        <w:gridCol w:w="1060"/>
        <w:gridCol w:w="1033"/>
        <w:gridCol w:w="1183"/>
      </w:tblGrid>
      <w:tr w:rsidR="00EB2BD8" w:rsidRPr="00EB2BD8" w14:paraId="28DC93BC" w14:textId="77777777">
        <w:trPr>
          <w:trHeight w:val="627"/>
        </w:trPr>
        <w:tc>
          <w:tcPr>
            <w:tcW w:w="2801" w:type="dxa"/>
            <w:tcBorders>
              <w:right w:val="nil"/>
            </w:tcBorders>
            <w:shd w:val="clear" w:color="auto" w:fill="0070C0"/>
          </w:tcPr>
          <w:p w14:paraId="57B9A68D" w14:textId="77777777" w:rsidR="00084F36" w:rsidRPr="00EB2BD8" w:rsidRDefault="00EB2BD8">
            <w:pPr>
              <w:pStyle w:val="TableParagraph"/>
              <w:spacing w:before="6"/>
              <w:ind w:left="100"/>
              <w:rPr>
                <w:rFonts w:ascii="Arial"/>
                <w:b/>
                <w:sz w:val="16"/>
              </w:rPr>
            </w:pPr>
            <w:r w:rsidRPr="00EB2BD8">
              <w:rPr>
                <w:rFonts w:ascii="Arial"/>
                <w:b/>
                <w:spacing w:val="-4"/>
                <w:w w:val="105"/>
                <w:sz w:val="16"/>
              </w:rPr>
              <w:t>2022</w:t>
            </w:r>
          </w:p>
        </w:tc>
        <w:tc>
          <w:tcPr>
            <w:tcW w:w="1060" w:type="dxa"/>
            <w:tcBorders>
              <w:left w:val="nil"/>
              <w:right w:val="nil"/>
            </w:tcBorders>
            <w:shd w:val="clear" w:color="auto" w:fill="0070C0"/>
          </w:tcPr>
          <w:p w14:paraId="08375B0C" w14:textId="77777777" w:rsidR="00084F36" w:rsidRPr="00EB2BD8" w:rsidRDefault="00EB2BD8">
            <w:pPr>
              <w:pStyle w:val="TableParagraph"/>
              <w:spacing w:before="127" w:line="252" w:lineRule="auto"/>
              <w:ind w:left="357" w:right="88" w:hanging="84"/>
              <w:rPr>
                <w:rFonts w:ascii="Arial"/>
                <w:b/>
                <w:sz w:val="16"/>
              </w:rPr>
            </w:pPr>
            <w:r w:rsidRPr="00EB2BD8">
              <w:rPr>
                <w:rFonts w:ascii="Arial"/>
                <w:b/>
                <w:spacing w:val="-2"/>
                <w:w w:val="105"/>
                <w:sz w:val="16"/>
              </w:rPr>
              <w:t>Carrying amount</w:t>
            </w:r>
          </w:p>
        </w:tc>
        <w:tc>
          <w:tcPr>
            <w:tcW w:w="1060" w:type="dxa"/>
            <w:tcBorders>
              <w:left w:val="nil"/>
              <w:right w:val="nil"/>
            </w:tcBorders>
            <w:shd w:val="clear" w:color="auto" w:fill="0070C0"/>
          </w:tcPr>
          <w:p w14:paraId="4EAC9D72" w14:textId="77777777" w:rsidR="00084F36" w:rsidRPr="00EB2BD8" w:rsidRDefault="00EB2BD8">
            <w:pPr>
              <w:pStyle w:val="TableParagraph"/>
              <w:spacing w:before="127" w:line="252" w:lineRule="auto"/>
              <w:ind w:left="357" w:right="88" w:hanging="56"/>
              <w:rPr>
                <w:rFonts w:ascii="Arial"/>
                <w:b/>
                <w:sz w:val="16"/>
              </w:rPr>
            </w:pPr>
            <w:r w:rsidRPr="00EB2BD8">
              <w:rPr>
                <w:rFonts w:ascii="Arial"/>
                <w:b/>
                <w:spacing w:val="-2"/>
                <w:w w:val="105"/>
                <w:sz w:val="16"/>
              </w:rPr>
              <w:t>Nominal amount</w:t>
            </w:r>
          </w:p>
        </w:tc>
        <w:tc>
          <w:tcPr>
            <w:tcW w:w="1059" w:type="dxa"/>
            <w:tcBorders>
              <w:left w:val="nil"/>
              <w:right w:val="nil"/>
            </w:tcBorders>
            <w:shd w:val="clear" w:color="auto" w:fill="0070C0"/>
          </w:tcPr>
          <w:p w14:paraId="4F210032" w14:textId="77777777" w:rsidR="00084F36" w:rsidRPr="00EB2BD8" w:rsidRDefault="00EB2BD8">
            <w:pPr>
              <w:pStyle w:val="TableParagraph"/>
              <w:spacing w:before="127" w:line="252" w:lineRule="auto"/>
              <w:ind w:left="311" w:right="86" w:hanging="131"/>
              <w:rPr>
                <w:rFonts w:ascii="Arial"/>
                <w:b/>
                <w:sz w:val="16"/>
              </w:rPr>
            </w:pPr>
            <w:r w:rsidRPr="00EB2BD8">
              <w:rPr>
                <w:rFonts w:ascii="Arial"/>
                <w:b/>
                <w:w w:val="105"/>
                <w:sz w:val="16"/>
              </w:rPr>
              <w:t>Less</w:t>
            </w:r>
            <w:r w:rsidRPr="00EB2BD8">
              <w:rPr>
                <w:rFonts w:ascii="Arial"/>
                <w:b/>
                <w:spacing w:val="-12"/>
                <w:w w:val="105"/>
                <w:sz w:val="16"/>
              </w:rPr>
              <w:t xml:space="preserve"> </w:t>
            </w:r>
            <w:r w:rsidRPr="00EB2BD8">
              <w:rPr>
                <w:rFonts w:ascii="Arial"/>
                <w:b/>
                <w:w w:val="105"/>
                <w:sz w:val="16"/>
              </w:rPr>
              <w:t>than 1</w:t>
            </w:r>
            <w:r w:rsidRPr="00EB2BD8">
              <w:rPr>
                <w:rFonts w:ascii="Arial"/>
                <w:b/>
                <w:spacing w:val="-2"/>
                <w:w w:val="105"/>
                <w:sz w:val="16"/>
              </w:rPr>
              <w:t xml:space="preserve"> month</w:t>
            </w:r>
          </w:p>
        </w:tc>
        <w:tc>
          <w:tcPr>
            <w:tcW w:w="1060" w:type="dxa"/>
            <w:tcBorders>
              <w:left w:val="nil"/>
              <w:right w:val="nil"/>
            </w:tcBorders>
            <w:shd w:val="clear" w:color="auto" w:fill="0070C0"/>
          </w:tcPr>
          <w:p w14:paraId="40115994" w14:textId="77777777" w:rsidR="00084F36" w:rsidRPr="00EB2BD8" w:rsidRDefault="00EB2BD8">
            <w:pPr>
              <w:pStyle w:val="TableParagraph"/>
              <w:spacing w:before="127"/>
              <w:ind w:right="94"/>
              <w:jc w:val="right"/>
              <w:rPr>
                <w:rFonts w:ascii="Arial"/>
                <w:b/>
                <w:sz w:val="16"/>
              </w:rPr>
            </w:pPr>
            <w:r w:rsidRPr="00EB2BD8">
              <w:rPr>
                <w:rFonts w:ascii="Arial"/>
                <w:b/>
                <w:sz w:val="16"/>
              </w:rPr>
              <w:t>1-</w:t>
            </w:r>
            <w:r w:rsidRPr="00EB2BD8">
              <w:rPr>
                <w:rFonts w:ascii="Arial"/>
                <w:b/>
                <w:spacing w:val="-10"/>
                <w:sz w:val="16"/>
              </w:rPr>
              <w:t>3</w:t>
            </w:r>
          </w:p>
          <w:p w14:paraId="74A64D51" w14:textId="77777777" w:rsidR="00084F36" w:rsidRPr="00EB2BD8" w:rsidRDefault="00EB2BD8">
            <w:pPr>
              <w:pStyle w:val="TableParagraph"/>
              <w:spacing w:before="8"/>
              <w:ind w:right="92"/>
              <w:jc w:val="right"/>
              <w:rPr>
                <w:rFonts w:ascii="Arial"/>
                <w:b/>
                <w:sz w:val="16"/>
              </w:rPr>
            </w:pPr>
            <w:r w:rsidRPr="00EB2BD8">
              <w:rPr>
                <w:rFonts w:ascii="Arial"/>
                <w:b/>
                <w:spacing w:val="-2"/>
                <w:w w:val="105"/>
                <w:sz w:val="16"/>
              </w:rPr>
              <w:t>months</w:t>
            </w:r>
          </w:p>
        </w:tc>
        <w:tc>
          <w:tcPr>
            <w:tcW w:w="1033" w:type="dxa"/>
            <w:tcBorders>
              <w:left w:val="nil"/>
              <w:right w:val="nil"/>
            </w:tcBorders>
            <w:shd w:val="clear" w:color="auto" w:fill="0070C0"/>
          </w:tcPr>
          <w:p w14:paraId="2AF1125D" w14:textId="77777777" w:rsidR="00084F36" w:rsidRPr="00EB2BD8" w:rsidRDefault="00EB2BD8">
            <w:pPr>
              <w:pStyle w:val="TableParagraph"/>
              <w:spacing w:before="127"/>
              <w:ind w:right="92"/>
              <w:jc w:val="right"/>
              <w:rPr>
                <w:rFonts w:ascii="Arial"/>
                <w:b/>
                <w:sz w:val="16"/>
              </w:rPr>
            </w:pPr>
            <w:r w:rsidRPr="00EB2BD8">
              <w:rPr>
                <w:rFonts w:ascii="Arial"/>
                <w:b/>
                <w:w w:val="105"/>
                <w:sz w:val="16"/>
              </w:rPr>
              <w:t>3</w:t>
            </w:r>
            <w:r w:rsidRPr="00EB2BD8">
              <w:rPr>
                <w:rFonts w:ascii="Arial"/>
                <w:b/>
                <w:spacing w:val="-2"/>
                <w:w w:val="105"/>
                <w:sz w:val="16"/>
              </w:rPr>
              <w:t xml:space="preserve"> months</w:t>
            </w:r>
          </w:p>
          <w:p w14:paraId="7D5A5006" w14:textId="77777777" w:rsidR="00084F36" w:rsidRPr="00EB2BD8" w:rsidRDefault="00EB2BD8">
            <w:pPr>
              <w:pStyle w:val="TableParagraph"/>
              <w:spacing w:before="8"/>
              <w:ind w:right="94"/>
              <w:jc w:val="right"/>
              <w:rPr>
                <w:rFonts w:ascii="Arial"/>
                <w:b/>
                <w:sz w:val="16"/>
              </w:rPr>
            </w:pPr>
            <w:r w:rsidRPr="00EB2BD8">
              <w:rPr>
                <w:rFonts w:ascii="Arial"/>
                <w:b/>
                <w:w w:val="105"/>
                <w:sz w:val="16"/>
              </w:rPr>
              <w:t>-</w:t>
            </w:r>
            <w:r w:rsidRPr="00EB2BD8">
              <w:rPr>
                <w:rFonts w:ascii="Arial"/>
                <w:b/>
                <w:spacing w:val="-1"/>
                <w:w w:val="105"/>
                <w:sz w:val="16"/>
              </w:rPr>
              <w:t xml:space="preserve"> </w:t>
            </w:r>
            <w:r w:rsidRPr="00EB2BD8">
              <w:rPr>
                <w:rFonts w:ascii="Arial"/>
                <w:b/>
                <w:w w:val="105"/>
                <w:sz w:val="16"/>
              </w:rPr>
              <w:t>1</w:t>
            </w:r>
            <w:r w:rsidRPr="00EB2BD8">
              <w:rPr>
                <w:rFonts w:ascii="Arial"/>
                <w:b/>
                <w:spacing w:val="-1"/>
                <w:w w:val="105"/>
                <w:sz w:val="16"/>
              </w:rPr>
              <w:t xml:space="preserve"> </w:t>
            </w:r>
            <w:r w:rsidRPr="00EB2BD8">
              <w:rPr>
                <w:rFonts w:ascii="Arial"/>
                <w:b/>
                <w:spacing w:val="-4"/>
                <w:w w:val="105"/>
                <w:sz w:val="16"/>
              </w:rPr>
              <w:t>year</w:t>
            </w:r>
          </w:p>
        </w:tc>
        <w:tc>
          <w:tcPr>
            <w:tcW w:w="1183" w:type="dxa"/>
            <w:tcBorders>
              <w:left w:val="nil"/>
            </w:tcBorders>
            <w:shd w:val="clear" w:color="auto" w:fill="0070C0"/>
          </w:tcPr>
          <w:p w14:paraId="0CBCF902" w14:textId="77777777" w:rsidR="00084F36" w:rsidRPr="00EB2BD8" w:rsidRDefault="00EB2BD8">
            <w:pPr>
              <w:pStyle w:val="TableParagraph"/>
              <w:spacing w:before="127"/>
              <w:ind w:right="88"/>
              <w:jc w:val="right"/>
              <w:rPr>
                <w:rFonts w:ascii="Arial"/>
                <w:b/>
                <w:sz w:val="16"/>
              </w:rPr>
            </w:pPr>
            <w:r w:rsidRPr="00EB2BD8">
              <w:rPr>
                <w:rFonts w:ascii="Arial"/>
                <w:b/>
                <w:sz w:val="16"/>
              </w:rPr>
              <w:t>1-</w:t>
            </w:r>
            <w:r w:rsidRPr="00EB2BD8">
              <w:rPr>
                <w:rFonts w:ascii="Arial"/>
                <w:b/>
                <w:spacing w:val="-10"/>
                <w:sz w:val="16"/>
              </w:rPr>
              <w:t>5</w:t>
            </w:r>
          </w:p>
          <w:p w14:paraId="48A97AE6" w14:textId="77777777" w:rsidR="00084F36" w:rsidRPr="00EB2BD8" w:rsidRDefault="00EB2BD8">
            <w:pPr>
              <w:pStyle w:val="TableParagraph"/>
              <w:spacing w:before="8"/>
              <w:ind w:right="88"/>
              <w:jc w:val="right"/>
              <w:rPr>
                <w:rFonts w:ascii="Arial"/>
                <w:b/>
                <w:sz w:val="16"/>
              </w:rPr>
            </w:pPr>
            <w:r w:rsidRPr="00EB2BD8">
              <w:rPr>
                <w:rFonts w:ascii="Arial"/>
                <w:b/>
                <w:spacing w:val="-2"/>
                <w:w w:val="105"/>
                <w:sz w:val="16"/>
              </w:rPr>
              <w:t>years</w:t>
            </w:r>
          </w:p>
        </w:tc>
      </w:tr>
      <w:tr w:rsidR="00EB2BD8" w:rsidRPr="00EB2BD8" w14:paraId="5E368D16" w14:textId="77777777">
        <w:trPr>
          <w:trHeight w:val="306"/>
        </w:trPr>
        <w:tc>
          <w:tcPr>
            <w:tcW w:w="2801" w:type="dxa"/>
            <w:tcBorders>
              <w:left w:val="nil"/>
              <w:bottom w:val="single" w:sz="12" w:space="0" w:color="000000"/>
              <w:right w:val="nil"/>
            </w:tcBorders>
            <w:shd w:val="clear" w:color="auto" w:fill="FFFFFF"/>
          </w:tcPr>
          <w:p w14:paraId="311C6665" w14:textId="77777777" w:rsidR="00084F36" w:rsidRPr="00EB2BD8" w:rsidRDefault="00EB2BD8">
            <w:pPr>
              <w:pStyle w:val="TableParagraph"/>
              <w:spacing w:before="63"/>
              <w:ind w:left="105"/>
              <w:rPr>
                <w:rFonts w:ascii="Arial"/>
                <w:sz w:val="16"/>
              </w:rPr>
            </w:pPr>
            <w:r w:rsidRPr="00EB2BD8">
              <w:rPr>
                <w:rFonts w:ascii="Arial"/>
                <w:w w:val="105"/>
                <w:sz w:val="16"/>
              </w:rPr>
              <w:t>Lease</w:t>
            </w:r>
            <w:r w:rsidRPr="00EB2BD8">
              <w:rPr>
                <w:rFonts w:ascii="Arial"/>
                <w:spacing w:val="-7"/>
                <w:w w:val="105"/>
                <w:sz w:val="16"/>
              </w:rPr>
              <w:t xml:space="preserve"> </w:t>
            </w:r>
            <w:r w:rsidRPr="00EB2BD8">
              <w:rPr>
                <w:rFonts w:ascii="Arial"/>
                <w:spacing w:val="-2"/>
                <w:w w:val="105"/>
                <w:sz w:val="16"/>
              </w:rPr>
              <w:t>liabilities</w:t>
            </w:r>
          </w:p>
        </w:tc>
        <w:tc>
          <w:tcPr>
            <w:tcW w:w="1060" w:type="dxa"/>
            <w:tcBorders>
              <w:left w:val="nil"/>
              <w:bottom w:val="single" w:sz="12" w:space="0" w:color="000000"/>
              <w:right w:val="nil"/>
            </w:tcBorders>
            <w:shd w:val="clear" w:color="auto" w:fill="DEEAF6"/>
          </w:tcPr>
          <w:p w14:paraId="2990F507" w14:textId="77777777" w:rsidR="00084F36" w:rsidRPr="00EB2BD8" w:rsidRDefault="00EB2BD8">
            <w:pPr>
              <w:pStyle w:val="TableParagraph"/>
              <w:spacing w:before="63"/>
              <w:ind w:right="94"/>
              <w:jc w:val="right"/>
              <w:rPr>
                <w:rFonts w:ascii="Arial"/>
                <w:sz w:val="16"/>
              </w:rPr>
            </w:pPr>
            <w:r w:rsidRPr="00EB2BD8">
              <w:rPr>
                <w:rFonts w:ascii="Arial"/>
                <w:spacing w:val="-2"/>
                <w:w w:val="105"/>
                <w:sz w:val="16"/>
              </w:rPr>
              <w:t>6,378</w:t>
            </w:r>
          </w:p>
        </w:tc>
        <w:tc>
          <w:tcPr>
            <w:tcW w:w="1060" w:type="dxa"/>
            <w:tcBorders>
              <w:left w:val="nil"/>
              <w:bottom w:val="single" w:sz="12" w:space="0" w:color="000000"/>
              <w:right w:val="nil"/>
            </w:tcBorders>
            <w:shd w:val="clear" w:color="auto" w:fill="FFFFFF"/>
          </w:tcPr>
          <w:p w14:paraId="3914DA32" w14:textId="77777777" w:rsidR="00084F36" w:rsidRPr="00EB2BD8" w:rsidRDefault="00EB2BD8">
            <w:pPr>
              <w:pStyle w:val="TableParagraph"/>
              <w:spacing w:before="63"/>
              <w:ind w:right="93"/>
              <w:jc w:val="right"/>
              <w:rPr>
                <w:rFonts w:ascii="Arial"/>
                <w:sz w:val="16"/>
              </w:rPr>
            </w:pPr>
            <w:r w:rsidRPr="00EB2BD8">
              <w:rPr>
                <w:rFonts w:ascii="Arial"/>
                <w:spacing w:val="-2"/>
                <w:w w:val="105"/>
                <w:sz w:val="16"/>
              </w:rPr>
              <w:t>6,210</w:t>
            </w:r>
          </w:p>
        </w:tc>
        <w:tc>
          <w:tcPr>
            <w:tcW w:w="1059" w:type="dxa"/>
            <w:tcBorders>
              <w:left w:val="nil"/>
              <w:bottom w:val="single" w:sz="12" w:space="0" w:color="000000"/>
              <w:right w:val="nil"/>
            </w:tcBorders>
            <w:shd w:val="clear" w:color="auto" w:fill="DEEAF6"/>
          </w:tcPr>
          <w:p w14:paraId="70038308" w14:textId="77777777" w:rsidR="00084F36" w:rsidRPr="00EB2BD8" w:rsidRDefault="00EB2BD8">
            <w:pPr>
              <w:pStyle w:val="TableParagraph"/>
              <w:spacing w:before="63"/>
              <w:ind w:right="92"/>
              <w:jc w:val="right"/>
              <w:rPr>
                <w:rFonts w:ascii="Arial"/>
                <w:sz w:val="16"/>
              </w:rPr>
            </w:pPr>
            <w:r w:rsidRPr="00EB2BD8">
              <w:rPr>
                <w:rFonts w:ascii="Arial"/>
                <w:spacing w:val="-5"/>
                <w:w w:val="105"/>
                <w:sz w:val="16"/>
              </w:rPr>
              <w:t>208</w:t>
            </w:r>
          </w:p>
        </w:tc>
        <w:tc>
          <w:tcPr>
            <w:tcW w:w="1060" w:type="dxa"/>
            <w:tcBorders>
              <w:left w:val="nil"/>
              <w:bottom w:val="single" w:sz="12" w:space="0" w:color="000000"/>
              <w:right w:val="nil"/>
            </w:tcBorders>
            <w:shd w:val="clear" w:color="auto" w:fill="FFFFFF"/>
          </w:tcPr>
          <w:p w14:paraId="51C6C610" w14:textId="77777777" w:rsidR="00084F36" w:rsidRPr="00EB2BD8" w:rsidRDefault="00EB2BD8">
            <w:pPr>
              <w:pStyle w:val="TableParagraph"/>
              <w:spacing w:before="63"/>
              <w:ind w:right="93"/>
              <w:jc w:val="right"/>
              <w:rPr>
                <w:rFonts w:ascii="Arial"/>
                <w:sz w:val="16"/>
              </w:rPr>
            </w:pPr>
            <w:r w:rsidRPr="00EB2BD8">
              <w:rPr>
                <w:rFonts w:ascii="Arial"/>
                <w:spacing w:val="-5"/>
                <w:w w:val="105"/>
                <w:sz w:val="16"/>
              </w:rPr>
              <w:t>416</w:t>
            </w:r>
          </w:p>
        </w:tc>
        <w:tc>
          <w:tcPr>
            <w:tcW w:w="1033" w:type="dxa"/>
            <w:tcBorders>
              <w:left w:val="nil"/>
              <w:bottom w:val="single" w:sz="12" w:space="0" w:color="000000"/>
              <w:right w:val="nil"/>
            </w:tcBorders>
            <w:shd w:val="clear" w:color="auto" w:fill="DEEAF6"/>
          </w:tcPr>
          <w:p w14:paraId="51A92CE7" w14:textId="77777777" w:rsidR="00084F36" w:rsidRPr="00EB2BD8" w:rsidRDefault="00EB2BD8">
            <w:pPr>
              <w:pStyle w:val="TableParagraph"/>
              <w:spacing w:before="63"/>
              <w:ind w:right="93"/>
              <w:jc w:val="right"/>
              <w:rPr>
                <w:rFonts w:ascii="Arial"/>
                <w:sz w:val="16"/>
              </w:rPr>
            </w:pPr>
            <w:r w:rsidRPr="00EB2BD8">
              <w:rPr>
                <w:rFonts w:ascii="Arial"/>
                <w:spacing w:val="-2"/>
                <w:w w:val="105"/>
                <w:sz w:val="16"/>
              </w:rPr>
              <w:t>1,785</w:t>
            </w:r>
          </w:p>
        </w:tc>
        <w:tc>
          <w:tcPr>
            <w:tcW w:w="1183" w:type="dxa"/>
            <w:tcBorders>
              <w:left w:val="nil"/>
              <w:bottom w:val="single" w:sz="12" w:space="0" w:color="000000"/>
              <w:right w:val="nil"/>
            </w:tcBorders>
            <w:shd w:val="clear" w:color="auto" w:fill="FFFFFF"/>
          </w:tcPr>
          <w:p w14:paraId="622C72A2" w14:textId="77777777" w:rsidR="00084F36" w:rsidRPr="00EB2BD8" w:rsidRDefault="00EB2BD8">
            <w:pPr>
              <w:pStyle w:val="TableParagraph"/>
              <w:spacing w:before="63"/>
              <w:ind w:right="92"/>
              <w:jc w:val="right"/>
              <w:rPr>
                <w:rFonts w:ascii="Arial"/>
                <w:sz w:val="16"/>
              </w:rPr>
            </w:pPr>
            <w:r w:rsidRPr="00EB2BD8">
              <w:rPr>
                <w:rFonts w:ascii="Arial"/>
                <w:spacing w:val="-2"/>
                <w:w w:val="105"/>
                <w:sz w:val="16"/>
              </w:rPr>
              <w:t>3,801</w:t>
            </w:r>
          </w:p>
        </w:tc>
      </w:tr>
      <w:tr w:rsidR="00EB2BD8" w:rsidRPr="00EB2BD8" w14:paraId="2DE9522E" w14:textId="77777777">
        <w:trPr>
          <w:trHeight w:val="287"/>
        </w:trPr>
        <w:tc>
          <w:tcPr>
            <w:tcW w:w="2801" w:type="dxa"/>
            <w:tcBorders>
              <w:top w:val="single" w:sz="12" w:space="0" w:color="000000"/>
              <w:left w:val="nil"/>
              <w:bottom w:val="single" w:sz="12" w:space="0" w:color="000000"/>
              <w:right w:val="nil"/>
            </w:tcBorders>
            <w:shd w:val="clear" w:color="auto" w:fill="FFFFFF"/>
          </w:tcPr>
          <w:p w14:paraId="6DCF75D5" w14:textId="77777777" w:rsidR="00084F36" w:rsidRPr="00EB2BD8" w:rsidRDefault="00EB2BD8">
            <w:pPr>
              <w:pStyle w:val="TableParagraph"/>
              <w:spacing w:before="53"/>
              <w:ind w:left="105"/>
              <w:rPr>
                <w:rFonts w:ascii="Arial"/>
                <w:b/>
                <w:sz w:val="16"/>
              </w:rPr>
            </w:pPr>
            <w:r w:rsidRPr="00EB2BD8">
              <w:rPr>
                <w:rFonts w:ascii="Arial"/>
                <w:b/>
                <w:spacing w:val="-2"/>
                <w:w w:val="105"/>
                <w:sz w:val="16"/>
              </w:rPr>
              <w:t>Total</w:t>
            </w:r>
          </w:p>
        </w:tc>
        <w:tc>
          <w:tcPr>
            <w:tcW w:w="1060" w:type="dxa"/>
            <w:tcBorders>
              <w:top w:val="single" w:sz="12" w:space="0" w:color="000000"/>
              <w:left w:val="nil"/>
              <w:bottom w:val="single" w:sz="12" w:space="0" w:color="000000"/>
              <w:right w:val="nil"/>
            </w:tcBorders>
            <w:shd w:val="clear" w:color="auto" w:fill="DEEAF6"/>
          </w:tcPr>
          <w:p w14:paraId="4AE85B59" w14:textId="77777777" w:rsidR="00084F36" w:rsidRPr="00EB2BD8" w:rsidRDefault="00EB2BD8">
            <w:pPr>
              <w:pStyle w:val="TableParagraph"/>
              <w:spacing w:before="53"/>
              <w:ind w:right="95"/>
              <w:jc w:val="right"/>
              <w:rPr>
                <w:rFonts w:ascii="Arial"/>
                <w:b/>
                <w:sz w:val="16"/>
              </w:rPr>
            </w:pPr>
            <w:r w:rsidRPr="00EB2BD8">
              <w:rPr>
                <w:rFonts w:ascii="Arial"/>
                <w:b/>
                <w:spacing w:val="-2"/>
                <w:w w:val="105"/>
                <w:sz w:val="16"/>
              </w:rPr>
              <w:t>6,378</w:t>
            </w:r>
          </w:p>
        </w:tc>
        <w:tc>
          <w:tcPr>
            <w:tcW w:w="1060" w:type="dxa"/>
            <w:tcBorders>
              <w:top w:val="single" w:sz="12" w:space="0" w:color="000000"/>
              <w:left w:val="nil"/>
              <w:bottom w:val="single" w:sz="12" w:space="0" w:color="000000"/>
              <w:right w:val="nil"/>
            </w:tcBorders>
            <w:shd w:val="clear" w:color="auto" w:fill="FFFFFF"/>
          </w:tcPr>
          <w:p w14:paraId="4F053F9F" w14:textId="77777777" w:rsidR="00084F36" w:rsidRPr="00EB2BD8" w:rsidRDefault="00EB2BD8">
            <w:pPr>
              <w:pStyle w:val="TableParagraph"/>
              <w:spacing w:before="53"/>
              <w:ind w:right="94"/>
              <w:jc w:val="right"/>
              <w:rPr>
                <w:rFonts w:ascii="Arial"/>
                <w:b/>
                <w:sz w:val="16"/>
              </w:rPr>
            </w:pPr>
            <w:r w:rsidRPr="00EB2BD8">
              <w:rPr>
                <w:rFonts w:ascii="Arial"/>
                <w:b/>
                <w:spacing w:val="-2"/>
                <w:w w:val="105"/>
                <w:sz w:val="16"/>
              </w:rPr>
              <w:t>6,210</w:t>
            </w:r>
          </w:p>
        </w:tc>
        <w:tc>
          <w:tcPr>
            <w:tcW w:w="1059" w:type="dxa"/>
            <w:tcBorders>
              <w:top w:val="single" w:sz="12" w:space="0" w:color="000000"/>
              <w:left w:val="nil"/>
              <w:bottom w:val="single" w:sz="12" w:space="0" w:color="000000"/>
              <w:right w:val="nil"/>
            </w:tcBorders>
            <w:shd w:val="clear" w:color="auto" w:fill="DEEAF6"/>
          </w:tcPr>
          <w:p w14:paraId="17668BE2" w14:textId="77777777" w:rsidR="00084F36" w:rsidRPr="00EB2BD8" w:rsidRDefault="00EB2BD8">
            <w:pPr>
              <w:pStyle w:val="TableParagraph"/>
              <w:spacing w:before="53"/>
              <w:ind w:right="93"/>
              <w:jc w:val="right"/>
              <w:rPr>
                <w:rFonts w:ascii="Arial"/>
                <w:b/>
                <w:sz w:val="16"/>
              </w:rPr>
            </w:pPr>
            <w:r w:rsidRPr="00EB2BD8">
              <w:rPr>
                <w:rFonts w:ascii="Arial"/>
                <w:b/>
                <w:spacing w:val="-5"/>
                <w:w w:val="105"/>
                <w:sz w:val="16"/>
              </w:rPr>
              <w:t>208</w:t>
            </w:r>
          </w:p>
        </w:tc>
        <w:tc>
          <w:tcPr>
            <w:tcW w:w="1060" w:type="dxa"/>
            <w:tcBorders>
              <w:top w:val="single" w:sz="12" w:space="0" w:color="000000"/>
              <w:left w:val="nil"/>
              <w:bottom w:val="single" w:sz="12" w:space="0" w:color="000000"/>
              <w:right w:val="nil"/>
            </w:tcBorders>
            <w:shd w:val="clear" w:color="auto" w:fill="FFFFFF"/>
          </w:tcPr>
          <w:p w14:paraId="54111DC4" w14:textId="77777777" w:rsidR="00084F36" w:rsidRPr="00EB2BD8" w:rsidRDefault="00EB2BD8">
            <w:pPr>
              <w:pStyle w:val="TableParagraph"/>
              <w:spacing w:before="53"/>
              <w:ind w:right="94"/>
              <w:jc w:val="right"/>
              <w:rPr>
                <w:rFonts w:ascii="Arial"/>
                <w:b/>
                <w:sz w:val="16"/>
              </w:rPr>
            </w:pPr>
            <w:r w:rsidRPr="00EB2BD8">
              <w:rPr>
                <w:rFonts w:ascii="Arial"/>
                <w:b/>
                <w:spacing w:val="-5"/>
                <w:w w:val="105"/>
                <w:sz w:val="16"/>
              </w:rPr>
              <w:t>416</w:t>
            </w:r>
          </w:p>
        </w:tc>
        <w:tc>
          <w:tcPr>
            <w:tcW w:w="1033" w:type="dxa"/>
            <w:tcBorders>
              <w:top w:val="single" w:sz="12" w:space="0" w:color="000000"/>
              <w:left w:val="nil"/>
              <w:bottom w:val="single" w:sz="12" w:space="0" w:color="000000"/>
              <w:right w:val="nil"/>
            </w:tcBorders>
            <w:shd w:val="clear" w:color="auto" w:fill="DEEAF6"/>
          </w:tcPr>
          <w:p w14:paraId="2FAFB8AD" w14:textId="77777777" w:rsidR="00084F36" w:rsidRPr="00EB2BD8" w:rsidRDefault="00EB2BD8">
            <w:pPr>
              <w:pStyle w:val="TableParagraph"/>
              <w:spacing w:before="53"/>
              <w:ind w:right="94"/>
              <w:jc w:val="right"/>
              <w:rPr>
                <w:rFonts w:ascii="Arial"/>
                <w:b/>
                <w:sz w:val="16"/>
              </w:rPr>
            </w:pPr>
            <w:r w:rsidRPr="00EB2BD8">
              <w:rPr>
                <w:rFonts w:ascii="Arial"/>
                <w:b/>
                <w:spacing w:val="-2"/>
                <w:w w:val="105"/>
                <w:sz w:val="16"/>
              </w:rPr>
              <w:t>1,785</w:t>
            </w:r>
          </w:p>
        </w:tc>
        <w:tc>
          <w:tcPr>
            <w:tcW w:w="1183" w:type="dxa"/>
            <w:tcBorders>
              <w:top w:val="single" w:sz="12" w:space="0" w:color="000000"/>
              <w:left w:val="nil"/>
              <w:bottom w:val="single" w:sz="12" w:space="0" w:color="000000"/>
              <w:right w:val="nil"/>
            </w:tcBorders>
            <w:shd w:val="clear" w:color="auto" w:fill="FFFFFF"/>
          </w:tcPr>
          <w:p w14:paraId="034CA1D6" w14:textId="77777777" w:rsidR="00084F36" w:rsidRPr="00EB2BD8" w:rsidRDefault="00EB2BD8">
            <w:pPr>
              <w:pStyle w:val="TableParagraph"/>
              <w:spacing w:before="53"/>
              <w:ind w:right="93"/>
              <w:jc w:val="right"/>
              <w:rPr>
                <w:rFonts w:ascii="Arial"/>
                <w:b/>
                <w:sz w:val="16"/>
              </w:rPr>
            </w:pPr>
            <w:r w:rsidRPr="00EB2BD8">
              <w:rPr>
                <w:rFonts w:ascii="Arial"/>
                <w:b/>
                <w:spacing w:val="-2"/>
                <w:w w:val="105"/>
                <w:sz w:val="16"/>
              </w:rPr>
              <w:t>3,801</w:t>
            </w:r>
          </w:p>
        </w:tc>
      </w:tr>
    </w:tbl>
    <w:p w14:paraId="6B027478" w14:textId="77777777" w:rsidR="00084F36" w:rsidRPr="00EB2BD8" w:rsidRDefault="00084F36">
      <w:pPr>
        <w:pStyle w:val="BodyText"/>
        <w:rPr>
          <w:rFonts w:ascii="Arial"/>
          <w:sz w:val="20"/>
        </w:rPr>
      </w:pPr>
    </w:p>
    <w:p w14:paraId="583B148E" w14:textId="77777777" w:rsidR="00084F36" w:rsidRPr="00EB2BD8" w:rsidRDefault="00084F36">
      <w:pPr>
        <w:pStyle w:val="BodyText"/>
        <w:spacing w:before="9"/>
        <w:rPr>
          <w:rFonts w:ascii="Arial"/>
          <w:sz w:val="23"/>
        </w:rPr>
      </w:pPr>
    </w:p>
    <w:p w14:paraId="6D907A41" w14:textId="2E88D3B1" w:rsidR="00084F36" w:rsidRPr="00EB2BD8" w:rsidRDefault="00772B16" w:rsidP="00772B16">
      <w:pPr>
        <w:pStyle w:val="Heading2"/>
      </w:pPr>
      <w:bookmarkStart w:id="313" w:name="_Toc150762615"/>
      <w:r>
        <w:t xml:space="preserve">6.1.2 </w:t>
      </w:r>
      <w:r w:rsidR="00EB2BD8" w:rsidRPr="00EB2BD8">
        <w:t>Interest</w:t>
      </w:r>
      <w:r w:rsidR="00EB2BD8" w:rsidRPr="00EB2BD8">
        <w:rPr>
          <w:spacing w:val="14"/>
        </w:rPr>
        <w:t xml:space="preserve"> </w:t>
      </w:r>
      <w:r w:rsidR="00EB2BD8" w:rsidRPr="00EB2BD8">
        <w:rPr>
          <w:spacing w:val="-2"/>
        </w:rPr>
        <w:t>expense</w:t>
      </w:r>
      <w:bookmarkEnd w:id="313"/>
    </w:p>
    <w:p w14:paraId="5AAEF451" w14:textId="77777777" w:rsidR="00084F36" w:rsidRPr="00EB2BD8" w:rsidRDefault="00084F36">
      <w:pPr>
        <w:pStyle w:val="BodyText"/>
        <w:spacing w:before="2"/>
        <w:rPr>
          <w:rFonts w:ascii="Arial"/>
          <w:b/>
          <w:sz w:val="9"/>
        </w:rPr>
      </w:pPr>
    </w:p>
    <w:p w14:paraId="04DFA610" w14:textId="77777777" w:rsidR="00084F36" w:rsidRPr="00EB2BD8" w:rsidRDefault="00EB2BD8">
      <w:pPr>
        <w:spacing w:before="102" w:after="47"/>
        <w:ind w:right="1734"/>
        <w:jc w:val="right"/>
        <w:rPr>
          <w:rFonts w:ascii="Arial" w:hAnsi="Arial"/>
          <w:sz w:val="16"/>
        </w:rPr>
      </w:pPr>
      <w:r w:rsidRPr="00EB2BD8">
        <w:rPr>
          <w:rFonts w:ascii="Arial" w:hAnsi="Arial"/>
          <w:spacing w:val="-2"/>
          <w:w w:val="105"/>
          <w:sz w:val="16"/>
        </w:rPr>
        <w:t>($’000)</w:t>
      </w:r>
    </w:p>
    <w:tbl>
      <w:tblPr>
        <w:tblW w:w="0" w:type="auto"/>
        <w:tblInd w:w="1021" w:type="dxa"/>
        <w:tblBorders>
          <w:top w:val="single" w:sz="4" w:space="0" w:color="0098FF"/>
          <w:left w:val="single" w:sz="4" w:space="0" w:color="0098FF"/>
          <w:bottom w:val="single" w:sz="4" w:space="0" w:color="0098FF"/>
          <w:right w:val="single" w:sz="4" w:space="0" w:color="0098FF"/>
          <w:insideH w:val="single" w:sz="4" w:space="0" w:color="0098FF"/>
          <w:insideV w:val="single" w:sz="4" w:space="0" w:color="0098FF"/>
        </w:tblBorders>
        <w:tblLayout w:type="fixed"/>
        <w:tblCellMar>
          <w:left w:w="0" w:type="dxa"/>
          <w:right w:w="0" w:type="dxa"/>
        </w:tblCellMar>
        <w:tblLook w:val="01E0" w:firstRow="1" w:lastRow="1" w:firstColumn="1" w:lastColumn="1" w:noHBand="0" w:noVBand="0"/>
      </w:tblPr>
      <w:tblGrid>
        <w:gridCol w:w="4399"/>
        <w:gridCol w:w="2611"/>
        <w:gridCol w:w="1058"/>
        <w:gridCol w:w="1190"/>
      </w:tblGrid>
      <w:tr w:rsidR="00EB2BD8" w:rsidRPr="00EB2BD8" w14:paraId="677F2AD4" w14:textId="77777777">
        <w:trPr>
          <w:trHeight w:val="306"/>
        </w:trPr>
        <w:tc>
          <w:tcPr>
            <w:tcW w:w="7010" w:type="dxa"/>
            <w:gridSpan w:val="2"/>
            <w:tcBorders>
              <w:right w:val="nil"/>
            </w:tcBorders>
            <w:shd w:val="clear" w:color="auto" w:fill="0070C0"/>
          </w:tcPr>
          <w:p w14:paraId="12F2771A" w14:textId="77777777" w:rsidR="00084F36" w:rsidRPr="00EB2BD8" w:rsidRDefault="00EB2BD8">
            <w:pPr>
              <w:pStyle w:val="TableParagraph"/>
              <w:spacing w:before="63"/>
              <w:ind w:right="95"/>
              <w:jc w:val="right"/>
              <w:rPr>
                <w:rFonts w:ascii="Arial"/>
                <w:b/>
                <w:sz w:val="16"/>
              </w:rPr>
            </w:pPr>
            <w:r w:rsidRPr="00EB2BD8">
              <w:rPr>
                <w:rFonts w:ascii="Arial"/>
                <w:b/>
                <w:spacing w:val="-4"/>
                <w:w w:val="105"/>
                <w:sz w:val="16"/>
              </w:rPr>
              <w:t>Note</w:t>
            </w:r>
          </w:p>
        </w:tc>
        <w:tc>
          <w:tcPr>
            <w:tcW w:w="1058" w:type="dxa"/>
            <w:tcBorders>
              <w:left w:val="nil"/>
              <w:right w:val="nil"/>
            </w:tcBorders>
            <w:shd w:val="clear" w:color="auto" w:fill="0070C0"/>
          </w:tcPr>
          <w:p w14:paraId="7ACFD843" w14:textId="77777777" w:rsidR="00084F36" w:rsidRPr="00EB2BD8" w:rsidRDefault="00EB2BD8">
            <w:pPr>
              <w:pStyle w:val="TableParagraph"/>
              <w:spacing w:before="63"/>
              <w:ind w:right="95"/>
              <w:jc w:val="right"/>
              <w:rPr>
                <w:rFonts w:ascii="Arial"/>
                <w:b/>
                <w:sz w:val="16"/>
              </w:rPr>
            </w:pPr>
            <w:r w:rsidRPr="00EB2BD8">
              <w:rPr>
                <w:rFonts w:ascii="Arial"/>
                <w:b/>
                <w:spacing w:val="-4"/>
                <w:w w:val="105"/>
                <w:sz w:val="16"/>
              </w:rPr>
              <w:t>2023</w:t>
            </w:r>
          </w:p>
        </w:tc>
        <w:tc>
          <w:tcPr>
            <w:tcW w:w="1190" w:type="dxa"/>
            <w:tcBorders>
              <w:left w:val="nil"/>
            </w:tcBorders>
            <w:shd w:val="clear" w:color="auto" w:fill="0070C0"/>
          </w:tcPr>
          <w:p w14:paraId="12A88EE9" w14:textId="77777777" w:rsidR="00084F36" w:rsidRPr="00EB2BD8" w:rsidRDefault="00EB2BD8">
            <w:pPr>
              <w:pStyle w:val="TableParagraph"/>
              <w:spacing w:before="63"/>
              <w:ind w:right="90"/>
              <w:jc w:val="right"/>
              <w:rPr>
                <w:rFonts w:ascii="Arial"/>
                <w:b/>
                <w:sz w:val="16"/>
              </w:rPr>
            </w:pPr>
            <w:r w:rsidRPr="00EB2BD8">
              <w:rPr>
                <w:rFonts w:ascii="Arial"/>
                <w:b/>
                <w:spacing w:val="-4"/>
                <w:w w:val="105"/>
                <w:sz w:val="16"/>
              </w:rPr>
              <w:t>2022</w:t>
            </w:r>
          </w:p>
        </w:tc>
      </w:tr>
      <w:tr w:rsidR="00EB2BD8" w:rsidRPr="00EB2BD8" w14:paraId="52EF914E" w14:textId="77777777">
        <w:trPr>
          <w:trHeight w:val="307"/>
        </w:trPr>
        <w:tc>
          <w:tcPr>
            <w:tcW w:w="4399" w:type="dxa"/>
            <w:tcBorders>
              <w:left w:val="nil"/>
              <w:bottom w:val="single" w:sz="12" w:space="0" w:color="000000"/>
              <w:right w:val="nil"/>
            </w:tcBorders>
            <w:shd w:val="clear" w:color="auto" w:fill="FFFFFF"/>
          </w:tcPr>
          <w:p w14:paraId="149AEAF9" w14:textId="77777777" w:rsidR="00084F36" w:rsidRPr="00EB2BD8" w:rsidRDefault="00EB2BD8">
            <w:pPr>
              <w:pStyle w:val="TableParagraph"/>
              <w:spacing w:before="64"/>
              <w:ind w:left="105"/>
              <w:rPr>
                <w:rFonts w:ascii="Arial"/>
                <w:sz w:val="16"/>
              </w:rPr>
            </w:pPr>
            <w:r w:rsidRPr="00EB2BD8">
              <w:rPr>
                <w:rFonts w:ascii="Arial"/>
                <w:w w:val="105"/>
                <w:sz w:val="16"/>
              </w:rPr>
              <w:t>Interest</w:t>
            </w:r>
            <w:r w:rsidRPr="00EB2BD8">
              <w:rPr>
                <w:rFonts w:ascii="Arial"/>
                <w:spacing w:val="-7"/>
                <w:w w:val="105"/>
                <w:sz w:val="16"/>
              </w:rPr>
              <w:t xml:space="preserve"> </w:t>
            </w:r>
            <w:r w:rsidRPr="00EB2BD8">
              <w:rPr>
                <w:rFonts w:ascii="Arial"/>
                <w:w w:val="105"/>
                <w:sz w:val="16"/>
              </w:rPr>
              <w:t>expense</w:t>
            </w:r>
            <w:r w:rsidRPr="00EB2BD8">
              <w:rPr>
                <w:rFonts w:ascii="Arial"/>
                <w:spacing w:val="-6"/>
                <w:w w:val="105"/>
                <w:sz w:val="16"/>
              </w:rPr>
              <w:t xml:space="preserve"> </w:t>
            </w:r>
            <w:r w:rsidRPr="00EB2BD8">
              <w:rPr>
                <w:rFonts w:ascii="Arial"/>
                <w:w w:val="105"/>
                <w:sz w:val="16"/>
              </w:rPr>
              <w:t>on</w:t>
            </w:r>
            <w:r w:rsidRPr="00EB2BD8">
              <w:rPr>
                <w:rFonts w:ascii="Arial"/>
                <w:spacing w:val="-7"/>
                <w:w w:val="105"/>
                <w:sz w:val="16"/>
              </w:rPr>
              <w:t xml:space="preserve"> </w:t>
            </w:r>
            <w:r w:rsidRPr="00EB2BD8">
              <w:rPr>
                <w:rFonts w:ascii="Arial"/>
                <w:w w:val="105"/>
                <w:sz w:val="16"/>
              </w:rPr>
              <w:t>lease</w:t>
            </w:r>
            <w:r w:rsidRPr="00EB2BD8">
              <w:rPr>
                <w:rFonts w:ascii="Arial"/>
                <w:spacing w:val="-6"/>
                <w:w w:val="105"/>
                <w:sz w:val="16"/>
              </w:rPr>
              <w:t xml:space="preserve"> </w:t>
            </w:r>
            <w:r w:rsidRPr="00EB2BD8">
              <w:rPr>
                <w:rFonts w:ascii="Arial"/>
                <w:spacing w:val="-2"/>
                <w:w w:val="105"/>
                <w:sz w:val="16"/>
              </w:rPr>
              <w:t>liabilities</w:t>
            </w:r>
          </w:p>
        </w:tc>
        <w:tc>
          <w:tcPr>
            <w:tcW w:w="2611" w:type="dxa"/>
            <w:tcBorders>
              <w:left w:val="nil"/>
              <w:bottom w:val="single" w:sz="12" w:space="0" w:color="000000"/>
              <w:right w:val="nil"/>
            </w:tcBorders>
            <w:shd w:val="clear" w:color="auto" w:fill="FFFFFF"/>
          </w:tcPr>
          <w:p w14:paraId="163511C6" w14:textId="77777777" w:rsidR="00084F36" w:rsidRPr="00EB2BD8" w:rsidRDefault="00EB2BD8">
            <w:pPr>
              <w:pStyle w:val="TableParagraph"/>
              <w:spacing w:before="64"/>
              <w:ind w:left="1699"/>
              <w:rPr>
                <w:rFonts w:ascii="Arial"/>
                <w:sz w:val="16"/>
              </w:rPr>
            </w:pPr>
            <w:r w:rsidRPr="00EB2BD8">
              <w:rPr>
                <w:rFonts w:ascii="Arial"/>
                <w:spacing w:val="-2"/>
                <w:w w:val="105"/>
                <w:sz w:val="16"/>
              </w:rPr>
              <w:t>6.2.2</w:t>
            </w:r>
          </w:p>
        </w:tc>
        <w:tc>
          <w:tcPr>
            <w:tcW w:w="1058" w:type="dxa"/>
            <w:tcBorders>
              <w:left w:val="nil"/>
              <w:bottom w:val="single" w:sz="12" w:space="0" w:color="000000"/>
              <w:right w:val="nil"/>
            </w:tcBorders>
            <w:shd w:val="clear" w:color="auto" w:fill="DEEAF6"/>
          </w:tcPr>
          <w:p w14:paraId="0CF79F11" w14:textId="77777777" w:rsidR="00084F36" w:rsidRPr="00EB2BD8" w:rsidRDefault="00EB2BD8">
            <w:pPr>
              <w:pStyle w:val="TableParagraph"/>
              <w:spacing w:before="64"/>
              <w:ind w:right="95"/>
              <w:jc w:val="right"/>
              <w:rPr>
                <w:rFonts w:ascii="Arial"/>
                <w:sz w:val="16"/>
              </w:rPr>
            </w:pPr>
            <w:r w:rsidRPr="00EB2BD8">
              <w:rPr>
                <w:rFonts w:ascii="Arial"/>
                <w:spacing w:val="-5"/>
                <w:w w:val="105"/>
                <w:sz w:val="16"/>
              </w:rPr>
              <w:t>139</w:t>
            </w:r>
          </w:p>
        </w:tc>
        <w:tc>
          <w:tcPr>
            <w:tcW w:w="1190" w:type="dxa"/>
            <w:tcBorders>
              <w:left w:val="nil"/>
              <w:bottom w:val="single" w:sz="12" w:space="0" w:color="000000"/>
              <w:right w:val="nil"/>
            </w:tcBorders>
            <w:shd w:val="clear" w:color="auto" w:fill="FFFFFF"/>
          </w:tcPr>
          <w:p w14:paraId="129E0341" w14:textId="77777777" w:rsidR="00084F36" w:rsidRPr="00EB2BD8" w:rsidRDefault="00EB2BD8">
            <w:pPr>
              <w:pStyle w:val="TableParagraph"/>
              <w:spacing w:before="64"/>
              <w:ind w:right="94"/>
              <w:jc w:val="right"/>
              <w:rPr>
                <w:rFonts w:ascii="Arial"/>
                <w:sz w:val="16"/>
              </w:rPr>
            </w:pPr>
            <w:r w:rsidRPr="00EB2BD8">
              <w:rPr>
                <w:rFonts w:ascii="Arial"/>
                <w:spacing w:val="-5"/>
                <w:w w:val="105"/>
                <w:sz w:val="16"/>
              </w:rPr>
              <w:t>187</w:t>
            </w:r>
          </w:p>
        </w:tc>
      </w:tr>
      <w:tr w:rsidR="00EB2BD8" w:rsidRPr="00EB2BD8" w14:paraId="1B4B24DD" w14:textId="77777777">
        <w:trPr>
          <w:trHeight w:val="286"/>
        </w:trPr>
        <w:tc>
          <w:tcPr>
            <w:tcW w:w="7010" w:type="dxa"/>
            <w:gridSpan w:val="2"/>
            <w:tcBorders>
              <w:top w:val="single" w:sz="12" w:space="0" w:color="000000"/>
              <w:left w:val="nil"/>
              <w:bottom w:val="single" w:sz="12" w:space="0" w:color="000000"/>
              <w:right w:val="nil"/>
            </w:tcBorders>
            <w:shd w:val="clear" w:color="auto" w:fill="FFFFFF"/>
          </w:tcPr>
          <w:p w14:paraId="4BA63C1F" w14:textId="77777777" w:rsidR="00084F36" w:rsidRPr="00EB2BD8" w:rsidRDefault="00EB2BD8">
            <w:pPr>
              <w:pStyle w:val="TableParagraph"/>
              <w:spacing w:before="52"/>
              <w:ind w:left="105"/>
              <w:rPr>
                <w:rFonts w:ascii="Arial"/>
                <w:b/>
                <w:sz w:val="16"/>
              </w:rPr>
            </w:pPr>
            <w:r w:rsidRPr="00EB2BD8">
              <w:rPr>
                <w:rFonts w:ascii="Arial"/>
                <w:b/>
                <w:w w:val="105"/>
                <w:sz w:val="16"/>
              </w:rPr>
              <w:t>Total</w:t>
            </w:r>
            <w:r w:rsidRPr="00EB2BD8">
              <w:rPr>
                <w:rFonts w:ascii="Arial"/>
                <w:b/>
                <w:spacing w:val="-9"/>
                <w:w w:val="105"/>
                <w:sz w:val="16"/>
              </w:rPr>
              <w:t xml:space="preserve"> </w:t>
            </w:r>
            <w:r w:rsidRPr="00EB2BD8">
              <w:rPr>
                <w:rFonts w:ascii="Arial"/>
                <w:b/>
                <w:w w:val="105"/>
                <w:sz w:val="16"/>
              </w:rPr>
              <w:t>interest</w:t>
            </w:r>
            <w:r w:rsidRPr="00EB2BD8">
              <w:rPr>
                <w:rFonts w:ascii="Arial"/>
                <w:b/>
                <w:spacing w:val="-8"/>
                <w:w w:val="105"/>
                <w:sz w:val="16"/>
              </w:rPr>
              <w:t xml:space="preserve"> </w:t>
            </w:r>
            <w:r w:rsidRPr="00EB2BD8">
              <w:rPr>
                <w:rFonts w:ascii="Arial"/>
                <w:b/>
                <w:spacing w:val="-2"/>
                <w:w w:val="105"/>
                <w:sz w:val="16"/>
              </w:rPr>
              <w:t>expense</w:t>
            </w:r>
          </w:p>
        </w:tc>
        <w:tc>
          <w:tcPr>
            <w:tcW w:w="1058" w:type="dxa"/>
            <w:tcBorders>
              <w:top w:val="single" w:sz="12" w:space="0" w:color="000000"/>
              <w:left w:val="nil"/>
              <w:bottom w:val="single" w:sz="12" w:space="0" w:color="000000"/>
              <w:right w:val="nil"/>
            </w:tcBorders>
            <w:shd w:val="clear" w:color="auto" w:fill="DEEAF6"/>
          </w:tcPr>
          <w:p w14:paraId="435D427C" w14:textId="77777777" w:rsidR="00084F36" w:rsidRPr="00EB2BD8" w:rsidRDefault="00EB2BD8">
            <w:pPr>
              <w:pStyle w:val="TableParagraph"/>
              <w:spacing w:before="52"/>
              <w:ind w:right="95"/>
              <w:jc w:val="right"/>
              <w:rPr>
                <w:rFonts w:ascii="Arial"/>
                <w:b/>
                <w:sz w:val="16"/>
              </w:rPr>
            </w:pPr>
            <w:r w:rsidRPr="00EB2BD8">
              <w:rPr>
                <w:rFonts w:ascii="Arial"/>
                <w:b/>
                <w:spacing w:val="-5"/>
                <w:w w:val="105"/>
                <w:sz w:val="16"/>
              </w:rPr>
              <w:t>139</w:t>
            </w:r>
          </w:p>
        </w:tc>
        <w:tc>
          <w:tcPr>
            <w:tcW w:w="1190" w:type="dxa"/>
            <w:tcBorders>
              <w:top w:val="single" w:sz="12" w:space="0" w:color="000000"/>
              <w:left w:val="nil"/>
              <w:bottom w:val="single" w:sz="12" w:space="0" w:color="000000"/>
              <w:right w:val="nil"/>
            </w:tcBorders>
            <w:shd w:val="clear" w:color="auto" w:fill="FFFFFF"/>
          </w:tcPr>
          <w:p w14:paraId="6BCC64FD" w14:textId="77777777" w:rsidR="00084F36" w:rsidRPr="00EB2BD8" w:rsidRDefault="00EB2BD8">
            <w:pPr>
              <w:pStyle w:val="TableParagraph"/>
              <w:spacing w:before="52"/>
              <w:ind w:right="95"/>
              <w:jc w:val="right"/>
              <w:rPr>
                <w:rFonts w:ascii="Arial"/>
                <w:b/>
                <w:sz w:val="16"/>
              </w:rPr>
            </w:pPr>
            <w:r w:rsidRPr="00EB2BD8">
              <w:rPr>
                <w:rFonts w:ascii="Arial"/>
                <w:b/>
                <w:spacing w:val="-5"/>
                <w:w w:val="105"/>
                <w:sz w:val="16"/>
              </w:rPr>
              <w:t>187</w:t>
            </w:r>
          </w:p>
        </w:tc>
      </w:tr>
    </w:tbl>
    <w:p w14:paraId="2CD1FBF1" w14:textId="77777777" w:rsidR="00084F36" w:rsidRPr="00EB2BD8" w:rsidRDefault="00084F36">
      <w:pPr>
        <w:pStyle w:val="BodyText"/>
        <w:spacing w:before="9"/>
        <w:rPr>
          <w:rFonts w:ascii="Arial"/>
          <w:sz w:val="20"/>
        </w:rPr>
      </w:pPr>
    </w:p>
    <w:p w14:paraId="0EBB153C" w14:textId="77777777" w:rsidR="00084F36" w:rsidRPr="00EB2BD8" w:rsidRDefault="00EB2BD8">
      <w:pPr>
        <w:spacing w:line="290" w:lineRule="auto"/>
        <w:ind w:left="1013" w:right="1813"/>
        <w:rPr>
          <w:rFonts w:ascii="Arial"/>
          <w:sz w:val="16"/>
        </w:rPr>
      </w:pPr>
      <w:r w:rsidRPr="00EB2BD8">
        <w:rPr>
          <w:rFonts w:ascii="Arial"/>
          <w:w w:val="105"/>
          <w:sz w:val="16"/>
        </w:rPr>
        <w:t>Interest</w:t>
      </w:r>
      <w:r w:rsidRPr="00EB2BD8">
        <w:rPr>
          <w:rFonts w:ascii="Arial"/>
          <w:spacing w:val="-3"/>
          <w:w w:val="105"/>
          <w:sz w:val="16"/>
        </w:rPr>
        <w:t xml:space="preserve"> </w:t>
      </w:r>
      <w:r w:rsidRPr="00EB2BD8">
        <w:rPr>
          <w:rFonts w:ascii="Arial"/>
          <w:w w:val="105"/>
          <w:sz w:val="16"/>
        </w:rPr>
        <w:t>expense</w:t>
      </w:r>
      <w:r w:rsidRPr="00EB2BD8">
        <w:rPr>
          <w:rFonts w:ascii="Arial"/>
          <w:spacing w:val="-3"/>
          <w:w w:val="105"/>
          <w:sz w:val="16"/>
        </w:rPr>
        <w:t xml:space="preserve"> </w:t>
      </w:r>
      <w:r w:rsidRPr="00EB2BD8">
        <w:rPr>
          <w:rFonts w:ascii="Arial"/>
          <w:w w:val="105"/>
          <w:sz w:val="16"/>
        </w:rPr>
        <w:t>includes</w:t>
      </w:r>
      <w:r w:rsidRPr="00EB2BD8">
        <w:rPr>
          <w:rFonts w:ascii="Arial"/>
          <w:spacing w:val="-3"/>
          <w:w w:val="105"/>
          <w:sz w:val="16"/>
        </w:rPr>
        <w:t xml:space="preserve"> </w:t>
      </w:r>
      <w:r w:rsidRPr="00EB2BD8">
        <w:rPr>
          <w:rFonts w:ascii="Arial"/>
          <w:w w:val="105"/>
          <w:sz w:val="16"/>
        </w:rPr>
        <w:t>costs</w:t>
      </w:r>
      <w:r w:rsidRPr="00EB2BD8">
        <w:rPr>
          <w:rFonts w:ascii="Arial"/>
          <w:spacing w:val="-3"/>
          <w:w w:val="105"/>
          <w:sz w:val="16"/>
        </w:rPr>
        <w:t xml:space="preserve"> </w:t>
      </w:r>
      <w:r w:rsidRPr="00EB2BD8">
        <w:rPr>
          <w:rFonts w:ascii="Arial"/>
          <w:w w:val="105"/>
          <w:sz w:val="16"/>
        </w:rPr>
        <w:t>incurred</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connection</w:t>
      </w:r>
      <w:r w:rsidRPr="00EB2BD8">
        <w:rPr>
          <w:rFonts w:ascii="Arial"/>
          <w:spacing w:val="-3"/>
          <w:w w:val="105"/>
          <w:sz w:val="16"/>
        </w:rPr>
        <w:t xml:space="preserve"> </w:t>
      </w:r>
      <w:r w:rsidRPr="00EB2BD8">
        <w:rPr>
          <w:rFonts w:ascii="Arial"/>
          <w:w w:val="105"/>
          <w:sz w:val="16"/>
        </w:rPr>
        <w:t>with</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interest</w:t>
      </w:r>
      <w:r w:rsidRPr="00EB2BD8">
        <w:rPr>
          <w:rFonts w:ascii="Arial"/>
          <w:spacing w:val="-3"/>
          <w:w w:val="105"/>
          <w:sz w:val="16"/>
        </w:rPr>
        <w:t xml:space="preserve"> </w:t>
      </w:r>
      <w:r w:rsidRPr="00EB2BD8">
        <w:rPr>
          <w:rFonts w:ascii="Arial"/>
          <w:w w:val="105"/>
          <w:sz w:val="16"/>
        </w:rPr>
        <w:t>component</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lease</w:t>
      </w:r>
      <w:r w:rsidRPr="00EB2BD8">
        <w:rPr>
          <w:rFonts w:ascii="Arial"/>
          <w:spacing w:val="-3"/>
          <w:w w:val="105"/>
          <w:sz w:val="16"/>
        </w:rPr>
        <w:t xml:space="preserve"> </w:t>
      </w:r>
      <w:r w:rsidRPr="00EB2BD8">
        <w:rPr>
          <w:rFonts w:ascii="Arial"/>
          <w:w w:val="105"/>
          <w:sz w:val="16"/>
        </w:rPr>
        <w:t>repayments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recognised in the period in which it is incurred.</w:t>
      </w:r>
    </w:p>
    <w:p w14:paraId="3A2A599E" w14:textId="77777777" w:rsidR="00084F36" w:rsidRPr="00EB2BD8" w:rsidRDefault="00084F36">
      <w:pPr>
        <w:pStyle w:val="BodyText"/>
        <w:rPr>
          <w:rFonts w:ascii="Arial"/>
        </w:rPr>
      </w:pPr>
    </w:p>
    <w:p w14:paraId="05BCCC6E" w14:textId="01EBB366" w:rsidR="00084F36" w:rsidRPr="00772B16" w:rsidRDefault="00772B16" w:rsidP="00772B16">
      <w:pPr>
        <w:pStyle w:val="Heading2"/>
      </w:pPr>
      <w:bookmarkStart w:id="314" w:name="_Toc150762616"/>
      <w:r w:rsidRPr="00772B16">
        <w:t>6.</w:t>
      </w:r>
      <w:r>
        <w:t>2</w:t>
      </w:r>
      <w:r w:rsidRPr="00772B16">
        <w:t xml:space="preserve"> </w:t>
      </w:r>
      <w:r w:rsidR="00EB2BD8" w:rsidRPr="00772B16">
        <w:t>L</w:t>
      </w:r>
      <w:r>
        <w:t>eases</w:t>
      </w:r>
      <w:bookmarkEnd w:id="314"/>
    </w:p>
    <w:p w14:paraId="36FB5D1F" w14:textId="77777777" w:rsidR="00084F36" w:rsidRPr="00EB2BD8" w:rsidRDefault="00EB2BD8">
      <w:pPr>
        <w:spacing w:before="177" w:line="290" w:lineRule="auto"/>
        <w:ind w:left="1013" w:right="1672"/>
        <w:rPr>
          <w:rFonts w:ascii="Arial"/>
          <w:sz w:val="16"/>
        </w:rPr>
      </w:pPr>
      <w:r w:rsidRPr="00EB2BD8">
        <w:rPr>
          <w:rFonts w:ascii="Arial"/>
          <w:w w:val="105"/>
          <w:sz w:val="16"/>
        </w:rPr>
        <w:t>The</w:t>
      </w:r>
      <w:r w:rsidRPr="00EB2BD8">
        <w:rPr>
          <w:rFonts w:ascii="Arial"/>
          <w:spacing w:val="-2"/>
          <w:w w:val="105"/>
          <w:sz w:val="16"/>
        </w:rPr>
        <w:t xml:space="preserve"> </w:t>
      </w:r>
      <w:r w:rsidRPr="00EB2BD8">
        <w:rPr>
          <w:rFonts w:ascii="Arial"/>
          <w:w w:val="105"/>
          <w:sz w:val="16"/>
        </w:rPr>
        <w:t>VBA</w:t>
      </w:r>
      <w:r w:rsidRPr="00EB2BD8">
        <w:rPr>
          <w:rFonts w:ascii="Arial"/>
          <w:spacing w:val="-2"/>
          <w:w w:val="105"/>
          <w:sz w:val="16"/>
        </w:rPr>
        <w:t xml:space="preserve"> </w:t>
      </w:r>
      <w:r w:rsidRPr="00EB2BD8">
        <w:rPr>
          <w:rFonts w:ascii="Arial"/>
          <w:w w:val="105"/>
          <w:sz w:val="16"/>
        </w:rPr>
        <w:t>leases</w:t>
      </w:r>
      <w:r w:rsidRPr="00EB2BD8">
        <w:rPr>
          <w:rFonts w:ascii="Arial"/>
          <w:spacing w:val="-2"/>
          <w:w w:val="105"/>
          <w:sz w:val="16"/>
        </w:rPr>
        <w:t xml:space="preserve"> </w:t>
      </w:r>
      <w:r w:rsidRPr="00EB2BD8">
        <w:rPr>
          <w:rFonts w:ascii="Arial"/>
          <w:w w:val="105"/>
          <w:sz w:val="16"/>
        </w:rPr>
        <w:t>buildings,</w:t>
      </w:r>
      <w:r w:rsidRPr="00EB2BD8">
        <w:rPr>
          <w:rFonts w:ascii="Arial"/>
          <w:spacing w:val="-2"/>
          <w:w w:val="105"/>
          <w:sz w:val="16"/>
        </w:rPr>
        <w:t xml:space="preserve"> </w:t>
      </w:r>
      <w:r w:rsidRPr="00EB2BD8">
        <w:rPr>
          <w:rFonts w:ascii="Arial"/>
          <w:w w:val="105"/>
          <w:sz w:val="16"/>
        </w:rPr>
        <w:t>plant,</w:t>
      </w:r>
      <w:r w:rsidRPr="00EB2BD8">
        <w:rPr>
          <w:rFonts w:ascii="Arial"/>
          <w:spacing w:val="-2"/>
          <w:w w:val="105"/>
          <w:sz w:val="16"/>
        </w:rPr>
        <w:t xml:space="preserve"> </w:t>
      </w:r>
      <w:r w:rsidRPr="00EB2BD8">
        <w:rPr>
          <w:rFonts w:ascii="Arial"/>
          <w:w w:val="105"/>
          <w:sz w:val="16"/>
        </w:rPr>
        <w:t>equipment</w:t>
      </w:r>
      <w:r w:rsidRPr="00EB2BD8">
        <w:rPr>
          <w:rFonts w:ascii="Arial"/>
          <w:spacing w:val="-1"/>
          <w:w w:val="105"/>
          <w:sz w:val="16"/>
        </w:rPr>
        <w:t xml:space="preserve"> </w:t>
      </w:r>
      <w:r w:rsidRPr="00EB2BD8">
        <w:rPr>
          <w:rFonts w:ascii="Arial"/>
          <w:w w:val="105"/>
          <w:sz w:val="16"/>
        </w:rPr>
        <w:t>and</w:t>
      </w:r>
      <w:r w:rsidRPr="00EB2BD8">
        <w:rPr>
          <w:rFonts w:ascii="Arial"/>
          <w:spacing w:val="-2"/>
          <w:w w:val="105"/>
          <w:sz w:val="16"/>
        </w:rPr>
        <w:t xml:space="preserve"> </w:t>
      </w:r>
      <w:r w:rsidRPr="00EB2BD8">
        <w:rPr>
          <w:rFonts w:ascii="Arial"/>
          <w:w w:val="105"/>
          <w:sz w:val="16"/>
        </w:rPr>
        <w:t>vehicles.</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building</w:t>
      </w:r>
      <w:r w:rsidRPr="00EB2BD8">
        <w:rPr>
          <w:rFonts w:ascii="Arial"/>
          <w:spacing w:val="-2"/>
          <w:w w:val="105"/>
          <w:sz w:val="16"/>
        </w:rPr>
        <w:t xml:space="preserve"> </w:t>
      </w:r>
      <w:r w:rsidRPr="00EB2BD8">
        <w:rPr>
          <w:rFonts w:ascii="Arial"/>
          <w:w w:val="105"/>
          <w:sz w:val="16"/>
        </w:rPr>
        <w:t>lease</w:t>
      </w:r>
      <w:r w:rsidRPr="00EB2BD8">
        <w:rPr>
          <w:rFonts w:ascii="Arial"/>
          <w:spacing w:val="-2"/>
          <w:w w:val="105"/>
          <w:sz w:val="16"/>
        </w:rPr>
        <w:t xml:space="preserve"> </w:t>
      </w:r>
      <w:r w:rsidRPr="00EB2BD8">
        <w:rPr>
          <w:rFonts w:ascii="Arial"/>
          <w:w w:val="105"/>
          <w:sz w:val="16"/>
        </w:rPr>
        <w:t>contract</w:t>
      </w:r>
      <w:r w:rsidRPr="00EB2BD8">
        <w:rPr>
          <w:rFonts w:ascii="Arial"/>
          <w:spacing w:val="-2"/>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typically</w:t>
      </w:r>
      <w:r w:rsidRPr="00EB2BD8">
        <w:rPr>
          <w:rFonts w:ascii="Arial"/>
          <w:spacing w:val="-2"/>
          <w:w w:val="105"/>
          <w:sz w:val="16"/>
        </w:rPr>
        <w:t xml:space="preserve"> </w:t>
      </w:r>
      <w:r w:rsidRPr="00EB2BD8">
        <w:rPr>
          <w:rFonts w:ascii="Arial"/>
          <w:w w:val="105"/>
          <w:sz w:val="16"/>
        </w:rPr>
        <w:t>made</w:t>
      </w:r>
      <w:r w:rsidRPr="00EB2BD8">
        <w:rPr>
          <w:rFonts w:ascii="Arial"/>
          <w:spacing w:val="-2"/>
          <w:w w:val="105"/>
          <w:sz w:val="16"/>
        </w:rPr>
        <w:t xml:space="preserve"> </w:t>
      </w:r>
      <w:r w:rsidRPr="00EB2BD8">
        <w:rPr>
          <w:rFonts w:ascii="Arial"/>
          <w:w w:val="105"/>
          <w:sz w:val="16"/>
        </w:rPr>
        <w:t>for</w:t>
      </w:r>
      <w:r w:rsidRPr="00EB2BD8">
        <w:rPr>
          <w:rFonts w:ascii="Arial"/>
          <w:spacing w:val="-2"/>
          <w:w w:val="105"/>
          <w:sz w:val="16"/>
        </w:rPr>
        <w:t xml:space="preserve"> </w:t>
      </w:r>
      <w:r w:rsidRPr="00EB2BD8">
        <w:rPr>
          <w:rFonts w:ascii="Arial"/>
          <w:w w:val="105"/>
          <w:sz w:val="16"/>
        </w:rPr>
        <w:t>fixed</w:t>
      </w:r>
      <w:r w:rsidRPr="00EB2BD8">
        <w:rPr>
          <w:rFonts w:ascii="Arial"/>
          <w:spacing w:val="-2"/>
          <w:w w:val="105"/>
          <w:sz w:val="16"/>
        </w:rPr>
        <w:t xml:space="preserve"> </w:t>
      </w:r>
      <w:r w:rsidRPr="00EB2BD8">
        <w:rPr>
          <w:rFonts w:ascii="Arial"/>
          <w:w w:val="105"/>
          <w:sz w:val="16"/>
        </w:rPr>
        <w:t>periods</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5 years with an option to review the lease after that date.</w:t>
      </w:r>
      <w:r w:rsidRPr="00EB2BD8">
        <w:rPr>
          <w:rFonts w:ascii="Arial"/>
          <w:spacing w:val="40"/>
          <w:w w:val="105"/>
          <w:sz w:val="16"/>
        </w:rPr>
        <w:t xml:space="preserve"> </w:t>
      </w:r>
      <w:r w:rsidRPr="00EB2BD8">
        <w:rPr>
          <w:rFonts w:ascii="Arial"/>
          <w:w w:val="105"/>
          <w:sz w:val="16"/>
        </w:rPr>
        <w:t>Lease payments are renegotiated every 5 years to reflect market rentals. The motor vehicles lease contracts with Vicfleet are made for a fixed period of 3 years.</w:t>
      </w:r>
    </w:p>
    <w:p w14:paraId="64303AD6" w14:textId="77777777" w:rsidR="00084F36" w:rsidRPr="00EB2BD8" w:rsidRDefault="00084F36">
      <w:pPr>
        <w:pStyle w:val="BodyText"/>
        <w:rPr>
          <w:rFonts w:ascii="Arial"/>
        </w:rPr>
      </w:pPr>
    </w:p>
    <w:p w14:paraId="294E1602" w14:textId="5D7470BC" w:rsidR="00084F36" w:rsidRPr="00772B16" w:rsidRDefault="00772B16" w:rsidP="00772B16">
      <w:pPr>
        <w:pStyle w:val="Heading2"/>
      </w:pPr>
      <w:bookmarkStart w:id="315" w:name="_Toc150762617"/>
      <w:r>
        <w:t xml:space="preserve">6.2.1 </w:t>
      </w:r>
      <w:r w:rsidR="00EB2BD8" w:rsidRPr="00772B16">
        <w:t>Right-of-use-</w:t>
      </w:r>
      <w:r w:rsidR="00EB2BD8" w:rsidRPr="00772B16">
        <w:rPr>
          <w:spacing w:val="-2"/>
        </w:rPr>
        <w:t>assets</w:t>
      </w:r>
      <w:bookmarkEnd w:id="315"/>
    </w:p>
    <w:p w14:paraId="33AF24A4" w14:textId="77777777" w:rsidR="00084F36" w:rsidRPr="00EB2BD8" w:rsidRDefault="00EB2BD8">
      <w:pPr>
        <w:spacing w:before="156"/>
        <w:ind w:left="1013"/>
        <w:rPr>
          <w:rFonts w:ascii="Arial"/>
          <w:sz w:val="16"/>
        </w:rPr>
      </w:pPr>
      <w:r w:rsidRPr="00EB2BD8">
        <w:rPr>
          <w:rFonts w:ascii="Arial"/>
          <w:w w:val="105"/>
          <w:sz w:val="16"/>
        </w:rPr>
        <w:t>Right-of-use</w:t>
      </w:r>
      <w:r w:rsidRPr="00EB2BD8">
        <w:rPr>
          <w:rFonts w:ascii="Arial"/>
          <w:spacing w:val="-7"/>
          <w:w w:val="105"/>
          <w:sz w:val="16"/>
        </w:rPr>
        <w:t xml:space="preserve"> </w:t>
      </w:r>
      <w:r w:rsidRPr="00EB2BD8">
        <w:rPr>
          <w:rFonts w:ascii="Arial"/>
          <w:w w:val="105"/>
          <w:sz w:val="16"/>
        </w:rPr>
        <w:t>assets</w:t>
      </w:r>
      <w:r w:rsidRPr="00EB2BD8">
        <w:rPr>
          <w:rFonts w:ascii="Arial"/>
          <w:spacing w:val="-7"/>
          <w:w w:val="105"/>
          <w:sz w:val="16"/>
        </w:rPr>
        <w:t xml:space="preserve"> </w:t>
      </w:r>
      <w:r w:rsidRPr="00EB2BD8">
        <w:rPr>
          <w:rFonts w:ascii="Arial"/>
          <w:w w:val="105"/>
          <w:sz w:val="16"/>
        </w:rPr>
        <w:t>are</w:t>
      </w:r>
      <w:r w:rsidRPr="00EB2BD8">
        <w:rPr>
          <w:rFonts w:ascii="Arial"/>
          <w:spacing w:val="-7"/>
          <w:w w:val="105"/>
          <w:sz w:val="16"/>
        </w:rPr>
        <w:t xml:space="preserve"> </w:t>
      </w:r>
      <w:r w:rsidRPr="00EB2BD8">
        <w:rPr>
          <w:rFonts w:ascii="Arial"/>
          <w:w w:val="105"/>
          <w:sz w:val="16"/>
        </w:rPr>
        <w:t>presented</w:t>
      </w:r>
      <w:r w:rsidRPr="00EB2BD8">
        <w:rPr>
          <w:rFonts w:ascii="Arial"/>
          <w:spacing w:val="-7"/>
          <w:w w:val="105"/>
          <w:sz w:val="16"/>
        </w:rPr>
        <w:t xml:space="preserve"> </w:t>
      </w:r>
      <w:r w:rsidRPr="00EB2BD8">
        <w:rPr>
          <w:rFonts w:ascii="Arial"/>
          <w:w w:val="105"/>
          <w:sz w:val="16"/>
        </w:rPr>
        <w:t>in</w:t>
      </w:r>
      <w:r w:rsidRPr="00EB2BD8">
        <w:rPr>
          <w:rFonts w:ascii="Arial"/>
          <w:spacing w:val="-7"/>
          <w:w w:val="105"/>
          <w:sz w:val="16"/>
        </w:rPr>
        <w:t xml:space="preserve"> </w:t>
      </w:r>
      <w:r w:rsidRPr="00EB2BD8">
        <w:rPr>
          <w:rFonts w:ascii="Arial"/>
          <w:w w:val="105"/>
          <w:sz w:val="16"/>
        </w:rPr>
        <w:t>note</w:t>
      </w:r>
      <w:r w:rsidRPr="00EB2BD8">
        <w:rPr>
          <w:rFonts w:ascii="Arial"/>
          <w:spacing w:val="-7"/>
          <w:w w:val="105"/>
          <w:sz w:val="16"/>
        </w:rPr>
        <w:t xml:space="preserve"> </w:t>
      </w:r>
      <w:r w:rsidRPr="00EB2BD8">
        <w:rPr>
          <w:rFonts w:ascii="Arial"/>
          <w:spacing w:val="-2"/>
          <w:w w:val="105"/>
          <w:sz w:val="16"/>
        </w:rPr>
        <w:t>4.1.1.</w:t>
      </w:r>
    </w:p>
    <w:p w14:paraId="611D8037" w14:textId="77777777" w:rsidR="00084F36" w:rsidRPr="00EB2BD8" w:rsidRDefault="00084F36">
      <w:pPr>
        <w:pStyle w:val="BodyText"/>
        <w:rPr>
          <w:rFonts w:ascii="Arial"/>
        </w:rPr>
      </w:pPr>
    </w:p>
    <w:p w14:paraId="43CCB99D" w14:textId="77777777" w:rsidR="00084F36" w:rsidRPr="00EB2BD8" w:rsidRDefault="00084F36">
      <w:pPr>
        <w:pStyle w:val="BodyText"/>
        <w:spacing w:before="1"/>
        <w:rPr>
          <w:rFonts w:ascii="Arial"/>
          <w:sz w:val="14"/>
        </w:rPr>
      </w:pPr>
    </w:p>
    <w:p w14:paraId="1FF98AA3" w14:textId="56EB510A" w:rsidR="00084F36" w:rsidRPr="00EB2BD8" w:rsidRDefault="00772B16" w:rsidP="00772B16">
      <w:pPr>
        <w:pStyle w:val="Heading2"/>
      </w:pPr>
      <w:bookmarkStart w:id="316" w:name="_Toc150762618"/>
      <w:r>
        <w:t xml:space="preserve">6.2.2 </w:t>
      </w:r>
      <w:r w:rsidR="00EB2BD8" w:rsidRPr="00EB2BD8">
        <w:t>Amounts</w:t>
      </w:r>
      <w:r w:rsidR="00EB2BD8" w:rsidRPr="00EB2BD8">
        <w:rPr>
          <w:spacing w:val="16"/>
        </w:rPr>
        <w:t xml:space="preserve"> </w:t>
      </w:r>
      <w:r w:rsidR="00EB2BD8" w:rsidRPr="00EB2BD8">
        <w:t>recognised</w:t>
      </w:r>
      <w:r w:rsidR="00EB2BD8" w:rsidRPr="00EB2BD8">
        <w:rPr>
          <w:spacing w:val="16"/>
        </w:rPr>
        <w:t xml:space="preserve"> </w:t>
      </w:r>
      <w:r w:rsidR="00EB2BD8" w:rsidRPr="00EB2BD8">
        <w:t>in</w:t>
      </w:r>
      <w:r w:rsidR="00EB2BD8" w:rsidRPr="00EB2BD8">
        <w:rPr>
          <w:spacing w:val="17"/>
        </w:rPr>
        <w:t xml:space="preserve"> </w:t>
      </w:r>
      <w:r w:rsidR="00EB2BD8" w:rsidRPr="00EB2BD8">
        <w:t>the</w:t>
      </w:r>
      <w:r w:rsidR="00EB2BD8" w:rsidRPr="00EB2BD8">
        <w:rPr>
          <w:spacing w:val="16"/>
        </w:rPr>
        <w:t xml:space="preserve"> </w:t>
      </w:r>
      <w:r w:rsidR="00EB2BD8" w:rsidRPr="00EB2BD8">
        <w:t>comprehensive</w:t>
      </w:r>
      <w:r w:rsidR="00EB2BD8" w:rsidRPr="00EB2BD8">
        <w:rPr>
          <w:spacing w:val="17"/>
        </w:rPr>
        <w:t xml:space="preserve"> </w:t>
      </w:r>
      <w:r w:rsidR="00EB2BD8" w:rsidRPr="00EB2BD8">
        <w:t>operating</w:t>
      </w:r>
      <w:r w:rsidR="00EB2BD8" w:rsidRPr="00EB2BD8">
        <w:rPr>
          <w:spacing w:val="16"/>
        </w:rPr>
        <w:t xml:space="preserve"> </w:t>
      </w:r>
      <w:r w:rsidR="00EB2BD8" w:rsidRPr="00EB2BD8">
        <w:rPr>
          <w:spacing w:val="-2"/>
        </w:rPr>
        <w:t>statement</w:t>
      </w:r>
      <w:bookmarkEnd w:id="316"/>
    </w:p>
    <w:p w14:paraId="43485772" w14:textId="77777777" w:rsidR="00084F36" w:rsidRPr="00EB2BD8" w:rsidRDefault="00EB2BD8">
      <w:pPr>
        <w:spacing w:before="155"/>
        <w:ind w:left="1013"/>
        <w:rPr>
          <w:rFonts w:ascii="Arial"/>
          <w:sz w:val="16"/>
        </w:rPr>
      </w:pPr>
      <w:r w:rsidRPr="00EB2BD8">
        <w:rPr>
          <w:rFonts w:ascii="Arial"/>
          <w:w w:val="105"/>
          <w:sz w:val="16"/>
        </w:rPr>
        <w:t>The</w:t>
      </w:r>
      <w:r w:rsidRPr="00EB2BD8">
        <w:rPr>
          <w:rFonts w:ascii="Arial"/>
          <w:spacing w:val="-8"/>
          <w:w w:val="105"/>
          <w:sz w:val="16"/>
        </w:rPr>
        <w:t xml:space="preserve"> </w:t>
      </w:r>
      <w:r w:rsidRPr="00EB2BD8">
        <w:rPr>
          <w:rFonts w:ascii="Arial"/>
          <w:w w:val="105"/>
          <w:sz w:val="16"/>
        </w:rPr>
        <w:t>following</w:t>
      </w:r>
      <w:r w:rsidRPr="00EB2BD8">
        <w:rPr>
          <w:rFonts w:ascii="Arial"/>
          <w:spacing w:val="-8"/>
          <w:w w:val="105"/>
          <w:sz w:val="16"/>
        </w:rPr>
        <w:t xml:space="preserve"> </w:t>
      </w:r>
      <w:r w:rsidRPr="00EB2BD8">
        <w:rPr>
          <w:rFonts w:ascii="Arial"/>
          <w:w w:val="105"/>
          <w:sz w:val="16"/>
        </w:rPr>
        <w:t>amounts</w:t>
      </w:r>
      <w:r w:rsidRPr="00EB2BD8">
        <w:rPr>
          <w:rFonts w:ascii="Arial"/>
          <w:spacing w:val="-8"/>
          <w:w w:val="105"/>
          <w:sz w:val="16"/>
        </w:rPr>
        <w:t xml:space="preserve"> </w:t>
      </w:r>
      <w:r w:rsidRPr="00EB2BD8">
        <w:rPr>
          <w:rFonts w:ascii="Arial"/>
          <w:w w:val="105"/>
          <w:sz w:val="16"/>
        </w:rPr>
        <w:t>are</w:t>
      </w:r>
      <w:r w:rsidRPr="00EB2BD8">
        <w:rPr>
          <w:rFonts w:ascii="Arial"/>
          <w:spacing w:val="-8"/>
          <w:w w:val="105"/>
          <w:sz w:val="16"/>
        </w:rPr>
        <w:t xml:space="preserve"> </w:t>
      </w:r>
      <w:r w:rsidRPr="00EB2BD8">
        <w:rPr>
          <w:rFonts w:ascii="Arial"/>
          <w:w w:val="105"/>
          <w:sz w:val="16"/>
        </w:rPr>
        <w:t>recognised</w:t>
      </w:r>
      <w:r w:rsidRPr="00EB2BD8">
        <w:rPr>
          <w:rFonts w:ascii="Arial"/>
          <w:spacing w:val="-8"/>
          <w:w w:val="105"/>
          <w:sz w:val="16"/>
        </w:rPr>
        <w:t xml:space="preserve"> </w:t>
      </w:r>
      <w:r w:rsidRPr="00EB2BD8">
        <w:rPr>
          <w:rFonts w:ascii="Arial"/>
          <w:w w:val="105"/>
          <w:sz w:val="16"/>
        </w:rPr>
        <w:t>in</w:t>
      </w:r>
      <w:r w:rsidRPr="00EB2BD8">
        <w:rPr>
          <w:rFonts w:ascii="Arial"/>
          <w:spacing w:val="-8"/>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comprehensive</w:t>
      </w:r>
      <w:r w:rsidRPr="00EB2BD8">
        <w:rPr>
          <w:rFonts w:ascii="Arial"/>
          <w:spacing w:val="-7"/>
          <w:w w:val="105"/>
          <w:sz w:val="16"/>
        </w:rPr>
        <w:t xml:space="preserve"> </w:t>
      </w:r>
      <w:r w:rsidRPr="00EB2BD8">
        <w:rPr>
          <w:rFonts w:ascii="Arial"/>
          <w:w w:val="105"/>
          <w:sz w:val="16"/>
        </w:rPr>
        <w:t>operating</w:t>
      </w:r>
      <w:r w:rsidRPr="00EB2BD8">
        <w:rPr>
          <w:rFonts w:ascii="Arial"/>
          <w:spacing w:val="-7"/>
          <w:w w:val="105"/>
          <w:sz w:val="16"/>
        </w:rPr>
        <w:t xml:space="preserve"> </w:t>
      </w:r>
      <w:r w:rsidRPr="00EB2BD8">
        <w:rPr>
          <w:rFonts w:ascii="Arial"/>
          <w:w w:val="105"/>
          <w:sz w:val="16"/>
        </w:rPr>
        <w:t>statement</w:t>
      </w:r>
      <w:r w:rsidRPr="00EB2BD8">
        <w:rPr>
          <w:rFonts w:ascii="Arial"/>
          <w:spacing w:val="-8"/>
          <w:w w:val="105"/>
          <w:sz w:val="16"/>
        </w:rPr>
        <w:t xml:space="preserve"> </w:t>
      </w:r>
      <w:r w:rsidRPr="00EB2BD8">
        <w:rPr>
          <w:rFonts w:ascii="Arial"/>
          <w:w w:val="105"/>
          <w:sz w:val="16"/>
        </w:rPr>
        <w:t>relating</w:t>
      </w:r>
      <w:r w:rsidRPr="00EB2BD8">
        <w:rPr>
          <w:rFonts w:ascii="Arial"/>
          <w:spacing w:val="-7"/>
          <w:w w:val="105"/>
          <w:sz w:val="16"/>
        </w:rPr>
        <w:t xml:space="preserve"> </w:t>
      </w:r>
      <w:r w:rsidRPr="00EB2BD8">
        <w:rPr>
          <w:rFonts w:ascii="Arial"/>
          <w:w w:val="105"/>
          <w:sz w:val="16"/>
        </w:rPr>
        <w:t>to</w:t>
      </w:r>
      <w:r w:rsidRPr="00EB2BD8">
        <w:rPr>
          <w:rFonts w:ascii="Arial"/>
          <w:spacing w:val="-8"/>
          <w:w w:val="105"/>
          <w:sz w:val="16"/>
        </w:rPr>
        <w:t xml:space="preserve"> </w:t>
      </w:r>
      <w:r w:rsidRPr="00EB2BD8">
        <w:rPr>
          <w:rFonts w:ascii="Arial"/>
          <w:spacing w:val="-2"/>
          <w:w w:val="105"/>
          <w:sz w:val="16"/>
        </w:rPr>
        <w:t>leases:</w:t>
      </w:r>
    </w:p>
    <w:p w14:paraId="494F8E26" w14:textId="77777777" w:rsidR="00084F36" w:rsidRPr="00EB2BD8" w:rsidRDefault="00084F36">
      <w:pPr>
        <w:pStyle w:val="BodyText"/>
        <w:rPr>
          <w:rFonts w:ascii="Arial"/>
        </w:rPr>
      </w:pPr>
    </w:p>
    <w:p w14:paraId="0C0D2A90" w14:textId="77777777" w:rsidR="00084F36" w:rsidRPr="00EB2BD8" w:rsidRDefault="00EB2BD8">
      <w:pPr>
        <w:spacing w:before="114" w:after="56"/>
        <w:ind w:right="1867"/>
        <w:jc w:val="right"/>
        <w:rPr>
          <w:rFonts w:ascii="Arial" w:hAnsi="Arial"/>
          <w:sz w:val="16"/>
        </w:rPr>
      </w:pPr>
      <w:r w:rsidRPr="00EB2BD8">
        <w:rPr>
          <w:rFonts w:ascii="Arial" w:hAnsi="Arial"/>
          <w:spacing w:val="-2"/>
          <w:w w:val="105"/>
          <w:sz w:val="16"/>
        </w:rPr>
        <w:t>($’000)</w:t>
      </w:r>
    </w:p>
    <w:tbl>
      <w:tblPr>
        <w:tblW w:w="0" w:type="auto"/>
        <w:tblInd w:w="1016" w:type="dxa"/>
        <w:tblBorders>
          <w:top w:val="single" w:sz="4" w:space="0" w:color="0098FF"/>
          <w:left w:val="single" w:sz="4" w:space="0" w:color="0098FF"/>
          <w:bottom w:val="single" w:sz="4" w:space="0" w:color="0098FF"/>
          <w:right w:val="single" w:sz="4" w:space="0" w:color="0098FF"/>
          <w:insideH w:val="single" w:sz="4" w:space="0" w:color="0098FF"/>
          <w:insideV w:val="single" w:sz="4" w:space="0" w:color="0098FF"/>
        </w:tblBorders>
        <w:tblLayout w:type="fixed"/>
        <w:tblCellMar>
          <w:left w:w="0" w:type="dxa"/>
          <w:right w:w="0" w:type="dxa"/>
        </w:tblCellMar>
        <w:tblLook w:val="01E0" w:firstRow="1" w:lastRow="1" w:firstColumn="1" w:lastColumn="1" w:noHBand="0" w:noVBand="0"/>
      </w:tblPr>
      <w:tblGrid>
        <w:gridCol w:w="6480"/>
        <w:gridCol w:w="1371"/>
        <w:gridCol w:w="1274"/>
      </w:tblGrid>
      <w:tr w:rsidR="00EB2BD8" w:rsidRPr="00EB2BD8" w14:paraId="543013F3" w14:textId="77777777">
        <w:trPr>
          <w:trHeight w:val="307"/>
        </w:trPr>
        <w:tc>
          <w:tcPr>
            <w:tcW w:w="7851" w:type="dxa"/>
            <w:gridSpan w:val="2"/>
            <w:tcBorders>
              <w:left w:val="nil"/>
              <w:right w:val="nil"/>
            </w:tcBorders>
            <w:shd w:val="clear" w:color="auto" w:fill="0070C0"/>
          </w:tcPr>
          <w:p w14:paraId="70269939" w14:textId="77777777" w:rsidR="00084F36" w:rsidRPr="00EB2BD8" w:rsidRDefault="00EB2BD8">
            <w:pPr>
              <w:pStyle w:val="TableParagraph"/>
              <w:spacing w:before="64"/>
              <w:ind w:right="94"/>
              <w:jc w:val="right"/>
              <w:rPr>
                <w:rFonts w:ascii="Arial"/>
                <w:b/>
                <w:sz w:val="16"/>
              </w:rPr>
            </w:pPr>
            <w:r w:rsidRPr="00EB2BD8">
              <w:rPr>
                <w:rFonts w:ascii="Arial"/>
                <w:b/>
                <w:spacing w:val="-4"/>
                <w:w w:val="105"/>
                <w:sz w:val="16"/>
              </w:rPr>
              <w:t>2023</w:t>
            </w:r>
          </w:p>
        </w:tc>
        <w:tc>
          <w:tcPr>
            <w:tcW w:w="1274" w:type="dxa"/>
            <w:tcBorders>
              <w:left w:val="nil"/>
            </w:tcBorders>
            <w:shd w:val="clear" w:color="auto" w:fill="0070C0"/>
          </w:tcPr>
          <w:p w14:paraId="13D1016B" w14:textId="77777777" w:rsidR="00084F36" w:rsidRPr="00EB2BD8" w:rsidRDefault="00EB2BD8">
            <w:pPr>
              <w:pStyle w:val="TableParagraph"/>
              <w:spacing w:before="64"/>
              <w:ind w:right="90"/>
              <w:jc w:val="right"/>
              <w:rPr>
                <w:rFonts w:ascii="Arial"/>
                <w:b/>
                <w:sz w:val="16"/>
              </w:rPr>
            </w:pPr>
            <w:r w:rsidRPr="00EB2BD8">
              <w:rPr>
                <w:rFonts w:ascii="Arial"/>
                <w:b/>
                <w:spacing w:val="-4"/>
                <w:w w:val="105"/>
                <w:sz w:val="16"/>
              </w:rPr>
              <w:t>2022</w:t>
            </w:r>
          </w:p>
        </w:tc>
      </w:tr>
      <w:tr w:rsidR="00EB2BD8" w:rsidRPr="00EB2BD8" w14:paraId="082F3CCB" w14:textId="77777777">
        <w:trPr>
          <w:trHeight w:val="306"/>
        </w:trPr>
        <w:tc>
          <w:tcPr>
            <w:tcW w:w="6480" w:type="dxa"/>
            <w:tcBorders>
              <w:left w:val="nil"/>
              <w:bottom w:val="single" w:sz="12" w:space="0" w:color="000000"/>
              <w:right w:val="nil"/>
            </w:tcBorders>
            <w:shd w:val="clear" w:color="auto" w:fill="FFFFFF"/>
          </w:tcPr>
          <w:p w14:paraId="537A4651" w14:textId="77777777" w:rsidR="00084F36" w:rsidRPr="00EB2BD8" w:rsidRDefault="00EB2BD8">
            <w:pPr>
              <w:pStyle w:val="TableParagraph"/>
              <w:spacing w:before="63"/>
              <w:ind w:left="105"/>
              <w:rPr>
                <w:rFonts w:ascii="Arial"/>
                <w:sz w:val="16"/>
              </w:rPr>
            </w:pPr>
            <w:r w:rsidRPr="00EB2BD8">
              <w:rPr>
                <w:rFonts w:ascii="Arial"/>
                <w:w w:val="105"/>
                <w:sz w:val="16"/>
              </w:rPr>
              <w:t>Interest</w:t>
            </w:r>
            <w:r w:rsidRPr="00EB2BD8">
              <w:rPr>
                <w:rFonts w:ascii="Arial"/>
                <w:spacing w:val="-7"/>
                <w:w w:val="105"/>
                <w:sz w:val="16"/>
              </w:rPr>
              <w:t xml:space="preserve"> </w:t>
            </w:r>
            <w:r w:rsidRPr="00EB2BD8">
              <w:rPr>
                <w:rFonts w:ascii="Arial"/>
                <w:w w:val="105"/>
                <w:sz w:val="16"/>
              </w:rPr>
              <w:t>expense</w:t>
            </w:r>
            <w:r w:rsidRPr="00EB2BD8">
              <w:rPr>
                <w:rFonts w:ascii="Arial"/>
                <w:spacing w:val="-6"/>
                <w:w w:val="105"/>
                <w:sz w:val="16"/>
              </w:rPr>
              <w:t xml:space="preserve"> </w:t>
            </w:r>
            <w:r w:rsidRPr="00EB2BD8">
              <w:rPr>
                <w:rFonts w:ascii="Arial"/>
                <w:w w:val="105"/>
                <w:sz w:val="16"/>
              </w:rPr>
              <w:t>on</w:t>
            </w:r>
            <w:r w:rsidRPr="00EB2BD8">
              <w:rPr>
                <w:rFonts w:ascii="Arial"/>
                <w:spacing w:val="-7"/>
                <w:w w:val="105"/>
                <w:sz w:val="16"/>
              </w:rPr>
              <w:t xml:space="preserve"> </w:t>
            </w:r>
            <w:r w:rsidRPr="00EB2BD8">
              <w:rPr>
                <w:rFonts w:ascii="Arial"/>
                <w:w w:val="105"/>
                <w:sz w:val="16"/>
              </w:rPr>
              <w:t>lease</w:t>
            </w:r>
            <w:r w:rsidRPr="00EB2BD8">
              <w:rPr>
                <w:rFonts w:ascii="Arial"/>
                <w:spacing w:val="-6"/>
                <w:w w:val="105"/>
                <w:sz w:val="16"/>
              </w:rPr>
              <w:t xml:space="preserve"> </w:t>
            </w:r>
            <w:r w:rsidRPr="00EB2BD8">
              <w:rPr>
                <w:rFonts w:ascii="Arial"/>
                <w:spacing w:val="-2"/>
                <w:w w:val="105"/>
                <w:sz w:val="16"/>
              </w:rPr>
              <w:t>liabilities</w:t>
            </w:r>
          </w:p>
        </w:tc>
        <w:tc>
          <w:tcPr>
            <w:tcW w:w="1371" w:type="dxa"/>
            <w:tcBorders>
              <w:left w:val="nil"/>
              <w:bottom w:val="single" w:sz="12" w:space="0" w:color="000000"/>
              <w:right w:val="nil"/>
            </w:tcBorders>
            <w:shd w:val="clear" w:color="auto" w:fill="DEEAF6"/>
          </w:tcPr>
          <w:p w14:paraId="14E860A1" w14:textId="77777777" w:rsidR="00084F36" w:rsidRPr="00EB2BD8" w:rsidRDefault="00EB2BD8">
            <w:pPr>
              <w:pStyle w:val="TableParagraph"/>
              <w:spacing w:before="63"/>
              <w:ind w:right="94"/>
              <w:jc w:val="right"/>
              <w:rPr>
                <w:rFonts w:ascii="Arial"/>
                <w:sz w:val="16"/>
              </w:rPr>
            </w:pPr>
            <w:r w:rsidRPr="00EB2BD8">
              <w:rPr>
                <w:rFonts w:ascii="Arial"/>
                <w:spacing w:val="-5"/>
                <w:w w:val="105"/>
                <w:sz w:val="16"/>
              </w:rPr>
              <w:t>139</w:t>
            </w:r>
          </w:p>
        </w:tc>
        <w:tc>
          <w:tcPr>
            <w:tcW w:w="1274" w:type="dxa"/>
            <w:tcBorders>
              <w:left w:val="nil"/>
              <w:bottom w:val="single" w:sz="12" w:space="0" w:color="000000"/>
              <w:right w:val="nil"/>
            </w:tcBorders>
            <w:shd w:val="clear" w:color="auto" w:fill="FFFFFF"/>
          </w:tcPr>
          <w:p w14:paraId="31CFB3BE" w14:textId="77777777" w:rsidR="00084F36" w:rsidRPr="00EB2BD8" w:rsidRDefault="00EB2BD8">
            <w:pPr>
              <w:pStyle w:val="TableParagraph"/>
              <w:spacing w:before="63"/>
              <w:ind w:right="94"/>
              <w:jc w:val="right"/>
              <w:rPr>
                <w:rFonts w:ascii="Arial"/>
                <w:sz w:val="16"/>
              </w:rPr>
            </w:pPr>
            <w:r w:rsidRPr="00EB2BD8">
              <w:rPr>
                <w:rFonts w:ascii="Arial"/>
                <w:spacing w:val="-5"/>
                <w:w w:val="105"/>
                <w:sz w:val="16"/>
              </w:rPr>
              <w:t>187</w:t>
            </w:r>
          </w:p>
        </w:tc>
      </w:tr>
      <w:tr w:rsidR="00EB2BD8" w:rsidRPr="00EB2BD8" w14:paraId="327E2BF4" w14:textId="77777777">
        <w:trPr>
          <w:trHeight w:val="286"/>
        </w:trPr>
        <w:tc>
          <w:tcPr>
            <w:tcW w:w="6480" w:type="dxa"/>
            <w:tcBorders>
              <w:top w:val="single" w:sz="12" w:space="0" w:color="000000"/>
              <w:left w:val="nil"/>
              <w:bottom w:val="single" w:sz="12" w:space="0" w:color="000000"/>
              <w:right w:val="nil"/>
            </w:tcBorders>
            <w:shd w:val="clear" w:color="auto" w:fill="FFFFFF"/>
          </w:tcPr>
          <w:p w14:paraId="173BF723" w14:textId="77777777" w:rsidR="00084F36" w:rsidRPr="00EB2BD8" w:rsidRDefault="00EB2BD8">
            <w:pPr>
              <w:pStyle w:val="TableParagraph"/>
              <w:spacing w:before="53"/>
              <w:ind w:left="105"/>
              <w:rPr>
                <w:rFonts w:ascii="Arial"/>
                <w:b/>
                <w:sz w:val="16"/>
              </w:rPr>
            </w:pPr>
            <w:r w:rsidRPr="00EB2BD8">
              <w:rPr>
                <w:rFonts w:ascii="Arial"/>
                <w:b/>
                <w:w w:val="105"/>
                <w:sz w:val="16"/>
              </w:rPr>
              <w:t>Total</w:t>
            </w:r>
            <w:r w:rsidRPr="00EB2BD8">
              <w:rPr>
                <w:rFonts w:ascii="Arial"/>
                <w:b/>
                <w:spacing w:val="-9"/>
                <w:w w:val="105"/>
                <w:sz w:val="16"/>
              </w:rPr>
              <w:t xml:space="preserve"> </w:t>
            </w:r>
            <w:r w:rsidRPr="00EB2BD8">
              <w:rPr>
                <w:rFonts w:ascii="Arial"/>
                <w:b/>
                <w:w w:val="105"/>
                <w:sz w:val="16"/>
              </w:rPr>
              <w:t>amount</w:t>
            </w:r>
            <w:r w:rsidRPr="00EB2BD8">
              <w:rPr>
                <w:rFonts w:ascii="Arial"/>
                <w:b/>
                <w:spacing w:val="-10"/>
                <w:w w:val="105"/>
                <w:sz w:val="16"/>
              </w:rPr>
              <w:t xml:space="preserve"> </w:t>
            </w:r>
            <w:r w:rsidRPr="00EB2BD8">
              <w:rPr>
                <w:rFonts w:ascii="Arial"/>
                <w:b/>
                <w:w w:val="105"/>
                <w:sz w:val="16"/>
              </w:rPr>
              <w:t>recognised</w:t>
            </w:r>
            <w:r w:rsidRPr="00EB2BD8">
              <w:rPr>
                <w:rFonts w:ascii="Arial"/>
                <w:b/>
                <w:spacing w:val="-9"/>
                <w:w w:val="105"/>
                <w:sz w:val="16"/>
              </w:rPr>
              <w:t xml:space="preserve"> </w:t>
            </w:r>
            <w:r w:rsidRPr="00EB2BD8">
              <w:rPr>
                <w:rFonts w:ascii="Arial"/>
                <w:b/>
                <w:w w:val="105"/>
                <w:sz w:val="16"/>
              </w:rPr>
              <w:t>in</w:t>
            </w:r>
            <w:r w:rsidRPr="00EB2BD8">
              <w:rPr>
                <w:rFonts w:ascii="Arial"/>
                <w:b/>
                <w:spacing w:val="-9"/>
                <w:w w:val="105"/>
                <w:sz w:val="16"/>
              </w:rPr>
              <w:t xml:space="preserve"> </w:t>
            </w:r>
            <w:r w:rsidRPr="00EB2BD8">
              <w:rPr>
                <w:rFonts w:ascii="Arial"/>
                <w:b/>
                <w:w w:val="105"/>
                <w:sz w:val="16"/>
              </w:rPr>
              <w:t>the</w:t>
            </w:r>
            <w:r w:rsidRPr="00EB2BD8">
              <w:rPr>
                <w:rFonts w:ascii="Arial"/>
                <w:b/>
                <w:spacing w:val="-8"/>
                <w:w w:val="105"/>
                <w:sz w:val="16"/>
              </w:rPr>
              <w:t xml:space="preserve"> </w:t>
            </w:r>
            <w:r w:rsidRPr="00EB2BD8">
              <w:rPr>
                <w:rFonts w:ascii="Arial"/>
                <w:b/>
                <w:w w:val="105"/>
                <w:sz w:val="16"/>
              </w:rPr>
              <w:t>comprehensive</w:t>
            </w:r>
            <w:r w:rsidRPr="00EB2BD8">
              <w:rPr>
                <w:rFonts w:ascii="Arial"/>
                <w:b/>
                <w:spacing w:val="-8"/>
                <w:w w:val="105"/>
                <w:sz w:val="16"/>
              </w:rPr>
              <w:t xml:space="preserve"> </w:t>
            </w:r>
            <w:r w:rsidRPr="00EB2BD8">
              <w:rPr>
                <w:rFonts w:ascii="Arial"/>
                <w:b/>
                <w:w w:val="105"/>
                <w:sz w:val="16"/>
              </w:rPr>
              <w:t>operating</w:t>
            </w:r>
            <w:r w:rsidRPr="00EB2BD8">
              <w:rPr>
                <w:rFonts w:ascii="Arial"/>
                <w:b/>
                <w:spacing w:val="-8"/>
                <w:w w:val="105"/>
                <w:sz w:val="16"/>
              </w:rPr>
              <w:t xml:space="preserve"> </w:t>
            </w:r>
            <w:r w:rsidRPr="00EB2BD8">
              <w:rPr>
                <w:rFonts w:ascii="Arial"/>
                <w:b/>
                <w:spacing w:val="-2"/>
                <w:w w:val="105"/>
                <w:sz w:val="16"/>
              </w:rPr>
              <w:t>statement</w:t>
            </w:r>
          </w:p>
        </w:tc>
        <w:tc>
          <w:tcPr>
            <w:tcW w:w="1371" w:type="dxa"/>
            <w:tcBorders>
              <w:top w:val="single" w:sz="12" w:space="0" w:color="000000"/>
              <w:left w:val="nil"/>
              <w:bottom w:val="single" w:sz="12" w:space="0" w:color="000000"/>
              <w:right w:val="nil"/>
            </w:tcBorders>
            <w:shd w:val="clear" w:color="auto" w:fill="DEEAF6"/>
          </w:tcPr>
          <w:p w14:paraId="7284C6D0" w14:textId="77777777" w:rsidR="00084F36" w:rsidRPr="00EB2BD8" w:rsidRDefault="00EB2BD8">
            <w:pPr>
              <w:pStyle w:val="TableParagraph"/>
              <w:spacing w:before="53"/>
              <w:ind w:right="94"/>
              <w:jc w:val="right"/>
              <w:rPr>
                <w:rFonts w:ascii="Arial"/>
                <w:b/>
                <w:sz w:val="16"/>
              </w:rPr>
            </w:pPr>
            <w:r w:rsidRPr="00EB2BD8">
              <w:rPr>
                <w:rFonts w:ascii="Arial"/>
                <w:b/>
                <w:spacing w:val="-5"/>
                <w:w w:val="105"/>
                <w:sz w:val="16"/>
              </w:rPr>
              <w:t>139</w:t>
            </w:r>
          </w:p>
        </w:tc>
        <w:tc>
          <w:tcPr>
            <w:tcW w:w="1274" w:type="dxa"/>
            <w:tcBorders>
              <w:top w:val="single" w:sz="12" w:space="0" w:color="000000"/>
              <w:left w:val="nil"/>
              <w:bottom w:val="single" w:sz="12" w:space="0" w:color="000000"/>
              <w:right w:val="nil"/>
            </w:tcBorders>
            <w:shd w:val="clear" w:color="auto" w:fill="FFFFFF"/>
          </w:tcPr>
          <w:p w14:paraId="6ACC163E" w14:textId="77777777" w:rsidR="00084F36" w:rsidRPr="00EB2BD8" w:rsidRDefault="00EB2BD8">
            <w:pPr>
              <w:pStyle w:val="TableParagraph"/>
              <w:spacing w:before="53"/>
              <w:ind w:right="96"/>
              <w:jc w:val="right"/>
              <w:rPr>
                <w:rFonts w:ascii="Arial"/>
                <w:b/>
                <w:sz w:val="16"/>
              </w:rPr>
            </w:pPr>
            <w:r w:rsidRPr="00EB2BD8">
              <w:rPr>
                <w:rFonts w:ascii="Arial"/>
                <w:b/>
                <w:spacing w:val="-5"/>
                <w:w w:val="105"/>
                <w:sz w:val="16"/>
              </w:rPr>
              <w:t>187</w:t>
            </w:r>
          </w:p>
        </w:tc>
      </w:tr>
    </w:tbl>
    <w:p w14:paraId="2D690AFB" w14:textId="77777777" w:rsidR="00084F36" w:rsidRPr="00EB2BD8" w:rsidRDefault="00084F36">
      <w:pPr>
        <w:pStyle w:val="BodyText"/>
        <w:rPr>
          <w:rFonts w:ascii="Arial"/>
        </w:rPr>
      </w:pPr>
    </w:p>
    <w:p w14:paraId="31D702C5" w14:textId="77777777" w:rsidR="00084F36" w:rsidRPr="00EB2BD8" w:rsidRDefault="00084F36">
      <w:pPr>
        <w:pStyle w:val="BodyText"/>
        <w:rPr>
          <w:rFonts w:ascii="Arial"/>
        </w:rPr>
      </w:pPr>
    </w:p>
    <w:p w14:paraId="20921343" w14:textId="77777777" w:rsidR="00084F36" w:rsidRPr="00EB2BD8" w:rsidRDefault="00084F36">
      <w:pPr>
        <w:pStyle w:val="BodyText"/>
        <w:rPr>
          <w:rFonts w:ascii="Arial"/>
        </w:rPr>
      </w:pPr>
    </w:p>
    <w:p w14:paraId="1EF9C70F" w14:textId="77777777" w:rsidR="00084F36" w:rsidRPr="00EB2BD8" w:rsidRDefault="00084F36">
      <w:pPr>
        <w:pStyle w:val="BodyText"/>
        <w:rPr>
          <w:rFonts w:ascii="Arial"/>
        </w:rPr>
      </w:pPr>
    </w:p>
    <w:p w14:paraId="7356A31C" w14:textId="77777777" w:rsidR="00084F36" w:rsidRPr="00EB2BD8" w:rsidRDefault="00084F36">
      <w:pPr>
        <w:jc w:val="right"/>
        <w:rPr>
          <w:sz w:val="16"/>
        </w:rPr>
        <w:sectPr w:rsidR="00084F36" w:rsidRPr="00EB2BD8" w:rsidSect="006D75B2">
          <w:headerReference w:type="default" r:id="rId322"/>
          <w:footerReference w:type="default" r:id="rId323"/>
          <w:pgSz w:w="11910" w:h="16840"/>
          <w:pgMar w:top="760" w:right="0" w:bottom="280" w:left="0" w:header="0" w:footer="0" w:gutter="0"/>
          <w:cols w:space="720"/>
        </w:sectPr>
      </w:pPr>
    </w:p>
    <w:p w14:paraId="683279E3" w14:textId="77777777" w:rsidR="00273892" w:rsidRDefault="00273892" w:rsidP="00273892">
      <w:pPr>
        <w:pStyle w:val="Heading2"/>
        <w:ind w:left="0" w:firstLine="720"/>
      </w:pPr>
    </w:p>
    <w:p w14:paraId="227670F2" w14:textId="77777777" w:rsidR="00CC09EC" w:rsidRDefault="00CC09EC" w:rsidP="00273892">
      <w:pPr>
        <w:pStyle w:val="Heading2"/>
        <w:ind w:left="0" w:firstLine="720"/>
      </w:pPr>
    </w:p>
    <w:p w14:paraId="5074168B" w14:textId="77777777" w:rsidR="00CC09EC" w:rsidRDefault="00CC09EC" w:rsidP="00273892">
      <w:pPr>
        <w:pStyle w:val="Heading2"/>
        <w:ind w:left="0" w:firstLine="720"/>
      </w:pPr>
    </w:p>
    <w:p w14:paraId="24E93DAA" w14:textId="34D7A8D0" w:rsidR="00084F36" w:rsidRPr="00273892" w:rsidRDefault="00273892" w:rsidP="00CC09EC">
      <w:pPr>
        <w:pStyle w:val="Heading2"/>
        <w:ind w:left="130" w:firstLine="720"/>
      </w:pPr>
      <w:bookmarkStart w:id="317" w:name="_Toc150762619"/>
      <w:r>
        <w:t>6.2.3</w:t>
      </w:r>
      <w:r w:rsidR="00CC09EC">
        <w:t xml:space="preserve"> </w:t>
      </w:r>
      <w:r w:rsidR="00EB2BD8" w:rsidRPr="00273892">
        <w:t>Amounts</w:t>
      </w:r>
      <w:r w:rsidR="00EB2BD8" w:rsidRPr="00273892">
        <w:rPr>
          <w:spacing w:val="14"/>
        </w:rPr>
        <w:t xml:space="preserve"> </w:t>
      </w:r>
      <w:r w:rsidR="00EB2BD8" w:rsidRPr="00273892">
        <w:t>recognised</w:t>
      </w:r>
      <w:r w:rsidR="00EB2BD8" w:rsidRPr="00273892">
        <w:rPr>
          <w:spacing w:val="14"/>
        </w:rPr>
        <w:t xml:space="preserve"> </w:t>
      </w:r>
      <w:r w:rsidR="00EB2BD8" w:rsidRPr="00273892">
        <w:t>in</w:t>
      </w:r>
      <w:r w:rsidR="00EB2BD8" w:rsidRPr="00273892">
        <w:rPr>
          <w:spacing w:val="14"/>
        </w:rPr>
        <w:t xml:space="preserve"> </w:t>
      </w:r>
      <w:r w:rsidR="00EB2BD8" w:rsidRPr="00273892">
        <w:t>the</w:t>
      </w:r>
      <w:r w:rsidR="00EB2BD8" w:rsidRPr="00273892">
        <w:rPr>
          <w:spacing w:val="14"/>
        </w:rPr>
        <w:t xml:space="preserve"> </w:t>
      </w:r>
      <w:r w:rsidR="00EB2BD8" w:rsidRPr="00273892">
        <w:t>cashflows</w:t>
      </w:r>
      <w:r w:rsidR="00EB2BD8" w:rsidRPr="00273892">
        <w:rPr>
          <w:spacing w:val="14"/>
        </w:rPr>
        <w:t xml:space="preserve"> </w:t>
      </w:r>
      <w:r w:rsidR="00EB2BD8" w:rsidRPr="00273892">
        <w:rPr>
          <w:spacing w:val="-2"/>
        </w:rPr>
        <w:t>statement</w:t>
      </w:r>
      <w:bookmarkEnd w:id="317"/>
    </w:p>
    <w:p w14:paraId="22EF6DC3" w14:textId="77777777" w:rsidR="00084F36" w:rsidRPr="00EB2BD8" w:rsidRDefault="00EB2BD8">
      <w:pPr>
        <w:spacing w:before="157"/>
        <w:ind w:left="1048"/>
        <w:rPr>
          <w:rFonts w:ascii="Arial"/>
          <w:sz w:val="16"/>
        </w:rPr>
      </w:pPr>
      <w:r w:rsidRPr="00EB2BD8">
        <w:rPr>
          <w:rFonts w:ascii="Arial"/>
          <w:w w:val="105"/>
          <w:sz w:val="16"/>
        </w:rPr>
        <w:t>The</w:t>
      </w:r>
      <w:r w:rsidRPr="00EB2BD8">
        <w:rPr>
          <w:rFonts w:ascii="Arial"/>
          <w:spacing w:val="-7"/>
          <w:w w:val="105"/>
          <w:sz w:val="16"/>
        </w:rPr>
        <w:t xml:space="preserve"> </w:t>
      </w:r>
      <w:r w:rsidRPr="00EB2BD8">
        <w:rPr>
          <w:rFonts w:ascii="Arial"/>
          <w:w w:val="105"/>
          <w:sz w:val="16"/>
        </w:rPr>
        <w:t>following</w:t>
      </w:r>
      <w:r w:rsidRPr="00EB2BD8">
        <w:rPr>
          <w:rFonts w:ascii="Arial"/>
          <w:spacing w:val="-6"/>
          <w:w w:val="105"/>
          <w:sz w:val="16"/>
        </w:rPr>
        <w:t xml:space="preserve"> </w:t>
      </w:r>
      <w:r w:rsidRPr="00EB2BD8">
        <w:rPr>
          <w:rFonts w:ascii="Arial"/>
          <w:w w:val="105"/>
          <w:sz w:val="16"/>
        </w:rPr>
        <w:t>amounts</w:t>
      </w:r>
      <w:r w:rsidRPr="00EB2BD8">
        <w:rPr>
          <w:rFonts w:ascii="Arial"/>
          <w:spacing w:val="-6"/>
          <w:w w:val="105"/>
          <w:sz w:val="16"/>
        </w:rPr>
        <w:t xml:space="preserve"> </w:t>
      </w:r>
      <w:r w:rsidRPr="00EB2BD8">
        <w:rPr>
          <w:rFonts w:ascii="Arial"/>
          <w:w w:val="105"/>
          <w:sz w:val="16"/>
        </w:rPr>
        <w:t>are</w:t>
      </w:r>
      <w:r w:rsidRPr="00EB2BD8">
        <w:rPr>
          <w:rFonts w:ascii="Arial"/>
          <w:spacing w:val="-6"/>
          <w:w w:val="105"/>
          <w:sz w:val="16"/>
        </w:rPr>
        <w:t xml:space="preserve"> </w:t>
      </w:r>
      <w:r w:rsidRPr="00EB2BD8">
        <w:rPr>
          <w:rFonts w:ascii="Arial"/>
          <w:w w:val="105"/>
          <w:sz w:val="16"/>
        </w:rPr>
        <w:t>recognised</w:t>
      </w:r>
      <w:r w:rsidRPr="00EB2BD8">
        <w:rPr>
          <w:rFonts w:ascii="Arial"/>
          <w:spacing w:val="-6"/>
          <w:w w:val="105"/>
          <w:sz w:val="16"/>
        </w:rPr>
        <w:t xml:space="preserve"> </w:t>
      </w:r>
      <w:r w:rsidRPr="00EB2BD8">
        <w:rPr>
          <w:rFonts w:ascii="Arial"/>
          <w:w w:val="105"/>
          <w:sz w:val="16"/>
        </w:rPr>
        <w:t>in</w:t>
      </w:r>
      <w:r w:rsidRPr="00EB2BD8">
        <w:rPr>
          <w:rFonts w:ascii="Arial"/>
          <w:spacing w:val="-6"/>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cashflows</w:t>
      </w:r>
      <w:r w:rsidRPr="00EB2BD8">
        <w:rPr>
          <w:rFonts w:ascii="Arial"/>
          <w:spacing w:val="-6"/>
          <w:w w:val="105"/>
          <w:sz w:val="16"/>
        </w:rPr>
        <w:t xml:space="preserve"> </w:t>
      </w:r>
      <w:r w:rsidRPr="00EB2BD8">
        <w:rPr>
          <w:rFonts w:ascii="Arial"/>
          <w:w w:val="105"/>
          <w:sz w:val="16"/>
        </w:rPr>
        <w:t>statement</w:t>
      </w:r>
      <w:r w:rsidRPr="00EB2BD8">
        <w:rPr>
          <w:rFonts w:ascii="Arial"/>
          <w:spacing w:val="-7"/>
          <w:w w:val="105"/>
          <w:sz w:val="16"/>
        </w:rPr>
        <w:t xml:space="preserve"> </w:t>
      </w:r>
      <w:r w:rsidRPr="00EB2BD8">
        <w:rPr>
          <w:rFonts w:ascii="Arial"/>
          <w:w w:val="105"/>
          <w:sz w:val="16"/>
        </w:rPr>
        <w:t>for</w:t>
      </w:r>
      <w:r w:rsidRPr="00EB2BD8">
        <w:rPr>
          <w:rFonts w:ascii="Arial"/>
          <w:spacing w:val="-6"/>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year</w:t>
      </w:r>
      <w:r w:rsidRPr="00EB2BD8">
        <w:rPr>
          <w:rFonts w:ascii="Arial"/>
          <w:spacing w:val="-6"/>
          <w:w w:val="105"/>
          <w:sz w:val="16"/>
        </w:rPr>
        <w:t xml:space="preserve"> </w:t>
      </w:r>
      <w:r w:rsidRPr="00EB2BD8">
        <w:rPr>
          <w:rFonts w:ascii="Arial"/>
          <w:w w:val="105"/>
          <w:sz w:val="16"/>
        </w:rPr>
        <w:t>ending</w:t>
      </w:r>
      <w:r w:rsidRPr="00EB2BD8">
        <w:rPr>
          <w:rFonts w:ascii="Arial"/>
          <w:spacing w:val="-6"/>
          <w:w w:val="105"/>
          <w:sz w:val="16"/>
        </w:rPr>
        <w:t xml:space="preserve"> </w:t>
      </w:r>
      <w:r w:rsidRPr="00EB2BD8">
        <w:rPr>
          <w:rFonts w:ascii="Arial"/>
          <w:w w:val="105"/>
          <w:sz w:val="16"/>
        </w:rPr>
        <w:t>30</w:t>
      </w:r>
      <w:r w:rsidRPr="00EB2BD8">
        <w:rPr>
          <w:rFonts w:ascii="Arial"/>
          <w:spacing w:val="-5"/>
          <w:w w:val="105"/>
          <w:sz w:val="16"/>
        </w:rPr>
        <w:t xml:space="preserve"> </w:t>
      </w:r>
      <w:r w:rsidRPr="00EB2BD8">
        <w:rPr>
          <w:rFonts w:ascii="Arial"/>
          <w:w w:val="105"/>
          <w:sz w:val="16"/>
        </w:rPr>
        <w:t>June</w:t>
      </w:r>
      <w:r w:rsidRPr="00EB2BD8">
        <w:rPr>
          <w:rFonts w:ascii="Arial"/>
          <w:spacing w:val="-6"/>
          <w:w w:val="105"/>
          <w:sz w:val="16"/>
        </w:rPr>
        <w:t xml:space="preserve"> </w:t>
      </w:r>
      <w:r w:rsidRPr="00EB2BD8">
        <w:rPr>
          <w:rFonts w:ascii="Arial"/>
          <w:w w:val="105"/>
          <w:sz w:val="16"/>
        </w:rPr>
        <w:t>2023</w:t>
      </w:r>
      <w:r w:rsidRPr="00EB2BD8">
        <w:rPr>
          <w:rFonts w:ascii="Arial"/>
          <w:spacing w:val="-6"/>
          <w:w w:val="105"/>
          <w:sz w:val="16"/>
        </w:rPr>
        <w:t xml:space="preserve"> </w:t>
      </w:r>
      <w:r w:rsidRPr="00EB2BD8">
        <w:rPr>
          <w:rFonts w:ascii="Arial"/>
          <w:w w:val="105"/>
          <w:sz w:val="16"/>
        </w:rPr>
        <w:t>relating</w:t>
      </w:r>
      <w:r w:rsidRPr="00EB2BD8">
        <w:rPr>
          <w:rFonts w:ascii="Arial"/>
          <w:spacing w:val="-7"/>
          <w:w w:val="105"/>
          <w:sz w:val="16"/>
        </w:rPr>
        <w:t xml:space="preserve"> </w:t>
      </w:r>
      <w:r w:rsidRPr="00EB2BD8">
        <w:rPr>
          <w:rFonts w:ascii="Arial"/>
          <w:w w:val="105"/>
          <w:sz w:val="16"/>
        </w:rPr>
        <w:t>to</w:t>
      </w:r>
      <w:r w:rsidRPr="00EB2BD8">
        <w:rPr>
          <w:rFonts w:ascii="Arial"/>
          <w:spacing w:val="-6"/>
          <w:w w:val="105"/>
          <w:sz w:val="16"/>
        </w:rPr>
        <w:t xml:space="preserve"> </w:t>
      </w:r>
      <w:r w:rsidRPr="00EB2BD8">
        <w:rPr>
          <w:rFonts w:ascii="Arial"/>
          <w:spacing w:val="-2"/>
          <w:w w:val="105"/>
          <w:sz w:val="16"/>
        </w:rPr>
        <w:t>leases.</w:t>
      </w:r>
    </w:p>
    <w:p w14:paraId="5652A4DC" w14:textId="77777777" w:rsidR="00084F36" w:rsidRPr="00EB2BD8" w:rsidRDefault="00084F36">
      <w:pPr>
        <w:pStyle w:val="BodyText"/>
        <w:rPr>
          <w:rFonts w:ascii="Arial"/>
        </w:rPr>
      </w:pPr>
    </w:p>
    <w:p w14:paraId="3B8B6FA7" w14:textId="77777777" w:rsidR="00084F36" w:rsidRPr="00EB2BD8" w:rsidRDefault="00EB2BD8">
      <w:pPr>
        <w:spacing w:before="114"/>
        <w:ind w:right="1699"/>
        <w:jc w:val="right"/>
        <w:rPr>
          <w:rFonts w:ascii="Arial" w:hAnsi="Arial"/>
          <w:sz w:val="16"/>
        </w:rPr>
      </w:pPr>
      <w:r w:rsidRPr="00EB2BD8">
        <w:rPr>
          <w:rFonts w:ascii="Arial" w:hAnsi="Arial"/>
          <w:spacing w:val="-2"/>
          <w:w w:val="105"/>
          <w:sz w:val="16"/>
        </w:rPr>
        <w:t>($’000)</w:t>
      </w:r>
    </w:p>
    <w:p w14:paraId="6F472A70" w14:textId="77777777" w:rsidR="00084F36" w:rsidRPr="00EB2BD8" w:rsidRDefault="00084F36">
      <w:pPr>
        <w:pStyle w:val="BodyText"/>
        <w:spacing w:before="2"/>
        <w:rPr>
          <w:rFonts w:ascii="Arial"/>
          <w:sz w:val="5"/>
        </w:rPr>
      </w:pPr>
    </w:p>
    <w:tbl>
      <w:tblPr>
        <w:tblW w:w="0" w:type="auto"/>
        <w:tblInd w:w="1056" w:type="dxa"/>
        <w:tblBorders>
          <w:top w:val="single" w:sz="4" w:space="0" w:color="0098FF"/>
          <w:left w:val="single" w:sz="4" w:space="0" w:color="0098FF"/>
          <w:bottom w:val="single" w:sz="4" w:space="0" w:color="0098FF"/>
          <w:right w:val="single" w:sz="4" w:space="0" w:color="0098FF"/>
          <w:insideH w:val="single" w:sz="4" w:space="0" w:color="0098FF"/>
          <w:insideV w:val="single" w:sz="4" w:space="0" w:color="0098FF"/>
        </w:tblBorders>
        <w:tblLayout w:type="fixed"/>
        <w:tblCellMar>
          <w:left w:w="0" w:type="dxa"/>
          <w:right w:w="0" w:type="dxa"/>
        </w:tblCellMar>
        <w:tblLook w:val="01E0" w:firstRow="1" w:lastRow="1" w:firstColumn="1" w:lastColumn="1" w:noHBand="0" w:noVBand="0"/>
      </w:tblPr>
      <w:tblGrid>
        <w:gridCol w:w="6480"/>
        <w:gridCol w:w="1242"/>
        <w:gridCol w:w="1536"/>
      </w:tblGrid>
      <w:tr w:rsidR="00EB2BD8" w:rsidRPr="00EB2BD8" w14:paraId="1E78EB40" w14:textId="77777777">
        <w:trPr>
          <w:trHeight w:val="306"/>
        </w:trPr>
        <w:tc>
          <w:tcPr>
            <w:tcW w:w="9258" w:type="dxa"/>
            <w:gridSpan w:val="3"/>
            <w:shd w:val="clear" w:color="auto" w:fill="2E74B5"/>
          </w:tcPr>
          <w:p w14:paraId="1834038D" w14:textId="77777777" w:rsidR="00084F36" w:rsidRPr="00EB2BD8" w:rsidRDefault="00EB2BD8">
            <w:pPr>
              <w:pStyle w:val="TableParagraph"/>
              <w:tabs>
                <w:tab w:val="left" w:pos="1535"/>
              </w:tabs>
              <w:spacing w:before="63"/>
              <w:ind w:right="90"/>
              <w:jc w:val="right"/>
              <w:rPr>
                <w:rFonts w:ascii="Arial"/>
                <w:b/>
                <w:sz w:val="16"/>
              </w:rPr>
            </w:pPr>
            <w:r w:rsidRPr="00EB2BD8">
              <w:rPr>
                <w:rFonts w:ascii="Arial"/>
                <w:b/>
                <w:spacing w:val="-4"/>
                <w:w w:val="105"/>
                <w:sz w:val="16"/>
              </w:rPr>
              <w:t>2023</w:t>
            </w:r>
            <w:r w:rsidRPr="00EB2BD8">
              <w:rPr>
                <w:rFonts w:ascii="Arial"/>
                <w:b/>
                <w:sz w:val="16"/>
              </w:rPr>
              <w:tab/>
            </w:r>
            <w:r w:rsidRPr="00EB2BD8">
              <w:rPr>
                <w:rFonts w:ascii="Arial"/>
                <w:b/>
                <w:spacing w:val="-4"/>
                <w:w w:val="105"/>
                <w:sz w:val="16"/>
              </w:rPr>
              <w:t>2022</w:t>
            </w:r>
          </w:p>
        </w:tc>
      </w:tr>
      <w:tr w:rsidR="00EB2BD8" w:rsidRPr="00EB2BD8" w14:paraId="17FCB4A0" w14:textId="77777777">
        <w:trPr>
          <w:trHeight w:val="307"/>
        </w:trPr>
        <w:tc>
          <w:tcPr>
            <w:tcW w:w="6480" w:type="dxa"/>
            <w:tcBorders>
              <w:left w:val="nil"/>
              <w:bottom w:val="single" w:sz="8" w:space="0" w:color="000000"/>
              <w:right w:val="nil"/>
            </w:tcBorders>
            <w:shd w:val="clear" w:color="auto" w:fill="FFFFFF"/>
          </w:tcPr>
          <w:p w14:paraId="1FE5C47A" w14:textId="77777777" w:rsidR="00084F36" w:rsidRPr="00EB2BD8" w:rsidRDefault="00EB2BD8">
            <w:pPr>
              <w:pStyle w:val="TableParagraph"/>
              <w:spacing w:before="64"/>
              <w:ind w:left="105"/>
              <w:rPr>
                <w:rFonts w:ascii="Arial"/>
                <w:b/>
                <w:sz w:val="16"/>
              </w:rPr>
            </w:pPr>
            <w:r w:rsidRPr="00EB2BD8">
              <w:rPr>
                <w:rFonts w:ascii="Arial"/>
                <w:b/>
                <w:w w:val="105"/>
                <w:sz w:val="16"/>
              </w:rPr>
              <w:t>Total</w:t>
            </w:r>
            <w:r w:rsidRPr="00EB2BD8">
              <w:rPr>
                <w:rFonts w:ascii="Arial"/>
                <w:b/>
                <w:spacing w:val="-6"/>
                <w:w w:val="105"/>
                <w:sz w:val="16"/>
              </w:rPr>
              <w:t xml:space="preserve"> </w:t>
            </w:r>
            <w:r w:rsidRPr="00EB2BD8">
              <w:rPr>
                <w:rFonts w:ascii="Arial"/>
                <w:b/>
                <w:w w:val="105"/>
                <w:sz w:val="16"/>
              </w:rPr>
              <w:t>cash</w:t>
            </w:r>
            <w:r w:rsidRPr="00EB2BD8">
              <w:rPr>
                <w:rFonts w:ascii="Arial"/>
                <w:b/>
                <w:spacing w:val="-6"/>
                <w:w w:val="105"/>
                <w:sz w:val="16"/>
              </w:rPr>
              <w:t xml:space="preserve"> </w:t>
            </w:r>
            <w:r w:rsidRPr="00EB2BD8">
              <w:rPr>
                <w:rFonts w:ascii="Arial"/>
                <w:b/>
                <w:w w:val="105"/>
                <w:sz w:val="16"/>
              </w:rPr>
              <w:t>outflow</w:t>
            </w:r>
            <w:r w:rsidRPr="00EB2BD8">
              <w:rPr>
                <w:rFonts w:ascii="Arial"/>
                <w:b/>
                <w:spacing w:val="-6"/>
                <w:w w:val="105"/>
                <w:sz w:val="16"/>
              </w:rPr>
              <w:t xml:space="preserve"> </w:t>
            </w:r>
            <w:r w:rsidRPr="00EB2BD8">
              <w:rPr>
                <w:rFonts w:ascii="Arial"/>
                <w:b/>
                <w:w w:val="105"/>
                <w:sz w:val="16"/>
              </w:rPr>
              <w:t>for</w:t>
            </w:r>
            <w:r w:rsidRPr="00EB2BD8">
              <w:rPr>
                <w:rFonts w:ascii="Arial"/>
                <w:b/>
                <w:spacing w:val="-6"/>
                <w:w w:val="105"/>
                <w:sz w:val="16"/>
              </w:rPr>
              <w:t xml:space="preserve"> </w:t>
            </w:r>
            <w:r w:rsidRPr="00EB2BD8">
              <w:rPr>
                <w:rFonts w:ascii="Arial"/>
                <w:b/>
                <w:spacing w:val="-2"/>
                <w:w w:val="105"/>
                <w:sz w:val="16"/>
              </w:rPr>
              <w:t>leases</w:t>
            </w:r>
          </w:p>
        </w:tc>
        <w:tc>
          <w:tcPr>
            <w:tcW w:w="1242" w:type="dxa"/>
            <w:tcBorders>
              <w:left w:val="nil"/>
              <w:bottom w:val="single" w:sz="8" w:space="0" w:color="000000"/>
              <w:right w:val="nil"/>
            </w:tcBorders>
            <w:shd w:val="clear" w:color="auto" w:fill="DEEAF6"/>
          </w:tcPr>
          <w:p w14:paraId="4CAF4813" w14:textId="77777777" w:rsidR="00084F36" w:rsidRPr="00EB2BD8" w:rsidRDefault="00EB2BD8">
            <w:pPr>
              <w:pStyle w:val="TableParagraph"/>
              <w:spacing w:before="64"/>
              <w:ind w:left="725"/>
              <w:rPr>
                <w:rFonts w:ascii="Arial"/>
                <w:b/>
                <w:sz w:val="16"/>
              </w:rPr>
            </w:pPr>
            <w:r w:rsidRPr="00EB2BD8">
              <w:rPr>
                <w:rFonts w:ascii="Arial"/>
                <w:b/>
                <w:spacing w:val="-2"/>
                <w:w w:val="105"/>
                <w:sz w:val="16"/>
              </w:rPr>
              <w:t>3,210</w:t>
            </w:r>
          </w:p>
        </w:tc>
        <w:tc>
          <w:tcPr>
            <w:tcW w:w="1536" w:type="dxa"/>
            <w:tcBorders>
              <w:left w:val="nil"/>
              <w:bottom w:val="single" w:sz="8" w:space="0" w:color="000000"/>
              <w:right w:val="nil"/>
            </w:tcBorders>
            <w:shd w:val="clear" w:color="auto" w:fill="FFFFFF"/>
          </w:tcPr>
          <w:p w14:paraId="7B6CCCE0" w14:textId="77777777" w:rsidR="00084F36" w:rsidRPr="00EB2BD8" w:rsidRDefault="00EB2BD8">
            <w:pPr>
              <w:pStyle w:val="TableParagraph"/>
              <w:spacing w:before="64"/>
              <w:ind w:left="1019"/>
              <w:rPr>
                <w:rFonts w:ascii="Arial"/>
                <w:b/>
                <w:sz w:val="16"/>
              </w:rPr>
            </w:pPr>
            <w:r w:rsidRPr="00EB2BD8">
              <w:rPr>
                <w:rFonts w:ascii="Arial"/>
                <w:b/>
                <w:spacing w:val="-2"/>
                <w:w w:val="105"/>
                <w:sz w:val="16"/>
              </w:rPr>
              <w:t>1,913</w:t>
            </w:r>
          </w:p>
        </w:tc>
      </w:tr>
    </w:tbl>
    <w:p w14:paraId="54AA0C5B" w14:textId="77777777" w:rsidR="00084F36" w:rsidRPr="00EB2BD8" w:rsidRDefault="00084F36">
      <w:pPr>
        <w:pStyle w:val="BodyText"/>
        <w:rPr>
          <w:rFonts w:ascii="Arial"/>
          <w:sz w:val="20"/>
        </w:rPr>
      </w:pPr>
    </w:p>
    <w:p w14:paraId="1AA8DBAC" w14:textId="77777777" w:rsidR="00084F36" w:rsidRPr="00EB2BD8" w:rsidRDefault="00084F36">
      <w:pPr>
        <w:rPr>
          <w:rFonts w:ascii="Arial"/>
          <w:sz w:val="20"/>
        </w:rPr>
        <w:sectPr w:rsidR="00084F36" w:rsidRPr="00EB2BD8" w:rsidSect="006D75B2">
          <w:headerReference w:type="even" r:id="rId324"/>
          <w:footerReference w:type="even" r:id="rId325"/>
          <w:footerReference w:type="default" r:id="rId326"/>
          <w:pgSz w:w="11910" w:h="16840"/>
          <w:pgMar w:top="780" w:right="0" w:bottom="280" w:left="0" w:header="0" w:footer="0" w:gutter="0"/>
          <w:cols w:space="720"/>
        </w:sectPr>
      </w:pPr>
    </w:p>
    <w:p w14:paraId="5B001C71" w14:textId="77777777" w:rsidR="00084F36" w:rsidRPr="00EB2BD8" w:rsidRDefault="00084F36">
      <w:pPr>
        <w:pStyle w:val="BodyText"/>
        <w:spacing w:before="8"/>
        <w:rPr>
          <w:rFonts w:ascii="Arial"/>
          <w:sz w:val="19"/>
        </w:rPr>
      </w:pPr>
    </w:p>
    <w:p w14:paraId="2E4FF56A" w14:textId="3F16B103" w:rsidR="00084F36" w:rsidRPr="00273892" w:rsidRDefault="00EB2BD8">
      <w:pPr>
        <w:spacing w:before="1" w:line="290" w:lineRule="auto"/>
        <w:ind w:left="1048" w:right="121"/>
        <w:rPr>
          <w:rFonts w:ascii="Arial" w:hAnsi="Arial" w:cs="Arial"/>
          <w:w w:val="105"/>
          <w:sz w:val="16"/>
          <w:szCs w:val="16"/>
        </w:rPr>
      </w:pPr>
      <w:r w:rsidRPr="00EB2BD8">
        <w:rPr>
          <w:rFonts w:ascii="Arial" w:hAnsi="Arial"/>
          <w:w w:val="105"/>
          <w:sz w:val="16"/>
        </w:rPr>
        <w:t>For any new contracts entered into, the VBA considers whether a contract is, or contains, a lease. A lease is defined</w:t>
      </w:r>
      <w:r w:rsidRPr="00EB2BD8">
        <w:rPr>
          <w:rFonts w:ascii="Arial" w:hAnsi="Arial"/>
          <w:spacing w:val="-5"/>
          <w:w w:val="105"/>
          <w:sz w:val="16"/>
        </w:rPr>
        <w:t xml:space="preserve"> </w:t>
      </w:r>
      <w:r w:rsidRPr="00EB2BD8">
        <w:rPr>
          <w:rFonts w:ascii="Arial" w:hAnsi="Arial"/>
          <w:w w:val="105"/>
          <w:sz w:val="16"/>
        </w:rPr>
        <w:t>as</w:t>
      </w:r>
      <w:r w:rsidRPr="00EB2BD8">
        <w:rPr>
          <w:rFonts w:ascii="Arial" w:hAnsi="Arial"/>
          <w:spacing w:val="-5"/>
          <w:w w:val="105"/>
          <w:sz w:val="16"/>
        </w:rPr>
        <w:t xml:space="preserve"> </w:t>
      </w:r>
      <w:r w:rsidRPr="00EB2BD8">
        <w:rPr>
          <w:rFonts w:ascii="Arial" w:hAnsi="Arial"/>
          <w:w w:val="105"/>
          <w:sz w:val="16"/>
        </w:rPr>
        <w:t>“a</w:t>
      </w:r>
      <w:r w:rsidRPr="00EB2BD8">
        <w:rPr>
          <w:rFonts w:ascii="Arial" w:hAnsi="Arial"/>
          <w:spacing w:val="-5"/>
          <w:w w:val="105"/>
          <w:sz w:val="16"/>
        </w:rPr>
        <w:t xml:space="preserve"> </w:t>
      </w:r>
      <w:r w:rsidRPr="00EB2BD8">
        <w:rPr>
          <w:rFonts w:ascii="Arial" w:hAnsi="Arial"/>
          <w:w w:val="105"/>
          <w:sz w:val="16"/>
        </w:rPr>
        <w:t>contract,</w:t>
      </w:r>
      <w:r w:rsidRPr="00EB2BD8">
        <w:rPr>
          <w:rFonts w:ascii="Arial" w:hAnsi="Arial"/>
          <w:spacing w:val="-5"/>
          <w:w w:val="105"/>
          <w:sz w:val="16"/>
        </w:rPr>
        <w:t xml:space="preserve"> </w:t>
      </w:r>
      <w:r w:rsidRPr="00EB2BD8">
        <w:rPr>
          <w:rFonts w:ascii="Arial" w:hAnsi="Arial"/>
          <w:w w:val="105"/>
          <w:sz w:val="16"/>
        </w:rPr>
        <w:t>or</w:t>
      </w:r>
      <w:r w:rsidRPr="00EB2BD8">
        <w:rPr>
          <w:rFonts w:ascii="Arial" w:hAnsi="Arial"/>
          <w:spacing w:val="-5"/>
          <w:w w:val="105"/>
          <w:sz w:val="16"/>
        </w:rPr>
        <w:t xml:space="preserve"> </w:t>
      </w:r>
      <w:r w:rsidRPr="00EB2BD8">
        <w:rPr>
          <w:rFonts w:ascii="Arial" w:hAnsi="Arial"/>
          <w:w w:val="105"/>
          <w:sz w:val="16"/>
        </w:rPr>
        <w:t>part</w:t>
      </w:r>
      <w:r w:rsidRPr="00EB2BD8">
        <w:rPr>
          <w:rFonts w:ascii="Arial" w:hAnsi="Arial"/>
          <w:spacing w:val="-5"/>
          <w:w w:val="105"/>
          <w:sz w:val="16"/>
        </w:rPr>
        <w:t xml:space="preserve"> </w:t>
      </w:r>
      <w:r w:rsidRPr="00EB2BD8">
        <w:rPr>
          <w:rFonts w:ascii="Arial" w:hAnsi="Arial"/>
          <w:w w:val="105"/>
          <w:sz w:val="16"/>
        </w:rPr>
        <w:t>of</w:t>
      </w:r>
      <w:r w:rsidRPr="00EB2BD8">
        <w:rPr>
          <w:rFonts w:ascii="Arial" w:hAnsi="Arial"/>
          <w:spacing w:val="-5"/>
          <w:w w:val="105"/>
          <w:sz w:val="16"/>
        </w:rPr>
        <w:t xml:space="preserve"> </w:t>
      </w:r>
      <w:r w:rsidRPr="00EB2BD8">
        <w:rPr>
          <w:rFonts w:ascii="Arial" w:hAnsi="Arial"/>
          <w:w w:val="105"/>
          <w:sz w:val="16"/>
        </w:rPr>
        <w:t>a</w:t>
      </w:r>
      <w:r w:rsidRPr="00EB2BD8">
        <w:rPr>
          <w:rFonts w:ascii="Arial" w:hAnsi="Arial"/>
          <w:spacing w:val="-5"/>
          <w:w w:val="105"/>
          <w:sz w:val="16"/>
        </w:rPr>
        <w:t xml:space="preserve"> </w:t>
      </w:r>
      <w:r w:rsidRPr="00EB2BD8">
        <w:rPr>
          <w:rFonts w:ascii="Arial" w:hAnsi="Arial"/>
          <w:w w:val="105"/>
          <w:sz w:val="16"/>
        </w:rPr>
        <w:t>contract,</w:t>
      </w:r>
      <w:r w:rsidRPr="00EB2BD8">
        <w:rPr>
          <w:rFonts w:ascii="Arial" w:hAnsi="Arial"/>
          <w:spacing w:val="-5"/>
          <w:w w:val="105"/>
          <w:sz w:val="16"/>
        </w:rPr>
        <w:t xml:space="preserve"> </w:t>
      </w:r>
      <w:r w:rsidRPr="00EB2BD8">
        <w:rPr>
          <w:rFonts w:ascii="Arial" w:hAnsi="Arial"/>
          <w:w w:val="105"/>
          <w:sz w:val="16"/>
        </w:rPr>
        <w:t>that</w:t>
      </w:r>
      <w:r w:rsidRPr="00EB2BD8">
        <w:rPr>
          <w:rFonts w:ascii="Arial" w:hAnsi="Arial"/>
          <w:spacing w:val="-5"/>
          <w:w w:val="105"/>
          <w:sz w:val="16"/>
        </w:rPr>
        <w:t xml:space="preserve"> </w:t>
      </w:r>
      <w:r w:rsidRPr="00EB2BD8">
        <w:rPr>
          <w:rFonts w:ascii="Arial" w:hAnsi="Arial"/>
          <w:w w:val="105"/>
          <w:sz w:val="16"/>
        </w:rPr>
        <w:t xml:space="preserve">conveys the right to use an asset (the underlying asset) for a period in </w:t>
      </w:r>
      <w:r w:rsidRPr="00273892">
        <w:rPr>
          <w:rFonts w:ascii="Arial" w:hAnsi="Arial" w:cs="Arial"/>
          <w:w w:val="105"/>
          <w:sz w:val="16"/>
        </w:rPr>
        <w:t xml:space="preserve">exchange for consideration”. To apply this </w:t>
      </w:r>
      <w:r w:rsidRPr="00273892">
        <w:rPr>
          <w:rFonts w:ascii="Arial" w:hAnsi="Arial" w:cs="Arial"/>
          <w:w w:val="105"/>
          <w:sz w:val="16"/>
          <w:szCs w:val="16"/>
        </w:rPr>
        <w:t>definition the VBA assesses whether the contract meets three key evaluations which are whether:</w:t>
      </w:r>
    </w:p>
    <w:p w14:paraId="3C7AC137" w14:textId="77777777" w:rsidR="00273892" w:rsidRDefault="00273892">
      <w:pPr>
        <w:pStyle w:val="ListParagraph"/>
        <w:widowControl/>
        <w:numPr>
          <w:ilvl w:val="0"/>
          <w:numId w:val="77"/>
        </w:numPr>
        <w:autoSpaceDE/>
        <w:autoSpaceDN/>
        <w:rPr>
          <w:rFonts w:ascii="Arial" w:eastAsia="Times New Roman" w:hAnsi="Arial" w:cs="Arial"/>
          <w:sz w:val="16"/>
          <w:szCs w:val="16"/>
          <w:lang w:val="en-AU" w:eastAsia="en-GB"/>
        </w:rPr>
      </w:pPr>
      <w:r w:rsidRPr="00273892">
        <w:rPr>
          <w:rFonts w:ascii="Arial" w:eastAsia="Times New Roman" w:hAnsi="Arial" w:cs="Arial"/>
          <w:sz w:val="16"/>
          <w:szCs w:val="16"/>
          <w:lang w:val="en-AU" w:eastAsia="en-GB"/>
        </w:rPr>
        <w:t xml:space="preserve">the contract contains an identified asset, which is either explicitly identified in the contract or implicitly specified by being identified at the time the asset is made available to the VBA and for which the supplier does not have substantive substitution rights; </w:t>
      </w:r>
    </w:p>
    <w:p w14:paraId="144C0643" w14:textId="77777777" w:rsidR="00CC09EC" w:rsidRDefault="00273892">
      <w:pPr>
        <w:pStyle w:val="ListParagraph"/>
        <w:widowControl/>
        <w:numPr>
          <w:ilvl w:val="0"/>
          <w:numId w:val="77"/>
        </w:numPr>
        <w:autoSpaceDE/>
        <w:autoSpaceDN/>
        <w:rPr>
          <w:rFonts w:ascii="Arial" w:eastAsia="Times New Roman" w:hAnsi="Arial" w:cs="Arial"/>
          <w:sz w:val="16"/>
          <w:szCs w:val="16"/>
          <w:lang w:val="en-AU" w:eastAsia="en-GB"/>
        </w:rPr>
      </w:pPr>
      <w:r w:rsidRPr="00273892">
        <w:rPr>
          <w:rFonts w:ascii="Arial" w:eastAsia="Times New Roman" w:hAnsi="Arial" w:cs="Arial"/>
          <w:sz w:val="16"/>
          <w:szCs w:val="16"/>
          <w:lang w:val="en-AU" w:eastAsia="en-GB"/>
        </w:rPr>
        <w:t>the VBA has the right to obtain substantially all of the economic benefits from use of the identified asset throughout the period of use, considering its rights within the defined scope of the contract and the VBA has the right to direct the use of the identified asset throughout the period of use; and</w:t>
      </w:r>
    </w:p>
    <w:p w14:paraId="03A78026" w14:textId="5E1F9123" w:rsidR="00273892" w:rsidRPr="00273892" w:rsidRDefault="00273892">
      <w:pPr>
        <w:pStyle w:val="ListParagraph"/>
        <w:widowControl/>
        <w:numPr>
          <w:ilvl w:val="0"/>
          <w:numId w:val="77"/>
        </w:numPr>
        <w:autoSpaceDE/>
        <w:autoSpaceDN/>
        <w:rPr>
          <w:rFonts w:ascii="Arial" w:eastAsia="Times New Roman" w:hAnsi="Arial" w:cs="Arial"/>
          <w:sz w:val="16"/>
          <w:szCs w:val="16"/>
          <w:lang w:val="en-AU" w:eastAsia="en-GB"/>
        </w:rPr>
      </w:pPr>
      <w:r w:rsidRPr="00273892">
        <w:rPr>
          <w:rFonts w:ascii="Arial" w:eastAsia="Times New Roman" w:hAnsi="Arial" w:cs="Arial"/>
          <w:sz w:val="16"/>
          <w:szCs w:val="16"/>
          <w:lang w:val="en-AU" w:eastAsia="en-GB"/>
        </w:rPr>
        <w:t xml:space="preserve"> the VBA has the right to take decisions in respect of ‘how and for what purpose’ the asset is used throughout the period of use. This policy is applied to contracts entered into, or changed, on or after 1 July 2019.</w:t>
      </w:r>
    </w:p>
    <w:p w14:paraId="6491938F" w14:textId="77777777" w:rsidR="00273892" w:rsidRPr="00273892" w:rsidRDefault="00273892" w:rsidP="00273892">
      <w:pPr>
        <w:pStyle w:val="ListParagraph"/>
        <w:spacing w:before="1" w:line="290" w:lineRule="auto"/>
        <w:ind w:left="1768" w:right="121" w:firstLine="0"/>
        <w:rPr>
          <w:rFonts w:ascii="Arial" w:hAnsi="Arial"/>
          <w:sz w:val="16"/>
        </w:rPr>
      </w:pPr>
    </w:p>
    <w:p w14:paraId="6EC27079" w14:textId="77777777" w:rsidR="00084F36" w:rsidRPr="00EB2BD8" w:rsidRDefault="00EB2BD8" w:rsidP="00CC09EC">
      <w:pPr>
        <w:pStyle w:val="Heading2"/>
        <w:ind w:left="1048"/>
      </w:pPr>
      <w:bookmarkStart w:id="318" w:name="_Toc150762620"/>
      <w:r w:rsidRPr="00EB2BD8">
        <w:t xml:space="preserve">Separation of lease and non-lease </w:t>
      </w:r>
      <w:r w:rsidRPr="00EB2BD8">
        <w:rPr>
          <w:spacing w:val="-2"/>
        </w:rPr>
        <w:t>components</w:t>
      </w:r>
      <w:bookmarkEnd w:id="318"/>
    </w:p>
    <w:p w14:paraId="3461BF34" w14:textId="77777777" w:rsidR="00084F36" w:rsidRPr="00EB2BD8" w:rsidRDefault="00EB2BD8">
      <w:pPr>
        <w:spacing w:before="115" w:line="290" w:lineRule="auto"/>
        <w:ind w:left="1048" w:right="121"/>
        <w:rPr>
          <w:rFonts w:ascii="Arial"/>
          <w:sz w:val="16"/>
        </w:rPr>
      </w:pPr>
      <w:r w:rsidRPr="00EB2BD8">
        <w:rPr>
          <w:rFonts w:ascii="Arial"/>
          <w:w w:val="105"/>
          <w:sz w:val="16"/>
        </w:rPr>
        <w:t>At inception or on reassessment of a contract that contains a lease component, the lessee is required to separate out and account separately for non-lease components within a lease contract and exclude these amounts</w:t>
      </w:r>
      <w:r w:rsidRPr="00EB2BD8">
        <w:rPr>
          <w:rFonts w:ascii="Arial"/>
          <w:spacing w:val="-6"/>
          <w:w w:val="105"/>
          <w:sz w:val="16"/>
        </w:rPr>
        <w:t xml:space="preserve"> </w:t>
      </w:r>
      <w:r w:rsidRPr="00EB2BD8">
        <w:rPr>
          <w:rFonts w:ascii="Arial"/>
          <w:w w:val="105"/>
          <w:sz w:val="16"/>
        </w:rPr>
        <w:t>when</w:t>
      </w:r>
      <w:r w:rsidRPr="00EB2BD8">
        <w:rPr>
          <w:rFonts w:ascii="Arial"/>
          <w:spacing w:val="-6"/>
          <w:w w:val="105"/>
          <w:sz w:val="16"/>
        </w:rPr>
        <w:t xml:space="preserve"> </w:t>
      </w:r>
      <w:r w:rsidRPr="00EB2BD8">
        <w:rPr>
          <w:rFonts w:ascii="Arial"/>
          <w:w w:val="105"/>
          <w:sz w:val="16"/>
        </w:rPr>
        <w:t>determining</w:t>
      </w:r>
      <w:r w:rsidRPr="00EB2BD8">
        <w:rPr>
          <w:rFonts w:ascii="Arial"/>
          <w:spacing w:val="-6"/>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lease</w:t>
      </w:r>
      <w:r w:rsidRPr="00EB2BD8">
        <w:rPr>
          <w:rFonts w:ascii="Arial"/>
          <w:spacing w:val="-6"/>
          <w:w w:val="105"/>
          <w:sz w:val="16"/>
        </w:rPr>
        <w:t xml:space="preserve"> </w:t>
      </w:r>
      <w:r w:rsidRPr="00EB2BD8">
        <w:rPr>
          <w:rFonts w:ascii="Arial"/>
          <w:w w:val="105"/>
          <w:sz w:val="16"/>
        </w:rPr>
        <w:t>liability</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right-of- use asset amount.</w:t>
      </w:r>
    </w:p>
    <w:p w14:paraId="24F10170" w14:textId="77777777" w:rsidR="00084F36" w:rsidRPr="00EB2BD8" w:rsidRDefault="00084F36">
      <w:pPr>
        <w:pStyle w:val="BodyText"/>
        <w:spacing w:before="1"/>
        <w:rPr>
          <w:rFonts w:ascii="Arial"/>
          <w:sz w:val="14"/>
        </w:rPr>
      </w:pPr>
    </w:p>
    <w:p w14:paraId="4CD0ED78" w14:textId="77777777" w:rsidR="00084F36" w:rsidRPr="00EB2BD8" w:rsidRDefault="00EB2BD8" w:rsidP="00CC09EC">
      <w:pPr>
        <w:pStyle w:val="Heading2"/>
        <w:ind w:left="1048"/>
      </w:pPr>
      <w:bookmarkStart w:id="319" w:name="_Toc150762621"/>
      <w:r w:rsidRPr="00EB2BD8">
        <w:t>Recognition and measurement of leases as a lessee</w:t>
      </w:r>
      <w:bookmarkEnd w:id="319"/>
    </w:p>
    <w:p w14:paraId="0632EEE3" w14:textId="77777777" w:rsidR="00084F36" w:rsidRPr="00EB2BD8" w:rsidRDefault="00EB2BD8">
      <w:pPr>
        <w:spacing w:before="115"/>
        <w:ind w:left="1048"/>
        <w:rPr>
          <w:rFonts w:ascii="Arial" w:hAnsi="Arial"/>
          <w:i/>
          <w:sz w:val="16"/>
        </w:rPr>
      </w:pPr>
      <w:r w:rsidRPr="00EB2BD8">
        <w:rPr>
          <w:rFonts w:ascii="Arial" w:hAnsi="Arial"/>
          <w:i/>
          <w:w w:val="105"/>
          <w:sz w:val="16"/>
        </w:rPr>
        <w:t>Lease</w:t>
      </w:r>
      <w:r w:rsidRPr="00EB2BD8">
        <w:rPr>
          <w:rFonts w:ascii="Arial" w:hAnsi="Arial"/>
          <w:i/>
          <w:spacing w:val="-7"/>
          <w:w w:val="105"/>
          <w:sz w:val="16"/>
        </w:rPr>
        <w:t xml:space="preserve"> </w:t>
      </w:r>
      <w:r w:rsidRPr="00EB2BD8">
        <w:rPr>
          <w:rFonts w:ascii="Arial" w:hAnsi="Arial"/>
          <w:i/>
          <w:w w:val="105"/>
          <w:sz w:val="16"/>
        </w:rPr>
        <w:t>Liability</w:t>
      </w:r>
      <w:r w:rsidRPr="00EB2BD8">
        <w:rPr>
          <w:rFonts w:ascii="Arial" w:hAnsi="Arial"/>
          <w:i/>
          <w:spacing w:val="-7"/>
          <w:w w:val="105"/>
          <w:sz w:val="16"/>
        </w:rPr>
        <w:t xml:space="preserve"> </w:t>
      </w:r>
      <w:r w:rsidRPr="00EB2BD8">
        <w:rPr>
          <w:rFonts w:ascii="Arial" w:hAnsi="Arial"/>
          <w:i/>
          <w:w w:val="105"/>
          <w:sz w:val="16"/>
        </w:rPr>
        <w:t>–</w:t>
      </w:r>
      <w:r w:rsidRPr="00EB2BD8">
        <w:rPr>
          <w:rFonts w:ascii="Arial" w:hAnsi="Arial"/>
          <w:i/>
          <w:spacing w:val="-6"/>
          <w:w w:val="105"/>
          <w:sz w:val="16"/>
        </w:rPr>
        <w:t xml:space="preserve"> </w:t>
      </w:r>
      <w:r w:rsidRPr="00EB2BD8">
        <w:rPr>
          <w:rFonts w:ascii="Arial" w:hAnsi="Arial"/>
          <w:i/>
          <w:w w:val="105"/>
          <w:sz w:val="16"/>
        </w:rPr>
        <w:t>initial</w:t>
      </w:r>
      <w:r w:rsidRPr="00EB2BD8">
        <w:rPr>
          <w:rFonts w:ascii="Arial" w:hAnsi="Arial"/>
          <w:i/>
          <w:spacing w:val="-7"/>
          <w:w w:val="105"/>
          <w:sz w:val="16"/>
        </w:rPr>
        <w:t xml:space="preserve"> </w:t>
      </w:r>
      <w:r w:rsidRPr="00EB2BD8">
        <w:rPr>
          <w:rFonts w:ascii="Arial" w:hAnsi="Arial"/>
          <w:i/>
          <w:spacing w:val="-2"/>
          <w:w w:val="105"/>
          <w:sz w:val="16"/>
        </w:rPr>
        <w:t>measurement</w:t>
      </w:r>
    </w:p>
    <w:p w14:paraId="6B032938" w14:textId="264CAEC0" w:rsidR="00084F36" w:rsidRPr="00EB2BD8" w:rsidRDefault="00EB2BD8">
      <w:pPr>
        <w:spacing w:before="39" w:line="290" w:lineRule="auto"/>
        <w:ind w:left="1048"/>
        <w:rPr>
          <w:rFonts w:ascii="Arial"/>
          <w:sz w:val="16"/>
        </w:rPr>
      </w:pPr>
      <w:r w:rsidRPr="00EB2BD8">
        <w:rPr>
          <w:rFonts w:ascii="Arial"/>
          <w:w w:val="105"/>
          <w:sz w:val="16"/>
        </w:rPr>
        <w:t>The lease liability is initially measured at the present</w:t>
      </w:r>
      <w:r w:rsidR="00CC09EC">
        <w:rPr>
          <w:rFonts w:ascii="Arial"/>
          <w:w w:val="105"/>
          <w:sz w:val="16"/>
        </w:rPr>
        <w:br/>
      </w:r>
      <w:r w:rsidRPr="00EB2BD8">
        <w:rPr>
          <w:rFonts w:ascii="Arial"/>
          <w:w w:val="105"/>
          <w:sz w:val="16"/>
        </w:rPr>
        <w:t xml:space="preserve"> value of the lease payments unpaid at the commencement date, discounted</w:t>
      </w:r>
      <w:r w:rsidRPr="00EB2BD8">
        <w:rPr>
          <w:rFonts w:ascii="Arial"/>
          <w:spacing w:val="-5"/>
          <w:w w:val="105"/>
          <w:sz w:val="16"/>
        </w:rPr>
        <w:t xml:space="preserve"> </w:t>
      </w:r>
      <w:r w:rsidRPr="00EB2BD8">
        <w:rPr>
          <w:rFonts w:ascii="Arial"/>
          <w:w w:val="105"/>
          <w:sz w:val="16"/>
        </w:rPr>
        <w:t>using</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interest</w:t>
      </w:r>
      <w:r w:rsidRPr="00EB2BD8">
        <w:rPr>
          <w:rFonts w:ascii="Arial"/>
          <w:spacing w:val="-5"/>
          <w:w w:val="105"/>
          <w:sz w:val="16"/>
        </w:rPr>
        <w:t xml:space="preserve"> </w:t>
      </w:r>
      <w:r w:rsidRPr="00EB2BD8">
        <w:rPr>
          <w:rFonts w:ascii="Arial"/>
          <w:w w:val="105"/>
          <w:sz w:val="16"/>
        </w:rPr>
        <w:t>rate</w:t>
      </w:r>
      <w:r w:rsidRPr="00EB2BD8">
        <w:rPr>
          <w:rFonts w:ascii="Arial"/>
          <w:spacing w:val="-5"/>
          <w:w w:val="105"/>
          <w:sz w:val="16"/>
        </w:rPr>
        <w:t xml:space="preserve"> </w:t>
      </w:r>
      <w:r w:rsidRPr="00EB2BD8">
        <w:rPr>
          <w:rFonts w:ascii="Arial"/>
          <w:w w:val="105"/>
          <w:sz w:val="16"/>
        </w:rPr>
        <w:t>implicit</w:t>
      </w:r>
      <w:r w:rsidRPr="00EB2BD8">
        <w:rPr>
          <w:rFonts w:ascii="Arial"/>
          <w:spacing w:val="-5"/>
          <w:w w:val="105"/>
          <w:sz w:val="16"/>
        </w:rPr>
        <w:t xml:space="preserve"> </w:t>
      </w:r>
      <w:r w:rsidRPr="00EB2BD8">
        <w:rPr>
          <w:rFonts w:ascii="Arial"/>
          <w:w w:val="105"/>
          <w:sz w:val="16"/>
        </w:rPr>
        <w:t>in</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lease</w:t>
      </w:r>
      <w:r w:rsidRPr="00EB2BD8">
        <w:rPr>
          <w:rFonts w:ascii="Arial"/>
          <w:spacing w:val="-5"/>
          <w:w w:val="105"/>
          <w:sz w:val="16"/>
        </w:rPr>
        <w:t xml:space="preserve"> </w:t>
      </w:r>
      <w:r w:rsidRPr="00EB2BD8">
        <w:rPr>
          <w:rFonts w:ascii="Arial"/>
          <w:w w:val="105"/>
          <w:sz w:val="16"/>
        </w:rPr>
        <w:t>if</w:t>
      </w:r>
      <w:r w:rsidRPr="00EB2BD8">
        <w:rPr>
          <w:rFonts w:ascii="Arial"/>
          <w:spacing w:val="-5"/>
          <w:w w:val="105"/>
          <w:sz w:val="16"/>
        </w:rPr>
        <w:t xml:space="preserve"> </w:t>
      </w:r>
      <w:r w:rsidRPr="00EB2BD8">
        <w:rPr>
          <w:rFonts w:ascii="Arial"/>
          <w:w w:val="105"/>
          <w:sz w:val="16"/>
        </w:rPr>
        <w:t>that rate is readily determinable, or the VBA incremental borrowing rate.</w:t>
      </w:r>
    </w:p>
    <w:p w14:paraId="7351305E" w14:textId="77777777" w:rsidR="00084F36" w:rsidRPr="00EB2BD8" w:rsidRDefault="00EB2BD8">
      <w:pPr>
        <w:spacing w:before="9"/>
        <w:rPr>
          <w:rFonts w:ascii="Arial"/>
          <w:sz w:val="19"/>
        </w:rPr>
      </w:pPr>
      <w:r w:rsidRPr="00EB2BD8">
        <w:br w:type="column"/>
      </w:r>
    </w:p>
    <w:p w14:paraId="0CB97D10" w14:textId="77777777" w:rsidR="00084F36" w:rsidRPr="00EB2BD8" w:rsidRDefault="00EB2BD8">
      <w:pPr>
        <w:spacing w:line="288" w:lineRule="auto"/>
        <w:ind w:left="498" w:right="1370"/>
        <w:rPr>
          <w:rFonts w:ascii="Arial"/>
          <w:sz w:val="16"/>
        </w:rPr>
      </w:pPr>
      <w:r w:rsidRPr="00EB2BD8">
        <w:rPr>
          <w:rFonts w:ascii="Arial"/>
          <w:w w:val="105"/>
          <w:sz w:val="16"/>
        </w:rPr>
        <w:t>Lease</w:t>
      </w:r>
      <w:r w:rsidRPr="00EB2BD8">
        <w:rPr>
          <w:rFonts w:ascii="Arial"/>
          <w:spacing w:val="-5"/>
          <w:w w:val="105"/>
          <w:sz w:val="16"/>
        </w:rPr>
        <w:t xml:space="preserve"> </w:t>
      </w:r>
      <w:r w:rsidRPr="00EB2BD8">
        <w:rPr>
          <w:rFonts w:ascii="Arial"/>
          <w:w w:val="105"/>
          <w:sz w:val="16"/>
        </w:rPr>
        <w:t>payments</w:t>
      </w:r>
      <w:r w:rsidRPr="00EB2BD8">
        <w:rPr>
          <w:rFonts w:ascii="Arial"/>
          <w:spacing w:val="-5"/>
          <w:w w:val="105"/>
          <w:sz w:val="16"/>
        </w:rPr>
        <w:t xml:space="preserve"> </w:t>
      </w:r>
      <w:r w:rsidRPr="00EB2BD8">
        <w:rPr>
          <w:rFonts w:ascii="Arial"/>
          <w:w w:val="105"/>
          <w:sz w:val="16"/>
        </w:rPr>
        <w:t>included</w:t>
      </w:r>
      <w:r w:rsidRPr="00EB2BD8">
        <w:rPr>
          <w:rFonts w:ascii="Arial"/>
          <w:spacing w:val="-5"/>
          <w:w w:val="105"/>
          <w:sz w:val="16"/>
        </w:rPr>
        <w:t xml:space="preserve"> </w:t>
      </w:r>
      <w:r w:rsidRPr="00EB2BD8">
        <w:rPr>
          <w:rFonts w:ascii="Arial"/>
          <w:w w:val="105"/>
          <w:sz w:val="16"/>
        </w:rPr>
        <w:t>in</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measurement</w:t>
      </w:r>
      <w:r w:rsidRPr="00EB2BD8">
        <w:rPr>
          <w:rFonts w:ascii="Arial"/>
          <w:spacing w:val="-5"/>
          <w:w w:val="105"/>
          <w:sz w:val="16"/>
        </w:rPr>
        <w:t xml:space="preserve"> </w:t>
      </w:r>
      <w:r w:rsidRPr="00EB2BD8">
        <w:rPr>
          <w:rFonts w:ascii="Arial"/>
          <w:w w:val="105"/>
          <w:sz w:val="16"/>
        </w:rPr>
        <w:t>of</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lease liability comprise the following:</w:t>
      </w:r>
    </w:p>
    <w:p w14:paraId="42FF8C7B" w14:textId="77777777" w:rsidR="00084F36" w:rsidRPr="00EB2BD8" w:rsidRDefault="00EB2BD8">
      <w:pPr>
        <w:pStyle w:val="ListParagraph"/>
        <w:numPr>
          <w:ilvl w:val="0"/>
          <w:numId w:val="38"/>
        </w:numPr>
        <w:tabs>
          <w:tab w:val="left" w:pos="1170"/>
        </w:tabs>
        <w:spacing w:before="2" w:line="285" w:lineRule="auto"/>
        <w:ind w:right="1787"/>
        <w:rPr>
          <w:rFonts w:ascii="Arial" w:hAnsi="Arial"/>
          <w:sz w:val="16"/>
        </w:rPr>
      </w:pPr>
      <w:r w:rsidRPr="00EB2BD8">
        <w:rPr>
          <w:rFonts w:ascii="Arial" w:hAnsi="Arial"/>
          <w:w w:val="105"/>
          <w:sz w:val="16"/>
        </w:rPr>
        <w:t>fixed payments (including in-substance fixed payments)</w:t>
      </w:r>
      <w:r w:rsidRPr="00EB2BD8">
        <w:rPr>
          <w:rFonts w:ascii="Arial" w:hAnsi="Arial"/>
          <w:spacing w:val="-8"/>
          <w:w w:val="105"/>
          <w:sz w:val="16"/>
        </w:rPr>
        <w:t xml:space="preserve"> </w:t>
      </w:r>
      <w:r w:rsidRPr="00EB2BD8">
        <w:rPr>
          <w:rFonts w:ascii="Arial" w:hAnsi="Arial"/>
          <w:w w:val="105"/>
          <w:sz w:val="16"/>
        </w:rPr>
        <w:t>less</w:t>
      </w:r>
      <w:r w:rsidRPr="00EB2BD8">
        <w:rPr>
          <w:rFonts w:ascii="Arial" w:hAnsi="Arial"/>
          <w:spacing w:val="-7"/>
          <w:w w:val="105"/>
          <w:sz w:val="16"/>
        </w:rPr>
        <w:t xml:space="preserve"> </w:t>
      </w:r>
      <w:r w:rsidRPr="00EB2BD8">
        <w:rPr>
          <w:rFonts w:ascii="Arial" w:hAnsi="Arial"/>
          <w:w w:val="105"/>
          <w:sz w:val="16"/>
        </w:rPr>
        <w:t>any</w:t>
      </w:r>
      <w:r w:rsidRPr="00EB2BD8">
        <w:rPr>
          <w:rFonts w:ascii="Arial" w:hAnsi="Arial"/>
          <w:spacing w:val="-8"/>
          <w:w w:val="105"/>
          <w:sz w:val="16"/>
        </w:rPr>
        <w:t xml:space="preserve"> </w:t>
      </w:r>
      <w:r w:rsidRPr="00EB2BD8">
        <w:rPr>
          <w:rFonts w:ascii="Arial" w:hAnsi="Arial"/>
          <w:w w:val="105"/>
          <w:sz w:val="16"/>
        </w:rPr>
        <w:t>lease</w:t>
      </w:r>
      <w:r w:rsidRPr="00EB2BD8">
        <w:rPr>
          <w:rFonts w:ascii="Arial" w:hAnsi="Arial"/>
          <w:spacing w:val="-8"/>
          <w:w w:val="105"/>
          <w:sz w:val="16"/>
        </w:rPr>
        <w:t xml:space="preserve"> </w:t>
      </w:r>
      <w:r w:rsidRPr="00EB2BD8">
        <w:rPr>
          <w:rFonts w:ascii="Arial" w:hAnsi="Arial"/>
          <w:w w:val="105"/>
          <w:sz w:val="16"/>
        </w:rPr>
        <w:t>incentive</w:t>
      </w:r>
      <w:r w:rsidRPr="00EB2BD8">
        <w:rPr>
          <w:rFonts w:ascii="Arial" w:hAnsi="Arial"/>
          <w:spacing w:val="-8"/>
          <w:w w:val="105"/>
          <w:sz w:val="16"/>
        </w:rPr>
        <w:t xml:space="preserve"> </w:t>
      </w:r>
      <w:r w:rsidRPr="00EB2BD8">
        <w:rPr>
          <w:rFonts w:ascii="Arial" w:hAnsi="Arial"/>
          <w:w w:val="105"/>
          <w:sz w:val="16"/>
        </w:rPr>
        <w:t>receivable;</w:t>
      </w:r>
    </w:p>
    <w:p w14:paraId="60BD10F7" w14:textId="77777777" w:rsidR="00084F36" w:rsidRPr="00EB2BD8" w:rsidRDefault="00EB2BD8">
      <w:pPr>
        <w:pStyle w:val="ListParagraph"/>
        <w:numPr>
          <w:ilvl w:val="0"/>
          <w:numId w:val="38"/>
        </w:numPr>
        <w:tabs>
          <w:tab w:val="left" w:pos="1170"/>
        </w:tabs>
        <w:spacing w:before="4" w:line="288" w:lineRule="auto"/>
        <w:ind w:right="1835"/>
        <w:rPr>
          <w:rFonts w:ascii="Arial" w:hAnsi="Arial"/>
          <w:sz w:val="16"/>
        </w:rPr>
      </w:pPr>
      <w:r w:rsidRPr="00EB2BD8">
        <w:rPr>
          <w:rFonts w:ascii="Arial" w:hAnsi="Arial"/>
          <w:w w:val="105"/>
          <w:sz w:val="16"/>
        </w:rPr>
        <w:t>variable payments based on an index or rate, initially</w:t>
      </w:r>
      <w:r w:rsidRPr="00EB2BD8">
        <w:rPr>
          <w:rFonts w:ascii="Arial" w:hAnsi="Arial"/>
          <w:spacing w:val="-5"/>
          <w:w w:val="105"/>
          <w:sz w:val="16"/>
        </w:rPr>
        <w:t xml:space="preserve"> </w:t>
      </w:r>
      <w:r w:rsidRPr="00EB2BD8">
        <w:rPr>
          <w:rFonts w:ascii="Arial" w:hAnsi="Arial"/>
          <w:w w:val="105"/>
          <w:sz w:val="16"/>
        </w:rPr>
        <w:t>measured</w:t>
      </w:r>
      <w:r w:rsidRPr="00EB2BD8">
        <w:rPr>
          <w:rFonts w:ascii="Arial" w:hAnsi="Arial"/>
          <w:spacing w:val="-5"/>
          <w:w w:val="105"/>
          <w:sz w:val="16"/>
        </w:rPr>
        <w:t xml:space="preserve"> </w:t>
      </w:r>
      <w:r w:rsidRPr="00EB2BD8">
        <w:rPr>
          <w:rFonts w:ascii="Arial" w:hAnsi="Arial"/>
          <w:w w:val="105"/>
          <w:sz w:val="16"/>
        </w:rPr>
        <w:t>using</w:t>
      </w:r>
      <w:r w:rsidRPr="00EB2BD8">
        <w:rPr>
          <w:rFonts w:ascii="Arial" w:hAnsi="Arial"/>
          <w:spacing w:val="-5"/>
          <w:w w:val="105"/>
          <w:sz w:val="16"/>
        </w:rPr>
        <w:t xml:space="preserve"> </w:t>
      </w: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w w:val="105"/>
          <w:sz w:val="16"/>
        </w:rPr>
        <w:t>index</w:t>
      </w:r>
      <w:r w:rsidRPr="00EB2BD8">
        <w:rPr>
          <w:rFonts w:ascii="Arial" w:hAnsi="Arial"/>
          <w:spacing w:val="-5"/>
          <w:w w:val="105"/>
          <w:sz w:val="16"/>
        </w:rPr>
        <w:t xml:space="preserve"> </w:t>
      </w:r>
      <w:r w:rsidRPr="00EB2BD8">
        <w:rPr>
          <w:rFonts w:ascii="Arial" w:hAnsi="Arial"/>
          <w:w w:val="105"/>
          <w:sz w:val="16"/>
        </w:rPr>
        <w:t>or</w:t>
      </w:r>
      <w:r w:rsidRPr="00EB2BD8">
        <w:rPr>
          <w:rFonts w:ascii="Arial" w:hAnsi="Arial"/>
          <w:spacing w:val="-5"/>
          <w:w w:val="105"/>
          <w:sz w:val="16"/>
        </w:rPr>
        <w:t xml:space="preserve"> </w:t>
      </w:r>
      <w:r w:rsidRPr="00EB2BD8">
        <w:rPr>
          <w:rFonts w:ascii="Arial" w:hAnsi="Arial"/>
          <w:w w:val="105"/>
          <w:sz w:val="16"/>
        </w:rPr>
        <w:t>rate</w:t>
      </w:r>
      <w:r w:rsidRPr="00EB2BD8">
        <w:rPr>
          <w:rFonts w:ascii="Arial" w:hAnsi="Arial"/>
          <w:spacing w:val="-5"/>
          <w:w w:val="105"/>
          <w:sz w:val="16"/>
        </w:rPr>
        <w:t xml:space="preserve"> </w:t>
      </w:r>
      <w:r w:rsidRPr="00EB2BD8">
        <w:rPr>
          <w:rFonts w:ascii="Arial" w:hAnsi="Arial"/>
          <w:w w:val="105"/>
          <w:sz w:val="16"/>
        </w:rPr>
        <w:t>as</w:t>
      </w:r>
      <w:r w:rsidRPr="00EB2BD8">
        <w:rPr>
          <w:rFonts w:ascii="Arial" w:hAnsi="Arial"/>
          <w:spacing w:val="-4"/>
          <w:w w:val="105"/>
          <w:sz w:val="16"/>
        </w:rPr>
        <w:t xml:space="preserve"> </w:t>
      </w:r>
      <w:r w:rsidRPr="00EB2BD8">
        <w:rPr>
          <w:rFonts w:ascii="Arial" w:hAnsi="Arial"/>
          <w:w w:val="105"/>
          <w:sz w:val="16"/>
        </w:rPr>
        <w:t>at the commencement date;</w:t>
      </w:r>
    </w:p>
    <w:p w14:paraId="5040BC1B" w14:textId="77777777" w:rsidR="00084F36" w:rsidRPr="00EB2BD8" w:rsidRDefault="00EB2BD8">
      <w:pPr>
        <w:pStyle w:val="ListParagraph"/>
        <w:numPr>
          <w:ilvl w:val="0"/>
          <w:numId w:val="38"/>
        </w:numPr>
        <w:tabs>
          <w:tab w:val="left" w:pos="1170"/>
        </w:tabs>
        <w:spacing w:line="285" w:lineRule="auto"/>
        <w:ind w:right="1658"/>
        <w:rPr>
          <w:rFonts w:ascii="Arial" w:hAnsi="Arial"/>
          <w:sz w:val="16"/>
        </w:rPr>
      </w:pPr>
      <w:r w:rsidRPr="00EB2BD8">
        <w:rPr>
          <w:rFonts w:ascii="Arial" w:hAnsi="Arial"/>
          <w:w w:val="105"/>
          <w:sz w:val="16"/>
        </w:rPr>
        <w:t>amount</w:t>
      </w:r>
      <w:r w:rsidRPr="00EB2BD8">
        <w:rPr>
          <w:rFonts w:ascii="Arial" w:hAnsi="Arial"/>
          <w:spacing w:val="-6"/>
          <w:w w:val="105"/>
          <w:sz w:val="16"/>
        </w:rPr>
        <w:t xml:space="preserve"> </w:t>
      </w:r>
      <w:r w:rsidRPr="00EB2BD8">
        <w:rPr>
          <w:rFonts w:ascii="Arial" w:hAnsi="Arial"/>
          <w:w w:val="105"/>
          <w:sz w:val="16"/>
        </w:rPr>
        <w:t>expected</w:t>
      </w:r>
      <w:r w:rsidRPr="00EB2BD8">
        <w:rPr>
          <w:rFonts w:ascii="Arial" w:hAnsi="Arial"/>
          <w:spacing w:val="-6"/>
          <w:w w:val="105"/>
          <w:sz w:val="16"/>
        </w:rPr>
        <w:t xml:space="preserve"> </w:t>
      </w:r>
      <w:r w:rsidRPr="00EB2BD8">
        <w:rPr>
          <w:rFonts w:ascii="Arial" w:hAnsi="Arial"/>
          <w:w w:val="105"/>
          <w:sz w:val="16"/>
        </w:rPr>
        <w:t>to</w:t>
      </w:r>
      <w:r w:rsidRPr="00EB2BD8">
        <w:rPr>
          <w:rFonts w:ascii="Arial" w:hAnsi="Arial"/>
          <w:spacing w:val="-6"/>
          <w:w w:val="105"/>
          <w:sz w:val="16"/>
        </w:rPr>
        <w:t xml:space="preserve"> </w:t>
      </w:r>
      <w:r w:rsidRPr="00EB2BD8">
        <w:rPr>
          <w:rFonts w:ascii="Arial" w:hAnsi="Arial"/>
          <w:w w:val="105"/>
          <w:sz w:val="16"/>
        </w:rPr>
        <w:t>be</w:t>
      </w:r>
      <w:r w:rsidRPr="00EB2BD8">
        <w:rPr>
          <w:rFonts w:ascii="Arial" w:hAnsi="Arial"/>
          <w:spacing w:val="-6"/>
          <w:w w:val="105"/>
          <w:sz w:val="16"/>
        </w:rPr>
        <w:t xml:space="preserve"> </w:t>
      </w:r>
      <w:r w:rsidRPr="00EB2BD8">
        <w:rPr>
          <w:rFonts w:ascii="Arial" w:hAnsi="Arial"/>
          <w:w w:val="105"/>
          <w:sz w:val="16"/>
        </w:rPr>
        <w:t>payable</w:t>
      </w:r>
      <w:r w:rsidRPr="00EB2BD8">
        <w:rPr>
          <w:rFonts w:ascii="Arial" w:hAnsi="Arial"/>
          <w:spacing w:val="-6"/>
          <w:w w:val="105"/>
          <w:sz w:val="16"/>
        </w:rPr>
        <w:t xml:space="preserve"> </w:t>
      </w:r>
      <w:r w:rsidRPr="00EB2BD8">
        <w:rPr>
          <w:rFonts w:ascii="Arial" w:hAnsi="Arial"/>
          <w:w w:val="105"/>
          <w:sz w:val="16"/>
        </w:rPr>
        <w:t>under</w:t>
      </w:r>
      <w:r w:rsidRPr="00EB2BD8">
        <w:rPr>
          <w:rFonts w:ascii="Arial" w:hAnsi="Arial"/>
          <w:spacing w:val="-6"/>
          <w:w w:val="105"/>
          <w:sz w:val="16"/>
        </w:rPr>
        <w:t xml:space="preserve"> </w:t>
      </w:r>
      <w:r w:rsidRPr="00EB2BD8">
        <w:rPr>
          <w:rFonts w:ascii="Arial" w:hAnsi="Arial"/>
          <w:w w:val="105"/>
          <w:sz w:val="16"/>
        </w:rPr>
        <w:t>a</w:t>
      </w:r>
      <w:r w:rsidRPr="00EB2BD8">
        <w:rPr>
          <w:rFonts w:ascii="Arial" w:hAnsi="Arial"/>
          <w:spacing w:val="-6"/>
          <w:w w:val="105"/>
          <w:sz w:val="16"/>
        </w:rPr>
        <w:t xml:space="preserve"> </w:t>
      </w:r>
      <w:r w:rsidRPr="00EB2BD8">
        <w:rPr>
          <w:rFonts w:ascii="Arial" w:hAnsi="Arial"/>
          <w:w w:val="105"/>
          <w:sz w:val="16"/>
        </w:rPr>
        <w:t>residual value guarantee; and</w:t>
      </w:r>
    </w:p>
    <w:p w14:paraId="5E7D329F" w14:textId="77777777" w:rsidR="00084F36" w:rsidRPr="00EB2BD8" w:rsidRDefault="00EB2BD8">
      <w:pPr>
        <w:pStyle w:val="ListParagraph"/>
        <w:numPr>
          <w:ilvl w:val="0"/>
          <w:numId w:val="38"/>
        </w:numPr>
        <w:tabs>
          <w:tab w:val="left" w:pos="1170"/>
        </w:tabs>
        <w:spacing w:before="4" w:line="285" w:lineRule="auto"/>
        <w:ind w:right="1658"/>
        <w:rPr>
          <w:rFonts w:ascii="Arial" w:hAnsi="Arial"/>
          <w:sz w:val="16"/>
        </w:rPr>
      </w:pPr>
      <w:r w:rsidRPr="00EB2BD8">
        <w:rPr>
          <w:rFonts w:ascii="Arial" w:hAnsi="Arial"/>
          <w:w w:val="105"/>
          <w:sz w:val="16"/>
        </w:rPr>
        <w:t>payments</w:t>
      </w:r>
      <w:r w:rsidRPr="00EB2BD8">
        <w:rPr>
          <w:rFonts w:ascii="Arial" w:hAnsi="Arial"/>
          <w:spacing w:val="-8"/>
          <w:w w:val="105"/>
          <w:sz w:val="16"/>
        </w:rPr>
        <w:t xml:space="preserve"> </w:t>
      </w:r>
      <w:r w:rsidRPr="00EB2BD8">
        <w:rPr>
          <w:rFonts w:ascii="Arial" w:hAnsi="Arial"/>
          <w:w w:val="105"/>
          <w:sz w:val="16"/>
        </w:rPr>
        <w:t>arising</w:t>
      </w:r>
      <w:r w:rsidRPr="00EB2BD8">
        <w:rPr>
          <w:rFonts w:ascii="Arial" w:hAnsi="Arial"/>
          <w:spacing w:val="-8"/>
          <w:w w:val="105"/>
          <w:sz w:val="16"/>
        </w:rPr>
        <w:t xml:space="preserve"> </w:t>
      </w:r>
      <w:r w:rsidRPr="00EB2BD8">
        <w:rPr>
          <w:rFonts w:ascii="Arial" w:hAnsi="Arial"/>
          <w:w w:val="105"/>
          <w:sz w:val="16"/>
        </w:rPr>
        <w:t>from</w:t>
      </w:r>
      <w:r w:rsidRPr="00EB2BD8">
        <w:rPr>
          <w:rFonts w:ascii="Arial" w:hAnsi="Arial"/>
          <w:spacing w:val="-8"/>
          <w:w w:val="105"/>
          <w:sz w:val="16"/>
        </w:rPr>
        <w:t xml:space="preserve"> </w:t>
      </w:r>
      <w:r w:rsidRPr="00EB2BD8">
        <w:rPr>
          <w:rFonts w:ascii="Arial" w:hAnsi="Arial"/>
          <w:w w:val="105"/>
          <w:sz w:val="16"/>
        </w:rPr>
        <w:t>purchase</w:t>
      </w:r>
      <w:r w:rsidRPr="00EB2BD8">
        <w:rPr>
          <w:rFonts w:ascii="Arial" w:hAnsi="Arial"/>
          <w:spacing w:val="-8"/>
          <w:w w:val="105"/>
          <w:sz w:val="16"/>
        </w:rPr>
        <w:t xml:space="preserve"> </w:t>
      </w:r>
      <w:r w:rsidRPr="00EB2BD8">
        <w:rPr>
          <w:rFonts w:ascii="Arial" w:hAnsi="Arial"/>
          <w:w w:val="105"/>
          <w:sz w:val="16"/>
        </w:rPr>
        <w:t>and</w:t>
      </w:r>
      <w:r w:rsidRPr="00EB2BD8">
        <w:rPr>
          <w:rFonts w:ascii="Arial" w:hAnsi="Arial"/>
          <w:spacing w:val="-8"/>
          <w:w w:val="105"/>
          <w:sz w:val="16"/>
        </w:rPr>
        <w:t xml:space="preserve"> </w:t>
      </w:r>
      <w:r w:rsidRPr="00EB2BD8">
        <w:rPr>
          <w:rFonts w:ascii="Arial" w:hAnsi="Arial"/>
          <w:w w:val="105"/>
          <w:sz w:val="16"/>
        </w:rPr>
        <w:t>termination options reasonably certain to be exercised.</w:t>
      </w:r>
    </w:p>
    <w:p w14:paraId="040BDD4D" w14:textId="77777777" w:rsidR="00084F36" w:rsidRPr="00EB2BD8" w:rsidRDefault="00EB2BD8" w:rsidP="00CC09EC">
      <w:pPr>
        <w:pStyle w:val="Heading2"/>
        <w:ind w:left="498"/>
      </w:pPr>
      <w:bookmarkStart w:id="320" w:name="_Toc150762622"/>
      <w:r w:rsidRPr="00EB2BD8">
        <w:t>Lease</w:t>
      </w:r>
      <w:r w:rsidRPr="00EB2BD8">
        <w:rPr>
          <w:spacing w:val="13"/>
        </w:rPr>
        <w:t xml:space="preserve"> </w:t>
      </w:r>
      <w:r w:rsidRPr="00EB2BD8">
        <w:t>liability</w:t>
      </w:r>
      <w:r w:rsidRPr="00EB2BD8">
        <w:rPr>
          <w:spacing w:val="13"/>
        </w:rPr>
        <w:t xml:space="preserve"> </w:t>
      </w:r>
      <w:r w:rsidRPr="00EB2BD8">
        <w:t>–</w:t>
      </w:r>
      <w:r w:rsidRPr="00EB2BD8">
        <w:rPr>
          <w:spacing w:val="13"/>
        </w:rPr>
        <w:t xml:space="preserve"> </w:t>
      </w:r>
      <w:r w:rsidRPr="00EB2BD8">
        <w:t>subsequent</w:t>
      </w:r>
      <w:r w:rsidRPr="00EB2BD8">
        <w:rPr>
          <w:spacing w:val="13"/>
        </w:rPr>
        <w:t xml:space="preserve"> </w:t>
      </w:r>
      <w:r w:rsidRPr="00EB2BD8">
        <w:rPr>
          <w:spacing w:val="-2"/>
        </w:rPr>
        <w:t>measurement</w:t>
      </w:r>
      <w:bookmarkEnd w:id="320"/>
    </w:p>
    <w:p w14:paraId="563576CA" w14:textId="77777777" w:rsidR="00084F36" w:rsidRPr="00EB2BD8" w:rsidRDefault="00EB2BD8">
      <w:pPr>
        <w:spacing w:before="156" w:line="290" w:lineRule="auto"/>
        <w:ind w:left="498" w:right="1370"/>
        <w:rPr>
          <w:rFonts w:ascii="Arial"/>
          <w:sz w:val="16"/>
        </w:rPr>
      </w:pPr>
      <w:r w:rsidRPr="00EB2BD8">
        <w:rPr>
          <w:rFonts w:ascii="Arial"/>
          <w:w w:val="105"/>
          <w:sz w:val="16"/>
        </w:rPr>
        <w:t>Subsequent to initial measurement, the liability will be reduced for payments made and increased for interest accrued.</w:t>
      </w:r>
      <w:r w:rsidRPr="00EB2BD8">
        <w:rPr>
          <w:rFonts w:ascii="Arial"/>
          <w:spacing w:val="-5"/>
          <w:w w:val="105"/>
          <w:sz w:val="16"/>
        </w:rPr>
        <w:t xml:space="preserve"> </w:t>
      </w:r>
      <w:r w:rsidRPr="00EB2BD8">
        <w:rPr>
          <w:rFonts w:ascii="Arial"/>
          <w:w w:val="105"/>
          <w:sz w:val="16"/>
        </w:rPr>
        <w:t>It</w:t>
      </w:r>
      <w:r w:rsidRPr="00EB2BD8">
        <w:rPr>
          <w:rFonts w:ascii="Arial"/>
          <w:spacing w:val="-5"/>
          <w:w w:val="105"/>
          <w:sz w:val="16"/>
        </w:rPr>
        <w:t xml:space="preserve"> </w:t>
      </w:r>
      <w:r w:rsidRPr="00EB2BD8">
        <w:rPr>
          <w:rFonts w:ascii="Arial"/>
          <w:w w:val="105"/>
          <w:sz w:val="16"/>
        </w:rPr>
        <w:t>is</w:t>
      </w:r>
      <w:r w:rsidRPr="00EB2BD8">
        <w:rPr>
          <w:rFonts w:ascii="Arial"/>
          <w:spacing w:val="-5"/>
          <w:w w:val="105"/>
          <w:sz w:val="16"/>
        </w:rPr>
        <w:t xml:space="preserve"> </w:t>
      </w:r>
      <w:r w:rsidRPr="00EB2BD8">
        <w:rPr>
          <w:rFonts w:ascii="Arial"/>
          <w:w w:val="105"/>
          <w:sz w:val="16"/>
        </w:rPr>
        <w:t>remeasured</w:t>
      </w:r>
      <w:r w:rsidRPr="00EB2BD8">
        <w:rPr>
          <w:rFonts w:ascii="Arial"/>
          <w:spacing w:val="-5"/>
          <w:w w:val="105"/>
          <w:sz w:val="16"/>
        </w:rPr>
        <w:t xml:space="preserve"> </w:t>
      </w:r>
      <w:r w:rsidRPr="00EB2BD8">
        <w:rPr>
          <w:rFonts w:ascii="Arial"/>
          <w:w w:val="105"/>
          <w:sz w:val="16"/>
        </w:rPr>
        <w:t>to</w:t>
      </w:r>
      <w:r w:rsidRPr="00EB2BD8">
        <w:rPr>
          <w:rFonts w:ascii="Arial"/>
          <w:spacing w:val="-5"/>
          <w:w w:val="105"/>
          <w:sz w:val="16"/>
        </w:rPr>
        <w:t xml:space="preserve"> </w:t>
      </w:r>
      <w:r w:rsidRPr="00EB2BD8">
        <w:rPr>
          <w:rFonts w:ascii="Arial"/>
          <w:w w:val="105"/>
          <w:sz w:val="16"/>
        </w:rPr>
        <w:t>reflect</w:t>
      </w:r>
      <w:r w:rsidRPr="00EB2BD8">
        <w:rPr>
          <w:rFonts w:ascii="Arial"/>
          <w:spacing w:val="-5"/>
          <w:w w:val="105"/>
          <w:sz w:val="16"/>
        </w:rPr>
        <w:t xml:space="preserve"> </w:t>
      </w:r>
      <w:r w:rsidRPr="00EB2BD8">
        <w:rPr>
          <w:rFonts w:ascii="Arial"/>
          <w:w w:val="105"/>
          <w:sz w:val="16"/>
        </w:rPr>
        <w:t>any</w:t>
      </w:r>
      <w:r w:rsidRPr="00EB2BD8">
        <w:rPr>
          <w:rFonts w:ascii="Arial"/>
          <w:spacing w:val="-5"/>
          <w:w w:val="105"/>
          <w:sz w:val="16"/>
        </w:rPr>
        <w:t xml:space="preserve"> </w:t>
      </w:r>
      <w:r w:rsidRPr="00EB2BD8">
        <w:rPr>
          <w:rFonts w:ascii="Arial"/>
          <w:w w:val="105"/>
          <w:sz w:val="16"/>
        </w:rPr>
        <w:t>reassessment</w:t>
      </w:r>
      <w:r w:rsidRPr="00EB2BD8">
        <w:rPr>
          <w:rFonts w:ascii="Arial"/>
          <w:spacing w:val="-5"/>
          <w:w w:val="105"/>
          <w:sz w:val="16"/>
        </w:rPr>
        <w:t xml:space="preserve"> </w:t>
      </w:r>
      <w:r w:rsidRPr="00EB2BD8">
        <w:rPr>
          <w:rFonts w:ascii="Arial"/>
          <w:w w:val="105"/>
          <w:sz w:val="16"/>
        </w:rPr>
        <w:t xml:space="preserve">or modification, or if there are changes in substance fixed </w:t>
      </w:r>
      <w:r w:rsidRPr="00EB2BD8">
        <w:rPr>
          <w:rFonts w:ascii="Arial"/>
          <w:spacing w:val="-2"/>
          <w:w w:val="105"/>
          <w:sz w:val="16"/>
        </w:rPr>
        <w:t>payments.</w:t>
      </w:r>
    </w:p>
    <w:p w14:paraId="5C1AF67A" w14:textId="77777777" w:rsidR="00084F36" w:rsidRPr="00EB2BD8" w:rsidRDefault="00084F36">
      <w:pPr>
        <w:pStyle w:val="BodyText"/>
        <w:spacing w:before="2"/>
        <w:rPr>
          <w:rFonts w:ascii="Arial"/>
          <w:sz w:val="19"/>
        </w:rPr>
      </w:pPr>
    </w:p>
    <w:p w14:paraId="116E9105" w14:textId="77777777" w:rsidR="00084F36" w:rsidRPr="00EB2BD8" w:rsidRDefault="00EB2BD8">
      <w:pPr>
        <w:spacing w:line="290" w:lineRule="auto"/>
        <w:ind w:left="498" w:right="1625"/>
        <w:rPr>
          <w:rFonts w:ascii="Arial"/>
          <w:sz w:val="16"/>
        </w:rPr>
      </w:pPr>
      <w:r w:rsidRPr="00EB2BD8">
        <w:rPr>
          <w:rFonts w:ascii="Arial"/>
          <w:w w:val="105"/>
          <w:sz w:val="16"/>
        </w:rPr>
        <w:t>When</w:t>
      </w:r>
      <w:r w:rsidRPr="00EB2BD8">
        <w:rPr>
          <w:rFonts w:ascii="Arial"/>
          <w:spacing w:val="-6"/>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lease</w:t>
      </w:r>
      <w:r w:rsidRPr="00EB2BD8">
        <w:rPr>
          <w:rFonts w:ascii="Arial"/>
          <w:spacing w:val="-6"/>
          <w:w w:val="105"/>
          <w:sz w:val="16"/>
        </w:rPr>
        <w:t xml:space="preserve"> </w:t>
      </w:r>
      <w:r w:rsidRPr="00EB2BD8">
        <w:rPr>
          <w:rFonts w:ascii="Arial"/>
          <w:w w:val="105"/>
          <w:sz w:val="16"/>
        </w:rPr>
        <w:t>liability</w:t>
      </w:r>
      <w:r w:rsidRPr="00EB2BD8">
        <w:rPr>
          <w:rFonts w:ascii="Arial"/>
          <w:spacing w:val="-6"/>
          <w:w w:val="105"/>
          <w:sz w:val="16"/>
        </w:rPr>
        <w:t xml:space="preserve"> </w:t>
      </w:r>
      <w:r w:rsidRPr="00EB2BD8">
        <w:rPr>
          <w:rFonts w:ascii="Arial"/>
          <w:w w:val="105"/>
          <w:sz w:val="16"/>
        </w:rPr>
        <w:t>is</w:t>
      </w:r>
      <w:r w:rsidRPr="00EB2BD8">
        <w:rPr>
          <w:rFonts w:ascii="Arial"/>
          <w:spacing w:val="-6"/>
          <w:w w:val="105"/>
          <w:sz w:val="16"/>
        </w:rPr>
        <w:t xml:space="preserve"> </w:t>
      </w:r>
      <w:r w:rsidRPr="00EB2BD8">
        <w:rPr>
          <w:rFonts w:ascii="Arial"/>
          <w:w w:val="105"/>
          <w:sz w:val="16"/>
        </w:rPr>
        <w:t>remeasured,</w:t>
      </w:r>
      <w:r w:rsidRPr="00EB2BD8">
        <w:rPr>
          <w:rFonts w:ascii="Arial"/>
          <w:spacing w:val="-6"/>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corresponding adjustment is reflected in the right-of-use asset, or the comprehensive operating statement if the right of use asset is already reduced to zero.</w:t>
      </w:r>
    </w:p>
    <w:p w14:paraId="59BE3978" w14:textId="77777777" w:rsidR="00084F36" w:rsidRPr="00EB2BD8" w:rsidRDefault="00084F36">
      <w:pPr>
        <w:pStyle w:val="BodyText"/>
        <w:spacing w:before="1"/>
        <w:rPr>
          <w:rFonts w:ascii="Arial"/>
          <w:sz w:val="14"/>
        </w:rPr>
      </w:pPr>
    </w:p>
    <w:p w14:paraId="71AF8376" w14:textId="44AC4729" w:rsidR="00084F36" w:rsidRPr="00EB2BD8" w:rsidRDefault="00EB2BD8" w:rsidP="00CC09EC">
      <w:pPr>
        <w:pStyle w:val="Heading2"/>
        <w:ind w:left="498"/>
      </w:pPr>
      <w:bookmarkStart w:id="321" w:name="_Toc150762623"/>
      <w:r w:rsidRPr="00EB2BD8">
        <w:t xml:space="preserve">Short-term leases and leases </w:t>
      </w:r>
      <w:r w:rsidR="00CC09EC">
        <w:br/>
      </w:r>
      <w:r w:rsidRPr="00EB2BD8">
        <w:t xml:space="preserve">of low value </w:t>
      </w:r>
      <w:r w:rsidRPr="00EB2BD8">
        <w:rPr>
          <w:spacing w:val="-2"/>
        </w:rPr>
        <w:t>assets</w:t>
      </w:r>
      <w:bookmarkEnd w:id="321"/>
    </w:p>
    <w:p w14:paraId="75534205" w14:textId="77777777" w:rsidR="00084F36" w:rsidRPr="00EB2BD8" w:rsidRDefault="00EB2BD8">
      <w:pPr>
        <w:spacing w:before="115" w:line="290" w:lineRule="auto"/>
        <w:ind w:left="498" w:right="1736"/>
        <w:rPr>
          <w:rFonts w:ascii="Arial"/>
          <w:sz w:val="16"/>
        </w:rPr>
      </w:pPr>
      <w:r w:rsidRPr="00EB2BD8">
        <w:rPr>
          <w:rFonts w:ascii="Arial"/>
          <w:w w:val="105"/>
          <w:sz w:val="16"/>
        </w:rPr>
        <w:t>The VBA has elected to account for short-term leases and leases of low value assets using the practical expedients. Instead of recognising a right of use asset and</w:t>
      </w:r>
      <w:r w:rsidRPr="00EB2BD8">
        <w:rPr>
          <w:rFonts w:ascii="Arial"/>
          <w:spacing w:val="-5"/>
          <w:w w:val="105"/>
          <w:sz w:val="16"/>
        </w:rPr>
        <w:t xml:space="preserve"> </w:t>
      </w:r>
      <w:r w:rsidRPr="00EB2BD8">
        <w:rPr>
          <w:rFonts w:ascii="Arial"/>
          <w:w w:val="105"/>
          <w:sz w:val="16"/>
        </w:rPr>
        <w:t>lease</w:t>
      </w:r>
      <w:r w:rsidRPr="00EB2BD8">
        <w:rPr>
          <w:rFonts w:ascii="Arial"/>
          <w:spacing w:val="-5"/>
          <w:w w:val="105"/>
          <w:sz w:val="16"/>
        </w:rPr>
        <w:t xml:space="preserve"> </w:t>
      </w:r>
      <w:r w:rsidRPr="00EB2BD8">
        <w:rPr>
          <w:rFonts w:ascii="Arial"/>
          <w:w w:val="105"/>
          <w:sz w:val="16"/>
        </w:rPr>
        <w:t>liability,</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payments</w:t>
      </w:r>
      <w:r w:rsidRPr="00EB2BD8">
        <w:rPr>
          <w:rFonts w:ascii="Arial"/>
          <w:spacing w:val="-5"/>
          <w:w w:val="105"/>
          <w:sz w:val="16"/>
        </w:rPr>
        <w:t xml:space="preserve"> </w:t>
      </w:r>
      <w:r w:rsidRPr="00EB2BD8">
        <w:rPr>
          <w:rFonts w:ascii="Arial"/>
          <w:w w:val="105"/>
          <w:sz w:val="16"/>
        </w:rPr>
        <w:t>in</w:t>
      </w:r>
      <w:r w:rsidRPr="00EB2BD8">
        <w:rPr>
          <w:rFonts w:ascii="Arial"/>
          <w:spacing w:val="-5"/>
          <w:w w:val="105"/>
          <w:sz w:val="16"/>
        </w:rPr>
        <w:t xml:space="preserve"> </w:t>
      </w:r>
      <w:r w:rsidRPr="00EB2BD8">
        <w:rPr>
          <w:rFonts w:ascii="Arial"/>
          <w:w w:val="105"/>
          <w:sz w:val="16"/>
        </w:rPr>
        <w:t>relation</w:t>
      </w:r>
      <w:r w:rsidRPr="00EB2BD8">
        <w:rPr>
          <w:rFonts w:ascii="Arial"/>
          <w:spacing w:val="-5"/>
          <w:w w:val="105"/>
          <w:sz w:val="16"/>
        </w:rPr>
        <w:t xml:space="preserve"> </w:t>
      </w:r>
      <w:r w:rsidRPr="00EB2BD8">
        <w:rPr>
          <w:rFonts w:ascii="Arial"/>
          <w:w w:val="105"/>
          <w:sz w:val="16"/>
        </w:rPr>
        <w:t>to</w:t>
      </w:r>
      <w:r w:rsidRPr="00EB2BD8">
        <w:rPr>
          <w:rFonts w:ascii="Arial"/>
          <w:spacing w:val="-5"/>
          <w:w w:val="105"/>
          <w:sz w:val="16"/>
        </w:rPr>
        <w:t xml:space="preserve"> </w:t>
      </w:r>
      <w:r w:rsidRPr="00EB2BD8">
        <w:rPr>
          <w:rFonts w:ascii="Arial"/>
          <w:w w:val="105"/>
          <w:sz w:val="16"/>
        </w:rPr>
        <w:t>these</w:t>
      </w:r>
      <w:r w:rsidRPr="00EB2BD8">
        <w:rPr>
          <w:rFonts w:ascii="Arial"/>
          <w:spacing w:val="-5"/>
          <w:w w:val="105"/>
          <w:sz w:val="16"/>
        </w:rPr>
        <w:t xml:space="preserve"> </w:t>
      </w:r>
      <w:r w:rsidRPr="00EB2BD8">
        <w:rPr>
          <w:rFonts w:ascii="Arial"/>
          <w:w w:val="105"/>
          <w:sz w:val="16"/>
        </w:rPr>
        <w:t>are recognised as an expense in the comprehensive operating statement on a straight-line basis over the lease term.</w:t>
      </w:r>
    </w:p>
    <w:p w14:paraId="1618B946" w14:textId="05E3CFAB" w:rsidR="00084F36" w:rsidRPr="00EB2BD8" w:rsidRDefault="00EB2BD8" w:rsidP="00CC09EC">
      <w:pPr>
        <w:pStyle w:val="Heading2"/>
        <w:ind w:left="498"/>
      </w:pPr>
      <w:bookmarkStart w:id="322" w:name="_Toc150762624"/>
      <w:r w:rsidRPr="00EB2BD8">
        <w:t xml:space="preserve">Presentation of right-of-use </w:t>
      </w:r>
      <w:r w:rsidR="00CC09EC">
        <w:br/>
      </w:r>
      <w:r w:rsidRPr="00EB2BD8">
        <w:t>assets and lease liabilities</w:t>
      </w:r>
      <w:bookmarkEnd w:id="322"/>
    </w:p>
    <w:p w14:paraId="4D8864DB" w14:textId="77777777" w:rsidR="00084F36" w:rsidRPr="00EB2BD8" w:rsidRDefault="00EB2BD8">
      <w:pPr>
        <w:spacing w:before="115" w:line="290" w:lineRule="auto"/>
        <w:ind w:left="498" w:right="1625"/>
        <w:rPr>
          <w:rFonts w:ascii="Arial" w:hAnsi="Arial"/>
          <w:sz w:val="16"/>
        </w:rPr>
      </w:pPr>
      <w:r w:rsidRPr="00EB2BD8">
        <w:rPr>
          <w:rFonts w:ascii="Arial" w:hAnsi="Arial"/>
          <w:w w:val="105"/>
          <w:sz w:val="16"/>
        </w:rPr>
        <w:t>The VBA presents right-of-use assets as “building” and “motor vehicles” unless they meet the definition of investment property, in which case they are disclosed “investment property” in the balance sheet. Lease liabilities</w:t>
      </w:r>
      <w:r w:rsidRPr="00EB2BD8">
        <w:rPr>
          <w:rFonts w:ascii="Arial" w:hAnsi="Arial"/>
          <w:spacing w:val="-5"/>
          <w:w w:val="105"/>
          <w:sz w:val="16"/>
        </w:rPr>
        <w:t xml:space="preserve"> </w:t>
      </w:r>
      <w:r w:rsidRPr="00EB2BD8">
        <w:rPr>
          <w:rFonts w:ascii="Arial" w:hAnsi="Arial"/>
          <w:w w:val="105"/>
          <w:sz w:val="16"/>
        </w:rPr>
        <w:t>are</w:t>
      </w:r>
      <w:r w:rsidRPr="00EB2BD8">
        <w:rPr>
          <w:rFonts w:ascii="Arial" w:hAnsi="Arial"/>
          <w:spacing w:val="-6"/>
          <w:w w:val="105"/>
          <w:sz w:val="16"/>
        </w:rPr>
        <w:t xml:space="preserve"> </w:t>
      </w:r>
      <w:r w:rsidRPr="00EB2BD8">
        <w:rPr>
          <w:rFonts w:ascii="Arial" w:hAnsi="Arial"/>
          <w:w w:val="105"/>
          <w:sz w:val="16"/>
        </w:rPr>
        <w:t>presented</w:t>
      </w:r>
      <w:r w:rsidRPr="00EB2BD8">
        <w:rPr>
          <w:rFonts w:ascii="Arial" w:hAnsi="Arial"/>
          <w:spacing w:val="-5"/>
          <w:w w:val="105"/>
          <w:sz w:val="16"/>
        </w:rPr>
        <w:t xml:space="preserve"> </w:t>
      </w:r>
      <w:r w:rsidRPr="00EB2BD8">
        <w:rPr>
          <w:rFonts w:ascii="Arial" w:hAnsi="Arial"/>
          <w:w w:val="105"/>
          <w:sz w:val="16"/>
        </w:rPr>
        <w:t>as</w:t>
      </w:r>
      <w:r w:rsidRPr="00EB2BD8">
        <w:rPr>
          <w:rFonts w:ascii="Arial" w:hAnsi="Arial"/>
          <w:spacing w:val="-5"/>
          <w:w w:val="105"/>
          <w:sz w:val="16"/>
        </w:rPr>
        <w:t xml:space="preserve"> </w:t>
      </w:r>
      <w:r w:rsidRPr="00EB2BD8">
        <w:rPr>
          <w:rFonts w:ascii="Arial" w:hAnsi="Arial"/>
          <w:w w:val="105"/>
          <w:sz w:val="16"/>
        </w:rPr>
        <w:t>“Interest</w:t>
      </w:r>
      <w:r w:rsidRPr="00EB2BD8">
        <w:rPr>
          <w:rFonts w:ascii="Arial" w:hAnsi="Arial"/>
          <w:spacing w:val="-5"/>
          <w:w w:val="105"/>
          <w:sz w:val="16"/>
        </w:rPr>
        <w:t xml:space="preserve"> </w:t>
      </w:r>
      <w:r w:rsidRPr="00EB2BD8">
        <w:rPr>
          <w:rFonts w:ascii="Arial" w:hAnsi="Arial"/>
          <w:w w:val="105"/>
          <w:sz w:val="16"/>
        </w:rPr>
        <w:t>bearing</w:t>
      </w:r>
      <w:r w:rsidRPr="00EB2BD8">
        <w:rPr>
          <w:rFonts w:ascii="Arial" w:hAnsi="Arial"/>
          <w:spacing w:val="-5"/>
          <w:w w:val="105"/>
          <w:sz w:val="16"/>
        </w:rPr>
        <w:t xml:space="preserve"> </w:t>
      </w:r>
      <w:r w:rsidRPr="00EB2BD8">
        <w:rPr>
          <w:rFonts w:ascii="Arial" w:hAnsi="Arial"/>
          <w:w w:val="105"/>
          <w:sz w:val="16"/>
        </w:rPr>
        <w:t>liabilities”</w:t>
      </w:r>
      <w:r w:rsidRPr="00EB2BD8">
        <w:rPr>
          <w:rFonts w:ascii="Arial" w:hAnsi="Arial"/>
          <w:spacing w:val="-5"/>
          <w:w w:val="105"/>
          <w:sz w:val="16"/>
        </w:rPr>
        <w:t xml:space="preserve"> </w:t>
      </w:r>
      <w:r w:rsidRPr="00EB2BD8">
        <w:rPr>
          <w:rFonts w:ascii="Arial" w:hAnsi="Arial"/>
          <w:w w:val="105"/>
          <w:sz w:val="16"/>
        </w:rPr>
        <w:t>in the balance sheet.</w:t>
      </w:r>
    </w:p>
    <w:p w14:paraId="049208C5" w14:textId="77777777" w:rsidR="00084F36" w:rsidRPr="00EB2BD8" w:rsidRDefault="00084F36">
      <w:pPr>
        <w:spacing w:line="290" w:lineRule="auto"/>
        <w:rPr>
          <w:rFonts w:ascii="Arial" w:hAnsi="Arial"/>
          <w:sz w:val="16"/>
        </w:rPr>
        <w:sectPr w:rsidR="00084F36" w:rsidRPr="00EB2BD8" w:rsidSect="006D75B2">
          <w:type w:val="continuous"/>
          <w:pgSz w:w="11910" w:h="16840"/>
          <w:pgMar w:top="1920" w:right="0" w:bottom="280" w:left="0" w:header="0" w:footer="0" w:gutter="0"/>
          <w:cols w:num="2" w:space="720" w:equalWidth="0">
            <w:col w:w="5443" w:space="40"/>
            <w:col w:w="6427"/>
          </w:cols>
        </w:sectPr>
      </w:pPr>
    </w:p>
    <w:p w14:paraId="71670D8F" w14:textId="2BA8087D" w:rsidR="00084F36" w:rsidRPr="00EB2BD8" w:rsidRDefault="00084F36">
      <w:pPr>
        <w:pStyle w:val="BodyText"/>
        <w:rPr>
          <w:rFonts w:ascii="Arial"/>
          <w:sz w:val="20"/>
        </w:rPr>
      </w:pPr>
    </w:p>
    <w:p w14:paraId="1980164C" w14:textId="77777777" w:rsidR="00084F36" w:rsidRPr="00EB2BD8" w:rsidRDefault="00084F36">
      <w:pPr>
        <w:pStyle w:val="BodyText"/>
        <w:rPr>
          <w:rFonts w:ascii="Arial"/>
          <w:sz w:val="20"/>
        </w:rPr>
      </w:pPr>
    </w:p>
    <w:p w14:paraId="61E41216" w14:textId="77777777" w:rsidR="00084F36" w:rsidRPr="00EB2BD8" w:rsidRDefault="00084F36">
      <w:pPr>
        <w:pStyle w:val="BodyText"/>
        <w:rPr>
          <w:rFonts w:ascii="Arial"/>
          <w:sz w:val="20"/>
        </w:rPr>
      </w:pPr>
    </w:p>
    <w:p w14:paraId="55504CEB" w14:textId="77777777" w:rsidR="00084F36" w:rsidRPr="00EB2BD8" w:rsidRDefault="00084F36">
      <w:pPr>
        <w:rPr>
          <w:sz w:val="16"/>
        </w:rPr>
        <w:sectPr w:rsidR="00084F36" w:rsidRPr="00EB2BD8" w:rsidSect="006D75B2">
          <w:type w:val="continuous"/>
          <w:pgSz w:w="11910" w:h="16840"/>
          <w:pgMar w:top="1920" w:right="0" w:bottom="280" w:left="0" w:header="0" w:footer="0" w:gutter="0"/>
          <w:cols w:space="720"/>
        </w:sectPr>
      </w:pPr>
    </w:p>
    <w:p w14:paraId="17F92E1E" w14:textId="77777777" w:rsidR="00084F36" w:rsidRPr="00EB2BD8" w:rsidRDefault="00084F36">
      <w:pPr>
        <w:pStyle w:val="BodyText"/>
        <w:rPr>
          <w:sz w:val="20"/>
        </w:rPr>
      </w:pPr>
    </w:p>
    <w:p w14:paraId="4D6AF137" w14:textId="77777777" w:rsidR="00084F36" w:rsidRPr="00EB2BD8" w:rsidRDefault="00084F36">
      <w:pPr>
        <w:pStyle w:val="BodyText"/>
        <w:rPr>
          <w:sz w:val="20"/>
        </w:rPr>
      </w:pPr>
    </w:p>
    <w:p w14:paraId="1AB4AD4A" w14:textId="77777777" w:rsidR="00084F36" w:rsidRPr="00EB2BD8" w:rsidRDefault="00084F36">
      <w:pPr>
        <w:pStyle w:val="BodyText"/>
        <w:rPr>
          <w:sz w:val="20"/>
        </w:rPr>
      </w:pPr>
    </w:p>
    <w:p w14:paraId="2068AF59" w14:textId="77777777" w:rsidR="00084F36" w:rsidRPr="00EB2BD8" w:rsidRDefault="00084F36">
      <w:pPr>
        <w:pStyle w:val="BodyText"/>
        <w:rPr>
          <w:sz w:val="20"/>
        </w:rPr>
      </w:pPr>
    </w:p>
    <w:p w14:paraId="6B1BBD66" w14:textId="77777777" w:rsidR="00084F36" w:rsidRPr="00EB2BD8" w:rsidRDefault="00084F36">
      <w:pPr>
        <w:pStyle w:val="BodyText"/>
        <w:rPr>
          <w:sz w:val="20"/>
        </w:rPr>
      </w:pPr>
    </w:p>
    <w:p w14:paraId="223DEA9E" w14:textId="77777777" w:rsidR="00084F36" w:rsidRPr="00EB2BD8" w:rsidRDefault="00084F36">
      <w:pPr>
        <w:pStyle w:val="BodyText"/>
        <w:spacing w:before="8"/>
        <w:rPr>
          <w:sz w:val="19"/>
        </w:rPr>
      </w:pPr>
    </w:p>
    <w:p w14:paraId="3C5E6CEA" w14:textId="3DEC762F" w:rsidR="00084F36" w:rsidRPr="00EB2BD8" w:rsidRDefault="00CC09EC" w:rsidP="00CC09EC">
      <w:pPr>
        <w:pStyle w:val="Heading2"/>
        <w:ind w:firstLine="178"/>
      </w:pPr>
      <w:bookmarkStart w:id="323" w:name="_Toc150762625"/>
      <w:r>
        <w:t>6.3 C</w:t>
      </w:r>
      <w:r w:rsidRPr="00EB2BD8">
        <w:t>ash</w:t>
      </w:r>
      <w:r w:rsidRPr="00EB2BD8">
        <w:rPr>
          <w:spacing w:val="10"/>
        </w:rPr>
        <w:t xml:space="preserve"> </w:t>
      </w:r>
      <w:r w:rsidRPr="00EB2BD8">
        <w:t>and</w:t>
      </w:r>
      <w:r w:rsidRPr="00EB2BD8">
        <w:rPr>
          <w:spacing w:val="9"/>
        </w:rPr>
        <w:t xml:space="preserve"> </w:t>
      </w:r>
      <w:r w:rsidRPr="00EB2BD8">
        <w:rPr>
          <w:spacing w:val="-2"/>
        </w:rPr>
        <w:t>deposits</w:t>
      </w:r>
      <w:bookmarkEnd w:id="323"/>
    </w:p>
    <w:p w14:paraId="0D852BB8" w14:textId="77777777" w:rsidR="00084F36" w:rsidRPr="00EB2BD8" w:rsidRDefault="00EB2BD8">
      <w:pPr>
        <w:spacing w:before="177" w:line="290" w:lineRule="auto"/>
        <w:ind w:left="1028" w:right="1813"/>
        <w:rPr>
          <w:rFonts w:ascii="Arial"/>
          <w:sz w:val="16"/>
        </w:rPr>
      </w:pPr>
      <w:r w:rsidRPr="00EB2BD8">
        <w:rPr>
          <w:rFonts w:ascii="Arial"/>
          <w:w w:val="105"/>
          <w:sz w:val="16"/>
        </w:rPr>
        <w:t>Cash</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deposits,</w:t>
      </w:r>
      <w:r w:rsidRPr="00EB2BD8">
        <w:rPr>
          <w:rFonts w:ascii="Arial"/>
          <w:spacing w:val="-3"/>
          <w:w w:val="105"/>
          <w:sz w:val="16"/>
        </w:rPr>
        <w:t xml:space="preserve"> </w:t>
      </w:r>
      <w:r w:rsidRPr="00EB2BD8">
        <w:rPr>
          <w:rFonts w:ascii="Arial"/>
          <w:w w:val="105"/>
          <w:sz w:val="16"/>
        </w:rPr>
        <w:t>including</w:t>
      </w:r>
      <w:r w:rsidRPr="00EB2BD8">
        <w:rPr>
          <w:rFonts w:ascii="Arial"/>
          <w:spacing w:val="-3"/>
          <w:w w:val="105"/>
          <w:sz w:val="16"/>
        </w:rPr>
        <w:t xml:space="preserve"> </w:t>
      </w:r>
      <w:r w:rsidRPr="00EB2BD8">
        <w:rPr>
          <w:rFonts w:ascii="Arial"/>
          <w:w w:val="105"/>
          <w:sz w:val="16"/>
        </w:rPr>
        <w:t>cash</w:t>
      </w:r>
      <w:r w:rsidRPr="00EB2BD8">
        <w:rPr>
          <w:rFonts w:ascii="Arial"/>
          <w:spacing w:val="-3"/>
          <w:w w:val="105"/>
          <w:sz w:val="16"/>
        </w:rPr>
        <w:t xml:space="preserve"> </w:t>
      </w:r>
      <w:r w:rsidRPr="00EB2BD8">
        <w:rPr>
          <w:rFonts w:ascii="Arial"/>
          <w:w w:val="105"/>
          <w:sz w:val="16"/>
        </w:rPr>
        <w:t>equivalents,</w:t>
      </w:r>
      <w:r w:rsidRPr="00EB2BD8">
        <w:rPr>
          <w:rFonts w:ascii="Arial"/>
          <w:spacing w:val="-3"/>
          <w:w w:val="105"/>
          <w:sz w:val="16"/>
        </w:rPr>
        <w:t xml:space="preserve"> </w:t>
      </w:r>
      <w:r w:rsidRPr="00EB2BD8">
        <w:rPr>
          <w:rFonts w:ascii="Arial"/>
          <w:w w:val="105"/>
          <w:sz w:val="16"/>
        </w:rPr>
        <w:t>comprise</w:t>
      </w:r>
      <w:r w:rsidRPr="00EB2BD8">
        <w:rPr>
          <w:rFonts w:ascii="Arial"/>
          <w:spacing w:val="-3"/>
          <w:w w:val="105"/>
          <w:sz w:val="16"/>
        </w:rPr>
        <w:t xml:space="preserve"> </w:t>
      </w:r>
      <w:r w:rsidRPr="00EB2BD8">
        <w:rPr>
          <w:rFonts w:ascii="Arial"/>
          <w:w w:val="105"/>
          <w:sz w:val="16"/>
        </w:rPr>
        <w:t>cash</w:t>
      </w:r>
      <w:r w:rsidRPr="00EB2BD8">
        <w:rPr>
          <w:rFonts w:ascii="Arial"/>
          <w:spacing w:val="-3"/>
          <w:w w:val="105"/>
          <w:sz w:val="16"/>
        </w:rPr>
        <w:t xml:space="preserve"> </w:t>
      </w:r>
      <w:r w:rsidRPr="00EB2BD8">
        <w:rPr>
          <w:rFonts w:ascii="Arial"/>
          <w:w w:val="105"/>
          <w:sz w:val="16"/>
        </w:rPr>
        <w:t>on</w:t>
      </w:r>
      <w:r w:rsidRPr="00EB2BD8">
        <w:rPr>
          <w:rFonts w:ascii="Arial"/>
          <w:spacing w:val="-3"/>
          <w:w w:val="105"/>
          <w:sz w:val="16"/>
        </w:rPr>
        <w:t xml:space="preserve"> </w:t>
      </w:r>
      <w:r w:rsidRPr="00EB2BD8">
        <w:rPr>
          <w:rFonts w:ascii="Arial"/>
          <w:w w:val="105"/>
          <w:sz w:val="16"/>
        </w:rPr>
        <w:t>hand</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cash</w:t>
      </w:r>
      <w:r w:rsidRPr="00EB2BD8">
        <w:rPr>
          <w:rFonts w:ascii="Arial"/>
          <w:spacing w:val="-3"/>
          <w:w w:val="105"/>
          <w:sz w:val="16"/>
        </w:rPr>
        <w:t xml:space="preserve"> </w:t>
      </w:r>
      <w:r w:rsidRPr="00EB2BD8">
        <w:rPr>
          <w:rFonts w:ascii="Arial"/>
          <w:w w:val="105"/>
          <w:sz w:val="16"/>
        </w:rPr>
        <w:t>at</w:t>
      </w:r>
      <w:r w:rsidRPr="00EB2BD8">
        <w:rPr>
          <w:rFonts w:ascii="Arial"/>
          <w:spacing w:val="-3"/>
          <w:w w:val="105"/>
          <w:sz w:val="16"/>
        </w:rPr>
        <w:t xml:space="preserve"> </w:t>
      </w:r>
      <w:r w:rsidRPr="00EB2BD8">
        <w:rPr>
          <w:rFonts w:ascii="Arial"/>
          <w:w w:val="105"/>
          <w:sz w:val="16"/>
        </w:rPr>
        <w:t>bank,</w:t>
      </w:r>
      <w:r w:rsidRPr="00EB2BD8">
        <w:rPr>
          <w:rFonts w:ascii="Arial"/>
          <w:spacing w:val="-3"/>
          <w:w w:val="105"/>
          <w:sz w:val="16"/>
        </w:rPr>
        <w:t xml:space="preserve"> </w:t>
      </w:r>
      <w:r w:rsidRPr="00EB2BD8">
        <w:rPr>
          <w:rFonts w:ascii="Arial"/>
          <w:w w:val="105"/>
          <w:sz w:val="16"/>
        </w:rPr>
        <w:t>deposits</w:t>
      </w:r>
      <w:r w:rsidRPr="00EB2BD8">
        <w:rPr>
          <w:rFonts w:ascii="Arial"/>
          <w:spacing w:val="-3"/>
          <w:w w:val="105"/>
          <w:sz w:val="16"/>
        </w:rPr>
        <w:t xml:space="preserve"> </w:t>
      </w:r>
      <w:r w:rsidRPr="00EB2BD8">
        <w:rPr>
          <w:rFonts w:ascii="Arial"/>
          <w:w w:val="105"/>
          <w:sz w:val="16"/>
        </w:rPr>
        <w:t>at</w:t>
      </w:r>
      <w:r w:rsidRPr="00EB2BD8">
        <w:rPr>
          <w:rFonts w:ascii="Arial"/>
          <w:spacing w:val="-3"/>
          <w:w w:val="105"/>
          <w:sz w:val="16"/>
        </w:rPr>
        <w:t xml:space="preserve"> </w:t>
      </w:r>
      <w:r w:rsidRPr="00EB2BD8">
        <w:rPr>
          <w:rFonts w:ascii="Arial"/>
          <w:w w:val="105"/>
          <w:sz w:val="16"/>
        </w:rPr>
        <w:t>call</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those</w:t>
      </w:r>
      <w:r w:rsidRPr="00EB2BD8">
        <w:rPr>
          <w:rFonts w:ascii="Arial"/>
          <w:spacing w:val="-3"/>
          <w:w w:val="105"/>
          <w:sz w:val="16"/>
        </w:rPr>
        <w:t xml:space="preserve"> </w:t>
      </w:r>
      <w:r w:rsidRPr="00EB2BD8">
        <w:rPr>
          <w:rFonts w:ascii="Arial"/>
          <w:w w:val="105"/>
          <w:sz w:val="16"/>
        </w:rPr>
        <w:t>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p w14:paraId="48EAFC19" w14:textId="77777777" w:rsidR="00084F36" w:rsidRPr="00EB2BD8" w:rsidRDefault="00084F36">
      <w:pPr>
        <w:pStyle w:val="BodyText"/>
        <w:spacing w:before="4"/>
        <w:rPr>
          <w:rFonts w:ascii="Arial"/>
          <w:sz w:val="24"/>
        </w:rPr>
      </w:pPr>
    </w:p>
    <w:p w14:paraId="79D62525" w14:textId="77777777" w:rsidR="00084F36" w:rsidRPr="00EB2BD8" w:rsidRDefault="00EB2BD8">
      <w:pPr>
        <w:spacing w:after="56"/>
        <w:ind w:right="1851"/>
        <w:jc w:val="right"/>
        <w:rPr>
          <w:rFonts w:ascii="Arial" w:hAnsi="Arial"/>
          <w:sz w:val="16"/>
        </w:rPr>
      </w:pPr>
      <w:r w:rsidRPr="00EB2BD8">
        <w:rPr>
          <w:rFonts w:ascii="Arial" w:hAnsi="Arial"/>
          <w:spacing w:val="-2"/>
          <w:w w:val="105"/>
          <w:sz w:val="16"/>
        </w:rPr>
        <w:t>($’000)</w:t>
      </w:r>
    </w:p>
    <w:tbl>
      <w:tblPr>
        <w:tblW w:w="0" w:type="auto"/>
        <w:tblInd w:w="1036" w:type="dxa"/>
        <w:tblBorders>
          <w:top w:val="single" w:sz="4" w:space="0" w:color="0098FF"/>
          <w:left w:val="single" w:sz="4" w:space="0" w:color="0098FF"/>
          <w:bottom w:val="single" w:sz="4" w:space="0" w:color="0098FF"/>
          <w:right w:val="single" w:sz="4" w:space="0" w:color="0098FF"/>
          <w:insideH w:val="single" w:sz="4" w:space="0" w:color="0098FF"/>
          <w:insideV w:val="single" w:sz="4" w:space="0" w:color="0098FF"/>
        </w:tblBorders>
        <w:tblLayout w:type="fixed"/>
        <w:tblCellMar>
          <w:left w:w="0" w:type="dxa"/>
          <w:right w:w="0" w:type="dxa"/>
        </w:tblCellMar>
        <w:tblLook w:val="01E0" w:firstRow="1" w:lastRow="1" w:firstColumn="1" w:lastColumn="1" w:noHBand="0" w:noVBand="0"/>
      </w:tblPr>
      <w:tblGrid>
        <w:gridCol w:w="6214"/>
        <w:gridCol w:w="1400"/>
        <w:gridCol w:w="1513"/>
      </w:tblGrid>
      <w:tr w:rsidR="00EB2BD8" w:rsidRPr="00EB2BD8" w14:paraId="0CA024B1" w14:textId="77777777">
        <w:trPr>
          <w:trHeight w:val="306"/>
        </w:trPr>
        <w:tc>
          <w:tcPr>
            <w:tcW w:w="7614" w:type="dxa"/>
            <w:gridSpan w:val="2"/>
            <w:tcBorders>
              <w:right w:val="nil"/>
            </w:tcBorders>
            <w:shd w:val="clear" w:color="auto" w:fill="2E74B5"/>
          </w:tcPr>
          <w:p w14:paraId="275BE305" w14:textId="77777777" w:rsidR="00084F36" w:rsidRPr="00EB2BD8" w:rsidRDefault="00EB2BD8">
            <w:pPr>
              <w:pStyle w:val="TableParagraph"/>
              <w:spacing w:before="64"/>
              <w:ind w:right="95"/>
              <w:jc w:val="right"/>
              <w:rPr>
                <w:rFonts w:ascii="Arial"/>
                <w:b/>
                <w:sz w:val="16"/>
              </w:rPr>
            </w:pPr>
            <w:r w:rsidRPr="00EB2BD8">
              <w:rPr>
                <w:rFonts w:ascii="Arial"/>
                <w:b/>
                <w:spacing w:val="-4"/>
                <w:w w:val="105"/>
                <w:sz w:val="16"/>
              </w:rPr>
              <w:t>2023</w:t>
            </w:r>
          </w:p>
        </w:tc>
        <w:tc>
          <w:tcPr>
            <w:tcW w:w="1513" w:type="dxa"/>
            <w:tcBorders>
              <w:left w:val="nil"/>
            </w:tcBorders>
            <w:shd w:val="clear" w:color="auto" w:fill="2E74B5"/>
          </w:tcPr>
          <w:p w14:paraId="0B2103EC" w14:textId="77777777" w:rsidR="00084F36" w:rsidRPr="00EB2BD8" w:rsidRDefault="00EB2BD8">
            <w:pPr>
              <w:pStyle w:val="TableParagraph"/>
              <w:spacing w:before="64"/>
              <w:ind w:right="91"/>
              <w:jc w:val="right"/>
              <w:rPr>
                <w:rFonts w:ascii="Arial"/>
                <w:b/>
                <w:sz w:val="16"/>
              </w:rPr>
            </w:pPr>
            <w:r w:rsidRPr="00EB2BD8">
              <w:rPr>
                <w:rFonts w:ascii="Arial"/>
                <w:b/>
                <w:spacing w:val="-4"/>
                <w:w w:val="105"/>
                <w:sz w:val="16"/>
              </w:rPr>
              <w:t>2022</w:t>
            </w:r>
          </w:p>
        </w:tc>
      </w:tr>
      <w:tr w:rsidR="00EB2BD8" w:rsidRPr="00EB2BD8" w14:paraId="5981122E" w14:textId="77777777">
        <w:trPr>
          <w:trHeight w:val="307"/>
        </w:trPr>
        <w:tc>
          <w:tcPr>
            <w:tcW w:w="6214" w:type="dxa"/>
            <w:tcBorders>
              <w:left w:val="nil"/>
              <w:bottom w:val="single" w:sz="12" w:space="0" w:color="000000"/>
              <w:right w:val="nil"/>
            </w:tcBorders>
            <w:shd w:val="clear" w:color="auto" w:fill="FFFFFF"/>
          </w:tcPr>
          <w:p w14:paraId="76AC575D" w14:textId="77777777" w:rsidR="00084F36" w:rsidRPr="00EB2BD8" w:rsidRDefault="00EB2BD8">
            <w:pPr>
              <w:pStyle w:val="TableParagraph"/>
              <w:spacing w:before="64"/>
              <w:ind w:left="105"/>
              <w:rPr>
                <w:rFonts w:ascii="Arial"/>
                <w:sz w:val="16"/>
              </w:rPr>
            </w:pPr>
            <w:r w:rsidRPr="00EB2BD8">
              <w:rPr>
                <w:rFonts w:ascii="Arial"/>
                <w:w w:val="105"/>
                <w:sz w:val="16"/>
              </w:rPr>
              <w:t>Total</w:t>
            </w:r>
            <w:r w:rsidRPr="00EB2BD8">
              <w:rPr>
                <w:rFonts w:ascii="Arial"/>
                <w:spacing w:val="-7"/>
                <w:w w:val="105"/>
                <w:sz w:val="16"/>
              </w:rPr>
              <w:t xml:space="preserve"> </w:t>
            </w:r>
            <w:r w:rsidRPr="00EB2BD8">
              <w:rPr>
                <w:rFonts w:ascii="Arial"/>
                <w:w w:val="105"/>
                <w:sz w:val="16"/>
              </w:rPr>
              <w:t>cash</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deposits</w:t>
            </w:r>
            <w:r w:rsidRPr="00EB2BD8">
              <w:rPr>
                <w:rFonts w:ascii="Arial"/>
                <w:spacing w:val="-7"/>
                <w:w w:val="105"/>
                <w:sz w:val="16"/>
              </w:rPr>
              <w:t xml:space="preserve"> </w:t>
            </w:r>
            <w:r w:rsidRPr="00EB2BD8">
              <w:rPr>
                <w:rFonts w:ascii="Arial"/>
                <w:w w:val="105"/>
                <w:sz w:val="16"/>
              </w:rPr>
              <w:t>disclosed</w:t>
            </w:r>
            <w:r w:rsidRPr="00EB2BD8">
              <w:rPr>
                <w:rFonts w:ascii="Arial"/>
                <w:spacing w:val="-6"/>
                <w:w w:val="105"/>
                <w:sz w:val="16"/>
              </w:rPr>
              <w:t xml:space="preserve"> </w:t>
            </w:r>
            <w:r w:rsidRPr="00EB2BD8">
              <w:rPr>
                <w:rFonts w:ascii="Arial"/>
                <w:w w:val="105"/>
                <w:sz w:val="16"/>
              </w:rPr>
              <w:t>in</w:t>
            </w:r>
            <w:r w:rsidRPr="00EB2BD8">
              <w:rPr>
                <w:rFonts w:ascii="Arial"/>
                <w:spacing w:val="-7"/>
                <w:w w:val="105"/>
                <w:sz w:val="16"/>
              </w:rPr>
              <w:t xml:space="preserve"> </w:t>
            </w:r>
            <w:r w:rsidRPr="00EB2BD8">
              <w:rPr>
                <w:rFonts w:ascii="Arial"/>
                <w:w w:val="105"/>
                <w:sz w:val="16"/>
              </w:rPr>
              <w:t>balance</w:t>
            </w:r>
            <w:r w:rsidRPr="00EB2BD8">
              <w:rPr>
                <w:rFonts w:ascii="Arial"/>
                <w:spacing w:val="-6"/>
                <w:w w:val="105"/>
                <w:sz w:val="16"/>
              </w:rPr>
              <w:t xml:space="preserve"> </w:t>
            </w:r>
            <w:r w:rsidRPr="00EB2BD8">
              <w:rPr>
                <w:rFonts w:ascii="Arial"/>
                <w:spacing w:val="-2"/>
                <w:w w:val="105"/>
                <w:sz w:val="16"/>
              </w:rPr>
              <w:t>sheet</w:t>
            </w:r>
          </w:p>
        </w:tc>
        <w:tc>
          <w:tcPr>
            <w:tcW w:w="1400" w:type="dxa"/>
            <w:tcBorders>
              <w:left w:val="nil"/>
              <w:bottom w:val="single" w:sz="12" w:space="0" w:color="000000"/>
              <w:right w:val="nil"/>
            </w:tcBorders>
            <w:shd w:val="clear" w:color="auto" w:fill="DEEAF6"/>
          </w:tcPr>
          <w:p w14:paraId="4CA08C69" w14:textId="77777777" w:rsidR="00084F36" w:rsidRPr="00EB2BD8" w:rsidRDefault="00EB2BD8">
            <w:pPr>
              <w:pStyle w:val="TableParagraph"/>
              <w:spacing w:before="64"/>
              <w:ind w:right="95"/>
              <w:jc w:val="right"/>
              <w:rPr>
                <w:rFonts w:ascii="Arial"/>
                <w:sz w:val="16"/>
              </w:rPr>
            </w:pPr>
            <w:r w:rsidRPr="00EB2BD8">
              <w:rPr>
                <w:rFonts w:ascii="Arial"/>
                <w:spacing w:val="-2"/>
                <w:w w:val="105"/>
                <w:sz w:val="16"/>
              </w:rPr>
              <w:t>59,653</w:t>
            </w:r>
          </w:p>
        </w:tc>
        <w:tc>
          <w:tcPr>
            <w:tcW w:w="1513" w:type="dxa"/>
            <w:tcBorders>
              <w:left w:val="nil"/>
              <w:bottom w:val="single" w:sz="12" w:space="0" w:color="000000"/>
              <w:right w:val="nil"/>
            </w:tcBorders>
            <w:shd w:val="clear" w:color="auto" w:fill="FFFFFF"/>
          </w:tcPr>
          <w:p w14:paraId="46377B46" w14:textId="77777777" w:rsidR="00084F36" w:rsidRPr="00EB2BD8" w:rsidRDefault="00EB2BD8">
            <w:pPr>
              <w:pStyle w:val="TableParagraph"/>
              <w:spacing w:before="64"/>
              <w:ind w:right="95"/>
              <w:jc w:val="right"/>
              <w:rPr>
                <w:rFonts w:ascii="Arial"/>
                <w:sz w:val="16"/>
              </w:rPr>
            </w:pPr>
            <w:r w:rsidRPr="00EB2BD8">
              <w:rPr>
                <w:rFonts w:ascii="Arial"/>
                <w:spacing w:val="-2"/>
                <w:w w:val="105"/>
                <w:sz w:val="16"/>
              </w:rPr>
              <w:t>39,542</w:t>
            </w:r>
          </w:p>
        </w:tc>
      </w:tr>
      <w:tr w:rsidR="00EB2BD8" w:rsidRPr="00EB2BD8" w14:paraId="1D35F3B4" w14:textId="77777777">
        <w:trPr>
          <w:trHeight w:val="286"/>
        </w:trPr>
        <w:tc>
          <w:tcPr>
            <w:tcW w:w="6214" w:type="dxa"/>
            <w:tcBorders>
              <w:top w:val="single" w:sz="12" w:space="0" w:color="000000"/>
              <w:left w:val="nil"/>
              <w:bottom w:val="single" w:sz="12" w:space="0" w:color="000000"/>
              <w:right w:val="nil"/>
            </w:tcBorders>
            <w:shd w:val="clear" w:color="auto" w:fill="FFFFFF"/>
          </w:tcPr>
          <w:p w14:paraId="47A3622D" w14:textId="77777777" w:rsidR="00084F36" w:rsidRPr="00EB2BD8" w:rsidRDefault="00EB2BD8">
            <w:pPr>
              <w:pStyle w:val="TableParagraph"/>
              <w:spacing w:before="54"/>
              <w:ind w:left="105"/>
              <w:rPr>
                <w:rFonts w:ascii="Arial"/>
                <w:b/>
                <w:sz w:val="16"/>
              </w:rPr>
            </w:pPr>
            <w:r w:rsidRPr="00EB2BD8">
              <w:rPr>
                <w:rFonts w:ascii="Arial"/>
                <w:b/>
                <w:w w:val="105"/>
                <w:sz w:val="16"/>
              </w:rPr>
              <w:t>Total</w:t>
            </w:r>
            <w:r w:rsidRPr="00EB2BD8">
              <w:rPr>
                <w:rFonts w:ascii="Arial"/>
                <w:b/>
                <w:spacing w:val="-6"/>
                <w:w w:val="105"/>
                <w:sz w:val="16"/>
              </w:rPr>
              <w:t xml:space="preserve"> </w:t>
            </w:r>
            <w:r w:rsidRPr="00EB2BD8">
              <w:rPr>
                <w:rFonts w:ascii="Arial"/>
                <w:b/>
                <w:w w:val="105"/>
                <w:sz w:val="16"/>
              </w:rPr>
              <w:t>cash</w:t>
            </w:r>
            <w:r w:rsidRPr="00EB2BD8">
              <w:rPr>
                <w:rFonts w:ascii="Arial"/>
                <w:b/>
                <w:spacing w:val="-5"/>
                <w:w w:val="105"/>
                <w:sz w:val="16"/>
              </w:rPr>
              <w:t xml:space="preserve"> </w:t>
            </w:r>
            <w:r w:rsidRPr="00EB2BD8">
              <w:rPr>
                <w:rFonts w:ascii="Arial"/>
                <w:b/>
                <w:w w:val="105"/>
                <w:sz w:val="16"/>
              </w:rPr>
              <w:t>and</w:t>
            </w:r>
            <w:r w:rsidRPr="00EB2BD8">
              <w:rPr>
                <w:rFonts w:ascii="Arial"/>
                <w:b/>
                <w:spacing w:val="-5"/>
                <w:w w:val="105"/>
                <w:sz w:val="16"/>
              </w:rPr>
              <w:t xml:space="preserve"> </w:t>
            </w:r>
            <w:r w:rsidRPr="00EB2BD8">
              <w:rPr>
                <w:rFonts w:ascii="Arial"/>
                <w:b/>
                <w:spacing w:val="-2"/>
                <w:w w:val="105"/>
                <w:sz w:val="16"/>
              </w:rPr>
              <w:t>deposits</w:t>
            </w:r>
          </w:p>
        </w:tc>
        <w:tc>
          <w:tcPr>
            <w:tcW w:w="1400" w:type="dxa"/>
            <w:tcBorders>
              <w:top w:val="single" w:sz="12" w:space="0" w:color="000000"/>
              <w:left w:val="nil"/>
              <w:bottom w:val="single" w:sz="12" w:space="0" w:color="000000"/>
              <w:right w:val="nil"/>
            </w:tcBorders>
            <w:shd w:val="clear" w:color="auto" w:fill="DEEAF6"/>
          </w:tcPr>
          <w:p w14:paraId="61FA2EAA" w14:textId="77777777" w:rsidR="00084F36" w:rsidRPr="00EB2BD8" w:rsidRDefault="00EB2BD8">
            <w:pPr>
              <w:pStyle w:val="TableParagraph"/>
              <w:spacing w:before="54"/>
              <w:ind w:right="95"/>
              <w:jc w:val="right"/>
              <w:rPr>
                <w:rFonts w:ascii="Arial"/>
                <w:b/>
                <w:sz w:val="16"/>
              </w:rPr>
            </w:pPr>
            <w:r w:rsidRPr="00EB2BD8">
              <w:rPr>
                <w:rFonts w:ascii="Arial"/>
                <w:b/>
                <w:spacing w:val="-2"/>
                <w:w w:val="105"/>
                <w:sz w:val="16"/>
              </w:rPr>
              <w:t>59,653</w:t>
            </w:r>
          </w:p>
        </w:tc>
        <w:tc>
          <w:tcPr>
            <w:tcW w:w="1513" w:type="dxa"/>
            <w:tcBorders>
              <w:top w:val="single" w:sz="12" w:space="0" w:color="000000"/>
              <w:left w:val="nil"/>
              <w:bottom w:val="single" w:sz="12" w:space="0" w:color="000000"/>
              <w:right w:val="nil"/>
            </w:tcBorders>
            <w:shd w:val="clear" w:color="auto" w:fill="FFFFFF"/>
          </w:tcPr>
          <w:p w14:paraId="55DD1330" w14:textId="77777777" w:rsidR="00084F36" w:rsidRPr="00EB2BD8" w:rsidRDefault="00EB2BD8">
            <w:pPr>
              <w:pStyle w:val="TableParagraph"/>
              <w:spacing w:before="54"/>
              <w:ind w:right="96"/>
              <w:jc w:val="right"/>
              <w:rPr>
                <w:rFonts w:ascii="Arial"/>
                <w:b/>
                <w:sz w:val="16"/>
              </w:rPr>
            </w:pPr>
            <w:r w:rsidRPr="00EB2BD8">
              <w:rPr>
                <w:rFonts w:ascii="Arial"/>
                <w:b/>
                <w:spacing w:val="-2"/>
                <w:w w:val="105"/>
                <w:sz w:val="16"/>
              </w:rPr>
              <w:t>39,542</w:t>
            </w:r>
          </w:p>
        </w:tc>
      </w:tr>
    </w:tbl>
    <w:p w14:paraId="39D2FD02" w14:textId="77777777" w:rsidR="00084F36" w:rsidRPr="00EB2BD8" w:rsidRDefault="00084F36">
      <w:pPr>
        <w:pStyle w:val="BodyText"/>
        <w:rPr>
          <w:rFonts w:ascii="Arial"/>
        </w:rPr>
      </w:pPr>
    </w:p>
    <w:p w14:paraId="6E410D8A" w14:textId="77777777" w:rsidR="00084F36" w:rsidRPr="00EB2BD8" w:rsidRDefault="00084F36">
      <w:pPr>
        <w:pStyle w:val="BodyText"/>
        <w:rPr>
          <w:rFonts w:ascii="Arial"/>
        </w:rPr>
      </w:pPr>
    </w:p>
    <w:p w14:paraId="50B162D7" w14:textId="77777777" w:rsidR="00084F36" w:rsidRPr="00EB2BD8" w:rsidRDefault="00084F36">
      <w:pPr>
        <w:pStyle w:val="BodyText"/>
        <w:spacing w:before="11"/>
        <w:rPr>
          <w:rFonts w:ascii="Arial"/>
          <w:sz w:val="24"/>
        </w:rPr>
      </w:pPr>
    </w:p>
    <w:p w14:paraId="4029A7C0" w14:textId="7A894ECF" w:rsidR="00084F36" w:rsidRPr="00EB2BD8" w:rsidRDefault="00CC09EC" w:rsidP="00CC09EC">
      <w:pPr>
        <w:pStyle w:val="Heading2"/>
        <w:ind w:left="930"/>
      </w:pPr>
      <w:bookmarkStart w:id="324" w:name="_Toc150762626"/>
      <w:r>
        <w:t xml:space="preserve">6.3.1 </w:t>
      </w:r>
      <w:r w:rsidR="00EB2BD8" w:rsidRPr="00EB2BD8">
        <w:t>Reconciliation</w:t>
      </w:r>
      <w:r w:rsidR="00EB2BD8" w:rsidRPr="00EB2BD8">
        <w:rPr>
          <w:spacing w:val="10"/>
        </w:rPr>
        <w:t xml:space="preserve"> </w:t>
      </w:r>
      <w:r w:rsidR="00EB2BD8" w:rsidRPr="00EB2BD8">
        <w:t>of</w:t>
      </w:r>
      <w:r w:rsidR="00EB2BD8" w:rsidRPr="00EB2BD8">
        <w:rPr>
          <w:spacing w:val="11"/>
        </w:rPr>
        <w:t xml:space="preserve"> </w:t>
      </w:r>
      <w:r w:rsidR="00EB2BD8" w:rsidRPr="00EB2BD8">
        <w:t>net</w:t>
      </w:r>
      <w:r w:rsidR="00EB2BD8" w:rsidRPr="00EB2BD8">
        <w:rPr>
          <w:spacing w:val="10"/>
        </w:rPr>
        <w:t xml:space="preserve"> </w:t>
      </w:r>
      <w:r w:rsidR="00EB2BD8" w:rsidRPr="00EB2BD8">
        <w:t>result</w:t>
      </w:r>
      <w:r w:rsidR="00EB2BD8" w:rsidRPr="00EB2BD8">
        <w:rPr>
          <w:spacing w:val="11"/>
        </w:rPr>
        <w:t xml:space="preserve"> </w:t>
      </w:r>
      <w:r w:rsidR="00EB2BD8" w:rsidRPr="00EB2BD8">
        <w:t>for</w:t>
      </w:r>
      <w:r w:rsidR="00EB2BD8" w:rsidRPr="00EB2BD8">
        <w:rPr>
          <w:spacing w:val="11"/>
        </w:rPr>
        <w:t xml:space="preserve"> </w:t>
      </w:r>
      <w:r w:rsidR="00EB2BD8" w:rsidRPr="00EB2BD8">
        <w:t>the</w:t>
      </w:r>
      <w:r w:rsidR="00EB2BD8" w:rsidRPr="00EB2BD8">
        <w:rPr>
          <w:spacing w:val="10"/>
        </w:rPr>
        <w:t xml:space="preserve"> </w:t>
      </w:r>
      <w:r w:rsidR="00EB2BD8" w:rsidRPr="00EB2BD8">
        <w:t>period</w:t>
      </w:r>
      <w:r w:rsidR="00EB2BD8" w:rsidRPr="00EB2BD8">
        <w:rPr>
          <w:spacing w:val="11"/>
        </w:rPr>
        <w:t xml:space="preserve"> </w:t>
      </w:r>
      <w:r w:rsidR="00EB2BD8" w:rsidRPr="00EB2BD8">
        <w:t>to</w:t>
      </w:r>
      <w:r w:rsidR="00EB2BD8" w:rsidRPr="00EB2BD8">
        <w:rPr>
          <w:spacing w:val="11"/>
        </w:rPr>
        <w:t xml:space="preserve"> </w:t>
      </w:r>
      <w:r w:rsidR="00EB2BD8" w:rsidRPr="00EB2BD8">
        <w:t>cash</w:t>
      </w:r>
      <w:r w:rsidR="00EB2BD8" w:rsidRPr="00EB2BD8">
        <w:rPr>
          <w:spacing w:val="10"/>
        </w:rPr>
        <w:t xml:space="preserve"> </w:t>
      </w:r>
      <w:r w:rsidR="00EB2BD8" w:rsidRPr="00EB2BD8">
        <w:t>flow</w:t>
      </w:r>
      <w:r w:rsidR="00EB2BD8" w:rsidRPr="00EB2BD8">
        <w:rPr>
          <w:spacing w:val="11"/>
        </w:rPr>
        <w:t xml:space="preserve"> </w:t>
      </w:r>
      <w:r>
        <w:rPr>
          <w:spacing w:val="11"/>
        </w:rPr>
        <w:br/>
      </w:r>
      <w:r w:rsidR="00EB2BD8" w:rsidRPr="00EB2BD8">
        <w:t>from</w:t>
      </w:r>
      <w:r w:rsidR="00EB2BD8" w:rsidRPr="00EB2BD8">
        <w:rPr>
          <w:spacing w:val="10"/>
        </w:rPr>
        <w:t xml:space="preserve"> </w:t>
      </w:r>
      <w:r w:rsidR="00EB2BD8" w:rsidRPr="00EB2BD8">
        <w:t>operating</w:t>
      </w:r>
      <w:r w:rsidR="00EB2BD8" w:rsidRPr="00EB2BD8">
        <w:rPr>
          <w:spacing w:val="11"/>
        </w:rPr>
        <w:t xml:space="preserve"> </w:t>
      </w:r>
      <w:r w:rsidR="00EB2BD8" w:rsidRPr="00EB2BD8">
        <w:rPr>
          <w:spacing w:val="-2"/>
        </w:rPr>
        <w:t>activities</w:t>
      </w:r>
      <w:bookmarkEnd w:id="324"/>
    </w:p>
    <w:p w14:paraId="19153BD5" w14:textId="77777777" w:rsidR="00084F36" w:rsidRPr="00EB2BD8" w:rsidRDefault="00084F36">
      <w:pPr>
        <w:pStyle w:val="BodyText"/>
        <w:spacing w:before="10"/>
        <w:rPr>
          <w:rFonts w:ascii="Arial"/>
          <w:b/>
        </w:rPr>
      </w:pPr>
    </w:p>
    <w:p w14:paraId="5EA50E01" w14:textId="77777777" w:rsidR="00084F36" w:rsidRPr="00EB2BD8" w:rsidRDefault="00EB2BD8">
      <w:pPr>
        <w:spacing w:before="1" w:after="55"/>
        <w:ind w:right="1852"/>
        <w:jc w:val="right"/>
        <w:rPr>
          <w:rFonts w:ascii="Arial" w:hAnsi="Arial"/>
          <w:sz w:val="16"/>
        </w:rPr>
      </w:pPr>
      <w:r w:rsidRPr="00EB2BD8">
        <w:rPr>
          <w:rFonts w:ascii="Arial" w:hAnsi="Arial"/>
          <w:spacing w:val="-2"/>
          <w:w w:val="105"/>
          <w:sz w:val="16"/>
        </w:rPr>
        <w:t>($’000)</w:t>
      </w:r>
    </w:p>
    <w:tbl>
      <w:tblPr>
        <w:tblW w:w="0" w:type="auto"/>
        <w:tblInd w:w="1036" w:type="dxa"/>
        <w:tblLayout w:type="fixed"/>
        <w:tblCellMar>
          <w:left w:w="0" w:type="dxa"/>
          <w:right w:w="0" w:type="dxa"/>
        </w:tblCellMar>
        <w:tblLook w:val="01E0" w:firstRow="1" w:lastRow="1" w:firstColumn="1" w:lastColumn="1" w:noHBand="0" w:noVBand="0"/>
      </w:tblPr>
      <w:tblGrid>
        <w:gridCol w:w="6214"/>
        <w:gridCol w:w="1400"/>
        <w:gridCol w:w="1513"/>
      </w:tblGrid>
      <w:tr w:rsidR="00EB2BD8" w:rsidRPr="00EB2BD8" w14:paraId="5853395B" w14:textId="77777777">
        <w:trPr>
          <w:trHeight w:val="307"/>
        </w:trPr>
        <w:tc>
          <w:tcPr>
            <w:tcW w:w="7614" w:type="dxa"/>
            <w:gridSpan w:val="2"/>
            <w:tcBorders>
              <w:top w:val="single" w:sz="4" w:space="0" w:color="0098FF"/>
              <w:left w:val="single" w:sz="4" w:space="0" w:color="0098FF"/>
              <w:bottom w:val="single" w:sz="4" w:space="0" w:color="0098FF"/>
            </w:tcBorders>
            <w:shd w:val="clear" w:color="auto" w:fill="0070C0"/>
          </w:tcPr>
          <w:p w14:paraId="7D171BF8" w14:textId="77777777" w:rsidR="00084F36" w:rsidRPr="00EB2BD8" w:rsidRDefault="00EB2BD8">
            <w:pPr>
              <w:pStyle w:val="TableParagraph"/>
              <w:spacing w:before="64"/>
              <w:ind w:right="95"/>
              <w:jc w:val="right"/>
              <w:rPr>
                <w:rFonts w:ascii="Arial"/>
                <w:b/>
                <w:sz w:val="16"/>
              </w:rPr>
            </w:pPr>
            <w:r w:rsidRPr="00EB2BD8">
              <w:rPr>
                <w:rFonts w:ascii="Arial"/>
                <w:b/>
                <w:spacing w:val="-4"/>
                <w:w w:val="105"/>
                <w:sz w:val="16"/>
              </w:rPr>
              <w:t>2023</w:t>
            </w:r>
          </w:p>
        </w:tc>
        <w:tc>
          <w:tcPr>
            <w:tcW w:w="1513" w:type="dxa"/>
            <w:tcBorders>
              <w:top w:val="single" w:sz="4" w:space="0" w:color="0098FF"/>
              <w:bottom w:val="single" w:sz="4" w:space="0" w:color="0098FF"/>
              <w:right w:val="single" w:sz="4" w:space="0" w:color="0098FF"/>
            </w:tcBorders>
            <w:shd w:val="clear" w:color="auto" w:fill="0070C0"/>
          </w:tcPr>
          <w:p w14:paraId="7A98F09A" w14:textId="77777777" w:rsidR="00084F36" w:rsidRPr="00EB2BD8" w:rsidRDefault="00EB2BD8">
            <w:pPr>
              <w:pStyle w:val="TableParagraph"/>
              <w:spacing w:before="64"/>
              <w:ind w:right="91"/>
              <w:jc w:val="right"/>
              <w:rPr>
                <w:rFonts w:ascii="Arial"/>
                <w:b/>
                <w:sz w:val="16"/>
              </w:rPr>
            </w:pPr>
            <w:r w:rsidRPr="00EB2BD8">
              <w:rPr>
                <w:rFonts w:ascii="Arial"/>
                <w:b/>
                <w:spacing w:val="-4"/>
                <w:w w:val="105"/>
                <w:sz w:val="16"/>
              </w:rPr>
              <w:t>2022</w:t>
            </w:r>
          </w:p>
        </w:tc>
      </w:tr>
      <w:tr w:rsidR="00EB2BD8" w:rsidRPr="00EB2BD8" w14:paraId="2D4D66CA" w14:textId="77777777">
        <w:trPr>
          <w:trHeight w:val="311"/>
        </w:trPr>
        <w:tc>
          <w:tcPr>
            <w:tcW w:w="6214" w:type="dxa"/>
            <w:tcBorders>
              <w:top w:val="single" w:sz="4" w:space="0" w:color="0098FF"/>
            </w:tcBorders>
            <w:shd w:val="clear" w:color="auto" w:fill="FFFFFF"/>
          </w:tcPr>
          <w:p w14:paraId="0BCC4A2E" w14:textId="77777777" w:rsidR="00084F36" w:rsidRPr="00EB2BD8" w:rsidRDefault="00EB2BD8">
            <w:pPr>
              <w:pStyle w:val="TableParagraph"/>
              <w:spacing w:before="63"/>
              <w:ind w:left="105"/>
              <w:rPr>
                <w:rFonts w:ascii="Arial"/>
                <w:b/>
                <w:sz w:val="16"/>
              </w:rPr>
            </w:pPr>
            <w:r w:rsidRPr="00EB2BD8">
              <w:rPr>
                <w:rFonts w:ascii="Arial"/>
                <w:b/>
                <w:w w:val="105"/>
                <w:sz w:val="16"/>
              </w:rPr>
              <w:t>Net</w:t>
            </w:r>
            <w:r w:rsidRPr="00EB2BD8">
              <w:rPr>
                <w:rFonts w:ascii="Arial"/>
                <w:b/>
                <w:spacing w:val="-5"/>
                <w:w w:val="105"/>
                <w:sz w:val="16"/>
              </w:rPr>
              <w:t xml:space="preserve"> </w:t>
            </w:r>
            <w:r w:rsidRPr="00EB2BD8">
              <w:rPr>
                <w:rFonts w:ascii="Arial"/>
                <w:b/>
                <w:w w:val="105"/>
                <w:sz w:val="16"/>
              </w:rPr>
              <w:t>result</w:t>
            </w:r>
            <w:r w:rsidRPr="00EB2BD8">
              <w:rPr>
                <w:rFonts w:ascii="Arial"/>
                <w:b/>
                <w:spacing w:val="-4"/>
                <w:w w:val="105"/>
                <w:sz w:val="16"/>
              </w:rPr>
              <w:t xml:space="preserve"> </w:t>
            </w:r>
            <w:r w:rsidRPr="00EB2BD8">
              <w:rPr>
                <w:rFonts w:ascii="Arial"/>
                <w:b/>
                <w:w w:val="105"/>
                <w:sz w:val="16"/>
              </w:rPr>
              <w:t>for</w:t>
            </w:r>
            <w:r w:rsidRPr="00EB2BD8">
              <w:rPr>
                <w:rFonts w:ascii="Arial"/>
                <w:b/>
                <w:spacing w:val="-5"/>
                <w:w w:val="105"/>
                <w:sz w:val="16"/>
              </w:rPr>
              <w:t xml:space="preserve"> </w:t>
            </w:r>
            <w:r w:rsidRPr="00EB2BD8">
              <w:rPr>
                <w:rFonts w:ascii="Arial"/>
                <w:b/>
                <w:w w:val="105"/>
                <w:sz w:val="16"/>
              </w:rPr>
              <w:t>the</w:t>
            </w:r>
            <w:r w:rsidRPr="00EB2BD8">
              <w:rPr>
                <w:rFonts w:ascii="Arial"/>
                <w:b/>
                <w:spacing w:val="-4"/>
                <w:w w:val="105"/>
                <w:sz w:val="16"/>
              </w:rPr>
              <w:t xml:space="preserve"> year</w:t>
            </w:r>
          </w:p>
        </w:tc>
        <w:tc>
          <w:tcPr>
            <w:tcW w:w="1400" w:type="dxa"/>
            <w:tcBorders>
              <w:top w:val="single" w:sz="4" w:space="0" w:color="0098FF"/>
            </w:tcBorders>
            <w:shd w:val="clear" w:color="auto" w:fill="DEEAF6"/>
          </w:tcPr>
          <w:p w14:paraId="37466C53" w14:textId="77777777" w:rsidR="00084F36" w:rsidRPr="00EB2BD8" w:rsidRDefault="00EB2BD8">
            <w:pPr>
              <w:pStyle w:val="TableParagraph"/>
              <w:spacing w:before="63"/>
              <w:ind w:right="95"/>
              <w:jc w:val="right"/>
              <w:rPr>
                <w:rFonts w:ascii="Arial"/>
                <w:b/>
                <w:sz w:val="16"/>
              </w:rPr>
            </w:pPr>
            <w:r w:rsidRPr="00EB2BD8">
              <w:rPr>
                <w:rFonts w:ascii="Arial"/>
                <w:b/>
                <w:spacing w:val="-4"/>
                <w:w w:val="105"/>
                <w:sz w:val="16"/>
              </w:rPr>
              <w:t>8,894</w:t>
            </w:r>
          </w:p>
        </w:tc>
        <w:tc>
          <w:tcPr>
            <w:tcW w:w="1513" w:type="dxa"/>
            <w:tcBorders>
              <w:top w:val="single" w:sz="4" w:space="0" w:color="0098FF"/>
            </w:tcBorders>
            <w:shd w:val="clear" w:color="auto" w:fill="FFFFFF"/>
          </w:tcPr>
          <w:p w14:paraId="23B68D09" w14:textId="77777777" w:rsidR="00084F36" w:rsidRPr="00EB2BD8" w:rsidRDefault="00EB2BD8">
            <w:pPr>
              <w:pStyle w:val="TableParagraph"/>
              <w:spacing w:before="63"/>
              <w:ind w:right="97"/>
              <w:jc w:val="right"/>
              <w:rPr>
                <w:rFonts w:ascii="Arial"/>
                <w:b/>
                <w:sz w:val="16"/>
              </w:rPr>
            </w:pPr>
            <w:r w:rsidRPr="00EB2BD8">
              <w:rPr>
                <w:rFonts w:ascii="Arial"/>
                <w:b/>
                <w:spacing w:val="-2"/>
                <w:w w:val="105"/>
                <w:sz w:val="16"/>
              </w:rPr>
              <w:t>(7,228)</w:t>
            </w:r>
          </w:p>
        </w:tc>
      </w:tr>
      <w:tr w:rsidR="00EB2BD8" w:rsidRPr="00EB2BD8" w14:paraId="1DED1A5C" w14:textId="77777777">
        <w:trPr>
          <w:trHeight w:val="315"/>
        </w:trPr>
        <w:tc>
          <w:tcPr>
            <w:tcW w:w="6214" w:type="dxa"/>
            <w:shd w:val="clear" w:color="auto" w:fill="FFFFFF"/>
          </w:tcPr>
          <w:p w14:paraId="0D6D2907" w14:textId="77777777" w:rsidR="00084F36" w:rsidRPr="00EB2BD8" w:rsidRDefault="00EB2BD8">
            <w:pPr>
              <w:pStyle w:val="TableParagraph"/>
              <w:spacing w:before="64"/>
              <w:ind w:left="105"/>
              <w:rPr>
                <w:rFonts w:ascii="Arial"/>
                <w:b/>
                <w:sz w:val="16"/>
              </w:rPr>
            </w:pPr>
            <w:r w:rsidRPr="00EB2BD8">
              <w:rPr>
                <w:rFonts w:ascii="Arial"/>
                <w:b/>
                <w:w w:val="105"/>
                <w:sz w:val="16"/>
              </w:rPr>
              <w:t>Non-cash</w:t>
            </w:r>
            <w:r w:rsidRPr="00EB2BD8">
              <w:rPr>
                <w:rFonts w:ascii="Arial"/>
                <w:b/>
                <w:spacing w:val="-12"/>
                <w:w w:val="105"/>
                <w:sz w:val="16"/>
              </w:rPr>
              <w:t xml:space="preserve"> </w:t>
            </w:r>
            <w:r w:rsidRPr="00EB2BD8">
              <w:rPr>
                <w:rFonts w:ascii="Arial"/>
                <w:b/>
                <w:spacing w:val="-2"/>
                <w:w w:val="105"/>
                <w:sz w:val="16"/>
              </w:rPr>
              <w:t>movements</w:t>
            </w:r>
          </w:p>
        </w:tc>
        <w:tc>
          <w:tcPr>
            <w:tcW w:w="1400" w:type="dxa"/>
            <w:shd w:val="clear" w:color="auto" w:fill="DEEAF6"/>
          </w:tcPr>
          <w:p w14:paraId="2FCBBC9F" w14:textId="77777777" w:rsidR="00084F36" w:rsidRPr="00EB2BD8" w:rsidRDefault="00084F36">
            <w:pPr>
              <w:pStyle w:val="TableParagraph"/>
              <w:rPr>
                <w:rFonts w:ascii="Times New Roman"/>
                <w:sz w:val="16"/>
              </w:rPr>
            </w:pPr>
          </w:p>
        </w:tc>
        <w:tc>
          <w:tcPr>
            <w:tcW w:w="1513" w:type="dxa"/>
            <w:shd w:val="clear" w:color="auto" w:fill="FFFFFF"/>
          </w:tcPr>
          <w:p w14:paraId="360FF9C0" w14:textId="77777777" w:rsidR="00084F36" w:rsidRPr="00EB2BD8" w:rsidRDefault="00084F36">
            <w:pPr>
              <w:pStyle w:val="TableParagraph"/>
              <w:rPr>
                <w:rFonts w:ascii="Times New Roman"/>
                <w:sz w:val="16"/>
              </w:rPr>
            </w:pPr>
          </w:p>
        </w:tc>
      </w:tr>
      <w:tr w:rsidR="00EB2BD8" w:rsidRPr="00EB2BD8" w14:paraId="76EBA663" w14:textId="77777777">
        <w:trPr>
          <w:trHeight w:val="317"/>
        </w:trPr>
        <w:tc>
          <w:tcPr>
            <w:tcW w:w="6214" w:type="dxa"/>
            <w:shd w:val="clear" w:color="auto" w:fill="FFFFFF"/>
          </w:tcPr>
          <w:p w14:paraId="2C190C92" w14:textId="77777777" w:rsidR="00084F36" w:rsidRPr="00EB2BD8" w:rsidRDefault="00EB2BD8">
            <w:pPr>
              <w:pStyle w:val="TableParagraph"/>
              <w:spacing w:before="67"/>
              <w:ind w:left="105"/>
              <w:rPr>
                <w:rFonts w:ascii="Arial"/>
                <w:sz w:val="16"/>
              </w:rPr>
            </w:pPr>
            <w:r w:rsidRPr="00EB2BD8">
              <w:rPr>
                <w:rFonts w:ascii="Arial"/>
                <w:w w:val="105"/>
                <w:sz w:val="16"/>
              </w:rPr>
              <w:t>Depreciation</w:t>
            </w:r>
            <w:r w:rsidRPr="00EB2BD8">
              <w:rPr>
                <w:rFonts w:ascii="Arial"/>
                <w:spacing w:val="-10"/>
                <w:w w:val="105"/>
                <w:sz w:val="16"/>
              </w:rPr>
              <w:t xml:space="preserve"> </w:t>
            </w:r>
            <w:r w:rsidRPr="00EB2BD8">
              <w:rPr>
                <w:rFonts w:ascii="Arial"/>
                <w:w w:val="105"/>
                <w:sz w:val="16"/>
              </w:rPr>
              <w:t>and</w:t>
            </w:r>
            <w:r w:rsidRPr="00EB2BD8">
              <w:rPr>
                <w:rFonts w:ascii="Arial"/>
                <w:spacing w:val="-9"/>
                <w:w w:val="105"/>
                <w:sz w:val="16"/>
              </w:rPr>
              <w:t xml:space="preserve"> </w:t>
            </w:r>
            <w:r w:rsidRPr="00EB2BD8">
              <w:rPr>
                <w:rFonts w:ascii="Arial"/>
                <w:w w:val="105"/>
                <w:sz w:val="16"/>
              </w:rPr>
              <w:t>amortisation</w:t>
            </w:r>
            <w:r w:rsidRPr="00EB2BD8">
              <w:rPr>
                <w:rFonts w:ascii="Arial"/>
                <w:spacing w:val="-10"/>
                <w:w w:val="105"/>
                <w:sz w:val="16"/>
              </w:rPr>
              <w:t xml:space="preserve"> </w:t>
            </w:r>
            <w:r w:rsidRPr="00EB2BD8">
              <w:rPr>
                <w:rFonts w:ascii="Arial"/>
                <w:w w:val="105"/>
                <w:sz w:val="16"/>
              </w:rPr>
              <w:t>of</w:t>
            </w:r>
            <w:r w:rsidRPr="00EB2BD8">
              <w:rPr>
                <w:rFonts w:ascii="Arial"/>
                <w:spacing w:val="-9"/>
                <w:w w:val="105"/>
                <w:sz w:val="16"/>
              </w:rPr>
              <w:t xml:space="preserve"> </w:t>
            </w:r>
            <w:r w:rsidRPr="00EB2BD8">
              <w:rPr>
                <w:rFonts w:ascii="Arial"/>
                <w:w w:val="105"/>
                <w:sz w:val="16"/>
              </w:rPr>
              <w:t>non-current</w:t>
            </w:r>
            <w:r w:rsidRPr="00EB2BD8">
              <w:rPr>
                <w:rFonts w:ascii="Arial"/>
                <w:spacing w:val="-9"/>
                <w:w w:val="105"/>
                <w:sz w:val="16"/>
              </w:rPr>
              <w:t xml:space="preserve"> </w:t>
            </w:r>
            <w:r w:rsidRPr="00EB2BD8">
              <w:rPr>
                <w:rFonts w:ascii="Arial"/>
                <w:spacing w:val="-2"/>
                <w:w w:val="105"/>
                <w:sz w:val="16"/>
              </w:rPr>
              <w:t>assets</w:t>
            </w:r>
          </w:p>
        </w:tc>
        <w:tc>
          <w:tcPr>
            <w:tcW w:w="1400" w:type="dxa"/>
            <w:shd w:val="clear" w:color="auto" w:fill="DEEAF6"/>
          </w:tcPr>
          <w:p w14:paraId="58040C03" w14:textId="77777777" w:rsidR="00084F36" w:rsidRPr="00EB2BD8" w:rsidRDefault="00EB2BD8">
            <w:pPr>
              <w:pStyle w:val="TableParagraph"/>
              <w:spacing w:before="67"/>
              <w:ind w:right="96"/>
              <w:jc w:val="right"/>
              <w:rPr>
                <w:rFonts w:ascii="Arial"/>
                <w:sz w:val="16"/>
              </w:rPr>
            </w:pPr>
            <w:r w:rsidRPr="00EB2BD8">
              <w:rPr>
                <w:rFonts w:ascii="Arial"/>
                <w:spacing w:val="-2"/>
                <w:w w:val="105"/>
                <w:sz w:val="16"/>
              </w:rPr>
              <w:t>5,400</w:t>
            </w:r>
          </w:p>
        </w:tc>
        <w:tc>
          <w:tcPr>
            <w:tcW w:w="1513" w:type="dxa"/>
            <w:shd w:val="clear" w:color="auto" w:fill="FFFFFF"/>
          </w:tcPr>
          <w:p w14:paraId="2E4DBA2A" w14:textId="77777777" w:rsidR="00084F36" w:rsidRPr="00EB2BD8" w:rsidRDefault="00EB2BD8">
            <w:pPr>
              <w:pStyle w:val="TableParagraph"/>
              <w:spacing w:before="67"/>
              <w:ind w:right="95"/>
              <w:jc w:val="right"/>
              <w:rPr>
                <w:rFonts w:ascii="Arial"/>
                <w:sz w:val="16"/>
              </w:rPr>
            </w:pPr>
            <w:r w:rsidRPr="00EB2BD8">
              <w:rPr>
                <w:rFonts w:ascii="Arial"/>
                <w:spacing w:val="-2"/>
                <w:w w:val="105"/>
                <w:sz w:val="16"/>
              </w:rPr>
              <w:t>5,207</w:t>
            </w:r>
          </w:p>
        </w:tc>
      </w:tr>
      <w:tr w:rsidR="00EB2BD8" w:rsidRPr="00EB2BD8" w14:paraId="7D3AA7B6" w14:textId="77777777">
        <w:trPr>
          <w:trHeight w:val="316"/>
        </w:trPr>
        <w:tc>
          <w:tcPr>
            <w:tcW w:w="6214" w:type="dxa"/>
            <w:shd w:val="clear" w:color="auto" w:fill="FFFFFF"/>
          </w:tcPr>
          <w:p w14:paraId="495B0898" w14:textId="77777777" w:rsidR="00084F36" w:rsidRPr="00EB2BD8" w:rsidRDefault="00EB2BD8">
            <w:pPr>
              <w:pStyle w:val="TableParagraph"/>
              <w:spacing w:before="66"/>
              <w:ind w:left="105"/>
              <w:rPr>
                <w:rFonts w:ascii="Arial"/>
                <w:sz w:val="16"/>
              </w:rPr>
            </w:pPr>
            <w:r w:rsidRPr="00EB2BD8">
              <w:rPr>
                <w:rFonts w:ascii="Arial"/>
                <w:w w:val="105"/>
                <w:sz w:val="16"/>
              </w:rPr>
              <w:t>Net</w:t>
            </w:r>
            <w:r w:rsidRPr="00EB2BD8">
              <w:rPr>
                <w:rFonts w:ascii="Arial"/>
                <w:spacing w:val="-7"/>
                <w:w w:val="105"/>
                <w:sz w:val="16"/>
              </w:rPr>
              <w:t xml:space="preserve"> </w:t>
            </w:r>
            <w:r w:rsidRPr="00EB2BD8">
              <w:rPr>
                <w:rFonts w:ascii="Arial"/>
                <w:w w:val="105"/>
                <w:sz w:val="16"/>
              </w:rPr>
              <w:t>(gain)/loss</w:t>
            </w:r>
            <w:r w:rsidRPr="00EB2BD8">
              <w:rPr>
                <w:rFonts w:ascii="Arial"/>
                <w:spacing w:val="-6"/>
                <w:w w:val="105"/>
                <w:sz w:val="16"/>
              </w:rPr>
              <w:t xml:space="preserve"> </w:t>
            </w:r>
            <w:r w:rsidRPr="00EB2BD8">
              <w:rPr>
                <w:rFonts w:ascii="Arial"/>
                <w:w w:val="105"/>
                <w:sz w:val="16"/>
              </w:rPr>
              <w:t>on</w:t>
            </w:r>
            <w:r w:rsidRPr="00EB2BD8">
              <w:rPr>
                <w:rFonts w:ascii="Arial"/>
                <w:spacing w:val="-7"/>
                <w:w w:val="105"/>
                <w:sz w:val="16"/>
              </w:rPr>
              <w:t xml:space="preserve"> </w:t>
            </w:r>
            <w:r w:rsidRPr="00EB2BD8">
              <w:rPr>
                <w:rFonts w:ascii="Arial"/>
                <w:w w:val="105"/>
                <w:sz w:val="16"/>
              </w:rPr>
              <w:t>disposal</w:t>
            </w:r>
            <w:r w:rsidRPr="00EB2BD8">
              <w:rPr>
                <w:rFonts w:ascii="Arial"/>
                <w:spacing w:val="-6"/>
                <w:w w:val="105"/>
                <w:sz w:val="16"/>
              </w:rPr>
              <w:t xml:space="preserve"> </w:t>
            </w:r>
            <w:r w:rsidRPr="00EB2BD8">
              <w:rPr>
                <w:rFonts w:ascii="Arial"/>
                <w:w w:val="105"/>
                <w:sz w:val="16"/>
              </w:rPr>
              <w:t>of</w:t>
            </w:r>
            <w:r w:rsidRPr="00EB2BD8">
              <w:rPr>
                <w:rFonts w:ascii="Arial"/>
                <w:spacing w:val="-7"/>
                <w:w w:val="105"/>
                <w:sz w:val="16"/>
              </w:rPr>
              <w:t xml:space="preserve"> </w:t>
            </w:r>
            <w:r w:rsidRPr="00EB2BD8">
              <w:rPr>
                <w:rFonts w:ascii="Arial"/>
                <w:w w:val="105"/>
                <w:sz w:val="16"/>
              </w:rPr>
              <w:t>property,</w:t>
            </w:r>
            <w:r w:rsidRPr="00EB2BD8">
              <w:rPr>
                <w:rFonts w:ascii="Arial"/>
                <w:spacing w:val="-7"/>
                <w:w w:val="105"/>
                <w:sz w:val="16"/>
              </w:rPr>
              <w:t xml:space="preserve"> </w:t>
            </w:r>
            <w:r w:rsidRPr="00EB2BD8">
              <w:rPr>
                <w:rFonts w:ascii="Arial"/>
                <w:w w:val="105"/>
                <w:sz w:val="16"/>
              </w:rPr>
              <w:t>plant</w:t>
            </w:r>
            <w:r w:rsidRPr="00EB2BD8">
              <w:rPr>
                <w:rFonts w:ascii="Arial"/>
                <w:spacing w:val="-5"/>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spacing w:val="-2"/>
                <w:w w:val="105"/>
                <w:sz w:val="16"/>
              </w:rPr>
              <w:t>equipment</w:t>
            </w:r>
          </w:p>
        </w:tc>
        <w:tc>
          <w:tcPr>
            <w:tcW w:w="1400" w:type="dxa"/>
            <w:shd w:val="clear" w:color="auto" w:fill="DEEAF6"/>
          </w:tcPr>
          <w:p w14:paraId="446586F6" w14:textId="77777777" w:rsidR="00084F36" w:rsidRPr="00EB2BD8" w:rsidRDefault="00EB2BD8">
            <w:pPr>
              <w:pStyle w:val="TableParagraph"/>
              <w:spacing w:before="66"/>
              <w:ind w:right="96"/>
              <w:jc w:val="right"/>
              <w:rPr>
                <w:rFonts w:ascii="Arial"/>
                <w:sz w:val="16"/>
              </w:rPr>
            </w:pPr>
            <w:r w:rsidRPr="00EB2BD8">
              <w:rPr>
                <w:rFonts w:ascii="Arial"/>
                <w:spacing w:val="-2"/>
                <w:w w:val="105"/>
                <w:sz w:val="16"/>
              </w:rPr>
              <w:t>(464)</w:t>
            </w:r>
          </w:p>
        </w:tc>
        <w:tc>
          <w:tcPr>
            <w:tcW w:w="1513" w:type="dxa"/>
            <w:shd w:val="clear" w:color="auto" w:fill="FFFFFF"/>
          </w:tcPr>
          <w:p w14:paraId="05F759BF" w14:textId="77777777" w:rsidR="00084F36" w:rsidRPr="00EB2BD8" w:rsidRDefault="00EB2BD8">
            <w:pPr>
              <w:pStyle w:val="TableParagraph"/>
              <w:spacing w:before="66"/>
              <w:ind w:right="96"/>
              <w:jc w:val="right"/>
              <w:rPr>
                <w:rFonts w:ascii="Arial"/>
                <w:sz w:val="16"/>
              </w:rPr>
            </w:pPr>
            <w:r w:rsidRPr="00EB2BD8">
              <w:rPr>
                <w:rFonts w:ascii="Arial"/>
                <w:spacing w:val="-2"/>
                <w:w w:val="105"/>
                <w:sz w:val="16"/>
              </w:rPr>
              <w:t>(210)</w:t>
            </w:r>
          </w:p>
        </w:tc>
      </w:tr>
      <w:tr w:rsidR="00EB2BD8" w:rsidRPr="00EB2BD8" w14:paraId="0B9F9664" w14:textId="77777777">
        <w:trPr>
          <w:trHeight w:val="317"/>
        </w:trPr>
        <w:tc>
          <w:tcPr>
            <w:tcW w:w="6214" w:type="dxa"/>
            <w:shd w:val="clear" w:color="auto" w:fill="FFFFFF"/>
          </w:tcPr>
          <w:p w14:paraId="4E40DB37" w14:textId="77777777" w:rsidR="00084F36" w:rsidRPr="00EB2BD8" w:rsidRDefault="00EB2BD8">
            <w:pPr>
              <w:pStyle w:val="TableParagraph"/>
              <w:spacing w:before="66"/>
              <w:ind w:left="105"/>
              <w:rPr>
                <w:rFonts w:ascii="Arial"/>
                <w:b/>
                <w:sz w:val="16"/>
              </w:rPr>
            </w:pPr>
            <w:r w:rsidRPr="00EB2BD8">
              <w:rPr>
                <w:rFonts w:ascii="Arial"/>
                <w:b/>
                <w:w w:val="105"/>
                <w:sz w:val="16"/>
              </w:rPr>
              <w:t>Movements</w:t>
            </w:r>
            <w:r w:rsidRPr="00EB2BD8">
              <w:rPr>
                <w:rFonts w:ascii="Arial"/>
                <w:b/>
                <w:spacing w:val="-7"/>
                <w:w w:val="105"/>
                <w:sz w:val="16"/>
              </w:rPr>
              <w:t xml:space="preserve"> </w:t>
            </w:r>
            <w:r w:rsidRPr="00EB2BD8">
              <w:rPr>
                <w:rFonts w:ascii="Arial"/>
                <w:b/>
                <w:w w:val="105"/>
                <w:sz w:val="16"/>
              </w:rPr>
              <w:t>in</w:t>
            </w:r>
            <w:r w:rsidRPr="00EB2BD8">
              <w:rPr>
                <w:rFonts w:ascii="Arial"/>
                <w:b/>
                <w:spacing w:val="-7"/>
                <w:w w:val="105"/>
                <w:sz w:val="16"/>
              </w:rPr>
              <w:t xml:space="preserve"> </w:t>
            </w:r>
            <w:r w:rsidRPr="00EB2BD8">
              <w:rPr>
                <w:rFonts w:ascii="Arial"/>
                <w:b/>
                <w:w w:val="105"/>
                <w:sz w:val="16"/>
              </w:rPr>
              <w:t>assets</w:t>
            </w:r>
            <w:r w:rsidRPr="00EB2BD8">
              <w:rPr>
                <w:rFonts w:ascii="Arial"/>
                <w:b/>
                <w:spacing w:val="-7"/>
                <w:w w:val="105"/>
                <w:sz w:val="16"/>
              </w:rPr>
              <w:t xml:space="preserve"> </w:t>
            </w:r>
            <w:r w:rsidRPr="00EB2BD8">
              <w:rPr>
                <w:rFonts w:ascii="Arial"/>
                <w:b/>
                <w:w w:val="105"/>
                <w:sz w:val="16"/>
              </w:rPr>
              <w:t>and</w:t>
            </w:r>
            <w:r w:rsidRPr="00EB2BD8">
              <w:rPr>
                <w:rFonts w:ascii="Arial"/>
                <w:b/>
                <w:spacing w:val="-6"/>
                <w:w w:val="105"/>
                <w:sz w:val="16"/>
              </w:rPr>
              <w:t xml:space="preserve"> </w:t>
            </w:r>
            <w:r w:rsidRPr="00EB2BD8">
              <w:rPr>
                <w:rFonts w:ascii="Arial"/>
                <w:b/>
                <w:spacing w:val="-2"/>
                <w:w w:val="105"/>
                <w:sz w:val="16"/>
              </w:rPr>
              <w:t>liabilities:</w:t>
            </w:r>
          </w:p>
        </w:tc>
        <w:tc>
          <w:tcPr>
            <w:tcW w:w="1400" w:type="dxa"/>
            <w:shd w:val="clear" w:color="auto" w:fill="DEEAF6"/>
          </w:tcPr>
          <w:p w14:paraId="2926AE9D" w14:textId="77777777" w:rsidR="00084F36" w:rsidRPr="00EB2BD8" w:rsidRDefault="00084F36">
            <w:pPr>
              <w:pStyle w:val="TableParagraph"/>
              <w:rPr>
                <w:rFonts w:ascii="Times New Roman"/>
                <w:sz w:val="16"/>
              </w:rPr>
            </w:pPr>
          </w:p>
        </w:tc>
        <w:tc>
          <w:tcPr>
            <w:tcW w:w="1513" w:type="dxa"/>
            <w:shd w:val="clear" w:color="auto" w:fill="FFFFFF"/>
          </w:tcPr>
          <w:p w14:paraId="4C058A83" w14:textId="77777777" w:rsidR="00084F36" w:rsidRPr="00EB2BD8" w:rsidRDefault="00084F36">
            <w:pPr>
              <w:pStyle w:val="TableParagraph"/>
              <w:rPr>
                <w:rFonts w:ascii="Times New Roman"/>
                <w:sz w:val="16"/>
              </w:rPr>
            </w:pPr>
          </w:p>
        </w:tc>
      </w:tr>
      <w:tr w:rsidR="00EB2BD8" w:rsidRPr="00EB2BD8" w14:paraId="1BAC02D2" w14:textId="77777777">
        <w:trPr>
          <w:trHeight w:val="321"/>
        </w:trPr>
        <w:tc>
          <w:tcPr>
            <w:tcW w:w="6214" w:type="dxa"/>
            <w:shd w:val="clear" w:color="auto" w:fill="FFFFFF"/>
          </w:tcPr>
          <w:p w14:paraId="045922CB" w14:textId="77777777" w:rsidR="00084F36" w:rsidRPr="00EB2BD8" w:rsidRDefault="00EB2BD8">
            <w:pPr>
              <w:pStyle w:val="TableParagraph"/>
              <w:spacing w:before="67"/>
              <w:ind w:left="105"/>
              <w:rPr>
                <w:rFonts w:ascii="Arial"/>
                <w:sz w:val="16"/>
              </w:rPr>
            </w:pPr>
            <w:r w:rsidRPr="00EB2BD8">
              <w:rPr>
                <w:rFonts w:ascii="Arial"/>
                <w:w w:val="105"/>
                <w:sz w:val="16"/>
              </w:rPr>
              <w:t>(Increase)/decrease</w:t>
            </w:r>
            <w:r w:rsidRPr="00EB2BD8">
              <w:rPr>
                <w:rFonts w:ascii="Arial"/>
                <w:spacing w:val="-11"/>
                <w:w w:val="105"/>
                <w:sz w:val="16"/>
              </w:rPr>
              <w:t xml:space="preserve"> </w:t>
            </w:r>
            <w:r w:rsidRPr="00EB2BD8">
              <w:rPr>
                <w:rFonts w:ascii="Arial"/>
                <w:w w:val="105"/>
                <w:sz w:val="16"/>
              </w:rPr>
              <w:t>in</w:t>
            </w:r>
            <w:r w:rsidRPr="00EB2BD8">
              <w:rPr>
                <w:rFonts w:ascii="Arial"/>
                <w:spacing w:val="-11"/>
                <w:w w:val="105"/>
                <w:sz w:val="16"/>
              </w:rPr>
              <w:t xml:space="preserve"> </w:t>
            </w:r>
            <w:r w:rsidRPr="00EB2BD8">
              <w:rPr>
                <w:rFonts w:ascii="Arial"/>
                <w:spacing w:val="-2"/>
                <w:w w:val="105"/>
                <w:sz w:val="16"/>
              </w:rPr>
              <w:t>receivables</w:t>
            </w:r>
          </w:p>
        </w:tc>
        <w:tc>
          <w:tcPr>
            <w:tcW w:w="1400" w:type="dxa"/>
            <w:shd w:val="clear" w:color="auto" w:fill="DEEAF6"/>
          </w:tcPr>
          <w:p w14:paraId="6A987C84" w14:textId="77777777" w:rsidR="00084F36" w:rsidRPr="00EB2BD8" w:rsidRDefault="00EB2BD8">
            <w:pPr>
              <w:pStyle w:val="TableParagraph"/>
              <w:spacing w:before="67"/>
              <w:ind w:right="96"/>
              <w:jc w:val="right"/>
              <w:rPr>
                <w:rFonts w:ascii="Arial"/>
                <w:sz w:val="16"/>
              </w:rPr>
            </w:pPr>
            <w:r w:rsidRPr="00EB2BD8">
              <w:rPr>
                <w:rFonts w:ascii="Arial"/>
                <w:spacing w:val="-5"/>
                <w:w w:val="105"/>
                <w:sz w:val="16"/>
              </w:rPr>
              <w:t>307</w:t>
            </w:r>
          </w:p>
        </w:tc>
        <w:tc>
          <w:tcPr>
            <w:tcW w:w="1513" w:type="dxa"/>
            <w:shd w:val="clear" w:color="auto" w:fill="FFFFFF"/>
          </w:tcPr>
          <w:p w14:paraId="76EDCBAF" w14:textId="77777777" w:rsidR="00084F36" w:rsidRPr="00EB2BD8" w:rsidRDefault="00EB2BD8">
            <w:pPr>
              <w:pStyle w:val="TableParagraph"/>
              <w:spacing w:before="67"/>
              <w:ind w:right="95"/>
              <w:jc w:val="right"/>
              <w:rPr>
                <w:rFonts w:ascii="Arial"/>
                <w:sz w:val="16"/>
              </w:rPr>
            </w:pPr>
            <w:r w:rsidRPr="00EB2BD8">
              <w:rPr>
                <w:rFonts w:ascii="Arial"/>
                <w:spacing w:val="-5"/>
                <w:w w:val="105"/>
                <w:sz w:val="16"/>
              </w:rPr>
              <w:t>182</w:t>
            </w:r>
          </w:p>
        </w:tc>
      </w:tr>
      <w:tr w:rsidR="00EB2BD8" w:rsidRPr="00EB2BD8" w14:paraId="08AF85D1" w14:textId="77777777">
        <w:trPr>
          <w:trHeight w:val="325"/>
        </w:trPr>
        <w:tc>
          <w:tcPr>
            <w:tcW w:w="6214" w:type="dxa"/>
            <w:shd w:val="clear" w:color="auto" w:fill="FFFFFF"/>
          </w:tcPr>
          <w:p w14:paraId="30F4EAB6" w14:textId="77777777" w:rsidR="00084F36" w:rsidRPr="00EB2BD8" w:rsidRDefault="00EB2BD8">
            <w:pPr>
              <w:pStyle w:val="TableParagraph"/>
              <w:spacing w:before="71"/>
              <w:ind w:left="105"/>
              <w:rPr>
                <w:rFonts w:ascii="Arial"/>
                <w:sz w:val="16"/>
              </w:rPr>
            </w:pPr>
            <w:r w:rsidRPr="00EB2BD8">
              <w:rPr>
                <w:rFonts w:ascii="Arial"/>
                <w:w w:val="105"/>
                <w:sz w:val="16"/>
              </w:rPr>
              <w:t>(Increase)/decrease</w:t>
            </w:r>
            <w:r w:rsidRPr="00EB2BD8">
              <w:rPr>
                <w:rFonts w:ascii="Arial"/>
                <w:spacing w:val="-11"/>
                <w:w w:val="105"/>
                <w:sz w:val="16"/>
              </w:rPr>
              <w:t xml:space="preserve"> </w:t>
            </w:r>
            <w:r w:rsidRPr="00EB2BD8">
              <w:rPr>
                <w:rFonts w:ascii="Arial"/>
                <w:w w:val="105"/>
                <w:sz w:val="16"/>
              </w:rPr>
              <w:t>in</w:t>
            </w:r>
            <w:r w:rsidRPr="00EB2BD8">
              <w:rPr>
                <w:rFonts w:ascii="Arial"/>
                <w:spacing w:val="-11"/>
                <w:w w:val="105"/>
                <w:sz w:val="16"/>
              </w:rPr>
              <w:t xml:space="preserve"> </w:t>
            </w:r>
            <w:r w:rsidRPr="00EB2BD8">
              <w:rPr>
                <w:rFonts w:ascii="Arial"/>
                <w:spacing w:val="-2"/>
                <w:w w:val="105"/>
                <w:sz w:val="16"/>
              </w:rPr>
              <w:t>prepayments</w:t>
            </w:r>
          </w:p>
        </w:tc>
        <w:tc>
          <w:tcPr>
            <w:tcW w:w="1400" w:type="dxa"/>
            <w:shd w:val="clear" w:color="auto" w:fill="DEEAF6"/>
          </w:tcPr>
          <w:p w14:paraId="3EDD1957" w14:textId="77777777" w:rsidR="00084F36" w:rsidRPr="00EB2BD8" w:rsidRDefault="00EB2BD8">
            <w:pPr>
              <w:pStyle w:val="TableParagraph"/>
              <w:spacing w:before="71"/>
              <w:ind w:right="96"/>
              <w:jc w:val="right"/>
              <w:rPr>
                <w:rFonts w:ascii="Arial"/>
                <w:sz w:val="16"/>
              </w:rPr>
            </w:pPr>
            <w:r w:rsidRPr="00EB2BD8">
              <w:rPr>
                <w:rFonts w:ascii="Arial"/>
                <w:spacing w:val="-5"/>
                <w:w w:val="105"/>
                <w:sz w:val="16"/>
              </w:rPr>
              <w:t>237</w:t>
            </w:r>
          </w:p>
        </w:tc>
        <w:tc>
          <w:tcPr>
            <w:tcW w:w="1513" w:type="dxa"/>
            <w:shd w:val="clear" w:color="auto" w:fill="FFFFFF"/>
          </w:tcPr>
          <w:p w14:paraId="4321F48C" w14:textId="77777777" w:rsidR="00084F36" w:rsidRPr="00EB2BD8" w:rsidRDefault="00EB2BD8">
            <w:pPr>
              <w:pStyle w:val="TableParagraph"/>
              <w:spacing w:before="71"/>
              <w:ind w:right="97"/>
              <w:jc w:val="right"/>
              <w:rPr>
                <w:rFonts w:ascii="Arial"/>
                <w:sz w:val="16"/>
              </w:rPr>
            </w:pPr>
            <w:r w:rsidRPr="00EB2BD8">
              <w:rPr>
                <w:rFonts w:ascii="Arial"/>
                <w:spacing w:val="-2"/>
                <w:w w:val="105"/>
                <w:sz w:val="16"/>
              </w:rPr>
              <w:t>(718)</w:t>
            </w:r>
          </w:p>
        </w:tc>
      </w:tr>
      <w:tr w:rsidR="00EB2BD8" w:rsidRPr="00EB2BD8" w14:paraId="10F91769" w14:textId="77777777">
        <w:trPr>
          <w:trHeight w:val="318"/>
        </w:trPr>
        <w:tc>
          <w:tcPr>
            <w:tcW w:w="6214" w:type="dxa"/>
            <w:shd w:val="clear" w:color="auto" w:fill="FFFFFF"/>
          </w:tcPr>
          <w:p w14:paraId="50AD4611" w14:textId="77777777" w:rsidR="00084F36" w:rsidRPr="00EB2BD8" w:rsidRDefault="00EB2BD8">
            <w:pPr>
              <w:pStyle w:val="TableParagraph"/>
              <w:spacing w:before="71"/>
              <w:ind w:left="105"/>
              <w:rPr>
                <w:rFonts w:ascii="Arial"/>
                <w:sz w:val="16"/>
              </w:rPr>
            </w:pPr>
            <w:r w:rsidRPr="00EB2BD8">
              <w:rPr>
                <w:rFonts w:ascii="Arial"/>
                <w:w w:val="105"/>
                <w:sz w:val="16"/>
              </w:rPr>
              <w:t>Increase/(decrease)</w:t>
            </w:r>
            <w:r w:rsidRPr="00EB2BD8">
              <w:rPr>
                <w:rFonts w:ascii="Arial"/>
                <w:spacing w:val="-11"/>
                <w:w w:val="105"/>
                <w:sz w:val="16"/>
              </w:rPr>
              <w:t xml:space="preserve"> </w:t>
            </w:r>
            <w:r w:rsidRPr="00EB2BD8">
              <w:rPr>
                <w:rFonts w:ascii="Arial"/>
                <w:w w:val="105"/>
                <w:sz w:val="16"/>
              </w:rPr>
              <w:t>in</w:t>
            </w:r>
            <w:r w:rsidRPr="00EB2BD8">
              <w:rPr>
                <w:rFonts w:ascii="Arial"/>
                <w:spacing w:val="-10"/>
                <w:w w:val="105"/>
                <w:sz w:val="16"/>
              </w:rPr>
              <w:t xml:space="preserve"> </w:t>
            </w:r>
            <w:r w:rsidRPr="00EB2BD8">
              <w:rPr>
                <w:rFonts w:ascii="Arial"/>
                <w:w w:val="105"/>
                <w:sz w:val="16"/>
              </w:rPr>
              <w:t>contract</w:t>
            </w:r>
            <w:r w:rsidRPr="00EB2BD8">
              <w:rPr>
                <w:rFonts w:ascii="Arial"/>
                <w:spacing w:val="-10"/>
                <w:w w:val="105"/>
                <w:sz w:val="16"/>
              </w:rPr>
              <w:t xml:space="preserve"> </w:t>
            </w:r>
            <w:r w:rsidRPr="00EB2BD8">
              <w:rPr>
                <w:rFonts w:ascii="Arial"/>
                <w:spacing w:val="-2"/>
                <w:w w:val="105"/>
                <w:sz w:val="16"/>
              </w:rPr>
              <w:t>liabilities</w:t>
            </w:r>
          </w:p>
        </w:tc>
        <w:tc>
          <w:tcPr>
            <w:tcW w:w="1400" w:type="dxa"/>
            <w:shd w:val="clear" w:color="auto" w:fill="DEEAF6"/>
          </w:tcPr>
          <w:p w14:paraId="2265DB49" w14:textId="77777777" w:rsidR="00084F36" w:rsidRPr="00EB2BD8" w:rsidRDefault="00EB2BD8">
            <w:pPr>
              <w:pStyle w:val="TableParagraph"/>
              <w:spacing w:before="71"/>
              <w:ind w:right="96"/>
              <w:jc w:val="right"/>
              <w:rPr>
                <w:rFonts w:ascii="Arial"/>
                <w:sz w:val="16"/>
              </w:rPr>
            </w:pPr>
            <w:r w:rsidRPr="00EB2BD8">
              <w:rPr>
                <w:rFonts w:ascii="Arial"/>
                <w:spacing w:val="-2"/>
                <w:w w:val="105"/>
                <w:sz w:val="16"/>
              </w:rPr>
              <w:t>4,430</w:t>
            </w:r>
          </w:p>
        </w:tc>
        <w:tc>
          <w:tcPr>
            <w:tcW w:w="1513" w:type="dxa"/>
            <w:shd w:val="clear" w:color="auto" w:fill="FFFFFF"/>
          </w:tcPr>
          <w:p w14:paraId="389A4295" w14:textId="77777777" w:rsidR="00084F36" w:rsidRPr="00EB2BD8" w:rsidRDefault="00EB2BD8">
            <w:pPr>
              <w:pStyle w:val="TableParagraph"/>
              <w:spacing w:before="71"/>
              <w:ind w:right="95"/>
              <w:jc w:val="right"/>
              <w:rPr>
                <w:rFonts w:ascii="Arial"/>
                <w:sz w:val="16"/>
              </w:rPr>
            </w:pPr>
            <w:r w:rsidRPr="00EB2BD8">
              <w:rPr>
                <w:rFonts w:ascii="Arial"/>
                <w:spacing w:val="-2"/>
                <w:w w:val="105"/>
                <w:sz w:val="16"/>
              </w:rPr>
              <w:t>1,144</w:t>
            </w:r>
          </w:p>
        </w:tc>
      </w:tr>
      <w:tr w:rsidR="00EB2BD8" w:rsidRPr="00EB2BD8" w14:paraId="3CF8CB9E" w14:textId="77777777">
        <w:trPr>
          <w:trHeight w:val="320"/>
        </w:trPr>
        <w:tc>
          <w:tcPr>
            <w:tcW w:w="6214" w:type="dxa"/>
            <w:shd w:val="clear" w:color="auto" w:fill="FFFFFF"/>
          </w:tcPr>
          <w:p w14:paraId="3F03E359" w14:textId="77777777" w:rsidR="00084F36" w:rsidRPr="00EB2BD8" w:rsidRDefault="00EB2BD8">
            <w:pPr>
              <w:pStyle w:val="TableParagraph"/>
              <w:spacing w:before="69"/>
              <w:ind w:left="105"/>
              <w:rPr>
                <w:rFonts w:ascii="Arial"/>
                <w:sz w:val="16"/>
              </w:rPr>
            </w:pPr>
            <w:r w:rsidRPr="00EB2BD8">
              <w:rPr>
                <w:rFonts w:ascii="Arial"/>
                <w:w w:val="105"/>
                <w:sz w:val="16"/>
              </w:rPr>
              <w:t>Increase/(decrease)</w:t>
            </w:r>
            <w:r w:rsidRPr="00EB2BD8">
              <w:rPr>
                <w:rFonts w:ascii="Arial"/>
                <w:spacing w:val="-12"/>
                <w:w w:val="105"/>
                <w:sz w:val="16"/>
              </w:rPr>
              <w:t xml:space="preserve"> </w:t>
            </w:r>
            <w:r w:rsidRPr="00EB2BD8">
              <w:rPr>
                <w:rFonts w:ascii="Arial"/>
                <w:w w:val="105"/>
                <w:sz w:val="16"/>
              </w:rPr>
              <w:t>in</w:t>
            </w:r>
            <w:r w:rsidRPr="00EB2BD8">
              <w:rPr>
                <w:rFonts w:ascii="Arial"/>
                <w:spacing w:val="-11"/>
                <w:w w:val="105"/>
                <w:sz w:val="16"/>
              </w:rPr>
              <w:t xml:space="preserve"> </w:t>
            </w:r>
            <w:r w:rsidRPr="00EB2BD8">
              <w:rPr>
                <w:rFonts w:ascii="Arial"/>
                <w:spacing w:val="-2"/>
                <w:w w:val="105"/>
                <w:sz w:val="16"/>
              </w:rPr>
              <w:t>payables</w:t>
            </w:r>
          </w:p>
        </w:tc>
        <w:tc>
          <w:tcPr>
            <w:tcW w:w="1400" w:type="dxa"/>
            <w:shd w:val="clear" w:color="auto" w:fill="DEEAF6"/>
          </w:tcPr>
          <w:p w14:paraId="13359CC2" w14:textId="77777777" w:rsidR="00084F36" w:rsidRPr="00EB2BD8" w:rsidRDefault="00EB2BD8">
            <w:pPr>
              <w:pStyle w:val="TableParagraph"/>
              <w:spacing w:before="63"/>
              <w:ind w:right="96"/>
              <w:jc w:val="right"/>
              <w:rPr>
                <w:rFonts w:ascii="Arial"/>
                <w:sz w:val="16"/>
              </w:rPr>
            </w:pPr>
            <w:r w:rsidRPr="00EB2BD8">
              <w:rPr>
                <w:rFonts w:ascii="Arial"/>
                <w:spacing w:val="-2"/>
                <w:w w:val="105"/>
                <w:sz w:val="16"/>
              </w:rPr>
              <w:t>5,400</w:t>
            </w:r>
          </w:p>
        </w:tc>
        <w:tc>
          <w:tcPr>
            <w:tcW w:w="1513" w:type="dxa"/>
            <w:shd w:val="clear" w:color="auto" w:fill="FFFFFF"/>
          </w:tcPr>
          <w:p w14:paraId="0ACB86A3" w14:textId="77777777" w:rsidR="00084F36" w:rsidRPr="00EB2BD8" w:rsidRDefault="00EB2BD8">
            <w:pPr>
              <w:pStyle w:val="TableParagraph"/>
              <w:spacing w:before="69"/>
              <w:ind w:right="97"/>
              <w:jc w:val="right"/>
              <w:rPr>
                <w:rFonts w:ascii="Arial"/>
                <w:sz w:val="16"/>
              </w:rPr>
            </w:pPr>
            <w:r w:rsidRPr="00EB2BD8">
              <w:rPr>
                <w:rFonts w:ascii="Arial"/>
                <w:spacing w:val="-2"/>
                <w:w w:val="105"/>
                <w:sz w:val="16"/>
              </w:rPr>
              <w:t>(6,719)</w:t>
            </w:r>
          </w:p>
        </w:tc>
      </w:tr>
      <w:tr w:rsidR="00EB2BD8" w:rsidRPr="00EB2BD8" w14:paraId="397BC613" w14:textId="77777777">
        <w:trPr>
          <w:trHeight w:val="314"/>
        </w:trPr>
        <w:tc>
          <w:tcPr>
            <w:tcW w:w="6214" w:type="dxa"/>
            <w:tcBorders>
              <w:bottom w:val="single" w:sz="12" w:space="0" w:color="000000"/>
            </w:tcBorders>
            <w:shd w:val="clear" w:color="auto" w:fill="FFFFFF"/>
          </w:tcPr>
          <w:p w14:paraId="2FA85347" w14:textId="77777777" w:rsidR="00084F36" w:rsidRPr="00EB2BD8" w:rsidRDefault="00EB2BD8">
            <w:pPr>
              <w:pStyle w:val="TableParagraph"/>
              <w:spacing w:before="67"/>
              <w:ind w:left="105"/>
              <w:rPr>
                <w:rFonts w:ascii="Arial"/>
                <w:sz w:val="16"/>
              </w:rPr>
            </w:pPr>
            <w:r w:rsidRPr="00EB2BD8">
              <w:rPr>
                <w:rFonts w:ascii="Arial"/>
                <w:w w:val="105"/>
                <w:sz w:val="16"/>
              </w:rPr>
              <w:t>Increase/(decrease)</w:t>
            </w:r>
            <w:r w:rsidRPr="00EB2BD8">
              <w:rPr>
                <w:rFonts w:ascii="Arial"/>
                <w:spacing w:val="-12"/>
                <w:w w:val="105"/>
                <w:sz w:val="16"/>
              </w:rPr>
              <w:t xml:space="preserve"> </w:t>
            </w:r>
            <w:r w:rsidRPr="00EB2BD8">
              <w:rPr>
                <w:rFonts w:ascii="Arial"/>
                <w:w w:val="105"/>
                <w:sz w:val="16"/>
              </w:rPr>
              <w:t>in</w:t>
            </w:r>
            <w:r w:rsidRPr="00EB2BD8">
              <w:rPr>
                <w:rFonts w:ascii="Arial"/>
                <w:spacing w:val="-11"/>
                <w:w w:val="105"/>
                <w:sz w:val="16"/>
              </w:rPr>
              <w:t xml:space="preserve"> </w:t>
            </w:r>
            <w:r w:rsidRPr="00EB2BD8">
              <w:rPr>
                <w:rFonts w:ascii="Arial"/>
                <w:spacing w:val="-2"/>
                <w:w w:val="105"/>
                <w:sz w:val="16"/>
              </w:rPr>
              <w:t>provisions</w:t>
            </w:r>
          </w:p>
        </w:tc>
        <w:tc>
          <w:tcPr>
            <w:tcW w:w="1400" w:type="dxa"/>
            <w:tcBorders>
              <w:bottom w:val="single" w:sz="12" w:space="0" w:color="000000"/>
            </w:tcBorders>
            <w:shd w:val="clear" w:color="auto" w:fill="DEEAF6"/>
          </w:tcPr>
          <w:p w14:paraId="678F8D54" w14:textId="77777777" w:rsidR="00084F36" w:rsidRPr="00EB2BD8" w:rsidRDefault="00EB2BD8">
            <w:pPr>
              <w:pStyle w:val="TableParagraph"/>
              <w:spacing w:before="67"/>
              <w:ind w:right="95"/>
              <w:jc w:val="right"/>
              <w:rPr>
                <w:rFonts w:ascii="Arial"/>
                <w:sz w:val="16"/>
              </w:rPr>
            </w:pPr>
            <w:r w:rsidRPr="00EB2BD8">
              <w:rPr>
                <w:rFonts w:ascii="Arial"/>
                <w:spacing w:val="-5"/>
                <w:w w:val="105"/>
                <w:sz w:val="16"/>
              </w:rPr>
              <w:t>567</w:t>
            </w:r>
          </w:p>
        </w:tc>
        <w:tc>
          <w:tcPr>
            <w:tcW w:w="1513" w:type="dxa"/>
            <w:tcBorders>
              <w:bottom w:val="single" w:sz="12" w:space="0" w:color="000000"/>
            </w:tcBorders>
            <w:shd w:val="clear" w:color="auto" w:fill="FFFFFF"/>
          </w:tcPr>
          <w:p w14:paraId="092DB4BF" w14:textId="77777777" w:rsidR="00084F36" w:rsidRPr="00EB2BD8" w:rsidRDefault="00EB2BD8">
            <w:pPr>
              <w:pStyle w:val="TableParagraph"/>
              <w:spacing w:before="67"/>
              <w:ind w:right="95"/>
              <w:jc w:val="right"/>
              <w:rPr>
                <w:rFonts w:ascii="Arial"/>
                <w:sz w:val="16"/>
              </w:rPr>
            </w:pPr>
            <w:r w:rsidRPr="00EB2BD8">
              <w:rPr>
                <w:rFonts w:ascii="Arial"/>
                <w:spacing w:val="-5"/>
                <w:w w:val="105"/>
                <w:sz w:val="16"/>
              </w:rPr>
              <w:t>545</w:t>
            </w:r>
          </w:p>
        </w:tc>
      </w:tr>
      <w:tr w:rsidR="00EB2BD8" w:rsidRPr="00EB2BD8" w14:paraId="18924C1B" w14:textId="77777777">
        <w:trPr>
          <w:trHeight w:val="286"/>
        </w:trPr>
        <w:tc>
          <w:tcPr>
            <w:tcW w:w="6214" w:type="dxa"/>
            <w:tcBorders>
              <w:top w:val="single" w:sz="12" w:space="0" w:color="000000"/>
              <w:bottom w:val="single" w:sz="12" w:space="0" w:color="000000"/>
            </w:tcBorders>
            <w:shd w:val="clear" w:color="auto" w:fill="FFFFFF"/>
          </w:tcPr>
          <w:p w14:paraId="5C6A93B4" w14:textId="77777777" w:rsidR="00084F36" w:rsidRPr="00EB2BD8" w:rsidRDefault="00EB2BD8">
            <w:pPr>
              <w:pStyle w:val="TableParagraph"/>
              <w:spacing w:before="53"/>
              <w:ind w:left="105"/>
              <w:rPr>
                <w:rFonts w:ascii="Arial"/>
                <w:b/>
                <w:sz w:val="16"/>
              </w:rPr>
            </w:pPr>
            <w:r w:rsidRPr="00EB2BD8">
              <w:rPr>
                <w:rFonts w:ascii="Arial"/>
                <w:b/>
                <w:w w:val="105"/>
                <w:sz w:val="16"/>
              </w:rPr>
              <w:t>Net</w:t>
            </w:r>
            <w:r w:rsidRPr="00EB2BD8">
              <w:rPr>
                <w:rFonts w:ascii="Arial"/>
                <w:b/>
                <w:spacing w:val="-7"/>
                <w:w w:val="105"/>
                <w:sz w:val="16"/>
              </w:rPr>
              <w:t xml:space="preserve"> </w:t>
            </w:r>
            <w:r w:rsidRPr="00EB2BD8">
              <w:rPr>
                <w:rFonts w:ascii="Arial"/>
                <w:b/>
                <w:w w:val="105"/>
                <w:sz w:val="16"/>
              </w:rPr>
              <w:t>cash</w:t>
            </w:r>
            <w:r w:rsidRPr="00EB2BD8">
              <w:rPr>
                <w:rFonts w:ascii="Arial"/>
                <w:b/>
                <w:spacing w:val="-6"/>
                <w:w w:val="105"/>
                <w:sz w:val="16"/>
              </w:rPr>
              <w:t xml:space="preserve"> </w:t>
            </w:r>
            <w:r w:rsidRPr="00EB2BD8">
              <w:rPr>
                <w:rFonts w:ascii="Arial"/>
                <w:b/>
                <w:w w:val="105"/>
                <w:sz w:val="16"/>
              </w:rPr>
              <w:t>flows</w:t>
            </w:r>
            <w:r w:rsidRPr="00EB2BD8">
              <w:rPr>
                <w:rFonts w:ascii="Arial"/>
                <w:b/>
                <w:spacing w:val="-6"/>
                <w:w w:val="105"/>
                <w:sz w:val="16"/>
              </w:rPr>
              <w:t xml:space="preserve"> </w:t>
            </w:r>
            <w:r w:rsidRPr="00EB2BD8">
              <w:rPr>
                <w:rFonts w:ascii="Arial"/>
                <w:b/>
                <w:w w:val="105"/>
                <w:sz w:val="16"/>
              </w:rPr>
              <w:t>from</w:t>
            </w:r>
            <w:r w:rsidRPr="00EB2BD8">
              <w:rPr>
                <w:rFonts w:ascii="Arial"/>
                <w:b/>
                <w:spacing w:val="-7"/>
                <w:w w:val="105"/>
                <w:sz w:val="16"/>
              </w:rPr>
              <w:t xml:space="preserve"> </w:t>
            </w:r>
            <w:r w:rsidRPr="00EB2BD8">
              <w:rPr>
                <w:rFonts w:ascii="Arial"/>
                <w:b/>
                <w:w w:val="105"/>
                <w:sz w:val="16"/>
              </w:rPr>
              <w:t>operating</w:t>
            </w:r>
            <w:r w:rsidRPr="00EB2BD8">
              <w:rPr>
                <w:rFonts w:ascii="Arial"/>
                <w:b/>
                <w:spacing w:val="-6"/>
                <w:w w:val="105"/>
                <w:sz w:val="16"/>
              </w:rPr>
              <w:t xml:space="preserve"> </w:t>
            </w:r>
            <w:r w:rsidRPr="00EB2BD8">
              <w:rPr>
                <w:rFonts w:ascii="Arial"/>
                <w:b/>
                <w:spacing w:val="-2"/>
                <w:w w:val="105"/>
                <w:sz w:val="16"/>
              </w:rPr>
              <w:t>activities</w:t>
            </w:r>
          </w:p>
        </w:tc>
        <w:tc>
          <w:tcPr>
            <w:tcW w:w="1400" w:type="dxa"/>
            <w:tcBorders>
              <w:top w:val="single" w:sz="12" w:space="0" w:color="000000"/>
              <w:bottom w:val="single" w:sz="12" w:space="0" w:color="000000"/>
            </w:tcBorders>
            <w:shd w:val="clear" w:color="auto" w:fill="DEEAF6"/>
          </w:tcPr>
          <w:p w14:paraId="7FB14132" w14:textId="77777777" w:rsidR="00084F36" w:rsidRPr="00EB2BD8" w:rsidRDefault="00EB2BD8">
            <w:pPr>
              <w:pStyle w:val="TableParagraph"/>
              <w:spacing w:before="53"/>
              <w:ind w:right="95"/>
              <w:jc w:val="right"/>
              <w:rPr>
                <w:rFonts w:ascii="Arial"/>
                <w:b/>
                <w:sz w:val="16"/>
              </w:rPr>
            </w:pPr>
            <w:r w:rsidRPr="00EB2BD8">
              <w:rPr>
                <w:rFonts w:ascii="Arial"/>
                <w:b/>
                <w:spacing w:val="-2"/>
                <w:w w:val="105"/>
                <w:sz w:val="16"/>
              </w:rPr>
              <w:t>24,771</w:t>
            </w:r>
          </w:p>
        </w:tc>
        <w:tc>
          <w:tcPr>
            <w:tcW w:w="1513" w:type="dxa"/>
            <w:tcBorders>
              <w:top w:val="single" w:sz="12" w:space="0" w:color="000000"/>
              <w:bottom w:val="single" w:sz="12" w:space="0" w:color="000000"/>
            </w:tcBorders>
            <w:shd w:val="clear" w:color="auto" w:fill="FFFFFF"/>
          </w:tcPr>
          <w:p w14:paraId="4E1F0F14" w14:textId="77777777" w:rsidR="00084F36" w:rsidRPr="00EB2BD8" w:rsidRDefault="00EB2BD8">
            <w:pPr>
              <w:pStyle w:val="TableParagraph"/>
              <w:spacing w:before="53"/>
              <w:ind w:right="97"/>
              <w:jc w:val="right"/>
              <w:rPr>
                <w:rFonts w:ascii="Arial"/>
                <w:b/>
                <w:sz w:val="16"/>
              </w:rPr>
            </w:pPr>
            <w:r w:rsidRPr="00EB2BD8">
              <w:rPr>
                <w:rFonts w:ascii="Arial"/>
                <w:b/>
                <w:spacing w:val="-2"/>
                <w:w w:val="105"/>
                <w:sz w:val="16"/>
              </w:rPr>
              <w:t>(7,797)</w:t>
            </w:r>
          </w:p>
        </w:tc>
      </w:tr>
    </w:tbl>
    <w:p w14:paraId="3F7E797B" w14:textId="77777777" w:rsidR="00084F36" w:rsidRPr="00EB2BD8" w:rsidRDefault="00084F36">
      <w:pPr>
        <w:pStyle w:val="BodyText"/>
        <w:rPr>
          <w:rFonts w:ascii="Arial"/>
        </w:rPr>
      </w:pPr>
    </w:p>
    <w:p w14:paraId="72073D12" w14:textId="77777777" w:rsidR="00084F36" w:rsidRPr="00EB2BD8" w:rsidRDefault="00084F36">
      <w:pPr>
        <w:pStyle w:val="BodyText"/>
        <w:rPr>
          <w:rFonts w:ascii="Arial"/>
        </w:rPr>
      </w:pPr>
    </w:p>
    <w:p w14:paraId="1ABED021" w14:textId="77777777" w:rsidR="00084F36" w:rsidRPr="00EB2BD8" w:rsidRDefault="00084F36">
      <w:pPr>
        <w:pStyle w:val="BodyText"/>
        <w:rPr>
          <w:rFonts w:ascii="Arial"/>
        </w:rPr>
      </w:pPr>
    </w:p>
    <w:p w14:paraId="25434DBE" w14:textId="77777777" w:rsidR="00084F36" w:rsidRPr="00EB2BD8" w:rsidRDefault="00084F36">
      <w:pPr>
        <w:pStyle w:val="BodyText"/>
        <w:spacing w:before="9"/>
        <w:rPr>
          <w:rFonts w:ascii="Arial"/>
          <w:sz w:val="26"/>
        </w:rPr>
      </w:pPr>
    </w:p>
    <w:p w14:paraId="220A3E01" w14:textId="57E79121" w:rsidR="00084F36" w:rsidRPr="00EB2BD8" w:rsidRDefault="00CC09EC" w:rsidP="00CC09EC">
      <w:pPr>
        <w:pStyle w:val="Heading2"/>
      </w:pPr>
      <w:r>
        <w:t xml:space="preserve">  </w:t>
      </w:r>
      <w:bookmarkStart w:id="325" w:name="_Toc150762627"/>
      <w:r w:rsidR="00EB2BD8" w:rsidRPr="00EB2BD8">
        <w:t>Financing</w:t>
      </w:r>
      <w:r w:rsidR="00EB2BD8" w:rsidRPr="00EB2BD8">
        <w:rPr>
          <w:spacing w:val="19"/>
        </w:rPr>
        <w:t xml:space="preserve"> </w:t>
      </w:r>
      <w:r w:rsidR="00EB2BD8" w:rsidRPr="00EB2BD8">
        <w:rPr>
          <w:spacing w:val="-2"/>
        </w:rPr>
        <w:t>facilities</w:t>
      </w:r>
      <w:bookmarkEnd w:id="325"/>
    </w:p>
    <w:p w14:paraId="7DF966E1" w14:textId="77777777" w:rsidR="00084F36" w:rsidRPr="00EB2BD8" w:rsidRDefault="00084F36">
      <w:pPr>
        <w:pStyle w:val="BodyText"/>
        <w:spacing w:before="10"/>
        <w:rPr>
          <w:rFonts w:ascii="Arial"/>
          <w:b/>
        </w:rPr>
      </w:pPr>
    </w:p>
    <w:p w14:paraId="63ECC09E" w14:textId="77777777" w:rsidR="00084F36" w:rsidRPr="00EB2BD8" w:rsidRDefault="00EB2BD8">
      <w:pPr>
        <w:spacing w:after="56"/>
        <w:ind w:right="1852"/>
        <w:jc w:val="right"/>
        <w:rPr>
          <w:rFonts w:ascii="Arial" w:hAnsi="Arial"/>
          <w:sz w:val="16"/>
        </w:rPr>
      </w:pPr>
      <w:r w:rsidRPr="00EB2BD8">
        <w:rPr>
          <w:rFonts w:ascii="Arial" w:hAnsi="Arial"/>
          <w:spacing w:val="-2"/>
          <w:w w:val="105"/>
          <w:sz w:val="16"/>
        </w:rPr>
        <w:t>($’000)</w:t>
      </w:r>
    </w:p>
    <w:tbl>
      <w:tblPr>
        <w:tblW w:w="0" w:type="auto"/>
        <w:tblInd w:w="1036" w:type="dxa"/>
        <w:tblLayout w:type="fixed"/>
        <w:tblCellMar>
          <w:left w:w="0" w:type="dxa"/>
          <w:right w:w="0" w:type="dxa"/>
        </w:tblCellMar>
        <w:tblLook w:val="01E0" w:firstRow="1" w:lastRow="1" w:firstColumn="1" w:lastColumn="1" w:noHBand="0" w:noVBand="0"/>
      </w:tblPr>
      <w:tblGrid>
        <w:gridCol w:w="6214"/>
        <w:gridCol w:w="1400"/>
        <w:gridCol w:w="1513"/>
      </w:tblGrid>
      <w:tr w:rsidR="00EB2BD8" w:rsidRPr="00EB2BD8" w14:paraId="4BEA22E9" w14:textId="77777777">
        <w:trPr>
          <w:trHeight w:val="306"/>
        </w:trPr>
        <w:tc>
          <w:tcPr>
            <w:tcW w:w="7614" w:type="dxa"/>
            <w:gridSpan w:val="2"/>
            <w:tcBorders>
              <w:top w:val="single" w:sz="4" w:space="0" w:color="0098FF"/>
              <w:left w:val="single" w:sz="4" w:space="0" w:color="0098FF"/>
              <w:bottom w:val="single" w:sz="4" w:space="0" w:color="0098FF"/>
            </w:tcBorders>
            <w:shd w:val="clear" w:color="auto" w:fill="0070C0"/>
          </w:tcPr>
          <w:p w14:paraId="0CA66969" w14:textId="77777777" w:rsidR="00084F36" w:rsidRPr="00EB2BD8" w:rsidRDefault="00EB2BD8">
            <w:pPr>
              <w:pStyle w:val="TableParagraph"/>
              <w:spacing w:before="63"/>
              <w:ind w:right="95"/>
              <w:jc w:val="right"/>
              <w:rPr>
                <w:rFonts w:ascii="Arial"/>
                <w:b/>
                <w:sz w:val="16"/>
              </w:rPr>
            </w:pPr>
            <w:r w:rsidRPr="00EB2BD8">
              <w:rPr>
                <w:rFonts w:ascii="Arial"/>
                <w:b/>
                <w:spacing w:val="-4"/>
                <w:w w:val="105"/>
                <w:sz w:val="16"/>
              </w:rPr>
              <w:t>2023</w:t>
            </w:r>
          </w:p>
        </w:tc>
        <w:tc>
          <w:tcPr>
            <w:tcW w:w="1513" w:type="dxa"/>
            <w:tcBorders>
              <w:top w:val="single" w:sz="4" w:space="0" w:color="0098FF"/>
              <w:bottom w:val="single" w:sz="4" w:space="0" w:color="0098FF"/>
              <w:right w:val="single" w:sz="4" w:space="0" w:color="0098FF"/>
            </w:tcBorders>
            <w:shd w:val="clear" w:color="auto" w:fill="0070C0"/>
          </w:tcPr>
          <w:p w14:paraId="672685DB" w14:textId="77777777" w:rsidR="00084F36" w:rsidRPr="00EB2BD8" w:rsidRDefault="00EB2BD8">
            <w:pPr>
              <w:pStyle w:val="TableParagraph"/>
              <w:spacing w:before="63"/>
              <w:ind w:right="91"/>
              <w:jc w:val="right"/>
              <w:rPr>
                <w:rFonts w:ascii="Arial"/>
                <w:b/>
                <w:sz w:val="16"/>
              </w:rPr>
            </w:pPr>
            <w:r w:rsidRPr="00EB2BD8">
              <w:rPr>
                <w:rFonts w:ascii="Arial"/>
                <w:b/>
                <w:spacing w:val="-4"/>
                <w:w w:val="105"/>
                <w:sz w:val="16"/>
              </w:rPr>
              <w:t>2022</w:t>
            </w:r>
          </w:p>
        </w:tc>
      </w:tr>
      <w:tr w:rsidR="00EB2BD8" w:rsidRPr="00EB2BD8" w14:paraId="5D9BB381" w14:textId="77777777">
        <w:trPr>
          <w:trHeight w:val="312"/>
        </w:trPr>
        <w:tc>
          <w:tcPr>
            <w:tcW w:w="6214" w:type="dxa"/>
            <w:tcBorders>
              <w:top w:val="single" w:sz="4" w:space="0" w:color="0098FF"/>
            </w:tcBorders>
            <w:shd w:val="clear" w:color="auto" w:fill="FFFFFF"/>
          </w:tcPr>
          <w:p w14:paraId="704A2440" w14:textId="77777777" w:rsidR="00084F36" w:rsidRPr="00EB2BD8" w:rsidRDefault="00EB2BD8">
            <w:pPr>
              <w:pStyle w:val="TableParagraph"/>
              <w:spacing w:before="64"/>
              <w:ind w:left="105"/>
              <w:rPr>
                <w:rFonts w:ascii="Arial"/>
                <w:b/>
                <w:sz w:val="16"/>
              </w:rPr>
            </w:pPr>
            <w:r w:rsidRPr="00EB2BD8">
              <w:rPr>
                <w:rFonts w:ascii="Arial"/>
                <w:b/>
                <w:w w:val="105"/>
                <w:sz w:val="16"/>
              </w:rPr>
              <w:t>Credit</w:t>
            </w:r>
            <w:r w:rsidRPr="00EB2BD8">
              <w:rPr>
                <w:rFonts w:ascii="Arial"/>
                <w:b/>
                <w:spacing w:val="-8"/>
                <w:w w:val="105"/>
                <w:sz w:val="16"/>
              </w:rPr>
              <w:t xml:space="preserve"> </w:t>
            </w:r>
            <w:r w:rsidRPr="00EB2BD8">
              <w:rPr>
                <w:rFonts w:ascii="Arial"/>
                <w:b/>
                <w:w w:val="105"/>
                <w:sz w:val="16"/>
              </w:rPr>
              <w:t>card</w:t>
            </w:r>
            <w:r w:rsidRPr="00EB2BD8">
              <w:rPr>
                <w:rFonts w:ascii="Arial"/>
                <w:b/>
                <w:spacing w:val="-7"/>
                <w:w w:val="105"/>
                <w:sz w:val="16"/>
              </w:rPr>
              <w:t xml:space="preserve"> </w:t>
            </w:r>
            <w:r w:rsidRPr="00EB2BD8">
              <w:rPr>
                <w:rFonts w:ascii="Arial"/>
                <w:b/>
                <w:w w:val="105"/>
                <w:sz w:val="16"/>
              </w:rPr>
              <w:t>facility,</w:t>
            </w:r>
            <w:r w:rsidRPr="00EB2BD8">
              <w:rPr>
                <w:rFonts w:ascii="Arial"/>
                <w:b/>
                <w:spacing w:val="-8"/>
                <w:w w:val="105"/>
                <w:sz w:val="16"/>
              </w:rPr>
              <w:t xml:space="preserve"> </w:t>
            </w:r>
            <w:r w:rsidRPr="00EB2BD8">
              <w:rPr>
                <w:rFonts w:ascii="Arial"/>
                <w:b/>
                <w:w w:val="105"/>
                <w:sz w:val="16"/>
              </w:rPr>
              <w:t>reviewed</w:t>
            </w:r>
            <w:r w:rsidRPr="00EB2BD8">
              <w:rPr>
                <w:rFonts w:ascii="Arial"/>
                <w:b/>
                <w:spacing w:val="-7"/>
                <w:w w:val="105"/>
                <w:sz w:val="16"/>
              </w:rPr>
              <w:t xml:space="preserve"> </w:t>
            </w:r>
            <w:r w:rsidRPr="00EB2BD8">
              <w:rPr>
                <w:rFonts w:ascii="Arial"/>
                <w:b/>
                <w:w w:val="105"/>
                <w:sz w:val="16"/>
              </w:rPr>
              <w:t>annually</w:t>
            </w:r>
            <w:r w:rsidRPr="00EB2BD8">
              <w:rPr>
                <w:rFonts w:ascii="Arial"/>
                <w:b/>
                <w:spacing w:val="-8"/>
                <w:w w:val="105"/>
                <w:sz w:val="16"/>
              </w:rPr>
              <w:t xml:space="preserve"> </w:t>
            </w:r>
            <w:r w:rsidRPr="00EB2BD8">
              <w:rPr>
                <w:rFonts w:ascii="Arial"/>
                <w:b/>
                <w:w w:val="105"/>
                <w:sz w:val="16"/>
              </w:rPr>
              <w:t>and</w:t>
            </w:r>
            <w:r w:rsidRPr="00EB2BD8">
              <w:rPr>
                <w:rFonts w:ascii="Arial"/>
                <w:b/>
                <w:spacing w:val="-6"/>
                <w:w w:val="105"/>
                <w:sz w:val="16"/>
              </w:rPr>
              <w:t xml:space="preserve"> </w:t>
            </w:r>
            <w:r w:rsidRPr="00EB2BD8">
              <w:rPr>
                <w:rFonts w:ascii="Arial"/>
                <w:b/>
                <w:w w:val="105"/>
                <w:sz w:val="16"/>
              </w:rPr>
              <w:t>payable</w:t>
            </w:r>
            <w:r w:rsidRPr="00EB2BD8">
              <w:rPr>
                <w:rFonts w:ascii="Arial"/>
                <w:b/>
                <w:spacing w:val="-8"/>
                <w:w w:val="105"/>
                <w:sz w:val="16"/>
              </w:rPr>
              <w:t xml:space="preserve"> </w:t>
            </w:r>
            <w:r w:rsidRPr="00EB2BD8">
              <w:rPr>
                <w:rFonts w:ascii="Arial"/>
                <w:b/>
                <w:w w:val="105"/>
                <w:sz w:val="16"/>
              </w:rPr>
              <w:t>at</w:t>
            </w:r>
            <w:r w:rsidRPr="00EB2BD8">
              <w:rPr>
                <w:rFonts w:ascii="Arial"/>
                <w:b/>
                <w:spacing w:val="-7"/>
                <w:w w:val="105"/>
                <w:sz w:val="16"/>
              </w:rPr>
              <w:t xml:space="preserve"> </w:t>
            </w:r>
            <w:r w:rsidRPr="00EB2BD8">
              <w:rPr>
                <w:rFonts w:ascii="Arial"/>
                <w:b/>
                <w:spacing w:val="-4"/>
                <w:w w:val="105"/>
                <w:sz w:val="16"/>
              </w:rPr>
              <w:t>call</w:t>
            </w:r>
          </w:p>
        </w:tc>
        <w:tc>
          <w:tcPr>
            <w:tcW w:w="1400" w:type="dxa"/>
            <w:tcBorders>
              <w:top w:val="single" w:sz="4" w:space="0" w:color="0098FF"/>
            </w:tcBorders>
            <w:shd w:val="clear" w:color="auto" w:fill="DEEAF6"/>
          </w:tcPr>
          <w:p w14:paraId="675DA2C2" w14:textId="77777777" w:rsidR="00084F36" w:rsidRPr="00EB2BD8" w:rsidRDefault="00084F36">
            <w:pPr>
              <w:pStyle w:val="TableParagraph"/>
              <w:rPr>
                <w:rFonts w:ascii="Times New Roman"/>
                <w:sz w:val="16"/>
              </w:rPr>
            </w:pPr>
          </w:p>
        </w:tc>
        <w:tc>
          <w:tcPr>
            <w:tcW w:w="1513" w:type="dxa"/>
            <w:tcBorders>
              <w:top w:val="single" w:sz="4" w:space="0" w:color="0098FF"/>
            </w:tcBorders>
            <w:shd w:val="clear" w:color="auto" w:fill="FFFFFF"/>
          </w:tcPr>
          <w:p w14:paraId="0E39E1E4" w14:textId="77777777" w:rsidR="00084F36" w:rsidRPr="00EB2BD8" w:rsidRDefault="00084F36">
            <w:pPr>
              <w:pStyle w:val="TableParagraph"/>
              <w:rPr>
                <w:rFonts w:ascii="Times New Roman"/>
                <w:sz w:val="16"/>
              </w:rPr>
            </w:pPr>
          </w:p>
        </w:tc>
      </w:tr>
      <w:tr w:rsidR="00EB2BD8" w:rsidRPr="00EB2BD8" w14:paraId="658A3790" w14:textId="77777777">
        <w:trPr>
          <w:trHeight w:val="314"/>
        </w:trPr>
        <w:tc>
          <w:tcPr>
            <w:tcW w:w="6214" w:type="dxa"/>
            <w:shd w:val="clear" w:color="auto" w:fill="FFFFFF"/>
          </w:tcPr>
          <w:p w14:paraId="3942473C" w14:textId="77777777" w:rsidR="00084F36" w:rsidRPr="00EB2BD8" w:rsidRDefault="00EB2BD8">
            <w:pPr>
              <w:pStyle w:val="TableParagraph"/>
              <w:spacing w:before="64"/>
              <w:ind w:left="105"/>
              <w:rPr>
                <w:rFonts w:ascii="Arial"/>
                <w:sz w:val="16"/>
              </w:rPr>
            </w:pPr>
            <w:r w:rsidRPr="00EB2BD8">
              <w:rPr>
                <w:rFonts w:ascii="Arial"/>
                <w:w w:val="105"/>
                <w:sz w:val="16"/>
              </w:rPr>
              <w:t>Amount</w:t>
            </w:r>
            <w:r w:rsidRPr="00EB2BD8">
              <w:rPr>
                <w:rFonts w:ascii="Arial"/>
                <w:spacing w:val="-10"/>
                <w:w w:val="105"/>
                <w:sz w:val="16"/>
              </w:rPr>
              <w:t xml:space="preserve"> </w:t>
            </w:r>
            <w:r w:rsidRPr="00EB2BD8">
              <w:rPr>
                <w:rFonts w:ascii="Arial"/>
                <w:spacing w:val="-4"/>
                <w:w w:val="105"/>
                <w:sz w:val="16"/>
              </w:rPr>
              <w:t>used</w:t>
            </w:r>
          </w:p>
        </w:tc>
        <w:tc>
          <w:tcPr>
            <w:tcW w:w="1400" w:type="dxa"/>
            <w:shd w:val="clear" w:color="auto" w:fill="DEEAF6"/>
          </w:tcPr>
          <w:p w14:paraId="3EB3ADCD" w14:textId="77777777" w:rsidR="00084F36" w:rsidRPr="00EB2BD8" w:rsidRDefault="00EB2BD8">
            <w:pPr>
              <w:pStyle w:val="TableParagraph"/>
              <w:spacing w:before="64"/>
              <w:ind w:right="96"/>
              <w:jc w:val="right"/>
              <w:rPr>
                <w:rFonts w:ascii="Arial"/>
                <w:sz w:val="16"/>
              </w:rPr>
            </w:pPr>
            <w:r w:rsidRPr="00EB2BD8">
              <w:rPr>
                <w:rFonts w:ascii="Arial"/>
                <w:spacing w:val="-5"/>
                <w:w w:val="105"/>
                <w:sz w:val="16"/>
              </w:rPr>
              <w:t>22</w:t>
            </w:r>
          </w:p>
        </w:tc>
        <w:tc>
          <w:tcPr>
            <w:tcW w:w="1513" w:type="dxa"/>
            <w:shd w:val="clear" w:color="auto" w:fill="FFFFFF"/>
          </w:tcPr>
          <w:p w14:paraId="0E1F659F" w14:textId="77777777" w:rsidR="00084F36" w:rsidRPr="00EB2BD8" w:rsidRDefault="00EB2BD8">
            <w:pPr>
              <w:pStyle w:val="TableParagraph"/>
              <w:spacing w:before="64"/>
              <w:ind w:right="95"/>
              <w:jc w:val="right"/>
              <w:rPr>
                <w:rFonts w:ascii="Arial"/>
                <w:sz w:val="16"/>
              </w:rPr>
            </w:pPr>
            <w:r w:rsidRPr="00EB2BD8">
              <w:rPr>
                <w:rFonts w:ascii="Arial"/>
                <w:spacing w:val="-5"/>
                <w:w w:val="105"/>
                <w:sz w:val="16"/>
              </w:rPr>
              <w:t>10</w:t>
            </w:r>
          </w:p>
        </w:tc>
      </w:tr>
      <w:tr w:rsidR="00EB2BD8" w:rsidRPr="00EB2BD8" w14:paraId="4545482E" w14:textId="77777777">
        <w:trPr>
          <w:trHeight w:val="314"/>
        </w:trPr>
        <w:tc>
          <w:tcPr>
            <w:tcW w:w="6214" w:type="dxa"/>
            <w:tcBorders>
              <w:bottom w:val="single" w:sz="12" w:space="0" w:color="000000"/>
            </w:tcBorders>
            <w:shd w:val="clear" w:color="auto" w:fill="FFFFFF"/>
          </w:tcPr>
          <w:p w14:paraId="02826F00" w14:textId="77777777" w:rsidR="00084F36" w:rsidRPr="00EB2BD8" w:rsidRDefault="00EB2BD8">
            <w:pPr>
              <w:pStyle w:val="TableParagraph"/>
              <w:spacing w:before="66"/>
              <w:ind w:left="105"/>
              <w:rPr>
                <w:rFonts w:ascii="Arial"/>
                <w:sz w:val="16"/>
              </w:rPr>
            </w:pPr>
            <w:r w:rsidRPr="00EB2BD8">
              <w:rPr>
                <w:rFonts w:ascii="Arial"/>
                <w:w w:val="105"/>
                <w:sz w:val="16"/>
              </w:rPr>
              <w:t>Amount</w:t>
            </w:r>
            <w:r w:rsidRPr="00EB2BD8">
              <w:rPr>
                <w:rFonts w:ascii="Arial"/>
                <w:spacing w:val="-10"/>
                <w:w w:val="105"/>
                <w:sz w:val="16"/>
              </w:rPr>
              <w:t xml:space="preserve"> </w:t>
            </w:r>
            <w:r w:rsidRPr="00EB2BD8">
              <w:rPr>
                <w:rFonts w:ascii="Arial"/>
                <w:spacing w:val="-2"/>
                <w:w w:val="105"/>
                <w:sz w:val="16"/>
              </w:rPr>
              <w:t>unused</w:t>
            </w:r>
          </w:p>
        </w:tc>
        <w:tc>
          <w:tcPr>
            <w:tcW w:w="1400" w:type="dxa"/>
            <w:tcBorders>
              <w:bottom w:val="single" w:sz="12" w:space="0" w:color="000000"/>
            </w:tcBorders>
            <w:shd w:val="clear" w:color="auto" w:fill="DEEAF6"/>
          </w:tcPr>
          <w:p w14:paraId="60E904C0" w14:textId="77777777" w:rsidR="00084F36" w:rsidRPr="00EB2BD8" w:rsidRDefault="00EB2BD8">
            <w:pPr>
              <w:pStyle w:val="TableParagraph"/>
              <w:spacing w:before="66"/>
              <w:ind w:right="96"/>
              <w:jc w:val="right"/>
              <w:rPr>
                <w:rFonts w:ascii="Arial"/>
                <w:sz w:val="16"/>
              </w:rPr>
            </w:pPr>
            <w:r w:rsidRPr="00EB2BD8">
              <w:rPr>
                <w:rFonts w:ascii="Arial"/>
                <w:spacing w:val="-5"/>
                <w:w w:val="105"/>
                <w:sz w:val="16"/>
              </w:rPr>
              <w:t>58</w:t>
            </w:r>
          </w:p>
        </w:tc>
        <w:tc>
          <w:tcPr>
            <w:tcW w:w="1513" w:type="dxa"/>
            <w:tcBorders>
              <w:bottom w:val="single" w:sz="12" w:space="0" w:color="000000"/>
            </w:tcBorders>
            <w:shd w:val="clear" w:color="auto" w:fill="FFFFFF"/>
          </w:tcPr>
          <w:p w14:paraId="66682AF8" w14:textId="77777777" w:rsidR="00084F36" w:rsidRPr="00EB2BD8" w:rsidRDefault="00EB2BD8">
            <w:pPr>
              <w:pStyle w:val="TableParagraph"/>
              <w:spacing w:before="66"/>
              <w:ind w:right="96"/>
              <w:jc w:val="right"/>
              <w:rPr>
                <w:rFonts w:ascii="Arial"/>
                <w:sz w:val="16"/>
              </w:rPr>
            </w:pPr>
            <w:r w:rsidRPr="00EB2BD8">
              <w:rPr>
                <w:rFonts w:ascii="Arial"/>
                <w:spacing w:val="-5"/>
                <w:w w:val="105"/>
                <w:sz w:val="16"/>
              </w:rPr>
              <w:t>70</w:t>
            </w:r>
          </w:p>
        </w:tc>
      </w:tr>
      <w:tr w:rsidR="00EB2BD8" w:rsidRPr="00EB2BD8" w14:paraId="713ECCE3" w14:textId="77777777">
        <w:trPr>
          <w:trHeight w:val="286"/>
        </w:trPr>
        <w:tc>
          <w:tcPr>
            <w:tcW w:w="6214" w:type="dxa"/>
            <w:tcBorders>
              <w:top w:val="single" w:sz="12" w:space="0" w:color="000000"/>
              <w:bottom w:val="single" w:sz="12" w:space="0" w:color="000000"/>
            </w:tcBorders>
            <w:shd w:val="clear" w:color="auto" w:fill="FFFFFF"/>
          </w:tcPr>
          <w:p w14:paraId="0DEEEF9F" w14:textId="77777777" w:rsidR="00084F36" w:rsidRPr="00EB2BD8" w:rsidRDefault="00EB2BD8">
            <w:pPr>
              <w:pStyle w:val="TableParagraph"/>
              <w:spacing w:before="53"/>
              <w:ind w:left="105"/>
              <w:rPr>
                <w:rFonts w:ascii="Arial"/>
                <w:b/>
                <w:sz w:val="16"/>
              </w:rPr>
            </w:pPr>
            <w:r w:rsidRPr="00EB2BD8">
              <w:rPr>
                <w:rFonts w:ascii="Arial"/>
                <w:b/>
                <w:spacing w:val="-2"/>
                <w:w w:val="105"/>
                <w:sz w:val="16"/>
              </w:rPr>
              <w:t>Total</w:t>
            </w:r>
          </w:p>
        </w:tc>
        <w:tc>
          <w:tcPr>
            <w:tcW w:w="1400" w:type="dxa"/>
            <w:tcBorders>
              <w:top w:val="single" w:sz="12" w:space="0" w:color="000000"/>
              <w:bottom w:val="single" w:sz="12" w:space="0" w:color="000000"/>
            </w:tcBorders>
            <w:shd w:val="clear" w:color="auto" w:fill="DEEAF6"/>
          </w:tcPr>
          <w:p w14:paraId="226B5140" w14:textId="77777777" w:rsidR="00084F36" w:rsidRPr="00EB2BD8" w:rsidRDefault="00EB2BD8">
            <w:pPr>
              <w:pStyle w:val="TableParagraph"/>
              <w:spacing w:before="53"/>
              <w:ind w:right="96"/>
              <w:jc w:val="right"/>
              <w:rPr>
                <w:rFonts w:ascii="Arial"/>
                <w:b/>
                <w:sz w:val="16"/>
              </w:rPr>
            </w:pPr>
            <w:r w:rsidRPr="00EB2BD8">
              <w:rPr>
                <w:rFonts w:ascii="Arial"/>
                <w:b/>
                <w:spacing w:val="-5"/>
                <w:w w:val="105"/>
                <w:sz w:val="16"/>
              </w:rPr>
              <w:t>80</w:t>
            </w:r>
          </w:p>
        </w:tc>
        <w:tc>
          <w:tcPr>
            <w:tcW w:w="1513" w:type="dxa"/>
            <w:tcBorders>
              <w:top w:val="single" w:sz="12" w:space="0" w:color="000000"/>
              <w:bottom w:val="single" w:sz="12" w:space="0" w:color="000000"/>
            </w:tcBorders>
            <w:shd w:val="clear" w:color="auto" w:fill="FFFFFF"/>
          </w:tcPr>
          <w:p w14:paraId="0A18B75B" w14:textId="77777777" w:rsidR="00084F36" w:rsidRPr="00EB2BD8" w:rsidRDefault="00EB2BD8">
            <w:pPr>
              <w:pStyle w:val="TableParagraph"/>
              <w:spacing w:before="53"/>
              <w:ind w:right="96"/>
              <w:jc w:val="right"/>
              <w:rPr>
                <w:rFonts w:ascii="Arial"/>
                <w:b/>
                <w:sz w:val="16"/>
              </w:rPr>
            </w:pPr>
            <w:r w:rsidRPr="00EB2BD8">
              <w:rPr>
                <w:rFonts w:ascii="Arial"/>
                <w:b/>
                <w:spacing w:val="-5"/>
                <w:w w:val="105"/>
                <w:sz w:val="16"/>
              </w:rPr>
              <w:t>80</w:t>
            </w:r>
          </w:p>
        </w:tc>
      </w:tr>
    </w:tbl>
    <w:p w14:paraId="11470E76" w14:textId="77777777" w:rsidR="00084F36" w:rsidRPr="00EB2BD8" w:rsidRDefault="00084F36">
      <w:pPr>
        <w:pStyle w:val="BodyText"/>
        <w:rPr>
          <w:rFonts w:ascii="Arial"/>
        </w:rPr>
      </w:pPr>
    </w:p>
    <w:p w14:paraId="6E029137" w14:textId="77777777" w:rsidR="00084F36" w:rsidRPr="00EB2BD8" w:rsidRDefault="00084F36">
      <w:pPr>
        <w:pStyle w:val="BodyText"/>
        <w:rPr>
          <w:rFonts w:ascii="Arial"/>
        </w:rPr>
      </w:pPr>
    </w:p>
    <w:p w14:paraId="7389EEB4" w14:textId="77777777" w:rsidR="00084F36" w:rsidRPr="00EB2BD8" w:rsidRDefault="00084F36">
      <w:pPr>
        <w:pStyle w:val="BodyText"/>
        <w:rPr>
          <w:rFonts w:ascii="Arial"/>
        </w:rPr>
      </w:pPr>
    </w:p>
    <w:p w14:paraId="0D9755D2" w14:textId="77777777" w:rsidR="00084F36" w:rsidRPr="00EB2BD8" w:rsidRDefault="00084F36">
      <w:pPr>
        <w:pStyle w:val="BodyText"/>
        <w:rPr>
          <w:rFonts w:ascii="Arial"/>
        </w:rPr>
      </w:pPr>
    </w:p>
    <w:p w14:paraId="01C41875" w14:textId="77777777" w:rsidR="00084F36" w:rsidRPr="00EB2BD8" w:rsidRDefault="00084F36">
      <w:pPr>
        <w:pStyle w:val="BodyText"/>
        <w:rPr>
          <w:rFonts w:ascii="Arial"/>
        </w:rPr>
      </w:pPr>
    </w:p>
    <w:p w14:paraId="47358F4D" w14:textId="77777777" w:rsidR="00084F36" w:rsidRPr="00EB2BD8" w:rsidRDefault="00084F36">
      <w:pPr>
        <w:pStyle w:val="BodyText"/>
        <w:rPr>
          <w:rFonts w:ascii="Arial"/>
        </w:rPr>
      </w:pPr>
    </w:p>
    <w:p w14:paraId="6CC74606" w14:textId="77777777" w:rsidR="00084F36" w:rsidRPr="00EB2BD8" w:rsidRDefault="00084F36">
      <w:pPr>
        <w:pStyle w:val="BodyText"/>
        <w:spacing w:before="6"/>
        <w:rPr>
          <w:rFonts w:ascii="Arial"/>
          <w:sz w:val="15"/>
        </w:rPr>
      </w:pPr>
    </w:p>
    <w:p w14:paraId="74D03FA2" w14:textId="77777777" w:rsidR="00084F36" w:rsidRPr="00EB2BD8" w:rsidRDefault="00084F36">
      <w:pPr>
        <w:pStyle w:val="BodyText"/>
        <w:rPr>
          <w:sz w:val="20"/>
        </w:rPr>
      </w:pPr>
    </w:p>
    <w:p w14:paraId="742628ED" w14:textId="77777777" w:rsidR="00084F36" w:rsidRPr="00EB2BD8" w:rsidRDefault="00084F36">
      <w:pPr>
        <w:pStyle w:val="BodyText"/>
        <w:rPr>
          <w:sz w:val="20"/>
        </w:rPr>
      </w:pPr>
    </w:p>
    <w:p w14:paraId="76FD0EB2" w14:textId="4FA2B204" w:rsidR="00084F36" w:rsidRPr="00EB2BD8" w:rsidRDefault="0026165E">
      <w:pPr>
        <w:pStyle w:val="BodyText"/>
        <w:rPr>
          <w:sz w:val="20"/>
        </w:rPr>
      </w:pPr>
      <w:r>
        <w:rPr>
          <w:sz w:val="20"/>
        </w:rPr>
        <w:tab/>
      </w:r>
      <w:r>
        <w:rPr>
          <w:sz w:val="20"/>
        </w:rPr>
        <w:tab/>
      </w:r>
    </w:p>
    <w:p w14:paraId="6529B394" w14:textId="77777777" w:rsidR="00084F36" w:rsidRPr="00EB2BD8" w:rsidRDefault="00084F36">
      <w:pPr>
        <w:pStyle w:val="BodyText"/>
        <w:rPr>
          <w:sz w:val="20"/>
        </w:rPr>
      </w:pPr>
    </w:p>
    <w:p w14:paraId="0BDB2AC8" w14:textId="77777777" w:rsidR="00084F36" w:rsidRPr="00EB2BD8" w:rsidRDefault="00084F36">
      <w:pPr>
        <w:pStyle w:val="BodyText"/>
        <w:rPr>
          <w:sz w:val="20"/>
        </w:rPr>
      </w:pPr>
    </w:p>
    <w:p w14:paraId="7204F15A" w14:textId="77777777" w:rsidR="00084F36" w:rsidRPr="00EB2BD8" w:rsidRDefault="00084F36">
      <w:pPr>
        <w:pStyle w:val="BodyText"/>
        <w:spacing w:before="7"/>
        <w:rPr>
          <w:sz w:val="16"/>
        </w:rPr>
      </w:pPr>
    </w:p>
    <w:p w14:paraId="42ABFA76" w14:textId="77DC2D0F" w:rsidR="00084F36" w:rsidRPr="0026165E" w:rsidRDefault="0026165E" w:rsidP="0026165E">
      <w:pPr>
        <w:pStyle w:val="Heading2"/>
        <w:ind w:firstLine="213"/>
      </w:pPr>
      <w:bookmarkStart w:id="326" w:name="_Toc150762628"/>
      <w:r w:rsidRPr="0026165E">
        <w:t>6.4 Commitments</w:t>
      </w:r>
      <w:r w:rsidRPr="0026165E">
        <w:rPr>
          <w:spacing w:val="18"/>
        </w:rPr>
        <w:t xml:space="preserve"> </w:t>
      </w:r>
      <w:r w:rsidRPr="0026165E">
        <w:t>for</w:t>
      </w:r>
      <w:r w:rsidRPr="0026165E">
        <w:rPr>
          <w:spacing w:val="18"/>
        </w:rPr>
        <w:t xml:space="preserve"> </w:t>
      </w:r>
      <w:r w:rsidRPr="0026165E">
        <w:rPr>
          <w:spacing w:val="-2"/>
        </w:rPr>
        <w:t>expenditure</w:t>
      </w:r>
      <w:bookmarkEnd w:id="326"/>
    </w:p>
    <w:p w14:paraId="5AB468F1" w14:textId="77777777" w:rsidR="00084F36" w:rsidRPr="00EB2BD8" w:rsidRDefault="00EB2BD8">
      <w:pPr>
        <w:spacing w:before="177" w:line="290" w:lineRule="auto"/>
        <w:ind w:left="1063" w:right="1672"/>
        <w:rPr>
          <w:rFonts w:ascii="Arial"/>
          <w:sz w:val="16"/>
        </w:rPr>
      </w:pPr>
      <w:r w:rsidRPr="00EB2BD8">
        <w:rPr>
          <w:rFonts w:ascii="Arial"/>
          <w:w w:val="105"/>
          <w:sz w:val="16"/>
        </w:rPr>
        <w:t>Commitments</w:t>
      </w:r>
      <w:r w:rsidRPr="00EB2BD8">
        <w:rPr>
          <w:rFonts w:ascii="Arial"/>
          <w:spacing w:val="-3"/>
          <w:w w:val="105"/>
          <w:sz w:val="16"/>
        </w:rPr>
        <w:t xml:space="preserve"> </w:t>
      </w:r>
      <w:r w:rsidRPr="00EB2BD8">
        <w:rPr>
          <w:rFonts w:ascii="Arial"/>
          <w:w w:val="105"/>
          <w:sz w:val="16"/>
        </w:rPr>
        <w:t>for</w:t>
      </w:r>
      <w:r w:rsidRPr="00EB2BD8">
        <w:rPr>
          <w:rFonts w:ascii="Arial"/>
          <w:spacing w:val="-3"/>
          <w:w w:val="105"/>
          <w:sz w:val="16"/>
        </w:rPr>
        <w:t xml:space="preserve"> </w:t>
      </w:r>
      <w:r w:rsidRPr="00EB2BD8">
        <w:rPr>
          <w:rFonts w:ascii="Arial"/>
          <w:w w:val="105"/>
          <w:sz w:val="16"/>
        </w:rPr>
        <w:t>future</w:t>
      </w:r>
      <w:r w:rsidRPr="00EB2BD8">
        <w:rPr>
          <w:rFonts w:ascii="Arial"/>
          <w:spacing w:val="-3"/>
          <w:w w:val="105"/>
          <w:sz w:val="16"/>
        </w:rPr>
        <w:t xml:space="preserve"> </w:t>
      </w:r>
      <w:r w:rsidRPr="00EB2BD8">
        <w:rPr>
          <w:rFonts w:ascii="Arial"/>
          <w:w w:val="105"/>
          <w:sz w:val="16"/>
        </w:rPr>
        <w:t>expenditure</w:t>
      </w:r>
      <w:r w:rsidRPr="00EB2BD8">
        <w:rPr>
          <w:rFonts w:ascii="Arial"/>
          <w:spacing w:val="-3"/>
          <w:w w:val="105"/>
          <w:sz w:val="16"/>
        </w:rPr>
        <w:t xml:space="preserve"> </w:t>
      </w:r>
      <w:r w:rsidRPr="00EB2BD8">
        <w:rPr>
          <w:rFonts w:ascii="Arial"/>
          <w:w w:val="105"/>
          <w:sz w:val="16"/>
        </w:rPr>
        <w:t>include</w:t>
      </w:r>
      <w:r w:rsidRPr="00EB2BD8">
        <w:rPr>
          <w:rFonts w:ascii="Arial"/>
          <w:spacing w:val="-3"/>
          <w:w w:val="105"/>
          <w:sz w:val="16"/>
        </w:rPr>
        <w:t xml:space="preserve"> </w:t>
      </w:r>
      <w:r w:rsidRPr="00EB2BD8">
        <w:rPr>
          <w:rFonts w:ascii="Arial"/>
          <w:w w:val="105"/>
          <w:sz w:val="16"/>
        </w:rPr>
        <w:t>operating</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capital</w:t>
      </w:r>
      <w:r w:rsidRPr="00EB2BD8">
        <w:rPr>
          <w:rFonts w:ascii="Arial"/>
          <w:spacing w:val="-3"/>
          <w:w w:val="105"/>
          <w:sz w:val="16"/>
        </w:rPr>
        <w:t xml:space="preserve"> </w:t>
      </w:r>
      <w:r w:rsidRPr="00EB2BD8">
        <w:rPr>
          <w:rFonts w:ascii="Arial"/>
          <w:w w:val="105"/>
          <w:sz w:val="16"/>
        </w:rPr>
        <w:t>commitments</w:t>
      </w:r>
      <w:r w:rsidRPr="00EB2BD8">
        <w:rPr>
          <w:rFonts w:ascii="Arial"/>
          <w:spacing w:val="-3"/>
          <w:w w:val="105"/>
          <w:sz w:val="16"/>
        </w:rPr>
        <w:t xml:space="preserve"> </w:t>
      </w:r>
      <w:r w:rsidRPr="00EB2BD8">
        <w:rPr>
          <w:rFonts w:ascii="Arial"/>
          <w:w w:val="105"/>
          <w:sz w:val="16"/>
        </w:rPr>
        <w:t>arising</w:t>
      </w:r>
      <w:r w:rsidRPr="00EB2BD8">
        <w:rPr>
          <w:rFonts w:ascii="Arial"/>
          <w:spacing w:val="-3"/>
          <w:w w:val="105"/>
          <w:sz w:val="16"/>
        </w:rPr>
        <w:t xml:space="preserve"> </w:t>
      </w:r>
      <w:r w:rsidRPr="00EB2BD8">
        <w:rPr>
          <w:rFonts w:ascii="Arial"/>
          <w:w w:val="105"/>
          <w:sz w:val="16"/>
        </w:rPr>
        <w:t>from</w:t>
      </w:r>
      <w:r w:rsidRPr="00EB2BD8">
        <w:rPr>
          <w:rFonts w:ascii="Arial"/>
          <w:spacing w:val="-3"/>
          <w:w w:val="105"/>
          <w:sz w:val="16"/>
        </w:rPr>
        <w:t xml:space="preserve"> </w:t>
      </w:r>
      <w:r w:rsidRPr="00EB2BD8">
        <w:rPr>
          <w:rFonts w:ascii="Arial"/>
          <w:w w:val="105"/>
          <w:sz w:val="16"/>
        </w:rPr>
        <w:t>contracts.</w:t>
      </w:r>
      <w:r w:rsidRPr="00EB2BD8">
        <w:rPr>
          <w:rFonts w:ascii="Arial"/>
          <w:spacing w:val="-3"/>
          <w:w w:val="105"/>
          <w:sz w:val="16"/>
        </w:rPr>
        <w:t xml:space="preserve"> </w:t>
      </w:r>
      <w:r w:rsidRPr="00EB2BD8">
        <w:rPr>
          <w:rFonts w:ascii="Arial"/>
          <w:w w:val="105"/>
          <w:sz w:val="16"/>
        </w:rPr>
        <w:t>These</w:t>
      </w:r>
      <w:r w:rsidRPr="00EB2BD8">
        <w:rPr>
          <w:rFonts w:ascii="Arial"/>
          <w:spacing w:val="-3"/>
          <w:w w:val="105"/>
          <w:sz w:val="16"/>
        </w:rPr>
        <w:t xml:space="preserve"> </w:t>
      </w:r>
      <w:r w:rsidRPr="00EB2BD8">
        <w:rPr>
          <w:rFonts w:ascii="Arial"/>
          <w:w w:val="105"/>
          <w:sz w:val="16"/>
        </w:rPr>
        <w:t>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562ACADA" w14:textId="77777777" w:rsidR="00084F36" w:rsidRPr="00EB2BD8" w:rsidRDefault="00084F36">
      <w:pPr>
        <w:pStyle w:val="BodyText"/>
        <w:rPr>
          <w:rFonts w:ascii="Arial"/>
        </w:rPr>
      </w:pPr>
    </w:p>
    <w:p w14:paraId="42B4FD37" w14:textId="131B7B54" w:rsidR="00084F36" w:rsidRPr="00EB2BD8" w:rsidRDefault="0026165E" w:rsidP="0026165E">
      <w:pPr>
        <w:pStyle w:val="Heading2"/>
      </w:pPr>
      <w:r>
        <w:t xml:space="preserve"> </w:t>
      </w:r>
      <w:bookmarkStart w:id="327" w:name="_Toc150762629"/>
      <w:r>
        <w:t xml:space="preserve">6.4.1 </w:t>
      </w:r>
      <w:r w:rsidR="00EB2BD8" w:rsidRPr="00EB2BD8">
        <w:t>Total</w:t>
      </w:r>
      <w:r w:rsidR="00EB2BD8" w:rsidRPr="00EB2BD8">
        <w:rPr>
          <w:spacing w:val="18"/>
        </w:rPr>
        <w:t xml:space="preserve"> </w:t>
      </w:r>
      <w:r w:rsidR="00EB2BD8" w:rsidRPr="00EB2BD8">
        <w:t>commitments</w:t>
      </w:r>
      <w:r w:rsidR="00EB2BD8" w:rsidRPr="00EB2BD8">
        <w:rPr>
          <w:spacing w:val="19"/>
        </w:rPr>
        <w:t xml:space="preserve"> </w:t>
      </w:r>
      <w:r w:rsidR="00EB2BD8" w:rsidRPr="00EB2BD8">
        <w:rPr>
          <w:spacing w:val="-2"/>
        </w:rPr>
        <w:t>payable</w:t>
      </w:r>
      <w:bookmarkEnd w:id="327"/>
    </w:p>
    <w:p w14:paraId="3462EFA9" w14:textId="77777777" w:rsidR="00084F36" w:rsidRPr="00EB2BD8" w:rsidRDefault="00084F36">
      <w:pPr>
        <w:pStyle w:val="BodyText"/>
        <w:rPr>
          <w:rFonts w:ascii="Arial"/>
          <w:b/>
          <w:sz w:val="22"/>
        </w:rPr>
      </w:pPr>
    </w:p>
    <w:p w14:paraId="52910793" w14:textId="77777777" w:rsidR="00084F36" w:rsidRPr="00EB2BD8" w:rsidRDefault="00EB2BD8">
      <w:pPr>
        <w:spacing w:before="177" w:after="45"/>
        <w:ind w:right="1685"/>
        <w:jc w:val="right"/>
        <w:rPr>
          <w:rFonts w:ascii="Arial" w:hAnsi="Arial"/>
          <w:sz w:val="16"/>
        </w:rPr>
      </w:pPr>
      <w:r w:rsidRPr="00EB2BD8">
        <w:rPr>
          <w:rFonts w:ascii="Arial" w:hAnsi="Arial"/>
          <w:spacing w:val="-2"/>
          <w:w w:val="105"/>
          <w:sz w:val="16"/>
        </w:rPr>
        <w:t>($’000)</w:t>
      </w:r>
    </w:p>
    <w:tbl>
      <w:tblPr>
        <w:tblW w:w="0" w:type="auto"/>
        <w:tblInd w:w="1071" w:type="dxa"/>
        <w:tblLayout w:type="fixed"/>
        <w:tblCellMar>
          <w:left w:w="0" w:type="dxa"/>
          <w:right w:w="0" w:type="dxa"/>
        </w:tblCellMar>
        <w:tblLook w:val="01E0" w:firstRow="1" w:lastRow="1" w:firstColumn="1" w:lastColumn="1" w:noHBand="0" w:noVBand="0"/>
      </w:tblPr>
      <w:tblGrid>
        <w:gridCol w:w="4629"/>
        <w:gridCol w:w="1353"/>
        <w:gridCol w:w="1102"/>
        <w:gridCol w:w="1152"/>
        <w:gridCol w:w="1020"/>
      </w:tblGrid>
      <w:tr w:rsidR="00EB2BD8" w:rsidRPr="00EB2BD8" w14:paraId="63682FEE" w14:textId="77777777">
        <w:trPr>
          <w:trHeight w:val="485"/>
        </w:trPr>
        <w:tc>
          <w:tcPr>
            <w:tcW w:w="4629" w:type="dxa"/>
            <w:tcBorders>
              <w:top w:val="single" w:sz="4" w:space="0" w:color="0098FF"/>
              <w:left w:val="single" w:sz="4" w:space="0" w:color="0098FF"/>
            </w:tcBorders>
            <w:shd w:val="clear" w:color="auto" w:fill="0070C0"/>
          </w:tcPr>
          <w:p w14:paraId="20DC82CC" w14:textId="77777777" w:rsidR="00084F36" w:rsidRPr="00EB2BD8" w:rsidRDefault="00EB2BD8">
            <w:pPr>
              <w:pStyle w:val="TableParagraph"/>
              <w:spacing w:before="56" w:line="252" w:lineRule="auto"/>
              <w:ind w:left="100" w:right="3106"/>
              <w:rPr>
                <w:rFonts w:ascii="Arial"/>
                <w:b/>
                <w:sz w:val="16"/>
              </w:rPr>
            </w:pPr>
            <w:r w:rsidRPr="00EB2BD8">
              <w:rPr>
                <w:rFonts w:ascii="Arial"/>
                <w:b/>
                <w:w w:val="105"/>
                <w:sz w:val="16"/>
              </w:rPr>
              <w:t>Nominal</w:t>
            </w:r>
            <w:r w:rsidRPr="00EB2BD8">
              <w:rPr>
                <w:rFonts w:ascii="Arial"/>
                <w:b/>
                <w:spacing w:val="-12"/>
                <w:w w:val="105"/>
                <w:sz w:val="16"/>
              </w:rPr>
              <w:t xml:space="preserve"> </w:t>
            </w:r>
            <w:r w:rsidRPr="00EB2BD8">
              <w:rPr>
                <w:rFonts w:ascii="Arial"/>
                <w:b/>
                <w:w w:val="105"/>
                <w:sz w:val="16"/>
              </w:rPr>
              <w:t xml:space="preserve">amounts </w:t>
            </w:r>
            <w:r w:rsidRPr="00EB2BD8">
              <w:rPr>
                <w:rFonts w:ascii="Arial"/>
                <w:b/>
                <w:spacing w:val="-4"/>
                <w:w w:val="105"/>
                <w:sz w:val="16"/>
              </w:rPr>
              <w:t>2023</w:t>
            </w:r>
          </w:p>
        </w:tc>
        <w:tc>
          <w:tcPr>
            <w:tcW w:w="1353" w:type="dxa"/>
            <w:tcBorders>
              <w:top w:val="single" w:sz="4" w:space="0" w:color="0098FF"/>
            </w:tcBorders>
            <w:shd w:val="clear" w:color="auto" w:fill="0070C0"/>
          </w:tcPr>
          <w:p w14:paraId="46929145" w14:textId="77777777" w:rsidR="00084F36" w:rsidRPr="00EB2BD8" w:rsidRDefault="00EB2BD8">
            <w:pPr>
              <w:pStyle w:val="TableParagraph"/>
              <w:spacing w:before="56"/>
              <w:ind w:right="331"/>
              <w:jc w:val="right"/>
              <w:rPr>
                <w:rFonts w:ascii="Arial"/>
                <w:b/>
                <w:sz w:val="16"/>
              </w:rPr>
            </w:pPr>
            <w:r w:rsidRPr="00EB2BD8">
              <w:rPr>
                <w:rFonts w:ascii="Arial"/>
                <w:b/>
                <w:w w:val="105"/>
                <w:sz w:val="16"/>
              </w:rPr>
              <w:t>Less</w:t>
            </w:r>
            <w:r w:rsidRPr="00EB2BD8">
              <w:rPr>
                <w:rFonts w:ascii="Arial"/>
                <w:b/>
                <w:spacing w:val="-6"/>
                <w:w w:val="105"/>
                <w:sz w:val="16"/>
              </w:rPr>
              <w:t xml:space="preserve"> </w:t>
            </w:r>
            <w:r w:rsidRPr="00EB2BD8">
              <w:rPr>
                <w:rFonts w:ascii="Arial"/>
                <w:b/>
                <w:spacing w:val="-4"/>
                <w:w w:val="105"/>
                <w:sz w:val="16"/>
              </w:rPr>
              <w:t>than</w:t>
            </w:r>
          </w:p>
          <w:p w14:paraId="7FDBD0A4" w14:textId="77777777" w:rsidR="00084F36" w:rsidRPr="00EB2BD8" w:rsidRDefault="00EB2BD8">
            <w:pPr>
              <w:pStyle w:val="TableParagraph"/>
              <w:spacing w:before="9"/>
              <w:ind w:right="331"/>
              <w:jc w:val="right"/>
              <w:rPr>
                <w:rFonts w:ascii="Arial"/>
                <w:b/>
                <w:sz w:val="16"/>
              </w:rPr>
            </w:pPr>
            <w:r w:rsidRPr="00EB2BD8">
              <w:rPr>
                <w:rFonts w:ascii="Arial"/>
                <w:b/>
                <w:w w:val="105"/>
                <w:sz w:val="16"/>
              </w:rPr>
              <w:t>1</w:t>
            </w:r>
            <w:r w:rsidRPr="00EB2BD8">
              <w:rPr>
                <w:rFonts w:ascii="Arial"/>
                <w:b/>
                <w:spacing w:val="-2"/>
                <w:w w:val="105"/>
                <w:sz w:val="16"/>
              </w:rPr>
              <w:t xml:space="preserve"> </w:t>
            </w:r>
            <w:r w:rsidRPr="00EB2BD8">
              <w:rPr>
                <w:rFonts w:ascii="Arial"/>
                <w:b/>
                <w:spacing w:val="-4"/>
                <w:w w:val="105"/>
                <w:sz w:val="16"/>
              </w:rPr>
              <w:t>year</w:t>
            </w:r>
          </w:p>
        </w:tc>
        <w:tc>
          <w:tcPr>
            <w:tcW w:w="1102" w:type="dxa"/>
            <w:tcBorders>
              <w:top w:val="single" w:sz="4" w:space="0" w:color="0098FF"/>
            </w:tcBorders>
            <w:shd w:val="clear" w:color="auto" w:fill="0070C0"/>
          </w:tcPr>
          <w:p w14:paraId="2EE015D8" w14:textId="77777777" w:rsidR="00084F36" w:rsidRPr="00EB2BD8" w:rsidRDefault="00EB2BD8">
            <w:pPr>
              <w:pStyle w:val="TableParagraph"/>
              <w:spacing w:before="56"/>
              <w:ind w:right="318"/>
              <w:jc w:val="right"/>
              <w:rPr>
                <w:rFonts w:ascii="Arial"/>
                <w:b/>
                <w:sz w:val="16"/>
              </w:rPr>
            </w:pPr>
            <w:r w:rsidRPr="00EB2BD8">
              <w:rPr>
                <w:rFonts w:ascii="Arial"/>
                <w:b/>
                <w:sz w:val="16"/>
              </w:rPr>
              <w:t>1-</w:t>
            </w:r>
            <w:r w:rsidRPr="00EB2BD8">
              <w:rPr>
                <w:rFonts w:ascii="Arial"/>
                <w:b/>
                <w:spacing w:val="-10"/>
                <w:sz w:val="16"/>
              </w:rPr>
              <w:t>5</w:t>
            </w:r>
          </w:p>
          <w:p w14:paraId="65B2D975" w14:textId="19FA2879" w:rsidR="00084F36" w:rsidRPr="00EB2BD8" w:rsidRDefault="0026165E">
            <w:pPr>
              <w:pStyle w:val="TableParagraph"/>
              <w:spacing w:before="9"/>
              <w:ind w:right="318"/>
              <w:jc w:val="right"/>
              <w:rPr>
                <w:rFonts w:ascii="Arial"/>
                <w:b/>
                <w:sz w:val="16"/>
              </w:rPr>
            </w:pPr>
            <w:r w:rsidRPr="00EB2BD8">
              <w:rPr>
                <w:rFonts w:ascii="Arial"/>
                <w:b/>
                <w:spacing w:val="-2"/>
                <w:w w:val="105"/>
                <w:sz w:val="16"/>
              </w:rPr>
              <w:t>Y</w:t>
            </w:r>
            <w:r w:rsidR="00EB2BD8" w:rsidRPr="00EB2BD8">
              <w:rPr>
                <w:rFonts w:ascii="Arial"/>
                <w:b/>
                <w:spacing w:val="-2"/>
                <w:w w:val="105"/>
                <w:sz w:val="16"/>
              </w:rPr>
              <w:t>ears</w:t>
            </w:r>
          </w:p>
        </w:tc>
        <w:tc>
          <w:tcPr>
            <w:tcW w:w="1152" w:type="dxa"/>
            <w:tcBorders>
              <w:top w:val="single" w:sz="4" w:space="0" w:color="0098FF"/>
            </w:tcBorders>
            <w:shd w:val="clear" w:color="auto" w:fill="0070C0"/>
          </w:tcPr>
          <w:p w14:paraId="194D3D1D" w14:textId="77777777" w:rsidR="00084F36" w:rsidRPr="00EB2BD8" w:rsidRDefault="00EB2BD8">
            <w:pPr>
              <w:pStyle w:val="TableParagraph"/>
              <w:spacing w:before="56"/>
              <w:ind w:right="380"/>
              <w:jc w:val="right"/>
              <w:rPr>
                <w:rFonts w:ascii="Arial"/>
                <w:b/>
                <w:sz w:val="16"/>
              </w:rPr>
            </w:pPr>
            <w:r w:rsidRPr="00EB2BD8">
              <w:rPr>
                <w:rFonts w:ascii="Arial"/>
                <w:b/>
                <w:spacing w:val="-5"/>
                <w:w w:val="105"/>
                <w:sz w:val="16"/>
              </w:rPr>
              <w:t>5+</w:t>
            </w:r>
          </w:p>
          <w:p w14:paraId="432E52AF" w14:textId="77777777" w:rsidR="00084F36" w:rsidRPr="00EB2BD8" w:rsidRDefault="00EB2BD8">
            <w:pPr>
              <w:pStyle w:val="TableParagraph"/>
              <w:spacing w:before="9"/>
              <w:ind w:right="379"/>
              <w:jc w:val="right"/>
              <w:rPr>
                <w:rFonts w:ascii="Arial"/>
                <w:b/>
                <w:sz w:val="16"/>
              </w:rPr>
            </w:pPr>
            <w:r w:rsidRPr="00EB2BD8">
              <w:rPr>
                <w:rFonts w:ascii="Arial"/>
                <w:b/>
                <w:spacing w:val="-2"/>
                <w:w w:val="105"/>
                <w:sz w:val="16"/>
              </w:rPr>
              <w:t>years</w:t>
            </w:r>
          </w:p>
        </w:tc>
        <w:tc>
          <w:tcPr>
            <w:tcW w:w="1020" w:type="dxa"/>
            <w:tcBorders>
              <w:top w:val="single" w:sz="4" w:space="0" w:color="0098FF"/>
              <w:right w:val="single" w:sz="4" w:space="0" w:color="0098FF"/>
            </w:tcBorders>
            <w:shd w:val="clear" w:color="auto" w:fill="0070C0"/>
          </w:tcPr>
          <w:p w14:paraId="6326D28C" w14:textId="77777777" w:rsidR="00084F36" w:rsidRPr="00EB2BD8" w:rsidRDefault="00EB2BD8">
            <w:pPr>
              <w:pStyle w:val="TableParagraph"/>
              <w:spacing w:before="153"/>
              <w:ind w:right="87"/>
              <w:jc w:val="right"/>
              <w:rPr>
                <w:rFonts w:ascii="Arial"/>
                <w:b/>
                <w:sz w:val="16"/>
              </w:rPr>
            </w:pPr>
            <w:r w:rsidRPr="00EB2BD8">
              <w:rPr>
                <w:rFonts w:ascii="Arial"/>
                <w:b/>
                <w:spacing w:val="-2"/>
                <w:w w:val="105"/>
                <w:sz w:val="16"/>
              </w:rPr>
              <w:t>Total</w:t>
            </w:r>
          </w:p>
        </w:tc>
      </w:tr>
      <w:tr w:rsidR="00EB2BD8" w:rsidRPr="00EB2BD8" w14:paraId="25931B41" w14:textId="77777777">
        <w:trPr>
          <w:trHeight w:val="319"/>
        </w:trPr>
        <w:tc>
          <w:tcPr>
            <w:tcW w:w="4629" w:type="dxa"/>
            <w:shd w:val="clear" w:color="auto" w:fill="FFFFFF"/>
          </w:tcPr>
          <w:p w14:paraId="2F03ACF5" w14:textId="77777777" w:rsidR="00084F36" w:rsidRPr="00EB2BD8" w:rsidRDefault="00EB2BD8">
            <w:pPr>
              <w:pStyle w:val="TableParagraph"/>
              <w:spacing w:before="68"/>
              <w:ind w:left="105"/>
              <w:rPr>
                <w:rFonts w:ascii="Arial"/>
                <w:sz w:val="16"/>
              </w:rPr>
            </w:pPr>
            <w:r w:rsidRPr="00EB2BD8">
              <w:rPr>
                <w:rFonts w:ascii="Arial"/>
                <w:w w:val="105"/>
                <w:sz w:val="16"/>
              </w:rPr>
              <w:t>Capital</w:t>
            </w:r>
            <w:r w:rsidRPr="00EB2BD8">
              <w:rPr>
                <w:rFonts w:ascii="Arial"/>
                <w:spacing w:val="-12"/>
                <w:w w:val="105"/>
                <w:sz w:val="16"/>
              </w:rPr>
              <w:t xml:space="preserve"> </w:t>
            </w:r>
            <w:r w:rsidRPr="00EB2BD8">
              <w:rPr>
                <w:rFonts w:ascii="Arial"/>
                <w:w w:val="105"/>
                <w:sz w:val="16"/>
              </w:rPr>
              <w:t>expenditure</w:t>
            </w:r>
            <w:r w:rsidRPr="00EB2BD8">
              <w:rPr>
                <w:rFonts w:ascii="Arial"/>
                <w:spacing w:val="-12"/>
                <w:w w:val="105"/>
                <w:sz w:val="16"/>
              </w:rPr>
              <w:t xml:space="preserve"> </w:t>
            </w:r>
            <w:r w:rsidRPr="00EB2BD8">
              <w:rPr>
                <w:rFonts w:ascii="Arial"/>
                <w:w w:val="105"/>
                <w:sz w:val="16"/>
              </w:rPr>
              <w:t>commitments</w:t>
            </w:r>
            <w:r w:rsidRPr="00EB2BD8">
              <w:rPr>
                <w:rFonts w:ascii="Arial"/>
                <w:spacing w:val="-11"/>
                <w:w w:val="105"/>
                <w:sz w:val="16"/>
              </w:rPr>
              <w:t xml:space="preserve"> </w:t>
            </w:r>
            <w:r w:rsidRPr="00EB2BD8">
              <w:rPr>
                <w:rFonts w:ascii="Arial"/>
                <w:spacing w:val="-2"/>
                <w:w w:val="105"/>
                <w:sz w:val="16"/>
              </w:rPr>
              <w:t>payable</w:t>
            </w:r>
          </w:p>
        </w:tc>
        <w:tc>
          <w:tcPr>
            <w:tcW w:w="1353" w:type="dxa"/>
            <w:shd w:val="clear" w:color="auto" w:fill="DEEAF6"/>
          </w:tcPr>
          <w:p w14:paraId="3B0EF145" w14:textId="77777777" w:rsidR="00084F36" w:rsidRPr="00EB2BD8" w:rsidRDefault="00EB2BD8">
            <w:pPr>
              <w:pStyle w:val="TableParagraph"/>
              <w:spacing w:before="68"/>
              <w:ind w:right="331"/>
              <w:jc w:val="right"/>
              <w:rPr>
                <w:rFonts w:ascii="Arial"/>
                <w:sz w:val="16"/>
              </w:rPr>
            </w:pPr>
            <w:r w:rsidRPr="00EB2BD8">
              <w:rPr>
                <w:rFonts w:ascii="Arial"/>
                <w:spacing w:val="-5"/>
                <w:w w:val="105"/>
                <w:sz w:val="16"/>
              </w:rPr>
              <w:t>53</w:t>
            </w:r>
          </w:p>
        </w:tc>
        <w:tc>
          <w:tcPr>
            <w:tcW w:w="1102" w:type="dxa"/>
            <w:shd w:val="clear" w:color="auto" w:fill="DEEAF6"/>
          </w:tcPr>
          <w:p w14:paraId="474ABBBB" w14:textId="77777777" w:rsidR="00084F36" w:rsidRPr="00EB2BD8" w:rsidRDefault="00EB2BD8">
            <w:pPr>
              <w:pStyle w:val="TableParagraph"/>
              <w:spacing w:before="68"/>
              <w:ind w:right="318"/>
              <w:jc w:val="right"/>
              <w:rPr>
                <w:rFonts w:ascii="Arial"/>
                <w:sz w:val="16"/>
              </w:rPr>
            </w:pPr>
            <w:r w:rsidRPr="00EB2BD8">
              <w:rPr>
                <w:rFonts w:ascii="Arial"/>
                <w:spacing w:val="-5"/>
                <w:w w:val="105"/>
                <w:sz w:val="16"/>
              </w:rPr>
              <w:t>53</w:t>
            </w:r>
          </w:p>
        </w:tc>
        <w:tc>
          <w:tcPr>
            <w:tcW w:w="1152" w:type="dxa"/>
            <w:shd w:val="clear" w:color="auto" w:fill="DEEAF6"/>
          </w:tcPr>
          <w:p w14:paraId="1910E2B5" w14:textId="77777777" w:rsidR="00084F36" w:rsidRPr="00EB2BD8" w:rsidRDefault="00EB2BD8">
            <w:pPr>
              <w:pStyle w:val="TableParagraph"/>
              <w:spacing w:before="68"/>
              <w:ind w:right="379"/>
              <w:jc w:val="right"/>
              <w:rPr>
                <w:rFonts w:ascii="Arial"/>
                <w:sz w:val="16"/>
              </w:rPr>
            </w:pPr>
            <w:r w:rsidRPr="00EB2BD8">
              <w:rPr>
                <w:rFonts w:ascii="Arial"/>
                <w:w w:val="104"/>
                <w:sz w:val="16"/>
              </w:rPr>
              <w:t>-</w:t>
            </w:r>
          </w:p>
        </w:tc>
        <w:tc>
          <w:tcPr>
            <w:tcW w:w="1020" w:type="dxa"/>
            <w:shd w:val="clear" w:color="auto" w:fill="DEEAF6"/>
          </w:tcPr>
          <w:p w14:paraId="37D5F134" w14:textId="77777777" w:rsidR="00084F36" w:rsidRPr="00EB2BD8" w:rsidRDefault="00EB2BD8">
            <w:pPr>
              <w:pStyle w:val="TableParagraph"/>
              <w:spacing w:before="68"/>
              <w:ind w:right="93"/>
              <w:jc w:val="right"/>
              <w:rPr>
                <w:rFonts w:ascii="Arial"/>
                <w:sz w:val="16"/>
              </w:rPr>
            </w:pPr>
            <w:r w:rsidRPr="00EB2BD8">
              <w:rPr>
                <w:rFonts w:ascii="Arial"/>
                <w:spacing w:val="-5"/>
                <w:w w:val="105"/>
                <w:sz w:val="16"/>
              </w:rPr>
              <w:t>106</w:t>
            </w:r>
          </w:p>
        </w:tc>
      </w:tr>
      <w:tr w:rsidR="00EB2BD8" w:rsidRPr="00EB2BD8" w14:paraId="0D73850B" w14:textId="77777777">
        <w:trPr>
          <w:trHeight w:val="314"/>
        </w:trPr>
        <w:tc>
          <w:tcPr>
            <w:tcW w:w="4629" w:type="dxa"/>
            <w:tcBorders>
              <w:bottom w:val="single" w:sz="12" w:space="0" w:color="000000"/>
            </w:tcBorders>
            <w:shd w:val="clear" w:color="auto" w:fill="FFFFFF"/>
          </w:tcPr>
          <w:p w14:paraId="17894B68" w14:textId="77777777" w:rsidR="00084F36" w:rsidRPr="00EB2BD8" w:rsidRDefault="00EB2BD8">
            <w:pPr>
              <w:pStyle w:val="TableParagraph"/>
              <w:spacing w:before="67"/>
              <w:ind w:left="105"/>
              <w:rPr>
                <w:rFonts w:ascii="Arial"/>
                <w:sz w:val="16"/>
              </w:rPr>
            </w:pPr>
            <w:r w:rsidRPr="00EB2BD8">
              <w:rPr>
                <w:rFonts w:ascii="Arial"/>
                <w:w w:val="105"/>
                <w:sz w:val="16"/>
              </w:rPr>
              <w:t>Other</w:t>
            </w:r>
            <w:r w:rsidRPr="00EB2BD8">
              <w:rPr>
                <w:rFonts w:ascii="Arial"/>
                <w:spacing w:val="-10"/>
                <w:w w:val="105"/>
                <w:sz w:val="16"/>
              </w:rPr>
              <w:t xml:space="preserve"> </w:t>
            </w:r>
            <w:r w:rsidRPr="00EB2BD8">
              <w:rPr>
                <w:rFonts w:ascii="Arial"/>
                <w:w w:val="105"/>
                <w:sz w:val="16"/>
              </w:rPr>
              <w:t>commitments</w:t>
            </w:r>
            <w:r w:rsidRPr="00EB2BD8">
              <w:rPr>
                <w:rFonts w:ascii="Arial"/>
                <w:spacing w:val="-10"/>
                <w:w w:val="105"/>
                <w:sz w:val="16"/>
              </w:rPr>
              <w:t xml:space="preserve"> </w:t>
            </w:r>
            <w:r w:rsidRPr="00EB2BD8">
              <w:rPr>
                <w:rFonts w:ascii="Arial"/>
                <w:spacing w:val="-2"/>
                <w:w w:val="105"/>
                <w:sz w:val="16"/>
              </w:rPr>
              <w:t>payable</w:t>
            </w:r>
          </w:p>
        </w:tc>
        <w:tc>
          <w:tcPr>
            <w:tcW w:w="1353" w:type="dxa"/>
            <w:tcBorders>
              <w:bottom w:val="single" w:sz="12" w:space="0" w:color="000000"/>
            </w:tcBorders>
            <w:shd w:val="clear" w:color="auto" w:fill="DEEAF6"/>
          </w:tcPr>
          <w:p w14:paraId="091E9081" w14:textId="77777777" w:rsidR="00084F36" w:rsidRPr="00EB2BD8" w:rsidRDefault="00EB2BD8">
            <w:pPr>
              <w:pStyle w:val="TableParagraph"/>
              <w:spacing w:before="67"/>
              <w:ind w:right="331"/>
              <w:jc w:val="right"/>
              <w:rPr>
                <w:rFonts w:ascii="Arial"/>
                <w:sz w:val="16"/>
              </w:rPr>
            </w:pPr>
            <w:r w:rsidRPr="00EB2BD8">
              <w:rPr>
                <w:rFonts w:ascii="Arial"/>
                <w:spacing w:val="-2"/>
                <w:w w:val="105"/>
                <w:sz w:val="16"/>
              </w:rPr>
              <w:t>4,654</w:t>
            </w:r>
          </w:p>
        </w:tc>
        <w:tc>
          <w:tcPr>
            <w:tcW w:w="1102" w:type="dxa"/>
            <w:tcBorders>
              <w:bottom w:val="single" w:sz="12" w:space="0" w:color="000000"/>
            </w:tcBorders>
            <w:shd w:val="clear" w:color="auto" w:fill="DEEAF6"/>
          </w:tcPr>
          <w:p w14:paraId="749A4F6B" w14:textId="77777777" w:rsidR="00084F36" w:rsidRPr="00EB2BD8" w:rsidRDefault="00EB2BD8">
            <w:pPr>
              <w:pStyle w:val="TableParagraph"/>
              <w:spacing w:before="67"/>
              <w:ind w:right="318"/>
              <w:jc w:val="right"/>
              <w:rPr>
                <w:rFonts w:ascii="Arial"/>
                <w:sz w:val="16"/>
              </w:rPr>
            </w:pPr>
            <w:r w:rsidRPr="00EB2BD8">
              <w:rPr>
                <w:rFonts w:ascii="Arial"/>
                <w:spacing w:val="-2"/>
                <w:w w:val="105"/>
                <w:sz w:val="16"/>
              </w:rPr>
              <w:t>8,348</w:t>
            </w:r>
          </w:p>
        </w:tc>
        <w:tc>
          <w:tcPr>
            <w:tcW w:w="1152" w:type="dxa"/>
            <w:tcBorders>
              <w:bottom w:val="single" w:sz="12" w:space="0" w:color="000000"/>
            </w:tcBorders>
            <w:shd w:val="clear" w:color="auto" w:fill="DEEAF6"/>
          </w:tcPr>
          <w:p w14:paraId="5EE5C2AA" w14:textId="77777777" w:rsidR="00084F36" w:rsidRPr="00EB2BD8" w:rsidRDefault="00EB2BD8">
            <w:pPr>
              <w:pStyle w:val="TableParagraph"/>
              <w:spacing w:before="67"/>
              <w:ind w:right="379"/>
              <w:jc w:val="right"/>
              <w:rPr>
                <w:rFonts w:ascii="Arial"/>
                <w:sz w:val="16"/>
              </w:rPr>
            </w:pPr>
            <w:r w:rsidRPr="00EB2BD8">
              <w:rPr>
                <w:rFonts w:ascii="Arial"/>
                <w:w w:val="104"/>
                <w:sz w:val="16"/>
              </w:rPr>
              <w:t>-</w:t>
            </w:r>
          </w:p>
        </w:tc>
        <w:tc>
          <w:tcPr>
            <w:tcW w:w="1020" w:type="dxa"/>
            <w:tcBorders>
              <w:bottom w:val="single" w:sz="12" w:space="0" w:color="000000"/>
            </w:tcBorders>
            <w:shd w:val="clear" w:color="auto" w:fill="DEEAF6"/>
          </w:tcPr>
          <w:p w14:paraId="2F69EB45" w14:textId="77777777" w:rsidR="00084F36" w:rsidRPr="00EB2BD8" w:rsidRDefault="00EB2BD8">
            <w:pPr>
              <w:pStyle w:val="TableParagraph"/>
              <w:spacing w:before="67"/>
              <w:ind w:right="93"/>
              <w:jc w:val="right"/>
              <w:rPr>
                <w:rFonts w:ascii="Arial"/>
                <w:sz w:val="16"/>
              </w:rPr>
            </w:pPr>
            <w:r w:rsidRPr="00EB2BD8">
              <w:rPr>
                <w:rFonts w:ascii="Arial"/>
                <w:spacing w:val="-2"/>
                <w:w w:val="105"/>
                <w:sz w:val="16"/>
              </w:rPr>
              <w:t>13,002</w:t>
            </w:r>
          </w:p>
        </w:tc>
      </w:tr>
      <w:tr w:rsidR="00EB2BD8" w:rsidRPr="00EB2BD8" w14:paraId="4DD57F3F" w14:textId="77777777">
        <w:trPr>
          <w:trHeight w:val="296"/>
        </w:trPr>
        <w:tc>
          <w:tcPr>
            <w:tcW w:w="4629" w:type="dxa"/>
            <w:tcBorders>
              <w:top w:val="single" w:sz="12" w:space="0" w:color="000000"/>
            </w:tcBorders>
            <w:shd w:val="clear" w:color="auto" w:fill="FFFFFF"/>
          </w:tcPr>
          <w:p w14:paraId="23C3BBB5" w14:textId="77777777" w:rsidR="00084F36" w:rsidRPr="00EB2BD8" w:rsidRDefault="00EB2BD8">
            <w:pPr>
              <w:pStyle w:val="TableParagraph"/>
              <w:spacing w:before="52"/>
              <w:ind w:left="105"/>
              <w:rPr>
                <w:rFonts w:ascii="Arial"/>
                <w:b/>
                <w:sz w:val="16"/>
              </w:rPr>
            </w:pPr>
            <w:r w:rsidRPr="00EB2BD8">
              <w:rPr>
                <w:rFonts w:ascii="Arial"/>
                <w:b/>
                <w:w w:val="105"/>
                <w:sz w:val="16"/>
              </w:rPr>
              <w:t>Total</w:t>
            </w:r>
            <w:r w:rsidRPr="00EB2BD8">
              <w:rPr>
                <w:rFonts w:ascii="Arial"/>
                <w:b/>
                <w:spacing w:val="-11"/>
                <w:w w:val="105"/>
                <w:sz w:val="16"/>
              </w:rPr>
              <w:t xml:space="preserve"> </w:t>
            </w:r>
            <w:r w:rsidRPr="00EB2BD8">
              <w:rPr>
                <w:rFonts w:ascii="Arial"/>
                <w:b/>
                <w:w w:val="105"/>
                <w:sz w:val="16"/>
              </w:rPr>
              <w:t>commitments</w:t>
            </w:r>
            <w:r w:rsidRPr="00EB2BD8">
              <w:rPr>
                <w:rFonts w:ascii="Arial"/>
                <w:b/>
                <w:spacing w:val="-9"/>
                <w:w w:val="105"/>
                <w:sz w:val="16"/>
              </w:rPr>
              <w:t xml:space="preserve"> </w:t>
            </w:r>
            <w:r w:rsidRPr="00EB2BD8">
              <w:rPr>
                <w:rFonts w:ascii="Arial"/>
                <w:b/>
                <w:w w:val="105"/>
                <w:sz w:val="16"/>
              </w:rPr>
              <w:t>(inclusive</w:t>
            </w:r>
            <w:r w:rsidRPr="00EB2BD8">
              <w:rPr>
                <w:rFonts w:ascii="Arial"/>
                <w:b/>
                <w:spacing w:val="-8"/>
                <w:w w:val="105"/>
                <w:sz w:val="16"/>
              </w:rPr>
              <w:t xml:space="preserve"> </w:t>
            </w:r>
            <w:r w:rsidRPr="00EB2BD8">
              <w:rPr>
                <w:rFonts w:ascii="Arial"/>
                <w:b/>
                <w:w w:val="105"/>
                <w:sz w:val="16"/>
              </w:rPr>
              <w:t>of</w:t>
            </w:r>
            <w:r w:rsidRPr="00EB2BD8">
              <w:rPr>
                <w:rFonts w:ascii="Arial"/>
                <w:b/>
                <w:spacing w:val="-9"/>
                <w:w w:val="105"/>
                <w:sz w:val="16"/>
              </w:rPr>
              <w:t xml:space="preserve"> </w:t>
            </w:r>
            <w:r w:rsidRPr="00EB2BD8">
              <w:rPr>
                <w:rFonts w:ascii="Arial"/>
                <w:b/>
                <w:spacing w:val="-4"/>
                <w:w w:val="105"/>
                <w:sz w:val="16"/>
              </w:rPr>
              <w:t>GST)</w:t>
            </w:r>
          </w:p>
        </w:tc>
        <w:tc>
          <w:tcPr>
            <w:tcW w:w="1353" w:type="dxa"/>
            <w:tcBorders>
              <w:top w:val="single" w:sz="12" w:space="0" w:color="000000"/>
            </w:tcBorders>
            <w:shd w:val="clear" w:color="auto" w:fill="DEEAF6"/>
          </w:tcPr>
          <w:p w14:paraId="2704D7E3" w14:textId="77777777" w:rsidR="00084F36" w:rsidRPr="00EB2BD8" w:rsidRDefault="00EB2BD8">
            <w:pPr>
              <w:pStyle w:val="TableParagraph"/>
              <w:spacing w:before="52"/>
              <w:ind w:right="331"/>
              <w:jc w:val="right"/>
              <w:rPr>
                <w:rFonts w:ascii="Arial"/>
                <w:sz w:val="16"/>
              </w:rPr>
            </w:pPr>
            <w:r w:rsidRPr="00EB2BD8">
              <w:rPr>
                <w:rFonts w:ascii="Arial"/>
                <w:spacing w:val="-2"/>
                <w:w w:val="105"/>
                <w:sz w:val="16"/>
              </w:rPr>
              <w:t>4,707</w:t>
            </w:r>
          </w:p>
        </w:tc>
        <w:tc>
          <w:tcPr>
            <w:tcW w:w="1102" w:type="dxa"/>
            <w:tcBorders>
              <w:top w:val="single" w:sz="12" w:space="0" w:color="000000"/>
            </w:tcBorders>
            <w:shd w:val="clear" w:color="auto" w:fill="DEEAF6"/>
          </w:tcPr>
          <w:p w14:paraId="7FDADDBA" w14:textId="77777777" w:rsidR="00084F36" w:rsidRPr="00EB2BD8" w:rsidRDefault="00EB2BD8">
            <w:pPr>
              <w:pStyle w:val="TableParagraph"/>
              <w:spacing w:before="52"/>
              <w:ind w:right="318"/>
              <w:jc w:val="right"/>
              <w:rPr>
                <w:rFonts w:ascii="Arial"/>
                <w:sz w:val="16"/>
              </w:rPr>
            </w:pPr>
            <w:r w:rsidRPr="00EB2BD8">
              <w:rPr>
                <w:rFonts w:ascii="Arial"/>
                <w:spacing w:val="-2"/>
                <w:w w:val="105"/>
                <w:sz w:val="16"/>
              </w:rPr>
              <w:t>8,401</w:t>
            </w:r>
          </w:p>
        </w:tc>
        <w:tc>
          <w:tcPr>
            <w:tcW w:w="1152" w:type="dxa"/>
            <w:tcBorders>
              <w:top w:val="single" w:sz="12" w:space="0" w:color="000000"/>
            </w:tcBorders>
            <w:shd w:val="clear" w:color="auto" w:fill="DEEAF6"/>
          </w:tcPr>
          <w:p w14:paraId="0A79269A" w14:textId="77777777" w:rsidR="00084F36" w:rsidRPr="00EB2BD8" w:rsidRDefault="00EB2BD8">
            <w:pPr>
              <w:pStyle w:val="TableParagraph"/>
              <w:spacing w:before="52"/>
              <w:ind w:right="379"/>
              <w:jc w:val="right"/>
              <w:rPr>
                <w:rFonts w:ascii="Arial"/>
                <w:sz w:val="16"/>
              </w:rPr>
            </w:pPr>
            <w:r w:rsidRPr="00EB2BD8">
              <w:rPr>
                <w:rFonts w:ascii="Arial"/>
                <w:w w:val="104"/>
                <w:sz w:val="16"/>
              </w:rPr>
              <w:t>-</w:t>
            </w:r>
          </w:p>
        </w:tc>
        <w:tc>
          <w:tcPr>
            <w:tcW w:w="1020" w:type="dxa"/>
            <w:tcBorders>
              <w:top w:val="single" w:sz="12" w:space="0" w:color="000000"/>
            </w:tcBorders>
            <w:shd w:val="clear" w:color="auto" w:fill="DEEAF6"/>
          </w:tcPr>
          <w:p w14:paraId="64CAA980" w14:textId="77777777" w:rsidR="00084F36" w:rsidRPr="00EB2BD8" w:rsidRDefault="00EB2BD8">
            <w:pPr>
              <w:pStyle w:val="TableParagraph"/>
              <w:spacing w:before="52"/>
              <w:ind w:right="93"/>
              <w:jc w:val="right"/>
              <w:rPr>
                <w:rFonts w:ascii="Arial"/>
                <w:sz w:val="16"/>
              </w:rPr>
            </w:pPr>
            <w:r w:rsidRPr="00EB2BD8">
              <w:rPr>
                <w:rFonts w:ascii="Arial"/>
                <w:spacing w:val="-2"/>
                <w:w w:val="105"/>
                <w:sz w:val="16"/>
              </w:rPr>
              <w:t>13,108</w:t>
            </w:r>
          </w:p>
        </w:tc>
      </w:tr>
      <w:tr w:rsidR="00EB2BD8" w:rsidRPr="00EB2BD8" w14:paraId="3913CAA8" w14:textId="77777777">
        <w:trPr>
          <w:trHeight w:val="307"/>
        </w:trPr>
        <w:tc>
          <w:tcPr>
            <w:tcW w:w="4629" w:type="dxa"/>
            <w:tcBorders>
              <w:bottom w:val="single" w:sz="12" w:space="0" w:color="000000"/>
            </w:tcBorders>
            <w:shd w:val="clear" w:color="auto" w:fill="FFFFFF"/>
          </w:tcPr>
          <w:p w14:paraId="127F755F" w14:textId="77777777" w:rsidR="00084F36" w:rsidRPr="00EB2BD8" w:rsidRDefault="00EB2BD8">
            <w:pPr>
              <w:pStyle w:val="TableParagraph"/>
              <w:spacing w:before="60"/>
              <w:ind w:left="105"/>
              <w:rPr>
                <w:rFonts w:ascii="Arial"/>
                <w:sz w:val="16"/>
              </w:rPr>
            </w:pPr>
            <w:r w:rsidRPr="00EB2BD8">
              <w:rPr>
                <w:rFonts w:ascii="Arial"/>
                <w:w w:val="105"/>
                <w:sz w:val="16"/>
              </w:rPr>
              <w:t>Less:</w:t>
            </w:r>
            <w:r w:rsidRPr="00EB2BD8">
              <w:rPr>
                <w:rFonts w:ascii="Arial"/>
                <w:spacing w:val="-8"/>
                <w:w w:val="105"/>
                <w:sz w:val="16"/>
              </w:rPr>
              <w:t xml:space="preserve"> </w:t>
            </w:r>
            <w:r w:rsidRPr="00EB2BD8">
              <w:rPr>
                <w:rFonts w:ascii="Arial"/>
                <w:w w:val="105"/>
                <w:sz w:val="16"/>
              </w:rPr>
              <w:t>GST</w:t>
            </w:r>
            <w:r w:rsidRPr="00EB2BD8">
              <w:rPr>
                <w:rFonts w:ascii="Arial"/>
                <w:spacing w:val="-6"/>
                <w:w w:val="105"/>
                <w:sz w:val="16"/>
              </w:rPr>
              <w:t xml:space="preserve"> </w:t>
            </w:r>
            <w:r w:rsidRPr="00EB2BD8">
              <w:rPr>
                <w:rFonts w:ascii="Arial"/>
                <w:w w:val="105"/>
                <w:sz w:val="16"/>
              </w:rPr>
              <w:t>recoverable</w:t>
            </w:r>
            <w:r w:rsidRPr="00EB2BD8">
              <w:rPr>
                <w:rFonts w:ascii="Arial"/>
                <w:spacing w:val="-7"/>
                <w:w w:val="105"/>
                <w:sz w:val="16"/>
              </w:rPr>
              <w:t xml:space="preserve"> </w:t>
            </w:r>
            <w:r w:rsidRPr="00EB2BD8">
              <w:rPr>
                <w:rFonts w:ascii="Arial"/>
                <w:w w:val="105"/>
                <w:sz w:val="16"/>
              </w:rPr>
              <w:t>from</w:t>
            </w:r>
            <w:r w:rsidRPr="00EB2BD8">
              <w:rPr>
                <w:rFonts w:ascii="Arial"/>
                <w:spacing w:val="-7"/>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Australian</w:t>
            </w:r>
            <w:r w:rsidRPr="00EB2BD8">
              <w:rPr>
                <w:rFonts w:ascii="Arial"/>
                <w:spacing w:val="-8"/>
                <w:w w:val="105"/>
                <w:sz w:val="16"/>
              </w:rPr>
              <w:t xml:space="preserve"> </w:t>
            </w:r>
            <w:r w:rsidRPr="00EB2BD8">
              <w:rPr>
                <w:rFonts w:ascii="Arial"/>
                <w:w w:val="105"/>
                <w:sz w:val="16"/>
              </w:rPr>
              <w:t>Tax</w:t>
            </w:r>
            <w:r w:rsidRPr="00EB2BD8">
              <w:rPr>
                <w:rFonts w:ascii="Arial"/>
                <w:spacing w:val="-7"/>
                <w:w w:val="105"/>
                <w:sz w:val="16"/>
              </w:rPr>
              <w:t xml:space="preserve"> </w:t>
            </w:r>
            <w:r w:rsidRPr="00EB2BD8">
              <w:rPr>
                <w:rFonts w:ascii="Arial"/>
                <w:spacing w:val="-2"/>
                <w:w w:val="105"/>
                <w:sz w:val="16"/>
              </w:rPr>
              <w:t>Office</w:t>
            </w:r>
          </w:p>
        </w:tc>
        <w:tc>
          <w:tcPr>
            <w:tcW w:w="1353" w:type="dxa"/>
            <w:tcBorders>
              <w:bottom w:val="single" w:sz="12" w:space="0" w:color="000000"/>
            </w:tcBorders>
            <w:shd w:val="clear" w:color="auto" w:fill="DEEAF6"/>
          </w:tcPr>
          <w:p w14:paraId="3EC67D0D" w14:textId="77777777" w:rsidR="00084F36" w:rsidRPr="00EB2BD8" w:rsidRDefault="00084F36">
            <w:pPr>
              <w:pStyle w:val="TableParagraph"/>
              <w:rPr>
                <w:rFonts w:ascii="Times New Roman"/>
                <w:sz w:val="16"/>
              </w:rPr>
            </w:pPr>
          </w:p>
        </w:tc>
        <w:tc>
          <w:tcPr>
            <w:tcW w:w="1102" w:type="dxa"/>
            <w:tcBorders>
              <w:bottom w:val="single" w:sz="12" w:space="0" w:color="000000"/>
            </w:tcBorders>
            <w:shd w:val="clear" w:color="auto" w:fill="DEEAF6"/>
          </w:tcPr>
          <w:p w14:paraId="5FB836C2" w14:textId="77777777" w:rsidR="00084F36" w:rsidRPr="00EB2BD8" w:rsidRDefault="00084F36">
            <w:pPr>
              <w:pStyle w:val="TableParagraph"/>
              <w:rPr>
                <w:rFonts w:ascii="Times New Roman"/>
                <w:sz w:val="16"/>
              </w:rPr>
            </w:pPr>
          </w:p>
        </w:tc>
        <w:tc>
          <w:tcPr>
            <w:tcW w:w="1152" w:type="dxa"/>
            <w:tcBorders>
              <w:bottom w:val="single" w:sz="12" w:space="0" w:color="000000"/>
            </w:tcBorders>
            <w:shd w:val="clear" w:color="auto" w:fill="DEEAF6"/>
          </w:tcPr>
          <w:p w14:paraId="3919A4EA" w14:textId="77777777" w:rsidR="00084F36" w:rsidRPr="00EB2BD8" w:rsidRDefault="00084F36">
            <w:pPr>
              <w:pStyle w:val="TableParagraph"/>
              <w:rPr>
                <w:rFonts w:ascii="Times New Roman"/>
                <w:sz w:val="16"/>
              </w:rPr>
            </w:pPr>
          </w:p>
        </w:tc>
        <w:tc>
          <w:tcPr>
            <w:tcW w:w="1020" w:type="dxa"/>
            <w:tcBorders>
              <w:bottom w:val="single" w:sz="12" w:space="0" w:color="000000"/>
            </w:tcBorders>
            <w:shd w:val="clear" w:color="auto" w:fill="DEEAF6"/>
          </w:tcPr>
          <w:p w14:paraId="27D88930" w14:textId="77777777" w:rsidR="00084F36" w:rsidRPr="00EB2BD8" w:rsidRDefault="00EB2BD8">
            <w:pPr>
              <w:pStyle w:val="TableParagraph"/>
              <w:spacing w:before="60"/>
              <w:ind w:right="93"/>
              <w:jc w:val="right"/>
              <w:rPr>
                <w:rFonts w:ascii="Arial"/>
                <w:sz w:val="16"/>
              </w:rPr>
            </w:pPr>
            <w:r w:rsidRPr="00EB2BD8">
              <w:rPr>
                <w:rFonts w:ascii="Arial"/>
                <w:spacing w:val="-2"/>
                <w:w w:val="105"/>
                <w:sz w:val="16"/>
              </w:rPr>
              <w:t>(1,192)</w:t>
            </w:r>
          </w:p>
        </w:tc>
      </w:tr>
      <w:tr w:rsidR="00EB2BD8" w:rsidRPr="00EB2BD8" w14:paraId="757145C7" w14:textId="77777777">
        <w:trPr>
          <w:trHeight w:val="287"/>
        </w:trPr>
        <w:tc>
          <w:tcPr>
            <w:tcW w:w="4629" w:type="dxa"/>
            <w:tcBorders>
              <w:top w:val="single" w:sz="12" w:space="0" w:color="000000"/>
              <w:bottom w:val="single" w:sz="12" w:space="0" w:color="000000"/>
            </w:tcBorders>
            <w:shd w:val="clear" w:color="auto" w:fill="FFFFFF"/>
          </w:tcPr>
          <w:p w14:paraId="47526F2A" w14:textId="77777777" w:rsidR="00084F36" w:rsidRPr="00EB2BD8" w:rsidRDefault="00EB2BD8">
            <w:pPr>
              <w:pStyle w:val="TableParagraph"/>
              <w:spacing w:before="53"/>
              <w:ind w:left="105"/>
              <w:rPr>
                <w:rFonts w:ascii="Arial"/>
                <w:b/>
                <w:sz w:val="16"/>
              </w:rPr>
            </w:pPr>
            <w:r w:rsidRPr="00EB2BD8">
              <w:rPr>
                <w:rFonts w:ascii="Arial"/>
                <w:b/>
                <w:w w:val="105"/>
                <w:sz w:val="16"/>
              </w:rPr>
              <w:t>Total</w:t>
            </w:r>
            <w:r w:rsidRPr="00EB2BD8">
              <w:rPr>
                <w:rFonts w:ascii="Arial"/>
                <w:b/>
                <w:spacing w:val="-9"/>
                <w:w w:val="105"/>
                <w:sz w:val="16"/>
              </w:rPr>
              <w:t xml:space="preserve"> </w:t>
            </w:r>
            <w:r w:rsidRPr="00EB2BD8">
              <w:rPr>
                <w:rFonts w:ascii="Arial"/>
                <w:b/>
                <w:w w:val="105"/>
                <w:sz w:val="16"/>
              </w:rPr>
              <w:t>commitments</w:t>
            </w:r>
            <w:r w:rsidRPr="00EB2BD8">
              <w:rPr>
                <w:rFonts w:ascii="Arial"/>
                <w:b/>
                <w:spacing w:val="-9"/>
                <w:w w:val="105"/>
                <w:sz w:val="16"/>
              </w:rPr>
              <w:t xml:space="preserve"> </w:t>
            </w:r>
            <w:r w:rsidRPr="00EB2BD8">
              <w:rPr>
                <w:rFonts w:ascii="Arial"/>
                <w:b/>
                <w:w w:val="105"/>
                <w:sz w:val="16"/>
              </w:rPr>
              <w:t>(exclusive</w:t>
            </w:r>
            <w:r w:rsidRPr="00EB2BD8">
              <w:rPr>
                <w:rFonts w:ascii="Arial"/>
                <w:b/>
                <w:spacing w:val="-9"/>
                <w:w w:val="105"/>
                <w:sz w:val="16"/>
              </w:rPr>
              <w:t xml:space="preserve"> </w:t>
            </w:r>
            <w:r w:rsidRPr="00EB2BD8">
              <w:rPr>
                <w:rFonts w:ascii="Arial"/>
                <w:b/>
                <w:w w:val="105"/>
                <w:sz w:val="16"/>
              </w:rPr>
              <w:t>of</w:t>
            </w:r>
            <w:r w:rsidRPr="00EB2BD8">
              <w:rPr>
                <w:rFonts w:ascii="Arial"/>
                <w:b/>
                <w:spacing w:val="-10"/>
                <w:w w:val="105"/>
                <w:sz w:val="16"/>
              </w:rPr>
              <w:t xml:space="preserve"> </w:t>
            </w:r>
            <w:r w:rsidRPr="00EB2BD8">
              <w:rPr>
                <w:rFonts w:ascii="Arial"/>
                <w:b/>
                <w:spacing w:val="-4"/>
                <w:w w:val="105"/>
                <w:sz w:val="16"/>
              </w:rPr>
              <w:t>GST)</w:t>
            </w:r>
          </w:p>
        </w:tc>
        <w:tc>
          <w:tcPr>
            <w:tcW w:w="4627" w:type="dxa"/>
            <w:gridSpan w:val="4"/>
            <w:tcBorders>
              <w:top w:val="single" w:sz="12" w:space="0" w:color="000000"/>
              <w:bottom w:val="single" w:sz="12" w:space="0" w:color="000000"/>
            </w:tcBorders>
            <w:shd w:val="clear" w:color="auto" w:fill="DEEAF6"/>
          </w:tcPr>
          <w:p w14:paraId="407F79D2" w14:textId="77777777" w:rsidR="00084F36" w:rsidRPr="00EB2BD8" w:rsidRDefault="00EB2BD8">
            <w:pPr>
              <w:pStyle w:val="TableParagraph"/>
              <w:spacing w:before="53"/>
              <w:ind w:right="93"/>
              <w:jc w:val="right"/>
              <w:rPr>
                <w:rFonts w:ascii="Arial"/>
                <w:b/>
                <w:sz w:val="16"/>
              </w:rPr>
            </w:pPr>
            <w:r w:rsidRPr="00EB2BD8">
              <w:rPr>
                <w:rFonts w:ascii="Arial"/>
                <w:b/>
                <w:spacing w:val="-2"/>
                <w:w w:val="105"/>
                <w:sz w:val="16"/>
              </w:rPr>
              <w:t>11,916</w:t>
            </w:r>
          </w:p>
        </w:tc>
      </w:tr>
    </w:tbl>
    <w:p w14:paraId="158ED0FE" w14:textId="77777777" w:rsidR="00084F36" w:rsidRPr="00EB2BD8" w:rsidRDefault="00084F36">
      <w:pPr>
        <w:pStyle w:val="BodyText"/>
        <w:rPr>
          <w:rFonts w:ascii="Arial"/>
          <w:sz w:val="20"/>
        </w:rPr>
      </w:pPr>
    </w:p>
    <w:p w14:paraId="22F450C1" w14:textId="77777777" w:rsidR="00084F36" w:rsidRPr="00EB2BD8" w:rsidRDefault="00084F36">
      <w:pPr>
        <w:pStyle w:val="BodyText"/>
        <w:spacing w:before="1"/>
        <w:rPr>
          <w:rFonts w:ascii="Arial"/>
          <w:sz w:val="20"/>
        </w:rPr>
      </w:pPr>
    </w:p>
    <w:tbl>
      <w:tblPr>
        <w:tblW w:w="0" w:type="auto"/>
        <w:tblInd w:w="1070" w:type="dxa"/>
        <w:tblLayout w:type="fixed"/>
        <w:tblCellMar>
          <w:left w:w="0" w:type="dxa"/>
          <w:right w:w="0" w:type="dxa"/>
        </w:tblCellMar>
        <w:tblLook w:val="01E0" w:firstRow="1" w:lastRow="1" w:firstColumn="1" w:lastColumn="1" w:noHBand="0" w:noVBand="0"/>
      </w:tblPr>
      <w:tblGrid>
        <w:gridCol w:w="4474"/>
        <w:gridCol w:w="1509"/>
        <w:gridCol w:w="1103"/>
        <w:gridCol w:w="1209"/>
        <w:gridCol w:w="964"/>
      </w:tblGrid>
      <w:tr w:rsidR="00EB2BD8" w:rsidRPr="00EB2BD8" w14:paraId="600D4668" w14:textId="77777777">
        <w:trPr>
          <w:trHeight w:val="492"/>
        </w:trPr>
        <w:tc>
          <w:tcPr>
            <w:tcW w:w="4474" w:type="dxa"/>
            <w:shd w:val="clear" w:color="auto" w:fill="0070C0"/>
          </w:tcPr>
          <w:p w14:paraId="11CAC399" w14:textId="77777777" w:rsidR="00084F36" w:rsidRPr="00EB2BD8" w:rsidRDefault="00EB2BD8">
            <w:pPr>
              <w:pStyle w:val="TableParagraph"/>
              <w:spacing w:before="2" w:line="252" w:lineRule="auto"/>
              <w:ind w:left="100" w:right="2956"/>
              <w:rPr>
                <w:rFonts w:ascii="Arial"/>
                <w:b/>
                <w:sz w:val="16"/>
              </w:rPr>
            </w:pPr>
            <w:r w:rsidRPr="00EB2BD8">
              <w:rPr>
                <w:rFonts w:ascii="Arial"/>
                <w:b/>
                <w:w w:val="105"/>
                <w:sz w:val="16"/>
              </w:rPr>
              <w:t>Nominal</w:t>
            </w:r>
            <w:r w:rsidRPr="00EB2BD8">
              <w:rPr>
                <w:rFonts w:ascii="Arial"/>
                <w:b/>
                <w:spacing w:val="-12"/>
                <w:w w:val="105"/>
                <w:sz w:val="16"/>
              </w:rPr>
              <w:t xml:space="preserve"> </w:t>
            </w:r>
            <w:r w:rsidRPr="00EB2BD8">
              <w:rPr>
                <w:rFonts w:ascii="Arial"/>
                <w:b/>
                <w:w w:val="105"/>
                <w:sz w:val="16"/>
              </w:rPr>
              <w:t xml:space="preserve">amounts </w:t>
            </w:r>
            <w:r w:rsidRPr="00EB2BD8">
              <w:rPr>
                <w:rFonts w:ascii="Arial"/>
                <w:b/>
                <w:spacing w:val="-4"/>
                <w:w w:val="105"/>
                <w:sz w:val="16"/>
              </w:rPr>
              <w:t>2022</w:t>
            </w:r>
          </w:p>
        </w:tc>
        <w:tc>
          <w:tcPr>
            <w:tcW w:w="1509" w:type="dxa"/>
            <w:shd w:val="clear" w:color="auto" w:fill="0070C0"/>
          </w:tcPr>
          <w:p w14:paraId="2ABE8300" w14:textId="77777777" w:rsidR="00084F36" w:rsidRPr="00EB2BD8" w:rsidRDefault="00EB2BD8">
            <w:pPr>
              <w:pStyle w:val="TableParagraph"/>
              <w:spacing w:before="2"/>
              <w:ind w:right="337"/>
              <w:jc w:val="right"/>
              <w:rPr>
                <w:rFonts w:ascii="Arial"/>
                <w:b/>
                <w:sz w:val="16"/>
              </w:rPr>
            </w:pPr>
            <w:r w:rsidRPr="00EB2BD8">
              <w:rPr>
                <w:rFonts w:ascii="Arial"/>
                <w:b/>
                <w:w w:val="105"/>
                <w:sz w:val="16"/>
              </w:rPr>
              <w:t>Less</w:t>
            </w:r>
            <w:r w:rsidRPr="00EB2BD8">
              <w:rPr>
                <w:rFonts w:ascii="Arial"/>
                <w:b/>
                <w:spacing w:val="-6"/>
                <w:w w:val="105"/>
                <w:sz w:val="16"/>
              </w:rPr>
              <w:t xml:space="preserve"> </w:t>
            </w:r>
            <w:r w:rsidRPr="00EB2BD8">
              <w:rPr>
                <w:rFonts w:ascii="Arial"/>
                <w:b/>
                <w:spacing w:val="-4"/>
                <w:w w:val="105"/>
                <w:sz w:val="16"/>
              </w:rPr>
              <w:t>than</w:t>
            </w:r>
          </w:p>
          <w:p w14:paraId="69B4563D" w14:textId="77777777" w:rsidR="00084F36" w:rsidRPr="00EB2BD8" w:rsidRDefault="00EB2BD8">
            <w:pPr>
              <w:pStyle w:val="TableParagraph"/>
              <w:spacing w:before="8"/>
              <w:ind w:right="336"/>
              <w:jc w:val="right"/>
              <w:rPr>
                <w:rFonts w:ascii="Arial"/>
                <w:b/>
                <w:sz w:val="16"/>
              </w:rPr>
            </w:pPr>
            <w:r w:rsidRPr="00EB2BD8">
              <w:rPr>
                <w:rFonts w:ascii="Arial"/>
                <w:b/>
                <w:w w:val="105"/>
                <w:sz w:val="16"/>
              </w:rPr>
              <w:t>1</w:t>
            </w:r>
            <w:r w:rsidRPr="00EB2BD8">
              <w:rPr>
                <w:rFonts w:ascii="Arial"/>
                <w:b/>
                <w:spacing w:val="-2"/>
                <w:w w:val="105"/>
                <w:sz w:val="16"/>
              </w:rPr>
              <w:t xml:space="preserve"> </w:t>
            </w:r>
            <w:r w:rsidRPr="00EB2BD8">
              <w:rPr>
                <w:rFonts w:ascii="Arial"/>
                <w:b/>
                <w:spacing w:val="-4"/>
                <w:w w:val="105"/>
                <w:sz w:val="16"/>
              </w:rPr>
              <w:t>year</w:t>
            </w:r>
          </w:p>
        </w:tc>
        <w:tc>
          <w:tcPr>
            <w:tcW w:w="1103" w:type="dxa"/>
            <w:shd w:val="clear" w:color="auto" w:fill="0070C0"/>
          </w:tcPr>
          <w:p w14:paraId="465D47B0" w14:textId="77777777" w:rsidR="00084F36" w:rsidRPr="00EB2BD8" w:rsidRDefault="00EB2BD8">
            <w:pPr>
              <w:pStyle w:val="TableParagraph"/>
              <w:spacing w:before="2"/>
              <w:ind w:right="324"/>
              <w:jc w:val="right"/>
              <w:rPr>
                <w:rFonts w:ascii="Arial"/>
                <w:b/>
                <w:sz w:val="16"/>
              </w:rPr>
            </w:pPr>
            <w:r w:rsidRPr="00EB2BD8">
              <w:rPr>
                <w:rFonts w:ascii="Arial"/>
                <w:b/>
                <w:sz w:val="16"/>
              </w:rPr>
              <w:t>1-</w:t>
            </w:r>
            <w:r w:rsidRPr="00EB2BD8">
              <w:rPr>
                <w:rFonts w:ascii="Arial"/>
                <w:b/>
                <w:spacing w:val="-10"/>
                <w:sz w:val="16"/>
              </w:rPr>
              <w:t>5</w:t>
            </w:r>
          </w:p>
          <w:p w14:paraId="03940980" w14:textId="77777777" w:rsidR="00084F36" w:rsidRPr="00EB2BD8" w:rsidRDefault="00EB2BD8">
            <w:pPr>
              <w:pStyle w:val="TableParagraph"/>
              <w:spacing w:before="8"/>
              <w:ind w:right="324"/>
              <w:jc w:val="right"/>
              <w:rPr>
                <w:rFonts w:ascii="Arial"/>
                <w:b/>
                <w:sz w:val="16"/>
              </w:rPr>
            </w:pPr>
            <w:r w:rsidRPr="00EB2BD8">
              <w:rPr>
                <w:rFonts w:ascii="Arial"/>
                <w:b/>
                <w:spacing w:val="-2"/>
                <w:w w:val="105"/>
                <w:sz w:val="16"/>
              </w:rPr>
              <w:t>years</w:t>
            </w:r>
          </w:p>
        </w:tc>
        <w:tc>
          <w:tcPr>
            <w:tcW w:w="1209" w:type="dxa"/>
            <w:shd w:val="clear" w:color="auto" w:fill="0070C0"/>
          </w:tcPr>
          <w:p w14:paraId="613D2FD1" w14:textId="77777777" w:rsidR="00084F36" w:rsidRPr="00EB2BD8" w:rsidRDefault="00EB2BD8">
            <w:pPr>
              <w:pStyle w:val="TableParagraph"/>
              <w:spacing w:before="2"/>
              <w:ind w:right="443"/>
              <w:jc w:val="right"/>
              <w:rPr>
                <w:rFonts w:ascii="Arial"/>
                <w:b/>
                <w:sz w:val="16"/>
              </w:rPr>
            </w:pPr>
            <w:r w:rsidRPr="00EB2BD8">
              <w:rPr>
                <w:rFonts w:ascii="Arial"/>
                <w:b/>
                <w:spacing w:val="-5"/>
                <w:w w:val="105"/>
                <w:sz w:val="16"/>
              </w:rPr>
              <w:t>5+</w:t>
            </w:r>
          </w:p>
          <w:p w14:paraId="0360473C" w14:textId="77777777" w:rsidR="00084F36" w:rsidRPr="00EB2BD8" w:rsidRDefault="00EB2BD8">
            <w:pPr>
              <w:pStyle w:val="TableParagraph"/>
              <w:spacing w:before="8"/>
              <w:ind w:right="443"/>
              <w:jc w:val="right"/>
              <w:rPr>
                <w:rFonts w:ascii="Arial"/>
                <w:b/>
                <w:sz w:val="16"/>
              </w:rPr>
            </w:pPr>
            <w:r w:rsidRPr="00EB2BD8">
              <w:rPr>
                <w:rFonts w:ascii="Arial"/>
                <w:b/>
                <w:spacing w:val="-2"/>
                <w:w w:val="105"/>
                <w:sz w:val="16"/>
              </w:rPr>
              <w:t>years</w:t>
            </w:r>
          </w:p>
        </w:tc>
        <w:tc>
          <w:tcPr>
            <w:tcW w:w="964" w:type="dxa"/>
            <w:shd w:val="clear" w:color="auto" w:fill="0070C0"/>
          </w:tcPr>
          <w:p w14:paraId="1F998843" w14:textId="77777777" w:rsidR="00084F36" w:rsidRPr="00EB2BD8" w:rsidRDefault="00EB2BD8">
            <w:pPr>
              <w:pStyle w:val="TableParagraph"/>
              <w:spacing w:before="98"/>
              <w:ind w:right="99"/>
              <w:jc w:val="right"/>
              <w:rPr>
                <w:rFonts w:ascii="Arial"/>
                <w:b/>
                <w:sz w:val="16"/>
              </w:rPr>
            </w:pPr>
            <w:r w:rsidRPr="00EB2BD8">
              <w:rPr>
                <w:rFonts w:ascii="Arial"/>
                <w:b/>
                <w:spacing w:val="-2"/>
                <w:w w:val="105"/>
                <w:sz w:val="16"/>
              </w:rPr>
              <w:t>Total</w:t>
            </w:r>
          </w:p>
        </w:tc>
      </w:tr>
      <w:tr w:rsidR="00EB2BD8" w:rsidRPr="00EB2BD8" w14:paraId="11AD0CD9" w14:textId="77777777">
        <w:trPr>
          <w:trHeight w:val="364"/>
        </w:trPr>
        <w:tc>
          <w:tcPr>
            <w:tcW w:w="4474" w:type="dxa"/>
            <w:shd w:val="clear" w:color="auto" w:fill="FFFFFF"/>
          </w:tcPr>
          <w:p w14:paraId="7852FC56" w14:textId="77777777" w:rsidR="00084F36" w:rsidRPr="00EB2BD8" w:rsidRDefault="00EB2BD8">
            <w:pPr>
              <w:pStyle w:val="TableParagraph"/>
              <w:spacing w:before="114"/>
              <w:ind w:left="100"/>
              <w:rPr>
                <w:rFonts w:ascii="Arial"/>
                <w:sz w:val="16"/>
              </w:rPr>
            </w:pPr>
            <w:r w:rsidRPr="00EB2BD8">
              <w:rPr>
                <w:rFonts w:ascii="Arial"/>
                <w:w w:val="105"/>
                <w:sz w:val="16"/>
              </w:rPr>
              <w:t>Capital</w:t>
            </w:r>
            <w:r w:rsidRPr="00EB2BD8">
              <w:rPr>
                <w:rFonts w:ascii="Arial"/>
                <w:spacing w:val="-12"/>
                <w:w w:val="105"/>
                <w:sz w:val="16"/>
              </w:rPr>
              <w:t xml:space="preserve"> </w:t>
            </w:r>
            <w:r w:rsidRPr="00EB2BD8">
              <w:rPr>
                <w:rFonts w:ascii="Arial"/>
                <w:w w:val="105"/>
                <w:sz w:val="16"/>
              </w:rPr>
              <w:t>expenditure</w:t>
            </w:r>
            <w:r w:rsidRPr="00EB2BD8">
              <w:rPr>
                <w:rFonts w:ascii="Arial"/>
                <w:spacing w:val="-12"/>
                <w:w w:val="105"/>
                <w:sz w:val="16"/>
              </w:rPr>
              <w:t xml:space="preserve"> </w:t>
            </w:r>
            <w:r w:rsidRPr="00EB2BD8">
              <w:rPr>
                <w:rFonts w:ascii="Arial"/>
                <w:w w:val="105"/>
                <w:sz w:val="16"/>
              </w:rPr>
              <w:t>commitments</w:t>
            </w:r>
            <w:r w:rsidRPr="00EB2BD8">
              <w:rPr>
                <w:rFonts w:ascii="Arial"/>
                <w:spacing w:val="-11"/>
                <w:w w:val="105"/>
                <w:sz w:val="16"/>
              </w:rPr>
              <w:t xml:space="preserve"> </w:t>
            </w:r>
            <w:r w:rsidRPr="00EB2BD8">
              <w:rPr>
                <w:rFonts w:ascii="Arial"/>
                <w:spacing w:val="-2"/>
                <w:w w:val="105"/>
                <w:sz w:val="16"/>
              </w:rPr>
              <w:t>payable</w:t>
            </w:r>
          </w:p>
        </w:tc>
        <w:tc>
          <w:tcPr>
            <w:tcW w:w="1509" w:type="dxa"/>
            <w:shd w:val="clear" w:color="auto" w:fill="FFFFFF"/>
          </w:tcPr>
          <w:p w14:paraId="22A77969" w14:textId="77777777" w:rsidR="00084F36" w:rsidRPr="00EB2BD8" w:rsidRDefault="00EB2BD8">
            <w:pPr>
              <w:pStyle w:val="TableParagraph"/>
              <w:spacing w:before="114"/>
              <w:ind w:right="336"/>
              <w:jc w:val="right"/>
              <w:rPr>
                <w:rFonts w:ascii="Arial"/>
                <w:sz w:val="16"/>
              </w:rPr>
            </w:pPr>
            <w:r w:rsidRPr="00EB2BD8">
              <w:rPr>
                <w:rFonts w:ascii="Arial"/>
                <w:spacing w:val="-5"/>
                <w:w w:val="105"/>
                <w:sz w:val="16"/>
              </w:rPr>
              <w:t>124</w:t>
            </w:r>
          </w:p>
        </w:tc>
        <w:tc>
          <w:tcPr>
            <w:tcW w:w="1103" w:type="dxa"/>
            <w:shd w:val="clear" w:color="auto" w:fill="FFFFFF"/>
          </w:tcPr>
          <w:p w14:paraId="0DE988E4" w14:textId="77777777" w:rsidR="00084F36" w:rsidRPr="00EB2BD8" w:rsidRDefault="00EB2BD8">
            <w:pPr>
              <w:pStyle w:val="TableParagraph"/>
              <w:spacing w:before="114"/>
              <w:ind w:right="324"/>
              <w:jc w:val="right"/>
              <w:rPr>
                <w:rFonts w:ascii="Arial"/>
                <w:sz w:val="16"/>
              </w:rPr>
            </w:pPr>
            <w:r w:rsidRPr="00EB2BD8">
              <w:rPr>
                <w:rFonts w:ascii="Arial"/>
                <w:spacing w:val="-5"/>
                <w:w w:val="105"/>
                <w:sz w:val="16"/>
              </w:rPr>
              <w:t>500</w:t>
            </w:r>
          </w:p>
        </w:tc>
        <w:tc>
          <w:tcPr>
            <w:tcW w:w="1209" w:type="dxa"/>
            <w:shd w:val="clear" w:color="auto" w:fill="FFFFFF"/>
          </w:tcPr>
          <w:p w14:paraId="53353AD7" w14:textId="77777777" w:rsidR="00084F36" w:rsidRPr="00EB2BD8" w:rsidRDefault="00EB2BD8">
            <w:pPr>
              <w:pStyle w:val="TableParagraph"/>
              <w:spacing w:before="114"/>
              <w:ind w:right="442"/>
              <w:jc w:val="right"/>
              <w:rPr>
                <w:rFonts w:ascii="Arial"/>
                <w:sz w:val="16"/>
              </w:rPr>
            </w:pPr>
            <w:r w:rsidRPr="00EB2BD8">
              <w:rPr>
                <w:rFonts w:ascii="Arial"/>
                <w:w w:val="104"/>
                <w:sz w:val="16"/>
              </w:rPr>
              <w:t>-</w:t>
            </w:r>
          </w:p>
        </w:tc>
        <w:tc>
          <w:tcPr>
            <w:tcW w:w="964" w:type="dxa"/>
            <w:shd w:val="clear" w:color="auto" w:fill="FFFFFF"/>
          </w:tcPr>
          <w:p w14:paraId="3C1F23CC" w14:textId="77777777" w:rsidR="00084F36" w:rsidRPr="00EB2BD8" w:rsidRDefault="00EB2BD8">
            <w:pPr>
              <w:pStyle w:val="TableParagraph"/>
              <w:spacing w:before="114"/>
              <w:ind w:right="100"/>
              <w:jc w:val="right"/>
              <w:rPr>
                <w:rFonts w:ascii="Arial"/>
                <w:sz w:val="16"/>
              </w:rPr>
            </w:pPr>
            <w:r w:rsidRPr="00EB2BD8">
              <w:rPr>
                <w:rFonts w:ascii="Arial"/>
                <w:spacing w:val="-5"/>
                <w:w w:val="105"/>
                <w:sz w:val="16"/>
              </w:rPr>
              <w:t>624</w:t>
            </w:r>
          </w:p>
        </w:tc>
      </w:tr>
      <w:tr w:rsidR="00EB2BD8" w:rsidRPr="00EB2BD8" w14:paraId="0976746A" w14:textId="77777777">
        <w:trPr>
          <w:trHeight w:val="314"/>
        </w:trPr>
        <w:tc>
          <w:tcPr>
            <w:tcW w:w="4474" w:type="dxa"/>
            <w:tcBorders>
              <w:bottom w:val="single" w:sz="12" w:space="0" w:color="000000"/>
            </w:tcBorders>
            <w:shd w:val="clear" w:color="auto" w:fill="FFFFFF"/>
          </w:tcPr>
          <w:p w14:paraId="36D29C1A" w14:textId="77777777" w:rsidR="00084F36" w:rsidRPr="00EB2BD8" w:rsidRDefault="00EB2BD8">
            <w:pPr>
              <w:pStyle w:val="TableParagraph"/>
              <w:spacing w:before="67"/>
              <w:ind w:left="100"/>
              <w:rPr>
                <w:rFonts w:ascii="Arial"/>
                <w:sz w:val="16"/>
              </w:rPr>
            </w:pPr>
            <w:r w:rsidRPr="00EB2BD8">
              <w:rPr>
                <w:rFonts w:ascii="Arial"/>
                <w:w w:val="105"/>
                <w:sz w:val="16"/>
              </w:rPr>
              <w:t>Other</w:t>
            </w:r>
            <w:r w:rsidRPr="00EB2BD8">
              <w:rPr>
                <w:rFonts w:ascii="Arial"/>
                <w:spacing w:val="-10"/>
                <w:w w:val="105"/>
                <w:sz w:val="16"/>
              </w:rPr>
              <w:t xml:space="preserve"> </w:t>
            </w:r>
            <w:r w:rsidRPr="00EB2BD8">
              <w:rPr>
                <w:rFonts w:ascii="Arial"/>
                <w:w w:val="105"/>
                <w:sz w:val="16"/>
              </w:rPr>
              <w:t>commitments</w:t>
            </w:r>
            <w:r w:rsidRPr="00EB2BD8">
              <w:rPr>
                <w:rFonts w:ascii="Arial"/>
                <w:spacing w:val="-10"/>
                <w:w w:val="105"/>
                <w:sz w:val="16"/>
              </w:rPr>
              <w:t xml:space="preserve"> </w:t>
            </w:r>
            <w:r w:rsidRPr="00EB2BD8">
              <w:rPr>
                <w:rFonts w:ascii="Arial"/>
                <w:spacing w:val="-2"/>
                <w:w w:val="105"/>
                <w:sz w:val="16"/>
              </w:rPr>
              <w:t>payable</w:t>
            </w:r>
          </w:p>
        </w:tc>
        <w:tc>
          <w:tcPr>
            <w:tcW w:w="1509" w:type="dxa"/>
            <w:tcBorders>
              <w:bottom w:val="single" w:sz="12" w:space="0" w:color="000000"/>
            </w:tcBorders>
            <w:shd w:val="clear" w:color="auto" w:fill="FFFFFF"/>
          </w:tcPr>
          <w:p w14:paraId="48BB5EEC" w14:textId="77777777" w:rsidR="00084F36" w:rsidRPr="00EB2BD8" w:rsidRDefault="00EB2BD8">
            <w:pPr>
              <w:pStyle w:val="TableParagraph"/>
              <w:spacing w:before="67"/>
              <w:ind w:right="336"/>
              <w:jc w:val="right"/>
              <w:rPr>
                <w:rFonts w:ascii="Arial"/>
                <w:sz w:val="16"/>
              </w:rPr>
            </w:pPr>
            <w:r w:rsidRPr="00EB2BD8">
              <w:rPr>
                <w:rFonts w:ascii="Arial"/>
                <w:spacing w:val="-2"/>
                <w:w w:val="105"/>
                <w:sz w:val="16"/>
              </w:rPr>
              <w:t>1,368</w:t>
            </w:r>
          </w:p>
        </w:tc>
        <w:tc>
          <w:tcPr>
            <w:tcW w:w="1103" w:type="dxa"/>
            <w:tcBorders>
              <w:bottom w:val="single" w:sz="12" w:space="0" w:color="000000"/>
            </w:tcBorders>
            <w:shd w:val="clear" w:color="auto" w:fill="FFFFFF"/>
          </w:tcPr>
          <w:p w14:paraId="57355687" w14:textId="77777777" w:rsidR="00084F36" w:rsidRPr="00EB2BD8" w:rsidRDefault="00EB2BD8">
            <w:pPr>
              <w:pStyle w:val="TableParagraph"/>
              <w:spacing w:before="67"/>
              <w:ind w:right="324"/>
              <w:jc w:val="right"/>
              <w:rPr>
                <w:rFonts w:ascii="Arial"/>
                <w:sz w:val="16"/>
              </w:rPr>
            </w:pPr>
            <w:r w:rsidRPr="00EB2BD8">
              <w:rPr>
                <w:rFonts w:ascii="Arial"/>
                <w:spacing w:val="-2"/>
                <w:w w:val="105"/>
                <w:sz w:val="16"/>
              </w:rPr>
              <w:t>1,715</w:t>
            </w:r>
          </w:p>
        </w:tc>
        <w:tc>
          <w:tcPr>
            <w:tcW w:w="1209" w:type="dxa"/>
            <w:tcBorders>
              <w:bottom w:val="single" w:sz="12" w:space="0" w:color="000000"/>
            </w:tcBorders>
            <w:shd w:val="clear" w:color="auto" w:fill="FFFFFF"/>
          </w:tcPr>
          <w:p w14:paraId="34456E3B" w14:textId="77777777" w:rsidR="00084F36" w:rsidRPr="00EB2BD8" w:rsidRDefault="00EB2BD8">
            <w:pPr>
              <w:pStyle w:val="TableParagraph"/>
              <w:spacing w:before="67"/>
              <w:ind w:right="442"/>
              <w:jc w:val="right"/>
              <w:rPr>
                <w:rFonts w:ascii="Arial"/>
                <w:sz w:val="16"/>
              </w:rPr>
            </w:pPr>
            <w:r w:rsidRPr="00EB2BD8">
              <w:rPr>
                <w:rFonts w:ascii="Arial"/>
                <w:w w:val="104"/>
                <w:sz w:val="16"/>
              </w:rPr>
              <w:t>-</w:t>
            </w:r>
          </w:p>
        </w:tc>
        <w:tc>
          <w:tcPr>
            <w:tcW w:w="964" w:type="dxa"/>
            <w:tcBorders>
              <w:bottom w:val="single" w:sz="12" w:space="0" w:color="000000"/>
            </w:tcBorders>
            <w:shd w:val="clear" w:color="auto" w:fill="FFFFFF"/>
          </w:tcPr>
          <w:p w14:paraId="66A2AA91" w14:textId="77777777" w:rsidR="00084F36" w:rsidRPr="00EB2BD8" w:rsidRDefault="00EB2BD8">
            <w:pPr>
              <w:pStyle w:val="TableParagraph"/>
              <w:spacing w:before="67"/>
              <w:ind w:right="100"/>
              <w:jc w:val="right"/>
              <w:rPr>
                <w:rFonts w:ascii="Arial"/>
                <w:sz w:val="16"/>
              </w:rPr>
            </w:pPr>
            <w:r w:rsidRPr="00EB2BD8">
              <w:rPr>
                <w:rFonts w:ascii="Arial"/>
                <w:spacing w:val="-2"/>
                <w:w w:val="105"/>
                <w:sz w:val="16"/>
              </w:rPr>
              <w:t>3,083</w:t>
            </w:r>
          </w:p>
        </w:tc>
      </w:tr>
      <w:tr w:rsidR="00EB2BD8" w:rsidRPr="00EB2BD8" w14:paraId="369838C4" w14:textId="77777777">
        <w:trPr>
          <w:trHeight w:val="296"/>
        </w:trPr>
        <w:tc>
          <w:tcPr>
            <w:tcW w:w="4474" w:type="dxa"/>
            <w:tcBorders>
              <w:top w:val="single" w:sz="12" w:space="0" w:color="000000"/>
            </w:tcBorders>
            <w:shd w:val="clear" w:color="auto" w:fill="FFFFFF"/>
          </w:tcPr>
          <w:p w14:paraId="205CC407" w14:textId="77777777" w:rsidR="00084F36" w:rsidRPr="00EB2BD8" w:rsidRDefault="00EB2BD8">
            <w:pPr>
              <w:pStyle w:val="TableParagraph"/>
              <w:spacing w:before="52"/>
              <w:ind w:left="100"/>
              <w:rPr>
                <w:rFonts w:ascii="Arial"/>
                <w:b/>
                <w:sz w:val="16"/>
              </w:rPr>
            </w:pPr>
            <w:r w:rsidRPr="00EB2BD8">
              <w:rPr>
                <w:rFonts w:ascii="Arial"/>
                <w:b/>
                <w:w w:val="105"/>
                <w:sz w:val="16"/>
              </w:rPr>
              <w:t>Total</w:t>
            </w:r>
            <w:r w:rsidRPr="00EB2BD8">
              <w:rPr>
                <w:rFonts w:ascii="Arial"/>
                <w:b/>
                <w:spacing w:val="-11"/>
                <w:w w:val="105"/>
                <w:sz w:val="16"/>
              </w:rPr>
              <w:t xml:space="preserve"> </w:t>
            </w:r>
            <w:r w:rsidRPr="00EB2BD8">
              <w:rPr>
                <w:rFonts w:ascii="Arial"/>
                <w:b/>
                <w:w w:val="105"/>
                <w:sz w:val="16"/>
              </w:rPr>
              <w:t>commitments</w:t>
            </w:r>
            <w:r w:rsidRPr="00EB2BD8">
              <w:rPr>
                <w:rFonts w:ascii="Arial"/>
                <w:b/>
                <w:spacing w:val="-9"/>
                <w:w w:val="105"/>
                <w:sz w:val="16"/>
              </w:rPr>
              <w:t xml:space="preserve"> </w:t>
            </w:r>
            <w:r w:rsidRPr="00EB2BD8">
              <w:rPr>
                <w:rFonts w:ascii="Arial"/>
                <w:b/>
                <w:w w:val="105"/>
                <w:sz w:val="16"/>
              </w:rPr>
              <w:t>(inclusive</w:t>
            </w:r>
            <w:r w:rsidRPr="00EB2BD8">
              <w:rPr>
                <w:rFonts w:ascii="Arial"/>
                <w:b/>
                <w:spacing w:val="-8"/>
                <w:w w:val="105"/>
                <w:sz w:val="16"/>
              </w:rPr>
              <w:t xml:space="preserve"> </w:t>
            </w:r>
            <w:r w:rsidRPr="00EB2BD8">
              <w:rPr>
                <w:rFonts w:ascii="Arial"/>
                <w:b/>
                <w:w w:val="105"/>
                <w:sz w:val="16"/>
              </w:rPr>
              <w:t>of</w:t>
            </w:r>
            <w:r w:rsidRPr="00EB2BD8">
              <w:rPr>
                <w:rFonts w:ascii="Arial"/>
                <w:b/>
                <w:spacing w:val="-9"/>
                <w:w w:val="105"/>
                <w:sz w:val="16"/>
              </w:rPr>
              <w:t xml:space="preserve"> </w:t>
            </w:r>
            <w:r w:rsidRPr="00EB2BD8">
              <w:rPr>
                <w:rFonts w:ascii="Arial"/>
                <w:b/>
                <w:spacing w:val="-4"/>
                <w:w w:val="105"/>
                <w:sz w:val="16"/>
              </w:rPr>
              <w:t>GST)</w:t>
            </w:r>
          </w:p>
        </w:tc>
        <w:tc>
          <w:tcPr>
            <w:tcW w:w="1509" w:type="dxa"/>
            <w:tcBorders>
              <w:top w:val="single" w:sz="12" w:space="0" w:color="000000"/>
            </w:tcBorders>
            <w:shd w:val="clear" w:color="auto" w:fill="FFFFFF"/>
          </w:tcPr>
          <w:p w14:paraId="21D8F8E4" w14:textId="77777777" w:rsidR="00084F36" w:rsidRPr="00EB2BD8" w:rsidRDefault="00EB2BD8">
            <w:pPr>
              <w:pStyle w:val="TableParagraph"/>
              <w:spacing w:before="52"/>
              <w:ind w:right="336"/>
              <w:jc w:val="right"/>
              <w:rPr>
                <w:rFonts w:ascii="Arial"/>
                <w:sz w:val="16"/>
              </w:rPr>
            </w:pPr>
            <w:r w:rsidRPr="00EB2BD8">
              <w:rPr>
                <w:rFonts w:ascii="Arial"/>
                <w:spacing w:val="-2"/>
                <w:w w:val="105"/>
                <w:sz w:val="16"/>
              </w:rPr>
              <w:t>1,492</w:t>
            </w:r>
          </w:p>
        </w:tc>
        <w:tc>
          <w:tcPr>
            <w:tcW w:w="1103" w:type="dxa"/>
            <w:tcBorders>
              <w:top w:val="single" w:sz="12" w:space="0" w:color="000000"/>
            </w:tcBorders>
            <w:shd w:val="clear" w:color="auto" w:fill="FFFFFF"/>
          </w:tcPr>
          <w:p w14:paraId="1BD10D16" w14:textId="77777777" w:rsidR="00084F36" w:rsidRPr="00EB2BD8" w:rsidRDefault="00EB2BD8">
            <w:pPr>
              <w:pStyle w:val="TableParagraph"/>
              <w:spacing w:before="52"/>
              <w:ind w:right="324"/>
              <w:jc w:val="right"/>
              <w:rPr>
                <w:rFonts w:ascii="Arial"/>
                <w:sz w:val="16"/>
              </w:rPr>
            </w:pPr>
            <w:r w:rsidRPr="00EB2BD8">
              <w:rPr>
                <w:rFonts w:ascii="Arial"/>
                <w:spacing w:val="-2"/>
                <w:w w:val="105"/>
                <w:sz w:val="16"/>
              </w:rPr>
              <w:t>2,215</w:t>
            </w:r>
          </w:p>
        </w:tc>
        <w:tc>
          <w:tcPr>
            <w:tcW w:w="1209" w:type="dxa"/>
            <w:tcBorders>
              <w:top w:val="single" w:sz="12" w:space="0" w:color="000000"/>
            </w:tcBorders>
            <w:shd w:val="clear" w:color="auto" w:fill="FFFFFF"/>
          </w:tcPr>
          <w:p w14:paraId="3DEFB8B1" w14:textId="77777777" w:rsidR="00084F36" w:rsidRPr="00EB2BD8" w:rsidRDefault="00EB2BD8">
            <w:pPr>
              <w:pStyle w:val="TableParagraph"/>
              <w:spacing w:before="52"/>
              <w:ind w:right="442"/>
              <w:jc w:val="right"/>
              <w:rPr>
                <w:rFonts w:ascii="Arial"/>
                <w:sz w:val="16"/>
              </w:rPr>
            </w:pPr>
            <w:r w:rsidRPr="00EB2BD8">
              <w:rPr>
                <w:rFonts w:ascii="Arial"/>
                <w:w w:val="104"/>
                <w:sz w:val="16"/>
              </w:rPr>
              <w:t>-</w:t>
            </w:r>
          </w:p>
        </w:tc>
        <w:tc>
          <w:tcPr>
            <w:tcW w:w="964" w:type="dxa"/>
            <w:tcBorders>
              <w:top w:val="single" w:sz="12" w:space="0" w:color="000000"/>
            </w:tcBorders>
            <w:shd w:val="clear" w:color="auto" w:fill="FFFFFF"/>
          </w:tcPr>
          <w:p w14:paraId="308D44E1" w14:textId="77777777" w:rsidR="00084F36" w:rsidRPr="00EB2BD8" w:rsidRDefault="00EB2BD8">
            <w:pPr>
              <w:pStyle w:val="TableParagraph"/>
              <w:spacing w:before="52"/>
              <w:ind w:right="100"/>
              <w:jc w:val="right"/>
              <w:rPr>
                <w:rFonts w:ascii="Arial"/>
                <w:sz w:val="16"/>
              </w:rPr>
            </w:pPr>
            <w:r w:rsidRPr="00EB2BD8">
              <w:rPr>
                <w:rFonts w:ascii="Arial"/>
                <w:spacing w:val="-2"/>
                <w:w w:val="105"/>
                <w:sz w:val="16"/>
              </w:rPr>
              <w:t>3,707</w:t>
            </w:r>
          </w:p>
        </w:tc>
      </w:tr>
      <w:tr w:rsidR="00EB2BD8" w:rsidRPr="00EB2BD8" w14:paraId="1841B94A" w14:textId="77777777">
        <w:trPr>
          <w:trHeight w:val="307"/>
        </w:trPr>
        <w:tc>
          <w:tcPr>
            <w:tcW w:w="4474" w:type="dxa"/>
            <w:tcBorders>
              <w:bottom w:val="single" w:sz="12" w:space="0" w:color="000000"/>
            </w:tcBorders>
            <w:shd w:val="clear" w:color="auto" w:fill="FFFFFF"/>
          </w:tcPr>
          <w:p w14:paraId="08C6868E" w14:textId="77777777" w:rsidR="00084F36" w:rsidRPr="00EB2BD8" w:rsidRDefault="00EB2BD8">
            <w:pPr>
              <w:pStyle w:val="TableParagraph"/>
              <w:spacing w:before="60"/>
              <w:ind w:left="100"/>
              <w:rPr>
                <w:rFonts w:ascii="Arial"/>
                <w:sz w:val="16"/>
              </w:rPr>
            </w:pPr>
            <w:r w:rsidRPr="00EB2BD8">
              <w:rPr>
                <w:rFonts w:ascii="Arial"/>
                <w:w w:val="105"/>
                <w:sz w:val="16"/>
              </w:rPr>
              <w:t>Less:</w:t>
            </w:r>
            <w:r w:rsidRPr="00EB2BD8">
              <w:rPr>
                <w:rFonts w:ascii="Arial"/>
                <w:spacing w:val="-8"/>
                <w:w w:val="105"/>
                <w:sz w:val="16"/>
              </w:rPr>
              <w:t xml:space="preserve"> </w:t>
            </w:r>
            <w:r w:rsidRPr="00EB2BD8">
              <w:rPr>
                <w:rFonts w:ascii="Arial"/>
                <w:w w:val="105"/>
                <w:sz w:val="16"/>
              </w:rPr>
              <w:t>GST</w:t>
            </w:r>
            <w:r w:rsidRPr="00EB2BD8">
              <w:rPr>
                <w:rFonts w:ascii="Arial"/>
                <w:spacing w:val="-6"/>
                <w:w w:val="105"/>
                <w:sz w:val="16"/>
              </w:rPr>
              <w:t xml:space="preserve"> </w:t>
            </w:r>
            <w:r w:rsidRPr="00EB2BD8">
              <w:rPr>
                <w:rFonts w:ascii="Arial"/>
                <w:w w:val="105"/>
                <w:sz w:val="16"/>
              </w:rPr>
              <w:t>recoverable</w:t>
            </w:r>
            <w:r w:rsidRPr="00EB2BD8">
              <w:rPr>
                <w:rFonts w:ascii="Arial"/>
                <w:spacing w:val="-7"/>
                <w:w w:val="105"/>
                <w:sz w:val="16"/>
              </w:rPr>
              <w:t xml:space="preserve"> </w:t>
            </w:r>
            <w:r w:rsidRPr="00EB2BD8">
              <w:rPr>
                <w:rFonts w:ascii="Arial"/>
                <w:w w:val="105"/>
                <w:sz w:val="16"/>
              </w:rPr>
              <w:t>from</w:t>
            </w:r>
            <w:r w:rsidRPr="00EB2BD8">
              <w:rPr>
                <w:rFonts w:ascii="Arial"/>
                <w:spacing w:val="-7"/>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Australian</w:t>
            </w:r>
            <w:r w:rsidRPr="00EB2BD8">
              <w:rPr>
                <w:rFonts w:ascii="Arial"/>
                <w:spacing w:val="-8"/>
                <w:w w:val="105"/>
                <w:sz w:val="16"/>
              </w:rPr>
              <w:t xml:space="preserve"> </w:t>
            </w:r>
            <w:r w:rsidRPr="00EB2BD8">
              <w:rPr>
                <w:rFonts w:ascii="Arial"/>
                <w:w w:val="105"/>
                <w:sz w:val="16"/>
              </w:rPr>
              <w:t>Tax</w:t>
            </w:r>
            <w:r w:rsidRPr="00EB2BD8">
              <w:rPr>
                <w:rFonts w:ascii="Arial"/>
                <w:spacing w:val="-7"/>
                <w:w w:val="105"/>
                <w:sz w:val="16"/>
              </w:rPr>
              <w:t xml:space="preserve"> </w:t>
            </w:r>
            <w:r w:rsidRPr="00EB2BD8">
              <w:rPr>
                <w:rFonts w:ascii="Arial"/>
                <w:spacing w:val="-2"/>
                <w:w w:val="105"/>
                <w:sz w:val="16"/>
              </w:rPr>
              <w:t>Office</w:t>
            </w:r>
          </w:p>
        </w:tc>
        <w:tc>
          <w:tcPr>
            <w:tcW w:w="1509" w:type="dxa"/>
            <w:tcBorders>
              <w:bottom w:val="single" w:sz="12" w:space="0" w:color="000000"/>
            </w:tcBorders>
            <w:shd w:val="clear" w:color="auto" w:fill="FFFFFF"/>
          </w:tcPr>
          <w:p w14:paraId="4324B6C6" w14:textId="77777777" w:rsidR="00084F36" w:rsidRPr="00EB2BD8" w:rsidRDefault="00084F36">
            <w:pPr>
              <w:pStyle w:val="TableParagraph"/>
              <w:rPr>
                <w:rFonts w:ascii="Times New Roman"/>
                <w:sz w:val="16"/>
              </w:rPr>
            </w:pPr>
          </w:p>
        </w:tc>
        <w:tc>
          <w:tcPr>
            <w:tcW w:w="1103" w:type="dxa"/>
            <w:tcBorders>
              <w:bottom w:val="single" w:sz="12" w:space="0" w:color="000000"/>
            </w:tcBorders>
            <w:shd w:val="clear" w:color="auto" w:fill="FFFFFF"/>
          </w:tcPr>
          <w:p w14:paraId="7284A4D1" w14:textId="77777777" w:rsidR="00084F36" w:rsidRPr="00EB2BD8" w:rsidRDefault="00084F36">
            <w:pPr>
              <w:pStyle w:val="TableParagraph"/>
              <w:rPr>
                <w:rFonts w:ascii="Times New Roman"/>
                <w:sz w:val="16"/>
              </w:rPr>
            </w:pPr>
          </w:p>
        </w:tc>
        <w:tc>
          <w:tcPr>
            <w:tcW w:w="1209" w:type="dxa"/>
            <w:tcBorders>
              <w:bottom w:val="single" w:sz="12" w:space="0" w:color="000000"/>
            </w:tcBorders>
            <w:shd w:val="clear" w:color="auto" w:fill="FFFFFF"/>
          </w:tcPr>
          <w:p w14:paraId="65B3CC6D" w14:textId="77777777" w:rsidR="00084F36" w:rsidRPr="00EB2BD8" w:rsidRDefault="00084F36">
            <w:pPr>
              <w:pStyle w:val="TableParagraph"/>
              <w:rPr>
                <w:rFonts w:ascii="Times New Roman"/>
                <w:sz w:val="16"/>
              </w:rPr>
            </w:pPr>
          </w:p>
        </w:tc>
        <w:tc>
          <w:tcPr>
            <w:tcW w:w="964" w:type="dxa"/>
            <w:tcBorders>
              <w:bottom w:val="single" w:sz="12" w:space="0" w:color="000000"/>
            </w:tcBorders>
            <w:shd w:val="clear" w:color="auto" w:fill="FFFFFF"/>
          </w:tcPr>
          <w:p w14:paraId="3DB65E05" w14:textId="77777777" w:rsidR="00084F36" w:rsidRPr="00EB2BD8" w:rsidRDefault="00EB2BD8">
            <w:pPr>
              <w:pStyle w:val="TableParagraph"/>
              <w:spacing w:before="60"/>
              <w:ind w:right="100"/>
              <w:jc w:val="right"/>
              <w:rPr>
                <w:rFonts w:ascii="Arial"/>
                <w:sz w:val="16"/>
              </w:rPr>
            </w:pPr>
            <w:r w:rsidRPr="00EB2BD8">
              <w:rPr>
                <w:rFonts w:ascii="Arial"/>
                <w:spacing w:val="-2"/>
                <w:w w:val="105"/>
                <w:sz w:val="16"/>
              </w:rPr>
              <w:t>(338)</w:t>
            </w:r>
          </w:p>
        </w:tc>
      </w:tr>
      <w:tr w:rsidR="00EB2BD8" w:rsidRPr="00EB2BD8" w14:paraId="0A613245" w14:textId="77777777">
        <w:trPr>
          <w:trHeight w:val="287"/>
        </w:trPr>
        <w:tc>
          <w:tcPr>
            <w:tcW w:w="4474" w:type="dxa"/>
            <w:tcBorders>
              <w:top w:val="single" w:sz="12" w:space="0" w:color="000000"/>
              <w:bottom w:val="single" w:sz="12" w:space="0" w:color="000000"/>
            </w:tcBorders>
            <w:shd w:val="clear" w:color="auto" w:fill="FFFFFF"/>
          </w:tcPr>
          <w:p w14:paraId="2C6E0CB3" w14:textId="77777777" w:rsidR="00084F36" w:rsidRPr="00EB2BD8" w:rsidRDefault="00EB2BD8">
            <w:pPr>
              <w:pStyle w:val="TableParagraph"/>
              <w:spacing w:before="53"/>
              <w:ind w:left="100"/>
              <w:rPr>
                <w:rFonts w:ascii="Arial"/>
                <w:b/>
                <w:sz w:val="16"/>
              </w:rPr>
            </w:pPr>
            <w:r w:rsidRPr="00EB2BD8">
              <w:rPr>
                <w:rFonts w:ascii="Arial"/>
                <w:b/>
                <w:w w:val="105"/>
                <w:sz w:val="16"/>
              </w:rPr>
              <w:t>Total</w:t>
            </w:r>
            <w:r w:rsidRPr="00EB2BD8">
              <w:rPr>
                <w:rFonts w:ascii="Arial"/>
                <w:b/>
                <w:spacing w:val="-9"/>
                <w:w w:val="105"/>
                <w:sz w:val="16"/>
              </w:rPr>
              <w:t xml:space="preserve"> </w:t>
            </w:r>
            <w:r w:rsidRPr="00EB2BD8">
              <w:rPr>
                <w:rFonts w:ascii="Arial"/>
                <w:b/>
                <w:w w:val="105"/>
                <w:sz w:val="16"/>
              </w:rPr>
              <w:t>commitments</w:t>
            </w:r>
            <w:r w:rsidRPr="00EB2BD8">
              <w:rPr>
                <w:rFonts w:ascii="Arial"/>
                <w:b/>
                <w:spacing w:val="-9"/>
                <w:w w:val="105"/>
                <w:sz w:val="16"/>
              </w:rPr>
              <w:t xml:space="preserve"> </w:t>
            </w:r>
            <w:r w:rsidRPr="00EB2BD8">
              <w:rPr>
                <w:rFonts w:ascii="Arial"/>
                <w:b/>
                <w:w w:val="105"/>
                <w:sz w:val="16"/>
              </w:rPr>
              <w:t>(exclusive</w:t>
            </w:r>
            <w:r w:rsidRPr="00EB2BD8">
              <w:rPr>
                <w:rFonts w:ascii="Arial"/>
                <w:b/>
                <w:spacing w:val="-9"/>
                <w:w w:val="105"/>
                <w:sz w:val="16"/>
              </w:rPr>
              <w:t xml:space="preserve"> </w:t>
            </w:r>
            <w:r w:rsidRPr="00EB2BD8">
              <w:rPr>
                <w:rFonts w:ascii="Arial"/>
                <w:b/>
                <w:w w:val="105"/>
                <w:sz w:val="16"/>
              </w:rPr>
              <w:t>of</w:t>
            </w:r>
            <w:r w:rsidRPr="00EB2BD8">
              <w:rPr>
                <w:rFonts w:ascii="Arial"/>
                <w:b/>
                <w:spacing w:val="-10"/>
                <w:w w:val="105"/>
                <w:sz w:val="16"/>
              </w:rPr>
              <w:t xml:space="preserve"> </w:t>
            </w:r>
            <w:r w:rsidRPr="00EB2BD8">
              <w:rPr>
                <w:rFonts w:ascii="Arial"/>
                <w:b/>
                <w:spacing w:val="-4"/>
                <w:w w:val="105"/>
                <w:sz w:val="16"/>
              </w:rPr>
              <w:t>GST)</w:t>
            </w:r>
          </w:p>
        </w:tc>
        <w:tc>
          <w:tcPr>
            <w:tcW w:w="1509" w:type="dxa"/>
            <w:tcBorders>
              <w:top w:val="single" w:sz="12" w:space="0" w:color="000000"/>
              <w:bottom w:val="single" w:sz="12" w:space="0" w:color="000000"/>
            </w:tcBorders>
            <w:shd w:val="clear" w:color="auto" w:fill="FFFFFF"/>
          </w:tcPr>
          <w:p w14:paraId="14E9E714" w14:textId="77777777" w:rsidR="00084F36" w:rsidRPr="00EB2BD8" w:rsidRDefault="00084F36">
            <w:pPr>
              <w:pStyle w:val="TableParagraph"/>
              <w:rPr>
                <w:rFonts w:ascii="Times New Roman"/>
                <w:sz w:val="16"/>
              </w:rPr>
            </w:pPr>
          </w:p>
        </w:tc>
        <w:tc>
          <w:tcPr>
            <w:tcW w:w="1103" w:type="dxa"/>
            <w:tcBorders>
              <w:top w:val="single" w:sz="12" w:space="0" w:color="000000"/>
              <w:bottom w:val="single" w:sz="12" w:space="0" w:color="000000"/>
            </w:tcBorders>
            <w:shd w:val="clear" w:color="auto" w:fill="FFFFFF"/>
          </w:tcPr>
          <w:p w14:paraId="6C5298A5" w14:textId="77777777" w:rsidR="00084F36" w:rsidRPr="00EB2BD8" w:rsidRDefault="00084F36">
            <w:pPr>
              <w:pStyle w:val="TableParagraph"/>
              <w:rPr>
                <w:rFonts w:ascii="Times New Roman"/>
                <w:sz w:val="16"/>
              </w:rPr>
            </w:pPr>
          </w:p>
        </w:tc>
        <w:tc>
          <w:tcPr>
            <w:tcW w:w="1209" w:type="dxa"/>
            <w:tcBorders>
              <w:top w:val="single" w:sz="12" w:space="0" w:color="000000"/>
              <w:bottom w:val="single" w:sz="12" w:space="0" w:color="000000"/>
            </w:tcBorders>
            <w:shd w:val="clear" w:color="auto" w:fill="FFFFFF"/>
          </w:tcPr>
          <w:p w14:paraId="37B6DC7E" w14:textId="77777777" w:rsidR="00084F36" w:rsidRPr="00EB2BD8" w:rsidRDefault="00084F36">
            <w:pPr>
              <w:pStyle w:val="TableParagraph"/>
              <w:rPr>
                <w:rFonts w:ascii="Times New Roman"/>
                <w:sz w:val="16"/>
              </w:rPr>
            </w:pPr>
          </w:p>
        </w:tc>
        <w:tc>
          <w:tcPr>
            <w:tcW w:w="964" w:type="dxa"/>
            <w:tcBorders>
              <w:top w:val="single" w:sz="12" w:space="0" w:color="000000"/>
              <w:bottom w:val="single" w:sz="12" w:space="0" w:color="000000"/>
            </w:tcBorders>
            <w:shd w:val="clear" w:color="auto" w:fill="FFFFFF"/>
          </w:tcPr>
          <w:p w14:paraId="7D358CA3" w14:textId="77777777" w:rsidR="00084F36" w:rsidRPr="00EB2BD8" w:rsidRDefault="00EB2BD8">
            <w:pPr>
              <w:pStyle w:val="TableParagraph"/>
              <w:spacing w:before="53"/>
              <w:ind w:right="100"/>
              <w:jc w:val="right"/>
              <w:rPr>
                <w:rFonts w:ascii="Arial"/>
                <w:b/>
                <w:sz w:val="16"/>
              </w:rPr>
            </w:pPr>
            <w:r w:rsidRPr="00EB2BD8">
              <w:rPr>
                <w:rFonts w:ascii="Arial"/>
                <w:b/>
                <w:spacing w:val="-2"/>
                <w:w w:val="105"/>
                <w:sz w:val="16"/>
              </w:rPr>
              <w:t>3,369</w:t>
            </w:r>
          </w:p>
        </w:tc>
      </w:tr>
    </w:tbl>
    <w:p w14:paraId="4DD227A7" w14:textId="77777777" w:rsidR="00084F36" w:rsidRPr="00EB2BD8" w:rsidRDefault="00084F36">
      <w:pPr>
        <w:pStyle w:val="BodyText"/>
        <w:rPr>
          <w:rFonts w:ascii="Arial"/>
        </w:rPr>
      </w:pPr>
    </w:p>
    <w:p w14:paraId="1248206A" w14:textId="77777777" w:rsidR="00084F36" w:rsidRPr="00EB2BD8" w:rsidRDefault="00084F36">
      <w:pPr>
        <w:pStyle w:val="BodyText"/>
        <w:rPr>
          <w:rFonts w:ascii="Arial"/>
        </w:rPr>
      </w:pPr>
    </w:p>
    <w:p w14:paraId="741047D0" w14:textId="77777777" w:rsidR="00084F36" w:rsidRPr="00EB2BD8" w:rsidRDefault="00084F36">
      <w:pPr>
        <w:pStyle w:val="BodyText"/>
        <w:rPr>
          <w:rFonts w:ascii="Arial"/>
        </w:rPr>
      </w:pPr>
    </w:p>
    <w:p w14:paraId="2F9FF771" w14:textId="77777777" w:rsidR="00084F36" w:rsidRPr="00EB2BD8" w:rsidRDefault="00084F36">
      <w:pPr>
        <w:pStyle w:val="BodyText"/>
        <w:rPr>
          <w:rFonts w:ascii="Arial"/>
        </w:rPr>
      </w:pPr>
    </w:p>
    <w:p w14:paraId="26E46DB6" w14:textId="77777777" w:rsidR="00084F36" w:rsidRPr="00EB2BD8" w:rsidRDefault="00084F36">
      <w:pPr>
        <w:pStyle w:val="BodyText"/>
        <w:rPr>
          <w:rFonts w:ascii="Arial"/>
        </w:rPr>
      </w:pPr>
    </w:p>
    <w:p w14:paraId="2451B9C8" w14:textId="77777777" w:rsidR="00084F36" w:rsidRPr="00EB2BD8" w:rsidRDefault="00084F36">
      <w:pPr>
        <w:pStyle w:val="BodyText"/>
        <w:rPr>
          <w:rFonts w:ascii="Arial"/>
        </w:rPr>
      </w:pPr>
    </w:p>
    <w:p w14:paraId="6E50FF40" w14:textId="77777777" w:rsidR="00084F36" w:rsidRPr="00EB2BD8" w:rsidRDefault="00084F36">
      <w:pPr>
        <w:pStyle w:val="BodyText"/>
        <w:rPr>
          <w:rFonts w:ascii="Arial"/>
        </w:rPr>
      </w:pPr>
    </w:p>
    <w:p w14:paraId="345D3309" w14:textId="77777777" w:rsidR="00084F36" w:rsidRPr="00EB2BD8" w:rsidRDefault="00084F36">
      <w:pPr>
        <w:pStyle w:val="BodyText"/>
        <w:rPr>
          <w:rFonts w:ascii="Arial"/>
        </w:rPr>
      </w:pPr>
    </w:p>
    <w:p w14:paraId="767BB29D" w14:textId="77777777" w:rsidR="00084F36" w:rsidRPr="00EB2BD8" w:rsidRDefault="00084F36">
      <w:pPr>
        <w:pStyle w:val="BodyText"/>
        <w:rPr>
          <w:rFonts w:ascii="Arial"/>
        </w:rPr>
      </w:pPr>
    </w:p>
    <w:p w14:paraId="028022C8" w14:textId="77777777" w:rsidR="00084F36" w:rsidRPr="00EB2BD8" w:rsidRDefault="00084F36">
      <w:pPr>
        <w:pStyle w:val="BodyText"/>
        <w:rPr>
          <w:rFonts w:ascii="Arial"/>
        </w:rPr>
      </w:pPr>
    </w:p>
    <w:p w14:paraId="08C2FBF2" w14:textId="77777777" w:rsidR="00084F36" w:rsidRPr="00EB2BD8" w:rsidRDefault="00084F36">
      <w:pPr>
        <w:pStyle w:val="BodyText"/>
        <w:rPr>
          <w:rFonts w:ascii="Arial"/>
        </w:rPr>
      </w:pPr>
    </w:p>
    <w:p w14:paraId="3B48299D" w14:textId="77777777" w:rsidR="00084F36" w:rsidRPr="00EB2BD8" w:rsidRDefault="00084F36">
      <w:pPr>
        <w:pStyle w:val="BodyText"/>
        <w:rPr>
          <w:rFonts w:ascii="Arial"/>
        </w:rPr>
      </w:pPr>
    </w:p>
    <w:p w14:paraId="5A714D6E" w14:textId="77777777" w:rsidR="00084F36" w:rsidRPr="00EB2BD8" w:rsidRDefault="00084F36">
      <w:pPr>
        <w:pStyle w:val="BodyText"/>
        <w:rPr>
          <w:rFonts w:ascii="Arial"/>
        </w:rPr>
      </w:pPr>
    </w:p>
    <w:p w14:paraId="47B46AF9" w14:textId="77777777" w:rsidR="00084F36" w:rsidRPr="00EB2BD8" w:rsidRDefault="00084F36">
      <w:pPr>
        <w:pStyle w:val="BodyText"/>
        <w:rPr>
          <w:rFonts w:ascii="Arial"/>
        </w:rPr>
      </w:pPr>
    </w:p>
    <w:p w14:paraId="6F78AF84" w14:textId="77777777" w:rsidR="00084F36" w:rsidRPr="00EB2BD8" w:rsidRDefault="00084F36">
      <w:pPr>
        <w:pStyle w:val="BodyText"/>
        <w:rPr>
          <w:rFonts w:ascii="Arial"/>
        </w:rPr>
      </w:pPr>
    </w:p>
    <w:p w14:paraId="03F24BB9" w14:textId="77777777" w:rsidR="00084F36" w:rsidRPr="00EB2BD8" w:rsidRDefault="00084F36">
      <w:pPr>
        <w:pStyle w:val="BodyText"/>
        <w:rPr>
          <w:rFonts w:ascii="Arial"/>
        </w:rPr>
      </w:pPr>
    </w:p>
    <w:p w14:paraId="014FB9EC" w14:textId="77777777" w:rsidR="00084F36" w:rsidRPr="00EB2BD8" w:rsidRDefault="00084F36">
      <w:pPr>
        <w:pStyle w:val="BodyText"/>
        <w:rPr>
          <w:rFonts w:ascii="Arial"/>
        </w:rPr>
      </w:pPr>
    </w:p>
    <w:p w14:paraId="6A9C51AC" w14:textId="77777777" w:rsidR="00084F36" w:rsidRPr="00EB2BD8" w:rsidRDefault="00084F36">
      <w:pPr>
        <w:pStyle w:val="BodyText"/>
        <w:rPr>
          <w:rFonts w:ascii="Arial"/>
        </w:rPr>
      </w:pPr>
    </w:p>
    <w:p w14:paraId="09F62382" w14:textId="77777777" w:rsidR="00084F36" w:rsidRPr="00EB2BD8" w:rsidRDefault="00084F36">
      <w:pPr>
        <w:pStyle w:val="BodyText"/>
        <w:rPr>
          <w:rFonts w:ascii="Arial"/>
        </w:rPr>
      </w:pPr>
    </w:p>
    <w:p w14:paraId="42BCE002" w14:textId="77777777" w:rsidR="00084F36" w:rsidRPr="00EB2BD8" w:rsidRDefault="00084F36">
      <w:pPr>
        <w:pStyle w:val="BodyText"/>
        <w:rPr>
          <w:rFonts w:ascii="Arial"/>
        </w:rPr>
      </w:pPr>
    </w:p>
    <w:p w14:paraId="62EA85E4" w14:textId="77777777" w:rsidR="00084F36" w:rsidRPr="00EB2BD8" w:rsidRDefault="00084F36">
      <w:pPr>
        <w:pStyle w:val="BodyText"/>
        <w:rPr>
          <w:rFonts w:ascii="Arial"/>
        </w:rPr>
      </w:pPr>
    </w:p>
    <w:p w14:paraId="5A1F5B83" w14:textId="77777777" w:rsidR="00084F36" w:rsidRPr="00EB2BD8" w:rsidRDefault="00084F36">
      <w:pPr>
        <w:pStyle w:val="BodyText"/>
        <w:rPr>
          <w:rFonts w:ascii="Arial"/>
        </w:rPr>
      </w:pPr>
    </w:p>
    <w:p w14:paraId="000688B6" w14:textId="77777777" w:rsidR="00084F36" w:rsidRPr="00EB2BD8" w:rsidRDefault="00084F36">
      <w:pPr>
        <w:pStyle w:val="BodyText"/>
        <w:rPr>
          <w:rFonts w:ascii="Arial"/>
        </w:rPr>
      </w:pPr>
    </w:p>
    <w:p w14:paraId="15B7529C" w14:textId="77777777" w:rsidR="00084F36" w:rsidRPr="00EB2BD8" w:rsidRDefault="00084F36">
      <w:pPr>
        <w:pStyle w:val="BodyText"/>
        <w:rPr>
          <w:rFonts w:ascii="Arial"/>
        </w:rPr>
      </w:pPr>
    </w:p>
    <w:p w14:paraId="34E8EFC2" w14:textId="77777777" w:rsidR="00084F36" w:rsidRPr="00EB2BD8" w:rsidRDefault="00084F36">
      <w:pPr>
        <w:pStyle w:val="BodyText"/>
        <w:rPr>
          <w:rFonts w:ascii="Arial"/>
        </w:rPr>
      </w:pPr>
    </w:p>
    <w:p w14:paraId="6742B8BD" w14:textId="77777777" w:rsidR="00084F36" w:rsidRPr="00EB2BD8" w:rsidRDefault="00084F36">
      <w:pPr>
        <w:pStyle w:val="BodyText"/>
        <w:rPr>
          <w:rFonts w:ascii="Arial"/>
        </w:rPr>
      </w:pPr>
    </w:p>
    <w:p w14:paraId="05B61B6E" w14:textId="77777777" w:rsidR="00084F36" w:rsidRPr="00EB2BD8" w:rsidRDefault="00084F36">
      <w:pPr>
        <w:pStyle w:val="BodyText"/>
        <w:rPr>
          <w:rFonts w:ascii="Arial"/>
        </w:rPr>
      </w:pPr>
    </w:p>
    <w:p w14:paraId="36470C99" w14:textId="77777777" w:rsidR="00084F36" w:rsidRPr="00EB2BD8" w:rsidRDefault="00084F36">
      <w:pPr>
        <w:pStyle w:val="BodyText"/>
        <w:rPr>
          <w:rFonts w:ascii="Arial"/>
        </w:rPr>
      </w:pPr>
    </w:p>
    <w:p w14:paraId="5EBB27EA" w14:textId="77777777" w:rsidR="00084F36" w:rsidRPr="00EB2BD8" w:rsidRDefault="00084F36">
      <w:pPr>
        <w:pStyle w:val="BodyText"/>
        <w:rPr>
          <w:rFonts w:ascii="Arial"/>
        </w:rPr>
      </w:pPr>
    </w:p>
    <w:p w14:paraId="4CF73025" w14:textId="77777777" w:rsidR="00084F36" w:rsidRPr="00EB2BD8" w:rsidRDefault="00084F36">
      <w:pPr>
        <w:pStyle w:val="BodyText"/>
        <w:spacing w:before="1"/>
        <w:rPr>
          <w:rFonts w:ascii="Arial"/>
          <w:sz w:val="26"/>
        </w:rPr>
      </w:pPr>
    </w:p>
    <w:p w14:paraId="41FEEA1C" w14:textId="7426A837" w:rsidR="00084F36" w:rsidRPr="00EB2BD8" w:rsidRDefault="00EB2BD8">
      <w:pPr>
        <w:tabs>
          <w:tab w:val="left" w:pos="1906"/>
        </w:tabs>
        <w:ind w:left="842"/>
        <w:rPr>
          <w:b/>
          <w:sz w:val="16"/>
        </w:rPr>
      </w:pPr>
      <w:r w:rsidRPr="00EB2BD8">
        <w:rPr>
          <w:sz w:val="16"/>
        </w:rPr>
        <w:tab/>
      </w:r>
    </w:p>
    <w:p w14:paraId="6B6818E0" w14:textId="77777777" w:rsidR="00084F36" w:rsidRPr="00EB2BD8" w:rsidRDefault="00084F36">
      <w:pPr>
        <w:rPr>
          <w:sz w:val="16"/>
        </w:rPr>
        <w:sectPr w:rsidR="00084F36" w:rsidRPr="00EB2BD8" w:rsidSect="006D75B2">
          <w:headerReference w:type="even" r:id="rId327"/>
          <w:footerReference w:type="even" r:id="rId328"/>
          <w:footerReference w:type="default" r:id="rId329"/>
          <w:pgSz w:w="11910" w:h="16840"/>
          <w:pgMar w:top="780" w:right="0" w:bottom="280" w:left="0" w:header="0" w:footer="0" w:gutter="0"/>
          <w:cols w:space="720"/>
        </w:sectPr>
      </w:pPr>
    </w:p>
    <w:p w14:paraId="75FEBE73" w14:textId="77777777" w:rsidR="00084F36" w:rsidRPr="00EB2BD8" w:rsidRDefault="00084F36">
      <w:pPr>
        <w:pStyle w:val="BodyText"/>
        <w:rPr>
          <w:sz w:val="20"/>
        </w:rPr>
      </w:pPr>
    </w:p>
    <w:p w14:paraId="574DB3E3" w14:textId="2D2319F6" w:rsidR="00084F36" w:rsidRPr="00EB2BD8" w:rsidRDefault="00D0600F">
      <w:pPr>
        <w:rPr>
          <w:sz w:val="19"/>
        </w:rPr>
        <w:sectPr w:rsidR="00084F36" w:rsidRPr="00EB2BD8" w:rsidSect="006D75B2">
          <w:headerReference w:type="default" r:id="rId330"/>
          <w:footerReference w:type="default" r:id="rId331"/>
          <w:pgSz w:w="11910" w:h="16840"/>
          <w:pgMar w:top="760" w:right="0" w:bottom="280" w:left="0" w:header="0" w:footer="0" w:gutter="0"/>
          <w:cols w:space="720"/>
        </w:sectPr>
      </w:pPr>
      <w:r>
        <w:rPr>
          <w:sz w:val="19"/>
        </w:rPr>
        <w:tab/>
      </w:r>
    </w:p>
    <w:p w14:paraId="5AFAF7CF" w14:textId="77777777" w:rsidR="00084F36" w:rsidRPr="00EB2BD8" w:rsidRDefault="00EB2BD8" w:rsidP="00D0600F">
      <w:pPr>
        <w:pStyle w:val="Heading2"/>
        <w:ind w:left="720"/>
      </w:pPr>
      <w:bookmarkStart w:id="328" w:name="_Toc150762630"/>
      <w:r w:rsidRPr="00EB2BD8">
        <w:t>Note</w:t>
      </w:r>
      <w:r w:rsidRPr="00EB2BD8">
        <w:rPr>
          <w:spacing w:val="-10"/>
        </w:rPr>
        <w:t xml:space="preserve"> </w:t>
      </w:r>
      <w:r w:rsidRPr="00EB2BD8">
        <w:t>7.</w:t>
      </w:r>
      <w:r w:rsidRPr="00EB2BD8">
        <w:rPr>
          <w:spacing w:val="-10"/>
        </w:rPr>
        <w:t xml:space="preserve"> </w:t>
      </w:r>
      <w:r w:rsidRPr="00EB2BD8">
        <w:t>Risks,</w:t>
      </w:r>
      <w:r w:rsidRPr="00EB2BD8">
        <w:rPr>
          <w:spacing w:val="-10"/>
        </w:rPr>
        <w:t xml:space="preserve"> </w:t>
      </w:r>
      <w:r w:rsidRPr="00EB2BD8">
        <w:t>contingencies</w:t>
      </w:r>
      <w:r w:rsidRPr="00EB2BD8">
        <w:rPr>
          <w:spacing w:val="-10"/>
        </w:rPr>
        <w:t xml:space="preserve"> </w:t>
      </w:r>
      <w:r w:rsidRPr="00EB2BD8">
        <w:t>and valuation judgements</w:t>
      </w:r>
      <w:bookmarkEnd w:id="328"/>
    </w:p>
    <w:p w14:paraId="6901B310" w14:textId="77777777" w:rsidR="00084F36" w:rsidRPr="00EB2BD8" w:rsidRDefault="00EB2BD8">
      <w:pPr>
        <w:spacing w:before="226" w:line="288" w:lineRule="auto"/>
        <w:ind w:left="1109"/>
        <w:rPr>
          <w:rFonts w:ascii="Arial"/>
          <w:sz w:val="16"/>
        </w:rPr>
      </w:pPr>
      <w:r w:rsidRPr="00EB2BD8">
        <w:rPr>
          <w:rFonts w:ascii="Arial"/>
          <w:w w:val="105"/>
          <w:sz w:val="16"/>
        </w:rPr>
        <w:t>The VBA is exposed to risk from its activities and external factors. In addition, it is often necessary to make judgements and estimates associated with recognition</w:t>
      </w:r>
      <w:r w:rsidRPr="00EB2BD8">
        <w:rPr>
          <w:rFonts w:ascii="Arial"/>
          <w:spacing w:val="-10"/>
          <w:w w:val="105"/>
          <w:sz w:val="16"/>
        </w:rPr>
        <w:t xml:space="preserve"> </w:t>
      </w:r>
      <w:r w:rsidRPr="00EB2BD8">
        <w:rPr>
          <w:rFonts w:ascii="Arial"/>
          <w:w w:val="105"/>
          <w:sz w:val="16"/>
        </w:rPr>
        <w:t>and</w:t>
      </w:r>
      <w:r w:rsidRPr="00EB2BD8">
        <w:rPr>
          <w:rFonts w:ascii="Arial"/>
          <w:spacing w:val="-10"/>
          <w:w w:val="105"/>
          <w:sz w:val="16"/>
        </w:rPr>
        <w:t xml:space="preserve"> </w:t>
      </w:r>
      <w:r w:rsidRPr="00EB2BD8">
        <w:rPr>
          <w:rFonts w:ascii="Arial"/>
          <w:w w:val="105"/>
          <w:sz w:val="16"/>
        </w:rPr>
        <w:t>measurement</w:t>
      </w:r>
      <w:r w:rsidRPr="00EB2BD8">
        <w:rPr>
          <w:rFonts w:ascii="Arial"/>
          <w:spacing w:val="-9"/>
          <w:w w:val="105"/>
          <w:sz w:val="16"/>
        </w:rPr>
        <w:t xml:space="preserve"> </w:t>
      </w:r>
      <w:r w:rsidRPr="00EB2BD8">
        <w:rPr>
          <w:rFonts w:ascii="Arial"/>
          <w:w w:val="105"/>
          <w:sz w:val="16"/>
        </w:rPr>
        <w:t>of</w:t>
      </w:r>
      <w:r w:rsidRPr="00EB2BD8">
        <w:rPr>
          <w:rFonts w:ascii="Arial"/>
          <w:spacing w:val="-9"/>
          <w:w w:val="105"/>
          <w:sz w:val="16"/>
        </w:rPr>
        <w:t xml:space="preserve"> </w:t>
      </w:r>
      <w:r w:rsidRPr="00EB2BD8">
        <w:rPr>
          <w:rFonts w:ascii="Arial"/>
          <w:w w:val="105"/>
          <w:sz w:val="16"/>
        </w:rPr>
        <w:t>items</w:t>
      </w:r>
      <w:r w:rsidRPr="00EB2BD8">
        <w:rPr>
          <w:rFonts w:ascii="Arial"/>
          <w:spacing w:val="-9"/>
          <w:w w:val="105"/>
          <w:sz w:val="16"/>
        </w:rPr>
        <w:t xml:space="preserve"> </w:t>
      </w:r>
      <w:r w:rsidRPr="00EB2BD8">
        <w:rPr>
          <w:rFonts w:ascii="Arial"/>
          <w:w w:val="105"/>
          <w:sz w:val="16"/>
        </w:rPr>
        <w:t>in</w:t>
      </w:r>
      <w:r w:rsidRPr="00EB2BD8">
        <w:rPr>
          <w:rFonts w:ascii="Arial"/>
          <w:spacing w:val="-10"/>
          <w:w w:val="105"/>
          <w:sz w:val="16"/>
        </w:rPr>
        <w:t xml:space="preserve"> </w:t>
      </w:r>
      <w:r w:rsidRPr="00EB2BD8">
        <w:rPr>
          <w:rFonts w:ascii="Arial"/>
          <w:w w:val="105"/>
          <w:sz w:val="16"/>
        </w:rPr>
        <w:t>the</w:t>
      </w:r>
      <w:r w:rsidRPr="00EB2BD8">
        <w:rPr>
          <w:rFonts w:ascii="Arial"/>
          <w:spacing w:val="-10"/>
          <w:w w:val="105"/>
          <w:sz w:val="16"/>
        </w:rPr>
        <w:t xml:space="preserve"> </w:t>
      </w:r>
      <w:r w:rsidRPr="00EB2BD8">
        <w:rPr>
          <w:rFonts w:ascii="Arial"/>
          <w:w w:val="105"/>
          <w:sz w:val="16"/>
        </w:rPr>
        <w:t>financial statements.</w:t>
      </w:r>
      <w:r w:rsidRPr="00EB2BD8">
        <w:rPr>
          <w:rFonts w:ascii="Arial"/>
          <w:spacing w:val="-5"/>
          <w:w w:val="105"/>
          <w:sz w:val="16"/>
        </w:rPr>
        <w:t xml:space="preserve"> </w:t>
      </w:r>
      <w:r w:rsidRPr="00EB2BD8">
        <w:rPr>
          <w:rFonts w:ascii="Arial"/>
          <w:w w:val="105"/>
          <w:sz w:val="16"/>
        </w:rPr>
        <w:t>This</w:t>
      </w:r>
      <w:r w:rsidRPr="00EB2BD8">
        <w:rPr>
          <w:rFonts w:ascii="Arial"/>
          <w:spacing w:val="-5"/>
          <w:w w:val="105"/>
          <w:sz w:val="16"/>
        </w:rPr>
        <w:t xml:space="preserve"> </w:t>
      </w:r>
      <w:r w:rsidRPr="00EB2BD8">
        <w:rPr>
          <w:rFonts w:ascii="Arial"/>
          <w:w w:val="105"/>
          <w:sz w:val="16"/>
        </w:rPr>
        <w:t>section</w:t>
      </w:r>
      <w:r w:rsidRPr="00EB2BD8">
        <w:rPr>
          <w:rFonts w:ascii="Arial"/>
          <w:spacing w:val="-6"/>
          <w:w w:val="105"/>
          <w:sz w:val="16"/>
        </w:rPr>
        <w:t xml:space="preserve"> </w:t>
      </w:r>
      <w:r w:rsidRPr="00EB2BD8">
        <w:rPr>
          <w:rFonts w:ascii="Arial"/>
          <w:w w:val="105"/>
          <w:sz w:val="16"/>
        </w:rPr>
        <w:t>sets</w:t>
      </w:r>
      <w:r w:rsidRPr="00EB2BD8">
        <w:rPr>
          <w:rFonts w:ascii="Arial"/>
          <w:spacing w:val="-4"/>
          <w:w w:val="105"/>
          <w:sz w:val="16"/>
        </w:rPr>
        <w:t xml:space="preserve"> </w:t>
      </w:r>
      <w:r w:rsidRPr="00EB2BD8">
        <w:rPr>
          <w:rFonts w:ascii="Arial"/>
          <w:w w:val="105"/>
          <w:sz w:val="16"/>
        </w:rPr>
        <w:t>out</w:t>
      </w:r>
      <w:r w:rsidRPr="00EB2BD8">
        <w:rPr>
          <w:rFonts w:ascii="Arial"/>
          <w:spacing w:val="-5"/>
          <w:w w:val="105"/>
          <w:sz w:val="16"/>
        </w:rPr>
        <w:t xml:space="preserve"> </w:t>
      </w:r>
      <w:r w:rsidRPr="00EB2BD8">
        <w:rPr>
          <w:rFonts w:ascii="Arial"/>
          <w:w w:val="105"/>
          <w:sz w:val="16"/>
        </w:rPr>
        <w:t>financial</w:t>
      </w:r>
      <w:r w:rsidRPr="00EB2BD8">
        <w:rPr>
          <w:rFonts w:ascii="Arial"/>
          <w:spacing w:val="-6"/>
          <w:w w:val="105"/>
          <w:sz w:val="16"/>
        </w:rPr>
        <w:t xml:space="preserve"> </w:t>
      </w:r>
      <w:r w:rsidRPr="00EB2BD8">
        <w:rPr>
          <w:rFonts w:ascii="Arial"/>
          <w:w w:val="105"/>
          <w:sz w:val="16"/>
        </w:rPr>
        <w:t>instrument specific information (including exposures to financial risks) as well as those items that are contingent in nature or require a higher level of judgement to be applied,</w:t>
      </w:r>
      <w:r w:rsidRPr="00EB2BD8">
        <w:rPr>
          <w:rFonts w:ascii="Arial"/>
          <w:spacing w:val="-7"/>
          <w:w w:val="105"/>
          <w:sz w:val="16"/>
        </w:rPr>
        <w:t xml:space="preserve"> </w:t>
      </w:r>
      <w:r w:rsidRPr="00EB2BD8">
        <w:rPr>
          <w:rFonts w:ascii="Arial"/>
          <w:w w:val="105"/>
          <w:sz w:val="16"/>
        </w:rPr>
        <w:t>which</w:t>
      </w:r>
      <w:r w:rsidRPr="00EB2BD8">
        <w:rPr>
          <w:rFonts w:ascii="Arial"/>
          <w:spacing w:val="-8"/>
          <w:w w:val="105"/>
          <w:sz w:val="16"/>
        </w:rPr>
        <w:t xml:space="preserve"> </w:t>
      </w:r>
      <w:r w:rsidRPr="00EB2BD8">
        <w:rPr>
          <w:rFonts w:ascii="Arial"/>
          <w:w w:val="105"/>
          <w:sz w:val="16"/>
        </w:rPr>
        <w:t>for</w:t>
      </w:r>
      <w:r w:rsidRPr="00EB2BD8">
        <w:rPr>
          <w:rFonts w:ascii="Arial"/>
          <w:spacing w:val="-7"/>
          <w:w w:val="105"/>
          <w:sz w:val="16"/>
        </w:rPr>
        <w:t xml:space="preserve"> </w:t>
      </w:r>
      <w:r w:rsidRPr="00EB2BD8">
        <w:rPr>
          <w:rFonts w:ascii="Arial"/>
          <w:w w:val="105"/>
          <w:sz w:val="16"/>
        </w:rPr>
        <w:t>the</w:t>
      </w:r>
      <w:r w:rsidRPr="00EB2BD8">
        <w:rPr>
          <w:rFonts w:ascii="Arial"/>
          <w:spacing w:val="-8"/>
          <w:w w:val="105"/>
          <w:sz w:val="16"/>
        </w:rPr>
        <w:t xml:space="preserve"> </w:t>
      </w:r>
      <w:r w:rsidRPr="00EB2BD8">
        <w:rPr>
          <w:rFonts w:ascii="Arial"/>
          <w:w w:val="105"/>
          <w:sz w:val="16"/>
        </w:rPr>
        <w:t>VBA</w:t>
      </w:r>
      <w:r w:rsidRPr="00EB2BD8">
        <w:rPr>
          <w:rFonts w:ascii="Arial"/>
          <w:spacing w:val="-7"/>
          <w:w w:val="105"/>
          <w:sz w:val="16"/>
        </w:rPr>
        <w:t xml:space="preserve"> </w:t>
      </w:r>
      <w:r w:rsidRPr="00EB2BD8">
        <w:rPr>
          <w:rFonts w:ascii="Arial"/>
          <w:w w:val="105"/>
          <w:sz w:val="16"/>
        </w:rPr>
        <w:t>related</w:t>
      </w:r>
      <w:r w:rsidRPr="00EB2BD8">
        <w:rPr>
          <w:rFonts w:ascii="Arial"/>
          <w:spacing w:val="-8"/>
          <w:w w:val="105"/>
          <w:sz w:val="16"/>
        </w:rPr>
        <w:t xml:space="preserve"> </w:t>
      </w:r>
      <w:r w:rsidRPr="00EB2BD8">
        <w:rPr>
          <w:rFonts w:ascii="Arial"/>
          <w:w w:val="105"/>
          <w:sz w:val="16"/>
        </w:rPr>
        <w:t>mainly</w:t>
      </w:r>
      <w:r w:rsidRPr="00EB2BD8">
        <w:rPr>
          <w:rFonts w:ascii="Arial"/>
          <w:spacing w:val="-7"/>
          <w:w w:val="105"/>
          <w:sz w:val="16"/>
        </w:rPr>
        <w:t xml:space="preserve"> </w:t>
      </w:r>
      <w:r w:rsidRPr="00EB2BD8">
        <w:rPr>
          <w:rFonts w:ascii="Arial"/>
          <w:w w:val="105"/>
          <w:sz w:val="16"/>
        </w:rPr>
        <w:t>to</w:t>
      </w:r>
      <w:r w:rsidRPr="00EB2BD8">
        <w:rPr>
          <w:rFonts w:ascii="Arial"/>
          <w:spacing w:val="-8"/>
          <w:w w:val="105"/>
          <w:sz w:val="16"/>
        </w:rPr>
        <w:t xml:space="preserve"> </w:t>
      </w:r>
      <w:r w:rsidRPr="00EB2BD8">
        <w:rPr>
          <w:rFonts w:ascii="Arial"/>
          <w:w w:val="105"/>
          <w:sz w:val="16"/>
        </w:rPr>
        <w:t>fair</w:t>
      </w:r>
      <w:r w:rsidRPr="00EB2BD8">
        <w:rPr>
          <w:rFonts w:ascii="Arial"/>
          <w:spacing w:val="-7"/>
          <w:w w:val="105"/>
          <w:sz w:val="16"/>
        </w:rPr>
        <w:t xml:space="preserve"> </w:t>
      </w:r>
      <w:r w:rsidRPr="00EB2BD8">
        <w:rPr>
          <w:rFonts w:ascii="Arial"/>
          <w:w w:val="105"/>
          <w:sz w:val="16"/>
        </w:rPr>
        <w:t xml:space="preserve">value </w:t>
      </w:r>
      <w:r w:rsidRPr="00EB2BD8">
        <w:rPr>
          <w:rFonts w:ascii="Arial"/>
          <w:spacing w:val="-2"/>
          <w:w w:val="105"/>
          <w:sz w:val="16"/>
        </w:rPr>
        <w:t>determination.</w:t>
      </w:r>
    </w:p>
    <w:p w14:paraId="013F581D" w14:textId="77777777" w:rsidR="00084F36" w:rsidRPr="00EB2BD8" w:rsidRDefault="00084F36">
      <w:pPr>
        <w:pStyle w:val="BodyText"/>
        <w:rPr>
          <w:rFonts w:ascii="Arial"/>
        </w:rPr>
      </w:pPr>
    </w:p>
    <w:p w14:paraId="76240834" w14:textId="77777777" w:rsidR="00084F36" w:rsidRPr="00EB2BD8" w:rsidRDefault="00EB2BD8" w:rsidP="0026165E">
      <w:pPr>
        <w:pStyle w:val="Heading2"/>
      </w:pPr>
      <w:bookmarkStart w:id="329" w:name="_Toc150762631"/>
      <w:r w:rsidRPr="00EB2BD8">
        <w:t>Structure</w:t>
      </w:r>
      <w:bookmarkEnd w:id="329"/>
    </w:p>
    <w:p w14:paraId="5F5BB185" w14:textId="77777777" w:rsidR="00084F36" w:rsidRPr="00EB2BD8" w:rsidRDefault="00EB2BD8">
      <w:pPr>
        <w:pStyle w:val="ListParagraph"/>
        <w:numPr>
          <w:ilvl w:val="1"/>
          <w:numId w:val="37"/>
        </w:numPr>
        <w:tabs>
          <w:tab w:val="left" w:pos="1777"/>
        </w:tabs>
        <w:spacing w:before="154"/>
        <w:ind w:hanging="668"/>
        <w:rPr>
          <w:rFonts w:ascii="Arial"/>
          <w:sz w:val="16"/>
        </w:rPr>
      </w:pPr>
      <w:r w:rsidRPr="00EB2BD8">
        <w:rPr>
          <w:rFonts w:ascii="Arial"/>
          <w:spacing w:val="-2"/>
          <w:w w:val="105"/>
          <w:sz w:val="16"/>
        </w:rPr>
        <w:t>Financial</w:t>
      </w:r>
      <w:r w:rsidRPr="00EB2BD8">
        <w:rPr>
          <w:rFonts w:ascii="Arial"/>
          <w:spacing w:val="5"/>
          <w:w w:val="105"/>
          <w:sz w:val="16"/>
        </w:rPr>
        <w:t xml:space="preserve"> </w:t>
      </w:r>
      <w:r w:rsidRPr="00EB2BD8">
        <w:rPr>
          <w:rFonts w:ascii="Arial"/>
          <w:spacing w:val="-2"/>
          <w:w w:val="105"/>
          <w:sz w:val="16"/>
        </w:rPr>
        <w:t>instruments</w:t>
      </w:r>
      <w:r w:rsidRPr="00EB2BD8">
        <w:rPr>
          <w:rFonts w:ascii="Arial"/>
          <w:spacing w:val="6"/>
          <w:w w:val="105"/>
          <w:sz w:val="16"/>
        </w:rPr>
        <w:t xml:space="preserve"> </w:t>
      </w:r>
      <w:r w:rsidRPr="00EB2BD8">
        <w:rPr>
          <w:rFonts w:ascii="Arial"/>
          <w:spacing w:val="-2"/>
          <w:w w:val="105"/>
          <w:sz w:val="16"/>
        </w:rPr>
        <w:t>specific</w:t>
      </w:r>
      <w:r w:rsidRPr="00EB2BD8">
        <w:rPr>
          <w:rFonts w:ascii="Arial"/>
          <w:spacing w:val="8"/>
          <w:w w:val="105"/>
          <w:sz w:val="16"/>
        </w:rPr>
        <w:t xml:space="preserve"> </w:t>
      </w:r>
      <w:r w:rsidRPr="00EB2BD8">
        <w:rPr>
          <w:rFonts w:ascii="Arial"/>
          <w:spacing w:val="-2"/>
          <w:w w:val="105"/>
          <w:sz w:val="16"/>
        </w:rPr>
        <w:t>disclosures</w:t>
      </w:r>
    </w:p>
    <w:p w14:paraId="5BB61FA5" w14:textId="77777777" w:rsidR="00084F36" w:rsidRPr="00EB2BD8" w:rsidRDefault="00EB2BD8">
      <w:pPr>
        <w:pStyle w:val="ListParagraph"/>
        <w:numPr>
          <w:ilvl w:val="1"/>
          <w:numId w:val="37"/>
        </w:numPr>
        <w:tabs>
          <w:tab w:val="left" w:pos="1777"/>
        </w:tabs>
        <w:spacing w:before="36"/>
        <w:ind w:hanging="668"/>
        <w:rPr>
          <w:rFonts w:ascii="Arial"/>
          <w:sz w:val="16"/>
        </w:rPr>
      </w:pPr>
      <w:r w:rsidRPr="00EB2BD8">
        <w:rPr>
          <w:rFonts w:ascii="Arial"/>
          <w:w w:val="105"/>
          <w:sz w:val="16"/>
        </w:rPr>
        <w:t>Contingent</w:t>
      </w:r>
      <w:r w:rsidRPr="00EB2BD8">
        <w:rPr>
          <w:rFonts w:ascii="Arial"/>
          <w:spacing w:val="-10"/>
          <w:w w:val="105"/>
          <w:sz w:val="16"/>
        </w:rPr>
        <w:t xml:space="preserve"> </w:t>
      </w:r>
      <w:r w:rsidRPr="00EB2BD8">
        <w:rPr>
          <w:rFonts w:ascii="Arial"/>
          <w:w w:val="105"/>
          <w:sz w:val="16"/>
        </w:rPr>
        <w:t>assets</w:t>
      </w:r>
      <w:r w:rsidRPr="00EB2BD8">
        <w:rPr>
          <w:rFonts w:ascii="Arial"/>
          <w:spacing w:val="-9"/>
          <w:w w:val="105"/>
          <w:sz w:val="16"/>
        </w:rPr>
        <w:t xml:space="preserve"> </w:t>
      </w:r>
      <w:r w:rsidRPr="00EB2BD8">
        <w:rPr>
          <w:rFonts w:ascii="Arial"/>
          <w:w w:val="105"/>
          <w:sz w:val="16"/>
        </w:rPr>
        <w:t>and</w:t>
      </w:r>
      <w:r w:rsidRPr="00EB2BD8">
        <w:rPr>
          <w:rFonts w:ascii="Arial"/>
          <w:spacing w:val="-10"/>
          <w:w w:val="105"/>
          <w:sz w:val="16"/>
        </w:rPr>
        <w:t xml:space="preserve"> </w:t>
      </w:r>
      <w:r w:rsidRPr="00EB2BD8">
        <w:rPr>
          <w:rFonts w:ascii="Arial"/>
          <w:w w:val="105"/>
          <w:sz w:val="16"/>
        </w:rPr>
        <w:t>contingent</w:t>
      </w:r>
      <w:r w:rsidRPr="00EB2BD8">
        <w:rPr>
          <w:rFonts w:ascii="Arial"/>
          <w:spacing w:val="-10"/>
          <w:w w:val="105"/>
          <w:sz w:val="16"/>
        </w:rPr>
        <w:t xml:space="preserve"> </w:t>
      </w:r>
      <w:r w:rsidRPr="00EB2BD8">
        <w:rPr>
          <w:rFonts w:ascii="Arial"/>
          <w:spacing w:val="-2"/>
          <w:w w:val="105"/>
          <w:sz w:val="16"/>
        </w:rPr>
        <w:t>liabilities</w:t>
      </w:r>
    </w:p>
    <w:p w14:paraId="74E8DF18" w14:textId="77777777" w:rsidR="00084F36" w:rsidRPr="00EB2BD8" w:rsidRDefault="00EB2BD8">
      <w:pPr>
        <w:pStyle w:val="ListParagraph"/>
        <w:numPr>
          <w:ilvl w:val="1"/>
          <w:numId w:val="37"/>
        </w:numPr>
        <w:tabs>
          <w:tab w:val="left" w:pos="1777"/>
        </w:tabs>
        <w:spacing w:before="38"/>
        <w:ind w:hanging="668"/>
        <w:rPr>
          <w:rFonts w:ascii="Arial"/>
          <w:sz w:val="16"/>
        </w:rPr>
      </w:pPr>
      <w:r w:rsidRPr="00EB2BD8">
        <w:rPr>
          <w:rFonts w:ascii="Arial"/>
          <w:w w:val="105"/>
          <w:sz w:val="16"/>
        </w:rPr>
        <w:t>Fair</w:t>
      </w:r>
      <w:r w:rsidRPr="00EB2BD8">
        <w:rPr>
          <w:rFonts w:ascii="Arial"/>
          <w:spacing w:val="-6"/>
          <w:w w:val="105"/>
          <w:sz w:val="16"/>
        </w:rPr>
        <w:t xml:space="preserve"> </w:t>
      </w:r>
      <w:r w:rsidRPr="00EB2BD8">
        <w:rPr>
          <w:rFonts w:ascii="Arial"/>
          <w:w w:val="105"/>
          <w:sz w:val="16"/>
        </w:rPr>
        <w:t>value</w:t>
      </w:r>
      <w:r w:rsidRPr="00EB2BD8">
        <w:rPr>
          <w:rFonts w:ascii="Arial"/>
          <w:spacing w:val="-7"/>
          <w:w w:val="105"/>
          <w:sz w:val="16"/>
        </w:rPr>
        <w:t xml:space="preserve"> </w:t>
      </w:r>
      <w:r w:rsidRPr="00EB2BD8">
        <w:rPr>
          <w:rFonts w:ascii="Arial"/>
          <w:spacing w:val="-2"/>
          <w:w w:val="105"/>
          <w:sz w:val="16"/>
        </w:rPr>
        <w:t>determination</w:t>
      </w:r>
    </w:p>
    <w:p w14:paraId="5B7753E2" w14:textId="347CA718" w:rsidR="00084F36" w:rsidRPr="0026165E" w:rsidRDefault="00D0600F" w:rsidP="00D0600F">
      <w:pPr>
        <w:pStyle w:val="Heading2"/>
        <w:ind w:left="720"/>
      </w:pPr>
      <w:r>
        <w:br/>
      </w:r>
      <w:bookmarkStart w:id="330" w:name="_Toc150762632"/>
      <w:r w:rsidR="0026165E">
        <w:t>7.1 F</w:t>
      </w:r>
      <w:r w:rsidR="0026165E" w:rsidRPr="0026165E">
        <w:t xml:space="preserve">inancial instruments specific </w:t>
      </w:r>
      <w:r w:rsidR="0026165E" w:rsidRPr="0026165E">
        <w:rPr>
          <w:spacing w:val="-2"/>
        </w:rPr>
        <w:t>disclosures</w:t>
      </w:r>
      <w:bookmarkEnd w:id="330"/>
    </w:p>
    <w:p w14:paraId="0BD9EBD5" w14:textId="77777777" w:rsidR="00084F36" w:rsidRPr="00EB2BD8" w:rsidRDefault="00EB2BD8">
      <w:pPr>
        <w:spacing w:before="149"/>
        <w:ind w:left="1109"/>
        <w:rPr>
          <w:rFonts w:ascii="Arial"/>
          <w:b/>
          <w:sz w:val="20"/>
        </w:rPr>
      </w:pPr>
      <w:r w:rsidRPr="00EB2BD8">
        <w:rPr>
          <w:rFonts w:ascii="Arial"/>
          <w:b/>
          <w:spacing w:val="-2"/>
          <w:sz w:val="20"/>
        </w:rPr>
        <w:t>Introduction</w:t>
      </w:r>
    </w:p>
    <w:p w14:paraId="4238FEFB" w14:textId="77777777" w:rsidR="00084F36" w:rsidRPr="00EB2BD8" w:rsidRDefault="00EB2BD8">
      <w:pPr>
        <w:spacing w:before="154" w:line="288" w:lineRule="auto"/>
        <w:ind w:left="1109"/>
        <w:rPr>
          <w:rFonts w:ascii="Arial" w:hAnsi="Arial"/>
          <w:i/>
          <w:sz w:val="16"/>
        </w:rPr>
      </w:pPr>
      <w:r w:rsidRPr="00EB2BD8">
        <w:rPr>
          <w:rFonts w:ascii="Arial" w:hAnsi="Arial"/>
          <w:w w:val="105"/>
          <w:sz w:val="16"/>
        </w:rPr>
        <w:t>Financial instruments arise out of contractual agreements that give rise to a financial asset of one entity and a financial liability or equity instrument of another</w:t>
      </w:r>
      <w:r w:rsidRPr="00EB2BD8">
        <w:rPr>
          <w:rFonts w:ascii="Arial" w:hAnsi="Arial"/>
          <w:spacing w:val="-5"/>
          <w:w w:val="105"/>
          <w:sz w:val="16"/>
        </w:rPr>
        <w:t xml:space="preserve"> </w:t>
      </w:r>
      <w:r w:rsidRPr="00EB2BD8">
        <w:rPr>
          <w:rFonts w:ascii="Arial" w:hAnsi="Arial"/>
          <w:w w:val="105"/>
          <w:sz w:val="16"/>
        </w:rPr>
        <w:t>entity.</w:t>
      </w:r>
      <w:r w:rsidRPr="00EB2BD8">
        <w:rPr>
          <w:rFonts w:ascii="Arial" w:hAnsi="Arial"/>
          <w:spacing w:val="-5"/>
          <w:w w:val="105"/>
          <w:sz w:val="16"/>
        </w:rPr>
        <w:t xml:space="preserve"> </w:t>
      </w:r>
      <w:r w:rsidRPr="00EB2BD8">
        <w:rPr>
          <w:rFonts w:ascii="Arial" w:hAnsi="Arial"/>
          <w:w w:val="105"/>
          <w:sz w:val="16"/>
        </w:rPr>
        <w:t>Due</w:t>
      </w:r>
      <w:r w:rsidRPr="00EB2BD8">
        <w:rPr>
          <w:rFonts w:ascii="Arial" w:hAnsi="Arial"/>
          <w:spacing w:val="-6"/>
          <w:w w:val="105"/>
          <w:sz w:val="16"/>
        </w:rPr>
        <w:t xml:space="preserve"> </w:t>
      </w:r>
      <w:r w:rsidRPr="00EB2BD8">
        <w:rPr>
          <w:rFonts w:ascii="Arial" w:hAnsi="Arial"/>
          <w:w w:val="105"/>
          <w:sz w:val="16"/>
        </w:rPr>
        <w:t>to</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6"/>
          <w:w w:val="105"/>
          <w:sz w:val="16"/>
        </w:rPr>
        <w:t xml:space="preserve"> </w:t>
      </w:r>
      <w:r w:rsidRPr="00EB2BD8">
        <w:rPr>
          <w:rFonts w:ascii="Arial" w:hAnsi="Arial"/>
          <w:w w:val="105"/>
          <w:sz w:val="16"/>
        </w:rPr>
        <w:t>nature</w:t>
      </w:r>
      <w:r w:rsidRPr="00EB2BD8">
        <w:rPr>
          <w:rFonts w:ascii="Arial" w:hAnsi="Arial"/>
          <w:spacing w:val="-6"/>
          <w:w w:val="105"/>
          <w:sz w:val="16"/>
        </w:rPr>
        <w:t xml:space="preserve"> </w:t>
      </w:r>
      <w:r w:rsidRPr="00EB2BD8">
        <w:rPr>
          <w:rFonts w:ascii="Arial" w:hAnsi="Arial"/>
          <w:w w:val="105"/>
          <w:sz w:val="16"/>
        </w:rPr>
        <w:t>of</w:t>
      </w:r>
      <w:r w:rsidRPr="00EB2BD8">
        <w:rPr>
          <w:rFonts w:ascii="Arial" w:hAnsi="Arial"/>
          <w:spacing w:val="-5"/>
          <w:w w:val="105"/>
          <w:sz w:val="16"/>
        </w:rPr>
        <w:t xml:space="preserve"> </w:t>
      </w:r>
      <w:r w:rsidRPr="00EB2BD8">
        <w:rPr>
          <w:rFonts w:ascii="Arial" w:hAnsi="Arial"/>
          <w:w w:val="105"/>
          <w:sz w:val="16"/>
        </w:rPr>
        <w:t>the</w:t>
      </w:r>
      <w:r w:rsidRPr="00EB2BD8">
        <w:rPr>
          <w:rFonts w:ascii="Arial" w:hAnsi="Arial"/>
          <w:spacing w:val="-6"/>
          <w:w w:val="105"/>
          <w:sz w:val="16"/>
        </w:rPr>
        <w:t xml:space="preserve"> </w:t>
      </w:r>
      <w:r w:rsidRPr="00EB2BD8">
        <w:rPr>
          <w:rFonts w:ascii="Arial" w:hAnsi="Arial"/>
          <w:w w:val="105"/>
          <w:sz w:val="16"/>
        </w:rPr>
        <w:t>VBA’s</w:t>
      </w:r>
      <w:r w:rsidRPr="00EB2BD8">
        <w:rPr>
          <w:rFonts w:ascii="Arial" w:hAnsi="Arial"/>
          <w:spacing w:val="-5"/>
          <w:w w:val="105"/>
          <w:sz w:val="16"/>
        </w:rPr>
        <w:t xml:space="preserve"> </w:t>
      </w:r>
      <w:r w:rsidRPr="00EB2BD8">
        <w:rPr>
          <w:rFonts w:ascii="Arial" w:hAnsi="Arial"/>
          <w:w w:val="105"/>
          <w:sz w:val="16"/>
        </w:rPr>
        <w:t>activities, certain financial assets and financial liabilities arise under</w:t>
      </w:r>
      <w:r w:rsidRPr="00EB2BD8">
        <w:rPr>
          <w:rFonts w:ascii="Arial" w:hAnsi="Arial"/>
          <w:spacing w:val="-4"/>
          <w:w w:val="105"/>
          <w:sz w:val="16"/>
        </w:rPr>
        <w:t xml:space="preserve"> </w:t>
      </w:r>
      <w:r w:rsidRPr="00EB2BD8">
        <w:rPr>
          <w:rFonts w:ascii="Arial" w:hAnsi="Arial"/>
          <w:w w:val="105"/>
          <w:sz w:val="16"/>
        </w:rPr>
        <w:t>statute</w:t>
      </w:r>
      <w:r w:rsidRPr="00EB2BD8">
        <w:rPr>
          <w:rFonts w:ascii="Arial" w:hAnsi="Arial"/>
          <w:spacing w:val="-5"/>
          <w:w w:val="105"/>
          <w:sz w:val="16"/>
        </w:rPr>
        <w:t xml:space="preserve"> </w:t>
      </w:r>
      <w:r w:rsidRPr="00EB2BD8">
        <w:rPr>
          <w:rFonts w:ascii="Arial" w:hAnsi="Arial"/>
          <w:w w:val="105"/>
          <w:sz w:val="16"/>
        </w:rPr>
        <w:t>rather</w:t>
      </w:r>
      <w:r w:rsidRPr="00EB2BD8">
        <w:rPr>
          <w:rFonts w:ascii="Arial" w:hAnsi="Arial"/>
          <w:spacing w:val="-4"/>
          <w:w w:val="105"/>
          <w:sz w:val="16"/>
        </w:rPr>
        <w:t xml:space="preserve"> </w:t>
      </w:r>
      <w:r w:rsidRPr="00EB2BD8">
        <w:rPr>
          <w:rFonts w:ascii="Arial" w:hAnsi="Arial"/>
          <w:w w:val="105"/>
          <w:sz w:val="16"/>
        </w:rPr>
        <w:t>than</w:t>
      </w:r>
      <w:r w:rsidRPr="00EB2BD8">
        <w:rPr>
          <w:rFonts w:ascii="Arial" w:hAnsi="Arial"/>
          <w:spacing w:val="-4"/>
          <w:w w:val="105"/>
          <w:sz w:val="16"/>
        </w:rPr>
        <w:t xml:space="preserve"> </w:t>
      </w:r>
      <w:r w:rsidRPr="00EB2BD8">
        <w:rPr>
          <w:rFonts w:ascii="Arial" w:hAnsi="Arial"/>
          <w:w w:val="105"/>
          <w:sz w:val="16"/>
        </w:rPr>
        <w:t>a</w:t>
      </w:r>
      <w:r w:rsidRPr="00EB2BD8">
        <w:rPr>
          <w:rFonts w:ascii="Arial" w:hAnsi="Arial"/>
          <w:spacing w:val="-5"/>
          <w:w w:val="105"/>
          <w:sz w:val="16"/>
        </w:rPr>
        <w:t xml:space="preserve"> </w:t>
      </w:r>
      <w:r w:rsidRPr="00EB2BD8">
        <w:rPr>
          <w:rFonts w:ascii="Arial" w:hAnsi="Arial"/>
          <w:w w:val="105"/>
          <w:sz w:val="16"/>
        </w:rPr>
        <w:t>contract</w:t>
      </w:r>
      <w:r w:rsidRPr="00EB2BD8">
        <w:rPr>
          <w:rFonts w:ascii="Arial" w:hAnsi="Arial"/>
          <w:spacing w:val="-4"/>
          <w:w w:val="105"/>
          <w:sz w:val="16"/>
        </w:rPr>
        <w:t xml:space="preserve"> </w:t>
      </w:r>
      <w:r w:rsidRPr="00EB2BD8">
        <w:rPr>
          <w:rFonts w:ascii="Arial" w:hAnsi="Arial"/>
          <w:w w:val="105"/>
          <w:sz w:val="16"/>
        </w:rPr>
        <w:t>(for</w:t>
      </w:r>
      <w:r w:rsidRPr="00EB2BD8">
        <w:rPr>
          <w:rFonts w:ascii="Arial" w:hAnsi="Arial"/>
          <w:spacing w:val="-4"/>
          <w:w w:val="105"/>
          <w:sz w:val="16"/>
        </w:rPr>
        <w:t xml:space="preserve"> </w:t>
      </w:r>
      <w:r w:rsidRPr="00EB2BD8">
        <w:rPr>
          <w:rFonts w:ascii="Arial" w:hAnsi="Arial"/>
          <w:w w:val="105"/>
          <w:sz w:val="16"/>
        </w:rPr>
        <w:t>example</w:t>
      </w:r>
      <w:r w:rsidRPr="00EB2BD8">
        <w:rPr>
          <w:rFonts w:ascii="Arial" w:hAnsi="Arial"/>
          <w:spacing w:val="-5"/>
          <w:w w:val="105"/>
          <w:sz w:val="16"/>
        </w:rPr>
        <w:t xml:space="preserve"> </w:t>
      </w:r>
      <w:r w:rsidRPr="00EB2BD8">
        <w:rPr>
          <w:rFonts w:ascii="Arial" w:hAnsi="Arial"/>
          <w:w w:val="105"/>
          <w:sz w:val="16"/>
        </w:rPr>
        <w:t>taxes, fines and penalties). Such assets and liabilities do not meet</w:t>
      </w:r>
      <w:r w:rsidRPr="00EB2BD8">
        <w:rPr>
          <w:rFonts w:ascii="Arial" w:hAnsi="Arial"/>
          <w:spacing w:val="-9"/>
          <w:w w:val="105"/>
          <w:sz w:val="16"/>
        </w:rPr>
        <w:t xml:space="preserve"> </w:t>
      </w:r>
      <w:r w:rsidRPr="00EB2BD8">
        <w:rPr>
          <w:rFonts w:ascii="Arial" w:hAnsi="Arial"/>
          <w:w w:val="105"/>
          <w:sz w:val="16"/>
        </w:rPr>
        <w:t>the</w:t>
      </w:r>
      <w:r w:rsidRPr="00EB2BD8">
        <w:rPr>
          <w:rFonts w:ascii="Arial" w:hAnsi="Arial"/>
          <w:spacing w:val="-9"/>
          <w:w w:val="105"/>
          <w:sz w:val="16"/>
        </w:rPr>
        <w:t xml:space="preserve"> </w:t>
      </w:r>
      <w:r w:rsidRPr="00EB2BD8">
        <w:rPr>
          <w:rFonts w:ascii="Arial" w:hAnsi="Arial"/>
          <w:w w:val="105"/>
          <w:sz w:val="16"/>
        </w:rPr>
        <w:t>definition</w:t>
      </w:r>
      <w:r w:rsidRPr="00EB2BD8">
        <w:rPr>
          <w:rFonts w:ascii="Arial" w:hAnsi="Arial"/>
          <w:spacing w:val="-9"/>
          <w:w w:val="105"/>
          <w:sz w:val="16"/>
        </w:rPr>
        <w:t xml:space="preserve"> </w:t>
      </w:r>
      <w:r w:rsidRPr="00EB2BD8">
        <w:rPr>
          <w:rFonts w:ascii="Arial" w:hAnsi="Arial"/>
          <w:w w:val="105"/>
          <w:sz w:val="16"/>
        </w:rPr>
        <w:t>of</w:t>
      </w:r>
      <w:r w:rsidRPr="00EB2BD8">
        <w:rPr>
          <w:rFonts w:ascii="Arial" w:hAnsi="Arial"/>
          <w:spacing w:val="-9"/>
          <w:w w:val="105"/>
          <w:sz w:val="16"/>
        </w:rPr>
        <w:t xml:space="preserve"> </w:t>
      </w:r>
      <w:r w:rsidRPr="00EB2BD8">
        <w:rPr>
          <w:rFonts w:ascii="Arial" w:hAnsi="Arial"/>
          <w:w w:val="105"/>
          <w:sz w:val="16"/>
        </w:rPr>
        <w:t>financial</w:t>
      </w:r>
      <w:r w:rsidRPr="00EB2BD8">
        <w:rPr>
          <w:rFonts w:ascii="Arial" w:hAnsi="Arial"/>
          <w:spacing w:val="-8"/>
          <w:w w:val="105"/>
          <w:sz w:val="16"/>
        </w:rPr>
        <w:t xml:space="preserve"> </w:t>
      </w:r>
      <w:r w:rsidRPr="00EB2BD8">
        <w:rPr>
          <w:rFonts w:ascii="Arial" w:hAnsi="Arial"/>
          <w:w w:val="105"/>
          <w:sz w:val="16"/>
        </w:rPr>
        <w:t>instruments</w:t>
      </w:r>
      <w:r w:rsidRPr="00EB2BD8">
        <w:rPr>
          <w:rFonts w:ascii="Arial" w:hAnsi="Arial"/>
          <w:spacing w:val="-9"/>
          <w:w w:val="105"/>
          <w:sz w:val="16"/>
        </w:rPr>
        <w:t xml:space="preserve"> </w:t>
      </w:r>
      <w:r w:rsidRPr="00EB2BD8">
        <w:rPr>
          <w:rFonts w:ascii="Arial" w:hAnsi="Arial"/>
          <w:w w:val="105"/>
          <w:sz w:val="16"/>
        </w:rPr>
        <w:t>in</w:t>
      </w:r>
      <w:r w:rsidRPr="00EB2BD8">
        <w:rPr>
          <w:rFonts w:ascii="Arial" w:hAnsi="Arial"/>
          <w:spacing w:val="-9"/>
          <w:w w:val="105"/>
          <w:sz w:val="16"/>
        </w:rPr>
        <w:t xml:space="preserve"> </w:t>
      </w:r>
      <w:r w:rsidRPr="00EB2BD8">
        <w:rPr>
          <w:rFonts w:ascii="Arial" w:hAnsi="Arial"/>
          <w:w w:val="105"/>
          <w:sz w:val="16"/>
        </w:rPr>
        <w:t>AASB</w:t>
      </w:r>
      <w:r w:rsidRPr="00EB2BD8">
        <w:rPr>
          <w:rFonts w:ascii="Arial" w:hAnsi="Arial"/>
          <w:spacing w:val="-9"/>
          <w:w w:val="105"/>
          <w:sz w:val="16"/>
        </w:rPr>
        <w:t xml:space="preserve"> </w:t>
      </w:r>
      <w:r w:rsidRPr="00EB2BD8">
        <w:rPr>
          <w:rFonts w:ascii="Arial" w:hAnsi="Arial"/>
          <w:w w:val="105"/>
          <w:sz w:val="16"/>
        </w:rPr>
        <w:t xml:space="preserve">132 </w:t>
      </w:r>
      <w:r w:rsidRPr="00EB2BD8">
        <w:rPr>
          <w:rFonts w:ascii="Arial" w:hAnsi="Arial"/>
          <w:i/>
          <w:w w:val="105"/>
          <w:sz w:val="16"/>
        </w:rPr>
        <w:t>Financial Instruments: Presentation.</w:t>
      </w:r>
    </w:p>
    <w:p w14:paraId="5437022A" w14:textId="5EB67A66" w:rsidR="0026165E" w:rsidRDefault="00EB2BD8" w:rsidP="00D0600F">
      <w:pPr>
        <w:pStyle w:val="Heading2"/>
        <w:ind w:left="720"/>
      </w:pPr>
      <w:bookmarkStart w:id="331" w:name="_Toc150762633"/>
      <w:r w:rsidRPr="00EB2BD8">
        <w:t>Categories of financial assets</w:t>
      </w:r>
      <w:bookmarkEnd w:id="331"/>
      <w:r w:rsidRPr="00EB2BD8">
        <w:t xml:space="preserve"> </w:t>
      </w:r>
    </w:p>
    <w:p w14:paraId="0B83C130" w14:textId="2EF3A613" w:rsidR="00084F36" w:rsidRPr="00EB2BD8" w:rsidRDefault="00EB2BD8">
      <w:pPr>
        <w:spacing w:line="398" w:lineRule="auto"/>
        <w:ind w:left="1109" w:right="441"/>
        <w:rPr>
          <w:rFonts w:ascii="Arial"/>
          <w:b/>
          <w:sz w:val="20"/>
        </w:rPr>
      </w:pPr>
      <w:r w:rsidRPr="00EB2BD8">
        <w:rPr>
          <w:rFonts w:ascii="Arial"/>
          <w:b/>
          <w:sz w:val="20"/>
        </w:rPr>
        <w:t>Financial assets at amortised cost</w:t>
      </w:r>
    </w:p>
    <w:p w14:paraId="5896FBEB" w14:textId="77777777" w:rsidR="00084F36" w:rsidRPr="00EB2BD8" w:rsidRDefault="00EB2BD8">
      <w:pPr>
        <w:spacing w:before="2" w:line="288" w:lineRule="auto"/>
        <w:ind w:left="1109"/>
        <w:rPr>
          <w:rFonts w:ascii="Arial"/>
          <w:sz w:val="16"/>
        </w:rPr>
      </w:pPr>
      <w:r w:rsidRPr="00EB2BD8">
        <w:rPr>
          <w:rFonts w:ascii="Arial"/>
          <w:w w:val="105"/>
          <w:sz w:val="16"/>
        </w:rPr>
        <w:t>Financial</w:t>
      </w:r>
      <w:r w:rsidRPr="00EB2BD8">
        <w:rPr>
          <w:rFonts w:ascii="Arial"/>
          <w:spacing w:val="-9"/>
          <w:w w:val="105"/>
          <w:sz w:val="16"/>
        </w:rPr>
        <w:t xml:space="preserve"> </w:t>
      </w:r>
      <w:r w:rsidRPr="00EB2BD8">
        <w:rPr>
          <w:rFonts w:ascii="Arial"/>
          <w:w w:val="105"/>
          <w:sz w:val="16"/>
        </w:rPr>
        <w:t>assets</w:t>
      </w:r>
      <w:r w:rsidRPr="00EB2BD8">
        <w:rPr>
          <w:rFonts w:ascii="Arial"/>
          <w:spacing w:val="-8"/>
          <w:w w:val="105"/>
          <w:sz w:val="16"/>
        </w:rPr>
        <w:t xml:space="preserve"> </w:t>
      </w:r>
      <w:r w:rsidRPr="00EB2BD8">
        <w:rPr>
          <w:rFonts w:ascii="Arial"/>
          <w:w w:val="105"/>
          <w:sz w:val="16"/>
        </w:rPr>
        <w:t>are</w:t>
      </w:r>
      <w:r w:rsidRPr="00EB2BD8">
        <w:rPr>
          <w:rFonts w:ascii="Arial"/>
          <w:spacing w:val="-9"/>
          <w:w w:val="105"/>
          <w:sz w:val="16"/>
        </w:rPr>
        <w:t xml:space="preserve"> </w:t>
      </w:r>
      <w:r w:rsidRPr="00EB2BD8">
        <w:rPr>
          <w:rFonts w:ascii="Arial"/>
          <w:w w:val="105"/>
          <w:sz w:val="16"/>
        </w:rPr>
        <w:t>measured</w:t>
      </w:r>
      <w:r w:rsidRPr="00EB2BD8">
        <w:rPr>
          <w:rFonts w:ascii="Arial"/>
          <w:spacing w:val="-9"/>
          <w:w w:val="105"/>
          <w:sz w:val="16"/>
        </w:rPr>
        <w:t xml:space="preserve"> </w:t>
      </w:r>
      <w:r w:rsidRPr="00EB2BD8">
        <w:rPr>
          <w:rFonts w:ascii="Arial"/>
          <w:w w:val="105"/>
          <w:sz w:val="16"/>
        </w:rPr>
        <w:t>at</w:t>
      </w:r>
      <w:r w:rsidRPr="00EB2BD8">
        <w:rPr>
          <w:rFonts w:ascii="Arial"/>
          <w:spacing w:val="-8"/>
          <w:w w:val="105"/>
          <w:sz w:val="16"/>
        </w:rPr>
        <w:t xml:space="preserve"> </w:t>
      </w:r>
      <w:r w:rsidRPr="00EB2BD8">
        <w:rPr>
          <w:rFonts w:ascii="Arial"/>
          <w:w w:val="105"/>
          <w:sz w:val="16"/>
        </w:rPr>
        <w:t>amortised</w:t>
      </w:r>
      <w:r w:rsidRPr="00EB2BD8">
        <w:rPr>
          <w:rFonts w:ascii="Arial"/>
          <w:spacing w:val="-8"/>
          <w:w w:val="105"/>
          <w:sz w:val="16"/>
        </w:rPr>
        <w:t xml:space="preserve"> </w:t>
      </w:r>
      <w:r w:rsidRPr="00EB2BD8">
        <w:rPr>
          <w:rFonts w:ascii="Arial"/>
          <w:w w:val="105"/>
          <w:sz w:val="16"/>
        </w:rPr>
        <w:t>cost</w:t>
      </w:r>
      <w:r w:rsidRPr="00EB2BD8">
        <w:rPr>
          <w:rFonts w:ascii="Arial"/>
          <w:spacing w:val="-8"/>
          <w:w w:val="105"/>
          <w:sz w:val="16"/>
        </w:rPr>
        <w:t xml:space="preserve"> </w:t>
      </w:r>
      <w:r w:rsidRPr="00EB2BD8">
        <w:rPr>
          <w:rFonts w:ascii="Arial"/>
          <w:w w:val="105"/>
          <w:sz w:val="16"/>
        </w:rPr>
        <w:t>if</w:t>
      </w:r>
      <w:r w:rsidRPr="00EB2BD8">
        <w:rPr>
          <w:rFonts w:ascii="Arial"/>
          <w:spacing w:val="-8"/>
          <w:w w:val="105"/>
          <w:sz w:val="16"/>
        </w:rPr>
        <w:t xml:space="preserve"> </w:t>
      </w:r>
      <w:r w:rsidRPr="00EB2BD8">
        <w:rPr>
          <w:rFonts w:ascii="Arial"/>
          <w:w w:val="105"/>
          <w:sz w:val="16"/>
        </w:rPr>
        <w:t>both of the following criteria are met and the assets are not designated as fair value through net result:</w:t>
      </w:r>
    </w:p>
    <w:p w14:paraId="334B4A07" w14:textId="77777777" w:rsidR="00084F36" w:rsidRPr="00EB2BD8" w:rsidRDefault="00EB2BD8">
      <w:pPr>
        <w:pStyle w:val="ListParagraph"/>
        <w:numPr>
          <w:ilvl w:val="0"/>
          <w:numId w:val="31"/>
        </w:numPr>
        <w:tabs>
          <w:tab w:val="left" w:pos="1777"/>
        </w:tabs>
        <w:spacing w:before="112" w:line="283" w:lineRule="auto"/>
        <w:ind w:right="110"/>
        <w:rPr>
          <w:rFonts w:ascii="Arial" w:hAnsi="Arial"/>
          <w:sz w:val="16"/>
        </w:rPr>
      </w:pPr>
      <w:r w:rsidRPr="00EB2BD8">
        <w:rPr>
          <w:rFonts w:ascii="Arial" w:hAnsi="Arial"/>
          <w:w w:val="105"/>
          <w:sz w:val="16"/>
        </w:rPr>
        <w:t>The</w:t>
      </w:r>
      <w:r w:rsidRPr="00EB2BD8">
        <w:rPr>
          <w:rFonts w:ascii="Arial" w:hAnsi="Arial"/>
          <w:spacing w:val="-8"/>
          <w:w w:val="105"/>
          <w:sz w:val="16"/>
        </w:rPr>
        <w:t xml:space="preserve"> </w:t>
      </w:r>
      <w:r w:rsidRPr="00EB2BD8">
        <w:rPr>
          <w:rFonts w:ascii="Arial" w:hAnsi="Arial"/>
          <w:w w:val="105"/>
          <w:sz w:val="16"/>
        </w:rPr>
        <w:t>assets</w:t>
      </w:r>
      <w:r w:rsidRPr="00EB2BD8">
        <w:rPr>
          <w:rFonts w:ascii="Arial" w:hAnsi="Arial"/>
          <w:spacing w:val="-7"/>
          <w:w w:val="105"/>
          <w:sz w:val="16"/>
        </w:rPr>
        <w:t xml:space="preserve"> </w:t>
      </w:r>
      <w:r w:rsidRPr="00EB2BD8">
        <w:rPr>
          <w:rFonts w:ascii="Arial" w:hAnsi="Arial"/>
          <w:w w:val="105"/>
          <w:sz w:val="16"/>
        </w:rPr>
        <w:t>are</w:t>
      </w:r>
      <w:r w:rsidRPr="00EB2BD8">
        <w:rPr>
          <w:rFonts w:ascii="Arial" w:hAnsi="Arial"/>
          <w:spacing w:val="-7"/>
          <w:w w:val="105"/>
          <w:sz w:val="16"/>
        </w:rPr>
        <w:t xml:space="preserve"> </w:t>
      </w:r>
      <w:r w:rsidRPr="00EB2BD8">
        <w:rPr>
          <w:rFonts w:ascii="Arial" w:hAnsi="Arial"/>
          <w:w w:val="105"/>
          <w:sz w:val="16"/>
        </w:rPr>
        <w:t>held</w:t>
      </w:r>
      <w:r w:rsidRPr="00EB2BD8">
        <w:rPr>
          <w:rFonts w:ascii="Arial" w:hAnsi="Arial"/>
          <w:spacing w:val="-8"/>
          <w:w w:val="105"/>
          <w:sz w:val="16"/>
        </w:rPr>
        <w:t xml:space="preserve"> </w:t>
      </w:r>
      <w:r w:rsidRPr="00EB2BD8">
        <w:rPr>
          <w:rFonts w:ascii="Arial" w:hAnsi="Arial"/>
          <w:w w:val="105"/>
          <w:sz w:val="16"/>
        </w:rPr>
        <w:t>by</w:t>
      </w:r>
      <w:r w:rsidRPr="00EB2BD8">
        <w:rPr>
          <w:rFonts w:ascii="Arial" w:hAnsi="Arial"/>
          <w:spacing w:val="-7"/>
          <w:w w:val="105"/>
          <w:sz w:val="16"/>
        </w:rPr>
        <w:t xml:space="preserve"> </w:t>
      </w:r>
      <w:r w:rsidRPr="00EB2BD8">
        <w:rPr>
          <w:rFonts w:ascii="Arial" w:hAnsi="Arial"/>
          <w:w w:val="105"/>
          <w:sz w:val="16"/>
        </w:rPr>
        <w:t>the</w:t>
      </w:r>
      <w:r w:rsidRPr="00EB2BD8">
        <w:rPr>
          <w:rFonts w:ascii="Arial" w:hAnsi="Arial"/>
          <w:spacing w:val="-8"/>
          <w:w w:val="105"/>
          <w:sz w:val="16"/>
        </w:rPr>
        <w:t xml:space="preserve"> </w:t>
      </w:r>
      <w:r w:rsidRPr="00EB2BD8">
        <w:rPr>
          <w:rFonts w:ascii="Arial" w:hAnsi="Arial"/>
          <w:w w:val="105"/>
          <w:sz w:val="16"/>
        </w:rPr>
        <w:t>VBA</w:t>
      </w:r>
      <w:r w:rsidRPr="00EB2BD8">
        <w:rPr>
          <w:rFonts w:ascii="Arial" w:hAnsi="Arial"/>
          <w:spacing w:val="-7"/>
          <w:w w:val="105"/>
          <w:sz w:val="16"/>
        </w:rPr>
        <w:t xml:space="preserve"> </w:t>
      </w:r>
      <w:r w:rsidRPr="00EB2BD8">
        <w:rPr>
          <w:rFonts w:ascii="Arial" w:hAnsi="Arial"/>
          <w:w w:val="105"/>
          <w:sz w:val="16"/>
        </w:rPr>
        <w:t>to</w:t>
      </w:r>
      <w:r w:rsidRPr="00EB2BD8">
        <w:rPr>
          <w:rFonts w:ascii="Arial" w:hAnsi="Arial"/>
          <w:spacing w:val="-8"/>
          <w:w w:val="105"/>
          <w:sz w:val="16"/>
        </w:rPr>
        <w:t xml:space="preserve"> </w:t>
      </w:r>
      <w:r w:rsidRPr="00EB2BD8">
        <w:rPr>
          <w:rFonts w:ascii="Arial" w:hAnsi="Arial"/>
          <w:w w:val="105"/>
          <w:sz w:val="16"/>
        </w:rPr>
        <w:t>collect</w:t>
      </w:r>
      <w:r w:rsidRPr="00EB2BD8">
        <w:rPr>
          <w:rFonts w:ascii="Arial" w:hAnsi="Arial"/>
          <w:spacing w:val="-7"/>
          <w:w w:val="105"/>
          <w:sz w:val="16"/>
        </w:rPr>
        <w:t xml:space="preserve"> </w:t>
      </w:r>
      <w:r w:rsidRPr="00EB2BD8">
        <w:rPr>
          <w:rFonts w:ascii="Arial" w:hAnsi="Arial"/>
          <w:w w:val="105"/>
          <w:sz w:val="16"/>
        </w:rPr>
        <w:t>the contractual cash flows; and</w:t>
      </w:r>
    </w:p>
    <w:p w14:paraId="6A63B858" w14:textId="77777777" w:rsidR="00084F36" w:rsidRPr="00EB2BD8" w:rsidRDefault="00EB2BD8">
      <w:pPr>
        <w:pStyle w:val="ListParagraph"/>
        <w:numPr>
          <w:ilvl w:val="0"/>
          <w:numId w:val="31"/>
        </w:numPr>
        <w:tabs>
          <w:tab w:val="left" w:pos="1775"/>
          <w:tab w:val="left" w:pos="1777"/>
        </w:tabs>
        <w:spacing w:before="5" w:line="285" w:lineRule="auto"/>
        <w:ind w:right="7"/>
        <w:jc w:val="both"/>
        <w:rPr>
          <w:rFonts w:ascii="Arial" w:hAnsi="Arial"/>
          <w:sz w:val="16"/>
        </w:rPr>
      </w:pPr>
      <w:r w:rsidRPr="00EB2BD8">
        <w:rPr>
          <w:rFonts w:ascii="Arial" w:hAnsi="Arial"/>
          <w:w w:val="105"/>
          <w:sz w:val="16"/>
        </w:rPr>
        <w:t>The</w:t>
      </w:r>
      <w:r w:rsidRPr="00EB2BD8">
        <w:rPr>
          <w:rFonts w:ascii="Arial" w:hAnsi="Arial"/>
          <w:spacing w:val="-9"/>
          <w:w w:val="105"/>
          <w:sz w:val="16"/>
        </w:rPr>
        <w:t xml:space="preserve"> </w:t>
      </w:r>
      <w:r w:rsidRPr="00EB2BD8">
        <w:rPr>
          <w:rFonts w:ascii="Arial" w:hAnsi="Arial"/>
          <w:w w:val="105"/>
          <w:sz w:val="16"/>
        </w:rPr>
        <w:t>assets’</w:t>
      </w:r>
      <w:r w:rsidRPr="00EB2BD8">
        <w:rPr>
          <w:rFonts w:ascii="Arial" w:hAnsi="Arial"/>
          <w:spacing w:val="-9"/>
          <w:w w:val="105"/>
          <w:sz w:val="16"/>
        </w:rPr>
        <w:t xml:space="preserve"> </w:t>
      </w:r>
      <w:r w:rsidRPr="00EB2BD8">
        <w:rPr>
          <w:rFonts w:ascii="Arial" w:hAnsi="Arial"/>
          <w:w w:val="105"/>
          <w:sz w:val="16"/>
        </w:rPr>
        <w:t>contractual</w:t>
      </w:r>
      <w:r w:rsidRPr="00EB2BD8">
        <w:rPr>
          <w:rFonts w:ascii="Arial" w:hAnsi="Arial"/>
          <w:spacing w:val="-9"/>
          <w:w w:val="105"/>
          <w:sz w:val="16"/>
        </w:rPr>
        <w:t xml:space="preserve"> </w:t>
      </w:r>
      <w:r w:rsidRPr="00EB2BD8">
        <w:rPr>
          <w:rFonts w:ascii="Arial" w:hAnsi="Arial"/>
          <w:w w:val="105"/>
          <w:sz w:val="16"/>
        </w:rPr>
        <w:t>terms</w:t>
      </w:r>
      <w:r w:rsidRPr="00EB2BD8">
        <w:rPr>
          <w:rFonts w:ascii="Arial" w:hAnsi="Arial"/>
          <w:spacing w:val="-7"/>
          <w:w w:val="105"/>
          <w:sz w:val="16"/>
        </w:rPr>
        <w:t xml:space="preserve"> </w:t>
      </w:r>
      <w:r w:rsidRPr="00EB2BD8">
        <w:rPr>
          <w:rFonts w:ascii="Arial" w:hAnsi="Arial"/>
          <w:w w:val="105"/>
          <w:sz w:val="16"/>
        </w:rPr>
        <w:t>give</w:t>
      </w:r>
      <w:r w:rsidRPr="00EB2BD8">
        <w:rPr>
          <w:rFonts w:ascii="Arial" w:hAnsi="Arial"/>
          <w:spacing w:val="-9"/>
          <w:w w:val="105"/>
          <w:sz w:val="16"/>
        </w:rPr>
        <w:t xml:space="preserve"> </w:t>
      </w:r>
      <w:r w:rsidRPr="00EB2BD8">
        <w:rPr>
          <w:rFonts w:ascii="Arial" w:hAnsi="Arial"/>
          <w:w w:val="105"/>
          <w:sz w:val="16"/>
        </w:rPr>
        <w:t>rise</w:t>
      </w:r>
      <w:r w:rsidRPr="00EB2BD8">
        <w:rPr>
          <w:rFonts w:ascii="Arial" w:hAnsi="Arial"/>
          <w:spacing w:val="-9"/>
          <w:w w:val="105"/>
          <w:sz w:val="16"/>
        </w:rPr>
        <w:t xml:space="preserve"> </w:t>
      </w:r>
      <w:r w:rsidRPr="00EB2BD8">
        <w:rPr>
          <w:rFonts w:ascii="Arial" w:hAnsi="Arial"/>
          <w:w w:val="105"/>
          <w:sz w:val="16"/>
        </w:rPr>
        <w:t>to</w:t>
      </w:r>
      <w:r w:rsidRPr="00EB2BD8">
        <w:rPr>
          <w:rFonts w:ascii="Arial" w:hAnsi="Arial"/>
          <w:spacing w:val="-9"/>
          <w:w w:val="105"/>
          <w:sz w:val="16"/>
        </w:rPr>
        <w:t xml:space="preserve"> </w:t>
      </w:r>
      <w:r w:rsidRPr="00EB2BD8">
        <w:rPr>
          <w:rFonts w:ascii="Arial" w:hAnsi="Arial"/>
          <w:w w:val="105"/>
          <w:sz w:val="16"/>
        </w:rPr>
        <w:t>cash flows</w:t>
      </w:r>
      <w:r w:rsidRPr="00EB2BD8">
        <w:rPr>
          <w:rFonts w:ascii="Arial" w:hAnsi="Arial"/>
          <w:spacing w:val="-6"/>
          <w:w w:val="105"/>
          <w:sz w:val="16"/>
        </w:rPr>
        <w:t xml:space="preserve"> </w:t>
      </w:r>
      <w:r w:rsidRPr="00EB2BD8">
        <w:rPr>
          <w:rFonts w:ascii="Arial" w:hAnsi="Arial"/>
          <w:w w:val="105"/>
          <w:sz w:val="16"/>
        </w:rPr>
        <w:t>that</w:t>
      </w:r>
      <w:r w:rsidRPr="00EB2BD8">
        <w:rPr>
          <w:rFonts w:ascii="Arial" w:hAnsi="Arial"/>
          <w:spacing w:val="-6"/>
          <w:w w:val="105"/>
          <w:sz w:val="16"/>
        </w:rPr>
        <w:t xml:space="preserve"> </w:t>
      </w:r>
      <w:r w:rsidRPr="00EB2BD8">
        <w:rPr>
          <w:rFonts w:ascii="Arial" w:hAnsi="Arial"/>
          <w:w w:val="105"/>
          <w:sz w:val="16"/>
        </w:rPr>
        <w:t>are</w:t>
      </w:r>
      <w:r w:rsidRPr="00EB2BD8">
        <w:rPr>
          <w:rFonts w:ascii="Arial" w:hAnsi="Arial"/>
          <w:spacing w:val="-7"/>
          <w:w w:val="105"/>
          <w:sz w:val="16"/>
        </w:rPr>
        <w:t xml:space="preserve"> </w:t>
      </w:r>
      <w:r w:rsidRPr="00EB2BD8">
        <w:rPr>
          <w:rFonts w:ascii="Arial" w:hAnsi="Arial"/>
          <w:w w:val="105"/>
          <w:sz w:val="16"/>
        </w:rPr>
        <w:t>solely</w:t>
      </w:r>
      <w:r w:rsidRPr="00EB2BD8">
        <w:rPr>
          <w:rFonts w:ascii="Arial" w:hAnsi="Arial"/>
          <w:spacing w:val="-5"/>
          <w:w w:val="105"/>
          <w:sz w:val="16"/>
        </w:rPr>
        <w:t xml:space="preserve"> </w:t>
      </w:r>
      <w:r w:rsidRPr="00EB2BD8">
        <w:rPr>
          <w:rFonts w:ascii="Arial" w:hAnsi="Arial"/>
          <w:w w:val="105"/>
          <w:sz w:val="16"/>
        </w:rPr>
        <w:t>payments</w:t>
      </w:r>
      <w:r w:rsidRPr="00EB2BD8">
        <w:rPr>
          <w:rFonts w:ascii="Arial" w:hAnsi="Arial"/>
          <w:spacing w:val="-6"/>
          <w:w w:val="105"/>
          <w:sz w:val="16"/>
        </w:rPr>
        <w:t xml:space="preserve"> </w:t>
      </w:r>
      <w:r w:rsidRPr="00EB2BD8">
        <w:rPr>
          <w:rFonts w:ascii="Arial" w:hAnsi="Arial"/>
          <w:w w:val="105"/>
          <w:sz w:val="16"/>
        </w:rPr>
        <w:t>of</w:t>
      </w:r>
      <w:r w:rsidRPr="00EB2BD8">
        <w:rPr>
          <w:rFonts w:ascii="Arial" w:hAnsi="Arial"/>
          <w:spacing w:val="-6"/>
          <w:w w:val="105"/>
          <w:sz w:val="16"/>
        </w:rPr>
        <w:t xml:space="preserve"> </w:t>
      </w:r>
      <w:r w:rsidRPr="00EB2BD8">
        <w:rPr>
          <w:rFonts w:ascii="Arial" w:hAnsi="Arial"/>
          <w:w w:val="105"/>
          <w:sz w:val="16"/>
        </w:rPr>
        <w:t>principal</w:t>
      </w:r>
      <w:r w:rsidRPr="00EB2BD8">
        <w:rPr>
          <w:rFonts w:ascii="Arial" w:hAnsi="Arial"/>
          <w:spacing w:val="-7"/>
          <w:w w:val="105"/>
          <w:sz w:val="16"/>
        </w:rPr>
        <w:t xml:space="preserve"> </w:t>
      </w:r>
      <w:r w:rsidRPr="00EB2BD8">
        <w:rPr>
          <w:rFonts w:ascii="Arial" w:hAnsi="Arial"/>
          <w:w w:val="105"/>
          <w:sz w:val="16"/>
        </w:rPr>
        <w:t xml:space="preserve">and </w:t>
      </w:r>
      <w:r w:rsidRPr="00EB2BD8">
        <w:rPr>
          <w:rFonts w:ascii="Arial" w:hAnsi="Arial"/>
          <w:spacing w:val="-2"/>
          <w:w w:val="105"/>
          <w:sz w:val="16"/>
        </w:rPr>
        <w:t>interests.</w:t>
      </w:r>
    </w:p>
    <w:p w14:paraId="0EA404F4" w14:textId="77777777" w:rsidR="00084F36" w:rsidRPr="00EB2BD8" w:rsidRDefault="00084F36">
      <w:pPr>
        <w:pStyle w:val="BodyText"/>
        <w:spacing w:before="4"/>
        <w:rPr>
          <w:rFonts w:ascii="Arial"/>
          <w:sz w:val="19"/>
        </w:rPr>
      </w:pPr>
    </w:p>
    <w:p w14:paraId="455EB738" w14:textId="77777777" w:rsidR="00084F36" w:rsidRPr="00EB2BD8" w:rsidRDefault="00EB2BD8">
      <w:pPr>
        <w:spacing w:line="288" w:lineRule="auto"/>
        <w:ind w:left="1109"/>
        <w:rPr>
          <w:rFonts w:ascii="Arial"/>
          <w:sz w:val="16"/>
        </w:rPr>
      </w:pPr>
      <w:r w:rsidRPr="00EB2BD8">
        <w:rPr>
          <w:rFonts w:ascii="Arial"/>
          <w:w w:val="105"/>
          <w:sz w:val="16"/>
        </w:rPr>
        <w:t>These</w:t>
      </w:r>
      <w:r w:rsidRPr="00EB2BD8">
        <w:rPr>
          <w:rFonts w:ascii="Arial"/>
          <w:spacing w:val="-9"/>
          <w:w w:val="105"/>
          <w:sz w:val="16"/>
        </w:rPr>
        <w:t xml:space="preserve"> </w:t>
      </w:r>
      <w:r w:rsidRPr="00EB2BD8">
        <w:rPr>
          <w:rFonts w:ascii="Arial"/>
          <w:w w:val="105"/>
          <w:sz w:val="16"/>
        </w:rPr>
        <w:t>assets</w:t>
      </w:r>
      <w:r w:rsidRPr="00EB2BD8">
        <w:rPr>
          <w:rFonts w:ascii="Arial"/>
          <w:spacing w:val="-8"/>
          <w:w w:val="105"/>
          <w:sz w:val="16"/>
        </w:rPr>
        <w:t xml:space="preserve"> </w:t>
      </w:r>
      <w:r w:rsidRPr="00EB2BD8">
        <w:rPr>
          <w:rFonts w:ascii="Arial"/>
          <w:w w:val="105"/>
          <w:sz w:val="16"/>
        </w:rPr>
        <w:t>are</w:t>
      </w:r>
      <w:r w:rsidRPr="00EB2BD8">
        <w:rPr>
          <w:rFonts w:ascii="Arial"/>
          <w:spacing w:val="-9"/>
          <w:w w:val="105"/>
          <w:sz w:val="16"/>
        </w:rPr>
        <w:t xml:space="preserve"> </w:t>
      </w:r>
      <w:r w:rsidRPr="00EB2BD8">
        <w:rPr>
          <w:rFonts w:ascii="Arial"/>
          <w:w w:val="105"/>
          <w:sz w:val="16"/>
        </w:rPr>
        <w:t>initially</w:t>
      </w:r>
      <w:r w:rsidRPr="00EB2BD8">
        <w:rPr>
          <w:rFonts w:ascii="Arial"/>
          <w:spacing w:val="-8"/>
          <w:w w:val="105"/>
          <w:sz w:val="16"/>
        </w:rPr>
        <w:t xml:space="preserve"> </w:t>
      </w:r>
      <w:r w:rsidRPr="00EB2BD8">
        <w:rPr>
          <w:rFonts w:ascii="Arial"/>
          <w:w w:val="105"/>
          <w:sz w:val="16"/>
        </w:rPr>
        <w:t>recognised</w:t>
      </w:r>
      <w:r w:rsidRPr="00EB2BD8">
        <w:rPr>
          <w:rFonts w:ascii="Arial"/>
          <w:spacing w:val="-9"/>
          <w:w w:val="105"/>
          <w:sz w:val="16"/>
        </w:rPr>
        <w:t xml:space="preserve"> </w:t>
      </w:r>
      <w:r w:rsidRPr="00EB2BD8">
        <w:rPr>
          <w:rFonts w:ascii="Arial"/>
          <w:w w:val="105"/>
          <w:sz w:val="16"/>
        </w:rPr>
        <w:t>at</w:t>
      </w:r>
      <w:r w:rsidRPr="00EB2BD8">
        <w:rPr>
          <w:rFonts w:ascii="Arial"/>
          <w:spacing w:val="-8"/>
          <w:w w:val="105"/>
          <w:sz w:val="16"/>
        </w:rPr>
        <w:t xml:space="preserve"> </w:t>
      </w:r>
      <w:r w:rsidRPr="00EB2BD8">
        <w:rPr>
          <w:rFonts w:ascii="Arial"/>
          <w:w w:val="105"/>
          <w:sz w:val="16"/>
        </w:rPr>
        <w:t>fair</w:t>
      </w:r>
      <w:r w:rsidRPr="00EB2BD8">
        <w:rPr>
          <w:rFonts w:ascii="Arial"/>
          <w:spacing w:val="-8"/>
          <w:w w:val="105"/>
          <w:sz w:val="16"/>
        </w:rPr>
        <w:t xml:space="preserve"> </w:t>
      </w:r>
      <w:r w:rsidRPr="00EB2BD8">
        <w:rPr>
          <w:rFonts w:ascii="Arial"/>
          <w:w w:val="105"/>
          <w:sz w:val="16"/>
        </w:rPr>
        <w:t>value</w:t>
      </w:r>
      <w:r w:rsidRPr="00EB2BD8">
        <w:rPr>
          <w:rFonts w:ascii="Arial"/>
          <w:spacing w:val="-9"/>
          <w:w w:val="105"/>
          <w:sz w:val="16"/>
        </w:rPr>
        <w:t xml:space="preserve"> </w:t>
      </w:r>
      <w:r w:rsidRPr="00EB2BD8">
        <w:rPr>
          <w:rFonts w:ascii="Arial"/>
          <w:w w:val="105"/>
          <w:sz w:val="16"/>
        </w:rPr>
        <w:t>plus any directly attributable transaction costs and subsequently measured at amortised cost using the effective interest method less any impairment.</w:t>
      </w:r>
    </w:p>
    <w:p w14:paraId="5DA7AA1F" w14:textId="77777777" w:rsidR="00084F36" w:rsidRPr="00EB2BD8" w:rsidRDefault="00084F36">
      <w:pPr>
        <w:pStyle w:val="BodyText"/>
        <w:spacing w:before="3"/>
        <w:rPr>
          <w:rFonts w:ascii="Arial"/>
          <w:sz w:val="19"/>
        </w:rPr>
      </w:pPr>
    </w:p>
    <w:p w14:paraId="04364BBF" w14:textId="2B31FDBD" w:rsidR="00084F36" w:rsidRPr="00EB2BD8" w:rsidRDefault="00EB2BD8">
      <w:pPr>
        <w:spacing w:line="288" w:lineRule="auto"/>
        <w:ind w:left="1109"/>
        <w:rPr>
          <w:rFonts w:ascii="Arial"/>
          <w:sz w:val="16"/>
        </w:rPr>
      </w:pPr>
      <w:r w:rsidRPr="00EB2BD8">
        <w:rPr>
          <w:rFonts w:ascii="Arial"/>
          <w:w w:val="105"/>
          <w:sz w:val="16"/>
        </w:rPr>
        <w:t>The</w:t>
      </w:r>
      <w:r w:rsidRPr="00EB2BD8">
        <w:rPr>
          <w:rFonts w:ascii="Arial"/>
          <w:spacing w:val="-9"/>
          <w:w w:val="105"/>
          <w:sz w:val="16"/>
        </w:rPr>
        <w:t xml:space="preserve"> </w:t>
      </w:r>
      <w:r w:rsidRPr="00EB2BD8">
        <w:rPr>
          <w:rFonts w:ascii="Arial"/>
          <w:w w:val="105"/>
          <w:sz w:val="16"/>
        </w:rPr>
        <w:t>VBA</w:t>
      </w:r>
      <w:r w:rsidRPr="00EB2BD8">
        <w:rPr>
          <w:rFonts w:ascii="Arial"/>
          <w:spacing w:val="-8"/>
          <w:w w:val="105"/>
          <w:sz w:val="16"/>
        </w:rPr>
        <w:t xml:space="preserve"> </w:t>
      </w:r>
      <w:r w:rsidRPr="00EB2BD8">
        <w:rPr>
          <w:rFonts w:ascii="Arial"/>
          <w:w w:val="105"/>
          <w:sz w:val="16"/>
        </w:rPr>
        <w:t>recognised</w:t>
      </w:r>
      <w:r w:rsidRPr="00EB2BD8">
        <w:rPr>
          <w:rFonts w:ascii="Arial"/>
          <w:spacing w:val="-9"/>
          <w:w w:val="105"/>
          <w:sz w:val="16"/>
        </w:rPr>
        <w:t xml:space="preserve"> </w:t>
      </w:r>
      <w:r w:rsidRPr="00EB2BD8">
        <w:rPr>
          <w:rFonts w:ascii="Arial"/>
          <w:w w:val="105"/>
          <w:sz w:val="16"/>
        </w:rPr>
        <w:t>the</w:t>
      </w:r>
      <w:r w:rsidRPr="00EB2BD8">
        <w:rPr>
          <w:rFonts w:ascii="Arial"/>
          <w:spacing w:val="-9"/>
          <w:w w:val="105"/>
          <w:sz w:val="16"/>
        </w:rPr>
        <w:t xml:space="preserve"> </w:t>
      </w:r>
      <w:r w:rsidRPr="00EB2BD8">
        <w:rPr>
          <w:rFonts w:ascii="Arial"/>
          <w:w w:val="105"/>
          <w:sz w:val="16"/>
        </w:rPr>
        <w:t>following</w:t>
      </w:r>
      <w:r w:rsidRPr="00EB2BD8">
        <w:rPr>
          <w:rFonts w:ascii="Arial"/>
          <w:spacing w:val="-8"/>
          <w:w w:val="105"/>
          <w:sz w:val="16"/>
        </w:rPr>
        <w:t xml:space="preserve"> </w:t>
      </w:r>
      <w:r w:rsidRPr="00EB2BD8">
        <w:rPr>
          <w:rFonts w:ascii="Arial"/>
          <w:w w:val="105"/>
          <w:sz w:val="16"/>
        </w:rPr>
        <w:t>assets</w:t>
      </w:r>
      <w:r w:rsidRPr="00EB2BD8">
        <w:rPr>
          <w:rFonts w:ascii="Arial"/>
          <w:spacing w:val="-8"/>
          <w:w w:val="105"/>
          <w:sz w:val="16"/>
        </w:rPr>
        <w:t xml:space="preserve"> </w:t>
      </w:r>
      <w:r w:rsidRPr="00EB2BD8">
        <w:rPr>
          <w:rFonts w:ascii="Arial"/>
          <w:w w:val="105"/>
          <w:sz w:val="16"/>
        </w:rPr>
        <w:t>in</w:t>
      </w:r>
      <w:r w:rsidRPr="00EB2BD8">
        <w:rPr>
          <w:rFonts w:ascii="Arial"/>
          <w:spacing w:val="-8"/>
          <w:w w:val="105"/>
          <w:sz w:val="16"/>
        </w:rPr>
        <w:t xml:space="preserve"> </w:t>
      </w:r>
      <w:r w:rsidRPr="00EB2BD8">
        <w:rPr>
          <w:rFonts w:ascii="Arial"/>
          <w:w w:val="105"/>
          <w:sz w:val="16"/>
        </w:rPr>
        <w:t xml:space="preserve">this </w:t>
      </w:r>
      <w:r w:rsidRPr="00EB2BD8">
        <w:rPr>
          <w:rFonts w:ascii="Arial"/>
          <w:spacing w:val="-2"/>
          <w:w w:val="105"/>
          <w:sz w:val="16"/>
        </w:rPr>
        <w:t>category:</w:t>
      </w:r>
    </w:p>
    <w:p w14:paraId="320481C1" w14:textId="77777777" w:rsidR="00084F36" w:rsidRPr="00EB2BD8" w:rsidRDefault="00EB2BD8">
      <w:pPr>
        <w:pStyle w:val="ListParagraph"/>
        <w:numPr>
          <w:ilvl w:val="0"/>
          <w:numId w:val="31"/>
        </w:numPr>
        <w:tabs>
          <w:tab w:val="left" w:pos="1777"/>
        </w:tabs>
        <w:spacing w:before="112"/>
        <w:ind w:hanging="334"/>
        <w:rPr>
          <w:rFonts w:ascii="Arial" w:hAnsi="Arial"/>
          <w:sz w:val="16"/>
        </w:rPr>
      </w:pPr>
      <w:r w:rsidRPr="00EB2BD8">
        <w:rPr>
          <w:rFonts w:ascii="Arial" w:hAnsi="Arial"/>
          <w:w w:val="105"/>
          <w:sz w:val="16"/>
        </w:rPr>
        <w:t>cash</w:t>
      </w:r>
      <w:r w:rsidRPr="00EB2BD8">
        <w:rPr>
          <w:rFonts w:ascii="Arial" w:hAnsi="Arial"/>
          <w:spacing w:val="-7"/>
          <w:w w:val="105"/>
          <w:sz w:val="16"/>
        </w:rPr>
        <w:t xml:space="preserve"> </w:t>
      </w:r>
      <w:r w:rsidRPr="00EB2BD8">
        <w:rPr>
          <w:rFonts w:ascii="Arial" w:hAnsi="Arial"/>
          <w:w w:val="105"/>
          <w:sz w:val="16"/>
        </w:rPr>
        <w:t>and</w:t>
      </w:r>
      <w:r w:rsidRPr="00EB2BD8">
        <w:rPr>
          <w:rFonts w:ascii="Arial" w:hAnsi="Arial"/>
          <w:spacing w:val="-7"/>
          <w:w w:val="105"/>
          <w:sz w:val="16"/>
        </w:rPr>
        <w:t xml:space="preserve"> </w:t>
      </w:r>
      <w:r w:rsidRPr="00EB2BD8">
        <w:rPr>
          <w:rFonts w:ascii="Arial" w:hAnsi="Arial"/>
          <w:w w:val="105"/>
          <w:sz w:val="16"/>
        </w:rPr>
        <w:t>deposits;</w:t>
      </w:r>
      <w:r w:rsidRPr="00EB2BD8">
        <w:rPr>
          <w:rFonts w:ascii="Arial" w:hAnsi="Arial"/>
          <w:spacing w:val="-7"/>
          <w:w w:val="105"/>
          <w:sz w:val="16"/>
        </w:rPr>
        <w:t xml:space="preserve"> </w:t>
      </w:r>
      <w:r w:rsidRPr="00EB2BD8">
        <w:rPr>
          <w:rFonts w:ascii="Arial" w:hAnsi="Arial"/>
          <w:spacing w:val="-5"/>
          <w:w w:val="105"/>
          <w:sz w:val="16"/>
        </w:rPr>
        <w:t>and</w:t>
      </w:r>
    </w:p>
    <w:p w14:paraId="71F298C2" w14:textId="77777777" w:rsidR="00084F36" w:rsidRPr="00EB2BD8" w:rsidRDefault="00EB2BD8">
      <w:pPr>
        <w:pStyle w:val="ListParagraph"/>
        <w:numPr>
          <w:ilvl w:val="0"/>
          <w:numId w:val="31"/>
        </w:numPr>
        <w:tabs>
          <w:tab w:val="left" w:pos="1777"/>
        </w:tabs>
        <w:spacing w:before="36"/>
        <w:ind w:hanging="334"/>
        <w:rPr>
          <w:rFonts w:ascii="Arial" w:hAnsi="Arial"/>
          <w:sz w:val="16"/>
        </w:rPr>
      </w:pPr>
      <w:r w:rsidRPr="00EB2BD8">
        <w:rPr>
          <w:rFonts w:ascii="Arial" w:hAnsi="Arial"/>
          <w:w w:val="105"/>
          <w:sz w:val="16"/>
        </w:rPr>
        <w:t>receivables</w:t>
      </w:r>
      <w:r w:rsidRPr="00EB2BD8">
        <w:rPr>
          <w:rFonts w:ascii="Arial" w:hAnsi="Arial"/>
          <w:spacing w:val="-12"/>
          <w:w w:val="105"/>
          <w:sz w:val="16"/>
        </w:rPr>
        <w:t xml:space="preserve"> </w:t>
      </w:r>
      <w:r w:rsidRPr="00EB2BD8">
        <w:rPr>
          <w:rFonts w:ascii="Arial" w:hAnsi="Arial"/>
          <w:w w:val="105"/>
          <w:sz w:val="16"/>
        </w:rPr>
        <w:t>(excluding</w:t>
      </w:r>
      <w:r w:rsidRPr="00EB2BD8">
        <w:rPr>
          <w:rFonts w:ascii="Arial" w:hAnsi="Arial"/>
          <w:spacing w:val="-12"/>
          <w:w w:val="105"/>
          <w:sz w:val="16"/>
        </w:rPr>
        <w:t xml:space="preserve"> </w:t>
      </w:r>
      <w:r w:rsidRPr="00EB2BD8">
        <w:rPr>
          <w:rFonts w:ascii="Arial" w:hAnsi="Arial"/>
          <w:w w:val="105"/>
          <w:sz w:val="16"/>
        </w:rPr>
        <w:t>statutory</w:t>
      </w:r>
      <w:r w:rsidRPr="00EB2BD8">
        <w:rPr>
          <w:rFonts w:ascii="Arial" w:hAnsi="Arial"/>
          <w:spacing w:val="-11"/>
          <w:w w:val="105"/>
          <w:sz w:val="16"/>
        </w:rPr>
        <w:t xml:space="preserve"> </w:t>
      </w:r>
      <w:r w:rsidRPr="00EB2BD8">
        <w:rPr>
          <w:rFonts w:ascii="Arial" w:hAnsi="Arial"/>
          <w:spacing w:val="-2"/>
          <w:w w:val="105"/>
          <w:sz w:val="16"/>
        </w:rPr>
        <w:t>receivables).</w:t>
      </w:r>
    </w:p>
    <w:p w14:paraId="02DB4DE8" w14:textId="74702A15" w:rsidR="00084F36" w:rsidRPr="00EB2BD8" w:rsidRDefault="00EB2BD8" w:rsidP="0026165E">
      <w:pPr>
        <w:pStyle w:val="Heading2"/>
      </w:pPr>
      <w:r w:rsidRPr="00EB2BD8">
        <w:br w:type="column"/>
      </w:r>
      <w:bookmarkStart w:id="332" w:name="_Toc150762634"/>
      <w:r w:rsidRPr="00EB2BD8">
        <w:t>Categories</w:t>
      </w:r>
      <w:r w:rsidRPr="00EB2BD8">
        <w:rPr>
          <w:spacing w:val="7"/>
        </w:rPr>
        <w:t xml:space="preserve"> </w:t>
      </w:r>
      <w:r w:rsidRPr="00EB2BD8">
        <w:t>of</w:t>
      </w:r>
      <w:r w:rsidRPr="00EB2BD8">
        <w:rPr>
          <w:spacing w:val="7"/>
        </w:rPr>
        <w:t xml:space="preserve"> </w:t>
      </w:r>
      <w:r w:rsidRPr="00EB2BD8">
        <w:t>financial</w:t>
      </w:r>
      <w:r w:rsidRPr="00EB2BD8">
        <w:rPr>
          <w:spacing w:val="7"/>
        </w:rPr>
        <w:t xml:space="preserve"> </w:t>
      </w:r>
      <w:r w:rsidR="0026165E">
        <w:rPr>
          <w:spacing w:val="7"/>
        </w:rPr>
        <w:br/>
      </w:r>
      <w:r w:rsidRPr="00EB2BD8">
        <w:rPr>
          <w:spacing w:val="-2"/>
        </w:rPr>
        <w:t>liabilities</w:t>
      </w:r>
      <w:bookmarkEnd w:id="332"/>
    </w:p>
    <w:p w14:paraId="32486179" w14:textId="77777777" w:rsidR="00084F36" w:rsidRPr="00EB2BD8" w:rsidRDefault="00EB2BD8">
      <w:pPr>
        <w:spacing w:before="155" w:line="288" w:lineRule="auto"/>
        <w:ind w:left="820" w:right="1642"/>
        <w:rPr>
          <w:rFonts w:ascii="Arial"/>
          <w:sz w:val="16"/>
        </w:rPr>
      </w:pPr>
      <w:r w:rsidRPr="00EB2BD8">
        <w:rPr>
          <w:rFonts w:ascii="Arial"/>
          <w:b/>
          <w:w w:val="105"/>
          <w:sz w:val="16"/>
        </w:rPr>
        <w:t xml:space="preserve">Financial liabilities at amortised cost </w:t>
      </w:r>
      <w:r w:rsidRPr="00EB2BD8">
        <w:rPr>
          <w:rFonts w:ascii="Arial"/>
          <w:w w:val="105"/>
          <w:sz w:val="16"/>
        </w:rPr>
        <w:t>are initially recognised on the date they are originated. They are initially measured at fair value plus any directly attributable transaction costs. Subsequent to initial recognition,</w:t>
      </w:r>
      <w:r w:rsidRPr="00EB2BD8">
        <w:rPr>
          <w:rFonts w:ascii="Arial"/>
          <w:spacing w:val="-10"/>
          <w:w w:val="105"/>
          <w:sz w:val="16"/>
        </w:rPr>
        <w:t xml:space="preserve"> </w:t>
      </w:r>
      <w:r w:rsidRPr="00EB2BD8">
        <w:rPr>
          <w:rFonts w:ascii="Arial"/>
          <w:w w:val="105"/>
          <w:sz w:val="16"/>
        </w:rPr>
        <w:t>these</w:t>
      </w:r>
      <w:r w:rsidRPr="00EB2BD8">
        <w:rPr>
          <w:rFonts w:ascii="Arial"/>
          <w:spacing w:val="-11"/>
          <w:w w:val="105"/>
          <w:sz w:val="16"/>
        </w:rPr>
        <w:t xml:space="preserve"> </w:t>
      </w:r>
      <w:r w:rsidRPr="00EB2BD8">
        <w:rPr>
          <w:rFonts w:ascii="Arial"/>
          <w:w w:val="105"/>
          <w:sz w:val="16"/>
        </w:rPr>
        <w:t>financial</w:t>
      </w:r>
      <w:r w:rsidRPr="00EB2BD8">
        <w:rPr>
          <w:rFonts w:ascii="Arial"/>
          <w:spacing w:val="-11"/>
          <w:w w:val="105"/>
          <w:sz w:val="16"/>
        </w:rPr>
        <w:t xml:space="preserve"> </w:t>
      </w:r>
      <w:r w:rsidRPr="00EB2BD8">
        <w:rPr>
          <w:rFonts w:ascii="Arial"/>
          <w:w w:val="105"/>
          <w:sz w:val="16"/>
        </w:rPr>
        <w:t>instruments</w:t>
      </w:r>
      <w:r w:rsidRPr="00EB2BD8">
        <w:rPr>
          <w:rFonts w:ascii="Arial"/>
          <w:spacing w:val="-10"/>
          <w:w w:val="105"/>
          <w:sz w:val="16"/>
        </w:rPr>
        <w:t xml:space="preserve"> </w:t>
      </w:r>
      <w:r w:rsidRPr="00EB2BD8">
        <w:rPr>
          <w:rFonts w:ascii="Arial"/>
          <w:w w:val="105"/>
          <w:sz w:val="16"/>
        </w:rPr>
        <w:t>are</w:t>
      </w:r>
      <w:r w:rsidRPr="00EB2BD8">
        <w:rPr>
          <w:rFonts w:ascii="Arial"/>
          <w:spacing w:val="-10"/>
          <w:w w:val="105"/>
          <w:sz w:val="16"/>
        </w:rPr>
        <w:t xml:space="preserve"> </w:t>
      </w:r>
      <w:r w:rsidRPr="00EB2BD8">
        <w:rPr>
          <w:rFonts w:ascii="Arial"/>
          <w:w w:val="105"/>
          <w:sz w:val="16"/>
        </w:rPr>
        <w:t>measured</w:t>
      </w:r>
      <w:r w:rsidRPr="00EB2BD8">
        <w:rPr>
          <w:rFonts w:ascii="Arial"/>
          <w:spacing w:val="-11"/>
          <w:w w:val="105"/>
          <w:sz w:val="16"/>
        </w:rPr>
        <w:t xml:space="preserve"> </w:t>
      </w:r>
      <w:r w:rsidRPr="00EB2BD8">
        <w:rPr>
          <w:rFonts w:ascii="Arial"/>
          <w:w w:val="105"/>
          <w:sz w:val="16"/>
        </w:rPr>
        <w:t>at amortised cost with any difference between the initial recognised amount and the redemption value being recognised in the comprehensive operating statement over</w:t>
      </w:r>
      <w:r w:rsidRPr="00EB2BD8">
        <w:rPr>
          <w:rFonts w:ascii="Arial"/>
          <w:spacing w:val="-2"/>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period</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interest-bearing</w:t>
      </w:r>
      <w:r w:rsidRPr="00EB2BD8">
        <w:rPr>
          <w:rFonts w:ascii="Arial"/>
          <w:spacing w:val="-3"/>
          <w:w w:val="105"/>
          <w:sz w:val="16"/>
        </w:rPr>
        <w:t xml:space="preserve"> </w:t>
      </w:r>
      <w:r w:rsidRPr="00EB2BD8">
        <w:rPr>
          <w:rFonts w:ascii="Arial"/>
          <w:w w:val="105"/>
          <w:sz w:val="16"/>
        </w:rPr>
        <w:t>liability,</w:t>
      </w:r>
      <w:r w:rsidRPr="00EB2BD8">
        <w:rPr>
          <w:rFonts w:ascii="Arial"/>
          <w:spacing w:val="-2"/>
          <w:w w:val="105"/>
          <w:sz w:val="16"/>
        </w:rPr>
        <w:t xml:space="preserve"> </w:t>
      </w:r>
      <w:r w:rsidRPr="00EB2BD8">
        <w:rPr>
          <w:rFonts w:ascii="Arial"/>
          <w:w w:val="105"/>
          <w:sz w:val="16"/>
        </w:rPr>
        <w:t>using</w:t>
      </w:r>
      <w:r w:rsidRPr="00EB2BD8">
        <w:rPr>
          <w:rFonts w:ascii="Arial"/>
          <w:spacing w:val="-3"/>
          <w:w w:val="105"/>
          <w:sz w:val="16"/>
        </w:rPr>
        <w:t xml:space="preserve"> </w:t>
      </w:r>
      <w:r w:rsidRPr="00EB2BD8">
        <w:rPr>
          <w:rFonts w:ascii="Arial"/>
          <w:w w:val="105"/>
          <w:sz w:val="16"/>
        </w:rPr>
        <w:t>the effective interest rate method. The VBA recognises the following liabilities in this category:</w:t>
      </w:r>
    </w:p>
    <w:p w14:paraId="1DD02E89" w14:textId="77777777" w:rsidR="00084F36" w:rsidRPr="00EB2BD8" w:rsidRDefault="00EB2BD8">
      <w:pPr>
        <w:pStyle w:val="ListParagraph"/>
        <w:numPr>
          <w:ilvl w:val="0"/>
          <w:numId w:val="35"/>
        </w:numPr>
        <w:tabs>
          <w:tab w:val="left" w:pos="1488"/>
        </w:tabs>
        <w:spacing w:before="113"/>
        <w:ind w:hanging="334"/>
        <w:rPr>
          <w:rFonts w:ascii="Arial" w:hAnsi="Arial"/>
          <w:sz w:val="16"/>
        </w:rPr>
      </w:pPr>
      <w:r w:rsidRPr="00EB2BD8">
        <w:rPr>
          <w:rFonts w:ascii="Arial" w:hAnsi="Arial"/>
          <w:w w:val="105"/>
          <w:sz w:val="16"/>
        </w:rPr>
        <w:t>payables</w:t>
      </w:r>
      <w:r w:rsidRPr="00EB2BD8">
        <w:rPr>
          <w:rFonts w:ascii="Arial" w:hAnsi="Arial"/>
          <w:spacing w:val="-11"/>
          <w:w w:val="105"/>
          <w:sz w:val="16"/>
        </w:rPr>
        <w:t xml:space="preserve"> </w:t>
      </w:r>
      <w:r w:rsidRPr="00EB2BD8">
        <w:rPr>
          <w:rFonts w:ascii="Arial" w:hAnsi="Arial"/>
          <w:w w:val="105"/>
          <w:sz w:val="16"/>
        </w:rPr>
        <w:t>(excluding</w:t>
      </w:r>
      <w:r w:rsidRPr="00EB2BD8">
        <w:rPr>
          <w:rFonts w:ascii="Arial" w:hAnsi="Arial"/>
          <w:spacing w:val="-11"/>
          <w:w w:val="105"/>
          <w:sz w:val="16"/>
        </w:rPr>
        <w:t xml:space="preserve"> </w:t>
      </w:r>
      <w:r w:rsidRPr="00EB2BD8">
        <w:rPr>
          <w:rFonts w:ascii="Arial" w:hAnsi="Arial"/>
          <w:w w:val="105"/>
          <w:sz w:val="16"/>
        </w:rPr>
        <w:t>statutory</w:t>
      </w:r>
      <w:r w:rsidRPr="00EB2BD8">
        <w:rPr>
          <w:rFonts w:ascii="Arial" w:hAnsi="Arial"/>
          <w:spacing w:val="-9"/>
          <w:w w:val="105"/>
          <w:sz w:val="16"/>
        </w:rPr>
        <w:t xml:space="preserve"> </w:t>
      </w:r>
      <w:r w:rsidRPr="00EB2BD8">
        <w:rPr>
          <w:rFonts w:ascii="Arial" w:hAnsi="Arial"/>
          <w:spacing w:val="-2"/>
          <w:w w:val="105"/>
          <w:sz w:val="16"/>
        </w:rPr>
        <w:t>payables);</w:t>
      </w:r>
    </w:p>
    <w:p w14:paraId="56960480" w14:textId="77777777" w:rsidR="00084F36" w:rsidRPr="00EB2BD8" w:rsidRDefault="00EB2BD8">
      <w:pPr>
        <w:pStyle w:val="ListParagraph"/>
        <w:numPr>
          <w:ilvl w:val="0"/>
          <w:numId w:val="35"/>
        </w:numPr>
        <w:tabs>
          <w:tab w:val="left" w:pos="1488"/>
        </w:tabs>
        <w:spacing w:before="36"/>
        <w:ind w:hanging="334"/>
        <w:rPr>
          <w:rFonts w:ascii="Arial" w:hAnsi="Arial"/>
          <w:sz w:val="16"/>
        </w:rPr>
      </w:pPr>
      <w:r w:rsidRPr="00EB2BD8">
        <w:rPr>
          <w:rFonts w:ascii="Arial" w:hAnsi="Arial"/>
          <w:sz w:val="16"/>
        </w:rPr>
        <w:t>interest-bearing</w:t>
      </w:r>
      <w:r w:rsidRPr="00EB2BD8">
        <w:rPr>
          <w:rFonts w:ascii="Arial" w:hAnsi="Arial"/>
          <w:spacing w:val="39"/>
          <w:sz w:val="16"/>
        </w:rPr>
        <w:t xml:space="preserve"> </w:t>
      </w:r>
      <w:r w:rsidRPr="00EB2BD8">
        <w:rPr>
          <w:rFonts w:ascii="Arial" w:hAnsi="Arial"/>
          <w:spacing w:val="-2"/>
          <w:sz w:val="16"/>
        </w:rPr>
        <w:t>liabilities;</w:t>
      </w:r>
    </w:p>
    <w:p w14:paraId="54378E52" w14:textId="77777777" w:rsidR="00084F36" w:rsidRPr="00EB2BD8" w:rsidRDefault="00EB2BD8">
      <w:pPr>
        <w:pStyle w:val="ListParagraph"/>
        <w:numPr>
          <w:ilvl w:val="0"/>
          <w:numId w:val="35"/>
        </w:numPr>
        <w:tabs>
          <w:tab w:val="left" w:pos="1487"/>
        </w:tabs>
        <w:spacing w:before="35"/>
        <w:ind w:left="1487" w:hanging="333"/>
        <w:rPr>
          <w:rFonts w:ascii="Arial" w:hAnsi="Arial"/>
          <w:sz w:val="16"/>
        </w:rPr>
      </w:pPr>
      <w:r w:rsidRPr="00EB2BD8">
        <w:rPr>
          <w:rFonts w:ascii="Arial" w:hAnsi="Arial"/>
          <w:w w:val="105"/>
          <w:sz w:val="16"/>
        </w:rPr>
        <w:t>other</w:t>
      </w:r>
      <w:r w:rsidRPr="00EB2BD8">
        <w:rPr>
          <w:rFonts w:ascii="Arial" w:hAnsi="Arial"/>
          <w:spacing w:val="-11"/>
          <w:w w:val="105"/>
          <w:sz w:val="16"/>
        </w:rPr>
        <w:t xml:space="preserve"> </w:t>
      </w:r>
      <w:r w:rsidRPr="00EB2BD8">
        <w:rPr>
          <w:rFonts w:ascii="Arial" w:hAnsi="Arial"/>
          <w:w w:val="105"/>
          <w:sz w:val="16"/>
        </w:rPr>
        <w:t>liabilities;</w:t>
      </w:r>
      <w:r w:rsidRPr="00EB2BD8">
        <w:rPr>
          <w:rFonts w:ascii="Arial" w:hAnsi="Arial"/>
          <w:spacing w:val="-9"/>
          <w:w w:val="105"/>
          <w:sz w:val="16"/>
        </w:rPr>
        <w:t xml:space="preserve"> </w:t>
      </w:r>
      <w:r w:rsidRPr="00EB2BD8">
        <w:rPr>
          <w:rFonts w:ascii="Arial" w:hAnsi="Arial"/>
          <w:spacing w:val="-5"/>
          <w:w w:val="105"/>
          <w:sz w:val="16"/>
        </w:rPr>
        <w:t>and</w:t>
      </w:r>
    </w:p>
    <w:p w14:paraId="725BC83D" w14:textId="77777777" w:rsidR="00084F36" w:rsidRPr="00EB2BD8" w:rsidRDefault="00EB2BD8">
      <w:pPr>
        <w:pStyle w:val="ListParagraph"/>
        <w:numPr>
          <w:ilvl w:val="0"/>
          <w:numId w:val="35"/>
        </w:numPr>
        <w:tabs>
          <w:tab w:val="left" w:pos="1487"/>
        </w:tabs>
        <w:spacing w:before="37"/>
        <w:ind w:left="1487" w:hanging="333"/>
        <w:rPr>
          <w:rFonts w:ascii="Arial" w:hAnsi="Arial"/>
          <w:sz w:val="16"/>
        </w:rPr>
      </w:pPr>
      <w:r w:rsidRPr="00EB2BD8">
        <w:rPr>
          <w:rFonts w:ascii="Arial" w:hAnsi="Arial"/>
          <w:spacing w:val="-2"/>
          <w:w w:val="105"/>
          <w:sz w:val="16"/>
        </w:rPr>
        <w:t>security</w:t>
      </w:r>
      <w:r w:rsidRPr="00EB2BD8">
        <w:rPr>
          <w:rFonts w:ascii="Arial" w:hAnsi="Arial"/>
          <w:spacing w:val="4"/>
          <w:w w:val="105"/>
          <w:sz w:val="16"/>
        </w:rPr>
        <w:t xml:space="preserve"> </w:t>
      </w:r>
      <w:r w:rsidRPr="00EB2BD8">
        <w:rPr>
          <w:rFonts w:ascii="Arial" w:hAnsi="Arial"/>
          <w:spacing w:val="-2"/>
          <w:w w:val="105"/>
          <w:sz w:val="16"/>
        </w:rPr>
        <w:t>deposits.</w:t>
      </w:r>
    </w:p>
    <w:p w14:paraId="461DADF1" w14:textId="77777777" w:rsidR="00084F36" w:rsidRPr="00EB2BD8" w:rsidRDefault="00084F36">
      <w:pPr>
        <w:pStyle w:val="BodyText"/>
        <w:spacing w:before="4"/>
        <w:rPr>
          <w:rFonts w:ascii="Arial"/>
          <w:sz w:val="22"/>
        </w:rPr>
      </w:pPr>
    </w:p>
    <w:p w14:paraId="7BA6D209" w14:textId="77777777" w:rsidR="00084F36" w:rsidRPr="00EB2BD8" w:rsidRDefault="00EB2BD8">
      <w:pPr>
        <w:spacing w:line="288" w:lineRule="auto"/>
        <w:ind w:left="819" w:right="1718"/>
        <w:rPr>
          <w:rFonts w:ascii="Arial"/>
          <w:sz w:val="16"/>
        </w:rPr>
      </w:pPr>
      <w:r w:rsidRPr="00EB2BD8">
        <w:rPr>
          <w:rFonts w:ascii="Arial"/>
          <w:b/>
          <w:w w:val="105"/>
          <w:sz w:val="16"/>
        </w:rPr>
        <w:t xml:space="preserve">Derecognition of financial assets: </w:t>
      </w:r>
      <w:r w:rsidRPr="00EB2BD8">
        <w:rPr>
          <w:rFonts w:ascii="Arial"/>
          <w:w w:val="105"/>
          <w:sz w:val="16"/>
        </w:rPr>
        <w:t>A financial asset (or,</w:t>
      </w:r>
      <w:r w:rsidRPr="00EB2BD8">
        <w:rPr>
          <w:rFonts w:ascii="Arial"/>
          <w:spacing w:val="-6"/>
          <w:w w:val="105"/>
          <w:sz w:val="16"/>
        </w:rPr>
        <w:t xml:space="preserve"> </w:t>
      </w:r>
      <w:r w:rsidRPr="00EB2BD8">
        <w:rPr>
          <w:rFonts w:ascii="Arial"/>
          <w:w w:val="105"/>
          <w:sz w:val="16"/>
        </w:rPr>
        <w:t>where</w:t>
      </w:r>
      <w:r w:rsidRPr="00EB2BD8">
        <w:rPr>
          <w:rFonts w:ascii="Arial"/>
          <w:spacing w:val="-7"/>
          <w:w w:val="105"/>
          <w:sz w:val="16"/>
        </w:rPr>
        <w:t xml:space="preserve"> </w:t>
      </w:r>
      <w:r w:rsidRPr="00EB2BD8">
        <w:rPr>
          <w:rFonts w:ascii="Arial"/>
          <w:w w:val="105"/>
          <w:sz w:val="16"/>
        </w:rPr>
        <w:t>applicable,</w:t>
      </w:r>
      <w:r w:rsidRPr="00EB2BD8">
        <w:rPr>
          <w:rFonts w:ascii="Arial"/>
          <w:spacing w:val="-6"/>
          <w:w w:val="105"/>
          <w:sz w:val="16"/>
        </w:rPr>
        <w:t xml:space="preserve"> </w:t>
      </w:r>
      <w:r w:rsidRPr="00EB2BD8">
        <w:rPr>
          <w:rFonts w:ascii="Arial"/>
          <w:w w:val="105"/>
          <w:sz w:val="16"/>
        </w:rPr>
        <w:t>part</w:t>
      </w:r>
      <w:r w:rsidRPr="00EB2BD8">
        <w:rPr>
          <w:rFonts w:ascii="Arial"/>
          <w:spacing w:val="-6"/>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a</w:t>
      </w:r>
      <w:r w:rsidRPr="00EB2BD8">
        <w:rPr>
          <w:rFonts w:ascii="Arial"/>
          <w:spacing w:val="-7"/>
          <w:w w:val="105"/>
          <w:sz w:val="16"/>
        </w:rPr>
        <w:t xml:space="preserve"> </w:t>
      </w:r>
      <w:r w:rsidRPr="00EB2BD8">
        <w:rPr>
          <w:rFonts w:ascii="Arial"/>
          <w:w w:val="105"/>
          <w:sz w:val="16"/>
        </w:rPr>
        <w:t>financial</w:t>
      </w:r>
      <w:r w:rsidRPr="00EB2BD8">
        <w:rPr>
          <w:rFonts w:ascii="Arial"/>
          <w:spacing w:val="-5"/>
          <w:w w:val="105"/>
          <w:sz w:val="16"/>
        </w:rPr>
        <w:t xml:space="preserve"> </w:t>
      </w:r>
      <w:r w:rsidRPr="00EB2BD8">
        <w:rPr>
          <w:rFonts w:ascii="Arial"/>
          <w:w w:val="105"/>
          <w:sz w:val="16"/>
        </w:rPr>
        <w:t>asset</w:t>
      </w:r>
      <w:r w:rsidRPr="00EB2BD8">
        <w:rPr>
          <w:rFonts w:ascii="Arial"/>
          <w:spacing w:val="-6"/>
          <w:w w:val="105"/>
          <w:sz w:val="16"/>
        </w:rPr>
        <w:t xml:space="preserve"> </w:t>
      </w:r>
      <w:r w:rsidRPr="00EB2BD8">
        <w:rPr>
          <w:rFonts w:ascii="Arial"/>
          <w:w w:val="105"/>
          <w:sz w:val="16"/>
        </w:rPr>
        <w:t>or</w:t>
      </w:r>
      <w:r w:rsidRPr="00EB2BD8">
        <w:rPr>
          <w:rFonts w:ascii="Arial"/>
          <w:spacing w:val="-6"/>
          <w:w w:val="105"/>
          <w:sz w:val="16"/>
        </w:rPr>
        <w:t xml:space="preserve"> </w:t>
      </w:r>
      <w:r w:rsidRPr="00EB2BD8">
        <w:rPr>
          <w:rFonts w:ascii="Arial"/>
          <w:w w:val="105"/>
          <w:sz w:val="16"/>
        </w:rPr>
        <w:t>part</w:t>
      </w:r>
      <w:r w:rsidRPr="00EB2BD8">
        <w:rPr>
          <w:rFonts w:ascii="Arial"/>
          <w:spacing w:val="-6"/>
          <w:w w:val="105"/>
          <w:sz w:val="16"/>
        </w:rPr>
        <w:t xml:space="preserve"> </w:t>
      </w:r>
      <w:r w:rsidRPr="00EB2BD8">
        <w:rPr>
          <w:rFonts w:ascii="Arial"/>
          <w:w w:val="105"/>
          <w:sz w:val="16"/>
        </w:rPr>
        <w:t>of a group of similar assets) is derecognised when:</w:t>
      </w:r>
    </w:p>
    <w:p w14:paraId="49D49B28" w14:textId="77777777" w:rsidR="00084F36" w:rsidRPr="00EB2BD8" w:rsidRDefault="00084F36">
      <w:pPr>
        <w:pStyle w:val="BodyText"/>
        <w:spacing w:before="2"/>
        <w:rPr>
          <w:rFonts w:ascii="Arial"/>
          <w:sz w:val="19"/>
        </w:rPr>
      </w:pPr>
    </w:p>
    <w:p w14:paraId="7C5118FB" w14:textId="77777777" w:rsidR="00084F36" w:rsidRPr="00EB2BD8" w:rsidRDefault="00EB2BD8">
      <w:pPr>
        <w:pStyle w:val="ListParagraph"/>
        <w:numPr>
          <w:ilvl w:val="0"/>
          <w:numId w:val="35"/>
        </w:numPr>
        <w:tabs>
          <w:tab w:val="left" w:pos="1488"/>
        </w:tabs>
        <w:spacing w:before="1" w:line="285" w:lineRule="auto"/>
        <w:ind w:right="1767"/>
        <w:rPr>
          <w:rFonts w:ascii="Arial" w:hAnsi="Arial"/>
          <w:sz w:val="16"/>
        </w:rPr>
      </w:pPr>
      <w:r w:rsidRPr="00EB2BD8">
        <w:rPr>
          <w:rFonts w:ascii="Arial" w:hAnsi="Arial"/>
          <w:w w:val="105"/>
          <w:sz w:val="16"/>
        </w:rPr>
        <w:t>the</w:t>
      </w:r>
      <w:r w:rsidRPr="00EB2BD8">
        <w:rPr>
          <w:rFonts w:ascii="Arial" w:hAnsi="Arial"/>
          <w:spacing w:val="-8"/>
          <w:w w:val="105"/>
          <w:sz w:val="16"/>
        </w:rPr>
        <w:t xml:space="preserve"> </w:t>
      </w:r>
      <w:r w:rsidRPr="00EB2BD8">
        <w:rPr>
          <w:rFonts w:ascii="Arial" w:hAnsi="Arial"/>
          <w:w w:val="105"/>
          <w:sz w:val="16"/>
        </w:rPr>
        <w:t>rights</w:t>
      </w:r>
      <w:r w:rsidRPr="00EB2BD8">
        <w:rPr>
          <w:rFonts w:ascii="Arial" w:hAnsi="Arial"/>
          <w:spacing w:val="-7"/>
          <w:w w:val="105"/>
          <w:sz w:val="16"/>
        </w:rPr>
        <w:t xml:space="preserve"> </w:t>
      </w:r>
      <w:r w:rsidRPr="00EB2BD8">
        <w:rPr>
          <w:rFonts w:ascii="Arial" w:hAnsi="Arial"/>
          <w:w w:val="105"/>
          <w:sz w:val="16"/>
        </w:rPr>
        <w:t>to</w:t>
      </w:r>
      <w:r w:rsidRPr="00EB2BD8">
        <w:rPr>
          <w:rFonts w:ascii="Arial" w:hAnsi="Arial"/>
          <w:spacing w:val="-8"/>
          <w:w w:val="105"/>
          <w:sz w:val="16"/>
        </w:rPr>
        <w:t xml:space="preserve"> </w:t>
      </w:r>
      <w:r w:rsidRPr="00EB2BD8">
        <w:rPr>
          <w:rFonts w:ascii="Arial" w:hAnsi="Arial"/>
          <w:w w:val="105"/>
          <w:sz w:val="16"/>
        </w:rPr>
        <w:t>receive</w:t>
      </w:r>
      <w:r w:rsidRPr="00EB2BD8">
        <w:rPr>
          <w:rFonts w:ascii="Arial" w:hAnsi="Arial"/>
          <w:spacing w:val="-8"/>
          <w:w w:val="105"/>
          <w:sz w:val="16"/>
        </w:rPr>
        <w:t xml:space="preserve"> </w:t>
      </w:r>
      <w:r w:rsidRPr="00EB2BD8">
        <w:rPr>
          <w:rFonts w:ascii="Arial" w:hAnsi="Arial"/>
          <w:w w:val="105"/>
          <w:sz w:val="16"/>
        </w:rPr>
        <w:t>cash</w:t>
      </w:r>
      <w:r w:rsidRPr="00EB2BD8">
        <w:rPr>
          <w:rFonts w:ascii="Arial" w:hAnsi="Arial"/>
          <w:spacing w:val="-8"/>
          <w:w w:val="105"/>
          <w:sz w:val="16"/>
        </w:rPr>
        <w:t xml:space="preserve"> </w:t>
      </w:r>
      <w:r w:rsidRPr="00EB2BD8">
        <w:rPr>
          <w:rFonts w:ascii="Arial" w:hAnsi="Arial"/>
          <w:w w:val="105"/>
          <w:sz w:val="16"/>
        </w:rPr>
        <w:t>flows</w:t>
      </w:r>
      <w:r w:rsidRPr="00EB2BD8">
        <w:rPr>
          <w:rFonts w:ascii="Arial" w:hAnsi="Arial"/>
          <w:spacing w:val="-7"/>
          <w:w w:val="105"/>
          <w:sz w:val="16"/>
        </w:rPr>
        <w:t xml:space="preserve"> </w:t>
      </w:r>
      <w:r w:rsidRPr="00EB2BD8">
        <w:rPr>
          <w:rFonts w:ascii="Arial" w:hAnsi="Arial"/>
          <w:w w:val="105"/>
          <w:sz w:val="16"/>
        </w:rPr>
        <w:t>from</w:t>
      </w:r>
      <w:r w:rsidRPr="00EB2BD8">
        <w:rPr>
          <w:rFonts w:ascii="Arial" w:hAnsi="Arial"/>
          <w:spacing w:val="-7"/>
          <w:w w:val="105"/>
          <w:sz w:val="16"/>
        </w:rPr>
        <w:t xml:space="preserve"> </w:t>
      </w:r>
      <w:r w:rsidRPr="00EB2BD8">
        <w:rPr>
          <w:rFonts w:ascii="Arial" w:hAnsi="Arial"/>
          <w:w w:val="105"/>
          <w:sz w:val="16"/>
        </w:rPr>
        <w:t>the</w:t>
      </w:r>
      <w:r w:rsidRPr="00EB2BD8">
        <w:rPr>
          <w:rFonts w:ascii="Arial" w:hAnsi="Arial"/>
          <w:spacing w:val="-8"/>
          <w:w w:val="105"/>
          <w:sz w:val="16"/>
        </w:rPr>
        <w:t xml:space="preserve"> </w:t>
      </w:r>
      <w:r w:rsidRPr="00EB2BD8">
        <w:rPr>
          <w:rFonts w:ascii="Arial" w:hAnsi="Arial"/>
          <w:w w:val="105"/>
          <w:sz w:val="16"/>
        </w:rPr>
        <w:t>asset have expired; or</w:t>
      </w:r>
    </w:p>
    <w:p w14:paraId="4E385203" w14:textId="77777777" w:rsidR="00084F36" w:rsidRPr="00EB2BD8" w:rsidRDefault="00EB2BD8">
      <w:pPr>
        <w:pStyle w:val="ListParagraph"/>
        <w:numPr>
          <w:ilvl w:val="0"/>
          <w:numId w:val="35"/>
        </w:numPr>
        <w:tabs>
          <w:tab w:val="left" w:pos="1488"/>
        </w:tabs>
        <w:spacing w:before="1" w:line="288" w:lineRule="auto"/>
        <w:ind w:right="1683"/>
        <w:rPr>
          <w:rFonts w:ascii="Arial" w:hAnsi="Arial"/>
          <w:sz w:val="16"/>
        </w:rPr>
      </w:pPr>
      <w:r w:rsidRPr="00EB2BD8">
        <w:rPr>
          <w:rFonts w:ascii="Arial" w:hAnsi="Arial"/>
          <w:w w:val="105"/>
          <w:sz w:val="16"/>
        </w:rPr>
        <w:t>the VBA retains the right to receive cash flows from the</w:t>
      </w:r>
      <w:r w:rsidRPr="00EB2BD8">
        <w:rPr>
          <w:rFonts w:ascii="Arial" w:hAnsi="Arial"/>
          <w:spacing w:val="-1"/>
          <w:w w:val="105"/>
          <w:sz w:val="16"/>
        </w:rPr>
        <w:t xml:space="preserve"> </w:t>
      </w:r>
      <w:r w:rsidRPr="00EB2BD8">
        <w:rPr>
          <w:rFonts w:ascii="Arial" w:hAnsi="Arial"/>
          <w:w w:val="105"/>
          <w:sz w:val="16"/>
        </w:rPr>
        <w:t>asset, but has assumed</w:t>
      </w:r>
      <w:r w:rsidRPr="00EB2BD8">
        <w:rPr>
          <w:rFonts w:ascii="Arial" w:hAnsi="Arial"/>
          <w:spacing w:val="-1"/>
          <w:w w:val="105"/>
          <w:sz w:val="16"/>
        </w:rPr>
        <w:t xml:space="preserve"> </w:t>
      </w:r>
      <w:r w:rsidRPr="00EB2BD8">
        <w:rPr>
          <w:rFonts w:ascii="Arial" w:hAnsi="Arial"/>
          <w:w w:val="105"/>
          <w:sz w:val="16"/>
        </w:rPr>
        <w:t>an</w:t>
      </w:r>
      <w:r w:rsidRPr="00EB2BD8">
        <w:rPr>
          <w:rFonts w:ascii="Arial" w:hAnsi="Arial"/>
          <w:spacing w:val="-1"/>
          <w:w w:val="105"/>
          <w:sz w:val="16"/>
        </w:rPr>
        <w:t xml:space="preserve"> </w:t>
      </w:r>
      <w:r w:rsidRPr="00EB2BD8">
        <w:rPr>
          <w:rFonts w:ascii="Arial" w:hAnsi="Arial"/>
          <w:w w:val="105"/>
          <w:sz w:val="16"/>
        </w:rPr>
        <w:t>obligation to pay them in full without material delay to a third</w:t>
      </w:r>
      <w:r w:rsidRPr="00EB2BD8">
        <w:rPr>
          <w:rFonts w:ascii="Arial" w:hAnsi="Arial"/>
          <w:spacing w:val="-10"/>
          <w:w w:val="105"/>
          <w:sz w:val="16"/>
        </w:rPr>
        <w:t xml:space="preserve"> </w:t>
      </w:r>
      <w:r w:rsidRPr="00EB2BD8">
        <w:rPr>
          <w:rFonts w:ascii="Arial" w:hAnsi="Arial"/>
          <w:w w:val="105"/>
          <w:sz w:val="16"/>
        </w:rPr>
        <w:t>party</w:t>
      </w:r>
      <w:r w:rsidRPr="00EB2BD8">
        <w:rPr>
          <w:rFonts w:ascii="Arial" w:hAnsi="Arial"/>
          <w:spacing w:val="-9"/>
          <w:w w:val="105"/>
          <w:sz w:val="16"/>
        </w:rPr>
        <w:t xml:space="preserve"> </w:t>
      </w:r>
      <w:r w:rsidRPr="00EB2BD8">
        <w:rPr>
          <w:rFonts w:ascii="Arial" w:hAnsi="Arial"/>
          <w:w w:val="105"/>
          <w:sz w:val="16"/>
        </w:rPr>
        <w:t>under</w:t>
      </w:r>
      <w:r w:rsidRPr="00EB2BD8">
        <w:rPr>
          <w:rFonts w:ascii="Arial" w:hAnsi="Arial"/>
          <w:spacing w:val="-9"/>
          <w:w w:val="105"/>
          <w:sz w:val="16"/>
        </w:rPr>
        <w:t xml:space="preserve"> </w:t>
      </w:r>
      <w:r w:rsidRPr="00EB2BD8">
        <w:rPr>
          <w:rFonts w:ascii="Arial" w:hAnsi="Arial"/>
          <w:w w:val="105"/>
          <w:sz w:val="16"/>
        </w:rPr>
        <w:t>a</w:t>
      </w:r>
      <w:r w:rsidRPr="00EB2BD8">
        <w:rPr>
          <w:rFonts w:ascii="Arial" w:hAnsi="Arial"/>
          <w:spacing w:val="-10"/>
          <w:w w:val="105"/>
          <w:sz w:val="16"/>
        </w:rPr>
        <w:t xml:space="preserve"> </w:t>
      </w:r>
      <w:r w:rsidRPr="00EB2BD8">
        <w:rPr>
          <w:rFonts w:ascii="Arial" w:hAnsi="Arial"/>
          <w:w w:val="105"/>
          <w:sz w:val="16"/>
        </w:rPr>
        <w:t>'pass</w:t>
      </w:r>
      <w:r w:rsidRPr="00EB2BD8">
        <w:rPr>
          <w:rFonts w:ascii="Arial" w:hAnsi="Arial"/>
          <w:spacing w:val="-9"/>
          <w:w w:val="105"/>
          <w:sz w:val="16"/>
        </w:rPr>
        <w:t xml:space="preserve"> </w:t>
      </w:r>
      <w:r w:rsidRPr="00EB2BD8">
        <w:rPr>
          <w:rFonts w:ascii="Arial" w:hAnsi="Arial"/>
          <w:w w:val="105"/>
          <w:sz w:val="16"/>
        </w:rPr>
        <w:t>through'</w:t>
      </w:r>
      <w:r w:rsidRPr="00EB2BD8">
        <w:rPr>
          <w:rFonts w:ascii="Arial" w:hAnsi="Arial"/>
          <w:spacing w:val="-9"/>
          <w:w w:val="105"/>
          <w:sz w:val="16"/>
        </w:rPr>
        <w:t xml:space="preserve"> </w:t>
      </w:r>
      <w:r w:rsidRPr="00EB2BD8">
        <w:rPr>
          <w:rFonts w:ascii="Arial" w:hAnsi="Arial"/>
          <w:w w:val="105"/>
          <w:sz w:val="16"/>
        </w:rPr>
        <w:t xml:space="preserve">arrangement; </w:t>
      </w:r>
      <w:r w:rsidRPr="00EB2BD8">
        <w:rPr>
          <w:rFonts w:ascii="Arial" w:hAnsi="Arial"/>
          <w:spacing w:val="-6"/>
          <w:w w:val="105"/>
          <w:sz w:val="16"/>
        </w:rPr>
        <w:t>or</w:t>
      </w:r>
    </w:p>
    <w:p w14:paraId="61AF2E9B" w14:textId="77777777" w:rsidR="00084F36" w:rsidRPr="00EB2BD8" w:rsidRDefault="00EB2BD8">
      <w:pPr>
        <w:pStyle w:val="ListParagraph"/>
        <w:numPr>
          <w:ilvl w:val="0"/>
          <w:numId w:val="35"/>
        </w:numPr>
        <w:tabs>
          <w:tab w:val="left" w:pos="1488"/>
        </w:tabs>
        <w:spacing w:line="283" w:lineRule="auto"/>
        <w:ind w:right="1935"/>
        <w:rPr>
          <w:rFonts w:ascii="Arial" w:hAnsi="Arial"/>
          <w:sz w:val="16"/>
        </w:rPr>
      </w:pPr>
      <w:r w:rsidRPr="00EB2BD8">
        <w:rPr>
          <w:rFonts w:ascii="Arial" w:hAnsi="Arial"/>
          <w:w w:val="105"/>
          <w:sz w:val="16"/>
        </w:rPr>
        <w:t>the</w:t>
      </w:r>
      <w:r w:rsidRPr="00EB2BD8">
        <w:rPr>
          <w:rFonts w:ascii="Arial" w:hAnsi="Arial"/>
          <w:spacing w:val="-9"/>
          <w:w w:val="105"/>
          <w:sz w:val="16"/>
        </w:rPr>
        <w:t xml:space="preserve"> </w:t>
      </w:r>
      <w:r w:rsidRPr="00EB2BD8">
        <w:rPr>
          <w:rFonts w:ascii="Arial" w:hAnsi="Arial"/>
          <w:w w:val="105"/>
          <w:sz w:val="16"/>
        </w:rPr>
        <w:t>VBA</w:t>
      </w:r>
      <w:r w:rsidRPr="00EB2BD8">
        <w:rPr>
          <w:rFonts w:ascii="Arial" w:hAnsi="Arial"/>
          <w:spacing w:val="-8"/>
          <w:w w:val="105"/>
          <w:sz w:val="16"/>
        </w:rPr>
        <w:t xml:space="preserve"> </w:t>
      </w:r>
      <w:r w:rsidRPr="00EB2BD8">
        <w:rPr>
          <w:rFonts w:ascii="Arial" w:hAnsi="Arial"/>
          <w:w w:val="105"/>
          <w:sz w:val="16"/>
        </w:rPr>
        <w:t>has</w:t>
      </w:r>
      <w:r w:rsidRPr="00EB2BD8">
        <w:rPr>
          <w:rFonts w:ascii="Arial" w:hAnsi="Arial"/>
          <w:spacing w:val="-8"/>
          <w:w w:val="105"/>
          <w:sz w:val="16"/>
        </w:rPr>
        <w:t xml:space="preserve"> </w:t>
      </w:r>
      <w:r w:rsidRPr="00EB2BD8">
        <w:rPr>
          <w:rFonts w:ascii="Arial" w:hAnsi="Arial"/>
          <w:w w:val="105"/>
          <w:sz w:val="16"/>
        </w:rPr>
        <w:t>transferred</w:t>
      </w:r>
      <w:r w:rsidRPr="00EB2BD8">
        <w:rPr>
          <w:rFonts w:ascii="Arial" w:hAnsi="Arial"/>
          <w:spacing w:val="-9"/>
          <w:w w:val="105"/>
          <w:sz w:val="16"/>
        </w:rPr>
        <w:t xml:space="preserve"> </w:t>
      </w:r>
      <w:r w:rsidRPr="00EB2BD8">
        <w:rPr>
          <w:rFonts w:ascii="Arial" w:hAnsi="Arial"/>
          <w:w w:val="105"/>
          <w:sz w:val="16"/>
        </w:rPr>
        <w:t>its</w:t>
      </w:r>
      <w:r w:rsidRPr="00EB2BD8">
        <w:rPr>
          <w:rFonts w:ascii="Arial" w:hAnsi="Arial"/>
          <w:spacing w:val="-8"/>
          <w:w w:val="105"/>
          <w:sz w:val="16"/>
        </w:rPr>
        <w:t xml:space="preserve"> </w:t>
      </w:r>
      <w:r w:rsidRPr="00EB2BD8">
        <w:rPr>
          <w:rFonts w:ascii="Arial" w:hAnsi="Arial"/>
          <w:w w:val="105"/>
          <w:sz w:val="16"/>
        </w:rPr>
        <w:t>rights</w:t>
      </w:r>
      <w:r w:rsidRPr="00EB2BD8">
        <w:rPr>
          <w:rFonts w:ascii="Arial" w:hAnsi="Arial"/>
          <w:spacing w:val="-8"/>
          <w:w w:val="105"/>
          <w:sz w:val="16"/>
        </w:rPr>
        <w:t xml:space="preserve"> </w:t>
      </w:r>
      <w:r w:rsidRPr="00EB2BD8">
        <w:rPr>
          <w:rFonts w:ascii="Arial" w:hAnsi="Arial"/>
          <w:w w:val="105"/>
          <w:sz w:val="16"/>
        </w:rPr>
        <w:t>to</w:t>
      </w:r>
      <w:r w:rsidRPr="00EB2BD8">
        <w:rPr>
          <w:rFonts w:ascii="Arial" w:hAnsi="Arial"/>
          <w:spacing w:val="-9"/>
          <w:w w:val="105"/>
          <w:sz w:val="16"/>
        </w:rPr>
        <w:t xml:space="preserve"> </w:t>
      </w:r>
      <w:r w:rsidRPr="00EB2BD8">
        <w:rPr>
          <w:rFonts w:ascii="Arial" w:hAnsi="Arial"/>
          <w:w w:val="105"/>
          <w:sz w:val="16"/>
        </w:rPr>
        <w:t>receive cash flows from the asset and either:</w:t>
      </w:r>
    </w:p>
    <w:p w14:paraId="189BD145" w14:textId="77777777" w:rsidR="00084F36" w:rsidRPr="00EB2BD8" w:rsidRDefault="00EB2BD8">
      <w:pPr>
        <w:pStyle w:val="ListParagraph"/>
        <w:numPr>
          <w:ilvl w:val="1"/>
          <w:numId w:val="35"/>
        </w:numPr>
        <w:tabs>
          <w:tab w:val="left" w:pos="1869"/>
          <w:tab w:val="left" w:pos="1872"/>
        </w:tabs>
        <w:spacing w:line="268" w:lineRule="auto"/>
        <w:ind w:right="1801"/>
        <w:rPr>
          <w:rFonts w:ascii="Arial"/>
          <w:sz w:val="16"/>
        </w:rPr>
      </w:pPr>
      <w:r w:rsidRPr="00EB2BD8">
        <w:rPr>
          <w:rFonts w:ascii="Arial"/>
          <w:w w:val="105"/>
          <w:sz w:val="16"/>
        </w:rPr>
        <w:t>has</w:t>
      </w:r>
      <w:r w:rsidRPr="00EB2BD8">
        <w:rPr>
          <w:rFonts w:ascii="Arial"/>
          <w:spacing w:val="-10"/>
          <w:w w:val="105"/>
          <w:sz w:val="16"/>
        </w:rPr>
        <w:t xml:space="preserve"> </w:t>
      </w:r>
      <w:r w:rsidRPr="00EB2BD8">
        <w:rPr>
          <w:rFonts w:ascii="Arial"/>
          <w:w w:val="105"/>
          <w:sz w:val="16"/>
        </w:rPr>
        <w:t>transferred</w:t>
      </w:r>
      <w:r w:rsidRPr="00EB2BD8">
        <w:rPr>
          <w:rFonts w:ascii="Arial"/>
          <w:spacing w:val="-10"/>
          <w:w w:val="105"/>
          <w:sz w:val="16"/>
        </w:rPr>
        <w:t xml:space="preserve"> </w:t>
      </w:r>
      <w:r w:rsidRPr="00EB2BD8">
        <w:rPr>
          <w:rFonts w:ascii="Arial"/>
          <w:w w:val="105"/>
          <w:sz w:val="16"/>
        </w:rPr>
        <w:t>substantially</w:t>
      </w:r>
      <w:r w:rsidRPr="00EB2BD8">
        <w:rPr>
          <w:rFonts w:ascii="Arial"/>
          <w:spacing w:val="-10"/>
          <w:w w:val="105"/>
          <w:sz w:val="16"/>
        </w:rPr>
        <w:t xml:space="preserve"> </w:t>
      </w:r>
      <w:r w:rsidRPr="00EB2BD8">
        <w:rPr>
          <w:rFonts w:ascii="Arial"/>
          <w:w w:val="105"/>
          <w:sz w:val="16"/>
        </w:rPr>
        <w:t>all</w:t>
      </w:r>
      <w:r w:rsidRPr="00EB2BD8">
        <w:rPr>
          <w:rFonts w:ascii="Arial"/>
          <w:spacing w:val="-11"/>
          <w:w w:val="105"/>
          <w:sz w:val="16"/>
        </w:rPr>
        <w:t xml:space="preserve"> </w:t>
      </w:r>
      <w:r w:rsidRPr="00EB2BD8">
        <w:rPr>
          <w:rFonts w:ascii="Arial"/>
          <w:w w:val="105"/>
          <w:sz w:val="16"/>
        </w:rPr>
        <w:t>the</w:t>
      </w:r>
      <w:r w:rsidRPr="00EB2BD8">
        <w:rPr>
          <w:rFonts w:ascii="Arial"/>
          <w:spacing w:val="-11"/>
          <w:w w:val="105"/>
          <w:sz w:val="16"/>
        </w:rPr>
        <w:t xml:space="preserve"> </w:t>
      </w:r>
      <w:r w:rsidRPr="00EB2BD8">
        <w:rPr>
          <w:rFonts w:ascii="Arial"/>
          <w:w w:val="105"/>
          <w:sz w:val="16"/>
        </w:rPr>
        <w:t>risks and rewards of the asset; or</w:t>
      </w:r>
    </w:p>
    <w:p w14:paraId="2CB7F931" w14:textId="77777777" w:rsidR="00084F36" w:rsidRPr="00EB2BD8" w:rsidRDefault="00EB2BD8">
      <w:pPr>
        <w:pStyle w:val="ListParagraph"/>
        <w:numPr>
          <w:ilvl w:val="1"/>
          <w:numId w:val="35"/>
        </w:numPr>
        <w:tabs>
          <w:tab w:val="left" w:pos="1869"/>
          <w:tab w:val="left" w:pos="1872"/>
        </w:tabs>
        <w:spacing w:before="122" w:line="280" w:lineRule="auto"/>
        <w:ind w:right="1819"/>
        <w:rPr>
          <w:rFonts w:ascii="Arial"/>
          <w:sz w:val="16"/>
        </w:rPr>
      </w:pPr>
      <w:r w:rsidRPr="00EB2BD8">
        <w:rPr>
          <w:rFonts w:ascii="Arial"/>
          <w:w w:val="105"/>
          <w:sz w:val="16"/>
        </w:rPr>
        <w:t>has neither transferred nor retained substantially</w:t>
      </w:r>
      <w:r w:rsidRPr="00EB2BD8">
        <w:rPr>
          <w:rFonts w:ascii="Arial"/>
          <w:spacing w:val="-9"/>
          <w:w w:val="105"/>
          <w:sz w:val="16"/>
        </w:rPr>
        <w:t xml:space="preserve"> </w:t>
      </w:r>
      <w:r w:rsidRPr="00EB2BD8">
        <w:rPr>
          <w:rFonts w:ascii="Arial"/>
          <w:w w:val="105"/>
          <w:sz w:val="16"/>
        </w:rPr>
        <w:t>all</w:t>
      </w:r>
      <w:r w:rsidRPr="00EB2BD8">
        <w:rPr>
          <w:rFonts w:ascii="Arial"/>
          <w:spacing w:val="-8"/>
          <w:w w:val="105"/>
          <w:sz w:val="16"/>
        </w:rPr>
        <w:t xml:space="preserve"> </w:t>
      </w:r>
      <w:r w:rsidRPr="00EB2BD8">
        <w:rPr>
          <w:rFonts w:ascii="Arial"/>
          <w:w w:val="105"/>
          <w:sz w:val="16"/>
        </w:rPr>
        <w:t>the</w:t>
      </w:r>
      <w:r w:rsidRPr="00EB2BD8">
        <w:rPr>
          <w:rFonts w:ascii="Arial"/>
          <w:spacing w:val="-10"/>
          <w:w w:val="105"/>
          <w:sz w:val="16"/>
        </w:rPr>
        <w:t xml:space="preserve"> </w:t>
      </w:r>
      <w:r w:rsidRPr="00EB2BD8">
        <w:rPr>
          <w:rFonts w:ascii="Arial"/>
          <w:w w:val="105"/>
          <w:sz w:val="16"/>
        </w:rPr>
        <w:t>risks</w:t>
      </w:r>
      <w:r w:rsidRPr="00EB2BD8">
        <w:rPr>
          <w:rFonts w:ascii="Arial"/>
          <w:spacing w:val="-9"/>
          <w:w w:val="105"/>
          <w:sz w:val="16"/>
        </w:rPr>
        <w:t xml:space="preserve"> </w:t>
      </w:r>
      <w:r w:rsidRPr="00EB2BD8">
        <w:rPr>
          <w:rFonts w:ascii="Arial"/>
          <w:w w:val="105"/>
          <w:sz w:val="16"/>
        </w:rPr>
        <w:t>and</w:t>
      </w:r>
      <w:r w:rsidRPr="00EB2BD8">
        <w:rPr>
          <w:rFonts w:ascii="Arial"/>
          <w:spacing w:val="-10"/>
          <w:w w:val="105"/>
          <w:sz w:val="16"/>
        </w:rPr>
        <w:t xml:space="preserve"> </w:t>
      </w:r>
      <w:r w:rsidRPr="00EB2BD8">
        <w:rPr>
          <w:rFonts w:ascii="Arial"/>
          <w:w w:val="105"/>
          <w:sz w:val="16"/>
        </w:rPr>
        <w:t>rewards</w:t>
      </w:r>
      <w:r w:rsidRPr="00EB2BD8">
        <w:rPr>
          <w:rFonts w:ascii="Arial"/>
          <w:spacing w:val="-9"/>
          <w:w w:val="105"/>
          <w:sz w:val="16"/>
        </w:rPr>
        <w:t xml:space="preserve"> </w:t>
      </w:r>
      <w:r w:rsidRPr="00EB2BD8">
        <w:rPr>
          <w:rFonts w:ascii="Arial"/>
          <w:w w:val="105"/>
          <w:sz w:val="16"/>
        </w:rPr>
        <w:t>of the asset but has transferred control of the asset.</w:t>
      </w:r>
    </w:p>
    <w:p w14:paraId="28DF9E53" w14:textId="77777777" w:rsidR="00084F36" w:rsidRPr="00EB2BD8" w:rsidRDefault="00084F36">
      <w:pPr>
        <w:pStyle w:val="BodyText"/>
        <w:spacing w:before="9"/>
        <w:rPr>
          <w:rFonts w:ascii="Arial"/>
          <w:sz w:val="19"/>
        </w:rPr>
      </w:pPr>
    </w:p>
    <w:p w14:paraId="25C9A19B" w14:textId="77777777" w:rsidR="00084F36" w:rsidRPr="00EB2BD8" w:rsidRDefault="00EB2BD8">
      <w:pPr>
        <w:spacing w:line="288" w:lineRule="auto"/>
        <w:ind w:left="820" w:right="1642"/>
        <w:rPr>
          <w:rFonts w:ascii="Arial"/>
          <w:sz w:val="16"/>
        </w:rPr>
      </w:pPr>
      <w:r w:rsidRPr="00EB2BD8">
        <w:rPr>
          <w:rFonts w:ascii="Arial"/>
          <w:w w:val="105"/>
          <w:sz w:val="16"/>
        </w:rPr>
        <w:t>Where</w:t>
      </w:r>
      <w:r w:rsidRPr="00EB2BD8">
        <w:rPr>
          <w:rFonts w:ascii="Arial"/>
          <w:spacing w:val="-9"/>
          <w:w w:val="105"/>
          <w:sz w:val="16"/>
        </w:rPr>
        <w:t xml:space="preserve"> </w:t>
      </w:r>
      <w:r w:rsidRPr="00EB2BD8">
        <w:rPr>
          <w:rFonts w:ascii="Arial"/>
          <w:w w:val="105"/>
          <w:sz w:val="16"/>
        </w:rPr>
        <w:t>the</w:t>
      </w:r>
      <w:r w:rsidRPr="00EB2BD8">
        <w:rPr>
          <w:rFonts w:ascii="Arial"/>
          <w:spacing w:val="-9"/>
          <w:w w:val="105"/>
          <w:sz w:val="16"/>
        </w:rPr>
        <w:t xml:space="preserve"> </w:t>
      </w:r>
      <w:r w:rsidRPr="00EB2BD8">
        <w:rPr>
          <w:rFonts w:ascii="Arial"/>
          <w:w w:val="105"/>
          <w:sz w:val="16"/>
        </w:rPr>
        <w:t>VBA</w:t>
      </w:r>
      <w:r w:rsidRPr="00EB2BD8">
        <w:rPr>
          <w:rFonts w:ascii="Arial"/>
          <w:spacing w:val="-8"/>
          <w:w w:val="105"/>
          <w:sz w:val="16"/>
        </w:rPr>
        <w:t xml:space="preserve"> </w:t>
      </w:r>
      <w:r w:rsidRPr="00EB2BD8">
        <w:rPr>
          <w:rFonts w:ascii="Arial"/>
          <w:w w:val="105"/>
          <w:sz w:val="16"/>
        </w:rPr>
        <w:t>has</w:t>
      </w:r>
      <w:r w:rsidRPr="00EB2BD8">
        <w:rPr>
          <w:rFonts w:ascii="Arial"/>
          <w:spacing w:val="-8"/>
          <w:w w:val="105"/>
          <w:sz w:val="16"/>
        </w:rPr>
        <w:t xml:space="preserve"> </w:t>
      </w:r>
      <w:r w:rsidRPr="00EB2BD8">
        <w:rPr>
          <w:rFonts w:ascii="Arial"/>
          <w:w w:val="105"/>
          <w:sz w:val="16"/>
        </w:rPr>
        <w:t>neither</w:t>
      </w:r>
      <w:r w:rsidRPr="00EB2BD8">
        <w:rPr>
          <w:rFonts w:ascii="Arial"/>
          <w:spacing w:val="-8"/>
          <w:w w:val="105"/>
          <w:sz w:val="16"/>
        </w:rPr>
        <w:t xml:space="preserve"> </w:t>
      </w:r>
      <w:r w:rsidRPr="00EB2BD8">
        <w:rPr>
          <w:rFonts w:ascii="Arial"/>
          <w:w w:val="105"/>
          <w:sz w:val="16"/>
        </w:rPr>
        <w:t>transferred</w:t>
      </w:r>
      <w:r w:rsidRPr="00EB2BD8">
        <w:rPr>
          <w:rFonts w:ascii="Arial"/>
          <w:spacing w:val="-9"/>
          <w:w w:val="105"/>
          <w:sz w:val="16"/>
        </w:rPr>
        <w:t xml:space="preserve"> </w:t>
      </w:r>
      <w:r w:rsidRPr="00EB2BD8">
        <w:rPr>
          <w:rFonts w:ascii="Arial"/>
          <w:w w:val="105"/>
          <w:sz w:val="16"/>
        </w:rPr>
        <w:t>nor</w:t>
      </w:r>
      <w:r w:rsidRPr="00EB2BD8">
        <w:rPr>
          <w:rFonts w:ascii="Arial"/>
          <w:spacing w:val="-8"/>
          <w:w w:val="105"/>
          <w:sz w:val="16"/>
        </w:rPr>
        <w:t xml:space="preserve"> </w:t>
      </w:r>
      <w:r w:rsidRPr="00EB2BD8">
        <w:rPr>
          <w:rFonts w:ascii="Arial"/>
          <w:w w:val="105"/>
          <w:sz w:val="16"/>
        </w:rPr>
        <w:t>retained substantially</w:t>
      </w:r>
      <w:r w:rsidRPr="00EB2BD8">
        <w:rPr>
          <w:rFonts w:ascii="Arial"/>
          <w:spacing w:val="-8"/>
          <w:w w:val="105"/>
          <w:sz w:val="16"/>
        </w:rPr>
        <w:t xml:space="preserve"> </w:t>
      </w:r>
      <w:r w:rsidRPr="00EB2BD8">
        <w:rPr>
          <w:rFonts w:ascii="Arial"/>
          <w:w w:val="105"/>
          <w:sz w:val="16"/>
        </w:rPr>
        <w:t>all</w:t>
      </w:r>
      <w:r w:rsidRPr="00EB2BD8">
        <w:rPr>
          <w:rFonts w:ascii="Arial"/>
          <w:spacing w:val="-8"/>
          <w:w w:val="105"/>
          <w:sz w:val="16"/>
        </w:rPr>
        <w:t xml:space="preserve"> </w:t>
      </w:r>
      <w:r w:rsidRPr="00EB2BD8">
        <w:rPr>
          <w:rFonts w:ascii="Arial"/>
          <w:w w:val="105"/>
          <w:sz w:val="16"/>
        </w:rPr>
        <w:t>the</w:t>
      </w:r>
      <w:r w:rsidRPr="00EB2BD8">
        <w:rPr>
          <w:rFonts w:ascii="Arial"/>
          <w:spacing w:val="-9"/>
          <w:w w:val="105"/>
          <w:sz w:val="16"/>
        </w:rPr>
        <w:t xml:space="preserve"> </w:t>
      </w:r>
      <w:r w:rsidRPr="00EB2BD8">
        <w:rPr>
          <w:rFonts w:ascii="Arial"/>
          <w:w w:val="105"/>
          <w:sz w:val="16"/>
        </w:rPr>
        <w:t>risks</w:t>
      </w:r>
      <w:r w:rsidRPr="00EB2BD8">
        <w:rPr>
          <w:rFonts w:ascii="Arial"/>
          <w:spacing w:val="-8"/>
          <w:w w:val="105"/>
          <w:sz w:val="16"/>
        </w:rPr>
        <w:t xml:space="preserve"> </w:t>
      </w:r>
      <w:r w:rsidRPr="00EB2BD8">
        <w:rPr>
          <w:rFonts w:ascii="Arial"/>
          <w:w w:val="105"/>
          <w:sz w:val="16"/>
        </w:rPr>
        <w:t>and</w:t>
      </w:r>
      <w:r w:rsidRPr="00EB2BD8">
        <w:rPr>
          <w:rFonts w:ascii="Arial"/>
          <w:spacing w:val="-9"/>
          <w:w w:val="105"/>
          <w:sz w:val="16"/>
        </w:rPr>
        <w:t xml:space="preserve"> </w:t>
      </w:r>
      <w:r w:rsidRPr="00EB2BD8">
        <w:rPr>
          <w:rFonts w:ascii="Arial"/>
          <w:w w:val="105"/>
          <w:sz w:val="16"/>
        </w:rPr>
        <w:t>rewards</w:t>
      </w:r>
      <w:r w:rsidRPr="00EB2BD8">
        <w:rPr>
          <w:rFonts w:ascii="Arial"/>
          <w:spacing w:val="-8"/>
          <w:w w:val="105"/>
          <w:sz w:val="16"/>
        </w:rPr>
        <w:t xml:space="preserve"> </w:t>
      </w:r>
      <w:r w:rsidRPr="00EB2BD8">
        <w:rPr>
          <w:rFonts w:ascii="Arial"/>
          <w:w w:val="105"/>
          <w:sz w:val="16"/>
        </w:rPr>
        <w:t>or</w:t>
      </w:r>
      <w:r w:rsidRPr="00EB2BD8">
        <w:rPr>
          <w:rFonts w:ascii="Arial"/>
          <w:spacing w:val="-9"/>
          <w:w w:val="105"/>
          <w:sz w:val="16"/>
        </w:rPr>
        <w:t xml:space="preserve"> </w:t>
      </w:r>
      <w:r w:rsidRPr="00EB2BD8">
        <w:rPr>
          <w:rFonts w:ascii="Arial"/>
          <w:w w:val="105"/>
          <w:sz w:val="16"/>
        </w:rPr>
        <w:t>transferred control, the asset is recognised to the extent of the VBA's continuing involvement in the asset.</w:t>
      </w:r>
    </w:p>
    <w:p w14:paraId="43498DC7" w14:textId="77777777" w:rsidR="00084F36" w:rsidRPr="00EB2BD8" w:rsidRDefault="00084F36">
      <w:pPr>
        <w:pStyle w:val="BodyText"/>
        <w:spacing w:before="3"/>
        <w:rPr>
          <w:rFonts w:ascii="Arial"/>
          <w:sz w:val="19"/>
        </w:rPr>
      </w:pPr>
    </w:p>
    <w:p w14:paraId="77D0D64B" w14:textId="77777777" w:rsidR="00084F36" w:rsidRPr="00EB2BD8" w:rsidRDefault="00EB2BD8">
      <w:pPr>
        <w:spacing w:line="288" w:lineRule="auto"/>
        <w:ind w:left="820" w:right="2148"/>
        <w:jc w:val="both"/>
        <w:rPr>
          <w:rFonts w:ascii="Arial"/>
          <w:sz w:val="16"/>
        </w:rPr>
      </w:pPr>
      <w:r w:rsidRPr="00EB2BD8">
        <w:rPr>
          <w:rFonts w:ascii="Arial"/>
          <w:b/>
          <w:w w:val="105"/>
          <w:sz w:val="16"/>
        </w:rPr>
        <w:t>Derecognition</w:t>
      </w:r>
      <w:r w:rsidRPr="00EB2BD8">
        <w:rPr>
          <w:rFonts w:ascii="Arial"/>
          <w:b/>
          <w:spacing w:val="-12"/>
          <w:w w:val="105"/>
          <w:sz w:val="16"/>
        </w:rPr>
        <w:t xml:space="preserve"> </w:t>
      </w:r>
      <w:r w:rsidRPr="00EB2BD8">
        <w:rPr>
          <w:rFonts w:ascii="Arial"/>
          <w:b/>
          <w:w w:val="105"/>
          <w:sz w:val="16"/>
        </w:rPr>
        <w:t>of</w:t>
      </w:r>
      <w:r w:rsidRPr="00EB2BD8">
        <w:rPr>
          <w:rFonts w:ascii="Arial"/>
          <w:b/>
          <w:spacing w:val="-11"/>
          <w:w w:val="105"/>
          <w:sz w:val="16"/>
        </w:rPr>
        <w:t xml:space="preserve"> </w:t>
      </w:r>
      <w:r w:rsidRPr="00EB2BD8">
        <w:rPr>
          <w:rFonts w:ascii="Arial"/>
          <w:b/>
          <w:w w:val="105"/>
          <w:sz w:val="16"/>
        </w:rPr>
        <w:t>financial</w:t>
      </w:r>
      <w:r w:rsidRPr="00EB2BD8">
        <w:rPr>
          <w:rFonts w:ascii="Arial"/>
          <w:b/>
          <w:spacing w:val="-11"/>
          <w:w w:val="105"/>
          <w:sz w:val="16"/>
        </w:rPr>
        <w:t xml:space="preserve"> </w:t>
      </w:r>
      <w:r w:rsidRPr="00EB2BD8">
        <w:rPr>
          <w:rFonts w:ascii="Arial"/>
          <w:b/>
          <w:w w:val="105"/>
          <w:sz w:val="16"/>
        </w:rPr>
        <w:t>liabilities</w:t>
      </w:r>
      <w:r w:rsidRPr="00EB2BD8">
        <w:rPr>
          <w:rFonts w:ascii="Arial"/>
          <w:w w:val="105"/>
          <w:sz w:val="16"/>
        </w:rPr>
        <w:t>:</w:t>
      </w:r>
      <w:r w:rsidRPr="00EB2BD8">
        <w:rPr>
          <w:rFonts w:ascii="Arial"/>
          <w:spacing w:val="-11"/>
          <w:w w:val="105"/>
          <w:sz w:val="16"/>
        </w:rPr>
        <w:t xml:space="preserve"> </w:t>
      </w:r>
      <w:r w:rsidRPr="00EB2BD8">
        <w:rPr>
          <w:rFonts w:ascii="Arial"/>
          <w:w w:val="105"/>
          <w:sz w:val="16"/>
        </w:rPr>
        <w:t>A</w:t>
      </w:r>
      <w:r w:rsidRPr="00EB2BD8">
        <w:rPr>
          <w:rFonts w:ascii="Arial"/>
          <w:spacing w:val="-12"/>
          <w:w w:val="105"/>
          <w:sz w:val="16"/>
        </w:rPr>
        <w:t xml:space="preserve"> </w:t>
      </w:r>
      <w:r w:rsidRPr="00EB2BD8">
        <w:rPr>
          <w:rFonts w:ascii="Arial"/>
          <w:w w:val="105"/>
          <w:sz w:val="16"/>
        </w:rPr>
        <w:t>financial liability</w:t>
      </w:r>
      <w:r w:rsidRPr="00EB2BD8">
        <w:rPr>
          <w:rFonts w:ascii="Arial"/>
          <w:spacing w:val="-10"/>
          <w:w w:val="105"/>
          <w:sz w:val="16"/>
        </w:rPr>
        <w:t xml:space="preserve"> </w:t>
      </w:r>
      <w:r w:rsidRPr="00EB2BD8">
        <w:rPr>
          <w:rFonts w:ascii="Arial"/>
          <w:w w:val="105"/>
          <w:sz w:val="16"/>
        </w:rPr>
        <w:t>is</w:t>
      </w:r>
      <w:r w:rsidRPr="00EB2BD8">
        <w:rPr>
          <w:rFonts w:ascii="Arial"/>
          <w:spacing w:val="-10"/>
          <w:w w:val="105"/>
          <w:sz w:val="16"/>
        </w:rPr>
        <w:t xml:space="preserve"> </w:t>
      </w:r>
      <w:r w:rsidRPr="00EB2BD8">
        <w:rPr>
          <w:rFonts w:ascii="Arial"/>
          <w:w w:val="105"/>
          <w:sz w:val="16"/>
        </w:rPr>
        <w:t>derecognised</w:t>
      </w:r>
      <w:r w:rsidRPr="00EB2BD8">
        <w:rPr>
          <w:rFonts w:ascii="Arial"/>
          <w:spacing w:val="-10"/>
          <w:w w:val="105"/>
          <w:sz w:val="16"/>
        </w:rPr>
        <w:t xml:space="preserve"> </w:t>
      </w:r>
      <w:r w:rsidRPr="00EB2BD8">
        <w:rPr>
          <w:rFonts w:ascii="Arial"/>
          <w:w w:val="105"/>
          <w:sz w:val="16"/>
        </w:rPr>
        <w:t>when</w:t>
      </w:r>
      <w:r w:rsidRPr="00EB2BD8">
        <w:rPr>
          <w:rFonts w:ascii="Arial"/>
          <w:spacing w:val="-10"/>
          <w:w w:val="105"/>
          <w:sz w:val="16"/>
        </w:rPr>
        <w:t xml:space="preserve"> </w:t>
      </w:r>
      <w:r w:rsidRPr="00EB2BD8">
        <w:rPr>
          <w:rFonts w:ascii="Arial"/>
          <w:w w:val="105"/>
          <w:sz w:val="16"/>
        </w:rPr>
        <w:t>the</w:t>
      </w:r>
      <w:r w:rsidRPr="00EB2BD8">
        <w:rPr>
          <w:rFonts w:ascii="Arial"/>
          <w:spacing w:val="-10"/>
          <w:w w:val="105"/>
          <w:sz w:val="16"/>
        </w:rPr>
        <w:t xml:space="preserve"> </w:t>
      </w:r>
      <w:r w:rsidRPr="00EB2BD8">
        <w:rPr>
          <w:rFonts w:ascii="Arial"/>
          <w:w w:val="105"/>
          <w:sz w:val="16"/>
        </w:rPr>
        <w:t>obligation</w:t>
      </w:r>
      <w:r w:rsidRPr="00EB2BD8">
        <w:rPr>
          <w:rFonts w:ascii="Arial"/>
          <w:spacing w:val="-10"/>
          <w:w w:val="105"/>
          <w:sz w:val="16"/>
        </w:rPr>
        <w:t xml:space="preserve"> </w:t>
      </w:r>
      <w:r w:rsidRPr="00EB2BD8">
        <w:rPr>
          <w:rFonts w:ascii="Arial"/>
          <w:w w:val="105"/>
          <w:sz w:val="16"/>
        </w:rPr>
        <w:t>under the liability is discharged, cancelled or expired.</w:t>
      </w:r>
    </w:p>
    <w:p w14:paraId="21B9F4A2" w14:textId="77777777" w:rsidR="00084F36" w:rsidRPr="00EB2BD8" w:rsidRDefault="00084F36">
      <w:pPr>
        <w:pStyle w:val="BodyText"/>
        <w:rPr>
          <w:rFonts w:ascii="Arial"/>
          <w:sz w:val="17"/>
        </w:rPr>
      </w:pPr>
    </w:p>
    <w:p w14:paraId="46443D1E" w14:textId="42CBA83D" w:rsidR="00084F36" w:rsidRPr="00EB2BD8" w:rsidRDefault="00EB2BD8" w:rsidP="00D0600F">
      <w:pPr>
        <w:spacing w:line="288" w:lineRule="auto"/>
        <w:ind w:left="820" w:right="2048"/>
        <w:rPr>
          <w:rFonts w:ascii="Arial" w:hAnsi="Arial"/>
          <w:sz w:val="16"/>
        </w:rPr>
        <w:sectPr w:rsidR="00084F36" w:rsidRPr="00EB2BD8" w:rsidSect="006D75B2">
          <w:type w:val="continuous"/>
          <w:pgSz w:w="11910" w:h="16840"/>
          <w:pgMar w:top="1920" w:right="0" w:bottom="280" w:left="0" w:header="0" w:footer="0" w:gutter="0"/>
          <w:cols w:num="2" w:space="720" w:equalWidth="0">
            <w:col w:w="5221" w:space="40"/>
            <w:col w:w="6649"/>
          </w:cols>
        </w:sectPr>
      </w:pPr>
      <w:r w:rsidRPr="00EB2BD8">
        <w:rPr>
          <w:rFonts w:ascii="Arial" w:hAnsi="Arial"/>
          <w:w w:val="105"/>
          <w:sz w:val="16"/>
        </w:rPr>
        <w:t>When an existing financial liability is replaced by another from the same lender on substantially different</w:t>
      </w:r>
      <w:r w:rsidRPr="00EB2BD8">
        <w:rPr>
          <w:rFonts w:ascii="Arial" w:hAnsi="Arial"/>
          <w:spacing w:val="-7"/>
          <w:w w:val="105"/>
          <w:sz w:val="16"/>
        </w:rPr>
        <w:t xml:space="preserve"> </w:t>
      </w:r>
      <w:r w:rsidRPr="00EB2BD8">
        <w:rPr>
          <w:rFonts w:ascii="Arial" w:hAnsi="Arial"/>
          <w:w w:val="105"/>
          <w:sz w:val="16"/>
        </w:rPr>
        <w:t>terms,</w:t>
      </w:r>
      <w:r w:rsidRPr="00EB2BD8">
        <w:rPr>
          <w:rFonts w:ascii="Arial" w:hAnsi="Arial"/>
          <w:spacing w:val="-7"/>
          <w:w w:val="105"/>
          <w:sz w:val="16"/>
        </w:rPr>
        <w:t xml:space="preserve"> </w:t>
      </w:r>
      <w:r w:rsidRPr="00EB2BD8">
        <w:rPr>
          <w:rFonts w:ascii="Arial" w:hAnsi="Arial"/>
          <w:w w:val="105"/>
          <w:sz w:val="16"/>
        </w:rPr>
        <w:t>or</w:t>
      </w:r>
      <w:r w:rsidRPr="00EB2BD8">
        <w:rPr>
          <w:rFonts w:ascii="Arial" w:hAnsi="Arial"/>
          <w:spacing w:val="-7"/>
          <w:w w:val="105"/>
          <w:sz w:val="16"/>
        </w:rPr>
        <w:t xml:space="preserve"> </w:t>
      </w:r>
      <w:r w:rsidRPr="00EB2BD8">
        <w:rPr>
          <w:rFonts w:ascii="Arial" w:hAnsi="Arial"/>
          <w:w w:val="105"/>
          <w:sz w:val="16"/>
        </w:rPr>
        <w:t>the</w:t>
      </w:r>
      <w:r w:rsidRPr="00EB2BD8">
        <w:rPr>
          <w:rFonts w:ascii="Arial" w:hAnsi="Arial"/>
          <w:spacing w:val="-8"/>
          <w:w w:val="105"/>
          <w:sz w:val="16"/>
        </w:rPr>
        <w:t xml:space="preserve"> </w:t>
      </w:r>
      <w:r w:rsidRPr="00EB2BD8">
        <w:rPr>
          <w:rFonts w:ascii="Arial" w:hAnsi="Arial"/>
          <w:w w:val="105"/>
          <w:sz w:val="16"/>
        </w:rPr>
        <w:t>terms</w:t>
      </w:r>
      <w:r w:rsidRPr="00EB2BD8">
        <w:rPr>
          <w:rFonts w:ascii="Arial" w:hAnsi="Arial"/>
          <w:spacing w:val="-7"/>
          <w:w w:val="105"/>
          <w:sz w:val="16"/>
        </w:rPr>
        <w:t xml:space="preserve"> </w:t>
      </w:r>
      <w:r w:rsidRPr="00EB2BD8">
        <w:rPr>
          <w:rFonts w:ascii="Arial" w:hAnsi="Arial"/>
          <w:w w:val="105"/>
          <w:sz w:val="16"/>
        </w:rPr>
        <w:t>of</w:t>
      </w:r>
      <w:r w:rsidRPr="00EB2BD8">
        <w:rPr>
          <w:rFonts w:ascii="Arial" w:hAnsi="Arial"/>
          <w:spacing w:val="-7"/>
          <w:w w:val="105"/>
          <w:sz w:val="16"/>
        </w:rPr>
        <w:t xml:space="preserve"> </w:t>
      </w:r>
      <w:r w:rsidRPr="00EB2BD8">
        <w:rPr>
          <w:rFonts w:ascii="Arial" w:hAnsi="Arial"/>
          <w:w w:val="105"/>
          <w:sz w:val="16"/>
        </w:rPr>
        <w:t>an</w:t>
      </w:r>
      <w:r w:rsidRPr="00EB2BD8">
        <w:rPr>
          <w:rFonts w:ascii="Arial" w:hAnsi="Arial"/>
          <w:spacing w:val="-8"/>
          <w:w w:val="105"/>
          <w:sz w:val="16"/>
        </w:rPr>
        <w:t xml:space="preserve"> </w:t>
      </w:r>
      <w:r w:rsidRPr="00EB2BD8">
        <w:rPr>
          <w:rFonts w:ascii="Arial" w:hAnsi="Arial"/>
          <w:w w:val="105"/>
          <w:sz w:val="16"/>
        </w:rPr>
        <w:t>existing</w:t>
      </w:r>
      <w:r w:rsidRPr="00EB2BD8">
        <w:rPr>
          <w:rFonts w:ascii="Arial" w:hAnsi="Arial"/>
          <w:spacing w:val="-8"/>
          <w:w w:val="105"/>
          <w:sz w:val="16"/>
        </w:rPr>
        <w:t xml:space="preserve"> </w:t>
      </w:r>
      <w:r w:rsidRPr="00EB2BD8">
        <w:rPr>
          <w:rFonts w:ascii="Arial" w:hAnsi="Arial"/>
          <w:w w:val="105"/>
          <w:sz w:val="16"/>
        </w:rPr>
        <w:t xml:space="preserve">liability are substantially modified, such an exchange or modification is treated as a derecognition of the original liability and the recognition of a new liability. The difference in the respective carrying amounts are recognised as an ‘other economic flow’ in the comprehensive operating </w:t>
      </w:r>
    </w:p>
    <w:p w14:paraId="668F3DC3" w14:textId="77777777" w:rsidR="00084F36" w:rsidRPr="00EB2BD8" w:rsidRDefault="00084F36">
      <w:pPr>
        <w:jc w:val="right"/>
        <w:rPr>
          <w:sz w:val="16"/>
        </w:rPr>
        <w:sectPr w:rsidR="00084F36" w:rsidRPr="00EB2BD8" w:rsidSect="006D75B2">
          <w:type w:val="continuous"/>
          <w:pgSz w:w="11910" w:h="16840"/>
          <w:pgMar w:top="1920" w:right="0" w:bottom="280" w:left="0" w:header="0" w:footer="0" w:gutter="0"/>
          <w:cols w:space="720"/>
        </w:sectPr>
      </w:pPr>
    </w:p>
    <w:p w14:paraId="05F98194" w14:textId="77777777" w:rsidR="00084F36" w:rsidRPr="00EB2BD8" w:rsidRDefault="00084F36">
      <w:pPr>
        <w:pStyle w:val="BodyText"/>
        <w:rPr>
          <w:sz w:val="20"/>
        </w:rPr>
      </w:pPr>
    </w:p>
    <w:p w14:paraId="4FECC5F5" w14:textId="77777777" w:rsidR="00084F36" w:rsidRPr="00EB2BD8" w:rsidRDefault="00084F36">
      <w:pPr>
        <w:pStyle w:val="BodyText"/>
        <w:rPr>
          <w:sz w:val="20"/>
        </w:rPr>
      </w:pPr>
    </w:p>
    <w:p w14:paraId="497334E0" w14:textId="77777777" w:rsidR="00084F36" w:rsidRPr="00EB2BD8" w:rsidRDefault="00084F36">
      <w:pPr>
        <w:pStyle w:val="BodyText"/>
        <w:rPr>
          <w:sz w:val="20"/>
        </w:rPr>
      </w:pPr>
    </w:p>
    <w:p w14:paraId="63C04C4A" w14:textId="77777777" w:rsidR="00084F36" w:rsidRPr="00EB2BD8" w:rsidRDefault="00084F36">
      <w:pPr>
        <w:pStyle w:val="BodyText"/>
        <w:rPr>
          <w:sz w:val="20"/>
        </w:rPr>
      </w:pPr>
    </w:p>
    <w:p w14:paraId="633BA7B2" w14:textId="77777777" w:rsidR="00084F36" w:rsidRPr="00EB2BD8" w:rsidRDefault="00084F36">
      <w:pPr>
        <w:pStyle w:val="BodyText"/>
        <w:rPr>
          <w:sz w:val="20"/>
        </w:rPr>
      </w:pPr>
    </w:p>
    <w:p w14:paraId="029D3853" w14:textId="77777777" w:rsidR="00084F36" w:rsidRPr="00EB2BD8" w:rsidRDefault="00084F36">
      <w:pPr>
        <w:pStyle w:val="BodyText"/>
        <w:spacing w:before="4"/>
        <w:rPr>
          <w:sz w:val="21"/>
        </w:rPr>
      </w:pPr>
    </w:p>
    <w:p w14:paraId="648687C4" w14:textId="3C00A4D8" w:rsidR="00084F36" w:rsidRPr="00327EC1" w:rsidRDefault="00327EC1" w:rsidP="00D0600F">
      <w:pPr>
        <w:pStyle w:val="Heading2"/>
        <w:ind w:firstLine="138"/>
      </w:pPr>
      <w:bookmarkStart w:id="333" w:name="_Toc150762635"/>
      <w:r>
        <w:t xml:space="preserve">7.1.1 </w:t>
      </w:r>
      <w:r w:rsidR="00EB2BD8" w:rsidRPr="00327EC1">
        <w:t>Financial</w:t>
      </w:r>
      <w:r w:rsidR="00EB2BD8" w:rsidRPr="00327EC1">
        <w:rPr>
          <w:spacing w:val="20"/>
        </w:rPr>
        <w:t xml:space="preserve"> </w:t>
      </w:r>
      <w:r w:rsidR="00EB2BD8" w:rsidRPr="00327EC1">
        <w:t>instruments:</w:t>
      </w:r>
      <w:r w:rsidR="00EB2BD8" w:rsidRPr="00327EC1">
        <w:rPr>
          <w:spacing w:val="21"/>
        </w:rPr>
        <w:t xml:space="preserve"> </w:t>
      </w:r>
      <w:r w:rsidR="00EB2BD8" w:rsidRPr="00327EC1">
        <w:rPr>
          <w:spacing w:val="-2"/>
        </w:rPr>
        <w:t>Categorisation</w:t>
      </w:r>
      <w:bookmarkEnd w:id="333"/>
    </w:p>
    <w:p w14:paraId="18134C37" w14:textId="77777777" w:rsidR="00084F36" w:rsidRPr="00EB2BD8" w:rsidRDefault="00EB2BD8">
      <w:pPr>
        <w:spacing w:before="157"/>
        <w:ind w:left="988"/>
        <w:rPr>
          <w:rFonts w:ascii="Arial" w:hAnsi="Arial"/>
          <w:sz w:val="16"/>
        </w:rPr>
      </w:pPr>
      <w:r w:rsidRPr="00EB2BD8">
        <w:rPr>
          <w:rFonts w:ascii="Arial" w:hAnsi="Arial"/>
          <w:w w:val="105"/>
          <w:sz w:val="16"/>
        </w:rPr>
        <w:t>The</w:t>
      </w:r>
      <w:r w:rsidRPr="00EB2BD8">
        <w:rPr>
          <w:rFonts w:ascii="Arial" w:hAnsi="Arial"/>
          <w:spacing w:val="-8"/>
          <w:w w:val="105"/>
          <w:sz w:val="16"/>
        </w:rPr>
        <w:t xml:space="preserve"> </w:t>
      </w:r>
      <w:r w:rsidRPr="00EB2BD8">
        <w:rPr>
          <w:rFonts w:ascii="Arial" w:hAnsi="Arial"/>
          <w:w w:val="105"/>
          <w:sz w:val="16"/>
        </w:rPr>
        <w:t>carrying</w:t>
      </w:r>
      <w:r w:rsidRPr="00EB2BD8">
        <w:rPr>
          <w:rFonts w:ascii="Arial" w:hAnsi="Arial"/>
          <w:spacing w:val="-7"/>
          <w:w w:val="105"/>
          <w:sz w:val="16"/>
        </w:rPr>
        <w:t xml:space="preserve"> </w:t>
      </w:r>
      <w:r w:rsidRPr="00EB2BD8">
        <w:rPr>
          <w:rFonts w:ascii="Arial" w:hAnsi="Arial"/>
          <w:w w:val="105"/>
          <w:sz w:val="16"/>
        </w:rPr>
        <w:t>amounts</w:t>
      </w:r>
      <w:r w:rsidRPr="00EB2BD8">
        <w:rPr>
          <w:rFonts w:ascii="Arial" w:hAnsi="Arial"/>
          <w:spacing w:val="-7"/>
          <w:w w:val="105"/>
          <w:sz w:val="16"/>
        </w:rPr>
        <w:t xml:space="preserve"> </w:t>
      </w:r>
      <w:r w:rsidRPr="00EB2BD8">
        <w:rPr>
          <w:rFonts w:ascii="Arial" w:hAnsi="Arial"/>
          <w:w w:val="105"/>
          <w:sz w:val="16"/>
        </w:rPr>
        <w:t>of</w:t>
      </w:r>
      <w:r w:rsidRPr="00EB2BD8">
        <w:rPr>
          <w:rFonts w:ascii="Arial" w:hAnsi="Arial"/>
          <w:spacing w:val="-7"/>
          <w:w w:val="105"/>
          <w:sz w:val="16"/>
        </w:rPr>
        <w:t xml:space="preserve"> </w:t>
      </w:r>
      <w:r w:rsidRPr="00EB2BD8">
        <w:rPr>
          <w:rFonts w:ascii="Arial" w:hAnsi="Arial"/>
          <w:w w:val="105"/>
          <w:sz w:val="16"/>
        </w:rPr>
        <w:t>the</w:t>
      </w:r>
      <w:r w:rsidRPr="00EB2BD8">
        <w:rPr>
          <w:rFonts w:ascii="Arial" w:hAnsi="Arial"/>
          <w:spacing w:val="-8"/>
          <w:w w:val="105"/>
          <w:sz w:val="16"/>
        </w:rPr>
        <w:t xml:space="preserve"> </w:t>
      </w:r>
      <w:r w:rsidRPr="00EB2BD8">
        <w:rPr>
          <w:rFonts w:ascii="Arial" w:hAnsi="Arial"/>
          <w:w w:val="105"/>
          <w:sz w:val="16"/>
        </w:rPr>
        <w:t>VBA’s</w:t>
      </w:r>
      <w:r w:rsidRPr="00EB2BD8">
        <w:rPr>
          <w:rFonts w:ascii="Arial" w:hAnsi="Arial"/>
          <w:spacing w:val="-7"/>
          <w:w w:val="105"/>
          <w:sz w:val="16"/>
        </w:rPr>
        <w:t xml:space="preserve"> </w:t>
      </w:r>
      <w:r w:rsidRPr="00EB2BD8">
        <w:rPr>
          <w:rFonts w:ascii="Arial" w:hAnsi="Arial"/>
          <w:w w:val="105"/>
          <w:sz w:val="16"/>
        </w:rPr>
        <w:t>contractual</w:t>
      </w:r>
      <w:r w:rsidRPr="00EB2BD8">
        <w:rPr>
          <w:rFonts w:ascii="Arial" w:hAnsi="Arial"/>
          <w:spacing w:val="-7"/>
          <w:w w:val="105"/>
          <w:sz w:val="16"/>
        </w:rPr>
        <w:t xml:space="preserve"> </w:t>
      </w:r>
      <w:r w:rsidRPr="00EB2BD8">
        <w:rPr>
          <w:rFonts w:ascii="Arial" w:hAnsi="Arial"/>
          <w:w w:val="105"/>
          <w:sz w:val="16"/>
        </w:rPr>
        <w:t>financial</w:t>
      </w:r>
      <w:r w:rsidRPr="00EB2BD8">
        <w:rPr>
          <w:rFonts w:ascii="Arial" w:hAnsi="Arial"/>
          <w:spacing w:val="-7"/>
          <w:w w:val="105"/>
          <w:sz w:val="16"/>
        </w:rPr>
        <w:t xml:space="preserve"> </w:t>
      </w:r>
      <w:r w:rsidRPr="00EB2BD8">
        <w:rPr>
          <w:rFonts w:ascii="Arial" w:hAnsi="Arial"/>
          <w:w w:val="105"/>
          <w:sz w:val="16"/>
        </w:rPr>
        <w:t>assets</w:t>
      </w:r>
      <w:r w:rsidRPr="00EB2BD8">
        <w:rPr>
          <w:rFonts w:ascii="Arial" w:hAnsi="Arial"/>
          <w:spacing w:val="-7"/>
          <w:w w:val="105"/>
          <w:sz w:val="16"/>
        </w:rPr>
        <w:t xml:space="preserve"> </w:t>
      </w:r>
      <w:r w:rsidRPr="00EB2BD8">
        <w:rPr>
          <w:rFonts w:ascii="Arial" w:hAnsi="Arial"/>
          <w:w w:val="105"/>
          <w:sz w:val="16"/>
        </w:rPr>
        <w:t>and</w:t>
      </w:r>
      <w:r w:rsidRPr="00EB2BD8">
        <w:rPr>
          <w:rFonts w:ascii="Arial" w:hAnsi="Arial"/>
          <w:spacing w:val="-8"/>
          <w:w w:val="105"/>
          <w:sz w:val="16"/>
        </w:rPr>
        <w:t xml:space="preserve"> </w:t>
      </w:r>
      <w:r w:rsidRPr="00EB2BD8">
        <w:rPr>
          <w:rFonts w:ascii="Arial" w:hAnsi="Arial"/>
          <w:w w:val="105"/>
          <w:sz w:val="16"/>
        </w:rPr>
        <w:t>financial</w:t>
      </w:r>
      <w:r w:rsidRPr="00EB2BD8">
        <w:rPr>
          <w:rFonts w:ascii="Arial" w:hAnsi="Arial"/>
          <w:spacing w:val="-7"/>
          <w:w w:val="105"/>
          <w:sz w:val="16"/>
        </w:rPr>
        <w:t xml:space="preserve"> </w:t>
      </w:r>
      <w:r w:rsidRPr="00EB2BD8">
        <w:rPr>
          <w:rFonts w:ascii="Arial" w:hAnsi="Arial"/>
          <w:w w:val="105"/>
          <w:sz w:val="16"/>
        </w:rPr>
        <w:t>liabilities</w:t>
      </w:r>
      <w:r w:rsidRPr="00EB2BD8">
        <w:rPr>
          <w:rFonts w:ascii="Arial" w:hAnsi="Arial"/>
          <w:spacing w:val="-7"/>
          <w:w w:val="105"/>
          <w:sz w:val="16"/>
        </w:rPr>
        <w:t xml:space="preserve"> </w:t>
      </w:r>
      <w:r w:rsidRPr="00EB2BD8">
        <w:rPr>
          <w:rFonts w:ascii="Arial" w:hAnsi="Arial"/>
          <w:w w:val="105"/>
          <w:sz w:val="16"/>
        </w:rPr>
        <w:t>by</w:t>
      </w:r>
      <w:r w:rsidRPr="00EB2BD8">
        <w:rPr>
          <w:rFonts w:ascii="Arial" w:hAnsi="Arial"/>
          <w:spacing w:val="-7"/>
          <w:w w:val="105"/>
          <w:sz w:val="16"/>
        </w:rPr>
        <w:t xml:space="preserve"> </w:t>
      </w:r>
      <w:r w:rsidRPr="00EB2BD8">
        <w:rPr>
          <w:rFonts w:ascii="Arial" w:hAnsi="Arial"/>
          <w:w w:val="105"/>
          <w:sz w:val="16"/>
        </w:rPr>
        <w:t>category</w:t>
      </w:r>
      <w:r w:rsidRPr="00EB2BD8">
        <w:rPr>
          <w:rFonts w:ascii="Arial" w:hAnsi="Arial"/>
          <w:spacing w:val="-8"/>
          <w:w w:val="105"/>
          <w:sz w:val="16"/>
        </w:rPr>
        <w:t xml:space="preserve"> </w:t>
      </w:r>
      <w:r w:rsidRPr="00EB2BD8">
        <w:rPr>
          <w:rFonts w:ascii="Arial" w:hAnsi="Arial"/>
          <w:w w:val="105"/>
          <w:sz w:val="16"/>
        </w:rPr>
        <w:t>as</w:t>
      </w:r>
      <w:r w:rsidRPr="00EB2BD8">
        <w:rPr>
          <w:rFonts w:ascii="Arial" w:hAnsi="Arial"/>
          <w:spacing w:val="-7"/>
          <w:w w:val="105"/>
          <w:sz w:val="16"/>
        </w:rPr>
        <w:t xml:space="preserve"> </w:t>
      </w:r>
      <w:r w:rsidRPr="00EB2BD8">
        <w:rPr>
          <w:rFonts w:ascii="Arial" w:hAnsi="Arial"/>
          <w:spacing w:val="-2"/>
          <w:w w:val="105"/>
          <w:sz w:val="16"/>
        </w:rPr>
        <w:t>follows:</w:t>
      </w:r>
    </w:p>
    <w:p w14:paraId="375F9493" w14:textId="77777777" w:rsidR="00084F36" w:rsidRPr="00EB2BD8" w:rsidRDefault="00084F36">
      <w:pPr>
        <w:pStyle w:val="BodyText"/>
        <w:spacing w:before="8"/>
        <w:rPr>
          <w:rFonts w:ascii="Arial"/>
          <w:sz w:val="22"/>
        </w:rPr>
      </w:pPr>
    </w:p>
    <w:p w14:paraId="68D3A6E3" w14:textId="77777777" w:rsidR="00084F36" w:rsidRPr="00EB2BD8" w:rsidRDefault="00EB2BD8">
      <w:pPr>
        <w:spacing w:before="102"/>
        <w:ind w:right="1728"/>
        <w:jc w:val="right"/>
        <w:rPr>
          <w:rFonts w:ascii="Arial" w:hAnsi="Arial"/>
          <w:sz w:val="16"/>
        </w:rPr>
      </w:pPr>
      <w:r w:rsidRPr="00EB2BD8">
        <w:rPr>
          <w:rFonts w:ascii="Arial" w:hAnsi="Arial"/>
          <w:spacing w:val="-2"/>
          <w:w w:val="105"/>
          <w:sz w:val="16"/>
        </w:rPr>
        <w:t>($’000)</w:t>
      </w:r>
    </w:p>
    <w:tbl>
      <w:tblPr>
        <w:tblW w:w="0" w:type="auto"/>
        <w:tblInd w:w="996" w:type="dxa"/>
        <w:tblLayout w:type="fixed"/>
        <w:tblCellMar>
          <w:left w:w="0" w:type="dxa"/>
          <w:right w:w="0" w:type="dxa"/>
        </w:tblCellMar>
        <w:tblLook w:val="01E0" w:firstRow="1" w:lastRow="1" w:firstColumn="1" w:lastColumn="1" w:noHBand="0" w:noVBand="0"/>
      </w:tblPr>
      <w:tblGrid>
        <w:gridCol w:w="4075"/>
        <w:gridCol w:w="1827"/>
        <w:gridCol w:w="1104"/>
        <w:gridCol w:w="1349"/>
        <w:gridCol w:w="932"/>
      </w:tblGrid>
      <w:tr w:rsidR="00EB2BD8" w:rsidRPr="00EB2BD8" w14:paraId="57A3A4B8" w14:textId="77777777">
        <w:trPr>
          <w:trHeight w:val="857"/>
        </w:trPr>
        <w:tc>
          <w:tcPr>
            <w:tcW w:w="5902" w:type="dxa"/>
            <w:gridSpan w:val="2"/>
            <w:tcBorders>
              <w:top w:val="single" w:sz="4" w:space="0" w:color="0098FF"/>
              <w:left w:val="single" w:sz="4" w:space="0" w:color="0098FF"/>
              <w:bottom w:val="single" w:sz="4" w:space="0" w:color="0098FF"/>
            </w:tcBorders>
            <w:shd w:val="clear" w:color="auto" w:fill="0070C0"/>
          </w:tcPr>
          <w:p w14:paraId="1AB64A5A" w14:textId="77777777" w:rsidR="00084F36" w:rsidRPr="00EB2BD8" w:rsidRDefault="00084F36">
            <w:pPr>
              <w:pStyle w:val="TableParagraph"/>
              <w:rPr>
                <w:rFonts w:ascii="Arial"/>
                <w:sz w:val="18"/>
              </w:rPr>
            </w:pPr>
          </w:p>
          <w:p w14:paraId="5E4F2A26" w14:textId="77777777" w:rsidR="00084F36" w:rsidRPr="00EB2BD8" w:rsidRDefault="00084F36">
            <w:pPr>
              <w:pStyle w:val="TableParagraph"/>
              <w:spacing w:before="9"/>
              <w:rPr>
                <w:rFonts w:ascii="Arial"/>
                <w:sz w:val="21"/>
              </w:rPr>
            </w:pPr>
          </w:p>
          <w:p w14:paraId="1E10CA46" w14:textId="77777777" w:rsidR="00084F36" w:rsidRPr="00EB2BD8" w:rsidRDefault="00EB2BD8">
            <w:pPr>
              <w:pStyle w:val="TableParagraph"/>
              <w:spacing w:line="190" w:lineRule="atLeast"/>
              <w:ind w:left="5026" w:right="177" w:hanging="65"/>
              <w:jc w:val="right"/>
              <w:rPr>
                <w:rFonts w:ascii="Arial"/>
                <w:b/>
                <w:sz w:val="16"/>
              </w:rPr>
            </w:pPr>
            <w:r w:rsidRPr="00EB2BD8">
              <w:rPr>
                <w:rFonts w:ascii="Arial"/>
                <w:b/>
                <w:w w:val="105"/>
                <w:sz w:val="16"/>
              </w:rPr>
              <w:t>Cash</w:t>
            </w:r>
            <w:r w:rsidRPr="00EB2BD8">
              <w:rPr>
                <w:rFonts w:ascii="Arial"/>
                <w:b/>
                <w:spacing w:val="-12"/>
                <w:w w:val="105"/>
                <w:sz w:val="16"/>
              </w:rPr>
              <w:t xml:space="preserve"> </w:t>
            </w:r>
            <w:r w:rsidRPr="00EB2BD8">
              <w:rPr>
                <w:rFonts w:ascii="Arial"/>
                <w:b/>
                <w:w w:val="105"/>
                <w:sz w:val="16"/>
              </w:rPr>
              <w:t xml:space="preserve">and </w:t>
            </w:r>
            <w:r w:rsidRPr="00EB2BD8">
              <w:rPr>
                <w:rFonts w:ascii="Arial"/>
                <w:b/>
                <w:spacing w:val="-2"/>
                <w:w w:val="105"/>
                <w:sz w:val="16"/>
              </w:rPr>
              <w:t>deposits</w:t>
            </w:r>
          </w:p>
        </w:tc>
        <w:tc>
          <w:tcPr>
            <w:tcW w:w="1104" w:type="dxa"/>
            <w:tcBorders>
              <w:top w:val="single" w:sz="4" w:space="0" w:color="0098FF"/>
              <w:bottom w:val="single" w:sz="4" w:space="0" w:color="0098FF"/>
            </w:tcBorders>
            <w:shd w:val="clear" w:color="auto" w:fill="0070C0"/>
          </w:tcPr>
          <w:p w14:paraId="052CAA70" w14:textId="77777777" w:rsidR="00084F36" w:rsidRPr="00EB2BD8" w:rsidRDefault="00EB2BD8">
            <w:pPr>
              <w:pStyle w:val="TableParagraph"/>
              <w:spacing w:before="86" w:line="252" w:lineRule="auto"/>
              <w:ind w:left="190" w:right="110" w:firstLine="72"/>
              <w:jc w:val="both"/>
              <w:rPr>
                <w:rFonts w:ascii="Arial"/>
                <w:b/>
                <w:sz w:val="16"/>
              </w:rPr>
            </w:pPr>
            <w:r w:rsidRPr="00EB2BD8">
              <w:rPr>
                <w:rFonts w:ascii="Arial"/>
                <w:b/>
                <w:spacing w:val="-2"/>
                <w:w w:val="105"/>
                <w:sz w:val="16"/>
              </w:rPr>
              <w:t xml:space="preserve">Financial </w:t>
            </w:r>
            <w:r w:rsidRPr="00EB2BD8">
              <w:rPr>
                <w:rFonts w:ascii="Arial"/>
                <w:b/>
                <w:w w:val="105"/>
                <w:sz w:val="16"/>
              </w:rPr>
              <w:t xml:space="preserve">assets at </w:t>
            </w:r>
            <w:r w:rsidRPr="00EB2BD8">
              <w:rPr>
                <w:rFonts w:ascii="Arial"/>
                <w:b/>
                <w:spacing w:val="-2"/>
                <w:w w:val="105"/>
                <w:sz w:val="16"/>
              </w:rPr>
              <w:t>amortised</w:t>
            </w:r>
          </w:p>
          <w:p w14:paraId="1D933759" w14:textId="77777777" w:rsidR="00084F36" w:rsidRPr="00EB2BD8" w:rsidRDefault="00EB2BD8">
            <w:pPr>
              <w:pStyle w:val="TableParagraph"/>
              <w:spacing w:line="172" w:lineRule="exact"/>
              <w:ind w:left="245"/>
              <w:jc w:val="both"/>
              <w:rPr>
                <w:rFonts w:ascii="Arial"/>
                <w:b/>
                <w:sz w:val="16"/>
              </w:rPr>
            </w:pPr>
            <w:r w:rsidRPr="00EB2BD8">
              <w:rPr>
                <w:rFonts w:ascii="Arial"/>
                <w:b/>
                <w:w w:val="105"/>
                <w:sz w:val="16"/>
              </w:rPr>
              <w:t>cost</w:t>
            </w:r>
            <w:r w:rsidRPr="00EB2BD8">
              <w:rPr>
                <w:rFonts w:ascii="Arial"/>
                <w:b/>
                <w:spacing w:val="-6"/>
                <w:w w:val="105"/>
                <w:sz w:val="16"/>
              </w:rPr>
              <w:t xml:space="preserve"> </w:t>
            </w:r>
            <w:r w:rsidRPr="00EB2BD8">
              <w:rPr>
                <w:rFonts w:ascii="Arial"/>
                <w:b/>
                <w:spacing w:val="-4"/>
                <w:w w:val="105"/>
                <w:sz w:val="16"/>
              </w:rPr>
              <w:t>(AC)</w:t>
            </w:r>
          </w:p>
        </w:tc>
        <w:tc>
          <w:tcPr>
            <w:tcW w:w="1349" w:type="dxa"/>
            <w:tcBorders>
              <w:top w:val="single" w:sz="4" w:space="0" w:color="0098FF"/>
              <w:bottom w:val="single" w:sz="4" w:space="0" w:color="0098FF"/>
            </w:tcBorders>
            <w:shd w:val="clear" w:color="auto" w:fill="0070C0"/>
          </w:tcPr>
          <w:p w14:paraId="33BF0EB3" w14:textId="77777777" w:rsidR="00084F36" w:rsidRPr="00EB2BD8" w:rsidRDefault="00EB2BD8">
            <w:pPr>
              <w:pStyle w:val="TableParagraph"/>
              <w:spacing w:before="86" w:line="252" w:lineRule="auto"/>
              <w:ind w:left="124" w:right="308" w:firstLine="185"/>
              <w:jc w:val="right"/>
              <w:rPr>
                <w:rFonts w:ascii="Arial"/>
                <w:b/>
                <w:sz w:val="16"/>
              </w:rPr>
            </w:pPr>
            <w:r w:rsidRPr="00EB2BD8">
              <w:rPr>
                <w:rFonts w:ascii="Arial"/>
                <w:b/>
                <w:spacing w:val="-2"/>
                <w:w w:val="105"/>
                <w:sz w:val="16"/>
              </w:rPr>
              <w:t xml:space="preserve">Financial </w:t>
            </w:r>
            <w:r w:rsidRPr="00EB2BD8">
              <w:rPr>
                <w:rFonts w:ascii="Arial"/>
                <w:b/>
                <w:w w:val="105"/>
                <w:sz w:val="16"/>
              </w:rPr>
              <w:t>liabilities</w:t>
            </w:r>
            <w:r w:rsidRPr="00EB2BD8">
              <w:rPr>
                <w:rFonts w:ascii="Arial"/>
                <w:b/>
                <w:spacing w:val="-12"/>
                <w:w w:val="105"/>
                <w:sz w:val="16"/>
              </w:rPr>
              <w:t xml:space="preserve"> </w:t>
            </w:r>
            <w:r w:rsidRPr="00EB2BD8">
              <w:rPr>
                <w:rFonts w:ascii="Arial"/>
                <w:b/>
                <w:w w:val="105"/>
                <w:sz w:val="16"/>
              </w:rPr>
              <w:t xml:space="preserve">at </w:t>
            </w:r>
            <w:r w:rsidRPr="00EB2BD8">
              <w:rPr>
                <w:rFonts w:ascii="Arial"/>
                <w:b/>
                <w:spacing w:val="-2"/>
                <w:w w:val="105"/>
                <w:sz w:val="16"/>
              </w:rPr>
              <w:t>amortised</w:t>
            </w:r>
          </w:p>
          <w:p w14:paraId="43A3B9CD" w14:textId="77777777" w:rsidR="00084F36" w:rsidRPr="00EB2BD8" w:rsidRDefault="00EB2BD8">
            <w:pPr>
              <w:pStyle w:val="TableParagraph"/>
              <w:spacing w:line="172" w:lineRule="exact"/>
              <w:ind w:right="308"/>
              <w:jc w:val="right"/>
              <w:rPr>
                <w:rFonts w:ascii="Arial"/>
                <w:b/>
                <w:sz w:val="16"/>
              </w:rPr>
            </w:pPr>
            <w:r w:rsidRPr="00EB2BD8">
              <w:rPr>
                <w:rFonts w:ascii="Arial"/>
                <w:b/>
                <w:w w:val="105"/>
                <w:sz w:val="16"/>
              </w:rPr>
              <w:t>cost</w:t>
            </w:r>
            <w:r w:rsidRPr="00EB2BD8">
              <w:rPr>
                <w:rFonts w:ascii="Arial"/>
                <w:b/>
                <w:spacing w:val="-6"/>
                <w:w w:val="105"/>
                <w:sz w:val="16"/>
              </w:rPr>
              <w:t xml:space="preserve"> </w:t>
            </w:r>
            <w:r w:rsidRPr="00EB2BD8">
              <w:rPr>
                <w:rFonts w:ascii="Arial"/>
                <w:b/>
                <w:spacing w:val="-4"/>
                <w:w w:val="105"/>
                <w:sz w:val="16"/>
              </w:rPr>
              <w:t>(AC)</w:t>
            </w:r>
          </w:p>
        </w:tc>
        <w:tc>
          <w:tcPr>
            <w:tcW w:w="932" w:type="dxa"/>
            <w:tcBorders>
              <w:top w:val="single" w:sz="4" w:space="0" w:color="0098FF"/>
              <w:bottom w:val="single" w:sz="4" w:space="0" w:color="0098FF"/>
              <w:right w:val="single" w:sz="4" w:space="0" w:color="0098FF"/>
            </w:tcBorders>
            <w:shd w:val="clear" w:color="auto" w:fill="0070C0"/>
          </w:tcPr>
          <w:p w14:paraId="7B1BBFF7" w14:textId="77777777" w:rsidR="00084F36" w:rsidRPr="00EB2BD8" w:rsidRDefault="00084F36">
            <w:pPr>
              <w:pStyle w:val="TableParagraph"/>
              <w:rPr>
                <w:rFonts w:ascii="Arial"/>
                <w:sz w:val="18"/>
              </w:rPr>
            </w:pPr>
          </w:p>
          <w:p w14:paraId="72A06668" w14:textId="77777777" w:rsidR="00084F36" w:rsidRPr="00EB2BD8" w:rsidRDefault="00084F36">
            <w:pPr>
              <w:pStyle w:val="TableParagraph"/>
              <w:rPr>
                <w:rFonts w:ascii="Arial"/>
                <w:sz w:val="18"/>
              </w:rPr>
            </w:pPr>
          </w:p>
          <w:p w14:paraId="0E859168" w14:textId="77777777" w:rsidR="00084F36" w:rsidRPr="00EB2BD8" w:rsidRDefault="00084F36">
            <w:pPr>
              <w:pStyle w:val="TableParagraph"/>
              <w:spacing w:before="9"/>
              <w:rPr>
                <w:rFonts w:ascii="Arial"/>
                <w:sz w:val="21"/>
              </w:rPr>
            </w:pPr>
          </w:p>
          <w:p w14:paraId="3527EC5E" w14:textId="77777777" w:rsidR="00084F36" w:rsidRPr="00EB2BD8" w:rsidRDefault="00EB2BD8">
            <w:pPr>
              <w:pStyle w:val="TableParagraph"/>
              <w:spacing w:line="172" w:lineRule="exact"/>
              <w:ind w:right="86"/>
              <w:jc w:val="right"/>
              <w:rPr>
                <w:rFonts w:ascii="Arial"/>
                <w:b/>
                <w:sz w:val="16"/>
              </w:rPr>
            </w:pPr>
            <w:r w:rsidRPr="00EB2BD8">
              <w:rPr>
                <w:rFonts w:ascii="Arial"/>
                <w:b/>
                <w:spacing w:val="-4"/>
                <w:w w:val="105"/>
                <w:sz w:val="16"/>
              </w:rPr>
              <w:t>Total</w:t>
            </w:r>
          </w:p>
        </w:tc>
      </w:tr>
      <w:tr w:rsidR="00EB2BD8" w:rsidRPr="00EB2BD8" w14:paraId="7866FEDC" w14:textId="77777777">
        <w:trPr>
          <w:trHeight w:val="259"/>
        </w:trPr>
        <w:tc>
          <w:tcPr>
            <w:tcW w:w="4075" w:type="dxa"/>
            <w:tcBorders>
              <w:top w:val="single" w:sz="4" w:space="0" w:color="0098FF"/>
            </w:tcBorders>
            <w:shd w:val="clear" w:color="auto" w:fill="DEEAF6"/>
          </w:tcPr>
          <w:p w14:paraId="3BF30721" w14:textId="77777777" w:rsidR="00084F36" w:rsidRPr="00EB2BD8" w:rsidRDefault="00EB2BD8">
            <w:pPr>
              <w:pStyle w:val="TableParagraph"/>
              <w:spacing w:before="31"/>
              <w:ind w:left="105"/>
              <w:rPr>
                <w:rFonts w:ascii="Arial"/>
                <w:b/>
                <w:sz w:val="16"/>
              </w:rPr>
            </w:pPr>
            <w:r w:rsidRPr="00EB2BD8">
              <w:rPr>
                <w:rFonts w:ascii="Arial"/>
                <w:b/>
                <w:spacing w:val="-4"/>
                <w:w w:val="105"/>
                <w:sz w:val="16"/>
              </w:rPr>
              <w:t>2023</w:t>
            </w:r>
          </w:p>
        </w:tc>
        <w:tc>
          <w:tcPr>
            <w:tcW w:w="1827" w:type="dxa"/>
            <w:tcBorders>
              <w:top w:val="single" w:sz="4" w:space="0" w:color="0098FF"/>
            </w:tcBorders>
            <w:shd w:val="clear" w:color="auto" w:fill="DEEAF6"/>
          </w:tcPr>
          <w:p w14:paraId="7565401F" w14:textId="77777777" w:rsidR="00084F36" w:rsidRPr="00EB2BD8" w:rsidRDefault="00084F36">
            <w:pPr>
              <w:pStyle w:val="TableParagraph"/>
              <w:rPr>
                <w:rFonts w:ascii="Times New Roman"/>
                <w:sz w:val="16"/>
              </w:rPr>
            </w:pPr>
          </w:p>
        </w:tc>
        <w:tc>
          <w:tcPr>
            <w:tcW w:w="1104" w:type="dxa"/>
            <w:tcBorders>
              <w:top w:val="single" w:sz="4" w:space="0" w:color="0098FF"/>
            </w:tcBorders>
            <w:shd w:val="clear" w:color="auto" w:fill="DEEAF6"/>
          </w:tcPr>
          <w:p w14:paraId="4859DBDF" w14:textId="77777777" w:rsidR="00084F36" w:rsidRPr="00EB2BD8" w:rsidRDefault="00084F36">
            <w:pPr>
              <w:pStyle w:val="TableParagraph"/>
              <w:rPr>
                <w:rFonts w:ascii="Times New Roman"/>
                <w:sz w:val="16"/>
              </w:rPr>
            </w:pPr>
          </w:p>
        </w:tc>
        <w:tc>
          <w:tcPr>
            <w:tcW w:w="1349" w:type="dxa"/>
            <w:tcBorders>
              <w:top w:val="single" w:sz="4" w:space="0" w:color="0098FF"/>
            </w:tcBorders>
            <w:shd w:val="clear" w:color="auto" w:fill="DEEAF6"/>
          </w:tcPr>
          <w:p w14:paraId="3A54E888" w14:textId="77777777" w:rsidR="00084F36" w:rsidRPr="00EB2BD8" w:rsidRDefault="00084F36">
            <w:pPr>
              <w:pStyle w:val="TableParagraph"/>
              <w:rPr>
                <w:rFonts w:ascii="Times New Roman"/>
                <w:sz w:val="16"/>
              </w:rPr>
            </w:pPr>
          </w:p>
        </w:tc>
        <w:tc>
          <w:tcPr>
            <w:tcW w:w="932" w:type="dxa"/>
            <w:tcBorders>
              <w:top w:val="single" w:sz="4" w:space="0" w:color="0098FF"/>
            </w:tcBorders>
            <w:shd w:val="clear" w:color="auto" w:fill="DEEAF6"/>
          </w:tcPr>
          <w:p w14:paraId="6669802C" w14:textId="77777777" w:rsidR="00084F36" w:rsidRPr="00EB2BD8" w:rsidRDefault="00084F36">
            <w:pPr>
              <w:pStyle w:val="TableParagraph"/>
              <w:rPr>
                <w:rFonts w:ascii="Times New Roman"/>
                <w:sz w:val="16"/>
              </w:rPr>
            </w:pPr>
          </w:p>
        </w:tc>
      </w:tr>
      <w:tr w:rsidR="00EB2BD8" w:rsidRPr="00EB2BD8" w14:paraId="0115B0BB" w14:textId="77777777">
        <w:trPr>
          <w:trHeight w:val="262"/>
        </w:trPr>
        <w:tc>
          <w:tcPr>
            <w:tcW w:w="4075" w:type="dxa"/>
            <w:shd w:val="clear" w:color="auto" w:fill="DEEAF6"/>
          </w:tcPr>
          <w:p w14:paraId="224C26D3" w14:textId="77777777" w:rsidR="00084F36" w:rsidRPr="00EB2BD8" w:rsidRDefault="00EB2BD8">
            <w:pPr>
              <w:pStyle w:val="TableParagraph"/>
              <w:spacing w:before="32"/>
              <w:ind w:left="105"/>
              <w:rPr>
                <w:rFonts w:ascii="Arial"/>
                <w:b/>
                <w:sz w:val="16"/>
              </w:rPr>
            </w:pPr>
            <w:r w:rsidRPr="00EB2BD8">
              <w:rPr>
                <w:rFonts w:ascii="Arial"/>
                <w:b/>
                <w:spacing w:val="-2"/>
                <w:w w:val="105"/>
                <w:sz w:val="16"/>
              </w:rPr>
              <w:t>Contractual</w:t>
            </w:r>
            <w:r w:rsidRPr="00EB2BD8">
              <w:rPr>
                <w:rFonts w:ascii="Arial"/>
                <w:b/>
                <w:spacing w:val="8"/>
                <w:w w:val="105"/>
                <w:sz w:val="16"/>
              </w:rPr>
              <w:t xml:space="preserve"> </w:t>
            </w:r>
            <w:r w:rsidRPr="00EB2BD8">
              <w:rPr>
                <w:rFonts w:ascii="Arial"/>
                <w:b/>
                <w:spacing w:val="-2"/>
                <w:w w:val="105"/>
                <w:sz w:val="16"/>
              </w:rPr>
              <w:t>financial</w:t>
            </w:r>
            <w:r w:rsidRPr="00EB2BD8">
              <w:rPr>
                <w:rFonts w:ascii="Arial"/>
                <w:b/>
                <w:spacing w:val="8"/>
                <w:w w:val="105"/>
                <w:sz w:val="16"/>
              </w:rPr>
              <w:t xml:space="preserve"> </w:t>
            </w:r>
            <w:r w:rsidRPr="00EB2BD8">
              <w:rPr>
                <w:rFonts w:ascii="Arial"/>
                <w:b/>
                <w:spacing w:val="-2"/>
                <w:w w:val="105"/>
                <w:sz w:val="16"/>
              </w:rPr>
              <w:t>assets</w:t>
            </w:r>
          </w:p>
        </w:tc>
        <w:tc>
          <w:tcPr>
            <w:tcW w:w="1827" w:type="dxa"/>
            <w:shd w:val="clear" w:color="auto" w:fill="DEEAF6"/>
          </w:tcPr>
          <w:p w14:paraId="5E7A2B84" w14:textId="77777777" w:rsidR="00084F36" w:rsidRPr="00EB2BD8" w:rsidRDefault="00084F36">
            <w:pPr>
              <w:pStyle w:val="TableParagraph"/>
              <w:rPr>
                <w:rFonts w:ascii="Times New Roman"/>
                <w:sz w:val="16"/>
              </w:rPr>
            </w:pPr>
          </w:p>
        </w:tc>
        <w:tc>
          <w:tcPr>
            <w:tcW w:w="1104" w:type="dxa"/>
            <w:shd w:val="clear" w:color="auto" w:fill="DEEAF6"/>
          </w:tcPr>
          <w:p w14:paraId="0FE45001" w14:textId="77777777" w:rsidR="00084F36" w:rsidRPr="00EB2BD8" w:rsidRDefault="00084F36">
            <w:pPr>
              <w:pStyle w:val="TableParagraph"/>
              <w:rPr>
                <w:rFonts w:ascii="Times New Roman"/>
                <w:sz w:val="16"/>
              </w:rPr>
            </w:pPr>
          </w:p>
        </w:tc>
        <w:tc>
          <w:tcPr>
            <w:tcW w:w="1349" w:type="dxa"/>
            <w:shd w:val="clear" w:color="auto" w:fill="DEEAF6"/>
          </w:tcPr>
          <w:p w14:paraId="44DE032A" w14:textId="77777777" w:rsidR="00084F36" w:rsidRPr="00EB2BD8" w:rsidRDefault="00084F36">
            <w:pPr>
              <w:pStyle w:val="TableParagraph"/>
              <w:rPr>
                <w:rFonts w:ascii="Times New Roman"/>
                <w:sz w:val="16"/>
              </w:rPr>
            </w:pPr>
          </w:p>
        </w:tc>
        <w:tc>
          <w:tcPr>
            <w:tcW w:w="932" w:type="dxa"/>
            <w:shd w:val="clear" w:color="auto" w:fill="DEEAF6"/>
          </w:tcPr>
          <w:p w14:paraId="142C4311" w14:textId="77777777" w:rsidR="00084F36" w:rsidRPr="00EB2BD8" w:rsidRDefault="00084F36">
            <w:pPr>
              <w:pStyle w:val="TableParagraph"/>
              <w:rPr>
                <w:rFonts w:ascii="Times New Roman"/>
                <w:sz w:val="16"/>
              </w:rPr>
            </w:pPr>
          </w:p>
        </w:tc>
      </w:tr>
      <w:tr w:rsidR="00EB2BD8" w:rsidRPr="00EB2BD8" w14:paraId="72EA9353" w14:textId="77777777">
        <w:trPr>
          <w:trHeight w:val="264"/>
        </w:trPr>
        <w:tc>
          <w:tcPr>
            <w:tcW w:w="4075" w:type="dxa"/>
            <w:shd w:val="clear" w:color="auto" w:fill="DEEAF6"/>
          </w:tcPr>
          <w:p w14:paraId="3829A956" w14:textId="77777777" w:rsidR="00084F36" w:rsidRPr="00EB2BD8" w:rsidRDefault="00EB2BD8">
            <w:pPr>
              <w:pStyle w:val="TableParagraph"/>
              <w:spacing w:before="34"/>
              <w:ind w:left="105"/>
              <w:rPr>
                <w:rFonts w:ascii="Arial"/>
                <w:sz w:val="16"/>
              </w:rPr>
            </w:pPr>
            <w:r w:rsidRPr="00EB2BD8">
              <w:rPr>
                <w:rFonts w:ascii="Arial"/>
                <w:w w:val="105"/>
                <w:sz w:val="16"/>
              </w:rPr>
              <w:t>Cash</w:t>
            </w:r>
            <w:r w:rsidRPr="00EB2BD8">
              <w:rPr>
                <w:rFonts w:ascii="Arial"/>
                <w:spacing w:val="-5"/>
                <w:w w:val="105"/>
                <w:sz w:val="16"/>
              </w:rPr>
              <w:t xml:space="preserve"> </w:t>
            </w:r>
            <w:r w:rsidRPr="00EB2BD8">
              <w:rPr>
                <w:rFonts w:ascii="Arial"/>
                <w:w w:val="105"/>
                <w:sz w:val="16"/>
              </w:rPr>
              <w:t>and</w:t>
            </w:r>
            <w:r w:rsidRPr="00EB2BD8">
              <w:rPr>
                <w:rFonts w:ascii="Arial"/>
                <w:spacing w:val="-5"/>
                <w:w w:val="105"/>
                <w:sz w:val="16"/>
              </w:rPr>
              <w:t xml:space="preserve"> </w:t>
            </w:r>
            <w:r w:rsidRPr="00EB2BD8">
              <w:rPr>
                <w:rFonts w:ascii="Arial"/>
                <w:spacing w:val="-2"/>
                <w:w w:val="105"/>
                <w:sz w:val="16"/>
              </w:rPr>
              <w:t>deposits</w:t>
            </w:r>
          </w:p>
        </w:tc>
        <w:tc>
          <w:tcPr>
            <w:tcW w:w="1827" w:type="dxa"/>
            <w:shd w:val="clear" w:color="auto" w:fill="DEEAF6"/>
          </w:tcPr>
          <w:p w14:paraId="315212F3" w14:textId="77777777" w:rsidR="00084F36" w:rsidRPr="00EB2BD8" w:rsidRDefault="00EB2BD8">
            <w:pPr>
              <w:pStyle w:val="TableParagraph"/>
              <w:spacing w:before="34"/>
              <w:ind w:right="178"/>
              <w:jc w:val="right"/>
              <w:rPr>
                <w:rFonts w:ascii="Arial"/>
                <w:sz w:val="16"/>
              </w:rPr>
            </w:pPr>
            <w:r w:rsidRPr="00EB2BD8">
              <w:rPr>
                <w:rFonts w:ascii="Arial"/>
                <w:spacing w:val="-2"/>
                <w:w w:val="105"/>
                <w:sz w:val="16"/>
              </w:rPr>
              <w:t>59,653</w:t>
            </w:r>
          </w:p>
        </w:tc>
        <w:tc>
          <w:tcPr>
            <w:tcW w:w="1104" w:type="dxa"/>
            <w:shd w:val="clear" w:color="auto" w:fill="DEEAF6"/>
          </w:tcPr>
          <w:p w14:paraId="34ADB6E4" w14:textId="77777777" w:rsidR="00084F36" w:rsidRPr="00EB2BD8" w:rsidRDefault="00EB2BD8">
            <w:pPr>
              <w:pStyle w:val="TableParagraph"/>
              <w:spacing w:before="34"/>
              <w:ind w:right="109"/>
              <w:jc w:val="right"/>
              <w:rPr>
                <w:rFonts w:ascii="Arial"/>
                <w:sz w:val="16"/>
              </w:rPr>
            </w:pPr>
            <w:r w:rsidRPr="00EB2BD8">
              <w:rPr>
                <w:rFonts w:ascii="Arial"/>
                <w:w w:val="104"/>
                <w:sz w:val="16"/>
              </w:rPr>
              <w:t>-</w:t>
            </w:r>
          </w:p>
        </w:tc>
        <w:tc>
          <w:tcPr>
            <w:tcW w:w="1349" w:type="dxa"/>
            <w:shd w:val="clear" w:color="auto" w:fill="DEEAF6"/>
          </w:tcPr>
          <w:p w14:paraId="074E0EAA" w14:textId="77777777" w:rsidR="00084F36" w:rsidRPr="00EB2BD8" w:rsidRDefault="00EB2BD8">
            <w:pPr>
              <w:pStyle w:val="TableParagraph"/>
              <w:spacing w:before="34"/>
              <w:ind w:right="307"/>
              <w:jc w:val="right"/>
              <w:rPr>
                <w:rFonts w:ascii="Arial"/>
                <w:sz w:val="16"/>
              </w:rPr>
            </w:pPr>
            <w:r w:rsidRPr="00EB2BD8">
              <w:rPr>
                <w:rFonts w:ascii="Arial"/>
                <w:w w:val="104"/>
                <w:sz w:val="16"/>
              </w:rPr>
              <w:t>-</w:t>
            </w:r>
          </w:p>
        </w:tc>
        <w:tc>
          <w:tcPr>
            <w:tcW w:w="932" w:type="dxa"/>
            <w:shd w:val="clear" w:color="auto" w:fill="DEEAF6"/>
          </w:tcPr>
          <w:p w14:paraId="58954E52" w14:textId="77777777" w:rsidR="00084F36" w:rsidRPr="00EB2BD8" w:rsidRDefault="00EB2BD8">
            <w:pPr>
              <w:pStyle w:val="TableParagraph"/>
              <w:spacing w:before="34"/>
              <w:ind w:right="92"/>
              <w:jc w:val="right"/>
              <w:rPr>
                <w:rFonts w:ascii="Arial"/>
                <w:sz w:val="16"/>
              </w:rPr>
            </w:pPr>
            <w:r w:rsidRPr="00EB2BD8">
              <w:rPr>
                <w:rFonts w:ascii="Arial"/>
                <w:spacing w:val="-2"/>
                <w:w w:val="105"/>
                <w:sz w:val="16"/>
              </w:rPr>
              <w:t>59,653</w:t>
            </w:r>
          </w:p>
        </w:tc>
      </w:tr>
      <w:tr w:rsidR="00EB2BD8" w:rsidRPr="00EB2BD8" w14:paraId="53A1E530" w14:textId="77777777">
        <w:trPr>
          <w:trHeight w:val="262"/>
        </w:trPr>
        <w:tc>
          <w:tcPr>
            <w:tcW w:w="4075" w:type="dxa"/>
            <w:tcBorders>
              <w:bottom w:val="single" w:sz="12" w:space="0" w:color="000000"/>
            </w:tcBorders>
            <w:shd w:val="clear" w:color="auto" w:fill="DEEAF6"/>
          </w:tcPr>
          <w:p w14:paraId="2C22DACE" w14:textId="77777777" w:rsidR="00084F36" w:rsidRPr="00EB2BD8" w:rsidRDefault="00EB2BD8">
            <w:pPr>
              <w:pStyle w:val="TableParagraph"/>
              <w:spacing w:before="21"/>
              <w:ind w:left="105"/>
              <w:rPr>
                <w:rFonts w:ascii="Arial"/>
                <w:sz w:val="11"/>
              </w:rPr>
            </w:pPr>
            <w:r w:rsidRPr="00EB2BD8">
              <w:rPr>
                <w:rFonts w:ascii="Arial"/>
                <w:spacing w:val="-2"/>
                <w:w w:val="105"/>
                <w:sz w:val="16"/>
              </w:rPr>
              <w:t>Receivables</w:t>
            </w:r>
            <w:r w:rsidRPr="00EB2BD8">
              <w:rPr>
                <w:rFonts w:ascii="Arial"/>
                <w:spacing w:val="-2"/>
                <w:w w:val="105"/>
                <w:position w:val="6"/>
                <w:sz w:val="11"/>
              </w:rPr>
              <w:t>(a)</w:t>
            </w:r>
          </w:p>
        </w:tc>
        <w:tc>
          <w:tcPr>
            <w:tcW w:w="1827" w:type="dxa"/>
            <w:tcBorders>
              <w:bottom w:val="single" w:sz="12" w:space="0" w:color="000000"/>
            </w:tcBorders>
            <w:shd w:val="clear" w:color="auto" w:fill="DEEAF6"/>
          </w:tcPr>
          <w:p w14:paraId="5030C9DB" w14:textId="77777777" w:rsidR="00084F36" w:rsidRPr="00EB2BD8" w:rsidRDefault="00EB2BD8">
            <w:pPr>
              <w:pStyle w:val="TableParagraph"/>
              <w:spacing w:before="35"/>
              <w:ind w:right="177"/>
              <w:jc w:val="right"/>
              <w:rPr>
                <w:rFonts w:ascii="Arial"/>
                <w:sz w:val="16"/>
              </w:rPr>
            </w:pPr>
            <w:r w:rsidRPr="00EB2BD8">
              <w:rPr>
                <w:rFonts w:ascii="Arial"/>
                <w:w w:val="104"/>
                <w:sz w:val="16"/>
              </w:rPr>
              <w:t>-</w:t>
            </w:r>
          </w:p>
        </w:tc>
        <w:tc>
          <w:tcPr>
            <w:tcW w:w="1104" w:type="dxa"/>
            <w:tcBorders>
              <w:bottom w:val="single" w:sz="12" w:space="0" w:color="000000"/>
            </w:tcBorders>
            <w:shd w:val="clear" w:color="auto" w:fill="DEEAF6"/>
          </w:tcPr>
          <w:p w14:paraId="7ABCB929" w14:textId="77777777" w:rsidR="00084F36" w:rsidRPr="00EB2BD8" w:rsidRDefault="00EB2BD8">
            <w:pPr>
              <w:pStyle w:val="TableParagraph"/>
              <w:spacing w:before="35"/>
              <w:ind w:right="110"/>
              <w:jc w:val="right"/>
              <w:rPr>
                <w:rFonts w:ascii="Arial"/>
                <w:sz w:val="16"/>
              </w:rPr>
            </w:pPr>
            <w:r w:rsidRPr="00EB2BD8">
              <w:rPr>
                <w:rFonts w:ascii="Arial"/>
                <w:spacing w:val="-5"/>
                <w:w w:val="105"/>
                <w:sz w:val="16"/>
              </w:rPr>
              <w:t>142</w:t>
            </w:r>
          </w:p>
        </w:tc>
        <w:tc>
          <w:tcPr>
            <w:tcW w:w="1349" w:type="dxa"/>
            <w:tcBorders>
              <w:bottom w:val="single" w:sz="12" w:space="0" w:color="000000"/>
            </w:tcBorders>
            <w:shd w:val="clear" w:color="auto" w:fill="DEEAF6"/>
          </w:tcPr>
          <w:p w14:paraId="35185B99" w14:textId="77777777" w:rsidR="00084F36" w:rsidRPr="00EB2BD8" w:rsidRDefault="00EB2BD8">
            <w:pPr>
              <w:pStyle w:val="TableParagraph"/>
              <w:spacing w:before="35"/>
              <w:ind w:right="307"/>
              <w:jc w:val="right"/>
              <w:rPr>
                <w:rFonts w:ascii="Arial"/>
                <w:sz w:val="16"/>
              </w:rPr>
            </w:pPr>
            <w:r w:rsidRPr="00EB2BD8">
              <w:rPr>
                <w:rFonts w:ascii="Arial"/>
                <w:w w:val="104"/>
                <w:sz w:val="16"/>
              </w:rPr>
              <w:t>-</w:t>
            </w:r>
          </w:p>
        </w:tc>
        <w:tc>
          <w:tcPr>
            <w:tcW w:w="932" w:type="dxa"/>
            <w:tcBorders>
              <w:bottom w:val="single" w:sz="12" w:space="0" w:color="000000"/>
            </w:tcBorders>
            <w:shd w:val="clear" w:color="auto" w:fill="DEEAF6"/>
          </w:tcPr>
          <w:p w14:paraId="027EC03F" w14:textId="77777777" w:rsidR="00084F36" w:rsidRPr="00EB2BD8" w:rsidRDefault="00EB2BD8">
            <w:pPr>
              <w:pStyle w:val="TableParagraph"/>
              <w:spacing w:before="35"/>
              <w:ind w:right="93"/>
              <w:jc w:val="right"/>
              <w:rPr>
                <w:rFonts w:ascii="Arial"/>
                <w:sz w:val="16"/>
              </w:rPr>
            </w:pPr>
            <w:r w:rsidRPr="00EB2BD8">
              <w:rPr>
                <w:rFonts w:ascii="Arial"/>
                <w:spacing w:val="-5"/>
                <w:w w:val="105"/>
                <w:sz w:val="16"/>
              </w:rPr>
              <w:t>142</w:t>
            </w:r>
          </w:p>
        </w:tc>
      </w:tr>
      <w:tr w:rsidR="00EB2BD8" w:rsidRPr="00EB2BD8" w14:paraId="39D24117" w14:textId="77777777">
        <w:trPr>
          <w:trHeight w:val="234"/>
        </w:trPr>
        <w:tc>
          <w:tcPr>
            <w:tcW w:w="4075" w:type="dxa"/>
            <w:tcBorders>
              <w:top w:val="single" w:sz="12" w:space="0" w:color="000000"/>
              <w:bottom w:val="single" w:sz="12" w:space="0" w:color="000000"/>
            </w:tcBorders>
            <w:shd w:val="clear" w:color="auto" w:fill="DEEAF6"/>
          </w:tcPr>
          <w:p w14:paraId="04E2340A" w14:textId="77777777" w:rsidR="00084F36" w:rsidRPr="00EB2BD8" w:rsidRDefault="00EB2BD8">
            <w:pPr>
              <w:pStyle w:val="TableParagraph"/>
              <w:spacing w:before="21"/>
              <w:ind w:left="105"/>
              <w:rPr>
                <w:rFonts w:ascii="Arial"/>
                <w:b/>
                <w:sz w:val="16"/>
              </w:rPr>
            </w:pPr>
            <w:r w:rsidRPr="00EB2BD8">
              <w:rPr>
                <w:rFonts w:ascii="Arial"/>
                <w:b/>
                <w:w w:val="105"/>
                <w:sz w:val="16"/>
              </w:rPr>
              <w:t>Total</w:t>
            </w:r>
            <w:r w:rsidRPr="00EB2BD8">
              <w:rPr>
                <w:rFonts w:ascii="Arial"/>
                <w:b/>
                <w:spacing w:val="-10"/>
                <w:w w:val="105"/>
                <w:sz w:val="16"/>
              </w:rPr>
              <w:t xml:space="preserve"> </w:t>
            </w:r>
            <w:r w:rsidRPr="00EB2BD8">
              <w:rPr>
                <w:rFonts w:ascii="Arial"/>
                <w:b/>
                <w:w w:val="105"/>
                <w:sz w:val="16"/>
              </w:rPr>
              <w:t>contractual</w:t>
            </w:r>
            <w:r w:rsidRPr="00EB2BD8">
              <w:rPr>
                <w:rFonts w:ascii="Arial"/>
                <w:b/>
                <w:spacing w:val="-10"/>
                <w:w w:val="105"/>
                <w:sz w:val="16"/>
              </w:rPr>
              <w:t xml:space="preserve"> </w:t>
            </w:r>
            <w:r w:rsidRPr="00EB2BD8">
              <w:rPr>
                <w:rFonts w:ascii="Arial"/>
                <w:b/>
                <w:w w:val="105"/>
                <w:sz w:val="16"/>
              </w:rPr>
              <w:t>financial</w:t>
            </w:r>
            <w:r w:rsidRPr="00EB2BD8">
              <w:rPr>
                <w:rFonts w:ascii="Arial"/>
                <w:b/>
                <w:spacing w:val="-9"/>
                <w:w w:val="105"/>
                <w:sz w:val="16"/>
              </w:rPr>
              <w:t xml:space="preserve"> </w:t>
            </w:r>
            <w:r w:rsidRPr="00EB2BD8">
              <w:rPr>
                <w:rFonts w:ascii="Arial"/>
                <w:b/>
                <w:spacing w:val="-2"/>
                <w:w w:val="105"/>
                <w:sz w:val="16"/>
              </w:rPr>
              <w:t>assets</w:t>
            </w:r>
          </w:p>
        </w:tc>
        <w:tc>
          <w:tcPr>
            <w:tcW w:w="1827" w:type="dxa"/>
            <w:tcBorders>
              <w:top w:val="single" w:sz="12" w:space="0" w:color="000000"/>
              <w:bottom w:val="single" w:sz="12" w:space="0" w:color="000000"/>
            </w:tcBorders>
            <w:shd w:val="clear" w:color="auto" w:fill="DEEAF6"/>
          </w:tcPr>
          <w:p w14:paraId="74F326B1" w14:textId="77777777" w:rsidR="00084F36" w:rsidRPr="00EB2BD8" w:rsidRDefault="00EB2BD8">
            <w:pPr>
              <w:pStyle w:val="TableParagraph"/>
              <w:spacing w:before="21"/>
              <w:ind w:right="178"/>
              <w:jc w:val="right"/>
              <w:rPr>
                <w:rFonts w:ascii="Arial"/>
                <w:b/>
                <w:sz w:val="16"/>
              </w:rPr>
            </w:pPr>
            <w:r w:rsidRPr="00EB2BD8">
              <w:rPr>
                <w:rFonts w:ascii="Arial"/>
                <w:b/>
                <w:spacing w:val="-2"/>
                <w:w w:val="105"/>
                <w:sz w:val="16"/>
              </w:rPr>
              <w:t>59,653</w:t>
            </w:r>
          </w:p>
        </w:tc>
        <w:tc>
          <w:tcPr>
            <w:tcW w:w="1104" w:type="dxa"/>
            <w:tcBorders>
              <w:top w:val="single" w:sz="12" w:space="0" w:color="000000"/>
              <w:bottom w:val="single" w:sz="12" w:space="0" w:color="000000"/>
            </w:tcBorders>
            <w:shd w:val="clear" w:color="auto" w:fill="DEEAF6"/>
          </w:tcPr>
          <w:p w14:paraId="2F2043F2" w14:textId="77777777" w:rsidR="00084F36" w:rsidRPr="00EB2BD8" w:rsidRDefault="00EB2BD8">
            <w:pPr>
              <w:pStyle w:val="TableParagraph"/>
              <w:spacing w:before="21"/>
              <w:ind w:right="110"/>
              <w:jc w:val="right"/>
              <w:rPr>
                <w:rFonts w:ascii="Arial"/>
                <w:b/>
                <w:sz w:val="16"/>
              </w:rPr>
            </w:pPr>
            <w:r w:rsidRPr="00EB2BD8">
              <w:rPr>
                <w:rFonts w:ascii="Arial"/>
                <w:b/>
                <w:spacing w:val="-5"/>
                <w:w w:val="105"/>
                <w:sz w:val="16"/>
              </w:rPr>
              <w:t>142</w:t>
            </w:r>
          </w:p>
        </w:tc>
        <w:tc>
          <w:tcPr>
            <w:tcW w:w="1349" w:type="dxa"/>
            <w:tcBorders>
              <w:top w:val="single" w:sz="12" w:space="0" w:color="000000"/>
              <w:bottom w:val="single" w:sz="12" w:space="0" w:color="000000"/>
            </w:tcBorders>
            <w:shd w:val="clear" w:color="auto" w:fill="DEEAF6"/>
          </w:tcPr>
          <w:p w14:paraId="03DB6745" w14:textId="77777777" w:rsidR="00084F36" w:rsidRPr="00EB2BD8" w:rsidRDefault="00EB2BD8">
            <w:pPr>
              <w:pStyle w:val="TableParagraph"/>
              <w:spacing w:before="21"/>
              <w:ind w:right="307"/>
              <w:jc w:val="right"/>
              <w:rPr>
                <w:rFonts w:ascii="Arial"/>
                <w:b/>
                <w:sz w:val="16"/>
              </w:rPr>
            </w:pPr>
            <w:r w:rsidRPr="00EB2BD8">
              <w:rPr>
                <w:rFonts w:ascii="Arial"/>
                <w:b/>
                <w:w w:val="104"/>
                <w:sz w:val="16"/>
              </w:rPr>
              <w:t>-</w:t>
            </w:r>
          </w:p>
        </w:tc>
        <w:tc>
          <w:tcPr>
            <w:tcW w:w="932" w:type="dxa"/>
            <w:tcBorders>
              <w:top w:val="single" w:sz="12" w:space="0" w:color="000000"/>
              <w:bottom w:val="single" w:sz="12" w:space="0" w:color="000000"/>
            </w:tcBorders>
            <w:shd w:val="clear" w:color="auto" w:fill="DEEAF6"/>
          </w:tcPr>
          <w:p w14:paraId="13157911" w14:textId="77777777" w:rsidR="00084F36" w:rsidRPr="00EB2BD8" w:rsidRDefault="00EB2BD8">
            <w:pPr>
              <w:pStyle w:val="TableParagraph"/>
              <w:spacing w:before="21"/>
              <w:ind w:right="92"/>
              <w:jc w:val="right"/>
              <w:rPr>
                <w:rFonts w:ascii="Arial"/>
                <w:b/>
                <w:sz w:val="16"/>
              </w:rPr>
            </w:pPr>
            <w:r w:rsidRPr="00EB2BD8">
              <w:rPr>
                <w:rFonts w:ascii="Arial"/>
                <w:b/>
                <w:spacing w:val="-2"/>
                <w:w w:val="105"/>
                <w:sz w:val="16"/>
              </w:rPr>
              <w:t>59,795</w:t>
            </w:r>
          </w:p>
        </w:tc>
      </w:tr>
      <w:tr w:rsidR="00EB2BD8" w:rsidRPr="00EB2BD8" w14:paraId="36E649FA" w14:textId="77777777">
        <w:trPr>
          <w:trHeight w:val="245"/>
        </w:trPr>
        <w:tc>
          <w:tcPr>
            <w:tcW w:w="4075" w:type="dxa"/>
            <w:tcBorders>
              <w:top w:val="single" w:sz="12" w:space="0" w:color="000000"/>
            </w:tcBorders>
            <w:shd w:val="clear" w:color="auto" w:fill="DEEAF6"/>
          </w:tcPr>
          <w:p w14:paraId="5217E6DF" w14:textId="77777777" w:rsidR="00084F36" w:rsidRPr="00EB2BD8" w:rsidRDefault="00EB2BD8">
            <w:pPr>
              <w:pStyle w:val="TableParagraph"/>
              <w:spacing w:before="22"/>
              <w:ind w:left="105"/>
              <w:rPr>
                <w:rFonts w:ascii="Arial"/>
                <w:b/>
                <w:sz w:val="16"/>
              </w:rPr>
            </w:pPr>
            <w:r w:rsidRPr="00EB2BD8">
              <w:rPr>
                <w:rFonts w:ascii="Arial"/>
                <w:b/>
                <w:spacing w:val="-2"/>
                <w:w w:val="105"/>
                <w:sz w:val="16"/>
              </w:rPr>
              <w:t>Contractual</w:t>
            </w:r>
            <w:r w:rsidRPr="00EB2BD8">
              <w:rPr>
                <w:rFonts w:ascii="Arial"/>
                <w:b/>
                <w:spacing w:val="8"/>
                <w:w w:val="105"/>
                <w:sz w:val="16"/>
              </w:rPr>
              <w:t xml:space="preserve"> </w:t>
            </w:r>
            <w:r w:rsidRPr="00EB2BD8">
              <w:rPr>
                <w:rFonts w:ascii="Arial"/>
                <w:b/>
                <w:spacing w:val="-2"/>
                <w:w w:val="105"/>
                <w:sz w:val="16"/>
              </w:rPr>
              <w:t>financial</w:t>
            </w:r>
            <w:r w:rsidRPr="00EB2BD8">
              <w:rPr>
                <w:rFonts w:ascii="Arial"/>
                <w:b/>
                <w:spacing w:val="8"/>
                <w:w w:val="105"/>
                <w:sz w:val="16"/>
              </w:rPr>
              <w:t xml:space="preserve"> </w:t>
            </w:r>
            <w:r w:rsidRPr="00EB2BD8">
              <w:rPr>
                <w:rFonts w:ascii="Arial"/>
                <w:b/>
                <w:spacing w:val="-2"/>
                <w:w w:val="105"/>
                <w:sz w:val="16"/>
              </w:rPr>
              <w:t>liabilities</w:t>
            </w:r>
          </w:p>
        </w:tc>
        <w:tc>
          <w:tcPr>
            <w:tcW w:w="1827" w:type="dxa"/>
            <w:tcBorders>
              <w:top w:val="single" w:sz="12" w:space="0" w:color="000000"/>
            </w:tcBorders>
            <w:shd w:val="clear" w:color="auto" w:fill="DEEAF6"/>
          </w:tcPr>
          <w:p w14:paraId="7A00D8D7" w14:textId="77777777" w:rsidR="00084F36" w:rsidRPr="00EB2BD8" w:rsidRDefault="00084F36">
            <w:pPr>
              <w:pStyle w:val="TableParagraph"/>
              <w:rPr>
                <w:rFonts w:ascii="Times New Roman"/>
                <w:sz w:val="16"/>
              </w:rPr>
            </w:pPr>
          </w:p>
        </w:tc>
        <w:tc>
          <w:tcPr>
            <w:tcW w:w="1104" w:type="dxa"/>
            <w:tcBorders>
              <w:top w:val="single" w:sz="12" w:space="0" w:color="000000"/>
            </w:tcBorders>
            <w:shd w:val="clear" w:color="auto" w:fill="DEEAF6"/>
          </w:tcPr>
          <w:p w14:paraId="0D8BBC86" w14:textId="77777777" w:rsidR="00084F36" w:rsidRPr="00EB2BD8" w:rsidRDefault="00084F36">
            <w:pPr>
              <w:pStyle w:val="TableParagraph"/>
              <w:rPr>
                <w:rFonts w:ascii="Times New Roman"/>
                <w:sz w:val="16"/>
              </w:rPr>
            </w:pPr>
          </w:p>
        </w:tc>
        <w:tc>
          <w:tcPr>
            <w:tcW w:w="1349" w:type="dxa"/>
            <w:tcBorders>
              <w:top w:val="single" w:sz="12" w:space="0" w:color="000000"/>
            </w:tcBorders>
            <w:shd w:val="clear" w:color="auto" w:fill="DEEAF6"/>
          </w:tcPr>
          <w:p w14:paraId="44CC2371" w14:textId="77777777" w:rsidR="00084F36" w:rsidRPr="00EB2BD8" w:rsidRDefault="00084F36">
            <w:pPr>
              <w:pStyle w:val="TableParagraph"/>
              <w:rPr>
                <w:rFonts w:ascii="Times New Roman"/>
                <w:sz w:val="16"/>
              </w:rPr>
            </w:pPr>
          </w:p>
        </w:tc>
        <w:tc>
          <w:tcPr>
            <w:tcW w:w="932" w:type="dxa"/>
            <w:tcBorders>
              <w:top w:val="single" w:sz="12" w:space="0" w:color="000000"/>
            </w:tcBorders>
            <w:shd w:val="clear" w:color="auto" w:fill="DEEAF6"/>
          </w:tcPr>
          <w:p w14:paraId="667879D2" w14:textId="77777777" w:rsidR="00084F36" w:rsidRPr="00EB2BD8" w:rsidRDefault="00084F36">
            <w:pPr>
              <w:pStyle w:val="TableParagraph"/>
              <w:rPr>
                <w:rFonts w:ascii="Times New Roman"/>
                <w:sz w:val="16"/>
              </w:rPr>
            </w:pPr>
          </w:p>
        </w:tc>
      </w:tr>
      <w:tr w:rsidR="00EB2BD8" w:rsidRPr="00EB2BD8" w14:paraId="27573036" w14:textId="77777777">
        <w:trPr>
          <w:trHeight w:val="258"/>
        </w:trPr>
        <w:tc>
          <w:tcPr>
            <w:tcW w:w="4075" w:type="dxa"/>
            <w:shd w:val="clear" w:color="auto" w:fill="DEEAF6"/>
          </w:tcPr>
          <w:p w14:paraId="3BB0C9BF" w14:textId="77777777" w:rsidR="00084F36" w:rsidRPr="00EB2BD8" w:rsidRDefault="00EB2BD8">
            <w:pPr>
              <w:pStyle w:val="TableParagraph"/>
              <w:spacing w:before="27"/>
              <w:ind w:left="105"/>
              <w:rPr>
                <w:rFonts w:ascii="Arial"/>
                <w:sz w:val="16"/>
              </w:rPr>
            </w:pPr>
            <w:r w:rsidRPr="00EB2BD8">
              <w:rPr>
                <w:rFonts w:ascii="Arial"/>
                <w:spacing w:val="-2"/>
                <w:w w:val="105"/>
                <w:sz w:val="16"/>
              </w:rPr>
              <w:t>Contractual</w:t>
            </w:r>
            <w:r w:rsidRPr="00EB2BD8">
              <w:rPr>
                <w:rFonts w:ascii="Arial"/>
                <w:spacing w:val="8"/>
                <w:w w:val="105"/>
                <w:sz w:val="16"/>
              </w:rPr>
              <w:t xml:space="preserve"> </w:t>
            </w:r>
            <w:r w:rsidRPr="00EB2BD8">
              <w:rPr>
                <w:rFonts w:ascii="Arial"/>
                <w:spacing w:val="-2"/>
                <w:w w:val="105"/>
                <w:sz w:val="16"/>
              </w:rPr>
              <w:t>payables</w:t>
            </w:r>
          </w:p>
        </w:tc>
        <w:tc>
          <w:tcPr>
            <w:tcW w:w="1827" w:type="dxa"/>
            <w:shd w:val="clear" w:color="auto" w:fill="DEEAF6"/>
          </w:tcPr>
          <w:p w14:paraId="08387AA2" w14:textId="77777777" w:rsidR="00084F36" w:rsidRPr="00EB2BD8" w:rsidRDefault="00EB2BD8">
            <w:pPr>
              <w:pStyle w:val="TableParagraph"/>
              <w:spacing w:before="27"/>
              <w:ind w:right="177"/>
              <w:jc w:val="right"/>
              <w:rPr>
                <w:rFonts w:ascii="Arial"/>
                <w:sz w:val="16"/>
              </w:rPr>
            </w:pPr>
            <w:r w:rsidRPr="00EB2BD8">
              <w:rPr>
                <w:rFonts w:ascii="Arial"/>
                <w:w w:val="104"/>
                <w:sz w:val="16"/>
              </w:rPr>
              <w:t>-</w:t>
            </w:r>
          </w:p>
        </w:tc>
        <w:tc>
          <w:tcPr>
            <w:tcW w:w="1104" w:type="dxa"/>
            <w:shd w:val="clear" w:color="auto" w:fill="DEEAF6"/>
          </w:tcPr>
          <w:p w14:paraId="79C54EF2" w14:textId="77777777" w:rsidR="00084F36" w:rsidRPr="00EB2BD8" w:rsidRDefault="00EB2BD8">
            <w:pPr>
              <w:pStyle w:val="TableParagraph"/>
              <w:spacing w:before="27"/>
              <w:ind w:right="109"/>
              <w:jc w:val="right"/>
              <w:rPr>
                <w:rFonts w:ascii="Arial"/>
                <w:sz w:val="16"/>
              </w:rPr>
            </w:pPr>
            <w:r w:rsidRPr="00EB2BD8">
              <w:rPr>
                <w:rFonts w:ascii="Arial"/>
                <w:w w:val="104"/>
                <w:sz w:val="16"/>
              </w:rPr>
              <w:t>-</w:t>
            </w:r>
          </w:p>
        </w:tc>
        <w:tc>
          <w:tcPr>
            <w:tcW w:w="1349" w:type="dxa"/>
            <w:shd w:val="clear" w:color="auto" w:fill="DEEAF6"/>
          </w:tcPr>
          <w:p w14:paraId="21729FAA" w14:textId="77777777" w:rsidR="00084F36" w:rsidRPr="00EB2BD8" w:rsidRDefault="00EB2BD8">
            <w:pPr>
              <w:pStyle w:val="TableParagraph"/>
              <w:spacing w:before="27"/>
              <w:ind w:right="308"/>
              <w:jc w:val="right"/>
              <w:rPr>
                <w:rFonts w:ascii="Arial"/>
                <w:sz w:val="16"/>
              </w:rPr>
            </w:pPr>
            <w:r w:rsidRPr="00EB2BD8">
              <w:rPr>
                <w:rFonts w:ascii="Arial"/>
                <w:spacing w:val="-2"/>
                <w:w w:val="105"/>
                <w:sz w:val="16"/>
              </w:rPr>
              <w:t>13,613</w:t>
            </w:r>
          </w:p>
        </w:tc>
        <w:tc>
          <w:tcPr>
            <w:tcW w:w="932" w:type="dxa"/>
            <w:shd w:val="clear" w:color="auto" w:fill="DEEAF6"/>
          </w:tcPr>
          <w:p w14:paraId="4563F913" w14:textId="77777777" w:rsidR="00084F36" w:rsidRPr="00EB2BD8" w:rsidRDefault="00EB2BD8">
            <w:pPr>
              <w:pStyle w:val="TableParagraph"/>
              <w:spacing w:before="27"/>
              <w:ind w:right="92"/>
              <w:jc w:val="right"/>
              <w:rPr>
                <w:rFonts w:ascii="Arial"/>
                <w:sz w:val="16"/>
              </w:rPr>
            </w:pPr>
            <w:r w:rsidRPr="00EB2BD8">
              <w:rPr>
                <w:rFonts w:ascii="Arial"/>
                <w:spacing w:val="-2"/>
                <w:w w:val="105"/>
                <w:sz w:val="16"/>
              </w:rPr>
              <w:t>13,613</w:t>
            </w:r>
          </w:p>
        </w:tc>
      </w:tr>
      <w:tr w:rsidR="00EB2BD8" w:rsidRPr="00EB2BD8" w14:paraId="357F1B41" w14:textId="77777777">
        <w:trPr>
          <w:trHeight w:val="264"/>
        </w:trPr>
        <w:tc>
          <w:tcPr>
            <w:tcW w:w="4075" w:type="dxa"/>
            <w:shd w:val="clear" w:color="auto" w:fill="DEEAF6"/>
          </w:tcPr>
          <w:p w14:paraId="56E14715" w14:textId="77777777" w:rsidR="00084F36" w:rsidRPr="00EB2BD8" w:rsidRDefault="00EB2BD8">
            <w:pPr>
              <w:pStyle w:val="TableParagraph"/>
              <w:spacing w:before="35"/>
              <w:ind w:left="105"/>
              <w:rPr>
                <w:rFonts w:ascii="Arial"/>
                <w:sz w:val="16"/>
              </w:rPr>
            </w:pPr>
            <w:r w:rsidRPr="00EB2BD8">
              <w:rPr>
                <w:rFonts w:ascii="Arial"/>
                <w:w w:val="105"/>
                <w:sz w:val="16"/>
              </w:rPr>
              <w:t>Other</w:t>
            </w:r>
            <w:r w:rsidRPr="00EB2BD8">
              <w:rPr>
                <w:rFonts w:ascii="Arial"/>
                <w:spacing w:val="-7"/>
                <w:w w:val="105"/>
                <w:sz w:val="16"/>
              </w:rPr>
              <w:t xml:space="preserve"> </w:t>
            </w:r>
            <w:r w:rsidRPr="00EB2BD8">
              <w:rPr>
                <w:rFonts w:ascii="Arial"/>
                <w:spacing w:val="-2"/>
                <w:w w:val="105"/>
                <w:sz w:val="16"/>
              </w:rPr>
              <w:t>liabilities</w:t>
            </w:r>
          </w:p>
        </w:tc>
        <w:tc>
          <w:tcPr>
            <w:tcW w:w="1827" w:type="dxa"/>
            <w:shd w:val="clear" w:color="auto" w:fill="DEEAF6"/>
          </w:tcPr>
          <w:p w14:paraId="1B70C4B3" w14:textId="77777777" w:rsidR="00084F36" w:rsidRPr="00EB2BD8" w:rsidRDefault="00EB2BD8">
            <w:pPr>
              <w:pStyle w:val="TableParagraph"/>
              <w:spacing w:before="35"/>
              <w:ind w:right="177"/>
              <w:jc w:val="right"/>
              <w:rPr>
                <w:rFonts w:ascii="Arial"/>
                <w:sz w:val="16"/>
              </w:rPr>
            </w:pPr>
            <w:r w:rsidRPr="00EB2BD8">
              <w:rPr>
                <w:rFonts w:ascii="Arial"/>
                <w:w w:val="104"/>
                <w:sz w:val="16"/>
              </w:rPr>
              <w:t>-</w:t>
            </w:r>
          </w:p>
        </w:tc>
        <w:tc>
          <w:tcPr>
            <w:tcW w:w="1104" w:type="dxa"/>
            <w:shd w:val="clear" w:color="auto" w:fill="DEEAF6"/>
          </w:tcPr>
          <w:p w14:paraId="5036D939" w14:textId="77777777" w:rsidR="00084F36" w:rsidRPr="00EB2BD8" w:rsidRDefault="00EB2BD8">
            <w:pPr>
              <w:pStyle w:val="TableParagraph"/>
              <w:spacing w:before="35"/>
              <w:ind w:right="109"/>
              <w:jc w:val="right"/>
              <w:rPr>
                <w:rFonts w:ascii="Arial"/>
                <w:sz w:val="16"/>
              </w:rPr>
            </w:pPr>
            <w:r w:rsidRPr="00EB2BD8">
              <w:rPr>
                <w:rFonts w:ascii="Arial"/>
                <w:w w:val="104"/>
                <w:sz w:val="16"/>
              </w:rPr>
              <w:t>-</w:t>
            </w:r>
          </w:p>
        </w:tc>
        <w:tc>
          <w:tcPr>
            <w:tcW w:w="1349" w:type="dxa"/>
            <w:shd w:val="clear" w:color="auto" w:fill="DEEAF6"/>
          </w:tcPr>
          <w:p w14:paraId="63384382" w14:textId="77777777" w:rsidR="00084F36" w:rsidRPr="00EB2BD8" w:rsidRDefault="00EB2BD8">
            <w:pPr>
              <w:pStyle w:val="TableParagraph"/>
              <w:spacing w:before="35"/>
              <w:ind w:right="310"/>
              <w:jc w:val="right"/>
              <w:rPr>
                <w:rFonts w:ascii="Arial"/>
                <w:sz w:val="16"/>
              </w:rPr>
            </w:pPr>
            <w:r w:rsidRPr="00EB2BD8">
              <w:rPr>
                <w:rFonts w:ascii="Arial"/>
                <w:spacing w:val="-2"/>
                <w:w w:val="105"/>
                <w:sz w:val="16"/>
              </w:rPr>
              <w:t>1,733</w:t>
            </w:r>
          </w:p>
        </w:tc>
        <w:tc>
          <w:tcPr>
            <w:tcW w:w="932" w:type="dxa"/>
            <w:shd w:val="clear" w:color="auto" w:fill="DEEAF6"/>
          </w:tcPr>
          <w:p w14:paraId="0082D056" w14:textId="77777777" w:rsidR="00084F36" w:rsidRPr="00EB2BD8" w:rsidRDefault="00EB2BD8">
            <w:pPr>
              <w:pStyle w:val="TableParagraph"/>
              <w:spacing w:before="35"/>
              <w:ind w:right="93"/>
              <w:jc w:val="right"/>
              <w:rPr>
                <w:rFonts w:ascii="Arial"/>
                <w:sz w:val="16"/>
              </w:rPr>
            </w:pPr>
            <w:r w:rsidRPr="00EB2BD8">
              <w:rPr>
                <w:rFonts w:ascii="Arial"/>
                <w:spacing w:val="-2"/>
                <w:w w:val="105"/>
                <w:sz w:val="16"/>
              </w:rPr>
              <w:t>1,733</w:t>
            </w:r>
          </w:p>
        </w:tc>
      </w:tr>
      <w:tr w:rsidR="00EB2BD8" w:rsidRPr="00EB2BD8" w14:paraId="5905300A" w14:textId="77777777">
        <w:trPr>
          <w:trHeight w:val="264"/>
        </w:trPr>
        <w:tc>
          <w:tcPr>
            <w:tcW w:w="4075" w:type="dxa"/>
            <w:shd w:val="clear" w:color="auto" w:fill="DEEAF6"/>
          </w:tcPr>
          <w:p w14:paraId="6845664D" w14:textId="77777777" w:rsidR="00084F36" w:rsidRPr="00EB2BD8" w:rsidRDefault="00EB2BD8">
            <w:pPr>
              <w:pStyle w:val="TableParagraph"/>
              <w:spacing w:before="34"/>
              <w:ind w:left="105"/>
              <w:rPr>
                <w:rFonts w:ascii="Arial"/>
                <w:sz w:val="16"/>
              </w:rPr>
            </w:pPr>
            <w:r w:rsidRPr="00EB2BD8">
              <w:rPr>
                <w:rFonts w:ascii="Arial"/>
                <w:sz w:val="16"/>
              </w:rPr>
              <w:t>Interest-bearing</w:t>
            </w:r>
            <w:r w:rsidRPr="00EB2BD8">
              <w:rPr>
                <w:rFonts w:ascii="Arial"/>
                <w:spacing w:val="40"/>
                <w:sz w:val="16"/>
              </w:rPr>
              <w:t xml:space="preserve"> </w:t>
            </w:r>
            <w:r w:rsidRPr="00EB2BD8">
              <w:rPr>
                <w:rFonts w:ascii="Arial"/>
                <w:spacing w:val="-2"/>
                <w:sz w:val="16"/>
              </w:rPr>
              <w:t>liabilities</w:t>
            </w:r>
          </w:p>
        </w:tc>
        <w:tc>
          <w:tcPr>
            <w:tcW w:w="1827" w:type="dxa"/>
            <w:shd w:val="clear" w:color="auto" w:fill="DEEAF6"/>
          </w:tcPr>
          <w:p w14:paraId="49728D89" w14:textId="77777777" w:rsidR="00084F36" w:rsidRPr="00EB2BD8" w:rsidRDefault="00EB2BD8">
            <w:pPr>
              <w:pStyle w:val="TableParagraph"/>
              <w:spacing w:before="34"/>
              <w:ind w:right="177"/>
              <w:jc w:val="right"/>
              <w:rPr>
                <w:rFonts w:ascii="Arial"/>
                <w:sz w:val="16"/>
              </w:rPr>
            </w:pPr>
            <w:r w:rsidRPr="00EB2BD8">
              <w:rPr>
                <w:rFonts w:ascii="Arial"/>
                <w:w w:val="104"/>
                <w:sz w:val="16"/>
              </w:rPr>
              <w:t>-</w:t>
            </w:r>
          </w:p>
        </w:tc>
        <w:tc>
          <w:tcPr>
            <w:tcW w:w="1104" w:type="dxa"/>
            <w:shd w:val="clear" w:color="auto" w:fill="DEEAF6"/>
          </w:tcPr>
          <w:p w14:paraId="4AAC9A62" w14:textId="77777777" w:rsidR="00084F36" w:rsidRPr="00EB2BD8" w:rsidRDefault="00EB2BD8">
            <w:pPr>
              <w:pStyle w:val="TableParagraph"/>
              <w:spacing w:before="34"/>
              <w:ind w:right="109"/>
              <w:jc w:val="right"/>
              <w:rPr>
                <w:rFonts w:ascii="Arial"/>
                <w:sz w:val="16"/>
              </w:rPr>
            </w:pPr>
            <w:r w:rsidRPr="00EB2BD8">
              <w:rPr>
                <w:rFonts w:ascii="Arial"/>
                <w:w w:val="104"/>
                <w:sz w:val="16"/>
              </w:rPr>
              <w:t>-</w:t>
            </w:r>
          </w:p>
        </w:tc>
        <w:tc>
          <w:tcPr>
            <w:tcW w:w="1349" w:type="dxa"/>
            <w:shd w:val="clear" w:color="auto" w:fill="DEEAF6"/>
          </w:tcPr>
          <w:p w14:paraId="5AAB84BB" w14:textId="77777777" w:rsidR="00084F36" w:rsidRPr="00EB2BD8" w:rsidRDefault="00EB2BD8">
            <w:pPr>
              <w:pStyle w:val="TableParagraph"/>
              <w:spacing w:before="34"/>
              <w:ind w:right="308"/>
              <w:jc w:val="right"/>
              <w:rPr>
                <w:rFonts w:ascii="Arial"/>
                <w:sz w:val="16"/>
              </w:rPr>
            </w:pPr>
            <w:r w:rsidRPr="00EB2BD8">
              <w:rPr>
                <w:rFonts w:ascii="Arial"/>
                <w:spacing w:val="-4"/>
                <w:w w:val="105"/>
                <w:sz w:val="16"/>
              </w:rPr>
              <w:t>5,223</w:t>
            </w:r>
          </w:p>
        </w:tc>
        <w:tc>
          <w:tcPr>
            <w:tcW w:w="932" w:type="dxa"/>
            <w:shd w:val="clear" w:color="auto" w:fill="DEEAF6"/>
          </w:tcPr>
          <w:p w14:paraId="010FDFB1" w14:textId="77777777" w:rsidR="00084F36" w:rsidRPr="00EB2BD8" w:rsidRDefault="00EB2BD8">
            <w:pPr>
              <w:pStyle w:val="TableParagraph"/>
              <w:spacing w:before="34"/>
              <w:ind w:right="93"/>
              <w:jc w:val="right"/>
              <w:rPr>
                <w:rFonts w:ascii="Arial"/>
                <w:sz w:val="16"/>
              </w:rPr>
            </w:pPr>
            <w:r w:rsidRPr="00EB2BD8">
              <w:rPr>
                <w:rFonts w:ascii="Arial"/>
                <w:spacing w:val="-2"/>
                <w:w w:val="105"/>
                <w:sz w:val="16"/>
              </w:rPr>
              <w:t>5,223</w:t>
            </w:r>
          </w:p>
        </w:tc>
      </w:tr>
      <w:tr w:rsidR="00EB2BD8" w:rsidRPr="00EB2BD8" w14:paraId="0073C4E2" w14:textId="77777777">
        <w:trPr>
          <w:trHeight w:val="262"/>
        </w:trPr>
        <w:tc>
          <w:tcPr>
            <w:tcW w:w="4075" w:type="dxa"/>
            <w:tcBorders>
              <w:bottom w:val="single" w:sz="12" w:space="0" w:color="000000"/>
            </w:tcBorders>
            <w:shd w:val="clear" w:color="auto" w:fill="DEEAF6"/>
          </w:tcPr>
          <w:p w14:paraId="3710C5F4" w14:textId="77777777" w:rsidR="00084F36" w:rsidRPr="00EB2BD8" w:rsidRDefault="00EB2BD8">
            <w:pPr>
              <w:pStyle w:val="TableParagraph"/>
              <w:spacing w:before="35"/>
              <w:ind w:left="105"/>
              <w:rPr>
                <w:rFonts w:ascii="Arial"/>
                <w:sz w:val="16"/>
              </w:rPr>
            </w:pPr>
            <w:r w:rsidRPr="00EB2BD8">
              <w:rPr>
                <w:rFonts w:ascii="Arial"/>
                <w:w w:val="105"/>
                <w:sz w:val="16"/>
              </w:rPr>
              <w:t>Security</w:t>
            </w:r>
            <w:r w:rsidRPr="00EB2BD8">
              <w:rPr>
                <w:rFonts w:ascii="Arial"/>
                <w:spacing w:val="-12"/>
                <w:w w:val="105"/>
                <w:sz w:val="16"/>
              </w:rPr>
              <w:t xml:space="preserve"> </w:t>
            </w:r>
            <w:r w:rsidRPr="00EB2BD8">
              <w:rPr>
                <w:rFonts w:ascii="Arial"/>
                <w:spacing w:val="-2"/>
                <w:w w:val="105"/>
                <w:sz w:val="16"/>
              </w:rPr>
              <w:t>deposits</w:t>
            </w:r>
          </w:p>
        </w:tc>
        <w:tc>
          <w:tcPr>
            <w:tcW w:w="1827" w:type="dxa"/>
            <w:tcBorders>
              <w:bottom w:val="single" w:sz="12" w:space="0" w:color="000000"/>
            </w:tcBorders>
            <w:shd w:val="clear" w:color="auto" w:fill="DEEAF6"/>
          </w:tcPr>
          <w:p w14:paraId="1986EA2D" w14:textId="77777777" w:rsidR="00084F36" w:rsidRPr="00EB2BD8" w:rsidRDefault="00EB2BD8">
            <w:pPr>
              <w:pStyle w:val="TableParagraph"/>
              <w:spacing w:before="35"/>
              <w:ind w:right="177"/>
              <w:jc w:val="right"/>
              <w:rPr>
                <w:rFonts w:ascii="Arial"/>
                <w:sz w:val="16"/>
              </w:rPr>
            </w:pPr>
            <w:r w:rsidRPr="00EB2BD8">
              <w:rPr>
                <w:rFonts w:ascii="Arial"/>
                <w:w w:val="104"/>
                <w:sz w:val="16"/>
              </w:rPr>
              <w:t>-</w:t>
            </w:r>
          </w:p>
        </w:tc>
        <w:tc>
          <w:tcPr>
            <w:tcW w:w="1104" w:type="dxa"/>
            <w:tcBorders>
              <w:bottom w:val="single" w:sz="12" w:space="0" w:color="000000"/>
            </w:tcBorders>
            <w:shd w:val="clear" w:color="auto" w:fill="DEEAF6"/>
          </w:tcPr>
          <w:p w14:paraId="67D26D3A" w14:textId="77777777" w:rsidR="00084F36" w:rsidRPr="00EB2BD8" w:rsidRDefault="00EB2BD8">
            <w:pPr>
              <w:pStyle w:val="TableParagraph"/>
              <w:spacing w:before="35"/>
              <w:ind w:right="109"/>
              <w:jc w:val="right"/>
              <w:rPr>
                <w:rFonts w:ascii="Arial"/>
                <w:sz w:val="16"/>
              </w:rPr>
            </w:pPr>
            <w:r w:rsidRPr="00EB2BD8">
              <w:rPr>
                <w:rFonts w:ascii="Arial"/>
                <w:w w:val="104"/>
                <w:sz w:val="16"/>
              </w:rPr>
              <w:t>-</w:t>
            </w:r>
          </w:p>
        </w:tc>
        <w:tc>
          <w:tcPr>
            <w:tcW w:w="1349" w:type="dxa"/>
            <w:tcBorders>
              <w:bottom w:val="single" w:sz="12" w:space="0" w:color="000000"/>
            </w:tcBorders>
            <w:shd w:val="clear" w:color="auto" w:fill="DEEAF6"/>
          </w:tcPr>
          <w:p w14:paraId="0EB542B5" w14:textId="77777777" w:rsidR="00084F36" w:rsidRPr="00EB2BD8" w:rsidRDefault="00EB2BD8">
            <w:pPr>
              <w:pStyle w:val="TableParagraph"/>
              <w:spacing w:before="35"/>
              <w:ind w:right="310"/>
              <w:jc w:val="right"/>
              <w:rPr>
                <w:rFonts w:ascii="Arial"/>
                <w:sz w:val="16"/>
              </w:rPr>
            </w:pPr>
            <w:r w:rsidRPr="00EB2BD8">
              <w:rPr>
                <w:rFonts w:ascii="Arial"/>
                <w:spacing w:val="-2"/>
                <w:w w:val="105"/>
                <w:sz w:val="16"/>
              </w:rPr>
              <w:t>2,976</w:t>
            </w:r>
          </w:p>
        </w:tc>
        <w:tc>
          <w:tcPr>
            <w:tcW w:w="932" w:type="dxa"/>
            <w:tcBorders>
              <w:bottom w:val="single" w:sz="12" w:space="0" w:color="000000"/>
            </w:tcBorders>
            <w:shd w:val="clear" w:color="auto" w:fill="DEEAF6"/>
          </w:tcPr>
          <w:p w14:paraId="5ACCDE2A" w14:textId="77777777" w:rsidR="00084F36" w:rsidRPr="00EB2BD8" w:rsidRDefault="00EB2BD8">
            <w:pPr>
              <w:pStyle w:val="TableParagraph"/>
              <w:spacing w:before="35"/>
              <w:ind w:right="93"/>
              <w:jc w:val="right"/>
              <w:rPr>
                <w:rFonts w:ascii="Arial"/>
                <w:sz w:val="16"/>
              </w:rPr>
            </w:pPr>
            <w:r w:rsidRPr="00EB2BD8">
              <w:rPr>
                <w:rFonts w:ascii="Arial"/>
                <w:spacing w:val="-2"/>
                <w:w w:val="105"/>
                <w:sz w:val="16"/>
              </w:rPr>
              <w:t>2,976</w:t>
            </w:r>
          </w:p>
        </w:tc>
      </w:tr>
      <w:tr w:rsidR="00EB2BD8" w:rsidRPr="00EB2BD8" w14:paraId="3E9789FC" w14:textId="77777777">
        <w:trPr>
          <w:trHeight w:val="234"/>
        </w:trPr>
        <w:tc>
          <w:tcPr>
            <w:tcW w:w="4075" w:type="dxa"/>
            <w:tcBorders>
              <w:top w:val="single" w:sz="12" w:space="0" w:color="000000"/>
              <w:bottom w:val="single" w:sz="12" w:space="0" w:color="000000"/>
            </w:tcBorders>
            <w:shd w:val="clear" w:color="auto" w:fill="DEEAF6"/>
          </w:tcPr>
          <w:p w14:paraId="7454BA7C" w14:textId="77777777" w:rsidR="00084F36" w:rsidRPr="00EB2BD8" w:rsidRDefault="00EB2BD8">
            <w:pPr>
              <w:pStyle w:val="TableParagraph"/>
              <w:spacing w:before="21"/>
              <w:ind w:left="105"/>
              <w:rPr>
                <w:rFonts w:ascii="Arial"/>
                <w:b/>
                <w:sz w:val="16"/>
              </w:rPr>
            </w:pPr>
            <w:r w:rsidRPr="00EB2BD8">
              <w:rPr>
                <w:rFonts w:ascii="Arial"/>
                <w:b/>
                <w:w w:val="105"/>
                <w:sz w:val="16"/>
              </w:rPr>
              <w:t>Total</w:t>
            </w:r>
            <w:r w:rsidRPr="00EB2BD8">
              <w:rPr>
                <w:rFonts w:ascii="Arial"/>
                <w:b/>
                <w:spacing w:val="-10"/>
                <w:w w:val="105"/>
                <w:sz w:val="16"/>
              </w:rPr>
              <w:t xml:space="preserve"> </w:t>
            </w:r>
            <w:r w:rsidRPr="00EB2BD8">
              <w:rPr>
                <w:rFonts w:ascii="Arial"/>
                <w:b/>
                <w:w w:val="105"/>
                <w:sz w:val="16"/>
              </w:rPr>
              <w:t>contractual</w:t>
            </w:r>
            <w:r w:rsidRPr="00EB2BD8">
              <w:rPr>
                <w:rFonts w:ascii="Arial"/>
                <w:b/>
                <w:spacing w:val="-10"/>
                <w:w w:val="105"/>
                <w:sz w:val="16"/>
              </w:rPr>
              <w:t xml:space="preserve"> </w:t>
            </w:r>
            <w:r w:rsidRPr="00EB2BD8">
              <w:rPr>
                <w:rFonts w:ascii="Arial"/>
                <w:b/>
                <w:w w:val="105"/>
                <w:sz w:val="16"/>
              </w:rPr>
              <w:t>financial</w:t>
            </w:r>
            <w:r w:rsidRPr="00EB2BD8">
              <w:rPr>
                <w:rFonts w:ascii="Arial"/>
                <w:b/>
                <w:spacing w:val="-10"/>
                <w:w w:val="105"/>
                <w:sz w:val="16"/>
              </w:rPr>
              <w:t xml:space="preserve"> </w:t>
            </w:r>
            <w:r w:rsidRPr="00EB2BD8">
              <w:rPr>
                <w:rFonts w:ascii="Arial"/>
                <w:b/>
                <w:spacing w:val="-2"/>
                <w:w w:val="105"/>
                <w:sz w:val="16"/>
              </w:rPr>
              <w:t>liabilities</w:t>
            </w:r>
          </w:p>
        </w:tc>
        <w:tc>
          <w:tcPr>
            <w:tcW w:w="1827" w:type="dxa"/>
            <w:tcBorders>
              <w:top w:val="single" w:sz="12" w:space="0" w:color="000000"/>
              <w:bottom w:val="single" w:sz="12" w:space="0" w:color="000000"/>
            </w:tcBorders>
            <w:shd w:val="clear" w:color="auto" w:fill="DEEAF6"/>
          </w:tcPr>
          <w:p w14:paraId="71832393" w14:textId="77777777" w:rsidR="00084F36" w:rsidRPr="00EB2BD8" w:rsidRDefault="00EB2BD8">
            <w:pPr>
              <w:pStyle w:val="TableParagraph"/>
              <w:spacing w:before="21"/>
              <w:ind w:right="177"/>
              <w:jc w:val="right"/>
              <w:rPr>
                <w:rFonts w:ascii="Arial"/>
                <w:b/>
                <w:sz w:val="16"/>
              </w:rPr>
            </w:pPr>
            <w:r w:rsidRPr="00EB2BD8">
              <w:rPr>
                <w:rFonts w:ascii="Arial"/>
                <w:b/>
                <w:w w:val="104"/>
                <w:sz w:val="16"/>
              </w:rPr>
              <w:t>-</w:t>
            </w:r>
          </w:p>
        </w:tc>
        <w:tc>
          <w:tcPr>
            <w:tcW w:w="1104" w:type="dxa"/>
            <w:tcBorders>
              <w:top w:val="single" w:sz="12" w:space="0" w:color="000000"/>
              <w:bottom w:val="single" w:sz="12" w:space="0" w:color="000000"/>
            </w:tcBorders>
            <w:shd w:val="clear" w:color="auto" w:fill="DEEAF6"/>
          </w:tcPr>
          <w:p w14:paraId="4EF8C5CC" w14:textId="77777777" w:rsidR="00084F36" w:rsidRPr="00EB2BD8" w:rsidRDefault="00EB2BD8">
            <w:pPr>
              <w:pStyle w:val="TableParagraph"/>
              <w:spacing w:before="21"/>
              <w:ind w:right="109"/>
              <w:jc w:val="right"/>
              <w:rPr>
                <w:rFonts w:ascii="Arial"/>
                <w:b/>
                <w:sz w:val="16"/>
              </w:rPr>
            </w:pPr>
            <w:r w:rsidRPr="00EB2BD8">
              <w:rPr>
                <w:rFonts w:ascii="Arial"/>
                <w:b/>
                <w:w w:val="104"/>
                <w:sz w:val="16"/>
              </w:rPr>
              <w:t>-</w:t>
            </w:r>
          </w:p>
        </w:tc>
        <w:tc>
          <w:tcPr>
            <w:tcW w:w="1349" w:type="dxa"/>
            <w:tcBorders>
              <w:top w:val="single" w:sz="12" w:space="0" w:color="000000"/>
              <w:bottom w:val="single" w:sz="12" w:space="0" w:color="000000"/>
            </w:tcBorders>
            <w:shd w:val="clear" w:color="auto" w:fill="DEEAF6"/>
          </w:tcPr>
          <w:p w14:paraId="38C905A4" w14:textId="77777777" w:rsidR="00084F36" w:rsidRPr="00EB2BD8" w:rsidRDefault="00EB2BD8">
            <w:pPr>
              <w:pStyle w:val="TableParagraph"/>
              <w:spacing w:before="21"/>
              <w:ind w:right="308"/>
              <w:jc w:val="right"/>
              <w:rPr>
                <w:rFonts w:ascii="Arial"/>
                <w:b/>
                <w:sz w:val="16"/>
              </w:rPr>
            </w:pPr>
            <w:r w:rsidRPr="00EB2BD8">
              <w:rPr>
                <w:rFonts w:ascii="Arial"/>
                <w:b/>
                <w:spacing w:val="-2"/>
                <w:w w:val="105"/>
                <w:sz w:val="16"/>
              </w:rPr>
              <w:t>23,545</w:t>
            </w:r>
          </w:p>
        </w:tc>
        <w:tc>
          <w:tcPr>
            <w:tcW w:w="932" w:type="dxa"/>
            <w:tcBorders>
              <w:top w:val="single" w:sz="12" w:space="0" w:color="000000"/>
              <w:bottom w:val="single" w:sz="12" w:space="0" w:color="000000"/>
            </w:tcBorders>
            <w:shd w:val="clear" w:color="auto" w:fill="DEEAF6"/>
          </w:tcPr>
          <w:p w14:paraId="12EA38F3" w14:textId="77777777" w:rsidR="00084F36" w:rsidRPr="00EB2BD8" w:rsidRDefault="00EB2BD8">
            <w:pPr>
              <w:pStyle w:val="TableParagraph"/>
              <w:spacing w:before="21"/>
              <w:ind w:right="92"/>
              <w:jc w:val="right"/>
              <w:rPr>
                <w:rFonts w:ascii="Arial"/>
                <w:b/>
                <w:sz w:val="16"/>
              </w:rPr>
            </w:pPr>
            <w:r w:rsidRPr="00EB2BD8">
              <w:rPr>
                <w:rFonts w:ascii="Arial"/>
                <w:b/>
                <w:spacing w:val="-2"/>
                <w:w w:val="105"/>
                <w:sz w:val="16"/>
              </w:rPr>
              <w:t>23,545</w:t>
            </w:r>
          </w:p>
        </w:tc>
      </w:tr>
    </w:tbl>
    <w:p w14:paraId="56955BDE" w14:textId="77777777" w:rsidR="00084F36" w:rsidRPr="00EB2BD8" w:rsidRDefault="00084F36">
      <w:pPr>
        <w:pStyle w:val="BodyText"/>
        <w:spacing w:before="6"/>
        <w:rPr>
          <w:rFonts w:ascii="Arial"/>
          <w:sz w:val="25"/>
        </w:rPr>
      </w:pPr>
    </w:p>
    <w:tbl>
      <w:tblPr>
        <w:tblW w:w="0" w:type="auto"/>
        <w:tblInd w:w="996" w:type="dxa"/>
        <w:tblLayout w:type="fixed"/>
        <w:tblCellMar>
          <w:left w:w="0" w:type="dxa"/>
          <w:right w:w="0" w:type="dxa"/>
        </w:tblCellMar>
        <w:tblLook w:val="01E0" w:firstRow="1" w:lastRow="1" w:firstColumn="1" w:lastColumn="1" w:noHBand="0" w:noVBand="0"/>
      </w:tblPr>
      <w:tblGrid>
        <w:gridCol w:w="3954"/>
        <w:gridCol w:w="1949"/>
        <w:gridCol w:w="1105"/>
        <w:gridCol w:w="1351"/>
        <w:gridCol w:w="932"/>
      </w:tblGrid>
      <w:tr w:rsidR="00EB2BD8" w:rsidRPr="00EB2BD8" w14:paraId="68B1285A" w14:textId="77777777">
        <w:trPr>
          <w:trHeight w:val="857"/>
        </w:trPr>
        <w:tc>
          <w:tcPr>
            <w:tcW w:w="3954" w:type="dxa"/>
            <w:tcBorders>
              <w:top w:val="single" w:sz="4" w:space="0" w:color="0098FF"/>
              <w:left w:val="single" w:sz="4" w:space="0" w:color="0098FF"/>
              <w:bottom w:val="single" w:sz="4" w:space="0" w:color="0098FF"/>
            </w:tcBorders>
            <w:shd w:val="clear" w:color="auto" w:fill="0070C0"/>
          </w:tcPr>
          <w:p w14:paraId="3AF22CE3" w14:textId="77777777" w:rsidR="00084F36" w:rsidRPr="00EB2BD8" w:rsidRDefault="00084F36">
            <w:pPr>
              <w:pStyle w:val="TableParagraph"/>
              <w:rPr>
                <w:rFonts w:ascii="Times New Roman"/>
                <w:sz w:val="16"/>
              </w:rPr>
            </w:pPr>
          </w:p>
        </w:tc>
        <w:tc>
          <w:tcPr>
            <w:tcW w:w="1949" w:type="dxa"/>
            <w:tcBorders>
              <w:top w:val="single" w:sz="4" w:space="0" w:color="0098FF"/>
              <w:bottom w:val="single" w:sz="4" w:space="0" w:color="0098FF"/>
            </w:tcBorders>
            <w:shd w:val="clear" w:color="auto" w:fill="0070C0"/>
          </w:tcPr>
          <w:p w14:paraId="77B0E71D" w14:textId="77777777" w:rsidR="00084F36" w:rsidRPr="00EB2BD8" w:rsidRDefault="00084F36">
            <w:pPr>
              <w:pStyle w:val="TableParagraph"/>
              <w:rPr>
                <w:rFonts w:ascii="Arial"/>
                <w:sz w:val="18"/>
              </w:rPr>
            </w:pPr>
          </w:p>
          <w:p w14:paraId="589F3DE4" w14:textId="77777777" w:rsidR="00084F36" w:rsidRPr="00EB2BD8" w:rsidRDefault="00084F36">
            <w:pPr>
              <w:pStyle w:val="TableParagraph"/>
              <w:spacing w:before="9"/>
              <w:rPr>
                <w:rFonts w:ascii="Arial"/>
                <w:sz w:val="21"/>
              </w:rPr>
            </w:pPr>
          </w:p>
          <w:p w14:paraId="7016457E" w14:textId="77777777" w:rsidR="00084F36" w:rsidRPr="00EB2BD8" w:rsidRDefault="00EB2BD8">
            <w:pPr>
              <w:pStyle w:val="TableParagraph"/>
              <w:spacing w:line="190" w:lineRule="atLeast"/>
              <w:ind w:left="1077" w:right="172" w:hanging="65"/>
              <w:rPr>
                <w:rFonts w:ascii="Arial"/>
                <w:b/>
                <w:sz w:val="16"/>
              </w:rPr>
            </w:pPr>
            <w:r w:rsidRPr="00EB2BD8">
              <w:rPr>
                <w:rFonts w:ascii="Arial"/>
                <w:b/>
                <w:w w:val="105"/>
                <w:sz w:val="16"/>
              </w:rPr>
              <w:t>Cash</w:t>
            </w:r>
            <w:r w:rsidRPr="00EB2BD8">
              <w:rPr>
                <w:rFonts w:ascii="Arial"/>
                <w:b/>
                <w:spacing w:val="-12"/>
                <w:w w:val="105"/>
                <w:sz w:val="16"/>
              </w:rPr>
              <w:t xml:space="preserve"> </w:t>
            </w:r>
            <w:r w:rsidRPr="00EB2BD8">
              <w:rPr>
                <w:rFonts w:ascii="Arial"/>
                <w:b/>
                <w:w w:val="105"/>
                <w:sz w:val="16"/>
              </w:rPr>
              <w:t xml:space="preserve">and </w:t>
            </w:r>
            <w:r w:rsidRPr="00EB2BD8">
              <w:rPr>
                <w:rFonts w:ascii="Arial"/>
                <w:b/>
                <w:spacing w:val="-2"/>
                <w:w w:val="105"/>
                <w:sz w:val="16"/>
              </w:rPr>
              <w:t>deposits</w:t>
            </w:r>
          </w:p>
        </w:tc>
        <w:tc>
          <w:tcPr>
            <w:tcW w:w="1105" w:type="dxa"/>
            <w:tcBorders>
              <w:top w:val="single" w:sz="4" w:space="0" w:color="0098FF"/>
              <w:bottom w:val="single" w:sz="4" w:space="0" w:color="0098FF"/>
            </w:tcBorders>
            <w:shd w:val="clear" w:color="auto" w:fill="0070C0"/>
          </w:tcPr>
          <w:p w14:paraId="2174E1AB" w14:textId="77777777" w:rsidR="00084F36" w:rsidRPr="00EB2BD8" w:rsidRDefault="00EB2BD8">
            <w:pPr>
              <w:pStyle w:val="TableParagraph"/>
              <w:spacing w:before="92" w:line="252" w:lineRule="auto"/>
              <w:ind w:left="189" w:right="112" w:firstLine="72"/>
              <w:jc w:val="both"/>
              <w:rPr>
                <w:rFonts w:ascii="Arial"/>
                <w:b/>
                <w:sz w:val="16"/>
              </w:rPr>
            </w:pPr>
            <w:r w:rsidRPr="00EB2BD8">
              <w:rPr>
                <w:rFonts w:ascii="Arial"/>
                <w:b/>
                <w:spacing w:val="-2"/>
                <w:w w:val="105"/>
                <w:sz w:val="16"/>
              </w:rPr>
              <w:t xml:space="preserve">Financial </w:t>
            </w:r>
            <w:r w:rsidRPr="00EB2BD8">
              <w:rPr>
                <w:rFonts w:ascii="Arial"/>
                <w:b/>
                <w:w w:val="105"/>
                <w:sz w:val="16"/>
              </w:rPr>
              <w:t xml:space="preserve">assets at </w:t>
            </w:r>
            <w:r w:rsidRPr="00EB2BD8">
              <w:rPr>
                <w:rFonts w:ascii="Arial"/>
                <w:b/>
                <w:spacing w:val="-2"/>
                <w:w w:val="105"/>
                <w:sz w:val="16"/>
              </w:rPr>
              <w:t>amortised</w:t>
            </w:r>
          </w:p>
          <w:p w14:paraId="1C02305E" w14:textId="77777777" w:rsidR="00084F36" w:rsidRPr="00EB2BD8" w:rsidRDefault="00EB2BD8">
            <w:pPr>
              <w:pStyle w:val="TableParagraph"/>
              <w:spacing w:line="165" w:lineRule="exact"/>
              <w:ind w:left="244"/>
              <w:jc w:val="both"/>
              <w:rPr>
                <w:rFonts w:ascii="Arial"/>
                <w:b/>
                <w:sz w:val="16"/>
              </w:rPr>
            </w:pPr>
            <w:r w:rsidRPr="00EB2BD8">
              <w:rPr>
                <w:rFonts w:ascii="Arial"/>
                <w:b/>
                <w:w w:val="105"/>
                <w:sz w:val="16"/>
              </w:rPr>
              <w:t>cost</w:t>
            </w:r>
            <w:r w:rsidRPr="00EB2BD8">
              <w:rPr>
                <w:rFonts w:ascii="Arial"/>
                <w:b/>
                <w:spacing w:val="-6"/>
                <w:w w:val="105"/>
                <w:sz w:val="16"/>
              </w:rPr>
              <w:t xml:space="preserve"> </w:t>
            </w:r>
            <w:r w:rsidRPr="00EB2BD8">
              <w:rPr>
                <w:rFonts w:ascii="Arial"/>
                <w:b/>
                <w:spacing w:val="-4"/>
                <w:w w:val="105"/>
                <w:sz w:val="16"/>
              </w:rPr>
              <w:t>(AC)</w:t>
            </w:r>
          </w:p>
        </w:tc>
        <w:tc>
          <w:tcPr>
            <w:tcW w:w="1351" w:type="dxa"/>
            <w:tcBorders>
              <w:top w:val="single" w:sz="4" w:space="0" w:color="0098FF"/>
              <w:bottom w:val="single" w:sz="4" w:space="0" w:color="0098FF"/>
            </w:tcBorders>
            <w:shd w:val="clear" w:color="auto" w:fill="0070C0"/>
          </w:tcPr>
          <w:p w14:paraId="1B06586C" w14:textId="77777777" w:rsidR="00084F36" w:rsidRPr="00EB2BD8" w:rsidRDefault="00EB2BD8">
            <w:pPr>
              <w:pStyle w:val="TableParagraph"/>
              <w:spacing w:before="92" w:line="252" w:lineRule="auto"/>
              <w:ind w:left="122" w:right="312" w:firstLine="185"/>
              <w:jc w:val="right"/>
              <w:rPr>
                <w:rFonts w:ascii="Arial"/>
                <w:b/>
                <w:sz w:val="16"/>
              </w:rPr>
            </w:pPr>
            <w:r w:rsidRPr="00EB2BD8">
              <w:rPr>
                <w:rFonts w:ascii="Arial"/>
                <w:b/>
                <w:spacing w:val="-2"/>
                <w:w w:val="105"/>
                <w:sz w:val="16"/>
              </w:rPr>
              <w:t xml:space="preserve">Financial </w:t>
            </w:r>
            <w:r w:rsidRPr="00EB2BD8">
              <w:rPr>
                <w:rFonts w:ascii="Arial"/>
                <w:b/>
                <w:w w:val="105"/>
                <w:sz w:val="16"/>
              </w:rPr>
              <w:t>liabilities</w:t>
            </w:r>
            <w:r w:rsidRPr="00EB2BD8">
              <w:rPr>
                <w:rFonts w:ascii="Arial"/>
                <w:b/>
                <w:spacing w:val="-12"/>
                <w:w w:val="105"/>
                <w:sz w:val="16"/>
              </w:rPr>
              <w:t xml:space="preserve"> </w:t>
            </w:r>
            <w:r w:rsidRPr="00EB2BD8">
              <w:rPr>
                <w:rFonts w:ascii="Arial"/>
                <w:b/>
                <w:w w:val="105"/>
                <w:sz w:val="16"/>
              </w:rPr>
              <w:t xml:space="preserve">at </w:t>
            </w:r>
            <w:r w:rsidRPr="00EB2BD8">
              <w:rPr>
                <w:rFonts w:ascii="Arial"/>
                <w:b/>
                <w:spacing w:val="-2"/>
                <w:w w:val="105"/>
                <w:sz w:val="16"/>
              </w:rPr>
              <w:t>amortised</w:t>
            </w:r>
          </w:p>
          <w:p w14:paraId="5D7AEBA4" w14:textId="77777777" w:rsidR="00084F36" w:rsidRPr="00EB2BD8" w:rsidRDefault="00EB2BD8">
            <w:pPr>
              <w:pStyle w:val="TableParagraph"/>
              <w:spacing w:line="165" w:lineRule="exact"/>
              <w:ind w:right="312"/>
              <w:jc w:val="right"/>
              <w:rPr>
                <w:rFonts w:ascii="Arial"/>
                <w:b/>
                <w:sz w:val="16"/>
              </w:rPr>
            </w:pPr>
            <w:r w:rsidRPr="00EB2BD8">
              <w:rPr>
                <w:rFonts w:ascii="Arial"/>
                <w:b/>
                <w:w w:val="105"/>
                <w:sz w:val="16"/>
              </w:rPr>
              <w:t>cost</w:t>
            </w:r>
            <w:r w:rsidRPr="00EB2BD8">
              <w:rPr>
                <w:rFonts w:ascii="Arial"/>
                <w:b/>
                <w:spacing w:val="-6"/>
                <w:w w:val="105"/>
                <w:sz w:val="16"/>
              </w:rPr>
              <w:t xml:space="preserve"> </w:t>
            </w:r>
            <w:r w:rsidRPr="00EB2BD8">
              <w:rPr>
                <w:rFonts w:ascii="Arial"/>
                <w:b/>
                <w:spacing w:val="-4"/>
                <w:w w:val="105"/>
                <w:sz w:val="16"/>
              </w:rPr>
              <w:t>(AC)</w:t>
            </w:r>
          </w:p>
        </w:tc>
        <w:tc>
          <w:tcPr>
            <w:tcW w:w="932" w:type="dxa"/>
            <w:tcBorders>
              <w:top w:val="single" w:sz="4" w:space="0" w:color="0098FF"/>
              <w:bottom w:val="single" w:sz="4" w:space="0" w:color="0098FF"/>
              <w:right w:val="single" w:sz="4" w:space="0" w:color="0098FF"/>
            </w:tcBorders>
            <w:shd w:val="clear" w:color="auto" w:fill="0070C0"/>
          </w:tcPr>
          <w:p w14:paraId="4FAEEC90" w14:textId="77777777" w:rsidR="00084F36" w:rsidRPr="00EB2BD8" w:rsidRDefault="00084F36">
            <w:pPr>
              <w:pStyle w:val="TableParagraph"/>
              <w:rPr>
                <w:rFonts w:ascii="Arial"/>
                <w:sz w:val="18"/>
              </w:rPr>
            </w:pPr>
          </w:p>
          <w:p w14:paraId="04B61F11" w14:textId="77777777" w:rsidR="00084F36" w:rsidRPr="00EB2BD8" w:rsidRDefault="00084F36">
            <w:pPr>
              <w:pStyle w:val="TableParagraph"/>
              <w:rPr>
                <w:rFonts w:ascii="Arial"/>
                <w:sz w:val="18"/>
              </w:rPr>
            </w:pPr>
          </w:p>
          <w:p w14:paraId="59D27EFB" w14:textId="77777777" w:rsidR="00084F36" w:rsidRPr="00EB2BD8" w:rsidRDefault="00084F36">
            <w:pPr>
              <w:pStyle w:val="TableParagraph"/>
              <w:spacing w:before="5"/>
              <w:rPr>
                <w:rFonts w:ascii="Arial"/>
              </w:rPr>
            </w:pPr>
          </w:p>
          <w:p w14:paraId="7B5E38AC" w14:textId="77777777" w:rsidR="00084F36" w:rsidRPr="00EB2BD8" w:rsidRDefault="00EB2BD8">
            <w:pPr>
              <w:pStyle w:val="TableParagraph"/>
              <w:spacing w:line="165" w:lineRule="exact"/>
              <w:ind w:right="90"/>
              <w:jc w:val="right"/>
              <w:rPr>
                <w:rFonts w:ascii="Arial"/>
                <w:b/>
                <w:sz w:val="16"/>
              </w:rPr>
            </w:pPr>
            <w:r w:rsidRPr="00EB2BD8">
              <w:rPr>
                <w:rFonts w:ascii="Arial"/>
                <w:b/>
                <w:spacing w:val="-4"/>
                <w:w w:val="105"/>
                <w:sz w:val="16"/>
              </w:rPr>
              <w:t>Total</w:t>
            </w:r>
          </w:p>
        </w:tc>
      </w:tr>
      <w:tr w:rsidR="00EB2BD8" w:rsidRPr="00EB2BD8" w14:paraId="0B913B82" w14:textId="77777777">
        <w:trPr>
          <w:trHeight w:val="259"/>
        </w:trPr>
        <w:tc>
          <w:tcPr>
            <w:tcW w:w="3954" w:type="dxa"/>
            <w:tcBorders>
              <w:top w:val="single" w:sz="4" w:space="0" w:color="0098FF"/>
            </w:tcBorders>
            <w:shd w:val="clear" w:color="auto" w:fill="FFFFFF"/>
          </w:tcPr>
          <w:p w14:paraId="6F65E6EC" w14:textId="77777777" w:rsidR="00084F36" w:rsidRPr="00EB2BD8" w:rsidRDefault="00EB2BD8">
            <w:pPr>
              <w:pStyle w:val="TableParagraph"/>
              <w:spacing w:before="37"/>
              <w:ind w:left="105"/>
              <w:rPr>
                <w:rFonts w:ascii="Arial"/>
                <w:b/>
                <w:sz w:val="16"/>
              </w:rPr>
            </w:pPr>
            <w:r w:rsidRPr="00EB2BD8">
              <w:rPr>
                <w:rFonts w:ascii="Arial"/>
                <w:b/>
                <w:spacing w:val="-4"/>
                <w:w w:val="105"/>
                <w:sz w:val="16"/>
              </w:rPr>
              <w:t>2022</w:t>
            </w:r>
          </w:p>
        </w:tc>
        <w:tc>
          <w:tcPr>
            <w:tcW w:w="1949" w:type="dxa"/>
            <w:tcBorders>
              <w:top w:val="single" w:sz="4" w:space="0" w:color="0098FF"/>
            </w:tcBorders>
            <w:shd w:val="clear" w:color="auto" w:fill="FFFFFF"/>
          </w:tcPr>
          <w:p w14:paraId="3358F0F5" w14:textId="77777777" w:rsidR="00084F36" w:rsidRPr="00EB2BD8" w:rsidRDefault="00084F36">
            <w:pPr>
              <w:pStyle w:val="TableParagraph"/>
              <w:rPr>
                <w:rFonts w:ascii="Times New Roman"/>
                <w:sz w:val="16"/>
              </w:rPr>
            </w:pPr>
          </w:p>
        </w:tc>
        <w:tc>
          <w:tcPr>
            <w:tcW w:w="1105" w:type="dxa"/>
            <w:tcBorders>
              <w:top w:val="single" w:sz="4" w:space="0" w:color="0098FF"/>
            </w:tcBorders>
            <w:shd w:val="clear" w:color="auto" w:fill="FFFFFF"/>
          </w:tcPr>
          <w:p w14:paraId="7620BF57" w14:textId="77777777" w:rsidR="00084F36" w:rsidRPr="00EB2BD8" w:rsidRDefault="00084F36">
            <w:pPr>
              <w:pStyle w:val="TableParagraph"/>
              <w:rPr>
                <w:rFonts w:ascii="Times New Roman"/>
                <w:sz w:val="16"/>
              </w:rPr>
            </w:pPr>
          </w:p>
        </w:tc>
        <w:tc>
          <w:tcPr>
            <w:tcW w:w="1351" w:type="dxa"/>
            <w:tcBorders>
              <w:top w:val="single" w:sz="4" w:space="0" w:color="0098FF"/>
            </w:tcBorders>
            <w:shd w:val="clear" w:color="auto" w:fill="FFFFFF"/>
          </w:tcPr>
          <w:p w14:paraId="615972BA" w14:textId="77777777" w:rsidR="00084F36" w:rsidRPr="00EB2BD8" w:rsidRDefault="00084F36">
            <w:pPr>
              <w:pStyle w:val="TableParagraph"/>
              <w:rPr>
                <w:rFonts w:ascii="Times New Roman"/>
                <w:sz w:val="16"/>
              </w:rPr>
            </w:pPr>
          </w:p>
        </w:tc>
        <w:tc>
          <w:tcPr>
            <w:tcW w:w="932" w:type="dxa"/>
            <w:tcBorders>
              <w:top w:val="single" w:sz="4" w:space="0" w:color="0098FF"/>
            </w:tcBorders>
            <w:shd w:val="clear" w:color="auto" w:fill="FFFFFF"/>
          </w:tcPr>
          <w:p w14:paraId="3F9328CE" w14:textId="77777777" w:rsidR="00084F36" w:rsidRPr="00EB2BD8" w:rsidRDefault="00084F36">
            <w:pPr>
              <w:pStyle w:val="TableParagraph"/>
              <w:rPr>
                <w:rFonts w:ascii="Times New Roman"/>
                <w:sz w:val="16"/>
              </w:rPr>
            </w:pPr>
          </w:p>
        </w:tc>
      </w:tr>
      <w:tr w:rsidR="00EB2BD8" w:rsidRPr="00EB2BD8" w14:paraId="1AD81E7C" w14:textId="77777777">
        <w:trPr>
          <w:trHeight w:val="263"/>
        </w:trPr>
        <w:tc>
          <w:tcPr>
            <w:tcW w:w="3954" w:type="dxa"/>
            <w:shd w:val="clear" w:color="auto" w:fill="FFFFFF"/>
          </w:tcPr>
          <w:p w14:paraId="5DA4A771" w14:textId="77777777" w:rsidR="00084F36" w:rsidRPr="00EB2BD8" w:rsidRDefault="00EB2BD8">
            <w:pPr>
              <w:pStyle w:val="TableParagraph"/>
              <w:spacing w:before="38"/>
              <w:ind w:left="105"/>
              <w:rPr>
                <w:rFonts w:ascii="Arial"/>
                <w:b/>
                <w:sz w:val="16"/>
              </w:rPr>
            </w:pPr>
            <w:r w:rsidRPr="00EB2BD8">
              <w:rPr>
                <w:rFonts w:ascii="Arial"/>
                <w:b/>
                <w:spacing w:val="-2"/>
                <w:w w:val="105"/>
                <w:sz w:val="16"/>
              </w:rPr>
              <w:t>Contractual</w:t>
            </w:r>
            <w:r w:rsidRPr="00EB2BD8">
              <w:rPr>
                <w:rFonts w:ascii="Arial"/>
                <w:b/>
                <w:spacing w:val="8"/>
                <w:w w:val="105"/>
                <w:sz w:val="16"/>
              </w:rPr>
              <w:t xml:space="preserve"> </w:t>
            </w:r>
            <w:r w:rsidRPr="00EB2BD8">
              <w:rPr>
                <w:rFonts w:ascii="Arial"/>
                <w:b/>
                <w:spacing w:val="-2"/>
                <w:w w:val="105"/>
                <w:sz w:val="16"/>
              </w:rPr>
              <w:t>financial</w:t>
            </w:r>
            <w:r w:rsidRPr="00EB2BD8">
              <w:rPr>
                <w:rFonts w:ascii="Arial"/>
                <w:b/>
                <w:spacing w:val="8"/>
                <w:w w:val="105"/>
                <w:sz w:val="16"/>
              </w:rPr>
              <w:t xml:space="preserve"> </w:t>
            </w:r>
            <w:r w:rsidRPr="00EB2BD8">
              <w:rPr>
                <w:rFonts w:ascii="Arial"/>
                <w:b/>
                <w:spacing w:val="-2"/>
                <w:w w:val="105"/>
                <w:sz w:val="16"/>
              </w:rPr>
              <w:t>assets</w:t>
            </w:r>
          </w:p>
        </w:tc>
        <w:tc>
          <w:tcPr>
            <w:tcW w:w="1949" w:type="dxa"/>
            <w:shd w:val="clear" w:color="auto" w:fill="FFFFFF"/>
          </w:tcPr>
          <w:p w14:paraId="10B88341" w14:textId="77777777" w:rsidR="00084F36" w:rsidRPr="00EB2BD8" w:rsidRDefault="00084F36">
            <w:pPr>
              <w:pStyle w:val="TableParagraph"/>
              <w:rPr>
                <w:rFonts w:ascii="Times New Roman"/>
                <w:sz w:val="16"/>
              </w:rPr>
            </w:pPr>
          </w:p>
        </w:tc>
        <w:tc>
          <w:tcPr>
            <w:tcW w:w="1105" w:type="dxa"/>
            <w:shd w:val="clear" w:color="auto" w:fill="FFFFFF"/>
          </w:tcPr>
          <w:p w14:paraId="119008FE" w14:textId="77777777" w:rsidR="00084F36" w:rsidRPr="00EB2BD8" w:rsidRDefault="00084F36">
            <w:pPr>
              <w:pStyle w:val="TableParagraph"/>
              <w:rPr>
                <w:rFonts w:ascii="Times New Roman"/>
                <w:sz w:val="16"/>
              </w:rPr>
            </w:pPr>
          </w:p>
        </w:tc>
        <w:tc>
          <w:tcPr>
            <w:tcW w:w="1351" w:type="dxa"/>
            <w:shd w:val="clear" w:color="auto" w:fill="FFFFFF"/>
          </w:tcPr>
          <w:p w14:paraId="5DB5AA79" w14:textId="77777777" w:rsidR="00084F36" w:rsidRPr="00EB2BD8" w:rsidRDefault="00084F36">
            <w:pPr>
              <w:pStyle w:val="TableParagraph"/>
              <w:rPr>
                <w:rFonts w:ascii="Times New Roman"/>
                <w:sz w:val="16"/>
              </w:rPr>
            </w:pPr>
          </w:p>
        </w:tc>
        <w:tc>
          <w:tcPr>
            <w:tcW w:w="932" w:type="dxa"/>
            <w:shd w:val="clear" w:color="auto" w:fill="FFFFFF"/>
          </w:tcPr>
          <w:p w14:paraId="1D59D89F" w14:textId="77777777" w:rsidR="00084F36" w:rsidRPr="00EB2BD8" w:rsidRDefault="00084F36">
            <w:pPr>
              <w:pStyle w:val="TableParagraph"/>
              <w:rPr>
                <w:rFonts w:ascii="Times New Roman"/>
                <w:sz w:val="16"/>
              </w:rPr>
            </w:pPr>
          </w:p>
        </w:tc>
      </w:tr>
      <w:tr w:rsidR="00EB2BD8" w:rsidRPr="00EB2BD8" w14:paraId="04632618" w14:textId="77777777">
        <w:trPr>
          <w:trHeight w:val="262"/>
        </w:trPr>
        <w:tc>
          <w:tcPr>
            <w:tcW w:w="3954" w:type="dxa"/>
            <w:shd w:val="clear" w:color="auto" w:fill="FFFFFF"/>
          </w:tcPr>
          <w:p w14:paraId="701642E7" w14:textId="77777777" w:rsidR="00084F36" w:rsidRPr="00EB2BD8" w:rsidRDefault="00EB2BD8">
            <w:pPr>
              <w:pStyle w:val="TableParagraph"/>
              <w:spacing w:before="41"/>
              <w:ind w:left="105"/>
              <w:rPr>
                <w:rFonts w:ascii="Arial"/>
                <w:sz w:val="16"/>
              </w:rPr>
            </w:pPr>
            <w:r w:rsidRPr="00EB2BD8">
              <w:rPr>
                <w:rFonts w:ascii="Arial"/>
                <w:w w:val="105"/>
                <w:sz w:val="16"/>
              </w:rPr>
              <w:t>Cash</w:t>
            </w:r>
            <w:r w:rsidRPr="00EB2BD8">
              <w:rPr>
                <w:rFonts w:ascii="Arial"/>
                <w:spacing w:val="-5"/>
                <w:w w:val="105"/>
                <w:sz w:val="16"/>
              </w:rPr>
              <w:t xml:space="preserve"> </w:t>
            </w:r>
            <w:r w:rsidRPr="00EB2BD8">
              <w:rPr>
                <w:rFonts w:ascii="Arial"/>
                <w:w w:val="105"/>
                <w:sz w:val="16"/>
              </w:rPr>
              <w:t>and</w:t>
            </w:r>
            <w:r w:rsidRPr="00EB2BD8">
              <w:rPr>
                <w:rFonts w:ascii="Arial"/>
                <w:spacing w:val="-5"/>
                <w:w w:val="105"/>
                <w:sz w:val="16"/>
              </w:rPr>
              <w:t xml:space="preserve"> </w:t>
            </w:r>
            <w:r w:rsidRPr="00EB2BD8">
              <w:rPr>
                <w:rFonts w:ascii="Arial"/>
                <w:spacing w:val="-2"/>
                <w:w w:val="105"/>
                <w:sz w:val="16"/>
              </w:rPr>
              <w:t>deposits</w:t>
            </w:r>
          </w:p>
        </w:tc>
        <w:tc>
          <w:tcPr>
            <w:tcW w:w="1949" w:type="dxa"/>
            <w:shd w:val="clear" w:color="auto" w:fill="FFFFFF"/>
          </w:tcPr>
          <w:p w14:paraId="2111792D" w14:textId="77777777" w:rsidR="00084F36" w:rsidRPr="00EB2BD8" w:rsidRDefault="00EB2BD8">
            <w:pPr>
              <w:pStyle w:val="TableParagraph"/>
              <w:spacing w:before="41"/>
              <w:ind w:right="179"/>
              <w:jc w:val="right"/>
              <w:rPr>
                <w:rFonts w:ascii="Arial"/>
                <w:sz w:val="16"/>
              </w:rPr>
            </w:pPr>
            <w:r w:rsidRPr="00EB2BD8">
              <w:rPr>
                <w:rFonts w:ascii="Arial"/>
                <w:spacing w:val="-2"/>
                <w:w w:val="105"/>
                <w:sz w:val="16"/>
              </w:rPr>
              <w:t>39,542</w:t>
            </w:r>
          </w:p>
        </w:tc>
        <w:tc>
          <w:tcPr>
            <w:tcW w:w="1105" w:type="dxa"/>
            <w:shd w:val="clear" w:color="auto" w:fill="FFFFFF"/>
          </w:tcPr>
          <w:p w14:paraId="3662847F" w14:textId="77777777" w:rsidR="00084F36" w:rsidRPr="00EB2BD8" w:rsidRDefault="00EB2BD8">
            <w:pPr>
              <w:pStyle w:val="TableParagraph"/>
              <w:spacing w:before="41"/>
              <w:ind w:right="110"/>
              <w:jc w:val="right"/>
              <w:rPr>
                <w:rFonts w:ascii="Arial"/>
                <w:sz w:val="16"/>
              </w:rPr>
            </w:pPr>
            <w:r w:rsidRPr="00EB2BD8">
              <w:rPr>
                <w:rFonts w:ascii="Arial"/>
                <w:w w:val="104"/>
                <w:sz w:val="16"/>
              </w:rPr>
              <w:t>-</w:t>
            </w:r>
          </w:p>
        </w:tc>
        <w:tc>
          <w:tcPr>
            <w:tcW w:w="1351" w:type="dxa"/>
            <w:shd w:val="clear" w:color="auto" w:fill="FFFFFF"/>
          </w:tcPr>
          <w:p w14:paraId="7C81CB1C" w14:textId="77777777" w:rsidR="00084F36" w:rsidRPr="00EB2BD8" w:rsidRDefault="00EB2BD8">
            <w:pPr>
              <w:pStyle w:val="TableParagraph"/>
              <w:spacing w:before="41"/>
              <w:ind w:right="310"/>
              <w:jc w:val="right"/>
              <w:rPr>
                <w:rFonts w:ascii="Arial"/>
                <w:sz w:val="16"/>
              </w:rPr>
            </w:pPr>
            <w:r w:rsidRPr="00EB2BD8">
              <w:rPr>
                <w:rFonts w:ascii="Arial"/>
                <w:w w:val="104"/>
                <w:sz w:val="16"/>
              </w:rPr>
              <w:t>-</w:t>
            </w:r>
          </w:p>
        </w:tc>
        <w:tc>
          <w:tcPr>
            <w:tcW w:w="932" w:type="dxa"/>
            <w:shd w:val="clear" w:color="auto" w:fill="FFFFFF"/>
          </w:tcPr>
          <w:p w14:paraId="1A59DC3F" w14:textId="77777777" w:rsidR="00084F36" w:rsidRPr="00EB2BD8" w:rsidRDefault="00EB2BD8">
            <w:pPr>
              <w:pStyle w:val="TableParagraph"/>
              <w:spacing w:before="41"/>
              <w:ind w:right="96"/>
              <w:jc w:val="right"/>
              <w:rPr>
                <w:rFonts w:ascii="Arial"/>
                <w:sz w:val="16"/>
              </w:rPr>
            </w:pPr>
            <w:r w:rsidRPr="00EB2BD8">
              <w:rPr>
                <w:rFonts w:ascii="Arial"/>
                <w:spacing w:val="-2"/>
                <w:w w:val="105"/>
                <w:sz w:val="16"/>
              </w:rPr>
              <w:t>39,542</w:t>
            </w:r>
          </w:p>
        </w:tc>
      </w:tr>
      <w:tr w:rsidR="00EB2BD8" w:rsidRPr="00EB2BD8" w14:paraId="209DDE1F" w14:textId="77777777">
        <w:trPr>
          <w:trHeight w:val="264"/>
        </w:trPr>
        <w:tc>
          <w:tcPr>
            <w:tcW w:w="3954" w:type="dxa"/>
            <w:tcBorders>
              <w:bottom w:val="single" w:sz="12" w:space="0" w:color="000000"/>
            </w:tcBorders>
            <w:shd w:val="clear" w:color="auto" w:fill="FFFFFF"/>
          </w:tcPr>
          <w:p w14:paraId="6AB92BF3" w14:textId="77777777" w:rsidR="00084F36" w:rsidRPr="00EB2BD8" w:rsidRDefault="00EB2BD8">
            <w:pPr>
              <w:pStyle w:val="TableParagraph"/>
              <w:spacing w:before="29"/>
              <w:ind w:left="104"/>
              <w:rPr>
                <w:rFonts w:ascii="Arial"/>
                <w:sz w:val="11"/>
              </w:rPr>
            </w:pPr>
            <w:r w:rsidRPr="00EB2BD8">
              <w:rPr>
                <w:rFonts w:ascii="Arial"/>
                <w:spacing w:val="-2"/>
                <w:w w:val="105"/>
                <w:sz w:val="16"/>
              </w:rPr>
              <w:t>Receivables</w:t>
            </w:r>
            <w:r w:rsidRPr="00EB2BD8">
              <w:rPr>
                <w:rFonts w:ascii="Arial"/>
                <w:spacing w:val="-2"/>
                <w:w w:val="105"/>
                <w:position w:val="6"/>
                <w:sz w:val="11"/>
              </w:rPr>
              <w:t>(a)</w:t>
            </w:r>
          </w:p>
        </w:tc>
        <w:tc>
          <w:tcPr>
            <w:tcW w:w="1949" w:type="dxa"/>
            <w:tcBorders>
              <w:bottom w:val="single" w:sz="12" w:space="0" w:color="000000"/>
            </w:tcBorders>
            <w:shd w:val="clear" w:color="auto" w:fill="FFFFFF"/>
          </w:tcPr>
          <w:p w14:paraId="5CD8032F" w14:textId="77777777" w:rsidR="00084F36" w:rsidRPr="00EB2BD8" w:rsidRDefault="00EB2BD8">
            <w:pPr>
              <w:pStyle w:val="TableParagraph"/>
              <w:spacing w:before="43"/>
              <w:ind w:right="177"/>
              <w:jc w:val="right"/>
              <w:rPr>
                <w:rFonts w:ascii="Arial"/>
                <w:sz w:val="16"/>
              </w:rPr>
            </w:pPr>
            <w:r w:rsidRPr="00EB2BD8">
              <w:rPr>
                <w:rFonts w:ascii="Arial"/>
                <w:w w:val="104"/>
                <w:sz w:val="16"/>
              </w:rPr>
              <w:t>-</w:t>
            </w:r>
          </w:p>
        </w:tc>
        <w:tc>
          <w:tcPr>
            <w:tcW w:w="1105" w:type="dxa"/>
            <w:tcBorders>
              <w:bottom w:val="single" w:sz="12" w:space="0" w:color="000000"/>
            </w:tcBorders>
            <w:shd w:val="clear" w:color="auto" w:fill="FFFFFF"/>
          </w:tcPr>
          <w:p w14:paraId="65FF1038" w14:textId="77777777" w:rsidR="00084F36" w:rsidRPr="00EB2BD8" w:rsidRDefault="00EB2BD8">
            <w:pPr>
              <w:pStyle w:val="TableParagraph"/>
              <w:spacing w:before="43"/>
              <w:ind w:right="111"/>
              <w:jc w:val="right"/>
              <w:rPr>
                <w:rFonts w:ascii="Arial"/>
                <w:sz w:val="16"/>
              </w:rPr>
            </w:pPr>
            <w:r w:rsidRPr="00EB2BD8">
              <w:rPr>
                <w:rFonts w:ascii="Arial"/>
                <w:spacing w:val="-5"/>
                <w:w w:val="105"/>
                <w:sz w:val="16"/>
              </w:rPr>
              <w:t>340</w:t>
            </w:r>
          </w:p>
        </w:tc>
        <w:tc>
          <w:tcPr>
            <w:tcW w:w="1351" w:type="dxa"/>
            <w:tcBorders>
              <w:bottom w:val="single" w:sz="12" w:space="0" w:color="000000"/>
            </w:tcBorders>
            <w:shd w:val="clear" w:color="auto" w:fill="FFFFFF"/>
          </w:tcPr>
          <w:p w14:paraId="051E0EA3" w14:textId="77777777" w:rsidR="00084F36" w:rsidRPr="00EB2BD8" w:rsidRDefault="00EB2BD8">
            <w:pPr>
              <w:pStyle w:val="TableParagraph"/>
              <w:spacing w:before="43"/>
              <w:ind w:right="310"/>
              <w:jc w:val="right"/>
              <w:rPr>
                <w:rFonts w:ascii="Arial"/>
                <w:sz w:val="16"/>
              </w:rPr>
            </w:pPr>
            <w:r w:rsidRPr="00EB2BD8">
              <w:rPr>
                <w:rFonts w:ascii="Arial"/>
                <w:w w:val="104"/>
                <w:sz w:val="16"/>
              </w:rPr>
              <w:t>-</w:t>
            </w:r>
          </w:p>
        </w:tc>
        <w:tc>
          <w:tcPr>
            <w:tcW w:w="932" w:type="dxa"/>
            <w:tcBorders>
              <w:bottom w:val="single" w:sz="12" w:space="0" w:color="000000"/>
            </w:tcBorders>
            <w:shd w:val="clear" w:color="auto" w:fill="FFFFFF"/>
          </w:tcPr>
          <w:p w14:paraId="6D2431F8" w14:textId="77777777" w:rsidR="00084F36" w:rsidRPr="00EB2BD8" w:rsidRDefault="00EB2BD8">
            <w:pPr>
              <w:pStyle w:val="TableParagraph"/>
              <w:spacing w:before="43"/>
              <w:ind w:right="96"/>
              <w:jc w:val="right"/>
              <w:rPr>
                <w:rFonts w:ascii="Arial"/>
                <w:sz w:val="16"/>
              </w:rPr>
            </w:pPr>
            <w:r w:rsidRPr="00EB2BD8">
              <w:rPr>
                <w:rFonts w:ascii="Arial"/>
                <w:spacing w:val="-5"/>
                <w:w w:val="105"/>
                <w:sz w:val="16"/>
              </w:rPr>
              <w:t>340</w:t>
            </w:r>
          </w:p>
        </w:tc>
      </w:tr>
      <w:tr w:rsidR="00EB2BD8" w:rsidRPr="00EB2BD8" w14:paraId="7BD3FDAC" w14:textId="77777777">
        <w:trPr>
          <w:trHeight w:val="234"/>
        </w:trPr>
        <w:tc>
          <w:tcPr>
            <w:tcW w:w="3954" w:type="dxa"/>
            <w:tcBorders>
              <w:top w:val="single" w:sz="12" w:space="0" w:color="000000"/>
              <w:bottom w:val="single" w:sz="12" w:space="0" w:color="000000"/>
            </w:tcBorders>
            <w:shd w:val="clear" w:color="auto" w:fill="FFFFFF"/>
          </w:tcPr>
          <w:p w14:paraId="635F1BCF" w14:textId="77777777" w:rsidR="00084F36" w:rsidRPr="00EB2BD8" w:rsidRDefault="00EB2BD8">
            <w:pPr>
              <w:pStyle w:val="TableParagraph"/>
              <w:spacing w:before="27"/>
              <w:ind w:left="105"/>
              <w:rPr>
                <w:rFonts w:ascii="Arial"/>
                <w:b/>
                <w:sz w:val="16"/>
              </w:rPr>
            </w:pPr>
            <w:r w:rsidRPr="00EB2BD8">
              <w:rPr>
                <w:rFonts w:ascii="Arial"/>
                <w:b/>
                <w:w w:val="105"/>
                <w:sz w:val="16"/>
              </w:rPr>
              <w:t>Total</w:t>
            </w:r>
            <w:r w:rsidRPr="00EB2BD8">
              <w:rPr>
                <w:rFonts w:ascii="Arial"/>
                <w:b/>
                <w:spacing w:val="-10"/>
                <w:w w:val="105"/>
                <w:sz w:val="16"/>
              </w:rPr>
              <w:t xml:space="preserve"> </w:t>
            </w:r>
            <w:r w:rsidRPr="00EB2BD8">
              <w:rPr>
                <w:rFonts w:ascii="Arial"/>
                <w:b/>
                <w:w w:val="105"/>
                <w:sz w:val="16"/>
              </w:rPr>
              <w:t>contractual</w:t>
            </w:r>
            <w:r w:rsidRPr="00EB2BD8">
              <w:rPr>
                <w:rFonts w:ascii="Arial"/>
                <w:b/>
                <w:spacing w:val="-10"/>
                <w:w w:val="105"/>
                <w:sz w:val="16"/>
              </w:rPr>
              <w:t xml:space="preserve"> </w:t>
            </w:r>
            <w:r w:rsidRPr="00EB2BD8">
              <w:rPr>
                <w:rFonts w:ascii="Arial"/>
                <w:b/>
                <w:w w:val="105"/>
                <w:sz w:val="16"/>
              </w:rPr>
              <w:t>financial</w:t>
            </w:r>
            <w:r w:rsidRPr="00EB2BD8">
              <w:rPr>
                <w:rFonts w:ascii="Arial"/>
                <w:b/>
                <w:spacing w:val="-9"/>
                <w:w w:val="105"/>
                <w:sz w:val="16"/>
              </w:rPr>
              <w:t xml:space="preserve"> </w:t>
            </w:r>
            <w:r w:rsidRPr="00EB2BD8">
              <w:rPr>
                <w:rFonts w:ascii="Arial"/>
                <w:b/>
                <w:spacing w:val="-2"/>
                <w:w w:val="105"/>
                <w:sz w:val="16"/>
              </w:rPr>
              <w:t>assets</w:t>
            </w:r>
          </w:p>
        </w:tc>
        <w:tc>
          <w:tcPr>
            <w:tcW w:w="1949" w:type="dxa"/>
            <w:tcBorders>
              <w:top w:val="single" w:sz="12" w:space="0" w:color="000000"/>
              <w:bottom w:val="single" w:sz="12" w:space="0" w:color="000000"/>
            </w:tcBorders>
            <w:shd w:val="clear" w:color="auto" w:fill="FFFFFF"/>
          </w:tcPr>
          <w:p w14:paraId="52BAB827" w14:textId="77777777" w:rsidR="00084F36" w:rsidRPr="00EB2BD8" w:rsidRDefault="00EB2BD8">
            <w:pPr>
              <w:pStyle w:val="TableParagraph"/>
              <w:spacing w:before="27"/>
              <w:ind w:right="179"/>
              <w:jc w:val="right"/>
              <w:rPr>
                <w:rFonts w:ascii="Arial"/>
                <w:b/>
                <w:sz w:val="16"/>
              </w:rPr>
            </w:pPr>
            <w:r w:rsidRPr="00EB2BD8">
              <w:rPr>
                <w:rFonts w:ascii="Arial"/>
                <w:b/>
                <w:spacing w:val="-2"/>
                <w:w w:val="105"/>
                <w:sz w:val="16"/>
              </w:rPr>
              <w:t>39,542</w:t>
            </w:r>
          </w:p>
        </w:tc>
        <w:tc>
          <w:tcPr>
            <w:tcW w:w="1105" w:type="dxa"/>
            <w:tcBorders>
              <w:top w:val="single" w:sz="12" w:space="0" w:color="000000"/>
              <w:bottom w:val="single" w:sz="12" w:space="0" w:color="000000"/>
            </w:tcBorders>
            <w:shd w:val="clear" w:color="auto" w:fill="FFFFFF"/>
          </w:tcPr>
          <w:p w14:paraId="603795D8" w14:textId="77777777" w:rsidR="00084F36" w:rsidRPr="00EB2BD8" w:rsidRDefault="00EB2BD8">
            <w:pPr>
              <w:pStyle w:val="TableParagraph"/>
              <w:spacing w:before="27"/>
              <w:ind w:right="111"/>
              <w:jc w:val="right"/>
              <w:rPr>
                <w:rFonts w:ascii="Arial"/>
                <w:b/>
                <w:sz w:val="16"/>
              </w:rPr>
            </w:pPr>
            <w:r w:rsidRPr="00EB2BD8">
              <w:rPr>
                <w:rFonts w:ascii="Arial"/>
                <w:b/>
                <w:spacing w:val="-5"/>
                <w:w w:val="105"/>
                <w:sz w:val="16"/>
              </w:rPr>
              <w:t>340</w:t>
            </w:r>
          </w:p>
        </w:tc>
        <w:tc>
          <w:tcPr>
            <w:tcW w:w="1351" w:type="dxa"/>
            <w:tcBorders>
              <w:top w:val="single" w:sz="12" w:space="0" w:color="000000"/>
              <w:bottom w:val="single" w:sz="12" w:space="0" w:color="000000"/>
            </w:tcBorders>
            <w:shd w:val="clear" w:color="auto" w:fill="FFFFFF"/>
          </w:tcPr>
          <w:p w14:paraId="4F7C6BF7" w14:textId="77777777" w:rsidR="00084F36" w:rsidRPr="00EB2BD8" w:rsidRDefault="00EB2BD8">
            <w:pPr>
              <w:pStyle w:val="TableParagraph"/>
              <w:spacing w:before="27"/>
              <w:ind w:right="310"/>
              <w:jc w:val="right"/>
              <w:rPr>
                <w:rFonts w:ascii="Arial"/>
                <w:b/>
                <w:sz w:val="16"/>
              </w:rPr>
            </w:pPr>
            <w:r w:rsidRPr="00EB2BD8">
              <w:rPr>
                <w:rFonts w:ascii="Arial"/>
                <w:b/>
                <w:w w:val="104"/>
                <w:sz w:val="16"/>
              </w:rPr>
              <w:t>-</w:t>
            </w:r>
          </w:p>
        </w:tc>
        <w:tc>
          <w:tcPr>
            <w:tcW w:w="932" w:type="dxa"/>
            <w:tcBorders>
              <w:top w:val="single" w:sz="12" w:space="0" w:color="000000"/>
              <w:bottom w:val="single" w:sz="12" w:space="0" w:color="000000"/>
            </w:tcBorders>
            <w:shd w:val="clear" w:color="auto" w:fill="FFFFFF"/>
          </w:tcPr>
          <w:p w14:paraId="7346BD2B" w14:textId="77777777" w:rsidR="00084F36" w:rsidRPr="00EB2BD8" w:rsidRDefault="00EB2BD8">
            <w:pPr>
              <w:pStyle w:val="TableParagraph"/>
              <w:spacing w:before="27"/>
              <w:ind w:right="96"/>
              <w:jc w:val="right"/>
              <w:rPr>
                <w:rFonts w:ascii="Arial"/>
                <w:b/>
                <w:sz w:val="16"/>
              </w:rPr>
            </w:pPr>
            <w:r w:rsidRPr="00EB2BD8">
              <w:rPr>
                <w:rFonts w:ascii="Arial"/>
                <w:b/>
                <w:spacing w:val="-2"/>
                <w:w w:val="105"/>
                <w:sz w:val="16"/>
              </w:rPr>
              <w:t>39,882</w:t>
            </w:r>
          </w:p>
        </w:tc>
      </w:tr>
      <w:tr w:rsidR="00EB2BD8" w:rsidRPr="00EB2BD8" w14:paraId="3DD977F3" w14:textId="77777777">
        <w:trPr>
          <w:trHeight w:val="245"/>
        </w:trPr>
        <w:tc>
          <w:tcPr>
            <w:tcW w:w="3954" w:type="dxa"/>
            <w:tcBorders>
              <w:top w:val="single" w:sz="12" w:space="0" w:color="000000"/>
            </w:tcBorders>
            <w:shd w:val="clear" w:color="auto" w:fill="FFFFFF"/>
          </w:tcPr>
          <w:p w14:paraId="0EB7B4C9" w14:textId="77777777" w:rsidR="00084F36" w:rsidRPr="00EB2BD8" w:rsidRDefault="00EB2BD8">
            <w:pPr>
              <w:pStyle w:val="TableParagraph"/>
              <w:spacing w:before="28"/>
              <w:ind w:left="105"/>
              <w:rPr>
                <w:rFonts w:ascii="Arial"/>
                <w:b/>
                <w:sz w:val="16"/>
              </w:rPr>
            </w:pPr>
            <w:r w:rsidRPr="00EB2BD8">
              <w:rPr>
                <w:rFonts w:ascii="Arial"/>
                <w:b/>
                <w:spacing w:val="-2"/>
                <w:w w:val="105"/>
                <w:sz w:val="16"/>
              </w:rPr>
              <w:t>Contractual</w:t>
            </w:r>
            <w:r w:rsidRPr="00EB2BD8">
              <w:rPr>
                <w:rFonts w:ascii="Arial"/>
                <w:b/>
                <w:spacing w:val="8"/>
                <w:w w:val="105"/>
                <w:sz w:val="16"/>
              </w:rPr>
              <w:t xml:space="preserve"> </w:t>
            </w:r>
            <w:r w:rsidRPr="00EB2BD8">
              <w:rPr>
                <w:rFonts w:ascii="Arial"/>
                <w:b/>
                <w:spacing w:val="-2"/>
                <w:w w:val="105"/>
                <w:sz w:val="16"/>
              </w:rPr>
              <w:t>financial</w:t>
            </w:r>
            <w:r w:rsidRPr="00EB2BD8">
              <w:rPr>
                <w:rFonts w:ascii="Arial"/>
                <w:b/>
                <w:spacing w:val="8"/>
                <w:w w:val="105"/>
                <w:sz w:val="16"/>
              </w:rPr>
              <w:t xml:space="preserve"> </w:t>
            </w:r>
            <w:r w:rsidRPr="00EB2BD8">
              <w:rPr>
                <w:rFonts w:ascii="Arial"/>
                <w:b/>
                <w:spacing w:val="-2"/>
                <w:w w:val="105"/>
                <w:sz w:val="16"/>
              </w:rPr>
              <w:t>liabilities</w:t>
            </w:r>
          </w:p>
        </w:tc>
        <w:tc>
          <w:tcPr>
            <w:tcW w:w="1949" w:type="dxa"/>
            <w:tcBorders>
              <w:top w:val="single" w:sz="12" w:space="0" w:color="000000"/>
            </w:tcBorders>
            <w:shd w:val="clear" w:color="auto" w:fill="FFFFFF"/>
          </w:tcPr>
          <w:p w14:paraId="389F3BE4" w14:textId="77777777" w:rsidR="00084F36" w:rsidRPr="00EB2BD8" w:rsidRDefault="00084F36">
            <w:pPr>
              <w:pStyle w:val="TableParagraph"/>
              <w:rPr>
                <w:rFonts w:ascii="Times New Roman"/>
                <w:sz w:val="16"/>
              </w:rPr>
            </w:pPr>
          </w:p>
        </w:tc>
        <w:tc>
          <w:tcPr>
            <w:tcW w:w="1105" w:type="dxa"/>
            <w:tcBorders>
              <w:top w:val="single" w:sz="12" w:space="0" w:color="000000"/>
            </w:tcBorders>
            <w:shd w:val="clear" w:color="auto" w:fill="FFFFFF"/>
          </w:tcPr>
          <w:p w14:paraId="4FC96E7F" w14:textId="77777777" w:rsidR="00084F36" w:rsidRPr="00EB2BD8" w:rsidRDefault="00084F36">
            <w:pPr>
              <w:pStyle w:val="TableParagraph"/>
              <w:rPr>
                <w:rFonts w:ascii="Times New Roman"/>
                <w:sz w:val="16"/>
              </w:rPr>
            </w:pPr>
          </w:p>
        </w:tc>
        <w:tc>
          <w:tcPr>
            <w:tcW w:w="1351" w:type="dxa"/>
            <w:tcBorders>
              <w:top w:val="single" w:sz="12" w:space="0" w:color="000000"/>
            </w:tcBorders>
            <w:shd w:val="clear" w:color="auto" w:fill="FFFFFF"/>
          </w:tcPr>
          <w:p w14:paraId="7DA0E1B7" w14:textId="77777777" w:rsidR="00084F36" w:rsidRPr="00EB2BD8" w:rsidRDefault="00084F36">
            <w:pPr>
              <w:pStyle w:val="TableParagraph"/>
              <w:rPr>
                <w:rFonts w:ascii="Times New Roman"/>
                <w:sz w:val="16"/>
              </w:rPr>
            </w:pPr>
          </w:p>
        </w:tc>
        <w:tc>
          <w:tcPr>
            <w:tcW w:w="932" w:type="dxa"/>
            <w:tcBorders>
              <w:top w:val="single" w:sz="12" w:space="0" w:color="000000"/>
            </w:tcBorders>
            <w:shd w:val="clear" w:color="auto" w:fill="FFFFFF"/>
          </w:tcPr>
          <w:p w14:paraId="200012AF" w14:textId="77777777" w:rsidR="00084F36" w:rsidRPr="00EB2BD8" w:rsidRDefault="00084F36">
            <w:pPr>
              <w:pStyle w:val="TableParagraph"/>
              <w:rPr>
                <w:rFonts w:ascii="Times New Roman"/>
                <w:sz w:val="16"/>
              </w:rPr>
            </w:pPr>
          </w:p>
        </w:tc>
      </w:tr>
      <w:tr w:rsidR="00EB2BD8" w:rsidRPr="00EB2BD8" w14:paraId="61843A5E" w14:textId="77777777">
        <w:trPr>
          <w:trHeight w:val="258"/>
        </w:trPr>
        <w:tc>
          <w:tcPr>
            <w:tcW w:w="3954" w:type="dxa"/>
            <w:shd w:val="clear" w:color="auto" w:fill="FFFFFF"/>
          </w:tcPr>
          <w:p w14:paraId="5ADB7DD7" w14:textId="77777777" w:rsidR="00084F36" w:rsidRPr="00EB2BD8" w:rsidRDefault="00EB2BD8">
            <w:pPr>
              <w:pStyle w:val="TableParagraph"/>
              <w:spacing w:before="33"/>
              <w:ind w:left="105"/>
              <w:rPr>
                <w:rFonts w:ascii="Arial"/>
                <w:sz w:val="16"/>
              </w:rPr>
            </w:pPr>
            <w:r w:rsidRPr="00EB2BD8">
              <w:rPr>
                <w:rFonts w:ascii="Arial"/>
                <w:spacing w:val="-2"/>
                <w:w w:val="105"/>
                <w:sz w:val="16"/>
              </w:rPr>
              <w:t>Contractual</w:t>
            </w:r>
            <w:r w:rsidRPr="00EB2BD8">
              <w:rPr>
                <w:rFonts w:ascii="Arial"/>
                <w:spacing w:val="8"/>
                <w:w w:val="105"/>
                <w:sz w:val="16"/>
              </w:rPr>
              <w:t xml:space="preserve"> </w:t>
            </w:r>
            <w:r w:rsidRPr="00EB2BD8">
              <w:rPr>
                <w:rFonts w:ascii="Arial"/>
                <w:spacing w:val="-2"/>
                <w:w w:val="105"/>
                <w:sz w:val="16"/>
              </w:rPr>
              <w:t>payables</w:t>
            </w:r>
          </w:p>
        </w:tc>
        <w:tc>
          <w:tcPr>
            <w:tcW w:w="1949" w:type="dxa"/>
            <w:shd w:val="clear" w:color="auto" w:fill="FFFFFF"/>
          </w:tcPr>
          <w:p w14:paraId="317795C5" w14:textId="77777777" w:rsidR="00084F36" w:rsidRPr="00EB2BD8" w:rsidRDefault="00EB2BD8">
            <w:pPr>
              <w:pStyle w:val="TableParagraph"/>
              <w:spacing w:before="33"/>
              <w:ind w:right="178"/>
              <w:jc w:val="right"/>
              <w:rPr>
                <w:rFonts w:ascii="Arial"/>
                <w:sz w:val="16"/>
              </w:rPr>
            </w:pPr>
            <w:r w:rsidRPr="00EB2BD8">
              <w:rPr>
                <w:rFonts w:ascii="Arial"/>
                <w:w w:val="104"/>
                <w:sz w:val="16"/>
              </w:rPr>
              <w:t>-</w:t>
            </w:r>
          </w:p>
        </w:tc>
        <w:tc>
          <w:tcPr>
            <w:tcW w:w="1105" w:type="dxa"/>
            <w:shd w:val="clear" w:color="auto" w:fill="FFFFFF"/>
          </w:tcPr>
          <w:p w14:paraId="53B97949" w14:textId="77777777" w:rsidR="00084F36" w:rsidRPr="00EB2BD8" w:rsidRDefault="00EB2BD8">
            <w:pPr>
              <w:pStyle w:val="TableParagraph"/>
              <w:spacing w:before="33"/>
              <w:ind w:right="110"/>
              <w:jc w:val="right"/>
              <w:rPr>
                <w:rFonts w:ascii="Arial"/>
                <w:sz w:val="16"/>
              </w:rPr>
            </w:pPr>
            <w:r w:rsidRPr="00EB2BD8">
              <w:rPr>
                <w:rFonts w:ascii="Arial"/>
                <w:w w:val="104"/>
                <w:sz w:val="16"/>
              </w:rPr>
              <w:t>-</w:t>
            </w:r>
          </w:p>
        </w:tc>
        <w:tc>
          <w:tcPr>
            <w:tcW w:w="1351" w:type="dxa"/>
            <w:shd w:val="clear" w:color="auto" w:fill="FFFFFF"/>
          </w:tcPr>
          <w:p w14:paraId="0D6ED3BE" w14:textId="77777777" w:rsidR="00084F36" w:rsidRPr="00EB2BD8" w:rsidRDefault="00EB2BD8">
            <w:pPr>
              <w:pStyle w:val="TableParagraph"/>
              <w:spacing w:before="33"/>
              <w:ind w:right="311"/>
              <w:jc w:val="right"/>
              <w:rPr>
                <w:rFonts w:ascii="Arial"/>
                <w:sz w:val="16"/>
              </w:rPr>
            </w:pPr>
            <w:r w:rsidRPr="00EB2BD8">
              <w:rPr>
                <w:rFonts w:ascii="Arial"/>
                <w:spacing w:val="-2"/>
                <w:w w:val="105"/>
                <w:sz w:val="16"/>
              </w:rPr>
              <w:t>10,673</w:t>
            </w:r>
          </w:p>
        </w:tc>
        <w:tc>
          <w:tcPr>
            <w:tcW w:w="932" w:type="dxa"/>
            <w:shd w:val="clear" w:color="auto" w:fill="FFFFFF"/>
          </w:tcPr>
          <w:p w14:paraId="6FBDDAEA" w14:textId="77777777" w:rsidR="00084F36" w:rsidRPr="00EB2BD8" w:rsidRDefault="00EB2BD8">
            <w:pPr>
              <w:pStyle w:val="TableParagraph"/>
              <w:spacing w:before="33"/>
              <w:ind w:right="96"/>
              <w:jc w:val="right"/>
              <w:rPr>
                <w:rFonts w:ascii="Arial"/>
                <w:sz w:val="16"/>
              </w:rPr>
            </w:pPr>
            <w:r w:rsidRPr="00EB2BD8">
              <w:rPr>
                <w:rFonts w:ascii="Arial"/>
                <w:spacing w:val="-2"/>
                <w:w w:val="105"/>
                <w:sz w:val="16"/>
              </w:rPr>
              <w:t>10,673</w:t>
            </w:r>
          </w:p>
        </w:tc>
      </w:tr>
      <w:tr w:rsidR="00EB2BD8" w:rsidRPr="00EB2BD8" w14:paraId="1683933E" w14:textId="77777777">
        <w:trPr>
          <w:trHeight w:val="265"/>
        </w:trPr>
        <w:tc>
          <w:tcPr>
            <w:tcW w:w="3954" w:type="dxa"/>
            <w:shd w:val="clear" w:color="auto" w:fill="FFFFFF"/>
          </w:tcPr>
          <w:p w14:paraId="28C00FA0" w14:textId="77777777" w:rsidR="00084F36" w:rsidRPr="00EB2BD8" w:rsidRDefault="00EB2BD8">
            <w:pPr>
              <w:pStyle w:val="TableParagraph"/>
              <w:spacing w:before="41"/>
              <w:ind w:left="105"/>
              <w:rPr>
                <w:rFonts w:ascii="Arial"/>
                <w:sz w:val="16"/>
              </w:rPr>
            </w:pPr>
            <w:r w:rsidRPr="00EB2BD8">
              <w:rPr>
                <w:rFonts w:ascii="Arial"/>
                <w:w w:val="105"/>
                <w:sz w:val="16"/>
              </w:rPr>
              <w:t>Other</w:t>
            </w:r>
            <w:r w:rsidRPr="00EB2BD8">
              <w:rPr>
                <w:rFonts w:ascii="Arial"/>
                <w:spacing w:val="-7"/>
                <w:w w:val="105"/>
                <w:sz w:val="16"/>
              </w:rPr>
              <w:t xml:space="preserve"> </w:t>
            </w:r>
            <w:r w:rsidRPr="00EB2BD8">
              <w:rPr>
                <w:rFonts w:ascii="Arial"/>
                <w:spacing w:val="-2"/>
                <w:w w:val="105"/>
                <w:sz w:val="16"/>
              </w:rPr>
              <w:t>liabilities</w:t>
            </w:r>
          </w:p>
        </w:tc>
        <w:tc>
          <w:tcPr>
            <w:tcW w:w="1949" w:type="dxa"/>
            <w:shd w:val="clear" w:color="auto" w:fill="FFFFFF"/>
          </w:tcPr>
          <w:p w14:paraId="6B24410B" w14:textId="77777777" w:rsidR="00084F36" w:rsidRPr="00EB2BD8" w:rsidRDefault="00EB2BD8">
            <w:pPr>
              <w:pStyle w:val="TableParagraph"/>
              <w:spacing w:before="41"/>
              <w:ind w:right="178"/>
              <w:jc w:val="right"/>
              <w:rPr>
                <w:rFonts w:ascii="Arial"/>
                <w:sz w:val="16"/>
              </w:rPr>
            </w:pPr>
            <w:r w:rsidRPr="00EB2BD8">
              <w:rPr>
                <w:rFonts w:ascii="Arial"/>
                <w:w w:val="104"/>
                <w:sz w:val="16"/>
              </w:rPr>
              <w:t>-</w:t>
            </w:r>
          </w:p>
        </w:tc>
        <w:tc>
          <w:tcPr>
            <w:tcW w:w="1105" w:type="dxa"/>
            <w:shd w:val="clear" w:color="auto" w:fill="FFFFFF"/>
          </w:tcPr>
          <w:p w14:paraId="68E02D9E" w14:textId="77777777" w:rsidR="00084F36" w:rsidRPr="00EB2BD8" w:rsidRDefault="00EB2BD8">
            <w:pPr>
              <w:pStyle w:val="TableParagraph"/>
              <w:spacing w:before="41"/>
              <w:ind w:right="110"/>
              <w:jc w:val="right"/>
              <w:rPr>
                <w:rFonts w:ascii="Arial"/>
                <w:sz w:val="16"/>
              </w:rPr>
            </w:pPr>
            <w:r w:rsidRPr="00EB2BD8">
              <w:rPr>
                <w:rFonts w:ascii="Arial"/>
                <w:w w:val="104"/>
                <w:sz w:val="16"/>
              </w:rPr>
              <w:t>-</w:t>
            </w:r>
          </w:p>
        </w:tc>
        <w:tc>
          <w:tcPr>
            <w:tcW w:w="1351" w:type="dxa"/>
            <w:shd w:val="clear" w:color="auto" w:fill="FFFFFF"/>
          </w:tcPr>
          <w:p w14:paraId="7B42F284" w14:textId="77777777" w:rsidR="00084F36" w:rsidRPr="00EB2BD8" w:rsidRDefault="00EB2BD8">
            <w:pPr>
              <w:pStyle w:val="TableParagraph"/>
              <w:spacing w:before="41"/>
              <w:ind w:right="311"/>
              <w:jc w:val="right"/>
              <w:rPr>
                <w:rFonts w:ascii="Arial"/>
                <w:sz w:val="16"/>
              </w:rPr>
            </w:pPr>
            <w:r w:rsidRPr="00EB2BD8">
              <w:rPr>
                <w:rFonts w:ascii="Arial"/>
                <w:spacing w:val="-4"/>
                <w:w w:val="105"/>
                <w:sz w:val="16"/>
              </w:rPr>
              <w:t>1,708</w:t>
            </w:r>
          </w:p>
        </w:tc>
        <w:tc>
          <w:tcPr>
            <w:tcW w:w="932" w:type="dxa"/>
            <w:shd w:val="clear" w:color="auto" w:fill="FFFFFF"/>
          </w:tcPr>
          <w:p w14:paraId="525EB647" w14:textId="77777777" w:rsidR="00084F36" w:rsidRPr="00EB2BD8" w:rsidRDefault="00EB2BD8">
            <w:pPr>
              <w:pStyle w:val="TableParagraph"/>
              <w:spacing w:before="41"/>
              <w:ind w:right="95"/>
              <w:jc w:val="right"/>
              <w:rPr>
                <w:rFonts w:ascii="Arial"/>
                <w:sz w:val="16"/>
              </w:rPr>
            </w:pPr>
            <w:r w:rsidRPr="00EB2BD8">
              <w:rPr>
                <w:rFonts w:ascii="Arial"/>
                <w:spacing w:val="-4"/>
                <w:w w:val="105"/>
                <w:sz w:val="16"/>
              </w:rPr>
              <w:t>1,708</w:t>
            </w:r>
          </w:p>
        </w:tc>
      </w:tr>
      <w:tr w:rsidR="00EB2BD8" w:rsidRPr="00EB2BD8" w14:paraId="6736C9C4" w14:textId="77777777">
        <w:trPr>
          <w:trHeight w:val="264"/>
        </w:trPr>
        <w:tc>
          <w:tcPr>
            <w:tcW w:w="3954" w:type="dxa"/>
            <w:shd w:val="clear" w:color="auto" w:fill="FFFFFF"/>
          </w:tcPr>
          <w:p w14:paraId="50B47602" w14:textId="77777777" w:rsidR="00084F36" w:rsidRPr="00EB2BD8" w:rsidRDefault="00EB2BD8">
            <w:pPr>
              <w:pStyle w:val="TableParagraph"/>
              <w:spacing w:before="41"/>
              <w:ind w:left="105"/>
              <w:rPr>
                <w:rFonts w:ascii="Arial"/>
                <w:sz w:val="16"/>
              </w:rPr>
            </w:pPr>
            <w:r w:rsidRPr="00EB2BD8">
              <w:rPr>
                <w:rFonts w:ascii="Arial"/>
                <w:sz w:val="16"/>
              </w:rPr>
              <w:t>Interest-bearing</w:t>
            </w:r>
            <w:r w:rsidRPr="00EB2BD8">
              <w:rPr>
                <w:rFonts w:ascii="Arial"/>
                <w:spacing w:val="40"/>
                <w:sz w:val="16"/>
              </w:rPr>
              <w:t xml:space="preserve"> </w:t>
            </w:r>
            <w:r w:rsidRPr="00EB2BD8">
              <w:rPr>
                <w:rFonts w:ascii="Arial"/>
                <w:spacing w:val="-2"/>
                <w:sz w:val="16"/>
              </w:rPr>
              <w:t>liabilities</w:t>
            </w:r>
          </w:p>
        </w:tc>
        <w:tc>
          <w:tcPr>
            <w:tcW w:w="1949" w:type="dxa"/>
            <w:shd w:val="clear" w:color="auto" w:fill="FFFFFF"/>
          </w:tcPr>
          <w:p w14:paraId="36200551" w14:textId="77777777" w:rsidR="00084F36" w:rsidRPr="00EB2BD8" w:rsidRDefault="00EB2BD8">
            <w:pPr>
              <w:pStyle w:val="TableParagraph"/>
              <w:spacing w:before="41"/>
              <w:ind w:right="177"/>
              <w:jc w:val="right"/>
              <w:rPr>
                <w:rFonts w:ascii="Arial"/>
                <w:sz w:val="16"/>
              </w:rPr>
            </w:pPr>
            <w:r w:rsidRPr="00EB2BD8">
              <w:rPr>
                <w:rFonts w:ascii="Arial"/>
                <w:w w:val="104"/>
                <w:sz w:val="16"/>
              </w:rPr>
              <w:t>-</w:t>
            </w:r>
          </w:p>
        </w:tc>
        <w:tc>
          <w:tcPr>
            <w:tcW w:w="1105" w:type="dxa"/>
            <w:shd w:val="clear" w:color="auto" w:fill="FFFFFF"/>
          </w:tcPr>
          <w:p w14:paraId="0578BF0F" w14:textId="77777777" w:rsidR="00084F36" w:rsidRPr="00EB2BD8" w:rsidRDefault="00EB2BD8">
            <w:pPr>
              <w:pStyle w:val="TableParagraph"/>
              <w:spacing w:before="41"/>
              <w:ind w:right="110"/>
              <w:jc w:val="right"/>
              <w:rPr>
                <w:rFonts w:ascii="Arial"/>
                <w:sz w:val="16"/>
              </w:rPr>
            </w:pPr>
            <w:r w:rsidRPr="00EB2BD8">
              <w:rPr>
                <w:rFonts w:ascii="Arial"/>
                <w:w w:val="104"/>
                <w:sz w:val="16"/>
              </w:rPr>
              <w:t>-</w:t>
            </w:r>
          </w:p>
        </w:tc>
        <w:tc>
          <w:tcPr>
            <w:tcW w:w="1351" w:type="dxa"/>
            <w:shd w:val="clear" w:color="auto" w:fill="FFFFFF"/>
          </w:tcPr>
          <w:p w14:paraId="044652A2" w14:textId="77777777" w:rsidR="00084F36" w:rsidRPr="00EB2BD8" w:rsidRDefault="00EB2BD8">
            <w:pPr>
              <w:pStyle w:val="TableParagraph"/>
              <w:spacing w:before="41"/>
              <w:ind w:right="312"/>
              <w:jc w:val="right"/>
              <w:rPr>
                <w:rFonts w:ascii="Arial"/>
                <w:sz w:val="16"/>
              </w:rPr>
            </w:pPr>
            <w:r w:rsidRPr="00EB2BD8">
              <w:rPr>
                <w:rFonts w:ascii="Arial"/>
                <w:spacing w:val="-2"/>
                <w:w w:val="105"/>
                <w:sz w:val="16"/>
              </w:rPr>
              <w:t>6,378</w:t>
            </w:r>
          </w:p>
        </w:tc>
        <w:tc>
          <w:tcPr>
            <w:tcW w:w="932" w:type="dxa"/>
            <w:shd w:val="clear" w:color="auto" w:fill="FFFFFF"/>
          </w:tcPr>
          <w:p w14:paraId="18DCBC76" w14:textId="77777777" w:rsidR="00084F36" w:rsidRPr="00EB2BD8" w:rsidRDefault="00EB2BD8">
            <w:pPr>
              <w:pStyle w:val="TableParagraph"/>
              <w:spacing w:before="41"/>
              <w:ind w:right="96"/>
              <w:jc w:val="right"/>
              <w:rPr>
                <w:rFonts w:ascii="Arial"/>
                <w:sz w:val="16"/>
              </w:rPr>
            </w:pPr>
            <w:r w:rsidRPr="00EB2BD8">
              <w:rPr>
                <w:rFonts w:ascii="Arial"/>
                <w:spacing w:val="-2"/>
                <w:w w:val="105"/>
                <w:sz w:val="16"/>
              </w:rPr>
              <w:t>6,378</w:t>
            </w:r>
          </w:p>
        </w:tc>
      </w:tr>
      <w:tr w:rsidR="00EB2BD8" w:rsidRPr="00EB2BD8" w14:paraId="5934475F" w14:textId="77777777">
        <w:trPr>
          <w:trHeight w:val="262"/>
        </w:trPr>
        <w:tc>
          <w:tcPr>
            <w:tcW w:w="3954" w:type="dxa"/>
            <w:tcBorders>
              <w:bottom w:val="single" w:sz="12" w:space="0" w:color="000000"/>
            </w:tcBorders>
            <w:shd w:val="clear" w:color="auto" w:fill="FFFFFF"/>
          </w:tcPr>
          <w:p w14:paraId="3BE7484F" w14:textId="77777777" w:rsidR="00084F36" w:rsidRPr="00EB2BD8" w:rsidRDefault="00EB2BD8">
            <w:pPr>
              <w:pStyle w:val="TableParagraph"/>
              <w:spacing w:before="40"/>
              <w:ind w:left="104"/>
              <w:rPr>
                <w:rFonts w:ascii="Arial"/>
                <w:sz w:val="16"/>
              </w:rPr>
            </w:pPr>
            <w:r w:rsidRPr="00EB2BD8">
              <w:rPr>
                <w:rFonts w:ascii="Arial"/>
                <w:w w:val="105"/>
                <w:sz w:val="16"/>
              </w:rPr>
              <w:t>Security</w:t>
            </w:r>
            <w:r w:rsidRPr="00EB2BD8">
              <w:rPr>
                <w:rFonts w:ascii="Arial"/>
                <w:spacing w:val="-12"/>
                <w:w w:val="105"/>
                <w:sz w:val="16"/>
              </w:rPr>
              <w:t xml:space="preserve"> </w:t>
            </w:r>
            <w:r w:rsidRPr="00EB2BD8">
              <w:rPr>
                <w:rFonts w:ascii="Arial"/>
                <w:spacing w:val="-2"/>
                <w:w w:val="105"/>
                <w:sz w:val="16"/>
              </w:rPr>
              <w:t>deposits</w:t>
            </w:r>
          </w:p>
        </w:tc>
        <w:tc>
          <w:tcPr>
            <w:tcW w:w="1949" w:type="dxa"/>
            <w:tcBorders>
              <w:bottom w:val="single" w:sz="12" w:space="0" w:color="000000"/>
            </w:tcBorders>
            <w:shd w:val="clear" w:color="auto" w:fill="FFFFFF"/>
          </w:tcPr>
          <w:p w14:paraId="32CDCBF4" w14:textId="77777777" w:rsidR="00084F36" w:rsidRPr="00EB2BD8" w:rsidRDefault="00EB2BD8">
            <w:pPr>
              <w:pStyle w:val="TableParagraph"/>
              <w:spacing w:before="40"/>
              <w:ind w:right="179"/>
              <w:jc w:val="right"/>
              <w:rPr>
                <w:rFonts w:ascii="Arial"/>
                <w:sz w:val="16"/>
              </w:rPr>
            </w:pPr>
            <w:r w:rsidRPr="00EB2BD8">
              <w:rPr>
                <w:rFonts w:ascii="Arial"/>
                <w:w w:val="104"/>
                <w:sz w:val="16"/>
              </w:rPr>
              <w:t>-</w:t>
            </w:r>
          </w:p>
        </w:tc>
        <w:tc>
          <w:tcPr>
            <w:tcW w:w="1105" w:type="dxa"/>
            <w:tcBorders>
              <w:bottom w:val="single" w:sz="12" w:space="0" w:color="000000"/>
            </w:tcBorders>
            <w:shd w:val="clear" w:color="auto" w:fill="FFFFFF"/>
          </w:tcPr>
          <w:p w14:paraId="1C160D89" w14:textId="77777777" w:rsidR="00084F36" w:rsidRPr="00EB2BD8" w:rsidRDefault="00EB2BD8">
            <w:pPr>
              <w:pStyle w:val="TableParagraph"/>
              <w:spacing w:before="40"/>
              <w:ind w:right="110"/>
              <w:jc w:val="right"/>
              <w:rPr>
                <w:rFonts w:ascii="Arial"/>
                <w:sz w:val="16"/>
              </w:rPr>
            </w:pPr>
            <w:r w:rsidRPr="00EB2BD8">
              <w:rPr>
                <w:rFonts w:ascii="Arial"/>
                <w:w w:val="104"/>
                <w:sz w:val="16"/>
              </w:rPr>
              <w:t>-</w:t>
            </w:r>
          </w:p>
        </w:tc>
        <w:tc>
          <w:tcPr>
            <w:tcW w:w="1351" w:type="dxa"/>
            <w:tcBorders>
              <w:bottom w:val="single" w:sz="12" w:space="0" w:color="000000"/>
            </w:tcBorders>
            <w:shd w:val="clear" w:color="auto" w:fill="FFFFFF"/>
          </w:tcPr>
          <w:p w14:paraId="1511F599" w14:textId="77777777" w:rsidR="00084F36" w:rsidRPr="00EB2BD8" w:rsidRDefault="00EB2BD8">
            <w:pPr>
              <w:pStyle w:val="TableParagraph"/>
              <w:spacing w:before="40"/>
              <w:ind w:right="311"/>
              <w:jc w:val="right"/>
              <w:rPr>
                <w:rFonts w:ascii="Arial"/>
                <w:sz w:val="16"/>
              </w:rPr>
            </w:pPr>
            <w:r w:rsidRPr="00EB2BD8">
              <w:rPr>
                <w:rFonts w:ascii="Arial"/>
                <w:spacing w:val="-2"/>
                <w:w w:val="105"/>
                <w:sz w:val="16"/>
              </w:rPr>
              <w:t>2,856</w:t>
            </w:r>
          </w:p>
        </w:tc>
        <w:tc>
          <w:tcPr>
            <w:tcW w:w="932" w:type="dxa"/>
            <w:tcBorders>
              <w:bottom w:val="single" w:sz="12" w:space="0" w:color="000000"/>
            </w:tcBorders>
            <w:shd w:val="clear" w:color="auto" w:fill="FFFFFF"/>
          </w:tcPr>
          <w:p w14:paraId="6D07A43A" w14:textId="77777777" w:rsidR="00084F36" w:rsidRPr="00EB2BD8" w:rsidRDefault="00EB2BD8">
            <w:pPr>
              <w:pStyle w:val="TableParagraph"/>
              <w:spacing w:before="40"/>
              <w:ind w:right="96"/>
              <w:jc w:val="right"/>
              <w:rPr>
                <w:rFonts w:ascii="Arial"/>
                <w:sz w:val="16"/>
              </w:rPr>
            </w:pPr>
            <w:r w:rsidRPr="00EB2BD8">
              <w:rPr>
                <w:rFonts w:ascii="Arial"/>
                <w:spacing w:val="-2"/>
                <w:w w:val="105"/>
                <w:sz w:val="16"/>
              </w:rPr>
              <w:t>2,856</w:t>
            </w:r>
          </w:p>
        </w:tc>
      </w:tr>
      <w:tr w:rsidR="00EB2BD8" w:rsidRPr="00EB2BD8" w14:paraId="5E3FF350" w14:textId="77777777">
        <w:trPr>
          <w:trHeight w:val="234"/>
        </w:trPr>
        <w:tc>
          <w:tcPr>
            <w:tcW w:w="3954" w:type="dxa"/>
            <w:tcBorders>
              <w:top w:val="single" w:sz="12" w:space="0" w:color="000000"/>
              <w:bottom w:val="single" w:sz="12" w:space="0" w:color="000000"/>
            </w:tcBorders>
            <w:shd w:val="clear" w:color="auto" w:fill="FFFFFF"/>
          </w:tcPr>
          <w:p w14:paraId="45A2DC8E" w14:textId="77777777" w:rsidR="00084F36" w:rsidRPr="00EB2BD8" w:rsidRDefault="00EB2BD8">
            <w:pPr>
              <w:pStyle w:val="TableParagraph"/>
              <w:spacing w:before="27"/>
              <w:ind w:left="105"/>
              <w:rPr>
                <w:rFonts w:ascii="Arial"/>
                <w:b/>
                <w:sz w:val="16"/>
              </w:rPr>
            </w:pPr>
            <w:r w:rsidRPr="00EB2BD8">
              <w:rPr>
                <w:rFonts w:ascii="Arial"/>
                <w:b/>
                <w:w w:val="105"/>
                <w:sz w:val="16"/>
              </w:rPr>
              <w:t>Total</w:t>
            </w:r>
            <w:r w:rsidRPr="00EB2BD8">
              <w:rPr>
                <w:rFonts w:ascii="Arial"/>
                <w:b/>
                <w:spacing w:val="-10"/>
                <w:w w:val="105"/>
                <w:sz w:val="16"/>
              </w:rPr>
              <w:t xml:space="preserve"> </w:t>
            </w:r>
            <w:r w:rsidRPr="00EB2BD8">
              <w:rPr>
                <w:rFonts w:ascii="Arial"/>
                <w:b/>
                <w:w w:val="105"/>
                <w:sz w:val="16"/>
              </w:rPr>
              <w:t>contractual</w:t>
            </w:r>
            <w:r w:rsidRPr="00EB2BD8">
              <w:rPr>
                <w:rFonts w:ascii="Arial"/>
                <w:b/>
                <w:spacing w:val="-10"/>
                <w:w w:val="105"/>
                <w:sz w:val="16"/>
              </w:rPr>
              <w:t xml:space="preserve"> </w:t>
            </w:r>
            <w:r w:rsidRPr="00EB2BD8">
              <w:rPr>
                <w:rFonts w:ascii="Arial"/>
                <w:b/>
                <w:w w:val="105"/>
                <w:sz w:val="16"/>
              </w:rPr>
              <w:t>financial</w:t>
            </w:r>
            <w:r w:rsidRPr="00EB2BD8">
              <w:rPr>
                <w:rFonts w:ascii="Arial"/>
                <w:b/>
                <w:spacing w:val="-10"/>
                <w:w w:val="105"/>
                <w:sz w:val="16"/>
              </w:rPr>
              <w:t xml:space="preserve"> </w:t>
            </w:r>
            <w:r w:rsidRPr="00EB2BD8">
              <w:rPr>
                <w:rFonts w:ascii="Arial"/>
                <w:b/>
                <w:spacing w:val="-2"/>
                <w:w w:val="105"/>
                <w:sz w:val="16"/>
              </w:rPr>
              <w:t>liabilities</w:t>
            </w:r>
          </w:p>
        </w:tc>
        <w:tc>
          <w:tcPr>
            <w:tcW w:w="1949" w:type="dxa"/>
            <w:tcBorders>
              <w:top w:val="single" w:sz="12" w:space="0" w:color="000000"/>
              <w:bottom w:val="single" w:sz="12" w:space="0" w:color="000000"/>
            </w:tcBorders>
            <w:shd w:val="clear" w:color="auto" w:fill="FFFFFF"/>
          </w:tcPr>
          <w:p w14:paraId="13F413A6" w14:textId="77777777" w:rsidR="00084F36" w:rsidRPr="00EB2BD8" w:rsidRDefault="00EB2BD8">
            <w:pPr>
              <w:pStyle w:val="TableParagraph"/>
              <w:spacing w:before="27"/>
              <w:ind w:right="178"/>
              <w:jc w:val="right"/>
              <w:rPr>
                <w:rFonts w:ascii="Arial"/>
                <w:b/>
                <w:sz w:val="16"/>
              </w:rPr>
            </w:pPr>
            <w:r w:rsidRPr="00EB2BD8">
              <w:rPr>
                <w:rFonts w:ascii="Arial"/>
                <w:b/>
                <w:w w:val="104"/>
                <w:sz w:val="16"/>
              </w:rPr>
              <w:t>-</w:t>
            </w:r>
          </w:p>
        </w:tc>
        <w:tc>
          <w:tcPr>
            <w:tcW w:w="1105" w:type="dxa"/>
            <w:tcBorders>
              <w:top w:val="single" w:sz="12" w:space="0" w:color="000000"/>
              <w:bottom w:val="single" w:sz="12" w:space="0" w:color="000000"/>
            </w:tcBorders>
            <w:shd w:val="clear" w:color="auto" w:fill="FFFFFF"/>
          </w:tcPr>
          <w:p w14:paraId="15A2758A" w14:textId="77777777" w:rsidR="00084F36" w:rsidRPr="00EB2BD8" w:rsidRDefault="00EB2BD8">
            <w:pPr>
              <w:pStyle w:val="TableParagraph"/>
              <w:spacing w:before="27"/>
              <w:ind w:right="110"/>
              <w:jc w:val="right"/>
              <w:rPr>
                <w:rFonts w:ascii="Arial"/>
                <w:b/>
                <w:sz w:val="16"/>
              </w:rPr>
            </w:pPr>
            <w:r w:rsidRPr="00EB2BD8">
              <w:rPr>
                <w:rFonts w:ascii="Arial"/>
                <w:b/>
                <w:w w:val="104"/>
                <w:sz w:val="16"/>
              </w:rPr>
              <w:t>-</w:t>
            </w:r>
          </w:p>
        </w:tc>
        <w:tc>
          <w:tcPr>
            <w:tcW w:w="1351" w:type="dxa"/>
            <w:tcBorders>
              <w:top w:val="single" w:sz="12" w:space="0" w:color="000000"/>
              <w:bottom w:val="single" w:sz="12" w:space="0" w:color="000000"/>
            </w:tcBorders>
            <w:shd w:val="clear" w:color="auto" w:fill="FFFFFF"/>
          </w:tcPr>
          <w:p w14:paraId="1483E562" w14:textId="77777777" w:rsidR="00084F36" w:rsidRPr="00EB2BD8" w:rsidRDefault="00EB2BD8">
            <w:pPr>
              <w:pStyle w:val="TableParagraph"/>
              <w:spacing w:before="27"/>
              <w:ind w:right="311"/>
              <w:jc w:val="right"/>
              <w:rPr>
                <w:rFonts w:ascii="Arial"/>
                <w:b/>
                <w:sz w:val="16"/>
              </w:rPr>
            </w:pPr>
            <w:r w:rsidRPr="00EB2BD8">
              <w:rPr>
                <w:rFonts w:ascii="Arial"/>
                <w:b/>
                <w:spacing w:val="-2"/>
                <w:w w:val="105"/>
                <w:sz w:val="16"/>
              </w:rPr>
              <w:t>21,615</w:t>
            </w:r>
          </w:p>
        </w:tc>
        <w:tc>
          <w:tcPr>
            <w:tcW w:w="932" w:type="dxa"/>
            <w:tcBorders>
              <w:top w:val="single" w:sz="12" w:space="0" w:color="000000"/>
              <w:bottom w:val="single" w:sz="12" w:space="0" w:color="000000"/>
            </w:tcBorders>
            <w:shd w:val="clear" w:color="auto" w:fill="FFFFFF"/>
          </w:tcPr>
          <w:p w14:paraId="2303A790" w14:textId="77777777" w:rsidR="00084F36" w:rsidRPr="00EB2BD8" w:rsidRDefault="00EB2BD8">
            <w:pPr>
              <w:pStyle w:val="TableParagraph"/>
              <w:spacing w:before="27"/>
              <w:ind w:right="95"/>
              <w:jc w:val="right"/>
              <w:rPr>
                <w:rFonts w:ascii="Arial"/>
                <w:b/>
                <w:sz w:val="16"/>
              </w:rPr>
            </w:pPr>
            <w:r w:rsidRPr="00EB2BD8">
              <w:rPr>
                <w:rFonts w:ascii="Arial"/>
                <w:b/>
                <w:spacing w:val="-2"/>
                <w:w w:val="105"/>
                <w:sz w:val="16"/>
              </w:rPr>
              <w:t>21,615</w:t>
            </w:r>
          </w:p>
        </w:tc>
      </w:tr>
    </w:tbl>
    <w:p w14:paraId="56662026" w14:textId="77777777" w:rsidR="00084F36" w:rsidRPr="00EB2BD8" w:rsidRDefault="00084F36">
      <w:pPr>
        <w:pStyle w:val="BodyText"/>
        <w:rPr>
          <w:rFonts w:ascii="Arial"/>
        </w:rPr>
      </w:pPr>
    </w:p>
    <w:p w14:paraId="26EC34B6" w14:textId="77777777" w:rsidR="00084F36" w:rsidRPr="00EB2BD8" w:rsidRDefault="00084F36">
      <w:pPr>
        <w:pStyle w:val="BodyText"/>
        <w:spacing w:before="9"/>
        <w:rPr>
          <w:rFonts w:ascii="Arial"/>
          <w:sz w:val="16"/>
        </w:rPr>
      </w:pPr>
    </w:p>
    <w:p w14:paraId="4EAEFAF7" w14:textId="77777777" w:rsidR="00084F36" w:rsidRPr="00EB2BD8" w:rsidRDefault="00EB2BD8">
      <w:pPr>
        <w:ind w:left="1050"/>
        <w:rPr>
          <w:rFonts w:ascii="Arial"/>
          <w:i/>
          <w:sz w:val="15"/>
        </w:rPr>
      </w:pPr>
      <w:r w:rsidRPr="00EB2BD8">
        <w:rPr>
          <w:rFonts w:ascii="Arial"/>
          <w:i/>
          <w:spacing w:val="-2"/>
          <w:sz w:val="15"/>
        </w:rPr>
        <w:t>Note:</w:t>
      </w:r>
    </w:p>
    <w:p w14:paraId="29DEAF32" w14:textId="77777777" w:rsidR="00084F36" w:rsidRPr="00EB2BD8" w:rsidRDefault="00EB2BD8">
      <w:pPr>
        <w:spacing w:before="81" w:line="273" w:lineRule="auto"/>
        <w:ind w:left="1386" w:right="1813" w:hanging="266"/>
        <w:rPr>
          <w:rFonts w:ascii="Arial"/>
          <w:i/>
          <w:sz w:val="15"/>
        </w:rPr>
      </w:pPr>
      <w:r w:rsidRPr="00EB2BD8">
        <w:rPr>
          <w:rFonts w:ascii="Arial"/>
          <w:i/>
          <w:sz w:val="15"/>
        </w:rPr>
        <w:t>(a)</w:t>
      </w:r>
      <w:r w:rsidRPr="00EB2BD8">
        <w:rPr>
          <w:rFonts w:ascii="Arial"/>
          <w:i/>
          <w:spacing w:val="31"/>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total</w:t>
      </w:r>
      <w:r w:rsidRPr="00EB2BD8">
        <w:rPr>
          <w:rFonts w:ascii="Arial"/>
          <w:i/>
          <w:spacing w:val="-5"/>
          <w:sz w:val="15"/>
        </w:rPr>
        <w:t xml:space="preserve"> </w:t>
      </w:r>
      <w:r w:rsidRPr="00EB2BD8">
        <w:rPr>
          <w:rFonts w:ascii="Arial"/>
          <w:i/>
          <w:sz w:val="15"/>
        </w:rPr>
        <w:t>amounts</w:t>
      </w:r>
      <w:r w:rsidRPr="00EB2BD8">
        <w:rPr>
          <w:rFonts w:ascii="Arial"/>
          <w:i/>
          <w:spacing w:val="-3"/>
          <w:sz w:val="15"/>
        </w:rPr>
        <w:t xml:space="preserve"> </w:t>
      </w:r>
      <w:r w:rsidRPr="00EB2BD8">
        <w:rPr>
          <w:rFonts w:ascii="Arial"/>
          <w:i/>
          <w:sz w:val="15"/>
        </w:rPr>
        <w:t>disclosed</w:t>
      </w:r>
      <w:r w:rsidRPr="00EB2BD8">
        <w:rPr>
          <w:rFonts w:ascii="Arial"/>
          <w:i/>
          <w:spacing w:val="-6"/>
          <w:sz w:val="15"/>
        </w:rPr>
        <w:t xml:space="preserve"> </w:t>
      </w:r>
      <w:r w:rsidRPr="00EB2BD8">
        <w:rPr>
          <w:rFonts w:ascii="Arial"/>
          <w:i/>
          <w:sz w:val="15"/>
        </w:rPr>
        <w:t>here</w:t>
      </w:r>
      <w:r w:rsidRPr="00EB2BD8">
        <w:rPr>
          <w:rFonts w:ascii="Arial"/>
          <w:i/>
          <w:spacing w:val="-6"/>
          <w:sz w:val="15"/>
        </w:rPr>
        <w:t xml:space="preserve"> </w:t>
      </w:r>
      <w:r w:rsidRPr="00EB2BD8">
        <w:rPr>
          <w:rFonts w:ascii="Arial"/>
          <w:i/>
          <w:sz w:val="15"/>
        </w:rPr>
        <w:t>exclude</w:t>
      </w:r>
      <w:r w:rsidRPr="00EB2BD8">
        <w:rPr>
          <w:rFonts w:ascii="Arial"/>
          <w:i/>
          <w:spacing w:val="-5"/>
          <w:sz w:val="15"/>
        </w:rPr>
        <w:t xml:space="preserve"> </w:t>
      </w:r>
      <w:r w:rsidRPr="00EB2BD8">
        <w:rPr>
          <w:rFonts w:ascii="Arial"/>
          <w:i/>
          <w:sz w:val="15"/>
        </w:rPr>
        <w:t>statutory</w:t>
      </w:r>
      <w:r w:rsidRPr="00EB2BD8">
        <w:rPr>
          <w:rFonts w:ascii="Arial"/>
          <w:i/>
          <w:spacing w:val="-5"/>
          <w:sz w:val="15"/>
        </w:rPr>
        <w:t xml:space="preserve"> </w:t>
      </w:r>
      <w:r w:rsidRPr="00EB2BD8">
        <w:rPr>
          <w:rFonts w:ascii="Arial"/>
          <w:i/>
          <w:sz w:val="15"/>
        </w:rPr>
        <w:t>amounts</w:t>
      </w:r>
      <w:r w:rsidRPr="00EB2BD8">
        <w:rPr>
          <w:rFonts w:ascii="Arial"/>
          <w:i/>
          <w:spacing w:val="-3"/>
          <w:sz w:val="15"/>
        </w:rPr>
        <w:t xml:space="preserve"> </w:t>
      </w:r>
      <w:r w:rsidRPr="00EB2BD8">
        <w:rPr>
          <w:rFonts w:ascii="Arial"/>
          <w:i/>
          <w:sz w:val="15"/>
        </w:rPr>
        <w:t>(e.g.</w:t>
      </w:r>
      <w:r w:rsidRPr="00EB2BD8">
        <w:rPr>
          <w:rFonts w:ascii="Arial"/>
          <w:i/>
          <w:spacing w:val="-5"/>
          <w:sz w:val="15"/>
        </w:rPr>
        <w:t xml:space="preserve"> </w:t>
      </w:r>
      <w:r w:rsidRPr="00EB2BD8">
        <w:rPr>
          <w:rFonts w:ascii="Arial"/>
          <w:i/>
          <w:sz w:val="15"/>
        </w:rPr>
        <w:t>amounts</w:t>
      </w:r>
      <w:r w:rsidRPr="00EB2BD8">
        <w:rPr>
          <w:rFonts w:ascii="Arial"/>
          <w:i/>
          <w:spacing w:val="-4"/>
          <w:sz w:val="15"/>
        </w:rPr>
        <w:t xml:space="preserve"> </w:t>
      </w:r>
      <w:r w:rsidRPr="00EB2BD8">
        <w:rPr>
          <w:rFonts w:ascii="Arial"/>
          <w:i/>
          <w:sz w:val="15"/>
        </w:rPr>
        <w:t>owing</w:t>
      </w:r>
      <w:r w:rsidRPr="00EB2BD8">
        <w:rPr>
          <w:rFonts w:ascii="Arial"/>
          <w:i/>
          <w:spacing w:val="-5"/>
          <w:sz w:val="15"/>
        </w:rPr>
        <w:t xml:space="preserve"> </w:t>
      </w:r>
      <w:r w:rsidRPr="00EB2BD8">
        <w:rPr>
          <w:rFonts w:ascii="Arial"/>
          <w:i/>
          <w:sz w:val="15"/>
        </w:rPr>
        <w:t>from</w:t>
      </w:r>
      <w:r w:rsidRPr="00EB2BD8">
        <w:rPr>
          <w:rFonts w:ascii="Arial"/>
          <w:i/>
          <w:spacing w:val="-5"/>
          <w:sz w:val="15"/>
        </w:rPr>
        <w:t xml:space="preserve"> </w:t>
      </w:r>
      <w:r w:rsidRPr="00EB2BD8">
        <w:rPr>
          <w:rFonts w:ascii="Arial"/>
          <w:i/>
          <w:sz w:val="15"/>
        </w:rPr>
        <w:t>statutory</w:t>
      </w:r>
      <w:r w:rsidRPr="00EB2BD8">
        <w:rPr>
          <w:rFonts w:ascii="Arial"/>
          <w:i/>
          <w:spacing w:val="-5"/>
          <w:sz w:val="15"/>
        </w:rPr>
        <w:t xml:space="preserve"> </w:t>
      </w:r>
      <w:r w:rsidRPr="00EB2BD8">
        <w:rPr>
          <w:rFonts w:ascii="Arial"/>
          <w:i/>
          <w:sz w:val="15"/>
        </w:rPr>
        <w:t>levies</w:t>
      </w:r>
      <w:r w:rsidRPr="00EB2BD8">
        <w:rPr>
          <w:rFonts w:ascii="Arial"/>
          <w:i/>
          <w:spacing w:val="-1"/>
          <w:sz w:val="15"/>
        </w:rPr>
        <w:t xml:space="preserve"> </w:t>
      </w:r>
      <w:r w:rsidRPr="00EB2BD8">
        <w:rPr>
          <w:rFonts w:ascii="Arial"/>
          <w:i/>
          <w:sz w:val="15"/>
        </w:rPr>
        <w:t>and</w:t>
      </w:r>
      <w:r w:rsidRPr="00EB2BD8">
        <w:rPr>
          <w:rFonts w:ascii="Arial"/>
          <w:i/>
          <w:spacing w:val="-6"/>
          <w:sz w:val="15"/>
        </w:rPr>
        <w:t xml:space="preserve"> </w:t>
      </w:r>
      <w:r w:rsidRPr="00EB2BD8">
        <w:rPr>
          <w:rFonts w:ascii="Arial"/>
          <w:i/>
          <w:sz w:val="15"/>
        </w:rPr>
        <w:t>GST</w:t>
      </w:r>
      <w:r w:rsidRPr="00EB2BD8">
        <w:rPr>
          <w:rFonts w:ascii="Arial"/>
          <w:i/>
          <w:spacing w:val="-8"/>
          <w:sz w:val="15"/>
        </w:rPr>
        <w:t xml:space="preserve"> </w:t>
      </w:r>
      <w:r w:rsidRPr="00EB2BD8">
        <w:rPr>
          <w:rFonts w:ascii="Arial"/>
          <w:i/>
          <w:sz w:val="15"/>
        </w:rPr>
        <w:t>input</w:t>
      </w:r>
      <w:r w:rsidRPr="00EB2BD8">
        <w:rPr>
          <w:rFonts w:ascii="Arial"/>
          <w:i/>
          <w:spacing w:val="-7"/>
          <w:sz w:val="15"/>
        </w:rPr>
        <w:t xml:space="preserve"> </w:t>
      </w:r>
      <w:r w:rsidRPr="00EB2BD8">
        <w:rPr>
          <w:rFonts w:ascii="Arial"/>
          <w:i/>
          <w:sz w:val="15"/>
        </w:rPr>
        <w:t>tax</w:t>
      </w:r>
      <w:r w:rsidRPr="00EB2BD8">
        <w:rPr>
          <w:rFonts w:ascii="Arial"/>
          <w:i/>
          <w:spacing w:val="-11"/>
          <w:sz w:val="15"/>
        </w:rPr>
        <w:t xml:space="preserve"> </w:t>
      </w:r>
      <w:r w:rsidRPr="00EB2BD8">
        <w:rPr>
          <w:rFonts w:ascii="Arial"/>
          <w:i/>
          <w:sz w:val="15"/>
        </w:rPr>
        <w:t>credit recoverable and taxes payables).</w:t>
      </w:r>
    </w:p>
    <w:p w14:paraId="5EF3E65B" w14:textId="77777777" w:rsidR="00084F36" w:rsidRPr="00EB2BD8" w:rsidRDefault="00084F36">
      <w:pPr>
        <w:pStyle w:val="BodyText"/>
        <w:rPr>
          <w:rFonts w:ascii="Arial"/>
          <w:i/>
          <w:sz w:val="20"/>
        </w:rPr>
      </w:pPr>
    </w:p>
    <w:p w14:paraId="4DD91F0E" w14:textId="77777777" w:rsidR="00084F36" w:rsidRPr="00EB2BD8" w:rsidRDefault="00084F36">
      <w:pPr>
        <w:pStyle w:val="BodyText"/>
        <w:rPr>
          <w:rFonts w:ascii="Arial"/>
          <w:i/>
          <w:sz w:val="20"/>
        </w:rPr>
      </w:pPr>
    </w:p>
    <w:p w14:paraId="1D892871" w14:textId="77777777" w:rsidR="00084F36" w:rsidRPr="00EB2BD8" w:rsidRDefault="00084F36">
      <w:pPr>
        <w:pStyle w:val="BodyText"/>
        <w:rPr>
          <w:rFonts w:ascii="Arial"/>
          <w:i/>
          <w:sz w:val="20"/>
        </w:rPr>
      </w:pPr>
    </w:p>
    <w:p w14:paraId="31E12E0D" w14:textId="77777777" w:rsidR="00084F36" w:rsidRPr="00EB2BD8" w:rsidRDefault="00084F36">
      <w:pPr>
        <w:pStyle w:val="BodyText"/>
        <w:rPr>
          <w:rFonts w:ascii="Arial"/>
          <w:i/>
          <w:sz w:val="20"/>
        </w:rPr>
      </w:pPr>
    </w:p>
    <w:p w14:paraId="26B068A3" w14:textId="77777777" w:rsidR="00084F36" w:rsidRPr="00EB2BD8" w:rsidRDefault="00084F36">
      <w:pPr>
        <w:pStyle w:val="BodyText"/>
        <w:rPr>
          <w:rFonts w:ascii="Arial"/>
          <w:i/>
          <w:sz w:val="20"/>
        </w:rPr>
      </w:pPr>
    </w:p>
    <w:p w14:paraId="58AB0CBB" w14:textId="77777777" w:rsidR="00084F36" w:rsidRPr="00EB2BD8" w:rsidRDefault="00084F36">
      <w:pPr>
        <w:pStyle w:val="BodyText"/>
        <w:rPr>
          <w:rFonts w:ascii="Arial"/>
          <w:i/>
          <w:sz w:val="20"/>
        </w:rPr>
      </w:pPr>
    </w:p>
    <w:p w14:paraId="351441C5" w14:textId="77777777" w:rsidR="00084F36" w:rsidRPr="00EB2BD8" w:rsidRDefault="00084F36">
      <w:pPr>
        <w:pStyle w:val="BodyText"/>
        <w:rPr>
          <w:rFonts w:ascii="Arial"/>
          <w:i/>
          <w:sz w:val="20"/>
        </w:rPr>
      </w:pPr>
    </w:p>
    <w:p w14:paraId="652BE241" w14:textId="77777777" w:rsidR="00084F36" w:rsidRPr="00EB2BD8" w:rsidRDefault="00084F36">
      <w:pPr>
        <w:pStyle w:val="BodyText"/>
        <w:rPr>
          <w:rFonts w:ascii="Arial"/>
          <w:i/>
          <w:sz w:val="20"/>
        </w:rPr>
      </w:pPr>
    </w:p>
    <w:p w14:paraId="5F93C096" w14:textId="77777777" w:rsidR="00084F36" w:rsidRPr="00EB2BD8" w:rsidRDefault="00084F36">
      <w:pPr>
        <w:pStyle w:val="BodyText"/>
        <w:rPr>
          <w:rFonts w:ascii="Arial"/>
          <w:i/>
          <w:sz w:val="20"/>
        </w:rPr>
      </w:pPr>
    </w:p>
    <w:p w14:paraId="425026B0" w14:textId="77777777" w:rsidR="00084F36" w:rsidRPr="00EB2BD8" w:rsidRDefault="00084F36">
      <w:pPr>
        <w:pStyle w:val="BodyText"/>
        <w:rPr>
          <w:rFonts w:ascii="Arial"/>
          <w:i/>
          <w:sz w:val="20"/>
        </w:rPr>
      </w:pPr>
    </w:p>
    <w:p w14:paraId="17E912DE" w14:textId="77777777" w:rsidR="00084F36" w:rsidRPr="00EB2BD8" w:rsidRDefault="00084F36">
      <w:pPr>
        <w:pStyle w:val="BodyText"/>
        <w:rPr>
          <w:rFonts w:ascii="Arial"/>
          <w:i/>
          <w:sz w:val="20"/>
        </w:rPr>
      </w:pPr>
    </w:p>
    <w:p w14:paraId="63859BD3" w14:textId="77777777" w:rsidR="00084F36" w:rsidRPr="00EB2BD8" w:rsidRDefault="00084F36">
      <w:pPr>
        <w:pStyle w:val="BodyText"/>
        <w:rPr>
          <w:rFonts w:ascii="Arial"/>
          <w:i/>
          <w:sz w:val="20"/>
        </w:rPr>
      </w:pPr>
    </w:p>
    <w:p w14:paraId="17B7CAF1" w14:textId="77777777" w:rsidR="00084F36" w:rsidRPr="00EB2BD8" w:rsidRDefault="00084F36">
      <w:pPr>
        <w:pStyle w:val="BodyText"/>
        <w:rPr>
          <w:rFonts w:ascii="Arial"/>
          <w:i/>
          <w:sz w:val="20"/>
        </w:rPr>
      </w:pPr>
    </w:p>
    <w:p w14:paraId="00F13880" w14:textId="77777777" w:rsidR="00084F36" w:rsidRPr="00EB2BD8" w:rsidRDefault="00084F36">
      <w:pPr>
        <w:pStyle w:val="BodyText"/>
        <w:rPr>
          <w:rFonts w:ascii="Arial"/>
          <w:i/>
          <w:sz w:val="20"/>
        </w:rPr>
      </w:pPr>
    </w:p>
    <w:p w14:paraId="41113BC6" w14:textId="77777777" w:rsidR="00084F36" w:rsidRPr="00EB2BD8" w:rsidRDefault="00084F36">
      <w:pPr>
        <w:pStyle w:val="BodyText"/>
        <w:spacing w:before="2"/>
        <w:rPr>
          <w:rFonts w:ascii="Arial"/>
          <w:i/>
          <w:sz w:val="17"/>
        </w:rPr>
      </w:pPr>
    </w:p>
    <w:p w14:paraId="4D2EFA64" w14:textId="0A102F7C" w:rsidR="00084F36" w:rsidRPr="00EB2BD8" w:rsidRDefault="00EB2BD8">
      <w:pPr>
        <w:tabs>
          <w:tab w:val="left" w:pos="1906"/>
        </w:tabs>
        <w:spacing w:before="91"/>
        <w:ind w:left="842"/>
        <w:rPr>
          <w:b/>
          <w:sz w:val="16"/>
        </w:rPr>
      </w:pPr>
      <w:r w:rsidRPr="00EB2BD8">
        <w:rPr>
          <w:sz w:val="16"/>
        </w:rPr>
        <w:tab/>
      </w:r>
    </w:p>
    <w:p w14:paraId="1E489D01" w14:textId="77777777" w:rsidR="00084F36" w:rsidRPr="00EB2BD8" w:rsidRDefault="00084F36">
      <w:pPr>
        <w:rPr>
          <w:sz w:val="16"/>
        </w:rPr>
        <w:sectPr w:rsidR="00084F36" w:rsidRPr="00EB2BD8" w:rsidSect="006D75B2">
          <w:headerReference w:type="even" r:id="rId332"/>
          <w:footerReference w:type="even" r:id="rId333"/>
          <w:footerReference w:type="default" r:id="rId334"/>
          <w:pgSz w:w="11910" w:h="16840"/>
          <w:pgMar w:top="780" w:right="0" w:bottom="280" w:left="0" w:header="0" w:footer="0" w:gutter="0"/>
          <w:cols w:space="720"/>
        </w:sectPr>
      </w:pPr>
    </w:p>
    <w:p w14:paraId="6121B3ED" w14:textId="77777777" w:rsidR="00084F36" w:rsidRPr="00EB2BD8" w:rsidRDefault="00084F36">
      <w:pPr>
        <w:pStyle w:val="BodyText"/>
        <w:rPr>
          <w:sz w:val="20"/>
        </w:rPr>
      </w:pPr>
    </w:p>
    <w:p w14:paraId="65006E3A" w14:textId="77777777" w:rsidR="00084F36" w:rsidRPr="00EB2BD8" w:rsidRDefault="00084F36">
      <w:pPr>
        <w:pStyle w:val="BodyText"/>
        <w:rPr>
          <w:sz w:val="20"/>
        </w:rPr>
      </w:pPr>
    </w:p>
    <w:p w14:paraId="5C918CD2" w14:textId="77777777" w:rsidR="00084F36" w:rsidRPr="00EB2BD8" w:rsidRDefault="00084F36">
      <w:pPr>
        <w:pStyle w:val="BodyText"/>
        <w:rPr>
          <w:sz w:val="20"/>
        </w:rPr>
      </w:pPr>
    </w:p>
    <w:p w14:paraId="56D447C1" w14:textId="77777777" w:rsidR="00084F36" w:rsidRPr="00EB2BD8" w:rsidRDefault="00084F36">
      <w:pPr>
        <w:pStyle w:val="BodyText"/>
        <w:rPr>
          <w:sz w:val="20"/>
        </w:rPr>
      </w:pPr>
    </w:p>
    <w:p w14:paraId="28D18D6F" w14:textId="77777777" w:rsidR="00084F36" w:rsidRPr="00EB2BD8" w:rsidRDefault="00084F36">
      <w:pPr>
        <w:pStyle w:val="BodyText"/>
        <w:rPr>
          <w:sz w:val="20"/>
        </w:rPr>
      </w:pPr>
    </w:p>
    <w:p w14:paraId="0A2B9865" w14:textId="77777777" w:rsidR="00084F36" w:rsidRPr="00EB2BD8" w:rsidRDefault="00084F36">
      <w:pPr>
        <w:pStyle w:val="BodyText"/>
        <w:rPr>
          <w:sz w:val="19"/>
        </w:rPr>
      </w:pPr>
    </w:p>
    <w:p w14:paraId="45820F97" w14:textId="461E885E" w:rsidR="00084F36" w:rsidRPr="00EB2BD8" w:rsidRDefault="00327EC1" w:rsidP="00327EC1">
      <w:pPr>
        <w:pStyle w:val="Heading2"/>
      </w:pPr>
      <w:bookmarkStart w:id="334" w:name="_Toc150762636"/>
      <w:r>
        <w:rPr>
          <w:w w:val="105"/>
        </w:rPr>
        <w:t xml:space="preserve">7.1.2 </w:t>
      </w:r>
      <w:r w:rsidR="00EB2BD8" w:rsidRPr="00EB2BD8">
        <w:rPr>
          <w:w w:val="105"/>
        </w:rPr>
        <w:t>Financial</w:t>
      </w:r>
      <w:r w:rsidR="00EB2BD8" w:rsidRPr="00EB2BD8">
        <w:rPr>
          <w:spacing w:val="-16"/>
          <w:w w:val="105"/>
        </w:rPr>
        <w:t xml:space="preserve"> </w:t>
      </w:r>
      <w:r w:rsidR="00EB2BD8" w:rsidRPr="00EB2BD8">
        <w:rPr>
          <w:w w:val="105"/>
        </w:rPr>
        <w:t>instruments</w:t>
      </w:r>
      <w:r w:rsidR="00EB2BD8" w:rsidRPr="00EB2BD8">
        <w:rPr>
          <w:spacing w:val="-15"/>
          <w:w w:val="105"/>
        </w:rPr>
        <w:t xml:space="preserve"> </w:t>
      </w:r>
      <w:r w:rsidR="00EB2BD8" w:rsidRPr="00EB2BD8">
        <w:rPr>
          <w:w w:val="105"/>
        </w:rPr>
        <w:t>–</w:t>
      </w:r>
      <w:r w:rsidR="00EB2BD8" w:rsidRPr="00EB2BD8">
        <w:rPr>
          <w:spacing w:val="-15"/>
          <w:w w:val="105"/>
        </w:rPr>
        <w:t xml:space="preserve"> </w:t>
      </w:r>
      <w:r w:rsidR="00EB2BD8" w:rsidRPr="00EB2BD8">
        <w:rPr>
          <w:w w:val="105"/>
        </w:rPr>
        <w:t>Net</w:t>
      </w:r>
      <w:r w:rsidR="00EB2BD8" w:rsidRPr="00EB2BD8">
        <w:rPr>
          <w:spacing w:val="-15"/>
          <w:w w:val="105"/>
        </w:rPr>
        <w:t xml:space="preserve"> </w:t>
      </w:r>
      <w:r w:rsidR="00EB2BD8" w:rsidRPr="00EB2BD8">
        <w:rPr>
          <w:w w:val="105"/>
        </w:rPr>
        <w:t>holding</w:t>
      </w:r>
      <w:r w:rsidR="00EB2BD8" w:rsidRPr="00EB2BD8">
        <w:rPr>
          <w:spacing w:val="-15"/>
          <w:w w:val="105"/>
        </w:rPr>
        <w:t xml:space="preserve"> </w:t>
      </w:r>
      <w:r w:rsidR="00EB2BD8" w:rsidRPr="00EB2BD8">
        <w:rPr>
          <w:w w:val="105"/>
        </w:rPr>
        <w:t>gain/(loss)</w:t>
      </w:r>
      <w:r w:rsidR="00EB2BD8" w:rsidRPr="00EB2BD8">
        <w:rPr>
          <w:spacing w:val="-16"/>
          <w:w w:val="105"/>
        </w:rPr>
        <w:t xml:space="preserve"> </w:t>
      </w:r>
      <w:r w:rsidR="00EB2BD8" w:rsidRPr="00EB2BD8">
        <w:rPr>
          <w:w w:val="105"/>
        </w:rPr>
        <w:t>on</w:t>
      </w:r>
      <w:r w:rsidR="00EB2BD8" w:rsidRPr="00EB2BD8">
        <w:rPr>
          <w:spacing w:val="-15"/>
          <w:w w:val="105"/>
        </w:rPr>
        <w:t xml:space="preserve"> </w:t>
      </w:r>
      <w:r w:rsidR="00EB2BD8" w:rsidRPr="00EB2BD8">
        <w:rPr>
          <w:w w:val="105"/>
        </w:rPr>
        <w:t>financial</w:t>
      </w:r>
      <w:r w:rsidR="00EB2BD8" w:rsidRPr="00EB2BD8">
        <w:rPr>
          <w:spacing w:val="-15"/>
          <w:w w:val="105"/>
        </w:rPr>
        <w:t xml:space="preserve"> </w:t>
      </w:r>
      <w:r w:rsidR="00EB2BD8" w:rsidRPr="00EB2BD8">
        <w:rPr>
          <w:w w:val="105"/>
        </w:rPr>
        <w:t>instruments</w:t>
      </w:r>
      <w:r w:rsidR="00EB2BD8" w:rsidRPr="00EB2BD8">
        <w:rPr>
          <w:spacing w:val="-15"/>
          <w:w w:val="105"/>
        </w:rPr>
        <w:t xml:space="preserve"> </w:t>
      </w:r>
      <w:r w:rsidR="00EB2BD8" w:rsidRPr="00EB2BD8">
        <w:rPr>
          <w:w w:val="105"/>
        </w:rPr>
        <w:t>by</w:t>
      </w:r>
      <w:r w:rsidR="00EB2BD8" w:rsidRPr="00EB2BD8">
        <w:rPr>
          <w:spacing w:val="-15"/>
          <w:w w:val="105"/>
        </w:rPr>
        <w:t xml:space="preserve"> </w:t>
      </w:r>
      <w:r w:rsidR="00EB2BD8" w:rsidRPr="00EB2BD8">
        <w:rPr>
          <w:spacing w:val="-2"/>
          <w:w w:val="105"/>
        </w:rPr>
        <w:t>category</w:t>
      </w:r>
      <w:bookmarkEnd w:id="334"/>
    </w:p>
    <w:p w14:paraId="299CF6D6" w14:textId="77777777" w:rsidR="00084F36" w:rsidRPr="00EB2BD8" w:rsidRDefault="00084F36">
      <w:pPr>
        <w:pStyle w:val="BodyText"/>
        <w:rPr>
          <w:rFonts w:ascii="Arial"/>
          <w:b/>
          <w:sz w:val="24"/>
        </w:rPr>
      </w:pPr>
    </w:p>
    <w:p w14:paraId="05B64790" w14:textId="77777777" w:rsidR="00084F36" w:rsidRPr="00EB2BD8" w:rsidRDefault="00EB2BD8">
      <w:pPr>
        <w:spacing w:before="179" w:after="50"/>
        <w:ind w:right="1405"/>
        <w:jc w:val="right"/>
        <w:rPr>
          <w:rFonts w:ascii="Arial" w:hAnsi="Arial"/>
          <w:sz w:val="17"/>
        </w:rPr>
      </w:pPr>
      <w:r w:rsidRPr="00EB2BD8">
        <w:rPr>
          <w:rFonts w:ascii="Arial" w:hAnsi="Arial"/>
          <w:spacing w:val="-2"/>
          <w:w w:val="105"/>
          <w:sz w:val="17"/>
        </w:rPr>
        <w:t>($’000)</w:t>
      </w:r>
    </w:p>
    <w:tbl>
      <w:tblPr>
        <w:tblW w:w="0" w:type="auto"/>
        <w:tblInd w:w="1047" w:type="dxa"/>
        <w:tblBorders>
          <w:top w:val="single" w:sz="4" w:space="0" w:color="0098FF"/>
          <w:left w:val="single" w:sz="4" w:space="0" w:color="0098FF"/>
          <w:bottom w:val="single" w:sz="4" w:space="0" w:color="0098FF"/>
          <w:right w:val="single" w:sz="4" w:space="0" w:color="0098FF"/>
          <w:insideH w:val="single" w:sz="4" w:space="0" w:color="0098FF"/>
          <w:insideV w:val="single" w:sz="4" w:space="0" w:color="0098FF"/>
        </w:tblBorders>
        <w:tblLayout w:type="fixed"/>
        <w:tblCellMar>
          <w:left w:w="0" w:type="dxa"/>
          <w:right w:w="0" w:type="dxa"/>
        </w:tblCellMar>
        <w:tblLook w:val="01E0" w:firstRow="1" w:lastRow="1" w:firstColumn="1" w:lastColumn="1" w:noHBand="0" w:noVBand="0"/>
      </w:tblPr>
      <w:tblGrid>
        <w:gridCol w:w="3763"/>
        <w:gridCol w:w="976"/>
        <w:gridCol w:w="977"/>
        <w:gridCol w:w="976"/>
        <w:gridCol w:w="977"/>
        <w:gridCol w:w="944"/>
        <w:gridCol w:w="953"/>
      </w:tblGrid>
      <w:tr w:rsidR="00EB2BD8" w:rsidRPr="00EB2BD8" w14:paraId="24FB9E0A" w14:textId="77777777">
        <w:trPr>
          <w:trHeight w:val="861"/>
        </w:trPr>
        <w:tc>
          <w:tcPr>
            <w:tcW w:w="9566" w:type="dxa"/>
            <w:gridSpan w:val="7"/>
            <w:shd w:val="clear" w:color="auto" w:fill="0070C0"/>
          </w:tcPr>
          <w:p w14:paraId="3CE40E4B" w14:textId="77777777" w:rsidR="00084F36" w:rsidRPr="00EB2BD8" w:rsidRDefault="00EB2BD8">
            <w:pPr>
              <w:pStyle w:val="TableParagraph"/>
              <w:tabs>
                <w:tab w:val="left" w:pos="5941"/>
                <w:tab w:val="left" w:pos="6135"/>
                <w:tab w:val="left" w:pos="8405"/>
              </w:tabs>
              <w:spacing w:before="123" w:line="165" w:lineRule="auto"/>
              <w:ind w:left="4294" w:right="723" w:hanging="44"/>
              <w:rPr>
                <w:rFonts w:ascii="Arial"/>
                <w:b/>
                <w:sz w:val="17"/>
              </w:rPr>
            </w:pPr>
            <w:r w:rsidRPr="00EB2BD8">
              <w:rPr>
                <w:rFonts w:ascii="Arial"/>
                <w:b/>
                <w:w w:val="105"/>
                <w:sz w:val="17"/>
              </w:rPr>
              <w:t>Net holding</w:t>
            </w:r>
            <w:r w:rsidRPr="00EB2BD8">
              <w:rPr>
                <w:rFonts w:ascii="Arial"/>
                <w:b/>
                <w:sz w:val="17"/>
              </w:rPr>
              <w:tab/>
            </w:r>
            <w:r w:rsidRPr="00EB2BD8">
              <w:rPr>
                <w:rFonts w:ascii="Arial"/>
                <w:b/>
                <w:sz w:val="17"/>
              </w:rPr>
              <w:tab/>
            </w:r>
            <w:r w:rsidRPr="00EB2BD8">
              <w:rPr>
                <w:rFonts w:ascii="Arial"/>
                <w:b/>
                <w:w w:val="105"/>
                <w:sz w:val="17"/>
              </w:rPr>
              <w:t>Total interest</w:t>
            </w:r>
            <w:r w:rsidRPr="00EB2BD8">
              <w:rPr>
                <w:rFonts w:ascii="Arial"/>
                <w:b/>
                <w:sz w:val="17"/>
              </w:rPr>
              <w:tab/>
            </w:r>
            <w:r w:rsidRPr="00EB2BD8">
              <w:rPr>
                <w:rFonts w:ascii="Arial"/>
                <w:b/>
                <w:spacing w:val="-2"/>
                <w:w w:val="105"/>
                <w:position w:val="-9"/>
                <w:sz w:val="17"/>
              </w:rPr>
              <w:t xml:space="preserve">Total </w:t>
            </w:r>
            <w:r w:rsidRPr="00EB2BD8">
              <w:rPr>
                <w:rFonts w:ascii="Arial"/>
                <w:b/>
                <w:spacing w:val="-2"/>
                <w:w w:val="105"/>
                <w:sz w:val="17"/>
              </w:rPr>
              <w:t>gain/(loss)</w:t>
            </w:r>
            <w:r w:rsidRPr="00EB2BD8">
              <w:rPr>
                <w:rFonts w:ascii="Arial"/>
                <w:b/>
                <w:sz w:val="17"/>
              </w:rPr>
              <w:tab/>
            </w:r>
            <w:r w:rsidRPr="00EB2BD8">
              <w:rPr>
                <w:rFonts w:ascii="Arial"/>
                <w:b/>
                <w:spacing w:val="-2"/>
                <w:w w:val="105"/>
                <w:sz w:val="17"/>
              </w:rPr>
              <w:t>income/(expense)</w:t>
            </w:r>
          </w:p>
          <w:p w14:paraId="140528D1" w14:textId="77777777" w:rsidR="00084F36" w:rsidRPr="00EB2BD8" w:rsidRDefault="00EB2BD8">
            <w:pPr>
              <w:pStyle w:val="TableParagraph"/>
              <w:tabs>
                <w:tab w:val="left" w:pos="5213"/>
                <w:tab w:val="left" w:pos="6189"/>
                <w:tab w:val="left" w:pos="7166"/>
                <w:tab w:val="left" w:pos="8111"/>
                <w:tab w:val="left" w:pos="9063"/>
              </w:tabs>
              <w:spacing w:before="145"/>
              <w:ind w:left="4236"/>
              <w:rPr>
                <w:rFonts w:ascii="Arial"/>
                <w:b/>
                <w:sz w:val="17"/>
              </w:rPr>
            </w:pPr>
            <w:r w:rsidRPr="00EB2BD8">
              <w:rPr>
                <w:rFonts w:ascii="Arial"/>
                <w:b/>
                <w:spacing w:val="-4"/>
                <w:w w:val="105"/>
                <w:sz w:val="17"/>
              </w:rPr>
              <w:t>2023</w:t>
            </w:r>
            <w:r w:rsidRPr="00EB2BD8">
              <w:rPr>
                <w:rFonts w:ascii="Arial"/>
                <w:b/>
                <w:sz w:val="17"/>
              </w:rPr>
              <w:tab/>
            </w:r>
            <w:r w:rsidRPr="00EB2BD8">
              <w:rPr>
                <w:rFonts w:ascii="Arial"/>
                <w:b/>
                <w:spacing w:val="-4"/>
                <w:w w:val="105"/>
                <w:sz w:val="17"/>
              </w:rPr>
              <w:t>2022</w:t>
            </w:r>
            <w:r w:rsidRPr="00EB2BD8">
              <w:rPr>
                <w:rFonts w:ascii="Arial"/>
                <w:b/>
                <w:sz w:val="17"/>
              </w:rPr>
              <w:tab/>
            </w:r>
            <w:r w:rsidRPr="00EB2BD8">
              <w:rPr>
                <w:rFonts w:ascii="Arial"/>
                <w:b/>
                <w:spacing w:val="-4"/>
                <w:w w:val="105"/>
                <w:sz w:val="17"/>
              </w:rPr>
              <w:t>2023</w:t>
            </w:r>
            <w:r w:rsidRPr="00EB2BD8">
              <w:rPr>
                <w:rFonts w:ascii="Arial"/>
                <w:b/>
                <w:sz w:val="17"/>
              </w:rPr>
              <w:tab/>
            </w:r>
            <w:r w:rsidRPr="00EB2BD8">
              <w:rPr>
                <w:rFonts w:ascii="Arial"/>
                <w:b/>
                <w:spacing w:val="-4"/>
                <w:w w:val="105"/>
                <w:sz w:val="17"/>
              </w:rPr>
              <w:t>2022</w:t>
            </w:r>
            <w:r w:rsidRPr="00EB2BD8">
              <w:rPr>
                <w:rFonts w:ascii="Arial"/>
                <w:b/>
                <w:sz w:val="17"/>
              </w:rPr>
              <w:tab/>
            </w:r>
            <w:r w:rsidRPr="00EB2BD8">
              <w:rPr>
                <w:rFonts w:ascii="Arial"/>
                <w:b/>
                <w:spacing w:val="-4"/>
                <w:w w:val="105"/>
                <w:sz w:val="17"/>
              </w:rPr>
              <w:t>2023</w:t>
            </w:r>
            <w:r w:rsidRPr="00EB2BD8">
              <w:rPr>
                <w:rFonts w:ascii="Arial"/>
                <w:b/>
                <w:sz w:val="17"/>
              </w:rPr>
              <w:tab/>
            </w:r>
            <w:r w:rsidRPr="00EB2BD8">
              <w:rPr>
                <w:rFonts w:ascii="Arial"/>
                <w:b/>
                <w:spacing w:val="-4"/>
                <w:w w:val="105"/>
                <w:sz w:val="17"/>
              </w:rPr>
              <w:t>2022</w:t>
            </w:r>
          </w:p>
        </w:tc>
      </w:tr>
      <w:tr w:rsidR="00EB2BD8" w:rsidRPr="00EB2BD8" w14:paraId="5913D324" w14:textId="77777777">
        <w:trPr>
          <w:trHeight w:val="662"/>
        </w:trPr>
        <w:tc>
          <w:tcPr>
            <w:tcW w:w="3763" w:type="dxa"/>
            <w:tcBorders>
              <w:left w:val="nil"/>
              <w:bottom w:val="single" w:sz="12" w:space="0" w:color="000000"/>
              <w:right w:val="nil"/>
            </w:tcBorders>
            <w:shd w:val="clear" w:color="auto" w:fill="FFFFFF"/>
          </w:tcPr>
          <w:p w14:paraId="63EA9D61" w14:textId="77777777" w:rsidR="00084F36" w:rsidRPr="00EB2BD8" w:rsidRDefault="00EB2BD8">
            <w:pPr>
              <w:pStyle w:val="TableParagraph"/>
              <w:spacing w:before="68"/>
              <w:ind w:left="111"/>
              <w:rPr>
                <w:rFonts w:ascii="Arial"/>
                <w:b/>
                <w:sz w:val="17"/>
              </w:rPr>
            </w:pPr>
            <w:r w:rsidRPr="00EB2BD8">
              <w:rPr>
                <w:rFonts w:ascii="Arial"/>
                <w:b/>
                <w:spacing w:val="-2"/>
                <w:w w:val="105"/>
                <w:sz w:val="17"/>
              </w:rPr>
              <w:t>Contractual</w:t>
            </w:r>
            <w:r w:rsidRPr="00EB2BD8">
              <w:rPr>
                <w:rFonts w:ascii="Arial"/>
                <w:b/>
                <w:spacing w:val="7"/>
                <w:w w:val="105"/>
                <w:sz w:val="17"/>
              </w:rPr>
              <w:t xml:space="preserve"> </w:t>
            </w:r>
            <w:r w:rsidRPr="00EB2BD8">
              <w:rPr>
                <w:rFonts w:ascii="Arial"/>
                <w:b/>
                <w:spacing w:val="-2"/>
                <w:w w:val="105"/>
                <w:sz w:val="17"/>
              </w:rPr>
              <w:t>financial</w:t>
            </w:r>
            <w:r w:rsidRPr="00EB2BD8">
              <w:rPr>
                <w:rFonts w:ascii="Arial"/>
                <w:b/>
                <w:spacing w:val="7"/>
                <w:w w:val="105"/>
                <w:sz w:val="17"/>
              </w:rPr>
              <w:t xml:space="preserve"> </w:t>
            </w:r>
            <w:r w:rsidRPr="00EB2BD8">
              <w:rPr>
                <w:rFonts w:ascii="Arial"/>
                <w:b/>
                <w:spacing w:val="-2"/>
                <w:w w:val="105"/>
                <w:sz w:val="17"/>
              </w:rPr>
              <w:t>assets</w:t>
            </w:r>
          </w:p>
          <w:p w14:paraId="3AA47179" w14:textId="77777777" w:rsidR="00084F36" w:rsidRPr="00EB2BD8" w:rsidRDefault="00EB2BD8">
            <w:pPr>
              <w:pStyle w:val="TableParagraph"/>
              <w:spacing w:before="135"/>
              <w:ind w:left="111"/>
              <w:rPr>
                <w:rFonts w:ascii="Arial"/>
                <w:sz w:val="17"/>
              </w:rPr>
            </w:pPr>
            <w:r w:rsidRPr="00EB2BD8">
              <w:rPr>
                <w:rFonts w:ascii="Arial"/>
                <w:w w:val="105"/>
                <w:sz w:val="17"/>
              </w:rPr>
              <w:t>Cash</w:t>
            </w:r>
            <w:r w:rsidRPr="00EB2BD8">
              <w:rPr>
                <w:rFonts w:ascii="Arial"/>
                <w:spacing w:val="-6"/>
                <w:w w:val="105"/>
                <w:sz w:val="17"/>
              </w:rPr>
              <w:t xml:space="preserve"> </w:t>
            </w:r>
            <w:r w:rsidRPr="00EB2BD8">
              <w:rPr>
                <w:rFonts w:ascii="Arial"/>
                <w:w w:val="105"/>
                <w:sz w:val="17"/>
              </w:rPr>
              <w:t>and</w:t>
            </w:r>
            <w:r w:rsidRPr="00EB2BD8">
              <w:rPr>
                <w:rFonts w:ascii="Arial"/>
                <w:spacing w:val="-5"/>
                <w:w w:val="105"/>
                <w:sz w:val="17"/>
              </w:rPr>
              <w:t xml:space="preserve"> </w:t>
            </w:r>
            <w:r w:rsidRPr="00EB2BD8">
              <w:rPr>
                <w:rFonts w:ascii="Arial"/>
                <w:spacing w:val="-2"/>
                <w:w w:val="105"/>
                <w:sz w:val="17"/>
              </w:rPr>
              <w:t>deposits</w:t>
            </w:r>
          </w:p>
        </w:tc>
        <w:tc>
          <w:tcPr>
            <w:tcW w:w="976" w:type="dxa"/>
            <w:tcBorders>
              <w:left w:val="nil"/>
              <w:bottom w:val="single" w:sz="12" w:space="0" w:color="000000"/>
              <w:right w:val="nil"/>
            </w:tcBorders>
            <w:shd w:val="clear" w:color="auto" w:fill="DEEAF6"/>
          </w:tcPr>
          <w:p w14:paraId="51A203A0" w14:textId="77777777" w:rsidR="00084F36" w:rsidRPr="00EB2BD8" w:rsidRDefault="00084F36">
            <w:pPr>
              <w:pStyle w:val="TableParagraph"/>
              <w:rPr>
                <w:rFonts w:ascii="Arial"/>
                <w:sz w:val="20"/>
              </w:rPr>
            </w:pPr>
          </w:p>
          <w:p w14:paraId="4F71F4B4" w14:textId="77777777" w:rsidR="00084F36" w:rsidRPr="00EB2BD8" w:rsidRDefault="00EB2BD8">
            <w:pPr>
              <w:pStyle w:val="TableParagraph"/>
              <w:spacing w:before="169"/>
              <w:ind w:right="308"/>
              <w:jc w:val="right"/>
              <w:rPr>
                <w:rFonts w:ascii="Arial"/>
                <w:sz w:val="17"/>
              </w:rPr>
            </w:pPr>
            <w:r w:rsidRPr="00EB2BD8">
              <w:rPr>
                <w:rFonts w:ascii="Arial"/>
                <w:w w:val="104"/>
                <w:sz w:val="17"/>
              </w:rPr>
              <w:t>-</w:t>
            </w:r>
          </w:p>
        </w:tc>
        <w:tc>
          <w:tcPr>
            <w:tcW w:w="977" w:type="dxa"/>
            <w:tcBorders>
              <w:left w:val="nil"/>
              <w:bottom w:val="single" w:sz="12" w:space="0" w:color="000000"/>
              <w:right w:val="nil"/>
            </w:tcBorders>
            <w:shd w:val="clear" w:color="auto" w:fill="FFFFFF"/>
          </w:tcPr>
          <w:p w14:paraId="61C58697" w14:textId="77777777" w:rsidR="00084F36" w:rsidRPr="00EB2BD8" w:rsidRDefault="00084F36">
            <w:pPr>
              <w:pStyle w:val="TableParagraph"/>
              <w:rPr>
                <w:rFonts w:ascii="Arial"/>
                <w:sz w:val="20"/>
              </w:rPr>
            </w:pPr>
          </w:p>
          <w:p w14:paraId="71C92997" w14:textId="77777777" w:rsidR="00084F36" w:rsidRPr="00EB2BD8" w:rsidRDefault="00EB2BD8">
            <w:pPr>
              <w:pStyle w:val="TableParagraph"/>
              <w:spacing w:before="169"/>
              <w:ind w:right="306"/>
              <w:jc w:val="right"/>
              <w:rPr>
                <w:rFonts w:ascii="Arial"/>
                <w:sz w:val="17"/>
              </w:rPr>
            </w:pPr>
            <w:r w:rsidRPr="00EB2BD8">
              <w:rPr>
                <w:rFonts w:ascii="Arial"/>
                <w:w w:val="104"/>
                <w:sz w:val="17"/>
              </w:rPr>
              <w:t>-</w:t>
            </w:r>
          </w:p>
        </w:tc>
        <w:tc>
          <w:tcPr>
            <w:tcW w:w="976" w:type="dxa"/>
            <w:tcBorders>
              <w:left w:val="nil"/>
              <w:bottom w:val="single" w:sz="12" w:space="0" w:color="000000"/>
              <w:right w:val="nil"/>
            </w:tcBorders>
            <w:shd w:val="clear" w:color="auto" w:fill="DEEAF6"/>
          </w:tcPr>
          <w:p w14:paraId="4D4D84C9" w14:textId="77777777" w:rsidR="00084F36" w:rsidRPr="00EB2BD8" w:rsidRDefault="00084F36">
            <w:pPr>
              <w:pStyle w:val="TableParagraph"/>
              <w:rPr>
                <w:rFonts w:ascii="Arial"/>
                <w:sz w:val="20"/>
              </w:rPr>
            </w:pPr>
          </w:p>
          <w:p w14:paraId="31EBE178" w14:textId="77777777" w:rsidR="00084F36" w:rsidRPr="00EB2BD8" w:rsidRDefault="00EB2BD8">
            <w:pPr>
              <w:pStyle w:val="TableParagraph"/>
              <w:spacing w:before="169"/>
              <w:ind w:right="99"/>
              <w:jc w:val="right"/>
              <w:rPr>
                <w:rFonts w:ascii="Arial"/>
                <w:sz w:val="17"/>
              </w:rPr>
            </w:pPr>
            <w:r w:rsidRPr="00EB2BD8">
              <w:rPr>
                <w:rFonts w:ascii="Arial"/>
                <w:spacing w:val="-4"/>
                <w:w w:val="105"/>
                <w:sz w:val="17"/>
              </w:rPr>
              <w:t>1,602</w:t>
            </w:r>
          </w:p>
        </w:tc>
        <w:tc>
          <w:tcPr>
            <w:tcW w:w="977" w:type="dxa"/>
            <w:tcBorders>
              <w:left w:val="nil"/>
              <w:bottom w:val="single" w:sz="12" w:space="0" w:color="000000"/>
              <w:right w:val="nil"/>
            </w:tcBorders>
            <w:shd w:val="clear" w:color="auto" w:fill="FFFFFF"/>
          </w:tcPr>
          <w:p w14:paraId="41359940" w14:textId="77777777" w:rsidR="00084F36" w:rsidRPr="00EB2BD8" w:rsidRDefault="00084F36">
            <w:pPr>
              <w:pStyle w:val="TableParagraph"/>
              <w:rPr>
                <w:rFonts w:ascii="Arial"/>
                <w:sz w:val="20"/>
              </w:rPr>
            </w:pPr>
          </w:p>
          <w:p w14:paraId="4045123A" w14:textId="77777777" w:rsidR="00084F36" w:rsidRPr="00EB2BD8" w:rsidRDefault="00EB2BD8">
            <w:pPr>
              <w:pStyle w:val="TableParagraph"/>
              <w:spacing w:before="169"/>
              <w:ind w:right="99"/>
              <w:jc w:val="right"/>
              <w:rPr>
                <w:rFonts w:ascii="Arial"/>
                <w:sz w:val="17"/>
              </w:rPr>
            </w:pPr>
            <w:r w:rsidRPr="00EB2BD8">
              <w:rPr>
                <w:rFonts w:ascii="Arial"/>
                <w:spacing w:val="-5"/>
                <w:w w:val="105"/>
                <w:sz w:val="17"/>
              </w:rPr>
              <w:t>120</w:t>
            </w:r>
          </w:p>
        </w:tc>
        <w:tc>
          <w:tcPr>
            <w:tcW w:w="944" w:type="dxa"/>
            <w:tcBorders>
              <w:left w:val="nil"/>
              <w:bottom w:val="single" w:sz="12" w:space="0" w:color="000000"/>
              <w:right w:val="nil"/>
            </w:tcBorders>
            <w:shd w:val="clear" w:color="auto" w:fill="DEEAF6"/>
          </w:tcPr>
          <w:p w14:paraId="34D91D14" w14:textId="77777777" w:rsidR="00084F36" w:rsidRPr="00EB2BD8" w:rsidRDefault="00084F36">
            <w:pPr>
              <w:pStyle w:val="TableParagraph"/>
              <w:rPr>
                <w:rFonts w:ascii="Arial"/>
                <w:sz w:val="20"/>
              </w:rPr>
            </w:pPr>
          </w:p>
          <w:p w14:paraId="083D5239" w14:textId="77777777" w:rsidR="00084F36" w:rsidRPr="00EB2BD8" w:rsidRDefault="00EB2BD8">
            <w:pPr>
              <w:pStyle w:val="TableParagraph"/>
              <w:spacing w:before="169"/>
              <w:ind w:right="99"/>
              <w:jc w:val="right"/>
              <w:rPr>
                <w:rFonts w:ascii="Arial"/>
                <w:sz w:val="17"/>
              </w:rPr>
            </w:pPr>
            <w:r w:rsidRPr="00EB2BD8">
              <w:rPr>
                <w:rFonts w:ascii="Arial"/>
                <w:spacing w:val="-4"/>
                <w:w w:val="105"/>
                <w:sz w:val="17"/>
              </w:rPr>
              <w:t>1,602</w:t>
            </w:r>
          </w:p>
        </w:tc>
        <w:tc>
          <w:tcPr>
            <w:tcW w:w="953" w:type="dxa"/>
            <w:tcBorders>
              <w:left w:val="nil"/>
              <w:bottom w:val="single" w:sz="12" w:space="0" w:color="000000"/>
              <w:right w:val="nil"/>
            </w:tcBorders>
            <w:shd w:val="clear" w:color="auto" w:fill="FFFFFF"/>
          </w:tcPr>
          <w:p w14:paraId="338812E6" w14:textId="77777777" w:rsidR="00084F36" w:rsidRPr="00EB2BD8" w:rsidRDefault="00084F36">
            <w:pPr>
              <w:pStyle w:val="TableParagraph"/>
              <w:rPr>
                <w:rFonts w:ascii="Arial"/>
                <w:sz w:val="20"/>
              </w:rPr>
            </w:pPr>
          </w:p>
          <w:p w14:paraId="0649D242" w14:textId="77777777" w:rsidR="00084F36" w:rsidRPr="00EB2BD8" w:rsidRDefault="00EB2BD8">
            <w:pPr>
              <w:pStyle w:val="TableParagraph"/>
              <w:spacing w:before="169"/>
              <w:ind w:right="100"/>
              <w:jc w:val="right"/>
              <w:rPr>
                <w:rFonts w:ascii="Arial"/>
                <w:sz w:val="17"/>
              </w:rPr>
            </w:pPr>
            <w:r w:rsidRPr="00EB2BD8">
              <w:rPr>
                <w:rFonts w:ascii="Arial"/>
                <w:spacing w:val="-5"/>
                <w:w w:val="105"/>
                <w:sz w:val="17"/>
              </w:rPr>
              <w:t>120</w:t>
            </w:r>
          </w:p>
        </w:tc>
      </w:tr>
      <w:tr w:rsidR="00EB2BD8" w:rsidRPr="00EB2BD8" w14:paraId="79C9FAFD" w14:textId="77777777">
        <w:trPr>
          <w:trHeight w:val="305"/>
        </w:trPr>
        <w:tc>
          <w:tcPr>
            <w:tcW w:w="3763" w:type="dxa"/>
            <w:tcBorders>
              <w:top w:val="single" w:sz="12" w:space="0" w:color="000000"/>
              <w:left w:val="nil"/>
              <w:bottom w:val="single" w:sz="12" w:space="0" w:color="000000"/>
              <w:right w:val="nil"/>
            </w:tcBorders>
            <w:shd w:val="clear" w:color="auto" w:fill="FFFFFF"/>
          </w:tcPr>
          <w:p w14:paraId="6897E983" w14:textId="77777777" w:rsidR="00084F36" w:rsidRPr="00EB2BD8" w:rsidRDefault="00EB2BD8">
            <w:pPr>
              <w:pStyle w:val="TableParagraph"/>
              <w:spacing w:before="57"/>
              <w:ind w:left="111"/>
              <w:rPr>
                <w:rFonts w:ascii="Arial"/>
                <w:b/>
                <w:sz w:val="17"/>
              </w:rPr>
            </w:pPr>
            <w:r w:rsidRPr="00EB2BD8">
              <w:rPr>
                <w:rFonts w:ascii="Arial"/>
                <w:b/>
                <w:w w:val="105"/>
                <w:sz w:val="17"/>
              </w:rPr>
              <w:t>Total</w:t>
            </w:r>
            <w:r w:rsidRPr="00EB2BD8">
              <w:rPr>
                <w:rFonts w:ascii="Arial"/>
                <w:b/>
                <w:spacing w:val="-11"/>
                <w:w w:val="105"/>
                <w:sz w:val="17"/>
              </w:rPr>
              <w:t xml:space="preserve"> </w:t>
            </w:r>
            <w:r w:rsidRPr="00EB2BD8">
              <w:rPr>
                <w:rFonts w:ascii="Arial"/>
                <w:b/>
                <w:w w:val="105"/>
                <w:sz w:val="17"/>
              </w:rPr>
              <w:t>contractual</w:t>
            </w:r>
            <w:r w:rsidRPr="00EB2BD8">
              <w:rPr>
                <w:rFonts w:ascii="Arial"/>
                <w:b/>
                <w:spacing w:val="-10"/>
                <w:w w:val="105"/>
                <w:sz w:val="17"/>
              </w:rPr>
              <w:t xml:space="preserve"> </w:t>
            </w:r>
            <w:r w:rsidRPr="00EB2BD8">
              <w:rPr>
                <w:rFonts w:ascii="Arial"/>
                <w:b/>
                <w:w w:val="105"/>
                <w:sz w:val="17"/>
              </w:rPr>
              <w:t>financial</w:t>
            </w:r>
            <w:r w:rsidRPr="00EB2BD8">
              <w:rPr>
                <w:rFonts w:ascii="Arial"/>
                <w:b/>
                <w:spacing w:val="-10"/>
                <w:w w:val="105"/>
                <w:sz w:val="17"/>
              </w:rPr>
              <w:t xml:space="preserve"> </w:t>
            </w:r>
            <w:r w:rsidRPr="00EB2BD8">
              <w:rPr>
                <w:rFonts w:ascii="Arial"/>
                <w:b/>
                <w:spacing w:val="-2"/>
                <w:w w:val="105"/>
                <w:sz w:val="17"/>
              </w:rPr>
              <w:t>assets</w:t>
            </w:r>
          </w:p>
        </w:tc>
        <w:tc>
          <w:tcPr>
            <w:tcW w:w="976" w:type="dxa"/>
            <w:tcBorders>
              <w:top w:val="single" w:sz="12" w:space="0" w:color="000000"/>
              <w:left w:val="nil"/>
              <w:bottom w:val="single" w:sz="12" w:space="0" w:color="000000"/>
              <w:right w:val="nil"/>
            </w:tcBorders>
            <w:shd w:val="clear" w:color="auto" w:fill="DEEAF6"/>
          </w:tcPr>
          <w:p w14:paraId="26E633D6" w14:textId="77777777" w:rsidR="00084F36" w:rsidRPr="00EB2BD8" w:rsidRDefault="00EB2BD8">
            <w:pPr>
              <w:pStyle w:val="TableParagraph"/>
              <w:spacing w:before="57"/>
              <w:ind w:right="308"/>
              <w:jc w:val="right"/>
              <w:rPr>
                <w:rFonts w:ascii="Arial"/>
                <w:b/>
                <w:sz w:val="17"/>
              </w:rPr>
            </w:pPr>
            <w:r w:rsidRPr="00EB2BD8">
              <w:rPr>
                <w:rFonts w:ascii="Arial"/>
                <w:b/>
                <w:w w:val="104"/>
                <w:sz w:val="17"/>
              </w:rPr>
              <w:t>-</w:t>
            </w:r>
          </w:p>
        </w:tc>
        <w:tc>
          <w:tcPr>
            <w:tcW w:w="977" w:type="dxa"/>
            <w:tcBorders>
              <w:top w:val="single" w:sz="12" w:space="0" w:color="000000"/>
              <w:left w:val="nil"/>
              <w:bottom w:val="single" w:sz="12" w:space="0" w:color="000000"/>
              <w:right w:val="nil"/>
            </w:tcBorders>
            <w:shd w:val="clear" w:color="auto" w:fill="FFFFFF"/>
          </w:tcPr>
          <w:p w14:paraId="685F6C23" w14:textId="77777777" w:rsidR="00084F36" w:rsidRPr="00EB2BD8" w:rsidRDefault="00EB2BD8">
            <w:pPr>
              <w:pStyle w:val="TableParagraph"/>
              <w:spacing w:before="57"/>
              <w:ind w:right="306"/>
              <w:jc w:val="right"/>
              <w:rPr>
                <w:rFonts w:ascii="Arial"/>
                <w:b/>
                <w:sz w:val="17"/>
              </w:rPr>
            </w:pPr>
            <w:r w:rsidRPr="00EB2BD8">
              <w:rPr>
                <w:rFonts w:ascii="Arial"/>
                <w:b/>
                <w:w w:val="104"/>
                <w:sz w:val="17"/>
              </w:rPr>
              <w:t>-</w:t>
            </w:r>
          </w:p>
        </w:tc>
        <w:tc>
          <w:tcPr>
            <w:tcW w:w="976" w:type="dxa"/>
            <w:tcBorders>
              <w:top w:val="single" w:sz="12" w:space="0" w:color="000000"/>
              <w:left w:val="nil"/>
              <w:bottom w:val="single" w:sz="12" w:space="0" w:color="000000"/>
              <w:right w:val="nil"/>
            </w:tcBorders>
            <w:shd w:val="clear" w:color="auto" w:fill="DEEAF6"/>
          </w:tcPr>
          <w:p w14:paraId="2FC45AED" w14:textId="77777777" w:rsidR="00084F36" w:rsidRPr="00EB2BD8" w:rsidRDefault="00EB2BD8">
            <w:pPr>
              <w:pStyle w:val="TableParagraph"/>
              <w:spacing w:before="57"/>
              <w:ind w:right="99"/>
              <w:jc w:val="right"/>
              <w:rPr>
                <w:rFonts w:ascii="Arial"/>
                <w:b/>
                <w:sz w:val="17"/>
              </w:rPr>
            </w:pPr>
            <w:r w:rsidRPr="00EB2BD8">
              <w:rPr>
                <w:rFonts w:ascii="Arial"/>
                <w:b/>
                <w:spacing w:val="-4"/>
                <w:w w:val="105"/>
                <w:sz w:val="17"/>
              </w:rPr>
              <w:t>1,602</w:t>
            </w:r>
          </w:p>
        </w:tc>
        <w:tc>
          <w:tcPr>
            <w:tcW w:w="977" w:type="dxa"/>
            <w:tcBorders>
              <w:top w:val="single" w:sz="12" w:space="0" w:color="000000"/>
              <w:left w:val="nil"/>
              <w:bottom w:val="single" w:sz="12" w:space="0" w:color="000000"/>
              <w:right w:val="nil"/>
            </w:tcBorders>
            <w:shd w:val="clear" w:color="auto" w:fill="FFFFFF"/>
          </w:tcPr>
          <w:p w14:paraId="1AE0F245" w14:textId="77777777" w:rsidR="00084F36" w:rsidRPr="00EB2BD8" w:rsidRDefault="00EB2BD8">
            <w:pPr>
              <w:pStyle w:val="TableParagraph"/>
              <w:spacing w:before="57"/>
              <w:ind w:right="101"/>
              <w:jc w:val="right"/>
              <w:rPr>
                <w:rFonts w:ascii="Arial"/>
                <w:b/>
                <w:sz w:val="17"/>
              </w:rPr>
            </w:pPr>
            <w:r w:rsidRPr="00EB2BD8">
              <w:rPr>
                <w:rFonts w:ascii="Arial"/>
                <w:b/>
                <w:spacing w:val="-5"/>
                <w:w w:val="105"/>
                <w:sz w:val="17"/>
              </w:rPr>
              <w:t>120</w:t>
            </w:r>
          </w:p>
        </w:tc>
        <w:tc>
          <w:tcPr>
            <w:tcW w:w="944" w:type="dxa"/>
            <w:tcBorders>
              <w:top w:val="single" w:sz="12" w:space="0" w:color="000000"/>
              <w:left w:val="nil"/>
              <w:bottom w:val="single" w:sz="12" w:space="0" w:color="000000"/>
              <w:right w:val="nil"/>
            </w:tcBorders>
            <w:shd w:val="clear" w:color="auto" w:fill="DEEAF6"/>
          </w:tcPr>
          <w:p w14:paraId="42BAEF13" w14:textId="77777777" w:rsidR="00084F36" w:rsidRPr="00EB2BD8" w:rsidRDefault="00EB2BD8">
            <w:pPr>
              <w:pStyle w:val="TableParagraph"/>
              <w:spacing w:before="57"/>
              <w:ind w:right="99"/>
              <w:jc w:val="right"/>
              <w:rPr>
                <w:rFonts w:ascii="Arial"/>
                <w:b/>
                <w:sz w:val="17"/>
              </w:rPr>
            </w:pPr>
            <w:r w:rsidRPr="00EB2BD8">
              <w:rPr>
                <w:rFonts w:ascii="Arial"/>
                <w:b/>
                <w:spacing w:val="-4"/>
                <w:w w:val="105"/>
                <w:sz w:val="17"/>
              </w:rPr>
              <w:t>1,602</w:t>
            </w:r>
          </w:p>
        </w:tc>
        <w:tc>
          <w:tcPr>
            <w:tcW w:w="953" w:type="dxa"/>
            <w:tcBorders>
              <w:top w:val="single" w:sz="12" w:space="0" w:color="000000"/>
              <w:left w:val="nil"/>
              <w:bottom w:val="single" w:sz="12" w:space="0" w:color="000000"/>
              <w:right w:val="nil"/>
            </w:tcBorders>
            <w:shd w:val="clear" w:color="auto" w:fill="FFFFFF"/>
          </w:tcPr>
          <w:p w14:paraId="1872739D" w14:textId="77777777" w:rsidR="00084F36" w:rsidRPr="00EB2BD8" w:rsidRDefault="00EB2BD8">
            <w:pPr>
              <w:pStyle w:val="TableParagraph"/>
              <w:spacing w:before="57"/>
              <w:ind w:right="99"/>
              <w:jc w:val="right"/>
              <w:rPr>
                <w:rFonts w:ascii="Arial"/>
                <w:b/>
                <w:sz w:val="17"/>
              </w:rPr>
            </w:pPr>
            <w:r w:rsidRPr="00EB2BD8">
              <w:rPr>
                <w:rFonts w:ascii="Arial"/>
                <w:b/>
                <w:spacing w:val="-5"/>
                <w:w w:val="105"/>
                <w:sz w:val="17"/>
              </w:rPr>
              <w:t>120</w:t>
            </w:r>
          </w:p>
        </w:tc>
      </w:tr>
      <w:tr w:rsidR="00EB2BD8" w:rsidRPr="00EB2BD8" w14:paraId="776E883F" w14:textId="77777777">
        <w:trPr>
          <w:trHeight w:val="642"/>
        </w:trPr>
        <w:tc>
          <w:tcPr>
            <w:tcW w:w="3763" w:type="dxa"/>
            <w:tcBorders>
              <w:top w:val="single" w:sz="12" w:space="0" w:color="000000"/>
              <w:left w:val="nil"/>
              <w:bottom w:val="single" w:sz="12" w:space="0" w:color="000000"/>
              <w:right w:val="nil"/>
            </w:tcBorders>
            <w:shd w:val="clear" w:color="auto" w:fill="FFFFFF"/>
          </w:tcPr>
          <w:p w14:paraId="54AEBB83" w14:textId="77777777" w:rsidR="00084F36" w:rsidRPr="00EB2BD8" w:rsidRDefault="00EB2BD8">
            <w:pPr>
              <w:pStyle w:val="TableParagraph"/>
              <w:spacing w:before="57"/>
              <w:ind w:left="111"/>
              <w:rPr>
                <w:rFonts w:ascii="Arial"/>
                <w:b/>
                <w:sz w:val="17"/>
              </w:rPr>
            </w:pPr>
            <w:r w:rsidRPr="00EB2BD8">
              <w:rPr>
                <w:rFonts w:ascii="Arial"/>
                <w:b/>
                <w:spacing w:val="-2"/>
                <w:w w:val="105"/>
                <w:sz w:val="17"/>
              </w:rPr>
              <w:t>Contractual</w:t>
            </w:r>
            <w:r w:rsidRPr="00EB2BD8">
              <w:rPr>
                <w:rFonts w:ascii="Arial"/>
                <w:b/>
                <w:spacing w:val="7"/>
                <w:w w:val="105"/>
                <w:sz w:val="17"/>
              </w:rPr>
              <w:t xml:space="preserve"> </w:t>
            </w:r>
            <w:r w:rsidRPr="00EB2BD8">
              <w:rPr>
                <w:rFonts w:ascii="Arial"/>
                <w:b/>
                <w:spacing w:val="-2"/>
                <w:w w:val="105"/>
                <w:sz w:val="17"/>
              </w:rPr>
              <w:t>financial</w:t>
            </w:r>
            <w:r w:rsidRPr="00EB2BD8">
              <w:rPr>
                <w:rFonts w:ascii="Arial"/>
                <w:b/>
                <w:spacing w:val="7"/>
                <w:w w:val="105"/>
                <w:sz w:val="17"/>
              </w:rPr>
              <w:t xml:space="preserve"> </w:t>
            </w:r>
            <w:r w:rsidRPr="00EB2BD8">
              <w:rPr>
                <w:rFonts w:ascii="Arial"/>
                <w:b/>
                <w:spacing w:val="-2"/>
                <w:w w:val="105"/>
                <w:sz w:val="17"/>
              </w:rPr>
              <w:t>liabilities</w:t>
            </w:r>
          </w:p>
          <w:p w14:paraId="4E5C7751" w14:textId="77777777" w:rsidR="00084F36" w:rsidRPr="00EB2BD8" w:rsidRDefault="00EB2BD8">
            <w:pPr>
              <w:pStyle w:val="TableParagraph"/>
              <w:spacing w:before="126"/>
              <w:ind w:left="111"/>
              <w:rPr>
                <w:rFonts w:ascii="Arial"/>
                <w:sz w:val="17"/>
              </w:rPr>
            </w:pPr>
            <w:r w:rsidRPr="00EB2BD8">
              <w:rPr>
                <w:rFonts w:ascii="Arial"/>
                <w:sz w:val="17"/>
              </w:rPr>
              <w:t>Interest-bearing</w:t>
            </w:r>
            <w:r w:rsidRPr="00EB2BD8">
              <w:rPr>
                <w:rFonts w:ascii="Arial"/>
                <w:spacing w:val="43"/>
                <w:sz w:val="17"/>
              </w:rPr>
              <w:t xml:space="preserve"> </w:t>
            </w:r>
            <w:r w:rsidRPr="00EB2BD8">
              <w:rPr>
                <w:rFonts w:ascii="Arial"/>
                <w:spacing w:val="-2"/>
                <w:sz w:val="17"/>
              </w:rPr>
              <w:t>liabilities</w:t>
            </w:r>
          </w:p>
        </w:tc>
        <w:tc>
          <w:tcPr>
            <w:tcW w:w="976" w:type="dxa"/>
            <w:tcBorders>
              <w:top w:val="single" w:sz="12" w:space="0" w:color="000000"/>
              <w:left w:val="nil"/>
              <w:bottom w:val="single" w:sz="12" w:space="0" w:color="000000"/>
              <w:right w:val="nil"/>
            </w:tcBorders>
            <w:shd w:val="clear" w:color="auto" w:fill="DEEAF6"/>
          </w:tcPr>
          <w:p w14:paraId="4C5A3963" w14:textId="77777777" w:rsidR="00084F36" w:rsidRPr="00EB2BD8" w:rsidRDefault="00084F36">
            <w:pPr>
              <w:pStyle w:val="TableParagraph"/>
              <w:rPr>
                <w:rFonts w:ascii="Arial"/>
                <w:sz w:val="20"/>
              </w:rPr>
            </w:pPr>
          </w:p>
          <w:p w14:paraId="3C587870" w14:textId="77777777" w:rsidR="00084F36" w:rsidRPr="00EB2BD8" w:rsidRDefault="00EB2BD8">
            <w:pPr>
              <w:pStyle w:val="TableParagraph"/>
              <w:spacing w:before="149"/>
              <w:ind w:right="308"/>
              <w:jc w:val="right"/>
              <w:rPr>
                <w:rFonts w:ascii="Arial"/>
                <w:sz w:val="17"/>
              </w:rPr>
            </w:pPr>
            <w:r w:rsidRPr="00EB2BD8">
              <w:rPr>
                <w:rFonts w:ascii="Arial"/>
                <w:w w:val="104"/>
                <w:sz w:val="17"/>
              </w:rPr>
              <w:t>-</w:t>
            </w:r>
          </w:p>
        </w:tc>
        <w:tc>
          <w:tcPr>
            <w:tcW w:w="977" w:type="dxa"/>
            <w:tcBorders>
              <w:top w:val="single" w:sz="12" w:space="0" w:color="000000"/>
              <w:left w:val="nil"/>
              <w:bottom w:val="single" w:sz="12" w:space="0" w:color="000000"/>
              <w:right w:val="nil"/>
            </w:tcBorders>
            <w:shd w:val="clear" w:color="auto" w:fill="FFFFFF"/>
          </w:tcPr>
          <w:p w14:paraId="291122A0" w14:textId="77777777" w:rsidR="00084F36" w:rsidRPr="00EB2BD8" w:rsidRDefault="00084F36">
            <w:pPr>
              <w:pStyle w:val="TableParagraph"/>
              <w:rPr>
                <w:rFonts w:ascii="Arial"/>
                <w:sz w:val="20"/>
              </w:rPr>
            </w:pPr>
          </w:p>
          <w:p w14:paraId="116A27F9" w14:textId="77777777" w:rsidR="00084F36" w:rsidRPr="00EB2BD8" w:rsidRDefault="00EB2BD8">
            <w:pPr>
              <w:pStyle w:val="TableParagraph"/>
              <w:spacing w:before="149"/>
              <w:ind w:right="306"/>
              <w:jc w:val="right"/>
              <w:rPr>
                <w:rFonts w:ascii="Arial"/>
                <w:sz w:val="17"/>
              </w:rPr>
            </w:pPr>
            <w:r w:rsidRPr="00EB2BD8">
              <w:rPr>
                <w:rFonts w:ascii="Arial"/>
                <w:w w:val="104"/>
                <w:sz w:val="17"/>
              </w:rPr>
              <w:t>-</w:t>
            </w:r>
          </w:p>
        </w:tc>
        <w:tc>
          <w:tcPr>
            <w:tcW w:w="976" w:type="dxa"/>
            <w:tcBorders>
              <w:top w:val="single" w:sz="12" w:space="0" w:color="000000"/>
              <w:left w:val="nil"/>
              <w:bottom w:val="single" w:sz="12" w:space="0" w:color="000000"/>
              <w:right w:val="nil"/>
            </w:tcBorders>
            <w:shd w:val="clear" w:color="auto" w:fill="DEEAF6"/>
          </w:tcPr>
          <w:p w14:paraId="308C38C0" w14:textId="77777777" w:rsidR="00084F36" w:rsidRPr="00EB2BD8" w:rsidRDefault="00084F36">
            <w:pPr>
              <w:pStyle w:val="TableParagraph"/>
              <w:rPr>
                <w:rFonts w:ascii="Arial"/>
                <w:sz w:val="20"/>
              </w:rPr>
            </w:pPr>
          </w:p>
          <w:p w14:paraId="0E69E78F" w14:textId="77777777" w:rsidR="00084F36" w:rsidRPr="00EB2BD8" w:rsidRDefault="00EB2BD8">
            <w:pPr>
              <w:pStyle w:val="TableParagraph"/>
              <w:spacing w:before="149"/>
              <w:ind w:right="100"/>
              <w:jc w:val="right"/>
              <w:rPr>
                <w:rFonts w:ascii="Arial"/>
                <w:sz w:val="17"/>
              </w:rPr>
            </w:pPr>
            <w:r w:rsidRPr="00EB2BD8">
              <w:rPr>
                <w:rFonts w:ascii="Arial"/>
                <w:spacing w:val="-4"/>
                <w:w w:val="105"/>
                <w:sz w:val="17"/>
              </w:rPr>
              <w:t>(139)</w:t>
            </w:r>
          </w:p>
        </w:tc>
        <w:tc>
          <w:tcPr>
            <w:tcW w:w="977" w:type="dxa"/>
            <w:tcBorders>
              <w:top w:val="single" w:sz="12" w:space="0" w:color="000000"/>
              <w:left w:val="nil"/>
              <w:bottom w:val="single" w:sz="12" w:space="0" w:color="000000"/>
              <w:right w:val="nil"/>
            </w:tcBorders>
            <w:shd w:val="clear" w:color="auto" w:fill="FFFFFF"/>
          </w:tcPr>
          <w:p w14:paraId="0FE50935" w14:textId="77777777" w:rsidR="00084F36" w:rsidRPr="00EB2BD8" w:rsidRDefault="00084F36">
            <w:pPr>
              <w:pStyle w:val="TableParagraph"/>
              <w:rPr>
                <w:rFonts w:ascii="Arial"/>
                <w:sz w:val="20"/>
              </w:rPr>
            </w:pPr>
          </w:p>
          <w:p w14:paraId="609EE8D4" w14:textId="77777777" w:rsidR="00084F36" w:rsidRPr="00EB2BD8" w:rsidRDefault="00EB2BD8">
            <w:pPr>
              <w:pStyle w:val="TableParagraph"/>
              <w:spacing w:before="149"/>
              <w:ind w:right="101"/>
              <w:jc w:val="right"/>
              <w:rPr>
                <w:rFonts w:ascii="Arial"/>
                <w:sz w:val="17"/>
              </w:rPr>
            </w:pPr>
            <w:r w:rsidRPr="00EB2BD8">
              <w:rPr>
                <w:rFonts w:ascii="Arial"/>
                <w:spacing w:val="-4"/>
                <w:w w:val="105"/>
                <w:sz w:val="17"/>
              </w:rPr>
              <w:t>(187)</w:t>
            </w:r>
          </w:p>
        </w:tc>
        <w:tc>
          <w:tcPr>
            <w:tcW w:w="944" w:type="dxa"/>
            <w:tcBorders>
              <w:top w:val="single" w:sz="12" w:space="0" w:color="000000"/>
              <w:left w:val="nil"/>
              <w:bottom w:val="single" w:sz="12" w:space="0" w:color="000000"/>
              <w:right w:val="nil"/>
            </w:tcBorders>
            <w:shd w:val="clear" w:color="auto" w:fill="DEEAF6"/>
          </w:tcPr>
          <w:p w14:paraId="4B56FE28" w14:textId="77777777" w:rsidR="00084F36" w:rsidRPr="00EB2BD8" w:rsidRDefault="00084F36">
            <w:pPr>
              <w:pStyle w:val="TableParagraph"/>
              <w:rPr>
                <w:rFonts w:ascii="Arial"/>
                <w:sz w:val="20"/>
              </w:rPr>
            </w:pPr>
          </w:p>
          <w:p w14:paraId="63612902" w14:textId="77777777" w:rsidR="00084F36" w:rsidRPr="00EB2BD8" w:rsidRDefault="00EB2BD8">
            <w:pPr>
              <w:pStyle w:val="TableParagraph"/>
              <w:spacing w:before="149"/>
              <w:ind w:right="100"/>
              <w:jc w:val="right"/>
              <w:rPr>
                <w:rFonts w:ascii="Arial"/>
                <w:sz w:val="17"/>
              </w:rPr>
            </w:pPr>
            <w:r w:rsidRPr="00EB2BD8">
              <w:rPr>
                <w:rFonts w:ascii="Arial"/>
                <w:spacing w:val="-4"/>
                <w:w w:val="105"/>
                <w:sz w:val="17"/>
              </w:rPr>
              <w:t>(139)</w:t>
            </w:r>
          </w:p>
        </w:tc>
        <w:tc>
          <w:tcPr>
            <w:tcW w:w="953" w:type="dxa"/>
            <w:tcBorders>
              <w:top w:val="single" w:sz="12" w:space="0" w:color="000000"/>
              <w:left w:val="nil"/>
              <w:bottom w:val="single" w:sz="12" w:space="0" w:color="000000"/>
              <w:right w:val="nil"/>
            </w:tcBorders>
            <w:shd w:val="clear" w:color="auto" w:fill="FFFFFF"/>
          </w:tcPr>
          <w:p w14:paraId="216F21D2" w14:textId="77777777" w:rsidR="00084F36" w:rsidRPr="00EB2BD8" w:rsidRDefault="00084F36">
            <w:pPr>
              <w:pStyle w:val="TableParagraph"/>
              <w:rPr>
                <w:rFonts w:ascii="Arial"/>
                <w:sz w:val="20"/>
              </w:rPr>
            </w:pPr>
          </w:p>
          <w:p w14:paraId="3F7144F0" w14:textId="77777777" w:rsidR="00084F36" w:rsidRPr="00EB2BD8" w:rsidRDefault="00EB2BD8">
            <w:pPr>
              <w:pStyle w:val="TableParagraph"/>
              <w:spacing w:before="149"/>
              <w:ind w:right="99"/>
              <w:jc w:val="right"/>
              <w:rPr>
                <w:rFonts w:ascii="Arial"/>
                <w:sz w:val="17"/>
              </w:rPr>
            </w:pPr>
            <w:r w:rsidRPr="00EB2BD8">
              <w:rPr>
                <w:rFonts w:ascii="Arial"/>
                <w:spacing w:val="-4"/>
                <w:w w:val="105"/>
                <w:sz w:val="17"/>
              </w:rPr>
              <w:t>(187)</w:t>
            </w:r>
          </w:p>
        </w:tc>
      </w:tr>
      <w:tr w:rsidR="00EB2BD8" w:rsidRPr="00EB2BD8" w14:paraId="527862F0" w14:textId="77777777">
        <w:trPr>
          <w:trHeight w:val="305"/>
        </w:trPr>
        <w:tc>
          <w:tcPr>
            <w:tcW w:w="3763" w:type="dxa"/>
            <w:tcBorders>
              <w:top w:val="single" w:sz="12" w:space="0" w:color="000000"/>
              <w:left w:val="nil"/>
              <w:bottom w:val="single" w:sz="12" w:space="0" w:color="000000"/>
              <w:right w:val="nil"/>
            </w:tcBorders>
            <w:shd w:val="clear" w:color="auto" w:fill="FFFFFF"/>
          </w:tcPr>
          <w:p w14:paraId="666DC9A7" w14:textId="77777777" w:rsidR="00084F36" w:rsidRPr="00EB2BD8" w:rsidRDefault="00EB2BD8">
            <w:pPr>
              <w:pStyle w:val="TableParagraph"/>
              <w:spacing w:before="57"/>
              <w:ind w:left="111"/>
              <w:rPr>
                <w:rFonts w:ascii="Arial"/>
                <w:b/>
                <w:sz w:val="17"/>
              </w:rPr>
            </w:pPr>
            <w:r w:rsidRPr="00EB2BD8">
              <w:rPr>
                <w:rFonts w:ascii="Arial"/>
                <w:b/>
                <w:w w:val="105"/>
                <w:sz w:val="17"/>
              </w:rPr>
              <w:t>Total</w:t>
            </w:r>
            <w:r w:rsidRPr="00EB2BD8">
              <w:rPr>
                <w:rFonts w:ascii="Arial"/>
                <w:b/>
                <w:spacing w:val="-11"/>
                <w:w w:val="105"/>
                <w:sz w:val="17"/>
              </w:rPr>
              <w:t xml:space="preserve"> </w:t>
            </w:r>
            <w:r w:rsidRPr="00EB2BD8">
              <w:rPr>
                <w:rFonts w:ascii="Arial"/>
                <w:b/>
                <w:w w:val="105"/>
                <w:sz w:val="17"/>
              </w:rPr>
              <w:t>contractual</w:t>
            </w:r>
            <w:r w:rsidRPr="00EB2BD8">
              <w:rPr>
                <w:rFonts w:ascii="Arial"/>
                <w:b/>
                <w:spacing w:val="-10"/>
                <w:w w:val="105"/>
                <w:sz w:val="17"/>
              </w:rPr>
              <w:t xml:space="preserve"> </w:t>
            </w:r>
            <w:r w:rsidRPr="00EB2BD8">
              <w:rPr>
                <w:rFonts w:ascii="Arial"/>
                <w:b/>
                <w:w w:val="105"/>
                <w:sz w:val="17"/>
              </w:rPr>
              <w:t>financial</w:t>
            </w:r>
            <w:r w:rsidRPr="00EB2BD8">
              <w:rPr>
                <w:rFonts w:ascii="Arial"/>
                <w:b/>
                <w:spacing w:val="-11"/>
                <w:w w:val="105"/>
                <w:sz w:val="17"/>
              </w:rPr>
              <w:t xml:space="preserve"> </w:t>
            </w:r>
            <w:r w:rsidRPr="00EB2BD8">
              <w:rPr>
                <w:rFonts w:ascii="Arial"/>
                <w:b/>
                <w:spacing w:val="-2"/>
                <w:w w:val="105"/>
                <w:sz w:val="17"/>
              </w:rPr>
              <w:t>liabilities</w:t>
            </w:r>
          </w:p>
        </w:tc>
        <w:tc>
          <w:tcPr>
            <w:tcW w:w="976" w:type="dxa"/>
            <w:tcBorders>
              <w:top w:val="single" w:sz="12" w:space="0" w:color="000000"/>
              <w:left w:val="nil"/>
              <w:bottom w:val="single" w:sz="12" w:space="0" w:color="000000"/>
              <w:right w:val="nil"/>
            </w:tcBorders>
            <w:shd w:val="clear" w:color="auto" w:fill="DEEAF6"/>
          </w:tcPr>
          <w:p w14:paraId="1CDDF3BF" w14:textId="77777777" w:rsidR="00084F36" w:rsidRPr="00EB2BD8" w:rsidRDefault="00EB2BD8">
            <w:pPr>
              <w:pStyle w:val="TableParagraph"/>
              <w:spacing w:before="57"/>
              <w:ind w:right="308"/>
              <w:jc w:val="right"/>
              <w:rPr>
                <w:rFonts w:ascii="Arial"/>
                <w:b/>
                <w:sz w:val="17"/>
              </w:rPr>
            </w:pPr>
            <w:r w:rsidRPr="00EB2BD8">
              <w:rPr>
                <w:rFonts w:ascii="Arial"/>
                <w:b/>
                <w:w w:val="104"/>
                <w:sz w:val="17"/>
              </w:rPr>
              <w:t>-</w:t>
            </w:r>
          </w:p>
        </w:tc>
        <w:tc>
          <w:tcPr>
            <w:tcW w:w="977" w:type="dxa"/>
            <w:tcBorders>
              <w:top w:val="single" w:sz="12" w:space="0" w:color="000000"/>
              <w:left w:val="nil"/>
              <w:bottom w:val="single" w:sz="12" w:space="0" w:color="000000"/>
              <w:right w:val="nil"/>
            </w:tcBorders>
            <w:shd w:val="clear" w:color="auto" w:fill="FFFFFF"/>
          </w:tcPr>
          <w:p w14:paraId="09DCA555" w14:textId="77777777" w:rsidR="00084F36" w:rsidRPr="00EB2BD8" w:rsidRDefault="00EB2BD8">
            <w:pPr>
              <w:pStyle w:val="TableParagraph"/>
              <w:spacing w:before="57"/>
              <w:ind w:right="306"/>
              <w:jc w:val="right"/>
              <w:rPr>
                <w:rFonts w:ascii="Arial"/>
                <w:b/>
                <w:sz w:val="17"/>
              </w:rPr>
            </w:pPr>
            <w:r w:rsidRPr="00EB2BD8">
              <w:rPr>
                <w:rFonts w:ascii="Arial"/>
                <w:b/>
                <w:w w:val="104"/>
                <w:sz w:val="17"/>
              </w:rPr>
              <w:t>-</w:t>
            </w:r>
          </w:p>
        </w:tc>
        <w:tc>
          <w:tcPr>
            <w:tcW w:w="976" w:type="dxa"/>
            <w:tcBorders>
              <w:top w:val="single" w:sz="12" w:space="0" w:color="000000"/>
              <w:left w:val="nil"/>
              <w:bottom w:val="single" w:sz="12" w:space="0" w:color="000000"/>
              <w:right w:val="nil"/>
            </w:tcBorders>
            <w:shd w:val="clear" w:color="auto" w:fill="DEEAF6"/>
          </w:tcPr>
          <w:p w14:paraId="70BF512B" w14:textId="77777777" w:rsidR="00084F36" w:rsidRPr="00EB2BD8" w:rsidRDefault="00EB2BD8">
            <w:pPr>
              <w:pStyle w:val="TableParagraph"/>
              <w:spacing w:before="57"/>
              <w:ind w:right="100"/>
              <w:jc w:val="right"/>
              <w:rPr>
                <w:rFonts w:ascii="Arial"/>
                <w:b/>
                <w:sz w:val="17"/>
              </w:rPr>
            </w:pPr>
            <w:r w:rsidRPr="00EB2BD8">
              <w:rPr>
                <w:rFonts w:ascii="Arial"/>
                <w:b/>
                <w:spacing w:val="-4"/>
                <w:w w:val="105"/>
                <w:sz w:val="17"/>
              </w:rPr>
              <w:t>(139)</w:t>
            </w:r>
          </w:p>
        </w:tc>
        <w:tc>
          <w:tcPr>
            <w:tcW w:w="977" w:type="dxa"/>
            <w:tcBorders>
              <w:top w:val="single" w:sz="12" w:space="0" w:color="000000"/>
              <w:left w:val="nil"/>
              <w:bottom w:val="single" w:sz="12" w:space="0" w:color="000000"/>
              <w:right w:val="nil"/>
            </w:tcBorders>
            <w:shd w:val="clear" w:color="auto" w:fill="FFFFFF"/>
          </w:tcPr>
          <w:p w14:paraId="7699CDA9" w14:textId="77777777" w:rsidR="00084F36" w:rsidRPr="00EB2BD8" w:rsidRDefault="00EB2BD8">
            <w:pPr>
              <w:pStyle w:val="TableParagraph"/>
              <w:spacing w:before="57"/>
              <w:ind w:right="101"/>
              <w:jc w:val="right"/>
              <w:rPr>
                <w:rFonts w:ascii="Arial"/>
                <w:b/>
                <w:sz w:val="17"/>
              </w:rPr>
            </w:pPr>
            <w:r w:rsidRPr="00EB2BD8">
              <w:rPr>
                <w:rFonts w:ascii="Arial"/>
                <w:b/>
                <w:spacing w:val="-4"/>
                <w:w w:val="105"/>
                <w:sz w:val="17"/>
              </w:rPr>
              <w:t>(187)</w:t>
            </w:r>
          </w:p>
        </w:tc>
        <w:tc>
          <w:tcPr>
            <w:tcW w:w="944" w:type="dxa"/>
            <w:tcBorders>
              <w:top w:val="single" w:sz="12" w:space="0" w:color="000000"/>
              <w:left w:val="nil"/>
              <w:bottom w:val="single" w:sz="12" w:space="0" w:color="000000"/>
              <w:right w:val="nil"/>
            </w:tcBorders>
            <w:shd w:val="clear" w:color="auto" w:fill="DEEAF6"/>
          </w:tcPr>
          <w:p w14:paraId="0573D418" w14:textId="77777777" w:rsidR="00084F36" w:rsidRPr="00EB2BD8" w:rsidRDefault="00EB2BD8">
            <w:pPr>
              <w:pStyle w:val="TableParagraph"/>
              <w:spacing w:before="57"/>
              <w:ind w:right="100"/>
              <w:jc w:val="right"/>
              <w:rPr>
                <w:rFonts w:ascii="Arial"/>
                <w:b/>
                <w:sz w:val="17"/>
              </w:rPr>
            </w:pPr>
            <w:r w:rsidRPr="00EB2BD8">
              <w:rPr>
                <w:rFonts w:ascii="Arial"/>
                <w:b/>
                <w:spacing w:val="-4"/>
                <w:w w:val="105"/>
                <w:sz w:val="17"/>
              </w:rPr>
              <w:t>(139)</w:t>
            </w:r>
          </w:p>
        </w:tc>
        <w:tc>
          <w:tcPr>
            <w:tcW w:w="953" w:type="dxa"/>
            <w:tcBorders>
              <w:top w:val="single" w:sz="12" w:space="0" w:color="000000"/>
              <w:left w:val="nil"/>
              <w:bottom w:val="single" w:sz="12" w:space="0" w:color="000000"/>
              <w:right w:val="nil"/>
            </w:tcBorders>
            <w:shd w:val="clear" w:color="auto" w:fill="FFFFFF"/>
          </w:tcPr>
          <w:p w14:paraId="479C4E65" w14:textId="77777777" w:rsidR="00084F36" w:rsidRPr="00EB2BD8" w:rsidRDefault="00EB2BD8">
            <w:pPr>
              <w:pStyle w:val="TableParagraph"/>
              <w:spacing w:before="57"/>
              <w:ind w:right="100"/>
              <w:jc w:val="right"/>
              <w:rPr>
                <w:rFonts w:ascii="Arial"/>
                <w:b/>
                <w:sz w:val="17"/>
              </w:rPr>
            </w:pPr>
            <w:r w:rsidRPr="00EB2BD8">
              <w:rPr>
                <w:rFonts w:ascii="Arial"/>
                <w:b/>
                <w:spacing w:val="-4"/>
                <w:w w:val="105"/>
                <w:sz w:val="17"/>
              </w:rPr>
              <w:t>(187)</w:t>
            </w:r>
          </w:p>
        </w:tc>
      </w:tr>
    </w:tbl>
    <w:p w14:paraId="6F7880C1" w14:textId="77777777" w:rsidR="00084F36" w:rsidRPr="00EB2BD8" w:rsidRDefault="00084F36">
      <w:pPr>
        <w:pStyle w:val="BodyText"/>
        <w:rPr>
          <w:rFonts w:ascii="Arial"/>
          <w:sz w:val="20"/>
        </w:rPr>
      </w:pPr>
    </w:p>
    <w:p w14:paraId="7CF057B5" w14:textId="77777777" w:rsidR="00084F36" w:rsidRPr="00EB2BD8" w:rsidRDefault="00084F36">
      <w:pPr>
        <w:pStyle w:val="BodyText"/>
        <w:spacing w:before="9"/>
        <w:rPr>
          <w:rFonts w:ascii="Arial"/>
          <w:sz w:val="16"/>
        </w:rPr>
      </w:pPr>
    </w:p>
    <w:p w14:paraId="2B61B4AA" w14:textId="77777777" w:rsidR="00084F36" w:rsidRPr="00EB2BD8" w:rsidRDefault="00EB2BD8">
      <w:pPr>
        <w:spacing w:before="1" w:line="465" w:lineRule="auto"/>
        <w:ind w:left="1039" w:right="1813"/>
        <w:rPr>
          <w:rFonts w:ascii="Arial"/>
          <w:sz w:val="17"/>
        </w:rPr>
      </w:pPr>
      <w:r w:rsidRPr="00EB2BD8">
        <w:rPr>
          <w:rFonts w:ascii="Arial"/>
          <w:w w:val="105"/>
          <w:sz w:val="17"/>
        </w:rPr>
        <w:t>Amounts</w:t>
      </w:r>
      <w:r w:rsidRPr="00EB2BD8">
        <w:rPr>
          <w:rFonts w:ascii="Arial"/>
          <w:spacing w:val="-5"/>
          <w:w w:val="105"/>
          <w:sz w:val="17"/>
        </w:rPr>
        <w:t xml:space="preserve"> </w:t>
      </w:r>
      <w:r w:rsidRPr="00EB2BD8">
        <w:rPr>
          <w:rFonts w:ascii="Arial"/>
          <w:w w:val="105"/>
          <w:sz w:val="17"/>
        </w:rPr>
        <w:t>disclosed</w:t>
      </w:r>
      <w:r w:rsidRPr="00EB2BD8">
        <w:rPr>
          <w:rFonts w:ascii="Arial"/>
          <w:spacing w:val="-5"/>
          <w:w w:val="105"/>
          <w:sz w:val="17"/>
        </w:rPr>
        <w:t xml:space="preserve"> </w:t>
      </w:r>
      <w:r w:rsidRPr="00EB2BD8">
        <w:rPr>
          <w:rFonts w:ascii="Arial"/>
          <w:w w:val="105"/>
          <w:sz w:val="17"/>
        </w:rPr>
        <w:t>in</w:t>
      </w:r>
      <w:r w:rsidRPr="00EB2BD8">
        <w:rPr>
          <w:rFonts w:ascii="Arial"/>
          <w:spacing w:val="-5"/>
          <w:w w:val="105"/>
          <w:sz w:val="17"/>
        </w:rPr>
        <w:t xml:space="preserve"> </w:t>
      </w:r>
      <w:r w:rsidRPr="00EB2BD8">
        <w:rPr>
          <w:rFonts w:ascii="Arial"/>
          <w:w w:val="105"/>
          <w:sz w:val="17"/>
        </w:rPr>
        <w:t>this</w:t>
      </w:r>
      <w:r w:rsidRPr="00EB2BD8">
        <w:rPr>
          <w:rFonts w:ascii="Arial"/>
          <w:spacing w:val="-5"/>
          <w:w w:val="105"/>
          <w:sz w:val="17"/>
        </w:rPr>
        <w:t xml:space="preserve"> </w:t>
      </w:r>
      <w:r w:rsidRPr="00EB2BD8">
        <w:rPr>
          <w:rFonts w:ascii="Arial"/>
          <w:w w:val="105"/>
          <w:sz w:val="17"/>
        </w:rPr>
        <w:t>table</w:t>
      </w:r>
      <w:r w:rsidRPr="00EB2BD8">
        <w:rPr>
          <w:rFonts w:ascii="Arial"/>
          <w:spacing w:val="-5"/>
          <w:w w:val="105"/>
          <w:sz w:val="17"/>
        </w:rPr>
        <w:t xml:space="preserve"> </w:t>
      </w:r>
      <w:r w:rsidRPr="00EB2BD8">
        <w:rPr>
          <w:rFonts w:ascii="Arial"/>
          <w:w w:val="105"/>
          <w:sz w:val="17"/>
        </w:rPr>
        <w:t>exclude</w:t>
      </w:r>
      <w:r w:rsidRPr="00EB2BD8">
        <w:rPr>
          <w:rFonts w:ascii="Arial"/>
          <w:spacing w:val="-5"/>
          <w:w w:val="105"/>
          <w:sz w:val="17"/>
        </w:rPr>
        <w:t xml:space="preserve"> </w:t>
      </w:r>
      <w:r w:rsidRPr="00EB2BD8">
        <w:rPr>
          <w:rFonts w:ascii="Arial"/>
          <w:w w:val="105"/>
          <w:sz w:val="17"/>
        </w:rPr>
        <w:t>holding</w:t>
      </w:r>
      <w:r w:rsidRPr="00EB2BD8">
        <w:rPr>
          <w:rFonts w:ascii="Arial"/>
          <w:spacing w:val="-5"/>
          <w:w w:val="105"/>
          <w:sz w:val="17"/>
        </w:rPr>
        <w:t xml:space="preserve"> </w:t>
      </w:r>
      <w:r w:rsidRPr="00EB2BD8">
        <w:rPr>
          <w:rFonts w:ascii="Arial"/>
          <w:w w:val="105"/>
          <w:sz w:val="17"/>
        </w:rPr>
        <w:t>gains</w:t>
      </w:r>
      <w:r w:rsidRPr="00EB2BD8">
        <w:rPr>
          <w:rFonts w:ascii="Arial"/>
          <w:spacing w:val="-5"/>
          <w:w w:val="105"/>
          <w:sz w:val="17"/>
        </w:rPr>
        <w:t xml:space="preserve"> </w:t>
      </w:r>
      <w:r w:rsidRPr="00EB2BD8">
        <w:rPr>
          <w:rFonts w:ascii="Arial"/>
          <w:w w:val="105"/>
          <w:sz w:val="17"/>
        </w:rPr>
        <w:t>and</w:t>
      </w:r>
      <w:r w:rsidRPr="00EB2BD8">
        <w:rPr>
          <w:rFonts w:ascii="Arial"/>
          <w:spacing w:val="-5"/>
          <w:w w:val="105"/>
          <w:sz w:val="17"/>
        </w:rPr>
        <w:t xml:space="preserve"> </w:t>
      </w:r>
      <w:r w:rsidRPr="00EB2BD8">
        <w:rPr>
          <w:rFonts w:ascii="Arial"/>
          <w:w w:val="105"/>
          <w:sz w:val="17"/>
        </w:rPr>
        <w:t>losses</w:t>
      </w:r>
      <w:r w:rsidRPr="00EB2BD8">
        <w:rPr>
          <w:rFonts w:ascii="Arial"/>
          <w:spacing w:val="-5"/>
          <w:w w:val="105"/>
          <w:sz w:val="17"/>
        </w:rPr>
        <w:t xml:space="preserve"> </w:t>
      </w:r>
      <w:r w:rsidRPr="00EB2BD8">
        <w:rPr>
          <w:rFonts w:ascii="Arial"/>
          <w:w w:val="105"/>
          <w:sz w:val="17"/>
        </w:rPr>
        <w:t>related</w:t>
      </w:r>
      <w:r w:rsidRPr="00EB2BD8">
        <w:rPr>
          <w:rFonts w:ascii="Arial"/>
          <w:spacing w:val="-5"/>
          <w:w w:val="105"/>
          <w:sz w:val="17"/>
        </w:rPr>
        <w:t xml:space="preserve"> </w:t>
      </w:r>
      <w:r w:rsidRPr="00EB2BD8">
        <w:rPr>
          <w:rFonts w:ascii="Arial"/>
          <w:w w:val="105"/>
          <w:sz w:val="17"/>
        </w:rPr>
        <w:t>to</w:t>
      </w:r>
      <w:r w:rsidRPr="00EB2BD8">
        <w:rPr>
          <w:rFonts w:ascii="Arial"/>
          <w:spacing w:val="-5"/>
          <w:w w:val="105"/>
          <w:sz w:val="17"/>
        </w:rPr>
        <w:t xml:space="preserve"> </w:t>
      </w:r>
      <w:r w:rsidRPr="00EB2BD8">
        <w:rPr>
          <w:rFonts w:ascii="Arial"/>
          <w:w w:val="105"/>
          <w:sz w:val="17"/>
        </w:rPr>
        <w:t>statutory</w:t>
      </w:r>
      <w:r w:rsidRPr="00EB2BD8">
        <w:rPr>
          <w:rFonts w:ascii="Arial"/>
          <w:spacing w:val="-5"/>
          <w:w w:val="105"/>
          <w:sz w:val="17"/>
        </w:rPr>
        <w:t xml:space="preserve"> </w:t>
      </w:r>
      <w:r w:rsidRPr="00EB2BD8">
        <w:rPr>
          <w:rFonts w:ascii="Arial"/>
          <w:w w:val="105"/>
          <w:sz w:val="17"/>
        </w:rPr>
        <w:t>financial</w:t>
      </w:r>
      <w:r w:rsidRPr="00EB2BD8">
        <w:rPr>
          <w:rFonts w:ascii="Arial"/>
          <w:spacing w:val="-5"/>
          <w:w w:val="105"/>
          <w:sz w:val="17"/>
        </w:rPr>
        <w:t xml:space="preserve"> </w:t>
      </w:r>
      <w:r w:rsidRPr="00EB2BD8">
        <w:rPr>
          <w:rFonts w:ascii="Arial"/>
          <w:w w:val="105"/>
          <w:sz w:val="17"/>
        </w:rPr>
        <w:t>assets</w:t>
      </w:r>
      <w:r w:rsidRPr="00EB2BD8">
        <w:rPr>
          <w:rFonts w:ascii="Arial"/>
          <w:spacing w:val="-5"/>
          <w:w w:val="105"/>
          <w:sz w:val="17"/>
        </w:rPr>
        <w:t xml:space="preserve"> </w:t>
      </w:r>
      <w:r w:rsidRPr="00EB2BD8">
        <w:rPr>
          <w:rFonts w:ascii="Arial"/>
          <w:w w:val="105"/>
          <w:sz w:val="17"/>
        </w:rPr>
        <w:t>and</w:t>
      </w:r>
      <w:r w:rsidRPr="00EB2BD8">
        <w:rPr>
          <w:rFonts w:ascii="Arial"/>
          <w:spacing w:val="-5"/>
          <w:w w:val="105"/>
          <w:sz w:val="17"/>
        </w:rPr>
        <w:t xml:space="preserve"> </w:t>
      </w:r>
      <w:r w:rsidRPr="00EB2BD8">
        <w:rPr>
          <w:rFonts w:ascii="Arial"/>
          <w:w w:val="105"/>
          <w:sz w:val="17"/>
        </w:rPr>
        <w:t>liabilities. The net holding gains or losses disclosed above are determined as follows:</w:t>
      </w:r>
    </w:p>
    <w:p w14:paraId="5E5CA59D" w14:textId="7E80289D" w:rsidR="00084F36" w:rsidRPr="00EB2BD8" w:rsidRDefault="00EB2BD8">
      <w:pPr>
        <w:spacing w:before="1" w:line="261" w:lineRule="auto"/>
        <w:ind w:left="1755" w:right="1155"/>
        <w:rPr>
          <w:rFonts w:ascii="Arial"/>
          <w:sz w:val="17"/>
        </w:rPr>
      </w:pPr>
      <w:r w:rsidRPr="00EB2BD8">
        <w:rPr>
          <w:rFonts w:ascii="Arial"/>
          <w:w w:val="105"/>
          <w:sz w:val="17"/>
        </w:rPr>
        <w:t>for cash and cash equivalents, financial assets at amortised cost and debt instruments that are classified as financial assets at fair value through other comprehensive income, the net gain or loss is calculated by taking the movement</w:t>
      </w:r>
      <w:r w:rsidRPr="00EB2BD8">
        <w:rPr>
          <w:rFonts w:ascii="Arial"/>
          <w:spacing w:val="-6"/>
          <w:w w:val="105"/>
          <w:sz w:val="17"/>
        </w:rPr>
        <w:t xml:space="preserve"> </w:t>
      </w:r>
      <w:r w:rsidRPr="00EB2BD8">
        <w:rPr>
          <w:rFonts w:ascii="Arial"/>
          <w:w w:val="105"/>
          <w:sz w:val="17"/>
        </w:rPr>
        <w:t>in</w:t>
      </w:r>
      <w:r w:rsidRPr="00EB2BD8">
        <w:rPr>
          <w:rFonts w:ascii="Arial"/>
          <w:spacing w:val="-6"/>
          <w:w w:val="105"/>
          <w:sz w:val="17"/>
        </w:rPr>
        <w:t xml:space="preserve"> </w:t>
      </w:r>
      <w:r w:rsidRPr="00EB2BD8">
        <w:rPr>
          <w:rFonts w:ascii="Arial"/>
          <w:w w:val="105"/>
          <w:sz w:val="17"/>
        </w:rPr>
        <w:t>the</w:t>
      </w:r>
      <w:r w:rsidRPr="00EB2BD8">
        <w:rPr>
          <w:rFonts w:ascii="Arial"/>
          <w:spacing w:val="-6"/>
          <w:w w:val="105"/>
          <w:sz w:val="17"/>
        </w:rPr>
        <w:t xml:space="preserve"> </w:t>
      </w:r>
      <w:r w:rsidRPr="00EB2BD8">
        <w:rPr>
          <w:rFonts w:ascii="Arial"/>
          <w:w w:val="105"/>
          <w:sz w:val="17"/>
        </w:rPr>
        <w:t>fair</w:t>
      </w:r>
      <w:r w:rsidRPr="00EB2BD8">
        <w:rPr>
          <w:rFonts w:ascii="Arial"/>
          <w:spacing w:val="-6"/>
          <w:w w:val="105"/>
          <w:sz w:val="17"/>
        </w:rPr>
        <w:t xml:space="preserve"> </w:t>
      </w:r>
      <w:r w:rsidRPr="00EB2BD8">
        <w:rPr>
          <w:rFonts w:ascii="Arial"/>
          <w:w w:val="105"/>
          <w:sz w:val="17"/>
        </w:rPr>
        <w:t>value</w:t>
      </w:r>
      <w:r w:rsidRPr="00EB2BD8">
        <w:rPr>
          <w:rFonts w:ascii="Arial"/>
          <w:spacing w:val="-6"/>
          <w:w w:val="105"/>
          <w:sz w:val="17"/>
        </w:rPr>
        <w:t xml:space="preserve"> </w:t>
      </w:r>
      <w:r w:rsidRPr="00EB2BD8">
        <w:rPr>
          <w:rFonts w:ascii="Arial"/>
          <w:w w:val="105"/>
          <w:sz w:val="17"/>
        </w:rPr>
        <w:t>of</w:t>
      </w:r>
      <w:r w:rsidRPr="00EB2BD8">
        <w:rPr>
          <w:rFonts w:ascii="Arial"/>
          <w:spacing w:val="-6"/>
          <w:w w:val="105"/>
          <w:sz w:val="17"/>
        </w:rPr>
        <w:t xml:space="preserve"> </w:t>
      </w:r>
      <w:r w:rsidRPr="00EB2BD8">
        <w:rPr>
          <w:rFonts w:ascii="Arial"/>
          <w:w w:val="105"/>
          <w:sz w:val="17"/>
        </w:rPr>
        <w:t>the</w:t>
      </w:r>
      <w:r w:rsidRPr="00EB2BD8">
        <w:rPr>
          <w:rFonts w:ascii="Arial"/>
          <w:spacing w:val="-6"/>
          <w:w w:val="105"/>
          <w:sz w:val="17"/>
        </w:rPr>
        <w:t xml:space="preserve"> </w:t>
      </w:r>
      <w:r w:rsidRPr="00EB2BD8">
        <w:rPr>
          <w:rFonts w:ascii="Arial"/>
          <w:w w:val="105"/>
          <w:sz w:val="17"/>
        </w:rPr>
        <w:t>asset,</w:t>
      </w:r>
      <w:r w:rsidRPr="00EB2BD8">
        <w:rPr>
          <w:rFonts w:ascii="Arial"/>
          <w:spacing w:val="-6"/>
          <w:w w:val="105"/>
          <w:sz w:val="17"/>
        </w:rPr>
        <w:t xml:space="preserve"> </w:t>
      </w:r>
      <w:r w:rsidRPr="00EB2BD8">
        <w:rPr>
          <w:rFonts w:ascii="Arial"/>
          <w:w w:val="105"/>
          <w:sz w:val="17"/>
        </w:rPr>
        <w:t>the</w:t>
      </w:r>
      <w:r w:rsidRPr="00EB2BD8">
        <w:rPr>
          <w:rFonts w:ascii="Arial"/>
          <w:spacing w:val="-6"/>
          <w:w w:val="105"/>
          <w:sz w:val="17"/>
        </w:rPr>
        <w:t xml:space="preserve"> </w:t>
      </w:r>
      <w:r w:rsidRPr="00EB2BD8">
        <w:rPr>
          <w:rFonts w:ascii="Arial"/>
          <w:w w:val="105"/>
          <w:sz w:val="17"/>
        </w:rPr>
        <w:t>interest</w:t>
      </w:r>
      <w:r w:rsidRPr="00EB2BD8">
        <w:rPr>
          <w:rFonts w:ascii="Arial"/>
          <w:spacing w:val="-6"/>
          <w:w w:val="105"/>
          <w:sz w:val="17"/>
        </w:rPr>
        <w:t xml:space="preserve"> </w:t>
      </w:r>
      <w:r w:rsidRPr="00EB2BD8">
        <w:rPr>
          <w:rFonts w:ascii="Arial"/>
          <w:w w:val="105"/>
          <w:sz w:val="17"/>
        </w:rPr>
        <w:t>income,</w:t>
      </w:r>
      <w:r w:rsidRPr="00EB2BD8">
        <w:rPr>
          <w:rFonts w:ascii="Arial"/>
          <w:spacing w:val="-6"/>
          <w:w w:val="105"/>
          <w:sz w:val="17"/>
        </w:rPr>
        <w:t xml:space="preserve"> </w:t>
      </w:r>
      <w:r w:rsidRPr="00EB2BD8">
        <w:rPr>
          <w:rFonts w:ascii="Arial"/>
          <w:w w:val="105"/>
          <w:sz w:val="17"/>
        </w:rPr>
        <w:t>plus</w:t>
      </w:r>
      <w:r w:rsidRPr="00EB2BD8">
        <w:rPr>
          <w:rFonts w:ascii="Arial"/>
          <w:spacing w:val="-6"/>
          <w:w w:val="105"/>
          <w:sz w:val="17"/>
        </w:rPr>
        <w:t xml:space="preserve"> </w:t>
      </w:r>
      <w:r w:rsidRPr="00EB2BD8">
        <w:rPr>
          <w:rFonts w:ascii="Arial"/>
          <w:w w:val="105"/>
          <w:sz w:val="17"/>
        </w:rPr>
        <w:t>or</w:t>
      </w:r>
      <w:r w:rsidRPr="00EB2BD8">
        <w:rPr>
          <w:rFonts w:ascii="Arial"/>
          <w:spacing w:val="-6"/>
          <w:w w:val="105"/>
          <w:sz w:val="17"/>
        </w:rPr>
        <w:t xml:space="preserve"> </w:t>
      </w:r>
      <w:r w:rsidRPr="00EB2BD8">
        <w:rPr>
          <w:rFonts w:ascii="Arial"/>
          <w:w w:val="105"/>
          <w:sz w:val="17"/>
        </w:rPr>
        <w:t>minus</w:t>
      </w:r>
      <w:r w:rsidRPr="00EB2BD8">
        <w:rPr>
          <w:rFonts w:ascii="Arial"/>
          <w:spacing w:val="-6"/>
          <w:w w:val="105"/>
          <w:sz w:val="17"/>
        </w:rPr>
        <w:t xml:space="preserve"> </w:t>
      </w:r>
      <w:r w:rsidRPr="00EB2BD8">
        <w:rPr>
          <w:rFonts w:ascii="Arial"/>
          <w:w w:val="105"/>
          <w:sz w:val="17"/>
        </w:rPr>
        <w:t>foreign</w:t>
      </w:r>
      <w:r w:rsidRPr="00EB2BD8">
        <w:rPr>
          <w:rFonts w:ascii="Arial"/>
          <w:spacing w:val="-6"/>
          <w:w w:val="105"/>
          <w:sz w:val="17"/>
        </w:rPr>
        <w:t xml:space="preserve"> </w:t>
      </w:r>
      <w:r w:rsidRPr="00EB2BD8">
        <w:rPr>
          <w:rFonts w:ascii="Arial"/>
          <w:w w:val="105"/>
          <w:sz w:val="17"/>
        </w:rPr>
        <w:t>exchange</w:t>
      </w:r>
      <w:r w:rsidRPr="00EB2BD8">
        <w:rPr>
          <w:rFonts w:ascii="Arial"/>
          <w:spacing w:val="-6"/>
          <w:w w:val="105"/>
          <w:sz w:val="17"/>
        </w:rPr>
        <w:t xml:space="preserve"> </w:t>
      </w:r>
      <w:r w:rsidRPr="00EB2BD8">
        <w:rPr>
          <w:rFonts w:ascii="Arial"/>
          <w:w w:val="105"/>
          <w:sz w:val="17"/>
        </w:rPr>
        <w:t>gains</w:t>
      </w:r>
      <w:r w:rsidRPr="00EB2BD8">
        <w:rPr>
          <w:rFonts w:ascii="Arial"/>
          <w:spacing w:val="-6"/>
          <w:w w:val="105"/>
          <w:sz w:val="17"/>
        </w:rPr>
        <w:t xml:space="preserve"> </w:t>
      </w:r>
      <w:r w:rsidRPr="00EB2BD8">
        <w:rPr>
          <w:rFonts w:ascii="Arial"/>
          <w:w w:val="105"/>
          <w:sz w:val="17"/>
        </w:rPr>
        <w:t>or</w:t>
      </w:r>
      <w:r w:rsidRPr="00EB2BD8">
        <w:rPr>
          <w:rFonts w:ascii="Arial"/>
          <w:spacing w:val="-6"/>
          <w:w w:val="105"/>
          <w:sz w:val="17"/>
        </w:rPr>
        <w:t xml:space="preserve"> </w:t>
      </w:r>
      <w:r w:rsidRPr="00EB2BD8">
        <w:rPr>
          <w:rFonts w:ascii="Arial"/>
          <w:w w:val="105"/>
          <w:sz w:val="17"/>
        </w:rPr>
        <w:t>losses</w:t>
      </w:r>
      <w:r w:rsidRPr="00EB2BD8">
        <w:rPr>
          <w:rFonts w:ascii="Arial"/>
          <w:spacing w:val="-6"/>
          <w:w w:val="105"/>
          <w:sz w:val="17"/>
        </w:rPr>
        <w:t xml:space="preserve"> </w:t>
      </w:r>
      <w:r w:rsidRPr="00EB2BD8">
        <w:rPr>
          <w:rFonts w:ascii="Arial"/>
          <w:w w:val="105"/>
          <w:sz w:val="17"/>
        </w:rPr>
        <w:t>arising from revaluation of the financial assets, and minus any impairment recognised in the net result;</w:t>
      </w:r>
    </w:p>
    <w:p w14:paraId="234A594B" w14:textId="15A30C2B" w:rsidR="00084F36" w:rsidRPr="00EB2BD8" w:rsidRDefault="00EB2BD8">
      <w:pPr>
        <w:spacing w:before="131" w:line="276" w:lineRule="auto"/>
        <w:ind w:left="1772" w:right="1155" w:hanging="1"/>
        <w:rPr>
          <w:rFonts w:ascii="Arial"/>
          <w:sz w:val="17"/>
        </w:rPr>
      </w:pPr>
      <w:r w:rsidRPr="00EB2BD8">
        <w:rPr>
          <w:rFonts w:ascii="Arial"/>
          <w:w w:val="105"/>
          <w:sz w:val="17"/>
        </w:rPr>
        <w:t>for</w:t>
      </w:r>
      <w:r w:rsidRPr="00EB2BD8">
        <w:rPr>
          <w:rFonts w:ascii="Arial"/>
          <w:spacing w:val="-6"/>
          <w:w w:val="105"/>
          <w:sz w:val="17"/>
        </w:rPr>
        <w:t xml:space="preserve"> </w:t>
      </w:r>
      <w:r w:rsidRPr="00EB2BD8">
        <w:rPr>
          <w:rFonts w:ascii="Arial"/>
          <w:w w:val="105"/>
          <w:sz w:val="17"/>
        </w:rPr>
        <w:t>financial</w:t>
      </w:r>
      <w:r w:rsidRPr="00EB2BD8">
        <w:rPr>
          <w:rFonts w:ascii="Arial"/>
          <w:spacing w:val="-6"/>
          <w:w w:val="105"/>
          <w:sz w:val="17"/>
        </w:rPr>
        <w:t xml:space="preserve"> </w:t>
      </w:r>
      <w:r w:rsidRPr="00EB2BD8">
        <w:rPr>
          <w:rFonts w:ascii="Arial"/>
          <w:w w:val="105"/>
          <w:sz w:val="17"/>
        </w:rPr>
        <w:t>liabilities</w:t>
      </w:r>
      <w:r w:rsidRPr="00EB2BD8">
        <w:rPr>
          <w:rFonts w:ascii="Arial"/>
          <w:spacing w:val="-6"/>
          <w:w w:val="105"/>
          <w:sz w:val="17"/>
        </w:rPr>
        <w:t xml:space="preserve"> </w:t>
      </w:r>
      <w:r w:rsidRPr="00EB2BD8">
        <w:rPr>
          <w:rFonts w:ascii="Arial"/>
          <w:w w:val="105"/>
          <w:sz w:val="17"/>
        </w:rPr>
        <w:t>measured</w:t>
      </w:r>
      <w:r w:rsidRPr="00EB2BD8">
        <w:rPr>
          <w:rFonts w:ascii="Arial"/>
          <w:spacing w:val="-6"/>
          <w:w w:val="105"/>
          <w:sz w:val="17"/>
        </w:rPr>
        <w:t xml:space="preserve"> </w:t>
      </w:r>
      <w:r w:rsidRPr="00EB2BD8">
        <w:rPr>
          <w:rFonts w:ascii="Arial"/>
          <w:w w:val="105"/>
          <w:sz w:val="17"/>
        </w:rPr>
        <w:t>at</w:t>
      </w:r>
      <w:r w:rsidRPr="00EB2BD8">
        <w:rPr>
          <w:rFonts w:ascii="Arial"/>
          <w:spacing w:val="-6"/>
          <w:w w:val="105"/>
          <w:sz w:val="17"/>
        </w:rPr>
        <w:t xml:space="preserve"> </w:t>
      </w:r>
      <w:r w:rsidRPr="00EB2BD8">
        <w:rPr>
          <w:rFonts w:ascii="Arial"/>
          <w:w w:val="105"/>
          <w:sz w:val="17"/>
        </w:rPr>
        <w:t>amortised</w:t>
      </w:r>
      <w:r w:rsidRPr="00EB2BD8">
        <w:rPr>
          <w:rFonts w:ascii="Arial"/>
          <w:spacing w:val="-6"/>
          <w:w w:val="105"/>
          <w:sz w:val="17"/>
        </w:rPr>
        <w:t xml:space="preserve"> </w:t>
      </w:r>
      <w:r w:rsidRPr="00EB2BD8">
        <w:rPr>
          <w:rFonts w:ascii="Arial"/>
          <w:w w:val="105"/>
          <w:sz w:val="17"/>
        </w:rPr>
        <w:t>cost,</w:t>
      </w:r>
      <w:r w:rsidRPr="00EB2BD8">
        <w:rPr>
          <w:rFonts w:ascii="Arial"/>
          <w:spacing w:val="-6"/>
          <w:w w:val="105"/>
          <w:sz w:val="17"/>
        </w:rPr>
        <w:t xml:space="preserve"> </w:t>
      </w:r>
      <w:r w:rsidRPr="00EB2BD8">
        <w:rPr>
          <w:rFonts w:ascii="Arial"/>
          <w:w w:val="105"/>
          <w:sz w:val="17"/>
        </w:rPr>
        <w:t>the</w:t>
      </w:r>
      <w:r w:rsidRPr="00EB2BD8">
        <w:rPr>
          <w:rFonts w:ascii="Arial"/>
          <w:spacing w:val="-6"/>
          <w:w w:val="105"/>
          <w:sz w:val="17"/>
        </w:rPr>
        <w:t xml:space="preserve"> </w:t>
      </w:r>
      <w:r w:rsidRPr="00EB2BD8">
        <w:rPr>
          <w:rFonts w:ascii="Arial"/>
          <w:w w:val="105"/>
          <w:sz w:val="17"/>
        </w:rPr>
        <w:t>net</w:t>
      </w:r>
      <w:r w:rsidRPr="00EB2BD8">
        <w:rPr>
          <w:rFonts w:ascii="Arial"/>
          <w:spacing w:val="-6"/>
          <w:w w:val="105"/>
          <w:sz w:val="17"/>
        </w:rPr>
        <w:t xml:space="preserve"> </w:t>
      </w:r>
      <w:r w:rsidRPr="00EB2BD8">
        <w:rPr>
          <w:rFonts w:ascii="Arial"/>
          <w:w w:val="105"/>
          <w:sz w:val="17"/>
        </w:rPr>
        <w:t>gain</w:t>
      </w:r>
      <w:r w:rsidRPr="00EB2BD8">
        <w:rPr>
          <w:rFonts w:ascii="Arial"/>
          <w:spacing w:val="-6"/>
          <w:w w:val="105"/>
          <w:sz w:val="17"/>
        </w:rPr>
        <w:t xml:space="preserve"> </w:t>
      </w:r>
      <w:r w:rsidRPr="00EB2BD8">
        <w:rPr>
          <w:rFonts w:ascii="Arial"/>
          <w:w w:val="105"/>
          <w:sz w:val="17"/>
        </w:rPr>
        <w:t>or</w:t>
      </w:r>
      <w:r w:rsidRPr="00EB2BD8">
        <w:rPr>
          <w:rFonts w:ascii="Arial"/>
          <w:spacing w:val="-6"/>
          <w:w w:val="105"/>
          <w:sz w:val="17"/>
        </w:rPr>
        <w:t xml:space="preserve"> </w:t>
      </w:r>
      <w:r w:rsidRPr="00EB2BD8">
        <w:rPr>
          <w:rFonts w:ascii="Arial"/>
          <w:w w:val="105"/>
          <w:sz w:val="17"/>
        </w:rPr>
        <w:t>loss</w:t>
      </w:r>
      <w:r w:rsidRPr="00EB2BD8">
        <w:rPr>
          <w:rFonts w:ascii="Arial"/>
          <w:spacing w:val="-6"/>
          <w:w w:val="105"/>
          <w:sz w:val="17"/>
        </w:rPr>
        <w:t xml:space="preserve"> </w:t>
      </w:r>
      <w:r w:rsidRPr="00EB2BD8">
        <w:rPr>
          <w:rFonts w:ascii="Arial"/>
          <w:w w:val="105"/>
          <w:sz w:val="17"/>
        </w:rPr>
        <w:t>is</w:t>
      </w:r>
      <w:r w:rsidRPr="00EB2BD8">
        <w:rPr>
          <w:rFonts w:ascii="Arial"/>
          <w:spacing w:val="-5"/>
          <w:w w:val="105"/>
          <w:sz w:val="17"/>
        </w:rPr>
        <w:t xml:space="preserve"> </w:t>
      </w:r>
      <w:r w:rsidRPr="00EB2BD8">
        <w:rPr>
          <w:rFonts w:ascii="Arial"/>
          <w:w w:val="105"/>
          <w:sz w:val="17"/>
        </w:rPr>
        <w:t>calculated</w:t>
      </w:r>
      <w:r w:rsidRPr="00EB2BD8">
        <w:rPr>
          <w:rFonts w:ascii="Arial"/>
          <w:spacing w:val="-6"/>
          <w:w w:val="105"/>
          <w:sz w:val="17"/>
        </w:rPr>
        <w:t xml:space="preserve"> </w:t>
      </w:r>
      <w:r w:rsidRPr="00EB2BD8">
        <w:rPr>
          <w:rFonts w:ascii="Arial"/>
          <w:w w:val="105"/>
          <w:sz w:val="17"/>
        </w:rPr>
        <w:t>by</w:t>
      </w:r>
      <w:r w:rsidRPr="00EB2BD8">
        <w:rPr>
          <w:rFonts w:ascii="Arial"/>
          <w:spacing w:val="-6"/>
          <w:w w:val="105"/>
          <w:sz w:val="17"/>
        </w:rPr>
        <w:t xml:space="preserve"> </w:t>
      </w:r>
      <w:r w:rsidRPr="00EB2BD8">
        <w:rPr>
          <w:rFonts w:ascii="Arial"/>
          <w:w w:val="105"/>
          <w:sz w:val="17"/>
        </w:rPr>
        <w:t>taking</w:t>
      </w:r>
      <w:r w:rsidRPr="00EB2BD8">
        <w:rPr>
          <w:rFonts w:ascii="Arial"/>
          <w:spacing w:val="-6"/>
          <w:w w:val="105"/>
          <w:sz w:val="17"/>
        </w:rPr>
        <w:t xml:space="preserve"> </w:t>
      </w:r>
      <w:r w:rsidRPr="00EB2BD8">
        <w:rPr>
          <w:rFonts w:ascii="Arial"/>
          <w:w w:val="105"/>
          <w:sz w:val="17"/>
        </w:rPr>
        <w:t>the</w:t>
      </w:r>
      <w:r w:rsidRPr="00EB2BD8">
        <w:rPr>
          <w:rFonts w:ascii="Arial"/>
          <w:spacing w:val="-6"/>
          <w:w w:val="105"/>
          <w:sz w:val="17"/>
        </w:rPr>
        <w:t xml:space="preserve"> </w:t>
      </w:r>
      <w:r w:rsidRPr="00EB2BD8">
        <w:rPr>
          <w:rFonts w:ascii="Arial"/>
          <w:w w:val="105"/>
          <w:sz w:val="17"/>
        </w:rPr>
        <w:t>interest</w:t>
      </w:r>
      <w:r w:rsidRPr="00EB2BD8">
        <w:rPr>
          <w:rFonts w:ascii="Arial"/>
          <w:spacing w:val="-6"/>
          <w:w w:val="105"/>
          <w:sz w:val="17"/>
        </w:rPr>
        <w:t xml:space="preserve"> </w:t>
      </w:r>
      <w:r w:rsidRPr="00EB2BD8">
        <w:rPr>
          <w:rFonts w:ascii="Arial"/>
          <w:w w:val="105"/>
          <w:sz w:val="17"/>
        </w:rPr>
        <w:t>expense, plus or minus foreign exchange gains or losses arising from the revaluation of financial liabilities measured at amortised cost.</w:t>
      </w:r>
    </w:p>
    <w:p w14:paraId="7650633E" w14:textId="77777777" w:rsidR="00084F36" w:rsidRPr="00EB2BD8" w:rsidRDefault="00084F36">
      <w:pPr>
        <w:pStyle w:val="BodyText"/>
        <w:rPr>
          <w:rFonts w:ascii="Arial"/>
          <w:sz w:val="20"/>
        </w:rPr>
      </w:pPr>
    </w:p>
    <w:p w14:paraId="04FC28EE" w14:textId="47564E52" w:rsidR="00084F36" w:rsidRPr="00EB2BD8" w:rsidRDefault="00327EC1" w:rsidP="00327EC1">
      <w:pPr>
        <w:pStyle w:val="Heading2"/>
      </w:pPr>
      <w:bookmarkStart w:id="335" w:name="_Toc150762637"/>
      <w:r>
        <w:t xml:space="preserve">7.1.3 </w:t>
      </w:r>
      <w:r w:rsidR="00EB2BD8" w:rsidRPr="00EB2BD8">
        <w:t>Financial</w:t>
      </w:r>
      <w:r w:rsidR="00EB2BD8" w:rsidRPr="00EB2BD8">
        <w:rPr>
          <w:spacing w:val="25"/>
        </w:rPr>
        <w:t xml:space="preserve"> </w:t>
      </w:r>
      <w:r w:rsidR="00EB2BD8" w:rsidRPr="00EB2BD8">
        <w:t>risk</w:t>
      </w:r>
      <w:r w:rsidR="00EB2BD8" w:rsidRPr="00EB2BD8">
        <w:rPr>
          <w:spacing w:val="26"/>
        </w:rPr>
        <w:t xml:space="preserve"> </w:t>
      </w:r>
      <w:r w:rsidR="00EB2BD8" w:rsidRPr="00EB2BD8">
        <w:t>management</w:t>
      </w:r>
      <w:r w:rsidR="00EB2BD8" w:rsidRPr="00EB2BD8">
        <w:rPr>
          <w:spacing w:val="26"/>
        </w:rPr>
        <w:t xml:space="preserve"> </w:t>
      </w:r>
      <w:r w:rsidR="00EB2BD8" w:rsidRPr="00EB2BD8">
        <w:t>objectives</w:t>
      </w:r>
      <w:r w:rsidR="00EB2BD8" w:rsidRPr="00EB2BD8">
        <w:rPr>
          <w:spacing w:val="25"/>
        </w:rPr>
        <w:t xml:space="preserve"> </w:t>
      </w:r>
      <w:r w:rsidR="00EB2BD8" w:rsidRPr="00EB2BD8">
        <w:t>and</w:t>
      </w:r>
      <w:r w:rsidR="00EB2BD8" w:rsidRPr="00EB2BD8">
        <w:rPr>
          <w:spacing w:val="26"/>
        </w:rPr>
        <w:t xml:space="preserve"> </w:t>
      </w:r>
      <w:r w:rsidR="00EB2BD8" w:rsidRPr="00EB2BD8">
        <w:rPr>
          <w:spacing w:val="-2"/>
        </w:rPr>
        <w:t>policies</w:t>
      </w:r>
      <w:bookmarkEnd w:id="335"/>
    </w:p>
    <w:p w14:paraId="2789B918" w14:textId="77777777" w:rsidR="00084F36" w:rsidRPr="00EB2BD8" w:rsidRDefault="00084F36">
      <w:pPr>
        <w:pStyle w:val="BodyText"/>
        <w:rPr>
          <w:rFonts w:ascii="Arial"/>
          <w:b/>
          <w:sz w:val="24"/>
        </w:rPr>
      </w:pPr>
    </w:p>
    <w:p w14:paraId="698E9D37" w14:textId="77777777" w:rsidR="00084F36" w:rsidRPr="00EB2BD8" w:rsidRDefault="00EB2BD8">
      <w:pPr>
        <w:spacing w:before="173" w:line="288" w:lineRule="auto"/>
        <w:ind w:left="1039" w:right="1155"/>
        <w:rPr>
          <w:rFonts w:ascii="Arial" w:hAnsi="Arial"/>
          <w:sz w:val="17"/>
        </w:rPr>
      </w:pPr>
      <w:r w:rsidRPr="00EB2BD8">
        <w:rPr>
          <w:rFonts w:ascii="Arial" w:hAnsi="Arial"/>
          <w:w w:val="105"/>
          <w:sz w:val="17"/>
        </w:rPr>
        <w:t>The VBA’s principal financial instruments comprise cash assets, receivables (excluding statutory receivables), payables (excluding statutory payables) and interest- bearing liabilities. Details of the significant accounting policies and methods adopted,</w:t>
      </w:r>
      <w:r w:rsidRPr="00EB2BD8">
        <w:rPr>
          <w:rFonts w:ascii="Arial" w:hAnsi="Arial"/>
          <w:spacing w:val="-4"/>
          <w:w w:val="105"/>
          <w:sz w:val="17"/>
        </w:rPr>
        <w:t xml:space="preserve"> </w:t>
      </w:r>
      <w:r w:rsidRPr="00EB2BD8">
        <w:rPr>
          <w:rFonts w:ascii="Arial" w:hAnsi="Arial"/>
          <w:w w:val="105"/>
          <w:sz w:val="17"/>
        </w:rPr>
        <w:t>including</w:t>
      </w:r>
      <w:r w:rsidRPr="00EB2BD8">
        <w:rPr>
          <w:rFonts w:ascii="Arial" w:hAnsi="Arial"/>
          <w:spacing w:val="-4"/>
          <w:w w:val="105"/>
          <w:sz w:val="17"/>
        </w:rPr>
        <w:t xml:space="preserve"> </w:t>
      </w:r>
      <w:r w:rsidRPr="00EB2BD8">
        <w:rPr>
          <w:rFonts w:ascii="Arial" w:hAnsi="Arial"/>
          <w:w w:val="105"/>
          <w:sz w:val="17"/>
        </w:rPr>
        <w:t>the</w:t>
      </w:r>
      <w:r w:rsidRPr="00EB2BD8">
        <w:rPr>
          <w:rFonts w:ascii="Arial" w:hAnsi="Arial"/>
          <w:spacing w:val="-4"/>
          <w:w w:val="105"/>
          <w:sz w:val="17"/>
        </w:rPr>
        <w:t xml:space="preserve"> </w:t>
      </w:r>
      <w:r w:rsidRPr="00EB2BD8">
        <w:rPr>
          <w:rFonts w:ascii="Arial" w:hAnsi="Arial"/>
          <w:w w:val="105"/>
          <w:sz w:val="17"/>
        </w:rPr>
        <w:t>criteria</w:t>
      </w:r>
      <w:r w:rsidRPr="00EB2BD8">
        <w:rPr>
          <w:rFonts w:ascii="Arial" w:hAnsi="Arial"/>
          <w:spacing w:val="-4"/>
          <w:w w:val="105"/>
          <w:sz w:val="17"/>
        </w:rPr>
        <w:t xml:space="preserve"> </w:t>
      </w:r>
      <w:r w:rsidRPr="00EB2BD8">
        <w:rPr>
          <w:rFonts w:ascii="Arial" w:hAnsi="Arial"/>
          <w:w w:val="105"/>
          <w:sz w:val="17"/>
        </w:rPr>
        <w:t>for</w:t>
      </w:r>
      <w:r w:rsidRPr="00EB2BD8">
        <w:rPr>
          <w:rFonts w:ascii="Arial" w:hAnsi="Arial"/>
          <w:spacing w:val="-4"/>
          <w:w w:val="105"/>
          <w:sz w:val="17"/>
        </w:rPr>
        <w:t xml:space="preserve"> </w:t>
      </w:r>
      <w:r w:rsidRPr="00EB2BD8">
        <w:rPr>
          <w:rFonts w:ascii="Arial" w:hAnsi="Arial"/>
          <w:w w:val="105"/>
          <w:sz w:val="17"/>
        </w:rPr>
        <w:t>recognition,</w:t>
      </w:r>
      <w:r w:rsidRPr="00EB2BD8">
        <w:rPr>
          <w:rFonts w:ascii="Arial" w:hAnsi="Arial"/>
          <w:spacing w:val="-3"/>
          <w:w w:val="105"/>
          <w:sz w:val="17"/>
        </w:rPr>
        <w:t xml:space="preserve"> </w:t>
      </w:r>
      <w:r w:rsidRPr="00EB2BD8">
        <w:rPr>
          <w:rFonts w:ascii="Arial" w:hAnsi="Arial"/>
          <w:w w:val="105"/>
          <w:sz w:val="17"/>
        </w:rPr>
        <w:t>the</w:t>
      </w:r>
      <w:r w:rsidRPr="00EB2BD8">
        <w:rPr>
          <w:rFonts w:ascii="Arial" w:hAnsi="Arial"/>
          <w:spacing w:val="-4"/>
          <w:w w:val="105"/>
          <w:sz w:val="17"/>
        </w:rPr>
        <w:t xml:space="preserve"> </w:t>
      </w:r>
      <w:r w:rsidRPr="00EB2BD8">
        <w:rPr>
          <w:rFonts w:ascii="Arial" w:hAnsi="Arial"/>
          <w:w w:val="105"/>
          <w:sz w:val="17"/>
        </w:rPr>
        <w:t>basis</w:t>
      </w:r>
      <w:r w:rsidRPr="00EB2BD8">
        <w:rPr>
          <w:rFonts w:ascii="Arial" w:hAnsi="Arial"/>
          <w:spacing w:val="-4"/>
          <w:w w:val="105"/>
          <w:sz w:val="17"/>
        </w:rPr>
        <w:t xml:space="preserve"> </w:t>
      </w:r>
      <w:r w:rsidRPr="00EB2BD8">
        <w:rPr>
          <w:rFonts w:ascii="Arial" w:hAnsi="Arial"/>
          <w:w w:val="105"/>
          <w:sz w:val="17"/>
        </w:rPr>
        <w:t>of</w:t>
      </w:r>
      <w:r w:rsidRPr="00EB2BD8">
        <w:rPr>
          <w:rFonts w:ascii="Arial" w:hAnsi="Arial"/>
          <w:spacing w:val="-4"/>
          <w:w w:val="105"/>
          <w:sz w:val="17"/>
        </w:rPr>
        <w:t xml:space="preserve"> </w:t>
      </w:r>
      <w:r w:rsidRPr="00EB2BD8">
        <w:rPr>
          <w:rFonts w:ascii="Arial" w:hAnsi="Arial"/>
          <w:w w:val="105"/>
          <w:sz w:val="17"/>
        </w:rPr>
        <w:t>measurement,</w:t>
      </w:r>
      <w:r w:rsidRPr="00EB2BD8">
        <w:rPr>
          <w:rFonts w:ascii="Arial" w:hAnsi="Arial"/>
          <w:spacing w:val="-4"/>
          <w:w w:val="105"/>
          <w:sz w:val="17"/>
        </w:rPr>
        <w:t xml:space="preserve"> </w:t>
      </w:r>
      <w:r w:rsidRPr="00EB2BD8">
        <w:rPr>
          <w:rFonts w:ascii="Arial" w:hAnsi="Arial"/>
          <w:w w:val="105"/>
          <w:sz w:val="17"/>
        </w:rPr>
        <w:t>and</w:t>
      </w:r>
      <w:r w:rsidRPr="00EB2BD8">
        <w:rPr>
          <w:rFonts w:ascii="Arial" w:hAnsi="Arial"/>
          <w:spacing w:val="-4"/>
          <w:w w:val="105"/>
          <w:sz w:val="17"/>
        </w:rPr>
        <w:t xml:space="preserve"> </w:t>
      </w:r>
      <w:r w:rsidRPr="00EB2BD8">
        <w:rPr>
          <w:rFonts w:ascii="Arial" w:hAnsi="Arial"/>
          <w:w w:val="105"/>
          <w:sz w:val="17"/>
        </w:rPr>
        <w:t>the</w:t>
      </w:r>
      <w:r w:rsidRPr="00EB2BD8">
        <w:rPr>
          <w:rFonts w:ascii="Arial" w:hAnsi="Arial"/>
          <w:spacing w:val="-4"/>
          <w:w w:val="105"/>
          <w:sz w:val="17"/>
        </w:rPr>
        <w:t xml:space="preserve"> </w:t>
      </w:r>
      <w:r w:rsidRPr="00EB2BD8">
        <w:rPr>
          <w:rFonts w:ascii="Arial" w:hAnsi="Arial"/>
          <w:w w:val="105"/>
          <w:sz w:val="17"/>
        </w:rPr>
        <w:t>basis</w:t>
      </w:r>
      <w:r w:rsidRPr="00EB2BD8">
        <w:rPr>
          <w:rFonts w:ascii="Arial" w:hAnsi="Arial"/>
          <w:spacing w:val="-4"/>
          <w:w w:val="105"/>
          <w:sz w:val="17"/>
        </w:rPr>
        <w:t xml:space="preserve"> </w:t>
      </w:r>
      <w:r w:rsidRPr="00EB2BD8">
        <w:rPr>
          <w:rFonts w:ascii="Arial" w:hAnsi="Arial"/>
          <w:w w:val="105"/>
          <w:sz w:val="17"/>
        </w:rPr>
        <w:t>on</w:t>
      </w:r>
      <w:r w:rsidRPr="00EB2BD8">
        <w:rPr>
          <w:rFonts w:ascii="Arial" w:hAnsi="Arial"/>
          <w:spacing w:val="-4"/>
          <w:w w:val="105"/>
          <w:sz w:val="17"/>
        </w:rPr>
        <w:t xml:space="preserve"> </w:t>
      </w:r>
      <w:r w:rsidRPr="00EB2BD8">
        <w:rPr>
          <w:rFonts w:ascii="Arial" w:hAnsi="Arial"/>
          <w:w w:val="105"/>
          <w:sz w:val="17"/>
        </w:rPr>
        <w:t>which</w:t>
      </w:r>
      <w:r w:rsidRPr="00EB2BD8">
        <w:rPr>
          <w:rFonts w:ascii="Arial" w:hAnsi="Arial"/>
          <w:spacing w:val="-4"/>
          <w:w w:val="105"/>
          <w:sz w:val="17"/>
        </w:rPr>
        <w:t xml:space="preserve"> </w:t>
      </w:r>
      <w:r w:rsidRPr="00EB2BD8">
        <w:rPr>
          <w:rFonts w:ascii="Arial" w:hAnsi="Arial"/>
          <w:w w:val="105"/>
          <w:sz w:val="17"/>
        </w:rPr>
        <w:t>income</w:t>
      </w:r>
      <w:r w:rsidRPr="00EB2BD8">
        <w:rPr>
          <w:rFonts w:ascii="Arial" w:hAnsi="Arial"/>
          <w:spacing w:val="-4"/>
          <w:w w:val="105"/>
          <w:sz w:val="17"/>
        </w:rPr>
        <w:t xml:space="preserve"> </w:t>
      </w:r>
      <w:r w:rsidRPr="00EB2BD8">
        <w:rPr>
          <w:rFonts w:ascii="Arial" w:hAnsi="Arial"/>
          <w:w w:val="105"/>
          <w:sz w:val="17"/>
        </w:rPr>
        <w:t>and</w:t>
      </w:r>
      <w:r w:rsidRPr="00EB2BD8">
        <w:rPr>
          <w:rFonts w:ascii="Arial" w:hAnsi="Arial"/>
          <w:spacing w:val="-4"/>
          <w:w w:val="105"/>
          <w:sz w:val="17"/>
        </w:rPr>
        <w:t xml:space="preserve"> </w:t>
      </w:r>
      <w:r w:rsidRPr="00EB2BD8">
        <w:rPr>
          <w:rFonts w:ascii="Arial" w:hAnsi="Arial"/>
          <w:w w:val="105"/>
          <w:sz w:val="17"/>
        </w:rPr>
        <w:t>expenses</w:t>
      </w:r>
      <w:r w:rsidRPr="00EB2BD8">
        <w:rPr>
          <w:rFonts w:ascii="Arial" w:hAnsi="Arial"/>
          <w:spacing w:val="-4"/>
          <w:w w:val="105"/>
          <w:sz w:val="17"/>
        </w:rPr>
        <w:t xml:space="preserve"> </w:t>
      </w:r>
      <w:r w:rsidRPr="00EB2BD8">
        <w:rPr>
          <w:rFonts w:ascii="Arial" w:hAnsi="Arial"/>
          <w:w w:val="105"/>
          <w:sz w:val="17"/>
        </w:rPr>
        <w:t>are recognised, with respect to each class of financial asset and financial liability instrument, are disclosed in Note 7.1.</w:t>
      </w:r>
    </w:p>
    <w:p w14:paraId="1F323C78" w14:textId="77777777" w:rsidR="00084F36" w:rsidRPr="00EB2BD8" w:rsidRDefault="00084F36">
      <w:pPr>
        <w:pStyle w:val="BodyText"/>
        <w:spacing w:before="8"/>
        <w:rPr>
          <w:rFonts w:ascii="Arial"/>
          <w:sz w:val="20"/>
        </w:rPr>
      </w:pPr>
    </w:p>
    <w:p w14:paraId="65469A3D" w14:textId="77777777" w:rsidR="00084F36" w:rsidRPr="00EB2BD8" w:rsidRDefault="00EB2BD8">
      <w:pPr>
        <w:spacing w:line="288" w:lineRule="auto"/>
        <w:ind w:left="1039" w:right="1155"/>
        <w:rPr>
          <w:rFonts w:ascii="Arial"/>
          <w:sz w:val="17"/>
        </w:rPr>
      </w:pPr>
      <w:r w:rsidRPr="00EB2BD8">
        <w:rPr>
          <w:rFonts w:ascii="Arial"/>
          <w:w w:val="105"/>
          <w:sz w:val="17"/>
        </w:rPr>
        <w:t>The main purpose in holding financial instruments is to prudently manage the VBA's financial risk within government policy parameters.</w:t>
      </w:r>
      <w:r w:rsidRPr="00EB2BD8">
        <w:rPr>
          <w:rFonts w:ascii="Arial"/>
          <w:spacing w:val="-4"/>
          <w:w w:val="105"/>
          <w:sz w:val="17"/>
        </w:rPr>
        <w:t xml:space="preserve"> </w:t>
      </w:r>
      <w:r w:rsidRPr="00EB2BD8">
        <w:rPr>
          <w:rFonts w:ascii="Arial"/>
          <w:w w:val="105"/>
          <w:sz w:val="17"/>
        </w:rPr>
        <w:t>The</w:t>
      </w:r>
      <w:r w:rsidRPr="00EB2BD8">
        <w:rPr>
          <w:rFonts w:ascii="Arial"/>
          <w:spacing w:val="-4"/>
          <w:w w:val="105"/>
          <w:sz w:val="17"/>
        </w:rPr>
        <w:t xml:space="preserve"> </w:t>
      </w:r>
      <w:r w:rsidRPr="00EB2BD8">
        <w:rPr>
          <w:rFonts w:ascii="Arial"/>
          <w:w w:val="105"/>
          <w:sz w:val="17"/>
        </w:rPr>
        <w:t>VBA</w:t>
      </w:r>
      <w:r w:rsidRPr="00EB2BD8">
        <w:rPr>
          <w:rFonts w:ascii="Arial"/>
          <w:spacing w:val="-4"/>
          <w:w w:val="105"/>
          <w:sz w:val="17"/>
        </w:rPr>
        <w:t xml:space="preserve"> </w:t>
      </w:r>
      <w:r w:rsidRPr="00EB2BD8">
        <w:rPr>
          <w:rFonts w:ascii="Arial"/>
          <w:w w:val="105"/>
          <w:sz w:val="17"/>
        </w:rPr>
        <w:t>uses</w:t>
      </w:r>
      <w:r w:rsidRPr="00EB2BD8">
        <w:rPr>
          <w:rFonts w:ascii="Arial"/>
          <w:spacing w:val="-4"/>
          <w:w w:val="105"/>
          <w:sz w:val="17"/>
        </w:rPr>
        <w:t xml:space="preserve"> </w:t>
      </w:r>
      <w:r w:rsidRPr="00EB2BD8">
        <w:rPr>
          <w:rFonts w:ascii="Arial"/>
          <w:w w:val="105"/>
          <w:sz w:val="17"/>
        </w:rPr>
        <w:t>different</w:t>
      </w:r>
      <w:r w:rsidRPr="00EB2BD8">
        <w:rPr>
          <w:rFonts w:ascii="Arial"/>
          <w:spacing w:val="-4"/>
          <w:w w:val="105"/>
          <w:sz w:val="17"/>
        </w:rPr>
        <w:t xml:space="preserve"> </w:t>
      </w:r>
      <w:r w:rsidRPr="00EB2BD8">
        <w:rPr>
          <w:rFonts w:ascii="Arial"/>
          <w:w w:val="105"/>
          <w:sz w:val="17"/>
        </w:rPr>
        <w:t>methods</w:t>
      </w:r>
      <w:r w:rsidRPr="00EB2BD8">
        <w:rPr>
          <w:rFonts w:ascii="Arial"/>
          <w:spacing w:val="-3"/>
          <w:w w:val="105"/>
          <w:sz w:val="17"/>
        </w:rPr>
        <w:t xml:space="preserve"> </w:t>
      </w:r>
      <w:r w:rsidRPr="00EB2BD8">
        <w:rPr>
          <w:rFonts w:ascii="Arial"/>
          <w:w w:val="105"/>
          <w:sz w:val="17"/>
        </w:rPr>
        <w:t>to</w:t>
      </w:r>
      <w:r w:rsidRPr="00EB2BD8">
        <w:rPr>
          <w:rFonts w:ascii="Arial"/>
          <w:spacing w:val="-4"/>
          <w:w w:val="105"/>
          <w:sz w:val="17"/>
        </w:rPr>
        <w:t xml:space="preserve"> </w:t>
      </w:r>
      <w:r w:rsidRPr="00EB2BD8">
        <w:rPr>
          <w:rFonts w:ascii="Arial"/>
          <w:w w:val="105"/>
          <w:sz w:val="17"/>
        </w:rPr>
        <w:t>measure</w:t>
      </w:r>
      <w:r w:rsidRPr="00EB2BD8">
        <w:rPr>
          <w:rFonts w:ascii="Arial"/>
          <w:spacing w:val="-4"/>
          <w:w w:val="105"/>
          <w:sz w:val="17"/>
        </w:rPr>
        <w:t xml:space="preserve"> </w:t>
      </w:r>
      <w:r w:rsidRPr="00EB2BD8">
        <w:rPr>
          <w:rFonts w:ascii="Arial"/>
          <w:w w:val="105"/>
          <w:sz w:val="17"/>
        </w:rPr>
        <w:t>and</w:t>
      </w:r>
      <w:r w:rsidRPr="00EB2BD8">
        <w:rPr>
          <w:rFonts w:ascii="Arial"/>
          <w:spacing w:val="-4"/>
          <w:w w:val="105"/>
          <w:sz w:val="17"/>
        </w:rPr>
        <w:t xml:space="preserve"> </w:t>
      </w:r>
      <w:r w:rsidRPr="00EB2BD8">
        <w:rPr>
          <w:rFonts w:ascii="Arial"/>
          <w:w w:val="105"/>
          <w:sz w:val="17"/>
        </w:rPr>
        <w:t>manage</w:t>
      </w:r>
      <w:r w:rsidRPr="00EB2BD8">
        <w:rPr>
          <w:rFonts w:ascii="Arial"/>
          <w:spacing w:val="-4"/>
          <w:w w:val="105"/>
          <w:sz w:val="17"/>
        </w:rPr>
        <w:t xml:space="preserve"> </w:t>
      </w:r>
      <w:r w:rsidRPr="00EB2BD8">
        <w:rPr>
          <w:rFonts w:ascii="Arial"/>
          <w:w w:val="105"/>
          <w:sz w:val="17"/>
        </w:rPr>
        <w:t>the</w:t>
      </w:r>
      <w:r w:rsidRPr="00EB2BD8">
        <w:rPr>
          <w:rFonts w:ascii="Arial"/>
          <w:spacing w:val="-4"/>
          <w:w w:val="105"/>
          <w:sz w:val="17"/>
        </w:rPr>
        <w:t xml:space="preserve"> </w:t>
      </w:r>
      <w:r w:rsidRPr="00EB2BD8">
        <w:rPr>
          <w:rFonts w:ascii="Arial"/>
          <w:w w:val="105"/>
          <w:sz w:val="17"/>
        </w:rPr>
        <w:t>risk</w:t>
      </w:r>
      <w:r w:rsidRPr="00EB2BD8">
        <w:rPr>
          <w:rFonts w:ascii="Arial"/>
          <w:spacing w:val="-4"/>
          <w:w w:val="105"/>
          <w:sz w:val="17"/>
        </w:rPr>
        <w:t xml:space="preserve"> </w:t>
      </w:r>
      <w:r w:rsidRPr="00EB2BD8">
        <w:rPr>
          <w:rFonts w:ascii="Arial"/>
          <w:w w:val="105"/>
          <w:sz w:val="17"/>
        </w:rPr>
        <w:t>to</w:t>
      </w:r>
      <w:r w:rsidRPr="00EB2BD8">
        <w:rPr>
          <w:rFonts w:ascii="Arial"/>
          <w:spacing w:val="-4"/>
          <w:w w:val="105"/>
          <w:sz w:val="17"/>
        </w:rPr>
        <w:t xml:space="preserve"> </w:t>
      </w:r>
      <w:r w:rsidRPr="00EB2BD8">
        <w:rPr>
          <w:rFonts w:ascii="Arial"/>
          <w:w w:val="105"/>
          <w:sz w:val="17"/>
        </w:rPr>
        <w:t>which</w:t>
      </w:r>
      <w:r w:rsidRPr="00EB2BD8">
        <w:rPr>
          <w:rFonts w:ascii="Arial"/>
          <w:spacing w:val="-4"/>
          <w:w w:val="105"/>
          <w:sz w:val="17"/>
        </w:rPr>
        <w:t xml:space="preserve"> </w:t>
      </w:r>
      <w:r w:rsidRPr="00EB2BD8">
        <w:rPr>
          <w:rFonts w:ascii="Arial"/>
          <w:w w:val="105"/>
          <w:sz w:val="17"/>
        </w:rPr>
        <w:t>it</w:t>
      </w:r>
      <w:r w:rsidRPr="00EB2BD8">
        <w:rPr>
          <w:rFonts w:ascii="Arial"/>
          <w:spacing w:val="-4"/>
          <w:w w:val="105"/>
          <w:sz w:val="17"/>
        </w:rPr>
        <w:t xml:space="preserve"> </w:t>
      </w:r>
      <w:r w:rsidRPr="00EB2BD8">
        <w:rPr>
          <w:rFonts w:ascii="Arial"/>
          <w:w w:val="105"/>
          <w:sz w:val="17"/>
        </w:rPr>
        <w:t>is</w:t>
      </w:r>
      <w:r w:rsidRPr="00EB2BD8">
        <w:rPr>
          <w:rFonts w:ascii="Arial"/>
          <w:spacing w:val="-4"/>
          <w:w w:val="105"/>
          <w:sz w:val="17"/>
        </w:rPr>
        <w:t xml:space="preserve"> </w:t>
      </w:r>
      <w:r w:rsidRPr="00EB2BD8">
        <w:rPr>
          <w:rFonts w:ascii="Arial"/>
          <w:w w:val="105"/>
          <w:sz w:val="17"/>
        </w:rPr>
        <w:t>exposed.</w:t>
      </w:r>
      <w:r w:rsidRPr="00EB2BD8">
        <w:rPr>
          <w:rFonts w:ascii="Arial"/>
          <w:spacing w:val="-4"/>
          <w:w w:val="105"/>
          <w:sz w:val="17"/>
        </w:rPr>
        <w:t xml:space="preserve"> </w:t>
      </w:r>
      <w:r w:rsidRPr="00EB2BD8">
        <w:rPr>
          <w:rFonts w:ascii="Arial"/>
          <w:w w:val="105"/>
          <w:sz w:val="17"/>
        </w:rPr>
        <w:t>Primary</w:t>
      </w:r>
      <w:r w:rsidRPr="00EB2BD8">
        <w:rPr>
          <w:rFonts w:ascii="Arial"/>
          <w:spacing w:val="-4"/>
          <w:w w:val="105"/>
          <w:sz w:val="17"/>
        </w:rPr>
        <w:t xml:space="preserve"> </w:t>
      </w:r>
      <w:r w:rsidRPr="00EB2BD8">
        <w:rPr>
          <w:rFonts w:ascii="Arial"/>
          <w:w w:val="105"/>
          <w:sz w:val="17"/>
        </w:rPr>
        <w:t>responsibility for the identification and management of financial risks rests with the Board.</w:t>
      </w:r>
    </w:p>
    <w:p w14:paraId="6097FD69" w14:textId="77777777" w:rsidR="00084F36" w:rsidRPr="00EB2BD8" w:rsidRDefault="00084F36">
      <w:pPr>
        <w:pStyle w:val="BodyText"/>
        <w:spacing w:before="8"/>
        <w:rPr>
          <w:rFonts w:ascii="Arial"/>
          <w:sz w:val="20"/>
        </w:rPr>
      </w:pPr>
    </w:p>
    <w:p w14:paraId="0B00FFE6" w14:textId="42CF9588" w:rsidR="00084F36" w:rsidRPr="00327EC1" w:rsidRDefault="00EB2BD8" w:rsidP="00327EC1">
      <w:pPr>
        <w:spacing w:before="1" w:line="288" w:lineRule="auto"/>
        <w:ind w:left="1039" w:right="1155"/>
        <w:rPr>
          <w:rFonts w:ascii="Arial" w:hAnsi="Arial"/>
          <w:sz w:val="17"/>
        </w:rPr>
      </w:pPr>
      <w:r w:rsidRPr="00EB2BD8">
        <w:rPr>
          <w:rFonts w:ascii="Arial" w:hAnsi="Arial"/>
          <w:w w:val="105"/>
          <w:sz w:val="17"/>
        </w:rPr>
        <w:t>The</w:t>
      </w:r>
      <w:r w:rsidRPr="00EB2BD8">
        <w:rPr>
          <w:rFonts w:ascii="Arial" w:hAnsi="Arial"/>
          <w:spacing w:val="-4"/>
          <w:w w:val="105"/>
          <w:sz w:val="17"/>
        </w:rPr>
        <w:t xml:space="preserve"> </w:t>
      </w:r>
      <w:r w:rsidRPr="00EB2BD8">
        <w:rPr>
          <w:rFonts w:ascii="Arial" w:hAnsi="Arial"/>
          <w:w w:val="105"/>
          <w:sz w:val="17"/>
        </w:rPr>
        <w:t>VBA’s</w:t>
      </w:r>
      <w:r w:rsidRPr="00EB2BD8">
        <w:rPr>
          <w:rFonts w:ascii="Arial" w:hAnsi="Arial"/>
          <w:spacing w:val="-4"/>
          <w:w w:val="105"/>
          <w:sz w:val="17"/>
        </w:rPr>
        <w:t xml:space="preserve"> </w:t>
      </w:r>
      <w:r w:rsidRPr="00EB2BD8">
        <w:rPr>
          <w:rFonts w:ascii="Arial" w:hAnsi="Arial"/>
          <w:w w:val="105"/>
          <w:sz w:val="17"/>
        </w:rPr>
        <w:t>main</w:t>
      </w:r>
      <w:r w:rsidRPr="00EB2BD8">
        <w:rPr>
          <w:rFonts w:ascii="Arial" w:hAnsi="Arial"/>
          <w:spacing w:val="-4"/>
          <w:w w:val="105"/>
          <w:sz w:val="17"/>
        </w:rPr>
        <w:t xml:space="preserve"> </w:t>
      </w:r>
      <w:r w:rsidRPr="00EB2BD8">
        <w:rPr>
          <w:rFonts w:ascii="Arial" w:hAnsi="Arial"/>
          <w:w w:val="105"/>
          <w:sz w:val="17"/>
        </w:rPr>
        <w:t>financial</w:t>
      </w:r>
      <w:r w:rsidRPr="00EB2BD8">
        <w:rPr>
          <w:rFonts w:ascii="Arial" w:hAnsi="Arial"/>
          <w:spacing w:val="-4"/>
          <w:w w:val="105"/>
          <w:sz w:val="17"/>
        </w:rPr>
        <w:t xml:space="preserve"> </w:t>
      </w:r>
      <w:r w:rsidRPr="00EB2BD8">
        <w:rPr>
          <w:rFonts w:ascii="Arial" w:hAnsi="Arial"/>
          <w:w w:val="105"/>
          <w:sz w:val="17"/>
        </w:rPr>
        <w:t>risks</w:t>
      </w:r>
      <w:r w:rsidRPr="00EB2BD8">
        <w:rPr>
          <w:rFonts w:ascii="Arial" w:hAnsi="Arial"/>
          <w:spacing w:val="-4"/>
          <w:w w:val="105"/>
          <w:sz w:val="17"/>
        </w:rPr>
        <w:t xml:space="preserve"> </w:t>
      </w:r>
      <w:r w:rsidRPr="00EB2BD8">
        <w:rPr>
          <w:rFonts w:ascii="Arial" w:hAnsi="Arial"/>
          <w:w w:val="105"/>
          <w:sz w:val="17"/>
        </w:rPr>
        <w:t>include</w:t>
      </w:r>
      <w:r w:rsidRPr="00EB2BD8">
        <w:rPr>
          <w:rFonts w:ascii="Arial" w:hAnsi="Arial"/>
          <w:spacing w:val="-4"/>
          <w:w w:val="105"/>
          <w:sz w:val="17"/>
        </w:rPr>
        <w:t xml:space="preserve"> </w:t>
      </w:r>
      <w:r w:rsidRPr="00EB2BD8">
        <w:rPr>
          <w:rFonts w:ascii="Arial" w:hAnsi="Arial"/>
          <w:w w:val="105"/>
          <w:sz w:val="17"/>
        </w:rPr>
        <w:t>credit</w:t>
      </w:r>
      <w:r w:rsidRPr="00EB2BD8">
        <w:rPr>
          <w:rFonts w:ascii="Arial" w:hAnsi="Arial"/>
          <w:spacing w:val="-4"/>
          <w:w w:val="105"/>
          <w:sz w:val="17"/>
        </w:rPr>
        <w:t xml:space="preserve"> </w:t>
      </w:r>
      <w:r w:rsidRPr="00EB2BD8">
        <w:rPr>
          <w:rFonts w:ascii="Arial" w:hAnsi="Arial"/>
          <w:w w:val="105"/>
          <w:sz w:val="17"/>
        </w:rPr>
        <w:t>risk,</w:t>
      </w:r>
      <w:r w:rsidRPr="00EB2BD8">
        <w:rPr>
          <w:rFonts w:ascii="Arial" w:hAnsi="Arial"/>
          <w:spacing w:val="-4"/>
          <w:w w:val="105"/>
          <w:sz w:val="17"/>
        </w:rPr>
        <w:t xml:space="preserve"> </w:t>
      </w:r>
      <w:r w:rsidRPr="00EB2BD8">
        <w:rPr>
          <w:rFonts w:ascii="Arial" w:hAnsi="Arial"/>
          <w:w w:val="105"/>
          <w:sz w:val="17"/>
        </w:rPr>
        <w:t>liquidity</w:t>
      </w:r>
      <w:r w:rsidRPr="00EB2BD8">
        <w:rPr>
          <w:rFonts w:ascii="Arial" w:hAnsi="Arial"/>
          <w:spacing w:val="-4"/>
          <w:w w:val="105"/>
          <w:sz w:val="17"/>
        </w:rPr>
        <w:t xml:space="preserve"> </w:t>
      </w:r>
      <w:r w:rsidRPr="00EB2BD8">
        <w:rPr>
          <w:rFonts w:ascii="Arial" w:hAnsi="Arial"/>
          <w:w w:val="105"/>
          <w:sz w:val="17"/>
        </w:rPr>
        <w:t>risk</w:t>
      </w:r>
      <w:r w:rsidRPr="00EB2BD8">
        <w:rPr>
          <w:rFonts w:ascii="Arial" w:hAnsi="Arial"/>
          <w:spacing w:val="-4"/>
          <w:w w:val="105"/>
          <w:sz w:val="17"/>
        </w:rPr>
        <w:t xml:space="preserve"> </w:t>
      </w:r>
      <w:r w:rsidRPr="00EB2BD8">
        <w:rPr>
          <w:rFonts w:ascii="Arial" w:hAnsi="Arial"/>
          <w:w w:val="105"/>
          <w:sz w:val="17"/>
        </w:rPr>
        <w:t>and</w:t>
      </w:r>
      <w:r w:rsidRPr="00EB2BD8">
        <w:rPr>
          <w:rFonts w:ascii="Arial" w:hAnsi="Arial"/>
          <w:spacing w:val="-4"/>
          <w:w w:val="105"/>
          <w:sz w:val="17"/>
        </w:rPr>
        <w:t xml:space="preserve"> </w:t>
      </w:r>
      <w:r w:rsidRPr="00EB2BD8">
        <w:rPr>
          <w:rFonts w:ascii="Arial" w:hAnsi="Arial"/>
          <w:w w:val="105"/>
          <w:sz w:val="17"/>
        </w:rPr>
        <w:t>interest</w:t>
      </w:r>
      <w:r w:rsidRPr="00EB2BD8">
        <w:rPr>
          <w:rFonts w:ascii="Arial" w:hAnsi="Arial"/>
          <w:spacing w:val="-4"/>
          <w:w w:val="105"/>
          <w:sz w:val="17"/>
        </w:rPr>
        <w:t xml:space="preserve"> </w:t>
      </w:r>
      <w:r w:rsidRPr="00EB2BD8">
        <w:rPr>
          <w:rFonts w:ascii="Arial" w:hAnsi="Arial"/>
          <w:w w:val="105"/>
          <w:sz w:val="17"/>
        </w:rPr>
        <w:t>rate</w:t>
      </w:r>
      <w:r w:rsidRPr="00EB2BD8">
        <w:rPr>
          <w:rFonts w:ascii="Arial" w:hAnsi="Arial"/>
          <w:spacing w:val="-4"/>
          <w:w w:val="105"/>
          <w:sz w:val="17"/>
        </w:rPr>
        <w:t xml:space="preserve"> </w:t>
      </w:r>
      <w:r w:rsidRPr="00EB2BD8">
        <w:rPr>
          <w:rFonts w:ascii="Arial" w:hAnsi="Arial"/>
          <w:w w:val="105"/>
          <w:sz w:val="17"/>
        </w:rPr>
        <w:t>risk.</w:t>
      </w:r>
      <w:r w:rsidRPr="00EB2BD8">
        <w:rPr>
          <w:rFonts w:ascii="Arial" w:hAnsi="Arial"/>
          <w:spacing w:val="-4"/>
          <w:w w:val="105"/>
          <w:sz w:val="17"/>
        </w:rPr>
        <w:t xml:space="preserve"> </w:t>
      </w:r>
      <w:r w:rsidRPr="00EB2BD8">
        <w:rPr>
          <w:rFonts w:ascii="Arial" w:hAnsi="Arial"/>
          <w:w w:val="105"/>
          <w:sz w:val="17"/>
        </w:rPr>
        <w:t>The</w:t>
      </w:r>
      <w:r w:rsidRPr="00EB2BD8">
        <w:rPr>
          <w:rFonts w:ascii="Arial" w:hAnsi="Arial"/>
          <w:spacing w:val="-3"/>
          <w:w w:val="105"/>
          <w:sz w:val="17"/>
        </w:rPr>
        <w:t xml:space="preserve"> </w:t>
      </w:r>
      <w:r w:rsidRPr="00EB2BD8">
        <w:rPr>
          <w:rFonts w:ascii="Arial" w:hAnsi="Arial"/>
          <w:w w:val="105"/>
          <w:sz w:val="17"/>
        </w:rPr>
        <w:t>VBA</w:t>
      </w:r>
      <w:r w:rsidRPr="00EB2BD8">
        <w:rPr>
          <w:rFonts w:ascii="Arial" w:hAnsi="Arial"/>
          <w:spacing w:val="-4"/>
          <w:w w:val="105"/>
          <w:sz w:val="17"/>
        </w:rPr>
        <w:t xml:space="preserve"> </w:t>
      </w:r>
      <w:r w:rsidRPr="00EB2BD8">
        <w:rPr>
          <w:rFonts w:ascii="Arial" w:hAnsi="Arial"/>
          <w:w w:val="105"/>
          <w:sz w:val="17"/>
        </w:rPr>
        <w:t>manages</w:t>
      </w:r>
      <w:r w:rsidRPr="00EB2BD8">
        <w:rPr>
          <w:rFonts w:ascii="Arial" w:hAnsi="Arial"/>
          <w:spacing w:val="-4"/>
          <w:w w:val="105"/>
          <w:sz w:val="17"/>
        </w:rPr>
        <w:t xml:space="preserve"> </w:t>
      </w:r>
      <w:r w:rsidRPr="00EB2BD8">
        <w:rPr>
          <w:rFonts w:ascii="Arial" w:hAnsi="Arial"/>
          <w:w w:val="105"/>
          <w:sz w:val="17"/>
        </w:rPr>
        <w:t>these</w:t>
      </w:r>
      <w:r w:rsidRPr="00EB2BD8">
        <w:rPr>
          <w:rFonts w:ascii="Arial" w:hAnsi="Arial"/>
          <w:spacing w:val="-4"/>
          <w:w w:val="105"/>
          <w:sz w:val="17"/>
        </w:rPr>
        <w:t xml:space="preserve"> </w:t>
      </w:r>
      <w:r w:rsidRPr="00EB2BD8">
        <w:rPr>
          <w:rFonts w:ascii="Arial" w:hAnsi="Arial"/>
          <w:w w:val="105"/>
          <w:sz w:val="17"/>
        </w:rPr>
        <w:t>financial</w:t>
      </w:r>
      <w:r w:rsidRPr="00EB2BD8">
        <w:rPr>
          <w:rFonts w:ascii="Arial" w:hAnsi="Arial"/>
          <w:spacing w:val="-4"/>
          <w:w w:val="105"/>
          <w:sz w:val="17"/>
        </w:rPr>
        <w:t xml:space="preserve"> </w:t>
      </w:r>
      <w:r w:rsidRPr="00EB2BD8">
        <w:rPr>
          <w:rFonts w:ascii="Arial" w:hAnsi="Arial"/>
          <w:w w:val="105"/>
          <w:sz w:val="17"/>
        </w:rPr>
        <w:t>risks in accordance with its financial risk management policy. The VBA does not enter into derivative financial instruments to manage exposure to interest rate risk.</w:t>
      </w:r>
    </w:p>
    <w:p w14:paraId="1DC5ED43" w14:textId="77777777" w:rsidR="00084F36" w:rsidRPr="00EB2BD8" w:rsidRDefault="00084F36">
      <w:pPr>
        <w:jc w:val="right"/>
        <w:rPr>
          <w:sz w:val="16"/>
        </w:rPr>
        <w:sectPr w:rsidR="00084F36" w:rsidRPr="00EB2BD8" w:rsidSect="006D75B2">
          <w:headerReference w:type="default" r:id="rId335"/>
          <w:footerReference w:type="default" r:id="rId336"/>
          <w:pgSz w:w="11910" w:h="16840"/>
          <w:pgMar w:top="760" w:right="0" w:bottom="280" w:left="0" w:header="0" w:footer="0" w:gutter="0"/>
          <w:cols w:space="720"/>
        </w:sectPr>
      </w:pPr>
    </w:p>
    <w:p w14:paraId="256CC6A5" w14:textId="77777777" w:rsidR="00084F36" w:rsidRPr="00EB2BD8" w:rsidRDefault="00084F36">
      <w:pPr>
        <w:pStyle w:val="BodyText"/>
        <w:rPr>
          <w:sz w:val="20"/>
        </w:rPr>
      </w:pPr>
    </w:p>
    <w:p w14:paraId="590D623C" w14:textId="77777777" w:rsidR="00084F36" w:rsidRPr="00EB2BD8" w:rsidRDefault="00084F36">
      <w:pPr>
        <w:pStyle w:val="BodyText"/>
        <w:rPr>
          <w:sz w:val="20"/>
        </w:rPr>
      </w:pPr>
    </w:p>
    <w:p w14:paraId="717E7DC6" w14:textId="77777777" w:rsidR="00084F36" w:rsidRPr="00EB2BD8" w:rsidRDefault="00084F36">
      <w:pPr>
        <w:pStyle w:val="BodyText"/>
        <w:rPr>
          <w:sz w:val="20"/>
        </w:rPr>
      </w:pPr>
    </w:p>
    <w:p w14:paraId="1CABF6F0" w14:textId="77777777" w:rsidR="00084F36" w:rsidRPr="00EB2BD8" w:rsidRDefault="00084F36">
      <w:pPr>
        <w:pStyle w:val="BodyText"/>
        <w:rPr>
          <w:sz w:val="20"/>
        </w:rPr>
      </w:pPr>
    </w:p>
    <w:p w14:paraId="0C2D1F25" w14:textId="77777777" w:rsidR="00084F36" w:rsidRPr="00EB2BD8" w:rsidRDefault="00084F36">
      <w:pPr>
        <w:pStyle w:val="BodyText"/>
        <w:rPr>
          <w:sz w:val="20"/>
        </w:rPr>
      </w:pPr>
    </w:p>
    <w:p w14:paraId="3A108CA2" w14:textId="77777777" w:rsidR="00084F36" w:rsidRPr="00EB2BD8" w:rsidRDefault="00084F36">
      <w:pPr>
        <w:pStyle w:val="BodyText"/>
        <w:spacing w:before="8"/>
        <w:rPr>
          <w:sz w:val="17"/>
        </w:rPr>
      </w:pPr>
    </w:p>
    <w:p w14:paraId="27EFF38D" w14:textId="77777777" w:rsidR="00084F36" w:rsidRPr="00EB2BD8" w:rsidRDefault="00EB2BD8" w:rsidP="00327EC1">
      <w:pPr>
        <w:pStyle w:val="Heading2"/>
        <w:ind w:firstLine="191"/>
      </w:pPr>
      <w:bookmarkStart w:id="336" w:name="_Toc150762638"/>
      <w:r w:rsidRPr="00EB2BD8">
        <w:t>Financial</w:t>
      </w:r>
      <w:r w:rsidRPr="00EB2BD8">
        <w:rPr>
          <w:spacing w:val="13"/>
        </w:rPr>
        <w:t xml:space="preserve"> </w:t>
      </w:r>
      <w:r w:rsidRPr="00EB2BD8">
        <w:t>instruments</w:t>
      </w:r>
      <w:r w:rsidRPr="00EB2BD8">
        <w:rPr>
          <w:spacing w:val="14"/>
        </w:rPr>
        <w:t xml:space="preserve"> </w:t>
      </w:r>
      <w:r w:rsidRPr="00EB2BD8">
        <w:t>–</w:t>
      </w:r>
      <w:r w:rsidRPr="00EB2BD8">
        <w:rPr>
          <w:spacing w:val="13"/>
        </w:rPr>
        <w:t xml:space="preserve"> </w:t>
      </w:r>
      <w:r w:rsidRPr="00EB2BD8">
        <w:t>credit</w:t>
      </w:r>
      <w:r w:rsidRPr="00EB2BD8">
        <w:rPr>
          <w:spacing w:val="14"/>
        </w:rPr>
        <w:t xml:space="preserve"> </w:t>
      </w:r>
      <w:r w:rsidRPr="00EB2BD8">
        <w:rPr>
          <w:spacing w:val="-4"/>
        </w:rPr>
        <w:t>risk</w:t>
      </w:r>
      <w:bookmarkEnd w:id="336"/>
    </w:p>
    <w:p w14:paraId="3B5F33C0" w14:textId="77777777" w:rsidR="00084F36" w:rsidRPr="00EB2BD8" w:rsidRDefault="00EB2BD8">
      <w:pPr>
        <w:spacing w:before="157" w:line="288" w:lineRule="auto"/>
        <w:ind w:left="1041" w:right="1761"/>
        <w:rPr>
          <w:rFonts w:ascii="Arial" w:hAnsi="Arial"/>
          <w:sz w:val="16"/>
        </w:rPr>
      </w:pPr>
      <w:r w:rsidRPr="00EB2BD8">
        <w:rPr>
          <w:rFonts w:ascii="Arial" w:hAnsi="Arial"/>
          <w:w w:val="105"/>
          <w:sz w:val="16"/>
        </w:rPr>
        <w:t>Credit risk refers to the possibility that a borrower will default on its financial obligations as and when they fall due. The VBA’s</w:t>
      </w:r>
      <w:r w:rsidRPr="00EB2BD8">
        <w:rPr>
          <w:rFonts w:ascii="Arial" w:hAnsi="Arial"/>
          <w:spacing w:val="-3"/>
          <w:w w:val="105"/>
          <w:sz w:val="16"/>
        </w:rPr>
        <w:t xml:space="preserve"> </w:t>
      </w:r>
      <w:r w:rsidRPr="00EB2BD8">
        <w:rPr>
          <w:rFonts w:ascii="Arial" w:hAnsi="Arial"/>
          <w:w w:val="105"/>
          <w:sz w:val="16"/>
        </w:rPr>
        <w:t>exposure</w:t>
      </w:r>
      <w:r w:rsidRPr="00EB2BD8">
        <w:rPr>
          <w:rFonts w:ascii="Arial" w:hAnsi="Arial"/>
          <w:spacing w:val="-3"/>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credit</w:t>
      </w:r>
      <w:r w:rsidRPr="00EB2BD8">
        <w:rPr>
          <w:rFonts w:ascii="Arial" w:hAnsi="Arial"/>
          <w:spacing w:val="-3"/>
          <w:w w:val="105"/>
          <w:sz w:val="16"/>
        </w:rPr>
        <w:t xml:space="preserve"> </w:t>
      </w:r>
      <w:r w:rsidRPr="00EB2BD8">
        <w:rPr>
          <w:rFonts w:ascii="Arial" w:hAnsi="Arial"/>
          <w:w w:val="105"/>
          <w:sz w:val="16"/>
        </w:rPr>
        <w:t>risk</w:t>
      </w:r>
      <w:r w:rsidRPr="00EB2BD8">
        <w:rPr>
          <w:rFonts w:ascii="Arial" w:hAnsi="Arial"/>
          <w:spacing w:val="-3"/>
          <w:w w:val="105"/>
          <w:sz w:val="16"/>
        </w:rPr>
        <w:t xml:space="preserve"> </w:t>
      </w:r>
      <w:r w:rsidRPr="00EB2BD8">
        <w:rPr>
          <w:rFonts w:ascii="Arial" w:hAnsi="Arial"/>
          <w:w w:val="105"/>
          <w:sz w:val="16"/>
        </w:rPr>
        <w:t>arises</w:t>
      </w:r>
      <w:r w:rsidRPr="00EB2BD8">
        <w:rPr>
          <w:rFonts w:ascii="Arial" w:hAnsi="Arial"/>
          <w:spacing w:val="-3"/>
          <w:w w:val="105"/>
          <w:sz w:val="16"/>
        </w:rPr>
        <w:t xml:space="preserve"> </w:t>
      </w:r>
      <w:r w:rsidRPr="00EB2BD8">
        <w:rPr>
          <w:rFonts w:ascii="Arial" w:hAnsi="Arial"/>
          <w:w w:val="105"/>
          <w:sz w:val="16"/>
        </w:rPr>
        <w:t>from</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potential</w:t>
      </w:r>
      <w:r w:rsidRPr="00EB2BD8">
        <w:rPr>
          <w:rFonts w:ascii="Arial" w:hAnsi="Arial"/>
          <w:spacing w:val="-3"/>
          <w:w w:val="105"/>
          <w:sz w:val="16"/>
        </w:rPr>
        <w:t xml:space="preserve"> </w:t>
      </w:r>
      <w:r w:rsidRPr="00EB2BD8">
        <w:rPr>
          <w:rFonts w:ascii="Arial" w:hAnsi="Arial"/>
          <w:w w:val="105"/>
          <w:sz w:val="16"/>
        </w:rPr>
        <w:t>default</w:t>
      </w:r>
      <w:r w:rsidRPr="00EB2BD8">
        <w:rPr>
          <w:rFonts w:ascii="Arial" w:hAnsi="Arial"/>
          <w:spacing w:val="-3"/>
          <w:w w:val="105"/>
          <w:sz w:val="16"/>
        </w:rPr>
        <w:t xml:space="preserve"> </w:t>
      </w:r>
      <w:r w:rsidRPr="00EB2BD8">
        <w:rPr>
          <w:rFonts w:ascii="Arial" w:hAnsi="Arial"/>
          <w:w w:val="105"/>
          <w:sz w:val="16"/>
        </w:rPr>
        <w:t>of</w:t>
      </w:r>
      <w:r w:rsidRPr="00EB2BD8">
        <w:rPr>
          <w:rFonts w:ascii="Arial" w:hAnsi="Arial"/>
          <w:spacing w:val="-3"/>
          <w:w w:val="105"/>
          <w:sz w:val="16"/>
        </w:rPr>
        <w:t xml:space="preserve"> </w:t>
      </w:r>
      <w:r w:rsidRPr="00EB2BD8">
        <w:rPr>
          <w:rFonts w:ascii="Arial" w:hAnsi="Arial"/>
          <w:w w:val="105"/>
          <w:sz w:val="16"/>
        </w:rPr>
        <w:t>a</w:t>
      </w:r>
      <w:r w:rsidRPr="00EB2BD8">
        <w:rPr>
          <w:rFonts w:ascii="Arial" w:hAnsi="Arial"/>
          <w:spacing w:val="-3"/>
          <w:w w:val="105"/>
          <w:sz w:val="16"/>
        </w:rPr>
        <w:t xml:space="preserve"> </w:t>
      </w:r>
      <w:r w:rsidRPr="00EB2BD8">
        <w:rPr>
          <w:rFonts w:ascii="Arial" w:hAnsi="Arial"/>
          <w:w w:val="105"/>
          <w:sz w:val="16"/>
        </w:rPr>
        <w:t>counter</w:t>
      </w:r>
      <w:r w:rsidRPr="00EB2BD8">
        <w:rPr>
          <w:rFonts w:ascii="Arial" w:hAnsi="Arial"/>
          <w:spacing w:val="-2"/>
          <w:w w:val="105"/>
          <w:sz w:val="16"/>
        </w:rPr>
        <w:t xml:space="preserve"> </w:t>
      </w:r>
      <w:r w:rsidRPr="00EB2BD8">
        <w:rPr>
          <w:rFonts w:ascii="Arial" w:hAnsi="Arial"/>
          <w:w w:val="105"/>
          <w:sz w:val="16"/>
        </w:rPr>
        <w:t>party</w:t>
      </w:r>
      <w:r w:rsidRPr="00EB2BD8">
        <w:rPr>
          <w:rFonts w:ascii="Arial" w:hAnsi="Arial"/>
          <w:spacing w:val="-3"/>
          <w:w w:val="105"/>
          <w:sz w:val="16"/>
        </w:rPr>
        <w:t xml:space="preserve"> </w:t>
      </w:r>
      <w:r w:rsidRPr="00EB2BD8">
        <w:rPr>
          <w:rFonts w:ascii="Arial" w:hAnsi="Arial"/>
          <w:w w:val="105"/>
          <w:sz w:val="16"/>
        </w:rPr>
        <w:t>on</w:t>
      </w:r>
      <w:r w:rsidRPr="00EB2BD8">
        <w:rPr>
          <w:rFonts w:ascii="Arial" w:hAnsi="Arial"/>
          <w:spacing w:val="-3"/>
          <w:w w:val="105"/>
          <w:sz w:val="16"/>
        </w:rPr>
        <w:t xml:space="preserve"> </w:t>
      </w:r>
      <w:r w:rsidRPr="00EB2BD8">
        <w:rPr>
          <w:rFonts w:ascii="Arial" w:hAnsi="Arial"/>
          <w:w w:val="105"/>
          <w:sz w:val="16"/>
        </w:rPr>
        <w:t>their</w:t>
      </w:r>
      <w:r w:rsidRPr="00EB2BD8">
        <w:rPr>
          <w:rFonts w:ascii="Arial" w:hAnsi="Arial"/>
          <w:spacing w:val="-2"/>
          <w:w w:val="105"/>
          <w:sz w:val="16"/>
        </w:rPr>
        <w:t xml:space="preserve"> </w:t>
      </w:r>
      <w:r w:rsidRPr="00EB2BD8">
        <w:rPr>
          <w:rFonts w:ascii="Arial" w:hAnsi="Arial"/>
          <w:w w:val="105"/>
          <w:sz w:val="16"/>
        </w:rPr>
        <w:t>contractual</w:t>
      </w:r>
      <w:r w:rsidRPr="00EB2BD8">
        <w:rPr>
          <w:rFonts w:ascii="Arial" w:hAnsi="Arial"/>
          <w:spacing w:val="-3"/>
          <w:w w:val="105"/>
          <w:sz w:val="16"/>
        </w:rPr>
        <w:t xml:space="preserve"> </w:t>
      </w:r>
      <w:r w:rsidRPr="00EB2BD8">
        <w:rPr>
          <w:rFonts w:ascii="Arial" w:hAnsi="Arial"/>
          <w:w w:val="105"/>
          <w:sz w:val="16"/>
        </w:rPr>
        <w:t>obligations</w:t>
      </w:r>
      <w:r w:rsidRPr="00EB2BD8">
        <w:rPr>
          <w:rFonts w:ascii="Arial" w:hAnsi="Arial"/>
          <w:spacing w:val="-3"/>
          <w:w w:val="105"/>
          <w:sz w:val="16"/>
        </w:rPr>
        <w:t xml:space="preserve"> </w:t>
      </w:r>
      <w:r w:rsidRPr="00EB2BD8">
        <w:rPr>
          <w:rFonts w:ascii="Arial" w:hAnsi="Arial"/>
          <w:w w:val="105"/>
          <w:sz w:val="16"/>
        </w:rPr>
        <w:t>resulting</w:t>
      </w:r>
      <w:r w:rsidRPr="00EB2BD8">
        <w:rPr>
          <w:rFonts w:ascii="Arial" w:hAnsi="Arial"/>
          <w:spacing w:val="-3"/>
          <w:w w:val="105"/>
          <w:sz w:val="16"/>
        </w:rPr>
        <w:t xml:space="preserve"> </w:t>
      </w:r>
      <w:r w:rsidRPr="00EB2BD8">
        <w:rPr>
          <w:rFonts w:ascii="Arial" w:hAnsi="Arial"/>
          <w:w w:val="105"/>
          <w:sz w:val="16"/>
        </w:rPr>
        <w:t>in financial loss to the VBA.</w:t>
      </w:r>
      <w:r w:rsidRPr="00EB2BD8">
        <w:rPr>
          <w:rFonts w:ascii="Arial" w:hAnsi="Arial"/>
          <w:spacing w:val="40"/>
          <w:w w:val="105"/>
          <w:sz w:val="16"/>
        </w:rPr>
        <w:t xml:space="preserve"> </w:t>
      </w:r>
      <w:r w:rsidRPr="00EB2BD8">
        <w:rPr>
          <w:rFonts w:ascii="Arial" w:hAnsi="Arial"/>
          <w:w w:val="105"/>
          <w:sz w:val="16"/>
        </w:rPr>
        <w:t>Credit risk is measured at fair value and is monitored on a regular basis.</w:t>
      </w:r>
    </w:p>
    <w:p w14:paraId="4E512A2F" w14:textId="77777777" w:rsidR="00084F36" w:rsidRPr="00EB2BD8" w:rsidRDefault="00084F36">
      <w:pPr>
        <w:pStyle w:val="BodyText"/>
        <w:spacing w:before="7"/>
        <w:rPr>
          <w:rFonts w:ascii="Arial"/>
          <w:sz w:val="19"/>
        </w:rPr>
      </w:pPr>
    </w:p>
    <w:p w14:paraId="1ACC3A52" w14:textId="77777777" w:rsidR="00084F36" w:rsidRPr="00EB2BD8" w:rsidRDefault="00EB2BD8">
      <w:pPr>
        <w:spacing w:line="290" w:lineRule="auto"/>
        <w:ind w:left="1041" w:right="1813"/>
        <w:rPr>
          <w:rFonts w:ascii="Arial"/>
          <w:sz w:val="16"/>
        </w:rPr>
      </w:pPr>
      <w:r w:rsidRPr="00EB2BD8">
        <w:rPr>
          <w:rFonts w:ascii="Arial"/>
          <w:w w:val="105"/>
          <w:sz w:val="16"/>
        </w:rPr>
        <w:t>The</w:t>
      </w:r>
      <w:r w:rsidRPr="00EB2BD8">
        <w:rPr>
          <w:rFonts w:ascii="Arial"/>
          <w:spacing w:val="-2"/>
          <w:w w:val="105"/>
          <w:sz w:val="16"/>
        </w:rPr>
        <w:t xml:space="preserve"> </w:t>
      </w:r>
      <w:r w:rsidRPr="00EB2BD8">
        <w:rPr>
          <w:rFonts w:ascii="Arial"/>
          <w:w w:val="105"/>
          <w:sz w:val="16"/>
        </w:rPr>
        <w:t>credit</w:t>
      </w:r>
      <w:r w:rsidRPr="00EB2BD8">
        <w:rPr>
          <w:rFonts w:ascii="Arial"/>
          <w:spacing w:val="-2"/>
          <w:w w:val="105"/>
          <w:sz w:val="16"/>
        </w:rPr>
        <w:t xml:space="preserve"> </w:t>
      </w:r>
      <w:r w:rsidRPr="00EB2BD8">
        <w:rPr>
          <w:rFonts w:ascii="Arial"/>
          <w:w w:val="105"/>
          <w:sz w:val="16"/>
        </w:rPr>
        <w:t>risk</w:t>
      </w:r>
      <w:r w:rsidRPr="00EB2BD8">
        <w:rPr>
          <w:rFonts w:ascii="Arial"/>
          <w:spacing w:val="-2"/>
          <w:w w:val="105"/>
          <w:sz w:val="16"/>
        </w:rPr>
        <w:t xml:space="preserve"> </w:t>
      </w:r>
      <w:r w:rsidRPr="00EB2BD8">
        <w:rPr>
          <w:rFonts w:ascii="Arial"/>
          <w:w w:val="105"/>
          <w:sz w:val="16"/>
        </w:rPr>
        <w:t>on</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contractual</w:t>
      </w:r>
      <w:r w:rsidRPr="00EB2BD8">
        <w:rPr>
          <w:rFonts w:ascii="Arial"/>
          <w:spacing w:val="-2"/>
          <w:w w:val="105"/>
          <w:sz w:val="16"/>
        </w:rPr>
        <w:t xml:space="preserve"> </w:t>
      </w:r>
      <w:r w:rsidRPr="00EB2BD8">
        <w:rPr>
          <w:rFonts w:ascii="Arial"/>
          <w:w w:val="105"/>
          <w:sz w:val="16"/>
        </w:rPr>
        <w:t>financial</w:t>
      </w:r>
      <w:r w:rsidRPr="00EB2BD8">
        <w:rPr>
          <w:rFonts w:ascii="Arial"/>
          <w:spacing w:val="-2"/>
          <w:w w:val="105"/>
          <w:sz w:val="16"/>
        </w:rPr>
        <w:t xml:space="preserve"> </w:t>
      </w:r>
      <w:r w:rsidRPr="00EB2BD8">
        <w:rPr>
          <w:rFonts w:ascii="Arial"/>
          <w:w w:val="105"/>
          <w:sz w:val="16"/>
        </w:rPr>
        <w:t>assets</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VBA,</w:t>
      </w:r>
      <w:r w:rsidRPr="00EB2BD8">
        <w:rPr>
          <w:rFonts w:ascii="Arial"/>
          <w:spacing w:val="-2"/>
          <w:w w:val="105"/>
          <w:sz w:val="16"/>
        </w:rPr>
        <w:t xml:space="preserve"> </w:t>
      </w:r>
      <w:r w:rsidRPr="00EB2BD8">
        <w:rPr>
          <w:rFonts w:ascii="Arial"/>
          <w:w w:val="105"/>
          <w:sz w:val="16"/>
        </w:rPr>
        <w:t>which</w:t>
      </w:r>
      <w:r w:rsidRPr="00EB2BD8">
        <w:rPr>
          <w:rFonts w:ascii="Arial"/>
          <w:spacing w:val="-2"/>
          <w:w w:val="105"/>
          <w:sz w:val="16"/>
        </w:rPr>
        <w:t xml:space="preserve"> </w:t>
      </w:r>
      <w:r w:rsidRPr="00EB2BD8">
        <w:rPr>
          <w:rFonts w:ascii="Arial"/>
          <w:w w:val="105"/>
          <w:sz w:val="16"/>
        </w:rPr>
        <w:t>have</w:t>
      </w:r>
      <w:r w:rsidRPr="00EB2BD8">
        <w:rPr>
          <w:rFonts w:ascii="Arial"/>
          <w:spacing w:val="-2"/>
          <w:w w:val="105"/>
          <w:sz w:val="16"/>
        </w:rPr>
        <w:t xml:space="preserve"> </w:t>
      </w:r>
      <w:r w:rsidRPr="00EB2BD8">
        <w:rPr>
          <w:rFonts w:ascii="Arial"/>
          <w:w w:val="105"/>
          <w:sz w:val="16"/>
        </w:rPr>
        <w:t>been</w:t>
      </w:r>
      <w:r w:rsidRPr="00EB2BD8">
        <w:rPr>
          <w:rFonts w:ascii="Arial"/>
          <w:spacing w:val="-2"/>
          <w:w w:val="105"/>
          <w:sz w:val="16"/>
        </w:rPr>
        <w:t xml:space="preserve"> </w:t>
      </w:r>
      <w:r w:rsidRPr="00EB2BD8">
        <w:rPr>
          <w:rFonts w:ascii="Arial"/>
          <w:w w:val="105"/>
          <w:sz w:val="16"/>
        </w:rPr>
        <w:t>recognised</w:t>
      </w:r>
      <w:r w:rsidRPr="00EB2BD8">
        <w:rPr>
          <w:rFonts w:ascii="Arial"/>
          <w:spacing w:val="-2"/>
          <w:w w:val="105"/>
          <w:sz w:val="16"/>
        </w:rPr>
        <w:t xml:space="preserve"> </w:t>
      </w:r>
      <w:r w:rsidRPr="00EB2BD8">
        <w:rPr>
          <w:rFonts w:ascii="Arial"/>
          <w:w w:val="105"/>
          <w:sz w:val="16"/>
        </w:rPr>
        <w:t>on</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balance</w:t>
      </w:r>
      <w:r w:rsidRPr="00EB2BD8">
        <w:rPr>
          <w:rFonts w:ascii="Arial"/>
          <w:spacing w:val="-2"/>
          <w:w w:val="105"/>
          <w:sz w:val="16"/>
        </w:rPr>
        <w:t xml:space="preserve"> </w:t>
      </w:r>
      <w:r w:rsidRPr="00EB2BD8">
        <w:rPr>
          <w:rFonts w:ascii="Arial"/>
          <w:w w:val="105"/>
          <w:sz w:val="16"/>
        </w:rPr>
        <w:t>sheet,</w:t>
      </w:r>
      <w:r w:rsidRPr="00EB2BD8">
        <w:rPr>
          <w:rFonts w:ascii="Arial"/>
          <w:spacing w:val="-2"/>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the carrying amount, net of any provision for impairment. The VBA minimises concentrations of credit risk by undertaking transactions with unrelated debtors. The VBA is not materially exposed to any individual debtor.</w:t>
      </w:r>
    </w:p>
    <w:p w14:paraId="27E62F30" w14:textId="77777777" w:rsidR="00084F36" w:rsidRPr="00EB2BD8" w:rsidRDefault="00084F36">
      <w:pPr>
        <w:pStyle w:val="BodyText"/>
        <w:spacing w:before="1"/>
        <w:rPr>
          <w:rFonts w:ascii="Arial"/>
          <w:sz w:val="19"/>
        </w:rPr>
      </w:pPr>
    </w:p>
    <w:p w14:paraId="44ACFE48" w14:textId="77777777" w:rsidR="00084F36" w:rsidRPr="00EB2BD8" w:rsidRDefault="00EB2BD8">
      <w:pPr>
        <w:spacing w:line="290" w:lineRule="auto"/>
        <w:ind w:left="1041" w:right="1672"/>
        <w:rPr>
          <w:rFonts w:ascii="Arial" w:hAnsi="Arial"/>
          <w:sz w:val="16"/>
        </w:rPr>
      </w:pPr>
      <w:r w:rsidRPr="00EB2BD8">
        <w:rPr>
          <w:rFonts w:ascii="Arial" w:hAnsi="Arial"/>
          <w:w w:val="105"/>
          <w:sz w:val="16"/>
        </w:rPr>
        <w:t>Except as otherwise detailed in the following table, the carrying amount of financial assets recorded in the financial statements,</w:t>
      </w:r>
      <w:r w:rsidRPr="00EB2BD8">
        <w:rPr>
          <w:rFonts w:ascii="Arial" w:hAnsi="Arial"/>
          <w:spacing w:val="-3"/>
          <w:w w:val="105"/>
          <w:sz w:val="16"/>
        </w:rPr>
        <w:t xml:space="preserve"> </w:t>
      </w:r>
      <w:r w:rsidRPr="00EB2BD8">
        <w:rPr>
          <w:rFonts w:ascii="Arial" w:hAnsi="Arial"/>
          <w:w w:val="105"/>
          <w:sz w:val="16"/>
        </w:rPr>
        <w:t>net</w:t>
      </w:r>
      <w:r w:rsidRPr="00EB2BD8">
        <w:rPr>
          <w:rFonts w:ascii="Arial" w:hAnsi="Arial"/>
          <w:spacing w:val="-3"/>
          <w:w w:val="105"/>
          <w:sz w:val="16"/>
        </w:rPr>
        <w:t xml:space="preserve"> </w:t>
      </w:r>
      <w:r w:rsidRPr="00EB2BD8">
        <w:rPr>
          <w:rFonts w:ascii="Arial" w:hAnsi="Arial"/>
          <w:w w:val="105"/>
          <w:sz w:val="16"/>
        </w:rPr>
        <w:t>of</w:t>
      </w:r>
      <w:r w:rsidRPr="00EB2BD8">
        <w:rPr>
          <w:rFonts w:ascii="Arial" w:hAnsi="Arial"/>
          <w:spacing w:val="-3"/>
          <w:w w:val="105"/>
          <w:sz w:val="16"/>
        </w:rPr>
        <w:t xml:space="preserve"> </w:t>
      </w:r>
      <w:r w:rsidRPr="00EB2BD8">
        <w:rPr>
          <w:rFonts w:ascii="Arial" w:hAnsi="Arial"/>
          <w:w w:val="105"/>
          <w:sz w:val="16"/>
        </w:rPr>
        <w:t>any</w:t>
      </w:r>
      <w:r w:rsidRPr="00EB2BD8">
        <w:rPr>
          <w:rFonts w:ascii="Arial" w:hAnsi="Arial"/>
          <w:spacing w:val="-3"/>
          <w:w w:val="105"/>
          <w:sz w:val="16"/>
        </w:rPr>
        <w:t xml:space="preserve"> </w:t>
      </w:r>
      <w:r w:rsidRPr="00EB2BD8">
        <w:rPr>
          <w:rFonts w:ascii="Arial" w:hAnsi="Arial"/>
          <w:w w:val="105"/>
          <w:sz w:val="16"/>
        </w:rPr>
        <w:t>allowances</w:t>
      </w:r>
      <w:r w:rsidRPr="00EB2BD8">
        <w:rPr>
          <w:rFonts w:ascii="Arial" w:hAnsi="Arial"/>
          <w:spacing w:val="-3"/>
          <w:w w:val="105"/>
          <w:sz w:val="16"/>
        </w:rPr>
        <w:t xml:space="preserve"> </w:t>
      </w:r>
      <w:r w:rsidRPr="00EB2BD8">
        <w:rPr>
          <w:rFonts w:ascii="Arial" w:hAnsi="Arial"/>
          <w:w w:val="105"/>
          <w:sz w:val="16"/>
        </w:rPr>
        <w:t>for</w:t>
      </w:r>
      <w:r w:rsidRPr="00EB2BD8">
        <w:rPr>
          <w:rFonts w:ascii="Arial" w:hAnsi="Arial"/>
          <w:spacing w:val="-3"/>
          <w:w w:val="105"/>
          <w:sz w:val="16"/>
        </w:rPr>
        <w:t xml:space="preserve"> </w:t>
      </w:r>
      <w:r w:rsidRPr="00EB2BD8">
        <w:rPr>
          <w:rFonts w:ascii="Arial" w:hAnsi="Arial"/>
          <w:w w:val="105"/>
          <w:sz w:val="16"/>
        </w:rPr>
        <w:t>losses,</w:t>
      </w:r>
      <w:r w:rsidRPr="00EB2BD8">
        <w:rPr>
          <w:rFonts w:ascii="Arial" w:hAnsi="Arial"/>
          <w:spacing w:val="-3"/>
          <w:w w:val="105"/>
          <w:sz w:val="16"/>
        </w:rPr>
        <w:t xml:space="preserve"> </w:t>
      </w:r>
      <w:r w:rsidRPr="00EB2BD8">
        <w:rPr>
          <w:rFonts w:ascii="Arial" w:hAnsi="Arial"/>
          <w:w w:val="105"/>
          <w:sz w:val="16"/>
        </w:rPr>
        <w:t>represents</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VBA’s</w:t>
      </w:r>
      <w:r w:rsidRPr="00EB2BD8">
        <w:rPr>
          <w:rFonts w:ascii="Arial" w:hAnsi="Arial"/>
          <w:spacing w:val="-3"/>
          <w:w w:val="105"/>
          <w:sz w:val="16"/>
        </w:rPr>
        <w:t xml:space="preserve"> </w:t>
      </w:r>
      <w:r w:rsidRPr="00EB2BD8">
        <w:rPr>
          <w:rFonts w:ascii="Arial" w:hAnsi="Arial"/>
          <w:w w:val="105"/>
          <w:sz w:val="16"/>
        </w:rPr>
        <w:t>maximum</w:t>
      </w:r>
      <w:r w:rsidRPr="00EB2BD8">
        <w:rPr>
          <w:rFonts w:ascii="Arial" w:hAnsi="Arial"/>
          <w:spacing w:val="-3"/>
          <w:w w:val="105"/>
          <w:sz w:val="16"/>
        </w:rPr>
        <w:t xml:space="preserve"> </w:t>
      </w:r>
      <w:r w:rsidRPr="00EB2BD8">
        <w:rPr>
          <w:rFonts w:ascii="Arial" w:hAnsi="Arial"/>
          <w:w w:val="105"/>
          <w:sz w:val="16"/>
        </w:rPr>
        <w:t>exposure</w:t>
      </w:r>
      <w:r w:rsidRPr="00EB2BD8">
        <w:rPr>
          <w:rFonts w:ascii="Arial" w:hAnsi="Arial"/>
          <w:spacing w:val="-3"/>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credit</w:t>
      </w:r>
      <w:r w:rsidRPr="00EB2BD8">
        <w:rPr>
          <w:rFonts w:ascii="Arial" w:hAnsi="Arial"/>
          <w:spacing w:val="-3"/>
          <w:w w:val="105"/>
          <w:sz w:val="16"/>
        </w:rPr>
        <w:t xml:space="preserve"> </w:t>
      </w:r>
      <w:r w:rsidRPr="00EB2BD8">
        <w:rPr>
          <w:rFonts w:ascii="Arial" w:hAnsi="Arial"/>
          <w:w w:val="105"/>
          <w:sz w:val="16"/>
        </w:rPr>
        <w:t>risk</w:t>
      </w:r>
      <w:r w:rsidRPr="00EB2BD8">
        <w:rPr>
          <w:rFonts w:ascii="Arial" w:hAnsi="Arial"/>
          <w:spacing w:val="-3"/>
          <w:w w:val="105"/>
          <w:sz w:val="16"/>
        </w:rPr>
        <w:t xml:space="preserve"> </w:t>
      </w:r>
      <w:r w:rsidRPr="00EB2BD8">
        <w:rPr>
          <w:rFonts w:ascii="Arial" w:hAnsi="Arial"/>
          <w:w w:val="105"/>
          <w:sz w:val="16"/>
        </w:rPr>
        <w:t>without</w:t>
      </w:r>
      <w:r w:rsidRPr="00EB2BD8">
        <w:rPr>
          <w:rFonts w:ascii="Arial" w:hAnsi="Arial"/>
          <w:spacing w:val="-3"/>
          <w:w w:val="105"/>
          <w:sz w:val="16"/>
        </w:rPr>
        <w:t xml:space="preserve"> </w:t>
      </w:r>
      <w:r w:rsidRPr="00EB2BD8">
        <w:rPr>
          <w:rFonts w:ascii="Arial" w:hAnsi="Arial"/>
          <w:w w:val="105"/>
          <w:sz w:val="16"/>
        </w:rPr>
        <w:t>taking</w:t>
      </w:r>
      <w:r w:rsidRPr="00EB2BD8">
        <w:rPr>
          <w:rFonts w:ascii="Arial" w:hAnsi="Arial"/>
          <w:spacing w:val="-3"/>
          <w:w w:val="105"/>
          <w:sz w:val="16"/>
        </w:rPr>
        <w:t xml:space="preserve"> </w:t>
      </w:r>
      <w:r w:rsidRPr="00EB2BD8">
        <w:rPr>
          <w:rFonts w:ascii="Arial" w:hAnsi="Arial"/>
          <w:w w:val="105"/>
          <w:sz w:val="16"/>
        </w:rPr>
        <w:t>account of the value of any collateral obtained.</w:t>
      </w:r>
    </w:p>
    <w:p w14:paraId="3BA3F2B0" w14:textId="77777777" w:rsidR="00084F36" w:rsidRPr="00EB2BD8" w:rsidRDefault="00084F36">
      <w:pPr>
        <w:pStyle w:val="BodyText"/>
        <w:spacing w:before="3"/>
        <w:rPr>
          <w:rFonts w:ascii="Arial"/>
          <w:sz w:val="19"/>
        </w:rPr>
      </w:pPr>
    </w:p>
    <w:p w14:paraId="1BA21E4F" w14:textId="77777777" w:rsidR="00084F36" w:rsidRPr="00EB2BD8" w:rsidRDefault="00EB2BD8">
      <w:pPr>
        <w:spacing w:line="290" w:lineRule="auto"/>
        <w:ind w:left="1041" w:right="1728"/>
        <w:jc w:val="both"/>
        <w:rPr>
          <w:rFonts w:ascii="Arial"/>
          <w:sz w:val="16"/>
        </w:rPr>
      </w:pPr>
      <w:r w:rsidRPr="00EB2BD8">
        <w:rPr>
          <w:rFonts w:ascii="Arial"/>
          <w:w w:val="105"/>
          <w:sz w:val="16"/>
        </w:rPr>
        <w:t>Provision</w:t>
      </w:r>
      <w:r w:rsidRPr="00EB2BD8">
        <w:rPr>
          <w:rFonts w:ascii="Arial"/>
          <w:spacing w:val="-1"/>
          <w:w w:val="105"/>
          <w:sz w:val="16"/>
        </w:rPr>
        <w:t xml:space="preserve"> </w:t>
      </w:r>
      <w:r w:rsidRPr="00EB2BD8">
        <w:rPr>
          <w:rFonts w:ascii="Arial"/>
          <w:w w:val="105"/>
          <w:sz w:val="16"/>
        </w:rPr>
        <w:t>for</w:t>
      </w:r>
      <w:r w:rsidRPr="00EB2BD8">
        <w:rPr>
          <w:rFonts w:ascii="Arial"/>
          <w:spacing w:val="-1"/>
          <w:w w:val="105"/>
          <w:sz w:val="16"/>
        </w:rPr>
        <w:t xml:space="preserve"> </w:t>
      </w:r>
      <w:r w:rsidRPr="00EB2BD8">
        <w:rPr>
          <w:rFonts w:ascii="Arial"/>
          <w:w w:val="105"/>
          <w:sz w:val="16"/>
        </w:rPr>
        <w:t>impairment</w:t>
      </w:r>
      <w:r w:rsidRPr="00EB2BD8">
        <w:rPr>
          <w:rFonts w:ascii="Arial"/>
          <w:spacing w:val="-1"/>
          <w:w w:val="105"/>
          <w:sz w:val="16"/>
        </w:rPr>
        <w:t xml:space="preserve"> </w:t>
      </w:r>
      <w:r w:rsidRPr="00EB2BD8">
        <w:rPr>
          <w:rFonts w:ascii="Arial"/>
          <w:w w:val="105"/>
          <w:sz w:val="16"/>
        </w:rPr>
        <w:t>of</w:t>
      </w:r>
      <w:r w:rsidRPr="00EB2BD8">
        <w:rPr>
          <w:rFonts w:ascii="Arial"/>
          <w:spacing w:val="-1"/>
          <w:w w:val="105"/>
          <w:sz w:val="16"/>
        </w:rPr>
        <w:t xml:space="preserve"> </w:t>
      </w:r>
      <w:r w:rsidRPr="00EB2BD8">
        <w:rPr>
          <w:rFonts w:ascii="Arial"/>
          <w:w w:val="105"/>
          <w:sz w:val="16"/>
        </w:rPr>
        <w:t>contractual</w:t>
      </w:r>
      <w:r w:rsidRPr="00EB2BD8">
        <w:rPr>
          <w:rFonts w:ascii="Arial"/>
          <w:spacing w:val="-1"/>
          <w:w w:val="105"/>
          <w:sz w:val="16"/>
        </w:rPr>
        <w:t xml:space="preserve"> </w:t>
      </w:r>
      <w:r w:rsidRPr="00EB2BD8">
        <w:rPr>
          <w:rFonts w:ascii="Arial"/>
          <w:w w:val="105"/>
          <w:sz w:val="16"/>
        </w:rPr>
        <w:t>financial assets</w:t>
      </w:r>
      <w:r w:rsidRPr="00EB2BD8">
        <w:rPr>
          <w:rFonts w:ascii="Arial"/>
          <w:spacing w:val="-1"/>
          <w:w w:val="105"/>
          <w:sz w:val="16"/>
        </w:rPr>
        <w:t xml:space="preserve"> </w:t>
      </w:r>
      <w:r w:rsidRPr="00EB2BD8">
        <w:rPr>
          <w:rFonts w:ascii="Arial"/>
          <w:w w:val="105"/>
          <w:sz w:val="16"/>
        </w:rPr>
        <w:t>is</w:t>
      </w:r>
      <w:r w:rsidRPr="00EB2BD8">
        <w:rPr>
          <w:rFonts w:ascii="Arial"/>
          <w:spacing w:val="-1"/>
          <w:w w:val="105"/>
          <w:sz w:val="16"/>
        </w:rPr>
        <w:t xml:space="preserve"> </w:t>
      </w:r>
      <w:r w:rsidRPr="00EB2BD8">
        <w:rPr>
          <w:rFonts w:ascii="Arial"/>
          <w:w w:val="105"/>
          <w:sz w:val="16"/>
        </w:rPr>
        <w:t>recognised</w:t>
      </w:r>
      <w:r w:rsidRPr="00EB2BD8">
        <w:rPr>
          <w:rFonts w:ascii="Arial"/>
          <w:spacing w:val="-1"/>
          <w:w w:val="105"/>
          <w:sz w:val="16"/>
        </w:rPr>
        <w:t xml:space="preserve"> </w:t>
      </w:r>
      <w:r w:rsidRPr="00EB2BD8">
        <w:rPr>
          <w:rFonts w:ascii="Arial"/>
          <w:w w:val="105"/>
          <w:sz w:val="16"/>
        </w:rPr>
        <w:t>when</w:t>
      </w:r>
      <w:r w:rsidRPr="00EB2BD8">
        <w:rPr>
          <w:rFonts w:ascii="Arial"/>
          <w:spacing w:val="-1"/>
          <w:w w:val="105"/>
          <w:sz w:val="16"/>
        </w:rPr>
        <w:t xml:space="preserve"> </w:t>
      </w:r>
      <w:r w:rsidRPr="00EB2BD8">
        <w:rPr>
          <w:rFonts w:ascii="Arial"/>
          <w:w w:val="105"/>
          <w:sz w:val="16"/>
        </w:rPr>
        <w:t>there</w:t>
      </w:r>
      <w:r w:rsidRPr="00EB2BD8">
        <w:rPr>
          <w:rFonts w:ascii="Arial"/>
          <w:spacing w:val="-1"/>
          <w:w w:val="105"/>
          <w:sz w:val="16"/>
        </w:rPr>
        <w:t xml:space="preserve"> </w:t>
      </w:r>
      <w:r w:rsidRPr="00EB2BD8">
        <w:rPr>
          <w:rFonts w:ascii="Arial"/>
          <w:w w:val="105"/>
          <w:sz w:val="16"/>
        </w:rPr>
        <w:t>is</w:t>
      </w:r>
      <w:r w:rsidRPr="00EB2BD8">
        <w:rPr>
          <w:rFonts w:ascii="Arial"/>
          <w:spacing w:val="-1"/>
          <w:w w:val="105"/>
          <w:sz w:val="16"/>
        </w:rPr>
        <w:t xml:space="preserve"> </w:t>
      </w:r>
      <w:r w:rsidRPr="00EB2BD8">
        <w:rPr>
          <w:rFonts w:ascii="Arial"/>
          <w:w w:val="105"/>
          <w:sz w:val="16"/>
        </w:rPr>
        <w:t>objective</w:t>
      </w:r>
      <w:r w:rsidRPr="00EB2BD8">
        <w:rPr>
          <w:rFonts w:ascii="Arial"/>
          <w:spacing w:val="-1"/>
          <w:w w:val="105"/>
          <w:sz w:val="16"/>
        </w:rPr>
        <w:t xml:space="preserve"> </w:t>
      </w:r>
      <w:r w:rsidRPr="00EB2BD8">
        <w:rPr>
          <w:rFonts w:ascii="Arial"/>
          <w:w w:val="105"/>
          <w:sz w:val="16"/>
        </w:rPr>
        <w:t>evidence</w:t>
      </w:r>
      <w:r w:rsidRPr="00EB2BD8">
        <w:rPr>
          <w:rFonts w:ascii="Arial"/>
          <w:spacing w:val="-1"/>
          <w:w w:val="105"/>
          <w:sz w:val="16"/>
        </w:rPr>
        <w:t xml:space="preserve"> </w:t>
      </w:r>
      <w:r w:rsidRPr="00EB2BD8">
        <w:rPr>
          <w:rFonts w:ascii="Arial"/>
          <w:w w:val="105"/>
          <w:sz w:val="16"/>
        </w:rPr>
        <w:t>that</w:t>
      </w:r>
      <w:r w:rsidRPr="00EB2BD8">
        <w:rPr>
          <w:rFonts w:ascii="Arial"/>
          <w:spacing w:val="-1"/>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VBA</w:t>
      </w:r>
      <w:r w:rsidRPr="00EB2BD8">
        <w:rPr>
          <w:rFonts w:ascii="Arial"/>
          <w:spacing w:val="-10"/>
          <w:w w:val="105"/>
          <w:sz w:val="16"/>
        </w:rPr>
        <w:t xml:space="preserve"> </w:t>
      </w:r>
      <w:r w:rsidRPr="00EB2BD8">
        <w:rPr>
          <w:rFonts w:ascii="Arial"/>
          <w:w w:val="105"/>
          <w:sz w:val="16"/>
        </w:rPr>
        <w:t>will</w:t>
      </w:r>
      <w:r w:rsidRPr="00EB2BD8">
        <w:rPr>
          <w:rFonts w:ascii="Arial"/>
          <w:spacing w:val="-9"/>
          <w:w w:val="105"/>
          <w:sz w:val="16"/>
        </w:rPr>
        <w:t xml:space="preserve"> </w:t>
      </w:r>
      <w:r w:rsidRPr="00EB2BD8">
        <w:rPr>
          <w:rFonts w:ascii="Arial"/>
          <w:w w:val="105"/>
          <w:sz w:val="16"/>
        </w:rPr>
        <w:t>not be</w:t>
      </w:r>
      <w:r w:rsidRPr="00EB2BD8">
        <w:rPr>
          <w:rFonts w:ascii="Arial"/>
          <w:spacing w:val="-10"/>
          <w:w w:val="105"/>
          <w:sz w:val="16"/>
        </w:rPr>
        <w:t xml:space="preserve"> </w:t>
      </w:r>
      <w:r w:rsidRPr="00EB2BD8">
        <w:rPr>
          <w:rFonts w:ascii="Arial"/>
          <w:w w:val="105"/>
          <w:sz w:val="16"/>
        </w:rPr>
        <w:t>able</w:t>
      </w:r>
      <w:r w:rsidRPr="00EB2BD8">
        <w:rPr>
          <w:rFonts w:ascii="Arial"/>
          <w:spacing w:val="-10"/>
          <w:w w:val="105"/>
          <w:sz w:val="16"/>
        </w:rPr>
        <w:t xml:space="preserve"> </w:t>
      </w:r>
      <w:r w:rsidRPr="00EB2BD8">
        <w:rPr>
          <w:rFonts w:ascii="Arial"/>
          <w:w w:val="105"/>
          <w:sz w:val="16"/>
        </w:rPr>
        <w:t>to</w:t>
      </w:r>
      <w:r w:rsidRPr="00EB2BD8">
        <w:rPr>
          <w:rFonts w:ascii="Arial"/>
          <w:spacing w:val="-10"/>
          <w:w w:val="105"/>
          <w:sz w:val="16"/>
        </w:rPr>
        <w:t xml:space="preserve"> </w:t>
      </w:r>
      <w:r w:rsidRPr="00EB2BD8">
        <w:rPr>
          <w:rFonts w:ascii="Arial"/>
          <w:w w:val="105"/>
          <w:sz w:val="16"/>
        </w:rPr>
        <w:t>collect</w:t>
      </w:r>
      <w:r w:rsidRPr="00EB2BD8">
        <w:rPr>
          <w:rFonts w:ascii="Arial"/>
          <w:spacing w:val="-8"/>
          <w:w w:val="105"/>
          <w:sz w:val="16"/>
        </w:rPr>
        <w:t xml:space="preserve"> </w:t>
      </w:r>
      <w:r w:rsidRPr="00EB2BD8">
        <w:rPr>
          <w:rFonts w:ascii="Arial"/>
          <w:w w:val="105"/>
          <w:sz w:val="16"/>
        </w:rPr>
        <w:t>a</w:t>
      </w:r>
      <w:r w:rsidRPr="00EB2BD8">
        <w:rPr>
          <w:rFonts w:ascii="Arial"/>
          <w:spacing w:val="-8"/>
          <w:w w:val="105"/>
          <w:sz w:val="16"/>
        </w:rPr>
        <w:t xml:space="preserve"> </w:t>
      </w:r>
      <w:r w:rsidRPr="00EB2BD8">
        <w:rPr>
          <w:rFonts w:ascii="Arial"/>
          <w:w w:val="105"/>
          <w:sz w:val="16"/>
        </w:rPr>
        <w:t>receivable.</w:t>
      </w:r>
      <w:r w:rsidRPr="00EB2BD8">
        <w:rPr>
          <w:rFonts w:ascii="Arial"/>
          <w:spacing w:val="30"/>
          <w:w w:val="105"/>
          <w:sz w:val="16"/>
        </w:rPr>
        <w:t xml:space="preserve"> </w:t>
      </w:r>
      <w:r w:rsidRPr="00EB2BD8">
        <w:rPr>
          <w:rFonts w:ascii="Arial"/>
          <w:w w:val="105"/>
          <w:sz w:val="16"/>
        </w:rPr>
        <w:t>Objective</w:t>
      </w:r>
      <w:r w:rsidRPr="00EB2BD8">
        <w:rPr>
          <w:rFonts w:ascii="Arial"/>
          <w:spacing w:val="-9"/>
          <w:w w:val="105"/>
          <w:sz w:val="16"/>
        </w:rPr>
        <w:t xml:space="preserve"> </w:t>
      </w:r>
      <w:r w:rsidRPr="00EB2BD8">
        <w:rPr>
          <w:rFonts w:ascii="Arial"/>
          <w:w w:val="105"/>
          <w:sz w:val="16"/>
        </w:rPr>
        <w:t>evidence</w:t>
      </w:r>
      <w:r w:rsidRPr="00EB2BD8">
        <w:rPr>
          <w:rFonts w:ascii="Arial"/>
          <w:spacing w:val="-9"/>
          <w:w w:val="105"/>
          <w:sz w:val="16"/>
        </w:rPr>
        <w:t xml:space="preserve"> </w:t>
      </w:r>
      <w:r w:rsidRPr="00EB2BD8">
        <w:rPr>
          <w:rFonts w:ascii="Arial"/>
          <w:w w:val="105"/>
          <w:sz w:val="16"/>
        </w:rPr>
        <w:t>includes</w:t>
      </w:r>
      <w:r w:rsidRPr="00EB2BD8">
        <w:rPr>
          <w:rFonts w:ascii="Arial"/>
          <w:spacing w:val="-6"/>
          <w:w w:val="105"/>
          <w:sz w:val="16"/>
        </w:rPr>
        <w:t xml:space="preserve"> </w:t>
      </w:r>
      <w:r w:rsidRPr="00EB2BD8">
        <w:rPr>
          <w:rFonts w:ascii="Arial"/>
          <w:w w:val="105"/>
          <w:sz w:val="16"/>
        </w:rPr>
        <w:t>financial</w:t>
      </w:r>
      <w:r w:rsidRPr="00EB2BD8">
        <w:rPr>
          <w:rFonts w:ascii="Arial"/>
          <w:spacing w:val="-8"/>
          <w:w w:val="105"/>
          <w:sz w:val="16"/>
        </w:rPr>
        <w:t xml:space="preserve"> </w:t>
      </w:r>
      <w:r w:rsidRPr="00EB2BD8">
        <w:rPr>
          <w:rFonts w:ascii="Arial"/>
          <w:w w:val="105"/>
          <w:sz w:val="16"/>
        </w:rPr>
        <w:t>difficulties</w:t>
      </w:r>
      <w:r w:rsidRPr="00EB2BD8">
        <w:rPr>
          <w:rFonts w:ascii="Arial"/>
          <w:spacing w:val="-10"/>
          <w:w w:val="105"/>
          <w:sz w:val="16"/>
        </w:rPr>
        <w:t xml:space="preserve"> </w:t>
      </w:r>
      <w:r w:rsidRPr="00EB2BD8">
        <w:rPr>
          <w:rFonts w:ascii="Arial"/>
          <w:w w:val="105"/>
          <w:sz w:val="16"/>
        </w:rPr>
        <w:t>of</w:t>
      </w:r>
      <w:r w:rsidRPr="00EB2BD8">
        <w:rPr>
          <w:rFonts w:ascii="Arial"/>
          <w:spacing w:val="-8"/>
          <w:w w:val="105"/>
          <w:sz w:val="16"/>
        </w:rPr>
        <w:t xml:space="preserve"> </w:t>
      </w:r>
      <w:r w:rsidRPr="00EB2BD8">
        <w:rPr>
          <w:rFonts w:ascii="Arial"/>
          <w:w w:val="105"/>
          <w:sz w:val="16"/>
        </w:rPr>
        <w:t>the</w:t>
      </w:r>
      <w:r w:rsidRPr="00EB2BD8">
        <w:rPr>
          <w:rFonts w:ascii="Arial"/>
          <w:spacing w:val="-8"/>
          <w:w w:val="105"/>
          <w:sz w:val="16"/>
        </w:rPr>
        <w:t xml:space="preserve"> </w:t>
      </w:r>
      <w:r w:rsidRPr="00EB2BD8">
        <w:rPr>
          <w:rFonts w:ascii="Arial"/>
          <w:w w:val="105"/>
          <w:sz w:val="16"/>
        </w:rPr>
        <w:t>debtor,</w:t>
      </w:r>
      <w:r w:rsidRPr="00EB2BD8">
        <w:rPr>
          <w:rFonts w:ascii="Arial"/>
          <w:spacing w:val="-3"/>
          <w:w w:val="105"/>
          <w:sz w:val="16"/>
        </w:rPr>
        <w:t xml:space="preserve"> </w:t>
      </w:r>
      <w:r w:rsidRPr="00EB2BD8">
        <w:rPr>
          <w:rFonts w:ascii="Arial"/>
          <w:w w:val="105"/>
          <w:sz w:val="16"/>
        </w:rPr>
        <w:t>default</w:t>
      </w:r>
      <w:r w:rsidRPr="00EB2BD8">
        <w:rPr>
          <w:rFonts w:ascii="Arial"/>
          <w:spacing w:val="-3"/>
          <w:w w:val="105"/>
          <w:sz w:val="16"/>
        </w:rPr>
        <w:t xml:space="preserve"> </w:t>
      </w:r>
      <w:r w:rsidRPr="00EB2BD8">
        <w:rPr>
          <w:rFonts w:ascii="Arial"/>
          <w:w w:val="105"/>
          <w:sz w:val="16"/>
        </w:rPr>
        <w:t>payments,</w:t>
      </w:r>
      <w:r w:rsidRPr="00EB2BD8">
        <w:rPr>
          <w:rFonts w:ascii="Arial"/>
          <w:spacing w:val="-3"/>
          <w:w w:val="105"/>
          <w:sz w:val="16"/>
        </w:rPr>
        <w:t xml:space="preserve"> </w:t>
      </w:r>
      <w:r w:rsidRPr="00EB2BD8">
        <w:rPr>
          <w:rFonts w:ascii="Arial"/>
          <w:w w:val="105"/>
          <w:sz w:val="16"/>
        </w:rPr>
        <w:t>debts</w:t>
      </w:r>
      <w:r w:rsidRPr="00EB2BD8">
        <w:rPr>
          <w:rFonts w:ascii="Arial"/>
          <w:spacing w:val="-3"/>
          <w:w w:val="105"/>
          <w:sz w:val="16"/>
        </w:rPr>
        <w:t xml:space="preserve"> </w:t>
      </w:r>
      <w:r w:rsidRPr="00EB2BD8">
        <w:rPr>
          <w:rFonts w:ascii="Arial"/>
          <w:w w:val="105"/>
          <w:sz w:val="16"/>
        </w:rPr>
        <w:t>which are more than 60 days overdue and changes in debtor credit ratings.</w:t>
      </w:r>
    </w:p>
    <w:p w14:paraId="35718468" w14:textId="77777777" w:rsidR="00084F36" w:rsidRPr="00EB2BD8" w:rsidRDefault="00EB2BD8">
      <w:pPr>
        <w:spacing w:before="146" w:line="290" w:lineRule="auto"/>
        <w:ind w:left="1041" w:right="1813"/>
        <w:rPr>
          <w:rFonts w:ascii="Arial"/>
          <w:sz w:val="16"/>
        </w:rPr>
      </w:pPr>
      <w:r w:rsidRPr="00EB2BD8">
        <w:rPr>
          <w:rFonts w:ascii="Arial"/>
          <w:w w:val="105"/>
          <w:sz w:val="16"/>
        </w:rPr>
        <w:t>Contract</w:t>
      </w:r>
      <w:r w:rsidRPr="00EB2BD8">
        <w:rPr>
          <w:rFonts w:ascii="Arial"/>
          <w:spacing w:val="-3"/>
          <w:w w:val="105"/>
          <w:sz w:val="16"/>
        </w:rPr>
        <w:t xml:space="preserve"> </w:t>
      </w:r>
      <w:r w:rsidRPr="00EB2BD8">
        <w:rPr>
          <w:rFonts w:ascii="Arial"/>
          <w:w w:val="105"/>
          <w:sz w:val="16"/>
        </w:rPr>
        <w:t>financial</w:t>
      </w:r>
      <w:r w:rsidRPr="00EB2BD8">
        <w:rPr>
          <w:rFonts w:ascii="Arial"/>
          <w:spacing w:val="-3"/>
          <w:w w:val="105"/>
          <w:sz w:val="16"/>
        </w:rPr>
        <w:t xml:space="preserve"> </w:t>
      </w:r>
      <w:r w:rsidRPr="00EB2BD8">
        <w:rPr>
          <w:rFonts w:ascii="Arial"/>
          <w:w w:val="105"/>
          <w:sz w:val="16"/>
        </w:rPr>
        <w:t>assets</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written</w:t>
      </w:r>
      <w:r w:rsidRPr="00EB2BD8">
        <w:rPr>
          <w:rFonts w:ascii="Arial"/>
          <w:spacing w:val="-3"/>
          <w:w w:val="105"/>
          <w:sz w:val="16"/>
        </w:rPr>
        <w:t xml:space="preserve"> </w:t>
      </w:r>
      <w:r w:rsidRPr="00EB2BD8">
        <w:rPr>
          <w:rFonts w:ascii="Arial"/>
          <w:w w:val="105"/>
          <w:sz w:val="16"/>
        </w:rPr>
        <w:t>off</w:t>
      </w:r>
      <w:r w:rsidRPr="00EB2BD8">
        <w:rPr>
          <w:rFonts w:ascii="Arial"/>
          <w:spacing w:val="-3"/>
          <w:w w:val="105"/>
          <w:sz w:val="16"/>
        </w:rPr>
        <w:t xml:space="preserve"> </w:t>
      </w:r>
      <w:r w:rsidRPr="00EB2BD8">
        <w:rPr>
          <w:rFonts w:ascii="Arial"/>
          <w:w w:val="105"/>
          <w:sz w:val="16"/>
        </w:rPr>
        <w:t>against</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carrying</w:t>
      </w:r>
      <w:r w:rsidRPr="00EB2BD8">
        <w:rPr>
          <w:rFonts w:ascii="Arial"/>
          <w:spacing w:val="-3"/>
          <w:w w:val="105"/>
          <w:sz w:val="16"/>
        </w:rPr>
        <w:t xml:space="preserve"> </w:t>
      </w:r>
      <w:r w:rsidRPr="00EB2BD8">
        <w:rPr>
          <w:rFonts w:ascii="Arial"/>
          <w:w w:val="105"/>
          <w:sz w:val="16"/>
        </w:rPr>
        <w:t>amount</w:t>
      </w:r>
      <w:r w:rsidRPr="00EB2BD8">
        <w:rPr>
          <w:rFonts w:ascii="Arial"/>
          <w:spacing w:val="-3"/>
          <w:w w:val="105"/>
          <w:sz w:val="16"/>
        </w:rPr>
        <w:t xml:space="preserve"> </w:t>
      </w:r>
      <w:r w:rsidRPr="00EB2BD8">
        <w:rPr>
          <w:rFonts w:ascii="Arial"/>
          <w:w w:val="105"/>
          <w:sz w:val="16"/>
        </w:rPr>
        <w:t>when</w:t>
      </w:r>
      <w:r w:rsidRPr="00EB2BD8">
        <w:rPr>
          <w:rFonts w:ascii="Arial"/>
          <w:spacing w:val="-3"/>
          <w:w w:val="105"/>
          <w:sz w:val="16"/>
        </w:rPr>
        <w:t xml:space="preserve"> </w:t>
      </w:r>
      <w:r w:rsidRPr="00EB2BD8">
        <w:rPr>
          <w:rFonts w:ascii="Arial"/>
          <w:w w:val="105"/>
          <w:sz w:val="16"/>
        </w:rPr>
        <w:t>there</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no</w:t>
      </w:r>
      <w:r w:rsidRPr="00EB2BD8">
        <w:rPr>
          <w:rFonts w:ascii="Arial"/>
          <w:spacing w:val="-3"/>
          <w:w w:val="105"/>
          <w:sz w:val="16"/>
        </w:rPr>
        <w:t xml:space="preserve"> </w:t>
      </w:r>
      <w:r w:rsidRPr="00EB2BD8">
        <w:rPr>
          <w:rFonts w:ascii="Arial"/>
          <w:w w:val="105"/>
          <w:sz w:val="16"/>
        </w:rPr>
        <w:t>reasonable</w:t>
      </w:r>
      <w:r w:rsidRPr="00EB2BD8">
        <w:rPr>
          <w:rFonts w:ascii="Arial"/>
          <w:spacing w:val="-3"/>
          <w:w w:val="105"/>
          <w:sz w:val="16"/>
        </w:rPr>
        <w:t xml:space="preserve"> </w:t>
      </w:r>
      <w:r w:rsidRPr="00EB2BD8">
        <w:rPr>
          <w:rFonts w:ascii="Arial"/>
          <w:w w:val="105"/>
          <w:sz w:val="16"/>
        </w:rPr>
        <w:t>expectation</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recovery. Bad debt written off by mutual consent is classified as transactions expense. Bad debt written off following a unilateral decision is recognised as other economic flows in the net result.</w:t>
      </w:r>
    </w:p>
    <w:p w14:paraId="5EF15D1A" w14:textId="77777777" w:rsidR="00084F36" w:rsidRPr="00EB2BD8" w:rsidRDefault="00EB2BD8">
      <w:pPr>
        <w:spacing w:before="147" w:line="290" w:lineRule="auto"/>
        <w:ind w:left="1041" w:right="1672"/>
        <w:rPr>
          <w:rFonts w:ascii="Arial"/>
          <w:sz w:val="16"/>
        </w:rPr>
      </w:pPr>
      <w:r w:rsidRPr="00EB2BD8">
        <w:rPr>
          <w:rFonts w:ascii="Arial"/>
          <w:w w:val="105"/>
          <w:sz w:val="16"/>
        </w:rPr>
        <w:t>Currently, the VBA does not hold any collateral as security, nor credit enhancements relating to any of its financial assets. As at the reporting date, there is no event to indicate that any of the financial assets were impaired. There are no financial assets</w:t>
      </w:r>
      <w:r w:rsidRPr="00EB2BD8">
        <w:rPr>
          <w:rFonts w:ascii="Arial"/>
          <w:spacing w:val="-2"/>
          <w:w w:val="105"/>
          <w:sz w:val="16"/>
        </w:rPr>
        <w:t xml:space="preserve"> </w:t>
      </w:r>
      <w:r w:rsidRPr="00EB2BD8">
        <w:rPr>
          <w:rFonts w:ascii="Arial"/>
          <w:w w:val="105"/>
          <w:sz w:val="16"/>
        </w:rPr>
        <w:t>that</w:t>
      </w:r>
      <w:r w:rsidRPr="00EB2BD8">
        <w:rPr>
          <w:rFonts w:ascii="Arial"/>
          <w:spacing w:val="-2"/>
          <w:w w:val="105"/>
          <w:sz w:val="16"/>
        </w:rPr>
        <w:t xml:space="preserve"> </w:t>
      </w:r>
      <w:r w:rsidRPr="00EB2BD8">
        <w:rPr>
          <w:rFonts w:ascii="Arial"/>
          <w:w w:val="105"/>
          <w:sz w:val="16"/>
        </w:rPr>
        <w:t>have</w:t>
      </w:r>
      <w:r w:rsidRPr="00EB2BD8">
        <w:rPr>
          <w:rFonts w:ascii="Arial"/>
          <w:spacing w:val="-2"/>
          <w:w w:val="105"/>
          <w:sz w:val="16"/>
        </w:rPr>
        <w:t xml:space="preserve"> </w:t>
      </w:r>
      <w:r w:rsidRPr="00EB2BD8">
        <w:rPr>
          <w:rFonts w:ascii="Arial"/>
          <w:w w:val="105"/>
          <w:sz w:val="16"/>
        </w:rPr>
        <w:t>had</w:t>
      </w:r>
      <w:r w:rsidRPr="00EB2BD8">
        <w:rPr>
          <w:rFonts w:ascii="Arial"/>
          <w:spacing w:val="-2"/>
          <w:w w:val="105"/>
          <w:sz w:val="16"/>
        </w:rPr>
        <w:t xml:space="preserve"> </w:t>
      </w:r>
      <w:r w:rsidRPr="00EB2BD8">
        <w:rPr>
          <w:rFonts w:ascii="Arial"/>
          <w:w w:val="105"/>
          <w:sz w:val="16"/>
        </w:rPr>
        <w:t>their</w:t>
      </w:r>
      <w:r w:rsidRPr="00EB2BD8">
        <w:rPr>
          <w:rFonts w:ascii="Arial"/>
          <w:spacing w:val="-2"/>
          <w:w w:val="105"/>
          <w:sz w:val="16"/>
        </w:rPr>
        <w:t xml:space="preserve"> </w:t>
      </w:r>
      <w:r w:rsidRPr="00EB2BD8">
        <w:rPr>
          <w:rFonts w:ascii="Arial"/>
          <w:w w:val="105"/>
          <w:sz w:val="16"/>
        </w:rPr>
        <w:t>terms</w:t>
      </w:r>
      <w:r w:rsidRPr="00EB2BD8">
        <w:rPr>
          <w:rFonts w:ascii="Arial"/>
          <w:spacing w:val="-2"/>
          <w:w w:val="105"/>
          <w:sz w:val="16"/>
        </w:rPr>
        <w:t xml:space="preserve"> </w:t>
      </w:r>
      <w:r w:rsidRPr="00EB2BD8">
        <w:rPr>
          <w:rFonts w:ascii="Arial"/>
          <w:w w:val="105"/>
          <w:sz w:val="16"/>
        </w:rPr>
        <w:t>renegotiated</w:t>
      </w:r>
      <w:r w:rsidRPr="00EB2BD8">
        <w:rPr>
          <w:rFonts w:ascii="Arial"/>
          <w:spacing w:val="-2"/>
          <w:w w:val="105"/>
          <w:sz w:val="16"/>
        </w:rPr>
        <w:t xml:space="preserve"> </w:t>
      </w:r>
      <w:r w:rsidRPr="00EB2BD8">
        <w:rPr>
          <w:rFonts w:ascii="Arial"/>
          <w:w w:val="105"/>
          <w:sz w:val="16"/>
        </w:rPr>
        <w:t>so</w:t>
      </w:r>
      <w:r w:rsidRPr="00EB2BD8">
        <w:rPr>
          <w:rFonts w:ascii="Arial"/>
          <w:spacing w:val="-2"/>
          <w:w w:val="105"/>
          <w:sz w:val="16"/>
        </w:rPr>
        <w:t xml:space="preserve"> </w:t>
      </w:r>
      <w:r w:rsidRPr="00EB2BD8">
        <w:rPr>
          <w:rFonts w:ascii="Arial"/>
          <w:w w:val="105"/>
          <w:sz w:val="16"/>
        </w:rPr>
        <w:t>as</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prevent</w:t>
      </w:r>
      <w:r w:rsidRPr="00EB2BD8">
        <w:rPr>
          <w:rFonts w:ascii="Arial"/>
          <w:spacing w:val="-2"/>
          <w:w w:val="105"/>
          <w:sz w:val="16"/>
        </w:rPr>
        <w:t xml:space="preserve"> </w:t>
      </w:r>
      <w:r w:rsidRPr="00EB2BD8">
        <w:rPr>
          <w:rFonts w:ascii="Arial"/>
          <w:w w:val="105"/>
          <w:sz w:val="16"/>
        </w:rPr>
        <w:t>them</w:t>
      </w:r>
      <w:r w:rsidRPr="00EB2BD8">
        <w:rPr>
          <w:rFonts w:ascii="Arial"/>
          <w:spacing w:val="-2"/>
          <w:w w:val="105"/>
          <w:sz w:val="16"/>
        </w:rPr>
        <w:t xml:space="preserve"> </w:t>
      </w:r>
      <w:r w:rsidRPr="00EB2BD8">
        <w:rPr>
          <w:rFonts w:ascii="Arial"/>
          <w:w w:val="105"/>
          <w:sz w:val="16"/>
        </w:rPr>
        <w:t>from</w:t>
      </w:r>
      <w:r w:rsidRPr="00EB2BD8">
        <w:rPr>
          <w:rFonts w:ascii="Arial"/>
          <w:spacing w:val="-2"/>
          <w:w w:val="105"/>
          <w:sz w:val="16"/>
        </w:rPr>
        <w:t xml:space="preserve"> </w:t>
      </w:r>
      <w:r w:rsidRPr="00EB2BD8">
        <w:rPr>
          <w:rFonts w:ascii="Arial"/>
          <w:w w:val="105"/>
          <w:sz w:val="16"/>
        </w:rPr>
        <w:t>being</w:t>
      </w:r>
      <w:r w:rsidRPr="00EB2BD8">
        <w:rPr>
          <w:rFonts w:ascii="Arial"/>
          <w:spacing w:val="-2"/>
          <w:w w:val="105"/>
          <w:sz w:val="16"/>
        </w:rPr>
        <w:t xml:space="preserve"> </w:t>
      </w:r>
      <w:r w:rsidRPr="00EB2BD8">
        <w:rPr>
          <w:rFonts w:ascii="Arial"/>
          <w:w w:val="105"/>
          <w:sz w:val="16"/>
        </w:rPr>
        <w:t>past</w:t>
      </w:r>
      <w:r w:rsidRPr="00EB2BD8">
        <w:rPr>
          <w:rFonts w:ascii="Arial"/>
          <w:spacing w:val="-2"/>
          <w:w w:val="105"/>
          <w:sz w:val="16"/>
        </w:rPr>
        <w:t xml:space="preserve"> </w:t>
      </w:r>
      <w:r w:rsidRPr="00EB2BD8">
        <w:rPr>
          <w:rFonts w:ascii="Arial"/>
          <w:w w:val="105"/>
          <w:sz w:val="16"/>
        </w:rPr>
        <w:t>due</w:t>
      </w:r>
      <w:r w:rsidRPr="00EB2BD8">
        <w:rPr>
          <w:rFonts w:ascii="Arial"/>
          <w:spacing w:val="-1"/>
          <w:w w:val="105"/>
          <w:sz w:val="16"/>
        </w:rPr>
        <w:t xml:space="preserve"> </w:t>
      </w:r>
      <w:r w:rsidRPr="00EB2BD8">
        <w:rPr>
          <w:rFonts w:ascii="Arial"/>
          <w:w w:val="105"/>
          <w:sz w:val="16"/>
        </w:rPr>
        <w:t>or</w:t>
      </w:r>
      <w:r w:rsidRPr="00EB2BD8">
        <w:rPr>
          <w:rFonts w:ascii="Arial"/>
          <w:spacing w:val="-2"/>
          <w:w w:val="105"/>
          <w:sz w:val="16"/>
        </w:rPr>
        <w:t xml:space="preserve"> </w:t>
      </w:r>
      <w:r w:rsidRPr="00EB2BD8">
        <w:rPr>
          <w:rFonts w:ascii="Arial"/>
          <w:w w:val="105"/>
          <w:sz w:val="16"/>
        </w:rPr>
        <w:t>impaired,</w:t>
      </w:r>
      <w:r w:rsidRPr="00EB2BD8">
        <w:rPr>
          <w:rFonts w:ascii="Arial"/>
          <w:spacing w:val="-2"/>
          <w:w w:val="105"/>
          <w:sz w:val="16"/>
        </w:rPr>
        <w:t xml:space="preserve"> </w:t>
      </w:r>
      <w:r w:rsidRPr="00EB2BD8">
        <w:rPr>
          <w:rFonts w:ascii="Arial"/>
          <w:w w:val="105"/>
          <w:sz w:val="16"/>
        </w:rPr>
        <w:t>and</w:t>
      </w:r>
      <w:r w:rsidRPr="00EB2BD8">
        <w:rPr>
          <w:rFonts w:ascii="Arial"/>
          <w:spacing w:val="-2"/>
          <w:w w:val="105"/>
          <w:sz w:val="16"/>
        </w:rPr>
        <w:t xml:space="preserve"> </w:t>
      </w:r>
      <w:r w:rsidRPr="00EB2BD8">
        <w:rPr>
          <w:rFonts w:ascii="Arial"/>
          <w:w w:val="105"/>
          <w:sz w:val="16"/>
        </w:rPr>
        <w:t>they</w:t>
      </w:r>
      <w:r w:rsidRPr="00EB2BD8">
        <w:rPr>
          <w:rFonts w:ascii="Arial"/>
          <w:spacing w:val="-2"/>
          <w:w w:val="105"/>
          <w:sz w:val="16"/>
        </w:rPr>
        <w:t xml:space="preserve"> </w:t>
      </w:r>
      <w:r w:rsidRPr="00EB2BD8">
        <w:rPr>
          <w:rFonts w:ascii="Arial"/>
          <w:w w:val="105"/>
          <w:sz w:val="16"/>
        </w:rPr>
        <w:t>are</w:t>
      </w:r>
      <w:r w:rsidRPr="00EB2BD8">
        <w:rPr>
          <w:rFonts w:ascii="Arial"/>
          <w:spacing w:val="-2"/>
          <w:w w:val="105"/>
          <w:sz w:val="16"/>
        </w:rPr>
        <w:t xml:space="preserve"> </w:t>
      </w:r>
      <w:r w:rsidRPr="00EB2BD8">
        <w:rPr>
          <w:rFonts w:ascii="Arial"/>
          <w:w w:val="105"/>
          <w:sz w:val="16"/>
        </w:rPr>
        <w:t>stated</w:t>
      </w:r>
      <w:r w:rsidRPr="00EB2BD8">
        <w:rPr>
          <w:rFonts w:ascii="Arial"/>
          <w:spacing w:val="-2"/>
          <w:w w:val="105"/>
          <w:sz w:val="16"/>
        </w:rPr>
        <w:t xml:space="preserve"> </w:t>
      </w:r>
      <w:r w:rsidRPr="00EB2BD8">
        <w:rPr>
          <w:rFonts w:ascii="Arial"/>
          <w:w w:val="105"/>
          <w:sz w:val="16"/>
        </w:rPr>
        <w:t>at the carrying amounts as indicated.</w:t>
      </w:r>
    </w:p>
    <w:p w14:paraId="6C8D87AF" w14:textId="77777777" w:rsidR="00084F36" w:rsidRPr="00EB2BD8" w:rsidRDefault="00084F36">
      <w:pPr>
        <w:pStyle w:val="BodyText"/>
        <w:spacing w:before="10"/>
        <w:rPr>
          <w:rFonts w:ascii="Arial"/>
          <w:sz w:val="16"/>
        </w:rPr>
      </w:pPr>
    </w:p>
    <w:p w14:paraId="0C9B2B3B" w14:textId="77777777" w:rsidR="00084F36" w:rsidRPr="00EB2BD8" w:rsidRDefault="00EB2BD8">
      <w:pPr>
        <w:ind w:left="1041"/>
        <w:rPr>
          <w:rFonts w:ascii="Arial"/>
          <w:sz w:val="16"/>
        </w:rPr>
      </w:pPr>
      <w:r w:rsidRPr="00EB2BD8">
        <w:rPr>
          <w:rFonts w:ascii="Arial"/>
          <w:w w:val="105"/>
          <w:sz w:val="16"/>
        </w:rPr>
        <w:t>There</w:t>
      </w:r>
      <w:r w:rsidRPr="00EB2BD8">
        <w:rPr>
          <w:rFonts w:ascii="Arial"/>
          <w:spacing w:val="-6"/>
          <w:w w:val="105"/>
          <w:sz w:val="16"/>
        </w:rPr>
        <w:t xml:space="preserve"> </w:t>
      </w:r>
      <w:r w:rsidRPr="00EB2BD8">
        <w:rPr>
          <w:rFonts w:ascii="Arial"/>
          <w:w w:val="105"/>
          <w:sz w:val="16"/>
        </w:rPr>
        <w:t>has</w:t>
      </w:r>
      <w:r w:rsidRPr="00EB2BD8">
        <w:rPr>
          <w:rFonts w:ascii="Arial"/>
          <w:spacing w:val="-6"/>
          <w:w w:val="105"/>
          <w:sz w:val="16"/>
        </w:rPr>
        <w:t xml:space="preserve"> </w:t>
      </w:r>
      <w:r w:rsidRPr="00EB2BD8">
        <w:rPr>
          <w:rFonts w:ascii="Arial"/>
          <w:w w:val="105"/>
          <w:sz w:val="16"/>
        </w:rPr>
        <w:t>been</w:t>
      </w:r>
      <w:r w:rsidRPr="00EB2BD8">
        <w:rPr>
          <w:rFonts w:ascii="Arial"/>
          <w:spacing w:val="-6"/>
          <w:w w:val="105"/>
          <w:sz w:val="16"/>
        </w:rPr>
        <w:t xml:space="preserve"> </w:t>
      </w:r>
      <w:r w:rsidRPr="00EB2BD8">
        <w:rPr>
          <w:rFonts w:ascii="Arial"/>
          <w:w w:val="105"/>
          <w:sz w:val="16"/>
        </w:rPr>
        <w:t>no</w:t>
      </w:r>
      <w:r w:rsidRPr="00EB2BD8">
        <w:rPr>
          <w:rFonts w:ascii="Arial"/>
          <w:spacing w:val="-6"/>
          <w:w w:val="105"/>
          <w:sz w:val="16"/>
        </w:rPr>
        <w:t xml:space="preserve"> </w:t>
      </w:r>
      <w:r w:rsidRPr="00EB2BD8">
        <w:rPr>
          <w:rFonts w:ascii="Arial"/>
          <w:w w:val="105"/>
          <w:sz w:val="16"/>
        </w:rPr>
        <w:t>material</w:t>
      </w:r>
      <w:r w:rsidRPr="00EB2BD8">
        <w:rPr>
          <w:rFonts w:ascii="Arial"/>
          <w:spacing w:val="-5"/>
          <w:w w:val="105"/>
          <w:sz w:val="16"/>
        </w:rPr>
        <w:t xml:space="preserve"> </w:t>
      </w:r>
      <w:r w:rsidRPr="00EB2BD8">
        <w:rPr>
          <w:rFonts w:ascii="Arial"/>
          <w:w w:val="105"/>
          <w:sz w:val="16"/>
        </w:rPr>
        <w:t>change</w:t>
      </w:r>
      <w:r w:rsidRPr="00EB2BD8">
        <w:rPr>
          <w:rFonts w:ascii="Arial"/>
          <w:spacing w:val="-6"/>
          <w:w w:val="105"/>
          <w:sz w:val="16"/>
        </w:rPr>
        <w:t xml:space="preserve"> </w:t>
      </w:r>
      <w:r w:rsidRPr="00EB2BD8">
        <w:rPr>
          <w:rFonts w:ascii="Arial"/>
          <w:w w:val="105"/>
          <w:sz w:val="16"/>
        </w:rPr>
        <w:t>to</w:t>
      </w:r>
      <w:r w:rsidRPr="00EB2BD8">
        <w:rPr>
          <w:rFonts w:ascii="Arial"/>
          <w:spacing w:val="-6"/>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VBA's</w:t>
      </w:r>
      <w:r w:rsidRPr="00EB2BD8">
        <w:rPr>
          <w:rFonts w:ascii="Arial"/>
          <w:spacing w:val="-5"/>
          <w:w w:val="105"/>
          <w:sz w:val="16"/>
        </w:rPr>
        <w:t xml:space="preserve"> </w:t>
      </w:r>
      <w:r w:rsidRPr="00EB2BD8">
        <w:rPr>
          <w:rFonts w:ascii="Arial"/>
          <w:w w:val="105"/>
          <w:sz w:val="16"/>
        </w:rPr>
        <w:t>credit</w:t>
      </w:r>
      <w:r w:rsidRPr="00EB2BD8">
        <w:rPr>
          <w:rFonts w:ascii="Arial"/>
          <w:spacing w:val="-6"/>
          <w:w w:val="105"/>
          <w:sz w:val="16"/>
        </w:rPr>
        <w:t xml:space="preserve"> </w:t>
      </w:r>
      <w:r w:rsidRPr="00EB2BD8">
        <w:rPr>
          <w:rFonts w:ascii="Arial"/>
          <w:w w:val="105"/>
          <w:sz w:val="16"/>
        </w:rPr>
        <w:t>risk</w:t>
      </w:r>
      <w:r w:rsidRPr="00EB2BD8">
        <w:rPr>
          <w:rFonts w:ascii="Arial"/>
          <w:spacing w:val="-6"/>
          <w:w w:val="105"/>
          <w:sz w:val="16"/>
        </w:rPr>
        <w:t xml:space="preserve"> </w:t>
      </w:r>
      <w:r w:rsidRPr="00EB2BD8">
        <w:rPr>
          <w:rFonts w:ascii="Arial"/>
          <w:w w:val="105"/>
          <w:sz w:val="16"/>
        </w:rPr>
        <w:t>profile</w:t>
      </w:r>
      <w:r w:rsidRPr="00EB2BD8">
        <w:rPr>
          <w:rFonts w:ascii="Arial"/>
          <w:spacing w:val="-6"/>
          <w:w w:val="105"/>
          <w:sz w:val="16"/>
        </w:rPr>
        <w:t xml:space="preserve"> </w:t>
      </w:r>
      <w:r w:rsidRPr="00EB2BD8">
        <w:rPr>
          <w:rFonts w:ascii="Arial"/>
          <w:w w:val="105"/>
          <w:sz w:val="16"/>
        </w:rPr>
        <w:t>in</w:t>
      </w:r>
      <w:r w:rsidRPr="00EB2BD8">
        <w:rPr>
          <w:rFonts w:ascii="Arial"/>
          <w:spacing w:val="-5"/>
          <w:w w:val="105"/>
          <w:sz w:val="16"/>
        </w:rPr>
        <w:t xml:space="preserve"> </w:t>
      </w:r>
      <w:r w:rsidRPr="00EB2BD8">
        <w:rPr>
          <w:rFonts w:ascii="Arial"/>
          <w:w w:val="105"/>
          <w:sz w:val="16"/>
        </w:rPr>
        <w:t>2022-</w:t>
      </w:r>
      <w:r w:rsidRPr="00EB2BD8">
        <w:rPr>
          <w:rFonts w:ascii="Arial"/>
          <w:spacing w:val="-5"/>
          <w:w w:val="105"/>
          <w:sz w:val="16"/>
        </w:rPr>
        <w:t>23.</w:t>
      </w:r>
    </w:p>
    <w:p w14:paraId="37D62437" w14:textId="77777777" w:rsidR="00084F36" w:rsidRPr="00EB2BD8" w:rsidRDefault="00EB2BD8" w:rsidP="00D0600F">
      <w:pPr>
        <w:pStyle w:val="Heading3"/>
      </w:pPr>
      <w:bookmarkStart w:id="337" w:name="_Toc150762639"/>
      <w:r w:rsidRPr="00EB2BD8">
        <w:t>Credit</w:t>
      </w:r>
      <w:r w:rsidRPr="00EB2BD8">
        <w:rPr>
          <w:spacing w:val="11"/>
        </w:rPr>
        <w:t xml:space="preserve"> </w:t>
      </w:r>
      <w:r w:rsidRPr="00EB2BD8">
        <w:t>quality</w:t>
      </w:r>
      <w:r w:rsidRPr="00EB2BD8">
        <w:rPr>
          <w:spacing w:val="11"/>
        </w:rPr>
        <w:t xml:space="preserve"> </w:t>
      </w:r>
      <w:r w:rsidRPr="00EB2BD8">
        <w:t>of</w:t>
      </w:r>
      <w:r w:rsidRPr="00EB2BD8">
        <w:rPr>
          <w:spacing w:val="11"/>
        </w:rPr>
        <w:t xml:space="preserve"> </w:t>
      </w:r>
      <w:r w:rsidRPr="00EB2BD8">
        <w:t>contractual</w:t>
      </w:r>
      <w:r w:rsidRPr="00EB2BD8">
        <w:rPr>
          <w:spacing w:val="13"/>
        </w:rPr>
        <w:t xml:space="preserve"> </w:t>
      </w:r>
      <w:r w:rsidRPr="00EB2BD8">
        <w:t>financial</w:t>
      </w:r>
      <w:r w:rsidRPr="00EB2BD8">
        <w:rPr>
          <w:spacing w:val="11"/>
        </w:rPr>
        <w:t xml:space="preserve"> </w:t>
      </w:r>
      <w:r w:rsidRPr="00EB2BD8">
        <w:t>assets</w:t>
      </w:r>
      <w:r w:rsidRPr="00EB2BD8">
        <w:rPr>
          <w:spacing w:val="11"/>
        </w:rPr>
        <w:t xml:space="preserve"> </w:t>
      </w:r>
      <w:r w:rsidRPr="00EB2BD8">
        <w:t>that</w:t>
      </w:r>
      <w:r w:rsidRPr="00EB2BD8">
        <w:rPr>
          <w:spacing w:val="11"/>
        </w:rPr>
        <w:t xml:space="preserve"> </w:t>
      </w:r>
      <w:r w:rsidRPr="00EB2BD8">
        <w:t>are</w:t>
      </w:r>
      <w:r w:rsidRPr="00EB2BD8">
        <w:rPr>
          <w:spacing w:val="12"/>
        </w:rPr>
        <w:t xml:space="preserve"> </w:t>
      </w:r>
      <w:r w:rsidRPr="00EB2BD8">
        <w:t>neither</w:t>
      </w:r>
      <w:r w:rsidRPr="00EB2BD8">
        <w:rPr>
          <w:spacing w:val="11"/>
        </w:rPr>
        <w:t xml:space="preserve"> </w:t>
      </w:r>
      <w:r w:rsidRPr="00EB2BD8">
        <w:t>past</w:t>
      </w:r>
      <w:r w:rsidRPr="00EB2BD8">
        <w:rPr>
          <w:spacing w:val="11"/>
        </w:rPr>
        <w:t xml:space="preserve"> </w:t>
      </w:r>
      <w:r w:rsidRPr="00EB2BD8">
        <w:t>due</w:t>
      </w:r>
      <w:r w:rsidRPr="00EB2BD8">
        <w:rPr>
          <w:spacing w:val="11"/>
        </w:rPr>
        <w:t xml:space="preserve"> </w:t>
      </w:r>
      <w:r w:rsidRPr="00EB2BD8">
        <w:t>nor</w:t>
      </w:r>
      <w:r w:rsidRPr="00EB2BD8">
        <w:rPr>
          <w:spacing w:val="11"/>
        </w:rPr>
        <w:t xml:space="preserve"> </w:t>
      </w:r>
      <w:r w:rsidRPr="00EB2BD8">
        <w:rPr>
          <w:spacing w:val="-2"/>
        </w:rPr>
        <w:t>impaired</w:t>
      </w:r>
      <w:r w:rsidRPr="00EB2BD8">
        <w:rPr>
          <w:spacing w:val="-2"/>
          <w:vertAlign w:val="superscript"/>
        </w:rPr>
        <w:t>(a)</w:t>
      </w:r>
      <w:bookmarkEnd w:id="337"/>
    </w:p>
    <w:p w14:paraId="2D382B26" w14:textId="77777777" w:rsidR="00084F36" w:rsidRPr="00EB2BD8" w:rsidRDefault="00EB2BD8">
      <w:pPr>
        <w:spacing w:before="207" w:after="42"/>
        <w:ind w:left="9651"/>
        <w:rPr>
          <w:rFonts w:ascii="Arial" w:hAnsi="Arial"/>
          <w:sz w:val="16"/>
        </w:rPr>
      </w:pPr>
      <w:r w:rsidRPr="00EB2BD8">
        <w:rPr>
          <w:rFonts w:ascii="Arial" w:hAnsi="Arial"/>
          <w:spacing w:val="-2"/>
          <w:w w:val="105"/>
          <w:sz w:val="16"/>
        </w:rPr>
        <w:t>($’000)</w:t>
      </w:r>
    </w:p>
    <w:tbl>
      <w:tblPr>
        <w:tblW w:w="0" w:type="auto"/>
        <w:tblInd w:w="1049" w:type="dxa"/>
        <w:tblLayout w:type="fixed"/>
        <w:tblCellMar>
          <w:left w:w="0" w:type="dxa"/>
          <w:right w:w="0" w:type="dxa"/>
        </w:tblCellMar>
        <w:tblLook w:val="01E0" w:firstRow="1" w:lastRow="1" w:firstColumn="1" w:lastColumn="1" w:noHBand="0" w:noVBand="0"/>
      </w:tblPr>
      <w:tblGrid>
        <w:gridCol w:w="2911"/>
        <w:gridCol w:w="2131"/>
        <w:gridCol w:w="1419"/>
        <w:gridCol w:w="1671"/>
        <w:gridCol w:w="1101"/>
      </w:tblGrid>
      <w:tr w:rsidR="00EB2BD8" w:rsidRPr="00EB2BD8" w14:paraId="050D27D5" w14:textId="77777777">
        <w:trPr>
          <w:trHeight w:val="955"/>
        </w:trPr>
        <w:tc>
          <w:tcPr>
            <w:tcW w:w="2911" w:type="dxa"/>
            <w:shd w:val="clear" w:color="auto" w:fill="0070C0"/>
          </w:tcPr>
          <w:p w14:paraId="5EDC0A20" w14:textId="77777777" w:rsidR="00084F36" w:rsidRPr="00EB2BD8" w:rsidRDefault="00084F36">
            <w:pPr>
              <w:pStyle w:val="TableParagraph"/>
              <w:rPr>
                <w:rFonts w:ascii="Arial"/>
                <w:sz w:val="18"/>
              </w:rPr>
            </w:pPr>
          </w:p>
          <w:p w14:paraId="3A7D45BE" w14:textId="77777777" w:rsidR="00084F36" w:rsidRPr="00EB2BD8" w:rsidRDefault="00084F36">
            <w:pPr>
              <w:pStyle w:val="TableParagraph"/>
              <w:rPr>
                <w:rFonts w:ascii="Arial"/>
                <w:sz w:val="18"/>
              </w:rPr>
            </w:pPr>
          </w:p>
          <w:p w14:paraId="72E954E0" w14:textId="77777777" w:rsidR="00084F36" w:rsidRPr="00EB2BD8" w:rsidRDefault="00084F36">
            <w:pPr>
              <w:pStyle w:val="TableParagraph"/>
              <w:rPr>
                <w:rFonts w:ascii="Arial"/>
                <w:sz w:val="18"/>
              </w:rPr>
            </w:pPr>
          </w:p>
          <w:p w14:paraId="7C6A00D2" w14:textId="77777777" w:rsidR="00084F36" w:rsidRPr="00EB2BD8" w:rsidRDefault="00EB2BD8">
            <w:pPr>
              <w:pStyle w:val="TableParagraph"/>
              <w:spacing w:before="148" w:line="166" w:lineRule="exact"/>
              <w:ind w:left="100"/>
              <w:rPr>
                <w:rFonts w:ascii="Arial"/>
                <w:b/>
                <w:sz w:val="16"/>
              </w:rPr>
            </w:pPr>
            <w:r w:rsidRPr="00EB2BD8">
              <w:rPr>
                <w:rFonts w:ascii="Arial"/>
                <w:b/>
                <w:spacing w:val="-4"/>
                <w:w w:val="105"/>
                <w:sz w:val="16"/>
              </w:rPr>
              <w:t>2023</w:t>
            </w:r>
          </w:p>
        </w:tc>
        <w:tc>
          <w:tcPr>
            <w:tcW w:w="2131" w:type="dxa"/>
            <w:shd w:val="clear" w:color="auto" w:fill="0070C0"/>
          </w:tcPr>
          <w:p w14:paraId="09AE646A" w14:textId="77777777" w:rsidR="00084F36" w:rsidRPr="00EB2BD8" w:rsidRDefault="00084F36">
            <w:pPr>
              <w:pStyle w:val="TableParagraph"/>
              <w:spacing w:before="5"/>
              <w:rPr>
                <w:rFonts w:ascii="Arial"/>
                <w:sz w:val="16"/>
              </w:rPr>
            </w:pPr>
          </w:p>
          <w:p w14:paraId="024EEE2F" w14:textId="77777777" w:rsidR="00084F36" w:rsidRPr="00EB2BD8" w:rsidRDefault="00EB2BD8">
            <w:pPr>
              <w:pStyle w:val="TableParagraph"/>
              <w:spacing w:line="252" w:lineRule="auto"/>
              <w:ind w:left="1112" w:right="110" w:firstLine="176"/>
              <w:jc w:val="right"/>
              <w:rPr>
                <w:rFonts w:ascii="Arial"/>
                <w:b/>
                <w:sz w:val="16"/>
              </w:rPr>
            </w:pPr>
            <w:r w:rsidRPr="00EB2BD8">
              <w:rPr>
                <w:rFonts w:ascii="Arial"/>
                <w:b/>
                <w:spacing w:val="-2"/>
                <w:w w:val="105"/>
                <w:sz w:val="16"/>
              </w:rPr>
              <w:t xml:space="preserve">Financial institutions </w:t>
            </w:r>
            <w:r w:rsidRPr="00EB2BD8">
              <w:rPr>
                <w:rFonts w:ascii="Arial"/>
                <w:b/>
                <w:w w:val="105"/>
                <w:sz w:val="16"/>
              </w:rPr>
              <w:t>(A+ credit</w:t>
            </w:r>
          </w:p>
          <w:p w14:paraId="291432FA" w14:textId="77777777" w:rsidR="00084F36" w:rsidRPr="00EB2BD8" w:rsidRDefault="00EB2BD8">
            <w:pPr>
              <w:pStyle w:val="TableParagraph"/>
              <w:spacing w:line="166" w:lineRule="exact"/>
              <w:ind w:right="110"/>
              <w:jc w:val="right"/>
              <w:rPr>
                <w:rFonts w:ascii="Arial"/>
                <w:b/>
                <w:sz w:val="16"/>
              </w:rPr>
            </w:pPr>
            <w:r w:rsidRPr="00EB2BD8">
              <w:rPr>
                <w:rFonts w:ascii="Arial"/>
                <w:b/>
                <w:spacing w:val="-2"/>
                <w:w w:val="105"/>
                <w:sz w:val="16"/>
              </w:rPr>
              <w:t>rating)</w:t>
            </w:r>
          </w:p>
        </w:tc>
        <w:tc>
          <w:tcPr>
            <w:tcW w:w="1419" w:type="dxa"/>
            <w:shd w:val="clear" w:color="auto" w:fill="0070C0"/>
          </w:tcPr>
          <w:p w14:paraId="06F4799E" w14:textId="77777777" w:rsidR="00084F36" w:rsidRPr="00EB2BD8" w:rsidRDefault="00084F36">
            <w:pPr>
              <w:pStyle w:val="TableParagraph"/>
              <w:spacing w:before="5"/>
              <w:rPr>
                <w:rFonts w:ascii="Arial"/>
                <w:sz w:val="16"/>
              </w:rPr>
            </w:pPr>
          </w:p>
          <w:p w14:paraId="6BEA4FE1" w14:textId="77777777" w:rsidR="00084F36" w:rsidRPr="00EB2BD8" w:rsidRDefault="00EB2BD8">
            <w:pPr>
              <w:pStyle w:val="TableParagraph"/>
              <w:spacing w:line="252" w:lineRule="auto"/>
              <w:ind w:left="113" w:right="155" w:firstLine="157"/>
              <w:jc w:val="right"/>
              <w:rPr>
                <w:rFonts w:ascii="Arial"/>
                <w:b/>
                <w:sz w:val="16"/>
              </w:rPr>
            </w:pPr>
            <w:r w:rsidRPr="00EB2BD8">
              <w:rPr>
                <w:rFonts w:ascii="Arial"/>
                <w:b/>
                <w:spacing w:val="-2"/>
                <w:w w:val="105"/>
                <w:sz w:val="16"/>
              </w:rPr>
              <w:t xml:space="preserve">Government agencies </w:t>
            </w:r>
            <w:r w:rsidRPr="00EB2BD8">
              <w:rPr>
                <w:rFonts w:ascii="Arial"/>
                <w:b/>
                <w:w w:val="105"/>
                <w:sz w:val="16"/>
              </w:rPr>
              <w:t>(triple-A</w:t>
            </w:r>
            <w:r w:rsidRPr="00EB2BD8">
              <w:rPr>
                <w:rFonts w:ascii="Arial"/>
                <w:b/>
                <w:spacing w:val="-11"/>
                <w:w w:val="105"/>
                <w:sz w:val="16"/>
              </w:rPr>
              <w:t xml:space="preserve"> </w:t>
            </w:r>
            <w:r w:rsidRPr="00EB2BD8">
              <w:rPr>
                <w:rFonts w:ascii="Arial"/>
                <w:b/>
                <w:spacing w:val="-2"/>
                <w:w w:val="105"/>
                <w:sz w:val="16"/>
              </w:rPr>
              <w:t>credit</w:t>
            </w:r>
          </w:p>
          <w:p w14:paraId="17074E65" w14:textId="77777777" w:rsidR="00084F36" w:rsidRPr="00EB2BD8" w:rsidRDefault="00EB2BD8">
            <w:pPr>
              <w:pStyle w:val="TableParagraph"/>
              <w:spacing w:line="166" w:lineRule="exact"/>
              <w:ind w:right="155"/>
              <w:jc w:val="right"/>
              <w:rPr>
                <w:rFonts w:ascii="Arial"/>
                <w:b/>
                <w:sz w:val="16"/>
              </w:rPr>
            </w:pPr>
            <w:r w:rsidRPr="00EB2BD8">
              <w:rPr>
                <w:rFonts w:ascii="Arial"/>
                <w:b/>
                <w:spacing w:val="-2"/>
                <w:w w:val="105"/>
                <w:sz w:val="16"/>
              </w:rPr>
              <w:t>rating)</w:t>
            </w:r>
          </w:p>
        </w:tc>
        <w:tc>
          <w:tcPr>
            <w:tcW w:w="1671" w:type="dxa"/>
            <w:shd w:val="clear" w:color="auto" w:fill="0070C0"/>
          </w:tcPr>
          <w:p w14:paraId="0E5742A6" w14:textId="77777777" w:rsidR="00084F36" w:rsidRPr="00EB2BD8" w:rsidRDefault="00084F36">
            <w:pPr>
              <w:pStyle w:val="TableParagraph"/>
              <w:rPr>
                <w:rFonts w:ascii="Arial"/>
                <w:sz w:val="18"/>
              </w:rPr>
            </w:pPr>
          </w:p>
          <w:p w14:paraId="44A4987F" w14:textId="77777777" w:rsidR="00084F36" w:rsidRPr="00EB2BD8" w:rsidRDefault="00084F36">
            <w:pPr>
              <w:pStyle w:val="TableParagraph"/>
              <w:spacing w:before="3"/>
              <w:rPr>
                <w:rFonts w:ascii="Arial"/>
                <w:sz w:val="15"/>
              </w:rPr>
            </w:pPr>
          </w:p>
          <w:p w14:paraId="797B10D5" w14:textId="77777777" w:rsidR="00084F36" w:rsidRPr="00EB2BD8" w:rsidRDefault="00EB2BD8">
            <w:pPr>
              <w:pStyle w:val="TableParagraph"/>
              <w:spacing w:line="252" w:lineRule="auto"/>
              <w:ind w:left="197" w:right="179" w:firstLine="540"/>
              <w:rPr>
                <w:rFonts w:ascii="Arial"/>
                <w:b/>
                <w:sz w:val="16"/>
              </w:rPr>
            </w:pPr>
            <w:r w:rsidRPr="00EB2BD8">
              <w:rPr>
                <w:rFonts w:ascii="Arial"/>
                <w:b/>
                <w:spacing w:val="-4"/>
                <w:w w:val="105"/>
                <w:sz w:val="16"/>
              </w:rPr>
              <w:t xml:space="preserve">Other </w:t>
            </w:r>
            <w:r w:rsidRPr="00EB2BD8">
              <w:rPr>
                <w:rFonts w:ascii="Arial"/>
                <w:b/>
                <w:spacing w:val="-2"/>
                <w:w w:val="105"/>
                <w:sz w:val="16"/>
              </w:rPr>
              <w:t>(min</w:t>
            </w:r>
            <w:r w:rsidRPr="00EB2BD8">
              <w:rPr>
                <w:rFonts w:ascii="Arial"/>
                <w:b/>
                <w:spacing w:val="-5"/>
                <w:w w:val="105"/>
                <w:sz w:val="16"/>
              </w:rPr>
              <w:t xml:space="preserve"> </w:t>
            </w:r>
            <w:r w:rsidRPr="00EB2BD8">
              <w:rPr>
                <w:rFonts w:ascii="Arial"/>
                <w:b/>
                <w:spacing w:val="-2"/>
                <w:w w:val="105"/>
                <w:sz w:val="16"/>
              </w:rPr>
              <w:t>triple-</w:t>
            </w:r>
            <w:r w:rsidRPr="00EB2BD8">
              <w:rPr>
                <w:rFonts w:ascii="Arial"/>
                <w:b/>
                <w:spacing w:val="-10"/>
                <w:w w:val="105"/>
                <w:sz w:val="16"/>
              </w:rPr>
              <w:t>B</w:t>
            </w:r>
          </w:p>
          <w:p w14:paraId="0141AD46" w14:textId="77777777" w:rsidR="00084F36" w:rsidRPr="00EB2BD8" w:rsidRDefault="00EB2BD8">
            <w:pPr>
              <w:pStyle w:val="TableParagraph"/>
              <w:spacing w:line="166" w:lineRule="exact"/>
              <w:ind w:left="159"/>
              <w:rPr>
                <w:rFonts w:ascii="Arial"/>
                <w:b/>
                <w:sz w:val="16"/>
              </w:rPr>
            </w:pPr>
            <w:r w:rsidRPr="00EB2BD8">
              <w:rPr>
                <w:rFonts w:ascii="Arial"/>
                <w:b/>
                <w:w w:val="105"/>
                <w:sz w:val="16"/>
              </w:rPr>
              <w:t>credit</w:t>
            </w:r>
            <w:r w:rsidRPr="00EB2BD8">
              <w:rPr>
                <w:rFonts w:ascii="Arial"/>
                <w:b/>
                <w:spacing w:val="-8"/>
                <w:w w:val="105"/>
                <w:sz w:val="16"/>
              </w:rPr>
              <w:t xml:space="preserve"> </w:t>
            </w:r>
            <w:r w:rsidRPr="00EB2BD8">
              <w:rPr>
                <w:rFonts w:ascii="Arial"/>
                <w:b/>
                <w:spacing w:val="-2"/>
                <w:w w:val="105"/>
                <w:sz w:val="16"/>
              </w:rPr>
              <w:t>rating)</w:t>
            </w:r>
          </w:p>
        </w:tc>
        <w:tc>
          <w:tcPr>
            <w:tcW w:w="1101" w:type="dxa"/>
            <w:shd w:val="clear" w:color="auto" w:fill="0070C0"/>
          </w:tcPr>
          <w:p w14:paraId="4FA10D80" w14:textId="77777777" w:rsidR="00084F36" w:rsidRPr="00EB2BD8" w:rsidRDefault="00084F36">
            <w:pPr>
              <w:pStyle w:val="TableParagraph"/>
              <w:rPr>
                <w:rFonts w:ascii="Arial"/>
                <w:sz w:val="18"/>
              </w:rPr>
            </w:pPr>
          </w:p>
          <w:p w14:paraId="708FD4BE" w14:textId="77777777" w:rsidR="00084F36" w:rsidRPr="00EB2BD8" w:rsidRDefault="00084F36">
            <w:pPr>
              <w:pStyle w:val="TableParagraph"/>
              <w:rPr>
                <w:rFonts w:ascii="Arial"/>
                <w:sz w:val="18"/>
              </w:rPr>
            </w:pPr>
          </w:p>
          <w:p w14:paraId="58E1823F" w14:textId="77777777" w:rsidR="00084F36" w:rsidRPr="00EB2BD8" w:rsidRDefault="00084F36">
            <w:pPr>
              <w:pStyle w:val="TableParagraph"/>
              <w:rPr>
                <w:rFonts w:ascii="Arial"/>
                <w:sz w:val="18"/>
              </w:rPr>
            </w:pPr>
          </w:p>
          <w:p w14:paraId="5E4E833A" w14:textId="77777777" w:rsidR="00084F36" w:rsidRPr="00EB2BD8" w:rsidRDefault="00EB2BD8">
            <w:pPr>
              <w:pStyle w:val="TableParagraph"/>
              <w:spacing w:before="148" w:line="166" w:lineRule="exact"/>
              <w:ind w:right="98"/>
              <w:jc w:val="right"/>
              <w:rPr>
                <w:rFonts w:ascii="Arial"/>
                <w:b/>
                <w:sz w:val="16"/>
              </w:rPr>
            </w:pPr>
            <w:r w:rsidRPr="00EB2BD8">
              <w:rPr>
                <w:rFonts w:ascii="Arial"/>
                <w:b/>
                <w:spacing w:val="-2"/>
                <w:w w:val="105"/>
                <w:sz w:val="16"/>
              </w:rPr>
              <w:t>Total</w:t>
            </w:r>
          </w:p>
        </w:tc>
      </w:tr>
      <w:tr w:rsidR="00EB2BD8" w:rsidRPr="00EB2BD8" w14:paraId="74284D16" w14:textId="77777777">
        <w:trPr>
          <w:trHeight w:val="592"/>
        </w:trPr>
        <w:tc>
          <w:tcPr>
            <w:tcW w:w="2911" w:type="dxa"/>
            <w:shd w:val="clear" w:color="auto" w:fill="DEEAF6"/>
          </w:tcPr>
          <w:p w14:paraId="64BDCF19" w14:textId="77777777" w:rsidR="00084F36" w:rsidRPr="00EB2BD8" w:rsidRDefault="00EB2BD8">
            <w:pPr>
              <w:pStyle w:val="TableParagraph"/>
              <w:spacing w:before="68"/>
              <w:ind w:left="100"/>
              <w:rPr>
                <w:rFonts w:ascii="Arial"/>
                <w:b/>
                <w:sz w:val="16"/>
              </w:rPr>
            </w:pPr>
            <w:r w:rsidRPr="00EB2BD8">
              <w:rPr>
                <w:rFonts w:ascii="Arial"/>
                <w:b/>
                <w:w w:val="105"/>
                <w:sz w:val="16"/>
              </w:rPr>
              <w:t>Financial</w:t>
            </w:r>
            <w:r w:rsidRPr="00EB2BD8">
              <w:rPr>
                <w:rFonts w:ascii="Arial"/>
                <w:b/>
                <w:spacing w:val="-11"/>
                <w:w w:val="105"/>
                <w:sz w:val="16"/>
              </w:rPr>
              <w:t xml:space="preserve"> </w:t>
            </w:r>
            <w:r w:rsidRPr="00EB2BD8">
              <w:rPr>
                <w:rFonts w:ascii="Arial"/>
                <w:b/>
                <w:spacing w:val="-2"/>
                <w:w w:val="105"/>
                <w:sz w:val="16"/>
              </w:rPr>
              <w:t>assets</w:t>
            </w:r>
          </w:p>
          <w:p w14:paraId="60BEDF2D" w14:textId="77777777" w:rsidR="00084F36" w:rsidRPr="00EB2BD8" w:rsidRDefault="00EB2BD8">
            <w:pPr>
              <w:pStyle w:val="TableParagraph"/>
              <w:spacing w:before="91"/>
              <w:ind w:left="100"/>
              <w:rPr>
                <w:rFonts w:ascii="Arial"/>
                <w:sz w:val="16"/>
              </w:rPr>
            </w:pPr>
            <w:r w:rsidRPr="00EB2BD8">
              <w:rPr>
                <w:rFonts w:ascii="Arial"/>
                <w:w w:val="105"/>
                <w:sz w:val="16"/>
              </w:rPr>
              <w:t>Cash</w:t>
            </w:r>
            <w:r w:rsidRPr="00EB2BD8">
              <w:rPr>
                <w:rFonts w:ascii="Arial"/>
                <w:spacing w:val="-5"/>
                <w:w w:val="105"/>
                <w:sz w:val="16"/>
              </w:rPr>
              <w:t xml:space="preserve"> </w:t>
            </w:r>
            <w:r w:rsidRPr="00EB2BD8">
              <w:rPr>
                <w:rFonts w:ascii="Arial"/>
                <w:w w:val="105"/>
                <w:sz w:val="16"/>
              </w:rPr>
              <w:t>and</w:t>
            </w:r>
            <w:r w:rsidRPr="00EB2BD8">
              <w:rPr>
                <w:rFonts w:ascii="Arial"/>
                <w:spacing w:val="-5"/>
                <w:w w:val="105"/>
                <w:sz w:val="16"/>
              </w:rPr>
              <w:t xml:space="preserve"> </w:t>
            </w:r>
            <w:r w:rsidRPr="00EB2BD8">
              <w:rPr>
                <w:rFonts w:ascii="Arial"/>
                <w:spacing w:val="-2"/>
                <w:w w:val="105"/>
                <w:sz w:val="16"/>
              </w:rPr>
              <w:t>deposits</w:t>
            </w:r>
          </w:p>
        </w:tc>
        <w:tc>
          <w:tcPr>
            <w:tcW w:w="2131" w:type="dxa"/>
            <w:shd w:val="clear" w:color="auto" w:fill="DEEAF6"/>
          </w:tcPr>
          <w:p w14:paraId="1584AD2C" w14:textId="77777777" w:rsidR="00084F36" w:rsidRPr="00EB2BD8" w:rsidRDefault="00084F36">
            <w:pPr>
              <w:pStyle w:val="TableParagraph"/>
              <w:rPr>
                <w:rFonts w:ascii="Arial"/>
                <w:sz w:val="18"/>
              </w:rPr>
            </w:pPr>
          </w:p>
          <w:p w14:paraId="1DF43313" w14:textId="77777777" w:rsidR="00084F36" w:rsidRPr="00EB2BD8" w:rsidRDefault="00EB2BD8">
            <w:pPr>
              <w:pStyle w:val="TableParagraph"/>
              <w:spacing w:before="136"/>
              <w:ind w:right="111"/>
              <w:jc w:val="right"/>
              <w:rPr>
                <w:rFonts w:ascii="Arial"/>
                <w:sz w:val="16"/>
              </w:rPr>
            </w:pPr>
            <w:r w:rsidRPr="00EB2BD8">
              <w:rPr>
                <w:rFonts w:ascii="Arial"/>
                <w:spacing w:val="-2"/>
                <w:w w:val="105"/>
                <w:sz w:val="16"/>
              </w:rPr>
              <w:t>59,653</w:t>
            </w:r>
          </w:p>
        </w:tc>
        <w:tc>
          <w:tcPr>
            <w:tcW w:w="1419" w:type="dxa"/>
            <w:shd w:val="clear" w:color="auto" w:fill="DEEAF6"/>
          </w:tcPr>
          <w:p w14:paraId="3C581B52" w14:textId="77777777" w:rsidR="00084F36" w:rsidRPr="00EB2BD8" w:rsidRDefault="00084F36">
            <w:pPr>
              <w:pStyle w:val="TableParagraph"/>
              <w:rPr>
                <w:rFonts w:ascii="Arial"/>
                <w:sz w:val="18"/>
              </w:rPr>
            </w:pPr>
          </w:p>
          <w:p w14:paraId="1B1CF434" w14:textId="77777777" w:rsidR="00084F36" w:rsidRPr="00EB2BD8" w:rsidRDefault="00EB2BD8">
            <w:pPr>
              <w:pStyle w:val="TableParagraph"/>
              <w:spacing w:before="136"/>
              <w:ind w:right="155"/>
              <w:jc w:val="right"/>
              <w:rPr>
                <w:rFonts w:ascii="Arial"/>
                <w:sz w:val="16"/>
              </w:rPr>
            </w:pPr>
            <w:r w:rsidRPr="00EB2BD8">
              <w:rPr>
                <w:rFonts w:ascii="Arial"/>
                <w:w w:val="104"/>
                <w:sz w:val="16"/>
              </w:rPr>
              <w:t>-</w:t>
            </w:r>
          </w:p>
        </w:tc>
        <w:tc>
          <w:tcPr>
            <w:tcW w:w="1671" w:type="dxa"/>
            <w:shd w:val="clear" w:color="auto" w:fill="DEEAF6"/>
          </w:tcPr>
          <w:p w14:paraId="40D13972" w14:textId="77777777" w:rsidR="00084F36" w:rsidRPr="00EB2BD8" w:rsidRDefault="00084F36">
            <w:pPr>
              <w:pStyle w:val="TableParagraph"/>
              <w:rPr>
                <w:rFonts w:ascii="Arial"/>
                <w:sz w:val="18"/>
              </w:rPr>
            </w:pPr>
          </w:p>
          <w:p w14:paraId="359599FD" w14:textId="77777777" w:rsidR="00084F36" w:rsidRPr="00EB2BD8" w:rsidRDefault="00EB2BD8">
            <w:pPr>
              <w:pStyle w:val="TableParagraph"/>
              <w:spacing w:before="136"/>
              <w:ind w:right="483"/>
              <w:jc w:val="right"/>
              <w:rPr>
                <w:rFonts w:ascii="Arial"/>
                <w:sz w:val="16"/>
              </w:rPr>
            </w:pPr>
            <w:r w:rsidRPr="00EB2BD8">
              <w:rPr>
                <w:rFonts w:ascii="Arial"/>
                <w:w w:val="104"/>
                <w:sz w:val="16"/>
              </w:rPr>
              <w:t>-</w:t>
            </w:r>
          </w:p>
        </w:tc>
        <w:tc>
          <w:tcPr>
            <w:tcW w:w="1101" w:type="dxa"/>
            <w:shd w:val="clear" w:color="auto" w:fill="DEEAF6"/>
          </w:tcPr>
          <w:p w14:paraId="47415501" w14:textId="77777777" w:rsidR="00084F36" w:rsidRPr="00EB2BD8" w:rsidRDefault="00084F36">
            <w:pPr>
              <w:pStyle w:val="TableParagraph"/>
              <w:rPr>
                <w:rFonts w:ascii="Arial"/>
                <w:sz w:val="18"/>
              </w:rPr>
            </w:pPr>
          </w:p>
          <w:p w14:paraId="3066D5E4" w14:textId="77777777" w:rsidR="00084F36" w:rsidRPr="00EB2BD8" w:rsidRDefault="00EB2BD8">
            <w:pPr>
              <w:pStyle w:val="TableParagraph"/>
              <w:spacing w:before="136"/>
              <w:ind w:right="99"/>
              <w:jc w:val="right"/>
              <w:rPr>
                <w:rFonts w:ascii="Arial"/>
                <w:sz w:val="16"/>
              </w:rPr>
            </w:pPr>
            <w:r w:rsidRPr="00EB2BD8">
              <w:rPr>
                <w:rFonts w:ascii="Arial"/>
                <w:spacing w:val="-2"/>
                <w:w w:val="105"/>
                <w:sz w:val="16"/>
              </w:rPr>
              <w:t>59,653</w:t>
            </w:r>
          </w:p>
        </w:tc>
      </w:tr>
      <w:tr w:rsidR="00EB2BD8" w:rsidRPr="00EB2BD8" w14:paraId="46E26205" w14:textId="77777777">
        <w:trPr>
          <w:trHeight w:val="351"/>
        </w:trPr>
        <w:tc>
          <w:tcPr>
            <w:tcW w:w="2911" w:type="dxa"/>
            <w:tcBorders>
              <w:bottom w:val="single" w:sz="12" w:space="0" w:color="000000"/>
            </w:tcBorders>
            <w:shd w:val="clear" w:color="auto" w:fill="DEEAF6"/>
          </w:tcPr>
          <w:p w14:paraId="49224D36" w14:textId="77777777" w:rsidR="00084F36" w:rsidRPr="00EB2BD8" w:rsidRDefault="00EB2BD8">
            <w:pPr>
              <w:pStyle w:val="TableParagraph"/>
              <w:spacing w:before="65"/>
              <w:ind w:left="100"/>
              <w:rPr>
                <w:rFonts w:ascii="Arial"/>
                <w:sz w:val="16"/>
              </w:rPr>
            </w:pPr>
            <w:r w:rsidRPr="00EB2BD8">
              <w:rPr>
                <w:rFonts w:ascii="Arial"/>
                <w:w w:val="105"/>
                <w:sz w:val="16"/>
              </w:rPr>
              <w:t>Other</w:t>
            </w:r>
            <w:r w:rsidRPr="00EB2BD8">
              <w:rPr>
                <w:rFonts w:ascii="Arial"/>
                <w:spacing w:val="-7"/>
                <w:w w:val="105"/>
                <w:sz w:val="16"/>
              </w:rPr>
              <w:t xml:space="preserve"> </w:t>
            </w:r>
            <w:r w:rsidRPr="00EB2BD8">
              <w:rPr>
                <w:rFonts w:ascii="Arial"/>
                <w:spacing w:val="-2"/>
                <w:w w:val="105"/>
                <w:sz w:val="16"/>
              </w:rPr>
              <w:t>Receivables</w:t>
            </w:r>
          </w:p>
        </w:tc>
        <w:tc>
          <w:tcPr>
            <w:tcW w:w="2131" w:type="dxa"/>
            <w:tcBorders>
              <w:bottom w:val="single" w:sz="12" w:space="0" w:color="000000"/>
            </w:tcBorders>
            <w:shd w:val="clear" w:color="auto" w:fill="DEEAF6"/>
          </w:tcPr>
          <w:p w14:paraId="43F8F326" w14:textId="77777777" w:rsidR="00084F36" w:rsidRPr="00EB2BD8" w:rsidRDefault="00EB2BD8">
            <w:pPr>
              <w:pStyle w:val="TableParagraph"/>
              <w:spacing w:before="65"/>
              <w:ind w:right="110"/>
              <w:jc w:val="right"/>
              <w:rPr>
                <w:rFonts w:ascii="Arial"/>
                <w:sz w:val="16"/>
              </w:rPr>
            </w:pPr>
            <w:r w:rsidRPr="00EB2BD8">
              <w:rPr>
                <w:rFonts w:ascii="Arial"/>
                <w:w w:val="104"/>
                <w:sz w:val="16"/>
              </w:rPr>
              <w:t>-</w:t>
            </w:r>
          </w:p>
        </w:tc>
        <w:tc>
          <w:tcPr>
            <w:tcW w:w="1419" w:type="dxa"/>
            <w:tcBorders>
              <w:bottom w:val="single" w:sz="12" w:space="0" w:color="000000"/>
            </w:tcBorders>
            <w:shd w:val="clear" w:color="auto" w:fill="DEEAF6"/>
          </w:tcPr>
          <w:p w14:paraId="4094CD2D" w14:textId="77777777" w:rsidR="00084F36" w:rsidRPr="00EB2BD8" w:rsidRDefault="00EB2BD8">
            <w:pPr>
              <w:pStyle w:val="TableParagraph"/>
              <w:spacing w:before="65"/>
              <w:ind w:right="155"/>
              <w:jc w:val="right"/>
              <w:rPr>
                <w:rFonts w:ascii="Arial"/>
                <w:sz w:val="16"/>
              </w:rPr>
            </w:pPr>
            <w:r w:rsidRPr="00EB2BD8">
              <w:rPr>
                <w:rFonts w:ascii="Arial"/>
                <w:w w:val="104"/>
                <w:sz w:val="16"/>
              </w:rPr>
              <w:t>-</w:t>
            </w:r>
          </w:p>
        </w:tc>
        <w:tc>
          <w:tcPr>
            <w:tcW w:w="1671" w:type="dxa"/>
            <w:tcBorders>
              <w:bottom w:val="single" w:sz="12" w:space="0" w:color="000000"/>
            </w:tcBorders>
            <w:shd w:val="clear" w:color="auto" w:fill="DEEAF6"/>
          </w:tcPr>
          <w:p w14:paraId="278FFF0E" w14:textId="77777777" w:rsidR="00084F36" w:rsidRPr="00EB2BD8" w:rsidRDefault="00EB2BD8">
            <w:pPr>
              <w:pStyle w:val="TableParagraph"/>
              <w:spacing w:before="65"/>
              <w:ind w:right="484"/>
              <w:jc w:val="right"/>
              <w:rPr>
                <w:rFonts w:ascii="Arial"/>
                <w:sz w:val="16"/>
              </w:rPr>
            </w:pPr>
            <w:r w:rsidRPr="00EB2BD8">
              <w:rPr>
                <w:rFonts w:ascii="Arial"/>
                <w:spacing w:val="-5"/>
                <w:w w:val="105"/>
                <w:sz w:val="16"/>
              </w:rPr>
              <w:t>142</w:t>
            </w:r>
          </w:p>
        </w:tc>
        <w:tc>
          <w:tcPr>
            <w:tcW w:w="1101" w:type="dxa"/>
            <w:tcBorders>
              <w:bottom w:val="single" w:sz="12" w:space="0" w:color="000000"/>
            </w:tcBorders>
            <w:shd w:val="clear" w:color="auto" w:fill="DEEAF6"/>
          </w:tcPr>
          <w:p w14:paraId="5A388F68" w14:textId="77777777" w:rsidR="00084F36" w:rsidRPr="00EB2BD8" w:rsidRDefault="00EB2BD8">
            <w:pPr>
              <w:pStyle w:val="TableParagraph"/>
              <w:spacing w:before="65"/>
              <w:ind w:right="99"/>
              <w:jc w:val="right"/>
              <w:rPr>
                <w:rFonts w:ascii="Arial"/>
                <w:sz w:val="16"/>
              </w:rPr>
            </w:pPr>
            <w:r w:rsidRPr="00EB2BD8">
              <w:rPr>
                <w:rFonts w:ascii="Arial"/>
                <w:spacing w:val="-5"/>
                <w:w w:val="105"/>
                <w:sz w:val="16"/>
              </w:rPr>
              <w:t>142</w:t>
            </w:r>
          </w:p>
        </w:tc>
      </w:tr>
      <w:tr w:rsidR="00EB2BD8" w:rsidRPr="00EB2BD8" w14:paraId="235128D1" w14:textId="77777777">
        <w:trPr>
          <w:trHeight w:val="287"/>
        </w:trPr>
        <w:tc>
          <w:tcPr>
            <w:tcW w:w="2911" w:type="dxa"/>
            <w:tcBorders>
              <w:top w:val="single" w:sz="12" w:space="0" w:color="000000"/>
              <w:bottom w:val="single" w:sz="12" w:space="0" w:color="000000"/>
            </w:tcBorders>
            <w:shd w:val="clear" w:color="auto" w:fill="DEEAF6"/>
          </w:tcPr>
          <w:p w14:paraId="75D74077" w14:textId="77777777" w:rsidR="00084F36" w:rsidRPr="00EB2BD8" w:rsidRDefault="00EB2BD8">
            <w:pPr>
              <w:pStyle w:val="TableParagraph"/>
              <w:spacing w:before="53"/>
              <w:ind w:left="100"/>
              <w:rPr>
                <w:rFonts w:ascii="Arial"/>
                <w:b/>
                <w:sz w:val="16"/>
              </w:rPr>
            </w:pPr>
            <w:r w:rsidRPr="00EB2BD8">
              <w:rPr>
                <w:rFonts w:ascii="Arial"/>
                <w:b/>
                <w:w w:val="105"/>
                <w:sz w:val="16"/>
              </w:rPr>
              <w:t>Total</w:t>
            </w:r>
            <w:r w:rsidRPr="00EB2BD8">
              <w:rPr>
                <w:rFonts w:ascii="Arial"/>
                <w:b/>
                <w:spacing w:val="-8"/>
                <w:w w:val="105"/>
                <w:sz w:val="16"/>
              </w:rPr>
              <w:t xml:space="preserve"> </w:t>
            </w:r>
            <w:r w:rsidRPr="00EB2BD8">
              <w:rPr>
                <w:rFonts w:ascii="Arial"/>
                <w:b/>
                <w:w w:val="105"/>
                <w:sz w:val="16"/>
              </w:rPr>
              <w:t>financial</w:t>
            </w:r>
            <w:r w:rsidRPr="00EB2BD8">
              <w:rPr>
                <w:rFonts w:ascii="Arial"/>
                <w:b/>
                <w:spacing w:val="-9"/>
                <w:w w:val="105"/>
                <w:sz w:val="16"/>
              </w:rPr>
              <w:t xml:space="preserve"> </w:t>
            </w:r>
            <w:r w:rsidRPr="00EB2BD8">
              <w:rPr>
                <w:rFonts w:ascii="Arial"/>
                <w:b/>
                <w:spacing w:val="-2"/>
                <w:w w:val="105"/>
                <w:sz w:val="16"/>
              </w:rPr>
              <w:t>assets</w:t>
            </w:r>
          </w:p>
        </w:tc>
        <w:tc>
          <w:tcPr>
            <w:tcW w:w="2131" w:type="dxa"/>
            <w:tcBorders>
              <w:top w:val="single" w:sz="12" w:space="0" w:color="000000"/>
              <w:bottom w:val="single" w:sz="12" w:space="0" w:color="000000"/>
            </w:tcBorders>
            <w:shd w:val="clear" w:color="auto" w:fill="DEEAF6"/>
          </w:tcPr>
          <w:p w14:paraId="5DD10F96" w14:textId="77777777" w:rsidR="00084F36" w:rsidRPr="00EB2BD8" w:rsidRDefault="00EB2BD8">
            <w:pPr>
              <w:pStyle w:val="TableParagraph"/>
              <w:spacing w:before="53"/>
              <w:ind w:right="111"/>
              <w:jc w:val="right"/>
              <w:rPr>
                <w:rFonts w:ascii="Arial"/>
                <w:b/>
                <w:sz w:val="16"/>
              </w:rPr>
            </w:pPr>
            <w:r w:rsidRPr="00EB2BD8">
              <w:rPr>
                <w:rFonts w:ascii="Arial"/>
                <w:b/>
                <w:spacing w:val="-2"/>
                <w:w w:val="105"/>
                <w:sz w:val="16"/>
              </w:rPr>
              <w:t>59,653</w:t>
            </w:r>
          </w:p>
        </w:tc>
        <w:tc>
          <w:tcPr>
            <w:tcW w:w="1419" w:type="dxa"/>
            <w:tcBorders>
              <w:top w:val="single" w:sz="12" w:space="0" w:color="000000"/>
              <w:bottom w:val="single" w:sz="12" w:space="0" w:color="000000"/>
            </w:tcBorders>
            <w:shd w:val="clear" w:color="auto" w:fill="DEEAF6"/>
          </w:tcPr>
          <w:p w14:paraId="384FDF29" w14:textId="77777777" w:rsidR="00084F36" w:rsidRPr="00EB2BD8" w:rsidRDefault="00EB2BD8">
            <w:pPr>
              <w:pStyle w:val="TableParagraph"/>
              <w:spacing w:before="53"/>
              <w:ind w:right="155"/>
              <w:jc w:val="right"/>
              <w:rPr>
                <w:rFonts w:ascii="Arial"/>
                <w:b/>
                <w:sz w:val="16"/>
              </w:rPr>
            </w:pPr>
            <w:r w:rsidRPr="00EB2BD8">
              <w:rPr>
                <w:rFonts w:ascii="Arial"/>
                <w:b/>
                <w:w w:val="104"/>
                <w:sz w:val="16"/>
              </w:rPr>
              <w:t>-</w:t>
            </w:r>
          </w:p>
        </w:tc>
        <w:tc>
          <w:tcPr>
            <w:tcW w:w="1671" w:type="dxa"/>
            <w:tcBorders>
              <w:top w:val="single" w:sz="12" w:space="0" w:color="000000"/>
              <w:bottom w:val="single" w:sz="12" w:space="0" w:color="000000"/>
            </w:tcBorders>
            <w:shd w:val="clear" w:color="auto" w:fill="DEEAF6"/>
          </w:tcPr>
          <w:p w14:paraId="6B30F06C" w14:textId="77777777" w:rsidR="00084F36" w:rsidRPr="00EB2BD8" w:rsidRDefault="00EB2BD8">
            <w:pPr>
              <w:pStyle w:val="TableParagraph"/>
              <w:spacing w:before="53"/>
              <w:ind w:right="484"/>
              <w:jc w:val="right"/>
              <w:rPr>
                <w:rFonts w:ascii="Arial"/>
                <w:b/>
                <w:sz w:val="16"/>
              </w:rPr>
            </w:pPr>
            <w:r w:rsidRPr="00EB2BD8">
              <w:rPr>
                <w:rFonts w:ascii="Arial"/>
                <w:b/>
                <w:spacing w:val="-5"/>
                <w:w w:val="105"/>
                <w:sz w:val="16"/>
              </w:rPr>
              <w:t>142</w:t>
            </w:r>
          </w:p>
        </w:tc>
        <w:tc>
          <w:tcPr>
            <w:tcW w:w="1101" w:type="dxa"/>
            <w:tcBorders>
              <w:top w:val="single" w:sz="12" w:space="0" w:color="000000"/>
              <w:bottom w:val="single" w:sz="12" w:space="0" w:color="000000"/>
            </w:tcBorders>
            <w:shd w:val="clear" w:color="auto" w:fill="DEEAF6"/>
          </w:tcPr>
          <w:p w14:paraId="4F8458D8" w14:textId="77777777" w:rsidR="00084F36" w:rsidRPr="00EB2BD8" w:rsidRDefault="00EB2BD8">
            <w:pPr>
              <w:pStyle w:val="TableParagraph"/>
              <w:spacing w:before="53"/>
              <w:ind w:right="99"/>
              <w:jc w:val="right"/>
              <w:rPr>
                <w:rFonts w:ascii="Arial"/>
                <w:b/>
                <w:sz w:val="16"/>
              </w:rPr>
            </w:pPr>
            <w:r w:rsidRPr="00EB2BD8">
              <w:rPr>
                <w:rFonts w:ascii="Arial"/>
                <w:b/>
                <w:spacing w:val="-2"/>
                <w:w w:val="105"/>
                <w:sz w:val="16"/>
              </w:rPr>
              <w:t>59,795</w:t>
            </w:r>
          </w:p>
        </w:tc>
      </w:tr>
    </w:tbl>
    <w:p w14:paraId="7B97A54D" w14:textId="77777777" w:rsidR="00084F36" w:rsidRPr="00EB2BD8" w:rsidRDefault="00084F36">
      <w:pPr>
        <w:pStyle w:val="BodyText"/>
        <w:spacing w:before="8"/>
        <w:rPr>
          <w:rFonts w:ascii="Arial"/>
          <w:sz w:val="17"/>
        </w:rPr>
      </w:pPr>
    </w:p>
    <w:p w14:paraId="03AD70D7" w14:textId="77777777" w:rsidR="00084F36" w:rsidRPr="00EB2BD8" w:rsidRDefault="00EB2BD8">
      <w:pPr>
        <w:spacing w:after="56"/>
        <w:ind w:left="9650"/>
        <w:rPr>
          <w:rFonts w:ascii="Arial" w:hAnsi="Arial"/>
          <w:sz w:val="16"/>
        </w:rPr>
      </w:pPr>
      <w:r w:rsidRPr="00EB2BD8">
        <w:rPr>
          <w:rFonts w:ascii="Arial" w:hAnsi="Arial"/>
          <w:spacing w:val="-2"/>
          <w:w w:val="105"/>
          <w:sz w:val="16"/>
        </w:rPr>
        <w:t>($’000)</w:t>
      </w:r>
    </w:p>
    <w:tbl>
      <w:tblPr>
        <w:tblW w:w="0" w:type="auto"/>
        <w:tblInd w:w="1049" w:type="dxa"/>
        <w:tblLayout w:type="fixed"/>
        <w:tblCellMar>
          <w:left w:w="0" w:type="dxa"/>
          <w:right w:w="0" w:type="dxa"/>
        </w:tblCellMar>
        <w:tblLook w:val="01E0" w:firstRow="1" w:lastRow="1" w:firstColumn="1" w:lastColumn="1" w:noHBand="0" w:noVBand="0"/>
      </w:tblPr>
      <w:tblGrid>
        <w:gridCol w:w="2711"/>
        <w:gridCol w:w="1966"/>
        <w:gridCol w:w="1323"/>
        <w:gridCol w:w="3234"/>
      </w:tblGrid>
      <w:tr w:rsidR="00EB2BD8" w:rsidRPr="00EB2BD8" w14:paraId="0404A391" w14:textId="77777777">
        <w:trPr>
          <w:trHeight w:val="946"/>
        </w:trPr>
        <w:tc>
          <w:tcPr>
            <w:tcW w:w="2711" w:type="dxa"/>
            <w:shd w:val="clear" w:color="auto" w:fill="0070C0"/>
          </w:tcPr>
          <w:p w14:paraId="2FCE90F1" w14:textId="77777777" w:rsidR="00084F36" w:rsidRPr="00EB2BD8" w:rsidRDefault="00084F36">
            <w:pPr>
              <w:pStyle w:val="TableParagraph"/>
              <w:rPr>
                <w:rFonts w:ascii="Arial"/>
                <w:sz w:val="18"/>
              </w:rPr>
            </w:pPr>
          </w:p>
          <w:p w14:paraId="229B472B" w14:textId="77777777" w:rsidR="00084F36" w:rsidRPr="00EB2BD8" w:rsidRDefault="00084F36">
            <w:pPr>
              <w:pStyle w:val="TableParagraph"/>
              <w:rPr>
                <w:rFonts w:ascii="Arial"/>
                <w:sz w:val="18"/>
              </w:rPr>
            </w:pPr>
          </w:p>
          <w:p w14:paraId="3A05F963" w14:textId="77777777" w:rsidR="00084F36" w:rsidRPr="00EB2BD8" w:rsidRDefault="00084F36">
            <w:pPr>
              <w:pStyle w:val="TableParagraph"/>
              <w:rPr>
                <w:rFonts w:ascii="Arial"/>
                <w:sz w:val="18"/>
              </w:rPr>
            </w:pPr>
          </w:p>
          <w:p w14:paraId="123D30B8" w14:textId="77777777" w:rsidR="00084F36" w:rsidRPr="00EB2BD8" w:rsidRDefault="00EB2BD8">
            <w:pPr>
              <w:pStyle w:val="TableParagraph"/>
              <w:spacing w:before="138" w:line="167" w:lineRule="exact"/>
              <w:ind w:left="100"/>
              <w:rPr>
                <w:rFonts w:ascii="Arial"/>
                <w:b/>
                <w:sz w:val="16"/>
              </w:rPr>
            </w:pPr>
            <w:r w:rsidRPr="00EB2BD8">
              <w:rPr>
                <w:rFonts w:ascii="Arial"/>
                <w:b/>
                <w:spacing w:val="-4"/>
                <w:w w:val="105"/>
                <w:sz w:val="16"/>
              </w:rPr>
              <w:t>2022</w:t>
            </w:r>
          </w:p>
        </w:tc>
        <w:tc>
          <w:tcPr>
            <w:tcW w:w="1966" w:type="dxa"/>
            <w:shd w:val="clear" w:color="auto" w:fill="0070C0"/>
          </w:tcPr>
          <w:p w14:paraId="5082CFF2" w14:textId="77777777" w:rsidR="00084F36" w:rsidRPr="00EB2BD8" w:rsidRDefault="00084F36">
            <w:pPr>
              <w:pStyle w:val="TableParagraph"/>
              <w:spacing w:before="7"/>
              <w:rPr>
                <w:rFonts w:ascii="Arial"/>
                <w:sz w:val="15"/>
              </w:rPr>
            </w:pPr>
          </w:p>
          <w:p w14:paraId="45704D3B" w14:textId="77777777" w:rsidR="00084F36" w:rsidRPr="00EB2BD8" w:rsidRDefault="00EB2BD8">
            <w:pPr>
              <w:pStyle w:val="TableParagraph"/>
              <w:spacing w:line="252" w:lineRule="auto"/>
              <w:ind w:left="911" w:right="146" w:firstLine="176"/>
              <w:jc w:val="right"/>
              <w:rPr>
                <w:rFonts w:ascii="Arial"/>
                <w:b/>
                <w:sz w:val="16"/>
              </w:rPr>
            </w:pPr>
            <w:r w:rsidRPr="00EB2BD8">
              <w:rPr>
                <w:rFonts w:ascii="Arial"/>
                <w:b/>
                <w:spacing w:val="-2"/>
                <w:w w:val="105"/>
                <w:sz w:val="16"/>
              </w:rPr>
              <w:t xml:space="preserve">Financial institutions </w:t>
            </w:r>
            <w:r w:rsidRPr="00EB2BD8">
              <w:rPr>
                <w:rFonts w:ascii="Arial"/>
                <w:b/>
                <w:w w:val="105"/>
                <w:sz w:val="16"/>
              </w:rPr>
              <w:t>(A+ credit</w:t>
            </w:r>
          </w:p>
          <w:p w14:paraId="004FB3DE" w14:textId="77777777" w:rsidR="00084F36" w:rsidRPr="00EB2BD8" w:rsidRDefault="00EB2BD8">
            <w:pPr>
              <w:pStyle w:val="TableParagraph"/>
              <w:spacing w:line="166" w:lineRule="exact"/>
              <w:ind w:right="146"/>
              <w:jc w:val="right"/>
              <w:rPr>
                <w:rFonts w:ascii="Arial"/>
                <w:b/>
                <w:sz w:val="16"/>
              </w:rPr>
            </w:pPr>
            <w:r w:rsidRPr="00EB2BD8">
              <w:rPr>
                <w:rFonts w:ascii="Arial"/>
                <w:b/>
                <w:spacing w:val="-2"/>
                <w:w w:val="105"/>
                <w:sz w:val="16"/>
              </w:rPr>
              <w:t>rating)</w:t>
            </w:r>
          </w:p>
        </w:tc>
        <w:tc>
          <w:tcPr>
            <w:tcW w:w="1323" w:type="dxa"/>
            <w:shd w:val="clear" w:color="auto" w:fill="0070C0"/>
          </w:tcPr>
          <w:p w14:paraId="0CB4008D" w14:textId="77777777" w:rsidR="00084F36" w:rsidRPr="00EB2BD8" w:rsidRDefault="00084F36">
            <w:pPr>
              <w:pStyle w:val="TableParagraph"/>
              <w:spacing w:before="7"/>
              <w:rPr>
                <w:rFonts w:ascii="Arial"/>
                <w:sz w:val="15"/>
              </w:rPr>
            </w:pPr>
          </w:p>
          <w:p w14:paraId="7085DDD7" w14:textId="77777777" w:rsidR="00084F36" w:rsidRPr="00EB2BD8" w:rsidRDefault="00EB2BD8">
            <w:pPr>
              <w:pStyle w:val="TableParagraph"/>
              <w:spacing w:line="252" w:lineRule="auto"/>
              <w:ind w:left="456" w:right="146" w:hanging="273"/>
              <w:jc w:val="both"/>
              <w:rPr>
                <w:rFonts w:ascii="Arial"/>
                <w:b/>
                <w:sz w:val="16"/>
              </w:rPr>
            </w:pPr>
            <w:r w:rsidRPr="00EB2BD8">
              <w:rPr>
                <w:rFonts w:ascii="Arial"/>
                <w:b/>
                <w:spacing w:val="-2"/>
                <w:w w:val="105"/>
                <w:sz w:val="16"/>
              </w:rPr>
              <w:t>Government agencies (triple-A</w:t>
            </w:r>
          </w:p>
          <w:p w14:paraId="5A9C674C" w14:textId="77777777" w:rsidR="00084F36" w:rsidRPr="00EB2BD8" w:rsidRDefault="00EB2BD8">
            <w:pPr>
              <w:pStyle w:val="TableParagraph"/>
              <w:spacing w:line="166" w:lineRule="exact"/>
              <w:ind w:left="147"/>
              <w:jc w:val="both"/>
              <w:rPr>
                <w:rFonts w:ascii="Arial"/>
                <w:b/>
                <w:sz w:val="16"/>
              </w:rPr>
            </w:pPr>
            <w:r w:rsidRPr="00EB2BD8">
              <w:rPr>
                <w:rFonts w:ascii="Arial"/>
                <w:b/>
                <w:w w:val="105"/>
                <w:sz w:val="16"/>
              </w:rPr>
              <w:t>credit</w:t>
            </w:r>
            <w:r w:rsidRPr="00EB2BD8">
              <w:rPr>
                <w:rFonts w:ascii="Arial"/>
                <w:b/>
                <w:spacing w:val="-8"/>
                <w:w w:val="105"/>
                <w:sz w:val="16"/>
              </w:rPr>
              <w:t xml:space="preserve"> </w:t>
            </w:r>
            <w:r w:rsidRPr="00EB2BD8">
              <w:rPr>
                <w:rFonts w:ascii="Arial"/>
                <w:b/>
                <w:spacing w:val="-2"/>
                <w:w w:val="105"/>
                <w:sz w:val="16"/>
              </w:rPr>
              <w:t>rating)</w:t>
            </w:r>
          </w:p>
        </w:tc>
        <w:tc>
          <w:tcPr>
            <w:tcW w:w="3234" w:type="dxa"/>
            <w:shd w:val="clear" w:color="auto" w:fill="0070C0"/>
          </w:tcPr>
          <w:p w14:paraId="3D33B663" w14:textId="77777777" w:rsidR="00084F36" w:rsidRPr="00EB2BD8" w:rsidRDefault="00084F36">
            <w:pPr>
              <w:pStyle w:val="TableParagraph"/>
              <w:spacing w:before="7"/>
              <w:rPr>
                <w:rFonts w:ascii="Arial"/>
                <w:sz w:val="15"/>
              </w:rPr>
            </w:pPr>
          </w:p>
          <w:p w14:paraId="03E8BD66" w14:textId="77777777" w:rsidR="00084F36" w:rsidRPr="00EB2BD8" w:rsidRDefault="00EB2BD8">
            <w:pPr>
              <w:pStyle w:val="TableParagraph"/>
              <w:tabs>
                <w:tab w:val="left" w:pos="1663"/>
                <w:tab w:val="left" w:pos="1914"/>
              </w:tabs>
              <w:spacing w:line="252" w:lineRule="auto"/>
              <w:ind w:left="456" w:right="871" w:hanging="273"/>
              <w:jc w:val="both"/>
              <w:rPr>
                <w:rFonts w:ascii="Arial"/>
                <w:b/>
                <w:sz w:val="16"/>
              </w:rPr>
            </w:pPr>
            <w:r w:rsidRPr="00EB2BD8">
              <w:rPr>
                <w:rFonts w:ascii="Arial"/>
                <w:b/>
                <w:spacing w:val="-2"/>
                <w:w w:val="105"/>
                <w:sz w:val="16"/>
              </w:rPr>
              <w:t>Government</w:t>
            </w:r>
            <w:r w:rsidRPr="00EB2BD8">
              <w:rPr>
                <w:rFonts w:ascii="Arial"/>
                <w:b/>
                <w:sz w:val="16"/>
              </w:rPr>
              <w:tab/>
            </w:r>
            <w:r w:rsidRPr="00EB2BD8">
              <w:rPr>
                <w:rFonts w:ascii="Arial"/>
                <w:b/>
                <w:sz w:val="16"/>
              </w:rPr>
              <w:tab/>
            </w:r>
            <w:r w:rsidRPr="00EB2BD8">
              <w:rPr>
                <w:rFonts w:ascii="Arial"/>
                <w:b/>
                <w:spacing w:val="-2"/>
                <w:w w:val="105"/>
                <w:sz w:val="16"/>
              </w:rPr>
              <w:t xml:space="preserve">Other </w:t>
            </w:r>
            <w:r w:rsidRPr="00EB2BD8">
              <w:rPr>
                <w:rFonts w:ascii="Arial"/>
                <w:b/>
                <w:w w:val="105"/>
                <w:sz w:val="16"/>
              </w:rPr>
              <w:t>agencies</w:t>
            </w:r>
            <w:r w:rsidRPr="00EB2BD8">
              <w:rPr>
                <w:rFonts w:ascii="Arial"/>
                <w:b/>
                <w:spacing w:val="40"/>
                <w:w w:val="105"/>
                <w:sz w:val="16"/>
              </w:rPr>
              <w:t xml:space="preserve"> </w:t>
            </w:r>
            <w:r w:rsidRPr="00EB2BD8">
              <w:rPr>
                <w:rFonts w:ascii="Arial"/>
                <w:b/>
                <w:w w:val="105"/>
                <w:sz w:val="16"/>
              </w:rPr>
              <w:t>(min</w:t>
            </w:r>
            <w:r w:rsidRPr="00EB2BD8">
              <w:rPr>
                <w:rFonts w:ascii="Arial"/>
                <w:b/>
                <w:spacing w:val="-6"/>
                <w:w w:val="105"/>
                <w:sz w:val="16"/>
              </w:rPr>
              <w:t xml:space="preserve"> </w:t>
            </w:r>
            <w:r w:rsidRPr="00EB2BD8">
              <w:rPr>
                <w:rFonts w:ascii="Arial"/>
                <w:b/>
                <w:w w:val="105"/>
                <w:sz w:val="16"/>
              </w:rPr>
              <w:t xml:space="preserve">triple- </w:t>
            </w:r>
            <w:r w:rsidRPr="00EB2BD8">
              <w:rPr>
                <w:rFonts w:ascii="Arial"/>
                <w:b/>
                <w:spacing w:val="-2"/>
                <w:w w:val="105"/>
                <w:sz w:val="16"/>
              </w:rPr>
              <w:t>(triple-B</w:t>
            </w:r>
            <w:r w:rsidRPr="00EB2BD8">
              <w:rPr>
                <w:rFonts w:ascii="Arial"/>
                <w:b/>
                <w:sz w:val="16"/>
              </w:rPr>
              <w:tab/>
            </w:r>
            <w:r w:rsidRPr="00EB2BD8">
              <w:rPr>
                <w:rFonts w:ascii="Arial"/>
                <w:b/>
                <w:w w:val="105"/>
                <w:sz w:val="16"/>
              </w:rPr>
              <w:t>B credit</w:t>
            </w:r>
          </w:p>
          <w:p w14:paraId="12B6A5D5" w14:textId="77777777" w:rsidR="00084F36" w:rsidRPr="00EB2BD8" w:rsidRDefault="00EB2BD8">
            <w:pPr>
              <w:pStyle w:val="TableParagraph"/>
              <w:tabs>
                <w:tab w:val="left" w:pos="1839"/>
              </w:tabs>
              <w:spacing w:line="166" w:lineRule="exact"/>
              <w:ind w:left="147"/>
              <w:jc w:val="both"/>
              <w:rPr>
                <w:rFonts w:ascii="Arial"/>
                <w:b/>
                <w:sz w:val="16"/>
              </w:rPr>
            </w:pPr>
            <w:r w:rsidRPr="00EB2BD8">
              <w:rPr>
                <w:rFonts w:ascii="Arial"/>
                <w:b/>
                <w:w w:val="105"/>
                <w:sz w:val="16"/>
              </w:rPr>
              <w:t>credit</w:t>
            </w:r>
            <w:r w:rsidRPr="00EB2BD8">
              <w:rPr>
                <w:rFonts w:ascii="Arial"/>
                <w:b/>
                <w:spacing w:val="-8"/>
                <w:w w:val="105"/>
                <w:sz w:val="16"/>
              </w:rPr>
              <w:t xml:space="preserve"> </w:t>
            </w:r>
            <w:r w:rsidRPr="00EB2BD8">
              <w:rPr>
                <w:rFonts w:ascii="Arial"/>
                <w:b/>
                <w:spacing w:val="-2"/>
                <w:w w:val="105"/>
                <w:sz w:val="16"/>
              </w:rPr>
              <w:t>rating)</w:t>
            </w:r>
            <w:r w:rsidRPr="00EB2BD8">
              <w:rPr>
                <w:rFonts w:ascii="Arial"/>
                <w:b/>
                <w:sz w:val="16"/>
              </w:rPr>
              <w:tab/>
            </w:r>
            <w:r w:rsidRPr="00EB2BD8">
              <w:rPr>
                <w:rFonts w:ascii="Arial"/>
                <w:b/>
                <w:w w:val="105"/>
                <w:sz w:val="16"/>
              </w:rPr>
              <w:t>rating)</w:t>
            </w:r>
            <w:r w:rsidRPr="00EB2BD8">
              <w:rPr>
                <w:rFonts w:ascii="Arial"/>
                <w:b/>
                <w:spacing w:val="74"/>
                <w:w w:val="105"/>
                <w:sz w:val="16"/>
              </w:rPr>
              <w:t xml:space="preserve">   </w:t>
            </w:r>
            <w:r w:rsidRPr="00EB2BD8">
              <w:rPr>
                <w:rFonts w:ascii="Arial"/>
                <w:b/>
                <w:spacing w:val="-2"/>
                <w:w w:val="105"/>
                <w:sz w:val="16"/>
              </w:rPr>
              <w:t>Total</w:t>
            </w:r>
          </w:p>
        </w:tc>
      </w:tr>
      <w:tr w:rsidR="00EB2BD8" w:rsidRPr="00EB2BD8" w14:paraId="3222B325" w14:textId="77777777">
        <w:trPr>
          <w:trHeight w:val="319"/>
        </w:trPr>
        <w:tc>
          <w:tcPr>
            <w:tcW w:w="2711" w:type="dxa"/>
            <w:shd w:val="clear" w:color="auto" w:fill="FFFFFF"/>
          </w:tcPr>
          <w:p w14:paraId="41039438" w14:textId="77777777" w:rsidR="00084F36" w:rsidRPr="00EB2BD8" w:rsidRDefault="00EB2BD8">
            <w:pPr>
              <w:pStyle w:val="TableParagraph"/>
              <w:spacing w:before="68"/>
              <w:ind w:left="100"/>
              <w:rPr>
                <w:rFonts w:ascii="Arial"/>
                <w:b/>
                <w:sz w:val="16"/>
              </w:rPr>
            </w:pPr>
            <w:r w:rsidRPr="00EB2BD8">
              <w:rPr>
                <w:rFonts w:ascii="Arial"/>
                <w:b/>
                <w:w w:val="105"/>
                <w:sz w:val="16"/>
              </w:rPr>
              <w:t>Financial</w:t>
            </w:r>
            <w:r w:rsidRPr="00EB2BD8">
              <w:rPr>
                <w:rFonts w:ascii="Arial"/>
                <w:b/>
                <w:spacing w:val="-11"/>
                <w:w w:val="105"/>
                <w:sz w:val="16"/>
              </w:rPr>
              <w:t xml:space="preserve"> </w:t>
            </w:r>
            <w:r w:rsidRPr="00EB2BD8">
              <w:rPr>
                <w:rFonts w:ascii="Arial"/>
                <w:b/>
                <w:spacing w:val="-2"/>
                <w:w w:val="105"/>
                <w:sz w:val="16"/>
              </w:rPr>
              <w:t>assets</w:t>
            </w:r>
          </w:p>
        </w:tc>
        <w:tc>
          <w:tcPr>
            <w:tcW w:w="1966" w:type="dxa"/>
            <w:shd w:val="clear" w:color="auto" w:fill="FFFFFF"/>
          </w:tcPr>
          <w:p w14:paraId="4159F811" w14:textId="77777777" w:rsidR="00084F36" w:rsidRPr="00EB2BD8" w:rsidRDefault="00084F36">
            <w:pPr>
              <w:pStyle w:val="TableParagraph"/>
              <w:rPr>
                <w:rFonts w:ascii="Times New Roman"/>
                <w:sz w:val="16"/>
              </w:rPr>
            </w:pPr>
          </w:p>
        </w:tc>
        <w:tc>
          <w:tcPr>
            <w:tcW w:w="1323" w:type="dxa"/>
            <w:shd w:val="clear" w:color="auto" w:fill="FFFFFF"/>
          </w:tcPr>
          <w:p w14:paraId="338E8835" w14:textId="77777777" w:rsidR="00084F36" w:rsidRPr="00EB2BD8" w:rsidRDefault="00084F36">
            <w:pPr>
              <w:pStyle w:val="TableParagraph"/>
              <w:rPr>
                <w:rFonts w:ascii="Times New Roman"/>
                <w:sz w:val="16"/>
              </w:rPr>
            </w:pPr>
          </w:p>
        </w:tc>
        <w:tc>
          <w:tcPr>
            <w:tcW w:w="3234" w:type="dxa"/>
            <w:shd w:val="clear" w:color="auto" w:fill="FFFFFF"/>
          </w:tcPr>
          <w:p w14:paraId="7E0C1F88" w14:textId="77777777" w:rsidR="00084F36" w:rsidRPr="00EB2BD8" w:rsidRDefault="00084F36">
            <w:pPr>
              <w:pStyle w:val="TableParagraph"/>
              <w:rPr>
                <w:rFonts w:ascii="Times New Roman"/>
                <w:sz w:val="16"/>
              </w:rPr>
            </w:pPr>
          </w:p>
        </w:tc>
      </w:tr>
      <w:tr w:rsidR="00EB2BD8" w:rsidRPr="00EB2BD8" w14:paraId="1A7874A6" w14:textId="77777777">
        <w:trPr>
          <w:trHeight w:val="317"/>
        </w:trPr>
        <w:tc>
          <w:tcPr>
            <w:tcW w:w="2711" w:type="dxa"/>
            <w:shd w:val="clear" w:color="auto" w:fill="FFFFFF"/>
          </w:tcPr>
          <w:p w14:paraId="783F6D54" w14:textId="77777777" w:rsidR="00084F36" w:rsidRPr="00EB2BD8" w:rsidRDefault="00EB2BD8">
            <w:pPr>
              <w:pStyle w:val="TableParagraph"/>
              <w:spacing w:before="67"/>
              <w:ind w:left="100"/>
              <w:rPr>
                <w:rFonts w:ascii="Arial"/>
                <w:sz w:val="16"/>
              </w:rPr>
            </w:pPr>
            <w:r w:rsidRPr="00EB2BD8">
              <w:rPr>
                <w:rFonts w:ascii="Arial"/>
                <w:w w:val="105"/>
                <w:sz w:val="16"/>
              </w:rPr>
              <w:t>Cash</w:t>
            </w:r>
            <w:r w:rsidRPr="00EB2BD8">
              <w:rPr>
                <w:rFonts w:ascii="Arial"/>
                <w:spacing w:val="-5"/>
                <w:w w:val="105"/>
                <w:sz w:val="16"/>
              </w:rPr>
              <w:t xml:space="preserve"> </w:t>
            </w:r>
            <w:r w:rsidRPr="00EB2BD8">
              <w:rPr>
                <w:rFonts w:ascii="Arial"/>
                <w:w w:val="105"/>
                <w:sz w:val="16"/>
              </w:rPr>
              <w:t>and</w:t>
            </w:r>
            <w:r w:rsidRPr="00EB2BD8">
              <w:rPr>
                <w:rFonts w:ascii="Arial"/>
                <w:spacing w:val="-5"/>
                <w:w w:val="105"/>
                <w:sz w:val="16"/>
              </w:rPr>
              <w:t xml:space="preserve"> </w:t>
            </w:r>
            <w:r w:rsidRPr="00EB2BD8">
              <w:rPr>
                <w:rFonts w:ascii="Arial"/>
                <w:spacing w:val="-2"/>
                <w:w w:val="105"/>
                <w:sz w:val="16"/>
              </w:rPr>
              <w:t>deposits</w:t>
            </w:r>
          </w:p>
        </w:tc>
        <w:tc>
          <w:tcPr>
            <w:tcW w:w="1966" w:type="dxa"/>
            <w:shd w:val="clear" w:color="auto" w:fill="FFFFFF"/>
          </w:tcPr>
          <w:p w14:paraId="34521605" w14:textId="77777777" w:rsidR="00084F36" w:rsidRPr="00EB2BD8" w:rsidRDefault="00EB2BD8">
            <w:pPr>
              <w:pStyle w:val="TableParagraph"/>
              <w:spacing w:before="67"/>
              <w:ind w:right="147"/>
              <w:jc w:val="right"/>
              <w:rPr>
                <w:rFonts w:ascii="Arial"/>
                <w:sz w:val="16"/>
              </w:rPr>
            </w:pPr>
            <w:r w:rsidRPr="00EB2BD8">
              <w:rPr>
                <w:rFonts w:ascii="Arial"/>
                <w:spacing w:val="-2"/>
                <w:w w:val="105"/>
                <w:sz w:val="16"/>
              </w:rPr>
              <w:t>39,542</w:t>
            </w:r>
          </w:p>
        </w:tc>
        <w:tc>
          <w:tcPr>
            <w:tcW w:w="1323" w:type="dxa"/>
            <w:shd w:val="clear" w:color="auto" w:fill="FFFFFF"/>
          </w:tcPr>
          <w:p w14:paraId="4C2383E0" w14:textId="77777777" w:rsidR="00084F36" w:rsidRPr="00EB2BD8" w:rsidRDefault="00EB2BD8">
            <w:pPr>
              <w:pStyle w:val="TableParagraph"/>
              <w:spacing w:before="67"/>
              <w:ind w:right="147"/>
              <w:jc w:val="right"/>
              <w:rPr>
                <w:rFonts w:ascii="Arial"/>
                <w:sz w:val="16"/>
              </w:rPr>
            </w:pPr>
            <w:r w:rsidRPr="00EB2BD8">
              <w:rPr>
                <w:rFonts w:ascii="Arial"/>
                <w:w w:val="104"/>
                <w:sz w:val="16"/>
              </w:rPr>
              <w:t>-</w:t>
            </w:r>
          </w:p>
        </w:tc>
        <w:tc>
          <w:tcPr>
            <w:tcW w:w="3234" w:type="dxa"/>
            <w:shd w:val="clear" w:color="auto" w:fill="FFFFFF"/>
          </w:tcPr>
          <w:p w14:paraId="0986FBD9" w14:textId="77777777" w:rsidR="00084F36" w:rsidRPr="00EB2BD8" w:rsidRDefault="00EB2BD8">
            <w:pPr>
              <w:pStyle w:val="TableParagraph"/>
              <w:tabs>
                <w:tab w:val="left" w:pos="1056"/>
                <w:tab w:val="left" w:pos="1498"/>
              </w:tabs>
              <w:spacing w:before="67"/>
              <w:ind w:right="101"/>
              <w:jc w:val="right"/>
              <w:rPr>
                <w:rFonts w:ascii="Arial"/>
                <w:sz w:val="16"/>
              </w:rPr>
            </w:pPr>
            <w:r w:rsidRPr="00EB2BD8">
              <w:rPr>
                <w:rFonts w:ascii="Arial"/>
                <w:spacing w:val="-10"/>
                <w:w w:val="105"/>
                <w:sz w:val="16"/>
              </w:rPr>
              <w:t>-</w:t>
            </w:r>
            <w:r w:rsidRPr="00EB2BD8">
              <w:rPr>
                <w:rFonts w:ascii="Arial"/>
                <w:sz w:val="16"/>
              </w:rPr>
              <w:tab/>
            </w:r>
            <w:r w:rsidRPr="00EB2BD8">
              <w:rPr>
                <w:rFonts w:ascii="Arial"/>
                <w:spacing w:val="-10"/>
                <w:w w:val="105"/>
                <w:sz w:val="16"/>
              </w:rPr>
              <w:t>-</w:t>
            </w:r>
            <w:r w:rsidRPr="00EB2BD8">
              <w:rPr>
                <w:rFonts w:ascii="Arial"/>
                <w:sz w:val="16"/>
              </w:rPr>
              <w:tab/>
            </w:r>
            <w:r w:rsidRPr="00EB2BD8">
              <w:rPr>
                <w:rFonts w:ascii="Arial"/>
                <w:spacing w:val="-2"/>
                <w:w w:val="105"/>
                <w:sz w:val="16"/>
              </w:rPr>
              <w:t>39,542</w:t>
            </w:r>
          </w:p>
        </w:tc>
      </w:tr>
      <w:tr w:rsidR="00EB2BD8" w:rsidRPr="00EB2BD8" w14:paraId="687E227C" w14:textId="77777777">
        <w:trPr>
          <w:trHeight w:val="314"/>
        </w:trPr>
        <w:tc>
          <w:tcPr>
            <w:tcW w:w="2711" w:type="dxa"/>
            <w:tcBorders>
              <w:bottom w:val="single" w:sz="12" w:space="0" w:color="000000"/>
            </w:tcBorders>
            <w:shd w:val="clear" w:color="auto" w:fill="FFFFFF"/>
          </w:tcPr>
          <w:p w14:paraId="1A1FBC5B" w14:textId="77777777" w:rsidR="00084F36" w:rsidRPr="00EB2BD8" w:rsidRDefault="00EB2BD8">
            <w:pPr>
              <w:pStyle w:val="TableParagraph"/>
              <w:spacing w:before="66"/>
              <w:ind w:left="100"/>
              <w:rPr>
                <w:rFonts w:ascii="Arial"/>
                <w:sz w:val="16"/>
              </w:rPr>
            </w:pPr>
            <w:r w:rsidRPr="00EB2BD8">
              <w:rPr>
                <w:rFonts w:ascii="Arial"/>
                <w:w w:val="105"/>
                <w:sz w:val="16"/>
              </w:rPr>
              <w:t>Other</w:t>
            </w:r>
            <w:r w:rsidRPr="00EB2BD8">
              <w:rPr>
                <w:rFonts w:ascii="Arial"/>
                <w:spacing w:val="-7"/>
                <w:w w:val="105"/>
                <w:sz w:val="16"/>
              </w:rPr>
              <w:t xml:space="preserve"> </w:t>
            </w:r>
            <w:r w:rsidRPr="00EB2BD8">
              <w:rPr>
                <w:rFonts w:ascii="Arial"/>
                <w:spacing w:val="-2"/>
                <w:w w:val="105"/>
                <w:sz w:val="16"/>
              </w:rPr>
              <w:t>Receivables</w:t>
            </w:r>
          </w:p>
        </w:tc>
        <w:tc>
          <w:tcPr>
            <w:tcW w:w="1966" w:type="dxa"/>
            <w:tcBorders>
              <w:bottom w:val="single" w:sz="12" w:space="0" w:color="000000"/>
            </w:tcBorders>
            <w:shd w:val="clear" w:color="auto" w:fill="FFFFFF"/>
          </w:tcPr>
          <w:p w14:paraId="4E899D70" w14:textId="77777777" w:rsidR="00084F36" w:rsidRPr="00EB2BD8" w:rsidRDefault="00EB2BD8">
            <w:pPr>
              <w:pStyle w:val="TableParagraph"/>
              <w:spacing w:before="66"/>
              <w:ind w:right="146"/>
              <w:jc w:val="right"/>
              <w:rPr>
                <w:rFonts w:ascii="Arial"/>
                <w:sz w:val="16"/>
              </w:rPr>
            </w:pPr>
            <w:r w:rsidRPr="00EB2BD8">
              <w:rPr>
                <w:rFonts w:ascii="Arial"/>
                <w:w w:val="104"/>
                <w:sz w:val="16"/>
              </w:rPr>
              <w:t>-</w:t>
            </w:r>
          </w:p>
        </w:tc>
        <w:tc>
          <w:tcPr>
            <w:tcW w:w="1323" w:type="dxa"/>
            <w:tcBorders>
              <w:bottom w:val="single" w:sz="12" w:space="0" w:color="000000"/>
            </w:tcBorders>
            <w:shd w:val="clear" w:color="auto" w:fill="FFFFFF"/>
          </w:tcPr>
          <w:p w14:paraId="1069BC3D" w14:textId="77777777" w:rsidR="00084F36" w:rsidRPr="00EB2BD8" w:rsidRDefault="00EB2BD8">
            <w:pPr>
              <w:pStyle w:val="TableParagraph"/>
              <w:spacing w:before="66"/>
              <w:ind w:right="147"/>
              <w:jc w:val="right"/>
              <w:rPr>
                <w:rFonts w:ascii="Arial"/>
                <w:sz w:val="16"/>
              </w:rPr>
            </w:pPr>
            <w:r w:rsidRPr="00EB2BD8">
              <w:rPr>
                <w:rFonts w:ascii="Arial"/>
                <w:w w:val="104"/>
                <w:sz w:val="16"/>
              </w:rPr>
              <w:t>-</w:t>
            </w:r>
          </w:p>
        </w:tc>
        <w:tc>
          <w:tcPr>
            <w:tcW w:w="3234" w:type="dxa"/>
            <w:tcBorders>
              <w:bottom w:val="single" w:sz="12" w:space="0" w:color="000000"/>
            </w:tcBorders>
            <w:shd w:val="clear" w:color="auto" w:fill="FFFFFF"/>
          </w:tcPr>
          <w:p w14:paraId="43672EE0" w14:textId="77777777" w:rsidR="00084F36" w:rsidRPr="00EB2BD8" w:rsidRDefault="00EB2BD8">
            <w:pPr>
              <w:pStyle w:val="TableParagraph"/>
              <w:tabs>
                <w:tab w:val="left" w:pos="832"/>
                <w:tab w:val="left" w:pos="1733"/>
              </w:tabs>
              <w:spacing w:before="66"/>
              <w:ind w:right="102"/>
              <w:jc w:val="right"/>
              <w:rPr>
                <w:rFonts w:ascii="Arial"/>
                <w:sz w:val="16"/>
              </w:rPr>
            </w:pPr>
            <w:r w:rsidRPr="00EB2BD8">
              <w:rPr>
                <w:rFonts w:ascii="Arial"/>
                <w:spacing w:val="-10"/>
                <w:w w:val="105"/>
                <w:sz w:val="16"/>
              </w:rPr>
              <w:t>-</w:t>
            </w:r>
            <w:r w:rsidRPr="00EB2BD8">
              <w:rPr>
                <w:rFonts w:ascii="Arial"/>
                <w:sz w:val="16"/>
              </w:rPr>
              <w:tab/>
            </w:r>
            <w:r w:rsidRPr="00EB2BD8">
              <w:rPr>
                <w:rFonts w:ascii="Arial"/>
                <w:spacing w:val="-5"/>
                <w:w w:val="105"/>
                <w:sz w:val="16"/>
              </w:rPr>
              <w:t>340</w:t>
            </w:r>
            <w:r w:rsidRPr="00EB2BD8">
              <w:rPr>
                <w:rFonts w:ascii="Arial"/>
                <w:sz w:val="16"/>
              </w:rPr>
              <w:tab/>
            </w:r>
            <w:r w:rsidRPr="00EB2BD8">
              <w:rPr>
                <w:rFonts w:ascii="Arial"/>
                <w:spacing w:val="-5"/>
                <w:w w:val="105"/>
                <w:sz w:val="16"/>
              </w:rPr>
              <w:t>340</w:t>
            </w:r>
          </w:p>
        </w:tc>
      </w:tr>
      <w:tr w:rsidR="00EB2BD8" w:rsidRPr="00EB2BD8" w14:paraId="13B18A56" w14:textId="77777777">
        <w:trPr>
          <w:trHeight w:val="286"/>
        </w:trPr>
        <w:tc>
          <w:tcPr>
            <w:tcW w:w="2711" w:type="dxa"/>
            <w:tcBorders>
              <w:top w:val="single" w:sz="12" w:space="0" w:color="000000"/>
              <w:bottom w:val="single" w:sz="12" w:space="0" w:color="000000"/>
            </w:tcBorders>
            <w:shd w:val="clear" w:color="auto" w:fill="FFFFFF"/>
          </w:tcPr>
          <w:p w14:paraId="49FDEA74" w14:textId="77777777" w:rsidR="00084F36" w:rsidRPr="00EB2BD8" w:rsidRDefault="00EB2BD8">
            <w:pPr>
              <w:pStyle w:val="TableParagraph"/>
              <w:spacing w:before="53"/>
              <w:ind w:left="100"/>
              <w:rPr>
                <w:rFonts w:ascii="Arial"/>
                <w:b/>
                <w:sz w:val="16"/>
              </w:rPr>
            </w:pPr>
            <w:r w:rsidRPr="00EB2BD8">
              <w:rPr>
                <w:rFonts w:ascii="Arial"/>
                <w:b/>
                <w:w w:val="105"/>
                <w:sz w:val="16"/>
              </w:rPr>
              <w:t>Total</w:t>
            </w:r>
            <w:r w:rsidRPr="00EB2BD8">
              <w:rPr>
                <w:rFonts w:ascii="Arial"/>
                <w:b/>
                <w:spacing w:val="-8"/>
                <w:w w:val="105"/>
                <w:sz w:val="16"/>
              </w:rPr>
              <w:t xml:space="preserve"> </w:t>
            </w:r>
            <w:r w:rsidRPr="00EB2BD8">
              <w:rPr>
                <w:rFonts w:ascii="Arial"/>
                <w:b/>
                <w:w w:val="105"/>
                <w:sz w:val="16"/>
              </w:rPr>
              <w:t>financial</w:t>
            </w:r>
            <w:r w:rsidRPr="00EB2BD8">
              <w:rPr>
                <w:rFonts w:ascii="Arial"/>
                <w:b/>
                <w:spacing w:val="-9"/>
                <w:w w:val="105"/>
                <w:sz w:val="16"/>
              </w:rPr>
              <w:t xml:space="preserve"> </w:t>
            </w:r>
            <w:r w:rsidRPr="00EB2BD8">
              <w:rPr>
                <w:rFonts w:ascii="Arial"/>
                <w:b/>
                <w:spacing w:val="-2"/>
                <w:w w:val="105"/>
                <w:sz w:val="16"/>
              </w:rPr>
              <w:t>assets</w:t>
            </w:r>
          </w:p>
        </w:tc>
        <w:tc>
          <w:tcPr>
            <w:tcW w:w="1966" w:type="dxa"/>
            <w:tcBorders>
              <w:top w:val="single" w:sz="12" w:space="0" w:color="000000"/>
              <w:bottom w:val="single" w:sz="12" w:space="0" w:color="000000"/>
            </w:tcBorders>
            <w:shd w:val="clear" w:color="auto" w:fill="FFFFFF"/>
          </w:tcPr>
          <w:p w14:paraId="2D184433" w14:textId="77777777" w:rsidR="00084F36" w:rsidRPr="00EB2BD8" w:rsidRDefault="00EB2BD8">
            <w:pPr>
              <w:pStyle w:val="TableParagraph"/>
              <w:spacing w:before="53"/>
              <w:ind w:right="147"/>
              <w:jc w:val="right"/>
              <w:rPr>
                <w:rFonts w:ascii="Arial"/>
                <w:b/>
                <w:sz w:val="16"/>
              </w:rPr>
            </w:pPr>
            <w:r w:rsidRPr="00EB2BD8">
              <w:rPr>
                <w:rFonts w:ascii="Arial"/>
                <w:b/>
                <w:spacing w:val="-2"/>
                <w:w w:val="105"/>
                <w:sz w:val="16"/>
              </w:rPr>
              <w:t>39,542</w:t>
            </w:r>
          </w:p>
        </w:tc>
        <w:tc>
          <w:tcPr>
            <w:tcW w:w="1323" w:type="dxa"/>
            <w:tcBorders>
              <w:top w:val="single" w:sz="12" w:space="0" w:color="000000"/>
              <w:bottom w:val="single" w:sz="12" w:space="0" w:color="000000"/>
            </w:tcBorders>
            <w:shd w:val="clear" w:color="auto" w:fill="FFFFFF"/>
          </w:tcPr>
          <w:p w14:paraId="16FD2D20" w14:textId="77777777" w:rsidR="00084F36" w:rsidRPr="00EB2BD8" w:rsidRDefault="00EB2BD8">
            <w:pPr>
              <w:pStyle w:val="TableParagraph"/>
              <w:spacing w:before="53"/>
              <w:ind w:right="147"/>
              <w:jc w:val="right"/>
              <w:rPr>
                <w:rFonts w:ascii="Arial"/>
                <w:b/>
                <w:sz w:val="16"/>
              </w:rPr>
            </w:pPr>
            <w:r w:rsidRPr="00EB2BD8">
              <w:rPr>
                <w:rFonts w:ascii="Arial"/>
                <w:b/>
                <w:w w:val="104"/>
                <w:sz w:val="16"/>
              </w:rPr>
              <w:t>-</w:t>
            </w:r>
          </w:p>
        </w:tc>
        <w:tc>
          <w:tcPr>
            <w:tcW w:w="3234" w:type="dxa"/>
            <w:tcBorders>
              <w:top w:val="single" w:sz="12" w:space="0" w:color="000000"/>
              <w:bottom w:val="single" w:sz="12" w:space="0" w:color="000000"/>
            </w:tcBorders>
            <w:shd w:val="clear" w:color="auto" w:fill="FFFFFF"/>
          </w:tcPr>
          <w:p w14:paraId="09B8DAE0" w14:textId="77777777" w:rsidR="00084F36" w:rsidRPr="00EB2BD8" w:rsidRDefault="00EB2BD8">
            <w:pPr>
              <w:pStyle w:val="TableParagraph"/>
              <w:tabs>
                <w:tab w:val="left" w:pos="832"/>
                <w:tab w:val="left" w:pos="1499"/>
              </w:tabs>
              <w:spacing w:before="53"/>
              <w:ind w:right="101"/>
              <w:jc w:val="right"/>
              <w:rPr>
                <w:rFonts w:ascii="Arial"/>
                <w:b/>
                <w:sz w:val="16"/>
              </w:rPr>
            </w:pPr>
            <w:r w:rsidRPr="00EB2BD8">
              <w:rPr>
                <w:rFonts w:ascii="Arial"/>
                <w:b/>
                <w:spacing w:val="-10"/>
                <w:w w:val="105"/>
                <w:sz w:val="16"/>
              </w:rPr>
              <w:t>-</w:t>
            </w:r>
            <w:r w:rsidRPr="00EB2BD8">
              <w:rPr>
                <w:rFonts w:ascii="Arial"/>
                <w:b/>
                <w:sz w:val="16"/>
              </w:rPr>
              <w:tab/>
            </w:r>
            <w:r w:rsidRPr="00EB2BD8">
              <w:rPr>
                <w:rFonts w:ascii="Arial"/>
                <w:b/>
                <w:spacing w:val="-5"/>
                <w:w w:val="105"/>
                <w:sz w:val="16"/>
              </w:rPr>
              <w:t>340</w:t>
            </w:r>
            <w:r w:rsidRPr="00EB2BD8">
              <w:rPr>
                <w:rFonts w:ascii="Arial"/>
                <w:b/>
                <w:sz w:val="16"/>
              </w:rPr>
              <w:tab/>
            </w:r>
            <w:r w:rsidRPr="00EB2BD8">
              <w:rPr>
                <w:rFonts w:ascii="Arial"/>
                <w:b/>
                <w:spacing w:val="-2"/>
                <w:w w:val="105"/>
                <w:sz w:val="16"/>
              </w:rPr>
              <w:t>39,882</w:t>
            </w:r>
          </w:p>
        </w:tc>
      </w:tr>
    </w:tbl>
    <w:p w14:paraId="1D14B93F" w14:textId="77777777" w:rsidR="00084F36" w:rsidRPr="00EB2BD8" w:rsidRDefault="00084F36">
      <w:pPr>
        <w:pStyle w:val="BodyText"/>
        <w:spacing w:before="9"/>
        <w:rPr>
          <w:rFonts w:ascii="Arial"/>
          <w:sz w:val="16"/>
        </w:rPr>
      </w:pPr>
    </w:p>
    <w:p w14:paraId="3F135B9C" w14:textId="77777777" w:rsidR="00084F36" w:rsidRPr="00EB2BD8" w:rsidRDefault="00EB2BD8">
      <w:pPr>
        <w:ind w:left="1103"/>
        <w:rPr>
          <w:rFonts w:ascii="Arial"/>
          <w:i/>
          <w:sz w:val="15"/>
        </w:rPr>
      </w:pPr>
      <w:r w:rsidRPr="00EB2BD8">
        <w:rPr>
          <w:rFonts w:ascii="Arial"/>
          <w:i/>
          <w:spacing w:val="-2"/>
          <w:sz w:val="15"/>
        </w:rPr>
        <w:t>Note:</w:t>
      </w:r>
    </w:p>
    <w:p w14:paraId="64AE5293" w14:textId="77777777" w:rsidR="00084F36" w:rsidRPr="00EB2BD8" w:rsidRDefault="00EB2BD8">
      <w:pPr>
        <w:spacing w:before="81" w:line="273" w:lineRule="auto"/>
        <w:ind w:left="1439" w:right="1155" w:hanging="336"/>
        <w:rPr>
          <w:rFonts w:ascii="Arial"/>
          <w:i/>
          <w:sz w:val="15"/>
        </w:rPr>
      </w:pPr>
      <w:r w:rsidRPr="00EB2BD8">
        <w:rPr>
          <w:rFonts w:ascii="Arial"/>
          <w:i/>
          <w:sz w:val="15"/>
        </w:rPr>
        <w:t>(a)</w:t>
      </w:r>
      <w:r w:rsidRPr="00EB2BD8">
        <w:rPr>
          <w:rFonts w:ascii="Arial"/>
          <w:i/>
          <w:spacing w:val="80"/>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total</w:t>
      </w:r>
      <w:r w:rsidRPr="00EB2BD8">
        <w:rPr>
          <w:rFonts w:ascii="Arial"/>
          <w:i/>
          <w:spacing w:val="-4"/>
          <w:sz w:val="15"/>
        </w:rPr>
        <w:t xml:space="preserve"> </w:t>
      </w:r>
      <w:r w:rsidRPr="00EB2BD8">
        <w:rPr>
          <w:rFonts w:ascii="Arial"/>
          <w:i/>
          <w:sz w:val="15"/>
        </w:rPr>
        <w:t>amounts</w:t>
      </w:r>
      <w:r w:rsidRPr="00EB2BD8">
        <w:rPr>
          <w:rFonts w:ascii="Arial"/>
          <w:i/>
          <w:spacing w:val="-4"/>
          <w:sz w:val="15"/>
        </w:rPr>
        <w:t xml:space="preserve"> </w:t>
      </w:r>
      <w:r w:rsidRPr="00EB2BD8">
        <w:rPr>
          <w:rFonts w:ascii="Arial"/>
          <w:i/>
          <w:sz w:val="15"/>
        </w:rPr>
        <w:t>disclosed</w:t>
      </w:r>
      <w:r w:rsidRPr="00EB2BD8">
        <w:rPr>
          <w:rFonts w:ascii="Arial"/>
          <w:i/>
          <w:spacing w:val="-5"/>
          <w:sz w:val="15"/>
        </w:rPr>
        <w:t xml:space="preserve"> </w:t>
      </w:r>
      <w:r w:rsidRPr="00EB2BD8">
        <w:rPr>
          <w:rFonts w:ascii="Arial"/>
          <w:i/>
          <w:sz w:val="15"/>
        </w:rPr>
        <w:t>here</w:t>
      </w:r>
      <w:r w:rsidRPr="00EB2BD8">
        <w:rPr>
          <w:rFonts w:ascii="Arial"/>
          <w:i/>
          <w:spacing w:val="-5"/>
          <w:sz w:val="15"/>
        </w:rPr>
        <w:t xml:space="preserve"> </w:t>
      </w:r>
      <w:r w:rsidRPr="00EB2BD8">
        <w:rPr>
          <w:rFonts w:ascii="Arial"/>
          <w:i/>
          <w:sz w:val="15"/>
        </w:rPr>
        <w:t>exclude</w:t>
      </w:r>
      <w:r w:rsidRPr="00EB2BD8">
        <w:rPr>
          <w:rFonts w:ascii="Arial"/>
          <w:i/>
          <w:spacing w:val="-5"/>
          <w:sz w:val="15"/>
        </w:rPr>
        <w:t xml:space="preserve"> </w:t>
      </w:r>
      <w:r w:rsidRPr="00EB2BD8">
        <w:rPr>
          <w:rFonts w:ascii="Arial"/>
          <w:i/>
          <w:sz w:val="15"/>
        </w:rPr>
        <w:t>statutory</w:t>
      </w:r>
      <w:r w:rsidRPr="00EB2BD8">
        <w:rPr>
          <w:rFonts w:ascii="Arial"/>
          <w:i/>
          <w:spacing w:val="-4"/>
          <w:sz w:val="15"/>
        </w:rPr>
        <w:t xml:space="preserve"> </w:t>
      </w:r>
      <w:r w:rsidRPr="00EB2BD8">
        <w:rPr>
          <w:rFonts w:ascii="Arial"/>
          <w:i/>
          <w:sz w:val="15"/>
        </w:rPr>
        <w:t>amounts</w:t>
      </w:r>
      <w:r w:rsidRPr="00EB2BD8">
        <w:rPr>
          <w:rFonts w:ascii="Arial"/>
          <w:i/>
          <w:spacing w:val="-4"/>
          <w:sz w:val="15"/>
        </w:rPr>
        <w:t xml:space="preserve"> </w:t>
      </w:r>
      <w:r w:rsidRPr="00EB2BD8">
        <w:rPr>
          <w:rFonts w:ascii="Arial"/>
          <w:i/>
          <w:sz w:val="15"/>
        </w:rPr>
        <w:t>(e.g</w:t>
      </w:r>
      <w:r w:rsidRPr="00EB2BD8">
        <w:rPr>
          <w:rFonts w:ascii="Arial"/>
          <w:i/>
          <w:spacing w:val="-5"/>
          <w:sz w:val="15"/>
        </w:rPr>
        <w:t xml:space="preserve"> </w:t>
      </w:r>
      <w:r w:rsidRPr="00EB2BD8">
        <w:rPr>
          <w:rFonts w:ascii="Arial"/>
          <w:i/>
          <w:sz w:val="15"/>
        </w:rPr>
        <w:t>amounts</w:t>
      </w:r>
      <w:r w:rsidRPr="00EB2BD8">
        <w:rPr>
          <w:rFonts w:ascii="Arial"/>
          <w:i/>
          <w:spacing w:val="-4"/>
          <w:sz w:val="15"/>
        </w:rPr>
        <w:t xml:space="preserve"> </w:t>
      </w:r>
      <w:r w:rsidRPr="00EB2BD8">
        <w:rPr>
          <w:rFonts w:ascii="Arial"/>
          <w:i/>
          <w:sz w:val="15"/>
        </w:rPr>
        <w:t>owing</w:t>
      </w:r>
      <w:r w:rsidRPr="00EB2BD8">
        <w:rPr>
          <w:rFonts w:ascii="Arial"/>
          <w:i/>
          <w:spacing w:val="-5"/>
          <w:sz w:val="15"/>
        </w:rPr>
        <w:t xml:space="preserve"> </w:t>
      </w:r>
      <w:r w:rsidRPr="00EB2BD8">
        <w:rPr>
          <w:rFonts w:ascii="Arial"/>
          <w:i/>
          <w:sz w:val="15"/>
        </w:rPr>
        <w:t>from</w:t>
      </w:r>
      <w:r w:rsidRPr="00EB2BD8">
        <w:rPr>
          <w:rFonts w:ascii="Arial"/>
          <w:i/>
          <w:spacing w:val="-5"/>
          <w:sz w:val="15"/>
        </w:rPr>
        <w:t xml:space="preserve"> </w:t>
      </w:r>
      <w:r w:rsidRPr="00EB2BD8">
        <w:rPr>
          <w:rFonts w:ascii="Arial"/>
          <w:i/>
          <w:sz w:val="15"/>
        </w:rPr>
        <w:t>Victorian</w:t>
      </w:r>
      <w:r w:rsidRPr="00EB2BD8">
        <w:rPr>
          <w:rFonts w:ascii="Arial"/>
          <w:i/>
          <w:spacing w:val="-5"/>
          <w:sz w:val="15"/>
        </w:rPr>
        <w:t xml:space="preserve"> </w:t>
      </w:r>
      <w:r w:rsidRPr="00EB2BD8">
        <w:rPr>
          <w:rFonts w:ascii="Arial"/>
          <w:i/>
          <w:sz w:val="15"/>
        </w:rPr>
        <w:t>Government</w:t>
      </w:r>
      <w:r w:rsidRPr="00EB2BD8">
        <w:rPr>
          <w:rFonts w:ascii="Arial"/>
          <w:i/>
          <w:spacing w:val="-5"/>
          <w:sz w:val="15"/>
        </w:rPr>
        <w:t xml:space="preserve"> </w:t>
      </w:r>
      <w:r w:rsidRPr="00EB2BD8">
        <w:rPr>
          <w:rFonts w:ascii="Arial"/>
          <w:i/>
          <w:sz w:val="15"/>
        </w:rPr>
        <w:t>and</w:t>
      </w:r>
      <w:r w:rsidRPr="00EB2BD8">
        <w:rPr>
          <w:rFonts w:ascii="Arial"/>
          <w:i/>
          <w:spacing w:val="-4"/>
          <w:sz w:val="15"/>
        </w:rPr>
        <w:t xml:space="preserve"> </w:t>
      </w:r>
      <w:r w:rsidRPr="00EB2BD8">
        <w:rPr>
          <w:rFonts w:ascii="Arial"/>
          <w:i/>
          <w:sz w:val="15"/>
        </w:rPr>
        <w:t>GST</w:t>
      </w:r>
      <w:r w:rsidRPr="00EB2BD8">
        <w:rPr>
          <w:rFonts w:ascii="Arial"/>
          <w:i/>
          <w:spacing w:val="-4"/>
          <w:sz w:val="15"/>
        </w:rPr>
        <w:t xml:space="preserve"> </w:t>
      </w:r>
      <w:r w:rsidRPr="00EB2BD8">
        <w:rPr>
          <w:rFonts w:ascii="Arial"/>
          <w:i/>
          <w:sz w:val="15"/>
        </w:rPr>
        <w:t>input</w:t>
      </w:r>
      <w:r w:rsidRPr="00EB2BD8">
        <w:rPr>
          <w:rFonts w:ascii="Arial"/>
          <w:i/>
          <w:spacing w:val="-5"/>
          <w:sz w:val="15"/>
        </w:rPr>
        <w:t xml:space="preserve"> </w:t>
      </w:r>
      <w:r w:rsidRPr="00EB2BD8">
        <w:rPr>
          <w:rFonts w:ascii="Arial"/>
          <w:i/>
          <w:sz w:val="15"/>
        </w:rPr>
        <w:t>tax</w:t>
      </w:r>
      <w:r w:rsidRPr="00EB2BD8">
        <w:rPr>
          <w:rFonts w:ascii="Arial"/>
          <w:i/>
          <w:spacing w:val="-4"/>
          <w:sz w:val="15"/>
        </w:rPr>
        <w:t xml:space="preserve"> </w:t>
      </w:r>
      <w:r w:rsidRPr="00EB2BD8">
        <w:rPr>
          <w:rFonts w:ascii="Arial"/>
          <w:i/>
          <w:sz w:val="15"/>
        </w:rPr>
        <w:t xml:space="preserve">credit </w:t>
      </w:r>
      <w:r w:rsidRPr="00EB2BD8">
        <w:rPr>
          <w:rFonts w:ascii="Arial"/>
          <w:i/>
          <w:spacing w:val="-2"/>
          <w:sz w:val="15"/>
        </w:rPr>
        <w:t>recoverable).</w:t>
      </w:r>
    </w:p>
    <w:p w14:paraId="0EA2C89E" w14:textId="77777777" w:rsidR="00084F36" w:rsidRPr="00EB2BD8" w:rsidRDefault="00084F36">
      <w:pPr>
        <w:pStyle w:val="BodyText"/>
        <w:rPr>
          <w:rFonts w:ascii="Arial"/>
          <w:i/>
          <w:sz w:val="20"/>
        </w:rPr>
      </w:pPr>
    </w:p>
    <w:p w14:paraId="15F70881" w14:textId="77777777" w:rsidR="00084F36" w:rsidRPr="00EB2BD8" w:rsidRDefault="00084F36">
      <w:pPr>
        <w:pStyle w:val="BodyText"/>
        <w:rPr>
          <w:rFonts w:ascii="Arial"/>
          <w:i/>
          <w:sz w:val="20"/>
        </w:rPr>
      </w:pPr>
    </w:p>
    <w:p w14:paraId="410DEBB2" w14:textId="77777777" w:rsidR="00084F36" w:rsidRPr="00EB2BD8" w:rsidRDefault="00084F36">
      <w:pPr>
        <w:pStyle w:val="BodyText"/>
        <w:rPr>
          <w:rFonts w:ascii="Arial"/>
          <w:i/>
          <w:sz w:val="20"/>
        </w:rPr>
      </w:pPr>
    </w:p>
    <w:p w14:paraId="4E17D34C" w14:textId="77777777" w:rsidR="00084F36" w:rsidRPr="00EB2BD8" w:rsidRDefault="00084F36">
      <w:pPr>
        <w:pStyle w:val="BodyText"/>
        <w:spacing w:before="5"/>
        <w:rPr>
          <w:rFonts w:ascii="Arial"/>
          <w:i/>
        </w:rPr>
      </w:pPr>
    </w:p>
    <w:p w14:paraId="0311D6F7" w14:textId="50DB9B44" w:rsidR="00084F36" w:rsidRPr="00EB2BD8" w:rsidRDefault="00EB2BD8">
      <w:pPr>
        <w:tabs>
          <w:tab w:val="left" w:pos="1906"/>
        </w:tabs>
        <w:spacing w:before="92"/>
        <w:ind w:left="842"/>
        <w:rPr>
          <w:b/>
          <w:sz w:val="16"/>
        </w:rPr>
      </w:pPr>
      <w:r w:rsidRPr="00EB2BD8">
        <w:rPr>
          <w:sz w:val="16"/>
        </w:rPr>
        <w:tab/>
      </w:r>
    </w:p>
    <w:p w14:paraId="5E7078BA" w14:textId="77777777" w:rsidR="00084F36" w:rsidRPr="00EB2BD8" w:rsidRDefault="00084F36">
      <w:pPr>
        <w:rPr>
          <w:sz w:val="16"/>
        </w:rPr>
        <w:sectPr w:rsidR="00084F36" w:rsidRPr="00EB2BD8" w:rsidSect="006D75B2">
          <w:headerReference w:type="even" r:id="rId337"/>
          <w:footerReference w:type="even" r:id="rId338"/>
          <w:footerReference w:type="default" r:id="rId339"/>
          <w:pgSz w:w="11910" w:h="16840"/>
          <w:pgMar w:top="780" w:right="0" w:bottom="280" w:left="0" w:header="0" w:footer="0" w:gutter="0"/>
          <w:cols w:space="720"/>
        </w:sectPr>
      </w:pPr>
    </w:p>
    <w:p w14:paraId="3D213C5A" w14:textId="77777777" w:rsidR="00084F36" w:rsidRPr="00EB2BD8" w:rsidRDefault="00084F36">
      <w:pPr>
        <w:pStyle w:val="BodyText"/>
        <w:rPr>
          <w:sz w:val="20"/>
        </w:rPr>
      </w:pPr>
    </w:p>
    <w:p w14:paraId="3F151F76" w14:textId="77777777" w:rsidR="00084F36" w:rsidRPr="00EB2BD8" w:rsidRDefault="00084F36">
      <w:pPr>
        <w:pStyle w:val="BodyText"/>
        <w:rPr>
          <w:sz w:val="20"/>
        </w:rPr>
      </w:pPr>
    </w:p>
    <w:p w14:paraId="2864D8BF" w14:textId="77777777" w:rsidR="00084F36" w:rsidRPr="00EB2BD8" w:rsidRDefault="00084F36">
      <w:pPr>
        <w:pStyle w:val="BodyText"/>
        <w:rPr>
          <w:sz w:val="20"/>
        </w:rPr>
      </w:pPr>
    </w:p>
    <w:p w14:paraId="3FDBD9EC" w14:textId="77777777" w:rsidR="00084F36" w:rsidRPr="00EB2BD8" w:rsidRDefault="00084F36">
      <w:pPr>
        <w:pStyle w:val="BodyText"/>
        <w:rPr>
          <w:sz w:val="20"/>
        </w:rPr>
      </w:pPr>
    </w:p>
    <w:p w14:paraId="704417F6" w14:textId="77777777" w:rsidR="00084F36" w:rsidRPr="00EB2BD8" w:rsidRDefault="00084F36">
      <w:pPr>
        <w:pStyle w:val="BodyText"/>
        <w:rPr>
          <w:sz w:val="20"/>
        </w:rPr>
      </w:pPr>
    </w:p>
    <w:p w14:paraId="7F58216A" w14:textId="6145E94C" w:rsidR="00084F36" w:rsidRPr="00EB2BD8" w:rsidRDefault="00084F36">
      <w:pPr>
        <w:pStyle w:val="BodyText"/>
        <w:spacing w:before="6"/>
        <w:rPr>
          <w:sz w:val="19"/>
        </w:rPr>
      </w:pPr>
    </w:p>
    <w:p w14:paraId="7306D2D2" w14:textId="77777777" w:rsidR="00084F36" w:rsidRPr="00EB2BD8" w:rsidRDefault="00EB2BD8" w:rsidP="00327EC1">
      <w:pPr>
        <w:pStyle w:val="Heading2"/>
        <w:ind w:firstLine="190"/>
      </w:pPr>
      <w:bookmarkStart w:id="338" w:name="_Toc150762640"/>
      <w:r w:rsidRPr="00EB2BD8">
        <w:t>Impairment</w:t>
      </w:r>
      <w:r w:rsidRPr="00EB2BD8">
        <w:rPr>
          <w:spacing w:val="13"/>
        </w:rPr>
        <w:t xml:space="preserve"> </w:t>
      </w:r>
      <w:r w:rsidRPr="00EB2BD8">
        <w:t>of</w:t>
      </w:r>
      <w:r w:rsidRPr="00EB2BD8">
        <w:rPr>
          <w:spacing w:val="13"/>
        </w:rPr>
        <w:t xml:space="preserve"> </w:t>
      </w:r>
      <w:r w:rsidRPr="00EB2BD8">
        <w:t>financial</w:t>
      </w:r>
      <w:r w:rsidRPr="00EB2BD8">
        <w:rPr>
          <w:spacing w:val="14"/>
        </w:rPr>
        <w:t xml:space="preserve"> </w:t>
      </w:r>
      <w:r w:rsidRPr="00EB2BD8">
        <w:t>assets</w:t>
      </w:r>
      <w:r w:rsidRPr="00EB2BD8">
        <w:rPr>
          <w:spacing w:val="13"/>
        </w:rPr>
        <w:t xml:space="preserve"> </w:t>
      </w:r>
      <w:r w:rsidRPr="00EB2BD8">
        <w:t>under</w:t>
      </w:r>
      <w:r w:rsidRPr="00EB2BD8">
        <w:rPr>
          <w:spacing w:val="14"/>
        </w:rPr>
        <w:t xml:space="preserve"> </w:t>
      </w:r>
      <w:r w:rsidRPr="00EB2BD8">
        <w:t>AASB</w:t>
      </w:r>
      <w:r w:rsidRPr="00EB2BD8">
        <w:rPr>
          <w:spacing w:val="13"/>
        </w:rPr>
        <w:t xml:space="preserve"> </w:t>
      </w:r>
      <w:r w:rsidRPr="00EB2BD8">
        <w:rPr>
          <w:spacing w:val="-10"/>
        </w:rPr>
        <w:t>9</w:t>
      </w:r>
      <w:bookmarkEnd w:id="338"/>
    </w:p>
    <w:p w14:paraId="67D2B11B" w14:textId="77777777" w:rsidR="00084F36" w:rsidRPr="00EB2BD8" w:rsidRDefault="00EB2BD8">
      <w:pPr>
        <w:spacing w:before="157" w:line="288" w:lineRule="auto"/>
        <w:ind w:left="1040" w:right="1813"/>
        <w:rPr>
          <w:rFonts w:ascii="Arial" w:hAnsi="Arial"/>
          <w:sz w:val="16"/>
        </w:rPr>
      </w:pPr>
      <w:r w:rsidRPr="00EB2BD8">
        <w:rPr>
          <w:rFonts w:ascii="Arial" w:hAnsi="Arial"/>
          <w:w w:val="105"/>
          <w:sz w:val="16"/>
        </w:rPr>
        <w:t>VBA</w:t>
      </w:r>
      <w:r w:rsidRPr="00EB2BD8">
        <w:rPr>
          <w:rFonts w:ascii="Arial" w:hAnsi="Arial"/>
          <w:spacing w:val="-3"/>
          <w:w w:val="105"/>
          <w:sz w:val="16"/>
        </w:rPr>
        <w:t xml:space="preserve"> </w:t>
      </w:r>
      <w:r w:rsidRPr="00EB2BD8">
        <w:rPr>
          <w:rFonts w:ascii="Arial" w:hAnsi="Arial"/>
          <w:w w:val="105"/>
          <w:sz w:val="16"/>
        </w:rPr>
        <w:t>records</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allowance</w:t>
      </w:r>
      <w:r w:rsidRPr="00EB2BD8">
        <w:rPr>
          <w:rFonts w:ascii="Arial" w:hAnsi="Arial"/>
          <w:spacing w:val="-3"/>
          <w:w w:val="105"/>
          <w:sz w:val="16"/>
        </w:rPr>
        <w:t xml:space="preserve"> </w:t>
      </w:r>
      <w:r w:rsidRPr="00EB2BD8">
        <w:rPr>
          <w:rFonts w:ascii="Arial" w:hAnsi="Arial"/>
          <w:w w:val="105"/>
          <w:sz w:val="16"/>
        </w:rPr>
        <w:t>for</w:t>
      </w:r>
      <w:r w:rsidRPr="00EB2BD8">
        <w:rPr>
          <w:rFonts w:ascii="Arial" w:hAnsi="Arial"/>
          <w:spacing w:val="-2"/>
          <w:w w:val="105"/>
          <w:sz w:val="16"/>
        </w:rPr>
        <w:t xml:space="preserve"> </w:t>
      </w:r>
      <w:r w:rsidRPr="00EB2BD8">
        <w:rPr>
          <w:rFonts w:ascii="Arial" w:hAnsi="Arial"/>
          <w:w w:val="105"/>
          <w:sz w:val="16"/>
        </w:rPr>
        <w:t>expected</w:t>
      </w:r>
      <w:r w:rsidRPr="00EB2BD8">
        <w:rPr>
          <w:rFonts w:ascii="Arial" w:hAnsi="Arial"/>
          <w:spacing w:val="-3"/>
          <w:w w:val="105"/>
          <w:sz w:val="16"/>
        </w:rPr>
        <w:t xml:space="preserve"> </w:t>
      </w:r>
      <w:r w:rsidRPr="00EB2BD8">
        <w:rPr>
          <w:rFonts w:ascii="Arial" w:hAnsi="Arial"/>
          <w:w w:val="105"/>
          <w:sz w:val="16"/>
        </w:rPr>
        <w:t>credit</w:t>
      </w:r>
      <w:r w:rsidRPr="00EB2BD8">
        <w:rPr>
          <w:rFonts w:ascii="Arial" w:hAnsi="Arial"/>
          <w:spacing w:val="-3"/>
          <w:w w:val="105"/>
          <w:sz w:val="16"/>
        </w:rPr>
        <w:t xml:space="preserve"> </w:t>
      </w:r>
      <w:r w:rsidRPr="00EB2BD8">
        <w:rPr>
          <w:rFonts w:ascii="Arial" w:hAnsi="Arial"/>
          <w:w w:val="105"/>
          <w:sz w:val="16"/>
        </w:rPr>
        <w:t>loss</w:t>
      </w:r>
      <w:r w:rsidRPr="00EB2BD8">
        <w:rPr>
          <w:rFonts w:ascii="Arial" w:hAnsi="Arial"/>
          <w:spacing w:val="-3"/>
          <w:w w:val="105"/>
          <w:sz w:val="16"/>
        </w:rPr>
        <w:t xml:space="preserve"> </w:t>
      </w:r>
      <w:r w:rsidRPr="00EB2BD8">
        <w:rPr>
          <w:rFonts w:ascii="Arial" w:hAnsi="Arial"/>
          <w:w w:val="105"/>
          <w:sz w:val="16"/>
        </w:rPr>
        <w:t>(ECL)</w:t>
      </w:r>
      <w:r w:rsidRPr="00EB2BD8">
        <w:rPr>
          <w:rFonts w:ascii="Arial" w:hAnsi="Arial"/>
          <w:spacing w:val="-3"/>
          <w:w w:val="105"/>
          <w:sz w:val="16"/>
        </w:rPr>
        <w:t xml:space="preserve"> </w:t>
      </w:r>
      <w:r w:rsidRPr="00EB2BD8">
        <w:rPr>
          <w:rFonts w:ascii="Arial" w:hAnsi="Arial"/>
          <w:w w:val="105"/>
          <w:sz w:val="16"/>
        </w:rPr>
        <w:t>for</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relevant</w:t>
      </w:r>
      <w:r w:rsidRPr="00EB2BD8">
        <w:rPr>
          <w:rFonts w:ascii="Arial" w:hAnsi="Arial"/>
          <w:spacing w:val="-3"/>
          <w:w w:val="105"/>
          <w:sz w:val="16"/>
        </w:rPr>
        <w:t xml:space="preserve"> </w:t>
      </w:r>
      <w:r w:rsidRPr="00EB2BD8">
        <w:rPr>
          <w:rFonts w:ascii="Arial" w:hAnsi="Arial"/>
          <w:w w:val="105"/>
          <w:sz w:val="16"/>
        </w:rPr>
        <w:t>financial</w:t>
      </w:r>
      <w:r w:rsidRPr="00EB2BD8">
        <w:rPr>
          <w:rFonts w:ascii="Arial" w:hAnsi="Arial"/>
          <w:spacing w:val="-3"/>
          <w:w w:val="105"/>
          <w:sz w:val="16"/>
        </w:rPr>
        <w:t xml:space="preserve"> </w:t>
      </w:r>
      <w:r w:rsidRPr="00EB2BD8">
        <w:rPr>
          <w:rFonts w:ascii="Arial" w:hAnsi="Arial"/>
          <w:w w:val="105"/>
          <w:sz w:val="16"/>
        </w:rPr>
        <w:t>instruments</w:t>
      </w:r>
      <w:r w:rsidRPr="00EB2BD8">
        <w:rPr>
          <w:rFonts w:ascii="Arial" w:hAnsi="Arial"/>
          <w:spacing w:val="-3"/>
          <w:w w:val="105"/>
          <w:sz w:val="16"/>
        </w:rPr>
        <w:t xml:space="preserve"> </w:t>
      </w:r>
      <w:r w:rsidRPr="00EB2BD8">
        <w:rPr>
          <w:rFonts w:ascii="Arial" w:hAnsi="Arial"/>
          <w:w w:val="105"/>
          <w:sz w:val="16"/>
        </w:rPr>
        <w:t>applying</w:t>
      </w:r>
      <w:r w:rsidRPr="00EB2BD8">
        <w:rPr>
          <w:rFonts w:ascii="Arial" w:hAnsi="Arial"/>
          <w:spacing w:val="-2"/>
          <w:w w:val="105"/>
          <w:sz w:val="16"/>
        </w:rPr>
        <w:t xml:space="preserve"> </w:t>
      </w:r>
      <w:r w:rsidRPr="00EB2BD8">
        <w:rPr>
          <w:rFonts w:ascii="Arial" w:hAnsi="Arial"/>
          <w:w w:val="105"/>
          <w:sz w:val="16"/>
        </w:rPr>
        <w:t>AASB</w:t>
      </w:r>
      <w:r w:rsidRPr="00EB2BD8">
        <w:rPr>
          <w:rFonts w:ascii="Arial" w:hAnsi="Arial"/>
          <w:spacing w:val="-3"/>
          <w:w w:val="105"/>
          <w:sz w:val="16"/>
        </w:rPr>
        <w:t xml:space="preserve"> </w:t>
      </w:r>
      <w:r w:rsidRPr="00EB2BD8">
        <w:rPr>
          <w:rFonts w:ascii="Arial" w:hAnsi="Arial"/>
          <w:w w:val="105"/>
          <w:sz w:val="16"/>
        </w:rPr>
        <w:t>9</w:t>
      </w:r>
      <w:r w:rsidRPr="00EB2BD8">
        <w:rPr>
          <w:rFonts w:ascii="Arial" w:hAnsi="Arial"/>
          <w:spacing w:val="-3"/>
          <w:w w:val="105"/>
          <w:sz w:val="16"/>
        </w:rPr>
        <w:t xml:space="preserve"> </w:t>
      </w:r>
      <w:r w:rsidRPr="00EB2BD8">
        <w:rPr>
          <w:rFonts w:ascii="Arial" w:hAnsi="Arial"/>
          <w:w w:val="105"/>
          <w:sz w:val="16"/>
        </w:rPr>
        <w:t>ECL approach.</w:t>
      </w:r>
      <w:r w:rsidRPr="00EB2BD8">
        <w:rPr>
          <w:rFonts w:ascii="Arial" w:hAnsi="Arial"/>
          <w:spacing w:val="40"/>
          <w:w w:val="105"/>
          <w:sz w:val="16"/>
        </w:rPr>
        <w:t xml:space="preserve"> </w:t>
      </w:r>
      <w:r w:rsidRPr="00EB2BD8">
        <w:rPr>
          <w:rFonts w:ascii="Arial" w:hAnsi="Arial"/>
          <w:w w:val="105"/>
          <w:sz w:val="16"/>
        </w:rPr>
        <w:t>AASB 9 impairment assessment includes the VBA’s contractual receivables, statutory receivables and its investment in debt instruments.</w:t>
      </w:r>
    </w:p>
    <w:p w14:paraId="18E14B87" w14:textId="77777777" w:rsidR="00084F36" w:rsidRPr="00EB2BD8" w:rsidRDefault="00084F36">
      <w:pPr>
        <w:pStyle w:val="BodyText"/>
        <w:spacing w:before="7"/>
        <w:rPr>
          <w:rFonts w:ascii="Arial"/>
          <w:sz w:val="19"/>
        </w:rPr>
      </w:pPr>
    </w:p>
    <w:p w14:paraId="161B310B" w14:textId="77777777" w:rsidR="00084F36" w:rsidRPr="00EB2BD8" w:rsidRDefault="00EB2BD8">
      <w:pPr>
        <w:spacing w:line="290" w:lineRule="auto"/>
        <w:ind w:left="1040" w:right="1813"/>
        <w:rPr>
          <w:rFonts w:ascii="Arial"/>
          <w:sz w:val="16"/>
        </w:rPr>
      </w:pPr>
      <w:r w:rsidRPr="00EB2BD8">
        <w:rPr>
          <w:rFonts w:ascii="Arial"/>
          <w:w w:val="105"/>
          <w:sz w:val="16"/>
        </w:rPr>
        <w:t>Other financial assets mandatorily measured or designated at fair value through net result are not subject to impairment assessment</w:t>
      </w:r>
      <w:r w:rsidRPr="00EB2BD8">
        <w:rPr>
          <w:rFonts w:ascii="Arial"/>
          <w:spacing w:val="-3"/>
          <w:w w:val="105"/>
          <w:sz w:val="16"/>
        </w:rPr>
        <w:t xml:space="preserve"> </w:t>
      </w:r>
      <w:r w:rsidRPr="00EB2BD8">
        <w:rPr>
          <w:rFonts w:ascii="Arial"/>
          <w:w w:val="105"/>
          <w:sz w:val="16"/>
        </w:rPr>
        <w:t>under</w:t>
      </w:r>
      <w:r w:rsidRPr="00EB2BD8">
        <w:rPr>
          <w:rFonts w:ascii="Arial"/>
          <w:spacing w:val="-3"/>
          <w:w w:val="105"/>
          <w:sz w:val="16"/>
        </w:rPr>
        <w:t xml:space="preserve"> </w:t>
      </w:r>
      <w:r w:rsidRPr="00EB2BD8">
        <w:rPr>
          <w:rFonts w:ascii="Arial"/>
          <w:w w:val="105"/>
          <w:sz w:val="16"/>
        </w:rPr>
        <w:t>AASB</w:t>
      </w:r>
      <w:r w:rsidRPr="00EB2BD8">
        <w:rPr>
          <w:rFonts w:ascii="Arial"/>
          <w:spacing w:val="-3"/>
          <w:w w:val="105"/>
          <w:sz w:val="16"/>
        </w:rPr>
        <w:t xml:space="preserve"> </w:t>
      </w:r>
      <w:r w:rsidRPr="00EB2BD8">
        <w:rPr>
          <w:rFonts w:ascii="Arial"/>
          <w:w w:val="105"/>
          <w:sz w:val="16"/>
        </w:rPr>
        <w:t>9.</w:t>
      </w:r>
      <w:r w:rsidRPr="00EB2BD8">
        <w:rPr>
          <w:rFonts w:ascii="Arial"/>
          <w:spacing w:val="-3"/>
          <w:w w:val="105"/>
          <w:sz w:val="16"/>
        </w:rPr>
        <w:t xml:space="preserve"> </w:t>
      </w:r>
      <w:r w:rsidRPr="00EB2BD8">
        <w:rPr>
          <w:rFonts w:ascii="Arial"/>
          <w:w w:val="105"/>
          <w:sz w:val="16"/>
        </w:rPr>
        <w:t>While</w:t>
      </w:r>
      <w:r w:rsidRPr="00EB2BD8">
        <w:rPr>
          <w:rFonts w:ascii="Arial"/>
          <w:spacing w:val="-3"/>
          <w:w w:val="105"/>
          <w:sz w:val="16"/>
        </w:rPr>
        <w:t xml:space="preserve"> </w:t>
      </w:r>
      <w:r w:rsidRPr="00EB2BD8">
        <w:rPr>
          <w:rFonts w:ascii="Arial"/>
          <w:w w:val="105"/>
          <w:sz w:val="16"/>
        </w:rPr>
        <w:t>cash</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cash</w:t>
      </w:r>
      <w:r w:rsidRPr="00EB2BD8">
        <w:rPr>
          <w:rFonts w:ascii="Arial"/>
          <w:spacing w:val="-3"/>
          <w:w w:val="105"/>
          <w:sz w:val="16"/>
        </w:rPr>
        <w:t xml:space="preserve"> </w:t>
      </w:r>
      <w:r w:rsidRPr="00EB2BD8">
        <w:rPr>
          <w:rFonts w:ascii="Arial"/>
          <w:w w:val="105"/>
          <w:sz w:val="16"/>
        </w:rPr>
        <w:t>equivalents</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also</w:t>
      </w:r>
      <w:r w:rsidRPr="00EB2BD8">
        <w:rPr>
          <w:rFonts w:ascii="Arial"/>
          <w:spacing w:val="-3"/>
          <w:w w:val="105"/>
          <w:sz w:val="16"/>
        </w:rPr>
        <w:t xml:space="preserve"> </w:t>
      </w:r>
      <w:r w:rsidRPr="00EB2BD8">
        <w:rPr>
          <w:rFonts w:ascii="Arial"/>
          <w:w w:val="105"/>
          <w:sz w:val="16"/>
        </w:rPr>
        <w:t>subject</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impairment</w:t>
      </w:r>
      <w:r w:rsidRPr="00EB2BD8">
        <w:rPr>
          <w:rFonts w:ascii="Arial"/>
          <w:spacing w:val="-3"/>
          <w:w w:val="105"/>
          <w:sz w:val="16"/>
        </w:rPr>
        <w:t xml:space="preserve"> </w:t>
      </w:r>
      <w:r w:rsidRPr="00EB2BD8">
        <w:rPr>
          <w:rFonts w:ascii="Arial"/>
          <w:w w:val="105"/>
          <w:sz w:val="16"/>
        </w:rPr>
        <w:t>requirements</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AASB</w:t>
      </w:r>
      <w:r w:rsidRPr="00EB2BD8">
        <w:rPr>
          <w:rFonts w:ascii="Arial"/>
          <w:spacing w:val="-3"/>
          <w:w w:val="105"/>
          <w:sz w:val="16"/>
        </w:rPr>
        <w:t xml:space="preserve"> </w:t>
      </w:r>
      <w:r w:rsidRPr="00EB2BD8">
        <w:rPr>
          <w:rFonts w:ascii="Arial"/>
          <w:w w:val="105"/>
          <w:sz w:val="16"/>
        </w:rPr>
        <w:t>9, the identified impairment loss was nil.</w:t>
      </w:r>
    </w:p>
    <w:p w14:paraId="2C3532E9" w14:textId="77777777" w:rsidR="00084F36" w:rsidRPr="00EB2BD8" w:rsidRDefault="00084F36">
      <w:pPr>
        <w:pStyle w:val="BodyText"/>
        <w:rPr>
          <w:rFonts w:ascii="Arial"/>
          <w:sz w:val="20"/>
        </w:rPr>
      </w:pPr>
    </w:p>
    <w:p w14:paraId="0FEEEC2A" w14:textId="77777777" w:rsidR="00084F36" w:rsidRPr="00EB2BD8" w:rsidRDefault="00084F36">
      <w:pPr>
        <w:pStyle w:val="BodyText"/>
        <w:rPr>
          <w:rFonts w:ascii="Arial"/>
          <w:sz w:val="20"/>
        </w:rPr>
      </w:pPr>
    </w:p>
    <w:p w14:paraId="5BE6C0BA" w14:textId="77777777" w:rsidR="00084F36" w:rsidRPr="00EB2BD8" w:rsidRDefault="00084F36">
      <w:pPr>
        <w:pStyle w:val="BodyText"/>
        <w:rPr>
          <w:rFonts w:ascii="Arial"/>
          <w:sz w:val="20"/>
        </w:rPr>
      </w:pPr>
    </w:p>
    <w:p w14:paraId="3E7C85A0" w14:textId="77777777" w:rsidR="00084F36" w:rsidRPr="00EB2BD8" w:rsidRDefault="00084F36">
      <w:pPr>
        <w:pStyle w:val="BodyText"/>
        <w:rPr>
          <w:rFonts w:ascii="Arial"/>
          <w:sz w:val="20"/>
        </w:rPr>
      </w:pPr>
    </w:p>
    <w:p w14:paraId="4A1F0DBC" w14:textId="77777777" w:rsidR="00084F36" w:rsidRPr="00EB2BD8" w:rsidRDefault="00084F36">
      <w:pPr>
        <w:pStyle w:val="BodyText"/>
        <w:rPr>
          <w:rFonts w:ascii="Arial"/>
          <w:sz w:val="20"/>
        </w:rPr>
      </w:pPr>
    </w:p>
    <w:p w14:paraId="245ED17F" w14:textId="77777777" w:rsidR="00084F36" w:rsidRPr="00EB2BD8" w:rsidRDefault="00084F36">
      <w:pPr>
        <w:pStyle w:val="BodyText"/>
        <w:rPr>
          <w:rFonts w:ascii="Arial"/>
          <w:sz w:val="20"/>
        </w:rPr>
      </w:pPr>
    </w:p>
    <w:p w14:paraId="6497B3B3" w14:textId="77777777" w:rsidR="00084F36" w:rsidRPr="00EB2BD8" w:rsidRDefault="00084F36">
      <w:pPr>
        <w:pStyle w:val="BodyText"/>
        <w:rPr>
          <w:rFonts w:ascii="Arial"/>
          <w:sz w:val="20"/>
        </w:rPr>
      </w:pPr>
    </w:p>
    <w:p w14:paraId="2AD5CD92" w14:textId="77777777" w:rsidR="00084F36" w:rsidRPr="00EB2BD8" w:rsidRDefault="00084F36">
      <w:pPr>
        <w:pStyle w:val="BodyText"/>
        <w:rPr>
          <w:rFonts w:ascii="Arial"/>
          <w:sz w:val="20"/>
        </w:rPr>
      </w:pPr>
    </w:p>
    <w:p w14:paraId="673C10F6" w14:textId="77777777" w:rsidR="00084F36" w:rsidRPr="00EB2BD8" w:rsidRDefault="00084F36">
      <w:pPr>
        <w:pStyle w:val="BodyText"/>
        <w:rPr>
          <w:rFonts w:ascii="Arial"/>
          <w:sz w:val="20"/>
        </w:rPr>
      </w:pPr>
    </w:p>
    <w:p w14:paraId="06638CAE" w14:textId="77777777" w:rsidR="00084F36" w:rsidRPr="00EB2BD8" w:rsidRDefault="00084F36">
      <w:pPr>
        <w:pStyle w:val="BodyText"/>
        <w:rPr>
          <w:rFonts w:ascii="Arial"/>
          <w:sz w:val="20"/>
        </w:rPr>
      </w:pPr>
    </w:p>
    <w:p w14:paraId="3418A47C" w14:textId="77777777" w:rsidR="00084F36" w:rsidRPr="00EB2BD8" w:rsidRDefault="00084F36">
      <w:pPr>
        <w:pStyle w:val="BodyText"/>
        <w:rPr>
          <w:rFonts w:ascii="Arial"/>
          <w:sz w:val="20"/>
        </w:rPr>
      </w:pPr>
    </w:p>
    <w:p w14:paraId="306B0882" w14:textId="77777777" w:rsidR="00084F36" w:rsidRPr="00EB2BD8" w:rsidRDefault="00084F36">
      <w:pPr>
        <w:pStyle w:val="BodyText"/>
        <w:rPr>
          <w:rFonts w:ascii="Arial"/>
          <w:sz w:val="20"/>
        </w:rPr>
      </w:pPr>
    </w:p>
    <w:p w14:paraId="15322671" w14:textId="77777777" w:rsidR="00084F36" w:rsidRPr="00EB2BD8" w:rsidRDefault="00084F36">
      <w:pPr>
        <w:pStyle w:val="BodyText"/>
        <w:rPr>
          <w:rFonts w:ascii="Arial"/>
          <w:sz w:val="20"/>
        </w:rPr>
      </w:pPr>
    </w:p>
    <w:p w14:paraId="3FF96DE8" w14:textId="77777777" w:rsidR="00084F36" w:rsidRPr="00EB2BD8" w:rsidRDefault="00084F36">
      <w:pPr>
        <w:pStyle w:val="BodyText"/>
        <w:rPr>
          <w:rFonts w:ascii="Arial"/>
          <w:sz w:val="20"/>
        </w:rPr>
      </w:pPr>
    </w:p>
    <w:p w14:paraId="5EFA213D" w14:textId="77777777" w:rsidR="00084F36" w:rsidRPr="00EB2BD8" w:rsidRDefault="00084F36">
      <w:pPr>
        <w:pStyle w:val="BodyText"/>
        <w:rPr>
          <w:rFonts w:ascii="Arial"/>
          <w:sz w:val="20"/>
        </w:rPr>
      </w:pPr>
    </w:p>
    <w:p w14:paraId="3CDA17B2" w14:textId="77777777" w:rsidR="00084F36" w:rsidRPr="00EB2BD8" w:rsidRDefault="00084F36">
      <w:pPr>
        <w:pStyle w:val="BodyText"/>
        <w:rPr>
          <w:rFonts w:ascii="Arial"/>
          <w:sz w:val="20"/>
        </w:rPr>
      </w:pPr>
    </w:p>
    <w:p w14:paraId="15CBEF25" w14:textId="77777777" w:rsidR="00084F36" w:rsidRPr="00EB2BD8" w:rsidRDefault="00084F36">
      <w:pPr>
        <w:pStyle w:val="BodyText"/>
        <w:rPr>
          <w:rFonts w:ascii="Arial"/>
          <w:sz w:val="20"/>
        </w:rPr>
      </w:pPr>
    </w:p>
    <w:p w14:paraId="4BA20BFF" w14:textId="77777777" w:rsidR="00084F36" w:rsidRPr="00EB2BD8" w:rsidRDefault="00084F36">
      <w:pPr>
        <w:pStyle w:val="BodyText"/>
        <w:rPr>
          <w:rFonts w:ascii="Arial"/>
          <w:sz w:val="20"/>
        </w:rPr>
      </w:pPr>
    </w:p>
    <w:p w14:paraId="22B32043" w14:textId="77777777" w:rsidR="00084F36" w:rsidRPr="00EB2BD8" w:rsidRDefault="00084F36">
      <w:pPr>
        <w:pStyle w:val="BodyText"/>
        <w:rPr>
          <w:rFonts w:ascii="Arial"/>
          <w:sz w:val="20"/>
        </w:rPr>
      </w:pPr>
    </w:p>
    <w:p w14:paraId="4CE97006" w14:textId="77777777" w:rsidR="00084F36" w:rsidRPr="00EB2BD8" w:rsidRDefault="00084F36">
      <w:pPr>
        <w:pStyle w:val="BodyText"/>
        <w:rPr>
          <w:rFonts w:ascii="Arial"/>
          <w:sz w:val="20"/>
        </w:rPr>
      </w:pPr>
    </w:p>
    <w:p w14:paraId="327B6D2C" w14:textId="77777777" w:rsidR="00084F36" w:rsidRPr="00EB2BD8" w:rsidRDefault="00084F36">
      <w:pPr>
        <w:pStyle w:val="BodyText"/>
        <w:rPr>
          <w:rFonts w:ascii="Arial"/>
          <w:sz w:val="20"/>
        </w:rPr>
      </w:pPr>
    </w:p>
    <w:p w14:paraId="44180667" w14:textId="77777777" w:rsidR="00084F36" w:rsidRPr="00EB2BD8" w:rsidRDefault="00084F36">
      <w:pPr>
        <w:pStyle w:val="BodyText"/>
        <w:rPr>
          <w:rFonts w:ascii="Arial"/>
          <w:sz w:val="20"/>
        </w:rPr>
      </w:pPr>
    </w:p>
    <w:p w14:paraId="68BA79F4" w14:textId="77777777" w:rsidR="00084F36" w:rsidRPr="00EB2BD8" w:rsidRDefault="00084F36">
      <w:pPr>
        <w:pStyle w:val="BodyText"/>
        <w:rPr>
          <w:rFonts w:ascii="Arial"/>
          <w:sz w:val="20"/>
        </w:rPr>
      </w:pPr>
    </w:p>
    <w:p w14:paraId="54E56BFE" w14:textId="77777777" w:rsidR="00084F36" w:rsidRPr="00EB2BD8" w:rsidRDefault="00084F36">
      <w:pPr>
        <w:pStyle w:val="BodyText"/>
        <w:rPr>
          <w:rFonts w:ascii="Arial"/>
          <w:sz w:val="20"/>
        </w:rPr>
      </w:pPr>
    </w:p>
    <w:p w14:paraId="006CCDC3" w14:textId="77777777" w:rsidR="00084F36" w:rsidRPr="00EB2BD8" w:rsidRDefault="00084F36">
      <w:pPr>
        <w:pStyle w:val="BodyText"/>
        <w:rPr>
          <w:rFonts w:ascii="Arial"/>
          <w:sz w:val="20"/>
        </w:rPr>
      </w:pPr>
    </w:p>
    <w:p w14:paraId="691E6730" w14:textId="77777777" w:rsidR="00084F36" w:rsidRPr="00EB2BD8" w:rsidRDefault="00084F36">
      <w:pPr>
        <w:pStyle w:val="BodyText"/>
        <w:rPr>
          <w:rFonts w:ascii="Arial"/>
          <w:sz w:val="20"/>
        </w:rPr>
      </w:pPr>
    </w:p>
    <w:p w14:paraId="4E6982DD" w14:textId="77777777" w:rsidR="00084F36" w:rsidRPr="00EB2BD8" w:rsidRDefault="00084F36">
      <w:pPr>
        <w:pStyle w:val="BodyText"/>
        <w:rPr>
          <w:rFonts w:ascii="Arial"/>
          <w:sz w:val="20"/>
        </w:rPr>
      </w:pPr>
    </w:p>
    <w:p w14:paraId="40CE4934" w14:textId="77777777" w:rsidR="00084F36" w:rsidRPr="00EB2BD8" w:rsidRDefault="00084F36">
      <w:pPr>
        <w:pStyle w:val="BodyText"/>
        <w:rPr>
          <w:rFonts w:ascii="Arial"/>
          <w:sz w:val="20"/>
        </w:rPr>
      </w:pPr>
    </w:p>
    <w:p w14:paraId="44DB1F77" w14:textId="77777777" w:rsidR="00084F36" w:rsidRPr="00EB2BD8" w:rsidRDefault="00084F36">
      <w:pPr>
        <w:pStyle w:val="BodyText"/>
        <w:rPr>
          <w:rFonts w:ascii="Arial"/>
          <w:sz w:val="20"/>
        </w:rPr>
      </w:pPr>
    </w:p>
    <w:p w14:paraId="2552EE53" w14:textId="77777777" w:rsidR="00084F36" w:rsidRPr="00EB2BD8" w:rsidRDefault="00084F36">
      <w:pPr>
        <w:pStyle w:val="BodyText"/>
        <w:rPr>
          <w:rFonts w:ascii="Arial"/>
          <w:sz w:val="20"/>
        </w:rPr>
      </w:pPr>
    </w:p>
    <w:p w14:paraId="798DB4AD" w14:textId="77777777" w:rsidR="00084F36" w:rsidRPr="00EB2BD8" w:rsidRDefault="00084F36">
      <w:pPr>
        <w:pStyle w:val="BodyText"/>
        <w:rPr>
          <w:rFonts w:ascii="Arial"/>
          <w:sz w:val="20"/>
        </w:rPr>
      </w:pPr>
    </w:p>
    <w:p w14:paraId="4C593879" w14:textId="77777777" w:rsidR="00084F36" w:rsidRPr="00EB2BD8" w:rsidRDefault="00084F36">
      <w:pPr>
        <w:pStyle w:val="BodyText"/>
        <w:rPr>
          <w:rFonts w:ascii="Arial"/>
          <w:sz w:val="20"/>
        </w:rPr>
      </w:pPr>
    </w:p>
    <w:p w14:paraId="15D85BE4" w14:textId="77777777" w:rsidR="00084F36" w:rsidRPr="00EB2BD8" w:rsidRDefault="00084F36">
      <w:pPr>
        <w:pStyle w:val="BodyText"/>
        <w:rPr>
          <w:rFonts w:ascii="Arial"/>
          <w:sz w:val="20"/>
        </w:rPr>
      </w:pPr>
    </w:p>
    <w:p w14:paraId="2849FCD1" w14:textId="77777777" w:rsidR="00084F36" w:rsidRPr="00EB2BD8" w:rsidRDefault="00084F36">
      <w:pPr>
        <w:pStyle w:val="BodyText"/>
        <w:rPr>
          <w:rFonts w:ascii="Arial"/>
          <w:sz w:val="20"/>
        </w:rPr>
      </w:pPr>
    </w:p>
    <w:p w14:paraId="3974A03D" w14:textId="77777777" w:rsidR="00084F36" w:rsidRPr="00EB2BD8" w:rsidRDefault="00084F36">
      <w:pPr>
        <w:pStyle w:val="BodyText"/>
        <w:rPr>
          <w:rFonts w:ascii="Arial"/>
          <w:sz w:val="20"/>
        </w:rPr>
      </w:pPr>
    </w:p>
    <w:p w14:paraId="4A34147C" w14:textId="77777777" w:rsidR="00084F36" w:rsidRPr="00EB2BD8" w:rsidRDefault="00084F36">
      <w:pPr>
        <w:pStyle w:val="BodyText"/>
        <w:rPr>
          <w:rFonts w:ascii="Arial"/>
          <w:sz w:val="20"/>
        </w:rPr>
      </w:pPr>
    </w:p>
    <w:p w14:paraId="4B02A819" w14:textId="77777777" w:rsidR="00084F36" w:rsidRPr="00EB2BD8" w:rsidRDefault="00084F36">
      <w:pPr>
        <w:pStyle w:val="BodyText"/>
        <w:rPr>
          <w:rFonts w:ascii="Arial"/>
          <w:sz w:val="20"/>
        </w:rPr>
      </w:pPr>
    </w:p>
    <w:p w14:paraId="3FF792C3" w14:textId="77777777" w:rsidR="00084F36" w:rsidRPr="00EB2BD8" w:rsidRDefault="00084F36">
      <w:pPr>
        <w:pStyle w:val="BodyText"/>
        <w:rPr>
          <w:rFonts w:ascii="Arial"/>
          <w:sz w:val="20"/>
        </w:rPr>
      </w:pPr>
    </w:p>
    <w:p w14:paraId="17C607DA" w14:textId="77777777" w:rsidR="00084F36" w:rsidRPr="00EB2BD8" w:rsidRDefault="00084F36">
      <w:pPr>
        <w:pStyle w:val="BodyText"/>
        <w:rPr>
          <w:rFonts w:ascii="Arial"/>
          <w:sz w:val="20"/>
        </w:rPr>
      </w:pPr>
    </w:p>
    <w:p w14:paraId="2327F4D6" w14:textId="77777777" w:rsidR="00084F36" w:rsidRPr="00EB2BD8" w:rsidRDefault="00084F36">
      <w:pPr>
        <w:pStyle w:val="BodyText"/>
        <w:rPr>
          <w:rFonts w:ascii="Arial"/>
          <w:sz w:val="20"/>
        </w:rPr>
      </w:pPr>
    </w:p>
    <w:p w14:paraId="4EE889E3" w14:textId="77777777" w:rsidR="00084F36" w:rsidRPr="00EB2BD8" w:rsidRDefault="00084F36">
      <w:pPr>
        <w:pStyle w:val="BodyText"/>
        <w:rPr>
          <w:rFonts w:ascii="Arial"/>
          <w:sz w:val="20"/>
        </w:rPr>
      </w:pPr>
    </w:p>
    <w:p w14:paraId="49FEA2A1" w14:textId="77777777" w:rsidR="00084F36" w:rsidRPr="00EB2BD8" w:rsidRDefault="00084F36">
      <w:pPr>
        <w:pStyle w:val="BodyText"/>
        <w:rPr>
          <w:rFonts w:ascii="Arial"/>
          <w:sz w:val="20"/>
        </w:rPr>
      </w:pPr>
    </w:p>
    <w:p w14:paraId="48B1DA2C" w14:textId="77777777" w:rsidR="00084F36" w:rsidRPr="00EB2BD8" w:rsidRDefault="00084F36">
      <w:pPr>
        <w:pStyle w:val="BodyText"/>
        <w:rPr>
          <w:rFonts w:ascii="Arial"/>
          <w:sz w:val="20"/>
        </w:rPr>
      </w:pPr>
    </w:p>
    <w:p w14:paraId="6A0BA219" w14:textId="77777777" w:rsidR="00084F36" w:rsidRPr="00EB2BD8" w:rsidRDefault="00084F36">
      <w:pPr>
        <w:pStyle w:val="BodyText"/>
        <w:rPr>
          <w:rFonts w:ascii="Arial"/>
          <w:sz w:val="20"/>
        </w:rPr>
      </w:pPr>
    </w:p>
    <w:p w14:paraId="5B568A4C" w14:textId="77777777" w:rsidR="00084F36" w:rsidRPr="00EB2BD8" w:rsidRDefault="00084F36">
      <w:pPr>
        <w:pStyle w:val="BodyText"/>
        <w:rPr>
          <w:rFonts w:ascii="Arial"/>
          <w:sz w:val="20"/>
        </w:rPr>
      </w:pPr>
    </w:p>
    <w:p w14:paraId="2204710F" w14:textId="77777777" w:rsidR="00084F36" w:rsidRPr="00EB2BD8" w:rsidRDefault="00084F36">
      <w:pPr>
        <w:pStyle w:val="BodyText"/>
        <w:rPr>
          <w:rFonts w:ascii="Arial"/>
          <w:sz w:val="20"/>
        </w:rPr>
      </w:pPr>
    </w:p>
    <w:p w14:paraId="1F72120F" w14:textId="77777777" w:rsidR="00084F36" w:rsidRPr="00EB2BD8" w:rsidRDefault="00084F36">
      <w:pPr>
        <w:pStyle w:val="BodyText"/>
        <w:rPr>
          <w:rFonts w:ascii="Arial"/>
          <w:sz w:val="20"/>
        </w:rPr>
      </w:pPr>
    </w:p>
    <w:p w14:paraId="762B9978" w14:textId="77777777" w:rsidR="00084F36" w:rsidRPr="00EB2BD8" w:rsidRDefault="00084F36">
      <w:pPr>
        <w:pStyle w:val="BodyText"/>
        <w:rPr>
          <w:rFonts w:ascii="Arial"/>
          <w:sz w:val="20"/>
        </w:rPr>
      </w:pPr>
    </w:p>
    <w:p w14:paraId="01AB9080" w14:textId="77777777" w:rsidR="00084F36" w:rsidRPr="00EB2BD8" w:rsidRDefault="00084F36">
      <w:pPr>
        <w:pStyle w:val="BodyText"/>
        <w:rPr>
          <w:rFonts w:ascii="Arial"/>
          <w:sz w:val="20"/>
        </w:rPr>
      </w:pPr>
    </w:p>
    <w:p w14:paraId="2DD33460" w14:textId="77777777" w:rsidR="00084F36" w:rsidRPr="00EB2BD8" w:rsidRDefault="00084F36">
      <w:pPr>
        <w:pStyle w:val="BodyText"/>
        <w:spacing w:before="6"/>
        <w:rPr>
          <w:rFonts w:ascii="Arial"/>
          <w:sz w:val="17"/>
        </w:rPr>
      </w:pPr>
    </w:p>
    <w:p w14:paraId="30DFAFAB" w14:textId="77777777" w:rsidR="00084F36" w:rsidRPr="00EB2BD8" w:rsidRDefault="00084F36">
      <w:pPr>
        <w:jc w:val="right"/>
        <w:rPr>
          <w:sz w:val="16"/>
        </w:rPr>
        <w:sectPr w:rsidR="00084F36" w:rsidRPr="00EB2BD8" w:rsidSect="006D75B2">
          <w:headerReference w:type="default" r:id="rId340"/>
          <w:footerReference w:type="default" r:id="rId341"/>
          <w:pgSz w:w="11910" w:h="16840"/>
          <w:pgMar w:top="760" w:right="0" w:bottom="280" w:left="0" w:header="0" w:footer="0" w:gutter="0"/>
          <w:cols w:space="720"/>
        </w:sectPr>
      </w:pPr>
    </w:p>
    <w:p w14:paraId="41A79A0B" w14:textId="77777777" w:rsidR="00084F36" w:rsidRPr="00EB2BD8" w:rsidRDefault="00084F36">
      <w:pPr>
        <w:pStyle w:val="BodyText"/>
        <w:rPr>
          <w:sz w:val="20"/>
        </w:rPr>
      </w:pPr>
    </w:p>
    <w:p w14:paraId="55CD5CB4" w14:textId="77777777" w:rsidR="00084F36" w:rsidRPr="00EB2BD8" w:rsidRDefault="00084F36">
      <w:pPr>
        <w:pStyle w:val="BodyText"/>
        <w:rPr>
          <w:sz w:val="20"/>
        </w:rPr>
      </w:pPr>
    </w:p>
    <w:p w14:paraId="426A54E2" w14:textId="77777777" w:rsidR="00084F36" w:rsidRPr="00EB2BD8" w:rsidRDefault="00084F36">
      <w:pPr>
        <w:pStyle w:val="BodyText"/>
        <w:rPr>
          <w:sz w:val="20"/>
        </w:rPr>
      </w:pPr>
    </w:p>
    <w:p w14:paraId="044746BC" w14:textId="77777777" w:rsidR="00084F36" w:rsidRPr="00EB2BD8" w:rsidRDefault="00084F36">
      <w:pPr>
        <w:pStyle w:val="BodyText"/>
        <w:rPr>
          <w:sz w:val="20"/>
        </w:rPr>
      </w:pPr>
    </w:p>
    <w:p w14:paraId="3D714B9A" w14:textId="77777777" w:rsidR="00084F36" w:rsidRPr="00EB2BD8" w:rsidRDefault="00084F36">
      <w:pPr>
        <w:pStyle w:val="BodyText"/>
        <w:rPr>
          <w:sz w:val="20"/>
        </w:rPr>
      </w:pPr>
    </w:p>
    <w:p w14:paraId="3E6E1A5A" w14:textId="77777777" w:rsidR="00084F36" w:rsidRPr="00EB2BD8" w:rsidRDefault="00084F36">
      <w:pPr>
        <w:pStyle w:val="BodyText"/>
        <w:rPr>
          <w:sz w:val="23"/>
        </w:rPr>
      </w:pPr>
    </w:p>
    <w:p w14:paraId="20F5CC82" w14:textId="1BEA27D0" w:rsidR="00084F36" w:rsidRPr="00EB2BD8" w:rsidRDefault="00DF3DDD" w:rsidP="00327EC1">
      <w:pPr>
        <w:pStyle w:val="Heading2"/>
      </w:pPr>
      <w:r>
        <w:t xml:space="preserve">  </w:t>
      </w:r>
      <w:bookmarkStart w:id="339" w:name="_Toc150762641"/>
      <w:r w:rsidR="00EB2BD8" w:rsidRPr="00EB2BD8">
        <w:t>Contractual</w:t>
      </w:r>
      <w:r w:rsidR="00EB2BD8" w:rsidRPr="00EB2BD8">
        <w:rPr>
          <w:spacing w:val="19"/>
        </w:rPr>
        <w:t xml:space="preserve"> </w:t>
      </w:r>
      <w:r w:rsidR="00EB2BD8" w:rsidRPr="00EB2BD8">
        <w:t>Receivables</w:t>
      </w:r>
      <w:r w:rsidR="00EB2BD8" w:rsidRPr="00EB2BD8">
        <w:rPr>
          <w:spacing w:val="17"/>
        </w:rPr>
        <w:t xml:space="preserve"> </w:t>
      </w:r>
      <w:r w:rsidR="00EB2BD8" w:rsidRPr="00EB2BD8">
        <w:t>at</w:t>
      </w:r>
      <w:r w:rsidR="00EB2BD8" w:rsidRPr="00EB2BD8">
        <w:rPr>
          <w:spacing w:val="17"/>
        </w:rPr>
        <w:t xml:space="preserve"> </w:t>
      </w:r>
      <w:r w:rsidR="00EB2BD8" w:rsidRPr="00EB2BD8">
        <w:t>amortised</w:t>
      </w:r>
      <w:r w:rsidR="00EB2BD8" w:rsidRPr="00EB2BD8">
        <w:rPr>
          <w:spacing w:val="17"/>
        </w:rPr>
        <w:t xml:space="preserve"> </w:t>
      </w:r>
      <w:r w:rsidR="00EB2BD8" w:rsidRPr="00EB2BD8">
        <w:rPr>
          <w:spacing w:val="-4"/>
        </w:rPr>
        <w:t>cost</w:t>
      </w:r>
      <w:bookmarkEnd w:id="339"/>
    </w:p>
    <w:p w14:paraId="10B35A97" w14:textId="77777777" w:rsidR="00084F36" w:rsidRPr="00EB2BD8" w:rsidRDefault="00EB2BD8">
      <w:pPr>
        <w:spacing w:before="156" w:line="290" w:lineRule="auto"/>
        <w:ind w:left="1054" w:right="1672"/>
        <w:rPr>
          <w:rFonts w:ascii="Arial" w:hAnsi="Arial"/>
          <w:sz w:val="16"/>
        </w:rPr>
      </w:pPr>
      <w:r w:rsidRPr="00EB2BD8">
        <w:rPr>
          <w:rFonts w:ascii="Arial" w:hAnsi="Arial"/>
          <w:w w:val="105"/>
          <w:sz w:val="16"/>
        </w:rPr>
        <w:t>VBA applies AASB 9 simplified approach for all contractual receivables to measure expected credit losses using a lifetime expected</w:t>
      </w:r>
      <w:r w:rsidRPr="00EB2BD8">
        <w:rPr>
          <w:rFonts w:ascii="Arial" w:hAnsi="Arial"/>
          <w:spacing w:val="-3"/>
          <w:w w:val="105"/>
          <w:sz w:val="16"/>
        </w:rPr>
        <w:t xml:space="preserve"> </w:t>
      </w:r>
      <w:r w:rsidRPr="00EB2BD8">
        <w:rPr>
          <w:rFonts w:ascii="Arial" w:hAnsi="Arial"/>
          <w:w w:val="105"/>
          <w:sz w:val="16"/>
        </w:rPr>
        <w:t>loss</w:t>
      </w:r>
      <w:r w:rsidRPr="00EB2BD8">
        <w:rPr>
          <w:rFonts w:ascii="Arial" w:hAnsi="Arial"/>
          <w:spacing w:val="-2"/>
          <w:w w:val="105"/>
          <w:sz w:val="16"/>
        </w:rPr>
        <w:t xml:space="preserve"> </w:t>
      </w:r>
      <w:r w:rsidRPr="00EB2BD8">
        <w:rPr>
          <w:rFonts w:ascii="Arial" w:hAnsi="Arial"/>
          <w:w w:val="105"/>
          <w:sz w:val="16"/>
        </w:rPr>
        <w:t>allowance</w:t>
      </w:r>
      <w:r w:rsidRPr="00EB2BD8">
        <w:rPr>
          <w:rFonts w:ascii="Arial" w:hAnsi="Arial"/>
          <w:spacing w:val="-3"/>
          <w:w w:val="105"/>
          <w:sz w:val="16"/>
        </w:rPr>
        <w:t xml:space="preserve"> </w:t>
      </w:r>
      <w:r w:rsidRPr="00EB2BD8">
        <w:rPr>
          <w:rFonts w:ascii="Arial" w:hAnsi="Arial"/>
          <w:w w:val="105"/>
          <w:sz w:val="16"/>
        </w:rPr>
        <w:t>based</w:t>
      </w:r>
      <w:r w:rsidRPr="00EB2BD8">
        <w:rPr>
          <w:rFonts w:ascii="Arial" w:hAnsi="Arial"/>
          <w:spacing w:val="-3"/>
          <w:w w:val="105"/>
          <w:sz w:val="16"/>
        </w:rPr>
        <w:t xml:space="preserve"> </w:t>
      </w:r>
      <w:r w:rsidRPr="00EB2BD8">
        <w:rPr>
          <w:rFonts w:ascii="Arial" w:hAnsi="Arial"/>
          <w:w w:val="105"/>
          <w:sz w:val="16"/>
        </w:rPr>
        <w:t>on</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assumptions</w:t>
      </w:r>
      <w:r w:rsidRPr="00EB2BD8">
        <w:rPr>
          <w:rFonts w:ascii="Arial" w:hAnsi="Arial"/>
          <w:spacing w:val="-3"/>
          <w:w w:val="105"/>
          <w:sz w:val="16"/>
        </w:rPr>
        <w:t xml:space="preserve"> </w:t>
      </w:r>
      <w:r w:rsidRPr="00EB2BD8">
        <w:rPr>
          <w:rFonts w:ascii="Arial" w:hAnsi="Arial"/>
          <w:w w:val="105"/>
          <w:sz w:val="16"/>
        </w:rPr>
        <w:t>about</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risk</w:t>
      </w:r>
      <w:r w:rsidRPr="00EB2BD8">
        <w:rPr>
          <w:rFonts w:ascii="Arial" w:hAnsi="Arial"/>
          <w:spacing w:val="-3"/>
          <w:w w:val="105"/>
          <w:sz w:val="16"/>
        </w:rPr>
        <w:t xml:space="preserve"> </w:t>
      </w:r>
      <w:r w:rsidRPr="00EB2BD8">
        <w:rPr>
          <w:rFonts w:ascii="Arial" w:hAnsi="Arial"/>
          <w:w w:val="105"/>
          <w:sz w:val="16"/>
        </w:rPr>
        <w:t>of</w:t>
      </w:r>
      <w:r w:rsidRPr="00EB2BD8">
        <w:rPr>
          <w:rFonts w:ascii="Arial" w:hAnsi="Arial"/>
          <w:spacing w:val="-3"/>
          <w:w w:val="105"/>
          <w:sz w:val="16"/>
        </w:rPr>
        <w:t xml:space="preserve"> </w:t>
      </w:r>
      <w:r w:rsidRPr="00EB2BD8">
        <w:rPr>
          <w:rFonts w:ascii="Arial" w:hAnsi="Arial"/>
          <w:w w:val="105"/>
          <w:sz w:val="16"/>
        </w:rPr>
        <w:t>default</w:t>
      </w:r>
      <w:r w:rsidRPr="00EB2BD8">
        <w:rPr>
          <w:rFonts w:ascii="Arial" w:hAnsi="Arial"/>
          <w:spacing w:val="-3"/>
          <w:w w:val="105"/>
          <w:sz w:val="16"/>
        </w:rPr>
        <w:t xml:space="preserve"> </w:t>
      </w:r>
      <w:r w:rsidRPr="00EB2BD8">
        <w:rPr>
          <w:rFonts w:ascii="Arial" w:hAnsi="Arial"/>
          <w:w w:val="105"/>
          <w:sz w:val="16"/>
        </w:rPr>
        <w:t>and</w:t>
      </w:r>
      <w:r w:rsidRPr="00EB2BD8">
        <w:rPr>
          <w:rFonts w:ascii="Arial" w:hAnsi="Arial"/>
          <w:spacing w:val="-3"/>
          <w:w w:val="105"/>
          <w:sz w:val="16"/>
        </w:rPr>
        <w:t xml:space="preserve"> </w:t>
      </w:r>
      <w:r w:rsidRPr="00EB2BD8">
        <w:rPr>
          <w:rFonts w:ascii="Arial" w:hAnsi="Arial"/>
          <w:w w:val="105"/>
          <w:sz w:val="16"/>
        </w:rPr>
        <w:t>expected</w:t>
      </w:r>
      <w:r w:rsidRPr="00EB2BD8">
        <w:rPr>
          <w:rFonts w:ascii="Arial" w:hAnsi="Arial"/>
          <w:spacing w:val="-3"/>
          <w:w w:val="105"/>
          <w:sz w:val="16"/>
        </w:rPr>
        <w:t xml:space="preserve"> </w:t>
      </w:r>
      <w:r w:rsidRPr="00EB2BD8">
        <w:rPr>
          <w:rFonts w:ascii="Arial" w:hAnsi="Arial"/>
          <w:w w:val="105"/>
          <w:sz w:val="16"/>
        </w:rPr>
        <w:t>loss</w:t>
      </w:r>
      <w:r w:rsidRPr="00EB2BD8">
        <w:rPr>
          <w:rFonts w:ascii="Arial" w:hAnsi="Arial"/>
          <w:spacing w:val="-3"/>
          <w:w w:val="105"/>
          <w:sz w:val="16"/>
        </w:rPr>
        <w:t xml:space="preserve"> </w:t>
      </w:r>
      <w:r w:rsidRPr="00EB2BD8">
        <w:rPr>
          <w:rFonts w:ascii="Arial" w:hAnsi="Arial"/>
          <w:w w:val="105"/>
          <w:sz w:val="16"/>
        </w:rPr>
        <w:t>rates.</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VBA</w:t>
      </w:r>
      <w:r w:rsidRPr="00EB2BD8">
        <w:rPr>
          <w:rFonts w:ascii="Arial" w:hAnsi="Arial"/>
          <w:spacing w:val="-3"/>
          <w:w w:val="105"/>
          <w:sz w:val="16"/>
        </w:rPr>
        <w:t xml:space="preserve"> </w:t>
      </w:r>
      <w:r w:rsidRPr="00EB2BD8">
        <w:rPr>
          <w:rFonts w:ascii="Arial" w:hAnsi="Arial"/>
          <w:w w:val="105"/>
          <w:sz w:val="16"/>
        </w:rPr>
        <w:t>has</w:t>
      </w:r>
      <w:r w:rsidRPr="00EB2BD8">
        <w:rPr>
          <w:rFonts w:ascii="Arial" w:hAnsi="Arial"/>
          <w:spacing w:val="-3"/>
          <w:w w:val="105"/>
          <w:sz w:val="16"/>
        </w:rPr>
        <w:t xml:space="preserve"> </w:t>
      </w:r>
      <w:r w:rsidRPr="00EB2BD8">
        <w:rPr>
          <w:rFonts w:ascii="Arial" w:hAnsi="Arial"/>
          <w:w w:val="105"/>
          <w:sz w:val="16"/>
        </w:rPr>
        <w:t xml:space="preserve">grouped contractual receivables on shared credit risk characteristics and days past due and select the expected credit loss rate based on the VBA’s past history, existing market conditions, as well as forward looking estimates at the end of the financial </w:t>
      </w:r>
      <w:r w:rsidRPr="00EB2BD8">
        <w:rPr>
          <w:rFonts w:ascii="Arial" w:hAnsi="Arial"/>
          <w:spacing w:val="-2"/>
          <w:w w:val="105"/>
          <w:sz w:val="16"/>
        </w:rPr>
        <w:t>year.</w:t>
      </w:r>
    </w:p>
    <w:p w14:paraId="4BA711A5" w14:textId="77777777" w:rsidR="00084F36" w:rsidRPr="00EB2BD8" w:rsidRDefault="00084F36">
      <w:pPr>
        <w:pStyle w:val="BodyText"/>
        <w:spacing w:before="1"/>
        <w:rPr>
          <w:rFonts w:ascii="Arial"/>
          <w:sz w:val="19"/>
        </w:rPr>
      </w:pPr>
    </w:p>
    <w:p w14:paraId="635CC905" w14:textId="77777777" w:rsidR="00084F36" w:rsidRPr="00EB2BD8" w:rsidRDefault="00EB2BD8">
      <w:pPr>
        <w:ind w:left="1054"/>
        <w:rPr>
          <w:rFonts w:ascii="Arial"/>
          <w:sz w:val="16"/>
        </w:rPr>
      </w:pPr>
      <w:r w:rsidRPr="00EB2BD8">
        <w:rPr>
          <w:rFonts w:ascii="Arial"/>
          <w:w w:val="105"/>
          <w:sz w:val="16"/>
        </w:rPr>
        <w:t>On</w:t>
      </w:r>
      <w:r w:rsidRPr="00EB2BD8">
        <w:rPr>
          <w:rFonts w:ascii="Arial"/>
          <w:spacing w:val="-6"/>
          <w:w w:val="105"/>
          <w:sz w:val="16"/>
        </w:rPr>
        <w:t xml:space="preserve"> </w:t>
      </w:r>
      <w:r w:rsidRPr="00EB2BD8">
        <w:rPr>
          <w:rFonts w:ascii="Arial"/>
          <w:w w:val="105"/>
          <w:sz w:val="16"/>
        </w:rPr>
        <w:t>this</w:t>
      </w:r>
      <w:r w:rsidRPr="00EB2BD8">
        <w:rPr>
          <w:rFonts w:ascii="Arial"/>
          <w:spacing w:val="-6"/>
          <w:w w:val="105"/>
          <w:sz w:val="16"/>
        </w:rPr>
        <w:t xml:space="preserve"> </w:t>
      </w:r>
      <w:r w:rsidRPr="00EB2BD8">
        <w:rPr>
          <w:rFonts w:ascii="Arial"/>
          <w:w w:val="105"/>
          <w:sz w:val="16"/>
        </w:rPr>
        <w:t>basis,</w:t>
      </w:r>
      <w:r w:rsidRPr="00EB2BD8">
        <w:rPr>
          <w:rFonts w:ascii="Arial"/>
          <w:spacing w:val="-5"/>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VBA</w:t>
      </w:r>
      <w:r w:rsidRPr="00EB2BD8">
        <w:rPr>
          <w:rFonts w:ascii="Arial"/>
          <w:spacing w:val="-5"/>
          <w:w w:val="105"/>
          <w:sz w:val="16"/>
        </w:rPr>
        <w:t xml:space="preserve"> </w:t>
      </w:r>
      <w:r w:rsidRPr="00EB2BD8">
        <w:rPr>
          <w:rFonts w:ascii="Arial"/>
          <w:w w:val="105"/>
          <w:sz w:val="16"/>
        </w:rPr>
        <w:t>determines</w:t>
      </w:r>
      <w:r w:rsidRPr="00EB2BD8">
        <w:rPr>
          <w:rFonts w:ascii="Arial"/>
          <w:spacing w:val="-6"/>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closing</w:t>
      </w:r>
      <w:r w:rsidRPr="00EB2BD8">
        <w:rPr>
          <w:rFonts w:ascii="Arial"/>
          <w:spacing w:val="-6"/>
          <w:w w:val="105"/>
          <w:sz w:val="16"/>
        </w:rPr>
        <w:t xml:space="preserve"> </w:t>
      </w:r>
      <w:r w:rsidRPr="00EB2BD8">
        <w:rPr>
          <w:rFonts w:ascii="Arial"/>
          <w:w w:val="105"/>
          <w:sz w:val="16"/>
        </w:rPr>
        <w:t>loss</w:t>
      </w:r>
      <w:r w:rsidRPr="00EB2BD8">
        <w:rPr>
          <w:rFonts w:ascii="Arial"/>
          <w:spacing w:val="-5"/>
          <w:w w:val="105"/>
          <w:sz w:val="16"/>
        </w:rPr>
        <w:t xml:space="preserve"> </w:t>
      </w:r>
      <w:r w:rsidRPr="00EB2BD8">
        <w:rPr>
          <w:rFonts w:ascii="Arial"/>
          <w:w w:val="105"/>
          <w:sz w:val="16"/>
        </w:rPr>
        <w:t>allowance</w:t>
      </w:r>
      <w:r w:rsidRPr="00EB2BD8">
        <w:rPr>
          <w:rFonts w:ascii="Arial"/>
          <w:spacing w:val="-6"/>
          <w:w w:val="105"/>
          <w:sz w:val="16"/>
        </w:rPr>
        <w:t xml:space="preserve"> </w:t>
      </w:r>
      <w:r w:rsidRPr="00EB2BD8">
        <w:rPr>
          <w:rFonts w:ascii="Arial"/>
          <w:w w:val="105"/>
          <w:sz w:val="16"/>
        </w:rPr>
        <w:t>at</w:t>
      </w:r>
      <w:r w:rsidRPr="00EB2BD8">
        <w:rPr>
          <w:rFonts w:ascii="Arial"/>
          <w:spacing w:val="-5"/>
          <w:w w:val="105"/>
          <w:sz w:val="16"/>
        </w:rPr>
        <w:t xml:space="preserve"> </w:t>
      </w:r>
      <w:r w:rsidRPr="00EB2BD8">
        <w:rPr>
          <w:rFonts w:ascii="Arial"/>
          <w:w w:val="105"/>
          <w:sz w:val="16"/>
        </w:rPr>
        <w:t>end</w:t>
      </w:r>
      <w:r w:rsidRPr="00EB2BD8">
        <w:rPr>
          <w:rFonts w:ascii="Arial"/>
          <w:spacing w:val="-6"/>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the</w:t>
      </w:r>
      <w:r w:rsidRPr="00EB2BD8">
        <w:rPr>
          <w:rFonts w:ascii="Arial"/>
          <w:spacing w:val="-4"/>
          <w:w w:val="105"/>
          <w:sz w:val="16"/>
        </w:rPr>
        <w:t xml:space="preserve"> </w:t>
      </w:r>
      <w:r w:rsidRPr="00EB2BD8">
        <w:rPr>
          <w:rFonts w:ascii="Arial"/>
          <w:w w:val="105"/>
          <w:sz w:val="16"/>
        </w:rPr>
        <w:t>financial</w:t>
      </w:r>
      <w:r w:rsidRPr="00EB2BD8">
        <w:rPr>
          <w:rFonts w:ascii="Arial"/>
          <w:spacing w:val="-6"/>
          <w:w w:val="105"/>
          <w:sz w:val="16"/>
        </w:rPr>
        <w:t xml:space="preserve"> </w:t>
      </w:r>
      <w:r w:rsidRPr="00EB2BD8">
        <w:rPr>
          <w:rFonts w:ascii="Arial"/>
          <w:w w:val="105"/>
          <w:sz w:val="16"/>
        </w:rPr>
        <w:t>year</w:t>
      </w:r>
      <w:r w:rsidRPr="00EB2BD8">
        <w:rPr>
          <w:rFonts w:ascii="Arial"/>
          <w:spacing w:val="-5"/>
          <w:w w:val="105"/>
          <w:sz w:val="16"/>
        </w:rPr>
        <w:t xml:space="preserve"> </w:t>
      </w:r>
      <w:r w:rsidRPr="00EB2BD8">
        <w:rPr>
          <w:rFonts w:ascii="Arial"/>
          <w:w w:val="105"/>
          <w:sz w:val="16"/>
        </w:rPr>
        <w:t>as</w:t>
      </w:r>
      <w:r w:rsidRPr="00EB2BD8">
        <w:rPr>
          <w:rFonts w:ascii="Arial"/>
          <w:spacing w:val="-6"/>
          <w:w w:val="105"/>
          <w:sz w:val="16"/>
        </w:rPr>
        <w:t xml:space="preserve"> </w:t>
      </w:r>
      <w:r w:rsidRPr="00EB2BD8">
        <w:rPr>
          <w:rFonts w:ascii="Arial"/>
          <w:spacing w:val="-2"/>
          <w:w w:val="105"/>
          <w:sz w:val="16"/>
        </w:rPr>
        <w:t>follows:</w:t>
      </w:r>
    </w:p>
    <w:p w14:paraId="7998BC19" w14:textId="77777777" w:rsidR="00084F36" w:rsidRPr="00EB2BD8" w:rsidRDefault="00084F36">
      <w:pPr>
        <w:pStyle w:val="BodyText"/>
        <w:rPr>
          <w:rFonts w:ascii="Arial"/>
        </w:rPr>
      </w:pPr>
    </w:p>
    <w:p w14:paraId="737511E0" w14:textId="77777777" w:rsidR="00084F36" w:rsidRPr="00EB2BD8" w:rsidRDefault="00EB2BD8">
      <w:pPr>
        <w:spacing w:before="105" w:after="45"/>
        <w:ind w:right="1789"/>
        <w:jc w:val="right"/>
        <w:rPr>
          <w:rFonts w:ascii="Arial" w:hAnsi="Arial"/>
          <w:sz w:val="16"/>
        </w:rPr>
      </w:pPr>
      <w:r w:rsidRPr="00EB2BD8">
        <w:rPr>
          <w:rFonts w:ascii="Arial" w:hAnsi="Arial"/>
          <w:spacing w:val="-2"/>
          <w:w w:val="105"/>
          <w:sz w:val="16"/>
        </w:rPr>
        <w:t>($’000)</w:t>
      </w:r>
    </w:p>
    <w:tbl>
      <w:tblPr>
        <w:tblW w:w="0" w:type="auto"/>
        <w:tblInd w:w="1062" w:type="dxa"/>
        <w:tblLayout w:type="fixed"/>
        <w:tblCellMar>
          <w:left w:w="0" w:type="dxa"/>
          <w:right w:w="0" w:type="dxa"/>
        </w:tblCellMar>
        <w:tblLook w:val="01E0" w:firstRow="1" w:lastRow="1" w:firstColumn="1" w:lastColumn="1" w:noHBand="0" w:noVBand="0"/>
      </w:tblPr>
      <w:tblGrid>
        <w:gridCol w:w="3620"/>
        <w:gridCol w:w="1507"/>
        <w:gridCol w:w="778"/>
        <w:gridCol w:w="815"/>
        <w:gridCol w:w="898"/>
        <w:gridCol w:w="830"/>
        <w:gridCol w:w="707"/>
      </w:tblGrid>
      <w:tr w:rsidR="00EB2BD8" w:rsidRPr="00EB2BD8" w14:paraId="5D2C3DB3" w14:textId="77777777">
        <w:trPr>
          <w:trHeight w:val="726"/>
        </w:trPr>
        <w:tc>
          <w:tcPr>
            <w:tcW w:w="3620" w:type="dxa"/>
            <w:tcBorders>
              <w:top w:val="single" w:sz="4" w:space="0" w:color="0098FF"/>
              <w:left w:val="single" w:sz="4" w:space="0" w:color="0098FF"/>
              <w:bottom w:val="single" w:sz="4" w:space="0" w:color="0098FF"/>
            </w:tcBorders>
            <w:shd w:val="clear" w:color="auto" w:fill="0070C0"/>
          </w:tcPr>
          <w:p w14:paraId="6D3BB5E2" w14:textId="77777777" w:rsidR="00084F36" w:rsidRPr="00EB2BD8" w:rsidRDefault="00084F36">
            <w:pPr>
              <w:pStyle w:val="TableParagraph"/>
              <w:rPr>
                <w:rFonts w:ascii="Arial"/>
                <w:sz w:val="18"/>
              </w:rPr>
            </w:pPr>
          </w:p>
          <w:p w14:paraId="26BD9484" w14:textId="77777777" w:rsidR="00084F36" w:rsidRPr="00EB2BD8" w:rsidRDefault="00084F36">
            <w:pPr>
              <w:pStyle w:val="TableParagraph"/>
              <w:rPr>
                <w:rFonts w:ascii="Arial"/>
                <w:sz w:val="18"/>
              </w:rPr>
            </w:pPr>
          </w:p>
          <w:p w14:paraId="51F757B4" w14:textId="77777777" w:rsidR="00084F36" w:rsidRPr="00EB2BD8" w:rsidRDefault="00EB2BD8">
            <w:pPr>
              <w:pStyle w:val="TableParagraph"/>
              <w:spacing w:before="127" w:line="165" w:lineRule="exact"/>
              <w:ind w:left="100"/>
              <w:rPr>
                <w:rFonts w:ascii="Arial"/>
                <w:b/>
                <w:sz w:val="16"/>
              </w:rPr>
            </w:pPr>
            <w:r w:rsidRPr="00EB2BD8">
              <w:rPr>
                <w:rFonts w:ascii="Arial"/>
                <w:b/>
                <w:w w:val="105"/>
                <w:sz w:val="16"/>
              </w:rPr>
              <w:t>30</w:t>
            </w:r>
            <w:r w:rsidRPr="00EB2BD8">
              <w:rPr>
                <w:rFonts w:ascii="Arial"/>
                <w:b/>
                <w:spacing w:val="-4"/>
                <w:w w:val="105"/>
                <w:sz w:val="16"/>
              </w:rPr>
              <w:t xml:space="preserve"> </w:t>
            </w:r>
            <w:r w:rsidRPr="00EB2BD8">
              <w:rPr>
                <w:rFonts w:ascii="Arial"/>
                <w:b/>
                <w:w w:val="105"/>
                <w:sz w:val="16"/>
              </w:rPr>
              <w:t>June</w:t>
            </w:r>
            <w:r w:rsidRPr="00EB2BD8">
              <w:rPr>
                <w:rFonts w:ascii="Arial"/>
                <w:b/>
                <w:spacing w:val="-4"/>
                <w:w w:val="105"/>
                <w:sz w:val="16"/>
              </w:rPr>
              <w:t xml:space="preserve"> 2023</w:t>
            </w:r>
          </w:p>
        </w:tc>
        <w:tc>
          <w:tcPr>
            <w:tcW w:w="1507" w:type="dxa"/>
            <w:tcBorders>
              <w:top w:val="single" w:sz="4" w:space="0" w:color="0098FF"/>
              <w:bottom w:val="single" w:sz="4" w:space="0" w:color="0098FF"/>
            </w:tcBorders>
            <w:shd w:val="clear" w:color="auto" w:fill="0070C0"/>
          </w:tcPr>
          <w:p w14:paraId="18EC86BC" w14:textId="77777777" w:rsidR="00084F36" w:rsidRPr="00EB2BD8" w:rsidRDefault="00084F36">
            <w:pPr>
              <w:pStyle w:val="TableParagraph"/>
              <w:spacing w:before="9"/>
              <w:rPr>
                <w:rFonts w:ascii="Arial"/>
                <w:sz w:val="23"/>
              </w:rPr>
            </w:pPr>
          </w:p>
          <w:p w14:paraId="44F994D1" w14:textId="77777777" w:rsidR="00084F36" w:rsidRPr="00EB2BD8" w:rsidRDefault="00EB2BD8">
            <w:pPr>
              <w:pStyle w:val="TableParagraph"/>
              <w:ind w:right="155"/>
              <w:jc w:val="right"/>
              <w:rPr>
                <w:rFonts w:ascii="Arial"/>
                <w:b/>
                <w:sz w:val="16"/>
              </w:rPr>
            </w:pPr>
            <w:r w:rsidRPr="00EB2BD8">
              <w:rPr>
                <w:rFonts w:ascii="Arial"/>
                <w:b/>
                <w:spacing w:val="-2"/>
                <w:w w:val="105"/>
                <w:sz w:val="16"/>
              </w:rPr>
              <w:t>Current</w:t>
            </w:r>
          </w:p>
        </w:tc>
        <w:tc>
          <w:tcPr>
            <w:tcW w:w="778" w:type="dxa"/>
            <w:tcBorders>
              <w:top w:val="single" w:sz="4" w:space="0" w:color="0098FF"/>
              <w:bottom w:val="single" w:sz="4" w:space="0" w:color="0098FF"/>
            </w:tcBorders>
            <w:shd w:val="clear" w:color="auto" w:fill="0070C0"/>
          </w:tcPr>
          <w:p w14:paraId="35CEEA72" w14:textId="77777777" w:rsidR="00084F36" w:rsidRPr="00EB2BD8" w:rsidRDefault="00EB2BD8">
            <w:pPr>
              <w:pStyle w:val="TableParagraph"/>
              <w:spacing w:before="81" w:line="252" w:lineRule="auto"/>
              <w:ind w:left="167" w:right="95" w:firstLine="131"/>
              <w:jc w:val="both"/>
              <w:rPr>
                <w:rFonts w:ascii="Arial"/>
                <w:b/>
                <w:sz w:val="16"/>
              </w:rPr>
            </w:pPr>
            <w:r w:rsidRPr="00EB2BD8">
              <w:rPr>
                <w:rFonts w:ascii="Arial"/>
                <w:b/>
                <w:spacing w:val="-4"/>
                <w:w w:val="105"/>
                <w:sz w:val="16"/>
              </w:rPr>
              <w:t xml:space="preserve">Less </w:t>
            </w:r>
            <w:r w:rsidRPr="00EB2BD8">
              <w:rPr>
                <w:rFonts w:ascii="Arial"/>
                <w:b/>
                <w:w w:val="105"/>
                <w:sz w:val="16"/>
              </w:rPr>
              <w:t>than</w:t>
            </w:r>
            <w:r w:rsidRPr="00EB2BD8">
              <w:rPr>
                <w:rFonts w:ascii="Arial"/>
                <w:b/>
                <w:spacing w:val="-12"/>
                <w:w w:val="105"/>
                <w:sz w:val="16"/>
              </w:rPr>
              <w:t xml:space="preserve"> </w:t>
            </w:r>
            <w:r w:rsidRPr="00EB2BD8">
              <w:rPr>
                <w:rFonts w:ascii="Arial"/>
                <w:b/>
                <w:w w:val="105"/>
                <w:sz w:val="16"/>
              </w:rPr>
              <w:t xml:space="preserve">1 </w:t>
            </w:r>
            <w:r w:rsidRPr="00EB2BD8">
              <w:rPr>
                <w:rFonts w:ascii="Arial"/>
                <w:b/>
                <w:spacing w:val="-2"/>
                <w:w w:val="105"/>
                <w:sz w:val="16"/>
              </w:rPr>
              <w:t>month</w:t>
            </w:r>
          </w:p>
        </w:tc>
        <w:tc>
          <w:tcPr>
            <w:tcW w:w="815" w:type="dxa"/>
            <w:tcBorders>
              <w:top w:val="single" w:sz="4" w:space="0" w:color="0098FF"/>
              <w:bottom w:val="single" w:sz="4" w:space="0" w:color="0098FF"/>
            </w:tcBorders>
            <w:shd w:val="clear" w:color="auto" w:fill="0070C0"/>
          </w:tcPr>
          <w:p w14:paraId="5E04ED0E" w14:textId="77777777" w:rsidR="00084F36" w:rsidRPr="00EB2BD8" w:rsidRDefault="00084F36">
            <w:pPr>
              <w:pStyle w:val="TableParagraph"/>
              <w:spacing w:before="9"/>
              <w:rPr>
                <w:rFonts w:ascii="Arial"/>
                <w:sz w:val="23"/>
              </w:rPr>
            </w:pPr>
          </w:p>
          <w:p w14:paraId="7E072386" w14:textId="77777777" w:rsidR="00084F36" w:rsidRPr="00EB2BD8" w:rsidRDefault="00EB2BD8">
            <w:pPr>
              <w:pStyle w:val="TableParagraph"/>
              <w:ind w:right="94"/>
              <w:jc w:val="right"/>
              <w:rPr>
                <w:rFonts w:ascii="Arial"/>
                <w:b/>
                <w:sz w:val="16"/>
              </w:rPr>
            </w:pPr>
            <w:r w:rsidRPr="00EB2BD8">
              <w:rPr>
                <w:rFonts w:ascii="Arial"/>
                <w:b/>
                <w:sz w:val="16"/>
              </w:rPr>
              <w:t>1-</w:t>
            </w:r>
            <w:r w:rsidRPr="00EB2BD8">
              <w:rPr>
                <w:rFonts w:ascii="Arial"/>
                <w:b/>
                <w:spacing w:val="-10"/>
                <w:sz w:val="16"/>
              </w:rPr>
              <w:t>3</w:t>
            </w:r>
          </w:p>
          <w:p w14:paraId="72EACC07" w14:textId="77777777" w:rsidR="00084F36" w:rsidRPr="00EB2BD8" w:rsidRDefault="00EB2BD8">
            <w:pPr>
              <w:pStyle w:val="TableParagraph"/>
              <w:spacing w:before="10"/>
              <w:ind w:right="94"/>
              <w:jc w:val="right"/>
              <w:rPr>
                <w:rFonts w:ascii="Arial"/>
                <w:b/>
                <w:sz w:val="16"/>
              </w:rPr>
            </w:pPr>
            <w:r w:rsidRPr="00EB2BD8">
              <w:rPr>
                <w:rFonts w:ascii="Arial"/>
                <w:b/>
                <w:spacing w:val="-2"/>
                <w:w w:val="105"/>
                <w:sz w:val="16"/>
              </w:rPr>
              <w:t>months</w:t>
            </w:r>
          </w:p>
        </w:tc>
        <w:tc>
          <w:tcPr>
            <w:tcW w:w="898" w:type="dxa"/>
            <w:tcBorders>
              <w:top w:val="single" w:sz="4" w:space="0" w:color="0098FF"/>
              <w:bottom w:val="single" w:sz="4" w:space="0" w:color="0098FF"/>
            </w:tcBorders>
            <w:shd w:val="clear" w:color="auto" w:fill="0070C0"/>
          </w:tcPr>
          <w:p w14:paraId="34A22E97" w14:textId="77777777" w:rsidR="00084F36" w:rsidRPr="00EB2BD8" w:rsidRDefault="00EB2BD8">
            <w:pPr>
              <w:pStyle w:val="TableParagraph"/>
              <w:spacing w:before="81"/>
              <w:ind w:right="174"/>
              <w:jc w:val="right"/>
              <w:rPr>
                <w:rFonts w:ascii="Arial"/>
                <w:b/>
                <w:sz w:val="16"/>
              </w:rPr>
            </w:pPr>
            <w:r w:rsidRPr="00EB2BD8">
              <w:rPr>
                <w:rFonts w:ascii="Arial"/>
                <w:b/>
                <w:w w:val="104"/>
                <w:sz w:val="16"/>
              </w:rPr>
              <w:t>3</w:t>
            </w:r>
          </w:p>
          <w:p w14:paraId="4CE22F0C" w14:textId="77777777" w:rsidR="00084F36" w:rsidRPr="00EB2BD8" w:rsidRDefault="00EB2BD8">
            <w:pPr>
              <w:pStyle w:val="TableParagraph"/>
              <w:spacing w:before="8"/>
              <w:ind w:right="174"/>
              <w:jc w:val="right"/>
              <w:rPr>
                <w:rFonts w:ascii="Arial"/>
                <w:b/>
                <w:sz w:val="16"/>
              </w:rPr>
            </w:pPr>
            <w:r w:rsidRPr="00EB2BD8">
              <w:rPr>
                <w:rFonts w:ascii="Arial"/>
                <w:b/>
                <w:spacing w:val="-2"/>
                <w:w w:val="105"/>
                <w:sz w:val="16"/>
              </w:rPr>
              <w:t>months</w:t>
            </w:r>
          </w:p>
          <w:p w14:paraId="1C33B12F" w14:textId="77777777" w:rsidR="00084F36" w:rsidRPr="00EB2BD8" w:rsidRDefault="00EB2BD8">
            <w:pPr>
              <w:pStyle w:val="TableParagraph"/>
              <w:spacing w:before="10"/>
              <w:ind w:right="176"/>
              <w:jc w:val="right"/>
              <w:rPr>
                <w:rFonts w:ascii="Arial"/>
                <w:b/>
                <w:sz w:val="16"/>
              </w:rPr>
            </w:pPr>
            <w:r w:rsidRPr="00EB2BD8">
              <w:rPr>
                <w:rFonts w:ascii="Arial"/>
                <w:b/>
                <w:w w:val="105"/>
                <w:sz w:val="16"/>
              </w:rPr>
              <w:t>-</w:t>
            </w:r>
            <w:r w:rsidRPr="00EB2BD8">
              <w:rPr>
                <w:rFonts w:ascii="Arial"/>
                <w:b/>
                <w:spacing w:val="-1"/>
                <w:w w:val="105"/>
                <w:sz w:val="16"/>
              </w:rPr>
              <w:t xml:space="preserve"> </w:t>
            </w:r>
            <w:r w:rsidRPr="00EB2BD8">
              <w:rPr>
                <w:rFonts w:ascii="Arial"/>
                <w:b/>
                <w:w w:val="105"/>
                <w:sz w:val="16"/>
              </w:rPr>
              <w:t>1</w:t>
            </w:r>
            <w:r w:rsidRPr="00EB2BD8">
              <w:rPr>
                <w:rFonts w:ascii="Arial"/>
                <w:b/>
                <w:spacing w:val="-1"/>
                <w:w w:val="105"/>
                <w:sz w:val="16"/>
              </w:rPr>
              <w:t xml:space="preserve"> </w:t>
            </w:r>
            <w:r w:rsidRPr="00EB2BD8">
              <w:rPr>
                <w:rFonts w:ascii="Arial"/>
                <w:b/>
                <w:spacing w:val="-4"/>
                <w:w w:val="105"/>
                <w:sz w:val="16"/>
              </w:rPr>
              <w:t>year</w:t>
            </w:r>
          </w:p>
        </w:tc>
        <w:tc>
          <w:tcPr>
            <w:tcW w:w="830" w:type="dxa"/>
            <w:tcBorders>
              <w:top w:val="single" w:sz="4" w:space="0" w:color="0098FF"/>
              <w:bottom w:val="single" w:sz="4" w:space="0" w:color="0098FF"/>
            </w:tcBorders>
            <w:shd w:val="clear" w:color="auto" w:fill="0070C0"/>
          </w:tcPr>
          <w:p w14:paraId="0621190A" w14:textId="77777777" w:rsidR="00084F36" w:rsidRPr="00EB2BD8" w:rsidRDefault="00084F36">
            <w:pPr>
              <w:pStyle w:val="TableParagraph"/>
              <w:spacing w:before="9"/>
              <w:rPr>
                <w:rFonts w:ascii="Arial"/>
                <w:sz w:val="23"/>
              </w:rPr>
            </w:pPr>
          </w:p>
          <w:p w14:paraId="3ECA5A9E" w14:textId="77777777" w:rsidR="00084F36" w:rsidRPr="00EB2BD8" w:rsidRDefault="00EB2BD8">
            <w:pPr>
              <w:pStyle w:val="TableParagraph"/>
              <w:ind w:right="193"/>
              <w:jc w:val="right"/>
              <w:rPr>
                <w:rFonts w:ascii="Arial"/>
                <w:b/>
                <w:sz w:val="16"/>
              </w:rPr>
            </w:pPr>
            <w:r w:rsidRPr="00EB2BD8">
              <w:rPr>
                <w:rFonts w:ascii="Arial"/>
                <w:b/>
                <w:sz w:val="16"/>
              </w:rPr>
              <w:t>1-</w:t>
            </w:r>
            <w:r w:rsidRPr="00EB2BD8">
              <w:rPr>
                <w:rFonts w:ascii="Arial"/>
                <w:b/>
                <w:spacing w:val="-10"/>
                <w:sz w:val="16"/>
              </w:rPr>
              <w:t>5</w:t>
            </w:r>
          </w:p>
          <w:p w14:paraId="74032BE6" w14:textId="77777777" w:rsidR="00084F36" w:rsidRPr="00EB2BD8" w:rsidRDefault="00EB2BD8">
            <w:pPr>
              <w:pStyle w:val="TableParagraph"/>
              <w:spacing w:before="10"/>
              <w:ind w:right="193"/>
              <w:jc w:val="right"/>
              <w:rPr>
                <w:rFonts w:ascii="Arial"/>
                <w:b/>
                <w:sz w:val="16"/>
              </w:rPr>
            </w:pPr>
            <w:r w:rsidRPr="00EB2BD8">
              <w:rPr>
                <w:rFonts w:ascii="Arial"/>
                <w:b/>
                <w:spacing w:val="-2"/>
                <w:w w:val="105"/>
                <w:sz w:val="16"/>
              </w:rPr>
              <w:t>years</w:t>
            </w:r>
          </w:p>
        </w:tc>
        <w:tc>
          <w:tcPr>
            <w:tcW w:w="707" w:type="dxa"/>
            <w:tcBorders>
              <w:top w:val="single" w:sz="4" w:space="0" w:color="0098FF"/>
              <w:bottom w:val="single" w:sz="4" w:space="0" w:color="0098FF"/>
              <w:right w:val="single" w:sz="4" w:space="0" w:color="0098FF"/>
            </w:tcBorders>
            <w:shd w:val="clear" w:color="auto" w:fill="0070C0"/>
          </w:tcPr>
          <w:p w14:paraId="38B801DA" w14:textId="77777777" w:rsidR="00084F36" w:rsidRPr="00EB2BD8" w:rsidRDefault="00084F36">
            <w:pPr>
              <w:pStyle w:val="TableParagraph"/>
              <w:spacing w:before="9"/>
              <w:rPr>
                <w:rFonts w:ascii="Arial"/>
                <w:sz w:val="23"/>
              </w:rPr>
            </w:pPr>
          </w:p>
          <w:p w14:paraId="062BE63C" w14:textId="77777777" w:rsidR="00084F36" w:rsidRPr="00EB2BD8" w:rsidRDefault="00EB2BD8">
            <w:pPr>
              <w:pStyle w:val="TableParagraph"/>
              <w:ind w:right="82"/>
              <w:jc w:val="right"/>
              <w:rPr>
                <w:rFonts w:ascii="Arial"/>
                <w:b/>
                <w:sz w:val="16"/>
              </w:rPr>
            </w:pPr>
            <w:r w:rsidRPr="00EB2BD8">
              <w:rPr>
                <w:rFonts w:ascii="Arial"/>
                <w:b/>
                <w:spacing w:val="-2"/>
                <w:w w:val="105"/>
                <w:sz w:val="16"/>
              </w:rPr>
              <w:t>Total</w:t>
            </w:r>
          </w:p>
        </w:tc>
      </w:tr>
      <w:tr w:rsidR="00EB2BD8" w:rsidRPr="00EB2BD8" w14:paraId="55F8C5B1" w14:textId="77777777">
        <w:trPr>
          <w:trHeight w:val="301"/>
        </w:trPr>
        <w:tc>
          <w:tcPr>
            <w:tcW w:w="3620" w:type="dxa"/>
            <w:tcBorders>
              <w:top w:val="single" w:sz="4" w:space="0" w:color="0098FF"/>
            </w:tcBorders>
            <w:shd w:val="clear" w:color="auto" w:fill="DEEAF6"/>
          </w:tcPr>
          <w:p w14:paraId="0547D4D2" w14:textId="77777777" w:rsidR="00084F36" w:rsidRPr="00EB2BD8" w:rsidRDefault="00EB2BD8">
            <w:pPr>
              <w:pStyle w:val="TableParagraph"/>
              <w:spacing w:before="60"/>
              <w:ind w:left="105"/>
              <w:rPr>
                <w:rFonts w:ascii="Arial"/>
                <w:sz w:val="16"/>
              </w:rPr>
            </w:pPr>
            <w:r w:rsidRPr="00EB2BD8">
              <w:rPr>
                <w:rFonts w:ascii="Arial"/>
                <w:w w:val="105"/>
                <w:sz w:val="16"/>
              </w:rPr>
              <w:t>Expected</w:t>
            </w:r>
            <w:r w:rsidRPr="00EB2BD8">
              <w:rPr>
                <w:rFonts w:ascii="Arial"/>
                <w:spacing w:val="-8"/>
                <w:w w:val="105"/>
                <w:sz w:val="16"/>
              </w:rPr>
              <w:t xml:space="preserve"> </w:t>
            </w:r>
            <w:r w:rsidRPr="00EB2BD8">
              <w:rPr>
                <w:rFonts w:ascii="Arial"/>
                <w:w w:val="105"/>
                <w:sz w:val="16"/>
              </w:rPr>
              <w:t>loss</w:t>
            </w:r>
            <w:r w:rsidRPr="00EB2BD8">
              <w:rPr>
                <w:rFonts w:ascii="Arial"/>
                <w:spacing w:val="-7"/>
                <w:w w:val="105"/>
                <w:sz w:val="16"/>
              </w:rPr>
              <w:t xml:space="preserve"> </w:t>
            </w:r>
            <w:r w:rsidRPr="00EB2BD8">
              <w:rPr>
                <w:rFonts w:ascii="Arial"/>
                <w:spacing w:val="-4"/>
                <w:w w:val="105"/>
                <w:sz w:val="16"/>
              </w:rPr>
              <w:t>rate</w:t>
            </w:r>
          </w:p>
        </w:tc>
        <w:tc>
          <w:tcPr>
            <w:tcW w:w="1507" w:type="dxa"/>
            <w:tcBorders>
              <w:top w:val="single" w:sz="4" w:space="0" w:color="0098FF"/>
            </w:tcBorders>
            <w:shd w:val="clear" w:color="auto" w:fill="DEEAF6"/>
          </w:tcPr>
          <w:p w14:paraId="2FBC3922" w14:textId="77777777" w:rsidR="00084F36" w:rsidRPr="00EB2BD8" w:rsidRDefault="00EB2BD8">
            <w:pPr>
              <w:pStyle w:val="TableParagraph"/>
              <w:spacing w:before="60"/>
              <w:ind w:right="155"/>
              <w:jc w:val="right"/>
              <w:rPr>
                <w:rFonts w:ascii="Arial"/>
                <w:sz w:val="16"/>
              </w:rPr>
            </w:pPr>
            <w:r w:rsidRPr="00EB2BD8">
              <w:rPr>
                <w:rFonts w:ascii="Arial"/>
                <w:spacing w:val="-5"/>
                <w:w w:val="105"/>
                <w:sz w:val="16"/>
              </w:rPr>
              <w:t>10%</w:t>
            </w:r>
          </w:p>
        </w:tc>
        <w:tc>
          <w:tcPr>
            <w:tcW w:w="778" w:type="dxa"/>
            <w:tcBorders>
              <w:top w:val="single" w:sz="4" w:space="0" w:color="0098FF"/>
            </w:tcBorders>
            <w:shd w:val="clear" w:color="auto" w:fill="DEEAF6"/>
          </w:tcPr>
          <w:p w14:paraId="62E893B5" w14:textId="77777777" w:rsidR="00084F36" w:rsidRPr="00EB2BD8" w:rsidRDefault="00EB2BD8">
            <w:pPr>
              <w:pStyle w:val="TableParagraph"/>
              <w:spacing w:before="60"/>
              <w:ind w:right="97"/>
              <w:jc w:val="right"/>
              <w:rPr>
                <w:rFonts w:ascii="Arial"/>
                <w:sz w:val="16"/>
              </w:rPr>
            </w:pPr>
            <w:r w:rsidRPr="00EB2BD8">
              <w:rPr>
                <w:rFonts w:ascii="Arial"/>
                <w:spacing w:val="-5"/>
                <w:w w:val="105"/>
                <w:sz w:val="16"/>
              </w:rPr>
              <w:t>12%</w:t>
            </w:r>
          </w:p>
        </w:tc>
        <w:tc>
          <w:tcPr>
            <w:tcW w:w="815" w:type="dxa"/>
            <w:tcBorders>
              <w:top w:val="single" w:sz="4" w:space="0" w:color="0098FF"/>
            </w:tcBorders>
            <w:shd w:val="clear" w:color="auto" w:fill="DEEAF6"/>
          </w:tcPr>
          <w:p w14:paraId="0F77761A" w14:textId="77777777" w:rsidR="00084F36" w:rsidRPr="00EB2BD8" w:rsidRDefault="00EB2BD8">
            <w:pPr>
              <w:pStyle w:val="TableParagraph"/>
              <w:spacing w:before="60"/>
              <w:ind w:right="95"/>
              <w:jc w:val="right"/>
              <w:rPr>
                <w:rFonts w:ascii="Arial"/>
                <w:sz w:val="16"/>
              </w:rPr>
            </w:pPr>
            <w:r w:rsidRPr="00EB2BD8">
              <w:rPr>
                <w:rFonts w:ascii="Arial"/>
                <w:spacing w:val="-5"/>
                <w:w w:val="105"/>
                <w:sz w:val="16"/>
              </w:rPr>
              <w:t>15%</w:t>
            </w:r>
          </w:p>
        </w:tc>
        <w:tc>
          <w:tcPr>
            <w:tcW w:w="898" w:type="dxa"/>
            <w:tcBorders>
              <w:top w:val="single" w:sz="4" w:space="0" w:color="0098FF"/>
            </w:tcBorders>
            <w:shd w:val="clear" w:color="auto" w:fill="DEEAF6"/>
          </w:tcPr>
          <w:p w14:paraId="74FA73C5" w14:textId="77777777" w:rsidR="00084F36" w:rsidRPr="00EB2BD8" w:rsidRDefault="00EB2BD8">
            <w:pPr>
              <w:pStyle w:val="TableParagraph"/>
              <w:spacing w:before="60"/>
              <w:ind w:right="176"/>
              <w:jc w:val="right"/>
              <w:rPr>
                <w:rFonts w:ascii="Arial"/>
                <w:sz w:val="16"/>
              </w:rPr>
            </w:pPr>
            <w:r w:rsidRPr="00EB2BD8">
              <w:rPr>
                <w:rFonts w:ascii="Arial"/>
                <w:spacing w:val="-5"/>
                <w:w w:val="105"/>
                <w:sz w:val="16"/>
              </w:rPr>
              <w:t>48%</w:t>
            </w:r>
          </w:p>
        </w:tc>
        <w:tc>
          <w:tcPr>
            <w:tcW w:w="830" w:type="dxa"/>
            <w:tcBorders>
              <w:top w:val="single" w:sz="4" w:space="0" w:color="0098FF"/>
            </w:tcBorders>
            <w:shd w:val="clear" w:color="auto" w:fill="DEEAF6"/>
          </w:tcPr>
          <w:p w14:paraId="473852D6" w14:textId="77777777" w:rsidR="00084F36" w:rsidRPr="00EB2BD8" w:rsidRDefault="00EB2BD8">
            <w:pPr>
              <w:pStyle w:val="TableParagraph"/>
              <w:spacing w:before="60"/>
              <w:ind w:right="193"/>
              <w:jc w:val="right"/>
              <w:rPr>
                <w:rFonts w:ascii="Arial"/>
                <w:sz w:val="16"/>
              </w:rPr>
            </w:pPr>
            <w:r w:rsidRPr="00EB2BD8">
              <w:rPr>
                <w:rFonts w:ascii="Arial"/>
                <w:spacing w:val="-4"/>
                <w:w w:val="105"/>
                <w:sz w:val="16"/>
              </w:rPr>
              <w:t>100%</w:t>
            </w:r>
          </w:p>
        </w:tc>
        <w:tc>
          <w:tcPr>
            <w:tcW w:w="707" w:type="dxa"/>
            <w:tcBorders>
              <w:top w:val="single" w:sz="4" w:space="0" w:color="0098FF"/>
            </w:tcBorders>
            <w:shd w:val="clear" w:color="auto" w:fill="DEEAF6"/>
          </w:tcPr>
          <w:p w14:paraId="56CEC8C3" w14:textId="77777777" w:rsidR="00084F36" w:rsidRPr="00EB2BD8" w:rsidRDefault="00084F36">
            <w:pPr>
              <w:pStyle w:val="TableParagraph"/>
              <w:rPr>
                <w:rFonts w:ascii="Times New Roman"/>
                <w:sz w:val="16"/>
              </w:rPr>
            </w:pPr>
          </w:p>
        </w:tc>
      </w:tr>
      <w:tr w:rsidR="00EB2BD8" w:rsidRPr="00EB2BD8" w14:paraId="5971C781" w14:textId="77777777">
        <w:trPr>
          <w:trHeight w:val="295"/>
        </w:trPr>
        <w:tc>
          <w:tcPr>
            <w:tcW w:w="3620" w:type="dxa"/>
            <w:tcBorders>
              <w:bottom w:val="single" w:sz="12" w:space="0" w:color="000000"/>
            </w:tcBorders>
            <w:shd w:val="clear" w:color="auto" w:fill="DEEAF6"/>
          </w:tcPr>
          <w:p w14:paraId="43C503DF" w14:textId="77777777" w:rsidR="00084F36" w:rsidRPr="00EB2BD8" w:rsidRDefault="00EB2BD8">
            <w:pPr>
              <w:pStyle w:val="TableParagraph"/>
              <w:spacing w:before="57"/>
              <w:ind w:left="105"/>
              <w:rPr>
                <w:rFonts w:ascii="Arial"/>
                <w:sz w:val="16"/>
              </w:rPr>
            </w:pPr>
            <w:r w:rsidRPr="00EB2BD8">
              <w:rPr>
                <w:rFonts w:ascii="Arial"/>
                <w:spacing w:val="-2"/>
                <w:w w:val="105"/>
                <w:sz w:val="16"/>
              </w:rPr>
              <w:t>Contractual</w:t>
            </w:r>
            <w:r w:rsidRPr="00EB2BD8">
              <w:rPr>
                <w:rFonts w:ascii="Arial"/>
                <w:spacing w:val="8"/>
                <w:w w:val="105"/>
                <w:sz w:val="16"/>
              </w:rPr>
              <w:t xml:space="preserve"> </w:t>
            </w:r>
            <w:r w:rsidRPr="00EB2BD8">
              <w:rPr>
                <w:rFonts w:ascii="Arial"/>
                <w:spacing w:val="-2"/>
                <w:w w:val="105"/>
                <w:sz w:val="16"/>
              </w:rPr>
              <w:t>Receivables</w:t>
            </w:r>
          </w:p>
        </w:tc>
        <w:tc>
          <w:tcPr>
            <w:tcW w:w="1507" w:type="dxa"/>
            <w:tcBorders>
              <w:bottom w:val="single" w:sz="12" w:space="0" w:color="000000"/>
            </w:tcBorders>
            <w:shd w:val="clear" w:color="auto" w:fill="DEEAF6"/>
          </w:tcPr>
          <w:p w14:paraId="7832636A" w14:textId="77777777" w:rsidR="00084F36" w:rsidRPr="00EB2BD8" w:rsidRDefault="00EB2BD8">
            <w:pPr>
              <w:pStyle w:val="TableParagraph"/>
              <w:spacing w:before="57"/>
              <w:ind w:right="155"/>
              <w:jc w:val="right"/>
              <w:rPr>
                <w:rFonts w:ascii="Arial"/>
                <w:sz w:val="16"/>
              </w:rPr>
            </w:pPr>
            <w:r w:rsidRPr="00EB2BD8">
              <w:rPr>
                <w:rFonts w:ascii="Arial"/>
                <w:spacing w:val="-5"/>
                <w:w w:val="105"/>
                <w:sz w:val="16"/>
              </w:rPr>
              <w:t>24</w:t>
            </w:r>
          </w:p>
        </w:tc>
        <w:tc>
          <w:tcPr>
            <w:tcW w:w="778" w:type="dxa"/>
            <w:tcBorders>
              <w:bottom w:val="single" w:sz="12" w:space="0" w:color="000000"/>
            </w:tcBorders>
            <w:shd w:val="clear" w:color="auto" w:fill="DEEAF6"/>
          </w:tcPr>
          <w:p w14:paraId="401CDECE" w14:textId="77777777" w:rsidR="00084F36" w:rsidRPr="00EB2BD8" w:rsidRDefault="00EB2BD8">
            <w:pPr>
              <w:pStyle w:val="TableParagraph"/>
              <w:spacing w:before="57"/>
              <w:ind w:right="95"/>
              <w:jc w:val="right"/>
              <w:rPr>
                <w:rFonts w:ascii="Arial"/>
                <w:sz w:val="16"/>
              </w:rPr>
            </w:pPr>
            <w:r w:rsidRPr="00EB2BD8">
              <w:rPr>
                <w:rFonts w:ascii="Arial"/>
                <w:w w:val="104"/>
                <w:sz w:val="16"/>
              </w:rPr>
              <w:t>-</w:t>
            </w:r>
          </w:p>
        </w:tc>
        <w:tc>
          <w:tcPr>
            <w:tcW w:w="815" w:type="dxa"/>
            <w:tcBorders>
              <w:bottom w:val="single" w:sz="12" w:space="0" w:color="000000"/>
            </w:tcBorders>
            <w:shd w:val="clear" w:color="auto" w:fill="DEEAF6"/>
          </w:tcPr>
          <w:p w14:paraId="2E9C6412" w14:textId="77777777" w:rsidR="00084F36" w:rsidRPr="00EB2BD8" w:rsidRDefault="00EB2BD8">
            <w:pPr>
              <w:pStyle w:val="TableParagraph"/>
              <w:spacing w:before="57"/>
              <w:ind w:right="94"/>
              <w:jc w:val="right"/>
              <w:rPr>
                <w:rFonts w:ascii="Arial"/>
                <w:sz w:val="16"/>
              </w:rPr>
            </w:pPr>
            <w:r w:rsidRPr="00EB2BD8">
              <w:rPr>
                <w:rFonts w:ascii="Arial"/>
                <w:w w:val="104"/>
                <w:sz w:val="16"/>
              </w:rPr>
              <w:t>-</w:t>
            </w:r>
          </w:p>
        </w:tc>
        <w:tc>
          <w:tcPr>
            <w:tcW w:w="898" w:type="dxa"/>
            <w:tcBorders>
              <w:bottom w:val="single" w:sz="12" w:space="0" w:color="000000"/>
            </w:tcBorders>
            <w:shd w:val="clear" w:color="auto" w:fill="DEEAF6"/>
          </w:tcPr>
          <w:p w14:paraId="40B7DB35" w14:textId="77777777" w:rsidR="00084F36" w:rsidRPr="00EB2BD8" w:rsidRDefault="00EB2BD8">
            <w:pPr>
              <w:pStyle w:val="TableParagraph"/>
              <w:spacing w:before="57"/>
              <w:ind w:right="175"/>
              <w:jc w:val="right"/>
              <w:rPr>
                <w:rFonts w:ascii="Arial"/>
                <w:sz w:val="16"/>
              </w:rPr>
            </w:pPr>
            <w:r w:rsidRPr="00EB2BD8">
              <w:rPr>
                <w:rFonts w:ascii="Arial"/>
                <w:w w:val="104"/>
                <w:sz w:val="16"/>
              </w:rPr>
              <w:t>-</w:t>
            </w:r>
          </w:p>
        </w:tc>
        <w:tc>
          <w:tcPr>
            <w:tcW w:w="830" w:type="dxa"/>
            <w:tcBorders>
              <w:bottom w:val="single" w:sz="12" w:space="0" w:color="000000"/>
            </w:tcBorders>
            <w:shd w:val="clear" w:color="auto" w:fill="DEEAF6"/>
          </w:tcPr>
          <w:p w14:paraId="686163D5" w14:textId="77777777" w:rsidR="00084F36" w:rsidRPr="00EB2BD8" w:rsidRDefault="00EB2BD8">
            <w:pPr>
              <w:pStyle w:val="TableParagraph"/>
              <w:spacing w:before="57"/>
              <w:ind w:right="193"/>
              <w:jc w:val="right"/>
              <w:rPr>
                <w:rFonts w:ascii="Arial"/>
                <w:sz w:val="16"/>
              </w:rPr>
            </w:pPr>
            <w:r w:rsidRPr="00EB2BD8">
              <w:rPr>
                <w:rFonts w:ascii="Arial"/>
                <w:spacing w:val="-5"/>
                <w:w w:val="105"/>
                <w:sz w:val="16"/>
              </w:rPr>
              <w:t>118</w:t>
            </w:r>
          </w:p>
        </w:tc>
        <w:tc>
          <w:tcPr>
            <w:tcW w:w="707" w:type="dxa"/>
            <w:tcBorders>
              <w:bottom w:val="single" w:sz="12" w:space="0" w:color="000000"/>
            </w:tcBorders>
            <w:shd w:val="clear" w:color="auto" w:fill="DEEAF6"/>
          </w:tcPr>
          <w:p w14:paraId="7B3FCB93" w14:textId="77777777" w:rsidR="00084F36" w:rsidRPr="00EB2BD8" w:rsidRDefault="00EB2BD8">
            <w:pPr>
              <w:pStyle w:val="TableParagraph"/>
              <w:spacing w:before="57"/>
              <w:ind w:right="89"/>
              <w:jc w:val="right"/>
              <w:rPr>
                <w:rFonts w:ascii="Arial"/>
                <w:sz w:val="16"/>
              </w:rPr>
            </w:pPr>
            <w:r w:rsidRPr="00EB2BD8">
              <w:rPr>
                <w:rFonts w:ascii="Arial"/>
                <w:spacing w:val="-5"/>
                <w:w w:val="105"/>
                <w:sz w:val="16"/>
              </w:rPr>
              <w:t>142</w:t>
            </w:r>
          </w:p>
        </w:tc>
      </w:tr>
      <w:tr w:rsidR="00EB2BD8" w:rsidRPr="00EB2BD8" w14:paraId="05E64396" w14:textId="77777777">
        <w:trPr>
          <w:trHeight w:val="296"/>
        </w:trPr>
        <w:tc>
          <w:tcPr>
            <w:tcW w:w="3620" w:type="dxa"/>
            <w:tcBorders>
              <w:top w:val="single" w:sz="12" w:space="0" w:color="000000"/>
              <w:bottom w:val="single" w:sz="12" w:space="0" w:color="000000"/>
            </w:tcBorders>
            <w:shd w:val="clear" w:color="auto" w:fill="DEEAF6"/>
          </w:tcPr>
          <w:p w14:paraId="7CFF7880" w14:textId="77777777" w:rsidR="00084F36" w:rsidRPr="00EB2BD8" w:rsidRDefault="00EB2BD8">
            <w:pPr>
              <w:pStyle w:val="TableParagraph"/>
              <w:spacing w:before="58"/>
              <w:ind w:left="105"/>
              <w:rPr>
                <w:rFonts w:ascii="Arial"/>
                <w:sz w:val="16"/>
              </w:rPr>
            </w:pPr>
            <w:r w:rsidRPr="00EB2BD8">
              <w:rPr>
                <w:rFonts w:ascii="Arial"/>
                <w:w w:val="105"/>
                <w:sz w:val="16"/>
              </w:rPr>
              <w:t>Gross</w:t>
            </w:r>
            <w:r w:rsidRPr="00EB2BD8">
              <w:rPr>
                <w:rFonts w:ascii="Arial"/>
                <w:spacing w:val="-7"/>
                <w:w w:val="105"/>
                <w:sz w:val="16"/>
              </w:rPr>
              <w:t xml:space="preserve"> </w:t>
            </w:r>
            <w:r w:rsidRPr="00EB2BD8">
              <w:rPr>
                <w:rFonts w:ascii="Arial"/>
                <w:w w:val="105"/>
                <w:sz w:val="16"/>
              </w:rPr>
              <w:t>carrying</w:t>
            </w:r>
            <w:r w:rsidRPr="00EB2BD8">
              <w:rPr>
                <w:rFonts w:ascii="Arial"/>
                <w:spacing w:val="-5"/>
                <w:w w:val="105"/>
                <w:sz w:val="16"/>
              </w:rPr>
              <w:t xml:space="preserve"> </w:t>
            </w:r>
            <w:r w:rsidRPr="00EB2BD8">
              <w:rPr>
                <w:rFonts w:ascii="Arial"/>
                <w:w w:val="105"/>
                <w:sz w:val="16"/>
              </w:rPr>
              <w:t>amount</w:t>
            </w:r>
            <w:r w:rsidRPr="00EB2BD8">
              <w:rPr>
                <w:rFonts w:ascii="Arial"/>
                <w:spacing w:val="-7"/>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spacing w:val="-2"/>
                <w:w w:val="105"/>
                <w:sz w:val="16"/>
              </w:rPr>
              <w:t>receivables</w:t>
            </w:r>
          </w:p>
        </w:tc>
        <w:tc>
          <w:tcPr>
            <w:tcW w:w="1507" w:type="dxa"/>
            <w:tcBorders>
              <w:top w:val="single" w:sz="12" w:space="0" w:color="000000"/>
              <w:bottom w:val="single" w:sz="12" w:space="0" w:color="000000"/>
            </w:tcBorders>
            <w:shd w:val="clear" w:color="auto" w:fill="DEEAF6"/>
          </w:tcPr>
          <w:p w14:paraId="6FBEC221" w14:textId="77777777" w:rsidR="00084F36" w:rsidRPr="00EB2BD8" w:rsidRDefault="00EB2BD8">
            <w:pPr>
              <w:pStyle w:val="TableParagraph"/>
              <w:spacing w:before="58"/>
              <w:ind w:right="155"/>
              <w:jc w:val="right"/>
              <w:rPr>
                <w:rFonts w:ascii="Arial"/>
                <w:sz w:val="16"/>
              </w:rPr>
            </w:pPr>
            <w:r w:rsidRPr="00EB2BD8">
              <w:rPr>
                <w:rFonts w:ascii="Arial"/>
                <w:spacing w:val="-5"/>
                <w:w w:val="105"/>
                <w:sz w:val="16"/>
              </w:rPr>
              <w:t>24</w:t>
            </w:r>
          </w:p>
        </w:tc>
        <w:tc>
          <w:tcPr>
            <w:tcW w:w="778" w:type="dxa"/>
            <w:tcBorders>
              <w:top w:val="single" w:sz="12" w:space="0" w:color="000000"/>
              <w:bottom w:val="single" w:sz="12" w:space="0" w:color="000000"/>
            </w:tcBorders>
            <w:shd w:val="clear" w:color="auto" w:fill="DEEAF6"/>
          </w:tcPr>
          <w:p w14:paraId="042A611B" w14:textId="77777777" w:rsidR="00084F36" w:rsidRPr="00EB2BD8" w:rsidRDefault="00EB2BD8">
            <w:pPr>
              <w:pStyle w:val="TableParagraph"/>
              <w:spacing w:before="58"/>
              <w:ind w:right="95"/>
              <w:jc w:val="right"/>
              <w:rPr>
                <w:rFonts w:ascii="Arial"/>
                <w:sz w:val="16"/>
              </w:rPr>
            </w:pPr>
            <w:r w:rsidRPr="00EB2BD8">
              <w:rPr>
                <w:rFonts w:ascii="Arial"/>
                <w:w w:val="104"/>
                <w:sz w:val="16"/>
              </w:rPr>
              <w:t>-</w:t>
            </w:r>
          </w:p>
        </w:tc>
        <w:tc>
          <w:tcPr>
            <w:tcW w:w="815" w:type="dxa"/>
            <w:tcBorders>
              <w:top w:val="single" w:sz="12" w:space="0" w:color="000000"/>
              <w:bottom w:val="single" w:sz="12" w:space="0" w:color="000000"/>
            </w:tcBorders>
            <w:shd w:val="clear" w:color="auto" w:fill="DEEAF6"/>
          </w:tcPr>
          <w:p w14:paraId="68DBF8B0" w14:textId="77777777" w:rsidR="00084F36" w:rsidRPr="00EB2BD8" w:rsidRDefault="00EB2BD8">
            <w:pPr>
              <w:pStyle w:val="TableParagraph"/>
              <w:spacing w:before="58"/>
              <w:ind w:right="94"/>
              <w:jc w:val="right"/>
              <w:rPr>
                <w:rFonts w:ascii="Arial"/>
                <w:sz w:val="16"/>
              </w:rPr>
            </w:pPr>
            <w:r w:rsidRPr="00EB2BD8">
              <w:rPr>
                <w:rFonts w:ascii="Arial"/>
                <w:w w:val="104"/>
                <w:sz w:val="16"/>
              </w:rPr>
              <w:t>-</w:t>
            </w:r>
          </w:p>
        </w:tc>
        <w:tc>
          <w:tcPr>
            <w:tcW w:w="898" w:type="dxa"/>
            <w:tcBorders>
              <w:top w:val="single" w:sz="12" w:space="0" w:color="000000"/>
              <w:bottom w:val="single" w:sz="12" w:space="0" w:color="000000"/>
            </w:tcBorders>
            <w:shd w:val="clear" w:color="auto" w:fill="DEEAF6"/>
          </w:tcPr>
          <w:p w14:paraId="59E05466" w14:textId="77777777" w:rsidR="00084F36" w:rsidRPr="00EB2BD8" w:rsidRDefault="00EB2BD8">
            <w:pPr>
              <w:pStyle w:val="TableParagraph"/>
              <w:spacing w:before="58"/>
              <w:ind w:right="175"/>
              <w:jc w:val="right"/>
              <w:rPr>
                <w:rFonts w:ascii="Arial"/>
                <w:sz w:val="16"/>
              </w:rPr>
            </w:pPr>
            <w:r w:rsidRPr="00EB2BD8">
              <w:rPr>
                <w:rFonts w:ascii="Arial"/>
                <w:w w:val="104"/>
                <w:sz w:val="16"/>
              </w:rPr>
              <w:t>-</w:t>
            </w:r>
          </w:p>
        </w:tc>
        <w:tc>
          <w:tcPr>
            <w:tcW w:w="830" w:type="dxa"/>
            <w:tcBorders>
              <w:top w:val="single" w:sz="12" w:space="0" w:color="000000"/>
              <w:bottom w:val="single" w:sz="12" w:space="0" w:color="000000"/>
            </w:tcBorders>
            <w:shd w:val="clear" w:color="auto" w:fill="DEEAF6"/>
          </w:tcPr>
          <w:p w14:paraId="0E12AC71" w14:textId="77777777" w:rsidR="00084F36" w:rsidRPr="00EB2BD8" w:rsidRDefault="00EB2BD8">
            <w:pPr>
              <w:pStyle w:val="TableParagraph"/>
              <w:spacing w:before="58"/>
              <w:ind w:right="193"/>
              <w:jc w:val="right"/>
              <w:rPr>
                <w:rFonts w:ascii="Arial"/>
                <w:sz w:val="16"/>
              </w:rPr>
            </w:pPr>
            <w:r w:rsidRPr="00EB2BD8">
              <w:rPr>
                <w:rFonts w:ascii="Arial"/>
                <w:spacing w:val="-5"/>
                <w:w w:val="105"/>
                <w:sz w:val="16"/>
              </w:rPr>
              <w:t>118</w:t>
            </w:r>
          </w:p>
        </w:tc>
        <w:tc>
          <w:tcPr>
            <w:tcW w:w="707" w:type="dxa"/>
            <w:tcBorders>
              <w:top w:val="single" w:sz="12" w:space="0" w:color="000000"/>
              <w:bottom w:val="single" w:sz="12" w:space="0" w:color="000000"/>
            </w:tcBorders>
            <w:shd w:val="clear" w:color="auto" w:fill="DEEAF6"/>
          </w:tcPr>
          <w:p w14:paraId="7D6E274A" w14:textId="77777777" w:rsidR="00084F36" w:rsidRPr="00EB2BD8" w:rsidRDefault="00EB2BD8">
            <w:pPr>
              <w:pStyle w:val="TableParagraph"/>
              <w:spacing w:before="58"/>
              <w:ind w:right="89"/>
              <w:jc w:val="right"/>
              <w:rPr>
                <w:rFonts w:ascii="Arial"/>
                <w:sz w:val="16"/>
              </w:rPr>
            </w:pPr>
            <w:r w:rsidRPr="00EB2BD8">
              <w:rPr>
                <w:rFonts w:ascii="Arial"/>
                <w:spacing w:val="-5"/>
                <w:w w:val="105"/>
                <w:sz w:val="16"/>
              </w:rPr>
              <w:t>142</w:t>
            </w:r>
          </w:p>
        </w:tc>
      </w:tr>
      <w:tr w:rsidR="00EB2BD8" w:rsidRPr="00EB2BD8" w14:paraId="40AA54B7" w14:textId="77777777">
        <w:trPr>
          <w:trHeight w:val="295"/>
        </w:trPr>
        <w:tc>
          <w:tcPr>
            <w:tcW w:w="3620" w:type="dxa"/>
            <w:tcBorders>
              <w:top w:val="single" w:sz="12" w:space="0" w:color="000000"/>
              <w:bottom w:val="single" w:sz="12" w:space="0" w:color="000000"/>
            </w:tcBorders>
            <w:shd w:val="clear" w:color="auto" w:fill="DEEAF6"/>
          </w:tcPr>
          <w:p w14:paraId="6DBB9526" w14:textId="77777777" w:rsidR="00084F36" w:rsidRPr="00EB2BD8" w:rsidRDefault="00EB2BD8">
            <w:pPr>
              <w:pStyle w:val="TableParagraph"/>
              <w:spacing w:before="58"/>
              <w:ind w:left="105"/>
              <w:rPr>
                <w:rFonts w:ascii="Arial"/>
                <w:b/>
                <w:sz w:val="16"/>
              </w:rPr>
            </w:pPr>
            <w:r w:rsidRPr="00EB2BD8">
              <w:rPr>
                <w:rFonts w:ascii="Arial"/>
                <w:b/>
                <w:w w:val="105"/>
                <w:sz w:val="16"/>
              </w:rPr>
              <w:t>Loss</w:t>
            </w:r>
            <w:r w:rsidRPr="00EB2BD8">
              <w:rPr>
                <w:rFonts w:ascii="Arial"/>
                <w:b/>
                <w:spacing w:val="-5"/>
                <w:w w:val="105"/>
                <w:sz w:val="16"/>
              </w:rPr>
              <w:t xml:space="preserve"> </w:t>
            </w:r>
            <w:r w:rsidRPr="00EB2BD8">
              <w:rPr>
                <w:rFonts w:ascii="Arial"/>
                <w:b/>
                <w:spacing w:val="-2"/>
                <w:w w:val="105"/>
                <w:sz w:val="16"/>
              </w:rPr>
              <w:t>allowance</w:t>
            </w:r>
          </w:p>
        </w:tc>
        <w:tc>
          <w:tcPr>
            <w:tcW w:w="1507" w:type="dxa"/>
            <w:tcBorders>
              <w:top w:val="single" w:sz="12" w:space="0" w:color="000000"/>
              <w:bottom w:val="single" w:sz="12" w:space="0" w:color="000000"/>
            </w:tcBorders>
            <w:shd w:val="clear" w:color="auto" w:fill="DEEAF6"/>
          </w:tcPr>
          <w:p w14:paraId="5055D3D5" w14:textId="77777777" w:rsidR="00084F36" w:rsidRPr="00EB2BD8" w:rsidRDefault="00EB2BD8">
            <w:pPr>
              <w:pStyle w:val="TableParagraph"/>
              <w:spacing w:before="58"/>
              <w:ind w:right="153"/>
              <w:jc w:val="right"/>
              <w:rPr>
                <w:rFonts w:ascii="Arial"/>
                <w:b/>
                <w:sz w:val="16"/>
              </w:rPr>
            </w:pPr>
            <w:r w:rsidRPr="00EB2BD8">
              <w:rPr>
                <w:rFonts w:ascii="Arial"/>
                <w:b/>
                <w:w w:val="104"/>
                <w:sz w:val="16"/>
              </w:rPr>
              <w:t>3</w:t>
            </w:r>
          </w:p>
        </w:tc>
        <w:tc>
          <w:tcPr>
            <w:tcW w:w="778" w:type="dxa"/>
            <w:tcBorders>
              <w:top w:val="single" w:sz="12" w:space="0" w:color="000000"/>
              <w:bottom w:val="single" w:sz="12" w:space="0" w:color="000000"/>
            </w:tcBorders>
            <w:shd w:val="clear" w:color="auto" w:fill="DEEAF6"/>
          </w:tcPr>
          <w:p w14:paraId="07AC6421" w14:textId="77777777" w:rsidR="00084F36" w:rsidRPr="00EB2BD8" w:rsidRDefault="00EB2BD8">
            <w:pPr>
              <w:pStyle w:val="TableParagraph"/>
              <w:spacing w:before="58"/>
              <w:ind w:right="95"/>
              <w:jc w:val="right"/>
              <w:rPr>
                <w:rFonts w:ascii="Arial"/>
                <w:b/>
                <w:sz w:val="16"/>
              </w:rPr>
            </w:pPr>
            <w:r w:rsidRPr="00EB2BD8">
              <w:rPr>
                <w:rFonts w:ascii="Arial"/>
                <w:b/>
                <w:w w:val="104"/>
                <w:sz w:val="16"/>
              </w:rPr>
              <w:t>-</w:t>
            </w:r>
          </w:p>
        </w:tc>
        <w:tc>
          <w:tcPr>
            <w:tcW w:w="815" w:type="dxa"/>
            <w:tcBorders>
              <w:top w:val="single" w:sz="12" w:space="0" w:color="000000"/>
              <w:bottom w:val="single" w:sz="12" w:space="0" w:color="000000"/>
            </w:tcBorders>
            <w:shd w:val="clear" w:color="auto" w:fill="DEEAF6"/>
          </w:tcPr>
          <w:p w14:paraId="7B89FFFB" w14:textId="77777777" w:rsidR="00084F36" w:rsidRPr="00EB2BD8" w:rsidRDefault="00EB2BD8">
            <w:pPr>
              <w:pStyle w:val="TableParagraph"/>
              <w:spacing w:before="58"/>
              <w:ind w:right="94"/>
              <w:jc w:val="right"/>
              <w:rPr>
                <w:rFonts w:ascii="Arial"/>
                <w:b/>
                <w:sz w:val="16"/>
              </w:rPr>
            </w:pPr>
            <w:r w:rsidRPr="00EB2BD8">
              <w:rPr>
                <w:rFonts w:ascii="Arial"/>
                <w:b/>
                <w:w w:val="104"/>
                <w:sz w:val="16"/>
              </w:rPr>
              <w:t>-</w:t>
            </w:r>
          </w:p>
        </w:tc>
        <w:tc>
          <w:tcPr>
            <w:tcW w:w="898" w:type="dxa"/>
            <w:tcBorders>
              <w:top w:val="single" w:sz="12" w:space="0" w:color="000000"/>
              <w:bottom w:val="single" w:sz="12" w:space="0" w:color="000000"/>
            </w:tcBorders>
            <w:shd w:val="clear" w:color="auto" w:fill="DEEAF6"/>
          </w:tcPr>
          <w:p w14:paraId="782E30A6" w14:textId="77777777" w:rsidR="00084F36" w:rsidRPr="00EB2BD8" w:rsidRDefault="00EB2BD8">
            <w:pPr>
              <w:pStyle w:val="TableParagraph"/>
              <w:spacing w:before="58"/>
              <w:ind w:right="175"/>
              <w:jc w:val="right"/>
              <w:rPr>
                <w:rFonts w:ascii="Arial"/>
                <w:b/>
                <w:sz w:val="16"/>
              </w:rPr>
            </w:pPr>
            <w:r w:rsidRPr="00EB2BD8">
              <w:rPr>
                <w:rFonts w:ascii="Arial"/>
                <w:b/>
                <w:w w:val="104"/>
                <w:sz w:val="16"/>
              </w:rPr>
              <w:t>-</w:t>
            </w:r>
          </w:p>
        </w:tc>
        <w:tc>
          <w:tcPr>
            <w:tcW w:w="830" w:type="dxa"/>
            <w:tcBorders>
              <w:top w:val="single" w:sz="12" w:space="0" w:color="000000"/>
              <w:bottom w:val="single" w:sz="12" w:space="0" w:color="000000"/>
            </w:tcBorders>
            <w:shd w:val="clear" w:color="auto" w:fill="DEEAF6"/>
          </w:tcPr>
          <w:p w14:paraId="1F0D42DF" w14:textId="77777777" w:rsidR="00084F36" w:rsidRPr="00EB2BD8" w:rsidRDefault="00EB2BD8">
            <w:pPr>
              <w:pStyle w:val="TableParagraph"/>
              <w:spacing w:before="58"/>
              <w:ind w:right="193"/>
              <w:jc w:val="right"/>
              <w:rPr>
                <w:rFonts w:ascii="Arial"/>
                <w:b/>
                <w:sz w:val="16"/>
              </w:rPr>
            </w:pPr>
            <w:r w:rsidRPr="00EB2BD8">
              <w:rPr>
                <w:rFonts w:ascii="Arial"/>
                <w:b/>
                <w:spacing w:val="-5"/>
                <w:w w:val="105"/>
                <w:sz w:val="16"/>
              </w:rPr>
              <w:t>118</w:t>
            </w:r>
          </w:p>
        </w:tc>
        <w:tc>
          <w:tcPr>
            <w:tcW w:w="707" w:type="dxa"/>
            <w:tcBorders>
              <w:top w:val="single" w:sz="12" w:space="0" w:color="000000"/>
              <w:bottom w:val="single" w:sz="12" w:space="0" w:color="000000"/>
            </w:tcBorders>
            <w:shd w:val="clear" w:color="auto" w:fill="DEEAF6"/>
          </w:tcPr>
          <w:p w14:paraId="5ACB3482" w14:textId="77777777" w:rsidR="00084F36" w:rsidRPr="00EB2BD8" w:rsidRDefault="00EB2BD8">
            <w:pPr>
              <w:pStyle w:val="TableParagraph"/>
              <w:spacing w:before="58"/>
              <w:ind w:right="89"/>
              <w:jc w:val="right"/>
              <w:rPr>
                <w:rFonts w:ascii="Arial"/>
                <w:b/>
                <w:sz w:val="16"/>
              </w:rPr>
            </w:pPr>
            <w:r w:rsidRPr="00EB2BD8">
              <w:rPr>
                <w:rFonts w:ascii="Arial"/>
                <w:b/>
                <w:spacing w:val="-5"/>
                <w:w w:val="105"/>
                <w:sz w:val="16"/>
              </w:rPr>
              <w:t>121</w:t>
            </w:r>
          </w:p>
        </w:tc>
      </w:tr>
    </w:tbl>
    <w:p w14:paraId="6180C320" w14:textId="77777777" w:rsidR="00084F36" w:rsidRPr="00EB2BD8" w:rsidRDefault="00084F36">
      <w:pPr>
        <w:pStyle w:val="BodyText"/>
        <w:spacing w:before="3"/>
        <w:rPr>
          <w:rFonts w:ascii="Arial"/>
          <w:sz w:val="27"/>
        </w:rPr>
      </w:pPr>
    </w:p>
    <w:tbl>
      <w:tblPr>
        <w:tblW w:w="0" w:type="auto"/>
        <w:tblInd w:w="1062" w:type="dxa"/>
        <w:tblLayout w:type="fixed"/>
        <w:tblCellMar>
          <w:left w:w="0" w:type="dxa"/>
          <w:right w:w="0" w:type="dxa"/>
        </w:tblCellMar>
        <w:tblLook w:val="01E0" w:firstRow="1" w:lastRow="1" w:firstColumn="1" w:lastColumn="1" w:noHBand="0" w:noVBand="0"/>
      </w:tblPr>
      <w:tblGrid>
        <w:gridCol w:w="5128"/>
        <w:gridCol w:w="779"/>
        <w:gridCol w:w="816"/>
        <w:gridCol w:w="898"/>
        <w:gridCol w:w="830"/>
        <w:gridCol w:w="706"/>
      </w:tblGrid>
      <w:tr w:rsidR="00EB2BD8" w:rsidRPr="00EB2BD8" w14:paraId="388D62C8" w14:textId="77777777">
        <w:trPr>
          <w:trHeight w:val="726"/>
        </w:trPr>
        <w:tc>
          <w:tcPr>
            <w:tcW w:w="5128" w:type="dxa"/>
            <w:tcBorders>
              <w:top w:val="single" w:sz="4" w:space="0" w:color="0098FF"/>
              <w:left w:val="single" w:sz="4" w:space="0" w:color="0098FF"/>
              <w:bottom w:val="single" w:sz="4" w:space="0" w:color="0098FF"/>
            </w:tcBorders>
            <w:shd w:val="clear" w:color="auto" w:fill="0070C0"/>
          </w:tcPr>
          <w:p w14:paraId="23CA89E1" w14:textId="77777777" w:rsidR="00084F36" w:rsidRPr="00EB2BD8" w:rsidRDefault="00084F36">
            <w:pPr>
              <w:pStyle w:val="TableParagraph"/>
              <w:spacing w:before="9"/>
              <w:rPr>
                <w:rFonts w:ascii="Arial"/>
                <w:sz w:val="23"/>
              </w:rPr>
            </w:pPr>
          </w:p>
          <w:p w14:paraId="2C183BC1" w14:textId="77777777" w:rsidR="00084F36" w:rsidRPr="00EB2BD8" w:rsidRDefault="00EB2BD8">
            <w:pPr>
              <w:pStyle w:val="TableParagraph"/>
              <w:ind w:left="4359"/>
              <w:rPr>
                <w:rFonts w:ascii="Arial"/>
                <w:b/>
                <w:sz w:val="16"/>
              </w:rPr>
            </w:pPr>
            <w:r w:rsidRPr="00EB2BD8">
              <w:rPr>
                <w:rFonts w:ascii="Arial"/>
                <w:b/>
                <w:spacing w:val="-2"/>
                <w:w w:val="105"/>
                <w:sz w:val="16"/>
              </w:rPr>
              <w:t>Current</w:t>
            </w:r>
          </w:p>
          <w:p w14:paraId="38B92BBD" w14:textId="77777777" w:rsidR="00084F36" w:rsidRPr="00EB2BD8" w:rsidRDefault="00EB2BD8">
            <w:pPr>
              <w:pStyle w:val="TableParagraph"/>
              <w:spacing w:before="84" w:line="165" w:lineRule="exact"/>
              <w:ind w:left="100"/>
              <w:rPr>
                <w:rFonts w:ascii="Arial"/>
                <w:b/>
                <w:sz w:val="16"/>
              </w:rPr>
            </w:pPr>
            <w:r w:rsidRPr="00EB2BD8">
              <w:rPr>
                <w:rFonts w:ascii="Arial"/>
                <w:b/>
                <w:w w:val="105"/>
                <w:sz w:val="16"/>
              </w:rPr>
              <w:t>30</w:t>
            </w:r>
            <w:r w:rsidRPr="00EB2BD8">
              <w:rPr>
                <w:rFonts w:ascii="Arial"/>
                <w:b/>
                <w:spacing w:val="-4"/>
                <w:w w:val="105"/>
                <w:sz w:val="16"/>
              </w:rPr>
              <w:t xml:space="preserve"> </w:t>
            </w:r>
            <w:r w:rsidRPr="00EB2BD8">
              <w:rPr>
                <w:rFonts w:ascii="Arial"/>
                <w:b/>
                <w:w w:val="105"/>
                <w:sz w:val="16"/>
              </w:rPr>
              <w:t>June</w:t>
            </w:r>
            <w:r w:rsidRPr="00EB2BD8">
              <w:rPr>
                <w:rFonts w:ascii="Arial"/>
                <w:b/>
                <w:spacing w:val="-4"/>
                <w:w w:val="105"/>
                <w:sz w:val="16"/>
              </w:rPr>
              <w:t xml:space="preserve"> 2022</w:t>
            </w:r>
          </w:p>
        </w:tc>
        <w:tc>
          <w:tcPr>
            <w:tcW w:w="779" w:type="dxa"/>
            <w:tcBorders>
              <w:top w:val="single" w:sz="4" w:space="0" w:color="0098FF"/>
              <w:bottom w:val="single" w:sz="4" w:space="0" w:color="0098FF"/>
            </w:tcBorders>
            <w:shd w:val="clear" w:color="auto" w:fill="0070C0"/>
          </w:tcPr>
          <w:p w14:paraId="32CFB638" w14:textId="77777777" w:rsidR="00084F36" w:rsidRPr="00EB2BD8" w:rsidRDefault="00EB2BD8">
            <w:pPr>
              <w:pStyle w:val="TableParagraph"/>
              <w:spacing w:before="81" w:line="252" w:lineRule="auto"/>
              <w:ind w:left="166" w:right="97" w:firstLine="131"/>
              <w:jc w:val="both"/>
              <w:rPr>
                <w:rFonts w:ascii="Arial"/>
                <w:b/>
                <w:sz w:val="16"/>
              </w:rPr>
            </w:pPr>
            <w:r w:rsidRPr="00EB2BD8">
              <w:rPr>
                <w:rFonts w:ascii="Arial"/>
                <w:b/>
                <w:spacing w:val="-4"/>
                <w:w w:val="105"/>
                <w:sz w:val="16"/>
              </w:rPr>
              <w:t xml:space="preserve">Less </w:t>
            </w:r>
            <w:r w:rsidRPr="00EB2BD8">
              <w:rPr>
                <w:rFonts w:ascii="Arial"/>
                <w:b/>
                <w:w w:val="105"/>
                <w:sz w:val="16"/>
              </w:rPr>
              <w:t>than</w:t>
            </w:r>
            <w:r w:rsidRPr="00EB2BD8">
              <w:rPr>
                <w:rFonts w:ascii="Arial"/>
                <w:b/>
                <w:spacing w:val="-12"/>
                <w:w w:val="105"/>
                <w:sz w:val="16"/>
              </w:rPr>
              <w:t xml:space="preserve"> </w:t>
            </w:r>
            <w:r w:rsidRPr="00EB2BD8">
              <w:rPr>
                <w:rFonts w:ascii="Arial"/>
                <w:b/>
                <w:w w:val="105"/>
                <w:sz w:val="16"/>
              </w:rPr>
              <w:t xml:space="preserve">1 </w:t>
            </w:r>
            <w:r w:rsidRPr="00EB2BD8">
              <w:rPr>
                <w:rFonts w:ascii="Arial"/>
                <w:b/>
                <w:spacing w:val="-2"/>
                <w:w w:val="105"/>
                <w:sz w:val="16"/>
              </w:rPr>
              <w:t>month</w:t>
            </w:r>
          </w:p>
        </w:tc>
        <w:tc>
          <w:tcPr>
            <w:tcW w:w="816" w:type="dxa"/>
            <w:tcBorders>
              <w:top w:val="single" w:sz="4" w:space="0" w:color="0098FF"/>
              <w:bottom w:val="single" w:sz="4" w:space="0" w:color="0098FF"/>
            </w:tcBorders>
            <w:shd w:val="clear" w:color="auto" w:fill="0070C0"/>
          </w:tcPr>
          <w:p w14:paraId="658E63E6" w14:textId="77777777" w:rsidR="00084F36" w:rsidRPr="00EB2BD8" w:rsidRDefault="00084F36">
            <w:pPr>
              <w:pStyle w:val="TableParagraph"/>
              <w:spacing w:before="9"/>
              <w:rPr>
                <w:rFonts w:ascii="Arial"/>
                <w:sz w:val="23"/>
              </w:rPr>
            </w:pPr>
          </w:p>
          <w:p w14:paraId="229B5B6D" w14:textId="77777777" w:rsidR="00084F36" w:rsidRPr="00EB2BD8" w:rsidRDefault="00EB2BD8">
            <w:pPr>
              <w:pStyle w:val="TableParagraph"/>
              <w:ind w:right="97"/>
              <w:jc w:val="right"/>
              <w:rPr>
                <w:rFonts w:ascii="Arial"/>
                <w:b/>
                <w:sz w:val="16"/>
              </w:rPr>
            </w:pPr>
            <w:r w:rsidRPr="00EB2BD8">
              <w:rPr>
                <w:rFonts w:ascii="Arial"/>
                <w:b/>
                <w:sz w:val="16"/>
              </w:rPr>
              <w:t>1-</w:t>
            </w:r>
            <w:r w:rsidRPr="00EB2BD8">
              <w:rPr>
                <w:rFonts w:ascii="Arial"/>
                <w:b/>
                <w:spacing w:val="-10"/>
                <w:sz w:val="16"/>
              </w:rPr>
              <w:t>3</w:t>
            </w:r>
          </w:p>
          <w:p w14:paraId="3D0F3B84" w14:textId="77777777" w:rsidR="00084F36" w:rsidRPr="00EB2BD8" w:rsidRDefault="00EB2BD8">
            <w:pPr>
              <w:pStyle w:val="TableParagraph"/>
              <w:spacing w:before="10"/>
              <w:ind w:right="97"/>
              <w:jc w:val="right"/>
              <w:rPr>
                <w:rFonts w:ascii="Arial"/>
                <w:b/>
                <w:sz w:val="16"/>
              </w:rPr>
            </w:pPr>
            <w:r w:rsidRPr="00EB2BD8">
              <w:rPr>
                <w:rFonts w:ascii="Arial"/>
                <w:b/>
                <w:spacing w:val="-2"/>
                <w:w w:val="105"/>
                <w:sz w:val="16"/>
              </w:rPr>
              <w:t>months</w:t>
            </w:r>
          </w:p>
        </w:tc>
        <w:tc>
          <w:tcPr>
            <w:tcW w:w="898" w:type="dxa"/>
            <w:tcBorders>
              <w:top w:val="single" w:sz="4" w:space="0" w:color="0098FF"/>
              <w:bottom w:val="single" w:sz="4" w:space="0" w:color="0098FF"/>
            </w:tcBorders>
            <w:shd w:val="clear" w:color="auto" w:fill="0070C0"/>
          </w:tcPr>
          <w:p w14:paraId="0C6B0568" w14:textId="77777777" w:rsidR="00084F36" w:rsidRPr="00EB2BD8" w:rsidRDefault="00EB2BD8">
            <w:pPr>
              <w:pStyle w:val="TableParagraph"/>
              <w:spacing w:before="81"/>
              <w:ind w:right="177"/>
              <w:jc w:val="right"/>
              <w:rPr>
                <w:rFonts w:ascii="Arial"/>
                <w:b/>
                <w:sz w:val="16"/>
              </w:rPr>
            </w:pPr>
            <w:r w:rsidRPr="00EB2BD8">
              <w:rPr>
                <w:rFonts w:ascii="Arial"/>
                <w:b/>
                <w:w w:val="104"/>
                <w:sz w:val="16"/>
              </w:rPr>
              <w:t>3</w:t>
            </w:r>
          </w:p>
          <w:p w14:paraId="00BB2114" w14:textId="77777777" w:rsidR="00084F36" w:rsidRPr="00EB2BD8" w:rsidRDefault="00EB2BD8">
            <w:pPr>
              <w:pStyle w:val="TableParagraph"/>
              <w:spacing w:before="8"/>
              <w:ind w:right="177"/>
              <w:jc w:val="right"/>
              <w:rPr>
                <w:rFonts w:ascii="Arial"/>
                <w:b/>
                <w:sz w:val="16"/>
              </w:rPr>
            </w:pPr>
            <w:r w:rsidRPr="00EB2BD8">
              <w:rPr>
                <w:rFonts w:ascii="Arial"/>
                <w:b/>
                <w:spacing w:val="-2"/>
                <w:w w:val="105"/>
                <w:sz w:val="16"/>
              </w:rPr>
              <w:t>months</w:t>
            </w:r>
          </w:p>
          <w:p w14:paraId="25F0BBE2" w14:textId="77777777" w:rsidR="00084F36" w:rsidRPr="00EB2BD8" w:rsidRDefault="00EB2BD8">
            <w:pPr>
              <w:pStyle w:val="TableParagraph"/>
              <w:spacing w:before="10"/>
              <w:ind w:right="179"/>
              <w:jc w:val="right"/>
              <w:rPr>
                <w:rFonts w:ascii="Arial"/>
                <w:b/>
                <w:sz w:val="16"/>
              </w:rPr>
            </w:pPr>
            <w:r w:rsidRPr="00EB2BD8">
              <w:rPr>
                <w:rFonts w:ascii="Arial"/>
                <w:b/>
                <w:w w:val="105"/>
                <w:sz w:val="16"/>
              </w:rPr>
              <w:t>-</w:t>
            </w:r>
            <w:r w:rsidRPr="00EB2BD8">
              <w:rPr>
                <w:rFonts w:ascii="Arial"/>
                <w:b/>
                <w:spacing w:val="-1"/>
                <w:w w:val="105"/>
                <w:sz w:val="16"/>
              </w:rPr>
              <w:t xml:space="preserve"> </w:t>
            </w:r>
            <w:r w:rsidRPr="00EB2BD8">
              <w:rPr>
                <w:rFonts w:ascii="Arial"/>
                <w:b/>
                <w:w w:val="105"/>
                <w:sz w:val="16"/>
              </w:rPr>
              <w:t>1</w:t>
            </w:r>
            <w:r w:rsidRPr="00EB2BD8">
              <w:rPr>
                <w:rFonts w:ascii="Arial"/>
                <w:b/>
                <w:spacing w:val="-1"/>
                <w:w w:val="105"/>
                <w:sz w:val="16"/>
              </w:rPr>
              <w:t xml:space="preserve"> </w:t>
            </w:r>
            <w:r w:rsidRPr="00EB2BD8">
              <w:rPr>
                <w:rFonts w:ascii="Arial"/>
                <w:b/>
                <w:spacing w:val="-4"/>
                <w:w w:val="105"/>
                <w:sz w:val="16"/>
              </w:rPr>
              <w:t>year</w:t>
            </w:r>
          </w:p>
        </w:tc>
        <w:tc>
          <w:tcPr>
            <w:tcW w:w="830" w:type="dxa"/>
            <w:tcBorders>
              <w:top w:val="single" w:sz="4" w:space="0" w:color="0098FF"/>
              <w:bottom w:val="single" w:sz="4" w:space="0" w:color="0098FF"/>
            </w:tcBorders>
            <w:shd w:val="clear" w:color="auto" w:fill="0070C0"/>
          </w:tcPr>
          <w:p w14:paraId="1F6488BF" w14:textId="77777777" w:rsidR="00084F36" w:rsidRPr="00EB2BD8" w:rsidRDefault="00084F36">
            <w:pPr>
              <w:pStyle w:val="TableParagraph"/>
              <w:spacing w:before="9"/>
              <w:rPr>
                <w:rFonts w:ascii="Arial"/>
                <w:sz w:val="23"/>
              </w:rPr>
            </w:pPr>
          </w:p>
          <w:p w14:paraId="6EDEDCD7" w14:textId="77777777" w:rsidR="00084F36" w:rsidRPr="00EB2BD8" w:rsidRDefault="00EB2BD8">
            <w:pPr>
              <w:pStyle w:val="TableParagraph"/>
              <w:ind w:right="196"/>
              <w:jc w:val="right"/>
              <w:rPr>
                <w:rFonts w:ascii="Arial"/>
                <w:b/>
                <w:sz w:val="16"/>
              </w:rPr>
            </w:pPr>
            <w:r w:rsidRPr="00EB2BD8">
              <w:rPr>
                <w:rFonts w:ascii="Arial"/>
                <w:b/>
                <w:sz w:val="16"/>
              </w:rPr>
              <w:t>1-</w:t>
            </w:r>
            <w:r w:rsidRPr="00EB2BD8">
              <w:rPr>
                <w:rFonts w:ascii="Arial"/>
                <w:b/>
                <w:spacing w:val="-10"/>
                <w:sz w:val="16"/>
              </w:rPr>
              <w:t>5</w:t>
            </w:r>
          </w:p>
          <w:p w14:paraId="76CB174E" w14:textId="77777777" w:rsidR="00084F36" w:rsidRPr="00EB2BD8" w:rsidRDefault="00EB2BD8">
            <w:pPr>
              <w:pStyle w:val="TableParagraph"/>
              <w:spacing w:before="10"/>
              <w:ind w:right="196"/>
              <w:jc w:val="right"/>
              <w:rPr>
                <w:rFonts w:ascii="Arial"/>
                <w:b/>
                <w:sz w:val="16"/>
              </w:rPr>
            </w:pPr>
            <w:r w:rsidRPr="00EB2BD8">
              <w:rPr>
                <w:rFonts w:ascii="Arial"/>
                <w:b/>
                <w:spacing w:val="-2"/>
                <w:w w:val="105"/>
                <w:sz w:val="16"/>
              </w:rPr>
              <w:t>years</w:t>
            </w:r>
          </w:p>
        </w:tc>
        <w:tc>
          <w:tcPr>
            <w:tcW w:w="706" w:type="dxa"/>
            <w:tcBorders>
              <w:top w:val="single" w:sz="4" w:space="0" w:color="0098FF"/>
              <w:bottom w:val="single" w:sz="4" w:space="0" w:color="0098FF"/>
              <w:right w:val="single" w:sz="4" w:space="0" w:color="0098FF"/>
            </w:tcBorders>
            <w:shd w:val="clear" w:color="auto" w:fill="0070C0"/>
          </w:tcPr>
          <w:p w14:paraId="684A02D8" w14:textId="77777777" w:rsidR="00084F36" w:rsidRPr="00EB2BD8" w:rsidRDefault="00084F36">
            <w:pPr>
              <w:pStyle w:val="TableParagraph"/>
              <w:spacing w:before="9"/>
              <w:rPr>
                <w:rFonts w:ascii="Arial"/>
                <w:sz w:val="23"/>
              </w:rPr>
            </w:pPr>
          </w:p>
          <w:p w14:paraId="7A5C0DE1" w14:textId="77777777" w:rsidR="00084F36" w:rsidRPr="00EB2BD8" w:rsidRDefault="00EB2BD8">
            <w:pPr>
              <w:pStyle w:val="TableParagraph"/>
              <w:ind w:right="84"/>
              <w:jc w:val="right"/>
              <w:rPr>
                <w:rFonts w:ascii="Arial"/>
                <w:b/>
                <w:sz w:val="16"/>
              </w:rPr>
            </w:pPr>
            <w:r w:rsidRPr="00EB2BD8">
              <w:rPr>
                <w:rFonts w:ascii="Arial"/>
                <w:b/>
                <w:spacing w:val="-2"/>
                <w:w w:val="105"/>
                <w:sz w:val="16"/>
              </w:rPr>
              <w:t>Total</w:t>
            </w:r>
          </w:p>
        </w:tc>
      </w:tr>
      <w:tr w:rsidR="00EB2BD8" w:rsidRPr="00EB2BD8" w14:paraId="407BA605" w14:textId="77777777">
        <w:trPr>
          <w:trHeight w:val="301"/>
        </w:trPr>
        <w:tc>
          <w:tcPr>
            <w:tcW w:w="5128" w:type="dxa"/>
            <w:tcBorders>
              <w:top w:val="single" w:sz="4" w:space="0" w:color="0098FF"/>
            </w:tcBorders>
            <w:shd w:val="clear" w:color="auto" w:fill="FFFFFF"/>
          </w:tcPr>
          <w:p w14:paraId="231357D1" w14:textId="77777777" w:rsidR="00084F36" w:rsidRPr="00EB2BD8" w:rsidRDefault="00EB2BD8">
            <w:pPr>
              <w:pStyle w:val="TableParagraph"/>
              <w:tabs>
                <w:tab w:val="left" w:pos="4634"/>
              </w:tabs>
              <w:spacing w:before="60"/>
              <w:ind w:left="105"/>
              <w:rPr>
                <w:rFonts w:ascii="Arial"/>
                <w:sz w:val="16"/>
              </w:rPr>
            </w:pPr>
            <w:r w:rsidRPr="00EB2BD8">
              <w:rPr>
                <w:rFonts w:ascii="Arial"/>
                <w:w w:val="105"/>
                <w:sz w:val="16"/>
              </w:rPr>
              <w:t>Expected</w:t>
            </w:r>
            <w:r w:rsidRPr="00EB2BD8">
              <w:rPr>
                <w:rFonts w:ascii="Arial"/>
                <w:spacing w:val="-8"/>
                <w:w w:val="105"/>
                <w:sz w:val="16"/>
              </w:rPr>
              <w:t xml:space="preserve"> </w:t>
            </w:r>
            <w:r w:rsidRPr="00EB2BD8">
              <w:rPr>
                <w:rFonts w:ascii="Arial"/>
                <w:w w:val="105"/>
                <w:sz w:val="16"/>
              </w:rPr>
              <w:t>loss</w:t>
            </w:r>
            <w:r w:rsidRPr="00EB2BD8">
              <w:rPr>
                <w:rFonts w:ascii="Arial"/>
                <w:spacing w:val="-7"/>
                <w:w w:val="105"/>
                <w:sz w:val="16"/>
              </w:rPr>
              <w:t xml:space="preserve"> </w:t>
            </w:r>
            <w:r w:rsidRPr="00EB2BD8">
              <w:rPr>
                <w:rFonts w:ascii="Arial"/>
                <w:spacing w:val="-4"/>
                <w:w w:val="105"/>
                <w:sz w:val="16"/>
              </w:rPr>
              <w:t>rate</w:t>
            </w:r>
            <w:r w:rsidRPr="00EB2BD8">
              <w:rPr>
                <w:rFonts w:ascii="Arial"/>
                <w:sz w:val="16"/>
              </w:rPr>
              <w:tab/>
            </w:r>
            <w:r w:rsidRPr="00EB2BD8">
              <w:rPr>
                <w:rFonts w:ascii="Arial"/>
                <w:spacing w:val="-5"/>
                <w:w w:val="105"/>
                <w:sz w:val="16"/>
              </w:rPr>
              <w:t>10%</w:t>
            </w:r>
          </w:p>
        </w:tc>
        <w:tc>
          <w:tcPr>
            <w:tcW w:w="779" w:type="dxa"/>
            <w:tcBorders>
              <w:top w:val="single" w:sz="4" w:space="0" w:color="0098FF"/>
            </w:tcBorders>
            <w:shd w:val="clear" w:color="auto" w:fill="FFFFFF"/>
          </w:tcPr>
          <w:p w14:paraId="381CB981" w14:textId="77777777" w:rsidR="00084F36" w:rsidRPr="00EB2BD8" w:rsidRDefault="00EB2BD8">
            <w:pPr>
              <w:pStyle w:val="TableParagraph"/>
              <w:spacing w:before="60"/>
              <w:ind w:right="98"/>
              <w:jc w:val="right"/>
              <w:rPr>
                <w:rFonts w:ascii="Arial"/>
                <w:sz w:val="16"/>
              </w:rPr>
            </w:pPr>
            <w:r w:rsidRPr="00EB2BD8">
              <w:rPr>
                <w:rFonts w:ascii="Arial"/>
                <w:spacing w:val="-5"/>
                <w:w w:val="105"/>
                <w:sz w:val="16"/>
              </w:rPr>
              <w:t>12%</w:t>
            </w:r>
          </w:p>
        </w:tc>
        <w:tc>
          <w:tcPr>
            <w:tcW w:w="816" w:type="dxa"/>
            <w:tcBorders>
              <w:top w:val="single" w:sz="4" w:space="0" w:color="0098FF"/>
            </w:tcBorders>
            <w:shd w:val="clear" w:color="auto" w:fill="FFFFFF"/>
          </w:tcPr>
          <w:p w14:paraId="410555C4" w14:textId="77777777" w:rsidR="00084F36" w:rsidRPr="00EB2BD8" w:rsidRDefault="00EB2BD8">
            <w:pPr>
              <w:pStyle w:val="TableParagraph"/>
              <w:spacing w:before="60"/>
              <w:ind w:right="98"/>
              <w:jc w:val="right"/>
              <w:rPr>
                <w:rFonts w:ascii="Arial"/>
                <w:sz w:val="16"/>
              </w:rPr>
            </w:pPr>
            <w:r w:rsidRPr="00EB2BD8">
              <w:rPr>
                <w:rFonts w:ascii="Arial"/>
                <w:spacing w:val="-5"/>
                <w:w w:val="105"/>
                <w:sz w:val="16"/>
              </w:rPr>
              <w:t>15%</w:t>
            </w:r>
          </w:p>
        </w:tc>
        <w:tc>
          <w:tcPr>
            <w:tcW w:w="898" w:type="dxa"/>
            <w:tcBorders>
              <w:top w:val="single" w:sz="4" w:space="0" w:color="0098FF"/>
            </w:tcBorders>
            <w:shd w:val="clear" w:color="auto" w:fill="FFFFFF"/>
          </w:tcPr>
          <w:p w14:paraId="04B81A1F" w14:textId="77777777" w:rsidR="00084F36" w:rsidRPr="00EB2BD8" w:rsidRDefault="00EB2BD8">
            <w:pPr>
              <w:pStyle w:val="TableParagraph"/>
              <w:spacing w:before="60"/>
              <w:ind w:right="179"/>
              <w:jc w:val="right"/>
              <w:rPr>
                <w:rFonts w:ascii="Arial"/>
                <w:sz w:val="16"/>
              </w:rPr>
            </w:pPr>
            <w:r w:rsidRPr="00EB2BD8">
              <w:rPr>
                <w:rFonts w:ascii="Arial"/>
                <w:spacing w:val="-5"/>
                <w:w w:val="105"/>
                <w:sz w:val="16"/>
              </w:rPr>
              <w:t>48%</w:t>
            </w:r>
          </w:p>
        </w:tc>
        <w:tc>
          <w:tcPr>
            <w:tcW w:w="830" w:type="dxa"/>
            <w:tcBorders>
              <w:top w:val="single" w:sz="4" w:space="0" w:color="0098FF"/>
            </w:tcBorders>
            <w:shd w:val="clear" w:color="auto" w:fill="FFFFFF"/>
          </w:tcPr>
          <w:p w14:paraId="25CEC98A" w14:textId="77777777" w:rsidR="00084F36" w:rsidRPr="00EB2BD8" w:rsidRDefault="00EB2BD8">
            <w:pPr>
              <w:pStyle w:val="TableParagraph"/>
              <w:spacing w:before="60"/>
              <w:ind w:right="196"/>
              <w:jc w:val="right"/>
              <w:rPr>
                <w:rFonts w:ascii="Arial"/>
                <w:sz w:val="16"/>
              </w:rPr>
            </w:pPr>
            <w:r w:rsidRPr="00EB2BD8">
              <w:rPr>
                <w:rFonts w:ascii="Arial"/>
                <w:spacing w:val="-4"/>
                <w:w w:val="105"/>
                <w:sz w:val="16"/>
              </w:rPr>
              <w:t>100%</w:t>
            </w:r>
          </w:p>
        </w:tc>
        <w:tc>
          <w:tcPr>
            <w:tcW w:w="706" w:type="dxa"/>
            <w:tcBorders>
              <w:top w:val="single" w:sz="4" w:space="0" w:color="0098FF"/>
            </w:tcBorders>
            <w:shd w:val="clear" w:color="auto" w:fill="FFFFFF"/>
          </w:tcPr>
          <w:p w14:paraId="09168868" w14:textId="77777777" w:rsidR="00084F36" w:rsidRPr="00EB2BD8" w:rsidRDefault="00084F36">
            <w:pPr>
              <w:pStyle w:val="TableParagraph"/>
              <w:rPr>
                <w:rFonts w:ascii="Times New Roman"/>
                <w:sz w:val="16"/>
              </w:rPr>
            </w:pPr>
          </w:p>
        </w:tc>
      </w:tr>
      <w:tr w:rsidR="00EB2BD8" w:rsidRPr="00EB2BD8" w14:paraId="75E02D3E" w14:textId="77777777">
        <w:trPr>
          <w:trHeight w:val="295"/>
        </w:trPr>
        <w:tc>
          <w:tcPr>
            <w:tcW w:w="5128" w:type="dxa"/>
            <w:tcBorders>
              <w:bottom w:val="single" w:sz="12" w:space="0" w:color="000000"/>
            </w:tcBorders>
            <w:shd w:val="clear" w:color="auto" w:fill="FFFFFF"/>
          </w:tcPr>
          <w:p w14:paraId="629CD60C" w14:textId="77777777" w:rsidR="00084F36" w:rsidRPr="00EB2BD8" w:rsidRDefault="00EB2BD8">
            <w:pPr>
              <w:pStyle w:val="TableParagraph"/>
              <w:tabs>
                <w:tab w:val="right" w:pos="4969"/>
              </w:tabs>
              <w:spacing w:before="57"/>
              <w:ind w:left="105"/>
              <w:rPr>
                <w:rFonts w:ascii="Arial"/>
                <w:sz w:val="16"/>
              </w:rPr>
            </w:pPr>
            <w:r w:rsidRPr="00EB2BD8">
              <w:rPr>
                <w:rFonts w:ascii="Arial"/>
                <w:sz w:val="16"/>
              </w:rPr>
              <w:t>Contractual</w:t>
            </w:r>
            <w:r w:rsidRPr="00EB2BD8">
              <w:rPr>
                <w:rFonts w:ascii="Arial"/>
                <w:spacing w:val="29"/>
                <w:sz w:val="16"/>
              </w:rPr>
              <w:t xml:space="preserve"> </w:t>
            </w:r>
            <w:r w:rsidRPr="00EB2BD8">
              <w:rPr>
                <w:rFonts w:ascii="Arial"/>
                <w:spacing w:val="-2"/>
                <w:sz w:val="16"/>
              </w:rPr>
              <w:t>Receivables</w:t>
            </w:r>
            <w:r w:rsidRPr="00EB2BD8">
              <w:rPr>
                <w:rFonts w:ascii="Arial"/>
                <w:sz w:val="16"/>
              </w:rPr>
              <w:tab/>
            </w:r>
            <w:r w:rsidRPr="00EB2BD8">
              <w:rPr>
                <w:rFonts w:ascii="Arial"/>
                <w:spacing w:val="-5"/>
                <w:sz w:val="16"/>
              </w:rPr>
              <w:t>95</w:t>
            </w:r>
          </w:p>
        </w:tc>
        <w:tc>
          <w:tcPr>
            <w:tcW w:w="779" w:type="dxa"/>
            <w:tcBorders>
              <w:bottom w:val="single" w:sz="12" w:space="0" w:color="000000"/>
            </w:tcBorders>
            <w:shd w:val="clear" w:color="auto" w:fill="FFFFFF"/>
          </w:tcPr>
          <w:p w14:paraId="35CC6818" w14:textId="77777777" w:rsidR="00084F36" w:rsidRPr="00EB2BD8" w:rsidRDefault="00EB2BD8">
            <w:pPr>
              <w:pStyle w:val="TableParagraph"/>
              <w:spacing w:before="57"/>
              <w:ind w:right="100"/>
              <w:jc w:val="right"/>
              <w:rPr>
                <w:rFonts w:ascii="Arial"/>
                <w:sz w:val="16"/>
              </w:rPr>
            </w:pPr>
            <w:r w:rsidRPr="00EB2BD8">
              <w:rPr>
                <w:rFonts w:ascii="Arial"/>
                <w:spacing w:val="-5"/>
                <w:w w:val="105"/>
                <w:sz w:val="16"/>
              </w:rPr>
              <w:t>63</w:t>
            </w:r>
          </w:p>
        </w:tc>
        <w:tc>
          <w:tcPr>
            <w:tcW w:w="816" w:type="dxa"/>
            <w:tcBorders>
              <w:bottom w:val="single" w:sz="12" w:space="0" w:color="000000"/>
            </w:tcBorders>
            <w:shd w:val="clear" w:color="auto" w:fill="FFFFFF"/>
          </w:tcPr>
          <w:p w14:paraId="7DC24379" w14:textId="77777777" w:rsidR="00084F36" w:rsidRPr="00EB2BD8" w:rsidRDefault="00EB2BD8">
            <w:pPr>
              <w:pStyle w:val="TableParagraph"/>
              <w:spacing w:before="57"/>
              <w:ind w:right="97"/>
              <w:jc w:val="right"/>
              <w:rPr>
                <w:rFonts w:ascii="Arial"/>
                <w:sz w:val="16"/>
              </w:rPr>
            </w:pPr>
            <w:r w:rsidRPr="00EB2BD8">
              <w:rPr>
                <w:rFonts w:ascii="Arial"/>
                <w:w w:val="104"/>
                <w:sz w:val="16"/>
              </w:rPr>
              <w:t>-</w:t>
            </w:r>
          </w:p>
        </w:tc>
        <w:tc>
          <w:tcPr>
            <w:tcW w:w="898" w:type="dxa"/>
            <w:tcBorders>
              <w:bottom w:val="single" w:sz="12" w:space="0" w:color="000000"/>
            </w:tcBorders>
            <w:shd w:val="clear" w:color="auto" w:fill="FFFFFF"/>
          </w:tcPr>
          <w:p w14:paraId="20A3623C" w14:textId="77777777" w:rsidR="00084F36" w:rsidRPr="00EB2BD8" w:rsidRDefault="00EB2BD8">
            <w:pPr>
              <w:pStyle w:val="TableParagraph"/>
              <w:spacing w:before="57"/>
              <w:ind w:right="178"/>
              <w:jc w:val="right"/>
              <w:rPr>
                <w:rFonts w:ascii="Arial"/>
                <w:sz w:val="16"/>
              </w:rPr>
            </w:pPr>
            <w:r w:rsidRPr="00EB2BD8">
              <w:rPr>
                <w:rFonts w:ascii="Arial"/>
                <w:w w:val="104"/>
                <w:sz w:val="16"/>
              </w:rPr>
              <w:t>-</w:t>
            </w:r>
          </w:p>
        </w:tc>
        <w:tc>
          <w:tcPr>
            <w:tcW w:w="830" w:type="dxa"/>
            <w:tcBorders>
              <w:bottom w:val="single" w:sz="12" w:space="0" w:color="000000"/>
            </w:tcBorders>
            <w:shd w:val="clear" w:color="auto" w:fill="FFFFFF"/>
          </w:tcPr>
          <w:p w14:paraId="36FC5337" w14:textId="77777777" w:rsidR="00084F36" w:rsidRPr="00EB2BD8" w:rsidRDefault="00EB2BD8">
            <w:pPr>
              <w:pStyle w:val="TableParagraph"/>
              <w:spacing w:before="57"/>
              <w:ind w:right="196"/>
              <w:jc w:val="right"/>
              <w:rPr>
                <w:rFonts w:ascii="Arial"/>
                <w:sz w:val="16"/>
              </w:rPr>
            </w:pPr>
            <w:r w:rsidRPr="00EB2BD8">
              <w:rPr>
                <w:rFonts w:ascii="Arial"/>
                <w:spacing w:val="-5"/>
                <w:w w:val="105"/>
                <w:sz w:val="16"/>
              </w:rPr>
              <w:t>182</w:t>
            </w:r>
          </w:p>
        </w:tc>
        <w:tc>
          <w:tcPr>
            <w:tcW w:w="706" w:type="dxa"/>
            <w:tcBorders>
              <w:bottom w:val="single" w:sz="12" w:space="0" w:color="000000"/>
            </w:tcBorders>
            <w:shd w:val="clear" w:color="auto" w:fill="FFFFFF"/>
          </w:tcPr>
          <w:p w14:paraId="09114066" w14:textId="77777777" w:rsidR="00084F36" w:rsidRPr="00EB2BD8" w:rsidRDefault="00EB2BD8">
            <w:pPr>
              <w:pStyle w:val="TableParagraph"/>
              <w:spacing w:before="57"/>
              <w:ind w:right="90"/>
              <w:jc w:val="right"/>
              <w:rPr>
                <w:rFonts w:ascii="Arial"/>
                <w:sz w:val="16"/>
              </w:rPr>
            </w:pPr>
            <w:r w:rsidRPr="00EB2BD8">
              <w:rPr>
                <w:rFonts w:ascii="Arial"/>
                <w:spacing w:val="-5"/>
                <w:w w:val="105"/>
                <w:sz w:val="16"/>
              </w:rPr>
              <w:t>340</w:t>
            </w:r>
          </w:p>
        </w:tc>
      </w:tr>
      <w:tr w:rsidR="00EB2BD8" w:rsidRPr="00EB2BD8" w14:paraId="72983FF3" w14:textId="77777777">
        <w:trPr>
          <w:trHeight w:val="296"/>
        </w:trPr>
        <w:tc>
          <w:tcPr>
            <w:tcW w:w="5128" w:type="dxa"/>
            <w:tcBorders>
              <w:top w:val="single" w:sz="12" w:space="0" w:color="000000"/>
              <w:bottom w:val="single" w:sz="12" w:space="0" w:color="000000"/>
            </w:tcBorders>
            <w:shd w:val="clear" w:color="auto" w:fill="FFFFFF"/>
          </w:tcPr>
          <w:p w14:paraId="34349976" w14:textId="77777777" w:rsidR="00084F36" w:rsidRPr="00EB2BD8" w:rsidRDefault="00EB2BD8">
            <w:pPr>
              <w:pStyle w:val="TableParagraph"/>
              <w:tabs>
                <w:tab w:val="right" w:pos="4970"/>
              </w:tabs>
              <w:spacing w:before="58"/>
              <w:ind w:left="105"/>
              <w:rPr>
                <w:rFonts w:ascii="Arial"/>
                <w:sz w:val="16"/>
              </w:rPr>
            </w:pPr>
            <w:r w:rsidRPr="00EB2BD8">
              <w:rPr>
                <w:rFonts w:ascii="Arial"/>
                <w:sz w:val="16"/>
              </w:rPr>
              <w:t>Gross</w:t>
            </w:r>
            <w:r w:rsidRPr="00EB2BD8">
              <w:rPr>
                <w:rFonts w:ascii="Arial"/>
                <w:spacing w:val="16"/>
                <w:sz w:val="16"/>
              </w:rPr>
              <w:t xml:space="preserve"> </w:t>
            </w:r>
            <w:r w:rsidRPr="00EB2BD8">
              <w:rPr>
                <w:rFonts w:ascii="Arial"/>
                <w:sz w:val="16"/>
              </w:rPr>
              <w:t>carrying</w:t>
            </w:r>
            <w:r w:rsidRPr="00EB2BD8">
              <w:rPr>
                <w:rFonts w:ascii="Arial"/>
                <w:spacing w:val="18"/>
                <w:sz w:val="16"/>
              </w:rPr>
              <w:t xml:space="preserve"> </w:t>
            </w:r>
            <w:r w:rsidRPr="00EB2BD8">
              <w:rPr>
                <w:rFonts w:ascii="Arial"/>
                <w:sz w:val="16"/>
              </w:rPr>
              <w:t>amount</w:t>
            </w:r>
            <w:r w:rsidRPr="00EB2BD8">
              <w:rPr>
                <w:rFonts w:ascii="Arial"/>
                <w:spacing w:val="16"/>
                <w:sz w:val="16"/>
              </w:rPr>
              <w:t xml:space="preserve"> </w:t>
            </w:r>
            <w:r w:rsidRPr="00EB2BD8">
              <w:rPr>
                <w:rFonts w:ascii="Arial"/>
                <w:sz w:val="16"/>
              </w:rPr>
              <w:t>of</w:t>
            </w:r>
            <w:r w:rsidRPr="00EB2BD8">
              <w:rPr>
                <w:rFonts w:ascii="Arial"/>
                <w:spacing w:val="17"/>
                <w:sz w:val="16"/>
              </w:rPr>
              <w:t xml:space="preserve"> </w:t>
            </w:r>
            <w:r w:rsidRPr="00EB2BD8">
              <w:rPr>
                <w:rFonts w:ascii="Arial"/>
                <w:spacing w:val="-2"/>
                <w:sz w:val="16"/>
              </w:rPr>
              <w:t>receivables</w:t>
            </w:r>
            <w:r w:rsidRPr="00EB2BD8">
              <w:rPr>
                <w:rFonts w:ascii="Arial"/>
                <w:sz w:val="16"/>
              </w:rPr>
              <w:tab/>
            </w:r>
            <w:r w:rsidRPr="00EB2BD8">
              <w:rPr>
                <w:rFonts w:ascii="Arial"/>
                <w:spacing w:val="-5"/>
                <w:sz w:val="16"/>
              </w:rPr>
              <w:t>95</w:t>
            </w:r>
          </w:p>
        </w:tc>
        <w:tc>
          <w:tcPr>
            <w:tcW w:w="779" w:type="dxa"/>
            <w:tcBorders>
              <w:top w:val="single" w:sz="12" w:space="0" w:color="000000"/>
              <w:bottom w:val="single" w:sz="12" w:space="0" w:color="000000"/>
            </w:tcBorders>
            <w:shd w:val="clear" w:color="auto" w:fill="FFFFFF"/>
          </w:tcPr>
          <w:p w14:paraId="60F01A1C" w14:textId="77777777" w:rsidR="00084F36" w:rsidRPr="00EB2BD8" w:rsidRDefault="00EB2BD8">
            <w:pPr>
              <w:pStyle w:val="TableParagraph"/>
              <w:spacing w:before="58"/>
              <w:ind w:right="97"/>
              <w:jc w:val="right"/>
              <w:rPr>
                <w:rFonts w:ascii="Arial"/>
                <w:sz w:val="16"/>
              </w:rPr>
            </w:pPr>
            <w:r w:rsidRPr="00EB2BD8">
              <w:rPr>
                <w:rFonts w:ascii="Arial"/>
                <w:spacing w:val="-5"/>
                <w:w w:val="105"/>
                <w:sz w:val="16"/>
              </w:rPr>
              <w:t>63</w:t>
            </w:r>
          </w:p>
        </w:tc>
        <w:tc>
          <w:tcPr>
            <w:tcW w:w="816" w:type="dxa"/>
            <w:tcBorders>
              <w:top w:val="single" w:sz="12" w:space="0" w:color="000000"/>
              <w:bottom w:val="single" w:sz="12" w:space="0" w:color="000000"/>
            </w:tcBorders>
            <w:shd w:val="clear" w:color="auto" w:fill="FFFFFF"/>
          </w:tcPr>
          <w:p w14:paraId="762680A1" w14:textId="77777777" w:rsidR="00084F36" w:rsidRPr="00EB2BD8" w:rsidRDefault="00EB2BD8">
            <w:pPr>
              <w:pStyle w:val="TableParagraph"/>
              <w:spacing w:before="58"/>
              <w:ind w:right="96"/>
              <w:jc w:val="right"/>
              <w:rPr>
                <w:rFonts w:ascii="Arial"/>
                <w:sz w:val="16"/>
              </w:rPr>
            </w:pPr>
            <w:r w:rsidRPr="00EB2BD8">
              <w:rPr>
                <w:rFonts w:ascii="Arial"/>
                <w:w w:val="104"/>
                <w:sz w:val="16"/>
              </w:rPr>
              <w:t>-</w:t>
            </w:r>
          </w:p>
        </w:tc>
        <w:tc>
          <w:tcPr>
            <w:tcW w:w="898" w:type="dxa"/>
            <w:tcBorders>
              <w:top w:val="single" w:sz="12" w:space="0" w:color="000000"/>
              <w:bottom w:val="single" w:sz="12" w:space="0" w:color="000000"/>
            </w:tcBorders>
            <w:shd w:val="clear" w:color="auto" w:fill="FFFFFF"/>
          </w:tcPr>
          <w:p w14:paraId="3E21A63C" w14:textId="77777777" w:rsidR="00084F36" w:rsidRPr="00EB2BD8" w:rsidRDefault="00EB2BD8">
            <w:pPr>
              <w:pStyle w:val="TableParagraph"/>
              <w:spacing w:before="58"/>
              <w:ind w:right="178"/>
              <w:jc w:val="right"/>
              <w:rPr>
                <w:rFonts w:ascii="Arial"/>
                <w:sz w:val="16"/>
              </w:rPr>
            </w:pPr>
            <w:r w:rsidRPr="00EB2BD8">
              <w:rPr>
                <w:rFonts w:ascii="Arial"/>
                <w:w w:val="104"/>
                <w:sz w:val="16"/>
              </w:rPr>
              <w:t>-</w:t>
            </w:r>
          </w:p>
        </w:tc>
        <w:tc>
          <w:tcPr>
            <w:tcW w:w="830" w:type="dxa"/>
            <w:tcBorders>
              <w:top w:val="single" w:sz="12" w:space="0" w:color="000000"/>
              <w:bottom w:val="single" w:sz="12" w:space="0" w:color="000000"/>
            </w:tcBorders>
            <w:shd w:val="clear" w:color="auto" w:fill="FFFFFF"/>
          </w:tcPr>
          <w:p w14:paraId="2BF32E7B" w14:textId="77777777" w:rsidR="00084F36" w:rsidRPr="00EB2BD8" w:rsidRDefault="00EB2BD8">
            <w:pPr>
              <w:pStyle w:val="TableParagraph"/>
              <w:spacing w:before="58"/>
              <w:ind w:right="195"/>
              <w:jc w:val="right"/>
              <w:rPr>
                <w:rFonts w:ascii="Arial"/>
                <w:sz w:val="16"/>
              </w:rPr>
            </w:pPr>
            <w:r w:rsidRPr="00EB2BD8">
              <w:rPr>
                <w:rFonts w:ascii="Arial"/>
                <w:spacing w:val="-5"/>
                <w:w w:val="105"/>
                <w:sz w:val="16"/>
              </w:rPr>
              <w:t>182</w:t>
            </w:r>
          </w:p>
        </w:tc>
        <w:tc>
          <w:tcPr>
            <w:tcW w:w="706" w:type="dxa"/>
            <w:tcBorders>
              <w:top w:val="single" w:sz="12" w:space="0" w:color="000000"/>
              <w:bottom w:val="single" w:sz="12" w:space="0" w:color="000000"/>
            </w:tcBorders>
            <w:shd w:val="clear" w:color="auto" w:fill="FFFFFF"/>
          </w:tcPr>
          <w:p w14:paraId="2B4AE0A1" w14:textId="77777777" w:rsidR="00084F36" w:rsidRPr="00EB2BD8" w:rsidRDefault="00EB2BD8">
            <w:pPr>
              <w:pStyle w:val="TableParagraph"/>
              <w:spacing w:before="58"/>
              <w:ind w:right="90"/>
              <w:jc w:val="right"/>
              <w:rPr>
                <w:rFonts w:ascii="Arial"/>
                <w:sz w:val="16"/>
              </w:rPr>
            </w:pPr>
            <w:r w:rsidRPr="00EB2BD8">
              <w:rPr>
                <w:rFonts w:ascii="Arial"/>
                <w:spacing w:val="-5"/>
                <w:w w:val="105"/>
                <w:sz w:val="16"/>
              </w:rPr>
              <w:t>340</w:t>
            </w:r>
          </w:p>
        </w:tc>
      </w:tr>
      <w:tr w:rsidR="00EB2BD8" w:rsidRPr="00EB2BD8" w14:paraId="2BD4AD12" w14:textId="77777777">
        <w:trPr>
          <w:trHeight w:val="295"/>
        </w:trPr>
        <w:tc>
          <w:tcPr>
            <w:tcW w:w="5128" w:type="dxa"/>
            <w:tcBorders>
              <w:top w:val="single" w:sz="12" w:space="0" w:color="000000"/>
              <w:bottom w:val="single" w:sz="12" w:space="0" w:color="000000"/>
            </w:tcBorders>
            <w:shd w:val="clear" w:color="auto" w:fill="FFFFFF"/>
          </w:tcPr>
          <w:p w14:paraId="55DA47B6" w14:textId="77777777" w:rsidR="00084F36" w:rsidRPr="00EB2BD8" w:rsidRDefault="00EB2BD8">
            <w:pPr>
              <w:pStyle w:val="TableParagraph"/>
              <w:tabs>
                <w:tab w:val="right" w:pos="4970"/>
              </w:tabs>
              <w:spacing w:before="58"/>
              <w:ind w:left="105"/>
              <w:rPr>
                <w:rFonts w:ascii="Arial"/>
                <w:b/>
                <w:sz w:val="16"/>
              </w:rPr>
            </w:pPr>
            <w:r w:rsidRPr="00EB2BD8">
              <w:rPr>
                <w:rFonts w:ascii="Arial"/>
                <w:b/>
                <w:sz w:val="16"/>
              </w:rPr>
              <w:t>Loss</w:t>
            </w:r>
            <w:r w:rsidRPr="00EB2BD8">
              <w:rPr>
                <w:rFonts w:ascii="Arial"/>
                <w:b/>
                <w:spacing w:val="15"/>
                <w:sz w:val="16"/>
              </w:rPr>
              <w:t xml:space="preserve"> </w:t>
            </w:r>
            <w:r w:rsidRPr="00EB2BD8">
              <w:rPr>
                <w:rFonts w:ascii="Arial"/>
                <w:b/>
                <w:spacing w:val="-2"/>
                <w:sz w:val="16"/>
              </w:rPr>
              <w:t>allowance</w:t>
            </w:r>
            <w:r w:rsidRPr="00EB2BD8">
              <w:rPr>
                <w:rFonts w:ascii="Arial"/>
                <w:b/>
                <w:sz w:val="16"/>
              </w:rPr>
              <w:tab/>
            </w:r>
            <w:r w:rsidRPr="00EB2BD8">
              <w:rPr>
                <w:rFonts w:ascii="Arial"/>
                <w:b/>
                <w:spacing w:val="-5"/>
                <w:sz w:val="16"/>
              </w:rPr>
              <w:t>10</w:t>
            </w:r>
          </w:p>
        </w:tc>
        <w:tc>
          <w:tcPr>
            <w:tcW w:w="779" w:type="dxa"/>
            <w:tcBorders>
              <w:top w:val="single" w:sz="12" w:space="0" w:color="000000"/>
              <w:bottom w:val="single" w:sz="12" w:space="0" w:color="000000"/>
            </w:tcBorders>
            <w:shd w:val="clear" w:color="auto" w:fill="FFFFFF"/>
          </w:tcPr>
          <w:p w14:paraId="31FDE377" w14:textId="77777777" w:rsidR="00084F36" w:rsidRPr="00EB2BD8" w:rsidRDefault="00EB2BD8">
            <w:pPr>
              <w:pStyle w:val="TableParagraph"/>
              <w:spacing w:before="58"/>
              <w:ind w:right="97"/>
              <w:jc w:val="right"/>
              <w:rPr>
                <w:rFonts w:ascii="Arial"/>
                <w:b/>
                <w:sz w:val="16"/>
              </w:rPr>
            </w:pPr>
            <w:r w:rsidRPr="00EB2BD8">
              <w:rPr>
                <w:rFonts w:ascii="Arial"/>
                <w:b/>
                <w:w w:val="104"/>
                <w:sz w:val="16"/>
              </w:rPr>
              <w:t>7</w:t>
            </w:r>
          </w:p>
        </w:tc>
        <w:tc>
          <w:tcPr>
            <w:tcW w:w="816" w:type="dxa"/>
            <w:tcBorders>
              <w:top w:val="single" w:sz="12" w:space="0" w:color="000000"/>
              <w:bottom w:val="single" w:sz="12" w:space="0" w:color="000000"/>
            </w:tcBorders>
            <w:shd w:val="clear" w:color="auto" w:fill="FFFFFF"/>
          </w:tcPr>
          <w:p w14:paraId="740C179B" w14:textId="77777777" w:rsidR="00084F36" w:rsidRPr="00EB2BD8" w:rsidRDefault="00EB2BD8">
            <w:pPr>
              <w:pStyle w:val="TableParagraph"/>
              <w:spacing w:before="58"/>
              <w:ind w:right="97"/>
              <w:jc w:val="right"/>
              <w:rPr>
                <w:rFonts w:ascii="Arial"/>
                <w:b/>
                <w:sz w:val="16"/>
              </w:rPr>
            </w:pPr>
            <w:r w:rsidRPr="00EB2BD8">
              <w:rPr>
                <w:rFonts w:ascii="Arial"/>
                <w:b/>
                <w:w w:val="104"/>
                <w:sz w:val="16"/>
              </w:rPr>
              <w:t>-</w:t>
            </w:r>
          </w:p>
        </w:tc>
        <w:tc>
          <w:tcPr>
            <w:tcW w:w="898" w:type="dxa"/>
            <w:tcBorders>
              <w:top w:val="single" w:sz="12" w:space="0" w:color="000000"/>
              <w:bottom w:val="single" w:sz="12" w:space="0" w:color="000000"/>
            </w:tcBorders>
            <w:shd w:val="clear" w:color="auto" w:fill="FFFFFF"/>
          </w:tcPr>
          <w:p w14:paraId="0EF28B2D" w14:textId="77777777" w:rsidR="00084F36" w:rsidRPr="00EB2BD8" w:rsidRDefault="00EB2BD8">
            <w:pPr>
              <w:pStyle w:val="TableParagraph"/>
              <w:spacing w:before="58"/>
              <w:ind w:right="177"/>
              <w:jc w:val="right"/>
              <w:rPr>
                <w:rFonts w:ascii="Arial"/>
                <w:b/>
                <w:sz w:val="16"/>
              </w:rPr>
            </w:pPr>
            <w:r w:rsidRPr="00EB2BD8">
              <w:rPr>
                <w:rFonts w:ascii="Arial"/>
                <w:b/>
                <w:w w:val="104"/>
                <w:sz w:val="16"/>
              </w:rPr>
              <w:t>-</w:t>
            </w:r>
          </w:p>
        </w:tc>
        <w:tc>
          <w:tcPr>
            <w:tcW w:w="830" w:type="dxa"/>
            <w:tcBorders>
              <w:top w:val="single" w:sz="12" w:space="0" w:color="000000"/>
              <w:bottom w:val="single" w:sz="12" w:space="0" w:color="000000"/>
            </w:tcBorders>
            <w:shd w:val="clear" w:color="auto" w:fill="FFFFFF"/>
          </w:tcPr>
          <w:p w14:paraId="09D1E630" w14:textId="77777777" w:rsidR="00084F36" w:rsidRPr="00EB2BD8" w:rsidRDefault="00EB2BD8">
            <w:pPr>
              <w:pStyle w:val="TableParagraph"/>
              <w:spacing w:before="58"/>
              <w:ind w:right="195"/>
              <w:jc w:val="right"/>
              <w:rPr>
                <w:rFonts w:ascii="Arial"/>
                <w:b/>
                <w:sz w:val="16"/>
              </w:rPr>
            </w:pPr>
            <w:r w:rsidRPr="00EB2BD8">
              <w:rPr>
                <w:rFonts w:ascii="Arial"/>
                <w:b/>
                <w:spacing w:val="-5"/>
                <w:w w:val="105"/>
                <w:sz w:val="16"/>
              </w:rPr>
              <w:t>182</w:t>
            </w:r>
          </w:p>
        </w:tc>
        <w:tc>
          <w:tcPr>
            <w:tcW w:w="706" w:type="dxa"/>
            <w:tcBorders>
              <w:top w:val="single" w:sz="12" w:space="0" w:color="000000"/>
              <w:bottom w:val="single" w:sz="12" w:space="0" w:color="000000"/>
            </w:tcBorders>
            <w:shd w:val="clear" w:color="auto" w:fill="FFFFFF"/>
          </w:tcPr>
          <w:p w14:paraId="547872B0" w14:textId="77777777" w:rsidR="00084F36" w:rsidRPr="00EB2BD8" w:rsidRDefault="00EB2BD8">
            <w:pPr>
              <w:pStyle w:val="TableParagraph"/>
              <w:spacing w:before="58"/>
              <w:ind w:right="90"/>
              <w:jc w:val="right"/>
              <w:rPr>
                <w:rFonts w:ascii="Arial"/>
                <w:b/>
                <w:sz w:val="16"/>
              </w:rPr>
            </w:pPr>
            <w:r w:rsidRPr="00EB2BD8">
              <w:rPr>
                <w:rFonts w:ascii="Arial"/>
                <w:b/>
                <w:spacing w:val="-5"/>
                <w:w w:val="105"/>
                <w:sz w:val="16"/>
              </w:rPr>
              <w:t>199</w:t>
            </w:r>
          </w:p>
        </w:tc>
      </w:tr>
    </w:tbl>
    <w:p w14:paraId="19004AEE" w14:textId="77777777" w:rsidR="00084F36" w:rsidRPr="00EB2BD8" w:rsidRDefault="00084F36">
      <w:pPr>
        <w:pStyle w:val="BodyText"/>
        <w:rPr>
          <w:rFonts w:ascii="Arial"/>
          <w:sz w:val="20"/>
        </w:rPr>
      </w:pPr>
    </w:p>
    <w:p w14:paraId="3B475990" w14:textId="77777777" w:rsidR="00084F36" w:rsidRPr="00EB2BD8" w:rsidRDefault="00084F36">
      <w:pPr>
        <w:pStyle w:val="BodyText"/>
        <w:rPr>
          <w:rFonts w:ascii="Arial"/>
          <w:sz w:val="21"/>
        </w:rPr>
      </w:pPr>
    </w:p>
    <w:p w14:paraId="3B43BFA1" w14:textId="77777777" w:rsidR="00084F36" w:rsidRPr="00EB2BD8" w:rsidRDefault="00EB2BD8">
      <w:pPr>
        <w:spacing w:before="103"/>
        <w:ind w:left="1054"/>
        <w:rPr>
          <w:rFonts w:ascii="Arial"/>
          <w:sz w:val="16"/>
        </w:rPr>
      </w:pPr>
      <w:r w:rsidRPr="00EB2BD8">
        <w:rPr>
          <w:rFonts w:ascii="Arial"/>
          <w:w w:val="105"/>
          <w:sz w:val="16"/>
        </w:rPr>
        <w:t>Reconciliation</w:t>
      </w:r>
      <w:r w:rsidRPr="00EB2BD8">
        <w:rPr>
          <w:rFonts w:ascii="Arial"/>
          <w:spacing w:val="-7"/>
          <w:w w:val="105"/>
          <w:sz w:val="16"/>
        </w:rPr>
        <w:t xml:space="preserve"> </w:t>
      </w:r>
      <w:r w:rsidRPr="00EB2BD8">
        <w:rPr>
          <w:rFonts w:ascii="Arial"/>
          <w:w w:val="105"/>
          <w:sz w:val="16"/>
        </w:rPr>
        <w:t>of</w:t>
      </w:r>
      <w:r w:rsidRPr="00EB2BD8">
        <w:rPr>
          <w:rFonts w:ascii="Arial"/>
          <w:spacing w:val="-7"/>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movement</w:t>
      </w:r>
      <w:r w:rsidRPr="00EB2BD8">
        <w:rPr>
          <w:rFonts w:ascii="Arial"/>
          <w:spacing w:val="-7"/>
          <w:w w:val="105"/>
          <w:sz w:val="16"/>
        </w:rPr>
        <w:t xml:space="preserve"> </w:t>
      </w:r>
      <w:r w:rsidRPr="00EB2BD8">
        <w:rPr>
          <w:rFonts w:ascii="Arial"/>
          <w:w w:val="105"/>
          <w:sz w:val="16"/>
        </w:rPr>
        <w:t>in</w:t>
      </w:r>
      <w:r w:rsidRPr="00EB2BD8">
        <w:rPr>
          <w:rFonts w:ascii="Arial"/>
          <w:spacing w:val="-7"/>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loss</w:t>
      </w:r>
      <w:r w:rsidRPr="00EB2BD8">
        <w:rPr>
          <w:rFonts w:ascii="Arial"/>
          <w:spacing w:val="-7"/>
          <w:w w:val="105"/>
          <w:sz w:val="16"/>
        </w:rPr>
        <w:t xml:space="preserve"> </w:t>
      </w:r>
      <w:r w:rsidRPr="00EB2BD8">
        <w:rPr>
          <w:rFonts w:ascii="Arial"/>
          <w:w w:val="105"/>
          <w:sz w:val="16"/>
        </w:rPr>
        <w:t>allowance</w:t>
      </w:r>
      <w:r w:rsidRPr="00EB2BD8">
        <w:rPr>
          <w:rFonts w:ascii="Arial"/>
          <w:spacing w:val="-7"/>
          <w:w w:val="105"/>
          <w:sz w:val="16"/>
        </w:rPr>
        <w:t xml:space="preserve"> </w:t>
      </w:r>
      <w:r w:rsidRPr="00EB2BD8">
        <w:rPr>
          <w:rFonts w:ascii="Arial"/>
          <w:w w:val="105"/>
          <w:sz w:val="16"/>
        </w:rPr>
        <w:t>for</w:t>
      </w:r>
      <w:r w:rsidRPr="00EB2BD8">
        <w:rPr>
          <w:rFonts w:ascii="Arial"/>
          <w:spacing w:val="-7"/>
          <w:w w:val="105"/>
          <w:sz w:val="16"/>
        </w:rPr>
        <w:t xml:space="preserve"> </w:t>
      </w:r>
      <w:r w:rsidRPr="00EB2BD8">
        <w:rPr>
          <w:rFonts w:ascii="Arial"/>
          <w:w w:val="105"/>
          <w:sz w:val="16"/>
        </w:rPr>
        <w:t>contractual</w:t>
      </w:r>
      <w:r w:rsidRPr="00EB2BD8">
        <w:rPr>
          <w:rFonts w:ascii="Arial"/>
          <w:spacing w:val="-7"/>
          <w:w w:val="105"/>
          <w:sz w:val="16"/>
        </w:rPr>
        <w:t xml:space="preserve"> </w:t>
      </w:r>
      <w:r w:rsidRPr="00EB2BD8">
        <w:rPr>
          <w:rFonts w:ascii="Arial"/>
          <w:w w:val="105"/>
          <w:sz w:val="16"/>
        </w:rPr>
        <w:t>receivables</w:t>
      </w:r>
      <w:r w:rsidRPr="00EB2BD8">
        <w:rPr>
          <w:rFonts w:ascii="Arial"/>
          <w:spacing w:val="-7"/>
          <w:w w:val="105"/>
          <w:sz w:val="16"/>
        </w:rPr>
        <w:t xml:space="preserve"> </w:t>
      </w:r>
      <w:r w:rsidRPr="00EB2BD8">
        <w:rPr>
          <w:rFonts w:ascii="Arial"/>
          <w:w w:val="105"/>
          <w:sz w:val="16"/>
        </w:rPr>
        <w:t>is</w:t>
      </w:r>
      <w:r w:rsidRPr="00EB2BD8">
        <w:rPr>
          <w:rFonts w:ascii="Arial"/>
          <w:spacing w:val="-6"/>
          <w:w w:val="105"/>
          <w:sz w:val="16"/>
        </w:rPr>
        <w:t xml:space="preserve"> </w:t>
      </w:r>
      <w:r w:rsidRPr="00EB2BD8">
        <w:rPr>
          <w:rFonts w:ascii="Arial"/>
          <w:w w:val="105"/>
          <w:sz w:val="16"/>
        </w:rPr>
        <w:t>shown</w:t>
      </w:r>
      <w:r w:rsidRPr="00EB2BD8">
        <w:rPr>
          <w:rFonts w:ascii="Arial"/>
          <w:spacing w:val="-6"/>
          <w:w w:val="105"/>
          <w:sz w:val="16"/>
        </w:rPr>
        <w:t xml:space="preserve"> </w:t>
      </w:r>
      <w:r w:rsidRPr="00EB2BD8">
        <w:rPr>
          <w:rFonts w:ascii="Arial"/>
          <w:w w:val="105"/>
          <w:sz w:val="16"/>
        </w:rPr>
        <w:t>as</w:t>
      </w:r>
      <w:r w:rsidRPr="00EB2BD8">
        <w:rPr>
          <w:rFonts w:ascii="Arial"/>
          <w:spacing w:val="-7"/>
          <w:w w:val="105"/>
          <w:sz w:val="16"/>
        </w:rPr>
        <w:t xml:space="preserve"> </w:t>
      </w:r>
      <w:r w:rsidRPr="00EB2BD8">
        <w:rPr>
          <w:rFonts w:ascii="Arial"/>
          <w:spacing w:val="-2"/>
          <w:w w:val="105"/>
          <w:sz w:val="16"/>
        </w:rPr>
        <w:t>follows:</w:t>
      </w:r>
    </w:p>
    <w:p w14:paraId="311B66EB" w14:textId="77777777" w:rsidR="00084F36" w:rsidRPr="00EB2BD8" w:rsidRDefault="00EB2BD8">
      <w:pPr>
        <w:spacing w:before="62" w:after="46"/>
        <w:ind w:left="9544"/>
        <w:rPr>
          <w:rFonts w:ascii="Arial" w:hAnsi="Arial"/>
          <w:sz w:val="16"/>
        </w:rPr>
      </w:pPr>
      <w:r w:rsidRPr="00EB2BD8">
        <w:rPr>
          <w:rFonts w:ascii="Arial" w:hAnsi="Arial"/>
          <w:spacing w:val="-2"/>
          <w:w w:val="105"/>
          <w:sz w:val="16"/>
        </w:rPr>
        <w:t>($’000)</w:t>
      </w:r>
    </w:p>
    <w:tbl>
      <w:tblPr>
        <w:tblW w:w="0" w:type="auto"/>
        <w:tblInd w:w="1062" w:type="dxa"/>
        <w:tblLayout w:type="fixed"/>
        <w:tblCellMar>
          <w:left w:w="0" w:type="dxa"/>
          <w:right w:w="0" w:type="dxa"/>
        </w:tblCellMar>
        <w:tblLook w:val="01E0" w:firstRow="1" w:lastRow="1" w:firstColumn="1" w:lastColumn="1" w:noHBand="0" w:noVBand="0"/>
      </w:tblPr>
      <w:tblGrid>
        <w:gridCol w:w="6480"/>
        <w:gridCol w:w="1383"/>
        <w:gridCol w:w="1251"/>
      </w:tblGrid>
      <w:tr w:rsidR="00EB2BD8" w:rsidRPr="00EB2BD8" w14:paraId="2F03C833" w14:textId="77777777">
        <w:trPr>
          <w:trHeight w:val="297"/>
        </w:trPr>
        <w:tc>
          <w:tcPr>
            <w:tcW w:w="7863" w:type="dxa"/>
            <w:gridSpan w:val="2"/>
            <w:tcBorders>
              <w:top w:val="single" w:sz="4" w:space="0" w:color="0098FF"/>
              <w:left w:val="single" w:sz="4" w:space="0" w:color="0098FF"/>
              <w:bottom w:val="single" w:sz="4" w:space="0" w:color="0098FF"/>
            </w:tcBorders>
            <w:shd w:val="clear" w:color="auto" w:fill="0070C0"/>
          </w:tcPr>
          <w:p w14:paraId="034820A3" w14:textId="77777777" w:rsidR="00084F36" w:rsidRPr="00EB2BD8" w:rsidRDefault="00EB2BD8">
            <w:pPr>
              <w:pStyle w:val="TableParagraph"/>
              <w:spacing w:before="58"/>
              <w:ind w:right="95"/>
              <w:jc w:val="right"/>
              <w:rPr>
                <w:rFonts w:ascii="Arial"/>
                <w:b/>
                <w:sz w:val="16"/>
              </w:rPr>
            </w:pPr>
            <w:r w:rsidRPr="00EB2BD8">
              <w:rPr>
                <w:rFonts w:ascii="Arial"/>
                <w:b/>
                <w:spacing w:val="-4"/>
                <w:w w:val="105"/>
                <w:sz w:val="16"/>
              </w:rPr>
              <w:t>2023</w:t>
            </w:r>
          </w:p>
        </w:tc>
        <w:tc>
          <w:tcPr>
            <w:tcW w:w="1251" w:type="dxa"/>
            <w:tcBorders>
              <w:top w:val="single" w:sz="4" w:space="0" w:color="0098FF"/>
              <w:bottom w:val="single" w:sz="4" w:space="0" w:color="0098FF"/>
            </w:tcBorders>
            <w:shd w:val="clear" w:color="auto" w:fill="0070C0"/>
          </w:tcPr>
          <w:p w14:paraId="0118C9D6" w14:textId="77777777" w:rsidR="00084F36" w:rsidRPr="00EB2BD8" w:rsidRDefault="00EB2BD8">
            <w:pPr>
              <w:pStyle w:val="TableParagraph"/>
              <w:spacing w:before="58"/>
              <w:ind w:right="95"/>
              <w:jc w:val="right"/>
              <w:rPr>
                <w:rFonts w:ascii="Arial"/>
                <w:b/>
                <w:sz w:val="16"/>
              </w:rPr>
            </w:pPr>
            <w:r w:rsidRPr="00EB2BD8">
              <w:rPr>
                <w:rFonts w:ascii="Arial"/>
                <w:b/>
                <w:spacing w:val="-4"/>
                <w:w w:val="105"/>
                <w:sz w:val="16"/>
              </w:rPr>
              <w:t>2022</w:t>
            </w:r>
          </w:p>
        </w:tc>
      </w:tr>
      <w:tr w:rsidR="00EB2BD8" w:rsidRPr="00EB2BD8" w14:paraId="513A7EAF" w14:textId="77777777">
        <w:trPr>
          <w:trHeight w:val="311"/>
        </w:trPr>
        <w:tc>
          <w:tcPr>
            <w:tcW w:w="6480" w:type="dxa"/>
            <w:tcBorders>
              <w:top w:val="single" w:sz="4" w:space="0" w:color="0098FF"/>
            </w:tcBorders>
            <w:shd w:val="clear" w:color="auto" w:fill="FFFFFF"/>
          </w:tcPr>
          <w:p w14:paraId="3F241281" w14:textId="77777777" w:rsidR="00084F36" w:rsidRPr="00EB2BD8" w:rsidRDefault="00EB2BD8">
            <w:pPr>
              <w:pStyle w:val="TableParagraph"/>
              <w:spacing w:before="63"/>
              <w:ind w:left="105"/>
              <w:rPr>
                <w:rFonts w:ascii="Arial"/>
                <w:b/>
                <w:sz w:val="16"/>
              </w:rPr>
            </w:pPr>
            <w:r w:rsidRPr="00EB2BD8">
              <w:rPr>
                <w:rFonts w:ascii="Arial"/>
                <w:b/>
                <w:w w:val="105"/>
                <w:sz w:val="16"/>
              </w:rPr>
              <w:t>Balance</w:t>
            </w:r>
            <w:r w:rsidRPr="00EB2BD8">
              <w:rPr>
                <w:rFonts w:ascii="Arial"/>
                <w:b/>
                <w:spacing w:val="-6"/>
                <w:w w:val="105"/>
                <w:sz w:val="16"/>
              </w:rPr>
              <w:t xml:space="preserve"> </w:t>
            </w:r>
            <w:r w:rsidRPr="00EB2BD8">
              <w:rPr>
                <w:rFonts w:ascii="Arial"/>
                <w:b/>
                <w:w w:val="105"/>
                <w:sz w:val="16"/>
              </w:rPr>
              <w:t>at</w:t>
            </w:r>
            <w:r w:rsidRPr="00EB2BD8">
              <w:rPr>
                <w:rFonts w:ascii="Arial"/>
                <w:b/>
                <w:spacing w:val="-6"/>
                <w:w w:val="105"/>
                <w:sz w:val="16"/>
              </w:rPr>
              <w:t xml:space="preserve"> </w:t>
            </w:r>
            <w:r w:rsidRPr="00EB2BD8">
              <w:rPr>
                <w:rFonts w:ascii="Arial"/>
                <w:b/>
                <w:w w:val="105"/>
                <w:sz w:val="16"/>
              </w:rPr>
              <w:t>beginning</w:t>
            </w:r>
            <w:r w:rsidRPr="00EB2BD8">
              <w:rPr>
                <w:rFonts w:ascii="Arial"/>
                <w:b/>
                <w:spacing w:val="-5"/>
                <w:w w:val="105"/>
                <w:sz w:val="16"/>
              </w:rPr>
              <w:t xml:space="preserve"> </w:t>
            </w:r>
            <w:r w:rsidRPr="00EB2BD8">
              <w:rPr>
                <w:rFonts w:ascii="Arial"/>
                <w:b/>
                <w:w w:val="105"/>
                <w:sz w:val="16"/>
              </w:rPr>
              <w:t>of</w:t>
            </w:r>
            <w:r w:rsidRPr="00EB2BD8">
              <w:rPr>
                <w:rFonts w:ascii="Arial"/>
                <w:b/>
                <w:spacing w:val="-6"/>
                <w:w w:val="105"/>
                <w:sz w:val="16"/>
              </w:rPr>
              <w:t xml:space="preserve"> </w:t>
            </w:r>
            <w:r w:rsidRPr="00EB2BD8">
              <w:rPr>
                <w:rFonts w:ascii="Arial"/>
                <w:b/>
                <w:w w:val="105"/>
                <w:sz w:val="16"/>
              </w:rPr>
              <w:t>the</w:t>
            </w:r>
            <w:r w:rsidRPr="00EB2BD8">
              <w:rPr>
                <w:rFonts w:ascii="Arial"/>
                <w:b/>
                <w:spacing w:val="-8"/>
                <w:w w:val="105"/>
                <w:sz w:val="16"/>
              </w:rPr>
              <w:t xml:space="preserve"> </w:t>
            </w:r>
            <w:r w:rsidRPr="00EB2BD8">
              <w:rPr>
                <w:rFonts w:ascii="Arial"/>
                <w:b/>
                <w:spacing w:val="-4"/>
                <w:w w:val="105"/>
                <w:sz w:val="16"/>
              </w:rPr>
              <w:t>year</w:t>
            </w:r>
          </w:p>
        </w:tc>
        <w:tc>
          <w:tcPr>
            <w:tcW w:w="1383" w:type="dxa"/>
            <w:tcBorders>
              <w:top w:val="single" w:sz="4" w:space="0" w:color="0098FF"/>
            </w:tcBorders>
            <w:shd w:val="clear" w:color="auto" w:fill="DEEAF6"/>
          </w:tcPr>
          <w:p w14:paraId="65E6BE95" w14:textId="77777777" w:rsidR="00084F36" w:rsidRPr="00EB2BD8" w:rsidRDefault="00EB2BD8">
            <w:pPr>
              <w:pStyle w:val="TableParagraph"/>
              <w:spacing w:before="63"/>
              <w:ind w:right="95"/>
              <w:jc w:val="right"/>
              <w:rPr>
                <w:rFonts w:ascii="Arial"/>
                <w:sz w:val="16"/>
              </w:rPr>
            </w:pPr>
            <w:r w:rsidRPr="00EB2BD8">
              <w:rPr>
                <w:rFonts w:ascii="Arial"/>
                <w:spacing w:val="-2"/>
                <w:w w:val="105"/>
                <w:sz w:val="16"/>
              </w:rPr>
              <w:t>(199)</w:t>
            </w:r>
          </w:p>
        </w:tc>
        <w:tc>
          <w:tcPr>
            <w:tcW w:w="1251" w:type="dxa"/>
            <w:tcBorders>
              <w:top w:val="single" w:sz="4" w:space="0" w:color="0098FF"/>
            </w:tcBorders>
            <w:shd w:val="clear" w:color="auto" w:fill="FFFFFF"/>
          </w:tcPr>
          <w:p w14:paraId="602A48DF" w14:textId="77777777" w:rsidR="00084F36" w:rsidRPr="00EB2BD8" w:rsidRDefault="00EB2BD8">
            <w:pPr>
              <w:pStyle w:val="TableParagraph"/>
              <w:spacing w:before="63"/>
              <w:ind w:right="96"/>
              <w:jc w:val="right"/>
              <w:rPr>
                <w:rFonts w:ascii="Arial"/>
                <w:sz w:val="16"/>
              </w:rPr>
            </w:pPr>
            <w:r w:rsidRPr="00EB2BD8">
              <w:rPr>
                <w:rFonts w:ascii="Arial"/>
                <w:spacing w:val="-2"/>
                <w:w w:val="105"/>
                <w:sz w:val="16"/>
              </w:rPr>
              <w:t>(269)</w:t>
            </w:r>
          </w:p>
        </w:tc>
      </w:tr>
      <w:tr w:rsidR="00EB2BD8" w:rsidRPr="00EB2BD8" w14:paraId="149B1C80" w14:textId="77777777">
        <w:trPr>
          <w:trHeight w:val="311"/>
        </w:trPr>
        <w:tc>
          <w:tcPr>
            <w:tcW w:w="6480" w:type="dxa"/>
            <w:tcBorders>
              <w:bottom w:val="single" w:sz="12" w:space="0" w:color="000000"/>
            </w:tcBorders>
            <w:shd w:val="clear" w:color="auto" w:fill="FFFFFF"/>
          </w:tcPr>
          <w:p w14:paraId="4C1ADA16" w14:textId="77777777" w:rsidR="00084F36" w:rsidRPr="00EB2BD8" w:rsidRDefault="00EB2BD8">
            <w:pPr>
              <w:pStyle w:val="TableParagraph"/>
              <w:spacing w:before="64"/>
              <w:ind w:left="105"/>
              <w:rPr>
                <w:rFonts w:ascii="Arial"/>
                <w:sz w:val="16"/>
              </w:rPr>
            </w:pPr>
            <w:r w:rsidRPr="00EB2BD8">
              <w:rPr>
                <w:rFonts w:ascii="Arial"/>
                <w:w w:val="105"/>
                <w:sz w:val="16"/>
              </w:rPr>
              <w:t>Decrease/(Increase)</w:t>
            </w:r>
            <w:r w:rsidRPr="00EB2BD8">
              <w:rPr>
                <w:rFonts w:ascii="Arial"/>
                <w:spacing w:val="-8"/>
                <w:w w:val="105"/>
                <w:sz w:val="16"/>
              </w:rPr>
              <w:t xml:space="preserve"> </w:t>
            </w:r>
            <w:r w:rsidRPr="00EB2BD8">
              <w:rPr>
                <w:rFonts w:ascii="Arial"/>
                <w:w w:val="105"/>
                <w:sz w:val="16"/>
              </w:rPr>
              <w:t>in</w:t>
            </w:r>
            <w:r w:rsidRPr="00EB2BD8">
              <w:rPr>
                <w:rFonts w:ascii="Arial"/>
                <w:spacing w:val="-8"/>
                <w:w w:val="105"/>
                <w:sz w:val="16"/>
              </w:rPr>
              <w:t xml:space="preserve"> </w:t>
            </w:r>
            <w:r w:rsidRPr="00EB2BD8">
              <w:rPr>
                <w:rFonts w:ascii="Arial"/>
                <w:w w:val="105"/>
                <w:sz w:val="16"/>
              </w:rPr>
              <w:t>provision</w:t>
            </w:r>
            <w:r w:rsidRPr="00EB2BD8">
              <w:rPr>
                <w:rFonts w:ascii="Arial"/>
                <w:spacing w:val="-8"/>
                <w:w w:val="105"/>
                <w:sz w:val="16"/>
              </w:rPr>
              <w:t xml:space="preserve"> </w:t>
            </w:r>
            <w:r w:rsidRPr="00EB2BD8">
              <w:rPr>
                <w:rFonts w:ascii="Arial"/>
                <w:w w:val="105"/>
                <w:sz w:val="16"/>
              </w:rPr>
              <w:t>recognised</w:t>
            </w:r>
            <w:r w:rsidRPr="00EB2BD8">
              <w:rPr>
                <w:rFonts w:ascii="Arial"/>
                <w:spacing w:val="-7"/>
                <w:w w:val="105"/>
                <w:sz w:val="16"/>
              </w:rPr>
              <w:t xml:space="preserve"> </w:t>
            </w:r>
            <w:r w:rsidRPr="00EB2BD8">
              <w:rPr>
                <w:rFonts w:ascii="Arial"/>
                <w:w w:val="105"/>
                <w:sz w:val="16"/>
              </w:rPr>
              <w:t>in</w:t>
            </w:r>
            <w:r w:rsidRPr="00EB2BD8">
              <w:rPr>
                <w:rFonts w:ascii="Arial"/>
                <w:spacing w:val="-8"/>
                <w:w w:val="105"/>
                <w:sz w:val="16"/>
              </w:rPr>
              <w:t xml:space="preserve"> </w:t>
            </w:r>
            <w:r w:rsidRPr="00EB2BD8">
              <w:rPr>
                <w:rFonts w:ascii="Arial"/>
                <w:w w:val="105"/>
                <w:sz w:val="16"/>
              </w:rPr>
              <w:t>the</w:t>
            </w:r>
            <w:r w:rsidRPr="00EB2BD8">
              <w:rPr>
                <w:rFonts w:ascii="Arial"/>
                <w:spacing w:val="-8"/>
                <w:w w:val="105"/>
                <w:sz w:val="16"/>
              </w:rPr>
              <w:t xml:space="preserve"> </w:t>
            </w:r>
            <w:r w:rsidRPr="00EB2BD8">
              <w:rPr>
                <w:rFonts w:ascii="Arial"/>
                <w:w w:val="105"/>
                <w:sz w:val="16"/>
              </w:rPr>
              <w:t>net</w:t>
            </w:r>
            <w:r w:rsidRPr="00EB2BD8">
              <w:rPr>
                <w:rFonts w:ascii="Arial"/>
                <w:spacing w:val="-8"/>
                <w:w w:val="105"/>
                <w:sz w:val="16"/>
              </w:rPr>
              <w:t xml:space="preserve"> </w:t>
            </w:r>
            <w:r w:rsidRPr="00EB2BD8">
              <w:rPr>
                <w:rFonts w:ascii="Arial"/>
                <w:spacing w:val="-2"/>
                <w:w w:val="105"/>
                <w:sz w:val="16"/>
              </w:rPr>
              <w:t>result</w:t>
            </w:r>
          </w:p>
        </w:tc>
        <w:tc>
          <w:tcPr>
            <w:tcW w:w="1383" w:type="dxa"/>
            <w:tcBorders>
              <w:bottom w:val="single" w:sz="12" w:space="0" w:color="000000"/>
            </w:tcBorders>
            <w:shd w:val="clear" w:color="auto" w:fill="DEEAF6"/>
          </w:tcPr>
          <w:p w14:paraId="3D2D6804" w14:textId="77777777" w:rsidR="00084F36" w:rsidRPr="00EB2BD8" w:rsidRDefault="00EB2BD8">
            <w:pPr>
              <w:pStyle w:val="TableParagraph"/>
              <w:spacing w:before="64"/>
              <w:ind w:right="95"/>
              <w:jc w:val="right"/>
              <w:rPr>
                <w:rFonts w:ascii="Arial"/>
                <w:sz w:val="16"/>
              </w:rPr>
            </w:pPr>
            <w:r w:rsidRPr="00EB2BD8">
              <w:rPr>
                <w:rFonts w:ascii="Arial"/>
                <w:spacing w:val="-5"/>
                <w:w w:val="105"/>
                <w:sz w:val="16"/>
              </w:rPr>
              <w:t>78</w:t>
            </w:r>
          </w:p>
        </w:tc>
        <w:tc>
          <w:tcPr>
            <w:tcW w:w="1251" w:type="dxa"/>
            <w:tcBorders>
              <w:bottom w:val="single" w:sz="12" w:space="0" w:color="000000"/>
            </w:tcBorders>
            <w:shd w:val="clear" w:color="auto" w:fill="FFFFFF"/>
          </w:tcPr>
          <w:p w14:paraId="11FC3C1F" w14:textId="77777777" w:rsidR="00084F36" w:rsidRPr="00EB2BD8" w:rsidRDefault="00EB2BD8">
            <w:pPr>
              <w:pStyle w:val="TableParagraph"/>
              <w:spacing w:before="64"/>
              <w:ind w:right="95"/>
              <w:jc w:val="right"/>
              <w:rPr>
                <w:rFonts w:ascii="Arial"/>
                <w:sz w:val="16"/>
              </w:rPr>
            </w:pPr>
            <w:r w:rsidRPr="00EB2BD8">
              <w:rPr>
                <w:rFonts w:ascii="Arial"/>
                <w:spacing w:val="-5"/>
                <w:w w:val="105"/>
                <w:sz w:val="16"/>
              </w:rPr>
              <w:t>70</w:t>
            </w:r>
          </w:p>
        </w:tc>
      </w:tr>
      <w:tr w:rsidR="00EB2BD8" w:rsidRPr="00EB2BD8" w14:paraId="33C8CD69" w14:textId="77777777">
        <w:trPr>
          <w:trHeight w:val="287"/>
        </w:trPr>
        <w:tc>
          <w:tcPr>
            <w:tcW w:w="6480" w:type="dxa"/>
            <w:tcBorders>
              <w:top w:val="single" w:sz="12" w:space="0" w:color="000000"/>
              <w:bottom w:val="single" w:sz="12" w:space="0" w:color="000000"/>
            </w:tcBorders>
            <w:shd w:val="clear" w:color="auto" w:fill="FFFFFF"/>
          </w:tcPr>
          <w:p w14:paraId="1DA1068F" w14:textId="77777777" w:rsidR="00084F36" w:rsidRPr="00EB2BD8" w:rsidRDefault="00EB2BD8">
            <w:pPr>
              <w:pStyle w:val="TableParagraph"/>
              <w:spacing w:before="53"/>
              <w:ind w:left="105"/>
              <w:rPr>
                <w:rFonts w:ascii="Arial"/>
                <w:b/>
                <w:sz w:val="16"/>
              </w:rPr>
            </w:pPr>
            <w:r w:rsidRPr="00EB2BD8">
              <w:rPr>
                <w:rFonts w:ascii="Arial"/>
                <w:b/>
                <w:w w:val="105"/>
                <w:sz w:val="16"/>
              </w:rPr>
              <w:t>Balance</w:t>
            </w:r>
            <w:r w:rsidRPr="00EB2BD8">
              <w:rPr>
                <w:rFonts w:ascii="Arial"/>
                <w:b/>
                <w:spacing w:val="-5"/>
                <w:w w:val="105"/>
                <w:sz w:val="16"/>
              </w:rPr>
              <w:t xml:space="preserve"> </w:t>
            </w:r>
            <w:r w:rsidRPr="00EB2BD8">
              <w:rPr>
                <w:rFonts w:ascii="Arial"/>
                <w:b/>
                <w:w w:val="105"/>
                <w:sz w:val="16"/>
              </w:rPr>
              <w:t>at</w:t>
            </w:r>
            <w:r w:rsidRPr="00EB2BD8">
              <w:rPr>
                <w:rFonts w:ascii="Arial"/>
                <w:b/>
                <w:spacing w:val="-4"/>
                <w:w w:val="105"/>
                <w:sz w:val="16"/>
              </w:rPr>
              <w:t xml:space="preserve"> </w:t>
            </w:r>
            <w:r w:rsidRPr="00EB2BD8">
              <w:rPr>
                <w:rFonts w:ascii="Arial"/>
                <w:b/>
                <w:w w:val="105"/>
                <w:sz w:val="16"/>
              </w:rPr>
              <w:t>end</w:t>
            </w:r>
            <w:r w:rsidRPr="00EB2BD8">
              <w:rPr>
                <w:rFonts w:ascii="Arial"/>
                <w:b/>
                <w:spacing w:val="-4"/>
                <w:w w:val="105"/>
                <w:sz w:val="16"/>
              </w:rPr>
              <w:t xml:space="preserve"> </w:t>
            </w:r>
            <w:r w:rsidRPr="00EB2BD8">
              <w:rPr>
                <w:rFonts w:ascii="Arial"/>
                <w:b/>
                <w:w w:val="105"/>
                <w:sz w:val="16"/>
              </w:rPr>
              <w:t>of</w:t>
            </w:r>
            <w:r w:rsidRPr="00EB2BD8">
              <w:rPr>
                <w:rFonts w:ascii="Arial"/>
                <w:b/>
                <w:spacing w:val="-5"/>
                <w:w w:val="105"/>
                <w:sz w:val="16"/>
              </w:rPr>
              <w:t xml:space="preserve"> </w:t>
            </w:r>
            <w:r w:rsidRPr="00EB2BD8">
              <w:rPr>
                <w:rFonts w:ascii="Arial"/>
                <w:b/>
                <w:w w:val="105"/>
                <w:sz w:val="16"/>
              </w:rPr>
              <w:t>the</w:t>
            </w:r>
            <w:r w:rsidRPr="00EB2BD8">
              <w:rPr>
                <w:rFonts w:ascii="Arial"/>
                <w:b/>
                <w:spacing w:val="-4"/>
                <w:w w:val="105"/>
                <w:sz w:val="16"/>
              </w:rPr>
              <w:t xml:space="preserve"> year</w:t>
            </w:r>
          </w:p>
        </w:tc>
        <w:tc>
          <w:tcPr>
            <w:tcW w:w="1383" w:type="dxa"/>
            <w:tcBorders>
              <w:top w:val="single" w:sz="12" w:space="0" w:color="000000"/>
              <w:bottom w:val="single" w:sz="12" w:space="0" w:color="000000"/>
            </w:tcBorders>
            <w:shd w:val="clear" w:color="auto" w:fill="DEEAF6"/>
          </w:tcPr>
          <w:p w14:paraId="45856E4C" w14:textId="77777777" w:rsidR="00084F36" w:rsidRPr="00EB2BD8" w:rsidRDefault="00EB2BD8">
            <w:pPr>
              <w:pStyle w:val="TableParagraph"/>
              <w:spacing w:before="53"/>
              <w:ind w:right="95"/>
              <w:jc w:val="right"/>
              <w:rPr>
                <w:rFonts w:ascii="Arial"/>
                <w:b/>
                <w:sz w:val="16"/>
              </w:rPr>
            </w:pPr>
            <w:r w:rsidRPr="00EB2BD8">
              <w:rPr>
                <w:rFonts w:ascii="Arial"/>
                <w:b/>
                <w:spacing w:val="-2"/>
                <w:w w:val="105"/>
                <w:sz w:val="16"/>
              </w:rPr>
              <w:t>(121)</w:t>
            </w:r>
          </w:p>
        </w:tc>
        <w:tc>
          <w:tcPr>
            <w:tcW w:w="1251" w:type="dxa"/>
            <w:tcBorders>
              <w:top w:val="single" w:sz="12" w:space="0" w:color="000000"/>
              <w:bottom w:val="single" w:sz="12" w:space="0" w:color="000000"/>
            </w:tcBorders>
            <w:shd w:val="clear" w:color="auto" w:fill="FFFFFF"/>
          </w:tcPr>
          <w:p w14:paraId="2AE524FD" w14:textId="77777777" w:rsidR="00084F36" w:rsidRPr="00EB2BD8" w:rsidRDefault="00EB2BD8">
            <w:pPr>
              <w:pStyle w:val="TableParagraph"/>
              <w:spacing w:before="53"/>
              <w:ind w:right="96"/>
              <w:jc w:val="right"/>
              <w:rPr>
                <w:rFonts w:ascii="Arial"/>
                <w:b/>
                <w:sz w:val="16"/>
              </w:rPr>
            </w:pPr>
            <w:r w:rsidRPr="00EB2BD8">
              <w:rPr>
                <w:rFonts w:ascii="Arial"/>
                <w:b/>
                <w:spacing w:val="-2"/>
                <w:w w:val="105"/>
                <w:sz w:val="16"/>
              </w:rPr>
              <w:t>(199)</w:t>
            </w:r>
          </w:p>
        </w:tc>
      </w:tr>
    </w:tbl>
    <w:p w14:paraId="397D0445" w14:textId="77777777" w:rsidR="00084F36" w:rsidRPr="00EB2BD8" w:rsidRDefault="00084F36">
      <w:pPr>
        <w:pStyle w:val="BodyText"/>
        <w:spacing w:before="5"/>
        <w:rPr>
          <w:rFonts w:ascii="Arial"/>
          <w:sz w:val="23"/>
        </w:rPr>
      </w:pPr>
    </w:p>
    <w:p w14:paraId="0C199DB7" w14:textId="77777777" w:rsidR="00084F36" w:rsidRPr="00EB2BD8" w:rsidRDefault="00EB2BD8">
      <w:pPr>
        <w:spacing w:before="102" w:line="288" w:lineRule="auto"/>
        <w:ind w:left="1054" w:right="1813"/>
        <w:rPr>
          <w:rFonts w:ascii="Arial"/>
          <w:sz w:val="16"/>
        </w:rPr>
      </w:pPr>
      <w:r w:rsidRPr="00EB2BD8">
        <w:rPr>
          <w:rFonts w:ascii="Arial"/>
          <w:w w:val="105"/>
          <w:sz w:val="16"/>
        </w:rPr>
        <w:t>Credit</w:t>
      </w:r>
      <w:r w:rsidRPr="00EB2BD8">
        <w:rPr>
          <w:rFonts w:ascii="Arial"/>
          <w:spacing w:val="-3"/>
          <w:w w:val="105"/>
          <w:sz w:val="16"/>
        </w:rPr>
        <w:t xml:space="preserve"> </w:t>
      </w:r>
      <w:r w:rsidRPr="00EB2BD8">
        <w:rPr>
          <w:rFonts w:ascii="Arial"/>
          <w:w w:val="105"/>
          <w:sz w:val="16"/>
        </w:rPr>
        <w:t>loss</w:t>
      </w:r>
      <w:r w:rsidRPr="00EB2BD8">
        <w:rPr>
          <w:rFonts w:ascii="Arial"/>
          <w:spacing w:val="-3"/>
          <w:w w:val="105"/>
          <w:sz w:val="16"/>
        </w:rPr>
        <w:t xml:space="preserve"> </w:t>
      </w:r>
      <w:r w:rsidRPr="00EB2BD8">
        <w:rPr>
          <w:rFonts w:ascii="Arial"/>
          <w:w w:val="105"/>
          <w:sz w:val="16"/>
        </w:rPr>
        <w:t>allowance</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classified</w:t>
      </w:r>
      <w:r w:rsidRPr="00EB2BD8">
        <w:rPr>
          <w:rFonts w:ascii="Arial"/>
          <w:spacing w:val="-3"/>
          <w:w w:val="105"/>
          <w:sz w:val="16"/>
        </w:rPr>
        <w:t xml:space="preserve"> </w:t>
      </w:r>
      <w:r w:rsidRPr="00EB2BD8">
        <w:rPr>
          <w:rFonts w:ascii="Arial"/>
          <w:w w:val="105"/>
          <w:sz w:val="16"/>
        </w:rPr>
        <w:t>as</w:t>
      </w:r>
      <w:r w:rsidRPr="00EB2BD8">
        <w:rPr>
          <w:rFonts w:ascii="Arial"/>
          <w:spacing w:val="-3"/>
          <w:w w:val="105"/>
          <w:sz w:val="16"/>
        </w:rPr>
        <w:t xml:space="preserve"> </w:t>
      </w:r>
      <w:r w:rsidRPr="00EB2BD8">
        <w:rPr>
          <w:rFonts w:ascii="Arial"/>
          <w:w w:val="105"/>
          <w:sz w:val="16"/>
        </w:rPr>
        <w:t>other</w:t>
      </w:r>
      <w:r w:rsidRPr="00EB2BD8">
        <w:rPr>
          <w:rFonts w:ascii="Arial"/>
          <w:spacing w:val="-3"/>
          <w:w w:val="105"/>
          <w:sz w:val="16"/>
        </w:rPr>
        <w:t xml:space="preserve"> </w:t>
      </w:r>
      <w:r w:rsidRPr="00EB2BD8">
        <w:rPr>
          <w:rFonts w:ascii="Arial"/>
          <w:w w:val="105"/>
          <w:sz w:val="16"/>
        </w:rPr>
        <w:t>economic</w:t>
      </w:r>
      <w:r w:rsidRPr="00EB2BD8">
        <w:rPr>
          <w:rFonts w:ascii="Arial"/>
          <w:spacing w:val="-3"/>
          <w:w w:val="105"/>
          <w:sz w:val="16"/>
        </w:rPr>
        <w:t xml:space="preserve"> </w:t>
      </w:r>
      <w:r w:rsidRPr="00EB2BD8">
        <w:rPr>
          <w:rFonts w:ascii="Arial"/>
          <w:w w:val="105"/>
          <w:sz w:val="16"/>
        </w:rPr>
        <w:t>flows</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net</w:t>
      </w:r>
      <w:r w:rsidRPr="00EB2BD8">
        <w:rPr>
          <w:rFonts w:ascii="Arial"/>
          <w:spacing w:val="-3"/>
          <w:w w:val="105"/>
          <w:sz w:val="16"/>
        </w:rPr>
        <w:t xml:space="preserve"> </w:t>
      </w:r>
      <w:r w:rsidRPr="00EB2BD8">
        <w:rPr>
          <w:rFonts w:ascii="Arial"/>
          <w:w w:val="105"/>
          <w:sz w:val="16"/>
        </w:rPr>
        <w:t>result.</w:t>
      </w:r>
      <w:r w:rsidRPr="00EB2BD8">
        <w:rPr>
          <w:rFonts w:ascii="Arial"/>
          <w:spacing w:val="-3"/>
          <w:w w:val="105"/>
          <w:sz w:val="16"/>
        </w:rPr>
        <w:t xml:space="preserve"> </w:t>
      </w:r>
      <w:r w:rsidRPr="00EB2BD8">
        <w:rPr>
          <w:rFonts w:ascii="Arial"/>
          <w:w w:val="105"/>
          <w:sz w:val="16"/>
        </w:rPr>
        <w:t>Contractual</w:t>
      </w:r>
      <w:r w:rsidRPr="00EB2BD8">
        <w:rPr>
          <w:rFonts w:ascii="Arial"/>
          <w:spacing w:val="-3"/>
          <w:w w:val="105"/>
          <w:sz w:val="16"/>
        </w:rPr>
        <w:t xml:space="preserve"> </w:t>
      </w:r>
      <w:r w:rsidRPr="00EB2BD8">
        <w:rPr>
          <w:rFonts w:ascii="Arial"/>
          <w:w w:val="105"/>
          <w:sz w:val="16"/>
        </w:rPr>
        <w:t>receivables</w:t>
      </w:r>
      <w:r w:rsidRPr="00EB2BD8">
        <w:rPr>
          <w:rFonts w:ascii="Arial"/>
          <w:spacing w:val="-3"/>
          <w:w w:val="105"/>
          <w:sz w:val="16"/>
        </w:rPr>
        <w:t xml:space="preserve"> </w:t>
      </w:r>
      <w:r w:rsidRPr="00EB2BD8">
        <w:rPr>
          <w:rFonts w:ascii="Arial"/>
          <w:w w:val="105"/>
          <w:sz w:val="16"/>
        </w:rPr>
        <w:t>are</w:t>
      </w:r>
      <w:r w:rsidRPr="00EB2BD8">
        <w:rPr>
          <w:rFonts w:ascii="Arial"/>
          <w:spacing w:val="-2"/>
          <w:w w:val="105"/>
          <w:sz w:val="16"/>
        </w:rPr>
        <w:t xml:space="preserve"> </w:t>
      </w:r>
      <w:r w:rsidRPr="00EB2BD8">
        <w:rPr>
          <w:rFonts w:ascii="Arial"/>
          <w:w w:val="105"/>
          <w:sz w:val="16"/>
        </w:rPr>
        <w:t>written</w:t>
      </w:r>
      <w:r w:rsidRPr="00EB2BD8">
        <w:rPr>
          <w:rFonts w:ascii="Arial"/>
          <w:spacing w:val="-3"/>
          <w:w w:val="105"/>
          <w:sz w:val="16"/>
        </w:rPr>
        <w:t xml:space="preserve"> </w:t>
      </w:r>
      <w:r w:rsidRPr="00EB2BD8">
        <w:rPr>
          <w:rFonts w:ascii="Arial"/>
          <w:w w:val="105"/>
          <w:sz w:val="16"/>
        </w:rPr>
        <w:t>off</w:t>
      </w:r>
      <w:r w:rsidRPr="00EB2BD8">
        <w:rPr>
          <w:rFonts w:ascii="Arial"/>
          <w:spacing w:val="-3"/>
          <w:w w:val="105"/>
          <w:sz w:val="16"/>
        </w:rPr>
        <w:t xml:space="preserve"> </w:t>
      </w:r>
      <w:r w:rsidRPr="00EB2BD8">
        <w:rPr>
          <w:rFonts w:ascii="Arial"/>
          <w:w w:val="105"/>
          <w:sz w:val="16"/>
        </w:rPr>
        <w:t>when there is no reasonable expectation of recovery and impairment loss is classified as a transaction expense. Subsequent recoveries of amounts previously written off are credited against the same line item.</w:t>
      </w:r>
    </w:p>
    <w:p w14:paraId="4DC4365E" w14:textId="77777777" w:rsidR="00084F36" w:rsidRPr="00EB2BD8" w:rsidRDefault="00084F36">
      <w:pPr>
        <w:pStyle w:val="BodyText"/>
        <w:spacing w:before="7"/>
        <w:rPr>
          <w:rFonts w:ascii="Arial"/>
          <w:sz w:val="19"/>
        </w:rPr>
      </w:pPr>
    </w:p>
    <w:p w14:paraId="7B669986" w14:textId="77777777" w:rsidR="00084F36" w:rsidRPr="00EB2BD8" w:rsidRDefault="00EB2BD8">
      <w:pPr>
        <w:spacing w:line="290" w:lineRule="auto"/>
        <w:ind w:left="1054" w:right="1813"/>
        <w:rPr>
          <w:rFonts w:ascii="Arial"/>
          <w:sz w:val="16"/>
        </w:rPr>
      </w:pPr>
      <w:r w:rsidRPr="00EB2BD8">
        <w:rPr>
          <w:rFonts w:ascii="Arial"/>
          <w:w w:val="105"/>
          <w:sz w:val="16"/>
        </w:rPr>
        <w:t>In prior years, a provision for doubtful debts is recognised when there is objective evidence that the debts may not be collected</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bad</w:t>
      </w:r>
      <w:r w:rsidRPr="00EB2BD8">
        <w:rPr>
          <w:rFonts w:ascii="Arial"/>
          <w:spacing w:val="-3"/>
          <w:w w:val="105"/>
          <w:sz w:val="16"/>
        </w:rPr>
        <w:t xml:space="preserve"> </w:t>
      </w:r>
      <w:r w:rsidRPr="00EB2BD8">
        <w:rPr>
          <w:rFonts w:ascii="Arial"/>
          <w:w w:val="105"/>
          <w:sz w:val="16"/>
        </w:rPr>
        <w:t>debts</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written</w:t>
      </w:r>
      <w:r w:rsidRPr="00EB2BD8">
        <w:rPr>
          <w:rFonts w:ascii="Arial"/>
          <w:spacing w:val="-3"/>
          <w:w w:val="105"/>
          <w:sz w:val="16"/>
        </w:rPr>
        <w:t xml:space="preserve"> </w:t>
      </w:r>
      <w:r w:rsidRPr="00EB2BD8">
        <w:rPr>
          <w:rFonts w:ascii="Arial"/>
          <w:w w:val="105"/>
          <w:sz w:val="16"/>
        </w:rPr>
        <w:t>off</w:t>
      </w:r>
      <w:r w:rsidRPr="00EB2BD8">
        <w:rPr>
          <w:rFonts w:ascii="Arial"/>
          <w:spacing w:val="-3"/>
          <w:w w:val="105"/>
          <w:sz w:val="16"/>
        </w:rPr>
        <w:t xml:space="preserve"> </w:t>
      </w:r>
      <w:r w:rsidRPr="00EB2BD8">
        <w:rPr>
          <w:rFonts w:ascii="Arial"/>
          <w:w w:val="105"/>
          <w:sz w:val="16"/>
        </w:rPr>
        <w:t>when</w:t>
      </w:r>
      <w:r w:rsidRPr="00EB2BD8">
        <w:rPr>
          <w:rFonts w:ascii="Arial"/>
          <w:spacing w:val="-3"/>
          <w:w w:val="105"/>
          <w:sz w:val="16"/>
        </w:rPr>
        <w:t xml:space="preserve"> </w:t>
      </w:r>
      <w:r w:rsidRPr="00EB2BD8">
        <w:rPr>
          <w:rFonts w:ascii="Arial"/>
          <w:w w:val="105"/>
          <w:sz w:val="16"/>
        </w:rPr>
        <w:t>identified.</w:t>
      </w:r>
      <w:r w:rsidRPr="00EB2BD8">
        <w:rPr>
          <w:rFonts w:ascii="Arial"/>
          <w:spacing w:val="-3"/>
          <w:w w:val="105"/>
          <w:sz w:val="16"/>
        </w:rPr>
        <w:t xml:space="preserve"> </w:t>
      </w:r>
      <w:r w:rsidRPr="00EB2BD8">
        <w:rPr>
          <w:rFonts w:ascii="Arial"/>
          <w:w w:val="105"/>
          <w:sz w:val="16"/>
        </w:rPr>
        <w:t>A</w:t>
      </w:r>
      <w:r w:rsidRPr="00EB2BD8">
        <w:rPr>
          <w:rFonts w:ascii="Arial"/>
          <w:spacing w:val="-3"/>
          <w:w w:val="105"/>
          <w:sz w:val="16"/>
        </w:rPr>
        <w:t xml:space="preserve"> </w:t>
      </w:r>
      <w:r w:rsidRPr="00EB2BD8">
        <w:rPr>
          <w:rFonts w:ascii="Arial"/>
          <w:w w:val="105"/>
          <w:sz w:val="16"/>
        </w:rPr>
        <w:t>provision</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made</w:t>
      </w:r>
      <w:r w:rsidRPr="00EB2BD8">
        <w:rPr>
          <w:rFonts w:ascii="Arial"/>
          <w:spacing w:val="-2"/>
          <w:w w:val="105"/>
          <w:sz w:val="16"/>
        </w:rPr>
        <w:t xml:space="preserve"> </w:t>
      </w:r>
      <w:r w:rsidRPr="00EB2BD8">
        <w:rPr>
          <w:rFonts w:ascii="Arial"/>
          <w:w w:val="105"/>
          <w:sz w:val="16"/>
        </w:rPr>
        <w:t>for</w:t>
      </w:r>
      <w:r w:rsidRPr="00EB2BD8">
        <w:rPr>
          <w:rFonts w:ascii="Arial"/>
          <w:spacing w:val="-3"/>
          <w:w w:val="105"/>
          <w:sz w:val="16"/>
        </w:rPr>
        <w:t xml:space="preserve"> </w:t>
      </w:r>
      <w:r w:rsidRPr="00EB2BD8">
        <w:rPr>
          <w:rFonts w:ascii="Arial"/>
          <w:w w:val="105"/>
          <w:sz w:val="16"/>
        </w:rPr>
        <w:t>estimated</w:t>
      </w:r>
      <w:r w:rsidRPr="00EB2BD8">
        <w:rPr>
          <w:rFonts w:ascii="Arial"/>
          <w:spacing w:val="-3"/>
          <w:w w:val="105"/>
          <w:sz w:val="16"/>
        </w:rPr>
        <w:t xml:space="preserve"> </w:t>
      </w:r>
      <w:r w:rsidRPr="00EB2BD8">
        <w:rPr>
          <w:rFonts w:ascii="Arial"/>
          <w:w w:val="105"/>
          <w:sz w:val="16"/>
        </w:rPr>
        <w:t>irrecoverable</w:t>
      </w:r>
      <w:r w:rsidRPr="00EB2BD8">
        <w:rPr>
          <w:rFonts w:ascii="Arial"/>
          <w:spacing w:val="-3"/>
          <w:w w:val="105"/>
          <w:sz w:val="16"/>
        </w:rPr>
        <w:t xml:space="preserve"> </w:t>
      </w:r>
      <w:r w:rsidRPr="00EB2BD8">
        <w:rPr>
          <w:rFonts w:ascii="Arial"/>
          <w:w w:val="105"/>
          <w:sz w:val="16"/>
        </w:rPr>
        <w:t>amounts</w:t>
      </w:r>
      <w:r w:rsidRPr="00EB2BD8">
        <w:rPr>
          <w:rFonts w:ascii="Arial"/>
          <w:spacing w:val="-3"/>
          <w:w w:val="105"/>
          <w:sz w:val="16"/>
        </w:rPr>
        <w:t xml:space="preserve"> </w:t>
      </w:r>
      <w:r w:rsidRPr="00EB2BD8">
        <w:rPr>
          <w:rFonts w:ascii="Arial"/>
          <w:w w:val="105"/>
          <w:sz w:val="16"/>
        </w:rPr>
        <w:t>from</w:t>
      </w:r>
      <w:r w:rsidRPr="00EB2BD8">
        <w:rPr>
          <w:rFonts w:ascii="Arial"/>
          <w:spacing w:val="-3"/>
          <w:w w:val="105"/>
          <w:sz w:val="16"/>
        </w:rPr>
        <w:t xml:space="preserve"> </w:t>
      </w:r>
      <w:r w:rsidRPr="00EB2BD8">
        <w:rPr>
          <w:rFonts w:ascii="Arial"/>
          <w:w w:val="105"/>
          <w:sz w:val="16"/>
        </w:rPr>
        <w:t>the sale of goods when there is objective evidence that an individual receivable is impaired. Bad debts are considered as written off by mutual consent.</w:t>
      </w:r>
    </w:p>
    <w:p w14:paraId="2A1CA0AB" w14:textId="77777777" w:rsidR="00084F36" w:rsidRPr="00EB2BD8" w:rsidRDefault="00084F36">
      <w:pPr>
        <w:pStyle w:val="BodyText"/>
        <w:rPr>
          <w:rFonts w:ascii="Arial"/>
          <w:sz w:val="20"/>
        </w:rPr>
      </w:pPr>
    </w:p>
    <w:p w14:paraId="274C84AF" w14:textId="77777777" w:rsidR="00084F36" w:rsidRPr="00EB2BD8" w:rsidRDefault="00084F36">
      <w:pPr>
        <w:pStyle w:val="BodyText"/>
        <w:rPr>
          <w:rFonts w:ascii="Arial"/>
          <w:sz w:val="20"/>
        </w:rPr>
      </w:pPr>
    </w:p>
    <w:p w14:paraId="3D8AE8C5" w14:textId="77777777" w:rsidR="00084F36" w:rsidRPr="00EB2BD8" w:rsidRDefault="00084F36">
      <w:pPr>
        <w:pStyle w:val="BodyText"/>
        <w:rPr>
          <w:rFonts w:ascii="Arial"/>
          <w:sz w:val="20"/>
        </w:rPr>
      </w:pPr>
    </w:p>
    <w:p w14:paraId="15109414" w14:textId="77777777" w:rsidR="00084F36" w:rsidRPr="00EB2BD8" w:rsidRDefault="00084F36">
      <w:pPr>
        <w:pStyle w:val="BodyText"/>
        <w:rPr>
          <w:rFonts w:ascii="Arial"/>
          <w:sz w:val="20"/>
        </w:rPr>
      </w:pPr>
    </w:p>
    <w:p w14:paraId="380D73D2" w14:textId="77777777" w:rsidR="00084F36" w:rsidRPr="00EB2BD8" w:rsidRDefault="00084F36">
      <w:pPr>
        <w:pStyle w:val="BodyText"/>
        <w:rPr>
          <w:rFonts w:ascii="Arial"/>
          <w:sz w:val="20"/>
        </w:rPr>
      </w:pPr>
    </w:p>
    <w:p w14:paraId="77210DBC" w14:textId="77777777" w:rsidR="00084F36" w:rsidRPr="00EB2BD8" w:rsidRDefault="00084F36">
      <w:pPr>
        <w:pStyle w:val="BodyText"/>
        <w:rPr>
          <w:rFonts w:ascii="Arial"/>
          <w:sz w:val="20"/>
        </w:rPr>
      </w:pPr>
    </w:p>
    <w:p w14:paraId="4A18EC51" w14:textId="77777777" w:rsidR="00084F36" w:rsidRPr="00EB2BD8" w:rsidRDefault="00084F36">
      <w:pPr>
        <w:pStyle w:val="BodyText"/>
        <w:rPr>
          <w:rFonts w:ascii="Arial"/>
          <w:sz w:val="20"/>
        </w:rPr>
      </w:pPr>
    </w:p>
    <w:p w14:paraId="392EC58E" w14:textId="77777777" w:rsidR="00084F36" w:rsidRPr="00EB2BD8" w:rsidRDefault="00084F36">
      <w:pPr>
        <w:pStyle w:val="BodyText"/>
        <w:rPr>
          <w:rFonts w:ascii="Arial"/>
          <w:sz w:val="20"/>
        </w:rPr>
      </w:pPr>
    </w:p>
    <w:p w14:paraId="525DA22A" w14:textId="77777777" w:rsidR="00084F36" w:rsidRPr="00EB2BD8" w:rsidRDefault="00084F36">
      <w:pPr>
        <w:pStyle w:val="BodyText"/>
        <w:spacing w:before="4"/>
        <w:rPr>
          <w:rFonts w:ascii="Arial"/>
          <w:sz w:val="29"/>
        </w:rPr>
      </w:pPr>
    </w:p>
    <w:p w14:paraId="6D230D55" w14:textId="3851C0FF" w:rsidR="00084F36" w:rsidRPr="00EB2BD8" w:rsidRDefault="00EB2BD8">
      <w:pPr>
        <w:tabs>
          <w:tab w:val="left" w:pos="1906"/>
        </w:tabs>
        <w:spacing w:before="91"/>
        <w:ind w:left="842"/>
        <w:rPr>
          <w:b/>
          <w:sz w:val="16"/>
        </w:rPr>
      </w:pPr>
      <w:r w:rsidRPr="00EB2BD8">
        <w:rPr>
          <w:sz w:val="16"/>
        </w:rPr>
        <w:tab/>
      </w:r>
    </w:p>
    <w:p w14:paraId="74C35B2E" w14:textId="77777777" w:rsidR="00084F36" w:rsidRPr="00EB2BD8" w:rsidRDefault="00084F36">
      <w:pPr>
        <w:rPr>
          <w:sz w:val="16"/>
        </w:rPr>
        <w:sectPr w:rsidR="00084F36" w:rsidRPr="00EB2BD8" w:rsidSect="006D75B2">
          <w:headerReference w:type="even" r:id="rId342"/>
          <w:footerReference w:type="even" r:id="rId343"/>
          <w:footerReference w:type="default" r:id="rId344"/>
          <w:pgSz w:w="11910" w:h="16840"/>
          <w:pgMar w:top="780" w:right="0" w:bottom="280" w:left="0" w:header="0" w:footer="0" w:gutter="0"/>
          <w:cols w:space="720"/>
        </w:sectPr>
      </w:pPr>
    </w:p>
    <w:p w14:paraId="2F6645B1" w14:textId="77777777" w:rsidR="00084F36" w:rsidRPr="00EB2BD8" w:rsidRDefault="00084F36">
      <w:pPr>
        <w:pStyle w:val="BodyText"/>
        <w:rPr>
          <w:sz w:val="20"/>
        </w:rPr>
      </w:pPr>
    </w:p>
    <w:p w14:paraId="018C5918" w14:textId="77777777" w:rsidR="00084F36" w:rsidRPr="00EB2BD8" w:rsidRDefault="00084F36">
      <w:pPr>
        <w:pStyle w:val="BodyText"/>
        <w:rPr>
          <w:sz w:val="20"/>
        </w:rPr>
      </w:pPr>
    </w:p>
    <w:p w14:paraId="4DE9EF4E" w14:textId="26F791B2" w:rsidR="00084F36" w:rsidRPr="00EB2BD8" w:rsidRDefault="00084F36">
      <w:pPr>
        <w:rPr>
          <w:sz w:val="16"/>
        </w:rPr>
        <w:sectPr w:rsidR="00084F36" w:rsidRPr="00EB2BD8" w:rsidSect="006D75B2">
          <w:headerReference w:type="default" r:id="rId345"/>
          <w:footerReference w:type="default" r:id="rId346"/>
          <w:pgSz w:w="11910" w:h="16840"/>
          <w:pgMar w:top="760" w:right="0" w:bottom="280" w:left="0" w:header="0" w:footer="0" w:gutter="0"/>
          <w:cols w:space="720"/>
        </w:sectPr>
      </w:pPr>
    </w:p>
    <w:p w14:paraId="228E6AAA" w14:textId="77777777" w:rsidR="00084F36" w:rsidRPr="00EB2BD8" w:rsidRDefault="00EB2BD8" w:rsidP="0080190C">
      <w:pPr>
        <w:pStyle w:val="Heading2"/>
        <w:ind w:left="1046"/>
      </w:pPr>
      <w:bookmarkStart w:id="340" w:name="_Toc150762642"/>
      <w:r w:rsidRPr="00EB2BD8">
        <w:t>Statutory</w:t>
      </w:r>
      <w:r w:rsidRPr="00EB2BD8">
        <w:rPr>
          <w:spacing w:val="15"/>
        </w:rPr>
        <w:t xml:space="preserve"> </w:t>
      </w:r>
      <w:r w:rsidRPr="00EB2BD8">
        <w:t>receivables</w:t>
      </w:r>
      <w:r w:rsidRPr="00EB2BD8">
        <w:rPr>
          <w:spacing w:val="15"/>
        </w:rPr>
        <w:t xml:space="preserve"> </w:t>
      </w:r>
      <w:r w:rsidRPr="00EB2BD8">
        <w:t>at</w:t>
      </w:r>
      <w:r w:rsidRPr="00EB2BD8">
        <w:rPr>
          <w:spacing w:val="16"/>
        </w:rPr>
        <w:t xml:space="preserve"> </w:t>
      </w:r>
      <w:r w:rsidRPr="00EB2BD8">
        <w:t>amortised</w:t>
      </w:r>
      <w:r w:rsidRPr="00EB2BD8">
        <w:rPr>
          <w:spacing w:val="16"/>
        </w:rPr>
        <w:t xml:space="preserve"> </w:t>
      </w:r>
      <w:r w:rsidRPr="00EB2BD8">
        <w:rPr>
          <w:spacing w:val="-4"/>
        </w:rPr>
        <w:t>cost</w:t>
      </w:r>
      <w:bookmarkEnd w:id="340"/>
    </w:p>
    <w:p w14:paraId="4C9EC1BE" w14:textId="77777777" w:rsidR="00084F36" w:rsidRPr="00EB2BD8" w:rsidRDefault="00EB2BD8">
      <w:pPr>
        <w:spacing w:before="157" w:line="290" w:lineRule="auto"/>
        <w:ind w:left="1046" w:right="45"/>
        <w:rPr>
          <w:rFonts w:ascii="Arial" w:hAnsi="Arial"/>
          <w:sz w:val="16"/>
        </w:rPr>
      </w:pPr>
      <w:r w:rsidRPr="00EB2BD8">
        <w:rPr>
          <w:rFonts w:ascii="Arial" w:hAnsi="Arial"/>
          <w:w w:val="105"/>
          <w:sz w:val="16"/>
        </w:rPr>
        <w:t>VBA’s</w:t>
      </w:r>
      <w:r w:rsidRPr="00EB2BD8">
        <w:rPr>
          <w:rFonts w:ascii="Arial" w:hAnsi="Arial"/>
          <w:spacing w:val="-8"/>
          <w:w w:val="105"/>
          <w:sz w:val="16"/>
        </w:rPr>
        <w:t xml:space="preserve"> </w:t>
      </w:r>
      <w:r w:rsidRPr="00EB2BD8">
        <w:rPr>
          <w:rFonts w:ascii="Arial" w:hAnsi="Arial"/>
          <w:w w:val="105"/>
          <w:sz w:val="16"/>
        </w:rPr>
        <w:t>non-contractual</w:t>
      </w:r>
      <w:r w:rsidRPr="00EB2BD8">
        <w:rPr>
          <w:rFonts w:ascii="Arial" w:hAnsi="Arial"/>
          <w:spacing w:val="-8"/>
          <w:w w:val="105"/>
          <w:sz w:val="16"/>
        </w:rPr>
        <w:t xml:space="preserve"> </w:t>
      </w:r>
      <w:r w:rsidRPr="00EB2BD8">
        <w:rPr>
          <w:rFonts w:ascii="Arial" w:hAnsi="Arial"/>
          <w:w w:val="105"/>
          <w:sz w:val="16"/>
        </w:rPr>
        <w:t>receivables</w:t>
      </w:r>
      <w:r w:rsidRPr="00EB2BD8">
        <w:rPr>
          <w:rFonts w:ascii="Arial" w:hAnsi="Arial"/>
          <w:spacing w:val="-8"/>
          <w:w w:val="105"/>
          <w:sz w:val="16"/>
        </w:rPr>
        <w:t xml:space="preserve"> </w:t>
      </w:r>
      <w:r w:rsidRPr="00EB2BD8">
        <w:rPr>
          <w:rFonts w:ascii="Arial" w:hAnsi="Arial"/>
          <w:w w:val="105"/>
          <w:sz w:val="16"/>
        </w:rPr>
        <w:t>arising</w:t>
      </w:r>
      <w:r w:rsidRPr="00EB2BD8">
        <w:rPr>
          <w:rFonts w:ascii="Arial" w:hAnsi="Arial"/>
          <w:spacing w:val="-8"/>
          <w:w w:val="105"/>
          <w:sz w:val="16"/>
        </w:rPr>
        <w:t xml:space="preserve"> </w:t>
      </w:r>
      <w:r w:rsidRPr="00EB2BD8">
        <w:rPr>
          <w:rFonts w:ascii="Arial" w:hAnsi="Arial"/>
          <w:w w:val="105"/>
          <w:sz w:val="16"/>
        </w:rPr>
        <w:t>from</w:t>
      </w:r>
      <w:r w:rsidRPr="00EB2BD8">
        <w:rPr>
          <w:rFonts w:ascii="Arial" w:hAnsi="Arial"/>
          <w:spacing w:val="-8"/>
          <w:w w:val="105"/>
          <w:sz w:val="16"/>
        </w:rPr>
        <w:t xml:space="preserve"> </w:t>
      </w:r>
      <w:r w:rsidRPr="00EB2BD8">
        <w:rPr>
          <w:rFonts w:ascii="Arial" w:hAnsi="Arial"/>
          <w:w w:val="105"/>
          <w:sz w:val="16"/>
        </w:rPr>
        <w:t>statutory requirements are not financial instruments. However, they are nevertheless recognised and measured in accordance with AASB 9 requirements as if those receivables are financial instruments.</w:t>
      </w:r>
    </w:p>
    <w:p w14:paraId="017B6288" w14:textId="77777777" w:rsidR="00084F36" w:rsidRPr="00EB2BD8" w:rsidRDefault="00084F36">
      <w:pPr>
        <w:pStyle w:val="BodyText"/>
        <w:rPr>
          <w:rFonts w:ascii="Arial"/>
          <w:sz w:val="19"/>
        </w:rPr>
      </w:pPr>
    </w:p>
    <w:p w14:paraId="757F99F9" w14:textId="77777777" w:rsidR="00084F36" w:rsidRPr="00EB2BD8" w:rsidRDefault="00EB2BD8">
      <w:pPr>
        <w:spacing w:before="1" w:line="290" w:lineRule="auto"/>
        <w:ind w:left="1046"/>
        <w:rPr>
          <w:rFonts w:ascii="Arial" w:hAnsi="Arial"/>
          <w:sz w:val="16"/>
        </w:rPr>
      </w:pPr>
      <w:r w:rsidRPr="00EB2BD8">
        <w:rPr>
          <w:rFonts w:ascii="Arial" w:hAnsi="Arial"/>
          <w:w w:val="105"/>
          <w:sz w:val="16"/>
        </w:rPr>
        <w:t>The statutory receivables are considered to have low credit</w:t>
      </w:r>
      <w:r w:rsidRPr="00EB2BD8">
        <w:rPr>
          <w:rFonts w:ascii="Arial" w:hAnsi="Arial"/>
          <w:spacing w:val="-6"/>
          <w:w w:val="105"/>
          <w:sz w:val="16"/>
        </w:rPr>
        <w:t xml:space="preserve"> </w:t>
      </w:r>
      <w:r w:rsidRPr="00EB2BD8">
        <w:rPr>
          <w:rFonts w:ascii="Arial" w:hAnsi="Arial"/>
          <w:w w:val="105"/>
          <w:sz w:val="16"/>
        </w:rPr>
        <w:t>risk,</w:t>
      </w:r>
      <w:r w:rsidRPr="00EB2BD8">
        <w:rPr>
          <w:rFonts w:ascii="Arial" w:hAnsi="Arial"/>
          <w:spacing w:val="-6"/>
          <w:w w:val="105"/>
          <w:sz w:val="16"/>
        </w:rPr>
        <w:t xml:space="preserve"> </w:t>
      </w:r>
      <w:r w:rsidRPr="00EB2BD8">
        <w:rPr>
          <w:rFonts w:ascii="Arial" w:hAnsi="Arial"/>
          <w:w w:val="105"/>
          <w:sz w:val="16"/>
        </w:rPr>
        <w:t>taking</w:t>
      </w:r>
      <w:r w:rsidRPr="00EB2BD8">
        <w:rPr>
          <w:rFonts w:ascii="Arial" w:hAnsi="Arial"/>
          <w:spacing w:val="-6"/>
          <w:w w:val="105"/>
          <w:sz w:val="16"/>
        </w:rPr>
        <w:t xml:space="preserve"> </w:t>
      </w:r>
      <w:r w:rsidRPr="00EB2BD8">
        <w:rPr>
          <w:rFonts w:ascii="Arial" w:hAnsi="Arial"/>
          <w:w w:val="105"/>
          <w:sz w:val="16"/>
        </w:rPr>
        <w:t>into</w:t>
      </w:r>
      <w:r w:rsidRPr="00EB2BD8">
        <w:rPr>
          <w:rFonts w:ascii="Arial" w:hAnsi="Arial"/>
          <w:spacing w:val="-6"/>
          <w:w w:val="105"/>
          <w:sz w:val="16"/>
        </w:rPr>
        <w:t xml:space="preserve"> </w:t>
      </w:r>
      <w:r w:rsidRPr="00EB2BD8">
        <w:rPr>
          <w:rFonts w:ascii="Arial" w:hAnsi="Arial"/>
          <w:w w:val="105"/>
          <w:sz w:val="16"/>
        </w:rPr>
        <w:t>account</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6"/>
          <w:w w:val="105"/>
          <w:sz w:val="16"/>
        </w:rPr>
        <w:t xml:space="preserve"> </w:t>
      </w:r>
      <w:r w:rsidRPr="00EB2BD8">
        <w:rPr>
          <w:rFonts w:ascii="Arial" w:hAnsi="Arial"/>
          <w:w w:val="105"/>
          <w:sz w:val="16"/>
        </w:rPr>
        <w:t>counterparty’s</w:t>
      </w:r>
      <w:r w:rsidRPr="00EB2BD8">
        <w:rPr>
          <w:rFonts w:ascii="Arial" w:hAnsi="Arial"/>
          <w:spacing w:val="-6"/>
          <w:w w:val="105"/>
          <w:sz w:val="16"/>
        </w:rPr>
        <w:t xml:space="preserve"> </w:t>
      </w:r>
      <w:r w:rsidRPr="00EB2BD8">
        <w:rPr>
          <w:rFonts w:ascii="Arial" w:hAnsi="Arial"/>
          <w:w w:val="105"/>
          <w:sz w:val="16"/>
        </w:rPr>
        <w:t>credit rating, risk of default and capacity to meet contractual cash flow obligations in the near term.</w:t>
      </w:r>
    </w:p>
    <w:p w14:paraId="3B42E9DB" w14:textId="77777777" w:rsidR="00084F36" w:rsidRPr="00EB2BD8" w:rsidRDefault="00084F36">
      <w:pPr>
        <w:pStyle w:val="BodyText"/>
        <w:rPr>
          <w:rFonts w:ascii="Arial"/>
        </w:rPr>
      </w:pPr>
    </w:p>
    <w:p w14:paraId="11125A71" w14:textId="77777777" w:rsidR="00084F36" w:rsidRPr="00EB2BD8" w:rsidRDefault="00EB2BD8" w:rsidP="00327EC1">
      <w:pPr>
        <w:pStyle w:val="Heading2"/>
        <w:ind w:left="1046"/>
      </w:pPr>
      <w:bookmarkStart w:id="341" w:name="_Toc150762643"/>
      <w:r w:rsidRPr="00EB2BD8">
        <w:t>Financial</w:t>
      </w:r>
      <w:r w:rsidRPr="00EB2BD8">
        <w:rPr>
          <w:spacing w:val="15"/>
        </w:rPr>
        <w:t xml:space="preserve"> </w:t>
      </w:r>
      <w:r w:rsidRPr="00EB2BD8">
        <w:t>Instruments</w:t>
      </w:r>
      <w:r w:rsidRPr="00EB2BD8">
        <w:rPr>
          <w:spacing w:val="15"/>
        </w:rPr>
        <w:t xml:space="preserve"> </w:t>
      </w:r>
      <w:r w:rsidRPr="00EB2BD8">
        <w:t>–</w:t>
      </w:r>
      <w:r w:rsidRPr="00EB2BD8">
        <w:rPr>
          <w:spacing w:val="15"/>
        </w:rPr>
        <w:t xml:space="preserve"> </w:t>
      </w:r>
      <w:r w:rsidRPr="00EB2BD8">
        <w:t>Liquidity</w:t>
      </w:r>
      <w:r w:rsidRPr="00EB2BD8">
        <w:rPr>
          <w:spacing w:val="16"/>
        </w:rPr>
        <w:t xml:space="preserve"> </w:t>
      </w:r>
      <w:r w:rsidRPr="00EB2BD8">
        <w:rPr>
          <w:spacing w:val="-4"/>
        </w:rPr>
        <w:t>risk</w:t>
      </w:r>
      <w:bookmarkEnd w:id="341"/>
    </w:p>
    <w:p w14:paraId="08245967" w14:textId="77777777" w:rsidR="00084F36" w:rsidRPr="00EB2BD8" w:rsidRDefault="00EB2BD8">
      <w:pPr>
        <w:spacing w:before="155" w:line="290" w:lineRule="auto"/>
        <w:ind w:left="1046"/>
        <w:rPr>
          <w:rFonts w:ascii="Arial" w:hAnsi="Arial"/>
          <w:sz w:val="16"/>
        </w:rPr>
      </w:pPr>
      <w:r w:rsidRPr="00EB2BD8">
        <w:rPr>
          <w:rFonts w:ascii="Arial" w:hAnsi="Arial"/>
          <w:w w:val="105"/>
          <w:sz w:val="16"/>
        </w:rPr>
        <w:t>Liquidity risk arises when the VBA would be unable to meet its financial obligations as they fall due. The VBA operates</w:t>
      </w:r>
      <w:r w:rsidRPr="00EB2BD8">
        <w:rPr>
          <w:rFonts w:ascii="Arial" w:hAnsi="Arial"/>
          <w:spacing w:val="-4"/>
          <w:w w:val="105"/>
          <w:sz w:val="16"/>
        </w:rPr>
        <w:t xml:space="preserve"> </w:t>
      </w:r>
      <w:r w:rsidRPr="00EB2BD8">
        <w:rPr>
          <w:rFonts w:ascii="Arial" w:hAnsi="Arial"/>
          <w:w w:val="105"/>
          <w:sz w:val="16"/>
        </w:rPr>
        <w:t>under</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4"/>
          <w:w w:val="105"/>
          <w:sz w:val="16"/>
        </w:rPr>
        <w:t xml:space="preserve"> </w:t>
      </w:r>
      <w:r w:rsidRPr="00EB2BD8">
        <w:rPr>
          <w:rFonts w:ascii="Arial" w:hAnsi="Arial"/>
          <w:w w:val="105"/>
          <w:sz w:val="16"/>
        </w:rPr>
        <w:t>Government’s</w:t>
      </w:r>
      <w:r w:rsidRPr="00EB2BD8">
        <w:rPr>
          <w:rFonts w:ascii="Arial" w:hAnsi="Arial"/>
          <w:spacing w:val="-4"/>
          <w:w w:val="105"/>
          <w:sz w:val="16"/>
        </w:rPr>
        <w:t xml:space="preserve"> </w:t>
      </w:r>
      <w:r w:rsidRPr="00EB2BD8">
        <w:rPr>
          <w:rFonts w:ascii="Arial" w:hAnsi="Arial"/>
          <w:w w:val="105"/>
          <w:sz w:val="16"/>
        </w:rPr>
        <w:t>fair</w:t>
      </w:r>
      <w:r w:rsidRPr="00EB2BD8">
        <w:rPr>
          <w:rFonts w:ascii="Arial" w:hAnsi="Arial"/>
          <w:spacing w:val="-4"/>
          <w:w w:val="105"/>
          <w:sz w:val="16"/>
        </w:rPr>
        <w:t xml:space="preserve"> </w:t>
      </w:r>
      <w:r w:rsidRPr="00EB2BD8">
        <w:rPr>
          <w:rFonts w:ascii="Arial" w:hAnsi="Arial"/>
          <w:w w:val="105"/>
          <w:sz w:val="16"/>
        </w:rPr>
        <w:t>payments</w:t>
      </w:r>
      <w:r w:rsidRPr="00EB2BD8">
        <w:rPr>
          <w:rFonts w:ascii="Arial" w:hAnsi="Arial"/>
          <w:spacing w:val="-4"/>
          <w:w w:val="105"/>
          <w:sz w:val="16"/>
        </w:rPr>
        <w:t xml:space="preserve"> </w:t>
      </w:r>
      <w:r w:rsidRPr="00EB2BD8">
        <w:rPr>
          <w:rFonts w:ascii="Arial" w:hAnsi="Arial"/>
          <w:w w:val="105"/>
          <w:sz w:val="16"/>
        </w:rPr>
        <w:t>policy</w:t>
      </w:r>
      <w:r w:rsidRPr="00EB2BD8">
        <w:rPr>
          <w:rFonts w:ascii="Arial" w:hAnsi="Arial"/>
          <w:spacing w:val="-4"/>
          <w:w w:val="105"/>
          <w:sz w:val="16"/>
        </w:rPr>
        <w:t xml:space="preserve"> </w:t>
      </w:r>
      <w:r w:rsidRPr="00EB2BD8">
        <w:rPr>
          <w:rFonts w:ascii="Arial" w:hAnsi="Arial"/>
          <w:w w:val="105"/>
          <w:sz w:val="16"/>
        </w:rPr>
        <w:t>of settling financial obligations within 30 days and, in the event of a dispute, make payments within 30 days from the date of resolution. It also continuously manages risk through monitoring future cash flows and maturities planning</w:t>
      </w:r>
      <w:r w:rsidRPr="00EB2BD8">
        <w:rPr>
          <w:rFonts w:ascii="Arial" w:hAnsi="Arial"/>
          <w:spacing w:val="-6"/>
          <w:w w:val="105"/>
          <w:sz w:val="16"/>
        </w:rPr>
        <w:t xml:space="preserve"> </w:t>
      </w:r>
      <w:r w:rsidRPr="00EB2BD8">
        <w:rPr>
          <w:rFonts w:ascii="Arial" w:hAnsi="Arial"/>
          <w:w w:val="105"/>
          <w:sz w:val="16"/>
        </w:rPr>
        <w:t>to</w:t>
      </w:r>
      <w:r w:rsidRPr="00EB2BD8">
        <w:rPr>
          <w:rFonts w:ascii="Arial" w:hAnsi="Arial"/>
          <w:spacing w:val="-6"/>
          <w:w w:val="105"/>
          <w:sz w:val="16"/>
        </w:rPr>
        <w:t xml:space="preserve"> </w:t>
      </w:r>
      <w:r w:rsidRPr="00EB2BD8">
        <w:rPr>
          <w:rFonts w:ascii="Arial" w:hAnsi="Arial"/>
          <w:w w:val="105"/>
          <w:sz w:val="16"/>
        </w:rPr>
        <w:t>ensure</w:t>
      </w:r>
      <w:r w:rsidRPr="00EB2BD8">
        <w:rPr>
          <w:rFonts w:ascii="Arial" w:hAnsi="Arial"/>
          <w:spacing w:val="-6"/>
          <w:w w:val="105"/>
          <w:sz w:val="16"/>
        </w:rPr>
        <w:t xml:space="preserve"> </w:t>
      </w:r>
      <w:r w:rsidRPr="00EB2BD8">
        <w:rPr>
          <w:rFonts w:ascii="Arial" w:hAnsi="Arial"/>
          <w:w w:val="105"/>
          <w:sz w:val="16"/>
        </w:rPr>
        <w:t>adequate</w:t>
      </w:r>
      <w:r w:rsidRPr="00EB2BD8">
        <w:rPr>
          <w:rFonts w:ascii="Arial" w:hAnsi="Arial"/>
          <w:spacing w:val="-6"/>
          <w:w w:val="105"/>
          <w:sz w:val="16"/>
        </w:rPr>
        <w:t xml:space="preserve"> </w:t>
      </w:r>
      <w:r w:rsidRPr="00EB2BD8">
        <w:rPr>
          <w:rFonts w:ascii="Arial" w:hAnsi="Arial"/>
          <w:w w:val="105"/>
          <w:sz w:val="16"/>
        </w:rPr>
        <w:t>holding</w:t>
      </w:r>
      <w:r w:rsidRPr="00EB2BD8">
        <w:rPr>
          <w:rFonts w:ascii="Arial" w:hAnsi="Arial"/>
          <w:spacing w:val="-6"/>
          <w:w w:val="105"/>
          <w:sz w:val="16"/>
        </w:rPr>
        <w:t xml:space="preserve"> </w:t>
      </w:r>
      <w:r w:rsidRPr="00EB2BD8">
        <w:rPr>
          <w:rFonts w:ascii="Arial" w:hAnsi="Arial"/>
          <w:w w:val="105"/>
          <w:sz w:val="16"/>
        </w:rPr>
        <w:t>of</w:t>
      </w:r>
      <w:r w:rsidRPr="00EB2BD8">
        <w:rPr>
          <w:rFonts w:ascii="Arial" w:hAnsi="Arial"/>
          <w:spacing w:val="-6"/>
          <w:w w:val="105"/>
          <w:sz w:val="16"/>
        </w:rPr>
        <w:t xml:space="preserve"> </w:t>
      </w:r>
      <w:r w:rsidRPr="00EB2BD8">
        <w:rPr>
          <w:rFonts w:ascii="Arial" w:hAnsi="Arial"/>
          <w:w w:val="105"/>
          <w:sz w:val="16"/>
        </w:rPr>
        <w:t>high</w:t>
      </w:r>
      <w:r w:rsidRPr="00EB2BD8">
        <w:rPr>
          <w:rFonts w:ascii="Arial" w:hAnsi="Arial"/>
          <w:spacing w:val="-6"/>
          <w:w w:val="105"/>
          <w:sz w:val="16"/>
        </w:rPr>
        <w:t xml:space="preserve"> </w:t>
      </w:r>
      <w:r w:rsidRPr="00EB2BD8">
        <w:rPr>
          <w:rFonts w:ascii="Arial" w:hAnsi="Arial"/>
          <w:w w:val="105"/>
          <w:sz w:val="16"/>
        </w:rPr>
        <w:t>quality</w:t>
      </w:r>
      <w:r w:rsidRPr="00EB2BD8">
        <w:rPr>
          <w:rFonts w:ascii="Arial" w:hAnsi="Arial"/>
          <w:spacing w:val="-6"/>
          <w:w w:val="105"/>
          <w:sz w:val="16"/>
        </w:rPr>
        <w:t xml:space="preserve"> </w:t>
      </w:r>
      <w:r w:rsidRPr="00EB2BD8">
        <w:rPr>
          <w:rFonts w:ascii="Arial" w:hAnsi="Arial"/>
          <w:w w:val="105"/>
          <w:sz w:val="16"/>
        </w:rPr>
        <w:t xml:space="preserve">liquid </w:t>
      </w:r>
      <w:r w:rsidRPr="00EB2BD8">
        <w:rPr>
          <w:rFonts w:ascii="Arial" w:hAnsi="Arial"/>
          <w:spacing w:val="-2"/>
          <w:w w:val="105"/>
          <w:sz w:val="16"/>
        </w:rPr>
        <w:t>assets.</w:t>
      </w:r>
    </w:p>
    <w:p w14:paraId="7586684E" w14:textId="77777777" w:rsidR="00084F36" w:rsidRPr="00EB2BD8" w:rsidRDefault="00084F36">
      <w:pPr>
        <w:pStyle w:val="BodyText"/>
        <w:rPr>
          <w:rFonts w:ascii="Arial"/>
          <w:sz w:val="19"/>
        </w:rPr>
      </w:pPr>
    </w:p>
    <w:p w14:paraId="405C78C3" w14:textId="77777777" w:rsidR="00084F36" w:rsidRPr="00EB2BD8" w:rsidRDefault="00EB2BD8">
      <w:pPr>
        <w:spacing w:line="288" w:lineRule="auto"/>
        <w:ind w:left="1046" w:right="45"/>
        <w:rPr>
          <w:rFonts w:ascii="Arial"/>
          <w:sz w:val="16"/>
        </w:rPr>
      </w:pPr>
      <w:r w:rsidRPr="00EB2BD8">
        <w:rPr>
          <w:rFonts w:ascii="Arial"/>
          <w:w w:val="105"/>
          <w:sz w:val="16"/>
        </w:rPr>
        <w:t>The VBA's exposure to liquidity risk is the carrying amount</w:t>
      </w:r>
      <w:r w:rsidRPr="00EB2BD8">
        <w:rPr>
          <w:rFonts w:ascii="Arial"/>
          <w:spacing w:val="-5"/>
          <w:w w:val="105"/>
          <w:sz w:val="16"/>
        </w:rPr>
        <w:t xml:space="preserve"> </w:t>
      </w:r>
      <w:r w:rsidRPr="00EB2BD8">
        <w:rPr>
          <w:rFonts w:ascii="Arial"/>
          <w:w w:val="105"/>
          <w:sz w:val="16"/>
        </w:rPr>
        <w:t>of</w:t>
      </w:r>
      <w:r w:rsidRPr="00EB2BD8">
        <w:rPr>
          <w:rFonts w:ascii="Arial"/>
          <w:spacing w:val="-5"/>
          <w:w w:val="105"/>
          <w:sz w:val="16"/>
        </w:rPr>
        <w:t xml:space="preserve"> </w:t>
      </w:r>
      <w:r w:rsidRPr="00EB2BD8">
        <w:rPr>
          <w:rFonts w:ascii="Arial"/>
          <w:w w:val="105"/>
          <w:sz w:val="16"/>
        </w:rPr>
        <w:t>financial</w:t>
      </w:r>
      <w:r w:rsidRPr="00EB2BD8">
        <w:rPr>
          <w:rFonts w:ascii="Arial"/>
          <w:spacing w:val="-5"/>
          <w:w w:val="105"/>
          <w:sz w:val="16"/>
        </w:rPr>
        <w:t xml:space="preserve"> </w:t>
      </w:r>
      <w:r w:rsidRPr="00EB2BD8">
        <w:rPr>
          <w:rFonts w:ascii="Arial"/>
          <w:w w:val="105"/>
          <w:sz w:val="16"/>
        </w:rPr>
        <w:t>liabilities</w:t>
      </w:r>
      <w:r w:rsidRPr="00EB2BD8">
        <w:rPr>
          <w:rFonts w:ascii="Arial"/>
          <w:spacing w:val="-4"/>
          <w:w w:val="105"/>
          <w:sz w:val="16"/>
        </w:rPr>
        <w:t xml:space="preserve"> </w:t>
      </w:r>
      <w:r w:rsidRPr="00EB2BD8">
        <w:rPr>
          <w:rFonts w:ascii="Arial"/>
          <w:w w:val="105"/>
          <w:sz w:val="16"/>
        </w:rPr>
        <w:t>as</w:t>
      </w:r>
      <w:r w:rsidRPr="00EB2BD8">
        <w:rPr>
          <w:rFonts w:ascii="Arial"/>
          <w:spacing w:val="-5"/>
          <w:w w:val="105"/>
          <w:sz w:val="16"/>
        </w:rPr>
        <w:t xml:space="preserve"> </w:t>
      </w:r>
      <w:r w:rsidRPr="00EB2BD8">
        <w:rPr>
          <w:rFonts w:ascii="Arial"/>
          <w:w w:val="105"/>
          <w:sz w:val="16"/>
        </w:rPr>
        <w:t>disclosed</w:t>
      </w:r>
      <w:r w:rsidRPr="00EB2BD8">
        <w:rPr>
          <w:rFonts w:ascii="Arial"/>
          <w:spacing w:val="-5"/>
          <w:w w:val="105"/>
          <w:sz w:val="16"/>
        </w:rPr>
        <w:t xml:space="preserve"> </w:t>
      </w:r>
      <w:r w:rsidRPr="00EB2BD8">
        <w:rPr>
          <w:rFonts w:ascii="Arial"/>
          <w:w w:val="105"/>
          <w:sz w:val="16"/>
        </w:rPr>
        <w:t>in</w:t>
      </w:r>
      <w:r w:rsidRPr="00EB2BD8">
        <w:rPr>
          <w:rFonts w:ascii="Arial"/>
          <w:spacing w:val="-4"/>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face</w:t>
      </w:r>
      <w:r w:rsidRPr="00EB2BD8">
        <w:rPr>
          <w:rFonts w:ascii="Arial"/>
          <w:spacing w:val="-5"/>
          <w:w w:val="105"/>
          <w:sz w:val="16"/>
        </w:rPr>
        <w:t xml:space="preserve"> </w:t>
      </w:r>
      <w:r w:rsidRPr="00EB2BD8">
        <w:rPr>
          <w:rFonts w:ascii="Arial"/>
          <w:w w:val="105"/>
          <w:sz w:val="16"/>
        </w:rPr>
        <w:t>of the balance sheet.</w:t>
      </w:r>
    </w:p>
    <w:p w14:paraId="3691B791" w14:textId="77777777" w:rsidR="00084F36" w:rsidRPr="00EB2BD8" w:rsidRDefault="00084F36">
      <w:pPr>
        <w:pStyle w:val="BodyText"/>
        <w:spacing w:before="7"/>
        <w:rPr>
          <w:rFonts w:ascii="Arial"/>
          <w:sz w:val="19"/>
        </w:rPr>
      </w:pPr>
    </w:p>
    <w:p w14:paraId="0F3C10A4" w14:textId="77777777" w:rsidR="00084F36" w:rsidRPr="00EB2BD8" w:rsidRDefault="00EB2BD8">
      <w:pPr>
        <w:spacing w:line="290" w:lineRule="auto"/>
        <w:ind w:left="1047"/>
        <w:rPr>
          <w:rFonts w:ascii="Arial" w:hAnsi="Arial"/>
          <w:sz w:val="16"/>
        </w:rPr>
      </w:pPr>
      <w:r w:rsidRPr="00EB2BD8">
        <w:rPr>
          <w:rFonts w:ascii="Arial" w:hAnsi="Arial"/>
          <w:w w:val="105"/>
          <w:sz w:val="16"/>
        </w:rPr>
        <w:t>The VBA's exposure to liquidity risk is deemed insignificant</w:t>
      </w:r>
      <w:r w:rsidRPr="00EB2BD8">
        <w:rPr>
          <w:rFonts w:ascii="Arial" w:hAnsi="Arial"/>
          <w:spacing w:val="-7"/>
          <w:w w:val="105"/>
          <w:sz w:val="16"/>
        </w:rPr>
        <w:t xml:space="preserve"> </w:t>
      </w:r>
      <w:r w:rsidRPr="00EB2BD8">
        <w:rPr>
          <w:rFonts w:ascii="Arial" w:hAnsi="Arial"/>
          <w:w w:val="105"/>
          <w:sz w:val="16"/>
        </w:rPr>
        <w:t>based</w:t>
      </w:r>
      <w:r w:rsidRPr="00EB2BD8">
        <w:rPr>
          <w:rFonts w:ascii="Arial" w:hAnsi="Arial"/>
          <w:spacing w:val="-7"/>
          <w:w w:val="105"/>
          <w:sz w:val="16"/>
        </w:rPr>
        <w:t xml:space="preserve"> </w:t>
      </w:r>
      <w:r w:rsidRPr="00EB2BD8">
        <w:rPr>
          <w:rFonts w:ascii="Arial" w:hAnsi="Arial"/>
          <w:w w:val="105"/>
          <w:sz w:val="16"/>
        </w:rPr>
        <w:t>on</w:t>
      </w:r>
      <w:r w:rsidRPr="00EB2BD8">
        <w:rPr>
          <w:rFonts w:ascii="Arial" w:hAnsi="Arial"/>
          <w:spacing w:val="-7"/>
          <w:w w:val="105"/>
          <w:sz w:val="16"/>
        </w:rPr>
        <w:t xml:space="preserve"> </w:t>
      </w:r>
      <w:r w:rsidRPr="00EB2BD8">
        <w:rPr>
          <w:rFonts w:ascii="Arial" w:hAnsi="Arial"/>
          <w:w w:val="105"/>
          <w:sz w:val="16"/>
        </w:rPr>
        <w:t>prior</w:t>
      </w:r>
      <w:r w:rsidRPr="00EB2BD8">
        <w:rPr>
          <w:rFonts w:ascii="Arial" w:hAnsi="Arial"/>
          <w:spacing w:val="-7"/>
          <w:w w:val="105"/>
          <w:sz w:val="16"/>
        </w:rPr>
        <w:t xml:space="preserve"> </w:t>
      </w:r>
      <w:r w:rsidRPr="00EB2BD8">
        <w:rPr>
          <w:rFonts w:ascii="Arial" w:hAnsi="Arial"/>
          <w:w w:val="105"/>
          <w:sz w:val="16"/>
        </w:rPr>
        <w:t>periods’</w:t>
      </w:r>
      <w:r w:rsidRPr="00EB2BD8">
        <w:rPr>
          <w:rFonts w:ascii="Arial" w:hAnsi="Arial"/>
          <w:spacing w:val="-6"/>
          <w:w w:val="105"/>
          <w:sz w:val="16"/>
        </w:rPr>
        <w:t xml:space="preserve"> </w:t>
      </w:r>
      <w:r w:rsidRPr="00EB2BD8">
        <w:rPr>
          <w:rFonts w:ascii="Arial" w:hAnsi="Arial"/>
          <w:w w:val="105"/>
          <w:sz w:val="16"/>
        </w:rPr>
        <w:t>data</w:t>
      </w:r>
      <w:r w:rsidRPr="00EB2BD8">
        <w:rPr>
          <w:rFonts w:ascii="Arial" w:hAnsi="Arial"/>
          <w:spacing w:val="-7"/>
          <w:w w:val="105"/>
          <w:sz w:val="16"/>
        </w:rPr>
        <w:t xml:space="preserve"> </w:t>
      </w:r>
      <w:r w:rsidRPr="00EB2BD8">
        <w:rPr>
          <w:rFonts w:ascii="Arial" w:hAnsi="Arial"/>
          <w:w w:val="105"/>
          <w:sz w:val="16"/>
        </w:rPr>
        <w:t>and</w:t>
      </w:r>
      <w:r w:rsidRPr="00EB2BD8">
        <w:rPr>
          <w:rFonts w:ascii="Arial" w:hAnsi="Arial"/>
          <w:spacing w:val="-6"/>
          <w:w w:val="105"/>
          <w:sz w:val="16"/>
        </w:rPr>
        <w:t xml:space="preserve"> </w:t>
      </w:r>
      <w:r w:rsidRPr="00EB2BD8">
        <w:rPr>
          <w:rFonts w:ascii="Arial" w:hAnsi="Arial"/>
          <w:w w:val="105"/>
          <w:sz w:val="16"/>
        </w:rPr>
        <w:t>current assessment of risk.</w:t>
      </w:r>
    </w:p>
    <w:p w14:paraId="0E572AB0" w14:textId="77777777" w:rsidR="00084F36" w:rsidRPr="00EB2BD8" w:rsidRDefault="00084F36">
      <w:pPr>
        <w:pStyle w:val="BodyText"/>
        <w:rPr>
          <w:rFonts w:ascii="Arial"/>
        </w:rPr>
      </w:pPr>
    </w:p>
    <w:p w14:paraId="410D63E0" w14:textId="77777777" w:rsidR="00084F36" w:rsidRPr="00EB2BD8" w:rsidRDefault="00EB2BD8" w:rsidP="00327EC1">
      <w:pPr>
        <w:pStyle w:val="Heading2"/>
        <w:ind w:left="1046"/>
      </w:pPr>
      <w:bookmarkStart w:id="342" w:name="_Toc150762644"/>
      <w:r w:rsidRPr="00EB2BD8">
        <w:t>Financial</w:t>
      </w:r>
      <w:r w:rsidRPr="00EB2BD8">
        <w:rPr>
          <w:spacing w:val="13"/>
        </w:rPr>
        <w:t xml:space="preserve"> </w:t>
      </w:r>
      <w:r w:rsidRPr="00EB2BD8">
        <w:t>Instruments</w:t>
      </w:r>
      <w:r w:rsidRPr="00EB2BD8">
        <w:rPr>
          <w:spacing w:val="14"/>
        </w:rPr>
        <w:t xml:space="preserve"> </w:t>
      </w:r>
      <w:r w:rsidRPr="00EB2BD8">
        <w:t>-</w:t>
      </w:r>
      <w:r w:rsidRPr="00EB2BD8">
        <w:rPr>
          <w:spacing w:val="14"/>
        </w:rPr>
        <w:t xml:space="preserve"> </w:t>
      </w:r>
      <w:r w:rsidRPr="00EB2BD8">
        <w:t>Market</w:t>
      </w:r>
      <w:r w:rsidRPr="00EB2BD8">
        <w:rPr>
          <w:spacing w:val="14"/>
        </w:rPr>
        <w:t xml:space="preserve"> </w:t>
      </w:r>
      <w:r w:rsidRPr="00EB2BD8">
        <w:rPr>
          <w:spacing w:val="-4"/>
        </w:rPr>
        <w:t>risk</w:t>
      </w:r>
      <w:bookmarkEnd w:id="342"/>
    </w:p>
    <w:p w14:paraId="39BD5C38" w14:textId="77777777" w:rsidR="00084F36" w:rsidRPr="00EB2BD8" w:rsidRDefault="00EB2BD8">
      <w:pPr>
        <w:spacing w:before="157" w:line="288" w:lineRule="auto"/>
        <w:ind w:left="1046"/>
        <w:rPr>
          <w:rFonts w:ascii="Arial" w:hAnsi="Arial"/>
          <w:sz w:val="16"/>
        </w:rPr>
      </w:pPr>
      <w:r w:rsidRPr="00EB2BD8">
        <w:rPr>
          <w:rFonts w:ascii="Arial" w:hAnsi="Arial"/>
          <w:w w:val="105"/>
          <w:sz w:val="16"/>
        </w:rPr>
        <w:t>The</w:t>
      </w:r>
      <w:r w:rsidRPr="00EB2BD8">
        <w:rPr>
          <w:rFonts w:ascii="Arial" w:hAnsi="Arial"/>
          <w:spacing w:val="-6"/>
          <w:w w:val="105"/>
          <w:sz w:val="16"/>
        </w:rPr>
        <w:t xml:space="preserve"> </w:t>
      </w:r>
      <w:r w:rsidRPr="00EB2BD8">
        <w:rPr>
          <w:rFonts w:ascii="Arial" w:hAnsi="Arial"/>
          <w:w w:val="105"/>
          <w:sz w:val="16"/>
        </w:rPr>
        <w:t>VBA’s</w:t>
      </w:r>
      <w:r w:rsidRPr="00EB2BD8">
        <w:rPr>
          <w:rFonts w:ascii="Arial" w:hAnsi="Arial"/>
          <w:spacing w:val="-6"/>
          <w:w w:val="105"/>
          <w:sz w:val="16"/>
        </w:rPr>
        <w:t xml:space="preserve"> </w:t>
      </w:r>
      <w:r w:rsidRPr="00EB2BD8">
        <w:rPr>
          <w:rFonts w:ascii="Arial" w:hAnsi="Arial"/>
          <w:w w:val="105"/>
          <w:sz w:val="16"/>
        </w:rPr>
        <w:t>exposure</w:t>
      </w:r>
      <w:r w:rsidRPr="00EB2BD8">
        <w:rPr>
          <w:rFonts w:ascii="Arial" w:hAnsi="Arial"/>
          <w:spacing w:val="-6"/>
          <w:w w:val="105"/>
          <w:sz w:val="16"/>
        </w:rPr>
        <w:t xml:space="preserve"> </w:t>
      </w:r>
      <w:r w:rsidRPr="00EB2BD8">
        <w:rPr>
          <w:rFonts w:ascii="Arial" w:hAnsi="Arial"/>
          <w:w w:val="105"/>
          <w:sz w:val="16"/>
        </w:rPr>
        <w:t>to</w:t>
      </w:r>
      <w:r w:rsidRPr="00EB2BD8">
        <w:rPr>
          <w:rFonts w:ascii="Arial" w:hAnsi="Arial"/>
          <w:spacing w:val="-6"/>
          <w:w w:val="105"/>
          <w:sz w:val="16"/>
        </w:rPr>
        <w:t xml:space="preserve"> </w:t>
      </w:r>
      <w:r w:rsidRPr="00EB2BD8">
        <w:rPr>
          <w:rFonts w:ascii="Arial" w:hAnsi="Arial"/>
          <w:w w:val="105"/>
          <w:sz w:val="16"/>
        </w:rPr>
        <w:t>market</w:t>
      </w:r>
      <w:r w:rsidRPr="00EB2BD8">
        <w:rPr>
          <w:rFonts w:ascii="Arial" w:hAnsi="Arial"/>
          <w:spacing w:val="-6"/>
          <w:w w:val="105"/>
          <w:sz w:val="16"/>
        </w:rPr>
        <w:t xml:space="preserve"> </w:t>
      </w:r>
      <w:r w:rsidRPr="00EB2BD8">
        <w:rPr>
          <w:rFonts w:ascii="Arial" w:hAnsi="Arial"/>
          <w:w w:val="105"/>
          <w:sz w:val="16"/>
        </w:rPr>
        <w:t>risk</w:t>
      </w:r>
      <w:r w:rsidRPr="00EB2BD8">
        <w:rPr>
          <w:rFonts w:ascii="Arial" w:hAnsi="Arial"/>
          <w:spacing w:val="-6"/>
          <w:w w:val="105"/>
          <w:sz w:val="16"/>
        </w:rPr>
        <w:t xml:space="preserve"> </w:t>
      </w:r>
      <w:r w:rsidRPr="00EB2BD8">
        <w:rPr>
          <w:rFonts w:ascii="Arial" w:hAnsi="Arial"/>
          <w:w w:val="105"/>
          <w:sz w:val="16"/>
        </w:rPr>
        <w:t>is</w:t>
      </w:r>
      <w:r w:rsidRPr="00EB2BD8">
        <w:rPr>
          <w:rFonts w:ascii="Arial" w:hAnsi="Arial"/>
          <w:spacing w:val="-6"/>
          <w:w w:val="105"/>
          <w:sz w:val="16"/>
        </w:rPr>
        <w:t xml:space="preserve"> </w:t>
      </w:r>
      <w:r w:rsidRPr="00EB2BD8">
        <w:rPr>
          <w:rFonts w:ascii="Arial" w:hAnsi="Arial"/>
          <w:w w:val="105"/>
          <w:sz w:val="16"/>
        </w:rPr>
        <w:t>primarily</w:t>
      </w:r>
      <w:r w:rsidRPr="00EB2BD8">
        <w:rPr>
          <w:rFonts w:ascii="Arial" w:hAnsi="Arial"/>
          <w:spacing w:val="-6"/>
          <w:w w:val="105"/>
          <w:sz w:val="16"/>
        </w:rPr>
        <w:t xml:space="preserve"> </w:t>
      </w:r>
      <w:r w:rsidRPr="00EB2BD8">
        <w:rPr>
          <w:rFonts w:ascii="Arial" w:hAnsi="Arial"/>
          <w:w w:val="105"/>
          <w:sz w:val="16"/>
        </w:rPr>
        <w:t>through interest rate risk.</w:t>
      </w:r>
    </w:p>
    <w:p w14:paraId="3087B400" w14:textId="77777777" w:rsidR="00084F36" w:rsidRPr="00EB2BD8" w:rsidRDefault="00084F36">
      <w:pPr>
        <w:pStyle w:val="BodyText"/>
        <w:rPr>
          <w:rFonts w:ascii="Arial"/>
        </w:rPr>
      </w:pPr>
    </w:p>
    <w:p w14:paraId="61112DCD" w14:textId="77777777" w:rsidR="00084F36" w:rsidRPr="00EB2BD8" w:rsidRDefault="00EB2BD8" w:rsidP="00327EC1">
      <w:pPr>
        <w:pStyle w:val="Heading2"/>
        <w:ind w:left="1046"/>
      </w:pPr>
      <w:bookmarkStart w:id="343" w:name="_Toc150762645"/>
      <w:r w:rsidRPr="00EB2BD8">
        <w:t xml:space="preserve">Sensitivity disclosure analysis and </w:t>
      </w:r>
      <w:r w:rsidRPr="00EB2BD8">
        <w:rPr>
          <w:spacing w:val="-2"/>
        </w:rPr>
        <w:t>assumptions</w:t>
      </w:r>
      <w:bookmarkEnd w:id="343"/>
    </w:p>
    <w:p w14:paraId="6B170E73" w14:textId="77777777" w:rsidR="00084F36" w:rsidRPr="00EB2BD8" w:rsidRDefault="00EB2BD8">
      <w:pPr>
        <w:spacing w:before="115" w:line="290" w:lineRule="auto"/>
        <w:ind w:left="1046" w:right="45"/>
        <w:rPr>
          <w:rFonts w:ascii="Arial" w:hAnsi="Arial"/>
          <w:sz w:val="16"/>
        </w:rPr>
      </w:pP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w w:val="105"/>
          <w:sz w:val="16"/>
        </w:rPr>
        <w:t>VBA’s</w:t>
      </w:r>
      <w:r w:rsidRPr="00EB2BD8">
        <w:rPr>
          <w:rFonts w:ascii="Arial" w:hAnsi="Arial"/>
          <w:spacing w:val="-5"/>
          <w:w w:val="105"/>
          <w:sz w:val="16"/>
        </w:rPr>
        <w:t xml:space="preserve"> </w:t>
      </w:r>
      <w:r w:rsidRPr="00EB2BD8">
        <w:rPr>
          <w:rFonts w:ascii="Arial" w:hAnsi="Arial"/>
          <w:w w:val="105"/>
          <w:sz w:val="16"/>
        </w:rPr>
        <w:t>sensitivity</w:t>
      </w:r>
      <w:r w:rsidRPr="00EB2BD8">
        <w:rPr>
          <w:rFonts w:ascii="Arial" w:hAnsi="Arial"/>
          <w:spacing w:val="-5"/>
          <w:w w:val="105"/>
          <w:sz w:val="16"/>
        </w:rPr>
        <w:t xml:space="preserve"> </w:t>
      </w:r>
      <w:r w:rsidRPr="00EB2BD8">
        <w:rPr>
          <w:rFonts w:ascii="Arial" w:hAnsi="Arial"/>
          <w:w w:val="105"/>
          <w:sz w:val="16"/>
        </w:rPr>
        <w:t>to</w:t>
      </w:r>
      <w:r w:rsidRPr="00EB2BD8">
        <w:rPr>
          <w:rFonts w:ascii="Arial" w:hAnsi="Arial"/>
          <w:spacing w:val="-5"/>
          <w:w w:val="105"/>
          <w:sz w:val="16"/>
        </w:rPr>
        <w:t xml:space="preserve"> </w:t>
      </w:r>
      <w:r w:rsidRPr="00EB2BD8">
        <w:rPr>
          <w:rFonts w:ascii="Arial" w:hAnsi="Arial"/>
          <w:w w:val="105"/>
          <w:sz w:val="16"/>
        </w:rPr>
        <w:t>market</w:t>
      </w:r>
      <w:r w:rsidRPr="00EB2BD8">
        <w:rPr>
          <w:rFonts w:ascii="Arial" w:hAnsi="Arial"/>
          <w:spacing w:val="-5"/>
          <w:w w:val="105"/>
          <w:sz w:val="16"/>
        </w:rPr>
        <w:t xml:space="preserve"> </w:t>
      </w:r>
      <w:r w:rsidRPr="00EB2BD8">
        <w:rPr>
          <w:rFonts w:ascii="Arial" w:hAnsi="Arial"/>
          <w:w w:val="105"/>
          <w:sz w:val="16"/>
        </w:rPr>
        <w:t>risk</w:t>
      </w:r>
      <w:r w:rsidRPr="00EB2BD8">
        <w:rPr>
          <w:rFonts w:ascii="Arial" w:hAnsi="Arial"/>
          <w:spacing w:val="-5"/>
          <w:w w:val="105"/>
          <w:sz w:val="16"/>
        </w:rPr>
        <w:t xml:space="preserve"> </w:t>
      </w:r>
      <w:r w:rsidRPr="00EB2BD8">
        <w:rPr>
          <w:rFonts w:ascii="Arial" w:hAnsi="Arial"/>
          <w:w w:val="105"/>
          <w:sz w:val="16"/>
        </w:rPr>
        <w:t>is</w:t>
      </w:r>
      <w:r w:rsidRPr="00EB2BD8">
        <w:rPr>
          <w:rFonts w:ascii="Arial" w:hAnsi="Arial"/>
          <w:spacing w:val="-5"/>
          <w:w w:val="105"/>
          <w:sz w:val="16"/>
        </w:rPr>
        <w:t xml:space="preserve"> </w:t>
      </w:r>
      <w:r w:rsidRPr="00EB2BD8">
        <w:rPr>
          <w:rFonts w:ascii="Arial" w:hAnsi="Arial"/>
          <w:w w:val="105"/>
          <w:sz w:val="16"/>
        </w:rPr>
        <w:t>determined</w:t>
      </w:r>
      <w:r w:rsidRPr="00EB2BD8">
        <w:rPr>
          <w:rFonts w:ascii="Arial" w:hAnsi="Arial"/>
          <w:spacing w:val="-5"/>
          <w:w w:val="105"/>
          <w:sz w:val="16"/>
        </w:rPr>
        <w:t xml:space="preserve"> </w:t>
      </w:r>
      <w:r w:rsidRPr="00EB2BD8">
        <w:rPr>
          <w:rFonts w:ascii="Arial" w:hAnsi="Arial"/>
          <w:w w:val="105"/>
          <w:sz w:val="16"/>
        </w:rPr>
        <w:t>based on the observed range of actual historical data for the preceding five-year period, with all variables other than the</w:t>
      </w:r>
      <w:r w:rsidRPr="00EB2BD8">
        <w:rPr>
          <w:rFonts w:ascii="Arial" w:hAnsi="Arial"/>
          <w:spacing w:val="-1"/>
          <w:w w:val="105"/>
          <w:sz w:val="16"/>
        </w:rPr>
        <w:t xml:space="preserve"> </w:t>
      </w:r>
      <w:r w:rsidRPr="00EB2BD8">
        <w:rPr>
          <w:rFonts w:ascii="Arial" w:hAnsi="Arial"/>
          <w:w w:val="105"/>
          <w:sz w:val="16"/>
        </w:rPr>
        <w:t>primary</w:t>
      </w:r>
      <w:r w:rsidRPr="00EB2BD8">
        <w:rPr>
          <w:rFonts w:ascii="Arial" w:hAnsi="Arial"/>
          <w:spacing w:val="-1"/>
          <w:w w:val="105"/>
          <w:sz w:val="16"/>
        </w:rPr>
        <w:t xml:space="preserve"> </w:t>
      </w:r>
      <w:r w:rsidRPr="00EB2BD8">
        <w:rPr>
          <w:rFonts w:ascii="Arial" w:hAnsi="Arial"/>
          <w:w w:val="105"/>
          <w:sz w:val="16"/>
        </w:rPr>
        <w:t>risk</w:t>
      </w:r>
      <w:r w:rsidRPr="00EB2BD8">
        <w:rPr>
          <w:rFonts w:ascii="Arial" w:hAnsi="Arial"/>
          <w:spacing w:val="-1"/>
          <w:w w:val="105"/>
          <w:sz w:val="16"/>
        </w:rPr>
        <w:t xml:space="preserve"> </w:t>
      </w:r>
      <w:r w:rsidRPr="00EB2BD8">
        <w:rPr>
          <w:rFonts w:ascii="Arial" w:hAnsi="Arial"/>
          <w:w w:val="105"/>
          <w:sz w:val="16"/>
        </w:rPr>
        <w:t>variable</w:t>
      </w:r>
      <w:r w:rsidRPr="00EB2BD8">
        <w:rPr>
          <w:rFonts w:ascii="Arial" w:hAnsi="Arial"/>
          <w:spacing w:val="-1"/>
          <w:w w:val="105"/>
          <w:sz w:val="16"/>
        </w:rPr>
        <w:t xml:space="preserve"> </w:t>
      </w:r>
      <w:r w:rsidRPr="00EB2BD8">
        <w:rPr>
          <w:rFonts w:ascii="Arial" w:hAnsi="Arial"/>
          <w:w w:val="105"/>
          <w:sz w:val="16"/>
        </w:rPr>
        <w:t>held constant.</w:t>
      </w:r>
      <w:r w:rsidRPr="00EB2BD8">
        <w:rPr>
          <w:rFonts w:ascii="Arial" w:hAnsi="Arial"/>
          <w:spacing w:val="-1"/>
          <w:w w:val="105"/>
          <w:sz w:val="16"/>
        </w:rPr>
        <w:t xml:space="preserve"> </w:t>
      </w:r>
      <w:r w:rsidRPr="00EB2BD8">
        <w:rPr>
          <w:rFonts w:ascii="Arial" w:hAnsi="Arial"/>
          <w:w w:val="105"/>
          <w:sz w:val="16"/>
        </w:rPr>
        <w:t>The</w:t>
      </w:r>
      <w:r w:rsidRPr="00EB2BD8">
        <w:rPr>
          <w:rFonts w:ascii="Arial" w:hAnsi="Arial"/>
          <w:spacing w:val="-1"/>
          <w:w w:val="105"/>
          <w:sz w:val="16"/>
        </w:rPr>
        <w:t xml:space="preserve"> </w:t>
      </w:r>
      <w:r w:rsidRPr="00EB2BD8">
        <w:rPr>
          <w:rFonts w:ascii="Arial" w:hAnsi="Arial"/>
          <w:w w:val="105"/>
          <w:sz w:val="16"/>
        </w:rPr>
        <w:t>VBA</w:t>
      </w:r>
      <w:r w:rsidRPr="00EB2BD8">
        <w:rPr>
          <w:rFonts w:ascii="Arial" w:hAnsi="Arial"/>
          <w:spacing w:val="-1"/>
          <w:w w:val="105"/>
          <w:sz w:val="16"/>
        </w:rPr>
        <w:t xml:space="preserve"> </w:t>
      </w:r>
      <w:r w:rsidRPr="00EB2BD8">
        <w:rPr>
          <w:rFonts w:ascii="Arial" w:hAnsi="Arial"/>
          <w:w w:val="105"/>
          <w:sz w:val="16"/>
        </w:rPr>
        <w:t>cannot be expected to predict movements in market rates and prices. Sensitivity analyses shown are for illustrative purposes only. A movement of 50 basis points up and down (2022: 100 basis points up and down) in market interest rates (AUD) is ‘reasonably possible’ over the next 12 months.</w:t>
      </w:r>
    </w:p>
    <w:p w14:paraId="6E925114" w14:textId="77777777" w:rsidR="00084F36" w:rsidRPr="00EB2BD8" w:rsidRDefault="00084F36">
      <w:pPr>
        <w:pStyle w:val="BodyText"/>
        <w:spacing w:before="10"/>
        <w:rPr>
          <w:rFonts w:ascii="Arial"/>
        </w:rPr>
      </w:pPr>
    </w:p>
    <w:p w14:paraId="7E3D5D7B" w14:textId="77777777" w:rsidR="00084F36" w:rsidRPr="00EB2BD8" w:rsidRDefault="00EB2BD8">
      <w:pPr>
        <w:spacing w:line="271" w:lineRule="auto"/>
        <w:ind w:left="1046"/>
        <w:rPr>
          <w:rFonts w:ascii="Arial" w:hAnsi="Arial"/>
          <w:sz w:val="16"/>
        </w:rPr>
      </w:pPr>
      <w:r w:rsidRPr="00EB2BD8">
        <w:rPr>
          <w:rFonts w:ascii="Arial" w:hAnsi="Arial"/>
          <w:w w:val="105"/>
          <w:sz w:val="16"/>
        </w:rPr>
        <w:t>The tables that follow show the impact on the VBA’s net result</w:t>
      </w:r>
      <w:r w:rsidRPr="00EB2BD8">
        <w:rPr>
          <w:rFonts w:ascii="Arial" w:hAnsi="Arial"/>
          <w:spacing w:val="-6"/>
          <w:w w:val="105"/>
          <w:sz w:val="16"/>
        </w:rPr>
        <w:t xml:space="preserve"> </w:t>
      </w:r>
      <w:r w:rsidRPr="00EB2BD8">
        <w:rPr>
          <w:rFonts w:ascii="Arial" w:hAnsi="Arial"/>
          <w:w w:val="105"/>
          <w:sz w:val="16"/>
        </w:rPr>
        <w:t>and</w:t>
      </w:r>
      <w:r w:rsidRPr="00EB2BD8">
        <w:rPr>
          <w:rFonts w:ascii="Arial" w:hAnsi="Arial"/>
          <w:spacing w:val="-6"/>
          <w:w w:val="105"/>
          <w:sz w:val="16"/>
        </w:rPr>
        <w:t xml:space="preserve"> </w:t>
      </w:r>
      <w:r w:rsidRPr="00EB2BD8">
        <w:rPr>
          <w:rFonts w:ascii="Arial" w:hAnsi="Arial"/>
          <w:w w:val="105"/>
          <w:sz w:val="16"/>
        </w:rPr>
        <w:t>equity</w:t>
      </w:r>
      <w:r w:rsidRPr="00EB2BD8">
        <w:rPr>
          <w:rFonts w:ascii="Arial" w:hAnsi="Arial"/>
          <w:spacing w:val="-6"/>
          <w:w w:val="105"/>
          <w:sz w:val="16"/>
        </w:rPr>
        <w:t xml:space="preserve"> </w:t>
      </w:r>
      <w:r w:rsidRPr="00EB2BD8">
        <w:rPr>
          <w:rFonts w:ascii="Arial" w:hAnsi="Arial"/>
          <w:w w:val="105"/>
          <w:sz w:val="16"/>
        </w:rPr>
        <w:t>for</w:t>
      </w:r>
      <w:r w:rsidRPr="00EB2BD8">
        <w:rPr>
          <w:rFonts w:ascii="Arial" w:hAnsi="Arial"/>
          <w:spacing w:val="-6"/>
          <w:w w:val="105"/>
          <w:sz w:val="16"/>
        </w:rPr>
        <w:t xml:space="preserve"> </w:t>
      </w:r>
      <w:r w:rsidRPr="00EB2BD8">
        <w:rPr>
          <w:rFonts w:ascii="Arial" w:hAnsi="Arial"/>
          <w:w w:val="105"/>
          <w:sz w:val="16"/>
        </w:rPr>
        <w:t>each</w:t>
      </w:r>
      <w:r w:rsidRPr="00EB2BD8">
        <w:rPr>
          <w:rFonts w:ascii="Arial" w:hAnsi="Arial"/>
          <w:spacing w:val="-6"/>
          <w:w w:val="105"/>
          <w:sz w:val="16"/>
        </w:rPr>
        <w:t xml:space="preserve"> </w:t>
      </w:r>
      <w:r w:rsidRPr="00EB2BD8">
        <w:rPr>
          <w:rFonts w:ascii="Arial" w:hAnsi="Arial"/>
          <w:w w:val="105"/>
          <w:sz w:val="16"/>
        </w:rPr>
        <w:t>category</w:t>
      </w:r>
      <w:r w:rsidRPr="00EB2BD8">
        <w:rPr>
          <w:rFonts w:ascii="Arial" w:hAnsi="Arial"/>
          <w:spacing w:val="-6"/>
          <w:w w:val="105"/>
          <w:sz w:val="16"/>
        </w:rPr>
        <w:t xml:space="preserve"> </w:t>
      </w:r>
      <w:r w:rsidRPr="00EB2BD8">
        <w:rPr>
          <w:rFonts w:ascii="Arial" w:hAnsi="Arial"/>
          <w:w w:val="105"/>
          <w:sz w:val="16"/>
        </w:rPr>
        <w:t>of</w:t>
      </w:r>
      <w:r w:rsidRPr="00EB2BD8">
        <w:rPr>
          <w:rFonts w:ascii="Arial" w:hAnsi="Arial"/>
          <w:spacing w:val="-6"/>
          <w:w w:val="105"/>
          <w:sz w:val="16"/>
        </w:rPr>
        <w:t xml:space="preserve"> </w:t>
      </w:r>
      <w:r w:rsidRPr="00EB2BD8">
        <w:rPr>
          <w:rFonts w:ascii="Arial" w:hAnsi="Arial"/>
          <w:w w:val="105"/>
          <w:sz w:val="16"/>
        </w:rPr>
        <w:t>financial</w:t>
      </w:r>
      <w:r w:rsidRPr="00EB2BD8">
        <w:rPr>
          <w:rFonts w:ascii="Arial" w:hAnsi="Arial"/>
          <w:spacing w:val="-6"/>
          <w:w w:val="105"/>
          <w:sz w:val="16"/>
        </w:rPr>
        <w:t xml:space="preserve"> </w:t>
      </w:r>
      <w:r w:rsidRPr="00EB2BD8">
        <w:rPr>
          <w:rFonts w:ascii="Arial" w:hAnsi="Arial"/>
          <w:w w:val="105"/>
          <w:sz w:val="16"/>
        </w:rPr>
        <w:t>instrument held by the VBA at the end of the reporting period, if the above movements were to occur.</w:t>
      </w:r>
    </w:p>
    <w:p w14:paraId="13382335" w14:textId="7092B21D" w:rsidR="00084F36" w:rsidRPr="00EB2BD8" w:rsidRDefault="00EB2BD8" w:rsidP="00327EC1">
      <w:pPr>
        <w:pStyle w:val="Heading2"/>
        <w:ind w:left="0"/>
      </w:pPr>
      <w:r w:rsidRPr="00EB2BD8">
        <w:br w:type="column"/>
      </w:r>
      <w:r w:rsidR="00327EC1">
        <w:t xml:space="preserve">      </w:t>
      </w:r>
      <w:bookmarkStart w:id="344" w:name="_Toc150762646"/>
      <w:r w:rsidRPr="00EB2BD8">
        <w:t>Financial</w:t>
      </w:r>
      <w:r w:rsidRPr="00EB2BD8">
        <w:rPr>
          <w:spacing w:val="12"/>
        </w:rPr>
        <w:t xml:space="preserve"> </w:t>
      </w:r>
      <w:r w:rsidRPr="00EB2BD8">
        <w:t>Instruments</w:t>
      </w:r>
      <w:r w:rsidRPr="00EB2BD8">
        <w:rPr>
          <w:spacing w:val="13"/>
        </w:rPr>
        <w:t xml:space="preserve"> </w:t>
      </w:r>
      <w:r w:rsidRPr="00EB2BD8">
        <w:t>-</w:t>
      </w:r>
      <w:r w:rsidRPr="00EB2BD8">
        <w:rPr>
          <w:spacing w:val="13"/>
        </w:rPr>
        <w:t xml:space="preserve"> </w:t>
      </w:r>
      <w:r w:rsidRPr="00EB2BD8">
        <w:t>Interest</w:t>
      </w:r>
      <w:r w:rsidRPr="00EB2BD8">
        <w:rPr>
          <w:spacing w:val="13"/>
        </w:rPr>
        <w:t xml:space="preserve"> </w:t>
      </w:r>
      <w:r w:rsidR="00327EC1">
        <w:rPr>
          <w:spacing w:val="13"/>
        </w:rPr>
        <w:br/>
      </w:r>
      <w:r w:rsidR="00327EC1">
        <w:t xml:space="preserve">      </w:t>
      </w:r>
      <w:r w:rsidRPr="00EB2BD8">
        <w:t>rate</w:t>
      </w:r>
      <w:r w:rsidRPr="00EB2BD8">
        <w:rPr>
          <w:spacing w:val="13"/>
        </w:rPr>
        <w:t xml:space="preserve"> </w:t>
      </w:r>
      <w:r w:rsidRPr="00EB2BD8">
        <w:rPr>
          <w:spacing w:val="-4"/>
        </w:rPr>
        <w:t>risk</w:t>
      </w:r>
      <w:bookmarkEnd w:id="344"/>
    </w:p>
    <w:p w14:paraId="6BAB74E7" w14:textId="77777777" w:rsidR="00084F36" w:rsidRPr="00EB2BD8" w:rsidRDefault="00EB2BD8">
      <w:pPr>
        <w:spacing w:before="157" w:line="290" w:lineRule="auto"/>
        <w:ind w:left="638" w:right="1669"/>
        <w:rPr>
          <w:rFonts w:ascii="Arial"/>
          <w:sz w:val="16"/>
        </w:rPr>
      </w:pPr>
      <w:r w:rsidRPr="00EB2BD8">
        <w:rPr>
          <w:rFonts w:ascii="Arial"/>
          <w:w w:val="105"/>
          <w:sz w:val="16"/>
        </w:rPr>
        <w:t>Fair</w:t>
      </w:r>
      <w:r w:rsidRPr="00EB2BD8">
        <w:rPr>
          <w:rFonts w:ascii="Arial"/>
          <w:spacing w:val="-4"/>
          <w:w w:val="105"/>
          <w:sz w:val="16"/>
        </w:rPr>
        <w:t xml:space="preserve"> </w:t>
      </w:r>
      <w:r w:rsidRPr="00EB2BD8">
        <w:rPr>
          <w:rFonts w:ascii="Arial"/>
          <w:w w:val="105"/>
          <w:sz w:val="16"/>
        </w:rPr>
        <w:t>value</w:t>
      </w:r>
      <w:r w:rsidRPr="00EB2BD8">
        <w:rPr>
          <w:rFonts w:ascii="Arial"/>
          <w:spacing w:val="-4"/>
          <w:w w:val="105"/>
          <w:sz w:val="16"/>
        </w:rPr>
        <w:t xml:space="preserve"> </w:t>
      </w:r>
      <w:r w:rsidRPr="00EB2BD8">
        <w:rPr>
          <w:rFonts w:ascii="Arial"/>
          <w:w w:val="105"/>
          <w:sz w:val="16"/>
        </w:rPr>
        <w:t>interest</w:t>
      </w:r>
      <w:r w:rsidRPr="00EB2BD8">
        <w:rPr>
          <w:rFonts w:ascii="Arial"/>
          <w:spacing w:val="-4"/>
          <w:w w:val="105"/>
          <w:sz w:val="16"/>
        </w:rPr>
        <w:t xml:space="preserve"> </w:t>
      </w:r>
      <w:r w:rsidRPr="00EB2BD8">
        <w:rPr>
          <w:rFonts w:ascii="Arial"/>
          <w:w w:val="105"/>
          <w:sz w:val="16"/>
        </w:rPr>
        <w:t>rate</w:t>
      </w:r>
      <w:r w:rsidRPr="00EB2BD8">
        <w:rPr>
          <w:rFonts w:ascii="Arial"/>
          <w:spacing w:val="-4"/>
          <w:w w:val="105"/>
          <w:sz w:val="16"/>
        </w:rPr>
        <w:t xml:space="preserve"> </w:t>
      </w:r>
      <w:r w:rsidRPr="00EB2BD8">
        <w:rPr>
          <w:rFonts w:ascii="Arial"/>
          <w:w w:val="105"/>
          <w:sz w:val="16"/>
        </w:rPr>
        <w:t>risk</w:t>
      </w:r>
      <w:r w:rsidRPr="00EB2BD8">
        <w:rPr>
          <w:rFonts w:ascii="Arial"/>
          <w:spacing w:val="-4"/>
          <w:w w:val="105"/>
          <w:sz w:val="16"/>
        </w:rPr>
        <w:t xml:space="preserve"> </w:t>
      </w:r>
      <w:r w:rsidRPr="00EB2BD8">
        <w:rPr>
          <w:rFonts w:ascii="Arial"/>
          <w:w w:val="105"/>
          <w:sz w:val="16"/>
        </w:rPr>
        <w:t>is</w:t>
      </w:r>
      <w:r w:rsidRPr="00EB2BD8">
        <w:rPr>
          <w:rFonts w:ascii="Arial"/>
          <w:spacing w:val="-4"/>
          <w:w w:val="105"/>
          <w:sz w:val="16"/>
        </w:rPr>
        <w:t xml:space="preserve"> </w:t>
      </w:r>
      <w:r w:rsidRPr="00EB2BD8">
        <w:rPr>
          <w:rFonts w:ascii="Arial"/>
          <w:w w:val="105"/>
          <w:sz w:val="16"/>
        </w:rPr>
        <w:t>the</w:t>
      </w:r>
      <w:r w:rsidRPr="00EB2BD8">
        <w:rPr>
          <w:rFonts w:ascii="Arial"/>
          <w:spacing w:val="-4"/>
          <w:w w:val="105"/>
          <w:sz w:val="16"/>
        </w:rPr>
        <w:t xml:space="preserve"> </w:t>
      </w:r>
      <w:r w:rsidRPr="00EB2BD8">
        <w:rPr>
          <w:rFonts w:ascii="Arial"/>
          <w:w w:val="105"/>
          <w:sz w:val="16"/>
        </w:rPr>
        <w:t>risk</w:t>
      </w:r>
      <w:r w:rsidRPr="00EB2BD8">
        <w:rPr>
          <w:rFonts w:ascii="Arial"/>
          <w:spacing w:val="-4"/>
          <w:w w:val="105"/>
          <w:sz w:val="16"/>
        </w:rPr>
        <w:t xml:space="preserve"> </w:t>
      </w:r>
      <w:r w:rsidRPr="00EB2BD8">
        <w:rPr>
          <w:rFonts w:ascii="Arial"/>
          <w:w w:val="105"/>
          <w:sz w:val="16"/>
        </w:rPr>
        <w:t>that</w:t>
      </w:r>
      <w:r w:rsidRPr="00EB2BD8">
        <w:rPr>
          <w:rFonts w:ascii="Arial"/>
          <w:spacing w:val="-4"/>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fair</w:t>
      </w:r>
      <w:r w:rsidRPr="00EB2BD8">
        <w:rPr>
          <w:rFonts w:ascii="Arial"/>
          <w:spacing w:val="-4"/>
          <w:w w:val="105"/>
          <w:sz w:val="16"/>
        </w:rPr>
        <w:t xml:space="preserve"> </w:t>
      </w:r>
      <w:r w:rsidRPr="00EB2BD8">
        <w:rPr>
          <w:rFonts w:ascii="Arial"/>
          <w:w w:val="105"/>
          <w:sz w:val="16"/>
        </w:rPr>
        <w:t>value</w:t>
      </w:r>
      <w:r w:rsidRPr="00EB2BD8">
        <w:rPr>
          <w:rFonts w:ascii="Arial"/>
          <w:spacing w:val="-4"/>
          <w:w w:val="105"/>
          <w:sz w:val="16"/>
        </w:rPr>
        <w:t xml:space="preserve"> </w:t>
      </w:r>
      <w:r w:rsidRPr="00EB2BD8">
        <w:rPr>
          <w:rFonts w:ascii="Arial"/>
          <w:w w:val="105"/>
          <w:sz w:val="16"/>
        </w:rPr>
        <w:t>of a financial instrument will fluctuate because of changes</w:t>
      </w:r>
      <w:r w:rsidRPr="00EB2BD8">
        <w:rPr>
          <w:rFonts w:ascii="Arial"/>
          <w:spacing w:val="40"/>
          <w:w w:val="105"/>
          <w:sz w:val="16"/>
        </w:rPr>
        <w:t xml:space="preserve"> </w:t>
      </w:r>
      <w:r w:rsidRPr="00EB2BD8">
        <w:rPr>
          <w:rFonts w:ascii="Arial"/>
          <w:w w:val="105"/>
          <w:sz w:val="16"/>
        </w:rPr>
        <w:t>in market interest rates. The VBA does not hold any interest-bearing financial instruments that are measured at fair value, and therefore has no exposure to fair value interest rate risk.</w:t>
      </w:r>
    </w:p>
    <w:p w14:paraId="2BB0BB27" w14:textId="77777777" w:rsidR="00084F36" w:rsidRPr="00EB2BD8" w:rsidRDefault="00084F36">
      <w:pPr>
        <w:pStyle w:val="BodyText"/>
        <w:spacing w:before="11"/>
        <w:rPr>
          <w:rFonts w:ascii="Arial"/>
        </w:rPr>
      </w:pPr>
    </w:p>
    <w:p w14:paraId="36089D1D" w14:textId="77777777" w:rsidR="00084F36" w:rsidRPr="00EB2BD8" w:rsidRDefault="00EB2BD8">
      <w:pPr>
        <w:spacing w:line="290" w:lineRule="auto"/>
        <w:ind w:left="638" w:right="1711"/>
        <w:rPr>
          <w:rFonts w:ascii="Arial"/>
          <w:sz w:val="16"/>
        </w:rPr>
      </w:pPr>
      <w:r w:rsidRPr="00EB2BD8">
        <w:rPr>
          <w:rFonts w:ascii="Arial"/>
          <w:w w:val="105"/>
          <w:sz w:val="16"/>
        </w:rPr>
        <w:t>Cash</w:t>
      </w:r>
      <w:r w:rsidRPr="00EB2BD8">
        <w:rPr>
          <w:rFonts w:ascii="Arial"/>
          <w:spacing w:val="-4"/>
          <w:w w:val="105"/>
          <w:sz w:val="16"/>
        </w:rPr>
        <w:t xml:space="preserve"> </w:t>
      </w:r>
      <w:r w:rsidRPr="00EB2BD8">
        <w:rPr>
          <w:rFonts w:ascii="Arial"/>
          <w:w w:val="105"/>
          <w:sz w:val="16"/>
        </w:rPr>
        <w:t>flow</w:t>
      </w:r>
      <w:r w:rsidRPr="00EB2BD8">
        <w:rPr>
          <w:rFonts w:ascii="Arial"/>
          <w:spacing w:val="-4"/>
          <w:w w:val="105"/>
          <w:sz w:val="16"/>
        </w:rPr>
        <w:t xml:space="preserve"> </w:t>
      </w:r>
      <w:r w:rsidRPr="00EB2BD8">
        <w:rPr>
          <w:rFonts w:ascii="Arial"/>
          <w:w w:val="105"/>
          <w:sz w:val="16"/>
        </w:rPr>
        <w:t>interest</w:t>
      </w:r>
      <w:r w:rsidRPr="00EB2BD8">
        <w:rPr>
          <w:rFonts w:ascii="Arial"/>
          <w:spacing w:val="-4"/>
          <w:w w:val="105"/>
          <w:sz w:val="16"/>
        </w:rPr>
        <w:t xml:space="preserve"> </w:t>
      </w:r>
      <w:r w:rsidRPr="00EB2BD8">
        <w:rPr>
          <w:rFonts w:ascii="Arial"/>
          <w:w w:val="105"/>
          <w:sz w:val="16"/>
        </w:rPr>
        <w:t>rate</w:t>
      </w:r>
      <w:r w:rsidRPr="00EB2BD8">
        <w:rPr>
          <w:rFonts w:ascii="Arial"/>
          <w:spacing w:val="-4"/>
          <w:w w:val="105"/>
          <w:sz w:val="16"/>
        </w:rPr>
        <w:t xml:space="preserve"> </w:t>
      </w:r>
      <w:r w:rsidRPr="00EB2BD8">
        <w:rPr>
          <w:rFonts w:ascii="Arial"/>
          <w:w w:val="105"/>
          <w:sz w:val="16"/>
        </w:rPr>
        <w:t>risk</w:t>
      </w:r>
      <w:r w:rsidRPr="00EB2BD8">
        <w:rPr>
          <w:rFonts w:ascii="Arial"/>
          <w:spacing w:val="-4"/>
          <w:w w:val="105"/>
          <w:sz w:val="16"/>
        </w:rPr>
        <w:t xml:space="preserve"> </w:t>
      </w:r>
      <w:r w:rsidRPr="00EB2BD8">
        <w:rPr>
          <w:rFonts w:ascii="Arial"/>
          <w:w w:val="105"/>
          <w:sz w:val="16"/>
        </w:rPr>
        <w:t>is</w:t>
      </w:r>
      <w:r w:rsidRPr="00EB2BD8">
        <w:rPr>
          <w:rFonts w:ascii="Arial"/>
          <w:spacing w:val="-4"/>
          <w:w w:val="105"/>
          <w:sz w:val="16"/>
        </w:rPr>
        <w:t xml:space="preserve"> </w:t>
      </w:r>
      <w:r w:rsidRPr="00EB2BD8">
        <w:rPr>
          <w:rFonts w:ascii="Arial"/>
          <w:w w:val="105"/>
          <w:sz w:val="16"/>
        </w:rPr>
        <w:t>the</w:t>
      </w:r>
      <w:r w:rsidRPr="00EB2BD8">
        <w:rPr>
          <w:rFonts w:ascii="Arial"/>
          <w:spacing w:val="-4"/>
          <w:w w:val="105"/>
          <w:sz w:val="16"/>
        </w:rPr>
        <w:t xml:space="preserve"> </w:t>
      </w:r>
      <w:r w:rsidRPr="00EB2BD8">
        <w:rPr>
          <w:rFonts w:ascii="Arial"/>
          <w:w w:val="105"/>
          <w:sz w:val="16"/>
        </w:rPr>
        <w:t>risk</w:t>
      </w:r>
      <w:r w:rsidRPr="00EB2BD8">
        <w:rPr>
          <w:rFonts w:ascii="Arial"/>
          <w:spacing w:val="-4"/>
          <w:w w:val="105"/>
          <w:sz w:val="16"/>
        </w:rPr>
        <w:t xml:space="preserve"> </w:t>
      </w:r>
      <w:r w:rsidRPr="00EB2BD8">
        <w:rPr>
          <w:rFonts w:ascii="Arial"/>
          <w:w w:val="105"/>
          <w:sz w:val="16"/>
        </w:rPr>
        <w:t>that</w:t>
      </w:r>
      <w:r w:rsidRPr="00EB2BD8">
        <w:rPr>
          <w:rFonts w:ascii="Arial"/>
          <w:spacing w:val="-4"/>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future</w:t>
      </w:r>
      <w:r w:rsidRPr="00EB2BD8">
        <w:rPr>
          <w:rFonts w:ascii="Arial"/>
          <w:spacing w:val="-4"/>
          <w:w w:val="105"/>
          <w:sz w:val="16"/>
        </w:rPr>
        <w:t xml:space="preserve"> </w:t>
      </w:r>
      <w:r w:rsidRPr="00EB2BD8">
        <w:rPr>
          <w:rFonts w:ascii="Arial"/>
          <w:w w:val="105"/>
          <w:sz w:val="16"/>
        </w:rPr>
        <w:t>cash flows of a financial instrument will fluctuate because of changes in market interest rates. The VBA has minimal exposure to cash flow interest rate risks through cash and deposits that are at floating rate.</w:t>
      </w:r>
    </w:p>
    <w:p w14:paraId="03802221" w14:textId="77777777" w:rsidR="00084F36" w:rsidRPr="00EB2BD8" w:rsidRDefault="00084F36">
      <w:pPr>
        <w:pStyle w:val="BodyText"/>
        <w:spacing w:before="1"/>
        <w:rPr>
          <w:rFonts w:ascii="Arial"/>
          <w:sz w:val="19"/>
        </w:rPr>
      </w:pPr>
    </w:p>
    <w:p w14:paraId="65A9EF21" w14:textId="77777777" w:rsidR="00084F36" w:rsidRPr="00EB2BD8" w:rsidRDefault="00EB2BD8">
      <w:pPr>
        <w:spacing w:line="290" w:lineRule="auto"/>
        <w:ind w:left="638" w:right="1669"/>
        <w:rPr>
          <w:rFonts w:ascii="Arial"/>
          <w:sz w:val="16"/>
        </w:rPr>
      </w:pPr>
      <w:r w:rsidRPr="00EB2BD8">
        <w:rPr>
          <w:rFonts w:ascii="Arial"/>
          <w:w w:val="105"/>
          <w:sz w:val="16"/>
        </w:rPr>
        <w:t>The VBA manages interest rate risk by mainly undertaking</w:t>
      </w:r>
      <w:r w:rsidRPr="00EB2BD8">
        <w:rPr>
          <w:rFonts w:ascii="Arial"/>
          <w:spacing w:val="-6"/>
          <w:w w:val="105"/>
          <w:sz w:val="16"/>
        </w:rPr>
        <w:t xml:space="preserve"> </w:t>
      </w:r>
      <w:r w:rsidRPr="00EB2BD8">
        <w:rPr>
          <w:rFonts w:ascii="Arial"/>
          <w:w w:val="105"/>
          <w:sz w:val="16"/>
        </w:rPr>
        <w:t>fixed</w:t>
      </w:r>
      <w:r w:rsidRPr="00EB2BD8">
        <w:rPr>
          <w:rFonts w:ascii="Arial"/>
          <w:spacing w:val="-6"/>
          <w:w w:val="105"/>
          <w:sz w:val="16"/>
        </w:rPr>
        <w:t xml:space="preserve"> </w:t>
      </w:r>
      <w:r w:rsidRPr="00EB2BD8">
        <w:rPr>
          <w:rFonts w:ascii="Arial"/>
          <w:w w:val="105"/>
          <w:sz w:val="16"/>
        </w:rPr>
        <w:t>rate</w:t>
      </w:r>
      <w:r w:rsidRPr="00EB2BD8">
        <w:rPr>
          <w:rFonts w:ascii="Arial"/>
          <w:spacing w:val="-6"/>
          <w:w w:val="105"/>
          <w:sz w:val="16"/>
        </w:rPr>
        <w:t xml:space="preserve"> </w:t>
      </w:r>
      <w:r w:rsidRPr="00EB2BD8">
        <w:rPr>
          <w:rFonts w:ascii="Arial"/>
          <w:w w:val="105"/>
          <w:sz w:val="16"/>
        </w:rPr>
        <w:t>financial</w:t>
      </w:r>
      <w:r w:rsidRPr="00EB2BD8">
        <w:rPr>
          <w:rFonts w:ascii="Arial"/>
          <w:spacing w:val="-6"/>
          <w:w w:val="105"/>
          <w:sz w:val="16"/>
        </w:rPr>
        <w:t xml:space="preserve"> </w:t>
      </w:r>
      <w:r w:rsidRPr="00EB2BD8">
        <w:rPr>
          <w:rFonts w:ascii="Arial"/>
          <w:w w:val="105"/>
          <w:sz w:val="16"/>
        </w:rPr>
        <w:t>instruments</w:t>
      </w:r>
      <w:r w:rsidRPr="00EB2BD8">
        <w:rPr>
          <w:rFonts w:ascii="Arial"/>
          <w:spacing w:val="-6"/>
          <w:w w:val="105"/>
          <w:sz w:val="16"/>
        </w:rPr>
        <w:t xml:space="preserve"> </w:t>
      </w:r>
      <w:r w:rsidRPr="00EB2BD8">
        <w:rPr>
          <w:rFonts w:ascii="Arial"/>
          <w:w w:val="105"/>
          <w:sz w:val="16"/>
        </w:rPr>
        <w:t>with</w:t>
      </w:r>
      <w:r w:rsidRPr="00EB2BD8">
        <w:rPr>
          <w:rFonts w:ascii="Arial"/>
          <w:spacing w:val="-6"/>
          <w:w w:val="105"/>
          <w:sz w:val="16"/>
        </w:rPr>
        <w:t xml:space="preserve"> </w:t>
      </w:r>
      <w:r w:rsidRPr="00EB2BD8">
        <w:rPr>
          <w:rFonts w:ascii="Arial"/>
          <w:w w:val="105"/>
          <w:sz w:val="16"/>
        </w:rPr>
        <w:t>relatively even maturity profiles. The VBA also holds floating rate financial instruments, such as cash at bank.</w:t>
      </w:r>
    </w:p>
    <w:p w14:paraId="4347A618" w14:textId="77777777" w:rsidR="00084F36" w:rsidRPr="00EB2BD8" w:rsidRDefault="00084F36">
      <w:pPr>
        <w:pStyle w:val="BodyText"/>
        <w:spacing w:before="1"/>
        <w:rPr>
          <w:rFonts w:ascii="Arial"/>
          <w:sz w:val="19"/>
        </w:rPr>
      </w:pPr>
    </w:p>
    <w:p w14:paraId="2EBBD025" w14:textId="77777777" w:rsidR="00084F36" w:rsidRPr="00EB2BD8" w:rsidRDefault="00EB2BD8">
      <w:pPr>
        <w:spacing w:before="1" w:line="290" w:lineRule="auto"/>
        <w:ind w:left="638" w:right="1711"/>
        <w:rPr>
          <w:rFonts w:ascii="Arial"/>
          <w:sz w:val="16"/>
        </w:rPr>
      </w:pPr>
      <w:r w:rsidRPr="00EB2BD8">
        <w:rPr>
          <w:rFonts w:ascii="Arial"/>
          <w:w w:val="105"/>
          <w:sz w:val="16"/>
        </w:rPr>
        <w:t>Management has concluded for cash at bank, as financial assets that can be left at floating rate without necessarily exposing VBA to significant bad risk, management</w:t>
      </w:r>
      <w:r w:rsidRPr="00EB2BD8">
        <w:rPr>
          <w:rFonts w:ascii="Arial"/>
          <w:spacing w:val="-5"/>
          <w:w w:val="105"/>
          <w:sz w:val="16"/>
        </w:rPr>
        <w:t xml:space="preserve"> </w:t>
      </w:r>
      <w:r w:rsidRPr="00EB2BD8">
        <w:rPr>
          <w:rFonts w:ascii="Arial"/>
          <w:w w:val="105"/>
          <w:sz w:val="16"/>
        </w:rPr>
        <w:t>monitors</w:t>
      </w:r>
      <w:r w:rsidRPr="00EB2BD8">
        <w:rPr>
          <w:rFonts w:ascii="Arial"/>
          <w:spacing w:val="-5"/>
          <w:w w:val="105"/>
          <w:sz w:val="16"/>
        </w:rPr>
        <w:t xml:space="preserve"> </w:t>
      </w:r>
      <w:r w:rsidRPr="00EB2BD8">
        <w:rPr>
          <w:rFonts w:ascii="Arial"/>
          <w:w w:val="105"/>
          <w:sz w:val="16"/>
        </w:rPr>
        <w:t>movement</w:t>
      </w:r>
      <w:r w:rsidRPr="00EB2BD8">
        <w:rPr>
          <w:rFonts w:ascii="Arial"/>
          <w:spacing w:val="-5"/>
          <w:w w:val="105"/>
          <w:sz w:val="16"/>
        </w:rPr>
        <w:t xml:space="preserve"> </w:t>
      </w:r>
      <w:r w:rsidRPr="00EB2BD8">
        <w:rPr>
          <w:rFonts w:ascii="Arial"/>
          <w:w w:val="105"/>
          <w:sz w:val="16"/>
        </w:rPr>
        <w:t>in</w:t>
      </w:r>
      <w:r w:rsidRPr="00EB2BD8">
        <w:rPr>
          <w:rFonts w:ascii="Arial"/>
          <w:spacing w:val="-5"/>
          <w:w w:val="105"/>
          <w:sz w:val="16"/>
        </w:rPr>
        <w:t xml:space="preserve"> </w:t>
      </w:r>
      <w:r w:rsidRPr="00EB2BD8">
        <w:rPr>
          <w:rFonts w:ascii="Arial"/>
          <w:w w:val="105"/>
          <w:sz w:val="16"/>
        </w:rPr>
        <w:t>interest</w:t>
      </w:r>
      <w:r w:rsidRPr="00EB2BD8">
        <w:rPr>
          <w:rFonts w:ascii="Arial"/>
          <w:spacing w:val="-5"/>
          <w:w w:val="105"/>
          <w:sz w:val="16"/>
        </w:rPr>
        <w:t xml:space="preserve"> </w:t>
      </w:r>
      <w:r w:rsidRPr="00EB2BD8">
        <w:rPr>
          <w:rFonts w:ascii="Arial"/>
          <w:w w:val="105"/>
          <w:sz w:val="16"/>
        </w:rPr>
        <w:t>rates</w:t>
      </w:r>
      <w:r w:rsidRPr="00EB2BD8">
        <w:rPr>
          <w:rFonts w:ascii="Arial"/>
          <w:spacing w:val="-5"/>
          <w:w w:val="105"/>
          <w:sz w:val="16"/>
        </w:rPr>
        <w:t xml:space="preserve"> </w:t>
      </w:r>
      <w:r w:rsidRPr="00EB2BD8">
        <w:rPr>
          <w:rFonts w:ascii="Arial"/>
          <w:w w:val="105"/>
          <w:sz w:val="16"/>
        </w:rPr>
        <w:t>on</w:t>
      </w:r>
      <w:r w:rsidRPr="00EB2BD8">
        <w:rPr>
          <w:rFonts w:ascii="Arial"/>
          <w:spacing w:val="-5"/>
          <w:w w:val="105"/>
          <w:sz w:val="16"/>
        </w:rPr>
        <w:t xml:space="preserve"> </w:t>
      </w:r>
      <w:r w:rsidRPr="00EB2BD8">
        <w:rPr>
          <w:rFonts w:ascii="Arial"/>
          <w:w w:val="105"/>
          <w:sz w:val="16"/>
        </w:rPr>
        <w:t>a daily basis.</w:t>
      </w:r>
    </w:p>
    <w:p w14:paraId="762CE4B8" w14:textId="77777777" w:rsidR="00084F36" w:rsidRPr="00EB2BD8" w:rsidRDefault="00084F36">
      <w:pPr>
        <w:pStyle w:val="BodyText"/>
        <w:rPr>
          <w:rFonts w:ascii="Arial"/>
          <w:sz w:val="19"/>
        </w:rPr>
      </w:pPr>
    </w:p>
    <w:p w14:paraId="0625E0A6" w14:textId="05E9A730" w:rsidR="00084F36" w:rsidRPr="00EB2BD8" w:rsidRDefault="00EB2BD8" w:rsidP="00327EC1">
      <w:pPr>
        <w:spacing w:line="290" w:lineRule="auto"/>
        <w:ind w:left="638" w:right="1669"/>
        <w:rPr>
          <w:rFonts w:ascii="Arial" w:hAnsi="Arial"/>
          <w:sz w:val="16"/>
        </w:rPr>
        <w:sectPr w:rsidR="00084F36" w:rsidRPr="00EB2BD8" w:rsidSect="006D75B2">
          <w:type w:val="continuous"/>
          <w:pgSz w:w="11910" w:h="16840"/>
          <w:pgMar w:top="1920" w:right="0" w:bottom="280" w:left="0" w:header="0" w:footer="0" w:gutter="0"/>
          <w:cols w:num="2" w:space="720" w:equalWidth="0">
            <w:col w:w="5301" w:space="40"/>
            <w:col w:w="6569"/>
          </w:cols>
        </w:sectPr>
      </w:pPr>
      <w:r w:rsidRPr="00EB2BD8">
        <w:rPr>
          <w:rFonts w:ascii="Arial" w:hAnsi="Arial"/>
          <w:w w:val="105"/>
          <w:sz w:val="16"/>
        </w:rPr>
        <w:t>The carrying amounts of financial assets and financial liabilities</w:t>
      </w:r>
      <w:r w:rsidRPr="00EB2BD8">
        <w:rPr>
          <w:rFonts w:ascii="Arial" w:hAnsi="Arial"/>
          <w:spacing w:val="-4"/>
          <w:w w:val="105"/>
          <w:sz w:val="16"/>
        </w:rPr>
        <w:t xml:space="preserve"> </w:t>
      </w:r>
      <w:r w:rsidRPr="00EB2BD8">
        <w:rPr>
          <w:rFonts w:ascii="Arial" w:hAnsi="Arial"/>
          <w:w w:val="105"/>
          <w:sz w:val="16"/>
        </w:rPr>
        <w:t>that</w:t>
      </w:r>
      <w:r w:rsidRPr="00EB2BD8">
        <w:rPr>
          <w:rFonts w:ascii="Arial" w:hAnsi="Arial"/>
          <w:spacing w:val="-4"/>
          <w:w w:val="105"/>
          <w:sz w:val="16"/>
        </w:rPr>
        <w:t xml:space="preserve"> </w:t>
      </w:r>
      <w:r w:rsidRPr="00EB2BD8">
        <w:rPr>
          <w:rFonts w:ascii="Arial" w:hAnsi="Arial"/>
          <w:w w:val="105"/>
          <w:sz w:val="16"/>
        </w:rPr>
        <w:t>are</w:t>
      </w:r>
      <w:r w:rsidRPr="00EB2BD8">
        <w:rPr>
          <w:rFonts w:ascii="Arial" w:hAnsi="Arial"/>
          <w:spacing w:val="-4"/>
          <w:w w:val="105"/>
          <w:sz w:val="16"/>
        </w:rPr>
        <w:t xml:space="preserve"> </w:t>
      </w:r>
      <w:r w:rsidRPr="00EB2BD8">
        <w:rPr>
          <w:rFonts w:ascii="Arial" w:hAnsi="Arial"/>
          <w:w w:val="105"/>
          <w:sz w:val="16"/>
        </w:rPr>
        <w:t>exposed</w:t>
      </w:r>
      <w:r w:rsidRPr="00EB2BD8">
        <w:rPr>
          <w:rFonts w:ascii="Arial" w:hAnsi="Arial"/>
          <w:spacing w:val="-4"/>
          <w:w w:val="105"/>
          <w:sz w:val="16"/>
        </w:rPr>
        <w:t xml:space="preserve"> </w:t>
      </w:r>
      <w:r w:rsidRPr="00EB2BD8">
        <w:rPr>
          <w:rFonts w:ascii="Arial" w:hAnsi="Arial"/>
          <w:w w:val="105"/>
          <w:sz w:val="16"/>
        </w:rPr>
        <w:t>to</w:t>
      </w:r>
      <w:r w:rsidRPr="00EB2BD8">
        <w:rPr>
          <w:rFonts w:ascii="Arial" w:hAnsi="Arial"/>
          <w:spacing w:val="-4"/>
          <w:w w:val="105"/>
          <w:sz w:val="16"/>
        </w:rPr>
        <w:t xml:space="preserve"> </w:t>
      </w:r>
      <w:r w:rsidRPr="00EB2BD8">
        <w:rPr>
          <w:rFonts w:ascii="Arial" w:hAnsi="Arial"/>
          <w:w w:val="105"/>
          <w:sz w:val="16"/>
        </w:rPr>
        <w:t>interest</w:t>
      </w:r>
      <w:r w:rsidRPr="00EB2BD8">
        <w:rPr>
          <w:rFonts w:ascii="Arial" w:hAnsi="Arial"/>
          <w:spacing w:val="-4"/>
          <w:w w:val="105"/>
          <w:sz w:val="16"/>
        </w:rPr>
        <w:t xml:space="preserve"> </w:t>
      </w:r>
      <w:r w:rsidRPr="00EB2BD8">
        <w:rPr>
          <w:rFonts w:ascii="Arial" w:hAnsi="Arial"/>
          <w:w w:val="105"/>
          <w:sz w:val="16"/>
        </w:rPr>
        <w:t>rates</w:t>
      </w:r>
      <w:r w:rsidRPr="00EB2BD8">
        <w:rPr>
          <w:rFonts w:ascii="Arial" w:hAnsi="Arial"/>
          <w:spacing w:val="-4"/>
          <w:w w:val="105"/>
          <w:sz w:val="16"/>
        </w:rPr>
        <w:t xml:space="preserve"> </w:t>
      </w:r>
      <w:r w:rsidRPr="00EB2BD8">
        <w:rPr>
          <w:rFonts w:ascii="Arial" w:hAnsi="Arial"/>
          <w:w w:val="105"/>
          <w:sz w:val="16"/>
        </w:rPr>
        <w:t>and</w:t>
      </w:r>
      <w:r w:rsidRPr="00EB2BD8">
        <w:rPr>
          <w:rFonts w:ascii="Arial" w:hAnsi="Arial"/>
          <w:spacing w:val="-4"/>
          <w:w w:val="105"/>
          <w:sz w:val="16"/>
        </w:rPr>
        <w:t xml:space="preserve"> </w:t>
      </w:r>
      <w:r w:rsidRPr="00EB2BD8">
        <w:rPr>
          <w:rFonts w:ascii="Arial" w:hAnsi="Arial"/>
          <w:w w:val="105"/>
          <w:sz w:val="16"/>
        </w:rPr>
        <w:t>the</w:t>
      </w:r>
      <w:r w:rsidRPr="00EB2BD8">
        <w:rPr>
          <w:rFonts w:ascii="Arial" w:hAnsi="Arial"/>
          <w:spacing w:val="-4"/>
          <w:w w:val="105"/>
          <w:sz w:val="16"/>
        </w:rPr>
        <w:t xml:space="preserve"> </w:t>
      </w:r>
      <w:r w:rsidRPr="00EB2BD8">
        <w:rPr>
          <w:rFonts w:ascii="Arial" w:hAnsi="Arial"/>
          <w:w w:val="105"/>
          <w:sz w:val="16"/>
        </w:rPr>
        <w:t>VBA’s sensitivity to interest rate risk are set out in the table th</w:t>
      </w:r>
    </w:p>
    <w:p w14:paraId="11C2DFA3" w14:textId="77777777" w:rsidR="00084F36" w:rsidRPr="00EB2BD8" w:rsidRDefault="00084F36">
      <w:pPr>
        <w:jc w:val="right"/>
        <w:rPr>
          <w:sz w:val="16"/>
        </w:rPr>
        <w:sectPr w:rsidR="00084F36" w:rsidRPr="00EB2BD8" w:rsidSect="006D75B2">
          <w:type w:val="continuous"/>
          <w:pgSz w:w="11910" w:h="16840"/>
          <w:pgMar w:top="1920" w:right="0" w:bottom="280" w:left="0" w:header="0" w:footer="0" w:gutter="0"/>
          <w:cols w:space="720"/>
        </w:sectPr>
      </w:pPr>
    </w:p>
    <w:p w14:paraId="7C0A2842" w14:textId="3365C17E" w:rsidR="00084F36" w:rsidRPr="00EB2BD8" w:rsidRDefault="00084F36" w:rsidP="00A544BE">
      <w:pPr>
        <w:pStyle w:val="Heading6"/>
      </w:pPr>
    </w:p>
    <w:p w14:paraId="2CB77296" w14:textId="77777777" w:rsidR="00084F36" w:rsidRPr="00EB2BD8" w:rsidRDefault="00084F36">
      <w:pPr>
        <w:pStyle w:val="BodyText"/>
        <w:rPr>
          <w:sz w:val="20"/>
        </w:rPr>
      </w:pPr>
    </w:p>
    <w:p w14:paraId="14B3B771" w14:textId="77777777" w:rsidR="00084F36" w:rsidRPr="00EB2BD8" w:rsidRDefault="00084F36">
      <w:pPr>
        <w:pStyle w:val="BodyText"/>
        <w:rPr>
          <w:sz w:val="20"/>
        </w:rPr>
      </w:pPr>
    </w:p>
    <w:p w14:paraId="4D912073" w14:textId="77777777" w:rsidR="00084F36" w:rsidRPr="00EB2BD8" w:rsidRDefault="00084F36">
      <w:pPr>
        <w:pStyle w:val="BodyText"/>
        <w:rPr>
          <w:sz w:val="20"/>
        </w:rPr>
      </w:pPr>
    </w:p>
    <w:p w14:paraId="5396B0AC" w14:textId="77777777" w:rsidR="00084F36" w:rsidRPr="00EB2BD8" w:rsidRDefault="00084F36">
      <w:pPr>
        <w:pStyle w:val="BodyText"/>
        <w:rPr>
          <w:sz w:val="20"/>
        </w:rPr>
      </w:pPr>
    </w:p>
    <w:p w14:paraId="5704889B" w14:textId="77777777" w:rsidR="00084F36" w:rsidRPr="00EB2BD8" w:rsidRDefault="00084F36">
      <w:pPr>
        <w:pStyle w:val="BodyText"/>
        <w:rPr>
          <w:sz w:val="20"/>
        </w:rPr>
      </w:pPr>
    </w:p>
    <w:p w14:paraId="63F97F25" w14:textId="77777777" w:rsidR="00084F36" w:rsidRPr="00EB2BD8" w:rsidRDefault="00084F36">
      <w:pPr>
        <w:pStyle w:val="BodyText"/>
        <w:spacing w:before="1"/>
        <w:rPr>
          <w:sz w:val="22"/>
        </w:rPr>
      </w:pPr>
    </w:p>
    <w:p w14:paraId="758F8A4D" w14:textId="65658D0A" w:rsidR="00084F36" w:rsidRPr="00EB2BD8" w:rsidRDefault="00AA48D7" w:rsidP="00AA48D7">
      <w:pPr>
        <w:pStyle w:val="Heading2"/>
      </w:pPr>
      <w:r>
        <w:t xml:space="preserve">   </w:t>
      </w:r>
      <w:bookmarkStart w:id="345" w:name="_Toc150762647"/>
      <w:r w:rsidR="00EB2BD8" w:rsidRPr="00EB2BD8">
        <w:t>Interest</w:t>
      </w:r>
      <w:r w:rsidR="00EB2BD8" w:rsidRPr="00EB2BD8">
        <w:rPr>
          <w:spacing w:val="12"/>
        </w:rPr>
        <w:t xml:space="preserve"> </w:t>
      </w:r>
      <w:r w:rsidR="00EB2BD8" w:rsidRPr="00EB2BD8">
        <w:t>rate</w:t>
      </w:r>
      <w:r w:rsidR="00EB2BD8" w:rsidRPr="00EB2BD8">
        <w:rPr>
          <w:spacing w:val="13"/>
        </w:rPr>
        <w:t xml:space="preserve"> </w:t>
      </w:r>
      <w:r w:rsidR="00EB2BD8" w:rsidRPr="00EB2BD8">
        <w:t>exposure</w:t>
      </w:r>
      <w:r w:rsidR="00EB2BD8" w:rsidRPr="00EB2BD8">
        <w:rPr>
          <w:spacing w:val="12"/>
        </w:rPr>
        <w:t xml:space="preserve"> </w:t>
      </w:r>
      <w:r w:rsidR="00EB2BD8" w:rsidRPr="00EB2BD8">
        <w:t>of</w:t>
      </w:r>
      <w:r w:rsidR="00EB2BD8" w:rsidRPr="00EB2BD8">
        <w:rPr>
          <w:spacing w:val="13"/>
        </w:rPr>
        <w:t xml:space="preserve"> </w:t>
      </w:r>
      <w:r w:rsidR="00EB2BD8" w:rsidRPr="00EB2BD8">
        <w:t>financial</w:t>
      </w:r>
      <w:r w:rsidR="00EB2BD8" w:rsidRPr="00EB2BD8">
        <w:rPr>
          <w:spacing w:val="12"/>
        </w:rPr>
        <w:t xml:space="preserve"> </w:t>
      </w:r>
      <w:r w:rsidR="00EB2BD8" w:rsidRPr="00EB2BD8">
        <w:rPr>
          <w:spacing w:val="-2"/>
        </w:rPr>
        <w:t>instruments</w:t>
      </w:r>
      <w:bookmarkEnd w:id="345"/>
    </w:p>
    <w:p w14:paraId="1EB9A057" w14:textId="77777777" w:rsidR="00084F36" w:rsidRPr="00EB2BD8" w:rsidRDefault="00084F36">
      <w:pPr>
        <w:pStyle w:val="BodyText"/>
        <w:spacing w:before="3"/>
        <w:rPr>
          <w:rFonts w:ascii="Arial"/>
          <w:b/>
          <w:sz w:val="9"/>
        </w:rPr>
      </w:pPr>
    </w:p>
    <w:p w14:paraId="5248E087" w14:textId="77777777" w:rsidR="00084F36" w:rsidRPr="00EB2BD8" w:rsidRDefault="00EB2BD8">
      <w:pPr>
        <w:spacing w:before="102" w:after="41"/>
        <w:ind w:right="1966"/>
        <w:jc w:val="right"/>
        <w:rPr>
          <w:rFonts w:ascii="Arial" w:hAnsi="Arial"/>
          <w:sz w:val="16"/>
        </w:rPr>
      </w:pPr>
      <w:r w:rsidRPr="00EB2BD8">
        <w:rPr>
          <w:rFonts w:ascii="Arial" w:hAnsi="Arial"/>
          <w:spacing w:val="-2"/>
          <w:w w:val="105"/>
          <w:sz w:val="16"/>
        </w:rPr>
        <w:t>($’000)</w:t>
      </w:r>
    </w:p>
    <w:tbl>
      <w:tblPr>
        <w:tblW w:w="0" w:type="auto"/>
        <w:tblInd w:w="1049" w:type="dxa"/>
        <w:tblLayout w:type="fixed"/>
        <w:tblCellMar>
          <w:left w:w="0" w:type="dxa"/>
          <w:right w:w="0" w:type="dxa"/>
        </w:tblCellMar>
        <w:tblLook w:val="01E0" w:firstRow="1" w:lastRow="1" w:firstColumn="1" w:lastColumn="1" w:noHBand="0" w:noVBand="0"/>
      </w:tblPr>
      <w:tblGrid>
        <w:gridCol w:w="3371"/>
        <w:gridCol w:w="1878"/>
        <w:gridCol w:w="1016"/>
        <w:gridCol w:w="943"/>
        <w:gridCol w:w="967"/>
        <w:gridCol w:w="825"/>
      </w:tblGrid>
      <w:tr w:rsidR="00EB2BD8" w:rsidRPr="00EB2BD8" w14:paraId="014EAA5E" w14:textId="77777777">
        <w:trPr>
          <w:trHeight w:val="1410"/>
        </w:trPr>
        <w:tc>
          <w:tcPr>
            <w:tcW w:w="3371" w:type="dxa"/>
            <w:shd w:val="clear" w:color="auto" w:fill="0070C0"/>
          </w:tcPr>
          <w:p w14:paraId="50DA7A5A" w14:textId="77777777" w:rsidR="00084F36" w:rsidRPr="00EB2BD8" w:rsidRDefault="00084F36">
            <w:pPr>
              <w:pStyle w:val="TableParagraph"/>
              <w:rPr>
                <w:rFonts w:ascii="Arial"/>
                <w:sz w:val="18"/>
              </w:rPr>
            </w:pPr>
          </w:p>
          <w:p w14:paraId="6894AA55" w14:textId="77777777" w:rsidR="00084F36" w:rsidRPr="00EB2BD8" w:rsidRDefault="00084F36">
            <w:pPr>
              <w:pStyle w:val="TableParagraph"/>
              <w:rPr>
                <w:rFonts w:ascii="Arial"/>
                <w:sz w:val="18"/>
              </w:rPr>
            </w:pPr>
          </w:p>
          <w:p w14:paraId="2A575E57" w14:textId="77777777" w:rsidR="00084F36" w:rsidRPr="00EB2BD8" w:rsidRDefault="00084F36">
            <w:pPr>
              <w:pStyle w:val="TableParagraph"/>
              <w:rPr>
                <w:rFonts w:ascii="Arial"/>
                <w:sz w:val="18"/>
              </w:rPr>
            </w:pPr>
          </w:p>
          <w:p w14:paraId="74CAF2D0" w14:textId="77777777" w:rsidR="00084F36" w:rsidRPr="00EB2BD8" w:rsidRDefault="00084F36">
            <w:pPr>
              <w:pStyle w:val="TableParagraph"/>
              <w:rPr>
                <w:rFonts w:ascii="Arial"/>
                <w:sz w:val="18"/>
              </w:rPr>
            </w:pPr>
          </w:p>
          <w:p w14:paraId="28D21325" w14:textId="77777777" w:rsidR="00084F36" w:rsidRPr="00EB2BD8" w:rsidRDefault="00084F36">
            <w:pPr>
              <w:pStyle w:val="TableParagraph"/>
              <w:rPr>
                <w:rFonts w:ascii="Arial"/>
                <w:sz w:val="18"/>
              </w:rPr>
            </w:pPr>
          </w:p>
          <w:p w14:paraId="1E353667" w14:textId="77777777" w:rsidR="00084F36" w:rsidRPr="00EB2BD8" w:rsidRDefault="00084F36">
            <w:pPr>
              <w:pStyle w:val="TableParagraph"/>
              <w:spacing w:before="5"/>
              <w:rPr>
                <w:rFonts w:ascii="Arial"/>
                <w:sz w:val="16"/>
              </w:rPr>
            </w:pPr>
          </w:p>
          <w:p w14:paraId="7A74DD97" w14:textId="77777777" w:rsidR="00084F36" w:rsidRPr="00EB2BD8" w:rsidRDefault="00EB2BD8">
            <w:pPr>
              <w:pStyle w:val="TableParagraph"/>
              <w:spacing w:line="166" w:lineRule="exact"/>
              <w:ind w:left="100"/>
              <w:rPr>
                <w:rFonts w:ascii="Arial"/>
                <w:b/>
                <w:sz w:val="16"/>
              </w:rPr>
            </w:pPr>
            <w:r w:rsidRPr="00EB2BD8">
              <w:rPr>
                <w:rFonts w:ascii="Arial"/>
                <w:b/>
                <w:spacing w:val="-4"/>
                <w:w w:val="105"/>
                <w:sz w:val="16"/>
              </w:rPr>
              <w:t>2023</w:t>
            </w:r>
          </w:p>
        </w:tc>
        <w:tc>
          <w:tcPr>
            <w:tcW w:w="1878" w:type="dxa"/>
            <w:shd w:val="clear" w:color="auto" w:fill="0070C0"/>
          </w:tcPr>
          <w:p w14:paraId="7065D154" w14:textId="77777777" w:rsidR="00084F36" w:rsidRPr="00EB2BD8" w:rsidRDefault="00084F36">
            <w:pPr>
              <w:pStyle w:val="TableParagraph"/>
              <w:rPr>
                <w:rFonts w:ascii="Arial"/>
                <w:sz w:val="18"/>
              </w:rPr>
            </w:pPr>
          </w:p>
          <w:p w14:paraId="0D1C7DE1" w14:textId="77777777" w:rsidR="00084F36" w:rsidRPr="00EB2BD8" w:rsidRDefault="00084F36">
            <w:pPr>
              <w:pStyle w:val="TableParagraph"/>
              <w:rPr>
                <w:rFonts w:ascii="Arial"/>
                <w:sz w:val="18"/>
              </w:rPr>
            </w:pPr>
          </w:p>
          <w:p w14:paraId="1915C5AE" w14:textId="77777777" w:rsidR="00084F36" w:rsidRPr="00EB2BD8" w:rsidRDefault="00EB2BD8">
            <w:pPr>
              <w:pStyle w:val="TableParagraph"/>
              <w:spacing w:before="155" w:line="252" w:lineRule="auto"/>
              <w:ind w:left="1021" w:right="220" w:hanging="123"/>
              <w:jc w:val="right"/>
              <w:rPr>
                <w:rFonts w:ascii="Arial"/>
                <w:b/>
                <w:sz w:val="16"/>
              </w:rPr>
            </w:pPr>
            <w:r w:rsidRPr="00EB2BD8">
              <w:rPr>
                <w:rFonts w:ascii="Arial"/>
                <w:b/>
                <w:spacing w:val="-2"/>
                <w:w w:val="105"/>
                <w:sz w:val="16"/>
              </w:rPr>
              <w:t xml:space="preserve">Weighted average interest </w:t>
            </w:r>
            <w:r w:rsidRPr="00EB2BD8">
              <w:rPr>
                <w:rFonts w:ascii="Arial"/>
                <w:b/>
                <w:w w:val="105"/>
                <w:sz w:val="16"/>
              </w:rPr>
              <w:t>rate %</w:t>
            </w:r>
          </w:p>
        </w:tc>
        <w:tc>
          <w:tcPr>
            <w:tcW w:w="2926" w:type="dxa"/>
            <w:gridSpan w:val="3"/>
            <w:shd w:val="clear" w:color="auto" w:fill="0070C0"/>
          </w:tcPr>
          <w:p w14:paraId="734D6CBD" w14:textId="77777777" w:rsidR="00084F36" w:rsidRPr="00EB2BD8" w:rsidRDefault="00EB2BD8">
            <w:pPr>
              <w:pStyle w:val="TableParagraph"/>
              <w:spacing w:before="153"/>
              <w:ind w:left="420"/>
              <w:rPr>
                <w:rFonts w:ascii="Arial"/>
                <w:b/>
                <w:sz w:val="16"/>
              </w:rPr>
            </w:pPr>
            <w:r w:rsidRPr="00EB2BD8">
              <w:rPr>
                <w:rFonts w:ascii="Arial"/>
                <w:b/>
                <w:w w:val="105"/>
                <w:sz w:val="16"/>
              </w:rPr>
              <w:t>Interest</w:t>
            </w:r>
            <w:r w:rsidRPr="00EB2BD8">
              <w:rPr>
                <w:rFonts w:ascii="Arial"/>
                <w:b/>
                <w:spacing w:val="-8"/>
                <w:w w:val="105"/>
                <w:sz w:val="16"/>
              </w:rPr>
              <w:t xml:space="preserve"> </w:t>
            </w:r>
            <w:r w:rsidRPr="00EB2BD8">
              <w:rPr>
                <w:rFonts w:ascii="Arial"/>
                <w:b/>
                <w:w w:val="105"/>
                <w:sz w:val="16"/>
              </w:rPr>
              <w:t>rate</w:t>
            </w:r>
            <w:r w:rsidRPr="00EB2BD8">
              <w:rPr>
                <w:rFonts w:ascii="Arial"/>
                <w:b/>
                <w:spacing w:val="-7"/>
                <w:w w:val="105"/>
                <w:sz w:val="16"/>
              </w:rPr>
              <w:t xml:space="preserve"> </w:t>
            </w:r>
            <w:r w:rsidRPr="00EB2BD8">
              <w:rPr>
                <w:rFonts w:ascii="Arial"/>
                <w:b/>
                <w:spacing w:val="-2"/>
                <w:w w:val="105"/>
                <w:sz w:val="16"/>
              </w:rPr>
              <w:t>exposure</w:t>
            </w:r>
          </w:p>
          <w:p w14:paraId="7C518844" w14:textId="77777777" w:rsidR="00084F36" w:rsidRPr="00EB2BD8" w:rsidRDefault="00084F36">
            <w:pPr>
              <w:pStyle w:val="TableParagraph"/>
              <w:rPr>
                <w:rFonts w:ascii="Arial"/>
                <w:sz w:val="18"/>
              </w:rPr>
            </w:pPr>
          </w:p>
          <w:p w14:paraId="5EE59169" w14:textId="77777777" w:rsidR="00084F36" w:rsidRPr="00EB2BD8" w:rsidRDefault="00084F36">
            <w:pPr>
              <w:pStyle w:val="TableParagraph"/>
              <w:spacing w:before="10"/>
              <w:rPr>
                <w:rFonts w:ascii="Arial"/>
                <w:sz w:val="18"/>
              </w:rPr>
            </w:pPr>
          </w:p>
          <w:p w14:paraId="28085AF6" w14:textId="77777777" w:rsidR="00084F36" w:rsidRPr="00EB2BD8" w:rsidRDefault="00EB2BD8">
            <w:pPr>
              <w:pStyle w:val="TableParagraph"/>
              <w:tabs>
                <w:tab w:val="left" w:pos="1322"/>
                <w:tab w:val="left" w:pos="2322"/>
              </w:tabs>
              <w:spacing w:line="252" w:lineRule="auto"/>
              <w:ind w:left="44" w:right="208" w:firstLine="1230"/>
              <w:jc w:val="both"/>
              <w:rPr>
                <w:rFonts w:ascii="Arial"/>
                <w:b/>
                <w:sz w:val="16"/>
              </w:rPr>
            </w:pPr>
            <w:r w:rsidRPr="00EB2BD8">
              <w:rPr>
                <w:rFonts w:ascii="Arial"/>
                <w:b/>
                <w:w w:val="105"/>
                <w:sz w:val="16"/>
              </w:rPr>
              <w:t>Fixed Variable Carrying interest</w:t>
            </w:r>
            <w:r w:rsidRPr="00EB2BD8">
              <w:rPr>
                <w:rFonts w:ascii="Arial"/>
                <w:b/>
                <w:spacing w:val="40"/>
                <w:w w:val="105"/>
                <w:sz w:val="16"/>
              </w:rPr>
              <w:t xml:space="preserve"> </w:t>
            </w:r>
            <w:r w:rsidRPr="00EB2BD8">
              <w:rPr>
                <w:rFonts w:ascii="Arial"/>
                <w:b/>
                <w:w w:val="105"/>
                <w:sz w:val="16"/>
              </w:rPr>
              <w:t>interest</w:t>
            </w:r>
            <w:r w:rsidRPr="00EB2BD8">
              <w:rPr>
                <w:rFonts w:ascii="Arial"/>
                <w:b/>
                <w:spacing w:val="40"/>
                <w:w w:val="105"/>
                <w:sz w:val="16"/>
              </w:rPr>
              <w:t xml:space="preserve"> </w:t>
            </w:r>
            <w:r w:rsidRPr="00EB2BD8">
              <w:rPr>
                <w:rFonts w:ascii="Arial"/>
                <w:b/>
                <w:spacing w:val="-2"/>
                <w:w w:val="105"/>
                <w:sz w:val="16"/>
              </w:rPr>
              <w:t>amount</w:t>
            </w:r>
            <w:r w:rsidRPr="00EB2BD8">
              <w:rPr>
                <w:rFonts w:ascii="Arial"/>
                <w:b/>
                <w:sz w:val="16"/>
              </w:rPr>
              <w:tab/>
            </w:r>
            <w:r w:rsidRPr="00EB2BD8">
              <w:rPr>
                <w:rFonts w:ascii="Arial"/>
                <w:b/>
                <w:spacing w:val="-4"/>
                <w:w w:val="105"/>
                <w:sz w:val="16"/>
              </w:rPr>
              <w:t>rate</w:t>
            </w:r>
            <w:r w:rsidRPr="00EB2BD8">
              <w:rPr>
                <w:rFonts w:ascii="Arial"/>
                <w:b/>
                <w:sz w:val="16"/>
              </w:rPr>
              <w:tab/>
            </w:r>
            <w:r w:rsidRPr="00EB2BD8">
              <w:rPr>
                <w:rFonts w:ascii="Arial"/>
                <w:b/>
                <w:spacing w:val="-4"/>
                <w:w w:val="105"/>
                <w:sz w:val="16"/>
              </w:rPr>
              <w:t>rate</w:t>
            </w:r>
          </w:p>
        </w:tc>
        <w:tc>
          <w:tcPr>
            <w:tcW w:w="825" w:type="dxa"/>
            <w:shd w:val="clear" w:color="auto" w:fill="0070C0"/>
          </w:tcPr>
          <w:p w14:paraId="639665D5" w14:textId="77777777" w:rsidR="00084F36" w:rsidRPr="00EB2BD8" w:rsidRDefault="00084F36">
            <w:pPr>
              <w:pStyle w:val="TableParagraph"/>
              <w:rPr>
                <w:rFonts w:ascii="Arial"/>
                <w:sz w:val="18"/>
              </w:rPr>
            </w:pPr>
          </w:p>
          <w:p w14:paraId="1BCD8DBF" w14:textId="77777777" w:rsidR="00084F36" w:rsidRPr="00EB2BD8" w:rsidRDefault="00084F36">
            <w:pPr>
              <w:pStyle w:val="TableParagraph"/>
              <w:rPr>
                <w:rFonts w:ascii="Arial"/>
                <w:sz w:val="18"/>
              </w:rPr>
            </w:pPr>
          </w:p>
          <w:p w14:paraId="37C3AB68" w14:textId="77777777" w:rsidR="00084F36" w:rsidRPr="00EB2BD8" w:rsidRDefault="00084F36">
            <w:pPr>
              <w:pStyle w:val="TableParagraph"/>
              <w:rPr>
                <w:rFonts w:ascii="Arial"/>
                <w:sz w:val="18"/>
              </w:rPr>
            </w:pPr>
          </w:p>
          <w:p w14:paraId="68939882" w14:textId="77777777" w:rsidR="00084F36" w:rsidRPr="00EB2BD8" w:rsidRDefault="00EB2BD8">
            <w:pPr>
              <w:pStyle w:val="TableParagraph"/>
              <w:spacing w:before="140" w:line="252" w:lineRule="auto"/>
              <w:ind w:left="114" w:right="101" w:firstLine="223"/>
              <w:jc w:val="both"/>
              <w:rPr>
                <w:rFonts w:ascii="Arial"/>
                <w:b/>
                <w:sz w:val="16"/>
              </w:rPr>
            </w:pPr>
            <w:r w:rsidRPr="00EB2BD8">
              <w:rPr>
                <w:rFonts w:ascii="Arial"/>
                <w:b/>
                <w:spacing w:val="-4"/>
                <w:w w:val="105"/>
                <w:sz w:val="16"/>
              </w:rPr>
              <w:t xml:space="preserve">Non- </w:t>
            </w:r>
            <w:r w:rsidRPr="00EB2BD8">
              <w:rPr>
                <w:rFonts w:ascii="Arial"/>
                <w:b/>
                <w:spacing w:val="-2"/>
                <w:w w:val="105"/>
                <w:sz w:val="16"/>
              </w:rPr>
              <w:t>interest bearing</w:t>
            </w:r>
          </w:p>
        </w:tc>
      </w:tr>
      <w:tr w:rsidR="00EB2BD8" w:rsidRPr="00EB2BD8" w14:paraId="1F696851" w14:textId="77777777">
        <w:trPr>
          <w:trHeight w:val="950"/>
        </w:trPr>
        <w:tc>
          <w:tcPr>
            <w:tcW w:w="3371" w:type="dxa"/>
            <w:tcBorders>
              <w:bottom w:val="single" w:sz="12" w:space="0" w:color="000000"/>
            </w:tcBorders>
            <w:shd w:val="clear" w:color="auto" w:fill="DEEAF6"/>
          </w:tcPr>
          <w:p w14:paraId="41EA8448" w14:textId="77777777" w:rsidR="00084F36" w:rsidRPr="00EB2BD8" w:rsidRDefault="00EB2BD8">
            <w:pPr>
              <w:pStyle w:val="TableParagraph"/>
              <w:spacing w:before="69"/>
              <w:ind w:left="100"/>
              <w:rPr>
                <w:rFonts w:ascii="Arial"/>
                <w:b/>
                <w:sz w:val="16"/>
              </w:rPr>
            </w:pPr>
            <w:r w:rsidRPr="00EB2BD8">
              <w:rPr>
                <w:rFonts w:ascii="Arial"/>
                <w:b/>
                <w:w w:val="105"/>
                <w:sz w:val="16"/>
              </w:rPr>
              <w:t>Financial</w:t>
            </w:r>
            <w:r w:rsidRPr="00EB2BD8">
              <w:rPr>
                <w:rFonts w:ascii="Arial"/>
                <w:b/>
                <w:spacing w:val="-11"/>
                <w:w w:val="105"/>
                <w:sz w:val="16"/>
              </w:rPr>
              <w:t xml:space="preserve"> </w:t>
            </w:r>
            <w:r w:rsidRPr="00EB2BD8">
              <w:rPr>
                <w:rFonts w:ascii="Arial"/>
                <w:b/>
                <w:spacing w:val="-2"/>
                <w:w w:val="105"/>
                <w:sz w:val="16"/>
              </w:rPr>
              <w:t>assets</w:t>
            </w:r>
          </w:p>
          <w:p w14:paraId="5CE19778" w14:textId="77777777" w:rsidR="00084F36" w:rsidRPr="00EB2BD8" w:rsidRDefault="00EB2BD8">
            <w:pPr>
              <w:pStyle w:val="TableParagraph"/>
              <w:spacing w:before="7" w:line="310" w:lineRule="atLeast"/>
              <w:ind w:left="100" w:right="895"/>
              <w:rPr>
                <w:rFonts w:ascii="Arial"/>
                <w:sz w:val="11"/>
              </w:rPr>
            </w:pPr>
            <w:r w:rsidRPr="00EB2BD8">
              <w:rPr>
                <w:rFonts w:ascii="Arial"/>
                <w:w w:val="105"/>
                <w:sz w:val="16"/>
              </w:rPr>
              <w:t>Cash</w:t>
            </w:r>
            <w:r w:rsidRPr="00EB2BD8">
              <w:rPr>
                <w:rFonts w:ascii="Arial"/>
                <w:spacing w:val="-12"/>
                <w:w w:val="105"/>
                <w:sz w:val="16"/>
              </w:rPr>
              <w:t xml:space="preserve"> </w:t>
            </w:r>
            <w:r w:rsidRPr="00EB2BD8">
              <w:rPr>
                <w:rFonts w:ascii="Arial"/>
                <w:w w:val="105"/>
                <w:sz w:val="16"/>
              </w:rPr>
              <w:t>and</w:t>
            </w:r>
            <w:r w:rsidRPr="00EB2BD8">
              <w:rPr>
                <w:rFonts w:ascii="Arial"/>
                <w:spacing w:val="-12"/>
                <w:w w:val="105"/>
                <w:sz w:val="16"/>
              </w:rPr>
              <w:t xml:space="preserve"> </w:t>
            </w:r>
            <w:r w:rsidRPr="00EB2BD8">
              <w:rPr>
                <w:rFonts w:ascii="Arial"/>
                <w:w w:val="105"/>
                <w:sz w:val="16"/>
              </w:rPr>
              <w:t xml:space="preserve">deposits </w:t>
            </w:r>
            <w:r w:rsidRPr="00EB2BD8">
              <w:rPr>
                <w:rFonts w:ascii="Arial"/>
                <w:spacing w:val="-2"/>
                <w:w w:val="105"/>
                <w:sz w:val="16"/>
              </w:rPr>
              <w:t>Receivables</w:t>
            </w:r>
            <w:r w:rsidRPr="00EB2BD8">
              <w:rPr>
                <w:rFonts w:ascii="Arial"/>
                <w:spacing w:val="-2"/>
                <w:w w:val="105"/>
                <w:position w:val="6"/>
                <w:sz w:val="11"/>
              </w:rPr>
              <w:t>(a)</w:t>
            </w:r>
          </w:p>
        </w:tc>
        <w:tc>
          <w:tcPr>
            <w:tcW w:w="1878" w:type="dxa"/>
            <w:tcBorders>
              <w:bottom w:val="single" w:sz="12" w:space="0" w:color="000000"/>
            </w:tcBorders>
            <w:shd w:val="clear" w:color="auto" w:fill="DEEAF6"/>
          </w:tcPr>
          <w:p w14:paraId="557CCFAD" w14:textId="77777777" w:rsidR="00084F36" w:rsidRPr="00EB2BD8" w:rsidRDefault="00084F36">
            <w:pPr>
              <w:pStyle w:val="TableParagraph"/>
              <w:rPr>
                <w:rFonts w:ascii="Arial"/>
                <w:sz w:val="18"/>
              </w:rPr>
            </w:pPr>
          </w:p>
          <w:p w14:paraId="30380E12" w14:textId="77777777" w:rsidR="00084F36" w:rsidRPr="00EB2BD8" w:rsidRDefault="00084F36">
            <w:pPr>
              <w:pStyle w:val="TableParagraph"/>
              <w:spacing w:before="6"/>
              <w:rPr>
                <w:rFonts w:ascii="Arial"/>
                <w:sz w:val="15"/>
              </w:rPr>
            </w:pPr>
          </w:p>
          <w:p w14:paraId="7180836E" w14:textId="77777777" w:rsidR="00084F36" w:rsidRPr="00EB2BD8" w:rsidRDefault="00EB2BD8">
            <w:pPr>
              <w:pStyle w:val="TableParagraph"/>
              <w:spacing w:before="1"/>
              <w:ind w:right="221"/>
              <w:jc w:val="right"/>
              <w:rPr>
                <w:rFonts w:ascii="Arial"/>
                <w:sz w:val="16"/>
              </w:rPr>
            </w:pPr>
            <w:r w:rsidRPr="00EB2BD8">
              <w:rPr>
                <w:rFonts w:ascii="Arial"/>
                <w:spacing w:val="-2"/>
                <w:w w:val="105"/>
                <w:sz w:val="16"/>
              </w:rPr>
              <w:t>2.86%</w:t>
            </w:r>
          </w:p>
        </w:tc>
        <w:tc>
          <w:tcPr>
            <w:tcW w:w="1016" w:type="dxa"/>
            <w:tcBorders>
              <w:bottom w:val="single" w:sz="12" w:space="0" w:color="000000"/>
            </w:tcBorders>
            <w:shd w:val="clear" w:color="auto" w:fill="DEEAF6"/>
          </w:tcPr>
          <w:p w14:paraId="6A3F0A52" w14:textId="77777777" w:rsidR="00084F36" w:rsidRPr="00EB2BD8" w:rsidRDefault="00084F36">
            <w:pPr>
              <w:pStyle w:val="TableParagraph"/>
              <w:rPr>
                <w:rFonts w:ascii="Arial"/>
                <w:sz w:val="18"/>
              </w:rPr>
            </w:pPr>
          </w:p>
          <w:p w14:paraId="0F7BD345" w14:textId="77777777" w:rsidR="00084F36" w:rsidRPr="00EB2BD8" w:rsidRDefault="00084F36">
            <w:pPr>
              <w:pStyle w:val="TableParagraph"/>
              <w:spacing w:before="6"/>
              <w:rPr>
                <w:rFonts w:ascii="Arial"/>
                <w:sz w:val="15"/>
              </w:rPr>
            </w:pPr>
          </w:p>
          <w:p w14:paraId="1C64ABA0" w14:textId="77777777" w:rsidR="00084F36" w:rsidRPr="00EB2BD8" w:rsidRDefault="00EB2BD8">
            <w:pPr>
              <w:pStyle w:val="TableParagraph"/>
              <w:spacing w:before="1"/>
              <w:ind w:right="278"/>
              <w:jc w:val="right"/>
              <w:rPr>
                <w:rFonts w:ascii="Arial"/>
                <w:sz w:val="16"/>
              </w:rPr>
            </w:pPr>
            <w:r w:rsidRPr="00EB2BD8">
              <w:rPr>
                <w:rFonts w:ascii="Arial"/>
                <w:spacing w:val="-2"/>
                <w:w w:val="105"/>
                <w:sz w:val="16"/>
              </w:rPr>
              <w:t>59,653</w:t>
            </w:r>
          </w:p>
          <w:p w14:paraId="5D18DD62" w14:textId="77777777" w:rsidR="00084F36" w:rsidRPr="00EB2BD8" w:rsidRDefault="00EB2BD8">
            <w:pPr>
              <w:pStyle w:val="TableParagraph"/>
              <w:spacing w:before="133"/>
              <w:ind w:right="279"/>
              <w:jc w:val="right"/>
              <w:rPr>
                <w:rFonts w:ascii="Arial"/>
                <w:sz w:val="16"/>
              </w:rPr>
            </w:pPr>
            <w:r w:rsidRPr="00EB2BD8">
              <w:rPr>
                <w:rFonts w:ascii="Arial"/>
                <w:spacing w:val="-5"/>
                <w:w w:val="105"/>
                <w:sz w:val="16"/>
              </w:rPr>
              <w:t>142</w:t>
            </w:r>
          </w:p>
        </w:tc>
        <w:tc>
          <w:tcPr>
            <w:tcW w:w="943" w:type="dxa"/>
            <w:tcBorders>
              <w:bottom w:val="single" w:sz="12" w:space="0" w:color="000000"/>
            </w:tcBorders>
            <w:shd w:val="clear" w:color="auto" w:fill="DEEAF6"/>
          </w:tcPr>
          <w:p w14:paraId="1DF1E4A7" w14:textId="77777777" w:rsidR="00084F36" w:rsidRPr="00EB2BD8" w:rsidRDefault="00084F36">
            <w:pPr>
              <w:pStyle w:val="TableParagraph"/>
              <w:rPr>
                <w:rFonts w:ascii="Arial"/>
                <w:sz w:val="18"/>
              </w:rPr>
            </w:pPr>
          </w:p>
          <w:p w14:paraId="63DD8B4B" w14:textId="77777777" w:rsidR="00084F36" w:rsidRPr="00EB2BD8" w:rsidRDefault="00084F36">
            <w:pPr>
              <w:pStyle w:val="TableParagraph"/>
              <w:spacing w:before="6"/>
              <w:rPr>
                <w:rFonts w:ascii="Arial"/>
                <w:sz w:val="15"/>
              </w:rPr>
            </w:pPr>
          </w:p>
          <w:p w14:paraId="4535B807" w14:textId="77777777" w:rsidR="00084F36" w:rsidRPr="00EB2BD8" w:rsidRDefault="00EB2BD8">
            <w:pPr>
              <w:pStyle w:val="TableParagraph"/>
              <w:spacing w:before="1"/>
              <w:ind w:right="242"/>
              <w:jc w:val="right"/>
              <w:rPr>
                <w:rFonts w:ascii="Arial"/>
                <w:sz w:val="16"/>
              </w:rPr>
            </w:pPr>
            <w:r w:rsidRPr="00EB2BD8">
              <w:rPr>
                <w:rFonts w:ascii="Arial"/>
                <w:w w:val="104"/>
                <w:sz w:val="16"/>
              </w:rPr>
              <w:t>-</w:t>
            </w:r>
          </w:p>
          <w:p w14:paraId="38E1C115" w14:textId="77777777" w:rsidR="00084F36" w:rsidRPr="00EB2BD8" w:rsidRDefault="00EB2BD8">
            <w:pPr>
              <w:pStyle w:val="TableParagraph"/>
              <w:spacing w:before="133"/>
              <w:ind w:right="242"/>
              <w:jc w:val="right"/>
              <w:rPr>
                <w:rFonts w:ascii="Arial"/>
                <w:sz w:val="16"/>
              </w:rPr>
            </w:pPr>
            <w:r w:rsidRPr="00EB2BD8">
              <w:rPr>
                <w:rFonts w:ascii="Arial"/>
                <w:w w:val="104"/>
                <w:sz w:val="16"/>
              </w:rPr>
              <w:t>-</w:t>
            </w:r>
          </w:p>
        </w:tc>
        <w:tc>
          <w:tcPr>
            <w:tcW w:w="967" w:type="dxa"/>
            <w:tcBorders>
              <w:bottom w:val="single" w:sz="12" w:space="0" w:color="000000"/>
            </w:tcBorders>
            <w:shd w:val="clear" w:color="auto" w:fill="DEEAF6"/>
          </w:tcPr>
          <w:p w14:paraId="47B9029E" w14:textId="77777777" w:rsidR="00084F36" w:rsidRPr="00EB2BD8" w:rsidRDefault="00084F36">
            <w:pPr>
              <w:pStyle w:val="TableParagraph"/>
              <w:rPr>
                <w:rFonts w:ascii="Arial"/>
                <w:sz w:val="18"/>
              </w:rPr>
            </w:pPr>
          </w:p>
          <w:p w14:paraId="1FA645E3" w14:textId="77777777" w:rsidR="00084F36" w:rsidRPr="00EB2BD8" w:rsidRDefault="00084F36">
            <w:pPr>
              <w:pStyle w:val="TableParagraph"/>
              <w:spacing w:before="6"/>
              <w:rPr>
                <w:rFonts w:ascii="Arial"/>
                <w:sz w:val="15"/>
              </w:rPr>
            </w:pPr>
          </w:p>
          <w:p w14:paraId="48D3CAD0" w14:textId="77777777" w:rsidR="00084F36" w:rsidRPr="00EB2BD8" w:rsidRDefault="00EB2BD8">
            <w:pPr>
              <w:pStyle w:val="TableParagraph"/>
              <w:spacing w:before="1"/>
              <w:ind w:right="209"/>
              <w:jc w:val="right"/>
              <w:rPr>
                <w:rFonts w:ascii="Arial"/>
                <w:sz w:val="16"/>
              </w:rPr>
            </w:pPr>
            <w:r w:rsidRPr="00EB2BD8">
              <w:rPr>
                <w:rFonts w:ascii="Arial"/>
                <w:spacing w:val="-2"/>
                <w:w w:val="105"/>
                <w:sz w:val="16"/>
              </w:rPr>
              <w:t>59,653</w:t>
            </w:r>
          </w:p>
          <w:p w14:paraId="001873FE" w14:textId="77777777" w:rsidR="00084F36" w:rsidRPr="00EB2BD8" w:rsidRDefault="00EB2BD8">
            <w:pPr>
              <w:pStyle w:val="TableParagraph"/>
              <w:spacing w:before="133"/>
              <w:ind w:right="209"/>
              <w:jc w:val="right"/>
              <w:rPr>
                <w:rFonts w:ascii="Arial"/>
                <w:sz w:val="16"/>
              </w:rPr>
            </w:pPr>
            <w:r w:rsidRPr="00EB2BD8">
              <w:rPr>
                <w:rFonts w:ascii="Arial"/>
                <w:w w:val="104"/>
                <w:sz w:val="16"/>
              </w:rPr>
              <w:t>-</w:t>
            </w:r>
          </w:p>
        </w:tc>
        <w:tc>
          <w:tcPr>
            <w:tcW w:w="825" w:type="dxa"/>
            <w:tcBorders>
              <w:bottom w:val="single" w:sz="12" w:space="0" w:color="000000"/>
            </w:tcBorders>
            <w:shd w:val="clear" w:color="auto" w:fill="DEEAF6"/>
          </w:tcPr>
          <w:p w14:paraId="4526965D" w14:textId="77777777" w:rsidR="00084F36" w:rsidRPr="00EB2BD8" w:rsidRDefault="00084F36">
            <w:pPr>
              <w:pStyle w:val="TableParagraph"/>
              <w:spacing w:before="7"/>
              <w:rPr>
                <w:rFonts w:ascii="Arial"/>
              </w:rPr>
            </w:pPr>
          </w:p>
          <w:p w14:paraId="74634560" w14:textId="77777777" w:rsidR="00084F36" w:rsidRPr="00EB2BD8" w:rsidRDefault="00EB2BD8">
            <w:pPr>
              <w:pStyle w:val="TableParagraph"/>
              <w:spacing w:line="310" w:lineRule="atLeast"/>
              <w:ind w:left="441" w:right="95" w:firstLine="223"/>
              <w:rPr>
                <w:rFonts w:ascii="Arial"/>
                <w:sz w:val="16"/>
              </w:rPr>
            </w:pPr>
            <w:r w:rsidRPr="00EB2BD8">
              <w:rPr>
                <w:rFonts w:ascii="Arial"/>
                <w:spacing w:val="-10"/>
                <w:w w:val="105"/>
                <w:sz w:val="16"/>
              </w:rPr>
              <w:t>-</w:t>
            </w:r>
            <w:r w:rsidRPr="00EB2BD8">
              <w:rPr>
                <w:rFonts w:ascii="Arial"/>
                <w:spacing w:val="-5"/>
                <w:w w:val="105"/>
                <w:sz w:val="16"/>
              </w:rPr>
              <w:t xml:space="preserve"> 142</w:t>
            </w:r>
          </w:p>
        </w:tc>
      </w:tr>
      <w:tr w:rsidR="00EB2BD8" w:rsidRPr="00EB2BD8" w14:paraId="23F5526E" w14:textId="77777777">
        <w:trPr>
          <w:trHeight w:val="288"/>
        </w:trPr>
        <w:tc>
          <w:tcPr>
            <w:tcW w:w="3371" w:type="dxa"/>
            <w:tcBorders>
              <w:top w:val="single" w:sz="12" w:space="0" w:color="000000"/>
              <w:bottom w:val="single" w:sz="12" w:space="0" w:color="000000"/>
            </w:tcBorders>
            <w:shd w:val="clear" w:color="auto" w:fill="DEEAF6"/>
          </w:tcPr>
          <w:p w14:paraId="29D3A965" w14:textId="77777777" w:rsidR="00084F36" w:rsidRPr="00EB2BD8" w:rsidRDefault="00EB2BD8">
            <w:pPr>
              <w:pStyle w:val="TableParagraph"/>
              <w:spacing w:before="54"/>
              <w:ind w:left="100"/>
              <w:rPr>
                <w:rFonts w:ascii="Arial"/>
                <w:b/>
                <w:sz w:val="16"/>
              </w:rPr>
            </w:pPr>
            <w:r w:rsidRPr="00EB2BD8">
              <w:rPr>
                <w:rFonts w:ascii="Arial"/>
                <w:b/>
                <w:w w:val="105"/>
                <w:sz w:val="16"/>
              </w:rPr>
              <w:t>Total</w:t>
            </w:r>
            <w:r w:rsidRPr="00EB2BD8">
              <w:rPr>
                <w:rFonts w:ascii="Arial"/>
                <w:b/>
                <w:spacing w:val="-8"/>
                <w:w w:val="105"/>
                <w:sz w:val="16"/>
              </w:rPr>
              <w:t xml:space="preserve"> </w:t>
            </w:r>
            <w:r w:rsidRPr="00EB2BD8">
              <w:rPr>
                <w:rFonts w:ascii="Arial"/>
                <w:b/>
                <w:w w:val="105"/>
                <w:sz w:val="16"/>
              </w:rPr>
              <w:t>financial</w:t>
            </w:r>
            <w:r w:rsidRPr="00EB2BD8">
              <w:rPr>
                <w:rFonts w:ascii="Arial"/>
                <w:b/>
                <w:spacing w:val="-9"/>
                <w:w w:val="105"/>
                <w:sz w:val="16"/>
              </w:rPr>
              <w:t xml:space="preserve"> </w:t>
            </w:r>
            <w:r w:rsidRPr="00EB2BD8">
              <w:rPr>
                <w:rFonts w:ascii="Arial"/>
                <w:b/>
                <w:spacing w:val="-2"/>
                <w:w w:val="105"/>
                <w:sz w:val="16"/>
              </w:rPr>
              <w:t>assets</w:t>
            </w:r>
          </w:p>
        </w:tc>
        <w:tc>
          <w:tcPr>
            <w:tcW w:w="1878" w:type="dxa"/>
            <w:tcBorders>
              <w:top w:val="single" w:sz="12" w:space="0" w:color="000000"/>
              <w:bottom w:val="single" w:sz="12" w:space="0" w:color="000000"/>
            </w:tcBorders>
            <w:shd w:val="clear" w:color="auto" w:fill="DEEAF6"/>
          </w:tcPr>
          <w:p w14:paraId="3816437C" w14:textId="77777777" w:rsidR="00084F36" w:rsidRPr="00EB2BD8" w:rsidRDefault="00084F36">
            <w:pPr>
              <w:pStyle w:val="TableParagraph"/>
              <w:rPr>
                <w:rFonts w:ascii="Times New Roman"/>
                <w:sz w:val="16"/>
              </w:rPr>
            </w:pPr>
          </w:p>
        </w:tc>
        <w:tc>
          <w:tcPr>
            <w:tcW w:w="1016" w:type="dxa"/>
            <w:tcBorders>
              <w:top w:val="single" w:sz="12" w:space="0" w:color="000000"/>
              <w:bottom w:val="single" w:sz="12" w:space="0" w:color="000000"/>
            </w:tcBorders>
            <w:shd w:val="clear" w:color="auto" w:fill="DEEAF6"/>
          </w:tcPr>
          <w:p w14:paraId="4927C3F0" w14:textId="77777777" w:rsidR="00084F36" w:rsidRPr="00EB2BD8" w:rsidRDefault="00EB2BD8">
            <w:pPr>
              <w:pStyle w:val="TableParagraph"/>
              <w:spacing w:before="54"/>
              <w:ind w:right="278"/>
              <w:jc w:val="right"/>
              <w:rPr>
                <w:rFonts w:ascii="Arial"/>
                <w:b/>
                <w:sz w:val="16"/>
              </w:rPr>
            </w:pPr>
            <w:r w:rsidRPr="00EB2BD8">
              <w:rPr>
                <w:rFonts w:ascii="Arial"/>
                <w:b/>
                <w:spacing w:val="-2"/>
                <w:w w:val="105"/>
                <w:sz w:val="16"/>
              </w:rPr>
              <w:t>59,795</w:t>
            </w:r>
          </w:p>
        </w:tc>
        <w:tc>
          <w:tcPr>
            <w:tcW w:w="943" w:type="dxa"/>
            <w:tcBorders>
              <w:top w:val="single" w:sz="12" w:space="0" w:color="000000"/>
              <w:bottom w:val="single" w:sz="12" w:space="0" w:color="000000"/>
            </w:tcBorders>
            <w:shd w:val="clear" w:color="auto" w:fill="DEEAF6"/>
          </w:tcPr>
          <w:p w14:paraId="1594AA81" w14:textId="77777777" w:rsidR="00084F36" w:rsidRPr="00EB2BD8" w:rsidRDefault="00EB2BD8">
            <w:pPr>
              <w:pStyle w:val="TableParagraph"/>
              <w:spacing w:before="54"/>
              <w:ind w:right="242"/>
              <w:jc w:val="right"/>
              <w:rPr>
                <w:rFonts w:ascii="Arial"/>
                <w:b/>
                <w:sz w:val="16"/>
              </w:rPr>
            </w:pPr>
            <w:r w:rsidRPr="00EB2BD8">
              <w:rPr>
                <w:rFonts w:ascii="Arial"/>
                <w:b/>
                <w:w w:val="104"/>
                <w:sz w:val="16"/>
              </w:rPr>
              <w:t>-</w:t>
            </w:r>
          </w:p>
        </w:tc>
        <w:tc>
          <w:tcPr>
            <w:tcW w:w="967" w:type="dxa"/>
            <w:tcBorders>
              <w:top w:val="single" w:sz="12" w:space="0" w:color="000000"/>
              <w:bottom w:val="single" w:sz="12" w:space="0" w:color="000000"/>
            </w:tcBorders>
            <w:shd w:val="clear" w:color="auto" w:fill="DEEAF6"/>
          </w:tcPr>
          <w:p w14:paraId="035DC1F3" w14:textId="77777777" w:rsidR="00084F36" w:rsidRPr="00EB2BD8" w:rsidRDefault="00EB2BD8">
            <w:pPr>
              <w:pStyle w:val="TableParagraph"/>
              <w:spacing w:before="54"/>
              <w:ind w:right="209"/>
              <w:jc w:val="right"/>
              <w:rPr>
                <w:rFonts w:ascii="Arial"/>
                <w:b/>
                <w:sz w:val="16"/>
              </w:rPr>
            </w:pPr>
            <w:r w:rsidRPr="00EB2BD8">
              <w:rPr>
                <w:rFonts w:ascii="Arial"/>
                <w:b/>
                <w:spacing w:val="-2"/>
                <w:w w:val="105"/>
                <w:sz w:val="16"/>
              </w:rPr>
              <w:t>59,653</w:t>
            </w:r>
          </w:p>
        </w:tc>
        <w:tc>
          <w:tcPr>
            <w:tcW w:w="825" w:type="dxa"/>
            <w:tcBorders>
              <w:top w:val="single" w:sz="12" w:space="0" w:color="000000"/>
              <w:bottom w:val="single" w:sz="12" w:space="0" w:color="000000"/>
            </w:tcBorders>
            <w:shd w:val="clear" w:color="auto" w:fill="DEEAF6"/>
          </w:tcPr>
          <w:p w14:paraId="3EE64BC3" w14:textId="77777777" w:rsidR="00084F36" w:rsidRPr="00EB2BD8" w:rsidRDefault="00EB2BD8">
            <w:pPr>
              <w:pStyle w:val="TableParagraph"/>
              <w:spacing w:before="54"/>
              <w:ind w:right="102"/>
              <w:jc w:val="right"/>
              <w:rPr>
                <w:rFonts w:ascii="Arial"/>
                <w:b/>
                <w:sz w:val="16"/>
              </w:rPr>
            </w:pPr>
            <w:r w:rsidRPr="00EB2BD8">
              <w:rPr>
                <w:rFonts w:ascii="Arial"/>
                <w:b/>
                <w:spacing w:val="-5"/>
                <w:w w:val="105"/>
                <w:sz w:val="16"/>
              </w:rPr>
              <w:t>142</w:t>
            </w:r>
          </w:p>
        </w:tc>
      </w:tr>
      <w:tr w:rsidR="00EB2BD8" w:rsidRPr="00EB2BD8" w14:paraId="24E153EA" w14:textId="77777777">
        <w:trPr>
          <w:trHeight w:val="296"/>
        </w:trPr>
        <w:tc>
          <w:tcPr>
            <w:tcW w:w="3371" w:type="dxa"/>
            <w:tcBorders>
              <w:top w:val="single" w:sz="12" w:space="0" w:color="000000"/>
            </w:tcBorders>
            <w:shd w:val="clear" w:color="auto" w:fill="DEEAF6"/>
          </w:tcPr>
          <w:p w14:paraId="15681098" w14:textId="77777777" w:rsidR="00084F36" w:rsidRPr="00EB2BD8" w:rsidRDefault="00EB2BD8">
            <w:pPr>
              <w:pStyle w:val="TableParagraph"/>
              <w:spacing w:before="54"/>
              <w:ind w:left="100"/>
              <w:rPr>
                <w:rFonts w:ascii="Arial"/>
                <w:b/>
                <w:sz w:val="16"/>
              </w:rPr>
            </w:pPr>
            <w:r w:rsidRPr="00EB2BD8">
              <w:rPr>
                <w:rFonts w:ascii="Arial"/>
                <w:b/>
                <w:w w:val="105"/>
                <w:sz w:val="16"/>
              </w:rPr>
              <w:t>Financial</w:t>
            </w:r>
            <w:r w:rsidRPr="00EB2BD8">
              <w:rPr>
                <w:rFonts w:ascii="Arial"/>
                <w:b/>
                <w:spacing w:val="-12"/>
                <w:w w:val="105"/>
                <w:sz w:val="16"/>
              </w:rPr>
              <w:t xml:space="preserve"> </w:t>
            </w:r>
            <w:r w:rsidRPr="00EB2BD8">
              <w:rPr>
                <w:rFonts w:ascii="Arial"/>
                <w:b/>
                <w:spacing w:val="-2"/>
                <w:w w:val="105"/>
                <w:sz w:val="16"/>
              </w:rPr>
              <w:t>liabilities</w:t>
            </w:r>
          </w:p>
        </w:tc>
        <w:tc>
          <w:tcPr>
            <w:tcW w:w="1878" w:type="dxa"/>
            <w:tcBorders>
              <w:top w:val="single" w:sz="12" w:space="0" w:color="000000"/>
            </w:tcBorders>
            <w:shd w:val="clear" w:color="auto" w:fill="DEEAF6"/>
          </w:tcPr>
          <w:p w14:paraId="54514766" w14:textId="77777777" w:rsidR="00084F36" w:rsidRPr="00EB2BD8" w:rsidRDefault="00084F36">
            <w:pPr>
              <w:pStyle w:val="TableParagraph"/>
              <w:rPr>
                <w:rFonts w:ascii="Times New Roman"/>
                <w:sz w:val="16"/>
              </w:rPr>
            </w:pPr>
          </w:p>
        </w:tc>
        <w:tc>
          <w:tcPr>
            <w:tcW w:w="1016" w:type="dxa"/>
            <w:tcBorders>
              <w:top w:val="single" w:sz="12" w:space="0" w:color="000000"/>
            </w:tcBorders>
            <w:shd w:val="clear" w:color="auto" w:fill="DEEAF6"/>
          </w:tcPr>
          <w:p w14:paraId="4D2CE607" w14:textId="77777777" w:rsidR="00084F36" w:rsidRPr="00EB2BD8" w:rsidRDefault="00084F36">
            <w:pPr>
              <w:pStyle w:val="TableParagraph"/>
              <w:rPr>
                <w:rFonts w:ascii="Times New Roman"/>
                <w:sz w:val="16"/>
              </w:rPr>
            </w:pPr>
          </w:p>
        </w:tc>
        <w:tc>
          <w:tcPr>
            <w:tcW w:w="943" w:type="dxa"/>
            <w:tcBorders>
              <w:top w:val="single" w:sz="12" w:space="0" w:color="000000"/>
            </w:tcBorders>
            <w:shd w:val="clear" w:color="auto" w:fill="DEEAF6"/>
          </w:tcPr>
          <w:p w14:paraId="4E816971" w14:textId="77777777" w:rsidR="00084F36" w:rsidRPr="00EB2BD8" w:rsidRDefault="00084F36">
            <w:pPr>
              <w:pStyle w:val="TableParagraph"/>
              <w:rPr>
                <w:rFonts w:ascii="Times New Roman"/>
                <w:sz w:val="16"/>
              </w:rPr>
            </w:pPr>
          </w:p>
        </w:tc>
        <w:tc>
          <w:tcPr>
            <w:tcW w:w="967" w:type="dxa"/>
            <w:tcBorders>
              <w:top w:val="single" w:sz="12" w:space="0" w:color="000000"/>
            </w:tcBorders>
            <w:shd w:val="clear" w:color="auto" w:fill="DEEAF6"/>
          </w:tcPr>
          <w:p w14:paraId="55B6F827" w14:textId="77777777" w:rsidR="00084F36" w:rsidRPr="00EB2BD8" w:rsidRDefault="00084F36">
            <w:pPr>
              <w:pStyle w:val="TableParagraph"/>
              <w:rPr>
                <w:rFonts w:ascii="Times New Roman"/>
                <w:sz w:val="16"/>
              </w:rPr>
            </w:pPr>
          </w:p>
        </w:tc>
        <w:tc>
          <w:tcPr>
            <w:tcW w:w="825" w:type="dxa"/>
            <w:tcBorders>
              <w:top w:val="single" w:sz="12" w:space="0" w:color="000000"/>
            </w:tcBorders>
            <w:shd w:val="clear" w:color="auto" w:fill="DEEAF6"/>
          </w:tcPr>
          <w:p w14:paraId="675AE3C8" w14:textId="77777777" w:rsidR="00084F36" w:rsidRPr="00EB2BD8" w:rsidRDefault="00084F36">
            <w:pPr>
              <w:pStyle w:val="TableParagraph"/>
              <w:rPr>
                <w:rFonts w:ascii="Times New Roman"/>
                <w:sz w:val="16"/>
              </w:rPr>
            </w:pPr>
          </w:p>
        </w:tc>
      </w:tr>
      <w:tr w:rsidR="00EB2BD8" w:rsidRPr="00EB2BD8" w14:paraId="3E1C4A23" w14:textId="77777777">
        <w:trPr>
          <w:trHeight w:val="310"/>
        </w:trPr>
        <w:tc>
          <w:tcPr>
            <w:tcW w:w="3371" w:type="dxa"/>
            <w:shd w:val="clear" w:color="auto" w:fill="DEEAF6"/>
          </w:tcPr>
          <w:p w14:paraId="735CECD4" w14:textId="77777777" w:rsidR="00084F36" w:rsidRPr="00EB2BD8" w:rsidRDefault="00EB2BD8">
            <w:pPr>
              <w:pStyle w:val="TableParagraph"/>
              <w:spacing w:before="59"/>
              <w:ind w:left="100"/>
              <w:rPr>
                <w:rFonts w:ascii="Arial"/>
                <w:b/>
                <w:sz w:val="16"/>
              </w:rPr>
            </w:pPr>
            <w:r w:rsidRPr="00EB2BD8">
              <w:rPr>
                <w:rFonts w:ascii="Arial"/>
                <w:b/>
                <w:spacing w:val="-2"/>
                <w:w w:val="105"/>
                <w:sz w:val="16"/>
              </w:rPr>
              <w:t>Payables:</w:t>
            </w:r>
          </w:p>
        </w:tc>
        <w:tc>
          <w:tcPr>
            <w:tcW w:w="1878" w:type="dxa"/>
            <w:shd w:val="clear" w:color="auto" w:fill="DEEAF6"/>
          </w:tcPr>
          <w:p w14:paraId="4EF68364" w14:textId="77777777" w:rsidR="00084F36" w:rsidRPr="00EB2BD8" w:rsidRDefault="00084F36">
            <w:pPr>
              <w:pStyle w:val="TableParagraph"/>
              <w:rPr>
                <w:rFonts w:ascii="Times New Roman"/>
                <w:sz w:val="16"/>
              </w:rPr>
            </w:pPr>
          </w:p>
        </w:tc>
        <w:tc>
          <w:tcPr>
            <w:tcW w:w="1016" w:type="dxa"/>
            <w:shd w:val="clear" w:color="auto" w:fill="DEEAF6"/>
          </w:tcPr>
          <w:p w14:paraId="621B6F43" w14:textId="77777777" w:rsidR="00084F36" w:rsidRPr="00EB2BD8" w:rsidRDefault="00084F36">
            <w:pPr>
              <w:pStyle w:val="TableParagraph"/>
              <w:rPr>
                <w:rFonts w:ascii="Times New Roman"/>
                <w:sz w:val="16"/>
              </w:rPr>
            </w:pPr>
          </w:p>
        </w:tc>
        <w:tc>
          <w:tcPr>
            <w:tcW w:w="943" w:type="dxa"/>
            <w:shd w:val="clear" w:color="auto" w:fill="DEEAF6"/>
          </w:tcPr>
          <w:p w14:paraId="518858AC" w14:textId="77777777" w:rsidR="00084F36" w:rsidRPr="00EB2BD8" w:rsidRDefault="00084F36">
            <w:pPr>
              <w:pStyle w:val="TableParagraph"/>
              <w:rPr>
                <w:rFonts w:ascii="Times New Roman"/>
                <w:sz w:val="16"/>
              </w:rPr>
            </w:pPr>
          </w:p>
        </w:tc>
        <w:tc>
          <w:tcPr>
            <w:tcW w:w="967" w:type="dxa"/>
            <w:shd w:val="clear" w:color="auto" w:fill="DEEAF6"/>
          </w:tcPr>
          <w:p w14:paraId="76BE9792" w14:textId="77777777" w:rsidR="00084F36" w:rsidRPr="00EB2BD8" w:rsidRDefault="00084F36">
            <w:pPr>
              <w:pStyle w:val="TableParagraph"/>
              <w:rPr>
                <w:rFonts w:ascii="Times New Roman"/>
                <w:sz w:val="16"/>
              </w:rPr>
            </w:pPr>
          </w:p>
        </w:tc>
        <w:tc>
          <w:tcPr>
            <w:tcW w:w="825" w:type="dxa"/>
            <w:shd w:val="clear" w:color="auto" w:fill="DEEAF6"/>
          </w:tcPr>
          <w:p w14:paraId="08C9BB1F" w14:textId="77777777" w:rsidR="00084F36" w:rsidRPr="00EB2BD8" w:rsidRDefault="00084F36">
            <w:pPr>
              <w:pStyle w:val="TableParagraph"/>
              <w:rPr>
                <w:rFonts w:ascii="Times New Roman"/>
                <w:sz w:val="16"/>
              </w:rPr>
            </w:pPr>
          </w:p>
        </w:tc>
      </w:tr>
      <w:tr w:rsidR="00EB2BD8" w:rsidRPr="00EB2BD8" w14:paraId="31DB0086" w14:textId="77777777">
        <w:trPr>
          <w:trHeight w:val="317"/>
        </w:trPr>
        <w:tc>
          <w:tcPr>
            <w:tcW w:w="3371" w:type="dxa"/>
            <w:shd w:val="clear" w:color="auto" w:fill="DEEAF6"/>
          </w:tcPr>
          <w:p w14:paraId="5E54EB31" w14:textId="77777777" w:rsidR="00084F36" w:rsidRPr="00EB2BD8" w:rsidRDefault="00EB2BD8">
            <w:pPr>
              <w:pStyle w:val="TableParagraph"/>
              <w:spacing w:before="67"/>
              <w:ind w:left="100"/>
              <w:rPr>
                <w:rFonts w:ascii="Arial"/>
                <w:sz w:val="16"/>
              </w:rPr>
            </w:pPr>
            <w:r w:rsidRPr="00EB2BD8">
              <w:rPr>
                <w:rFonts w:ascii="Arial"/>
                <w:w w:val="105"/>
                <w:sz w:val="16"/>
              </w:rPr>
              <w:t>Contract</w:t>
            </w:r>
            <w:r w:rsidRPr="00EB2BD8">
              <w:rPr>
                <w:rFonts w:ascii="Arial"/>
                <w:spacing w:val="-11"/>
                <w:w w:val="105"/>
                <w:sz w:val="16"/>
              </w:rPr>
              <w:t xml:space="preserve"> </w:t>
            </w:r>
            <w:r w:rsidRPr="00EB2BD8">
              <w:rPr>
                <w:rFonts w:ascii="Arial"/>
                <w:spacing w:val="-2"/>
                <w:w w:val="105"/>
                <w:sz w:val="16"/>
              </w:rPr>
              <w:t>payables</w:t>
            </w:r>
          </w:p>
        </w:tc>
        <w:tc>
          <w:tcPr>
            <w:tcW w:w="1878" w:type="dxa"/>
            <w:shd w:val="clear" w:color="auto" w:fill="DEEAF6"/>
          </w:tcPr>
          <w:p w14:paraId="7ACFA5C4" w14:textId="77777777" w:rsidR="00084F36" w:rsidRPr="00EB2BD8" w:rsidRDefault="00084F36">
            <w:pPr>
              <w:pStyle w:val="TableParagraph"/>
              <w:rPr>
                <w:rFonts w:ascii="Times New Roman"/>
                <w:sz w:val="16"/>
              </w:rPr>
            </w:pPr>
          </w:p>
        </w:tc>
        <w:tc>
          <w:tcPr>
            <w:tcW w:w="1016" w:type="dxa"/>
            <w:shd w:val="clear" w:color="auto" w:fill="DEEAF6"/>
          </w:tcPr>
          <w:p w14:paraId="0B1750C9" w14:textId="77777777" w:rsidR="00084F36" w:rsidRPr="00EB2BD8" w:rsidRDefault="00EB2BD8">
            <w:pPr>
              <w:pStyle w:val="TableParagraph"/>
              <w:spacing w:before="67"/>
              <w:ind w:right="278"/>
              <w:jc w:val="right"/>
              <w:rPr>
                <w:rFonts w:ascii="Arial"/>
                <w:sz w:val="16"/>
              </w:rPr>
            </w:pPr>
            <w:r w:rsidRPr="00EB2BD8">
              <w:rPr>
                <w:rFonts w:ascii="Arial"/>
                <w:spacing w:val="-2"/>
                <w:w w:val="105"/>
                <w:sz w:val="16"/>
              </w:rPr>
              <w:t>13,613</w:t>
            </w:r>
          </w:p>
        </w:tc>
        <w:tc>
          <w:tcPr>
            <w:tcW w:w="943" w:type="dxa"/>
            <w:shd w:val="clear" w:color="auto" w:fill="DEEAF6"/>
          </w:tcPr>
          <w:p w14:paraId="1882D6CF" w14:textId="77777777" w:rsidR="00084F36" w:rsidRPr="00EB2BD8" w:rsidRDefault="00EB2BD8">
            <w:pPr>
              <w:pStyle w:val="TableParagraph"/>
              <w:spacing w:before="67"/>
              <w:ind w:right="242"/>
              <w:jc w:val="right"/>
              <w:rPr>
                <w:rFonts w:ascii="Arial"/>
                <w:sz w:val="16"/>
              </w:rPr>
            </w:pPr>
            <w:r w:rsidRPr="00EB2BD8">
              <w:rPr>
                <w:rFonts w:ascii="Arial"/>
                <w:w w:val="104"/>
                <w:sz w:val="16"/>
              </w:rPr>
              <w:t>-</w:t>
            </w:r>
          </w:p>
        </w:tc>
        <w:tc>
          <w:tcPr>
            <w:tcW w:w="967" w:type="dxa"/>
            <w:shd w:val="clear" w:color="auto" w:fill="DEEAF6"/>
          </w:tcPr>
          <w:p w14:paraId="6E7787FB" w14:textId="77777777" w:rsidR="00084F36" w:rsidRPr="00EB2BD8" w:rsidRDefault="00EB2BD8">
            <w:pPr>
              <w:pStyle w:val="TableParagraph"/>
              <w:spacing w:before="67"/>
              <w:ind w:right="209"/>
              <w:jc w:val="right"/>
              <w:rPr>
                <w:rFonts w:ascii="Arial"/>
                <w:sz w:val="16"/>
              </w:rPr>
            </w:pPr>
            <w:r w:rsidRPr="00EB2BD8">
              <w:rPr>
                <w:rFonts w:ascii="Arial"/>
                <w:w w:val="104"/>
                <w:sz w:val="16"/>
              </w:rPr>
              <w:t>-</w:t>
            </w:r>
          </w:p>
        </w:tc>
        <w:tc>
          <w:tcPr>
            <w:tcW w:w="825" w:type="dxa"/>
            <w:shd w:val="clear" w:color="auto" w:fill="DEEAF6"/>
          </w:tcPr>
          <w:p w14:paraId="7AA89EA4" w14:textId="77777777" w:rsidR="00084F36" w:rsidRPr="00EB2BD8" w:rsidRDefault="00EB2BD8">
            <w:pPr>
              <w:pStyle w:val="TableParagraph"/>
              <w:spacing w:before="67"/>
              <w:ind w:right="101"/>
              <w:jc w:val="right"/>
              <w:rPr>
                <w:rFonts w:ascii="Arial"/>
                <w:sz w:val="16"/>
              </w:rPr>
            </w:pPr>
            <w:r w:rsidRPr="00EB2BD8">
              <w:rPr>
                <w:rFonts w:ascii="Arial"/>
                <w:spacing w:val="-2"/>
                <w:w w:val="105"/>
                <w:sz w:val="16"/>
              </w:rPr>
              <w:t>13,613</w:t>
            </w:r>
          </w:p>
        </w:tc>
      </w:tr>
      <w:tr w:rsidR="00EB2BD8" w:rsidRPr="00EB2BD8" w14:paraId="4E92EE0C" w14:textId="77777777">
        <w:trPr>
          <w:trHeight w:val="316"/>
        </w:trPr>
        <w:tc>
          <w:tcPr>
            <w:tcW w:w="3371" w:type="dxa"/>
            <w:shd w:val="clear" w:color="auto" w:fill="DEEAF6"/>
          </w:tcPr>
          <w:p w14:paraId="39AFF3C4" w14:textId="77777777" w:rsidR="00084F36" w:rsidRPr="00EB2BD8" w:rsidRDefault="00EB2BD8">
            <w:pPr>
              <w:pStyle w:val="TableParagraph"/>
              <w:spacing w:before="66"/>
              <w:ind w:left="100"/>
              <w:rPr>
                <w:rFonts w:ascii="Arial"/>
                <w:sz w:val="16"/>
              </w:rPr>
            </w:pPr>
            <w:r w:rsidRPr="00EB2BD8">
              <w:rPr>
                <w:rFonts w:ascii="Arial"/>
                <w:w w:val="105"/>
                <w:sz w:val="16"/>
              </w:rPr>
              <w:t>Other</w:t>
            </w:r>
            <w:r w:rsidRPr="00EB2BD8">
              <w:rPr>
                <w:rFonts w:ascii="Arial"/>
                <w:spacing w:val="-7"/>
                <w:w w:val="105"/>
                <w:sz w:val="16"/>
              </w:rPr>
              <w:t xml:space="preserve"> </w:t>
            </w:r>
            <w:r w:rsidRPr="00EB2BD8">
              <w:rPr>
                <w:rFonts w:ascii="Arial"/>
                <w:spacing w:val="-2"/>
                <w:w w:val="105"/>
                <w:sz w:val="16"/>
              </w:rPr>
              <w:t>liabilities</w:t>
            </w:r>
          </w:p>
        </w:tc>
        <w:tc>
          <w:tcPr>
            <w:tcW w:w="1878" w:type="dxa"/>
            <w:shd w:val="clear" w:color="auto" w:fill="DEEAF6"/>
          </w:tcPr>
          <w:p w14:paraId="2E276CF0" w14:textId="77777777" w:rsidR="00084F36" w:rsidRPr="00EB2BD8" w:rsidRDefault="00084F36">
            <w:pPr>
              <w:pStyle w:val="TableParagraph"/>
              <w:rPr>
                <w:rFonts w:ascii="Times New Roman"/>
                <w:sz w:val="16"/>
              </w:rPr>
            </w:pPr>
          </w:p>
        </w:tc>
        <w:tc>
          <w:tcPr>
            <w:tcW w:w="1016" w:type="dxa"/>
            <w:shd w:val="clear" w:color="auto" w:fill="DEEAF6"/>
          </w:tcPr>
          <w:p w14:paraId="398AF8A6" w14:textId="77777777" w:rsidR="00084F36" w:rsidRPr="00EB2BD8" w:rsidRDefault="00EB2BD8">
            <w:pPr>
              <w:pStyle w:val="TableParagraph"/>
              <w:spacing w:before="66"/>
              <w:ind w:right="278"/>
              <w:jc w:val="right"/>
              <w:rPr>
                <w:rFonts w:ascii="Arial"/>
                <w:sz w:val="16"/>
              </w:rPr>
            </w:pPr>
            <w:r w:rsidRPr="00EB2BD8">
              <w:rPr>
                <w:rFonts w:ascii="Arial"/>
                <w:spacing w:val="-4"/>
                <w:w w:val="105"/>
                <w:sz w:val="16"/>
              </w:rPr>
              <w:t>1,733</w:t>
            </w:r>
          </w:p>
        </w:tc>
        <w:tc>
          <w:tcPr>
            <w:tcW w:w="943" w:type="dxa"/>
            <w:shd w:val="clear" w:color="auto" w:fill="DEEAF6"/>
          </w:tcPr>
          <w:p w14:paraId="2371BA65" w14:textId="77777777" w:rsidR="00084F36" w:rsidRPr="00EB2BD8" w:rsidRDefault="00EB2BD8">
            <w:pPr>
              <w:pStyle w:val="TableParagraph"/>
              <w:spacing w:before="66"/>
              <w:ind w:right="242"/>
              <w:jc w:val="right"/>
              <w:rPr>
                <w:rFonts w:ascii="Arial"/>
                <w:sz w:val="16"/>
              </w:rPr>
            </w:pPr>
            <w:r w:rsidRPr="00EB2BD8">
              <w:rPr>
                <w:rFonts w:ascii="Arial"/>
                <w:w w:val="104"/>
                <w:sz w:val="16"/>
              </w:rPr>
              <w:t>-</w:t>
            </w:r>
          </w:p>
        </w:tc>
        <w:tc>
          <w:tcPr>
            <w:tcW w:w="967" w:type="dxa"/>
            <w:shd w:val="clear" w:color="auto" w:fill="DEEAF6"/>
          </w:tcPr>
          <w:p w14:paraId="5D08701C" w14:textId="77777777" w:rsidR="00084F36" w:rsidRPr="00EB2BD8" w:rsidRDefault="00EB2BD8">
            <w:pPr>
              <w:pStyle w:val="TableParagraph"/>
              <w:spacing w:before="66"/>
              <w:ind w:right="209"/>
              <w:jc w:val="right"/>
              <w:rPr>
                <w:rFonts w:ascii="Arial"/>
                <w:sz w:val="16"/>
              </w:rPr>
            </w:pPr>
            <w:r w:rsidRPr="00EB2BD8">
              <w:rPr>
                <w:rFonts w:ascii="Arial"/>
                <w:w w:val="104"/>
                <w:sz w:val="16"/>
              </w:rPr>
              <w:t>-</w:t>
            </w:r>
          </w:p>
        </w:tc>
        <w:tc>
          <w:tcPr>
            <w:tcW w:w="825" w:type="dxa"/>
            <w:shd w:val="clear" w:color="auto" w:fill="DEEAF6"/>
          </w:tcPr>
          <w:p w14:paraId="27C1BD96" w14:textId="77777777" w:rsidR="00084F36" w:rsidRPr="00EB2BD8" w:rsidRDefault="00EB2BD8">
            <w:pPr>
              <w:pStyle w:val="TableParagraph"/>
              <w:spacing w:before="66"/>
              <w:ind w:right="101"/>
              <w:jc w:val="right"/>
              <w:rPr>
                <w:rFonts w:ascii="Arial"/>
                <w:sz w:val="16"/>
              </w:rPr>
            </w:pPr>
            <w:r w:rsidRPr="00EB2BD8">
              <w:rPr>
                <w:rFonts w:ascii="Arial"/>
                <w:spacing w:val="-4"/>
                <w:w w:val="105"/>
                <w:sz w:val="16"/>
              </w:rPr>
              <w:t>1,733</w:t>
            </w:r>
          </w:p>
        </w:tc>
      </w:tr>
      <w:tr w:rsidR="00EB2BD8" w:rsidRPr="00EB2BD8" w14:paraId="25D21B4F" w14:textId="77777777">
        <w:trPr>
          <w:trHeight w:val="317"/>
        </w:trPr>
        <w:tc>
          <w:tcPr>
            <w:tcW w:w="3371" w:type="dxa"/>
            <w:shd w:val="clear" w:color="auto" w:fill="DEEAF6"/>
          </w:tcPr>
          <w:p w14:paraId="75C311EE" w14:textId="77777777" w:rsidR="00084F36" w:rsidRPr="00EB2BD8" w:rsidRDefault="00EB2BD8">
            <w:pPr>
              <w:pStyle w:val="TableParagraph"/>
              <w:spacing w:before="66"/>
              <w:ind w:left="100"/>
              <w:rPr>
                <w:rFonts w:ascii="Arial"/>
                <w:sz w:val="16"/>
              </w:rPr>
            </w:pPr>
            <w:r w:rsidRPr="00EB2BD8">
              <w:rPr>
                <w:rFonts w:ascii="Arial"/>
                <w:w w:val="105"/>
                <w:sz w:val="16"/>
              </w:rPr>
              <w:t>Security</w:t>
            </w:r>
            <w:r w:rsidRPr="00EB2BD8">
              <w:rPr>
                <w:rFonts w:ascii="Arial"/>
                <w:spacing w:val="-12"/>
                <w:w w:val="105"/>
                <w:sz w:val="16"/>
              </w:rPr>
              <w:t xml:space="preserve"> </w:t>
            </w:r>
            <w:r w:rsidRPr="00EB2BD8">
              <w:rPr>
                <w:rFonts w:ascii="Arial"/>
                <w:spacing w:val="-2"/>
                <w:w w:val="105"/>
                <w:sz w:val="16"/>
              </w:rPr>
              <w:t>deposits</w:t>
            </w:r>
          </w:p>
        </w:tc>
        <w:tc>
          <w:tcPr>
            <w:tcW w:w="1878" w:type="dxa"/>
            <w:shd w:val="clear" w:color="auto" w:fill="DEEAF6"/>
          </w:tcPr>
          <w:p w14:paraId="5793D3EA" w14:textId="77777777" w:rsidR="00084F36" w:rsidRPr="00EB2BD8" w:rsidRDefault="00084F36">
            <w:pPr>
              <w:pStyle w:val="TableParagraph"/>
              <w:rPr>
                <w:rFonts w:ascii="Times New Roman"/>
                <w:sz w:val="16"/>
              </w:rPr>
            </w:pPr>
          </w:p>
        </w:tc>
        <w:tc>
          <w:tcPr>
            <w:tcW w:w="1016" w:type="dxa"/>
            <w:shd w:val="clear" w:color="auto" w:fill="DEEAF6"/>
          </w:tcPr>
          <w:p w14:paraId="5D35ACF8" w14:textId="77777777" w:rsidR="00084F36" w:rsidRPr="00EB2BD8" w:rsidRDefault="00EB2BD8">
            <w:pPr>
              <w:pStyle w:val="TableParagraph"/>
              <w:spacing w:before="66"/>
              <w:ind w:right="279"/>
              <w:jc w:val="right"/>
              <w:rPr>
                <w:rFonts w:ascii="Arial"/>
                <w:sz w:val="16"/>
              </w:rPr>
            </w:pPr>
            <w:r w:rsidRPr="00EB2BD8">
              <w:rPr>
                <w:rFonts w:ascii="Arial"/>
                <w:spacing w:val="-2"/>
                <w:w w:val="105"/>
                <w:sz w:val="16"/>
              </w:rPr>
              <w:t>2,976</w:t>
            </w:r>
          </w:p>
        </w:tc>
        <w:tc>
          <w:tcPr>
            <w:tcW w:w="943" w:type="dxa"/>
            <w:shd w:val="clear" w:color="auto" w:fill="DEEAF6"/>
          </w:tcPr>
          <w:p w14:paraId="6F3994AF" w14:textId="77777777" w:rsidR="00084F36" w:rsidRPr="00EB2BD8" w:rsidRDefault="00EB2BD8">
            <w:pPr>
              <w:pStyle w:val="TableParagraph"/>
              <w:spacing w:before="66"/>
              <w:ind w:right="242"/>
              <w:jc w:val="right"/>
              <w:rPr>
                <w:rFonts w:ascii="Arial"/>
                <w:sz w:val="16"/>
              </w:rPr>
            </w:pPr>
            <w:r w:rsidRPr="00EB2BD8">
              <w:rPr>
                <w:rFonts w:ascii="Arial"/>
                <w:w w:val="104"/>
                <w:sz w:val="16"/>
              </w:rPr>
              <w:t>-</w:t>
            </w:r>
          </w:p>
        </w:tc>
        <w:tc>
          <w:tcPr>
            <w:tcW w:w="967" w:type="dxa"/>
            <w:shd w:val="clear" w:color="auto" w:fill="DEEAF6"/>
          </w:tcPr>
          <w:p w14:paraId="0F0A01AD" w14:textId="77777777" w:rsidR="00084F36" w:rsidRPr="00EB2BD8" w:rsidRDefault="00EB2BD8">
            <w:pPr>
              <w:pStyle w:val="TableParagraph"/>
              <w:spacing w:before="66"/>
              <w:ind w:right="209"/>
              <w:jc w:val="right"/>
              <w:rPr>
                <w:rFonts w:ascii="Arial"/>
                <w:sz w:val="16"/>
              </w:rPr>
            </w:pPr>
            <w:r w:rsidRPr="00EB2BD8">
              <w:rPr>
                <w:rFonts w:ascii="Arial"/>
                <w:w w:val="104"/>
                <w:sz w:val="16"/>
              </w:rPr>
              <w:t>-</w:t>
            </w:r>
          </w:p>
        </w:tc>
        <w:tc>
          <w:tcPr>
            <w:tcW w:w="825" w:type="dxa"/>
            <w:shd w:val="clear" w:color="auto" w:fill="DEEAF6"/>
          </w:tcPr>
          <w:p w14:paraId="0DEF0651" w14:textId="77777777" w:rsidR="00084F36" w:rsidRPr="00EB2BD8" w:rsidRDefault="00EB2BD8">
            <w:pPr>
              <w:pStyle w:val="TableParagraph"/>
              <w:spacing w:before="66"/>
              <w:ind w:right="102"/>
              <w:jc w:val="right"/>
              <w:rPr>
                <w:rFonts w:ascii="Arial"/>
                <w:sz w:val="16"/>
              </w:rPr>
            </w:pPr>
            <w:r w:rsidRPr="00EB2BD8">
              <w:rPr>
                <w:rFonts w:ascii="Arial"/>
                <w:spacing w:val="-2"/>
                <w:w w:val="105"/>
                <w:sz w:val="16"/>
              </w:rPr>
              <w:t>2,976</w:t>
            </w:r>
          </w:p>
        </w:tc>
      </w:tr>
      <w:tr w:rsidR="00EB2BD8" w:rsidRPr="00EB2BD8" w14:paraId="617FB53B" w14:textId="77777777">
        <w:trPr>
          <w:trHeight w:val="317"/>
        </w:trPr>
        <w:tc>
          <w:tcPr>
            <w:tcW w:w="3371" w:type="dxa"/>
            <w:shd w:val="clear" w:color="auto" w:fill="DEEAF6"/>
          </w:tcPr>
          <w:p w14:paraId="086E5CED" w14:textId="77777777" w:rsidR="00084F36" w:rsidRPr="00EB2BD8" w:rsidRDefault="00EB2BD8">
            <w:pPr>
              <w:pStyle w:val="TableParagraph"/>
              <w:spacing w:before="67"/>
              <w:ind w:left="100"/>
              <w:rPr>
                <w:rFonts w:ascii="Arial"/>
                <w:b/>
                <w:sz w:val="16"/>
              </w:rPr>
            </w:pPr>
            <w:r w:rsidRPr="00EB2BD8">
              <w:rPr>
                <w:rFonts w:ascii="Arial"/>
                <w:b/>
                <w:sz w:val="16"/>
              </w:rPr>
              <w:t>Interest-bearing</w:t>
            </w:r>
            <w:r w:rsidRPr="00EB2BD8">
              <w:rPr>
                <w:rFonts w:ascii="Arial"/>
                <w:b/>
                <w:spacing w:val="44"/>
                <w:sz w:val="16"/>
              </w:rPr>
              <w:t xml:space="preserve"> </w:t>
            </w:r>
            <w:r w:rsidRPr="00EB2BD8">
              <w:rPr>
                <w:rFonts w:ascii="Arial"/>
                <w:b/>
                <w:spacing w:val="-2"/>
                <w:sz w:val="16"/>
              </w:rPr>
              <w:t>liabilities:</w:t>
            </w:r>
          </w:p>
        </w:tc>
        <w:tc>
          <w:tcPr>
            <w:tcW w:w="1878" w:type="dxa"/>
            <w:shd w:val="clear" w:color="auto" w:fill="DEEAF6"/>
          </w:tcPr>
          <w:p w14:paraId="0CEF9E8F" w14:textId="77777777" w:rsidR="00084F36" w:rsidRPr="00EB2BD8" w:rsidRDefault="00084F36">
            <w:pPr>
              <w:pStyle w:val="TableParagraph"/>
              <w:rPr>
                <w:rFonts w:ascii="Times New Roman"/>
                <w:sz w:val="16"/>
              </w:rPr>
            </w:pPr>
          </w:p>
        </w:tc>
        <w:tc>
          <w:tcPr>
            <w:tcW w:w="1016" w:type="dxa"/>
            <w:shd w:val="clear" w:color="auto" w:fill="DEEAF6"/>
          </w:tcPr>
          <w:p w14:paraId="5FA278BD" w14:textId="77777777" w:rsidR="00084F36" w:rsidRPr="00EB2BD8" w:rsidRDefault="00084F36">
            <w:pPr>
              <w:pStyle w:val="TableParagraph"/>
              <w:rPr>
                <w:rFonts w:ascii="Times New Roman"/>
                <w:sz w:val="16"/>
              </w:rPr>
            </w:pPr>
          </w:p>
        </w:tc>
        <w:tc>
          <w:tcPr>
            <w:tcW w:w="943" w:type="dxa"/>
            <w:shd w:val="clear" w:color="auto" w:fill="DEEAF6"/>
          </w:tcPr>
          <w:p w14:paraId="76FECB9D" w14:textId="77777777" w:rsidR="00084F36" w:rsidRPr="00EB2BD8" w:rsidRDefault="00084F36">
            <w:pPr>
              <w:pStyle w:val="TableParagraph"/>
              <w:rPr>
                <w:rFonts w:ascii="Times New Roman"/>
                <w:sz w:val="16"/>
              </w:rPr>
            </w:pPr>
          </w:p>
        </w:tc>
        <w:tc>
          <w:tcPr>
            <w:tcW w:w="967" w:type="dxa"/>
            <w:shd w:val="clear" w:color="auto" w:fill="DEEAF6"/>
          </w:tcPr>
          <w:p w14:paraId="27D647E3" w14:textId="77777777" w:rsidR="00084F36" w:rsidRPr="00EB2BD8" w:rsidRDefault="00084F36">
            <w:pPr>
              <w:pStyle w:val="TableParagraph"/>
              <w:rPr>
                <w:rFonts w:ascii="Times New Roman"/>
                <w:sz w:val="16"/>
              </w:rPr>
            </w:pPr>
          </w:p>
        </w:tc>
        <w:tc>
          <w:tcPr>
            <w:tcW w:w="825" w:type="dxa"/>
            <w:shd w:val="clear" w:color="auto" w:fill="DEEAF6"/>
          </w:tcPr>
          <w:p w14:paraId="6290A10F" w14:textId="77777777" w:rsidR="00084F36" w:rsidRPr="00EB2BD8" w:rsidRDefault="00084F36">
            <w:pPr>
              <w:pStyle w:val="TableParagraph"/>
              <w:rPr>
                <w:rFonts w:ascii="Times New Roman"/>
                <w:sz w:val="16"/>
              </w:rPr>
            </w:pPr>
          </w:p>
        </w:tc>
      </w:tr>
      <w:tr w:rsidR="00EB2BD8" w:rsidRPr="00EB2BD8" w14:paraId="5D53FF74" w14:textId="77777777">
        <w:trPr>
          <w:trHeight w:val="314"/>
        </w:trPr>
        <w:tc>
          <w:tcPr>
            <w:tcW w:w="3371" w:type="dxa"/>
            <w:tcBorders>
              <w:bottom w:val="single" w:sz="12" w:space="0" w:color="000000"/>
            </w:tcBorders>
            <w:shd w:val="clear" w:color="auto" w:fill="DEEAF6"/>
          </w:tcPr>
          <w:p w14:paraId="7B589124" w14:textId="77777777" w:rsidR="00084F36" w:rsidRPr="00EB2BD8" w:rsidRDefault="00EB2BD8">
            <w:pPr>
              <w:pStyle w:val="TableParagraph"/>
              <w:spacing w:before="66"/>
              <w:ind w:left="100"/>
              <w:rPr>
                <w:rFonts w:ascii="Arial"/>
                <w:sz w:val="16"/>
              </w:rPr>
            </w:pPr>
            <w:r w:rsidRPr="00EB2BD8">
              <w:rPr>
                <w:rFonts w:ascii="Arial"/>
                <w:w w:val="105"/>
                <w:sz w:val="16"/>
              </w:rPr>
              <w:t>Lease</w:t>
            </w:r>
            <w:r w:rsidRPr="00EB2BD8">
              <w:rPr>
                <w:rFonts w:ascii="Arial"/>
                <w:spacing w:val="-7"/>
                <w:w w:val="105"/>
                <w:sz w:val="16"/>
              </w:rPr>
              <w:t xml:space="preserve"> </w:t>
            </w:r>
            <w:r w:rsidRPr="00EB2BD8">
              <w:rPr>
                <w:rFonts w:ascii="Arial"/>
                <w:spacing w:val="-2"/>
                <w:w w:val="105"/>
                <w:sz w:val="16"/>
              </w:rPr>
              <w:t>liabilities</w:t>
            </w:r>
          </w:p>
        </w:tc>
        <w:tc>
          <w:tcPr>
            <w:tcW w:w="1878" w:type="dxa"/>
            <w:tcBorders>
              <w:bottom w:val="single" w:sz="12" w:space="0" w:color="000000"/>
            </w:tcBorders>
            <w:shd w:val="clear" w:color="auto" w:fill="DEEAF6"/>
          </w:tcPr>
          <w:p w14:paraId="0FC503D3" w14:textId="77777777" w:rsidR="00084F36" w:rsidRPr="00EB2BD8" w:rsidRDefault="00EB2BD8">
            <w:pPr>
              <w:pStyle w:val="TableParagraph"/>
              <w:spacing w:before="66"/>
              <w:ind w:right="221"/>
              <w:jc w:val="right"/>
              <w:rPr>
                <w:rFonts w:ascii="Arial"/>
                <w:sz w:val="16"/>
              </w:rPr>
            </w:pPr>
            <w:r w:rsidRPr="00EB2BD8">
              <w:rPr>
                <w:rFonts w:ascii="Arial"/>
                <w:spacing w:val="-2"/>
                <w:w w:val="105"/>
                <w:sz w:val="16"/>
              </w:rPr>
              <w:t>2.66%</w:t>
            </w:r>
          </w:p>
        </w:tc>
        <w:tc>
          <w:tcPr>
            <w:tcW w:w="1016" w:type="dxa"/>
            <w:tcBorders>
              <w:bottom w:val="single" w:sz="12" w:space="0" w:color="000000"/>
            </w:tcBorders>
            <w:shd w:val="clear" w:color="auto" w:fill="DEEAF6"/>
          </w:tcPr>
          <w:p w14:paraId="14305EF1" w14:textId="77777777" w:rsidR="00084F36" w:rsidRPr="00EB2BD8" w:rsidRDefault="00EB2BD8">
            <w:pPr>
              <w:pStyle w:val="TableParagraph"/>
              <w:spacing w:before="66"/>
              <w:ind w:right="279"/>
              <w:jc w:val="right"/>
              <w:rPr>
                <w:rFonts w:ascii="Arial"/>
                <w:sz w:val="16"/>
              </w:rPr>
            </w:pPr>
            <w:r w:rsidRPr="00EB2BD8">
              <w:rPr>
                <w:rFonts w:ascii="Arial"/>
                <w:spacing w:val="-2"/>
                <w:w w:val="105"/>
                <w:sz w:val="16"/>
              </w:rPr>
              <w:t>5,223</w:t>
            </w:r>
          </w:p>
        </w:tc>
        <w:tc>
          <w:tcPr>
            <w:tcW w:w="943" w:type="dxa"/>
            <w:tcBorders>
              <w:bottom w:val="single" w:sz="12" w:space="0" w:color="000000"/>
            </w:tcBorders>
            <w:shd w:val="clear" w:color="auto" w:fill="DEEAF6"/>
          </w:tcPr>
          <w:p w14:paraId="1EB6FA40" w14:textId="77777777" w:rsidR="00084F36" w:rsidRPr="00EB2BD8" w:rsidRDefault="00EB2BD8">
            <w:pPr>
              <w:pStyle w:val="TableParagraph"/>
              <w:spacing w:before="66"/>
              <w:ind w:right="243"/>
              <w:jc w:val="right"/>
              <w:rPr>
                <w:rFonts w:ascii="Arial"/>
                <w:sz w:val="16"/>
              </w:rPr>
            </w:pPr>
            <w:r w:rsidRPr="00EB2BD8">
              <w:rPr>
                <w:rFonts w:ascii="Arial"/>
                <w:spacing w:val="-2"/>
                <w:w w:val="105"/>
                <w:sz w:val="16"/>
              </w:rPr>
              <w:t>5,223</w:t>
            </w:r>
          </w:p>
        </w:tc>
        <w:tc>
          <w:tcPr>
            <w:tcW w:w="967" w:type="dxa"/>
            <w:tcBorders>
              <w:bottom w:val="single" w:sz="12" w:space="0" w:color="000000"/>
            </w:tcBorders>
            <w:shd w:val="clear" w:color="auto" w:fill="DEEAF6"/>
          </w:tcPr>
          <w:p w14:paraId="6CAB33A7" w14:textId="77777777" w:rsidR="00084F36" w:rsidRPr="00EB2BD8" w:rsidRDefault="00EB2BD8">
            <w:pPr>
              <w:pStyle w:val="TableParagraph"/>
              <w:spacing w:before="66"/>
              <w:ind w:right="209"/>
              <w:jc w:val="right"/>
              <w:rPr>
                <w:rFonts w:ascii="Arial"/>
                <w:sz w:val="16"/>
              </w:rPr>
            </w:pPr>
            <w:r w:rsidRPr="00EB2BD8">
              <w:rPr>
                <w:rFonts w:ascii="Arial"/>
                <w:w w:val="104"/>
                <w:sz w:val="16"/>
              </w:rPr>
              <w:t>-</w:t>
            </w:r>
          </w:p>
        </w:tc>
        <w:tc>
          <w:tcPr>
            <w:tcW w:w="825" w:type="dxa"/>
            <w:tcBorders>
              <w:bottom w:val="single" w:sz="12" w:space="0" w:color="000000"/>
            </w:tcBorders>
            <w:shd w:val="clear" w:color="auto" w:fill="DEEAF6"/>
          </w:tcPr>
          <w:p w14:paraId="7EE975AA" w14:textId="77777777" w:rsidR="00084F36" w:rsidRPr="00EB2BD8" w:rsidRDefault="00EB2BD8">
            <w:pPr>
              <w:pStyle w:val="TableParagraph"/>
              <w:spacing w:before="66"/>
              <w:ind w:right="101"/>
              <w:jc w:val="right"/>
              <w:rPr>
                <w:rFonts w:ascii="Arial"/>
                <w:sz w:val="16"/>
              </w:rPr>
            </w:pPr>
            <w:r w:rsidRPr="00EB2BD8">
              <w:rPr>
                <w:rFonts w:ascii="Arial"/>
                <w:w w:val="104"/>
                <w:sz w:val="16"/>
              </w:rPr>
              <w:t>-</w:t>
            </w:r>
          </w:p>
        </w:tc>
      </w:tr>
      <w:tr w:rsidR="00EB2BD8" w:rsidRPr="00EB2BD8" w14:paraId="555DED22" w14:textId="77777777">
        <w:trPr>
          <w:trHeight w:val="286"/>
        </w:trPr>
        <w:tc>
          <w:tcPr>
            <w:tcW w:w="3371" w:type="dxa"/>
            <w:tcBorders>
              <w:top w:val="single" w:sz="12" w:space="0" w:color="000000"/>
              <w:bottom w:val="single" w:sz="12" w:space="0" w:color="000000"/>
            </w:tcBorders>
            <w:shd w:val="clear" w:color="auto" w:fill="DEEAF6"/>
          </w:tcPr>
          <w:p w14:paraId="7A7BF95A" w14:textId="77777777" w:rsidR="00084F36" w:rsidRPr="00EB2BD8" w:rsidRDefault="00EB2BD8">
            <w:pPr>
              <w:pStyle w:val="TableParagraph"/>
              <w:spacing w:before="54"/>
              <w:ind w:left="100"/>
              <w:rPr>
                <w:rFonts w:ascii="Arial"/>
                <w:b/>
                <w:sz w:val="16"/>
              </w:rPr>
            </w:pPr>
            <w:r w:rsidRPr="00EB2BD8">
              <w:rPr>
                <w:rFonts w:ascii="Arial"/>
                <w:b/>
                <w:w w:val="105"/>
                <w:sz w:val="16"/>
              </w:rPr>
              <w:t>Total</w:t>
            </w:r>
            <w:r w:rsidRPr="00EB2BD8">
              <w:rPr>
                <w:rFonts w:ascii="Arial"/>
                <w:b/>
                <w:spacing w:val="-8"/>
                <w:w w:val="105"/>
                <w:sz w:val="16"/>
              </w:rPr>
              <w:t xml:space="preserve"> </w:t>
            </w:r>
            <w:r w:rsidRPr="00EB2BD8">
              <w:rPr>
                <w:rFonts w:ascii="Arial"/>
                <w:b/>
                <w:w w:val="105"/>
                <w:sz w:val="16"/>
              </w:rPr>
              <w:t>financial</w:t>
            </w:r>
            <w:r w:rsidRPr="00EB2BD8">
              <w:rPr>
                <w:rFonts w:ascii="Arial"/>
                <w:b/>
                <w:spacing w:val="-9"/>
                <w:w w:val="105"/>
                <w:sz w:val="16"/>
              </w:rPr>
              <w:t xml:space="preserve"> </w:t>
            </w:r>
            <w:r w:rsidRPr="00EB2BD8">
              <w:rPr>
                <w:rFonts w:ascii="Arial"/>
                <w:b/>
                <w:spacing w:val="-2"/>
                <w:w w:val="105"/>
                <w:sz w:val="16"/>
              </w:rPr>
              <w:t>liabilities</w:t>
            </w:r>
          </w:p>
        </w:tc>
        <w:tc>
          <w:tcPr>
            <w:tcW w:w="1878" w:type="dxa"/>
            <w:tcBorders>
              <w:top w:val="single" w:sz="12" w:space="0" w:color="000000"/>
              <w:bottom w:val="single" w:sz="12" w:space="0" w:color="000000"/>
            </w:tcBorders>
            <w:shd w:val="clear" w:color="auto" w:fill="DEEAF6"/>
          </w:tcPr>
          <w:p w14:paraId="0119E756" w14:textId="77777777" w:rsidR="00084F36" w:rsidRPr="00EB2BD8" w:rsidRDefault="00084F36">
            <w:pPr>
              <w:pStyle w:val="TableParagraph"/>
              <w:rPr>
                <w:rFonts w:ascii="Times New Roman"/>
                <w:sz w:val="16"/>
              </w:rPr>
            </w:pPr>
          </w:p>
        </w:tc>
        <w:tc>
          <w:tcPr>
            <w:tcW w:w="1016" w:type="dxa"/>
            <w:tcBorders>
              <w:top w:val="single" w:sz="12" w:space="0" w:color="000000"/>
              <w:bottom w:val="single" w:sz="12" w:space="0" w:color="000000"/>
            </w:tcBorders>
            <w:shd w:val="clear" w:color="auto" w:fill="DEEAF6"/>
          </w:tcPr>
          <w:p w14:paraId="59CC889C" w14:textId="77777777" w:rsidR="00084F36" w:rsidRPr="00EB2BD8" w:rsidRDefault="00EB2BD8">
            <w:pPr>
              <w:pStyle w:val="TableParagraph"/>
              <w:spacing w:before="54"/>
              <w:ind w:right="278"/>
              <w:jc w:val="right"/>
              <w:rPr>
                <w:rFonts w:ascii="Arial"/>
                <w:b/>
                <w:sz w:val="16"/>
              </w:rPr>
            </w:pPr>
            <w:r w:rsidRPr="00EB2BD8">
              <w:rPr>
                <w:rFonts w:ascii="Arial"/>
                <w:b/>
                <w:spacing w:val="-2"/>
                <w:w w:val="105"/>
                <w:sz w:val="16"/>
              </w:rPr>
              <w:t>23,545</w:t>
            </w:r>
          </w:p>
        </w:tc>
        <w:tc>
          <w:tcPr>
            <w:tcW w:w="943" w:type="dxa"/>
            <w:tcBorders>
              <w:top w:val="single" w:sz="12" w:space="0" w:color="000000"/>
              <w:bottom w:val="single" w:sz="12" w:space="0" w:color="000000"/>
            </w:tcBorders>
            <w:shd w:val="clear" w:color="auto" w:fill="DEEAF6"/>
          </w:tcPr>
          <w:p w14:paraId="16A1B59F" w14:textId="77777777" w:rsidR="00084F36" w:rsidRPr="00EB2BD8" w:rsidRDefault="00EB2BD8">
            <w:pPr>
              <w:pStyle w:val="TableParagraph"/>
              <w:spacing w:before="54"/>
              <w:ind w:right="243"/>
              <w:jc w:val="right"/>
              <w:rPr>
                <w:rFonts w:ascii="Arial"/>
                <w:b/>
                <w:sz w:val="16"/>
              </w:rPr>
            </w:pPr>
            <w:r w:rsidRPr="00EB2BD8">
              <w:rPr>
                <w:rFonts w:ascii="Arial"/>
                <w:b/>
                <w:spacing w:val="-2"/>
                <w:w w:val="105"/>
                <w:sz w:val="16"/>
              </w:rPr>
              <w:t>5,223</w:t>
            </w:r>
          </w:p>
        </w:tc>
        <w:tc>
          <w:tcPr>
            <w:tcW w:w="967" w:type="dxa"/>
            <w:tcBorders>
              <w:top w:val="single" w:sz="12" w:space="0" w:color="000000"/>
              <w:bottom w:val="single" w:sz="12" w:space="0" w:color="000000"/>
            </w:tcBorders>
            <w:shd w:val="clear" w:color="auto" w:fill="DEEAF6"/>
          </w:tcPr>
          <w:p w14:paraId="54C157BF" w14:textId="77777777" w:rsidR="00084F36" w:rsidRPr="00EB2BD8" w:rsidRDefault="00EB2BD8">
            <w:pPr>
              <w:pStyle w:val="TableParagraph"/>
              <w:spacing w:before="54"/>
              <w:ind w:right="209"/>
              <w:jc w:val="right"/>
              <w:rPr>
                <w:rFonts w:ascii="Arial"/>
                <w:b/>
                <w:sz w:val="16"/>
              </w:rPr>
            </w:pPr>
            <w:r w:rsidRPr="00EB2BD8">
              <w:rPr>
                <w:rFonts w:ascii="Arial"/>
                <w:b/>
                <w:w w:val="104"/>
                <w:sz w:val="16"/>
              </w:rPr>
              <w:t>-</w:t>
            </w:r>
          </w:p>
        </w:tc>
        <w:tc>
          <w:tcPr>
            <w:tcW w:w="825" w:type="dxa"/>
            <w:tcBorders>
              <w:top w:val="single" w:sz="12" w:space="0" w:color="000000"/>
              <w:bottom w:val="single" w:sz="12" w:space="0" w:color="000000"/>
            </w:tcBorders>
            <w:shd w:val="clear" w:color="auto" w:fill="DEEAF6"/>
          </w:tcPr>
          <w:p w14:paraId="18502310" w14:textId="77777777" w:rsidR="00084F36" w:rsidRPr="00EB2BD8" w:rsidRDefault="00EB2BD8">
            <w:pPr>
              <w:pStyle w:val="TableParagraph"/>
              <w:spacing w:before="54"/>
              <w:ind w:right="101"/>
              <w:jc w:val="right"/>
              <w:rPr>
                <w:rFonts w:ascii="Arial"/>
                <w:b/>
                <w:sz w:val="16"/>
              </w:rPr>
            </w:pPr>
            <w:r w:rsidRPr="00EB2BD8">
              <w:rPr>
                <w:rFonts w:ascii="Arial"/>
                <w:b/>
                <w:spacing w:val="-2"/>
                <w:w w:val="105"/>
                <w:sz w:val="16"/>
              </w:rPr>
              <w:t>18,322</w:t>
            </w:r>
          </w:p>
        </w:tc>
      </w:tr>
    </w:tbl>
    <w:p w14:paraId="0F5F26C4" w14:textId="77777777" w:rsidR="00084F36" w:rsidRPr="00EB2BD8" w:rsidRDefault="00084F36">
      <w:pPr>
        <w:pStyle w:val="BodyText"/>
        <w:spacing w:before="7"/>
        <w:rPr>
          <w:rFonts w:ascii="Arial"/>
          <w:sz w:val="27"/>
        </w:rPr>
      </w:pPr>
    </w:p>
    <w:tbl>
      <w:tblPr>
        <w:tblW w:w="0" w:type="auto"/>
        <w:tblInd w:w="1049" w:type="dxa"/>
        <w:tblLayout w:type="fixed"/>
        <w:tblCellMar>
          <w:left w:w="0" w:type="dxa"/>
          <w:right w:w="0" w:type="dxa"/>
        </w:tblCellMar>
        <w:tblLook w:val="01E0" w:firstRow="1" w:lastRow="1" w:firstColumn="1" w:lastColumn="1" w:noHBand="0" w:noVBand="0"/>
      </w:tblPr>
      <w:tblGrid>
        <w:gridCol w:w="3292"/>
        <w:gridCol w:w="1869"/>
        <w:gridCol w:w="1012"/>
        <w:gridCol w:w="967"/>
        <w:gridCol w:w="991"/>
        <w:gridCol w:w="871"/>
      </w:tblGrid>
      <w:tr w:rsidR="00EB2BD8" w:rsidRPr="00EB2BD8" w14:paraId="03DF7AF1" w14:textId="77777777">
        <w:trPr>
          <w:trHeight w:val="772"/>
        </w:trPr>
        <w:tc>
          <w:tcPr>
            <w:tcW w:w="3292" w:type="dxa"/>
            <w:vMerge w:val="restart"/>
            <w:shd w:val="clear" w:color="auto" w:fill="2E74B5"/>
          </w:tcPr>
          <w:p w14:paraId="505EF8E1" w14:textId="77777777" w:rsidR="00084F36" w:rsidRPr="00EB2BD8" w:rsidRDefault="00084F36">
            <w:pPr>
              <w:pStyle w:val="TableParagraph"/>
              <w:rPr>
                <w:rFonts w:ascii="Times New Roman"/>
                <w:sz w:val="16"/>
              </w:rPr>
            </w:pPr>
          </w:p>
        </w:tc>
        <w:tc>
          <w:tcPr>
            <w:tcW w:w="5710" w:type="dxa"/>
            <w:gridSpan w:val="5"/>
            <w:shd w:val="clear" w:color="auto" w:fill="2E74B5"/>
          </w:tcPr>
          <w:p w14:paraId="667EBB1C" w14:textId="77777777" w:rsidR="00084F36" w:rsidRPr="00EB2BD8" w:rsidRDefault="00EB2BD8">
            <w:pPr>
              <w:pStyle w:val="TableParagraph"/>
              <w:spacing w:before="161"/>
              <w:ind w:left="2377"/>
              <w:rPr>
                <w:rFonts w:ascii="Arial"/>
                <w:b/>
                <w:sz w:val="16"/>
              </w:rPr>
            </w:pPr>
            <w:r w:rsidRPr="00EB2BD8">
              <w:rPr>
                <w:rFonts w:ascii="Arial"/>
                <w:b/>
                <w:w w:val="105"/>
                <w:sz w:val="16"/>
              </w:rPr>
              <w:t>Interest</w:t>
            </w:r>
            <w:r w:rsidRPr="00EB2BD8">
              <w:rPr>
                <w:rFonts w:ascii="Arial"/>
                <w:b/>
                <w:spacing w:val="-8"/>
                <w:w w:val="105"/>
                <w:sz w:val="16"/>
              </w:rPr>
              <w:t xml:space="preserve"> </w:t>
            </w:r>
            <w:r w:rsidRPr="00EB2BD8">
              <w:rPr>
                <w:rFonts w:ascii="Arial"/>
                <w:b/>
                <w:w w:val="105"/>
                <w:sz w:val="16"/>
              </w:rPr>
              <w:t>rate</w:t>
            </w:r>
            <w:r w:rsidRPr="00EB2BD8">
              <w:rPr>
                <w:rFonts w:ascii="Arial"/>
                <w:b/>
                <w:spacing w:val="-7"/>
                <w:w w:val="105"/>
                <w:sz w:val="16"/>
              </w:rPr>
              <w:t xml:space="preserve"> </w:t>
            </w:r>
            <w:r w:rsidRPr="00EB2BD8">
              <w:rPr>
                <w:rFonts w:ascii="Arial"/>
                <w:b/>
                <w:spacing w:val="-2"/>
                <w:w w:val="105"/>
                <w:sz w:val="16"/>
              </w:rPr>
              <w:t>exposure</w:t>
            </w:r>
          </w:p>
          <w:p w14:paraId="26DD062D" w14:textId="77777777" w:rsidR="00084F36" w:rsidRPr="00EB2BD8" w:rsidRDefault="00084F36">
            <w:pPr>
              <w:pStyle w:val="TableParagraph"/>
              <w:spacing w:before="8"/>
              <w:rPr>
                <w:rFonts w:ascii="Arial"/>
                <w:sz w:val="20"/>
              </w:rPr>
            </w:pPr>
          </w:p>
          <w:p w14:paraId="0842C07F" w14:textId="77777777" w:rsidR="00084F36" w:rsidRPr="00EB2BD8" w:rsidRDefault="00EB2BD8">
            <w:pPr>
              <w:pStyle w:val="TableParagraph"/>
              <w:spacing w:line="169" w:lineRule="exact"/>
              <w:ind w:left="978"/>
              <w:rPr>
                <w:rFonts w:ascii="Arial"/>
                <w:b/>
                <w:sz w:val="16"/>
              </w:rPr>
            </w:pPr>
            <w:r w:rsidRPr="00EB2BD8">
              <w:rPr>
                <w:rFonts w:ascii="Arial"/>
                <w:b/>
                <w:spacing w:val="-2"/>
                <w:w w:val="105"/>
                <w:sz w:val="16"/>
              </w:rPr>
              <w:t>Weighted</w:t>
            </w:r>
          </w:p>
        </w:tc>
      </w:tr>
      <w:tr w:rsidR="00EB2BD8" w:rsidRPr="00EB2BD8" w14:paraId="7D7B4FDF" w14:textId="77777777">
        <w:trPr>
          <w:trHeight w:val="423"/>
        </w:trPr>
        <w:tc>
          <w:tcPr>
            <w:tcW w:w="3292" w:type="dxa"/>
            <w:vMerge/>
            <w:tcBorders>
              <w:top w:val="nil"/>
            </w:tcBorders>
            <w:shd w:val="clear" w:color="auto" w:fill="2E74B5"/>
          </w:tcPr>
          <w:p w14:paraId="2F7C28DF" w14:textId="77777777" w:rsidR="00084F36" w:rsidRPr="00EB2BD8" w:rsidRDefault="00084F36">
            <w:pPr>
              <w:rPr>
                <w:sz w:val="2"/>
                <w:szCs w:val="2"/>
              </w:rPr>
            </w:pPr>
          </w:p>
        </w:tc>
        <w:tc>
          <w:tcPr>
            <w:tcW w:w="1869" w:type="dxa"/>
            <w:shd w:val="clear" w:color="auto" w:fill="2E74B5"/>
          </w:tcPr>
          <w:p w14:paraId="4938CB21" w14:textId="77777777" w:rsidR="00084F36" w:rsidRPr="00EB2BD8" w:rsidRDefault="00EB2BD8">
            <w:pPr>
              <w:pStyle w:val="TableParagraph"/>
              <w:spacing w:before="5" w:line="252" w:lineRule="auto"/>
              <w:ind w:left="1128" w:right="127" w:hanging="28"/>
              <w:rPr>
                <w:rFonts w:ascii="Arial"/>
                <w:b/>
                <w:sz w:val="16"/>
              </w:rPr>
            </w:pPr>
            <w:r w:rsidRPr="00EB2BD8">
              <w:rPr>
                <w:rFonts w:ascii="Arial"/>
                <w:b/>
                <w:spacing w:val="-2"/>
                <w:w w:val="105"/>
                <w:sz w:val="16"/>
              </w:rPr>
              <w:t>average interest</w:t>
            </w:r>
          </w:p>
        </w:tc>
        <w:tc>
          <w:tcPr>
            <w:tcW w:w="1012" w:type="dxa"/>
            <w:shd w:val="clear" w:color="auto" w:fill="2E74B5"/>
          </w:tcPr>
          <w:p w14:paraId="22D57BD8" w14:textId="77777777" w:rsidR="00084F36" w:rsidRPr="00EB2BD8" w:rsidRDefault="00084F36">
            <w:pPr>
              <w:pStyle w:val="TableParagraph"/>
              <w:spacing w:before="2"/>
              <w:rPr>
                <w:rFonts w:ascii="Arial"/>
                <w:sz w:val="17"/>
              </w:rPr>
            </w:pPr>
          </w:p>
          <w:p w14:paraId="72FCD28D" w14:textId="77777777" w:rsidR="00084F36" w:rsidRPr="00EB2BD8" w:rsidRDefault="00EB2BD8">
            <w:pPr>
              <w:pStyle w:val="TableParagraph"/>
              <w:ind w:right="186"/>
              <w:jc w:val="right"/>
              <w:rPr>
                <w:rFonts w:ascii="Arial"/>
                <w:b/>
                <w:sz w:val="16"/>
              </w:rPr>
            </w:pPr>
            <w:r w:rsidRPr="00EB2BD8">
              <w:rPr>
                <w:rFonts w:ascii="Arial"/>
                <w:b/>
                <w:spacing w:val="-2"/>
                <w:w w:val="105"/>
                <w:sz w:val="16"/>
              </w:rPr>
              <w:t>Carrying</w:t>
            </w:r>
          </w:p>
        </w:tc>
        <w:tc>
          <w:tcPr>
            <w:tcW w:w="967" w:type="dxa"/>
            <w:shd w:val="clear" w:color="auto" w:fill="2E74B5"/>
          </w:tcPr>
          <w:p w14:paraId="68265731" w14:textId="77777777" w:rsidR="00084F36" w:rsidRPr="00EB2BD8" w:rsidRDefault="00EB2BD8">
            <w:pPr>
              <w:pStyle w:val="TableParagraph"/>
              <w:spacing w:before="5" w:line="252" w:lineRule="auto"/>
              <w:ind w:left="184" w:right="172" w:firstLine="166"/>
              <w:rPr>
                <w:rFonts w:ascii="Arial"/>
                <w:b/>
                <w:sz w:val="16"/>
              </w:rPr>
            </w:pPr>
            <w:r w:rsidRPr="00EB2BD8">
              <w:rPr>
                <w:rFonts w:ascii="Arial"/>
                <w:b/>
                <w:spacing w:val="-4"/>
                <w:w w:val="105"/>
                <w:sz w:val="16"/>
              </w:rPr>
              <w:t xml:space="preserve">Fixed </w:t>
            </w:r>
            <w:r w:rsidRPr="00EB2BD8">
              <w:rPr>
                <w:rFonts w:ascii="Arial"/>
                <w:b/>
                <w:spacing w:val="-2"/>
                <w:w w:val="105"/>
                <w:sz w:val="16"/>
              </w:rPr>
              <w:t>interest</w:t>
            </w:r>
          </w:p>
        </w:tc>
        <w:tc>
          <w:tcPr>
            <w:tcW w:w="991" w:type="dxa"/>
            <w:shd w:val="clear" w:color="auto" w:fill="2E74B5"/>
          </w:tcPr>
          <w:p w14:paraId="21EBE944" w14:textId="77777777" w:rsidR="00084F36" w:rsidRPr="00EB2BD8" w:rsidRDefault="00EB2BD8">
            <w:pPr>
              <w:pStyle w:val="TableParagraph"/>
              <w:spacing w:before="5" w:line="252" w:lineRule="auto"/>
              <w:ind w:left="218" w:right="162" w:hanging="48"/>
              <w:rPr>
                <w:rFonts w:ascii="Arial"/>
                <w:b/>
                <w:sz w:val="16"/>
              </w:rPr>
            </w:pPr>
            <w:r w:rsidRPr="00EB2BD8">
              <w:rPr>
                <w:rFonts w:ascii="Arial"/>
                <w:b/>
                <w:spacing w:val="-2"/>
                <w:w w:val="105"/>
                <w:sz w:val="16"/>
              </w:rPr>
              <w:t>Variable interest</w:t>
            </w:r>
          </w:p>
        </w:tc>
        <w:tc>
          <w:tcPr>
            <w:tcW w:w="871" w:type="dxa"/>
            <w:shd w:val="clear" w:color="auto" w:fill="2E74B5"/>
          </w:tcPr>
          <w:p w14:paraId="72608FD8" w14:textId="77777777" w:rsidR="00084F36" w:rsidRPr="00EB2BD8" w:rsidRDefault="00EB2BD8">
            <w:pPr>
              <w:pStyle w:val="TableParagraph"/>
              <w:spacing w:before="5" w:line="252" w:lineRule="auto"/>
              <w:ind w:left="159" w:right="101" w:firstLine="222"/>
              <w:rPr>
                <w:rFonts w:ascii="Arial"/>
                <w:b/>
                <w:sz w:val="16"/>
              </w:rPr>
            </w:pPr>
            <w:r w:rsidRPr="00EB2BD8">
              <w:rPr>
                <w:rFonts w:ascii="Arial"/>
                <w:b/>
                <w:spacing w:val="-4"/>
                <w:w w:val="105"/>
                <w:sz w:val="16"/>
              </w:rPr>
              <w:t xml:space="preserve">Non- </w:t>
            </w:r>
            <w:r w:rsidRPr="00EB2BD8">
              <w:rPr>
                <w:rFonts w:ascii="Arial"/>
                <w:b/>
                <w:spacing w:val="-2"/>
                <w:w w:val="105"/>
                <w:sz w:val="16"/>
              </w:rPr>
              <w:t>interest</w:t>
            </w:r>
          </w:p>
        </w:tc>
      </w:tr>
      <w:tr w:rsidR="00EB2BD8" w:rsidRPr="00EB2BD8" w14:paraId="55E598CA" w14:textId="77777777">
        <w:trPr>
          <w:trHeight w:val="229"/>
        </w:trPr>
        <w:tc>
          <w:tcPr>
            <w:tcW w:w="3292" w:type="dxa"/>
            <w:shd w:val="clear" w:color="auto" w:fill="2E74B5"/>
          </w:tcPr>
          <w:p w14:paraId="7EB40855" w14:textId="77777777" w:rsidR="00084F36" w:rsidRPr="00EB2BD8" w:rsidRDefault="00EB2BD8">
            <w:pPr>
              <w:pStyle w:val="TableParagraph"/>
              <w:spacing w:before="42" w:line="167" w:lineRule="exact"/>
              <w:ind w:left="100"/>
              <w:rPr>
                <w:rFonts w:ascii="Arial"/>
                <w:b/>
                <w:sz w:val="16"/>
              </w:rPr>
            </w:pPr>
            <w:r w:rsidRPr="00EB2BD8">
              <w:rPr>
                <w:rFonts w:ascii="Arial"/>
                <w:b/>
                <w:spacing w:val="-4"/>
                <w:w w:val="105"/>
                <w:sz w:val="16"/>
              </w:rPr>
              <w:t>2022</w:t>
            </w:r>
          </w:p>
        </w:tc>
        <w:tc>
          <w:tcPr>
            <w:tcW w:w="1869" w:type="dxa"/>
            <w:shd w:val="clear" w:color="auto" w:fill="2E74B5"/>
          </w:tcPr>
          <w:p w14:paraId="5BB09B7D" w14:textId="77777777" w:rsidR="00084F36" w:rsidRPr="00EB2BD8" w:rsidRDefault="00EB2BD8">
            <w:pPr>
              <w:pStyle w:val="TableParagraph"/>
              <w:spacing w:line="152" w:lineRule="exact"/>
              <w:ind w:right="133"/>
              <w:jc w:val="right"/>
              <w:rPr>
                <w:rFonts w:ascii="Arial"/>
                <w:b/>
                <w:sz w:val="16"/>
              </w:rPr>
            </w:pPr>
            <w:r w:rsidRPr="00EB2BD8">
              <w:rPr>
                <w:rFonts w:ascii="Arial"/>
                <w:b/>
                <w:w w:val="105"/>
                <w:sz w:val="16"/>
              </w:rPr>
              <w:t>rate</w:t>
            </w:r>
            <w:r w:rsidRPr="00EB2BD8">
              <w:rPr>
                <w:rFonts w:ascii="Arial"/>
                <w:b/>
                <w:spacing w:val="-6"/>
                <w:w w:val="105"/>
                <w:sz w:val="16"/>
              </w:rPr>
              <w:t xml:space="preserve"> </w:t>
            </w:r>
            <w:r w:rsidRPr="00EB2BD8">
              <w:rPr>
                <w:rFonts w:ascii="Arial"/>
                <w:b/>
                <w:spacing w:val="-10"/>
                <w:w w:val="105"/>
                <w:sz w:val="16"/>
              </w:rPr>
              <w:t>%</w:t>
            </w:r>
          </w:p>
        </w:tc>
        <w:tc>
          <w:tcPr>
            <w:tcW w:w="1012" w:type="dxa"/>
            <w:shd w:val="clear" w:color="auto" w:fill="2E74B5"/>
          </w:tcPr>
          <w:p w14:paraId="2149F8EE" w14:textId="77777777" w:rsidR="00084F36" w:rsidRPr="00EB2BD8" w:rsidRDefault="00EB2BD8">
            <w:pPr>
              <w:pStyle w:val="TableParagraph"/>
              <w:spacing w:line="152" w:lineRule="exact"/>
              <w:ind w:right="186"/>
              <w:jc w:val="right"/>
              <w:rPr>
                <w:rFonts w:ascii="Arial"/>
                <w:b/>
                <w:sz w:val="16"/>
              </w:rPr>
            </w:pPr>
            <w:r w:rsidRPr="00EB2BD8">
              <w:rPr>
                <w:rFonts w:ascii="Arial"/>
                <w:b/>
                <w:spacing w:val="-2"/>
                <w:w w:val="105"/>
                <w:sz w:val="16"/>
              </w:rPr>
              <w:t>amount</w:t>
            </w:r>
          </w:p>
        </w:tc>
        <w:tc>
          <w:tcPr>
            <w:tcW w:w="967" w:type="dxa"/>
            <w:shd w:val="clear" w:color="auto" w:fill="2E74B5"/>
          </w:tcPr>
          <w:p w14:paraId="2DDF993B" w14:textId="77777777" w:rsidR="00084F36" w:rsidRPr="00EB2BD8" w:rsidRDefault="00EB2BD8">
            <w:pPr>
              <w:pStyle w:val="TableParagraph"/>
              <w:spacing w:line="152" w:lineRule="exact"/>
              <w:ind w:right="174"/>
              <w:jc w:val="right"/>
              <w:rPr>
                <w:rFonts w:ascii="Arial"/>
                <w:b/>
                <w:sz w:val="16"/>
              </w:rPr>
            </w:pPr>
            <w:r w:rsidRPr="00EB2BD8">
              <w:rPr>
                <w:rFonts w:ascii="Arial"/>
                <w:b/>
                <w:spacing w:val="-4"/>
                <w:w w:val="105"/>
                <w:sz w:val="16"/>
              </w:rPr>
              <w:t>rate</w:t>
            </w:r>
          </w:p>
        </w:tc>
        <w:tc>
          <w:tcPr>
            <w:tcW w:w="991" w:type="dxa"/>
            <w:shd w:val="clear" w:color="auto" w:fill="2E74B5"/>
          </w:tcPr>
          <w:p w14:paraId="76062CF2" w14:textId="12FEAFA0" w:rsidR="00084F36" w:rsidRPr="00EB2BD8" w:rsidRDefault="00D0600F">
            <w:pPr>
              <w:pStyle w:val="TableParagraph"/>
              <w:spacing w:line="152" w:lineRule="exact"/>
              <w:ind w:right="165"/>
              <w:jc w:val="right"/>
              <w:rPr>
                <w:rFonts w:ascii="Arial"/>
                <w:b/>
                <w:sz w:val="16"/>
              </w:rPr>
            </w:pPr>
            <w:r w:rsidRPr="00EB2BD8">
              <w:rPr>
                <w:rFonts w:ascii="Arial"/>
                <w:b/>
                <w:spacing w:val="-4"/>
                <w:w w:val="105"/>
                <w:sz w:val="16"/>
              </w:rPr>
              <w:t>R</w:t>
            </w:r>
            <w:r w:rsidR="00EB2BD8" w:rsidRPr="00EB2BD8">
              <w:rPr>
                <w:rFonts w:ascii="Arial"/>
                <w:b/>
                <w:spacing w:val="-4"/>
                <w:w w:val="105"/>
                <w:sz w:val="16"/>
              </w:rPr>
              <w:t>ate</w:t>
            </w:r>
          </w:p>
        </w:tc>
        <w:tc>
          <w:tcPr>
            <w:tcW w:w="871" w:type="dxa"/>
            <w:shd w:val="clear" w:color="auto" w:fill="2E74B5"/>
          </w:tcPr>
          <w:p w14:paraId="65F728D0" w14:textId="77777777" w:rsidR="00084F36" w:rsidRPr="00EB2BD8" w:rsidRDefault="00EB2BD8">
            <w:pPr>
              <w:pStyle w:val="TableParagraph"/>
              <w:spacing w:line="152" w:lineRule="exact"/>
              <w:ind w:right="103"/>
              <w:jc w:val="right"/>
              <w:rPr>
                <w:rFonts w:ascii="Arial"/>
                <w:b/>
                <w:sz w:val="16"/>
              </w:rPr>
            </w:pPr>
            <w:r w:rsidRPr="00EB2BD8">
              <w:rPr>
                <w:rFonts w:ascii="Arial"/>
                <w:b/>
                <w:spacing w:val="-2"/>
                <w:w w:val="105"/>
                <w:sz w:val="16"/>
              </w:rPr>
              <w:t>bearing</w:t>
            </w:r>
          </w:p>
        </w:tc>
      </w:tr>
      <w:tr w:rsidR="00EB2BD8" w:rsidRPr="00EB2BD8" w14:paraId="00363C2C" w14:textId="77777777">
        <w:trPr>
          <w:trHeight w:val="318"/>
        </w:trPr>
        <w:tc>
          <w:tcPr>
            <w:tcW w:w="3292" w:type="dxa"/>
            <w:shd w:val="clear" w:color="auto" w:fill="FFFFFF"/>
          </w:tcPr>
          <w:p w14:paraId="6423666E" w14:textId="77777777" w:rsidR="00084F36" w:rsidRPr="00EB2BD8" w:rsidRDefault="00EB2BD8">
            <w:pPr>
              <w:pStyle w:val="TableParagraph"/>
              <w:spacing w:before="68"/>
              <w:ind w:left="100"/>
              <w:rPr>
                <w:rFonts w:ascii="Arial"/>
                <w:b/>
                <w:sz w:val="16"/>
              </w:rPr>
            </w:pPr>
            <w:r w:rsidRPr="00EB2BD8">
              <w:rPr>
                <w:rFonts w:ascii="Arial"/>
                <w:b/>
                <w:w w:val="105"/>
                <w:sz w:val="16"/>
              </w:rPr>
              <w:t>Financial</w:t>
            </w:r>
            <w:r w:rsidRPr="00EB2BD8">
              <w:rPr>
                <w:rFonts w:ascii="Arial"/>
                <w:b/>
                <w:spacing w:val="-11"/>
                <w:w w:val="105"/>
                <w:sz w:val="16"/>
              </w:rPr>
              <w:t xml:space="preserve"> </w:t>
            </w:r>
            <w:r w:rsidRPr="00EB2BD8">
              <w:rPr>
                <w:rFonts w:ascii="Arial"/>
                <w:b/>
                <w:spacing w:val="-2"/>
                <w:w w:val="105"/>
                <w:sz w:val="16"/>
              </w:rPr>
              <w:t>assets</w:t>
            </w:r>
          </w:p>
        </w:tc>
        <w:tc>
          <w:tcPr>
            <w:tcW w:w="1869" w:type="dxa"/>
            <w:shd w:val="clear" w:color="auto" w:fill="FFFFFF"/>
          </w:tcPr>
          <w:p w14:paraId="3D1D7D20" w14:textId="77777777" w:rsidR="00084F36" w:rsidRPr="00EB2BD8" w:rsidRDefault="00084F36">
            <w:pPr>
              <w:pStyle w:val="TableParagraph"/>
              <w:rPr>
                <w:rFonts w:ascii="Times New Roman"/>
                <w:sz w:val="16"/>
              </w:rPr>
            </w:pPr>
          </w:p>
        </w:tc>
        <w:tc>
          <w:tcPr>
            <w:tcW w:w="1012" w:type="dxa"/>
            <w:shd w:val="clear" w:color="auto" w:fill="FFFFFF"/>
          </w:tcPr>
          <w:p w14:paraId="2F56156F" w14:textId="77777777" w:rsidR="00084F36" w:rsidRPr="00EB2BD8" w:rsidRDefault="00084F36">
            <w:pPr>
              <w:pStyle w:val="TableParagraph"/>
              <w:rPr>
                <w:rFonts w:ascii="Times New Roman"/>
                <w:sz w:val="16"/>
              </w:rPr>
            </w:pPr>
          </w:p>
        </w:tc>
        <w:tc>
          <w:tcPr>
            <w:tcW w:w="967" w:type="dxa"/>
            <w:shd w:val="clear" w:color="auto" w:fill="FFFFFF"/>
          </w:tcPr>
          <w:p w14:paraId="148110E1" w14:textId="77777777" w:rsidR="00084F36" w:rsidRPr="00EB2BD8" w:rsidRDefault="00084F36">
            <w:pPr>
              <w:pStyle w:val="TableParagraph"/>
              <w:rPr>
                <w:rFonts w:ascii="Times New Roman"/>
                <w:sz w:val="16"/>
              </w:rPr>
            </w:pPr>
          </w:p>
        </w:tc>
        <w:tc>
          <w:tcPr>
            <w:tcW w:w="991" w:type="dxa"/>
            <w:shd w:val="clear" w:color="auto" w:fill="FFFFFF"/>
          </w:tcPr>
          <w:p w14:paraId="36713B24" w14:textId="77777777" w:rsidR="00084F36" w:rsidRPr="00EB2BD8" w:rsidRDefault="00084F36">
            <w:pPr>
              <w:pStyle w:val="TableParagraph"/>
              <w:rPr>
                <w:rFonts w:ascii="Times New Roman"/>
                <w:sz w:val="16"/>
              </w:rPr>
            </w:pPr>
          </w:p>
        </w:tc>
        <w:tc>
          <w:tcPr>
            <w:tcW w:w="871" w:type="dxa"/>
            <w:shd w:val="clear" w:color="auto" w:fill="FFFFFF"/>
          </w:tcPr>
          <w:p w14:paraId="30F69EC8" w14:textId="77777777" w:rsidR="00084F36" w:rsidRPr="00EB2BD8" w:rsidRDefault="00084F36">
            <w:pPr>
              <w:pStyle w:val="TableParagraph"/>
              <w:rPr>
                <w:rFonts w:ascii="Times New Roman"/>
                <w:sz w:val="16"/>
              </w:rPr>
            </w:pPr>
          </w:p>
        </w:tc>
      </w:tr>
      <w:tr w:rsidR="00EB2BD8" w:rsidRPr="00EB2BD8" w14:paraId="06F3A0E8" w14:textId="77777777">
        <w:trPr>
          <w:trHeight w:val="314"/>
        </w:trPr>
        <w:tc>
          <w:tcPr>
            <w:tcW w:w="3292" w:type="dxa"/>
            <w:shd w:val="clear" w:color="auto" w:fill="FFFFFF"/>
          </w:tcPr>
          <w:p w14:paraId="3BAF0B79" w14:textId="77777777" w:rsidR="00084F36" w:rsidRPr="00EB2BD8" w:rsidRDefault="00EB2BD8">
            <w:pPr>
              <w:pStyle w:val="TableParagraph"/>
              <w:spacing w:before="66"/>
              <w:ind w:left="100"/>
              <w:rPr>
                <w:rFonts w:ascii="Arial"/>
                <w:sz w:val="16"/>
              </w:rPr>
            </w:pPr>
            <w:r w:rsidRPr="00EB2BD8">
              <w:rPr>
                <w:rFonts w:ascii="Arial"/>
                <w:w w:val="105"/>
                <w:sz w:val="16"/>
              </w:rPr>
              <w:t>Cash</w:t>
            </w:r>
            <w:r w:rsidRPr="00EB2BD8">
              <w:rPr>
                <w:rFonts w:ascii="Arial"/>
                <w:spacing w:val="-5"/>
                <w:w w:val="105"/>
                <w:sz w:val="16"/>
              </w:rPr>
              <w:t xml:space="preserve"> </w:t>
            </w:r>
            <w:r w:rsidRPr="00EB2BD8">
              <w:rPr>
                <w:rFonts w:ascii="Arial"/>
                <w:w w:val="105"/>
                <w:sz w:val="16"/>
              </w:rPr>
              <w:t>and</w:t>
            </w:r>
            <w:r w:rsidRPr="00EB2BD8">
              <w:rPr>
                <w:rFonts w:ascii="Arial"/>
                <w:spacing w:val="-5"/>
                <w:w w:val="105"/>
                <w:sz w:val="16"/>
              </w:rPr>
              <w:t xml:space="preserve"> </w:t>
            </w:r>
            <w:r w:rsidRPr="00EB2BD8">
              <w:rPr>
                <w:rFonts w:ascii="Arial"/>
                <w:spacing w:val="-2"/>
                <w:w w:val="105"/>
                <w:sz w:val="16"/>
              </w:rPr>
              <w:t>deposits</w:t>
            </w:r>
          </w:p>
        </w:tc>
        <w:tc>
          <w:tcPr>
            <w:tcW w:w="1869" w:type="dxa"/>
            <w:shd w:val="clear" w:color="auto" w:fill="FFFFFF"/>
          </w:tcPr>
          <w:p w14:paraId="4557F03C" w14:textId="77777777" w:rsidR="00084F36" w:rsidRPr="00EB2BD8" w:rsidRDefault="00EB2BD8">
            <w:pPr>
              <w:pStyle w:val="TableParagraph"/>
              <w:spacing w:before="66"/>
              <w:ind w:right="134"/>
              <w:jc w:val="right"/>
              <w:rPr>
                <w:rFonts w:ascii="Arial"/>
                <w:sz w:val="16"/>
              </w:rPr>
            </w:pPr>
            <w:r w:rsidRPr="00EB2BD8">
              <w:rPr>
                <w:rFonts w:ascii="Arial"/>
                <w:spacing w:val="-2"/>
                <w:w w:val="105"/>
                <w:sz w:val="16"/>
              </w:rPr>
              <w:t>0.43%</w:t>
            </w:r>
          </w:p>
        </w:tc>
        <w:tc>
          <w:tcPr>
            <w:tcW w:w="1012" w:type="dxa"/>
            <w:shd w:val="clear" w:color="auto" w:fill="FFFFFF"/>
          </w:tcPr>
          <w:p w14:paraId="59A7F667" w14:textId="77777777" w:rsidR="00084F36" w:rsidRPr="00EB2BD8" w:rsidRDefault="00EB2BD8">
            <w:pPr>
              <w:pStyle w:val="TableParagraph"/>
              <w:spacing w:before="66"/>
              <w:ind w:right="186"/>
              <w:jc w:val="right"/>
              <w:rPr>
                <w:rFonts w:ascii="Arial"/>
                <w:sz w:val="16"/>
              </w:rPr>
            </w:pPr>
            <w:r w:rsidRPr="00EB2BD8">
              <w:rPr>
                <w:rFonts w:ascii="Arial"/>
                <w:spacing w:val="-2"/>
                <w:w w:val="105"/>
                <w:sz w:val="16"/>
              </w:rPr>
              <w:t>39,542</w:t>
            </w:r>
          </w:p>
        </w:tc>
        <w:tc>
          <w:tcPr>
            <w:tcW w:w="967" w:type="dxa"/>
            <w:shd w:val="clear" w:color="auto" w:fill="FFFFFF"/>
          </w:tcPr>
          <w:p w14:paraId="1BA4A7A2" w14:textId="77777777" w:rsidR="00084F36" w:rsidRPr="00EB2BD8" w:rsidRDefault="00EB2BD8">
            <w:pPr>
              <w:pStyle w:val="TableParagraph"/>
              <w:spacing w:before="66"/>
              <w:ind w:right="173"/>
              <w:jc w:val="right"/>
              <w:rPr>
                <w:rFonts w:ascii="Arial"/>
                <w:sz w:val="16"/>
              </w:rPr>
            </w:pPr>
            <w:r w:rsidRPr="00EB2BD8">
              <w:rPr>
                <w:rFonts w:ascii="Arial"/>
                <w:w w:val="104"/>
                <w:sz w:val="16"/>
              </w:rPr>
              <w:t>-</w:t>
            </w:r>
          </w:p>
        </w:tc>
        <w:tc>
          <w:tcPr>
            <w:tcW w:w="991" w:type="dxa"/>
            <w:shd w:val="clear" w:color="auto" w:fill="FFFFFF"/>
          </w:tcPr>
          <w:p w14:paraId="16BFC001" w14:textId="77777777" w:rsidR="00084F36" w:rsidRPr="00EB2BD8" w:rsidRDefault="00EB2BD8">
            <w:pPr>
              <w:pStyle w:val="TableParagraph"/>
              <w:spacing w:before="66"/>
              <w:ind w:right="165"/>
              <w:jc w:val="right"/>
              <w:rPr>
                <w:rFonts w:ascii="Arial"/>
                <w:sz w:val="16"/>
              </w:rPr>
            </w:pPr>
            <w:r w:rsidRPr="00EB2BD8">
              <w:rPr>
                <w:rFonts w:ascii="Arial"/>
                <w:spacing w:val="-2"/>
                <w:w w:val="105"/>
                <w:sz w:val="16"/>
              </w:rPr>
              <w:t>39,542</w:t>
            </w:r>
          </w:p>
        </w:tc>
        <w:tc>
          <w:tcPr>
            <w:tcW w:w="871" w:type="dxa"/>
            <w:shd w:val="clear" w:color="auto" w:fill="FFFFFF"/>
          </w:tcPr>
          <w:p w14:paraId="5535AB26" w14:textId="77777777" w:rsidR="00084F36" w:rsidRPr="00EB2BD8" w:rsidRDefault="00EB2BD8">
            <w:pPr>
              <w:pStyle w:val="TableParagraph"/>
              <w:spacing w:before="66"/>
              <w:ind w:right="103"/>
              <w:jc w:val="right"/>
              <w:rPr>
                <w:rFonts w:ascii="Arial"/>
                <w:sz w:val="16"/>
              </w:rPr>
            </w:pPr>
            <w:r w:rsidRPr="00EB2BD8">
              <w:rPr>
                <w:rFonts w:ascii="Arial"/>
                <w:w w:val="104"/>
                <w:sz w:val="16"/>
              </w:rPr>
              <w:t>-</w:t>
            </w:r>
          </w:p>
        </w:tc>
      </w:tr>
      <w:tr w:rsidR="00EB2BD8" w:rsidRPr="00EB2BD8" w14:paraId="3F2047F0" w14:textId="77777777">
        <w:trPr>
          <w:trHeight w:val="317"/>
        </w:trPr>
        <w:tc>
          <w:tcPr>
            <w:tcW w:w="3292" w:type="dxa"/>
            <w:tcBorders>
              <w:bottom w:val="single" w:sz="12" w:space="0" w:color="000000"/>
            </w:tcBorders>
            <w:shd w:val="clear" w:color="auto" w:fill="FFFFFF"/>
          </w:tcPr>
          <w:p w14:paraId="4B709E6D" w14:textId="77777777" w:rsidR="00084F36" w:rsidRPr="00EB2BD8" w:rsidRDefault="00EB2BD8">
            <w:pPr>
              <w:pStyle w:val="TableParagraph"/>
              <w:spacing w:before="56"/>
              <w:ind w:left="100"/>
              <w:rPr>
                <w:rFonts w:ascii="Arial"/>
                <w:sz w:val="11"/>
              </w:rPr>
            </w:pPr>
            <w:r w:rsidRPr="00EB2BD8">
              <w:rPr>
                <w:rFonts w:ascii="Arial"/>
                <w:spacing w:val="-2"/>
                <w:w w:val="105"/>
                <w:sz w:val="16"/>
              </w:rPr>
              <w:t>Receivables</w:t>
            </w:r>
            <w:r w:rsidRPr="00EB2BD8">
              <w:rPr>
                <w:rFonts w:ascii="Arial"/>
                <w:spacing w:val="-2"/>
                <w:w w:val="105"/>
                <w:position w:val="6"/>
                <w:sz w:val="11"/>
              </w:rPr>
              <w:t>(a)</w:t>
            </w:r>
          </w:p>
        </w:tc>
        <w:tc>
          <w:tcPr>
            <w:tcW w:w="1869" w:type="dxa"/>
            <w:tcBorders>
              <w:bottom w:val="single" w:sz="12" w:space="0" w:color="000000"/>
            </w:tcBorders>
            <w:shd w:val="clear" w:color="auto" w:fill="FFFFFF"/>
          </w:tcPr>
          <w:p w14:paraId="3A7A93A4" w14:textId="77777777" w:rsidR="00084F36" w:rsidRPr="00EB2BD8" w:rsidRDefault="00084F36">
            <w:pPr>
              <w:pStyle w:val="TableParagraph"/>
              <w:rPr>
                <w:rFonts w:ascii="Times New Roman"/>
                <w:sz w:val="16"/>
              </w:rPr>
            </w:pPr>
          </w:p>
        </w:tc>
        <w:tc>
          <w:tcPr>
            <w:tcW w:w="1012" w:type="dxa"/>
            <w:tcBorders>
              <w:bottom w:val="single" w:sz="12" w:space="0" w:color="000000"/>
            </w:tcBorders>
            <w:shd w:val="clear" w:color="auto" w:fill="FFFFFF"/>
          </w:tcPr>
          <w:p w14:paraId="0B7EBE77" w14:textId="77777777" w:rsidR="00084F36" w:rsidRPr="00EB2BD8" w:rsidRDefault="00EB2BD8">
            <w:pPr>
              <w:pStyle w:val="TableParagraph"/>
              <w:spacing w:before="69"/>
              <w:ind w:right="186"/>
              <w:jc w:val="right"/>
              <w:rPr>
                <w:rFonts w:ascii="Arial"/>
                <w:sz w:val="16"/>
              </w:rPr>
            </w:pPr>
            <w:r w:rsidRPr="00EB2BD8">
              <w:rPr>
                <w:rFonts w:ascii="Arial"/>
                <w:spacing w:val="-5"/>
                <w:w w:val="105"/>
                <w:sz w:val="16"/>
              </w:rPr>
              <w:t>340</w:t>
            </w:r>
          </w:p>
        </w:tc>
        <w:tc>
          <w:tcPr>
            <w:tcW w:w="967" w:type="dxa"/>
            <w:tcBorders>
              <w:bottom w:val="single" w:sz="12" w:space="0" w:color="000000"/>
            </w:tcBorders>
            <w:shd w:val="clear" w:color="auto" w:fill="FFFFFF"/>
          </w:tcPr>
          <w:p w14:paraId="185DA470" w14:textId="77777777" w:rsidR="00084F36" w:rsidRPr="00EB2BD8" w:rsidRDefault="00EB2BD8">
            <w:pPr>
              <w:pStyle w:val="TableParagraph"/>
              <w:spacing w:before="69"/>
              <w:ind w:right="173"/>
              <w:jc w:val="right"/>
              <w:rPr>
                <w:rFonts w:ascii="Arial"/>
                <w:sz w:val="16"/>
              </w:rPr>
            </w:pPr>
            <w:r w:rsidRPr="00EB2BD8">
              <w:rPr>
                <w:rFonts w:ascii="Arial"/>
                <w:w w:val="104"/>
                <w:sz w:val="16"/>
              </w:rPr>
              <w:t>-</w:t>
            </w:r>
          </w:p>
        </w:tc>
        <w:tc>
          <w:tcPr>
            <w:tcW w:w="991" w:type="dxa"/>
            <w:tcBorders>
              <w:bottom w:val="single" w:sz="12" w:space="0" w:color="000000"/>
            </w:tcBorders>
            <w:shd w:val="clear" w:color="auto" w:fill="FFFFFF"/>
          </w:tcPr>
          <w:p w14:paraId="5B7A21EB" w14:textId="77777777" w:rsidR="00084F36" w:rsidRPr="00EB2BD8" w:rsidRDefault="00EB2BD8">
            <w:pPr>
              <w:pStyle w:val="TableParagraph"/>
              <w:spacing w:before="69"/>
              <w:ind w:right="164"/>
              <w:jc w:val="right"/>
              <w:rPr>
                <w:rFonts w:ascii="Arial"/>
                <w:sz w:val="16"/>
              </w:rPr>
            </w:pPr>
            <w:r w:rsidRPr="00EB2BD8">
              <w:rPr>
                <w:rFonts w:ascii="Arial"/>
                <w:w w:val="104"/>
                <w:sz w:val="16"/>
              </w:rPr>
              <w:t>-</w:t>
            </w:r>
          </w:p>
        </w:tc>
        <w:tc>
          <w:tcPr>
            <w:tcW w:w="871" w:type="dxa"/>
            <w:tcBorders>
              <w:bottom w:val="single" w:sz="12" w:space="0" w:color="000000"/>
            </w:tcBorders>
            <w:shd w:val="clear" w:color="auto" w:fill="FFFFFF"/>
          </w:tcPr>
          <w:p w14:paraId="77742E47" w14:textId="77777777" w:rsidR="00084F36" w:rsidRPr="00EB2BD8" w:rsidRDefault="00EB2BD8">
            <w:pPr>
              <w:pStyle w:val="TableParagraph"/>
              <w:spacing w:before="69"/>
              <w:ind w:right="103"/>
              <w:jc w:val="right"/>
              <w:rPr>
                <w:rFonts w:ascii="Arial"/>
                <w:sz w:val="16"/>
              </w:rPr>
            </w:pPr>
            <w:r w:rsidRPr="00EB2BD8">
              <w:rPr>
                <w:rFonts w:ascii="Arial"/>
                <w:spacing w:val="-5"/>
                <w:w w:val="105"/>
                <w:sz w:val="16"/>
              </w:rPr>
              <w:t>340</w:t>
            </w:r>
          </w:p>
        </w:tc>
      </w:tr>
      <w:tr w:rsidR="00EB2BD8" w:rsidRPr="00EB2BD8" w14:paraId="2644F62B" w14:textId="77777777">
        <w:trPr>
          <w:trHeight w:val="286"/>
        </w:trPr>
        <w:tc>
          <w:tcPr>
            <w:tcW w:w="3292" w:type="dxa"/>
            <w:tcBorders>
              <w:top w:val="single" w:sz="12" w:space="0" w:color="000000"/>
              <w:bottom w:val="single" w:sz="12" w:space="0" w:color="000000"/>
            </w:tcBorders>
            <w:shd w:val="clear" w:color="auto" w:fill="FFFFFF"/>
          </w:tcPr>
          <w:p w14:paraId="54749CA0" w14:textId="77777777" w:rsidR="00084F36" w:rsidRPr="00EB2BD8" w:rsidRDefault="00EB2BD8">
            <w:pPr>
              <w:pStyle w:val="TableParagraph"/>
              <w:spacing w:before="53"/>
              <w:ind w:left="100"/>
              <w:rPr>
                <w:rFonts w:ascii="Arial"/>
                <w:b/>
                <w:sz w:val="16"/>
              </w:rPr>
            </w:pPr>
            <w:r w:rsidRPr="00EB2BD8">
              <w:rPr>
                <w:rFonts w:ascii="Arial"/>
                <w:b/>
                <w:w w:val="105"/>
                <w:sz w:val="16"/>
              </w:rPr>
              <w:t>Total</w:t>
            </w:r>
            <w:r w:rsidRPr="00EB2BD8">
              <w:rPr>
                <w:rFonts w:ascii="Arial"/>
                <w:b/>
                <w:spacing w:val="-8"/>
                <w:w w:val="105"/>
                <w:sz w:val="16"/>
              </w:rPr>
              <w:t xml:space="preserve"> </w:t>
            </w:r>
            <w:r w:rsidRPr="00EB2BD8">
              <w:rPr>
                <w:rFonts w:ascii="Arial"/>
                <w:b/>
                <w:w w:val="105"/>
                <w:sz w:val="16"/>
              </w:rPr>
              <w:t>financial</w:t>
            </w:r>
            <w:r w:rsidRPr="00EB2BD8">
              <w:rPr>
                <w:rFonts w:ascii="Arial"/>
                <w:b/>
                <w:spacing w:val="-9"/>
                <w:w w:val="105"/>
                <w:sz w:val="16"/>
              </w:rPr>
              <w:t xml:space="preserve"> </w:t>
            </w:r>
            <w:r w:rsidRPr="00EB2BD8">
              <w:rPr>
                <w:rFonts w:ascii="Arial"/>
                <w:b/>
                <w:spacing w:val="-2"/>
                <w:w w:val="105"/>
                <w:sz w:val="16"/>
              </w:rPr>
              <w:t>assets</w:t>
            </w:r>
          </w:p>
        </w:tc>
        <w:tc>
          <w:tcPr>
            <w:tcW w:w="1869" w:type="dxa"/>
            <w:tcBorders>
              <w:top w:val="single" w:sz="12" w:space="0" w:color="000000"/>
              <w:bottom w:val="single" w:sz="12" w:space="0" w:color="000000"/>
            </w:tcBorders>
            <w:shd w:val="clear" w:color="auto" w:fill="FFFFFF"/>
          </w:tcPr>
          <w:p w14:paraId="18A9892F" w14:textId="77777777" w:rsidR="00084F36" w:rsidRPr="00EB2BD8" w:rsidRDefault="00084F36">
            <w:pPr>
              <w:pStyle w:val="TableParagraph"/>
              <w:rPr>
                <w:rFonts w:ascii="Times New Roman"/>
                <w:sz w:val="16"/>
              </w:rPr>
            </w:pPr>
          </w:p>
        </w:tc>
        <w:tc>
          <w:tcPr>
            <w:tcW w:w="1012" w:type="dxa"/>
            <w:tcBorders>
              <w:top w:val="single" w:sz="12" w:space="0" w:color="000000"/>
              <w:bottom w:val="single" w:sz="12" w:space="0" w:color="000000"/>
            </w:tcBorders>
            <w:shd w:val="clear" w:color="auto" w:fill="FFFFFF"/>
          </w:tcPr>
          <w:p w14:paraId="3B00887F" w14:textId="77777777" w:rsidR="00084F36" w:rsidRPr="00EB2BD8" w:rsidRDefault="00EB2BD8">
            <w:pPr>
              <w:pStyle w:val="TableParagraph"/>
              <w:spacing w:before="53"/>
              <w:ind w:right="186"/>
              <w:jc w:val="right"/>
              <w:rPr>
                <w:rFonts w:ascii="Arial"/>
                <w:b/>
                <w:sz w:val="16"/>
              </w:rPr>
            </w:pPr>
            <w:r w:rsidRPr="00EB2BD8">
              <w:rPr>
                <w:rFonts w:ascii="Arial"/>
                <w:b/>
                <w:spacing w:val="-2"/>
                <w:w w:val="105"/>
                <w:sz w:val="16"/>
              </w:rPr>
              <w:t>39,882</w:t>
            </w:r>
          </w:p>
        </w:tc>
        <w:tc>
          <w:tcPr>
            <w:tcW w:w="967" w:type="dxa"/>
            <w:tcBorders>
              <w:top w:val="single" w:sz="12" w:space="0" w:color="000000"/>
              <w:bottom w:val="single" w:sz="12" w:space="0" w:color="000000"/>
            </w:tcBorders>
            <w:shd w:val="clear" w:color="auto" w:fill="FFFFFF"/>
          </w:tcPr>
          <w:p w14:paraId="1E81415D" w14:textId="77777777" w:rsidR="00084F36" w:rsidRPr="00EB2BD8" w:rsidRDefault="00EB2BD8">
            <w:pPr>
              <w:pStyle w:val="TableParagraph"/>
              <w:spacing w:before="53"/>
              <w:ind w:right="173"/>
              <w:jc w:val="right"/>
              <w:rPr>
                <w:rFonts w:ascii="Arial"/>
                <w:sz w:val="16"/>
              </w:rPr>
            </w:pPr>
            <w:r w:rsidRPr="00EB2BD8">
              <w:rPr>
                <w:rFonts w:ascii="Arial"/>
                <w:w w:val="104"/>
                <w:sz w:val="16"/>
              </w:rPr>
              <w:t>-</w:t>
            </w:r>
          </w:p>
        </w:tc>
        <w:tc>
          <w:tcPr>
            <w:tcW w:w="991" w:type="dxa"/>
            <w:tcBorders>
              <w:top w:val="single" w:sz="12" w:space="0" w:color="000000"/>
              <w:bottom w:val="single" w:sz="12" w:space="0" w:color="000000"/>
            </w:tcBorders>
            <w:shd w:val="clear" w:color="auto" w:fill="FFFFFF"/>
          </w:tcPr>
          <w:p w14:paraId="5FB53C5D" w14:textId="77777777" w:rsidR="00084F36" w:rsidRPr="00EB2BD8" w:rsidRDefault="00EB2BD8">
            <w:pPr>
              <w:pStyle w:val="TableParagraph"/>
              <w:spacing w:before="53"/>
              <w:ind w:right="165"/>
              <w:jc w:val="right"/>
              <w:rPr>
                <w:rFonts w:ascii="Arial"/>
                <w:b/>
                <w:sz w:val="16"/>
              </w:rPr>
            </w:pPr>
            <w:r w:rsidRPr="00EB2BD8">
              <w:rPr>
                <w:rFonts w:ascii="Arial"/>
                <w:b/>
                <w:spacing w:val="-2"/>
                <w:w w:val="105"/>
                <w:sz w:val="16"/>
              </w:rPr>
              <w:t>39,542</w:t>
            </w:r>
          </w:p>
        </w:tc>
        <w:tc>
          <w:tcPr>
            <w:tcW w:w="871" w:type="dxa"/>
            <w:tcBorders>
              <w:top w:val="single" w:sz="12" w:space="0" w:color="000000"/>
              <w:bottom w:val="single" w:sz="12" w:space="0" w:color="000000"/>
            </w:tcBorders>
            <w:shd w:val="clear" w:color="auto" w:fill="FFFFFF"/>
          </w:tcPr>
          <w:p w14:paraId="46D9A2BD" w14:textId="77777777" w:rsidR="00084F36" w:rsidRPr="00EB2BD8" w:rsidRDefault="00EB2BD8">
            <w:pPr>
              <w:pStyle w:val="TableParagraph"/>
              <w:spacing w:before="53"/>
              <w:ind w:right="103"/>
              <w:jc w:val="right"/>
              <w:rPr>
                <w:rFonts w:ascii="Arial"/>
                <w:b/>
                <w:sz w:val="16"/>
              </w:rPr>
            </w:pPr>
            <w:r w:rsidRPr="00EB2BD8">
              <w:rPr>
                <w:rFonts w:ascii="Arial"/>
                <w:b/>
                <w:spacing w:val="-5"/>
                <w:w w:val="105"/>
                <w:sz w:val="16"/>
              </w:rPr>
              <w:t>340</w:t>
            </w:r>
          </w:p>
        </w:tc>
      </w:tr>
      <w:tr w:rsidR="00EB2BD8" w:rsidRPr="00EB2BD8" w14:paraId="1F41F4AC" w14:textId="77777777">
        <w:trPr>
          <w:trHeight w:val="297"/>
        </w:trPr>
        <w:tc>
          <w:tcPr>
            <w:tcW w:w="3292" w:type="dxa"/>
            <w:tcBorders>
              <w:top w:val="single" w:sz="12" w:space="0" w:color="000000"/>
            </w:tcBorders>
            <w:shd w:val="clear" w:color="auto" w:fill="FFFFFF"/>
          </w:tcPr>
          <w:p w14:paraId="3EA48A5E" w14:textId="77777777" w:rsidR="00084F36" w:rsidRPr="00EB2BD8" w:rsidRDefault="00EB2BD8">
            <w:pPr>
              <w:pStyle w:val="TableParagraph"/>
              <w:spacing w:before="54"/>
              <w:ind w:left="100"/>
              <w:rPr>
                <w:rFonts w:ascii="Arial"/>
                <w:b/>
                <w:sz w:val="16"/>
              </w:rPr>
            </w:pPr>
            <w:r w:rsidRPr="00EB2BD8">
              <w:rPr>
                <w:rFonts w:ascii="Arial"/>
                <w:b/>
                <w:w w:val="105"/>
                <w:sz w:val="16"/>
              </w:rPr>
              <w:t>Financial</w:t>
            </w:r>
            <w:r w:rsidRPr="00EB2BD8">
              <w:rPr>
                <w:rFonts w:ascii="Arial"/>
                <w:b/>
                <w:spacing w:val="-12"/>
                <w:w w:val="105"/>
                <w:sz w:val="16"/>
              </w:rPr>
              <w:t xml:space="preserve"> </w:t>
            </w:r>
            <w:r w:rsidRPr="00EB2BD8">
              <w:rPr>
                <w:rFonts w:ascii="Arial"/>
                <w:b/>
                <w:spacing w:val="-2"/>
                <w:w w:val="105"/>
                <w:sz w:val="16"/>
              </w:rPr>
              <w:t>liabilities</w:t>
            </w:r>
          </w:p>
        </w:tc>
        <w:tc>
          <w:tcPr>
            <w:tcW w:w="1869" w:type="dxa"/>
            <w:tcBorders>
              <w:top w:val="single" w:sz="12" w:space="0" w:color="000000"/>
            </w:tcBorders>
            <w:shd w:val="clear" w:color="auto" w:fill="FFFFFF"/>
          </w:tcPr>
          <w:p w14:paraId="495CFB36" w14:textId="77777777" w:rsidR="00084F36" w:rsidRPr="00EB2BD8" w:rsidRDefault="00084F36">
            <w:pPr>
              <w:pStyle w:val="TableParagraph"/>
              <w:rPr>
                <w:rFonts w:ascii="Times New Roman"/>
                <w:sz w:val="16"/>
              </w:rPr>
            </w:pPr>
          </w:p>
        </w:tc>
        <w:tc>
          <w:tcPr>
            <w:tcW w:w="1012" w:type="dxa"/>
            <w:tcBorders>
              <w:top w:val="single" w:sz="12" w:space="0" w:color="000000"/>
            </w:tcBorders>
            <w:shd w:val="clear" w:color="auto" w:fill="FFFFFF"/>
          </w:tcPr>
          <w:p w14:paraId="0F1E0FE6" w14:textId="77777777" w:rsidR="00084F36" w:rsidRPr="00EB2BD8" w:rsidRDefault="00084F36">
            <w:pPr>
              <w:pStyle w:val="TableParagraph"/>
              <w:rPr>
                <w:rFonts w:ascii="Times New Roman"/>
                <w:sz w:val="16"/>
              </w:rPr>
            </w:pPr>
          </w:p>
        </w:tc>
        <w:tc>
          <w:tcPr>
            <w:tcW w:w="967" w:type="dxa"/>
            <w:tcBorders>
              <w:top w:val="single" w:sz="12" w:space="0" w:color="000000"/>
            </w:tcBorders>
            <w:shd w:val="clear" w:color="auto" w:fill="FFFFFF"/>
          </w:tcPr>
          <w:p w14:paraId="0F54B6C3" w14:textId="77777777" w:rsidR="00084F36" w:rsidRPr="00EB2BD8" w:rsidRDefault="00084F36">
            <w:pPr>
              <w:pStyle w:val="TableParagraph"/>
              <w:rPr>
                <w:rFonts w:ascii="Times New Roman"/>
                <w:sz w:val="16"/>
              </w:rPr>
            </w:pPr>
          </w:p>
        </w:tc>
        <w:tc>
          <w:tcPr>
            <w:tcW w:w="991" w:type="dxa"/>
            <w:tcBorders>
              <w:top w:val="single" w:sz="12" w:space="0" w:color="000000"/>
            </w:tcBorders>
            <w:shd w:val="clear" w:color="auto" w:fill="FFFFFF"/>
          </w:tcPr>
          <w:p w14:paraId="3FF3FFE7" w14:textId="77777777" w:rsidR="00084F36" w:rsidRPr="00EB2BD8" w:rsidRDefault="00084F36">
            <w:pPr>
              <w:pStyle w:val="TableParagraph"/>
              <w:rPr>
                <w:rFonts w:ascii="Times New Roman"/>
                <w:sz w:val="16"/>
              </w:rPr>
            </w:pPr>
          </w:p>
        </w:tc>
        <w:tc>
          <w:tcPr>
            <w:tcW w:w="871" w:type="dxa"/>
            <w:tcBorders>
              <w:top w:val="single" w:sz="12" w:space="0" w:color="000000"/>
            </w:tcBorders>
            <w:shd w:val="clear" w:color="auto" w:fill="FFFFFF"/>
          </w:tcPr>
          <w:p w14:paraId="0EAD0914" w14:textId="77777777" w:rsidR="00084F36" w:rsidRPr="00EB2BD8" w:rsidRDefault="00084F36">
            <w:pPr>
              <w:pStyle w:val="TableParagraph"/>
              <w:rPr>
                <w:rFonts w:ascii="Times New Roman"/>
                <w:sz w:val="16"/>
              </w:rPr>
            </w:pPr>
          </w:p>
        </w:tc>
      </w:tr>
      <w:tr w:rsidR="00EB2BD8" w:rsidRPr="00EB2BD8" w14:paraId="1096C05A" w14:textId="77777777">
        <w:trPr>
          <w:trHeight w:val="310"/>
        </w:trPr>
        <w:tc>
          <w:tcPr>
            <w:tcW w:w="3292" w:type="dxa"/>
            <w:shd w:val="clear" w:color="auto" w:fill="FFFFFF"/>
          </w:tcPr>
          <w:p w14:paraId="40542AFF" w14:textId="77777777" w:rsidR="00084F36" w:rsidRPr="00EB2BD8" w:rsidRDefault="00EB2BD8">
            <w:pPr>
              <w:pStyle w:val="TableParagraph"/>
              <w:spacing w:before="60"/>
              <w:ind w:left="100"/>
              <w:rPr>
                <w:rFonts w:ascii="Arial"/>
                <w:b/>
                <w:sz w:val="16"/>
              </w:rPr>
            </w:pPr>
            <w:r w:rsidRPr="00EB2BD8">
              <w:rPr>
                <w:rFonts w:ascii="Arial"/>
                <w:b/>
                <w:spacing w:val="-2"/>
                <w:w w:val="105"/>
                <w:sz w:val="16"/>
              </w:rPr>
              <w:t>Payables:</w:t>
            </w:r>
          </w:p>
        </w:tc>
        <w:tc>
          <w:tcPr>
            <w:tcW w:w="1869" w:type="dxa"/>
            <w:shd w:val="clear" w:color="auto" w:fill="FFFFFF"/>
          </w:tcPr>
          <w:p w14:paraId="78026189" w14:textId="77777777" w:rsidR="00084F36" w:rsidRPr="00EB2BD8" w:rsidRDefault="00084F36">
            <w:pPr>
              <w:pStyle w:val="TableParagraph"/>
              <w:rPr>
                <w:rFonts w:ascii="Times New Roman"/>
                <w:sz w:val="16"/>
              </w:rPr>
            </w:pPr>
          </w:p>
        </w:tc>
        <w:tc>
          <w:tcPr>
            <w:tcW w:w="1012" w:type="dxa"/>
            <w:shd w:val="clear" w:color="auto" w:fill="FFFFFF"/>
          </w:tcPr>
          <w:p w14:paraId="0E64AA00" w14:textId="77777777" w:rsidR="00084F36" w:rsidRPr="00EB2BD8" w:rsidRDefault="00084F36">
            <w:pPr>
              <w:pStyle w:val="TableParagraph"/>
              <w:rPr>
                <w:rFonts w:ascii="Times New Roman"/>
                <w:sz w:val="16"/>
              </w:rPr>
            </w:pPr>
          </w:p>
        </w:tc>
        <w:tc>
          <w:tcPr>
            <w:tcW w:w="967" w:type="dxa"/>
            <w:shd w:val="clear" w:color="auto" w:fill="FFFFFF"/>
          </w:tcPr>
          <w:p w14:paraId="46DA84C3" w14:textId="77777777" w:rsidR="00084F36" w:rsidRPr="00EB2BD8" w:rsidRDefault="00084F36">
            <w:pPr>
              <w:pStyle w:val="TableParagraph"/>
              <w:rPr>
                <w:rFonts w:ascii="Times New Roman"/>
                <w:sz w:val="16"/>
              </w:rPr>
            </w:pPr>
          </w:p>
        </w:tc>
        <w:tc>
          <w:tcPr>
            <w:tcW w:w="991" w:type="dxa"/>
            <w:shd w:val="clear" w:color="auto" w:fill="FFFFFF"/>
          </w:tcPr>
          <w:p w14:paraId="4824009C" w14:textId="77777777" w:rsidR="00084F36" w:rsidRPr="00EB2BD8" w:rsidRDefault="00084F36">
            <w:pPr>
              <w:pStyle w:val="TableParagraph"/>
              <w:rPr>
                <w:rFonts w:ascii="Times New Roman"/>
                <w:sz w:val="16"/>
              </w:rPr>
            </w:pPr>
          </w:p>
        </w:tc>
        <w:tc>
          <w:tcPr>
            <w:tcW w:w="871" w:type="dxa"/>
            <w:shd w:val="clear" w:color="auto" w:fill="FFFFFF"/>
          </w:tcPr>
          <w:p w14:paraId="28383D5C" w14:textId="77777777" w:rsidR="00084F36" w:rsidRPr="00EB2BD8" w:rsidRDefault="00084F36">
            <w:pPr>
              <w:pStyle w:val="TableParagraph"/>
              <w:rPr>
                <w:rFonts w:ascii="Times New Roman"/>
                <w:sz w:val="16"/>
              </w:rPr>
            </w:pPr>
          </w:p>
        </w:tc>
      </w:tr>
      <w:tr w:rsidR="00EB2BD8" w:rsidRPr="00EB2BD8" w14:paraId="5FE5CD44" w14:textId="77777777">
        <w:trPr>
          <w:trHeight w:val="316"/>
        </w:trPr>
        <w:tc>
          <w:tcPr>
            <w:tcW w:w="3292" w:type="dxa"/>
            <w:shd w:val="clear" w:color="auto" w:fill="FFFFFF"/>
          </w:tcPr>
          <w:p w14:paraId="025DEC94" w14:textId="77777777" w:rsidR="00084F36" w:rsidRPr="00EB2BD8" w:rsidRDefault="00EB2BD8">
            <w:pPr>
              <w:pStyle w:val="TableParagraph"/>
              <w:spacing w:before="66"/>
              <w:ind w:left="100"/>
              <w:rPr>
                <w:rFonts w:ascii="Arial"/>
                <w:sz w:val="16"/>
              </w:rPr>
            </w:pPr>
            <w:r w:rsidRPr="00EB2BD8">
              <w:rPr>
                <w:rFonts w:ascii="Arial"/>
                <w:w w:val="105"/>
                <w:sz w:val="16"/>
              </w:rPr>
              <w:t>Contract</w:t>
            </w:r>
            <w:r w:rsidRPr="00EB2BD8">
              <w:rPr>
                <w:rFonts w:ascii="Arial"/>
                <w:spacing w:val="-11"/>
                <w:w w:val="105"/>
                <w:sz w:val="16"/>
              </w:rPr>
              <w:t xml:space="preserve"> </w:t>
            </w:r>
            <w:r w:rsidRPr="00EB2BD8">
              <w:rPr>
                <w:rFonts w:ascii="Arial"/>
                <w:spacing w:val="-2"/>
                <w:w w:val="105"/>
                <w:sz w:val="16"/>
              </w:rPr>
              <w:t>payables</w:t>
            </w:r>
          </w:p>
        </w:tc>
        <w:tc>
          <w:tcPr>
            <w:tcW w:w="1869" w:type="dxa"/>
            <w:shd w:val="clear" w:color="auto" w:fill="FFFFFF"/>
          </w:tcPr>
          <w:p w14:paraId="68499FDD" w14:textId="77777777" w:rsidR="00084F36" w:rsidRPr="00EB2BD8" w:rsidRDefault="00EB2BD8">
            <w:pPr>
              <w:pStyle w:val="TableParagraph"/>
              <w:spacing w:before="66"/>
              <w:ind w:right="132"/>
              <w:jc w:val="right"/>
              <w:rPr>
                <w:rFonts w:ascii="Arial"/>
                <w:sz w:val="16"/>
              </w:rPr>
            </w:pPr>
            <w:r w:rsidRPr="00EB2BD8">
              <w:rPr>
                <w:rFonts w:ascii="Arial"/>
                <w:w w:val="104"/>
                <w:sz w:val="16"/>
              </w:rPr>
              <w:t>-</w:t>
            </w:r>
          </w:p>
        </w:tc>
        <w:tc>
          <w:tcPr>
            <w:tcW w:w="1012" w:type="dxa"/>
            <w:shd w:val="clear" w:color="auto" w:fill="FFFFFF"/>
          </w:tcPr>
          <w:p w14:paraId="6B86C0AB" w14:textId="77777777" w:rsidR="00084F36" w:rsidRPr="00EB2BD8" w:rsidRDefault="00EB2BD8">
            <w:pPr>
              <w:pStyle w:val="TableParagraph"/>
              <w:spacing w:before="66"/>
              <w:ind w:right="185"/>
              <w:jc w:val="right"/>
              <w:rPr>
                <w:rFonts w:ascii="Arial"/>
                <w:sz w:val="16"/>
              </w:rPr>
            </w:pPr>
            <w:r w:rsidRPr="00EB2BD8">
              <w:rPr>
                <w:rFonts w:ascii="Arial"/>
                <w:spacing w:val="-2"/>
                <w:w w:val="105"/>
                <w:sz w:val="16"/>
              </w:rPr>
              <w:t>10,673</w:t>
            </w:r>
          </w:p>
        </w:tc>
        <w:tc>
          <w:tcPr>
            <w:tcW w:w="967" w:type="dxa"/>
            <w:shd w:val="clear" w:color="auto" w:fill="FFFFFF"/>
          </w:tcPr>
          <w:p w14:paraId="2B9A59BB" w14:textId="77777777" w:rsidR="00084F36" w:rsidRPr="00EB2BD8" w:rsidRDefault="00EB2BD8">
            <w:pPr>
              <w:pStyle w:val="TableParagraph"/>
              <w:spacing w:before="66"/>
              <w:ind w:right="173"/>
              <w:jc w:val="right"/>
              <w:rPr>
                <w:rFonts w:ascii="Arial"/>
                <w:sz w:val="16"/>
              </w:rPr>
            </w:pPr>
            <w:r w:rsidRPr="00EB2BD8">
              <w:rPr>
                <w:rFonts w:ascii="Arial"/>
                <w:w w:val="104"/>
                <w:sz w:val="16"/>
              </w:rPr>
              <w:t>-</w:t>
            </w:r>
          </w:p>
        </w:tc>
        <w:tc>
          <w:tcPr>
            <w:tcW w:w="991" w:type="dxa"/>
            <w:shd w:val="clear" w:color="auto" w:fill="FFFFFF"/>
          </w:tcPr>
          <w:p w14:paraId="5B712D47" w14:textId="77777777" w:rsidR="00084F36" w:rsidRPr="00EB2BD8" w:rsidRDefault="00EB2BD8">
            <w:pPr>
              <w:pStyle w:val="TableParagraph"/>
              <w:spacing w:before="66"/>
              <w:ind w:right="164"/>
              <w:jc w:val="right"/>
              <w:rPr>
                <w:rFonts w:ascii="Arial"/>
                <w:sz w:val="16"/>
              </w:rPr>
            </w:pPr>
            <w:r w:rsidRPr="00EB2BD8">
              <w:rPr>
                <w:rFonts w:ascii="Arial"/>
                <w:w w:val="104"/>
                <w:sz w:val="16"/>
              </w:rPr>
              <w:t>-</w:t>
            </w:r>
          </w:p>
        </w:tc>
        <w:tc>
          <w:tcPr>
            <w:tcW w:w="871" w:type="dxa"/>
            <w:shd w:val="clear" w:color="auto" w:fill="FFFFFF"/>
          </w:tcPr>
          <w:p w14:paraId="1FE2EE89" w14:textId="77777777" w:rsidR="00084F36" w:rsidRPr="00EB2BD8" w:rsidRDefault="00EB2BD8">
            <w:pPr>
              <w:pStyle w:val="TableParagraph"/>
              <w:spacing w:before="66"/>
              <w:ind w:right="102"/>
              <w:jc w:val="right"/>
              <w:rPr>
                <w:rFonts w:ascii="Arial"/>
                <w:sz w:val="16"/>
              </w:rPr>
            </w:pPr>
            <w:r w:rsidRPr="00EB2BD8">
              <w:rPr>
                <w:rFonts w:ascii="Arial"/>
                <w:spacing w:val="-2"/>
                <w:w w:val="105"/>
                <w:sz w:val="16"/>
              </w:rPr>
              <w:t>10,673</w:t>
            </w:r>
          </w:p>
        </w:tc>
      </w:tr>
      <w:tr w:rsidR="00EB2BD8" w:rsidRPr="00EB2BD8" w14:paraId="78E0C9D0" w14:textId="77777777">
        <w:trPr>
          <w:trHeight w:val="317"/>
        </w:trPr>
        <w:tc>
          <w:tcPr>
            <w:tcW w:w="3292" w:type="dxa"/>
            <w:shd w:val="clear" w:color="auto" w:fill="FFFFFF"/>
          </w:tcPr>
          <w:p w14:paraId="0E009F32" w14:textId="77777777" w:rsidR="00084F36" w:rsidRPr="00EB2BD8" w:rsidRDefault="00EB2BD8">
            <w:pPr>
              <w:pStyle w:val="TableParagraph"/>
              <w:spacing w:before="66"/>
              <w:ind w:left="100"/>
              <w:rPr>
                <w:rFonts w:ascii="Arial"/>
                <w:sz w:val="16"/>
              </w:rPr>
            </w:pPr>
            <w:r w:rsidRPr="00EB2BD8">
              <w:rPr>
                <w:rFonts w:ascii="Arial"/>
                <w:w w:val="105"/>
                <w:sz w:val="16"/>
              </w:rPr>
              <w:t>Other</w:t>
            </w:r>
            <w:r w:rsidRPr="00EB2BD8">
              <w:rPr>
                <w:rFonts w:ascii="Arial"/>
                <w:spacing w:val="-7"/>
                <w:w w:val="105"/>
                <w:sz w:val="16"/>
              </w:rPr>
              <w:t xml:space="preserve"> </w:t>
            </w:r>
            <w:r w:rsidRPr="00EB2BD8">
              <w:rPr>
                <w:rFonts w:ascii="Arial"/>
                <w:spacing w:val="-2"/>
                <w:w w:val="105"/>
                <w:sz w:val="16"/>
              </w:rPr>
              <w:t>liabilities</w:t>
            </w:r>
          </w:p>
        </w:tc>
        <w:tc>
          <w:tcPr>
            <w:tcW w:w="1869" w:type="dxa"/>
            <w:shd w:val="clear" w:color="auto" w:fill="FFFFFF"/>
          </w:tcPr>
          <w:p w14:paraId="48E7ED72" w14:textId="77777777" w:rsidR="00084F36" w:rsidRPr="00EB2BD8" w:rsidRDefault="00EB2BD8">
            <w:pPr>
              <w:pStyle w:val="TableParagraph"/>
              <w:spacing w:before="66"/>
              <w:ind w:right="132"/>
              <w:jc w:val="right"/>
              <w:rPr>
                <w:rFonts w:ascii="Arial"/>
                <w:sz w:val="16"/>
              </w:rPr>
            </w:pPr>
            <w:r w:rsidRPr="00EB2BD8">
              <w:rPr>
                <w:rFonts w:ascii="Arial"/>
                <w:w w:val="104"/>
                <w:sz w:val="16"/>
              </w:rPr>
              <w:t>-</w:t>
            </w:r>
          </w:p>
        </w:tc>
        <w:tc>
          <w:tcPr>
            <w:tcW w:w="1012" w:type="dxa"/>
            <w:shd w:val="clear" w:color="auto" w:fill="FFFFFF"/>
          </w:tcPr>
          <w:p w14:paraId="048D15AB" w14:textId="77777777" w:rsidR="00084F36" w:rsidRPr="00EB2BD8" w:rsidRDefault="00EB2BD8">
            <w:pPr>
              <w:pStyle w:val="TableParagraph"/>
              <w:spacing w:before="66"/>
              <w:ind w:right="186"/>
              <w:jc w:val="right"/>
              <w:rPr>
                <w:rFonts w:ascii="Arial"/>
                <w:sz w:val="16"/>
              </w:rPr>
            </w:pPr>
            <w:r w:rsidRPr="00EB2BD8">
              <w:rPr>
                <w:rFonts w:ascii="Arial"/>
                <w:spacing w:val="-2"/>
                <w:w w:val="105"/>
                <w:sz w:val="16"/>
              </w:rPr>
              <w:t>1,708</w:t>
            </w:r>
          </w:p>
        </w:tc>
        <w:tc>
          <w:tcPr>
            <w:tcW w:w="967" w:type="dxa"/>
            <w:shd w:val="clear" w:color="auto" w:fill="FFFFFF"/>
          </w:tcPr>
          <w:p w14:paraId="33850023" w14:textId="77777777" w:rsidR="00084F36" w:rsidRPr="00EB2BD8" w:rsidRDefault="00EB2BD8">
            <w:pPr>
              <w:pStyle w:val="TableParagraph"/>
              <w:spacing w:before="66"/>
              <w:ind w:right="173"/>
              <w:jc w:val="right"/>
              <w:rPr>
                <w:rFonts w:ascii="Arial"/>
                <w:sz w:val="16"/>
              </w:rPr>
            </w:pPr>
            <w:r w:rsidRPr="00EB2BD8">
              <w:rPr>
                <w:rFonts w:ascii="Arial"/>
                <w:w w:val="104"/>
                <w:sz w:val="16"/>
              </w:rPr>
              <w:t>-</w:t>
            </w:r>
          </w:p>
        </w:tc>
        <w:tc>
          <w:tcPr>
            <w:tcW w:w="991" w:type="dxa"/>
            <w:shd w:val="clear" w:color="auto" w:fill="FFFFFF"/>
          </w:tcPr>
          <w:p w14:paraId="10630F57" w14:textId="77777777" w:rsidR="00084F36" w:rsidRPr="00EB2BD8" w:rsidRDefault="00EB2BD8">
            <w:pPr>
              <w:pStyle w:val="TableParagraph"/>
              <w:spacing w:before="66"/>
              <w:ind w:right="164"/>
              <w:jc w:val="right"/>
              <w:rPr>
                <w:rFonts w:ascii="Arial"/>
                <w:sz w:val="16"/>
              </w:rPr>
            </w:pPr>
            <w:r w:rsidRPr="00EB2BD8">
              <w:rPr>
                <w:rFonts w:ascii="Arial"/>
                <w:w w:val="104"/>
                <w:sz w:val="16"/>
              </w:rPr>
              <w:t>-</w:t>
            </w:r>
          </w:p>
        </w:tc>
        <w:tc>
          <w:tcPr>
            <w:tcW w:w="871" w:type="dxa"/>
            <w:shd w:val="clear" w:color="auto" w:fill="FFFFFF"/>
          </w:tcPr>
          <w:p w14:paraId="4350412A" w14:textId="77777777" w:rsidR="00084F36" w:rsidRPr="00EB2BD8" w:rsidRDefault="00EB2BD8">
            <w:pPr>
              <w:pStyle w:val="TableParagraph"/>
              <w:spacing w:before="66"/>
              <w:ind w:right="103"/>
              <w:jc w:val="right"/>
              <w:rPr>
                <w:rFonts w:ascii="Arial"/>
                <w:sz w:val="16"/>
              </w:rPr>
            </w:pPr>
            <w:r w:rsidRPr="00EB2BD8">
              <w:rPr>
                <w:rFonts w:ascii="Arial"/>
                <w:spacing w:val="-2"/>
                <w:w w:val="105"/>
                <w:sz w:val="16"/>
              </w:rPr>
              <w:t>1,708</w:t>
            </w:r>
          </w:p>
        </w:tc>
      </w:tr>
      <w:tr w:rsidR="00EB2BD8" w:rsidRPr="00EB2BD8" w14:paraId="29806630" w14:textId="77777777">
        <w:trPr>
          <w:trHeight w:val="317"/>
        </w:trPr>
        <w:tc>
          <w:tcPr>
            <w:tcW w:w="3292" w:type="dxa"/>
            <w:shd w:val="clear" w:color="auto" w:fill="FFFFFF"/>
          </w:tcPr>
          <w:p w14:paraId="62AB1D6E" w14:textId="77777777" w:rsidR="00084F36" w:rsidRPr="00EB2BD8" w:rsidRDefault="00EB2BD8">
            <w:pPr>
              <w:pStyle w:val="TableParagraph"/>
              <w:spacing w:before="67"/>
              <w:ind w:left="100"/>
              <w:rPr>
                <w:rFonts w:ascii="Arial"/>
                <w:sz w:val="16"/>
              </w:rPr>
            </w:pPr>
            <w:r w:rsidRPr="00EB2BD8">
              <w:rPr>
                <w:rFonts w:ascii="Arial"/>
                <w:w w:val="105"/>
                <w:sz w:val="16"/>
              </w:rPr>
              <w:t>Security</w:t>
            </w:r>
            <w:r w:rsidRPr="00EB2BD8">
              <w:rPr>
                <w:rFonts w:ascii="Arial"/>
                <w:spacing w:val="-12"/>
                <w:w w:val="105"/>
                <w:sz w:val="16"/>
              </w:rPr>
              <w:t xml:space="preserve"> </w:t>
            </w:r>
            <w:r w:rsidRPr="00EB2BD8">
              <w:rPr>
                <w:rFonts w:ascii="Arial"/>
                <w:spacing w:val="-2"/>
                <w:w w:val="105"/>
                <w:sz w:val="16"/>
              </w:rPr>
              <w:t>deposits</w:t>
            </w:r>
          </w:p>
        </w:tc>
        <w:tc>
          <w:tcPr>
            <w:tcW w:w="1869" w:type="dxa"/>
            <w:shd w:val="clear" w:color="auto" w:fill="FFFFFF"/>
          </w:tcPr>
          <w:p w14:paraId="59950251" w14:textId="77777777" w:rsidR="00084F36" w:rsidRPr="00EB2BD8" w:rsidRDefault="00EB2BD8">
            <w:pPr>
              <w:pStyle w:val="TableParagraph"/>
              <w:spacing w:before="67"/>
              <w:ind w:right="132"/>
              <w:jc w:val="right"/>
              <w:rPr>
                <w:rFonts w:ascii="Arial"/>
                <w:sz w:val="16"/>
              </w:rPr>
            </w:pPr>
            <w:r w:rsidRPr="00EB2BD8">
              <w:rPr>
                <w:rFonts w:ascii="Arial"/>
                <w:w w:val="104"/>
                <w:sz w:val="16"/>
              </w:rPr>
              <w:t>-</w:t>
            </w:r>
          </w:p>
        </w:tc>
        <w:tc>
          <w:tcPr>
            <w:tcW w:w="1012" w:type="dxa"/>
            <w:shd w:val="clear" w:color="auto" w:fill="FFFFFF"/>
          </w:tcPr>
          <w:p w14:paraId="4486B2D8" w14:textId="77777777" w:rsidR="00084F36" w:rsidRPr="00EB2BD8" w:rsidRDefault="00EB2BD8">
            <w:pPr>
              <w:pStyle w:val="TableParagraph"/>
              <w:spacing w:before="67"/>
              <w:ind w:right="186"/>
              <w:jc w:val="right"/>
              <w:rPr>
                <w:rFonts w:ascii="Arial"/>
                <w:sz w:val="16"/>
              </w:rPr>
            </w:pPr>
            <w:r w:rsidRPr="00EB2BD8">
              <w:rPr>
                <w:rFonts w:ascii="Arial"/>
                <w:spacing w:val="-2"/>
                <w:w w:val="105"/>
                <w:sz w:val="16"/>
              </w:rPr>
              <w:t>2,856</w:t>
            </w:r>
          </w:p>
        </w:tc>
        <w:tc>
          <w:tcPr>
            <w:tcW w:w="967" w:type="dxa"/>
            <w:shd w:val="clear" w:color="auto" w:fill="FFFFFF"/>
          </w:tcPr>
          <w:p w14:paraId="7E87E500" w14:textId="77777777" w:rsidR="00084F36" w:rsidRPr="00EB2BD8" w:rsidRDefault="00EB2BD8">
            <w:pPr>
              <w:pStyle w:val="TableParagraph"/>
              <w:spacing w:before="67"/>
              <w:ind w:right="173"/>
              <w:jc w:val="right"/>
              <w:rPr>
                <w:rFonts w:ascii="Arial"/>
                <w:sz w:val="16"/>
              </w:rPr>
            </w:pPr>
            <w:r w:rsidRPr="00EB2BD8">
              <w:rPr>
                <w:rFonts w:ascii="Arial"/>
                <w:w w:val="104"/>
                <w:sz w:val="16"/>
              </w:rPr>
              <w:t>-</w:t>
            </w:r>
          </w:p>
        </w:tc>
        <w:tc>
          <w:tcPr>
            <w:tcW w:w="991" w:type="dxa"/>
            <w:shd w:val="clear" w:color="auto" w:fill="FFFFFF"/>
          </w:tcPr>
          <w:p w14:paraId="3E693DB7" w14:textId="77777777" w:rsidR="00084F36" w:rsidRPr="00EB2BD8" w:rsidRDefault="00EB2BD8">
            <w:pPr>
              <w:pStyle w:val="TableParagraph"/>
              <w:spacing w:before="67"/>
              <w:ind w:right="164"/>
              <w:jc w:val="right"/>
              <w:rPr>
                <w:rFonts w:ascii="Arial"/>
                <w:sz w:val="16"/>
              </w:rPr>
            </w:pPr>
            <w:r w:rsidRPr="00EB2BD8">
              <w:rPr>
                <w:rFonts w:ascii="Arial"/>
                <w:w w:val="104"/>
                <w:sz w:val="16"/>
              </w:rPr>
              <w:t>-</w:t>
            </w:r>
          </w:p>
        </w:tc>
        <w:tc>
          <w:tcPr>
            <w:tcW w:w="871" w:type="dxa"/>
            <w:shd w:val="clear" w:color="auto" w:fill="FFFFFF"/>
          </w:tcPr>
          <w:p w14:paraId="6671741D" w14:textId="77777777" w:rsidR="00084F36" w:rsidRPr="00EB2BD8" w:rsidRDefault="00EB2BD8">
            <w:pPr>
              <w:pStyle w:val="TableParagraph"/>
              <w:spacing w:before="67"/>
              <w:ind w:right="103"/>
              <w:jc w:val="right"/>
              <w:rPr>
                <w:rFonts w:ascii="Arial"/>
                <w:sz w:val="16"/>
              </w:rPr>
            </w:pPr>
            <w:r w:rsidRPr="00EB2BD8">
              <w:rPr>
                <w:rFonts w:ascii="Arial"/>
                <w:spacing w:val="-2"/>
                <w:w w:val="105"/>
                <w:sz w:val="16"/>
              </w:rPr>
              <w:t>2,856</w:t>
            </w:r>
          </w:p>
        </w:tc>
      </w:tr>
      <w:tr w:rsidR="00EB2BD8" w:rsidRPr="00EB2BD8" w14:paraId="4A0A6A0E" w14:textId="77777777">
        <w:trPr>
          <w:trHeight w:val="316"/>
        </w:trPr>
        <w:tc>
          <w:tcPr>
            <w:tcW w:w="3292" w:type="dxa"/>
            <w:shd w:val="clear" w:color="auto" w:fill="FFFFFF"/>
          </w:tcPr>
          <w:p w14:paraId="3DDCF742" w14:textId="77777777" w:rsidR="00084F36" w:rsidRPr="00EB2BD8" w:rsidRDefault="00EB2BD8">
            <w:pPr>
              <w:pStyle w:val="TableParagraph"/>
              <w:spacing w:before="66"/>
              <w:ind w:left="100"/>
              <w:rPr>
                <w:rFonts w:ascii="Arial"/>
                <w:b/>
                <w:sz w:val="16"/>
              </w:rPr>
            </w:pPr>
            <w:r w:rsidRPr="00EB2BD8">
              <w:rPr>
                <w:rFonts w:ascii="Arial"/>
                <w:b/>
                <w:sz w:val="16"/>
              </w:rPr>
              <w:t>Interest-bearing</w:t>
            </w:r>
            <w:r w:rsidRPr="00EB2BD8">
              <w:rPr>
                <w:rFonts w:ascii="Arial"/>
                <w:b/>
                <w:spacing w:val="44"/>
                <w:sz w:val="16"/>
              </w:rPr>
              <w:t xml:space="preserve"> </w:t>
            </w:r>
            <w:r w:rsidRPr="00EB2BD8">
              <w:rPr>
                <w:rFonts w:ascii="Arial"/>
                <w:b/>
                <w:spacing w:val="-2"/>
                <w:sz w:val="16"/>
              </w:rPr>
              <w:t>liabilities:</w:t>
            </w:r>
          </w:p>
        </w:tc>
        <w:tc>
          <w:tcPr>
            <w:tcW w:w="1869" w:type="dxa"/>
            <w:shd w:val="clear" w:color="auto" w:fill="FFFFFF"/>
          </w:tcPr>
          <w:p w14:paraId="6106852D" w14:textId="77777777" w:rsidR="00084F36" w:rsidRPr="00EB2BD8" w:rsidRDefault="00084F36">
            <w:pPr>
              <w:pStyle w:val="TableParagraph"/>
              <w:rPr>
                <w:rFonts w:ascii="Times New Roman"/>
                <w:sz w:val="16"/>
              </w:rPr>
            </w:pPr>
          </w:p>
        </w:tc>
        <w:tc>
          <w:tcPr>
            <w:tcW w:w="1012" w:type="dxa"/>
            <w:shd w:val="clear" w:color="auto" w:fill="FFFFFF"/>
          </w:tcPr>
          <w:p w14:paraId="52300642" w14:textId="77777777" w:rsidR="00084F36" w:rsidRPr="00EB2BD8" w:rsidRDefault="00084F36">
            <w:pPr>
              <w:pStyle w:val="TableParagraph"/>
              <w:rPr>
                <w:rFonts w:ascii="Times New Roman"/>
                <w:sz w:val="16"/>
              </w:rPr>
            </w:pPr>
          </w:p>
        </w:tc>
        <w:tc>
          <w:tcPr>
            <w:tcW w:w="967" w:type="dxa"/>
            <w:shd w:val="clear" w:color="auto" w:fill="FFFFFF"/>
          </w:tcPr>
          <w:p w14:paraId="176CF5EF" w14:textId="77777777" w:rsidR="00084F36" w:rsidRPr="00EB2BD8" w:rsidRDefault="00084F36">
            <w:pPr>
              <w:pStyle w:val="TableParagraph"/>
              <w:rPr>
                <w:rFonts w:ascii="Times New Roman"/>
                <w:sz w:val="16"/>
              </w:rPr>
            </w:pPr>
          </w:p>
        </w:tc>
        <w:tc>
          <w:tcPr>
            <w:tcW w:w="991" w:type="dxa"/>
            <w:shd w:val="clear" w:color="auto" w:fill="FFFFFF"/>
          </w:tcPr>
          <w:p w14:paraId="4A239123" w14:textId="77777777" w:rsidR="00084F36" w:rsidRPr="00EB2BD8" w:rsidRDefault="00084F36">
            <w:pPr>
              <w:pStyle w:val="TableParagraph"/>
              <w:rPr>
                <w:rFonts w:ascii="Times New Roman"/>
                <w:sz w:val="16"/>
              </w:rPr>
            </w:pPr>
          </w:p>
        </w:tc>
        <w:tc>
          <w:tcPr>
            <w:tcW w:w="871" w:type="dxa"/>
            <w:shd w:val="clear" w:color="auto" w:fill="FFFFFF"/>
          </w:tcPr>
          <w:p w14:paraId="5183D836" w14:textId="77777777" w:rsidR="00084F36" w:rsidRPr="00EB2BD8" w:rsidRDefault="00084F36">
            <w:pPr>
              <w:pStyle w:val="TableParagraph"/>
              <w:rPr>
                <w:rFonts w:ascii="Times New Roman"/>
                <w:sz w:val="16"/>
              </w:rPr>
            </w:pPr>
          </w:p>
        </w:tc>
      </w:tr>
      <w:tr w:rsidR="00EB2BD8" w:rsidRPr="00EB2BD8" w14:paraId="6199C047" w14:textId="77777777">
        <w:trPr>
          <w:trHeight w:val="314"/>
        </w:trPr>
        <w:tc>
          <w:tcPr>
            <w:tcW w:w="3292" w:type="dxa"/>
            <w:tcBorders>
              <w:bottom w:val="single" w:sz="12" w:space="0" w:color="000000"/>
            </w:tcBorders>
            <w:shd w:val="clear" w:color="auto" w:fill="FFFFFF"/>
          </w:tcPr>
          <w:p w14:paraId="0C937E25" w14:textId="77777777" w:rsidR="00084F36" w:rsidRPr="00EB2BD8" w:rsidRDefault="00EB2BD8">
            <w:pPr>
              <w:pStyle w:val="TableParagraph"/>
              <w:spacing w:before="66"/>
              <w:ind w:left="100"/>
              <w:rPr>
                <w:rFonts w:ascii="Arial"/>
                <w:sz w:val="16"/>
              </w:rPr>
            </w:pPr>
            <w:r w:rsidRPr="00EB2BD8">
              <w:rPr>
                <w:rFonts w:ascii="Arial"/>
                <w:w w:val="105"/>
                <w:sz w:val="16"/>
              </w:rPr>
              <w:t>Lease</w:t>
            </w:r>
            <w:r w:rsidRPr="00EB2BD8">
              <w:rPr>
                <w:rFonts w:ascii="Arial"/>
                <w:spacing w:val="-7"/>
                <w:w w:val="105"/>
                <w:sz w:val="16"/>
              </w:rPr>
              <w:t xml:space="preserve"> </w:t>
            </w:r>
            <w:r w:rsidRPr="00EB2BD8">
              <w:rPr>
                <w:rFonts w:ascii="Arial"/>
                <w:spacing w:val="-2"/>
                <w:w w:val="105"/>
                <w:sz w:val="16"/>
              </w:rPr>
              <w:t>liabilities</w:t>
            </w:r>
          </w:p>
        </w:tc>
        <w:tc>
          <w:tcPr>
            <w:tcW w:w="1869" w:type="dxa"/>
            <w:tcBorders>
              <w:bottom w:val="single" w:sz="12" w:space="0" w:color="000000"/>
            </w:tcBorders>
            <w:shd w:val="clear" w:color="auto" w:fill="FFFFFF"/>
          </w:tcPr>
          <w:p w14:paraId="115B09DE" w14:textId="77777777" w:rsidR="00084F36" w:rsidRPr="00EB2BD8" w:rsidRDefault="00EB2BD8">
            <w:pPr>
              <w:pStyle w:val="TableParagraph"/>
              <w:spacing w:before="66"/>
              <w:ind w:right="133"/>
              <w:jc w:val="right"/>
              <w:rPr>
                <w:rFonts w:ascii="Arial"/>
                <w:sz w:val="16"/>
              </w:rPr>
            </w:pPr>
            <w:r w:rsidRPr="00EB2BD8">
              <w:rPr>
                <w:rFonts w:ascii="Arial"/>
                <w:spacing w:val="-2"/>
                <w:w w:val="105"/>
                <w:sz w:val="16"/>
              </w:rPr>
              <w:t>2.94%</w:t>
            </w:r>
          </w:p>
        </w:tc>
        <w:tc>
          <w:tcPr>
            <w:tcW w:w="1012" w:type="dxa"/>
            <w:tcBorders>
              <w:bottom w:val="single" w:sz="12" w:space="0" w:color="000000"/>
            </w:tcBorders>
            <w:shd w:val="clear" w:color="auto" w:fill="FFFFFF"/>
          </w:tcPr>
          <w:p w14:paraId="6C963481" w14:textId="77777777" w:rsidR="00084F36" w:rsidRPr="00EB2BD8" w:rsidRDefault="00EB2BD8">
            <w:pPr>
              <w:pStyle w:val="TableParagraph"/>
              <w:spacing w:before="66"/>
              <w:ind w:right="186"/>
              <w:jc w:val="right"/>
              <w:rPr>
                <w:rFonts w:ascii="Arial"/>
                <w:sz w:val="16"/>
              </w:rPr>
            </w:pPr>
            <w:r w:rsidRPr="00EB2BD8">
              <w:rPr>
                <w:rFonts w:ascii="Arial"/>
                <w:spacing w:val="-2"/>
                <w:w w:val="105"/>
                <w:sz w:val="16"/>
              </w:rPr>
              <w:t>6,378</w:t>
            </w:r>
          </w:p>
        </w:tc>
        <w:tc>
          <w:tcPr>
            <w:tcW w:w="967" w:type="dxa"/>
            <w:tcBorders>
              <w:bottom w:val="single" w:sz="12" w:space="0" w:color="000000"/>
            </w:tcBorders>
            <w:shd w:val="clear" w:color="auto" w:fill="FFFFFF"/>
          </w:tcPr>
          <w:p w14:paraId="5969352B" w14:textId="77777777" w:rsidR="00084F36" w:rsidRPr="00EB2BD8" w:rsidRDefault="00EB2BD8">
            <w:pPr>
              <w:pStyle w:val="TableParagraph"/>
              <w:spacing w:before="66"/>
              <w:ind w:right="174"/>
              <w:jc w:val="right"/>
              <w:rPr>
                <w:rFonts w:ascii="Arial"/>
                <w:sz w:val="16"/>
              </w:rPr>
            </w:pPr>
            <w:r w:rsidRPr="00EB2BD8">
              <w:rPr>
                <w:rFonts w:ascii="Arial"/>
                <w:spacing w:val="-2"/>
                <w:w w:val="105"/>
                <w:sz w:val="16"/>
              </w:rPr>
              <w:t>6,378</w:t>
            </w:r>
          </w:p>
        </w:tc>
        <w:tc>
          <w:tcPr>
            <w:tcW w:w="991" w:type="dxa"/>
            <w:tcBorders>
              <w:bottom w:val="single" w:sz="12" w:space="0" w:color="000000"/>
            </w:tcBorders>
            <w:shd w:val="clear" w:color="auto" w:fill="FFFFFF"/>
          </w:tcPr>
          <w:p w14:paraId="342999A6" w14:textId="77777777" w:rsidR="00084F36" w:rsidRPr="00EB2BD8" w:rsidRDefault="00EB2BD8">
            <w:pPr>
              <w:pStyle w:val="TableParagraph"/>
              <w:spacing w:before="66"/>
              <w:ind w:right="165"/>
              <w:jc w:val="right"/>
              <w:rPr>
                <w:rFonts w:ascii="Arial"/>
                <w:sz w:val="16"/>
              </w:rPr>
            </w:pPr>
            <w:r w:rsidRPr="00EB2BD8">
              <w:rPr>
                <w:rFonts w:ascii="Arial"/>
                <w:w w:val="104"/>
                <w:sz w:val="16"/>
              </w:rPr>
              <w:t>-</w:t>
            </w:r>
          </w:p>
        </w:tc>
        <w:tc>
          <w:tcPr>
            <w:tcW w:w="871" w:type="dxa"/>
            <w:tcBorders>
              <w:bottom w:val="single" w:sz="12" w:space="0" w:color="000000"/>
            </w:tcBorders>
            <w:shd w:val="clear" w:color="auto" w:fill="FFFFFF"/>
          </w:tcPr>
          <w:p w14:paraId="3AF845C7" w14:textId="77777777" w:rsidR="00084F36" w:rsidRPr="00EB2BD8" w:rsidRDefault="00EB2BD8">
            <w:pPr>
              <w:pStyle w:val="TableParagraph"/>
              <w:spacing w:before="66"/>
              <w:ind w:right="103"/>
              <w:jc w:val="right"/>
              <w:rPr>
                <w:rFonts w:ascii="Arial"/>
                <w:sz w:val="16"/>
              </w:rPr>
            </w:pPr>
            <w:r w:rsidRPr="00EB2BD8">
              <w:rPr>
                <w:rFonts w:ascii="Arial"/>
                <w:w w:val="104"/>
                <w:sz w:val="16"/>
              </w:rPr>
              <w:t>-</w:t>
            </w:r>
          </w:p>
        </w:tc>
      </w:tr>
      <w:tr w:rsidR="00EB2BD8" w:rsidRPr="00EB2BD8" w14:paraId="207C8DF8" w14:textId="77777777">
        <w:trPr>
          <w:trHeight w:val="288"/>
        </w:trPr>
        <w:tc>
          <w:tcPr>
            <w:tcW w:w="3292" w:type="dxa"/>
            <w:tcBorders>
              <w:top w:val="single" w:sz="12" w:space="0" w:color="000000"/>
              <w:bottom w:val="single" w:sz="12" w:space="0" w:color="000000"/>
            </w:tcBorders>
            <w:shd w:val="clear" w:color="auto" w:fill="FFFFFF"/>
          </w:tcPr>
          <w:p w14:paraId="62724D97" w14:textId="77777777" w:rsidR="00084F36" w:rsidRPr="00EB2BD8" w:rsidRDefault="00EB2BD8">
            <w:pPr>
              <w:pStyle w:val="TableParagraph"/>
              <w:spacing w:before="54"/>
              <w:ind w:left="100"/>
              <w:rPr>
                <w:rFonts w:ascii="Arial"/>
                <w:b/>
                <w:sz w:val="16"/>
              </w:rPr>
            </w:pPr>
            <w:r w:rsidRPr="00EB2BD8">
              <w:rPr>
                <w:rFonts w:ascii="Arial"/>
                <w:b/>
                <w:w w:val="105"/>
                <w:sz w:val="16"/>
              </w:rPr>
              <w:t>Total</w:t>
            </w:r>
            <w:r w:rsidRPr="00EB2BD8">
              <w:rPr>
                <w:rFonts w:ascii="Arial"/>
                <w:b/>
                <w:spacing w:val="-8"/>
                <w:w w:val="105"/>
                <w:sz w:val="16"/>
              </w:rPr>
              <w:t xml:space="preserve"> </w:t>
            </w:r>
            <w:r w:rsidRPr="00EB2BD8">
              <w:rPr>
                <w:rFonts w:ascii="Arial"/>
                <w:b/>
                <w:w w:val="105"/>
                <w:sz w:val="16"/>
              </w:rPr>
              <w:t>financial</w:t>
            </w:r>
            <w:r w:rsidRPr="00EB2BD8">
              <w:rPr>
                <w:rFonts w:ascii="Arial"/>
                <w:b/>
                <w:spacing w:val="-9"/>
                <w:w w:val="105"/>
                <w:sz w:val="16"/>
              </w:rPr>
              <w:t xml:space="preserve"> </w:t>
            </w:r>
            <w:r w:rsidRPr="00EB2BD8">
              <w:rPr>
                <w:rFonts w:ascii="Arial"/>
                <w:b/>
                <w:spacing w:val="-2"/>
                <w:w w:val="105"/>
                <w:sz w:val="16"/>
              </w:rPr>
              <w:t>liabilities</w:t>
            </w:r>
          </w:p>
        </w:tc>
        <w:tc>
          <w:tcPr>
            <w:tcW w:w="1869" w:type="dxa"/>
            <w:tcBorders>
              <w:top w:val="single" w:sz="12" w:space="0" w:color="000000"/>
              <w:bottom w:val="single" w:sz="12" w:space="0" w:color="000000"/>
            </w:tcBorders>
            <w:shd w:val="clear" w:color="auto" w:fill="FFFFFF"/>
          </w:tcPr>
          <w:p w14:paraId="561785FA" w14:textId="77777777" w:rsidR="00084F36" w:rsidRPr="00EB2BD8" w:rsidRDefault="00084F36">
            <w:pPr>
              <w:pStyle w:val="TableParagraph"/>
              <w:rPr>
                <w:rFonts w:ascii="Times New Roman"/>
                <w:sz w:val="16"/>
              </w:rPr>
            </w:pPr>
          </w:p>
        </w:tc>
        <w:tc>
          <w:tcPr>
            <w:tcW w:w="1012" w:type="dxa"/>
            <w:tcBorders>
              <w:top w:val="single" w:sz="12" w:space="0" w:color="000000"/>
              <w:bottom w:val="single" w:sz="12" w:space="0" w:color="000000"/>
            </w:tcBorders>
            <w:shd w:val="clear" w:color="auto" w:fill="FFFFFF"/>
          </w:tcPr>
          <w:p w14:paraId="5F7BA5C7" w14:textId="77777777" w:rsidR="00084F36" w:rsidRPr="00EB2BD8" w:rsidRDefault="00EB2BD8">
            <w:pPr>
              <w:pStyle w:val="TableParagraph"/>
              <w:spacing w:before="54"/>
              <w:ind w:right="185"/>
              <w:jc w:val="right"/>
              <w:rPr>
                <w:rFonts w:ascii="Arial"/>
                <w:b/>
                <w:sz w:val="16"/>
              </w:rPr>
            </w:pPr>
            <w:r w:rsidRPr="00EB2BD8">
              <w:rPr>
                <w:rFonts w:ascii="Arial"/>
                <w:b/>
                <w:spacing w:val="-2"/>
                <w:w w:val="105"/>
                <w:sz w:val="16"/>
              </w:rPr>
              <w:t>21,615</w:t>
            </w:r>
          </w:p>
        </w:tc>
        <w:tc>
          <w:tcPr>
            <w:tcW w:w="967" w:type="dxa"/>
            <w:tcBorders>
              <w:top w:val="single" w:sz="12" w:space="0" w:color="000000"/>
              <w:bottom w:val="single" w:sz="12" w:space="0" w:color="000000"/>
            </w:tcBorders>
            <w:shd w:val="clear" w:color="auto" w:fill="FFFFFF"/>
          </w:tcPr>
          <w:p w14:paraId="2593BAF5" w14:textId="77777777" w:rsidR="00084F36" w:rsidRPr="00EB2BD8" w:rsidRDefault="00EB2BD8">
            <w:pPr>
              <w:pStyle w:val="TableParagraph"/>
              <w:spacing w:before="54"/>
              <w:ind w:right="174"/>
              <w:jc w:val="right"/>
              <w:rPr>
                <w:rFonts w:ascii="Arial"/>
                <w:b/>
                <w:sz w:val="16"/>
              </w:rPr>
            </w:pPr>
            <w:r w:rsidRPr="00EB2BD8">
              <w:rPr>
                <w:rFonts w:ascii="Arial"/>
                <w:b/>
                <w:spacing w:val="-2"/>
                <w:w w:val="105"/>
                <w:sz w:val="16"/>
              </w:rPr>
              <w:t>6,378</w:t>
            </w:r>
          </w:p>
        </w:tc>
        <w:tc>
          <w:tcPr>
            <w:tcW w:w="991" w:type="dxa"/>
            <w:tcBorders>
              <w:top w:val="single" w:sz="12" w:space="0" w:color="000000"/>
              <w:bottom w:val="single" w:sz="12" w:space="0" w:color="000000"/>
            </w:tcBorders>
            <w:shd w:val="clear" w:color="auto" w:fill="FFFFFF"/>
          </w:tcPr>
          <w:p w14:paraId="2F77FF8E" w14:textId="77777777" w:rsidR="00084F36" w:rsidRPr="00EB2BD8" w:rsidRDefault="00EB2BD8">
            <w:pPr>
              <w:pStyle w:val="TableParagraph"/>
              <w:spacing w:before="54"/>
              <w:ind w:right="165"/>
              <w:jc w:val="right"/>
              <w:rPr>
                <w:rFonts w:ascii="Arial"/>
                <w:b/>
                <w:sz w:val="16"/>
              </w:rPr>
            </w:pPr>
            <w:r w:rsidRPr="00EB2BD8">
              <w:rPr>
                <w:rFonts w:ascii="Arial"/>
                <w:b/>
                <w:w w:val="104"/>
                <w:sz w:val="16"/>
              </w:rPr>
              <w:t>-</w:t>
            </w:r>
          </w:p>
        </w:tc>
        <w:tc>
          <w:tcPr>
            <w:tcW w:w="871" w:type="dxa"/>
            <w:tcBorders>
              <w:top w:val="single" w:sz="12" w:space="0" w:color="000000"/>
              <w:bottom w:val="single" w:sz="12" w:space="0" w:color="000000"/>
            </w:tcBorders>
            <w:shd w:val="clear" w:color="auto" w:fill="FFFFFF"/>
          </w:tcPr>
          <w:p w14:paraId="2993A70E" w14:textId="77777777" w:rsidR="00084F36" w:rsidRPr="00EB2BD8" w:rsidRDefault="00EB2BD8">
            <w:pPr>
              <w:pStyle w:val="TableParagraph"/>
              <w:spacing w:before="54"/>
              <w:ind w:right="102"/>
              <w:jc w:val="right"/>
              <w:rPr>
                <w:rFonts w:ascii="Arial"/>
                <w:b/>
                <w:sz w:val="16"/>
              </w:rPr>
            </w:pPr>
            <w:r w:rsidRPr="00EB2BD8">
              <w:rPr>
                <w:rFonts w:ascii="Arial"/>
                <w:b/>
                <w:spacing w:val="-2"/>
                <w:w w:val="105"/>
                <w:sz w:val="16"/>
              </w:rPr>
              <w:t>15,237</w:t>
            </w:r>
          </w:p>
        </w:tc>
      </w:tr>
    </w:tbl>
    <w:p w14:paraId="655F1A50" w14:textId="77777777" w:rsidR="00084F36" w:rsidRPr="00EB2BD8" w:rsidRDefault="00084F36">
      <w:pPr>
        <w:pStyle w:val="BodyText"/>
        <w:spacing w:before="5"/>
        <w:rPr>
          <w:rFonts w:ascii="Arial"/>
          <w:sz w:val="26"/>
        </w:rPr>
      </w:pPr>
    </w:p>
    <w:p w14:paraId="0C816A40" w14:textId="77777777" w:rsidR="00084F36" w:rsidRPr="00EB2BD8" w:rsidRDefault="00EB2BD8">
      <w:pPr>
        <w:ind w:left="1103"/>
        <w:rPr>
          <w:rFonts w:ascii="Arial"/>
          <w:i/>
          <w:sz w:val="15"/>
        </w:rPr>
      </w:pPr>
      <w:r w:rsidRPr="00EB2BD8">
        <w:rPr>
          <w:rFonts w:ascii="Arial"/>
          <w:i/>
          <w:spacing w:val="-2"/>
          <w:sz w:val="15"/>
        </w:rPr>
        <w:t>Note:</w:t>
      </w:r>
    </w:p>
    <w:p w14:paraId="5BD5BE0A" w14:textId="77777777" w:rsidR="00084F36" w:rsidRPr="00EB2BD8" w:rsidRDefault="00EB2BD8">
      <w:pPr>
        <w:pStyle w:val="ListParagraph"/>
        <w:numPr>
          <w:ilvl w:val="0"/>
          <w:numId w:val="8"/>
        </w:numPr>
        <w:tabs>
          <w:tab w:val="left" w:pos="1437"/>
          <w:tab w:val="left" w:pos="1439"/>
        </w:tabs>
        <w:spacing w:before="82" w:line="273" w:lineRule="auto"/>
        <w:ind w:right="1779"/>
        <w:rPr>
          <w:rFonts w:ascii="Arial"/>
          <w:i/>
          <w:sz w:val="15"/>
        </w:rPr>
      </w:pPr>
      <w:r w:rsidRPr="00EB2BD8">
        <w:rPr>
          <w:rFonts w:ascii="Arial"/>
          <w:i/>
          <w:sz w:val="15"/>
        </w:rPr>
        <w:t>The</w:t>
      </w:r>
      <w:r w:rsidRPr="00EB2BD8">
        <w:rPr>
          <w:rFonts w:ascii="Arial"/>
          <w:i/>
          <w:spacing w:val="-5"/>
          <w:sz w:val="15"/>
        </w:rPr>
        <w:t xml:space="preserve"> </w:t>
      </w:r>
      <w:r w:rsidRPr="00EB2BD8">
        <w:rPr>
          <w:rFonts w:ascii="Arial"/>
          <w:i/>
          <w:sz w:val="15"/>
        </w:rPr>
        <w:t>carrying</w:t>
      </w:r>
      <w:r w:rsidRPr="00EB2BD8">
        <w:rPr>
          <w:rFonts w:ascii="Arial"/>
          <w:i/>
          <w:spacing w:val="-5"/>
          <w:sz w:val="15"/>
        </w:rPr>
        <w:t xml:space="preserve"> </w:t>
      </w:r>
      <w:r w:rsidRPr="00EB2BD8">
        <w:rPr>
          <w:rFonts w:ascii="Arial"/>
          <w:i/>
          <w:sz w:val="15"/>
        </w:rPr>
        <w:t>amounts</w:t>
      </w:r>
      <w:r w:rsidRPr="00EB2BD8">
        <w:rPr>
          <w:rFonts w:ascii="Arial"/>
          <w:i/>
          <w:spacing w:val="-4"/>
          <w:sz w:val="15"/>
        </w:rPr>
        <w:t xml:space="preserve"> </w:t>
      </w:r>
      <w:r w:rsidRPr="00EB2BD8">
        <w:rPr>
          <w:rFonts w:ascii="Arial"/>
          <w:i/>
          <w:sz w:val="15"/>
        </w:rPr>
        <w:t>disclosed</w:t>
      </w:r>
      <w:r w:rsidRPr="00EB2BD8">
        <w:rPr>
          <w:rFonts w:ascii="Arial"/>
          <w:i/>
          <w:spacing w:val="-6"/>
          <w:sz w:val="15"/>
        </w:rPr>
        <w:t xml:space="preserve"> </w:t>
      </w:r>
      <w:r w:rsidRPr="00EB2BD8">
        <w:rPr>
          <w:rFonts w:ascii="Arial"/>
          <w:i/>
          <w:sz w:val="15"/>
        </w:rPr>
        <w:t>here</w:t>
      </w:r>
      <w:r w:rsidRPr="00EB2BD8">
        <w:rPr>
          <w:rFonts w:ascii="Arial"/>
          <w:i/>
          <w:spacing w:val="-5"/>
          <w:sz w:val="15"/>
        </w:rPr>
        <w:t xml:space="preserve"> </w:t>
      </w:r>
      <w:r w:rsidRPr="00EB2BD8">
        <w:rPr>
          <w:rFonts w:ascii="Arial"/>
          <w:i/>
          <w:sz w:val="15"/>
        </w:rPr>
        <w:t>exclude</w:t>
      </w:r>
      <w:r w:rsidRPr="00EB2BD8">
        <w:rPr>
          <w:rFonts w:ascii="Arial"/>
          <w:i/>
          <w:spacing w:val="-5"/>
          <w:sz w:val="15"/>
        </w:rPr>
        <w:t xml:space="preserve"> </w:t>
      </w:r>
      <w:r w:rsidRPr="00EB2BD8">
        <w:rPr>
          <w:rFonts w:ascii="Arial"/>
          <w:i/>
          <w:sz w:val="15"/>
        </w:rPr>
        <w:t>statutory</w:t>
      </w:r>
      <w:r w:rsidRPr="00EB2BD8">
        <w:rPr>
          <w:rFonts w:ascii="Arial"/>
          <w:i/>
          <w:spacing w:val="-4"/>
          <w:sz w:val="15"/>
        </w:rPr>
        <w:t xml:space="preserve"> </w:t>
      </w:r>
      <w:r w:rsidRPr="00EB2BD8">
        <w:rPr>
          <w:rFonts w:ascii="Arial"/>
          <w:i/>
          <w:sz w:val="15"/>
        </w:rPr>
        <w:t>amounts</w:t>
      </w:r>
      <w:r w:rsidRPr="00EB2BD8">
        <w:rPr>
          <w:rFonts w:ascii="Arial"/>
          <w:i/>
          <w:spacing w:val="-4"/>
          <w:sz w:val="15"/>
        </w:rPr>
        <w:t xml:space="preserve"> </w:t>
      </w:r>
      <w:r w:rsidRPr="00EB2BD8">
        <w:rPr>
          <w:rFonts w:ascii="Arial"/>
          <w:i/>
          <w:sz w:val="15"/>
        </w:rPr>
        <w:t>(e.g.</w:t>
      </w:r>
      <w:r w:rsidRPr="00EB2BD8">
        <w:rPr>
          <w:rFonts w:ascii="Arial"/>
          <w:i/>
          <w:spacing w:val="-5"/>
          <w:sz w:val="15"/>
        </w:rPr>
        <w:t xml:space="preserve"> </w:t>
      </w:r>
      <w:r w:rsidRPr="00EB2BD8">
        <w:rPr>
          <w:rFonts w:ascii="Arial"/>
          <w:i/>
          <w:sz w:val="15"/>
        </w:rPr>
        <w:t>amounts</w:t>
      </w:r>
      <w:r w:rsidRPr="00EB2BD8">
        <w:rPr>
          <w:rFonts w:ascii="Arial"/>
          <w:i/>
          <w:spacing w:val="-4"/>
          <w:sz w:val="15"/>
        </w:rPr>
        <w:t xml:space="preserve"> </w:t>
      </w:r>
      <w:r w:rsidRPr="00EB2BD8">
        <w:rPr>
          <w:rFonts w:ascii="Arial"/>
          <w:i/>
          <w:sz w:val="15"/>
        </w:rPr>
        <w:t>owing</w:t>
      </w:r>
      <w:r w:rsidRPr="00EB2BD8">
        <w:rPr>
          <w:rFonts w:ascii="Arial"/>
          <w:i/>
          <w:spacing w:val="-5"/>
          <w:sz w:val="15"/>
        </w:rPr>
        <w:t xml:space="preserve"> </w:t>
      </w:r>
      <w:r w:rsidRPr="00EB2BD8">
        <w:rPr>
          <w:rFonts w:ascii="Arial"/>
          <w:i/>
          <w:sz w:val="15"/>
        </w:rPr>
        <w:t>from</w:t>
      </w:r>
      <w:r w:rsidRPr="00EB2BD8">
        <w:rPr>
          <w:rFonts w:ascii="Arial"/>
          <w:i/>
          <w:spacing w:val="-5"/>
          <w:sz w:val="15"/>
        </w:rPr>
        <w:t xml:space="preserve"> </w:t>
      </w:r>
      <w:r w:rsidRPr="00EB2BD8">
        <w:rPr>
          <w:rFonts w:ascii="Arial"/>
          <w:i/>
          <w:sz w:val="15"/>
        </w:rPr>
        <w:t>Victorian</w:t>
      </w:r>
      <w:r w:rsidRPr="00EB2BD8">
        <w:rPr>
          <w:rFonts w:ascii="Arial"/>
          <w:i/>
          <w:spacing w:val="-4"/>
          <w:sz w:val="15"/>
        </w:rPr>
        <w:t xml:space="preserve"> </w:t>
      </w:r>
      <w:r w:rsidRPr="00EB2BD8">
        <w:rPr>
          <w:rFonts w:ascii="Arial"/>
          <w:i/>
          <w:sz w:val="15"/>
        </w:rPr>
        <w:t>Government</w:t>
      </w:r>
      <w:r w:rsidRPr="00EB2BD8">
        <w:rPr>
          <w:rFonts w:ascii="Arial"/>
          <w:i/>
          <w:spacing w:val="-5"/>
          <w:sz w:val="15"/>
        </w:rPr>
        <w:t xml:space="preserve"> </w:t>
      </w:r>
      <w:r w:rsidRPr="00EB2BD8">
        <w:rPr>
          <w:rFonts w:ascii="Arial"/>
          <w:i/>
          <w:sz w:val="15"/>
        </w:rPr>
        <w:t>and</w:t>
      </w:r>
      <w:r w:rsidRPr="00EB2BD8">
        <w:rPr>
          <w:rFonts w:ascii="Arial"/>
          <w:i/>
          <w:spacing w:val="-4"/>
          <w:sz w:val="15"/>
        </w:rPr>
        <w:t xml:space="preserve"> </w:t>
      </w:r>
      <w:r w:rsidRPr="00EB2BD8">
        <w:rPr>
          <w:rFonts w:ascii="Arial"/>
          <w:i/>
          <w:sz w:val="15"/>
        </w:rPr>
        <w:t>GST</w:t>
      </w:r>
      <w:r w:rsidRPr="00EB2BD8">
        <w:rPr>
          <w:rFonts w:ascii="Arial"/>
          <w:i/>
          <w:spacing w:val="-5"/>
          <w:sz w:val="15"/>
        </w:rPr>
        <w:t xml:space="preserve"> </w:t>
      </w:r>
      <w:r w:rsidRPr="00EB2BD8">
        <w:rPr>
          <w:rFonts w:ascii="Arial"/>
          <w:i/>
          <w:sz w:val="15"/>
        </w:rPr>
        <w:t>input</w:t>
      </w:r>
      <w:r w:rsidRPr="00EB2BD8">
        <w:rPr>
          <w:rFonts w:ascii="Arial"/>
          <w:i/>
          <w:spacing w:val="-5"/>
          <w:sz w:val="15"/>
        </w:rPr>
        <w:t xml:space="preserve"> </w:t>
      </w:r>
      <w:r w:rsidRPr="00EB2BD8">
        <w:rPr>
          <w:rFonts w:ascii="Arial"/>
          <w:i/>
          <w:sz w:val="15"/>
        </w:rPr>
        <w:t>tax credit</w:t>
      </w:r>
      <w:r w:rsidRPr="00EB2BD8">
        <w:rPr>
          <w:rFonts w:ascii="Arial"/>
          <w:i/>
          <w:spacing w:val="-1"/>
          <w:sz w:val="15"/>
        </w:rPr>
        <w:t xml:space="preserve"> </w:t>
      </w:r>
      <w:r w:rsidRPr="00EB2BD8">
        <w:rPr>
          <w:rFonts w:ascii="Arial"/>
          <w:i/>
          <w:sz w:val="15"/>
        </w:rPr>
        <w:t>recoverable).</w:t>
      </w:r>
    </w:p>
    <w:p w14:paraId="31E86697" w14:textId="77777777" w:rsidR="00084F36" w:rsidRPr="00EB2BD8" w:rsidRDefault="00084F36">
      <w:pPr>
        <w:pStyle w:val="BodyText"/>
        <w:rPr>
          <w:rFonts w:ascii="Arial"/>
          <w:i/>
          <w:sz w:val="20"/>
        </w:rPr>
      </w:pPr>
    </w:p>
    <w:p w14:paraId="3BB48A58" w14:textId="77777777" w:rsidR="00084F36" w:rsidRPr="00EB2BD8" w:rsidRDefault="00084F36">
      <w:pPr>
        <w:pStyle w:val="BodyText"/>
        <w:rPr>
          <w:rFonts w:ascii="Arial"/>
          <w:i/>
          <w:sz w:val="20"/>
        </w:rPr>
      </w:pPr>
    </w:p>
    <w:p w14:paraId="182C237E" w14:textId="77777777" w:rsidR="00084F36" w:rsidRPr="00EB2BD8" w:rsidRDefault="00084F36">
      <w:pPr>
        <w:pStyle w:val="BodyText"/>
        <w:rPr>
          <w:rFonts w:ascii="Arial"/>
          <w:i/>
          <w:sz w:val="20"/>
        </w:rPr>
      </w:pPr>
    </w:p>
    <w:p w14:paraId="705A6439" w14:textId="77777777" w:rsidR="00084F36" w:rsidRPr="00EB2BD8" w:rsidRDefault="00084F36">
      <w:pPr>
        <w:pStyle w:val="BodyText"/>
        <w:rPr>
          <w:rFonts w:ascii="Arial"/>
          <w:i/>
          <w:sz w:val="20"/>
        </w:rPr>
      </w:pPr>
    </w:p>
    <w:p w14:paraId="4ADFCEB9" w14:textId="77777777" w:rsidR="00084F36" w:rsidRPr="00EB2BD8" w:rsidRDefault="00084F36">
      <w:pPr>
        <w:pStyle w:val="BodyText"/>
        <w:rPr>
          <w:sz w:val="20"/>
        </w:rPr>
      </w:pPr>
    </w:p>
    <w:p w14:paraId="070A5AAA" w14:textId="77777777" w:rsidR="00084F36" w:rsidRPr="00EB2BD8" w:rsidRDefault="00084F36">
      <w:pPr>
        <w:pStyle w:val="BodyText"/>
        <w:rPr>
          <w:sz w:val="20"/>
        </w:rPr>
      </w:pPr>
    </w:p>
    <w:p w14:paraId="3344DBDD" w14:textId="77777777" w:rsidR="00084F36" w:rsidRPr="00EB2BD8" w:rsidRDefault="00084F36">
      <w:pPr>
        <w:pStyle w:val="BodyText"/>
        <w:rPr>
          <w:sz w:val="20"/>
        </w:rPr>
      </w:pPr>
    </w:p>
    <w:p w14:paraId="73B37849" w14:textId="77777777" w:rsidR="00084F36" w:rsidRPr="00EB2BD8" w:rsidRDefault="00084F36">
      <w:pPr>
        <w:pStyle w:val="BodyText"/>
        <w:rPr>
          <w:sz w:val="20"/>
        </w:rPr>
      </w:pPr>
    </w:p>
    <w:p w14:paraId="471A81E7" w14:textId="77777777" w:rsidR="00084F36" w:rsidRPr="00EB2BD8" w:rsidRDefault="00084F36">
      <w:pPr>
        <w:pStyle w:val="BodyText"/>
        <w:rPr>
          <w:sz w:val="20"/>
        </w:rPr>
      </w:pPr>
    </w:p>
    <w:p w14:paraId="5EF65EA5" w14:textId="77777777" w:rsidR="00084F36" w:rsidRPr="00EB2BD8" w:rsidRDefault="00084F36">
      <w:pPr>
        <w:pStyle w:val="BodyText"/>
        <w:spacing w:before="9"/>
        <w:rPr>
          <w:sz w:val="23"/>
        </w:rPr>
      </w:pPr>
    </w:p>
    <w:p w14:paraId="2C99D714" w14:textId="72B3C106" w:rsidR="00084F36" w:rsidRPr="00EB2BD8" w:rsidRDefault="00AA48D7" w:rsidP="00AA48D7">
      <w:pPr>
        <w:pStyle w:val="Heading2"/>
      </w:pPr>
      <w:r>
        <w:t xml:space="preserve">  </w:t>
      </w:r>
      <w:bookmarkStart w:id="346" w:name="_Toc150762648"/>
      <w:r w:rsidR="00EB2BD8" w:rsidRPr="00EB2BD8">
        <w:t>Interest</w:t>
      </w:r>
      <w:r w:rsidR="00EB2BD8" w:rsidRPr="00EB2BD8">
        <w:rPr>
          <w:spacing w:val="10"/>
        </w:rPr>
        <w:t xml:space="preserve"> </w:t>
      </w:r>
      <w:r w:rsidR="00EB2BD8" w:rsidRPr="00EB2BD8">
        <w:t>risk</w:t>
      </w:r>
      <w:r w:rsidR="00EB2BD8" w:rsidRPr="00EB2BD8">
        <w:rPr>
          <w:spacing w:val="11"/>
        </w:rPr>
        <w:t xml:space="preserve"> </w:t>
      </w:r>
      <w:r w:rsidR="00EB2BD8" w:rsidRPr="00EB2BD8">
        <w:rPr>
          <w:spacing w:val="-2"/>
        </w:rPr>
        <w:t>sensitivity</w:t>
      </w:r>
      <w:bookmarkEnd w:id="346"/>
    </w:p>
    <w:p w14:paraId="24DCECC3" w14:textId="77777777" w:rsidR="00084F36" w:rsidRPr="00EB2BD8" w:rsidRDefault="00084F36">
      <w:pPr>
        <w:pStyle w:val="BodyText"/>
        <w:spacing w:before="3"/>
        <w:rPr>
          <w:rFonts w:ascii="Arial"/>
          <w:b/>
          <w:sz w:val="9"/>
        </w:rPr>
      </w:pPr>
    </w:p>
    <w:p w14:paraId="4A73CE27" w14:textId="77777777" w:rsidR="00084F36" w:rsidRPr="00EB2BD8" w:rsidRDefault="00EB2BD8">
      <w:pPr>
        <w:spacing w:before="102" w:after="46"/>
        <w:ind w:right="1951"/>
        <w:jc w:val="right"/>
        <w:rPr>
          <w:rFonts w:ascii="Arial" w:hAnsi="Arial"/>
          <w:sz w:val="16"/>
        </w:rPr>
      </w:pPr>
      <w:r w:rsidRPr="00EB2BD8">
        <w:rPr>
          <w:rFonts w:ascii="Arial" w:hAnsi="Arial"/>
          <w:spacing w:val="-2"/>
          <w:w w:val="105"/>
          <w:sz w:val="16"/>
        </w:rPr>
        <w:t>($’000)</w:t>
      </w:r>
    </w:p>
    <w:tbl>
      <w:tblPr>
        <w:tblW w:w="0" w:type="auto"/>
        <w:tblInd w:w="1064" w:type="dxa"/>
        <w:tblLayout w:type="fixed"/>
        <w:tblCellMar>
          <w:left w:w="0" w:type="dxa"/>
          <w:right w:w="0" w:type="dxa"/>
        </w:tblCellMar>
        <w:tblLook w:val="01E0" w:firstRow="1" w:lastRow="1" w:firstColumn="1" w:lastColumn="1" w:noHBand="0" w:noVBand="0"/>
      </w:tblPr>
      <w:tblGrid>
        <w:gridCol w:w="3833"/>
        <w:gridCol w:w="2183"/>
        <w:gridCol w:w="1743"/>
        <w:gridCol w:w="1241"/>
      </w:tblGrid>
      <w:tr w:rsidR="00EB2BD8" w:rsidRPr="00EB2BD8" w14:paraId="03D23FC0" w14:textId="77777777">
        <w:trPr>
          <w:trHeight w:val="375"/>
        </w:trPr>
        <w:tc>
          <w:tcPr>
            <w:tcW w:w="3833" w:type="dxa"/>
            <w:tcBorders>
              <w:top w:val="single" w:sz="4" w:space="0" w:color="0098FF"/>
              <w:left w:val="single" w:sz="4" w:space="0" w:color="0098FF"/>
            </w:tcBorders>
            <w:shd w:val="clear" w:color="auto" w:fill="0070C0"/>
          </w:tcPr>
          <w:p w14:paraId="57B89BC9" w14:textId="77777777" w:rsidR="00084F36" w:rsidRPr="00EB2BD8" w:rsidRDefault="00084F36">
            <w:pPr>
              <w:pStyle w:val="TableParagraph"/>
              <w:spacing w:before="5"/>
              <w:rPr>
                <w:rFonts w:ascii="Arial"/>
                <w:sz w:val="16"/>
              </w:rPr>
            </w:pPr>
          </w:p>
          <w:p w14:paraId="603D6441" w14:textId="77777777" w:rsidR="00084F36" w:rsidRPr="00EB2BD8" w:rsidRDefault="00EB2BD8">
            <w:pPr>
              <w:pStyle w:val="TableParagraph"/>
              <w:spacing w:before="1" w:line="166" w:lineRule="exact"/>
              <w:ind w:left="100"/>
              <w:rPr>
                <w:rFonts w:ascii="Arial"/>
                <w:b/>
                <w:sz w:val="16"/>
              </w:rPr>
            </w:pPr>
            <w:r w:rsidRPr="00EB2BD8">
              <w:rPr>
                <w:rFonts w:ascii="Arial"/>
                <w:b/>
                <w:spacing w:val="-4"/>
                <w:w w:val="105"/>
                <w:sz w:val="16"/>
              </w:rPr>
              <w:t>2023</w:t>
            </w:r>
          </w:p>
        </w:tc>
        <w:tc>
          <w:tcPr>
            <w:tcW w:w="2183" w:type="dxa"/>
            <w:tcBorders>
              <w:top w:val="single" w:sz="4" w:space="0" w:color="0098FF"/>
            </w:tcBorders>
            <w:shd w:val="clear" w:color="auto" w:fill="0070C0"/>
          </w:tcPr>
          <w:p w14:paraId="2E3C0395" w14:textId="77777777" w:rsidR="00084F36" w:rsidRPr="00EB2BD8" w:rsidRDefault="00084F36">
            <w:pPr>
              <w:pStyle w:val="TableParagraph"/>
              <w:rPr>
                <w:rFonts w:ascii="Times New Roman"/>
                <w:sz w:val="16"/>
              </w:rPr>
            </w:pPr>
          </w:p>
        </w:tc>
        <w:tc>
          <w:tcPr>
            <w:tcW w:w="2984" w:type="dxa"/>
            <w:gridSpan w:val="2"/>
            <w:tcBorders>
              <w:top w:val="single" w:sz="4" w:space="0" w:color="0098FF"/>
              <w:right w:val="single" w:sz="4" w:space="0" w:color="0098FF"/>
            </w:tcBorders>
            <w:shd w:val="clear" w:color="auto" w:fill="0070C0"/>
          </w:tcPr>
          <w:p w14:paraId="4F62292B" w14:textId="77777777" w:rsidR="00084F36" w:rsidRPr="00EB2BD8" w:rsidRDefault="00EB2BD8">
            <w:pPr>
              <w:pStyle w:val="TableParagraph"/>
              <w:spacing w:before="98"/>
              <w:ind w:left="189"/>
              <w:rPr>
                <w:rFonts w:ascii="Arial"/>
                <w:b/>
                <w:sz w:val="16"/>
              </w:rPr>
            </w:pPr>
            <w:r w:rsidRPr="00EB2BD8">
              <w:rPr>
                <w:rFonts w:ascii="Arial"/>
                <w:b/>
                <w:w w:val="105"/>
                <w:sz w:val="16"/>
              </w:rPr>
              <w:t>Interest</w:t>
            </w:r>
            <w:r w:rsidRPr="00EB2BD8">
              <w:rPr>
                <w:rFonts w:ascii="Arial"/>
                <w:b/>
                <w:spacing w:val="-12"/>
                <w:w w:val="105"/>
                <w:sz w:val="16"/>
              </w:rPr>
              <w:t xml:space="preserve"> </w:t>
            </w:r>
            <w:r w:rsidRPr="00EB2BD8">
              <w:rPr>
                <w:rFonts w:ascii="Arial"/>
                <w:b/>
                <w:spacing w:val="-4"/>
                <w:w w:val="105"/>
                <w:sz w:val="16"/>
              </w:rPr>
              <w:t>rate</w:t>
            </w:r>
          </w:p>
        </w:tc>
      </w:tr>
      <w:tr w:rsidR="00EB2BD8" w:rsidRPr="00EB2BD8" w14:paraId="78A61D23" w14:textId="77777777">
        <w:trPr>
          <w:trHeight w:val="586"/>
        </w:trPr>
        <w:tc>
          <w:tcPr>
            <w:tcW w:w="3833" w:type="dxa"/>
            <w:shd w:val="clear" w:color="auto" w:fill="DEEAF6"/>
          </w:tcPr>
          <w:p w14:paraId="33E45628" w14:textId="77777777" w:rsidR="00084F36" w:rsidRPr="00EB2BD8" w:rsidRDefault="00084F36">
            <w:pPr>
              <w:pStyle w:val="TableParagraph"/>
              <w:rPr>
                <w:rFonts w:ascii="Times New Roman"/>
                <w:sz w:val="16"/>
              </w:rPr>
            </w:pPr>
          </w:p>
        </w:tc>
        <w:tc>
          <w:tcPr>
            <w:tcW w:w="2183" w:type="dxa"/>
            <w:shd w:val="clear" w:color="auto" w:fill="DEEAF6"/>
          </w:tcPr>
          <w:p w14:paraId="59CA1937" w14:textId="77777777" w:rsidR="00084F36" w:rsidRPr="00EB2BD8" w:rsidRDefault="00084F36">
            <w:pPr>
              <w:pStyle w:val="TableParagraph"/>
              <w:rPr>
                <w:rFonts w:ascii="Times New Roman"/>
                <w:sz w:val="16"/>
              </w:rPr>
            </w:pPr>
          </w:p>
        </w:tc>
        <w:tc>
          <w:tcPr>
            <w:tcW w:w="1743" w:type="dxa"/>
            <w:shd w:val="clear" w:color="auto" w:fill="DEEAF6"/>
          </w:tcPr>
          <w:p w14:paraId="39364745" w14:textId="77777777" w:rsidR="00084F36" w:rsidRPr="00EB2BD8" w:rsidRDefault="00084F36">
            <w:pPr>
              <w:pStyle w:val="TableParagraph"/>
              <w:spacing w:before="6"/>
              <w:rPr>
                <w:rFonts w:ascii="Arial"/>
                <w:sz w:val="15"/>
              </w:rPr>
            </w:pPr>
          </w:p>
          <w:p w14:paraId="7258F84E" w14:textId="77777777" w:rsidR="00084F36" w:rsidRPr="00EB2BD8" w:rsidRDefault="00EB2BD8">
            <w:pPr>
              <w:pStyle w:val="TableParagraph"/>
              <w:spacing w:line="194" w:lineRule="exact"/>
              <w:ind w:left="741" w:right="352" w:hanging="78"/>
              <w:rPr>
                <w:rFonts w:ascii="Arial"/>
                <w:b/>
                <w:sz w:val="11"/>
              </w:rPr>
            </w:pPr>
            <w:r w:rsidRPr="00EB2BD8">
              <w:rPr>
                <w:rFonts w:ascii="Arial"/>
                <w:b/>
                <w:w w:val="105"/>
                <w:sz w:val="16"/>
              </w:rPr>
              <w:t>-50</w:t>
            </w:r>
            <w:r w:rsidRPr="00EB2BD8">
              <w:rPr>
                <w:rFonts w:ascii="Arial"/>
                <w:b/>
                <w:spacing w:val="-12"/>
                <w:w w:val="105"/>
                <w:sz w:val="16"/>
              </w:rPr>
              <w:t xml:space="preserve"> </w:t>
            </w:r>
            <w:r w:rsidRPr="00EB2BD8">
              <w:rPr>
                <w:rFonts w:ascii="Arial"/>
                <w:b/>
                <w:w w:val="105"/>
                <w:sz w:val="16"/>
              </w:rPr>
              <w:t xml:space="preserve">basis </w:t>
            </w:r>
            <w:r w:rsidRPr="00EB2BD8">
              <w:rPr>
                <w:rFonts w:ascii="Arial"/>
                <w:b/>
                <w:spacing w:val="-2"/>
                <w:w w:val="105"/>
                <w:sz w:val="16"/>
              </w:rPr>
              <w:t>points</w:t>
            </w:r>
            <w:r w:rsidRPr="00EB2BD8">
              <w:rPr>
                <w:rFonts w:ascii="Arial"/>
                <w:b/>
                <w:spacing w:val="-2"/>
                <w:w w:val="105"/>
                <w:position w:val="6"/>
                <w:sz w:val="11"/>
              </w:rPr>
              <w:t>(a)</w:t>
            </w:r>
          </w:p>
        </w:tc>
        <w:tc>
          <w:tcPr>
            <w:tcW w:w="1241" w:type="dxa"/>
            <w:shd w:val="clear" w:color="auto" w:fill="DEEAF6"/>
          </w:tcPr>
          <w:p w14:paraId="5A3ACB29" w14:textId="77777777" w:rsidR="00084F36" w:rsidRPr="00EB2BD8" w:rsidRDefault="00084F36">
            <w:pPr>
              <w:pStyle w:val="TableParagraph"/>
              <w:spacing w:before="6"/>
              <w:rPr>
                <w:rFonts w:ascii="Arial"/>
                <w:sz w:val="15"/>
              </w:rPr>
            </w:pPr>
          </w:p>
          <w:p w14:paraId="1C90C36E" w14:textId="77777777" w:rsidR="00084F36" w:rsidRPr="00EB2BD8" w:rsidRDefault="00EB2BD8">
            <w:pPr>
              <w:pStyle w:val="TableParagraph"/>
              <w:spacing w:line="194" w:lineRule="exact"/>
              <w:ind w:left="501" w:right="90" w:hanging="120"/>
              <w:rPr>
                <w:rFonts w:ascii="Arial"/>
                <w:b/>
                <w:sz w:val="11"/>
              </w:rPr>
            </w:pPr>
            <w:r w:rsidRPr="00EB2BD8">
              <w:rPr>
                <w:rFonts w:ascii="Arial"/>
                <w:b/>
                <w:w w:val="105"/>
                <w:sz w:val="16"/>
              </w:rPr>
              <w:t>+50</w:t>
            </w:r>
            <w:r w:rsidRPr="00EB2BD8">
              <w:rPr>
                <w:rFonts w:ascii="Arial"/>
                <w:b/>
                <w:spacing w:val="-12"/>
                <w:w w:val="105"/>
                <w:sz w:val="16"/>
              </w:rPr>
              <w:t xml:space="preserve"> </w:t>
            </w:r>
            <w:r w:rsidRPr="00EB2BD8">
              <w:rPr>
                <w:rFonts w:ascii="Arial"/>
                <w:b/>
                <w:w w:val="105"/>
                <w:sz w:val="16"/>
              </w:rPr>
              <w:t xml:space="preserve">basis </w:t>
            </w:r>
            <w:r w:rsidRPr="00EB2BD8">
              <w:rPr>
                <w:rFonts w:ascii="Arial"/>
                <w:b/>
                <w:spacing w:val="-2"/>
                <w:w w:val="105"/>
                <w:sz w:val="16"/>
              </w:rPr>
              <w:t>points</w:t>
            </w:r>
            <w:r w:rsidRPr="00EB2BD8">
              <w:rPr>
                <w:rFonts w:ascii="Arial"/>
                <w:b/>
                <w:spacing w:val="-2"/>
                <w:w w:val="105"/>
                <w:position w:val="6"/>
                <w:sz w:val="11"/>
              </w:rPr>
              <w:t>(a)</w:t>
            </w:r>
          </w:p>
        </w:tc>
      </w:tr>
      <w:tr w:rsidR="00EB2BD8" w:rsidRPr="00EB2BD8" w14:paraId="01DC1C26" w14:textId="77777777">
        <w:trPr>
          <w:trHeight w:val="404"/>
        </w:trPr>
        <w:tc>
          <w:tcPr>
            <w:tcW w:w="3833" w:type="dxa"/>
            <w:shd w:val="clear" w:color="auto" w:fill="DEEAF6"/>
          </w:tcPr>
          <w:p w14:paraId="17B8C12D" w14:textId="77777777" w:rsidR="00084F36" w:rsidRPr="00EB2BD8" w:rsidRDefault="00084F36">
            <w:pPr>
              <w:pStyle w:val="TableParagraph"/>
              <w:rPr>
                <w:rFonts w:ascii="Times New Roman"/>
                <w:sz w:val="16"/>
              </w:rPr>
            </w:pPr>
          </w:p>
        </w:tc>
        <w:tc>
          <w:tcPr>
            <w:tcW w:w="2183" w:type="dxa"/>
            <w:shd w:val="clear" w:color="auto" w:fill="DEEAF6"/>
          </w:tcPr>
          <w:p w14:paraId="25D79FC2" w14:textId="77777777" w:rsidR="00084F36" w:rsidRPr="00EB2BD8" w:rsidRDefault="00EB2BD8">
            <w:pPr>
              <w:pStyle w:val="TableParagraph"/>
              <w:spacing w:before="4"/>
              <w:ind w:left="1309"/>
              <w:rPr>
                <w:rFonts w:ascii="Arial"/>
                <w:b/>
                <w:sz w:val="16"/>
              </w:rPr>
            </w:pPr>
            <w:r w:rsidRPr="00EB2BD8">
              <w:rPr>
                <w:rFonts w:ascii="Arial"/>
                <w:b/>
                <w:spacing w:val="-2"/>
                <w:w w:val="105"/>
                <w:sz w:val="16"/>
              </w:rPr>
              <w:t>Carrying</w:t>
            </w:r>
          </w:p>
          <w:p w14:paraId="5C18A918" w14:textId="77777777" w:rsidR="00084F36" w:rsidRPr="00EB2BD8" w:rsidRDefault="00EB2BD8">
            <w:pPr>
              <w:pStyle w:val="TableParagraph"/>
              <w:spacing w:before="10"/>
              <w:ind w:left="1393"/>
              <w:rPr>
                <w:rFonts w:ascii="Arial"/>
                <w:b/>
                <w:sz w:val="16"/>
              </w:rPr>
            </w:pPr>
            <w:r w:rsidRPr="00EB2BD8">
              <w:rPr>
                <w:rFonts w:ascii="Arial"/>
                <w:b/>
                <w:spacing w:val="-2"/>
                <w:w w:val="105"/>
                <w:sz w:val="16"/>
              </w:rPr>
              <w:t>amount</w:t>
            </w:r>
          </w:p>
        </w:tc>
        <w:tc>
          <w:tcPr>
            <w:tcW w:w="1743" w:type="dxa"/>
            <w:shd w:val="clear" w:color="auto" w:fill="DEEAF6"/>
          </w:tcPr>
          <w:p w14:paraId="391BF2D5" w14:textId="77777777" w:rsidR="00084F36" w:rsidRPr="00EB2BD8" w:rsidRDefault="00084F36">
            <w:pPr>
              <w:pStyle w:val="TableParagraph"/>
              <w:spacing w:before="2"/>
              <w:rPr>
                <w:rFonts w:ascii="Arial"/>
                <w:sz w:val="17"/>
              </w:rPr>
            </w:pPr>
          </w:p>
          <w:p w14:paraId="003FAB8D" w14:textId="77777777" w:rsidR="00084F36" w:rsidRPr="00EB2BD8" w:rsidRDefault="00EB2BD8">
            <w:pPr>
              <w:pStyle w:val="TableParagraph"/>
              <w:ind w:right="358"/>
              <w:jc w:val="right"/>
              <w:rPr>
                <w:rFonts w:ascii="Arial"/>
                <w:b/>
                <w:sz w:val="16"/>
              </w:rPr>
            </w:pPr>
            <w:r w:rsidRPr="00EB2BD8">
              <w:rPr>
                <w:rFonts w:ascii="Arial"/>
                <w:b/>
                <w:w w:val="105"/>
                <w:sz w:val="16"/>
              </w:rPr>
              <w:t>Net</w:t>
            </w:r>
            <w:r w:rsidRPr="00EB2BD8">
              <w:rPr>
                <w:rFonts w:ascii="Arial"/>
                <w:b/>
                <w:spacing w:val="-5"/>
                <w:w w:val="105"/>
                <w:sz w:val="16"/>
              </w:rPr>
              <w:t xml:space="preserve"> </w:t>
            </w:r>
            <w:r w:rsidRPr="00EB2BD8">
              <w:rPr>
                <w:rFonts w:ascii="Arial"/>
                <w:b/>
                <w:spacing w:val="-2"/>
                <w:w w:val="105"/>
                <w:sz w:val="16"/>
              </w:rPr>
              <w:t>result</w:t>
            </w:r>
          </w:p>
        </w:tc>
        <w:tc>
          <w:tcPr>
            <w:tcW w:w="1241" w:type="dxa"/>
            <w:shd w:val="clear" w:color="auto" w:fill="DEEAF6"/>
          </w:tcPr>
          <w:p w14:paraId="25A4EF5B" w14:textId="77777777" w:rsidR="00084F36" w:rsidRPr="00EB2BD8" w:rsidRDefault="00084F36">
            <w:pPr>
              <w:pStyle w:val="TableParagraph"/>
              <w:spacing w:before="2"/>
              <w:rPr>
                <w:rFonts w:ascii="Arial"/>
                <w:sz w:val="17"/>
              </w:rPr>
            </w:pPr>
          </w:p>
          <w:p w14:paraId="437F3334" w14:textId="77777777" w:rsidR="00084F36" w:rsidRPr="00EB2BD8" w:rsidRDefault="00EB2BD8">
            <w:pPr>
              <w:pStyle w:val="TableParagraph"/>
              <w:ind w:right="96"/>
              <w:jc w:val="right"/>
              <w:rPr>
                <w:rFonts w:ascii="Arial"/>
                <w:b/>
                <w:sz w:val="16"/>
              </w:rPr>
            </w:pPr>
            <w:r w:rsidRPr="00EB2BD8">
              <w:rPr>
                <w:rFonts w:ascii="Arial"/>
                <w:b/>
                <w:w w:val="105"/>
                <w:sz w:val="16"/>
              </w:rPr>
              <w:t>Net</w:t>
            </w:r>
            <w:r w:rsidRPr="00EB2BD8">
              <w:rPr>
                <w:rFonts w:ascii="Arial"/>
                <w:b/>
                <w:spacing w:val="-5"/>
                <w:w w:val="105"/>
                <w:sz w:val="16"/>
              </w:rPr>
              <w:t xml:space="preserve"> </w:t>
            </w:r>
            <w:r w:rsidRPr="00EB2BD8">
              <w:rPr>
                <w:rFonts w:ascii="Arial"/>
                <w:b/>
                <w:spacing w:val="-2"/>
                <w:w w:val="105"/>
                <w:sz w:val="16"/>
              </w:rPr>
              <w:t>result</w:t>
            </w:r>
          </w:p>
        </w:tc>
      </w:tr>
      <w:tr w:rsidR="00EB2BD8" w:rsidRPr="00EB2BD8" w14:paraId="65C26505" w14:textId="77777777">
        <w:trPr>
          <w:trHeight w:val="246"/>
        </w:trPr>
        <w:tc>
          <w:tcPr>
            <w:tcW w:w="3833" w:type="dxa"/>
            <w:shd w:val="clear" w:color="auto" w:fill="DEEAF6"/>
          </w:tcPr>
          <w:p w14:paraId="74309181" w14:textId="77777777" w:rsidR="00084F36" w:rsidRPr="00EB2BD8" w:rsidRDefault="00EB2BD8">
            <w:pPr>
              <w:pStyle w:val="TableParagraph"/>
              <w:spacing w:before="22"/>
              <w:ind w:left="105"/>
              <w:rPr>
                <w:rFonts w:ascii="Arial"/>
                <w:b/>
                <w:sz w:val="16"/>
              </w:rPr>
            </w:pPr>
            <w:r w:rsidRPr="00EB2BD8">
              <w:rPr>
                <w:rFonts w:ascii="Arial"/>
                <w:b/>
                <w:spacing w:val="-2"/>
                <w:w w:val="105"/>
                <w:sz w:val="16"/>
              </w:rPr>
              <w:t>Contractual</w:t>
            </w:r>
            <w:r w:rsidRPr="00EB2BD8">
              <w:rPr>
                <w:rFonts w:ascii="Arial"/>
                <w:b/>
                <w:spacing w:val="8"/>
                <w:w w:val="105"/>
                <w:sz w:val="16"/>
              </w:rPr>
              <w:t xml:space="preserve"> </w:t>
            </w:r>
            <w:r w:rsidRPr="00EB2BD8">
              <w:rPr>
                <w:rFonts w:ascii="Arial"/>
                <w:b/>
                <w:spacing w:val="-2"/>
                <w:w w:val="105"/>
                <w:sz w:val="16"/>
              </w:rPr>
              <w:t>financial</w:t>
            </w:r>
            <w:r w:rsidRPr="00EB2BD8">
              <w:rPr>
                <w:rFonts w:ascii="Arial"/>
                <w:b/>
                <w:spacing w:val="8"/>
                <w:w w:val="105"/>
                <w:sz w:val="16"/>
              </w:rPr>
              <w:t xml:space="preserve"> </w:t>
            </w:r>
            <w:r w:rsidRPr="00EB2BD8">
              <w:rPr>
                <w:rFonts w:ascii="Arial"/>
                <w:b/>
                <w:spacing w:val="-2"/>
                <w:w w:val="105"/>
                <w:sz w:val="16"/>
              </w:rPr>
              <w:t>assets</w:t>
            </w:r>
          </w:p>
        </w:tc>
        <w:tc>
          <w:tcPr>
            <w:tcW w:w="2183" w:type="dxa"/>
            <w:shd w:val="clear" w:color="auto" w:fill="DEEAF6"/>
          </w:tcPr>
          <w:p w14:paraId="064AE872" w14:textId="77777777" w:rsidR="00084F36" w:rsidRPr="00EB2BD8" w:rsidRDefault="00084F36">
            <w:pPr>
              <w:pStyle w:val="TableParagraph"/>
              <w:rPr>
                <w:rFonts w:ascii="Times New Roman"/>
                <w:sz w:val="16"/>
              </w:rPr>
            </w:pPr>
          </w:p>
        </w:tc>
        <w:tc>
          <w:tcPr>
            <w:tcW w:w="1743" w:type="dxa"/>
            <w:shd w:val="clear" w:color="auto" w:fill="DEEAF6"/>
          </w:tcPr>
          <w:p w14:paraId="02C41B16" w14:textId="77777777" w:rsidR="00084F36" w:rsidRPr="00EB2BD8" w:rsidRDefault="00084F36">
            <w:pPr>
              <w:pStyle w:val="TableParagraph"/>
              <w:rPr>
                <w:rFonts w:ascii="Times New Roman"/>
                <w:sz w:val="16"/>
              </w:rPr>
            </w:pPr>
          </w:p>
        </w:tc>
        <w:tc>
          <w:tcPr>
            <w:tcW w:w="1241" w:type="dxa"/>
            <w:shd w:val="clear" w:color="auto" w:fill="DEEAF6"/>
          </w:tcPr>
          <w:p w14:paraId="384FBAEA" w14:textId="77777777" w:rsidR="00084F36" w:rsidRPr="00EB2BD8" w:rsidRDefault="00084F36">
            <w:pPr>
              <w:pStyle w:val="TableParagraph"/>
              <w:rPr>
                <w:rFonts w:ascii="Times New Roman"/>
                <w:sz w:val="16"/>
              </w:rPr>
            </w:pPr>
          </w:p>
        </w:tc>
      </w:tr>
      <w:tr w:rsidR="00EB2BD8" w:rsidRPr="00EB2BD8" w14:paraId="3AFEE3DD" w14:textId="77777777">
        <w:trPr>
          <w:trHeight w:val="261"/>
        </w:trPr>
        <w:tc>
          <w:tcPr>
            <w:tcW w:w="3833" w:type="dxa"/>
            <w:tcBorders>
              <w:bottom w:val="single" w:sz="12" w:space="0" w:color="000000"/>
            </w:tcBorders>
            <w:shd w:val="clear" w:color="auto" w:fill="DEEAF6"/>
          </w:tcPr>
          <w:p w14:paraId="6DAA62A1" w14:textId="77777777" w:rsidR="00084F36" w:rsidRPr="00EB2BD8" w:rsidRDefault="00EB2BD8">
            <w:pPr>
              <w:pStyle w:val="TableParagraph"/>
              <w:spacing w:before="41"/>
              <w:ind w:left="105"/>
              <w:rPr>
                <w:rFonts w:ascii="Arial"/>
                <w:sz w:val="16"/>
              </w:rPr>
            </w:pPr>
            <w:r w:rsidRPr="00EB2BD8">
              <w:rPr>
                <w:rFonts w:ascii="Arial"/>
                <w:w w:val="105"/>
                <w:sz w:val="16"/>
              </w:rPr>
              <w:t>Cash</w:t>
            </w:r>
            <w:r w:rsidRPr="00EB2BD8">
              <w:rPr>
                <w:rFonts w:ascii="Arial"/>
                <w:spacing w:val="-5"/>
                <w:w w:val="105"/>
                <w:sz w:val="16"/>
              </w:rPr>
              <w:t xml:space="preserve"> </w:t>
            </w:r>
            <w:r w:rsidRPr="00EB2BD8">
              <w:rPr>
                <w:rFonts w:ascii="Arial"/>
                <w:w w:val="105"/>
                <w:sz w:val="16"/>
              </w:rPr>
              <w:t>and</w:t>
            </w:r>
            <w:r w:rsidRPr="00EB2BD8">
              <w:rPr>
                <w:rFonts w:ascii="Arial"/>
                <w:spacing w:val="-5"/>
                <w:w w:val="105"/>
                <w:sz w:val="16"/>
              </w:rPr>
              <w:t xml:space="preserve"> </w:t>
            </w:r>
            <w:r w:rsidRPr="00EB2BD8">
              <w:rPr>
                <w:rFonts w:ascii="Arial"/>
                <w:spacing w:val="-2"/>
                <w:w w:val="105"/>
                <w:sz w:val="16"/>
              </w:rPr>
              <w:t>deposits</w:t>
            </w:r>
          </w:p>
        </w:tc>
        <w:tc>
          <w:tcPr>
            <w:tcW w:w="2183" w:type="dxa"/>
            <w:tcBorders>
              <w:bottom w:val="single" w:sz="12" w:space="0" w:color="000000"/>
            </w:tcBorders>
            <w:shd w:val="clear" w:color="auto" w:fill="DEEAF6"/>
          </w:tcPr>
          <w:p w14:paraId="3C96B752" w14:textId="77777777" w:rsidR="00084F36" w:rsidRPr="00EB2BD8" w:rsidRDefault="00EB2BD8">
            <w:pPr>
              <w:pStyle w:val="TableParagraph"/>
              <w:spacing w:before="41"/>
              <w:ind w:right="180"/>
              <w:jc w:val="right"/>
              <w:rPr>
                <w:rFonts w:ascii="Arial"/>
                <w:sz w:val="16"/>
              </w:rPr>
            </w:pPr>
            <w:r w:rsidRPr="00EB2BD8">
              <w:rPr>
                <w:rFonts w:ascii="Arial"/>
                <w:spacing w:val="-2"/>
                <w:w w:val="105"/>
                <w:sz w:val="16"/>
              </w:rPr>
              <w:t>59,653</w:t>
            </w:r>
          </w:p>
        </w:tc>
        <w:tc>
          <w:tcPr>
            <w:tcW w:w="1743" w:type="dxa"/>
            <w:tcBorders>
              <w:bottom w:val="single" w:sz="12" w:space="0" w:color="000000"/>
            </w:tcBorders>
            <w:shd w:val="clear" w:color="auto" w:fill="DEEAF6"/>
          </w:tcPr>
          <w:p w14:paraId="7D038FF0" w14:textId="77777777" w:rsidR="00084F36" w:rsidRPr="00EB2BD8" w:rsidRDefault="00EB2BD8">
            <w:pPr>
              <w:pStyle w:val="TableParagraph"/>
              <w:spacing w:before="41"/>
              <w:ind w:right="360"/>
              <w:jc w:val="right"/>
              <w:rPr>
                <w:rFonts w:ascii="Arial"/>
                <w:sz w:val="16"/>
              </w:rPr>
            </w:pPr>
            <w:r w:rsidRPr="00EB2BD8">
              <w:rPr>
                <w:rFonts w:ascii="Arial"/>
                <w:spacing w:val="-2"/>
                <w:w w:val="105"/>
                <w:sz w:val="16"/>
              </w:rPr>
              <w:t>(298)</w:t>
            </w:r>
          </w:p>
        </w:tc>
        <w:tc>
          <w:tcPr>
            <w:tcW w:w="1241" w:type="dxa"/>
            <w:tcBorders>
              <w:bottom w:val="single" w:sz="12" w:space="0" w:color="000000"/>
            </w:tcBorders>
            <w:shd w:val="clear" w:color="auto" w:fill="DEEAF6"/>
          </w:tcPr>
          <w:p w14:paraId="0CB5F183" w14:textId="77777777" w:rsidR="00084F36" w:rsidRPr="00EB2BD8" w:rsidRDefault="00EB2BD8">
            <w:pPr>
              <w:pStyle w:val="TableParagraph"/>
              <w:spacing w:before="41"/>
              <w:ind w:right="97"/>
              <w:jc w:val="right"/>
              <w:rPr>
                <w:rFonts w:ascii="Arial"/>
                <w:sz w:val="16"/>
              </w:rPr>
            </w:pPr>
            <w:r w:rsidRPr="00EB2BD8">
              <w:rPr>
                <w:rFonts w:ascii="Arial"/>
                <w:spacing w:val="-5"/>
                <w:w w:val="105"/>
                <w:sz w:val="16"/>
              </w:rPr>
              <w:t>298</w:t>
            </w:r>
          </w:p>
        </w:tc>
      </w:tr>
      <w:tr w:rsidR="00EB2BD8" w:rsidRPr="00EB2BD8" w14:paraId="6B7C007F" w14:textId="77777777">
        <w:trPr>
          <w:trHeight w:val="235"/>
        </w:trPr>
        <w:tc>
          <w:tcPr>
            <w:tcW w:w="3833" w:type="dxa"/>
            <w:tcBorders>
              <w:top w:val="single" w:sz="12" w:space="0" w:color="000000"/>
              <w:bottom w:val="single" w:sz="12" w:space="0" w:color="000000"/>
            </w:tcBorders>
            <w:shd w:val="clear" w:color="auto" w:fill="DEEAF6"/>
          </w:tcPr>
          <w:p w14:paraId="5F7874BE" w14:textId="77777777" w:rsidR="00084F36" w:rsidRPr="00EB2BD8" w:rsidRDefault="00EB2BD8">
            <w:pPr>
              <w:pStyle w:val="TableParagraph"/>
              <w:spacing w:before="28"/>
              <w:ind w:left="105"/>
              <w:rPr>
                <w:rFonts w:ascii="Arial"/>
                <w:b/>
                <w:sz w:val="16"/>
              </w:rPr>
            </w:pPr>
            <w:r w:rsidRPr="00EB2BD8">
              <w:rPr>
                <w:rFonts w:ascii="Arial"/>
                <w:b/>
                <w:w w:val="105"/>
                <w:sz w:val="16"/>
              </w:rPr>
              <w:t>Total</w:t>
            </w:r>
            <w:r w:rsidRPr="00EB2BD8">
              <w:rPr>
                <w:rFonts w:ascii="Arial"/>
                <w:b/>
                <w:spacing w:val="-6"/>
                <w:w w:val="105"/>
                <w:sz w:val="16"/>
              </w:rPr>
              <w:t xml:space="preserve"> </w:t>
            </w:r>
            <w:r w:rsidRPr="00EB2BD8">
              <w:rPr>
                <w:rFonts w:ascii="Arial"/>
                <w:b/>
                <w:spacing w:val="-2"/>
                <w:w w:val="105"/>
                <w:sz w:val="16"/>
              </w:rPr>
              <w:t>impact</w:t>
            </w:r>
          </w:p>
        </w:tc>
        <w:tc>
          <w:tcPr>
            <w:tcW w:w="2183" w:type="dxa"/>
            <w:tcBorders>
              <w:top w:val="single" w:sz="12" w:space="0" w:color="000000"/>
              <w:bottom w:val="single" w:sz="12" w:space="0" w:color="000000"/>
            </w:tcBorders>
            <w:shd w:val="clear" w:color="auto" w:fill="DEEAF6"/>
          </w:tcPr>
          <w:p w14:paraId="2B238699" w14:textId="77777777" w:rsidR="00084F36" w:rsidRPr="00EB2BD8" w:rsidRDefault="00EB2BD8">
            <w:pPr>
              <w:pStyle w:val="TableParagraph"/>
              <w:spacing w:before="28"/>
              <w:ind w:right="180"/>
              <w:jc w:val="right"/>
              <w:rPr>
                <w:rFonts w:ascii="Arial"/>
                <w:sz w:val="16"/>
              </w:rPr>
            </w:pPr>
            <w:r w:rsidRPr="00EB2BD8">
              <w:rPr>
                <w:rFonts w:ascii="Arial"/>
                <w:spacing w:val="-2"/>
                <w:w w:val="105"/>
                <w:sz w:val="16"/>
              </w:rPr>
              <w:t>59,653</w:t>
            </w:r>
          </w:p>
        </w:tc>
        <w:tc>
          <w:tcPr>
            <w:tcW w:w="1743" w:type="dxa"/>
            <w:tcBorders>
              <w:top w:val="single" w:sz="12" w:space="0" w:color="000000"/>
              <w:bottom w:val="single" w:sz="12" w:space="0" w:color="000000"/>
            </w:tcBorders>
            <w:shd w:val="clear" w:color="auto" w:fill="DEEAF6"/>
          </w:tcPr>
          <w:p w14:paraId="0CEF72CD" w14:textId="77777777" w:rsidR="00084F36" w:rsidRPr="00EB2BD8" w:rsidRDefault="00EB2BD8">
            <w:pPr>
              <w:pStyle w:val="TableParagraph"/>
              <w:spacing w:before="28"/>
              <w:ind w:right="359"/>
              <w:jc w:val="right"/>
              <w:rPr>
                <w:rFonts w:ascii="Arial"/>
                <w:sz w:val="16"/>
              </w:rPr>
            </w:pPr>
            <w:r w:rsidRPr="00EB2BD8">
              <w:rPr>
                <w:rFonts w:ascii="Arial"/>
                <w:spacing w:val="-2"/>
                <w:w w:val="105"/>
                <w:sz w:val="16"/>
              </w:rPr>
              <w:t>(298)</w:t>
            </w:r>
          </w:p>
        </w:tc>
        <w:tc>
          <w:tcPr>
            <w:tcW w:w="1241" w:type="dxa"/>
            <w:tcBorders>
              <w:top w:val="single" w:sz="12" w:space="0" w:color="000000"/>
              <w:bottom w:val="single" w:sz="12" w:space="0" w:color="000000"/>
            </w:tcBorders>
            <w:shd w:val="clear" w:color="auto" w:fill="DEEAF6"/>
          </w:tcPr>
          <w:p w14:paraId="5913E66E" w14:textId="77777777" w:rsidR="00084F36" w:rsidRPr="00EB2BD8" w:rsidRDefault="00EB2BD8">
            <w:pPr>
              <w:pStyle w:val="TableParagraph"/>
              <w:spacing w:before="28"/>
              <w:ind w:right="97"/>
              <w:jc w:val="right"/>
              <w:rPr>
                <w:rFonts w:ascii="Arial"/>
                <w:sz w:val="16"/>
              </w:rPr>
            </w:pPr>
            <w:r w:rsidRPr="00EB2BD8">
              <w:rPr>
                <w:rFonts w:ascii="Arial"/>
                <w:spacing w:val="-5"/>
                <w:w w:val="105"/>
                <w:sz w:val="16"/>
              </w:rPr>
              <w:t>298</w:t>
            </w:r>
          </w:p>
        </w:tc>
      </w:tr>
      <w:tr w:rsidR="00EB2BD8" w:rsidRPr="00EB2BD8" w14:paraId="2D21D95D" w14:textId="77777777">
        <w:trPr>
          <w:trHeight w:val="818"/>
        </w:trPr>
        <w:tc>
          <w:tcPr>
            <w:tcW w:w="3833" w:type="dxa"/>
            <w:tcBorders>
              <w:top w:val="single" w:sz="12" w:space="0" w:color="000000"/>
              <w:bottom w:val="single" w:sz="12" w:space="0" w:color="000000"/>
            </w:tcBorders>
            <w:shd w:val="clear" w:color="auto" w:fill="DEEAF6"/>
          </w:tcPr>
          <w:p w14:paraId="0F2BEF9E" w14:textId="77777777" w:rsidR="00084F36" w:rsidRPr="00EB2BD8" w:rsidRDefault="00EB2BD8">
            <w:pPr>
              <w:pStyle w:val="TableParagraph"/>
              <w:spacing w:before="89" w:line="252" w:lineRule="auto"/>
              <w:ind w:left="105" w:right="686"/>
              <w:rPr>
                <w:rFonts w:ascii="Arial"/>
                <w:b/>
                <w:sz w:val="16"/>
              </w:rPr>
            </w:pPr>
            <w:r w:rsidRPr="00EB2BD8">
              <w:rPr>
                <w:rFonts w:ascii="Arial"/>
                <w:b/>
                <w:w w:val="105"/>
                <w:sz w:val="16"/>
              </w:rPr>
              <w:t>Contractual</w:t>
            </w:r>
            <w:r w:rsidRPr="00EB2BD8">
              <w:rPr>
                <w:rFonts w:ascii="Arial"/>
                <w:b/>
                <w:spacing w:val="-12"/>
                <w:w w:val="105"/>
                <w:sz w:val="16"/>
              </w:rPr>
              <w:t xml:space="preserve"> </w:t>
            </w:r>
            <w:r w:rsidRPr="00EB2BD8">
              <w:rPr>
                <w:rFonts w:ascii="Arial"/>
                <w:b/>
                <w:w w:val="105"/>
                <w:sz w:val="16"/>
              </w:rPr>
              <w:t>financial</w:t>
            </w:r>
            <w:r w:rsidRPr="00EB2BD8">
              <w:rPr>
                <w:rFonts w:ascii="Arial"/>
                <w:b/>
                <w:spacing w:val="-12"/>
                <w:w w:val="105"/>
                <w:sz w:val="16"/>
              </w:rPr>
              <w:t xml:space="preserve"> </w:t>
            </w:r>
            <w:r w:rsidRPr="00EB2BD8">
              <w:rPr>
                <w:rFonts w:ascii="Arial"/>
                <w:b/>
                <w:w w:val="105"/>
                <w:sz w:val="16"/>
              </w:rPr>
              <w:t>liabilities (Interest bearing liabilities)</w:t>
            </w:r>
          </w:p>
          <w:p w14:paraId="23942E08" w14:textId="77777777" w:rsidR="00084F36" w:rsidRPr="00EB2BD8" w:rsidRDefault="00EB2BD8">
            <w:pPr>
              <w:pStyle w:val="TableParagraph"/>
              <w:spacing w:before="121"/>
              <w:ind w:left="105"/>
              <w:rPr>
                <w:rFonts w:ascii="Arial"/>
                <w:sz w:val="16"/>
              </w:rPr>
            </w:pPr>
            <w:r w:rsidRPr="00EB2BD8">
              <w:rPr>
                <w:rFonts w:ascii="Arial"/>
                <w:w w:val="105"/>
                <w:sz w:val="16"/>
              </w:rPr>
              <w:t>Lease</w:t>
            </w:r>
            <w:r w:rsidRPr="00EB2BD8">
              <w:rPr>
                <w:rFonts w:ascii="Arial"/>
                <w:spacing w:val="-7"/>
                <w:w w:val="105"/>
                <w:sz w:val="16"/>
              </w:rPr>
              <w:t xml:space="preserve"> </w:t>
            </w:r>
            <w:r w:rsidRPr="00EB2BD8">
              <w:rPr>
                <w:rFonts w:ascii="Arial"/>
                <w:spacing w:val="-2"/>
                <w:w w:val="105"/>
                <w:sz w:val="16"/>
              </w:rPr>
              <w:t>liabilities</w:t>
            </w:r>
          </w:p>
        </w:tc>
        <w:tc>
          <w:tcPr>
            <w:tcW w:w="2183" w:type="dxa"/>
            <w:tcBorders>
              <w:top w:val="single" w:sz="12" w:space="0" w:color="000000"/>
              <w:bottom w:val="single" w:sz="12" w:space="0" w:color="000000"/>
            </w:tcBorders>
            <w:shd w:val="clear" w:color="auto" w:fill="DEEAF6"/>
          </w:tcPr>
          <w:p w14:paraId="06B6B423" w14:textId="77777777" w:rsidR="00084F36" w:rsidRPr="00EB2BD8" w:rsidRDefault="00084F36">
            <w:pPr>
              <w:pStyle w:val="TableParagraph"/>
              <w:rPr>
                <w:rFonts w:ascii="Arial"/>
                <w:sz w:val="18"/>
              </w:rPr>
            </w:pPr>
          </w:p>
          <w:p w14:paraId="2A296447" w14:textId="77777777" w:rsidR="00084F36" w:rsidRPr="00EB2BD8" w:rsidRDefault="00084F36">
            <w:pPr>
              <w:pStyle w:val="TableParagraph"/>
              <w:rPr>
                <w:rFonts w:ascii="Arial"/>
                <w:sz w:val="18"/>
              </w:rPr>
            </w:pPr>
          </w:p>
          <w:p w14:paraId="10F8CF2A" w14:textId="77777777" w:rsidR="00084F36" w:rsidRPr="00EB2BD8" w:rsidRDefault="00084F36">
            <w:pPr>
              <w:pStyle w:val="TableParagraph"/>
              <w:spacing w:before="10"/>
              <w:rPr>
                <w:rFonts w:ascii="Arial"/>
                <w:sz w:val="15"/>
              </w:rPr>
            </w:pPr>
          </w:p>
          <w:p w14:paraId="343029CB" w14:textId="77777777" w:rsidR="00084F36" w:rsidRPr="00EB2BD8" w:rsidRDefault="00EB2BD8">
            <w:pPr>
              <w:pStyle w:val="TableParagraph"/>
              <w:ind w:right="181"/>
              <w:jc w:val="right"/>
              <w:rPr>
                <w:rFonts w:ascii="Arial"/>
                <w:sz w:val="16"/>
              </w:rPr>
            </w:pPr>
            <w:r w:rsidRPr="00EB2BD8">
              <w:rPr>
                <w:rFonts w:ascii="Arial"/>
                <w:spacing w:val="-2"/>
                <w:w w:val="105"/>
                <w:sz w:val="16"/>
              </w:rPr>
              <w:t>5,223</w:t>
            </w:r>
          </w:p>
        </w:tc>
        <w:tc>
          <w:tcPr>
            <w:tcW w:w="1743" w:type="dxa"/>
            <w:tcBorders>
              <w:top w:val="single" w:sz="12" w:space="0" w:color="000000"/>
              <w:bottom w:val="single" w:sz="12" w:space="0" w:color="000000"/>
            </w:tcBorders>
            <w:shd w:val="clear" w:color="auto" w:fill="DEEAF6"/>
          </w:tcPr>
          <w:p w14:paraId="36C018AE" w14:textId="77777777" w:rsidR="00084F36" w:rsidRPr="00EB2BD8" w:rsidRDefault="00084F36">
            <w:pPr>
              <w:pStyle w:val="TableParagraph"/>
              <w:rPr>
                <w:rFonts w:ascii="Arial"/>
                <w:sz w:val="18"/>
              </w:rPr>
            </w:pPr>
          </w:p>
          <w:p w14:paraId="027F8D14" w14:textId="77777777" w:rsidR="00084F36" w:rsidRPr="00EB2BD8" w:rsidRDefault="00084F36">
            <w:pPr>
              <w:pStyle w:val="TableParagraph"/>
              <w:rPr>
                <w:rFonts w:ascii="Arial"/>
                <w:sz w:val="18"/>
              </w:rPr>
            </w:pPr>
          </w:p>
          <w:p w14:paraId="7253DEC7" w14:textId="77777777" w:rsidR="00084F36" w:rsidRPr="00EB2BD8" w:rsidRDefault="00084F36">
            <w:pPr>
              <w:pStyle w:val="TableParagraph"/>
              <w:spacing w:before="10"/>
              <w:rPr>
                <w:rFonts w:ascii="Arial"/>
                <w:sz w:val="15"/>
              </w:rPr>
            </w:pPr>
          </w:p>
          <w:p w14:paraId="16966013" w14:textId="77777777" w:rsidR="00084F36" w:rsidRPr="00EB2BD8" w:rsidRDefault="00EB2BD8">
            <w:pPr>
              <w:pStyle w:val="TableParagraph"/>
              <w:ind w:right="361"/>
              <w:jc w:val="right"/>
              <w:rPr>
                <w:rFonts w:ascii="Arial"/>
                <w:sz w:val="16"/>
              </w:rPr>
            </w:pPr>
            <w:r w:rsidRPr="00EB2BD8">
              <w:rPr>
                <w:rFonts w:ascii="Arial"/>
                <w:spacing w:val="-4"/>
                <w:w w:val="105"/>
                <w:sz w:val="16"/>
              </w:rPr>
              <w:t>(26)</w:t>
            </w:r>
          </w:p>
        </w:tc>
        <w:tc>
          <w:tcPr>
            <w:tcW w:w="1241" w:type="dxa"/>
            <w:tcBorders>
              <w:top w:val="single" w:sz="12" w:space="0" w:color="000000"/>
              <w:bottom w:val="single" w:sz="12" w:space="0" w:color="000000"/>
            </w:tcBorders>
            <w:shd w:val="clear" w:color="auto" w:fill="DEEAF6"/>
          </w:tcPr>
          <w:p w14:paraId="21F072F9" w14:textId="77777777" w:rsidR="00084F36" w:rsidRPr="00EB2BD8" w:rsidRDefault="00084F36">
            <w:pPr>
              <w:pStyle w:val="TableParagraph"/>
              <w:rPr>
                <w:rFonts w:ascii="Arial"/>
                <w:sz w:val="18"/>
              </w:rPr>
            </w:pPr>
          </w:p>
          <w:p w14:paraId="20778B88" w14:textId="77777777" w:rsidR="00084F36" w:rsidRPr="00EB2BD8" w:rsidRDefault="00084F36">
            <w:pPr>
              <w:pStyle w:val="TableParagraph"/>
              <w:rPr>
                <w:rFonts w:ascii="Arial"/>
                <w:sz w:val="18"/>
              </w:rPr>
            </w:pPr>
          </w:p>
          <w:p w14:paraId="2530A86A" w14:textId="77777777" w:rsidR="00084F36" w:rsidRPr="00EB2BD8" w:rsidRDefault="00084F36">
            <w:pPr>
              <w:pStyle w:val="TableParagraph"/>
              <w:spacing w:before="10"/>
              <w:rPr>
                <w:rFonts w:ascii="Arial"/>
                <w:sz w:val="15"/>
              </w:rPr>
            </w:pPr>
          </w:p>
          <w:p w14:paraId="56B9B356" w14:textId="77777777" w:rsidR="00084F36" w:rsidRPr="00EB2BD8" w:rsidRDefault="00EB2BD8">
            <w:pPr>
              <w:pStyle w:val="TableParagraph"/>
              <w:ind w:right="97"/>
              <w:jc w:val="right"/>
              <w:rPr>
                <w:rFonts w:ascii="Arial"/>
                <w:sz w:val="16"/>
              </w:rPr>
            </w:pPr>
            <w:r w:rsidRPr="00EB2BD8">
              <w:rPr>
                <w:rFonts w:ascii="Arial"/>
                <w:spacing w:val="-5"/>
                <w:w w:val="105"/>
                <w:sz w:val="16"/>
              </w:rPr>
              <w:t>26</w:t>
            </w:r>
          </w:p>
        </w:tc>
      </w:tr>
      <w:tr w:rsidR="00EB2BD8" w:rsidRPr="00EB2BD8" w14:paraId="5E5621E0" w14:textId="77777777">
        <w:trPr>
          <w:trHeight w:val="234"/>
        </w:trPr>
        <w:tc>
          <w:tcPr>
            <w:tcW w:w="3833" w:type="dxa"/>
            <w:tcBorders>
              <w:top w:val="single" w:sz="12" w:space="0" w:color="000000"/>
              <w:bottom w:val="single" w:sz="12" w:space="0" w:color="000000"/>
            </w:tcBorders>
            <w:shd w:val="clear" w:color="auto" w:fill="DEEAF6"/>
          </w:tcPr>
          <w:p w14:paraId="069C8693" w14:textId="77777777" w:rsidR="00084F36" w:rsidRPr="00EB2BD8" w:rsidRDefault="00EB2BD8">
            <w:pPr>
              <w:pStyle w:val="TableParagraph"/>
              <w:spacing w:before="27"/>
              <w:ind w:left="105"/>
              <w:rPr>
                <w:rFonts w:ascii="Arial"/>
                <w:b/>
                <w:sz w:val="16"/>
              </w:rPr>
            </w:pPr>
            <w:r w:rsidRPr="00EB2BD8">
              <w:rPr>
                <w:rFonts w:ascii="Arial"/>
                <w:b/>
                <w:w w:val="105"/>
                <w:sz w:val="16"/>
              </w:rPr>
              <w:t>Total</w:t>
            </w:r>
            <w:r w:rsidRPr="00EB2BD8">
              <w:rPr>
                <w:rFonts w:ascii="Arial"/>
                <w:b/>
                <w:spacing w:val="-6"/>
                <w:w w:val="105"/>
                <w:sz w:val="16"/>
              </w:rPr>
              <w:t xml:space="preserve"> </w:t>
            </w:r>
            <w:r w:rsidRPr="00EB2BD8">
              <w:rPr>
                <w:rFonts w:ascii="Arial"/>
                <w:b/>
                <w:spacing w:val="-2"/>
                <w:w w:val="105"/>
                <w:sz w:val="16"/>
              </w:rPr>
              <w:t>impact</w:t>
            </w:r>
          </w:p>
        </w:tc>
        <w:tc>
          <w:tcPr>
            <w:tcW w:w="2183" w:type="dxa"/>
            <w:tcBorders>
              <w:top w:val="single" w:sz="12" w:space="0" w:color="000000"/>
              <w:bottom w:val="single" w:sz="12" w:space="0" w:color="000000"/>
            </w:tcBorders>
            <w:shd w:val="clear" w:color="auto" w:fill="DEEAF6"/>
          </w:tcPr>
          <w:p w14:paraId="3DE37B50" w14:textId="77777777" w:rsidR="00084F36" w:rsidRPr="00EB2BD8" w:rsidRDefault="00EB2BD8">
            <w:pPr>
              <w:pStyle w:val="TableParagraph"/>
              <w:spacing w:before="27"/>
              <w:ind w:right="181"/>
              <w:jc w:val="right"/>
              <w:rPr>
                <w:rFonts w:ascii="Arial"/>
                <w:b/>
                <w:sz w:val="16"/>
              </w:rPr>
            </w:pPr>
            <w:r w:rsidRPr="00EB2BD8">
              <w:rPr>
                <w:rFonts w:ascii="Arial"/>
                <w:b/>
                <w:spacing w:val="-2"/>
                <w:w w:val="105"/>
                <w:sz w:val="16"/>
              </w:rPr>
              <w:t>5,223</w:t>
            </w:r>
          </w:p>
        </w:tc>
        <w:tc>
          <w:tcPr>
            <w:tcW w:w="1743" w:type="dxa"/>
            <w:tcBorders>
              <w:top w:val="single" w:sz="12" w:space="0" w:color="000000"/>
              <w:bottom w:val="single" w:sz="12" w:space="0" w:color="000000"/>
            </w:tcBorders>
            <w:shd w:val="clear" w:color="auto" w:fill="DEEAF6"/>
          </w:tcPr>
          <w:p w14:paraId="5AFE7198" w14:textId="77777777" w:rsidR="00084F36" w:rsidRPr="00EB2BD8" w:rsidRDefault="00EB2BD8">
            <w:pPr>
              <w:pStyle w:val="TableParagraph"/>
              <w:spacing w:before="27"/>
              <w:ind w:right="359"/>
              <w:jc w:val="right"/>
              <w:rPr>
                <w:rFonts w:ascii="Arial"/>
                <w:b/>
                <w:sz w:val="16"/>
              </w:rPr>
            </w:pPr>
            <w:r w:rsidRPr="00EB2BD8">
              <w:rPr>
                <w:rFonts w:ascii="Arial"/>
                <w:b/>
                <w:spacing w:val="-4"/>
                <w:w w:val="105"/>
                <w:sz w:val="16"/>
              </w:rPr>
              <w:t>(26)</w:t>
            </w:r>
          </w:p>
        </w:tc>
        <w:tc>
          <w:tcPr>
            <w:tcW w:w="1241" w:type="dxa"/>
            <w:tcBorders>
              <w:top w:val="single" w:sz="12" w:space="0" w:color="000000"/>
              <w:bottom w:val="single" w:sz="12" w:space="0" w:color="000000"/>
            </w:tcBorders>
            <w:shd w:val="clear" w:color="auto" w:fill="DEEAF6"/>
          </w:tcPr>
          <w:p w14:paraId="6E58C3A2" w14:textId="77777777" w:rsidR="00084F36" w:rsidRPr="00EB2BD8" w:rsidRDefault="00EB2BD8">
            <w:pPr>
              <w:pStyle w:val="TableParagraph"/>
              <w:spacing w:before="27"/>
              <w:ind w:right="97"/>
              <w:jc w:val="right"/>
              <w:rPr>
                <w:rFonts w:ascii="Arial"/>
                <w:b/>
                <w:sz w:val="16"/>
              </w:rPr>
            </w:pPr>
            <w:r w:rsidRPr="00EB2BD8">
              <w:rPr>
                <w:rFonts w:ascii="Arial"/>
                <w:b/>
                <w:spacing w:val="-5"/>
                <w:w w:val="105"/>
                <w:sz w:val="16"/>
              </w:rPr>
              <w:t>26</w:t>
            </w:r>
          </w:p>
        </w:tc>
      </w:tr>
    </w:tbl>
    <w:p w14:paraId="295E6A50" w14:textId="77777777" w:rsidR="00084F36" w:rsidRPr="00EB2BD8" w:rsidRDefault="00084F36">
      <w:pPr>
        <w:pStyle w:val="BodyText"/>
        <w:rPr>
          <w:rFonts w:ascii="Arial"/>
          <w:sz w:val="20"/>
        </w:rPr>
      </w:pPr>
    </w:p>
    <w:p w14:paraId="26215408" w14:textId="77777777" w:rsidR="00084F36" w:rsidRPr="00EB2BD8" w:rsidRDefault="00084F36">
      <w:pPr>
        <w:pStyle w:val="BodyText"/>
        <w:rPr>
          <w:rFonts w:ascii="Arial"/>
          <w:sz w:val="20"/>
        </w:rPr>
      </w:pPr>
    </w:p>
    <w:p w14:paraId="67A18FFE" w14:textId="77777777" w:rsidR="00084F36" w:rsidRPr="00EB2BD8" w:rsidRDefault="00084F36">
      <w:pPr>
        <w:pStyle w:val="BodyText"/>
        <w:rPr>
          <w:rFonts w:ascii="Arial"/>
          <w:sz w:val="20"/>
        </w:rPr>
      </w:pPr>
    </w:p>
    <w:p w14:paraId="3C1E025A" w14:textId="77777777" w:rsidR="00084F36" w:rsidRPr="00EB2BD8" w:rsidRDefault="00084F36">
      <w:pPr>
        <w:pStyle w:val="BodyText"/>
        <w:spacing w:before="9"/>
        <w:rPr>
          <w:rFonts w:ascii="Arial"/>
          <w:sz w:val="28"/>
        </w:rPr>
      </w:pPr>
    </w:p>
    <w:tbl>
      <w:tblPr>
        <w:tblW w:w="0" w:type="auto"/>
        <w:tblInd w:w="1064" w:type="dxa"/>
        <w:tblLayout w:type="fixed"/>
        <w:tblCellMar>
          <w:left w:w="0" w:type="dxa"/>
          <w:right w:w="0" w:type="dxa"/>
        </w:tblCellMar>
        <w:tblLook w:val="01E0" w:firstRow="1" w:lastRow="1" w:firstColumn="1" w:lastColumn="1" w:noHBand="0" w:noVBand="0"/>
      </w:tblPr>
      <w:tblGrid>
        <w:gridCol w:w="3833"/>
        <w:gridCol w:w="2373"/>
        <w:gridCol w:w="1513"/>
        <w:gridCol w:w="1280"/>
      </w:tblGrid>
      <w:tr w:rsidR="00EB2BD8" w:rsidRPr="00EB2BD8" w14:paraId="28A0D95B" w14:textId="77777777">
        <w:trPr>
          <w:trHeight w:val="188"/>
        </w:trPr>
        <w:tc>
          <w:tcPr>
            <w:tcW w:w="3833" w:type="dxa"/>
            <w:vMerge w:val="restart"/>
            <w:shd w:val="clear" w:color="auto" w:fill="FFFFFF"/>
          </w:tcPr>
          <w:p w14:paraId="664D12EE" w14:textId="77777777" w:rsidR="00084F36" w:rsidRPr="00EB2BD8" w:rsidRDefault="00084F36">
            <w:pPr>
              <w:pStyle w:val="TableParagraph"/>
              <w:rPr>
                <w:rFonts w:ascii="Times New Roman"/>
                <w:sz w:val="16"/>
              </w:rPr>
            </w:pPr>
          </w:p>
        </w:tc>
        <w:tc>
          <w:tcPr>
            <w:tcW w:w="2373" w:type="dxa"/>
            <w:shd w:val="clear" w:color="auto" w:fill="FFFFFF"/>
          </w:tcPr>
          <w:p w14:paraId="35DC254E" w14:textId="77777777" w:rsidR="00084F36" w:rsidRPr="00EB2BD8" w:rsidRDefault="00084F36">
            <w:pPr>
              <w:pStyle w:val="TableParagraph"/>
              <w:rPr>
                <w:rFonts w:ascii="Times New Roman"/>
                <w:sz w:val="12"/>
              </w:rPr>
            </w:pPr>
          </w:p>
        </w:tc>
        <w:tc>
          <w:tcPr>
            <w:tcW w:w="1513" w:type="dxa"/>
            <w:shd w:val="clear" w:color="auto" w:fill="FFFFFF"/>
          </w:tcPr>
          <w:p w14:paraId="598FE9F1" w14:textId="77777777" w:rsidR="00084F36" w:rsidRPr="00EB2BD8" w:rsidRDefault="00EB2BD8">
            <w:pPr>
              <w:pStyle w:val="TableParagraph"/>
              <w:spacing w:before="2" w:line="166" w:lineRule="exact"/>
              <w:ind w:right="323"/>
              <w:jc w:val="right"/>
              <w:rPr>
                <w:rFonts w:ascii="Arial"/>
                <w:b/>
                <w:sz w:val="16"/>
              </w:rPr>
            </w:pPr>
            <w:r w:rsidRPr="00EB2BD8">
              <w:rPr>
                <w:rFonts w:ascii="Arial"/>
                <w:b/>
                <w:w w:val="105"/>
                <w:sz w:val="16"/>
              </w:rPr>
              <w:t>-100</w:t>
            </w:r>
            <w:r w:rsidRPr="00EB2BD8">
              <w:rPr>
                <w:rFonts w:ascii="Arial"/>
                <w:b/>
                <w:spacing w:val="-6"/>
                <w:w w:val="105"/>
                <w:sz w:val="16"/>
              </w:rPr>
              <w:t xml:space="preserve"> </w:t>
            </w:r>
            <w:r w:rsidRPr="00EB2BD8">
              <w:rPr>
                <w:rFonts w:ascii="Arial"/>
                <w:b/>
                <w:spacing w:val="-2"/>
                <w:w w:val="105"/>
                <w:sz w:val="16"/>
              </w:rPr>
              <w:t>basis</w:t>
            </w:r>
          </w:p>
        </w:tc>
        <w:tc>
          <w:tcPr>
            <w:tcW w:w="1280" w:type="dxa"/>
            <w:shd w:val="clear" w:color="auto" w:fill="FFFFFF"/>
          </w:tcPr>
          <w:p w14:paraId="010E9CC5" w14:textId="77777777" w:rsidR="00084F36" w:rsidRPr="00EB2BD8" w:rsidRDefault="00EB2BD8">
            <w:pPr>
              <w:pStyle w:val="TableParagraph"/>
              <w:spacing w:before="2" w:line="166" w:lineRule="exact"/>
              <w:ind w:right="99"/>
              <w:jc w:val="right"/>
              <w:rPr>
                <w:rFonts w:ascii="Arial"/>
                <w:b/>
                <w:sz w:val="16"/>
              </w:rPr>
            </w:pPr>
            <w:r w:rsidRPr="00EB2BD8">
              <w:rPr>
                <w:rFonts w:ascii="Arial"/>
                <w:b/>
                <w:w w:val="105"/>
                <w:sz w:val="16"/>
              </w:rPr>
              <w:t>+100</w:t>
            </w:r>
            <w:r w:rsidRPr="00EB2BD8">
              <w:rPr>
                <w:rFonts w:ascii="Arial"/>
                <w:b/>
                <w:spacing w:val="-6"/>
                <w:w w:val="105"/>
                <w:sz w:val="16"/>
              </w:rPr>
              <w:t xml:space="preserve"> </w:t>
            </w:r>
            <w:r w:rsidRPr="00EB2BD8">
              <w:rPr>
                <w:rFonts w:ascii="Arial"/>
                <w:b/>
                <w:spacing w:val="-4"/>
                <w:w w:val="105"/>
                <w:sz w:val="16"/>
              </w:rPr>
              <w:t>basis</w:t>
            </w:r>
          </w:p>
        </w:tc>
      </w:tr>
      <w:tr w:rsidR="00EB2BD8" w:rsidRPr="00EB2BD8" w14:paraId="5ACB8977" w14:textId="77777777">
        <w:trPr>
          <w:trHeight w:val="389"/>
        </w:trPr>
        <w:tc>
          <w:tcPr>
            <w:tcW w:w="3833" w:type="dxa"/>
            <w:vMerge/>
            <w:tcBorders>
              <w:top w:val="nil"/>
            </w:tcBorders>
            <w:shd w:val="clear" w:color="auto" w:fill="FFFFFF"/>
          </w:tcPr>
          <w:p w14:paraId="3DBF3CD8" w14:textId="77777777" w:rsidR="00084F36" w:rsidRPr="00EB2BD8" w:rsidRDefault="00084F36">
            <w:pPr>
              <w:rPr>
                <w:sz w:val="2"/>
                <w:szCs w:val="2"/>
              </w:rPr>
            </w:pPr>
          </w:p>
        </w:tc>
        <w:tc>
          <w:tcPr>
            <w:tcW w:w="2373" w:type="dxa"/>
            <w:shd w:val="clear" w:color="auto" w:fill="FFFFFF"/>
          </w:tcPr>
          <w:p w14:paraId="6C8E0611" w14:textId="77777777" w:rsidR="00084F36" w:rsidRPr="00EB2BD8" w:rsidRDefault="00084F36">
            <w:pPr>
              <w:pStyle w:val="TableParagraph"/>
              <w:spacing w:before="4"/>
              <w:rPr>
                <w:rFonts w:ascii="Arial"/>
                <w:sz w:val="17"/>
              </w:rPr>
            </w:pPr>
          </w:p>
          <w:p w14:paraId="1F8BA95F" w14:textId="77777777" w:rsidR="00084F36" w:rsidRPr="00EB2BD8" w:rsidRDefault="00EB2BD8">
            <w:pPr>
              <w:pStyle w:val="TableParagraph"/>
              <w:spacing w:before="1" w:line="169" w:lineRule="exact"/>
              <w:ind w:right="375"/>
              <w:jc w:val="right"/>
              <w:rPr>
                <w:rFonts w:ascii="Arial"/>
                <w:b/>
                <w:sz w:val="16"/>
              </w:rPr>
            </w:pPr>
            <w:r w:rsidRPr="00EB2BD8">
              <w:rPr>
                <w:rFonts w:ascii="Arial"/>
                <w:b/>
                <w:spacing w:val="-2"/>
                <w:w w:val="105"/>
                <w:sz w:val="16"/>
              </w:rPr>
              <w:t>Carrying</w:t>
            </w:r>
          </w:p>
        </w:tc>
        <w:tc>
          <w:tcPr>
            <w:tcW w:w="1513" w:type="dxa"/>
            <w:shd w:val="clear" w:color="auto" w:fill="FFFFFF"/>
          </w:tcPr>
          <w:p w14:paraId="4BED6A44" w14:textId="77777777" w:rsidR="00084F36" w:rsidRPr="00EB2BD8" w:rsidRDefault="00EB2BD8">
            <w:pPr>
              <w:pStyle w:val="TableParagraph"/>
              <w:spacing w:line="192" w:lineRule="exact"/>
              <w:ind w:right="322"/>
              <w:jc w:val="right"/>
              <w:rPr>
                <w:rFonts w:ascii="Arial"/>
                <w:b/>
                <w:sz w:val="11"/>
              </w:rPr>
            </w:pPr>
            <w:r w:rsidRPr="00EB2BD8">
              <w:rPr>
                <w:rFonts w:ascii="Arial"/>
                <w:b/>
                <w:spacing w:val="-2"/>
                <w:w w:val="105"/>
                <w:sz w:val="16"/>
              </w:rPr>
              <w:t>points</w:t>
            </w:r>
            <w:r w:rsidRPr="00EB2BD8">
              <w:rPr>
                <w:rFonts w:ascii="Arial"/>
                <w:b/>
                <w:spacing w:val="-2"/>
                <w:w w:val="105"/>
                <w:position w:val="6"/>
                <w:sz w:val="11"/>
              </w:rPr>
              <w:t>(a)</w:t>
            </w:r>
          </w:p>
        </w:tc>
        <w:tc>
          <w:tcPr>
            <w:tcW w:w="1280" w:type="dxa"/>
            <w:shd w:val="clear" w:color="auto" w:fill="FFFFFF"/>
          </w:tcPr>
          <w:p w14:paraId="6E129ADA" w14:textId="77777777" w:rsidR="00084F36" w:rsidRPr="00EB2BD8" w:rsidRDefault="00EB2BD8">
            <w:pPr>
              <w:pStyle w:val="TableParagraph"/>
              <w:spacing w:line="192" w:lineRule="exact"/>
              <w:ind w:right="99"/>
              <w:jc w:val="right"/>
              <w:rPr>
                <w:rFonts w:ascii="Arial"/>
                <w:b/>
                <w:sz w:val="11"/>
              </w:rPr>
            </w:pPr>
            <w:r w:rsidRPr="00EB2BD8">
              <w:rPr>
                <w:rFonts w:ascii="Arial"/>
                <w:b/>
                <w:spacing w:val="-2"/>
                <w:w w:val="105"/>
                <w:sz w:val="16"/>
              </w:rPr>
              <w:t>points</w:t>
            </w:r>
            <w:r w:rsidRPr="00EB2BD8">
              <w:rPr>
                <w:rFonts w:ascii="Arial"/>
                <w:b/>
                <w:spacing w:val="-2"/>
                <w:w w:val="105"/>
                <w:position w:val="6"/>
                <w:sz w:val="11"/>
              </w:rPr>
              <w:t>(a)</w:t>
            </w:r>
          </w:p>
        </w:tc>
      </w:tr>
      <w:tr w:rsidR="00EB2BD8" w:rsidRPr="00EB2BD8" w14:paraId="2126E6B1" w14:textId="77777777">
        <w:trPr>
          <w:trHeight w:val="211"/>
        </w:trPr>
        <w:tc>
          <w:tcPr>
            <w:tcW w:w="3833" w:type="dxa"/>
            <w:vMerge/>
            <w:tcBorders>
              <w:top w:val="nil"/>
            </w:tcBorders>
            <w:shd w:val="clear" w:color="auto" w:fill="FFFFFF"/>
          </w:tcPr>
          <w:p w14:paraId="4D658634" w14:textId="77777777" w:rsidR="00084F36" w:rsidRPr="00EB2BD8" w:rsidRDefault="00084F36">
            <w:pPr>
              <w:rPr>
                <w:sz w:val="2"/>
                <w:szCs w:val="2"/>
              </w:rPr>
            </w:pPr>
          </w:p>
        </w:tc>
        <w:tc>
          <w:tcPr>
            <w:tcW w:w="2373" w:type="dxa"/>
            <w:shd w:val="clear" w:color="auto" w:fill="FFFFFF"/>
          </w:tcPr>
          <w:p w14:paraId="4ADA48EA" w14:textId="77777777" w:rsidR="00084F36" w:rsidRPr="00EB2BD8" w:rsidRDefault="00EB2BD8">
            <w:pPr>
              <w:pStyle w:val="TableParagraph"/>
              <w:spacing w:before="5"/>
              <w:ind w:right="374"/>
              <w:jc w:val="right"/>
              <w:rPr>
                <w:rFonts w:ascii="Arial"/>
                <w:b/>
                <w:sz w:val="16"/>
              </w:rPr>
            </w:pPr>
            <w:r w:rsidRPr="00EB2BD8">
              <w:rPr>
                <w:rFonts w:ascii="Arial"/>
                <w:b/>
                <w:spacing w:val="-2"/>
                <w:w w:val="105"/>
                <w:sz w:val="16"/>
              </w:rPr>
              <w:t>amount</w:t>
            </w:r>
          </w:p>
        </w:tc>
        <w:tc>
          <w:tcPr>
            <w:tcW w:w="1513" w:type="dxa"/>
            <w:shd w:val="clear" w:color="auto" w:fill="FFFFFF"/>
          </w:tcPr>
          <w:p w14:paraId="332C128C" w14:textId="77777777" w:rsidR="00084F36" w:rsidRPr="00EB2BD8" w:rsidRDefault="00EB2BD8">
            <w:pPr>
              <w:pStyle w:val="TableParagraph"/>
              <w:spacing w:before="5"/>
              <w:ind w:right="323"/>
              <w:jc w:val="right"/>
              <w:rPr>
                <w:rFonts w:ascii="Arial"/>
                <w:b/>
                <w:sz w:val="16"/>
              </w:rPr>
            </w:pPr>
            <w:r w:rsidRPr="00EB2BD8">
              <w:rPr>
                <w:rFonts w:ascii="Arial"/>
                <w:b/>
                <w:w w:val="105"/>
                <w:sz w:val="16"/>
              </w:rPr>
              <w:t>Net</w:t>
            </w:r>
            <w:r w:rsidRPr="00EB2BD8">
              <w:rPr>
                <w:rFonts w:ascii="Arial"/>
                <w:b/>
                <w:spacing w:val="-5"/>
                <w:w w:val="105"/>
                <w:sz w:val="16"/>
              </w:rPr>
              <w:t xml:space="preserve"> </w:t>
            </w:r>
            <w:r w:rsidRPr="00EB2BD8">
              <w:rPr>
                <w:rFonts w:ascii="Arial"/>
                <w:b/>
                <w:spacing w:val="-2"/>
                <w:w w:val="105"/>
                <w:sz w:val="16"/>
              </w:rPr>
              <w:t>result</w:t>
            </w:r>
          </w:p>
        </w:tc>
        <w:tc>
          <w:tcPr>
            <w:tcW w:w="1280" w:type="dxa"/>
            <w:shd w:val="clear" w:color="auto" w:fill="FFFFFF"/>
          </w:tcPr>
          <w:p w14:paraId="3CD06106" w14:textId="77777777" w:rsidR="00084F36" w:rsidRPr="00EB2BD8" w:rsidRDefault="00EB2BD8">
            <w:pPr>
              <w:pStyle w:val="TableParagraph"/>
              <w:spacing w:before="5"/>
              <w:ind w:right="100"/>
              <w:jc w:val="right"/>
              <w:rPr>
                <w:rFonts w:ascii="Arial"/>
                <w:b/>
                <w:sz w:val="16"/>
              </w:rPr>
            </w:pPr>
            <w:r w:rsidRPr="00EB2BD8">
              <w:rPr>
                <w:rFonts w:ascii="Arial"/>
                <w:b/>
                <w:w w:val="105"/>
                <w:sz w:val="16"/>
              </w:rPr>
              <w:t>Net</w:t>
            </w:r>
            <w:r w:rsidRPr="00EB2BD8">
              <w:rPr>
                <w:rFonts w:ascii="Arial"/>
                <w:b/>
                <w:spacing w:val="-5"/>
                <w:w w:val="105"/>
                <w:sz w:val="16"/>
              </w:rPr>
              <w:t xml:space="preserve"> </w:t>
            </w:r>
            <w:r w:rsidRPr="00EB2BD8">
              <w:rPr>
                <w:rFonts w:ascii="Arial"/>
                <w:b/>
                <w:spacing w:val="-2"/>
                <w:w w:val="105"/>
                <w:sz w:val="16"/>
              </w:rPr>
              <w:t>result</w:t>
            </w:r>
          </w:p>
        </w:tc>
      </w:tr>
      <w:tr w:rsidR="00EB2BD8" w:rsidRPr="00EB2BD8" w14:paraId="15E66668" w14:textId="77777777">
        <w:trPr>
          <w:trHeight w:val="246"/>
        </w:trPr>
        <w:tc>
          <w:tcPr>
            <w:tcW w:w="3833" w:type="dxa"/>
            <w:shd w:val="clear" w:color="auto" w:fill="FFFFFF"/>
          </w:tcPr>
          <w:p w14:paraId="6C6CE106" w14:textId="77777777" w:rsidR="00084F36" w:rsidRPr="00EB2BD8" w:rsidRDefault="00EB2BD8">
            <w:pPr>
              <w:pStyle w:val="TableParagraph"/>
              <w:spacing w:before="22"/>
              <w:ind w:left="100"/>
              <w:rPr>
                <w:rFonts w:ascii="Arial"/>
                <w:b/>
                <w:sz w:val="16"/>
              </w:rPr>
            </w:pPr>
            <w:r w:rsidRPr="00EB2BD8">
              <w:rPr>
                <w:rFonts w:ascii="Arial"/>
                <w:b/>
                <w:spacing w:val="-2"/>
                <w:w w:val="105"/>
                <w:sz w:val="16"/>
              </w:rPr>
              <w:t>Contractual</w:t>
            </w:r>
            <w:r w:rsidRPr="00EB2BD8">
              <w:rPr>
                <w:rFonts w:ascii="Arial"/>
                <w:b/>
                <w:spacing w:val="8"/>
                <w:w w:val="105"/>
                <w:sz w:val="16"/>
              </w:rPr>
              <w:t xml:space="preserve"> </w:t>
            </w:r>
            <w:r w:rsidRPr="00EB2BD8">
              <w:rPr>
                <w:rFonts w:ascii="Arial"/>
                <w:b/>
                <w:spacing w:val="-2"/>
                <w:w w:val="105"/>
                <w:sz w:val="16"/>
              </w:rPr>
              <w:t>financial</w:t>
            </w:r>
            <w:r w:rsidRPr="00EB2BD8">
              <w:rPr>
                <w:rFonts w:ascii="Arial"/>
                <w:b/>
                <w:spacing w:val="8"/>
                <w:w w:val="105"/>
                <w:sz w:val="16"/>
              </w:rPr>
              <w:t xml:space="preserve"> </w:t>
            </w:r>
            <w:r w:rsidRPr="00EB2BD8">
              <w:rPr>
                <w:rFonts w:ascii="Arial"/>
                <w:b/>
                <w:spacing w:val="-2"/>
                <w:w w:val="105"/>
                <w:sz w:val="16"/>
              </w:rPr>
              <w:t>assets</w:t>
            </w:r>
          </w:p>
        </w:tc>
        <w:tc>
          <w:tcPr>
            <w:tcW w:w="2373" w:type="dxa"/>
            <w:shd w:val="clear" w:color="auto" w:fill="FFFFFF"/>
          </w:tcPr>
          <w:p w14:paraId="2801A362" w14:textId="77777777" w:rsidR="00084F36" w:rsidRPr="00EB2BD8" w:rsidRDefault="00084F36">
            <w:pPr>
              <w:pStyle w:val="TableParagraph"/>
              <w:rPr>
                <w:rFonts w:ascii="Times New Roman"/>
                <w:sz w:val="16"/>
              </w:rPr>
            </w:pPr>
          </w:p>
        </w:tc>
        <w:tc>
          <w:tcPr>
            <w:tcW w:w="1513" w:type="dxa"/>
            <w:shd w:val="clear" w:color="auto" w:fill="FFFFFF"/>
          </w:tcPr>
          <w:p w14:paraId="61E5B859" w14:textId="77777777" w:rsidR="00084F36" w:rsidRPr="00EB2BD8" w:rsidRDefault="00084F36">
            <w:pPr>
              <w:pStyle w:val="TableParagraph"/>
              <w:rPr>
                <w:rFonts w:ascii="Times New Roman"/>
                <w:sz w:val="16"/>
              </w:rPr>
            </w:pPr>
          </w:p>
        </w:tc>
        <w:tc>
          <w:tcPr>
            <w:tcW w:w="1280" w:type="dxa"/>
            <w:shd w:val="clear" w:color="auto" w:fill="FFFFFF"/>
          </w:tcPr>
          <w:p w14:paraId="44DE0EB1" w14:textId="77777777" w:rsidR="00084F36" w:rsidRPr="00EB2BD8" w:rsidRDefault="00084F36">
            <w:pPr>
              <w:pStyle w:val="TableParagraph"/>
              <w:rPr>
                <w:rFonts w:ascii="Times New Roman"/>
                <w:sz w:val="16"/>
              </w:rPr>
            </w:pPr>
          </w:p>
        </w:tc>
      </w:tr>
      <w:tr w:rsidR="00EB2BD8" w:rsidRPr="00EB2BD8" w14:paraId="6F0EE1FA" w14:textId="77777777">
        <w:trPr>
          <w:trHeight w:val="261"/>
        </w:trPr>
        <w:tc>
          <w:tcPr>
            <w:tcW w:w="3833" w:type="dxa"/>
            <w:tcBorders>
              <w:bottom w:val="single" w:sz="12" w:space="0" w:color="000000"/>
            </w:tcBorders>
            <w:shd w:val="clear" w:color="auto" w:fill="FFFFFF"/>
          </w:tcPr>
          <w:p w14:paraId="42F36FE9" w14:textId="77777777" w:rsidR="00084F36" w:rsidRPr="00EB2BD8" w:rsidRDefault="00EB2BD8">
            <w:pPr>
              <w:pStyle w:val="TableParagraph"/>
              <w:spacing w:before="41"/>
              <w:ind w:left="100"/>
              <w:rPr>
                <w:rFonts w:ascii="Arial"/>
                <w:sz w:val="16"/>
              </w:rPr>
            </w:pPr>
            <w:r w:rsidRPr="00EB2BD8">
              <w:rPr>
                <w:rFonts w:ascii="Arial"/>
                <w:w w:val="105"/>
                <w:sz w:val="16"/>
              </w:rPr>
              <w:t>Cash</w:t>
            </w:r>
            <w:r w:rsidRPr="00EB2BD8">
              <w:rPr>
                <w:rFonts w:ascii="Arial"/>
                <w:spacing w:val="-5"/>
                <w:w w:val="105"/>
                <w:sz w:val="16"/>
              </w:rPr>
              <w:t xml:space="preserve"> </w:t>
            </w:r>
            <w:r w:rsidRPr="00EB2BD8">
              <w:rPr>
                <w:rFonts w:ascii="Arial"/>
                <w:w w:val="105"/>
                <w:sz w:val="16"/>
              </w:rPr>
              <w:t>and</w:t>
            </w:r>
            <w:r w:rsidRPr="00EB2BD8">
              <w:rPr>
                <w:rFonts w:ascii="Arial"/>
                <w:spacing w:val="-5"/>
                <w:w w:val="105"/>
                <w:sz w:val="16"/>
              </w:rPr>
              <w:t xml:space="preserve"> </w:t>
            </w:r>
            <w:r w:rsidRPr="00EB2BD8">
              <w:rPr>
                <w:rFonts w:ascii="Arial"/>
                <w:spacing w:val="-2"/>
                <w:w w:val="105"/>
                <w:sz w:val="16"/>
              </w:rPr>
              <w:t>deposits</w:t>
            </w:r>
          </w:p>
        </w:tc>
        <w:tc>
          <w:tcPr>
            <w:tcW w:w="2373" w:type="dxa"/>
            <w:tcBorders>
              <w:bottom w:val="single" w:sz="12" w:space="0" w:color="000000"/>
            </w:tcBorders>
            <w:shd w:val="clear" w:color="auto" w:fill="FFFFFF"/>
          </w:tcPr>
          <w:p w14:paraId="1019061A" w14:textId="77777777" w:rsidR="00084F36" w:rsidRPr="00EB2BD8" w:rsidRDefault="00EB2BD8">
            <w:pPr>
              <w:pStyle w:val="TableParagraph"/>
              <w:spacing w:before="41"/>
              <w:ind w:right="374"/>
              <w:jc w:val="right"/>
              <w:rPr>
                <w:rFonts w:ascii="Arial"/>
                <w:sz w:val="16"/>
              </w:rPr>
            </w:pPr>
            <w:r w:rsidRPr="00EB2BD8">
              <w:rPr>
                <w:rFonts w:ascii="Arial"/>
                <w:spacing w:val="-2"/>
                <w:w w:val="105"/>
                <w:sz w:val="16"/>
              </w:rPr>
              <w:t>39,542</w:t>
            </w:r>
          </w:p>
        </w:tc>
        <w:tc>
          <w:tcPr>
            <w:tcW w:w="1513" w:type="dxa"/>
            <w:tcBorders>
              <w:bottom w:val="single" w:sz="12" w:space="0" w:color="000000"/>
            </w:tcBorders>
            <w:shd w:val="clear" w:color="auto" w:fill="FFFFFF"/>
          </w:tcPr>
          <w:p w14:paraId="2B0BDFB9" w14:textId="77777777" w:rsidR="00084F36" w:rsidRPr="00EB2BD8" w:rsidRDefault="00EB2BD8">
            <w:pPr>
              <w:pStyle w:val="TableParagraph"/>
              <w:spacing w:before="41"/>
              <w:ind w:right="323"/>
              <w:jc w:val="right"/>
              <w:rPr>
                <w:rFonts w:ascii="Arial"/>
                <w:sz w:val="16"/>
              </w:rPr>
            </w:pPr>
            <w:r w:rsidRPr="00EB2BD8">
              <w:rPr>
                <w:rFonts w:ascii="Arial"/>
                <w:spacing w:val="-2"/>
                <w:w w:val="105"/>
                <w:sz w:val="16"/>
              </w:rPr>
              <w:t>(395)</w:t>
            </w:r>
          </w:p>
        </w:tc>
        <w:tc>
          <w:tcPr>
            <w:tcW w:w="1280" w:type="dxa"/>
            <w:tcBorders>
              <w:bottom w:val="single" w:sz="12" w:space="0" w:color="000000"/>
            </w:tcBorders>
            <w:shd w:val="clear" w:color="auto" w:fill="FFFFFF"/>
          </w:tcPr>
          <w:p w14:paraId="0192929A" w14:textId="77777777" w:rsidR="00084F36" w:rsidRPr="00EB2BD8" w:rsidRDefault="00EB2BD8">
            <w:pPr>
              <w:pStyle w:val="TableParagraph"/>
              <w:spacing w:before="41"/>
              <w:ind w:right="100"/>
              <w:jc w:val="right"/>
              <w:rPr>
                <w:rFonts w:ascii="Arial"/>
                <w:sz w:val="16"/>
              </w:rPr>
            </w:pPr>
            <w:r w:rsidRPr="00EB2BD8">
              <w:rPr>
                <w:rFonts w:ascii="Arial"/>
                <w:spacing w:val="-5"/>
                <w:w w:val="105"/>
                <w:sz w:val="16"/>
              </w:rPr>
              <w:t>395</w:t>
            </w:r>
          </w:p>
        </w:tc>
      </w:tr>
      <w:tr w:rsidR="00EB2BD8" w:rsidRPr="00EB2BD8" w14:paraId="52C377BE" w14:textId="77777777">
        <w:trPr>
          <w:trHeight w:val="235"/>
        </w:trPr>
        <w:tc>
          <w:tcPr>
            <w:tcW w:w="3833" w:type="dxa"/>
            <w:tcBorders>
              <w:top w:val="single" w:sz="12" w:space="0" w:color="000000"/>
              <w:bottom w:val="single" w:sz="12" w:space="0" w:color="000000"/>
            </w:tcBorders>
            <w:shd w:val="clear" w:color="auto" w:fill="FFFFFF"/>
          </w:tcPr>
          <w:p w14:paraId="29003154" w14:textId="77777777" w:rsidR="00084F36" w:rsidRPr="00EB2BD8" w:rsidRDefault="00EB2BD8">
            <w:pPr>
              <w:pStyle w:val="TableParagraph"/>
              <w:spacing w:before="28"/>
              <w:ind w:left="100"/>
              <w:rPr>
                <w:rFonts w:ascii="Arial"/>
                <w:b/>
                <w:sz w:val="16"/>
              </w:rPr>
            </w:pPr>
            <w:r w:rsidRPr="00EB2BD8">
              <w:rPr>
                <w:rFonts w:ascii="Arial"/>
                <w:b/>
                <w:w w:val="105"/>
                <w:sz w:val="16"/>
              </w:rPr>
              <w:t>Total</w:t>
            </w:r>
            <w:r w:rsidRPr="00EB2BD8">
              <w:rPr>
                <w:rFonts w:ascii="Arial"/>
                <w:b/>
                <w:spacing w:val="-6"/>
                <w:w w:val="105"/>
                <w:sz w:val="16"/>
              </w:rPr>
              <w:t xml:space="preserve"> </w:t>
            </w:r>
            <w:r w:rsidRPr="00EB2BD8">
              <w:rPr>
                <w:rFonts w:ascii="Arial"/>
                <w:b/>
                <w:spacing w:val="-2"/>
                <w:w w:val="105"/>
                <w:sz w:val="16"/>
              </w:rPr>
              <w:t>impact</w:t>
            </w:r>
          </w:p>
        </w:tc>
        <w:tc>
          <w:tcPr>
            <w:tcW w:w="2373" w:type="dxa"/>
            <w:tcBorders>
              <w:top w:val="single" w:sz="12" w:space="0" w:color="000000"/>
              <w:bottom w:val="single" w:sz="12" w:space="0" w:color="000000"/>
            </w:tcBorders>
            <w:shd w:val="clear" w:color="auto" w:fill="FFFFFF"/>
          </w:tcPr>
          <w:p w14:paraId="07712C20" w14:textId="77777777" w:rsidR="00084F36" w:rsidRPr="00EB2BD8" w:rsidRDefault="00EB2BD8">
            <w:pPr>
              <w:pStyle w:val="TableParagraph"/>
              <w:spacing w:before="28"/>
              <w:ind w:right="374"/>
              <w:jc w:val="right"/>
              <w:rPr>
                <w:rFonts w:ascii="Arial"/>
                <w:b/>
                <w:sz w:val="16"/>
              </w:rPr>
            </w:pPr>
            <w:r w:rsidRPr="00EB2BD8">
              <w:rPr>
                <w:rFonts w:ascii="Arial"/>
                <w:b/>
                <w:spacing w:val="-2"/>
                <w:w w:val="105"/>
                <w:sz w:val="16"/>
              </w:rPr>
              <w:t>39,542</w:t>
            </w:r>
          </w:p>
        </w:tc>
        <w:tc>
          <w:tcPr>
            <w:tcW w:w="1513" w:type="dxa"/>
            <w:tcBorders>
              <w:top w:val="single" w:sz="12" w:space="0" w:color="000000"/>
              <w:bottom w:val="single" w:sz="12" w:space="0" w:color="000000"/>
            </w:tcBorders>
            <w:shd w:val="clear" w:color="auto" w:fill="FFFFFF"/>
          </w:tcPr>
          <w:p w14:paraId="1BB67B7A" w14:textId="77777777" w:rsidR="00084F36" w:rsidRPr="00EB2BD8" w:rsidRDefault="00EB2BD8">
            <w:pPr>
              <w:pStyle w:val="TableParagraph"/>
              <w:spacing w:before="28"/>
              <w:ind w:right="323"/>
              <w:jc w:val="right"/>
              <w:rPr>
                <w:rFonts w:ascii="Arial"/>
                <w:b/>
                <w:sz w:val="16"/>
              </w:rPr>
            </w:pPr>
            <w:r w:rsidRPr="00EB2BD8">
              <w:rPr>
                <w:rFonts w:ascii="Arial"/>
                <w:b/>
                <w:spacing w:val="-2"/>
                <w:w w:val="105"/>
                <w:sz w:val="16"/>
              </w:rPr>
              <w:t>(395)</w:t>
            </w:r>
          </w:p>
        </w:tc>
        <w:tc>
          <w:tcPr>
            <w:tcW w:w="1280" w:type="dxa"/>
            <w:tcBorders>
              <w:top w:val="single" w:sz="12" w:space="0" w:color="000000"/>
              <w:bottom w:val="single" w:sz="12" w:space="0" w:color="000000"/>
            </w:tcBorders>
            <w:shd w:val="clear" w:color="auto" w:fill="FFFFFF"/>
          </w:tcPr>
          <w:p w14:paraId="42ABC578" w14:textId="77777777" w:rsidR="00084F36" w:rsidRPr="00EB2BD8" w:rsidRDefault="00EB2BD8">
            <w:pPr>
              <w:pStyle w:val="TableParagraph"/>
              <w:spacing w:before="28"/>
              <w:ind w:right="100"/>
              <w:jc w:val="right"/>
              <w:rPr>
                <w:rFonts w:ascii="Arial"/>
                <w:b/>
                <w:sz w:val="16"/>
              </w:rPr>
            </w:pPr>
            <w:r w:rsidRPr="00EB2BD8">
              <w:rPr>
                <w:rFonts w:ascii="Arial"/>
                <w:b/>
                <w:spacing w:val="-5"/>
                <w:w w:val="105"/>
                <w:sz w:val="16"/>
              </w:rPr>
              <w:t>395</w:t>
            </w:r>
          </w:p>
        </w:tc>
      </w:tr>
      <w:tr w:rsidR="00EB2BD8" w:rsidRPr="00EB2BD8" w14:paraId="1E33AD28" w14:textId="77777777">
        <w:trPr>
          <w:trHeight w:val="440"/>
        </w:trPr>
        <w:tc>
          <w:tcPr>
            <w:tcW w:w="3833" w:type="dxa"/>
            <w:tcBorders>
              <w:top w:val="single" w:sz="12" w:space="0" w:color="000000"/>
            </w:tcBorders>
            <w:shd w:val="clear" w:color="auto" w:fill="FFFFFF"/>
          </w:tcPr>
          <w:p w14:paraId="2FD58420" w14:textId="77777777" w:rsidR="00084F36" w:rsidRPr="00EB2BD8" w:rsidRDefault="00EB2BD8">
            <w:pPr>
              <w:pStyle w:val="TableParagraph"/>
              <w:spacing w:before="5" w:line="252" w:lineRule="auto"/>
              <w:ind w:left="100" w:right="686"/>
              <w:rPr>
                <w:rFonts w:ascii="Arial"/>
                <w:b/>
                <w:sz w:val="16"/>
              </w:rPr>
            </w:pPr>
            <w:r w:rsidRPr="00EB2BD8">
              <w:rPr>
                <w:rFonts w:ascii="Arial"/>
                <w:b/>
                <w:w w:val="105"/>
                <w:sz w:val="16"/>
              </w:rPr>
              <w:t>Contractual</w:t>
            </w:r>
            <w:r w:rsidRPr="00EB2BD8">
              <w:rPr>
                <w:rFonts w:ascii="Arial"/>
                <w:b/>
                <w:spacing w:val="-12"/>
                <w:w w:val="105"/>
                <w:sz w:val="16"/>
              </w:rPr>
              <w:t xml:space="preserve"> </w:t>
            </w:r>
            <w:r w:rsidRPr="00EB2BD8">
              <w:rPr>
                <w:rFonts w:ascii="Arial"/>
                <w:b/>
                <w:w w:val="105"/>
                <w:sz w:val="16"/>
              </w:rPr>
              <w:t>financial</w:t>
            </w:r>
            <w:r w:rsidRPr="00EB2BD8">
              <w:rPr>
                <w:rFonts w:ascii="Arial"/>
                <w:b/>
                <w:spacing w:val="-12"/>
                <w:w w:val="105"/>
                <w:sz w:val="16"/>
              </w:rPr>
              <w:t xml:space="preserve"> </w:t>
            </w:r>
            <w:r w:rsidRPr="00EB2BD8">
              <w:rPr>
                <w:rFonts w:ascii="Arial"/>
                <w:b/>
                <w:w w:val="105"/>
                <w:sz w:val="16"/>
              </w:rPr>
              <w:t>liabilities (Interest bearing liabilities)</w:t>
            </w:r>
          </w:p>
        </w:tc>
        <w:tc>
          <w:tcPr>
            <w:tcW w:w="2373" w:type="dxa"/>
            <w:tcBorders>
              <w:top w:val="single" w:sz="12" w:space="0" w:color="000000"/>
            </w:tcBorders>
            <w:shd w:val="clear" w:color="auto" w:fill="FFFFFF"/>
          </w:tcPr>
          <w:p w14:paraId="2D3A79C5" w14:textId="77777777" w:rsidR="00084F36" w:rsidRPr="00EB2BD8" w:rsidRDefault="00084F36">
            <w:pPr>
              <w:pStyle w:val="TableParagraph"/>
              <w:rPr>
                <w:rFonts w:ascii="Times New Roman"/>
                <w:sz w:val="16"/>
              </w:rPr>
            </w:pPr>
          </w:p>
        </w:tc>
        <w:tc>
          <w:tcPr>
            <w:tcW w:w="1513" w:type="dxa"/>
            <w:tcBorders>
              <w:top w:val="single" w:sz="12" w:space="0" w:color="000000"/>
            </w:tcBorders>
            <w:shd w:val="clear" w:color="auto" w:fill="FFFFFF"/>
          </w:tcPr>
          <w:p w14:paraId="375E529C" w14:textId="77777777" w:rsidR="00084F36" w:rsidRPr="00EB2BD8" w:rsidRDefault="00084F36">
            <w:pPr>
              <w:pStyle w:val="TableParagraph"/>
              <w:rPr>
                <w:rFonts w:ascii="Times New Roman"/>
                <w:sz w:val="16"/>
              </w:rPr>
            </w:pPr>
          </w:p>
        </w:tc>
        <w:tc>
          <w:tcPr>
            <w:tcW w:w="1280" w:type="dxa"/>
            <w:tcBorders>
              <w:top w:val="single" w:sz="12" w:space="0" w:color="000000"/>
            </w:tcBorders>
            <w:shd w:val="clear" w:color="auto" w:fill="FFFFFF"/>
          </w:tcPr>
          <w:p w14:paraId="3893EE8F" w14:textId="77777777" w:rsidR="00084F36" w:rsidRPr="00EB2BD8" w:rsidRDefault="00084F36">
            <w:pPr>
              <w:pStyle w:val="TableParagraph"/>
              <w:rPr>
                <w:rFonts w:ascii="Times New Roman"/>
                <w:sz w:val="16"/>
              </w:rPr>
            </w:pPr>
          </w:p>
        </w:tc>
      </w:tr>
      <w:tr w:rsidR="00EB2BD8" w:rsidRPr="00EB2BD8" w14:paraId="5340FBC8" w14:textId="77777777">
        <w:trPr>
          <w:trHeight w:val="243"/>
        </w:trPr>
        <w:tc>
          <w:tcPr>
            <w:tcW w:w="3833" w:type="dxa"/>
            <w:tcBorders>
              <w:bottom w:val="single" w:sz="12" w:space="0" w:color="000000"/>
            </w:tcBorders>
            <w:shd w:val="clear" w:color="auto" w:fill="FFFFFF"/>
          </w:tcPr>
          <w:p w14:paraId="3F869CC4" w14:textId="77777777" w:rsidR="00084F36" w:rsidRPr="00EB2BD8" w:rsidRDefault="00EB2BD8">
            <w:pPr>
              <w:pStyle w:val="TableParagraph"/>
              <w:spacing w:before="57" w:line="166" w:lineRule="exact"/>
              <w:ind w:left="100"/>
              <w:rPr>
                <w:rFonts w:ascii="Arial"/>
                <w:sz w:val="16"/>
              </w:rPr>
            </w:pPr>
            <w:r w:rsidRPr="00EB2BD8">
              <w:rPr>
                <w:rFonts w:ascii="Arial"/>
                <w:w w:val="105"/>
                <w:sz w:val="16"/>
              </w:rPr>
              <w:t>Lease</w:t>
            </w:r>
            <w:r w:rsidRPr="00EB2BD8">
              <w:rPr>
                <w:rFonts w:ascii="Arial"/>
                <w:spacing w:val="-7"/>
                <w:w w:val="105"/>
                <w:sz w:val="16"/>
              </w:rPr>
              <w:t xml:space="preserve"> </w:t>
            </w:r>
            <w:r w:rsidRPr="00EB2BD8">
              <w:rPr>
                <w:rFonts w:ascii="Arial"/>
                <w:spacing w:val="-2"/>
                <w:w w:val="105"/>
                <w:sz w:val="16"/>
              </w:rPr>
              <w:t>liabilities</w:t>
            </w:r>
          </w:p>
        </w:tc>
        <w:tc>
          <w:tcPr>
            <w:tcW w:w="2373" w:type="dxa"/>
            <w:tcBorders>
              <w:bottom w:val="single" w:sz="12" w:space="0" w:color="000000"/>
            </w:tcBorders>
            <w:shd w:val="clear" w:color="auto" w:fill="FFFFFF"/>
          </w:tcPr>
          <w:p w14:paraId="2A38DEC0" w14:textId="77777777" w:rsidR="00084F36" w:rsidRPr="00EB2BD8" w:rsidRDefault="00EB2BD8">
            <w:pPr>
              <w:pStyle w:val="TableParagraph"/>
              <w:spacing w:before="57" w:line="166" w:lineRule="exact"/>
              <w:ind w:right="377"/>
              <w:jc w:val="right"/>
              <w:rPr>
                <w:rFonts w:ascii="Arial"/>
                <w:sz w:val="16"/>
              </w:rPr>
            </w:pPr>
            <w:r w:rsidRPr="00EB2BD8">
              <w:rPr>
                <w:rFonts w:ascii="Arial"/>
                <w:spacing w:val="-2"/>
                <w:w w:val="105"/>
                <w:sz w:val="16"/>
              </w:rPr>
              <w:t>6,378</w:t>
            </w:r>
          </w:p>
        </w:tc>
        <w:tc>
          <w:tcPr>
            <w:tcW w:w="1513" w:type="dxa"/>
            <w:tcBorders>
              <w:bottom w:val="single" w:sz="12" w:space="0" w:color="000000"/>
            </w:tcBorders>
            <w:shd w:val="clear" w:color="auto" w:fill="FFFFFF"/>
          </w:tcPr>
          <w:p w14:paraId="62C63388" w14:textId="77777777" w:rsidR="00084F36" w:rsidRPr="00EB2BD8" w:rsidRDefault="00EB2BD8">
            <w:pPr>
              <w:pStyle w:val="TableParagraph"/>
              <w:spacing w:before="57" w:line="166" w:lineRule="exact"/>
              <w:ind w:right="324"/>
              <w:jc w:val="right"/>
              <w:rPr>
                <w:rFonts w:ascii="Arial"/>
                <w:sz w:val="16"/>
              </w:rPr>
            </w:pPr>
            <w:r w:rsidRPr="00EB2BD8">
              <w:rPr>
                <w:rFonts w:ascii="Arial"/>
                <w:spacing w:val="-4"/>
                <w:w w:val="105"/>
                <w:sz w:val="16"/>
              </w:rPr>
              <w:t>(64)</w:t>
            </w:r>
          </w:p>
        </w:tc>
        <w:tc>
          <w:tcPr>
            <w:tcW w:w="1280" w:type="dxa"/>
            <w:tcBorders>
              <w:bottom w:val="single" w:sz="12" w:space="0" w:color="000000"/>
            </w:tcBorders>
            <w:shd w:val="clear" w:color="auto" w:fill="FFFFFF"/>
          </w:tcPr>
          <w:p w14:paraId="68B3C2B1" w14:textId="77777777" w:rsidR="00084F36" w:rsidRPr="00EB2BD8" w:rsidRDefault="00EB2BD8">
            <w:pPr>
              <w:pStyle w:val="TableParagraph"/>
              <w:spacing w:before="57" w:line="166" w:lineRule="exact"/>
              <w:ind w:right="101"/>
              <w:jc w:val="right"/>
              <w:rPr>
                <w:rFonts w:ascii="Arial"/>
                <w:sz w:val="16"/>
              </w:rPr>
            </w:pPr>
            <w:r w:rsidRPr="00EB2BD8">
              <w:rPr>
                <w:rFonts w:ascii="Arial"/>
                <w:spacing w:val="-5"/>
                <w:w w:val="105"/>
                <w:sz w:val="16"/>
              </w:rPr>
              <w:t>64</w:t>
            </w:r>
          </w:p>
        </w:tc>
      </w:tr>
      <w:tr w:rsidR="00EB2BD8" w:rsidRPr="00EB2BD8" w14:paraId="50FB64FA" w14:textId="77777777">
        <w:trPr>
          <w:trHeight w:val="295"/>
        </w:trPr>
        <w:tc>
          <w:tcPr>
            <w:tcW w:w="3833" w:type="dxa"/>
            <w:tcBorders>
              <w:top w:val="single" w:sz="12" w:space="0" w:color="000000"/>
              <w:bottom w:val="single" w:sz="12" w:space="0" w:color="000000"/>
            </w:tcBorders>
            <w:shd w:val="clear" w:color="auto" w:fill="FFFFFF"/>
          </w:tcPr>
          <w:p w14:paraId="7F080EAE" w14:textId="77777777" w:rsidR="00084F36" w:rsidRPr="00EB2BD8" w:rsidRDefault="00EB2BD8">
            <w:pPr>
              <w:pStyle w:val="TableParagraph"/>
              <w:spacing w:before="111" w:line="165" w:lineRule="exact"/>
              <w:ind w:left="100"/>
              <w:rPr>
                <w:rFonts w:ascii="Arial"/>
                <w:b/>
                <w:sz w:val="16"/>
              </w:rPr>
            </w:pPr>
            <w:r w:rsidRPr="00EB2BD8">
              <w:rPr>
                <w:rFonts w:ascii="Arial"/>
                <w:b/>
                <w:w w:val="105"/>
                <w:sz w:val="16"/>
              </w:rPr>
              <w:t>Total</w:t>
            </w:r>
            <w:r w:rsidRPr="00EB2BD8">
              <w:rPr>
                <w:rFonts w:ascii="Arial"/>
                <w:b/>
                <w:spacing w:val="-6"/>
                <w:w w:val="105"/>
                <w:sz w:val="16"/>
              </w:rPr>
              <w:t xml:space="preserve"> </w:t>
            </w:r>
            <w:r w:rsidRPr="00EB2BD8">
              <w:rPr>
                <w:rFonts w:ascii="Arial"/>
                <w:b/>
                <w:spacing w:val="-2"/>
                <w:w w:val="105"/>
                <w:sz w:val="16"/>
              </w:rPr>
              <w:t>impact</w:t>
            </w:r>
          </w:p>
        </w:tc>
        <w:tc>
          <w:tcPr>
            <w:tcW w:w="2373" w:type="dxa"/>
            <w:tcBorders>
              <w:top w:val="single" w:sz="12" w:space="0" w:color="000000"/>
              <w:bottom w:val="single" w:sz="12" w:space="0" w:color="000000"/>
            </w:tcBorders>
            <w:shd w:val="clear" w:color="auto" w:fill="FFFFFF"/>
          </w:tcPr>
          <w:p w14:paraId="7328200B" w14:textId="77777777" w:rsidR="00084F36" w:rsidRPr="00EB2BD8" w:rsidRDefault="00EB2BD8">
            <w:pPr>
              <w:pStyle w:val="TableParagraph"/>
              <w:spacing w:before="111" w:line="165" w:lineRule="exact"/>
              <w:ind w:right="377"/>
              <w:jc w:val="right"/>
              <w:rPr>
                <w:rFonts w:ascii="Arial"/>
                <w:b/>
                <w:sz w:val="16"/>
              </w:rPr>
            </w:pPr>
            <w:r w:rsidRPr="00EB2BD8">
              <w:rPr>
                <w:rFonts w:ascii="Arial"/>
                <w:b/>
                <w:spacing w:val="-2"/>
                <w:w w:val="105"/>
                <w:sz w:val="16"/>
              </w:rPr>
              <w:t>6,378</w:t>
            </w:r>
          </w:p>
        </w:tc>
        <w:tc>
          <w:tcPr>
            <w:tcW w:w="1513" w:type="dxa"/>
            <w:tcBorders>
              <w:top w:val="single" w:sz="12" w:space="0" w:color="000000"/>
              <w:bottom w:val="single" w:sz="12" w:space="0" w:color="000000"/>
            </w:tcBorders>
            <w:shd w:val="clear" w:color="auto" w:fill="FFFFFF"/>
          </w:tcPr>
          <w:p w14:paraId="6562497E" w14:textId="77777777" w:rsidR="00084F36" w:rsidRPr="00EB2BD8" w:rsidRDefault="00EB2BD8">
            <w:pPr>
              <w:pStyle w:val="TableParagraph"/>
              <w:spacing w:before="111" w:line="165" w:lineRule="exact"/>
              <w:ind w:right="324"/>
              <w:jc w:val="right"/>
              <w:rPr>
                <w:rFonts w:ascii="Arial"/>
                <w:b/>
                <w:sz w:val="16"/>
              </w:rPr>
            </w:pPr>
            <w:r w:rsidRPr="00EB2BD8">
              <w:rPr>
                <w:rFonts w:ascii="Arial"/>
                <w:b/>
                <w:spacing w:val="-4"/>
                <w:w w:val="105"/>
                <w:sz w:val="16"/>
              </w:rPr>
              <w:t>(64)</w:t>
            </w:r>
          </w:p>
        </w:tc>
        <w:tc>
          <w:tcPr>
            <w:tcW w:w="1280" w:type="dxa"/>
            <w:tcBorders>
              <w:top w:val="single" w:sz="12" w:space="0" w:color="000000"/>
              <w:bottom w:val="single" w:sz="12" w:space="0" w:color="000000"/>
            </w:tcBorders>
            <w:shd w:val="clear" w:color="auto" w:fill="FFFFFF"/>
          </w:tcPr>
          <w:p w14:paraId="06AA5E96" w14:textId="77777777" w:rsidR="00084F36" w:rsidRPr="00EB2BD8" w:rsidRDefault="00EB2BD8">
            <w:pPr>
              <w:pStyle w:val="TableParagraph"/>
              <w:spacing w:before="111" w:line="165" w:lineRule="exact"/>
              <w:ind w:right="101"/>
              <w:jc w:val="right"/>
              <w:rPr>
                <w:rFonts w:ascii="Arial"/>
                <w:b/>
                <w:sz w:val="16"/>
              </w:rPr>
            </w:pPr>
            <w:r w:rsidRPr="00EB2BD8">
              <w:rPr>
                <w:rFonts w:ascii="Arial"/>
                <w:b/>
                <w:spacing w:val="-5"/>
                <w:w w:val="105"/>
                <w:sz w:val="16"/>
              </w:rPr>
              <w:t>64</w:t>
            </w:r>
          </w:p>
        </w:tc>
      </w:tr>
    </w:tbl>
    <w:p w14:paraId="575DA568" w14:textId="77777777" w:rsidR="00084F36" w:rsidRPr="00EB2BD8" w:rsidRDefault="00084F36">
      <w:pPr>
        <w:pStyle w:val="BodyText"/>
        <w:spacing w:before="1"/>
        <w:rPr>
          <w:rFonts w:ascii="Arial"/>
          <w:sz w:val="26"/>
        </w:rPr>
      </w:pPr>
    </w:p>
    <w:p w14:paraId="3E9F77C6" w14:textId="77777777" w:rsidR="00084F36" w:rsidRPr="00EB2BD8" w:rsidRDefault="00EB2BD8">
      <w:pPr>
        <w:spacing w:before="1"/>
        <w:ind w:left="1118"/>
        <w:rPr>
          <w:rFonts w:ascii="Arial"/>
          <w:i/>
          <w:sz w:val="15"/>
        </w:rPr>
      </w:pPr>
      <w:r w:rsidRPr="00EB2BD8">
        <w:rPr>
          <w:rFonts w:ascii="Arial"/>
          <w:i/>
          <w:spacing w:val="-2"/>
          <w:sz w:val="15"/>
        </w:rPr>
        <w:t>Note:</w:t>
      </w:r>
    </w:p>
    <w:p w14:paraId="06C2BD7A" w14:textId="77777777" w:rsidR="00084F36" w:rsidRPr="00EB2BD8" w:rsidRDefault="00EB2BD8">
      <w:pPr>
        <w:pStyle w:val="ListParagraph"/>
        <w:numPr>
          <w:ilvl w:val="0"/>
          <w:numId w:val="7"/>
        </w:numPr>
        <w:tabs>
          <w:tab w:val="left" w:pos="1451"/>
          <w:tab w:val="left" w:pos="1454"/>
        </w:tabs>
        <w:spacing w:before="80" w:line="276" w:lineRule="auto"/>
        <w:ind w:right="1663" w:hanging="337"/>
        <w:rPr>
          <w:rFonts w:ascii="Arial"/>
          <w:i/>
          <w:sz w:val="15"/>
        </w:rPr>
      </w:pPr>
      <w:r w:rsidRPr="00EB2BD8">
        <w:rPr>
          <w:rFonts w:ascii="Arial"/>
          <w:i/>
          <w:sz w:val="15"/>
        </w:rPr>
        <w:t>To align with the current market conditions, a revised market interest rate at +/ -50 basis points was applied in the interest risk sensitivity</w:t>
      </w:r>
      <w:r w:rsidRPr="00EB2BD8">
        <w:rPr>
          <w:rFonts w:ascii="Arial"/>
          <w:i/>
          <w:spacing w:val="-4"/>
          <w:sz w:val="15"/>
        </w:rPr>
        <w:t xml:space="preserve"> </w:t>
      </w:r>
      <w:r w:rsidRPr="00EB2BD8">
        <w:rPr>
          <w:rFonts w:ascii="Arial"/>
          <w:i/>
          <w:sz w:val="15"/>
        </w:rPr>
        <w:t>assessment</w:t>
      </w:r>
      <w:r w:rsidRPr="00EB2BD8">
        <w:rPr>
          <w:rFonts w:ascii="Arial"/>
          <w:i/>
          <w:spacing w:val="-5"/>
          <w:sz w:val="15"/>
        </w:rPr>
        <w:t xml:space="preserve"> </w:t>
      </w:r>
      <w:r w:rsidRPr="00EB2BD8">
        <w:rPr>
          <w:rFonts w:ascii="Arial"/>
          <w:i/>
          <w:sz w:val="15"/>
        </w:rPr>
        <w:t>during</w:t>
      </w:r>
      <w:r w:rsidRPr="00EB2BD8">
        <w:rPr>
          <w:rFonts w:ascii="Arial"/>
          <w:i/>
          <w:spacing w:val="-5"/>
          <w:sz w:val="15"/>
        </w:rPr>
        <w:t xml:space="preserve"> </w:t>
      </w:r>
      <w:r w:rsidRPr="00EB2BD8">
        <w:rPr>
          <w:rFonts w:ascii="Arial"/>
          <w:i/>
          <w:sz w:val="15"/>
        </w:rPr>
        <w:t>the</w:t>
      </w:r>
      <w:r w:rsidRPr="00EB2BD8">
        <w:rPr>
          <w:rFonts w:ascii="Arial"/>
          <w:i/>
          <w:spacing w:val="-4"/>
          <w:sz w:val="15"/>
        </w:rPr>
        <w:t xml:space="preserve"> </w:t>
      </w:r>
      <w:r w:rsidRPr="00EB2BD8">
        <w:rPr>
          <w:rFonts w:ascii="Arial"/>
          <w:i/>
          <w:sz w:val="15"/>
        </w:rPr>
        <w:t>2022-23</w:t>
      </w:r>
      <w:r w:rsidRPr="00EB2BD8">
        <w:rPr>
          <w:rFonts w:ascii="Arial"/>
          <w:i/>
          <w:spacing w:val="-5"/>
          <w:sz w:val="15"/>
        </w:rPr>
        <w:t xml:space="preserve"> </w:t>
      </w:r>
      <w:r w:rsidRPr="00EB2BD8">
        <w:rPr>
          <w:rFonts w:ascii="Arial"/>
          <w:i/>
          <w:sz w:val="15"/>
        </w:rPr>
        <w:t>financial</w:t>
      </w:r>
      <w:r w:rsidRPr="00EB2BD8">
        <w:rPr>
          <w:rFonts w:ascii="Arial"/>
          <w:i/>
          <w:spacing w:val="-4"/>
          <w:sz w:val="15"/>
        </w:rPr>
        <w:t xml:space="preserve"> </w:t>
      </w:r>
      <w:r w:rsidRPr="00EB2BD8">
        <w:rPr>
          <w:rFonts w:ascii="Arial"/>
          <w:i/>
          <w:sz w:val="15"/>
        </w:rPr>
        <w:t>year.</w:t>
      </w:r>
      <w:r w:rsidRPr="00EB2BD8">
        <w:rPr>
          <w:rFonts w:ascii="Arial"/>
          <w:i/>
          <w:spacing w:val="-5"/>
          <w:sz w:val="15"/>
        </w:rPr>
        <w:t xml:space="preserve"> </w:t>
      </w:r>
      <w:r w:rsidRPr="00EB2BD8">
        <w:rPr>
          <w:rFonts w:ascii="Arial"/>
          <w:i/>
          <w:sz w:val="15"/>
        </w:rPr>
        <w:t>In</w:t>
      </w:r>
      <w:r w:rsidRPr="00EB2BD8">
        <w:rPr>
          <w:rFonts w:ascii="Arial"/>
          <w:i/>
          <w:spacing w:val="-5"/>
          <w:sz w:val="15"/>
        </w:rPr>
        <w:t xml:space="preserve"> </w:t>
      </w:r>
      <w:r w:rsidRPr="00EB2BD8">
        <w:rPr>
          <w:rFonts w:ascii="Arial"/>
          <w:i/>
          <w:sz w:val="15"/>
        </w:rPr>
        <w:t>2021-22</w:t>
      </w:r>
      <w:r w:rsidRPr="00EB2BD8">
        <w:rPr>
          <w:rFonts w:ascii="Arial"/>
          <w:i/>
          <w:spacing w:val="-5"/>
          <w:sz w:val="15"/>
        </w:rPr>
        <w:t xml:space="preserve"> </w:t>
      </w:r>
      <w:r w:rsidRPr="00EB2BD8">
        <w:rPr>
          <w:rFonts w:ascii="Arial"/>
          <w:i/>
          <w:sz w:val="15"/>
        </w:rPr>
        <w:t>+/-</w:t>
      </w:r>
      <w:r w:rsidRPr="00EB2BD8">
        <w:rPr>
          <w:rFonts w:ascii="Arial"/>
          <w:i/>
          <w:spacing w:val="-5"/>
          <w:sz w:val="15"/>
        </w:rPr>
        <w:t xml:space="preserve"> </w:t>
      </w:r>
      <w:r w:rsidRPr="00EB2BD8">
        <w:rPr>
          <w:rFonts w:ascii="Arial"/>
          <w:i/>
          <w:sz w:val="15"/>
        </w:rPr>
        <w:t>100</w:t>
      </w:r>
      <w:r w:rsidRPr="00EB2BD8">
        <w:rPr>
          <w:rFonts w:ascii="Arial"/>
          <w:i/>
          <w:spacing w:val="-5"/>
          <w:sz w:val="15"/>
        </w:rPr>
        <w:t xml:space="preserve"> </w:t>
      </w:r>
      <w:r w:rsidRPr="00EB2BD8">
        <w:rPr>
          <w:rFonts w:ascii="Arial"/>
          <w:i/>
          <w:sz w:val="15"/>
        </w:rPr>
        <w:t>basis</w:t>
      </w:r>
      <w:r w:rsidRPr="00EB2BD8">
        <w:rPr>
          <w:rFonts w:ascii="Arial"/>
          <w:i/>
          <w:spacing w:val="-4"/>
          <w:sz w:val="15"/>
        </w:rPr>
        <w:t xml:space="preserve"> </w:t>
      </w:r>
      <w:r w:rsidRPr="00EB2BD8">
        <w:rPr>
          <w:rFonts w:ascii="Arial"/>
          <w:i/>
          <w:sz w:val="15"/>
        </w:rPr>
        <w:t>points</w:t>
      </w:r>
      <w:r w:rsidRPr="00EB2BD8">
        <w:rPr>
          <w:rFonts w:ascii="Arial"/>
          <w:i/>
          <w:spacing w:val="-4"/>
          <w:sz w:val="15"/>
        </w:rPr>
        <w:t xml:space="preserve"> </w:t>
      </w:r>
      <w:r w:rsidRPr="00EB2BD8">
        <w:rPr>
          <w:rFonts w:ascii="Arial"/>
          <w:i/>
          <w:sz w:val="15"/>
        </w:rPr>
        <w:t>was</w:t>
      </w:r>
      <w:r w:rsidRPr="00EB2BD8">
        <w:rPr>
          <w:rFonts w:ascii="Arial"/>
          <w:i/>
          <w:spacing w:val="-4"/>
          <w:sz w:val="15"/>
        </w:rPr>
        <w:t xml:space="preserve"> </w:t>
      </w:r>
      <w:r w:rsidRPr="00EB2BD8">
        <w:rPr>
          <w:rFonts w:ascii="Arial"/>
          <w:i/>
          <w:sz w:val="15"/>
        </w:rPr>
        <w:t>applied</w:t>
      </w:r>
      <w:r w:rsidRPr="00EB2BD8">
        <w:rPr>
          <w:rFonts w:ascii="Arial"/>
          <w:i/>
          <w:spacing w:val="-5"/>
          <w:sz w:val="15"/>
        </w:rPr>
        <w:t xml:space="preserve"> </w:t>
      </w:r>
      <w:r w:rsidRPr="00EB2BD8">
        <w:rPr>
          <w:rFonts w:ascii="Arial"/>
          <w:i/>
          <w:sz w:val="15"/>
        </w:rPr>
        <w:t>in</w:t>
      </w:r>
      <w:r w:rsidRPr="00EB2BD8">
        <w:rPr>
          <w:rFonts w:ascii="Arial"/>
          <w:i/>
          <w:spacing w:val="-5"/>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interest</w:t>
      </w:r>
      <w:r w:rsidRPr="00EB2BD8">
        <w:rPr>
          <w:rFonts w:ascii="Arial"/>
          <w:i/>
          <w:spacing w:val="-5"/>
          <w:sz w:val="15"/>
        </w:rPr>
        <w:t xml:space="preserve"> </w:t>
      </w:r>
      <w:r w:rsidRPr="00EB2BD8">
        <w:rPr>
          <w:rFonts w:ascii="Arial"/>
          <w:i/>
          <w:sz w:val="15"/>
        </w:rPr>
        <w:t>rate</w:t>
      </w:r>
      <w:r w:rsidRPr="00EB2BD8">
        <w:rPr>
          <w:rFonts w:ascii="Arial"/>
          <w:i/>
          <w:spacing w:val="-5"/>
          <w:sz w:val="15"/>
        </w:rPr>
        <w:t xml:space="preserve"> </w:t>
      </w:r>
      <w:r w:rsidRPr="00EB2BD8">
        <w:rPr>
          <w:rFonts w:ascii="Arial"/>
          <w:i/>
          <w:sz w:val="15"/>
        </w:rPr>
        <w:t>assessment.</w:t>
      </w:r>
    </w:p>
    <w:p w14:paraId="77EB9CED" w14:textId="77777777" w:rsidR="00084F36" w:rsidRPr="00EB2BD8" w:rsidRDefault="00084F36">
      <w:pPr>
        <w:pStyle w:val="BodyText"/>
        <w:rPr>
          <w:rFonts w:ascii="Arial"/>
          <w:i/>
          <w:sz w:val="16"/>
        </w:rPr>
      </w:pPr>
    </w:p>
    <w:p w14:paraId="24F0255D" w14:textId="77777777" w:rsidR="00084F36" w:rsidRPr="00EB2BD8" w:rsidRDefault="00084F36">
      <w:pPr>
        <w:pStyle w:val="BodyText"/>
        <w:rPr>
          <w:rFonts w:ascii="Arial"/>
          <w:i/>
          <w:sz w:val="16"/>
        </w:rPr>
      </w:pPr>
    </w:p>
    <w:p w14:paraId="2BD61E9A" w14:textId="77777777" w:rsidR="00084F36" w:rsidRPr="00AA48D7" w:rsidRDefault="00084F36" w:rsidP="00AA48D7">
      <w:pPr>
        <w:pStyle w:val="Heading2"/>
      </w:pPr>
    </w:p>
    <w:p w14:paraId="5060CE2A" w14:textId="4B264ACD" w:rsidR="00084F36" w:rsidRPr="00AA48D7" w:rsidRDefault="00AA48D7" w:rsidP="00AA48D7">
      <w:pPr>
        <w:pStyle w:val="Heading2"/>
        <w:ind w:firstLine="206"/>
      </w:pPr>
      <w:bookmarkStart w:id="347" w:name="_Toc150762649"/>
      <w:r>
        <w:t>7.</w:t>
      </w:r>
      <w:r w:rsidR="007A74E8">
        <w:t>2</w:t>
      </w:r>
      <w:r>
        <w:t xml:space="preserve"> C</w:t>
      </w:r>
      <w:r w:rsidRPr="00AA48D7">
        <w:t>ontingent assets and contingent liabilities</w:t>
      </w:r>
      <w:bookmarkEnd w:id="347"/>
    </w:p>
    <w:p w14:paraId="2CD20164" w14:textId="77777777" w:rsidR="00084F36" w:rsidRPr="00EB2BD8" w:rsidRDefault="00EB2BD8">
      <w:pPr>
        <w:spacing w:before="177" w:line="290" w:lineRule="auto"/>
        <w:ind w:left="1056" w:right="1155"/>
        <w:rPr>
          <w:rFonts w:ascii="Arial"/>
          <w:sz w:val="16"/>
        </w:rPr>
      </w:pPr>
      <w:r w:rsidRPr="00EB2BD8">
        <w:rPr>
          <w:rFonts w:ascii="Arial"/>
          <w:w w:val="105"/>
          <w:sz w:val="16"/>
        </w:rPr>
        <w:t>Contingent</w:t>
      </w:r>
      <w:r w:rsidRPr="00EB2BD8">
        <w:rPr>
          <w:rFonts w:ascii="Arial"/>
          <w:spacing w:val="-3"/>
          <w:w w:val="105"/>
          <w:sz w:val="16"/>
        </w:rPr>
        <w:t xml:space="preserve"> </w:t>
      </w:r>
      <w:r w:rsidRPr="00EB2BD8">
        <w:rPr>
          <w:rFonts w:ascii="Arial"/>
          <w:w w:val="105"/>
          <w:sz w:val="16"/>
        </w:rPr>
        <w:t>assets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contingent</w:t>
      </w:r>
      <w:r w:rsidRPr="00EB2BD8">
        <w:rPr>
          <w:rFonts w:ascii="Arial"/>
          <w:spacing w:val="-3"/>
          <w:w w:val="105"/>
          <w:sz w:val="16"/>
        </w:rPr>
        <w:t xml:space="preserve"> </w:t>
      </w:r>
      <w:r w:rsidRPr="00EB2BD8">
        <w:rPr>
          <w:rFonts w:ascii="Arial"/>
          <w:w w:val="105"/>
          <w:sz w:val="16"/>
        </w:rPr>
        <w:t>liabilities</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not</w:t>
      </w:r>
      <w:r w:rsidRPr="00EB2BD8">
        <w:rPr>
          <w:rFonts w:ascii="Arial"/>
          <w:spacing w:val="-3"/>
          <w:w w:val="105"/>
          <w:sz w:val="16"/>
        </w:rPr>
        <w:t xml:space="preserve"> </w:t>
      </w:r>
      <w:r w:rsidRPr="00EB2BD8">
        <w:rPr>
          <w:rFonts w:ascii="Arial"/>
          <w:w w:val="105"/>
          <w:sz w:val="16"/>
        </w:rPr>
        <w:t>recognised</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balance</w:t>
      </w:r>
      <w:r w:rsidRPr="00EB2BD8">
        <w:rPr>
          <w:rFonts w:ascii="Arial"/>
          <w:spacing w:val="-3"/>
          <w:w w:val="105"/>
          <w:sz w:val="16"/>
        </w:rPr>
        <w:t xml:space="preserve"> </w:t>
      </w:r>
      <w:r w:rsidRPr="00EB2BD8">
        <w:rPr>
          <w:rFonts w:ascii="Arial"/>
          <w:w w:val="105"/>
          <w:sz w:val="16"/>
        </w:rPr>
        <w:t>sheet</w:t>
      </w:r>
      <w:r w:rsidRPr="00EB2BD8">
        <w:rPr>
          <w:rFonts w:ascii="Arial"/>
          <w:spacing w:val="-3"/>
          <w:w w:val="105"/>
          <w:sz w:val="16"/>
        </w:rPr>
        <w:t xml:space="preserve"> </w:t>
      </w:r>
      <w:r w:rsidRPr="00EB2BD8">
        <w:rPr>
          <w:rFonts w:ascii="Arial"/>
          <w:w w:val="105"/>
          <w:sz w:val="16"/>
        </w:rPr>
        <w:t>but</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disclosed</w:t>
      </w:r>
      <w:r w:rsidRPr="00EB2BD8">
        <w:rPr>
          <w:rFonts w:ascii="Arial"/>
          <w:spacing w:val="-2"/>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if</w:t>
      </w:r>
      <w:r w:rsidRPr="00EB2BD8">
        <w:rPr>
          <w:rFonts w:ascii="Arial"/>
          <w:spacing w:val="-3"/>
          <w:w w:val="105"/>
          <w:sz w:val="16"/>
        </w:rPr>
        <w:t xml:space="preserve"> </w:t>
      </w:r>
      <w:r w:rsidRPr="00EB2BD8">
        <w:rPr>
          <w:rFonts w:ascii="Arial"/>
          <w:w w:val="105"/>
          <w:sz w:val="16"/>
        </w:rPr>
        <w:t>quantifiable,</w:t>
      </w:r>
      <w:r w:rsidRPr="00EB2BD8">
        <w:rPr>
          <w:rFonts w:ascii="Arial"/>
          <w:spacing w:val="-3"/>
          <w:w w:val="105"/>
          <w:sz w:val="16"/>
        </w:rPr>
        <w:t xml:space="preserve"> </w:t>
      </w:r>
      <w:r w:rsidRPr="00EB2BD8">
        <w:rPr>
          <w:rFonts w:ascii="Arial"/>
          <w:w w:val="105"/>
          <w:sz w:val="16"/>
        </w:rPr>
        <w:t>are measured at nominal value.</w:t>
      </w:r>
    </w:p>
    <w:p w14:paraId="0F8C34E5" w14:textId="77777777" w:rsidR="00084F36" w:rsidRPr="00EB2BD8" w:rsidRDefault="00084F36">
      <w:pPr>
        <w:pStyle w:val="BodyText"/>
        <w:spacing w:before="3"/>
        <w:rPr>
          <w:rFonts w:ascii="Arial"/>
          <w:sz w:val="19"/>
        </w:rPr>
      </w:pPr>
    </w:p>
    <w:p w14:paraId="10D5E752" w14:textId="77777777" w:rsidR="00084F36" w:rsidRPr="00EB2BD8" w:rsidRDefault="00EB2BD8">
      <w:pPr>
        <w:ind w:left="1056"/>
        <w:rPr>
          <w:rFonts w:ascii="Arial"/>
          <w:sz w:val="16"/>
        </w:rPr>
      </w:pPr>
      <w:r w:rsidRPr="00EB2BD8">
        <w:rPr>
          <w:rFonts w:ascii="Arial"/>
          <w:w w:val="105"/>
          <w:sz w:val="16"/>
        </w:rPr>
        <w:t>Contingent</w:t>
      </w:r>
      <w:r w:rsidRPr="00EB2BD8">
        <w:rPr>
          <w:rFonts w:ascii="Arial"/>
          <w:spacing w:val="-8"/>
          <w:w w:val="105"/>
          <w:sz w:val="16"/>
        </w:rPr>
        <w:t xml:space="preserve"> </w:t>
      </w:r>
      <w:r w:rsidRPr="00EB2BD8">
        <w:rPr>
          <w:rFonts w:ascii="Arial"/>
          <w:w w:val="105"/>
          <w:sz w:val="16"/>
        </w:rPr>
        <w:t>assets</w:t>
      </w:r>
      <w:r w:rsidRPr="00EB2BD8">
        <w:rPr>
          <w:rFonts w:ascii="Arial"/>
          <w:spacing w:val="-8"/>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liabilities</w:t>
      </w:r>
      <w:r w:rsidRPr="00EB2BD8">
        <w:rPr>
          <w:rFonts w:ascii="Arial"/>
          <w:spacing w:val="-8"/>
          <w:w w:val="105"/>
          <w:sz w:val="16"/>
        </w:rPr>
        <w:t xml:space="preserve"> </w:t>
      </w:r>
      <w:r w:rsidRPr="00EB2BD8">
        <w:rPr>
          <w:rFonts w:ascii="Arial"/>
          <w:w w:val="105"/>
          <w:sz w:val="16"/>
        </w:rPr>
        <w:t>are</w:t>
      </w:r>
      <w:r w:rsidRPr="00EB2BD8">
        <w:rPr>
          <w:rFonts w:ascii="Arial"/>
          <w:spacing w:val="-7"/>
          <w:w w:val="105"/>
          <w:sz w:val="16"/>
        </w:rPr>
        <w:t xml:space="preserve"> </w:t>
      </w:r>
      <w:r w:rsidRPr="00EB2BD8">
        <w:rPr>
          <w:rFonts w:ascii="Arial"/>
          <w:w w:val="105"/>
          <w:sz w:val="16"/>
        </w:rPr>
        <w:t>presented</w:t>
      </w:r>
      <w:r w:rsidRPr="00EB2BD8">
        <w:rPr>
          <w:rFonts w:ascii="Arial"/>
          <w:spacing w:val="-8"/>
          <w:w w:val="105"/>
          <w:sz w:val="16"/>
        </w:rPr>
        <w:t xml:space="preserve"> </w:t>
      </w:r>
      <w:r w:rsidRPr="00EB2BD8">
        <w:rPr>
          <w:rFonts w:ascii="Arial"/>
          <w:w w:val="105"/>
          <w:sz w:val="16"/>
        </w:rPr>
        <w:t>inclusive</w:t>
      </w:r>
      <w:r w:rsidRPr="00EB2BD8">
        <w:rPr>
          <w:rFonts w:ascii="Arial"/>
          <w:spacing w:val="-8"/>
          <w:w w:val="105"/>
          <w:sz w:val="16"/>
        </w:rPr>
        <w:t xml:space="preserve"> </w:t>
      </w:r>
      <w:r w:rsidRPr="00EB2BD8">
        <w:rPr>
          <w:rFonts w:ascii="Arial"/>
          <w:w w:val="105"/>
          <w:sz w:val="16"/>
        </w:rPr>
        <w:t>of</w:t>
      </w:r>
      <w:r w:rsidRPr="00EB2BD8">
        <w:rPr>
          <w:rFonts w:ascii="Arial"/>
          <w:spacing w:val="-7"/>
          <w:w w:val="105"/>
          <w:sz w:val="16"/>
        </w:rPr>
        <w:t xml:space="preserve"> </w:t>
      </w:r>
      <w:r w:rsidRPr="00EB2BD8">
        <w:rPr>
          <w:rFonts w:ascii="Arial"/>
          <w:w w:val="105"/>
          <w:sz w:val="16"/>
        </w:rPr>
        <w:t>GST</w:t>
      </w:r>
      <w:r w:rsidRPr="00EB2BD8">
        <w:rPr>
          <w:rFonts w:ascii="Arial"/>
          <w:spacing w:val="-7"/>
          <w:w w:val="105"/>
          <w:sz w:val="16"/>
        </w:rPr>
        <w:t xml:space="preserve"> </w:t>
      </w:r>
      <w:r w:rsidRPr="00EB2BD8">
        <w:rPr>
          <w:rFonts w:ascii="Arial"/>
          <w:w w:val="105"/>
          <w:sz w:val="16"/>
        </w:rPr>
        <w:t>receivable</w:t>
      </w:r>
      <w:r w:rsidRPr="00EB2BD8">
        <w:rPr>
          <w:rFonts w:ascii="Arial"/>
          <w:spacing w:val="-8"/>
          <w:w w:val="105"/>
          <w:sz w:val="16"/>
        </w:rPr>
        <w:t xml:space="preserve"> </w:t>
      </w:r>
      <w:r w:rsidRPr="00EB2BD8">
        <w:rPr>
          <w:rFonts w:ascii="Arial"/>
          <w:w w:val="105"/>
          <w:sz w:val="16"/>
        </w:rPr>
        <w:t>or</w:t>
      </w:r>
      <w:r w:rsidRPr="00EB2BD8">
        <w:rPr>
          <w:rFonts w:ascii="Arial"/>
          <w:spacing w:val="-7"/>
          <w:w w:val="105"/>
          <w:sz w:val="16"/>
        </w:rPr>
        <w:t xml:space="preserve"> </w:t>
      </w:r>
      <w:r w:rsidRPr="00EB2BD8">
        <w:rPr>
          <w:rFonts w:ascii="Arial"/>
          <w:w w:val="105"/>
          <w:sz w:val="16"/>
        </w:rPr>
        <w:t>payable</w:t>
      </w:r>
      <w:r w:rsidRPr="00EB2BD8">
        <w:rPr>
          <w:rFonts w:ascii="Arial"/>
          <w:spacing w:val="-8"/>
          <w:w w:val="105"/>
          <w:sz w:val="16"/>
        </w:rPr>
        <w:t xml:space="preserve"> </w:t>
      </w:r>
      <w:r w:rsidRPr="00EB2BD8">
        <w:rPr>
          <w:rFonts w:ascii="Arial"/>
          <w:spacing w:val="-2"/>
          <w:w w:val="105"/>
          <w:sz w:val="16"/>
        </w:rPr>
        <w:t>respectively.</w:t>
      </w:r>
    </w:p>
    <w:p w14:paraId="7917FC1E" w14:textId="77777777" w:rsidR="00084F36" w:rsidRPr="00EB2BD8" w:rsidRDefault="00084F36">
      <w:pPr>
        <w:pStyle w:val="BodyText"/>
        <w:rPr>
          <w:rFonts w:ascii="Arial"/>
        </w:rPr>
      </w:pPr>
    </w:p>
    <w:p w14:paraId="2830081B" w14:textId="77777777" w:rsidR="00084F36" w:rsidRPr="00EB2BD8" w:rsidRDefault="00084F36">
      <w:pPr>
        <w:pStyle w:val="BodyText"/>
        <w:spacing w:before="2"/>
        <w:rPr>
          <w:rFonts w:ascii="Arial"/>
          <w:sz w:val="16"/>
        </w:rPr>
      </w:pPr>
    </w:p>
    <w:p w14:paraId="55B3BB5D" w14:textId="77777777" w:rsidR="00084F36" w:rsidRPr="00EB2BD8" w:rsidRDefault="00EB2BD8" w:rsidP="00AA48D7">
      <w:pPr>
        <w:pStyle w:val="Heading2"/>
        <w:ind w:firstLine="206"/>
      </w:pPr>
      <w:bookmarkStart w:id="348" w:name="_Toc150762650"/>
      <w:r w:rsidRPr="00EB2BD8">
        <w:t>Contingent</w:t>
      </w:r>
      <w:r w:rsidRPr="00EB2BD8">
        <w:rPr>
          <w:spacing w:val="21"/>
        </w:rPr>
        <w:t xml:space="preserve"> </w:t>
      </w:r>
      <w:r w:rsidRPr="00EB2BD8">
        <w:rPr>
          <w:spacing w:val="-2"/>
        </w:rPr>
        <w:t>assets</w:t>
      </w:r>
      <w:bookmarkEnd w:id="348"/>
    </w:p>
    <w:p w14:paraId="6B27CA88" w14:textId="77777777" w:rsidR="00084F36" w:rsidRPr="00EB2BD8" w:rsidRDefault="00EB2BD8">
      <w:pPr>
        <w:spacing w:before="157" w:line="290" w:lineRule="auto"/>
        <w:ind w:left="1056" w:right="1551"/>
        <w:rPr>
          <w:rFonts w:ascii="Arial"/>
          <w:sz w:val="16"/>
        </w:rPr>
      </w:pPr>
      <w:r w:rsidRPr="00EB2BD8">
        <w:rPr>
          <w:rFonts w:ascii="Arial"/>
          <w:w w:val="105"/>
          <w:sz w:val="16"/>
        </w:rPr>
        <w:t>Contingent</w:t>
      </w:r>
      <w:r w:rsidRPr="00EB2BD8">
        <w:rPr>
          <w:rFonts w:ascii="Arial"/>
          <w:spacing w:val="-2"/>
          <w:w w:val="105"/>
          <w:sz w:val="16"/>
        </w:rPr>
        <w:t xml:space="preserve"> </w:t>
      </w:r>
      <w:r w:rsidRPr="00EB2BD8">
        <w:rPr>
          <w:rFonts w:ascii="Arial"/>
          <w:w w:val="105"/>
          <w:sz w:val="16"/>
        </w:rPr>
        <w:t>assets</w:t>
      </w:r>
      <w:r w:rsidRPr="00EB2BD8">
        <w:rPr>
          <w:rFonts w:ascii="Arial"/>
          <w:spacing w:val="-2"/>
          <w:w w:val="105"/>
          <w:sz w:val="16"/>
        </w:rPr>
        <w:t xml:space="preserve"> </w:t>
      </w:r>
      <w:r w:rsidRPr="00EB2BD8">
        <w:rPr>
          <w:rFonts w:ascii="Arial"/>
          <w:w w:val="105"/>
          <w:sz w:val="16"/>
        </w:rPr>
        <w:t>are</w:t>
      </w:r>
      <w:r w:rsidRPr="00EB2BD8">
        <w:rPr>
          <w:rFonts w:ascii="Arial"/>
          <w:spacing w:val="-2"/>
          <w:w w:val="105"/>
          <w:sz w:val="16"/>
        </w:rPr>
        <w:t xml:space="preserve"> </w:t>
      </w:r>
      <w:r w:rsidRPr="00EB2BD8">
        <w:rPr>
          <w:rFonts w:ascii="Arial"/>
          <w:w w:val="105"/>
          <w:sz w:val="16"/>
        </w:rPr>
        <w:t>possible</w:t>
      </w:r>
      <w:r w:rsidRPr="00EB2BD8">
        <w:rPr>
          <w:rFonts w:ascii="Arial"/>
          <w:spacing w:val="-2"/>
          <w:w w:val="105"/>
          <w:sz w:val="16"/>
        </w:rPr>
        <w:t xml:space="preserve"> </w:t>
      </w:r>
      <w:r w:rsidRPr="00EB2BD8">
        <w:rPr>
          <w:rFonts w:ascii="Arial"/>
          <w:w w:val="105"/>
          <w:sz w:val="16"/>
        </w:rPr>
        <w:t>assets</w:t>
      </w:r>
      <w:r w:rsidRPr="00EB2BD8">
        <w:rPr>
          <w:rFonts w:ascii="Arial"/>
          <w:spacing w:val="-2"/>
          <w:w w:val="105"/>
          <w:sz w:val="16"/>
        </w:rPr>
        <w:t xml:space="preserve"> </w:t>
      </w:r>
      <w:r w:rsidRPr="00EB2BD8">
        <w:rPr>
          <w:rFonts w:ascii="Arial"/>
          <w:w w:val="105"/>
          <w:sz w:val="16"/>
        </w:rPr>
        <w:t>that</w:t>
      </w:r>
      <w:r w:rsidRPr="00EB2BD8">
        <w:rPr>
          <w:rFonts w:ascii="Arial"/>
          <w:spacing w:val="-2"/>
          <w:w w:val="105"/>
          <w:sz w:val="16"/>
        </w:rPr>
        <w:t xml:space="preserve"> </w:t>
      </w:r>
      <w:r w:rsidRPr="00EB2BD8">
        <w:rPr>
          <w:rFonts w:ascii="Arial"/>
          <w:w w:val="105"/>
          <w:sz w:val="16"/>
        </w:rPr>
        <w:t>arise</w:t>
      </w:r>
      <w:r w:rsidRPr="00EB2BD8">
        <w:rPr>
          <w:rFonts w:ascii="Arial"/>
          <w:spacing w:val="-2"/>
          <w:w w:val="105"/>
          <w:sz w:val="16"/>
        </w:rPr>
        <w:t xml:space="preserve"> </w:t>
      </w:r>
      <w:r w:rsidRPr="00EB2BD8">
        <w:rPr>
          <w:rFonts w:ascii="Arial"/>
          <w:w w:val="105"/>
          <w:sz w:val="16"/>
        </w:rPr>
        <w:t>from</w:t>
      </w:r>
      <w:r w:rsidRPr="00EB2BD8">
        <w:rPr>
          <w:rFonts w:ascii="Arial"/>
          <w:spacing w:val="-2"/>
          <w:w w:val="105"/>
          <w:sz w:val="16"/>
        </w:rPr>
        <w:t xml:space="preserve"> </w:t>
      </w:r>
      <w:r w:rsidRPr="00EB2BD8">
        <w:rPr>
          <w:rFonts w:ascii="Arial"/>
          <w:w w:val="105"/>
          <w:sz w:val="16"/>
        </w:rPr>
        <w:t>past</w:t>
      </w:r>
      <w:r w:rsidRPr="00EB2BD8">
        <w:rPr>
          <w:rFonts w:ascii="Arial"/>
          <w:spacing w:val="-2"/>
          <w:w w:val="105"/>
          <w:sz w:val="16"/>
        </w:rPr>
        <w:t xml:space="preserve"> </w:t>
      </w:r>
      <w:r w:rsidRPr="00EB2BD8">
        <w:rPr>
          <w:rFonts w:ascii="Arial"/>
          <w:w w:val="105"/>
          <w:sz w:val="16"/>
        </w:rPr>
        <w:t>events,</w:t>
      </w:r>
      <w:r w:rsidRPr="00EB2BD8">
        <w:rPr>
          <w:rFonts w:ascii="Arial"/>
          <w:spacing w:val="-2"/>
          <w:w w:val="105"/>
          <w:sz w:val="16"/>
        </w:rPr>
        <w:t xml:space="preserve"> </w:t>
      </w:r>
      <w:r w:rsidRPr="00EB2BD8">
        <w:rPr>
          <w:rFonts w:ascii="Arial"/>
          <w:w w:val="105"/>
          <w:sz w:val="16"/>
        </w:rPr>
        <w:t>whose</w:t>
      </w:r>
      <w:r w:rsidRPr="00EB2BD8">
        <w:rPr>
          <w:rFonts w:ascii="Arial"/>
          <w:spacing w:val="-1"/>
          <w:w w:val="105"/>
          <w:sz w:val="16"/>
        </w:rPr>
        <w:t xml:space="preserve"> </w:t>
      </w:r>
      <w:r w:rsidRPr="00EB2BD8">
        <w:rPr>
          <w:rFonts w:ascii="Arial"/>
          <w:w w:val="105"/>
          <w:sz w:val="16"/>
        </w:rPr>
        <w:t>existence</w:t>
      </w:r>
      <w:r w:rsidRPr="00EB2BD8">
        <w:rPr>
          <w:rFonts w:ascii="Arial"/>
          <w:spacing w:val="-2"/>
          <w:w w:val="105"/>
          <w:sz w:val="16"/>
        </w:rPr>
        <w:t xml:space="preserve"> </w:t>
      </w:r>
      <w:r w:rsidRPr="00EB2BD8">
        <w:rPr>
          <w:rFonts w:ascii="Arial"/>
          <w:w w:val="105"/>
          <w:sz w:val="16"/>
        </w:rPr>
        <w:t>will</w:t>
      </w:r>
      <w:r w:rsidRPr="00EB2BD8">
        <w:rPr>
          <w:rFonts w:ascii="Arial"/>
          <w:spacing w:val="-2"/>
          <w:w w:val="105"/>
          <w:sz w:val="16"/>
        </w:rPr>
        <w:t xml:space="preserve"> </w:t>
      </w:r>
      <w:r w:rsidRPr="00EB2BD8">
        <w:rPr>
          <w:rFonts w:ascii="Arial"/>
          <w:w w:val="105"/>
          <w:sz w:val="16"/>
        </w:rPr>
        <w:t>be</w:t>
      </w:r>
      <w:r w:rsidRPr="00EB2BD8">
        <w:rPr>
          <w:rFonts w:ascii="Arial"/>
          <w:spacing w:val="-2"/>
          <w:w w:val="105"/>
          <w:sz w:val="16"/>
        </w:rPr>
        <w:t xml:space="preserve"> </w:t>
      </w:r>
      <w:r w:rsidRPr="00EB2BD8">
        <w:rPr>
          <w:rFonts w:ascii="Arial"/>
          <w:w w:val="105"/>
          <w:sz w:val="16"/>
        </w:rPr>
        <w:t>confirmed</w:t>
      </w:r>
      <w:r w:rsidRPr="00EB2BD8">
        <w:rPr>
          <w:rFonts w:ascii="Arial"/>
          <w:spacing w:val="-2"/>
          <w:w w:val="105"/>
          <w:sz w:val="16"/>
        </w:rPr>
        <w:t xml:space="preserve"> </w:t>
      </w:r>
      <w:r w:rsidRPr="00EB2BD8">
        <w:rPr>
          <w:rFonts w:ascii="Arial"/>
          <w:w w:val="105"/>
          <w:sz w:val="16"/>
        </w:rPr>
        <w:t>only</w:t>
      </w:r>
      <w:r w:rsidRPr="00EB2BD8">
        <w:rPr>
          <w:rFonts w:ascii="Arial"/>
          <w:spacing w:val="-2"/>
          <w:w w:val="105"/>
          <w:sz w:val="16"/>
        </w:rPr>
        <w:t xml:space="preserve"> </w:t>
      </w:r>
      <w:r w:rsidRPr="00EB2BD8">
        <w:rPr>
          <w:rFonts w:ascii="Arial"/>
          <w:w w:val="105"/>
          <w:sz w:val="16"/>
        </w:rPr>
        <w:t>by</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occurrence or non-occurrence of one or more uncertain future events not wholly within the control of the entity.</w:t>
      </w:r>
    </w:p>
    <w:p w14:paraId="7091A4E3" w14:textId="77777777" w:rsidR="00084F36" w:rsidRPr="00EB2BD8" w:rsidRDefault="00084F36">
      <w:pPr>
        <w:pStyle w:val="BodyText"/>
        <w:spacing w:before="3"/>
        <w:rPr>
          <w:rFonts w:ascii="Arial"/>
          <w:sz w:val="19"/>
        </w:rPr>
      </w:pPr>
    </w:p>
    <w:p w14:paraId="1E6F7E72" w14:textId="77777777" w:rsidR="00084F36" w:rsidRPr="00EB2BD8" w:rsidRDefault="00EB2BD8">
      <w:pPr>
        <w:ind w:left="1056"/>
        <w:rPr>
          <w:rFonts w:ascii="Arial"/>
          <w:sz w:val="16"/>
        </w:rPr>
      </w:pPr>
      <w:r w:rsidRPr="00EB2BD8">
        <w:rPr>
          <w:rFonts w:ascii="Arial"/>
          <w:w w:val="105"/>
          <w:sz w:val="16"/>
        </w:rPr>
        <w:t>These</w:t>
      </w:r>
      <w:r w:rsidRPr="00EB2BD8">
        <w:rPr>
          <w:rFonts w:ascii="Arial"/>
          <w:spacing w:val="-7"/>
          <w:w w:val="105"/>
          <w:sz w:val="16"/>
        </w:rPr>
        <w:t xml:space="preserve"> </w:t>
      </w:r>
      <w:r w:rsidRPr="00EB2BD8">
        <w:rPr>
          <w:rFonts w:ascii="Arial"/>
          <w:w w:val="105"/>
          <w:sz w:val="16"/>
        </w:rPr>
        <w:t>are</w:t>
      </w:r>
      <w:r w:rsidRPr="00EB2BD8">
        <w:rPr>
          <w:rFonts w:ascii="Arial"/>
          <w:spacing w:val="-7"/>
          <w:w w:val="105"/>
          <w:sz w:val="16"/>
        </w:rPr>
        <w:t xml:space="preserve"> </w:t>
      </w:r>
      <w:r w:rsidRPr="00EB2BD8">
        <w:rPr>
          <w:rFonts w:ascii="Arial"/>
          <w:w w:val="105"/>
          <w:sz w:val="16"/>
        </w:rPr>
        <w:t>classified</w:t>
      </w:r>
      <w:r w:rsidRPr="00EB2BD8">
        <w:rPr>
          <w:rFonts w:ascii="Arial"/>
          <w:spacing w:val="-7"/>
          <w:w w:val="105"/>
          <w:sz w:val="16"/>
        </w:rPr>
        <w:t xml:space="preserve"> </w:t>
      </w:r>
      <w:r w:rsidRPr="00EB2BD8">
        <w:rPr>
          <w:rFonts w:ascii="Arial"/>
          <w:w w:val="105"/>
          <w:sz w:val="16"/>
        </w:rPr>
        <w:t>as</w:t>
      </w:r>
      <w:r w:rsidRPr="00EB2BD8">
        <w:rPr>
          <w:rFonts w:ascii="Arial"/>
          <w:spacing w:val="-7"/>
          <w:w w:val="105"/>
          <w:sz w:val="16"/>
        </w:rPr>
        <w:t xml:space="preserve"> </w:t>
      </w:r>
      <w:r w:rsidRPr="00EB2BD8">
        <w:rPr>
          <w:rFonts w:ascii="Arial"/>
          <w:w w:val="105"/>
          <w:sz w:val="16"/>
        </w:rPr>
        <w:t>either</w:t>
      </w:r>
      <w:r w:rsidRPr="00EB2BD8">
        <w:rPr>
          <w:rFonts w:ascii="Arial"/>
          <w:spacing w:val="-7"/>
          <w:w w:val="105"/>
          <w:sz w:val="16"/>
        </w:rPr>
        <w:t xml:space="preserve"> </w:t>
      </w:r>
      <w:r w:rsidRPr="00EB2BD8">
        <w:rPr>
          <w:rFonts w:ascii="Arial"/>
          <w:w w:val="105"/>
          <w:sz w:val="16"/>
        </w:rPr>
        <w:t>quantifiable,</w:t>
      </w:r>
      <w:r w:rsidRPr="00EB2BD8">
        <w:rPr>
          <w:rFonts w:ascii="Arial"/>
          <w:spacing w:val="-7"/>
          <w:w w:val="105"/>
          <w:sz w:val="16"/>
        </w:rPr>
        <w:t xml:space="preserve"> </w:t>
      </w:r>
      <w:r w:rsidRPr="00EB2BD8">
        <w:rPr>
          <w:rFonts w:ascii="Arial"/>
          <w:w w:val="105"/>
          <w:sz w:val="16"/>
        </w:rPr>
        <w:t>where</w:t>
      </w:r>
      <w:r w:rsidRPr="00EB2BD8">
        <w:rPr>
          <w:rFonts w:ascii="Arial"/>
          <w:spacing w:val="-7"/>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potential</w:t>
      </w:r>
      <w:r w:rsidRPr="00EB2BD8">
        <w:rPr>
          <w:rFonts w:ascii="Arial"/>
          <w:spacing w:val="-7"/>
          <w:w w:val="105"/>
          <w:sz w:val="16"/>
        </w:rPr>
        <w:t xml:space="preserve"> </w:t>
      </w:r>
      <w:r w:rsidRPr="00EB2BD8">
        <w:rPr>
          <w:rFonts w:ascii="Arial"/>
          <w:w w:val="105"/>
          <w:sz w:val="16"/>
        </w:rPr>
        <w:t>economic</w:t>
      </w:r>
      <w:r w:rsidRPr="00EB2BD8">
        <w:rPr>
          <w:rFonts w:ascii="Arial"/>
          <w:spacing w:val="-7"/>
          <w:w w:val="105"/>
          <w:sz w:val="16"/>
        </w:rPr>
        <w:t xml:space="preserve"> </w:t>
      </w:r>
      <w:r w:rsidRPr="00EB2BD8">
        <w:rPr>
          <w:rFonts w:ascii="Arial"/>
          <w:w w:val="105"/>
          <w:sz w:val="16"/>
        </w:rPr>
        <w:t>benefit</w:t>
      </w:r>
      <w:r w:rsidRPr="00EB2BD8">
        <w:rPr>
          <w:rFonts w:ascii="Arial"/>
          <w:spacing w:val="-7"/>
          <w:w w:val="105"/>
          <w:sz w:val="16"/>
        </w:rPr>
        <w:t xml:space="preserve"> </w:t>
      </w:r>
      <w:r w:rsidRPr="00EB2BD8">
        <w:rPr>
          <w:rFonts w:ascii="Arial"/>
          <w:w w:val="105"/>
          <w:sz w:val="16"/>
        </w:rPr>
        <w:t>is</w:t>
      </w:r>
      <w:r w:rsidRPr="00EB2BD8">
        <w:rPr>
          <w:rFonts w:ascii="Arial"/>
          <w:spacing w:val="-7"/>
          <w:w w:val="105"/>
          <w:sz w:val="16"/>
        </w:rPr>
        <w:t xml:space="preserve"> </w:t>
      </w:r>
      <w:r w:rsidRPr="00EB2BD8">
        <w:rPr>
          <w:rFonts w:ascii="Arial"/>
          <w:w w:val="105"/>
          <w:sz w:val="16"/>
        </w:rPr>
        <w:t>known,</w:t>
      </w:r>
      <w:r w:rsidRPr="00EB2BD8">
        <w:rPr>
          <w:rFonts w:ascii="Arial"/>
          <w:spacing w:val="-6"/>
          <w:w w:val="105"/>
          <w:sz w:val="16"/>
        </w:rPr>
        <w:t xml:space="preserve"> </w:t>
      </w:r>
      <w:r w:rsidRPr="00EB2BD8">
        <w:rPr>
          <w:rFonts w:ascii="Arial"/>
          <w:w w:val="105"/>
          <w:sz w:val="16"/>
        </w:rPr>
        <w:t>or</w:t>
      </w:r>
      <w:r w:rsidRPr="00EB2BD8">
        <w:rPr>
          <w:rFonts w:ascii="Arial"/>
          <w:spacing w:val="-7"/>
          <w:w w:val="105"/>
          <w:sz w:val="16"/>
        </w:rPr>
        <w:t xml:space="preserve"> </w:t>
      </w:r>
      <w:r w:rsidRPr="00EB2BD8">
        <w:rPr>
          <w:rFonts w:ascii="Arial"/>
          <w:w w:val="105"/>
          <w:sz w:val="16"/>
        </w:rPr>
        <w:t>non-</w:t>
      </w:r>
      <w:r w:rsidRPr="00EB2BD8">
        <w:rPr>
          <w:rFonts w:ascii="Arial"/>
          <w:spacing w:val="-7"/>
          <w:w w:val="105"/>
          <w:sz w:val="16"/>
        </w:rPr>
        <w:t xml:space="preserve"> </w:t>
      </w:r>
      <w:r w:rsidRPr="00EB2BD8">
        <w:rPr>
          <w:rFonts w:ascii="Arial"/>
          <w:spacing w:val="-2"/>
          <w:w w:val="105"/>
          <w:sz w:val="16"/>
        </w:rPr>
        <w:t>quantifiable.</w:t>
      </w:r>
    </w:p>
    <w:p w14:paraId="36529722" w14:textId="77777777" w:rsidR="00084F36" w:rsidRPr="00EB2BD8" w:rsidRDefault="00084F36">
      <w:pPr>
        <w:pStyle w:val="BodyText"/>
        <w:rPr>
          <w:rFonts w:ascii="Arial"/>
          <w:sz w:val="20"/>
        </w:rPr>
      </w:pPr>
    </w:p>
    <w:p w14:paraId="197CC447" w14:textId="77777777" w:rsidR="00084F36" w:rsidRPr="00EB2BD8" w:rsidRDefault="00084F36">
      <w:pPr>
        <w:pStyle w:val="BodyText"/>
        <w:rPr>
          <w:rFonts w:ascii="Arial"/>
          <w:sz w:val="20"/>
        </w:rPr>
      </w:pPr>
    </w:p>
    <w:p w14:paraId="628291DC" w14:textId="77777777" w:rsidR="00084F36" w:rsidRPr="00EB2BD8" w:rsidRDefault="00084F36">
      <w:pPr>
        <w:pStyle w:val="BodyText"/>
        <w:rPr>
          <w:rFonts w:ascii="Arial"/>
          <w:sz w:val="20"/>
        </w:rPr>
      </w:pPr>
    </w:p>
    <w:p w14:paraId="67A26DCA" w14:textId="77777777" w:rsidR="00084F36" w:rsidRPr="00EB2BD8" w:rsidRDefault="00084F36">
      <w:pPr>
        <w:pStyle w:val="BodyText"/>
        <w:spacing w:before="5"/>
        <w:rPr>
          <w:rFonts w:ascii="Arial"/>
          <w:sz w:val="19"/>
        </w:rPr>
      </w:pPr>
    </w:p>
    <w:p w14:paraId="7F8A8FA6" w14:textId="77777777" w:rsidR="00084F36" w:rsidRPr="00EB2BD8" w:rsidRDefault="00084F36">
      <w:pPr>
        <w:jc w:val="right"/>
        <w:rPr>
          <w:sz w:val="16"/>
        </w:rPr>
        <w:sectPr w:rsidR="00084F36" w:rsidRPr="00EB2BD8" w:rsidSect="006D75B2">
          <w:headerReference w:type="default" r:id="rId347"/>
          <w:footerReference w:type="default" r:id="rId348"/>
          <w:pgSz w:w="11910" w:h="16840"/>
          <w:pgMar w:top="760" w:right="0" w:bottom="280" w:left="0" w:header="0" w:footer="0" w:gutter="0"/>
          <w:cols w:space="720"/>
        </w:sectPr>
      </w:pPr>
    </w:p>
    <w:p w14:paraId="34835660" w14:textId="77777777" w:rsidR="00084F36" w:rsidRPr="00EB2BD8" w:rsidRDefault="00084F36">
      <w:pPr>
        <w:pStyle w:val="BodyText"/>
        <w:rPr>
          <w:sz w:val="20"/>
        </w:rPr>
      </w:pPr>
    </w:p>
    <w:p w14:paraId="2D9570E7" w14:textId="77777777" w:rsidR="00084F36" w:rsidRPr="00EB2BD8" w:rsidRDefault="00084F36">
      <w:pPr>
        <w:pStyle w:val="BodyText"/>
        <w:rPr>
          <w:sz w:val="20"/>
        </w:rPr>
      </w:pPr>
    </w:p>
    <w:p w14:paraId="59191819" w14:textId="77777777" w:rsidR="00084F36" w:rsidRPr="00EB2BD8" w:rsidRDefault="00084F36">
      <w:pPr>
        <w:pStyle w:val="BodyText"/>
        <w:rPr>
          <w:sz w:val="20"/>
        </w:rPr>
      </w:pPr>
    </w:p>
    <w:p w14:paraId="32BE4A2E" w14:textId="77777777" w:rsidR="00084F36" w:rsidRPr="00EB2BD8" w:rsidRDefault="00084F36">
      <w:pPr>
        <w:pStyle w:val="BodyText"/>
        <w:rPr>
          <w:sz w:val="20"/>
        </w:rPr>
      </w:pPr>
    </w:p>
    <w:p w14:paraId="49308B0C" w14:textId="77777777" w:rsidR="00084F36" w:rsidRPr="00EB2BD8" w:rsidRDefault="00084F36">
      <w:pPr>
        <w:pStyle w:val="BodyText"/>
        <w:rPr>
          <w:sz w:val="20"/>
        </w:rPr>
      </w:pPr>
    </w:p>
    <w:p w14:paraId="66531802" w14:textId="77777777" w:rsidR="00084F36" w:rsidRPr="00EB2BD8" w:rsidRDefault="00084F36">
      <w:pPr>
        <w:pStyle w:val="BodyText"/>
        <w:spacing w:before="7"/>
        <w:rPr>
          <w:sz w:val="15"/>
        </w:rPr>
      </w:pPr>
    </w:p>
    <w:p w14:paraId="1CCCFDF7" w14:textId="77777777" w:rsidR="00084F36" w:rsidRPr="00EB2BD8" w:rsidRDefault="00EB2BD8" w:rsidP="007A74E8">
      <w:pPr>
        <w:pStyle w:val="Heading2"/>
        <w:ind w:firstLine="181"/>
      </w:pPr>
      <w:bookmarkStart w:id="349" w:name="_Toc150762651"/>
      <w:r w:rsidRPr="00EB2BD8">
        <w:t>Contingent</w:t>
      </w:r>
      <w:r w:rsidRPr="00EB2BD8">
        <w:rPr>
          <w:spacing w:val="21"/>
        </w:rPr>
        <w:t xml:space="preserve"> </w:t>
      </w:r>
      <w:r w:rsidRPr="00EB2BD8">
        <w:rPr>
          <w:spacing w:val="-2"/>
        </w:rPr>
        <w:t>liabilities</w:t>
      </w:r>
      <w:bookmarkEnd w:id="349"/>
    </w:p>
    <w:p w14:paraId="7F379C28" w14:textId="77777777" w:rsidR="00084F36" w:rsidRPr="00EB2BD8" w:rsidRDefault="00EB2BD8">
      <w:pPr>
        <w:spacing w:before="157"/>
        <w:ind w:left="1031"/>
        <w:rPr>
          <w:rFonts w:ascii="Arial"/>
          <w:sz w:val="16"/>
        </w:rPr>
      </w:pPr>
      <w:r w:rsidRPr="00EB2BD8">
        <w:rPr>
          <w:rFonts w:ascii="Arial"/>
          <w:spacing w:val="-2"/>
          <w:w w:val="105"/>
          <w:sz w:val="16"/>
        </w:rPr>
        <w:t>Contingent</w:t>
      </w:r>
      <w:r w:rsidRPr="00EB2BD8">
        <w:rPr>
          <w:rFonts w:ascii="Arial"/>
          <w:spacing w:val="7"/>
          <w:w w:val="105"/>
          <w:sz w:val="16"/>
        </w:rPr>
        <w:t xml:space="preserve"> </w:t>
      </w:r>
      <w:r w:rsidRPr="00EB2BD8">
        <w:rPr>
          <w:rFonts w:ascii="Arial"/>
          <w:spacing w:val="-2"/>
          <w:w w:val="105"/>
          <w:sz w:val="16"/>
        </w:rPr>
        <w:t>liabilities</w:t>
      </w:r>
      <w:r w:rsidRPr="00EB2BD8">
        <w:rPr>
          <w:rFonts w:ascii="Arial"/>
          <w:spacing w:val="7"/>
          <w:w w:val="105"/>
          <w:sz w:val="16"/>
        </w:rPr>
        <w:t xml:space="preserve"> </w:t>
      </w:r>
      <w:r w:rsidRPr="00EB2BD8">
        <w:rPr>
          <w:rFonts w:ascii="Arial"/>
          <w:spacing w:val="-4"/>
          <w:w w:val="105"/>
          <w:sz w:val="16"/>
        </w:rPr>
        <w:t>are:</w:t>
      </w:r>
    </w:p>
    <w:p w14:paraId="136EA9EA" w14:textId="77777777" w:rsidR="00084F36" w:rsidRPr="00EB2BD8" w:rsidRDefault="00EB2BD8">
      <w:pPr>
        <w:pStyle w:val="ListParagraph"/>
        <w:numPr>
          <w:ilvl w:val="0"/>
          <w:numId w:val="34"/>
        </w:numPr>
        <w:tabs>
          <w:tab w:val="left" w:pos="1429"/>
        </w:tabs>
        <w:spacing w:before="38" w:line="285" w:lineRule="auto"/>
        <w:ind w:right="2037"/>
        <w:rPr>
          <w:rFonts w:ascii="Arial" w:hAnsi="Arial"/>
          <w:sz w:val="16"/>
        </w:rPr>
      </w:pPr>
      <w:r w:rsidRPr="00EB2BD8">
        <w:rPr>
          <w:rFonts w:ascii="Arial" w:hAnsi="Arial"/>
          <w:w w:val="105"/>
          <w:sz w:val="16"/>
        </w:rPr>
        <w:t>possible</w:t>
      </w:r>
      <w:r w:rsidRPr="00EB2BD8">
        <w:rPr>
          <w:rFonts w:ascii="Arial" w:hAnsi="Arial"/>
          <w:spacing w:val="-3"/>
          <w:w w:val="105"/>
          <w:sz w:val="16"/>
        </w:rPr>
        <w:t xml:space="preserve"> </w:t>
      </w:r>
      <w:r w:rsidRPr="00EB2BD8">
        <w:rPr>
          <w:rFonts w:ascii="Arial" w:hAnsi="Arial"/>
          <w:w w:val="105"/>
          <w:sz w:val="16"/>
        </w:rPr>
        <w:t>obligations</w:t>
      </w:r>
      <w:r w:rsidRPr="00EB2BD8">
        <w:rPr>
          <w:rFonts w:ascii="Arial" w:hAnsi="Arial"/>
          <w:spacing w:val="-3"/>
          <w:w w:val="105"/>
          <w:sz w:val="16"/>
        </w:rPr>
        <w:t xml:space="preserve"> </w:t>
      </w:r>
      <w:r w:rsidRPr="00EB2BD8">
        <w:rPr>
          <w:rFonts w:ascii="Arial" w:hAnsi="Arial"/>
          <w:w w:val="105"/>
          <w:sz w:val="16"/>
        </w:rPr>
        <w:t>that</w:t>
      </w:r>
      <w:r w:rsidRPr="00EB2BD8">
        <w:rPr>
          <w:rFonts w:ascii="Arial" w:hAnsi="Arial"/>
          <w:spacing w:val="-3"/>
          <w:w w:val="105"/>
          <w:sz w:val="16"/>
        </w:rPr>
        <w:t xml:space="preserve"> </w:t>
      </w:r>
      <w:r w:rsidRPr="00EB2BD8">
        <w:rPr>
          <w:rFonts w:ascii="Arial" w:hAnsi="Arial"/>
          <w:w w:val="105"/>
          <w:sz w:val="16"/>
        </w:rPr>
        <w:t>arise</w:t>
      </w:r>
      <w:r w:rsidRPr="00EB2BD8">
        <w:rPr>
          <w:rFonts w:ascii="Arial" w:hAnsi="Arial"/>
          <w:spacing w:val="-2"/>
          <w:w w:val="105"/>
          <w:sz w:val="16"/>
        </w:rPr>
        <w:t xml:space="preserve"> </w:t>
      </w:r>
      <w:r w:rsidRPr="00EB2BD8">
        <w:rPr>
          <w:rFonts w:ascii="Arial" w:hAnsi="Arial"/>
          <w:w w:val="105"/>
          <w:sz w:val="16"/>
        </w:rPr>
        <w:t>from</w:t>
      </w:r>
      <w:r w:rsidRPr="00EB2BD8">
        <w:rPr>
          <w:rFonts w:ascii="Arial" w:hAnsi="Arial"/>
          <w:spacing w:val="-3"/>
          <w:w w:val="105"/>
          <w:sz w:val="16"/>
        </w:rPr>
        <w:t xml:space="preserve"> </w:t>
      </w:r>
      <w:r w:rsidRPr="00EB2BD8">
        <w:rPr>
          <w:rFonts w:ascii="Arial" w:hAnsi="Arial"/>
          <w:w w:val="105"/>
          <w:sz w:val="16"/>
        </w:rPr>
        <w:t>past</w:t>
      </w:r>
      <w:r w:rsidRPr="00EB2BD8">
        <w:rPr>
          <w:rFonts w:ascii="Arial" w:hAnsi="Arial"/>
          <w:spacing w:val="-3"/>
          <w:w w:val="105"/>
          <w:sz w:val="16"/>
        </w:rPr>
        <w:t xml:space="preserve"> </w:t>
      </w:r>
      <w:r w:rsidRPr="00EB2BD8">
        <w:rPr>
          <w:rFonts w:ascii="Arial" w:hAnsi="Arial"/>
          <w:w w:val="105"/>
          <w:sz w:val="16"/>
        </w:rPr>
        <w:t>events,</w:t>
      </w:r>
      <w:r w:rsidRPr="00EB2BD8">
        <w:rPr>
          <w:rFonts w:ascii="Arial" w:hAnsi="Arial"/>
          <w:spacing w:val="-3"/>
          <w:w w:val="105"/>
          <w:sz w:val="16"/>
        </w:rPr>
        <w:t xml:space="preserve"> </w:t>
      </w:r>
      <w:r w:rsidRPr="00EB2BD8">
        <w:rPr>
          <w:rFonts w:ascii="Arial" w:hAnsi="Arial"/>
          <w:w w:val="105"/>
          <w:sz w:val="16"/>
        </w:rPr>
        <w:t>whose</w:t>
      </w:r>
      <w:r w:rsidRPr="00EB2BD8">
        <w:rPr>
          <w:rFonts w:ascii="Arial" w:hAnsi="Arial"/>
          <w:spacing w:val="-3"/>
          <w:w w:val="105"/>
          <w:sz w:val="16"/>
        </w:rPr>
        <w:t xml:space="preserve"> </w:t>
      </w:r>
      <w:r w:rsidRPr="00EB2BD8">
        <w:rPr>
          <w:rFonts w:ascii="Arial" w:hAnsi="Arial"/>
          <w:w w:val="105"/>
          <w:sz w:val="16"/>
        </w:rPr>
        <w:t>existence</w:t>
      </w:r>
      <w:r w:rsidRPr="00EB2BD8">
        <w:rPr>
          <w:rFonts w:ascii="Arial" w:hAnsi="Arial"/>
          <w:spacing w:val="-3"/>
          <w:w w:val="105"/>
          <w:sz w:val="16"/>
        </w:rPr>
        <w:t xml:space="preserve"> </w:t>
      </w:r>
      <w:r w:rsidRPr="00EB2BD8">
        <w:rPr>
          <w:rFonts w:ascii="Arial" w:hAnsi="Arial"/>
          <w:w w:val="105"/>
          <w:sz w:val="16"/>
        </w:rPr>
        <w:t>will</w:t>
      </w:r>
      <w:r w:rsidRPr="00EB2BD8">
        <w:rPr>
          <w:rFonts w:ascii="Arial" w:hAnsi="Arial"/>
          <w:spacing w:val="-3"/>
          <w:w w:val="105"/>
          <w:sz w:val="16"/>
        </w:rPr>
        <w:t xml:space="preserve"> </w:t>
      </w:r>
      <w:r w:rsidRPr="00EB2BD8">
        <w:rPr>
          <w:rFonts w:ascii="Arial" w:hAnsi="Arial"/>
          <w:w w:val="105"/>
          <w:sz w:val="16"/>
        </w:rPr>
        <w:t>be</w:t>
      </w:r>
      <w:r w:rsidRPr="00EB2BD8">
        <w:rPr>
          <w:rFonts w:ascii="Arial" w:hAnsi="Arial"/>
          <w:spacing w:val="-3"/>
          <w:w w:val="105"/>
          <w:sz w:val="16"/>
        </w:rPr>
        <w:t xml:space="preserve"> </w:t>
      </w:r>
      <w:r w:rsidRPr="00EB2BD8">
        <w:rPr>
          <w:rFonts w:ascii="Arial" w:hAnsi="Arial"/>
          <w:w w:val="105"/>
          <w:sz w:val="16"/>
        </w:rPr>
        <w:t>confirmed</w:t>
      </w:r>
      <w:r w:rsidRPr="00EB2BD8">
        <w:rPr>
          <w:rFonts w:ascii="Arial" w:hAnsi="Arial"/>
          <w:spacing w:val="-3"/>
          <w:w w:val="105"/>
          <w:sz w:val="16"/>
        </w:rPr>
        <w:t xml:space="preserve"> </w:t>
      </w:r>
      <w:r w:rsidRPr="00EB2BD8">
        <w:rPr>
          <w:rFonts w:ascii="Arial" w:hAnsi="Arial"/>
          <w:w w:val="105"/>
          <w:sz w:val="16"/>
        </w:rPr>
        <w:t>only</w:t>
      </w:r>
      <w:r w:rsidRPr="00EB2BD8">
        <w:rPr>
          <w:rFonts w:ascii="Arial" w:hAnsi="Arial"/>
          <w:spacing w:val="-3"/>
          <w:w w:val="105"/>
          <w:sz w:val="16"/>
        </w:rPr>
        <w:t xml:space="preserve"> </w:t>
      </w:r>
      <w:r w:rsidRPr="00EB2BD8">
        <w:rPr>
          <w:rFonts w:ascii="Arial" w:hAnsi="Arial"/>
          <w:w w:val="105"/>
          <w:sz w:val="16"/>
        </w:rPr>
        <w:t>by</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occurrence</w:t>
      </w:r>
      <w:r w:rsidRPr="00EB2BD8">
        <w:rPr>
          <w:rFonts w:ascii="Arial" w:hAnsi="Arial"/>
          <w:spacing w:val="-3"/>
          <w:w w:val="105"/>
          <w:sz w:val="16"/>
        </w:rPr>
        <w:t xml:space="preserve"> </w:t>
      </w:r>
      <w:r w:rsidRPr="00EB2BD8">
        <w:rPr>
          <w:rFonts w:ascii="Arial" w:hAnsi="Arial"/>
          <w:w w:val="105"/>
          <w:sz w:val="16"/>
        </w:rPr>
        <w:t>or</w:t>
      </w:r>
      <w:r w:rsidRPr="00EB2BD8">
        <w:rPr>
          <w:rFonts w:ascii="Arial" w:hAnsi="Arial"/>
          <w:spacing w:val="-3"/>
          <w:w w:val="105"/>
          <w:sz w:val="16"/>
        </w:rPr>
        <w:t xml:space="preserve"> </w:t>
      </w:r>
      <w:r w:rsidRPr="00EB2BD8">
        <w:rPr>
          <w:rFonts w:ascii="Arial" w:hAnsi="Arial"/>
          <w:w w:val="105"/>
          <w:sz w:val="16"/>
        </w:rPr>
        <w:t>non- occurrence of one or more uncertain future events not wholly within the control of the entity; or</w:t>
      </w:r>
    </w:p>
    <w:p w14:paraId="17792165" w14:textId="77777777" w:rsidR="00084F36" w:rsidRPr="00EB2BD8" w:rsidRDefault="00EB2BD8">
      <w:pPr>
        <w:pStyle w:val="ListParagraph"/>
        <w:numPr>
          <w:ilvl w:val="0"/>
          <w:numId w:val="34"/>
        </w:numPr>
        <w:tabs>
          <w:tab w:val="left" w:pos="1428"/>
        </w:tabs>
        <w:spacing w:before="4"/>
        <w:ind w:left="1428" w:hanging="335"/>
        <w:rPr>
          <w:rFonts w:ascii="Arial" w:hAnsi="Arial"/>
          <w:sz w:val="16"/>
        </w:rPr>
      </w:pPr>
      <w:r w:rsidRPr="00EB2BD8">
        <w:rPr>
          <w:rFonts w:ascii="Arial" w:hAnsi="Arial"/>
          <w:w w:val="105"/>
          <w:sz w:val="16"/>
        </w:rPr>
        <w:t>present</w:t>
      </w:r>
      <w:r w:rsidRPr="00EB2BD8">
        <w:rPr>
          <w:rFonts w:ascii="Arial" w:hAnsi="Arial"/>
          <w:spacing w:val="-7"/>
          <w:w w:val="105"/>
          <w:sz w:val="16"/>
        </w:rPr>
        <w:t xml:space="preserve"> </w:t>
      </w:r>
      <w:r w:rsidRPr="00EB2BD8">
        <w:rPr>
          <w:rFonts w:ascii="Arial" w:hAnsi="Arial"/>
          <w:w w:val="105"/>
          <w:sz w:val="16"/>
        </w:rPr>
        <w:t>obligations</w:t>
      </w:r>
      <w:r w:rsidRPr="00EB2BD8">
        <w:rPr>
          <w:rFonts w:ascii="Arial" w:hAnsi="Arial"/>
          <w:spacing w:val="-7"/>
          <w:w w:val="105"/>
          <w:sz w:val="16"/>
        </w:rPr>
        <w:t xml:space="preserve"> </w:t>
      </w:r>
      <w:r w:rsidRPr="00EB2BD8">
        <w:rPr>
          <w:rFonts w:ascii="Arial" w:hAnsi="Arial"/>
          <w:w w:val="105"/>
          <w:sz w:val="16"/>
        </w:rPr>
        <w:t>that</w:t>
      </w:r>
      <w:r w:rsidRPr="00EB2BD8">
        <w:rPr>
          <w:rFonts w:ascii="Arial" w:hAnsi="Arial"/>
          <w:spacing w:val="-7"/>
          <w:w w:val="105"/>
          <w:sz w:val="16"/>
        </w:rPr>
        <w:t xml:space="preserve"> </w:t>
      </w:r>
      <w:r w:rsidRPr="00EB2BD8">
        <w:rPr>
          <w:rFonts w:ascii="Arial" w:hAnsi="Arial"/>
          <w:w w:val="105"/>
          <w:sz w:val="16"/>
        </w:rPr>
        <w:t>arise</w:t>
      </w:r>
      <w:r w:rsidRPr="00EB2BD8">
        <w:rPr>
          <w:rFonts w:ascii="Arial" w:hAnsi="Arial"/>
          <w:spacing w:val="-6"/>
          <w:w w:val="105"/>
          <w:sz w:val="16"/>
        </w:rPr>
        <w:t xml:space="preserve"> </w:t>
      </w:r>
      <w:r w:rsidRPr="00EB2BD8">
        <w:rPr>
          <w:rFonts w:ascii="Arial" w:hAnsi="Arial"/>
          <w:w w:val="105"/>
          <w:sz w:val="16"/>
        </w:rPr>
        <w:t>from</w:t>
      </w:r>
      <w:r w:rsidRPr="00EB2BD8">
        <w:rPr>
          <w:rFonts w:ascii="Arial" w:hAnsi="Arial"/>
          <w:spacing w:val="-7"/>
          <w:w w:val="105"/>
          <w:sz w:val="16"/>
        </w:rPr>
        <w:t xml:space="preserve"> </w:t>
      </w:r>
      <w:r w:rsidRPr="00EB2BD8">
        <w:rPr>
          <w:rFonts w:ascii="Arial" w:hAnsi="Arial"/>
          <w:w w:val="105"/>
          <w:sz w:val="16"/>
        </w:rPr>
        <w:t>past</w:t>
      </w:r>
      <w:r w:rsidRPr="00EB2BD8">
        <w:rPr>
          <w:rFonts w:ascii="Arial" w:hAnsi="Arial"/>
          <w:spacing w:val="-7"/>
          <w:w w:val="105"/>
          <w:sz w:val="16"/>
        </w:rPr>
        <w:t xml:space="preserve"> </w:t>
      </w:r>
      <w:r w:rsidRPr="00EB2BD8">
        <w:rPr>
          <w:rFonts w:ascii="Arial" w:hAnsi="Arial"/>
          <w:w w:val="105"/>
          <w:sz w:val="16"/>
        </w:rPr>
        <w:t>events</w:t>
      </w:r>
      <w:r w:rsidRPr="00EB2BD8">
        <w:rPr>
          <w:rFonts w:ascii="Arial" w:hAnsi="Arial"/>
          <w:spacing w:val="-7"/>
          <w:w w:val="105"/>
          <w:sz w:val="16"/>
        </w:rPr>
        <w:t xml:space="preserve"> </w:t>
      </w:r>
      <w:r w:rsidRPr="00EB2BD8">
        <w:rPr>
          <w:rFonts w:ascii="Arial" w:hAnsi="Arial"/>
          <w:w w:val="105"/>
          <w:sz w:val="16"/>
        </w:rPr>
        <w:t>but</w:t>
      </w:r>
      <w:r w:rsidRPr="00EB2BD8">
        <w:rPr>
          <w:rFonts w:ascii="Arial" w:hAnsi="Arial"/>
          <w:spacing w:val="-6"/>
          <w:w w:val="105"/>
          <w:sz w:val="16"/>
        </w:rPr>
        <w:t xml:space="preserve"> </w:t>
      </w:r>
      <w:r w:rsidRPr="00EB2BD8">
        <w:rPr>
          <w:rFonts w:ascii="Arial" w:hAnsi="Arial"/>
          <w:w w:val="105"/>
          <w:sz w:val="16"/>
        </w:rPr>
        <w:t>are</w:t>
      </w:r>
      <w:r w:rsidRPr="00EB2BD8">
        <w:rPr>
          <w:rFonts w:ascii="Arial" w:hAnsi="Arial"/>
          <w:spacing w:val="-7"/>
          <w:w w:val="105"/>
          <w:sz w:val="16"/>
        </w:rPr>
        <w:t xml:space="preserve"> </w:t>
      </w:r>
      <w:r w:rsidRPr="00EB2BD8">
        <w:rPr>
          <w:rFonts w:ascii="Arial" w:hAnsi="Arial"/>
          <w:w w:val="105"/>
          <w:sz w:val="16"/>
        </w:rPr>
        <w:t>not</w:t>
      </w:r>
      <w:r w:rsidRPr="00EB2BD8">
        <w:rPr>
          <w:rFonts w:ascii="Arial" w:hAnsi="Arial"/>
          <w:spacing w:val="-7"/>
          <w:w w:val="105"/>
          <w:sz w:val="16"/>
        </w:rPr>
        <w:t xml:space="preserve"> </w:t>
      </w:r>
      <w:r w:rsidRPr="00EB2BD8">
        <w:rPr>
          <w:rFonts w:ascii="Arial" w:hAnsi="Arial"/>
          <w:w w:val="105"/>
          <w:sz w:val="16"/>
        </w:rPr>
        <w:t>recognised</w:t>
      </w:r>
      <w:r w:rsidRPr="00EB2BD8">
        <w:rPr>
          <w:rFonts w:ascii="Arial" w:hAnsi="Arial"/>
          <w:spacing w:val="-6"/>
          <w:w w:val="105"/>
          <w:sz w:val="16"/>
        </w:rPr>
        <w:t xml:space="preserve"> </w:t>
      </w:r>
      <w:r w:rsidRPr="00EB2BD8">
        <w:rPr>
          <w:rFonts w:ascii="Arial" w:hAnsi="Arial"/>
          <w:spacing w:val="-2"/>
          <w:w w:val="105"/>
          <w:sz w:val="16"/>
        </w:rPr>
        <w:t>because:</w:t>
      </w:r>
    </w:p>
    <w:p w14:paraId="1D02D9B0" w14:textId="77777777" w:rsidR="00084F36" w:rsidRPr="00EB2BD8" w:rsidRDefault="00EB2BD8">
      <w:pPr>
        <w:pStyle w:val="ListParagraph"/>
        <w:numPr>
          <w:ilvl w:val="1"/>
          <w:numId w:val="34"/>
        </w:numPr>
        <w:tabs>
          <w:tab w:val="left" w:pos="1825"/>
        </w:tabs>
        <w:spacing w:before="36" w:line="290" w:lineRule="auto"/>
        <w:ind w:right="2376"/>
        <w:rPr>
          <w:rFonts w:ascii="Arial" w:hAnsi="Arial"/>
          <w:sz w:val="16"/>
        </w:rPr>
      </w:pPr>
      <w:r w:rsidRPr="00EB2BD8">
        <w:rPr>
          <w:rFonts w:ascii="Arial" w:hAnsi="Arial"/>
          <w:w w:val="105"/>
          <w:sz w:val="16"/>
        </w:rPr>
        <w:t>it</w:t>
      </w:r>
      <w:r w:rsidRPr="00EB2BD8">
        <w:rPr>
          <w:rFonts w:ascii="Arial" w:hAnsi="Arial"/>
          <w:spacing w:val="-3"/>
          <w:w w:val="105"/>
          <w:sz w:val="16"/>
        </w:rPr>
        <w:t xml:space="preserve"> </w:t>
      </w:r>
      <w:r w:rsidRPr="00EB2BD8">
        <w:rPr>
          <w:rFonts w:ascii="Arial" w:hAnsi="Arial"/>
          <w:w w:val="105"/>
          <w:sz w:val="16"/>
        </w:rPr>
        <w:t>is</w:t>
      </w:r>
      <w:r w:rsidRPr="00EB2BD8">
        <w:rPr>
          <w:rFonts w:ascii="Arial" w:hAnsi="Arial"/>
          <w:spacing w:val="-3"/>
          <w:w w:val="105"/>
          <w:sz w:val="16"/>
        </w:rPr>
        <w:t xml:space="preserve"> </w:t>
      </w:r>
      <w:r w:rsidRPr="00EB2BD8">
        <w:rPr>
          <w:rFonts w:ascii="Arial" w:hAnsi="Arial"/>
          <w:w w:val="105"/>
          <w:sz w:val="16"/>
        </w:rPr>
        <w:t>not</w:t>
      </w:r>
      <w:r w:rsidRPr="00EB2BD8">
        <w:rPr>
          <w:rFonts w:ascii="Arial" w:hAnsi="Arial"/>
          <w:spacing w:val="-3"/>
          <w:w w:val="105"/>
          <w:sz w:val="16"/>
        </w:rPr>
        <w:t xml:space="preserve"> </w:t>
      </w:r>
      <w:r w:rsidRPr="00EB2BD8">
        <w:rPr>
          <w:rFonts w:ascii="Arial" w:hAnsi="Arial"/>
          <w:w w:val="105"/>
          <w:sz w:val="16"/>
        </w:rPr>
        <w:t>probable</w:t>
      </w:r>
      <w:r w:rsidRPr="00EB2BD8">
        <w:rPr>
          <w:rFonts w:ascii="Arial" w:hAnsi="Arial"/>
          <w:spacing w:val="-3"/>
          <w:w w:val="105"/>
          <w:sz w:val="16"/>
        </w:rPr>
        <w:t xml:space="preserve"> </w:t>
      </w:r>
      <w:r w:rsidRPr="00EB2BD8">
        <w:rPr>
          <w:rFonts w:ascii="Arial" w:hAnsi="Arial"/>
          <w:w w:val="105"/>
          <w:sz w:val="16"/>
        </w:rPr>
        <w:t>that</w:t>
      </w:r>
      <w:r w:rsidRPr="00EB2BD8">
        <w:rPr>
          <w:rFonts w:ascii="Arial" w:hAnsi="Arial"/>
          <w:spacing w:val="-3"/>
          <w:w w:val="105"/>
          <w:sz w:val="16"/>
        </w:rPr>
        <w:t xml:space="preserve"> </w:t>
      </w:r>
      <w:r w:rsidRPr="00EB2BD8">
        <w:rPr>
          <w:rFonts w:ascii="Arial" w:hAnsi="Arial"/>
          <w:w w:val="105"/>
          <w:sz w:val="16"/>
        </w:rPr>
        <w:t>an</w:t>
      </w:r>
      <w:r w:rsidRPr="00EB2BD8">
        <w:rPr>
          <w:rFonts w:ascii="Arial" w:hAnsi="Arial"/>
          <w:spacing w:val="-3"/>
          <w:w w:val="105"/>
          <w:sz w:val="16"/>
        </w:rPr>
        <w:t xml:space="preserve"> </w:t>
      </w:r>
      <w:r w:rsidRPr="00EB2BD8">
        <w:rPr>
          <w:rFonts w:ascii="Arial" w:hAnsi="Arial"/>
          <w:w w:val="105"/>
          <w:sz w:val="16"/>
        </w:rPr>
        <w:t>outflow</w:t>
      </w:r>
      <w:r w:rsidRPr="00EB2BD8">
        <w:rPr>
          <w:rFonts w:ascii="Arial" w:hAnsi="Arial"/>
          <w:spacing w:val="-3"/>
          <w:w w:val="105"/>
          <w:sz w:val="16"/>
        </w:rPr>
        <w:t xml:space="preserve"> </w:t>
      </w:r>
      <w:r w:rsidRPr="00EB2BD8">
        <w:rPr>
          <w:rFonts w:ascii="Arial" w:hAnsi="Arial"/>
          <w:w w:val="105"/>
          <w:sz w:val="16"/>
        </w:rPr>
        <w:t>of</w:t>
      </w:r>
      <w:r w:rsidRPr="00EB2BD8">
        <w:rPr>
          <w:rFonts w:ascii="Arial" w:hAnsi="Arial"/>
          <w:spacing w:val="-3"/>
          <w:w w:val="105"/>
          <w:sz w:val="16"/>
        </w:rPr>
        <w:t xml:space="preserve"> </w:t>
      </w:r>
      <w:r w:rsidRPr="00EB2BD8">
        <w:rPr>
          <w:rFonts w:ascii="Arial" w:hAnsi="Arial"/>
          <w:w w:val="105"/>
          <w:sz w:val="16"/>
        </w:rPr>
        <w:t>resources</w:t>
      </w:r>
      <w:r w:rsidRPr="00EB2BD8">
        <w:rPr>
          <w:rFonts w:ascii="Arial" w:hAnsi="Arial"/>
          <w:spacing w:val="-2"/>
          <w:w w:val="105"/>
          <w:sz w:val="16"/>
        </w:rPr>
        <w:t xml:space="preserve"> </w:t>
      </w:r>
      <w:r w:rsidRPr="00EB2BD8">
        <w:rPr>
          <w:rFonts w:ascii="Arial" w:hAnsi="Arial"/>
          <w:w w:val="105"/>
          <w:sz w:val="16"/>
        </w:rPr>
        <w:t>embodying</w:t>
      </w:r>
      <w:r w:rsidRPr="00EB2BD8">
        <w:rPr>
          <w:rFonts w:ascii="Arial" w:hAnsi="Arial"/>
          <w:spacing w:val="-3"/>
          <w:w w:val="105"/>
          <w:sz w:val="16"/>
        </w:rPr>
        <w:t xml:space="preserve"> </w:t>
      </w:r>
      <w:r w:rsidRPr="00EB2BD8">
        <w:rPr>
          <w:rFonts w:ascii="Arial" w:hAnsi="Arial"/>
          <w:w w:val="105"/>
          <w:sz w:val="16"/>
        </w:rPr>
        <w:t>economic</w:t>
      </w:r>
      <w:r w:rsidRPr="00EB2BD8">
        <w:rPr>
          <w:rFonts w:ascii="Arial" w:hAnsi="Arial"/>
          <w:spacing w:val="-3"/>
          <w:w w:val="105"/>
          <w:sz w:val="16"/>
        </w:rPr>
        <w:t xml:space="preserve"> </w:t>
      </w:r>
      <w:r w:rsidRPr="00EB2BD8">
        <w:rPr>
          <w:rFonts w:ascii="Arial" w:hAnsi="Arial"/>
          <w:w w:val="105"/>
          <w:sz w:val="16"/>
        </w:rPr>
        <w:t>benefits</w:t>
      </w:r>
      <w:r w:rsidRPr="00EB2BD8">
        <w:rPr>
          <w:rFonts w:ascii="Arial" w:hAnsi="Arial"/>
          <w:spacing w:val="-2"/>
          <w:w w:val="105"/>
          <w:sz w:val="16"/>
        </w:rPr>
        <w:t xml:space="preserve"> </w:t>
      </w:r>
      <w:r w:rsidRPr="00EB2BD8">
        <w:rPr>
          <w:rFonts w:ascii="Arial" w:hAnsi="Arial"/>
          <w:w w:val="105"/>
          <w:sz w:val="16"/>
        </w:rPr>
        <w:t>will</w:t>
      </w:r>
      <w:r w:rsidRPr="00EB2BD8">
        <w:rPr>
          <w:rFonts w:ascii="Arial" w:hAnsi="Arial"/>
          <w:spacing w:val="-3"/>
          <w:w w:val="105"/>
          <w:sz w:val="16"/>
        </w:rPr>
        <w:t xml:space="preserve"> </w:t>
      </w:r>
      <w:r w:rsidRPr="00EB2BD8">
        <w:rPr>
          <w:rFonts w:ascii="Arial" w:hAnsi="Arial"/>
          <w:w w:val="105"/>
          <w:sz w:val="16"/>
        </w:rPr>
        <w:t>be</w:t>
      </w:r>
      <w:r w:rsidRPr="00EB2BD8">
        <w:rPr>
          <w:rFonts w:ascii="Arial" w:hAnsi="Arial"/>
          <w:spacing w:val="-3"/>
          <w:w w:val="105"/>
          <w:sz w:val="16"/>
        </w:rPr>
        <w:t xml:space="preserve"> </w:t>
      </w:r>
      <w:r w:rsidRPr="00EB2BD8">
        <w:rPr>
          <w:rFonts w:ascii="Arial" w:hAnsi="Arial"/>
          <w:w w:val="105"/>
          <w:sz w:val="16"/>
        </w:rPr>
        <w:t>required</w:t>
      </w:r>
      <w:r w:rsidRPr="00EB2BD8">
        <w:rPr>
          <w:rFonts w:ascii="Arial" w:hAnsi="Arial"/>
          <w:spacing w:val="-2"/>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settle</w:t>
      </w:r>
      <w:r w:rsidRPr="00EB2BD8">
        <w:rPr>
          <w:rFonts w:ascii="Arial" w:hAnsi="Arial"/>
          <w:spacing w:val="-3"/>
          <w:w w:val="105"/>
          <w:sz w:val="16"/>
        </w:rPr>
        <w:t xml:space="preserve"> </w:t>
      </w:r>
      <w:r w:rsidRPr="00EB2BD8">
        <w:rPr>
          <w:rFonts w:ascii="Arial" w:hAnsi="Arial"/>
          <w:w w:val="105"/>
          <w:sz w:val="16"/>
        </w:rPr>
        <w:t>the obligations; or</w:t>
      </w:r>
    </w:p>
    <w:p w14:paraId="1165FF0B" w14:textId="77777777" w:rsidR="00084F36" w:rsidRPr="00EB2BD8" w:rsidRDefault="00EB2BD8">
      <w:pPr>
        <w:pStyle w:val="ListParagraph"/>
        <w:numPr>
          <w:ilvl w:val="1"/>
          <w:numId w:val="34"/>
        </w:numPr>
        <w:tabs>
          <w:tab w:val="left" w:pos="1825"/>
        </w:tabs>
        <w:spacing w:line="183" w:lineRule="exact"/>
        <w:rPr>
          <w:rFonts w:ascii="Arial" w:hAnsi="Arial"/>
          <w:sz w:val="16"/>
        </w:rPr>
      </w:pPr>
      <w:r w:rsidRPr="00EB2BD8">
        <w:rPr>
          <w:rFonts w:ascii="Arial" w:hAnsi="Arial"/>
          <w:w w:val="105"/>
          <w:sz w:val="16"/>
        </w:rPr>
        <w:t>the</w:t>
      </w:r>
      <w:r w:rsidRPr="00EB2BD8">
        <w:rPr>
          <w:rFonts w:ascii="Arial" w:hAnsi="Arial"/>
          <w:spacing w:val="-7"/>
          <w:w w:val="105"/>
          <w:sz w:val="16"/>
        </w:rPr>
        <w:t xml:space="preserve"> </w:t>
      </w:r>
      <w:r w:rsidRPr="00EB2BD8">
        <w:rPr>
          <w:rFonts w:ascii="Arial" w:hAnsi="Arial"/>
          <w:w w:val="105"/>
          <w:sz w:val="16"/>
        </w:rPr>
        <w:t>amount</w:t>
      </w:r>
      <w:r w:rsidRPr="00EB2BD8">
        <w:rPr>
          <w:rFonts w:ascii="Arial" w:hAnsi="Arial"/>
          <w:spacing w:val="-7"/>
          <w:w w:val="105"/>
          <w:sz w:val="16"/>
        </w:rPr>
        <w:t xml:space="preserve"> </w:t>
      </w:r>
      <w:r w:rsidRPr="00EB2BD8">
        <w:rPr>
          <w:rFonts w:ascii="Arial" w:hAnsi="Arial"/>
          <w:w w:val="105"/>
          <w:sz w:val="16"/>
        </w:rPr>
        <w:t>of</w:t>
      </w:r>
      <w:r w:rsidRPr="00EB2BD8">
        <w:rPr>
          <w:rFonts w:ascii="Arial" w:hAnsi="Arial"/>
          <w:spacing w:val="-7"/>
          <w:w w:val="105"/>
          <w:sz w:val="16"/>
        </w:rPr>
        <w:t xml:space="preserve"> </w:t>
      </w:r>
      <w:r w:rsidRPr="00EB2BD8">
        <w:rPr>
          <w:rFonts w:ascii="Arial" w:hAnsi="Arial"/>
          <w:w w:val="105"/>
          <w:sz w:val="16"/>
        </w:rPr>
        <w:t>the</w:t>
      </w:r>
      <w:r w:rsidRPr="00EB2BD8">
        <w:rPr>
          <w:rFonts w:ascii="Arial" w:hAnsi="Arial"/>
          <w:spacing w:val="-7"/>
          <w:w w:val="105"/>
          <w:sz w:val="16"/>
        </w:rPr>
        <w:t xml:space="preserve"> </w:t>
      </w:r>
      <w:r w:rsidRPr="00EB2BD8">
        <w:rPr>
          <w:rFonts w:ascii="Arial" w:hAnsi="Arial"/>
          <w:w w:val="105"/>
          <w:sz w:val="16"/>
        </w:rPr>
        <w:t>obligations</w:t>
      </w:r>
      <w:r w:rsidRPr="00EB2BD8">
        <w:rPr>
          <w:rFonts w:ascii="Arial" w:hAnsi="Arial"/>
          <w:spacing w:val="-7"/>
          <w:w w:val="105"/>
          <w:sz w:val="16"/>
        </w:rPr>
        <w:t xml:space="preserve"> </w:t>
      </w:r>
      <w:r w:rsidRPr="00EB2BD8">
        <w:rPr>
          <w:rFonts w:ascii="Arial" w:hAnsi="Arial"/>
          <w:w w:val="105"/>
          <w:sz w:val="16"/>
        </w:rPr>
        <w:t>cannot</w:t>
      </w:r>
      <w:r w:rsidRPr="00EB2BD8">
        <w:rPr>
          <w:rFonts w:ascii="Arial" w:hAnsi="Arial"/>
          <w:spacing w:val="-7"/>
          <w:w w:val="105"/>
          <w:sz w:val="16"/>
        </w:rPr>
        <w:t xml:space="preserve"> </w:t>
      </w:r>
      <w:r w:rsidRPr="00EB2BD8">
        <w:rPr>
          <w:rFonts w:ascii="Arial" w:hAnsi="Arial"/>
          <w:w w:val="105"/>
          <w:sz w:val="16"/>
        </w:rPr>
        <w:t>be</w:t>
      </w:r>
      <w:r w:rsidRPr="00EB2BD8">
        <w:rPr>
          <w:rFonts w:ascii="Arial" w:hAnsi="Arial"/>
          <w:spacing w:val="-7"/>
          <w:w w:val="105"/>
          <w:sz w:val="16"/>
        </w:rPr>
        <w:t xml:space="preserve"> </w:t>
      </w:r>
      <w:r w:rsidRPr="00EB2BD8">
        <w:rPr>
          <w:rFonts w:ascii="Arial" w:hAnsi="Arial"/>
          <w:w w:val="105"/>
          <w:sz w:val="16"/>
        </w:rPr>
        <w:t>measured</w:t>
      </w:r>
      <w:r w:rsidRPr="00EB2BD8">
        <w:rPr>
          <w:rFonts w:ascii="Arial" w:hAnsi="Arial"/>
          <w:spacing w:val="-7"/>
          <w:w w:val="105"/>
          <w:sz w:val="16"/>
        </w:rPr>
        <w:t xml:space="preserve"> </w:t>
      </w:r>
      <w:r w:rsidRPr="00EB2BD8">
        <w:rPr>
          <w:rFonts w:ascii="Arial" w:hAnsi="Arial"/>
          <w:w w:val="105"/>
          <w:sz w:val="16"/>
        </w:rPr>
        <w:t>with</w:t>
      </w:r>
      <w:r w:rsidRPr="00EB2BD8">
        <w:rPr>
          <w:rFonts w:ascii="Arial" w:hAnsi="Arial"/>
          <w:spacing w:val="-6"/>
          <w:w w:val="105"/>
          <w:sz w:val="16"/>
        </w:rPr>
        <w:t xml:space="preserve"> </w:t>
      </w:r>
      <w:r w:rsidRPr="00EB2BD8">
        <w:rPr>
          <w:rFonts w:ascii="Arial" w:hAnsi="Arial"/>
          <w:w w:val="105"/>
          <w:sz w:val="16"/>
        </w:rPr>
        <w:t>sufficient</w:t>
      </w:r>
      <w:r w:rsidRPr="00EB2BD8">
        <w:rPr>
          <w:rFonts w:ascii="Arial" w:hAnsi="Arial"/>
          <w:spacing w:val="-7"/>
          <w:w w:val="105"/>
          <w:sz w:val="16"/>
        </w:rPr>
        <w:t xml:space="preserve"> </w:t>
      </w:r>
      <w:r w:rsidRPr="00EB2BD8">
        <w:rPr>
          <w:rFonts w:ascii="Arial" w:hAnsi="Arial"/>
          <w:spacing w:val="-2"/>
          <w:w w:val="105"/>
          <w:sz w:val="16"/>
        </w:rPr>
        <w:t>reliability.</w:t>
      </w:r>
    </w:p>
    <w:p w14:paraId="10F61520" w14:textId="77777777" w:rsidR="00084F36" w:rsidRPr="00EB2BD8" w:rsidRDefault="00084F36">
      <w:pPr>
        <w:pStyle w:val="BodyText"/>
        <w:spacing w:before="8"/>
        <w:rPr>
          <w:rFonts w:ascii="Arial"/>
          <w:sz w:val="22"/>
        </w:rPr>
      </w:pPr>
    </w:p>
    <w:p w14:paraId="4B953515" w14:textId="77777777" w:rsidR="00084F36" w:rsidRPr="00EB2BD8" w:rsidRDefault="00EB2BD8">
      <w:pPr>
        <w:ind w:left="1031"/>
        <w:rPr>
          <w:rFonts w:ascii="Arial"/>
          <w:sz w:val="16"/>
        </w:rPr>
      </w:pPr>
      <w:r w:rsidRPr="00EB2BD8">
        <w:rPr>
          <w:rFonts w:ascii="Arial"/>
          <w:w w:val="105"/>
          <w:sz w:val="16"/>
        </w:rPr>
        <w:t>Contingent</w:t>
      </w:r>
      <w:r w:rsidRPr="00EB2BD8">
        <w:rPr>
          <w:rFonts w:ascii="Arial"/>
          <w:spacing w:val="-9"/>
          <w:w w:val="105"/>
          <w:sz w:val="16"/>
        </w:rPr>
        <w:t xml:space="preserve"> </w:t>
      </w:r>
      <w:r w:rsidRPr="00EB2BD8">
        <w:rPr>
          <w:rFonts w:ascii="Arial"/>
          <w:w w:val="105"/>
          <w:sz w:val="16"/>
        </w:rPr>
        <w:t>liabilities</w:t>
      </w:r>
      <w:r w:rsidRPr="00EB2BD8">
        <w:rPr>
          <w:rFonts w:ascii="Arial"/>
          <w:spacing w:val="-8"/>
          <w:w w:val="105"/>
          <w:sz w:val="16"/>
        </w:rPr>
        <w:t xml:space="preserve"> </w:t>
      </w:r>
      <w:r w:rsidRPr="00EB2BD8">
        <w:rPr>
          <w:rFonts w:ascii="Arial"/>
          <w:w w:val="105"/>
          <w:sz w:val="16"/>
        </w:rPr>
        <w:t>are</w:t>
      </w:r>
      <w:r w:rsidRPr="00EB2BD8">
        <w:rPr>
          <w:rFonts w:ascii="Arial"/>
          <w:spacing w:val="-9"/>
          <w:w w:val="105"/>
          <w:sz w:val="16"/>
        </w:rPr>
        <w:t xml:space="preserve"> </w:t>
      </w:r>
      <w:r w:rsidRPr="00EB2BD8">
        <w:rPr>
          <w:rFonts w:ascii="Arial"/>
          <w:w w:val="105"/>
          <w:sz w:val="16"/>
        </w:rPr>
        <w:t>also</w:t>
      </w:r>
      <w:r w:rsidRPr="00EB2BD8">
        <w:rPr>
          <w:rFonts w:ascii="Arial"/>
          <w:spacing w:val="-8"/>
          <w:w w:val="105"/>
          <w:sz w:val="16"/>
        </w:rPr>
        <w:t xml:space="preserve"> </w:t>
      </w:r>
      <w:r w:rsidRPr="00EB2BD8">
        <w:rPr>
          <w:rFonts w:ascii="Arial"/>
          <w:w w:val="105"/>
          <w:sz w:val="16"/>
        </w:rPr>
        <w:t>classified</w:t>
      </w:r>
      <w:r w:rsidRPr="00EB2BD8">
        <w:rPr>
          <w:rFonts w:ascii="Arial"/>
          <w:spacing w:val="-9"/>
          <w:w w:val="105"/>
          <w:sz w:val="16"/>
        </w:rPr>
        <w:t xml:space="preserve"> </w:t>
      </w:r>
      <w:r w:rsidRPr="00EB2BD8">
        <w:rPr>
          <w:rFonts w:ascii="Arial"/>
          <w:w w:val="105"/>
          <w:sz w:val="16"/>
        </w:rPr>
        <w:t>as</w:t>
      </w:r>
      <w:r w:rsidRPr="00EB2BD8">
        <w:rPr>
          <w:rFonts w:ascii="Arial"/>
          <w:spacing w:val="-8"/>
          <w:w w:val="105"/>
          <w:sz w:val="16"/>
        </w:rPr>
        <w:t xml:space="preserve"> </w:t>
      </w:r>
      <w:r w:rsidRPr="00EB2BD8">
        <w:rPr>
          <w:rFonts w:ascii="Arial"/>
          <w:w w:val="105"/>
          <w:sz w:val="16"/>
        </w:rPr>
        <w:t>either</w:t>
      </w:r>
      <w:r w:rsidRPr="00EB2BD8">
        <w:rPr>
          <w:rFonts w:ascii="Arial"/>
          <w:spacing w:val="-9"/>
          <w:w w:val="105"/>
          <w:sz w:val="16"/>
        </w:rPr>
        <w:t xml:space="preserve"> </w:t>
      </w:r>
      <w:r w:rsidRPr="00EB2BD8">
        <w:rPr>
          <w:rFonts w:ascii="Arial"/>
          <w:w w:val="105"/>
          <w:sz w:val="16"/>
        </w:rPr>
        <w:t>quantifiable</w:t>
      </w:r>
      <w:r w:rsidRPr="00EB2BD8">
        <w:rPr>
          <w:rFonts w:ascii="Arial"/>
          <w:spacing w:val="-8"/>
          <w:w w:val="105"/>
          <w:sz w:val="16"/>
        </w:rPr>
        <w:t xml:space="preserve"> </w:t>
      </w:r>
      <w:r w:rsidRPr="00EB2BD8">
        <w:rPr>
          <w:rFonts w:ascii="Arial"/>
          <w:w w:val="105"/>
          <w:sz w:val="16"/>
        </w:rPr>
        <w:t>or</w:t>
      </w:r>
      <w:r w:rsidRPr="00EB2BD8">
        <w:rPr>
          <w:rFonts w:ascii="Arial"/>
          <w:spacing w:val="-9"/>
          <w:w w:val="105"/>
          <w:sz w:val="16"/>
        </w:rPr>
        <w:t xml:space="preserve"> </w:t>
      </w:r>
      <w:r w:rsidRPr="00EB2BD8">
        <w:rPr>
          <w:rFonts w:ascii="Arial"/>
          <w:w w:val="105"/>
          <w:sz w:val="16"/>
        </w:rPr>
        <w:t>non-</w:t>
      </w:r>
      <w:r w:rsidRPr="00EB2BD8">
        <w:rPr>
          <w:rFonts w:ascii="Arial"/>
          <w:spacing w:val="-2"/>
          <w:w w:val="105"/>
          <w:sz w:val="16"/>
        </w:rPr>
        <w:t>quantifiable.</w:t>
      </w:r>
    </w:p>
    <w:p w14:paraId="362232E8" w14:textId="77777777" w:rsidR="00084F36" w:rsidRPr="00EB2BD8" w:rsidRDefault="00084F36">
      <w:pPr>
        <w:pStyle w:val="BodyText"/>
        <w:rPr>
          <w:rFonts w:ascii="Arial"/>
        </w:rPr>
      </w:pPr>
    </w:p>
    <w:p w14:paraId="5907C4AC" w14:textId="77777777" w:rsidR="00084F36" w:rsidRPr="00EB2BD8" w:rsidRDefault="00084F36">
      <w:pPr>
        <w:pStyle w:val="BodyText"/>
        <w:spacing w:before="1"/>
        <w:rPr>
          <w:rFonts w:ascii="Arial"/>
          <w:sz w:val="16"/>
        </w:rPr>
      </w:pPr>
    </w:p>
    <w:p w14:paraId="1A10E4E3" w14:textId="77777777" w:rsidR="00084F36" w:rsidRPr="00EB2BD8" w:rsidRDefault="00EB2BD8" w:rsidP="007A74E8">
      <w:pPr>
        <w:pStyle w:val="Heading2"/>
        <w:ind w:firstLine="181"/>
      </w:pPr>
      <w:bookmarkStart w:id="350" w:name="_Toc150762652"/>
      <w:r w:rsidRPr="00EB2BD8">
        <w:t>Quantifiable</w:t>
      </w:r>
      <w:r w:rsidRPr="00EB2BD8">
        <w:rPr>
          <w:spacing w:val="22"/>
        </w:rPr>
        <w:t xml:space="preserve"> </w:t>
      </w:r>
      <w:r w:rsidRPr="00EB2BD8">
        <w:t>contingent</w:t>
      </w:r>
      <w:r w:rsidRPr="00EB2BD8">
        <w:rPr>
          <w:spacing w:val="22"/>
        </w:rPr>
        <w:t xml:space="preserve"> </w:t>
      </w:r>
      <w:r w:rsidRPr="00EB2BD8">
        <w:rPr>
          <w:spacing w:val="-2"/>
        </w:rPr>
        <w:t>liabilities</w:t>
      </w:r>
      <w:bookmarkEnd w:id="350"/>
    </w:p>
    <w:p w14:paraId="3BAC7609" w14:textId="1FDA2442" w:rsidR="00084F36" w:rsidRPr="007A74E8" w:rsidRDefault="007A74E8" w:rsidP="007A74E8">
      <w:pPr>
        <w:pStyle w:val="Heading3"/>
        <w:ind w:left="130" w:firstLine="720"/>
      </w:pPr>
      <w:bookmarkStart w:id="351" w:name="_Toc150762653"/>
      <w:r w:rsidRPr="007A74E8">
        <w:t xml:space="preserve">(1) </w:t>
      </w:r>
      <w:r w:rsidR="00EB2BD8" w:rsidRPr="007A74E8">
        <w:t>Quantifiable</w:t>
      </w:r>
      <w:r w:rsidR="00EB2BD8" w:rsidRPr="007A74E8">
        <w:rPr>
          <w:spacing w:val="23"/>
        </w:rPr>
        <w:t xml:space="preserve"> </w:t>
      </w:r>
      <w:r w:rsidR="00EB2BD8" w:rsidRPr="007A74E8">
        <w:rPr>
          <w:spacing w:val="-2"/>
        </w:rPr>
        <w:t>Claims</w:t>
      </w:r>
      <w:bookmarkEnd w:id="351"/>
    </w:p>
    <w:p w14:paraId="6238F815" w14:textId="77777777" w:rsidR="00084F36" w:rsidRPr="00EB2BD8" w:rsidRDefault="00084F36">
      <w:pPr>
        <w:pStyle w:val="BodyText"/>
        <w:spacing w:before="4"/>
        <w:rPr>
          <w:rFonts w:ascii="Arial"/>
          <w:b/>
          <w:sz w:val="17"/>
        </w:rPr>
      </w:pPr>
    </w:p>
    <w:p w14:paraId="3E921C0A" w14:textId="77777777" w:rsidR="00084F36" w:rsidRPr="00EB2BD8" w:rsidRDefault="00EB2BD8">
      <w:pPr>
        <w:spacing w:after="37"/>
        <w:ind w:right="1581"/>
        <w:jc w:val="right"/>
        <w:rPr>
          <w:rFonts w:ascii="Arial" w:hAnsi="Arial"/>
          <w:sz w:val="16"/>
        </w:rPr>
      </w:pPr>
      <w:r w:rsidRPr="00EB2BD8">
        <w:rPr>
          <w:rFonts w:ascii="Arial" w:hAnsi="Arial"/>
          <w:spacing w:val="-2"/>
          <w:w w:val="105"/>
          <w:sz w:val="16"/>
        </w:rPr>
        <w:t>($’000)</w:t>
      </w:r>
    </w:p>
    <w:tbl>
      <w:tblPr>
        <w:tblW w:w="0" w:type="auto"/>
        <w:tblInd w:w="1039" w:type="dxa"/>
        <w:tblBorders>
          <w:top w:val="single" w:sz="4" w:space="0" w:color="0098FF"/>
          <w:left w:val="single" w:sz="4" w:space="0" w:color="0098FF"/>
          <w:bottom w:val="single" w:sz="4" w:space="0" w:color="0098FF"/>
          <w:right w:val="single" w:sz="4" w:space="0" w:color="0098FF"/>
          <w:insideH w:val="single" w:sz="4" w:space="0" w:color="0098FF"/>
          <w:insideV w:val="single" w:sz="4" w:space="0" w:color="0098FF"/>
        </w:tblBorders>
        <w:tblLayout w:type="fixed"/>
        <w:tblCellMar>
          <w:left w:w="0" w:type="dxa"/>
          <w:right w:w="0" w:type="dxa"/>
        </w:tblCellMar>
        <w:tblLook w:val="01E0" w:firstRow="1" w:lastRow="1" w:firstColumn="1" w:lastColumn="1" w:noHBand="0" w:noVBand="0"/>
      </w:tblPr>
      <w:tblGrid>
        <w:gridCol w:w="5557"/>
        <w:gridCol w:w="1983"/>
        <w:gridCol w:w="1853"/>
      </w:tblGrid>
      <w:tr w:rsidR="00EB2BD8" w:rsidRPr="00EB2BD8" w14:paraId="732BCD6C" w14:textId="77777777">
        <w:trPr>
          <w:trHeight w:val="278"/>
        </w:trPr>
        <w:tc>
          <w:tcPr>
            <w:tcW w:w="9393" w:type="dxa"/>
            <w:gridSpan w:val="3"/>
            <w:shd w:val="clear" w:color="auto" w:fill="2E74B5"/>
          </w:tcPr>
          <w:p w14:paraId="064A8061" w14:textId="77777777" w:rsidR="00084F36" w:rsidRPr="00EB2BD8" w:rsidRDefault="00EB2BD8">
            <w:pPr>
              <w:pStyle w:val="TableParagraph"/>
              <w:tabs>
                <w:tab w:val="left" w:pos="1852"/>
              </w:tabs>
              <w:spacing w:before="50"/>
              <w:ind w:right="89"/>
              <w:jc w:val="right"/>
              <w:rPr>
                <w:rFonts w:ascii="Arial"/>
                <w:b/>
                <w:sz w:val="16"/>
              </w:rPr>
            </w:pPr>
            <w:r w:rsidRPr="00EB2BD8">
              <w:rPr>
                <w:rFonts w:ascii="Arial"/>
                <w:b/>
                <w:spacing w:val="-4"/>
                <w:w w:val="105"/>
                <w:sz w:val="16"/>
              </w:rPr>
              <w:t>2023</w:t>
            </w:r>
            <w:r w:rsidRPr="00EB2BD8">
              <w:rPr>
                <w:rFonts w:ascii="Arial"/>
                <w:b/>
                <w:sz w:val="16"/>
              </w:rPr>
              <w:tab/>
            </w:r>
            <w:r w:rsidRPr="00EB2BD8">
              <w:rPr>
                <w:rFonts w:ascii="Arial"/>
                <w:b/>
                <w:spacing w:val="-4"/>
                <w:w w:val="105"/>
                <w:sz w:val="16"/>
              </w:rPr>
              <w:t>2022</w:t>
            </w:r>
          </w:p>
        </w:tc>
      </w:tr>
      <w:tr w:rsidR="00EB2BD8" w:rsidRPr="00EB2BD8" w14:paraId="0EBBE63A" w14:textId="77777777">
        <w:trPr>
          <w:trHeight w:val="278"/>
        </w:trPr>
        <w:tc>
          <w:tcPr>
            <w:tcW w:w="5557" w:type="dxa"/>
            <w:tcBorders>
              <w:left w:val="nil"/>
              <w:bottom w:val="single" w:sz="12" w:space="0" w:color="000000"/>
              <w:right w:val="nil"/>
            </w:tcBorders>
            <w:shd w:val="clear" w:color="auto" w:fill="FFFFFF"/>
          </w:tcPr>
          <w:p w14:paraId="72748D4F" w14:textId="77777777" w:rsidR="00084F36" w:rsidRPr="00EB2BD8" w:rsidRDefault="00EB2BD8">
            <w:pPr>
              <w:pStyle w:val="TableParagraph"/>
              <w:spacing w:before="36"/>
              <w:ind w:left="105"/>
              <w:rPr>
                <w:rFonts w:ascii="Arial"/>
                <w:sz w:val="11"/>
              </w:rPr>
            </w:pPr>
            <w:r w:rsidRPr="00EB2BD8">
              <w:rPr>
                <w:rFonts w:ascii="Arial"/>
                <w:spacing w:val="-2"/>
                <w:w w:val="105"/>
                <w:sz w:val="16"/>
              </w:rPr>
              <w:t>Quantifiable</w:t>
            </w:r>
            <w:r w:rsidRPr="00EB2BD8">
              <w:rPr>
                <w:rFonts w:ascii="Arial"/>
                <w:spacing w:val="9"/>
                <w:w w:val="105"/>
                <w:sz w:val="16"/>
              </w:rPr>
              <w:t xml:space="preserve"> </w:t>
            </w:r>
            <w:r w:rsidRPr="00EB2BD8">
              <w:rPr>
                <w:rFonts w:ascii="Arial"/>
                <w:spacing w:val="-2"/>
                <w:w w:val="105"/>
                <w:sz w:val="16"/>
              </w:rPr>
              <w:t>claims</w:t>
            </w:r>
            <w:r w:rsidRPr="00EB2BD8">
              <w:rPr>
                <w:rFonts w:ascii="Arial"/>
                <w:spacing w:val="-2"/>
                <w:w w:val="105"/>
                <w:position w:val="6"/>
                <w:sz w:val="11"/>
              </w:rPr>
              <w:t>(a)</w:t>
            </w:r>
          </w:p>
        </w:tc>
        <w:tc>
          <w:tcPr>
            <w:tcW w:w="1983" w:type="dxa"/>
            <w:tcBorders>
              <w:left w:val="nil"/>
              <w:bottom w:val="single" w:sz="12" w:space="0" w:color="000000"/>
              <w:right w:val="nil"/>
            </w:tcBorders>
            <w:shd w:val="clear" w:color="auto" w:fill="DEEAF6"/>
          </w:tcPr>
          <w:p w14:paraId="7C5E113F" w14:textId="77777777" w:rsidR="00084F36" w:rsidRPr="00EB2BD8" w:rsidRDefault="00EB2BD8">
            <w:pPr>
              <w:pStyle w:val="TableParagraph"/>
              <w:spacing w:before="50"/>
              <w:ind w:left="813"/>
              <w:rPr>
                <w:rFonts w:ascii="Arial"/>
                <w:sz w:val="16"/>
              </w:rPr>
            </w:pPr>
            <w:r w:rsidRPr="00EB2BD8">
              <w:rPr>
                <w:rFonts w:ascii="Arial"/>
                <w:w w:val="105"/>
                <w:sz w:val="16"/>
              </w:rPr>
              <w:t>2,124</w:t>
            </w:r>
            <w:r w:rsidRPr="00EB2BD8">
              <w:rPr>
                <w:rFonts w:ascii="Arial"/>
                <w:spacing w:val="-5"/>
                <w:w w:val="105"/>
                <w:sz w:val="16"/>
              </w:rPr>
              <w:t xml:space="preserve"> </w:t>
            </w:r>
            <w:r w:rsidRPr="00EB2BD8">
              <w:rPr>
                <w:rFonts w:ascii="Arial"/>
                <w:w w:val="105"/>
                <w:sz w:val="16"/>
              </w:rPr>
              <w:t>to</w:t>
            </w:r>
            <w:r w:rsidRPr="00EB2BD8">
              <w:rPr>
                <w:rFonts w:ascii="Arial"/>
                <w:spacing w:val="-4"/>
                <w:w w:val="105"/>
                <w:sz w:val="16"/>
              </w:rPr>
              <w:t xml:space="preserve"> </w:t>
            </w:r>
            <w:r w:rsidRPr="00EB2BD8">
              <w:rPr>
                <w:rFonts w:ascii="Arial"/>
                <w:spacing w:val="-2"/>
                <w:w w:val="105"/>
                <w:sz w:val="16"/>
              </w:rPr>
              <w:t>3,755</w:t>
            </w:r>
          </w:p>
        </w:tc>
        <w:tc>
          <w:tcPr>
            <w:tcW w:w="1853" w:type="dxa"/>
            <w:tcBorders>
              <w:left w:val="nil"/>
              <w:bottom w:val="single" w:sz="12" w:space="0" w:color="000000"/>
              <w:right w:val="nil"/>
            </w:tcBorders>
            <w:shd w:val="clear" w:color="auto" w:fill="FFFFFF"/>
          </w:tcPr>
          <w:p w14:paraId="3FC8A056" w14:textId="77777777" w:rsidR="00084F36" w:rsidRPr="00EB2BD8" w:rsidRDefault="00EB2BD8">
            <w:pPr>
              <w:pStyle w:val="TableParagraph"/>
              <w:spacing w:before="50"/>
              <w:ind w:left="682"/>
              <w:rPr>
                <w:rFonts w:ascii="Arial"/>
                <w:sz w:val="16"/>
              </w:rPr>
            </w:pPr>
            <w:r w:rsidRPr="00EB2BD8">
              <w:rPr>
                <w:rFonts w:ascii="Arial"/>
                <w:w w:val="105"/>
                <w:sz w:val="16"/>
              </w:rPr>
              <w:t>2,034</w:t>
            </w:r>
            <w:r w:rsidRPr="00EB2BD8">
              <w:rPr>
                <w:rFonts w:ascii="Arial"/>
                <w:spacing w:val="-5"/>
                <w:w w:val="105"/>
                <w:sz w:val="16"/>
              </w:rPr>
              <w:t xml:space="preserve"> </w:t>
            </w:r>
            <w:r w:rsidRPr="00EB2BD8">
              <w:rPr>
                <w:rFonts w:ascii="Arial"/>
                <w:w w:val="105"/>
                <w:sz w:val="16"/>
              </w:rPr>
              <w:t>to</w:t>
            </w:r>
            <w:r w:rsidRPr="00EB2BD8">
              <w:rPr>
                <w:rFonts w:ascii="Arial"/>
                <w:spacing w:val="-4"/>
                <w:w w:val="105"/>
                <w:sz w:val="16"/>
              </w:rPr>
              <w:t xml:space="preserve"> </w:t>
            </w:r>
            <w:r w:rsidRPr="00EB2BD8">
              <w:rPr>
                <w:rFonts w:ascii="Arial"/>
                <w:spacing w:val="-2"/>
                <w:w w:val="105"/>
                <w:sz w:val="16"/>
              </w:rPr>
              <w:t>3,575</w:t>
            </w:r>
          </w:p>
        </w:tc>
      </w:tr>
    </w:tbl>
    <w:p w14:paraId="597BF086" w14:textId="77777777" w:rsidR="00084F36" w:rsidRPr="00EB2BD8" w:rsidRDefault="00084F36">
      <w:pPr>
        <w:pStyle w:val="BodyText"/>
        <w:spacing w:before="1"/>
        <w:rPr>
          <w:rFonts w:ascii="Arial"/>
          <w:sz w:val="25"/>
        </w:rPr>
      </w:pPr>
    </w:p>
    <w:p w14:paraId="02C71A07" w14:textId="77777777" w:rsidR="00084F36" w:rsidRPr="00EB2BD8" w:rsidRDefault="00EB2BD8">
      <w:pPr>
        <w:ind w:left="1093"/>
        <w:rPr>
          <w:rFonts w:ascii="Arial"/>
          <w:i/>
          <w:sz w:val="15"/>
        </w:rPr>
      </w:pPr>
      <w:r w:rsidRPr="00EB2BD8">
        <w:rPr>
          <w:rFonts w:ascii="Arial"/>
          <w:i/>
          <w:spacing w:val="-2"/>
          <w:sz w:val="15"/>
        </w:rPr>
        <w:t>Note:</w:t>
      </w:r>
    </w:p>
    <w:p w14:paraId="2B3E2DC0" w14:textId="77777777" w:rsidR="00084F36" w:rsidRPr="00EB2BD8" w:rsidRDefault="00EB2BD8">
      <w:pPr>
        <w:spacing w:before="82" w:line="273" w:lineRule="auto"/>
        <w:ind w:left="1428" w:right="1551" w:hanging="336"/>
        <w:rPr>
          <w:rFonts w:ascii="Arial"/>
          <w:i/>
          <w:sz w:val="15"/>
        </w:rPr>
      </w:pPr>
      <w:r w:rsidRPr="00EB2BD8">
        <w:rPr>
          <w:rFonts w:ascii="Arial"/>
          <w:i/>
          <w:sz w:val="15"/>
        </w:rPr>
        <w:t>(a)</w:t>
      </w:r>
      <w:r w:rsidRPr="00EB2BD8">
        <w:rPr>
          <w:rFonts w:ascii="Arial"/>
          <w:i/>
          <w:spacing w:val="80"/>
          <w:sz w:val="15"/>
        </w:rPr>
        <w:t xml:space="preserve"> </w:t>
      </w:r>
      <w:r w:rsidRPr="00EB2BD8">
        <w:rPr>
          <w:rFonts w:ascii="Arial"/>
          <w:i/>
          <w:sz w:val="15"/>
        </w:rPr>
        <w:t>Quantifiable</w:t>
      </w:r>
      <w:r w:rsidRPr="00EB2BD8">
        <w:rPr>
          <w:rFonts w:ascii="Arial"/>
          <w:i/>
          <w:spacing w:val="-5"/>
          <w:sz w:val="15"/>
        </w:rPr>
        <w:t xml:space="preserve"> </w:t>
      </w:r>
      <w:r w:rsidRPr="00EB2BD8">
        <w:rPr>
          <w:rFonts w:ascii="Arial"/>
          <w:i/>
          <w:sz w:val="15"/>
        </w:rPr>
        <w:t>claims</w:t>
      </w:r>
      <w:r w:rsidRPr="00EB2BD8">
        <w:rPr>
          <w:rFonts w:ascii="Arial"/>
          <w:i/>
          <w:spacing w:val="-4"/>
          <w:sz w:val="15"/>
        </w:rPr>
        <w:t xml:space="preserve"> </w:t>
      </w:r>
      <w:r w:rsidRPr="00EB2BD8">
        <w:rPr>
          <w:rFonts w:ascii="Arial"/>
          <w:i/>
          <w:sz w:val="15"/>
        </w:rPr>
        <w:t>include</w:t>
      </w:r>
      <w:r w:rsidRPr="00EB2BD8">
        <w:rPr>
          <w:rFonts w:ascii="Arial"/>
          <w:i/>
          <w:spacing w:val="-5"/>
          <w:sz w:val="15"/>
        </w:rPr>
        <w:t xml:space="preserve"> </w:t>
      </w:r>
      <w:r w:rsidRPr="00EB2BD8">
        <w:rPr>
          <w:rFonts w:ascii="Arial"/>
          <w:i/>
          <w:sz w:val="15"/>
        </w:rPr>
        <w:t>those</w:t>
      </w:r>
      <w:r w:rsidRPr="00EB2BD8">
        <w:rPr>
          <w:rFonts w:ascii="Arial"/>
          <w:i/>
          <w:spacing w:val="-6"/>
          <w:sz w:val="15"/>
        </w:rPr>
        <w:t xml:space="preserve"> </w:t>
      </w:r>
      <w:r w:rsidRPr="00EB2BD8">
        <w:rPr>
          <w:rFonts w:ascii="Arial"/>
          <w:i/>
          <w:sz w:val="15"/>
        </w:rPr>
        <w:t>which</w:t>
      </w:r>
      <w:r w:rsidRPr="00EB2BD8">
        <w:rPr>
          <w:rFonts w:ascii="Arial"/>
          <w:i/>
          <w:spacing w:val="-5"/>
          <w:sz w:val="15"/>
        </w:rPr>
        <w:t xml:space="preserve"> </w:t>
      </w:r>
      <w:r w:rsidRPr="00EB2BD8">
        <w:rPr>
          <w:rFonts w:ascii="Arial"/>
          <w:i/>
          <w:sz w:val="15"/>
        </w:rPr>
        <w:t>may</w:t>
      </w:r>
      <w:r w:rsidRPr="00EB2BD8">
        <w:rPr>
          <w:rFonts w:ascii="Arial"/>
          <w:i/>
          <w:spacing w:val="-4"/>
          <w:sz w:val="15"/>
        </w:rPr>
        <w:t xml:space="preserve"> </w:t>
      </w:r>
      <w:r w:rsidRPr="00EB2BD8">
        <w:rPr>
          <w:rFonts w:ascii="Arial"/>
          <w:i/>
          <w:sz w:val="15"/>
        </w:rPr>
        <w:t>arise</w:t>
      </w:r>
      <w:r w:rsidRPr="00EB2BD8">
        <w:rPr>
          <w:rFonts w:ascii="Arial"/>
          <w:i/>
          <w:spacing w:val="-5"/>
          <w:sz w:val="15"/>
        </w:rPr>
        <w:t xml:space="preserve"> </w:t>
      </w:r>
      <w:r w:rsidRPr="00EB2BD8">
        <w:rPr>
          <w:rFonts w:ascii="Arial"/>
          <w:i/>
          <w:sz w:val="15"/>
        </w:rPr>
        <w:t>from</w:t>
      </w:r>
      <w:r w:rsidRPr="00EB2BD8">
        <w:rPr>
          <w:rFonts w:ascii="Arial"/>
          <w:i/>
          <w:spacing w:val="-5"/>
          <w:sz w:val="15"/>
        </w:rPr>
        <w:t xml:space="preserve"> </w:t>
      </w:r>
      <w:r w:rsidRPr="00EB2BD8">
        <w:rPr>
          <w:rFonts w:ascii="Arial"/>
          <w:i/>
          <w:sz w:val="15"/>
        </w:rPr>
        <w:t>legal</w:t>
      </w:r>
      <w:r w:rsidRPr="00EB2BD8">
        <w:rPr>
          <w:rFonts w:ascii="Arial"/>
          <w:i/>
          <w:spacing w:val="-4"/>
          <w:sz w:val="15"/>
        </w:rPr>
        <w:t xml:space="preserve"> </w:t>
      </w:r>
      <w:r w:rsidRPr="00EB2BD8">
        <w:rPr>
          <w:rFonts w:ascii="Arial"/>
          <w:i/>
          <w:sz w:val="15"/>
        </w:rPr>
        <w:t>proceedings</w:t>
      </w:r>
      <w:r w:rsidRPr="00EB2BD8">
        <w:rPr>
          <w:rFonts w:ascii="Arial"/>
          <w:i/>
          <w:spacing w:val="-4"/>
          <w:sz w:val="15"/>
        </w:rPr>
        <w:t xml:space="preserve"> </w:t>
      </w:r>
      <w:r w:rsidRPr="00EB2BD8">
        <w:rPr>
          <w:rFonts w:ascii="Arial"/>
          <w:i/>
          <w:sz w:val="15"/>
        </w:rPr>
        <w:t>and</w:t>
      </w:r>
      <w:r w:rsidRPr="00EB2BD8">
        <w:rPr>
          <w:rFonts w:ascii="Arial"/>
          <w:i/>
          <w:spacing w:val="-5"/>
          <w:sz w:val="15"/>
        </w:rPr>
        <w:t xml:space="preserve"> </w:t>
      </w:r>
      <w:r w:rsidRPr="00EB2BD8">
        <w:rPr>
          <w:rFonts w:ascii="Arial"/>
          <w:i/>
          <w:sz w:val="15"/>
        </w:rPr>
        <w:t>disputes.</w:t>
      </w:r>
      <w:r w:rsidRPr="00EB2BD8">
        <w:rPr>
          <w:rFonts w:ascii="Arial"/>
          <w:i/>
          <w:spacing w:val="-5"/>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amounts</w:t>
      </w:r>
      <w:r w:rsidRPr="00EB2BD8">
        <w:rPr>
          <w:rFonts w:ascii="Arial"/>
          <w:i/>
          <w:spacing w:val="-4"/>
          <w:sz w:val="15"/>
        </w:rPr>
        <w:t xml:space="preserve"> </w:t>
      </w:r>
      <w:r w:rsidRPr="00EB2BD8">
        <w:rPr>
          <w:rFonts w:ascii="Arial"/>
          <w:i/>
          <w:sz w:val="15"/>
        </w:rPr>
        <w:t>are</w:t>
      </w:r>
      <w:r w:rsidRPr="00EB2BD8">
        <w:rPr>
          <w:rFonts w:ascii="Arial"/>
          <w:i/>
          <w:spacing w:val="-5"/>
          <w:sz w:val="15"/>
        </w:rPr>
        <w:t xml:space="preserve"> </w:t>
      </w:r>
      <w:r w:rsidRPr="00EB2BD8">
        <w:rPr>
          <w:rFonts w:ascii="Arial"/>
          <w:i/>
          <w:sz w:val="15"/>
        </w:rPr>
        <w:t>estimates</w:t>
      </w:r>
      <w:r w:rsidRPr="00EB2BD8">
        <w:rPr>
          <w:rFonts w:ascii="Arial"/>
          <w:i/>
          <w:spacing w:val="-4"/>
          <w:sz w:val="15"/>
        </w:rPr>
        <w:t xml:space="preserve"> </w:t>
      </w:r>
      <w:r w:rsidRPr="00EB2BD8">
        <w:rPr>
          <w:rFonts w:ascii="Arial"/>
          <w:i/>
          <w:sz w:val="15"/>
        </w:rPr>
        <w:t>pending</w:t>
      </w:r>
      <w:r w:rsidRPr="00EB2BD8">
        <w:rPr>
          <w:rFonts w:ascii="Arial"/>
          <w:i/>
          <w:spacing w:val="-5"/>
          <w:sz w:val="15"/>
        </w:rPr>
        <w:t xml:space="preserve"> </w:t>
      </w:r>
      <w:r w:rsidRPr="00EB2BD8">
        <w:rPr>
          <w:rFonts w:ascii="Arial"/>
          <w:i/>
          <w:sz w:val="15"/>
        </w:rPr>
        <w:t>finalisation of cost orders.</w:t>
      </w:r>
    </w:p>
    <w:p w14:paraId="0B6DE2DE" w14:textId="154DB118" w:rsidR="00084F36" w:rsidRPr="00EB2BD8" w:rsidRDefault="007A74E8" w:rsidP="007A74E8">
      <w:pPr>
        <w:pStyle w:val="Heading3"/>
      </w:pPr>
      <w:bookmarkStart w:id="352" w:name="_Toc150762654"/>
      <w:r>
        <w:t xml:space="preserve">(2) </w:t>
      </w:r>
      <w:r w:rsidR="00EB2BD8" w:rsidRPr="00EB2BD8">
        <w:t>Non-Quantifiable</w:t>
      </w:r>
      <w:r w:rsidR="00EB2BD8" w:rsidRPr="00EB2BD8">
        <w:rPr>
          <w:spacing w:val="32"/>
        </w:rPr>
        <w:t xml:space="preserve"> </w:t>
      </w:r>
      <w:r w:rsidR="00EB2BD8" w:rsidRPr="00EB2BD8">
        <w:rPr>
          <w:spacing w:val="-2"/>
        </w:rPr>
        <w:t>Claims</w:t>
      </w:r>
      <w:bookmarkEnd w:id="352"/>
    </w:p>
    <w:p w14:paraId="11A5070A" w14:textId="77777777" w:rsidR="00084F36" w:rsidRPr="00EB2BD8" w:rsidRDefault="00084F36">
      <w:pPr>
        <w:pStyle w:val="BodyText"/>
        <w:rPr>
          <w:rFonts w:ascii="Arial"/>
          <w:b/>
          <w:sz w:val="22"/>
        </w:rPr>
      </w:pPr>
    </w:p>
    <w:p w14:paraId="030BBA71" w14:textId="77777777" w:rsidR="00084F36" w:rsidRPr="00EB2BD8" w:rsidRDefault="00EB2BD8">
      <w:pPr>
        <w:spacing w:before="151"/>
        <w:ind w:left="1031"/>
        <w:rPr>
          <w:rFonts w:ascii="Arial"/>
          <w:sz w:val="16"/>
        </w:rPr>
      </w:pPr>
      <w:r w:rsidRPr="00EB2BD8">
        <w:rPr>
          <w:rFonts w:ascii="Arial"/>
          <w:w w:val="105"/>
          <w:sz w:val="16"/>
        </w:rPr>
        <w:t>Apart</w:t>
      </w:r>
      <w:r w:rsidRPr="00EB2BD8">
        <w:rPr>
          <w:rFonts w:ascii="Arial"/>
          <w:spacing w:val="-9"/>
          <w:w w:val="105"/>
          <w:sz w:val="16"/>
        </w:rPr>
        <w:t xml:space="preserve"> </w:t>
      </w:r>
      <w:r w:rsidRPr="00EB2BD8">
        <w:rPr>
          <w:rFonts w:ascii="Arial"/>
          <w:w w:val="105"/>
          <w:sz w:val="16"/>
        </w:rPr>
        <w:t>from</w:t>
      </w:r>
      <w:r w:rsidRPr="00EB2BD8">
        <w:rPr>
          <w:rFonts w:ascii="Arial"/>
          <w:spacing w:val="-7"/>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above,</w:t>
      </w:r>
      <w:r w:rsidRPr="00EB2BD8">
        <w:rPr>
          <w:rFonts w:ascii="Arial"/>
          <w:spacing w:val="-7"/>
          <w:w w:val="105"/>
          <w:sz w:val="16"/>
        </w:rPr>
        <w:t xml:space="preserve"> </w:t>
      </w:r>
      <w:r w:rsidRPr="00EB2BD8">
        <w:rPr>
          <w:rFonts w:ascii="Arial"/>
          <w:w w:val="105"/>
          <w:sz w:val="16"/>
        </w:rPr>
        <w:t>a</w:t>
      </w:r>
      <w:r w:rsidRPr="00EB2BD8">
        <w:rPr>
          <w:rFonts w:ascii="Arial"/>
          <w:spacing w:val="-7"/>
          <w:w w:val="105"/>
          <w:sz w:val="16"/>
        </w:rPr>
        <w:t xml:space="preserve"> </w:t>
      </w:r>
      <w:r w:rsidRPr="00EB2BD8">
        <w:rPr>
          <w:rFonts w:ascii="Arial"/>
          <w:w w:val="105"/>
          <w:sz w:val="16"/>
        </w:rPr>
        <w:t>number</w:t>
      </w:r>
      <w:r w:rsidRPr="00EB2BD8">
        <w:rPr>
          <w:rFonts w:ascii="Arial"/>
          <w:spacing w:val="-7"/>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potential</w:t>
      </w:r>
      <w:r w:rsidRPr="00EB2BD8">
        <w:rPr>
          <w:rFonts w:ascii="Arial"/>
          <w:spacing w:val="-6"/>
          <w:w w:val="105"/>
          <w:sz w:val="16"/>
        </w:rPr>
        <w:t xml:space="preserve"> </w:t>
      </w:r>
      <w:r w:rsidRPr="00EB2BD8">
        <w:rPr>
          <w:rFonts w:ascii="Arial"/>
          <w:w w:val="105"/>
          <w:sz w:val="16"/>
        </w:rPr>
        <w:t>obligations</w:t>
      </w:r>
      <w:r w:rsidRPr="00EB2BD8">
        <w:rPr>
          <w:rFonts w:ascii="Arial"/>
          <w:spacing w:val="-7"/>
          <w:w w:val="105"/>
          <w:sz w:val="16"/>
        </w:rPr>
        <w:t xml:space="preserve"> </w:t>
      </w:r>
      <w:r w:rsidRPr="00EB2BD8">
        <w:rPr>
          <w:rFonts w:ascii="Arial"/>
          <w:w w:val="105"/>
          <w:sz w:val="16"/>
        </w:rPr>
        <w:t>are</w:t>
      </w:r>
      <w:r w:rsidRPr="00EB2BD8">
        <w:rPr>
          <w:rFonts w:ascii="Arial"/>
          <w:spacing w:val="-7"/>
          <w:w w:val="105"/>
          <w:sz w:val="16"/>
        </w:rPr>
        <w:t xml:space="preserve"> </w:t>
      </w:r>
      <w:r w:rsidRPr="00EB2BD8">
        <w:rPr>
          <w:rFonts w:ascii="Arial"/>
          <w:w w:val="105"/>
          <w:sz w:val="16"/>
        </w:rPr>
        <w:t>non-quantifiable</w:t>
      </w:r>
      <w:r w:rsidRPr="00EB2BD8">
        <w:rPr>
          <w:rFonts w:ascii="Arial"/>
          <w:spacing w:val="-7"/>
          <w:w w:val="105"/>
          <w:sz w:val="16"/>
        </w:rPr>
        <w:t xml:space="preserve"> </w:t>
      </w:r>
      <w:r w:rsidRPr="00EB2BD8">
        <w:rPr>
          <w:rFonts w:ascii="Arial"/>
          <w:w w:val="105"/>
          <w:sz w:val="16"/>
        </w:rPr>
        <w:t>at</w:t>
      </w:r>
      <w:r w:rsidRPr="00EB2BD8">
        <w:rPr>
          <w:rFonts w:ascii="Arial"/>
          <w:spacing w:val="-7"/>
          <w:w w:val="105"/>
          <w:sz w:val="16"/>
        </w:rPr>
        <w:t xml:space="preserve"> </w:t>
      </w:r>
      <w:r w:rsidRPr="00EB2BD8">
        <w:rPr>
          <w:rFonts w:ascii="Arial"/>
          <w:w w:val="105"/>
          <w:sz w:val="16"/>
        </w:rPr>
        <w:t>this</w:t>
      </w:r>
      <w:r w:rsidRPr="00EB2BD8">
        <w:rPr>
          <w:rFonts w:ascii="Arial"/>
          <w:spacing w:val="-7"/>
          <w:w w:val="105"/>
          <w:sz w:val="16"/>
        </w:rPr>
        <w:t xml:space="preserve"> </w:t>
      </w:r>
      <w:r w:rsidRPr="00EB2BD8">
        <w:rPr>
          <w:rFonts w:ascii="Arial"/>
          <w:w w:val="105"/>
          <w:sz w:val="16"/>
        </w:rPr>
        <w:t>time</w:t>
      </w:r>
      <w:r w:rsidRPr="00EB2BD8">
        <w:rPr>
          <w:rFonts w:ascii="Arial"/>
          <w:spacing w:val="-7"/>
          <w:w w:val="105"/>
          <w:sz w:val="16"/>
        </w:rPr>
        <w:t xml:space="preserve"> </w:t>
      </w:r>
      <w:r w:rsidRPr="00EB2BD8">
        <w:rPr>
          <w:rFonts w:ascii="Arial"/>
          <w:w w:val="105"/>
          <w:sz w:val="16"/>
        </w:rPr>
        <w:t>arising</w:t>
      </w:r>
      <w:r w:rsidRPr="00EB2BD8">
        <w:rPr>
          <w:rFonts w:ascii="Arial"/>
          <w:spacing w:val="-6"/>
          <w:w w:val="105"/>
          <w:sz w:val="16"/>
        </w:rPr>
        <w:t xml:space="preserve"> </w:t>
      </w:r>
      <w:r w:rsidRPr="00EB2BD8">
        <w:rPr>
          <w:rFonts w:ascii="Arial"/>
          <w:spacing w:val="-4"/>
          <w:w w:val="105"/>
          <w:sz w:val="16"/>
        </w:rPr>
        <w:t>from:</w:t>
      </w:r>
    </w:p>
    <w:p w14:paraId="73FC302E" w14:textId="77777777" w:rsidR="00084F36" w:rsidRPr="00EB2BD8" w:rsidRDefault="00EB2BD8">
      <w:pPr>
        <w:pStyle w:val="ListParagraph"/>
        <w:numPr>
          <w:ilvl w:val="1"/>
          <w:numId w:val="33"/>
        </w:numPr>
        <w:tabs>
          <w:tab w:val="left" w:pos="1703"/>
        </w:tabs>
        <w:spacing w:before="151"/>
        <w:rPr>
          <w:rFonts w:ascii="Arial" w:hAnsi="Arial"/>
          <w:sz w:val="16"/>
        </w:rPr>
      </w:pPr>
      <w:r w:rsidRPr="00EB2BD8">
        <w:rPr>
          <w:rFonts w:ascii="Arial" w:hAnsi="Arial"/>
          <w:w w:val="105"/>
          <w:sz w:val="16"/>
        </w:rPr>
        <w:t>indemnities</w:t>
      </w:r>
      <w:r w:rsidRPr="00EB2BD8">
        <w:rPr>
          <w:rFonts w:ascii="Arial" w:hAnsi="Arial"/>
          <w:spacing w:val="-10"/>
          <w:w w:val="105"/>
          <w:sz w:val="16"/>
        </w:rPr>
        <w:t xml:space="preserve"> </w:t>
      </w:r>
      <w:r w:rsidRPr="00EB2BD8">
        <w:rPr>
          <w:rFonts w:ascii="Arial" w:hAnsi="Arial"/>
          <w:w w:val="105"/>
          <w:sz w:val="16"/>
        </w:rPr>
        <w:t>provided</w:t>
      </w:r>
      <w:r w:rsidRPr="00EB2BD8">
        <w:rPr>
          <w:rFonts w:ascii="Arial" w:hAnsi="Arial"/>
          <w:spacing w:val="-9"/>
          <w:w w:val="105"/>
          <w:sz w:val="16"/>
        </w:rPr>
        <w:t xml:space="preserve"> </w:t>
      </w:r>
      <w:r w:rsidRPr="00EB2BD8">
        <w:rPr>
          <w:rFonts w:ascii="Arial" w:hAnsi="Arial"/>
          <w:w w:val="105"/>
          <w:sz w:val="16"/>
        </w:rPr>
        <w:t>for</w:t>
      </w:r>
      <w:r w:rsidRPr="00EB2BD8">
        <w:rPr>
          <w:rFonts w:ascii="Arial" w:hAnsi="Arial"/>
          <w:spacing w:val="-9"/>
          <w:w w:val="105"/>
          <w:sz w:val="16"/>
        </w:rPr>
        <w:t xml:space="preserve"> </w:t>
      </w:r>
      <w:r w:rsidRPr="00EB2BD8">
        <w:rPr>
          <w:rFonts w:ascii="Arial" w:hAnsi="Arial"/>
          <w:w w:val="105"/>
          <w:sz w:val="16"/>
        </w:rPr>
        <w:t>directors</w:t>
      </w:r>
      <w:r w:rsidRPr="00EB2BD8">
        <w:rPr>
          <w:rFonts w:ascii="Arial" w:hAnsi="Arial"/>
          <w:spacing w:val="-10"/>
          <w:w w:val="105"/>
          <w:sz w:val="16"/>
        </w:rPr>
        <w:t xml:space="preserve"> </w:t>
      </w:r>
      <w:r w:rsidRPr="00EB2BD8">
        <w:rPr>
          <w:rFonts w:ascii="Arial" w:hAnsi="Arial"/>
          <w:w w:val="105"/>
          <w:sz w:val="16"/>
        </w:rPr>
        <w:t>and</w:t>
      </w:r>
      <w:r w:rsidRPr="00EB2BD8">
        <w:rPr>
          <w:rFonts w:ascii="Arial" w:hAnsi="Arial"/>
          <w:spacing w:val="-9"/>
          <w:w w:val="105"/>
          <w:sz w:val="16"/>
        </w:rPr>
        <w:t xml:space="preserve"> </w:t>
      </w:r>
      <w:r w:rsidRPr="00EB2BD8">
        <w:rPr>
          <w:rFonts w:ascii="Arial" w:hAnsi="Arial"/>
          <w:w w:val="105"/>
          <w:sz w:val="16"/>
        </w:rPr>
        <w:t>administrators;</w:t>
      </w:r>
      <w:r w:rsidRPr="00EB2BD8">
        <w:rPr>
          <w:rFonts w:ascii="Arial" w:hAnsi="Arial"/>
          <w:spacing w:val="-9"/>
          <w:w w:val="105"/>
          <w:sz w:val="16"/>
        </w:rPr>
        <w:t xml:space="preserve"> </w:t>
      </w:r>
      <w:r w:rsidRPr="00EB2BD8">
        <w:rPr>
          <w:rFonts w:ascii="Arial" w:hAnsi="Arial"/>
          <w:spacing w:val="-5"/>
          <w:w w:val="105"/>
          <w:sz w:val="16"/>
        </w:rPr>
        <w:t>and</w:t>
      </w:r>
    </w:p>
    <w:p w14:paraId="2CD13838" w14:textId="77777777" w:rsidR="00084F36" w:rsidRPr="00EB2BD8" w:rsidRDefault="00EB2BD8">
      <w:pPr>
        <w:pStyle w:val="ListParagraph"/>
        <w:numPr>
          <w:ilvl w:val="1"/>
          <w:numId w:val="33"/>
        </w:numPr>
        <w:tabs>
          <w:tab w:val="left" w:pos="1703"/>
        </w:tabs>
        <w:spacing w:before="149"/>
        <w:rPr>
          <w:rFonts w:ascii="Arial" w:hAnsi="Arial"/>
          <w:sz w:val="16"/>
        </w:rPr>
      </w:pPr>
      <w:r w:rsidRPr="00EB2BD8">
        <w:rPr>
          <w:rFonts w:ascii="Arial" w:hAnsi="Arial"/>
          <w:w w:val="105"/>
          <w:sz w:val="16"/>
        </w:rPr>
        <w:t>unclaimed</w:t>
      </w:r>
      <w:r w:rsidRPr="00EB2BD8">
        <w:rPr>
          <w:rFonts w:ascii="Arial" w:hAnsi="Arial"/>
          <w:spacing w:val="-7"/>
          <w:w w:val="105"/>
          <w:sz w:val="16"/>
        </w:rPr>
        <w:t xml:space="preserve"> </w:t>
      </w:r>
      <w:r w:rsidRPr="00EB2BD8">
        <w:rPr>
          <w:rFonts w:ascii="Arial" w:hAnsi="Arial"/>
          <w:w w:val="105"/>
          <w:sz w:val="16"/>
        </w:rPr>
        <w:t>monies</w:t>
      </w:r>
      <w:r w:rsidRPr="00EB2BD8">
        <w:rPr>
          <w:rFonts w:ascii="Arial" w:hAnsi="Arial"/>
          <w:spacing w:val="-6"/>
          <w:w w:val="105"/>
          <w:sz w:val="16"/>
        </w:rPr>
        <w:t xml:space="preserve"> </w:t>
      </w:r>
      <w:r w:rsidRPr="00EB2BD8">
        <w:rPr>
          <w:rFonts w:ascii="Arial" w:hAnsi="Arial"/>
          <w:w w:val="105"/>
          <w:sz w:val="16"/>
        </w:rPr>
        <w:t>which</w:t>
      </w:r>
      <w:r w:rsidRPr="00EB2BD8">
        <w:rPr>
          <w:rFonts w:ascii="Arial" w:hAnsi="Arial"/>
          <w:spacing w:val="-6"/>
          <w:w w:val="105"/>
          <w:sz w:val="16"/>
        </w:rPr>
        <w:t xml:space="preserve"> </w:t>
      </w:r>
      <w:r w:rsidRPr="00EB2BD8">
        <w:rPr>
          <w:rFonts w:ascii="Arial" w:hAnsi="Arial"/>
          <w:w w:val="105"/>
          <w:sz w:val="16"/>
        </w:rPr>
        <w:t>may</w:t>
      </w:r>
      <w:r w:rsidRPr="00EB2BD8">
        <w:rPr>
          <w:rFonts w:ascii="Arial" w:hAnsi="Arial"/>
          <w:spacing w:val="-5"/>
          <w:w w:val="105"/>
          <w:sz w:val="16"/>
        </w:rPr>
        <w:t xml:space="preserve"> </w:t>
      </w:r>
      <w:r w:rsidRPr="00EB2BD8">
        <w:rPr>
          <w:rFonts w:ascii="Arial" w:hAnsi="Arial"/>
          <w:w w:val="105"/>
          <w:sz w:val="16"/>
        </w:rPr>
        <w:t>be</w:t>
      </w:r>
      <w:r w:rsidRPr="00EB2BD8">
        <w:rPr>
          <w:rFonts w:ascii="Arial" w:hAnsi="Arial"/>
          <w:spacing w:val="-6"/>
          <w:w w:val="105"/>
          <w:sz w:val="16"/>
        </w:rPr>
        <w:t xml:space="preserve"> </w:t>
      </w:r>
      <w:r w:rsidRPr="00EB2BD8">
        <w:rPr>
          <w:rFonts w:ascii="Arial" w:hAnsi="Arial"/>
          <w:w w:val="105"/>
          <w:sz w:val="16"/>
        </w:rPr>
        <w:t>subject</w:t>
      </w:r>
      <w:r w:rsidRPr="00EB2BD8">
        <w:rPr>
          <w:rFonts w:ascii="Arial" w:hAnsi="Arial"/>
          <w:spacing w:val="-6"/>
          <w:w w:val="105"/>
          <w:sz w:val="16"/>
        </w:rPr>
        <w:t xml:space="preserve"> </w:t>
      </w:r>
      <w:r w:rsidRPr="00EB2BD8">
        <w:rPr>
          <w:rFonts w:ascii="Arial" w:hAnsi="Arial"/>
          <w:w w:val="105"/>
          <w:sz w:val="16"/>
        </w:rPr>
        <w:t>to</w:t>
      </w:r>
      <w:r w:rsidRPr="00EB2BD8">
        <w:rPr>
          <w:rFonts w:ascii="Arial" w:hAnsi="Arial"/>
          <w:spacing w:val="-6"/>
          <w:w w:val="105"/>
          <w:sz w:val="16"/>
        </w:rPr>
        <w:t xml:space="preserve"> </w:t>
      </w:r>
      <w:r w:rsidRPr="00EB2BD8">
        <w:rPr>
          <w:rFonts w:ascii="Arial" w:hAnsi="Arial"/>
          <w:w w:val="105"/>
          <w:sz w:val="16"/>
        </w:rPr>
        <w:t>future</w:t>
      </w:r>
      <w:r w:rsidRPr="00EB2BD8">
        <w:rPr>
          <w:rFonts w:ascii="Arial" w:hAnsi="Arial"/>
          <w:spacing w:val="-6"/>
          <w:w w:val="105"/>
          <w:sz w:val="16"/>
        </w:rPr>
        <w:t xml:space="preserve"> </w:t>
      </w:r>
      <w:r w:rsidRPr="00EB2BD8">
        <w:rPr>
          <w:rFonts w:ascii="Arial" w:hAnsi="Arial"/>
          <w:w w:val="105"/>
          <w:sz w:val="16"/>
        </w:rPr>
        <w:t>claims</w:t>
      </w:r>
      <w:r w:rsidRPr="00EB2BD8">
        <w:rPr>
          <w:rFonts w:ascii="Arial" w:hAnsi="Arial"/>
          <w:spacing w:val="-6"/>
          <w:w w:val="105"/>
          <w:sz w:val="16"/>
        </w:rPr>
        <w:t xml:space="preserve"> </w:t>
      </w:r>
      <w:r w:rsidRPr="00EB2BD8">
        <w:rPr>
          <w:rFonts w:ascii="Arial" w:hAnsi="Arial"/>
          <w:w w:val="105"/>
          <w:sz w:val="16"/>
        </w:rPr>
        <w:t>by</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7"/>
          <w:w w:val="105"/>
          <w:sz w:val="16"/>
        </w:rPr>
        <w:t xml:space="preserve"> </w:t>
      </w:r>
      <w:r w:rsidRPr="00EB2BD8">
        <w:rPr>
          <w:rFonts w:ascii="Arial" w:hAnsi="Arial"/>
          <w:w w:val="105"/>
          <w:sz w:val="16"/>
        </w:rPr>
        <w:t>general</w:t>
      </w:r>
      <w:r w:rsidRPr="00EB2BD8">
        <w:rPr>
          <w:rFonts w:ascii="Arial" w:hAnsi="Arial"/>
          <w:spacing w:val="-6"/>
          <w:w w:val="105"/>
          <w:sz w:val="16"/>
        </w:rPr>
        <w:t xml:space="preserve"> </w:t>
      </w:r>
      <w:r w:rsidRPr="00EB2BD8">
        <w:rPr>
          <w:rFonts w:ascii="Arial" w:hAnsi="Arial"/>
          <w:w w:val="105"/>
          <w:sz w:val="16"/>
        </w:rPr>
        <w:t>public</w:t>
      </w:r>
      <w:r w:rsidRPr="00EB2BD8">
        <w:rPr>
          <w:rFonts w:ascii="Arial" w:hAnsi="Arial"/>
          <w:spacing w:val="-6"/>
          <w:w w:val="105"/>
          <w:sz w:val="16"/>
        </w:rPr>
        <w:t xml:space="preserve"> </w:t>
      </w:r>
      <w:r w:rsidRPr="00EB2BD8">
        <w:rPr>
          <w:rFonts w:ascii="Arial" w:hAnsi="Arial"/>
          <w:w w:val="105"/>
          <w:sz w:val="16"/>
        </w:rPr>
        <w:t>against</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spacing w:val="-2"/>
          <w:w w:val="105"/>
          <w:sz w:val="16"/>
        </w:rPr>
        <w:t>State.</w:t>
      </w:r>
    </w:p>
    <w:p w14:paraId="71668F49" w14:textId="77777777" w:rsidR="00084F36" w:rsidRPr="00EB2BD8" w:rsidRDefault="00084F36">
      <w:pPr>
        <w:pStyle w:val="BodyText"/>
        <w:rPr>
          <w:rFonts w:ascii="Arial"/>
          <w:sz w:val="20"/>
        </w:rPr>
      </w:pPr>
    </w:p>
    <w:p w14:paraId="0693E6A6" w14:textId="77777777" w:rsidR="00084F36" w:rsidRPr="007A74E8" w:rsidRDefault="00084F36" w:rsidP="007A74E8">
      <w:pPr>
        <w:pStyle w:val="Heading2"/>
      </w:pPr>
    </w:p>
    <w:p w14:paraId="73041CFB" w14:textId="2EBB5189" w:rsidR="00084F36" w:rsidRPr="007A74E8" w:rsidRDefault="007A74E8" w:rsidP="007A74E8">
      <w:pPr>
        <w:pStyle w:val="Heading2"/>
      </w:pPr>
      <w:r>
        <w:t xml:space="preserve">   </w:t>
      </w:r>
      <w:bookmarkStart w:id="353" w:name="_Toc150762655"/>
      <w:r>
        <w:t xml:space="preserve">7.3 </w:t>
      </w:r>
      <w:r w:rsidR="00394A93">
        <w:t>F</w:t>
      </w:r>
      <w:r w:rsidR="00394A93" w:rsidRPr="007A74E8">
        <w:t>air value determination</w:t>
      </w:r>
      <w:bookmarkEnd w:id="353"/>
    </w:p>
    <w:p w14:paraId="7FD8CF9A" w14:textId="77777777" w:rsidR="00084F36" w:rsidRPr="00EB2BD8" w:rsidRDefault="00084F36">
      <w:pPr>
        <w:pStyle w:val="BodyText"/>
        <w:spacing w:before="5"/>
        <w:rPr>
          <w:rFonts w:ascii="Arial"/>
          <w:b/>
          <w:sz w:val="31"/>
        </w:rPr>
      </w:pPr>
    </w:p>
    <w:p w14:paraId="3BA1420E" w14:textId="77777777" w:rsidR="00084F36" w:rsidRPr="007A74E8" w:rsidRDefault="00EB2BD8" w:rsidP="007A74E8">
      <w:pPr>
        <w:pStyle w:val="Heading3"/>
        <w:ind w:firstLine="181"/>
      </w:pPr>
      <w:bookmarkStart w:id="354" w:name="_Toc150762656"/>
      <w:r w:rsidRPr="007A74E8">
        <w:t>Significant judgment: Fair value measurements of assets and liabilities.</w:t>
      </w:r>
      <w:bookmarkEnd w:id="354"/>
    </w:p>
    <w:p w14:paraId="346FD759" w14:textId="77777777" w:rsidR="00084F36" w:rsidRPr="00EB2BD8" w:rsidRDefault="00EB2BD8">
      <w:pPr>
        <w:spacing w:before="156" w:line="290" w:lineRule="auto"/>
        <w:ind w:left="1031" w:right="1813"/>
        <w:rPr>
          <w:rFonts w:ascii="Arial"/>
          <w:sz w:val="16"/>
        </w:rPr>
      </w:pPr>
      <w:r w:rsidRPr="00EB2BD8">
        <w:rPr>
          <w:rFonts w:ascii="Arial"/>
          <w:w w:val="105"/>
          <w:sz w:val="16"/>
        </w:rPr>
        <w:t>Fair value determination requires judgement and the use of assumptions. This section discloses the most significant assumptions</w:t>
      </w:r>
      <w:r w:rsidRPr="00EB2BD8">
        <w:rPr>
          <w:rFonts w:ascii="Arial"/>
          <w:spacing w:val="-3"/>
          <w:w w:val="105"/>
          <w:sz w:val="16"/>
        </w:rPr>
        <w:t xml:space="preserve"> </w:t>
      </w:r>
      <w:r w:rsidRPr="00EB2BD8">
        <w:rPr>
          <w:rFonts w:ascii="Arial"/>
          <w:w w:val="105"/>
          <w:sz w:val="16"/>
        </w:rPr>
        <w:t>used</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determining</w:t>
      </w:r>
      <w:r w:rsidRPr="00EB2BD8">
        <w:rPr>
          <w:rFonts w:ascii="Arial"/>
          <w:spacing w:val="-3"/>
          <w:w w:val="105"/>
          <w:sz w:val="16"/>
        </w:rPr>
        <w:t xml:space="preserve"> </w:t>
      </w:r>
      <w:r w:rsidRPr="00EB2BD8">
        <w:rPr>
          <w:rFonts w:ascii="Arial"/>
          <w:w w:val="105"/>
          <w:sz w:val="16"/>
        </w:rPr>
        <w:t>fair</w:t>
      </w:r>
      <w:r w:rsidRPr="00EB2BD8">
        <w:rPr>
          <w:rFonts w:ascii="Arial"/>
          <w:spacing w:val="-3"/>
          <w:w w:val="105"/>
          <w:sz w:val="16"/>
        </w:rPr>
        <w:t xml:space="preserve"> </w:t>
      </w:r>
      <w:r w:rsidRPr="00EB2BD8">
        <w:rPr>
          <w:rFonts w:ascii="Arial"/>
          <w:w w:val="105"/>
          <w:sz w:val="16"/>
        </w:rPr>
        <w:t>values.</w:t>
      </w:r>
      <w:r w:rsidRPr="00EB2BD8">
        <w:rPr>
          <w:rFonts w:ascii="Arial"/>
          <w:spacing w:val="-3"/>
          <w:w w:val="105"/>
          <w:sz w:val="16"/>
        </w:rPr>
        <w:t xml:space="preserve"> </w:t>
      </w:r>
      <w:r w:rsidRPr="00EB2BD8">
        <w:rPr>
          <w:rFonts w:ascii="Arial"/>
          <w:w w:val="105"/>
          <w:sz w:val="16"/>
        </w:rPr>
        <w:t>Changes</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assumptions</w:t>
      </w:r>
      <w:r w:rsidRPr="00EB2BD8">
        <w:rPr>
          <w:rFonts w:ascii="Arial"/>
          <w:spacing w:val="-3"/>
          <w:w w:val="105"/>
          <w:sz w:val="16"/>
        </w:rPr>
        <w:t xml:space="preserve"> </w:t>
      </w:r>
      <w:r w:rsidRPr="00EB2BD8">
        <w:rPr>
          <w:rFonts w:ascii="Arial"/>
          <w:w w:val="105"/>
          <w:sz w:val="16"/>
        </w:rPr>
        <w:t>could</w:t>
      </w:r>
      <w:r w:rsidRPr="00EB2BD8">
        <w:rPr>
          <w:rFonts w:ascii="Arial"/>
          <w:spacing w:val="-3"/>
          <w:w w:val="105"/>
          <w:sz w:val="16"/>
        </w:rPr>
        <w:t xml:space="preserve"> </w:t>
      </w:r>
      <w:r w:rsidRPr="00EB2BD8">
        <w:rPr>
          <w:rFonts w:ascii="Arial"/>
          <w:w w:val="105"/>
          <w:sz w:val="16"/>
        </w:rPr>
        <w:t>have</w:t>
      </w:r>
      <w:r w:rsidRPr="00EB2BD8">
        <w:rPr>
          <w:rFonts w:ascii="Arial"/>
          <w:spacing w:val="-3"/>
          <w:w w:val="105"/>
          <w:sz w:val="16"/>
        </w:rPr>
        <w:t xml:space="preserve"> </w:t>
      </w:r>
      <w:r w:rsidRPr="00EB2BD8">
        <w:rPr>
          <w:rFonts w:ascii="Arial"/>
          <w:w w:val="105"/>
          <w:sz w:val="16"/>
        </w:rPr>
        <w:t>a</w:t>
      </w:r>
      <w:r w:rsidRPr="00EB2BD8">
        <w:rPr>
          <w:rFonts w:ascii="Arial"/>
          <w:spacing w:val="-3"/>
          <w:w w:val="105"/>
          <w:sz w:val="16"/>
        </w:rPr>
        <w:t xml:space="preserve"> </w:t>
      </w:r>
      <w:r w:rsidRPr="00EB2BD8">
        <w:rPr>
          <w:rFonts w:ascii="Arial"/>
          <w:w w:val="105"/>
          <w:sz w:val="16"/>
        </w:rPr>
        <w:t>material</w:t>
      </w:r>
      <w:r w:rsidRPr="00EB2BD8">
        <w:rPr>
          <w:rFonts w:ascii="Arial"/>
          <w:spacing w:val="-3"/>
          <w:w w:val="105"/>
          <w:sz w:val="16"/>
        </w:rPr>
        <w:t xml:space="preserve"> </w:t>
      </w:r>
      <w:r w:rsidRPr="00EB2BD8">
        <w:rPr>
          <w:rFonts w:ascii="Arial"/>
          <w:w w:val="105"/>
          <w:sz w:val="16"/>
        </w:rPr>
        <w:t>impact</w:t>
      </w:r>
      <w:r w:rsidRPr="00EB2BD8">
        <w:rPr>
          <w:rFonts w:ascii="Arial"/>
          <w:spacing w:val="-3"/>
          <w:w w:val="105"/>
          <w:sz w:val="16"/>
        </w:rPr>
        <w:t xml:space="preserve"> </w:t>
      </w:r>
      <w:r w:rsidRPr="00EB2BD8">
        <w:rPr>
          <w:rFonts w:ascii="Arial"/>
          <w:w w:val="105"/>
          <w:sz w:val="16"/>
        </w:rPr>
        <w:t>on</w:t>
      </w:r>
      <w:r w:rsidRPr="00EB2BD8">
        <w:rPr>
          <w:rFonts w:ascii="Arial"/>
          <w:spacing w:val="-2"/>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results</w:t>
      </w:r>
      <w:r w:rsidRPr="00EB2BD8">
        <w:rPr>
          <w:rFonts w:ascii="Arial"/>
          <w:spacing w:val="-3"/>
          <w:w w:val="105"/>
          <w:sz w:val="16"/>
        </w:rPr>
        <w:t xml:space="preserve"> </w:t>
      </w:r>
      <w:r w:rsidRPr="00EB2BD8">
        <w:rPr>
          <w:rFonts w:ascii="Arial"/>
          <w:w w:val="105"/>
          <w:sz w:val="16"/>
        </w:rPr>
        <w:t>and financial position of the VBA.</w:t>
      </w:r>
    </w:p>
    <w:p w14:paraId="41A53704" w14:textId="77777777" w:rsidR="00084F36" w:rsidRPr="00EB2BD8" w:rsidRDefault="00084F36">
      <w:pPr>
        <w:pStyle w:val="BodyText"/>
        <w:spacing w:before="3"/>
        <w:rPr>
          <w:rFonts w:ascii="Arial"/>
          <w:sz w:val="19"/>
        </w:rPr>
      </w:pPr>
    </w:p>
    <w:p w14:paraId="7A3C6B71" w14:textId="77777777" w:rsidR="00084F36" w:rsidRPr="00EB2BD8" w:rsidRDefault="00EB2BD8">
      <w:pPr>
        <w:spacing w:line="290" w:lineRule="auto"/>
        <w:ind w:left="1031" w:right="1516"/>
        <w:jc w:val="both"/>
        <w:rPr>
          <w:rFonts w:ascii="Arial"/>
          <w:sz w:val="16"/>
        </w:rPr>
      </w:pPr>
      <w:r w:rsidRPr="00EB2BD8">
        <w:rPr>
          <w:rFonts w:ascii="Arial"/>
          <w:w w:val="105"/>
          <w:sz w:val="16"/>
        </w:rPr>
        <w:t>This section sets out information on how the VBA determined fair value for financial reporting purposes. Fair value is the price that</w:t>
      </w:r>
      <w:r w:rsidRPr="00EB2BD8">
        <w:rPr>
          <w:rFonts w:ascii="Arial"/>
          <w:spacing w:val="-2"/>
          <w:w w:val="105"/>
          <w:sz w:val="16"/>
        </w:rPr>
        <w:t xml:space="preserve"> </w:t>
      </w:r>
      <w:r w:rsidRPr="00EB2BD8">
        <w:rPr>
          <w:rFonts w:ascii="Arial"/>
          <w:w w:val="105"/>
          <w:sz w:val="16"/>
        </w:rPr>
        <w:t>would</w:t>
      </w:r>
      <w:r w:rsidRPr="00EB2BD8">
        <w:rPr>
          <w:rFonts w:ascii="Arial"/>
          <w:spacing w:val="-2"/>
          <w:w w:val="105"/>
          <w:sz w:val="16"/>
        </w:rPr>
        <w:t xml:space="preserve"> </w:t>
      </w:r>
      <w:r w:rsidRPr="00EB2BD8">
        <w:rPr>
          <w:rFonts w:ascii="Arial"/>
          <w:w w:val="105"/>
          <w:sz w:val="16"/>
        </w:rPr>
        <w:t>be</w:t>
      </w:r>
      <w:r w:rsidRPr="00EB2BD8">
        <w:rPr>
          <w:rFonts w:ascii="Arial"/>
          <w:spacing w:val="-2"/>
          <w:w w:val="105"/>
          <w:sz w:val="16"/>
        </w:rPr>
        <w:t xml:space="preserve"> </w:t>
      </w:r>
      <w:r w:rsidRPr="00EB2BD8">
        <w:rPr>
          <w:rFonts w:ascii="Arial"/>
          <w:w w:val="105"/>
          <w:sz w:val="16"/>
        </w:rPr>
        <w:t>received</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sell</w:t>
      </w:r>
      <w:r w:rsidRPr="00EB2BD8">
        <w:rPr>
          <w:rFonts w:ascii="Arial"/>
          <w:spacing w:val="-1"/>
          <w:w w:val="105"/>
          <w:sz w:val="16"/>
        </w:rPr>
        <w:t xml:space="preserve"> </w:t>
      </w:r>
      <w:r w:rsidRPr="00EB2BD8">
        <w:rPr>
          <w:rFonts w:ascii="Arial"/>
          <w:w w:val="105"/>
          <w:sz w:val="16"/>
        </w:rPr>
        <w:t>an</w:t>
      </w:r>
      <w:r w:rsidRPr="00EB2BD8">
        <w:rPr>
          <w:rFonts w:ascii="Arial"/>
          <w:spacing w:val="-2"/>
          <w:w w:val="105"/>
          <w:sz w:val="16"/>
        </w:rPr>
        <w:t xml:space="preserve"> </w:t>
      </w:r>
      <w:r w:rsidRPr="00EB2BD8">
        <w:rPr>
          <w:rFonts w:ascii="Arial"/>
          <w:w w:val="105"/>
          <w:sz w:val="16"/>
        </w:rPr>
        <w:t>asset</w:t>
      </w:r>
      <w:r w:rsidRPr="00EB2BD8">
        <w:rPr>
          <w:rFonts w:ascii="Arial"/>
          <w:spacing w:val="-2"/>
          <w:w w:val="105"/>
          <w:sz w:val="16"/>
        </w:rPr>
        <w:t xml:space="preserve"> </w:t>
      </w:r>
      <w:r w:rsidRPr="00EB2BD8">
        <w:rPr>
          <w:rFonts w:ascii="Arial"/>
          <w:w w:val="105"/>
          <w:sz w:val="16"/>
        </w:rPr>
        <w:t>or</w:t>
      </w:r>
      <w:r w:rsidRPr="00EB2BD8">
        <w:rPr>
          <w:rFonts w:ascii="Arial"/>
          <w:spacing w:val="-2"/>
          <w:w w:val="105"/>
          <w:sz w:val="16"/>
        </w:rPr>
        <w:t xml:space="preserve"> </w:t>
      </w:r>
      <w:r w:rsidRPr="00EB2BD8">
        <w:rPr>
          <w:rFonts w:ascii="Arial"/>
          <w:w w:val="105"/>
          <w:sz w:val="16"/>
        </w:rPr>
        <w:t>paid</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transfer</w:t>
      </w:r>
      <w:r w:rsidRPr="00EB2BD8">
        <w:rPr>
          <w:rFonts w:ascii="Arial"/>
          <w:spacing w:val="-2"/>
          <w:w w:val="105"/>
          <w:sz w:val="16"/>
        </w:rPr>
        <w:t xml:space="preserve"> </w:t>
      </w:r>
      <w:r w:rsidRPr="00EB2BD8">
        <w:rPr>
          <w:rFonts w:ascii="Arial"/>
          <w:w w:val="105"/>
          <w:sz w:val="16"/>
        </w:rPr>
        <w:t>a</w:t>
      </w:r>
      <w:r w:rsidRPr="00EB2BD8">
        <w:rPr>
          <w:rFonts w:ascii="Arial"/>
          <w:spacing w:val="-2"/>
          <w:w w:val="105"/>
          <w:sz w:val="16"/>
        </w:rPr>
        <w:t xml:space="preserve"> </w:t>
      </w:r>
      <w:r w:rsidRPr="00EB2BD8">
        <w:rPr>
          <w:rFonts w:ascii="Arial"/>
          <w:w w:val="105"/>
          <w:sz w:val="16"/>
        </w:rPr>
        <w:t>liability</w:t>
      </w:r>
      <w:r w:rsidRPr="00EB2BD8">
        <w:rPr>
          <w:rFonts w:ascii="Arial"/>
          <w:spacing w:val="-2"/>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an</w:t>
      </w:r>
      <w:r w:rsidRPr="00EB2BD8">
        <w:rPr>
          <w:rFonts w:ascii="Arial"/>
          <w:spacing w:val="-2"/>
          <w:w w:val="105"/>
          <w:sz w:val="16"/>
        </w:rPr>
        <w:t xml:space="preserve"> </w:t>
      </w:r>
      <w:r w:rsidRPr="00EB2BD8">
        <w:rPr>
          <w:rFonts w:ascii="Arial"/>
          <w:w w:val="105"/>
          <w:sz w:val="16"/>
        </w:rPr>
        <w:t>orderly</w:t>
      </w:r>
      <w:r w:rsidRPr="00EB2BD8">
        <w:rPr>
          <w:rFonts w:ascii="Arial"/>
          <w:spacing w:val="-2"/>
          <w:w w:val="105"/>
          <w:sz w:val="16"/>
        </w:rPr>
        <w:t xml:space="preserve"> </w:t>
      </w:r>
      <w:r w:rsidRPr="00EB2BD8">
        <w:rPr>
          <w:rFonts w:ascii="Arial"/>
          <w:w w:val="105"/>
          <w:sz w:val="16"/>
        </w:rPr>
        <w:t>transaction</w:t>
      </w:r>
      <w:r w:rsidRPr="00EB2BD8">
        <w:rPr>
          <w:rFonts w:ascii="Arial"/>
          <w:spacing w:val="-2"/>
          <w:w w:val="105"/>
          <w:sz w:val="16"/>
        </w:rPr>
        <w:t xml:space="preserve"> </w:t>
      </w:r>
      <w:r w:rsidRPr="00EB2BD8">
        <w:rPr>
          <w:rFonts w:ascii="Arial"/>
          <w:w w:val="105"/>
          <w:sz w:val="16"/>
        </w:rPr>
        <w:t>between</w:t>
      </w:r>
      <w:r w:rsidRPr="00EB2BD8">
        <w:rPr>
          <w:rFonts w:ascii="Arial"/>
          <w:spacing w:val="-2"/>
          <w:w w:val="105"/>
          <w:sz w:val="16"/>
        </w:rPr>
        <w:t xml:space="preserve"> </w:t>
      </w:r>
      <w:r w:rsidRPr="00EB2BD8">
        <w:rPr>
          <w:rFonts w:ascii="Arial"/>
          <w:w w:val="105"/>
          <w:sz w:val="16"/>
        </w:rPr>
        <w:t>market</w:t>
      </w:r>
      <w:r w:rsidRPr="00EB2BD8">
        <w:rPr>
          <w:rFonts w:ascii="Arial"/>
          <w:spacing w:val="-2"/>
          <w:w w:val="105"/>
          <w:sz w:val="16"/>
        </w:rPr>
        <w:t xml:space="preserve"> </w:t>
      </w:r>
      <w:r w:rsidRPr="00EB2BD8">
        <w:rPr>
          <w:rFonts w:ascii="Arial"/>
          <w:w w:val="105"/>
          <w:sz w:val="16"/>
        </w:rPr>
        <w:t>participants at</w:t>
      </w:r>
      <w:r w:rsidRPr="00EB2BD8">
        <w:rPr>
          <w:rFonts w:ascii="Arial"/>
          <w:spacing w:val="-2"/>
          <w:w w:val="105"/>
          <w:sz w:val="16"/>
        </w:rPr>
        <w:t xml:space="preserve"> </w:t>
      </w:r>
      <w:r w:rsidRPr="00EB2BD8">
        <w:rPr>
          <w:rFonts w:ascii="Arial"/>
          <w:w w:val="105"/>
          <w:sz w:val="16"/>
        </w:rPr>
        <w:t>the measurement date.</w:t>
      </w:r>
    </w:p>
    <w:p w14:paraId="7AF2C9D4" w14:textId="77777777" w:rsidR="00084F36" w:rsidRPr="00EB2BD8" w:rsidRDefault="00084F36">
      <w:pPr>
        <w:pStyle w:val="BodyText"/>
        <w:spacing w:before="1"/>
        <w:rPr>
          <w:rFonts w:ascii="Arial"/>
          <w:sz w:val="19"/>
        </w:rPr>
      </w:pPr>
    </w:p>
    <w:p w14:paraId="4F35CCEA" w14:textId="77777777" w:rsidR="00084F36" w:rsidRPr="00EB2BD8" w:rsidRDefault="00EB2BD8">
      <w:pPr>
        <w:spacing w:before="1"/>
        <w:ind w:left="1031"/>
        <w:rPr>
          <w:rFonts w:ascii="Arial"/>
          <w:sz w:val="16"/>
        </w:rPr>
      </w:pPr>
      <w:r w:rsidRPr="00EB2BD8">
        <w:rPr>
          <w:rFonts w:ascii="Arial"/>
          <w:w w:val="105"/>
          <w:sz w:val="16"/>
        </w:rPr>
        <w:t>The</w:t>
      </w:r>
      <w:r w:rsidRPr="00EB2BD8">
        <w:rPr>
          <w:rFonts w:ascii="Arial"/>
          <w:spacing w:val="-7"/>
          <w:w w:val="105"/>
          <w:sz w:val="16"/>
        </w:rPr>
        <w:t xml:space="preserve"> </w:t>
      </w:r>
      <w:r w:rsidRPr="00EB2BD8">
        <w:rPr>
          <w:rFonts w:ascii="Arial"/>
          <w:w w:val="105"/>
          <w:sz w:val="16"/>
        </w:rPr>
        <w:t>following</w:t>
      </w:r>
      <w:r w:rsidRPr="00EB2BD8">
        <w:rPr>
          <w:rFonts w:ascii="Arial"/>
          <w:spacing w:val="-6"/>
          <w:w w:val="105"/>
          <w:sz w:val="16"/>
        </w:rPr>
        <w:t xml:space="preserve"> </w:t>
      </w:r>
      <w:r w:rsidRPr="00EB2BD8">
        <w:rPr>
          <w:rFonts w:ascii="Arial"/>
          <w:w w:val="105"/>
          <w:sz w:val="16"/>
        </w:rPr>
        <w:t>assets</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liabilities</w:t>
      </w:r>
      <w:r w:rsidRPr="00EB2BD8">
        <w:rPr>
          <w:rFonts w:ascii="Arial"/>
          <w:spacing w:val="-7"/>
          <w:w w:val="105"/>
          <w:sz w:val="16"/>
        </w:rPr>
        <w:t xml:space="preserve"> </w:t>
      </w:r>
      <w:r w:rsidRPr="00EB2BD8">
        <w:rPr>
          <w:rFonts w:ascii="Arial"/>
          <w:w w:val="105"/>
          <w:sz w:val="16"/>
        </w:rPr>
        <w:t>are</w:t>
      </w:r>
      <w:r w:rsidRPr="00EB2BD8">
        <w:rPr>
          <w:rFonts w:ascii="Arial"/>
          <w:spacing w:val="-6"/>
          <w:w w:val="105"/>
          <w:sz w:val="16"/>
        </w:rPr>
        <w:t xml:space="preserve"> </w:t>
      </w:r>
      <w:r w:rsidRPr="00EB2BD8">
        <w:rPr>
          <w:rFonts w:ascii="Arial"/>
          <w:w w:val="105"/>
          <w:sz w:val="16"/>
        </w:rPr>
        <w:t>carried</w:t>
      </w:r>
      <w:r w:rsidRPr="00EB2BD8">
        <w:rPr>
          <w:rFonts w:ascii="Arial"/>
          <w:spacing w:val="-5"/>
          <w:w w:val="105"/>
          <w:sz w:val="16"/>
        </w:rPr>
        <w:t xml:space="preserve"> </w:t>
      </w:r>
      <w:r w:rsidRPr="00EB2BD8">
        <w:rPr>
          <w:rFonts w:ascii="Arial"/>
          <w:w w:val="105"/>
          <w:sz w:val="16"/>
        </w:rPr>
        <w:t>at</w:t>
      </w:r>
      <w:r w:rsidRPr="00EB2BD8">
        <w:rPr>
          <w:rFonts w:ascii="Arial"/>
          <w:spacing w:val="-6"/>
          <w:w w:val="105"/>
          <w:sz w:val="16"/>
        </w:rPr>
        <w:t xml:space="preserve"> </w:t>
      </w:r>
      <w:r w:rsidRPr="00EB2BD8">
        <w:rPr>
          <w:rFonts w:ascii="Arial"/>
          <w:w w:val="105"/>
          <w:sz w:val="16"/>
        </w:rPr>
        <w:t>fair</w:t>
      </w:r>
      <w:r w:rsidRPr="00EB2BD8">
        <w:rPr>
          <w:rFonts w:ascii="Arial"/>
          <w:spacing w:val="-7"/>
          <w:w w:val="105"/>
          <w:sz w:val="16"/>
        </w:rPr>
        <w:t xml:space="preserve"> </w:t>
      </w:r>
      <w:r w:rsidRPr="00EB2BD8">
        <w:rPr>
          <w:rFonts w:ascii="Arial"/>
          <w:spacing w:val="-2"/>
          <w:w w:val="105"/>
          <w:sz w:val="16"/>
        </w:rPr>
        <w:t>value:</w:t>
      </w:r>
    </w:p>
    <w:p w14:paraId="5E03136F" w14:textId="77777777" w:rsidR="00084F36" w:rsidRPr="00EB2BD8" w:rsidRDefault="00EB2BD8">
      <w:pPr>
        <w:pStyle w:val="ListParagraph"/>
        <w:numPr>
          <w:ilvl w:val="0"/>
          <w:numId w:val="32"/>
        </w:numPr>
        <w:tabs>
          <w:tab w:val="left" w:pos="1703"/>
        </w:tabs>
        <w:spacing w:before="39"/>
        <w:rPr>
          <w:rFonts w:ascii="Arial" w:hAnsi="Arial"/>
          <w:sz w:val="16"/>
        </w:rPr>
      </w:pPr>
      <w:r w:rsidRPr="00EB2BD8">
        <w:rPr>
          <w:rFonts w:ascii="Arial" w:hAnsi="Arial"/>
          <w:spacing w:val="-4"/>
          <w:w w:val="105"/>
          <w:sz w:val="16"/>
        </w:rPr>
        <w:t>land,</w:t>
      </w:r>
    </w:p>
    <w:p w14:paraId="370D6EC7" w14:textId="77777777" w:rsidR="00084F36" w:rsidRPr="00EB2BD8" w:rsidRDefault="00EB2BD8">
      <w:pPr>
        <w:pStyle w:val="ListParagraph"/>
        <w:numPr>
          <w:ilvl w:val="0"/>
          <w:numId w:val="32"/>
        </w:numPr>
        <w:tabs>
          <w:tab w:val="left" w:pos="1703"/>
        </w:tabs>
        <w:spacing w:before="37"/>
        <w:rPr>
          <w:rFonts w:ascii="Arial" w:hAnsi="Arial"/>
          <w:sz w:val="16"/>
        </w:rPr>
      </w:pPr>
      <w:r w:rsidRPr="00EB2BD8">
        <w:rPr>
          <w:rFonts w:ascii="Arial" w:hAnsi="Arial"/>
          <w:spacing w:val="-2"/>
          <w:w w:val="105"/>
          <w:sz w:val="16"/>
        </w:rPr>
        <w:t>buildings,</w:t>
      </w:r>
    </w:p>
    <w:p w14:paraId="195F9FE3" w14:textId="77777777" w:rsidR="00084F36" w:rsidRPr="00EB2BD8" w:rsidRDefault="00EB2BD8">
      <w:pPr>
        <w:pStyle w:val="ListParagraph"/>
        <w:numPr>
          <w:ilvl w:val="0"/>
          <w:numId w:val="32"/>
        </w:numPr>
        <w:tabs>
          <w:tab w:val="left" w:pos="1703"/>
        </w:tabs>
        <w:spacing w:before="37"/>
        <w:rPr>
          <w:rFonts w:ascii="Arial" w:hAnsi="Arial"/>
          <w:sz w:val="16"/>
        </w:rPr>
      </w:pPr>
      <w:r w:rsidRPr="00EB2BD8">
        <w:rPr>
          <w:rFonts w:ascii="Arial" w:hAnsi="Arial"/>
          <w:w w:val="105"/>
          <w:sz w:val="16"/>
        </w:rPr>
        <w:t>plant</w:t>
      </w:r>
      <w:r w:rsidRPr="00EB2BD8">
        <w:rPr>
          <w:rFonts w:ascii="Arial" w:hAnsi="Arial"/>
          <w:spacing w:val="-6"/>
          <w:w w:val="105"/>
          <w:sz w:val="16"/>
        </w:rPr>
        <w:t xml:space="preserve"> </w:t>
      </w:r>
      <w:r w:rsidRPr="00EB2BD8">
        <w:rPr>
          <w:rFonts w:ascii="Arial" w:hAnsi="Arial"/>
          <w:w w:val="105"/>
          <w:sz w:val="16"/>
        </w:rPr>
        <w:t>and</w:t>
      </w:r>
      <w:r w:rsidRPr="00EB2BD8">
        <w:rPr>
          <w:rFonts w:ascii="Arial" w:hAnsi="Arial"/>
          <w:spacing w:val="-6"/>
          <w:w w:val="105"/>
          <w:sz w:val="16"/>
        </w:rPr>
        <w:t xml:space="preserve"> </w:t>
      </w:r>
      <w:r w:rsidRPr="00EB2BD8">
        <w:rPr>
          <w:rFonts w:ascii="Arial" w:hAnsi="Arial"/>
          <w:spacing w:val="-2"/>
          <w:w w:val="105"/>
          <w:sz w:val="16"/>
        </w:rPr>
        <w:t>equipment.</w:t>
      </w:r>
    </w:p>
    <w:p w14:paraId="048587E8" w14:textId="77777777" w:rsidR="00084F36" w:rsidRPr="00EB2BD8" w:rsidRDefault="00084F36">
      <w:pPr>
        <w:pStyle w:val="BodyText"/>
        <w:spacing w:before="6"/>
        <w:rPr>
          <w:rFonts w:ascii="Arial"/>
          <w:sz w:val="22"/>
        </w:rPr>
      </w:pPr>
    </w:p>
    <w:p w14:paraId="11BB8ADA" w14:textId="77777777" w:rsidR="00084F36" w:rsidRPr="00EB2BD8" w:rsidRDefault="00EB2BD8">
      <w:pPr>
        <w:spacing w:line="290" w:lineRule="auto"/>
        <w:ind w:left="1031" w:right="1813"/>
        <w:rPr>
          <w:rFonts w:ascii="Arial"/>
          <w:sz w:val="16"/>
        </w:rPr>
      </w:pPr>
      <w:r w:rsidRPr="00EB2BD8">
        <w:rPr>
          <w:rFonts w:ascii="Arial"/>
          <w:w w:val="105"/>
          <w:sz w:val="16"/>
        </w:rPr>
        <w:t>In</w:t>
      </w:r>
      <w:r w:rsidRPr="00EB2BD8">
        <w:rPr>
          <w:rFonts w:ascii="Arial"/>
          <w:spacing w:val="-2"/>
          <w:w w:val="105"/>
          <w:sz w:val="16"/>
        </w:rPr>
        <w:t xml:space="preserve"> </w:t>
      </w:r>
      <w:r w:rsidRPr="00EB2BD8">
        <w:rPr>
          <w:rFonts w:ascii="Arial"/>
          <w:w w:val="105"/>
          <w:sz w:val="16"/>
        </w:rPr>
        <w:t>addition,</w:t>
      </w:r>
      <w:r w:rsidRPr="00EB2BD8">
        <w:rPr>
          <w:rFonts w:ascii="Arial"/>
          <w:spacing w:val="-2"/>
          <w:w w:val="105"/>
          <w:sz w:val="16"/>
        </w:rPr>
        <w:t xml:space="preserve"> </w:t>
      </w:r>
      <w:r w:rsidRPr="00EB2BD8">
        <w:rPr>
          <w:rFonts w:ascii="Arial"/>
          <w:w w:val="105"/>
          <w:sz w:val="16"/>
        </w:rPr>
        <w:t>the</w:t>
      </w:r>
      <w:r w:rsidRPr="00EB2BD8">
        <w:rPr>
          <w:rFonts w:ascii="Arial"/>
          <w:spacing w:val="-1"/>
          <w:w w:val="105"/>
          <w:sz w:val="16"/>
        </w:rPr>
        <w:t xml:space="preserve"> </w:t>
      </w:r>
      <w:r w:rsidRPr="00EB2BD8">
        <w:rPr>
          <w:rFonts w:ascii="Arial"/>
          <w:w w:val="105"/>
          <w:sz w:val="16"/>
        </w:rPr>
        <w:t>fair</w:t>
      </w:r>
      <w:r w:rsidRPr="00EB2BD8">
        <w:rPr>
          <w:rFonts w:ascii="Arial"/>
          <w:spacing w:val="-2"/>
          <w:w w:val="105"/>
          <w:sz w:val="16"/>
        </w:rPr>
        <w:t xml:space="preserve"> </w:t>
      </w:r>
      <w:r w:rsidRPr="00EB2BD8">
        <w:rPr>
          <w:rFonts w:ascii="Arial"/>
          <w:w w:val="105"/>
          <w:sz w:val="16"/>
        </w:rPr>
        <w:t>values</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other</w:t>
      </w:r>
      <w:r w:rsidRPr="00EB2BD8">
        <w:rPr>
          <w:rFonts w:ascii="Arial"/>
          <w:spacing w:val="-2"/>
          <w:w w:val="105"/>
          <w:sz w:val="16"/>
        </w:rPr>
        <w:t xml:space="preserve"> </w:t>
      </w:r>
      <w:r w:rsidRPr="00EB2BD8">
        <w:rPr>
          <w:rFonts w:ascii="Arial"/>
          <w:w w:val="105"/>
          <w:sz w:val="16"/>
        </w:rPr>
        <w:t>assets</w:t>
      </w:r>
      <w:r w:rsidRPr="00EB2BD8">
        <w:rPr>
          <w:rFonts w:ascii="Arial"/>
          <w:spacing w:val="-2"/>
          <w:w w:val="105"/>
          <w:sz w:val="16"/>
        </w:rPr>
        <w:t xml:space="preserve"> </w:t>
      </w:r>
      <w:r w:rsidRPr="00EB2BD8">
        <w:rPr>
          <w:rFonts w:ascii="Arial"/>
          <w:w w:val="105"/>
          <w:sz w:val="16"/>
        </w:rPr>
        <w:t>and</w:t>
      </w:r>
      <w:r w:rsidRPr="00EB2BD8">
        <w:rPr>
          <w:rFonts w:ascii="Arial"/>
          <w:spacing w:val="-2"/>
          <w:w w:val="105"/>
          <w:sz w:val="16"/>
        </w:rPr>
        <w:t xml:space="preserve"> </w:t>
      </w:r>
      <w:r w:rsidRPr="00EB2BD8">
        <w:rPr>
          <w:rFonts w:ascii="Arial"/>
          <w:w w:val="105"/>
          <w:sz w:val="16"/>
        </w:rPr>
        <w:t>liabilities</w:t>
      </w:r>
      <w:r w:rsidRPr="00EB2BD8">
        <w:rPr>
          <w:rFonts w:ascii="Arial"/>
          <w:spacing w:val="-2"/>
          <w:w w:val="105"/>
          <w:sz w:val="16"/>
        </w:rPr>
        <w:t xml:space="preserve"> </w:t>
      </w:r>
      <w:r w:rsidRPr="00EB2BD8">
        <w:rPr>
          <w:rFonts w:ascii="Arial"/>
          <w:w w:val="105"/>
          <w:sz w:val="16"/>
        </w:rPr>
        <w:t>that are</w:t>
      </w:r>
      <w:r w:rsidRPr="00EB2BD8">
        <w:rPr>
          <w:rFonts w:ascii="Arial"/>
          <w:spacing w:val="-2"/>
          <w:w w:val="105"/>
          <w:sz w:val="16"/>
        </w:rPr>
        <w:t xml:space="preserve"> </w:t>
      </w:r>
      <w:r w:rsidRPr="00EB2BD8">
        <w:rPr>
          <w:rFonts w:ascii="Arial"/>
          <w:w w:val="105"/>
          <w:sz w:val="16"/>
        </w:rPr>
        <w:t>carried</w:t>
      </w:r>
      <w:r w:rsidRPr="00EB2BD8">
        <w:rPr>
          <w:rFonts w:ascii="Arial"/>
          <w:spacing w:val="-2"/>
          <w:w w:val="105"/>
          <w:sz w:val="16"/>
        </w:rPr>
        <w:t xml:space="preserve"> </w:t>
      </w:r>
      <w:r w:rsidRPr="00EB2BD8">
        <w:rPr>
          <w:rFonts w:ascii="Arial"/>
          <w:w w:val="105"/>
          <w:sz w:val="16"/>
        </w:rPr>
        <w:t>at</w:t>
      </w:r>
      <w:r w:rsidRPr="00EB2BD8">
        <w:rPr>
          <w:rFonts w:ascii="Arial"/>
          <w:spacing w:val="-2"/>
          <w:w w:val="105"/>
          <w:sz w:val="16"/>
        </w:rPr>
        <w:t xml:space="preserve"> </w:t>
      </w:r>
      <w:r w:rsidRPr="00EB2BD8">
        <w:rPr>
          <w:rFonts w:ascii="Arial"/>
          <w:w w:val="105"/>
          <w:sz w:val="16"/>
        </w:rPr>
        <w:t>amortised</w:t>
      </w:r>
      <w:r w:rsidRPr="00EB2BD8">
        <w:rPr>
          <w:rFonts w:ascii="Arial"/>
          <w:spacing w:val="-2"/>
          <w:w w:val="105"/>
          <w:sz w:val="16"/>
        </w:rPr>
        <w:t xml:space="preserve"> </w:t>
      </w:r>
      <w:r w:rsidRPr="00EB2BD8">
        <w:rPr>
          <w:rFonts w:ascii="Arial"/>
          <w:w w:val="105"/>
          <w:sz w:val="16"/>
        </w:rPr>
        <w:t>cost,</w:t>
      </w:r>
      <w:r w:rsidRPr="00EB2BD8">
        <w:rPr>
          <w:rFonts w:ascii="Arial"/>
          <w:spacing w:val="-2"/>
          <w:w w:val="105"/>
          <w:sz w:val="16"/>
        </w:rPr>
        <w:t xml:space="preserve"> </w:t>
      </w:r>
      <w:r w:rsidRPr="00EB2BD8">
        <w:rPr>
          <w:rFonts w:ascii="Arial"/>
          <w:w w:val="105"/>
          <w:sz w:val="16"/>
        </w:rPr>
        <w:t>also</w:t>
      </w:r>
      <w:r w:rsidRPr="00EB2BD8">
        <w:rPr>
          <w:rFonts w:ascii="Arial"/>
          <w:spacing w:val="-2"/>
          <w:w w:val="105"/>
          <w:sz w:val="16"/>
        </w:rPr>
        <w:t xml:space="preserve"> </w:t>
      </w:r>
      <w:r w:rsidRPr="00EB2BD8">
        <w:rPr>
          <w:rFonts w:ascii="Arial"/>
          <w:w w:val="105"/>
          <w:sz w:val="16"/>
        </w:rPr>
        <w:t>need</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be</w:t>
      </w:r>
      <w:r w:rsidRPr="00EB2BD8">
        <w:rPr>
          <w:rFonts w:ascii="Arial"/>
          <w:spacing w:val="-2"/>
          <w:w w:val="105"/>
          <w:sz w:val="16"/>
        </w:rPr>
        <w:t xml:space="preserve"> </w:t>
      </w:r>
      <w:r w:rsidRPr="00EB2BD8">
        <w:rPr>
          <w:rFonts w:ascii="Arial"/>
          <w:w w:val="105"/>
          <w:sz w:val="16"/>
        </w:rPr>
        <w:t>determined</w:t>
      </w:r>
      <w:r w:rsidRPr="00EB2BD8">
        <w:rPr>
          <w:rFonts w:ascii="Arial"/>
          <w:spacing w:val="-2"/>
          <w:w w:val="105"/>
          <w:sz w:val="16"/>
        </w:rPr>
        <w:t xml:space="preserve"> </w:t>
      </w:r>
      <w:r w:rsidRPr="00EB2BD8">
        <w:rPr>
          <w:rFonts w:ascii="Arial"/>
          <w:w w:val="105"/>
          <w:sz w:val="16"/>
        </w:rPr>
        <w:t>for disclosure purposes.</w:t>
      </w:r>
    </w:p>
    <w:p w14:paraId="62CA902E" w14:textId="77777777" w:rsidR="00084F36" w:rsidRPr="00EB2BD8" w:rsidRDefault="00084F36">
      <w:pPr>
        <w:pStyle w:val="BodyText"/>
        <w:spacing w:before="3"/>
        <w:rPr>
          <w:rFonts w:ascii="Arial"/>
          <w:sz w:val="19"/>
        </w:rPr>
      </w:pPr>
    </w:p>
    <w:p w14:paraId="100A1D64" w14:textId="77777777" w:rsidR="00084F36" w:rsidRPr="00EB2BD8" w:rsidRDefault="00EB2BD8">
      <w:pPr>
        <w:spacing w:line="290" w:lineRule="auto"/>
        <w:ind w:left="1031" w:right="1672"/>
        <w:rPr>
          <w:rFonts w:ascii="Arial"/>
          <w:sz w:val="16"/>
        </w:rPr>
      </w:pPr>
      <w:r w:rsidRPr="00EB2BD8">
        <w:rPr>
          <w:rFonts w:ascii="Arial"/>
          <w:w w:val="105"/>
          <w:sz w:val="16"/>
        </w:rPr>
        <w:t>The</w:t>
      </w:r>
      <w:r w:rsidRPr="00EB2BD8">
        <w:rPr>
          <w:rFonts w:ascii="Arial"/>
          <w:spacing w:val="-3"/>
          <w:w w:val="105"/>
          <w:sz w:val="16"/>
        </w:rPr>
        <w:t xml:space="preserve"> </w:t>
      </w:r>
      <w:r w:rsidRPr="00EB2BD8">
        <w:rPr>
          <w:rFonts w:ascii="Arial"/>
          <w:w w:val="105"/>
          <w:sz w:val="16"/>
        </w:rPr>
        <w:t>VBA</w:t>
      </w:r>
      <w:r w:rsidRPr="00EB2BD8">
        <w:rPr>
          <w:rFonts w:ascii="Arial"/>
          <w:spacing w:val="-3"/>
          <w:w w:val="105"/>
          <w:sz w:val="16"/>
        </w:rPr>
        <w:t xml:space="preserve"> </w:t>
      </w:r>
      <w:r w:rsidRPr="00EB2BD8">
        <w:rPr>
          <w:rFonts w:ascii="Arial"/>
          <w:w w:val="105"/>
          <w:sz w:val="16"/>
        </w:rPr>
        <w:t>determines</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policies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procedures</w:t>
      </w:r>
      <w:r w:rsidRPr="00EB2BD8">
        <w:rPr>
          <w:rFonts w:ascii="Arial"/>
          <w:spacing w:val="-3"/>
          <w:w w:val="105"/>
          <w:sz w:val="16"/>
        </w:rPr>
        <w:t xml:space="preserve"> </w:t>
      </w:r>
      <w:r w:rsidRPr="00EB2BD8">
        <w:rPr>
          <w:rFonts w:ascii="Arial"/>
          <w:w w:val="105"/>
          <w:sz w:val="16"/>
        </w:rPr>
        <w:t>for</w:t>
      </w:r>
      <w:r w:rsidRPr="00EB2BD8">
        <w:rPr>
          <w:rFonts w:ascii="Arial"/>
          <w:spacing w:val="-3"/>
          <w:w w:val="105"/>
          <w:sz w:val="16"/>
        </w:rPr>
        <w:t xml:space="preserve"> </w:t>
      </w:r>
      <w:r w:rsidRPr="00EB2BD8">
        <w:rPr>
          <w:rFonts w:ascii="Arial"/>
          <w:w w:val="105"/>
          <w:sz w:val="16"/>
        </w:rPr>
        <w:t>determining</w:t>
      </w:r>
      <w:r w:rsidRPr="00EB2BD8">
        <w:rPr>
          <w:rFonts w:ascii="Arial"/>
          <w:spacing w:val="-3"/>
          <w:w w:val="105"/>
          <w:sz w:val="16"/>
        </w:rPr>
        <w:t xml:space="preserve"> </w:t>
      </w:r>
      <w:r w:rsidRPr="00EB2BD8">
        <w:rPr>
          <w:rFonts w:ascii="Arial"/>
          <w:w w:val="105"/>
          <w:sz w:val="16"/>
        </w:rPr>
        <w:t>fair</w:t>
      </w:r>
      <w:r w:rsidRPr="00EB2BD8">
        <w:rPr>
          <w:rFonts w:ascii="Arial"/>
          <w:spacing w:val="-3"/>
          <w:w w:val="105"/>
          <w:sz w:val="16"/>
        </w:rPr>
        <w:t xml:space="preserve"> </w:t>
      </w:r>
      <w:r w:rsidRPr="00EB2BD8">
        <w:rPr>
          <w:rFonts w:ascii="Arial"/>
          <w:w w:val="105"/>
          <w:sz w:val="16"/>
        </w:rPr>
        <w:t>values</w:t>
      </w:r>
      <w:r w:rsidRPr="00EB2BD8">
        <w:rPr>
          <w:rFonts w:ascii="Arial"/>
          <w:spacing w:val="-3"/>
          <w:w w:val="105"/>
          <w:sz w:val="16"/>
        </w:rPr>
        <w:t xml:space="preserve"> </w:t>
      </w:r>
      <w:r w:rsidRPr="00EB2BD8">
        <w:rPr>
          <w:rFonts w:ascii="Arial"/>
          <w:w w:val="105"/>
          <w:sz w:val="16"/>
        </w:rPr>
        <w:t>for</w:t>
      </w:r>
      <w:r w:rsidRPr="00EB2BD8">
        <w:rPr>
          <w:rFonts w:ascii="Arial"/>
          <w:spacing w:val="-3"/>
          <w:w w:val="105"/>
          <w:sz w:val="16"/>
        </w:rPr>
        <w:t xml:space="preserve"> </w:t>
      </w:r>
      <w:r w:rsidRPr="00EB2BD8">
        <w:rPr>
          <w:rFonts w:ascii="Arial"/>
          <w:w w:val="105"/>
          <w:sz w:val="16"/>
        </w:rPr>
        <w:t>both</w:t>
      </w:r>
      <w:r w:rsidRPr="00EB2BD8">
        <w:rPr>
          <w:rFonts w:ascii="Arial"/>
          <w:spacing w:val="-3"/>
          <w:w w:val="105"/>
          <w:sz w:val="16"/>
        </w:rPr>
        <w:t xml:space="preserve"> </w:t>
      </w:r>
      <w:r w:rsidRPr="00EB2BD8">
        <w:rPr>
          <w:rFonts w:ascii="Arial"/>
          <w:w w:val="105"/>
          <w:sz w:val="16"/>
        </w:rPr>
        <w:t>financial</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non-</w:t>
      </w:r>
      <w:r w:rsidRPr="00EB2BD8">
        <w:rPr>
          <w:rFonts w:ascii="Arial"/>
          <w:spacing w:val="-1"/>
          <w:w w:val="105"/>
          <w:sz w:val="16"/>
        </w:rPr>
        <w:t xml:space="preserve"> </w:t>
      </w:r>
      <w:r w:rsidRPr="00EB2BD8">
        <w:rPr>
          <w:rFonts w:ascii="Arial"/>
          <w:w w:val="105"/>
          <w:sz w:val="16"/>
        </w:rPr>
        <w:t>financial</w:t>
      </w:r>
      <w:r w:rsidRPr="00EB2BD8">
        <w:rPr>
          <w:rFonts w:ascii="Arial"/>
          <w:spacing w:val="-3"/>
          <w:w w:val="105"/>
          <w:sz w:val="16"/>
        </w:rPr>
        <w:t xml:space="preserve"> </w:t>
      </w:r>
      <w:r w:rsidRPr="00EB2BD8">
        <w:rPr>
          <w:rFonts w:ascii="Arial"/>
          <w:w w:val="105"/>
          <w:sz w:val="16"/>
        </w:rPr>
        <w:t>assets</w:t>
      </w:r>
      <w:r w:rsidRPr="00EB2BD8">
        <w:rPr>
          <w:rFonts w:ascii="Arial"/>
          <w:spacing w:val="-3"/>
          <w:w w:val="105"/>
          <w:sz w:val="16"/>
        </w:rPr>
        <w:t xml:space="preserve"> </w:t>
      </w:r>
      <w:r w:rsidRPr="00EB2BD8">
        <w:rPr>
          <w:rFonts w:ascii="Arial"/>
          <w:w w:val="105"/>
          <w:sz w:val="16"/>
        </w:rPr>
        <w:t>and liabilities as required.</w:t>
      </w:r>
    </w:p>
    <w:p w14:paraId="6F162F49" w14:textId="77777777" w:rsidR="00084F36" w:rsidRPr="00EB2BD8" w:rsidRDefault="00084F36">
      <w:pPr>
        <w:pStyle w:val="BodyText"/>
        <w:rPr>
          <w:rFonts w:ascii="Arial"/>
          <w:sz w:val="20"/>
        </w:rPr>
      </w:pPr>
    </w:p>
    <w:p w14:paraId="34EE5DBE" w14:textId="61BCC3DB" w:rsidR="00084F36" w:rsidRPr="00EB2BD8" w:rsidRDefault="00EB2BD8" w:rsidP="007A74E8">
      <w:pPr>
        <w:tabs>
          <w:tab w:val="left" w:pos="1906"/>
        </w:tabs>
        <w:rPr>
          <w:b/>
          <w:sz w:val="16"/>
        </w:rPr>
      </w:pPr>
      <w:r w:rsidRPr="00EB2BD8">
        <w:rPr>
          <w:sz w:val="16"/>
        </w:rPr>
        <w:tab/>
      </w:r>
    </w:p>
    <w:p w14:paraId="378F22E8" w14:textId="77777777" w:rsidR="00084F36" w:rsidRPr="00EB2BD8" w:rsidRDefault="00084F36">
      <w:pPr>
        <w:rPr>
          <w:sz w:val="16"/>
        </w:rPr>
        <w:sectPr w:rsidR="00084F36" w:rsidRPr="00EB2BD8" w:rsidSect="006D75B2">
          <w:headerReference w:type="even" r:id="rId349"/>
          <w:footerReference w:type="even" r:id="rId350"/>
          <w:footerReference w:type="default" r:id="rId351"/>
          <w:pgSz w:w="11910" w:h="16840"/>
          <w:pgMar w:top="780" w:right="0" w:bottom="280" w:left="0" w:header="0" w:footer="0" w:gutter="0"/>
          <w:cols w:space="720"/>
        </w:sectPr>
      </w:pPr>
    </w:p>
    <w:p w14:paraId="3581781E" w14:textId="77777777" w:rsidR="00084F36" w:rsidRPr="00EB2BD8" w:rsidRDefault="00084F36">
      <w:pPr>
        <w:pStyle w:val="BodyText"/>
        <w:rPr>
          <w:sz w:val="20"/>
        </w:rPr>
      </w:pPr>
    </w:p>
    <w:p w14:paraId="42E9E1FA" w14:textId="77777777" w:rsidR="00084F36" w:rsidRPr="00EB2BD8" w:rsidRDefault="00084F36">
      <w:pPr>
        <w:pStyle w:val="BodyText"/>
        <w:rPr>
          <w:sz w:val="20"/>
        </w:rPr>
      </w:pPr>
    </w:p>
    <w:p w14:paraId="218F0DD0" w14:textId="77777777" w:rsidR="00084F36" w:rsidRPr="00EB2BD8" w:rsidRDefault="00084F36">
      <w:pPr>
        <w:pStyle w:val="BodyText"/>
        <w:rPr>
          <w:sz w:val="20"/>
        </w:rPr>
      </w:pPr>
    </w:p>
    <w:p w14:paraId="08119DD0" w14:textId="77777777" w:rsidR="00084F36" w:rsidRPr="00EB2BD8" w:rsidRDefault="00084F36">
      <w:pPr>
        <w:pStyle w:val="BodyText"/>
        <w:rPr>
          <w:sz w:val="20"/>
        </w:rPr>
      </w:pPr>
    </w:p>
    <w:p w14:paraId="26DFDF59" w14:textId="77777777" w:rsidR="00084F36" w:rsidRPr="00EB2BD8" w:rsidRDefault="00084F36">
      <w:pPr>
        <w:pStyle w:val="BodyText"/>
        <w:rPr>
          <w:sz w:val="20"/>
        </w:rPr>
      </w:pPr>
    </w:p>
    <w:p w14:paraId="7588284E" w14:textId="77777777" w:rsidR="00084F36" w:rsidRPr="00EB2BD8" w:rsidRDefault="00084F36">
      <w:pPr>
        <w:pStyle w:val="BodyText"/>
        <w:spacing w:before="4"/>
        <w:rPr>
          <w:sz w:val="21"/>
        </w:rPr>
      </w:pPr>
    </w:p>
    <w:p w14:paraId="037F236A" w14:textId="77777777" w:rsidR="00084F36" w:rsidRPr="00EB2BD8" w:rsidRDefault="00EB2BD8" w:rsidP="00D0600F">
      <w:pPr>
        <w:pStyle w:val="Heading2"/>
        <w:ind w:firstLine="210"/>
      </w:pPr>
      <w:bookmarkStart w:id="355" w:name="_Toc150762657"/>
      <w:r w:rsidRPr="00EB2BD8">
        <w:t>Fair</w:t>
      </w:r>
      <w:r w:rsidRPr="00EB2BD8">
        <w:rPr>
          <w:spacing w:val="9"/>
        </w:rPr>
        <w:t xml:space="preserve"> </w:t>
      </w:r>
      <w:r w:rsidRPr="00EB2BD8">
        <w:t>value</w:t>
      </w:r>
      <w:r w:rsidRPr="00EB2BD8">
        <w:rPr>
          <w:spacing w:val="10"/>
        </w:rPr>
        <w:t xml:space="preserve"> </w:t>
      </w:r>
      <w:r w:rsidRPr="00EB2BD8">
        <w:rPr>
          <w:spacing w:val="-2"/>
        </w:rPr>
        <w:t>hierarchy</w:t>
      </w:r>
      <w:bookmarkEnd w:id="355"/>
    </w:p>
    <w:p w14:paraId="3F7E3C5A" w14:textId="77777777" w:rsidR="00084F36" w:rsidRPr="00EB2BD8" w:rsidRDefault="00EB2BD8">
      <w:pPr>
        <w:spacing w:before="45" w:line="290" w:lineRule="auto"/>
        <w:ind w:left="1060" w:right="1155"/>
        <w:rPr>
          <w:rFonts w:ascii="Arial"/>
          <w:sz w:val="16"/>
        </w:rPr>
      </w:pPr>
      <w:r w:rsidRPr="00EB2BD8">
        <w:rPr>
          <w:rFonts w:ascii="Arial"/>
          <w:w w:val="105"/>
          <w:sz w:val="16"/>
        </w:rPr>
        <w:t>In</w:t>
      </w:r>
      <w:r w:rsidRPr="00EB2BD8">
        <w:rPr>
          <w:rFonts w:ascii="Arial"/>
          <w:spacing w:val="-3"/>
          <w:w w:val="105"/>
          <w:sz w:val="16"/>
        </w:rPr>
        <w:t xml:space="preserve"> </w:t>
      </w:r>
      <w:r w:rsidRPr="00EB2BD8">
        <w:rPr>
          <w:rFonts w:ascii="Arial"/>
          <w:w w:val="105"/>
          <w:sz w:val="16"/>
        </w:rPr>
        <w:t>determining</w:t>
      </w:r>
      <w:r w:rsidRPr="00EB2BD8">
        <w:rPr>
          <w:rFonts w:ascii="Arial"/>
          <w:spacing w:val="-2"/>
          <w:w w:val="105"/>
          <w:sz w:val="16"/>
        </w:rPr>
        <w:t xml:space="preserve"> </w:t>
      </w:r>
      <w:r w:rsidRPr="00EB2BD8">
        <w:rPr>
          <w:rFonts w:ascii="Arial"/>
          <w:w w:val="105"/>
          <w:sz w:val="16"/>
        </w:rPr>
        <w:t>fair</w:t>
      </w:r>
      <w:r w:rsidRPr="00EB2BD8">
        <w:rPr>
          <w:rFonts w:ascii="Arial"/>
          <w:spacing w:val="-3"/>
          <w:w w:val="105"/>
          <w:sz w:val="16"/>
        </w:rPr>
        <w:t xml:space="preserve"> </w:t>
      </w:r>
      <w:r w:rsidRPr="00EB2BD8">
        <w:rPr>
          <w:rFonts w:ascii="Arial"/>
          <w:w w:val="105"/>
          <w:sz w:val="16"/>
        </w:rPr>
        <w:t>values,</w:t>
      </w:r>
      <w:r w:rsidRPr="00EB2BD8">
        <w:rPr>
          <w:rFonts w:ascii="Arial"/>
          <w:spacing w:val="-3"/>
          <w:w w:val="105"/>
          <w:sz w:val="16"/>
        </w:rPr>
        <w:t xml:space="preserve"> </w:t>
      </w:r>
      <w:r w:rsidRPr="00EB2BD8">
        <w:rPr>
          <w:rFonts w:ascii="Arial"/>
          <w:w w:val="105"/>
          <w:sz w:val="16"/>
        </w:rPr>
        <w:t>a</w:t>
      </w:r>
      <w:r w:rsidRPr="00EB2BD8">
        <w:rPr>
          <w:rFonts w:ascii="Arial"/>
          <w:spacing w:val="-3"/>
          <w:w w:val="105"/>
          <w:sz w:val="16"/>
        </w:rPr>
        <w:t xml:space="preserve"> </w:t>
      </w:r>
      <w:r w:rsidRPr="00EB2BD8">
        <w:rPr>
          <w:rFonts w:ascii="Arial"/>
          <w:w w:val="105"/>
          <w:sz w:val="16"/>
        </w:rPr>
        <w:t>number</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inputs</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used.</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increase</w:t>
      </w:r>
      <w:r w:rsidRPr="00EB2BD8">
        <w:rPr>
          <w:rFonts w:ascii="Arial"/>
          <w:spacing w:val="-3"/>
          <w:w w:val="105"/>
          <w:sz w:val="16"/>
        </w:rPr>
        <w:t xml:space="preserve"> </w:t>
      </w:r>
      <w:r w:rsidRPr="00EB2BD8">
        <w:rPr>
          <w:rFonts w:ascii="Arial"/>
          <w:w w:val="105"/>
          <w:sz w:val="16"/>
        </w:rPr>
        <w:t>consistency</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comparability</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financial</w:t>
      </w:r>
      <w:r w:rsidRPr="00EB2BD8">
        <w:rPr>
          <w:rFonts w:ascii="Arial"/>
          <w:spacing w:val="-3"/>
          <w:w w:val="105"/>
          <w:sz w:val="16"/>
        </w:rPr>
        <w:t xml:space="preserve"> </w:t>
      </w:r>
      <w:r w:rsidRPr="00EB2BD8">
        <w:rPr>
          <w:rFonts w:ascii="Arial"/>
          <w:w w:val="105"/>
          <w:sz w:val="16"/>
        </w:rPr>
        <w:t>statements, these inputs are categorised into three levels, also known as the fair value hierarchy. The levels are as follows:</w:t>
      </w:r>
    </w:p>
    <w:p w14:paraId="68DE0DED" w14:textId="77777777" w:rsidR="00084F36" w:rsidRPr="00EB2BD8" w:rsidRDefault="00084F36">
      <w:pPr>
        <w:pStyle w:val="BodyText"/>
        <w:spacing w:before="4"/>
        <w:rPr>
          <w:rFonts w:ascii="Arial"/>
          <w:sz w:val="19"/>
        </w:rPr>
      </w:pPr>
    </w:p>
    <w:p w14:paraId="29C93702" w14:textId="77777777" w:rsidR="00084F36" w:rsidRPr="00EB2BD8" w:rsidRDefault="00EB2BD8">
      <w:pPr>
        <w:pStyle w:val="ListParagraph"/>
        <w:numPr>
          <w:ilvl w:val="0"/>
          <w:numId w:val="6"/>
        </w:numPr>
        <w:tabs>
          <w:tab w:val="left" w:pos="1732"/>
        </w:tabs>
        <w:rPr>
          <w:rFonts w:ascii="Arial" w:hAnsi="Arial"/>
          <w:sz w:val="16"/>
        </w:rPr>
      </w:pPr>
      <w:r w:rsidRPr="00EB2BD8">
        <w:rPr>
          <w:rFonts w:ascii="Arial" w:hAnsi="Arial"/>
          <w:w w:val="105"/>
          <w:sz w:val="16"/>
        </w:rPr>
        <w:t>Level</w:t>
      </w:r>
      <w:r w:rsidRPr="00EB2BD8">
        <w:rPr>
          <w:rFonts w:ascii="Arial" w:hAnsi="Arial"/>
          <w:spacing w:val="-6"/>
          <w:w w:val="105"/>
          <w:sz w:val="16"/>
        </w:rPr>
        <w:t xml:space="preserve"> </w:t>
      </w:r>
      <w:r w:rsidRPr="00EB2BD8">
        <w:rPr>
          <w:rFonts w:ascii="Arial" w:hAnsi="Arial"/>
          <w:w w:val="105"/>
          <w:sz w:val="16"/>
        </w:rPr>
        <w:t>1</w:t>
      </w:r>
      <w:r w:rsidRPr="00EB2BD8">
        <w:rPr>
          <w:rFonts w:ascii="Arial" w:hAnsi="Arial"/>
          <w:spacing w:val="-6"/>
          <w:w w:val="105"/>
          <w:sz w:val="16"/>
        </w:rPr>
        <w:t xml:space="preserve"> </w:t>
      </w:r>
      <w:r w:rsidRPr="00EB2BD8">
        <w:rPr>
          <w:rFonts w:ascii="Arial" w:hAnsi="Arial"/>
          <w:w w:val="105"/>
          <w:sz w:val="16"/>
        </w:rPr>
        <w:t>–</w:t>
      </w:r>
      <w:r w:rsidRPr="00EB2BD8">
        <w:rPr>
          <w:rFonts w:ascii="Arial" w:hAnsi="Arial"/>
          <w:spacing w:val="-6"/>
          <w:w w:val="105"/>
          <w:sz w:val="16"/>
        </w:rPr>
        <w:t xml:space="preserve"> </w:t>
      </w:r>
      <w:r w:rsidRPr="00EB2BD8">
        <w:rPr>
          <w:rFonts w:ascii="Arial" w:hAnsi="Arial"/>
          <w:w w:val="105"/>
          <w:sz w:val="16"/>
        </w:rPr>
        <w:t>quoted</w:t>
      </w:r>
      <w:r w:rsidRPr="00EB2BD8">
        <w:rPr>
          <w:rFonts w:ascii="Arial" w:hAnsi="Arial"/>
          <w:spacing w:val="-6"/>
          <w:w w:val="105"/>
          <w:sz w:val="16"/>
        </w:rPr>
        <w:t xml:space="preserve"> </w:t>
      </w:r>
      <w:r w:rsidRPr="00EB2BD8">
        <w:rPr>
          <w:rFonts w:ascii="Arial" w:hAnsi="Arial"/>
          <w:w w:val="105"/>
          <w:sz w:val="16"/>
        </w:rPr>
        <w:t>(unadjusted)</w:t>
      </w:r>
      <w:r w:rsidRPr="00EB2BD8">
        <w:rPr>
          <w:rFonts w:ascii="Arial" w:hAnsi="Arial"/>
          <w:spacing w:val="-6"/>
          <w:w w:val="105"/>
          <w:sz w:val="16"/>
        </w:rPr>
        <w:t xml:space="preserve"> </w:t>
      </w:r>
      <w:r w:rsidRPr="00EB2BD8">
        <w:rPr>
          <w:rFonts w:ascii="Arial" w:hAnsi="Arial"/>
          <w:w w:val="105"/>
          <w:sz w:val="16"/>
        </w:rPr>
        <w:t>market</w:t>
      </w:r>
      <w:r w:rsidRPr="00EB2BD8">
        <w:rPr>
          <w:rFonts w:ascii="Arial" w:hAnsi="Arial"/>
          <w:spacing w:val="-6"/>
          <w:w w:val="105"/>
          <w:sz w:val="16"/>
        </w:rPr>
        <w:t xml:space="preserve"> </w:t>
      </w:r>
      <w:r w:rsidRPr="00EB2BD8">
        <w:rPr>
          <w:rFonts w:ascii="Arial" w:hAnsi="Arial"/>
          <w:w w:val="105"/>
          <w:sz w:val="16"/>
        </w:rPr>
        <w:t>prices</w:t>
      </w:r>
      <w:r w:rsidRPr="00EB2BD8">
        <w:rPr>
          <w:rFonts w:ascii="Arial" w:hAnsi="Arial"/>
          <w:spacing w:val="-5"/>
          <w:w w:val="105"/>
          <w:sz w:val="16"/>
        </w:rPr>
        <w:t xml:space="preserve"> </w:t>
      </w:r>
      <w:r w:rsidRPr="00EB2BD8">
        <w:rPr>
          <w:rFonts w:ascii="Arial" w:hAnsi="Arial"/>
          <w:w w:val="105"/>
          <w:sz w:val="16"/>
        </w:rPr>
        <w:t>in</w:t>
      </w:r>
      <w:r w:rsidRPr="00EB2BD8">
        <w:rPr>
          <w:rFonts w:ascii="Arial" w:hAnsi="Arial"/>
          <w:spacing w:val="-6"/>
          <w:w w:val="105"/>
          <w:sz w:val="16"/>
        </w:rPr>
        <w:t xml:space="preserve"> </w:t>
      </w:r>
      <w:r w:rsidRPr="00EB2BD8">
        <w:rPr>
          <w:rFonts w:ascii="Arial" w:hAnsi="Arial"/>
          <w:w w:val="105"/>
          <w:sz w:val="16"/>
        </w:rPr>
        <w:t>active</w:t>
      </w:r>
      <w:r w:rsidRPr="00EB2BD8">
        <w:rPr>
          <w:rFonts w:ascii="Arial" w:hAnsi="Arial"/>
          <w:spacing w:val="-6"/>
          <w:w w:val="105"/>
          <w:sz w:val="16"/>
        </w:rPr>
        <w:t xml:space="preserve"> </w:t>
      </w:r>
      <w:r w:rsidRPr="00EB2BD8">
        <w:rPr>
          <w:rFonts w:ascii="Arial" w:hAnsi="Arial"/>
          <w:w w:val="105"/>
          <w:sz w:val="16"/>
        </w:rPr>
        <w:t>markets</w:t>
      </w:r>
      <w:r w:rsidRPr="00EB2BD8">
        <w:rPr>
          <w:rFonts w:ascii="Arial" w:hAnsi="Arial"/>
          <w:spacing w:val="-6"/>
          <w:w w:val="105"/>
          <w:sz w:val="16"/>
        </w:rPr>
        <w:t xml:space="preserve"> </w:t>
      </w:r>
      <w:r w:rsidRPr="00EB2BD8">
        <w:rPr>
          <w:rFonts w:ascii="Arial" w:hAnsi="Arial"/>
          <w:w w:val="105"/>
          <w:sz w:val="16"/>
        </w:rPr>
        <w:t>for</w:t>
      </w:r>
      <w:r w:rsidRPr="00EB2BD8">
        <w:rPr>
          <w:rFonts w:ascii="Arial" w:hAnsi="Arial"/>
          <w:spacing w:val="-6"/>
          <w:w w:val="105"/>
          <w:sz w:val="16"/>
        </w:rPr>
        <w:t xml:space="preserve"> </w:t>
      </w:r>
      <w:r w:rsidRPr="00EB2BD8">
        <w:rPr>
          <w:rFonts w:ascii="Arial" w:hAnsi="Arial"/>
          <w:w w:val="105"/>
          <w:sz w:val="16"/>
        </w:rPr>
        <w:t>identical</w:t>
      </w:r>
      <w:r w:rsidRPr="00EB2BD8">
        <w:rPr>
          <w:rFonts w:ascii="Arial" w:hAnsi="Arial"/>
          <w:spacing w:val="-5"/>
          <w:w w:val="105"/>
          <w:sz w:val="16"/>
        </w:rPr>
        <w:t xml:space="preserve"> </w:t>
      </w:r>
      <w:r w:rsidRPr="00EB2BD8">
        <w:rPr>
          <w:rFonts w:ascii="Arial" w:hAnsi="Arial"/>
          <w:w w:val="105"/>
          <w:sz w:val="16"/>
        </w:rPr>
        <w:t>assets</w:t>
      </w:r>
      <w:r w:rsidRPr="00EB2BD8">
        <w:rPr>
          <w:rFonts w:ascii="Arial" w:hAnsi="Arial"/>
          <w:spacing w:val="-6"/>
          <w:w w:val="105"/>
          <w:sz w:val="16"/>
        </w:rPr>
        <w:t xml:space="preserve"> </w:t>
      </w:r>
      <w:r w:rsidRPr="00EB2BD8">
        <w:rPr>
          <w:rFonts w:ascii="Arial" w:hAnsi="Arial"/>
          <w:w w:val="105"/>
          <w:sz w:val="16"/>
        </w:rPr>
        <w:t>or</w:t>
      </w:r>
      <w:r w:rsidRPr="00EB2BD8">
        <w:rPr>
          <w:rFonts w:ascii="Arial" w:hAnsi="Arial"/>
          <w:spacing w:val="-6"/>
          <w:w w:val="105"/>
          <w:sz w:val="16"/>
        </w:rPr>
        <w:t xml:space="preserve"> </w:t>
      </w:r>
      <w:r w:rsidRPr="00EB2BD8">
        <w:rPr>
          <w:rFonts w:ascii="Arial" w:hAnsi="Arial"/>
          <w:spacing w:val="-2"/>
          <w:w w:val="105"/>
          <w:sz w:val="16"/>
        </w:rPr>
        <w:t>liabilities;</w:t>
      </w:r>
    </w:p>
    <w:p w14:paraId="27500F82" w14:textId="77777777" w:rsidR="00084F36" w:rsidRPr="00EB2BD8" w:rsidRDefault="00EB2BD8">
      <w:pPr>
        <w:pStyle w:val="ListParagraph"/>
        <w:numPr>
          <w:ilvl w:val="0"/>
          <w:numId w:val="6"/>
        </w:numPr>
        <w:tabs>
          <w:tab w:val="left" w:pos="1732"/>
        </w:tabs>
        <w:spacing w:before="38" w:line="285" w:lineRule="auto"/>
        <w:ind w:right="1862"/>
        <w:rPr>
          <w:rFonts w:ascii="Arial" w:hAnsi="Arial"/>
          <w:sz w:val="16"/>
        </w:rPr>
      </w:pPr>
      <w:r w:rsidRPr="00EB2BD8">
        <w:rPr>
          <w:rFonts w:ascii="Arial" w:hAnsi="Arial"/>
          <w:w w:val="105"/>
          <w:sz w:val="16"/>
        </w:rPr>
        <w:t>Level</w:t>
      </w:r>
      <w:r w:rsidRPr="00EB2BD8">
        <w:rPr>
          <w:rFonts w:ascii="Arial" w:hAnsi="Arial"/>
          <w:spacing w:val="-2"/>
          <w:w w:val="105"/>
          <w:sz w:val="16"/>
        </w:rPr>
        <w:t xml:space="preserve"> </w:t>
      </w:r>
      <w:r w:rsidRPr="00EB2BD8">
        <w:rPr>
          <w:rFonts w:ascii="Arial" w:hAnsi="Arial"/>
          <w:w w:val="105"/>
          <w:sz w:val="16"/>
        </w:rPr>
        <w:t>2</w:t>
      </w:r>
      <w:r w:rsidRPr="00EB2BD8">
        <w:rPr>
          <w:rFonts w:ascii="Arial" w:hAnsi="Arial"/>
          <w:spacing w:val="-2"/>
          <w:w w:val="105"/>
          <w:sz w:val="16"/>
        </w:rPr>
        <w:t xml:space="preserve"> </w:t>
      </w:r>
      <w:r w:rsidRPr="00EB2BD8">
        <w:rPr>
          <w:rFonts w:ascii="Arial" w:hAnsi="Arial"/>
          <w:w w:val="105"/>
          <w:sz w:val="16"/>
        </w:rPr>
        <w:t>–</w:t>
      </w:r>
      <w:r w:rsidRPr="00EB2BD8">
        <w:rPr>
          <w:rFonts w:ascii="Arial" w:hAnsi="Arial"/>
          <w:spacing w:val="-2"/>
          <w:w w:val="105"/>
          <w:sz w:val="16"/>
        </w:rPr>
        <w:t xml:space="preserve"> </w:t>
      </w:r>
      <w:r w:rsidRPr="00EB2BD8">
        <w:rPr>
          <w:rFonts w:ascii="Arial" w:hAnsi="Arial"/>
          <w:w w:val="105"/>
          <w:sz w:val="16"/>
        </w:rPr>
        <w:t>valuation</w:t>
      </w:r>
      <w:r w:rsidRPr="00EB2BD8">
        <w:rPr>
          <w:rFonts w:ascii="Arial" w:hAnsi="Arial"/>
          <w:spacing w:val="-2"/>
          <w:w w:val="105"/>
          <w:sz w:val="16"/>
        </w:rPr>
        <w:t xml:space="preserve"> </w:t>
      </w:r>
      <w:r w:rsidRPr="00EB2BD8">
        <w:rPr>
          <w:rFonts w:ascii="Arial" w:hAnsi="Arial"/>
          <w:w w:val="105"/>
          <w:sz w:val="16"/>
        </w:rPr>
        <w:t>techniques</w:t>
      </w:r>
      <w:r w:rsidRPr="00EB2BD8">
        <w:rPr>
          <w:rFonts w:ascii="Arial" w:hAnsi="Arial"/>
          <w:spacing w:val="-1"/>
          <w:w w:val="105"/>
          <w:sz w:val="16"/>
        </w:rPr>
        <w:t xml:space="preserve"> </w:t>
      </w:r>
      <w:r w:rsidRPr="00EB2BD8">
        <w:rPr>
          <w:rFonts w:ascii="Arial" w:hAnsi="Arial"/>
          <w:w w:val="105"/>
          <w:sz w:val="16"/>
        </w:rPr>
        <w:t>for</w:t>
      </w:r>
      <w:r w:rsidRPr="00EB2BD8">
        <w:rPr>
          <w:rFonts w:ascii="Arial" w:hAnsi="Arial"/>
          <w:spacing w:val="-2"/>
          <w:w w:val="105"/>
          <w:sz w:val="16"/>
        </w:rPr>
        <w:t xml:space="preserve"> </w:t>
      </w:r>
      <w:r w:rsidRPr="00EB2BD8">
        <w:rPr>
          <w:rFonts w:ascii="Arial" w:hAnsi="Arial"/>
          <w:w w:val="105"/>
          <w:sz w:val="16"/>
        </w:rPr>
        <w:t>which</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lowest</w:t>
      </w:r>
      <w:r w:rsidRPr="00EB2BD8">
        <w:rPr>
          <w:rFonts w:ascii="Arial" w:hAnsi="Arial"/>
          <w:spacing w:val="-2"/>
          <w:w w:val="105"/>
          <w:sz w:val="16"/>
        </w:rPr>
        <w:t xml:space="preserve"> </w:t>
      </w:r>
      <w:r w:rsidRPr="00EB2BD8">
        <w:rPr>
          <w:rFonts w:ascii="Arial" w:hAnsi="Arial"/>
          <w:w w:val="105"/>
          <w:sz w:val="16"/>
        </w:rPr>
        <w:t>level</w:t>
      </w:r>
      <w:r w:rsidRPr="00EB2BD8">
        <w:rPr>
          <w:rFonts w:ascii="Arial" w:hAnsi="Arial"/>
          <w:spacing w:val="-2"/>
          <w:w w:val="105"/>
          <w:sz w:val="16"/>
        </w:rPr>
        <w:t xml:space="preserve"> </w:t>
      </w:r>
      <w:r w:rsidRPr="00EB2BD8">
        <w:rPr>
          <w:rFonts w:ascii="Arial" w:hAnsi="Arial"/>
          <w:w w:val="105"/>
          <w:sz w:val="16"/>
        </w:rPr>
        <w:t>input</w:t>
      </w:r>
      <w:r w:rsidRPr="00EB2BD8">
        <w:rPr>
          <w:rFonts w:ascii="Arial" w:hAnsi="Arial"/>
          <w:spacing w:val="-2"/>
          <w:w w:val="105"/>
          <w:sz w:val="16"/>
        </w:rPr>
        <w:t xml:space="preserve"> </w:t>
      </w:r>
      <w:r w:rsidRPr="00EB2BD8">
        <w:rPr>
          <w:rFonts w:ascii="Arial" w:hAnsi="Arial"/>
          <w:w w:val="105"/>
          <w:sz w:val="16"/>
        </w:rPr>
        <w:t>that</w:t>
      </w:r>
      <w:r w:rsidRPr="00EB2BD8">
        <w:rPr>
          <w:rFonts w:ascii="Arial" w:hAnsi="Arial"/>
          <w:spacing w:val="-2"/>
          <w:w w:val="105"/>
          <w:sz w:val="16"/>
        </w:rPr>
        <w:t xml:space="preserve"> </w:t>
      </w:r>
      <w:r w:rsidRPr="00EB2BD8">
        <w:rPr>
          <w:rFonts w:ascii="Arial" w:hAnsi="Arial"/>
          <w:w w:val="105"/>
          <w:sz w:val="16"/>
        </w:rPr>
        <w:t>is</w:t>
      </w:r>
      <w:r w:rsidRPr="00EB2BD8">
        <w:rPr>
          <w:rFonts w:ascii="Arial" w:hAnsi="Arial"/>
          <w:spacing w:val="-2"/>
          <w:w w:val="105"/>
          <w:sz w:val="16"/>
        </w:rPr>
        <w:t xml:space="preserve"> </w:t>
      </w:r>
      <w:r w:rsidRPr="00EB2BD8">
        <w:rPr>
          <w:rFonts w:ascii="Arial" w:hAnsi="Arial"/>
          <w:w w:val="105"/>
          <w:sz w:val="16"/>
        </w:rPr>
        <w:t>significant</w:t>
      </w:r>
      <w:r w:rsidRPr="00EB2BD8">
        <w:rPr>
          <w:rFonts w:ascii="Arial" w:hAnsi="Arial"/>
          <w:spacing w:val="-2"/>
          <w:w w:val="105"/>
          <w:sz w:val="16"/>
        </w:rPr>
        <w:t xml:space="preserve"> </w:t>
      </w:r>
      <w:r w:rsidRPr="00EB2BD8">
        <w:rPr>
          <w:rFonts w:ascii="Arial" w:hAnsi="Arial"/>
          <w:w w:val="105"/>
          <w:sz w:val="16"/>
        </w:rPr>
        <w:t>to</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fair</w:t>
      </w:r>
      <w:r w:rsidRPr="00EB2BD8">
        <w:rPr>
          <w:rFonts w:ascii="Arial" w:hAnsi="Arial"/>
          <w:spacing w:val="-2"/>
          <w:w w:val="105"/>
          <w:sz w:val="16"/>
        </w:rPr>
        <w:t xml:space="preserve"> </w:t>
      </w:r>
      <w:r w:rsidRPr="00EB2BD8">
        <w:rPr>
          <w:rFonts w:ascii="Arial" w:hAnsi="Arial"/>
          <w:w w:val="105"/>
          <w:sz w:val="16"/>
        </w:rPr>
        <w:t>value</w:t>
      </w:r>
      <w:r w:rsidRPr="00EB2BD8">
        <w:rPr>
          <w:rFonts w:ascii="Arial" w:hAnsi="Arial"/>
          <w:spacing w:val="-2"/>
          <w:w w:val="105"/>
          <w:sz w:val="16"/>
        </w:rPr>
        <w:t xml:space="preserve"> </w:t>
      </w:r>
      <w:r w:rsidRPr="00EB2BD8">
        <w:rPr>
          <w:rFonts w:ascii="Arial" w:hAnsi="Arial"/>
          <w:w w:val="105"/>
          <w:sz w:val="16"/>
        </w:rPr>
        <w:t>measurement</w:t>
      </w:r>
      <w:r w:rsidRPr="00EB2BD8">
        <w:rPr>
          <w:rFonts w:ascii="Arial" w:hAnsi="Arial"/>
          <w:spacing w:val="-2"/>
          <w:w w:val="105"/>
          <w:sz w:val="16"/>
        </w:rPr>
        <w:t xml:space="preserve"> </w:t>
      </w:r>
      <w:r w:rsidRPr="00EB2BD8">
        <w:rPr>
          <w:rFonts w:ascii="Arial" w:hAnsi="Arial"/>
          <w:w w:val="105"/>
          <w:sz w:val="16"/>
        </w:rPr>
        <w:t>is directly or indirectly observable; and</w:t>
      </w:r>
    </w:p>
    <w:p w14:paraId="456FC884" w14:textId="77777777" w:rsidR="00084F36" w:rsidRPr="00EB2BD8" w:rsidRDefault="00EB2BD8">
      <w:pPr>
        <w:pStyle w:val="ListParagraph"/>
        <w:numPr>
          <w:ilvl w:val="0"/>
          <w:numId w:val="6"/>
        </w:numPr>
        <w:tabs>
          <w:tab w:val="left" w:pos="1732"/>
        </w:tabs>
        <w:spacing w:before="3" w:line="285" w:lineRule="auto"/>
        <w:ind w:right="1861"/>
        <w:rPr>
          <w:rFonts w:ascii="Arial" w:hAnsi="Arial"/>
          <w:sz w:val="16"/>
        </w:rPr>
      </w:pPr>
      <w:r w:rsidRPr="00EB2BD8">
        <w:rPr>
          <w:rFonts w:ascii="Arial" w:hAnsi="Arial"/>
          <w:w w:val="105"/>
          <w:sz w:val="16"/>
        </w:rPr>
        <w:t>Level</w:t>
      </w:r>
      <w:r w:rsidRPr="00EB2BD8">
        <w:rPr>
          <w:rFonts w:ascii="Arial" w:hAnsi="Arial"/>
          <w:spacing w:val="-2"/>
          <w:w w:val="105"/>
          <w:sz w:val="16"/>
        </w:rPr>
        <w:t xml:space="preserve"> </w:t>
      </w:r>
      <w:r w:rsidRPr="00EB2BD8">
        <w:rPr>
          <w:rFonts w:ascii="Arial" w:hAnsi="Arial"/>
          <w:w w:val="105"/>
          <w:sz w:val="16"/>
        </w:rPr>
        <w:t>3</w:t>
      </w:r>
      <w:r w:rsidRPr="00EB2BD8">
        <w:rPr>
          <w:rFonts w:ascii="Arial" w:hAnsi="Arial"/>
          <w:spacing w:val="-2"/>
          <w:w w:val="105"/>
          <w:sz w:val="16"/>
        </w:rPr>
        <w:t xml:space="preserve"> </w:t>
      </w:r>
      <w:r w:rsidRPr="00EB2BD8">
        <w:rPr>
          <w:rFonts w:ascii="Arial" w:hAnsi="Arial"/>
          <w:w w:val="105"/>
          <w:sz w:val="16"/>
        </w:rPr>
        <w:t>–</w:t>
      </w:r>
      <w:r w:rsidRPr="00EB2BD8">
        <w:rPr>
          <w:rFonts w:ascii="Arial" w:hAnsi="Arial"/>
          <w:spacing w:val="-2"/>
          <w:w w:val="105"/>
          <w:sz w:val="16"/>
        </w:rPr>
        <w:t xml:space="preserve"> </w:t>
      </w:r>
      <w:r w:rsidRPr="00EB2BD8">
        <w:rPr>
          <w:rFonts w:ascii="Arial" w:hAnsi="Arial"/>
          <w:w w:val="105"/>
          <w:sz w:val="16"/>
        </w:rPr>
        <w:t>valuation</w:t>
      </w:r>
      <w:r w:rsidRPr="00EB2BD8">
        <w:rPr>
          <w:rFonts w:ascii="Arial" w:hAnsi="Arial"/>
          <w:spacing w:val="-2"/>
          <w:w w:val="105"/>
          <w:sz w:val="16"/>
        </w:rPr>
        <w:t xml:space="preserve"> </w:t>
      </w:r>
      <w:r w:rsidRPr="00EB2BD8">
        <w:rPr>
          <w:rFonts w:ascii="Arial" w:hAnsi="Arial"/>
          <w:w w:val="105"/>
          <w:sz w:val="16"/>
        </w:rPr>
        <w:t>techniques</w:t>
      </w:r>
      <w:r w:rsidRPr="00EB2BD8">
        <w:rPr>
          <w:rFonts w:ascii="Arial" w:hAnsi="Arial"/>
          <w:spacing w:val="-1"/>
          <w:w w:val="105"/>
          <w:sz w:val="16"/>
        </w:rPr>
        <w:t xml:space="preserve"> </w:t>
      </w:r>
      <w:r w:rsidRPr="00EB2BD8">
        <w:rPr>
          <w:rFonts w:ascii="Arial" w:hAnsi="Arial"/>
          <w:w w:val="105"/>
          <w:sz w:val="16"/>
        </w:rPr>
        <w:t>for</w:t>
      </w:r>
      <w:r w:rsidRPr="00EB2BD8">
        <w:rPr>
          <w:rFonts w:ascii="Arial" w:hAnsi="Arial"/>
          <w:spacing w:val="-2"/>
          <w:w w:val="105"/>
          <w:sz w:val="16"/>
        </w:rPr>
        <w:t xml:space="preserve"> </w:t>
      </w:r>
      <w:r w:rsidRPr="00EB2BD8">
        <w:rPr>
          <w:rFonts w:ascii="Arial" w:hAnsi="Arial"/>
          <w:w w:val="105"/>
          <w:sz w:val="16"/>
        </w:rPr>
        <w:t>which</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lowest</w:t>
      </w:r>
      <w:r w:rsidRPr="00EB2BD8">
        <w:rPr>
          <w:rFonts w:ascii="Arial" w:hAnsi="Arial"/>
          <w:spacing w:val="-2"/>
          <w:w w:val="105"/>
          <w:sz w:val="16"/>
        </w:rPr>
        <w:t xml:space="preserve"> </w:t>
      </w:r>
      <w:r w:rsidRPr="00EB2BD8">
        <w:rPr>
          <w:rFonts w:ascii="Arial" w:hAnsi="Arial"/>
          <w:w w:val="105"/>
          <w:sz w:val="16"/>
        </w:rPr>
        <w:t>level</w:t>
      </w:r>
      <w:r w:rsidRPr="00EB2BD8">
        <w:rPr>
          <w:rFonts w:ascii="Arial" w:hAnsi="Arial"/>
          <w:spacing w:val="-2"/>
          <w:w w:val="105"/>
          <w:sz w:val="16"/>
        </w:rPr>
        <w:t xml:space="preserve"> </w:t>
      </w:r>
      <w:r w:rsidRPr="00EB2BD8">
        <w:rPr>
          <w:rFonts w:ascii="Arial" w:hAnsi="Arial"/>
          <w:w w:val="105"/>
          <w:sz w:val="16"/>
        </w:rPr>
        <w:t>input</w:t>
      </w:r>
      <w:r w:rsidRPr="00EB2BD8">
        <w:rPr>
          <w:rFonts w:ascii="Arial" w:hAnsi="Arial"/>
          <w:spacing w:val="-2"/>
          <w:w w:val="105"/>
          <w:sz w:val="16"/>
        </w:rPr>
        <w:t xml:space="preserve"> </w:t>
      </w:r>
      <w:r w:rsidRPr="00EB2BD8">
        <w:rPr>
          <w:rFonts w:ascii="Arial" w:hAnsi="Arial"/>
          <w:w w:val="105"/>
          <w:sz w:val="16"/>
        </w:rPr>
        <w:t>that</w:t>
      </w:r>
      <w:r w:rsidRPr="00EB2BD8">
        <w:rPr>
          <w:rFonts w:ascii="Arial" w:hAnsi="Arial"/>
          <w:spacing w:val="-2"/>
          <w:w w:val="105"/>
          <w:sz w:val="16"/>
        </w:rPr>
        <w:t xml:space="preserve"> </w:t>
      </w:r>
      <w:r w:rsidRPr="00EB2BD8">
        <w:rPr>
          <w:rFonts w:ascii="Arial" w:hAnsi="Arial"/>
          <w:w w:val="105"/>
          <w:sz w:val="16"/>
        </w:rPr>
        <w:t>is</w:t>
      </w:r>
      <w:r w:rsidRPr="00EB2BD8">
        <w:rPr>
          <w:rFonts w:ascii="Arial" w:hAnsi="Arial"/>
          <w:spacing w:val="-2"/>
          <w:w w:val="105"/>
          <w:sz w:val="16"/>
        </w:rPr>
        <w:t xml:space="preserve"> </w:t>
      </w:r>
      <w:r w:rsidRPr="00EB2BD8">
        <w:rPr>
          <w:rFonts w:ascii="Arial" w:hAnsi="Arial"/>
          <w:w w:val="105"/>
          <w:sz w:val="16"/>
        </w:rPr>
        <w:t>significant</w:t>
      </w:r>
      <w:r w:rsidRPr="00EB2BD8">
        <w:rPr>
          <w:rFonts w:ascii="Arial" w:hAnsi="Arial"/>
          <w:spacing w:val="-2"/>
          <w:w w:val="105"/>
          <w:sz w:val="16"/>
        </w:rPr>
        <w:t xml:space="preserve"> </w:t>
      </w:r>
      <w:r w:rsidRPr="00EB2BD8">
        <w:rPr>
          <w:rFonts w:ascii="Arial" w:hAnsi="Arial"/>
          <w:w w:val="105"/>
          <w:sz w:val="16"/>
        </w:rPr>
        <w:t>to</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fair</w:t>
      </w:r>
      <w:r w:rsidRPr="00EB2BD8">
        <w:rPr>
          <w:rFonts w:ascii="Arial" w:hAnsi="Arial"/>
          <w:spacing w:val="-2"/>
          <w:w w:val="105"/>
          <w:sz w:val="16"/>
        </w:rPr>
        <w:t xml:space="preserve"> </w:t>
      </w:r>
      <w:r w:rsidRPr="00EB2BD8">
        <w:rPr>
          <w:rFonts w:ascii="Arial" w:hAnsi="Arial"/>
          <w:w w:val="105"/>
          <w:sz w:val="16"/>
        </w:rPr>
        <w:t>value</w:t>
      </w:r>
      <w:r w:rsidRPr="00EB2BD8">
        <w:rPr>
          <w:rFonts w:ascii="Arial" w:hAnsi="Arial"/>
          <w:spacing w:val="-2"/>
          <w:w w:val="105"/>
          <w:sz w:val="16"/>
        </w:rPr>
        <w:t xml:space="preserve"> </w:t>
      </w:r>
      <w:r w:rsidRPr="00EB2BD8">
        <w:rPr>
          <w:rFonts w:ascii="Arial" w:hAnsi="Arial"/>
          <w:w w:val="105"/>
          <w:sz w:val="16"/>
        </w:rPr>
        <w:t>measurement</w:t>
      </w:r>
      <w:r w:rsidRPr="00EB2BD8">
        <w:rPr>
          <w:rFonts w:ascii="Arial" w:hAnsi="Arial"/>
          <w:spacing w:val="-2"/>
          <w:w w:val="105"/>
          <w:sz w:val="16"/>
        </w:rPr>
        <w:t xml:space="preserve"> </w:t>
      </w:r>
      <w:r w:rsidRPr="00EB2BD8">
        <w:rPr>
          <w:rFonts w:ascii="Arial" w:hAnsi="Arial"/>
          <w:w w:val="105"/>
          <w:sz w:val="16"/>
        </w:rPr>
        <w:t xml:space="preserve">is </w:t>
      </w:r>
      <w:r w:rsidRPr="00EB2BD8">
        <w:rPr>
          <w:rFonts w:ascii="Arial" w:hAnsi="Arial"/>
          <w:spacing w:val="-2"/>
          <w:w w:val="105"/>
          <w:sz w:val="16"/>
        </w:rPr>
        <w:t>unobservable.</w:t>
      </w:r>
    </w:p>
    <w:p w14:paraId="6C6C4512" w14:textId="77777777" w:rsidR="00084F36" w:rsidRPr="00EB2BD8" w:rsidRDefault="00084F36">
      <w:pPr>
        <w:pStyle w:val="BodyText"/>
        <w:spacing w:before="7"/>
        <w:rPr>
          <w:rFonts w:ascii="Arial"/>
          <w:sz w:val="19"/>
        </w:rPr>
      </w:pPr>
    </w:p>
    <w:p w14:paraId="10A2AA92" w14:textId="77777777" w:rsidR="00084F36" w:rsidRPr="00EB2BD8" w:rsidRDefault="00EB2BD8">
      <w:pPr>
        <w:spacing w:line="290" w:lineRule="auto"/>
        <w:ind w:left="1060" w:right="1672"/>
        <w:rPr>
          <w:rFonts w:ascii="Arial"/>
          <w:sz w:val="16"/>
        </w:rPr>
      </w:pPr>
      <w:r w:rsidRPr="00EB2BD8">
        <w:rPr>
          <w:rFonts w:ascii="Arial"/>
          <w:w w:val="105"/>
          <w:sz w:val="16"/>
        </w:rPr>
        <w:t>The</w:t>
      </w:r>
      <w:r w:rsidRPr="00EB2BD8">
        <w:rPr>
          <w:rFonts w:ascii="Arial"/>
          <w:spacing w:val="-3"/>
          <w:w w:val="105"/>
          <w:sz w:val="16"/>
        </w:rPr>
        <w:t xml:space="preserve"> </w:t>
      </w:r>
      <w:r w:rsidRPr="00EB2BD8">
        <w:rPr>
          <w:rFonts w:ascii="Arial"/>
          <w:w w:val="105"/>
          <w:sz w:val="16"/>
        </w:rPr>
        <w:t>VBA</w:t>
      </w:r>
      <w:r w:rsidRPr="00EB2BD8">
        <w:rPr>
          <w:rFonts w:ascii="Arial"/>
          <w:spacing w:val="-3"/>
          <w:w w:val="105"/>
          <w:sz w:val="16"/>
        </w:rPr>
        <w:t xml:space="preserve"> </w:t>
      </w:r>
      <w:r w:rsidRPr="00EB2BD8">
        <w:rPr>
          <w:rFonts w:ascii="Arial"/>
          <w:w w:val="105"/>
          <w:sz w:val="16"/>
        </w:rPr>
        <w:t>determines</w:t>
      </w:r>
      <w:r w:rsidRPr="00EB2BD8">
        <w:rPr>
          <w:rFonts w:ascii="Arial"/>
          <w:spacing w:val="-3"/>
          <w:w w:val="105"/>
          <w:sz w:val="16"/>
        </w:rPr>
        <w:t xml:space="preserve"> </w:t>
      </w:r>
      <w:r w:rsidRPr="00EB2BD8">
        <w:rPr>
          <w:rFonts w:ascii="Arial"/>
          <w:w w:val="105"/>
          <w:sz w:val="16"/>
        </w:rPr>
        <w:t>whether</w:t>
      </w:r>
      <w:r w:rsidRPr="00EB2BD8">
        <w:rPr>
          <w:rFonts w:ascii="Arial"/>
          <w:spacing w:val="-2"/>
          <w:w w:val="105"/>
          <w:sz w:val="16"/>
        </w:rPr>
        <w:t xml:space="preserve"> </w:t>
      </w:r>
      <w:r w:rsidRPr="00EB2BD8">
        <w:rPr>
          <w:rFonts w:ascii="Arial"/>
          <w:w w:val="105"/>
          <w:sz w:val="16"/>
        </w:rPr>
        <w:t>transfers</w:t>
      </w:r>
      <w:r w:rsidRPr="00EB2BD8">
        <w:rPr>
          <w:rFonts w:ascii="Arial"/>
          <w:spacing w:val="-3"/>
          <w:w w:val="105"/>
          <w:sz w:val="16"/>
        </w:rPr>
        <w:t xml:space="preserve"> </w:t>
      </w:r>
      <w:r w:rsidRPr="00EB2BD8">
        <w:rPr>
          <w:rFonts w:ascii="Arial"/>
          <w:w w:val="105"/>
          <w:sz w:val="16"/>
        </w:rPr>
        <w:t>have</w:t>
      </w:r>
      <w:r w:rsidRPr="00EB2BD8">
        <w:rPr>
          <w:rFonts w:ascii="Arial"/>
          <w:spacing w:val="-2"/>
          <w:w w:val="105"/>
          <w:sz w:val="16"/>
        </w:rPr>
        <w:t xml:space="preserve"> </w:t>
      </w:r>
      <w:r w:rsidRPr="00EB2BD8">
        <w:rPr>
          <w:rFonts w:ascii="Arial"/>
          <w:w w:val="105"/>
          <w:sz w:val="16"/>
        </w:rPr>
        <w:t>occurred</w:t>
      </w:r>
      <w:r w:rsidRPr="00EB2BD8">
        <w:rPr>
          <w:rFonts w:ascii="Arial"/>
          <w:spacing w:val="-3"/>
          <w:w w:val="105"/>
          <w:sz w:val="16"/>
        </w:rPr>
        <w:t xml:space="preserve"> </w:t>
      </w:r>
      <w:r w:rsidRPr="00EB2BD8">
        <w:rPr>
          <w:rFonts w:ascii="Arial"/>
          <w:w w:val="105"/>
          <w:sz w:val="16"/>
        </w:rPr>
        <w:t>between</w:t>
      </w:r>
      <w:r w:rsidRPr="00EB2BD8">
        <w:rPr>
          <w:rFonts w:ascii="Arial"/>
          <w:spacing w:val="-3"/>
          <w:w w:val="105"/>
          <w:sz w:val="16"/>
        </w:rPr>
        <w:t xml:space="preserve"> </w:t>
      </w:r>
      <w:r w:rsidRPr="00EB2BD8">
        <w:rPr>
          <w:rFonts w:ascii="Arial"/>
          <w:w w:val="105"/>
          <w:sz w:val="16"/>
        </w:rPr>
        <w:t>levels</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hierarchy</w:t>
      </w:r>
      <w:r w:rsidRPr="00EB2BD8">
        <w:rPr>
          <w:rFonts w:ascii="Arial"/>
          <w:spacing w:val="-3"/>
          <w:w w:val="105"/>
          <w:sz w:val="16"/>
        </w:rPr>
        <w:t xml:space="preserve"> </w:t>
      </w:r>
      <w:r w:rsidRPr="00EB2BD8">
        <w:rPr>
          <w:rFonts w:ascii="Arial"/>
          <w:w w:val="105"/>
          <w:sz w:val="16"/>
        </w:rPr>
        <w:t>by</w:t>
      </w:r>
      <w:r w:rsidRPr="00EB2BD8">
        <w:rPr>
          <w:rFonts w:ascii="Arial"/>
          <w:spacing w:val="-2"/>
          <w:w w:val="105"/>
          <w:sz w:val="16"/>
        </w:rPr>
        <w:t xml:space="preserve"> </w:t>
      </w:r>
      <w:r w:rsidRPr="00EB2BD8">
        <w:rPr>
          <w:rFonts w:ascii="Arial"/>
          <w:w w:val="105"/>
          <w:sz w:val="16"/>
        </w:rPr>
        <w:t>reassessing</w:t>
      </w:r>
      <w:r w:rsidRPr="00EB2BD8">
        <w:rPr>
          <w:rFonts w:ascii="Arial"/>
          <w:spacing w:val="-3"/>
          <w:w w:val="105"/>
          <w:sz w:val="16"/>
        </w:rPr>
        <w:t xml:space="preserve"> </w:t>
      </w:r>
      <w:r w:rsidRPr="00EB2BD8">
        <w:rPr>
          <w:rFonts w:ascii="Arial"/>
          <w:w w:val="105"/>
          <w:sz w:val="16"/>
        </w:rPr>
        <w:t>categorisation</w:t>
      </w:r>
      <w:r w:rsidRPr="00EB2BD8">
        <w:rPr>
          <w:rFonts w:ascii="Arial"/>
          <w:spacing w:val="-3"/>
          <w:w w:val="105"/>
          <w:sz w:val="16"/>
        </w:rPr>
        <w:t xml:space="preserve"> </w:t>
      </w:r>
      <w:r w:rsidRPr="00EB2BD8">
        <w:rPr>
          <w:rFonts w:ascii="Arial"/>
          <w:w w:val="105"/>
          <w:sz w:val="16"/>
        </w:rPr>
        <w:t>(based on the lowest level input that is significant to the fair value measurement as a whole) at the end of each reporting period.</w:t>
      </w:r>
    </w:p>
    <w:p w14:paraId="4B764D39" w14:textId="77777777" w:rsidR="00084F36" w:rsidRPr="00EB2BD8" w:rsidRDefault="00084F36">
      <w:pPr>
        <w:pStyle w:val="BodyText"/>
        <w:spacing w:before="2"/>
        <w:rPr>
          <w:rFonts w:ascii="Arial"/>
          <w:sz w:val="19"/>
        </w:rPr>
      </w:pPr>
    </w:p>
    <w:p w14:paraId="147D67AA" w14:textId="77777777" w:rsidR="00084F36" w:rsidRPr="00EB2BD8" w:rsidRDefault="00EB2BD8">
      <w:pPr>
        <w:spacing w:before="1" w:line="290" w:lineRule="auto"/>
        <w:ind w:left="1060" w:right="1602"/>
        <w:rPr>
          <w:rFonts w:ascii="Arial" w:hAnsi="Arial"/>
          <w:sz w:val="16"/>
        </w:rPr>
      </w:pPr>
      <w:r w:rsidRPr="00EB2BD8">
        <w:rPr>
          <w:rFonts w:ascii="Arial" w:hAnsi="Arial"/>
          <w:w w:val="105"/>
          <w:sz w:val="16"/>
        </w:rPr>
        <w:t>The Valuer-General of Victoria (VGV) is the VBA’s independent valuation agency. The VBA, in conjunction with VGV, monitors</w:t>
      </w:r>
      <w:r w:rsidRPr="00EB2BD8">
        <w:rPr>
          <w:rFonts w:ascii="Arial" w:hAnsi="Arial"/>
          <w:spacing w:val="-3"/>
          <w:w w:val="105"/>
          <w:sz w:val="16"/>
        </w:rPr>
        <w:t xml:space="preserve"> </w:t>
      </w:r>
      <w:r w:rsidRPr="00EB2BD8">
        <w:rPr>
          <w:rFonts w:ascii="Arial" w:hAnsi="Arial"/>
          <w:w w:val="105"/>
          <w:sz w:val="16"/>
        </w:rPr>
        <w:t>changes</w:t>
      </w:r>
      <w:r w:rsidRPr="00EB2BD8">
        <w:rPr>
          <w:rFonts w:ascii="Arial" w:hAnsi="Arial"/>
          <w:spacing w:val="-3"/>
          <w:w w:val="105"/>
          <w:sz w:val="16"/>
        </w:rPr>
        <w:t xml:space="preserve"> </w:t>
      </w:r>
      <w:r w:rsidRPr="00EB2BD8">
        <w:rPr>
          <w:rFonts w:ascii="Arial" w:hAnsi="Arial"/>
          <w:w w:val="105"/>
          <w:sz w:val="16"/>
        </w:rPr>
        <w:t>in</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fair</w:t>
      </w:r>
      <w:r w:rsidRPr="00EB2BD8">
        <w:rPr>
          <w:rFonts w:ascii="Arial" w:hAnsi="Arial"/>
          <w:spacing w:val="-3"/>
          <w:w w:val="105"/>
          <w:sz w:val="16"/>
        </w:rPr>
        <w:t xml:space="preserve"> </w:t>
      </w:r>
      <w:r w:rsidRPr="00EB2BD8">
        <w:rPr>
          <w:rFonts w:ascii="Arial" w:hAnsi="Arial"/>
          <w:w w:val="105"/>
          <w:sz w:val="16"/>
        </w:rPr>
        <w:t>value</w:t>
      </w:r>
      <w:r w:rsidRPr="00EB2BD8">
        <w:rPr>
          <w:rFonts w:ascii="Arial" w:hAnsi="Arial"/>
          <w:spacing w:val="-3"/>
          <w:w w:val="105"/>
          <w:sz w:val="16"/>
        </w:rPr>
        <w:t xml:space="preserve"> </w:t>
      </w:r>
      <w:r w:rsidRPr="00EB2BD8">
        <w:rPr>
          <w:rFonts w:ascii="Arial" w:hAnsi="Arial"/>
          <w:w w:val="105"/>
          <w:sz w:val="16"/>
        </w:rPr>
        <w:t>of</w:t>
      </w:r>
      <w:r w:rsidRPr="00EB2BD8">
        <w:rPr>
          <w:rFonts w:ascii="Arial" w:hAnsi="Arial"/>
          <w:spacing w:val="-3"/>
          <w:w w:val="105"/>
          <w:sz w:val="16"/>
        </w:rPr>
        <w:t xml:space="preserve"> </w:t>
      </w:r>
      <w:r w:rsidRPr="00EB2BD8">
        <w:rPr>
          <w:rFonts w:ascii="Arial" w:hAnsi="Arial"/>
          <w:w w:val="105"/>
          <w:sz w:val="16"/>
        </w:rPr>
        <w:t>each</w:t>
      </w:r>
      <w:r w:rsidRPr="00EB2BD8">
        <w:rPr>
          <w:rFonts w:ascii="Arial" w:hAnsi="Arial"/>
          <w:spacing w:val="-3"/>
          <w:w w:val="105"/>
          <w:sz w:val="16"/>
        </w:rPr>
        <w:t xml:space="preserve"> </w:t>
      </w:r>
      <w:r w:rsidRPr="00EB2BD8">
        <w:rPr>
          <w:rFonts w:ascii="Arial" w:hAnsi="Arial"/>
          <w:w w:val="105"/>
          <w:sz w:val="16"/>
        </w:rPr>
        <w:t>asset</w:t>
      </w:r>
      <w:r w:rsidRPr="00EB2BD8">
        <w:rPr>
          <w:rFonts w:ascii="Arial" w:hAnsi="Arial"/>
          <w:spacing w:val="-3"/>
          <w:w w:val="105"/>
          <w:sz w:val="16"/>
        </w:rPr>
        <w:t xml:space="preserve"> </w:t>
      </w:r>
      <w:r w:rsidRPr="00EB2BD8">
        <w:rPr>
          <w:rFonts w:ascii="Arial" w:hAnsi="Arial"/>
          <w:w w:val="105"/>
          <w:sz w:val="16"/>
        </w:rPr>
        <w:t>and</w:t>
      </w:r>
      <w:r w:rsidRPr="00EB2BD8">
        <w:rPr>
          <w:rFonts w:ascii="Arial" w:hAnsi="Arial"/>
          <w:spacing w:val="-3"/>
          <w:w w:val="105"/>
          <w:sz w:val="16"/>
        </w:rPr>
        <w:t xml:space="preserve"> </w:t>
      </w:r>
      <w:r w:rsidRPr="00EB2BD8">
        <w:rPr>
          <w:rFonts w:ascii="Arial" w:hAnsi="Arial"/>
          <w:w w:val="105"/>
          <w:sz w:val="16"/>
        </w:rPr>
        <w:t>liability</w:t>
      </w:r>
      <w:r w:rsidRPr="00EB2BD8">
        <w:rPr>
          <w:rFonts w:ascii="Arial" w:hAnsi="Arial"/>
          <w:spacing w:val="-2"/>
          <w:w w:val="105"/>
          <w:sz w:val="16"/>
        </w:rPr>
        <w:t xml:space="preserve"> </w:t>
      </w:r>
      <w:r w:rsidRPr="00EB2BD8">
        <w:rPr>
          <w:rFonts w:ascii="Arial" w:hAnsi="Arial"/>
          <w:w w:val="105"/>
          <w:sz w:val="16"/>
        </w:rPr>
        <w:t>through</w:t>
      </w:r>
      <w:r w:rsidRPr="00EB2BD8">
        <w:rPr>
          <w:rFonts w:ascii="Arial" w:hAnsi="Arial"/>
          <w:spacing w:val="-3"/>
          <w:w w:val="105"/>
          <w:sz w:val="16"/>
        </w:rPr>
        <w:t xml:space="preserve"> </w:t>
      </w:r>
      <w:r w:rsidRPr="00EB2BD8">
        <w:rPr>
          <w:rFonts w:ascii="Arial" w:hAnsi="Arial"/>
          <w:w w:val="105"/>
          <w:sz w:val="16"/>
        </w:rPr>
        <w:t>relevant</w:t>
      </w:r>
      <w:r w:rsidRPr="00EB2BD8">
        <w:rPr>
          <w:rFonts w:ascii="Arial" w:hAnsi="Arial"/>
          <w:spacing w:val="-3"/>
          <w:w w:val="105"/>
          <w:sz w:val="16"/>
        </w:rPr>
        <w:t xml:space="preserve"> </w:t>
      </w:r>
      <w:r w:rsidRPr="00EB2BD8">
        <w:rPr>
          <w:rFonts w:ascii="Arial" w:hAnsi="Arial"/>
          <w:w w:val="105"/>
          <w:sz w:val="16"/>
        </w:rPr>
        <w:t>data</w:t>
      </w:r>
      <w:r w:rsidRPr="00EB2BD8">
        <w:rPr>
          <w:rFonts w:ascii="Arial" w:hAnsi="Arial"/>
          <w:spacing w:val="-3"/>
          <w:w w:val="105"/>
          <w:sz w:val="16"/>
        </w:rPr>
        <w:t xml:space="preserve"> </w:t>
      </w:r>
      <w:r w:rsidRPr="00EB2BD8">
        <w:rPr>
          <w:rFonts w:ascii="Arial" w:hAnsi="Arial"/>
          <w:w w:val="105"/>
          <w:sz w:val="16"/>
        </w:rPr>
        <w:t>sources</w:t>
      </w:r>
      <w:r w:rsidRPr="00EB2BD8">
        <w:rPr>
          <w:rFonts w:ascii="Arial" w:hAnsi="Arial"/>
          <w:spacing w:val="-3"/>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determine</w:t>
      </w:r>
      <w:r w:rsidRPr="00EB2BD8">
        <w:rPr>
          <w:rFonts w:ascii="Arial" w:hAnsi="Arial"/>
          <w:spacing w:val="-2"/>
          <w:w w:val="105"/>
          <w:sz w:val="16"/>
        </w:rPr>
        <w:t xml:space="preserve"> </w:t>
      </w:r>
      <w:r w:rsidRPr="00EB2BD8">
        <w:rPr>
          <w:rFonts w:ascii="Arial" w:hAnsi="Arial"/>
          <w:w w:val="105"/>
          <w:sz w:val="16"/>
        </w:rPr>
        <w:t>whether</w:t>
      </w:r>
      <w:r w:rsidRPr="00EB2BD8">
        <w:rPr>
          <w:rFonts w:ascii="Arial" w:hAnsi="Arial"/>
          <w:spacing w:val="-3"/>
          <w:w w:val="105"/>
          <w:sz w:val="16"/>
        </w:rPr>
        <w:t xml:space="preserve"> </w:t>
      </w:r>
      <w:r w:rsidRPr="00EB2BD8">
        <w:rPr>
          <w:rFonts w:ascii="Arial" w:hAnsi="Arial"/>
          <w:w w:val="105"/>
          <w:sz w:val="16"/>
        </w:rPr>
        <w:t>revaluation is required.</w:t>
      </w:r>
    </w:p>
    <w:p w14:paraId="29FEA413" w14:textId="77777777" w:rsidR="00084F36" w:rsidRPr="00EB2BD8" w:rsidRDefault="00084F36">
      <w:pPr>
        <w:pStyle w:val="BodyText"/>
        <w:spacing w:before="10"/>
        <w:rPr>
          <w:rFonts w:ascii="Arial"/>
        </w:rPr>
      </w:pPr>
    </w:p>
    <w:p w14:paraId="28E93309" w14:textId="77777777" w:rsidR="00084F36" w:rsidRPr="00EB2BD8" w:rsidRDefault="00EB2BD8" w:rsidP="00D0600F">
      <w:pPr>
        <w:pStyle w:val="Heading2"/>
        <w:ind w:firstLine="210"/>
      </w:pPr>
      <w:bookmarkStart w:id="356" w:name="_Toc150762658"/>
      <w:r w:rsidRPr="00EB2BD8">
        <w:t>How</w:t>
      </w:r>
      <w:r w:rsidRPr="00EB2BD8">
        <w:rPr>
          <w:spacing w:val="9"/>
        </w:rPr>
        <w:t xml:space="preserve"> </w:t>
      </w:r>
      <w:r w:rsidRPr="00EB2BD8">
        <w:t>this</w:t>
      </w:r>
      <w:r w:rsidRPr="00EB2BD8">
        <w:rPr>
          <w:spacing w:val="9"/>
        </w:rPr>
        <w:t xml:space="preserve"> </w:t>
      </w:r>
      <w:r w:rsidRPr="00EB2BD8">
        <w:t>section</w:t>
      </w:r>
      <w:r w:rsidRPr="00EB2BD8">
        <w:rPr>
          <w:spacing w:val="9"/>
        </w:rPr>
        <w:t xml:space="preserve"> </w:t>
      </w:r>
      <w:r w:rsidRPr="00EB2BD8">
        <w:t>is</w:t>
      </w:r>
      <w:r w:rsidRPr="00EB2BD8">
        <w:rPr>
          <w:spacing w:val="9"/>
        </w:rPr>
        <w:t xml:space="preserve"> </w:t>
      </w:r>
      <w:r w:rsidRPr="00EB2BD8">
        <w:rPr>
          <w:spacing w:val="-2"/>
        </w:rPr>
        <w:t>structured</w:t>
      </w:r>
      <w:bookmarkEnd w:id="356"/>
    </w:p>
    <w:p w14:paraId="1557BAB6" w14:textId="77777777" w:rsidR="00084F36" w:rsidRPr="00EB2BD8" w:rsidRDefault="00EB2BD8">
      <w:pPr>
        <w:spacing w:before="45"/>
        <w:ind w:left="1060"/>
        <w:rPr>
          <w:rFonts w:ascii="Arial"/>
          <w:sz w:val="16"/>
        </w:rPr>
      </w:pPr>
      <w:r w:rsidRPr="00EB2BD8">
        <w:rPr>
          <w:rFonts w:ascii="Arial"/>
          <w:w w:val="105"/>
          <w:sz w:val="16"/>
        </w:rPr>
        <w:t>For</w:t>
      </w:r>
      <w:r w:rsidRPr="00EB2BD8">
        <w:rPr>
          <w:rFonts w:ascii="Arial"/>
          <w:spacing w:val="-7"/>
          <w:w w:val="105"/>
          <w:sz w:val="16"/>
        </w:rPr>
        <w:t xml:space="preserve"> </w:t>
      </w:r>
      <w:r w:rsidRPr="00EB2BD8">
        <w:rPr>
          <w:rFonts w:ascii="Arial"/>
          <w:w w:val="105"/>
          <w:sz w:val="16"/>
        </w:rPr>
        <w:t>those</w:t>
      </w:r>
      <w:r w:rsidRPr="00EB2BD8">
        <w:rPr>
          <w:rFonts w:ascii="Arial"/>
          <w:spacing w:val="-7"/>
          <w:w w:val="105"/>
          <w:sz w:val="16"/>
        </w:rPr>
        <w:t xml:space="preserve"> </w:t>
      </w:r>
      <w:r w:rsidRPr="00EB2BD8">
        <w:rPr>
          <w:rFonts w:ascii="Arial"/>
          <w:w w:val="105"/>
          <w:sz w:val="16"/>
        </w:rPr>
        <w:t>assets</w:t>
      </w:r>
      <w:r w:rsidRPr="00EB2BD8">
        <w:rPr>
          <w:rFonts w:ascii="Arial"/>
          <w:spacing w:val="-7"/>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liabilities</w:t>
      </w:r>
      <w:r w:rsidRPr="00EB2BD8">
        <w:rPr>
          <w:rFonts w:ascii="Arial"/>
          <w:spacing w:val="-6"/>
          <w:w w:val="105"/>
          <w:sz w:val="16"/>
        </w:rPr>
        <w:t xml:space="preserve"> </w:t>
      </w:r>
      <w:r w:rsidRPr="00EB2BD8">
        <w:rPr>
          <w:rFonts w:ascii="Arial"/>
          <w:w w:val="105"/>
          <w:sz w:val="16"/>
        </w:rPr>
        <w:t>for</w:t>
      </w:r>
      <w:r w:rsidRPr="00EB2BD8">
        <w:rPr>
          <w:rFonts w:ascii="Arial"/>
          <w:spacing w:val="-7"/>
          <w:w w:val="105"/>
          <w:sz w:val="16"/>
        </w:rPr>
        <w:t xml:space="preserve"> </w:t>
      </w:r>
      <w:r w:rsidRPr="00EB2BD8">
        <w:rPr>
          <w:rFonts w:ascii="Arial"/>
          <w:w w:val="105"/>
          <w:sz w:val="16"/>
        </w:rPr>
        <w:t>which</w:t>
      </w:r>
      <w:r w:rsidRPr="00EB2BD8">
        <w:rPr>
          <w:rFonts w:ascii="Arial"/>
          <w:spacing w:val="-7"/>
          <w:w w:val="105"/>
          <w:sz w:val="16"/>
        </w:rPr>
        <w:t xml:space="preserve"> </w:t>
      </w:r>
      <w:r w:rsidRPr="00EB2BD8">
        <w:rPr>
          <w:rFonts w:ascii="Arial"/>
          <w:w w:val="105"/>
          <w:sz w:val="16"/>
        </w:rPr>
        <w:t>fair</w:t>
      </w:r>
      <w:r w:rsidRPr="00EB2BD8">
        <w:rPr>
          <w:rFonts w:ascii="Arial"/>
          <w:spacing w:val="-7"/>
          <w:w w:val="105"/>
          <w:sz w:val="16"/>
        </w:rPr>
        <w:t xml:space="preserve"> </w:t>
      </w:r>
      <w:r w:rsidRPr="00EB2BD8">
        <w:rPr>
          <w:rFonts w:ascii="Arial"/>
          <w:w w:val="105"/>
          <w:sz w:val="16"/>
        </w:rPr>
        <w:t>values</w:t>
      </w:r>
      <w:r w:rsidRPr="00EB2BD8">
        <w:rPr>
          <w:rFonts w:ascii="Arial"/>
          <w:spacing w:val="-6"/>
          <w:w w:val="105"/>
          <w:sz w:val="16"/>
        </w:rPr>
        <w:t xml:space="preserve"> </w:t>
      </w:r>
      <w:r w:rsidRPr="00EB2BD8">
        <w:rPr>
          <w:rFonts w:ascii="Arial"/>
          <w:w w:val="105"/>
          <w:sz w:val="16"/>
        </w:rPr>
        <w:t>are</w:t>
      </w:r>
      <w:r w:rsidRPr="00EB2BD8">
        <w:rPr>
          <w:rFonts w:ascii="Arial"/>
          <w:spacing w:val="-7"/>
          <w:w w:val="105"/>
          <w:sz w:val="16"/>
        </w:rPr>
        <w:t xml:space="preserve"> </w:t>
      </w:r>
      <w:r w:rsidRPr="00EB2BD8">
        <w:rPr>
          <w:rFonts w:ascii="Arial"/>
          <w:w w:val="105"/>
          <w:sz w:val="16"/>
        </w:rPr>
        <w:t>determined,</w:t>
      </w:r>
      <w:r w:rsidRPr="00EB2BD8">
        <w:rPr>
          <w:rFonts w:ascii="Arial"/>
          <w:spacing w:val="-7"/>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following</w:t>
      </w:r>
      <w:r w:rsidRPr="00EB2BD8">
        <w:rPr>
          <w:rFonts w:ascii="Arial"/>
          <w:spacing w:val="-6"/>
          <w:w w:val="105"/>
          <w:sz w:val="16"/>
        </w:rPr>
        <w:t xml:space="preserve"> </w:t>
      </w:r>
      <w:r w:rsidRPr="00EB2BD8">
        <w:rPr>
          <w:rFonts w:ascii="Arial"/>
          <w:w w:val="105"/>
          <w:sz w:val="16"/>
        </w:rPr>
        <w:t>disclosures</w:t>
      </w:r>
      <w:r w:rsidRPr="00EB2BD8">
        <w:rPr>
          <w:rFonts w:ascii="Arial"/>
          <w:spacing w:val="-7"/>
          <w:w w:val="105"/>
          <w:sz w:val="16"/>
        </w:rPr>
        <w:t xml:space="preserve"> </w:t>
      </w:r>
      <w:r w:rsidRPr="00EB2BD8">
        <w:rPr>
          <w:rFonts w:ascii="Arial"/>
          <w:w w:val="105"/>
          <w:sz w:val="16"/>
        </w:rPr>
        <w:t>are</w:t>
      </w:r>
      <w:r w:rsidRPr="00EB2BD8">
        <w:rPr>
          <w:rFonts w:ascii="Arial"/>
          <w:spacing w:val="-7"/>
          <w:w w:val="105"/>
          <w:sz w:val="16"/>
        </w:rPr>
        <w:t xml:space="preserve"> </w:t>
      </w:r>
      <w:r w:rsidRPr="00EB2BD8">
        <w:rPr>
          <w:rFonts w:ascii="Arial"/>
          <w:spacing w:val="-2"/>
          <w:w w:val="105"/>
          <w:sz w:val="16"/>
        </w:rPr>
        <w:t>provided:</w:t>
      </w:r>
    </w:p>
    <w:p w14:paraId="61A294CF" w14:textId="77777777" w:rsidR="00084F36" w:rsidRPr="00EB2BD8" w:rsidRDefault="00084F36">
      <w:pPr>
        <w:pStyle w:val="BodyText"/>
        <w:spacing w:before="1"/>
        <w:rPr>
          <w:rFonts w:ascii="Arial"/>
          <w:sz w:val="15"/>
        </w:rPr>
      </w:pPr>
    </w:p>
    <w:p w14:paraId="3533A7FC" w14:textId="77777777" w:rsidR="00084F36" w:rsidRPr="00EB2BD8" w:rsidRDefault="00EB2BD8">
      <w:pPr>
        <w:pStyle w:val="ListParagraph"/>
        <w:numPr>
          <w:ilvl w:val="0"/>
          <w:numId w:val="6"/>
        </w:numPr>
        <w:tabs>
          <w:tab w:val="left" w:pos="1732"/>
        </w:tabs>
        <w:rPr>
          <w:rFonts w:ascii="Arial" w:hAnsi="Arial"/>
          <w:sz w:val="16"/>
        </w:rPr>
      </w:pPr>
      <w:r w:rsidRPr="00EB2BD8">
        <w:rPr>
          <w:rFonts w:ascii="Arial" w:hAnsi="Arial"/>
          <w:w w:val="105"/>
          <w:sz w:val="16"/>
        </w:rPr>
        <w:t>carrying</w:t>
      </w:r>
      <w:r w:rsidRPr="00EB2BD8">
        <w:rPr>
          <w:rFonts w:ascii="Arial" w:hAnsi="Arial"/>
          <w:spacing w:val="-5"/>
          <w:w w:val="105"/>
          <w:sz w:val="16"/>
        </w:rPr>
        <w:t xml:space="preserve"> </w:t>
      </w:r>
      <w:r w:rsidRPr="00EB2BD8">
        <w:rPr>
          <w:rFonts w:ascii="Arial" w:hAnsi="Arial"/>
          <w:w w:val="105"/>
          <w:sz w:val="16"/>
        </w:rPr>
        <w:t>amount</w:t>
      </w:r>
      <w:r w:rsidRPr="00EB2BD8">
        <w:rPr>
          <w:rFonts w:ascii="Arial" w:hAnsi="Arial"/>
          <w:spacing w:val="-5"/>
          <w:w w:val="105"/>
          <w:sz w:val="16"/>
        </w:rPr>
        <w:t xml:space="preserve"> </w:t>
      </w:r>
      <w:r w:rsidRPr="00EB2BD8">
        <w:rPr>
          <w:rFonts w:ascii="Arial" w:hAnsi="Arial"/>
          <w:w w:val="105"/>
          <w:sz w:val="16"/>
        </w:rPr>
        <w:t>and</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w w:val="105"/>
          <w:sz w:val="16"/>
        </w:rPr>
        <w:t>fair</w:t>
      </w:r>
      <w:r w:rsidRPr="00EB2BD8">
        <w:rPr>
          <w:rFonts w:ascii="Arial" w:hAnsi="Arial"/>
          <w:spacing w:val="-5"/>
          <w:w w:val="105"/>
          <w:sz w:val="16"/>
        </w:rPr>
        <w:t xml:space="preserve"> </w:t>
      </w:r>
      <w:r w:rsidRPr="00EB2BD8">
        <w:rPr>
          <w:rFonts w:ascii="Arial" w:hAnsi="Arial"/>
          <w:w w:val="105"/>
          <w:sz w:val="16"/>
        </w:rPr>
        <w:t>value</w:t>
      </w:r>
      <w:r w:rsidRPr="00EB2BD8">
        <w:rPr>
          <w:rFonts w:ascii="Arial" w:hAnsi="Arial"/>
          <w:spacing w:val="-5"/>
          <w:w w:val="105"/>
          <w:sz w:val="16"/>
        </w:rPr>
        <w:t xml:space="preserve"> </w:t>
      </w:r>
      <w:r w:rsidRPr="00EB2BD8">
        <w:rPr>
          <w:rFonts w:ascii="Arial" w:hAnsi="Arial"/>
          <w:w w:val="105"/>
          <w:sz w:val="16"/>
        </w:rPr>
        <w:t>(which</w:t>
      </w:r>
      <w:r w:rsidRPr="00EB2BD8">
        <w:rPr>
          <w:rFonts w:ascii="Arial" w:hAnsi="Arial"/>
          <w:spacing w:val="-6"/>
          <w:w w:val="105"/>
          <w:sz w:val="16"/>
        </w:rPr>
        <w:t xml:space="preserve"> </w:t>
      </w:r>
      <w:r w:rsidRPr="00EB2BD8">
        <w:rPr>
          <w:rFonts w:ascii="Arial" w:hAnsi="Arial"/>
          <w:w w:val="105"/>
          <w:sz w:val="16"/>
        </w:rPr>
        <w:t>would</w:t>
      </w:r>
      <w:r w:rsidRPr="00EB2BD8">
        <w:rPr>
          <w:rFonts w:ascii="Arial" w:hAnsi="Arial"/>
          <w:spacing w:val="-5"/>
          <w:w w:val="105"/>
          <w:sz w:val="16"/>
        </w:rPr>
        <w:t xml:space="preserve"> </w:t>
      </w:r>
      <w:r w:rsidRPr="00EB2BD8">
        <w:rPr>
          <w:rFonts w:ascii="Arial" w:hAnsi="Arial"/>
          <w:w w:val="105"/>
          <w:sz w:val="16"/>
        </w:rPr>
        <w:t>be</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w w:val="105"/>
          <w:sz w:val="16"/>
        </w:rPr>
        <w:t>same</w:t>
      </w:r>
      <w:r w:rsidRPr="00EB2BD8">
        <w:rPr>
          <w:rFonts w:ascii="Arial" w:hAnsi="Arial"/>
          <w:spacing w:val="-5"/>
          <w:w w:val="105"/>
          <w:sz w:val="16"/>
        </w:rPr>
        <w:t xml:space="preserve"> </w:t>
      </w:r>
      <w:r w:rsidRPr="00EB2BD8">
        <w:rPr>
          <w:rFonts w:ascii="Arial" w:hAnsi="Arial"/>
          <w:w w:val="105"/>
          <w:sz w:val="16"/>
        </w:rPr>
        <w:t>for</w:t>
      </w:r>
      <w:r w:rsidRPr="00EB2BD8">
        <w:rPr>
          <w:rFonts w:ascii="Arial" w:hAnsi="Arial"/>
          <w:spacing w:val="-6"/>
          <w:w w:val="105"/>
          <w:sz w:val="16"/>
        </w:rPr>
        <w:t xml:space="preserve"> </w:t>
      </w:r>
      <w:r w:rsidRPr="00EB2BD8">
        <w:rPr>
          <w:rFonts w:ascii="Arial" w:hAnsi="Arial"/>
          <w:w w:val="105"/>
          <w:sz w:val="16"/>
        </w:rPr>
        <w:t>those</w:t>
      </w:r>
      <w:r w:rsidRPr="00EB2BD8">
        <w:rPr>
          <w:rFonts w:ascii="Arial" w:hAnsi="Arial"/>
          <w:spacing w:val="-5"/>
          <w:w w:val="105"/>
          <w:sz w:val="16"/>
        </w:rPr>
        <w:t xml:space="preserve"> </w:t>
      </w:r>
      <w:r w:rsidRPr="00EB2BD8">
        <w:rPr>
          <w:rFonts w:ascii="Arial" w:hAnsi="Arial"/>
          <w:w w:val="105"/>
          <w:sz w:val="16"/>
        </w:rPr>
        <w:t>assets</w:t>
      </w:r>
      <w:r w:rsidRPr="00EB2BD8">
        <w:rPr>
          <w:rFonts w:ascii="Arial" w:hAnsi="Arial"/>
          <w:spacing w:val="-6"/>
          <w:w w:val="105"/>
          <w:sz w:val="16"/>
        </w:rPr>
        <w:t xml:space="preserve"> </w:t>
      </w:r>
      <w:r w:rsidRPr="00EB2BD8">
        <w:rPr>
          <w:rFonts w:ascii="Arial" w:hAnsi="Arial"/>
          <w:w w:val="105"/>
          <w:sz w:val="16"/>
        </w:rPr>
        <w:t>measured</w:t>
      </w:r>
      <w:r w:rsidRPr="00EB2BD8">
        <w:rPr>
          <w:rFonts w:ascii="Arial" w:hAnsi="Arial"/>
          <w:spacing w:val="-5"/>
          <w:w w:val="105"/>
          <w:sz w:val="16"/>
        </w:rPr>
        <w:t xml:space="preserve"> </w:t>
      </w:r>
      <w:r w:rsidRPr="00EB2BD8">
        <w:rPr>
          <w:rFonts w:ascii="Arial" w:hAnsi="Arial"/>
          <w:w w:val="105"/>
          <w:sz w:val="16"/>
        </w:rPr>
        <w:t>at</w:t>
      </w:r>
      <w:r w:rsidRPr="00EB2BD8">
        <w:rPr>
          <w:rFonts w:ascii="Arial" w:hAnsi="Arial"/>
          <w:spacing w:val="-6"/>
          <w:w w:val="105"/>
          <w:sz w:val="16"/>
        </w:rPr>
        <w:t xml:space="preserve"> </w:t>
      </w:r>
      <w:r w:rsidRPr="00EB2BD8">
        <w:rPr>
          <w:rFonts w:ascii="Arial" w:hAnsi="Arial"/>
          <w:w w:val="105"/>
          <w:sz w:val="16"/>
        </w:rPr>
        <w:t>fair</w:t>
      </w:r>
      <w:r w:rsidRPr="00EB2BD8">
        <w:rPr>
          <w:rFonts w:ascii="Arial" w:hAnsi="Arial"/>
          <w:spacing w:val="-5"/>
          <w:w w:val="105"/>
          <w:sz w:val="16"/>
        </w:rPr>
        <w:t xml:space="preserve"> </w:t>
      </w:r>
      <w:r w:rsidRPr="00EB2BD8">
        <w:rPr>
          <w:rFonts w:ascii="Arial" w:hAnsi="Arial"/>
          <w:spacing w:val="-2"/>
          <w:w w:val="105"/>
          <w:sz w:val="16"/>
        </w:rPr>
        <w:t>value)</w:t>
      </w:r>
    </w:p>
    <w:p w14:paraId="19C03FC6" w14:textId="77777777" w:rsidR="00084F36" w:rsidRPr="00EB2BD8" w:rsidRDefault="00EB2BD8">
      <w:pPr>
        <w:pStyle w:val="ListParagraph"/>
        <w:numPr>
          <w:ilvl w:val="0"/>
          <w:numId w:val="6"/>
        </w:numPr>
        <w:tabs>
          <w:tab w:val="left" w:pos="1732"/>
        </w:tabs>
        <w:spacing w:before="103"/>
        <w:rPr>
          <w:rFonts w:ascii="Arial" w:hAnsi="Arial"/>
          <w:sz w:val="16"/>
        </w:rPr>
      </w:pPr>
      <w:r w:rsidRPr="00EB2BD8">
        <w:rPr>
          <w:rFonts w:ascii="Arial" w:hAnsi="Arial"/>
          <w:w w:val="105"/>
          <w:sz w:val="16"/>
        </w:rPr>
        <w:t>which</w:t>
      </w:r>
      <w:r w:rsidRPr="00EB2BD8">
        <w:rPr>
          <w:rFonts w:ascii="Arial" w:hAnsi="Arial"/>
          <w:spacing w:val="-6"/>
          <w:w w:val="105"/>
          <w:sz w:val="16"/>
        </w:rPr>
        <w:t xml:space="preserve"> </w:t>
      </w:r>
      <w:r w:rsidRPr="00EB2BD8">
        <w:rPr>
          <w:rFonts w:ascii="Arial" w:hAnsi="Arial"/>
          <w:w w:val="105"/>
          <w:sz w:val="16"/>
        </w:rPr>
        <w:t>level</w:t>
      </w:r>
      <w:r w:rsidRPr="00EB2BD8">
        <w:rPr>
          <w:rFonts w:ascii="Arial" w:hAnsi="Arial"/>
          <w:spacing w:val="-5"/>
          <w:w w:val="105"/>
          <w:sz w:val="16"/>
        </w:rPr>
        <w:t xml:space="preserve"> </w:t>
      </w:r>
      <w:r w:rsidRPr="00EB2BD8">
        <w:rPr>
          <w:rFonts w:ascii="Arial" w:hAnsi="Arial"/>
          <w:w w:val="105"/>
          <w:sz w:val="16"/>
        </w:rPr>
        <w:t>of</w:t>
      </w:r>
      <w:r w:rsidRPr="00EB2BD8">
        <w:rPr>
          <w:rFonts w:ascii="Arial" w:hAnsi="Arial"/>
          <w:spacing w:val="-5"/>
          <w:w w:val="105"/>
          <w:sz w:val="16"/>
        </w:rPr>
        <w:t xml:space="preserve"> </w:t>
      </w: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w w:val="105"/>
          <w:sz w:val="16"/>
        </w:rPr>
        <w:t>fair</w:t>
      </w:r>
      <w:r w:rsidRPr="00EB2BD8">
        <w:rPr>
          <w:rFonts w:ascii="Arial" w:hAnsi="Arial"/>
          <w:spacing w:val="-5"/>
          <w:w w:val="105"/>
          <w:sz w:val="16"/>
        </w:rPr>
        <w:t xml:space="preserve"> </w:t>
      </w:r>
      <w:r w:rsidRPr="00EB2BD8">
        <w:rPr>
          <w:rFonts w:ascii="Arial" w:hAnsi="Arial"/>
          <w:w w:val="105"/>
          <w:sz w:val="16"/>
        </w:rPr>
        <w:t>value</w:t>
      </w:r>
      <w:r w:rsidRPr="00EB2BD8">
        <w:rPr>
          <w:rFonts w:ascii="Arial" w:hAnsi="Arial"/>
          <w:spacing w:val="-5"/>
          <w:w w:val="105"/>
          <w:sz w:val="16"/>
        </w:rPr>
        <w:t xml:space="preserve"> </w:t>
      </w:r>
      <w:r w:rsidRPr="00EB2BD8">
        <w:rPr>
          <w:rFonts w:ascii="Arial" w:hAnsi="Arial"/>
          <w:w w:val="105"/>
          <w:sz w:val="16"/>
        </w:rPr>
        <w:t>hierarchy</w:t>
      </w:r>
      <w:r w:rsidRPr="00EB2BD8">
        <w:rPr>
          <w:rFonts w:ascii="Arial" w:hAnsi="Arial"/>
          <w:spacing w:val="-5"/>
          <w:w w:val="105"/>
          <w:sz w:val="16"/>
        </w:rPr>
        <w:t xml:space="preserve"> </w:t>
      </w:r>
      <w:r w:rsidRPr="00EB2BD8">
        <w:rPr>
          <w:rFonts w:ascii="Arial" w:hAnsi="Arial"/>
          <w:w w:val="105"/>
          <w:sz w:val="16"/>
        </w:rPr>
        <w:t>was</w:t>
      </w:r>
      <w:r w:rsidRPr="00EB2BD8">
        <w:rPr>
          <w:rFonts w:ascii="Arial" w:hAnsi="Arial"/>
          <w:spacing w:val="-6"/>
          <w:w w:val="105"/>
          <w:sz w:val="16"/>
        </w:rPr>
        <w:t xml:space="preserve"> </w:t>
      </w:r>
      <w:r w:rsidRPr="00EB2BD8">
        <w:rPr>
          <w:rFonts w:ascii="Arial" w:hAnsi="Arial"/>
          <w:w w:val="105"/>
          <w:sz w:val="16"/>
        </w:rPr>
        <w:t>used</w:t>
      </w:r>
      <w:r w:rsidRPr="00EB2BD8">
        <w:rPr>
          <w:rFonts w:ascii="Arial" w:hAnsi="Arial"/>
          <w:spacing w:val="-5"/>
          <w:w w:val="105"/>
          <w:sz w:val="16"/>
        </w:rPr>
        <w:t xml:space="preserve"> </w:t>
      </w:r>
      <w:r w:rsidRPr="00EB2BD8">
        <w:rPr>
          <w:rFonts w:ascii="Arial" w:hAnsi="Arial"/>
          <w:w w:val="105"/>
          <w:sz w:val="16"/>
        </w:rPr>
        <w:t>to</w:t>
      </w:r>
      <w:r w:rsidRPr="00EB2BD8">
        <w:rPr>
          <w:rFonts w:ascii="Arial" w:hAnsi="Arial"/>
          <w:spacing w:val="-5"/>
          <w:w w:val="105"/>
          <w:sz w:val="16"/>
        </w:rPr>
        <w:t xml:space="preserve"> </w:t>
      </w:r>
      <w:r w:rsidRPr="00EB2BD8">
        <w:rPr>
          <w:rFonts w:ascii="Arial" w:hAnsi="Arial"/>
          <w:w w:val="105"/>
          <w:sz w:val="16"/>
        </w:rPr>
        <w:t>determine</w:t>
      </w:r>
      <w:r w:rsidRPr="00EB2BD8">
        <w:rPr>
          <w:rFonts w:ascii="Arial" w:hAnsi="Arial"/>
          <w:spacing w:val="-5"/>
          <w:w w:val="105"/>
          <w:sz w:val="16"/>
        </w:rPr>
        <w:t xml:space="preserve"> </w:t>
      </w: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w w:val="105"/>
          <w:sz w:val="16"/>
        </w:rPr>
        <w:t>fair</w:t>
      </w:r>
      <w:r w:rsidRPr="00EB2BD8">
        <w:rPr>
          <w:rFonts w:ascii="Arial" w:hAnsi="Arial"/>
          <w:spacing w:val="-5"/>
          <w:w w:val="105"/>
          <w:sz w:val="16"/>
        </w:rPr>
        <w:t xml:space="preserve"> </w:t>
      </w:r>
      <w:r w:rsidRPr="00EB2BD8">
        <w:rPr>
          <w:rFonts w:ascii="Arial" w:hAnsi="Arial"/>
          <w:spacing w:val="-2"/>
          <w:w w:val="105"/>
          <w:sz w:val="16"/>
        </w:rPr>
        <w:t>value:</w:t>
      </w:r>
    </w:p>
    <w:p w14:paraId="7F5B3E81" w14:textId="77777777" w:rsidR="00084F36" w:rsidRPr="00EB2BD8" w:rsidRDefault="00EB2BD8">
      <w:pPr>
        <w:pStyle w:val="ListParagraph"/>
        <w:numPr>
          <w:ilvl w:val="1"/>
          <w:numId w:val="6"/>
        </w:numPr>
        <w:tabs>
          <w:tab w:val="left" w:pos="2068"/>
        </w:tabs>
        <w:spacing w:before="102"/>
        <w:rPr>
          <w:rFonts w:ascii="Arial" w:hAnsi="Arial"/>
          <w:sz w:val="16"/>
        </w:rPr>
      </w:pPr>
      <w:r w:rsidRPr="00EB2BD8">
        <w:rPr>
          <w:rFonts w:ascii="Arial" w:hAnsi="Arial"/>
          <w:w w:val="105"/>
          <w:sz w:val="16"/>
        </w:rPr>
        <w:t>in</w:t>
      </w:r>
      <w:r w:rsidRPr="00EB2BD8">
        <w:rPr>
          <w:rFonts w:ascii="Arial" w:hAnsi="Arial"/>
          <w:spacing w:val="-7"/>
          <w:w w:val="105"/>
          <w:sz w:val="16"/>
        </w:rPr>
        <w:t xml:space="preserve"> </w:t>
      </w:r>
      <w:r w:rsidRPr="00EB2BD8">
        <w:rPr>
          <w:rFonts w:ascii="Arial" w:hAnsi="Arial"/>
          <w:w w:val="105"/>
          <w:sz w:val="16"/>
        </w:rPr>
        <w:t>respect</w:t>
      </w:r>
      <w:r w:rsidRPr="00EB2BD8">
        <w:rPr>
          <w:rFonts w:ascii="Arial" w:hAnsi="Arial"/>
          <w:spacing w:val="-6"/>
          <w:w w:val="105"/>
          <w:sz w:val="16"/>
        </w:rPr>
        <w:t xml:space="preserve"> </w:t>
      </w:r>
      <w:r w:rsidRPr="00EB2BD8">
        <w:rPr>
          <w:rFonts w:ascii="Arial" w:hAnsi="Arial"/>
          <w:w w:val="105"/>
          <w:sz w:val="16"/>
        </w:rPr>
        <w:t>of</w:t>
      </w:r>
      <w:r w:rsidRPr="00EB2BD8">
        <w:rPr>
          <w:rFonts w:ascii="Arial" w:hAnsi="Arial"/>
          <w:spacing w:val="-6"/>
          <w:w w:val="105"/>
          <w:sz w:val="16"/>
        </w:rPr>
        <w:t xml:space="preserve"> </w:t>
      </w:r>
      <w:r w:rsidRPr="00EB2BD8">
        <w:rPr>
          <w:rFonts w:ascii="Arial" w:hAnsi="Arial"/>
          <w:w w:val="105"/>
          <w:sz w:val="16"/>
        </w:rPr>
        <w:t>those</w:t>
      </w:r>
      <w:r w:rsidRPr="00EB2BD8">
        <w:rPr>
          <w:rFonts w:ascii="Arial" w:hAnsi="Arial"/>
          <w:spacing w:val="-6"/>
          <w:w w:val="105"/>
          <w:sz w:val="16"/>
        </w:rPr>
        <w:t xml:space="preserve"> </w:t>
      </w:r>
      <w:r w:rsidRPr="00EB2BD8">
        <w:rPr>
          <w:rFonts w:ascii="Arial" w:hAnsi="Arial"/>
          <w:w w:val="105"/>
          <w:sz w:val="16"/>
        </w:rPr>
        <w:t>assets</w:t>
      </w:r>
      <w:r w:rsidRPr="00EB2BD8">
        <w:rPr>
          <w:rFonts w:ascii="Arial" w:hAnsi="Arial"/>
          <w:spacing w:val="-6"/>
          <w:w w:val="105"/>
          <w:sz w:val="16"/>
        </w:rPr>
        <w:t xml:space="preserve"> </w:t>
      </w:r>
      <w:r w:rsidRPr="00EB2BD8">
        <w:rPr>
          <w:rFonts w:ascii="Arial" w:hAnsi="Arial"/>
          <w:w w:val="105"/>
          <w:sz w:val="16"/>
        </w:rPr>
        <w:t>and</w:t>
      </w:r>
      <w:r w:rsidRPr="00EB2BD8">
        <w:rPr>
          <w:rFonts w:ascii="Arial" w:hAnsi="Arial"/>
          <w:spacing w:val="-5"/>
          <w:w w:val="105"/>
          <w:sz w:val="16"/>
        </w:rPr>
        <w:t xml:space="preserve"> </w:t>
      </w:r>
      <w:r w:rsidRPr="00EB2BD8">
        <w:rPr>
          <w:rFonts w:ascii="Arial" w:hAnsi="Arial"/>
          <w:w w:val="105"/>
          <w:sz w:val="16"/>
        </w:rPr>
        <w:t>liabilities</w:t>
      </w:r>
      <w:r w:rsidRPr="00EB2BD8">
        <w:rPr>
          <w:rFonts w:ascii="Arial" w:hAnsi="Arial"/>
          <w:spacing w:val="-7"/>
          <w:w w:val="105"/>
          <w:sz w:val="16"/>
        </w:rPr>
        <w:t xml:space="preserve"> </w:t>
      </w:r>
      <w:r w:rsidRPr="00EB2BD8">
        <w:rPr>
          <w:rFonts w:ascii="Arial" w:hAnsi="Arial"/>
          <w:w w:val="105"/>
          <w:sz w:val="16"/>
        </w:rPr>
        <w:t>subject</w:t>
      </w:r>
      <w:r w:rsidRPr="00EB2BD8">
        <w:rPr>
          <w:rFonts w:ascii="Arial" w:hAnsi="Arial"/>
          <w:spacing w:val="-6"/>
          <w:w w:val="105"/>
          <w:sz w:val="16"/>
        </w:rPr>
        <w:t xml:space="preserve"> </w:t>
      </w:r>
      <w:r w:rsidRPr="00EB2BD8">
        <w:rPr>
          <w:rFonts w:ascii="Arial" w:hAnsi="Arial"/>
          <w:w w:val="105"/>
          <w:sz w:val="16"/>
        </w:rPr>
        <w:t>to</w:t>
      </w:r>
      <w:r w:rsidRPr="00EB2BD8">
        <w:rPr>
          <w:rFonts w:ascii="Arial" w:hAnsi="Arial"/>
          <w:spacing w:val="-6"/>
          <w:w w:val="105"/>
          <w:sz w:val="16"/>
        </w:rPr>
        <w:t xml:space="preserve"> </w:t>
      </w:r>
      <w:r w:rsidRPr="00EB2BD8">
        <w:rPr>
          <w:rFonts w:ascii="Arial" w:hAnsi="Arial"/>
          <w:w w:val="105"/>
          <w:sz w:val="16"/>
        </w:rPr>
        <w:t>fair</w:t>
      </w:r>
      <w:r w:rsidRPr="00EB2BD8">
        <w:rPr>
          <w:rFonts w:ascii="Arial" w:hAnsi="Arial"/>
          <w:spacing w:val="-6"/>
          <w:w w:val="105"/>
          <w:sz w:val="16"/>
        </w:rPr>
        <w:t xml:space="preserve"> </w:t>
      </w:r>
      <w:r w:rsidRPr="00EB2BD8">
        <w:rPr>
          <w:rFonts w:ascii="Arial" w:hAnsi="Arial"/>
          <w:w w:val="105"/>
          <w:sz w:val="16"/>
        </w:rPr>
        <w:t>value</w:t>
      </w:r>
      <w:r w:rsidRPr="00EB2BD8">
        <w:rPr>
          <w:rFonts w:ascii="Arial" w:hAnsi="Arial"/>
          <w:spacing w:val="-6"/>
          <w:w w:val="105"/>
          <w:sz w:val="16"/>
        </w:rPr>
        <w:t xml:space="preserve"> </w:t>
      </w:r>
      <w:r w:rsidRPr="00EB2BD8">
        <w:rPr>
          <w:rFonts w:ascii="Arial" w:hAnsi="Arial"/>
          <w:w w:val="105"/>
          <w:sz w:val="16"/>
        </w:rPr>
        <w:t>determination</w:t>
      </w:r>
      <w:r w:rsidRPr="00EB2BD8">
        <w:rPr>
          <w:rFonts w:ascii="Arial" w:hAnsi="Arial"/>
          <w:spacing w:val="-6"/>
          <w:w w:val="105"/>
          <w:sz w:val="16"/>
        </w:rPr>
        <w:t xml:space="preserve"> </w:t>
      </w:r>
      <w:r w:rsidRPr="00EB2BD8">
        <w:rPr>
          <w:rFonts w:ascii="Arial" w:hAnsi="Arial"/>
          <w:w w:val="105"/>
          <w:sz w:val="16"/>
        </w:rPr>
        <w:t>using</w:t>
      </w:r>
      <w:r w:rsidRPr="00EB2BD8">
        <w:rPr>
          <w:rFonts w:ascii="Arial" w:hAnsi="Arial"/>
          <w:spacing w:val="-6"/>
          <w:w w:val="105"/>
          <w:sz w:val="16"/>
        </w:rPr>
        <w:t xml:space="preserve"> </w:t>
      </w:r>
      <w:r w:rsidRPr="00EB2BD8">
        <w:rPr>
          <w:rFonts w:ascii="Arial" w:hAnsi="Arial"/>
          <w:w w:val="105"/>
          <w:sz w:val="16"/>
        </w:rPr>
        <w:t>Level</w:t>
      </w:r>
      <w:r w:rsidRPr="00EB2BD8">
        <w:rPr>
          <w:rFonts w:ascii="Arial" w:hAnsi="Arial"/>
          <w:spacing w:val="-6"/>
          <w:w w:val="105"/>
          <w:sz w:val="16"/>
        </w:rPr>
        <w:t xml:space="preserve"> </w:t>
      </w:r>
      <w:r w:rsidRPr="00EB2BD8">
        <w:rPr>
          <w:rFonts w:ascii="Arial" w:hAnsi="Arial"/>
          <w:w w:val="105"/>
          <w:sz w:val="16"/>
        </w:rPr>
        <w:t>3</w:t>
      </w:r>
      <w:r w:rsidRPr="00EB2BD8">
        <w:rPr>
          <w:rFonts w:ascii="Arial" w:hAnsi="Arial"/>
          <w:spacing w:val="-7"/>
          <w:w w:val="105"/>
          <w:sz w:val="16"/>
        </w:rPr>
        <w:t xml:space="preserve"> </w:t>
      </w:r>
      <w:r w:rsidRPr="00EB2BD8">
        <w:rPr>
          <w:rFonts w:ascii="Arial" w:hAnsi="Arial"/>
          <w:spacing w:val="-2"/>
          <w:w w:val="105"/>
          <w:sz w:val="16"/>
        </w:rPr>
        <w:t>inputs:</w:t>
      </w:r>
    </w:p>
    <w:p w14:paraId="6A79E82D" w14:textId="77777777" w:rsidR="00084F36" w:rsidRPr="00EB2BD8" w:rsidRDefault="00EB2BD8">
      <w:pPr>
        <w:pStyle w:val="ListParagraph"/>
        <w:numPr>
          <w:ilvl w:val="1"/>
          <w:numId w:val="6"/>
        </w:numPr>
        <w:tabs>
          <w:tab w:val="left" w:pos="2068"/>
        </w:tabs>
        <w:spacing w:before="65"/>
        <w:rPr>
          <w:rFonts w:ascii="Arial" w:hAnsi="Arial"/>
          <w:sz w:val="16"/>
        </w:rPr>
      </w:pPr>
      <w:r w:rsidRPr="00EB2BD8">
        <w:rPr>
          <w:rFonts w:ascii="Arial" w:hAnsi="Arial"/>
          <w:w w:val="105"/>
          <w:sz w:val="16"/>
        </w:rPr>
        <w:t>a</w:t>
      </w:r>
      <w:r w:rsidRPr="00EB2BD8">
        <w:rPr>
          <w:rFonts w:ascii="Arial" w:hAnsi="Arial"/>
          <w:spacing w:val="-6"/>
          <w:w w:val="105"/>
          <w:sz w:val="16"/>
        </w:rPr>
        <w:t xml:space="preserve"> </w:t>
      </w:r>
      <w:r w:rsidRPr="00EB2BD8">
        <w:rPr>
          <w:rFonts w:ascii="Arial" w:hAnsi="Arial"/>
          <w:w w:val="105"/>
          <w:sz w:val="16"/>
        </w:rPr>
        <w:t>reconciliation</w:t>
      </w:r>
      <w:r w:rsidRPr="00EB2BD8">
        <w:rPr>
          <w:rFonts w:ascii="Arial" w:hAnsi="Arial"/>
          <w:spacing w:val="-4"/>
          <w:w w:val="105"/>
          <w:sz w:val="16"/>
        </w:rPr>
        <w:t xml:space="preserve"> </w:t>
      </w:r>
      <w:r w:rsidRPr="00EB2BD8">
        <w:rPr>
          <w:rFonts w:ascii="Arial" w:hAnsi="Arial"/>
          <w:w w:val="105"/>
          <w:sz w:val="16"/>
        </w:rPr>
        <w:t>of</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w w:val="105"/>
          <w:sz w:val="16"/>
        </w:rPr>
        <w:t>movements</w:t>
      </w:r>
      <w:r w:rsidRPr="00EB2BD8">
        <w:rPr>
          <w:rFonts w:ascii="Arial" w:hAnsi="Arial"/>
          <w:spacing w:val="-5"/>
          <w:w w:val="105"/>
          <w:sz w:val="16"/>
        </w:rPr>
        <w:t xml:space="preserve"> </w:t>
      </w:r>
      <w:r w:rsidRPr="00EB2BD8">
        <w:rPr>
          <w:rFonts w:ascii="Arial" w:hAnsi="Arial"/>
          <w:w w:val="105"/>
          <w:sz w:val="16"/>
        </w:rPr>
        <w:t>in</w:t>
      </w:r>
      <w:r w:rsidRPr="00EB2BD8">
        <w:rPr>
          <w:rFonts w:ascii="Arial" w:hAnsi="Arial"/>
          <w:spacing w:val="-6"/>
          <w:w w:val="105"/>
          <w:sz w:val="16"/>
        </w:rPr>
        <w:t xml:space="preserve"> </w:t>
      </w:r>
      <w:r w:rsidRPr="00EB2BD8">
        <w:rPr>
          <w:rFonts w:ascii="Arial" w:hAnsi="Arial"/>
          <w:w w:val="105"/>
          <w:sz w:val="16"/>
        </w:rPr>
        <w:t>fair</w:t>
      </w:r>
      <w:r w:rsidRPr="00EB2BD8">
        <w:rPr>
          <w:rFonts w:ascii="Arial" w:hAnsi="Arial"/>
          <w:spacing w:val="-5"/>
          <w:w w:val="105"/>
          <w:sz w:val="16"/>
        </w:rPr>
        <w:t xml:space="preserve"> </w:t>
      </w:r>
      <w:r w:rsidRPr="00EB2BD8">
        <w:rPr>
          <w:rFonts w:ascii="Arial" w:hAnsi="Arial"/>
          <w:w w:val="105"/>
          <w:sz w:val="16"/>
        </w:rPr>
        <w:t>values</w:t>
      </w:r>
      <w:r w:rsidRPr="00EB2BD8">
        <w:rPr>
          <w:rFonts w:ascii="Arial" w:hAnsi="Arial"/>
          <w:spacing w:val="-5"/>
          <w:w w:val="105"/>
          <w:sz w:val="16"/>
        </w:rPr>
        <w:t xml:space="preserve"> </w:t>
      </w:r>
      <w:r w:rsidRPr="00EB2BD8">
        <w:rPr>
          <w:rFonts w:ascii="Arial" w:hAnsi="Arial"/>
          <w:w w:val="105"/>
          <w:sz w:val="16"/>
        </w:rPr>
        <w:t>from</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w w:val="105"/>
          <w:sz w:val="16"/>
        </w:rPr>
        <w:t>beginning</w:t>
      </w:r>
      <w:r w:rsidRPr="00EB2BD8">
        <w:rPr>
          <w:rFonts w:ascii="Arial" w:hAnsi="Arial"/>
          <w:spacing w:val="-5"/>
          <w:w w:val="105"/>
          <w:sz w:val="16"/>
        </w:rPr>
        <w:t xml:space="preserve"> </w:t>
      </w:r>
      <w:r w:rsidRPr="00EB2BD8">
        <w:rPr>
          <w:rFonts w:ascii="Arial" w:hAnsi="Arial"/>
          <w:w w:val="105"/>
          <w:sz w:val="16"/>
        </w:rPr>
        <w:t>of</w:t>
      </w:r>
      <w:r w:rsidRPr="00EB2BD8">
        <w:rPr>
          <w:rFonts w:ascii="Arial" w:hAnsi="Arial"/>
          <w:spacing w:val="-5"/>
          <w:w w:val="105"/>
          <w:sz w:val="16"/>
        </w:rPr>
        <w:t xml:space="preserve"> </w:t>
      </w:r>
      <w:r w:rsidRPr="00EB2BD8">
        <w:rPr>
          <w:rFonts w:ascii="Arial" w:hAnsi="Arial"/>
          <w:w w:val="105"/>
          <w:sz w:val="16"/>
        </w:rPr>
        <w:t>the</w:t>
      </w:r>
      <w:r w:rsidRPr="00EB2BD8">
        <w:rPr>
          <w:rFonts w:ascii="Arial" w:hAnsi="Arial"/>
          <w:spacing w:val="-6"/>
          <w:w w:val="105"/>
          <w:sz w:val="16"/>
        </w:rPr>
        <w:t xml:space="preserve"> </w:t>
      </w:r>
      <w:r w:rsidRPr="00EB2BD8">
        <w:rPr>
          <w:rFonts w:ascii="Arial" w:hAnsi="Arial"/>
          <w:w w:val="105"/>
          <w:sz w:val="16"/>
        </w:rPr>
        <w:t>year</w:t>
      </w:r>
      <w:r w:rsidRPr="00EB2BD8">
        <w:rPr>
          <w:rFonts w:ascii="Arial" w:hAnsi="Arial"/>
          <w:spacing w:val="-5"/>
          <w:w w:val="105"/>
          <w:sz w:val="16"/>
        </w:rPr>
        <w:t xml:space="preserve"> </w:t>
      </w:r>
      <w:r w:rsidRPr="00EB2BD8">
        <w:rPr>
          <w:rFonts w:ascii="Arial" w:hAnsi="Arial"/>
          <w:w w:val="105"/>
          <w:sz w:val="16"/>
        </w:rPr>
        <w:t>to</w:t>
      </w:r>
      <w:r w:rsidRPr="00EB2BD8">
        <w:rPr>
          <w:rFonts w:ascii="Arial" w:hAnsi="Arial"/>
          <w:spacing w:val="-5"/>
          <w:w w:val="105"/>
          <w:sz w:val="16"/>
        </w:rPr>
        <w:t xml:space="preserve"> </w:t>
      </w:r>
      <w:r w:rsidRPr="00EB2BD8">
        <w:rPr>
          <w:rFonts w:ascii="Arial" w:hAnsi="Arial"/>
          <w:w w:val="105"/>
          <w:sz w:val="16"/>
        </w:rPr>
        <w:t>the</w:t>
      </w:r>
      <w:r w:rsidRPr="00EB2BD8">
        <w:rPr>
          <w:rFonts w:ascii="Arial" w:hAnsi="Arial"/>
          <w:spacing w:val="-6"/>
          <w:w w:val="105"/>
          <w:sz w:val="16"/>
        </w:rPr>
        <w:t xml:space="preserve"> </w:t>
      </w:r>
      <w:r w:rsidRPr="00EB2BD8">
        <w:rPr>
          <w:rFonts w:ascii="Arial" w:hAnsi="Arial"/>
          <w:spacing w:val="-5"/>
          <w:w w:val="105"/>
          <w:sz w:val="16"/>
        </w:rPr>
        <w:t>end</w:t>
      </w:r>
    </w:p>
    <w:p w14:paraId="61CCF65D" w14:textId="77777777" w:rsidR="00084F36" w:rsidRPr="00EB2BD8" w:rsidRDefault="00EB2BD8">
      <w:pPr>
        <w:pStyle w:val="ListParagraph"/>
        <w:numPr>
          <w:ilvl w:val="1"/>
          <w:numId w:val="6"/>
        </w:numPr>
        <w:tabs>
          <w:tab w:val="left" w:pos="2068"/>
        </w:tabs>
        <w:spacing w:before="66"/>
        <w:rPr>
          <w:rFonts w:ascii="Arial" w:hAnsi="Arial"/>
          <w:sz w:val="16"/>
        </w:rPr>
      </w:pPr>
      <w:r w:rsidRPr="00EB2BD8">
        <w:rPr>
          <w:rFonts w:ascii="Arial" w:hAnsi="Arial"/>
          <w:w w:val="105"/>
          <w:sz w:val="16"/>
        </w:rPr>
        <w:t>details</w:t>
      </w:r>
      <w:r w:rsidRPr="00EB2BD8">
        <w:rPr>
          <w:rFonts w:ascii="Arial" w:hAnsi="Arial"/>
          <w:spacing w:val="-7"/>
          <w:w w:val="105"/>
          <w:sz w:val="16"/>
        </w:rPr>
        <w:t xml:space="preserve"> </w:t>
      </w:r>
      <w:r w:rsidRPr="00EB2BD8">
        <w:rPr>
          <w:rFonts w:ascii="Arial" w:hAnsi="Arial"/>
          <w:w w:val="105"/>
          <w:sz w:val="16"/>
        </w:rPr>
        <w:t>of</w:t>
      </w:r>
      <w:r w:rsidRPr="00EB2BD8">
        <w:rPr>
          <w:rFonts w:ascii="Arial" w:hAnsi="Arial"/>
          <w:spacing w:val="-7"/>
          <w:w w:val="105"/>
          <w:sz w:val="16"/>
        </w:rPr>
        <w:t xml:space="preserve"> </w:t>
      </w:r>
      <w:r w:rsidRPr="00EB2BD8">
        <w:rPr>
          <w:rFonts w:ascii="Arial" w:hAnsi="Arial"/>
          <w:w w:val="105"/>
          <w:sz w:val="16"/>
        </w:rPr>
        <w:t>significant</w:t>
      </w:r>
      <w:r w:rsidRPr="00EB2BD8">
        <w:rPr>
          <w:rFonts w:ascii="Arial" w:hAnsi="Arial"/>
          <w:spacing w:val="-7"/>
          <w:w w:val="105"/>
          <w:sz w:val="16"/>
        </w:rPr>
        <w:t xml:space="preserve"> </w:t>
      </w:r>
      <w:r w:rsidRPr="00EB2BD8">
        <w:rPr>
          <w:rFonts w:ascii="Arial" w:hAnsi="Arial"/>
          <w:w w:val="105"/>
          <w:sz w:val="16"/>
        </w:rPr>
        <w:t>unobservable</w:t>
      </w:r>
      <w:r w:rsidRPr="00EB2BD8">
        <w:rPr>
          <w:rFonts w:ascii="Arial" w:hAnsi="Arial"/>
          <w:spacing w:val="-6"/>
          <w:w w:val="105"/>
          <w:sz w:val="16"/>
        </w:rPr>
        <w:t xml:space="preserve"> </w:t>
      </w:r>
      <w:r w:rsidRPr="00EB2BD8">
        <w:rPr>
          <w:rFonts w:ascii="Arial" w:hAnsi="Arial"/>
          <w:w w:val="105"/>
          <w:sz w:val="16"/>
        </w:rPr>
        <w:t>inputs</w:t>
      </w:r>
      <w:r w:rsidRPr="00EB2BD8">
        <w:rPr>
          <w:rFonts w:ascii="Arial" w:hAnsi="Arial"/>
          <w:spacing w:val="-7"/>
          <w:w w:val="105"/>
          <w:sz w:val="16"/>
        </w:rPr>
        <w:t xml:space="preserve"> </w:t>
      </w:r>
      <w:r w:rsidRPr="00EB2BD8">
        <w:rPr>
          <w:rFonts w:ascii="Arial" w:hAnsi="Arial"/>
          <w:w w:val="105"/>
          <w:sz w:val="16"/>
        </w:rPr>
        <w:t>used</w:t>
      </w:r>
      <w:r w:rsidRPr="00EB2BD8">
        <w:rPr>
          <w:rFonts w:ascii="Arial" w:hAnsi="Arial"/>
          <w:spacing w:val="-7"/>
          <w:w w:val="105"/>
          <w:sz w:val="16"/>
        </w:rPr>
        <w:t xml:space="preserve"> </w:t>
      </w:r>
      <w:r w:rsidRPr="00EB2BD8">
        <w:rPr>
          <w:rFonts w:ascii="Arial" w:hAnsi="Arial"/>
          <w:w w:val="105"/>
          <w:sz w:val="16"/>
        </w:rPr>
        <w:t>in</w:t>
      </w:r>
      <w:r w:rsidRPr="00EB2BD8">
        <w:rPr>
          <w:rFonts w:ascii="Arial" w:hAnsi="Arial"/>
          <w:spacing w:val="-7"/>
          <w:w w:val="105"/>
          <w:sz w:val="16"/>
        </w:rPr>
        <w:t xml:space="preserve"> </w:t>
      </w:r>
      <w:r w:rsidRPr="00EB2BD8">
        <w:rPr>
          <w:rFonts w:ascii="Arial" w:hAnsi="Arial"/>
          <w:w w:val="105"/>
          <w:sz w:val="16"/>
        </w:rPr>
        <w:t>the</w:t>
      </w:r>
      <w:r w:rsidRPr="00EB2BD8">
        <w:rPr>
          <w:rFonts w:ascii="Arial" w:hAnsi="Arial"/>
          <w:spacing w:val="-6"/>
          <w:w w:val="105"/>
          <w:sz w:val="16"/>
        </w:rPr>
        <w:t xml:space="preserve"> </w:t>
      </w:r>
      <w:r w:rsidRPr="00EB2BD8">
        <w:rPr>
          <w:rFonts w:ascii="Arial" w:hAnsi="Arial"/>
          <w:w w:val="105"/>
          <w:sz w:val="16"/>
        </w:rPr>
        <w:t>fair</w:t>
      </w:r>
      <w:r w:rsidRPr="00EB2BD8">
        <w:rPr>
          <w:rFonts w:ascii="Arial" w:hAnsi="Arial"/>
          <w:spacing w:val="-7"/>
          <w:w w:val="105"/>
          <w:sz w:val="16"/>
        </w:rPr>
        <w:t xml:space="preserve"> </w:t>
      </w:r>
      <w:r w:rsidRPr="00EB2BD8">
        <w:rPr>
          <w:rFonts w:ascii="Arial" w:hAnsi="Arial"/>
          <w:w w:val="105"/>
          <w:sz w:val="16"/>
        </w:rPr>
        <w:t>value</w:t>
      </w:r>
      <w:r w:rsidRPr="00EB2BD8">
        <w:rPr>
          <w:rFonts w:ascii="Arial" w:hAnsi="Arial"/>
          <w:spacing w:val="-7"/>
          <w:w w:val="105"/>
          <w:sz w:val="16"/>
        </w:rPr>
        <w:t xml:space="preserve"> </w:t>
      </w:r>
      <w:r w:rsidRPr="00EB2BD8">
        <w:rPr>
          <w:rFonts w:ascii="Arial" w:hAnsi="Arial"/>
          <w:spacing w:val="-2"/>
          <w:w w:val="105"/>
          <w:sz w:val="16"/>
        </w:rPr>
        <w:t>determination.</w:t>
      </w:r>
    </w:p>
    <w:p w14:paraId="0F143CD5" w14:textId="77777777" w:rsidR="00084F36" w:rsidRPr="00EB2BD8" w:rsidRDefault="00084F36">
      <w:pPr>
        <w:pStyle w:val="BodyText"/>
        <w:rPr>
          <w:rFonts w:ascii="Arial"/>
          <w:sz w:val="22"/>
        </w:rPr>
      </w:pPr>
    </w:p>
    <w:p w14:paraId="166E7233" w14:textId="77777777" w:rsidR="00084F36" w:rsidRPr="00EB2BD8" w:rsidRDefault="00EB2BD8">
      <w:pPr>
        <w:spacing w:line="271" w:lineRule="auto"/>
        <w:ind w:left="1060" w:right="1551"/>
        <w:rPr>
          <w:rFonts w:ascii="Arial"/>
          <w:sz w:val="16"/>
        </w:rPr>
      </w:pPr>
      <w:r w:rsidRPr="00EB2BD8">
        <w:rPr>
          <w:rFonts w:ascii="Arial"/>
          <w:w w:val="105"/>
          <w:sz w:val="16"/>
        </w:rPr>
        <w:t>This</w:t>
      </w:r>
      <w:r w:rsidRPr="00EB2BD8">
        <w:rPr>
          <w:rFonts w:ascii="Arial"/>
          <w:spacing w:val="-3"/>
          <w:w w:val="105"/>
          <w:sz w:val="16"/>
        </w:rPr>
        <w:t xml:space="preserve"> </w:t>
      </w:r>
      <w:r w:rsidRPr="00EB2BD8">
        <w:rPr>
          <w:rFonts w:ascii="Arial"/>
          <w:w w:val="105"/>
          <w:sz w:val="16"/>
        </w:rPr>
        <w:t>section</w:t>
      </w:r>
      <w:r w:rsidRPr="00EB2BD8">
        <w:rPr>
          <w:rFonts w:ascii="Arial"/>
          <w:spacing w:val="-3"/>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divided</w:t>
      </w:r>
      <w:r w:rsidRPr="00EB2BD8">
        <w:rPr>
          <w:rFonts w:ascii="Arial"/>
          <w:spacing w:val="-3"/>
          <w:w w:val="105"/>
          <w:sz w:val="16"/>
        </w:rPr>
        <w:t xml:space="preserve"> </w:t>
      </w:r>
      <w:r w:rsidRPr="00EB2BD8">
        <w:rPr>
          <w:rFonts w:ascii="Arial"/>
          <w:w w:val="105"/>
          <w:sz w:val="16"/>
        </w:rPr>
        <w:t>between</w:t>
      </w:r>
      <w:r w:rsidRPr="00EB2BD8">
        <w:rPr>
          <w:rFonts w:ascii="Arial"/>
          <w:spacing w:val="-3"/>
          <w:w w:val="105"/>
          <w:sz w:val="16"/>
        </w:rPr>
        <w:t xml:space="preserve"> </w:t>
      </w:r>
      <w:r w:rsidRPr="00EB2BD8">
        <w:rPr>
          <w:rFonts w:ascii="Arial"/>
          <w:w w:val="105"/>
          <w:sz w:val="16"/>
        </w:rPr>
        <w:t>disclosures</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connection</w:t>
      </w:r>
      <w:r w:rsidRPr="00EB2BD8">
        <w:rPr>
          <w:rFonts w:ascii="Arial"/>
          <w:spacing w:val="-3"/>
          <w:w w:val="105"/>
          <w:sz w:val="16"/>
        </w:rPr>
        <w:t xml:space="preserve"> </w:t>
      </w:r>
      <w:r w:rsidRPr="00EB2BD8">
        <w:rPr>
          <w:rFonts w:ascii="Arial"/>
          <w:w w:val="105"/>
          <w:sz w:val="16"/>
        </w:rPr>
        <w:t>with</w:t>
      </w:r>
      <w:r w:rsidRPr="00EB2BD8">
        <w:rPr>
          <w:rFonts w:ascii="Arial"/>
          <w:spacing w:val="-3"/>
          <w:w w:val="105"/>
          <w:sz w:val="16"/>
        </w:rPr>
        <w:t xml:space="preserve"> </w:t>
      </w:r>
      <w:r w:rsidRPr="00EB2BD8">
        <w:rPr>
          <w:rFonts w:ascii="Arial"/>
          <w:w w:val="105"/>
          <w:sz w:val="16"/>
        </w:rPr>
        <w:t>fair</w:t>
      </w:r>
      <w:r w:rsidRPr="00EB2BD8">
        <w:rPr>
          <w:rFonts w:ascii="Arial"/>
          <w:spacing w:val="-3"/>
          <w:w w:val="105"/>
          <w:sz w:val="16"/>
        </w:rPr>
        <w:t xml:space="preserve"> </w:t>
      </w:r>
      <w:r w:rsidRPr="00EB2BD8">
        <w:rPr>
          <w:rFonts w:ascii="Arial"/>
          <w:w w:val="105"/>
          <w:sz w:val="16"/>
        </w:rPr>
        <w:t>value</w:t>
      </w:r>
      <w:r w:rsidRPr="00EB2BD8">
        <w:rPr>
          <w:rFonts w:ascii="Arial"/>
          <w:spacing w:val="-3"/>
          <w:w w:val="105"/>
          <w:sz w:val="16"/>
        </w:rPr>
        <w:t xml:space="preserve"> </w:t>
      </w:r>
      <w:r w:rsidRPr="00EB2BD8">
        <w:rPr>
          <w:rFonts w:ascii="Arial"/>
          <w:w w:val="105"/>
          <w:sz w:val="16"/>
        </w:rPr>
        <w:t>determination</w:t>
      </w:r>
      <w:r w:rsidRPr="00EB2BD8">
        <w:rPr>
          <w:rFonts w:ascii="Arial"/>
          <w:spacing w:val="-2"/>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financial</w:t>
      </w:r>
      <w:r w:rsidRPr="00EB2BD8">
        <w:rPr>
          <w:rFonts w:ascii="Arial"/>
          <w:spacing w:val="-3"/>
          <w:w w:val="105"/>
          <w:sz w:val="16"/>
        </w:rPr>
        <w:t xml:space="preserve"> </w:t>
      </w:r>
      <w:r w:rsidRPr="00EB2BD8">
        <w:rPr>
          <w:rFonts w:ascii="Arial"/>
          <w:w w:val="105"/>
          <w:sz w:val="16"/>
        </w:rPr>
        <w:t>assets</w:t>
      </w:r>
      <w:r w:rsidRPr="00EB2BD8">
        <w:rPr>
          <w:rFonts w:ascii="Arial"/>
          <w:spacing w:val="-2"/>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liabilities</w:t>
      </w:r>
      <w:r w:rsidRPr="00EB2BD8">
        <w:rPr>
          <w:rFonts w:ascii="Arial"/>
          <w:spacing w:val="-3"/>
          <w:w w:val="105"/>
          <w:sz w:val="16"/>
        </w:rPr>
        <w:t xml:space="preserve"> </w:t>
      </w:r>
      <w:r w:rsidRPr="00EB2BD8">
        <w:rPr>
          <w:rFonts w:ascii="Arial"/>
          <w:w w:val="105"/>
          <w:sz w:val="16"/>
        </w:rPr>
        <w:t>(refer to Note 7.3.1) and non-financial physical assets (refer to Note 7.3.2).</w:t>
      </w:r>
    </w:p>
    <w:p w14:paraId="261FD88F" w14:textId="77777777" w:rsidR="00084F36" w:rsidRPr="00EB2BD8" w:rsidRDefault="00084F36">
      <w:pPr>
        <w:pStyle w:val="BodyText"/>
        <w:rPr>
          <w:rFonts w:ascii="Arial"/>
        </w:rPr>
      </w:pPr>
    </w:p>
    <w:p w14:paraId="2EC3AB1C" w14:textId="039085D0" w:rsidR="00084F36" w:rsidRPr="00EB2BD8" w:rsidRDefault="007A74E8" w:rsidP="00D0600F">
      <w:pPr>
        <w:pStyle w:val="Heading2"/>
        <w:ind w:firstLine="210"/>
      </w:pPr>
      <w:bookmarkStart w:id="357" w:name="_Toc150762659"/>
      <w:r>
        <w:t>7.3.1</w:t>
      </w:r>
      <w:r w:rsidR="00EB2BD8" w:rsidRPr="00EB2BD8">
        <w:t>Fair</w:t>
      </w:r>
      <w:r w:rsidR="00EB2BD8" w:rsidRPr="00EB2BD8">
        <w:rPr>
          <w:spacing w:val="12"/>
        </w:rPr>
        <w:t xml:space="preserve"> </w:t>
      </w:r>
      <w:r w:rsidR="00EB2BD8" w:rsidRPr="00EB2BD8">
        <w:t>value</w:t>
      </w:r>
      <w:r w:rsidR="00EB2BD8" w:rsidRPr="00EB2BD8">
        <w:rPr>
          <w:spacing w:val="13"/>
        </w:rPr>
        <w:t xml:space="preserve"> </w:t>
      </w:r>
      <w:r w:rsidR="00EB2BD8" w:rsidRPr="00EB2BD8">
        <w:t>determination</w:t>
      </w:r>
      <w:r w:rsidR="00EB2BD8" w:rsidRPr="00EB2BD8">
        <w:rPr>
          <w:spacing w:val="13"/>
        </w:rPr>
        <w:t xml:space="preserve"> </w:t>
      </w:r>
      <w:r w:rsidR="00EB2BD8" w:rsidRPr="00EB2BD8">
        <w:t>of</w:t>
      </w:r>
      <w:r w:rsidR="00EB2BD8" w:rsidRPr="00EB2BD8">
        <w:rPr>
          <w:spacing w:val="13"/>
        </w:rPr>
        <w:t xml:space="preserve"> </w:t>
      </w:r>
      <w:r w:rsidR="00EB2BD8" w:rsidRPr="00EB2BD8">
        <w:t>financial</w:t>
      </w:r>
      <w:r w:rsidR="00EB2BD8" w:rsidRPr="00EB2BD8">
        <w:rPr>
          <w:spacing w:val="12"/>
        </w:rPr>
        <w:t xml:space="preserve"> </w:t>
      </w:r>
      <w:r w:rsidR="00EB2BD8" w:rsidRPr="00EB2BD8">
        <w:t>assets</w:t>
      </w:r>
      <w:r w:rsidR="00EB2BD8" w:rsidRPr="00EB2BD8">
        <w:rPr>
          <w:spacing w:val="13"/>
        </w:rPr>
        <w:t xml:space="preserve"> </w:t>
      </w:r>
      <w:r w:rsidR="00EB2BD8" w:rsidRPr="00EB2BD8">
        <w:t>and</w:t>
      </w:r>
      <w:r w:rsidR="00EB2BD8" w:rsidRPr="00EB2BD8">
        <w:rPr>
          <w:spacing w:val="13"/>
        </w:rPr>
        <w:t xml:space="preserve"> </w:t>
      </w:r>
      <w:r w:rsidR="00EB2BD8" w:rsidRPr="00EB2BD8">
        <w:rPr>
          <w:spacing w:val="-2"/>
        </w:rPr>
        <w:t>liabilities</w:t>
      </w:r>
      <w:bookmarkEnd w:id="357"/>
    </w:p>
    <w:p w14:paraId="23881DC0" w14:textId="77777777" w:rsidR="00084F36" w:rsidRPr="00EB2BD8" w:rsidRDefault="00084F36">
      <w:pPr>
        <w:pStyle w:val="BodyText"/>
        <w:spacing w:before="11"/>
        <w:rPr>
          <w:rFonts w:ascii="Arial"/>
          <w:b/>
          <w:sz w:val="32"/>
        </w:rPr>
      </w:pPr>
    </w:p>
    <w:p w14:paraId="37EA1AA7" w14:textId="77777777" w:rsidR="00084F36" w:rsidRPr="00EB2BD8" w:rsidRDefault="00EB2BD8">
      <w:pPr>
        <w:ind w:left="1060"/>
        <w:rPr>
          <w:rFonts w:ascii="Arial"/>
          <w:sz w:val="16"/>
        </w:rPr>
      </w:pPr>
      <w:r w:rsidRPr="00EB2BD8">
        <w:rPr>
          <w:rFonts w:ascii="Arial"/>
          <w:w w:val="105"/>
          <w:sz w:val="16"/>
        </w:rPr>
        <w:t>The</w:t>
      </w:r>
      <w:r w:rsidRPr="00EB2BD8">
        <w:rPr>
          <w:rFonts w:ascii="Arial"/>
          <w:spacing w:val="-7"/>
          <w:w w:val="105"/>
          <w:sz w:val="16"/>
        </w:rPr>
        <w:t xml:space="preserve"> </w:t>
      </w:r>
      <w:r w:rsidRPr="00EB2BD8">
        <w:rPr>
          <w:rFonts w:ascii="Arial"/>
          <w:w w:val="105"/>
          <w:sz w:val="16"/>
        </w:rPr>
        <w:t>fair</w:t>
      </w:r>
      <w:r w:rsidRPr="00EB2BD8">
        <w:rPr>
          <w:rFonts w:ascii="Arial"/>
          <w:spacing w:val="-6"/>
          <w:w w:val="105"/>
          <w:sz w:val="16"/>
        </w:rPr>
        <w:t xml:space="preserve"> </w:t>
      </w:r>
      <w:r w:rsidRPr="00EB2BD8">
        <w:rPr>
          <w:rFonts w:ascii="Arial"/>
          <w:w w:val="105"/>
          <w:sz w:val="16"/>
        </w:rPr>
        <w:t>values</w:t>
      </w:r>
      <w:r w:rsidRPr="00EB2BD8">
        <w:rPr>
          <w:rFonts w:ascii="Arial"/>
          <w:spacing w:val="-5"/>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net</w:t>
      </w:r>
      <w:r w:rsidRPr="00EB2BD8">
        <w:rPr>
          <w:rFonts w:ascii="Arial"/>
          <w:spacing w:val="-6"/>
          <w:w w:val="105"/>
          <w:sz w:val="16"/>
        </w:rPr>
        <w:t xml:space="preserve"> </w:t>
      </w:r>
      <w:r w:rsidRPr="00EB2BD8">
        <w:rPr>
          <w:rFonts w:ascii="Arial"/>
          <w:w w:val="105"/>
          <w:sz w:val="16"/>
        </w:rPr>
        <w:t>fair</w:t>
      </w:r>
      <w:r w:rsidRPr="00EB2BD8">
        <w:rPr>
          <w:rFonts w:ascii="Arial"/>
          <w:spacing w:val="-6"/>
          <w:w w:val="105"/>
          <w:sz w:val="16"/>
        </w:rPr>
        <w:t xml:space="preserve"> </w:t>
      </w:r>
      <w:r w:rsidRPr="00EB2BD8">
        <w:rPr>
          <w:rFonts w:ascii="Arial"/>
          <w:w w:val="105"/>
          <w:sz w:val="16"/>
        </w:rPr>
        <w:t>values</w:t>
      </w:r>
      <w:r w:rsidRPr="00EB2BD8">
        <w:rPr>
          <w:rFonts w:ascii="Arial"/>
          <w:spacing w:val="-7"/>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financial</w:t>
      </w:r>
      <w:r w:rsidRPr="00EB2BD8">
        <w:rPr>
          <w:rFonts w:ascii="Arial"/>
          <w:spacing w:val="-6"/>
          <w:w w:val="105"/>
          <w:sz w:val="16"/>
        </w:rPr>
        <w:t xml:space="preserve"> </w:t>
      </w:r>
      <w:r w:rsidRPr="00EB2BD8">
        <w:rPr>
          <w:rFonts w:ascii="Arial"/>
          <w:w w:val="105"/>
          <w:sz w:val="16"/>
        </w:rPr>
        <w:t>assets</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liabilities</w:t>
      </w:r>
      <w:r w:rsidRPr="00EB2BD8">
        <w:rPr>
          <w:rFonts w:ascii="Arial"/>
          <w:spacing w:val="-6"/>
          <w:w w:val="105"/>
          <w:sz w:val="16"/>
        </w:rPr>
        <w:t xml:space="preserve"> </w:t>
      </w:r>
      <w:r w:rsidRPr="00EB2BD8">
        <w:rPr>
          <w:rFonts w:ascii="Arial"/>
          <w:w w:val="105"/>
          <w:sz w:val="16"/>
        </w:rPr>
        <w:t>are</w:t>
      </w:r>
      <w:r w:rsidRPr="00EB2BD8">
        <w:rPr>
          <w:rFonts w:ascii="Arial"/>
          <w:spacing w:val="-6"/>
          <w:w w:val="105"/>
          <w:sz w:val="16"/>
        </w:rPr>
        <w:t xml:space="preserve"> </w:t>
      </w:r>
      <w:r w:rsidRPr="00EB2BD8">
        <w:rPr>
          <w:rFonts w:ascii="Arial"/>
          <w:w w:val="105"/>
          <w:sz w:val="16"/>
        </w:rPr>
        <w:t>determined</w:t>
      </w:r>
      <w:r w:rsidRPr="00EB2BD8">
        <w:rPr>
          <w:rFonts w:ascii="Arial"/>
          <w:spacing w:val="-6"/>
          <w:w w:val="105"/>
          <w:sz w:val="16"/>
        </w:rPr>
        <w:t xml:space="preserve"> </w:t>
      </w:r>
      <w:r w:rsidRPr="00EB2BD8">
        <w:rPr>
          <w:rFonts w:ascii="Arial"/>
          <w:w w:val="105"/>
          <w:sz w:val="16"/>
        </w:rPr>
        <w:t>as</w:t>
      </w:r>
      <w:r w:rsidRPr="00EB2BD8">
        <w:rPr>
          <w:rFonts w:ascii="Arial"/>
          <w:spacing w:val="-6"/>
          <w:w w:val="105"/>
          <w:sz w:val="16"/>
        </w:rPr>
        <w:t xml:space="preserve"> </w:t>
      </w:r>
      <w:r w:rsidRPr="00EB2BD8">
        <w:rPr>
          <w:rFonts w:ascii="Arial"/>
          <w:spacing w:val="-2"/>
          <w:w w:val="105"/>
          <w:sz w:val="16"/>
        </w:rPr>
        <w:t>follows:</w:t>
      </w:r>
    </w:p>
    <w:p w14:paraId="2B0D5295" w14:textId="77777777" w:rsidR="00084F36" w:rsidRPr="00EB2BD8" w:rsidRDefault="00084F36">
      <w:pPr>
        <w:pStyle w:val="BodyText"/>
        <w:spacing w:before="10"/>
        <w:rPr>
          <w:rFonts w:ascii="Arial"/>
          <w:sz w:val="22"/>
        </w:rPr>
      </w:pPr>
    </w:p>
    <w:p w14:paraId="3925F6C5" w14:textId="77777777" w:rsidR="00084F36" w:rsidRPr="00EB2BD8" w:rsidRDefault="00EB2BD8">
      <w:pPr>
        <w:pStyle w:val="ListParagraph"/>
        <w:numPr>
          <w:ilvl w:val="3"/>
          <w:numId w:val="36"/>
        </w:numPr>
        <w:tabs>
          <w:tab w:val="left" w:pos="1732"/>
        </w:tabs>
        <w:spacing w:line="285" w:lineRule="auto"/>
        <w:ind w:right="1566"/>
        <w:rPr>
          <w:rFonts w:ascii="Arial" w:hAnsi="Arial"/>
          <w:sz w:val="16"/>
        </w:rPr>
      </w:pPr>
      <w:r w:rsidRPr="00EB2BD8">
        <w:rPr>
          <w:rFonts w:ascii="Arial" w:hAnsi="Arial"/>
          <w:w w:val="105"/>
          <w:sz w:val="16"/>
        </w:rPr>
        <w:t>Level</w:t>
      </w:r>
      <w:r w:rsidRPr="00EB2BD8">
        <w:rPr>
          <w:rFonts w:ascii="Arial" w:hAnsi="Arial"/>
          <w:spacing w:val="-3"/>
          <w:w w:val="105"/>
          <w:sz w:val="16"/>
        </w:rPr>
        <w:t xml:space="preserve"> </w:t>
      </w:r>
      <w:r w:rsidRPr="00EB2BD8">
        <w:rPr>
          <w:rFonts w:ascii="Arial" w:hAnsi="Arial"/>
          <w:w w:val="105"/>
          <w:sz w:val="16"/>
        </w:rPr>
        <w:t>1</w:t>
      </w:r>
      <w:r w:rsidRPr="00EB2BD8">
        <w:rPr>
          <w:rFonts w:ascii="Arial" w:hAnsi="Arial"/>
          <w:spacing w:val="-3"/>
          <w:w w:val="105"/>
          <w:sz w:val="16"/>
        </w:rPr>
        <w:t xml:space="preserve"> </w:t>
      </w:r>
      <w:r w:rsidRPr="00EB2BD8">
        <w:rPr>
          <w:rFonts w:ascii="Arial" w:hAnsi="Arial"/>
          <w:w w:val="105"/>
          <w:sz w:val="16"/>
        </w:rPr>
        <w:t>–</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fair</w:t>
      </w:r>
      <w:r w:rsidRPr="00EB2BD8">
        <w:rPr>
          <w:rFonts w:ascii="Arial" w:hAnsi="Arial"/>
          <w:spacing w:val="-3"/>
          <w:w w:val="105"/>
          <w:sz w:val="16"/>
        </w:rPr>
        <w:t xml:space="preserve"> </w:t>
      </w:r>
      <w:r w:rsidRPr="00EB2BD8">
        <w:rPr>
          <w:rFonts w:ascii="Arial" w:hAnsi="Arial"/>
          <w:w w:val="105"/>
          <w:sz w:val="16"/>
        </w:rPr>
        <w:t>value</w:t>
      </w:r>
      <w:r w:rsidRPr="00EB2BD8">
        <w:rPr>
          <w:rFonts w:ascii="Arial" w:hAnsi="Arial"/>
          <w:spacing w:val="-3"/>
          <w:w w:val="105"/>
          <w:sz w:val="16"/>
        </w:rPr>
        <w:t xml:space="preserve"> </w:t>
      </w:r>
      <w:r w:rsidRPr="00EB2BD8">
        <w:rPr>
          <w:rFonts w:ascii="Arial" w:hAnsi="Arial"/>
          <w:w w:val="105"/>
          <w:sz w:val="16"/>
        </w:rPr>
        <w:t>of</w:t>
      </w:r>
      <w:r w:rsidRPr="00EB2BD8">
        <w:rPr>
          <w:rFonts w:ascii="Arial" w:hAnsi="Arial"/>
          <w:spacing w:val="-3"/>
          <w:w w:val="105"/>
          <w:sz w:val="16"/>
        </w:rPr>
        <w:t xml:space="preserve"> </w:t>
      </w:r>
      <w:r w:rsidRPr="00EB2BD8">
        <w:rPr>
          <w:rFonts w:ascii="Arial" w:hAnsi="Arial"/>
          <w:w w:val="105"/>
          <w:sz w:val="16"/>
        </w:rPr>
        <w:t>financial</w:t>
      </w:r>
      <w:r w:rsidRPr="00EB2BD8">
        <w:rPr>
          <w:rFonts w:ascii="Arial" w:hAnsi="Arial"/>
          <w:spacing w:val="-3"/>
          <w:w w:val="105"/>
          <w:sz w:val="16"/>
        </w:rPr>
        <w:t xml:space="preserve"> </w:t>
      </w:r>
      <w:r w:rsidRPr="00EB2BD8">
        <w:rPr>
          <w:rFonts w:ascii="Arial" w:hAnsi="Arial"/>
          <w:w w:val="105"/>
          <w:sz w:val="16"/>
        </w:rPr>
        <w:t>instrument</w:t>
      </w:r>
      <w:r w:rsidRPr="00EB2BD8">
        <w:rPr>
          <w:rFonts w:ascii="Arial" w:hAnsi="Arial"/>
          <w:spacing w:val="-3"/>
          <w:w w:val="105"/>
          <w:sz w:val="16"/>
        </w:rPr>
        <w:t xml:space="preserve"> </w:t>
      </w:r>
      <w:r w:rsidRPr="00EB2BD8">
        <w:rPr>
          <w:rFonts w:ascii="Arial" w:hAnsi="Arial"/>
          <w:w w:val="105"/>
          <w:sz w:val="16"/>
        </w:rPr>
        <w:t>with</w:t>
      </w:r>
      <w:r w:rsidRPr="00EB2BD8">
        <w:rPr>
          <w:rFonts w:ascii="Arial" w:hAnsi="Arial"/>
          <w:spacing w:val="-3"/>
          <w:w w:val="105"/>
          <w:sz w:val="16"/>
        </w:rPr>
        <w:t xml:space="preserve"> </w:t>
      </w:r>
      <w:r w:rsidRPr="00EB2BD8">
        <w:rPr>
          <w:rFonts w:ascii="Arial" w:hAnsi="Arial"/>
          <w:w w:val="105"/>
          <w:sz w:val="16"/>
        </w:rPr>
        <w:t>standard</w:t>
      </w:r>
      <w:r w:rsidRPr="00EB2BD8">
        <w:rPr>
          <w:rFonts w:ascii="Arial" w:hAnsi="Arial"/>
          <w:spacing w:val="-2"/>
          <w:w w:val="105"/>
          <w:sz w:val="16"/>
        </w:rPr>
        <w:t xml:space="preserve"> </w:t>
      </w:r>
      <w:r w:rsidRPr="00EB2BD8">
        <w:rPr>
          <w:rFonts w:ascii="Arial" w:hAnsi="Arial"/>
          <w:w w:val="105"/>
          <w:sz w:val="16"/>
        </w:rPr>
        <w:t>terms</w:t>
      </w:r>
      <w:r w:rsidRPr="00EB2BD8">
        <w:rPr>
          <w:rFonts w:ascii="Arial" w:hAnsi="Arial"/>
          <w:spacing w:val="-3"/>
          <w:w w:val="105"/>
          <w:sz w:val="16"/>
        </w:rPr>
        <w:t xml:space="preserve"> </w:t>
      </w:r>
      <w:r w:rsidRPr="00EB2BD8">
        <w:rPr>
          <w:rFonts w:ascii="Arial" w:hAnsi="Arial"/>
          <w:w w:val="105"/>
          <w:sz w:val="16"/>
        </w:rPr>
        <w:t>and</w:t>
      </w:r>
      <w:r w:rsidRPr="00EB2BD8">
        <w:rPr>
          <w:rFonts w:ascii="Arial" w:hAnsi="Arial"/>
          <w:spacing w:val="-3"/>
          <w:w w:val="105"/>
          <w:sz w:val="16"/>
        </w:rPr>
        <w:t xml:space="preserve"> </w:t>
      </w:r>
      <w:r w:rsidRPr="00EB2BD8">
        <w:rPr>
          <w:rFonts w:ascii="Arial" w:hAnsi="Arial"/>
          <w:w w:val="105"/>
          <w:sz w:val="16"/>
        </w:rPr>
        <w:t>conditions</w:t>
      </w:r>
      <w:r w:rsidRPr="00EB2BD8">
        <w:rPr>
          <w:rFonts w:ascii="Arial" w:hAnsi="Arial"/>
          <w:spacing w:val="-3"/>
          <w:w w:val="105"/>
          <w:sz w:val="16"/>
        </w:rPr>
        <w:t xml:space="preserve"> </w:t>
      </w:r>
      <w:r w:rsidRPr="00EB2BD8">
        <w:rPr>
          <w:rFonts w:ascii="Arial" w:hAnsi="Arial"/>
          <w:w w:val="105"/>
          <w:sz w:val="16"/>
        </w:rPr>
        <w:t>and</w:t>
      </w:r>
      <w:r w:rsidRPr="00EB2BD8">
        <w:rPr>
          <w:rFonts w:ascii="Arial" w:hAnsi="Arial"/>
          <w:spacing w:val="-3"/>
          <w:w w:val="105"/>
          <w:sz w:val="16"/>
        </w:rPr>
        <w:t xml:space="preserve"> </w:t>
      </w:r>
      <w:r w:rsidRPr="00EB2BD8">
        <w:rPr>
          <w:rFonts w:ascii="Arial" w:hAnsi="Arial"/>
          <w:w w:val="105"/>
          <w:sz w:val="16"/>
        </w:rPr>
        <w:t>traded</w:t>
      </w:r>
      <w:r w:rsidRPr="00EB2BD8">
        <w:rPr>
          <w:rFonts w:ascii="Arial" w:hAnsi="Arial"/>
          <w:spacing w:val="-3"/>
          <w:w w:val="105"/>
          <w:sz w:val="16"/>
        </w:rPr>
        <w:t xml:space="preserve"> </w:t>
      </w:r>
      <w:r w:rsidRPr="00EB2BD8">
        <w:rPr>
          <w:rFonts w:ascii="Arial" w:hAnsi="Arial"/>
          <w:w w:val="105"/>
          <w:sz w:val="16"/>
        </w:rPr>
        <w:t>in</w:t>
      </w:r>
      <w:r w:rsidRPr="00EB2BD8">
        <w:rPr>
          <w:rFonts w:ascii="Arial" w:hAnsi="Arial"/>
          <w:spacing w:val="-3"/>
          <w:w w:val="105"/>
          <w:sz w:val="16"/>
        </w:rPr>
        <w:t xml:space="preserve"> </w:t>
      </w:r>
      <w:r w:rsidRPr="00EB2BD8">
        <w:rPr>
          <w:rFonts w:ascii="Arial" w:hAnsi="Arial"/>
          <w:w w:val="105"/>
          <w:sz w:val="16"/>
        </w:rPr>
        <w:t>active</w:t>
      </w:r>
      <w:r w:rsidRPr="00EB2BD8">
        <w:rPr>
          <w:rFonts w:ascii="Arial" w:hAnsi="Arial"/>
          <w:spacing w:val="-3"/>
          <w:w w:val="105"/>
          <w:sz w:val="16"/>
        </w:rPr>
        <w:t xml:space="preserve"> </w:t>
      </w:r>
      <w:r w:rsidRPr="00EB2BD8">
        <w:rPr>
          <w:rFonts w:ascii="Arial" w:hAnsi="Arial"/>
          <w:w w:val="105"/>
          <w:sz w:val="16"/>
        </w:rPr>
        <w:t>liquid</w:t>
      </w:r>
      <w:r w:rsidRPr="00EB2BD8">
        <w:rPr>
          <w:rFonts w:ascii="Arial" w:hAnsi="Arial"/>
          <w:spacing w:val="-3"/>
          <w:w w:val="105"/>
          <w:sz w:val="16"/>
        </w:rPr>
        <w:t xml:space="preserve"> </w:t>
      </w:r>
      <w:r w:rsidRPr="00EB2BD8">
        <w:rPr>
          <w:rFonts w:ascii="Arial" w:hAnsi="Arial"/>
          <w:w w:val="105"/>
          <w:sz w:val="16"/>
        </w:rPr>
        <w:t>markets are determined with reference to quoted market prices;</w:t>
      </w:r>
    </w:p>
    <w:p w14:paraId="0078B8D7" w14:textId="77777777" w:rsidR="00084F36" w:rsidRPr="00EB2BD8" w:rsidRDefault="00EB2BD8">
      <w:pPr>
        <w:pStyle w:val="ListParagraph"/>
        <w:numPr>
          <w:ilvl w:val="3"/>
          <w:numId w:val="36"/>
        </w:numPr>
        <w:tabs>
          <w:tab w:val="left" w:pos="1732"/>
        </w:tabs>
        <w:spacing w:before="3" w:line="285" w:lineRule="auto"/>
        <w:ind w:right="1508"/>
        <w:rPr>
          <w:rFonts w:ascii="Arial" w:hAnsi="Arial"/>
          <w:sz w:val="16"/>
        </w:rPr>
      </w:pPr>
      <w:r w:rsidRPr="00EB2BD8">
        <w:rPr>
          <w:rFonts w:ascii="Arial" w:hAnsi="Arial"/>
          <w:w w:val="105"/>
          <w:sz w:val="16"/>
        </w:rPr>
        <w:t>Level</w:t>
      </w:r>
      <w:r w:rsidRPr="00EB2BD8">
        <w:rPr>
          <w:rFonts w:ascii="Arial" w:hAnsi="Arial"/>
          <w:spacing w:val="-2"/>
          <w:w w:val="105"/>
          <w:sz w:val="16"/>
        </w:rPr>
        <w:t xml:space="preserve"> </w:t>
      </w:r>
      <w:r w:rsidRPr="00EB2BD8">
        <w:rPr>
          <w:rFonts w:ascii="Arial" w:hAnsi="Arial"/>
          <w:w w:val="105"/>
          <w:sz w:val="16"/>
        </w:rPr>
        <w:t>2</w:t>
      </w:r>
      <w:r w:rsidRPr="00EB2BD8">
        <w:rPr>
          <w:rFonts w:ascii="Arial" w:hAnsi="Arial"/>
          <w:spacing w:val="-2"/>
          <w:w w:val="105"/>
          <w:sz w:val="16"/>
        </w:rPr>
        <w:t xml:space="preserve"> </w:t>
      </w:r>
      <w:r w:rsidRPr="00EB2BD8">
        <w:rPr>
          <w:rFonts w:ascii="Arial" w:hAnsi="Arial"/>
          <w:w w:val="105"/>
          <w:sz w:val="16"/>
        </w:rPr>
        <w:t>–</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fair</w:t>
      </w:r>
      <w:r w:rsidRPr="00EB2BD8">
        <w:rPr>
          <w:rFonts w:ascii="Arial" w:hAnsi="Arial"/>
          <w:spacing w:val="-2"/>
          <w:w w:val="105"/>
          <w:sz w:val="16"/>
        </w:rPr>
        <w:t xml:space="preserve"> </w:t>
      </w:r>
      <w:r w:rsidRPr="00EB2BD8">
        <w:rPr>
          <w:rFonts w:ascii="Arial" w:hAnsi="Arial"/>
          <w:w w:val="105"/>
          <w:sz w:val="16"/>
        </w:rPr>
        <w:t>value</w:t>
      </w:r>
      <w:r w:rsidRPr="00EB2BD8">
        <w:rPr>
          <w:rFonts w:ascii="Arial" w:hAnsi="Arial"/>
          <w:spacing w:val="-2"/>
          <w:w w:val="105"/>
          <w:sz w:val="16"/>
        </w:rPr>
        <w:t xml:space="preserve"> </w:t>
      </w:r>
      <w:r w:rsidRPr="00EB2BD8">
        <w:rPr>
          <w:rFonts w:ascii="Arial" w:hAnsi="Arial"/>
          <w:w w:val="105"/>
          <w:sz w:val="16"/>
        </w:rPr>
        <w:t>is</w:t>
      </w:r>
      <w:r w:rsidRPr="00EB2BD8">
        <w:rPr>
          <w:rFonts w:ascii="Arial" w:hAnsi="Arial"/>
          <w:spacing w:val="-2"/>
          <w:w w:val="105"/>
          <w:sz w:val="16"/>
        </w:rPr>
        <w:t xml:space="preserve"> </w:t>
      </w:r>
      <w:r w:rsidRPr="00EB2BD8">
        <w:rPr>
          <w:rFonts w:ascii="Arial" w:hAnsi="Arial"/>
          <w:w w:val="105"/>
          <w:sz w:val="16"/>
        </w:rPr>
        <w:t>determined</w:t>
      </w:r>
      <w:r w:rsidRPr="00EB2BD8">
        <w:rPr>
          <w:rFonts w:ascii="Arial" w:hAnsi="Arial"/>
          <w:spacing w:val="-2"/>
          <w:w w:val="105"/>
          <w:sz w:val="16"/>
        </w:rPr>
        <w:t xml:space="preserve"> </w:t>
      </w:r>
      <w:r w:rsidRPr="00EB2BD8">
        <w:rPr>
          <w:rFonts w:ascii="Arial" w:hAnsi="Arial"/>
          <w:w w:val="105"/>
          <w:sz w:val="16"/>
        </w:rPr>
        <w:t>using</w:t>
      </w:r>
      <w:r w:rsidRPr="00EB2BD8">
        <w:rPr>
          <w:rFonts w:ascii="Arial" w:hAnsi="Arial"/>
          <w:spacing w:val="-2"/>
          <w:w w:val="105"/>
          <w:sz w:val="16"/>
        </w:rPr>
        <w:t xml:space="preserve"> </w:t>
      </w:r>
      <w:r w:rsidRPr="00EB2BD8">
        <w:rPr>
          <w:rFonts w:ascii="Arial" w:hAnsi="Arial"/>
          <w:w w:val="105"/>
          <w:sz w:val="16"/>
        </w:rPr>
        <w:t>inputs</w:t>
      </w:r>
      <w:r w:rsidRPr="00EB2BD8">
        <w:rPr>
          <w:rFonts w:ascii="Arial" w:hAnsi="Arial"/>
          <w:spacing w:val="-2"/>
          <w:w w:val="105"/>
          <w:sz w:val="16"/>
        </w:rPr>
        <w:t xml:space="preserve"> </w:t>
      </w:r>
      <w:r w:rsidRPr="00EB2BD8">
        <w:rPr>
          <w:rFonts w:ascii="Arial" w:hAnsi="Arial"/>
          <w:w w:val="105"/>
          <w:sz w:val="16"/>
        </w:rPr>
        <w:t>other</w:t>
      </w:r>
      <w:r w:rsidRPr="00EB2BD8">
        <w:rPr>
          <w:rFonts w:ascii="Arial" w:hAnsi="Arial"/>
          <w:spacing w:val="-2"/>
          <w:w w:val="105"/>
          <w:sz w:val="16"/>
        </w:rPr>
        <w:t xml:space="preserve"> </w:t>
      </w:r>
      <w:r w:rsidRPr="00EB2BD8">
        <w:rPr>
          <w:rFonts w:ascii="Arial" w:hAnsi="Arial"/>
          <w:w w:val="105"/>
          <w:sz w:val="16"/>
        </w:rPr>
        <w:t>than</w:t>
      </w:r>
      <w:r w:rsidRPr="00EB2BD8">
        <w:rPr>
          <w:rFonts w:ascii="Arial" w:hAnsi="Arial"/>
          <w:spacing w:val="-2"/>
          <w:w w:val="105"/>
          <w:sz w:val="16"/>
        </w:rPr>
        <w:t xml:space="preserve"> </w:t>
      </w:r>
      <w:r w:rsidRPr="00EB2BD8">
        <w:rPr>
          <w:rFonts w:ascii="Arial" w:hAnsi="Arial"/>
          <w:w w:val="105"/>
          <w:sz w:val="16"/>
        </w:rPr>
        <w:t>quoted</w:t>
      </w:r>
      <w:r w:rsidRPr="00EB2BD8">
        <w:rPr>
          <w:rFonts w:ascii="Arial" w:hAnsi="Arial"/>
          <w:spacing w:val="-2"/>
          <w:w w:val="105"/>
          <w:sz w:val="16"/>
        </w:rPr>
        <w:t xml:space="preserve"> </w:t>
      </w:r>
      <w:r w:rsidRPr="00EB2BD8">
        <w:rPr>
          <w:rFonts w:ascii="Arial" w:hAnsi="Arial"/>
          <w:w w:val="105"/>
          <w:sz w:val="16"/>
        </w:rPr>
        <w:t>prices</w:t>
      </w:r>
      <w:r w:rsidRPr="00EB2BD8">
        <w:rPr>
          <w:rFonts w:ascii="Arial" w:hAnsi="Arial"/>
          <w:spacing w:val="-2"/>
          <w:w w:val="105"/>
          <w:sz w:val="16"/>
        </w:rPr>
        <w:t xml:space="preserve"> </w:t>
      </w:r>
      <w:r w:rsidRPr="00EB2BD8">
        <w:rPr>
          <w:rFonts w:ascii="Arial" w:hAnsi="Arial"/>
          <w:w w:val="105"/>
          <w:sz w:val="16"/>
        </w:rPr>
        <w:t>that</w:t>
      </w:r>
      <w:r w:rsidRPr="00EB2BD8">
        <w:rPr>
          <w:rFonts w:ascii="Arial" w:hAnsi="Arial"/>
          <w:spacing w:val="-2"/>
          <w:w w:val="105"/>
          <w:sz w:val="16"/>
        </w:rPr>
        <w:t xml:space="preserve"> </w:t>
      </w:r>
      <w:r w:rsidRPr="00EB2BD8">
        <w:rPr>
          <w:rFonts w:ascii="Arial" w:hAnsi="Arial"/>
          <w:w w:val="105"/>
          <w:sz w:val="16"/>
        </w:rPr>
        <w:t>are</w:t>
      </w:r>
      <w:r w:rsidRPr="00EB2BD8">
        <w:rPr>
          <w:rFonts w:ascii="Arial" w:hAnsi="Arial"/>
          <w:spacing w:val="-2"/>
          <w:w w:val="105"/>
          <w:sz w:val="16"/>
        </w:rPr>
        <w:t xml:space="preserve"> </w:t>
      </w:r>
      <w:r w:rsidRPr="00EB2BD8">
        <w:rPr>
          <w:rFonts w:ascii="Arial" w:hAnsi="Arial"/>
          <w:w w:val="105"/>
          <w:sz w:val="16"/>
        </w:rPr>
        <w:t>observable</w:t>
      </w:r>
      <w:r w:rsidRPr="00EB2BD8">
        <w:rPr>
          <w:rFonts w:ascii="Arial" w:hAnsi="Arial"/>
          <w:spacing w:val="-2"/>
          <w:w w:val="105"/>
          <w:sz w:val="16"/>
        </w:rPr>
        <w:t xml:space="preserve"> </w:t>
      </w:r>
      <w:r w:rsidRPr="00EB2BD8">
        <w:rPr>
          <w:rFonts w:ascii="Arial" w:hAnsi="Arial"/>
          <w:w w:val="105"/>
          <w:sz w:val="16"/>
        </w:rPr>
        <w:t>for</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financial</w:t>
      </w:r>
      <w:r w:rsidRPr="00EB2BD8">
        <w:rPr>
          <w:rFonts w:ascii="Arial" w:hAnsi="Arial"/>
          <w:spacing w:val="-2"/>
          <w:w w:val="105"/>
          <w:sz w:val="16"/>
        </w:rPr>
        <w:t xml:space="preserve"> </w:t>
      </w:r>
      <w:r w:rsidRPr="00EB2BD8">
        <w:rPr>
          <w:rFonts w:ascii="Arial" w:hAnsi="Arial"/>
          <w:w w:val="105"/>
          <w:sz w:val="16"/>
        </w:rPr>
        <w:t>asset or liability, either directly or indirectly; and</w:t>
      </w:r>
    </w:p>
    <w:p w14:paraId="3257B858" w14:textId="77777777" w:rsidR="00084F36" w:rsidRPr="00EB2BD8" w:rsidRDefault="00EB2BD8">
      <w:pPr>
        <w:pStyle w:val="ListParagraph"/>
        <w:numPr>
          <w:ilvl w:val="3"/>
          <w:numId w:val="36"/>
        </w:numPr>
        <w:tabs>
          <w:tab w:val="left" w:pos="1732"/>
        </w:tabs>
        <w:spacing w:before="4" w:line="285" w:lineRule="auto"/>
        <w:ind w:right="1806"/>
        <w:rPr>
          <w:rFonts w:ascii="Arial" w:hAnsi="Arial"/>
          <w:sz w:val="16"/>
        </w:rPr>
      </w:pPr>
      <w:r w:rsidRPr="00EB2BD8">
        <w:rPr>
          <w:rFonts w:ascii="Arial" w:hAnsi="Arial"/>
          <w:w w:val="105"/>
          <w:sz w:val="16"/>
        </w:rPr>
        <w:t>Level</w:t>
      </w:r>
      <w:r w:rsidRPr="00EB2BD8">
        <w:rPr>
          <w:rFonts w:ascii="Arial" w:hAnsi="Arial"/>
          <w:spacing w:val="-3"/>
          <w:w w:val="105"/>
          <w:sz w:val="16"/>
        </w:rPr>
        <w:t xml:space="preserve"> </w:t>
      </w:r>
      <w:r w:rsidRPr="00EB2BD8">
        <w:rPr>
          <w:rFonts w:ascii="Arial" w:hAnsi="Arial"/>
          <w:w w:val="105"/>
          <w:sz w:val="16"/>
        </w:rPr>
        <w:t>3</w:t>
      </w:r>
      <w:r w:rsidRPr="00EB2BD8">
        <w:rPr>
          <w:rFonts w:ascii="Arial" w:hAnsi="Arial"/>
          <w:spacing w:val="-3"/>
          <w:w w:val="105"/>
          <w:sz w:val="16"/>
        </w:rPr>
        <w:t xml:space="preserve"> </w:t>
      </w:r>
      <w:r w:rsidRPr="00EB2BD8">
        <w:rPr>
          <w:rFonts w:ascii="Arial" w:hAnsi="Arial"/>
          <w:w w:val="105"/>
          <w:sz w:val="16"/>
        </w:rPr>
        <w:t>–</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fair</w:t>
      </w:r>
      <w:r w:rsidRPr="00EB2BD8">
        <w:rPr>
          <w:rFonts w:ascii="Arial" w:hAnsi="Arial"/>
          <w:spacing w:val="-3"/>
          <w:w w:val="105"/>
          <w:sz w:val="16"/>
        </w:rPr>
        <w:t xml:space="preserve"> </w:t>
      </w:r>
      <w:r w:rsidRPr="00EB2BD8">
        <w:rPr>
          <w:rFonts w:ascii="Arial" w:hAnsi="Arial"/>
          <w:w w:val="105"/>
          <w:sz w:val="16"/>
        </w:rPr>
        <w:t>value</w:t>
      </w:r>
      <w:r w:rsidRPr="00EB2BD8">
        <w:rPr>
          <w:rFonts w:ascii="Arial" w:hAnsi="Arial"/>
          <w:spacing w:val="-3"/>
          <w:w w:val="105"/>
          <w:sz w:val="16"/>
        </w:rPr>
        <w:t xml:space="preserve"> </w:t>
      </w:r>
      <w:r w:rsidRPr="00EB2BD8">
        <w:rPr>
          <w:rFonts w:ascii="Arial" w:hAnsi="Arial"/>
          <w:w w:val="105"/>
          <w:sz w:val="16"/>
        </w:rPr>
        <w:t>is</w:t>
      </w:r>
      <w:r w:rsidRPr="00EB2BD8">
        <w:rPr>
          <w:rFonts w:ascii="Arial" w:hAnsi="Arial"/>
          <w:spacing w:val="-3"/>
          <w:w w:val="105"/>
          <w:sz w:val="16"/>
        </w:rPr>
        <w:t xml:space="preserve"> </w:t>
      </w:r>
      <w:r w:rsidRPr="00EB2BD8">
        <w:rPr>
          <w:rFonts w:ascii="Arial" w:hAnsi="Arial"/>
          <w:w w:val="105"/>
          <w:sz w:val="16"/>
        </w:rPr>
        <w:t>determined</w:t>
      </w:r>
      <w:r w:rsidRPr="00EB2BD8">
        <w:rPr>
          <w:rFonts w:ascii="Arial" w:hAnsi="Arial"/>
          <w:spacing w:val="-3"/>
          <w:w w:val="105"/>
          <w:sz w:val="16"/>
        </w:rPr>
        <w:t xml:space="preserve"> </w:t>
      </w:r>
      <w:r w:rsidRPr="00EB2BD8">
        <w:rPr>
          <w:rFonts w:ascii="Arial" w:hAnsi="Arial"/>
          <w:w w:val="105"/>
          <w:sz w:val="16"/>
        </w:rPr>
        <w:t>in</w:t>
      </w:r>
      <w:r w:rsidRPr="00EB2BD8">
        <w:rPr>
          <w:rFonts w:ascii="Arial" w:hAnsi="Arial"/>
          <w:spacing w:val="-3"/>
          <w:w w:val="105"/>
          <w:sz w:val="16"/>
        </w:rPr>
        <w:t xml:space="preserve"> </w:t>
      </w:r>
      <w:r w:rsidRPr="00EB2BD8">
        <w:rPr>
          <w:rFonts w:ascii="Arial" w:hAnsi="Arial"/>
          <w:w w:val="105"/>
          <w:sz w:val="16"/>
        </w:rPr>
        <w:t>accordance</w:t>
      </w:r>
      <w:r w:rsidRPr="00EB2BD8">
        <w:rPr>
          <w:rFonts w:ascii="Arial" w:hAnsi="Arial"/>
          <w:spacing w:val="-3"/>
          <w:w w:val="105"/>
          <w:sz w:val="16"/>
        </w:rPr>
        <w:t xml:space="preserve"> </w:t>
      </w:r>
      <w:r w:rsidRPr="00EB2BD8">
        <w:rPr>
          <w:rFonts w:ascii="Arial" w:hAnsi="Arial"/>
          <w:w w:val="105"/>
          <w:sz w:val="16"/>
        </w:rPr>
        <w:t>with</w:t>
      </w:r>
      <w:r w:rsidRPr="00EB2BD8">
        <w:rPr>
          <w:rFonts w:ascii="Arial" w:hAnsi="Arial"/>
          <w:spacing w:val="-2"/>
          <w:w w:val="105"/>
          <w:sz w:val="16"/>
        </w:rPr>
        <w:t xml:space="preserve"> </w:t>
      </w:r>
      <w:r w:rsidRPr="00EB2BD8">
        <w:rPr>
          <w:rFonts w:ascii="Arial" w:hAnsi="Arial"/>
          <w:w w:val="105"/>
          <w:sz w:val="16"/>
        </w:rPr>
        <w:t>generally</w:t>
      </w:r>
      <w:r w:rsidRPr="00EB2BD8">
        <w:rPr>
          <w:rFonts w:ascii="Arial" w:hAnsi="Arial"/>
          <w:spacing w:val="-3"/>
          <w:w w:val="105"/>
          <w:sz w:val="16"/>
        </w:rPr>
        <w:t xml:space="preserve"> </w:t>
      </w:r>
      <w:r w:rsidRPr="00EB2BD8">
        <w:rPr>
          <w:rFonts w:ascii="Arial" w:hAnsi="Arial"/>
          <w:w w:val="105"/>
          <w:sz w:val="16"/>
        </w:rPr>
        <w:t>accepted</w:t>
      </w:r>
      <w:r w:rsidRPr="00EB2BD8">
        <w:rPr>
          <w:rFonts w:ascii="Arial" w:hAnsi="Arial"/>
          <w:spacing w:val="-3"/>
          <w:w w:val="105"/>
          <w:sz w:val="16"/>
        </w:rPr>
        <w:t xml:space="preserve"> </w:t>
      </w:r>
      <w:r w:rsidRPr="00EB2BD8">
        <w:rPr>
          <w:rFonts w:ascii="Arial" w:hAnsi="Arial"/>
          <w:w w:val="105"/>
          <w:sz w:val="16"/>
        </w:rPr>
        <w:t>pricing</w:t>
      </w:r>
      <w:r w:rsidRPr="00EB2BD8">
        <w:rPr>
          <w:rFonts w:ascii="Arial" w:hAnsi="Arial"/>
          <w:spacing w:val="-3"/>
          <w:w w:val="105"/>
          <w:sz w:val="16"/>
        </w:rPr>
        <w:t xml:space="preserve"> </w:t>
      </w:r>
      <w:r w:rsidRPr="00EB2BD8">
        <w:rPr>
          <w:rFonts w:ascii="Arial" w:hAnsi="Arial"/>
          <w:w w:val="105"/>
          <w:sz w:val="16"/>
        </w:rPr>
        <w:t>models</w:t>
      </w:r>
      <w:r w:rsidRPr="00EB2BD8">
        <w:rPr>
          <w:rFonts w:ascii="Arial" w:hAnsi="Arial"/>
          <w:spacing w:val="-3"/>
          <w:w w:val="105"/>
          <w:sz w:val="16"/>
        </w:rPr>
        <w:t xml:space="preserve"> </w:t>
      </w:r>
      <w:r w:rsidRPr="00EB2BD8">
        <w:rPr>
          <w:rFonts w:ascii="Arial" w:hAnsi="Arial"/>
          <w:w w:val="105"/>
          <w:sz w:val="16"/>
        </w:rPr>
        <w:t>based</w:t>
      </w:r>
      <w:r w:rsidRPr="00EB2BD8">
        <w:rPr>
          <w:rFonts w:ascii="Arial" w:hAnsi="Arial"/>
          <w:spacing w:val="-3"/>
          <w:w w:val="105"/>
          <w:sz w:val="16"/>
        </w:rPr>
        <w:t xml:space="preserve"> </w:t>
      </w:r>
      <w:r w:rsidRPr="00EB2BD8">
        <w:rPr>
          <w:rFonts w:ascii="Arial" w:hAnsi="Arial"/>
          <w:w w:val="105"/>
          <w:sz w:val="16"/>
        </w:rPr>
        <w:t>on</w:t>
      </w:r>
      <w:r w:rsidRPr="00EB2BD8">
        <w:rPr>
          <w:rFonts w:ascii="Arial" w:hAnsi="Arial"/>
          <w:spacing w:val="-3"/>
          <w:w w:val="105"/>
          <w:sz w:val="16"/>
        </w:rPr>
        <w:t xml:space="preserve"> </w:t>
      </w:r>
      <w:r w:rsidRPr="00EB2BD8">
        <w:rPr>
          <w:rFonts w:ascii="Arial" w:hAnsi="Arial"/>
          <w:w w:val="105"/>
          <w:sz w:val="16"/>
        </w:rPr>
        <w:t>discounted cash flow analysis using unobservable market inputs.</w:t>
      </w:r>
    </w:p>
    <w:p w14:paraId="6A47D033" w14:textId="77777777" w:rsidR="00084F36" w:rsidRPr="00EB2BD8" w:rsidRDefault="00084F36">
      <w:pPr>
        <w:pStyle w:val="BodyText"/>
        <w:spacing w:before="6"/>
        <w:rPr>
          <w:rFonts w:ascii="Arial"/>
          <w:sz w:val="19"/>
        </w:rPr>
      </w:pPr>
    </w:p>
    <w:p w14:paraId="600B1DC3" w14:textId="77777777" w:rsidR="00084F36" w:rsidRPr="00EB2BD8" w:rsidRDefault="00EB2BD8">
      <w:pPr>
        <w:spacing w:line="290" w:lineRule="auto"/>
        <w:ind w:left="1060" w:right="1672"/>
        <w:rPr>
          <w:rFonts w:ascii="Arial"/>
          <w:sz w:val="16"/>
        </w:rPr>
      </w:pPr>
      <w:r w:rsidRPr="00EB2BD8">
        <w:rPr>
          <w:rFonts w:ascii="Arial"/>
          <w:w w:val="105"/>
          <w:sz w:val="16"/>
        </w:rPr>
        <w:t>The VBA currently holds a range of financial instruments that are recorded in the financial statements where the carrying amounts</w:t>
      </w:r>
      <w:r w:rsidRPr="00EB2BD8">
        <w:rPr>
          <w:rFonts w:ascii="Arial"/>
          <w:spacing w:val="-2"/>
          <w:w w:val="105"/>
          <w:sz w:val="16"/>
        </w:rPr>
        <w:t xml:space="preserve"> </w:t>
      </w:r>
      <w:r w:rsidRPr="00EB2BD8">
        <w:rPr>
          <w:rFonts w:ascii="Arial"/>
          <w:w w:val="105"/>
          <w:sz w:val="16"/>
        </w:rPr>
        <w:t>are</w:t>
      </w:r>
      <w:r w:rsidRPr="00EB2BD8">
        <w:rPr>
          <w:rFonts w:ascii="Arial"/>
          <w:spacing w:val="-2"/>
          <w:w w:val="105"/>
          <w:sz w:val="16"/>
        </w:rPr>
        <w:t xml:space="preserve"> </w:t>
      </w:r>
      <w:r w:rsidRPr="00EB2BD8">
        <w:rPr>
          <w:rFonts w:ascii="Arial"/>
          <w:w w:val="105"/>
          <w:sz w:val="16"/>
        </w:rPr>
        <w:t>a</w:t>
      </w:r>
      <w:r w:rsidRPr="00EB2BD8">
        <w:rPr>
          <w:rFonts w:ascii="Arial"/>
          <w:spacing w:val="-2"/>
          <w:w w:val="105"/>
          <w:sz w:val="16"/>
        </w:rPr>
        <w:t xml:space="preserve"> </w:t>
      </w:r>
      <w:r w:rsidRPr="00EB2BD8">
        <w:rPr>
          <w:rFonts w:ascii="Arial"/>
          <w:w w:val="105"/>
          <w:sz w:val="16"/>
        </w:rPr>
        <w:t>reasonable</w:t>
      </w:r>
      <w:r w:rsidRPr="00EB2BD8">
        <w:rPr>
          <w:rFonts w:ascii="Arial"/>
          <w:spacing w:val="-2"/>
          <w:w w:val="105"/>
          <w:sz w:val="16"/>
        </w:rPr>
        <w:t xml:space="preserve"> </w:t>
      </w:r>
      <w:r w:rsidRPr="00EB2BD8">
        <w:rPr>
          <w:rFonts w:ascii="Arial"/>
          <w:w w:val="105"/>
          <w:sz w:val="16"/>
        </w:rPr>
        <w:t>approximation</w:t>
      </w:r>
      <w:r w:rsidRPr="00EB2BD8">
        <w:rPr>
          <w:rFonts w:ascii="Arial"/>
          <w:spacing w:val="-2"/>
          <w:w w:val="105"/>
          <w:sz w:val="16"/>
        </w:rPr>
        <w:t xml:space="preserve"> </w:t>
      </w:r>
      <w:r w:rsidRPr="00EB2BD8">
        <w:rPr>
          <w:rFonts w:ascii="Arial"/>
          <w:w w:val="105"/>
          <w:sz w:val="16"/>
        </w:rPr>
        <w:t>of</w:t>
      </w:r>
      <w:r w:rsidRPr="00EB2BD8">
        <w:rPr>
          <w:rFonts w:ascii="Arial"/>
          <w:spacing w:val="-1"/>
          <w:w w:val="105"/>
          <w:sz w:val="16"/>
        </w:rPr>
        <w:t xml:space="preserve"> </w:t>
      </w:r>
      <w:r w:rsidRPr="00EB2BD8">
        <w:rPr>
          <w:rFonts w:ascii="Arial"/>
          <w:w w:val="105"/>
          <w:sz w:val="16"/>
        </w:rPr>
        <w:t>fair</w:t>
      </w:r>
      <w:r w:rsidRPr="00EB2BD8">
        <w:rPr>
          <w:rFonts w:ascii="Arial"/>
          <w:spacing w:val="-2"/>
          <w:w w:val="105"/>
          <w:sz w:val="16"/>
        </w:rPr>
        <w:t xml:space="preserve"> </w:t>
      </w:r>
      <w:r w:rsidRPr="00EB2BD8">
        <w:rPr>
          <w:rFonts w:ascii="Arial"/>
          <w:w w:val="105"/>
          <w:sz w:val="16"/>
        </w:rPr>
        <w:t>value,</w:t>
      </w:r>
      <w:r w:rsidRPr="00EB2BD8">
        <w:rPr>
          <w:rFonts w:ascii="Arial"/>
          <w:spacing w:val="-2"/>
          <w:w w:val="105"/>
          <w:sz w:val="16"/>
        </w:rPr>
        <w:t xml:space="preserve"> </w:t>
      </w:r>
      <w:r w:rsidRPr="00EB2BD8">
        <w:rPr>
          <w:rFonts w:ascii="Arial"/>
          <w:w w:val="105"/>
          <w:sz w:val="16"/>
        </w:rPr>
        <w:t>either</w:t>
      </w:r>
      <w:r w:rsidRPr="00EB2BD8">
        <w:rPr>
          <w:rFonts w:ascii="Arial"/>
          <w:spacing w:val="-2"/>
          <w:w w:val="105"/>
          <w:sz w:val="16"/>
        </w:rPr>
        <w:t xml:space="preserve"> </w:t>
      </w:r>
      <w:r w:rsidRPr="00EB2BD8">
        <w:rPr>
          <w:rFonts w:ascii="Arial"/>
          <w:w w:val="105"/>
          <w:sz w:val="16"/>
        </w:rPr>
        <w:t>due</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their</w:t>
      </w:r>
      <w:r w:rsidRPr="00EB2BD8">
        <w:rPr>
          <w:rFonts w:ascii="Arial"/>
          <w:spacing w:val="-2"/>
          <w:w w:val="105"/>
          <w:sz w:val="16"/>
        </w:rPr>
        <w:t xml:space="preserve"> </w:t>
      </w:r>
      <w:r w:rsidRPr="00EB2BD8">
        <w:rPr>
          <w:rFonts w:ascii="Arial"/>
          <w:w w:val="105"/>
          <w:sz w:val="16"/>
        </w:rPr>
        <w:t>short-term</w:t>
      </w:r>
      <w:r w:rsidRPr="00EB2BD8">
        <w:rPr>
          <w:rFonts w:ascii="Arial"/>
          <w:spacing w:val="-2"/>
          <w:w w:val="105"/>
          <w:sz w:val="16"/>
        </w:rPr>
        <w:t xml:space="preserve"> </w:t>
      </w:r>
      <w:r w:rsidRPr="00EB2BD8">
        <w:rPr>
          <w:rFonts w:ascii="Arial"/>
          <w:w w:val="105"/>
          <w:sz w:val="16"/>
        </w:rPr>
        <w:t>nature</w:t>
      </w:r>
      <w:r w:rsidRPr="00EB2BD8">
        <w:rPr>
          <w:rFonts w:ascii="Arial"/>
          <w:spacing w:val="-2"/>
          <w:w w:val="105"/>
          <w:sz w:val="16"/>
        </w:rPr>
        <w:t xml:space="preserve"> </w:t>
      </w:r>
      <w:r w:rsidRPr="00EB2BD8">
        <w:rPr>
          <w:rFonts w:ascii="Arial"/>
          <w:w w:val="105"/>
          <w:sz w:val="16"/>
        </w:rPr>
        <w:t>or</w:t>
      </w:r>
      <w:r w:rsidRPr="00EB2BD8">
        <w:rPr>
          <w:rFonts w:ascii="Arial"/>
          <w:spacing w:val="-2"/>
          <w:w w:val="105"/>
          <w:sz w:val="16"/>
        </w:rPr>
        <w:t xml:space="preserve"> </w:t>
      </w:r>
      <w:r w:rsidRPr="00EB2BD8">
        <w:rPr>
          <w:rFonts w:ascii="Arial"/>
          <w:w w:val="105"/>
          <w:sz w:val="16"/>
        </w:rPr>
        <w:t>with</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expectation</w:t>
      </w:r>
      <w:r w:rsidRPr="00EB2BD8">
        <w:rPr>
          <w:rFonts w:ascii="Arial"/>
          <w:spacing w:val="-2"/>
          <w:w w:val="105"/>
          <w:sz w:val="16"/>
        </w:rPr>
        <w:t xml:space="preserve"> </w:t>
      </w:r>
      <w:r w:rsidRPr="00EB2BD8">
        <w:rPr>
          <w:rFonts w:ascii="Arial"/>
          <w:w w:val="105"/>
          <w:sz w:val="16"/>
        </w:rPr>
        <w:t>that</w:t>
      </w:r>
      <w:r w:rsidRPr="00EB2BD8">
        <w:rPr>
          <w:rFonts w:ascii="Arial"/>
          <w:spacing w:val="-2"/>
          <w:w w:val="105"/>
          <w:sz w:val="16"/>
        </w:rPr>
        <w:t xml:space="preserve"> </w:t>
      </w:r>
      <w:r w:rsidRPr="00EB2BD8">
        <w:rPr>
          <w:rFonts w:ascii="Arial"/>
          <w:w w:val="105"/>
          <w:sz w:val="16"/>
        </w:rPr>
        <w:t>they will be paid in full in the ordinary course of business by the end of the 2022-23 reporting period.</w:t>
      </w:r>
    </w:p>
    <w:p w14:paraId="2581B349" w14:textId="77777777" w:rsidR="00084F36" w:rsidRPr="00EB2BD8" w:rsidRDefault="00084F36">
      <w:pPr>
        <w:pStyle w:val="BodyText"/>
        <w:spacing w:before="3"/>
        <w:rPr>
          <w:rFonts w:ascii="Arial"/>
          <w:sz w:val="19"/>
        </w:rPr>
      </w:pPr>
    </w:p>
    <w:p w14:paraId="7BC7AB24" w14:textId="77777777" w:rsidR="00084F36" w:rsidRPr="00EB2BD8" w:rsidRDefault="00EB2BD8">
      <w:pPr>
        <w:ind w:left="1060"/>
        <w:rPr>
          <w:rFonts w:ascii="Arial"/>
          <w:sz w:val="16"/>
        </w:rPr>
      </w:pPr>
      <w:r w:rsidRPr="00EB2BD8">
        <w:rPr>
          <w:rFonts w:ascii="Arial"/>
          <w:w w:val="105"/>
          <w:sz w:val="16"/>
        </w:rPr>
        <w:t>These</w:t>
      </w:r>
      <w:r w:rsidRPr="00EB2BD8">
        <w:rPr>
          <w:rFonts w:ascii="Arial"/>
          <w:spacing w:val="-9"/>
          <w:w w:val="105"/>
          <w:sz w:val="16"/>
        </w:rPr>
        <w:t xml:space="preserve"> </w:t>
      </w:r>
      <w:r w:rsidRPr="00EB2BD8">
        <w:rPr>
          <w:rFonts w:ascii="Arial"/>
          <w:w w:val="105"/>
          <w:sz w:val="16"/>
        </w:rPr>
        <w:t>financial</w:t>
      </w:r>
      <w:r w:rsidRPr="00EB2BD8">
        <w:rPr>
          <w:rFonts w:ascii="Arial"/>
          <w:spacing w:val="-10"/>
          <w:w w:val="105"/>
          <w:sz w:val="16"/>
        </w:rPr>
        <w:t xml:space="preserve"> </w:t>
      </w:r>
      <w:r w:rsidRPr="00EB2BD8">
        <w:rPr>
          <w:rFonts w:ascii="Arial"/>
          <w:w w:val="105"/>
          <w:sz w:val="16"/>
        </w:rPr>
        <w:t>instruments</w:t>
      </w:r>
      <w:r w:rsidRPr="00EB2BD8">
        <w:rPr>
          <w:rFonts w:ascii="Arial"/>
          <w:spacing w:val="-8"/>
          <w:w w:val="105"/>
          <w:sz w:val="16"/>
        </w:rPr>
        <w:t xml:space="preserve"> </w:t>
      </w:r>
      <w:r w:rsidRPr="00EB2BD8">
        <w:rPr>
          <w:rFonts w:ascii="Arial"/>
          <w:spacing w:val="-2"/>
          <w:w w:val="105"/>
          <w:sz w:val="16"/>
        </w:rPr>
        <w:t>include:</w:t>
      </w:r>
    </w:p>
    <w:p w14:paraId="35FD8A0D" w14:textId="77777777" w:rsidR="00084F36" w:rsidRPr="00EB2BD8" w:rsidRDefault="00EB2BD8">
      <w:pPr>
        <w:pStyle w:val="BodyText"/>
        <w:spacing w:before="10"/>
        <w:rPr>
          <w:rFonts w:ascii="Arial"/>
          <w:sz w:val="19"/>
        </w:rPr>
      </w:pPr>
      <w:r w:rsidRPr="00EB2BD8">
        <w:rPr>
          <w:noProof/>
        </w:rPr>
        <mc:AlternateContent>
          <mc:Choice Requires="wps">
            <w:drawing>
              <wp:anchor distT="0" distB="0" distL="0" distR="0" simplePos="0" relativeHeight="252425216" behindDoc="1" locked="0" layoutInCell="1" allowOverlap="1" wp14:anchorId="7127E0C8" wp14:editId="2B168E49">
                <wp:simplePos x="0" y="0"/>
                <wp:positionH relativeFrom="page">
                  <wp:posOffset>673277</wp:posOffset>
                </wp:positionH>
                <wp:positionV relativeFrom="paragraph">
                  <wp:posOffset>160617</wp:posOffset>
                </wp:positionV>
                <wp:extent cx="5626100" cy="201295"/>
                <wp:effectExtent l="0" t="0" r="0" b="0"/>
                <wp:wrapTopAndBottom/>
                <wp:docPr id="1061" name="Textbox 10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0" cy="201295"/>
                        </a:xfrm>
                        <a:prstGeom prst="rect">
                          <a:avLst/>
                        </a:prstGeom>
                        <a:solidFill>
                          <a:srgbClr val="0070C0"/>
                        </a:solidFill>
                      </wps:spPr>
                      <wps:txbx>
                        <w:txbxContent>
                          <w:p w14:paraId="1EC86ABA" w14:textId="77777777" w:rsidR="00084F36" w:rsidRDefault="00EB2BD8">
                            <w:pPr>
                              <w:tabs>
                                <w:tab w:val="left" w:pos="3535"/>
                              </w:tabs>
                              <w:spacing w:before="55"/>
                              <w:ind w:left="100"/>
                              <w:rPr>
                                <w:rFonts w:ascii="Arial"/>
                                <w:b/>
                                <w:color w:val="000000"/>
                                <w:sz w:val="16"/>
                              </w:rPr>
                            </w:pPr>
                            <w:r>
                              <w:rPr>
                                <w:rFonts w:ascii="Arial"/>
                                <w:b/>
                                <w:color w:val="FFFFFF"/>
                                <w:sz w:val="16"/>
                              </w:rPr>
                              <w:t>Financial</w:t>
                            </w:r>
                            <w:r>
                              <w:rPr>
                                <w:rFonts w:ascii="Arial"/>
                                <w:b/>
                                <w:color w:val="FFFFFF"/>
                                <w:spacing w:val="18"/>
                                <w:sz w:val="16"/>
                              </w:rPr>
                              <w:t xml:space="preserve"> </w:t>
                            </w:r>
                            <w:r>
                              <w:rPr>
                                <w:rFonts w:ascii="Arial"/>
                                <w:b/>
                                <w:color w:val="FFFFFF"/>
                                <w:spacing w:val="-2"/>
                                <w:sz w:val="16"/>
                              </w:rPr>
                              <w:t>assets</w:t>
                            </w:r>
                            <w:r>
                              <w:rPr>
                                <w:rFonts w:ascii="Arial"/>
                                <w:b/>
                                <w:color w:val="FFFFFF"/>
                                <w:sz w:val="16"/>
                              </w:rPr>
                              <w:tab/>
                              <w:t>Financial</w:t>
                            </w:r>
                            <w:r>
                              <w:rPr>
                                <w:rFonts w:ascii="Arial"/>
                                <w:b/>
                                <w:color w:val="FFFFFF"/>
                                <w:spacing w:val="14"/>
                                <w:sz w:val="16"/>
                              </w:rPr>
                              <w:t xml:space="preserve"> </w:t>
                            </w:r>
                            <w:r>
                              <w:rPr>
                                <w:rFonts w:ascii="Arial"/>
                                <w:b/>
                                <w:color w:val="FFFFFF"/>
                                <w:spacing w:val="-2"/>
                                <w:sz w:val="16"/>
                              </w:rPr>
                              <w:t>liabilities</w:t>
                            </w:r>
                          </w:p>
                        </w:txbxContent>
                      </wps:txbx>
                      <wps:bodyPr wrap="square" lIns="0" tIns="0" rIns="0" bIns="0" rtlCol="0">
                        <a:noAutofit/>
                      </wps:bodyPr>
                    </wps:wsp>
                  </a:graphicData>
                </a:graphic>
              </wp:anchor>
            </w:drawing>
          </mc:Choice>
          <mc:Fallback>
            <w:pict>
              <v:shape w14:anchorId="7127E0C8" id="Textbox 1061" o:spid="_x0000_s1055" type="#_x0000_t202" alt="&quot;&quot;" style="position:absolute;margin-left:53pt;margin-top:12.65pt;width:443pt;height:15.85pt;z-index:-2508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" fillcolor="#0070c0" stroked="f">
                <v:textbox inset="0,0,0,0">
                  <w:txbxContent>
                    <w:p w14:paraId="1EC86ABA" w14:textId="77777777" w:rsidR="00084F36" w:rsidRDefault="00EB2BD8">
                      <w:pPr>
                        <w:tabs>
                          <w:tab w:val="left" w:pos="3535"/>
                        </w:tabs>
                        <w:spacing w:before="55"/>
                        <w:ind w:left="100"/>
                        <w:rPr>
                          <w:rFonts w:ascii="Arial"/>
                          <w:b/>
                          <w:color w:val="000000"/>
                          <w:sz w:val="16"/>
                        </w:rPr>
                      </w:pPr>
                      <w:r>
                        <w:rPr>
                          <w:rFonts w:ascii="Arial"/>
                          <w:b/>
                          <w:color w:val="FFFFFF"/>
                          <w:sz w:val="16"/>
                        </w:rPr>
                        <w:t>Financial</w:t>
                      </w:r>
                      <w:r>
                        <w:rPr>
                          <w:rFonts w:ascii="Arial"/>
                          <w:b/>
                          <w:color w:val="FFFFFF"/>
                          <w:spacing w:val="18"/>
                          <w:sz w:val="16"/>
                        </w:rPr>
                        <w:t xml:space="preserve"> </w:t>
                      </w:r>
                      <w:r>
                        <w:rPr>
                          <w:rFonts w:ascii="Arial"/>
                          <w:b/>
                          <w:color w:val="FFFFFF"/>
                          <w:spacing w:val="-2"/>
                          <w:sz w:val="16"/>
                        </w:rPr>
                        <w:t>assets</w:t>
                      </w:r>
                      <w:r>
                        <w:rPr>
                          <w:rFonts w:ascii="Arial"/>
                          <w:b/>
                          <w:color w:val="FFFFFF"/>
                          <w:sz w:val="16"/>
                        </w:rPr>
                        <w:tab/>
                        <w:t>Financial</w:t>
                      </w:r>
                      <w:r>
                        <w:rPr>
                          <w:rFonts w:ascii="Arial"/>
                          <w:b/>
                          <w:color w:val="FFFFFF"/>
                          <w:spacing w:val="14"/>
                          <w:sz w:val="16"/>
                        </w:rPr>
                        <w:t xml:space="preserve"> </w:t>
                      </w:r>
                      <w:r>
                        <w:rPr>
                          <w:rFonts w:ascii="Arial"/>
                          <w:b/>
                          <w:color w:val="FFFFFF"/>
                          <w:spacing w:val="-2"/>
                          <w:sz w:val="16"/>
                        </w:rPr>
                        <w:t>liabilities</w:t>
                      </w:r>
                    </w:p>
                  </w:txbxContent>
                </v:textbox>
                <w10:wrap type="topAndBottom" anchorx="page"/>
              </v:shape>
            </w:pict>
          </mc:Fallback>
        </mc:AlternateContent>
      </w:r>
    </w:p>
    <w:p w14:paraId="5AA5E5DE" w14:textId="77777777" w:rsidR="00084F36" w:rsidRPr="00EB2BD8" w:rsidRDefault="00EB2BD8">
      <w:pPr>
        <w:tabs>
          <w:tab w:val="left" w:pos="4595"/>
        </w:tabs>
        <w:spacing w:before="55"/>
        <w:ind w:left="1161"/>
        <w:rPr>
          <w:rFonts w:ascii="Arial"/>
          <w:sz w:val="16"/>
        </w:rPr>
      </w:pPr>
      <w:r w:rsidRPr="00EB2BD8">
        <w:rPr>
          <w:rFonts w:ascii="Arial"/>
          <w:w w:val="105"/>
          <w:sz w:val="16"/>
        </w:rPr>
        <w:t>Cash</w:t>
      </w:r>
      <w:r w:rsidRPr="00EB2BD8">
        <w:rPr>
          <w:rFonts w:ascii="Arial"/>
          <w:spacing w:val="-12"/>
          <w:w w:val="105"/>
          <w:sz w:val="16"/>
        </w:rPr>
        <w:t xml:space="preserve"> </w:t>
      </w:r>
      <w:r w:rsidRPr="00EB2BD8">
        <w:rPr>
          <w:rFonts w:ascii="Arial"/>
          <w:w w:val="105"/>
          <w:sz w:val="16"/>
        </w:rPr>
        <w:t>and</w:t>
      </w:r>
      <w:r w:rsidRPr="00EB2BD8">
        <w:rPr>
          <w:rFonts w:ascii="Arial"/>
          <w:spacing w:val="-11"/>
          <w:w w:val="105"/>
          <w:sz w:val="16"/>
        </w:rPr>
        <w:t xml:space="preserve"> </w:t>
      </w:r>
      <w:r w:rsidRPr="00EB2BD8">
        <w:rPr>
          <w:rFonts w:ascii="Arial"/>
          <w:spacing w:val="-2"/>
          <w:w w:val="105"/>
          <w:sz w:val="16"/>
        </w:rPr>
        <w:t>deposits</w:t>
      </w:r>
      <w:r w:rsidRPr="00EB2BD8">
        <w:rPr>
          <w:rFonts w:ascii="Arial"/>
          <w:sz w:val="16"/>
        </w:rPr>
        <w:tab/>
      </w:r>
      <w:r w:rsidRPr="00EB2BD8">
        <w:rPr>
          <w:rFonts w:ascii="Arial"/>
          <w:spacing w:val="-2"/>
          <w:w w:val="105"/>
          <w:sz w:val="16"/>
        </w:rPr>
        <w:t>Payables</w:t>
      </w:r>
    </w:p>
    <w:p w14:paraId="29706AFD" w14:textId="77777777" w:rsidR="00084F36" w:rsidRPr="00EB2BD8" w:rsidRDefault="00EB2BD8">
      <w:pPr>
        <w:tabs>
          <w:tab w:val="left" w:pos="4595"/>
        </w:tabs>
        <w:spacing w:before="134"/>
        <w:ind w:left="1161"/>
        <w:rPr>
          <w:rFonts w:ascii="Arial"/>
          <w:sz w:val="16"/>
        </w:rPr>
      </w:pPr>
      <w:r w:rsidRPr="00EB2BD8">
        <w:rPr>
          <w:rFonts w:ascii="Arial"/>
          <w:spacing w:val="-2"/>
          <w:w w:val="105"/>
          <w:sz w:val="16"/>
        </w:rPr>
        <w:t>Receivables</w:t>
      </w:r>
      <w:r w:rsidRPr="00EB2BD8">
        <w:rPr>
          <w:rFonts w:ascii="Arial"/>
          <w:sz w:val="16"/>
        </w:rPr>
        <w:tab/>
      </w:r>
      <w:r w:rsidRPr="00EB2BD8">
        <w:rPr>
          <w:rFonts w:ascii="Arial"/>
          <w:w w:val="105"/>
          <w:sz w:val="16"/>
        </w:rPr>
        <w:t>Other</w:t>
      </w:r>
      <w:r w:rsidRPr="00EB2BD8">
        <w:rPr>
          <w:rFonts w:ascii="Arial"/>
          <w:spacing w:val="-7"/>
          <w:w w:val="105"/>
          <w:sz w:val="16"/>
        </w:rPr>
        <w:t xml:space="preserve"> </w:t>
      </w:r>
      <w:r w:rsidRPr="00EB2BD8">
        <w:rPr>
          <w:rFonts w:ascii="Arial"/>
          <w:spacing w:val="-2"/>
          <w:w w:val="105"/>
          <w:sz w:val="16"/>
        </w:rPr>
        <w:t>liabilities</w:t>
      </w:r>
    </w:p>
    <w:p w14:paraId="58C5309E" w14:textId="77777777" w:rsidR="00084F36" w:rsidRPr="00EB2BD8" w:rsidRDefault="00EB2BD8">
      <w:pPr>
        <w:spacing w:before="133" w:line="412" w:lineRule="auto"/>
        <w:ind w:left="4595" w:right="5448"/>
        <w:rPr>
          <w:rFonts w:ascii="Arial"/>
          <w:sz w:val="16"/>
        </w:rPr>
      </w:pPr>
      <w:r w:rsidRPr="00EB2BD8">
        <w:rPr>
          <w:rFonts w:ascii="Arial"/>
          <w:w w:val="105"/>
          <w:sz w:val="16"/>
        </w:rPr>
        <w:t>Interest-bearing</w:t>
      </w:r>
      <w:r w:rsidRPr="00EB2BD8">
        <w:rPr>
          <w:rFonts w:ascii="Arial"/>
          <w:spacing w:val="-12"/>
          <w:w w:val="105"/>
          <w:sz w:val="16"/>
        </w:rPr>
        <w:t xml:space="preserve"> </w:t>
      </w:r>
      <w:r w:rsidRPr="00EB2BD8">
        <w:rPr>
          <w:rFonts w:ascii="Arial"/>
          <w:w w:val="105"/>
          <w:sz w:val="16"/>
        </w:rPr>
        <w:t>liabilities Security deposits</w:t>
      </w:r>
    </w:p>
    <w:p w14:paraId="1FE70CE5" w14:textId="77777777" w:rsidR="00084F36" w:rsidRPr="00EB2BD8" w:rsidRDefault="00084F36">
      <w:pPr>
        <w:pStyle w:val="BodyText"/>
        <w:spacing w:before="10"/>
        <w:rPr>
          <w:rFonts w:ascii="Arial"/>
          <w:sz w:val="8"/>
        </w:rPr>
      </w:pPr>
    </w:p>
    <w:p w14:paraId="7DE66B74" w14:textId="77777777" w:rsidR="00084F36" w:rsidRPr="00EB2BD8" w:rsidRDefault="00EB2BD8">
      <w:pPr>
        <w:spacing w:before="102" w:line="290" w:lineRule="auto"/>
        <w:ind w:left="1060" w:right="1813"/>
        <w:rPr>
          <w:rFonts w:ascii="Arial"/>
          <w:sz w:val="16"/>
        </w:rPr>
      </w:pPr>
      <w:r w:rsidRPr="00EB2BD8">
        <w:rPr>
          <w:rFonts w:ascii="Arial"/>
          <w:w w:val="105"/>
          <w:sz w:val="16"/>
        </w:rPr>
        <w:t>Where</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fair</w:t>
      </w:r>
      <w:r w:rsidRPr="00EB2BD8">
        <w:rPr>
          <w:rFonts w:ascii="Arial"/>
          <w:spacing w:val="-2"/>
          <w:w w:val="105"/>
          <w:sz w:val="16"/>
        </w:rPr>
        <w:t xml:space="preserve"> </w:t>
      </w:r>
      <w:r w:rsidRPr="00EB2BD8">
        <w:rPr>
          <w:rFonts w:ascii="Arial"/>
          <w:w w:val="105"/>
          <w:sz w:val="16"/>
        </w:rPr>
        <w:t>value</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financial</w:t>
      </w:r>
      <w:r w:rsidRPr="00EB2BD8">
        <w:rPr>
          <w:rFonts w:ascii="Arial"/>
          <w:spacing w:val="-3"/>
          <w:w w:val="105"/>
          <w:sz w:val="16"/>
        </w:rPr>
        <w:t xml:space="preserve"> </w:t>
      </w:r>
      <w:r w:rsidRPr="00EB2BD8">
        <w:rPr>
          <w:rFonts w:ascii="Arial"/>
          <w:w w:val="105"/>
          <w:sz w:val="16"/>
        </w:rPr>
        <w:t>instruments</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different</w:t>
      </w:r>
      <w:r w:rsidRPr="00EB2BD8">
        <w:rPr>
          <w:rFonts w:ascii="Arial"/>
          <w:spacing w:val="-3"/>
          <w:w w:val="105"/>
          <w:sz w:val="16"/>
        </w:rPr>
        <w:t xml:space="preserve"> </w:t>
      </w:r>
      <w:r w:rsidRPr="00EB2BD8">
        <w:rPr>
          <w:rFonts w:ascii="Arial"/>
          <w:w w:val="105"/>
          <w:sz w:val="16"/>
        </w:rPr>
        <w:t>from</w:t>
      </w:r>
      <w:r w:rsidRPr="00EB2BD8">
        <w:rPr>
          <w:rFonts w:ascii="Arial"/>
          <w:spacing w:val="-3"/>
          <w:w w:val="105"/>
          <w:sz w:val="16"/>
        </w:rPr>
        <w:t xml:space="preserve"> </w:t>
      </w:r>
      <w:r w:rsidRPr="00EB2BD8">
        <w:rPr>
          <w:rFonts w:ascii="Arial"/>
          <w:w w:val="105"/>
          <w:sz w:val="16"/>
        </w:rPr>
        <w:t>carrying</w:t>
      </w:r>
      <w:r w:rsidRPr="00EB2BD8">
        <w:rPr>
          <w:rFonts w:ascii="Arial"/>
          <w:spacing w:val="-2"/>
          <w:w w:val="105"/>
          <w:sz w:val="16"/>
        </w:rPr>
        <w:t xml:space="preserve"> </w:t>
      </w:r>
      <w:r w:rsidRPr="00EB2BD8">
        <w:rPr>
          <w:rFonts w:ascii="Arial"/>
          <w:w w:val="105"/>
          <w:sz w:val="16"/>
        </w:rPr>
        <w:t>amounts,</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following</w:t>
      </w:r>
      <w:r w:rsidRPr="00EB2BD8">
        <w:rPr>
          <w:rFonts w:ascii="Arial"/>
          <w:spacing w:val="-3"/>
          <w:w w:val="105"/>
          <w:sz w:val="16"/>
        </w:rPr>
        <w:t xml:space="preserve"> </w:t>
      </w:r>
      <w:r w:rsidRPr="00EB2BD8">
        <w:rPr>
          <w:rFonts w:ascii="Arial"/>
          <w:w w:val="105"/>
          <w:sz w:val="16"/>
        </w:rPr>
        <w:t>information</w:t>
      </w:r>
      <w:r w:rsidRPr="00EB2BD8">
        <w:rPr>
          <w:rFonts w:ascii="Arial"/>
          <w:spacing w:val="-3"/>
          <w:w w:val="105"/>
          <w:sz w:val="16"/>
        </w:rPr>
        <w:t xml:space="preserve"> </w:t>
      </w:r>
      <w:r w:rsidRPr="00EB2BD8">
        <w:rPr>
          <w:rFonts w:ascii="Arial"/>
          <w:w w:val="105"/>
          <w:sz w:val="16"/>
        </w:rPr>
        <w:t>has</w:t>
      </w:r>
      <w:r w:rsidRPr="00EB2BD8">
        <w:rPr>
          <w:rFonts w:ascii="Arial"/>
          <w:spacing w:val="-3"/>
          <w:w w:val="105"/>
          <w:sz w:val="16"/>
        </w:rPr>
        <w:t xml:space="preserve"> </w:t>
      </w:r>
      <w:r w:rsidRPr="00EB2BD8">
        <w:rPr>
          <w:rFonts w:ascii="Arial"/>
          <w:w w:val="105"/>
          <w:sz w:val="16"/>
        </w:rPr>
        <w:t>been included to disclose the difference.</w:t>
      </w:r>
    </w:p>
    <w:p w14:paraId="0BB53F2C" w14:textId="77777777" w:rsidR="00084F36" w:rsidRPr="00EB2BD8" w:rsidRDefault="00084F36">
      <w:pPr>
        <w:pStyle w:val="BodyText"/>
        <w:rPr>
          <w:rFonts w:ascii="Arial"/>
          <w:sz w:val="20"/>
        </w:rPr>
      </w:pPr>
    </w:p>
    <w:p w14:paraId="24340039" w14:textId="77777777" w:rsidR="00084F36" w:rsidRPr="00EB2BD8" w:rsidRDefault="00084F36">
      <w:pPr>
        <w:jc w:val="right"/>
        <w:rPr>
          <w:sz w:val="16"/>
        </w:rPr>
        <w:sectPr w:rsidR="00084F36" w:rsidRPr="00EB2BD8" w:rsidSect="006D75B2">
          <w:headerReference w:type="default" r:id="rId352"/>
          <w:footerReference w:type="default" r:id="rId353"/>
          <w:pgSz w:w="11910" w:h="16840"/>
          <w:pgMar w:top="760" w:right="0" w:bottom="280" w:left="0" w:header="0" w:footer="0" w:gutter="0"/>
          <w:cols w:space="720"/>
        </w:sectPr>
      </w:pPr>
    </w:p>
    <w:p w14:paraId="6BA22DEC" w14:textId="77777777" w:rsidR="00084F36" w:rsidRPr="00EB2BD8" w:rsidRDefault="00084F36">
      <w:pPr>
        <w:pStyle w:val="BodyText"/>
        <w:rPr>
          <w:sz w:val="20"/>
        </w:rPr>
      </w:pPr>
    </w:p>
    <w:p w14:paraId="47C8AB3F" w14:textId="77777777" w:rsidR="00084F36" w:rsidRPr="00EB2BD8" w:rsidRDefault="00084F36">
      <w:pPr>
        <w:pStyle w:val="BodyText"/>
        <w:rPr>
          <w:sz w:val="20"/>
        </w:rPr>
      </w:pPr>
    </w:p>
    <w:p w14:paraId="785E7B1B" w14:textId="77777777" w:rsidR="00084F36" w:rsidRPr="00EB2BD8" w:rsidRDefault="00084F36">
      <w:pPr>
        <w:pStyle w:val="BodyText"/>
        <w:rPr>
          <w:sz w:val="20"/>
        </w:rPr>
      </w:pPr>
    </w:p>
    <w:p w14:paraId="5BA5B83D" w14:textId="77777777" w:rsidR="00084F36" w:rsidRPr="00EB2BD8" w:rsidRDefault="00084F36">
      <w:pPr>
        <w:pStyle w:val="BodyText"/>
        <w:rPr>
          <w:sz w:val="20"/>
        </w:rPr>
      </w:pPr>
    </w:p>
    <w:p w14:paraId="44827716" w14:textId="77777777" w:rsidR="00084F36" w:rsidRPr="00EB2BD8" w:rsidRDefault="00EB2BD8" w:rsidP="00A0358F">
      <w:pPr>
        <w:pStyle w:val="Heading2"/>
        <w:ind w:left="0" w:firstLine="720"/>
      </w:pPr>
      <w:bookmarkStart w:id="358" w:name="_Toc150762660"/>
      <w:r w:rsidRPr="00EB2BD8">
        <w:t>Fair</w:t>
      </w:r>
      <w:r w:rsidRPr="00EB2BD8">
        <w:rPr>
          <w:spacing w:val="13"/>
        </w:rPr>
        <w:t xml:space="preserve"> </w:t>
      </w:r>
      <w:r w:rsidRPr="00EB2BD8">
        <w:t>value</w:t>
      </w:r>
      <w:r w:rsidRPr="00EB2BD8">
        <w:rPr>
          <w:spacing w:val="13"/>
        </w:rPr>
        <w:t xml:space="preserve"> </w:t>
      </w:r>
      <w:r w:rsidRPr="00EB2BD8">
        <w:t>of</w:t>
      </w:r>
      <w:r w:rsidRPr="00EB2BD8">
        <w:rPr>
          <w:spacing w:val="14"/>
        </w:rPr>
        <w:t xml:space="preserve"> </w:t>
      </w:r>
      <w:r w:rsidRPr="00EB2BD8">
        <w:t>financial</w:t>
      </w:r>
      <w:r w:rsidRPr="00EB2BD8">
        <w:rPr>
          <w:spacing w:val="13"/>
        </w:rPr>
        <w:t xml:space="preserve"> </w:t>
      </w:r>
      <w:r w:rsidRPr="00EB2BD8">
        <w:t>instruments</w:t>
      </w:r>
      <w:r w:rsidRPr="00EB2BD8">
        <w:rPr>
          <w:spacing w:val="13"/>
        </w:rPr>
        <w:t xml:space="preserve"> </w:t>
      </w:r>
      <w:r w:rsidRPr="00EB2BD8">
        <w:t>measured</w:t>
      </w:r>
      <w:r w:rsidRPr="00EB2BD8">
        <w:rPr>
          <w:spacing w:val="14"/>
        </w:rPr>
        <w:t xml:space="preserve"> </w:t>
      </w:r>
      <w:r w:rsidRPr="00EB2BD8">
        <w:t>at</w:t>
      </w:r>
      <w:r w:rsidRPr="00EB2BD8">
        <w:rPr>
          <w:spacing w:val="13"/>
        </w:rPr>
        <w:t xml:space="preserve"> </w:t>
      </w:r>
      <w:r w:rsidRPr="00EB2BD8">
        <w:t>amortised</w:t>
      </w:r>
      <w:r w:rsidRPr="00EB2BD8">
        <w:rPr>
          <w:spacing w:val="14"/>
        </w:rPr>
        <w:t xml:space="preserve"> </w:t>
      </w:r>
      <w:r w:rsidRPr="00EB2BD8">
        <w:rPr>
          <w:spacing w:val="-4"/>
        </w:rPr>
        <w:t>cost</w:t>
      </w:r>
      <w:bookmarkEnd w:id="358"/>
    </w:p>
    <w:p w14:paraId="5C1F70A4" w14:textId="77777777" w:rsidR="00084F36" w:rsidRPr="00EB2BD8" w:rsidRDefault="00EB2BD8">
      <w:pPr>
        <w:pStyle w:val="BodyText"/>
        <w:spacing w:before="188" w:after="23"/>
        <w:ind w:right="1625"/>
        <w:jc w:val="right"/>
        <w:rPr>
          <w:rFonts w:ascii="Arial" w:hAnsi="Arial"/>
        </w:rPr>
      </w:pPr>
      <w:r w:rsidRPr="00EB2BD8">
        <w:rPr>
          <w:rFonts w:ascii="Arial" w:hAnsi="Arial"/>
          <w:spacing w:val="-2"/>
          <w:w w:val="105"/>
        </w:rPr>
        <w:t>($’000)</w:t>
      </w:r>
    </w:p>
    <w:tbl>
      <w:tblPr>
        <w:tblW w:w="0" w:type="auto"/>
        <w:tblInd w:w="1022" w:type="dxa"/>
        <w:tblBorders>
          <w:top w:val="single" w:sz="2" w:space="0" w:color="00B0F0"/>
          <w:left w:val="single" w:sz="2" w:space="0" w:color="00B0F0"/>
          <w:bottom w:val="single" w:sz="2" w:space="0" w:color="00B0F0"/>
          <w:right w:val="single" w:sz="2" w:space="0" w:color="00B0F0"/>
          <w:insideH w:val="single" w:sz="2" w:space="0" w:color="00B0F0"/>
          <w:insideV w:val="single" w:sz="2" w:space="0" w:color="00B0F0"/>
        </w:tblBorders>
        <w:tblLayout w:type="fixed"/>
        <w:tblCellMar>
          <w:left w:w="0" w:type="dxa"/>
          <w:right w:w="0" w:type="dxa"/>
        </w:tblCellMar>
        <w:tblLook w:val="01E0" w:firstRow="1" w:lastRow="1" w:firstColumn="1" w:lastColumn="1" w:noHBand="0" w:noVBand="0"/>
      </w:tblPr>
      <w:tblGrid>
        <w:gridCol w:w="4366"/>
        <w:gridCol w:w="1324"/>
        <w:gridCol w:w="1190"/>
        <w:gridCol w:w="1192"/>
        <w:gridCol w:w="1293"/>
      </w:tblGrid>
      <w:tr w:rsidR="00EB2BD8" w:rsidRPr="00EB2BD8" w14:paraId="115DFC20" w14:textId="77777777">
        <w:trPr>
          <w:trHeight w:val="967"/>
        </w:trPr>
        <w:tc>
          <w:tcPr>
            <w:tcW w:w="5690" w:type="dxa"/>
            <w:gridSpan w:val="2"/>
            <w:tcBorders>
              <w:right w:val="nil"/>
            </w:tcBorders>
            <w:shd w:val="clear" w:color="auto" w:fill="0070C0"/>
          </w:tcPr>
          <w:p w14:paraId="3D3121C3" w14:textId="77777777" w:rsidR="00084F36" w:rsidRPr="00EB2BD8" w:rsidRDefault="00EB2BD8">
            <w:pPr>
              <w:pStyle w:val="TableParagraph"/>
              <w:spacing w:before="130" w:line="252" w:lineRule="auto"/>
              <w:ind w:left="4981" w:right="97" w:hanging="84"/>
              <w:jc w:val="right"/>
              <w:rPr>
                <w:rFonts w:ascii="Arial"/>
                <w:b/>
                <w:sz w:val="16"/>
              </w:rPr>
            </w:pPr>
            <w:r w:rsidRPr="00EB2BD8">
              <w:rPr>
                <w:rFonts w:ascii="Arial"/>
                <w:b/>
                <w:spacing w:val="-2"/>
                <w:w w:val="105"/>
                <w:sz w:val="16"/>
              </w:rPr>
              <w:t>Carrying amount</w:t>
            </w:r>
          </w:p>
          <w:p w14:paraId="20E91C0B" w14:textId="77777777" w:rsidR="00084F36" w:rsidRPr="00EB2BD8" w:rsidRDefault="00084F36">
            <w:pPr>
              <w:pStyle w:val="TableParagraph"/>
              <w:spacing w:before="10"/>
              <w:rPr>
                <w:rFonts w:ascii="Arial"/>
                <w:sz w:val="16"/>
              </w:rPr>
            </w:pPr>
          </w:p>
          <w:p w14:paraId="29E5A28C" w14:textId="77777777" w:rsidR="00084F36" w:rsidRPr="00EB2BD8" w:rsidRDefault="00EB2BD8">
            <w:pPr>
              <w:pStyle w:val="TableParagraph"/>
              <w:ind w:right="96"/>
              <w:jc w:val="right"/>
              <w:rPr>
                <w:rFonts w:ascii="Arial"/>
                <w:b/>
                <w:sz w:val="16"/>
              </w:rPr>
            </w:pPr>
            <w:r w:rsidRPr="00EB2BD8">
              <w:rPr>
                <w:rFonts w:ascii="Arial"/>
                <w:b/>
                <w:spacing w:val="-4"/>
                <w:w w:val="105"/>
                <w:sz w:val="16"/>
              </w:rPr>
              <w:t>2023</w:t>
            </w:r>
          </w:p>
        </w:tc>
        <w:tc>
          <w:tcPr>
            <w:tcW w:w="1190" w:type="dxa"/>
            <w:tcBorders>
              <w:left w:val="nil"/>
              <w:right w:val="nil"/>
            </w:tcBorders>
            <w:shd w:val="clear" w:color="auto" w:fill="0070C0"/>
          </w:tcPr>
          <w:p w14:paraId="69999273" w14:textId="77777777" w:rsidR="00084F36" w:rsidRPr="00EB2BD8" w:rsidRDefault="00084F36">
            <w:pPr>
              <w:pStyle w:val="TableParagraph"/>
              <w:rPr>
                <w:rFonts w:ascii="Arial"/>
                <w:sz w:val="18"/>
              </w:rPr>
            </w:pPr>
          </w:p>
          <w:p w14:paraId="43942B75" w14:textId="77777777" w:rsidR="00084F36" w:rsidRPr="00EB2BD8" w:rsidRDefault="00EB2BD8">
            <w:pPr>
              <w:pStyle w:val="TableParagraph"/>
              <w:spacing w:before="116"/>
              <w:ind w:right="97"/>
              <w:jc w:val="right"/>
              <w:rPr>
                <w:rFonts w:ascii="Arial"/>
                <w:b/>
                <w:sz w:val="16"/>
              </w:rPr>
            </w:pPr>
            <w:r w:rsidRPr="00EB2BD8">
              <w:rPr>
                <w:rFonts w:ascii="Arial"/>
                <w:b/>
                <w:w w:val="105"/>
                <w:sz w:val="16"/>
              </w:rPr>
              <w:t>Fair</w:t>
            </w:r>
            <w:r w:rsidRPr="00EB2BD8">
              <w:rPr>
                <w:rFonts w:ascii="Arial"/>
                <w:b/>
                <w:spacing w:val="-5"/>
                <w:w w:val="105"/>
                <w:sz w:val="16"/>
              </w:rPr>
              <w:t xml:space="preserve"> </w:t>
            </w:r>
            <w:r w:rsidRPr="00EB2BD8">
              <w:rPr>
                <w:rFonts w:ascii="Arial"/>
                <w:b/>
                <w:spacing w:val="-4"/>
                <w:w w:val="105"/>
                <w:sz w:val="16"/>
              </w:rPr>
              <w:t>value</w:t>
            </w:r>
          </w:p>
          <w:p w14:paraId="2653EDA4" w14:textId="77777777" w:rsidR="00084F36" w:rsidRPr="00EB2BD8" w:rsidRDefault="00084F36">
            <w:pPr>
              <w:pStyle w:val="TableParagraph"/>
              <w:spacing w:before="8"/>
              <w:rPr>
                <w:rFonts w:ascii="Arial"/>
                <w:sz w:val="17"/>
              </w:rPr>
            </w:pPr>
          </w:p>
          <w:p w14:paraId="7CD060A6" w14:textId="77777777" w:rsidR="00084F36" w:rsidRPr="00EB2BD8" w:rsidRDefault="00EB2BD8">
            <w:pPr>
              <w:pStyle w:val="TableParagraph"/>
              <w:ind w:right="98"/>
              <w:jc w:val="right"/>
              <w:rPr>
                <w:rFonts w:ascii="Arial"/>
                <w:b/>
                <w:sz w:val="16"/>
              </w:rPr>
            </w:pPr>
            <w:r w:rsidRPr="00EB2BD8">
              <w:rPr>
                <w:rFonts w:ascii="Arial"/>
                <w:b/>
                <w:spacing w:val="-4"/>
                <w:w w:val="105"/>
                <w:sz w:val="16"/>
              </w:rPr>
              <w:t>2023</w:t>
            </w:r>
          </w:p>
        </w:tc>
        <w:tc>
          <w:tcPr>
            <w:tcW w:w="1192" w:type="dxa"/>
            <w:tcBorders>
              <w:left w:val="nil"/>
              <w:right w:val="nil"/>
            </w:tcBorders>
            <w:shd w:val="clear" w:color="auto" w:fill="0070C0"/>
          </w:tcPr>
          <w:p w14:paraId="6118C9B9" w14:textId="77777777" w:rsidR="00084F36" w:rsidRPr="00EB2BD8" w:rsidRDefault="00EB2BD8">
            <w:pPr>
              <w:pStyle w:val="TableParagraph"/>
              <w:spacing w:before="130" w:line="252" w:lineRule="auto"/>
              <w:ind w:left="483" w:right="94" w:hanging="84"/>
              <w:rPr>
                <w:rFonts w:ascii="Arial"/>
                <w:b/>
                <w:sz w:val="16"/>
              </w:rPr>
            </w:pPr>
            <w:r w:rsidRPr="00EB2BD8">
              <w:rPr>
                <w:rFonts w:ascii="Arial"/>
                <w:b/>
                <w:spacing w:val="-2"/>
                <w:w w:val="105"/>
                <w:sz w:val="16"/>
              </w:rPr>
              <w:t>Carrying amount</w:t>
            </w:r>
          </w:p>
          <w:p w14:paraId="0EFF9D25" w14:textId="77777777" w:rsidR="00084F36" w:rsidRPr="00EB2BD8" w:rsidRDefault="00084F36">
            <w:pPr>
              <w:pStyle w:val="TableParagraph"/>
              <w:spacing w:before="10"/>
              <w:rPr>
                <w:rFonts w:ascii="Arial"/>
                <w:sz w:val="16"/>
              </w:rPr>
            </w:pPr>
          </w:p>
          <w:p w14:paraId="7F3C4D3C" w14:textId="77777777" w:rsidR="00084F36" w:rsidRPr="00EB2BD8" w:rsidRDefault="00EB2BD8">
            <w:pPr>
              <w:pStyle w:val="TableParagraph"/>
              <w:ind w:left="717"/>
              <w:rPr>
                <w:rFonts w:ascii="Arial"/>
                <w:b/>
                <w:sz w:val="16"/>
              </w:rPr>
            </w:pPr>
            <w:r w:rsidRPr="00EB2BD8">
              <w:rPr>
                <w:rFonts w:ascii="Arial"/>
                <w:b/>
                <w:spacing w:val="-4"/>
                <w:w w:val="105"/>
                <w:sz w:val="16"/>
              </w:rPr>
              <w:t>2022</w:t>
            </w:r>
          </w:p>
        </w:tc>
        <w:tc>
          <w:tcPr>
            <w:tcW w:w="1293" w:type="dxa"/>
            <w:tcBorders>
              <w:left w:val="nil"/>
            </w:tcBorders>
            <w:shd w:val="clear" w:color="auto" w:fill="0070C0"/>
          </w:tcPr>
          <w:p w14:paraId="476BEADC" w14:textId="77777777" w:rsidR="00084F36" w:rsidRPr="00EB2BD8" w:rsidRDefault="00084F36">
            <w:pPr>
              <w:pStyle w:val="TableParagraph"/>
              <w:rPr>
                <w:rFonts w:ascii="Arial"/>
                <w:sz w:val="18"/>
              </w:rPr>
            </w:pPr>
          </w:p>
          <w:p w14:paraId="121DE1B3" w14:textId="77777777" w:rsidR="00084F36" w:rsidRPr="00EB2BD8" w:rsidRDefault="00EB2BD8">
            <w:pPr>
              <w:pStyle w:val="TableParagraph"/>
              <w:spacing w:before="116"/>
              <w:ind w:right="94"/>
              <w:jc w:val="right"/>
              <w:rPr>
                <w:rFonts w:ascii="Arial"/>
                <w:b/>
                <w:sz w:val="16"/>
              </w:rPr>
            </w:pPr>
            <w:r w:rsidRPr="00EB2BD8">
              <w:rPr>
                <w:rFonts w:ascii="Arial"/>
                <w:b/>
                <w:w w:val="105"/>
                <w:sz w:val="16"/>
              </w:rPr>
              <w:t>Fair</w:t>
            </w:r>
            <w:r w:rsidRPr="00EB2BD8">
              <w:rPr>
                <w:rFonts w:ascii="Arial"/>
                <w:b/>
                <w:spacing w:val="-5"/>
                <w:w w:val="105"/>
                <w:sz w:val="16"/>
              </w:rPr>
              <w:t xml:space="preserve"> </w:t>
            </w:r>
            <w:r w:rsidRPr="00EB2BD8">
              <w:rPr>
                <w:rFonts w:ascii="Arial"/>
                <w:b/>
                <w:spacing w:val="-4"/>
                <w:w w:val="105"/>
                <w:sz w:val="16"/>
              </w:rPr>
              <w:t>value</w:t>
            </w:r>
          </w:p>
          <w:p w14:paraId="1F685976" w14:textId="77777777" w:rsidR="00084F36" w:rsidRPr="00EB2BD8" w:rsidRDefault="00084F36">
            <w:pPr>
              <w:pStyle w:val="TableParagraph"/>
              <w:spacing w:before="8"/>
              <w:rPr>
                <w:rFonts w:ascii="Arial"/>
                <w:sz w:val="17"/>
              </w:rPr>
            </w:pPr>
          </w:p>
          <w:p w14:paraId="013CB7A6" w14:textId="77777777" w:rsidR="00084F36" w:rsidRPr="00EB2BD8" w:rsidRDefault="00EB2BD8">
            <w:pPr>
              <w:pStyle w:val="TableParagraph"/>
              <w:ind w:right="96"/>
              <w:jc w:val="right"/>
              <w:rPr>
                <w:rFonts w:ascii="Arial"/>
                <w:b/>
                <w:sz w:val="16"/>
              </w:rPr>
            </w:pPr>
            <w:r w:rsidRPr="00EB2BD8">
              <w:rPr>
                <w:rFonts w:ascii="Arial"/>
                <w:b/>
                <w:spacing w:val="-4"/>
                <w:w w:val="105"/>
                <w:sz w:val="16"/>
              </w:rPr>
              <w:t>2022</w:t>
            </w:r>
          </w:p>
        </w:tc>
      </w:tr>
      <w:tr w:rsidR="00EB2BD8" w:rsidRPr="00EB2BD8" w14:paraId="5946F0FA" w14:textId="77777777">
        <w:trPr>
          <w:trHeight w:val="629"/>
        </w:trPr>
        <w:tc>
          <w:tcPr>
            <w:tcW w:w="4366" w:type="dxa"/>
            <w:tcBorders>
              <w:left w:val="nil"/>
              <w:bottom w:val="single" w:sz="12" w:space="0" w:color="000000"/>
              <w:right w:val="nil"/>
            </w:tcBorders>
            <w:shd w:val="clear" w:color="auto" w:fill="FFFFFF"/>
          </w:tcPr>
          <w:p w14:paraId="5D9E2088" w14:textId="77777777" w:rsidR="00084F36" w:rsidRPr="00EB2BD8" w:rsidRDefault="00EB2BD8">
            <w:pPr>
              <w:pStyle w:val="TableParagraph"/>
              <w:spacing w:before="66"/>
              <w:ind w:left="103"/>
              <w:rPr>
                <w:rFonts w:ascii="Arial"/>
                <w:b/>
                <w:sz w:val="16"/>
              </w:rPr>
            </w:pPr>
            <w:r w:rsidRPr="00EB2BD8">
              <w:rPr>
                <w:rFonts w:ascii="Arial"/>
                <w:b/>
                <w:w w:val="105"/>
                <w:sz w:val="16"/>
              </w:rPr>
              <w:t>Financial</w:t>
            </w:r>
            <w:r w:rsidRPr="00EB2BD8">
              <w:rPr>
                <w:rFonts w:ascii="Arial"/>
                <w:b/>
                <w:spacing w:val="-12"/>
                <w:w w:val="105"/>
                <w:sz w:val="16"/>
              </w:rPr>
              <w:t xml:space="preserve"> </w:t>
            </w:r>
            <w:r w:rsidRPr="00EB2BD8">
              <w:rPr>
                <w:rFonts w:ascii="Arial"/>
                <w:b/>
                <w:spacing w:val="-2"/>
                <w:w w:val="105"/>
                <w:sz w:val="16"/>
              </w:rPr>
              <w:t>Liabilities:</w:t>
            </w:r>
          </w:p>
          <w:p w14:paraId="1652DCA2" w14:textId="77777777" w:rsidR="00084F36" w:rsidRPr="00EB2BD8" w:rsidRDefault="00EB2BD8">
            <w:pPr>
              <w:pStyle w:val="TableParagraph"/>
              <w:spacing w:before="131"/>
              <w:ind w:left="103"/>
              <w:rPr>
                <w:rFonts w:ascii="Arial"/>
                <w:sz w:val="16"/>
              </w:rPr>
            </w:pPr>
            <w:r w:rsidRPr="00EB2BD8">
              <w:rPr>
                <w:rFonts w:ascii="Arial"/>
                <w:w w:val="105"/>
                <w:sz w:val="16"/>
              </w:rPr>
              <w:t>Finance</w:t>
            </w:r>
            <w:r w:rsidRPr="00EB2BD8">
              <w:rPr>
                <w:rFonts w:ascii="Arial"/>
                <w:spacing w:val="-8"/>
                <w:w w:val="105"/>
                <w:sz w:val="16"/>
              </w:rPr>
              <w:t xml:space="preserve"> </w:t>
            </w:r>
            <w:r w:rsidRPr="00EB2BD8">
              <w:rPr>
                <w:rFonts w:ascii="Arial"/>
                <w:w w:val="105"/>
                <w:sz w:val="16"/>
              </w:rPr>
              <w:t>lease</w:t>
            </w:r>
            <w:r w:rsidRPr="00EB2BD8">
              <w:rPr>
                <w:rFonts w:ascii="Arial"/>
                <w:spacing w:val="-7"/>
                <w:w w:val="105"/>
                <w:sz w:val="16"/>
              </w:rPr>
              <w:t xml:space="preserve"> </w:t>
            </w:r>
            <w:r w:rsidRPr="00EB2BD8">
              <w:rPr>
                <w:rFonts w:ascii="Arial"/>
                <w:spacing w:val="-2"/>
                <w:w w:val="105"/>
                <w:sz w:val="16"/>
              </w:rPr>
              <w:t>liabilities</w:t>
            </w:r>
          </w:p>
        </w:tc>
        <w:tc>
          <w:tcPr>
            <w:tcW w:w="1324" w:type="dxa"/>
            <w:tcBorders>
              <w:left w:val="nil"/>
              <w:bottom w:val="single" w:sz="12" w:space="0" w:color="000000"/>
              <w:right w:val="nil"/>
            </w:tcBorders>
            <w:shd w:val="clear" w:color="auto" w:fill="DEEAF6"/>
          </w:tcPr>
          <w:p w14:paraId="03E6FF22" w14:textId="77777777" w:rsidR="00084F36" w:rsidRPr="00EB2BD8" w:rsidRDefault="00084F36">
            <w:pPr>
              <w:pStyle w:val="TableParagraph"/>
              <w:rPr>
                <w:rFonts w:ascii="Arial"/>
                <w:sz w:val="18"/>
              </w:rPr>
            </w:pPr>
          </w:p>
          <w:p w14:paraId="4FD66B61" w14:textId="77777777" w:rsidR="00084F36" w:rsidRPr="00EB2BD8" w:rsidRDefault="00084F36">
            <w:pPr>
              <w:pStyle w:val="TableParagraph"/>
              <w:spacing w:before="2"/>
              <w:rPr>
                <w:rFonts w:ascii="Arial"/>
                <w:sz w:val="15"/>
              </w:rPr>
            </w:pPr>
          </w:p>
          <w:p w14:paraId="6FE252A2" w14:textId="77777777" w:rsidR="00084F36" w:rsidRPr="00EB2BD8" w:rsidRDefault="00EB2BD8">
            <w:pPr>
              <w:pStyle w:val="TableParagraph"/>
              <w:ind w:left="804"/>
              <w:rPr>
                <w:rFonts w:ascii="Arial"/>
                <w:sz w:val="16"/>
              </w:rPr>
            </w:pPr>
            <w:r w:rsidRPr="00EB2BD8">
              <w:rPr>
                <w:rFonts w:ascii="Arial"/>
                <w:spacing w:val="-2"/>
                <w:w w:val="105"/>
                <w:sz w:val="16"/>
              </w:rPr>
              <w:t>5,223</w:t>
            </w:r>
          </w:p>
        </w:tc>
        <w:tc>
          <w:tcPr>
            <w:tcW w:w="1190" w:type="dxa"/>
            <w:tcBorders>
              <w:left w:val="nil"/>
              <w:bottom w:val="single" w:sz="12" w:space="0" w:color="000000"/>
              <w:right w:val="nil"/>
            </w:tcBorders>
            <w:shd w:val="clear" w:color="auto" w:fill="FFFFFF"/>
          </w:tcPr>
          <w:p w14:paraId="58890E5B" w14:textId="77777777" w:rsidR="00084F36" w:rsidRPr="00EB2BD8" w:rsidRDefault="00084F36">
            <w:pPr>
              <w:pStyle w:val="TableParagraph"/>
              <w:rPr>
                <w:rFonts w:ascii="Arial"/>
                <w:sz w:val="18"/>
              </w:rPr>
            </w:pPr>
          </w:p>
          <w:p w14:paraId="1CF89C7E" w14:textId="77777777" w:rsidR="00084F36" w:rsidRPr="00EB2BD8" w:rsidRDefault="00084F36">
            <w:pPr>
              <w:pStyle w:val="TableParagraph"/>
              <w:spacing w:before="2"/>
              <w:rPr>
                <w:rFonts w:ascii="Arial"/>
                <w:sz w:val="15"/>
              </w:rPr>
            </w:pPr>
          </w:p>
          <w:p w14:paraId="089842AD" w14:textId="77777777" w:rsidR="00084F36" w:rsidRPr="00EB2BD8" w:rsidRDefault="00EB2BD8">
            <w:pPr>
              <w:pStyle w:val="TableParagraph"/>
              <w:ind w:left="671"/>
              <w:rPr>
                <w:rFonts w:ascii="Arial"/>
                <w:sz w:val="16"/>
              </w:rPr>
            </w:pPr>
            <w:r w:rsidRPr="00EB2BD8">
              <w:rPr>
                <w:rFonts w:ascii="Arial"/>
                <w:spacing w:val="-2"/>
                <w:w w:val="105"/>
                <w:sz w:val="16"/>
              </w:rPr>
              <w:t>5,223</w:t>
            </w:r>
          </w:p>
        </w:tc>
        <w:tc>
          <w:tcPr>
            <w:tcW w:w="1192" w:type="dxa"/>
            <w:tcBorders>
              <w:left w:val="nil"/>
              <w:bottom w:val="single" w:sz="12" w:space="0" w:color="000000"/>
              <w:right w:val="nil"/>
            </w:tcBorders>
            <w:shd w:val="clear" w:color="auto" w:fill="DEEAF6"/>
          </w:tcPr>
          <w:p w14:paraId="5442A377" w14:textId="77777777" w:rsidR="00084F36" w:rsidRPr="00EB2BD8" w:rsidRDefault="00084F36">
            <w:pPr>
              <w:pStyle w:val="TableParagraph"/>
              <w:rPr>
                <w:rFonts w:ascii="Arial"/>
                <w:sz w:val="18"/>
              </w:rPr>
            </w:pPr>
          </w:p>
          <w:p w14:paraId="1B85E40D" w14:textId="77777777" w:rsidR="00084F36" w:rsidRPr="00EB2BD8" w:rsidRDefault="00084F36">
            <w:pPr>
              <w:pStyle w:val="TableParagraph"/>
              <w:spacing w:before="2"/>
              <w:rPr>
                <w:rFonts w:ascii="Arial"/>
                <w:sz w:val="15"/>
              </w:rPr>
            </w:pPr>
          </w:p>
          <w:p w14:paraId="7A8A75B3" w14:textId="77777777" w:rsidR="00084F36" w:rsidRPr="00EB2BD8" w:rsidRDefault="00EB2BD8">
            <w:pPr>
              <w:pStyle w:val="TableParagraph"/>
              <w:ind w:left="670"/>
              <w:rPr>
                <w:rFonts w:ascii="Arial"/>
                <w:sz w:val="16"/>
              </w:rPr>
            </w:pPr>
            <w:r w:rsidRPr="00EB2BD8">
              <w:rPr>
                <w:rFonts w:ascii="Arial"/>
                <w:spacing w:val="-2"/>
                <w:w w:val="105"/>
                <w:sz w:val="16"/>
              </w:rPr>
              <w:t>6,378</w:t>
            </w:r>
          </w:p>
        </w:tc>
        <w:tc>
          <w:tcPr>
            <w:tcW w:w="1293" w:type="dxa"/>
            <w:tcBorders>
              <w:left w:val="nil"/>
              <w:bottom w:val="single" w:sz="12" w:space="0" w:color="000000"/>
              <w:right w:val="nil"/>
            </w:tcBorders>
            <w:shd w:val="clear" w:color="auto" w:fill="FFFFFF"/>
          </w:tcPr>
          <w:p w14:paraId="2CD24FF6" w14:textId="77777777" w:rsidR="00084F36" w:rsidRPr="00EB2BD8" w:rsidRDefault="00084F36">
            <w:pPr>
              <w:pStyle w:val="TableParagraph"/>
              <w:rPr>
                <w:rFonts w:ascii="Arial"/>
                <w:sz w:val="18"/>
              </w:rPr>
            </w:pPr>
          </w:p>
          <w:p w14:paraId="1B5254A1" w14:textId="77777777" w:rsidR="00084F36" w:rsidRPr="00EB2BD8" w:rsidRDefault="00084F36">
            <w:pPr>
              <w:pStyle w:val="TableParagraph"/>
              <w:spacing w:before="2"/>
              <w:rPr>
                <w:rFonts w:ascii="Arial"/>
                <w:sz w:val="15"/>
              </w:rPr>
            </w:pPr>
          </w:p>
          <w:p w14:paraId="40856A2C" w14:textId="77777777" w:rsidR="00084F36" w:rsidRPr="00EB2BD8" w:rsidRDefault="00EB2BD8">
            <w:pPr>
              <w:pStyle w:val="TableParagraph"/>
              <w:ind w:left="773"/>
              <w:rPr>
                <w:rFonts w:ascii="Arial"/>
                <w:sz w:val="16"/>
              </w:rPr>
            </w:pPr>
            <w:r w:rsidRPr="00EB2BD8">
              <w:rPr>
                <w:rFonts w:ascii="Arial"/>
                <w:spacing w:val="-2"/>
                <w:w w:val="105"/>
                <w:sz w:val="16"/>
              </w:rPr>
              <w:t>6,378</w:t>
            </w:r>
          </w:p>
        </w:tc>
      </w:tr>
    </w:tbl>
    <w:p w14:paraId="11977C3E" w14:textId="77777777" w:rsidR="00084F36" w:rsidRPr="00EB2BD8" w:rsidRDefault="00084F36">
      <w:pPr>
        <w:pStyle w:val="BodyText"/>
        <w:spacing w:before="6"/>
        <w:rPr>
          <w:rFonts w:ascii="Arial"/>
        </w:rPr>
      </w:pPr>
    </w:p>
    <w:p w14:paraId="7F32E784" w14:textId="77777777" w:rsidR="00A0358F" w:rsidRDefault="00A0358F" w:rsidP="00A0358F">
      <w:pPr>
        <w:pStyle w:val="Heading2"/>
      </w:pPr>
      <w:bookmarkStart w:id="359" w:name="_Toc150762661"/>
      <w:r>
        <w:t xml:space="preserve">7.3.2 </w:t>
      </w:r>
      <w:r w:rsidR="00EB2BD8" w:rsidRPr="00EB2BD8">
        <w:t>Fair value determination of non-financial physical assets</w:t>
      </w:r>
      <w:bookmarkEnd w:id="359"/>
      <w:r>
        <w:br/>
      </w:r>
    </w:p>
    <w:p w14:paraId="7B860CB1" w14:textId="4F2CA7EC" w:rsidR="00084F36" w:rsidRPr="00EB2BD8" w:rsidRDefault="00A0358F" w:rsidP="00A0358F">
      <w:pPr>
        <w:pStyle w:val="Heading3"/>
      </w:pPr>
      <w:bookmarkStart w:id="360" w:name="_Toc150762662"/>
      <w:r>
        <w:t xml:space="preserve">Fair value </w:t>
      </w:r>
      <w:r w:rsidR="00EB2BD8" w:rsidRPr="00EB2BD8">
        <w:t>measurement hierarchy</w:t>
      </w:r>
      <w:bookmarkEnd w:id="360"/>
    </w:p>
    <w:p w14:paraId="60A1EF04" w14:textId="77777777" w:rsidR="00084F36" w:rsidRPr="00EB2BD8" w:rsidRDefault="00EB2BD8">
      <w:pPr>
        <w:pStyle w:val="BodyText"/>
        <w:spacing w:before="34" w:after="24"/>
        <w:ind w:left="9725"/>
        <w:rPr>
          <w:rFonts w:ascii="Arial" w:hAnsi="Arial"/>
        </w:rPr>
      </w:pPr>
      <w:r w:rsidRPr="00EB2BD8">
        <w:rPr>
          <w:rFonts w:ascii="Arial" w:hAnsi="Arial"/>
          <w:spacing w:val="-2"/>
          <w:w w:val="105"/>
        </w:rPr>
        <w:t>($’000)</w:t>
      </w:r>
    </w:p>
    <w:tbl>
      <w:tblPr>
        <w:tblpPr w:leftFromText="180" w:rightFromText="180" w:vertAnchor="text" w:horzAnchor="page" w:tblpX="846" w:tblpY="47"/>
        <w:tblOverlap w:val="never"/>
        <w:tblW w:w="0" w:type="auto"/>
        <w:tblBorders>
          <w:top w:val="single" w:sz="4" w:space="0" w:color="0098FF"/>
          <w:left w:val="single" w:sz="4" w:space="0" w:color="0098FF"/>
          <w:bottom w:val="single" w:sz="4" w:space="0" w:color="0098FF"/>
          <w:right w:val="single" w:sz="4" w:space="0" w:color="0098FF"/>
          <w:insideH w:val="single" w:sz="4" w:space="0" w:color="0098FF"/>
          <w:insideV w:val="single" w:sz="4" w:space="0" w:color="0098FF"/>
        </w:tblBorders>
        <w:tblLayout w:type="fixed"/>
        <w:tblCellMar>
          <w:left w:w="0" w:type="dxa"/>
          <w:right w:w="0" w:type="dxa"/>
        </w:tblCellMar>
        <w:tblLook w:val="01E0" w:firstRow="1" w:lastRow="1" w:firstColumn="1" w:lastColumn="1" w:noHBand="0" w:noVBand="0"/>
      </w:tblPr>
      <w:tblGrid>
        <w:gridCol w:w="4614"/>
        <w:gridCol w:w="1308"/>
        <w:gridCol w:w="1192"/>
        <w:gridCol w:w="1231"/>
        <w:gridCol w:w="1051"/>
      </w:tblGrid>
      <w:tr w:rsidR="00D0600F" w:rsidRPr="00EB2BD8" w14:paraId="4554A3A3" w14:textId="77777777" w:rsidTr="00D0600F">
        <w:trPr>
          <w:trHeight w:val="633"/>
        </w:trPr>
        <w:tc>
          <w:tcPr>
            <w:tcW w:w="4614" w:type="dxa"/>
            <w:tcBorders>
              <w:right w:val="nil"/>
            </w:tcBorders>
            <w:shd w:val="clear" w:color="auto" w:fill="0070C0"/>
          </w:tcPr>
          <w:p w14:paraId="2FAE830F" w14:textId="77777777" w:rsidR="00D0600F" w:rsidRPr="00EB2BD8" w:rsidRDefault="00D0600F" w:rsidP="00D0600F">
            <w:pPr>
              <w:pStyle w:val="TableParagraph"/>
              <w:rPr>
                <w:rFonts w:ascii="Arial"/>
                <w:sz w:val="18"/>
              </w:rPr>
            </w:pPr>
          </w:p>
          <w:p w14:paraId="54E6AFFD" w14:textId="77777777" w:rsidR="00D0600F" w:rsidRPr="00EB2BD8" w:rsidRDefault="00D0600F" w:rsidP="00D0600F">
            <w:pPr>
              <w:pStyle w:val="TableParagraph"/>
              <w:spacing w:before="10"/>
              <w:rPr>
                <w:rFonts w:ascii="Arial"/>
                <w:sz w:val="20"/>
              </w:rPr>
            </w:pPr>
          </w:p>
          <w:p w14:paraId="30FA5913" w14:textId="77777777" w:rsidR="00D0600F" w:rsidRPr="00EB2BD8" w:rsidRDefault="00D0600F" w:rsidP="00D0600F">
            <w:pPr>
              <w:pStyle w:val="TableParagraph"/>
              <w:spacing w:line="167" w:lineRule="exact"/>
              <w:ind w:left="147"/>
              <w:rPr>
                <w:rFonts w:ascii="Arial"/>
                <w:b/>
                <w:sz w:val="16"/>
              </w:rPr>
            </w:pPr>
            <w:r w:rsidRPr="00EB2BD8">
              <w:rPr>
                <w:rFonts w:ascii="Arial"/>
                <w:b/>
                <w:spacing w:val="-4"/>
                <w:w w:val="105"/>
                <w:sz w:val="16"/>
              </w:rPr>
              <w:t>2023</w:t>
            </w:r>
          </w:p>
        </w:tc>
        <w:tc>
          <w:tcPr>
            <w:tcW w:w="1308" w:type="dxa"/>
            <w:tcBorders>
              <w:left w:val="nil"/>
              <w:right w:val="nil"/>
            </w:tcBorders>
            <w:shd w:val="clear" w:color="auto" w:fill="0070C0"/>
          </w:tcPr>
          <w:p w14:paraId="0F37F16B" w14:textId="77777777" w:rsidR="00D0600F" w:rsidRPr="00EB2BD8" w:rsidRDefault="00D0600F" w:rsidP="00D0600F">
            <w:pPr>
              <w:pStyle w:val="TableParagraph"/>
              <w:spacing w:before="130" w:line="252" w:lineRule="auto"/>
              <w:ind w:left="503" w:right="190" w:hanging="84"/>
              <w:rPr>
                <w:rFonts w:ascii="Arial"/>
                <w:b/>
                <w:sz w:val="16"/>
              </w:rPr>
            </w:pPr>
            <w:r w:rsidRPr="00EB2BD8">
              <w:rPr>
                <w:rFonts w:ascii="Arial"/>
                <w:b/>
                <w:spacing w:val="-2"/>
                <w:w w:val="105"/>
                <w:sz w:val="16"/>
              </w:rPr>
              <w:t>Carrying amount</w:t>
            </w:r>
          </w:p>
        </w:tc>
        <w:tc>
          <w:tcPr>
            <w:tcW w:w="3474" w:type="dxa"/>
            <w:gridSpan w:val="3"/>
            <w:tcBorders>
              <w:left w:val="nil"/>
            </w:tcBorders>
            <w:shd w:val="clear" w:color="auto" w:fill="0070C0"/>
          </w:tcPr>
          <w:p w14:paraId="70353C3B" w14:textId="77777777" w:rsidR="00D0600F" w:rsidRPr="00EB2BD8" w:rsidRDefault="00D0600F" w:rsidP="00D0600F">
            <w:pPr>
              <w:pStyle w:val="TableParagraph"/>
              <w:spacing w:before="130" w:line="252" w:lineRule="auto"/>
              <w:ind w:left="765" w:hanging="412"/>
              <w:rPr>
                <w:rFonts w:ascii="Arial"/>
                <w:b/>
                <w:sz w:val="16"/>
              </w:rPr>
            </w:pPr>
            <w:r w:rsidRPr="00EB2BD8">
              <w:rPr>
                <w:rFonts w:ascii="Arial"/>
                <w:b/>
                <w:w w:val="105"/>
                <w:sz w:val="16"/>
              </w:rPr>
              <w:t>Fair</w:t>
            </w:r>
            <w:r w:rsidRPr="00EB2BD8">
              <w:rPr>
                <w:rFonts w:ascii="Arial"/>
                <w:b/>
                <w:spacing w:val="-8"/>
                <w:w w:val="105"/>
                <w:sz w:val="16"/>
              </w:rPr>
              <w:t xml:space="preserve"> </w:t>
            </w:r>
            <w:r w:rsidRPr="00EB2BD8">
              <w:rPr>
                <w:rFonts w:ascii="Arial"/>
                <w:b/>
                <w:w w:val="105"/>
                <w:sz w:val="16"/>
              </w:rPr>
              <w:t>value</w:t>
            </w:r>
            <w:r w:rsidRPr="00EB2BD8">
              <w:rPr>
                <w:rFonts w:ascii="Arial"/>
                <w:b/>
                <w:spacing w:val="-8"/>
                <w:w w:val="105"/>
                <w:sz w:val="16"/>
              </w:rPr>
              <w:t xml:space="preserve"> </w:t>
            </w:r>
            <w:r w:rsidRPr="00EB2BD8">
              <w:rPr>
                <w:rFonts w:ascii="Arial"/>
                <w:b/>
                <w:w w:val="105"/>
                <w:sz w:val="16"/>
              </w:rPr>
              <w:t>measurement</w:t>
            </w:r>
            <w:r w:rsidRPr="00EB2BD8">
              <w:rPr>
                <w:rFonts w:ascii="Arial"/>
                <w:b/>
                <w:spacing w:val="-8"/>
                <w:w w:val="105"/>
                <w:sz w:val="16"/>
              </w:rPr>
              <w:t xml:space="preserve"> </w:t>
            </w:r>
            <w:r w:rsidRPr="00EB2BD8">
              <w:rPr>
                <w:rFonts w:ascii="Arial"/>
                <w:b/>
                <w:w w:val="105"/>
                <w:sz w:val="16"/>
              </w:rPr>
              <w:t>at</w:t>
            </w:r>
            <w:r w:rsidRPr="00EB2BD8">
              <w:rPr>
                <w:rFonts w:ascii="Arial"/>
                <w:b/>
                <w:spacing w:val="-8"/>
                <w:w w:val="105"/>
                <w:sz w:val="16"/>
              </w:rPr>
              <w:t xml:space="preserve"> </w:t>
            </w:r>
            <w:r w:rsidRPr="00EB2BD8">
              <w:rPr>
                <w:rFonts w:ascii="Arial"/>
                <w:b/>
                <w:w w:val="105"/>
                <w:sz w:val="16"/>
              </w:rPr>
              <w:t>end</w:t>
            </w:r>
            <w:r w:rsidRPr="00EB2BD8">
              <w:rPr>
                <w:rFonts w:ascii="Arial"/>
                <w:b/>
                <w:spacing w:val="-7"/>
                <w:w w:val="105"/>
                <w:sz w:val="16"/>
              </w:rPr>
              <w:t xml:space="preserve"> </w:t>
            </w:r>
            <w:r w:rsidRPr="00EB2BD8">
              <w:rPr>
                <w:rFonts w:ascii="Arial"/>
                <w:b/>
                <w:w w:val="105"/>
                <w:sz w:val="16"/>
              </w:rPr>
              <w:t>of reporting period using:</w:t>
            </w:r>
          </w:p>
        </w:tc>
      </w:tr>
      <w:tr w:rsidR="00D0600F" w:rsidRPr="00EB2BD8" w14:paraId="6CEB90ED" w14:textId="77777777" w:rsidTr="00D0600F">
        <w:trPr>
          <w:trHeight w:val="908"/>
        </w:trPr>
        <w:tc>
          <w:tcPr>
            <w:tcW w:w="4614" w:type="dxa"/>
            <w:tcBorders>
              <w:left w:val="nil"/>
              <w:bottom w:val="single" w:sz="12" w:space="0" w:color="000000"/>
              <w:right w:val="nil"/>
            </w:tcBorders>
            <w:shd w:val="clear" w:color="auto" w:fill="DEEAF6"/>
          </w:tcPr>
          <w:p w14:paraId="5B1675F6" w14:textId="77777777" w:rsidR="00D0600F" w:rsidRPr="00EB2BD8" w:rsidRDefault="00D0600F" w:rsidP="00D0600F">
            <w:pPr>
              <w:pStyle w:val="TableParagraph"/>
              <w:rPr>
                <w:rFonts w:ascii="Arial"/>
                <w:sz w:val="18"/>
              </w:rPr>
            </w:pPr>
          </w:p>
          <w:p w14:paraId="07B83EBB" w14:textId="77777777" w:rsidR="00D0600F" w:rsidRPr="00EB2BD8" w:rsidRDefault="00D0600F" w:rsidP="00D0600F">
            <w:pPr>
              <w:pStyle w:val="TableParagraph"/>
              <w:spacing w:line="320" w:lineRule="atLeast"/>
              <w:ind w:left="105" w:right="2947"/>
              <w:rPr>
                <w:rFonts w:ascii="Arial"/>
                <w:sz w:val="16"/>
              </w:rPr>
            </w:pPr>
            <w:r w:rsidRPr="00EB2BD8">
              <w:rPr>
                <w:rFonts w:ascii="Arial"/>
                <w:w w:val="105"/>
                <w:sz w:val="16"/>
              </w:rPr>
              <w:t>Land at fair value: Non-specialised</w:t>
            </w:r>
            <w:r w:rsidRPr="00EB2BD8">
              <w:rPr>
                <w:rFonts w:ascii="Arial"/>
                <w:spacing w:val="-12"/>
                <w:w w:val="105"/>
                <w:sz w:val="16"/>
              </w:rPr>
              <w:t xml:space="preserve"> </w:t>
            </w:r>
            <w:r w:rsidRPr="00EB2BD8">
              <w:rPr>
                <w:rFonts w:ascii="Arial"/>
                <w:w w:val="105"/>
                <w:sz w:val="16"/>
              </w:rPr>
              <w:t>land</w:t>
            </w:r>
          </w:p>
        </w:tc>
        <w:tc>
          <w:tcPr>
            <w:tcW w:w="1308" w:type="dxa"/>
            <w:tcBorders>
              <w:left w:val="nil"/>
              <w:bottom w:val="single" w:sz="12" w:space="0" w:color="000000"/>
              <w:right w:val="nil"/>
            </w:tcBorders>
            <w:shd w:val="clear" w:color="auto" w:fill="DEEAF6"/>
          </w:tcPr>
          <w:p w14:paraId="424B2FAD" w14:textId="77777777" w:rsidR="00D0600F" w:rsidRPr="00EB2BD8" w:rsidRDefault="00D0600F" w:rsidP="00D0600F">
            <w:pPr>
              <w:pStyle w:val="TableParagraph"/>
              <w:rPr>
                <w:rFonts w:ascii="Arial"/>
                <w:sz w:val="18"/>
              </w:rPr>
            </w:pPr>
          </w:p>
          <w:p w14:paraId="5970CBF9" w14:textId="77777777" w:rsidR="00D0600F" w:rsidRPr="00EB2BD8" w:rsidRDefault="00D0600F" w:rsidP="00D0600F">
            <w:pPr>
              <w:pStyle w:val="TableParagraph"/>
              <w:rPr>
                <w:rFonts w:ascii="Arial"/>
                <w:sz w:val="18"/>
              </w:rPr>
            </w:pPr>
          </w:p>
          <w:p w14:paraId="574DFE46" w14:textId="77777777" w:rsidR="00D0600F" w:rsidRPr="00EB2BD8" w:rsidRDefault="00D0600F" w:rsidP="00D0600F">
            <w:pPr>
              <w:pStyle w:val="TableParagraph"/>
              <w:spacing w:before="5"/>
              <w:rPr>
                <w:rFonts w:ascii="Arial"/>
                <w:sz w:val="21"/>
              </w:rPr>
            </w:pPr>
          </w:p>
          <w:p w14:paraId="6620B611" w14:textId="77777777" w:rsidR="00D0600F" w:rsidRPr="00EB2BD8" w:rsidRDefault="00D0600F" w:rsidP="00D0600F">
            <w:pPr>
              <w:pStyle w:val="TableParagraph"/>
              <w:spacing w:before="1"/>
              <w:ind w:right="197"/>
              <w:jc w:val="right"/>
              <w:rPr>
                <w:rFonts w:ascii="Arial"/>
                <w:sz w:val="16"/>
              </w:rPr>
            </w:pPr>
            <w:r w:rsidRPr="00EB2BD8">
              <w:rPr>
                <w:rFonts w:ascii="Arial"/>
                <w:spacing w:val="-2"/>
                <w:w w:val="105"/>
                <w:sz w:val="16"/>
              </w:rPr>
              <w:t>1,075</w:t>
            </w:r>
          </w:p>
        </w:tc>
        <w:tc>
          <w:tcPr>
            <w:tcW w:w="1192" w:type="dxa"/>
            <w:tcBorders>
              <w:left w:val="nil"/>
              <w:bottom w:val="single" w:sz="12" w:space="0" w:color="000000"/>
              <w:right w:val="nil"/>
            </w:tcBorders>
            <w:shd w:val="clear" w:color="auto" w:fill="DEEAF6"/>
          </w:tcPr>
          <w:p w14:paraId="0FF5A6EF" w14:textId="77777777" w:rsidR="00D0600F" w:rsidRPr="00EB2BD8" w:rsidRDefault="00D0600F" w:rsidP="00D0600F">
            <w:pPr>
              <w:pStyle w:val="TableParagraph"/>
              <w:spacing w:before="34"/>
              <w:ind w:right="275"/>
              <w:jc w:val="right"/>
              <w:rPr>
                <w:rFonts w:ascii="Arial"/>
                <w:b/>
                <w:sz w:val="11"/>
              </w:rPr>
            </w:pPr>
            <w:r w:rsidRPr="00EB2BD8">
              <w:rPr>
                <w:rFonts w:ascii="Arial"/>
                <w:b/>
                <w:w w:val="105"/>
                <w:sz w:val="16"/>
              </w:rPr>
              <w:t>Level</w:t>
            </w:r>
            <w:r w:rsidRPr="00EB2BD8">
              <w:rPr>
                <w:rFonts w:ascii="Arial"/>
                <w:b/>
                <w:spacing w:val="-7"/>
                <w:w w:val="105"/>
                <w:sz w:val="16"/>
              </w:rPr>
              <w:t xml:space="preserve"> </w:t>
            </w:r>
            <w:r w:rsidRPr="00EB2BD8">
              <w:rPr>
                <w:rFonts w:ascii="Arial"/>
                <w:b/>
                <w:spacing w:val="-4"/>
                <w:w w:val="105"/>
                <w:sz w:val="16"/>
              </w:rPr>
              <w:t>1</w:t>
            </w:r>
            <w:r w:rsidRPr="00EB2BD8">
              <w:rPr>
                <w:rFonts w:ascii="Arial"/>
                <w:b/>
                <w:spacing w:val="-4"/>
                <w:w w:val="105"/>
                <w:position w:val="6"/>
                <w:sz w:val="11"/>
              </w:rPr>
              <w:t>(a)</w:t>
            </w:r>
          </w:p>
          <w:p w14:paraId="5E11E2DC" w14:textId="77777777" w:rsidR="00D0600F" w:rsidRPr="00EB2BD8" w:rsidRDefault="00D0600F" w:rsidP="00D0600F">
            <w:pPr>
              <w:pStyle w:val="TableParagraph"/>
              <w:rPr>
                <w:rFonts w:ascii="Arial"/>
                <w:sz w:val="18"/>
              </w:rPr>
            </w:pPr>
          </w:p>
          <w:p w14:paraId="6F38E910" w14:textId="77777777" w:rsidR="00D0600F" w:rsidRPr="00EB2BD8" w:rsidRDefault="00D0600F" w:rsidP="00D0600F">
            <w:pPr>
              <w:pStyle w:val="TableParagraph"/>
              <w:spacing w:before="4"/>
              <w:rPr>
                <w:rFonts w:ascii="Arial"/>
                <w:sz w:val="19"/>
              </w:rPr>
            </w:pPr>
          </w:p>
          <w:p w14:paraId="7551EE2A" w14:textId="77777777" w:rsidR="00D0600F" w:rsidRPr="00EB2BD8" w:rsidRDefault="00D0600F" w:rsidP="00D0600F">
            <w:pPr>
              <w:pStyle w:val="TableParagraph"/>
              <w:spacing w:before="1"/>
              <w:ind w:right="275"/>
              <w:jc w:val="right"/>
              <w:rPr>
                <w:rFonts w:ascii="Arial"/>
                <w:sz w:val="16"/>
              </w:rPr>
            </w:pPr>
            <w:r w:rsidRPr="00EB2BD8">
              <w:rPr>
                <w:rFonts w:ascii="Arial"/>
                <w:w w:val="104"/>
                <w:sz w:val="16"/>
              </w:rPr>
              <w:t>-</w:t>
            </w:r>
          </w:p>
        </w:tc>
        <w:tc>
          <w:tcPr>
            <w:tcW w:w="1231" w:type="dxa"/>
            <w:tcBorders>
              <w:left w:val="nil"/>
              <w:bottom w:val="single" w:sz="12" w:space="0" w:color="000000"/>
              <w:right w:val="nil"/>
            </w:tcBorders>
            <w:shd w:val="clear" w:color="auto" w:fill="DEEAF6"/>
          </w:tcPr>
          <w:p w14:paraId="632ABC10" w14:textId="77777777" w:rsidR="00D0600F" w:rsidRPr="00EB2BD8" w:rsidRDefault="00D0600F" w:rsidP="00D0600F">
            <w:pPr>
              <w:pStyle w:val="TableParagraph"/>
              <w:spacing w:before="34"/>
              <w:ind w:right="236"/>
              <w:jc w:val="right"/>
              <w:rPr>
                <w:rFonts w:ascii="Arial"/>
                <w:b/>
                <w:sz w:val="11"/>
              </w:rPr>
            </w:pPr>
            <w:r w:rsidRPr="00EB2BD8">
              <w:rPr>
                <w:rFonts w:ascii="Arial"/>
                <w:b/>
                <w:w w:val="105"/>
                <w:sz w:val="16"/>
              </w:rPr>
              <w:t>Level</w:t>
            </w:r>
            <w:r w:rsidRPr="00EB2BD8">
              <w:rPr>
                <w:rFonts w:ascii="Arial"/>
                <w:b/>
                <w:spacing w:val="-7"/>
                <w:w w:val="105"/>
                <w:sz w:val="16"/>
              </w:rPr>
              <w:t xml:space="preserve"> </w:t>
            </w:r>
            <w:r w:rsidRPr="00EB2BD8">
              <w:rPr>
                <w:rFonts w:ascii="Arial"/>
                <w:b/>
                <w:spacing w:val="-4"/>
                <w:w w:val="105"/>
                <w:sz w:val="16"/>
              </w:rPr>
              <w:t>2</w:t>
            </w:r>
            <w:r w:rsidRPr="00EB2BD8">
              <w:rPr>
                <w:rFonts w:ascii="Arial"/>
                <w:b/>
                <w:spacing w:val="-4"/>
                <w:w w:val="105"/>
                <w:position w:val="6"/>
                <w:sz w:val="11"/>
              </w:rPr>
              <w:t>(a)</w:t>
            </w:r>
          </w:p>
          <w:p w14:paraId="797DA6EC" w14:textId="77777777" w:rsidR="00D0600F" w:rsidRPr="00EB2BD8" w:rsidRDefault="00D0600F" w:rsidP="00D0600F">
            <w:pPr>
              <w:pStyle w:val="TableParagraph"/>
              <w:rPr>
                <w:rFonts w:ascii="Arial"/>
                <w:sz w:val="18"/>
              </w:rPr>
            </w:pPr>
          </w:p>
          <w:p w14:paraId="6479A843" w14:textId="77777777" w:rsidR="00D0600F" w:rsidRPr="00EB2BD8" w:rsidRDefault="00D0600F" w:rsidP="00D0600F">
            <w:pPr>
              <w:pStyle w:val="TableParagraph"/>
              <w:spacing w:before="4"/>
              <w:rPr>
                <w:rFonts w:ascii="Arial"/>
                <w:sz w:val="19"/>
              </w:rPr>
            </w:pPr>
          </w:p>
          <w:p w14:paraId="2A390E59" w14:textId="77777777" w:rsidR="00D0600F" w:rsidRPr="00EB2BD8" w:rsidRDefault="00D0600F" w:rsidP="00D0600F">
            <w:pPr>
              <w:pStyle w:val="TableParagraph"/>
              <w:spacing w:before="1"/>
              <w:ind w:right="238"/>
              <w:jc w:val="right"/>
              <w:rPr>
                <w:rFonts w:ascii="Arial"/>
                <w:sz w:val="16"/>
              </w:rPr>
            </w:pPr>
            <w:r w:rsidRPr="00EB2BD8">
              <w:rPr>
                <w:rFonts w:ascii="Arial"/>
                <w:spacing w:val="-2"/>
                <w:w w:val="105"/>
                <w:sz w:val="16"/>
              </w:rPr>
              <w:t>1,075</w:t>
            </w:r>
          </w:p>
        </w:tc>
        <w:tc>
          <w:tcPr>
            <w:tcW w:w="1051" w:type="dxa"/>
            <w:tcBorders>
              <w:left w:val="nil"/>
              <w:bottom w:val="single" w:sz="12" w:space="0" w:color="000000"/>
              <w:right w:val="nil"/>
            </w:tcBorders>
            <w:shd w:val="clear" w:color="auto" w:fill="DEEAF6"/>
          </w:tcPr>
          <w:p w14:paraId="69E83768" w14:textId="77777777" w:rsidR="00D0600F" w:rsidRPr="00EB2BD8" w:rsidRDefault="00D0600F" w:rsidP="00D0600F">
            <w:pPr>
              <w:pStyle w:val="TableParagraph"/>
              <w:spacing w:before="34"/>
              <w:ind w:right="97"/>
              <w:jc w:val="right"/>
              <w:rPr>
                <w:rFonts w:ascii="Arial"/>
                <w:b/>
                <w:sz w:val="11"/>
              </w:rPr>
            </w:pPr>
            <w:r w:rsidRPr="00EB2BD8">
              <w:rPr>
                <w:rFonts w:ascii="Arial"/>
                <w:b/>
                <w:w w:val="105"/>
                <w:sz w:val="16"/>
              </w:rPr>
              <w:t>Level</w:t>
            </w:r>
            <w:r w:rsidRPr="00EB2BD8">
              <w:rPr>
                <w:rFonts w:ascii="Arial"/>
                <w:b/>
                <w:spacing w:val="-7"/>
                <w:w w:val="105"/>
                <w:sz w:val="16"/>
              </w:rPr>
              <w:t xml:space="preserve"> </w:t>
            </w:r>
            <w:r w:rsidRPr="00EB2BD8">
              <w:rPr>
                <w:rFonts w:ascii="Arial"/>
                <w:b/>
                <w:spacing w:val="-4"/>
                <w:w w:val="105"/>
                <w:sz w:val="16"/>
              </w:rPr>
              <w:t>3</w:t>
            </w:r>
            <w:r w:rsidRPr="00EB2BD8">
              <w:rPr>
                <w:rFonts w:ascii="Arial"/>
                <w:b/>
                <w:spacing w:val="-4"/>
                <w:w w:val="105"/>
                <w:position w:val="6"/>
                <w:sz w:val="11"/>
              </w:rPr>
              <w:t>(a)</w:t>
            </w:r>
          </w:p>
          <w:p w14:paraId="0CA29123" w14:textId="77777777" w:rsidR="00D0600F" w:rsidRPr="00EB2BD8" w:rsidRDefault="00D0600F" w:rsidP="00D0600F">
            <w:pPr>
              <w:pStyle w:val="TableParagraph"/>
              <w:rPr>
                <w:rFonts w:ascii="Arial"/>
                <w:sz w:val="18"/>
              </w:rPr>
            </w:pPr>
          </w:p>
          <w:p w14:paraId="53A6A4F6" w14:textId="77777777" w:rsidR="00D0600F" w:rsidRPr="00EB2BD8" w:rsidRDefault="00D0600F" w:rsidP="00D0600F">
            <w:pPr>
              <w:pStyle w:val="TableParagraph"/>
              <w:spacing w:before="4"/>
              <w:rPr>
                <w:rFonts w:ascii="Arial"/>
                <w:sz w:val="19"/>
              </w:rPr>
            </w:pPr>
          </w:p>
          <w:p w14:paraId="3B134284" w14:textId="77777777" w:rsidR="00D0600F" w:rsidRPr="00EB2BD8" w:rsidRDefault="00D0600F" w:rsidP="00D0600F">
            <w:pPr>
              <w:pStyle w:val="TableParagraph"/>
              <w:spacing w:before="1"/>
              <w:ind w:right="97"/>
              <w:jc w:val="right"/>
              <w:rPr>
                <w:rFonts w:ascii="Arial"/>
                <w:sz w:val="16"/>
              </w:rPr>
            </w:pPr>
            <w:r w:rsidRPr="00EB2BD8">
              <w:rPr>
                <w:rFonts w:ascii="Arial"/>
                <w:w w:val="104"/>
                <w:sz w:val="16"/>
              </w:rPr>
              <w:t>-</w:t>
            </w:r>
          </w:p>
        </w:tc>
      </w:tr>
      <w:tr w:rsidR="00D0600F" w:rsidRPr="00EB2BD8" w14:paraId="41C13031" w14:textId="77777777" w:rsidTr="00D0600F">
        <w:trPr>
          <w:trHeight w:val="286"/>
        </w:trPr>
        <w:tc>
          <w:tcPr>
            <w:tcW w:w="4614" w:type="dxa"/>
            <w:tcBorders>
              <w:top w:val="single" w:sz="12" w:space="0" w:color="000000"/>
              <w:left w:val="nil"/>
              <w:bottom w:val="single" w:sz="12" w:space="0" w:color="000000"/>
              <w:right w:val="nil"/>
            </w:tcBorders>
            <w:shd w:val="clear" w:color="auto" w:fill="DEEAF6"/>
          </w:tcPr>
          <w:p w14:paraId="2423BF2C" w14:textId="77777777" w:rsidR="00D0600F" w:rsidRPr="00EB2BD8" w:rsidRDefault="00D0600F" w:rsidP="00D0600F">
            <w:pPr>
              <w:pStyle w:val="TableParagraph"/>
              <w:spacing w:before="54"/>
              <w:ind w:left="105"/>
              <w:rPr>
                <w:rFonts w:ascii="Arial"/>
                <w:b/>
                <w:sz w:val="16"/>
              </w:rPr>
            </w:pPr>
            <w:r w:rsidRPr="00EB2BD8">
              <w:rPr>
                <w:rFonts w:ascii="Arial"/>
                <w:b/>
                <w:w w:val="105"/>
                <w:sz w:val="16"/>
              </w:rPr>
              <w:t>Total</w:t>
            </w:r>
            <w:r w:rsidRPr="00EB2BD8">
              <w:rPr>
                <w:rFonts w:ascii="Arial"/>
                <w:b/>
                <w:spacing w:val="-4"/>
                <w:w w:val="105"/>
                <w:sz w:val="16"/>
              </w:rPr>
              <w:t xml:space="preserve"> </w:t>
            </w:r>
            <w:r w:rsidRPr="00EB2BD8">
              <w:rPr>
                <w:rFonts w:ascii="Arial"/>
                <w:b/>
                <w:w w:val="105"/>
                <w:sz w:val="16"/>
              </w:rPr>
              <w:t>of</w:t>
            </w:r>
            <w:r w:rsidRPr="00EB2BD8">
              <w:rPr>
                <w:rFonts w:ascii="Arial"/>
                <w:b/>
                <w:spacing w:val="-5"/>
                <w:w w:val="105"/>
                <w:sz w:val="16"/>
              </w:rPr>
              <w:t xml:space="preserve"> </w:t>
            </w:r>
            <w:r w:rsidRPr="00EB2BD8">
              <w:rPr>
                <w:rFonts w:ascii="Arial"/>
                <w:b/>
                <w:w w:val="105"/>
                <w:sz w:val="16"/>
              </w:rPr>
              <w:t>land</w:t>
            </w:r>
            <w:r w:rsidRPr="00EB2BD8">
              <w:rPr>
                <w:rFonts w:ascii="Arial"/>
                <w:b/>
                <w:spacing w:val="-4"/>
                <w:w w:val="105"/>
                <w:sz w:val="16"/>
              </w:rPr>
              <w:t xml:space="preserve"> </w:t>
            </w:r>
            <w:r w:rsidRPr="00EB2BD8">
              <w:rPr>
                <w:rFonts w:ascii="Arial"/>
                <w:b/>
                <w:w w:val="105"/>
                <w:sz w:val="16"/>
              </w:rPr>
              <w:t>at</w:t>
            </w:r>
            <w:r w:rsidRPr="00EB2BD8">
              <w:rPr>
                <w:rFonts w:ascii="Arial"/>
                <w:b/>
                <w:spacing w:val="-4"/>
                <w:w w:val="105"/>
                <w:sz w:val="16"/>
              </w:rPr>
              <w:t xml:space="preserve"> </w:t>
            </w:r>
            <w:r w:rsidRPr="00EB2BD8">
              <w:rPr>
                <w:rFonts w:ascii="Arial"/>
                <w:b/>
                <w:w w:val="105"/>
                <w:sz w:val="16"/>
              </w:rPr>
              <w:t>fair</w:t>
            </w:r>
            <w:r w:rsidRPr="00EB2BD8">
              <w:rPr>
                <w:rFonts w:ascii="Arial"/>
                <w:b/>
                <w:spacing w:val="-3"/>
                <w:w w:val="105"/>
                <w:sz w:val="16"/>
              </w:rPr>
              <w:t xml:space="preserve"> </w:t>
            </w:r>
            <w:r w:rsidRPr="00EB2BD8">
              <w:rPr>
                <w:rFonts w:ascii="Arial"/>
                <w:b/>
                <w:spacing w:val="-2"/>
                <w:w w:val="105"/>
                <w:sz w:val="16"/>
              </w:rPr>
              <w:t>value</w:t>
            </w:r>
          </w:p>
        </w:tc>
        <w:tc>
          <w:tcPr>
            <w:tcW w:w="1308" w:type="dxa"/>
            <w:tcBorders>
              <w:top w:val="single" w:sz="12" w:space="0" w:color="000000"/>
              <w:left w:val="nil"/>
              <w:bottom w:val="single" w:sz="12" w:space="0" w:color="000000"/>
              <w:right w:val="nil"/>
            </w:tcBorders>
            <w:shd w:val="clear" w:color="auto" w:fill="DEEAF6"/>
          </w:tcPr>
          <w:p w14:paraId="0A69C431" w14:textId="77777777" w:rsidR="00D0600F" w:rsidRPr="00EB2BD8" w:rsidRDefault="00D0600F" w:rsidP="00D0600F">
            <w:pPr>
              <w:pStyle w:val="TableParagraph"/>
              <w:spacing w:before="54"/>
              <w:ind w:right="197"/>
              <w:jc w:val="right"/>
              <w:rPr>
                <w:rFonts w:ascii="Arial"/>
                <w:b/>
                <w:sz w:val="16"/>
              </w:rPr>
            </w:pPr>
            <w:r w:rsidRPr="00EB2BD8">
              <w:rPr>
                <w:rFonts w:ascii="Arial"/>
                <w:b/>
                <w:spacing w:val="-2"/>
                <w:w w:val="105"/>
                <w:sz w:val="16"/>
              </w:rPr>
              <w:t>1,075</w:t>
            </w:r>
          </w:p>
        </w:tc>
        <w:tc>
          <w:tcPr>
            <w:tcW w:w="1192" w:type="dxa"/>
            <w:tcBorders>
              <w:top w:val="single" w:sz="12" w:space="0" w:color="000000"/>
              <w:left w:val="nil"/>
              <w:bottom w:val="single" w:sz="12" w:space="0" w:color="000000"/>
              <w:right w:val="nil"/>
            </w:tcBorders>
            <w:shd w:val="clear" w:color="auto" w:fill="DEEAF6"/>
          </w:tcPr>
          <w:p w14:paraId="1698510A" w14:textId="77777777" w:rsidR="00D0600F" w:rsidRPr="00EB2BD8" w:rsidRDefault="00D0600F" w:rsidP="00D0600F">
            <w:pPr>
              <w:pStyle w:val="TableParagraph"/>
              <w:spacing w:before="54"/>
              <w:ind w:right="275"/>
              <w:jc w:val="right"/>
              <w:rPr>
                <w:rFonts w:ascii="Arial"/>
                <w:b/>
                <w:sz w:val="16"/>
              </w:rPr>
            </w:pPr>
            <w:r w:rsidRPr="00EB2BD8">
              <w:rPr>
                <w:rFonts w:ascii="Arial"/>
                <w:b/>
                <w:w w:val="104"/>
                <w:sz w:val="16"/>
              </w:rPr>
              <w:t>-</w:t>
            </w:r>
          </w:p>
        </w:tc>
        <w:tc>
          <w:tcPr>
            <w:tcW w:w="1231" w:type="dxa"/>
            <w:tcBorders>
              <w:top w:val="single" w:sz="12" w:space="0" w:color="000000"/>
              <w:left w:val="nil"/>
              <w:bottom w:val="single" w:sz="12" w:space="0" w:color="000000"/>
              <w:right w:val="nil"/>
            </w:tcBorders>
            <w:shd w:val="clear" w:color="auto" w:fill="DEEAF6"/>
          </w:tcPr>
          <w:p w14:paraId="6C6999D0" w14:textId="77777777" w:rsidR="00D0600F" w:rsidRPr="00EB2BD8" w:rsidRDefault="00D0600F" w:rsidP="00D0600F">
            <w:pPr>
              <w:pStyle w:val="TableParagraph"/>
              <w:spacing w:before="54"/>
              <w:ind w:right="238"/>
              <w:jc w:val="right"/>
              <w:rPr>
                <w:rFonts w:ascii="Arial"/>
                <w:b/>
                <w:sz w:val="16"/>
              </w:rPr>
            </w:pPr>
            <w:r w:rsidRPr="00EB2BD8">
              <w:rPr>
                <w:rFonts w:ascii="Arial"/>
                <w:b/>
                <w:spacing w:val="-2"/>
                <w:w w:val="105"/>
                <w:sz w:val="16"/>
              </w:rPr>
              <w:t>1,075</w:t>
            </w:r>
          </w:p>
        </w:tc>
        <w:tc>
          <w:tcPr>
            <w:tcW w:w="1051" w:type="dxa"/>
            <w:tcBorders>
              <w:top w:val="single" w:sz="12" w:space="0" w:color="000000"/>
              <w:left w:val="nil"/>
              <w:bottom w:val="single" w:sz="12" w:space="0" w:color="000000"/>
              <w:right w:val="nil"/>
            </w:tcBorders>
            <w:shd w:val="clear" w:color="auto" w:fill="DEEAF6"/>
          </w:tcPr>
          <w:p w14:paraId="2A3EAEB5" w14:textId="77777777" w:rsidR="00D0600F" w:rsidRPr="00EB2BD8" w:rsidRDefault="00D0600F" w:rsidP="00D0600F">
            <w:pPr>
              <w:pStyle w:val="TableParagraph"/>
              <w:spacing w:before="54"/>
              <w:ind w:right="97"/>
              <w:jc w:val="right"/>
              <w:rPr>
                <w:rFonts w:ascii="Arial"/>
                <w:b/>
                <w:sz w:val="16"/>
              </w:rPr>
            </w:pPr>
            <w:r w:rsidRPr="00EB2BD8">
              <w:rPr>
                <w:rFonts w:ascii="Arial"/>
                <w:b/>
                <w:w w:val="104"/>
                <w:sz w:val="16"/>
              </w:rPr>
              <w:t>-</w:t>
            </w:r>
          </w:p>
        </w:tc>
      </w:tr>
      <w:tr w:rsidR="00D0600F" w:rsidRPr="00EB2BD8" w14:paraId="0212010A" w14:textId="77777777" w:rsidTr="00D0600F">
        <w:trPr>
          <w:trHeight w:val="605"/>
        </w:trPr>
        <w:tc>
          <w:tcPr>
            <w:tcW w:w="4614" w:type="dxa"/>
            <w:tcBorders>
              <w:top w:val="single" w:sz="12" w:space="0" w:color="000000"/>
              <w:left w:val="nil"/>
              <w:bottom w:val="single" w:sz="12" w:space="0" w:color="000000"/>
              <w:right w:val="nil"/>
            </w:tcBorders>
            <w:shd w:val="clear" w:color="auto" w:fill="DEEAF6"/>
          </w:tcPr>
          <w:p w14:paraId="2B62AADC" w14:textId="77777777" w:rsidR="00D0600F" w:rsidRPr="00EB2BD8" w:rsidRDefault="00D0600F" w:rsidP="00D0600F">
            <w:pPr>
              <w:pStyle w:val="TableParagraph"/>
              <w:spacing w:before="54"/>
              <w:ind w:left="105"/>
              <w:rPr>
                <w:rFonts w:ascii="Arial"/>
                <w:sz w:val="16"/>
              </w:rPr>
            </w:pPr>
            <w:r w:rsidRPr="00EB2BD8">
              <w:rPr>
                <w:rFonts w:ascii="Arial"/>
                <w:w w:val="105"/>
                <w:sz w:val="16"/>
              </w:rPr>
              <w:t>Buildings</w:t>
            </w:r>
            <w:r w:rsidRPr="00EB2BD8">
              <w:rPr>
                <w:rFonts w:ascii="Arial"/>
                <w:spacing w:val="-7"/>
                <w:w w:val="105"/>
                <w:sz w:val="16"/>
              </w:rPr>
              <w:t xml:space="preserve"> </w:t>
            </w:r>
            <w:r w:rsidRPr="00EB2BD8">
              <w:rPr>
                <w:rFonts w:ascii="Arial"/>
                <w:w w:val="105"/>
                <w:sz w:val="16"/>
              </w:rPr>
              <w:t>at</w:t>
            </w:r>
            <w:r w:rsidRPr="00EB2BD8">
              <w:rPr>
                <w:rFonts w:ascii="Arial"/>
                <w:spacing w:val="-6"/>
                <w:w w:val="105"/>
                <w:sz w:val="16"/>
              </w:rPr>
              <w:t xml:space="preserve"> </w:t>
            </w:r>
            <w:r w:rsidRPr="00EB2BD8">
              <w:rPr>
                <w:rFonts w:ascii="Arial"/>
                <w:w w:val="105"/>
                <w:sz w:val="16"/>
              </w:rPr>
              <w:t>fair</w:t>
            </w:r>
            <w:r w:rsidRPr="00EB2BD8">
              <w:rPr>
                <w:rFonts w:ascii="Arial"/>
                <w:spacing w:val="-6"/>
                <w:w w:val="105"/>
                <w:sz w:val="16"/>
              </w:rPr>
              <w:t xml:space="preserve"> </w:t>
            </w:r>
            <w:r w:rsidRPr="00EB2BD8">
              <w:rPr>
                <w:rFonts w:ascii="Arial"/>
                <w:spacing w:val="-2"/>
                <w:w w:val="105"/>
                <w:sz w:val="16"/>
              </w:rPr>
              <w:t>value:</w:t>
            </w:r>
          </w:p>
          <w:p w14:paraId="03417259" w14:textId="77777777" w:rsidR="00D0600F" w:rsidRPr="00EB2BD8" w:rsidRDefault="00D0600F" w:rsidP="00D0600F">
            <w:pPr>
              <w:pStyle w:val="TableParagraph"/>
              <w:spacing w:before="119"/>
              <w:ind w:left="105"/>
              <w:rPr>
                <w:rFonts w:ascii="Arial"/>
                <w:sz w:val="16"/>
              </w:rPr>
            </w:pPr>
            <w:r w:rsidRPr="00EB2BD8">
              <w:rPr>
                <w:rFonts w:ascii="Arial"/>
                <w:sz w:val="16"/>
              </w:rPr>
              <w:t>Non-specialised</w:t>
            </w:r>
            <w:r w:rsidRPr="00EB2BD8">
              <w:rPr>
                <w:rFonts w:ascii="Arial"/>
                <w:spacing w:val="41"/>
                <w:sz w:val="16"/>
              </w:rPr>
              <w:t xml:space="preserve"> </w:t>
            </w:r>
            <w:r w:rsidRPr="00EB2BD8">
              <w:rPr>
                <w:rFonts w:ascii="Arial"/>
                <w:spacing w:val="-2"/>
                <w:sz w:val="16"/>
              </w:rPr>
              <w:t>buildings</w:t>
            </w:r>
          </w:p>
        </w:tc>
        <w:tc>
          <w:tcPr>
            <w:tcW w:w="1308" w:type="dxa"/>
            <w:tcBorders>
              <w:top w:val="single" w:sz="12" w:space="0" w:color="000000"/>
              <w:left w:val="nil"/>
              <w:bottom w:val="single" w:sz="12" w:space="0" w:color="000000"/>
              <w:right w:val="nil"/>
            </w:tcBorders>
            <w:shd w:val="clear" w:color="auto" w:fill="DEEAF6"/>
          </w:tcPr>
          <w:p w14:paraId="00CC6B32" w14:textId="77777777" w:rsidR="00D0600F" w:rsidRPr="00EB2BD8" w:rsidRDefault="00D0600F" w:rsidP="00D0600F">
            <w:pPr>
              <w:pStyle w:val="TableParagraph"/>
              <w:rPr>
                <w:rFonts w:ascii="Arial"/>
                <w:sz w:val="18"/>
              </w:rPr>
            </w:pPr>
          </w:p>
          <w:p w14:paraId="3D390CBF" w14:textId="77777777" w:rsidR="00D0600F" w:rsidRPr="00EB2BD8" w:rsidRDefault="00D0600F" w:rsidP="00D0600F">
            <w:pPr>
              <w:pStyle w:val="TableParagraph"/>
              <w:spacing w:before="150"/>
              <w:ind w:right="197"/>
              <w:jc w:val="right"/>
              <w:rPr>
                <w:rFonts w:ascii="Arial"/>
                <w:sz w:val="16"/>
              </w:rPr>
            </w:pPr>
            <w:r w:rsidRPr="00EB2BD8">
              <w:rPr>
                <w:rFonts w:ascii="Arial"/>
                <w:spacing w:val="-2"/>
                <w:w w:val="105"/>
                <w:sz w:val="16"/>
              </w:rPr>
              <w:t>3,730</w:t>
            </w:r>
          </w:p>
        </w:tc>
        <w:tc>
          <w:tcPr>
            <w:tcW w:w="1192" w:type="dxa"/>
            <w:tcBorders>
              <w:top w:val="single" w:sz="12" w:space="0" w:color="000000"/>
              <w:left w:val="nil"/>
              <w:bottom w:val="single" w:sz="12" w:space="0" w:color="000000"/>
              <w:right w:val="nil"/>
            </w:tcBorders>
            <w:shd w:val="clear" w:color="auto" w:fill="DEEAF6"/>
          </w:tcPr>
          <w:p w14:paraId="50AAD2F9" w14:textId="77777777" w:rsidR="00D0600F" w:rsidRPr="00EB2BD8" w:rsidRDefault="00D0600F" w:rsidP="00D0600F">
            <w:pPr>
              <w:pStyle w:val="TableParagraph"/>
              <w:rPr>
                <w:rFonts w:ascii="Arial"/>
                <w:sz w:val="18"/>
              </w:rPr>
            </w:pPr>
          </w:p>
          <w:p w14:paraId="446C6E27" w14:textId="77777777" w:rsidR="00D0600F" w:rsidRPr="00EB2BD8" w:rsidRDefault="00D0600F" w:rsidP="00D0600F">
            <w:pPr>
              <w:pStyle w:val="TableParagraph"/>
              <w:spacing w:before="150"/>
              <w:ind w:right="275"/>
              <w:jc w:val="right"/>
              <w:rPr>
                <w:rFonts w:ascii="Arial"/>
                <w:sz w:val="16"/>
              </w:rPr>
            </w:pPr>
            <w:r w:rsidRPr="00EB2BD8">
              <w:rPr>
                <w:rFonts w:ascii="Arial"/>
                <w:w w:val="104"/>
                <w:sz w:val="16"/>
              </w:rPr>
              <w:t>-</w:t>
            </w:r>
          </w:p>
        </w:tc>
        <w:tc>
          <w:tcPr>
            <w:tcW w:w="1231" w:type="dxa"/>
            <w:tcBorders>
              <w:top w:val="single" w:sz="12" w:space="0" w:color="000000"/>
              <w:left w:val="nil"/>
              <w:bottom w:val="single" w:sz="12" w:space="0" w:color="000000"/>
              <w:right w:val="nil"/>
            </w:tcBorders>
            <w:shd w:val="clear" w:color="auto" w:fill="DEEAF6"/>
          </w:tcPr>
          <w:p w14:paraId="0ECAA3E4" w14:textId="77777777" w:rsidR="00D0600F" w:rsidRPr="00EB2BD8" w:rsidRDefault="00D0600F" w:rsidP="00D0600F">
            <w:pPr>
              <w:pStyle w:val="TableParagraph"/>
              <w:rPr>
                <w:rFonts w:ascii="Arial"/>
                <w:sz w:val="18"/>
              </w:rPr>
            </w:pPr>
          </w:p>
          <w:p w14:paraId="0EFE0D84" w14:textId="77777777" w:rsidR="00D0600F" w:rsidRPr="00EB2BD8" w:rsidRDefault="00D0600F" w:rsidP="00D0600F">
            <w:pPr>
              <w:pStyle w:val="TableParagraph"/>
              <w:spacing w:before="150"/>
              <w:ind w:right="238"/>
              <w:jc w:val="right"/>
              <w:rPr>
                <w:rFonts w:ascii="Arial"/>
                <w:sz w:val="16"/>
              </w:rPr>
            </w:pPr>
            <w:r w:rsidRPr="00EB2BD8">
              <w:rPr>
                <w:rFonts w:ascii="Arial"/>
                <w:spacing w:val="-5"/>
                <w:w w:val="105"/>
                <w:sz w:val="16"/>
              </w:rPr>
              <w:t>812</w:t>
            </w:r>
          </w:p>
        </w:tc>
        <w:tc>
          <w:tcPr>
            <w:tcW w:w="1051" w:type="dxa"/>
            <w:tcBorders>
              <w:top w:val="single" w:sz="12" w:space="0" w:color="000000"/>
              <w:left w:val="nil"/>
              <w:bottom w:val="single" w:sz="12" w:space="0" w:color="000000"/>
              <w:right w:val="nil"/>
            </w:tcBorders>
            <w:shd w:val="clear" w:color="auto" w:fill="DEEAF6"/>
          </w:tcPr>
          <w:p w14:paraId="43593075" w14:textId="77777777" w:rsidR="00D0600F" w:rsidRPr="00EB2BD8" w:rsidRDefault="00D0600F" w:rsidP="00D0600F">
            <w:pPr>
              <w:pStyle w:val="TableParagraph"/>
              <w:rPr>
                <w:rFonts w:ascii="Arial"/>
                <w:sz w:val="18"/>
              </w:rPr>
            </w:pPr>
          </w:p>
          <w:p w14:paraId="4FA4D87D" w14:textId="77777777" w:rsidR="00D0600F" w:rsidRPr="00EB2BD8" w:rsidRDefault="00D0600F" w:rsidP="00D0600F">
            <w:pPr>
              <w:pStyle w:val="TableParagraph"/>
              <w:spacing w:before="150"/>
              <w:ind w:right="98"/>
              <w:jc w:val="right"/>
              <w:rPr>
                <w:rFonts w:ascii="Arial"/>
                <w:sz w:val="16"/>
              </w:rPr>
            </w:pPr>
            <w:r w:rsidRPr="00EB2BD8">
              <w:rPr>
                <w:rFonts w:ascii="Arial"/>
                <w:spacing w:val="-2"/>
                <w:w w:val="105"/>
                <w:sz w:val="16"/>
              </w:rPr>
              <w:t>2,918</w:t>
            </w:r>
          </w:p>
        </w:tc>
      </w:tr>
      <w:tr w:rsidR="00D0600F" w:rsidRPr="00EB2BD8" w14:paraId="092436D6" w14:textId="77777777" w:rsidTr="00D0600F">
        <w:trPr>
          <w:trHeight w:val="286"/>
        </w:trPr>
        <w:tc>
          <w:tcPr>
            <w:tcW w:w="4614" w:type="dxa"/>
            <w:tcBorders>
              <w:top w:val="single" w:sz="12" w:space="0" w:color="000000"/>
              <w:left w:val="nil"/>
              <w:bottom w:val="single" w:sz="12" w:space="0" w:color="000000"/>
              <w:right w:val="nil"/>
            </w:tcBorders>
            <w:shd w:val="clear" w:color="auto" w:fill="DEEAF6"/>
          </w:tcPr>
          <w:p w14:paraId="07BE9701" w14:textId="77777777" w:rsidR="00D0600F" w:rsidRPr="00EB2BD8" w:rsidRDefault="00D0600F" w:rsidP="00D0600F">
            <w:pPr>
              <w:pStyle w:val="TableParagraph"/>
              <w:spacing w:before="54"/>
              <w:ind w:left="105"/>
              <w:rPr>
                <w:rFonts w:ascii="Arial"/>
                <w:b/>
                <w:sz w:val="16"/>
              </w:rPr>
            </w:pPr>
            <w:r w:rsidRPr="00EB2BD8">
              <w:rPr>
                <w:rFonts w:ascii="Arial"/>
                <w:b/>
                <w:w w:val="105"/>
                <w:sz w:val="16"/>
              </w:rPr>
              <w:t>Total</w:t>
            </w:r>
            <w:r w:rsidRPr="00EB2BD8">
              <w:rPr>
                <w:rFonts w:ascii="Arial"/>
                <w:b/>
                <w:spacing w:val="-5"/>
                <w:w w:val="105"/>
                <w:sz w:val="16"/>
              </w:rPr>
              <w:t xml:space="preserve"> </w:t>
            </w:r>
            <w:r w:rsidRPr="00EB2BD8">
              <w:rPr>
                <w:rFonts w:ascii="Arial"/>
                <w:b/>
                <w:w w:val="105"/>
                <w:sz w:val="16"/>
              </w:rPr>
              <w:t>of</w:t>
            </w:r>
            <w:r w:rsidRPr="00EB2BD8">
              <w:rPr>
                <w:rFonts w:ascii="Arial"/>
                <w:b/>
                <w:spacing w:val="-6"/>
                <w:w w:val="105"/>
                <w:sz w:val="16"/>
              </w:rPr>
              <w:t xml:space="preserve"> </w:t>
            </w:r>
            <w:r w:rsidRPr="00EB2BD8">
              <w:rPr>
                <w:rFonts w:ascii="Arial"/>
                <w:b/>
                <w:w w:val="105"/>
                <w:sz w:val="16"/>
              </w:rPr>
              <w:t>buildings</w:t>
            </w:r>
            <w:r w:rsidRPr="00EB2BD8">
              <w:rPr>
                <w:rFonts w:ascii="Arial"/>
                <w:b/>
                <w:spacing w:val="-5"/>
                <w:w w:val="105"/>
                <w:sz w:val="16"/>
              </w:rPr>
              <w:t xml:space="preserve"> </w:t>
            </w:r>
            <w:r w:rsidRPr="00EB2BD8">
              <w:rPr>
                <w:rFonts w:ascii="Arial"/>
                <w:b/>
                <w:w w:val="105"/>
                <w:sz w:val="16"/>
              </w:rPr>
              <w:t>at</w:t>
            </w:r>
            <w:r w:rsidRPr="00EB2BD8">
              <w:rPr>
                <w:rFonts w:ascii="Arial"/>
                <w:b/>
                <w:spacing w:val="-4"/>
                <w:w w:val="105"/>
                <w:sz w:val="16"/>
              </w:rPr>
              <w:t xml:space="preserve"> </w:t>
            </w:r>
            <w:r w:rsidRPr="00EB2BD8">
              <w:rPr>
                <w:rFonts w:ascii="Arial"/>
                <w:b/>
                <w:w w:val="105"/>
                <w:sz w:val="16"/>
              </w:rPr>
              <w:t>fair</w:t>
            </w:r>
            <w:r w:rsidRPr="00EB2BD8">
              <w:rPr>
                <w:rFonts w:ascii="Arial"/>
                <w:b/>
                <w:spacing w:val="-5"/>
                <w:w w:val="105"/>
                <w:sz w:val="16"/>
              </w:rPr>
              <w:t xml:space="preserve"> </w:t>
            </w:r>
            <w:r w:rsidRPr="00EB2BD8">
              <w:rPr>
                <w:rFonts w:ascii="Arial"/>
                <w:b/>
                <w:spacing w:val="-2"/>
                <w:w w:val="105"/>
                <w:sz w:val="16"/>
              </w:rPr>
              <w:t>value</w:t>
            </w:r>
          </w:p>
        </w:tc>
        <w:tc>
          <w:tcPr>
            <w:tcW w:w="1308" w:type="dxa"/>
            <w:tcBorders>
              <w:top w:val="single" w:sz="12" w:space="0" w:color="000000"/>
              <w:left w:val="nil"/>
              <w:bottom w:val="single" w:sz="12" w:space="0" w:color="000000"/>
              <w:right w:val="nil"/>
            </w:tcBorders>
            <w:shd w:val="clear" w:color="auto" w:fill="DEEAF6"/>
          </w:tcPr>
          <w:p w14:paraId="35B3C7F3" w14:textId="77777777" w:rsidR="00D0600F" w:rsidRPr="00EB2BD8" w:rsidRDefault="00D0600F" w:rsidP="00D0600F">
            <w:pPr>
              <w:pStyle w:val="TableParagraph"/>
              <w:spacing w:before="54"/>
              <w:ind w:right="197"/>
              <w:jc w:val="right"/>
              <w:rPr>
                <w:rFonts w:ascii="Arial"/>
                <w:b/>
                <w:sz w:val="16"/>
              </w:rPr>
            </w:pPr>
            <w:r w:rsidRPr="00EB2BD8">
              <w:rPr>
                <w:rFonts w:ascii="Arial"/>
                <w:b/>
                <w:spacing w:val="-2"/>
                <w:w w:val="105"/>
                <w:sz w:val="16"/>
              </w:rPr>
              <w:t>3,730</w:t>
            </w:r>
          </w:p>
        </w:tc>
        <w:tc>
          <w:tcPr>
            <w:tcW w:w="1192" w:type="dxa"/>
            <w:tcBorders>
              <w:top w:val="single" w:sz="12" w:space="0" w:color="000000"/>
              <w:left w:val="nil"/>
              <w:bottom w:val="single" w:sz="12" w:space="0" w:color="000000"/>
              <w:right w:val="nil"/>
            </w:tcBorders>
            <w:shd w:val="clear" w:color="auto" w:fill="DEEAF6"/>
          </w:tcPr>
          <w:p w14:paraId="4D0A83CB" w14:textId="77777777" w:rsidR="00D0600F" w:rsidRPr="00EB2BD8" w:rsidRDefault="00D0600F" w:rsidP="00D0600F">
            <w:pPr>
              <w:pStyle w:val="TableParagraph"/>
              <w:spacing w:before="54"/>
              <w:ind w:right="275"/>
              <w:jc w:val="right"/>
              <w:rPr>
                <w:rFonts w:ascii="Arial"/>
                <w:b/>
                <w:sz w:val="16"/>
              </w:rPr>
            </w:pPr>
            <w:r w:rsidRPr="00EB2BD8">
              <w:rPr>
                <w:rFonts w:ascii="Arial"/>
                <w:b/>
                <w:w w:val="104"/>
                <w:sz w:val="16"/>
              </w:rPr>
              <w:t>-</w:t>
            </w:r>
          </w:p>
        </w:tc>
        <w:tc>
          <w:tcPr>
            <w:tcW w:w="1231" w:type="dxa"/>
            <w:tcBorders>
              <w:top w:val="single" w:sz="12" w:space="0" w:color="000000"/>
              <w:left w:val="nil"/>
              <w:bottom w:val="single" w:sz="12" w:space="0" w:color="000000"/>
              <w:right w:val="nil"/>
            </w:tcBorders>
            <w:shd w:val="clear" w:color="auto" w:fill="DEEAF6"/>
          </w:tcPr>
          <w:p w14:paraId="276EDB17" w14:textId="77777777" w:rsidR="00D0600F" w:rsidRPr="00EB2BD8" w:rsidRDefault="00D0600F" w:rsidP="00D0600F">
            <w:pPr>
              <w:pStyle w:val="TableParagraph"/>
              <w:spacing w:before="54"/>
              <w:ind w:right="238"/>
              <w:jc w:val="right"/>
              <w:rPr>
                <w:rFonts w:ascii="Arial"/>
                <w:b/>
                <w:sz w:val="16"/>
              </w:rPr>
            </w:pPr>
            <w:r w:rsidRPr="00EB2BD8">
              <w:rPr>
                <w:rFonts w:ascii="Arial"/>
                <w:b/>
                <w:spacing w:val="-5"/>
                <w:w w:val="105"/>
                <w:sz w:val="16"/>
              </w:rPr>
              <w:t>812</w:t>
            </w:r>
          </w:p>
        </w:tc>
        <w:tc>
          <w:tcPr>
            <w:tcW w:w="1051" w:type="dxa"/>
            <w:tcBorders>
              <w:top w:val="single" w:sz="12" w:space="0" w:color="000000"/>
              <w:left w:val="nil"/>
              <w:bottom w:val="single" w:sz="12" w:space="0" w:color="000000"/>
              <w:right w:val="nil"/>
            </w:tcBorders>
            <w:shd w:val="clear" w:color="auto" w:fill="DEEAF6"/>
          </w:tcPr>
          <w:p w14:paraId="62D7BAC0" w14:textId="77777777" w:rsidR="00D0600F" w:rsidRPr="00EB2BD8" w:rsidRDefault="00D0600F" w:rsidP="00D0600F">
            <w:pPr>
              <w:pStyle w:val="TableParagraph"/>
              <w:spacing w:before="54"/>
              <w:ind w:right="98"/>
              <w:jc w:val="right"/>
              <w:rPr>
                <w:rFonts w:ascii="Arial"/>
                <w:sz w:val="16"/>
              </w:rPr>
            </w:pPr>
            <w:r w:rsidRPr="00EB2BD8">
              <w:rPr>
                <w:rFonts w:ascii="Arial"/>
                <w:spacing w:val="-2"/>
                <w:w w:val="105"/>
                <w:sz w:val="16"/>
              </w:rPr>
              <w:t>2,918</w:t>
            </w:r>
          </w:p>
        </w:tc>
      </w:tr>
      <w:tr w:rsidR="00D0600F" w:rsidRPr="00EB2BD8" w14:paraId="7EF498FE" w14:textId="77777777" w:rsidTr="00D0600F">
        <w:trPr>
          <w:trHeight w:val="921"/>
        </w:trPr>
        <w:tc>
          <w:tcPr>
            <w:tcW w:w="4614" w:type="dxa"/>
            <w:tcBorders>
              <w:top w:val="single" w:sz="12" w:space="0" w:color="000000"/>
              <w:left w:val="nil"/>
              <w:bottom w:val="single" w:sz="12" w:space="0" w:color="000000"/>
              <w:right w:val="nil"/>
            </w:tcBorders>
            <w:shd w:val="clear" w:color="auto" w:fill="DEEAF6"/>
          </w:tcPr>
          <w:p w14:paraId="4D587679" w14:textId="77777777" w:rsidR="00D0600F" w:rsidRPr="00EB2BD8" w:rsidRDefault="00D0600F" w:rsidP="00D0600F">
            <w:pPr>
              <w:pStyle w:val="TableParagraph"/>
              <w:spacing w:before="54" w:line="379" w:lineRule="auto"/>
              <w:ind w:left="105" w:right="612"/>
              <w:rPr>
                <w:rFonts w:ascii="Arial"/>
                <w:sz w:val="11"/>
              </w:rPr>
            </w:pPr>
            <w:r w:rsidRPr="00EB2BD8">
              <w:rPr>
                <w:rFonts w:ascii="Arial"/>
                <w:w w:val="105"/>
                <w:sz w:val="16"/>
              </w:rPr>
              <w:t>Plant,</w:t>
            </w:r>
            <w:r w:rsidRPr="00EB2BD8">
              <w:rPr>
                <w:rFonts w:ascii="Arial"/>
                <w:spacing w:val="-7"/>
                <w:w w:val="105"/>
                <w:sz w:val="16"/>
              </w:rPr>
              <w:t xml:space="preserve"> </w:t>
            </w:r>
            <w:r w:rsidRPr="00EB2BD8">
              <w:rPr>
                <w:rFonts w:ascii="Arial"/>
                <w:w w:val="105"/>
                <w:sz w:val="16"/>
              </w:rPr>
              <w:t>equipment</w:t>
            </w:r>
            <w:r w:rsidRPr="00EB2BD8">
              <w:rPr>
                <w:rFonts w:ascii="Arial"/>
                <w:spacing w:val="-7"/>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vehicles</w:t>
            </w:r>
            <w:r w:rsidRPr="00EB2BD8">
              <w:rPr>
                <w:rFonts w:ascii="Arial"/>
                <w:spacing w:val="-6"/>
                <w:w w:val="105"/>
                <w:sz w:val="16"/>
              </w:rPr>
              <w:t xml:space="preserve"> </w:t>
            </w:r>
            <w:r w:rsidRPr="00EB2BD8">
              <w:rPr>
                <w:rFonts w:ascii="Arial"/>
                <w:w w:val="105"/>
                <w:sz w:val="16"/>
              </w:rPr>
              <w:t>at</w:t>
            </w:r>
            <w:r w:rsidRPr="00EB2BD8">
              <w:rPr>
                <w:rFonts w:ascii="Arial"/>
                <w:spacing w:val="-7"/>
                <w:w w:val="105"/>
                <w:sz w:val="16"/>
              </w:rPr>
              <w:t xml:space="preserve"> </w:t>
            </w:r>
            <w:r w:rsidRPr="00EB2BD8">
              <w:rPr>
                <w:rFonts w:ascii="Arial"/>
                <w:w w:val="105"/>
                <w:sz w:val="16"/>
              </w:rPr>
              <w:t>fair</w:t>
            </w:r>
            <w:r w:rsidRPr="00EB2BD8">
              <w:rPr>
                <w:rFonts w:ascii="Arial"/>
                <w:spacing w:val="-7"/>
                <w:w w:val="105"/>
                <w:sz w:val="16"/>
              </w:rPr>
              <w:t xml:space="preserve"> </w:t>
            </w:r>
            <w:r w:rsidRPr="00EB2BD8">
              <w:rPr>
                <w:rFonts w:ascii="Arial"/>
                <w:w w:val="105"/>
                <w:sz w:val="16"/>
              </w:rPr>
              <w:t xml:space="preserve">value: </w:t>
            </w:r>
            <w:r w:rsidRPr="00EB2BD8">
              <w:rPr>
                <w:rFonts w:ascii="Arial"/>
                <w:spacing w:val="-2"/>
                <w:w w:val="105"/>
                <w:sz w:val="16"/>
              </w:rPr>
              <w:t>Vehicles</w:t>
            </w:r>
            <w:r w:rsidRPr="00EB2BD8">
              <w:rPr>
                <w:rFonts w:ascii="Arial"/>
                <w:spacing w:val="-2"/>
                <w:w w:val="105"/>
                <w:position w:val="6"/>
                <w:sz w:val="11"/>
              </w:rPr>
              <w:t>(b)</w:t>
            </w:r>
          </w:p>
          <w:p w14:paraId="55C5EBC7" w14:textId="77777777" w:rsidR="00D0600F" w:rsidRPr="00EB2BD8" w:rsidRDefault="00D0600F" w:rsidP="00D0600F">
            <w:pPr>
              <w:pStyle w:val="TableParagraph"/>
              <w:spacing w:before="26"/>
              <w:ind w:left="105"/>
              <w:rPr>
                <w:rFonts w:ascii="Arial"/>
                <w:sz w:val="16"/>
              </w:rPr>
            </w:pPr>
            <w:r w:rsidRPr="00EB2BD8">
              <w:rPr>
                <w:rFonts w:ascii="Arial"/>
                <w:w w:val="105"/>
                <w:sz w:val="16"/>
              </w:rPr>
              <w:t>Plant</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spacing w:val="-2"/>
                <w:w w:val="105"/>
                <w:sz w:val="16"/>
              </w:rPr>
              <w:t>equipment</w:t>
            </w:r>
          </w:p>
        </w:tc>
        <w:tc>
          <w:tcPr>
            <w:tcW w:w="1308" w:type="dxa"/>
            <w:tcBorders>
              <w:top w:val="single" w:sz="12" w:space="0" w:color="000000"/>
              <w:left w:val="nil"/>
              <w:bottom w:val="single" w:sz="12" w:space="0" w:color="000000"/>
              <w:right w:val="nil"/>
            </w:tcBorders>
            <w:shd w:val="clear" w:color="auto" w:fill="DEEAF6"/>
          </w:tcPr>
          <w:p w14:paraId="24F319BF" w14:textId="77777777" w:rsidR="00D0600F" w:rsidRPr="00EB2BD8" w:rsidRDefault="00D0600F" w:rsidP="00D0600F">
            <w:pPr>
              <w:pStyle w:val="TableParagraph"/>
              <w:rPr>
                <w:rFonts w:ascii="Arial"/>
                <w:sz w:val="18"/>
              </w:rPr>
            </w:pPr>
          </w:p>
          <w:p w14:paraId="1D2F6FCF" w14:textId="77777777" w:rsidR="00D0600F" w:rsidRPr="00EB2BD8" w:rsidRDefault="00D0600F" w:rsidP="00D0600F">
            <w:pPr>
              <w:pStyle w:val="TableParagraph"/>
              <w:spacing w:before="150"/>
              <w:ind w:right="197"/>
              <w:jc w:val="right"/>
              <w:rPr>
                <w:rFonts w:ascii="Arial"/>
                <w:sz w:val="16"/>
              </w:rPr>
            </w:pPr>
            <w:r w:rsidRPr="00EB2BD8">
              <w:rPr>
                <w:rFonts w:ascii="Arial"/>
                <w:spacing w:val="-2"/>
                <w:w w:val="105"/>
                <w:sz w:val="16"/>
              </w:rPr>
              <w:t>2,155</w:t>
            </w:r>
          </w:p>
          <w:p w14:paraId="3FE10D40" w14:textId="77777777" w:rsidR="00D0600F" w:rsidRPr="00EB2BD8" w:rsidRDefault="00D0600F" w:rsidP="00D0600F">
            <w:pPr>
              <w:pStyle w:val="TableParagraph"/>
              <w:spacing w:before="133"/>
              <w:ind w:right="197"/>
              <w:jc w:val="right"/>
              <w:rPr>
                <w:rFonts w:ascii="Arial"/>
                <w:sz w:val="16"/>
              </w:rPr>
            </w:pPr>
            <w:r w:rsidRPr="00EB2BD8">
              <w:rPr>
                <w:rFonts w:ascii="Arial"/>
                <w:spacing w:val="-5"/>
                <w:w w:val="105"/>
                <w:sz w:val="16"/>
              </w:rPr>
              <w:t>349</w:t>
            </w:r>
          </w:p>
        </w:tc>
        <w:tc>
          <w:tcPr>
            <w:tcW w:w="1192" w:type="dxa"/>
            <w:tcBorders>
              <w:top w:val="single" w:sz="12" w:space="0" w:color="000000"/>
              <w:left w:val="nil"/>
              <w:bottom w:val="single" w:sz="12" w:space="0" w:color="000000"/>
              <w:right w:val="nil"/>
            </w:tcBorders>
            <w:shd w:val="clear" w:color="auto" w:fill="DEEAF6"/>
          </w:tcPr>
          <w:p w14:paraId="37C61ACE" w14:textId="77777777" w:rsidR="00D0600F" w:rsidRPr="00EB2BD8" w:rsidRDefault="00D0600F" w:rsidP="00D0600F">
            <w:pPr>
              <w:pStyle w:val="TableParagraph"/>
              <w:rPr>
                <w:rFonts w:ascii="Arial"/>
                <w:sz w:val="18"/>
              </w:rPr>
            </w:pPr>
          </w:p>
          <w:p w14:paraId="45FF2069" w14:textId="77777777" w:rsidR="00D0600F" w:rsidRPr="00EB2BD8" w:rsidRDefault="00D0600F" w:rsidP="00D0600F">
            <w:pPr>
              <w:pStyle w:val="TableParagraph"/>
              <w:spacing w:before="150"/>
              <w:ind w:right="275"/>
              <w:jc w:val="right"/>
              <w:rPr>
                <w:rFonts w:ascii="Arial"/>
                <w:sz w:val="16"/>
              </w:rPr>
            </w:pPr>
            <w:r w:rsidRPr="00EB2BD8">
              <w:rPr>
                <w:rFonts w:ascii="Arial"/>
                <w:w w:val="104"/>
                <w:sz w:val="16"/>
              </w:rPr>
              <w:t>-</w:t>
            </w:r>
          </w:p>
          <w:p w14:paraId="678B323C" w14:textId="77777777" w:rsidR="00D0600F" w:rsidRPr="00EB2BD8" w:rsidRDefault="00D0600F" w:rsidP="00D0600F">
            <w:pPr>
              <w:pStyle w:val="TableParagraph"/>
              <w:spacing w:before="133"/>
              <w:ind w:right="275"/>
              <w:jc w:val="right"/>
              <w:rPr>
                <w:rFonts w:ascii="Arial"/>
                <w:sz w:val="16"/>
              </w:rPr>
            </w:pPr>
            <w:r w:rsidRPr="00EB2BD8">
              <w:rPr>
                <w:rFonts w:ascii="Arial"/>
                <w:w w:val="104"/>
                <w:sz w:val="16"/>
              </w:rPr>
              <w:t>-</w:t>
            </w:r>
          </w:p>
        </w:tc>
        <w:tc>
          <w:tcPr>
            <w:tcW w:w="1231" w:type="dxa"/>
            <w:tcBorders>
              <w:top w:val="single" w:sz="12" w:space="0" w:color="000000"/>
              <w:left w:val="nil"/>
              <w:bottom w:val="single" w:sz="12" w:space="0" w:color="000000"/>
              <w:right w:val="nil"/>
            </w:tcBorders>
            <w:shd w:val="clear" w:color="auto" w:fill="DEEAF6"/>
          </w:tcPr>
          <w:p w14:paraId="62131CAF" w14:textId="77777777" w:rsidR="00D0600F" w:rsidRPr="00EB2BD8" w:rsidRDefault="00D0600F" w:rsidP="00D0600F">
            <w:pPr>
              <w:pStyle w:val="TableParagraph"/>
              <w:rPr>
                <w:rFonts w:ascii="Arial"/>
                <w:sz w:val="18"/>
              </w:rPr>
            </w:pPr>
          </w:p>
          <w:p w14:paraId="12404D34" w14:textId="77777777" w:rsidR="00D0600F" w:rsidRPr="00EB2BD8" w:rsidRDefault="00D0600F" w:rsidP="00D0600F">
            <w:pPr>
              <w:pStyle w:val="TableParagraph"/>
              <w:spacing w:before="150"/>
              <w:ind w:right="236"/>
              <w:jc w:val="right"/>
              <w:rPr>
                <w:rFonts w:ascii="Arial"/>
                <w:sz w:val="16"/>
              </w:rPr>
            </w:pPr>
            <w:r w:rsidRPr="00EB2BD8">
              <w:rPr>
                <w:rFonts w:ascii="Arial"/>
                <w:w w:val="104"/>
                <w:sz w:val="16"/>
              </w:rPr>
              <w:t>-</w:t>
            </w:r>
          </w:p>
          <w:p w14:paraId="47DE7F62" w14:textId="77777777" w:rsidR="00D0600F" w:rsidRPr="00EB2BD8" w:rsidRDefault="00D0600F" w:rsidP="00D0600F">
            <w:pPr>
              <w:pStyle w:val="TableParagraph"/>
              <w:spacing w:before="133"/>
              <w:ind w:right="236"/>
              <w:jc w:val="right"/>
              <w:rPr>
                <w:rFonts w:ascii="Arial"/>
                <w:sz w:val="16"/>
              </w:rPr>
            </w:pPr>
            <w:r w:rsidRPr="00EB2BD8">
              <w:rPr>
                <w:rFonts w:ascii="Arial"/>
                <w:w w:val="104"/>
                <w:sz w:val="16"/>
              </w:rPr>
              <w:t>-</w:t>
            </w:r>
          </w:p>
        </w:tc>
        <w:tc>
          <w:tcPr>
            <w:tcW w:w="1051" w:type="dxa"/>
            <w:tcBorders>
              <w:top w:val="single" w:sz="12" w:space="0" w:color="000000"/>
              <w:left w:val="nil"/>
              <w:bottom w:val="single" w:sz="12" w:space="0" w:color="000000"/>
              <w:right w:val="nil"/>
            </w:tcBorders>
            <w:shd w:val="clear" w:color="auto" w:fill="DEEAF6"/>
          </w:tcPr>
          <w:p w14:paraId="3DC9B4FC" w14:textId="77777777" w:rsidR="00D0600F" w:rsidRPr="00EB2BD8" w:rsidRDefault="00D0600F" w:rsidP="00D0600F">
            <w:pPr>
              <w:pStyle w:val="TableParagraph"/>
              <w:rPr>
                <w:rFonts w:ascii="Arial"/>
                <w:sz w:val="18"/>
              </w:rPr>
            </w:pPr>
          </w:p>
          <w:p w14:paraId="7E30EDFA" w14:textId="77777777" w:rsidR="00D0600F" w:rsidRPr="00EB2BD8" w:rsidRDefault="00D0600F" w:rsidP="00D0600F">
            <w:pPr>
              <w:pStyle w:val="TableParagraph"/>
              <w:spacing w:before="150"/>
              <w:ind w:right="98"/>
              <w:jc w:val="right"/>
              <w:rPr>
                <w:rFonts w:ascii="Arial"/>
                <w:sz w:val="16"/>
              </w:rPr>
            </w:pPr>
            <w:r w:rsidRPr="00EB2BD8">
              <w:rPr>
                <w:rFonts w:ascii="Arial"/>
                <w:spacing w:val="-2"/>
                <w:w w:val="105"/>
                <w:sz w:val="16"/>
              </w:rPr>
              <w:t>2,155</w:t>
            </w:r>
          </w:p>
          <w:p w14:paraId="36268622" w14:textId="77777777" w:rsidR="00D0600F" w:rsidRPr="00EB2BD8" w:rsidRDefault="00D0600F" w:rsidP="00D0600F">
            <w:pPr>
              <w:pStyle w:val="TableParagraph"/>
              <w:spacing w:before="133"/>
              <w:ind w:right="98"/>
              <w:jc w:val="right"/>
              <w:rPr>
                <w:rFonts w:ascii="Arial"/>
                <w:sz w:val="16"/>
              </w:rPr>
            </w:pPr>
            <w:r w:rsidRPr="00EB2BD8">
              <w:rPr>
                <w:rFonts w:ascii="Arial"/>
                <w:spacing w:val="-5"/>
                <w:w w:val="105"/>
                <w:sz w:val="16"/>
              </w:rPr>
              <w:t>349</w:t>
            </w:r>
          </w:p>
        </w:tc>
      </w:tr>
      <w:tr w:rsidR="00D0600F" w:rsidRPr="00EB2BD8" w14:paraId="7ECD1CF0" w14:textId="77777777" w:rsidTr="00D0600F">
        <w:trPr>
          <w:trHeight w:val="286"/>
        </w:trPr>
        <w:tc>
          <w:tcPr>
            <w:tcW w:w="4614" w:type="dxa"/>
            <w:tcBorders>
              <w:top w:val="single" w:sz="12" w:space="0" w:color="000000"/>
              <w:left w:val="nil"/>
              <w:bottom w:val="single" w:sz="12" w:space="0" w:color="000000"/>
              <w:right w:val="nil"/>
            </w:tcBorders>
            <w:shd w:val="clear" w:color="auto" w:fill="DEEAF6"/>
          </w:tcPr>
          <w:p w14:paraId="089E55E4" w14:textId="77777777" w:rsidR="00D0600F" w:rsidRPr="00EB2BD8" w:rsidRDefault="00D0600F" w:rsidP="00D0600F">
            <w:pPr>
              <w:pStyle w:val="TableParagraph"/>
              <w:spacing w:before="54"/>
              <w:ind w:left="105"/>
              <w:rPr>
                <w:rFonts w:ascii="Arial"/>
                <w:b/>
                <w:sz w:val="16"/>
              </w:rPr>
            </w:pPr>
            <w:r w:rsidRPr="00EB2BD8">
              <w:rPr>
                <w:rFonts w:ascii="Arial"/>
                <w:b/>
                <w:w w:val="105"/>
                <w:sz w:val="16"/>
              </w:rPr>
              <w:t>Total</w:t>
            </w:r>
            <w:r w:rsidRPr="00EB2BD8">
              <w:rPr>
                <w:rFonts w:ascii="Arial"/>
                <w:b/>
                <w:spacing w:val="-7"/>
                <w:w w:val="105"/>
                <w:sz w:val="16"/>
              </w:rPr>
              <w:t xml:space="preserve"> </w:t>
            </w:r>
            <w:r w:rsidRPr="00EB2BD8">
              <w:rPr>
                <w:rFonts w:ascii="Arial"/>
                <w:b/>
                <w:w w:val="105"/>
                <w:sz w:val="16"/>
              </w:rPr>
              <w:t>plant,</w:t>
            </w:r>
            <w:r w:rsidRPr="00EB2BD8">
              <w:rPr>
                <w:rFonts w:ascii="Arial"/>
                <w:b/>
                <w:spacing w:val="-6"/>
                <w:w w:val="105"/>
                <w:sz w:val="16"/>
              </w:rPr>
              <w:t xml:space="preserve"> </w:t>
            </w:r>
            <w:r w:rsidRPr="00EB2BD8">
              <w:rPr>
                <w:rFonts w:ascii="Arial"/>
                <w:b/>
                <w:w w:val="105"/>
                <w:sz w:val="16"/>
              </w:rPr>
              <w:t>equipment</w:t>
            </w:r>
            <w:r w:rsidRPr="00EB2BD8">
              <w:rPr>
                <w:rFonts w:ascii="Arial"/>
                <w:b/>
                <w:spacing w:val="-7"/>
                <w:w w:val="105"/>
                <w:sz w:val="16"/>
              </w:rPr>
              <w:t xml:space="preserve"> </w:t>
            </w:r>
            <w:r w:rsidRPr="00EB2BD8">
              <w:rPr>
                <w:rFonts w:ascii="Arial"/>
                <w:b/>
                <w:w w:val="105"/>
                <w:sz w:val="16"/>
              </w:rPr>
              <w:t>and</w:t>
            </w:r>
            <w:r w:rsidRPr="00EB2BD8">
              <w:rPr>
                <w:rFonts w:ascii="Arial"/>
                <w:b/>
                <w:spacing w:val="-7"/>
                <w:w w:val="105"/>
                <w:sz w:val="16"/>
              </w:rPr>
              <w:t xml:space="preserve"> </w:t>
            </w:r>
            <w:r w:rsidRPr="00EB2BD8">
              <w:rPr>
                <w:rFonts w:ascii="Arial"/>
                <w:b/>
                <w:w w:val="105"/>
                <w:sz w:val="16"/>
              </w:rPr>
              <w:t>vehicles</w:t>
            </w:r>
            <w:r w:rsidRPr="00EB2BD8">
              <w:rPr>
                <w:rFonts w:ascii="Arial"/>
                <w:b/>
                <w:spacing w:val="-6"/>
                <w:w w:val="105"/>
                <w:sz w:val="16"/>
              </w:rPr>
              <w:t xml:space="preserve"> </w:t>
            </w:r>
            <w:r w:rsidRPr="00EB2BD8">
              <w:rPr>
                <w:rFonts w:ascii="Arial"/>
                <w:b/>
                <w:w w:val="105"/>
                <w:sz w:val="16"/>
              </w:rPr>
              <w:t>at</w:t>
            </w:r>
            <w:r w:rsidRPr="00EB2BD8">
              <w:rPr>
                <w:rFonts w:ascii="Arial"/>
                <w:b/>
                <w:spacing w:val="-7"/>
                <w:w w:val="105"/>
                <w:sz w:val="16"/>
              </w:rPr>
              <w:t xml:space="preserve"> </w:t>
            </w:r>
            <w:r w:rsidRPr="00EB2BD8">
              <w:rPr>
                <w:rFonts w:ascii="Arial"/>
                <w:b/>
                <w:w w:val="105"/>
                <w:sz w:val="16"/>
              </w:rPr>
              <w:t>fair</w:t>
            </w:r>
            <w:r w:rsidRPr="00EB2BD8">
              <w:rPr>
                <w:rFonts w:ascii="Arial"/>
                <w:b/>
                <w:spacing w:val="-6"/>
                <w:w w:val="105"/>
                <w:sz w:val="16"/>
              </w:rPr>
              <w:t xml:space="preserve"> </w:t>
            </w:r>
            <w:r w:rsidRPr="00EB2BD8">
              <w:rPr>
                <w:rFonts w:ascii="Arial"/>
                <w:b/>
                <w:spacing w:val="-4"/>
                <w:w w:val="105"/>
                <w:sz w:val="16"/>
              </w:rPr>
              <w:t>value</w:t>
            </w:r>
          </w:p>
        </w:tc>
        <w:tc>
          <w:tcPr>
            <w:tcW w:w="1308" w:type="dxa"/>
            <w:tcBorders>
              <w:top w:val="single" w:sz="12" w:space="0" w:color="000000"/>
              <w:left w:val="nil"/>
              <w:bottom w:val="single" w:sz="12" w:space="0" w:color="000000"/>
              <w:right w:val="nil"/>
            </w:tcBorders>
            <w:shd w:val="clear" w:color="auto" w:fill="DEEAF6"/>
          </w:tcPr>
          <w:p w14:paraId="3D51CAFE" w14:textId="77777777" w:rsidR="00D0600F" w:rsidRPr="00EB2BD8" w:rsidRDefault="00D0600F" w:rsidP="00D0600F">
            <w:pPr>
              <w:pStyle w:val="TableParagraph"/>
              <w:spacing w:before="54"/>
              <w:ind w:right="197"/>
              <w:jc w:val="right"/>
              <w:rPr>
                <w:rFonts w:ascii="Arial"/>
                <w:b/>
                <w:sz w:val="16"/>
              </w:rPr>
            </w:pPr>
            <w:r w:rsidRPr="00EB2BD8">
              <w:rPr>
                <w:rFonts w:ascii="Arial"/>
                <w:b/>
                <w:spacing w:val="-2"/>
                <w:w w:val="105"/>
                <w:sz w:val="16"/>
              </w:rPr>
              <w:t>2,504</w:t>
            </w:r>
          </w:p>
        </w:tc>
        <w:tc>
          <w:tcPr>
            <w:tcW w:w="1192" w:type="dxa"/>
            <w:tcBorders>
              <w:top w:val="single" w:sz="12" w:space="0" w:color="000000"/>
              <w:left w:val="nil"/>
              <w:bottom w:val="single" w:sz="12" w:space="0" w:color="000000"/>
              <w:right w:val="nil"/>
            </w:tcBorders>
            <w:shd w:val="clear" w:color="auto" w:fill="DEEAF6"/>
          </w:tcPr>
          <w:p w14:paraId="05E550D6" w14:textId="77777777" w:rsidR="00D0600F" w:rsidRPr="00EB2BD8" w:rsidRDefault="00D0600F" w:rsidP="00D0600F">
            <w:pPr>
              <w:pStyle w:val="TableParagraph"/>
              <w:spacing w:before="54"/>
              <w:ind w:right="275"/>
              <w:jc w:val="right"/>
              <w:rPr>
                <w:rFonts w:ascii="Arial"/>
                <w:b/>
                <w:sz w:val="16"/>
              </w:rPr>
            </w:pPr>
            <w:r w:rsidRPr="00EB2BD8">
              <w:rPr>
                <w:rFonts w:ascii="Arial"/>
                <w:b/>
                <w:w w:val="104"/>
                <w:sz w:val="16"/>
              </w:rPr>
              <w:t>-</w:t>
            </w:r>
          </w:p>
        </w:tc>
        <w:tc>
          <w:tcPr>
            <w:tcW w:w="1231" w:type="dxa"/>
            <w:tcBorders>
              <w:top w:val="single" w:sz="12" w:space="0" w:color="000000"/>
              <w:left w:val="nil"/>
              <w:bottom w:val="single" w:sz="12" w:space="0" w:color="000000"/>
              <w:right w:val="nil"/>
            </w:tcBorders>
            <w:shd w:val="clear" w:color="auto" w:fill="DEEAF6"/>
          </w:tcPr>
          <w:p w14:paraId="495ADE0F" w14:textId="77777777" w:rsidR="00D0600F" w:rsidRPr="00EB2BD8" w:rsidRDefault="00D0600F" w:rsidP="00D0600F">
            <w:pPr>
              <w:pStyle w:val="TableParagraph"/>
              <w:spacing w:before="54"/>
              <w:ind w:right="236"/>
              <w:jc w:val="right"/>
              <w:rPr>
                <w:rFonts w:ascii="Arial"/>
                <w:b/>
                <w:sz w:val="16"/>
              </w:rPr>
            </w:pPr>
            <w:r w:rsidRPr="00EB2BD8">
              <w:rPr>
                <w:rFonts w:ascii="Arial"/>
                <w:b/>
                <w:w w:val="104"/>
                <w:sz w:val="16"/>
              </w:rPr>
              <w:t>-</w:t>
            </w:r>
          </w:p>
        </w:tc>
        <w:tc>
          <w:tcPr>
            <w:tcW w:w="1051" w:type="dxa"/>
            <w:tcBorders>
              <w:top w:val="single" w:sz="12" w:space="0" w:color="000000"/>
              <w:left w:val="nil"/>
              <w:bottom w:val="single" w:sz="12" w:space="0" w:color="000000"/>
              <w:right w:val="nil"/>
            </w:tcBorders>
            <w:shd w:val="clear" w:color="auto" w:fill="DEEAF6"/>
          </w:tcPr>
          <w:p w14:paraId="3E05C7C1" w14:textId="77777777" w:rsidR="00D0600F" w:rsidRPr="00EB2BD8" w:rsidRDefault="00D0600F" w:rsidP="00D0600F">
            <w:pPr>
              <w:pStyle w:val="TableParagraph"/>
              <w:spacing w:before="54"/>
              <w:ind w:right="98"/>
              <w:jc w:val="right"/>
              <w:rPr>
                <w:rFonts w:ascii="Arial"/>
                <w:b/>
                <w:sz w:val="16"/>
              </w:rPr>
            </w:pPr>
            <w:r w:rsidRPr="00EB2BD8">
              <w:rPr>
                <w:rFonts w:ascii="Arial"/>
                <w:b/>
                <w:spacing w:val="-2"/>
                <w:w w:val="105"/>
                <w:sz w:val="16"/>
              </w:rPr>
              <w:t>2,504</w:t>
            </w:r>
          </w:p>
        </w:tc>
      </w:tr>
    </w:tbl>
    <w:p w14:paraId="338D85EB" w14:textId="5A52D41C" w:rsidR="00084F36" w:rsidRPr="00EB2BD8" w:rsidRDefault="00A0358F">
      <w:pPr>
        <w:pStyle w:val="BodyText"/>
        <w:rPr>
          <w:rFonts w:ascii="Arial"/>
          <w:sz w:val="20"/>
        </w:rPr>
      </w:pPr>
      <w:r>
        <w:rPr>
          <w:rFonts w:ascii="Arial"/>
          <w:sz w:val="20"/>
        </w:rPr>
        <w:br w:type="textWrapping" w:clear="all"/>
      </w:r>
    </w:p>
    <w:p w14:paraId="57576A73" w14:textId="4E96714D" w:rsidR="00084F36" w:rsidRPr="00EB2BD8" w:rsidRDefault="00084F36">
      <w:pPr>
        <w:pStyle w:val="BodyText"/>
        <w:rPr>
          <w:rFonts w:ascii="Arial"/>
          <w:sz w:val="20"/>
        </w:rPr>
      </w:pPr>
    </w:p>
    <w:p w14:paraId="4F9BB510" w14:textId="59FB041A" w:rsidR="00084F36" w:rsidRPr="00EB2BD8" w:rsidRDefault="00084F36">
      <w:pPr>
        <w:pStyle w:val="BodyText"/>
        <w:rPr>
          <w:rFonts w:ascii="Arial"/>
          <w:sz w:val="20"/>
        </w:rPr>
      </w:pPr>
    </w:p>
    <w:p w14:paraId="237E073F" w14:textId="54B7484B" w:rsidR="00084F36" w:rsidRPr="00EB2BD8" w:rsidRDefault="00084F36">
      <w:pPr>
        <w:pStyle w:val="BodyText"/>
        <w:spacing w:before="5"/>
        <w:rPr>
          <w:rFonts w:ascii="Arial"/>
          <w:sz w:val="19"/>
        </w:rPr>
      </w:pPr>
    </w:p>
    <w:p w14:paraId="34E8CCF6" w14:textId="77777777" w:rsidR="00084F36" w:rsidRPr="00EB2BD8" w:rsidRDefault="00084F36">
      <w:pPr>
        <w:pStyle w:val="BodyText"/>
        <w:spacing w:before="11"/>
        <w:rPr>
          <w:rFonts w:ascii="Arial"/>
          <w:sz w:val="2"/>
        </w:rPr>
      </w:pPr>
    </w:p>
    <w:tbl>
      <w:tblPr>
        <w:tblW w:w="0" w:type="auto"/>
        <w:tblInd w:w="1022" w:type="dxa"/>
        <w:tblLayout w:type="fixed"/>
        <w:tblCellMar>
          <w:left w:w="0" w:type="dxa"/>
          <w:right w:w="0" w:type="dxa"/>
        </w:tblCellMar>
        <w:tblLook w:val="01E0" w:firstRow="1" w:lastRow="1" w:firstColumn="1" w:lastColumn="1" w:noHBand="0" w:noVBand="0"/>
      </w:tblPr>
      <w:tblGrid>
        <w:gridCol w:w="4790"/>
        <w:gridCol w:w="1133"/>
        <w:gridCol w:w="1192"/>
        <w:gridCol w:w="1231"/>
        <w:gridCol w:w="1051"/>
      </w:tblGrid>
      <w:tr w:rsidR="00F007BF" w:rsidRPr="00EB2BD8" w14:paraId="7450841E" w14:textId="77777777" w:rsidTr="004E3976">
        <w:trPr>
          <w:trHeight w:val="243"/>
        </w:trPr>
        <w:tc>
          <w:tcPr>
            <w:tcW w:w="5923" w:type="dxa"/>
            <w:gridSpan w:val="2"/>
            <w:shd w:val="clear" w:color="auto" w:fill="FFFFFF"/>
          </w:tcPr>
          <w:p w14:paraId="7299816D" w14:textId="123B9673" w:rsidR="00F007BF" w:rsidRPr="00F007BF" w:rsidRDefault="00F007BF" w:rsidP="00F007BF">
            <w:pPr>
              <w:pStyle w:val="TableParagraph"/>
              <w:tabs>
                <w:tab w:val="left" w:pos="4830"/>
              </w:tabs>
              <w:rPr>
                <w:rFonts w:ascii="Arial" w:hAnsi="Arial" w:cs="Arial"/>
                <w:b/>
                <w:bCs/>
                <w:sz w:val="16"/>
              </w:rPr>
            </w:pPr>
            <w:r w:rsidRPr="00F007BF">
              <w:rPr>
                <w:rFonts w:ascii="Arial" w:hAnsi="Arial" w:cs="Arial"/>
                <w:b/>
                <w:bCs/>
                <w:sz w:val="16"/>
              </w:rPr>
              <w:t>2022</w:t>
            </w:r>
          </w:p>
        </w:tc>
        <w:tc>
          <w:tcPr>
            <w:tcW w:w="3474" w:type="dxa"/>
            <w:gridSpan w:val="3"/>
            <w:shd w:val="clear" w:color="auto" w:fill="FFFFFF"/>
          </w:tcPr>
          <w:p w14:paraId="156C29E5" w14:textId="77777777" w:rsidR="00F007BF" w:rsidRPr="00A544BE" w:rsidRDefault="00F007BF" w:rsidP="00F007BF">
            <w:pPr>
              <w:spacing w:line="252" w:lineRule="auto"/>
              <w:ind w:left="411" w:hanging="412"/>
              <w:rPr>
                <w:rFonts w:ascii="Arial"/>
                <w:b/>
                <w:color w:val="000000" w:themeColor="text1"/>
                <w:sz w:val="16"/>
              </w:rPr>
            </w:pPr>
            <w:r w:rsidRPr="00A544BE">
              <w:rPr>
                <w:rFonts w:ascii="Arial"/>
                <w:b/>
                <w:color w:val="000000" w:themeColor="text1"/>
                <w:w w:val="105"/>
                <w:sz w:val="16"/>
              </w:rPr>
              <w:t>Fair</w:t>
            </w:r>
            <w:r w:rsidRPr="00A544BE">
              <w:rPr>
                <w:rFonts w:ascii="Arial"/>
                <w:b/>
                <w:color w:val="000000" w:themeColor="text1"/>
                <w:spacing w:val="-8"/>
                <w:w w:val="105"/>
                <w:sz w:val="16"/>
              </w:rPr>
              <w:t xml:space="preserve"> </w:t>
            </w:r>
            <w:r w:rsidRPr="00A544BE">
              <w:rPr>
                <w:rFonts w:ascii="Arial"/>
                <w:b/>
                <w:color w:val="000000" w:themeColor="text1"/>
                <w:w w:val="105"/>
                <w:sz w:val="16"/>
              </w:rPr>
              <w:t>value</w:t>
            </w:r>
            <w:r w:rsidRPr="00A544BE">
              <w:rPr>
                <w:rFonts w:ascii="Arial"/>
                <w:b/>
                <w:color w:val="000000" w:themeColor="text1"/>
                <w:spacing w:val="-8"/>
                <w:w w:val="105"/>
                <w:sz w:val="16"/>
              </w:rPr>
              <w:t xml:space="preserve"> </w:t>
            </w:r>
            <w:r w:rsidRPr="00A544BE">
              <w:rPr>
                <w:rFonts w:ascii="Arial"/>
                <w:b/>
                <w:color w:val="000000" w:themeColor="text1"/>
                <w:w w:val="105"/>
                <w:sz w:val="16"/>
              </w:rPr>
              <w:t>measurement</w:t>
            </w:r>
            <w:r w:rsidRPr="00A544BE">
              <w:rPr>
                <w:rFonts w:ascii="Arial"/>
                <w:b/>
                <w:color w:val="000000" w:themeColor="text1"/>
                <w:spacing w:val="-8"/>
                <w:w w:val="105"/>
                <w:sz w:val="16"/>
              </w:rPr>
              <w:t xml:space="preserve"> </w:t>
            </w:r>
            <w:r w:rsidRPr="00A544BE">
              <w:rPr>
                <w:rFonts w:ascii="Arial"/>
                <w:b/>
                <w:color w:val="000000" w:themeColor="text1"/>
                <w:w w:val="105"/>
                <w:sz w:val="16"/>
              </w:rPr>
              <w:t>at</w:t>
            </w:r>
            <w:r w:rsidRPr="00A544BE">
              <w:rPr>
                <w:rFonts w:ascii="Arial"/>
                <w:b/>
                <w:color w:val="000000" w:themeColor="text1"/>
                <w:spacing w:val="-8"/>
                <w:w w:val="105"/>
                <w:sz w:val="16"/>
              </w:rPr>
              <w:t xml:space="preserve"> </w:t>
            </w:r>
            <w:r w:rsidRPr="00A544BE">
              <w:rPr>
                <w:rFonts w:ascii="Arial"/>
                <w:b/>
                <w:color w:val="000000" w:themeColor="text1"/>
                <w:w w:val="105"/>
                <w:sz w:val="16"/>
              </w:rPr>
              <w:t>end</w:t>
            </w:r>
            <w:r w:rsidRPr="00A544BE">
              <w:rPr>
                <w:rFonts w:ascii="Arial"/>
                <w:b/>
                <w:color w:val="000000" w:themeColor="text1"/>
                <w:spacing w:val="-7"/>
                <w:w w:val="105"/>
                <w:sz w:val="16"/>
              </w:rPr>
              <w:t xml:space="preserve"> </w:t>
            </w:r>
            <w:r w:rsidRPr="00A544BE">
              <w:rPr>
                <w:rFonts w:ascii="Arial"/>
                <w:b/>
                <w:color w:val="000000" w:themeColor="text1"/>
                <w:w w:val="105"/>
                <w:sz w:val="16"/>
              </w:rPr>
              <w:t>of reporting period using:</w:t>
            </w:r>
          </w:p>
          <w:p w14:paraId="29210F31" w14:textId="77777777" w:rsidR="00F007BF" w:rsidRPr="00EB2BD8" w:rsidRDefault="00F007BF">
            <w:pPr>
              <w:pStyle w:val="TableParagraph"/>
              <w:spacing w:line="191" w:lineRule="exact"/>
              <w:ind w:right="102"/>
              <w:jc w:val="right"/>
              <w:rPr>
                <w:rFonts w:ascii="Arial"/>
                <w:b/>
                <w:w w:val="105"/>
                <w:sz w:val="16"/>
              </w:rPr>
            </w:pPr>
          </w:p>
        </w:tc>
      </w:tr>
      <w:tr w:rsidR="00EB2BD8" w:rsidRPr="00EB2BD8" w14:paraId="3D90B604" w14:textId="77777777">
        <w:trPr>
          <w:trHeight w:val="243"/>
        </w:trPr>
        <w:tc>
          <w:tcPr>
            <w:tcW w:w="5923" w:type="dxa"/>
            <w:gridSpan w:val="2"/>
            <w:shd w:val="clear" w:color="auto" w:fill="FFFFFF"/>
          </w:tcPr>
          <w:p w14:paraId="620BC15F" w14:textId="77777777" w:rsidR="00084F36" w:rsidRPr="00EB2BD8" w:rsidRDefault="00084F36">
            <w:pPr>
              <w:pStyle w:val="TableParagraph"/>
              <w:rPr>
                <w:rFonts w:ascii="Times New Roman"/>
                <w:sz w:val="16"/>
              </w:rPr>
            </w:pPr>
          </w:p>
        </w:tc>
        <w:tc>
          <w:tcPr>
            <w:tcW w:w="1192" w:type="dxa"/>
            <w:shd w:val="clear" w:color="auto" w:fill="FFFFFF"/>
          </w:tcPr>
          <w:p w14:paraId="780648B4" w14:textId="77777777" w:rsidR="00084F36" w:rsidRPr="00EB2BD8" w:rsidRDefault="00EB2BD8">
            <w:pPr>
              <w:pStyle w:val="TableParagraph"/>
              <w:spacing w:line="191" w:lineRule="exact"/>
              <w:ind w:right="281"/>
              <w:jc w:val="right"/>
              <w:rPr>
                <w:rFonts w:ascii="Arial"/>
                <w:b/>
                <w:sz w:val="11"/>
              </w:rPr>
            </w:pPr>
            <w:r w:rsidRPr="00EB2BD8">
              <w:rPr>
                <w:rFonts w:ascii="Arial"/>
                <w:b/>
                <w:w w:val="105"/>
                <w:sz w:val="16"/>
              </w:rPr>
              <w:t>Level</w:t>
            </w:r>
            <w:r w:rsidRPr="00EB2BD8">
              <w:rPr>
                <w:rFonts w:ascii="Arial"/>
                <w:b/>
                <w:spacing w:val="-7"/>
                <w:w w:val="105"/>
                <w:sz w:val="16"/>
              </w:rPr>
              <w:t xml:space="preserve"> </w:t>
            </w:r>
            <w:r w:rsidRPr="00EB2BD8">
              <w:rPr>
                <w:rFonts w:ascii="Arial"/>
                <w:b/>
                <w:spacing w:val="-4"/>
                <w:w w:val="105"/>
                <w:sz w:val="16"/>
              </w:rPr>
              <w:t>1</w:t>
            </w:r>
            <w:r w:rsidRPr="00EB2BD8">
              <w:rPr>
                <w:rFonts w:ascii="Arial"/>
                <w:b/>
                <w:spacing w:val="-4"/>
                <w:w w:val="105"/>
                <w:position w:val="6"/>
                <w:sz w:val="11"/>
              </w:rPr>
              <w:t>(a)</w:t>
            </w:r>
          </w:p>
        </w:tc>
        <w:tc>
          <w:tcPr>
            <w:tcW w:w="1231" w:type="dxa"/>
            <w:shd w:val="clear" w:color="auto" w:fill="FFFFFF"/>
          </w:tcPr>
          <w:p w14:paraId="24201083" w14:textId="77777777" w:rsidR="00084F36" w:rsidRPr="00EB2BD8" w:rsidRDefault="00EB2BD8">
            <w:pPr>
              <w:pStyle w:val="TableParagraph"/>
              <w:spacing w:line="191" w:lineRule="exact"/>
              <w:ind w:right="242"/>
              <w:jc w:val="right"/>
              <w:rPr>
                <w:rFonts w:ascii="Arial"/>
                <w:b/>
                <w:sz w:val="11"/>
              </w:rPr>
            </w:pPr>
            <w:r w:rsidRPr="00EB2BD8">
              <w:rPr>
                <w:rFonts w:ascii="Arial"/>
                <w:b/>
                <w:w w:val="105"/>
                <w:sz w:val="16"/>
              </w:rPr>
              <w:t>Level</w:t>
            </w:r>
            <w:r w:rsidRPr="00EB2BD8">
              <w:rPr>
                <w:rFonts w:ascii="Arial"/>
                <w:b/>
                <w:spacing w:val="-7"/>
                <w:w w:val="105"/>
                <w:sz w:val="16"/>
              </w:rPr>
              <w:t xml:space="preserve"> </w:t>
            </w:r>
            <w:r w:rsidRPr="00EB2BD8">
              <w:rPr>
                <w:rFonts w:ascii="Arial"/>
                <w:b/>
                <w:spacing w:val="-4"/>
                <w:w w:val="105"/>
                <w:sz w:val="16"/>
              </w:rPr>
              <w:t>2</w:t>
            </w:r>
            <w:r w:rsidRPr="00EB2BD8">
              <w:rPr>
                <w:rFonts w:ascii="Arial"/>
                <w:b/>
                <w:spacing w:val="-4"/>
                <w:w w:val="105"/>
                <w:position w:val="6"/>
                <w:sz w:val="11"/>
              </w:rPr>
              <w:t>(a)</w:t>
            </w:r>
          </w:p>
        </w:tc>
        <w:tc>
          <w:tcPr>
            <w:tcW w:w="1051" w:type="dxa"/>
            <w:shd w:val="clear" w:color="auto" w:fill="FFFFFF"/>
          </w:tcPr>
          <w:p w14:paraId="7D263373" w14:textId="77777777" w:rsidR="00084F36" w:rsidRPr="00EB2BD8" w:rsidRDefault="00EB2BD8">
            <w:pPr>
              <w:pStyle w:val="TableParagraph"/>
              <w:spacing w:line="191" w:lineRule="exact"/>
              <w:ind w:right="102"/>
              <w:jc w:val="right"/>
              <w:rPr>
                <w:rFonts w:ascii="Arial"/>
                <w:b/>
                <w:sz w:val="11"/>
              </w:rPr>
            </w:pPr>
            <w:r w:rsidRPr="00EB2BD8">
              <w:rPr>
                <w:rFonts w:ascii="Arial"/>
                <w:b/>
                <w:w w:val="105"/>
                <w:sz w:val="16"/>
              </w:rPr>
              <w:t>Level</w:t>
            </w:r>
            <w:r w:rsidRPr="00EB2BD8">
              <w:rPr>
                <w:rFonts w:ascii="Arial"/>
                <w:b/>
                <w:spacing w:val="-7"/>
                <w:w w:val="105"/>
                <w:sz w:val="16"/>
              </w:rPr>
              <w:t xml:space="preserve"> </w:t>
            </w:r>
            <w:r w:rsidRPr="00EB2BD8">
              <w:rPr>
                <w:rFonts w:ascii="Arial"/>
                <w:b/>
                <w:spacing w:val="-4"/>
                <w:w w:val="105"/>
                <w:sz w:val="16"/>
              </w:rPr>
              <w:t>3</w:t>
            </w:r>
            <w:r w:rsidRPr="00EB2BD8">
              <w:rPr>
                <w:rFonts w:ascii="Arial"/>
                <w:b/>
                <w:spacing w:val="-4"/>
                <w:w w:val="105"/>
                <w:position w:val="6"/>
                <w:sz w:val="11"/>
              </w:rPr>
              <w:t>(a)</w:t>
            </w:r>
          </w:p>
        </w:tc>
      </w:tr>
      <w:tr w:rsidR="00EB2BD8" w:rsidRPr="00EB2BD8" w14:paraId="08284E42" w14:textId="77777777" w:rsidTr="00F007BF">
        <w:trPr>
          <w:trHeight w:val="302"/>
        </w:trPr>
        <w:tc>
          <w:tcPr>
            <w:tcW w:w="4790" w:type="dxa"/>
            <w:shd w:val="clear" w:color="auto" w:fill="FFFFFF"/>
          </w:tcPr>
          <w:p w14:paraId="73A39F60" w14:textId="77777777" w:rsidR="00084F36" w:rsidRPr="00EB2BD8" w:rsidRDefault="00EB2BD8">
            <w:pPr>
              <w:pStyle w:val="TableParagraph"/>
              <w:spacing w:before="52"/>
              <w:ind w:left="100"/>
              <w:rPr>
                <w:rFonts w:ascii="Arial"/>
                <w:sz w:val="16"/>
              </w:rPr>
            </w:pPr>
            <w:r w:rsidRPr="00EB2BD8">
              <w:rPr>
                <w:rFonts w:ascii="Arial"/>
                <w:w w:val="105"/>
                <w:sz w:val="16"/>
              </w:rPr>
              <w:t>Land</w:t>
            </w:r>
            <w:r w:rsidRPr="00EB2BD8">
              <w:rPr>
                <w:rFonts w:ascii="Arial"/>
                <w:spacing w:val="-5"/>
                <w:w w:val="105"/>
                <w:sz w:val="16"/>
              </w:rPr>
              <w:t xml:space="preserve"> </w:t>
            </w:r>
            <w:r w:rsidRPr="00EB2BD8">
              <w:rPr>
                <w:rFonts w:ascii="Arial"/>
                <w:w w:val="105"/>
                <w:sz w:val="16"/>
              </w:rPr>
              <w:t>at</w:t>
            </w:r>
            <w:r w:rsidRPr="00EB2BD8">
              <w:rPr>
                <w:rFonts w:ascii="Arial"/>
                <w:spacing w:val="-4"/>
                <w:w w:val="105"/>
                <w:sz w:val="16"/>
              </w:rPr>
              <w:t xml:space="preserve"> </w:t>
            </w:r>
            <w:r w:rsidRPr="00EB2BD8">
              <w:rPr>
                <w:rFonts w:ascii="Arial"/>
                <w:w w:val="105"/>
                <w:sz w:val="16"/>
              </w:rPr>
              <w:t>fair</w:t>
            </w:r>
            <w:r w:rsidRPr="00EB2BD8">
              <w:rPr>
                <w:rFonts w:ascii="Arial"/>
                <w:spacing w:val="-4"/>
                <w:w w:val="105"/>
                <w:sz w:val="16"/>
              </w:rPr>
              <w:t xml:space="preserve"> </w:t>
            </w:r>
            <w:r w:rsidRPr="00EB2BD8">
              <w:rPr>
                <w:rFonts w:ascii="Arial"/>
                <w:spacing w:val="-2"/>
                <w:w w:val="105"/>
                <w:sz w:val="16"/>
              </w:rPr>
              <w:t>value:</w:t>
            </w:r>
          </w:p>
        </w:tc>
        <w:tc>
          <w:tcPr>
            <w:tcW w:w="1133" w:type="dxa"/>
            <w:shd w:val="clear" w:color="auto" w:fill="FFFFFF"/>
          </w:tcPr>
          <w:p w14:paraId="6726239A" w14:textId="5C7E078C" w:rsidR="00084F36" w:rsidRPr="00F007BF" w:rsidRDefault="00F007BF">
            <w:pPr>
              <w:pStyle w:val="TableParagraph"/>
              <w:rPr>
                <w:rFonts w:ascii="Arial" w:hAnsi="Arial" w:cs="Arial"/>
                <w:b/>
                <w:bCs/>
                <w:sz w:val="16"/>
              </w:rPr>
            </w:pPr>
            <w:r w:rsidRPr="00F007BF">
              <w:rPr>
                <w:rFonts w:ascii="Arial" w:hAnsi="Arial" w:cs="Arial"/>
                <w:b/>
                <w:bCs/>
                <w:sz w:val="16"/>
              </w:rPr>
              <w:t>Carrying amount</w:t>
            </w:r>
          </w:p>
        </w:tc>
        <w:tc>
          <w:tcPr>
            <w:tcW w:w="1192" w:type="dxa"/>
            <w:shd w:val="clear" w:color="auto" w:fill="FFFFFF"/>
          </w:tcPr>
          <w:p w14:paraId="3D30C35B" w14:textId="77777777" w:rsidR="00084F36" w:rsidRPr="00EB2BD8" w:rsidRDefault="00084F36">
            <w:pPr>
              <w:pStyle w:val="TableParagraph"/>
              <w:rPr>
                <w:rFonts w:ascii="Times New Roman"/>
                <w:sz w:val="16"/>
              </w:rPr>
            </w:pPr>
          </w:p>
        </w:tc>
        <w:tc>
          <w:tcPr>
            <w:tcW w:w="1231" w:type="dxa"/>
            <w:shd w:val="clear" w:color="auto" w:fill="FFFFFF"/>
          </w:tcPr>
          <w:p w14:paraId="12C34FEE" w14:textId="77777777" w:rsidR="00084F36" w:rsidRPr="00EB2BD8" w:rsidRDefault="00084F36">
            <w:pPr>
              <w:pStyle w:val="TableParagraph"/>
              <w:rPr>
                <w:rFonts w:ascii="Times New Roman"/>
                <w:sz w:val="16"/>
              </w:rPr>
            </w:pPr>
          </w:p>
        </w:tc>
        <w:tc>
          <w:tcPr>
            <w:tcW w:w="1051" w:type="dxa"/>
            <w:shd w:val="clear" w:color="auto" w:fill="FFFFFF"/>
          </w:tcPr>
          <w:p w14:paraId="69DE1714" w14:textId="77777777" w:rsidR="00084F36" w:rsidRPr="00EB2BD8" w:rsidRDefault="00084F36">
            <w:pPr>
              <w:pStyle w:val="TableParagraph"/>
              <w:rPr>
                <w:rFonts w:ascii="Times New Roman"/>
                <w:sz w:val="16"/>
              </w:rPr>
            </w:pPr>
          </w:p>
        </w:tc>
      </w:tr>
      <w:tr w:rsidR="00EB2BD8" w:rsidRPr="00EB2BD8" w14:paraId="036704CB" w14:textId="77777777" w:rsidTr="00F007BF">
        <w:trPr>
          <w:trHeight w:val="314"/>
        </w:trPr>
        <w:tc>
          <w:tcPr>
            <w:tcW w:w="4790" w:type="dxa"/>
            <w:tcBorders>
              <w:bottom w:val="single" w:sz="12" w:space="0" w:color="000000"/>
            </w:tcBorders>
            <w:shd w:val="clear" w:color="auto" w:fill="FFFFFF"/>
          </w:tcPr>
          <w:p w14:paraId="0D4EF459" w14:textId="77777777" w:rsidR="00084F36" w:rsidRPr="00EB2BD8" w:rsidRDefault="00EB2BD8">
            <w:pPr>
              <w:pStyle w:val="TableParagraph"/>
              <w:spacing w:before="66"/>
              <w:ind w:left="100"/>
              <w:rPr>
                <w:rFonts w:ascii="Arial"/>
                <w:sz w:val="16"/>
              </w:rPr>
            </w:pPr>
            <w:r w:rsidRPr="00EB2BD8">
              <w:rPr>
                <w:rFonts w:ascii="Arial"/>
                <w:sz w:val="16"/>
              </w:rPr>
              <w:t>Non-specialised</w:t>
            </w:r>
            <w:r w:rsidRPr="00EB2BD8">
              <w:rPr>
                <w:rFonts w:ascii="Arial"/>
                <w:spacing w:val="41"/>
                <w:sz w:val="16"/>
              </w:rPr>
              <w:t xml:space="preserve"> </w:t>
            </w:r>
            <w:r w:rsidRPr="00EB2BD8">
              <w:rPr>
                <w:rFonts w:ascii="Arial"/>
                <w:spacing w:val="-4"/>
                <w:sz w:val="16"/>
              </w:rPr>
              <w:t>land</w:t>
            </w:r>
          </w:p>
        </w:tc>
        <w:tc>
          <w:tcPr>
            <w:tcW w:w="1133" w:type="dxa"/>
            <w:tcBorders>
              <w:bottom w:val="single" w:sz="12" w:space="0" w:color="000000"/>
            </w:tcBorders>
            <w:shd w:val="clear" w:color="auto" w:fill="FFFFFF"/>
          </w:tcPr>
          <w:p w14:paraId="2900C0EB" w14:textId="77777777" w:rsidR="00084F36" w:rsidRPr="00EB2BD8" w:rsidRDefault="00EB2BD8">
            <w:pPr>
              <w:pStyle w:val="TableParagraph"/>
              <w:spacing w:before="66"/>
              <w:ind w:right="201"/>
              <w:jc w:val="right"/>
              <w:rPr>
                <w:rFonts w:ascii="Arial"/>
                <w:sz w:val="16"/>
              </w:rPr>
            </w:pPr>
            <w:r w:rsidRPr="00EB2BD8">
              <w:rPr>
                <w:rFonts w:ascii="Arial"/>
                <w:spacing w:val="-2"/>
                <w:w w:val="105"/>
                <w:sz w:val="16"/>
              </w:rPr>
              <w:t>1,075</w:t>
            </w:r>
          </w:p>
        </w:tc>
        <w:tc>
          <w:tcPr>
            <w:tcW w:w="1192" w:type="dxa"/>
            <w:tcBorders>
              <w:bottom w:val="single" w:sz="12" w:space="0" w:color="000000"/>
            </w:tcBorders>
            <w:shd w:val="clear" w:color="auto" w:fill="FFFFFF"/>
          </w:tcPr>
          <w:p w14:paraId="1CF5AEE5" w14:textId="77777777" w:rsidR="00084F36" w:rsidRPr="00EB2BD8" w:rsidRDefault="00EB2BD8">
            <w:pPr>
              <w:pStyle w:val="TableParagraph"/>
              <w:spacing w:before="66"/>
              <w:ind w:right="281"/>
              <w:jc w:val="right"/>
              <w:rPr>
                <w:rFonts w:ascii="Arial"/>
                <w:sz w:val="16"/>
              </w:rPr>
            </w:pPr>
            <w:r w:rsidRPr="00EB2BD8">
              <w:rPr>
                <w:rFonts w:ascii="Arial"/>
                <w:w w:val="104"/>
                <w:sz w:val="16"/>
              </w:rPr>
              <w:t>-</w:t>
            </w:r>
          </w:p>
        </w:tc>
        <w:tc>
          <w:tcPr>
            <w:tcW w:w="1231" w:type="dxa"/>
            <w:tcBorders>
              <w:bottom w:val="single" w:sz="12" w:space="0" w:color="000000"/>
            </w:tcBorders>
            <w:shd w:val="clear" w:color="auto" w:fill="FFFFFF"/>
          </w:tcPr>
          <w:p w14:paraId="18435186" w14:textId="77777777" w:rsidR="00084F36" w:rsidRPr="00EB2BD8" w:rsidRDefault="00EB2BD8">
            <w:pPr>
              <w:pStyle w:val="TableParagraph"/>
              <w:spacing w:before="66"/>
              <w:ind w:right="242"/>
              <w:jc w:val="right"/>
              <w:rPr>
                <w:rFonts w:ascii="Arial"/>
                <w:sz w:val="16"/>
              </w:rPr>
            </w:pPr>
            <w:r w:rsidRPr="00EB2BD8">
              <w:rPr>
                <w:rFonts w:ascii="Arial"/>
                <w:spacing w:val="-2"/>
                <w:w w:val="105"/>
                <w:sz w:val="16"/>
              </w:rPr>
              <w:t>1,075</w:t>
            </w:r>
          </w:p>
        </w:tc>
        <w:tc>
          <w:tcPr>
            <w:tcW w:w="1051" w:type="dxa"/>
            <w:tcBorders>
              <w:bottom w:val="single" w:sz="12" w:space="0" w:color="000000"/>
            </w:tcBorders>
            <w:shd w:val="clear" w:color="auto" w:fill="FFFFFF"/>
          </w:tcPr>
          <w:p w14:paraId="699B3C59" w14:textId="77777777" w:rsidR="00084F36" w:rsidRPr="00EB2BD8" w:rsidRDefault="00EB2BD8">
            <w:pPr>
              <w:pStyle w:val="TableParagraph"/>
              <w:spacing w:before="66"/>
              <w:ind w:right="102"/>
              <w:jc w:val="right"/>
              <w:rPr>
                <w:rFonts w:ascii="Arial"/>
                <w:sz w:val="16"/>
              </w:rPr>
            </w:pPr>
            <w:r w:rsidRPr="00EB2BD8">
              <w:rPr>
                <w:rFonts w:ascii="Arial"/>
                <w:w w:val="104"/>
                <w:sz w:val="16"/>
              </w:rPr>
              <w:t>-</w:t>
            </w:r>
          </w:p>
        </w:tc>
      </w:tr>
      <w:tr w:rsidR="00EB2BD8" w:rsidRPr="00EB2BD8" w14:paraId="0AF3BA4F" w14:textId="77777777" w:rsidTr="00F007BF">
        <w:trPr>
          <w:trHeight w:val="286"/>
        </w:trPr>
        <w:tc>
          <w:tcPr>
            <w:tcW w:w="4790" w:type="dxa"/>
            <w:tcBorders>
              <w:top w:val="single" w:sz="12" w:space="0" w:color="000000"/>
              <w:bottom w:val="single" w:sz="12" w:space="0" w:color="000000"/>
            </w:tcBorders>
            <w:shd w:val="clear" w:color="auto" w:fill="FFFFFF"/>
          </w:tcPr>
          <w:p w14:paraId="222F86C9" w14:textId="77777777" w:rsidR="00084F36" w:rsidRPr="00EB2BD8" w:rsidRDefault="00EB2BD8">
            <w:pPr>
              <w:pStyle w:val="TableParagraph"/>
              <w:spacing w:before="54"/>
              <w:ind w:left="100"/>
              <w:rPr>
                <w:rFonts w:ascii="Arial"/>
                <w:b/>
                <w:sz w:val="16"/>
              </w:rPr>
            </w:pPr>
            <w:r w:rsidRPr="00EB2BD8">
              <w:rPr>
                <w:rFonts w:ascii="Arial"/>
                <w:b/>
                <w:w w:val="105"/>
                <w:sz w:val="16"/>
              </w:rPr>
              <w:t>Total</w:t>
            </w:r>
            <w:r w:rsidRPr="00EB2BD8">
              <w:rPr>
                <w:rFonts w:ascii="Arial"/>
                <w:b/>
                <w:spacing w:val="-4"/>
                <w:w w:val="105"/>
                <w:sz w:val="16"/>
              </w:rPr>
              <w:t xml:space="preserve"> </w:t>
            </w:r>
            <w:r w:rsidRPr="00EB2BD8">
              <w:rPr>
                <w:rFonts w:ascii="Arial"/>
                <w:b/>
                <w:w w:val="105"/>
                <w:sz w:val="16"/>
              </w:rPr>
              <w:t>of</w:t>
            </w:r>
            <w:r w:rsidRPr="00EB2BD8">
              <w:rPr>
                <w:rFonts w:ascii="Arial"/>
                <w:b/>
                <w:spacing w:val="-5"/>
                <w:w w:val="105"/>
                <w:sz w:val="16"/>
              </w:rPr>
              <w:t xml:space="preserve"> </w:t>
            </w:r>
            <w:r w:rsidRPr="00EB2BD8">
              <w:rPr>
                <w:rFonts w:ascii="Arial"/>
                <w:b/>
                <w:w w:val="105"/>
                <w:sz w:val="16"/>
              </w:rPr>
              <w:t>land</w:t>
            </w:r>
            <w:r w:rsidRPr="00EB2BD8">
              <w:rPr>
                <w:rFonts w:ascii="Arial"/>
                <w:b/>
                <w:spacing w:val="-4"/>
                <w:w w:val="105"/>
                <w:sz w:val="16"/>
              </w:rPr>
              <w:t xml:space="preserve"> </w:t>
            </w:r>
            <w:r w:rsidRPr="00EB2BD8">
              <w:rPr>
                <w:rFonts w:ascii="Arial"/>
                <w:b/>
                <w:w w:val="105"/>
                <w:sz w:val="16"/>
              </w:rPr>
              <w:t>at</w:t>
            </w:r>
            <w:r w:rsidRPr="00EB2BD8">
              <w:rPr>
                <w:rFonts w:ascii="Arial"/>
                <w:b/>
                <w:spacing w:val="-4"/>
                <w:w w:val="105"/>
                <w:sz w:val="16"/>
              </w:rPr>
              <w:t xml:space="preserve"> </w:t>
            </w:r>
            <w:r w:rsidRPr="00EB2BD8">
              <w:rPr>
                <w:rFonts w:ascii="Arial"/>
                <w:b/>
                <w:w w:val="105"/>
                <w:sz w:val="16"/>
              </w:rPr>
              <w:t>fair</w:t>
            </w:r>
            <w:r w:rsidRPr="00EB2BD8">
              <w:rPr>
                <w:rFonts w:ascii="Arial"/>
                <w:b/>
                <w:spacing w:val="-3"/>
                <w:w w:val="105"/>
                <w:sz w:val="16"/>
              </w:rPr>
              <w:t xml:space="preserve"> </w:t>
            </w:r>
            <w:r w:rsidRPr="00EB2BD8">
              <w:rPr>
                <w:rFonts w:ascii="Arial"/>
                <w:b/>
                <w:spacing w:val="-2"/>
                <w:w w:val="105"/>
                <w:sz w:val="16"/>
              </w:rPr>
              <w:t>value</w:t>
            </w:r>
          </w:p>
        </w:tc>
        <w:tc>
          <w:tcPr>
            <w:tcW w:w="1133" w:type="dxa"/>
            <w:tcBorders>
              <w:top w:val="single" w:sz="12" w:space="0" w:color="000000"/>
              <w:bottom w:val="single" w:sz="12" w:space="0" w:color="000000"/>
            </w:tcBorders>
            <w:shd w:val="clear" w:color="auto" w:fill="FFFFFF"/>
          </w:tcPr>
          <w:p w14:paraId="145298DA" w14:textId="77777777" w:rsidR="00084F36" w:rsidRPr="00EB2BD8" w:rsidRDefault="00EB2BD8">
            <w:pPr>
              <w:pStyle w:val="TableParagraph"/>
              <w:spacing w:before="54"/>
              <w:ind w:right="201"/>
              <w:jc w:val="right"/>
              <w:rPr>
                <w:rFonts w:ascii="Arial"/>
                <w:b/>
                <w:sz w:val="16"/>
              </w:rPr>
            </w:pPr>
            <w:r w:rsidRPr="00EB2BD8">
              <w:rPr>
                <w:rFonts w:ascii="Arial"/>
                <w:b/>
                <w:spacing w:val="-2"/>
                <w:w w:val="105"/>
                <w:sz w:val="16"/>
              </w:rPr>
              <w:t>1,075</w:t>
            </w:r>
          </w:p>
        </w:tc>
        <w:tc>
          <w:tcPr>
            <w:tcW w:w="1192" w:type="dxa"/>
            <w:tcBorders>
              <w:top w:val="single" w:sz="12" w:space="0" w:color="000000"/>
              <w:bottom w:val="single" w:sz="12" w:space="0" w:color="000000"/>
            </w:tcBorders>
            <w:shd w:val="clear" w:color="auto" w:fill="FFFFFF"/>
          </w:tcPr>
          <w:p w14:paraId="3FBE8FC7" w14:textId="77777777" w:rsidR="00084F36" w:rsidRPr="00EB2BD8" w:rsidRDefault="00EB2BD8">
            <w:pPr>
              <w:pStyle w:val="TableParagraph"/>
              <w:spacing w:before="54"/>
              <w:ind w:right="281"/>
              <w:jc w:val="right"/>
              <w:rPr>
                <w:rFonts w:ascii="Arial"/>
                <w:b/>
                <w:sz w:val="16"/>
              </w:rPr>
            </w:pPr>
            <w:r w:rsidRPr="00EB2BD8">
              <w:rPr>
                <w:rFonts w:ascii="Arial"/>
                <w:b/>
                <w:w w:val="104"/>
                <w:sz w:val="16"/>
              </w:rPr>
              <w:t>-</w:t>
            </w:r>
          </w:p>
        </w:tc>
        <w:tc>
          <w:tcPr>
            <w:tcW w:w="1231" w:type="dxa"/>
            <w:tcBorders>
              <w:top w:val="single" w:sz="12" w:space="0" w:color="000000"/>
              <w:bottom w:val="single" w:sz="12" w:space="0" w:color="000000"/>
            </w:tcBorders>
            <w:shd w:val="clear" w:color="auto" w:fill="FFFFFF"/>
          </w:tcPr>
          <w:p w14:paraId="0C9EA20F" w14:textId="77777777" w:rsidR="00084F36" w:rsidRPr="00EB2BD8" w:rsidRDefault="00EB2BD8">
            <w:pPr>
              <w:pStyle w:val="TableParagraph"/>
              <w:spacing w:before="54"/>
              <w:ind w:right="242"/>
              <w:jc w:val="right"/>
              <w:rPr>
                <w:rFonts w:ascii="Arial"/>
                <w:b/>
                <w:sz w:val="16"/>
              </w:rPr>
            </w:pPr>
            <w:r w:rsidRPr="00EB2BD8">
              <w:rPr>
                <w:rFonts w:ascii="Arial"/>
                <w:b/>
                <w:spacing w:val="-2"/>
                <w:w w:val="105"/>
                <w:sz w:val="16"/>
              </w:rPr>
              <w:t>1,075</w:t>
            </w:r>
          </w:p>
        </w:tc>
        <w:tc>
          <w:tcPr>
            <w:tcW w:w="1051" w:type="dxa"/>
            <w:tcBorders>
              <w:top w:val="single" w:sz="12" w:space="0" w:color="000000"/>
              <w:bottom w:val="single" w:sz="12" w:space="0" w:color="000000"/>
            </w:tcBorders>
            <w:shd w:val="clear" w:color="auto" w:fill="FFFFFF"/>
          </w:tcPr>
          <w:p w14:paraId="3CBBC7FB" w14:textId="77777777" w:rsidR="00084F36" w:rsidRPr="00EB2BD8" w:rsidRDefault="00EB2BD8">
            <w:pPr>
              <w:pStyle w:val="TableParagraph"/>
              <w:spacing w:before="54"/>
              <w:ind w:right="102"/>
              <w:jc w:val="right"/>
              <w:rPr>
                <w:rFonts w:ascii="Arial"/>
                <w:b/>
                <w:sz w:val="16"/>
              </w:rPr>
            </w:pPr>
            <w:r w:rsidRPr="00EB2BD8">
              <w:rPr>
                <w:rFonts w:ascii="Arial"/>
                <w:b/>
                <w:w w:val="104"/>
                <w:sz w:val="16"/>
              </w:rPr>
              <w:t>-</w:t>
            </w:r>
          </w:p>
        </w:tc>
      </w:tr>
      <w:tr w:rsidR="00EB2BD8" w:rsidRPr="00EB2BD8" w14:paraId="5B0A8AEC" w14:textId="77777777" w:rsidTr="00F007BF">
        <w:trPr>
          <w:trHeight w:val="297"/>
        </w:trPr>
        <w:tc>
          <w:tcPr>
            <w:tcW w:w="4790" w:type="dxa"/>
            <w:tcBorders>
              <w:top w:val="single" w:sz="12" w:space="0" w:color="000000"/>
            </w:tcBorders>
            <w:shd w:val="clear" w:color="auto" w:fill="FFFFFF"/>
          </w:tcPr>
          <w:p w14:paraId="433F1F2C" w14:textId="77777777" w:rsidR="00084F36" w:rsidRPr="00EB2BD8" w:rsidRDefault="00EB2BD8">
            <w:pPr>
              <w:pStyle w:val="TableParagraph"/>
              <w:spacing w:before="54"/>
              <w:ind w:left="100"/>
              <w:rPr>
                <w:rFonts w:ascii="Arial"/>
                <w:sz w:val="16"/>
              </w:rPr>
            </w:pPr>
            <w:r w:rsidRPr="00EB2BD8">
              <w:rPr>
                <w:rFonts w:ascii="Arial"/>
                <w:w w:val="105"/>
                <w:sz w:val="16"/>
              </w:rPr>
              <w:t>Buildings</w:t>
            </w:r>
            <w:r w:rsidRPr="00EB2BD8">
              <w:rPr>
                <w:rFonts w:ascii="Arial"/>
                <w:spacing w:val="-7"/>
                <w:w w:val="105"/>
                <w:sz w:val="16"/>
              </w:rPr>
              <w:t xml:space="preserve"> </w:t>
            </w:r>
            <w:r w:rsidRPr="00EB2BD8">
              <w:rPr>
                <w:rFonts w:ascii="Arial"/>
                <w:w w:val="105"/>
                <w:sz w:val="16"/>
              </w:rPr>
              <w:t>at</w:t>
            </w:r>
            <w:r w:rsidRPr="00EB2BD8">
              <w:rPr>
                <w:rFonts w:ascii="Arial"/>
                <w:spacing w:val="-6"/>
                <w:w w:val="105"/>
                <w:sz w:val="16"/>
              </w:rPr>
              <w:t xml:space="preserve"> </w:t>
            </w:r>
            <w:r w:rsidRPr="00EB2BD8">
              <w:rPr>
                <w:rFonts w:ascii="Arial"/>
                <w:w w:val="105"/>
                <w:sz w:val="16"/>
              </w:rPr>
              <w:t>fair</w:t>
            </w:r>
            <w:r w:rsidRPr="00EB2BD8">
              <w:rPr>
                <w:rFonts w:ascii="Arial"/>
                <w:spacing w:val="-6"/>
                <w:w w:val="105"/>
                <w:sz w:val="16"/>
              </w:rPr>
              <w:t xml:space="preserve"> </w:t>
            </w:r>
            <w:r w:rsidRPr="00EB2BD8">
              <w:rPr>
                <w:rFonts w:ascii="Arial"/>
                <w:spacing w:val="-2"/>
                <w:w w:val="105"/>
                <w:sz w:val="16"/>
              </w:rPr>
              <w:t>value:</w:t>
            </w:r>
          </w:p>
        </w:tc>
        <w:tc>
          <w:tcPr>
            <w:tcW w:w="1133" w:type="dxa"/>
            <w:tcBorders>
              <w:top w:val="single" w:sz="12" w:space="0" w:color="000000"/>
            </w:tcBorders>
            <w:shd w:val="clear" w:color="auto" w:fill="FFFFFF"/>
          </w:tcPr>
          <w:p w14:paraId="679BB6D8" w14:textId="77777777" w:rsidR="00084F36" w:rsidRPr="00EB2BD8" w:rsidRDefault="00084F36">
            <w:pPr>
              <w:pStyle w:val="TableParagraph"/>
              <w:rPr>
                <w:rFonts w:ascii="Times New Roman"/>
                <w:sz w:val="16"/>
              </w:rPr>
            </w:pPr>
          </w:p>
        </w:tc>
        <w:tc>
          <w:tcPr>
            <w:tcW w:w="1192" w:type="dxa"/>
            <w:tcBorders>
              <w:top w:val="single" w:sz="12" w:space="0" w:color="000000"/>
            </w:tcBorders>
            <w:shd w:val="clear" w:color="auto" w:fill="FFFFFF"/>
          </w:tcPr>
          <w:p w14:paraId="5BC270D5" w14:textId="77777777" w:rsidR="00084F36" w:rsidRPr="00EB2BD8" w:rsidRDefault="00084F36">
            <w:pPr>
              <w:pStyle w:val="TableParagraph"/>
              <w:rPr>
                <w:rFonts w:ascii="Times New Roman"/>
                <w:sz w:val="16"/>
              </w:rPr>
            </w:pPr>
          </w:p>
        </w:tc>
        <w:tc>
          <w:tcPr>
            <w:tcW w:w="1231" w:type="dxa"/>
            <w:tcBorders>
              <w:top w:val="single" w:sz="12" w:space="0" w:color="000000"/>
            </w:tcBorders>
            <w:shd w:val="clear" w:color="auto" w:fill="FFFFFF"/>
          </w:tcPr>
          <w:p w14:paraId="4D6F7897" w14:textId="77777777" w:rsidR="00084F36" w:rsidRPr="00EB2BD8" w:rsidRDefault="00084F36">
            <w:pPr>
              <w:pStyle w:val="TableParagraph"/>
              <w:rPr>
                <w:rFonts w:ascii="Times New Roman"/>
                <w:sz w:val="16"/>
              </w:rPr>
            </w:pPr>
          </w:p>
        </w:tc>
        <w:tc>
          <w:tcPr>
            <w:tcW w:w="1051" w:type="dxa"/>
            <w:tcBorders>
              <w:top w:val="single" w:sz="12" w:space="0" w:color="000000"/>
            </w:tcBorders>
            <w:shd w:val="clear" w:color="auto" w:fill="FFFFFF"/>
          </w:tcPr>
          <w:p w14:paraId="48721132" w14:textId="77777777" w:rsidR="00084F36" w:rsidRPr="00EB2BD8" w:rsidRDefault="00084F36">
            <w:pPr>
              <w:pStyle w:val="TableParagraph"/>
              <w:rPr>
                <w:rFonts w:ascii="Times New Roman"/>
                <w:sz w:val="16"/>
              </w:rPr>
            </w:pPr>
          </w:p>
        </w:tc>
      </w:tr>
      <w:tr w:rsidR="00EB2BD8" w:rsidRPr="00EB2BD8" w14:paraId="7CD7219E" w14:textId="77777777" w:rsidTr="00F007BF">
        <w:trPr>
          <w:trHeight w:val="307"/>
        </w:trPr>
        <w:tc>
          <w:tcPr>
            <w:tcW w:w="4790" w:type="dxa"/>
            <w:tcBorders>
              <w:bottom w:val="single" w:sz="12" w:space="0" w:color="000000"/>
            </w:tcBorders>
            <w:shd w:val="clear" w:color="auto" w:fill="FFFFFF"/>
          </w:tcPr>
          <w:p w14:paraId="3E805ED2" w14:textId="77777777" w:rsidR="00084F36" w:rsidRPr="00EB2BD8" w:rsidRDefault="00EB2BD8">
            <w:pPr>
              <w:pStyle w:val="TableParagraph"/>
              <w:spacing w:before="60"/>
              <w:ind w:left="100"/>
              <w:rPr>
                <w:rFonts w:ascii="Arial"/>
                <w:sz w:val="16"/>
              </w:rPr>
            </w:pPr>
            <w:r w:rsidRPr="00EB2BD8">
              <w:rPr>
                <w:rFonts w:ascii="Arial"/>
                <w:sz w:val="16"/>
              </w:rPr>
              <w:t>Non-specialised</w:t>
            </w:r>
            <w:r w:rsidRPr="00EB2BD8">
              <w:rPr>
                <w:rFonts w:ascii="Arial"/>
                <w:spacing w:val="41"/>
                <w:sz w:val="16"/>
              </w:rPr>
              <w:t xml:space="preserve"> </w:t>
            </w:r>
            <w:r w:rsidRPr="00EB2BD8">
              <w:rPr>
                <w:rFonts w:ascii="Arial"/>
                <w:spacing w:val="-2"/>
                <w:sz w:val="16"/>
              </w:rPr>
              <w:t>buildings</w:t>
            </w:r>
          </w:p>
        </w:tc>
        <w:tc>
          <w:tcPr>
            <w:tcW w:w="1133" w:type="dxa"/>
            <w:tcBorders>
              <w:bottom w:val="single" w:sz="12" w:space="0" w:color="000000"/>
            </w:tcBorders>
            <w:shd w:val="clear" w:color="auto" w:fill="FFFFFF"/>
          </w:tcPr>
          <w:p w14:paraId="5DC26505" w14:textId="77777777" w:rsidR="00084F36" w:rsidRPr="00EB2BD8" w:rsidRDefault="00EB2BD8">
            <w:pPr>
              <w:pStyle w:val="TableParagraph"/>
              <w:spacing w:before="60"/>
              <w:ind w:right="201"/>
              <w:jc w:val="right"/>
              <w:rPr>
                <w:rFonts w:ascii="Arial"/>
                <w:sz w:val="16"/>
              </w:rPr>
            </w:pPr>
            <w:r w:rsidRPr="00EB2BD8">
              <w:rPr>
                <w:rFonts w:ascii="Arial"/>
                <w:spacing w:val="-2"/>
                <w:w w:val="105"/>
                <w:sz w:val="16"/>
              </w:rPr>
              <w:t>5,676</w:t>
            </w:r>
          </w:p>
        </w:tc>
        <w:tc>
          <w:tcPr>
            <w:tcW w:w="1192" w:type="dxa"/>
            <w:tcBorders>
              <w:bottom w:val="single" w:sz="12" w:space="0" w:color="000000"/>
            </w:tcBorders>
            <w:shd w:val="clear" w:color="auto" w:fill="FFFFFF"/>
          </w:tcPr>
          <w:p w14:paraId="05AA5CA4" w14:textId="77777777" w:rsidR="00084F36" w:rsidRPr="00EB2BD8" w:rsidRDefault="00EB2BD8">
            <w:pPr>
              <w:pStyle w:val="TableParagraph"/>
              <w:spacing w:before="60"/>
              <w:ind w:right="281"/>
              <w:jc w:val="right"/>
              <w:rPr>
                <w:rFonts w:ascii="Arial"/>
                <w:sz w:val="16"/>
              </w:rPr>
            </w:pPr>
            <w:r w:rsidRPr="00EB2BD8">
              <w:rPr>
                <w:rFonts w:ascii="Arial"/>
                <w:w w:val="104"/>
                <w:sz w:val="16"/>
              </w:rPr>
              <w:t>-</w:t>
            </w:r>
          </w:p>
        </w:tc>
        <w:tc>
          <w:tcPr>
            <w:tcW w:w="1231" w:type="dxa"/>
            <w:tcBorders>
              <w:bottom w:val="single" w:sz="12" w:space="0" w:color="000000"/>
            </w:tcBorders>
            <w:shd w:val="clear" w:color="auto" w:fill="FFFFFF"/>
          </w:tcPr>
          <w:p w14:paraId="73B0C1A9" w14:textId="77777777" w:rsidR="00084F36" w:rsidRPr="00EB2BD8" w:rsidRDefault="00EB2BD8">
            <w:pPr>
              <w:pStyle w:val="TableParagraph"/>
              <w:spacing w:before="60"/>
              <w:ind w:right="242"/>
              <w:jc w:val="right"/>
              <w:rPr>
                <w:rFonts w:ascii="Arial"/>
                <w:sz w:val="16"/>
              </w:rPr>
            </w:pPr>
            <w:r w:rsidRPr="00EB2BD8">
              <w:rPr>
                <w:rFonts w:ascii="Arial"/>
                <w:spacing w:val="-5"/>
                <w:w w:val="105"/>
                <w:sz w:val="16"/>
              </w:rPr>
              <w:t>840</w:t>
            </w:r>
          </w:p>
        </w:tc>
        <w:tc>
          <w:tcPr>
            <w:tcW w:w="1051" w:type="dxa"/>
            <w:tcBorders>
              <w:bottom w:val="single" w:sz="12" w:space="0" w:color="000000"/>
            </w:tcBorders>
            <w:shd w:val="clear" w:color="auto" w:fill="FFFFFF"/>
          </w:tcPr>
          <w:p w14:paraId="5F02788A" w14:textId="77777777" w:rsidR="00084F36" w:rsidRPr="00EB2BD8" w:rsidRDefault="00EB2BD8">
            <w:pPr>
              <w:pStyle w:val="TableParagraph"/>
              <w:spacing w:before="60"/>
              <w:ind w:right="104"/>
              <w:jc w:val="right"/>
              <w:rPr>
                <w:rFonts w:ascii="Arial"/>
                <w:sz w:val="16"/>
              </w:rPr>
            </w:pPr>
            <w:r w:rsidRPr="00EB2BD8">
              <w:rPr>
                <w:rFonts w:ascii="Arial"/>
                <w:spacing w:val="-2"/>
                <w:w w:val="105"/>
                <w:sz w:val="16"/>
              </w:rPr>
              <w:t>4,836</w:t>
            </w:r>
          </w:p>
        </w:tc>
      </w:tr>
      <w:tr w:rsidR="00EB2BD8" w:rsidRPr="00EB2BD8" w14:paraId="42F4FAF6" w14:textId="77777777" w:rsidTr="00F007BF">
        <w:trPr>
          <w:trHeight w:val="286"/>
        </w:trPr>
        <w:tc>
          <w:tcPr>
            <w:tcW w:w="4790" w:type="dxa"/>
            <w:tcBorders>
              <w:top w:val="single" w:sz="12" w:space="0" w:color="000000"/>
              <w:bottom w:val="single" w:sz="12" w:space="0" w:color="000000"/>
            </w:tcBorders>
            <w:shd w:val="clear" w:color="auto" w:fill="FFFFFF"/>
          </w:tcPr>
          <w:p w14:paraId="6431A248" w14:textId="77777777" w:rsidR="00084F36" w:rsidRPr="00EB2BD8" w:rsidRDefault="00EB2BD8">
            <w:pPr>
              <w:pStyle w:val="TableParagraph"/>
              <w:spacing w:before="54"/>
              <w:ind w:left="100"/>
              <w:rPr>
                <w:rFonts w:ascii="Arial"/>
                <w:b/>
                <w:sz w:val="16"/>
              </w:rPr>
            </w:pPr>
            <w:r w:rsidRPr="00EB2BD8">
              <w:rPr>
                <w:rFonts w:ascii="Arial"/>
                <w:b/>
                <w:w w:val="105"/>
                <w:sz w:val="16"/>
              </w:rPr>
              <w:t>Total</w:t>
            </w:r>
            <w:r w:rsidRPr="00EB2BD8">
              <w:rPr>
                <w:rFonts w:ascii="Arial"/>
                <w:b/>
                <w:spacing w:val="-5"/>
                <w:w w:val="105"/>
                <w:sz w:val="16"/>
              </w:rPr>
              <w:t xml:space="preserve"> </w:t>
            </w:r>
            <w:r w:rsidRPr="00EB2BD8">
              <w:rPr>
                <w:rFonts w:ascii="Arial"/>
                <w:b/>
                <w:w w:val="105"/>
                <w:sz w:val="16"/>
              </w:rPr>
              <w:t>of</w:t>
            </w:r>
            <w:r w:rsidRPr="00EB2BD8">
              <w:rPr>
                <w:rFonts w:ascii="Arial"/>
                <w:b/>
                <w:spacing w:val="-6"/>
                <w:w w:val="105"/>
                <w:sz w:val="16"/>
              </w:rPr>
              <w:t xml:space="preserve"> </w:t>
            </w:r>
            <w:r w:rsidRPr="00EB2BD8">
              <w:rPr>
                <w:rFonts w:ascii="Arial"/>
                <w:b/>
                <w:w w:val="105"/>
                <w:sz w:val="16"/>
              </w:rPr>
              <w:t>buildings</w:t>
            </w:r>
            <w:r w:rsidRPr="00EB2BD8">
              <w:rPr>
                <w:rFonts w:ascii="Arial"/>
                <w:b/>
                <w:spacing w:val="-5"/>
                <w:w w:val="105"/>
                <w:sz w:val="16"/>
              </w:rPr>
              <w:t xml:space="preserve"> </w:t>
            </w:r>
            <w:r w:rsidRPr="00EB2BD8">
              <w:rPr>
                <w:rFonts w:ascii="Arial"/>
                <w:b/>
                <w:w w:val="105"/>
                <w:sz w:val="16"/>
              </w:rPr>
              <w:t>at</w:t>
            </w:r>
            <w:r w:rsidRPr="00EB2BD8">
              <w:rPr>
                <w:rFonts w:ascii="Arial"/>
                <w:b/>
                <w:spacing w:val="-4"/>
                <w:w w:val="105"/>
                <w:sz w:val="16"/>
              </w:rPr>
              <w:t xml:space="preserve"> </w:t>
            </w:r>
            <w:r w:rsidRPr="00EB2BD8">
              <w:rPr>
                <w:rFonts w:ascii="Arial"/>
                <w:b/>
                <w:w w:val="105"/>
                <w:sz w:val="16"/>
              </w:rPr>
              <w:t>fair</w:t>
            </w:r>
            <w:r w:rsidRPr="00EB2BD8">
              <w:rPr>
                <w:rFonts w:ascii="Arial"/>
                <w:b/>
                <w:spacing w:val="-5"/>
                <w:w w:val="105"/>
                <w:sz w:val="16"/>
              </w:rPr>
              <w:t xml:space="preserve"> </w:t>
            </w:r>
            <w:r w:rsidRPr="00EB2BD8">
              <w:rPr>
                <w:rFonts w:ascii="Arial"/>
                <w:b/>
                <w:spacing w:val="-2"/>
                <w:w w:val="105"/>
                <w:sz w:val="16"/>
              </w:rPr>
              <w:t>value</w:t>
            </w:r>
          </w:p>
        </w:tc>
        <w:tc>
          <w:tcPr>
            <w:tcW w:w="1133" w:type="dxa"/>
            <w:tcBorders>
              <w:top w:val="single" w:sz="12" w:space="0" w:color="000000"/>
              <w:bottom w:val="single" w:sz="12" w:space="0" w:color="000000"/>
            </w:tcBorders>
            <w:shd w:val="clear" w:color="auto" w:fill="FFFFFF"/>
          </w:tcPr>
          <w:p w14:paraId="5F2B95F9" w14:textId="77777777" w:rsidR="00084F36" w:rsidRPr="00EB2BD8" w:rsidRDefault="00EB2BD8">
            <w:pPr>
              <w:pStyle w:val="TableParagraph"/>
              <w:spacing w:before="54"/>
              <w:ind w:right="201"/>
              <w:jc w:val="right"/>
              <w:rPr>
                <w:rFonts w:ascii="Arial"/>
                <w:b/>
                <w:sz w:val="16"/>
              </w:rPr>
            </w:pPr>
            <w:r w:rsidRPr="00EB2BD8">
              <w:rPr>
                <w:rFonts w:ascii="Arial"/>
                <w:b/>
                <w:spacing w:val="-2"/>
                <w:w w:val="105"/>
                <w:sz w:val="16"/>
              </w:rPr>
              <w:t>5,676</w:t>
            </w:r>
          </w:p>
        </w:tc>
        <w:tc>
          <w:tcPr>
            <w:tcW w:w="1192" w:type="dxa"/>
            <w:tcBorders>
              <w:top w:val="single" w:sz="12" w:space="0" w:color="000000"/>
              <w:bottom w:val="single" w:sz="12" w:space="0" w:color="000000"/>
            </w:tcBorders>
            <w:shd w:val="clear" w:color="auto" w:fill="FFFFFF"/>
          </w:tcPr>
          <w:p w14:paraId="262547ED" w14:textId="77777777" w:rsidR="00084F36" w:rsidRPr="00EB2BD8" w:rsidRDefault="00EB2BD8">
            <w:pPr>
              <w:pStyle w:val="TableParagraph"/>
              <w:spacing w:before="54"/>
              <w:ind w:right="281"/>
              <w:jc w:val="right"/>
              <w:rPr>
                <w:rFonts w:ascii="Arial"/>
                <w:b/>
                <w:sz w:val="16"/>
              </w:rPr>
            </w:pPr>
            <w:r w:rsidRPr="00EB2BD8">
              <w:rPr>
                <w:rFonts w:ascii="Arial"/>
                <w:b/>
                <w:w w:val="104"/>
                <w:sz w:val="16"/>
              </w:rPr>
              <w:t>-</w:t>
            </w:r>
          </w:p>
        </w:tc>
        <w:tc>
          <w:tcPr>
            <w:tcW w:w="1231" w:type="dxa"/>
            <w:tcBorders>
              <w:top w:val="single" w:sz="12" w:space="0" w:color="000000"/>
              <w:bottom w:val="single" w:sz="12" w:space="0" w:color="000000"/>
            </w:tcBorders>
            <w:shd w:val="clear" w:color="auto" w:fill="FFFFFF"/>
          </w:tcPr>
          <w:p w14:paraId="7F451A19" w14:textId="77777777" w:rsidR="00084F36" w:rsidRPr="00EB2BD8" w:rsidRDefault="00EB2BD8">
            <w:pPr>
              <w:pStyle w:val="TableParagraph"/>
              <w:spacing w:before="54"/>
              <w:ind w:right="242"/>
              <w:jc w:val="right"/>
              <w:rPr>
                <w:rFonts w:ascii="Arial"/>
                <w:b/>
                <w:sz w:val="16"/>
              </w:rPr>
            </w:pPr>
            <w:r w:rsidRPr="00EB2BD8">
              <w:rPr>
                <w:rFonts w:ascii="Arial"/>
                <w:b/>
                <w:spacing w:val="-5"/>
                <w:w w:val="105"/>
                <w:sz w:val="16"/>
              </w:rPr>
              <w:t>840</w:t>
            </w:r>
          </w:p>
        </w:tc>
        <w:tc>
          <w:tcPr>
            <w:tcW w:w="1051" w:type="dxa"/>
            <w:tcBorders>
              <w:top w:val="single" w:sz="12" w:space="0" w:color="000000"/>
              <w:bottom w:val="single" w:sz="12" w:space="0" w:color="000000"/>
            </w:tcBorders>
            <w:shd w:val="clear" w:color="auto" w:fill="FFFFFF"/>
          </w:tcPr>
          <w:p w14:paraId="19072A78" w14:textId="77777777" w:rsidR="00084F36" w:rsidRPr="00EB2BD8" w:rsidRDefault="00EB2BD8">
            <w:pPr>
              <w:pStyle w:val="TableParagraph"/>
              <w:spacing w:before="54"/>
              <w:ind w:right="103"/>
              <w:jc w:val="right"/>
              <w:rPr>
                <w:rFonts w:ascii="Arial"/>
                <w:b/>
                <w:sz w:val="16"/>
              </w:rPr>
            </w:pPr>
            <w:r w:rsidRPr="00EB2BD8">
              <w:rPr>
                <w:rFonts w:ascii="Arial"/>
                <w:b/>
                <w:spacing w:val="-2"/>
                <w:w w:val="105"/>
                <w:sz w:val="16"/>
              </w:rPr>
              <w:t>4,836</w:t>
            </w:r>
          </w:p>
        </w:tc>
      </w:tr>
      <w:tr w:rsidR="00EB2BD8" w:rsidRPr="00EB2BD8" w14:paraId="3F18A633" w14:textId="77777777" w:rsidTr="00F007BF">
        <w:trPr>
          <w:trHeight w:val="607"/>
        </w:trPr>
        <w:tc>
          <w:tcPr>
            <w:tcW w:w="4790" w:type="dxa"/>
            <w:tcBorders>
              <w:top w:val="single" w:sz="12" w:space="0" w:color="000000"/>
            </w:tcBorders>
            <w:shd w:val="clear" w:color="auto" w:fill="FFFFFF"/>
          </w:tcPr>
          <w:p w14:paraId="4B4C8024" w14:textId="77777777" w:rsidR="00084F36" w:rsidRPr="00EB2BD8" w:rsidRDefault="00EB2BD8">
            <w:pPr>
              <w:pStyle w:val="TableParagraph"/>
              <w:spacing w:before="54"/>
              <w:ind w:left="100"/>
              <w:rPr>
                <w:rFonts w:ascii="Arial"/>
                <w:sz w:val="16"/>
              </w:rPr>
            </w:pPr>
            <w:r w:rsidRPr="00EB2BD8">
              <w:rPr>
                <w:rFonts w:ascii="Arial"/>
                <w:w w:val="105"/>
                <w:sz w:val="16"/>
              </w:rPr>
              <w:t>Plant,</w:t>
            </w:r>
            <w:r w:rsidRPr="00EB2BD8">
              <w:rPr>
                <w:rFonts w:ascii="Arial"/>
                <w:spacing w:val="-7"/>
                <w:w w:val="105"/>
                <w:sz w:val="16"/>
              </w:rPr>
              <w:t xml:space="preserve"> </w:t>
            </w:r>
            <w:r w:rsidRPr="00EB2BD8">
              <w:rPr>
                <w:rFonts w:ascii="Arial"/>
                <w:w w:val="105"/>
                <w:sz w:val="16"/>
              </w:rPr>
              <w:t>equipment</w:t>
            </w:r>
            <w:r w:rsidRPr="00EB2BD8">
              <w:rPr>
                <w:rFonts w:ascii="Arial"/>
                <w:spacing w:val="-7"/>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vehicles</w:t>
            </w:r>
            <w:r w:rsidRPr="00EB2BD8">
              <w:rPr>
                <w:rFonts w:ascii="Arial"/>
                <w:spacing w:val="-6"/>
                <w:w w:val="105"/>
                <w:sz w:val="16"/>
              </w:rPr>
              <w:t xml:space="preserve"> </w:t>
            </w:r>
            <w:r w:rsidRPr="00EB2BD8">
              <w:rPr>
                <w:rFonts w:ascii="Arial"/>
                <w:w w:val="105"/>
                <w:sz w:val="16"/>
              </w:rPr>
              <w:t>at</w:t>
            </w:r>
            <w:r w:rsidRPr="00EB2BD8">
              <w:rPr>
                <w:rFonts w:ascii="Arial"/>
                <w:spacing w:val="-7"/>
                <w:w w:val="105"/>
                <w:sz w:val="16"/>
              </w:rPr>
              <w:t xml:space="preserve"> </w:t>
            </w:r>
            <w:r w:rsidRPr="00EB2BD8">
              <w:rPr>
                <w:rFonts w:ascii="Arial"/>
                <w:w w:val="105"/>
                <w:sz w:val="16"/>
              </w:rPr>
              <w:t>fair</w:t>
            </w:r>
            <w:r w:rsidRPr="00EB2BD8">
              <w:rPr>
                <w:rFonts w:ascii="Arial"/>
                <w:spacing w:val="-6"/>
                <w:w w:val="105"/>
                <w:sz w:val="16"/>
              </w:rPr>
              <w:t xml:space="preserve"> </w:t>
            </w:r>
            <w:r w:rsidRPr="00EB2BD8">
              <w:rPr>
                <w:rFonts w:ascii="Arial"/>
                <w:spacing w:val="-2"/>
                <w:w w:val="105"/>
                <w:sz w:val="16"/>
              </w:rPr>
              <w:t>value:</w:t>
            </w:r>
          </w:p>
          <w:p w14:paraId="50DCB793" w14:textId="77777777" w:rsidR="00084F36" w:rsidRPr="00EB2BD8" w:rsidRDefault="00EB2BD8">
            <w:pPr>
              <w:pStyle w:val="TableParagraph"/>
              <w:spacing w:before="106"/>
              <w:ind w:left="100"/>
              <w:rPr>
                <w:rFonts w:ascii="Arial"/>
                <w:sz w:val="11"/>
              </w:rPr>
            </w:pPr>
            <w:r w:rsidRPr="00EB2BD8">
              <w:rPr>
                <w:rFonts w:ascii="Arial"/>
                <w:spacing w:val="-2"/>
                <w:w w:val="105"/>
                <w:sz w:val="16"/>
              </w:rPr>
              <w:t>Vehicles</w:t>
            </w:r>
            <w:r w:rsidRPr="00EB2BD8">
              <w:rPr>
                <w:rFonts w:ascii="Arial"/>
                <w:spacing w:val="-2"/>
                <w:w w:val="105"/>
                <w:position w:val="6"/>
                <w:sz w:val="11"/>
              </w:rPr>
              <w:t>(b)</w:t>
            </w:r>
          </w:p>
        </w:tc>
        <w:tc>
          <w:tcPr>
            <w:tcW w:w="1133" w:type="dxa"/>
            <w:tcBorders>
              <w:top w:val="single" w:sz="12" w:space="0" w:color="000000"/>
            </w:tcBorders>
            <w:shd w:val="clear" w:color="auto" w:fill="FFFFFF"/>
          </w:tcPr>
          <w:p w14:paraId="3E7B5BB8" w14:textId="77777777" w:rsidR="00084F36" w:rsidRPr="00EB2BD8" w:rsidRDefault="00084F36">
            <w:pPr>
              <w:pStyle w:val="TableParagraph"/>
              <w:rPr>
                <w:rFonts w:ascii="Arial"/>
                <w:sz w:val="18"/>
              </w:rPr>
            </w:pPr>
          </w:p>
          <w:p w14:paraId="1D7A691A" w14:textId="77777777" w:rsidR="00084F36" w:rsidRPr="00EB2BD8" w:rsidRDefault="00EB2BD8">
            <w:pPr>
              <w:pStyle w:val="TableParagraph"/>
              <w:spacing w:before="150"/>
              <w:ind w:right="202"/>
              <w:jc w:val="right"/>
              <w:rPr>
                <w:rFonts w:ascii="Arial"/>
                <w:sz w:val="16"/>
              </w:rPr>
            </w:pPr>
            <w:r w:rsidRPr="00EB2BD8">
              <w:rPr>
                <w:rFonts w:ascii="Arial"/>
                <w:spacing w:val="-2"/>
                <w:w w:val="105"/>
                <w:sz w:val="16"/>
              </w:rPr>
              <w:t>1,709</w:t>
            </w:r>
          </w:p>
        </w:tc>
        <w:tc>
          <w:tcPr>
            <w:tcW w:w="1192" w:type="dxa"/>
            <w:tcBorders>
              <w:top w:val="single" w:sz="12" w:space="0" w:color="000000"/>
            </w:tcBorders>
            <w:shd w:val="clear" w:color="auto" w:fill="FFFFFF"/>
          </w:tcPr>
          <w:p w14:paraId="7C1EDA51" w14:textId="77777777" w:rsidR="00084F36" w:rsidRPr="00EB2BD8" w:rsidRDefault="00084F36">
            <w:pPr>
              <w:pStyle w:val="TableParagraph"/>
              <w:rPr>
                <w:rFonts w:ascii="Arial"/>
                <w:sz w:val="18"/>
              </w:rPr>
            </w:pPr>
          </w:p>
          <w:p w14:paraId="46AA4764" w14:textId="77777777" w:rsidR="00084F36" w:rsidRPr="00EB2BD8" w:rsidRDefault="00EB2BD8">
            <w:pPr>
              <w:pStyle w:val="TableParagraph"/>
              <w:spacing w:before="150"/>
              <w:ind w:right="281"/>
              <w:jc w:val="right"/>
              <w:rPr>
                <w:rFonts w:ascii="Arial"/>
                <w:sz w:val="16"/>
              </w:rPr>
            </w:pPr>
            <w:r w:rsidRPr="00EB2BD8">
              <w:rPr>
                <w:rFonts w:ascii="Arial"/>
                <w:w w:val="104"/>
                <w:sz w:val="16"/>
              </w:rPr>
              <w:t>-</w:t>
            </w:r>
          </w:p>
        </w:tc>
        <w:tc>
          <w:tcPr>
            <w:tcW w:w="1231" w:type="dxa"/>
            <w:tcBorders>
              <w:top w:val="single" w:sz="12" w:space="0" w:color="000000"/>
            </w:tcBorders>
            <w:shd w:val="clear" w:color="auto" w:fill="FFFFFF"/>
          </w:tcPr>
          <w:p w14:paraId="0D81ABCF" w14:textId="77777777" w:rsidR="00084F36" w:rsidRPr="00EB2BD8" w:rsidRDefault="00084F36">
            <w:pPr>
              <w:pStyle w:val="TableParagraph"/>
              <w:rPr>
                <w:rFonts w:ascii="Arial"/>
                <w:sz w:val="18"/>
              </w:rPr>
            </w:pPr>
          </w:p>
          <w:p w14:paraId="42A8EDEE" w14:textId="77777777" w:rsidR="00084F36" w:rsidRPr="00EB2BD8" w:rsidRDefault="00EB2BD8">
            <w:pPr>
              <w:pStyle w:val="TableParagraph"/>
              <w:spacing w:before="150"/>
              <w:ind w:right="242"/>
              <w:jc w:val="right"/>
              <w:rPr>
                <w:rFonts w:ascii="Arial"/>
                <w:sz w:val="16"/>
              </w:rPr>
            </w:pPr>
            <w:r w:rsidRPr="00EB2BD8">
              <w:rPr>
                <w:rFonts w:ascii="Arial"/>
                <w:w w:val="104"/>
                <w:sz w:val="16"/>
              </w:rPr>
              <w:t>-</w:t>
            </w:r>
          </w:p>
        </w:tc>
        <w:tc>
          <w:tcPr>
            <w:tcW w:w="1051" w:type="dxa"/>
            <w:tcBorders>
              <w:top w:val="single" w:sz="12" w:space="0" w:color="000000"/>
            </w:tcBorders>
            <w:shd w:val="clear" w:color="auto" w:fill="FFFFFF"/>
          </w:tcPr>
          <w:p w14:paraId="65BC931C" w14:textId="77777777" w:rsidR="00084F36" w:rsidRPr="00EB2BD8" w:rsidRDefault="00084F36">
            <w:pPr>
              <w:pStyle w:val="TableParagraph"/>
              <w:rPr>
                <w:rFonts w:ascii="Arial"/>
                <w:sz w:val="18"/>
              </w:rPr>
            </w:pPr>
          </w:p>
          <w:p w14:paraId="0E64763C" w14:textId="77777777" w:rsidR="00084F36" w:rsidRPr="00EB2BD8" w:rsidRDefault="00EB2BD8">
            <w:pPr>
              <w:pStyle w:val="TableParagraph"/>
              <w:spacing w:before="150"/>
              <w:ind w:right="104"/>
              <w:jc w:val="right"/>
              <w:rPr>
                <w:rFonts w:ascii="Arial"/>
                <w:sz w:val="16"/>
              </w:rPr>
            </w:pPr>
            <w:r w:rsidRPr="00EB2BD8">
              <w:rPr>
                <w:rFonts w:ascii="Arial"/>
                <w:spacing w:val="-2"/>
                <w:w w:val="105"/>
                <w:sz w:val="16"/>
              </w:rPr>
              <w:t>1,709</w:t>
            </w:r>
          </w:p>
        </w:tc>
      </w:tr>
      <w:tr w:rsidR="00EB2BD8" w:rsidRPr="00EB2BD8" w14:paraId="1FCD9559" w14:textId="77777777" w:rsidTr="00F007BF">
        <w:trPr>
          <w:trHeight w:val="314"/>
        </w:trPr>
        <w:tc>
          <w:tcPr>
            <w:tcW w:w="4790" w:type="dxa"/>
            <w:tcBorders>
              <w:bottom w:val="single" w:sz="12" w:space="0" w:color="000000"/>
            </w:tcBorders>
            <w:shd w:val="clear" w:color="auto" w:fill="FFFFFF"/>
          </w:tcPr>
          <w:p w14:paraId="2FACDA87" w14:textId="77777777" w:rsidR="00084F36" w:rsidRPr="00EB2BD8" w:rsidRDefault="00EB2BD8">
            <w:pPr>
              <w:pStyle w:val="TableParagraph"/>
              <w:spacing w:before="66"/>
              <w:ind w:left="100"/>
              <w:rPr>
                <w:rFonts w:ascii="Arial"/>
                <w:sz w:val="16"/>
              </w:rPr>
            </w:pPr>
            <w:r w:rsidRPr="00EB2BD8">
              <w:rPr>
                <w:rFonts w:ascii="Arial"/>
                <w:w w:val="105"/>
                <w:sz w:val="16"/>
              </w:rPr>
              <w:t>Plant</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spacing w:val="-2"/>
                <w:w w:val="105"/>
                <w:sz w:val="16"/>
              </w:rPr>
              <w:t>equipment</w:t>
            </w:r>
          </w:p>
        </w:tc>
        <w:tc>
          <w:tcPr>
            <w:tcW w:w="1133" w:type="dxa"/>
            <w:tcBorders>
              <w:bottom w:val="single" w:sz="12" w:space="0" w:color="000000"/>
            </w:tcBorders>
            <w:shd w:val="clear" w:color="auto" w:fill="FFFFFF"/>
          </w:tcPr>
          <w:p w14:paraId="15484B61" w14:textId="77777777" w:rsidR="00084F36" w:rsidRPr="00EB2BD8" w:rsidRDefault="00EB2BD8">
            <w:pPr>
              <w:pStyle w:val="TableParagraph"/>
              <w:spacing w:before="66"/>
              <w:ind w:right="202"/>
              <w:jc w:val="right"/>
              <w:rPr>
                <w:rFonts w:ascii="Arial"/>
                <w:sz w:val="16"/>
              </w:rPr>
            </w:pPr>
            <w:r w:rsidRPr="00EB2BD8">
              <w:rPr>
                <w:rFonts w:ascii="Arial"/>
                <w:spacing w:val="-5"/>
                <w:w w:val="105"/>
                <w:sz w:val="16"/>
              </w:rPr>
              <w:t>700</w:t>
            </w:r>
          </w:p>
        </w:tc>
        <w:tc>
          <w:tcPr>
            <w:tcW w:w="1192" w:type="dxa"/>
            <w:tcBorders>
              <w:bottom w:val="single" w:sz="12" w:space="0" w:color="000000"/>
            </w:tcBorders>
            <w:shd w:val="clear" w:color="auto" w:fill="FFFFFF"/>
          </w:tcPr>
          <w:p w14:paraId="11809604" w14:textId="77777777" w:rsidR="00084F36" w:rsidRPr="00EB2BD8" w:rsidRDefault="00EB2BD8">
            <w:pPr>
              <w:pStyle w:val="TableParagraph"/>
              <w:spacing w:before="66"/>
              <w:ind w:right="281"/>
              <w:jc w:val="right"/>
              <w:rPr>
                <w:rFonts w:ascii="Arial"/>
                <w:sz w:val="16"/>
              </w:rPr>
            </w:pPr>
            <w:r w:rsidRPr="00EB2BD8">
              <w:rPr>
                <w:rFonts w:ascii="Arial"/>
                <w:w w:val="104"/>
                <w:sz w:val="16"/>
              </w:rPr>
              <w:t>-</w:t>
            </w:r>
          </w:p>
        </w:tc>
        <w:tc>
          <w:tcPr>
            <w:tcW w:w="1231" w:type="dxa"/>
            <w:tcBorders>
              <w:bottom w:val="single" w:sz="12" w:space="0" w:color="000000"/>
            </w:tcBorders>
            <w:shd w:val="clear" w:color="auto" w:fill="FFFFFF"/>
          </w:tcPr>
          <w:p w14:paraId="0D07DFC3" w14:textId="77777777" w:rsidR="00084F36" w:rsidRPr="00EB2BD8" w:rsidRDefault="00EB2BD8">
            <w:pPr>
              <w:pStyle w:val="TableParagraph"/>
              <w:spacing w:before="66"/>
              <w:ind w:right="242"/>
              <w:jc w:val="right"/>
              <w:rPr>
                <w:rFonts w:ascii="Arial"/>
                <w:sz w:val="16"/>
              </w:rPr>
            </w:pPr>
            <w:r w:rsidRPr="00EB2BD8">
              <w:rPr>
                <w:rFonts w:ascii="Arial"/>
                <w:w w:val="104"/>
                <w:sz w:val="16"/>
              </w:rPr>
              <w:t>-</w:t>
            </w:r>
          </w:p>
        </w:tc>
        <w:tc>
          <w:tcPr>
            <w:tcW w:w="1051" w:type="dxa"/>
            <w:tcBorders>
              <w:bottom w:val="single" w:sz="12" w:space="0" w:color="000000"/>
            </w:tcBorders>
            <w:shd w:val="clear" w:color="auto" w:fill="FFFFFF"/>
          </w:tcPr>
          <w:p w14:paraId="021FFA2F" w14:textId="77777777" w:rsidR="00084F36" w:rsidRPr="00EB2BD8" w:rsidRDefault="00EB2BD8">
            <w:pPr>
              <w:pStyle w:val="TableParagraph"/>
              <w:spacing w:before="66"/>
              <w:ind w:right="104"/>
              <w:jc w:val="right"/>
              <w:rPr>
                <w:rFonts w:ascii="Arial"/>
                <w:sz w:val="16"/>
              </w:rPr>
            </w:pPr>
            <w:r w:rsidRPr="00EB2BD8">
              <w:rPr>
                <w:rFonts w:ascii="Arial"/>
                <w:spacing w:val="-5"/>
                <w:w w:val="105"/>
                <w:sz w:val="16"/>
              </w:rPr>
              <w:t>700</w:t>
            </w:r>
          </w:p>
        </w:tc>
      </w:tr>
      <w:tr w:rsidR="00EB2BD8" w:rsidRPr="00EB2BD8" w14:paraId="79AC062E" w14:textId="77777777" w:rsidTr="00F007BF">
        <w:trPr>
          <w:trHeight w:val="288"/>
        </w:trPr>
        <w:tc>
          <w:tcPr>
            <w:tcW w:w="4790" w:type="dxa"/>
            <w:tcBorders>
              <w:top w:val="single" w:sz="12" w:space="0" w:color="000000"/>
              <w:bottom w:val="single" w:sz="12" w:space="0" w:color="000000"/>
            </w:tcBorders>
            <w:shd w:val="clear" w:color="auto" w:fill="FFFFFF"/>
          </w:tcPr>
          <w:p w14:paraId="2CE73A9F" w14:textId="77777777" w:rsidR="00084F36" w:rsidRPr="00EB2BD8" w:rsidRDefault="00EB2BD8">
            <w:pPr>
              <w:pStyle w:val="TableParagraph"/>
              <w:spacing w:before="54"/>
              <w:ind w:left="100"/>
              <w:rPr>
                <w:rFonts w:ascii="Arial"/>
                <w:b/>
                <w:sz w:val="16"/>
              </w:rPr>
            </w:pPr>
            <w:r w:rsidRPr="00EB2BD8">
              <w:rPr>
                <w:rFonts w:ascii="Arial"/>
                <w:b/>
                <w:w w:val="105"/>
                <w:sz w:val="16"/>
              </w:rPr>
              <w:t>Total</w:t>
            </w:r>
            <w:r w:rsidRPr="00EB2BD8">
              <w:rPr>
                <w:rFonts w:ascii="Arial"/>
                <w:b/>
                <w:spacing w:val="-7"/>
                <w:w w:val="105"/>
                <w:sz w:val="16"/>
              </w:rPr>
              <w:t xml:space="preserve"> </w:t>
            </w:r>
            <w:r w:rsidRPr="00EB2BD8">
              <w:rPr>
                <w:rFonts w:ascii="Arial"/>
                <w:b/>
                <w:w w:val="105"/>
                <w:sz w:val="16"/>
              </w:rPr>
              <w:t>plant,</w:t>
            </w:r>
            <w:r w:rsidRPr="00EB2BD8">
              <w:rPr>
                <w:rFonts w:ascii="Arial"/>
                <w:b/>
                <w:spacing w:val="-6"/>
                <w:w w:val="105"/>
                <w:sz w:val="16"/>
              </w:rPr>
              <w:t xml:space="preserve"> </w:t>
            </w:r>
            <w:r w:rsidRPr="00EB2BD8">
              <w:rPr>
                <w:rFonts w:ascii="Arial"/>
                <w:b/>
                <w:w w:val="105"/>
                <w:sz w:val="16"/>
              </w:rPr>
              <w:t>equipment</w:t>
            </w:r>
            <w:r w:rsidRPr="00EB2BD8">
              <w:rPr>
                <w:rFonts w:ascii="Arial"/>
                <w:b/>
                <w:spacing w:val="-7"/>
                <w:w w:val="105"/>
                <w:sz w:val="16"/>
              </w:rPr>
              <w:t xml:space="preserve"> </w:t>
            </w:r>
            <w:r w:rsidRPr="00EB2BD8">
              <w:rPr>
                <w:rFonts w:ascii="Arial"/>
                <w:b/>
                <w:w w:val="105"/>
                <w:sz w:val="16"/>
              </w:rPr>
              <w:t>and</w:t>
            </w:r>
            <w:r w:rsidRPr="00EB2BD8">
              <w:rPr>
                <w:rFonts w:ascii="Arial"/>
                <w:b/>
                <w:spacing w:val="-7"/>
                <w:w w:val="105"/>
                <w:sz w:val="16"/>
              </w:rPr>
              <w:t xml:space="preserve"> </w:t>
            </w:r>
            <w:r w:rsidRPr="00EB2BD8">
              <w:rPr>
                <w:rFonts w:ascii="Arial"/>
                <w:b/>
                <w:w w:val="105"/>
                <w:sz w:val="16"/>
              </w:rPr>
              <w:t>vehicles</w:t>
            </w:r>
            <w:r w:rsidRPr="00EB2BD8">
              <w:rPr>
                <w:rFonts w:ascii="Arial"/>
                <w:b/>
                <w:spacing w:val="-6"/>
                <w:w w:val="105"/>
                <w:sz w:val="16"/>
              </w:rPr>
              <w:t xml:space="preserve"> </w:t>
            </w:r>
            <w:r w:rsidRPr="00EB2BD8">
              <w:rPr>
                <w:rFonts w:ascii="Arial"/>
                <w:b/>
                <w:w w:val="105"/>
                <w:sz w:val="16"/>
              </w:rPr>
              <w:t>at</w:t>
            </w:r>
            <w:r w:rsidRPr="00EB2BD8">
              <w:rPr>
                <w:rFonts w:ascii="Arial"/>
                <w:b/>
                <w:spacing w:val="-7"/>
                <w:w w:val="105"/>
                <w:sz w:val="16"/>
              </w:rPr>
              <w:t xml:space="preserve"> </w:t>
            </w:r>
            <w:r w:rsidRPr="00EB2BD8">
              <w:rPr>
                <w:rFonts w:ascii="Arial"/>
                <w:b/>
                <w:w w:val="105"/>
                <w:sz w:val="16"/>
              </w:rPr>
              <w:t>fair</w:t>
            </w:r>
            <w:r w:rsidRPr="00EB2BD8">
              <w:rPr>
                <w:rFonts w:ascii="Arial"/>
                <w:b/>
                <w:spacing w:val="-6"/>
                <w:w w:val="105"/>
                <w:sz w:val="16"/>
              </w:rPr>
              <w:t xml:space="preserve"> </w:t>
            </w:r>
            <w:r w:rsidRPr="00EB2BD8">
              <w:rPr>
                <w:rFonts w:ascii="Arial"/>
                <w:b/>
                <w:spacing w:val="-4"/>
                <w:w w:val="105"/>
                <w:sz w:val="16"/>
              </w:rPr>
              <w:t>value</w:t>
            </w:r>
          </w:p>
        </w:tc>
        <w:tc>
          <w:tcPr>
            <w:tcW w:w="1133" w:type="dxa"/>
            <w:tcBorders>
              <w:top w:val="single" w:sz="12" w:space="0" w:color="000000"/>
              <w:bottom w:val="single" w:sz="12" w:space="0" w:color="000000"/>
            </w:tcBorders>
            <w:shd w:val="clear" w:color="auto" w:fill="FFFFFF"/>
          </w:tcPr>
          <w:p w14:paraId="3DC0B496" w14:textId="77777777" w:rsidR="00084F36" w:rsidRPr="00EB2BD8" w:rsidRDefault="00EB2BD8">
            <w:pPr>
              <w:pStyle w:val="TableParagraph"/>
              <w:spacing w:before="54"/>
              <w:ind w:right="201"/>
              <w:jc w:val="right"/>
              <w:rPr>
                <w:rFonts w:ascii="Arial"/>
                <w:b/>
                <w:sz w:val="16"/>
              </w:rPr>
            </w:pPr>
            <w:r w:rsidRPr="00EB2BD8">
              <w:rPr>
                <w:rFonts w:ascii="Arial"/>
                <w:b/>
                <w:spacing w:val="-2"/>
                <w:w w:val="105"/>
                <w:sz w:val="16"/>
              </w:rPr>
              <w:t>2,409</w:t>
            </w:r>
          </w:p>
        </w:tc>
        <w:tc>
          <w:tcPr>
            <w:tcW w:w="1192" w:type="dxa"/>
            <w:tcBorders>
              <w:top w:val="single" w:sz="12" w:space="0" w:color="000000"/>
              <w:bottom w:val="single" w:sz="12" w:space="0" w:color="000000"/>
            </w:tcBorders>
            <w:shd w:val="clear" w:color="auto" w:fill="FFFFFF"/>
          </w:tcPr>
          <w:p w14:paraId="24DCBBA1" w14:textId="77777777" w:rsidR="00084F36" w:rsidRPr="00EB2BD8" w:rsidRDefault="00EB2BD8">
            <w:pPr>
              <w:pStyle w:val="TableParagraph"/>
              <w:spacing w:before="54"/>
              <w:ind w:right="281"/>
              <w:jc w:val="right"/>
              <w:rPr>
                <w:rFonts w:ascii="Arial"/>
                <w:b/>
                <w:sz w:val="16"/>
              </w:rPr>
            </w:pPr>
            <w:r w:rsidRPr="00EB2BD8">
              <w:rPr>
                <w:rFonts w:ascii="Arial"/>
                <w:b/>
                <w:w w:val="104"/>
                <w:sz w:val="16"/>
              </w:rPr>
              <w:t>-</w:t>
            </w:r>
          </w:p>
        </w:tc>
        <w:tc>
          <w:tcPr>
            <w:tcW w:w="1231" w:type="dxa"/>
            <w:tcBorders>
              <w:top w:val="single" w:sz="12" w:space="0" w:color="000000"/>
              <w:bottom w:val="single" w:sz="12" w:space="0" w:color="000000"/>
            </w:tcBorders>
            <w:shd w:val="clear" w:color="auto" w:fill="FFFFFF"/>
          </w:tcPr>
          <w:p w14:paraId="4316E0DC" w14:textId="77777777" w:rsidR="00084F36" w:rsidRPr="00EB2BD8" w:rsidRDefault="00EB2BD8">
            <w:pPr>
              <w:pStyle w:val="TableParagraph"/>
              <w:spacing w:before="54"/>
              <w:ind w:right="242"/>
              <w:jc w:val="right"/>
              <w:rPr>
                <w:rFonts w:ascii="Arial"/>
                <w:b/>
                <w:sz w:val="16"/>
              </w:rPr>
            </w:pPr>
            <w:r w:rsidRPr="00EB2BD8">
              <w:rPr>
                <w:rFonts w:ascii="Arial"/>
                <w:b/>
                <w:w w:val="104"/>
                <w:sz w:val="16"/>
              </w:rPr>
              <w:t>-</w:t>
            </w:r>
          </w:p>
        </w:tc>
        <w:tc>
          <w:tcPr>
            <w:tcW w:w="1051" w:type="dxa"/>
            <w:tcBorders>
              <w:top w:val="single" w:sz="12" w:space="0" w:color="000000"/>
              <w:bottom w:val="single" w:sz="12" w:space="0" w:color="000000"/>
            </w:tcBorders>
            <w:shd w:val="clear" w:color="auto" w:fill="FFFFFF"/>
          </w:tcPr>
          <w:p w14:paraId="5FBD3BCD" w14:textId="77777777" w:rsidR="00084F36" w:rsidRPr="00EB2BD8" w:rsidRDefault="00EB2BD8">
            <w:pPr>
              <w:pStyle w:val="TableParagraph"/>
              <w:spacing w:before="54"/>
              <w:ind w:right="103"/>
              <w:jc w:val="right"/>
              <w:rPr>
                <w:rFonts w:ascii="Arial"/>
                <w:b/>
                <w:sz w:val="16"/>
              </w:rPr>
            </w:pPr>
            <w:r w:rsidRPr="00EB2BD8">
              <w:rPr>
                <w:rFonts w:ascii="Arial"/>
                <w:b/>
                <w:spacing w:val="-2"/>
                <w:w w:val="105"/>
                <w:sz w:val="16"/>
              </w:rPr>
              <w:t>2,409</w:t>
            </w:r>
          </w:p>
        </w:tc>
      </w:tr>
    </w:tbl>
    <w:p w14:paraId="57760354" w14:textId="77777777" w:rsidR="00084F36" w:rsidRPr="00EB2BD8" w:rsidRDefault="00084F36">
      <w:pPr>
        <w:pStyle w:val="BodyText"/>
        <w:rPr>
          <w:rFonts w:ascii="Arial"/>
          <w:sz w:val="9"/>
        </w:rPr>
      </w:pPr>
    </w:p>
    <w:p w14:paraId="656A87A7" w14:textId="77777777" w:rsidR="00084F36" w:rsidRPr="00EB2BD8" w:rsidRDefault="00EB2BD8">
      <w:pPr>
        <w:spacing w:before="94"/>
        <w:ind w:left="1015"/>
        <w:rPr>
          <w:rFonts w:ascii="Arial"/>
          <w:i/>
          <w:sz w:val="15"/>
        </w:rPr>
      </w:pPr>
      <w:r w:rsidRPr="00EB2BD8">
        <w:rPr>
          <w:rFonts w:ascii="Arial"/>
          <w:i/>
          <w:spacing w:val="-2"/>
          <w:sz w:val="15"/>
        </w:rPr>
        <w:t>Note:</w:t>
      </w:r>
    </w:p>
    <w:p w14:paraId="42E2FF37" w14:textId="77777777" w:rsidR="00084F36" w:rsidRPr="00EB2BD8" w:rsidRDefault="00EB2BD8">
      <w:pPr>
        <w:pStyle w:val="ListParagraph"/>
        <w:numPr>
          <w:ilvl w:val="0"/>
          <w:numId w:val="30"/>
        </w:numPr>
        <w:tabs>
          <w:tab w:val="left" w:pos="1275"/>
        </w:tabs>
        <w:spacing w:before="82"/>
        <w:ind w:left="1275" w:hanging="260"/>
        <w:rPr>
          <w:rFonts w:ascii="Arial"/>
          <w:i/>
          <w:sz w:val="15"/>
        </w:rPr>
      </w:pPr>
      <w:r w:rsidRPr="00EB2BD8">
        <w:rPr>
          <w:rFonts w:ascii="Arial"/>
          <w:i/>
          <w:sz w:val="15"/>
        </w:rPr>
        <w:t>Classified</w:t>
      </w:r>
      <w:r w:rsidRPr="00EB2BD8">
        <w:rPr>
          <w:rFonts w:ascii="Arial"/>
          <w:i/>
          <w:spacing w:val="-11"/>
          <w:sz w:val="15"/>
        </w:rPr>
        <w:t xml:space="preserve"> </w:t>
      </w:r>
      <w:r w:rsidRPr="00EB2BD8">
        <w:rPr>
          <w:rFonts w:ascii="Arial"/>
          <w:i/>
          <w:sz w:val="15"/>
        </w:rPr>
        <w:t>in</w:t>
      </w:r>
      <w:r w:rsidRPr="00EB2BD8">
        <w:rPr>
          <w:rFonts w:ascii="Arial"/>
          <w:i/>
          <w:spacing w:val="-10"/>
          <w:sz w:val="15"/>
        </w:rPr>
        <w:t xml:space="preserve"> </w:t>
      </w:r>
      <w:r w:rsidRPr="00EB2BD8">
        <w:rPr>
          <w:rFonts w:ascii="Arial"/>
          <w:i/>
          <w:sz w:val="15"/>
        </w:rPr>
        <w:t>accordance</w:t>
      </w:r>
      <w:r w:rsidRPr="00EB2BD8">
        <w:rPr>
          <w:rFonts w:ascii="Arial"/>
          <w:i/>
          <w:spacing w:val="-11"/>
          <w:sz w:val="15"/>
        </w:rPr>
        <w:t xml:space="preserve"> </w:t>
      </w:r>
      <w:r w:rsidRPr="00EB2BD8">
        <w:rPr>
          <w:rFonts w:ascii="Arial"/>
          <w:i/>
          <w:sz w:val="15"/>
        </w:rPr>
        <w:t>with</w:t>
      </w:r>
      <w:r w:rsidRPr="00EB2BD8">
        <w:rPr>
          <w:rFonts w:ascii="Arial"/>
          <w:i/>
          <w:spacing w:val="-10"/>
          <w:sz w:val="15"/>
        </w:rPr>
        <w:t xml:space="preserve"> </w:t>
      </w:r>
      <w:r w:rsidRPr="00EB2BD8">
        <w:rPr>
          <w:rFonts w:ascii="Arial"/>
          <w:i/>
          <w:sz w:val="15"/>
        </w:rPr>
        <w:t>the</w:t>
      </w:r>
      <w:r w:rsidRPr="00EB2BD8">
        <w:rPr>
          <w:rFonts w:ascii="Arial"/>
          <w:i/>
          <w:spacing w:val="-11"/>
          <w:sz w:val="15"/>
        </w:rPr>
        <w:t xml:space="preserve"> </w:t>
      </w:r>
      <w:r w:rsidRPr="00EB2BD8">
        <w:rPr>
          <w:rFonts w:ascii="Arial"/>
          <w:i/>
          <w:sz w:val="15"/>
        </w:rPr>
        <w:t>fair</w:t>
      </w:r>
      <w:r w:rsidRPr="00EB2BD8">
        <w:rPr>
          <w:rFonts w:ascii="Arial"/>
          <w:i/>
          <w:spacing w:val="-10"/>
          <w:sz w:val="15"/>
        </w:rPr>
        <w:t xml:space="preserve"> </w:t>
      </w:r>
      <w:r w:rsidRPr="00EB2BD8">
        <w:rPr>
          <w:rFonts w:ascii="Arial"/>
          <w:i/>
          <w:sz w:val="15"/>
        </w:rPr>
        <w:t>value</w:t>
      </w:r>
      <w:r w:rsidRPr="00EB2BD8">
        <w:rPr>
          <w:rFonts w:ascii="Arial"/>
          <w:i/>
          <w:spacing w:val="-10"/>
          <w:sz w:val="15"/>
        </w:rPr>
        <w:t xml:space="preserve"> </w:t>
      </w:r>
      <w:r w:rsidRPr="00EB2BD8">
        <w:rPr>
          <w:rFonts w:ascii="Arial"/>
          <w:i/>
          <w:sz w:val="15"/>
        </w:rPr>
        <w:t>hierarchy.</w:t>
      </w:r>
      <w:r w:rsidRPr="00EB2BD8">
        <w:rPr>
          <w:rFonts w:ascii="Arial"/>
          <w:i/>
          <w:spacing w:val="-10"/>
          <w:sz w:val="15"/>
        </w:rPr>
        <w:t xml:space="preserve"> </w:t>
      </w:r>
      <w:r w:rsidRPr="00EB2BD8">
        <w:rPr>
          <w:rFonts w:ascii="Arial"/>
          <w:i/>
          <w:sz w:val="15"/>
        </w:rPr>
        <w:t>There</w:t>
      </w:r>
      <w:r w:rsidRPr="00EB2BD8">
        <w:rPr>
          <w:rFonts w:ascii="Arial"/>
          <w:i/>
          <w:spacing w:val="-11"/>
          <w:sz w:val="15"/>
        </w:rPr>
        <w:t xml:space="preserve"> </w:t>
      </w:r>
      <w:r w:rsidRPr="00EB2BD8">
        <w:rPr>
          <w:rFonts w:ascii="Arial"/>
          <w:i/>
          <w:sz w:val="15"/>
        </w:rPr>
        <w:t>have</w:t>
      </w:r>
      <w:r w:rsidRPr="00EB2BD8">
        <w:rPr>
          <w:rFonts w:ascii="Arial"/>
          <w:i/>
          <w:spacing w:val="-10"/>
          <w:sz w:val="15"/>
        </w:rPr>
        <w:t xml:space="preserve"> </w:t>
      </w:r>
      <w:r w:rsidRPr="00EB2BD8">
        <w:rPr>
          <w:rFonts w:ascii="Arial"/>
          <w:i/>
          <w:sz w:val="15"/>
        </w:rPr>
        <w:t>been</w:t>
      </w:r>
      <w:r w:rsidRPr="00EB2BD8">
        <w:rPr>
          <w:rFonts w:ascii="Arial"/>
          <w:i/>
          <w:spacing w:val="-10"/>
          <w:sz w:val="15"/>
        </w:rPr>
        <w:t xml:space="preserve"> </w:t>
      </w:r>
      <w:r w:rsidRPr="00EB2BD8">
        <w:rPr>
          <w:rFonts w:ascii="Arial"/>
          <w:i/>
          <w:sz w:val="15"/>
        </w:rPr>
        <w:t>no</w:t>
      </w:r>
      <w:r w:rsidRPr="00EB2BD8">
        <w:rPr>
          <w:rFonts w:ascii="Arial"/>
          <w:i/>
          <w:spacing w:val="-10"/>
          <w:sz w:val="15"/>
        </w:rPr>
        <w:t xml:space="preserve"> </w:t>
      </w:r>
      <w:r w:rsidRPr="00EB2BD8">
        <w:rPr>
          <w:rFonts w:ascii="Arial"/>
          <w:i/>
          <w:sz w:val="15"/>
        </w:rPr>
        <w:t>transfers</w:t>
      </w:r>
      <w:r w:rsidRPr="00EB2BD8">
        <w:rPr>
          <w:rFonts w:ascii="Arial"/>
          <w:i/>
          <w:spacing w:val="-6"/>
          <w:sz w:val="15"/>
        </w:rPr>
        <w:t xml:space="preserve"> </w:t>
      </w:r>
      <w:r w:rsidRPr="00EB2BD8">
        <w:rPr>
          <w:rFonts w:ascii="Arial"/>
          <w:i/>
          <w:sz w:val="15"/>
        </w:rPr>
        <w:t>between</w:t>
      </w:r>
      <w:r w:rsidRPr="00EB2BD8">
        <w:rPr>
          <w:rFonts w:ascii="Arial"/>
          <w:i/>
          <w:spacing w:val="-10"/>
          <w:sz w:val="15"/>
        </w:rPr>
        <w:t xml:space="preserve"> </w:t>
      </w:r>
      <w:r w:rsidRPr="00EB2BD8">
        <w:rPr>
          <w:rFonts w:ascii="Arial"/>
          <w:i/>
          <w:sz w:val="15"/>
        </w:rPr>
        <w:t>levels</w:t>
      </w:r>
      <w:r w:rsidRPr="00EB2BD8">
        <w:rPr>
          <w:rFonts w:ascii="Arial"/>
          <w:i/>
          <w:spacing w:val="-9"/>
          <w:sz w:val="15"/>
        </w:rPr>
        <w:t xml:space="preserve"> </w:t>
      </w:r>
      <w:r w:rsidRPr="00EB2BD8">
        <w:rPr>
          <w:rFonts w:ascii="Arial"/>
          <w:i/>
          <w:sz w:val="15"/>
        </w:rPr>
        <w:t>during</w:t>
      </w:r>
      <w:r w:rsidRPr="00EB2BD8">
        <w:rPr>
          <w:rFonts w:ascii="Arial"/>
          <w:i/>
          <w:spacing w:val="-11"/>
          <w:sz w:val="15"/>
        </w:rPr>
        <w:t xml:space="preserve"> </w:t>
      </w:r>
      <w:r w:rsidRPr="00EB2BD8">
        <w:rPr>
          <w:rFonts w:ascii="Arial"/>
          <w:i/>
          <w:sz w:val="15"/>
        </w:rPr>
        <w:t>the</w:t>
      </w:r>
      <w:r w:rsidRPr="00EB2BD8">
        <w:rPr>
          <w:rFonts w:ascii="Arial"/>
          <w:i/>
          <w:spacing w:val="-7"/>
          <w:sz w:val="15"/>
        </w:rPr>
        <w:t xml:space="preserve"> </w:t>
      </w:r>
      <w:r w:rsidRPr="00EB2BD8">
        <w:rPr>
          <w:rFonts w:ascii="Arial"/>
          <w:i/>
          <w:spacing w:val="-2"/>
          <w:sz w:val="15"/>
        </w:rPr>
        <w:t>period.</w:t>
      </w:r>
    </w:p>
    <w:p w14:paraId="1965A9E3" w14:textId="77777777" w:rsidR="00084F36" w:rsidRPr="00EB2BD8" w:rsidRDefault="00EB2BD8">
      <w:pPr>
        <w:pStyle w:val="ListParagraph"/>
        <w:numPr>
          <w:ilvl w:val="0"/>
          <w:numId w:val="30"/>
        </w:numPr>
        <w:tabs>
          <w:tab w:val="left" w:pos="1274"/>
        </w:tabs>
        <w:spacing w:before="80"/>
        <w:ind w:left="1274" w:hanging="259"/>
        <w:rPr>
          <w:rFonts w:ascii="Arial"/>
          <w:i/>
          <w:sz w:val="15"/>
        </w:rPr>
      </w:pPr>
      <w:r w:rsidRPr="00EB2BD8">
        <w:rPr>
          <w:rFonts w:ascii="Arial"/>
          <w:i/>
          <w:sz w:val="15"/>
        </w:rPr>
        <w:t>Vehicles</w:t>
      </w:r>
      <w:r w:rsidRPr="00EB2BD8">
        <w:rPr>
          <w:rFonts w:ascii="Arial"/>
          <w:i/>
          <w:spacing w:val="-5"/>
          <w:sz w:val="15"/>
        </w:rPr>
        <w:t xml:space="preserve"> </w:t>
      </w:r>
      <w:r w:rsidRPr="00EB2BD8">
        <w:rPr>
          <w:rFonts w:ascii="Arial"/>
          <w:i/>
          <w:sz w:val="15"/>
        </w:rPr>
        <w:t>are</w:t>
      </w:r>
      <w:r w:rsidRPr="00EB2BD8">
        <w:rPr>
          <w:rFonts w:ascii="Arial"/>
          <w:i/>
          <w:spacing w:val="-5"/>
          <w:sz w:val="15"/>
        </w:rPr>
        <w:t xml:space="preserve"> </w:t>
      </w:r>
      <w:r w:rsidRPr="00EB2BD8">
        <w:rPr>
          <w:rFonts w:ascii="Arial"/>
          <w:i/>
          <w:sz w:val="15"/>
        </w:rPr>
        <w:t>categorised</w:t>
      </w:r>
      <w:r w:rsidRPr="00EB2BD8">
        <w:rPr>
          <w:rFonts w:ascii="Arial"/>
          <w:i/>
          <w:spacing w:val="-6"/>
          <w:sz w:val="15"/>
        </w:rPr>
        <w:t xml:space="preserve"> </w:t>
      </w:r>
      <w:r w:rsidRPr="00EB2BD8">
        <w:rPr>
          <w:rFonts w:ascii="Arial"/>
          <w:i/>
          <w:sz w:val="15"/>
        </w:rPr>
        <w:t>to</w:t>
      </w:r>
      <w:r w:rsidRPr="00EB2BD8">
        <w:rPr>
          <w:rFonts w:ascii="Arial"/>
          <w:i/>
          <w:spacing w:val="-6"/>
          <w:sz w:val="15"/>
        </w:rPr>
        <w:t xml:space="preserve"> </w:t>
      </w:r>
      <w:r w:rsidRPr="00EB2BD8">
        <w:rPr>
          <w:rFonts w:ascii="Arial"/>
          <w:i/>
          <w:sz w:val="15"/>
        </w:rPr>
        <w:t>Level</w:t>
      </w:r>
      <w:r w:rsidRPr="00EB2BD8">
        <w:rPr>
          <w:rFonts w:ascii="Arial"/>
          <w:i/>
          <w:spacing w:val="-4"/>
          <w:sz w:val="15"/>
        </w:rPr>
        <w:t xml:space="preserve"> </w:t>
      </w:r>
      <w:r w:rsidRPr="00EB2BD8">
        <w:rPr>
          <w:rFonts w:ascii="Arial"/>
          <w:i/>
          <w:sz w:val="15"/>
        </w:rPr>
        <w:t>3</w:t>
      </w:r>
      <w:r w:rsidRPr="00EB2BD8">
        <w:rPr>
          <w:rFonts w:ascii="Arial"/>
          <w:i/>
          <w:spacing w:val="-6"/>
          <w:sz w:val="15"/>
        </w:rPr>
        <w:t xml:space="preserve"> </w:t>
      </w:r>
      <w:r w:rsidRPr="00EB2BD8">
        <w:rPr>
          <w:rFonts w:ascii="Arial"/>
          <w:i/>
          <w:sz w:val="15"/>
        </w:rPr>
        <w:t>assets</w:t>
      </w:r>
      <w:r w:rsidRPr="00EB2BD8">
        <w:rPr>
          <w:rFonts w:ascii="Arial"/>
          <w:i/>
          <w:spacing w:val="-5"/>
          <w:sz w:val="15"/>
        </w:rPr>
        <w:t xml:space="preserve"> </w:t>
      </w:r>
      <w:r w:rsidRPr="00EB2BD8">
        <w:rPr>
          <w:rFonts w:ascii="Arial"/>
          <w:i/>
          <w:sz w:val="15"/>
        </w:rPr>
        <w:t>if</w:t>
      </w:r>
      <w:r w:rsidRPr="00EB2BD8">
        <w:rPr>
          <w:rFonts w:ascii="Arial"/>
          <w:i/>
          <w:spacing w:val="-6"/>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current</w:t>
      </w:r>
      <w:r w:rsidRPr="00EB2BD8">
        <w:rPr>
          <w:rFonts w:ascii="Arial"/>
          <w:i/>
          <w:spacing w:val="-5"/>
          <w:sz w:val="15"/>
        </w:rPr>
        <w:t xml:space="preserve"> </w:t>
      </w:r>
      <w:r w:rsidRPr="00EB2BD8">
        <w:rPr>
          <w:rFonts w:ascii="Arial"/>
          <w:i/>
          <w:sz w:val="15"/>
        </w:rPr>
        <w:t>replacement</w:t>
      </w:r>
      <w:r w:rsidRPr="00EB2BD8">
        <w:rPr>
          <w:rFonts w:ascii="Arial"/>
          <w:i/>
          <w:spacing w:val="-6"/>
          <w:sz w:val="15"/>
        </w:rPr>
        <w:t xml:space="preserve"> </w:t>
      </w:r>
      <w:r w:rsidRPr="00EB2BD8">
        <w:rPr>
          <w:rFonts w:ascii="Arial"/>
          <w:i/>
          <w:sz w:val="15"/>
        </w:rPr>
        <w:t>cost</w:t>
      </w:r>
      <w:r w:rsidRPr="00EB2BD8">
        <w:rPr>
          <w:rFonts w:ascii="Arial"/>
          <w:i/>
          <w:spacing w:val="-6"/>
          <w:sz w:val="15"/>
        </w:rPr>
        <w:t xml:space="preserve"> </w:t>
      </w:r>
      <w:r w:rsidRPr="00EB2BD8">
        <w:rPr>
          <w:rFonts w:ascii="Arial"/>
          <w:i/>
          <w:sz w:val="15"/>
        </w:rPr>
        <w:t>is</w:t>
      </w:r>
      <w:r w:rsidRPr="00EB2BD8">
        <w:rPr>
          <w:rFonts w:ascii="Arial"/>
          <w:i/>
          <w:spacing w:val="-5"/>
          <w:sz w:val="15"/>
        </w:rPr>
        <w:t xml:space="preserve"> </w:t>
      </w:r>
      <w:r w:rsidRPr="00EB2BD8">
        <w:rPr>
          <w:rFonts w:ascii="Arial"/>
          <w:i/>
          <w:sz w:val="15"/>
        </w:rPr>
        <w:t>used</w:t>
      </w:r>
      <w:r w:rsidRPr="00EB2BD8">
        <w:rPr>
          <w:rFonts w:ascii="Arial"/>
          <w:i/>
          <w:spacing w:val="-5"/>
          <w:sz w:val="15"/>
        </w:rPr>
        <w:t xml:space="preserve"> </w:t>
      </w:r>
      <w:r w:rsidRPr="00EB2BD8">
        <w:rPr>
          <w:rFonts w:ascii="Arial"/>
          <w:i/>
          <w:sz w:val="15"/>
        </w:rPr>
        <w:t>in</w:t>
      </w:r>
      <w:r w:rsidRPr="00EB2BD8">
        <w:rPr>
          <w:rFonts w:ascii="Arial"/>
          <w:i/>
          <w:spacing w:val="-6"/>
          <w:sz w:val="15"/>
        </w:rPr>
        <w:t xml:space="preserve"> </w:t>
      </w:r>
      <w:r w:rsidRPr="00EB2BD8">
        <w:rPr>
          <w:rFonts w:ascii="Arial"/>
          <w:i/>
          <w:sz w:val="15"/>
        </w:rPr>
        <w:t>estimating</w:t>
      </w:r>
      <w:r w:rsidRPr="00EB2BD8">
        <w:rPr>
          <w:rFonts w:ascii="Arial"/>
          <w:i/>
          <w:spacing w:val="-6"/>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fair</w:t>
      </w:r>
      <w:r w:rsidRPr="00EB2BD8">
        <w:rPr>
          <w:rFonts w:ascii="Arial"/>
          <w:i/>
          <w:spacing w:val="-6"/>
          <w:sz w:val="15"/>
        </w:rPr>
        <w:t xml:space="preserve"> </w:t>
      </w:r>
      <w:r w:rsidRPr="00EB2BD8">
        <w:rPr>
          <w:rFonts w:ascii="Arial"/>
          <w:i/>
          <w:spacing w:val="-2"/>
          <w:sz w:val="15"/>
        </w:rPr>
        <w:t>value.</w:t>
      </w:r>
    </w:p>
    <w:p w14:paraId="6C333930" w14:textId="77777777" w:rsidR="00084F36" w:rsidRPr="00EB2BD8" w:rsidRDefault="00084F36">
      <w:pPr>
        <w:pStyle w:val="BodyText"/>
        <w:rPr>
          <w:rFonts w:ascii="Arial"/>
          <w:i/>
          <w:sz w:val="20"/>
        </w:rPr>
      </w:pPr>
    </w:p>
    <w:p w14:paraId="0425CA79" w14:textId="77777777" w:rsidR="00084F36" w:rsidRPr="00EB2BD8" w:rsidRDefault="00084F36">
      <w:pPr>
        <w:pStyle w:val="BodyText"/>
        <w:spacing w:before="6"/>
        <w:rPr>
          <w:rFonts w:ascii="Arial"/>
          <w:i/>
          <w:sz w:val="17"/>
        </w:rPr>
      </w:pPr>
    </w:p>
    <w:p w14:paraId="63D1109E" w14:textId="1BEC5681" w:rsidR="00084F36" w:rsidRPr="003B3D54" w:rsidRDefault="00084F36" w:rsidP="003B3D54">
      <w:pPr>
        <w:tabs>
          <w:tab w:val="left" w:pos="1906"/>
        </w:tabs>
        <w:spacing w:before="91"/>
        <w:ind w:left="842"/>
        <w:rPr>
          <w:b/>
          <w:sz w:val="16"/>
        </w:rPr>
        <w:sectPr w:rsidR="00084F36" w:rsidRPr="003B3D54" w:rsidSect="006D75B2">
          <w:headerReference w:type="even" r:id="rId354"/>
          <w:footerReference w:type="even" r:id="rId355"/>
          <w:footerReference w:type="default" r:id="rId356"/>
          <w:pgSz w:w="11910" w:h="16840"/>
          <w:pgMar w:top="782" w:right="0" w:bottom="386" w:left="0" w:header="0" w:footer="0" w:gutter="0"/>
          <w:cols w:space="720"/>
        </w:sectPr>
      </w:pPr>
    </w:p>
    <w:p w14:paraId="47EDA245" w14:textId="77777777" w:rsidR="00084F36" w:rsidRPr="00EB2BD8" w:rsidRDefault="00EB2BD8" w:rsidP="003B3D54">
      <w:pPr>
        <w:spacing w:line="271" w:lineRule="auto"/>
        <w:ind w:left="993" w:right="1428"/>
        <w:rPr>
          <w:rFonts w:ascii="Arial"/>
          <w:sz w:val="16"/>
        </w:rPr>
      </w:pPr>
      <w:r w:rsidRPr="00EB2BD8">
        <w:rPr>
          <w:rFonts w:ascii="Arial"/>
          <w:b/>
          <w:w w:val="105"/>
          <w:sz w:val="16"/>
        </w:rPr>
        <w:lastRenderedPageBreak/>
        <w:t>Non-specialised</w:t>
      </w:r>
      <w:r w:rsidRPr="00EB2BD8">
        <w:rPr>
          <w:rFonts w:ascii="Arial"/>
          <w:b/>
          <w:spacing w:val="-2"/>
          <w:w w:val="105"/>
          <w:sz w:val="16"/>
        </w:rPr>
        <w:t xml:space="preserve"> </w:t>
      </w:r>
      <w:r w:rsidRPr="00EB2BD8">
        <w:rPr>
          <w:rFonts w:ascii="Arial"/>
          <w:b/>
          <w:w w:val="105"/>
          <w:sz w:val="16"/>
        </w:rPr>
        <w:t>land</w:t>
      </w:r>
      <w:r w:rsidRPr="00EB2BD8">
        <w:rPr>
          <w:rFonts w:ascii="Arial"/>
          <w:b/>
          <w:spacing w:val="-2"/>
          <w:w w:val="105"/>
          <w:sz w:val="16"/>
        </w:rPr>
        <w:t xml:space="preserve"> </w:t>
      </w:r>
      <w:r w:rsidRPr="00EB2BD8">
        <w:rPr>
          <w:rFonts w:ascii="Arial"/>
          <w:b/>
          <w:w w:val="105"/>
          <w:sz w:val="16"/>
        </w:rPr>
        <w:t>and</w:t>
      </w:r>
      <w:r w:rsidRPr="00EB2BD8">
        <w:rPr>
          <w:rFonts w:ascii="Arial"/>
          <w:b/>
          <w:spacing w:val="-3"/>
          <w:w w:val="105"/>
          <w:sz w:val="16"/>
        </w:rPr>
        <w:t xml:space="preserve"> </w:t>
      </w:r>
      <w:r w:rsidRPr="00EB2BD8">
        <w:rPr>
          <w:rFonts w:ascii="Arial"/>
          <w:b/>
          <w:w w:val="105"/>
          <w:sz w:val="16"/>
        </w:rPr>
        <w:t>non-specialised</w:t>
      </w:r>
      <w:r w:rsidRPr="00EB2BD8">
        <w:rPr>
          <w:rFonts w:ascii="Arial"/>
          <w:b/>
          <w:spacing w:val="-3"/>
          <w:w w:val="105"/>
          <w:sz w:val="16"/>
        </w:rPr>
        <w:t xml:space="preserve"> </w:t>
      </w:r>
      <w:r w:rsidRPr="00EB2BD8">
        <w:rPr>
          <w:rFonts w:ascii="Arial"/>
          <w:b/>
          <w:w w:val="105"/>
          <w:sz w:val="16"/>
        </w:rPr>
        <w:t>buildings</w:t>
      </w:r>
      <w:r w:rsidRPr="00EB2BD8">
        <w:rPr>
          <w:rFonts w:ascii="Arial"/>
          <w:b/>
          <w:spacing w:val="-4"/>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valued</w:t>
      </w:r>
      <w:r w:rsidRPr="00EB2BD8">
        <w:rPr>
          <w:rFonts w:ascii="Arial"/>
          <w:spacing w:val="-3"/>
          <w:w w:val="105"/>
          <w:sz w:val="16"/>
        </w:rPr>
        <w:t xml:space="preserve"> </w:t>
      </w:r>
      <w:r w:rsidRPr="00EB2BD8">
        <w:rPr>
          <w:rFonts w:ascii="Arial"/>
          <w:w w:val="105"/>
          <w:sz w:val="16"/>
        </w:rPr>
        <w:t>using</w:t>
      </w:r>
      <w:r w:rsidRPr="00EB2BD8">
        <w:rPr>
          <w:rFonts w:ascii="Arial"/>
          <w:spacing w:val="-2"/>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market</w:t>
      </w:r>
      <w:r w:rsidRPr="00EB2BD8">
        <w:rPr>
          <w:rFonts w:ascii="Arial"/>
          <w:spacing w:val="-3"/>
          <w:w w:val="105"/>
          <w:sz w:val="16"/>
        </w:rPr>
        <w:t xml:space="preserve"> </w:t>
      </w:r>
      <w:r w:rsidRPr="00EB2BD8">
        <w:rPr>
          <w:rFonts w:ascii="Arial"/>
          <w:w w:val="105"/>
          <w:sz w:val="16"/>
        </w:rPr>
        <w:t>approach,</w:t>
      </w:r>
      <w:r w:rsidRPr="00EB2BD8">
        <w:rPr>
          <w:rFonts w:ascii="Arial"/>
          <w:spacing w:val="-3"/>
          <w:w w:val="105"/>
          <w:sz w:val="16"/>
        </w:rPr>
        <w:t xml:space="preserve"> </w:t>
      </w:r>
      <w:r w:rsidRPr="00EB2BD8">
        <w:rPr>
          <w:rFonts w:ascii="Arial"/>
          <w:w w:val="105"/>
          <w:sz w:val="16"/>
        </w:rPr>
        <w:t>whereby</w:t>
      </w:r>
      <w:r w:rsidRPr="00EB2BD8">
        <w:rPr>
          <w:rFonts w:ascii="Arial"/>
          <w:spacing w:val="-3"/>
          <w:w w:val="105"/>
          <w:sz w:val="16"/>
        </w:rPr>
        <w:t xml:space="preserve"> </w:t>
      </w:r>
      <w:r w:rsidRPr="00EB2BD8">
        <w:rPr>
          <w:rFonts w:ascii="Arial"/>
          <w:w w:val="105"/>
          <w:sz w:val="16"/>
        </w:rPr>
        <w:t>assets</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compared to recent comparable sales or sales of comparable assets that are considered to have nominal value.</w:t>
      </w:r>
    </w:p>
    <w:p w14:paraId="0276FEC5" w14:textId="77777777" w:rsidR="00084F36" w:rsidRPr="00EB2BD8" w:rsidRDefault="00EB2BD8">
      <w:pPr>
        <w:spacing w:before="151" w:line="271" w:lineRule="auto"/>
        <w:ind w:left="1055" w:right="1551"/>
        <w:rPr>
          <w:rFonts w:ascii="Arial"/>
          <w:sz w:val="16"/>
        </w:rPr>
      </w:pPr>
      <w:r w:rsidRPr="00EB2BD8">
        <w:rPr>
          <w:rFonts w:ascii="Arial"/>
          <w:w w:val="105"/>
          <w:sz w:val="16"/>
        </w:rPr>
        <w:t>For non-specialised land and non-specialised buildings, an independent valuation was performed by the Valuer-General of Victoria to determine the fair value using the market approach. Valuation of the assets was determined by analysing comparable sales and allowing for share, size, topography, location and other relevant factors specific to the asset being valued. From the sales analysed, an appropriate rate per square metre has been applied to the subject asset. The effective date</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valuation</w:t>
      </w:r>
      <w:r w:rsidRPr="00EB2BD8">
        <w:rPr>
          <w:rFonts w:ascii="Arial"/>
          <w:spacing w:val="-2"/>
          <w:w w:val="105"/>
          <w:sz w:val="16"/>
        </w:rPr>
        <w:t xml:space="preserve"> </w:t>
      </w:r>
      <w:r w:rsidRPr="00EB2BD8">
        <w:rPr>
          <w:rFonts w:ascii="Arial"/>
          <w:w w:val="105"/>
          <w:sz w:val="16"/>
        </w:rPr>
        <w:t>was</w:t>
      </w:r>
      <w:r w:rsidRPr="00EB2BD8">
        <w:rPr>
          <w:rFonts w:ascii="Arial"/>
          <w:spacing w:val="-2"/>
          <w:w w:val="105"/>
          <w:sz w:val="16"/>
        </w:rPr>
        <w:t xml:space="preserve"> </w:t>
      </w:r>
      <w:r w:rsidRPr="00EB2BD8">
        <w:rPr>
          <w:rFonts w:ascii="Arial"/>
          <w:w w:val="105"/>
          <w:sz w:val="16"/>
        </w:rPr>
        <w:t>30</w:t>
      </w:r>
      <w:r w:rsidRPr="00EB2BD8">
        <w:rPr>
          <w:rFonts w:ascii="Arial"/>
          <w:spacing w:val="-2"/>
          <w:w w:val="105"/>
          <w:sz w:val="16"/>
        </w:rPr>
        <w:t xml:space="preserve"> </w:t>
      </w:r>
      <w:r w:rsidRPr="00EB2BD8">
        <w:rPr>
          <w:rFonts w:ascii="Arial"/>
          <w:w w:val="105"/>
          <w:sz w:val="16"/>
        </w:rPr>
        <w:t>June</w:t>
      </w:r>
      <w:r w:rsidRPr="00EB2BD8">
        <w:rPr>
          <w:rFonts w:ascii="Arial"/>
          <w:spacing w:val="-2"/>
          <w:w w:val="105"/>
          <w:sz w:val="16"/>
        </w:rPr>
        <w:t xml:space="preserve"> </w:t>
      </w:r>
      <w:r w:rsidRPr="00EB2BD8">
        <w:rPr>
          <w:rFonts w:ascii="Arial"/>
          <w:w w:val="105"/>
          <w:sz w:val="16"/>
        </w:rPr>
        <w:t>2021.</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extent</w:t>
      </w:r>
      <w:r w:rsidRPr="00EB2BD8">
        <w:rPr>
          <w:rFonts w:ascii="Arial"/>
          <w:spacing w:val="-2"/>
          <w:w w:val="105"/>
          <w:sz w:val="16"/>
        </w:rPr>
        <w:t xml:space="preserve"> </w:t>
      </w:r>
      <w:r w:rsidRPr="00EB2BD8">
        <w:rPr>
          <w:rFonts w:ascii="Arial"/>
          <w:w w:val="105"/>
          <w:sz w:val="16"/>
        </w:rPr>
        <w:t>that</w:t>
      </w:r>
      <w:r w:rsidRPr="00EB2BD8">
        <w:rPr>
          <w:rFonts w:ascii="Arial"/>
          <w:spacing w:val="-2"/>
          <w:w w:val="105"/>
          <w:sz w:val="16"/>
        </w:rPr>
        <w:t xml:space="preserve"> </w:t>
      </w:r>
      <w:r w:rsidRPr="00EB2BD8">
        <w:rPr>
          <w:rFonts w:ascii="Arial"/>
          <w:w w:val="105"/>
          <w:sz w:val="16"/>
        </w:rPr>
        <w:t>non-specialised</w:t>
      </w:r>
      <w:r w:rsidRPr="00EB2BD8">
        <w:rPr>
          <w:rFonts w:ascii="Arial"/>
          <w:spacing w:val="-2"/>
          <w:w w:val="105"/>
          <w:sz w:val="16"/>
        </w:rPr>
        <w:t xml:space="preserve"> </w:t>
      </w:r>
      <w:r w:rsidRPr="00EB2BD8">
        <w:rPr>
          <w:rFonts w:ascii="Arial"/>
          <w:w w:val="105"/>
          <w:sz w:val="16"/>
        </w:rPr>
        <w:t>land</w:t>
      </w:r>
      <w:r w:rsidRPr="00EB2BD8">
        <w:rPr>
          <w:rFonts w:ascii="Arial"/>
          <w:spacing w:val="-2"/>
          <w:w w:val="105"/>
          <w:sz w:val="16"/>
        </w:rPr>
        <w:t xml:space="preserve"> </w:t>
      </w:r>
      <w:r w:rsidRPr="00EB2BD8">
        <w:rPr>
          <w:rFonts w:ascii="Arial"/>
          <w:w w:val="105"/>
          <w:sz w:val="16"/>
        </w:rPr>
        <w:t>and</w:t>
      </w:r>
      <w:r w:rsidRPr="00EB2BD8">
        <w:rPr>
          <w:rFonts w:ascii="Arial"/>
          <w:spacing w:val="-2"/>
          <w:w w:val="105"/>
          <w:sz w:val="16"/>
        </w:rPr>
        <w:t xml:space="preserve"> </w:t>
      </w:r>
      <w:r w:rsidRPr="00EB2BD8">
        <w:rPr>
          <w:rFonts w:ascii="Arial"/>
          <w:w w:val="105"/>
          <w:sz w:val="16"/>
        </w:rPr>
        <w:t>non-specialised</w:t>
      </w:r>
      <w:r w:rsidRPr="00EB2BD8">
        <w:rPr>
          <w:rFonts w:ascii="Arial"/>
          <w:spacing w:val="-2"/>
          <w:w w:val="105"/>
          <w:sz w:val="16"/>
        </w:rPr>
        <w:t xml:space="preserve"> </w:t>
      </w:r>
      <w:r w:rsidRPr="00EB2BD8">
        <w:rPr>
          <w:rFonts w:ascii="Arial"/>
          <w:w w:val="105"/>
          <w:sz w:val="16"/>
        </w:rPr>
        <w:t>buildings</w:t>
      </w:r>
      <w:r w:rsidRPr="00EB2BD8">
        <w:rPr>
          <w:rFonts w:ascii="Arial"/>
          <w:spacing w:val="-2"/>
          <w:w w:val="105"/>
          <w:sz w:val="16"/>
        </w:rPr>
        <w:t xml:space="preserve"> </w:t>
      </w:r>
      <w:r w:rsidRPr="00EB2BD8">
        <w:rPr>
          <w:rFonts w:ascii="Arial"/>
          <w:w w:val="105"/>
          <w:sz w:val="16"/>
        </w:rPr>
        <w:t>do</w:t>
      </w:r>
      <w:r w:rsidRPr="00EB2BD8">
        <w:rPr>
          <w:rFonts w:ascii="Arial"/>
          <w:spacing w:val="-2"/>
          <w:w w:val="105"/>
          <w:sz w:val="16"/>
        </w:rPr>
        <w:t xml:space="preserve"> </w:t>
      </w:r>
      <w:r w:rsidRPr="00EB2BD8">
        <w:rPr>
          <w:rFonts w:ascii="Arial"/>
          <w:w w:val="105"/>
          <w:sz w:val="16"/>
        </w:rPr>
        <w:t>not</w:t>
      </w:r>
      <w:r w:rsidRPr="00EB2BD8">
        <w:rPr>
          <w:rFonts w:ascii="Arial"/>
          <w:spacing w:val="-2"/>
          <w:w w:val="105"/>
          <w:sz w:val="16"/>
        </w:rPr>
        <w:t xml:space="preserve"> </w:t>
      </w:r>
      <w:r w:rsidRPr="00EB2BD8">
        <w:rPr>
          <w:rFonts w:ascii="Arial"/>
          <w:w w:val="105"/>
          <w:sz w:val="16"/>
        </w:rPr>
        <w:t>contain significant, unobservable adjustments, these assets are classified as Level 2 under the market approach.</w:t>
      </w:r>
    </w:p>
    <w:p w14:paraId="2A188CE8" w14:textId="77777777" w:rsidR="00084F36" w:rsidRPr="00EB2BD8" w:rsidRDefault="00EB2BD8">
      <w:pPr>
        <w:spacing w:before="152" w:line="271" w:lineRule="auto"/>
        <w:ind w:left="1054" w:right="1761"/>
        <w:rPr>
          <w:rFonts w:ascii="Arial"/>
          <w:sz w:val="16"/>
        </w:rPr>
      </w:pPr>
      <w:r w:rsidRPr="00EB2BD8">
        <w:rPr>
          <w:rFonts w:ascii="Arial"/>
          <w:b/>
          <w:w w:val="105"/>
          <w:sz w:val="16"/>
        </w:rPr>
        <w:t>Plant</w:t>
      </w:r>
      <w:r w:rsidRPr="00EB2BD8">
        <w:rPr>
          <w:rFonts w:ascii="Arial"/>
          <w:b/>
          <w:spacing w:val="-2"/>
          <w:w w:val="105"/>
          <w:sz w:val="16"/>
        </w:rPr>
        <w:t xml:space="preserve"> </w:t>
      </w:r>
      <w:r w:rsidRPr="00EB2BD8">
        <w:rPr>
          <w:rFonts w:ascii="Arial"/>
          <w:b/>
          <w:w w:val="105"/>
          <w:sz w:val="16"/>
        </w:rPr>
        <w:t>and</w:t>
      </w:r>
      <w:r w:rsidRPr="00EB2BD8">
        <w:rPr>
          <w:rFonts w:ascii="Arial"/>
          <w:b/>
          <w:spacing w:val="-2"/>
          <w:w w:val="105"/>
          <w:sz w:val="16"/>
        </w:rPr>
        <w:t xml:space="preserve"> </w:t>
      </w:r>
      <w:r w:rsidRPr="00EB2BD8">
        <w:rPr>
          <w:rFonts w:ascii="Arial"/>
          <w:b/>
          <w:w w:val="105"/>
          <w:sz w:val="16"/>
        </w:rPr>
        <w:t>equipment</w:t>
      </w:r>
      <w:r w:rsidRPr="00EB2BD8">
        <w:rPr>
          <w:rFonts w:ascii="Arial"/>
          <w:b/>
          <w:spacing w:val="-1"/>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held</w:t>
      </w:r>
      <w:r w:rsidRPr="00EB2BD8">
        <w:rPr>
          <w:rFonts w:ascii="Arial"/>
          <w:spacing w:val="-1"/>
          <w:w w:val="105"/>
          <w:sz w:val="16"/>
        </w:rPr>
        <w:t xml:space="preserve"> </w:t>
      </w:r>
      <w:r w:rsidRPr="00EB2BD8">
        <w:rPr>
          <w:rFonts w:ascii="Arial"/>
          <w:w w:val="105"/>
          <w:sz w:val="16"/>
        </w:rPr>
        <w:t>at</w:t>
      </w:r>
      <w:r w:rsidRPr="00EB2BD8">
        <w:rPr>
          <w:rFonts w:ascii="Arial"/>
          <w:spacing w:val="-2"/>
          <w:w w:val="105"/>
          <w:sz w:val="16"/>
        </w:rPr>
        <w:t xml:space="preserve"> </w:t>
      </w:r>
      <w:r w:rsidRPr="00EB2BD8">
        <w:rPr>
          <w:rFonts w:ascii="Arial"/>
          <w:w w:val="105"/>
          <w:sz w:val="16"/>
        </w:rPr>
        <w:t>fair</w:t>
      </w:r>
      <w:r w:rsidRPr="00EB2BD8">
        <w:rPr>
          <w:rFonts w:ascii="Arial"/>
          <w:spacing w:val="-2"/>
          <w:w w:val="105"/>
          <w:sz w:val="16"/>
        </w:rPr>
        <w:t xml:space="preserve"> </w:t>
      </w:r>
      <w:r w:rsidRPr="00EB2BD8">
        <w:rPr>
          <w:rFonts w:ascii="Arial"/>
          <w:w w:val="105"/>
          <w:sz w:val="16"/>
        </w:rPr>
        <w:t>value.</w:t>
      </w:r>
      <w:r w:rsidRPr="00EB2BD8">
        <w:rPr>
          <w:rFonts w:ascii="Arial"/>
          <w:spacing w:val="-2"/>
          <w:w w:val="105"/>
          <w:sz w:val="16"/>
        </w:rPr>
        <w:t xml:space="preserve"> </w:t>
      </w:r>
      <w:r w:rsidRPr="00EB2BD8">
        <w:rPr>
          <w:rFonts w:ascii="Arial"/>
          <w:w w:val="105"/>
          <w:sz w:val="16"/>
        </w:rPr>
        <w:t>When</w:t>
      </w:r>
      <w:r w:rsidRPr="00EB2BD8">
        <w:rPr>
          <w:rFonts w:ascii="Arial"/>
          <w:spacing w:val="-2"/>
          <w:w w:val="105"/>
          <w:sz w:val="16"/>
        </w:rPr>
        <w:t xml:space="preserve"> </w:t>
      </w:r>
      <w:r w:rsidRPr="00EB2BD8">
        <w:rPr>
          <w:rFonts w:ascii="Arial"/>
          <w:w w:val="105"/>
          <w:sz w:val="16"/>
        </w:rPr>
        <w:t>plant</w:t>
      </w:r>
      <w:r w:rsidRPr="00EB2BD8">
        <w:rPr>
          <w:rFonts w:ascii="Arial"/>
          <w:spacing w:val="-2"/>
          <w:w w:val="105"/>
          <w:sz w:val="16"/>
        </w:rPr>
        <w:t xml:space="preserve"> </w:t>
      </w:r>
      <w:r w:rsidRPr="00EB2BD8">
        <w:rPr>
          <w:rFonts w:ascii="Arial"/>
          <w:w w:val="105"/>
          <w:sz w:val="16"/>
        </w:rPr>
        <w:t>and</w:t>
      </w:r>
      <w:r w:rsidRPr="00EB2BD8">
        <w:rPr>
          <w:rFonts w:ascii="Arial"/>
          <w:spacing w:val="-1"/>
          <w:w w:val="105"/>
          <w:sz w:val="16"/>
        </w:rPr>
        <w:t xml:space="preserve"> </w:t>
      </w:r>
      <w:r w:rsidRPr="00EB2BD8">
        <w:rPr>
          <w:rFonts w:ascii="Arial"/>
          <w:w w:val="105"/>
          <w:sz w:val="16"/>
        </w:rPr>
        <w:t>equipment</w:t>
      </w:r>
      <w:r w:rsidRPr="00EB2BD8">
        <w:rPr>
          <w:rFonts w:ascii="Arial"/>
          <w:spacing w:val="-2"/>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specialised</w:t>
      </w:r>
      <w:r w:rsidRPr="00EB2BD8">
        <w:rPr>
          <w:rFonts w:ascii="Arial"/>
          <w:spacing w:val="-2"/>
          <w:w w:val="105"/>
          <w:sz w:val="16"/>
        </w:rPr>
        <w:t xml:space="preserve"> </w:t>
      </w:r>
      <w:r w:rsidRPr="00EB2BD8">
        <w:rPr>
          <w:rFonts w:ascii="Arial"/>
          <w:w w:val="105"/>
          <w:sz w:val="16"/>
        </w:rPr>
        <w:t>in</w:t>
      </w:r>
      <w:r w:rsidRPr="00EB2BD8">
        <w:rPr>
          <w:rFonts w:ascii="Arial"/>
          <w:spacing w:val="-1"/>
          <w:w w:val="105"/>
          <w:sz w:val="16"/>
        </w:rPr>
        <w:t xml:space="preserve"> </w:t>
      </w:r>
      <w:r w:rsidRPr="00EB2BD8">
        <w:rPr>
          <w:rFonts w:ascii="Arial"/>
          <w:w w:val="105"/>
          <w:sz w:val="16"/>
        </w:rPr>
        <w:t>use</w:t>
      </w:r>
      <w:r w:rsidRPr="00EB2BD8">
        <w:rPr>
          <w:rFonts w:ascii="Arial"/>
          <w:spacing w:val="-1"/>
          <w:w w:val="105"/>
          <w:sz w:val="16"/>
        </w:rPr>
        <w:t xml:space="preserve"> </w:t>
      </w:r>
      <w:r w:rsidRPr="00EB2BD8">
        <w:rPr>
          <w:rFonts w:ascii="Arial"/>
          <w:w w:val="105"/>
          <w:sz w:val="16"/>
        </w:rPr>
        <w:t>(such</w:t>
      </w:r>
      <w:r w:rsidRPr="00EB2BD8">
        <w:rPr>
          <w:rFonts w:ascii="Arial"/>
          <w:spacing w:val="-2"/>
          <w:w w:val="105"/>
          <w:sz w:val="16"/>
        </w:rPr>
        <w:t xml:space="preserve"> </w:t>
      </w:r>
      <w:r w:rsidRPr="00EB2BD8">
        <w:rPr>
          <w:rFonts w:ascii="Arial"/>
          <w:w w:val="105"/>
          <w:sz w:val="16"/>
        </w:rPr>
        <w:t>that</w:t>
      </w:r>
      <w:r w:rsidRPr="00EB2BD8">
        <w:rPr>
          <w:rFonts w:ascii="Arial"/>
          <w:spacing w:val="-2"/>
          <w:w w:val="105"/>
          <w:sz w:val="16"/>
        </w:rPr>
        <w:t xml:space="preserve"> </w:t>
      </w:r>
      <w:r w:rsidRPr="00EB2BD8">
        <w:rPr>
          <w:rFonts w:ascii="Arial"/>
          <w:w w:val="105"/>
          <w:sz w:val="16"/>
        </w:rPr>
        <w:t>it</w:t>
      </w:r>
      <w:r w:rsidRPr="00EB2BD8">
        <w:rPr>
          <w:rFonts w:ascii="Arial"/>
          <w:spacing w:val="-2"/>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rarely</w:t>
      </w:r>
      <w:r w:rsidRPr="00EB2BD8">
        <w:rPr>
          <w:rFonts w:ascii="Arial"/>
          <w:spacing w:val="-2"/>
          <w:w w:val="105"/>
          <w:sz w:val="16"/>
        </w:rPr>
        <w:t xml:space="preserve"> </w:t>
      </w:r>
      <w:r w:rsidRPr="00EB2BD8">
        <w:rPr>
          <w:rFonts w:ascii="Arial"/>
          <w:w w:val="105"/>
          <w:sz w:val="16"/>
        </w:rPr>
        <w:t>sold</w:t>
      </w:r>
      <w:r w:rsidRPr="00EB2BD8">
        <w:rPr>
          <w:rFonts w:ascii="Arial"/>
          <w:spacing w:val="-2"/>
          <w:w w:val="105"/>
          <w:sz w:val="16"/>
        </w:rPr>
        <w:t xml:space="preserve"> </w:t>
      </w:r>
      <w:r w:rsidRPr="00EB2BD8">
        <w:rPr>
          <w:rFonts w:ascii="Arial"/>
          <w:w w:val="105"/>
          <w:sz w:val="16"/>
        </w:rPr>
        <w:t>other than as part of a going concern), is determined using the current replacement cost method.</w:t>
      </w:r>
    </w:p>
    <w:p w14:paraId="0AE262C0" w14:textId="77777777" w:rsidR="00084F36" w:rsidRPr="00EB2BD8" w:rsidRDefault="00EB2BD8">
      <w:pPr>
        <w:spacing w:before="151"/>
        <w:ind w:left="1054"/>
        <w:rPr>
          <w:rFonts w:ascii="Arial"/>
          <w:sz w:val="16"/>
        </w:rPr>
      </w:pPr>
      <w:r w:rsidRPr="00EB2BD8">
        <w:rPr>
          <w:rFonts w:ascii="Arial"/>
          <w:w w:val="105"/>
          <w:sz w:val="16"/>
        </w:rPr>
        <w:t>There</w:t>
      </w:r>
      <w:r w:rsidRPr="00EB2BD8">
        <w:rPr>
          <w:rFonts w:ascii="Arial"/>
          <w:spacing w:val="-7"/>
          <w:w w:val="105"/>
          <w:sz w:val="16"/>
        </w:rPr>
        <w:t xml:space="preserve"> </w:t>
      </w:r>
      <w:r w:rsidRPr="00EB2BD8">
        <w:rPr>
          <w:rFonts w:ascii="Arial"/>
          <w:w w:val="105"/>
          <w:sz w:val="16"/>
        </w:rPr>
        <w:t>were</w:t>
      </w:r>
      <w:r w:rsidRPr="00EB2BD8">
        <w:rPr>
          <w:rFonts w:ascii="Arial"/>
          <w:spacing w:val="-6"/>
          <w:w w:val="105"/>
          <w:sz w:val="16"/>
        </w:rPr>
        <w:t xml:space="preserve"> </w:t>
      </w:r>
      <w:r w:rsidRPr="00EB2BD8">
        <w:rPr>
          <w:rFonts w:ascii="Arial"/>
          <w:w w:val="105"/>
          <w:sz w:val="16"/>
        </w:rPr>
        <w:t>no</w:t>
      </w:r>
      <w:r w:rsidRPr="00EB2BD8">
        <w:rPr>
          <w:rFonts w:ascii="Arial"/>
          <w:spacing w:val="-6"/>
          <w:w w:val="105"/>
          <w:sz w:val="16"/>
        </w:rPr>
        <w:t xml:space="preserve"> </w:t>
      </w:r>
      <w:r w:rsidRPr="00EB2BD8">
        <w:rPr>
          <w:rFonts w:ascii="Arial"/>
          <w:w w:val="105"/>
          <w:sz w:val="16"/>
        </w:rPr>
        <w:t>changes</w:t>
      </w:r>
      <w:r w:rsidRPr="00EB2BD8">
        <w:rPr>
          <w:rFonts w:ascii="Arial"/>
          <w:spacing w:val="-6"/>
          <w:w w:val="105"/>
          <w:sz w:val="16"/>
        </w:rPr>
        <w:t xml:space="preserve"> </w:t>
      </w:r>
      <w:r w:rsidRPr="00EB2BD8">
        <w:rPr>
          <w:rFonts w:ascii="Arial"/>
          <w:w w:val="105"/>
          <w:sz w:val="16"/>
        </w:rPr>
        <w:t>in</w:t>
      </w:r>
      <w:r w:rsidRPr="00EB2BD8">
        <w:rPr>
          <w:rFonts w:ascii="Arial"/>
          <w:spacing w:val="-6"/>
          <w:w w:val="105"/>
          <w:sz w:val="16"/>
        </w:rPr>
        <w:t xml:space="preserve"> </w:t>
      </w:r>
      <w:r w:rsidRPr="00EB2BD8">
        <w:rPr>
          <w:rFonts w:ascii="Arial"/>
          <w:w w:val="105"/>
          <w:sz w:val="16"/>
        </w:rPr>
        <w:t>valuation</w:t>
      </w:r>
      <w:r w:rsidRPr="00EB2BD8">
        <w:rPr>
          <w:rFonts w:ascii="Arial"/>
          <w:spacing w:val="-7"/>
          <w:w w:val="105"/>
          <w:sz w:val="16"/>
        </w:rPr>
        <w:t xml:space="preserve"> </w:t>
      </w:r>
      <w:r w:rsidRPr="00EB2BD8">
        <w:rPr>
          <w:rFonts w:ascii="Arial"/>
          <w:w w:val="105"/>
          <w:sz w:val="16"/>
        </w:rPr>
        <w:t>techniques</w:t>
      </w:r>
      <w:r w:rsidRPr="00EB2BD8">
        <w:rPr>
          <w:rFonts w:ascii="Arial"/>
          <w:spacing w:val="-6"/>
          <w:w w:val="105"/>
          <w:sz w:val="16"/>
        </w:rPr>
        <w:t xml:space="preserve"> </w:t>
      </w:r>
      <w:r w:rsidRPr="00EB2BD8">
        <w:rPr>
          <w:rFonts w:ascii="Arial"/>
          <w:w w:val="105"/>
          <w:sz w:val="16"/>
        </w:rPr>
        <w:t>throughout</w:t>
      </w:r>
      <w:r w:rsidRPr="00EB2BD8">
        <w:rPr>
          <w:rFonts w:ascii="Arial"/>
          <w:spacing w:val="-6"/>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period</w:t>
      </w:r>
      <w:r w:rsidRPr="00EB2BD8">
        <w:rPr>
          <w:rFonts w:ascii="Arial"/>
          <w:spacing w:val="-6"/>
          <w:w w:val="105"/>
          <w:sz w:val="16"/>
        </w:rPr>
        <w:t xml:space="preserve"> </w:t>
      </w:r>
      <w:r w:rsidRPr="00EB2BD8">
        <w:rPr>
          <w:rFonts w:ascii="Arial"/>
          <w:w w:val="105"/>
          <w:sz w:val="16"/>
        </w:rPr>
        <w:t>to</w:t>
      </w:r>
      <w:r w:rsidRPr="00EB2BD8">
        <w:rPr>
          <w:rFonts w:ascii="Arial"/>
          <w:spacing w:val="-6"/>
          <w:w w:val="105"/>
          <w:sz w:val="16"/>
        </w:rPr>
        <w:t xml:space="preserve"> </w:t>
      </w:r>
      <w:r w:rsidRPr="00EB2BD8">
        <w:rPr>
          <w:rFonts w:ascii="Arial"/>
          <w:w w:val="105"/>
          <w:sz w:val="16"/>
        </w:rPr>
        <w:t>30</w:t>
      </w:r>
      <w:r w:rsidRPr="00EB2BD8">
        <w:rPr>
          <w:rFonts w:ascii="Arial"/>
          <w:spacing w:val="-6"/>
          <w:w w:val="105"/>
          <w:sz w:val="16"/>
        </w:rPr>
        <w:t xml:space="preserve"> </w:t>
      </w:r>
      <w:r w:rsidRPr="00EB2BD8">
        <w:rPr>
          <w:rFonts w:ascii="Arial"/>
          <w:w w:val="105"/>
          <w:sz w:val="16"/>
        </w:rPr>
        <w:t>June</w:t>
      </w:r>
      <w:r w:rsidRPr="00EB2BD8">
        <w:rPr>
          <w:rFonts w:ascii="Arial"/>
          <w:spacing w:val="-6"/>
          <w:w w:val="105"/>
          <w:sz w:val="16"/>
        </w:rPr>
        <w:t xml:space="preserve"> </w:t>
      </w:r>
      <w:r w:rsidRPr="00EB2BD8">
        <w:rPr>
          <w:rFonts w:ascii="Arial"/>
          <w:spacing w:val="-4"/>
          <w:w w:val="105"/>
          <w:sz w:val="16"/>
        </w:rPr>
        <w:t>2023.</w:t>
      </w:r>
    </w:p>
    <w:p w14:paraId="29F3084A" w14:textId="77777777" w:rsidR="00084F36" w:rsidRPr="00EB2BD8" w:rsidRDefault="00084F36">
      <w:pPr>
        <w:pStyle w:val="BodyText"/>
        <w:spacing w:before="1"/>
        <w:rPr>
          <w:rFonts w:ascii="Arial"/>
          <w:sz w:val="15"/>
        </w:rPr>
      </w:pPr>
    </w:p>
    <w:p w14:paraId="6B91BC9F" w14:textId="77777777" w:rsidR="00084F36" w:rsidRPr="00EB2BD8" w:rsidRDefault="00EB2BD8">
      <w:pPr>
        <w:ind w:left="1054"/>
        <w:rPr>
          <w:rFonts w:ascii="Arial"/>
          <w:sz w:val="16"/>
        </w:rPr>
      </w:pPr>
      <w:r w:rsidRPr="00EB2BD8">
        <w:rPr>
          <w:rFonts w:ascii="Arial"/>
          <w:w w:val="105"/>
          <w:sz w:val="16"/>
        </w:rPr>
        <w:t>For</w:t>
      </w:r>
      <w:r w:rsidRPr="00EB2BD8">
        <w:rPr>
          <w:rFonts w:ascii="Arial"/>
          <w:spacing w:val="-6"/>
          <w:w w:val="105"/>
          <w:sz w:val="16"/>
        </w:rPr>
        <w:t xml:space="preserve"> </w:t>
      </w:r>
      <w:r w:rsidRPr="00EB2BD8">
        <w:rPr>
          <w:rFonts w:ascii="Arial"/>
          <w:w w:val="105"/>
          <w:sz w:val="16"/>
        </w:rPr>
        <w:t>all</w:t>
      </w:r>
      <w:r w:rsidRPr="00EB2BD8">
        <w:rPr>
          <w:rFonts w:ascii="Arial"/>
          <w:spacing w:val="-6"/>
          <w:w w:val="105"/>
          <w:sz w:val="16"/>
        </w:rPr>
        <w:t xml:space="preserve"> </w:t>
      </w:r>
      <w:r w:rsidRPr="00EB2BD8">
        <w:rPr>
          <w:rFonts w:ascii="Arial"/>
          <w:w w:val="105"/>
          <w:sz w:val="16"/>
        </w:rPr>
        <w:t>assets</w:t>
      </w:r>
      <w:r w:rsidRPr="00EB2BD8">
        <w:rPr>
          <w:rFonts w:ascii="Arial"/>
          <w:spacing w:val="-4"/>
          <w:w w:val="105"/>
          <w:sz w:val="16"/>
        </w:rPr>
        <w:t xml:space="preserve"> </w:t>
      </w:r>
      <w:r w:rsidRPr="00EB2BD8">
        <w:rPr>
          <w:rFonts w:ascii="Arial"/>
          <w:w w:val="105"/>
          <w:sz w:val="16"/>
        </w:rPr>
        <w:t>measured</w:t>
      </w:r>
      <w:r w:rsidRPr="00EB2BD8">
        <w:rPr>
          <w:rFonts w:ascii="Arial"/>
          <w:spacing w:val="-6"/>
          <w:w w:val="105"/>
          <w:sz w:val="16"/>
        </w:rPr>
        <w:t xml:space="preserve"> </w:t>
      </w:r>
      <w:r w:rsidRPr="00EB2BD8">
        <w:rPr>
          <w:rFonts w:ascii="Arial"/>
          <w:w w:val="105"/>
          <w:sz w:val="16"/>
        </w:rPr>
        <w:t>at</w:t>
      </w:r>
      <w:r w:rsidRPr="00EB2BD8">
        <w:rPr>
          <w:rFonts w:ascii="Arial"/>
          <w:spacing w:val="-5"/>
          <w:w w:val="105"/>
          <w:sz w:val="16"/>
        </w:rPr>
        <w:t xml:space="preserve"> </w:t>
      </w:r>
      <w:r w:rsidRPr="00EB2BD8">
        <w:rPr>
          <w:rFonts w:ascii="Arial"/>
          <w:w w:val="105"/>
          <w:sz w:val="16"/>
        </w:rPr>
        <w:t>fair</w:t>
      </w:r>
      <w:r w:rsidRPr="00EB2BD8">
        <w:rPr>
          <w:rFonts w:ascii="Arial"/>
          <w:spacing w:val="-6"/>
          <w:w w:val="105"/>
          <w:sz w:val="16"/>
        </w:rPr>
        <w:t xml:space="preserve"> </w:t>
      </w:r>
      <w:r w:rsidRPr="00EB2BD8">
        <w:rPr>
          <w:rFonts w:ascii="Arial"/>
          <w:w w:val="105"/>
          <w:sz w:val="16"/>
        </w:rPr>
        <w:t>value,</w:t>
      </w:r>
      <w:r w:rsidRPr="00EB2BD8">
        <w:rPr>
          <w:rFonts w:ascii="Arial"/>
          <w:spacing w:val="-5"/>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current</w:t>
      </w:r>
      <w:r w:rsidRPr="00EB2BD8">
        <w:rPr>
          <w:rFonts w:ascii="Arial"/>
          <w:spacing w:val="-5"/>
          <w:w w:val="105"/>
          <w:sz w:val="16"/>
        </w:rPr>
        <w:t xml:space="preserve"> </w:t>
      </w:r>
      <w:r w:rsidRPr="00EB2BD8">
        <w:rPr>
          <w:rFonts w:ascii="Arial"/>
          <w:w w:val="105"/>
          <w:sz w:val="16"/>
        </w:rPr>
        <w:t>use</w:t>
      </w:r>
      <w:r w:rsidRPr="00EB2BD8">
        <w:rPr>
          <w:rFonts w:ascii="Arial"/>
          <w:spacing w:val="-6"/>
          <w:w w:val="105"/>
          <w:sz w:val="16"/>
        </w:rPr>
        <w:t xml:space="preserve"> </w:t>
      </w:r>
      <w:r w:rsidRPr="00EB2BD8">
        <w:rPr>
          <w:rFonts w:ascii="Arial"/>
          <w:w w:val="105"/>
          <w:sz w:val="16"/>
        </w:rPr>
        <w:t>is</w:t>
      </w:r>
      <w:r w:rsidRPr="00EB2BD8">
        <w:rPr>
          <w:rFonts w:ascii="Arial"/>
          <w:spacing w:val="-6"/>
          <w:w w:val="105"/>
          <w:sz w:val="16"/>
        </w:rPr>
        <w:t xml:space="preserve"> </w:t>
      </w:r>
      <w:r w:rsidRPr="00EB2BD8">
        <w:rPr>
          <w:rFonts w:ascii="Arial"/>
          <w:w w:val="105"/>
          <w:sz w:val="16"/>
        </w:rPr>
        <w:t>considered</w:t>
      </w:r>
      <w:r w:rsidRPr="00EB2BD8">
        <w:rPr>
          <w:rFonts w:ascii="Arial"/>
          <w:spacing w:val="-5"/>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highest</w:t>
      </w:r>
      <w:r w:rsidRPr="00EB2BD8">
        <w:rPr>
          <w:rFonts w:ascii="Arial"/>
          <w:spacing w:val="-5"/>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best</w:t>
      </w:r>
      <w:r w:rsidRPr="00EB2BD8">
        <w:rPr>
          <w:rFonts w:ascii="Arial"/>
          <w:spacing w:val="-3"/>
          <w:w w:val="105"/>
          <w:sz w:val="16"/>
        </w:rPr>
        <w:t xml:space="preserve"> </w:t>
      </w:r>
      <w:r w:rsidRPr="00EB2BD8">
        <w:rPr>
          <w:rFonts w:ascii="Arial"/>
          <w:spacing w:val="-4"/>
          <w:w w:val="105"/>
          <w:sz w:val="16"/>
        </w:rPr>
        <w:t>use.</w:t>
      </w:r>
    </w:p>
    <w:p w14:paraId="50FE1360" w14:textId="77777777" w:rsidR="00084F36" w:rsidRPr="00EB2BD8" w:rsidRDefault="00084F36">
      <w:pPr>
        <w:pStyle w:val="BodyText"/>
        <w:rPr>
          <w:rFonts w:ascii="Arial"/>
          <w:sz w:val="15"/>
        </w:rPr>
      </w:pPr>
    </w:p>
    <w:p w14:paraId="3E3A2E34" w14:textId="77777777" w:rsidR="00084F36" w:rsidRPr="00EB2BD8" w:rsidRDefault="00EB2BD8">
      <w:pPr>
        <w:spacing w:before="1" w:line="271" w:lineRule="auto"/>
        <w:ind w:left="1054" w:right="1672"/>
        <w:rPr>
          <w:rFonts w:ascii="Arial"/>
          <w:sz w:val="16"/>
        </w:rPr>
      </w:pPr>
      <w:r w:rsidRPr="00EB2BD8">
        <w:rPr>
          <w:rFonts w:ascii="Arial"/>
          <w:b/>
          <w:w w:val="105"/>
          <w:sz w:val="16"/>
        </w:rPr>
        <w:t xml:space="preserve">Vehicles </w:t>
      </w:r>
      <w:r w:rsidRPr="00EB2BD8">
        <w:rPr>
          <w:rFonts w:ascii="Arial"/>
          <w:w w:val="105"/>
          <w:sz w:val="16"/>
        </w:rPr>
        <w:t>are valued using the current replacement cost method and the associated depreciation is adjusted.</w:t>
      </w:r>
      <w:r w:rsidRPr="00EB2BD8">
        <w:rPr>
          <w:rFonts w:ascii="Arial"/>
          <w:spacing w:val="40"/>
          <w:w w:val="105"/>
          <w:sz w:val="16"/>
        </w:rPr>
        <w:t xml:space="preserve"> </w:t>
      </w:r>
      <w:r w:rsidRPr="00EB2BD8">
        <w:rPr>
          <w:rFonts w:ascii="Arial"/>
          <w:w w:val="105"/>
          <w:sz w:val="16"/>
        </w:rPr>
        <w:t>The VBA acquires new vehicles and at times disposes of them before the end of their economic life.</w:t>
      </w:r>
      <w:r w:rsidRPr="00EB2BD8">
        <w:rPr>
          <w:rFonts w:ascii="Arial"/>
          <w:spacing w:val="40"/>
          <w:w w:val="105"/>
          <w:sz w:val="16"/>
        </w:rPr>
        <w:t xml:space="preserve"> </w:t>
      </w:r>
      <w:r w:rsidRPr="00EB2BD8">
        <w:rPr>
          <w:rFonts w:ascii="Arial"/>
          <w:w w:val="105"/>
          <w:sz w:val="16"/>
        </w:rPr>
        <w:t>The process of acquisition, use and</w:t>
      </w:r>
      <w:r w:rsidRPr="00EB2BD8">
        <w:rPr>
          <w:rFonts w:ascii="Arial"/>
          <w:spacing w:val="-3"/>
          <w:w w:val="105"/>
          <w:sz w:val="16"/>
        </w:rPr>
        <w:t xml:space="preserve"> </w:t>
      </w:r>
      <w:r w:rsidRPr="00EB2BD8">
        <w:rPr>
          <w:rFonts w:ascii="Arial"/>
          <w:w w:val="105"/>
          <w:sz w:val="16"/>
        </w:rPr>
        <w:t>disposal</w:t>
      </w:r>
      <w:r w:rsidRPr="00EB2BD8">
        <w:rPr>
          <w:rFonts w:ascii="Arial"/>
          <w:spacing w:val="-3"/>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market</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managed</w:t>
      </w:r>
      <w:r w:rsidRPr="00EB2BD8">
        <w:rPr>
          <w:rFonts w:ascii="Arial"/>
          <w:spacing w:val="-2"/>
          <w:w w:val="105"/>
          <w:sz w:val="16"/>
        </w:rPr>
        <w:t xml:space="preserve"> </w:t>
      </w:r>
      <w:r w:rsidRPr="00EB2BD8">
        <w:rPr>
          <w:rFonts w:ascii="Arial"/>
          <w:w w:val="105"/>
          <w:sz w:val="16"/>
        </w:rPr>
        <w:t>by</w:t>
      </w:r>
      <w:r w:rsidRPr="00EB2BD8">
        <w:rPr>
          <w:rFonts w:ascii="Arial"/>
          <w:spacing w:val="-3"/>
          <w:w w:val="105"/>
          <w:sz w:val="16"/>
        </w:rPr>
        <w:t xml:space="preserve"> </w:t>
      </w:r>
      <w:r w:rsidRPr="00EB2BD8">
        <w:rPr>
          <w:rFonts w:ascii="Arial"/>
          <w:w w:val="105"/>
          <w:sz w:val="16"/>
        </w:rPr>
        <w:t>experienced</w:t>
      </w:r>
      <w:r w:rsidRPr="00EB2BD8">
        <w:rPr>
          <w:rFonts w:ascii="Arial"/>
          <w:spacing w:val="-3"/>
          <w:w w:val="105"/>
          <w:sz w:val="16"/>
        </w:rPr>
        <w:t xml:space="preserve"> </w:t>
      </w:r>
      <w:r w:rsidRPr="00EB2BD8">
        <w:rPr>
          <w:rFonts w:ascii="Arial"/>
          <w:w w:val="105"/>
          <w:sz w:val="16"/>
        </w:rPr>
        <w:t>fleet</w:t>
      </w:r>
      <w:r w:rsidRPr="00EB2BD8">
        <w:rPr>
          <w:rFonts w:ascii="Arial"/>
          <w:spacing w:val="-2"/>
          <w:w w:val="105"/>
          <w:sz w:val="16"/>
        </w:rPr>
        <w:t xml:space="preserve"> </w:t>
      </w:r>
      <w:r w:rsidRPr="00EB2BD8">
        <w:rPr>
          <w:rFonts w:ascii="Arial"/>
          <w:w w:val="105"/>
          <w:sz w:val="16"/>
        </w:rPr>
        <w:t>manager</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VBA</w:t>
      </w:r>
      <w:r w:rsidRPr="00EB2BD8">
        <w:rPr>
          <w:rFonts w:ascii="Arial"/>
          <w:spacing w:val="-3"/>
          <w:w w:val="105"/>
          <w:sz w:val="16"/>
        </w:rPr>
        <w:t xml:space="preserve"> </w:t>
      </w:r>
      <w:r w:rsidRPr="00EB2BD8">
        <w:rPr>
          <w:rFonts w:ascii="Arial"/>
          <w:w w:val="105"/>
          <w:sz w:val="16"/>
        </w:rPr>
        <w:t>who</w:t>
      </w:r>
      <w:r w:rsidRPr="00EB2BD8">
        <w:rPr>
          <w:rFonts w:ascii="Arial"/>
          <w:spacing w:val="-3"/>
          <w:w w:val="105"/>
          <w:sz w:val="16"/>
        </w:rPr>
        <w:t xml:space="preserve"> </w:t>
      </w:r>
      <w:r w:rsidRPr="00EB2BD8">
        <w:rPr>
          <w:rFonts w:ascii="Arial"/>
          <w:w w:val="105"/>
          <w:sz w:val="16"/>
        </w:rPr>
        <w:t>set</w:t>
      </w:r>
      <w:r w:rsidRPr="00EB2BD8">
        <w:rPr>
          <w:rFonts w:ascii="Arial"/>
          <w:spacing w:val="-1"/>
          <w:w w:val="105"/>
          <w:sz w:val="16"/>
        </w:rPr>
        <w:t xml:space="preserve"> </w:t>
      </w:r>
      <w:r w:rsidRPr="00EB2BD8">
        <w:rPr>
          <w:rFonts w:ascii="Arial"/>
          <w:w w:val="105"/>
          <w:sz w:val="16"/>
        </w:rPr>
        <w:t>relevant</w:t>
      </w:r>
      <w:r w:rsidRPr="00EB2BD8">
        <w:rPr>
          <w:rFonts w:ascii="Arial"/>
          <w:spacing w:val="-3"/>
          <w:w w:val="105"/>
          <w:sz w:val="16"/>
        </w:rPr>
        <w:t xml:space="preserve"> </w:t>
      </w:r>
      <w:r w:rsidRPr="00EB2BD8">
        <w:rPr>
          <w:rFonts w:ascii="Arial"/>
          <w:w w:val="105"/>
          <w:sz w:val="16"/>
        </w:rPr>
        <w:t>depreciation</w:t>
      </w:r>
      <w:r w:rsidRPr="00EB2BD8">
        <w:rPr>
          <w:rFonts w:ascii="Arial"/>
          <w:spacing w:val="-3"/>
          <w:w w:val="105"/>
          <w:sz w:val="16"/>
        </w:rPr>
        <w:t xml:space="preserve"> </w:t>
      </w:r>
      <w:r w:rsidRPr="00EB2BD8">
        <w:rPr>
          <w:rFonts w:ascii="Arial"/>
          <w:w w:val="105"/>
          <w:sz w:val="16"/>
        </w:rPr>
        <w:t>rates</w:t>
      </w:r>
      <w:r w:rsidRPr="00EB2BD8">
        <w:rPr>
          <w:rFonts w:ascii="Arial"/>
          <w:spacing w:val="-3"/>
          <w:w w:val="105"/>
          <w:sz w:val="16"/>
        </w:rPr>
        <w:t xml:space="preserve"> </w:t>
      </w:r>
      <w:r w:rsidRPr="00EB2BD8">
        <w:rPr>
          <w:rFonts w:ascii="Arial"/>
          <w:w w:val="105"/>
          <w:sz w:val="16"/>
        </w:rPr>
        <w:t>during use to reflect the utilisation of the vehicles.</w:t>
      </w:r>
    </w:p>
    <w:p w14:paraId="590B630C" w14:textId="77777777" w:rsidR="00084F36" w:rsidRPr="00EB2BD8" w:rsidRDefault="00084F36">
      <w:pPr>
        <w:pStyle w:val="BodyText"/>
        <w:rPr>
          <w:rFonts w:ascii="Arial"/>
        </w:rPr>
      </w:pPr>
    </w:p>
    <w:p w14:paraId="34C9959D" w14:textId="77777777" w:rsidR="003B3D54" w:rsidRDefault="003B3D54">
      <w:pPr>
        <w:rPr>
          <w:rFonts w:ascii="Arial" w:eastAsia="Tahoma" w:hAnsi="Arial" w:cs="Arial"/>
          <w:b/>
          <w:bCs/>
          <w:w w:val="95"/>
          <w:sz w:val="36"/>
          <w:szCs w:val="36"/>
        </w:rPr>
      </w:pPr>
      <w:r>
        <w:br w:type="page"/>
      </w:r>
    </w:p>
    <w:p w14:paraId="4AC7C290" w14:textId="779546C9" w:rsidR="00084F36" w:rsidRPr="00A0358F" w:rsidRDefault="00EB2BD8" w:rsidP="00A0358F">
      <w:pPr>
        <w:pStyle w:val="Heading2"/>
        <w:ind w:left="334" w:firstLine="720"/>
      </w:pPr>
      <w:bookmarkStart w:id="361" w:name="_Toc150762663"/>
      <w:r w:rsidRPr="00A0358F">
        <w:lastRenderedPageBreak/>
        <w:t>Reconciliation of Level 3 fair value movements</w:t>
      </w:r>
      <w:bookmarkEnd w:id="361"/>
    </w:p>
    <w:p w14:paraId="6C7FDFC2" w14:textId="77777777" w:rsidR="00084F36" w:rsidRPr="00EB2BD8" w:rsidRDefault="00084F36">
      <w:pPr>
        <w:pStyle w:val="BodyText"/>
        <w:rPr>
          <w:rFonts w:ascii="Arial"/>
          <w:b/>
          <w:sz w:val="22"/>
        </w:rPr>
      </w:pPr>
    </w:p>
    <w:p w14:paraId="00B80054" w14:textId="4A6A21C1" w:rsidR="00084F36" w:rsidRPr="00EB2BD8" w:rsidRDefault="00EB2BD8">
      <w:pPr>
        <w:spacing w:before="167" w:after="37"/>
        <w:ind w:right="1586"/>
        <w:jc w:val="right"/>
        <w:rPr>
          <w:rFonts w:ascii="Arial" w:hAnsi="Arial"/>
          <w:sz w:val="16"/>
        </w:rPr>
      </w:pPr>
      <w:r w:rsidRPr="00EB2BD8">
        <w:rPr>
          <w:rFonts w:ascii="Arial" w:hAnsi="Arial"/>
          <w:spacing w:val="-2"/>
          <w:w w:val="105"/>
          <w:sz w:val="16"/>
        </w:rPr>
        <w:t>($’000)</w:t>
      </w:r>
    </w:p>
    <w:tbl>
      <w:tblPr>
        <w:tblW w:w="0" w:type="auto"/>
        <w:tblInd w:w="1063" w:type="dxa"/>
        <w:tblLayout w:type="fixed"/>
        <w:tblCellMar>
          <w:left w:w="0" w:type="dxa"/>
          <w:right w:w="0" w:type="dxa"/>
        </w:tblCellMar>
        <w:tblLook w:val="01E0" w:firstRow="1" w:lastRow="1" w:firstColumn="1" w:lastColumn="1" w:noHBand="0" w:noVBand="0"/>
      </w:tblPr>
      <w:tblGrid>
        <w:gridCol w:w="3034"/>
        <w:gridCol w:w="2517"/>
        <w:gridCol w:w="2339"/>
        <w:gridCol w:w="1475"/>
      </w:tblGrid>
      <w:tr w:rsidR="00EB2BD8" w:rsidRPr="00EB2BD8" w14:paraId="3CC915E7" w14:textId="77777777">
        <w:trPr>
          <w:trHeight w:val="912"/>
        </w:trPr>
        <w:tc>
          <w:tcPr>
            <w:tcW w:w="3034" w:type="dxa"/>
            <w:tcBorders>
              <w:top w:val="single" w:sz="4" w:space="0" w:color="0098FF"/>
              <w:left w:val="single" w:sz="4" w:space="0" w:color="0098FF"/>
              <w:bottom w:val="single" w:sz="4" w:space="0" w:color="0098FF"/>
            </w:tcBorders>
            <w:shd w:val="clear" w:color="auto" w:fill="2E74B5"/>
          </w:tcPr>
          <w:p w14:paraId="2DF14AE4" w14:textId="77777777" w:rsidR="00084F36" w:rsidRPr="00EB2BD8" w:rsidRDefault="00084F36">
            <w:pPr>
              <w:pStyle w:val="TableParagraph"/>
              <w:rPr>
                <w:rFonts w:ascii="Arial"/>
                <w:sz w:val="18"/>
              </w:rPr>
            </w:pPr>
          </w:p>
          <w:p w14:paraId="1CD2E566" w14:textId="77777777" w:rsidR="00084F36" w:rsidRPr="00EB2BD8" w:rsidRDefault="00084F36">
            <w:pPr>
              <w:pStyle w:val="TableParagraph"/>
              <w:rPr>
                <w:rFonts w:ascii="Arial"/>
                <w:sz w:val="18"/>
              </w:rPr>
            </w:pPr>
          </w:p>
          <w:p w14:paraId="61B72D7E" w14:textId="77777777" w:rsidR="00084F36" w:rsidRPr="00EB2BD8" w:rsidRDefault="00084F36">
            <w:pPr>
              <w:pStyle w:val="TableParagraph"/>
              <w:rPr>
                <w:rFonts w:ascii="Arial"/>
                <w:sz w:val="18"/>
              </w:rPr>
            </w:pPr>
          </w:p>
          <w:p w14:paraId="4B591C24" w14:textId="77777777" w:rsidR="00084F36" w:rsidRPr="00EB2BD8" w:rsidRDefault="00EB2BD8">
            <w:pPr>
              <w:pStyle w:val="TableParagraph"/>
              <w:spacing w:before="105" w:line="167" w:lineRule="exact"/>
              <w:ind w:left="100"/>
              <w:rPr>
                <w:rFonts w:ascii="Arial"/>
                <w:b/>
                <w:sz w:val="16"/>
              </w:rPr>
            </w:pPr>
            <w:r w:rsidRPr="00EB2BD8">
              <w:rPr>
                <w:rFonts w:ascii="Arial"/>
                <w:b/>
                <w:spacing w:val="-4"/>
                <w:w w:val="105"/>
                <w:sz w:val="16"/>
              </w:rPr>
              <w:t>2023</w:t>
            </w:r>
          </w:p>
        </w:tc>
        <w:tc>
          <w:tcPr>
            <w:tcW w:w="2517" w:type="dxa"/>
            <w:tcBorders>
              <w:top w:val="single" w:sz="4" w:space="0" w:color="0098FF"/>
              <w:bottom w:val="single" w:sz="4" w:space="0" w:color="0098FF"/>
            </w:tcBorders>
            <w:shd w:val="clear" w:color="auto" w:fill="2E74B5"/>
          </w:tcPr>
          <w:p w14:paraId="34997FAC" w14:textId="77777777" w:rsidR="00084F36" w:rsidRPr="00EB2BD8" w:rsidRDefault="00084F36">
            <w:pPr>
              <w:pStyle w:val="TableParagraph"/>
              <w:rPr>
                <w:rFonts w:ascii="Arial"/>
                <w:sz w:val="18"/>
              </w:rPr>
            </w:pPr>
          </w:p>
          <w:p w14:paraId="7FC3C737" w14:textId="77777777" w:rsidR="00084F36" w:rsidRPr="00EB2BD8" w:rsidRDefault="00084F36">
            <w:pPr>
              <w:pStyle w:val="TableParagraph"/>
              <w:spacing w:before="2"/>
              <w:rPr>
                <w:rFonts w:ascii="Arial"/>
                <w:sz w:val="16"/>
              </w:rPr>
            </w:pPr>
          </w:p>
          <w:p w14:paraId="14BE921A" w14:textId="77777777" w:rsidR="00084F36" w:rsidRPr="00EB2BD8" w:rsidRDefault="00EB2BD8">
            <w:pPr>
              <w:pStyle w:val="TableParagraph"/>
              <w:ind w:right="249"/>
              <w:jc w:val="right"/>
              <w:rPr>
                <w:rFonts w:ascii="Arial"/>
                <w:b/>
                <w:sz w:val="16"/>
              </w:rPr>
            </w:pPr>
            <w:r w:rsidRPr="00EB2BD8">
              <w:rPr>
                <w:rFonts w:ascii="Arial"/>
                <w:b/>
                <w:spacing w:val="-2"/>
                <w:w w:val="105"/>
                <w:sz w:val="16"/>
              </w:rPr>
              <w:t>Vehicles</w:t>
            </w:r>
          </w:p>
        </w:tc>
        <w:tc>
          <w:tcPr>
            <w:tcW w:w="2339" w:type="dxa"/>
            <w:tcBorders>
              <w:top w:val="single" w:sz="4" w:space="0" w:color="0098FF"/>
              <w:bottom w:val="single" w:sz="4" w:space="0" w:color="0098FF"/>
            </w:tcBorders>
            <w:shd w:val="clear" w:color="auto" w:fill="2E74B5"/>
          </w:tcPr>
          <w:p w14:paraId="6DF7B281" w14:textId="77777777" w:rsidR="00084F36" w:rsidRPr="00EB2BD8" w:rsidRDefault="00084F36">
            <w:pPr>
              <w:pStyle w:val="TableParagraph"/>
              <w:rPr>
                <w:rFonts w:ascii="Arial"/>
                <w:sz w:val="18"/>
              </w:rPr>
            </w:pPr>
          </w:p>
          <w:p w14:paraId="5287EE81" w14:textId="77777777" w:rsidR="00084F36" w:rsidRPr="00EB2BD8" w:rsidRDefault="00EB2BD8">
            <w:pPr>
              <w:pStyle w:val="TableParagraph"/>
              <w:spacing w:before="160"/>
              <w:ind w:right="603"/>
              <w:jc w:val="right"/>
              <w:rPr>
                <w:rFonts w:ascii="Arial"/>
                <w:b/>
                <w:sz w:val="16"/>
              </w:rPr>
            </w:pPr>
            <w:r w:rsidRPr="00EB2BD8">
              <w:rPr>
                <w:rFonts w:ascii="Arial"/>
                <w:b/>
                <w:w w:val="105"/>
                <w:sz w:val="16"/>
              </w:rPr>
              <w:t>Plant</w:t>
            </w:r>
            <w:r w:rsidRPr="00EB2BD8">
              <w:rPr>
                <w:rFonts w:ascii="Arial"/>
                <w:b/>
                <w:spacing w:val="-4"/>
                <w:w w:val="105"/>
                <w:sz w:val="16"/>
              </w:rPr>
              <w:t xml:space="preserve"> </w:t>
            </w:r>
            <w:r w:rsidRPr="00EB2BD8">
              <w:rPr>
                <w:rFonts w:ascii="Arial"/>
                <w:b/>
                <w:w w:val="105"/>
                <w:sz w:val="16"/>
              </w:rPr>
              <w:t>&amp;</w:t>
            </w:r>
            <w:r w:rsidRPr="00EB2BD8">
              <w:rPr>
                <w:rFonts w:ascii="Arial"/>
                <w:b/>
                <w:spacing w:val="-4"/>
                <w:w w:val="105"/>
                <w:sz w:val="16"/>
              </w:rPr>
              <w:t xml:space="preserve"> </w:t>
            </w:r>
            <w:r w:rsidRPr="00EB2BD8">
              <w:rPr>
                <w:rFonts w:ascii="Arial"/>
                <w:b/>
                <w:spacing w:val="-2"/>
                <w:w w:val="105"/>
                <w:sz w:val="16"/>
              </w:rPr>
              <w:t>equipment</w:t>
            </w:r>
          </w:p>
        </w:tc>
        <w:tc>
          <w:tcPr>
            <w:tcW w:w="1475" w:type="dxa"/>
            <w:tcBorders>
              <w:top w:val="single" w:sz="4" w:space="0" w:color="0098FF"/>
              <w:bottom w:val="single" w:sz="4" w:space="0" w:color="0098FF"/>
              <w:right w:val="single" w:sz="4" w:space="0" w:color="0098FF"/>
            </w:tcBorders>
            <w:shd w:val="clear" w:color="auto" w:fill="2E74B5"/>
          </w:tcPr>
          <w:p w14:paraId="43D5BD94" w14:textId="77777777" w:rsidR="00084F36" w:rsidRPr="00EB2BD8" w:rsidRDefault="00084F36">
            <w:pPr>
              <w:pStyle w:val="TableParagraph"/>
              <w:rPr>
                <w:rFonts w:ascii="Arial"/>
                <w:sz w:val="18"/>
              </w:rPr>
            </w:pPr>
          </w:p>
          <w:p w14:paraId="79D6B420" w14:textId="77777777" w:rsidR="00084F36" w:rsidRPr="00EB2BD8" w:rsidRDefault="00EB2BD8">
            <w:pPr>
              <w:pStyle w:val="TableParagraph"/>
              <w:spacing w:before="160"/>
              <w:ind w:right="87"/>
              <w:jc w:val="right"/>
              <w:rPr>
                <w:rFonts w:ascii="Arial"/>
                <w:b/>
                <w:sz w:val="16"/>
              </w:rPr>
            </w:pPr>
            <w:r w:rsidRPr="00EB2BD8">
              <w:rPr>
                <w:rFonts w:ascii="Arial"/>
                <w:b/>
                <w:spacing w:val="-2"/>
                <w:w w:val="105"/>
                <w:sz w:val="16"/>
              </w:rPr>
              <w:t>Buildings</w:t>
            </w:r>
          </w:p>
        </w:tc>
      </w:tr>
      <w:tr w:rsidR="00EB2BD8" w:rsidRPr="00EB2BD8" w14:paraId="653F5602" w14:textId="77777777">
        <w:trPr>
          <w:trHeight w:val="308"/>
        </w:trPr>
        <w:tc>
          <w:tcPr>
            <w:tcW w:w="3034" w:type="dxa"/>
            <w:tcBorders>
              <w:top w:val="single" w:sz="4" w:space="0" w:color="0098FF"/>
            </w:tcBorders>
            <w:shd w:val="clear" w:color="auto" w:fill="DEEAF6"/>
          </w:tcPr>
          <w:p w14:paraId="095A1683" w14:textId="77777777" w:rsidR="00084F36" w:rsidRPr="00EB2BD8" w:rsidRDefault="00EB2BD8">
            <w:pPr>
              <w:pStyle w:val="TableParagraph"/>
              <w:spacing w:before="63"/>
              <w:ind w:left="105"/>
              <w:rPr>
                <w:rFonts w:ascii="Arial"/>
                <w:b/>
                <w:sz w:val="16"/>
              </w:rPr>
            </w:pPr>
            <w:r w:rsidRPr="00EB2BD8">
              <w:rPr>
                <w:rFonts w:ascii="Arial"/>
                <w:b/>
                <w:w w:val="105"/>
                <w:sz w:val="16"/>
              </w:rPr>
              <w:t>Opening</w:t>
            </w:r>
            <w:r w:rsidRPr="00EB2BD8">
              <w:rPr>
                <w:rFonts w:ascii="Arial"/>
                <w:b/>
                <w:spacing w:val="-9"/>
                <w:w w:val="105"/>
                <w:sz w:val="16"/>
              </w:rPr>
              <w:t xml:space="preserve"> </w:t>
            </w:r>
            <w:r w:rsidRPr="00EB2BD8">
              <w:rPr>
                <w:rFonts w:ascii="Arial"/>
                <w:b/>
                <w:spacing w:val="-2"/>
                <w:w w:val="105"/>
                <w:sz w:val="16"/>
              </w:rPr>
              <w:t>balance</w:t>
            </w:r>
          </w:p>
        </w:tc>
        <w:tc>
          <w:tcPr>
            <w:tcW w:w="2517" w:type="dxa"/>
            <w:tcBorders>
              <w:top w:val="single" w:sz="4" w:space="0" w:color="0098FF"/>
            </w:tcBorders>
            <w:shd w:val="clear" w:color="auto" w:fill="DEEAF6"/>
          </w:tcPr>
          <w:p w14:paraId="601E6007" w14:textId="77777777" w:rsidR="00084F36" w:rsidRPr="00EB2BD8" w:rsidRDefault="00EB2BD8">
            <w:pPr>
              <w:pStyle w:val="TableParagraph"/>
              <w:spacing w:before="62"/>
              <w:ind w:right="249"/>
              <w:jc w:val="right"/>
              <w:rPr>
                <w:rFonts w:ascii="Arial"/>
                <w:b/>
                <w:sz w:val="16"/>
              </w:rPr>
            </w:pPr>
            <w:r w:rsidRPr="00EB2BD8">
              <w:rPr>
                <w:rFonts w:ascii="Arial"/>
                <w:b/>
                <w:spacing w:val="-4"/>
                <w:w w:val="105"/>
                <w:sz w:val="16"/>
              </w:rPr>
              <w:t>1,709</w:t>
            </w:r>
          </w:p>
        </w:tc>
        <w:tc>
          <w:tcPr>
            <w:tcW w:w="2339" w:type="dxa"/>
            <w:tcBorders>
              <w:top w:val="single" w:sz="4" w:space="0" w:color="0098FF"/>
            </w:tcBorders>
            <w:shd w:val="clear" w:color="auto" w:fill="DEEAF6"/>
          </w:tcPr>
          <w:p w14:paraId="0856CE7A" w14:textId="77777777" w:rsidR="00084F36" w:rsidRPr="00EB2BD8" w:rsidRDefault="00EB2BD8">
            <w:pPr>
              <w:pStyle w:val="TableParagraph"/>
              <w:spacing w:before="63"/>
              <w:ind w:right="603"/>
              <w:jc w:val="right"/>
              <w:rPr>
                <w:rFonts w:ascii="Arial"/>
                <w:b/>
                <w:sz w:val="16"/>
              </w:rPr>
            </w:pPr>
            <w:r w:rsidRPr="00EB2BD8">
              <w:rPr>
                <w:rFonts w:ascii="Arial"/>
                <w:b/>
                <w:spacing w:val="-5"/>
                <w:w w:val="105"/>
                <w:sz w:val="16"/>
              </w:rPr>
              <w:t>700</w:t>
            </w:r>
          </w:p>
        </w:tc>
        <w:tc>
          <w:tcPr>
            <w:tcW w:w="1475" w:type="dxa"/>
            <w:tcBorders>
              <w:top w:val="single" w:sz="4" w:space="0" w:color="0098FF"/>
            </w:tcBorders>
            <w:shd w:val="clear" w:color="auto" w:fill="DEEAF6"/>
          </w:tcPr>
          <w:p w14:paraId="053BE14F" w14:textId="77777777" w:rsidR="00084F36" w:rsidRPr="00EB2BD8" w:rsidRDefault="00EB2BD8">
            <w:pPr>
              <w:pStyle w:val="TableParagraph"/>
              <w:spacing w:before="63"/>
              <w:ind w:right="94"/>
              <w:jc w:val="right"/>
              <w:rPr>
                <w:rFonts w:ascii="Arial"/>
                <w:b/>
                <w:sz w:val="16"/>
              </w:rPr>
            </w:pPr>
            <w:r w:rsidRPr="00EB2BD8">
              <w:rPr>
                <w:rFonts w:ascii="Arial"/>
                <w:b/>
                <w:spacing w:val="-2"/>
                <w:w w:val="105"/>
                <w:sz w:val="16"/>
              </w:rPr>
              <w:t>4,836</w:t>
            </w:r>
          </w:p>
        </w:tc>
      </w:tr>
      <w:tr w:rsidR="00EB2BD8" w:rsidRPr="00EB2BD8" w14:paraId="5DE3A523" w14:textId="77777777">
        <w:trPr>
          <w:trHeight w:val="314"/>
        </w:trPr>
        <w:tc>
          <w:tcPr>
            <w:tcW w:w="3034" w:type="dxa"/>
            <w:shd w:val="clear" w:color="auto" w:fill="DEEAF6"/>
          </w:tcPr>
          <w:p w14:paraId="49D3816A" w14:textId="77777777" w:rsidR="00084F36" w:rsidRPr="00EB2BD8" w:rsidRDefault="00EB2BD8">
            <w:pPr>
              <w:pStyle w:val="TableParagraph"/>
              <w:spacing w:before="67"/>
              <w:ind w:left="105"/>
              <w:rPr>
                <w:rFonts w:ascii="Arial"/>
                <w:sz w:val="16"/>
              </w:rPr>
            </w:pPr>
            <w:r w:rsidRPr="00EB2BD8">
              <w:rPr>
                <w:rFonts w:ascii="Arial"/>
                <w:spacing w:val="-2"/>
                <w:w w:val="105"/>
                <w:sz w:val="16"/>
              </w:rPr>
              <w:t>Purchases/(sales)</w:t>
            </w:r>
          </w:p>
        </w:tc>
        <w:tc>
          <w:tcPr>
            <w:tcW w:w="2517" w:type="dxa"/>
            <w:shd w:val="clear" w:color="auto" w:fill="DEEAF6"/>
          </w:tcPr>
          <w:p w14:paraId="52188E8E" w14:textId="77777777" w:rsidR="00084F36" w:rsidRPr="00EB2BD8" w:rsidRDefault="00EB2BD8">
            <w:pPr>
              <w:pStyle w:val="TableParagraph"/>
              <w:spacing w:before="61"/>
              <w:ind w:right="249"/>
              <w:jc w:val="right"/>
              <w:rPr>
                <w:rFonts w:ascii="Arial"/>
                <w:sz w:val="16"/>
              </w:rPr>
            </w:pPr>
            <w:r w:rsidRPr="00EB2BD8">
              <w:rPr>
                <w:rFonts w:ascii="Arial"/>
                <w:spacing w:val="-5"/>
                <w:w w:val="105"/>
                <w:sz w:val="16"/>
              </w:rPr>
              <w:t>761</w:t>
            </w:r>
          </w:p>
        </w:tc>
        <w:tc>
          <w:tcPr>
            <w:tcW w:w="2339" w:type="dxa"/>
            <w:shd w:val="clear" w:color="auto" w:fill="DEEAF6"/>
          </w:tcPr>
          <w:p w14:paraId="1321CFA1" w14:textId="77777777" w:rsidR="00084F36" w:rsidRPr="00EB2BD8" w:rsidRDefault="00EB2BD8">
            <w:pPr>
              <w:pStyle w:val="TableParagraph"/>
              <w:spacing w:before="67"/>
              <w:ind w:right="604"/>
              <w:jc w:val="right"/>
              <w:rPr>
                <w:rFonts w:ascii="Arial"/>
                <w:sz w:val="16"/>
              </w:rPr>
            </w:pPr>
            <w:r w:rsidRPr="00EB2BD8">
              <w:rPr>
                <w:rFonts w:ascii="Arial"/>
                <w:spacing w:val="-5"/>
                <w:w w:val="105"/>
                <w:sz w:val="16"/>
              </w:rPr>
              <w:t>54</w:t>
            </w:r>
          </w:p>
        </w:tc>
        <w:tc>
          <w:tcPr>
            <w:tcW w:w="1475" w:type="dxa"/>
            <w:shd w:val="clear" w:color="auto" w:fill="DEEAF6"/>
          </w:tcPr>
          <w:p w14:paraId="13271880" w14:textId="77777777" w:rsidR="00084F36" w:rsidRPr="00EB2BD8" w:rsidRDefault="00EB2BD8">
            <w:pPr>
              <w:pStyle w:val="TableParagraph"/>
              <w:spacing w:before="67"/>
              <w:ind w:right="95"/>
              <w:jc w:val="right"/>
              <w:rPr>
                <w:rFonts w:ascii="Arial"/>
                <w:sz w:val="16"/>
              </w:rPr>
            </w:pPr>
            <w:r w:rsidRPr="00EB2BD8">
              <w:rPr>
                <w:rFonts w:ascii="Arial"/>
                <w:spacing w:val="-5"/>
                <w:w w:val="105"/>
                <w:sz w:val="16"/>
              </w:rPr>
              <w:t>141</w:t>
            </w:r>
          </w:p>
        </w:tc>
      </w:tr>
      <w:tr w:rsidR="00EB2BD8" w:rsidRPr="00EB2BD8" w14:paraId="354F46A9" w14:textId="77777777">
        <w:trPr>
          <w:trHeight w:val="318"/>
        </w:trPr>
        <w:tc>
          <w:tcPr>
            <w:tcW w:w="3034" w:type="dxa"/>
            <w:tcBorders>
              <w:bottom w:val="single" w:sz="12" w:space="0" w:color="000000"/>
            </w:tcBorders>
            <w:shd w:val="clear" w:color="auto" w:fill="DEEAF6"/>
          </w:tcPr>
          <w:p w14:paraId="01432A3A" w14:textId="77777777" w:rsidR="00084F36" w:rsidRPr="00EB2BD8" w:rsidRDefault="00EB2BD8">
            <w:pPr>
              <w:pStyle w:val="TableParagraph"/>
              <w:spacing w:before="70"/>
              <w:ind w:left="105"/>
              <w:rPr>
                <w:rFonts w:ascii="Arial"/>
                <w:sz w:val="16"/>
              </w:rPr>
            </w:pPr>
            <w:r w:rsidRPr="00EB2BD8">
              <w:rPr>
                <w:rFonts w:ascii="Arial"/>
                <w:spacing w:val="-2"/>
                <w:w w:val="105"/>
                <w:sz w:val="16"/>
              </w:rPr>
              <w:t>Depreciation</w:t>
            </w:r>
          </w:p>
        </w:tc>
        <w:tc>
          <w:tcPr>
            <w:tcW w:w="2517" w:type="dxa"/>
            <w:tcBorders>
              <w:bottom w:val="single" w:sz="12" w:space="0" w:color="000000"/>
            </w:tcBorders>
            <w:shd w:val="clear" w:color="auto" w:fill="DEEAF6"/>
          </w:tcPr>
          <w:p w14:paraId="08B7A5E0" w14:textId="77777777" w:rsidR="00084F36" w:rsidRPr="00EB2BD8" w:rsidRDefault="00EB2BD8">
            <w:pPr>
              <w:pStyle w:val="TableParagraph"/>
              <w:spacing w:before="64"/>
              <w:ind w:right="250"/>
              <w:jc w:val="right"/>
              <w:rPr>
                <w:rFonts w:ascii="Arial"/>
                <w:sz w:val="16"/>
              </w:rPr>
            </w:pPr>
            <w:r w:rsidRPr="00EB2BD8">
              <w:rPr>
                <w:rFonts w:ascii="Arial"/>
                <w:spacing w:val="-2"/>
                <w:w w:val="105"/>
                <w:sz w:val="16"/>
              </w:rPr>
              <w:t>(315)</w:t>
            </w:r>
          </w:p>
        </w:tc>
        <w:tc>
          <w:tcPr>
            <w:tcW w:w="2339" w:type="dxa"/>
            <w:tcBorders>
              <w:bottom w:val="single" w:sz="12" w:space="0" w:color="000000"/>
            </w:tcBorders>
            <w:shd w:val="clear" w:color="auto" w:fill="DEEAF6"/>
          </w:tcPr>
          <w:p w14:paraId="08633BB3" w14:textId="77777777" w:rsidR="00084F36" w:rsidRPr="00EB2BD8" w:rsidRDefault="00EB2BD8">
            <w:pPr>
              <w:pStyle w:val="TableParagraph"/>
              <w:spacing w:before="70"/>
              <w:ind w:right="605"/>
              <w:jc w:val="right"/>
              <w:rPr>
                <w:rFonts w:ascii="Arial"/>
                <w:sz w:val="16"/>
              </w:rPr>
            </w:pPr>
            <w:r w:rsidRPr="00EB2BD8">
              <w:rPr>
                <w:rFonts w:ascii="Arial"/>
                <w:spacing w:val="-2"/>
                <w:w w:val="105"/>
                <w:sz w:val="16"/>
              </w:rPr>
              <w:t>(405)</w:t>
            </w:r>
          </w:p>
        </w:tc>
        <w:tc>
          <w:tcPr>
            <w:tcW w:w="1475" w:type="dxa"/>
            <w:tcBorders>
              <w:bottom w:val="single" w:sz="12" w:space="0" w:color="000000"/>
            </w:tcBorders>
            <w:shd w:val="clear" w:color="auto" w:fill="DEEAF6"/>
          </w:tcPr>
          <w:p w14:paraId="61F5FF48" w14:textId="77777777" w:rsidR="00084F36" w:rsidRPr="00EB2BD8" w:rsidRDefault="00EB2BD8">
            <w:pPr>
              <w:pStyle w:val="TableParagraph"/>
              <w:spacing w:before="70"/>
              <w:ind w:right="95"/>
              <w:jc w:val="right"/>
              <w:rPr>
                <w:rFonts w:ascii="Arial"/>
                <w:sz w:val="16"/>
              </w:rPr>
            </w:pPr>
            <w:r w:rsidRPr="00EB2BD8">
              <w:rPr>
                <w:rFonts w:ascii="Arial"/>
                <w:spacing w:val="-2"/>
                <w:w w:val="105"/>
                <w:sz w:val="16"/>
              </w:rPr>
              <w:t>(2,059)</w:t>
            </w:r>
          </w:p>
        </w:tc>
      </w:tr>
      <w:tr w:rsidR="00EB2BD8" w:rsidRPr="00EB2BD8" w14:paraId="2DBA31B0" w14:textId="77777777">
        <w:trPr>
          <w:trHeight w:val="286"/>
        </w:trPr>
        <w:tc>
          <w:tcPr>
            <w:tcW w:w="3034" w:type="dxa"/>
            <w:tcBorders>
              <w:top w:val="single" w:sz="12" w:space="0" w:color="000000"/>
              <w:bottom w:val="single" w:sz="12" w:space="0" w:color="000000"/>
            </w:tcBorders>
            <w:shd w:val="clear" w:color="auto" w:fill="DEEAF6"/>
          </w:tcPr>
          <w:p w14:paraId="3D5686EE" w14:textId="77777777" w:rsidR="00084F36" w:rsidRPr="00EB2BD8" w:rsidRDefault="00EB2BD8">
            <w:pPr>
              <w:pStyle w:val="TableParagraph"/>
              <w:spacing w:before="54"/>
              <w:ind w:left="105"/>
              <w:rPr>
                <w:rFonts w:ascii="Arial"/>
                <w:b/>
                <w:sz w:val="16"/>
              </w:rPr>
            </w:pPr>
            <w:r w:rsidRPr="00EB2BD8">
              <w:rPr>
                <w:rFonts w:ascii="Arial"/>
                <w:b/>
                <w:w w:val="105"/>
                <w:sz w:val="16"/>
              </w:rPr>
              <w:t>Closing</w:t>
            </w:r>
            <w:r w:rsidRPr="00EB2BD8">
              <w:rPr>
                <w:rFonts w:ascii="Arial"/>
                <w:b/>
                <w:spacing w:val="-10"/>
                <w:w w:val="105"/>
                <w:sz w:val="16"/>
              </w:rPr>
              <w:t xml:space="preserve"> </w:t>
            </w:r>
            <w:r w:rsidRPr="00EB2BD8">
              <w:rPr>
                <w:rFonts w:ascii="Arial"/>
                <w:b/>
                <w:spacing w:val="-2"/>
                <w:w w:val="105"/>
                <w:sz w:val="16"/>
              </w:rPr>
              <w:t>balance</w:t>
            </w:r>
          </w:p>
        </w:tc>
        <w:tc>
          <w:tcPr>
            <w:tcW w:w="2517" w:type="dxa"/>
            <w:tcBorders>
              <w:top w:val="single" w:sz="12" w:space="0" w:color="000000"/>
              <w:bottom w:val="single" w:sz="12" w:space="0" w:color="000000"/>
            </w:tcBorders>
            <w:shd w:val="clear" w:color="auto" w:fill="DEEAF6"/>
          </w:tcPr>
          <w:p w14:paraId="3B832184" w14:textId="77777777" w:rsidR="00084F36" w:rsidRPr="00EB2BD8" w:rsidRDefault="00EB2BD8">
            <w:pPr>
              <w:pStyle w:val="TableParagraph"/>
              <w:spacing w:before="61"/>
              <w:ind w:right="249"/>
              <w:jc w:val="right"/>
              <w:rPr>
                <w:rFonts w:ascii="Arial"/>
                <w:b/>
                <w:sz w:val="16"/>
              </w:rPr>
            </w:pPr>
            <w:r w:rsidRPr="00EB2BD8">
              <w:rPr>
                <w:rFonts w:ascii="Arial"/>
                <w:b/>
                <w:spacing w:val="-4"/>
                <w:w w:val="105"/>
                <w:sz w:val="16"/>
              </w:rPr>
              <w:t>2,155</w:t>
            </w:r>
          </w:p>
        </w:tc>
        <w:tc>
          <w:tcPr>
            <w:tcW w:w="2339" w:type="dxa"/>
            <w:tcBorders>
              <w:top w:val="single" w:sz="12" w:space="0" w:color="000000"/>
              <w:bottom w:val="single" w:sz="12" w:space="0" w:color="000000"/>
            </w:tcBorders>
            <w:shd w:val="clear" w:color="auto" w:fill="DEEAF6"/>
          </w:tcPr>
          <w:p w14:paraId="30A9A29D" w14:textId="77777777" w:rsidR="00084F36" w:rsidRPr="00EB2BD8" w:rsidRDefault="00EB2BD8">
            <w:pPr>
              <w:pStyle w:val="TableParagraph"/>
              <w:spacing w:before="54"/>
              <w:ind w:right="604"/>
              <w:jc w:val="right"/>
              <w:rPr>
                <w:rFonts w:ascii="Arial"/>
                <w:b/>
                <w:sz w:val="16"/>
              </w:rPr>
            </w:pPr>
            <w:r w:rsidRPr="00EB2BD8">
              <w:rPr>
                <w:rFonts w:ascii="Arial"/>
                <w:b/>
                <w:spacing w:val="-5"/>
                <w:w w:val="105"/>
                <w:sz w:val="16"/>
              </w:rPr>
              <w:t>349</w:t>
            </w:r>
          </w:p>
        </w:tc>
        <w:tc>
          <w:tcPr>
            <w:tcW w:w="1475" w:type="dxa"/>
            <w:tcBorders>
              <w:top w:val="single" w:sz="12" w:space="0" w:color="000000"/>
              <w:bottom w:val="single" w:sz="12" w:space="0" w:color="000000"/>
            </w:tcBorders>
            <w:shd w:val="clear" w:color="auto" w:fill="DEEAF6"/>
          </w:tcPr>
          <w:p w14:paraId="76D03CD2" w14:textId="77777777" w:rsidR="00084F36" w:rsidRPr="00EB2BD8" w:rsidRDefault="00EB2BD8">
            <w:pPr>
              <w:pStyle w:val="TableParagraph"/>
              <w:spacing w:before="54"/>
              <w:ind w:right="95"/>
              <w:jc w:val="right"/>
              <w:rPr>
                <w:rFonts w:ascii="Arial"/>
                <w:b/>
                <w:sz w:val="16"/>
              </w:rPr>
            </w:pPr>
            <w:r w:rsidRPr="00EB2BD8">
              <w:rPr>
                <w:rFonts w:ascii="Arial"/>
                <w:b/>
                <w:spacing w:val="-2"/>
                <w:w w:val="105"/>
                <w:sz w:val="16"/>
              </w:rPr>
              <w:t>2,918</w:t>
            </w:r>
          </w:p>
        </w:tc>
      </w:tr>
    </w:tbl>
    <w:p w14:paraId="5B10E7E8" w14:textId="737D9340" w:rsidR="00084F36" w:rsidRPr="00EB2BD8" w:rsidRDefault="00084F36">
      <w:pPr>
        <w:pStyle w:val="BodyText"/>
        <w:rPr>
          <w:rFonts w:ascii="Arial"/>
          <w:sz w:val="20"/>
        </w:rPr>
      </w:pPr>
    </w:p>
    <w:p w14:paraId="0601C1F3" w14:textId="30A73E00" w:rsidR="00084F36" w:rsidRPr="00EB2BD8" w:rsidRDefault="00084F36">
      <w:pPr>
        <w:pStyle w:val="BodyText"/>
        <w:rPr>
          <w:rFonts w:ascii="Arial"/>
          <w:sz w:val="20"/>
        </w:rPr>
      </w:pPr>
    </w:p>
    <w:p w14:paraId="0C7A4C24" w14:textId="77777777" w:rsidR="00084F36" w:rsidRPr="00EB2BD8" w:rsidRDefault="00084F36">
      <w:pPr>
        <w:pStyle w:val="BodyText"/>
        <w:spacing w:before="8"/>
        <w:rPr>
          <w:rFonts w:ascii="Arial"/>
          <w:sz w:val="26"/>
        </w:rPr>
      </w:pPr>
    </w:p>
    <w:tbl>
      <w:tblPr>
        <w:tblW w:w="0" w:type="auto"/>
        <w:tblInd w:w="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71"/>
        <w:gridCol w:w="2913"/>
        <w:gridCol w:w="1928"/>
        <w:gridCol w:w="1358"/>
      </w:tblGrid>
      <w:tr w:rsidR="00F007BF" w:rsidRPr="00EB2BD8" w14:paraId="4439406E" w14:textId="77777777" w:rsidTr="00F007BF">
        <w:trPr>
          <w:trHeight w:val="248"/>
        </w:trPr>
        <w:tc>
          <w:tcPr>
            <w:tcW w:w="3171" w:type="dxa"/>
            <w:shd w:val="clear" w:color="auto" w:fill="FFFFFF"/>
          </w:tcPr>
          <w:p w14:paraId="5FCD92D5" w14:textId="3469DD9F" w:rsidR="00F007BF" w:rsidRPr="00EB2BD8" w:rsidRDefault="00F007BF">
            <w:pPr>
              <w:pStyle w:val="TableParagraph"/>
              <w:spacing w:before="3"/>
              <w:ind w:left="107"/>
              <w:rPr>
                <w:rFonts w:ascii="Arial"/>
                <w:b/>
                <w:w w:val="105"/>
                <w:sz w:val="16"/>
              </w:rPr>
            </w:pPr>
            <w:r>
              <w:rPr>
                <w:rFonts w:ascii="Arial"/>
                <w:b/>
                <w:w w:val="105"/>
                <w:sz w:val="16"/>
              </w:rPr>
              <w:t>2022</w:t>
            </w:r>
          </w:p>
        </w:tc>
        <w:tc>
          <w:tcPr>
            <w:tcW w:w="2913" w:type="dxa"/>
            <w:shd w:val="clear" w:color="auto" w:fill="FFFFFF"/>
          </w:tcPr>
          <w:p w14:paraId="6C86D85B" w14:textId="73FCC25B" w:rsidR="00F007BF" w:rsidRPr="00EB2BD8" w:rsidRDefault="00F007BF">
            <w:pPr>
              <w:pStyle w:val="TableParagraph"/>
              <w:spacing w:before="2"/>
              <w:ind w:right="780"/>
              <w:jc w:val="right"/>
              <w:rPr>
                <w:rFonts w:ascii="Arial"/>
                <w:b/>
                <w:spacing w:val="-2"/>
                <w:w w:val="105"/>
                <w:sz w:val="16"/>
              </w:rPr>
            </w:pPr>
            <w:r>
              <w:rPr>
                <w:rFonts w:ascii="Arial"/>
                <w:b/>
                <w:spacing w:val="-2"/>
                <w:w w:val="105"/>
                <w:sz w:val="16"/>
              </w:rPr>
              <w:t>Vehicles</w:t>
            </w:r>
          </w:p>
        </w:tc>
        <w:tc>
          <w:tcPr>
            <w:tcW w:w="1928" w:type="dxa"/>
            <w:shd w:val="clear" w:color="auto" w:fill="FFFFFF"/>
          </w:tcPr>
          <w:p w14:paraId="0C27193E" w14:textId="78B5D197" w:rsidR="00F007BF" w:rsidRPr="00EB2BD8" w:rsidRDefault="00F007BF">
            <w:pPr>
              <w:pStyle w:val="TableParagraph"/>
              <w:spacing w:before="3"/>
              <w:ind w:right="723"/>
              <w:jc w:val="right"/>
              <w:rPr>
                <w:rFonts w:ascii="Arial"/>
                <w:b/>
                <w:spacing w:val="-2"/>
                <w:w w:val="105"/>
                <w:sz w:val="16"/>
              </w:rPr>
            </w:pPr>
            <w:r>
              <w:rPr>
                <w:rFonts w:ascii="Arial"/>
                <w:b/>
                <w:spacing w:val="-2"/>
                <w:w w:val="105"/>
                <w:sz w:val="16"/>
              </w:rPr>
              <w:t>Plant &amp; equipment</w:t>
            </w:r>
          </w:p>
        </w:tc>
        <w:tc>
          <w:tcPr>
            <w:tcW w:w="1358" w:type="dxa"/>
            <w:shd w:val="clear" w:color="auto" w:fill="FFFFFF"/>
          </w:tcPr>
          <w:p w14:paraId="53000E81" w14:textId="77BD7462" w:rsidR="00F007BF" w:rsidRPr="00EB2BD8" w:rsidRDefault="00F007BF">
            <w:pPr>
              <w:pStyle w:val="TableParagraph"/>
              <w:spacing w:before="3"/>
              <w:ind w:right="97"/>
              <w:jc w:val="right"/>
              <w:rPr>
                <w:rFonts w:ascii="Arial"/>
                <w:b/>
                <w:spacing w:val="-2"/>
                <w:w w:val="105"/>
                <w:sz w:val="16"/>
              </w:rPr>
            </w:pPr>
            <w:r>
              <w:rPr>
                <w:rFonts w:ascii="Arial"/>
                <w:b/>
                <w:spacing w:val="-2"/>
                <w:w w:val="105"/>
                <w:sz w:val="16"/>
              </w:rPr>
              <w:t>Buildings</w:t>
            </w:r>
          </w:p>
        </w:tc>
      </w:tr>
      <w:tr w:rsidR="00EB2BD8" w:rsidRPr="00EB2BD8" w14:paraId="3A84B7FA" w14:textId="77777777" w:rsidTr="00F007BF">
        <w:trPr>
          <w:trHeight w:val="248"/>
        </w:trPr>
        <w:tc>
          <w:tcPr>
            <w:tcW w:w="3171" w:type="dxa"/>
            <w:shd w:val="clear" w:color="auto" w:fill="FFFFFF"/>
          </w:tcPr>
          <w:p w14:paraId="4AC7B1C8" w14:textId="77777777" w:rsidR="00084F36" w:rsidRPr="00EB2BD8" w:rsidRDefault="00EB2BD8">
            <w:pPr>
              <w:pStyle w:val="TableParagraph"/>
              <w:spacing w:before="3"/>
              <w:ind w:left="107"/>
              <w:rPr>
                <w:rFonts w:ascii="Arial"/>
                <w:b/>
                <w:sz w:val="16"/>
              </w:rPr>
            </w:pPr>
            <w:r w:rsidRPr="00EB2BD8">
              <w:rPr>
                <w:rFonts w:ascii="Arial"/>
                <w:b/>
                <w:w w:val="105"/>
                <w:sz w:val="16"/>
              </w:rPr>
              <w:t>Opening</w:t>
            </w:r>
            <w:r w:rsidRPr="00EB2BD8">
              <w:rPr>
                <w:rFonts w:ascii="Arial"/>
                <w:b/>
                <w:spacing w:val="-9"/>
                <w:w w:val="105"/>
                <w:sz w:val="16"/>
              </w:rPr>
              <w:t xml:space="preserve"> </w:t>
            </w:r>
            <w:r w:rsidRPr="00EB2BD8">
              <w:rPr>
                <w:rFonts w:ascii="Arial"/>
                <w:b/>
                <w:spacing w:val="-2"/>
                <w:w w:val="105"/>
                <w:sz w:val="16"/>
              </w:rPr>
              <w:t>balance</w:t>
            </w:r>
          </w:p>
        </w:tc>
        <w:tc>
          <w:tcPr>
            <w:tcW w:w="2913" w:type="dxa"/>
            <w:shd w:val="clear" w:color="auto" w:fill="FFFFFF"/>
          </w:tcPr>
          <w:p w14:paraId="69FC220A" w14:textId="77777777" w:rsidR="00084F36" w:rsidRPr="00EB2BD8" w:rsidRDefault="00EB2BD8">
            <w:pPr>
              <w:pStyle w:val="TableParagraph"/>
              <w:spacing w:before="2"/>
              <w:ind w:right="780"/>
              <w:jc w:val="right"/>
              <w:rPr>
                <w:rFonts w:ascii="Arial"/>
                <w:b/>
                <w:sz w:val="16"/>
              </w:rPr>
            </w:pPr>
            <w:r w:rsidRPr="00EB2BD8">
              <w:rPr>
                <w:rFonts w:ascii="Arial"/>
                <w:b/>
                <w:spacing w:val="-2"/>
                <w:w w:val="105"/>
                <w:sz w:val="16"/>
              </w:rPr>
              <w:t>1,428</w:t>
            </w:r>
          </w:p>
        </w:tc>
        <w:tc>
          <w:tcPr>
            <w:tcW w:w="1928" w:type="dxa"/>
            <w:shd w:val="clear" w:color="auto" w:fill="FFFFFF"/>
          </w:tcPr>
          <w:p w14:paraId="08B2D86A" w14:textId="77777777" w:rsidR="00084F36" w:rsidRPr="00EB2BD8" w:rsidRDefault="00EB2BD8">
            <w:pPr>
              <w:pStyle w:val="TableParagraph"/>
              <w:spacing w:before="3"/>
              <w:ind w:right="723"/>
              <w:jc w:val="right"/>
              <w:rPr>
                <w:rFonts w:ascii="Arial"/>
                <w:b/>
                <w:sz w:val="16"/>
              </w:rPr>
            </w:pPr>
            <w:r w:rsidRPr="00EB2BD8">
              <w:rPr>
                <w:rFonts w:ascii="Arial"/>
                <w:b/>
                <w:spacing w:val="-2"/>
                <w:w w:val="105"/>
                <w:sz w:val="16"/>
              </w:rPr>
              <w:t>1,112</w:t>
            </w:r>
          </w:p>
        </w:tc>
        <w:tc>
          <w:tcPr>
            <w:tcW w:w="1358" w:type="dxa"/>
            <w:shd w:val="clear" w:color="auto" w:fill="FFFFFF"/>
          </w:tcPr>
          <w:p w14:paraId="50251ADF" w14:textId="77777777" w:rsidR="00084F36" w:rsidRPr="00EB2BD8" w:rsidRDefault="00EB2BD8">
            <w:pPr>
              <w:pStyle w:val="TableParagraph"/>
              <w:spacing w:before="3"/>
              <w:ind w:right="97"/>
              <w:jc w:val="right"/>
              <w:rPr>
                <w:rFonts w:ascii="Arial"/>
                <w:b/>
                <w:sz w:val="16"/>
              </w:rPr>
            </w:pPr>
            <w:r w:rsidRPr="00EB2BD8">
              <w:rPr>
                <w:rFonts w:ascii="Arial"/>
                <w:b/>
                <w:spacing w:val="-2"/>
                <w:w w:val="105"/>
                <w:sz w:val="16"/>
              </w:rPr>
              <w:t>6,200</w:t>
            </w:r>
          </w:p>
        </w:tc>
      </w:tr>
      <w:tr w:rsidR="00EB2BD8" w:rsidRPr="00EB2BD8" w14:paraId="60AB406B" w14:textId="77777777" w:rsidTr="00F007BF">
        <w:trPr>
          <w:trHeight w:val="314"/>
        </w:trPr>
        <w:tc>
          <w:tcPr>
            <w:tcW w:w="3171" w:type="dxa"/>
            <w:shd w:val="clear" w:color="auto" w:fill="FFFFFF"/>
          </w:tcPr>
          <w:p w14:paraId="1092B8EE" w14:textId="77777777" w:rsidR="00084F36" w:rsidRPr="00EB2BD8" w:rsidRDefault="00EB2BD8">
            <w:pPr>
              <w:pStyle w:val="TableParagraph"/>
              <w:spacing w:before="67"/>
              <w:ind w:left="107"/>
              <w:rPr>
                <w:rFonts w:ascii="Arial"/>
                <w:sz w:val="16"/>
              </w:rPr>
            </w:pPr>
            <w:r w:rsidRPr="00EB2BD8">
              <w:rPr>
                <w:rFonts w:ascii="Arial"/>
                <w:spacing w:val="-2"/>
                <w:w w:val="105"/>
                <w:sz w:val="16"/>
              </w:rPr>
              <w:t>Purchases/(sales)</w:t>
            </w:r>
          </w:p>
        </w:tc>
        <w:tc>
          <w:tcPr>
            <w:tcW w:w="2913" w:type="dxa"/>
            <w:shd w:val="clear" w:color="auto" w:fill="FFFFFF"/>
          </w:tcPr>
          <w:p w14:paraId="67CD4465" w14:textId="77777777" w:rsidR="00084F36" w:rsidRPr="00EB2BD8" w:rsidRDefault="00EB2BD8">
            <w:pPr>
              <w:pStyle w:val="TableParagraph"/>
              <w:spacing w:before="61"/>
              <w:ind w:right="780"/>
              <w:jc w:val="right"/>
              <w:rPr>
                <w:rFonts w:ascii="Arial"/>
                <w:sz w:val="16"/>
              </w:rPr>
            </w:pPr>
            <w:r w:rsidRPr="00EB2BD8">
              <w:rPr>
                <w:rFonts w:ascii="Arial"/>
                <w:spacing w:val="-5"/>
                <w:w w:val="105"/>
                <w:sz w:val="16"/>
              </w:rPr>
              <w:t>925</w:t>
            </w:r>
          </w:p>
        </w:tc>
        <w:tc>
          <w:tcPr>
            <w:tcW w:w="1928" w:type="dxa"/>
            <w:shd w:val="clear" w:color="auto" w:fill="FFFFFF"/>
          </w:tcPr>
          <w:p w14:paraId="48C5D0E6" w14:textId="77777777" w:rsidR="00084F36" w:rsidRPr="00EB2BD8" w:rsidRDefault="00EB2BD8">
            <w:pPr>
              <w:pStyle w:val="TableParagraph"/>
              <w:spacing w:before="67"/>
              <w:ind w:right="723"/>
              <w:jc w:val="right"/>
              <w:rPr>
                <w:rFonts w:ascii="Arial"/>
                <w:sz w:val="16"/>
              </w:rPr>
            </w:pPr>
            <w:r w:rsidRPr="00EB2BD8">
              <w:rPr>
                <w:rFonts w:ascii="Arial"/>
                <w:spacing w:val="-5"/>
                <w:w w:val="105"/>
                <w:sz w:val="16"/>
              </w:rPr>
              <w:t>133</w:t>
            </w:r>
          </w:p>
        </w:tc>
        <w:tc>
          <w:tcPr>
            <w:tcW w:w="1358" w:type="dxa"/>
            <w:shd w:val="clear" w:color="auto" w:fill="FFFFFF"/>
          </w:tcPr>
          <w:p w14:paraId="67EBEB35" w14:textId="77777777" w:rsidR="00084F36" w:rsidRPr="00EB2BD8" w:rsidRDefault="00EB2BD8">
            <w:pPr>
              <w:pStyle w:val="TableParagraph"/>
              <w:spacing w:before="67"/>
              <w:ind w:right="97"/>
              <w:jc w:val="right"/>
              <w:rPr>
                <w:rFonts w:ascii="Arial"/>
                <w:sz w:val="16"/>
              </w:rPr>
            </w:pPr>
            <w:r w:rsidRPr="00EB2BD8">
              <w:rPr>
                <w:rFonts w:ascii="Arial"/>
                <w:spacing w:val="-5"/>
                <w:w w:val="105"/>
                <w:sz w:val="16"/>
              </w:rPr>
              <w:t>450</w:t>
            </w:r>
          </w:p>
        </w:tc>
      </w:tr>
      <w:tr w:rsidR="00EB2BD8" w:rsidRPr="00EB2BD8" w14:paraId="0A156F59" w14:textId="77777777" w:rsidTr="00F007BF">
        <w:trPr>
          <w:trHeight w:val="317"/>
        </w:trPr>
        <w:tc>
          <w:tcPr>
            <w:tcW w:w="3171" w:type="dxa"/>
            <w:shd w:val="clear" w:color="auto" w:fill="FFFFFF"/>
          </w:tcPr>
          <w:p w14:paraId="24D345DA" w14:textId="77777777" w:rsidR="00084F36" w:rsidRPr="00EB2BD8" w:rsidRDefault="00EB2BD8">
            <w:pPr>
              <w:pStyle w:val="TableParagraph"/>
              <w:spacing w:before="69"/>
              <w:ind w:left="107"/>
              <w:rPr>
                <w:rFonts w:ascii="Arial"/>
                <w:sz w:val="16"/>
              </w:rPr>
            </w:pPr>
            <w:r w:rsidRPr="00EB2BD8">
              <w:rPr>
                <w:rFonts w:ascii="Arial"/>
                <w:spacing w:val="-2"/>
                <w:w w:val="105"/>
                <w:sz w:val="16"/>
              </w:rPr>
              <w:t>Depreciation</w:t>
            </w:r>
          </w:p>
        </w:tc>
        <w:tc>
          <w:tcPr>
            <w:tcW w:w="2913" w:type="dxa"/>
            <w:shd w:val="clear" w:color="auto" w:fill="FFFFFF"/>
          </w:tcPr>
          <w:p w14:paraId="582B9522" w14:textId="77777777" w:rsidR="00084F36" w:rsidRPr="00EB2BD8" w:rsidRDefault="00EB2BD8">
            <w:pPr>
              <w:pStyle w:val="TableParagraph"/>
              <w:spacing w:before="64"/>
              <w:ind w:right="780"/>
              <w:jc w:val="right"/>
              <w:rPr>
                <w:rFonts w:ascii="Arial"/>
                <w:sz w:val="16"/>
              </w:rPr>
            </w:pPr>
            <w:r w:rsidRPr="00EB2BD8">
              <w:rPr>
                <w:rFonts w:ascii="Arial"/>
                <w:spacing w:val="-2"/>
                <w:w w:val="105"/>
                <w:sz w:val="16"/>
              </w:rPr>
              <w:t>(644)</w:t>
            </w:r>
          </w:p>
        </w:tc>
        <w:tc>
          <w:tcPr>
            <w:tcW w:w="1928" w:type="dxa"/>
            <w:shd w:val="clear" w:color="auto" w:fill="FFFFFF"/>
          </w:tcPr>
          <w:p w14:paraId="1B052A7F" w14:textId="77777777" w:rsidR="00084F36" w:rsidRPr="00EB2BD8" w:rsidRDefault="00EB2BD8">
            <w:pPr>
              <w:pStyle w:val="TableParagraph"/>
              <w:spacing w:before="69"/>
              <w:ind w:right="725"/>
              <w:jc w:val="right"/>
              <w:rPr>
                <w:rFonts w:ascii="Arial"/>
                <w:sz w:val="16"/>
              </w:rPr>
            </w:pPr>
            <w:r w:rsidRPr="00EB2BD8">
              <w:rPr>
                <w:rFonts w:ascii="Arial"/>
                <w:spacing w:val="-2"/>
                <w:w w:val="105"/>
                <w:sz w:val="16"/>
              </w:rPr>
              <w:t>(545)</w:t>
            </w:r>
          </w:p>
        </w:tc>
        <w:tc>
          <w:tcPr>
            <w:tcW w:w="1358" w:type="dxa"/>
            <w:shd w:val="clear" w:color="auto" w:fill="FFFFFF"/>
          </w:tcPr>
          <w:p w14:paraId="303C0841" w14:textId="77777777" w:rsidR="00084F36" w:rsidRPr="00EB2BD8" w:rsidRDefault="00EB2BD8">
            <w:pPr>
              <w:pStyle w:val="TableParagraph"/>
              <w:spacing w:before="69"/>
              <w:ind w:right="98"/>
              <w:jc w:val="right"/>
              <w:rPr>
                <w:rFonts w:ascii="Arial"/>
                <w:sz w:val="16"/>
              </w:rPr>
            </w:pPr>
            <w:r w:rsidRPr="00EB2BD8">
              <w:rPr>
                <w:rFonts w:ascii="Arial"/>
                <w:spacing w:val="-2"/>
                <w:w w:val="105"/>
                <w:sz w:val="16"/>
              </w:rPr>
              <w:t>(1,814)</w:t>
            </w:r>
          </w:p>
        </w:tc>
      </w:tr>
      <w:tr w:rsidR="00EB2BD8" w:rsidRPr="00EB2BD8" w14:paraId="205EC64B" w14:textId="77777777" w:rsidTr="00F007BF">
        <w:trPr>
          <w:trHeight w:val="288"/>
        </w:trPr>
        <w:tc>
          <w:tcPr>
            <w:tcW w:w="3171" w:type="dxa"/>
            <w:shd w:val="clear" w:color="auto" w:fill="FFFFFF"/>
          </w:tcPr>
          <w:p w14:paraId="735D529D" w14:textId="77777777" w:rsidR="00084F36" w:rsidRPr="00EB2BD8" w:rsidRDefault="00EB2BD8">
            <w:pPr>
              <w:pStyle w:val="TableParagraph"/>
              <w:spacing w:before="54"/>
              <w:ind w:left="107"/>
              <w:rPr>
                <w:rFonts w:ascii="Arial"/>
                <w:b/>
                <w:sz w:val="16"/>
              </w:rPr>
            </w:pPr>
            <w:r w:rsidRPr="00EB2BD8">
              <w:rPr>
                <w:rFonts w:ascii="Arial"/>
                <w:b/>
                <w:w w:val="105"/>
                <w:sz w:val="16"/>
              </w:rPr>
              <w:t>Closing</w:t>
            </w:r>
            <w:r w:rsidRPr="00EB2BD8">
              <w:rPr>
                <w:rFonts w:ascii="Arial"/>
                <w:b/>
                <w:spacing w:val="-10"/>
                <w:w w:val="105"/>
                <w:sz w:val="16"/>
              </w:rPr>
              <w:t xml:space="preserve"> </w:t>
            </w:r>
            <w:r w:rsidRPr="00EB2BD8">
              <w:rPr>
                <w:rFonts w:ascii="Arial"/>
                <w:b/>
                <w:spacing w:val="-2"/>
                <w:w w:val="105"/>
                <w:sz w:val="16"/>
              </w:rPr>
              <w:t>balance</w:t>
            </w:r>
          </w:p>
        </w:tc>
        <w:tc>
          <w:tcPr>
            <w:tcW w:w="2913" w:type="dxa"/>
            <w:shd w:val="clear" w:color="auto" w:fill="FFFFFF"/>
          </w:tcPr>
          <w:p w14:paraId="5E375475" w14:textId="77777777" w:rsidR="00084F36" w:rsidRPr="00EB2BD8" w:rsidRDefault="00EB2BD8">
            <w:pPr>
              <w:pStyle w:val="TableParagraph"/>
              <w:spacing w:before="61"/>
              <w:ind w:right="780"/>
              <w:jc w:val="right"/>
              <w:rPr>
                <w:rFonts w:ascii="Arial"/>
                <w:b/>
                <w:sz w:val="16"/>
              </w:rPr>
            </w:pPr>
            <w:r w:rsidRPr="00EB2BD8">
              <w:rPr>
                <w:rFonts w:ascii="Arial"/>
                <w:b/>
                <w:spacing w:val="-2"/>
                <w:w w:val="105"/>
                <w:sz w:val="16"/>
              </w:rPr>
              <w:t>1,709</w:t>
            </w:r>
          </w:p>
        </w:tc>
        <w:tc>
          <w:tcPr>
            <w:tcW w:w="1928" w:type="dxa"/>
            <w:shd w:val="clear" w:color="auto" w:fill="FFFFFF"/>
          </w:tcPr>
          <w:p w14:paraId="0BAFFD6D" w14:textId="77777777" w:rsidR="00084F36" w:rsidRPr="00EB2BD8" w:rsidRDefault="00EB2BD8">
            <w:pPr>
              <w:pStyle w:val="TableParagraph"/>
              <w:spacing w:before="54"/>
              <w:ind w:right="723"/>
              <w:jc w:val="right"/>
              <w:rPr>
                <w:rFonts w:ascii="Arial"/>
                <w:b/>
                <w:sz w:val="16"/>
              </w:rPr>
            </w:pPr>
            <w:r w:rsidRPr="00EB2BD8">
              <w:rPr>
                <w:rFonts w:ascii="Arial"/>
                <w:b/>
                <w:spacing w:val="-5"/>
                <w:w w:val="105"/>
                <w:sz w:val="16"/>
              </w:rPr>
              <w:t>700</w:t>
            </w:r>
          </w:p>
        </w:tc>
        <w:tc>
          <w:tcPr>
            <w:tcW w:w="1358" w:type="dxa"/>
            <w:shd w:val="clear" w:color="auto" w:fill="FFFFFF"/>
          </w:tcPr>
          <w:p w14:paraId="7999E7CE" w14:textId="77777777" w:rsidR="00084F36" w:rsidRPr="00EB2BD8" w:rsidRDefault="00EB2BD8">
            <w:pPr>
              <w:pStyle w:val="TableParagraph"/>
              <w:spacing w:before="54"/>
              <w:ind w:right="97"/>
              <w:jc w:val="right"/>
              <w:rPr>
                <w:rFonts w:ascii="Arial"/>
                <w:b/>
                <w:sz w:val="16"/>
              </w:rPr>
            </w:pPr>
            <w:r w:rsidRPr="00EB2BD8">
              <w:rPr>
                <w:rFonts w:ascii="Arial"/>
                <w:b/>
                <w:spacing w:val="-2"/>
                <w:w w:val="105"/>
                <w:sz w:val="16"/>
              </w:rPr>
              <w:t>4,836</w:t>
            </w:r>
          </w:p>
        </w:tc>
      </w:tr>
    </w:tbl>
    <w:p w14:paraId="6EE9F9D8" w14:textId="77777777" w:rsidR="00084F36" w:rsidRPr="00EB2BD8" w:rsidRDefault="00084F36">
      <w:pPr>
        <w:pStyle w:val="BodyText"/>
        <w:rPr>
          <w:rFonts w:ascii="Arial"/>
        </w:rPr>
      </w:pPr>
    </w:p>
    <w:p w14:paraId="1F23869E" w14:textId="57A9BE0A" w:rsidR="00084F36" w:rsidRPr="00EB2BD8" w:rsidRDefault="00D0600F" w:rsidP="00D0600F">
      <w:pPr>
        <w:pStyle w:val="Heading2"/>
      </w:pPr>
      <w:r>
        <w:t xml:space="preserve">  </w:t>
      </w:r>
      <w:bookmarkStart w:id="362" w:name="_Toc150762664"/>
      <w:r w:rsidR="00EB2BD8" w:rsidRPr="00EB2BD8">
        <w:t>Description</w:t>
      </w:r>
      <w:r w:rsidR="00EB2BD8" w:rsidRPr="00EB2BD8">
        <w:rPr>
          <w:spacing w:val="13"/>
        </w:rPr>
        <w:t xml:space="preserve"> </w:t>
      </w:r>
      <w:r w:rsidR="00EB2BD8" w:rsidRPr="00EB2BD8">
        <w:t>of</w:t>
      </w:r>
      <w:r w:rsidR="00EB2BD8" w:rsidRPr="00EB2BD8">
        <w:rPr>
          <w:spacing w:val="13"/>
        </w:rPr>
        <w:t xml:space="preserve"> </w:t>
      </w:r>
      <w:r w:rsidR="00EB2BD8" w:rsidRPr="00EB2BD8">
        <w:t>significant</w:t>
      </w:r>
      <w:r w:rsidR="00EB2BD8" w:rsidRPr="00EB2BD8">
        <w:rPr>
          <w:spacing w:val="13"/>
        </w:rPr>
        <w:t xml:space="preserve"> </w:t>
      </w:r>
      <w:r w:rsidR="00EB2BD8" w:rsidRPr="00EB2BD8">
        <w:t>unobservable</w:t>
      </w:r>
      <w:r w:rsidR="00EB2BD8" w:rsidRPr="00EB2BD8">
        <w:rPr>
          <w:spacing w:val="13"/>
        </w:rPr>
        <w:t xml:space="preserve"> </w:t>
      </w:r>
      <w:r w:rsidR="00EB2BD8" w:rsidRPr="00EB2BD8">
        <w:t>inputs</w:t>
      </w:r>
      <w:r w:rsidR="00EB2BD8" w:rsidRPr="00EB2BD8">
        <w:rPr>
          <w:spacing w:val="13"/>
        </w:rPr>
        <w:t xml:space="preserve"> </w:t>
      </w:r>
      <w:r w:rsidR="00EB2BD8" w:rsidRPr="00EB2BD8">
        <w:t>to</w:t>
      </w:r>
      <w:r w:rsidR="00EB2BD8" w:rsidRPr="00EB2BD8">
        <w:rPr>
          <w:spacing w:val="13"/>
        </w:rPr>
        <w:t xml:space="preserve"> </w:t>
      </w:r>
      <w:r w:rsidR="00EB2BD8" w:rsidRPr="00EB2BD8">
        <w:t>Level</w:t>
      </w:r>
      <w:r w:rsidR="00EB2BD8" w:rsidRPr="00EB2BD8">
        <w:rPr>
          <w:spacing w:val="13"/>
        </w:rPr>
        <w:t xml:space="preserve"> </w:t>
      </w:r>
      <w:r w:rsidR="00EB2BD8" w:rsidRPr="00EB2BD8">
        <w:t>3</w:t>
      </w:r>
      <w:r w:rsidR="00EB2BD8" w:rsidRPr="00EB2BD8">
        <w:rPr>
          <w:spacing w:val="14"/>
        </w:rPr>
        <w:t xml:space="preserve"> </w:t>
      </w:r>
      <w:r w:rsidR="00A0358F">
        <w:rPr>
          <w:spacing w:val="14"/>
        </w:rPr>
        <w:br/>
      </w:r>
      <w:r>
        <w:rPr>
          <w:spacing w:val="-2"/>
        </w:rPr>
        <w:t xml:space="preserve">  </w:t>
      </w:r>
      <w:r w:rsidR="00EB2BD8" w:rsidRPr="00EB2BD8">
        <w:rPr>
          <w:spacing w:val="-2"/>
        </w:rPr>
        <w:t>valuations</w:t>
      </w:r>
      <w:bookmarkEnd w:id="362"/>
    </w:p>
    <w:p w14:paraId="30F01E50" w14:textId="77777777" w:rsidR="00084F36" w:rsidRPr="00EB2BD8" w:rsidRDefault="00084F36">
      <w:pPr>
        <w:pStyle w:val="BodyText"/>
        <w:rPr>
          <w:rFonts w:ascii="Arial"/>
          <w:b/>
          <w:sz w:val="20"/>
        </w:rPr>
      </w:pPr>
    </w:p>
    <w:p w14:paraId="06C79E69" w14:textId="77777777" w:rsidR="00084F36" w:rsidRPr="00EB2BD8" w:rsidRDefault="00084F36">
      <w:pPr>
        <w:pStyle w:val="BodyText"/>
        <w:spacing w:before="11"/>
        <w:rPr>
          <w:rFonts w:ascii="Arial"/>
          <w:b/>
          <w:sz w:val="10"/>
        </w:rPr>
      </w:pPr>
    </w:p>
    <w:tbl>
      <w:tblPr>
        <w:tblW w:w="0" w:type="auto"/>
        <w:tblInd w:w="1062" w:type="dxa"/>
        <w:tblLayout w:type="fixed"/>
        <w:tblCellMar>
          <w:left w:w="0" w:type="dxa"/>
          <w:right w:w="0" w:type="dxa"/>
        </w:tblCellMar>
        <w:tblLook w:val="01E0" w:firstRow="1" w:lastRow="1" w:firstColumn="1" w:lastColumn="1" w:noHBand="0" w:noVBand="0"/>
      </w:tblPr>
      <w:tblGrid>
        <w:gridCol w:w="1985"/>
        <w:gridCol w:w="2381"/>
        <w:gridCol w:w="2779"/>
        <w:gridCol w:w="2118"/>
      </w:tblGrid>
      <w:tr w:rsidR="00EB2BD8" w:rsidRPr="00EB2BD8" w14:paraId="40850FBF" w14:textId="77777777">
        <w:trPr>
          <w:trHeight w:val="318"/>
        </w:trPr>
        <w:tc>
          <w:tcPr>
            <w:tcW w:w="9263" w:type="dxa"/>
            <w:gridSpan w:val="4"/>
            <w:shd w:val="clear" w:color="auto" w:fill="2E74B5"/>
          </w:tcPr>
          <w:p w14:paraId="3314D03A" w14:textId="77777777" w:rsidR="00084F36" w:rsidRPr="00EB2BD8" w:rsidRDefault="00EB2BD8">
            <w:pPr>
              <w:pStyle w:val="TableParagraph"/>
              <w:tabs>
                <w:tab w:val="left" w:pos="1984"/>
                <w:tab w:val="left" w:pos="4365"/>
                <w:tab w:val="left" w:pos="7144"/>
              </w:tabs>
              <w:spacing w:before="54"/>
              <w:ind w:left="-1"/>
              <w:rPr>
                <w:rFonts w:ascii="Arial"/>
                <w:b/>
                <w:sz w:val="16"/>
              </w:rPr>
            </w:pPr>
            <w:r w:rsidRPr="00EB2BD8">
              <w:rPr>
                <w:rFonts w:ascii="Arial"/>
                <w:b/>
                <w:position w:val="1"/>
                <w:sz w:val="16"/>
              </w:rPr>
              <w:t>2023</w:t>
            </w:r>
            <w:r w:rsidRPr="00EB2BD8">
              <w:rPr>
                <w:rFonts w:ascii="Arial"/>
                <w:b/>
                <w:spacing w:val="6"/>
                <w:position w:val="1"/>
                <w:sz w:val="16"/>
              </w:rPr>
              <w:t xml:space="preserve"> </w:t>
            </w:r>
            <w:r w:rsidRPr="00EB2BD8">
              <w:rPr>
                <w:rFonts w:ascii="Arial"/>
                <w:b/>
                <w:position w:val="1"/>
                <w:sz w:val="16"/>
              </w:rPr>
              <w:t>and</w:t>
            </w:r>
            <w:r w:rsidRPr="00EB2BD8">
              <w:rPr>
                <w:rFonts w:ascii="Arial"/>
                <w:b/>
                <w:spacing w:val="6"/>
                <w:position w:val="1"/>
                <w:sz w:val="16"/>
              </w:rPr>
              <w:t xml:space="preserve"> </w:t>
            </w:r>
            <w:r w:rsidRPr="00EB2BD8">
              <w:rPr>
                <w:rFonts w:ascii="Arial"/>
                <w:b/>
                <w:spacing w:val="-4"/>
                <w:position w:val="1"/>
                <w:sz w:val="16"/>
              </w:rPr>
              <w:t>2022</w:t>
            </w:r>
            <w:r w:rsidRPr="00EB2BD8">
              <w:rPr>
                <w:rFonts w:ascii="Arial"/>
                <w:b/>
                <w:position w:val="1"/>
                <w:sz w:val="16"/>
              </w:rPr>
              <w:tab/>
              <w:t>Valuation</w:t>
            </w:r>
            <w:r w:rsidRPr="00EB2BD8">
              <w:rPr>
                <w:rFonts w:ascii="Arial"/>
                <w:b/>
                <w:spacing w:val="13"/>
                <w:position w:val="1"/>
                <w:sz w:val="16"/>
              </w:rPr>
              <w:t xml:space="preserve"> </w:t>
            </w:r>
            <w:r w:rsidRPr="00EB2BD8">
              <w:rPr>
                <w:rFonts w:ascii="Arial"/>
                <w:b/>
                <w:spacing w:val="-2"/>
                <w:position w:val="1"/>
                <w:sz w:val="16"/>
              </w:rPr>
              <w:t>technique</w:t>
            </w:r>
            <w:r w:rsidRPr="00EB2BD8">
              <w:rPr>
                <w:rFonts w:ascii="Arial"/>
                <w:b/>
                <w:position w:val="1"/>
                <w:sz w:val="16"/>
              </w:rPr>
              <w:tab/>
              <w:t>Significant</w:t>
            </w:r>
            <w:r w:rsidRPr="00EB2BD8">
              <w:rPr>
                <w:rFonts w:ascii="Arial"/>
                <w:b/>
                <w:spacing w:val="18"/>
                <w:position w:val="1"/>
                <w:sz w:val="16"/>
              </w:rPr>
              <w:t xml:space="preserve"> </w:t>
            </w:r>
            <w:r w:rsidRPr="00EB2BD8">
              <w:rPr>
                <w:rFonts w:ascii="Arial"/>
                <w:b/>
                <w:position w:val="1"/>
                <w:sz w:val="16"/>
              </w:rPr>
              <w:t>unobservable</w:t>
            </w:r>
            <w:r w:rsidRPr="00EB2BD8">
              <w:rPr>
                <w:rFonts w:ascii="Arial"/>
                <w:b/>
                <w:spacing w:val="19"/>
                <w:position w:val="1"/>
                <w:sz w:val="16"/>
              </w:rPr>
              <w:t xml:space="preserve"> </w:t>
            </w:r>
            <w:r w:rsidRPr="00EB2BD8">
              <w:rPr>
                <w:rFonts w:ascii="Arial"/>
                <w:b/>
                <w:spacing w:val="-2"/>
                <w:position w:val="1"/>
                <w:sz w:val="16"/>
              </w:rPr>
              <w:t>inputs</w:t>
            </w:r>
            <w:r w:rsidRPr="00EB2BD8">
              <w:rPr>
                <w:rFonts w:ascii="Arial"/>
                <w:b/>
                <w:position w:val="1"/>
                <w:sz w:val="16"/>
              </w:rPr>
              <w:tab/>
            </w:r>
            <w:r w:rsidRPr="00EB2BD8">
              <w:rPr>
                <w:rFonts w:ascii="Arial"/>
                <w:b/>
                <w:spacing w:val="-2"/>
                <w:sz w:val="16"/>
              </w:rPr>
              <w:t>Range</w:t>
            </w:r>
          </w:p>
        </w:tc>
      </w:tr>
      <w:tr w:rsidR="00EB2BD8" w:rsidRPr="00EB2BD8" w14:paraId="643BB17C" w14:textId="77777777">
        <w:trPr>
          <w:trHeight w:val="950"/>
        </w:trPr>
        <w:tc>
          <w:tcPr>
            <w:tcW w:w="1985" w:type="dxa"/>
            <w:tcBorders>
              <w:bottom w:val="single" w:sz="12" w:space="0" w:color="000000"/>
            </w:tcBorders>
            <w:shd w:val="clear" w:color="auto" w:fill="FFFFFF"/>
          </w:tcPr>
          <w:p w14:paraId="4BB9E196" w14:textId="77777777" w:rsidR="00084F36" w:rsidRPr="00EB2BD8" w:rsidRDefault="00EB2BD8">
            <w:pPr>
              <w:pStyle w:val="TableParagraph"/>
              <w:spacing w:before="55" w:line="412" w:lineRule="auto"/>
              <w:ind w:left="-1"/>
              <w:rPr>
                <w:rFonts w:ascii="Arial" w:hAnsi="Arial"/>
                <w:sz w:val="16"/>
              </w:rPr>
            </w:pPr>
            <w:r w:rsidRPr="00EB2BD8">
              <w:rPr>
                <w:rFonts w:ascii="Arial" w:hAnsi="Arial"/>
                <w:spacing w:val="-2"/>
                <w:w w:val="105"/>
                <w:sz w:val="16"/>
              </w:rPr>
              <w:t>Buildings</w:t>
            </w:r>
            <w:r w:rsidRPr="00EB2BD8">
              <w:rPr>
                <w:rFonts w:ascii="Arial" w:hAnsi="Arial"/>
                <w:spacing w:val="-12"/>
                <w:w w:val="105"/>
                <w:sz w:val="16"/>
              </w:rPr>
              <w:t xml:space="preserve"> </w:t>
            </w:r>
            <w:r w:rsidRPr="00EB2BD8">
              <w:rPr>
                <w:rFonts w:ascii="Arial" w:hAnsi="Arial"/>
                <w:spacing w:val="-2"/>
                <w:w w:val="105"/>
                <w:sz w:val="16"/>
              </w:rPr>
              <w:t>–</w:t>
            </w:r>
            <w:r w:rsidRPr="00EB2BD8">
              <w:rPr>
                <w:rFonts w:ascii="Arial" w:hAnsi="Arial"/>
                <w:spacing w:val="-9"/>
                <w:w w:val="105"/>
                <w:sz w:val="16"/>
              </w:rPr>
              <w:t xml:space="preserve"> </w:t>
            </w:r>
            <w:r w:rsidRPr="00EB2BD8">
              <w:rPr>
                <w:rFonts w:ascii="Arial" w:hAnsi="Arial"/>
                <w:spacing w:val="-2"/>
                <w:w w:val="105"/>
                <w:sz w:val="16"/>
              </w:rPr>
              <w:t xml:space="preserve">right-of-use </w:t>
            </w:r>
            <w:r w:rsidRPr="00EB2BD8">
              <w:rPr>
                <w:rFonts w:ascii="Arial" w:hAnsi="Arial"/>
                <w:w w:val="105"/>
                <w:sz w:val="16"/>
              </w:rPr>
              <w:t>Motor</w:t>
            </w:r>
            <w:r w:rsidRPr="00EB2BD8">
              <w:rPr>
                <w:rFonts w:ascii="Arial" w:hAnsi="Arial"/>
                <w:spacing w:val="-12"/>
                <w:w w:val="105"/>
                <w:sz w:val="16"/>
              </w:rPr>
              <w:t xml:space="preserve"> </w:t>
            </w:r>
            <w:r w:rsidRPr="00EB2BD8">
              <w:rPr>
                <w:rFonts w:ascii="Arial" w:hAnsi="Arial"/>
                <w:w w:val="105"/>
                <w:sz w:val="16"/>
              </w:rPr>
              <w:t>vehicles</w:t>
            </w:r>
          </w:p>
          <w:p w14:paraId="3510111B" w14:textId="77777777" w:rsidR="00084F36" w:rsidRPr="00EB2BD8" w:rsidRDefault="00EB2BD8">
            <w:pPr>
              <w:pStyle w:val="TableParagraph"/>
              <w:spacing w:before="2"/>
              <w:ind w:left="-1"/>
              <w:rPr>
                <w:rFonts w:ascii="Arial"/>
                <w:sz w:val="16"/>
              </w:rPr>
            </w:pPr>
            <w:r w:rsidRPr="00EB2BD8">
              <w:rPr>
                <w:rFonts w:ascii="Arial"/>
                <w:spacing w:val="-2"/>
                <w:w w:val="105"/>
                <w:sz w:val="16"/>
              </w:rPr>
              <w:t>Plant</w:t>
            </w:r>
            <w:r w:rsidRPr="00EB2BD8">
              <w:rPr>
                <w:rFonts w:ascii="Arial"/>
                <w:spacing w:val="-4"/>
                <w:w w:val="105"/>
                <w:sz w:val="16"/>
              </w:rPr>
              <w:t xml:space="preserve"> </w:t>
            </w:r>
            <w:r w:rsidRPr="00EB2BD8">
              <w:rPr>
                <w:rFonts w:ascii="Arial"/>
                <w:spacing w:val="-2"/>
                <w:w w:val="105"/>
                <w:sz w:val="16"/>
              </w:rPr>
              <w:t>and</w:t>
            </w:r>
            <w:r w:rsidRPr="00EB2BD8">
              <w:rPr>
                <w:rFonts w:ascii="Arial"/>
                <w:spacing w:val="-4"/>
                <w:w w:val="105"/>
                <w:sz w:val="16"/>
              </w:rPr>
              <w:t xml:space="preserve"> </w:t>
            </w:r>
            <w:r w:rsidRPr="00EB2BD8">
              <w:rPr>
                <w:rFonts w:ascii="Arial"/>
                <w:spacing w:val="-2"/>
                <w:w w:val="105"/>
                <w:sz w:val="16"/>
              </w:rPr>
              <w:t>equipment</w:t>
            </w:r>
          </w:p>
        </w:tc>
        <w:tc>
          <w:tcPr>
            <w:tcW w:w="2381" w:type="dxa"/>
            <w:tcBorders>
              <w:bottom w:val="single" w:sz="12" w:space="0" w:color="000000"/>
            </w:tcBorders>
            <w:shd w:val="clear" w:color="auto" w:fill="DEEAF6"/>
          </w:tcPr>
          <w:p w14:paraId="446D1BF0" w14:textId="77777777" w:rsidR="00084F36" w:rsidRPr="00EB2BD8" w:rsidRDefault="00EB2BD8">
            <w:pPr>
              <w:pStyle w:val="TableParagraph"/>
              <w:spacing w:before="55" w:line="412" w:lineRule="auto"/>
              <w:ind w:left="-1"/>
              <w:rPr>
                <w:rFonts w:ascii="Arial"/>
                <w:sz w:val="16"/>
              </w:rPr>
            </w:pPr>
            <w:r w:rsidRPr="00EB2BD8">
              <w:rPr>
                <w:rFonts w:ascii="Arial"/>
                <w:w w:val="105"/>
                <w:sz w:val="16"/>
              </w:rPr>
              <w:t>Depreciated</w:t>
            </w:r>
            <w:r w:rsidRPr="00EB2BD8">
              <w:rPr>
                <w:rFonts w:ascii="Arial"/>
                <w:spacing w:val="-12"/>
                <w:w w:val="105"/>
                <w:sz w:val="16"/>
              </w:rPr>
              <w:t xml:space="preserve"> </w:t>
            </w:r>
            <w:r w:rsidRPr="00EB2BD8">
              <w:rPr>
                <w:rFonts w:ascii="Arial"/>
                <w:w w:val="105"/>
                <w:sz w:val="16"/>
              </w:rPr>
              <w:t>replacement</w:t>
            </w:r>
            <w:r w:rsidRPr="00EB2BD8">
              <w:rPr>
                <w:rFonts w:ascii="Arial"/>
                <w:spacing w:val="-12"/>
                <w:w w:val="105"/>
                <w:sz w:val="16"/>
              </w:rPr>
              <w:t xml:space="preserve"> </w:t>
            </w:r>
            <w:r w:rsidRPr="00EB2BD8">
              <w:rPr>
                <w:rFonts w:ascii="Arial"/>
                <w:w w:val="105"/>
                <w:sz w:val="16"/>
              </w:rPr>
              <w:t xml:space="preserve">cost </w:t>
            </w:r>
            <w:r w:rsidRPr="00EB2BD8">
              <w:rPr>
                <w:rFonts w:ascii="Arial"/>
                <w:sz w:val="16"/>
              </w:rPr>
              <w:t>Depreciated</w:t>
            </w:r>
            <w:r w:rsidRPr="00EB2BD8">
              <w:rPr>
                <w:rFonts w:ascii="Arial"/>
                <w:spacing w:val="19"/>
                <w:sz w:val="16"/>
              </w:rPr>
              <w:t xml:space="preserve"> </w:t>
            </w:r>
            <w:r w:rsidRPr="00EB2BD8">
              <w:rPr>
                <w:rFonts w:ascii="Arial"/>
                <w:sz w:val="16"/>
              </w:rPr>
              <w:t>replacement</w:t>
            </w:r>
            <w:r w:rsidRPr="00EB2BD8">
              <w:rPr>
                <w:rFonts w:ascii="Arial"/>
                <w:spacing w:val="9"/>
                <w:sz w:val="16"/>
              </w:rPr>
              <w:t xml:space="preserve"> </w:t>
            </w:r>
            <w:r w:rsidRPr="00EB2BD8">
              <w:rPr>
                <w:rFonts w:ascii="Arial"/>
                <w:spacing w:val="-4"/>
                <w:sz w:val="16"/>
              </w:rPr>
              <w:t>cost</w:t>
            </w:r>
          </w:p>
          <w:p w14:paraId="28D5ABF1" w14:textId="77777777" w:rsidR="00084F36" w:rsidRPr="00EB2BD8" w:rsidRDefault="00EB2BD8">
            <w:pPr>
              <w:pStyle w:val="TableParagraph"/>
              <w:spacing w:before="2"/>
              <w:ind w:left="-1"/>
              <w:rPr>
                <w:rFonts w:ascii="Arial"/>
                <w:sz w:val="16"/>
              </w:rPr>
            </w:pPr>
            <w:r w:rsidRPr="00EB2BD8">
              <w:rPr>
                <w:rFonts w:ascii="Arial"/>
                <w:sz w:val="16"/>
              </w:rPr>
              <w:t>Depreciated</w:t>
            </w:r>
            <w:r w:rsidRPr="00EB2BD8">
              <w:rPr>
                <w:rFonts w:ascii="Arial"/>
                <w:spacing w:val="9"/>
                <w:sz w:val="16"/>
              </w:rPr>
              <w:t xml:space="preserve"> </w:t>
            </w:r>
            <w:r w:rsidRPr="00EB2BD8">
              <w:rPr>
                <w:rFonts w:ascii="Arial"/>
                <w:sz w:val="16"/>
              </w:rPr>
              <w:t>replacement</w:t>
            </w:r>
            <w:r w:rsidRPr="00EB2BD8">
              <w:rPr>
                <w:rFonts w:ascii="Arial"/>
                <w:spacing w:val="-1"/>
                <w:sz w:val="16"/>
              </w:rPr>
              <w:t xml:space="preserve"> </w:t>
            </w:r>
            <w:r w:rsidRPr="00EB2BD8">
              <w:rPr>
                <w:rFonts w:ascii="Arial"/>
                <w:spacing w:val="-4"/>
                <w:sz w:val="16"/>
              </w:rPr>
              <w:t>cost</w:t>
            </w:r>
          </w:p>
        </w:tc>
        <w:tc>
          <w:tcPr>
            <w:tcW w:w="2779" w:type="dxa"/>
            <w:tcBorders>
              <w:bottom w:val="single" w:sz="12" w:space="0" w:color="000000"/>
            </w:tcBorders>
            <w:shd w:val="clear" w:color="auto" w:fill="FFFFFF"/>
          </w:tcPr>
          <w:p w14:paraId="283209A7" w14:textId="77777777" w:rsidR="00084F36" w:rsidRPr="00EB2BD8" w:rsidRDefault="00EB2BD8">
            <w:pPr>
              <w:pStyle w:val="TableParagraph"/>
              <w:spacing w:before="55" w:line="412" w:lineRule="auto"/>
              <w:ind w:left="-1" w:right="860"/>
              <w:rPr>
                <w:rFonts w:ascii="Arial"/>
                <w:sz w:val="16"/>
              </w:rPr>
            </w:pPr>
            <w:r w:rsidRPr="00EB2BD8">
              <w:rPr>
                <w:rFonts w:ascii="Arial"/>
                <w:w w:val="105"/>
                <w:sz w:val="16"/>
              </w:rPr>
              <w:t xml:space="preserve">Over the lease term </w:t>
            </w:r>
            <w:r w:rsidRPr="00EB2BD8">
              <w:rPr>
                <w:rFonts w:ascii="Arial"/>
                <w:spacing w:val="-2"/>
                <w:w w:val="105"/>
                <w:sz w:val="16"/>
              </w:rPr>
              <w:t>Useful</w:t>
            </w:r>
            <w:r w:rsidRPr="00EB2BD8">
              <w:rPr>
                <w:rFonts w:ascii="Arial"/>
                <w:spacing w:val="-10"/>
                <w:w w:val="105"/>
                <w:sz w:val="16"/>
              </w:rPr>
              <w:t xml:space="preserve"> </w:t>
            </w:r>
            <w:r w:rsidRPr="00EB2BD8">
              <w:rPr>
                <w:rFonts w:ascii="Arial"/>
                <w:spacing w:val="-2"/>
                <w:w w:val="105"/>
                <w:sz w:val="16"/>
              </w:rPr>
              <w:t>life</w:t>
            </w:r>
            <w:r w:rsidRPr="00EB2BD8">
              <w:rPr>
                <w:rFonts w:ascii="Arial"/>
                <w:spacing w:val="-9"/>
                <w:w w:val="105"/>
                <w:sz w:val="16"/>
              </w:rPr>
              <w:t xml:space="preserve"> </w:t>
            </w:r>
            <w:r w:rsidRPr="00EB2BD8">
              <w:rPr>
                <w:rFonts w:ascii="Arial"/>
                <w:spacing w:val="-2"/>
                <w:w w:val="105"/>
                <w:sz w:val="16"/>
              </w:rPr>
              <w:t>of</w:t>
            </w:r>
            <w:r w:rsidRPr="00EB2BD8">
              <w:rPr>
                <w:rFonts w:ascii="Arial"/>
                <w:spacing w:val="-7"/>
                <w:w w:val="105"/>
                <w:sz w:val="16"/>
              </w:rPr>
              <w:t xml:space="preserve"> </w:t>
            </w:r>
            <w:r w:rsidRPr="00EB2BD8">
              <w:rPr>
                <w:rFonts w:ascii="Arial"/>
                <w:spacing w:val="-2"/>
                <w:w w:val="105"/>
                <w:sz w:val="16"/>
              </w:rPr>
              <w:t>vehicles</w:t>
            </w:r>
          </w:p>
          <w:p w14:paraId="22A921FD" w14:textId="77777777" w:rsidR="00084F36" w:rsidRPr="00EB2BD8" w:rsidRDefault="00EB2BD8">
            <w:pPr>
              <w:pStyle w:val="TableParagraph"/>
              <w:spacing w:before="2"/>
              <w:ind w:left="-1"/>
              <w:rPr>
                <w:rFonts w:ascii="Arial"/>
                <w:sz w:val="16"/>
              </w:rPr>
            </w:pPr>
            <w:r w:rsidRPr="00EB2BD8">
              <w:rPr>
                <w:rFonts w:ascii="Arial"/>
                <w:w w:val="105"/>
                <w:sz w:val="16"/>
              </w:rPr>
              <w:t>Useful</w:t>
            </w:r>
            <w:r w:rsidRPr="00EB2BD8">
              <w:rPr>
                <w:rFonts w:ascii="Arial"/>
                <w:spacing w:val="-12"/>
                <w:w w:val="105"/>
                <w:sz w:val="16"/>
              </w:rPr>
              <w:t xml:space="preserve"> </w:t>
            </w:r>
            <w:r w:rsidRPr="00EB2BD8">
              <w:rPr>
                <w:rFonts w:ascii="Arial"/>
                <w:w w:val="105"/>
                <w:sz w:val="16"/>
              </w:rPr>
              <w:t>life</w:t>
            </w:r>
            <w:r w:rsidRPr="00EB2BD8">
              <w:rPr>
                <w:rFonts w:ascii="Arial"/>
                <w:spacing w:val="-11"/>
                <w:w w:val="105"/>
                <w:sz w:val="16"/>
              </w:rPr>
              <w:t xml:space="preserve"> </w:t>
            </w:r>
            <w:r w:rsidRPr="00EB2BD8">
              <w:rPr>
                <w:rFonts w:ascii="Arial"/>
                <w:w w:val="105"/>
                <w:sz w:val="16"/>
              </w:rPr>
              <w:t>of</w:t>
            </w:r>
            <w:r w:rsidRPr="00EB2BD8">
              <w:rPr>
                <w:rFonts w:ascii="Arial"/>
                <w:spacing w:val="-9"/>
                <w:w w:val="105"/>
                <w:sz w:val="16"/>
              </w:rPr>
              <w:t xml:space="preserve"> </w:t>
            </w:r>
            <w:r w:rsidRPr="00EB2BD8">
              <w:rPr>
                <w:rFonts w:ascii="Arial"/>
                <w:w w:val="105"/>
                <w:sz w:val="16"/>
              </w:rPr>
              <w:t>plant</w:t>
            </w:r>
            <w:r w:rsidRPr="00EB2BD8">
              <w:rPr>
                <w:rFonts w:ascii="Arial"/>
                <w:spacing w:val="-11"/>
                <w:w w:val="105"/>
                <w:sz w:val="16"/>
              </w:rPr>
              <w:t xml:space="preserve"> </w:t>
            </w:r>
            <w:r w:rsidRPr="00EB2BD8">
              <w:rPr>
                <w:rFonts w:ascii="Arial"/>
                <w:w w:val="105"/>
                <w:sz w:val="16"/>
              </w:rPr>
              <w:t>and</w:t>
            </w:r>
            <w:r w:rsidRPr="00EB2BD8">
              <w:rPr>
                <w:rFonts w:ascii="Arial"/>
                <w:spacing w:val="-10"/>
                <w:w w:val="105"/>
                <w:sz w:val="16"/>
              </w:rPr>
              <w:t xml:space="preserve"> </w:t>
            </w:r>
            <w:r w:rsidRPr="00EB2BD8">
              <w:rPr>
                <w:rFonts w:ascii="Arial"/>
                <w:spacing w:val="-2"/>
                <w:w w:val="105"/>
                <w:sz w:val="16"/>
              </w:rPr>
              <w:t>equipment</w:t>
            </w:r>
          </w:p>
        </w:tc>
        <w:tc>
          <w:tcPr>
            <w:tcW w:w="2118" w:type="dxa"/>
            <w:tcBorders>
              <w:bottom w:val="single" w:sz="12" w:space="0" w:color="000000"/>
            </w:tcBorders>
            <w:shd w:val="clear" w:color="auto" w:fill="DEEAF6"/>
          </w:tcPr>
          <w:p w14:paraId="4D89A3FA" w14:textId="77777777" w:rsidR="00084F36" w:rsidRPr="00EB2BD8" w:rsidRDefault="00EB2BD8">
            <w:pPr>
              <w:pStyle w:val="TableParagraph"/>
              <w:spacing w:before="64"/>
              <w:ind w:left="-1"/>
              <w:rPr>
                <w:rFonts w:ascii="Arial"/>
                <w:sz w:val="16"/>
              </w:rPr>
            </w:pPr>
            <w:r w:rsidRPr="00EB2BD8">
              <w:rPr>
                <w:rFonts w:ascii="Arial"/>
                <w:w w:val="105"/>
                <w:sz w:val="16"/>
              </w:rPr>
              <w:t>5</w:t>
            </w:r>
            <w:r w:rsidRPr="00EB2BD8">
              <w:rPr>
                <w:rFonts w:ascii="Arial"/>
                <w:spacing w:val="-2"/>
                <w:w w:val="105"/>
                <w:sz w:val="16"/>
              </w:rPr>
              <w:t xml:space="preserve"> </w:t>
            </w:r>
            <w:r w:rsidRPr="00EB2BD8">
              <w:rPr>
                <w:rFonts w:ascii="Arial"/>
                <w:spacing w:val="-4"/>
                <w:w w:val="105"/>
                <w:sz w:val="16"/>
              </w:rPr>
              <w:t>years</w:t>
            </w:r>
          </w:p>
          <w:p w14:paraId="34648916" w14:textId="77777777" w:rsidR="00084F36" w:rsidRPr="00EB2BD8" w:rsidRDefault="00EB2BD8">
            <w:pPr>
              <w:pStyle w:val="TableParagraph"/>
              <w:spacing w:before="132"/>
              <w:ind w:left="-1"/>
              <w:rPr>
                <w:rFonts w:ascii="Arial"/>
                <w:sz w:val="16"/>
              </w:rPr>
            </w:pPr>
            <w:r w:rsidRPr="00EB2BD8">
              <w:rPr>
                <w:rFonts w:ascii="Arial"/>
                <w:w w:val="105"/>
                <w:sz w:val="16"/>
              </w:rPr>
              <w:t>3</w:t>
            </w:r>
            <w:r w:rsidRPr="00EB2BD8">
              <w:rPr>
                <w:rFonts w:ascii="Arial"/>
                <w:spacing w:val="-2"/>
                <w:w w:val="105"/>
                <w:sz w:val="16"/>
              </w:rPr>
              <w:t xml:space="preserve"> </w:t>
            </w:r>
            <w:r w:rsidRPr="00EB2BD8">
              <w:rPr>
                <w:rFonts w:ascii="Arial"/>
                <w:w w:val="105"/>
                <w:sz w:val="16"/>
              </w:rPr>
              <w:t>to</w:t>
            </w:r>
            <w:r w:rsidRPr="00EB2BD8">
              <w:rPr>
                <w:rFonts w:ascii="Arial"/>
                <w:spacing w:val="-1"/>
                <w:w w:val="105"/>
                <w:sz w:val="16"/>
              </w:rPr>
              <w:t xml:space="preserve"> </w:t>
            </w:r>
            <w:r w:rsidRPr="00EB2BD8">
              <w:rPr>
                <w:rFonts w:ascii="Arial"/>
                <w:w w:val="105"/>
                <w:sz w:val="16"/>
              </w:rPr>
              <w:t>5</w:t>
            </w:r>
            <w:r w:rsidRPr="00EB2BD8">
              <w:rPr>
                <w:rFonts w:ascii="Arial"/>
                <w:spacing w:val="-1"/>
                <w:w w:val="105"/>
                <w:sz w:val="16"/>
              </w:rPr>
              <w:t xml:space="preserve"> </w:t>
            </w:r>
            <w:r w:rsidRPr="00EB2BD8">
              <w:rPr>
                <w:rFonts w:ascii="Arial"/>
                <w:spacing w:val="-4"/>
                <w:w w:val="105"/>
                <w:sz w:val="16"/>
              </w:rPr>
              <w:t>years</w:t>
            </w:r>
          </w:p>
          <w:p w14:paraId="0FEBCD9D" w14:textId="77777777" w:rsidR="00084F36" w:rsidRPr="00EB2BD8" w:rsidRDefault="00EB2BD8">
            <w:pPr>
              <w:pStyle w:val="TableParagraph"/>
              <w:spacing w:before="133"/>
              <w:ind w:left="-1"/>
              <w:rPr>
                <w:rFonts w:ascii="Arial"/>
                <w:sz w:val="16"/>
              </w:rPr>
            </w:pPr>
            <w:r w:rsidRPr="00EB2BD8">
              <w:rPr>
                <w:rFonts w:ascii="Arial"/>
                <w:w w:val="105"/>
                <w:sz w:val="16"/>
              </w:rPr>
              <w:t>3</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10</w:t>
            </w:r>
            <w:r w:rsidRPr="00EB2BD8">
              <w:rPr>
                <w:rFonts w:ascii="Arial"/>
                <w:spacing w:val="-2"/>
                <w:w w:val="105"/>
                <w:sz w:val="16"/>
              </w:rPr>
              <w:t xml:space="preserve"> </w:t>
            </w:r>
            <w:r w:rsidRPr="00EB2BD8">
              <w:rPr>
                <w:rFonts w:ascii="Arial"/>
                <w:spacing w:val="-4"/>
                <w:w w:val="105"/>
                <w:sz w:val="16"/>
              </w:rPr>
              <w:t>years</w:t>
            </w:r>
          </w:p>
        </w:tc>
      </w:tr>
    </w:tbl>
    <w:p w14:paraId="6114DDC0" w14:textId="77777777" w:rsidR="00084F36" w:rsidRPr="00EB2BD8" w:rsidRDefault="00084F36">
      <w:pPr>
        <w:pStyle w:val="BodyText"/>
        <w:spacing w:before="11"/>
        <w:rPr>
          <w:rFonts w:ascii="Arial"/>
          <w:b/>
          <w:sz w:val="21"/>
        </w:rPr>
      </w:pPr>
    </w:p>
    <w:p w14:paraId="788C0AAE" w14:textId="77777777" w:rsidR="00084F36" w:rsidRPr="00EB2BD8" w:rsidRDefault="00EB2BD8">
      <w:pPr>
        <w:ind w:left="1055"/>
        <w:rPr>
          <w:rFonts w:ascii="Arial"/>
          <w:sz w:val="16"/>
        </w:rPr>
      </w:pPr>
      <w:r w:rsidRPr="00EB2BD8">
        <w:rPr>
          <w:rFonts w:ascii="Arial"/>
          <w:w w:val="105"/>
          <w:sz w:val="16"/>
        </w:rPr>
        <w:t>Significant</w:t>
      </w:r>
      <w:r w:rsidRPr="00EB2BD8">
        <w:rPr>
          <w:rFonts w:ascii="Arial"/>
          <w:spacing w:val="-10"/>
          <w:w w:val="105"/>
          <w:sz w:val="16"/>
        </w:rPr>
        <w:t xml:space="preserve"> </w:t>
      </w:r>
      <w:r w:rsidRPr="00EB2BD8">
        <w:rPr>
          <w:rFonts w:ascii="Arial"/>
          <w:w w:val="105"/>
          <w:sz w:val="16"/>
        </w:rPr>
        <w:t>unobservable</w:t>
      </w:r>
      <w:r w:rsidRPr="00EB2BD8">
        <w:rPr>
          <w:rFonts w:ascii="Arial"/>
          <w:spacing w:val="-9"/>
          <w:w w:val="105"/>
          <w:sz w:val="16"/>
        </w:rPr>
        <w:t xml:space="preserve"> </w:t>
      </w:r>
      <w:r w:rsidRPr="00EB2BD8">
        <w:rPr>
          <w:rFonts w:ascii="Arial"/>
          <w:w w:val="105"/>
          <w:sz w:val="16"/>
        </w:rPr>
        <w:t>inputs</w:t>
      </w:r>
      <w:r w:rsidRPr="00EB2BD8">
        <w:rPr>
          <w:rFonts w:ascii="Arial"/>
          <w:spacing w:val="-9"/>
          <w:w w:val="105"/>
          <w:sz w:val="16"/>
        </w:rPr>
        <w:t xml:space="preserve"> </w:t>
      </w:r>
      <w:r w:rsidRPr="00EB2BD8">
        <w:rPr>
          <w:rFonts w:ascii="Arial"/>
          <w:w w:val="105"/>
          <w:sz w:val="16"/>
        </w:rPr>
        <w:t>have</w:t>
      </w:r>
      <w:r w:rsidRPr="00EB2BD8">
        <w:rPr>
          <w:rFonts w:ascii="Arial"/>
          <w:spacing w:val="-10"/>
          <w:w w:val="105"/>
          <w:sz w:val="16"/>
        </w:rPr>
        <w:t xml:space="preserve"> </w:t>
      </w:r>
      <w:r w:rsidRPr="00EB2BD8">
        <w:rPr>
          <w:rFonts w:ascii="Arial"/>
          <w:w w:val="105"/>
          <w:sz w:val="16"/>
        </w:rPr>
        <w:t>remained</w:t>
      </w:r>
      <w:r w:rsidRPr="00EB2BD8">
        <w:rPr>
          <w:rFonts w:ascii="Arial"/>
          <w:spacing w:val="-9"/>
          <w:w w:val="105"/>
          <w:sz w:val="16"/>
        </w:rPr>
        <w:t xml:space="preserve"> </w:t>
      </w:r>
      <w:r w:rsidRPr="00EB2BD8">
        <w:rPr>
          <w:rFonts w:ascii="Arial"/>
          <w:w w:val="105"/>
          <w:sz w:val="16"/>
        </w:rPr>
        <w:t>unchanged</w:t>
      </w:r>
      <w:r w:rsidRPr="00EB2BD8">
        <w:rPr>
          <w:rFonts w:ascii="Arial"/>
          <w:spacing w:val="-8"/>
          <w:w w:val="105"/>
          <w:sz w:val="16"/>
        </w:rPr>
        <w:t xml:space="preserve"> </w:t>
      </w:r>
      <w:r w:rsidRPr="00EB2BD8">
        <w:rPr>
          <w:rFonts w:ascii="Arial"/>
          <w:w w:val="105"/>
          <w:sz w:val="16"/>
        </w:rPr>
        <w:t>since</w:t>
      </w:r>
      <w:r w:rsidRPr="00EB2BD8">
        <w:rPr>
          <w:rFonts w:ascii="Arial"/>
          <w:spacing w:val="-10"/>
          <w:w w:val="105"/>
          <w:sz w:val="16"/>
        </w:rPr>
        <w:t xml:space="preserve"> </w:t>
      </w:r>
      <w:r w:rsidRPr="00EB2BD8">
        <w:rPr>
          <w:rFonts w:ascii="Arial"/>
          <w:w w:val="105"/>
          <w:sz w:val="16"/>
        </w:rPr>
        <w:t>June</w:t>
      </w:r>
      <w:r w:rsidRPr="00EB2BD8">
        <w:rPr>
          <w:rFonts w:ascii="Arial"/>
          <w:spacing w:val="-9"/>
          <w:w w:val="105"/>
          <w:sz w:val="16"/>
        </w:rPr>
        <w:t xml:space="preserve"> </w:t>
      </w:r>
      <w:r w:rsidRPr="00EB2BD8">
        <w:rPr>
          <w:rFonts w:ascii="Arial"/>
          <w:spacing w:val="-4"/>
          <w:w w:val="105"/>
          <w:sz w:val="16"/>
        </w:rPr>
        <w:t>2022.</w:t>
      </w:r>
    </w:p>
    <w:p w14:paraId="2F829FAF" w14:textId="77777777" w:rsidR="00084F36" w:rsidRPr="00EB2BD8" w:rsidRDefault="00084F36">
      <w:pPr>
        <w:pStyle w:val="BodyText"/>
        <w:rPr>
          <w:rFonts w:ascii="Arial"/>
          <w:sz w:val="20"/>
        </w:rPr>
      </w:pPr>
    </w:p>
    <w:p w14:paraId="4134DAC2" w14:textId="77777777" w:rsidR="00084F36" w:rsidRPr="00EB2BD8" w:rsidRDefault="00084F36">
      <w:pPr>
        <w:pStyle w:val="BodyText"/>
        <w:rPr>
          <w:rFonts w:ascii="Arial"/>
          <w:sz w:val="23"/>
        </w:rPr>
      </w:pPr>
    </w:p>
    <w:p w14:paraId="11A725C3" w14:textId="77777777" w:rsidR="00084F36" w:rsidRPr="00EB2BD8" w:rsidRDefault="00084F36">
      <w:pPr>
        <w:jc w:val="right"/>
        <w:rPr>
          <w:sz w:val="16"/>
        </w:rPr>
        <w:sectPr w:rsidR="00084F36" w:rsidRPr="00EB2BD8" w:rsidSect="006D75B2">
          <w:headerReference w:type="default" r:id="rId357"/>
          <w:footerReference w:type="default" r:id="rId358"/>
          <w:pgSz w:w="11910" w:h="16840"/>
          <w:pgMar w:top="760" w:right="0" w:bottom="280" w:left="0" w:header="0" w:footer="0" w:gutter="0"/>
          <w:cols w:space="720"/>
        </w:sectPr>
      </w:pPr>
    </w:p>
    <w:p w14:paraId="116CCCA4" w14:textId="77777777" w:rsidR="00084F36" w:rsidRPr="00EB2BD8" w:rsidRDefault="00084F36">
      <w:pPr>
        <w:pStyle w:val="BodyText"/>
        <w:rPr>
          <w:sz w:val="20"/>
        </w:rPr>
      </w:pPr>
    </w:p>
    <w:p w14:paraId="15F375B7" w14:textId="77777777" w:rsidR="00084F36" w:rsidRPr="00EB2BD8" w:rsidRDefault="00084F36">
      <w:pPr>
        <w:pStyle w:val="BodyText"/>
        <w:rPr>
          <w:sz w:val="20"/>
        </w:rPr>
      </w:pPr>
    </w:p>
    <w:p w14:paraId="37F7A18E" w14:textId="77777777" w:rsidR="00084F36" w:rsidRPr="00EB2BD8" w:rsidRDefault="00084F36">
      <w:pPr>
        <w:pStyle w:val="BodyText"/>
        <w:rPr>
          <w:sz w:val="20"/>
        </w:rPr>
      </w:pPr>
    </w:p>
    <w:p w14:paraId="31FDA7A4" w14:textId="77777777" w:rsidR="00084F36" w:rsidRPr="00EB2BD8" w:rsidRDefault="00084F36">
      <w:pPr>
        <w:pStyle w:val="BodyText"/>
        <w:rPr>
          <w:sz w:val="20"/>
        </w:rPr>
      </w:pPr>
    </w:p>
    <w:p w14:paraId="6B151D5C" w14:textId="77777777" w:rsidR="00084F36" w:rsidRPr="00EB2BD8" w:rsidRDefault="00084F36">
      <w:pPr>
        <w:pStyle w:val="BodyText"/>
        <w:spacing w:before="2"/>
        <w:rPr>
          <w:sz w:val="29"/>
        </w:rPr>
      </w:pPr>
    </w:p>
    <w:p w14:paraId="24144A02" w14:textId="77777777" w:rsidR="00084F36" w:rsidRPr="00EB2BD8" w:rsidRDefault="00EB2BD8">
      <w:pPr>
        <w:spacing w:before="91"/>
        <w:ind w:left="1105"/>
        <w:rPr>
          <w:rFonts w:ascii="Arial"/>
          <w:b/>
          <w:sz w:val="26"/>
        </w:rPr>
      </w:pPr>
      <w:r w:rsidRPr="00EB2BD8">
        <w:rPr>
          <w:rFonts w:ascii="Arial"/>
          <w:b/>
          <w:sz w:val="26"/>
        </w:rPr>
        <w:t>Note</w:t>
      </w:r>
      <w:r w:rsidRPr="00EB2BD8">
        <w:rPr>
          <w:rFonts w:ascii="Arial"/>
          <w:b/>
          <w:spacing w:val="-7"/>
          <w:sz w:val="26"/>
        </w:rPr>
        <w:t xml:space="preserve"> </w:t>
      </w:r>
      <w:r w:rsidRPr="00EB2BD8">
        <w:rPr>
          <w:rFonts w:ascii="Arial"/>
          <w:b/>
          <w:sz w:val="26"/>
        </w:rPr>
        <w:t>8.</w:t>
      </w:r>
      <w:r w:rsidRPr="00EB2BD8">
        <w:rPr>
          <w:rFonts w:ascii="Arial"/>
          <w:b/>
          <w:spacing w:val="-6"/>
          <w:sz w:val="26"/>
        </w:rPr>
        <w:t xml:space="preserve"> </w:t>
      </w:r>
      <w:r w:rsidRPr="00EB2BD8">
        <w:rPr>
          <w:rFonts w:ascii="Arial"/>
          <w:b/>
          <w:sz w:val="26"/>
        </w:rPr>
        <w:t>Other</w:t>
      </w:r>
      <w:r w:rsidRPr="00EB2BD8">
        <w:rPr>
          <w:rFonts w:ascii="Arial"/>
          <w:b/>
          <w:spacing w:val="-6"/>
          <w:sz w:val="26"/>
        </w:rPr>
        <w:t xml:space="preserve"> </w:t>
      </w:r>
      <w:r w:rsidRPr="00EB2BD8">
        <w:rPr>
          <w:rFonts w:ascii="Arial"/>
          <w:b/>
          <w:spacing w:val="-2"/>
          <w:sz w:val="26"/>
        </w:rPr>
        <w:t>disclosures</w:t>
      </w:r>
    </w:p>
    <w:p w14:paraId="396804AC" w14:textId="77777777" w:rsidR="00084F36" w:rsidRPr="00EB2BD8" w:rsidRDefault="00084F36">
      <w:pPr>
        <w:pStyle w:val="BodyText"/>
        <w:spacing w:before="6"/>
        <w:rPr>
          <w:rFonts w:ascii="Arial"/>
          <w:b/>
          <w:sz w:val="33"/>
        </w:rPr>
      </w:pPr>
    </w:p>
    <w:p w14:paraId="6687FB12" w14:textId="77777777" w:rsidR="00084F36" w:rsidRPr="00EB2BD8" w:rsidRDefault="00EB2BD8">
      <w:pPr>
        <w:spacing w:line="288" w:lineRule="auto"/>
        <w:ind w:left="1105" w:right="1813"/>
        <w:rPr>
          <w:rFonts w:ascii="Arial"/>
          <w:sz w:val="16"/>
        </w:rPr>
      </w:pPr>
      <w:r w:rsidRPr="00EB2BD8">
        <w:rPr>
          <w:rFonts w:ascii="Arial"/>
          <w:w w:val="105"/>
          <w:sz w:val="16"/>
        </w:rPr>
        <w:t>This</w:t>
      </w:r>
      <w:r w:rsidRPr="00EB2BD8">
        <w:rPr>
          <w:rFonts w:ascii="Arial"/>
          <w:spacing w:val="-11"/>
          <w:w w:val="105"/>
          <w:sz w:val="16"/>
        </w:rPr>
        <w:t xml:space="preserve"> </w:t>
      </w:r>
      <w:r w:rsidRPr="00EB2BD8">
        <w:rPr>
          <w:rFonts w:ascii="Arial"/>
          <w:w w:val="105"/>
          <w:sz w:val="16"/>
        </w:rPr>
        <w:t>section</w:t>
      </w:r>
      <w:r w:rsidRPr="00EB2BD8">
        <w:rPr>
          <w:rFonts w:ascii="Arial"/>
          <w:spacing w:val="-11"/>
          <w:w w:val="105"/>
          <w:sz w:val="16"/>
        </w:rPr>
        <w:t xml:space="preserve"> </w:t>
      </w:r>
      <w:r w:rsidRPr="00EB2BD8">
        <w:rPr>
          <w:rFonts w:ascii="Arial"/>
          <w:w w:val="105"/>
          <w:sz w:val="16"/>
        </w:rPr>
        <w:t>includes</w:t>
      </w:r>
      <w:r w:rsidRPr="00EB2BD8">
        <w:rPr>
          <w:rFonts w:ascii="Arial"/>
          <w:spacing w:val="-11"/>
          <w:w w:val="105"/>
          <w:sz w:val="16"/>
        </w:rPr>
        <w:t xml:space="preserve"> </w:t>
      </w:r>
      <w:r w:rsidRPr="00EB2BD8">
        <w:rPr>
          <w:rFonts w:ascii="Arial"/>
          <w:w w:val="105"/>
          <w:sz w:val="16"/>
        </w:rPr>
        <w:t>additional</w:t>
      </w:r>
      <w:r w:rsidRPr="00EB2BD8">
        <w:rPr>
          <w:rFonts w:ascii="Arial"/>
          <w:spacing w:val="-10"/>
          <w:w w:val="105"/>
          <w:sz w:val="16"/>
        </w:rPr>
        <w:t xml:space="preserve"> </w:t>
      </w:r>
      <w:r w:rsidRPr="00EB2BD8">
        <w:rPr>
          <w:rFonts w:ascii="Arial"/>
          <w:w w:val="105"/>
          <w:sz w:val="16"/>
        </w:rPr>
        <w:t>material</w:t>
      </w:r>
      <w:r w:rsidRPr="00EB2BD8">
        <w:rPr>
          <w:rFonts w:ascii="Arial"/>
          <w:spacing w:val="-10"/>
          <w:w w:val="105"/>
          <w:sz w:val="16"/>
        </w:rPr>
        <w:t xml:space="preserve"> </w:t>
      </w:r>
      <w:r w:rsidRPr="00EB2BD8">
        <w:rPr>
          <w:rFonts w:ascii="Arial"/>
          <w:w w:val="105"/>
          <w:sz w:val="16"/>
        </w:rPr>
        <w:t>disclosures</w:t>
      </w:r>
      <w:r w:rsidRPr="00EB2BD8">
        <w:rPr>
          <w:rFonts w:ascii="Arial"/>
          <w:spacing w:val="-11"/>
          <w:w w:val="105"/>
          <w:sz w:val="16"/>
        </w:rPr>
        <w:t xml:space="preserve"> </w:t>
      </w:r>
      <w:r w:rsidRPr="00EB2BD8">
        <w:rPr>
          <w:rFonts w:ascii="Arial"/>
          <w:w w:val="105"/>
          <w:sz w:val="16"/>
        </w:rPr>
        <w:t>required</w:t>
      </w:r>
      <w:r w:rsidRPr="00EB2BD8">
        <w:rPr>
          <w:rFonts w:ascii="Arial"/>
          <w:spacing w:val="-10"/>
          <w:w w:val="105"/>
          <w:sz w:val="16"/>
        </w:rPr>
        <w:t xml:space="preserve"> </w:t>
      </w:r>
      <w:r w:rsidRPr="00EB2BD8">
        <w:rPr>
          <w:rFonts w:ascii="Arial"/>
          <w:w w:val="105"/>
          <w:sz w:val="16"/>
        </w:rPr>
        <w:t>by</w:t>
      </w:r>
      <w:r w:rsidRPr="00EB2BD8">
        <w:rPr>
          <w:rFonts w:ascii="Arial"/>
          <w:spacing w:val="-10"/>
          <w:w w:val="105"/>
          <w:sz w:val="16"/>
        </w:rPr>
        <w:t xml:space="preserve"> </w:t>
      </w:r>
      <w:r w:rsidRPr="00EB2BD8">
        <w:rPr>
          <w:rFonts w:ascii="Arial"/>
          <w:w w:val="105"/>
          <w:sz w:val="16"/>
        </w:rPr>
        <w:t>accounting</w:t>
      </w:r>
      <w:r w:rsidRPr="00EB2BD8">
        <w:rPr>
          <w:rFonts w:ascii="Arial"/>
          <w:spacing w:val="-11"/>
          <w:w w:val="105"/>
          <w:sz w:val="16"/>
        </w:rPr>
        <w:t xml:space="preserve"> </w:t>
      </w:r>
      <w:r w:rsidRPr="00EB2BD8">
        <w:rPr>
          <w:rFonts w:ascii="Arial"/>
          <w:w w:val="105"/>
          <w:sz w:val="16"/>
        </w:rPr>
        <w:t>standards</w:t>
      </w:r>
      <w:r w:rsidRPr="00EB2BD8">
        <w:rPr>
          <w:rFonts w:ascii="Arial"/>
          <w:spacing w:val="-9"/>
          <w:w w:val="105"/>
          <w:sz w:val="16"/>
        </w:rPr>
        <w:t xml:space="preserve"> </w:t>
      </w:r>
      <w:r w:rsidRPr="00EB2BD8">
        <w:rPr>
          <w:rFonts w:ascii="Arial"/>
          <w:w w:val="105"/>
          <w:sz w:val="16"/>
        </w:rPr>
        <w:t>or</w:t>
      </w:r>
      <w:r w:rsidRPr="00EB2BD8">
        <w:rPr>
          <w:rFonts w:ascii="Arial"/>
          <w:spacing w:val="-11"/>
          <w:w w:val="105"/>
          <w:sz w:val="16"/>
        </w:rPr>
        <w:t xml:space="preserve"> </w:t>
      </w:r>
      <w:r w:rsidRPr="00EB2BD8">
        <w:rPr>
          <w:rFonts w:ascii="Arial"/>
          <w:w w:val="105"/>
          <w:sz w:val="16"/>
        </w:rPr>
        <w:t>otherwise,</w:t>
      </w:r>
      <w:r w:rsidRPr="00EB2BD8">
        <w:rPr>
          <w:rFonts w:ascii="Arial"/>
          <w:spacing w:val="-9"/>
          <w:w w:val="105"/>
          <w:sz w:val="16"/>
        </w:rPr>
        <w:t xml:space="preserve"> </w:t>
      </w:r>
      <w:r w:rsidRPr="00EB2BD8">
        <w:rPr>
          <w:rFonts w:ascii="Arial"/>
          <w:w w:val="105"/>
          <w:sz w:val="16"/>
        </w:rPr>
        <w:t>for</w:t>
      </w:r>
      <w:r w:rsidRPr="00EB2BD8">
        <w:rPr>
          <w:rFonts w:ascii="Arial"/>
          <w:spacing w:val="-9"/>
          <w:w w:val="105"/>
          <w:sz w:val="16"/>
        </w:rPr>
        <w:t xml:space="preserve"> </w:t>
      </w:r>
      <w:r w:rsidRPr="00EB2BD8">
        <w:rPr>
          <w:rFonts w:ascii="Arial"/>
          <w:w w:val="105"/>
          <w:sz w:val="16"/>
        </w:rPr>
        <w:t>the</w:t>
      </w:r>
      <w:r w:rsidRPr="00EB2BD8">
        <w:rPr>
          <w:rFonts w:ascii="Arial"/>
          <w:spacing w:val="-8"/>
          <w:w w:val="105"/>
          <w:sz w:val="16"/>
        </w:rPr>
        <w:t xml:space="preserve"> </w:t>
      </w:r>
      <w:r w:rsidRPr="00EB2BD8">
        <w:rPr>
          <w:rFonts w:ascii="Arial"/>
          <w:w w:val="105"/>
          <w:sz w:val="16"/>
        </w:rPr>
        <w:t>understanding of this financial report.</w:t>
      </w:r>
    </w:p>
    <w:p w14:paraId="09B7D169" w14:textId="77777777" w:rsidR="00084F36" w:rsidRPr="00EB2BD8" w:rsidRDefault="00084F36">
      <w:pPr>
        <w:pStyle w:val="BodyText"/>
        <w:spacing w:before="2"/>
        <w:rPr>
          <w:rFonts w:ascii="Arial"/>
          <w:sz w:val="19"/>
        </w:rPr>
      </w:pPr>
    </w:p>
    <w:p w14:paraId="6BE963E3" w14:textId="77777777" w:rsidR="00084F36" w:rsidRPr="00EB2BD8" w:rsidRDefault="00EB2BD8">
      <w:pPr>
        <w:pStyle w:val="ListParagraph"/>
        <w:numPr>
          <w:ilvl w:val="1"/>
          <w:numId w:val="29"/>
        </w:numPr>
        <w:tabs>
          <w:tab w:val="left" w:pos="1773"/>
        </w:tabs>
        <w:spacing w:before="1"/>
        <w:ind w:hanging="668"/>
        <w:rPr>
          <w:rFonts w:ascii="Arial"/>
          <w:sz w:val="16"/>
        </w:rPr>
      </w:pPr>
      <w:r w:rsidRPr="00EB2BD8">
        <w:rPr>
          <w:rFonts w:ascii="Arial"/>
          <w:sz w:val="16"/>
        </w:rPr>
        <w:t>Other</w:t>
      </w:r>
      <w:r w:rsidRPr="00EB2BD8">
        <w:rPr>
          <w:rFonts w:ascii="Arial"/>
          <w:spacing w:val="6"/>
          <w:sz w:val="16"/>
        </w:rPr>
        <w:t xml:space="preserve"> </w:t>
      </w:r>
      <w:r w:rsidRPr="00EB2BD8">
        <w:rPr>
          <w:rFonts w:ascii="Arial"/>
          <w:sz w:val="16"/>
        </w:rPr>
        <w:t>economic</w:t>
      </w:r>
      <w:r w:rsidRPr="00EB2BD8">
        <w:rPr>
          <w:rFonts w:ascii="Arial"/>
          <w:spacing w:val="7"/>
          <w:sz w:val="16"/>
        </w:rPr>
        <w:t xml:space="preserve"> </w:t>
      </w:r>
      <w:r w:rsidRPr="00EB2BD8">
        <w:rPr>
          <w:rFonts w:ascii="Arial"/>
          <w:sz w:val="16"/>
        </w:rPr>
        <w:t>flows</w:t>
      </w:r>
      <w:r w:rsidRPr="00EB2BD8">
        <w:rPr>
          <w:rFonts w:ascii="Arial"/>
          <w:spacing w:val="8"/>
          <w:sz w:val="16"/>
        </w:rPr>
        <w:t xml:space="preserve"> </w:t>
      </w:r>
      <w:r w:rsidRPr="00EB2BD8">
        <w:rPr>
          <w:rFonts w:ascii="Arial"/>
          <w:sz w:val="16"/>
        </w:rPr>
        <w:t>included</w:t>
      </w:r>
      <w:r w:rsidRPr="00EB2BD8">
        <w:rPr>
          <w:rFonts w:ascii="Arial"/>
          <w:spacing w:val="9"/>
          <w:sz w:val="16"/>
        </w:rPr>
        <w:t xml:space="preserve"> </w:t>
      </w:r>
      <w:r w:rsidRPr="00EB2BD8">
        <w:rPr>
          <w:rFonts w:ascii="Arial"/>
          <w:sz w:val="16"/>
        </w:rPr>
        <w:t>in</w:t>
      </w:r>
      <w:r w:rsidRPr="00EB2BD8">
        <w:rPr>
          <w:rFonts w:ascii="Arial"/>
          <w:spacing w:val="6"/>
          <w:sz w:val="16"/>
        </w:rPr>
        <w:t xml:space="preserve"> </w:t>
      </w:r>
      <w:r w:rsidRPr="00EB2BD8">
        <w:rPr>
          <w:rFonts w:ascii="Arial"/>
          <w:sz w:val="16"/>
        </w:rPr>
        <w:t>net</w:t>
      </w:r>
      <w:r w:rsidRPr="00EB2BD8">
        <w:rPr>
          <w:rFonts w:ascii="Arial"/>
          <w:spacing w:val="9"/>
          <w:sz w:val="16"/>
        </w:rPr>
        <w:t xml:space="preserve"> </w:t>
      </w:r>
      <w:r w:rsidRPr="00EB2BD8">
        <w:rPr>
          <w:rFonts w:ascii="Arial"/>
          <w:spacing w:val="-2"/>
          <w:sz w:val="16"/>
        </w:rPr>
        <w:t>results</w:t>
      </w:r>
    </w:p>
    <w:p w14:paraId="73A9E4E3" w14:textId="77777777" w:rsidR="00084F36" w:rsidRPr="00EB2BD8" w:rsidRDefault="00EB2BD8">
      <w:pPr>
        <w:pStyle w:val="ListParagraph"/>
        <w:numPr>
          <w:ilvl w:val="1"/>
          <w:numId w:val="29"/>
        </w:numPr>
        <w:tabs>
          <w:tab w:val="left" w:pos="1773"/>
        </w:tabs>
        <w:spacing w:before="37"/>
        <w:ind w:hanging="668"/>
        <w:rPr>
          <w:rFonts w:ascii="Arial"/>
          <w:sz w:val="16"/>
        </w:rPr>
      </w:pPr>
      <w:r w:rsidRPr="00EB2BD8">
        <w:rPr>
          <w:rFonts w:ascii="Arial"/>
          <w:w w:val="105"/>
          <w:sz w:val="16"/>
        </w:rPr>
        <w:t>Asset</w:t>
      </w:r>
      <w:r w:rsidRPr="00EB2BD8">
        <w:rPr>
          <w:rFonts w:ascii="Arial"/>
          <w:spacing w:val="-11"/>
          <w:w w:val="105"/>
          <w:sz w:val="16"/>
        </w:rPr>
        <w:t xml:space="preserve"> </w:t>
      </w:r>
      <w:r w:rsidRPr="00EB2BD8">
        <w:rPr>
          <w:rFonts w:ascii="Arial"/>
          <w:w w:val="105"/>
          <w:sz w:val="16"/>
        </w:rPr>
        <w:t>Revaluation</w:t>
      </w:r>
      <w:r w:rsidRPr="00EB2BD8">
        <w:rPr>
          <w:rFonts w:ascii="Arial"/>
          <w:spacing w:val="-11"/>
          <w:w w:val="105"/>
          <w:sz w:val="16"/>
        </w:rPr>
        <w:t xml:space="preserve"> </w:t>
      </w:r>
      <w:r w:rsidRPr="00EB2BD8">
        <w:rPr>
          <w:rFonts w:ascii="Arial"/>
          <w:spacing w:val="-2"/>
          <w:w w:val="105"/>
          <w:sz w:val="16"/>
        </w:rPr>
        <w:t>Reserve</w:t>
      </w:r>
    </w:p>
    <w:p w14:paraId="57BEC82F" w14:textId="77777777" w:rsidR="00084F36" w:rsidRPr="00EB2BD8" w:rsidRDefault="00EB2BD8">
      <w:pPr>
        <w:pStyle w:val="ListParagraph"/>
        <w:numPr>
          <w:ilvl w:val="1"/>
          <w:numId w:val="29"/>
        </w:numPr>
        <w:tabs>
          <w:tab w:val="left" w:pos="1773"/>
        </w:tabs>
        <w:spacing w:before="37"/>
        <w:ind w:hanging="668"/>
        <w:rPr>
          <w:rFonts w:ascii="Arial"/>
          <w:sz w:val="16"/>
        </w:rPr>
      </w:pPr>
      <w:r w:rsidRPr="00EB2BD8">
        <w:rPr>
          <w:rFonts w:ascii="Arial"/>
          <w:sz w:val="16"/>
        </w:rPr>
        <w:t>Responsible</w:t>
      </w:r>
      <w:r w:rsidRPr="00EB2BD8">
        <w:rPr>
          <w:rFonts w:ascii="Arial"/>
          <w:spacing w:val="14"/>
          <w:sz w:val="16"/>
        </w:rPr>
        <w:t xml:space="preserve"> </w:t>
      </w:r>
      <w:r w:rsidRPr="00EB2BD8">
        <w:rPr>
          <w:rFonts w:ascii="Arial"/>
          <w:spacing w:val="-2"/>
          <w:sz w:val="16"/>
        </w:rPr>
        <w:t>persons</w:t>
      </w:r>
    </w:p>
    <w:p w14:paraId="4D128652" w14:textId="77777777" w:rsidR="00084F36" w:rsidRPr="00EB2BD8" w:rsidRDefault="00EB2BD8">
      <w:pPr>
        <w:pStyle w:val="ListParagraph"/>
        <w:numPr>
          <w:ilvl w:val="1"/>
          <w:numId w:val="29"/>
        </w:numPr>
        <w:tabs>
          <w:tab w:val="left" w:pos="1773"/>
        </w:tabs>
        <w:spacing w:before="36"/>
        <w:ind w:hanging="668"/>
        <w:rPr>
          <w:rFonts w:ascii="Arial"/>
          <w:sz w:val="16"/>
        </w:rPr>
      </w:pPr>
      <w:r w:rsidRPr="00EB2BD8">
        <w:rPr>
          <w:rFonts w:ascii="Arial"/>
          <w:sz w:val="16"/>
        </w:rPr>
        <w:t>Remuneration</w:t>
      </w:r>
      <w:r w:rsidRPr="00EB2BD8">
        <w:rPr>
          <w:rFonts w:ascii="Arial"/>
          <w:spacing w:val="10"/>
          <w:sz w:val="16"/>
        </w:rPr>
        <w:t xml:space="preserve"> </w:t>
      </w:r>
      <w:r w:rsidRPr="00EB2BD8">
        <w:rPr>
          <w:rFonts w:ascii="Arial"/>
          <w:sz w:val="16"/>
        </w:rPr>
        <w:t>of</w:t>
      </w:r>
      <w:r w:rsidRPr="00EB2BD8">
        <w:rPr>
          <w:rFonts w:ascii="Arial"/>
          <w:spacing w:val="11"/>
          <w:sz w:val="16"/>
        </w:rPr>
        <w:t xml:space="preserve"> </w:t>
      </w:r>
      <w:r w:rsidRPr="00EB2BD8">
        <w:rPr>
          <w:rFonts w:ascii="Arial"/>
          <w:spacing w:val="-2"/>
          <w:sz w:val="16"/>
        </w:rPr>
        <w:t>executives</w:t>
      </w:r>
    </w:p>
    <w:p w14:paraId="5AB7CA0F" w14:textId="77777777" w:rsidR="00084F36" w:rsidRPr="00EB2BD8" w:rsidRDefault="00EB2BD8">
      <w:pPr>
        <w:pStyle w:val="ListParagraph"/>
        <w:numPr>
          <w:ilvl w:val="1"/>
          <w:numId w:val="29"/>
        </w:numPr>
        <w:tabs>
          <w:tab w:val="left" w:pos="1773"/>
        </w:tabs>
        <w:spacing w:before="38"/>
        <w:ind w:hanging="668"/>
        <w:rPr>
          <w:rFonts w:ascii="Arial"/>
          <w:sz w:val="16"/>
        </w:rPr>
      </w:pPr>
      <w:r w:rsidRPr="00EB2BD8">
        <w:rPr>
          <w:rFonts w:ascii="Arial"/>
          <w:sz w:val="16"/>
        </w:rPr>
        <w:t>Related</w:t>
      </w:r>
      <w:r w:rsidRPr="00EB2BD8">
        <w:rPr>
          <w:rFonts w:ascii="Arial"/>
          <w:spacing w:val="12"/>
          <w:sz w:val="16"/>
        </w:rPr>
        <w:t xml:space="preserve"> </w:t>
      </w:r>
      <w:r w:rsidRPr="00EB2BD8">
        <w:rPr>
          <w:rFonts w:ascii="Arial"/>
          <w:spacing w:val="-2"/>
          <w:sz w:val="16"/>
        </w:rPr>
        <w:t>parties</w:t>
      </w:r>
    </w:p>
    <w:p w14:paraId="57CF8C39" w14:textId="77777777" w:rsidR="00084F36" w:rsidRPr="00EB2BD8" w:rsidRDefault="00EB2BD8">
      <w:pPr>
        <w:pStyle w:val="ListParagraph"/>
        <w:numPr>
          <w:ilvl w:val="1"/>
          <w:numId w:val="29"/>
        </w:numPr>
        <w:tabs>
          <w:tab w:val="left" w:pos="1773"/>
        </w:tabs>
        <w:spacing w:before="36"/>
        <w:ind w:hanging="668"/>
        <w:rPr>
          <w:rFonts w:ascii="Arial"/>
          <w:sz w:val="16"/>
        </w:rPr>
      </w:pPr>
      <w:r w:rsidRPr="00EB2BD8">
        <w:rPr>
          <w:rFonts w:ascii="Arial"/>
          <w:sz w:val="16"/>
        </w:rPr>
        <w:t>Remuneration</w:t>
      </w:r>
      <w:r w:rsidRPr="00EB2BD8">
        <w:rPr>
          <w:rFonts w:ascii="Arial"/>
          <w:spacing w:val="12"/>
          <w:sz w:val="16"/>
        </w:rPr>
        <w:t xml:space="preserve"> </w:t>
      </w:r>
      <w:r w:rsidRPr="00EB2BD8">
        <w:rPr>
          <w:rFonts w:ascii="Arial"/>
          <w:sz w:val="16"/>
        </w:rPr>
        <w:t>of</w:t>
      </w:r>
      <w:r w:rsidRPr="00EB2BD8">
        <w:rPr>
          <w:rFonts w:ascii="Arial"/>
          <w:spacing w:val="12"/>
          <w:sz w:val="16"/>
        </w:rPr>
        <w:t xml:space="preserve"> </w:t>
      </w:r>
      <w:r w:rsidRPr="00EB2BD8">
        <w:rPr>
          <w:rFonts w:ascii="Arial"/>
          <w:spacing w:val="-2"/>
          <w:sz w:val="16"/>
        </w:rPr>
        <w:t>auditors</w:t>
      </w:r>
    </w:p>
    <w:p w14:paraId="50433A54" w14:textId="77777777" w:rsidR="00084F36" w:rsidRPr="00EB2BD8" w:rsidRDefault="00EB2BD8">
      <w:pPr>
        <w:pStyle w:val="ListParagraph"/>
        <w:numPr>
          <w:ilvl w:val="1"/>
          <w:numId w:val="29"/>
        </w:numPr>
        <w:tabs>
          <w:tab w:val="left" w:pos="1773"/>
        </w:tabs>
        <w:spacing w:before="37"/>
        <w:ind w:hanging="668"/>
        <w:rPr>
          <w:rFonts w:ascii="Arial"/>
          <w:sz w:val="16"/>
        </w:rPr>
      </w:pPr>
      <w:r w:rsidRPr="00EB2BD8">
        <w:rPr>
          <w:rFonts w:ascii="Arial"/>
          <w:sz w:val="16"/>
        </w:rPr>
        <w:t>Subsequent</w:t>
      </w:r>
      <w:r w:rsidRPr="00EB2BD8">
        <w:rPr>
          <w:rFonts w:ascii="Arial"/>
          <w:spacing w:val="11"/>
          <w:sz w:val="16"/>
        </w:rPr>
        <w:t xml:space="preserve"> </w:t>
      </w:r>
      <w:r w:rsidRPr="00EB2BD8">
        <w:rPr>
          <w:rFonts w:ascii="Arial"/>
          <w:spacing w:val="-2"/>
          <w:sz w:val="16"/>
        </w:rPr>
        <w:t>events</w:t>
      </w:r>
    </w:p>
    <w:p w14:paraId="3E217744" w14:textId="77777777" w:rsidR="00084F36" w:rsidRPr="00EB2BD8" w:rsidRDefault="00EB2BD8">
      <w:pPr>
        <w:pStyle w:val="ListParagraph"/>
        <w:numPr>
          <w:ilvl w:val="1"/>
          <w:numId w:val="29"/>
        </w:numPr>
        <w:tabs>
          <w:tab w:val="left" w:pos="1773"/>
        </w:tabs>
        <w:spacing w:before="38"/>
        <w:ind w:hanging="668"/>
        <w:rPr>
          <w:rFonts w:ascii="Arial"/>
          <w:sz w:val="16"/>
        </w:rPr>
      </w:pPr>
      <w:r w:rsidRPr="00EB2BD8">
        <w:rPr>
          <w:rFonts w:ascii="Arial"/>
          <w:sz w:val="16"/>
        </w:rPr>
        <w:t>Australian</w:t>
      </w:r>
      <w:r w:rsidRPr="00EB2BD8">
        <w:rPr>
          <w:rFonts w:ascii="Arial"/>
          <w:spacing w:val="4"/>
          <w:sz w:val="16"/>
        </w:rPr>
        <w:t xml:space="preserve"> </w:t>
      </w:r>
      <w:r w:rsidRPr="00EB2BD8">
        <w:rPr>
          <w:rFonts w:ascii="Arial"/>
          <w:sz w:val="16"/>
        </w:rPr>
        <w:t>Accounting</w:t>
      </w:r>
      <w:r w:rsidRPr="00EB2BD8">
        <w:rPr>
          <w:rFonts w:ascii="Arial"/>
          <w:spacing w:val="7"/>
          <w:sz w:val="16"/>
        </w:rPr>
        <w:t xml:space="preserve"> </w:t>
      </w:r>
      <w:r w:rsidRPr="00EB2BD8">
        <w:rPr>
          <w:rFonts w:ascii="Arial"/>
          <w:sz w:val="16"/>
        </w:rPr>
        <w:t>Standards</w:t>
      </w:r>
      <w:r w:rsidRPr="00EB2BD8">
        <w:rPr>
          <w:rFonts w:ascii="Arial"/>
          <w:spacing w:val="10"/>
          <w:sz w:val="16"/>
        </w:rPr>
        <w:t xml:space="preserve"> </w:t>
      </w:r>
      <w:r w:rsidRPr="00EB2BD8">
        <w:rPr>
          <w:rFonts w:ascii="Arial"/>
          <w:sz w:val="16"/>
        </w:rPr>
        <w:t>issued</w:t>
      </w:r>
      <w:r w:rsidRPr="00EB2BD8">
        <w:rPr>
          <w:rFonts w:ascii="Arial"/>
          <w:spacing w:val="8"/>
          <w:sz w:val="16"/>
        </w:rPr>
        <w:t xml:space="preserve"> </w:t>
      </w:r>
      <w:r w:rsidRPr="00EB2BD8">
        <w:rPr>
          <w:rFonts w:ascii="Arial"/>
          <w:sz w:val="16"/>
        </w:rPr>
        <w:t>that</w:t>
      </w:r>
      <w:r w:rsidRPr="00EB2BD8">
        <w:rPr>
          <w:rFonts w:ascii="Arial"/>
          <w:spacing w:val="6"/>
          <w:sz w:val="16"/>
        </w:rPr>
        <w:t xml:space="preserve"> </w:t>
      </w:r>
      <w:r w:rsidRPr="00EB2BD8">
        <w:rPr>
          <w:rFonts w:ascii="Arial"/>
          <w:sz w:val="16"/>
        </w:rPr>
        <w:t>are</w:t>
      </w:r>
      <w:r w:rsidRPr="00EB2BD8">
        <w:rPr>
          <w:rFonts w:ascii="Arial"/>
          <w:spacing w:val="12"/>
          <w:sz w:val="16"/>
        </w:rPr>
        <w:t xml:space="preserve"> </w:t>
      </w:r>
      <w:r w:rsidRPr="00EB2BD8">
        <w:rPr>
          <w:rFonts w:ascii="Arial"/>
          <w:sz w:val="16"/>
        </w:rPr>
        <w:t>not</w:t>
      </w:r>
      <w:r w:rsidRPr="00EB2BD8">
        <w:rPr>
          <w:rFonts w:ascii="Arial"/>
          <w:spacing w:val="7"/>
          <w:sz w:val="16"/>
        </w:rPr>
        <w:t xml:space="preserve"> </w:t>
      </w:r>
      <w:r w:rsidRPr="00EB2BD8">
        <w:rPr>
          <w:rFonts w:ascii="Arial"/>
          <w:sz w:val="16"/>
        </w:rPr>
        <w:t>yet</w:t>
      </w:r>
      <w:r w:rsidRPr="00EB2BD8">
        <w:rPr>
          <w:rFonts w:ascii="Arial"/>
          <w:spacing w:val="10"/>
          <w:sz w:val="16"/>
        </w:rPr>
        <w:t xml:space="preserve"> </w:t>
      </w:r>
      <w:r w:rsidRPr="00EB2BD8">
        <w:rPr>
          <w:rFonts w:ascii="Arial"/>
          <w:spacing w:val="-2"/>
          <w:sz w:val="16"/>
        </w:rPr>
        <w:t>effective</w:t>
      </w:r>
    </w:p>
    <w:p w14:paraId="24E941DF" w14:textId="77777777" w:rsidR="00084F36" w:rsidRPr="00EB2BD8" w:rsidRDefault="00EB2BD8">
      <w:pPr>
        <w:pStyle w:val="ListParagraph"/>
        <w:numPr>
          <w:ilvl w:val="1"/>
          <w:numId w:val="29"/>
        </w:numPr>
        <w:tabs>
          <w:tab w:val="left" w:pos="1773"/>
        </w:tabs>
        <w:spacing w:before="36"/>
        <w:ind w:hanging="668"/>
        <w:rPr>
          <w:rFonts w:ascii="Arial"/>
          <w:sz w:val="16"/>
        </w:rPr>
      </w:pPr>
      <w:r w:rsidRPr="00EB2BD8">
        <w:rPr>
          <w:rFonts w:ascii="Arial"/>
          <w:w w:val="105"/>
          <w:sz w:val="16"/>
        </w:rPr>
        <w:t>Security</w:t>
      </w:r>
      <w:r w:rsidRPr="00EB2BD8">
        <w:rPr>
          <w:rFonts w:ascii="Arial"/>
          <w:spacing w:val="-12"/>
          <w:w w:val="105"/>
          <w:sz w:val="16"/>
        </w:rPr>
        <w:t xml:space="preserve"> </w:t>
      </w:r>
      <w:r w:rsidRPr="00EB2BD8">
        <w:rPr>
          <w:rFonts w:ascii="Arial"/>
          <w:spacing w:val="-2"/>
          <w:w w:val="105"/>
          <w:sz w:val="16"/>
        </w:rPr>
        <w:t>deposits</w:t>
      </w:r>
    </w:p>
    <w:p w14:paraId="2390DD82" w14:textId="77777777" w:rsidR="00084F36" w:rsidRPr="00EB2BD8" w:rsidRDefault="00EB2BD8">
      <w:pPr>
        <w:pStyle w:val="ListParagraph"/>
        <w:numPr>
          <w:ilvl w:val="1"/>
          <w:numId w:val="29"/>
        </w:numPr>
        <w:tabs>
          <w:tab w:val="left" w:pos="1773"/>
        </w:tabs>
        <w:spacing w:before="37"/>
        <w:ind w:hanging="668"/>
        <w:rPr>
          <w:rFonts w:ascii="Arial"/>
          <w:sz w:val="16"/>
        </w:rPr>
      </w:pPr>
      <w:r w:rsidRPr="00EB2BD8">
        <w:rPr>
          <w:rFonts w:ascii="Arial"/>
          <w:sz w:val="16"/>
        </w:rPr>
        <w:t>Contributions</w:t>
      </w:r>
      <w:r w:rsidRPr="00EB2BD8">
        <w:rPr>
          <w:rFonts w:ascii="Arial"/>
          <w:spacing w:val="11"/>
          <w:sz w:val="16"/>
        </w:rPr>
        <w:t xml:space="preserve"> </w:t>
      </w:r>
      <w:r w:rsidRPr="00EB2BD8">
        <w:rPr>
          <w:rFonts w:ascii="Arial"/>
          <w:sz w:val="16"/>
        </w:rPr>
        <w:t>by</w:t>
      </w:r>
      <w:r w:rsidRPr="00EB2BD8">
        <w:rPr>
          <w:rFonts w:ascii="Arial"/>
          <w:spacing w:val="8"/>
          <w:sz w:val="16"/>
        </w:rPr>
        <w:t xml:space="preserve"> </w:t>
      </w:r>
      <w:r w:rsidRPr="00EB2BD8">
        <w:rPr>
          <w:rFonts w:ascii="Arial"/>
          <w:spacing w:val="-2"/>
          <w:sz w:val="16"/>
        </w:rPr>
        <w:t>owners</w:t>
      </w:r>
    </w:p>
    <w:p w14:paraId="078E815F" w14:textId="77777777" w:rsidR="00084F36" w:rsidRPr="00EB2BD8" w:rsidRDefault="00EB2BD8">
      <w:pPr>
        <w:pStyle w:val="ListParagraph"/>
        <w:numPr>
          <w:ilvl w:val="1"/>
          <w:numId w:val="29"/>
        </w:numPr>
        <w:tabs>
          <w:tab w:val="left" w:pos="1773"/>
        </w:tabs>
        <w:spacing w:before="37"/>
        <w:ind w:hanging="668"/>
        <w:rPr>
          <w:rFonts w:ascii="Arial"/>
          <w:sz w:val="16"/>
        </w:rPr>
      </w:pPr>
      <w:r w:rsidRPr="00EB2BD8">
        <w:rPr>
          <w:rFonts w:ascii="Arial"/>
          <w:sz w:val="16"/>
        </w:rPr>
        <w:t>Glossary</w:t>
      </w:r>
      <w:r w:rsidRPr="00EB2BD8">
        <w:rPr>
          <w:rFonts w:ascii="Arial"/>
          <w:spacing w:val="6"/>
          <w:sz w:val="16"/>
        </w:rPr>
        <w:t xml:space="preserve"> </w:t>
      </w:r>
      <w:r w:rsidRPr="00EB2BD8">
        <w:rPr>
          <w:rFonts w:ascii="Arial"/>
          <w:sz w:val="16"/>
        </w:rPr>
        <w:t>of</w:t>
      </w:r>
      <w:r w:rsidRPr="00EB2BD8">
        <w:rPr>
          <w:rFonts w:ascii="Arial"/>
          <w:spacing w:val="10"/>
          <w:sz w:val="16"/>
        </w:rPr>
        <w:t xml:space="preserve"> </w:t>
      </w:r>
      <w:r w:rsidRPr="00EB2BD8">
        <w:rPr>
          <w:rFonts w:ascii="Arial"/>
          <w:sz w:val="16"/>
        </w:rPr>
        <w:t>technical</w:t>
      </w:r>
      <w:r w:rsidRPr="00EB2BD8">
        <w:rPr>
          <w:rFonts w:ascii="Arial"/>
          <w:spacing w:val="8"/>
          <w:sz w:val="16"/>
        </w:rPr>
        <w:t xml:space="preserve"> </w:t>
      </w:r>
      <w:r w:rsidRPr="00EB2BD8">
        <w:rPr>
          <w:rFonts w:ascii="Arial"/>
          <w:spacing w:val="-4"/>
          <w:sz w:val="16"/>
        </w:rPr>
        <w:t>terms</w:t>
      </w:r>
    </w:p>
    <w:p w14:paraId="0105D562" w14:textId="77777777" w:rsidR="00084F36" w:rsidRPr="00EB2BD8" w:rsidRDefault="00EB2BD8">
      <w:pPr>
        <w:pStyle w:val="ListParagraph"/>
        <w:numPr>
          <w:ilvl w:val="1"/>
          <w:numId w:val="29"/>
        </w:numPr>
        <w:tabs>
          <w:tab w:val="left" w:pos="1773"/>
        </w:tabs>
        <w:spacing w:before="37"/>
        <w:rPr>
          <w:rFonts w:ascii="Arial"/>
          <w:sz w:val="16"/>
        </w:rPr>
      </w:pPr>
      <w:r w:rsidRPr="00EB2BD8">
        <w:rPr>
          <w:rFonts w:ascii="Arial"/>
          <w:sz w:val="16"/>
        </w:rPr>
        <w:t>Style</w:t>
      </w:r>
      <w:r w:rsidRPr="00EB2BD8">
        <w:rPr>
          <w:rFonts w:ascii="Arial"/>
          <w:spacing w:val="2"/>
          <w:sz w:val="16"/>
        </w:rPr>
        <w:t xml:space="preserve"> </w:t>
      </w:r>
      <w:r w:rsidRPr="00EB2BD8">
        <w:rPr>
          <w:rFonts w:ascii="Arial"/>
          <w:spacing w:val="-2"/>
          <w:sz w:val="16"/>
        </w:rPr>
        <w:t>conventions</w:t>
      </w:r>
    </w:p>
    <w:p w14:paraId="57D7C919" w14:textId="77777777" w:rsidR="00084F36" w:rsidRPr="00EB2BD8" w:rsidRDefault="00EB2BD8">
      <w:pPr>
        <w:pStyle w:val="ListParagraph"/>
        <w:numPr>
          <w:ilvl w:val="1"/>
          <w:numId w:val="29"/>
        </w:numPr>
        <w:tabs>
          <w:tab w:val="left" w:pos="1755"/>
        </w:tabs>
        <w:spacing w:before="38"/>
        <w:ind w:left="1755" w:hanging="651"/>
        <w:rPr>
          <w:rFonts w:ascii="Arial"/>
          <w:sz w:val="16"/>
        </w:rPr>
      </w:pPr>
      <w:r w:rsidRPr="00EB2BD8">
        <w:rPr>
          <w:rFonts w:ascii="Arial"/>
          <w:sz w:val="16"/>
        </w:rPr>
        <w:t>Other</w:t>
      </w:r>
      <w:r w:rsidRPr="00EB2BD8">
        <w:rPr>
          <w:rFonts w:ascii="Arial"/>
          <w:spacing w:val="11"/>
          <w:sz w:val="16"/>
        </w:rPr>
        <w:t xml:space="preserve"> </w:t>
      </w:r>
      <w:r w:rsidRPr="00EB2BD8">
        <w:rPr>
          <w:rFonts w:ascii="Arial"/>
          <w:sz w:val="16"/>
        </w:rPr>
        <w:t>accounting</w:t>
      </w:r>
      <w:r w:rsidRPr="00EB2BD8">
        <w:rPr>
          <w:rFonts w:ascii="Arial"/>
          <w:spacing w:val="10"/>
          <w:sz w:val="16"/>
        </w:rPr>
        <w:t xml:space="preserve"> </w:t>
      </w:r>
      <w:r w:rsidRPr="00EB2BD8">
        <w:rPr>
          <w:rFonts w:ascii="Arial"/>
          <w:spacing w:val="-2"/>
          <w:sz w:val="16"/>
        </w:rPr>
        <w:t>policies</w:t>
      </w:r>
    </w:p>
    <w:p w14:paraId="0C4A9C47" w14:textId="77777777" w:rsidR="00084F36" w:rsidRPr="00EB2BD8" w:rsidRDefault="00084F36">
      <w:pPr>
        <w:pStyle w:val="BodyText"/>
        <w:rPr>
          <w:rFonts w:ascii="Arial"/>
        </w:rPr>
      </w:pPr>
    </w:p>
    <w:p w14:paraId="255A06B8" w14:textId="77777777" w:rsidR="00084F36" w:rsidRPr="00EB2BD8" w:rsidRDefault="00084F36">
      <w:pPr>
        <w:pStyle w:val="BodyText"/>
        <w:spacing w:before="8"/>
        <w:rPr>
          <w:rFonts w:ascii="Arial"/>
        </w:rPr>
      </w:pPr>
    </w:p>
    <w:p w14:paraId="09C079CB" w14:textId="2B71CD5B" w:rsidR="00084F36" w:rsidRPr="00EB2BD8" w:rsidRDefault="00181224" w:rsidP="00181224">
      <w:pPr>
        <w:pStyle w:val="Heading2"/>
        <w:ind w:firstLine="254"/>
      </w:pPr>
      <w:bookmarkStart w:id="363" w:name="_Toc150762665"/>
      <w:r>
        <w:t>8.1 O</w:t>
      </w:r>
      <w:r w:rsidRPr="00EB2BD8">
        <w:t>ther</w:t>
      </w:r>
      <w:r w:rsidRPr="00EB2BD8">
        <w:rPr>
          <w:spacing w:val="6"/>
        </w:rPr>
        <w:t xml:space="preserve"> </w:t>
      </w:r>
      <w:r w:rsidRPr="00EB2BD8">
        <w:t>economic</w:t>
      </w:r>
      <w:r w:rsidRPr="00EB2BD8">
        <w:rPr>
          <w:spacing w:val="7"/>
        </w:rPr>
        <w:t xml:space="preserve"> </w:t>
      </w:r>
      <w:r w:rsidRPr="00EB2BD8">
        <w:t>flows</w:t>
      </w:r>
      <w:r w:rsidRPr="00EB2BD8">
        <w:rPr>
          <w:spacing w:val="6"/>
        </w:rPr>
        <w:t xml:space="preserve"> </w:t>
      </w:r>
      <w:r w:rsidRPr="00EB2BD8">
        <w:t>included</w:t>
      </w:r>
      <w:r w:rsidRPr="00EB2BD8">
        <w:rPr>
          <w:spacing w:val="6"/>
        </w:rPr>
        <w:t xml:space="preserve"> </w:t>
      </w:r>
      <w:r w:rsidRPr="00EB2BD8">
        <w:t>in</w:t>
      </w:r>
      <w:r w:rsidRPr="00EB2BD8">
        <w:rPr>
          <w:spacing w:val="7"/>
        </w:rPr>
        <w:t xml:space="preserve"> </w:t>
      </w:r>
      <w:r w:rsidRPr="00EB2BD8">
        <w:t>net</w:t>
      </w:r>
      <w:r w:rsidRPr="00EB2BD8">
        <w:rPr>
          <w:spacing w:val="7"/>
        </w:rPr>
        <w:t xml:space="preserve"> </w:t>
      </w:r>
      <w:r w:rsidRPr="00EB2BD8">
        <w:rPr>
          <w:spacing w:val="-2"/>
        </w:rPr>
        <w:t>results</w:t>
      </w:r>
      <w:bookmarkEnd w:id="363"/>
    </w:p>
    <w:p w14:paraId="380D1605" w14:textId="77777777" w:rsidR="00084F36" w:rsidRPr="00EB2BD8" w:rsidRDefault="00EB2BD8">
      <w:pPr>
        <w:spacing w:before="174" w:line="288" w:lineRule="auto"/>
        <w:ind w:left="1105" w:right="2121"/>
        <w:rPr>
          <w:rFonts w:ascii="Arial"/>
          <w:sz w:val="16"/>
        </w:rPr>
      </w:pPr>
      <w:r w:rsidRPr="00EB2BD8">
        <w:rPr>
          <w:rFonts w:ascii="Arial"/>
          <w:w w:val="105"/>
          <w:sz w:val="16"/>
        </w:rPr>
        <w:t>Other</w:t>
      </w:r>
      <w:r w:rsidRPr="00EB2BD8">
        <w:rPr>
          <w:rFonts w:ascii="Arial"/>
          <w:spacing w:val="-4"/>
          <w:w w:val="105"/>
          <w:sz w:val="16"/>
        </w:rPr>
        <w:t xml:space="preserve"> </w:t>
      </w:r>
      <w:r w:rsidRPr="00EB2BD8">
        <w:rPr>
          <w:rFonts w:ascii="Arial"/>
          <w:w w:val="105"/>
          <w:sz w:val="16"/>
        </w:rPr>
        <w:t>economic</w:t>
      </w:r>
      <w:r w:rsidRPr="00EB2BD8">
        <w:rPr>
          <w:rFonts w:ascii="Arial"/>
          <w:spacing w:val="-4"/>
          <w:w w:val="105"/>
          <w:sz w:val="16"/>
        </w:rPr>
        <w:t xml:space="preserve"> </w:t>
      </w:r>
      <w:r w:rsidRPr="00EB2BD8">
        <w:rPr>
          <w:rFonts w:ascii="Arial"/>
          <w:w w:val="105"/>
          <w:sz w:val="16"/>
        </w:rPr>
        <w:t>flows</w:t>
      </w:r>
      <w:r w:rsidRPr="00EB2BD8">
        <w:rPr>
          <w:rFonts w:ascii="Arial"/>
          <w:spacing w:val="-4"/>
          <w:w w:val="105"/>
          <w:sz w:val="16"/>
        </w:rPr>
        <w:t xml:space="preserve"> </w:t>
      </w:r>
      <w:r w:rsidRPr="00EB2BD8">
        <w:rPr>
          <w:rFonts w:ascii="Arial"/>
          <w:w w:val="105"/>
          <w:sz w:val="16"/>
        </w:rPr>
        <w:t>are</w:t>
      </w:r>
      <w:r w:rsidRPr="00EB2BD8">
        <w:rPr>
          <w:rFonts w:ascii="Arial"/>
          <w:spacing w:val="-5"/>
          <w:w w:val="105"/>
          <w:sz w:val="16"/>
        </w:rPr>
        <w:t xml:space="preserve"> </w:t>
      </w:r>
      <w:r w:rsidRPr="00EB2BD8">
        <w:rPr>
          <w:rFonts w:ascii="Arial"/>
          <w:w w:val="105"/>
          <w:sz w:val="16"/>
        </w:rPr>
        <w:t>changes</w:t>
      </w:r>
      <w:r w:rsidRPr="00EB2BD8">
        <w:rPr>
          <w:rFonts w:ascii="Arial"/>
          <w:spacing w:val="-4"/>
          <w:w w:val="105"/>
          <w:sz w:val="16"/>
        </w:rPr>
        <w:t xml:space="preserve"> </w:t>
      </w:r>
      <w:r w:rsidRPr="00EB2BD8">
        <w:rPr>
          <w:rFonts w:ascii="Arial"/>
          <w:w w:val="105"/>
          <w:sz w:val="16"/>
        </w:rPr>
        <w:t>in</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w w:val="105"/>
          <w:sz w:val="16"/>
        </w:rPr>
        <w:t>volume</w:t>
      </w:r>
      <w:r w:rsidRPr="00EB2BD8">
        <w:rPr>
          <w:rFonts w:ascii="Arial"/>
          <w:spacing w:val="-5"/>
          <w:w w:val="105"/>
          <w:sz w:val="16"/>
        </w:rPr>
        <w:t xml:space="preserve"> </w:t>
      </w:r>
      <w:r w:rsidRPr="00EB2BD8">
        <w:rPr>
          <w:rFonts w:ascii="Arial"/>
          <w:w w:val="105"/>
          <w:sz w:val="16"/>
        </w:rPr>
        <w:t>or</w:t>
      </w:r>
      <w:r w:rsidRPr="00EB2BD8">
        <w:rPr>
          <w:rFonts w:ascii="Arial"/>
          <w:spacing w:val="-4"/>
          <w:w w:val="105"/>
          <w:sz w:val="16"/>
        </w:rPr>
        <w:t xml:space="preserve"> </w:t>
      </w:r>
      <w:r w:rsidRPr="00EB2BD8">
        <w:rPr>
          <w:rFonts w:ascii="Arial"/>
          <w:w w:val="105"/>
          <w:sz w:val="16"/>
        </w:rPr>
        <w:t>value</w:t>
      </w:r>
      <w:r w:rsidRPr="00EB2BD8">
        <w:rPr>
          <w:rFonts w:ascii="Arial"/>
          <w:spacing w:val="-5"/>
          <w:w w:val="105"/>
          <w:sz w:val="16"/>
        </w:rPr>
        <w:t xml:space="preserve"> </w:t>
      </w:r>
      <w:r w:rsidRPr="00EB2BD8">
        <w:rPr>
          <w:rFonts w:ascii="Arial"/>
          <w:w w:val="105"/>
          <w:sz w:val="16"/>
        </w:rPr>
        <w:t>of</w:t>
      </w:r>
      <w:r w:rsidRPr="00EB2BD8">
        <w:rPr>
          <w:rFonts w:ascii="Arial"/>
          <w:spacing w:val="-4"/>
          <w:w w:val="105"/>
          <w:sz w:val="16"/>
        </w:rPr>
        <w:t xml:space="preserve"> </w:t>
      </w:r>
      <w:r w:rsidRPr="00EB2BD8">
        <w:rPr>
          <w:rFonts w:ascii="Arial"/>
          <w:w w:val="105"/>
          <w:sz w:val="16"/>
        </w:rPr>
        <w:t>an</w:t>
      </w:r>
      <w:r w:rsidRPr="00EB2BD8">
        <w:rPr>
          <w:rFonts w:ascii="Arial"/>
          <w:spacing w:val="-5"/>
          <w:w w:val="105"/>
          <w:sz w:val="16"/>
        </w:rPr>
        <w:t xml:space="preserve"> </w:t>
      </w:r>
      <w:r w:rsidRPr="00EB2BD8">
        <w:rPr>
          <w:rFonts w:ascii="Arial"/>
          <w:w w:val="105"/>
          <w:sz w:val="16"/>
        </w:rPr>
        <w:t>asset</w:t>
      </w:r>
      <w:r w:rsidRPr="00EB2BD8">
        <w:rPr>
          <w:rFonts w:ascii="Arial"/>
          <w:spacing w:val="-4"/>
          <w:w w:val="105"/>
          <w:sz w:val="16"/>
        </w:rPr>
        <w:t xml:space="preserve"> </w:t>
      </w:r>
      <w:r w:rsidRPr="00EB2BD8">
        <w:rPr>
          <w:rFonts w:ascii="Arial"/>
          <w:w w:val="105"/>
          <w:sz w:val="16"/>
        </w:rPr>
        <w:t>or</w:t>
      </w:r>
      <w:r w:rsidRPr="00EB2BD8">
        <w:rPr>
          <w:rFonts w:ascii="Arial"/>
          <w:spacing w:val="-4"/>
          <w:w w:val="105"/>
          <w:sz w:val="16"/>
        </w:rPr>
        <w:t xml:space="preserve"> </w:t>
      </w:r>
      <w:r w:rsidRPr="00EB2BD8">
        <w:rPr>
          <w:rFonts w:ascii="Arial"/>
          <w:w w:val="105"/>
          <w:sz w:val="16"/>
        </w:rPr>
        <w:t>liability</w:t>
      </w:r>
      <w:r w:rsidRPr="00EB2BD8">
        <w:rPr>
          <w:rFonts w:ascii="Arial"/>
          <w:spacing w:val="-4"/>
          <w:w w:val="105"/>
          <w:sz w:val="16"/>
        </w:rPr>
        <w:t xml:space="preserve"> </w:t>
      </w:r>
      <w:r w:rsidRPr="00EB2BD8">
        <w:rPr>
          <w:rFonts w:ascii="Arial"/>
          <w:w w:val="105"/>
          <w:sz w:val="16"/>
        </w:rPr>
        <w:t>that</w:t>
      </w:r>
      <w:r w:rsidRPr="00EB2BD8">
        <w:rPr>
          <w:rFonts w:ascii="Arial"/>
          <w:spacing w:val="-4"/>
          <w:w w:val="105"/>
          <w:sz w:val="16"/>
        </w:rPr>
        <w:t xml:space="preserve"> </w:t>
      </w:r>
      <w:r w:rsidRPr="00EB2BD8">
        <w:rPr>
          <w:rFonts w:ascii="Arial"/>
          <w:w w:val="105"/>
          <w:sz w:val="16"/>
        </w:rPr>
        <w:t>do</w:t>
      </w:r>
      <w:r w:rsidRPr="00EB2BD8">
        <w:rPr>
          <w:rFonts w:ascii="Arial"/>
          <w:spacing w:val="-4"/>
          <w:w w:val="105"/>
          <w:sz w:val="16"/>
        </w:rPr>
        <w:t xml:space="preserve"> </w:t>
      </w:r>
      <w:r w:rsidRPr="00EB2BD8">
        <w:rPr>
          <w:rFonts w:ascii="Arial"/>
          <w:w w:val="105"/>
          <w:sz w:val="16"/>
        </w:rPr>
        <w:t>not</w:t>
      </w:r>
      <w:r w:rsidRPr="00EB2BD8">
        <w:rPr>
          <w:rFonts w:ascii="Arial"/>
          <w:spacing w:val="-4"/>
          <w:w w:val="105"/>
          <w:sz w:val="16"/>
        </w:rPr>
        <w:t xml:space="preserve"> </w:t>
      </w:r>
      <w:r w:rsidRPr="00EB2BD8">
        <w:rPr>
          <w:rFonts w:ascii="Arial"/>
          <w:w w:val="105"/>
          <w:sz w:val="16"/>
        </w:rPr>
        <w:t>result</w:t>
      </w:r>
      <w:r w:rsidRPr="00EB2BD8">
        <w:rPr>
          <w:rFonts w:ascii="Arial"/>
          <w:spacing w:val="-4"/>
          <w:w w:val="105"/>
          <w:sz w:val="16"/>
        </w:rPr>
        <w:t xml:space="preserve"> </w:t>
      </w:r>
      <w:r w:rsidRPr="00EB2BD8">
        <w:rPr>
          <w:rFonts w:ascii="Arial"/>
          <w:w w:val="105"/>
          <w:sz w:val="16"/>
        </w:rPr>
        <w:t>from</w:t>
      </w:r>
      <w:r w:rsidRPr="00EB2BD8">
        <w:rPr>
          <w:rFonts w:ascii="Arial"/>
          <w:spacing w:val="-4"/>
          <w:w w:val="105"/>
          <w:sz w:val="16"/>
        </w:rPr>
        <w:t xml:space="preserve"> </w:t>
      </w:r>
      <w:r w:rsidRPr="00EB2BD8">
        <w:rPr>
          <w:rFonts w:ascii="Arial"/>
          <w:w w:val="105"/>
          <w:sz w:val="16"/>
        </w:rPr>
        <w:t>transactions. Other gains/(losses) from other economic flows include the gains or losses from:</w:t>
      </w:r>
    </w:p>
    <w:p w14:paraId="69129D46" w14:textId="77777777" w:rsidR="00084F36" w:rsidRPr="00EB2BD8" w:rsidRDefault="00084F36">
      <w:pPr>
        <w:pStyle w:val="BodyText"/>
        <w:spacing w:before="3"/>
        <w:rPr>
          <w:rFonts w:ascii="Arial"/>
          <w:sz w:val="19"/>
        </w:rPr>
      </w:pPr>
    </w:p>
    <w:p w14:paraId="0A287002" w14:textId="77777777" w:rsidR="00084F36" w:rsidRPr="00EB2BD8" w:rsidRDefault="00EB2BD8">
      <w:pPr>
        <w:pStyle w:val="ListParagraph"/>
        <w:numPr>
          <w:ilvl w:val="2"/>
          <w:numId w:val="28"/>
        </w:numPr>
        <w:tabs>
          <w:tab w:val="left" w:pos="1771"/>
          <w:tab w:val="left" w:pos="1773"/>
        </w:tabs>
        <w:spacing w:line="285" w:lineRule="auto"/>
        <w:ind w:left="1773" w:right="2471" w:hanging="335"/>
        <w:jc w:val="both"/>
        <w:rPr>
          <w:rFonts w:ascii="Symbol" w:hAnsi="Symbol"/>
          <w:sz w:val="16"/>
        </w:rPr>
      </w:pP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w w:val="105"/>
          <w:sz w:val="16"/>
        </w:rPr>
        <w:t>revaluation</w:t>
      </w:r>
      <w:r w:rsidRPr="00EB2BD8">
        <w:rPr>
          <w:rFonts w:ascii="Arial" w:hAnsi="Arial"/>
          <w:spacing w:val="-4"/>
          <w:w w:val="105"/>
          <w:sz w:val="16"/>
        </w:rPr>
        <w:t xml:space="preserve"> </w:t>
      </w:r>
      <w:r w:rsidRPr="00EB2BD8">
        <w:rPr>
          <w:rFonts w:ascii="Arial" w:hAnsi="Arial"/>
          <w:w w:val="105"/>
          <w:sz w:val="16"/>
        </w:rPr>
        <w:t>of</w:t>
      </w:r>
      <w:r w:rsidRPr="00EB2BD8">
        <w:rPr>
          <w:rFonts w:ascii="Arial" w:hAnsi="Arial"/>
          <w:spacing w:val="-4"/>
          <w:w w:val="105"/>
          <w:sz w:val="16"/>
        </w:rPr>
        <w:t xml:space="preserve"> </w:t>
      </w: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w w:val="105"/>
          <w:sz w:val="16"/>
        </w:rPr>
        <w:t>present</w:t>
      </w:r>
      <w:r w:rsidRPr="00EB2BD8">
        <w:rPr>
          <w:rFonts w:ascii="Arial" w:hAnsi="Arial"/>
          <w:spacing w:val="-3"/>
          <w:w w:val="105"/>
          <w:sz w:val="16"/>
        </w:rPr>
        <w:t xml:space="preserve"> </w:t>
      </w:r>
      <w:r w:rsidRPr="00EB2BD8">
        <w:rPr>
          <w:rFonts w:ascii="Arial" w:hAnsi="Arial"/>
          <w:w w:val="105"/>
          <w:sz w:val="16"/>
        </w:rPr>
        <w:t>value</w:t>
      </w:r>
      <w:r w:rsidRPr="00EB2BD8">
        <w:rPr>
          <w:rFonts w:ascii="Arial" w:hAnsi="Arial"/>
          <w:spacing w:val="-5"/>
          <w:w w:val="105"/>
          <w:sz w:val="16"/>
        </w:rPr>
        <w:t xml:space="preserve"> </w:t>
      </w:r>
      <w:r w:rsidRPr="00EB2BD8">
        <w:rPr>
          <w:rFonts w:ascii="Arial" w:hAnsi="Arial"/>
          <w:w w:val="105"/>
          <w:sz w:val="16"/>
        </w:rPr>
        <w:t>of</w:t>
      </w:r>
      <w:r w:rsidRPr="00EB2BD8">
        <w:rPr>
          <w:rFonts w:ascii="Arial" w:hAnsi="Arial"/>
          <w:spacing w:val="-4"/>
          <w:w w:val="105"/>
          <w:sz w:val="16"/>
        </w:rPr>
        <w:t xml:space="preserve"> </w:t>
      </w: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w w:val="105"/>
          <w:sz w:val="16"/>
        </w:rPr>
        <w:t>long</w:t>
      </w:r>
      <w:r w:rsidRPr="00EB2BD8">
        <w:rPr>
          <w:rFonts w:ascii="Arial" w:hAnsi="Arial"/>
          <w:spacing w:val="-5"/>
          <w:w w:val="105"/>
          <w:sz w:val="16"/>
        </w:rPr>
        <w:t xml:space="preserve"> </w:t>
      </w:r>
      <w:r w:rsidRPr="00EB2BD8">
        <w:rPr>
          <w:rFonts w:ascii="Arial" w:hAnsi="Arial"/>
          <w:w w:val="105"/>
          <w:sz w:val="16"/>
        </w:rPr>
        <w:t>service</w:t>
      </w:r>
      <w:r w:rsidRPr="00EB2BD8">
        <w:rPr>
          <w:rFonts w:ascii="Arial" w:hAnsi="Arial"/>
          <w:spacing w:val="-5"/>
          <w:w w:val="105"/>
          <w:sz w:val="16"/>
        </w:rPr>
        <w:t xml:space="preserve"> </w:t>
      </w:r>
      <w:r w:rsidRPr="00EB2BD8">
        <w:rPr>
          <w:rFonts w:ascii="Arial" w:hAnsi="Arial"/>
          <w:w w:val="105"/>
          <w:sz w:val="16"/>
        </w:rPr>
        <w:t>leave</w:t>
      </w:r>
      <w:r w:rsidRPr="00EB2BD8">
        <w:rPr>
          <w:rFonts w:ascii="Arial" w:hAnsi="Arial"/>
          <w:spacing w:val="-4"/>
          <w:w w:val="105"/>
          <w:sz w:val="16"/>
        </w:rPr>
        <w:t xml:space="preserve"> </w:t>
      </w:r>
      <w:r w:rsidRPr="00EB2BD8">
        <w:rPr>
          <w:rFonts w:ascii="Arial" w:hAnsi="Arial"/>
          <w:w w:val="105"/>
          <w:sz w:val="16"/>
        </w:rPr>
        <w:t>liability</w:t>
      </w:r>
      <w:r w:rsidRPr="00EB2BD8">
        <w:rPr>
          <w:rFonts w:ascii="Arial" w:hAnsi="Arial"/>
          <w:spacing w:val="-4"/>
          <w:w w:val="105"/>
          <w:sz w:val="16"/>
        </w:rPr>
        <w:t xml:space="preserve"> </w:t>
      </w:r>
      <w:r w:rsidRPr="00EB2BD8">
        <w:rPr>
          <w:rFonts w:ascii="Arial" w:hAnsi="Arial"/>
          <w:w w:val="105"/>
          <w:sz w:val="16"/>
        </w:rPr>
        <w:t>due</w:t>
      </w:r>
      <w:r w:rsidRPr="00EB2BD8">
        <w:rPr>
          <w:rFonts w:ascii="Arial" w:hAnsi="Arial"/>
          <w:spacing w:val="-5"/>
          <w:w w:val="105"/>
          <w:sz w:val="16"/>
        </w:rPr>
        <w:t xml:space="preserve"> </w:t>
      </w:r>
      <w:r w:rsidRPr="00EB2BD8">
        <w:rPr>
          <w:rFonts w:ascii="Arial" w:hAnsi="Arial"/>
          <w:w w:val="105"/>
          <w:sz w:val="16"/>
        </w:rPr>
        <w:t>to</w:t>
      </w:r>
      <w:r w:rsidRPr="00EB2BD8">
        <w:rPr>
          <w:rFonts w:ascii="Arial" w:hAnsi="Arial"/>
          <w:spacing w:val="-5"/>
          <w:w w:val="105"/>
          <w:sz w:val="16"/>
        </w:rPr>
        <w:t xml:space="preserve"> </w:t>
      </w:r>
      <w:r w:rsidRPr="00EB2BD8">
        <w:rPr>
          <w:rFonts w:ascii="Arial" w:hAnsi="Arial"/>
          <w:w w:val="105"/>
          <w:sz w:val="16"/>
        </w:rPr>
        <w:t>changes</w:t>
      </w:r>
      <w:r w:rsidRPr="00EB2BD8">
        <w:rPr>
          <w:rFonts w:ascii="Arial" w:hAnsi="Arial"/>
          <w:spacing w:val="-4"/>
          <w:w w:val="105"/>
          <w:sz w:val="16"/>
        </w:rPr>
        <w:t xml:space="preserve"> </w:t>
      </w:r>
      <w:r w:rsidRPr="00EB2BD8">
        <w:rPr>
          <w:rFonts w:ascii="Arial" w:hAnsi="Arial"/>
          <w:w w:val="105"/>
          <w:sz w:val="16"/>
        </w:rPr>
        <w:t>in</w:t>
      </w:r>
      <w:r w:rsidRPr="00EB2BD8">
        <w:rPr>
          <w:rFonts w:ascii="Arial" w:hAnsi="Arial"/>
          <w:spacing w:val="-5"/>
          <w:w w:val="105"/>
          <w:sz w:val="16"/>
        </w:rPr>
        <w:t xml:space="preserve"> </w:t>
      </w:r>
      <w:r w:rsidRPr="00EB2BD8">
        <w:rPr>
          <w:rFonts w:ascii="Arial" w:hAnsi="Arial"/>
          <w:w w:val="105"/>
          <w:sz w:val="16"/>
        </w:rPr>
        <w:t>the</w:t>
      </w:r>
      <w:r w:rsidRPr="00EB2BD8">
        <w:rPr>
          <w:rFonts w:ascii="Arial" w:hAnsi="Arial"/>
          <w:spacing w:val="-5"/>
          <w:w w:val="105"/>
          <w:sz w:val="16"/>
        </w:rPr>
        <w:t xml:space="preserve"> </w:t>
      </w:r>
      <w:r w:rsidRPr="00EB2BD8">
        <w:rPr>
          <w:rFonts w:ascii="Arial" w:hAnsi="Arial"/>
          <w:w w:val="105"/>
          <w:sz w:val="16"/>
        </w:rPr>
        <w:t>bond</w:t>
      </w:r>
      <w:r w:rsidRPr="00EB2BD8">
        <w:rPr>
          <w:rFonts w:ascii="Arial" w:hAnsi="Arial"/>
          <w:spacing w:val="-5"/>
          <w:w w:val="105"/>
          <w:sz w:val="16"/>
        </w:rPr>
        <w:t xml:space="preserve"> </w:t>
      </w:r>
      <w:r w:rsidRPr="00EB2BD8">
        <w:rPr>
          <w:rFonts w:ascii="Arial" w:hAnsi="Arial"/>
          <w:w w:val="105"/>
          <w:sz w:val="16"/>
        </w:rPr>
        <w:t>interest rates; and</w:t>
      </w:r>
    </w:p>
    <w:p w14:paraId="4C5DAD94" w14:textId="77777777" w:rsidR="00084F36" w:rsidRPr="00EB2BD8" w:rsidRDefault="00EB2BD8">
      <w:pPr>
        <w:pStyle w:val="ListParagraph"/>
        <w:numPr>
          <w:ilvl w:val="2"/>
          <w:numId w:val="28"/>
        </w:numPr>
        <w:tabs>
          <w:tab w:val="left" w:pos="1771"/>
          <w:tab w:val="left" w:pos="1773"/>
        </w:tabs>
        <w:spacing w:before="1" w:line="285" w:lineRule="auto"/>
        <w:ind w:left="1773" w:right="2164" w:hanging="335"/>
        <w:jc w:val="both"/>
        <w:rPr>
          <w:rFonts w:ascii="Symbol" w:hAnsi="Symbol"/>
          <w:sz w:val="16"/>
        </w:rPr>
      </w:pPr>
      <w:r w:rsidRPr="00EB2BD8">
        <w:rPr>
          <w:rFonts w:ascii="Arial" w:hAnsi="Arial"/>
          <w:w w:val="105"/>
          <w:sz w:val="16"/>
        </w:rPr>
        <w:t>reclassified</w:t>
      </w:r>
      <w:r w:rsidRPr="00EB2BD8">
        <w:rPr>
          <w:rFonts w:ascii="Arial" w:hAnsi="Arial"/>
          <w:spacing w:val="-6"/>
          <w:w w:val="105"/>
          <w:sz w:val="16"/>
        </w:rPr>
        <w:t xml:space="preserve"> </w:t>
      </w:r>
      <w:r w:rsidRPr="00EB2BD8">
        <w:rPr>
          <w:rFonts w:ascii="Arial" w:hAnsi="Arial"/>
          <w:w w:val="105"/>
          <w:sz w:val="16"/>
        </w:rPr>
        <w:t>amounts</w:t>
      </w:r>
      <w:r w:rsidRPr="00EB2BD8">
        <w:rPr>
          <w:rFonts w:ascii="Arial" w:hAnsi="Arial"/>
          <w:spacing w:val="-6"/>
          <w:w w:val="105"/>
          <w:sz w:val="16"/>
        </w:rPr>
        <w:t xml:space="preserve"> </w:t>
      </w:r>
      <w:r w:rsidRPr="00EB2BD8">
        <w:rPr>
          <w:rFonts w:ascii="Arial" w:hAnsi="Arial"/>
          <w:w w:val="105"/>
          <w:sz w:val="16"/>
        </w:rPr>
        <w:t>relating</w:t>
      </w:r>
      <w:r w:rsidRPr="00EB2BD8">
        <w:rPr>
          <w:rFonts w:ascii="Arial" w:hAnsi="Arial"/>
          <w:spacing w:val="-6"/>
          <w:w w:val="105"/>
          <w:sz w:val="16"/>
        </w:rPr>
        <w:t xml:space="preserve"> </w:t>
      </w:r>
      <w:r w:rsidRPr="00EB2BD8">
        <w:rPr>
          <w:rFonts w:ascii="Arial" w:hAnsi="Arial"/>
          <w:w w:val="105"/>
          <w:sz w:val="16"/>
        </w:rPr>
        <w:t>to</w:t>
      </w:r>
      <w:r w:rsidRPr="00EB2BD8">
        <w:rPr>
          <w:rFonts w:ascii="Arial" w:hAnsi="Arial"/>
          <w:spacing w:val="-6"/>
          <w:w w:val="105"/>
          <w:sz w:val="16"/>
        </w:rPr>
        <w:t xml:space="preserve"> </w:t>
      </w:r>
      <w:r w:rsidRPr="00EB2BD8">
        <w:rPr>
          <w:rFonts w:ascii="Arial" w:hAnsi="Arial"/>
          <w:w w:val="105"/>
          <w:sz w:val="16"/>
        </w:rPr>
        <w:t>available-for-sale</w:t>
      </w:r>
      <w:r w:rsidRPr="00EB2BD8">
        <w:rPr>
          <w:rFonts w:ascii="Arial" w:hAnsi="Arial"/>
          <w:spacing w:val="-6"/>
          <w:w w:val="105"/>
          <w:sz w:val="16"/>
        </w:rPr>
        <w:t xml:space="preserve"> </w:t>
      </w:r>
      <w:r w:rsidRPr="00EB2BD8">
        <w:rPr>
          <w:rFonts w:ascii="Arial" w:hAnsi="Arial"/>
          <w:w w:val="105"/>
          <w:sz w:val="16"/>
        </w:rPr>
        <w:t>financial</w:t>
      </w:r>
      <w:r w:rsidRPr="00EB2BD8">
        <w:rPr>
          <w:rFonts w:ascii="Arial" w:hAnsi="Arial"/>
          <w:spacing w:val="-6"/>
          <w:w w:val="105"/>
          <w:sz w:val="16"/>
        </w:rPr>
        <w:t xml:space="preserve"> </w:t>
      </w:r>
      <w:r w:rsidRPr="00EB2BD8">
        <w:rPr>
          <w:rFonts w:ascii="Arial" w:hAnsi="Arial"/>
          <w:w w:val="105"/>
          <w:sz w:val="16"/>
        </w:rPr>
        <w:t>instruments</w:t>
      </w:r>
      <w:r w:rsidRPr="00EB2BD8">
        <w:rPr>
          <w:rFonts w:ascii="Arial" w:hAnsi="Arial"/>
          <w:spacing w:val="-6"/>
          <w:w w:val="105"/>
          <w:sz w:val="16"/>
        </w:rPr>
        <w:t xml:space="preserve"> </w:t>
      </w:r>
      <w:r w:rsidRPr="00EB2BD8">
        <w:rPr>
          <w:rFonts w:ascii="Arial" w:hAnsi="Arial"/>
          <w:w w:val="105"/>
          <w:sz w:val="16"/>
        </w:rPr>
        <w:t>from</w:t>
      </w:r>
      <w:r w:rsidRPr="00EB2BD8">
        <w:rPr>
          <w:rFonts w:ascii="Arial" w:hAnsi="Arial"/>
          <w:spacing w:val="-6"/>
          <w:w w:val="105"/>
          <w:sz w:val="16"/>
        </w:rPr>
        <w:t xml:space="preserve"> </w:t>
      </w:r>
      <w:r w:rsidRPr="00EB2BD8">
        <w:rPr>
          <w:rFonts w:ascii="Arial" w:hAnsi="Arial"/>
          <w:w w:val="105"/>
          <w:sz w:val="16"/>
        </w:rPr>
        <w:t>the</w:t>
      </w:r>
      <w:r w:rsidRPr="00EB2BD8">
        <w:rPr>
          <w:rFonts w:ascii="Arial" w:hAnsi="Arial"/>
          <w:spacing w:val="-6"/>
          <w:w w:val="105"/>
          <w:sz w:val="16"/>
        </w:rPr>
        <w:t xml:space="preserve"> </w:t>
      </w:r>
      <w:r w:rsidRPr="00EB2BD8">
        <w:rPr>
          <w:rFonts w:ascii="Arial" w:hAnsi="Arial"/>
          <w:w w:val="105"/>
          <w:sz w:val="16"/>
        </w:rPr>
        <w:t>reserves</w:t>
      </w:r>
      <w:r w:rsidRPr="00EB2BD8">
        <w:rPr>
          <w:rFonts w:ascii="Arial" w:hAnsi="Arial"/>
          <w:spacing w:val="-5"/>
          <w:w w:val="105"/>
          <w:sz w:val="16"/>
        </w:rPr>
        <w:t xml:space="preserve"> </w:t>
      </w:r>
      <w:r w:rsidRPr="00EB2BD8">
        <w:rPr>
          <w:rFonts w:ascii="Arial" w:hAnsi="Arial"/>
          <w:w w:val="105"/>
          <w:sz w:val="16"/>
        </w:rPr>
        <w:t>to</w:t>
      </w:r>
      <w:r w:rsidRPr="00EB2BD8">
        <w:rPr>
          <w:rFonts w:ascii="Arial" w:hAnsi="Arial"/>
          <w:spacing w:val="-6"/>
          <w:w w:val="105"/>
          <w:sz w:val="16"/>
        </w:rPr>
        <w:t xml:space="preserve"> </w:t>
      </w:r>
      <w:r w:rsidRPr="00EB2BD8">
        <w:rPr>
          <w:rFonts w:ascii="Arial" w:hAnsi="Arial"/>
          <w:w w:val="105"/>
          <w:sz w:val="16"/>
        </w:rPr>
        <w:t>net</w:t>
      </w:r>
      <w:r w:rsidRPr="00EB2BD8">
        <w:rPr>
          <w:rFonts w:ascii="Arial" w:hAnsi="Arial"/>
          <w:spacing w:val="-6"/>
          <w:w w:val="105"/>
          <w:sz w:val="16"/>
        </w:rPr>
        <w:t xml:space="preserve"> </w:t>
      </w:r>
      <w:r w:rsidRPr="00EB2BD8">
        <w:rPr>
          <w:rFonts w:ascii="Arial" w:hAnsi="Arial"/>
          <w:w w:val="105"/>
          <w:sz w:val="16"/>
        </w:rPr>
        <w:t>result</w:t>
      </w:r>
      <w:r w:rsidRPr="00EB2BD8">
        <w:rPr>
          <w:rFonts w:ascii="Arial" w:hAnsi="Arial"/>
          <w:spacing w:val="-6"/>
          <w:w w:val="105"/>
          <w:sz w:val="16"/>
        </w:rPr>
        <w:t xml:space="preserve"> </w:t>
      </w:r>
      <w:r w:rsidRPr="00EB2BD8">
        <w:rPr>
          <w:rFonts w:ascii="Arial" w:hAnsi="Arial"/>
          <w:w w:val="105"/>
          <w:sz w:val="16"/>
        </w:rPr>
        <w:t>due</w:t>
      </w:r>
      <w:r w:rsidRPr="00EB2BD8">
        <w:rPr>
          <w:rFonts w:ascii="Arial" w:hAnsi="Arial"/>
          <w:spacing w:val="-6"/>
          <w:w w:val="105"/>
          <w:sz w:val="16"/>
        </w:rPr>
        <w:t xml:space="preserve"> </w:t>
      </w:r>
      <w:r w:rsidRPr="00EB2BD8">
        <w:rPr>
          <w:rFonts w:ascii="Arial" w:hAnsi="Arial"/>
          <w:w w:val="105"/>
          <w:sz w:val="16"/>
        </w:rPr>
        <w:t>to a</w:t>
      </w:r>
      <w:r w:rsidRPr="00EB2BD8">
        <w:rPr>
          <w:rFonts w:ascii="Arial" w:hAnsi="Arial"/>
          <w:spacing w:val="-4"/>
          <w:w w:val="105"/>
          <w:sz w:val="16"/>
        </w:rPr>
        <w:t xml:space="preserve"> </w:t>
      </w:r>
      <w:r w:rsidRPr="00EB2BD8">
        <w:rPr>
          <w:rFonts w:ascii="Arial" w:hAnsi="Arial"/>
          <w:w w:val="105"/>
          <w:sz w:val="16"/>
        </w:rPr>
        <w:t>disposal</w:t>
      </w:r>
      <w:r w:rsidRPr="00EB2BD8">
        <w:rPr>
          <w:rFonts w:ascii="Arial" w:hAnsi="Arial"/>
          <w:spacing w:val="-2"/>
          <w:w w:val="105"/>
          <w:sz w:val="16"/>
        </w:rPr>
        <w:t xml:space="preserve"> </w:t>
      </w:r>
      <w:r w:rsidRPr="00EB2BD8">
        <w:rPr>
          <w:rFonts w:ascii="Arial" w:hAnsi="Arial"/>
          <w:w w:val="105"/>
          <w:sz w:val="16"/>
        </w:rPr>
        <w:t>or</w:t>
      </w:r>
      <w:r w:rsidRPr="00EB2BD8">
        <w:rPr>
          <w:rFonts w:ascii="Arial" w:hAnsi="Arial"/>
          <w:spacing w:val="-3"/>
          <w:w w:val="105"/>
          <w:sz w:val="16"/>
        </w:rPr>
        <w:t xml:space="preserve"> </w:t>
      </w:r>
      <w:r w:rsidRPr="00EB2BD8">
        <w:rPr>
          <w:rFonts w:ascii="Arial" w:hAnsi="Arial"/>
          <w:w w:val="105"/>
          <w:sz w:val="16"/>
        </w:rPr>
        <w:t>derecognition</w:t>
      </w:r>
      <w:r w:rsidRPr="00EB2BD8">
        <w:rPr>
          <w:rFonts w:ascii="Arial" w:hAnsi="Arial"/>
          <w:spacing w:val="-4"/>
          <w:w w:val="105"/>
          <w:sz w:val="16"/>
        </w:rPr>
        <w:t xml:space="preserve"> </w:t>
      </w:r>
      <w:r w:rsidRPr="00EB2BD8">
        <w:rPr>
          <w:rFonts w:ascii="Arial" w:hAnsi="Arial"/>
          <w:w w:val="105"/>
          <w:sz w:val="16"/>
        </w:rPr>
        <w:t>of</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4"/>
          <w:w w:val="105"/>
          <w:sz w:val="16"/>
        </w:rPr>
        <w:t xml:space="preserve"> </w:t>
      </w:r>
      <w:r w:rsidRPr="00EB2BD8">
        <w:rPr>
          <w:rFonts w:ascii="Arial" w:hAnsi="Arial"/>
          <w:w w:val="105"/>
          <w:sz w:val="16"/>
        </w:rPr>
        <w:t>financial</w:t>
      </w:r>
      <w:r w:rsidRPr="00EB2BD8">
        <w:rPr>
          <w:rFonts w:ascii="Arial" w:hAnsi="Arial"/>
          <w:spacing w:val="-4"/>
          <w:w w:val="105"/>
          <w:sz w:val="16"/>
        </w:rPr>
        <w:t xml:space="preserve"> </w:t>
      </w:r>
      <w:r w:rsidRPr="00EB2BD8">
        <w:rPr>
          <w:rFonts w:ascii="Arial" w:hAnsi="Arial"/>
          <w:w w:val="105"/>
          <w:sz w:val="16"/>
        </w:rPr>
        <w:t>instrument.</w:t>
      </w:r>
      <w:r w:rsidRPr="00EB2BD8">
        <w:rPr>
          <w:rFonts w:ascii="Arial" w:hAnsi="Arial"/>
          <w:spacing w:val="-3"/>
          <w:w w:val="105"/>
          <w:sz w:val="16"/>
        </w:rPr>
        <w:t xml:space="preserve"> </w:t>
      </w:r>
      <w:r w:rsidRPr="00EB2BD8">
        <w:rPr>
          <w:rFonts w:ascii="Arial" w:hAnsi="Arial"/>
          <w:w w:val="105"/>
          <w:sz w:val="16"/>
        </w:rPr>
        <w:t>This</w:t>
      </w:r>
      <w:r w:rsidRPr="00EB2BD8">
        <w:rPr>
          <w:rFonts w:ascii="Arial" w:hAnsi="Arial"/>
          <w:spacing w:val="-3"/>
          <w:w w:val="105"/>
          <w:sz w:val="16"/>
        </w:rPr>
        <w:t xml:space="preserve"> </w:t>
      </w:r>
      <w:r w:rsidRPr="00EB2BD8">
        <w:rPr>
          <w:rFonts w:ascii="Arial" w:hAnsi="Arial"/>
          <w:w w:val="105"/>
          <w:sz w:val="16"/>
        </w:rPr>
        <w:t>does</w:t>
      </w:r>
      <w:r w:rsidRPr="00EB2BD8">
        <w:rPr>
          <w:rFonts w:ascii="Arial" w:hAnsi="Arial"/>
          <w:spacing w:val="-3"/>
          <w:w w:val="105"/>
          <w:sz w:val="16"/>
        </w:rPr>
        <w:t xml:space="preserve"> </w:t>
      </w:r>
      <w:r w:rsidRPr="00EB2BD8">
        <w:rPr>
          <w:rFonts w:ascii="Arial" w:hAnsi="Arial"/>
          <w:w w:val="105"/>
          <w:sz w:val="16"/>
        </w:rPr>
        <w:t>not</w:t>
      </w:r>
      <w:r w:rsidRPr="00EB2BD8">
        <w:rPr>
          <w:rFonts w:ascii="Arial" w:hAnsi="Arial"/>
          <w:spacing w:val="-3"/>
          <w:w w:val="105"/>
          <w:sz w:val="16"/>
        </w:rPr>
        <w:t xml:space="preserve"> </w:t>
      </w:r>
      <w:r w:rsidRPr="00EB2BD8">
        <w:rPr>
          <w:rFonts w:ascii="Arial" w:hAnsi="Arial"/>
          <w:w w:val="105"/>
          <w:sz w:val="16"/>
        </w:rPr>
        <w:t>include</w:t>
      </w:r>
      <w:r w:rsidRPr="00EB2BD8">
        <w:rPr>
          <w:rFonts w:ascii="Arial" w:hAnsi="Arial"/>
          <w:spacing w:val="-4"/>
          <w:w w:val="105"/>
          <w:sz w:val="16"/>
        </w:rPr>
        <w:t xml:space="preserve"> </w:t>
      </w:r>
      <w:r w:rsidRPr="00EB2BD8">
        <w:rPr>
          <w:rFonts w:ascii="Arial" w:hAnsi="Arial"/>
          <w:w w:val="105"/>
          <w:sz w:val="16"/>
        </w:rPr>
        <w:t>reclassification</w:t>
      </w:r>
      <w:r w:rsidRPr="00EB2BD8">
        <w:rPr>
          <w:rFonts w:ascii="Arial" w:hAnsi="Arial"/>
          <w:spacing w:val="-4"/>
          <w:w w:val="105"/>
          <w:sz w:val="16"/>
        </w:rPr>
        <w:t xml:space="preserve"> </w:t>
      </w:r>
      <w:r w:rsidRPr="00EB2BD8">
        <w:rPr>
          <w:rFonts w:ascii="Arial" w:hAnsi="Arial"/>
          <w:w w:val="105"/>
          <w:sz w:val="16"/>
        </w:rPr>
        <w:t>between</w:t>
      </w:r>
      <w:r w:rsidRPr="00EB2BD8">
        <w:rPr>
          <w:rFonts w:ascii="Arial" w:hAnsi="Arial"/>
          <w:spacing w:val="-4"/>
          <w:w w:val="105"/>
          <w:sz w:val="16"/>
        </w:rPr>
        <w:t xml:space="preserve"> </w:t>
      </w:r>
      <w:r w:rsidRPr="00EB2BD8">
        <w:rPr>
          <w:rFonts w:ascii="Arial" w:hAnsi="Arial"/>
          <w:w w:val="105"/>
          <w:sz w:val="16"/>
        </w:rPr>
        <w:t>equity accounts due to machinery of government changes or ‘other transfers’ of assets.</w:t>
      </w:r>
    </w:p>
    <w:p w14:paraId="40D8F117" w14:textId="77777777" w:rsidR="00084F36" w:rsidRPr="00EB2BD8" w:rsidRDefault="00084F36">
      <w:pPr>
        <w:pStyle w:val="BodyText"/>
        <w:spacing w:before="6"/>
        <w:rPr>
          <w:rFonts w:ascii="Arial"/>
          <w:sz w:val="19"/>
        </w:rPr>
      </w:pPr>
    </w:p>
    <w:p w14:paraId="5DA5CF87" w14:textId="77777777" w:rsidR="00084F36" w:rsidRPr="00EB2BD8" w:rsidRDefault="00EB2BD8">
      <w:pPr>
        <w:spacing w:line="288" w:lineRule="auto"/>
        <w:ind w:left="1105" w:right="2121"/>
        <w:rPr>
          <w:rFonts w:ascii="Arial"/>
          <w:sz w:val="16"/>
        </w:rPr>
      </w:pPr>
      <w:r w:rsidRPr="00EB2BD8">
        <w:rPr>
          <w:rFonts w:ascii="Arial"/>
          <w:w w:val="105"/>
          <w:sz w:val="16"/>
        </w:rPr>
        <w:t>Net gain/(loss) on non-financial assets includes unrealised and realised gain/(loss) from revaluation, impairments, and</w:t>
      </w:r>
      <w:r w:rsidRPr="00EB2BD8">
        <w:rPr>
          <w:rFonts w:ascii="Arial"/>
          <w:spacing w:val="-6"/>
          <w:w w:val="105"/>
          <w:sz w:val="16"/>
        </w:rPr>
        <w:t xml:space="preserve"> </w:t>
      </w:r>
      <w:r w:rsidRPr="00EB2BD8">
        <w:rPr>
          <w:rFonts w:ascii="Arial"/>
          <w:w w:val="105"/>
          <w:sz w:val="16"/>
        </w:rPr>
        <w:t>disposals</w:t>
      </w:r>
      <w:r w:rsidRPr="00EB2BD8">
        <w:rPr>
          <w:rFonts w:ascii="Arial"/>
          <w:spacing w:val="-4"/>
          <w:w w:val="105"/>
          <w:sz w:val="16"/>
        </w:rPr>
        <w:t xml:space="preserve"> </w:t>
      </w:r>
      <w:r w:rsidRPr="00EB2BD8">
        <w:rPr>
          <w:rFonts w:ascii="Arial"/>
          <w:w w:val="105"/>
          <w:sz w:val="16"/>
        </w:rPr>
        <w:t>of</w:t>
      </w:r>
      <w:r w:rsidRPr="00EB2BD8">
        <w:rPr>
          <w:rFonts w:ascii="Arial"/>
          <w:spacing w:val="-5"/>
          <w:w w:val="105"/>
          <w:sz w:val="16"/>
        </w:rPr>
        <w:t xml:space="preserve"> </w:t>
      </w:r>
      <w:r w:rsidRPr="00EB2BD8">
        <w:rPr>
          <w:rFonts w:ascii="Arial"/>
          <w:w w:val="105"/>
          <w:sz w:val="16"/>
        </w:rPr>
        <w:t>all</w:t>
      </w:r>
      <w:r w:rsidRPr="00EB2BD8">
        <w:rPr>
          <w:rFonts w:ascii="Arial"/>
          <w:spacing w:val="-6"/>
          <w:w w:val="105"/>
          <w:sz w:val="16"/>
        </w:rPr>
        <w:t xml:space="preserve"> </w:t>
      </w:r>
      <w:r w:rsidRPr="00EB2BD8">
        <w:rPr>
          <w:rFonts w:ascii="Arial"/>
          <w:w w:val="105"/>
          <w:sz w:val="16"/>
        </w:rPr>
        <w:t>physical</w:t>
      </w:r>
      <w:r w:rsidRPr="00EB2BD8">
        <w:rPr>
          <w:rFonts w:ascii="Arial"/>
          <w:spacing w:val="-4"/>
          <w:w w:val="105"/>
          <w:sz w:val="16"/>
        </w:rPr>
        <w:t xml:space="preserve"> </w:t>
      </w:r>
      <w:r w:rsidRPr="00EB2BD8">
        <w:rPr>
          <w:rFonts w:ascii="Arial"/>
          <w:w w:val="105"/>
          <w:sz w:val="16"/>
        </w:rPr>
        <w:t>assets</w:t>
      </w:r>
      <w:r w:rsidRPr="00EB2BD8">
        <w:rPr>
          <w:rFonts w:ascii="Arial"/>
          <w:spacing w:val="-5"/>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intangible</w:t>
      </w:r>
      <w:r w:rsidRPr="00EB2BD8">
        <w:rPr>
          <w:rFonts w:ascii="Arial"/>
          <w:spacing w:val="-6"/>
          <w:w w:val="105"/>
          <w:sz w:val="16"/>
        </w:rPr>
        <w:t xml:space="preserve"> </w:t>
      </w:r>
      <w:r w:rsidRPr="00EB2BD8">
        <w:rPr>
          <w:rFonts w:ascii="Arial"/>
          <w:w w:val="105"/>
          <w:sz w:val="16"/>
        </w:rPr>
        <w:t>assets,</w:t>
      </w:r>
      <w:r w:rsidRPr="00EB2BD8">
        <w:rPr>
          <w:rFonts w:ascii="Arial"/>
          <w:spacing w:val="-5"/>
          <w:w w:val="105"/>
          <w:sz w:val="16"/>
        </w:rPr>
        <w:t xml:space="preserve"> </w:t>
      </w:r>
      <w:r w:rsidRPr="00EB2BD8">
        <w:rPr>
          <w:rFonts w:ascii="Arial"/>
          <w:w w:val="105"/>
          <w:sz w:val="16"/>
        </w:rPr>
        <w:t>except</w:t>
      </w:r>
      <w:r w:rsidRPr="00EB2BD8">
        <w:rPr>
          <w:rFonts w:ascii="Arial"/>
          <w:spacing w:val="-5"/>
          <w:w w:val="105"/>
          <w:sz w:val="16"/>
        </w:rPr>
        <w:t xml:space="preserve"> </w:t>
      </w:r>
      <w:r w:rsidRPr="00EB2BD8">
        <w:rPr>
          <w:rFonts w:ascii="Arial"/>
          <w:w w:val="105"/>
          <w:sz w:val="16"/>
        </w:rPr>
        <w:t>when</w:t>
      </w:r>
      <w:r w:rsidRPr="00EB2BD8">
        <w:rPr>
          <w:rFonts w:ascii="Arial"/>
          <w:spacing w:val="-6"/>
          <w:w w:val="105"/>
          <w:sz w:val="16"/>
        </w:rPr>
        <w:t xml:space="preserve"> </w:t>
      </w:r>
      <w:r w:rsidRPr="00EB2BD8">
        <w:rPr>
          <w:rFonts w:ascii="Arial"/>
          <w:w w:val="105"/>
          <w:sz w:val="16"/>
        </w:rPr>
        <w:t>these</w:t>
      </w:r>
      <w:r w:rsidRPr="00EB2BD8">
        <w:rPr>
          <w:rFonts w:ascii="Arial"/>
          <w:spacing w:val="-6"/>
          <w:w w:val="105"/>
          <w:sz w:val="16"/>
        </w:rPr>
        <w:t xml:space="preserve"> </w:t>
      </w:r>
      <w:r w:rsidRPr="00EB2BD8">
        <w:rPr>
          <w:rFonts w:ascii="Arial"/>
          <w:w w:val="105"/>
          <w:sz w:val="16"/>
        </w:rPr>
        <w:t>are</w:t>
      </w:r>
      <w:r w:rsidRPr="00EB2BD8">
        <w:rPr>
          <w:rFonts w:ascii="Arial"/>
          <w:spacing w:val="-6"/>
          <w:w w:val="105"/>
          <w:sz w:val="16"/>
        </w:rPr>
        <w:t xml:space="preserve"> </w:t>
      </w:r>
      <w:r w:rsidRPr="00EB2BD8">
        <w:rPr>
          <w:rFonts w:ascii="Arial"/>
          <w:w w:val="105"/>
          <w:sz w:val="16"/>
        </w:rPr>
        <w:t>taken</w:t>
      </w:r>
      <w:r w:rsidRPr="00EB2BD8">
        <w:rPr>
          <w:rFonts w:ascii="Arial"/>
          <w:spacing w:val="-6"/>
          <w:w w:val="105"/>
          <w:sz w:val="16"/>
        </w:rPr>
        <w:t xml:space="preserve"> </w:t>
      </w:r>
      <w:r w:rsidRPr="00EB2BD8">
        <w:rPr>
          <w:rFonts w:ascii="Arial"/>
          <w:w w:val="105"/>
          <w:sz w:val="16"/>
        </w:rPr>
        <w:t>through</w:t>
      </w:r>
      <w:r w:rsidRPr="00EB2BD8">
        <w:rPr>
          <w:rFonts w:ascii="Arial"/>
          <w:spacing w:val="-6"/>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asset</w:t>
      </w:r>
      <w:r w:rsidRPr="00EB2BD8">
        <w:rPr>
          <w:rFonts w:ascii="Arial"/>
          <w:spacing w:val="-5"/>
          <w:w w:val="105"/>
          <w:sz w:val="16"/>
        </w:rPr>
        <w:t xml:space="preserve"> </w:t>
      </w:r>
      <w:r w:rsidRPr="00EB2BD8">
        <w:rPr>
          <w:rFonts w:ascii="Arial"/>
          <w:w w:val="105"/>
          <w:sz w:val="16"/>
        </w:rPr>
        <w:t xml:space="preserve">revaluation </w:t>
      </w:r>
      <w:r w:rsidRPr="00EB2BD8">
        <w:rPr>
          <w:rFonts w:ascii="Arial"/>
          <w:spacing w:val="-2"/>
          <w:w w:val="105"/>
          <w:sz w:val="16"/>
        </w:rPr>
        <w:t>surplus.</w:t>
      </w:r>
    </w:p>
    <w:p w14:paraId="3D175585" w14:textId="77777777" w:rsidR="00084F36" w:rsidRPr="00EB2BD8" w:rsidRDefault="00084F36">
      <w:pPr>
        <w:pStyle w:val="BodyText"/>
        <w:spacing w:before="5"/>
        <w:rPr>
          <w:rFonts w:ascii="Arial"/>
          <w:sz w:val="24"/>
        </w:rPr>
      </w:pPr>
    </w:p>
    <w:p w14:paraId="4338A33C" w14:textId="77777777" w:rsidR="00084F36" w:rsidRPr="00EB2BD8" w:rsidRDefault="00EB2BD8">
      <w:pPr>
        <w:spacing w:before="1" w:after="55"/>
        <w:ind w:right="1934"/>
        <w:jc w:val="right"/>
        <w:rPr>
          <w:rFonts w:ascii="Arial" w:hAnsi="Arial"/>
          <w:sz w:val="16"/>
        </w:rPr>
      </w:pPr>
      <w:r w:rsidRPr="00EB2BD8">
        <w:rPr>
          <w:rFonts w:ascii="Arial" w:hAnsi="Arial"/>
          <w:spacing w:val="-2"/>
          <w:w w:val="105"/>
          <w:sz w:val="16"/>
        </w:rPr>
        <w:t>($’000)</w:t>
      </w:r>
    </w:p>
    <w:tbl>
      <w:tblPr>
        <w:tblW w:w="0" w:type="auto"/>
        <w:tblInd w:w="1113" w:type="dxa"/>
        <w:tblLayout w:type="fixed"/>
        <w:tblCellMar>
          <w:left w:w="0" w:type="dxa"/>
          <w:right w:w="0" w:type="dxa"/>
        </w:tblCellMar>
        <w:tblLook w:val="01E0" w:firstRow="1" w:lastRow="1" w:firstColumn="1" w:lastColumn="1" w:noHBand="0" w:noVBand="0"/>
      </w:tblPr>
      <w:tblGrid>
        <w:gridCol w:w="6182"/>
        <w:gridCol w:w="1393"/>
        <w:gridCol w:w="1393"/>
      </w:tblGrid>
      <w:tr w:rsidR="00EB2BD8" w:rsidRPr="00EB2BD8" w14:paraId="31DB0984" w14:textId="77777777">
        <w:trPr>
          <w:trHeight w:val="305"/>
        </w:trPr>
        <w:tc>
          <w:tcPr>
            <w:tcW w:w="7575" w:type="dxa"/>
            <w:gridSpan w:val="2"/>
            <w:tcBorders>
              <w:top w:val="single" w:sz="4" w:space="0" w:color="0098FF"/>
              <w:left w:val="single" w:sz="4" w:space="0" w:color="0098FF"/>
            </w:tcBorders>
            <w:shd w:val="clear" w:color="auto" w:fill="2E74B5"/>
          </w:tcPr>
          <w:p w14:paraId="6EDB1F6B" w14:textId="77777777" w:rsidR="00084F36" w:rsidRPr="00EB2BD8" w:rsidRDefault="00EB2BD8">
            <w:pPr>
              <w:pStyle w:val="TableParagraph"/>
              <w:spacing w:before="62"/>
              <w:ind w:right="95"/>
              <w:jc w:val="right"/>
              <w:rPr>
                <w:rFonts w:ascii="Arial"/>
                <w:b/>
                <w:sz w:val="16"/>
              </w:rPr>
            </w:pPr>
            <w:r w:rsidRPr="00EB2BD8">
              <w:rPr>
                <w:rFonts w:ascii="Arial"/>
                <w:b/>
                <w:spacing w:val="-4"/>
                <w:w w:val="105"/>
                <w:sz w:val="16"/>
              </w:rPr>
              <w:t>2023</w:t>
            </w:r>
          </w:p>
        </w:tc>
        <w:tc>
          <w:tcPr>
            <w:tcW w:w="1393" w:type="dxa"/>
            <w:tcBorders>
              <w:top w:val="single" w:sz="4" w:space="0" w:color="0098FF"/>
              <w:right w:val="single" w:sz="4" w:space="0" w:color="0098FF"/>
            </w:tcBorders>
            <w:shd w:val="clear" w:color="auto" w:fill="2E74B5"/>
          </w:tcPr>
          <w:p w14:paraId="675137EA" w14:textId="77777777" w:rsidR="00084F36" w:rsidRPr="00EB2BD8" w:rsidRDefault="00EB2BD8">
            <w:pPr>
              <w:pStyle w:val="TableParagraph"/>
              <w:spacing w:before="62"/>
              <w:ind w:right="91"/>
              <w:jc w:val="right"/>
              <w:rPr>
                <w:rFonts w:ascii="Arial"/>
                <w:b/>
                <w:sz w:val="16"/>
              </w:rPr>
            </w:pPr>
            <w:r w:rsidRPr="00EB2BD8">
              <w:rPr>
                <w:rFonts w:ascii="Arial"/>
                <w:b/>
                <w:spacing w:val="-4"/>
                <w:w w:val="105"/>
                <w:sz w:val="16"/>
              </w:rPr>
              <w:t>2022</w:t>
            </w:r>
          </w:p>
        </w:tc>
      </w:tr>
      <w:tr w:rsidR="00EB2BD8" w:rsidRPr="00EB2BD8" w14:paraId="3F3C99EE" w14:textId="77777777">
        <w:trPr>
          <w:trHeight w:val="630"/>
        </w:trPr>
        <w:tc>
          <w:tcPr>
            <w:tcW w:w="6182" w:type="dxa"/>
            <w:tcBorders>
              <w:bottom w:val="single" w:sz="12" w:space="0" w:color="000000"/>
            </w:tcBorders>
            <w:shd w:val="clear" w:color="auto" w:fill="FFFFFF"/>
          </w:tcPr>
          <w:p w14:paraId="3B08C9F2" w14:textId="77777777" w:rsidR="00084F36" w:rsidRPr="00EB2BD8" w:rsidRDefault="00EB2BD8">
            <w:pPr>
              <w:pStyle w:val="TableParagraph"/>
              <w:spacing w:before="67"/>
              <w:ind w:left="104"/>
              <w:rPr>
                <w:rFonts w:ascii="Arial"/>
                <w:b/>
                <w:sz w:val="16"/>
              </w:rPr>
            </w:pPr>
            <w:r w:rsidRPr="00EB2BD8">
              <w:rPr>
                <w:rFonts w:ascii="Arial"/>
                <w:b/>
                <w:w w:val="105"/>
                <w:sz w:val="16"/>
              </w:rPr>
              <w:t>Net</w:t>
            </w:r>
            <w:r w:rsidRPr="00EB2BD8">
              <w:rPr>
                <w:rFonts w:ascii="Arial"/>
                <w:b/>
                <w:spacing w:val="-9"/>
                <w:w w:val="105"/>
                <w:sz w:val="16"/>
              </w:rPr>
              <w:t xml:space="preserve"> </w:t>
            </w:r>
            <w:r w:rsidRPr="00EB2BD8">
              <w:rPr>
                <w:rFonts w:ascii="Arial"/>
                <w:b/>
                <w:w w:val="105"/>
                <w:sz w:val="16"/>
              </w:rPr>
              <w:t>gain/(loss)</w:t>
            </w:r>
            <w:r w:rsidRPr="00EB2BD8">
              <w:rPr>
                <w:rFonts w:ascii="Arial"/>
                <w:b/>
                <w:spacing w:val="-8"/>
                <w:w w:val="105"/>
                <w:sz w:val="16"/>
              </w:rPr>
              <w:t xml:space="preserve"> </w:t>
            </w:r>
            <w:r w:rsidRPr="00EB2BD8">
              <w:rPr>
                <w:rFonts w:ascii="Arial"/>
                <w:b/>
                <w:w w:val="105"/>
                <w:sz w:val="16"/>
              </w:rPr>
              <w:t>on</w:t>
            </w:r>
            <w:r w:rsidRPr="00EB2BD8">
              <w:rPr>
                <w:rFonts w:ascii="Arial"/>
                <w:b/>
                <w:spacing w:val="-9"/>
                <w:w w:val="105"/>
                <w:sz w:val="16"/>
              </w:rPr>
              <w:t xml:space="preserve"> </w:t>
            </w:r>
            <w:r w:rsidRPr="00EB2BD8">
              <w:rPr>
                <w:rFonts w:ascii="Arial"/>
                <w:b/>
                <w:w w:val="105"/>
                <w:sz w:val="16"/>
              </w:rPr>
              <w:t>non-financial</w:t>
            </w:r>
            <w:r w:rsidRPr="00EB2BD8">
              <w:rPr>
                <w:rFonts w:ascii="Arial"/>
                <w:b/>
                <w:spacing w:val="-9"/>
                <w:w w:val="105"/>
                <w:sz w:val="16"/>
              </w:rPr>
              <w:t xml:space="preserve"> </w:t>
            </w:r>
            <w:r w:rsidRPr="00EB2BD8">
              <w:rPr>
                <w:rFonts w:ascii="Arial"/>
                <w:b/>
                <w:spacing w:val="-2"/>
                <w:w w:val="105"/>
                <w:sz w:val="16"/>
              </w:rPr>
              <w:t>assets</w:t>
            </w:r>
          </w:p>
          <w:p w14:paraId="5B381D35" w14:textId="77777777" w:rsidR="00084F36" w:rsidRPr="00EB2BD8" w:rsidRDefault="00EB2BD8">
            <w:pPr>
              <w:pStyle w:val="TableParagraph"/>
              <w:spacing w:before="132"/>
              <w:ind w:left="104"/>
              <w:rPr>
                <w:rFonts w:ascii="Arial"/>
                <w:sz w:val="16"/>
              </w:rPr>
            </w:pPr>
            <w:r w:rsidRPr="00EB2BD8">
              <w:rPr>
                <w:rFonts w:ascii="Arial"/>
                <w:w w:val="105"/>
                <w:sz w:val="16"/>
              </w:rPr>
              <w:t>Net</w:t>
            </w:r>
            <w:r w:rsidRPr="00EB2BD8">
              <w:rPr>
                <w:rFonts w:ascii="Arial"/>
                <w:spacing w:val="-10"/>
                <w:w w:val="105"/>
                <w:sz w:val="16"/>
              </w:rPr>
              <w:t xml:space="preserve"> </w:t>
            </w:r>
            <w:r w:rsidRPr="00EB2BD8">
              <w:rPr>
                <w:rFonts w:ascii="Arial"/>
                <w:w w:val="105"/>
                <w:sz w:val="16"/>
              </w:rPr>
              <w:t>gain/(loss)</w:t>
            </w:r>
            <w:r w:rsidRPr="00EB2BD8">
              <w:rPr>
                <w:rFonts w:ascii="Arial"/>
                <w:spacing w:val="-6"/>
                <w:w w:val="105"/>
                <w:sz w:val="16"/>
              </w:rPr>
              <w:t xml:space="preserve"> </w:t>
            </w:r>
            <w:r w:rsidRPr="00EB2BD8">
              <w:rPr>
                <w:rFonts w:ascii="Arial"/>
                <w:w w:val="105"/>
                <w:sz w:val="16"/>
              </w:rPr>
              <w:t>on</w:t>
            </w:r>
            <w:r w:rsidRPr="00EB2BD8">
              <w:rPr>
                <w:rFonts w:ascii="Arial"/>
                <w:spacing w:val="-8"/>
                <w:w w:val="105"/>
                <w:sz w:val="16"/>
              </w:rPr>
              <w:t xml:space="preserve"> </w:t>
            </w:r>
            <w:r w:rsidRPr="00EB2BD8">
              <w:rPr>
                <w:rFonts w:ascii="Arial"/>
                <w:w w:val="105"/>
                <w:sz w:val="16"/>
              </w:rPr>
              <w:t>disposal</w:t>
            </w:r>
            <w:r w:rsidRPr="00EB2BD8">
              <w:rPr>
                <w:rFonts w:ascii="Arial"/>
                <w:spacing w:val="-7"/>
                <w:w w:val="105"/>
                <w:sz w:val="16"/>
              </w:rPr>
              <w:t xml:space="preserve"> </w:t>
            </w:r>
            <w:r w:rsidRPr="00EB2BD8">
              <w:rPr>
                <w:rFonts w:ascii="Arial"/>
                <w:w w:val="105"/>
                <w:sz w:val="16"/>
              </w:rPr>
              <w:t>of</w:t>
            </w:r>
            <w:r w:rsidRPr="00EB2BD8">
              <w:rPr>
                <w:rFonts w:ascii="Arial"/>
                <w:spacing w:val="-8"/>
                <w:w w:val="105"/>
                <w:sz w:val="16"/>
              </w:rPr>
              <w:t xml:space="preserve"> </w:t>
            </w:r>
            <w:r w:rsidRPr="00EB2BD8">
              <w:rPr>
                <w:rFonts w:ascii="Arial"/>
                <w:w w:val="105"/>
                <w:sz w:val="16"/>
              </w:rPr>
              <w:t>plant,</w:t>
            </w:r>
            <w:r w:rsidRPr="00EB2BD8">
              <w:rPr>
                <w:rFonts w:ascii="Arial"/>
                <w:spacing w:val="-7"/>
                <w:w w:val="105"/>
                <w:sz w:val="16"/>
              </w:rPr>
              <w:t xml:space="preserve"> </w:t>
            </w:r>
            <w:r w:rsidRPr="00EB2BD8">
              <w:rPr>
                <w:rFonts w:ascii="Arial"/>
                <w:w w:val="105"/>
                <w:sz w:val="16"/>
              </w:rPr>
              <w:t>equipment</w:t>
            </w:r>
            <w:r w:rsidRPr="00EB2BD8">
              <w:rPr>
                <w:rFonts w:ascii="Arial"/>
                <w:spacing w:val="-7"/>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motor</w:t>
            </w:r>
            <w:r w:rsidRPr="00EB2BD8">
              <w:rPr>
                <w:rFonts w:ascii="Arial"/>
                <w:spacing w:val="-7"/>
                <w:w w:val="105"/>
                <w:sz w:val="16"/>
              </w:rPr>
              <w:t xml:space="preserve"> </w:t>
            </w:r>
            <w:r w:rsidRPr="00EB2BD8">
              <w:rPr>
                <w:rFonts w:ascii="Arial"/>
                <w:spacing w:val="-2"/>
                <w:w w:val="105"/>
                <w:sz w:val="16"/>
              </w:rPr>
              <w:t>vehicles</w:t>
            </w:r>
          </w:p>
        </w:tc>
        <w:tc>
          <w:tcPr>
            <w:tcW w:w="1393" w:type="dxa"/>
            <w:tcBorders>
              <w:bottom w:val="single" w:sz="12" w:space="0" w:color="000000"/>
            </w:tcBorders>
            <w:shd w:val="clear" w:color="auto" w:fill="DEEAF6"/>
          </w:tcPr>
          <w:p w14:paraId="12C5615C" w14:textId="77777777" w:rsidR="00084F36" w:rsidRPr="00EB2BD8" w:rsidRDefault="00084F36">
            <w:pPr>
              <w:pStyle w:val="TableParagraph"/>
              <w:rPr>
                <w:rFonts w:ascii="Arial"/>
                <w:sz w:val="18"/>
              </w:rPr>
            </w:pPr>
          </w:p>
          <w:p w14:paraId="3934B780" w14:textId="77777777" w:rsidR="00084F36" w:rsidRPr="00EB2BD8" w:rsidRDefault="00084F36">
            <w:pPr>
              <w:pStyle w:val="TableParagraph"/>
              <w:spacing w:before="3"/>
              <w:rPr>
                <w:rFonts w:ascii="Arial"/>
                <w:sz w:val="15"/>
              </w:rPr>
            </w:pPr>
          </w:p>
          <w:p w14:paraId="3670825E" w14:textId="77777777" w:rsidR="00084F36" w:rsidRPr="00EB2BD8" w:rsidRDefault="00EB2BD8">
            <w:pPr>
              <w:pStyle w:val="TableParagraph"/>
              <w:spacing w:before="1"/>
              <w:ind w:right="95"/>
              <w:jc w:val="right"/>
              <w:rPr>
                <w:rFonts w:ascii="Arial"/>
                <w:sz w:val="16"/>
              </w:rPr>
            </w:pPr>
            <w:r w:rsidRPr="00EB2BD8">
              <w:rPr>
                <w:rFonts w:ascii="Arial"/>
                <w:spacing w:val="-5"/>
                <w:w w:val="105"/>
                <w:sz w:val="16"/>
              </w:rPr>
              <w:t>464</w:t>
            </w:r>
          </w:p>
        </w:tc>
        <w:tc>
          <w:tcPr>
            <w:tcW w:w="1393" w:type="dxa"/>
            <w:tcBorders>
              <w:bottom w:val="single" w:sz="12" w:space="0" w:color="000000"/>
            </w:tcBorders>
            <w:shd w:val="clear" w:color="auto" w:fill="FFFFFF"/>
          </w:tcPr>
          <w:p w14:paraId="154613F6" w14:textId="77777777" w:rsidR="00084F36" w:rsidRPr="00EB2BD8" w:rsidRDefault="00084F36">
            <w:pPr>
              <w:pStyle w:val="TableParagraph"/>
              <w:rPr>
                <w:rFonts w:ascii="Arial"/>
                <w:sz w:val="18"/>
              </w:rPr>
            </w:pPr>
          </w:p>
          <w:p w14:paraId="3C78869B" w14:textId="77777777" w:rsidR="00084F36" w:rsidRPr="00EB2BD8" w:rsidRDefault="00084F36">
            <w:pPr>
              <w:pStyle w:val="TableParagraph"/>
              <w:spacing w:before="3"/>
              <w:rPr>
                <w:rFonts w:ascii="Arial"/>
                <w:sz w:val="15"/>
              </w:rPr>
            </w:pPr>
          </w:p>
          <w:p w14:paraId="76D0B1A9" w14:textId="77777777" w:rsidR="00084F36" w:rsidRPr="00EB2BD8" w:rsidRDefault="00EB2BD8">
            <w:pPr>
              <w:pStyle w:val="TableParagraph"/>
              <w:spacing w:before="1"/>
              <w:ind w:right="95"/>
              <w:jc w:val="right"/>
              <w:rPr>
                <w:rFonts w:ascii="Arial"/>
                <w:sz w:val="16"/>
              </w:rPr>
            </w:pPr>
            <w:r w:rsidRPr="00EB2BD8">
              <w:rPr>
                <w:rFonts w:ascii="Arial"/>
                <w:spacing w:val="-5"/>
                <w:w w:val="105"/>
                <w:sz w:val="16"/>
              </w:rPr>
              <w:t>210</w:t>
            </w:r>
          </w:p>
        </w:tc>
      </w:tr>
      <w:tr w:rsidR="00EB2BD8" w:rsidRPr="00EB2BD8" w14:paraId="15BEBB2D" w14:textId="77777777">
        <w:trPr>
          <w:trHeight w:val="285"/>
        </w:trPr>
        <w:tc>
          <w:tcPr>
            <w:tcW w:w="6182" w:type="dxa"/>
            <w:tcBorders>
              <w:top w:val="single" w:sz="12" w:space="0" w:color="000000"/>
              <w:bottom w:val="single" w:sz="12" w:space="0" w:color="000000"/>
            </w:tcBorders>
            <w:shd w:val="clear" w:color="auto" w:fill="FFFFFF"/>
          </w:tcPr>
          <w:p w14:paraId="12EA0AEB" w14:textId="77777777" w:rsidR="00084F36" w:rsidRPr="00EB2BD8" w:rsidRDefault="00EB2BD8">
            <w:pPr>
              <w:pStyle w:val="TableParagraph"/>
              <w:spacing w:before="52"/>
              <w:ind w:left="104"/>
              <w:rPr>
                <w:rFonts w:ascii="Arial"/>
                <w:b/>
                <w:sz w:val="16"/>
              </w:rPr>
            </w:pPr>
            <w:r w:rsidRPr="00EB2BD8">
              <w:rPr>
                <w:rFonts w:ascii="Arial"/>
                <w:b/>
                <w:w w:val="105"/>
                <w:sz w:val="16"/>
              </w:rPr>
              <w:t>Total</w:t>
            </w:r>
            <w:r w:rsidRPr="00EB2BD8">
              <w:rPr>
                <w:rFonts w:ascii="Arial"/>
                <w:b/>
                <w:spacing w:val="-8"/>
                <w:w w:val="105"/>
                <w:sz w:val="16"/>
              </w:rPr>
              <w:t xml:space="preserve"> </w:t>
            </w:r>
            <w:r w:rsidRPr="00EB2BD8">
              <w:rPr>
                <w:rFonts w:ascii="Arial"/>
                <w:b/>
                <w:w w:val="105"/>
                <w:sz w:val="16"/>
              </w:rPr>
              <w:t>net</w:t>
            </w:r>
            <w:r w:rsidRPr="00EB2BD8">
              <w:rPr>
                <w:rFonts w:ascii="Arial"/>
                <w:b/>
                <w:spacing w:val="-8"/>
                <w:w w:val="105"/>
                <w:sz w:val="16"/>
              </w:rPr>
              <w:t xml:space="preserve"> </w:t>
            </w:r>
            <w:r w:rsidRPr="00EB2BD8">
              <w:rPr>
                <w:rFonts w:ascii="Arial"/>
                <w:b/>
                <w:w w:val="105"/>
                <w:sz w:val="16"/>
              </w:rPr>
              <w:t>gain/(loss)</w:t>
            </w:r>
            <w:r w:rsidRPr="00EB2BD8">
              <w:rPr>
                <w:rFonts w:ascii="Arial"/>
                <w:b/>
                <w:spacing w:val="-8"/>
                <w:w w:val="105"/>
                <w:sz w:val="16"/>
              </w:rPr>
              <w:t xml:space="preserve"> </w:t>
            </w:r>
            <w:r w:rsidRPr="00EB2BD8">
              <w:rPr>
                <w:rFonts w:ascii="Arial"/>
                <w:b/>
                <w:w w:val="105"/>
                <w:sz w:val="16"/>
              </w:rPr>
              <w:t>on</w:t>
            </w:r>
            <w:r w:rsidRPr="00EB2BD8">
              <w:rPr>
                <w:rFonts w:ascii="Arial"/>
                <w:b/>
                <w:spacing w:val="-8"/>
                <w:w w:val="105"/>
                <w:sz w:val="16"/>
              </w:rPr>
              <w:t xml:space="preserve"> </w:t>
            </w:r>
            <w:r w:rsidRPr="00EB2BD8">
              <w:rPr>
                <w:rFonts w:ascii="Arial"/>
                <w:b/>
                <w:w w:val="105"/>
                <w:sz w:val="16"/>
              </w:rPr>
              <w:t>non-financial</w:t>
            </w:r>
            <w:r w:rsidRPr="00EB2BD8">
              <w:rPr>
                <w:rFonts w:ascii="Arial"/>
                <w:b/>
                <w:spacing w:val="-8"/>
                <w:w w:val="105"/>
                <w:sz w:val="16"/>
              </w:rPr>
              <w:t xml:space="preserve"> </w:t>
            </w:r>
            <w:r w:rsidRPr="00EB2BD8">
              <w:rPr>
                <w:rFonts w:ascii="Arial"/>
                <w:b/>
                <w:spacing w:val="-2"/>
                <w:w w:val="105"/>
                <w:sz w:val="16"/>
              </w:rPr>
              <w:t>assets</w:t>
            </w:r>
          </w:p>
        </w:tc>
        <w:tc>
          <w:tcPr>
            <w:tcW w:w="1393" w:type="dxa"/>
            <w:tcBorders>
              <w:top w:val="single" w:sz="12" w:space="0" w:color="000000"/>
              <w:bottom w:val="single" w:sz="12" w:space="0" w:color="000000"/>
            </w:tcBorders>
            <w:shd w:val="clear" w:color="auto" w:fill="DEEAF6"/>
          </w:tcPr>
          <w:p w14:paraId="37B1897A" w14:textId="77777777" w:rsidR="00084F36" w:rsidRPr="00EB2BD8" w:rsidRDefault="00EB2BD8">
            <w:pPr>
              <w:pStyle w:val="TableParagraph"/>
              <w:spacing w:before="52"/>
              <w:ind w:right="95"/>
              <w:jc w:val="right"/>
              <w:rPr>
                <w:rFonts w:ascii="Arial"/>
                <w:sz w:val="16"/>
              </w:rPr>
            </w:pPr>
            <w:r w:rsidRPr="00EB2BD8">
              <w:rPr>
                <w:rFonts w:ascii="Arial"/>
                <w:spacing w:val="-5"/>
                <w:w w:val="105"/>
                <w:sz w:val="16"/>
              </w:rPr>
              <w:t>464</w:t>
            </w:r>
          </w:p>
        </w:tc>
        <w:tc>
          <w:tcPr>
            <w:tcW w:w="1393" w:type="dxa"/>
            <w:tcBorders>
              <w:top w:val="single" w:sz="12" w:space="0" w:color="000000"/>
              <w:bottom w:val="single" w:sz="12" w:space="0" w:color="000000"/>
            </w:tcBorders>
            <w:shd w:val="clear" w:color="auto" w:fill="FFFFFF"/>
          </w:tcPr>
          <w:p w14:paraId="30F3D853" w14:textId="77777777" w:rsidR="00084F36" w:rsidRPr="00EB2BD8" w:rsidRDefault="00EB2BD8">
            <w:pPr>
              <w:pStyle w:val="TableParagraph"/>
              <w:spacing w:before="52"/>
              <w:ind w:right="97"/>
              <w:jc w:val="right"/>
              <w:rPr>
                <w:rFonts w:ascii="Arial"/>
                <w:b/>
                <w:sz w:val="16"/>
              </w:rPr>
            </w:pPr>
            <w:r w:rsidRPr="00EB2BD8">
              <w:rPr>
                <w:rFonts w:ascii="Arial"/>
                <w:b/>
                <w:spacing w:val="-5"/>
                <w:w w:val="105"/>
                <w:sz w:val="16"/>
              </w:rPr>
              <w:t>210</w:t>
            </w:r>
          </w:p>
        </w:tc>
      </w:tr>
      <w:tr w:rsidR="00EB2BD8" w:rsidRPr="00EB2BD8" w14:paraId="54B1527C" w14:textId="77777777">
        <w:trPr>
          <w:trHeight w:val="285"/>
        </w:trPr>
        <w:tc>
          <w:tcPr>
            <w:tcW w:w="6182" w:type="dxa"/>
            <w:tcBorders>
              <w:top w:val="single" w:sz="12" w:space="0" w:color="000000"/>
              <w:bottom w:val="single" w:sz="12" w:space="0" w:color="000000"/>
            </w:tcBorders>
            <w:shd w:val="clear" w:color="auto" w:fill="FFFFFF"/>
          </w:tcPr>
          <w:p w14:paraId="511F6AB7" w14:textId="77777777" w:rsidR="00084F36" w:rsidRPr="00EB2BD8" w:rsidRDefault="00EB2BD8">
            <w:pPr>
              <w:pStyle w:val="TableParagraph"/>
              <w:spacing w:before="52"/>
              <w:ind w:left="104"/>
              <w:rPr>
                <w:rFonts w:ascii="Arial"/>
                <w:b/>
                <w:sz w:val="16"/>
              </w:rPr>
            </w:pPr>
            <w:r w:rsidRPr="00EB2BD8">
              <w:rPr>
                <w:rFonts w:ascii="Arial"/>
                <w:b/>
                <w:w w:val="105"/>
                <w:sz w:val="16"/>
              </w:rPr>
              <w:t>Total</w:t>
            </w:r>
            <w:r w:rsidRPr="00EB2BD8">
              <w:rPr>
                <w:rFonts w:ascii="Arial"/>
                <w:b/>
                <w:spacing w:val="-9"/>
                <w:w w:val="105"/>
                <w:sz w:val="16"/>
              </w:rPr>
              <w:t xml:space="preserve"> </w:t>
            </w:r>
            <w:r w:rsidRPr="00EB2BD8">
              <w:rPr>
                <w:rFonts w:ascii="Arial"/>
                <w:b/>
                <w:w w:val="105"/>
                <w:sz w:val="16"/>
              </w:rPr>
              <w:t>other</w:t>
            </w:r>
            <w:r w:rsidRPr="00EB2BD8">
              <w:rPr>
                <w:rFonts w:ascii="Arial"/>
                <w:b/>
                <w:spacing w:val="-9"/>
                <w:w w:val="105"/>
                <w:sz w:val="16"/>
              </w:rPr>
              <w:t xml:space="preserve"> </w:t>
            </w:r>
            <w:r w:rsidRPr="00EB2BD8">
              <w:rPr>
                <w:rFonts w:ascii="Arial"/>
                <w:b/>
                <w:w w:val="105"/>
                <w:sz w:val="16"/>
              </w:rPr>
              <w:t>gains/(losses)</w:t>
            </w:r>
            <w:r w:rsidRPr="00EB2BD8">
              <w:rPr>
                <w:rFonts w:ascii="Arial"/>
                <w:b/>
                <w:spacing w:val="-9"/>
                <w:w w:val="105"/>
                <w:sz w:val="16"/>
              </w:rPr>
              <w:t xml:space="preserve"> </w:t>
            </w:r>
            <w:r w:rsidRPr="00EB2BD8">
              <w:rPr>
                <w:rFonts w:ascii="Arial"/>
                <w:b/>
                <w:w w:val="105"/>
                <w:sz w:val="16"/>
              </w:rPr>
              <w:t>from</w:t>
            </w:r>
            <w:r w:rsidRPr="00EB2BD8">
              <w:rPr>
                <w:rFonts w:ascii="Arial"/>
                <w:b/>
                <w:spacing w:val="-9"/>
                <w:w w:val="105"/>
                <w:sz w:val="16"/>
              </w:rPr>
              <w:t xml:space="preserve"> </w:t>
            </w:r>
            <w:r w:rsidRPr="00EB2BD8">
              <w:rPr>
                <w:rFonts w:ascii="Arial"/>
                <w:b/>
                <w:w w:val="105"/>
                <w:sz w:val="16"/>
              </w:rPr>
              <w:t>other</w:t>
            </w:r>
            <w:r w:rsidRPr="00EB2BD8">
              <w:rPr>
                <w:rFonts w:ascii="Arial"/>
                <w:b/>
                <w:spacing w:val="-9"/>
                <w:w w:val="105"/>
                <w:sz w:val="16"/>
              </w:rPr>
              <w:t xml:space="preserve"> </w:t>
            </w:r>
            <w:r w:rsidRPr="00EB2BD8">
              <w:rPr>
                <w:rFonts w:ascii="Arial"/>
                <w:b/>
                <w:w w:val="105"/>
                <w:sz w:val="16"/>
              </w:rPr>
              <w:t>economic</w:t>
            </w:r>
            <w:r w:rsidRPr="00EB2BD8">
              <w:rPr>
                <w:rFonts w:ascii="Arial"/>
                <w:b/>
                <w:spacing w:val="-9"/>
                <w:w w:val="105"/>
                <w:sz w:val="16"/>
              </w:rPr>
              <w:t xml:space="preserve"> </w:t>
            </w:r>
            <w:r w:rsidRPr="00EB2BD8">
              <w:rPr>
                <w:rFonts w:ascii="Arial"/>
                <w:b/>
                <w:spacing w:val="-2"/>
                <w:w w:val="105"/>
                <w:sz w:val="16"/>
              </w:rPr>
              <w:t>flows</w:t>
            </w:r>
          </w:p>
        </w:tc>
        <w:tc>
          <w:tcPr>
            <w:tcW w:w="1393" w:type="dxa"/>
            <w:tcBorders>
              <w:top w:val="single" w:sz="12" w:space="0" w:color="000000"/>
              <w:bottom w:val="single" w:sz="12" w:space="0" w:color="000000"/>
            </w:tcBorders>
            <w:shd w:val="clear" w:color="auto" w:fill="DEEAF6"/>
          </w:tcPr>
          <w:p w14:paraId="3D4DBF41" w14:textId="77777777" w:rsidR="00084F36" w:rsidRPr="00EB2BD8" w:rsidRDefault="00EB2BD8">
            <w:pPr>
              <w:pStyle w:val="TableParagraph"/>
              <w:spacing w:before="52"/>
              <w:ind w:right="95"/>
              <w:jc w:val="right"/>
              <w:rPr>
                <w:rFonts w:ascii="Arial"/>
                <w:sz w:val="16"/>
              </w:rPr>
            </w:pPr>
            <w:r w:rsidRPr="00EB2BD8">
              <w:rPr>
                <w:rFonts w:ascii="Arial"/>
                <w:spacing w:val="-5"/>
                <w:w w:val="105"/>
                <w:sz w:val="16"/>
              </w:rPr>
              <w:t>464</w:t>
            </w:r>
          </w:p>
        </w:tc>
        <w:tc>
          <w:tcPr>
            <w:tcW w:w="1393" w:type="dxa"/>
            <w:tcBorders>
              <w:top w:val="single" w:sz="12" w:space="0" w:color="000000"/>
              <w:bottom w:val="single" w:sz="12" w:space="0" w:color="000000"/>
            </w:tcBorders>
            <w:shd w:val="clear" w:color="auto" w:fill="FFFFFF"/>
          </w:tcPr>
          <w:p w14:paraId="6AAEF31B" w14:textId="77777777" w:rsidR="00084F36" w:rsidRPr="00EB2BD8" w:rsidRDefault="00EB2BD8">
            <w:pPr>
              <w:pStyle w:val="TableParagraph"/>
              <w:spacing w:before="52"/>
              <w:ind w:right="97"/>
              <w:jc w:val="right"/>
              <w:rPr>
                <w:rFonts w:ascii="Arial"/>
                <w:b/>
                <w:sz w:val="16"/>
              </w:rPr>
            </w:pPr>
            <w:r w:rsidRPr="00EB2BD8">
              <w:rPr>
                <w:rFonts w:ascii="Arial"/>
                <w:b/>
                <w:spacing w:val="-5"/>
                <w:w w:val="105"/>
                <w:sz w:val="16"/>
              </w:rPr>
              <w:t>210</w:t>
            </w:r>
          </w:p>
        </w:tc>
      </w:tr>
    </w:tbl>
    <w:p w14:paraId="31B64CAB" w14:textId="77777777" w:rsidR="00084F36" w:rsidRPr="00EB2BD8" w:rsidRDefault="00084F36">
      <w:pPr>
        <w:pStyle w:val="BodyText"/>
        <w:rPr>
          <w:rFonts w:ascii="Arial"/>
        </w:rPr>
      </w:pPr>
    </w:p>
    <w:p w14:paraId="39A80BFF" w14:textId="77777777" w:rsidR="00084F36" w:rsidRPr="00EB2BD8" w:rsidRDefault="00084F36">
      <w:pPr>
        <w:pStyle w:val="BodyText"/>
        <w:rPr>
          <w:rFonts w:ascii="Arial"/>
        </w:rPr>
      </w:pPr>
    </w:p>
    <w:p w14:paraId="7EE1013C" w14:textId="77777777" w:rsidR="00084F36" w:rsidRPr="00EB2BD8" w:rsidRDefault="00084F36">
      <w:pPr>
        <w:pStyle w:val="BodyText"/>
        <w:rPr>
          <w:rFonts w:ascii="Arial"/>
        </w:rPr>
      </w:pPr>
    </w:p>
    <w:p w14:paraId="18F96591" w14:textId="77777777" w:rsidR="00084F36" w:rsidRPr="00EB2BD8" w:rsidRDefault="00084F36">
      <w:pPr>
        <w:pStyle w:val="BodyText"/>
        <w:rPr>
          <w:rFonts w:ascii="Arial"/>
        </w:rPr>
      </w:pPr>
    </w:p>
    <w:p w14:paraId="32BA2E70" w14:textId="77777777" w:rsidR="00084F36" w:rsidRPr="00EB2BD8" w:rsidRDefault="00084F36">
      <w:pPr>
        <w:pStyle w:val="BodyText"/>
        <w:rPr>
          <w:rFonts w:ascii="Arial"/>
        </w:rPr>
      </w:pPr>
    </w:p>
    <w:p w14:paraId="2B945275" w14:textId="77777777" w:rsidR="00084F36" w:rsidRPr="00EB2BD8" w:rsidRDefault="00084F36">
      <w:pPr>
        <w:pStyle w:val="BodyText"/>
        <w:rPr>
          <w:rFonts w:ascii="Arial"/>
        </w:rPr>
      </w:pPr>
    </w:p>
    <w:p w14:paraId="742C2F30" w14:textId="77777777" w:rsidR="00084F36" w:rsidRPr="00EB2BD8" w:rsidRDefault="00084F36">
      <w:pPr>
        <w:pStyle w:val="BodyText"/>
        <w:rPr>
          <w:rFonts w:ascii="Arial"/>
        </w:rPr>
      </w:pPr>
    </w:p>
    <w:p w14:paraId="5E1B38BA" w14:textId="77777777" w:rsidR="00084F36" w:rsidRPr="00EB2BD8" w:rsidRDefault="00084F36">
      <w:pPr>
        <w:pStyle w:val="BodyText"/>
        <w:rPr>
          <w:rFonts w:ascii="Arial"/>
        </w:rPr>
      </w:pPr>
    </w:p>
    <w:p w14:paraId="555C0DD0" w14:textId="77777777" w:rsidR="00084F36" w:rsidRPr="00EB2BD8" w:rsidRDefault="00084F36">
      <w:pPr>
        <w:pStyle w:val="BodyText"/>
        <w:rPr>
          <w:rFonts w:ascii="Arial"/>
        </w:rPr>
      </w:pPr>
    </w:p>
    <w:p w14:paraId="478AC106" w14:textId="77777777" w:rsidR="00084F36" w:rsidRPr="00EB2BD8" w:rsidRDefault="00084F36">
      <w:pPr>
        <w:pStyle w:val="BodyText"/>
        <w:rPr>
          <w:rFonts w:ascii="Arial"/>
        </w:rPr>
      </w:pPr>
    </w:p>
    <w:p w14:paraId="311BE291" w14:textId="77777777" w:rsidR="00084F36" w:rsidRPr="00EB2BD8" w:rsidRDefault="00084F36">
      <w:pPr>
        <w:pStyle w:val="BodyText"/>
        <w:rPr>
          <w:rFonts w:ascii="Arial"/>
        </w:rPr>
      </w:pPr>
    </w:p>
    <w:p w14:paraId="15CF90EC" w14:textId="77777777" w:rsidR="00084F36" w:rsidRPr="00EB2BD8" w:rsidRDefault="00084F36">
      <w:pPr>
        <w:pStyle w:val="BodyText"/>
        <w:rPr>
          <w:rFonts w:ascii="Arial"/>
        </w:rPr>
      </w:pPr>
    </w:p>
    <w:p w14:paraId="56F762B5" w14:textId="77777777" w:rsidR="00084F36" w:rsidRPr="00EB2BD8" w:rsidRDefault="00084F36">
      <w:pPr>
        <w:pStyle w:val="BodyText"/>
        <w:rPr>
          <w:rFonts w:ascii="Arial"/>
        </w:rPr>
      </w:pPr>
    </w:p>
    <w:p w14:paraId="6B92A3B3" w14:textId="77777777" w:rsidR="00084F36" w:rsidRPr="00EB2BD8" w:rsidRDefault="00084F36">
      <w:pPr>
        <w:pStyle w:val="BodyText"/>
        <w:rPr>
          <w:rFonts w:ascii="Arial"/>
        </w:rPr>
      </w:pPr>
    </w:p>
    <w:p w14:paraId="739F0415" w14:textId="77777777" w:rsidR="00084F36" w:rsidRPr="00EB2BD8" w:rsidRDefault="00084F36">
      <w:pPr>
        <w:pStyle w:val="BodyText"/>
        <w:rPr>
          <w:rFonts w:ascii="Arial"/>
        </w:rPr>
      </w:pPr>
    </w:p>
    <w:p w14:paraId="366C95C9" w14:textId="77777777" w:rsidR="00084F36" w:rsidRPr="00EB2BD8" w:rsidRDefault="00084F36">
      <w:pPr>
        <w:pStyle w:val="BodyText"/>
        <w:rPr>
          <w:rFonts w:ascii="Arial"/>
        </w:rPr>
      </w:pPr>
    </w:p>
    <w:p w14:paraId="7EBB191B" w14:textId="77777777" w:rsidR="00084F36" w:rsidRPr="00EB2BD8" w:rsidRDefault="00084F36">
      <w:pPr>
        <w:pStyle w:val="BodyText"/>
        <w:rPr>
          <w:rFonts w:ascii="Arial"/>
        </w:rPr>
      </w:pPr>
    </w:p>
    <w:p w14:paraId="6ABF1FE2" w14:textId="77777777" w:rsidR="00084F36" w:rsidRPr="00EB2BD8" w:rsidRDefault="00084F36">
      <w:pPr>
        <w:pStyle w:val="BodyText"/>
        <w:spacing w:before="5"/>
        <w:rPr>
          <w:rFonts w:ascii="Arial"/>
          <w:sz w:val="26"/>
        </w:rPr>
      </w:pPr>
    </w:p>
    <w:p w14:paraId="413723B4" w14:textId="347D86F8" w:rsidR="00084F36" w:rsidRPr="00EB2BD8" w:rsidRDefault="00EB2BD8">
      <w:pPr>
        <w:tabs>
          <w:tab w:val="left" w:pos="1906"/>
        </w:tabs>
        <w:ind w:left="842"/>
        <w:rPr>
          <w:b/>
          <w:sz w:val="16"/>
        </w:rPr>
      </w:pPr>
      <w:r w:rsidRPr="00EB2BD8">
        <w:rPr>
          <w:sz w:val="16"/>
        </w:rPr>
        <w:tab/>
      </w:r>
    </w:p>
    <w:p w14:paraId="7B617ADE" w14:textId="77777777" w:rsidR="00084F36" w:rsidRPr="00EB2BD8" w:rsidRDefault="00084F36">
      <w:pPr>
        <w:rPr>
          <w:sz w:val="16"/>
        </w:rPr>
        <w:sectPr w:rsidR="00084F36" w:rsidRPr="00EB2BD8" w:rsidSect="006D75B2">
          <w:headerReference w:type="even" r:id="rId359"/>
          <w:footerReference w:type="even" r:id="rId360"/>
          <w:pgSz w:w="11910" w:h="16840"/>
          <w:pgMar w:top="780" w:right="0" w:bottom="280" w:left="0" w:header="0" w:footer="0" w:gutter="0"/>
          <w:cols w:space="720"/>
        </w:sectPr>
      </w:pPr>
    </w:p>
    <w:p w14:paraId="3319D8B0" w14:textId="77777777" w:rsidR="00084F36" w:rsidRPr="00EB2BD8" w:rsidRDefault="00084F36">
      <w:pPr>
        <w:pStyle w:val="BodyText"/>
        <w:rPr>
          <w:sz w:val="20"/>
        </w:rPr>
      </w:pPr>
    </w:p>
    <w:p w14:paraId="019AAD0F" w14:textId="390EB636" w:rsidR="00084F36" w:rsidRPr="00EB2BD8" w:rsidRDefault="00394A93">
      <w:pPr>
        <w:pStyle w:val="BodyText"/>
        <w:rPr>
          <w:sz w:val="20"/>
        </w:rPr>
      </w:pPr>
      <w:r w:rsidRPr="00EB2BD8">
        <w:rPr>
          <w:noProof/>
        </w:rPr>
        <mc:AlternateContent>
          <mc:Choice Requires="wpg">
            <w:drawing>
              <wp:anchor distT="0" distB="0" distL="0" distR="0" simplePos="0" relativeHeight="251715584" behindDoc="1" locked="0" layoutInCell="1" allowOverlap="1" wp14:anchorId="7BAEA0E3" wp14:editId="79335FCD">
                <wp:simplePos x="0" y="0"/>
                <wp:positionH relativeFrom="page">
                  <wp:posOffset>541020</wp:posOffset>
                </wp:positionH>
                <wp:positionV relativeFrom="page">
                  <wp:posOffset>842010</wp:posOffset>
                </wp:positionV>
                <wp:extent cx="6479540" cy="9084945"/>
                <wp:effectExtent l="0" t="0" r="0" b="0"/>
                <wp:wrapNone/>
                <wp:docPr id="1092" name="Group 10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9540" cy="9084945"/>
                          <a:chOff x="540371" y="899410"/>
                          <a:chExt cx="6479540" cy="9085190"/>
                        </a:xfrm>
                      </wpg:grpSpPr>
                      <wps:wsp>
                        <wps:cNvPr id="1097" name="Graphic 1097"/>
                        <wps:cNvSpPr/>
                        <wps:spPr>
                          <a:xfrm>
                            <a:off x="540371" y="899410"/>
                            <a:ext cx="6479540" cy="9085190"/>
                          </a:xfrm>
                          <a:custGeom>
                            <a:avLst/>
                            <a:gdLst/>
                            <a:ahLst/>
                            <a:cxnLst/>
                            <a:rect l="l" t="t" r="r" b="b"/>
                            <a:pathLst>
                              <a:path w="6479540" h="8514080">
                                <a:moveTo>
                                  <a:pt x="6479540" y="0"/>
                                </a:moveTo>
                                <a:lnTo>
                                  <a:pt x="0" y="0"/>
                                </a:lnTo>
                                <a:lnTo>
                                  <a:pt x="0" y="8514003"/>
                                </a:lnTo>
                                <a:lnTo>
                                  <a:pt x="6479540" y="8514003"/>
                                </a:lnTo>
                                <a:lnTo>
                                  <a:pt x="6479540" y="0"/>
                                </a:lnTo>
                                <a:close/>
                              </a:path>
                            </a:pathLst>
                          </a:custGeom>
                          <a:solidFill>
                            <a:srgbClr val="FFFFFF"/>
                          </a:solidFill>
                        </wps:spPr>
                        <wps:bodyPr wrap="square" lIns="0" tIns="0" rIns="0" bIns="0" rtlCol="0">
                          <a:prstTxWarp prst="textNoShape">
                            <a:avLst/>
                          </a:prstTxWarp>
                          <a:noAutofit/>
                        </wps:bodyPr>
                      </wps:wsp>
                      <wps:wsp>
                        <wps:cNvPr id="1098" name="Graphic 1098"/>
                        <wps:cNvSpPr/>
                        <wps:spPr>
                          <a:xfrm>
                            <a:off x="673481" y="4979047"/>
                            <a:ext cx="5618480" cy="213360"/>
                          </a:xfrm>
                          <a:custGeom>
                            <a:avLst/>
                            <a:gdLst/>
                            <a:ahLst/>
                            <a:cxnLst/>
                            <a:rect l="l" t="t" r="r" b="b"/>
                            <a:pathLst>
                              <a:path w="5618480" h="213360">
                                <a:moveTo>
                                  <a:pt x="5618188" y="0"/>
                                </a:moveTo>
                                <a:lnTo>
                                  <a:pt x="3579279" y="0"/>
                                </a:lnTo>
                                <a:lnTo>
                                  <a:pt x="0" y="0"/>
                                </a:lnTo>
                                <a:lnTo>
                                  <a:pt x="0" y="213347"/>
                                </a:lnTo>
                                <a:lnTo>
                                  <a:pt x="3579279" y="213347"/>
                                </a:lnTo>
                                <a:lnTo>
                                  <a:pt x="5618188" y="213347"/>
                                </a:lnTo>
                                <a:lnTo>
                                  <a:pt x="5618188" y="0"/>
                                </a:lnTo>
                                <a:close/>
                              </a:path>
                            </a:pathLst>
                          </a:custGeom>
                          <a:solidFill>
                            <a:srgbClr val="0070C0"/>
                          </a:solidFill>
                        </wps:spPr>
                        <wps:bodyPr wrap="square" lIns="0" tIns="0" rIns="0" bIns="0" rtlCol="0">
                          <a:prstTxWarp prst="textNoShape">
                            <a:avLst/>
                          </a:prstTxWarp>
                          <a:noAutofit/>
                        </wps:bodyPr>
                      </wps:wsp>
                      <wps:wsp>
                        <wps:cNvPr id="1099" name="Graphic 1099"/>
                        <wps:cNvSpPr/>
                        <wps:spPr>
                          <a:xfrm>
                            <a:off x="673481" y="4972620"/>
                            <a:ext cx="5618480" cy="226060"/>
                          </a:xfrm>
                          <a:custGeom>
                            <a:avLst/>
                            <a:gdLst/>
                            <a:ahLst/>
                            <a:cxnLst/>
                            <a:rect l="l" t="t" r="r" b="b"/>
                            <a:pathLst>
                              <a:path w="5618480" h="226060">
                                <a:moveTo>
                                  <a:pt x="5618188" y="219760"/>
                                </a:moveTo>
                                <a:lnTo>
                                  <a:pt x="3584968" y="219760"/>
                                </a:lnTo>
                                <a:lnTo>
                                  <a:pt x="3579291" y="219760"/>
                                </a:lnTo>
                                <a:lnTo>
                                  <a:pt x="0" y="219760"/>
                                </a:lnTo>
                                <a:lnTo>
                                  <a:pt x="0" y="225463"/>
                                </a:lnTo>
                                <a:lnTo>
                                  <a:pt x="3579279" y="225463"/>
                                </a:lnTo>
                                <a:lnTo>
                                  <a:pt x="3584968" y="225463"/>
                                </a:lnTo>
                                <a:lnTo>
                                  <a:pt x="5618188" y="225463"/>
                                </a:lnTo>
                                <a:lnTo>
                                  <a:pt x="5618188" y="219760"/>
                                </a:lnTo>
                                <a:close/>
                              </a:path>
                              <a:path w="5618480" h="226060">
                                <a:moveTo>
                                  <a:pt x="5618188" y="0"/>
                                </a:moveTo>
                                <a:lnTo>
                                  <a:pt x="3584968" y="0"/>
                                </a:lnTo>
                                <a:lnTo>
                                  <a:pt x="3579291" y="0"/>
                                </a:lnTo>
                                <a:lnTo>
                                  <a:pt x="0" y="0"/>
                                </a:lnTo>
                                <a:lnTo>
                                  <a:pt x="0" y="5702"/>
                                </a:lnTo>
                                <a:lnTo>
                                  <a:pt x="3579279" y="5702"/>
                                </a:lnTo>
                                <a:lnTo>
                                  <a:pt x="3584968" y="5702"/>
                                </a:lnTo>
                                <a:lnTo>
                                  <a:pt x="5618188" y="5702"/>
                                </a:lnTo>
                                <a:lnTo>
                                  <a:pt x="5618188" y="0"/>
                                </a:lnTo>
                                <a:close/>
                              </a:path>
                            </a:pathLst>
                          </a:custGeom>
                          <a:solidFill>
                            <a:srgbClr val="0098FF"/>
                          </a:solidFill>
                        </wps:spPr>
                        <wps:bodyPr wrap="square" lIns="0" tIns="0" rIns="0" bIns="0" rtlCol="0">
                          <a:prstTxWarp prst="textNoShape">
                            <a:avLst/>
                          </a:prstTxWarp>
                          <a:noAutofit/>
                        </wps:bodyPr>
                      </wps:wsp>
                      <wps:wsp>
                        <wps:cNvPr id="1100" name="Graphic 1100"/>
                        <wps:cNvSpPr/>
                        <wps:spPr>
                          <a:xfrm>
                            <a:off x="673481" y="8121662"/>
                            <a:ext cx="5618480" cy="213360"/>
                          </a:xfrm>
                          <a:custGeom>
                            <a:avLst/>
                            <a:gdLst/>
                            <a:ahLst/>
                            <a:cxnLst/>
                            <a:rect l="l" t="t" r="r" b="b"/>
                            <a:pathLst>
                              <a:path w="5618480" h="213360">
                                <a:moveTo>
                                  <a:pt x="5618188" y="0"/>
                                </a:moveTo>
                                <a:lnTo>
                                  <a:pt x="3579279" y="0"/>
                                </a:lnTo>
                                <a:lnTo>
                                  <a:pt x="0" y="0"/>
                                </a:lnTo>
                                <a:lnTo>
                                  <a:pt x="0" y="213347"/>
                                </a:lnTo>
                                <a:lnTo>
                                  <a:pt x="3579279" y="213347"/>
                                </a:lnTo>
                                <a:lnTo>
                                  <a:pt x="5618188" y="213347"/>
                                </a:lnTo>
                                <a:lnTo>
                                  <a:pt x="5618188" y="0"/>
                                </a:lnTo>
                                <a:close/>
                              </a:path>
                            </a:pathLst>
                          </a:custGeom>
                          <a:solidFill>
                            <a:srgbClr val="0070C0"/>
                          </a:solidFill>
                        </wps:spPr>
                        <wps:bodyPr wrap="square" lIns="0" tIns="0" rIns="0" bIns="0" rtlCol="0">
                          <a:prstTxWarp prst="textNoShape">
                            <a:avLst/>
                          </a:prstTxWarp>
                          <a:noAutofit/>
                        </wps:bodyPr>
                      </wps:wsp>
                      <wps:wsp>
                        <wps:cNvPr id="1101" name="Graphic 1101"/>
                        <wps:cNvSpPr/>
                        <wps:spPr>
                          <a:xfrm>
                            <a:off x="673481" y="8115261"/>
                            <a:ext cx="5618480" cy="5715"/>
                          </a:xfrm>
                          <a:custGeom>
                            <a:avLst/>
                            <a:gdLst/>
                            <a:ahLst/>
                            <a:cxnLst/>
                            <a:rect l="l" t="t" r="r" b="b"/>
                            <a:pathLst>
                              <a:path w="5618480" h="5715">
                                <a:moveTo>
                                  <a:pt x="5618188" y="0"/>
                                </a:moveTo>
                                <a:lnTo>
                                  <a:pt x="3584968" y="0"/>
                                </a:lnTo>
                                <a:lnTo>
                                  <a:pt x="3579291" y="0"/>
                                </a:lnTo>
                                <a:lnTo>
                                  <a:pt x="0" y="0"/>
                                </a:lnTo>
                                <a:lnTo>
                                  <a:pt x="0" y="5702"/>
                                </a:lnTo>
                                <a:lnTo>
                                  <a:pt x="3579279" y="5702"/>
                                </a:lnTo>
                                <a:lnTo>
                                  <a:pt x="3584968" y="5702"/>
                                </a:lnTo>
                                <a:lnTo>
                                  <a:pt x="5618188" y="5702"/>
                                </a:lnTo>
                                <a:lnTo>
                                  <a:pt x="5618188" y="0"/>
                                </a:lnTo>
                                <a:close/>
                              </a:path>
                            </a:pathLst>
                          </a:custGeom>
                          <a:solidFill>
                            <a:srgbClr val="0098FF"/>
                          </a:solidFill>
                        </wps:spPr>
                        <wps:bodyPr wrap="square" lIns="0" tIns="0" rIns="0" bIns="0" rtlCol="0">
                          <a:prstTxWarp prst="textNoShape">
                            <a:avLst/>
                          </a:prstTxWarp>
                          <a:noAutofit/>
                        </wps:bodyPr>
                      </wps:wsp>
                      <wps:wsp>
                        <wps:cNvPr id="1102" name="Graphic 1102"/>
                        <wps:cNvSpPr/>
                        <wps:spPr>
                          <a:xfrm>
                            <a:off x="664946" y="8945193"/>
                            <a:ext cx="5626735" cy="26670"/>
                          </a:xfrm>
                          <a:custGeom>
                            <a:avLst/>
                            <a:gdLst/>
                            <a:ahLst/>
                            <a:cxnLst/>
                            <a:rect l="l" t="t" r="r" b="b"/>
                            <a:pathLst>
                              <a:path w="5626735" h="26670">
                                <a:moveTo>
                                  <a:pt x="5626722" y="0"/>
                                </a:moveTo>
                                <a:lnTo>
                                  <a:pt x="3605593" y="0"/>
                                </a:lnTo>
                                <a:lnTo>
                                  <a:pt x="3587813" y="0"/>
                                </a:lnTo>
                                <a:lnTo>
                                  <a:pt x="3579279" y="0"/>
                                </a:lnTo>
                                <a:lnTo>
                                  <a:pt x="0" y="0"/>
                                </a:lnTo>
                                <a:lnTo>
                                  <a:pt x="0" y="26314"/>
                                </a:lnTo>
                                <a:lnTo>
                                  <a:pt x="3579279" y="26314"/>
                                </a:lnTo>
                                <a:lnTo>
                                  <a:pt x="3587813" y="26314"/>
                                </a:lnTo>
                                <a:lnTo>
                                  <a:pt x="3605593" y="26314"/>
                                </a:lnTo>
                                <a:lnTo>
                                  <a:pt x="5626722" y="26314"/>
                                </a:lnTo>
                                <a:lnTo>
                                  <a:pt x="5626722"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A73B42" id="Group 1092" o:spid="_x0000_s1026" alt="&quot;&quot;" style="position:absolute;margin-left:42.6pt;margin-top:66.3pt;width:510.2pt;height:715.35pt;z-index:-251600896;mso-wrap-distance-left:0;mso-wrap-distance-right:0;mso-position-horizontal-relative:page;mso-position-vertical-relative:page;mso-width-relative:margin;mso-height-relative:margin" coordorigin="5403,8994" coordsize="64795,9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">
                <v:shape id="Graphic 1097" o:spid="_x0000_s1027" style="position:absolute;left:5403;top:8994;width:64796;height:90852;visibility:visible;mso-wrap-style:square;v-text-anchor:top" coordsize="6479540,851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" path="m6479540,l,,,8514003r6479540,l6479540,xe" stroked="f">
                  <v:path arrowok="t"/>
                </v:shape>
                <v:shape id="Graphic 1098" o:spid="_x0000_s1028" style="position:absolute;left:6734;top:49790;width:56185;height:2134;visibility:visible;mso-wrap-style:square;v-text-anchor:top" coordsize="561848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" path="m5618188,l3579279,,,,,213347r3579279,l5618188,213347,5618188,xe" fillcolor="#0070c0" stroked="f">
                  <v:path arrowok="t"/>
                </v:shape>
                <v:shape id="Graphic 1099" o:spid="_x0000_s1029" style="position:absolute;left:6734;top:49726;width:56185;height:2260;visibility:visible;mso-wrap-style:square;v-text-anchor:top" coordsize="561848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" path="m5618188,219760r-2033220,l3579291,219760,,219760r,5703l3579279,225463r5689,l5618188,225463r,-5703xem5618188,l3584968,r-5677,l,,,5702r3579279,l3584968,5702r2033220,l5618188,xe" fillcolor="#0098ff" stroked="f">
                  <v:path arrowok="t"/>
                </v:shape>
                <v:shape id="Graphic 1100" o:spid="_x0000_s1030" style="position:absolute;left:6734;top:81216;width:56185;height:2134;visibility:visible;mso-wrap-style:square;v-text-anchor:top" coordsize="561848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" path="m5618188,l3579279,,,,,213347r3579279,l5618188,213347,5618188,xe" fillcolor="#0070c0" stroked="f">
                  <v:path arrowok="t"/>
                </v:shape>
                <v:shape id="Graphic 1101" o:spid="_x0000_s1031" style="position:absolute;left:6734;top:81152;width:56185;height:57;visibility:visible;mso-wrap-style:square;v-text-anchor:top" coordsize="561848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" path="m5618188,l3584968,r-5677,l,,,5702r3579279,l3584968,5702r2033220,l5618188,xe" fillcolor="#0098ff" stroked="f">
                  <v:path arrowok="t"/>
                </v:shape>
                <v:shape id="Graphic 1102" o:spid="_x0000_s1032" style="position:absolute;left:6649;top:89451;width:56267;height:267;visibility:visible;mso-wrap-style:square;v-text-anchor:top" coordsize="56267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" path="m5626722,l3605593,r-17780,l3579279,,,,,26314r3579279,l3587813,26314r17780,l5626722,26314r,-26314xe" fillcolor="black" stroked="f">
                  <v:path arrowok="t"/>
                </v:shape>
                <w10:wrap anchorx="page" anchory="page"/>
              </v:group>
            </w:pict>
          </mc:Fallback>
        </mc:AlternateContent>
      </w:r>
    </w:p>
    <w:p w14:paraId="25EDD91D" w14:textId="77777777" w:rsidR="00084F36" w:rsidRPr="00EB2BD8" w:rsidRDefault="00084F36">
      <w:pPr>
        <w:pStyle w:val="BodyText"/>
        <w:rPr>
          <w:sz w:val="20"/>
        </w:rPr>
      </w:pPr>
    </w:p>
    <w:p w14:paraId="33883C12" w14:textId="77777777" w:rsidR="00181224" w:rsidRDefault="00181224" w:rsidP="00181224">
      <w:pPr>
        <w:pStyle w:val="Heading2"/>
        <w:ind w:left="0"/>
      </w:pPr>
    </w:p>
    <w:p w14:paraId="1E70B550" w14:textId="17CBFBDB" w:rsidR="00084F36" w:rsidRPr="00EB2BD8" w:rsidRDefault="00181224" w:rsidP="00181224">
      <w:pPr>
        <w:pStyle w:val="Heading2"/>
      </w:pPr>
      <w:r>
        <w:t xml:space="preserve">   </w:t>
      </w:r>
      <w:bookmarkStart w:id="364" w:name="_Toc150762666"/>
      <w:r>
        <w:t>8.2 A</w:t>
      </w:r>
      <w:r w:rsidRPr="00EB2BD8">
        <w:t>sset</w:t>
      </w:r>
      <w:r w:rsidRPr="00EB2BD8">
        <w:rPr>
          <w:spacing w:val="19"/>
        </w:rPr>
        <w:t xml:space="preserve"> </w:t>
      </w:r>
      <w:r w:rsidRPr="00EB2BD8">
        <w:t>revaluation</w:t>
      </w:r>
      <w:r w:rsidRPr="00EB2BD8">
        <w:rPr>
          <w:spacing w:val="19"/>
        </w:rPr>
        <w:t xml:space="preserve"> </w:t>
      </w:r>
      <w:r w:rsidRPr="00EB2BD8">
        <w:rPr>
          <w:spacing w:val="-2"/>
        </w:rPr>
        <w:t>reserve</w:t>
      </w:r>
      <w:bookmarkEnd w:id="364"/>
    </w:p>
    <w:p w14:paraId="64E87223" w14:textId="77777777" w:rsidR="00084F36" w:rsidRPr="00EB2BD8" w:rsidRDefault="00084F36">
      <w:pPr>
        <w:pStyle w:val="BodyText"/>
        <w:rPr>
          <w:rFonts w:ascii="Arial"/>
          <w:b/>
          <w:sz w:val="11"/>
        </w:rPr>
      </w:pPr>
    </w:p>
    <w:p w14:paraId="446F8BC5" w14:textId="77777777" w:rsidR="00084F36" w:rsidRPr="00EB2BD8" w:rsidRDefault="00EB2BD8">
      <w:pPr>
        <w:spacing w:before="102" w:after="47"/>
        <w:ind w:right="2059"/>
        <w:jc w:val="right"/>
        <w:rPr>
          <w:rFonts w:ascii="Arial" w:hAnsi="Arial"/>
          <w:sz w:val="16"/>
        </w:rPr>
      </w:pPr>
      <w:r w:rsidRPr="00EB2BD8">
        <w:rPr>
          <w:rFonts w:ascii="Arial" w:hAnsi="Arial"/>
          <w:spacing w:val="-2"/>
          <w:w w:val="105"/>
          <w:sz w:val="16"/>
        </w:rPr>
        <w:t>($’000)</w:t>
      </w:r>
    </w:p>
    <w:tbl>
      <w:tblPr>
        <w:tblW w:w="0" w:type="auto"/>
        <w:tblInd w:w="1063" w:type="dxa"/>
        <w:tblLayout w:type="fixed"/>
        <w:tblCellMar>
          <w:left w:w="0" w:type="dxa"/>
          <w:right w:w="0" w:type="dxa"/>
        </w:tblCellMar>
        <w:tblLook w:val="01E0" w:firstRow="1" w:lastRow="1" w:firstColumn="1" w:lastColumn="1" w:noHBand="0" w:noVBand="0"/>
      </w:tblPr>
      <w:tblGrid>
        <w:gridCol w:w="6086"/>
        <w:gridCol w:w="1400"/>
        <w:gridCol w:w="1400"/>
      </w:tblGrid>
      <w:tr w:rsidR="00EB2BD8" w:rsidRPr="00EB2BD8" w14:paraId="230E4151" w14:textId="77777777">
        <w:trPr>
          <w:trHeight w:val="306"/>
        </w:trPr>
        <w:tc>
          <w:tcPr>
            <w:tcW w:w="7486" w:type="dxa"/>
            <w:gridSpan w:val="2"/>
            <w:tcBorders>
              <w:top w:val="single" w:sz="4" w:space="0" w:color="0098FF"/>
              <w:bottom w:val="single" w:sz="4" w:space="0" w:color="0098FF"/>
            </w:tcBorders>
            <w:shd w:val="clear" w:color="auto" w:fill="0070C0"/>
          </w:tcPr>
          <w:p w14:paraId="0651E35B" w14:textId="77777777" w:rsidR="00084F36" w:rsidRPr="00EB2BD8" w:rsidRDefault="00EB2BD8">
            <w:pPr>
              <w:pStyle w:val="TableParagraph"/>
              <w:spacing w:before="63"/>
              <w:ind w:right="95"/>
              <w:jc w:val="right"/>
              <w:rPr>
                <w:rFonts w:ascii="Arial"/>
                <w:b/>
                <w:sz w:val="16"/>
              </w:rPr>
            </w:pPr>
            <w:r w:rsidRPr="00EB2BD8">
              <w:rPr>
                <w:rFonts w:ascii="Arial"/>
                <w:b/>
                <w:spacing w:val="-4"/>
                <w:w w:val="105"/>
                <w:sz w:val="16"/>
              </w:rPr>
              <w:t>2023</w:t>
            </w:r>
          </w:p>
        </w:tc>
        <w:tc>
          <w:tcPr>
            <w:tcW w:w="1400" w:type="dxa"/>
            <w:tcBorders>
              <w:top w:val="single" w:sz="4" w:space="0" w:color="0098FF"/>
              <w:bottom w:val="single" w:sz="4" w:space="0" w:color="0098FF"/>
              <w:right w:val="single" w:sz="4" w:space="0" w:color="0098FF"/>
            </w:tcBorders>
            <w:shd w:val="clear" w:color="auto" w:fill="0070C0"/>
          </w:tcPr>
          <w:p w14:paraId="0E8BC4EC" w14:textId="77777777" w:rsidR="00084F36" w:rsidRPr="00EB2BD8" w:rsidRDefault="00EB2BD8">
            <w:pPr>
              <w:pStyle w:val="TableParagraph"/>
              <w:spacing w:before="63"/>
              <w:ind w:right="90"/>
              <w:jc w:val="right"/>
              <w:rPr>
                <w:rFonts w:ascii="Arial"/>
                <w:b/>
                <w:sz w:val="16"/>
              </w:rPr>
            </w:pPr>
            <w:r w:rsidRPr="00EB2BD8">
              <w:rPr>
                <w:rFonts w:ascii="Arial"/>
                <w:b/>
                <w:spacing w:val="-4"/>
                <w:w w:val="105"/>
                <w:sz w:val="16"/>
              </w:rPr>
              <w:t>2022</w:t>
            </w:r>
          </w:p>
        </w:tc>
      </w:tr>
      <w:tr w:rsidR="00EB2BD8" w:rsidRPr="00EB2BD8" w14:paraId="75EAAA77" w14:textId="77777777">
        <w:trPr>
          <w:trHeight w:val="312"/>
        </w:trPr>
        <w:tc>
          <w:tcPr>
            <w:tcW w:w="6086" w:type="dxa"/>
            <w:tcBorders>
              <w:top w:val="single" w:sz="4" w:space="0" w:color="0098FF"/>
            </w:tcBorders>
            <w:shd w:val="clear" w:color="auto" w:fill="FFFFFF"/>
          </w:tcPr>
          <w:p w14:paraId="74EC8103" w14:textId="77777777" w:rsidR="00084F36" w:rsidRPr="00EB2BD8" w:rsidRDefault="00EB2BD8">
            <w:pPr>
              <w:pStyle w:val="TableParagraph"/>
              <w:spacing w:before="51"/>
              <w:ind w:left="105"/>
              <w:rPr>
                <w:rFonts w:ascii="Arial"/>
                <w:sz w:val="11"/>
              </w:rPr>
            </w:pPr>
            <w:r w:rsidRPr="00EB2BD8">
              <w:rPr>
                <w:rFonts w:ascii="Arial"/>
                <w:w w:val="105"/>
                <w:sz w:val="16"/>
              </w:rPr>
              <w:t>Asset</w:t>
            </w:r>
            <w:r w:rsidRPr="00EB2BD8">
              <w:rPr>
                <w:rFonts w:ascii="Arial"/>
                <w:spacing w:val="-10"/>
                <w:w w:val="105"/>
                <w:sz w:val="16"/>
              </w:rPr>
              <w:t xml:space="preserve"> </w:t>
            </w:r>
            <w:r w:rsidRPr="00EB2BD8">
              <w:rPr>
                <w:rFonts w:ascii="Arial"/>
                <w:w w:val="105"/>
                <w:sz w:val="16"/>
              </w:rPr>
              <w:t>revaluation</w:t>
            </w:r>
            <w:r w:rsidRPr="00EB2BD8">
              <w:rPr>
                <w:rFonts w:ascii="Arial"/>
                <w:spacing w:val="-10"/>
                <w:w w:val="105"/>
                <w:sz w:val="16"/>
              </w:rPr>
              <w:t xml:space="preserve"> </w:t>
            </w:r>
            <w:r w:rsidRPr="00EB2BD8">
              <w:rPr>
                <w:rFonts w:ascii="Arial"/>
                <w:spacing w:val="-2"/>
                <w:w w:val="105"/>
                <w:sz w:val="16"/>
              </w:rPr>
              <w:t>surplus</w:t>
            </w:r>
            <w:r w:rsidRPr="00EB2BD8">
              <w:rPr>
                <w:rFonts w:ascii="Arial"/>
                <w:spacing w:val="-2"/>
                <w:w w:val="105"/>
                <w:position w:val="6"/>
                <w:sz w:val="11"/>
              </w:rPr>
              <w:t>(a)</w:t>
            </w:r>
          </w:p>
        </w:tc>
        <w:tc>
          <w:tcPr>
            <w:tcW w:w="1400" w:type="dxa"/>
            <w:tcBorders>
              <w:top w:val="single" w:sz="4" w:space="0" w:color="0098FF"/>
            </w:tcBorders>
            <w:shd w:val="clear" w:color="auto" w:fill="DEEAF6"/>
          </w:tcPr>
          <w:p w14:paraId="301E3FF6" w14:textId="77777777" w:rsidR="00084F36" w:rsidRPr="00EB2BD8" w:rsidRDefault="00084F36">
            <w:pPr>
              <w:pStyle w:val="TableParagraph"/>
              <w:rPr>
                <w:rFonts w:ascii="Times New Roman"/>
                <w:sz w:val="16"/>
              </w:rPr>
            </w:pPr>
          </w:p>
        </w:tc>
        <w:tc>
          <w:tcPr>
            <w:tcW w:w="1400" w:type="dxa"/>
            <w:tcBorders>
              <w:top w:val="single" w:sz="4" w:space="0" w:color="0098FF"/>
            </w:tcBorders>
            <w:shd w:val="clear" w:color="auto" w:fill="FFFFFF"/>
          </w:tcPr>
          <w:p w14:paraId="13887B30" w14:textId="77777777" w:rsidR="00084F36" w:rsidRPr="00EB2BD8" w:rsidRDefault="00084F36">
            <w:pPr>
              <w:pStyle w:val="TableParagraph"/>
              <w:rPr>
                <w:rFonts w:ascii="Times New Roman"/>
                <w:sz w:val="16"/>
              </w:rPr>
            </w:pPr>
          </w:p>
        </w:tc>
      </w:tr>
      <w:tr w:rsidR="00EB2BD8" w:rsidRPr="00EB2BD8" w14:paraId="61FDDAB2" w14:textId="77777777">
        <w:trPr>
          <w:trHeight w:val="314"/>
        </w:trPr>
        <w:tc>
          <w:tcPr>
            <w:tcW w:w="6086" w:type="dxa"/>
            <w:shd w:val="clear" w:color="auto" w:fill="FFFFFF"/>
          </w:tcPr>
          <w:p w14:paraId="469A82C1" w14:textId="77777777" w:rsidR="00084F36" w:rsidRPr="00EB2BD8" w:rsidRDefault="00EB2BD8">
            <w:pPr>
              <w:pStyle w:val="TableParagraph"/>
              <w:spacing w:before="64"/>
              <w:ind w:left="105"/>
              <w:rPr>
                <w:rFonts w:ascii="Arial"/>
                <w:sz w:val="16"/>
              </w:rPr>
            </w:pPr>
            <w:r w:rsidRPr="00EB2BD8">
              <w:rPr>
                <w:rFonts w:ascii="Arial"/>
                <w:w w:val="105"/>
                <w:sz w:val="16"/>
              </w:rPr>
              <w:t>Balance</w:t>
            </w:r>
            <w:r w:rsidRPr="00EB2BD8">
              <w:rPr>
                <w:rFonts w:ascii="Arial"/>
                <w:spacing w:val="-7"/>
                <w:w w:val="105"/>
                <w:sz w:val="16"/>
              </w:rPr>
              <w:t xml:space="preserve"> </w:t>
            </w:r>
            <w:r w:rsidRPr="00EB2BD8">
              <w:rPr>
                <w:rFonts w:ascii="Arial"/>
                <w:w w:val="105"/>
                <w:sz w:val="16"/>
              </w:rPr>
              <w:t>at</w:t>
            </w:r>
            <w:r w:rsidRPr="00EB2BD8">
              <w:rPr>
                <w:rFonts w:ascii="Arial"/>
                <w:spacing w:val="-7"/>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beginning</w:t>
            </w:r>
            <w:r w:rsidRPr="00EB2BD8">
              <w:rPr>
                <w:rFonts w:ascii="Arial"/>
                <w:spacing w:val="-7"/>
                <w:w w:val="105"/>
                <w:sz w:val="16"/>
              </w:rPr>
              <w:t xml:space="preserve"> </w:t>
            </w:r>
            <w:r w:rsidRPr="00EB2BD8">
              <w:rPr>
                <w:rFonts w:ascii="Arial"/>
                <w:w w:val="105"/>
                <w:sz w:val="16"/>
              </w:rPr>
              <w:t>of</w:t>
            </w:r>
            <w:r w:rsidRPr="00EB2BD8">
              <w:rPr>
                <w:rFonts w:ascii="Arial"/>
                <w:spacing w:val="-7"/>
                <w:w w:val="105"/>
                <w:sz w:val="16"/>
              </w:rPr>
              <w:t xml:space="preserve"> </w:t>
            </w:r>
            <w:r w:rsidRPr="00EB2BD8">
              <w:rPr>
                <w:rFonts w:ascii="Arial"/>
                <w:w w:val="105"/>
                <w:sz w:val="16"/>
              </w:rPr>
              <w:t>financial</w:t>
            </w:r>
            <w:r w:rsidRPr="00EB2BD8">
              <w:rPr>
                <w:rFonts w:ascii="Arial"/>
                <w:spacing w:val="-7"/>
                <w:w w:val="105"/>
                <w:sz w:val="16"/>
              </w:rPr>
              <w:t xml:space="preserve"> </w:t>
            </w:r>
            <w:r w:rsidRPr="00EB2BD8">
              <w:rPr>
                <w:rFonts w:ascii="Arial"/>
                <w:spacing w:val="-4"/>
                <w:w w:val="105"/>
                <w:sz w:val="16"/>
              </w:rPr>
              <w:t>year</w:t>
            </w:r>
          </w:p>
        </w:tc>
        <w:tc>
          <w:tcPr>
            <w:tcW w:w="1400" w:type="dxa"/>
            <w:shd w:val="clear" w:color="auto" w:fill="DEEAF6"/>
          </w:tcPr>
          <w:p w14:paraId="3096F2C4" w14:textId="77777777" w:rsidR="00084F36" w:rsidRPr="00EB2BD8" w:rsidRDefault="00EB2BD8">
            <w:pPr>
              <w:pStyle w:val="TableParagraph"/>
              <w:spacing w:before="64"/>
              <w:ind w:right="95"/>
              <w:jc w:val="right"/>
              <w:rPr>
                <w:rFonts w:ascii="Arial"/>
                <w:sz w:val="16"/>
              </w:rPr>
            </w:pPr>
            <w:r w:rsidRPr="00EB2BD8">
              <w:rPr>
                <w:rFonts w:ascii="Arial"/>
                <w:spacing w:val="-5"/>
                <w:w w:val="105"/>
                <w:sz w:val="16"/>
              </w:rPr>
              <w:t>745</w:t>
            </w:r>
          </w:p>
        </w:tc>
        <w:tc>
          <w:tcPr>
            <w:tcW w:w="1400" w:type="dxa"/>
            <w:shd w:val="clear" w:color="auto" w:fill="FFFFFF"/>
          </w:tcPr>
          <w:p w14:paraId="29EC1C13" w14:textId="77777777" w:rsidR="00084F36" w:rsidRPr="00EB2BD8" w:rsidRDefault="00EB2BD8">
            <w:pPr>
              <w:pStyle w:val="TableParagraph"/>
              <w:spacing w:before="64"/>
              <w:ind w:right="94"/>
              <w:jc w:val="right"/>
              <w:rPr>
                <w:rFonts w:ascii="Arial"/>
                <w:sz w:val="16"/>
              </w:rPr>
            </w:pPr>
            <w:r w:rsidRPr="00EB2BD8">
              <w:rPr>
                <w:rFonts w:ascii="Arial"/>
                <w:spacing w:val="-5"/>
                <w:w w:val="105"/>
                <w:sz w:val="16"/>
              </w:rPr>
              <w:t>403</w:t>
            </w:r>
          </w:p>
        </w:tc>
      </w:tr>
      <w:tr w:rsidR="00EB2BD8" w:rsidRPr="00EB2BD8" w14:paraId="66082BE3" w14:textId="77777777">
        <w:trPr>
          <w:trHeight w:val="314"/>
        </w:trPr>
        <w:tc>
          <w:tcPr>
            <w:tcW w:w="6086" w:type="dxa"/>
            <w:tcBorders>
              <w:bottom w:val="single" w:sz="12" w:space="0" w:color="000000"/>
            </w:tcBorders>
            <w:shd w:val="clear" w:color="auto" w:fill="FFFFFF"/>
          </w:tcPr>
          <w:p w14:paraId="62BBB7AD" w14:textId="77777777" w:rsidR="00084F36" w:rsidRPr="00EB2BD8" w:rsidRDefault="00EB2BD8">
            <w:pPr>
              <w:pStyle w:val="TableParagraph"/>
              <w:spacing w:before="66"/>
              <w:ind w:left="105"/>
              <w:rPr>
                <w:rFonts w:ascii="Arial"/>
                <w:sz w:val="16"/>
              </w:rPr>
            </w:pPr>
            <w:r w:rsidRPr="00EB2BD8">
              <w:rPr>
                <w:rFonts w:ascii="Arial"/>
                <w:spacing w:val="-2"/>
                <w:w w:val="105"/>
                <w:sz w:val="16"/>
              </w:rPr>
              <w:t>Revaluation</w:t>
            </w:r>
            <w:r w:rsidRPr="00EB2BD8">
              <w:rPr>
                <w:rFonts w:ascii="Arial"/>
                <w:spacing w:val="7"/>
                <w:w w:val="105"/>
                <w:sz w:val="16"/>
              </w:rPr>
              <w:t xml:space="preserve"> </w:t>
            </w:r>
            <w:r w:rsidRPr="00EB2BD8">
              <w:rPr>
                <w:rFonts w:ascii="Arial"/>
                <w:spacing w:val="-2"/>
                <w:w w:val="105"/>
                <w:sz w:val="16"/>
              </w:rPr>
              <w:t>increments/(decrements)</w:t>
            </w:r>
          </w:p>
        </w:tc>
        <w:tc>
          <w:tcPr>
            <w:tcW w:w="1400" w:type="dxa"/>
            <w:tcBorders>
              <w:bottom w:val="single" w:sz="12" w:space="0" w:color="000000"/>
            </w:tcBorders>
            <w:shd w:val="clear" w:color="auto" w:fill="DEEAF6"/>
          </w:tcPr>
          <w:p w14:paraId="56825FF5" w14:textId="77777777" w:rsidR="00084F36" w:rsidRPr="00EB2BD8" w:rsidRDefault="00EB2BD8">
            <w:pPr>
              <w:pStyle w:val="TableParagraph"/>
              <w:spacing w:before="66"/>
              <w:ind w:right="94"/>
              <w:jc w:val="right"/>
              <w:rPr>
                <w:rFonts w:ascii="Arial"/>
                <w:sz w:val="16"/>
              </w:rPr>
            </w:pPr>
            <w:r w:rsidRPr="00EB2BD8">
              <w:rPr>
                <w:rFonts w:ascii="Arial"/>
                <w:w w:val="104"/>
                <w:sz w:val="16"/>
              </w:rPr>
              <w:t>-</w:t>
            </w:r>
          </w:p>
        </w:tc>
        <w:tc>
          <w:tcPr>
            <w:tcW w:w="1400" w:type="dxa"/>
            <w:tcBorders>
              <w:bottom w:val="single" w:sz="12" w:space="0" w:color="000000"/>
            </w:tcBorders>
            <w:shd w:val="clear" w:color="auto" w:fill="FFFFFF"/>
          </w:tcPr>
          <w:p w14:paraId="62A81A5C" w14:textId="77777777" w:rsidR="00084F36" w:rsidRPr="00EB2BD8" w:rsidRDefault="00EB2BD8">
            <w:pPr>
              <w:pStyle w:val="TableParagraph"/>
              <w:spacing w:before="66"/>
              <w:ind w:right="94"/>
              <w:jc w:val="right"/>
              <w:rPr>
                <w:rFonts w:ascii="Arial"/>
                <w:sz w:val="16"/>
              </w:rPr>
            </w:pPr>
            <w:r w:rsidRPr="00EB2BD8">
              <w:rPr>
                <w:rFonts w:ascii="Arial"/>
                <w:spacing w:val="-5"/>
                <w:w w:val="105"/>
                <w:sz w:val="16"/>
              </w:rPr>
              <w:t>342</w:t>
            </w:r>
          </w:p>
        </w:tc>
      </w:tr>
      <w:tr w:rsidR="00EB2BD8" w:rsidRPr="00EB2BD8" w14:paraId="1119B0D6" w14:textId="77777777">
        <w:trPr>
          <w:trHeight w:val="286"/>
        </w:trPr>
        <w:tc>
          <w:tcPr>
            <w:tcW w:w="6086" w:type="dxa"/>
            <w:tcBorders>
              <w:top w:val="single" w:sz="12" w:space="0" w:color="000000"/>
              <w:bottom w:val="single" w:sz="12" w:space="0" w:color="000000"/>
            </w:tcBorders>
            <w:shd w:val="clear" w:color="auto" w:fill="FFFFFF"/>
          </w:tcPr>
          <w:p w14:paraId="628895F4" w14:textId="77777777" w:rsidR="00084F36" w:rsidRPr="00EB2BD8" w:rsidRDefault="00EB2BD8">
            <w:pPr>
              <w:pStyle w:val="TableParagraph"/>
              <w:spacing w:before="54"/>
              <w:ind w:left="105"/>
              <w:rPr>
                <w:rFonts w:ascii="Arial"/>
                <w:b/>
                <w:sz w:val="16"/>
              </w:rPr>
            </w:pPr>
            <w:r w:rsidRPr="00EB2BD8">
              <w:rPr>
                <w:rFonts w:ascii="Arial"/>
                <w:b/>
                <w:w w:val="105"/>
                <w:sz w:val="16"/>
              </w:rPr>
              <w:t>Balance</w:t>
            </w:r>
            <w:r w:rsidRPr="00EB2BD8">
              <w:rPr>
                <w:rFonts w:ascii="Arial"/>
                <w:b/>
                <w:spacing w:val="-6"/>
                <w:w w:val="105"/>
                <w:sz w:val="16"/>
              </w:rPr>
              <w:t xml:space="preserve"> </w:t>
            </w:r>
            <w:r w:rsidRPr="00EB2BD8">
              <w:rPr>
                <w:rFonts w:ascii="Arial"/>
                <w:b/>
                <w:w w:val="105"/>
                <w:sz w:val="16"/>
              </w:rPr>
              <w:t>at</w:t>
            </w:r>
            <w:r w:rsidRPr="00EB2BD8">
              <w:rPr>
                <w:rFonts w:ascii="Arial"/>
                <w:b/>
                <w:spacing w:val="-5"/>
                <w:w w:val="105"/>
                <w:sz w:val="16"/>
              </w:rPr>
              <w:t xml:space="preserve"> </w:t>
            </w:r>
            <w:r w:rsidRPr="00EB2BD8">
              <w:rPr>
                <w:rFonts w:ascii="Arial"/>
                <w:b/>
                <w:w w:val="105"/>
                <w:sz w:val="16"/>
              </w:rPr>
              <w:t>the</w:t>
            </w:r>
            <w:r w:rsidRPr="00EB2BD8">
              <w:rPr>
                <w:rFonts w:ascii="Arial"/>
                <w:b/>
                <w:spacing w:val="-5"/>
                <w:w w:val="105"/>
                <w:sz w:val="16"/>
              </w:rPr>
              <w:t xml:space="preserve"> </w:t>
            </w:r>
            <w:r w:rsidRPr="00EB2BD8">
              <w:rPr>
                <w:rFonts w:ascii="Arial"/>
                <w:b/>
                <w:w w:val="105"/>
                <w:sz w:val="16"/>
              </w:rPr>
              <w:t>end</w:t>
            </w:r>
            <w:r w:rsidRPr="00EB2BD8">
              <w:rPr>
                <w:rFonts w:ascii="Arial"/>
                <w:b/>
                <w:spacing w:val="-4"/>
                <w:w w:val="105"/>
                <w:sz w:val="16"/>
              </w:rPr>
              <w:t xml:space="preserve"> </w:t>
            </w:r>
            <w:r w:rsidRPr="00EB2BD8">
              <w:rPr>
                <w:rFonts w:ascii="Arial"/>
                <w:b/>
                <w:w w:val="105"/>
                <w:sz w:val="16"/>
              </w:rPr>
              <w:t>of</w:t>
            </w:r>
            <w:r w:rsidRPr="00EB2BD8">
              <w:rPr>
                <w:rFonts w:ascii="Arial"/>
                <w:b/>
                <w:spacing w:val="-6"/>
                <w:w w:val="105"/>
                <w:sz w:val="16"/>
              </w:rPr>
              <w:t xml:space="preserve"> </w:t>
            </w:r>
            <w:r w:rsidRPr="00EB2BD8">
              <w:rPr>
                <w:rFonts w:ascii="Arial"/>
                <w:b/>
                <w:w w:val="105"/>
                <w:sz w:val="16"/>
              </w:rPr>
              <w:t>financial</w:t>
            </w:r>
            <w:r w:rsidRPr="00EB2BD8">
              <w:rPr>
                <w:rFonts w:ascii="Arial"/>
                <w:b/>
                <w:spacing w:val="-6"/>
                <w:w w:val="105"/>
                <w:sz w:val="16"/>
              </w:rPr>
              <w:t xml:space="preserve"> </w:t>
            </w:r>
            <w:r w:rsidRPr="00EB2BD8">
              <w:rPr>
                <w:rFonts w:ascii="Arial"/>
                <w:b/>
                <w:spacing w:val="-4"/>
                <w:w w:val="105"/>
                <w:sz w:val="16"/>
              </w:rPr>
              <w:t>year</w:t>
            </w:r>
          </w:p>
        </w:tc>
        <w:tc>
          <w:tcPr>
            <w:tcW w:w="1400" w:type="dxa"/>
            <w:tcBorders>
              <w:top w:val="single" w:sz="12" w:space="0" w:color="000000"/>
              <w:bottom w:val="single" w:sz="12" w:space="0" w:color="000000"/>
            </w:tcBorders>
            <w:shd w:val="clear" w:color="auto" w:fill="DEEAF6"/>
          </w:tcPr>
          <w:p w14:paraId="2CEDA076" w14:textId="77777777" w:rsidR="00084F36" w:rsidRPr="00EB2BD8" w:rsidRDefault="00EB2BD8">
            <w:pPr>
              <w:pStyle w:val="TableParagraph"/>
              <w:spacing w:before="54"/>
              <w:ind w:right="95"/>
              <w:jc w:val="right"/>
              <w:rPr>
                <w:rFonts w:ascii="Arial"/>
                <w:b/>
                <w:sz w:val="16"/>
              </w:rPr>
            </w:pPr>
            <w:r w:rsidRPr="00EB2BD8">
              <w:rPr>
                <w:rFonts w:ascii="Arial"/>
                <w:b/>
                <w:spacing w:val="-5"/>
                <w:w w:val="105"/>
                <w:sz w:val="16"/>
              </w:rPr>
              <w:t>745</w:t>
            </w:r>
          </w:p>
        </w:tc>
        <w:tc>
          <w:tcPr>
            <w:tcW w:w="1400" w:type="dxa"/>
            <w:tcBorders>
              <w:top w:val="single" w:sz="12" w:space="0" w:color="000000"/>
              <w:bottom w:val="single" w:sz="12" w:space="0" w:color="000000"/>
            </w:tcBorders>
            <w:shd w:val="clear" w:color="auto" w:fill="FFFFFF"/>
          </w:tcPr>
          <w:p w14:paraId="33319B25" w14:textId="77777777" w:rsidR="00084F36" w:rsidRPr="00EB2BD8" w:rsidRDefault="00EB2BD8">
            <w:pPr>
              <w:pStyle w:val="TableParagraph"/>
              <w:spacing w:before="54"/>
              <w:ind w:right="96"/>
              <w:jc w:val="right"/>
              <w:rPr>
                <w:rFonts w:ascii="Arial"/>
                <w:b/>
                <w:sz w:val="16"/>
              </w:rPr>
            </w:pPr>
            <w:r w:rsidRPr="00EB2BD8">
              <w:rPr>
                <w:rFonts w:ascii="Arial"/>
                <w:b/>
                <w:spacing w:val="-5"/>
                <w:w w:val="105"/>
                <w:sz w:val="16"/>
              </w:rPr>
              <w:t>745</w:t>
            </w:r>
          </w:p>
        </w:tc>
      </w:tr>
      <w:tr w:rsidR="00EB2BD8" w:rsidRPr="00EB2BD8" w14:paraId="29F2C282" w14:textId="77777777">
        <w:trPr>
          <w:trHeight w:val="288"/>
        </w:trPr>
        <w:tc>
          <w:tcPr>
            <w:tcW w:w="6086" w:type="dxa"/>
            <w:tcBorders>
              <w:top w:val="single" w:sz="12" w:space="0" w:color="000000"/>
              <w:bottom w:val="single" w:sz="12" w:space="0" w:color="000000"/>
            </w:tcBorders>
            <w:shd w:val="clear" w:color="auto" w:fill="FFFFFF"/>
          </w:tcPr>
          <w:p w14:paraId="21A1C5C7" w14:textId="77777777" w:rsidR="00084F36" w:rsidRPr="00EB2BD8" w:rsidRDefault="00EB2BD8">
            <w:pPr>
              <w:pStyle w:val="TableParagraph"/>
              <w:spacing w:before="54"/>
              <w:ind w:left="105"/>
              <w:rPr>
                <w:rFonts w:ascii="Arial"/>
                <w:b/>
                <w:sz w:val="16"/>
              </w:rPr>
            </w:pPr>
            <w:r w:rsidRPr="00EB2BD8">
              <w:rPr>
                <w:rFonts w:ascii="Arial"/>
                <w:b/>
                <w:w w:val="105"/>
                <w:sz w:val="16"/>
              </w:rPr>
              <w:t>Net</w:t>
            </w:r>
            <w:r w:rsidRPr="00EB2BD8">
              <w:rPr>
                <w:rFonts w:ascii="Arial"/>
                <w:b/>
                <w:spacing w:val="-6"/>
                <w:w w:val="105"/>
                <w:sz w:val="16"/>
              </w:rPr>
              <w:t xml:space="preserve"> </w:t>
            </w:r>
            <w:r w:rsidRPr="00EB2BD8">
              <w:rPr>
                <w:rFonts w:ascii="Arial"/>
                <w:b/>
                <w:w w:val="105"/>
                <w:sz w:val="16"/>
              </w:rPr>
              <w:t>changes</w:t>
            </w:r>
            <w:r w:rsidRPr="00EB2BD8">
              <w:rPr>
                <w:rFonts w:ascii="Arial"/>
                <w:b/>
                <w:spacing w:val="-5"/>
                <w:w w:val="105"/>
                <w:sz w:val="16"/>
              </w:rPr>
              <w:t xml:space="preserve"> </w:t>
            </w:r>
            <w:r w:rsidRPr="00EB2BD8">
              <w:rPr>
                <w:rFonts w:ascii="Arial"/>
                <w:b/>
                <w:w w:val="105"/>
                <w:sz w:val="16"/>
              </w:rPr>
              <w:t>in</w:t>
            </w:r>
            <w:r w:rsidRPr="00EB2BD8">
              <w:rPr>
                <w:rFonts w:ascii="Arial"/>
                <w:b/>
                <w:spacing w:val="-5"/>
                <w:w w:val="105"/>
                <w:sz w:val="16"/>
              </w:rPr>
              <w:t xml:space="preserve"> </w:t>
            </w:r>
            <w:r w:rsidRPr="00EB2BD8">
              <w:rPr>
                <w:rFonts w:ascii="Arial"/>
                <w:b/>
                <w:spacing w:val="-2"/>
                <w:w w:val="105"/>
                <w:sz w:val="16"/>
              </w:rPr>
              <w:t>reserves</w:t>
            </w:r>
          </w:p>
        </w:tc>
        <w:tc>
          <w:tcPr>
            <w:tcW w:w="1400" w:type="dxa"/>
            <w:tcBorders>
              <w:top w:val="single" w:sz="12" w:space="0" w:color="000000"/>
              <w:bottom w:val="single" w:sz="12" w:space="0" w:color="000000"/>
            </w:tcBorders>
            <w:shd w:val="clear" w:color="auto" w:fill="DEEAF6"/>
          </w:tcPr>
          <w:p w14:paraId="562D3A6F" w14:textId="77777777" w:rsidR="00084F36" w:rsidRPr="00EB2BD8" w:rsidRDefault="00EB2BD8">
            <w:pPr>
              <w:pStyle w:val="TableParagraph"/>
              <w:spacing w:before="54"/>
              <w:ind w:right="94"/>
              <w:jc w:val="right"/>
              <w:rPr>
                <w:rFonts w:ascii="Arial"/>
                <w:b/>
                <w:sz w:val="16"/>
              </w:rPr>
            </w:pPr>
            <w:r w:rsidRPr="00EB2BD8">
              <w:rPr>
                <w:rFonts w:ascii="Arial"/>
                <w:b/>
                <w:w w:val="104"/>
                <w:sz w:val="16"/>
              </w:rPr>
              <w:t>-</w:t>
            </w:r>
          </w:p>
        </w:tc>
        <w:tc>
          <w:tcPr>
            <w:tcW w:w="1400" w:type="dxa"/>
            <w:tcBorders>
              <w:top w:val="single" w:sz="12" w:space="0" w:color="000000"/>
              <w:bottom w:val="single" w:sz="12" w:space="0" w:color="000000"/>
            </w:tcBorders>
            <w:shd w:val="clear" w:color="auto" w:fill="FFFFFF"/>
          </w:tcPr>
          <w:p w14:paraId="202797AE" w14:textId="77777777" w:rsidR="00084F36" w:rsidRPr="00EB2BD8" w:rsidRDefault="00EB2BD8">
            <w:pPr>
              <w:pStyle w:val="TableParagraph"/>
              <w:spacing w:before="54"/>
              <w:ind w:right="95"/>
              <w:jc w:val="right"/>
              <w:rPr>
                <w:rFonts w:ascii="Arial"/>
                <w:b/>
                <w:sz w:val="16"/>
              </w:rPr>
            </w:pPr>
            <w:r w:rsidRPr="00EB2BD8">
              <w:rPr>
                <w:rFonts w:ascii="Arial"/>
                <w:b/>
                <w:spacing w:val="-5"/>
                <w:w w:val="105"/>
                <w:sz w:val="16"/>
              </w:rPr>
              <w:t>342</w:t>
            </w:r>
          </w:p>
        </w:tc>
      </w:tr>
    </w:tbl>
    <w:p w14:paraId="611CB5F7" w14:textId="77777777" w:rsidR="00084F36" w:rsidRPr="00EB2BD8" w:rsidRDefault="00084F36">
      <w:pPr>
        <w:pStyle w:val="BodyText"/>
        <w:spacing w:before="9"/>
        <w:rPr>
          <w:rFonts w:ascii="Arial"/>
          <w:sz w:val="26"/>
        </w:rPr>
      </w:pPr>
    </w:p>
    <w:p w14:paraId="257D9C2C" w14:textId="77777777" w:rsidR="00084F36" w:rsidRPr="00EB2BD8" w:rsidRDefault="00EB2BD8">
      <w:pPr>
        <w:spacing w:line="273" w:lineRule="auto"/>
        <w:ind w:left="1326" w:right="1761" w:hanging="266"/>
        <w:rPr>
          <w:rFonts w:ascii="Arial"/>
          <w:i/>
          <w:sz w:val="15"/>
        </w:rPr>
      </w:pPr>
      <w:r w:rsidRPr="00EB2BD8">
        <w:rPr>
          <w:rFonts w:ascii="Arial"/>
          <w:i/>
          <w:sz w:val="15"/>
        </w:rPr>
        <w:t>(a)</w:t>
      </w:r>
      <w:r w:rsidRPr="00EB2BD8">
        <w:rPr>
          <w:rFonts w:ascii="Arial"/>
          <w:i/>
          <w:spacing w:val="40"/>
          <w:sz w:val="15"/>
        </w:rPr>
        <w:t xml:space="preserve"> </w:t>
      </w:r>
      <w:r w:rsidRPr="00EB2BD8">
        <w:rPr>
          <w:rFonts w:ascii="Arial"/>
          <w:i/>
          <w:sz w:val="15"/>
        </w:rPr>
        <w:t>The</w:t>
      </w:r>
      <w:r w:rsidRPr="00EB2BD8">
        <w:rPr>
          <w:rFonts w:ascii="Arial"/>
          <w:i/>
          <w:spacing w:val="-2"/>
          <w:sz w:val="15"/>
        </w:rPr>
        <w:t xml:space="preserve"> </w:t>
      </w:r>
      <w:r w:rsidRPr="00EB2BD8">
        <w:rPr>
          <w:rFonts w:ascii="Arial"/>
          <w:i/>
          <w:sz w:val="15"/>
        </w:rPr>
        <w:t>asset revaluation</w:t>
      </w:r>
      <w:r w:rsidRPr="00EB2BD8">
        <w:rPr>
          <w:rFonts w:ascii="Arial"/>
          <w:i/>
          <w:spacing w:val="-3"/>
          <w:sz w:val="15"/>
        </w:rPr>
        <w:t xml:space="preserve"> </w:t>
      </w:r>
      <w:r w:rsidRPr="00EB2BD8">
        <w:rPr>
          <w:rFonts w:ascii="Arial"/>
          <w:i/>
          <w:sz w:val="15"/>
        </w:rPr>
        <w:t>reserve arises</w:t>
      </w:r>
      <w:r w:rsidRPr="00EB2BD8">
        <w:rPr>
          <w:rFonts w:ascii="Arial"/>
          <w:i/>
          <w:spacing w:val="-2"/>
          <w:sz w:val="15"/>
        </w:rPr>
        <w:t xml:space="preserve"> </w:t>
      </w:r>
      <w:r w:rsidRPr="00EB2BD8">
        <w:rPr>
          <w:rFonts w:ascii="Arial"/>
          <w:i/>
          <w:sz w:val="15"/>
        </w:rPr>
        <w:t>on</w:t>
      </w:r>
      <w:r w:rsidRPr="00EB2BD8">
        <w:rPr>
          <w:rFonts w:ascii="Arial"/>
          <w:i/>
          <w:spacing w:val="-3"/>
          <w:sz w:val="15"/>
        </w:rPr>
        <w:t xml:space="preserve"> </w:t>
      </w:r>
      <w:r w:rsidRPr="00EB2BD8">
        <w:rPr>
          <w:rFonts w:ascii="Arial"/>
          <w:i/>
          <w:sz w:val="15"/>
        </w:rPr>
        <w:t>the</w:t>
      </w:r>
      <w:r w:rsidRPr="00EB2BD8">
        <w:rPr>
          <w:rFonts w:ascii="Arial"/>
          <w:i/>
          <w:spacing w:val="-2"/>
          <w:sz w:val="15"/>
        </w:rPr>
        <w:t xml:space="preserve"> </w:t>
      </w:r>
      <w:r w:rsidRPr="00EB2BD8">
        <w:rPr>
          <w:rFonts w:ascii="Arial"/>
          <w:i/>
          <w:sz w:val="15"/>
        </w:rPr>
        <w:t>revaluation</w:t>
      </w:r>
      <w:r w:rsidRPr="00EB2BD8">
        <w:rPr>
          <w:rFonts w:ascii="Arial"/>
          <w:i/>
          <w:spacing w:val="-3"/>
          <w:sz w:val="15"/>
        </w:rPr>
        <w:t xml:space="preserve"> </w:t>
      </w:r>
      <w:r w:rsidRPr="00EB2BD8">
        <w:rPr>
          <w:rFonts w:ascii="Arial"/>
          <w:i/>
          <w:sz w:val="15"/>
        </w:rPr>
        <w:t>of</w:t>
      </w:r>
      <w:r w:rsidRPr="00EB2BD8">
        <w:rPr>
          <w:rFonts w:ascii="Arial"/>
          <w:i/>
          <w:spacing w:val="-2"/>
          <w:sz w:val="15"/>
        </w:rPr>
        <w:t xml:space="preserve"> </w:t>
      </w:r>
      <w:r w:rsidRPr="00EB2BD8">
        <w:rPr>
          <w:rFonts w:ascii="Arial"/>
          <w:i/>
          <w:sz w:val="15"/>
        </w:rPr>
        <w:t>land and buildings. The</w:t>
      </w:r>
      <w:r w:rsidRPr="00EB2BD8">
        <w:rPr>
          <w:rFonts w:ascii="Arial"/>
          <w:i/>
          <w:spacing w:val="-2"/>
          <w:sz w:val="15"/>
        </w:rPr>
        <w:t xml:space="preserve"> </w:t>
      </w:r>
      <w:r w:rsidRPr="00EB2BD8">
        <w:rPr>
          <w:rFonts w:ascii="Arial"/>
          <w:i/>
          <w:sz w:val="15"/>
        </w:rPr>
        <w:t>land</w:t>
      </w:r>
      <w:r w:rsidRPr="00EB2BD8">
        <w:rPr>
          <w:rFonts w:ascii="Arial"/>
          <w:i/>
          <w:spacing w:val="-2"/>
          <w:sz w:val="15"/>
        </w:rPr>
        <w:t xml:space="preserve"> </w:t>
      </w:r>
      <w:r w:rsidRPr="00EB2BD8">
        <w:rPr>
          <w:rFonts w:ascii="Arial"/>
          <w:i/>
          <w:sz w:val="15"/>
        </w:rPr>
        <w:t>and</w:t>
      </w:r>
      <w:r w:rsidRPr="00EB2BD8">
        <w:rPr>
          <w:rFonts w:ascii="Arial"/>
          <w:i/>
          <w:spacing w:val="-2"/>
          <w:sz w:val="15"/>
        </w:rPr>
        <w:t xml:space="preserve"> </w:t>
      </w:r>
      <w:r w:rsidRPr="00EB2BD8">
        <w:rPr>
          <w:rFonts w:ascii="Arial"/>
          <w:i/>
          <w:sz w:val="15"/>
        </w:rPr>
        <w:t>buildings owned</w:t>
      </w:r>
      <w:r w:rsidRPr="00EB2BD8">
        <w:rPr>
          <w:rFonts w:ascii="Arial"/>
          <w:i/>
          <w:spacing w:val="-2"/>
          <w:sz w:val="15"/>
        </w:rPr>
        <w:t xml:space="preserve"> </w:t>
      </w:r>
      <w:r w:rsidRPr="00EB2BD8">
        <w:rPr>
          <w:rFonts w:ascii="Arial"/>
          <w:i/>
          <w:sz w:val="15"/>
        </w:rPr>
        <w:t>by the</w:t>
      </w:r>
      <w:r w:rsidRPr="00EB2BD8">
        <w:rPr>
          <w:rFonts w:ascii="Arial"/>
          <w:i/>
          <w:spacing w:val="-2"/>
          <w:sz w:val="15"/>
        </w:rPr>
        <w:t xml:space="preserve"> </w:t>
      </w:r>
      <w:r w:rsidRPr="00EB2BD8">
        <w:rPr>
          <w:rFonts w:ascii="Arial"/>
          <w:i/>
          <w:sz w:val="15"/>
        </w:rPr>
        <w:t>VBA were independently</w:t>
      </w:r>
      <w:r w:rsidRPr="00EB2BD8">
        <w:rPr>
          <w:rFonts w:ascii="Arial"/>
          <w:i/>
          <w:spacing w:val="-4"/>
          <w:sz w:val="15"/>
        </w:rPr>
        <w:t xml:space="preserve"> </w:t>
      </w:r>
      <w:r w:rsidRPr="00EB2BD8">
        <w:rPr>
          <w:rFonts w:ascii="Arial"/>
          <w:i/>
          <w:sz w:val="15"/>
        </w:rPr>
        <w:t>revalued</w:t>
      </w:r>
      <w:r w:rsidRPr="00EB2BD8">
        <w:rPr>
          <w:rFonts w:ascii="Arial"/>
          <w:i/>
          <w:spacing w:val="-5"/>
          <w:sz w:val="15"/>
        </w:rPr>
        <w:t xml:space="preserve"> </w:t>
      </w:r>
      <w:r w:rsidRPr="00EB2BD8">
        <w:rPr>
          <w:rFonts w:ascii="Arial"/>
          <w:i/>
          <w:sz w:val="15"/>
        </w:rPr>
        <w:t>by</w:t>
      </w:r>
      <w:r w:rsidRPr="00EB2BD8">
        <w:rPr>
          <w:rFonts w:ascii="Arial"/>
          <w:i/>
          <w:spacing w:val="-4"/>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Valuer</w:t>
      </w:r>
      <w:r w:rsidRPr="00EB2BD8">
        <w:rPr>
          <w:rFonts w:ascii="Arial"/>
          <w:i/>
          <w:spacing w:val="-5"/>
          <w:sz w:val="15"/>
        </w:rPr>
        <w:t xml:space="preserve"> </w:t>
      </w:r>
      <w:r w:rsidRPr="00EB2BD8">
        <w:rPr>
          <w:rFonts w:ascii="Arial"/>
          <w:i/>
          <w:sz w:val="15"/>
        </w:rPr>
        <w:t>General</w:t>
      </w:r>
      <w:r w:rsidRPr="00EB2BD8">
        <w:rPr>
          <w:rFonts w:ascii="Arial"/>
          <w:i/>
          <w:spacing w:val="-4"/>
          <w:sz w:val="15"/>
        </w:rPr>
        <w:t xml:space="preserve"> </w:t>
      </w:r>
      <w:r w:rsidRPr="00EB2BD8">
        <w:rPr>
          <w:rFonts w:ascii="Arial"/>
          <w:i/>
          <w:sz w:val="15"/>
        </w:rPr>
        <w:t>Victoria</w:t>
      </w:r>
      <w:r w:rsidRPr="00EB2BD8">
        <w:rPr>
          <w:rFonts w:ascii="Arial"/>
          <w:i/>
          <w:spacing w:val="-5"/>
          <w:sz w:val="15"/>
        </w:rPr>
        <w:t xml:space="preserve"> </w:t>
      </w:r>
      <w:r w:rsidRPr="00EB2BD8">
        <w:rPr>
          <w:rFonts w:ascii="Arial"/>
          <w:i/>
          <w:sz w:val="15"/>
        </w:rPr>
        <w:t>in</w:t>
      </w:r>
      <w:r w:rsidRPr="00EB2BD8">
        <w:rPr>
          <w:rFonts w:ascii="Arial"/>
          <w:i/>
          <w:spacing w:val="-5"/>
          <w:sz w:val="15"/>
        </w:rPr>
        <w:t xml:space="preserve"> </w:t>
      </w:r>
      <w:r w:rsidRPr="00EB2BD8">
        <w:rPr>
          <w:rFonts w:ascii="Arial"/>
          <w:i/>
          <w:sz w:val="15"/>
        </w:rPr>
        <w:t>2020-21.</w:t>
      </w:r>
      <w:r w:rsidRPr="00EB2BD8">
        <w:rPr>
          <w:rFonts w:ascii="Arial"/>
          <w:i/>
          <w:spacing w:val="-4"/>
          <w:sz w:val="15"/>
        </w:rPr>
        <w:t xml:space="preserve"> </w:t>
      </w:r>
      <w:r w:rsidRPr="00EB2BD8">
        <w:rPr>
          <w:rFonts w:ascii="Arial"/>
          <w:i/>
          <w:sz w:val="15"/>
        </w:rPr>
        <w:t>A</w:t>
      </w:r>
      <w:r w:rsidRPr="00EB2BD8">
        <w:rPr>
          <w:rFonts w:ascii="Arial"/>
          <w:i/>
          <w:spacing w:val="-4"/>
          <w:sz w:val="15"/>
        </w:rPr>
        <w:t xml:space="preserve"> </w:t>
      </w:r>
      <w:r w:rsidRPr="00EB2BD8">
        <w:rPr>
          <w:rFonts w:ascii="Arial"/>
          <w:i/>
          <w:sz w:val="15"/>
        </w:rPr>
        <w:t>managerial</w:t>
      </w:r>
      <w:r w:rsidRPr="00EB2BD8">
        <w:rPr>
          <w:rFonts w:ascii="Arial"/>
          <w:i/>
          <w:spacing w:val="-4"/>
          <w:sz w:val="15"/>
        </w:rPr>
        <w:t xml:space="preserve"> </w:t>
      </w:r>
      <w:r w:rsidRPr="00EB2BD8">
        <w:rPr>
          <w:rFonts w:ascii="Arial"/>
          <w:i/>
          <w:sz w:val="15"/>
        </w:rPr>
        <w:t>assessment</w:t>
      </w:r>
      <w:r w:rsidRPr="00EB2BD8">
        <w:rPr>
          <w:rFonts w:ascii="Arial"/>
          <w:i/>
          <w:spacing w:val="-5"/>
          <w:sz w:val="15"/>
        </w:rPr>
        <w:t xml:space="preserve"> </w:t>
      </w:r>
      <w:r w:rsidRPr="00EB2BD8">
        <w:rPr>
          <w:rFonts w:ascii="Arial"/>
          <w:i/>
          <w:sz w:val="15"/>
        </w:rPr>
        <w:t>and</w:t>
      </w:r>
      <w:r w:rsidRPr="00EB2BD8">
        <w:rPr>
          <w:rFonts w:ascii="Arial"/>
          <w:i/>
          <w:spacing w:val="-5"/>
          <w:sz w:val="15"/>
        </w:rPr>
        <w:t xml:space="preserve"> </w:t>
      </w:r>
      <w:r w:rsidRPr="00EB2BD8">
        <w:rPr>
          <w:rFonts w:ascii="Arial"/>
          <w:i/>
          <w:sz w:val="15"/>
        </w:rPr>
        <w:t>revaluation</w:t>
      </w:r>
      <w:r w:rsidRPr="00EB2BD8">
        <w:rPr>
          <w:rFonts w:ascii="Arial"/>
          <w:i/>
          <w:spacing w:val="-5"/>
          <w:sz w:val="15"/>
        </w:rPr>
        <w:t xml:space="preserve"> </w:t>
      </w:r>
      <w:r w:rsidRPr="00EB2BD8">
        <w:rPr>
          <w:rFonts w:ascii="Arial"/>
          <w:i/>
          <w:sz w:val="15"/>
        </w:rPr>
        <w:t>was</w:t>
      </w:r>
      <w:r w:rsidRPr="00EB2BD8">
        <w:rPr>
          <w:rFonts w:ascii="Arial"/>
          <w:i/>
          <w:spacing w:val="-4"/>
          <w:sz w:val="15"/>
        </w:rPr>
        <w:t xml:space="preserve"> </w:t>
      </w:r>
      <w:r w:rsidRPr="00EB2BD8">
        <w:rPr>
          <w:rFonts w:ascii="Arial"/>
          <w:i/>
          <w:sz w:val="15"/>
        </w:rPr>
        <w:t>undertaken</w:t>
      </w:r>
      <w:r w:rsidRPr="00EB2BD8">
        <w:rPr>
          <w:rFonts w:ascii="Arial"/>
          <w:i/>
          <w:spacing w:val="-5"/>
          <w:sz w:val="15"/>
        </w:rPr>
        <w:t xml:space="preserve"> </w:t>
      </w:r>
      <w:r w:rsidRPr="00EB2BD8">
        <w:rPr>
          <w:rFonts w:ascii="Arial"/>
          <w:i/>
          <w:sz w:val="15"/>
        </w:rPr>
        <w:t>in</w:t>
      </w:r>
      <w:r w:rsidRPr="00EB2BD8">
        <w:rPr>
          <w:rFonts w:ascii="Arial"/>
          <w:i/>
          <w:spacing w:val="-5"/>
          <w:sz w:val="15"/>
        </w:rPr>
        <w:t xml:space="preserve"> </w:t>
      </w:r>
      <w:r w:rsidRPr="00EB2BD8">
        <w:rPr>
          <w:rFonts w:ascii="Arial"/>
          <w:i/>
          <w:sz w:val="15"/>
        </w:rPr>
        <w:t>2022 and 2023.</w:t>
      </w:r>
      <w:r w:rsidRPr="00EB2BD8">
        <w:rPr>
          <w:rFonts w:ascii="Arial"/>
          <w:i/>
          <w:spacing w:val="40"/>
          <w:sz w:val="15"/>
        </w:rPr>
        <w:t xml:space="preserve"> </w:t>
      </w:r>
      <w:r w:rsidRPr="00EB2BD8">
        <w:rPr>
          <w:rFonts w:ascii="Arial"/>
          <w:i/>
          <w:sz w:val="15"/>
        </w:rPr>
        <w:t>Management regards the VGV indices to be a reliable and relevant data set to form the basis of their estimates. As the movement was less than 10% for land and buildings no managerial revaluation was required.</w:t>
      </w:r>
    </w:p>
    <w:p w14:paraId="5EDD1CD9" w14:textId="77777777" w:rsidR="00084F36" w:rsidRPr="00EB2BD8" w:rsidRDefault="00084F36">
      <w:pPr>
        <w:pStyle w:val="BodyText"/>
        <w:rPr>
          <w:rFonts w:ascii="Arial"/>
          <w:i/>
          <w:sz w:val="16"/>
        </w:rPr>
      </w:pPr>
    </w:p>
    <w:p w14:paraId="63A89B01" w14:textId="77777777" w:rsidR="00084F36" w:rsidRPr="00EB2BD8" w:rsidRDefault="00084F36">
      <w:pPr>
        <w:pStyle w:val="BodyText"/>
        <w:spacing w:before="11"/>
        <w:rPr>
          <w:rFonts w:ascii="Arial"/>
          <w:i/>
          <w:sz w:val="19"/>
        </w:rPr>
      </w:pPr>
    </w:p>
    <w:p w14:paraId="564F5DF6" w14:textId="3400FD97" w:rsidR="00084F36" w:rsidRPr="00EB2BD8" w:rsidRDefault="00181224" w:rsidP="00181224">
      <w:pPr>
        <w:pStyle w:val="Heading2"/>
        <w:ind w:firstLine="210"/>
      </w:pPr>
      <w:bookmarkStart w:id="365" w:name="_Toc150762667"/>
      <w:r>
        <w:t>8.3 R</w:t>
      </w:r>
      <w:r w:rsidRPr="00EB2BD8">
        <w:t>esponsible</w:t>
      </w:r>
      <w:r w:rsidRPr="00EB2BD8">
        <w:rPr>
          <w:spacing w:val="24"/>
        </w:rPr>
        <w:t xml:space="preserve"> </w:t>
      </w:r>
      <w:r w:rsidRPr="00EB2BD8">
        <w:rPr>
          <w:spacing w:val="-2"/>
        </w:rPr>
        <w:t>persons</w:t>
      </w:r>
      <w:bookmarkEnd w:id="365"/>
    </w:p>
    <w:p w14:paraId="3DD49616" w14:textId="77777777" w:rsidR="00084F36" w:rsidRPr="00EB2BD8" w:rsidRDefault="00EB2BD8">
      <w:pPr>
        <w:spacing w:before="177" w:line="290" w:lineRule="auto"/>
        <w:ind w:left="1060" w:right="2346"/>
        <w:rPr>
          <w:rFonts w:ascii="Arial"/>
          <w:sz w:val="16"/>
        </w:rPr>
      </w:pPr>
      <w:r w:rsidRPr="00EB2BD8">
        <w:rPr>
          <w:rFonts w:ascii="Arial"/>
          <w:w w:val="105"/>
          <w:sz w:val="16"/>
        </w:rPr>
        <w:t>In</w:t>
      </w:r>
      <w:r w:rsidRPr="00EB2BD8">
        <w:rPr>
          <w:rFonts w:ascii="Arial"/>
          <w:spacing w:val="-3"/>
          <w:w w:val="105"/>
          <w:sz w:val="16"/>
        </w:rPr>
        <w:t xml:space="preserve"> </w:t>
      </w:r>
      <w:r w:rsidRPr="00EB2BD8">
        <w:rPr>
          <w:rFonts w:ascii="Arial"/>
          <w:w w:val="105"/>
          <w:sz w:val="16"/>
        </w:rPr>
        <w:t>accordance</w:t>
      </w:r>
      <w:r w:rsidRPr="00EB2BD8">
        <w:rPr>
          <w:rFonts w:ascii="Arial"/>
          <w:spacing w:val="-2"/>
          <w:w w:val="105"/>
          <w:sz w:val="16"/>
        </w:rPr>
        <w:t xml:space="preserve"> </w:t>
      </w:r>
      <w:r w:rsidRPr="00EB2BD8">
        <w:rPr>
          <w:rFonts w:ascii="Arial"/>
          <w:w w:val="105"/>
          <w:sz w:val="16"/>
        </w:rPr>
        <w:t>with</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Ministerial</w:t>
      </w:r>
      <w:r w:rsidRPr="00EB2BD8">
        <w:rPr>
          <w:rFonts w:ascii="Arial"/>
          <w:spacing w:val="-3"/>
          <w:w w:val="105"/>
          <w:sz w:val="16"/>
        </w:rPr>
        <w:t xml:space="preserve"> </w:t>
      </w:r>
      <w:r w:rsidRPr="00EB2BD8">
        <w:rPr>
          <w:rFonts w:ascii="Arial"/>
          <w:w w:val="105"/>
          <w:sz w:val="16"/>
        </w:rPr>
        <w:t>Directions</w:t>
      </w:r>
      <w:r w:rsidRPr="00EB2BD8">
        <w:rPr>
          <w:rFonts w:ascii="Arial"/>
          <w:spacing w:val="-2"/>
          <w:w w:val="105"/>
          <w:sz w:val="16"/>
        </w:rPr>
        <w:t xml:space="preserve"> </w:t>
      </w:r>
      <w:r w:rsidRPr="00EB2BD8">
        <w:rPr>
          <w:rFonts w:ascii="Arial"/>
          <w:w w:val="105"/>
          <w:sz w:val="16"/>
        </w:rPr>
        <w:t>issued</w:t>
      </w:r>
      <w:r w:rsidRPr="00EB2BD8">
        <w:rPr>
          <w:rFonts w:ascii="Arial"/>
          <w:spacing w:val="-3"/>
          <w:w w:val="105"/>
          <w:sz w:val="16"/>
        </w:rPr>
        <w:t xml:space="preserve"> </w:t>
      </w:r>
      <w:r w:rsidRPr="00EB2BD8">
        <w:rPr>
          <w:rFonts w:ascii="Arial"/>
          <w:w w:val="105"/>
          <w:sz w:val="16"/>
        </w:rPr>
        <w:t>by</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Assistant</w:t>
      </w:r>
      <w:r w:rsidRPr="00EB2BD8">
        <w:rPr>
          <w:rFonts w:ascii="Arial"/>
          <w:spacing w:val="-3"/>
          <w:w w:val="105"/>
          <w:sz w:val="16"/>
        </w:rPr>
        <w:t xml:space="preserve"> </w:t>
      </w:r>
      <w:r w:rsidRPr="00EB2BD8">
        <w:rPr>
          <w:rFonts w:ascii="Arial"/>
          <w:w w:val="105"/>
          <w:sz w:val="16"/>
        </w:rPr>
        <w:t>Treasurer</w:t>
      </w:r>
      <w:r w:rsidRPr="00EB2BD8">
        <w:rPr>
          <w:rFonts w:ascii="Arial"/>
          <w:spacing w:val="-3"/>
          <w:w w:val="105"/>
          <w:sz w:val="16"/>
        </w:rPr>
        <w:t xml:space="preserve"> </w:t>
      </w:r>
      <w:r w:rsidRPr="00EB2BD8">
        <w:rPr>
          <w:rFonts w:ascii="Arial"/>
          <w:w w:val="105"/>
          <w:sz w:val="16"/>
        </w:rPr>
        <w:t>under</w:t>
      </w:r>
      <w:r w:rsidRPr="00EB2BD8">
        <w:rPr>
          <w:rFonts w:ascii="Arial"/>
          <w:spacing w:val="-3"/>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i/>
          <w:w w:val="105"/>
          <w:sz w:val="16"/>
        </w:rPr>
        <w:t>Financial</w:t>
      </w:r>
      <w:r w:rsidRPr="00EB2BD8">
        <w:rPr>
          <w:rFonts w:ascii="Arial"/>
          <w:i/>
          <w:spacing w:val="-3"/>
          <w:w w:val="105"/>
          <w:sz w:val="16"/>
        </w:rPr>
        <w:t xml:space="preserve"> </w:t>
      </w:r>
      <w:r w:rsidRPr="00EB2BD8">
        <w:rPr>
          <w:rFonts w:ascii="Arial"/>
          <w:i/>
          <w:w w:val="105"/>
          <w:sz w:val="16"/>
        </w:rPr>
        <w:t>Management Act 1994</w:t>
      </w:r>
      <w:r w:rsidRPr="00EB2BD8">
        <w:rPr>
          <w:rFonts w:ascii="Arial"/>
          <w:w w:val="105"/>
          <w:sz w:val="16"/>
        </w:rPr>
        <w:t>, the following disclosures are made regarding responsible persons for the reporting period:</w:t>
      </w:r>
    </w:p>
    <w:p w14:paraId="1F8E9D2A" w14:textId="77777777" w:rsidR="00084F36" w:rsidRPr="00EB2BD8" w:rsidRDefault="00EB2BD8">
      <w:pPr>
        <w:pStyle w:val="BodyText"/>
        <w:spacing w:before="3"/>
        <w:rPr>
          <w:rFonts w:ascii="Arial"/>
          <w:sz w:val="17"/>
        </w:rPr>
      </w:pPr>
      <w:r w:rsidRPr="00EB2BD8">
        <w:rPr>
          <w:noProof/>
        </w:rPr>
        <mc:AlternateContent>
          <mc:Choice Requires="wps">
            <w:drawing>
              <wp:anchor distT="0" distB="0" distL="0" distR="0" simplePos="0" relativeHeight="252439552" behindDoc="1" locked="0" layoutInCell="1" allowOverlap="1" wp14:anchorId="5D14710B" wp14:editId="5B10FAF5">
                <wp:simplePos x="0" y="0"/>
                <wp:positionH relativeFrom="page">
                  <wp:posOffset>673480</wp:posOffset>
                </wp:positionH>
                <wp:positionV relativeFrom="paragraph">
                  <wp:posOffset>141347</wp:posOffset>
                </wp:positionV>
                <wp:extent cx="5618480" cy="214629"/>
                <wp:effectExtent l="0" t="0" r="0" b="0"/>
                <wp:wrapTopAndBottom/>
                <wp:docPr id="1103" name="Textbox 1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8480" cy="214629"/>
                        </a:xfrm>
                        <a:prstGeom prst="rect">
                          <a:avLst/>
                        </a:prstGeom>
                      </wps:spPr>
                      <wps:txbx>
                        <w:txbxContent>
                          <w:p w14:paraId="56CD3412" w14:textId="77777777" w:rsidR="00084F36" w:rsidRDefault="00EB2BD8">
                            <w:pPr>
                              <w:spacing w:before="78"/>
                              <w:ind w:left="100"/>
                              <w:rPr>
                                <w:rFonts w:ascii="Arial"/>
                                <w:b/>
                                <w:sz w:val="16"/>
                              </w:rPr>
                            </w:pPr>
                            <w:r>
                              <w:rPr>
                                <w:rFonts w:ascii="Arial"/>
                                <w:b/>
                                <w:color w:val="FFFFFF"/>
                                <w:spacing w:val="-2"/>
                                <w:w w:val="105"/>
                                <w:sz w:val="16"/>
                              </w:rPr>
                              <w:t>Minister</w:t>
                            </w:r>
                          </w:p>
                        </w:txbxContent>
                      </wps:txbx>
                      <wps:bodyPr wrap="square" lIns="0" tIns="0" rIns="0" bIns="0" rtlCol="0">
                        <a:noAutofit/>
                      </wps:bodyPr>
                    </wps:wsp>
                  </a:graphicData>
                </a:graphic>
              </wp:anchor>
            </w:drawing>
          </mc:Choice>
          <mc:Fallback>
            <w:pict>
              <v:shape w14:anchorId="5D14710B" id="Textbox 1103" o:spid="_x0000_s1056" type="#_x0000_t202" alt="&quot;&quot;" style="position:absolute;margin-left:53.05pt;margin-top:11.15pt;width:442.4pt;height:16.9pt;z-index:-25087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" filled="f" stroked="f">
                <v:textbox inset="0,0,0,0">
                  <w:txbxContent>
                    <w:p w14:paraId="56CD3412" w14:textId="77777777" w:rsidR="00084F36" w:rsidRDefault="00EB2BD8">
                      <w:pPr>
                        <w:spacing w:before="78"/>
                        <w:ind w:left="100"/>
                        <w:rPr>
                          <w:rFonts w:ascii="Arial"/>
                          <w:b/>
                          <w:sz w:val="16"/>
                        </w:rPr>
                      </w:pPr>
                      <w:r>
                        <w:rPr>
                          <w:rFonts w:ascii="Arial"/>
                          <w:b/>
                          <w:color w:val="FFFFFF"/>
                          <w:spacing w:val="-2"/>
                          <w:w w:val="105"/>
                          <w:sz w:val="16"/>
                        </w:rPr>
                        <w:t>Minister</w:t>
                      </w:r>
                    </w:p>
                  </w:txbxContent>
                </v:textbox>
                <w10:wrap type="topAndBottom" anchorx="page"/>
              </v:shape>
            </w:pict>
          </mc:Fallback>
        </mc:AlternateContent>
      </w:r>
    </w:p>
    <w:p w14:paraId="3D301F90" w14:textId="77777777" w:rsidR="00084F36" w:rsidRPr="00EB2BD8" w:rsidRDefault="00EB2BD8">
      <w:pPr>
        <w:tabs>
          <w:tab w:val="left" w:pos="6798"/>
        </w:tabs>
        <w:spacing w:before="79"/>
        <w:ind w:left="1161"/>
        <w:rPr>
          <w:rFonts w:ascii="Arial" w:hAnsi="Arial"/>
          <w:sz w:val="16"/>
        </w:rPr>
      </w:pPr>
      <w:r w:rsidRPr="00EB2BD8">
        <w:rPr>
          <w:rFonts w:ascii="Arial" w:hAnsi="Arial"/>
          <w:w w:val="105"/>
          <w:sz w:val="16"/>
        </w:rPr>
        <w:t>The</w:t>
      </w:r>
      <w:r w:rsidRPr="00EB2BD8">
        <w:rPr>
          <w:rFonts w:ascii="Arial" w:hAnsi="Arial"/>
          <w:spacing w:val="-7"/>
          <w:w w:val="105"/>
          <w:sz w:val="16"/>
        </w:rPr>
        <w:t xml:space="preserve"> </w:t>
      </w:r>
      <w:r w:rsidRPr="00EB2BD8">
        <w:rPr>
          <w:rFonts w:ascii="Arial" w:hAnsi="Arial"/>
          <w:w w:val="105"/>
          <w:sz w:val="16"/>
        </w:rPr>
        <w:t>Hon.</w:t>
      </w:r>
      <w:r w:rsidRPr="00EB2BD8">
        <w:rPr>
          <w:rFonts w:ascii="Arial" w:hAnsi="Arial"/>
          <w:spacing w:val="-6"/>
          <w:w w:val="105"/>
          <w:sz w:val="16"/>
        </w:rPr>
        <w:t xml:space="preserve"> </w:t>
      </w:r>
      <w:r w:rsidRPr="00EB2BD8">
        <w:rPr>
          <w:rFonts w:ascii="Arial" w:hAnsi="Arial"/>
          <w:w w:val="105"/>
          <w:sz w:val="16"/>
        </w:rPr>
        <w:t>Lizzie</w:t>
      </w:r>
      <w:r w:rsidRPr="00EB2BD8">
        <w:rPr>
          <w:rFonts w:ascii="Arial" w:hAnsi="Arial"/>
          <w:spacing w:val="-6"/>
          <w:w w:val="105"/>
          <w:sz w:val="16"/>
        </w:rPr>
        <w:t xml:space="preserve"> </w:t>
      </w:r>
      <w:r w:rsidRPr="00EB2BD8">
        <w:rPr>
          <w:rFonts w:ascii="Arial" w:hAnsi="Arial"/>
          <w:w w:val="105"/>
          <w:sz w:val="16"/>
        </w:rPr>
        <w:t>Blandthorn</w:t>
      </w:r>
      <w:r w:rsidRPr="00EB2BD8">
        <w:rPr>
          <w:rFonts w:ascii="Arial" w:hAnsi="Arial"/>
          <w:spacing w:val="-7"/>
          <w:w w:val="105"/>
          <w:sz w:val="16"/>
        </w:rPr>
        <w:t xml:space="preserve"> </w:t>
      </w:r>
      <w:r w:rsidRPr="00EB2BD8">
        <w:rPr>
          <w:rFonts w:ascii="Arial" w:hAnsi="Arial"/>
          <w:w w:val="105"/>
          <w:sz w:val="16"/>
        </w:rPr>
        <w:t>MP,</w:t>
      </w:r>
      <w:r w:rsidRPr="00EB2BD8">
        <w:rPr>
          <w:rFonts w:ascii="Arial" w:hAnsi="Arial"/>
          <w:spacing w:val="-6"/>
          <w:w w:val="105"/>
          <w:sz w:val="16"/>
        </w:rPr>
        <w:t xml:space="preserve"> </w:t>
      </w:r>
      <w:r w:rsidRPr="00EB2BD8">
        <w:rPr>
          <w:rFonts w:ascii="Arial" w:hAnsi="Arial"/>
          <w:w w:val="105"/>
          <w:sz w:val="16"/>
        </w:rPr>
        <w:t>Minister</w:t>
      </w:r>
      <w:r w:rsidRPr="00EB2BD8">
        <w:rPr>
          <w:rFonts w:ascii="Arial" w:hAnsi="Arial"/>
          <w:spacing w:val="-7"/>
          <w:w w:val="105"/>
          <w:sz w:val="16"/>
        </w:rPr>
        <w:t xml:space="preserve"> </w:t>
      </w:r>
      <w:r w:rsidRPr="00EB2BD8">
        <w:rPr>
          <w:rFonts w:ascii="Arial" w:hAnsi="Arial"/>
          <w:w w:val="105"/>
          <w:sz w:val="16"/>
        </w:rPr>
        <w:t>for</w:t>
      </w:r>
      <w:r w:rsidRPr="00EB2BD8">
        <w:rPr>
          <w:rFonts w:ascii="Arial" w:hAnsi="Arial"/>
          <w:spacing w:val="-6"/>
          <w:w w:val="105"/>
          <w:sz w:val="16"/>
        </w:rPr>
        <w:t xml:space="preserve"> </w:t>
      </w:r>
      <w:r w:rsidRPr="00EB2BD8">
        <w:rPr>
          <w:rFonts w:ascii="Arial" w:hAnsi="Arial"/>
          <w:spacing w:val="-2"/>
          <w:w w:val="105"/>
          <w:sz w:val="16"/>
        </w:rPr>
        <w:t>Planning</w:t>
      </w:r>
      <w:r w:rsidRPr="00EB2BD8">
        <w:rPr>
          <w:rFonts w:ascii="Arial" w:hAnsi="Arial"/>
          <w:sz w:val="16"/>
        </w:rPr>
        <w:tab/>
      </w:r>
      <w:r w:rsidRPr="00EB2BD8">
        <w:rPr>
          <w:rFonts w:ascii="Arial" w:hAnsi="Arial"/>
          <w:w w:val="105"/>
          <w:sz w:val="16"/>
        </w:rPr>
        <w:t>1</w:t>
      </w:r>
      <w:r w:rsidRPr="00EB2BD8">
        <w:rPr>
          <w:rFonts w:ascii="Arial" w:hAnsi="Arial"/>
          <w:spacing w:val="-5"/>
          <w:w w:val="105"/>
          <w:sz w:val="16"/>
        </w:rPr>
        <w:t xml:space="preserve"> </w:t>
      </w:r>
      <w:r w:rsidRPr="00EB2BD8">
        <w:rPr>
          <w:rFonts w:ascii="Arial" w:hAnsi="Arial"/>
          <w:w w:val="105"/>
          <w:sz w:val="16"/>
        </w:rPr>
        <w:t>July</w:t>
      </w:r>
      <w:r w:rsidRPr="00EB2BD8">
        <w:rPr>
          <w:rFonts w:ascii="Arial" w:hAnsi="Arial"/>
          <w:spacing w:val="-4"/>
          <w:w w:val="105"/>
          <w:sz w:val="16"/>
        </w:rPr>
        <w:t xml:space="preserve"> </w:t>
      </w:r>
      <w:r w:rsidRPr="00EB2BD8">
        <w:rPr>
          <w:rFonts w:ascii="Arial" w:hAnsi="Arial"/>
          <w:w w:val="105"/>
          <w:sz w:val="16"/>
        </w:rPr>
        <w:t>2022</w:t>
      </w:r>
      <w:r w:rsidRPr="00EB2BD8">
        <w:rPr>
          <w:rFonts w:ascii="Arial" w:hAnsi="Arial"/>
          <w:spacing w:val="-4"/>
          <w:w w:val="105"/>
          <w:sz w:val="16"/>
        </w:rPr>
        <w:t xml:space="preserve"> </w:t>
      </w:r>
      <w:r w:rsidRPr="00EB2BD8">
        <w:rPr>
          <w:rFonts w:ascii="Arial" w:hAnsi="Arial"/>
          <w:w w:val="105"/>
          <w:sz w:val="16"/>
        </w:rPr>
        <w:t>–</w:t>
      </w:r>
      <w:r w:rsidRPr="00EB2BD8">
        <w:rPr>
          <w:rFonts w:ascii="Arial" w:hAnsi="Arial"/>
          <w:spacing w:val="-5"/>
          <w:w w:val="105"/>
          <w:sz w:val="16"/>
        </w:rPr>
        <w:t xml:space="preserve"> </w:t>
      </w:r>
      <w:r w:rsidRPr="00EB2BD8">
        <w:rPr>
          <w:rFonts w:ascii="Arial" w:hAnsi="Arial"/>
          <w:w w:val="105"/>
          <w:sz w:val="16"/>
        </w:rPr>
        <w:t>4</w:t>
      </w:r>
      <w:r w:rsidRPr="00EB2BD8">
        <w:rPr>
          <w:rFonts w:ascii="Arial" w:hAnsi="Arial"/>
          <w:spacing w:val="-3"/>
          <w:w w:val="105"/>
          <w:sz w:val="16"/>
        </w:rPr>
        <w:t xml:space="preserve"> </w:t>
      </w:r>
      <w:r w:rsidRPr="00EB2BD8">
        <w:rPr>
          <w:rFonts w:ascii="Arial" w:hAnsi="Arial"/>
          <w:w w:val="105"/>
          <w:sz w:val="16"/>
        </w:rPr>
        <w:t>December</w:t>
      </w:r>
      <w:r w:rsidRPr="00EB2BD8">
        <w:rPr>
          <w:rFonts w:ascii="Arial" w:hAnsi="Arial"/>
          <w:spacing w:val="-4"/>
          <w:w w:val="105"/>
          <w:sz w:val="16"/>
        </w:rPr>
        <w:t xml:space="preserve"> 2022</w:t>
      </w:r>
    </w:p>
    <w:p w14:paraId="7A379FD7" w14:textId="77777777" w:rsidR="00084F36" w:rsidRPr="00EB2BD8" w:rsidRDefault="00EB2BD8">
      <w:pPr>
        <w:tabs>
          <w:tab w:val="left" w:pos="6798"/>
        </w:tabs>
        <w:spacing w:before="135"/>
        <w:ind w:left="1161"/>
        <w:rPr>
          <w:rFonts w:ascii="Arial" w:hAnsi="Arial"/>
          <w:sz w:val="16"/>
        </w:rPr>
      </w:pPr>
      <w:r w:rsidRPr="00EB2BD8">
        <w:rPr>
          <w:rFonts w:ascii="Arial" w:hAnsi="Arial"/>
          <w:w w:val="105"/>
          <w:sz w:val="16"/>
        </w:rPr>
        <w:t>The</w:t>
      </w:r>
      <w:r w:rsidRPr="00EB2BD8">
        <w:rPr>
          <w:rFonts w:ascii="Arial" w:hAnsi="Arial"/>
          <w:spacing w:val="-7"/>
          <w:w w:val="105"/>
          <w:sz w:val="16"/>
        </w:rPr>
        <w:t xml:space="preserve"> </w:t>
      </w:r>
      <w:r w:rsidRPr="00EB2BD8">
        <w:rPr>
          <w:rFonts w:ascii="Arial" w:hAnsi="Arial"/>
          <w:w w:val="105"/>
          <w:sz w:val="16"/>
        </w:rPr>
        <w:t>Hon.</w:t>
      </w:r>
      <w:r w:rsidRPr="00EB2BD8">
        <w:rPr>
          <w:rFonts w:ascii="Arial" w:hAnsi="Arial"/>
          <w:spacing w:val="-5"/>
          <w:w w:val="105"/>
          <w:sz w:val="16"/>
        </w:rPr>
        <w:t xml:space="preserve"> </w:t>
      </w:r>
      <w:r w:rsidRPr="00EB2BD8">
        <w:rPr>
          <w:rFonts w:ascii="Arial" w:hAnsi="Arial"/>
          <w:w w:val="105"/>
          <w:sz w:val="16"/>
        </w:rPr>
        <w:t>Sonya</w:t>
      </w:r>
      <w:r w:rsidRPr="00EB2BD8">
        <w:rPr>
          <w:rFonts w:ascii="Arial" w:hAnsi="Arial"/>
          <w:spacing w:val="-7"/>
          <w:w w:val="105"/>
          <w:sz w:val="16"/>
        </w:rPr>
        <w:t xml:space="preserve"> </w:t>
      </w:r>
      <w:r w:rsidRPr="00EB2BD8">
        <w:rPr>
          <w:rFonts w:ascii="Arial" w:hAnsi="Arial"/>
          <w:w w:val="105"/>
          <w:sz w:val="16"/>
        </w:rPr>
        <w:t>Kilkenny</w:t>
      </w:r>
      <w:r w:rsidRPr="00EB2BD8">
        <w:rPr>
          <w:rFonts w:ascii="Arial" w:hAnsi="Arial"/>
          <w:spacing w:val="-6"/>
          <w:w w:val="105"/>
          <w:sz w:val="16"/>
        </w:rPr>
        <w:t xml:space="preserve"> </w:t>
      </w:r>
      <w:r w:rsidRPr="00EB2BD8">
        <w:rPr>
          <w:rFonts w:ascii="Arial" w:hAnsi="Arial"/>
          <w:w w:val="105"/>
          <w:sz w:val="16"/>
        </w:rPr>
        <w:t>MP,</w:t>
      </w:r>
      <w:r w:rsidRPr="00EB2BD8">
        <w:rPr>
          <w:rFonts w:ascii="Arial" w:hAnsi="Arial"/>
          <w:spacing w:val="-6"/>
          <w:w w:val="105"/>
          <w:sz w:val="16"/>
        </w:rPr>
        <w:t xml:space="preserve"> </w:t>
      </w:r>
      <w:r w:rsidRPr="00EB2BD8">
        <w:rPr>
          <w:rFonts w:ascii="Arial" w:hAnsi="Arial"/>
          <w:w w:val="105"/>
          <w:sz w:val="16"/>
        </w:rPr>
        <w:t>Minister</w:t>
      </w:r>
      <w:r w:rsidRPr="00EB2BD8">
        <w:rPr>
          <w:rFonts w:ascii="Arial" w:hAnsi="Arial"/>
          <w:spacing w:val="-7"/>
          <w:w w:val="105"/>
          <w:sz w:val="16"/>
        </w:rPr>
        <w:t xml:space="preserve"> </w:t>
      </w:r>
      <w:r w:rsidRPr="00EB2BD8">
        <w:rPr>
          <w:rFonts w:ascii="Arial" w:hAnsi="Arial"/>
          <w:w w:val="105"/>
          <w:sz w:val="16"/>
        </w:rPr>
        <w:t>for</w:t>
      </w:r>
      <w:r w:rsidRPr="00EB2BD8">
        <w:rPr>
          <w:rFonts w:ascii="Arial" w:hAnsi="Arial"/>
          <w:spacing w:val="-6"/>
          <w:w w:val="105"/>
          <w:sz w:val="16"/>
        </w:rPr>
        <w:t xml:space="preserve"> </w:t>
      </w:r>
      <w:r w:rsidRPr="00EB2BD8">
        <w:rPr>
          <w:rFonts w:ascii="Arial" w:hAnsi="Arial"/>
          <w:spacing w:val="-2"/>
          <w:w w:val="105"/>
          <w:sz w:val="16"/>
        </w:rPr>
        <w:t>Planning</w:t>
      </w:r>
      <w:r w:rsidRPr="00EB2BD8">
        <w:rPr>
          <w:rFonts w:ascii="Arial" w:hAnsi="Arial"/>
          <w:sz w:val="16"/>
        </w:rPr>
        <w:tab/>
      </w:r>
      <w:r w:rsidRPr="00EB2BD8">
        <w:rPr>
          <w:rFonts w:ascii="Arial" w:hAnsi="Arial"/>
          <w:w w:val="105"/>
          <w:sz w:val="16"/>
        </w:rPr>
        <w:t>5</w:t>
      </w:r>
      <w:r w:rsidRPr="00EB2BD8">
        <w:rPr>
          <w:rFonts w:ascii="Arial" w:hAnsi="Arial"/>
          <w:spacing w:val="-5"/>
          <w:w w:val="105"/>
          <w:sz w:val="16"/>
        </w:rPr>
        <w:t xml:space="preserve"> </w:t>
      </w:r>
      <w:r w:rsidRPr="00EB2BD8">
        <w:rPr>
          <w:rFonts w:ascii="Arial" w:hAnsi="Arial"/>
          <w:w w:val="105"/>
          <w:sz w:val="16"/>
        </w:rPr>
        <w:t>December</w:t>
      </w:r>
      <w:r w:rsidRPr="00EB2BD8">
        <w:rPr>
          <w:rFonts w:ascii="Arial" w:hAnsi="Arial"/>
          <w:spacing w:val="-4"/>
          <w:w w:val="105"/>
          <w:sz w:val="16"/>
        </w:rPr>
        <w:t xml:space="preserve"> </w:t>
      </w:r>
      <w:r w:rsidRPr="00EB2BD8">
        <w:rPr>
          <w:rFonts w:ascii="Arial" w:hAnsi="Arial"/>
          <w:w w:val="105"/>
          <w:sz w:val="16"/>
        </w:rPr>
        <w:t>2022</w:t>
      </w:r>
      <w:r w:rsidRPr="00EB2BD8">
        <w:rPr>
          <w:rFonts w:ascii="Arial" w:hAnsi="Arial"/>
          <w:spacing w:val="-5"/>
          <w:w w:val="105"/>
          <w:sz w:val="16"/>
        </w:rPr>
        <w:t xml:space="preserve"> </w:t>
      </w:r>
      <w:r w:rsidRPr="00EB2BD8">
        <w:rPr>
          <w:rFonts w:ascii="Arial" w:hAnsi="Arial"/>
          <w:w w:val="105"/>
          <w:sz w:val="16"/>
        </w:rPr>
        <w:t>–</w:t>
      </w:r>
      <w:r w:rsidRPr="00EB2BD8">
        <w:rPr>
          <w:rFonts w:ascii="Arial" w:hAnsi="Arial"/>
          <w:spacing w:val="-4"/>
          <w:w w:val="105"/>
          <w:sz w:val="16"/>
        </w:rPr>
        <w:t xml:space="preserve"> </w:t>
      </w:r>
      <w:r w:rsidRPr="00EB2BD8">
        <w:rPr>
          <w:rFonts w:ascii="Arial" w:hAnsi="Arial"/>
          <w:w w:val="105"/>
          <w:sz w:val="16"/>
        </w:rPr>
        <w:t>30</w:t>
      </w:r>
      <w:r w:rsidRPr="00EB2BD8">
        <w:rPr>
          <w:rFonts w:ascii="Arial" w:hAnsi="Arial"/>
          <w:spacing w:val="-4"/>
          <w:w w:val="105"/>
          <w:sz w:val="16"/>
        </w:rPr>
        <w:t xml:space="preserve"> </w:t>
      </w:r>
      <w:r w:rsidRPr="00EB2BD8">
        <w:rPr>
          <w:rFonts w:ascii="Arial" w:hAnsi="Arial"/>
          <w:w w:val="105"/>
          <w:sz w:val="16"/>
        </w:rPr>
        <w:t>June</w:t>
      </w:r>
      <w:r w:rsidRPr="00EB2BD8">
        <w:rPr>
          <w:rFonts w:ascii="Arial" w:hAnsi="Arial"/>
          <w:spacing w:val="-5"/>
          <w:w w:val="105"/>
          <w:sz w:val="16"/>
        </w:rPr>
        <w:t xml:space="preserve"> </w:t>
      </w:r>
      <w:r w:rsidRPr="00EB2BD8">
        <w:rPr>
          <w:rFonts w:ascii="Arial" w:hAnsi="Arial"/>
          <w:spacing w:val="-4"/>
          <w:w w:val="105"/>
          <w:sz w:val="16"/>
        </w:rPr>
        <w:t>2023</w:t>
      </w:r>
    </w:p>
    <w:p w14:paraId="42FBF4B7" w14:textId="77777777" w:rsidR="00084F36" w:rsidRPr="00EB2BD8" w:rsidRDefault="00EB2BD8">
      <w:pPr>
        <w:pStyle w:val="BodyText"/>
        <w:spacing w:before="9"/>
        <w:rPr>
          <w:rFonts w:ascii="Arial"/>
          <w:sz w:val="3"/>
        </w:rPr>
      </w:pPr>
      <w:r w:rsidRPr="00EB2BD8">
        <w:rPr>
          <w:noProof/>
        </w:rPr>
        <mc:AlternateContent>
          <mc:Choice Requires="wps">
            <w:drawing>
              <wp:anchor distT="0" distB="0" distL="0" distR="0" simplePos="0" relativeHeight="252446720" behindDoc="1" locked="0" layoutInCell="1" allowOverlap="1" wp14:anchorId="13B3292C" wp14:editId="35787EA4">
                <wp:simplePos x="0" y="0"/>
                <wp:positionH relativeFrom="page">
                  <wp:posOffset>673480</wp:posOffset>
                </wp:positionH>
                <wp:positionV relativeFrom="paragraph">
                  <wp:posOffset>42933</wp:posOffset>
                </wp:positionV>
                <wp:extent cx="5618480" cy="213360"/>
                <wp:effectExtent l="0" t="0" r="0" b="0"/>
                <wp:wrapTopAndBottom/>
                <wp:docPr id="1104" name="Textbox 1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8480" cy="213360"/>
                        </a:xfrm>
                        <a:prstGeom prst="rect">
                          <a:avLst/>
                        </a:prstGeom>
                        <a:solidFill>
                          <a:srgbClr val="0070C0"/>
                        </a:solidFill>
                      </wps:spPr>
                      <wps:txbx>
                        <w:txbxContent>
                          <w:p w14:paraId="2FDA589F" w14:textId="77777777" w:rsidR="00084F36" w:rsidRDefault="00EB2BD8">
                            <w:pPr>
                              <w:spacing w:before="77"/>
                              <w:ind w:left="100"/>
                              <w:rPr>
                                <w:rFonts w:ascii="Arial"/>
                                <w:b/>
                                <w:color w:val="000000"/>
                                <w:sz w:val="16"/>
                              </w:rPr>
                            </w:pPr>
                            <w:r>
                              <w:rPr>
                                <w:rFonts w:ascii="Arial"/>
                                <w:b/>
                                <w:color w:val="FFFFFF"/>
                                <w:w w:val="105"/>
                                <w:sz w:val="16"/>
                              </w:rPr>
                              <w:t>Governing</w:t>
                            </w:r>
                            <w:r>
                              <w:rPr>
                                <w:rFonts w:ascii="Arial"/>
                                <w:b/>
                                <w:color w:val="FFFFFF"/>
                                <w:spacing w:val="-12"/>
                                <w:w w:val="105"/>
                                <w:sz w:val="16"/>
                              </w:rPr>
                              <w:t xml:space="preserve"> </w:t>
                            </w:r>
                            <w:r>
                              <w:rPr>
                                <w:rFonts w:ascii="Arial"/>
                                <w:b/>
                                <w:color w:val="FFFFFF"/>
                                <w:spacing w:val="-4"/>
                                <w:w w:val="105"/>
                                <w:sz w:val="16"/>
                              </w:rPr>
                              <w:t>Board</w:t>
                            </w:r>
                          </w:p>
                        </w:txbxContent>
                      </wps:txbx>
                      <wps:bodyPr wrap="square" lIns="0" tIns="0" rIns="0" bIns="0" rtlCol="0">
                        <a:noAutofit/>
                      </wps:bodyPr>
                    </wps:wsp>
                  </a:graphicData>
                </a:graphic>
              </wp:anchor>
            </w:drawing>
          </mc:Choice>
          <mc:Fallback>
            <w:pict>
              <v:shape w14:anchorId="13B3292C" id="Textbox 1104" o:spid="_x0000_s1057" type="#_x0000_t202" alt="&quot;&quot;" style="position:absolute;margin-left:53.05pt;margin-top:3.4pt;width:442.4pt;height:16.8pt;z-index:-25086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" fillcolor="#0070c0" stroked="f">
                <v:textbox inset="0,0,0,0">
                  <w:txbxContent>
                    <w:p w14:paraId="2FDA589F" w14:textId="77777777" w:rsidR="00084F36" w:rsidRDefault="00EB2BD8">
                      <w:pPr>
                        <w:spacing w:before="77"/>
                        <w:ind w:left="100"/>
                        <w:rPr>
                          <w:rFonts w:ascii="Arial"/>
                          <w:b/>
                          <w:color w:val="000000"/>
                          <w:sz w:val="16"/>
                        </w:rPr>
                      </w:pPr>
                      <w:r>
                        <w:rPr>
                          <w:rFonts w:ascii="Arial"/>
                          <w:b/>
                          <w:color w:val="FFFFFF"/>
                          <w:w w:val="105"/>
                          <w:sz w:val="16"/>
                        </w:rPr>
                        <w:t>Governing</w:t>
                      </w:r>
                      <w:r>
                        <w:rPr>
                          <w:rFonts w:ascii="Arial"/>
                          <w:b/>
                          <w:color w:val="FFFFFF"/>
                          <w:spacing w:val="-12"/>
                          <w:w w:val="105"/>
                          <w:sz w:val="16"/>
                        </w:rPr>
                        <w:t xml:space="preserve"> </w:t>
                      </w:r>
                      <w:r>
                        <w:rPr>
                          <w:rFonts w:ascii="Arial"/>
                          <w:b/>
                          <w:color w:val="FFFFFF"/>
                          <w:spacing w:val="-4"/>
                          <w:w w:val="105"/>
                          <w:sz w:val="16"/>
                        </w:rPr>
                        <w:t>Board</w:t>
                      </w:r>
                    </w:p>
                  </w:txbxContent>
                </v:textbox>
                <w10:wrap type="topAndBottom" anchorx="page"/>
              </v:shape>
            </w:pict>
          </mc:Fallback>
        </mc:AlternateContent>
      </w:r>
    </w:p>
    <w:p w14:paraId="56E7E2D3" w14:textId="77777777" w:rsidR="00084F36" w:rsidRPr="00EB2BD8" w:rsidRDefault="00EB2BD8">
      <w:pPr>
        <w:tabs>
          <w:tab w:val="left" w:pos="6797"/>
        </w:tabs>
        <w:spacing w:before="69"/>
        <w:ind w:left="1161"/>
        <w:rPr>
          <w:rFonts w:ascii="Arial"/>
          <w:sz w:val="16"/>
        </w:rPr>
      </w:pPr>
      <w:r w:rsidRPr="00EB2BD8">
        <w:rPr>
          <w:rFonts w:ascii="Arial"/>
          <w:w w:val="105"/>
          <w:sz w:val="16"/>
        </w:rPr>
        <w:t>Michelle</w:t>
      </w:r>
      <w:r w:rsidRPr="00EB2BD8">
        <w:rPr>
          <w:rFonts w:ascii="Arial"/>
          <w:spacing w:val="-9"/>
          <w:w w:val="105"/>
          <w:sz w:val="16"/>
        </w:rPr>
        <w:t xml:space="preserve"> </w:t>
      </w:r>
      <w:r w:rsidRPr="00EB2BD8">
        <w:rPr>
          <w:rFonts w:ascii="Arial"/>
          <w:w w:val="105"/>
          <w:sz w:val="16"/>
        </w:rPr>
        <w:t>McLean,</w:t>
      </w:r>
      <w:r w:rsidRPr="00EB2BD8">
        <w:rPr>
          <w:rFonts w:ascii="Arial"/>
          <w:spacing w:val="-8"/>
          <w:w w:val="105"/>
          <w:sz w:val="16"/>
        </w:rPr>
        <w:t xml:space="preserve"> </w:t>
      </w:r>
      <w:r w:rsidRPr="00EB2BD8">
        <w:rPr>
          <w:rFonts w:ascii="Arial"/>
          <w:w w:val="105"/>
          <w:sz w:val="16"/>
        </w:rPr>
        <w:t>Chief</w:t>
      </w:r>
      <w:r w:rsidRPr="00EB2BD8">
        <w:rPr>
          <w:rFonts w:ascii="Arial"/>
          <w:spacing w:val="-9"/>
          <w:w w:val="105"/>
          <w:sz w:val="16"/>
        </w:rPr>
        <w:t xml:space="preserve"> </w:t>
      </w:r>
      <w:r w:rsidRPr="00EB2BD8">
        <w:rPr>
          <w:rFonts w:ascii="Arial"/>
          <w:spacing w:val="-2"/>
          <w:w w:val="105"/>
          <w:sz w:val="16"/>
        </w:rPr>
        <w:t>Commissioner</w:t>
      </w:r>
      <w:r w:rsidRPr="00EB2BD8">
        <w:rPr>
          <w:rFonts w:ascii="Arial"/>
          <w:sz w:val="16"/>
        </w:rPr>
        <w:tab/>
      </w:r>
      <w:r w:rsidRPr="00EB2BD8">
        <w:rPr>
          <w:rFonts w:ascii="Arial"/>
          <w:w w:val="105"/>
          <w:sz w:val="16"/>
        </w:rPr>
        <w:t>1</w:t>
      </w:r>
      <w:r w:rsidRPr="00EB2BD8">
        <w:rPr>
          <w:rFonts w:ascii="Arial"/>
          <w:spacing w:val="-4"/>
          <w:w w:val="105"/>
          <w:sz w:val="16"/>
        </w:rPr>
        <w:t xml:space="preserve"> </w:t>
      </w:r>
      <w:r w:rsidRPr="00EB2BD8">
        <w:rPr>
          <w:rFonts w:ascii="Arial"/>
          <w:w w:val="105"/>
          <w:sz w:val="16"/>
        </w:rPr>
        <w:t>July</w:t>
      </w:r>
      <w:r w:rsidRPr="00EB2BD8">
        <w:rPr>
          <w:rFonts w:ascii="Arial"/>
          <w:spacing w:val="-3"/>
          <w:w w:val="105"/>
          <w:sz w:val="16"/>
        </w:rPr>
        <w:t xml:space="preserve"> </w:t>
      </w:r>
      <w:r w:rsidRPr="00EB2BD8">
        <w:rPr>
          <w:rFonts w:ascii="Arial"/>
          <w:w w:val="105"/>
          <w:sz w:val="16"/>
        </w:rPr>
        <w:t>2022</w:t>
      </w:r>
      <w:r w:rsidRPr="00EB2BD8">
        <w:rPr>
          <w:rFonts w:ascii="Arial"/>
          <w:spacing w:val="-4"/>
          <w:w w:val="105"/>
          <w:sz w:val="16"/>
        </w:rPr>
        <w:t xml:space="preserve"> </w:t>
      </w:r>
      <w:r w:rsidRPr="00EB2BD8">
        <w:rPr>
          <w:rFonts w:ascii="Arial"/>
          <w:w w:val="105"/>
          <w:sz w:val="16"/>
        </w:rPr>
        <w:t>-</w:t>
      </w:r>
      <w:r w:rsidRPr="00EB2BD8">
        <w:rPr>
          <w:rFonts w:ascii="Arial"/>
          <w:spacing w:val="-3"/>
          <w:w w:val="105"/>
          <w:sz w:val="16"/>
        </w:rPr>
        <w:t xml:space="preserve"> </w:t>
      </w:r>
      <w:r w:rsidRPr="00EB2BD8">
        <w:rPr>
          <w:rFonts w:ascii="Arial"/>
          <w:w w:val="105"/>
          <w:sz w:val="16"/>
        </w:rPr>
        <w:t>30</w:t>
      </w:r>
      <w:r w:rsidRPr="00EB2BD8">
        <w:rPr>
          <w:rFonts w:ascii="Arial"/>
          <w:spacing w:val="-4"/>
          <w:w w:val="105"/>
          <w:sz w:val="16"/>
        </w:rPr>
        <w:t xml:space="preserve"> </w:t>
      </w:r>
      <w:r w:rsidRPr="00EB2BD8">
        <w:rPr>
          <w:rFonts w:ascii="Arial"/>
          <w:w w:val="105"/>
          <w:sz w:val="16"/>
        </w:rPr>
        <w:t>June</w:t>
      </w:r>
      <w:r w:rsidRPr="00EB2BD8">
        <w:rPr>
          <w:rFonts w:ascii="Arial"/>
          <w:spacing w:val="-3"/>
          <w:w w:val="105"/>
          <w:sz w:val="16"/>
        </w:rPr>
        <w:t xml:space="preserve"> </w:t>
      </w:r>
      <w:r w:rsidRPr="00EB2BD8">
        <w:rPr>
          <w:rFonts w:ascii="Arial"/>
          <w:spacing w:val="-4"/>
          <w:w w:val="105"/>
          <w:sz w:val="16"/>
        </w:rPr>
        <w:t>2023</w:t>
      </w:r>
    </w:p>
    <w:p w14:paraId="18F5AA65" w14:textId="77777777" w:rsidR="00084F36" w:rsidRPr="00EB2BD8" w:rsidRDefault="00084F36">
      <w:pPr>
        <w:pStyle w:val="BodyText"/>
        <w:spacing w:before="2"/>
        <w:rPr>
          <w:rFonts w:ascii="Arial"/>
          <w:sz w:val="16"/>
        </w:rPr>
      </w:pPr>
    </w:p>
    <w:p w14:paraId="2396B431" w14:textId="77777777" w:rsidR="00084F36" w:rsidRPr="00EB2BD8" w:rsidRDefault="00EB2BD8">
      <w:pPr>
        <w:tabs>
          <w:tab w:val="left" w:pos="6797"/>
        </w:tabs>
        <w:ind w:left="1161"/>
        <w:rPr>
          <w:rFonts w:ascii="Arial" w:hAnsi="Arial"/>
          <w:sz w:val="16"/>
        </w:rPr>
      </w:pPr>
      <w:r w:rsidRPr="00EB2BD8">
        <w:rPr>
          <w:rFonts w:ascii="Arial" w:hAnsi="Arial"/>
          <w:w w:val="105"/>
          <w:sz w:val="16"/>
        </w:rPr>
        <w:t>Justin</w:t>
      </w:r>
      <w:r w:rsidRPr="00EB2BD8">
        <w:rPr>
          <w:rFonts w:ascii="Arial" w:hAnsi="Arial"/>
          <w:spacing w:val="-7"/>
          <w:w w:val="105"/>
          <w:sz w:val="16"/>
        </w:rPr>
        <w:t xml:space="preserve"> </w:t>
      </w:r>
      <w:r w:rsidRPr="00EB2BD8">
        <w:rPr>
          <w:rFonts w:ascii="Arial" w:hAnsi="Arial"/>
          <w:w w:val="105"/>
          <w:sz w:val="16"/>
        </w:rPr>
        <w:t>Madden</w:t>
      </w:r>
      <w:r w:rsidRPr="00EB2BD8">
        <w:rPr>
          <w:rFonts w:ascii="Arial" w:hAnsi="Arial"/>
          <w:spacing w:val="-7"/>
          <w:w w:val="105"/>
          <w:sz w:val="16"/>
        </w:rPr>
        <w:t xml:space="preserve"> </w:t>
      </w:r>
      <w:r w:rsidRPr="00EB2BD8">
        <w:rPr>
          <w:rFonts w:ascii="Arial" w:hAnsi="Arial"/>
          <w:w w:val="105"/>
          <w:sz w:val="16"/>
        </w:rPr>
        <w:t>AM,</w:t>
      </w:r>
      <w:r w:rsidRPr="00EB2BD8">
        <w:rPr>
          <w:rFonts w:ascii="Arial" w:hAnsi="Arial"/>
          <w:spacing w:val="-7"/>
          <w:w w:val="105"/>
          <w:sz w:val="16"/>
        </w:rPr>
        <w:t xml:space="preserve"> </w:t>
      </w:r>
      <w:r w:rsidRPr="00EB2BD8">
        <w:rPr>
          <w:rFonts w:ascii="Arial" w:hAnsi="Arial"/>
          <w:w w:val="105"/>
          <w:sz w:val="16"/>
        </w:rPr>
        <w:t>Deputy</w:t>
      </w:r>
      <w:r w:rsidRPr="00EB2BD8">
        <w:rPr>
          <w:rFonts w:ascii="Arial" w:hAnsi="Arial"/>
          <w:spacing w:val="-7"/>
          <w:w w:val="105"/>
          <w:sz w:val="16"/>
        </w:rPr>
        <w:t xml:space="preserve"> </w:t>
      </w:r>
      <w:r w:rsidRPr="00EB2BD8">
        <w:rPr>
          <w:rFonts w:ascii="Arial" w:hAnsi="Arial"/>
          <w:w w:val="105"/>
          <w:sz w:val="16"/>
        </w:rPr>
        <w:t>Chief</w:t>
      </w:r>
      <w:r w:rsidRPr="00EB2BD8">
        <w:rPr>
          <w:rFonts w:ascii="Arial" w:hAnsi="Arial"/>
          <w:spacing w:val="-7"/>
          <w:w w:val="105"/>
          <w:sz w:val="16"/>
        </w:rPr>
        <w:t xml:space="preserve"> </w:t>
      </w:r>
      <w:r w:rsidRPr="00EB2BD8">
        <w:rPr>
          <w:rFonts w:ascii="Arial" w:hAnsi="Arial"/>
          <w:spacing w:val="-2"/>
          <w:w w:val="105"/>
          <w:sz w:val="16"/>
        </w:rPr>
        <w:t>Commissioner</w:t>
      </w:r>
      <w:r w:rsidRPr="00EB2BD8">
        <w:rPr>
          <w:rFonts w:ascii="Arial" w:hAnsi="Arial"/>
          <w:sz w:val="16"/>
        </w:rPr>
        <w:tab/>
      </w:r>
      <w:r w:rsidRPr="00EB2BD8">
        <w:rPr>
          <w:rFonts w:ascii="Arial" w:hAnsi="Arial"/>
          <w:w w:val="105"/>
          <w:sz w:val="16"/>
        </w:rPr>
        <w:t>1</w:t>
      </w:r>
      <w:r w:rsidRPr="00EB2BD8">
        <w:rPr>
          <w:rFonts w:ascii="Arial" w:hAnsi="Arial"/>
          <w:spacing w:val="-4"/>
          <w:w w:val="105"/>
          <w:sz w:val="16"/>
        </w:rPr>
        <w:t xml:space="preserve"> </w:t>
      </w:r>
      <w:r w:rsidRPr="00EB2BD8">
        <w:rPr>
          <w:rFonts w:ascii="Arial" w:hAnsi="Arial"/>
          <w:w w:val="105"/>
          <w:sz w:val="16"/>
        </w:rPr>
        <w:t>July</w:t>
      </w:r>
      <w:r w:rsidRPr="00EB2BD8">
        <w:rPr>
          <w:rFonts w:ascii="Arial" w:hAnsi="Arial"/>
          <w:spacing w:val="-3"/>
          <w:w w:val="105"/>
          <w:sz w:val="16"/>
        </w:rPr>
        <w:t xml:space="preserve"> </w:t>
      </w:r>
      <w:r w:rsidRPr="00EB2BD8">
        <w:rPr>
          <w:rFonts w:ascii="Arial" w:hAnsi="Arial"/>
          <w:w w:val="105"/>
          <w:sz w:val="16"/>
        </w:rPr>
        <w:t>2022</w:t>
      </w:r>
      <w:r w:rsidRPr="00EB2BD8">
        <w:rPr>
          <w:rFonts w:ascii="Arial" w:hAnsi="Arial"/>
          <w:spacing w:val="-4"/>
          <w:w w:val="105"/>
          <w:sz w:val="16"/>
        </w:rPr>
        <w:t xml:space="preserve"> </w:t>
      </w:r>
      <w:r w:rsidRPr="00EB2BD8">
        <w:rPr>
          <w:rFonts w:ascii="Arial" w:hAnsi="Arial"/>
          <w:w w:val="105"/>
          <w:sz w:val="16"/>
        </w:rPr>
        <w:t>–</w:t>
      </w:r>
      <w:r w:rsidRPr="00EB2BD8">
        <w:rPr>
          <w:rFonts w:ascii="Arial" w:hAnsi="Arial"/>
          <w:spacing w:val="-3"/>
          <w:w w:val="105"/>
          <w:sz w:val="16"/>
        </w:rPr>
        <w:t xml:space="preserve"> </w:t>
      </w:r>
      <w:r w:rsidRPr="00EB2BD8">
        <w:rPr>
          <w:rFonts w:ascii="Arial" w:hAnsi="Arial"/>
          <w:w w:val="105"/>
          <w:sz w:val="16"/>
        </w:rPr>
        <w:t>30</w:t>
      </w:r>
      <w:r w:rsidRPr="00EB2BD8">
        <w:rPr>
          <w:rFonts w:ascii="Arial" w:hAnsi="Arial"/>
          <w:spacing w:val="-4"/>
          <w:w w:val="105"/>
          <w:sz w:val="16"/>
        </w:rPr>
        <w:t xml:space="preserve"> </w:t>
      </w:r>
      <w:r w:rsidRPr="00EB2BD8">
        <w:rPr>
          <w:rFonts w:ascii="Arial" w:hAnsi="Arial"/>
          <w:w w:val="105"/>
          <w:sz w:val="16"/>
        </w:rPr>
        <w:t>June</w:t>
      </w:r>
      <w:r w:rsidRPr="00EB2BD8">
        <w:rPr>
          <w:rFonts w:ascii="Arial" w:hAnsi="Arial"/>
          <w:spacing w:val="-3"/>
          <w:w w:val="105"/>
          <w:sz w:val="16"/>
        </w:rPr>
        <w:t xml:space="preserve"> </w:t>
      </w:r>
      <w:r w:rsidRPr="00EB2BD8">
        <w:rPr>
          <w:rFonts w:ascii="Arial" w:hAnsi="Arial"/>
          <w:spacing w:val="-4"/>
          <w:w w:val="105"/>
          <w:sz w:val="16"/>
        </w:rPr>
        <w:t>2023</w:t>
      </w:r>
    </w:p>
    <w:p w14:paraId="678B8AEC" w14:textId="77777777" w:rsidR="00084F36" w:rsidRPr="00EB2BD8" w:rsidRDefault="00084F36">
      <w:pPr>
        <w:pStyle w:val="BodyText"/>
        <w:rPr>
          <w:rFonts w:ascii="Arial"/>
          <w:sz w:val="16"/>
        </w:rPr>
      </w:pPr>
    </w:p>
    <w:p w14:paraId="6F5D78BE" w14:textId="77777777" w:rsidR="00084F36" w:rsidRPr="00EB2BD8" w:rsidRDefault="00EB2BD8">
      <w:pPr>
        <w:tabs>
          <w:tab w:val="left" w:pos="6798"/>
        </w:tabs>
        <w:ind w:left="1161"/>
        <w:rPr>
          <w:rFonts w:ascii="Arial"/>
          <w:sz w:val="16"/>
        </w:rPr>
      </w:pPr>
      <w:r w:rsidRPr="00EB2BD8">
        <w:rPr>
          <w:rFonts w:ascii="Arial"/>
          <w:w w:val="105"/>
          <w:sz w:val="16"/>
        </w:rPr>
        <w:t>Yvonne</w:t>
      </w:r>
      <w:r w:rsidRPr="00EB2BD8">
        <w:rPr>
          <w:rFonts w:ascii="Arial"/>
          <w:spacing w:val="-8"/>
          <w:w w:val="105"/>
          <w:sz w:val="16"/>
        </w:rPr>
        <w:t xml:space="preserve"> </w:t>
      </w:r>
      <w:r w:rsidRPr="00EB2BD8">
        <w:rPr>
          <w:rFonts w:ascii="Arial"/>
          <w:w w:val="105"/>
          <w:sz w:val="16"/>
        </w:rPr>
        <w:t>von</w:t>
      </w:r>
      <w:r w:rsidRPr="00EB2BD8">
        <w:rPr>
          <w:rFonts w:ascii="Arial"/>
          <w:spacing w:val="-6"/>
          <w:w w:val="105"/>
          <w:sz w:val="16"/>
        </w:rPr>
        <w:t xml:space="preserve"> </w:t>
      </w:r>
      <w:r w:rsidRPr="00EB2BD8">
        <w:rPr>
          <w:rFonts w:ascii="Arial"/>
          <w:w w:val="105"/>
          <w:sz w:val="16"/>
        </w:rPr>
        <w:t>Hartel</w:t>
      </w:r>
      <w:r w:rsidRPr="00EB2BD8">
        <w:rPr>
          <w:rFonts w:ascii="Arial"/>
          <w:spacing w:val="-6"/>
          <w:w w:val="105"/>
          <w:sz w:val="16"/>
        </w:rPr>
        <w:t xml:space="preserve"> </w:t>
      </w:r>
      <w:r w:rsidRPr="00EB2BD8">
        <w:rPr>
          <w:rFonts w:ascii="Arial"/>
          <w:w w:val="105"/>
          <w:sz w:val="16"/>
        </w:rPr>
        <w:t>AM,</w:t>
      </w:r>
      <w:r w:rsidRPr="00EB2BD8">
        <w:rPr>
          <w:rFonts w:ascii="Arial"/>
          <w:spacing w:val="-5"/>
          <w:w w:val="105"/>
          <w:sz w:val="16"/>
        </w:rPr>
        <w:t xml:space="preserve"> </w:t>
      </w:r>
      <w:r w:rsidRPr="00EB2BD8">
        <w:rPr>
          <w:rFonts w:ascii="Arial"/>
          <w:spacing w:val="-2"/>
          <w:w w:val="105"/>
          <w:sz w:val="16"/>
        </w:rPr>
        <w:t>Commissioner</w:t>
      </w:r>
      <w:r w:rsidRPr="00EB2BD8">
        <w:rPr>
          <w:rFonts w:ascii="Arial"/>
          <w:sz w:val="16"/>
        </w:rPr>
        <w:tab/>
      </w:r>
      <w:r w:rsidRPr="00EB2BD8">
        <w:rPr>
          <w:rFonts w:ascii="Arial"/>
          <w:w w:val="105"/>
          <w:sz w:val="16"/>
        </w:rPr>
        <w:t>1</w:t>
      </w:r>
      <w:r w:rsidRPr="00EB2BD8">
        <w:rPr>
          <w:rFonts w:ascii="Arial"/>
          <w:spacing w:val="-4"/>
          <w:w w:val="105"/>
          <w:sz w:val="16"/>
        </w:rPr>
        <w:t xml:space="preserve"> </w:t>
      </w:r>
      <w:r w:rsidRPr="00EB2BD8">
        <w:rPr>
          <w:rFonts w:ascii="Arial"/>
          <w:w w:val="105"/>
          <w:sz w:val="16"/>
        </w:rPr>
        <w:t>July</w:t>
      </w:r>
      <w:r w:rsidRPr="00EB2BD8">
        <w:rPr>
          <w:rFonts w:ascii="Arial"/>
          <w:spacing w:val="-3"/>
          <w:w w:val="105"/>
          <w:sz w:val="16"/>
        </w:rPr>
        <w:t xml:space="preserve"> </w:t>
      </w:r>
      <w:r w:rsidRPr="00EB2BD8">
        <w:rPr>
          <w:rFonts w:ascii="Arial"/>
          <w:w w:val="105"/>
          <w:sz w:val="16"/>
        </w:rPr>
        <w:t>2022</w:t>
      </w:r>
      <w:r w:rsidRPr="00EB2BD8">
        <w:rPr>
          <w:rFonts w:ascii="Arial"/>
          <w:spacing w:val="-4"/>
          <w:w w:val="105"/>
          <w:sz w:val="16"/>
        </w:rPr>
        <w:t xml:space="preserve"> </w:t>
      </w:r>
      <w:r w:rsidRPr="00EB2BD8">
        <w:rPr>
          <w:rFonts w:ascii="Arial"/>
          <w:w w:val="105"/>
          <w:sz w:val="16"/>
        </w:rPr>
        <w:t>-</w:t>
      </w:r>
      <w:r w:rsidRPr="00EB2BD8">
        <w:rPr>
          <w:rFonts w:ascii="Arial"/>
          <w:spacing w:val="-3"/>
          <w:w w:val="105"/>
          <w:sz w:val="16"/>
        </w:rPr>
        <w:t xml:space="preserve"> </w:t>
      </w:r>
      <w:r w:rsidRPr="00EB2BD8">
        <w:rPr>
          <w:rFonts w:ascii="Arial"/>
          <w:w w:val="105"/>
          <w:sz w:val="16"/>
        </w:rPr>
        <w:t>30</w:t>
      </w:r>
      <w:r w:rsidRPr="00EB2BD8">
        <w:rPr>
          <w:rFonts w:ascii="Arial"/>
          <w:spacing w:val="-4"/>
          <w:w w:val="105"/>
          <w:sz w:val="16"/>
        </w:rPr>
        <w:t xml:space="preserve"> </w:t>
      </w:r>
      <w:r w:rsidRPr="00EB2BD8">
        <w:rPr>
          <w:rFonts w:ascii="Arial"/>
          <w:w w:val="105"/>
          <w:sz w:val="16"/>
        </w:rPr>
        <w:t>June</w:t>
      </w:r>
      <w:r w:rsidRPr="00EB2BD8">
        <w:rPr>
          <w:rFonts w:ascii="Arial"/>
          <w:spacing w:val="-3"/>
          <w:w w:val="105"/>
          <w:sz w:val="16"/>
        </w:rPr>
        <w:t xml:space="preserve"> </w:t>
      </w:r>
      <w:r w:rsidRPr="00EB2BD8">
        <w:rPr>
          <w:rFonts w:ascii="Arial"/>
          <w:spacing w:val="-4"/>
          <w:w w:val="105"/>
          <w:sz w:val="16"/>
        </w:rPr>
        <w:t>2023</w:t>
      </w:r>
    </w:p>
    <w:p w14:paraId="6FEDF846" w14:textId="77777777" w:rsidR="00084F36" w:rsidRPr="00EB2BD8" w:rsidRDefault="00EB2BD8">
      <w:pPr>
        <w:tabs>
          <w:tab w:val="left" w:pos="6798"/>
        </w:tabs>
        <w:spacing w:before="135"/>
        <w:ind w:left="1161"/>
        <w:rPr>
          <w:rFonts w:ascii="Arial"/>
          <w:sz w:val="16"/>
        </w:rPr>
      </w:pPr>
      <w:r w:rsidRPr="00EB2BD8">
        <w:rPr>
          <w:rFonts w:ascii="Arial"/>
          <w:w w:val="105"/>
          <w:sz w:val="16"/>
        </w:rPr>
        <w:t>Kelly</w:t>
      </w:r>
      <w:r w:rsidRPr="00EB2BD8">
        <w:rPr>
          <w:rFonts w:ascii="Arial"/>
          <w:spacing w:val="-10"/>
          <w:w w:val="105"/>
          <w:sz w:val="16"/>
        </w:rPr>
        <w:t xml:space="preserve"> </w:t>
      </w:r>
      <w:r w:rsidRPr="00EB2BD8">
        <w:rPr>
          <w:rFonts w:ascii="Arial"/>
          <w:w w:val="105"/>
          <w:sz w:val="16"/>
        </w:rPr>
        <w:t>Humphreys,</w:t>
      </w:r>
      <w:r w:rsidRPr="00EB2BD8">
        <w:rPr>
          <w:rFonts w:ascii="Arial"/>
          <w:spacing w:val="-10"/>
          <w:w w:val="105"/>
          <w:sz w:val="16"/>
        </w:rPr>
        <w:t xml:space="preserve"> </w:t>
      </w:r>
      <w:r w:rsidRPr="00EB2BD8">
        <w:rPr>
          <w:rFonts w:ascii="Arial"/>
          <w:spacing w:val="-2"/>
          <w:w w:val="105"/>
          <w:sz w:val="16"/>
        </w:rPr>
        <w:t>Commissioner</w:t>
      </w:r>
      <w:r w:rsidRPr="00EB2BD8">
        <w:rPr>
          <w:rFonts w:ascii="Arial"/>
          <w:sz w:val="16"/>
        </w:rPr>
        <w:tab/>
      </w:r>
      <w:r w:rsidRPr="00EB2BD8">
        <w:rPr>
          <w:rFonts w:ascii="Arial"/>
          <w:w w:val="105"/>
          <w:sz w:val="16"/>
        </w:rPr>
        <w:t>1</w:t>
      </w:r>
      <w:r w:rsidRPr="00EB2BD8">
        <w:rPr>
          <w:rFonts w:ascii="Arial"/>
          <w:spacing w:val="-4"/>
          <w:w w:val="105"/>
          <w:sz w:val="16"/>
        </w:rPr>
        <w:t xml:space="preserve"> </w:t>
      </w:r>
      <w:r w:rsidRPr="00EB2BD8">
        <w:rPr>
          <w:rFonts w:ascii="Arial"/>
          <w:w w:val="105"/>
          <w:sz w:val="16"/>
        </w:rPr>
        <w:t>July</w:t>
      </w:r>
      <w:r w:rsidRPr="00EB2BD8">
        <w:rPr>
          <w:rFonts w:ascii="Arial"/>
          <w:spacing w:val="-3"/>
          <w:w w:val="105"/>
          <w:sz w:val="16"/>
        </w:rPr>
        <w:t xml:space="preserve"> </w:t>
      </w:r>
      <w:r w:rsidRPr="00EB2BD8">
        <w:rPr>
          <w:rFonts w:ascii="Arial"/>
          <w:w w:val="105"/>
          <w:sz w:val="16"/>
        </w:rPr>
        <w:t>2022</w:t>
      </w:r>
      <w:r w:rsidRPr="00EB2BD8">
        <w:rPr>
          <w:rFonts w:ascii="Arial"/>
          <w:spacing w:val="-4"/>
          <w:w w:val="105"/>
          <w:sz w:val="16"/>
        </w:rPr>
        <w:t xml:space="preserve"> </w:t>
      </w:r>
      <w:r w:rsidRPr="00EB2BD8">
        <w:rPr>
          <w:rFonts w:ascii="Arial"/>
          <w:w w:val="105"/>
          <w:sz w:val="16"/>
        </w:rPr>
        <w:t>-</w:t>
      </w:r>
      <w:r w:rsidRPr="00EB2BD8">
        <w:rPr>
          <w:rFonts w:ascii="Arial"/>
          <w:spacing w:val="-3"/>
          <w:w w:val="105"/>
          <w:sz w:val="16"/>
        </w:rPr>
        <w:t xml:space="preserve"> </w:t>
      </w:r>
      <w:r w:rsidRPr="00EB2BD8">
        <w:rPr>
          <w:rFonts w:ascii="Arial"/>
          <w:w w:val="105"/>
          <w:sz w:val="16"/>
        </w:rPr>
        <w:t>30</w:t>
      </w:r>
      <w:r w:rsidRPr="00EB2BD8">
        <w:rPr>
          <w:rFonts w:ascii="Arial"/>
          <w:spacing w:val="-4"/>
          <w:w w:val="105"/>
          <w:sz w:val="16"/>
        </w:rPr>
        <w:t xml:space="preserve"> </w:t>
      </w:r>
      <w:r w:rsidRPr="00EB2BD8">
        <w:rPr>
          <w:rFonts w:ascii="Arial"/>
          <w:w w:val="105"/>
          <w:sz w:val="16"/>
        </w:rPr>
        <w:t>June</w:t>
      </w:r>
      <w:r w:rsidRPr="00EB2BD8">
        <w:rPr>
          <w:rFonts w:ascii="Arial"/>
          <w:spacing w:val="-3"/>
          <w:w w:val="105"/>
          <w:sz w:val="16"/>
        </w:rPr>
        <w:t xml:space="preserve"> </w:t>
      </w:r>
      <w:r w:rsidRPr="00EB2BD8">
        <w:rPr>
          <w:rFonts w:ascii="Arial"/>
          <w:spacing w:val="-4"/>
          <w:w w:val="105"/>
          <w:sz w:val="16"/>
        </w:rPr>
        <w:t>2023</w:t>
      </w:r>
    </w:p>
    <w:p w14:paraId="175A7AF6" w14:textId="77777777" w:rsidR="00084F36" w:rsidRPr="00EB2BD8" w:rsidRDefault="00EB2BD8">
      <w:pPr>
        <w:tabs>
          <w:tab w:val="left" w:pos="6798"/>
        </w:tabs>
        <w:spacing w:before="137"/>
        <w:ind w:left="1161"/>
        <w:rPr>
          <w:rFonts w:ascii="Arial"/>
          <w:sz w:val="16"/>
        </w:rPr>
      </w:pPr>
      <w:r w:rsidRPr="00EB2BD8">
        <w:rPr>
          <w:rFonts w:ascii="Arial"/>
          <w:w w:val="105"/>
          <w:sz w:val="16"/>
        </w:rPr>
        <w:t>Carmel</w:t>
      </w:r>
      <w:r w:rsidRPr="00EB2BD8">
        <w:rPr>
          <w:rFonts w:ascii="Arial"/>
          <w:spacing w:val="-8"/>
          <w:w w:val="105"/>
          <w:sz w:val="16"/>
        </w:rPr>
        <w:t xml:space="preserve"> </w:t>
      </w:r>
      <w:r w:rsidRPr="00EB2BD8">
        <w:rPr>
          <w:rFonts w:ascii="Arial"/>
          <w:w w:val="105"/>
          <w:sz w:val="16"/>
        </w:rPr>
        <w:t>Coate,</w:t>
      </w:r>
      <w:r w:rsidRPr="00EB2BD8">
        <w:rPr>
          <w:rFonts w:ascii="Arial"/>
          <w:spacing w:val="-7"/>
          <w:w w:val="105"/>
          <w:sz w:val="16"/>
        </w:rPr>
        <w:t xml:space="preserve"> </w:t>
      </w:r>
      <w:r w:rsidRPr="00EB2BD8">
        <w:rPr>
          <w:rFonts w:ascii="Arial"/>
          <w:spacing w:val="-2"/>
          <w:w w:val="105"/>
          <w:sz w:val="16"/>
        </w:rPr>
        <w:t>Commissioner</w:t>
      </w:r>
      <w:r w:rsidRPr="00EB2BD8">
        <w:rPr>
          <w:rFonts w:ascii="Arial"/>
          <w:sz w:val="16"/>
        </w:rPr>
        <w:tab/>
      </w:r>
      <w:r w:rsidRPr="00EB2BD8">
        <w:rPr>
          <w:rFonts w:ascii="Arial"/>
          <w:w w:val="105"/>
          <w:sz w:val="16"/>
        </w:rPr>
        <w:t>1</w:t>
      </w:r>
      <w:r w:rsidRPr="00EB2BD8">
        <w:rPr>
          <w:rFonts w:ascii="Arial"/>
          <w:spacing w:val="-4"/>
          <w:w w:val="105"/>
          <w:sz w:val="16"/>
        </w:rPr>
        <w:t xml:space="preserve"> </w:t>
      </w:r>
      <w:r w:rsidRPr="00EB2BD8">
        <w:rPr>
          <w:rFonts w:ascii="Arial"/>
          <w:w w:val="105"/>
          <w:sz w:val="16"/>
        </w:rPr>
        <w:t>July</w:t>
      </w:r>
      <w:r w:rsidRPr="00EB2BD8">
        <w:rPr>
          <w:rFonts w:ascii="Arial"/>
          <w:spacing w:val="-3"/>
          <w:w w:val="105"/>
          <w:sz w:val="16"/>
        </w:rPr>
        <w:t xml:space="preserve"> </w:t>
      </w:r>
      <w:r w:rsidRPr="00EB2BD8">
        <w:rPr>
          <w:rFonts w:ascii="Arial"/>
          <w:w w:val="105"/>
          <w:sz w:val="16"/>
        </w:rPr>
        <w:t>2022</w:t>
      </w:r>
      <w:r w:rsidRPr="00EB2BD8">
        <w:rPr>
          <w:rFonts w:ascii="Arial"/>
          <w:spacing w:val="-4"/>
          <w:w w:val="105"/>
          <w:sz w:val="16"/>
        </w:rPr>
        <w:t xml:space="preserve"> </w:t>
      </w:r>
      <w:r w:rsidRPr="00EB2BD8">
        <w:rPr>
          <w:rFonts w:ascii="Arial"/>
          <w:w w:val="105"/>
          <w:sz w:val="16"/>
        </w:rPr>
        <w:t>-</w:t>
      </w:r>
      <w:r w:rsidRPr="00EB2BD8">
        <w:rPr>
          <w:rFonts w:ascii="Arial"/>
          <w:spacing w:val="-3"/>
          <w:w w:val="105"/>
          <w:sz w:val="16"/>
        </w:rPr>
        <w:t xml:space="preserve"> </w:t>
      </w:r>
      <w:r w:rsidRPr="00EB2BD8">
        <w:rPr>
          <w:rFonts w:ascii="Arial"/>
          <w:w w:val="105"/>
          <w:sz w:val="16"/>
        </w:rPr>
        <w:t>30</w:t>
      </w:r>
      <w:r w:rsidRPr="00EB2BD8">
        <w:rPr>
          <w:rFonts w:ascii="Arial"/>
          <w:spacing w:val="-4"/>
          <w:w w:val="105"/>
          <w:sz w:val="16"/>
        </w:rPr>
        <w:t xml:space="preserve"> </w:t>
      </w:r>
      <w:r w:rsidRPr="00EB2BD8">
        <w:rPr>
          <w:rFonts w:ascii="Arial"/>
          <w:w w:val="105"/>
          <w:sz w:val="16"/>
        </w:rPr>
        <w:t>June</w:t>
      </w:r>
      <w:r w:rsidRPr="00EB2BD8">
        <w:rPr>
          <w:rFonts w:ascii="Arial"/>
          <w:spacing w:val="-3"/>
          <w:w w:val="105"/>
          <w:sz w:val="16"/>
        </w:rPr>
        <w:t xml:space="preserve"> </w:t>
      </w:r>
      <w:r w:rsidRPr="00EB2BD8">
        <w:rPr>
          <w:rFonts w:ascii="Arial"/>
          <w:spacing w:val="-4"/>
          <w:w w:val="105"/>
          <w:sz w:val="16"/>
        </w:rPr>
        <w:t>2023</w:t>
      </w:r>
    </w:p>
    <w:p w14:paraId="052BE7A4" w14:textId="77777777" w:rsidR="00084F36" w:rsidRPr="00EB2BD8" w:rsidRDefault="00EB2BD8">
      <w:pPr>
        <w:tabs>
          <w:tab w:val="left" w:pos="6798"/>
        </w:tabs>
        <w:spacing w:before="136"/>
        <w:ind w:left="1161"/>
        <w:rPr>
          <w:rFonts w:ascii="Arial"/>
          <w:sz w:val="16"/>
        </w:rPr>
      </w:pPr>
      <w:r w:rsidRPr="00EB2BD8">
        <w:rPr>
          <w:rFonts w:ascii="Arial"/>
          <w:w w:val="105"/>
          <w:sz w:val="16"/>
        </w:rPr>
        <w:t>Dr</w:t>
      </w:r>
      <w:r w:rsidRPr="00EB2BD8">
        <w:rPr>
          <w:rFonts w:ascii="Arial"/>
          <w:spacing w:val="-8"/>
          <w:w w:val="105"/>
          <w:sz w:val="16"/>
        </w:rPr>
        <w:t xml:space="preserve"> </w:t>
      </w:r>
      <w:r w:rsidRPr="00EB2BD8">
        <w:rPr>
          <w:rFonts w:ascii="Arial"/>
          <w:w w:val="105"/>
          <w:sz w:val="16"/>
        </w:rPr>
        <w:t>Julia</w:t>
      </w:r>
      <w:r w:rsidRPr="00EB2BD8">
        <w:rPr>
          <w:rFonts w:ascii="Arial"/>
          <w:spacing w:val="-8"/>
          <w:w w:val="105"/>
          <w:sz w:val="16"/>
        </w:rPr>
        <w:t xml:space="preserve"> </w:t>
      </w:r>
      <w:r w:rsidRPr="00EB2BD8">
        <w:rPr>
          <w:rFonts w:ascii="Arial"/>
          <w:w w:val="105"/>
          <w:sz w:val="16"/>
        </w:rPr>
        <w:t>Cornwell</w:t>
      </w:r>
      <w:r w:rsidRPr="00EB2BD8">
        <w:rPr>
          <w:rFonts w:ascii="Arial"/>
          <w:spacing w:val="-8"/>
          <w:w w:val="105"/>
          <w:sz w:val="16"/>
        </w:rPr>
        <w:t xml:space="preserve"> </w:t>
      </w:r>
      <w:r w:rsidRPr="00EB2BD8">
        <w:rPr>
          <w:rFonts w:ascii="Arial"/>
          <w:w w:val="105"/>
          <w:sz w:val="16"/>
        </w:rPr>
        <w:t>McKean,</w:t>
      </w:r>
      <w:r w:rsidRPr="00EB2BD8">
        <w:rPr>
          <w:rFonts w:ascii="Arial"/>
          <w:spacing w:val="-8"/>
          <w:w w:val="105"/>
          <w:sz w:val="16"/>
        </w:rPr>
        <w:t xml:space="preserve"> </w:t>
      </w:r>
      <w:r w:rsidRPr="00EB2BD8">
        <w:rPr>
          <w:rFonts w:ascii="Arial"/>
          <w:spacing w:val="-2"/>
          <w:w w:val="105"/>
          <w:sz w:val="16"/>
        </w:rPr>
        <w:t>Commissioner</w:t>
      </w:r>
      <w:r w:rsidRPr="00EB2BD8">
        <w:rPr>
          <w:rFonts w:ascii="Arial"/>
          <w:sz w:val="16"/>
        </w:rPr>
        <w:tab/>
      </w:r>
      <w:r w:rsidRPr="00EB2BD8">
        <w:rPr>
          <w:rFonts w:ascii="Arial"/>
          <w:w w:val="105"/>
          <w:sz w:val="16"/>
        </w:rPr>
        <w:t>1</w:t>
      </w:r>
      <w:r w:rsidRPr="00EB2BD8">
        <w:rPr>
          <w:rFonts w:ascii="Arial"/>
          <w:spacing w:val="-4"/>
          <w:w w:val="105"/>
          <w:sz w:val="16"/>
        </w:rPr>
        <w:t xml:space="preserve"> </w:t>
      </w:r>
      <w:r w:rsidRPr="00EB2BD8">
        <w:rPr>
          <w:rFonts w:ascii="Arial"/>
          <w:w w:val="105"/>
          <w:sz w:val="16"/>
        </w:rPr>
        <w:t>July</w:t>
      </w:r>
      <w:r w:rsidRPr="00EB2BD8">
        <w:rPr>
          <w:rFonts w:ascii="Arial"/>
          <w:spacing w:val="-3"/>
          <w:w w:val="105"/>
          <w:sz w:val="16"/>
        </w:rPr>
        <w:t xml:space="preserve"> </w:t>
      </w:r>
      <w:r w:rsidRPr="00EB2BD8">
        <w:rPr>
          <w:rFonts w:ascii="Arial"/>
          <w:w w:val="105"/>
          <w:sz w:val="16"/>
        </w:rPr>
        <w:t>2022</w:t>
      </w:r>
      <w:r w:rsidRPr="00EB2BD8">
        <w:rPr>
          <w:rFonts w:ascii="Arial"/>
          <w:spacing w:val="-4"/>
          <w:w w:val="105"/>
          <w:sz w:val="16"/>
        </w:rPr>
        <w:t xml:space="preserve"> </w:t>
      </w:r>
      <w:r w:rsidRPr="00EB2BD8">
        <w:rPr>
          <w:rFonts w:ascii="Arial"/>
          <w:w w:val="105"/>
          <w:sz w:val="16"/>
        </w:rPr>
        <w:t>-</w:t>
      </w:r>
      <w:r w:rsidRPr="00EB2BD8">
        <w:rPr>
          <w:rFonts w:ascii="Arial"/>
          <w:spacing w:val="-3"/>
          <w:w w:val="105"/>
          <w:sz w:val="16"/>
        </w:rPr>
        <w:t xml:space="preserve"> </w:t>
      </w:r>
      <w:r w:rsidRPr="00EB2BD8">
        <w:rPr>
          <w:rFonts w:ascii="Arial"/>
          <w:w w:val="105"/>
          <w:sz w:val="16"/>
        </w:rPr>
        <w:t>30</w:t>
      </w:r>
      <w:r w:rsidRPr="00EB2BD8">
        <w:rPr>
          <w:rFonts w:ascii="Arial"/>
          <w:spacing w:val="-4"/>
          <w:w w:val="105"/>
          <w:sz w:val="16"/>
        </w:rPr>
        <w:t xml:space="preserve"> </w:t>
      </w:r>
      <w:r w:rsidRPr="00EB2BD8">
        <w:rPr>
          <w:rFonts w:ascii="Arial"/>
          <w:w w:val="105"/>
          <w:sz w:val="16"/>
        </w:rPr>
        <w:t>June</w:t>
      </w:r>
      <w:r w:rsidRPr="00EB2BD8">
        <w:rPr>
          <w:rFonts w:ascii="Arial"/>
          <w:spacing w:val="-3"/>
          <w:w w:val="105"/>
          <w:sz w:val="16"/>
        </w:rPr>
        <w:t xml:space="preserve"> </w:t>
      </w:r>
      <w:r w:rsidRPr="00EB2BD8">
        <w:rPr>
          <w:rFonts w:ascii="Arial"/>
          <w:spacing w:val="-4"/>
          <w:w w:val="105"/>
          <w:sz w:val="16"/>
        </w:rPr>
        <w:t>2023</w:t>
      </w:r>
    </w:p>
    <w:p w14:paraId="006241DE" w14:textId="77777777" w:rsidR="00084F36" w:rsidRPr="00EB2BD8" w:rsidRDefault="00EB2BD8">
      <w:pPr>
        <w:tabs>
          <w:tab w:val="left" w:pos="6798"/>
        </w:tabs>
        <w:spacing w:before="137"/>
        <w:ind w:left="1161"/>
        <w:rPr>
          <w:rFonts w:ascii="Arial"/>
          <w:sz w:val="16"/>
        </w:rPr>
      </w:pPr>
      <w:r w:rsidRPr="00EB2BD8">
        <w:rPr>
          <w:rFonts w:ascii="Arial"/>
          <w:w w:val="105"/>
          <w:sz w:val="16"/>
        </w:rPr>
        <w:t>Salvatore</w:t>
      </w:r>
      <w:r w:rsidRPr="00EB2BD8">
        <w:rPr>
          <w:rFonts w:ascii="Arial"/>
          <w:spacing w:val="-9"/>
          <w:w w:val="105"/>
          <w:sz w:val="16"/>
        </w:rPr>
        <w:t xml:space="preserve"> </w:t>
      </w:r>
      <w:r w:rsidRPr="00EB2BD8">
        <w:rPr>
          <w:rFonts w:ascii="Arial"/>
          <w:w w:val="105"/>
          <w:sz w:val="16"/>
        </w:rPr>
        <w:t>Torre,</w:t>
      </w:r>
      <w:r w:rsidRPr="00EB2BD8">
        <w:rPr>
          <w:rFonts w:ascii="Arial"/>
          <w:spacing w:val="-9"/>
          <w:w w:val="105"/>
          <w:sz w:val="16"/>
        </w:rPr>
        <w:t xml:space="preserve"> </w:t>
      </w:r>
      <w:r w:rsidRPr="00EB2BD8">
        <w:rPr>
          <w:rFonts w:ascii="Arial"/>
          <w:spacing w:val="-2"/>
          <w:w w:val="105"/>
          <w:sz w:val="16"/>
        </w:rPr>
        <w:t>Commissioner</w:t>
      </w:r>
      <w:r w:rsidRPr="00EB2BD8">
        <w:rPr>
          <w:rFonts w:ascii="Arial"/>
          <w:sz w:val="16"/>
        </w:rPr>
        <w:tab/>
      </w:r>
      <w:r w:rsidRPr="00EB2BD8">
        <w:rPr>
          <w:rFonts w:ascii="Arial"/>
          <w:w w:val="105"/>
          <w:sz w:val="16"/>
        </w:rPr>
        <w:t>1</w:t>
      </w:r>
      <w:r w:rsidRPr="00EB2BD8">
        <w:rPr>
          <w:rFonts w:ascii="Arial"/>
          <w:spacing w:val="-4"/>
          <w:w w:val="105"/>
          <w:sz w:val="16"/>
        </w:rPr>
        <w:t xml:space="preserve"> </w:t>
      </w:r>
      <w:r w:rsidRPr="00EB2BD8">
        <w:rPr>
          <w:rFonts w:ascii="Arial"/>
          <w:w w:val="105"/>
          <w:sz w:val="16"/>
        </w:rPr>
        <w:t>July</w:t>
      </w:r>
      <w:r w:rsidRPr="00EB2BD8">
        <w:rPr>
          <w:rFonts w:ascii="Arial"/>
          <w:spacing w:val="-3"/>
          <w:w w:val="105"/>
          <w:sz w:val="16"/>
        </w:rPr>
        <w:t xml:space="preserve"> </w:t>
      </w:r>
      <w:r w:rsidRPr="00EB2BD8">
        <w:rPr>
          <w:rFonts w:ascii="Arial"/>
          <w:w w:val="105"/>
          <w:sz w:val="16"/>
        </w:rPr>
        <w:t>2022</w:t>
      </w:r>
      <w:r w:rsidRPr="00EB2BD8">
        <w:rPr>
          <w:rFonts w:ascii="Arial"/>
          <w:spacing w:val="-4"/>
          <w:w w:val="105"/>
          <w:sz w:val="16"/>
        </w:rPr>
        <w:t xml:space="preserve"> </w:t>
      </w:r>
      <w:r w:rsidRPr="00EB2BD8">
        <w:rPr>
          <w:rFonts w:ascii="Arial"/>
          <w:w w:val="105"/>
          <w:sz w:val="16"/>
        </w:rPr>
        <w:t>-</w:t>
      </w:r>
      <w:r w:rsidRPr="00EB2BD8">
        <w:rPr>
          <w:rFonts w:ascii="Arial"/>
          <w:spacing w:val="-3"/>
          <w:w w:val="105"/>
          <w:sz w:val="16"/>
        </w:rPr>
        <w:t xml:space="preserve"> </w:t>
      </w:r>
      <w:r w:rsidRPr="00EB2BD8">
        <w:rPr>
          <w:rFonts w:ascii="Arial"/>
          <w:w w:val="105"/>
          <w:sz w:val="16"/>
        </w:rPr>
        <w:t>30</w:t>
      </w:r>
      <w:r w:rsidRPr="00EB2BD8">
        <w:rPr>
          <w:rFonts w:ascii="Arial"/>
          <w:spacing w:val="-4"/>
          <w:w w:val="105"/>
          <w:sz w:val="16"/>
        </w:rPr>
        <w:t xml:space="preserve"> </w:t>
      </w:r>
      <w:r w:rsidRPr="00EB2BD8">
        <w:rPr>
          <w:rFonts w:ascii="Arial"/>
          <w:w w:val="105"/>
          <w:sz w:val="16"/>
        </w:rPr>
        <w:t>June</w:t>
      </w:r>
      <w:r w:rsidRPr="00EB2BD8">
        <w:rPr>
          <w:rFonts w:ascii="Arial"/>
          <w:spacing w:val="-3"/>
          <w:w w:val="105"/>
          <w:sz w:val="16"/>
        </w:rPr>
        <w:t xml:space="preserve"> </w:t>
      </w:r>
      <w:r w:rsidRPr="00EB2BD8">
        <w:rPr>
          <w:rFonts w:ascii="Arial"/>
          <w:spacing w:val="-4"/>
          <w:w w:val="105"/>
          <w:sz w:val="16"/>
        </w:rPr>
        <w:t>2023</w:t>
      </w:r>
    </w:p>
    <w:p w14:paraId="54859978" w14:textId="77777777" w:rsidR="00084F36" w:rsidRPr="00EB2BD8" w:rsidRDefault="00EB2BD8">
      <w:pPr>
        <w:tabs>
          <w:tab w:val="left" w:pos="6798"/>
        </w:tabs>
        <w:spacing w:before="136"/>
        <w:ind w:left="1161"/>
        <w:rPr>
          <w:rFonts w:ascii="Arial" w:hAnsi="Arial"/>
          <w:sz w:val="16"/>
        </w:rPr>
      </w:pPr>
      <w:r w:rsidRPr="00EB2BD8">
        <w:rPr>
          <w:rFonts w:ascii="Arial" w:hAnsi="Arial"/>
          <w:w w:val="105"/>
          <w:sz w:val="16"/>
        </w:rPr>
        <w:t>Murray</w:t>
      </w:r>
      <w:r w:rsidRPr="00EB2BD8">
        <w:rPr>
          <w:rFonts w:ascii="Arial" w:hAnsi="Arial"/>
          <w:spacing w:val="-9"/>
          <w:w w:val="105"/>
          <w:sz w:val="16"/>
        </w:rPr>
        <w:t xml:space="preserve"> </w:t>
      </w:r>
      <w:r w:rsidRPr="00EB2BD8">
        <w:rPr>
          <w:rFonts w:ascii="Arial" w:hAnsi="Arial"/>
          <w:w w:val="105"/>
          <w:sz w:val="16"/>
        </w:rPr>
        <w:t>Coleman</w:t>
      </w:r>
      <w:r w:rsidRPr="00EB2BD8">
        <w:rPr>
          <w:rFonts w:ascii="Arial" w:hAnsi="Arial"/>
          <w:spacing w:val="-8"/>
          <w:w w:val="105"/>
          <w:sz w:val="16"/>
        </w:rPr>
        <w:t xml:space="preserve"> </w:t>
      </w:r>
      <w:r w:rsidRPr="00EB2BD8">
        <w:rPr>
          <w:rFonts w:ascii="Arial" w:hAnsi="Arial"/>
          <w:w w:val="105"/>
          <w:sz w:val="16"/>
        </w:rPr>
        <w:t>OAM,</w:t>
      </w:r>
      <w:r w:rsidRPr="00EB2BD8">
        <w:rPr>
          <w:rFonts w:ascii="Arial" w:hAnsi="Arial"/>
          <w:spacing w:val="-8"/>
          <w:w w:val="105"/>
          <w:sz w:val="16"/>
        </w:rPr>
        <w:t xml:space="preserve"> </w:t>
      </w:r>
      <w:r w:rsidRPr="00EB2BD8">
        <w:rPr>
          <w:rFonts w:ascii="Arial" w:hAnsi="Arial"/>
          <w:spacing w:val="-2"/>
          <w:w w:val="105"/>
          <w:sz w:val="16"/>
        </w:rPr>
        <w:t>Commissioner</w:t>
      </w:r>
      <w:r w:rsidRPr="00EB2BD8">
        <w:rPr>
          <w:rFonts w:ascii="Arial" w:hAnsi="Arial"/>
          <w:sz w:val="16"/>
        </w:rPr>
        <w:tab/>
      </w:r>
      <w:r w:rsidRPr="00EB2BD8">
        <w:rPr>
          <w:rFonts w:ascii="Arial" w:hAnsi="Arial"/>
          <w:w w:val="105"/>
          <w:sz w:val="16"/>
        </w:rPr>
        <w:t>1</w:t>
      </w:r>
      <w:r w:rsidRPr="00EB2BD8">
        <w:rPr>
          <w:rFonts w:ascii="Arial" w:hAnsi="Arial"/>
          <w:spacing w:val="-4"/>
          <w:w w:val="105"/>
          <w:sz w:val="16"/>
        </w:rPr>
        <w:t xml:space="preserve"> </w:t>
      </w:r>
      <w:r w:rsidRPr="00EB2BD8">
        <w:rPr>
          <w:rFonts w:ascii="Arial" w:hAnsi="Arial"/>
          <w:w w:val="105"/>
          <w:sz w:val="16"/>
        </w:rPr>
        <w:t>July</w:t>
      </w:r>
      <w:r w:rsidRPr="00EB2BD8">
        <w:rPr>
          <w:rFonts w:ascii="Arial" w:hAnsi="Arial"/>
          <w:spacing w:val="-3"/>
          <w:w w:val="105"/>
          <w:sz w:val="16"/>
        </w:rPr>
        <w:t xml:space="preserve"> </w:t>
      </w:r>
      <w:r w:rsidRPr="00EB2BD8">
        <w:rPr>
          <w:rFonts w:ascii="Arial" w:hAnsi="Arial"/>
          <w:w w:val="105"/>
          <w:sz w:val="16"/>
        </w:rPr>
        <w:t>2022</w:t>
      </w:r>
      <w:r w:rsidRPr="00EB2BD8">
        <w:rPr>
          <w:rFonts w:ascii="Arial" w:hAnsi="Arial"/>
          <w:spacing w:val="-4"/>
          <w:w w:val="105"/>
          <w:sz w:val="16"/>
        </w:rPr>
        <w:t xml:space="preserve"> </w:t>
      </w:r>
      <w:r w:rsidRPr="00EB2BD8">
        <w:rPr>
          <w:rFonts w:ascii="Arial" w:hAnsi="Arial"/>
          <w:w w:val="105"/>
          <w:sz w:val="16"/>
        </w:rPr>
        <w:t>–</w:t>
      </w:r>
      <w:r w:rsidRPr="00EB2BD8">
        <w:rPr>
          <w:rFonts w:ascii="Arial" w:hAnsi="Arial"/>
          <w:spacing w:val="-3"/>
          <w:w w:val="105"/>
          <w:sz w:val="16"/>
        </w:rPr>
        <w:t xml:space="preserve"> </w:t>
      </w:r>
      <w:r w:rsidRPr="00EB2BD8">
        <w:rPr>
          <w:rFonts w:ascii="Arial" w:hAnsi="Arial"/>
          <w:w w:val="105"/>
          <w:sz w:val="16"/>
        </w:rPr>
        <w:t>30</w:t>
      </w:r>
      <w:r w:rsidRPr="00EB2BD8">
        <w:rPr>
          <w:rFonts w:ascii="Arial" w:hAnsi="Arial"/>
          <w:spacing w:val="-4"/>
          <w:w w:val="105"/>
          <w:sz w:val="16"/>
        </w:rPr>
        <w:t xml:space="preserve"> </w:t>
      </w:r>
      <w:r w:rsidRPr="00EB2BD8">
        <w:rPr>
          <w:rFonts w:ascii="Arial" w:hAnsi="Arial"/>
          <w:w w:val="105"/>
          <w:sz w:val="16"/>
        </w:rPr>
        <w:t>June</w:t>
      </w:r>
      <w:r w:rsidRPr="00EB2BD8">
        <w:rPr>
          <w:rFonts w:ascii="Arial" w:hAnsi="Arial"/>
          <w:spacing w:val="-3"/>
          <w:w w:val="105"/>
          <w:sz w:val="16"/>
        </w:rPr>
        <w:t xml:space="preserve"> </w:t>
      </w:r>
      <w:r w:rsidRPr="00EB2BD8">
        <w:rPr>
          <w:rFonts w:ascii="Arial" w:hAnsi="Arial"/>
          <w:spacing w:val="-4"/>
          <w:w w:val="105"/>
          <w:sz w:val="16"/>
        </w:rPr>
        <w:t>2023</w:t>
      </w:r>
    </w:p>
    <w:p w14:paraId="245D76CD" w14:textId="77777777" w:rsidR="00084F36" w:rsidRPr="00EB2BD8" w:rsidRDefault="00EB2BD8">
      <w:pPr>
        <w:tabs>
          <w:tab w:val="left" w:pos="6797"/>
        </w:tabs>
        <w:spacing w:before="136"/>
        <w:ind w:left="1161"/>
        <w:rPr>
          <w:rFonts w:ascii="Arial" w:hAnsi="Arial"/>
          <w:sz w:val="16"/>
        </w:rPr>
      </w:pPr>
      <w:r w:rsidRPr="00EB2BD8">
        <w:rPr>
          <w:rFonts w:ascii="Arial" w:hAnsi="Arial"/>
          <w:w w:val="105"/>
          <w:sz w:val="16"/>
        </w:rPr>
        <w:t>Dr</w:t>
      </w:r>
      <w:r w:rsidRPr="00EB2BD8">
        <w:rPr>
          <w:rFonts w:ascii="Arial" w:hAnsi="Arial"/>
          <w:spacing w:val="-7"/>
          <w:w w:val="105"/>
          <w:sz w:val="16"/>
        </w:rPr>
        <w:t xml:space="preserve"> </w:t>
      </w:r>
      <w:r w:rsidRPr="00EB2BD8">
        <w:rPr>
          <w:rFonts w:ascii="Arial" w:hAnsi="Arial"/>
          <w:w w:val="105"/>
          <w:sz w:val="16"/>
        </w:rPr>
        <w:t>Gillian</w:t>
      </w:r>
      <w:r w:rsidRPr="00EB2BD8">
        <w:rPr>
          <w:rFonts w:ascii="Arial" w:hAnsi="Arial"/>
          <w:spacing w:val="-6"/>
          <w:w w:val="105"/>
          <w:sz w:val="16"/>
        </w:rPr>
        <w:t xml:space="preserve"> </w:t>
      </w:r>
      <w:r w:rsidRPr="00EB2BD8">
        <w:rPr>
          <w:rFonts w:ascii="Arial" w:hAnsi="Arial"/>
          <w:w w:val="105"/>
          <w:sz w:val="16"/>
        </w:rPr>
        <w:t>Sparkes</w:t>
      </w:r>
      <w:r w:rsidRPr="00EB2BD8">
        <w:rPr>
          <w:rFonts w:ascii="Arial" w:hAnsi="Arial"/>
          <w:spacing w:val="-6"/>
          <w:w w:val="105"/>
          <w:sz w:val="16"/>
        </w:rPr>
        <w:t xml:space="preserve"> </w:t>
      </w:r>
      <w:r w:rsidRPr="00EB2BD8">
        <w:rPr>
          <w:rFonts w:ascii="Arial" w:hAnsi="Arial"/>
          <w:w w:val="105"/>
          <w:sz w:val="16"/>
        </w:rPr>
        <w:t>AM,</w:t>
      </w:r>
      <w:r w:rsidRPr="00EB2BD8">
        <w:rPr>
          <w:rFonts w:ascii="Arial" w:hAnsi="Arial"/>
          <w:spacing w:val="-6"/>
          <w:w w:val="105"/>
          <w:sz w:val="16"/>
        </w:rPr>
        <w:t xml:space="preserve"> </w:t>
      </w:r>
      <w:r w:rsidRPr="00EB2BD8">
        <w:rPr>
          <w:rFonts w:ascii="Arial" w:hAnsi="Arial"/>
          <w:spacing w:val="-2"/>
          <w:w w:val="105"/>
          <w:sz w:val="16"/>
        </w:rPr>
        <w:t>Commissioner</w:t>
      </w:r>
      <w:r w:rsidRPr="00EB2BD8">
        <w:rPr>
          <w:rFonts w:ascii="Arial" w:hAnsi="Arial"/>
          <w:spacing w:val="-2"/>
          <w:w w:val="105"/>
          <w:sz w:val="16"/>
          <w:vertAlign w:val="superscript"/>
        </w:rPr>
        <w:t>(a)</w:t>
      </w:r>
      <w:r w:rsidRPr="00EB2BD8">
        <w:rPr>
          <w:rFonts w:ascii="Arial" w:hAnsi="Arial"/>
          <w:sz w:val="16"/>
        </w:rPr>
        <w:tab/>
      </w:r>
      <w:r w:rsidRPr="00EB2BD8">
        <w:rPr>
          <w:rFonts w:ascii="Arial" w:hAnsi="Arial"/>
          <w:w w:val="105"/>
          <w:sz w:val="16"/>
        </w:rPr>
        <w:t>1</w:t>
      </w:r>
      <w:r w:rsidRPr="00EB2BD8">
        <w:rPr>
          <w:rFonts w:ascii="Arial" w:hAnsi="Arial"/>
          <w:spacing w:val="-4"/>
          <w:w w:val="105"/>
          <w:sz w:val="16"/>
        </w:rPr>
        <w:t xml:space="preserve"> </w:t>
      </w:r>
      <w:r w:rsidRPr="00EB2BD8">
        <w:rPr>
          <w:rFonts w:ascii="Arial" w:hAnsi="Arial"/>
          <w:w w:val="105"/>
          <w:sz w:val="16"/>
        </w:rPr>
        <w:t>July</w:t>
      </w:r>
      <w:r w:rsidRPr="00EB2BD8">
        <w:rPr>
          <w:rFonts w:ascii="Arial" w:hAnsi="Arial"/>
          <w:spacing w:val="-3"/>
          <w:w w:val="105"/>
          <w:sz w:val="16"/>
        </w:rPr>
        <w:t xml:space="preserve"> </w:t>
      </w:r>
      <w:r w:rsidRPr="00EB2BD8">
        <w:rPr>
          <w:rFonts w:ascii="Arial" w:hAnsi="Arial"/>
          <w:w w:val="105"/>
          <w:sz w:val="16"/>
        </w:rPr>
        <w:t>2022</w:t>
      </w:r>
      <w:r w:rsidRPr="00EB2BD8">
        <w:rPr>
          <w:rFonts w:ascii="Arial" w:hAnsi="Arial"/>
          <w:spacing w:val="-4"/>
          <w:w w:val="105"/>
          <w:sz w:val="16"/>
        </w:rPr>
        <w:t xml:space="preserve"> </w:t>
      </w:r>
      <w:r w:rsidRPr="00EB2BD8">
        <w:rPr>
          <w:rFonts w:ascii="Arial" w:hAnsi="Arial"/>
          <w:w w:val="105"/>
          <w:sz w:val="16"/>
        </w:rPr>
        <w:t>–</w:t>
      </w:r>
      <w:r w:rsidRPr="00EB2BD8">
        <w:rPr>
          <w:rFonts w:ascii="Arial" w:hAnsi="Arial"/>
          <w:spacing w:val="-3"/>
          <w:w w:val="105"/>
          <w:sz w:val="16"/>
        </w:rPr>
        <w:t xml:space="preserve"> </w:t>
      </w:r>
      <w:r w:rsidRPr="00EB2BD8">
        <w:rPr>
          <w:rFonts w:ascii="Arial" w:hAnsi="Arial"/>
          <w:w w:val="105"/>
          <w:sz w:val="16"/>
        </w:rPr>
        <w:t>30</w:t>
      </w:r>
      <w:r w:rsidRPr="00EB2BD8">
        <w:rPr>
          <w:rFonts w:ascii="Arial" w:hAnsi="Arial"/>
          <w:spacing w:val="-4"/>
          <w:w w:val="105"/>
          <w:sz w:val="16"/>
        </w:rPr>
        <w:t xml:space="preserve"> </w:t>
      </w:r>
      <w:r w:rsidRPr="00EB2BD8">
        <w:rPr>
          <w:rFonts w:ascii="Arial" w:hAnsi="Arial"/>
          <w:w w:val="105"/>
          <w:sz w:val="16"/>
        </w:rPr>
        <w:t>June</w:t>
      </w:r>
      <w:r w:rsidRPr="00EB2BD8">
        <w:rPr>
          <w:rFonts w:ascii="Arial" w:hAnsi="Arial"/>
          <w:spacing w:val="-3"/>
          <w:w w:val="105"/>
          <w:sz w:val="16"/>
        </w:rPr>
        <w:t xml:space="preserve"> </w:t>
      </w:r>
      <w:r w:rsidRPr="00EB2BD8">
        <w:rPr>
          <w:rFonts w:ascii="Arial" w:hAnsi="Arial"/>
          <w:spacing w:val="-4"/>
          <w:w w:val="105"/>
          <w:sz w:val="16"/>
        </w:rPr>
        <w:t>2023</w:t>
      </w:r>
    </w:p>
    <w:p w14:paraId="30A34F0B" w14:textId="77777777" w:rsidR="00084F36" w:rsidRPr="00EB2BD8" w:rsidRDefault="00EB2BD8">
      <w:pPr>
        <w:tabs>
          <w:tab w:val="left" w:pos="6798"/>
        </w:tabs>
        <w:spacing w:before="135"/>
        <w:ind w:left="1161"/>
        <w:rPr>
          <w:rFonts w:ascii="Arial" w:hAnsi="Arial"/>
          <w:sz w:val="16"/>
        </w:rPr>
      </w:pPr>
      <w:r w:rsidRPr="00EB2BD8">
        <w:rPr>
          <w:rFonts w:ascii="Arial" w:hAnsi="Arial"/>
          <w:w w:val="105"/>
          <w:sz w:val="16"/>
        </w:rPr>
        <w:t>Thu-Trang</w:t>
      </w:r>
      <w:r w:rsidRPr="00EB2BD8">
        <w:rPr>
          <w:rFonts w:ascii="Arial" w:hAnsi="Arial"/>
          <w:spacing w:val="-9"/>
          <w:w w:val="105"/>
          <w:sz w:val="16"/>
        </w:rPr>
        <w:t xml:space="preserve"> </w:t>
      </w:r>
      <w:r w:rsidRPr="00EB2BD8">
        <w:rPr>
          <w:rFonts w:ascii="Arial" w:hAnsi="Arial"/>
          <w:w w:val="105"/>
          <w:sz w:val="16"/>
        </w:rPr>
        <w:t>Tran,</w:t>
      </w:r>
      <w:r w:rsidRPr="00EB2BD8">
        <w:rPr>
          <w:rFonts w:ascii="Arial" w:hAnsi="Arial"/>
          <w:spacing w:val="-8"/>
          <w:w w:val="105"/>
          <w:sz w:val="16"/>
        </w:rPr>
        <w:t xml:space="preserve"> </w:t>
      </w:r>
      <w:r w:rsidRPr="00EB2BD8">
        <w:rPr>
          <w:rFonts w:ascii="Arial" w:hAnsi="Arial"/>
          <w:spacing w:val="-2"/>
          <w:w w:val="105"/>
          <w:sz w:val="16"/>
        </w:rPr>
        <w:t>Commissioner</w:t>
      </w:r>
      <w:r w:rsidRPr="00EB2BD8">
        <w:rPr>
          <w:rFonts w:ascii="Arial" w:hAnsi="Arial"/>
          <w:sz w:val="16"/>
        </w:rPr>
        <w:tab/>
      </w:r>
      <w:r w:rsidRPr="00EB2BD8">
        <w:rPr>
          <w:rFonts w:ascii="Arial" w:hAnsi="Arial"/>
          <w:w w:val="105"/>
          <w:sz w:val="16"/>
        </w:rPr>
        <w:t>1</w:t>
      </w:r>
      <w:r w:rsidRPr="00EB2BD8">
        <w:rPr>
          <w:rFonts w:ascii="Arial" w:hAnsi="Arial"/>
          <w:spacing w:val="-4"/>
          <w:w w:val="105"/>
          <w:sz w:val="16"/>
        </w:rPr>
        <w:t xml:space="preserve"> </w:t>
      </w:r>
      <w:r w:rsidRPr="00EB2BD8">
        <w:rPr>
          <w:rFonts w:ascii="Arial" w:hAnsi="Arial"/>
          <w:w w:val="105"/>
          <w:sz w:val="16"/>
        </w:rPr>
        <w:t>July</w:t>
      </w:r>
      <w:r w:rsidRPr="00EB2BD8">
        <w:rPr>
          <w:rFonts w:ascii="Arial" w:hAnsi="Arial"/>
          <w:spacing w:val="-3"/>
          <w:w w:val="105"/>
          <w:sz w:val="16"/>
        </w:rPr>
        <w:t xml:space="preserve"> </w:t>
      </w:r>
      <w:r w:rsidRPr="00EB2BD8">
        <w:rPr>
          <w:rFonts w:ascii="Arial" w:hAnsi="Arial"/>
          <w:w w:val="105"/>
          <w:sz w:val="16"/>
        </w:rPr>
        <w:t>2022</w:t>
      </w:r>
      <w:r w:rsidRPr="00EB2BD8">
        <w:rPr>
          <w:rFonts w:ascii="Arial" w:hAnsi="Arial"/>
          <w:spacing w:val="-4"/>
          <w:w w:val="105"/>
          <w:sz w:val="16"/>
        </w:rPr>
        <w:t xml:space="preserve"> </w:t>
      </w:r>
      <w:r w:rsidRPr="00EB2BD8">
        <w:rPr>
          <w:rFonts w:ascii="Arial" w:hAnsi="Arial"/>
          <w:w w:val="105"/>
          <w:sz w:val="16"/>
        </w:rPr>
        <w:t>–</w:t>
      </w:r>
      <w:r w:rsidRPr="00EB2BD8">
        <w:rPr>
          <w:rFonts w:ascii="Arial" w:hAnsi="Arial"/>
          <w:spacing w:val="-3"/>
          <w:w w:val="105"/>
          <w:sz w:val="16"/>
        </w:rPr>
        <w:t xml:space="preserve"> </w:t>
      </w:r>
      <w:r w:rsidRPr="00EB2BD8">
        <w:rPr>
          <w:rFonts w:ascii="Arial" w:hAnsi="Arial"/>
          <w:w w:val="105"/>
          <w:sz w:val="16"/>
        </w:rPr>
        <w:t>30</w:t>
      </w:r>
      <w:r w:rsidRPr="00EB2BD8">
        <w:rPr>
          <w:rFonts w:ascii="Arial" w:hAnsi="Arial"/>
          <w:spacing w:val="-4"/>
          <w:w w:val="105"/>
          <w:sz w:val="16"/>
        </w:rPr>
        <w:t xml:space="preserve"> </w:t>
      </w:r>
      <w:r w:rsidRPr="00EB2BD8">
        <w:rPr>
          <w:rFonts w:ascii="Arial" w:hAnsi="Arial"/>
          <w:w w:val="105"/>
          <w:sz w:val="16"/>
        </w:rPr>
        <w:t>June</w:t>
      </w:r>
      <w:r w:rsidRPr="00EB2BD8">
        <w:rPr>
          <w:rFonts w:ascii="Arial" w:hAnsi="Arial"/>
          <w:spacing w:val="-3"/>
          <w:w w:val="105"/>
          <w:sz w:val="16"/>
        </w:rPr>
        <w:t xml:space="preserve"> </w:t>
      </w:r>
      <w:r w:rsidRPr="00EB2BD8">
        <w:rPr>
          <w:rFonts w:ascii="Arial" w:hAnsi="Arial"/>
          <w:spacing w:val="-4"/>
          <w:w w:val="105"/>
          <w:sz w:val="16"/>
        </w:rPr>
        <w:t>2023</w:t>
      </w:r>
    </w:p>
    <w:p w14:paraId="041C3829" w14:textId="77777777" w:rsidR="00084F36" w:rsidRPr="00EB2BD8" w:rsidRDefault="00EB2BD8">
      <w:pPr>
        <w:tabs>
          <w:tab w:val="left" w:pos="6798"/>
        </w:tabs>
        <w:spacing w:before="137"/>
        <w:ind w:left="1161"/>
        <w:rPr>
          <w:rFonts w:ascii="Arial" w:hAnsi="Arial"/>
          <w:sz w:val="16"/>
        </w:rPr>
      </w:pPr>
      <w:r w:rsidRPr="00EB2BD8">
        <w:rPr>
          <w:rFonts w:ascii="Arial" w:hAnsi="Arial"/>
          <w:w w:val="105"/>
          <w:sz w:val="16"/>
        </w:rPr>
        <w:t>Simon</w:t>
      </w:r>
      <w:r w:rsidRPr="00EB2BD8">
        <w:rPr>
          <w:rFonts w:ascii="Arial" w:hAnsi="Arial"/>
          <w:spacing w:val="-8"/>
          <w:w w:val="105"/>
          <w:sz w:val="16"/>
        </w:rPr>
        <w:t xml:space="preserve"> </w:t>
      </w:r>
      <w:r w:rsidRPr="00EB2BD8">
        <w:rPr>
          <w:rFonts w:ascii="Arial" w:hAnsi="Arial"/>
          <w:w w:val="105"/>
          <w:sz w:val="16"/>
        </w:rPr>
        <w:t>Weir,</w:t>
      </w:r>
      <w:r w:rsidRPr="00EB2BD8">
        <w:rPr>
          <w:rFonts w:ascii="Arial" w:hAnsi="Arial"/>
          <w:spacing w:val="-7"/>
          <w:w w:val="105"/>
          <w:sz w:val="16"/>
        </w:rPr>
        <w:t xml:space="preserve"> </w:t>
      </w:r>
      <w:r w:rsidRPr="00EB2BD8">
        <w:rPr>
          <w:rFonts w:ascii="Arial" w:hAnsi="Arial"/>
          <w:spacing w:val="-2"/>
          <w:w w:val="105"/>
          <w:sz w:val="16"/>
        </w:rPr>
        <w:t>Commissioner</w:t>
      </w:r>
      <w:r w:rsidRPr="00EB2BD8">
        <w:rPr>
          <w:rFonts w:ascii="Arial" w:hAnsi="Arial"/>
          <w:sz w:val="16"/>
        </w:rPr>
        <w:tab/>
      </w:r>
      <w:r w:rsidRPr="00EB2BD8">
        <w:rPr>
          <w:rFonts w:ascii="Arial" w:hAnsi="Arial"/>
          <w:w w:val="105"/>
          <w:sz w:val="16"/>
        </w:rPr>
        <w:t>1</w:t>
      </w:r>
      <w:r w:rsidRPr="00EB2BD8">
        <w:rPr>
          <w:rFonts w:ascii="Arial" w:hAnsi="Arial"/>
          <w:spacing w:val="-4"/>
          <w:w w:val="105"/>
          <w:sz w:val="16"/>
        </w:rPr>
        <w:t xml:space="preserve"> </w:t>
      </w:r>
      <w:r w:rsidRPr="00EB2BD8">
        <w:rPr>
          <w:rFonts w:ascii="Arial" w:hAnsi="Arial"/>
          <w:w w:val="105"/>
          <w:sz w:val="16"/>
        </w:rPr>
        <w:t>July</w:t>
      </w:r>
      <w:r w:rsidRPr="00EB2BD8">
        <w:rPr>
          <w:rFonts w:ascii="Arial" w:hAnsi="Arial"/>
          <w:spacing w:val="-3"/>
          <w:w w:val="105"/>
          <w:sz w:val="16"/>
        </w:rPr>
        <w:t xml:space="preserve"> </w:t>
      </w:r>
      <w:r w:rsidRPr="00EB2BD8">
        <w:rPr>
          <w:rFonts w:ascii="Arial" w:hAnsi="Arial"/>
          <w:w w:val="105"/>
          <w:sz w:val="16"/>
        </w:rPr>
        <w:t>2022</w:t>
      </w:r>
      <w:r w:rsidRPr="00EB2BD8">
        <w:rPr>
          <w:rFonts w:ascii="Arial" w:hAnsi="Arial"/>
          <w:spacing w:val="-4"/>
          <w:w w:val="105"/>
          <w:sz w:val="16"/>
        </w:rPr>
        <w:t xml:space="preserve"> </w:t>
      </w:r>
      <w:r w:rsidRPr="00EB2BD8">
        <w:rPr>
          <w:rFonts w:ascii="Arial" w:hAnsi="Arial"/>
          <w:w w:val="105"/>
          <w:sz w:val="16"/>
        </w:rPr>
        <w:t>–</w:t>
      </w:r>
      <w:r w:rsidRPr="00EB2BD8">
        <w:rPr>
          <w:rFonts w:ascii="Arial" w:hAnsi="Arial"/>
          <w:spacing w:val="-3"/>
          <w:w w:val="105"/>
          <w:sz w:val="16"/>
        </w:rPr>
        <w:t xml:space="preserve"> </w:t>
      </w:r>
      <w:r w:rsidRPr="00EB2BD8">
        <w:rPr>
          <w:rFonts w:ascii="Arial" w:hAnsi="Arial"/>
          <w:w w:val="105"/>
          <w:sz w:val="16"/>
        </w:rPr>
        <w:t>30</w:t>
      </w:r>
      <w:r w:rsidRPr="00EB2BD8">
        <w:rPr>
          <w:rFonts w:ascii="Arial" w:hAnsi="Arial"/>
          <w:spacing w:val="-4"/>
          <w:w w:val="105"/>
          <w:sz w:val="16"/>
        </w:rPr>
        <w:t xml:space="preserve"> </w:t>
      </w:r>
      <w:r w:rsidRPr="00EB2BD8">
        <w:rPr>
          <w:rFonts w:ascii="Arial" w:hAnsi="Arial"/>
          <w:w w:val="105"/>
          <w:sz w:val="16"/>
        </w:rPr>
        <w:t>June</w:t>
      </w:r>
      <w:r w:rsidRPr="00EB2BD8">
        <w:rPr>
          <w:rFonts w:ascii="Arial" w:hAnsi="Arial"/>
          <w:spacing w:val="-3"/>
          <w:w w:val="105"/>
          <w:sz w:val="16"/>
        </w:rPr>
        <w:t xml:space="preserve"> </w:t>
      </w:r>
      <w:r w:rsidRPr="00EB2BD8">
        <w:rPr>
          <w:rFonts w:ascii="Arial" w:hAnsi="Arial"/>
          <w:spacing w:val="-4"/>
          <w:w w:val="105"/>
          <w:sz w:val="16"/>
        </w:rPr>
        <w:t>2023</w:t>
      </w:r>
    </w:p>
    <w:p w14:paraId="49A3243B" w14:textId="77777777" w:rsidR="00084F36" w:rsidRPr="00EB2BD8" w:rsidRDefault="00EB2BD8">
      <w:pPr>
        <w:pStyle w:val="BodyText"/>
        <w:spacing w:before="4"/>
        <w:rPr>
          <w:rFonts w:ascii="Arial"/>
          <w:sz w:val="4"/>
        </w:rPr>
      </w:pPr>
      <w:r w:rsidRPr="00EB2BD8">
        <w:rPr>
          <w:noProof/>
        </w:rPr>
        <mc:AlternateContent>
          <mc:Choice Requires="wps">
            <w:drawing>
              <wp:anchor distT="0" distB="0" distL="0" distR="0" simplePos="0" relativeHeight="252453888" behindDoc="1" locked="0" layoutInCell="1" allowOverlap="1" wp14:anchorId="2529CE66" wp14:editId="6A9F3A29">
                <wp:simplePos x="0" y="0"/>
                <wp:positionH relativeFrom="page">
                  <wp:posOffset>673480</wp:posOffset>
                </wp:positionH>
                <wp:positionV relativeFrom="paragraph">
                  <wp:posOffset>47360</wp:posOffset>
                </wp:positionV>
                <wp:extent cx="5618480" cy="214629"/>
                <wp:effectExtent l="0" t="0" r="0" b="0"/>
                <wp:wrapTopAndBottom/>
                <wp:docPr id="1105" name="Textbox 1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8480" cy="214629"/>
                        </a:xfrm>
                        <a:prstGeom prst="rect">
                          <a:avLst/>
                        </a:prstGeom>
                      </wps:spPr>
                      <wps:txbx>
                        <w:txbxContent>
                          <w:p w14:paraId="52F40000" w14:textId="77777777" w:rsidR="00084F36" w:rsidRDefault="00EB2BD8">
                            <w:pPr>
                              <w:spacing w:before="79"/>
                              <w:ind w:left="100"/>
                              <w:rPr>
                                <w:rFonts w:ascii="Arial"/>
                                <w:b/>
                                <w:sz w:val="16"/>
                              </w:rPr>
                            </w:pPr>
                            <w:r>
                              <w:rPr>
                                <w:rFonts w:ascii="Arial"/>
                                <w:b/>
                                <w:color w:val="FFFFFF"/>
                                <w:spacing w:val="-2"/>
                                <w:w w:val="105"/>
                                <w:sz w:val="16"/>
                              </w:rPr>
                              <w:t>Accountable</w:t>
                            </w:r>
                            <w:r>
                              <w:rPr>
                                <w:rFonts w:ascii="Arial"/>
                                <w:b/>
                                <w:color w:val="FFFFFF"/>
                                <w:spacing w:val="8"/>
                                <w:w w:val="105"/>
                                <w:sz w:val="16"/>
                              </w:rPr>
                              <w:t xml:space="preserve"> </w:t>
                            </w:r>
                            <w:r>
                              <w:rPr>
                                <w:rFonts w:ascii="Arial"/>
                                <w:b/>
                                <w:color w:val="FFFFFF"/>
                                <w:spacing w:val="-2"/>
                                <w:w w:val="105"/>
                                <w:sz w:val="16"/>
                              </w:rPr>
                              <w:t>Officer</w:t>
                            </w:r>
                          </w:p>
                        </w:txbxContent>
                      </wps:txbx>
                      <wps:bodyPr wrap="square" lIns="0" tIns="0" rIns="0" bIns="0" rtlCol="0">
                        <a:noAutofit/>
                      </wps:bodyPr>
                    </wps:wsp>
                  </a:graphicData>
                </a:graphic>
              </wp:anchor>
            </w:drawing>
          </mc:Choice>
          <mc:Fallback>
            <w:pict>
              <v:shape w14:anchorId="2529CE66" id="Textbox 1105" o:spid="_x0000_s1058" type="#_x0000_t202" alt="&quot;&quot;" style="position:absolute;margin-left:53.05pt;margin-top:3.75pt;width:442.4pt;height:16.9pt;z-index:-25086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" filled="f" stroked="f">
                <v:textbox inset="0,0,0,0">
                  <w:txbxContent>
                    <w:p w14:paraId="52F40000" w14:textId="77777777" w:rsidR="00084F36" w:rsidRDefault="00EB2BD8">
                      <w:pPr>
                        <w:spacing w:before="79"/>
                        <w:ind w:left="100"/>
                        <w:rPr>
                          <w:rFonts w:ascii="Arial"/>
                          <w:b/>
                          <w:sz w:val="16"/>
                        </w:rPr>
                      </w:pPr>
                      <w:r>
                        <w:rPr>
                          <w:rFonts w:ascii="Arial"/>
                          <w:b/>
                          <w:color w:val="FFFFFF"/>
                          <w:spacing w:val="-2"/>
                          <w:w w:val="105"/>
                          <w:sz w:val="16"/>
                        </w:rPr>
                        <w:t>Accountable</w:t>
                      </w:r>
                      <w:r>
                        <w:rPr>
                          <w:rFonts w:ascii="Arial"/>
                          <w:b/>
                          <w:color w:val="FFFFFF"/>
                          <w:spacing w:val="8"/>
                          <w:w w:val="105"/>
                          <w:sz w:val="16"/>
                        </w:rPr>
                        <w:t xml:space="preserve"> </w:t>
                      </w:r>
                      <w:r>
                        <w:rPr>
                          <w:rFonts w:ascii="Arial"/>
                          <w:b/>
                          <w:color w:val="FFFFFF"/>
                          <w:spacing w:val="-2"/>
                          <w:w w:val="105"/>
                          <w:sz w:val="16"/>
                        </w:rPr>
                        <w:t>Officer</w:t>
                      </w:r>
                    </w:p>
                  </w:txbxContent>
                </v:textbox>
                <w10:wrap type="topAndBottom" anchorx="page"/>
              </v:shape>
            </w:pict>
          </mc:Fallback>
        </mc:AlternateContent>
      </w:r>
    </w:p>
    <w:p w14:paraId="12B1D323" w14:textId="77777777" w:rsidR="00084F36" w:rsidRPr="00EB2BD8" w:rsidRDefault="00EB2BD8">
      <w:pPr>
        <w:tabs>
          <w:tab w:val="left" w:pos="6797"/>
        </w:tabs>
        <w:spacing w:before="56"/>
        <w:ind w:left="1161"/>
        <w:rPr>
          <w:rFonts w:ascii="Arial"/>
          <w:sz w:val="16"/>
        </w:rPr>
      </w:pPr>
      <w:r w:rsidRPr="00EB2BD8">
        <w:rPr>
          <w:rFonts w:ascii="Arial"/>
          <w:w w:val="105"/>
          <w:sz w:val="16"/>
        </w:rPr>
        <w:t>Sue</w:t>
      </w:r>
      <w:r w:rsidRPr="00EB2BD8">
        <w:rPr>
          <w:rFonts w:ascii="Arial"/>
          <w:spacing w:val="-7"/>
          <w:w w:val="105"/>
          <w:sz w:val="16"/>
        </w:rPr>
        <w:t xml:space="preserve"> </w:t>
      </w:r>
      <w:r w:rsidRPr="00EB2BD8">
        <w:rPr>
          <w:rFonts w:ascii="Arial"/>
          <w:w w:val="105"/>
          <w:sz w:val="16"/>
        </w:rPr>
        <w:t>Eddy,</w:t>
      </w:r>
      <w:r w:rsidRPr="00EB2BD8">
        <w:rPr>
          <w:rFonts w:ascii="Arial"/>
          <w:spacing w:val="-7"/>
          <w:w w:val="105"/>
          <w:sz w:val="16"/>
        </w:rPr>
        <w:t xml:space="preserve"> </w:t>
      </w:r>
      <w:r w:rsidRPr="00EB2BD8">
        <w:rPr>
          <w:rFonts w:ascii="Arial"/>
          <w:w w:val="105"/>
          <w:sz w:val="16"/>
        </w:rPr>
        <w:t>CEO</w:t>
      </w:r>
      <w:r w:rsidRPr="00EB2BD8">
        <w:rPr>
          <w:rFonts w:ascii="Arial"/>
          <w:spacing w:val="-7"/>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Accountable</w:t>
      </w:r>
      <w:r w:rsidRPr="00EB2BD8">
        <w:rPr>
          <w:rFonts w:ascii="Arial"/>
          <w:spacing w:val="-7"/>
          <w:w w:val="105"/>
          <w:sz w:val="16"/>
        </w:rPr>
        <w:t xml:space="preserve"> </w:t>
      </w:r>
      <w:r w:rsidRPr="00EB2BD8">
        <w:rPr>
          <w:rFonts w:ascii="Arial"/>
          <w:spacing w:val="-2"/>
          <w:w w:val="105"/>
          <w:sz w:val="16"/>
        </w:rPr>
        <w:t>Officer</w:t>
      </w:r>
      <w:r w:rsidRPr="00EB2BD8">
        <w:rPr>
          <w:rFonts w:ascii="Arial"/>
          <w:spacing w:val="-2"/>
          <w:w w:val="105"/>
          <w:position w:val="6"/>
          <w:sz w:val="11"/>
        </w:rPr>
        <w:t>(b)</w:t>
      </w:r>
      <w:r w:rsidRPr="00EB2BD8">
        <w:rPr>
          <w:rFonts w:ascii="Arial"/>
          <w:position w:val="6"/>
          <w:sz w:val="11"/>
        </w:rPr>
        <w:tab/>
      </w:r>
      <w:r w:rsidRPr="00EB2BD8">
        <w:rPr>
          <w:rFonts w:ascii="Arial"/>
          <w:w w:val="105"/>
          <w:sz w:val="16"/>
        </w:rPr>
        <w:t>1</w:t>
      </w:r>
      <w:r w:rsidRPr="00EB2BD8">
        <w:rPr>
          <w:rFonts w:ascii="Arial"/>
          <w:spacing w:val="-4"/>
          <w:w w:val="105"/>
          <w:sz w:val="16"/>
        </w:rPr>
        <w:t xml:space="preserve"> </w:t>
      </w:r>
      <w:r w:rsidRPr="00EB2BD8">
        <w:rPr>
          <w:rFonts w:ascii="Arial"/>
          <w:w w:val="105"/>
          <w:sz w:val="16"/>
        </w:rPr>
        <w:t>July</w:t>
      </w:r>
      <w:r w:rsidRPr="00EB2BD8">
        <w:rPr>
          <w:rFonts w:ascii="Arial"/>
          <w:spacing w:val="-3"/>
          <w:w w:val="105"/>
          <w:sz w:val="16"/>
        </w:rPr>
        <w:t xml:space="preserve"> </w:t>
      </w:r>
      <w:r w:rsidRPr="00EB2BD8">
        <w:rPr>
          <w:rFonts w:ascii="Arial"/>
          <w:w w:val="105"/>
          <w:sz w:val="16"/>
        </w:rPr>
        <w:t>2022</w:t>
      </w:r>
      <w:r w:rsidRPr="00EB2BD8">
        <w:rPr>
          <w:rFonts w:ascii="Arial"/>
          <w:spacing w:val="-3"/>
          <w:w w:val="105"/>
          <w:sz w:val="16"/>
        </w:rPr>
        <w:t xml:space="preserve"> </w:t>
      </w:r>
      <w:r w:rsidRPr="00EB2BD8">
        <w:rPr>
          <w:rFonts w:ascii="Arial"/>
          <w:w w:val="105"/>
          <w:sz w:val="16"/>
        </w:rPr>
        <w:t>-</w:t>
      </w:r>
      <w:r w:rsidRPr="00EB2BD8">
        <w:rPr>
          <w:rFonts w:ascii="Arial"/>
          <w:spacing w:val="-3"/>
          <w:w w:val="105"/>
          <w:sz w:val="16"/>
        </w:rPr>
        <w:t xml:space="preserve"> </w:t>
      </w:r>
      <w:r w:rsidRPr="00EB2BD8">
        <w:rPr>
          <w:rFonts w:ascii="Arial"/>
          <w:w w:val="105"/>
          <w:sz w:val="16"/>
        </w:rPr>
        <w:t>14</w:t>
      </w:r>
      <w:r w:rsidRPr="00EB2BD8">
        <w:rPr>
          <w:rFonts w:ascii="Arial"/>
          <w:spacing w:val="-3"/>
          <w:w w:val="105"/>
          <w:sz w:val="16"/>
        </w:rPr>
        <w:t xml:space="preserve"> </w:t>
      </w:r>
      <w:r w:rsidRPr="00EB2BD8">
        <w:rPr>
          <w:rFonts w:ascii="Arial"/>
          <w:w w:val="105"/>
          <w:sz w:val="16"/>
        </w:rPr>
        <w:t>May</w:t>
      </w:r>
      <w:r w:rsidRPr="00EB2BD8">
        <w:rPr>
          <w:rFonts w:ascii="Arial"/>
          <w:spacing w:val="-3"/>
          <w:w w:val="105"/>
          <w:sz w:val="16"/>
        </w:rPr>
        <w:t xml:space="preserve"> </w:t>
      </w:r>
      <w:r w:rsidRPr="00EB2BD8">
        <w:rPr>
          <w:rFonts w:ascii="Arial"/>
          <w:spacing w:val="-4"/>
          <w:w w:val="105"/>
          <w:sz w:val="16"/>
        </w:rPr>
        <w:t>2023</w:t>
      </w:r>
    </w:p>
    <w:p w14:paraId="4AFDA82D" w14:textId="77777777" w:rsidR="00084F36" w:rsidRPr="00EB2BD8" w:rsidRDefault="00EB2BD8">
      <w:pPr>
        <w:tabs>
          <w:tab w:val="left" w:pos="6797"/>
        </w:tabs>
        <w:spacing w:before="123"/>
        <w:ind w:left="1161"/>
        <w:rPr>
          <w:rFonts w:ascii="Arial" w:hAnsi="Arial"/>
          <w:sz w:val="16"/>
        </w:rPr>
      </w:pPr>
      <w:r w:rsidRPr="00EB2BD8">
        <w:rPr>
          <w:rFonts w:ascii="Arial" w:hAnsi="Arial"/>
          <w:w w:val="105"/>
          <w:sz w:val="16"/>
        </w:rPr>
        <w:t>Todd</w:t>
      </w:r>
      <w:r w:rsidRPr="00EB2BD8">
        <w:rPr>
          <w:rFonts w:ascii="Arial" w:hAnsi="Arial"/>
          <w:spacing w:val="-8"/>
          <w:w w:val="105"/>
          <w:sz w:val="16"/>
        </w:rPr>
        <w:t xml:space="preserve"> </w:t>
      </w:r>
      <w:r w:rsidRPr="00EB2BD8">
        <w:rPr>
          <w:rFonts w:ascii="Arial" w:hAnsi="Arial"/>
          <w:w w:val="105"/>
          <w:sz w:val="16"/>
        </w:rPr>
        <w:t>Bentley,</w:t>
      </w:r>
      <w:r w:rsidRPr="00EB2BD8">
        <w:rPr>
          <w:rFonts w:ascii="Arial" w:hAnsi="Arial"/>
          <w:spacing w:val="-8"/>
          <w:w w:val="105"/>
          <w:sz w:val="16"/>
        </w:rPr>
        <w:t xml:space="preserve"> </w:t>
      </w:r>
      <w:r w:rsidRPr="00EB2BD8">
        <w:rPr>
          <w:rFonts w:ascii="Arial" w:hAnsi="Arial"/>
          <w:w w:val="105"/>
          <w:sz w:val="16"/>
        </w:rPr>
        <w:t>Acting</w:t>
      </w:r>
      <w:r w:rsidRPr="00EB2BD8">
        <w:rPr>
          <w:rFonts w:ascii="Arial" w:hAnsi="Arial"/>
          <w:spacing w:val="-8"/>
          <w:w w:val="105"/>
          <w:sz w:val="16"/>
        </w:rPr>
        <w:t xml:space="preserve"> </w:t>
      </w:r>
      <w:r w:rsidRPr="00EB2BD8">
        <w:rPr>
          <w:rFonts w:ascii="Arial" w:hAnsi="Arial"/>
          <w:w w:val="105"/>
          <w:sz w:val="16"/>
        </w:rPr>
        <w:t>CEO</w:t>
      </w:r>
      <w:r w:rsidRPr="00EB2BD8">
        <w:rPr>
          <w:rFonts w:ascii="Arial" w:hAnsi="Arial"/>
          <w:spacing w:val="-8"/>
          <w:w w:val="105"/>
          <w:sz w:val="16"/>
        </w:rPr>
        <w:t xml:space="preserve"> </w:t>
      </w:r>
      <w:r w:rsidRPr="00EB2BD8">
        <w:rPr>
          <w:rFonts w:ascii="Arial" w:hAnsi="Arial"/>
          <w:w w:val="105"/>
          <w:sz w:val="16"/>
        </w:rPr>
        <w:t>and</w:t>
      </w:r>
      <w:r w:rsidRPr="00EB2BD8">
        <w:rPr>
          <w:rFonts w:ascii="Arial" w:hAnsi="Arial"/>
          <w:spacing w:val="-8"/>
          <w:w w:val="105"/>
          <w:sz w:val="16"/>
        </w:rPr>
        <w:t xml:space="preserve"> </w:t>
      </w:r>
      <w:r w:rsidRPr="00EB2BD8">
        <w:rPr>
          <w:rFonts w:ascii="Arial" w:hAnsi="Arial"/>
          <w:w w:val="105"/>
          <w:sz w:val="16"/>
        </w:rPr>
        <w:t>Accountable</w:t>
      </w:r>
      <w:r w:rsidRPr="00EB2BD8">
        <w:rPr>
          <w:rFonts w:ascii="Arial" w:hAnsi="Arial"/>
          <w:spacing w:val="-8"/>
          <w:w w:val="105"/>
          <w:sz w:val="16"/>
        </w:rPr>
        <w:t xml:space="preserve"> </w:t>
      </w:r>
      <w:r w:rsidRPr="00EB2BD8">
        <w:rPr>
          <w:rFonts w:ascii="Arial" w:hAnsi="Arial"/>
          <w:spacing w:val="-2"/>
          <w:w w:val="105"/>
          <w:sz w:val="16"/>
        </w:rPr>
        <w:t>Officer</w:t>
      </w:r>
      <w:r w:rsidRPr="00EB2BD8">
        <w:rPr>
          <w:rFonts w:ascii="Arial" w:hAnsi="Arial"/>
          <w:spacing w:val="-2"/>
          <w:w w:val="105"/>
          <w:position w:val="6"/>
          <w:sz w:val="11"/>
        </w:rPr>
        <w:t>(b)</w:t>
      </w:r>
      <w:r w:rsidRPr="00EB2BD8">
        <w:rPr>
          <w:rFonts w:ascii="Arial" w:hAnsi="Arial"/>
          <w:position w:val="6"/>
          <w:sz w:val="11"/>
        </w:rPr>
        <w:tab/>
      </w:r>
      <w:r w:rsidRPr="00EB2BD8">
        <w:rPr>
          <w:rFonts w:ascii="Arial" w:hAnsi="Arial"/>
          <w:w w:val="105"/>
          <w:sz w:val="16"/>
        </w:rPr>
        <w:t>28</w:t>
      </w:r>
      <w:r w:rsidRPr="00EB2BD8">
        <w:rPr>
          <w:rFonts w:ascii="Arial" w:hAnsi="Arial"/>
          <w:spacing w:val="-4"/>
          <w:w w:val="105"/>
          <w:sz w:val="16"/>
        </w:rPr>
        <w:t xml:space="preserve"> </w:t>
      </w:r>
      <w:r w:rsidRPr="00EB2BD8">
        <w:rPr>
          <w:rFonts w:ascii="Arial" w:hAnsi="Arial"/>
          <w:w w:val="105"/>
          <w:sz w:val="16"/>
        </w:rPr>
        <w:t>April</w:t>
      </w:r>
      <w:r w:rsidRPr="00EB2BD8">
        <w:rPr>
          <w:rFonts w:ascii="Arial" w:hAnsi="Arial"/>
          <w:spacing w:val="-4"/>
          <w:w w:val="105"/>
          <w:sz w:val="16"/>
        </w:rPr>
        <w:t xml:space="preserve"> </w:t>
      </w:r>
      <w:r w:rsidRPr="00EB2BD8">
        <w:rPr>
          <w:rFonts w:ascii="Arial" w:hAnsi="Arial"/>
          <w:w w:val="105"/>
          <w:sz w:val="16"/>
        </w:rPr>
        <w:t>2023</w:t>
      </w:r>
      <w:r w:rsidRPr="00EB2BD8">
        <w:rPr>
          <w:rFonts w:ascii="Arial" w:hAnsi="Arial"/>
          <w:spacing w:val="-4"/>
          <w:w w:val="105"/>
          <w:sz w:val="16"/>
        </w:rPr>
        <w:t xml:space="preserve"> </w:t>
      </w:r>
      <w:r w:rsidRPr="00EB2BD8">
        <w:rPr>
          <w:rFonts w:ascii="Arial" w:hAnsi="Arial"/>
          <w:w w:val="105"/>
          <w:sz w:val="16"/>
        </w:rPr>
        <w:t>–</w:t>
      </w:r>
      <w:r w:rsidRPr="00EB2BD8">
        <w:rPr>
          <w:rFonts w:ascii="Arial" w:hAnsi="Arial"/>
          <w:spacing w:val="-3"/>
          <w:w w:val="105"/>
          <w:sz w:val="16"/>
        </w:rPr>
        <w:t xml:space="preserve"> </w:t>
      </w:r>
      <w:r w:rsidRPr="00EB2BD8">
        <w:rPr>
          <w:rFonts w:ascii="Arial" w:hAnsi="Arial"/>
          <w:w w:val="105"/>
          <w:sz w:val="16"/>
        </w:rPr>
        <w:t>30</w:t>
      </w:r>
      <w:r w:rsidRPr="00EB2BD8">
        <w:rPr>
          <w:rFonts w:ascii="Arial" w:hAnsi="Arial"/>
          <w:spacing w:val="-4"/>
          <w:w w:val="105"/>
          <w:sz w:val="16"/>
        </w:rPr>
        <w:t xml:space="preserve"> </w:t>
      </w:r>
      <w:r w:rsidRPr="00EB2BD8">
        <w:rPr>
          <w:rFonts w:ascii="Arial" w:hAnsi="Arial"/>
          <w:w w:val="105"/>
          <w:sz w:val="16"/>
        </w:rPr>
        <w:t>June</w:t>
      </w:r>
      <w:r w:rsidRPr="00EB2BD8">
        <w:rPr>
          <w:rFonts w:ascii="Arial" w:hAnsi="Arial"/>
          <w:spacing w:val="-4"/>
          <w:w w:val="105"/>
          <w:sz w:val="16"/>
        </w:rPr>
        <w:t xml:space="preserve"> 2023</w:t>
      </w:r>
    </w:p>
    <w:p w14:paraId="0029A49D" w14:textId="77777777" w:rsidR="00084F36" w:rsidRPr="00EB2BD8" w:rsidRDefault="00EB2BD8">
      <w:pPr>
        <w:tabs>
          <w:tab w:val="left" w:pos="6798"/>
        </w:tabs>
        <w:spacing w:before="124"/>
        <w:ind w:left="1161"/>
        <w:rPr>
          <w:rFonts w:ascii="Arial" w:hAnsi="Arial"/>
          <w:sz w:val="16"/>
        </w:rPr>
      </w:pPr>
      <w:r w:rsidRPr="00EB2BD8">
        <w:rPr>
          <w:rFonts w:ascii="Arial" w:hAnsi="Arial"/>
          <w:w w:val="105"/>
          <w:sz w:val="16"/>
        </w:rPr>
        <w:t>Anna</w:t>
      </w:r>
      <w:r w:rsidRPr="00EB2BD8">
        <w:rPr>
          <w:rFonts w:ascii="Arial" w:hAnsi="Arial"/>
          <w:spacing w:val="-8"/>
          <w:w w:val="105"/>
          <w:sz w:val="16"/>
        </w:rPr>
        <w:t xml:space="preserve"> </w:t>
      </w:r>
      <w:r w:rsidRPr="00EB2BD8">
        <w:rPr>
          <w:rFonts w:ascii="Arial" w:hAnsi="Arial"/>
          <w:w w:val="105"/>
          <w:sz w:val="16"/>
        </w:rPr>
        <w:t>Cronin,</w:t>
      </w:r>
      <w:r w:rsidRPr="00EB2BD8">
        <w:rPr>
          <w:rFonts w:ascii="Arial" w:hAnsi="Arial"/>
          <w:spacing w:val="-8"/>
          <w:w w:val="105"/>
          <w:sz w:val="16"/>
        </w:rPr>
        <w:t xml:space="preserve"> </w:t>
      </w:r>
      <w:r w:rsidRPr="00EB2BD8">
        <w:rPr>
          <w:rFonts w:ascii="Arial" w:hAnsi="Arial"/>
          <w:w w:val="105"/>
          <w:sz w:val="16"/>
        </w:rPr>
        <w:t>CEO</w:t>
      </w:r>
      <w:r w:rsidRPr="00EB2BD8">
        <w:rPr>
          <w:rFonts w:ascii="Arial" w:hAnsi="Arial"/>
          <w:spacing w:val="-8"/>
          <w:w w:val="105"/>
          <w:sz w:val="16"/>
        </w:rPr>
        <w:t xml:space="preserve"> </w:t>
      </w:r>
      <w:r w:rsidRPr="00EB2BD8">
        <w:rPr>
          <w:rFonts w:ascii="Arial" w:hAnsi="Arial"/>
          <w:w w:val="105"/>
          <w:sz w:val="16"/>
        </w:rPr>
        <w:t>and</w:t>
      </w:r>
      <w:r w:rsidRPr="00EB2BD8">
        <w:rPr>
          <w:rFonts w:ascii="Arial" w:hAnsi="Arial"/>
          <w:spacing w:val="-8"/>
          <w:w w:val="105"/>
          <w:sz w:val="16"/>
        </w:rPr>
        <w:t xml:space="preserve"> </w:t>
      </w:r>
      <w:r w:rsidRPr="00EB2BD8">
        <w:rPr>
          <w:rFonts w:ascii="Arial" w:hAnsi="Arial"/>
          <w:w w:val="105"/>
          <w:sz w:val="16"/>
        </w:rPr>
        <w:t>Accountable</w:t>
      </w:r>
      <w:r w:rsidRPr="00EB2BD8">
        <w:rPr>
          <w:rFonts w:ascii="Arial" w:hAnsi="Arial"/>
          <w:spacing w:val="-8"/>
          <w:w w:val="105"/>
          <w:sz w:val="16"/>
        </w:rPr>
        <w:t xml:space="preserve"> </w:t>
      </w:r>
      <w:r w:rsidRPr="00EB2BD8">
        <w:rPr>
          <w:rFonts w:ascii="Arial" w:hAnsi="Arial"/>
          <w:spacing w:val="-2"/>
          <w:w w:val="105"/>
          <w:sz w:val="16"/>
        </w:rPr>
        <w:t>Officer</w:t>
      </w:r>
      <w:r w:rsidRPr="00EB2BD8">
        <w:rPr>
          <w:rFonts w:ascii="Arial" w:hAnsi="Arial"/>
          <w:spacing w:val="-2"/>
          <w:w w:val="105"/>
          <w:position w:val="6"/>
          <w:sz w:val="11"/>
        </w:rPr>
        <w:t>(c)</w:t>
      </w:r>
      <w:r w:rsidRPr="00EB2BD8">
        <w:rPr>
          <w:rFonts w:ascii="Arial" w:hAnsi="Arial"/>
          <w:position w:val="6"/>
          <w:sz w:val="11"/>
        </w:rPr>
        <w:tab/>
      </w:r>
      <w:r w:rsidRPr="00EB2BD8">
        <w:rPr>
          <w:rFonts w:ascii="Arial" w:hAnsi="Arial"/>
          <w:w w:val="105"/>
          <w:sz w:val="16"/>
        </w:rPr>
        <w:t>14</w:t>
      </w:r>
      <w:r w:rsidRPr="00EB2BD8">
        <w:rPr>
          <w:rFonts w:ascii="Arial" w:hAnsi="Arial"/>
          <w:spacing w:val="-4"/>
          <w:w w:val="105"/>
          <w:sz w:val="16"/>
        </w:rPr>
        <w:t xml:space="preserve"> </w:t>
      </w:r>
      <w:r w:rsidRPr="00EB2BD8">
        <w:rPr>
          <w:rFonts w:ascii="Arial" w:hAnsi="Arial"/>
          <w:w w:val="105"/>
          <w:sz w:val="16"/>
        </w:rPr>
        <w:t>June</w:t>
      </w:r>
      <w:r w:rsidRPr="00EB2BD8">
        <w:rPr>
          <w:rFonts w:ascii="Arial" w:hAnsi="Arial"/>
          <w:spacing w:val="-4"/>
          <w:w w:val="105"/>
          <w:sz w:val="16"/>
        </w:rPr>
        <w:t xml:space="preserve"> </w:t>
      </w:r>
      <w:r w:rsidRPr="00EB2BD8">
        <w:rPr>
          <w:rFonts w:ascii="Arial" w:hAnsi="Arial"/>
          <w:w w:val="105"/>
          <w:sz w:val="16"/>
        </w:rPr>
        <w:t>2023</w:t>
      </w:r>
      <w:r w:rsidRPr="00EB2BD8">
        <w:rPr>
          <w:rFonts w:ascii="Arial" w:hAnsi="Arial"/>
          <w:spacing w:val="-3"/>
          <w:w w:val="105"/>
          <w:sz w:val="16"/>
        </w:rPr>
        <w:t xml:space="preserve"> </w:t>
      </w:r>
      <w:r w:rsidRPr="00EB2BD8">
        <w:rPr>
          <w:rFonts w:ascii="Arial" w:hAnsi="Arial"/>
          <w:w w:val="105"/>
          <w:sz w:val="16"/>
        </w:rPr>
        <w:t>–</w:t>
      </w:r>
      <w:r w:rsidRPr="00EB2BD8">
        <w:rPr>
          <w:rFonts w:ascii="Arial" w:hAnsi="Arial"/>
          <w:spacing w:val="-3"/>
          <w:w w:val="105"/>
          <w:sz w:val="16"/>
        </w:rPr>
        <w:t xml:space="preserve"> </w:t>
      </w:r>
      <w:r w:rsidRPr="00EB2BD8">
        <w:rPr>
          <w:rFonts w:ascii="Arial" w:hAnsi="Arial"/>
          <w:w w:val="105"/>
          <w:sz w:val="16"/>
        </w:rPr>
        <w:t>30</w:t>
      </w:r>
      <w:r w:rsidRPr="00EB2BD8">
        <w:rPr>
          <w:rFonts w:ascii="Arial" w:hAnsi="Arial"/>
          <w:spacing w:val="-4"/>
          <w:w w:val="105"/>
          <w:sz w:val="16"/>
        </w:rPr>
        <w:t xml:space="preserve"> </w:t>
      </w:r>
      <w:r w:rsidRPr="00EB2BD8">
        <w:rPr>
          <w:rFonts w:ascii="Arial" w:hAnsi="Arial"/>
          <w:w w:val="105"/>
          <w:sz w:val="16"/>
        </w:rPr>
        <w:t>June</w:t>
      </w:r>
      <w:r w:rsidRPr="00EB2BD8">
        <w:rPr>
          <w:rFonts w:ascii="Arial" w:hAnsi="Arial"/>
          <w:spacing w:val="-4"/>
          <w:w w:val="105"/>
          <w:sz w:val="16"/>
        </w:rPr>
        <w:t xml:space="preserve"> 2023</w:t>
      </w:r>
    </w:p>
    <w:p w14:paraId="589CBB7A" w14:textId="77777777" w:rsidR="00084F36" w:rsidRPr="00EB2BD8" w:rsidRDefault="00084F36">
      <w:pPr>
        <w:pStyle w:val="BodyText"/>
        <w:spacing w:before="3"/>
        <w:rPr>
          <w:rFonts w:ascii="Arial"/>
        </w:rPr>
      </w:pPr>
    </w:p>
    <w:p w14:paraId="0FD12A1D" w14:textId="77777777" w:rsidR="00084F36" w:rsidRPr="00EB2BD8" w:rsidRDefault="00EB2BD8">
      <w:pPr>
        <w:pStyle w:val="ListParagraph"/>
        <w:numPr>
          <w:ilvl w:val="0"/>
          <w:numId w:val="27"/>
        </w:numPr>
        <w:tabs>
          <w:tab w:val="left" w:pos="1322"/>
          <w:tab w:val="left" w:pos="1326"/>
        </w:tabs>
        <w:spacing w:before="94" w:line="273" w:lineRule="auto"/>
        <w:ind w:right="1947"/>
        <w:rPr>
          <w:rFonts w:ascii="Arial"/>
          <w:i/>
          <w:sz w:val="15"/>
        </w:rPr>
      </w:pPr>
      <w:r w:rsidRPr="00EB2BD8">
        <w:rPr>
          <w:rFonts w:ascii="Arial"/>
          <w:i/>
          <w:sz w:val="15"/>
        </w:rPr>
        <w:t>Dr</w:t>
      </w:r>
      <w:r w:rsidRPr="00EB2BD8">
        <w:rPr>
          <w:rFonts w:ascii="Arial"/>
          <w:i/>
          <w:spacing w:val="-5"/>
          <w:sz w:val="15"/>
        </w:rPr>
        <w:t xml:space="preserve"> </w:t>
      </w:r>
      <w:r w:rsidRPr="00EB2BD8">
        <w:rPr>
          <w:rFonts w:ascii="Arial"/>
          <w:i/>
          <w:sz w:val="15"/>
        </w:rPr>
        <w:t>Gillian</w:t>
      </w:r>
      <w:r w:rsidRPr="00EB2BD8">
        <w:rPr>
          <w:rFonts w:ascii="Arial"/>
          <w:i/>
          <w:spacing w:val="-5"/>
          <w:sz w:val="15"/>
        </w:rPr>
        <w:t xml:space="preserve"> </w:t>
      </w:r>
      <w:r w:rsidRPr="00EB2BD8">
        <w:rPr>
          <w:rFonts w:ascii="Arial"/>
          <w:i/>
          <w:sz w:val="15"/>
        </w:rPr>
        <w:t>Sparkes</w:t>
      </w:r>
      <w:r w:rsidRPr="00EB2BD8">
        <w:rPr>
          <w:rFonts w:ascii="Arial"/>
          <w:i/>
          <w:spacing w:val="-4"/>
          <w:sz w:val="15"/>
        </w:rPr>
        <w:t xml:space="preserve"> </w:t>
      </w:r>
      <w:r w:rsidRPr="00EB2BD8">
        <w:rPr>
          <w:rFonts w:ascii="Arial"/>
          <w:i/>
          <w:sz w:val="15"/>
        </w:rPr>
        <w:t>AM</w:t>
      </w:r>
      <w:r w:rsidRPr="00EB2BD8">
        <w:rPr>
          <w:rFonts w:ascii="Arial"/>
          <w:i/>
          <w:spacing w:val="-5"/>
          <w:sz w:val="15"/>
        </w:rPr>
        <w:t xml:space="preserve"> </w:t>
      </w:r>
      <w:r w:rsidRPr="00EB2BD8">
        <w:rPr>
          <w:rFonts w:ascii="Arial"/>
          <w:i/>
          <w:sz w:val="15"/>
        </w:rPr>
        <w:t>is</w:t>
      </w:r>
      <w:r w:rsidRPr="00EB2BD8">
        <w:rPr>
          <w:rFonts w:ascii="Arial"/>
          <w:i/>
          <w:spacing w:val="-4"/>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Commissioner</w:t>
      </w:r>
      <w:r w:rsidRPr="00EB2BD8">
        <w:rPr>
          <w:rFonts w:ascii="Arial"/>
          <w:i/>
          <w:spacing w:val="-5"/>
          <w:sz w:val="15"/>
        </w:rPr>
        <w:t xml:space="preserve"> </w:t>
      </w:r>
      <w:r w:rsidRPr="00EB2BD8">
        <w:rPr>
          <w:rFonts w:ascii="Arial"/>
          <w:i/>
          <w:sz w:val="15"/>
        </w:rPr>
        <w:t>for</w:t>
      </w:r>
      <w:r w:rsidRPr="00EB2BD8">
        <w:rPr>
          <w:rFonts w:ascii="Arial"/>
          <w:i/>
          <w:spacing w:val="-5"/>
          <w:sz w:val="15"/>
        </w:rPr>
        <w:t xml:space="preserve"> </w:t>
      </w:r>
      <w:r w:rsidRPr="00EB2BD8">
        <w:rPr>
          <w:rFonts w:ascii="Arial"/>
          <w:i/>
          <w:sz w:val="15"/>
        </w:rPr>
        <w:t>Environmental</w:t>
      </w:r>
      <w:r w:rsidRPr="00EB2BD8">
        <w:rPr>
          <w:rFonts w:ascii="Arial"/>
          <w:i/>
          <w:spacing w:val="-4"/>
          <w:sz w:val="15"/>
        </w:rPr>
        <w:t xml:space="preserve"> </w:t>
      </w:r>
      <w:r w:rsidRPr="00EB2BD8">
        <w:rPr>
          <w:rFonts w:ascii="Arial"/>
          <w:i/>
          <w:sz w:val="15"/>
        </w:rPr>
        <w:t>Sustainability</w:t>
      </w:r>
      <w:r w:rsidRPr="00EB2BD8">
        <w:rPr>
          <w:rFonts w:ascii="Arial"/>
          <w:i/>
          <w:spacing w:val="-4"/>
          <w:sz w:val="15"/>
        </w:rPr>
        <w:t xml:space="preserve"> </w:t>
      </w:r>
      <w:r w:rsidRPr="00EB2BD8">
        <w:rPr>
          <w:rFonts w:ascii="Arial"/>
          <w:i/>
          <w:sz w:val="15"/>
        </w:rPr>
        <w:t>Victoria</w:t>
      </w:r>
      <w:r w:rsidRPr="00EB2BD8">
        <w:rPr>
          <w:rFonts w:ascii="Arial"/>
          <w:i/>
          <w:spacing w:val="-6"/>
          <w:sz w:val="15"/>
        </w:rPr>
        <w:t xml:space="preserve"> </w:t>
      </w:r>
      <w:r w:rsidRPr="00EB2BD8">
        <w:rPr>
          <w:rFonts w:ascii="Arial"/>
          <w:i/>
          <w:sz w:val="15"/>
        </w:rPr>
        <w:t>and</w:t>
      </w:r>
      <w:r w:rsidRPr="00EB2BD8">
        <w:rPr>
          <w:rFonts w:ascii="Arial"/>
          <w:i/>
          <w:spacing w:val="-5"/>
          <w:sz w:val="15"/>
        </w:rPr>
        <w:t xml:space="preserve"> </w:t>
      </w:r>
      <w:r w:rsidRPr="00EB2BD8">
        <w:rPr>
          <w:rFonts w:ascii="Arial"/>
          <w:i/>
          <w:sz w:val="15"/>
        </w:rPr>
        <w:t>received</w:t>
      </w:r>
      <w:r w:rsidRPr="00EB2BD8">
        <w:rPr>
          <w:rFonts w:ascii="Arial"/>
          <w:i/>
          <w:spacing w:val="-5"/>
          <w:sz w:val="15"/>
        </w:rPr>
        <w:t xml:space="preserve"> </w:t>
      </w:r>
      <w:r w:rsidRPr="00EB2BD8">
        <w:rPr>
          <w:rFonts w:ascii="Arial"/>
          <w:i/>
          <w:sz w:val="15"/>
        </w:rPr>
        <w:t>nil</w:t>
      </w:r>
      <w:r w:rsidRPr="00EB2BD8">
        <w:rPr>
          <w:rFonts w:ascii="Arial"/>
          <w:i/>
          <w:spacing w:val="-4"/>
          <w:sz w:val="15"/>
        </w:rPr>
        <w:t xml:space="preserve"> </w:t>
      </w:r>
      <w:r w:rsidRPr="00EB2BD8">
        <w:rPr>
          <w:rFonts w:ascii="Arial"/>
          <w:i/>
          <w:sz w:val="15"/>
        </w:rPr>
        <w:t>remuneration</w:t>
      </w:r>
      <w:r w:rsidRPr="00EB2BD8">
        <w:rPr>
          <w:rFonts w:ascii="Arial"/>
          <w:i/>
          <w:spacing w:val="-5"/>
          <w:sz w:val="15"/>
        </w:rPr>
        <w:t xml:space="preserve"> </w:t>
      </w:r>
      <w:r w:rsidRPr="00EB2BD8">
        <w:rPr>
          <w:rFonts w:ascii="Arial"/>
          <w:i/>
          <w:sz w:val="15"/>
        </w:rPr>
        <w:t>from</w:t>
      </w:r>
      <w:r w:rsidRPr="00EB2BD8">
        <w:rPr>
          <w:rFonts w:ascii="Arial"/>
          <w:i/>
          <w:spacing w:val="-5"/>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VBA</w:t>
      </w:r>
      <w:r w:rsidRPr="00EB2BD8">
        <w:rPr>
          <w:rFonts w:ascii="Arial"/>
          <w:i/>
          <w:spacing w:val="-4"/>
          <w:sz w:val="15"/>
        </w:rPr>
        <w:t xml:space="preserve"> </w:t>
      </w:r>
      <w:r w:rsidRPr="00EB2BD8">
        <w:rPr>
          <w:rFonts w:ascii="Arial"/>
          <w:i/>
          <w:sz w:val="15"/>
        </w:rPr>
        <w:t xml:space="preserve">in </w:t>
      </w:r>
      <w:r w:rsidRPr="00EB2BD8">
        <w:rPr>
          <w:rFonts w:ascii="Arial"/>
          <w:i/>
          <w:spacing w:val="-2"/>
          <w:sz w:val="15"/>
        </w:rPr>
        <w:t>2022-23.</w:t>
      </w:r>
    </w:p>
    <w:p w14:paraId="664966E3" w14:textId="77777777" w:rsidR="00084F36" w:rsidRPr="00EB2BD8" w:rsidRDefault="00EB2BD8">
      <w:pPr>
        <w:pStyle w:val="ListParagraph"/>
        <w:numPr>
          <w:ilvl w:val="0"/>
          <w:numId w:val="27"/>
        </w:numPr>
        <w:tabs>
          <w:tab w:val="left" w:pos="1322"/>
          <w:tab w:val="left" w:pos="1326"/>
        </w:tabs>
        <w:spacing w:before="58" w:line="273" w:lineRule="auto"/>
        <w:ind w:right="2249"/>
        <w:rPr>
          <w:rFonts w:ascii="Arial"/>
          <w:i/>
          <w:sz w:val="15"/>
        </w:rPr>
      </w:pPr>
      <w:r w:rsidRPr="00EB2BD8">
        <w:rPr>
          <w:rFonts w:ascii="Arial"/>
          <w:i/>
          <w:sz w:val="15"/>
        </w:rPr>
        <w:t>Todd</w:t>
      </w:r>
      <w:r w:rsidRPr="00EB2BD8">
        <w:rPr>
          <w:rFonts w:ascii="Arial"/>
          <w:i/>
          <w:spacing w:val="-4"/>
          <w:sz w:val="15"/>
        </w:rPr>
        <w:t xml:space="preserve"> </w:t>
      </w:r>
      <w:r w:rsidRPr="00EB2BD8">
        <w:rPr>
          <w:rFonts w:ascii="Arial"/>
          <w:i/>
          <w:sz w:val="15"/>
        </w:rPr>
        <w:t>Bentley</w:t>
      </w:r>
      <w:r w:rsidRPr="00EB2BD8">
        <w:rPr>
          <w:rFonts w:ascii="Arial"/>
          <w:i/>
          <w:spacing w:val="-3"/>
          <w:sz w:val="15"/>
        </w:rPr>
        <w:t xml:space="preserve"> </w:t>
      </w:r>
      <w:r w:rsidRPr="00EB2BD8">
        <w:rPr>
          <w:rFonts w:ascii="Arial"/>
          <w:i/>
          <w:sz w:val="15"/>
        </w:rPr>
        <w:t>was</w:t>
      </w:r>
      <w:r w:rsidRPr="00EB2BD8">
        <w:rPr>
          <w:rFonts w:ascii="Arial"/>
          <w:i/>
          <w:spacing w:val="-3"/>
          <w:sz w:val="15"/>
        </w:rPr>
        <w:t xml:space="preserve"> </w:t>
      </w:r>
      <w:r w:rsidRPr="00EB2BD8">
        <w:rPr>
          <w:rFonts w:ascii="Arial"/>
          <w:i/>
          <w:sz w:val="15"/>
        </w:rPr>
        <w:t>appointed</w:t>
      </w:r>
      <w:r w:rsidRPr="00EB2BD8">
        <w:rPr>
          <w:rFonts w:ascii="Arial"/>
          <w:i/>
          <w:spacing w:val="-4"/>
          <w:sz w:val="15"/>
        </w:rPr>
        <w:t xml:space="preserve"> </w:t>
      </w:r>
      <w:r w:rsidRPr="00EB2BD8">
        <w:rPr>
          <w:rFonts w:ascii="Arial"/>
          <w:i/>
          <w:sz w:val="15"/>
        </w:rPr>
        <w:t>Acting</w:t>
      </w:r>
      <w:r w:rsidRPr="00EB2BD8">
        <w:rPr>
          <w:rFonts w:ascii="Arial"/>
          <w:i/>
          <w:spacing w:val="-4"/>
          <w:sz w:val="15"/>
        </w:rPr>
        <w:t xml:space="preserve"> </w:t>
      </w:r>
      <w:r w:rsidRPr="00EB2BD8">
        <w:rPr>
          <w:rFonts w:ascii="Arial"/>
          <w:i/>
          <w:sz w:val="15"/>
        </w:rPr>
        <w:t>CEO</w:t>
      </w:r>
      <w:r w:rsidRPr="00EB2BD8">
        <w:rPr>
          <w:rFonts w:ascii="Arial"/>
          <w:i/>
          <w:spacing w:val="-4"/>
          <w:sz w:val="15"/>
        </w:rPr>
        <w:t xml:space="preserve"> </w:t>
      </w:r>
      <w:r w:rsidRPr="00EB2BD8">
        <w:rPr>
          <w:rFonts w:ascii="Arial"/>
          <w:i/>
          <w:sz w:val="15"/>
        </w:rPr>
        <w:t>and</w:t>
      </w:r>
      <w:r w:rsidRPr="00EB2BD8">
        <w:rPr>
          <w:rFonts w:ascii="Arial"/>
          <w:i/>
          <w:spacing w:val="-4"/>
          <w:sz w:val="15"/>
        </w:rPr>
        <w:t xml:space="preserve"> </w:t>
      </w:r>
      <w:r w:rsidRPr="00EB2BD8">
        <w:rPr>
          <w:rFonts w:ascii="Arial"/>
          <w:i/>
          <w:sz w:val="15"/>
        </w:rPr>
        <w:t>Accountable</w:t>
      </w:r>
      <w:r w:rsidRPr="00EB2BD8">
        <w:rPr>
          <w:rFonts w:ascii="Arial"/>
          <w:i/>
          <w:spacing w:val="-4"/>
          <w:sz w:val="15"/>
        </w:rPr>
        <w:t xml:space="preserve"> </w:t>
      </w:r>
      <w:r w:rsidRPr="00EB2BD8">
        <w:rPr>
          <w:rFonts w:ascii="Arial"/>
          <w:i/>
          <w:sz w:val="15"/>
        </w:rPr>
        <w:t>Officer</w:t>
      </w:r>
      <w:r w:rsidRPr="00EB2BD8">
        <w:rPr>
          <w:rFonts w:ascii="Arial"/>
          <w:i/>
          <w:spacing w:val="-4"/>
          <w:sz w:val="15"/>
        </w:rPr>
        <w:t xml:space="preserve"> </w:t>
      </w:r>
      <w:r w:rsidRPr="00EB2BD8">
        <w:rPr>
          <w:rFonts w:ascii="Arial"/>
          <w:i/>
          <w:sz w:val="15"/>
        </w:rPr>
        <w:t>on</w:t>
      </w:r>
      <w:r w:rsidRPr="00EB2BD8">
        <w:rPr>
          <w:rFonts w:ascii="Arial"/>
          <w:i/>
          <w:spacing w:val="-4"/>
          <w:sz w:val="15"/>
        </w:rPr>
        <w:t xml:space="preserve"> </w:t>
      </w:r>
      <w:r w:rsidRPr="00EB2BD8">
        <w:rPr>
          <w:rFonts w:ascii="Arial"/>
          <w:i/>
          <w:sz w:val="15"/>
        </w:rPr>
        <w:t>the</w:t>
      </w:r>
      <w:r w:rsidRPr="00EB2BD8">
        <w:rPr>
          <w:rFonts w:ascii="Arial"/>
          <w:i/>
          <w:spacing w:val="-4"/>
          <w:sz w:val="15"/>
        </w:rPr>
        <w:t xml:space="preserve"> </w:t>
      </w:r>
      <w:r w:rsidRPr="00EB2BD8">
        <w:rPr>
          <w:rFonts w:ascii="Arial"/>
          <w:i/>
          <w:sz w:val="15"/>
        </w:rPr>
        <w:t>28</w:t>
      </w:r>
      <w:r w:rsidRPr="00EB2BD8">
        <w:rPr>
          <w:rFonts w:ascii="Arial"/>
          <w:i/>
          <w:spacing w:val="-4"/>
          <w:sz w:val="15"/>
        </w:rPr>
        <w:t xml:space="preserve"> </w:t>
      </w:r>
      <w:r w:rsidRPr="00EB2BD8">
        <w:rPr>
          <w:rFonts w:ascii="Arial"/>
          <w:i/>
          <w:sz w:val="15"/>
        </w:rPr>
        <w:t>April</w:t>
      </w:r>
      <w:r w:rsidRPr="00EB2BD8">
        <w:rPr>
          <w:rFonts w:ascii="Arial"/>
          <w:i/>
          <w:spacing w:val="-3"/>
          <w:sz w:val="15"/>
        </w:rPr>
        <w:t xml:space="preserve"> </w:t>
      </w:r>
      <w:r w:rsidRPr="00EB2BD8">
        <w:rPr>
          <w:rFonts w:ascii="Arial"/>
          <w:i/>
          <w:sz w:val="15"/>
        </w:rPr>
        <w:t>2023,</w:t>
      </w:r>
      <w:r w:rsidRPr="00EB2BD8">
        <w:rPr>
          <w:rFonts w:ascii="Arial"/>
          <w:i/>
          <w:spacing w:val="-4"/>
          <w:sz w:val="15"/>
        </w:rPr>
        <w:t xml:space="preserve"> </w:t>
      </w:r>
      <w:r w:rsidRPr="00EB2BD8">
        <w:rPr>
          <w:rFonts w:ascii="Arial"/>
          <w:i/>
          <w:sz w:val="15"/>
        </w:rPr>
        <w:t>and</w:t>
      </w:r>
      <w:r w:rsidRPr="00EB2BD8">
        <w:rPr>
          <w:rFonts w:ascii="Arial"/>
          <w:i/>
          <w:spacing w:val="-4"/>
          <w:sz w:val="15"/>
        </w:rPr>
        <w:t xml:space="preserve"> </w:t>
      </w:r>
      <w:r w:rsidRPr="00EB2BD8">
        <w:rPr>
          <w:rFonts w:ascii="Arial"/>
          <w:i/>
          <w:sz w:val="15"/>
        </w:rPr>
        <w:t>continued</w:t>
      </w:r>
      <w:r w:rsidRPr="00EB2BD8">
        <w:rPr>
          <w:rFonts w:ascii="Arial"/>
          <w:i/>
          <w:spacing w:val="-4"/>
          <w:sz w:val="15"/>
        </w:rPr>
        <w:t xml:space="preserve"> </w:t>
      </w:r>
      <w:r w:rsidRPr="00EB2BD8">
        <w:rPr>
          <w:rFonts w:ascii="Arial"/>
          <w:i/>
          <w:sz w:val="15"/>
        </w:rPr>
        <w:t>in</w:t>
      </w:r>
      <w:r w:rsidRPr="00EB2BD8">
        <w:rPr>
          <w:rFonts w:ascii="Arial"/>
          <w:i/>
          <w:spacing w:val="-4"/>
          <w:sz w:val="15"/>
        </w:rPr>
        <w:t xml:space="preserve"> </w:t>
      </w:r>
      <w:r w:rsidRPr="00EB2BD8">
        <w:rPr>
          <w:rFonts w:ascii="Arial"/>
          <w:i/>
          <w:sz w:val="15"/>
        </w:rPr>
        <w:t>this</w:t>
      </w:r>
      <w:r w:rsidRPr="00EB2BD8">
        <w:rPr>
          <w:rFonts w:ascii="Arial"/>
          <w:i/>
          <w:spacing w:val="-3"/>
          <w:sz w:val="15"/>
        </w:rPr>
        <w:t xml:space="preserve"> </w:t>
      </w:r>
      <w:r w:rsidRPr="00EB2BD8">
        <w:rPr>
          <w:rFonts w:ascii="Arial"/>
          <w:i/>
          <w:sz w:val="15"/>
        </w:rPr>
        <w:t>role</w:t>
      </w:r>
      <w:r w:rsidRPr="00EB2BD8">
        <w:rPr>
          <w:rFonts w:ascii="Arial"/>
          <w:i/>
          <w:spacing w:val="-4"/>
          <w:sz w:val="15"/>
        </w:rPr>
        <w:t xml:space="preserve"> </w:t>
      </w:r>
      <w:r w:rsidRPr="00EB2BD8">
        <w:rPr>
          <w:rFonts w:ascii="Arial"/>
          <w:i/>
          <w:sz w:val="15"/>
        </w:rPr>
        <w:t>following</w:t>
      </w:r>
      <w:r w:rsidRPr="00EB2BD8">
        <w:rPr>
          <w:rFonts w:ascii="Arial"/>
          <w:i/>
          <w:spacing w:val="-4"/>
          <w:sz w:val="15"/>
        </w:rPr>
        <w:t xml:space="preserve"> </w:t>
      </w:r>
      <w:r w:rsidRPr="00EB2BD8">
        <w:rPr>
          <w:rFonts w:ascii="Arial"/>
          <w:i/>
          <w:sz w:val="15"/>
        </w:rPr>
        <w:t>the resignation of Sue Eddy on the 14 May 2023, until 2 July 2023.</w:t>
      </w:r>
    </w:p>
    <w:p w14:paraId="28FCEFD4" w14:textId="77777777" w:rsidR="00084F36" w:rsidRPr="00EB2BD8" w:rsidRDefault="00EB2BD8">
      <w:pPr>
        <w:pStyle w:val="ListParagraph"/>
        <w:numPr>
          <w:ilvl w:val="0"/>
          <w:numId w:val="27"/>
        </w:numPr>
        <w:tabs>
          <w:tab w:val="left" w:pos="1323"/>
          <w:tab w:val="left" w:pos="1326"/>
        </w:tabs>
        <w:spacing w:before="57" w:line="276" w:lineRule="auto"/>
        <w:ind w:right="2329"/>
        <w:rPr>
          <w:rFonts w:ascii="Arial"/>
          <w:i/>
          <w:sz w:val="15"/>
        </w:rPr>
      </w:pPr>
      <w:r w:rsidRPr="00EB2BD8">
        <w:rPr>
          <w:rFonts w:ascii="Arial"/>
          <w:i/>
          <w:sz w:val="15"/>
        </w:rPr>
        <w:t>Anna</w:t>
      </w:r>
      <w:r w:rsidRPr="00EB2BD8">
        <w:rPr>
          <w:rFonts w:ascii="Arial"/>
          <w:i/>
          <w:spacing w:val="-4"/>
          <w:sz w:val="15"/>
        </w:rPr>
        <w:t xml:space="preserve"> </w:t>
      </w:r>
      <w:r w:rsidRPr="00EB2BD8">
        <w:rPr>
          <w:rFonts w:ascii="Arial"/>
          <w:i/>
          <w:sz w:val="15"/>
        </w:rPr>
        <w:t>Cronin</w:t>
      </w:r>
      <w:r w:rsidRPr="00EB2BD8">
        <w:rPr>
          <w:rFonts w:ascii="Arial"/>
          <w:i/>
          <w:spacing w:val="-2"/>
          <w:sz w:val="15"/>
        </w:rPr>
        <w:t xml:space="preserve"> </w:t>
      </w:r>
      <w:r w:rsidRPr="00EB2BD8">
        <w:rPr>
          <w:rFonts w:ascii="Arial"/>
          <w:i/>
          <w:sz w:val="15"/>
        </w:rPr>
        <w:t>was</w:t>
      </w:r>
      <w:r w:rsidRPr="00EB2BD8">
        <w:rPr>
          <w:rFonts w:ascii="Arial"/>
          <w:i/>
          <w:spacing w:val="-3"/>
          <w:sz w:val="15"/>
        </w:rPr>
        <w:t xml:space="preserve"> </w:t>
      </w:r>
      <w:r w:rsidRPr="00EB2BD8">
        <w:rPr>
          <w:rFonts w:ascii="Arial"/>
          <w:i/>
          <w:sz w:val="15"/>
        </w:rPr>
        <w:t>appointed</w:t>
      </w:r>
      <w:r w:rsidRPr="00EB2BD8">
        <w:rPr>
          <w:rFonts w:ascii="Arial"/>
          <w:i/>
          <w:spacing w:val="-4"/>
          <w:sz w:val="15"/>
        </w:rPr>
        <w:t xml:space="preserve"> </w:t>
      </w:r>
      <w:r w:rsidRPr="00EB2BD8">
        <w:rPr>
          <w:rFonts w:ascii="Arial"/>
          <w:i/>
          <w:sz w:val="15"/>
        </w:rPr>
        <w:t>as</w:t>
      </w:r>
      <w:r w:rsidRPr="00EB2BD8">
        <w:rPr>
          <w:rFonts w:ascii="Arial"/>
          <w:i/>
          <w:spacing w:val="-3"/>
          <w:sz w:val="15"/>
        </w:rPr>
        <w:t xml:space="preserve"> </w:t>
      </w:r>
      <w:r w:rsidRPr="00EB2BD8">
        <w:rPr>
          <w:rFonts w:ascii="Arial"/>
          <w:i/>
          <w:sz w:val="15"/>
        </w:rPr>
        <w:t>CEO</w:t>
      </w:r>
      <w:r w:rsidRPr="00EB2BD8">
        <w:rPr>
          <w:rFonts w:ascii="Arial"/>
          <w:i/>
          <w:spacing w:val="-4"/>
          <w:sz w:val="15"/>
        </w:rPr>
        <w:t xml:space="preserve"> </w:t>
      </w:r>
      <w:r w:rsidRPr="00EB2BD8">
        <w:rPr>
          <w:rFonts w:ascii="Arial"/>
          <w:i/>
          <w:sz w:val="15"/>
        </w:rPr>
        <w:t>and</w:t>
      </w:r>
      <w:r w:rsidRPr="00EB2BD8">
        <w:rPr>
          <w:rFonts w:ascii="Arial"/>
          <w:i/>
          <w:spacing w:val="-4"/>
          <w:sz w:val="15"/>
        </w:rPr>
        <w:t xml:space="preserve"> </w:t>
      </w:r>
      <w:r w:rsidRPr="00EB2BD8">
        <w:rPr>
          <w:rFonts w:ascii="Arial"/>
          <w:i/>
          <w:sz w:val="15"/>
        </w:rPr>
        <w:t>Accountable</w:t>
      </w:r>
      <w:r w:rsidRPr="00EB2BD8">
        <w:rPr>
          <w:rFonts w:ascii="Arial"/>
          <w:i/>
          <w:spacing w:val="-4"/>
          <w:sz w:val="15"/>
        </w:rPr>
        <w:t xml:space="preserve"> </w:t>
      </w:r>
      <w:r w:rsidRPr="00EB2BD8">
        <w:rPr>
          <w:rFonts w:ascii="Arial"/>
          <w:i/>
          <w:sz w:val="15"/>
        </w:rPr>
        <w:t>Officer</w:t>
      </w:r>
      <w:r w:rsidRPr="00EB2BD8">
        <w:rPr>
          <w:rFonts w:ascii="Arial"/>
          <w:i/>
          <w:spacing w:val="-3"/>
          <w:sz w:val="15"/>
        </w:rPr>
        <w:t xml:space="preserve"> </w:t>
      </w:r>
      <w:r w:rsidRPr="00EB2BD8">
        <w:rPr>
          <w:rFonts w:ascii="Arial"/>
          <w:i/>
          <w:sz w:val="15"/>
        </w:rPr>
        <w:t>on</w:t>
      </w:r>
      <w:r w:rsidRPr="00EB2BD8">
        <w:rPr>
          <w:rFonts w:ascii="Arial"/>
          <w:i/>
          <w:spacing w:val="-4"/>
          <w:sz w:val="15"/>
        </w:rPr>
        <w:t xml:space="preserve"> </w:t>
      </w:r>
      <w:r w:rsidRPr="00EB2BD8">
        <w:rPr>
          <w:rFonts w:ascii="Arial"/>
          <w:i/>
          <w:sz w:val="15"/>
        </w:rPr>
        <w:t>14</w:t>
      </w:r>
      <w:r w:rsidRPr="00EB2BD8">
        <w:rPr>
          <w:rFonts w:ascii="Arial"/>
          <w:i/>
          <w:spacing w:val="-3"/>
          <w:sz w:val="15"/>
        </w:rPr>
        <w:t xml:space="preserve"> </w:t>
      </w:r>
      <w:r w:rsidRPr="00EB2BD8">
        <w:rPr>
          <w:rFonts w:ascii="Arial"/>
          <w:i/>
          <w:sz w:val="15"/>
        </w:rPr>
        <w:t>June</w:t>
      </w:r>
      <w:r w:rsidRPr="00EB2BD8">
        <w:rPr>
          <w:rFonts w:ascii="Arial"/>
          <w:i/>
          <w:spacing w:val="-4"/>
          <w:sz w:val="15"/>
        </w:rPr>
        <w:t xml:space="preserve"> </w:t>
      </w:r>
      <w:r w:rsidRPr="00EB2BD8">
        <w:rPr>
          <w:rFonts w:ascii="Arial"/>
          <w:i/>
          <w:sz w:val="15"/>
        </w:rPr>
        <w:t>2023</w:t>
      </w:r>
      <w:r w:rsidRPr="00EB2BD8">
        <w:rPr>
          <w:rFonts w:ascii="Arial"/>
          <w:i/>
          <w:spacing w:val="-4"/>
          <w:sz w:val="15"/>
        </w:rPr>
        <w:t xml:space="preserve"> </w:t>
      </w:r>
      <w:r w:rsidRPr="00EB2BD8">
        <w:rPr>
          <w:rFonts w:ascii="Arial"/>
          <w:i/>
          <w:sz w:val="15"/>
        </w:rPr>
        <w:t>but</w:t>
      </w:r>
      <w:r w:rsidRPr="00EB2BD8">
        <w:rPr>
          <w:rFonts w:ascii="Arial"/>
          <w:i/>
          <w:spacing w:val="-4"/>
          <w:sz w:val="15"/>
        </w:rPr>
        <w:t xml:space="preserve"> </w:t>
      </w:r>
      <w:r w:rsidRPr="00EB2BD8">
        <w:rPr>
          <w:rFonts w:ascii="Arial"/>
          <w:i/>
          <w:sz w:val="15"/>
        </w:rPr>
        <w:t>did</w:t>
      </w:r>
      <w:r w:rsidRPr="00EB2BD8">
        <w:rPr>
          <w:rFonts w:ascii="Arial"/>
          <w:i/>
          <w:spacing w:val="-4"/>
          <w:sz w:val="15"/>
        </w:rPr>
        <w:t xml:space="preserve"> </w:t>
      </w:r>
      <w:r w:rsidRPr="00EB2BD8">
        <w:rPr>
          <w:rFonts w:ascii="Arial"/>
          <w:i/>
          <w:sz w:val="15"/>
        </w:rPr>
        <w:t>not</w:t>
      </w:r>
      <w:r w:rsidRPr="00EB2BD8">
        <w:rPr>
          <w:rFonts w:ascii="Arial"/>
          <w:i/>
          <w:spacing w:val="-4"/>
          <w:sz w:val="15"/>
        </w:rPr>
        <w:t xml:space="preserve"> </w:t>
      </w:r>
      <w:r w:rsidRPr="00EB2BD8">
        <w:rPr>
          <w:rFonts w:ascii="Arial"/>
          <w:i/>
          <w:sz w:val="15"/>
        </w:rPr>
        <w:t>commence</w:t>
      </w:r>
      <w:r w:rsidRPr="00EB2BD8">
        <w:rPr>
          <w:rFonts w:ascii="Arial"/>
          <w:i/>
          <w:spacing w:val="-3"/>
          <w:sz w:val="15"/>
        </w:rPr>
        <w:t xml:space="preserve"> </w:t>
      </w:r>
      <w:r w:rsidRPr="00EB2BD8">
        <w:rPr>
          <w:rFonts w:ascii="Arial"/>
          <w:i/>
          <w:sz w:val="15"/>
        </w:rPr>
        <w:t>her</w:t>
      </w:r>
      <w:r w:rsidRPr="00EB2BD8">
        <w:rPr>
          <w:rFonts w:ascii="Arial"/>
          <w:i/>
          <w:spacing w:val="-4"/>
          <w:sz w:val="15"/>
        </w:rPr>
        <w:t xml:space="preserve"> </w:t>
      </w:r>
      <w:r w:rsidRPr="00EB2BD8">
        <w:rPr>
          <w:rFonts w:ascii="Arial"/>
          <w:i/>
          <w:sz w:val="15"/>
        </w:rPr>
        <w:t>duties</w:t>
      </w:r>
      <w:r w:rsidRPr="00EB2BD8">
        <w:rPr>
          <w:rFonts w:ascii="Arial"/>
          <w:i/>
          <w:spacing w:val="-3"/>
          <w:sz w:val="15"/>
        </w:rPr>
        <w:t xml:space="preserve"> </w:t>
      </w:r>
      <w:r w:rsidRPr="00EB2BD8">
        <w:rPr>
          <w:rFonts w:ascii="Arial"/>
          <w:i/>
          <w:sz w:val="15"/>
        </w:rPr>
        <w:t>as</w:t>
      </w:r>
      <w:r w:rsidRPr="00EB2BD8">
        <w:rPr>
          <w:rFonts w:ascii="Arial"/>
          <w:i/>
          <w:spacing w:val="-3"/>
          <w:sz w:val="15"/>
        </w:rPr>
        <w:t xml:space="preserve"> </w:t>
      </w:r>
      <w:r w:rsidRPr="00EB2BD8">
        <w:rPr>
          <w:rFonts w:ascii="Arial"/>
          <w:i/>
          <w:sz w:val="15"/>
        </w:rPr>
        <w:t>CEO</w:t>
      </w:r>
      <w:r w:rsidRPr="00EB2BD8">
        <w:rPr>
          <w:rFonts w:ascii="Arial"/>
          <w:i/>
          <w:spacing w:val="-4"/>
          <w:sz w:val="15"/>
        </w:rPr>
        <w:t xml:space="preserve"> </w:t>
      </w:r>
      <w:r w:rsidRPr="00EB2BD8">
        <w:rPr>
          <w:rFonts w:ascii="Arial"/>
          <w:i/>
          <w:sz w:val="15"/>
        </w:rPr>
        <w:t>and Accountable Officer until 3 July 2023.</w:t>
      </w:r>
    </w:p>
    <w:p w14:paraId="0A8957EF" w14:textId="77777777" w:rsidR="00084F36" w:rsidRPr="00EB2BD8" w:rsidRDefault="00084F36">
      <w:pPr>
        <w:pStyle w:val="BodyText"/>
        <w:rPr>
          <w:rFonts w:ascii="Arial"/>
          <w:i/>
          <w:sz w:val="20"/>
        </w:rPr>
      </w:pPr>
    </w:p>
    <w:p w14:paraId="51FF1CFA" w14:textId="77777777" w:rsidR="00084F36" w:rsidRPr="00EB2BD8" w:rsidRDefault="00084F36">
      <w:pPr>
        <w:pStyle w:val="BodyText"/>
        <w:spacing w:before="11"/>
        <w:rPr>
          <w:rFonts w:ascii="Arial"/>
          <w:i/>
          <w:sz w:val="21"/>
        </w:rPr>
      </w:pPr>
    </w:p>
    <w:p w14:paraId="122C26B9" w14:textId="77777777" w:rsidR="00084F36" w:rsidRPr="00EB2BD8" w:rsidRDefault="00084F36">
      <w:pPr>
        <w:jc w:val="right"/>
        <w:rPr>
          <w:sz w:val="16"/>
        </w:rPr>
        <w:sectPr w:rsidR="00084F36" w:rsidRPr="00EB2BD8" w:rsidSect="006D75B2">
          <w:headerReference w:type="default" r:id="rId361"/>
          <w:footerReference w:type="default" r:id="rId362"/>
          <w:pgSz w:w="11910" w:h="16840"/>
          <w:pgMar w:top="760" w:right="0" w:bottom="280" w:left="0" w:header="0" w:footer="0" w:gutter="0"/>
          <w:cols w:space="720"/>
        </w:sectPr>
      </w:pPr>
    </w:p>
    <w:p w14:paraId="31DAC320" w14:textId="77777777" w:rsidR="00084F36" w:rsidRPr="00EB2BD8" w:rsidRDefault="00084F36">
      <w:pPr>
        <w:pStyle w:val="BodyText"/>
        <w:rPr>
          <w:sz w:val="20"/>
        </w:rPr>
      </w:pPr>
    </w:p>
    <w:p w14:paraId="3320911B" w14:textId="77777777" w:rsidR="00084F36" w:rsidRPr="00EB2BD8" w:rsidRDefault="00084F36">
      <w:pPr>
        <w:pStyle w:val="BodyText"/>
        <w:rPr>
          <w:sz w:val="20"/>
        </w:rPr>
      </w:pPr>
    </w:p>
    <w:p w14:paraId="036B981F" w14:textId="77777777" w:rsidR="00084F36" w:rsidRPr="00EB2BD8" w:rsidRDefault="00084F36">
      <w:pPr>
        <w:pStyle w:val="BodyText"/>
        <w:rPr>
          <w:sz w:val="20"/>
        </w:rPr>
      </w:pPr>
    </w:p>
    <w:p w14:paraId="51B79289" w14:textId="77777777" w:rsidR="00084F36" w:rsidRPr="00EB2BD8" w:rsidRDefault="00084F36">
      <w:pPr>
        <w:pStyle w:val="BodyText"/>
        <w:spacing w:before="7"/>
        <w:rPr>
          <w:sz w:val="16"/>
        </w:rPr>
      </w:pPr>
    </w:p>
    <w:p w14:paraId="0A7D713B" w14:textId="2048F930" w:rsidR="00084F36" w:rsidRPr="00EB2BD8" w:rsidRDefault="00EB2BD8" w:rsidP="00601677">
      <w:pPr>
        <w:pStyle w:val="Heading2"/>
        <w:ind w:firstLine="185"/>
      </w:pPr>
      <w:bookmarkStart w:id="366" w:name="_Toc150762668"/>
      <w:r w:rsidRPr="00EB2BD8">
        <w:t>Remuneration</w:t>
      </w:r>
      <w:r w:rsidRPr="00EB2BD8">
        <w:rPr>
          <w:spacing w:val="18"/>
        </w:rPr>
        <w:t xml:space="preserve"> </w:t>
      </w:r>
      <w:r w:rsidRPr="00EB2BD8">
        <w:t>of</w:t>
      </w:r>
      <w:r w:rsidRPr="00EB2BD8">
        <w:rPr>
          <w:spacing w:val="18"/>
        </w:rPr>
        <w:t xml:space="preserve"> </w:t>
      </w:r>
      <w:r w:rsidRPr="00EB2BD8">
        <w:t>Responsible</w:t>
      </w:r>
      <w:r w:rsidRPr="00EB2BD8">
        <w:rPr>
          <w:spacing w:val="19"/>
        </w:rPr>
        <w:t xml:space="preserve"> </w:t>
      </w:r>
      <w:r w:rsidRPr="00EB2BD8">
        <w:rPr>
          <w:spacing w:val="-2"/>
        </w:rPr>
        <w:t>Persons</w:t>
      </w:r>
      <w:bookmarkEnd w:id="366"/>
    </w:p>
    <w:p w14:paraId="096DA7A6" w14:textId="77777777" w:rsidR="00084F36" w:rsidRPr="00EB2BD8" w:rsidRDefault="00EB2BD8">
      <w:pPr>
        <w:spacing w:before="157" w:line="290" w:lineRule="auto"/>
        <w:ind w:left="1035" w:right="2121"/>
        <w:rPr>
          <w:rFonts w:ascii="Arial"/>
          <w:sz w:val="16"/>
        </w:rPr>
      </w:pPr>
      <w:r w:rsidRPr="00EB2BD8">
        <w:rPr>
          <w:rFonts w:ascii="Arial"/>
          <w:w w:val="105"/>
          <w:sz w:val="16"/>
        </w:rPr>
        <w:t>The Responsible Persons received remuneration for the financial year ended 30 June 2023. The number of Responsible</w:t>
      </w:r>
      <w:r w:rsidRPr="00EB2BD8">
        <w:rPr>
          <w:rFonts w:ascii="Arial"/>
          <w:spacing w:val="-4"/>
          <w:w w:val="105"/>
          <w:sz w:val="16"/>
        </w:rPr>
        <w:t xml:space="preserve"> </w:t>
      </w:r>
      <w:r w:rsidRPr="00EB2BD8">
        <w:rPr>
          <w:rFonts w:ascii="Arial"/>
          <w:w w:val="105"/>
          <w:sz w:val="16"/>
        </w:rPr>
        <w:t>Persons,</w:t>
      </w:r>
      <w:r w:rsidRPr="00EB2BD8">
        <w:rPr>
          <w:rFonts w:ascii="Arial"/>
          <w:spacing w:val="-3"/>
          <w:w w:val="105"/>
          <w:sz w:val="16"/>
        </w:rPr>
        <w:t xml:space="preserve"> </w:t>
      </w:r>
      <w:r w:rsidRPr="00EB2BD8">
        <w:rPr>
          <w:rFonts w:ascii="Arial"/>
          <w:w w:val="105"/>
          <w:sz w:val="16"/>
        </w:rPr>
        <w:t>excluding</w:t>
      </w:r>
      <w:r w:rsidRPr="00EB2BD8">
        <w:rPr>
          <w:rFonts w:ascii="Arial"/>
          <w:spacing w:val="-4"/>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Minister,</w:t>
      </w:r>
      <w:r w:rsidRPr="00EB2BD8">
        <w:rPr>
          <w:rFonts w:ascii="Arial"/>
          <w:spacing w:val="-3"/>
          <w:w w:val="105"/>
          <w:sz w:val="16"/>
        </w:rPr>
        <w:t xml:space="preserve"> </w:t>
      </w:r>
      <w:r w:rsidRPr="00EB2BD8">
        <w:rPr>
          <w:rFonts w:ascii="Arial"/>
          <w:w w:val="105"/>
          <w:sz w:val="16"/>
        </w:rPr>
        <w:t>whose</w:t>
      </w:r>
      <w:r w:rsidRPr="00EB2BD8">
        <w:rPr>
          <w:rFonts w:ascii="Arial"/>
          <w:spacing w:val="-3"/>
          <w:w w:val="105"/>
          <w:sz w:val="16"/>
        </w:rPr>
        <w:t xml:space="preserve"> </w:t>
      </w:r>
      <w:r w:rsidRPr="00EB2BD8">
        <w:rPr>
          <w:rFonts w:ascii="Arial"/>
          <w:w w:val="105"/>
          <w:sz w:val="16"/>
        </w:rPr>
        <w:t>total</w:t>
      </w:r>
      <w:r w:rsidRPr="00EB2BD8">
        <w:rPr>
          <w:rFonts w:ascii="Arial"/>
          <w:spacing w:val="-3"/>
          <w:w w:val="105"/>
          <w:sz w:val="16"/>
        </w:rPr>
        <w:t xml:space="preserve"> </w:t>
      </w:r>
      <w:r w:rsidRPr="00EB2BD8">
        <w:rPr>
          <w:rFonts w:ascii="Arial"/>
          <w:w w:val="105"/>
          <w:sz w:val="16"/>
        </w:rPr>
        <w:t>remuneration</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connection</w:t>
      </w:r>
      <w:r w:rsidRPr="00EB2BD8">
        <w:rPr>
          <w:rFonts w:ascii="Arial"/>
          <w:spacing w:val="-3"/>
          <w:w w:val="105"/>
          <w:sz w:val="16"/>
        </w:rPr>
        <w:t xml:space="preserve"> </w:t>
      </w:r>
      <w:r w:rsidRPr="00EB2BD8">
        <w:rPr>
          <w:rFonts w:ascii="Arial"/>
          <w:w w:val="105"/>
          <w:sz w:val="16"/>
        </w:rPr>
        <w:t>with</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affairs</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VBA</w:t>
      </w:r>
      <w:r w:rsidRPr="00EB2BD8">
        <w:rPr>
          <w:rFonts w:ascii="Arial"/>
          <w:spacing w:val="-3"/>
          <w:w w:val="105"/>
          <w:sz w:val="16"/>
        </w:rPr>
        <w:t xml:space="preserve"> </w:t>
      </w:r>
      <w:r w:rsidRPr="00EB2BD8">
        <w:rPr>
          <w:rFonts w:ascii="Arial"/>
          <w:w w:val="105"/>
          <w:sz w:val="16"/>
        </w:rPr>
        <w:t>as shown in the following bands, were:</w:t>
      </w:r>
    </w:p>
    <w:p w14:paraId="4EC53C28" w14:textId="77777777" w:rsidR="00084F36" w:rsidRPr="00EB2BD8" w:rsidRDefault="00084F36">
      <w:pPr>
        <w:pStyle w:val="BodyText"/>
        <w:spacing w:before="7"/>
        <w:rPr>
          <w:rFonts w:ascii="Arial"/>
          <w:sz w:val="17"/>
        </w:rPr>
      </w:pPr>
    </w:p>
    <w:tbl>
      <w:tblPr>
        <w:tblW w:w="0" w:type="auto"/>
        <w:tblInd w:w="1038" w:type="dxa"/>
        <w:tblLayout w:type="fixed"/>
        <w:tblCellMar>
          <w:left w:w="0" w:type="dxa"/>
          <w:right w:w="0" w:type="dxa"/>
        </w:tblCellMar>
        <w:tblLook w:val="01E0" w:firstRow="1" w:lastRow="1" w:firstColumn="1" w:lastColumn="1" w:noHBand="0" w:noVBand="0"/>
      </w:tblPr>
      <w:tblGrid>
        <w:gridCol w:w="6477"/>
        <w:gridCol w:w="1083"/>
        <w:gridCol w:w="1083"/>
      </w:tblGrid>
      <w:tr w:rsidR="00EB2BD8" w:rsidRPr="00EB2BD8" w14:paraId="247CBE90" w14:textId="77777777">
        <w:trPr>
          <w:trHeight w:val="334"/>
        </w:trPr>
        <w:tc>
          <w:tcPr>
            <w:tcW w:w="7560" w:type="dxa"/>
            <w:gridSpan w:val="2"/>
            <w:tcBorders>
              <w:top w:val="single" w:sz="4" w:space="0" w:color="0098FF"/>
              <w:bottom w:val="single" w:sz="4" w:space="0" w:color="0098FF"/>
            </w:tcBorders>
            <w:shd w:val="clear" w:color="auto" w:fill="0070C0"/>
          </w:tcPr>
          <w:p w14:paraId="7FA1B4DA" w14:textId="77777777" w:rsidR="00084F36" w:rsidRPr="00EB2BD8" w:rsidRDefault="00EB2BD8">
            <w:pPr>
              <w:pStyle w:val="TableParagraph"/>
              <w:spacing w:before="78"/>
              <w:ind w:right="95"/>
              <w:jc w:val="right"/>
              <w:rPr>
                <w:rFonts w:ascii="Arial"/>
                <w:b/>
                <w:sz w:val="16"/>
              </w:rPr>
            </w:pPr>
            <w:r w:rsidRPr="00EB2BD8">
              <w:rPr>
                <w:rFonts w:ascii="Arial"/>
                <w:b/>
                <w:spacing w:val="-4"/>
                <w:w w:val="105"/>
                <w:sz w:val="16"/>
              </w:rPr>
              <w:t>2023</w:t>
            </w:r>
          </w:p>
        </w:tc>
        <w:tc>
          <w:tcPr>
            <w:tcW w:w="1083" w:type="dxa"/>
            <w:tcBorders>
              <w:top w:val="single" w:sz="4" w:space="0" w:color="0098FF"/>
              <w:bottom w:val="single" w:sz="4" w:space="0" w:color="0098FF"/>
              <w:right w:val="single" w:sz="4" w:space="0" w:color="0098FF"/>
            </w:tcBorders>
            <w:shd w:val="clear" w:color="auto" w:fill="0070C0"/>
          </w:tcPr>
          <w:p w14:paraId="79A405BB" w14:textId="77777777" w:rsidR="00084F36" w:rsidRPr="00EB2BD8" w:rsidRDefault="00EB2BD8">
            <w:pPr>
              <w:pStyle w:val="TableParagraph"/>
              <w:spacing w:before="78"/>
              <w:ind w:right="90"/>
              <w:jc w:val="right"/>
              <w:rPr>
                <w:rFonts w:ascii="Arial"/>
                <w:b/>
                <w:sz w:val="16"/>
              </w:rPr>
            </w:pPr>
            <w:r w:rsidRPr="00EB2BD8">
              <w:rPr>
                <w:rFonts w:ascii="Arial"/>
                <w:b/>
                <w:spacing w:val="-4"/>
                <w:w w:val="105"/>
                <w:sz w:val="16"/>
              </w:rPr>
              <w:t>2022</w:t>
            </w:r>
          </w:p>
        </w:tc>
      </w:tr>
      <w:tr w:rsidR="00EB2BD8" w:rsidRPr="00EB2BD8" w14:paraId="67E76671" w14:textId="77777777">
        <w:trPr>
          <w:trHeight w:val="312"/>
        </w:trPr>
        <w:tc>
          <w:tcPr>
            <w:tcW w:w="6477" w:type="dxa"/>
            <w:tcBorders>
              <w:top w:val="single" w:sz="4" w:space="0" w:color="0098FF"/>
            </w:tcBorders>
            <w:shd w:val="clear" w:color="auto" w:fill="FFFFFF"/>
          </w:tcPr>
          <w:p w14:paraId="60A755E1" w14:textId="77777777" w:rsidR="00084F36" w:rsidRPr="00EB2BD8" w:rsidRDefault="00EB2BD8">
            <w:pPr>
              <w:pStyle w:val="TableParagraph"/>
              <w:spacing w:before="64"/>
              <w:ind w:left="105"/>
              <w:rPr>
                <w:rFonts w:ascii="Arial"/>
                <w:b/>
                <w:sz w:val="16"/>
              </w:rPr>
            </w:pPr>
            <w:r w:rsidRPr="00EB2BD8">
              <w:rPr>
                <w:rFonts w:ascii="Arial"/>
                <w:b/>
                <w:w w:val="105"/>
                <w:sz w:val="16"/>
              </w:rPr>
              <w:t>Income</w:t>
            </w:r>
            <w:r w:rsidRPr="00EB2BD8">
              <w:rPr>
                <w:rFonts w:ascii="Arial"/>
                <w:b/>
                <w:spacing w:val="-7"/>
                <w:w w:val="105"/>
                <w:sz w:val="16"/>
              </w:rPr>
              <w:t xml:space="preserve"> </w:t>
            </w:r>
            <w:r w:rsidRPr="00EB2BD8">
              <w:rPr>
                <w:rFonts w:ascii="Arial"/>
                <w:b/>
                <w:w w:val="105"/>
                <w:sz w:val="16"/>
              </w:rPr>
              <w:t>band</w:t>
            </w:r>
            <w:r w:rsidRPr="00EB2BD8">
              <w:rPr>
                <w:rFonts w:ascii="Arial"/>
                <w:b/>
                <w:spacing w:val="-5"/>
                <w:w w:val="105"/>
                <w:sz w:val="16"/>
              </w:rPr>
              <w:t xml:space="preserve"> ($)</w:t>
            </w:r>
          </w:p>
        </w:tc>
        <w:tc>
          <w:tcPr>
            <w:tcW w:w="1083" w:type="dxa"/>
            <w:tcBorders>
              <w:top w:val="single" w:sz="4" w:space="0" w:color="0098FF"/>
            </w:tcBorders>
            <w:shd w:val="clear" w:color="auto" w:fill="DEEAF6"/>
          </w:tcPr>
          <w:p w14:paraId="0E968217" w14:textId="77777777" w:rsidR="00084F36" w:rsidRPr="00EB2BD8" w:rsidRDefault="00EB2BD8">
            <w:pPr>
              <w:pStyle w:val="TableParagraph"/>
              <w:spacing w:before="64"/>
              <w:ind w:right="93"/>
              <w:jc w:val="right"/>
              <w:rPr>
                <w:rFonts w:ascii="Arial"/>
                <w:b/>
                <w:sz w:val="16"/>
              </w:rPr>
            </w:pPr>
            <w:r w:rsidRPr="00EB2BD8">
              <w:rPr>
                <w:rFonts w:ascii="Arial"/>
                <w:b/>
                <w:spacing w:val="-5"/>
                <w:w w:val="105"/>
                <w:sz w:val="16"/>
              </w:rPr>
              <w:t>no.</w:t>
            </w:r>
          </w:p>
        </w:tc>
        <w:tc>
          <w:tcPr>
            <w:tcW w:w="1083" w:type="dxa"/>
            <w:tcBorders>
              <w:top w:val="single" w:sz="4" w:space="0" w:color="0098FF"/>
            </w:tcBorders>
            <w:shd w:val="clear" w:color="auto" w:fill="FFFFFF"/>
          </w:tcPr>
          <w:p w14:paraId="3F096EAB" w14:textId="77777777" w:rsidR="00084F36" w:rsidRPr="00EB2BD8" w:rsidRDefault="00EB2BD8">
            <w:pPr>
              <w:pStyle w:val="TableParagraph"/>
              <w:spacing w:before="64"/>
              <w:ind w:right="93"/>
              <w:jc w:val="right"/>
              <w:rPr>
                <w:rFonts w:ascii="Arial"/>
                <w:b/>
                <w:sz w:val="16"/>
              </w:rPr>
            </w:pPr>
            <w:r w:rsidRPr="00EB2BD8">
              <w:rPr>
                <w:rFonts w:ascii="Arial"/>
                <w:b/>
                <w:spacing w:val="-5"/>
                <w:w w:val="105"/>
                <w:sz w:val="16"/>
              </w:rPr>
              <w:t>no.</w:t>
            </w:r>
          </w:p>
        </w:tc>
      </w:tr>
      <w:tr w:rsidR="00EB2BD8" w:rsidRPr="00EB2BD8" w14:paraId="5247D8AC" w14:textId="77777777">
        <w:trPr>
          <w:trHeight w:val="314"/>
        </w:trPr>
        <w:tc>
          <w:tcPr>
            <w:tcW w:w="6477" w:type="dxa"/>
            <w:shd w:val="clear" w:color="auto" w:fill="FFFFFF"/>
          </w:tcPr>
          <w:p w14:paraId="3351F277" w14:textId="77777777" w:rsidR="00084F36" w:rsidRPr="00EB2BD8" w:rsidRDefault="00EB2BD8">
            <w:pPr>
              <w:pStyle w:val="TableParagraph"/>
              <w:spacing w:before="64"/>
              <w:ind w:left="105"/>
              <w:rPr>
                <w:rFonts w:ascii="Arial" w:hAnsi="Arial"/>
                <w:sz w:val="16"/>
              </w:rPr>
            </w:pPr>
            <w:r w:rsidRPr="00EB2BD8">
              <w:rPr>
                <w:rFonts w:ascii="Arial" w:hAnsi="Arial"/>
                <w:w w:val="105"/>
                <w:sz w:val="16"/>
              </w:rPr>
              <w:t>0,000</w:t>
            </w:r>
            <w:r w:rsidRPr="00EB2BD8">
              <w:rPr>
                <w:rFonts w:ascii="Arial" w:hAnsi="Arial"/>
                <w:spacing w:val="-5"/>
                <w:w w:val="105"/>
                <w:sz w:val="16"/>
              </w:rPr>
              <w:t xml:space="preserve"> </w:t>
            </w:r>
            <w:r w:rsidRPr="00EB2BD8">
              <w:rPr>
                <w:rFonts w:ascii="Arial" w:hAnsi="Arial"/>
                <w:w w:val="105"/>
                <w:sz w:val="16"/>
              </w:rPr>
              <w:t>–</w:t>
            </w:r>
            <w:r w:rsidRPr="00EB2BD8">
              <w:rPr>
                <w:rFonts w:ascii="Arial" w:hAnsi="Arial"/>
                <w:spacing w:val="-3"/>
                <w:w w:val="105"/>
                <w:sz w:val="16"/>
              </w:rPr>
              <w:t xml:space="preserve"> </w:t>
            </w:r>
            <w:r w:rsidRPr="00EB2BD8">
              <w:rPr>
                <w:rFonts w:ascii="Arial" w:hAnsi="Arial"/>
                <w:spacing w:val="-2"/>
                <w:w w:val="105"/>
                <w:sz w:val="16"/>
              </w:rPr>
              <w:t>9,999</w:t>
            </w:r>
          </w:p>
        </w:tc>
        <w:tc>
          <w:tcPr>
            <w:tcW w:w="1083" w:type="dxa"/>
            <w:shd w:val="clear" w:color="auto" w:fill="DEEAF6"/>
          </w:tcPr>
          <w:p w14:paraId="69CF8AE8" w14:textId="77777777" w:rsidR="00084F36" w:rsidRPr="00EB2BD8" w:rsidRDefault="00EB2BD8">
            <w:pPr>
              <w:pStyle w:val="TableParagraph"/>
              <w:spacing w:before="64"/>
              <w:ind w:right="94"/>
              <w:jc w:val="right"/>
              <w:rPr>
                <w:rFonts w:ascii="Arial"/>
                <w:sz w:val="16"/>
              </w:rPr>
            </w:pPr>
            <w:r w:rsidRPr="00EB2BD8">
              <w:rPr>
                <w:rFonts w:ascii="Arial"/>
                <w:w w:val="104"/>
                <w:sz w:val="16"/>
              </w:rPr>
              <w:t>1</w:t>
            </w:r>
          </w:p>
        </w:tc>
        <w:tc>
          <w:tcPr>
            <w:tcW w:w="1083" w:type="dxa"/>
            <w:shd w:val="clear" w:color="auto" w:fill="FFFFFF"/>
          </w:tcPr>
          <w:p w14:paraId="5A10D1A7" w14:textId="77777777" w:rsidR="00084F36" w:rsidRPr="00EB2BD8" w:rsidRDefault="00EB2BD8">
            <w:pPr>
              <w:pStyle w:val="TableParagraph"/>
              <w:spacing w:before="64"/>
              <w:ind w:right="94"/>
              <w:jc w:val="right"/>
              <w:rPr>
                <w:rFonts w:ascii="Arial"/>
                <w:sz w:val="16"/>
              </w:rPr>
            </w:pPr>
            <w:r w:rsidRPr="00EB2BD8">
              <w:rPr>
                <w:rFonts w:ascii="Arial"/>
                <w:w w:val="104"/>
                <w:sz w:val="16"/>
              </w:rPr>
              <w:t>1</w:t>
            </w:r>
          </w:p>
        </w:tc>
      </w:tr>
      <w:tr w:rsidR="00EB2BD8" w:rsidRPr="00EB2BD8" w14:paraId="2D7FBDE3" w14:textId="77777777">
        <w:trPr>
          <w:trHeight w:val="317"/>
        </w:trPr>
        <w:tc>
          <w:tcPr>
            <w:tcW w:w="6477" w:type="dxa"/>
            <w:shd w:val="clear" w:color="auto" w:fill="FFFFFF"/>
          </w:tcPr>
          <w:p w14:paraId="295012A1" w14:textId="77777777" w:rsidR="00084F36" w:rsidRPr="00EB2BD8" w:rsidRDefault="00EB2BD8">
            <w:pPr>
              <w:pStyle w:val="TableParagraph"/>
              <w:spacing w:before="66"/>
              <w:ind w:left="105"/>
              <w:rPr>
                <w:rFonts w:ascii="Arial"/>
                <w:sz w:val="16"/>
              </w:rPr>
            </w:pPr>
            <w:r w:rsidRPr="00EB2BD8">
              <w:rPr>
                <w:rFonts w:ascii="Arial"/>
                <w:w w:val="105"/>
                <w:sz w:val="16"/>
              </w:rPr>
              <w:t>10,000</w:t>
            </w:r>
            <w:r w:rsidRPr="00EB2BD8">
              <w:rPr>
                <w:rFonts w:ascii="Arial"/>
                <w:spacing w:val="-5"/>
                <w:w w:val="105"/>
                <w:sz w:val="16"/>
              </w:rPr>
              <w:t xml:space="preserve"> </w:t>
            </w:r>
            <w:r w:rsidRPr="00EB2BD8">
              <w:rPr>
                <w:rFonts w:ascii="Arial"/>
                <w:w w:val="105"/>
                <w:sz w:val="16"/>
              </w:rPr>
              <w:t>-</w:t>
            </w:r>
            <w:r w:rsidRPr="00EB2BD8">
              <w:rPr>
                <w:rFonts w:ascii="Arial"/>
                <w:spacing w:val="-4"/>
                <w:w w:val="105"/>
                <w:sz w:val="16"/>
              </w:rPr>
              <w:t xml:space="preserve"> </w:t>
            </w:r>
            <w:r w:rsidRPr="00EB2BD8">
              <w:rPr>
                <w:rFonts w:ascii="Arial"/>
                <w:spacing w:val="-2"/>
                <w:w w:val="105"/>
                <w:sz w:val="16"/>
              </w:rPr>
              <w:t>19,999</w:t>
            </w:r>
          </w:p>
        </w:tc>
        <w:tc>
          <w:tcPr>
            <w:tcW w:w="1083" w:type="dxa"/>
            <w:shd w:val="clear" w:color="auto" w:fill="DEEAF6"/>
          </w:tcPr>
          <w:p w14:paraId="7FE783A6" w14:textId="77777777" w:rsidR="00084F36" w:rsidRPr="00EB2BD8" w:rsidRDefault="00EB2BD8">
            <w:pPr>
              <w:pStyle w:val="TableParagraph"/>
              <w:spacing w:before="66"/>
              <w:ind w:right="94"/>
              <w:jc w:val="right"/>
              <w:rPr>
                <w:rFonts w:ascii="Arial"/>
                <w:sz w:val="16"/>
              </w:rPr>
            </w:pPr>
            <w:r w:rsidRPr="00EB2BD8">
              <w:rPr>
                <w:rFonts w:ascii="Arial"/>
                <w:w w:val="104"/>
                <w:sz w:val="16"/>
              </w:rPr>
              <w:t>-</w:t>
            </w:r>
          </w:p>
        </w:tc>
        <w:tc>
          <w:tcPr>
            <w:tcW w:w="1083" w:type="dxa"/>
            <w:shd w:val="clear" w:color="auto" w:fill="FFFFFF"/>
          </w:tcPr>
          <w:p w14:paraId="6FB27D59" w14:textId="77777777" w:rsidR="00084F36" w:rsidRPr="00EB2BD8" w:rsidRDefault="00EB2BD8">
            <w:pPr>
              <w:pStyle w:val="TableParagraph"/>
              <w:spacing w:before="66"/>
              <w:ind w:right="94"/>
              <w:jc w:val="right"/>
              <w:rPr>
                <w:rFonts w:ascii="Arial"/>
                <w:sz w:val="16"/>
              </w:rPr>
            </w:pPr>
            <w:r w:rsidRPr="00EB2BD8">
              <w:rPr>
                <w:rFonts w:ascii="Arial"/>
                <w:w w:val="104"/>
                <w:sz w:val="16"/>
              </w:rPr>
              <w:t>2</w:t>
            </w:r>
          </w:p>
        </w:tc>
      </w:tr>
      <w:tr w:rsidR="00EB2BD8" w:rsidRPr="00EB2BD8" w14:paraId="2AC99AB5" w14:textId="77777777">
        <w:trPr>
          <w:trHeight w:val="317"/>
        </w:trPr>
        <w:tc>
          <w:tcPr>
            <w:tcW w:w="6477" w:type="dxa"/>
            <w:shd w:val="clear" w:color="auto" w:fill="FFFFFF"/>
          </w:tcPr>
          <w:p w14:paraId="18A47F5D" w14:textId="77777777" w:rsidR="00084F36" w:rsidRPr="00EB2BD8" w:rsidRDefault="00EB2BD8">
            <w:pPr>
              <w:pStyle w:val="TableParagraph"/>
              <w:spacing w:before="67"/>
              <w:ind w:left="105"/>
              <w:rPr>
                <w:rFonts w:ascii="Arial"/>
                <w:sz w:val="16"/>
              </w:rPr>
            </w:pPr>
            <w:r w:rsidRPr="00EB2BD8">
              <w:rPr>
                <w:rFonts w:ascii="Arial"/>
                <w:w w:val="105"/>
                <w:sz w:val="16"/>
              </w:rPr>
              <w:t>20,000</w:t>
            </w:r>
            <w:r w:rsidRPr="00EB2BD8">
              <w:rPr>
                <w:rFonts w:ascii="Arial"/>
                <w:spacing w:val="-5"/>
                <w:w w:val="105"/>
                <w:sz w:val="16"/>
              </w:rPr>
              <w:t xml:space="preserve"> </w:t>
            </w:r>
            <w:r w:rsidRPr="00EB2BD8">
              <w:rPr>
                <w:rFonts w:ascii="Arial"/>
                <w:w w:val="105"/>
                <w:sz w:val="16"/>
              </w:rPr>
              <w:t>-</w:t>
            </w:r>
            <w:r w:rsidRPr="00EB2BD8">
              <w:rPr>
                <w:rFonts w:ascii="Arial"/>
                <w:spacing w:val="-4"/>
                <w:w w:val="105"/>
                <w:sz w:val="16"/>
              </w:rPr>
              <w:t xml:space="preserve"> </w:t>
            </w:r>
            <w:r w:rsidRPr="00EB2BD8">
              <w:rPr>
                <w:rFonts w:ascii="Arial"/>
                <w:spacing w:val="-2"/>
                <w:w w:val="105"/>
                <w:sz w:val="16"/>
              </w:rPr>
              <w:t>29,999</w:t>
            </w:r>
          </w:p>
        </w:tc>
        <w:tc>
          <w:tcPr>
            <w:tcW w:w="1083" w:type="dxa"/>
            <w:shd w:val="clear" w:color="auto" w:fill="DEEAF6"/>
          </w:tcPr>
          <w:p w14:paraId="79B6DAB7" w14:textId="77777777" w:rsidR="00084F36" w:rsidRPr="00EB2BD8" w:rsidRDefault="00EB2BD8">
            <w:pPr>
              <w:pStyle w:val="TableParagraph"/>
              <w:spacing w:before="67"/>
              <w:ind w:right="94"/>
              <w:jc w:val="right"/>
              <w:rPr>
                <w:rFonts w:ascii="Arial"/>
                <w:sz w:val="16"/>
              </w:rPr>
            </w:pPr>
            <w:r w:rsidRPr="00EB2BD8">
              <w:rPr>
                <w:rFonts w:ascii="Arial"/>
                <w:w w:val="104"/>
                <w:sz w:val="16"/>
              </w:rPr>
              <w:t>1</w:t>
            </w:r>
          </w:p>
        </w:tc>
        <w:tc>
          <w:tcPr>
            <w:tcW w:w="1083" w:type="dxa"/>
            <w:shd w:val="clear" w:color="auto" w:fill="FFFFFF"/>
          </w:tcPr>
          <w:p w14:paraId="76F186B4" w14:textId="77777777" w:rsidR="00084F36" w:rsidRPr="00EB2BD8" w:rsidRDefault="00EB2BD8">
            <w:pPr>
              <w:pStyle w:val="TableParagraph"/>
              <w:spacing w:before="67"/>
              <w:ind w:right="94"/>
              <w:jc w:val="right"/>
              <w:rPr>
                <w:rFonts w:ascii="Arial"/>
                <w:sz w:val="16"/>
              </w:rPr>
            </w:pPr>
            <w:r w:rsidRPr="00EB2BD8">
              <w:rPr>
                <w:rFonts w:ascii="Arial"/>
                <w:w w:val="104"/>
                <w:sz w:val="16"/>
              </w:rPr>
              <w:t>-</w:t>
            </w:r>
          </w:p>
        </w:tc>
      </w:tr>
      <w:tr w:rsidR="00EB2BD8" w:rsidRPr="00EB2BD8" w14:paraId="3F9FE687" w14:textId="77777777">
        <w:trPr>
          <w:trHeight w:val="316"/>
        </w:trPr>
        <w:tc>
          <w:tcPr>
            <w:tcW w:w="6477" w:type="dxa"/>
            <w:shd w:val="clear" w:color="auto" w:fill="FFFFFF"/>
          </w:tcPr>
          <w:p w14:paraId="1340DA36" w14:textId="77777777" w:rsidR="00084F36" w:rsidRPr="00EB2BD8" w:rsidRDefault="00EB2BD8">
            <w:pPr>
              <w:pStyle w:val="TableParagraph"/>
              <w:spacing w:before="66"/>
              <w:ind w:left="105"/>
              <w:rPr>
                <w:rFonts w:ascii="Arial"/>
                <w:sz w:val="16"/>
              </w:rPr>
            </w:pPr>
            <w:r w:rsidRPr="00EB2BD8">
              <w:rPr>
                <w:rFonts w:ascii="Arial"/>
                <w:w w:val="105"/>
                <w:sz w:val="16"/>
              </w:rPr>
              <w:t>30,000</w:t>
            </w:r>
            <w:r w:rsidRPr="00EB2BD8">
              <w:rPr>
                <w:rFonts w:ascii="Arial"/>
                <w:spacing w:val="-5"/>
                <w:w w:val="105"/>
                <w:sz w:val="16"/>
              </w:rPr>
              <w:t xml:space="preserve"> </w:t>
            </w:r>
            <w:r w:rsidRPr="00EB2BD8">
              <w:rPr>
                <w:rFonts w:ascii="Arial"/>
                <w:w w:val="105"/>
                <w:sz w:val="16"/>
              </w:rPr>
              <w:t>-</w:t>
            </w:r>
            <w:r w:rsidRPr="00EB2BD8">
              <w:rPr>
                <w:rFonts w:ascii="Arial"/>
                <w:spacing w:val="-4"/>
                <w:w w:val="105"/>
                <w:sz w:val="16"/>
              </w:rPr>
              <w:t xml:space="preserve"> </w:t>
            </w:r>
            <w:r w:rsidRPr="00EB2BD8">
              <w:rPr>
                <w:rFonts w:ascii="Arial"/>
                <w:spacing w:val="-2"/>
                <w:w w:val="105"/>
                <w:sz w:val="16"/>
              </w:rPr>
              <w:t>39,999</w:t>
            </w:r>
          </w:p>
        </w:tc>
        <w:tc>
          <w:tcPr>
            <w:tcW w:w="1083" w:type="dxa"/>
            <w:shd w:val="clear" w:color="auto" w:fill="DEEAF6"/>
          </w:tcPr>
          <w:p w14:paraId="3A0015E5" w14:textId="77777777" w:rsidR="00084F36" w:rsidRPr="00EB2BD8" w:rsidRDefault="00EB2BD8">
            <w:pPr>
              <w:pStyle w:val="TableParagraph"/>
              <w:spacing w:before="66"/>
              <w:ind w:right="94"/>
              <w:jc w:val="right"/>
              <w:rPr>
                <w:rFonts w:ascii="Arial"/>
                <w:sz w:val="16"/>
              </w:rPr>
            </w:pPr>
            <w:r w:rsidRPr="00EB2BD8">
              <w:rPr>
                <w:rFonts w:ascii="Arial"/>
                <w:w w:val="104"/>
                <w:sz w:val="16"/>
              </w:rPr>
              <w:t>-</w:t>
            </w:r>
          </w:p>
        </w:tc>
        <w:tc>
          <w:tcPr>
            <w:tcW w:w="1083" w:type="dxa"/>
            <w:shd w:val="clear" w:color="auto" w:fill="FFFFFF"/>
          </w:tcPr>
          <w:p w14:paraId="3054C896" w14:textId="77777777" w:rsidR="00084F36" w:rsidRPr="00EB2BD8" w:rsidRDefault="00EB2BD8">
            <w:pPr>
              <w:pStyle w:val="TableParagraph"/>
              <w:spacing w:before="66"/>
              <w:ind w:right="94"/>
              <w:jc w:val="right"/>
              <w:rPr>
                <w:rFonts w:ascii="Arial"/>
                <w:sz w:val="16"/>
              </w:rPr>
            </w:pPr>
            <w:r w:rsidRPr="00EB2BD8">
              <w:rPr>
                <w:rFonts w:ascii="Arial"/>
                <w:w w:val="104"/>
                <w:sz w:val="16"/>
              </w:rPr>
              <w:t>4</w:t>
            </w:r>
          </w:p>
        </w:tc>
      </w:tr>
      <w:tr w:rsidR="00EB2BD8" w:rsidRPr="00EB2BD8" w14:paraId="14C87289" w14:textId="77777777">
        <w:trPr>
          <w:trHeight w:val="317"/>
        </w:trPr>
        <w:tc>
          <w:tcPr>
            <w:tcW w:w="6477" w:type="dxa"/>
            <w:shd w:val="clear" w:color="auto" w:fill="FFFFFF"/>
          </w:tcPr>
          <w:p w14:paraId="745BA02F" w14:textId="77777777" w:rsidR="00084F36" w:rsidRPr="00EB2BD8" w:rsidRDefault="00EB2BD8">
            <w:pPr>
              <w:pStyle w:val="TableParagraph"/>
              <w:spacing w:before="66"/>
              <w:ind w:left="105"/>
              <w:rPr>
                <w:rFonts w:ascii="Arial"/>
                <w:sz w:val="16"/>
              </w:rPr>
            </w:pPr>
            <w:r w:rsidRPr="00EB2BD8">
              <w:rPr>
                <w:rFonts w:ascii="Arial"/>
                <w:w w:val="105"/>
                <w:sz w:val="16"/>
              </w:rPr>
              <w:t>40,000</w:t>
            </w:r>
            <w:r w:rsidRPr="00EB2BD8">
              <w:rPr>
                <w:rFonts w:ascii="Arial"/>
                <w:spacing w:val="-5"/>
                <w:w w:val="105"/>
                <w:sz w:val="16"/>
              </w:rPr>
              <w:t xml:space="preserve"> </w:t>
            </w:r>
            <w:r w:rsidRPr="00EB2BD8">
              <w:rPr>
                <w:rFonts w:ascii="Arial"/>
                <w:w w:val="105"/>
                <w:sz w:val="16"/>
              </w:rPr>
              <w:t>-</w:t>
            </w:r>
            <w:r w:rsidRPr="00EB2BD8">
              <w:rPr>
                <w:rFonts w:ascii="Arial"/>
                <w:spacing w:val="-4"/>
                <w:w w:val="105"/>
                <w:sz w:val="16"/>
              </w:rPr>
              <w:t xml:space="preserve"> </w:t>
            </w:r>
            <w:r w:rsidRPr="00EB2BD8">
              <w:rPr>
                <w:rFonts w:ascii="Arial"/>
                <w:spacing w:val="-2"/>
                <w:w w:val="105"/>
                <w:sz w:val="16"/>
              </w:rPr>
              <w:t>49,999</w:t>
            </w:r>
          </w:p>
        </w:tc>
        <w:tc>
          <w:tcPr>
            <w:tcW w:w="1083" w:type="dxa"/>
            <w:shd w:val="clear" w:color="auto" w:fill="DEEAF6"/>
          </w:tcPr>
          <w:p w14:paraId="7A1D0E6D" w14:textId="77777777" w:rsidR="00084F36" w:rsidRPr="00EB2BD8" w:rsidRDefault="00EB2BD8">
            <w:pPr>
              <w:pStyle w:val="TableParagraph"/>
              <w:spacing w:before="66"/>
              <w:ind w:right="94"/>
              <w:jc w:val="right"/>
              <w:rPr>
                <w:rFonts w:ascii="Arial"/>
                <w:sz w:val="16"/>
              </w:rPr>
            </w:pPr>
            <w:r w:rsidRPr="00EB2BD8">
              <w:rPr>
                <w:rFonts w:ascii="Arial"/>
                <w:w w:val="104"/>
                <w:sz w:val="16"/>
              </w:rPr>
              <w:t>9</w:t>
            </w:r>
          </w:p>
        </w:tc>
        <w:tc>
          <w:tcPr>
            <w:tcW w:w="1083" w:type="dxa"/>
            <w:shd w:val="clear" w:color="auto" w:fill="FFFFFF"/>
          </w:tcPr>
          <w:p w14:paraId="47BF6668" w14:textId="77777777" w:rsidR="00084F36" w:rsidRPr="00EB2BD8" w:rsidRDefault="00EB2BD8">
            <w:pPr>
              <w:pStyle w:val="TableParagraph"/>
              <w:spacing w:before="66"/>
              <w:ind w:right="94"/>
              <w:jc w:val="right"/>
              <w:rPr>
                <w:rFonts w:ascii="Arial"/>
                <w:sz w:val="16"/>
              </w:rPr>
            </w:pPr>
            <w:r w:rsidRPr="00EB2BD8">
              <w:rPr>
                <w:rFonts w:ascii="Arial"/>
                <w:w w:val="104"/>
                <w:sz w:val="16"/>
              </w:rPr>
              <w:t>5</w:t>
            </w:r>
          </w:p>
        </w:tc>
      </w:tr>
      <w:tr w:rsidR="00EB2BD8" w:rsidRPr="00EB2BD8" w14:paraId="58F153E5" w14:textId="77777777">
        <w:trPr>
          <w:trHeight w:val="317"/>
        </w:trPr>
        <w:tc>
          <w:tcPr>
            <w:tcW w:w="6477" w:type="dxa"/>
            <w:shd w:val="clear" w:color="auto" w:fill="FFFFFF"/>
          </w:tcPr>
          <w:p w14:paraId="68DEA192" w14:textId="77777777" w:rsidR="00084F36" w:rsidRPr="00EB2BD8" w:rsidRDefault="00EB2BD8">
            <w:pPr>
              <w:pStyle w:val="TableParagraph"/>
              <w:spacing w:before="67"/>
              <w:ind w:left="105"/>
              <w:rPr>
                <w:rFonts w:ascii="Arial"/>
                <w:sz w:val="16"/>
              </w:rPr>
            </w:pPr>
            <w:r w:rsidRPr="00EB2BD8">
              <w:rPr>
                <w:rFonts w:ascii="Arial"/>
                <w:w w:val="105"/>
                <w:sz w:val="16"/>
              </w:rPr>
              <w:t>80,000</w:t>
            </w:r>
            <w:r w:rsidRPr="00EB2BD8">
              <w:rPr>
                <w:rFonts w:ascii="Arial"/>
                <w:spacing w:val="-5"/>
                <w:w w:val="105"/>
                <w:sz w:val="16"/>
              </w:rPr>
              <w:t xml:space="preserve"> </w:t>
            </w:r>
            <w:r w:rsidRPr="00EB2BD8">
              <w:rPr>
                <w:rFonts w:ascii="Arial"/>
                <w:w w:val="105"/>
                <w:sz w:val="16"/>
              </w:rPr>
              <w:t>-</w:t>
            </w:r>
            <w:r w:rsidRPr="00EB2BD8">
              <w:rPr>
                <w:rFonts w:ascii="Arial"/>
                <w:spacing w:val="-4"/>
                <w:w w:val="105"/>
                <w:sz w:val="16"/>
              </w:rPr>
              <w:t xml:space="preserve"> </w:t>
            </w:r>
            <w:r w:rsidRPr="00EB2BD8">
              <w:rPr>
                <w:rFonts w:ascii="Arial"/>
                <w:spacing w:val="-2"/>
                <w:w w:val="105"/>
                <w:sz w:val="16"/>
              </w:rPr>
              <w:t>89,999</w:t>
            </w:r>
          </w:p>
        </w:tc>
        <w:tc>
          <w:tcPr>
            <w:tcW w:w="1083" w:type="dxa"/>
            <w:shd w:val="clear" w:color="auto" w:fill="DEEAF6"/>
          </w:tcPr>
          <w:p w14:paraId="3FE959E5" w14:textId="77777777" w:rsidR="00084F36" w:rsidRPr="00EB2BD8" w:rsidRDefault="00EB2BD8">
            <w:pPr>
              <w:pStyle w:val="TableParagraph"/>
              <w:spacing w:before="67"/>
              <w:ind w:right="94"/>
              <w:jc w:val="right"/>
              <w:rPr>
                <w:rFonts w:ascii="Arial"/>
                <w:sz w:val="16"/>
              </w:rPr>
            </w:pPr>
            <w:r w:rsidRPr="00EB2BD8">
              <w:rPr>
                <w:rFonts w:ascii="Arial"/>
                <w:w w:val="104"/>
                <w:sz w:val="16"/>
              </w:rPr>
              <w:t>2</w:t>
            </w:r>
          </w:p>
        </w:tc>
        <w:tc>
          <w:tcPr>
            <w:tcW w:w="1083" w:type="dxa"/>
            <w:shd w:val="clear" w:color="auto" w:fill="FFFFFF"/>
          </w:tcPr>
          <w:p w14:paraId="762A89B1" w14:textId="77777777" w:rsidR="00084F36" w:rsidRPr="00EB2BD8" w:rsidRDefault="00EB2BD8">
            <w:pPr>
              <w:pStyle w:val="TableParagraph"/>
              <w:spacing w:before="67"/>
              <w:ind w:right="94"/>
              <w:jc w:val="right"/>
              <w:rPr>
                <w:rFonts w:ascii="Arial"/>
                <w:sz w:val="16"/>
              </w:rPr>
            </w:pPr>
            <w:r w:rsidRPr="00EB2BD8">
              <w:rPr>
                <w:rFonts w:ascii="Arial"/>
                <w:w w:val="104"/>
                <w:sz w:val="16"/>
              </w:rPr>
              <w:t>1</w:t>
            </w:r>
          </w:p>
        </w:tc>
      </w:tr>
      <w:tr w:rsidR="00EB2BD8" w:rsidRPr="00EB2BD8" w14:paraId="04FE638C" w14:textId="77777777">
        <w:trPr>
          <w:trHeight w:val="316"/>
        </w:trPr>
        <w:tc>
          <w:tcPr>
            <w:tcW w:w="6477" w:type="dxa"/>
            <w:shd w:val="clear" w:color="auto" w:fill="FFFFFF"/>
          </w:tcPr>
          <w:p w14:paraId="3D2C5720" w14:textId="77777777" w:rsidR="00084F36" w:rsidRPr="00EB2BD8" w:rsidRDefault="00EB2BD8">
            <w:pPr>
              <w:pStyle w:val="TableParagraph"/>
              <w:spacing w:before="66"/>
              <w:ind w:left="105"/>
              <w:rPr>
                <w:rFonts w:ascii="Arial"/>
                <w:sz w:val="16"/>
              </w:rPr>
            </w:pPr>
            <w:r w:rsidRPr="00EB2BD8">
              <w:rPr>
                <w:rFonts w:ascii="Arial"/>
                <w:w w:val="105"/>
                <w:sz w:val="16"/>
              </w:rPr>
              <w:t>450,000</w:t>
            </w:r>
            <w:r w:rsidRPr="00EB2BD8">
              <w:rPr>
                <w:rFonts w:ascii="Arial"/>
                <w:spacing w:val="-6"/>
                <w:w w:val="105"/>
                <w:sz w:val="16"/>
              </w:rPr>
              <w:t xml:space="preserve"> </w:t>
            </w:r>
            <w:r w:rsidRPr="00EB2BD8">
              <w:rPr>
                <w:rFonts w:ascii="Arial"/>
                <w:w w:val="105"/>
                <w:sz w:val="16"/>
              </w:rPr>
              <w:t>-</w:t>
            </w:r>
            <w:r w:rsidRPr="00EB2BD8">
              <w:rPr>
                <w:rFonts w:ascii="Arial"/>
                <w:spacing w:val="-5"/>
                <w:w w:val="105"/>
                <w:sz w:val="16"/>
              </w:rPr>
              <w:t xml:space="preserve"> </w:t>
            </w:r>
            <w:r w:rsidRPr="00EB2BD8">
              <w:rPr>
                <w:rFonts w:ascii="Arial"/>
                <w:spacing w:val="-2"/>
                <w:w w:val="105"/>
                <w:sz w:val="16"/>
              </w:rPr>
              <w:t>459,999</w:t>
            </w:r>
          </w:p>
        </w:tc>
        <w:tc>
          <w:tcPr>
            <w:tcW w:w="1083" w:type="dxa"/>
            <w:shd w:val="clear" w:color="auto" w:fill="DEEAF6"/>
          </w:tcPr>
          <w:p w14:paraId="691745C8" w14:textId="77777777" w:rsidR="00084F36" w:rsidRPr="00EB2BD8" w:rsidRDefault="00EB2BD8">
            <w:pPr>
              <w:pStyle w:val="TableParagraph"/>
              <w:spacing w:before="66"/>
              <w:ind w:right="94"/>
              <w:jc w:val="right"/>
              <w:rPr>
                <w:rFonts w:ascii="Arial"/>
                <w:sz w:val="16"/>
              </w:rPr>
            </w:pPr>
            <w:r w:rsidRPr="00EB2BD8">
              <w:rPr>
                <w:rFonts w:ascii="Arial"/>
                <w:w w:val="104"/>
                <w:sz w:val="16"/>
              </w:rPr>
              <w:t>-</w:t>
            </w:r>
          </w:p>
        </w:tc>
        <w:tc>
          <w:tcPr>
            <w:tcW w:w="1083" w:type="dxa"/>
            <w:shd w:val="clear" w:color="auto" w:fill="FFFFFF"/>
          </w:tcPr>
          <w:p w14:paraId="3CDCFDB8" w14:textId="77777777" w:rsidR="00084F36" w:rsidRPr="00EB2BD8" w:rsidRDefault="00EB2BD8">
            <w:pPr>
              <w:pStyle w:val="TableParagraph"/>
              <w:spacing w:before="66"/>
              <w:ind w:right="94"/>
              <w:jc w:val="right"/>
              <w:rPr>
                <w:rFonts w:ascii="Arial"/>
                <w:sz w:val="16"/>
              </w:rPr>
            </w:pPr>
            <w:r w:rsidRPr="00EB2BD8">
              <w:rPr>
                <w:rFonts w:ascii="Arial"/>
                <w:w w:val="104"/>
                <w:sz w:val="16"/>
              </w:rPr>
              <w:t>1</w:t>
            </w:r>
          </w:p>
        </w:tc>
      </w:tr>
      <w:tr w:rsidR="00EB2BD8" w:rsidRPr="00EB2BD8" w14:paraId="480D4ED5" w14:textId="77777777">
        <w:trPr>
          <w:trHeight w:val="314"/>
        </w:trPr>
        <w:tc>
          <w:tcPr>
            <w:tcW w:w="6477" w:type="dxa"/>
            <w:tcBorders>
              <w:bottom w:val="single" w:sz="12" w:space="0" w:color="000000"/>
            </w:tcBorders>
            <w:shd w:val="clear" w:color="auto" w:fill="FFFFFF"/>
          </w:tcPr>
          <w:p w14:paraId="2E3DB452" w14:textId="77777777" w:rsidR="00084F36" w:rsidRPr="00EB2BD8" w:rsidRDefault="00EB2BD8">
            <w:pPr>
              <w:pStyle w:val="TableParagraph"/>
              <w:spacing w:before="66"/>
              <w:ind w:left="105"/>
              <w:rPr>
                <w:rFonts w:ascii="Arial"/>
                <w:sz w:val="16"/>
              </w:rPr>
            </w:pPr>
            <w:r w:rsidRPr="00EB2BD8">
              <w:rPr>
                <w:rFonts w:ascii="Arial"/>
                <w:w w:val="105"/>
                <w:sz w:val="16"/>
              </w:rPr>
              <w:t>740,000</w:t>
            </w:r>
            <w:r w:rsidRPr="00EB2BD8">
              <w:rPr>
                <w:rFonts w:ascii="Arial"/>
                <w:spacing w:val="-6"/>
                <w:w w:val="105"/>
                <w:sz w:val="16"/>
              </w:rPr>
              <w:t xml:space="preserve"> </w:t>
            </w:r>
            <w:r w:rsidRPr="00EB2BD8">
              <w:rPr>
                <w:rFonts w:ascii="Arial"/>
                <w:w w:val="105"/>
                <w:sz w:val="16"/>
              </w:rPr>
              <w:t>-</w:t>
            </w:r>
            <w:r w:rsidRPr="00EB2BD8">
              <w:rPr>
                <w:rFonts w:ascii="Arial"/>
                <w:spacing w:val="-5"/>
                <w:w w:val="105"/>
                <w:sz w:val="16"/>
              </w:rPr>
              <w:t xml:space="preserve"> </w:t>
            </w:r>
            <w:r w:rsidRPr="00EB2BD8">
              <w:rPr>
                <w:rFonts w:ascii="Arial"/>
                <w:spacing w:val="-2"/>
                <w:w w:val="105"/>
                <w:sz w:val="16"/>
              </w:rPr>
              <w:t>749,999</w:t>
            </w:r>
          </w:p>
        </w:tc>
        <w:tc>
          <w:tcPr>
            <w:tcW w:w="1083" w:type="dxa"/>
            <w:tcBorders>
              <w:bottom w:val="single" w:sz="12" w:space="0" w:color="000000"/>
            </w:tcBorders>
            <w:shd w:val="clear" w:color="auto" w:fill="DEEAF6"/>
          </w:tcPr>
          <w:p w14:paraId="103B8C0D" w14:textId="77777777" w:rsidR="00084F36" w:rsidRPr="00EB2BD8" w:rsidRDefault="00EB2BD8">
            <w:pPr>
              <w:pStyle w:val="TableParagraph"/>
              <w:spacing w:before="66"/>
              <w:ind w:right="94"/>
              <w:jc w:val="right"/>
              <w:rPr>
                <w:rFonts w:ascii="Arial"/>
                <w:sz w:val="16"/>
              </w:rPr>
            </w:pPr>
            <w:r w:rsidRPr="00EB2BD8">
              <w:rPr>
                <w:rFonts w:ascii="Arial"/>
                <w:w w:val="104"/>
                <w:sz w:val="16"/>
              </w:rPr>
              <w:t>1</w:t>
            </w:r>
          </w:p>
        </w:tc>
        <w:tc>
          <w:tcPr>
            <w:tcW w:w="1083" w:type="dxa"/>
            <w:tcBorders>
              <w:bottom w:val="single" w:sz="12" w:space="0" w:color="000000"/>
            </w:tcBorders>
            <w:shd w:val="clear" w:color="auto" w:fill="FFFFFF"/>
          </w:tcPr>
          <w:p w14:paraId="57789587" w14:textId="77777777" w:rsidR="00084F36" w:rsidRPr="00EB2BD8" w:rsidRDefault="00EB2BD8">
            <w:pPr>
              <w:pStyle w:val="TableParagraph"/>
              <w:spacing w:before="66"/>
              <w:ind w:right="94"/>
              <w:jc w:val="right"/>
              <w:rPr>
                <w:rFonts w:ascii="Arial"/>
                <w:sz w:val="16"/>
              </w:rPr>
            </w:pPr>
            <w:r w:rsidRPr="00EB2BD8">
              <w:rPr>
                <w:rFonts w:ascii="Arial"/>
                <w:w w:val="104"/>
                <w:sz w:val="16"/>
              </w:rPr>
              <w:t>-</w:t>
            </w:r>
          </w:p>
        </w:tc>
      </w:tr>
      <w:tr w:rsidR="00EB2BD8" w:rsidRPr="00EB2BD8" w14:paraId="40436015" w14:textId="77777777">
        <w:trPr>
          <w:trHeight w:val="288"/>
        </w:trPr>
        <w:tc>
          <w:tcPr>
            <w:tcW w:w="6477" w:type="dxa"/>
            <w:tcBorders>
              <w:top w:val="single" w:sz="12" w:space="0" w:color="000000"/>
              <w:bottom w:val="single" w:sz="12" w:space="0" w:color="000000"/>
            </w:tcBorders>
            <w:shd w:val="clear" w:color="auto" w:fill="FFFFFF"/>
          </w:tcPr>
          <w:p w14:paraId="419625B5" w14:textId="77777777" w:rsidR="00084F36" w:rsidRPr="00EB2BD8" w:rsidRDefault="00EB2BD8">
            <w:pPr>
              <w:pStyle w:val="TableParagraph"/>
              <w:spacing w:before="54"/>
              <w:ind w:left="105"/>
              <w:rPr>
                <w:rFonts w:ascii="Arial"/>
                <w:b/>
                <w:sz w:val="16"/>
              </w:rPr>
            </w:pPr>
            <w:r w:rsidRPr="00EB2BD8">
              <w:rPr>
                <w:rFonts w:ascii="Arial"/>
                <w:b/>
                <w:w w:val="105"/>
                <w:sz w:val="16"/>
              </w:rPr>
              <w:t>Total</w:t>
            </w:r>
            <w:r w:rsidRPr="00EB2BD8">
              <w:rPr>
                <w:rFonts w:ascii="Arial"/>
                <w:b/>
                <w:spacing w:val="-8"/>
                <w:w w:val="105"/>
                <w:sz w:val="16"/>
              </w:rPr>
              <w:t xml:space="preserve"> </w:t>
            </w:r>
            <w:r w:rsidRPr="00EB2BD8">
              <w:rPr>
                <w:rFonts w:ascii="Arial"/>
                <w:b/>
                <w:w w:val="105"/>
                <w:sz w:val="16"/>
              </w:rPr>
              <w:t>number</w:t>
            </w:r>
            <w:r w:rsidRPr="00EB2BD8">
              <w:rPr>
                <w:rFonts w:ascii="Arial"/>
                <w:b/>
                <w:spacing w:val="-8"/>
                <w:w w:val="105"/>
                <w:sz w:val="16"/>
              </w:rPr>
              <w:t xml:space="preserve"> </w:t>
            </w:r>
            <w:r w:rsidRPr="00EB2BD8">
              <w:rPr>
                <w:rFonts w:ascii="Arial"/>
                <w:b/>
                <w:w w:val="105"/>
                <w:sz w:val="16"/>
              </w:rPr>
              <w:t>of</w:t>
            </w:r>
            <w:r w:rsidRPr="00EB2BD8">
              <w:rPr>
                <w:rFonts w:ascii="Arial"/>
                <w:b/>
                <w:spacing w:val="-7"/>
                <w:w w:val="105"/>
                <w:sz w:val="16"/>
              </w:rPr>
              <w:t xml:space="preserve"> </w:t>
            </w:r>
            <w:r w:rsidRPr="00EB2BD8">
              <w:rPr>
                <w:rFonts w:ascii="Arial"/>
                <w:b/>
                <w:w w:val="105"/>
                <w:sz w:val="16"/>
              </w:rPr>
              <w:t>responsible</w:t>
            </w:r>
            <w:r w:rsidRPr="00EB2BD8">
              <w:rPr>
                <w:rFonts w:ascii="Arial"/>
                <w:b/>
                <w:spacing w:val="-8"/>
                <w:w w:val="105"/>
                <w:sz w:val="16"/>
              </w:rPr>
              <w:t xml:space="preserve"> </w:t>
            </w:r>
            <w:r w:rsidRPr="00EB2BD8">
              <w:rPr>
                <w:rFonts w:ascii="Arial"/>
                <w:b/>
                <w:spacing w:val="-2"/>
                <w:w w:val="105"/>
                <w:sz w:val="16"/>
              </w:rPr>
              <w:t>persons</w:t>
            </w:r>
          </w:p>
        </w:tc>
        <w:tc>
          <w:tcPr>
            <w:tcW w:w="1083" w:type="dxa"/>
            <w:tcBorders>
              <w:top w:val="single" w:sz="12" w:space="0" w:color="000000"/>
              <w:bottom w:val="single" w:sz="12" w:space="0" w:color="000000"/>
            </w:tcBorders>
            <w:shd w:val="clear" w:color="auto" w:fill="DEEAF6"/>
          </w:tcPr>
          <w:p w14:paraId="383172E9" w14:textId="77777777" w:rsidR="00084F36" w:rsidRPr="00EB2BD8" w:rsidRDefault="00EB2BD8">
            <w:pPr>
              <w:pStyle w:val="TableParagraph"/>
              <w:spacing w:before="54"/>
              <w:ind w:right="95"/>
              <w:jc w:val="right"/>
              <w:rPr>
                <w:rFonts w:ascii="Arial"/>
                <w:b/>
                <w:sz w:val="16"/>
              </w:rPr>
            </w:pPr>
            <w:r w:rsidRPr="00EB2BD8">
              <w:rPr>
                <w:rFonts w:ascii="Arial"/>
                <w:b/>
                <w:spacing w:val="-5"/>
                <w:w w:val="105"/>
                <w:sz w:val="16"/>
              </w:rPr>
              <w:t>14</w:t>
            </w:r>
          </w:p>
        </w:tc>
        <w:tc>
          <w:tcPr>
            <w:tcW w:w="1083" w:type="dxa"/>
            <w:tcBorders>
              <w:top w:val="single" w:sz="12" w:space="0" w:color="000000"/>
              <w:bottom w:val="single" w:sz="12" w:space="0" w:color="000000"/>
            </w:tcBorders>
            <w:shd w:val="clear" w:color="auto" w:fill="FFFFFF"/>
          </w:tcPr>
          <w:p w14:paraId="5C122C89" w14:textId="77777777" w:rsidR="00084F36" w:rsidRPr="00EB2BD8" w:rsidRDefault="00EB2BD8">
            <w:pPr>
              <w:pStyle w:val="TableParagraph"/>
              <w:spacing w:before="54"/>
              <w:ind w:right="95"/>
              <w:jc w:val="right"/>
              <w:rPr>
                <w:rFonts w:ascii="Arial"/>
                <w:b/>
                <w:sz w:val="16"/>
              </w:rPr>
            </w:pPr>
            <w:r w:rsidRPr="00EB2BD8">
              <w:rPr>
                <w:rFonts w:ascii="Arial"/>
                <w:b/>
                <w:spacing w:val="-5"/>
                <w:w w:val="105"/>
                <w:sz w:val="16"/>
              </w:rPr>
              <w:t>14</w:t>
            </w:r>
          </w:p>
        </w:tc>
      </w:tr>
    </w:tbl>
    <w:p w14:paraId="73C9D713" w14:textId="77777777" w:rsidR="00084F36" w:rsidRPr="00EB2BD8" w:rsidRDefault="00084F36">
      <w:pPr>
        <w:pStyle w:val="BodyText"/>
        <w:spacing w:before="5"/>
        <w:rPr>
          <w:rFonts w:ascii="Arial"/>
          <w:sz w:val="23"/>
        </w:rPr>
      </w:pPr>
    </w:p>
    <w:p w14:paraId="214CDEC1" w14:textId="77777777" w:rsidR="00084F36" w:rsidRPr="00EB2BD8" w:rsidRDefault="00EB2BD8">
      <w:pPr>
        <w:ind w:right="2374"/>
        <w:jc w:val="right"/>
        <w:rPr>
          <w:rFonts w:ascii="Arial" w:hAnsi="Arial"/>
          <w:sz w:val="16"/>
        </w:rPr>
      </w:pPr>
      <w:r w:rsidRPr="00EB2BD8">
        <w:rPr>
          <w:rFonts w:ascii="Arial" w:hAnsi="Arial"/>
          <w:spacing w:val="-2"/>
          <w:w w:val="105"/>
          <w:sz w:val="16"/>
        </w:rPr>
        <w:t>($’000)</w:t>
      </w:r>
    </w:p>
    <w:p w14:paraId="1D0A467E" w14:textId="77777777" w:rsidR="00084F36" w:rsidRPr="00EB2BD8" w:rsidRDefault="00084F36">
      <w:pPr>
        <w:pStyle w:val="BodyText"/>
        <w:spacing w:before="7"/>
        <w:rPr>
          <w:rFonts w:ascii="Arial"/>
          <w:sz w:val="5"/>
        </w:rPr>
      </w:pPr>
    </w:p>
    <w:tbl>
      <w:tblPr>
        <w:tblW w:w="0" w:type="auto"/>
        <w:tblInd w:w="1038" w:type="dxa"/>
        <w:tblLayout w:type="fixed"/>
        <w:tblCellMar>
          <w:left w:w="0" w:type="dxa"/>
          <w:right w:w="0" w:type="dxa"/>
        </w:tblCellMar>
        <w:tblLook w:val="01E0" w:firstRow="1" w:lastRow="1" w:firstColumn="1" w:lastColumn="1" w:noHBand="0" w:noVBand="0"/>
      </w:tblPr>
      <w:tblGrid>
        <w:gridCol w:w="6477"/>
        <w:gridCol w:w="1083"/>
        <w:gridCol w:w="1083"/>
      </w:tblGrid>
      <w:tr w:rsidR="00EB2BD8" w:rsidRPr="00EB2BD8" w14:paraId="423BA21F" w14:textId="77777777">
        <w:trPr>
          <w:trHeight w:val="334"/>
        </w:trPr>
        <w:tc>
          <w:tcPr>
            <w:tcW w:w="8643" w:type="dxa"/>
            <w:gridSpan w:val="3"/>
            <w:tcBorders>
              <w:bottom w:val="single" w:sz="12" w:space="0" w:color="000000"/>
              <w:right w:val="single" w:sz="4" w:space="0" w:color="0098FF"/>
            </w:tcBorders>
            <w:shd w:val="clear" w:color="auto" w:fill="0070C0"/>
          </w:tcPr>
          <w:p w14:paraId="2E3F01FA" w14:textId="77777777" w:rsidR="00084F36" w:rsidRPr="00EB2BD8" w:rsidRDefault="00EB2BD8">
            <w:pPr>
              <w:pStyle w:val="TableParagraph"/>
              <w:tabs>
                <w:tab w:val="left" w:pos="1082"/>
              </w:tabs>
              <w:spacing w:before="78"/>
              <w:ind w:right="90"/>
              <w:jc w:val="right"/>
              <w:rPr>
                <w:rFonts w:ascii="Arial"/>
                <w:b/>
                <w:sz w:val="16"/>
              </w:rPr>
            </w:pPr>
            <w:r w:rsidRPr="00EB2BD8">
              <w:rPr>
                <w:rFonts w:ascii="Arial"/>
                <w:b/>
                <w:spacing w:val="-4"/>
                <w:w w:val="105"/>
                <w:sz w:val="16"/>
              </w:rPr>
              <w:t>2023</w:t>
            </w:r>
            <w:r w:rsidRPr="00EB2BD8">
              <w:rPr>
                <w:rFonts w:ascii="Arial"/>
                <w:b/>
                <w:sz w:val="16"/>
              </w:rPr>
              <w:tab/>
            </w:r>
            <w:r w:rsidRPr="00EB2BD8">
              <w:rPr>
                <w:rFonts w:ascii="Arial"/>
                <w:b/>
                <w:spacing w:val="-4"/>
                <w:w w:val="105"/>
                <w:sz w:val="16"/>
              </w:rPr>
              <w:t>2022</w:t>
            </w:r>
          </w:p>
        </w:tc>
      </w:tr>
      <w:tr w:rsidR="00EB2BD8" w:rsidRPr="00EB2BD8" w14:paraId="579E89BE" w14:textId="77777777">
        <w:trPr>
          <w:trHeight w:val="632"/>
        </w:trPr>
        <w:tc>
          <w:tcPr>
            <w:tcW w:w="6477" w:type="dxa"/>
            <w:tcBorders>
              <w:top w:val="single" w:sz="12" w:space="0" w:color="000000"/>
              <w:bottom w:val="single" w:sz="12" w:space="0" w:color="000000"/>
            </w:tcBorders>
            <w:shd w:val="clear" w:color="auto" w:fill="FFFFFF"/>
          </w:tcPr>
          <w:p w14:paraId="04C751FD" w14:textId="77777777" w:rsidR="00084F36" w:rsidRPr="00EB2BD8" w:rsidRDefault="00EB2BD8">
            <w:pPr>
              <w:pStyle w:val="TableParagraph"/>
              <w:spacing w:before="130" w:line="252" w:lineRule="auto"/>
              <w:ind w:left="105"/>
              <w:rPr>
                <w:rFonts w:ascii="Arial"/>
                <w:b/>
                <w:sz w:val="16"/>
              </w:rPr>
            </w:pPr>
            <w:r w:rsidRPr="00EB2BD8">
              <w:rPr>
                <w:rFonts w:ascii="Arial"/>
                <w:b/>
                <w:w w:val="105"/>
                <w:sz w:val="16"/>
              </w:rPr>
              <w:t>Total</w:t>
            </w:r>
            <w:r w:rsidRPr="00EB2BD8">
              <w:rPr>
                <w:rFonts w:ascii="Arial"/>
                <w:b/>
                <w:spacing w:val="-5"/>
                <w:w w:val="105"/>
                <w:sz w:val="16"/>
              </w:rPr>
              <w:t xml:space="preserve"> </w:t>
            </w:r>
            <w:r w:rsidRPr="00EB2BD8">
              <w:rPr>
                <w:rFonts w:ascii="Arial"/>
                <w:b/>
                <w:w w:val="105"/>
                <w:sz w:val="16"/>
              </w:rPr>
              <w:t>remuneration</w:t>
            </w:r>
            <w:r w:rsidRPr="00EB2BD8">
              <w:rPr>
                <w:rFonts w:ascii="Arial"/>
                <w:b/>
                <w:spacing w:val="-4"/>
                <w:w w:val="105"/>
                <w:sz w:val="16"/>
              </w:rPr>
              <w:t xml:space="preserve"> </w:t>
            </w:r>
            <w:r w:rsidRPr="00EB2BD8">
              <w:rPr>
                <w:rFonts w:ascii="Arial"/>
                <w:b/>
                <w:w w:val="105"/>
                <w:sz w:val="16"/>
              </w:rPr>
              <w:t>received,</w:t>
            </w:r>
            <w:r w:rsidRPr="00EB2BD8">
              <w:rPr>
                <w:rFonts w:ascii="Arial"/>
                <w:b/>
                <w:spacing w:val="-5"/>
                <w:w w:val="105"/>
                <w:sz w:val="16"/>
              </w:rPr>
              <w:t xml:space="preserve"> </w:t>
            </w:r>
            <w:r w:rsidRPr="00EB2BD8">
              <w:rPr>
                <w:rFonts w:ascii="Arial"/>
                <w:b/>
                <w:w w:val="105"/>
                <w:sz w:val="16"/>
              </w:rPr>
              <w:t>or</w:t>
            </w:r>
            <w:r w:rsidRPr="00EB2BD8">
              <w:rPr>
                <w:rFonts w:ascii="Arial"/>
                <w:b/>
                <w:spacing w:val="-5"/>
                <w:w w:val="105"/>
                <w:sz w:val="16"/>
              </w:rPr>
              <w:t xml:space="preserve"> </w:t>
            </w:r>
            <w:r w:rsidRPr="00EB2BD8">
              <w:rPr>
                <w:rFonts w:ascii="Arial"/>
                <w:b/>
                <w:w w:val="105"/>
                <w:sz w:val="16"/>
              </w:rPr>
              <w:t>due</w:t>
            </w:r>
            <w:r w:rsidRPr="00EB2BD8">
              <w:rPr>
                <w:rFonts w:ascii="Arial"/>
                <w:b/>
                <w:spacing w:val="-5"/>
                <w:w w:val="105"/>
                <w:sz w:val="16"/>
              </w:rPr>
              <w:t xml:space="preserve"> </w:t>
            </w:r>
            <w:r w:rsidRPr="00EB2BD8">
              <w:rPr>
                <w:rFonts w:ascii="Arial"/>
                <w:b/>
                <w:w w:val="105"/>
                <w:sz w:val="16"/>
              </w:rPr>
              <w:t>and</w:t>
            </w:r>
            <w:r w:rsidRPr="00EB2BD8">
              <w:rPr>
                <w:rFonts w:ascii="Arial"/>
                <w:b/>
                <w:spacing w:val="-4"/>
                <w:w w:val="105"/>
                <w:sz w:val="16"/>
              </w:rPr>
              <w:t xml:space="preserve"> </w:t>
            </w:r>
            <w:r w:rsidRPr="00EB2BD8">
              <w:rPr>
                <w:rFonts w:ascii="Arial"/>
                <w:b/>
                <w:w w:val="105"/>
                <w:sz w:val="16"/>
              </w:rPr>
              <w:t>receivable</w:t>
            </w:r>
            <w:r w:rsidRPr="00EB2BD8">
              <w:rPr>
                <w:rFonts w:ascii="Arial"/>
                <w:b/>
                <w:spacing w:val="-5"/>
                <w:w w:val="105"/>
                <w:sz w:val="16"/>
              </w:rPr>
              <w:t xml:space="preserve"> </w:t>
            </w:r>
            <w:r w:rsidRPr="00EB2BD8">
              <w:rPr>
                <w:rFonts w:ascii="Arial"/>
                <w:b/>
                <w:w w:val="105"/>
                <w:sz w:val="16"/>
              </w:rPr>
              <w:t>by</w:t>
            </w:r>
            <w:r w:rsidRPr="00EB2BD8">
              <w:rPr>
                <w:rFonts w:ascii="Arial"/>
                <w:b/>
                <w:spacing w:val="-5"/>
                <w:w w:val="105"/>
                <w:sz w:val="16"/>
              </w:rPr>
              <w:t xml:space="preserve"> </w:t>
            </w:r>
            <w:r w:rsidRPr="00EB2BD8">
              <w:rPr>
                <w:rFonts w:ascii="Arial"/>
                <w:b/>
                <w:w w:val="105"/>
                <w:sz w:val="16"/>
              </w:rPr>
              <w:t>Responsible</w:t>
            </w:r>
            <w:r w:rsidRPr="00EB2BD8">
              <w:rPr>
                <w:rFonts w:ascii="Arial"/>
                <w:b/>
                <w:spacing w:val="-5"/>
                <w:w w:val="105"/>
                <w:sz w:val="16"/>
              </w:rPr>
              <w:t xml:space="preserve"> </w:t>
            </w:r>
            <w:r w:rsidRPr="00EB2BD8">
              <w:rPr>
                <w:rFonts w:ascii="Arial"/>
                <w:b/>
                <w:w w:val="105"/>
                <w:sz w:val="16"/>
              </w:rPr>
              <w:t>Persons from the VBA services for the financial period:</w:t>
            </w:r>
          </w:p>
        </w:tc>
        <w:tc>
          <w:tcPr>
            <w:tcW w:w="1083" w:type="dxa"/>
            <w:tcBorders>
              <w:top w:val="single" w:sz="12" w:space="0" w:color="000000"/>
              <w:bottom w:val="single" w:sz="12" w:space="0" w:color="000000"/>
            </w:tcBorders>
            <w:shd w:val="clear" w:color="auto" w:fill="DEEAF6"/>
          </w:tcPr>
          <w:p w14:paraId="6DA0F867" w14:textId="77777777" w:rsidR="00084F36" w:rsidRPr="00EB2BD8" w:rsidRDefault="00084F36">
            <w:pPr>
              <w:pStyle w:val="TableParagraph"/>
              <w:spacing w:before="7"/>
              <w:rPr>
                <w:rFonts w:ascii="Arial"/>
                <w:sz w:val="19"/>
              </w:rPr>
            </w:pPr>
          </w:p>
          <w:p w14:paraId="536668AD" w14:textId="77777777" w:rsidR="00084F36" w:rsidRPr="00EB2BD8" w:rsidRDefault="00EB2BD8">
            <w:pPr>
              <w:pStyle w:val="TableParagraph"/>
              <w:spacing w:before="1"/>
              <w:ind w:left="566"/>
              <w:rPr>
                <w:rFonts w:ascii="Arial"/>
                <w:b/>
                <w:sz w:val="16"/>
              </w:rPr>
            </w:pPr>
            <w:r w:rsidRPr="00EB2BD8">
              <w:rPr>
                <w:rFonts w:ascii="Arial"/>
                <w:b/>
                <w:spacing w:val="-2"/>
                <w:w w:val="105"/>
                <w:sz w:val="16"/>
              </w:rPr>
              <w:t>1,298</w:t>
            </w:r>
          </w:p>
        </w:tc>
        <w:tc>
          <w:tcPr>
            <w:tcW w:w="1083" w:type="dxa"/>
            <w:tcBorders>
              <w:top w:val="single" w:sz="12" w:space="0" w:color="000000"/>
              <w:bottom w:val="single" w:sz="12" w:space="0" w:color="000000"/>
            </w:tcBorders>
            <w:shd w:val="clear" w:color="auto" w:fill="FFFFFF"/>
          </w:tcPr>
          <w:p w14:paraId="1ACA85FF" w14:textId="77777777" w:rsidR="00084F36" w:rsidRPr="00EB2BD8" w:rsidRDefault="00084F36">
            <w:pPr>
              <w:pStyle w:val="TableParagraph"/>
              <w:spacing w:before="7"/>
              <w:rPr>
                <w:rFonts w:ascii="Arial"/>
                <w:sz w:val="19"/>
              </w:rPr>
            </w:pPr>
          </w:p>
          <w:p w14:paraId="6683569C" w14:textId="77777777" w:rsidR="00084F36" w:rsidRPr="00EB2BD8" w:rsidRDefault="00EB2BD8">
            <w:pPr>
              <w:pStyle w:val="TableParagraph"/>
              <w:spacing w:before="1"/>
              <w:ind w:left="706"/>
              <w:rPr>
                <w:rFonts w:ascii="Arial"/>
                <w:b/>
                <w:sz w:val="16"/>
              </w:rPr>
            </w:pPr>
            <w:r w:rsidRPr="00EB2BD8">
              <w:rPr>
                <w:rFonts w:ascii="Arial"/>
                <w:b/>
                <w:spacing w:val="-5"/>
                <w:w w:val="105"/>
                <w:sz w:val="16"/>
              </w:rPr>
              <w:t>894</w:t>
            </w:r>
          </w:p>
        </w:tc>
      </w:tr>
    </w:tbl>
    <w:p w14:paraId="78172D83" w14:textId="77777777" w:rsidR="00084F36" w:rsidRPr="00EB2BD8" w:rsidRDefault="00084F36">
      <w:pPr>
        <w:pStyle w:val="BodyText"/>
        <w:rPr>
          <w:rFonts w:ascii="Arial"/>
        </w:rPr>
      </w:pPr>
    </w:p>
    <w:p w14:paraId="2C3A0595" w14:textId="77777777" w:rsidR="00084F36" w:rsidRPr="00EB2BD8" w:rsidRDefault="00084F36">
      <w:pPr>
        <w:pStyle w:val="BodyText"/>
        <w:spacing w:before="4"/>
        <w:rPr>
          <w:rFonts w:ascii="Arial"/>
          <w:sz w:val="22"/>
        </w:rPr>
      </w:pPr>
    </w:p>
    <w:p w14:paraId="48F4FCDF" w14:textId="66C98783" w:rsidR="00084F36" w:rsidRPr="00601677" w:rsidRDefault="00601677" w:rsidP="00601677">
      <w:pPr>
        <w:pStyle w:val="Heading2"/>
        <w:ind w:firstLine="185"/>
      </w:pPr>
      <w:bookmarkStart w:id="367" w:name="_Toc150762669"/>
      <w:r>
        <w:t>8.</w:t>
      </w:r>
      <w:r w:rsidR="000546D6">
        <w:t>4</w:t>
      </w:r>
      <w:r>
        <w:t xml:space="preserve"> </w:t>
      </w:r>
      <w:r w:rsidRPr="00601677">
        <w:t>Remuneration</w:t>
      </w:r>
      <w:r w:rsidRPr="00601677">
        <w:rPr>
          <w:spacing w:val="17"/>
        </w:rPr>
        <w:t xml:space="preserve"> </w:t>
      </w:r>
      <w:r w:rsidRPr="00601677">
        <w:t>of</w:t>
      </w:r>
      <w:r w:rsidRPr="00601677">
        <w:rPr>
          <w:spacing w:val="19"/>
        </w:rPr>
        <w:t xml:space="preserve"> </w:t>
      </w:r>
      <w:r w:rsidRPr="00601677">
        <w:rPr>
          <w:spacing w:val="-2"/>
        </w:rPr>
        <w:t>executives</w:t>
      </w:r>
      <w:bookmarkEnd w:id="367"/>
    </w:p>
    <w:p w14:paraId="7995C562" w14:textId="77777777" w:rsidR="00084F36" w:rsidRPr="00EB2BD8" w:rsidRDefault="00EB2BD8">
      <w:pPr>
        <w:spacing w:before="177" w:line="290" w:lineRule="auto"/>
        <w:ind w:left="1035" w:right="2121"/>
        <w:rPr>
          <w:rFonts w:ascii="Arial"/>
          <w:sz w:val="16"/>
        </w:rPr>
      </w:pPr>
      <w:r w:rsidRPr="00EB2BD8">
        <w:rPr>
          <w:rFonts w:ascii="Arial"/>
          <w:w w:val="105"/>
          <w:sz w:val="16"/>
        </w:rPr>
        <w:t>The</w:t>
      </w:r>
      <w:r w:rsidRPr="00EB2BD8">
        <w:rPr>
          <w:rFonts w:ascii="Arial"/>
          <w:spacing w:val="-3"/>
          <w:w w:val="105"/>
          <w:sz w:val="16"/>
        </w:rPr>
        <w:t xml:space="preserve"> </w:t>
      </w:r>
      <w:r w:rsidRPr="00EB2BD8">
        <w:rPr>
          <w:rFonts w:ascii="Arial"/>
          <w:w w:val="105"/>
          <w:sz w:val="16"/>
        </w:rPr>
        <w:t>number</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executive</w:t>
      </w:r>
      <w:r w:rsidRPr="00EB2BD8">
        <w:rPr>
          <w:rFonts w:ascii="Arial"/>
          <w:spacing w:val="-3"/>
          <w:w w:val="105"/>
          <w:sz w:val="16"/>
        </w:rPr>
        <w:t xml:space="preserve"> </w:t>
      </w:r>
      <w:r w:rsidRPr="00EB2BD8">
        <w:rPr>
          <w:rFonts w:ascii="Arial"/>
          <w:w w:val="105"/>
          <w:sz w:val="16"/>
        </w:rPr>
        <w:t>officers,</w:t>
      </w:r>
      <w:r w:rsidRPr="00EB2BD8">
        <w:rPr>
          <w:rFonts w:ascii="Arial"/>
          <w:spacing w:val="-3"/>
          <w:w w:val="105"/>
          <w:sz w:val="16"/>
        </w:rPr>
        <w:t xml:space="preserve"> </w:t>
      </w:r>
      <w:r w:rsidRPr="00EB2BD8">
        <w:rPr>
          <w:rFonts w:ascii="Arial"/>
          <w:w w:val="105"/>
          <w:sz w:val="16"/>
        </w:rPr>
        <w:t>other</w:t>
      </w:r>
      <w:r w:rsidRPr="00EB2BD8">
        <w:rPr>
          <w:rFonts w:ascii="Arial"/>
          <w:spacing w:val="-3"/>
          <w:w w:val="105"/>
          <w:sz w:val="16"/>
        </w:rPr>
        <w:t xml:space="preserve"> </w:t>
      </w:r>
      <w:r w:rsidRPr="00EB2BD8">
        <w:rPr>
          <w:rFonts w:ascii="Arial"/>
          <w:w w:val="105"/>
          <w:sz w:val="16"/>
        </w:rPr>
        <w:t>than</w:t>
      </w:r>
      <w:r w:rsidRPr="00EB2BD8">
        <w:rPr>
          <w:rFonts w:ascii="Arial"/>
          <w:spacing w:val="-2"/>
          <w:w w:val="105"/>
          <w:sz w:val="16"/>
        </w:rPr>
        <w:t xml:space="preserve"> </w:t>
      </w:r>
      <w:r w:rsidRPr="00EB2BD8">
        <w:rPr>
          <w:rFonts w:ascii="Arial"/>
          <w:w w:val="105"/>
          <w:sz w:val="16"/>
        </w:rPr>
        <w:t>Ministers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accountable</w:t>
      </w:r>
      <w:r w:rsidRPr="00EB2BD8">
        <w:rPr>
          <w:rFonts w:ascii="Arial"/>
          <w:spacing w:val="-2"/>
          <w:w w:val="105"/>
          <w:sz w:val="16"/>
        </w:rPr>
        <w:t xml:space="preserve"> </w:t>
      </w:r>
      <w:r w:rsidRPr="00EB2BD8">
        <w:rPr>
          <w:rFonts w:ascii="Arial"/>
          <w:w w:val="105"/>
          <w:sz w:val="16"/>
        </w:rPr>
        <w:t>officer,</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their</w:t>
      </w:r>
      <w:r w:rsidRPr="00EB2BD8">
        <w:rPr>
          <w:rFonts w:ascii="Arial"/>
          <w:spacing w:val="-3"/>
          <w:w w:val="105"/>
          <w:sz w:val="16"/>
        </w:rPr>
        <w:t xml:space="preserve"> </w:t>
      </w:r>
      <w:r w:rsidRPr="00EB2BD8">
        <w:rPr>
          <w:rFonts w:ascii="Arial"/>
          <w:w w:val="105"/>
          <w:sz w:val="16"/>
        </w:rPr>
        <w:t>total</w:t>
      </w:r>
      <w:r w:rsidRPr="00EB2BD8">
        <w:rPr>
          <w:rFonts w:ascii="Arial"/>
          <w:spacing w:val="-3"/>
          <w:w w:val="105"/>
          <w:sz w:val="16"/>
        </w:rPr>
        <w:t xml:space="preserve"> </w:t>
      </w:r>
      <w:r w:rsidRPr="00EB2BD8">
        <w:rPr>
          <w:rFonts w:ascii="Arial"/>
          <w:w w:val="105"/>
          <w:sz w:val="16"/>
        </w:rPr>
        <w:t>remuneration</w:t>
      </w:r>
      <w:r w:rsidRPr="00EB2BD8">
        <w:rPr>
          <w:rFonts w:ascii="Arial"/>
          <w:spacing w:val="-3"/>
          <w:w w:val="105"/>
          <w:sz w:val="16"/>
        </w:rPr>
        <w:t xml:space="preserve"> </w:t>
      </w:r>
      <w:r w:rsidRPr="00EB2BD8">
        <w:rPr>
          <w:rFonts w:ascii="Arial"/>
          <w:w w:val="105"/>
          <w:sz w:val="16"/>
        </w:rPr>
        <w:t>during the reporting period are shown in the table below. Total annualised employee equivalents provide a measure of full time equivalent executive officers over the reporting period.</w:t>
      </w:r>
    </w:p>
    <w:p w14:paraId="01C240A8" w14:textId="77777777" w:rsidR="00084F36" w:rsidRPr="00EB2BD8" w:rsidRDefault="00084F36">
      <w:pPr>
        <w:pStyle w:val="BodyText"/>
        <w:spacing w:before="3"/>
        <w:rPr>
          <w:rFonts w:ascii="Arial"/>
          <w:sz w:val="19"/>
        </w:rPr>
      </w:pPr>
    </w:p>
    <w:p w14:paraId="143730D8" w14:textId="77777777" w:rsidR="00084F36" w:rsidRPr="00EB2BD8" w:rsidRDefault="00EB2BD8">
      <w:pPr>
        <w:spacing w:line="290" w:lineRule="auto"/>
        <w:ind w:left="1035" w:right="1813"/>
        <w:rPr>
          <w:rFonts w:ascii="Arial"/>
          <w:sz w:val="16"/>
        </w:rPr>
      </w:pPr>
      <w:r w:rsidRPr="00EB2BD8">
        <w:rPr>
          <w:rFonts w:ascii="Arial"/>
          <w:w w:val="105"/>
          <w:sz w:val="16"/>
        </w:rPr>
        <w:t>Remuneration</w:t>
      </w:r>
      <w:r w:rsidRPr="00EB2BD8">
        <w:rPr>
          <w:rFonts w:ascii="Arial"/>
          <w:spacing w:val="-2"/>
          <w:w w:val="105"/>
          <w:sz w:val="16"/>
        </w:rPr>
        <w:t xml:space="preserve"> </w:t>
      </w:r>
      <w:r w:rsidRPr="00EB2BD8">
        <w:rPr>
          <w:rFonts w:ascii="Arial"/>
          <w:w w:val="105"/>
          <w:sz w:val="16"/>
        </w:rPr>
        <w:t>comprises</w:t>
      </w:r>
      <w:r w:rsidRPr="00EB2BD8">
        <w:rPr>
          <w:rFonts w:ascii="Arial"/>
          <w:spacing w:val="-2"/>
          <w:w w:val="105"/>
          <w:sz w:val="16"/>
        </w:rPr>
        <w:t xml:space="preserve"> </w:t>
      </w:r>
      <w:r w:rsidRPr="00EB2BD8">
        <w:rPr>
          <w:rFonts w:ascii="Arial"/>
          <w:w w:val="105"/>
          <w:sz w:val="16"/>
        </w:rPr>
        <w:t>employee</w:t>
      </w:r>
      <w:r w:rsidRPr="00EB2BD8">
        <w:rPr>
          <w:rFonts w:ascii="Arial"/>
          <w:spacing w:val="-3"/>
          <w:w w:val="105"/>
          <w:sz w:val="16"/>
        </w:rPr>
        <w:t xml:space="preserve"> </w:t>
      </w:r>
      <w:r w:rsidRPr="00EB2BD8">
        <w:rPr>
          <w:rFonts w:ascii="Arial"/>
          <w:w w:val="105"/>
          <w:sz w:val="16"/>
        </w:rPr>
        <w:t>benefits</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all</w:t>
      </w:r>
      <w:r w:rsidRPr="00EB2BD8">
        <w:rPr>
          <w:rFonts w:ascii="Arial"/>
          <w:spacing w:val="-3"/>
          <w:w w:val="105"/>
          <w:sz w:val="16"/>
        </w:rPr>
        <w:t xml:space="preserve"> </w:t>
      </w:r>
      <w:r w:rsidRPr="00EB2BD8">
        <w:rPr>
          <w:rFonts w:ascii="Arial"/>
          <w:w w:val="105"/>
          <w:sz w:val="16"/>
        </w:rPr>
        <w:t>forms</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consideration</w:t>
      </w:r>
      <w:r w:rsidRPr="00EB2BD8">
        <w:rPr>
          <w:rFonts w:ascii="Arial"/>
          <w:spacing w:val="-3"/>
          <w:w w:val="105"/>
          <w:sz w:val="16"/>
        </w:rPr>
        <w:t xml:space="preserve"> </w:t>
      </w:r>
      <w:r w:rsidRPr="00EB2BD8">
        <w:rPr>
          <w:rFonts w:ascii="Arial"/>
          <w:w w:val="105"/>
          <w:sz w:val="16"/>
        </w:rPr>
        <w:t>paid,</w:t>
      </w:r>
      <w:r w:rsidRPr="00EB2BD8">
        <w:rPr>
          <w:rFonts w:ascii="Arial"/>
          <w:spacing w:val="-3"/>
          <w:w w:val="105"/>
          <w:sz w:val="16"/>
        </w:rPr>
        <w:t xml:space="preserve"> </w:t>
      </w:r>
      <w:r w:rsidRPr="00EB2BD8">
        <w:rPr>
          <w:rFonts w:ascii="Arial"/>
          <w:w w:val="105"/>
          <w:sz w:val="16"/>
        </w:rPr>
        <w:t>payable</w:t>
      </w:r>
      <w:r w:rsidRPr="00EB2BD8">
        <w:rPr>
          <w:rFonts w:ascii="Arial"/>
          <w:spacing w:val="-3"/>
          <w:w w:val="105"/>
          <w:sz w:val="16"/>
        </w:rPr>
        <w:t xml:space="preserve"> </w:t>
      </w:r>
      <w:r w:rsidRPr="00EB2BD8">
        <w:rPr>
          <w:rFonts w:ascii="Arial"/>
          <w:w w:val="105"/>
          <w:sz w:val="16"/>
        </w:rPr>
        <w:t>or</w:t>
      </w:r>
      <w:r w:rsidRPr="00EB2BD8">
        <w:rPr>
          <w:rFonts w:ascii="Arial"/>
          <w:spacing w:val="-2"/>
          <w:w w:val="105"/>
          <w:sz w:val="16"/>
        </w:rPr>
        <w:t xml:space="preserve"> </w:t>
      </w:r>
      <w:r w:rsidRPr="00EB2BD8">
        <w:rPr>
          <w:rFonts w:ascii="Arial"/>
          <w:w w:val="105"/>
          <w:sz w:val="16"/>
        </w:rPr>
        <w:t>provided</w:t>
      </w:r>
      <w:r w:rsidRPr="00EB2BD8">
        <w:rPr>
          <w:rFonts w:ascii="Arial"/>
          <w:spacing w:val="-3"/>
          <w:w w:val="105"/>
          <w:sz w:val="16"/>
        </w:rPr>
        <w:t xml:space="preserve"> </w:t>
      </w:r>
      <w:r w:rsidRPr="00EB2BD8">
        <w:rPr>
          <w:rFonts w:ascii="Arial"/>
          <w:w w:val="105"/>
          <w:sz w:val="16"/>
        </w:rPr>
        <w:t>by</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entity,</w:t>
      </w:r>
      <w:r w:rsidRPr="00EB2BD8">
        <w:rPr>
          <w:rFonts w:ascii="Arial"/>
          <w:spacing w:val="-3"/>
          <w:w w:val="105"/>
          <w:sz w:val="16"/>
        </w:rPr>
        <w:t xml:space="preserve"> </w:t>
      </w:r>
      <w:r w:rsidRPr="00EB2BD8">
        <w:rPr>
          <w:rFonts w:ascii="Arial"/>
          <w:w w:val="105"/>
          <w:sz w:val="16"/>
        </w:rPr>
        <w:t>or</w:t>
      </w:r>
      <w:r w:rsidRPr="00EB2BD8">
        <w:rPr>
          <w:rFonts w:ascii="Arial"/>
          <w:spacing w:val="-3"/>
          <w:w w:val="105"/>
          <w:sz w:val="16"/>
        </w:rPr>
        <w:t xml:space="preserve"> </w:t>
      </w:r>
      <w:r w:rsidRPr="00EB2BD8">
        <w:rPr>
          <w:rFonts w:ascii="Arial"/>
          <w:w w:val="105"/>
          <w:sz w:val="16"/>
        </w:rPr>
        <w:t>on behalf of the entity, in exchange for services rendered, and is disclosed in the following categories:</w:t>
      </w:r>
    </w:p>
    <w:p w14:paraId="245990B6" w14:textId="77777777" w:rsidR="00084F36" w:rsidRPr="00EB2BD8" w:rsidRDefault="00084F36">
      <w:pPr>
        <w:pStyle w:val="BodyText"/>
        <w:spacing w:before="3"/>
        <w:rPr>
          <w:rFonts w:ascii="Arial"/>
          <w:sz w:val="19"/>
        </w:rPr>
      </w:pPr>
    </w:p>
    <w:p w14:paraId="1B11501D" w14:textId="77777777" w:rsidR="00084F36" w:rsidRPr="00EB2BD8" w:rsidRDefault="00EB2BD8">
      <w:pPr>
        <w:spacing w:line="290" w:lineRule="auto"/>
        <w:ind w:left="1035" w:right="2153"/>
        <w:rPr>
          <w:rFonts w:ascii="Arial"/>
          <w:sz w:val="16"/>
        </w:rPr>
      </w:pPr>
      <w:r w:rsidRPr="00EB2BD8">
        <w:rPr>
          <w:rFonts w:ascii="Arial"/>
          <w:b/>
          <w:w w:val="105"/>
          <w:sz w:val="16"/>
        </w:rPr>
        <w:t>Short-term</w:t>
      </w:r>
      <w:r w:rsidRPr="00EB2BD8">
        <w:rPr>
          <w:rFonts w:ascii="Arial"/>
          <w:b/>
          <w:spacing w:val="-3"/>
          <w:w w:val="105"/>
          <w:sz w:val="16"/>
        </w:rPr>
        <w:t xml:space="preserve"> </w:t>
      </w:r>
      <w:r w:rsidRPr="00EB2BD8">
        <w:rPr>
          <w:rFonts w:ascii="Arial"/>
          <w:b/>
          <w:w w:val="105"/>
          <w:sz w:val="16"/>
        </w:rPr>
        <w:t>employee</w:t>
      </w:r>
      <w:r w:rsidRPr="00EB2BD8">
        <w:rPr>
          <w:rFonts w:ascii="Arial"/>
          <w:b/>
          <w:spacing w:val="-3"/>
          <w:w w:val="105"/>
          <w:sz w:val="16"/>
        </w:rPr>
        <w:t xml:space="preserve"> </w:t>
      </w:r>
      <w:r w:rsidRPr="00EB2BD8">
        <w:rPr>
          <w:rFonts w:ascii="Arial"/>
          <w:b/>
          <w:w w:val="105"/>
          <w:sz w:val="16"/>
        </w:rPr>
        <w:t>benefits</w:t>
      </w:r>
      <w:r w:rsidRPr="00EB2BD8">
        <w:rPr>
          <w:rFonts w:ascii="Arial"/>
          <w:b/>
          <w:spacing w:val="-3"/>
          <w:w w:val="105"/>
          <w:sz w:val="16"/>
        </w:rPr>
        <w:t xml:space="preserve"> </w:t>
      </w:r>
      <w:r w:rsidRPr="00EB2BD8">
        <w:rPr>
          <w:rFonts w:ascii="Arial"/>
          <w:w w:val="105"/>
          <w:sz w:val="16"/>
        </w:rPr>
        <w:t>include</w:t>
      </w:r>
      <w:r w:rsidRPr="00EB2BD8">
        <w:rPr>
          <w:rFonts w:ascii="Arial"/>
          <w:spacing w:val="-3"/>
          <w:w w:val="105"/>
          <w:sz w:val="16"/>
        </w:rPr>
        <w:t xml:space="preserve"> </w:t>
      </w:r>
      <w:r w:rsidRPr="00EB2BD8">
        <w:rPr>
          <w:rFonts w:ascii="Arial"/>
          <w:w w:val="105"/>
          <w:sz w:val="16"/>
        </w:rPr>
        <w:t>amounts</w:t>
      </w:r>
      <w:r w:rsidRPr="00EB2BD8">
        <w:rPr>
          <w:rFonts w:ascii="Arial"/>
          <w:spacing w:val="-3"/>
          <w:w w:val="105"/>
          <w:sz w:val="16"/>
        </w:rPr>
        <w:t xml:space="preserve"> </w:t>
      </w:r>
      <w:r w:rsidRPr="00EB2BD8">
        <w:rPr>
          <w:rFonts w:ascii="Arial"/>
          <w:w w:val="105"/>
          <w:sz w:val="16"/>
        </w:rPr>
        <w:t>such</w:t>
      </w:r>
      <w:r w:rsidRPr="00EB2BD8">
        <w:rPr>
          <w:rFonts w:ascii="Arial"/>
          <w:spacing w:val="-2"/>
          <w:w w:val="105"/>
          <w:sz w:val="16"/>
        </w:rPr>
        <w:t xml:space="preserve"> </w:t>
      </w:r>
      <w:r w:rsidRPr="00EB2BD8">
        <w:rPr>
          <w:rFonts w:ascii="Arial"/>
          <w:w w:val="105"/>
          <w:sz w:val="16"/>
        </w:rPr>
        <w:t>as</w:t>
      </w:r>
      <w:r w:rsidRPr="00EB2BD8">
        <w:rPr>
          <w:rFonts w:ascii="Arial"/>
          <w:spacing w:val="-3"/>
          <w:w w:val="105"/>
          <w:sz w:val="16"/>
        </w:rPr>
        <w:t xml:space="preserve"> </w:t>
      </w:r>
      <w:r w:rsidRPr="00EB2BD8">
        <w:rPr>
          <w:rFonts w:ascii="Arial"/>
          <w:w w:val="105"/>
          <w:sz w:val="16"/>
        </w:rPr>
        <w:t>wages,</w:t>
      </w:r>
      <w:r w:rsidRPr="00EB2BD8">
        <w:rPr>
          <w:rFonts w:ascii="Arial"/>
          <w:spacing w:val="-3"/>
          <w:w w:val="105"/>
          <w:sz w:val="16"/>
        </w:rPr>
        <w:t xml:space="preserve"> </w:t>
      </w:r>
      <w:r w:rsidRPr="00EB2BD8">
        <w:rPr>
          <w:rFonts w:ascii="Arial"/>
          <w:w w:val="105"/>
          <w:sz w:val="16"/>
        </w:rPr>
        <w:t>salaries,</w:t>
      </w:r>
      <w:r w:rsidRPr="00EB2BD8">
        <w:rPr>
          <w:rFonts w:ascii="Arial"/>
          <w:spacing w:val="-3"/>
          <w:w w:val="105"/>
          <w:sz w:val="16"/>
        </w:rPr>
        <w:t xml:space="preserve"> </w:t>
      </w:r>
      <w:r w:rsidRPr="00EB2BD8">
        <w:rPr>
          <w:rFonts w:ascii="Arial"/>
          <w:w w:val="105"/>
          <w:sz w:val="16"/>
        </w:rPr>
        <w:t>annual</w:t>
      </w:r>
      <w:r w:rsidRPr="00EB2BD8">
        <w:rPr>
          <w:rFonts w:ascii="Arial"/>
          <w:spacing w:val="-3"/>
          <w:w w:val="105"/>
          <w:sz w:val="16"/>
        </w:rPr>
        <w:t xml:space="preserve"> </w:t>
      </w:r>
      <w:r w:rsidRPr="00EB2BD8">
        <w:rPr>
          <w:rFonts w:ascii="Arial"/>
          <w:w w:val="105"/>
          <w:sz w:val="16"/>
        </w:rPr>
        <w:t>leave</w:t>
      </w:r>
      <w:r w:rsidRPr="00EB2BD8">
        <w:rPr>
          <w:rFonts w:ascii="Arial"/>
          <w:spacing w:val="-2"/>
          <w:w w:val="105"/>
          <w:sz w:val="16"/>
        </w:rPr>
        <w:t xml:space="preserve"> </w:t>
      </w:r>
      <w:r w:rsidRPr="00EB2BD8">
        <w:rPr>
          <w:rFonts w:ascii="Arial"/>
          <w:w w:val="105"/>
          <w:sz w:val="16"/>
        </w:rPr>
        <w:t>or</w:t>
      </w:r>
      <w:r w:rsidRPr="00EB2BD8">
        <w:rPr>
          <w:rFonts w:ascii="Arial"/>
          <w:spacing w:val="-3"/>
          <w:w w:val="105"/>
          <w:sz w:val="16"/>
        </w:rPr>
        <w:t xml:space="preserve"> </w:t>
      </w:r>
      <w:r w:rsidRPr="00EB2BD8">
        <w:rPr>
          <w:rFonts w:ascii="Arial"/>
          <w:w w:val="105"/>
          <w:sz w:val="16"/>
        </w:rPr>
        <w:t>sick</w:t>
      </w:r>
      <w:r w:rsidRPr="00EB2BD8">
        <w:rPr>
          <w:rFonts w:ascii="Arial"/>
          <w:spacing w:val="-3"/>
          <w:w w:val="105"/>
          <w:sz w:val="16"/>
        </w:rPr>
        <w:t xml:space="preserve"> </w:t>
      </w:r>
      <w:r w:rsidRPr="00EB2BD8">
        <w:rPr>
          <w:rFonts w:ascii="Arial"/>
          <w:w w:val="105"/>
          <w:sz w:val="16"/>
        </w:rPr>
        <w:t>leave</w:t>
      </w:r>
      <w:r w:rsidRPr="00EB2BD8">
        <w:rPr>
          <w:rFonts w:ascii="Arial"/>
          <w:spacing w:val="-3"/>
          <w:w w:val="105"/>
          <w:sz w:val="16"/>
        </w:rPr>
        <w:t xml:space="preserve"> </w:t>
      </w:r>
      <w:r w:rsidRPr="00EB2BD8">
        <w:rPr>
          <w:rFonts w:ascii="Arial"/>
          <w:w w:val="105"/>
          <w:sz w:val="16"/>
        </w:rPr>
        <w:t>that</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usually paid or payable on a regular basis, as well as non-monetary benefits such as allowances and free or subsidised goods or services.</w:t>
      </w:r>
    </w:p>
    <w:p w14:paraId="023B32A5" w14:textId="77777777" w:rsidR="00084F36" w:rsidRPr="00EB2BD8" w:rsidRDefault="00084F36">
      <w:pPr>
        <w:pStyle w:val="BodyText"/>
        <w:spacing w:before="2"/>
        <w:rPr>
          <w:rFonts w:ascii="Arial"/>
          <w:sz w:val="19"/>
        </w:rPr>
      </w:pPr>
    </w:p>
    <w:p w14:paraId="341289B5" w14:textId="77777777" w:rsidR="00084F36" w:rsidRPr="00EB2BD8" w:rsidRDefault="00EB2BD8">
      <w:pPr>
        <w:spacing w:line="290" w:lineRule="auto"/>
        <w:ind w:left="1035" w:right="1813"/>
        <w:rPr>
          <w:rFonts w:ascii="Arial"/>
          <w:sz w:val="16"/>
        </w:rPr>
      </w:pPr>
      <w:r w:rsidRPr="00EB2BD8">
        <w:rPr>
          <w:rFonts w:ascii="Arial"/>
          <w:b/>
          <w:w w:val="105"/>
          <w:sz w:val="16"/>
        </w:rPr>
        <w:t>Post-employment</w:t>
      </w:r>
      <w:r w:rsidRPr="00EB2BD8">
        <w:rPr>
          <w:rFonts w:ascii="Arial"/>
          <w:b/>
          <w:spacing w:val="-3"/>
          <w:w w:val="105"/>
          <w:sz w:val="16"/>
        </w:rPr>
        <w:t xml:space="preserve"> </w:t>
      </w:r>
      <w:r w:rsidRPr="00EB2BD8">
        <w:rPr>
          <w:rFonts w:ascii="Arial"/>
          <w:b/>
          <w:w w:val="105"/>
          <w:sz w:val="16"/>
        </w:rPr>
        <w:t>benefits</w:t>
      </w:r>
      <w:r w:rsidRPr="00EB2BD8">
        <w:rPr>
          <w:rFonts w:ascii="Arial"/>
          <w:b/>
          <w:spacing w:val="-3"/>
          <w:w w:val="105"/>
          <w:sz w:val="16"/>
        </w:rPr>
        <w:t xml:space="preserve"> </w:t>
      </w:r>
      <w:r w:rsidRPr="00EB2BD8">
        <w:rPr>
          <w:rFonts w:ascii="Arial"/>
          <w:w w:val="105"/>
          <w:sz w:val="16"/>
        </w:rPr>
        <w:t>include</w:t>
      </w:r>
      <w:r w:rsidRPr="00EB2BD8">
        <w:rPr>
          <w:rFonts w:ascii="Arial"/>
          <w:spacing w:val="-3"/>
          <w:w w:val="105"/>
          <w:sz w:val="16"/>
        </w:rPr>
        <w:t xml:space="preserve"> </w:t>
      </w:r>
      <w:r w:rsidRPr="00EB2BD8">
        <w:rPr>
          <w:rFonts w:ascii="Arial"/>
          <w:w w:val="105"/>
          <w:sz w:val="16"/>
        </w:rPr>
        <w:t>pensions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other</w:t>
      </w:r>
      <w:r w:rsidRPr="00EB2BD8">
        <w:rPr>
          <w:rFonts w:ascii="Arial"/>
          <w:spacing w:val="-3"/>
          <w:w w:val="105"/>
          <w:sz w:val="16"/>
        </w:rPr>
        <w:t xml:space="preserve"> </w:t>
      </w:r>
      <w:r w:rsidRPr="00EB2BD8">
        <w:rPr>
          <w:rFonts w:ascii="Arial"/>
          <w:w w:val="105"/>
          <w:sz w:val="16"/>
        </w:rPr>
        <w:t>retirement</w:t>
      </w:r>
      <w:r w:rsidRPr="00EB2BD8">
        <w:rPr>
          <w:rFonts w:ascii="Arial"/>
          <w:spacing w:val="-3"/>
          <w:w w:val="105"/>
          <w:sz w:val="16"/>
        </w:rPr>
        <w:t xml:space="preserve"> </w:t>
      </w:r>
      <w:r w:rsidRPr="00EB2BD8">
        <w:rPr>
          <w:rFonts w:ascii="Arial"/>
          <w:w w:val="105"/>
          <w:sz w:val="16"/>
        </w:rPr>
        <w:t>benefits</w:t>
      </w:r>
      <w:r w:rsidRPr="00EB2BD8">
        <w:rPr>
          <w:rFonts w:ascii="Arial"/>
          <w:spacing w:val="-3"/>
          <w:w w:val="105"/>
          <w:sz w:val="16"/>
        </w:rPr>
        <w:t xml:space="preserve"> </w:t>
      </w:r>
      <w:r w:rsidRPr="00EB2BD8">
        <w:rPr>
          <w:rFonts w:ascii="Arial"/>
          <w:w w:val="105"/>
          <w:sz w:val="16"/>
        </w:rPr>
        <w:t>paid</w:t>
      </w:r>
      <w:r w:rsidRPr="00EB2BD8">
        <w:rPr>
          <w:rFonts w:ascii="Arial"/>
          <w:spacing w:val="-3"/>
          <w:w w:val="105"/>
          <w:sz w:val="16"/>
        </w:rPr>
        <w:t xml:space="preserve"> </w:t>
      </w:r>
      <w:r w:rsidRPr="00EB2BD8">
        <w:rPr>
          <w:rFonts w:ascii="Arial"/>
          <w:w w:val="105"/>
          <w:sz w:val="16"/>
        </w:rPr>
        <w:t>or</w:t>
      </w:r>
      <w:r w:rsidRPr="00EB2BD8">
        <w:rPr>
          <w:rFonts w:ascii="Arial"/>
          <w:spacing w:val="-3"/>
          <w:w w:val="105"/>
          <w:sz w:val="16"/>
        </w:rPr>
        <w:t xml:space="preserve"> </w:t>
      </w:r>
      <w:r w:rsidRPr="00EB2BD8">
        <w:rPr>
          <w:rFonts w:ascii="Arial"/>
          <w:w w:val="105"/>
          <w:sz w:val="16"/>
        </w:rPr>
        <w:t>payable</w:t>
      </w:r>
      <w:r w:rsidRPr="00EB2BD8">
        <w:rPr>
          <w:rFonts w:ascii="Arial"/>
          <w:spacing w:val="-3"/>
          <w:w w:val="105"/>
          <w:sz w:val="16"/>
        </w:rPr>
        <w:t xml:space="preserve"> </w:t>
      </w:r>
      <w:r w:rsidRPr="00EB2BD8">
        <w:rPr>
          <w:rFonts w:ascii="Arial"/>
          <w:w w:val="105"/>
          <w:sz w:val="16"/>
        </w:rPr>
        <w:t>on</w:t>
      </w:r>
      <w:r w:rsidRPr="00EB2BD8">
        <w:rPr>
          <w:rFonts w:ascii="Arial"/>
          <w:spacing w:val="-3"/>
          <w:w w:val="105"/>
          <w:sz w:val="16"/>
        </w:rPr>
        <w:t xml:space="preserve"> </w:t>
      </w:r>
      <w:r w:rsidRPr="00EB2BD8">
        <w:rPr>
          <w:rFonts w:ascii="Arial"/>
          <w:w w:val="105"/>
          <w:sz w:val="16"/>
        </w:rPr>
        <w:t>a</w:t>
      </w:r>
      <w:r w:rsidRPr="00EB2BD8">
        <w:rPr>
          <w:rFonts w:ascii="Arial"/>
          <w:spacing w:val="-3"/>
          <w:w w:val="105"/>
          <w:sz w:val="16"/>
        </w:rPr>
        <w:t xml:space="preserve"> </w:t>
      </w:r>
      <w:r w:rsidRPr="00EB2BD8">
        <w:rPr>
          <w:rFonts w:ascii="Arial"/>
          <w:w w:val="105"/>
          <w:sz w:val="16"/>
        </w:rPr>
        <w:t>discrete</w:t>
      </w:r>
      <w:r w:rsidRPr="00EB2BD8">
        <w:rPr>
          <w:rFonts w:ascii="Arial"/>
          <w:spacing w:val="-3"/>
          <w:w w:val="105"/>
          <w:sz w:val="16"/>
        </w:rPr>
        <w:t xml:space="preserve"> </w:t>
      </w:r>
      <w:r w:rsidRPr="00EB2BD8">
        <w:rPr>
          <w:rFonts w:ascii="Arial"/>
          <w:w w:val="105"/>
          <w:sz w:val="16"/>
        </w:rPr>
        <w:t>basis</w:t>
      </w:r>
      <w:r w:rsidRPr="00EB2BD8">
        <w:rPr>
          <w:rFonts w:ascii="Arial"/>
          <w:spacing w:val="-3"/>
          <w:w w:val="105"/>
          <w:sz w:val="16"/>
        </w:rPr>
        <w:t xml:space="preserve"> </w:t>
      </w:r>
      <w:r w:rsidRPr="00EB2BD8">
        <w:rPr>
          <w:rFonts w:ascii="Arial"/>
          <w:w w:val="105"/>
          <w:sz w:val="16"/>
        </w:rPr>
        <w:t>when employment has ceased.</w:t>
      </w:r>
    </w:p>
    <w:p w14:paraId="4639AD36" w14:textId="77777777" w:rsidR="00084F36" w:rsidRPr="00EB2BD8" w:rsidRDefault="00084F36">
      <w:pPr>
        <w:pStyle w:val="BodyText"/>
        <w:spacing w:before="2"/>
        <w:rPr>
          <w:rFonts w:ascii="Arial"/>
          <w:sz w:val="19"/>
        </w:rPr>
      </w:pPr>
    </w:p>
    <w:p w14:paraId="2DB6D3E6" w14:textId="77777777" w:rsidR="00084F36" w:rsidRPr="00EB2BD8" w:rsidRDefault="00EB2BD8">
      <w:pPr>
        <w:spacing w:before="1"/>
        <w:ind w:left="1035"/>
        <w:rPr>
          <w:rFonts w:ascii="Arial"/>
          <w:sz w:val="16"/>
        </w:rPr>
      </w:pPr>
      <w:r w:rsidRPr="00EB2BD8">
        <w:rPr>
          <w:rFonts w:ascii="Arial"/>
          <w:b/>
          <w:w w:val="105"/>
          <w:sz w:val="16"/>
        </w:rPr>
        <w:t>Other</w:t>
      </w:r>
      <w:r w:rsidRPr="00EB2BD8">
        <w:rPr>
          <w:rFonts w:ascii="Arial"/>
          <w:b/>
          <w:spacing w:val="-7"/>
          <w:w w:val="105"/>
          <w:sz w:val="16"/>
        </w:rPr>
        <w:t xml:space="preserve"> </w:t>
      </w:r>
      <w:r w:rsidRPr="00EB2BD8">
        <w:rPr>
          <w:rFonts w:ascii="Arial"/>
          <w:b/>
          <w:w w:val="105"/>
          <w:sz w:val="16"/>
        </w:rPr>
        <w:t>long-term</w:t>
      </w:r>
      <w:r w:rsidRPr="00EB2BD8">
        <w:rPr>
          <w:rFonts w:ascii="Arial"/>
          <w:b/>
          <w:spacing w:val="-7"/>
          <w:w w:val="105"/>
          <w:sz w:val="16"/>
        </w:rPr>
        <w:t xml:space="preserve"> </w:t>
      </w:r>
      <w:r w:rsidRPr="00EB2BD8">
        <w:rPr>
          <w:rFonts w:ascii="Arial"/>
          <w:b/>
          <w:w w:val="105"/>
          <w:sz w:val="16"/>
        </w:rPr>
        <w:t>benefits</w:t>
      </w:r>
      <w:r w:rsidRPr="00EB2BD8">
        <w:rPr>
          <w:rFonts w:ascii="Arial"/>
          <w:b/>
          <w:spacing w:val="-7"/>
          <w:w w:val="105"/>
          <w:sz w:val="16"/>
        </w:rPr>
        <w:t xml:space="preserve"> </w:t>
      </w:r>
      <w:r w:rsidRPr="00EB2BD8">
        <w:rPr>
          <w:rFonts w:ascii="Arial"/>
          <w:w w:val="105"/>
          <w:sz w:val="16"/>
        </w:rPr>
        <w:t>include</w:t>
      </w:r>
      <w:r w:rsidRPr="00EB2BD8">
        <w:rPr>
          <w:rFonts w:ascii="Arial"/>
          <w:spacing w:val="-7"/>
          <w:w w:val="105"/>
          <w:sz w:val="16"/>
        </w:rPr>
        <w:t xml:space="preserve"> </w:t>
      </w:r>
      <w:r w:rsidRPr="00EB2BD8">
        <w:rPr>
          <w:rFonts w:ascii="Arial"/>
          <w:w w:val="105"/>
          <w:sz w:val="16"/>
        </w:rPr>
        <w:t>long</w:t>
      </w:r>
      <w:r w:rsidRPr="00EB2BD8">
        <w:rPr>
          <w:rFonts w:ascii="Arial"/>
          <w:spacing w:val="-7"/>
          <w:w w:val="105"/>
          <w:sz w:val="16"/>
        </w:rPr>
        <w:t xml:space="preserve"> </w:t>
      </w:r>
      <w:r w:rsidRPr="00EB2BD8">
        <w:rPr>
          <w:rFonts w:ascii="Arial"/>
          <w:w w:val="105"/>
          <w:sz w:val="16"/>
        </w:rPr>
        <w:t>service</w:t>
      </w:r>
      <w:r w:rsidRPr="00EB2BD8">
        <w:rPr>
          <w:rFonts w:ascii="Arial"/>
          <w:spacing w:val="-7"/>
          <w:w w:val="105"/>
          <w:sz w:val="16"/>
        </w:rPr>
        <w:t xml:space="preserve"> </w:t>
      </w:r>
      <w:r w:rsidRPr="00EB2BD8">
        <w:rPr>
          <w:rFonts w:ascii="Arial"/>
          <w:w w:val="105"/>
          <w:sz w:val="16"/>
        </w:rPr>
        <w:t>leave,</w:t>
      </w:r>
      <w:r w:rsidRPr="00EB2BD8">
        <w:rPr>
          <w:rFonts w:ascii="Arial"/>
          <w:spacing w:val="-7"/>
          <w:w w:val="105"/>
          <w:sz w:val="16"/>
        </w:rPr>
        <w:t xml:space="preserve"> </w:t>
      </w:r>
      <w:r w:rsidRPr="00EB2BD8">
        <w:rPr>
          <w:rFonts w:ascii="Arial"/>
          <w:w w:val="105"/>
          <w:sz w:val="16"/>
        </w:rPr>
        <w:t>other</w:t>
      </w:r>
      <w:r w:rsidRPr="00EB2BD8">
        <w:rPr>
          <w:rFonts w:ascii="Arial"/>
          <w:spacing w:val="-7"/>
          <w:w w:val="105"/>
          <w:sz w:val="16"/>
        </w:rPr>
        <w:t xml:space="preserve"> </w:t>
      </w:r>
      <w:r w:rsidRPr="00EB2BD8">
        <w:rPr>
          <w:rFonts w:ascii="Arial"/>
          <w:w w:val="105"/>
          <w:sz w:val="16"/>
        </w:rPr>
        <w:t>long</w:t>
      </w:r>
      <w:r w:rsidRPr="00EB2BD8">
        <w:rPr>
          <w:rFonts w:ascii="Arial"/>
          <w:spacing w:val="-7"/>
          <w:w w:val="105"/>
          <w:sz w:val="16"/>
        </w:rPr>
        <w:t xml:space="preserve"> </w:t>
      </w:r>
      <w:r w:rsidRPr="00EB2BD8">
        <w:rPr>
          <w:rFonts w:ascii="Arial"/>
          <w:w w:val="105"/>
          <w:sz w:val="16"/>
        </w:rPr>
        <w:t>service</w:t>
      </w:r>
      <w:r w:rsidRPr="00EB2BD8">
        <w:rPr>
          <w:rFonts w:ascii="Arial"/>
          <w:spacing w:val="-7"/>
          <w:w w:val="105"/>
          <w:sz w:val="16"/>
        </w:rPr>
        <w:t xml:space="preserve"> </w:t>
      </w:r>
      <w:r w:rsidRPr="00EB2BD8">
        <w:rPr>
          <w:rFonts w:ascii="Arial"/>
          <w:w w:val="105"/>
          <w:sz w:val="16"/>
        </w:rPr>
        <w:t>benefits</w:t>
      </w:r>
      <w:r w:rsidRPr="00EB2BD8">
        <w:rPr>
          <w:rFonts w:ascii="Arial"/>
          <w:spacing w:val="-7"/>
          <w:w w:val="105"/>
          <w:sz w:val="16"/>
        </w:rPr>
        <w:t xml:space="preserve"> </w:t>
      </w:r>
      <w:r w:rsidRPr="00EB2BD8">
        <w:rPr>
          <w:rFonts w:ascii="Arial"/>
          <w:w w:val="105"/>
          <w:sz w:val="16"/>
        </w:rPr>
        <w:t>or</w:t>
      </w:r>
      <w:r w:rsidRPr="00EB2BD8">
        <w:rPr>
          <w:rFonts w:ascii="Arial"/>
          <w:spacing w:val="-7"/>
          <w:w w:val="105"/>
          <w:sz w:val="16"/>
        </w:rPr>
        <w:t xml:space="preserve"> </w:t>
      </w:r>
      <w:r w:rsidRPr="00EB2BD8">
        <w:rPr>
          <w:rFonts w:ascii="Arial"/>
          <w:w w:val="105"/>
          <w:sz w:val="16"/>
        </w:rPr>
        <w:t>deferred</w:t>
      </w:r>
      <w:r w:rsidRPr="00EB2BD8">
        <w:rPr>
          <w:rFonts w:ascii="Arial"/>
          <w:spacing w:val="-7"/>
          <w:w w:val="105"/>
          <w:sz w:val="16"/>
        </w:rPr>
        <w:t xml:space="preserve"> </w:t>
      </w:r>
      <w:r w:rsidRPr="00EB2BD8">
        <w:rPr>
          <w:rFonts w:ascii="Arial"/>
          <w:spacing w:val="-2"/>
          <w:w w:val="105"/>
          <w:sz w:val="16"/>
        </w:rPr>
        <w:t>compensation</w:t>
      </w:r>
    </w:p>
    <w:p w14:paraId="59EBEBE1" w14:textId="77777777" w:rsidR="00084F36" w:rsidRPr="00EB2BD8" w:rsidRDefault="00084F36">
      <w:pPr>
        <w:pStyle w:val="BodyText"/>
        <w:spacing w:before="7"/>
        <w:rPr>
          <w:rFonts w:ascii="Arial"/>
          <w:sz w:val="22"/>
        </w:rPr>
      </w:pPr>
    </w:p>
    <w:p w14:paraId="4AC501F6" w14:textId="77777777" w:rsidR="00084F36" w:rsidRPr="00EB2BD8" w:rsidRDefault="00EB2BD8">
      <w:pPr>
        <w:ind w:left="1035"/>
        <w:rPr>
          <w:rFonts w:ascii="Arial"/>
          <w:sz w:val="16"/>
        </w:rPr>
      </w:pPr>
      <w:r w:rsidRPr="00EB2BD8">
        <w:rPr>
          <w:rFonts w:ascii="Arial"/>
          <w:b/>
          <w:w w:val="105"/>
          <w:sz w:val="16"/>
        </w:rPr>
        <w:t>Termination</w:t>
      </w:r>
      <w:r w:rsidRPr="00EB2BD8">
        <w:rPr>
          <w:rFonts w:ascii="Arial"/>
          <w:b/>
          <w:spacing w:val="-10"/>
          <w:w w:val="105"/>
          <w:sz w:val="16"/>
        </w:rPr>
        <w:t xml:space="preserve"> </w:t>
      </w:r>
      <w:r w:rsidRPr="00EB2BD8">
        <w:rPr>
          <w:rFonts w:ascii="Arial"/>
          <w:b/>
          <w:w w:val="105"/>
          <w:sz w:val="16"/>
        </w:rPr>
        <w:t>benefits</w:t>
      </w:r>
      <w:r w:rsidRPr="00EB2BD8">
        <w:rPr>
          <w:rFonts w:ascii="Arial"/>
          <w:b/>
          <w:spacing w:val="-9"/>
          <w:w w:val="105"/>
          <w:sz w:val="16"/>
        </w:rPr>
        <w:t xml:space="preserve"> </w:t>
      </w:r>
      <w:r w:rsidRPr="00EB2BD8">
        <w:rPr>
          <w:rFonts w:ascii="Arial"/>
          <w:w w:val="105"/>
          <w:sz w:val="16"/>
        </w:rPr>
        <w:t>include</w:t>
      </w:r>
      <w:r w:rsidRPr="00EB2BD8">
        <w:rPr>
          <w:rFonts w:ascii="Arial"/>
          <w:spacing w:val="-8"/>
          <w:w w:val="105"/>
          <w:sz w:val="16"/>
        </w:rPr>
        <w:t xml:space="preserve"> </w:t>
      </w:r>
      <w:r w:rsidRPr="00EB2BD8">
        <w:rPr>
          <w:rFonts w:ascii="Arial"/>
          <w:w w:val="105"/>
          <w:sz w:val="16"/>
        </w:rPr>
        <w:t>termination</w:t>
      </w:r>
      <w:r w:rsidRPr="00EB2BD8">
        <w:rPr>
          <w:rFonts w:ascii="Arial"/>
          <w:spacing w:val="-9"/>
          <w:w w:val="105"/>
          <w:sz w:val="16"/>
        </w:rPr>
        <w:t xml:space="preserve"> </w:t>
      </w:r>
      <w:r w:rsidRPr="00EB2BD8">
        <w:rPr>
          <w:rFonts w:ascii="Arial"/>
          <w:w w:val="105"/>
          <w:sz w:val="16"/>
        </w:rPr>
        <w:t>of</w:t>
      </w:r>
      <w:r w:rsidRPr="00EB2BD8">
        <w:rPr>
          <w:rFonts w:ascii="Arial"/>
          <w:spacing w:val="-9"/>
          <w:w w:val="105"/>
          <w:sz w:val="16"/>
        </w:rPr>
        <w:t xml:space="preserve"> </w:t>
      </w:r>
      <w:r w:rsidRPr="00EB2BD8">
        <w:rPr>
          <w:rFonts w:ascii="Arial"/>
          <w:w w:val="105"/>
          <w:sz w:val="16"/>
        </w:rPr>
        <w:t>employment</w:t>
      </w:r>
      <w:r w:rsidRPr="00EB2BD8">
        <w:rPr>
          <w:rFonts w:ascii="Arial"/>
          <w:spacing w:val="-9"/>
          <w:w w:val="105"/>
          <w:sz w:val="16"/>
        </w:rPr>
        <w:t xml:space="preserve"> </w:t>
      </w:r>
      <w:r w:rsidRPr="00EB2BD8">
        <w:rPr>
          <w:rFonts w:ascii="Arial"/>
          <w:w w:val="105"/>
          <w:sz w:val="16"/>
        </w:rPr>
        <w:t>payments,</w:t>
      </w:r>
      <w:r w:rsidRPr="00EB2BD8">
        <w:rPr>
          <w:rFonts w:ascii="Arial"/>
          <w:spacing w:val="-9"/>
          <w:w w:val="105"/>
          <w:sz w:val="16"/>
        </w:rPr>
        <w:t xml:space="preserve"> </w:t>
      </w:r>
      <w:r w:rsidRPr="00EB2BD8">
        <w:rPr>
          <w:rFonts w:ascii="Arial"/>
          <w:w w:val="105"/>
          <w:sz w:val="16"/>
        </w:rPr>
        <w:t>such</w:t>
      </w:r>
      <w:r w:rsidRPr="00EB2BD8">
        <w:rPr>
          <w:rFonts w:ascii="Arial"/>
          <w:spacing w:val="-9"/>
          <w:w w:val="105"/>
          <w:sz w:val="16"/>
        </w:rPr>
        <w:t xml:space="preserve"> </w:t>
      </w:r>
      <w:r w:rsidRPr="00EB2BD8">
        <w:rPr>
          <w:rFonts w:ascii="Arial"/>
          <w:w w:val="105"/>
          <w:sz w:val="16"/>
        </w:rPr>
        <w:t>as</w:t>
      </w:r>
      <w:r w:rsidRPr="00EB2BD8">
        <w:rPr>
          <w:rFonts w:ascii="Arial"/>
          <w:spacing w:val="-9"/>
          <w:w w:val="105"/>
          <w:sz w:val="16"/>
        </w:rPr>
        <w:t xml:space="preserve"> </w:t>
      </w:r>
      <w:r w:rsidRPr="00EB2BD8">
        <w:rPr>
          <w:rFonts w:ascii="Arial"/>
          <w:w w:val="105"/>
          <w:sz w:val="16"/>
        </w:rPr>
        <w:t>severance</w:t>
      </w:r>
      <w:r w:rsidRPr="00EB2BD8">
        <w:rPr>
          <w:rFonts w:ascii="Arial"/>
          <w:spacing w:val="-9"/>
          <w:w w:val="105"/>
          <w:sz w:val="16"/>
        </w:rPr>
        <w:t xml:space="preserve"> </w:t>
      </w:r>
      <w:r w:rsidRPr="00EB2BD8">
        <w:rPr>
          <w:rFonts w:ascii="Arial"/>
          <w:spacing w:val="-2"/>
          <w:w w:val="105"/>
          <w:sz w:val="16"/>
        </w:rPr>
        <w:t>packages.</w:t>
      </w:r>
    </w:p>
    <w:p w14:paraId="02E91170" w14:textId="77777777" w:rsidR="00084F36" w:rsidRPr="00EB2BD8" w:rsidRDefault="00084F36">
      <w:pPr>
        <w:pStyle w:val="BodyText"/>
        <w:spacing w:before="8"/>
        <w:rPr>
          <w:rFonts w:ascii="Arial"/>
          <w:sz w:val="22"/>
        </w:rPr>
      </w:pPr>
    </w:p>
    <w:p w14:paraId="424EABB6" w14:textId="77777777" w:rsidR="00084F36" w:rsidRPr="00EB2BD8" w:rsidRDefault="00EB2BD8">
      <w:pPr>
        <w:spacing w:line="290" w:lineRule="auto"/>
        <w:ind w:left="1035" w:right="2121"/>
        <w:rPr>
          <w:rFonts w:ascii="Arial"/>
          <w:sz w:val="16"/>
        </w:rPr>
      </w:pPr>
      <w:r w:rsidRPr="00EB2BD8">
        <w:rPr>
          <w:rFonts w:ascii="Arial"/>
          <w:w w:val="105"/>
          <w:sz w:val="16"/>
        </w:rPr>
        <w:t>Several</w:t>
      </w:r>
      <w:r w:rsidRPr="00EB2BD8">
        <w:rPr>
          <w:rFonts w:ascii="Arial"/>
          <w:spacing w:val="-3"/>
          <w:w w:val="105"/>
          <w:sz w:val="16"/>
        </w:rPr>
        <w:t xml:space="preserve"> </w:t>
      </w:r>
      <w:r w:rsidRPr="00EB2BD8">
        <w:rPr>
          <w:rFonts w:ascii="Arial"/>
          <w:w w:val="105"/>
          <w:sz w:val="16"/>
        </w:rPr>
        <w:t>factors</w:t>
      </w:r>
      <w:r w:rsidRPr="00EB2BD8">
        <w:rPr>
          <w:rFonts w:ascii="Arial"/>
          <w:spacing w:val="-3"/>
          <w:w w:val="105"/>
          <w:sz w:val="16"/>
        </w:rPr>
        <w:t xml:space="preserve"> </w:t>
      </w:r>
      <w:r w:rsidRPr="00EB2BD8">
        <w:rPr>
          <w:rFonts w:ascii="Arial"/>
          <w:w w:val="105"/>
          <w:sz w:val="16"/>
        </w:rPr>
        <w:t>affected</w:t>
      </w:r>
      <w:r w:rsidRPr="00EB2BD8">
        <w:rPr>
          <w:rFonts w:ascii="Arial"/>
          <w:spacing w:val="-3"/>
          <w:w w:val="105"/>
          <w:sz w:val="16"/>
        </w:rPr>
        <w:t xml:space="preserve"> </w:t>
      </w:r>
      <w:r w:rsidRPr="00EB2BD8">
        <w:rPr>
          <w:rFonts w:ascii="Arial"/>
          <w:w w:val="105"/>
          <w:sz w:val="16"/>
        </w:rPr>
        <w:t>total</w:t>
      </w:r>
      <w:r w:rsidRPr="00EB2BD8">
        <w:rPr>
          <w:rFonts w:ascii="Arial"/>
          <w:spacing w:val="-3"/>
          <w:w w:val="105"/>
          <w:sz w:val="16"/>
        </w:rPr>
        <w:t xml:space="preserve"> </w:t>
      </w:r>
      <w:r w:rsidRPr="00EB2BD8">
        <w:rPr>
          <w:rFonts w:ascii="Arial"/>
          <w:w w:val="105"/>
          <w:sz w:val="16"/>
        </w:rPr>
        <w:t>remuneration</w:t>
      </w:r>
      <w:r w:rsidRPr="00EB2BD8">
        <w:rPr>
          <w:rFonts w:ascii="Arial"/>
          <w:spacing w:val="-3"/>
          <w:w w:val="105"/>
          <w:sz w:val="16"/>
        </w:rPr>
        <w:t xml:space="preserve"> </w:t>
      </w:r>
      <w:r w:rsidRPr="00EB2BD8">
        <w:rPr>
          <w:rFonts w:ascii="Arial"/>
          <w:w w:val="105"/>
          <w:sz w:val="16"/>
        </w:rPr>
        <w:t>payable</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executives</w:t>
      </w:r>
      <w:r w:rsidRPr="00EB2BD8">
        <w:rPr>
          <w:rFonts w:ascii="Arial"/>
          <w:spacing w:val="-3"/>
          <w:w w:val="105"/>
          <w:sz w:val="16"/>
        </w:rPr>
        <w:t xml:space="preserve"> </w:t>
      </w:r>
      <w:r w:rsidRPr="00EB2BD8">
        <w:rPr>
          <w:rFonts w:ascii="Arial"/>
          <w:w w:val="105"/>
          <w:sz w:val="16"/>
        </w:rPr>
        <w:t>over</w:t>
      </w:r>
      <w:r w:rsidRPr="00EB2BD8">
        <w:rPr>
          <w:rFonts w:ascii="Arial"/>
          <w:spacing w:val="-3"/>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year.</w:t>
      </w:r>
      <w:r w:rsidRPr="00EB2BD8">
        <w:rPr>
          <w:rFonts w:ascii="Arial"/>
          <w:spacing w:val="-3"/>
          <w:w w:val="105"/>
          <w:sz w:val="16"/>
        </w:rPr>
        <w:t xml:space="preserve"> </w:t>
      </w:r>
      <w:r w:rsidRPr="00EB2BD8">
        <w:rPr>
          <w:rFonts w:ascii="Arial"/>
          <w:w w:val="105"/>
          <w:sz w:val="16"/>
        </w:rPr>
        <w:t>A</w:t>
      </w:r>
      <w:r w:rsidRPr="00EB2BD8">
        <w:rPr>
          <w:rFonts w:ascii="Arial"/>
          <w:spacing w:val="-3"/>
          <w:w w:val="105"/>
          <w:sz w:val="16"/>
        </w:rPr>
        <w:t xml:space="preserve"> </w:t>
      </w:r>
      <w:r w:rsidRPr="00EB2BD8">
        <w:rPr>
          <w:rFonts w:ascii="Arial"/>
          <w:w w:val="105"/>
          <w:sz w:val="16"/>
        </w:rPr>
        <w:t>number</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employment</w:t>
      </w:r>
      <w:r w:rsidRPr="00EB2BD8">
        <w:rPr>
          <w:rFonts w:ascii="Arial"/>
          <w:spacing w:val="-3"/>
          <w:w w:val="105"/>
          <w:sz w:val="16"/>
        </w:rPr>
        <w:t xml:space="preserve"> </w:t>
      </w:r>
      <w:r w:rsidRPr="00EB2BD8">
        <w:rPr>
          <w:rFonts w:ascii="Arial"/>
          <w:w w:val="105"/>
          <w:sz w:val="16"/>
        </w:rPr>
        <w:t xml:space="preserve">contracts were completed and renegotiated and a number of senior executive service members retired, resigned or were retrenched in the past year. This has had a significant impact on remuneration figures for the termination benefits </w:t>
      </w:r>
      <w:r w:rsidRPr="00EB2BD8">
        <w:rPr>
          <w:rFonts w:ascii="Arial"/>
          <w:spacing w:val="-2"/>
          <w:w w:val="105"/>
          <w:sz w:val="16"/>
        </w:rPr>
        <w:t>category.</w:t>
      </w:r>
    </w:p>
    <w:p w14:paraId="5F1E3D89" w14:textId="77777777" w:rsidR="00084F36" w:rsidRPr="00EB2BD8" w:rsidRDefault="00084F36">
      <w:pPr>
        <w:pStyle w:val="BodyText"/>
        <w:rPr>
          <w:rFonts w:ascii="Arial"/>
          <w:sz w:val="20"/>
        </w:rPr>
      </w:pPr>
    </w:p>
    <w:p w14:paraId="262B8823" w14:textId="77777777" w:rsidR="00084F36" w:rsidRPr="00EB2BD8" w:rsidRDefault="00084F36">
      <w:pPr>
        <w:pStyle w:val="BodyText"/>
        <w:rPr>
          <w:rFonts w:ascii="Arial"/>
          <w:sz w:val="20"/>
        </w:rPr>
      </w:pPr>
    </w:p>
    <w:p w14:paraId="6F12789C" w14:textId="77777777" w:rsidR="00084F36" w:rsidRPr="00EB2BD8" w:rsidRDefault="00084F36">
      <w:pPr>
        <w:pStyle w:val="BodyText"/>
        <w:rPr>
          <w:rFonts w:ascii="Arial"/>
          <w:sz w:val="20"/>
        </w:rPr>
      </w:pPr>
    </w:p>
    <w:p w14:paraId="32A9E6F8" w14:textId="77777777" w:rsidR="00084F36" w:rsidRPr="00EB2BD8" w:rsidRDefault="00084F36">
      <w:pPr>
        <w:pStyle w:val="BodyText"/>
        <w:rPr>
          <w:rFonts w:ascii="Arial"/>
          <w:sz w:val="20"/>
        </w:rPr>
      </w:pPr>
    </w:p>
    <w:p w14:paraId="3B0E79F5" w14:textId="77777777" w:rsidR="00084F36" w:rsidRPr="00EB2BD8" w:rsidRDefault="00084F36">
      <w:pPr>
        <w:pStyle w:val="BodyText"/>
        <w:rPr>
          <w:rFonts w:ascii="Arial"/>
          <w:sz w:val="20"/>
        </w:rPr>
      </w:pPr>
    </w:p>
    <w:p w14:paraId="356978E2" w14:textId="77777777" w:rsidR="00084F36" w:rsidRPr="00EB2BD8" w:rsidRDefault="00084F36">
      <w:pPr>
        <w:pStyle w:val="BodyText"/>
        <w:spacing w:before="7"/>
        <w:rPr>
          <w:rFonts w:ascii="Arial"/>
          <w:sz w:val="16"/>
        </w:rPr>
      </w:pPr>
    </w:p>
    <w:p w14:paraId="2A4F3784" w14:textId="4EAFB741" w:rsidR="00084F36" w:rsidRPr="00EB2BD8" w:rsidRDefault="00EB2BD8">
      <w:pPr>
        <w:tabs>
          <w:tab w:val="left" w:pos="1906"/>
        </w:tabs>
        <w:spacing w:before="91"/>
        <w:ind w:left="842"/>
        <w:rPr>
          <w:b/>
          <w:sz w:val="16"/>
        </w:rPr>
      </w:pPr>
      <w:r w:rsidRPr="00EB2BD8">
        <w:rPr>
          <w:sz w:val="16"/>
        </w:rPr>
        <w:tab/>
      </w:r>
    </w:p>
    <w:p w14:paraId="3C118C62" w14:textId="77777777" w:rsidR="00084F36" w:rsidRPr="00EB2BD8" w:rsidRDefault="00084F36">
      <w:pPr>
        <w:rPr>
          <w:sz w:val="16"/>
        </w:rPr>
        <w:sectPr w:rsidR="00084F36" w:rsidRPr="00EB2BD8" w:rsidSect="006D75B2">
          <w:headerReference w:type="even" r:id="rId363"/>
          <w:footerReference w:type="even" r:id="rId364"/>
          <w:pgSz w:w="11910" w:h="16840"/>
          <w:pgMar w:top="780" w:right="0" w:bottom="280" w:left="0" w:header="0" w:footer="0" w:gutter="0"/>
          <w:cols w:space="720"/>
        </w:sectPr>
      </w:pPr>
    </w:p>
    <w:p w14:paraId="1CA2F135" w14:textId="77777777" w:rsidR="00084F36" w:rsidRPr="00EB2BD8" w:rsidRDefault="00084F36">
      <w:pPr>
        <w:pStyle w:val="BodyText"/>
        <w:rPr>
          <w:sz w:val="20"/>
        </w:rPr>
      </w:pPr>
    </w:p>
    <w:p w14:paraId="320C4729" w14:textId="77777777" w:rsidR="00084F36" w:rsidRPr="00EB2BD8" w:rsidRDefault="00084F36">
      <w:pPr>
        <w:pStyle w:val="BodyText"/>
        <w:rPr>
          <w:sz w:val="20"/>
        </w:rPr>
      </w:pPr>
    </w:p>
    <w:p w14:paraId="1C12BF9F" w14:textId="77777777" w:rsidR="00084F36" w:rsidRPr="00EB2BD8" w:rsidRDefault="00084F36">
      <w:pPr>
        <w:pStyle w:val="BodyText"/>
        <w:rPr>
          <w:sz w:val="20"/>
        </w:rPr>
      </w:pPr>
    </w:p>
    <w:p w14:paraId="164DF46E" w14:textId="77777777" w:rsidR="00084F36" w:rsidRPr="00EB2BD8" w:rsidRDefault="00084F36">
      <w:pPr>
        <w:pStyle w:val="BodyText"/>
        <w:rPr>
          <w:sz w:val="20"/>
        </w:rPr>
      </w:pPr>
    </w:p>
    <w:p w14:paraId="47A6E63E" w14:textId="77777777" w:rsidR="00084F36" w:rsidRPr="00EB2BD8" w:rsidRDefault="00084F36">
      <w:pPr>
        <w:pStyle w:val="BodyText"/>
        <w:rPr>
          <w:sz w:val="20"/>
        </w:rPr>
      </w:pPr>
    </w:p>
    <w:p w14:paraId="68DBC0E5" w14:textId="77777777" w:rsidR="00084F36" w:rsidRPr="00EB2BD8" w:rsidRDefault="00084F36">
      <w:pPr>
        <w:pStyle w:val="BodyText"/>
        <w:spacing w:before="8"/>
        <w:rPr>
          <w:sz w:val="27"/>
        </w:rPr>
      </w:pPr>
    </w:p>
    <w:p w14:paraId="5184125E" w14:textId="77777777" w:rsidR="00084F36" w:rsidRPr="00EB2BD8" w:rsidRDefault="00EB2BD8">
      <w:pPr>
        <w:pStyle w:val="BodyText"/>
        <w:spacing w:before="95"/>
        <w:ind w:right="1622"/>
        <w:jc w:val="right"/>
        <w:rPr>
          <w:rFonts w:ascii="Arial" w:hAnsi="Arial"/>
        </w:rPr>
      </w:pPr>
      <w:r w:rsidRPr="00EB2BD8">
        <w:rPr>
          <w:rFonts w:ascii="Arial" w:hAnsi="Arial"/>
          <w:spacing w:val="-2"/>
        </w:rPr>
        <w:t>($’000)</w:t>
      </w:r>
    </w:p>
    <w:p w14:paraId="52C17FAE" w14:textId="77777777" w:rsidR="00084F36" w:rsidRPr="00EB2BD8" w:rsidRDefault="00084F36">
      <w:pPr>
        <w:pStyle w:val="BodyText"/>
        <w:spacing w:before="5"/>
        <w:rPr>
          <w:rFonts w:ascii="Arial"/>
          <w:sz w:val="8"/>
        </w:rPr>
      </w:pPr>
    </w:p>
    <w:tbl>
      <w:tblPr>
        <w:tblW w:w="0" w:type="auto"/>
        <w:tblInd w:w="1033" w:type="dxa"/>
        <w:tblLayout w:type="fixed"/>
        <w:tblCellMar>
          <w:left w:w="0" w:type="dxa"/>
          <w:right w:w="0" w:type="dxa"/>
        </w:tblCellMar>
        <w:tblLook w:val="01E0" w:firstRow="1" w:lastRow="1" w:firstColumn="1" w:lastColumn="1" w:noHBand="0" w:noVBand="0"/>
      </w:tblPr>
      <w:tblGrid>
        <w:gridCol w:w="6834"/>
        <w:gridCol w:w="1266"/>
        <w:gridCol w:w="1266"/>
      </w:tblGrid>
      <w:tr w:rsidR="00EB2BD8" w:rsidRPr="00EB2BD8" w14:paraId="12E4E214" w14:textId="77777777">
        <w:trPr>
          <w:trHeight w:val="843"/>
        </w:trPr>
        <w:tc>
          <w:tcPr>
            <w:tcW w:w="6834" w:type="dxa"/>
            <w:tcBorders>
              <w:top w:val="single" w:sz="4" w:space="0" w:color="0098FF"/>
              <w:left w:val="single" w:sz="4" w:space="0" w:color="0098FF"/>
              <w:bottom w:val="single" w:sz="4" w:space="0" w:color="0098FF"/>
            </w:tcBorders>
            <w:shd w:val="clear" w:color="auto" w:fill="0070C0"/>
          </w:tcPr>
          <w:p w14:paraId="644C26C0" w14:textId="77777777" w:rsidR="00084F36" w:rsidRPr="00EB2BD8" w:rsidRDefault="00084F36">
            <w:pPr>
              <w:pStyle w:val="TableParagraph"/>
              <w:rPr>
                <w:rFonts w:ascii="Arial"/>
                <w:sz w:val="20"/>
              </w:rPr>
            </w:pPr>
          </w:p>
          <w:p w14:paraId="58778D35" w14:textId="77777777" w:rsidR="00084F36" w:rsidRPr="00EB2BD8" w:rsidRDefault="00084F36">
            <w:pPr>
              <w:pStyle w:val="TableParagraph"/>
              <w:rPr>
                <w:rFonts w:ascii="Arial"/>
                <w:sz w:val="26"/>
              </w:rPr>
            </w:pPr>
          </w:p>
          <w:p w14:paraId="7D7114F3" w14:textId="77777777" w:rsidR="00084F36" w:rsidRPr="00EB2BD8" w:rsidRDefault="00EB2BD8">
            <w:pPr>
              <w:pStyle w:val="TableParagraph"/>
              <w:ind w:left="108"/>
              <w:rPr>
                <w:rFonts w:ascii="Arial"/>
                <w:b/>
                <w:sz w:val="18"/>
              </w:rPr>
            </w:pPr>
            <w:r w:rsidRPr="00EB2BD8">
              <w:rPr>
                <w:rFonts w:ascii="Arial"/>
                <w:b/>
                <w:sz w:val="18"/>
              </w:rPr>
              <w:t>Remuneration</w:t>
            </w:r>
            <w:r w:rsidRPr="00EB2BD8">
              <w:rPr>
                <w:rFonts w:ascii="Arial"/>
                <w:b/>
                <w:spacing w:val="-4"/>
                <w:sz w:val="18"/>
              </w:rPr>
              <w:t xml:space="preserve"> </w:t>
            </w:r>
            <w:r w:rsidRPr="00EB2BD8">
              <w:rPr>
                <w:rFonts w:ascii="Arial"/>
                <w:b/>
                <w:sz w:val="18"/>
              </w:rPr>
              <w:t>of</w:t>
            </w:r>
            <w:r w:rsidRPr="00EB2BD8">
              <w:rPr>
                <w:rFonts w:ascii="Arial"/>
                <w:b/>
                <w:spacing w:val="-4"/>
                <w:sz w:val="18"/>
              </w:rPr>
              <w:t xml:space="preserve"> </w:t>
            </w:r>
            <w:r w:rsidRPr="00EB2BD8">
              <w:rPr>
                <w:rFonts w:ascii="Arial"/>
                <w:b/>
                <w:sz w:val="18"/>
              </w:rPr>
              <w:t>Executive</w:t>
            </w:r>
            <w:r w:rsidRPr="00EB2BD8">
              <w:rPr>
                <w:rFonts w:ascii="Arial"/>
                <w:b/>
                <w:spacing w:val="-4"/>
                <w:sz w:val="18"/>
              </w:rPr>
              <w:t xml:space="preserve"> </w:t>
            </w:r>
            <w:r w:rsidRPr="00EB2BD8">
              <w:rPr>
                <w:rFonts w:ascii="Arial"/>
                <w:b/>
                <w:spacing w:val="-2"/>
                <w:sz w:val="18"/>
              </w:rPr>
              <w:t>Officers</w:t>
            </w:r>
          </w:p>
        </w:tc>
        <w:tc>
          <w:tcPr>
            <w:tcW w:w="2532" w:type="dxa"/>
            <w:gridSpan w:val="2"/>
            <w:tcBorders>
              <w:top w:val="single" w:sz="4" w:space="0" w:color="0098FF"/>
              <w:bottom w:val="single" w:sz="4" w:space="0" w:color="0098FF"/>
              <w:right w:val="single" w:sz="4" w:space="0" w:color="0098FF"/>
            </w:tcBorders>
            <w:shd w:val="clear" w:color="auto" w:fill="0070C0"/>
          </w:tcPr>
          <w:p w14:paraId="763DA14A" w14:textId="77777777" w:rsidR="00084F36" w:rsidRPr="00EB2BD8" w:rsidRDefault="00EB2BD8">
            <w:pPr>
              <w:pStyle w:val="TableParagraph"/>
              <w:spacing w:before="107"/>
              <w:ind w:left="451"/>
              <w:rPr>
                <w:rFonts w:ascii="Arial"/>
                <w:b/>
                <w:sz w:val="18"/>
              </w:rPr>
            </w:pPr>
            <w:r w:rsidRPr="00EB2BD8">
              <w:rPr>
                <w:rFonts w:ascii="Arial"/>
                <w:b/>
                <w:sz w:val="18"/>
              </w:rPr>
              <w:t xml:space="preserve">Total </w:t>
            </w:r>
            <w:r w:rsidRPr="00EB2BD8">
              <w:rPr>
                <w:rFonts w:ascii="Arial"/>
                <w:b/>
                <w:spacing w:val="-2"/>
                <w:sz w:val="18"/>
              </w:rPr>
              <w:t>remuneration</w:t>
            </w:r>
          </w:p>
          <w:p w14:paraId="35618D31" w14:textId="77777777" w:rsidR="00084F36" w:rsidRPr="00EB2BD8" w:rsidRDefault="00084F36">
            <w:pPr>
              <w:pStyle w:val="TableParagraph"/>
              <w:spacing w:before="8"/>
              <w:rPr>
                <w:rFonts w:ascii="Arial"/>
                <w:sz w:val="18"/>
              </w:rPr>
            </w:pPr>
          </w:p>
          <w:p w14:paraId="7A726DA2" w14:textId="77777777" w:rsidR="00084F36" w:rsidRPr="00EB2BD8" w:rsidRDefault="00EB2BD8">
            <w:pPr>
              <w:pStyle w:val="TableParagraph"/>
              <w:tabs>
                <w:tab w:val="left" w:pos="2025"/>
              </w:tabs>
              <w:ind w:left="758"/>
              <w:rPr>
                <w:rFonts w:ascii="Arial"/>
                <w:b/>
                <w:sz w:val="18"/>
              </w:rPr>
            </w:pPr>
            <w:r w:rsidRPr="00EB2BD8">
              <w:rPr>
                <w:rFonts w:ascii="Arial"/>
                <w:b/>
                <w:spacing w:val="-4"/>
                <w:sz w:val="18"/>
              </w:rPr>
              <w:t>2023</w:t>
            </w:r>
            <w:r w:rsidRPr="00EB2BD8">
              <w:rPr>
                <w:rFonts w:ascii="Arial"/>
                <w:b/>
                <w:sz w:val="18"/>
              </w:rPr>
              <w:tab/>
            </w:r>
            <w:r w:rsidRPr="00EB2BD8">
              <w:rPr>
                <w:rFonts w:ascii="Arial"/>
                <w:b/>
                <w:spacing w:val="-4"/>
                <w:sz w:val="18"/>
              </w:rPr>
              <w:t>2022</w:t>
            </w:r>
          </w:p>
        </w:tc>
      </w:tr>
      <w:tr w:rsidR="00EB2BD8" w:rsidRPr="00EB2BD8" w14:paraId="3AED4C87" w14:textId="77777777">
        <w:trPr>
          <w:trHeight w:val="605"/>
        </w:trPr>
        <w:tc>
          <w:tcPr>
            <w:tcW w:w="6834" w:type="dxa"/>
            <w:tcBorders>
              <w:top w:val="single" w:sz="4" w:space="0" w:color="0098FF"/>
            </w:tcBorders>
            <w:shd w:val="clear" w:color="auto" w:fill="FFFFFF"/>
          </w:tcPr>
          <w:p w14:paraId="71C1E76A" w14:textId="77777777" w:rsidR="00084F36" w:rsidRPr="00EB2BD8" w:rsidRDefault="00EB2BD8">
            <w:pPr>
              <w:pStyle w:val="TableParagraph"/>
              <w:spacing w:before="54"/>
              <w:ind w:left="113"/>
              <w:rPr>
                <w:rFonts w:ascii="Arial"/>
                <w:b/>
                <w:sz w:val="18"/>
              </w:rPr>
            </w:pPr>
            <w:r w:rsidRPr="00EB2BD8">
              <w:rPr>
                <w:rFonts w:ascii="Arial"/>
                <w:b/>
                <w:sz w:val="18"/>
              </w:rPr>
              <w:t>(Including</w:t>
            </w:r>
            <w:r w:rsidRPr="00EB2BD8">
              <w:rPr>
                <w:rFonts w:ascii="Arial"/>
                <w:b/>
                <w:spacing w:val="-4"/>
                <w:sz w:val="18"/>
              </w:rPr>
              <w:t xml:space="preserve"> </w:t>
            </w:r>
            <w:r w:rsidRPr="00EB2BD8">
              <w:rPr>
                <w:rFonts w:ascii="Arial"/>
                <w:b/>
                <w:sz w:val="18"/>
              </w:rPr>
              <w:t>key</w:t>
            </w:r>
            <w:r w:rsidRPr="00EB2BD8">
              <w:rPr>
                <w:rFonts w:ascii="Arial"/>
                <w:b/>
                <w:spacing w:val="-2"/>
                <w:sz w:val="18"/>
              </w:rPr>
              <w:t xml:space="preserve"> </w:t>
            </w:r>
            <w:r w:rsidRPr="00EB2BD8">
              <w:rPr>
                <w:rFonts w:ascii="Arial"/>
                <w:b/>
                <w:sz w:val="18"/>
              </w:rPr>
              <w:t>management</w:t>
            </w:r>
            <w:r w:rsidRPr="00EB2BD8">
              <w:rPr>
                <w:rFonts w:ascii="Arial"/>
                <w:b/>
                <w:spacing w:val="-2"/>
                <w:sz w:val="18"/>
              </w:rPr>
              <w:t xml:space="preserve"> </w:t>
            </w:r>
            <w:r w:rsidRPr="00EB2BD8">
              <w:rPr>
                <w:rFonts w:ascii="Arial"/>
                <w:b/>
                <w:sz w:val="18"/>
              </w:rPr>
              <w:t>personnel</w:t>
            </w:r>
            <w:r w:rsidRPr="00EB2BD8">
              <w:rPr>
                <w:rFonts w:ascii="Arial"/>
                <w:b/>
                <w:spacing w:val="-2"/>
                <w:sz w:val="18"/>
              </w:rPr>
              <w:t xml:space="preserve"> </w:t>
            </w:r>
            <w:r w:rsidRPr="00EB2BD8">
              <w:rPr>
                <w:rFonts w:ascii="Arial"/>
                <w:b/>
                <w:sz w:val="18"/>
              </w:rPr>
              <w:t>(KMP)</w:t>
            </w:r>
            <w:r w:rsidRPr="00EB2BD8">
              <w:rPr>
                <w:rFonts w:ascii="Arial"/>
                <w:b/>
                <w:spacing w:val="-2"/>
                <w:sz w:val="18"/>
              </w:rPr>
              <w:t xml:space="preserve"> </w:t>
            </w:r>
            <w:r w:rsidRPr="00EB2BD8">
              <w:rPr>
                <w:rFonts w:ascii="Arial"/>
                <w:b/>
                <w:sz w:val="18"/>
              </w:rPr>
              <w:t>disclosed</w:t>
            </w:r>
            <w:r w:rsidRPr="00EB2BD8">
              <w:rPr>
                <w:rFonts w:ascii="Arial"/>
                <w:b/>
                <w:spacing w:val="-2"/>
                <w:sz w:val="18"/>
              </w:rPr>
              <w:t xml:space="preserve"> </w:t>
            </w:r>
            <w:r w:rsidRPr="00EB2BD8">
              <w:rPr>
                <w:rFonts w:ascii="Arial"/>
                <w:b/>
                <w:sz w:val="18"/>
              </w:rPr>
              <w:t>in</w:t>
            </w:r>
            <w:r w:rsidRPr="00EB2BD8">
              <w:rPr>
                <w:rFonts w:ascii="Arial"/>
                <w:b/>
                <w:spacing w:val="-3"/>
                <w:sz w:val="18"/>
              </w:rPr>
              <w:t xml:space="preserve"> </w:t>
            </w:r>
            <w:r w:rsidRPr="00EB2BD8">
              <w:rPr>
                <w:rFonts w:ascii="Arial"/>
                <w:b/>
                <w:sz w:val="18"/>
              </w:rPr>
              <w:t>note</w:t>
            </w:r>
            <w:r w:rsidRPr="00EB2BD8">
              <w:rPr>
                <w:rFonts w:ascii="Arial"/>
                <w:b/>
                <w:spacing w:val="-2"/>
                <w:sz w:val="18"/>
              </w:rPr>
              <w:t xml:space="preserve"> </w:t>
            </w:r>
            <w:r w:rsidRPr="00EB2BD8">
              <w:rPr>
                <w:rFonts w:ascii="Arial"/>
                <w:b/>
                <w:spacing w:val="-4"/>
                <w:sz w:val="18"/>
              </w:rPr>
              <w:t>8.5)</w:t>
            </w:r>
          </w:p>
          <w:p w14:paraId="36D7B8A8" w14:textId="77777777" w:rsidR="00084F36" w:rsidRPr="00EB2BD8" w:rsidRDefault="00EB2BD8">
            <w:pPr>
              <w:pStyle w:val="TableParagraph"/>
              <w:spacing w:before="68"/>
              <w:ind w:left="113"/>
              <w:rPr>
                <w:rFonts w:ascii="Arial"/>
                <w:sz w:val="18"/>
              </w:rPr>
            </w:pPr>
            <w:r w:rsidRPr="00EB2BD8">
              <w:rPr>
                <w:rFonts w:ascii="Arial"/>
                <w:sz w:val="18"/>
              </w:rPr>
              <w:t>Short-term</w:t>
            </w:r>
            <w:r w:rsidRPr="00EB2BD8">
              <w:rPr>
                <w:rFonts w:ascii="Arial"/>
                <w:spacing w:val="-4"/>
                <w:sz w:val="18"/>
              </w:rPr>
              <w:t xml:space="preserve"> </w:t>
            </w:r>
            <w:r w:rsidRPr="00EB2BD8">
              <w:rPr>
                <w:rFonts w:ascii="Arial"/>
                <w:sz w:val="18"/>
              </w:rPr>
              <w:t>employee</w:t>
            </w:r>
            <w:r w:rsidRPr="00EB2BD8">
              <w:rPr>
                <w:rFonts w:ascii="Arial"/>
                <w:spacing w:val="-4"/>
                <w:sz w:val="18"/>
              </w:rPr>
              <w:t xml:space="preserve"> </w:t>
            </w:r>
            <w:r w:rsidRPr="00EB2BD8">
              <w:rPr>
                <w:rFonts w:ascii="Arial"/>
                <w:spacing w:val="-2"/>
                <w:sz w:val="18"/>
              </w:rPr>
              <w:t>benefits</w:t>
            </w:r>
          </w:p>
        </w:tc>
        <w:tc>
          <w:tcPr>
            <w:tcW w:w="1266" w:type="dxa"/>
            <w:tcBorders>
              <w:top w:val="single" w:sz="4" w:space="0" w:color="0098FF"/>
            </w:tcBorders>
            <w:shd w:val="clear" w:color="auto" w:fill="DEEAF6"/>
          </w:tcPr>
          <w:p w14:paraId="0CD3D548" w14:textId="77777777" w:rsidR="00084F36" w:rsidRPr="00EB2BD8" w:rsidRDefault="00084F36">
            <w:pPr>
              <w:pStyle w:val="TableParagraph"/>
              <w:spacing w:before="7"/>
              <w:rPr>
                <w:rFonts w:ascii="Arial"/>
                <w:sz w:val="28"/>
              </w:rPr>
            </w:pPr>
          </w:p>
          <w:p w14:paraId="35A9F33D" w14:textId="77777777" w:rsidR="00084F36" w:rsidRPr="00EB2BD8" w:rsidRDefault="00EB2BD8">
            <w:pPr>
              <w:pStyle w:val="TableParagraph"/>
              <w:ind w:right="103"/>
              <w:jc w:val="right"/>
              <w:rPr>
                <w:rFonts w:ascii="Arial"/>
                <w:sz w:val="18"/>
              </w:rPr>
            </w:pPr>
            <w:r w:rsidRPr="00EB2BD8">
              <w:rPr>
                <w:rFonts w:ascii="Arial"/>
                <w:spacing w:val="-2"/>
                <w:sz w:val="18"/>
              </w:rPr>
              <w:t>2,414</w:t>
            </w:r>
          </w:p>
        </w:tc>
        <w:tc>
          <w:tcPr>
            <w:tcW w:w="1266" w:type="dxa"/>
            <w:tcBorders>
              <w:top w:val="single" w:sz="4" w:space="0" w:color="0098FF"/>
            </w:tcBorders>
            <w:shd w:val="clear" w:color="auto" w:fill="FFFFFF"/>
          </w:tcPr>
          <w:p w14:paraId="53E53AF5" w14:textId="77777777" w:rsidR="00084F36" w:rsidRPr="00EB2BD8" w:rsidRDefault="00084F36">
            <w:pPr>
              <w:pStyle w:val="TableParagraph"/>
              <w:spacing w:before="7"/>
              <w:rPr>
                <w:rFonts w:ascii="Arial"/>
                <w:sz w:val="28"/>
              </w:rPr>
            </w:pPr>
          </w:p>
          <w:p w14:paraId="1C13B401" w14:textId="77777777" w:rsidR="00084F36" w:rsidRPr="00EB2BD8" w:rsidRDefault="00EB2BD8">
            <w:pPr>
              <w:pStyle w:val="TableParagraph"/>
              <w:ind w:right="101"/>
              <w:jc w:val="right"/>
              <w:rPr>
                <w:rFonts w:ascii="Arial"/>
                <w:sz w:val="18"/>
              </w:rPr>
            </w:pPr>
            <w:r w:rsidRPr="00EB2BD8">
              <w:rPr>
                <w:rFonts w:ascii="Arial"/>
                <w:spacing w:val="-2"/>
                <w:sz w:val="18"/>
              </w:rPr>
              <w:t>2,183</w:t>
            </w:r>
          </w:p>
        </w:tc>
      </w:tr>
      <w:tr w:rsidR="00EB2BD8" w:rsidRPr="00EB2BD8" w14:paraId="116A308D" w14:textId="77777777">
        <w:trPr>
          <w:trHeight w:val="341"/>
        </w:trPr>
        <w:tc>
          <w:tcPr>
            <w:tcW w:w="6834" w:type="dxa"/>
            <w:shd w:val="clear" w:color="auto" w:fill="FFFFFF"/>
          </w:tcPr>
          <w:p w14:paraId="3C9D996E" w14:textId="77777777" w:rsidR="00084F36" w:rsidRPr="00EB2BD8" w:rsidRDefault="00EB2BD8">
            <w:pPr>
              <w:pStyle w:val="TableParagraph"/>
              <w:spacing w:before="64"/>
              <w:ind w:left="113"/>
              <w:rPr>
                <w:rFonts w:ascii="Arial"/>
                <w:sz w:val="18"/>
              </w:rPr>
            </w:pPr>
            <w:r w:rsidRPr="00EB2BD8">
              <w:rPr>
                <w:rFonts w:ascii="Arial"/>
                <w:sz w:val="18"/>
              </w:rPr>
              <w:t>Post-employment</w:t>
            </w:r>
            <w:r w:rsidRPr="00EB2BD8">
              <w:rPr>
                <w:rFonts w:ascii="Arial"/>
                <w:spacing w:val="-5"/>
                <w:sz w:val="18"/>
              </w:rPr>
              <w:t xml:space="preserve"> </w:t>
            </w:r>
            <w:r w:rsidRPr="00EB2BD8">
              <w:rPr>
                <w:rFonts w:ascii="Arial"/>
                <w:spacing w:val="-2"/>
                <w:sz w:val="18"/>
              </w:rPr>
              <w:t>benefits</w:t>
            </w:r>
          </w:p>
        </w:tc>
        <w:tc>
          <w:tcPr>
            <w:tcW w:w="1266" w:type="dxa"/>
            <w:shd w:val="clear" w:color="auto" w:fill="DEEAF6"/>
          </w:tcPr>
          <w:p w14:paraId="0513E842" w14:textId="77777777" w:rsidR="00084F36" w:rsidRPr="00EB2BD8" w:rsidRDefault="00EB2BD8">
            <w:pPr>
              <w:pStyle w:val="TableParagraph"/>
              <w:spacing w:before="64"/>
              <w:ind w:right="103"/>
              <w:jc w:val="right"/>
              <w:rPr>
                <w:rFonts w:ascii="Arial"/>
                <w:sz w:val="18"/>
              </w:rPr>
            </w:pPr>
            <w:r w:rsidRPr="00EB2BD8">
              <w:rPr>
                <w:rFonts w:ascii="Arial"/>
                <w:spacing w:val="-5"/>
                <w:sz w:val="18"/>
              </w:rPr>
              <w:t>205</w:t>
            </w:r>
          </w:p>
        </w:tc>
        <w:tc>
          <w:tcPr>
            <w:tcW w:w="1266" w:type="dxa"/>
            <w:shd w:val="clear" w:color="auto" w:fill="FFFFFF"/>
          </w:tcPr>
          <w:p w14:paraId="67C1D08A" w14:textId="77777777" w:rsidR="00084F36" w:rsidRPr="00EB2BD8" w:rsidRDefault="00EB2BD8">
            <w:pPr>
              <w:pStyle w:val="TableParagraph"/>
              <w:spacing w:before="64"/>
              <w:ind w:right="102"/>
              <w:jc w:val="right"/>
              <w:rPr>
                <w:rFonts w:ascii="Arial"/>
                <w:sz w:val="18"/>
              </w:rPr>
            </w:pPr>
            <w:r w:rsidRPr="00EB2BD8">
              <w:rPr>
                <w:rFonts w:ascii="Arial"/>
                <w:spacing w:val="-5"/>
                <w:sz w:val="18"/>
              </w:rPr>
              <w:t>164</w:t>
            </w:r>
          </w:p>
        </w:tc>
      </w:tr>
      <w:tr w:rsidR="00EB2BD8" w:rsidRPr="00EB2BD8" w14:paraId="594B0103" w14:textId="77777777">
        <w:trPr>
          <w:trHeight w:val="338"/>
        </w:trPr>
        <w:tc>
          <w:tcPr>
            <w:tcW w:w="6834" w:type="dxa"/>
            <w:tcBorders>
              <w:bottom w:val="single" w:sz="12" w:space="0" w:color="000000"/>
            </w:tcBorders>
            <w:shd w:val="clear" w:color="auto" w:fill="FFFFFF"/>
          </w:tcPr>
          <w:p w14:paraId="31D552B6" w14:textId="77777777" w:rsidR="00084F36" w:rsidRPr="00EB2BD8" w:rsidRDefault="00EB2BD8">
            <w:pPr>
              <w:pStyle w:val="TableParagraph"/>
              <w:spacing w:before="65"/>
              <w:ind w:left="113"/>
              <w:rPr>
                <w:rFonts w:ascii="Arial"/>
                <w:sz w:val="18"/>
              </w:rPr>
            </w:pPr>
            <w:r w:rsidRPr="00EB2BD8">
              <w:rPr>
                <w:rFonts w:ascii="Arial"/>
                <w:sz w:val="18"/>
              </w:rPr>
              <w:t>Other</w:t>
            </w:r>
            <w:r w:rsidRPr="00EB2BD8">
              <w:rPr>
                <w:rFonts w:ascii="Arial"/>
                <w:spacing w:val="-3"/>
                <w:sz w:val="18"/>
              </w:rPr>
              <w:t xml:space="preserve"> </w:t>
            </w:r>
            <w:r w:rsidRPr="00EB2BD8">
              <w:rPr>
                <w:rFonts w:ascii="Arial"/>
                <w:sz w:val="18"/>
              </w:rPr>
              <w:t>long-term</w:t>
            </w:r>
            <w:r w:rsidRPr="00EB2BD8">
              <w:rPr>
                <w:rFonts w:ascii="Arial"/>
                <w:spacing w:val="-3"/>
                <w:sz w:val="18"/>
              </w:rPr>
              <w:t xml:space="preserve"> </w:t>
            </w:r>
            <w:r w:rsidRPr="00EB2BD8">
              <w:rPr>
                <w:rFonts w:ascii="Arial"/>
                <w:spacing w:val="-2"/>
                <w:sz w:val="18"/>
              </w:rPr>
              <w:t>benefits</w:t>
            </w:r>
          </w:p>
        </w:tc>
        <w:tc>
          <w:tcPr>
            <w:tcW w:w="1266" w:type="dxa"/>
            <w:tcBorders>
              <w:bottom w:val="single" w:sz="12" w:space="0" w:color="000000"/>
            </w:tcBorders>
            <w:shd w:val="clear" w:color="auto" w:fill="DEEAF6"/>
          </w:tcPr>
          <w:p w14:paraId="5FD2E083" w14:textId="77777777" w:rsidR="00084F36" w:rsidRPr="00EB2BD8" w:rsidRDefault="00EB2BD8">
            <w:pPr>
              <w:pStyle w:val="TableParagraph"/>
              <w:spacing w:before="65"/>
              <w:ind w:right="103"/>
              <w:jc w:val="right"/>
              <w:rPr>
                <w:rFonts w:ascii="Arial"/>
                <w:sz w:val="18"/>
              </w:rPr>
            </w:pPr>
            <w:r w:rsidRPr="00EB2BD8">
              <w:rPr>
                <w:rFonts w:ascii="Arial"/>
                <w:spacing w:val="-5"/>
                <w:sz w:val="18"/>
              </w:rPr>
              <w:t>73</w:t>
            </w:r>
          </w:p>
        </w:tc>
        <w:tc>
          <w:tcPr>
            <w:tcW w:w="1266" w:type="dxa"/>
            <w:tcBorders>
              <w:bottom w:val="single" w:sz="12" w:space="0" w:color="000000"/>
            </w:tcBorders>
            <w:shd w:val="clear" w:color="auto" w:fill="FFFFFF"/>
          </w:tcPr>
          <w:p w14:paraId="37FBFDF9" w14:textId="77777777" w:rsidR="00084F36" w:rsidRPr="00EB2BD8" w:rsidRDefault="00EB2BD8">
            <w:pPr>
              <w:pStyle w:val="TableParagraph"/>
              <w:spacing w:before="65"/>
              <w:ind w:right="101"/>
              <w:jc w:val="right"/>
              <w:rPr>
                <w:rFonts w:ascii="Arial"/>
                <w:sz w:val="18"/>
              </w:rPr>
            </w:pPr>
            <w:r w:rsidRPr="00EB2BD8">
              <w:rPr>
                <w:rFonts w:ascii="Arial"/>
                <w:spacing w:val="-5"/>
                <w:sz w:val="18"/>
              </w:rPr>
              <w:t>48</w:t>
            </w:r>
          </w:p>
        </w:tc>
      </w:tr>
      <w:tr w:rsidR="00EB2BD8" w:rsidRPr="00EB2BD8" w14:paraId="19955DB6" w14:textId="77777777">
        <w:trPr>
          <w:trHeight w:val="312"/>
        </w:trPr>
        <w:tc>
          <w:tcPr>
            <w:tcW w:w="6834" w:type="dxa"/>
            <w:tcBorders>
              <w:top w:val="single" w:sz="12" w:space="0" w:color="000000"/>
              <w:bottom w:val="single" w:sz="12" w:space="0" w:color="000000"/>
            </w:tcBorders>
            <w:shd w:val="clear" w:color="auto" w:fill="FFFFFF"/>
          </w:tcPr>
          <w:p w14:paraId="2D72BBD7" w14:textId="77777777" w:rsidR="00084F36" w:rsidRPr="00EB2BD8" w:rsidRDefault="00EB2BD8">
            <w:pPr>
              <w:pStyle w:val="TableParagraph"/>
              <w:spacing w:before="52"/>
              <w:ind w:left="113"/>
              <w:rPr>
                <w:rFonts w:ascii="Arial"/>
                <w:b/>
                <w:sz w:val="18"/>
              </w:rPr>
            </w:pPr>
            <w:r w:rsidRPr="00EB2BD8">
              <w:rPr>
                <w:rFonts w:ascii="Arial"/>
                <w:b/>
                <w:sz w:val="18"/>
              </w:rPr>
              <w:t xml:space="preserve">Total </w:t>
            </w:r>
            <w:r w:rsidRPr="00EB2BD8">
              <w:rPr>
                <w:rFonts w:ascii="Arial"/>
                <w:b/>
                <w:spacing w:val="-2"/>
                <w:sz w:val="18"/>
              </w:rPr>
              <w:t>remuneration</w:t>
            </w:r>
          </w:p>
        </w:tc>
        <w:tc>
          <w:tcPr>
            <w:tcW w:w="1266" w:type="dxa"/>
            <w:tcBorders>
              <w:top w:val="single" w:sz="12" w:space="0" w:color="000000"/>
              <w:bottom w:val="single" w:sz="12" w:space="0" w:color="000000"/>
            </w:tcBorders>
            <w:shd w:val="clear" w:color="auto" w:fill="DEEAF6"/>
          </w:tcPr>
          <w:p w14:paraId="259CE23A" w14:textId="77777777" w:rsidR="00084F36" w:rsidRPr="00EB2BD8" w:rsidRDefault="00EB2BD8">
            <w:pPr>
              <w:pStyle w:val="TableParagraph"/>
              <w:spacing w:before="52"/>
              <w:ind w:right="103"/>
              <w:jc w:val="right"/>
              <w:rPr>
                <w:rFonts w:ascii="Arial"/>
                <w:b/>
                <w:sz w:val="18"/>
              </w:rPr>
            </w:pPr>
            <w:r w:rsidRPr="00EB2BD8">
              <w:rPr>
                <w:rFonts w:ascii="Arial"/>
                <w:b/>
                <w:spacing w:val="-2"/>
                <w:sz w:val="18"/>
              </w:rPr>
              <w:t>2,692</w:t>
            </w:r>
          </w:p>
        </w:tc>
        <w:tc>
          <w:tcPr>
            <w:tcW w:w="1266" w:type="dxa"/>
            <w:tcBorders>
              <w:top w:val="single" w:sz="12" w:space="0" w:color="000000"/>
              <w:bottom w:val="single" w:sz="12" w:space="0" w:color="000000"/>
            </w:tcBorders>
            <w:shd w:val="clear" w:color="auto" w:fill="FFFFFF"/>
          </w:tcPr>
          <w:p w14:paraId="0E9F8A9D" w14:textId="77777777" w:rsidR="00084F36" w:rsidRPr="00EB2BD8" w:rsidRDefault="00EB2BD8">
            <w:pPr>
              <w:pStyle w:val="TableParagraph"/>
              <w:spacing w:before="52"/>
              <w:ind w:right="103"/>
              <w:jc w:val="right"/>
              <w:rPr>
                <w:rFonts w:ascii="Arial"/>
                <w:b/>
                <w:sz w:val="18"/>
              </w:rPr>
            </w:pPr>
            <w:r w:rsidRPr="00EB2BD8">
              <w:rPr>
                <w:rFonts w:ascii="Arial"/>
                <w:b/>
                <w:spacing w:val="-2"/>
                <w:sz w:val="18"/>
              </w:rPr>
              <w:t>2,395</w:t>
            </w:r>
          </w:p>
        </w:tc>
      </w:tr>
      <w:tr w:rsidR="00EB2BD8" w:rsidRPr="00EB2BD8" w14:paraId="1F6B008E" w14:textId="77777777">
        <w:trPr>
          <w:trHeight w:val="311"/>
        </w:trPr>
        <w:tc>
          <w:tcPr>
            <w:tcW w:w="6834" w:type="dxa"/>
            <w:tcBorders>
              <w:top w:val="single" w:sz="12" w:space="0" w:color="000000"/>
              <w:bottom w:val="single" w:sz="12" w:space="0" w:color="000000"/>
            </w:tcBorders>
            <w:shd w:val="clear" w:color="auto" w:fill="FFFFFF"/>
          </w:tcPr>
          <w:p w14:paraId="1238DD32" w14:textId="77777777" w:rsidR="00084F36" w:rsidRPr="00EB2BD8" w:rsidRDefault="00EB2BD8">
            <w:pPr>
              <w:pStyle w:val="TableParagraph"/>
              <w:spacing w:before="48"/>
              <w:ind w:left="113"/>
              <w:rPr>
                <w:rFonts w:ascii="Arial"/>
                <w:sz w:val="12"/>
              </w:rPr>
            </w:pPr>
            <w:r w:rsidRPr="00EB2BD8">
              <w:rPr>
                <w:rFonts w:ascii="Arial"/>
                <w:b/>
                <w:sz w:val="18"/>
              </w:rPr>
              <w:t>Total</w:t>
            </w:r>
            <w:r w:rsidRPr="00EB2BD8">
              <w:rPr>
                <w:rFonts w:ascii="Arial"/>
                <w:b/>
                <w:spacing w:val="-3"/>
                <w:sz w:val="18"/>
              </w:rPr>
              <w:t xml:space="preserve"> </w:t>
            </w:r>
            <w:r w:rsidRPr="00EB2BD8">
              <w:rPr>
                <w:rFonts w:ascii="Arial"/>
                <w:b/>
                <w:sz w:val="18"/>
              </w:rPr>
              <w:t>number</w:t>
            </w:r>
            <w:r w:rsidRPr="00EB2BD8">
              <w:rPr>
                <w:rFonts w:ascii="Arial"/>
                <w:b/>
                <w:spacing w:val="-1"/>
                <w:sz w:val="18"/>
              </w:rPr>
              <w:t xml:space="preserve"> </w:t>
            </w:r>
            <w:r w:rsidRPr="00EB2BD8">
              <w:rPr>
                <w:rFonts w:ascii="Arial"/>
                <w:b/>
                <w:sz w:val="18"/>
              </w:rPr>
              <w:t>of</w:t>
            </w:r>
            <w:r w:rsidRPr="00EB2BD8">
              <w:rPr>
                <w:rFonts w:ascii="Arial"/>
                <w:b/>
                <w:spacing w:val="-1"/>
                <w:sz w:val="18"/>
              </w:rPr>
              <w:t xml:space="preserve"> </w:t>
            </w:r>
            <w:r w:rsidRPr="00EB2BD8">
              <w:rPr>
                <w:rFonts w:ascii="Arial"/>
                <w:b/>
                <w:spacing w:val="-2"/>
                <w:sz w:val="18"/>
              </w:rPr>
              <w:t>executives</w:t>
            </w:r>
            <w:r w:rsidRPr="00EB2BD8">
              <w:rPr>
                <w:rFonts w:ascii="Arial"/>
                <w:spacing w:val="-2"/>
                <w:position w:val="6"/>
                <w:sz w:val="12"/>
              </w:rPr>
              <w:t>(a)</w:t>
            </w:r>
          </w:p>
        </w:tc>
        <w:tc>
          <w:tcPr>
            <w:tcW w:w="1266" w:type="dxa"/>
            <w:tcBorders>
              <w:top w:val="single" w:sz="12" w:space="0" w:color="000000"/>
              <w:bottom w:val="single" w:sz="12" w:space="0" w:color="000000"/>
            </w:tcBorders>
            <w:shd w:val="clear" w:color="auto" w:fill="DEEAF6"/>
          </w:tcPr>
          <w:p w14:paraId="2A8A84FB" w14:textId="77777777" w:rsidR="00084F36" w:rsidRPr="00EB2BD8" w:rsidRDefault="00EB2BD8">
            <w:pPr>
              <w:pStyle w:val="TableParagraph"/>
              <w:spacing w:before="52"/>
              <w:ind w:right="101"/>
              <w:jc w:val="right"/>
              <w:rPr>
                <w:rFonts w:ascii="Arial"/>
                <w:b/>
                <w:sz w:val="18"/>
              </w:rPr>
            </w:pPr>
            <w:r w:rsidRPr="00EB2BD8">
              <w:rPr>
                <w:rFonts w:ascii="Arial"/>
                <w:b/>
                <w:sz w:val="18"/>
              </w:rPr>
              <w:t>9</w:t>
            </w:r>
          </w:p>
        </w:tc>
        <w:tc>
          <w:tcPr>
            <w:tcW w:w="1266" w:type="dxa"/>
            <w:tcBorders>
              <w:top w:val="single" w:sz="12" w:space="0" w:color="000000"/>
              <w:bottom w:val="single" w:sz="12" w:space="0" w:color="000000"/>
            </w:tcBorders>
            <w:shd w:val="clear" w:color="auto" w:fill="FFFFFF"/>
          </w:tcPr>
          <w:p w14:paraId="1F1C6568" w14:textId="77777777" w:rsidR="00084F36" w:rsidRPr="00EB2BD8" w:rsidRDefault="00EB2BD8">
            <w:pPr>
              <w:pStyle w:val="TableParagraph"/>
              <w:spacing w:before="52"/>
              <w:ind w:right="103"/>
              <w:jc w:val="right"/>
              <w:rPr>
                <w:rFonts w:ascii="Arial"/>
                <w:b/>
                <w:sz w:val="18"/>
              </w:rPr>
            </w:pPr>
            <w:r w:rsidRPr="00EB2BD8">
              <w:rPr>
                <w:rFonts w:ascii="Arial"/>
                <w:b/>
                <w:spacing w:val="-5"/>
                <w:sz w:val="18"/>
              </w:rPr>
              <w:t>11</w:t>
            </w:r>
          </w:p>
        </w:tc>
      </w:tr>
      <w:tr w:rsidR="00EB2BD8" w:rsidRPr="00EB2BD8" w14:paraId="1761D794" w14:textId="77777777">
        <w:trPr>
          <w:trHeight w:val="311"/>
        </w:trPr>
        <w:tc>
          <w:tcPr>
            <w:tcW w:w="6834" w:type="dxa"/>
            <w:tcBorders>
              <w:top w:val="single" w:sz="12" w:space="0" w:color="000000"/>
              <w:bottom w:val="single" w:sz="12" w:space="0" w:color="000000"/>
            </w:tcBorders>
            <w:shd w:val="clear" w:color="auto" w:fill="FFFFFF"/>
          </w:tcPr>
          <w:p w14:paraId="6700FCC8" w14:textId="77777777" w:rsidR="00084F36" w:rsidRPr="00EB2BD8" w:rsidRDefault="00EB2BD8">
            <w:pPr>
              <w:pStyle w:val="TableParagraph"/>
              <w:spacing w:before="48"/>
              <w:ind w:left="113"/>
              <w:rPr>
                <w:rFonts w:ascii="Arial"/>
                <w:sz w:val="12"/>
              </w:rPr>
            </w:pPr>
            <w:r w:rsidRPr="00EB2BD8">
              <w:rPr>
                <w:rFonts w:ascii="Arial"/>
                <w:b/>
                <w:sz w:val="18"/>
              </w:rPr>
              <w:t>Total</w:t>
            </w:r>
            <w:r w:rsidRPr="00EB2BD8">
              <w:rPr>
                <w:rFonts w:ascii="Arial"/>
                <w:b/>
                <w:spacing w:val="-3"/>
                <w:sz w:val="18"/>
              </w:rPr>
              <w:t xml:space="preserve"> </w:t>
            </w:r>
            <w:r w:rsidRPr="00EB2BD8">
              <w:rPr>
                <w:rFonts w:ascii="Arial"/>
                <w:b/>
                <w:sz w:val="18"/>
              </w:rPr>
              <w:t>annualised</w:t>
            </w:r>
            <w:r w:rsidRPr="00EB2BD8">
              <w:rPr>
                <w:rFonts w:ascii="Arial"/>
                <w:b/>
                <w:spacing w:val="-3"/>
                <w:sz w:val="18"/>
              </w:rPr>
              <w:t xml:space="preserve"> </w:t>
            </w:r>
            <w:r w:rsidRPr="00EB2BD8">
              <w:rPr>
                <w:rFonts w:ascii="Arial"/>
                <w:b/>
                <w:sz w:val="18"/>
              </w:rPr>
              <w:t>employee</w:t>
            </w:r>
            <w:r w:rsidRPr="00EB2BD8">
              <w:rPr>
                <w:rFonts w:ascii="Arial"/>
                <w:b/>
                <w:spacing w:val="-3"/>
                <w:sz w:val="18"/>
              </w:rPr>
              <w:t xml:space="preserve"> </w:t>
            </w:r>
            <w:r w:rsidRPr="00EB2BD8">
              <w:rPr>
                <w:rFonts w:ascii="Arial"/>
                <w:b/>
                <w:sz w:val="18"/>
              </w:rPr>
              <w:t>equivalents</w:t>
            </w:r>
            <w:r w:rsidRPr="00EB2BD8">
              <w:rPr>
                <w:rFonts w:ascii="Arial"/>
                <w:b/>
                <w:spacing w:val="-3"/>
                <w:sz w:val="18"/>
              </w:rPr>
              <w:t xml:space="preserve"> </w:t>
            </w:r>
            <w:r w:rsidRPr="00EB2BD8">
              <w:rPr>
                <w:rFonts w:ascii="Arial"/>
                <w:spacing w:val="-5"/>
                <w:position w:val="6"/>
                <w:sz w:val="12"/>
              </w:rPr>
              <w:t>(b)</w:t>
            </w:r>
          </w:p>
        </w:tc>
        <w:tc>
          <w:tcPr>
            <w:tcW w:w="1266" w:type="dxa"/>
            <w:tcBorders>
              <w:top w:val="single" w:sz="12" w:space="0" w:color="000000"/>
              <w:bottom w:val="single" w:sz="12" w:space="0" w:color="000000"/>
            </w:tcBorders>
            <w:shd w:val="clear" w:color="auto" w:fill="DEEAF6"/>
          </w:tcPr>
          <w:p w14:paraId="2BEE8383" w14:textId="77777777" w:rsidR="00084F36" w:rsidRPr="00EB2BD8" w:rsidRDefault="00EB2BD8">
            <w:pPr>
              <w:pStyle w:val="TableParagraph"/>
              <w:spacing w:before="52"/>
              <w:ind w:right="101"/>
              <w:jc w:val="right"/>
              <w:rPr>
                <w:rFonts w:ascii="Arial"/>
                <w:b/>
                <w:sz w:val="18"/>
              </w:rPr>
            </w:pPr>
            <w:r w:rsidRPr="00EB2BD8">
              <w:rPr>
                <w:rFonts w:ascii="Arial"/>
                <w:b/>
                <w:sz w:val="18"/>
              </w:rPr>
              <w:t>8</w:t>
            </w:r>
          </w:p>
        </w:tc>
        <w:tc>
          <w:tcPr>
            <w:tcW w:w="1266" w:type="dxa"/>
            <w:tcBorders>
              <w:top w:val="single" w:sz="12" w:space="0" w:color="000000"/>
              <w:bottom w:val="single" w:sz="12" w:space="0" w:color="000000"/>
            </w:tcBorders>
            <w:shd w:val="clear" w:color="auto" w:fill="FFFFFF"/>
          </w:tcPr>
          <w:p w14:paraId="7837FFEB" w14:textId="77777777" w:rsidR="00084F36" w:rsidRPr="00EB2BD8" w:rsidRDefault="00EB2BD8">
            <w:pPr>
              <w:pStyle w:val="TableParagraph"/>
              <w:spacing w:before="52"/>
              <w:ind w:right="101"/>
              <w:jc w:val="right"/>
              <w:rPr>
                <w:rFonts w:ascii="Arial"/>
                <w:b/>
                <w:sz w:val="18"/>
              </w:rPr>
            </w:pPr>
            <w:r w:rsidRPr="00EB2BD8">
              <w:rPr>
                <w:rFonts w:ascii="Arial"/>
                <w:b/>
                <w:sz w:val="18"/>
              </w:rPr>
              <w:t>7</w:t>
            </w:r>
          </w:p>
        </w:tc>
      </w:tr>
    </w:tbl>
    <w:p w14:paraId="1F981053" w14:textId="77777777" w:rsidR="00084F36" w:rsidRPr="00EB2BD8" w:rsidRDefault="00084F36">
      <w:pPr>
        <w:pStyle w:val="BodyText"/>
        <w:spacing w:before="3"/>
        <w:rPr>
          <w:rFonts w:ascii="Arial"/>
          <w:sz w:val="22"/>
        </w:rPr>
      </w:pPr>
    </w:p>
    <w:p w14:paraId="27B7058A" w14:textId="77777777" w:rsidR="00084F36" w:rsidRPr="00EB2BD8" w:rsidRDefault="00EB2BD8">
      <w:pPr>
        <w:ind w:left="1025"/>
        <w:rPr>
          <w:rFonts w:ascii="Arial"/>
          <w:i/>
          <w:sz w:val="16"/>
        </w:rPr>
      </w:pPr>
      <w:r w:rsidRPr="00EB2BD8">
        <w:rPr>
          <w:rFonts w:ascii="Arial"/>
          <w:i/>
          <w:spacing w:val="-2"/>
          <w:sz w:val="16"/>
        </w:rPr>
        <w:t>Notes:</w:t>
      </w:r>
    </w:p>
    <w:p w14:paraId="335C3A41" w14:textId="77777777" w:rsidR="00084F36" w:rsidRPr="00EB2BD8" w:rsidRDefault="00EB2BD8">
      <w:pPr>
        <w:pStyle w:val="ListParagraph"/>
        <w:numPr>
          <w:ilvl w:val="0"/>
          <w:numId w:val="5"/>
        </w:numPr>
        <w:tabs>
          <w:tab w:val="left" w:pos="1308"/>
          <w:tab w:val="left" w:pos="1311"/>
        </w:tabs>
        <w:spacing w:before="88" w:line="276" w:lineRule="auto"/>
        <w:ind w:right="1702"/>
        <w:rPr>
          <w:rFonts w:ascii="Arial"/>
          <w:i/>
          <w:sz w:val="16"/>
        </w:rPr>
      </w:pPr>
      <w:r w:rsidRPr="00EB2BD8">
        <w:rPr>
          <w:rFonts w:ascii="Arial"/>
          <w:i/>
          <w:sz w:val="16"/>
        </w:rPr>
        <w:t>The total number of Executive Officers includes persons who meet the definition of Key Management Personnel (KMP) of the entity under</w:t>
      </w:r>
      <w:r w:rsidRPr="00EB2BD8">
        <w:rPr>
          <w:rFonts w:ascii="Arial"/>
          <w:i/>
          <w:spacing w:val="-1"/>
          <w:sz w:val="16"/>
        </w:rPr>
        <w:t xml:space="preserve"> </w:t>
      </w:r>
      <w:r w:rsidRPr="00EB2BD8">
        <w:rPr>
          <w:rFonts w:ascii="Arial"/>
          <w:i/>
          <w:sz w:val="16"/>
        </w:rPr>
        <w:t>AASB 124 Related Party Disclosures</w:t>
      </w:r>
      <w:r w:rsidRPr="00EB2BD8">
        <w:rPr>
          <w:rFonts w:ascii="Arial"/>
          <w:i/>
          <w:spacing w:val="-1"/>
          <w:sz w:val="16"/>
        </w:rPr>
        <w:t xml:space="preserve"> </w:t>
      </w:r>
      <w:r w:rsidRPr="00EB2BD8">
        <w:rPr>
          <w:rFonts w:ascii="Arial"/>
          <w:i/>
          <w:sz w:val="16"/>
        </w:rPr>
        <w:t>and are also reported within the related parties (note 8.5)</w:t>
      </w:r>
      <w:r w:rsidRPr="00EB2BD8">
        <w:rPr>
          <w:rFonts w:ascii="Arial"/>
          <w:i/>
          <w:spacing w:val="-1"/>
          <w:sz w:val="16"/>
        </w:rPr>
        <w:t xml:space="preserve"> </w:t>
      </w:r>
      <w:r w:rsidRPr="00EB2BD8">
        <w:rPr>
          <w:rFonts w:ascii="Arial"/>
          <w:i/>
          <w:sz w:val="16"/>
        </w:rPr>
        <w:t>disclosure below.</w:t>
      </w:r>
    </w:p>
    <w:p w14:paraId="74338F26" w14:textId="77777777" w:rsidR="00084F36" w:rsidRPr="00EB2BD8" w:rsidRDefault="00EB2BD8">
      <w:pPr>
        <w:pStyle w:val="ListParagraph"/>
        <w:numPr>
          <w:ilvl w:val="0"/>
          <w:numId w:val="5"/>
        </w:numPr>
        <w:tabs>
          <w:tab w:val="left" w:pos="1308"/>
        </w:tabs>
        <w:spacing w:before="63"/>
        <w:ind w:left="1308" w:hanging="283"/>
        <w:rPr>
          <w:rFonts w:ascii="Arial"/>
          <w:i/>
          <w:sz w:val="16"/>
        </w:rPr>
      </w:pPr>
      <w:r w:rsidRPr="00EB2BD8">
        <w:rPr>
          <w:rFonts w:ascii="Arial"/>
          <w:i/>
          <w:sz w:val="16"/>
        </w:rPr>
        <w:t>Annualised</w:t>
      </w:r>
      <w:r w:rsidRPr="00EB2BD8">
        <w:rPr>
          <w:rFonts w:ascii="Arial"/>
          <w:i/>
          <w:spacing w:val="-4"/>
          <w:sz w:val="16"/>
        </w:rPr>
        <w:t xml:space="preserve"> </w:t>
      </w:r>
      <w:r w:rsidRPr="00EB2BD8">
        <w:rPr>
          <w:rFonts w:ascii="Arial"/>
          <w:i/>
          <w:sz w:val="16"/>
        </w:rPr>
        <w:t>employee</w:t>
      </w:r>
      <w:r w:rsidRPr="00EB2BD8">
        <w:rPr>
          <w:rFonts w:ascii="Arial"/>
          <w:i/>
          <w:spacing w:val="-2"/>
          <w:sz w:val="16"/>
        </w:rPr>
        <w:t xml:space="preserve"> </w:t>
      </w:r>
      <w:r w:rsidRPr="00EB2BD8">
        <w:rPr>
          <w:rFonts w:ascii="Arial"/>
          <w:i/>
          <w:sz w:val="16"/>
        </w:rPr>
        <w:t>equivalent</w:t>
      </w:r>
      <w:r w:rsidRPr="00EB2BD8">
        <w:rPr>
          <w:rFonts w:ascii="Arial"/>
          <w:i/>
          <w:spacing w:val="-2"/>
          <w:sz w:val="16"/>
        </w:rPr>
        <w:t xml:space="preserve"> </w:t>
      </w:r>
      <w:r w:rsidRPr="00EB2BD8">
        <w:rPr>
          <w:rFonts w:ascii="Arial"/>
          <w:i/>
          <w:sz w:val="16"/>
        </w:rPr>
        <w:t>is</w:t>
      </w:r>
      <w:r w:rsidRPr="00EB2BD8">
        <w:rPr>
          <w:rFonts w:ascii="Arial"/>
          <w:i/>
          <w:spacing w:val="-2"/>
          <w:sz w:val="16"/>
        </w:rPr>
        <w:t xml:space="preserve"> </w:t>
      </w:r>
      <w:r w:rsidRPr="00EB2BD8">
        <w:rPr>
          <w:rFonts w:ascii="Arial"/>
          <w:i/>
          <w:sz w:val="16"/>
        </w:rPr>
        <w:t>based</w:t>
      </w:r>
      <w:r w:rsidRPr="00EB2BD8">
        <w:rPr>
          <w:rFonts w:ascii="Arial"/>
          <w:i/>
          <w:spacing w:val="-2"/>
          <w:sz w:val="16"/>
        </w:rPr>
        <w:t xml:space="preserve"> </w:t>
      </w:r>
      <w:r w:rsidRPr="00EB2BD8">
        <w:rPr>
          <w:rFonts w:ascii="Arial"/>
          <w:i/>
          <w:sz w:val="16"/>
        </w:rPr>
        <w:t>on</w:t>
      </w:r>
      <w:r w:rsidRPr="00EB2BD8">
        <w:rPr>
          <w:rFonts w:ascii="Arial"/>
          <w:i/>
          <w:spacing w:val="-2"/>
          <w:sz w:val="16"/>
        </w:rPr>
        <w:t xml:space="preserve"> </w:t>
      </w:r>
      <w:r w:rsidRPr="00EB2BD8">
        <w:rPr>
          <w:rFonts w:ascii="Arial"/>
          <w:i/>
          <w:sz w:val="16"/>
        </w:rPr>
        <w:t>the</w:t>
      </w:r>
      <w:r w:rsidRPr="00EB2BD8">
        <w:rPr>
          <w:rFonts w:ascii="Arial"/>
          <w:i/>
          <w:spacing w:val="-2"/>
          <w:sz w:val="16"/>
        </w:rPr>
        <w:t xml:space="preserve"> </w:t>
      </w:r>
      <w:r w:rsidRPr="00EB2BD8">
        <w:rPr>
          <w:rFonts w:ascii="Arial"/>
          <w:i/>
          <w:sz w:val="16"/>
        </w:rPr>
        <w:t>time</w:t>
      </w:r>
      <w:r w:rsidRPr="00EB2BD8">
        <w:rPr>
          <w:rFonts w:ascii="Arial"/>
          <w:i/>
          <w:spacing w:val="-2"/>
          <w:sz w:val="16"/>
        </w:rPr>
        <w:t xml:space="preserve"> </w:t>
      </w:r>
      <w:r w:rsidRPr="00EB2BD8">
        <w:rPr>
          <w:rFonts w:ascii="Arial"/>
          <w:i/>
          <w:sz w:val="16"/>
        </w:rPr>
        <w:t>fraction</w:t>
      </w:r>
      <w:r w:rsidRPr="00EB2BD8">
        <w:rPr>
          <w:rFonts w:ascii="Arial"/>
          <w:i/>
          <w:spacing w:val="-2"/>
          <w:sz w:val="16"/>
        </w:rPr>
        <w:t xml:space="preserve"> </w:t>
      </w:r>
      <w:r w:rsidRPr="00EB2BD8">
        <w:rPr>
          <w:rFonts w:ascii="Arial"/>
          <w:i/>
          <w:sz w:val="16"/>
        </w:rPr>
        <w:t>worked</w:t>
      </w:r>
      <w:r w:rsidRPr="00EB2BD8">
        <w:rPr>
          <w:rFonts w:ascii="Arial"/>
          <w:i/>
          <w:spacing w:val="-2"/>
          <w:sz w:val="16"/>
        </w:rPr>
        <w:t xml:space="preserve"> </w:t>
      </w:r>
      <w:r w:rsidRPr="00EB2BD8">
        <w:rPr>
          <w:rFonts w:ascii="Arial"/>
          <w:i/>
          <w:sz w:val="16"/>
        </w:rPr>
        <w:t>over</w:t>
      </w:r>
      <w:r w:rsidRPr="00EB2BD8">
        <w:rPr>
          <w:rFonts w:ascii="Arial"/>
          <w:i/>
          <w:spacing w:val="-3"/>
          <w:sz w:val="16"/>
        </w:rPr>
        <w:t xml:space="preserve"> </w:t>
      </w:r>
      <w:r w:rsidRPr="00EB2BD8">
        <w:rPr>
          <w:rFonts w:ascii="Arial"/>
          <w:i/>
          <w:sz w:val="16"/>
        </w:rPr>
        <w:t>the</w:t>
      </w:r>
      <w:r w:rsidRPr="00EB2BD8">
        <w:rPr>
          <w:rFonts w:ascii="Arial"/>
          <w:i/>
          <w:spacing w:val="-1"/>
          <w:sz w:val="16"/>
        </w:rPr>
        <w:t xml:space="preserve"> </w:t>
      </w:r>
      <w:r w:rsidRPr="00EB2BD8">
        <w:rPr>
          <w:rFonts w:ascii="Arial"/>
          <w:i/>
          <w:sz w:val="16"/>
        </w:rPr>
        <w:t>reporting</w:t>
      </w:r>
      <w:r w:rsidRPr="00EB2BD8">
        <w:rPr>
          <w:rFonts w:ascii="Arial"/>
          <w:i/>
          <w:spacing w:val="-1"/>
          <w:sz w:val="16"/>
        </w:rPr>
        <w:t xml:space="preserve"> </w:t>
      </w:r>
      <w:r w:rsidRPr="00EB2BD8">
        <w:rPr>
          <w:rFonts w:ascii="Arial"/>
          <w:i/>
          <w:spacing w:val="-2"/>
          <w:sz w:val="16"/>
        </w:rPr>
        <w:t>period.</w:t>
      </w:r>
    </w:p>
    <w:p w14:paraId="7907A634" w14:textId="77777777" w:rsidR="00084F36" w:rsidRPr="00EB2BD8" w:rsidRDefault="00084F36">
      <w:pPr>
        <w:pStyle w:val="BodyText"/>
        <w:rPr>
          <w:rFonts w:ascii="Arial"/>
          <w:i/>
        </w:rPr>
      </w:pPr>
    </w:p>
    <w:p w14:paraId="35800D68" w14:textId="77777777" w:rsidR="00084F36" w:rsidRPr="00EB2BD8" w:rsidRDefault="00084F36">
      <w:pPr>
        <w:pStyle w:val="BodyText"/>
        <w:rPr>
          <w:rFonts w:ascii="Arial"/>
          <w:i/>
        </w:rPr>
      </w:pPr>
    </w:p>
    <w:p w14:paraId="0C8F13A5" w14:textId="77777777" w:rsidR="00084F36" w:rsidRPr="00EB2BD8" w:rsidRDefault="00084F36">
      <w:pPr>
        <w:pStyle w:val="BodyText"/>
        <w:rPr>
          <w:rFonts w:ascii="Arial"/>
          <w:i/>
        </w:rPr>
      </w:pPr>
    </w:p>
    <w:p w14:paraId="67F151A5" w14:textId="54F0B6E2" w:rsidR="00084F36" w:rsidRPr="00EB2BD8" w:rsidRDefault="000546D6" w:rsidP="000546D6">
      <w:pPr>
        <w:pStyle w:val="Heading2"/>
        <w:ind w:firstLine="175"/>
      </w:pPr>
      <w:bookmarkStart w:id="368" w:name="_Toc150762670"/>
      <w:r>
        <w:t>8.5 R</w:t>
      </w:r>
      <w:r w:rsidRPr="00EB2BD8">
        <w:t>elated</w:t>
      </w:r>
      <w:r w:rsidRPr="00EB2BD8">
        <w:rPr>
          <w:spacing w:val="-2"/>
        </w:rPr>
        <w:t xml:space="preserve"> parties</w:t>
      </w:r>
      <w:bookmarkEnd w:id="368"/>
    </w:p>
    <w:p w14:paraId="2FD60354" w14:textId="77777777" w:rsidR="00084F36" w:rsidRPr="00EB2BD8" w:rsidRDefault="00EB2BD8">
      <w:pPr>
        <w:pStyle w:val="BodyText"/>
        <w:spacing w:before="182"/>
        <w:ind w:left="1025"/>
        <w:rPr>
          <w:rFonts w:ascii="Arial"/>
        </w:rPr>
      </w:pPr>
      <w:r w:rsidRPr="00EB2BD8">
        <w:rPr>
          <w:rFonts w:ascii="Arial"/>
        </w:rPr>
        <w:t>The</w:t>
      </w:r>
      <w:r w:rsidRPr="00EB2BD8">
        <w:rPr>
          <w:rFonts w:ascii="Arial"/>
          <w:spacing w:val="-4"/>
        </w:rPr>
        <w:t xml:space="preserve"> </w:t>
      </w:r>
      <w:r w:rsidRPr="00EB2BD8">
        <w:rPr>
          <w:rFonts w:ascii="Arial"/>
        </w:rPr>
        <w:t>VBA</w:t>
      </w:r>
      <w:r w:rsidRPr="00EB2BD8">
        <w:rPr>
          <w:rFonts w:ascii="Arial"/>
          <w:spacing w:val="-2"/>
        </w:rPr>
        <w:t xml:space="preserve"> </w:t>
      </w:r>
      <w:r w:rsidRPr="00EB2BD8">
        <w:rPr>
          <w:rFonts w:ascii="Arial"/>
        </w:rPr>
        <w:t>is</w:t>
      </w:r>
      <w:r w:rsidRPr="00EB2BD8">
        <w:rPr>
          <w:rFonts w:ascii="Arial"/>
          <w:spacing w:val="-2"/>
        </w:rPr>
        <w:t xml:space="preserve"> </w:t>
      </w:r>
      <w:r w:rsidRPr="00EB2BD8">
        <w:rPr>
          <w:rFonts w:ascii="Arial"/>
        </w:rPr>
        <w:t>a</w:t>
      </w:r>
      <w:r w:rsidRPr="00EB2BD8">
        <w:rPr>
          <w:rFonts w:ascii="Arial"/>
          <w:spacing w:val="-2"/>
        </w:rPr>
        <w:t xml:space="preserve"> </w:t>
      </w:r>
      <w:r w:rsidRPr="00EB2BD8">
        <w:rPr>
          <w:rFonts w:ascii="Arial"/>
        </w:rPr>
        <w:t>wholly</w:t>
      </w:r>
      <w:r w:rsidRPr="00EB2BD8">
        <w:rPr>
          <w:rFonts w:ascii="Arial"/>
          <w:spacing w:val="-2"/>
        </w:rPr>
        <w:t xml:space="preserve"> </w:t>
      </w:r>
      <w:r w:rsidRPr="00EB2BD8">
        <w:rPr>
          <w:rFonts w:ascii="Arial"/>
        </w:rPr>
        <w:t>owned</w:t>
      </w:r>
      <w:r w:rsidRPr="00EB2BD8">
        <w:rPr>
          <w:rFonts w:ascii="Arial"/>
          <w:spacing w:val="-1"/>
        </w:rPr>
        <w:t xml:space="preserve"> </w:t>
      </w:r>
      <w:r w:rsidRPr="00EB2BD8">
        <w:rPr>
          <w:rFonts w:ascii="Arial"/>
        </w:rPr>
        <w:t>and</w:t>
      </w:r>
      <w:r w:rsidRPr="00EB2BD8">
        <w:rPr>
          <w:rFonts w:ascii="Arial"/>
          <w:spacing w:val="-2"/>
        </w:rPr>
        <w:t xml:space="preserve"> </w:t>
      </w:r>
      <w:r w:rsidRPr="00EB2BD8">
        <w:rPr>
          <w:rFonts w:ascii="Arial"/>
        </w:rPr>
        <w:t>controlled</w:t>
      </w:r>
      <w:r w:rsidRPr="00EB2BD8">
        <w:rPr>
          <w:rFonts w:ascii="Arial"/>
          <w:spacing w:val="-1"/>
        </w:rPr>
        <w:t xml:space="preserve"> </w:t>
      </w:r>
      <w:r w:rsidRPr="00EB2BD8">
        <w:rPr>
          <w:rFonts w:ascii="Arial"/>
        </w:rPr>
        <w:t>entity</w:t>
      </w:r>
      <w:r w:rsidRPr="00EB2BD8">
        <w:rPr>
          <w:rFonts w:ascii="Arial"/>
          <w:spacing w:val="-2"/>
        </w:rPr>
        <w:t xml:space="preserve"> </w:t>
      </w:r>
      <w:r w:rsidRPr="00EB2BD8">
        <w:rPr>
          <w:rFonts w:ascii="Arial"/>
        </w:rPr>
        <w:t>of</w:t>
      </w:r>
      <w:r w:rsidRPr="00EB2BD8">
        <w:rPr>
          <w:rFonts w:ascii="Arial"/>
          <w:spacing w:val="-1"/>
        </w:rPr>
        <w:t xml:space="preserve"> </w:t>
      </w:r>
      <w:r w:rsidRPr="00EB2BD8">
        <w:rPr>
          <w:rFonts w:ascii="Arial"/>
        </w:rPr>
        <w:t>the</w:t>
      </w:r>
      <w:r w:rsidRPr="00EB2BD8">
        <w:rPr>
          <w:rFonts w:ascii="Arial"/>
          <w:spacing w:val="-2"/>
        </w:rPr>
        <w:t xml:space="preserve"> </w:t>
      </w:r>
      <w:r w:rsidRPr="00EB2BD8">
        <w:rPr>
          <w:rFonts w:ascii="Arial"/>
        </w:rPr>
        <w:t>State</w:t>
      </w:r>
      <w:r w:rsidRPr="00EB2BD8">
        <w:rPr>
          <w:rFonts w:ascii="Arial"/>
          <w:spacing w:val="-2"/>
        </w:rPr>
        <w:t xml:space="preserve"> </w:t>
      </w:r>
      <w:r w:rsidRPr="00EB2BD8">
        <w:rPr>
          <w:rFonts w:ascii="Arial"/>
        </w:rPr>
        <w:t xml:space="preserve">of </w:t>
      </w:r>
      <w:r w:rsidRPr="00EB2BD8">
        <w:rPr>
          <w:rFonts w:ascii="Arial"/>
          <w:spacing w:val="-2"/>
        </w:rPr>
        <w:t>Victoria.</w:t>
      </w:r>
    </w:p>
    <w:p w14:paraId="404A85EE" w14:textId="77777777" w:rsidR="00084F36" w:rsidRPr="00EB2BD8" w:rsidRDefault="00084F36">
      <w:pPr>
        <w:pStyle w:val="BodyText"/>
        <w:spacing w:before="7"/>
        <w:rPr>
          <w:rFonts w:ascii="Arial"/>
          <w:sz w:val="23"/>
        </w:rPr>
      </w:pPr>
    </w:p>
    <w:p w14:paraId="0600E231" w14:textId="77777777" w:rsidR="00084F36" w:rsidRPr="00EB2BD8" w:rsidRDefault="00EB2BD8">
      <w:pPr>
        <w:pStyle w:val="BodyText"/>
        <w:spacing w:before="1"/>
        <w:ind w:left="1025"/>
        <w:rPr>
          <w:rFonts w:ascii="Arial"/>
        </w:rPr>
      </w:pPr>
      <w:r w:rsidRPr="00EB2BD8">
        <w:rPr>
          <w:rFonts w:ascii="Arial"/>
        </w:rPr>
        <w:t>Related</w:t>
      </w:r>
      <w:r w:rsidRPr="00EB2BD8">
        <w:rPr>
          <w:rFonts w:ascii="Arial"/>
          <w:spacing w:val="-5"/>
        </w:rPr>
        <w:t xml:space="preserve"> </w:t>
      </w:r>
      <w:r w:rsidRPr="00EB2BD8">
        <w:rPr>
          <w:rFonts w:ascii="Arial"/>
        </w:rPr>
        <w:t>parties</w:t>
      </w:r>
      <w:r w:rsidRPr="00EB2BD8">
        <w:rPr>
          <w:rFonts w:ascii="Arial"/>
          <w:spacing w:val="-1"/>
        </w:rPr>
        <w:t xml:space="preserve"> </w:t>
      </w:r>
      <w:r w:rsidRPr="00EB2BD8">
        <w:rPr>
          <w:rFonts w:ascii="Arial"/>
        </w:rPr>
        <w:t>of</w:t>
      </w:r>
      <w:r w:rsidRPr="00EB2BD8">
        <w:rPr>
          <w:rFonts w:ascii="Arial"/>
          <w:spacing w:val="-1"/>
        </w:rPr>
        <w:t xml:space="preserve"> </w:t>
      </w:r>
      <w:r w:rsidRPr="00EB2BD8">
        <w:rPr>
          <w:rFonts w:ascii="Arial"/>
        </w:rPr>
        <w:t>the</w:t>
      </w:r>
      <w:r w:rsidRPr="00EB2BD8">
        <w:rPr>
          <w:rFonts w:ascii="Arial"/>
          <w:spacing w:val="-2"/>
        </w:rPr>
        <w:t xml:space="preserve"> </w:t>
      </w:r>
      <w:r w:rsidRPr="00EB2BD8">
        <w:rPr>
          <w:rFonts w:ascii="Arial"/>
        </w:rPr>
        <w:t>VBA</w:t>
      </w:r>
      <w:r w:rsidRPr="00EB2BD8">
        <w:rPr>
          <w:rFonts w:ascii="Arial"/>
          <w:spacing w:val="-2"/>
        </w:rPr>
        <w:t xml:space="preserve"> include:</w:t>
      </w:r>
    </w:p>
    <w:p w14:paraId="6AF22666" w14:textId="77777777" w:rsidR="00084F36" w:rsidRPr="00EB2BD8" w:rsidRDefault="00EB2BD8">
      <w:pPr>
        <w:pStyle w:val="ListParagraph"/>
        <w:numPr>
          <w:ilvl w:val="2"/>
          <w:numId w:val="78"/>
        </w:numPr>
        <w:tabs>
          <w:tab w:val="left" w:pos="1749"/>
        </w:tabs>
        <w:spacing w:before="31" w:line="273" w:lineRule="auto"/>
        <w:ind w:left="1749" w:right="1648" w:hanging="362"/>
        <w:rPr>
          <w:rFonts w:ascii="Symbol" w:hAnsi="Symbol"/>
          <w:sz w:val="18"/>
        </w:rPr>
      </w:pPr>
      <w:r w:rsidRPr="00EB2BD8">
        <w:rPr>
          <w:rFonts w:ascii="Arial" w:hAnsi="Arial"/>
          <w:sz w:val="18"/>
        </w:rPr>
        <w:t>all key management personnel and their close family members and personal business interests (controlled entities, joint ventures and entities they have significant influence over); and</w:t>
      </w:r>
    </w:p>
    <w:p w14:paraId="66B80486" w14:textId="77777777" w:rsidR="00084F36" w:rsidRPr="00EB2BD8" w:rsidRDefault="00EB2BD8">
      <w:pPr>
        <w:pStyle w:val="ListParagraph"/>
        <w:numPr>
          <w:ilvl w:val="2"/>
          <w:numId w:val="78"/>
        </w:numPr>
        <w:tabs>
          <w:tab w:val="left" w:pos="1749"/>
        </w:tabs>
        <w:spacing w:before="4"/>
        <w:ind w:left="1749" w:hanging="362"/>
        <w:rPr>
          <w:rFonts w:ascii="Symbol" w:hAnsi="Symbol"/>
          <w:sz w:val="18"/>
        </w:rPr>
      </w:pPr>
      <w:r w:rsidRPr="00EB2BD8">
        <w:rPr>
          <w:rFonts w:ascii="Arial" w:hAnsi="Arial"/>
          <w:sz w:val="18"/>
        </w:rPr>
        <w:t>The</w:t>
      </w:r>
      <w:r w:rsidRPr="00EB2BD8">
        <w:rPr>
          <w:rFonts w:ascii="Arial" w:hAnsi="Arial"/>
          <w:spacing w:val="-3"/>
          <w:sz w:val="18"/>
        </w:rPr>
        <w:t xml:space="preserve"> </w:t>
      </w:r>
      <w:r w:rsidRPr="00EB2BD8">
        <w:rPr>
          <w:rFonts w:ascii="Arial" w:hAnsi="Arial"/>
          <w:sz w:val="18"/>
        </w:rPr>
        <w:t>Ministers</w:t>
      </w:r>
      <w:r w:rsidRPr="00EB2BD8">
        <w:rPr>
          <w:rFonts w:ascii="Arial" w:hAnsi="Arial"/>
          <w:spacing w:val="-2"/>
          <w:sz w:val="18"/>
        </w:rPr>
        <w:t xml:space="preserve"> </w:t>
      </w:r>
      <w:r w:rsidRPr="00EB2BD8">
        <w:rPr>
          <w:rFonts w:ascii="Arial" w:hAnsi="Arial"/>
          <w:sz w:val="18"/>
        </w:rPr>
        <w:t>and</w:t>
      </w:r>
      <w:r w:rsidRPr="00EB2BD8">
        <w:rPr>
          <w:rFonts w:ascii="Arial" w:hAnsi="Arial"/>
          <w:spacing w:val="-2"/>
          <w:sz w:val="18"/>
        </w:rPr>
        <w:t xml:space="preserve"> </w:t>
      </w:r>
      <w:r w:rsidRPr="00EB2BD8">
        <w:rPr>
          <w:rFonts w:ascii="Arial" w:hAnsi="Arial"/>
          <w:sz w:val="18"/>
        </w:rPr>
        <w:t>their</w:t>
      </w:r>
      <w:r w:rsidRPr="00EB2BD8">
        <w:rPr>
          <w:rFonts w:ascii="Arial" w:hAnsi="Arial"/>
          <w:spacing w:val="-3"/>
          <w:sz w:val="18"/>
        </w:rPr>
        <w:t xml:space="preserve"> </w:t>
      </w:r>
      <w:r w:rsidRPr="00EB2BD8">
        <w:rPr>
          <w:rFonts w:ascii="Arial" w:hAnsi="Arial"/>
          <w:sz w:val="18"/>
        </w:rPr>
        <w:t>close</w:t>
      </w:r>
      <w:r w:rsidRPr="00EB2BD8">
        <w:rPr>
          <w:rFonts w:ascii="Arial" w:hAnsi="Arial"/>
          <w:spacing w:val="-2"/>
          <w:sz w:val="18"/>
        </w:rPr>
        <w:t xml:space="preserve"> </w:t>
      </w:r>
      <w:r w:rsidRPr="00EB2BD8">
        <w:rPr>
          <w:rFonts w:ascii="Arial" w:hAnsi="Arial"/>
          <w:sz w:val="18"/>
        </w:rPr>
        <w:t>family</w:t>
      </w:r>
      <w:r w:rsidRPr="00EB2BD8">
        <w:rPr>
          <w:rFonts w:ascii="Arial" w:hAnsi="Arial"/>
          <w:spacing w:val="-2"/>
          <w:sz w:val="18"/>
        </w:rPr>
        <w:t xml:space="preserve"> members.</w:t>
      </w:r>
    </w:p>
    <w:p w14:paraId="3C92710E" w14:textId="77777777" w:rsidR="00084F36" w:rsidRPr="00EB2BD8" w:rsidRDefault="00084F36">
      <w:pPr>
        <w:pStyle w:val="BodyText"/>
        <w:spacing w:before="6"/>
        <w:rPr>
          <w:rFonts w:ascii="Arial"/>
          <w:sz w:val="23"/>
        </w:rPr>
      </w:pPr>
    </w:p>
    <w:p w14:paraId="590800E6" w14:textId="77777777" w:rsidR="00084F36" w:rsidRPr="00EB2BD8" w:rsidRDefault="00EB2BD8">
      <w:pPr>
        <w:pStyle w:val="BodyText"/>
        <w:ind w:left="1026"/>
        <w:rPr>
          <w:rFonts w:ascii="Arial" w:hAnsi="Arial"/>
        </w:rPr>
      </w:pPr>
      <w:r w:rsidRPr="00EB2BD8">
        <w:rPr>
          <w:rFonts w:ascii="Arial" w:hAnsi="Arial"/>
        </w:rPr>
        <w:t>All</w:t>
      </w:r>
      <w:r w:rsidRPr="00EB2BD8">
        <w:rPr>
          <w:rFonts w:ascii="Arial" w:hAnsi="Arial"/>
          <w:spacing w:val="-4"/>
        </w:rPr>
        <w:t xml:space="preserve"> </w:t>
      </w:r>
      <w:r w:rsidRPr="00EB2BD8">
        <w:rPr>
          <w:rFonts w:ascii="Arial" w:hAnsi="Arial"/>
        </w:rPr>
        <w:t>related</w:t>
      </w:r>
      <w:r w:rsidRPr="00EB2BD8">
        <w:rPr>
          <w:rFonts w:ascii="Arial" w:hAnsi="Arial"/>
          <w:spacing w:val="-2"/>
        </w:rPr>
        <w:t xml:space="preserve"> </w:t>
      </w:r>
      <w:r w:rsidRPr="00EB2BD8">
        <w:rPr>
          <w:rFonts w:ascii="Arial" w:hAnsi="Arial"/>
        </w:rPr>
        <w:t>party</w:t>
      </w:r>
      <w:r w:rsidRPr="00EB2BD8">
        <w:rPr>
          <w:rFonts w:ascii="Arial" w:hAnsi="Arial"/>
          <w:spacing w:val="-2"/>
        </w:rPr>
        <w:t xml:space="preserve"> </w:t>
      </w:r>
      <w:r w:rsidRPr="00EB2BD8">
        <w:rPr>
          <w:rFonts w:ascii="Arial" w:hAnsi="Arial"/>
        </w:rPr>
        <w:t>transactions</w:t>
      </w:r>
      <w:r w:rsidRPr="00EB2BD8">
        <w:rPr>
          <w:rFonts w:ascii="Arial" w:hAnsi="Arial"/>
          <w:spacing w:val="-2"/>
        </w:rPr>
        <w:t xml:space="preserve"> </w:t>
      </w:r>
      <w:r w:rsidRPr="00EB2BD8">
        <w:rPr>
          <w:rFonts w:ascii="Arial" w:hAnsi="Arial"/>
        </w:rPr>
        <w:t>have</w:t>
      </w:r>
      <w:r w:rsidRPr="00EB2BD8">
        <w:rPr>
          <w:rFonts w:ascii="Arial" w:hAnsi="Arial"/>
          <w:spacing w:val="-1"/>
        </w:rPr>
        <w:t xml:space="preserve"> </w:t>
      </w:r>
      <w:r w:rsidRPr="00EB2BD8">
        <w:rPr>
          <w:rFonts w:ascii="Arial" w:hAnsi="Arial"/>
        </w:rPr>
        <w:t>been</w:t>
      </w:r>
      <w:r w:rsidRPr="00EB2BD8">
        <w:rPr>
          <w:rFonts w:ascii="Arial" w:hAnsi="Arial"/>
          <w:spacing w:val="-2"/>
        </w:rPr>
        <w:t xml:space="preserve"> </w:t>
      </w:r>
      <w:r w:rsidRPr="00EB2BD8">
        <w:rPr>
          <w:rFonts w:ascii="Arial" w:hAnsi="Arial"/>
        </w:rPr>
        <w:t>entered</w:t>
      </w:r>
      <w:r w:rsidRPr="00EB2BD8">
        <w:rPr>
          <w:rFonts w:ascii="Arial" w:hAnsi="Arial"/>
          <w:spacing w:val="-2"/>
        </w:rPr>
        <w:t xml:space="preserve"> </w:t>
      </w:r>
      <w:r w:rsidRPr="00EB2BD8">
        <w:rPr>
          <w:rFonts w:ascii="Arial" w:hAnsi="Arial"/>
        </w:rPr>
        <w:t>into</w:t>
      </w:r>
      <w:r w:rsidRPr="00EB2BD8">
        <w:rPr>
          <w:rFonts w:ascii="Arial" w:hAnsi="Arial"/>
          <w:spacing w:val="-2"/>
        </w:rPr>
        <w:t xml:space="preserve"> </w:t>
      </w:r>
      <w:r w:rsidRPr="00EB2BD8">
        <w:rPr>
          <w:rFonts w:ascii="Arial" w:hAnsi="Arial"/>
        </w:rPr>
        <w:t>on</w:t>
      </w:r>
      <w:r w:rsidRPr="00EB2BD8">
        <w:rPr>
          <w:rFonts w:ascii="Arial" w:hAnsi="Arial"/>
          <w:spacing w:val="-2"/>
        </w:rPr>
        <w:t xml:space="preserve"> </w:t>
      </w:r>
      <w:r w:rsidRPr="00EB2BD8">
        <w:rPr>
          <w:rFonts w:ascii="Arial" w:hAnsi="Arial"/>
        </w:rPr>
        <w:t>an</w:t>
      </w:r>
      <w:r w:rsidRPr="00EB2BD8">
        <w:rPr>
          <w:rFonts w:ascii="Arial" w:hAnsi="Arial"/>
          <w:spacing w:val="-2"/>
        </w:rPr>
        <w:t xml:space="preserve"> </w:t>
      </w:r>
      <w:r w:rsidRPr="00EB2BD8">
        <w:rPr>
          <w:rFonts w:ascii="Arial" w:hAnsi="Arial"/>
        </w:rPr>
        <w:t>arm’s</w:t>
      </w:r>
      <w:r w:rsidRPr="00EB2BD8">
        <w:rPr>
          <w:rFonts w:ascii="Arial" w:hAnsi="Arial"/>
          <w:spacing w:val="-1"/>
        </w:rPr>
        <w:t xml:space="preserve"> </w:t>
      </w:r>
      <w:r w:rsidRPr="00EB2BD8">
        <w:rPr>
          <w:rFonts w:ascii="Arial" w:hAnsi="Arial"/>
        </w:rPr>
        <w:t>length</w:t>
      </w:r>
      <w:r w:rsidRPr="00EB2BD8">
        <w:rPr>
          <w:rFonts w:ascii="Arial" w:hAnsi="Arial"/>
          <w:spacing w:val="-2"/>
        </w:rPr>
        <w:t xml:space="preserve"> basis.</w:t>
      </w:r>
    </w:p>
    <w:p w14:paraId="23175717" w14:textId="77777777" w:rsidR="00084F36" w:rsidRPr="00EB2BD8" w:rsidRDefault="00084F36">
      <w:pPr>
        <w:pStyle w:val="BodyText"/>
        <w:rPr>
          <w:rFonts w:ascii="Arial"/>
          <w:sz w:val="20"/>
        </w:rPr>
      </w:pPr>
    </w:p>
    <w:p w14:paraId="5174D789" w14:textId="77777777" w:rsidR="00084F36" w:rsidRPr="00EB2BD8" w:rsidRDefault="00EB2BD8" w:rsidP="000546D6">
      <w:pPr>
        <w:pStyle w:val="Heading2"/>
        <w:ind w:firstLine="175"/>
      </w:pPr>
      <w:bookmarkStart w:id="369" w:name="_Toc150762671"/>
      <w:r w:rsidRPr="00EB2BD8">
        <w:t>Significant</w:t>
      </w:r>
      <w:r w:rsidRPr="00EB2BD8">
        <w:rPr>
          <w:spacing w:val="-1"/>
        </w:rPr>
        <w:t xml:space="preserve"> </w:t>
      </w:r>
      <w:r w:rsidRPr="00EB2BD8">
        <w:t>transactions</w:t>
      </w:r>
      <w:r w:rsidRPr="00EB2BD8">
        <w:rPr>
          <w:spacing w:val="-1"/>
        </w:rPr>
        <w:t xml:space="preserve"> </w:t>
      </w:r>
      <w:r w:rsidRPr="00EB2BD8">
        <w:t>with</w:t>
      </w:r>
      <w:r w:rsidRPr="00EB2BD8">
        <w:rPr>
          <w:spacing w:val="-1"/>
        </w:rPr>
        <w:t xml:space="preserve"> </w:t>
      </w:r>
      <w:r w:rsidRPr="00EB2BD8">
        <w:t xml:space="preserve">government-related </w:t>
      </w:r>
      <w:r w:rsidRPr="00EB2BD8">
        <w:rPr>
          <w:spacing w:val="-2"/>
        </w:rPr>
        <w:t>entities</w:t>
      </w:r>
      <w:bookmarkEnd w:id="369"/>
    </w:p>
    <w:p w14:paraId="0A7D75DE" w14:textId="77777777" w:rsidR="00084F36" w:rsidRPr="00EB2BD8" w:rsidRDefault="00EB2BD8">
      <w:pPr>
        <w:pStyle w:val="BodyText"/>
        <w:spacing w:before="160" w:line="276" w:lineRule="auto"/>
        <w:ind w:left="1025" w:right="1551"/>
        <w:rPr>
          <w:rFonts w:ascii="Arial"/>
        </w:rPr>
      </w:pPr>
      <w:r w:rsidRPr="00EB2BD8">
        <w:rPr>
          <w:rFonts w:ascii="Arial"/>
        </w:rPr>
        <w:t>During the financial year, the VBA had transactions with other government-controlled entities and these transactions were undertaken in the ordinary course of operations.</w:t>
      </w:r>
    </w:p>
    <w:p w14:paraId="0A1F89FD" w14:textId="77777777" w:rsidR="00084F36" w:rsidRPr="00EB2BD8" w:rsidRDefault="00084F36">
      <w:pPr>
        <w:pStyle w:val="BodyText"/>
        <w:rPr>
          <w:rFonts w:ascii="Arial"/>
          <w:sz w:val="21"/>
        </w:rPr>
      </w:pPr>
    </w:p>
    <w:p w14:paraId="76FD5532" w14:textId="77777777" w:rsidR="00084F36" w:rsidRPr="00EB2BD8" w:rsidRDefault="00EB2BD8">
      <w:pPr>
        <w:pStyle w:val="BodyText"/>
        <w:ind w:left="1025"/>
        <w:rPr>
          <w:rFonts w:ascii="Arial" w:hAnsi="Arial"/>
        </w:rPr>
      </w:pPr>
      <w:r w:rsidRPr="00EB2BD8">
        <w:rPr>
          <w:rFonts w:ascii="Arial" w:hAnsi="Arial"/>
        </w:rPr>
        <w:t>The</w:t>
      </w:r>
      <w:r w:rsidRPr="00EB2BD8">
        <w:rPr>
          <w:rFonts w:ascii="Arial" w:hAnsi="Arial"/>
          <w:spacing w:val="-4"/>
        </w:rPr>
        <w:t xml:space="preserve"> </w:t>
      </w:r>
      <w:r w:rsidRPr="00EB2BD8">
        <w:rPr>
          <w:rFonts w:ascii="Arial" w:hAnsi="Arial"/>
        </w:rPr>
        <w:t>VBA</w:t>
      </w:r>
      <w:r w:rsidRPr="00EB2BD8">
        <w:rPr>
          <w:rFonts w:ascii="Arial" w:hAnsi="Arial"/>
          <w:spacing w:val="-2"/>
        </w:rPr>
        <w:t xml:space="preserve"> </w:t>
      </w:r>
      <w:r w:rsidRPr="00EB2BD8">
        <w:rPr>
          <w:rFonts w:ascii="Arial" w:hAnsi="Arial"/>
        </w:rPr>
        <w:t>received</w:t>
      </w:r>
      <w:r w:rsidRPr="00EB2BD8">
        <w:rPr>
          <w:rFonts w:ascii="Arial" w:hAnsi="Arial"/>
          <w:spacing w:val="-2"/>
        </w:rPr>
        <w:t xml:space="preserve"> </w:t>
      </w:r>
      <w:r w:rsidRPr="00EB2BD8">
        <w:rPr>
          <w:rFonts w:ascii="Arial" w:hAnsi="Arial"/>
        </w:rPr>
        <w:t>grants</w:t>
      </w:r>
      <w:r w:rsidRPr="00EB2BD8">
        <w:rPr>
          <w:rFonts w:ascii="Arial" w:hAnsi="Arial"/>
          <w:spacing w:val="-2"/>
        </w:rPr>
        <w:t xml:space="preserve"> </w:t>
      </w:r>
      <w:r w:rsidRPr="00EB2BD8">
        <w:rPr>
          <w:rFonts w:ascii="Arial" w:hAnsi="Arial"/>
        </w:rPr>
        <w:t>from</w:t>
      </w:r>
      <w:r w:rsidRPr="00EB2BD8">
        <w:rPr>
          <w:rFonts w:ascii="Arial" w:hAnsi="Arial"/>
          <w:spacing w:val="-2"/>
        </w:rPr>
        <w:t xml:space="preserve"> </w:t>
      </w:r>
      <w:r w:rsidRPr="00EB2BD8">
        <w:rPr>
          <w:rFonts w:ascii="Arial" w:hAnsi="Arial"/>
        </w:rPr>
        <w:t>DEECA</w:t>
      </w:r>
      <w:r w:rsidRPr="00EB2BD8">
        <w:rPr>
          <w:rFonts w:ascii="Arial" w:hAnsi="Arial"/>
          <w:spacing w:val="-2"/>
        </w:rPr>
        <w:t xml:space="preserve"> </w:t>
      </w:r>
      <w:r w:rsidRPr="00EB2BD8">
        <w:rPr>
          <w:rFonts w:ascii="Arial" w:hAnsi="Arial"/>
        </w:rPr>
        <w:t>for</w:t>
      </w:r>
      <w:r w:rsidRPr="00EB2BD8">
        <w:rPr>
          <w:rFonts w:ascii="Arial" w:hAnsi="Arial"/>
          <w:spacing w:val="-2"/>
        </w:rPr>
        <w:t xml:space="preserve"> </w:t>
      </w:r>
      <w:r w:rsidRPr="00EB2BD8">
        <w:rPr>
          <w:rFonts w:ascii="Arial" w:hAnsi="Arial"/>
        </w:rPr>
        <w:t>$23.0</w:t>
      </w:r>
      <w:r w:rsidRPr="00EB2BD8">
        <w:rPr>
          <w:rFonts w:ascii="Arial" w:hAnsi="Arial"/>
          <w:spacing w:val="-2"/>
        </w:rPr>
        <w:t xml:space="preserve"> </w:t>
      </w:r>
      <w:r w:rsidRPr="00EB2BD8">
        <w:rPr>
          <w:rFonts w:ascii="Arial" w:hAnsi="Arial"/>
        </w:rPr>
        <w:t>million</w:t>
      </w:r>
      <w:r w:rsidRPr="00EB2BD8">
        <w:rPr>
          <w:rFonts w:ascii="Arial" w:hAnsi="Arial"/>
          <w:spacing w:val="-1"/>
        </w:rPr>
        <w:t xml:space="preserve"> </w:t>
      </w:r>
      <w:r w:rsidRPr="00EB2BD8">
        <w:rPr>
          <w:rFonts w:ascii="Arial" w:hAnsi="Arial"/>
        </w:rPr>
        <w:t>(2022:</w:t>
      </w:r>
      <w:r w:rsidRPr="00EB2BD8">
        <w:rPr>
          <w:rFonts w:ascii="Arial" w:hAnsi="Arial"/>
          <w:spacing w:val="-1"/>
        </w:rPr>
        <w:t xml:space="preserve"> </w:t>
      </w:r>
      <w:r w:rsidRPr="00EB2BD8">
        <w:rPr>
          <w:rFonts w:ascii="Arial" w:hAnsi="Arial"/>
        </w:rPr>
        <w:t>$11.9</w:t>
      </w:r>
      <w:r w:rsidRPr="00EB2BD8">
        <w:rPr>
          <w:rFonts w:ascii="Arial" w:hAnsi="Arial"/>
          <w:spacing w:val="-2"/>
        </w:rPr>
        <w:t xml:space="preserve"> </w:t>
      </w:r>
      <w:r w:rsidRPr="00EB2BD8">
        <w:rPr>
          <w:rFonts w:ascii="Arial" w:hAnsi="Arial"/>
        </w:rPr>
        <w:t>million)</w:t>
      </w:r>
      <w:r w:rsidRPr="00EB2BD8">
        <w:rPr>
          <w:rFonts w:ascii="Arial" w:hAnsi="Arial"/>
          <w:spacing w:val="-2"/>
        </w:rPr>
        <w:t xml:space="preserve"> </w:t>
      </w:r>
      <w:r w:rsidRPr="00EB2BD8">
        <w:rPr>
          <w:rFonts w:ascii="Arial" w:hAnsi="Arial"/>
        </w:rPr>
        <w:t>–</w:t>
      </w:r>
      <w:r w:rsidRPr="00EB2BD8">
        <w:rPr>
          <w:rFonts w:ascii="Arial" w:hAnsi="Arial"/>
          <w:spacing w:val="-2"/>
        </w:rPr>
        <w:t xml:space="preserve"> </w:t>
      </w:r>
      <w:r w:rsidRPr="00EB2BD8">
        <w:rPr>
          <w:rFonts w:ascii="Arial" w:hAnsi="Arial"/>
        </w:rPr>
        <w:t>Refer</w:t>
      </w:r>
      <w:r w:rsidRPr="00EB2BD8">
        <w:rPr>
          <w:rFonts w:ascii="Arial" w:hAnsi="Arial"/>
          <w:spacing w:val="-2"/>
        </w:rPr>
        <w:t xml:space="preserve"> </w:t>
      </w:r>
      <w:r w:rsidRPr="00EB2BD8">
        <w:rPr>
          <w:rFonts w:ascii="Arial" w:hAnsi="Arial"/>
        </w:rPr>
        <w:t>to</w:t>
      </w:r>
      <w:r w:rsidRPr="00EB2BD8">
        <w:rPr>
          <w:rFonts w:ascii="Arial" w:hAnsi="Arial"/>
          <w:spacing w:val="-1"/>
        </w:rPr>
        <w:t xml:space="preserve"> </w:t>
      </w:r>
      <w:r w:rsidRPr="00EB2BD8">
        <w:rPr>
          <w:rFonts w:ascii="Arial" w:hAnsi="Arial"/>
        </w:rPr>
        <w:t>Note</w:t>
      </w:r>
      <w:r w:rsidRPr="00EB2BD8">
        <w:rPr>
          <w:rFonts w:ascii="Arial" w:hAnsi="Arial"/>
          <w:spacing w:val="-2"/>
        </w:rPr>
        <w:t xml:space="preserve"> </w:t>
      </w:r>
      <w:r w:rsidRPr="00EB2BD8">
        <w:rPr>
          <w:rFonts w:ascii="Arial" w:hAnsi="Arial"/>
        </w:rPr>
        <w:t>2.2</w:t>
      </w:r>
      <w:r w:rsidRPr="00EB2BD8">
        <w:rPr>
          <w:rFonts w:ascii="Arial" w:hAnsi="Arial"/>
          <w:spacing w:val="-2"/>
        </w:rPr>
        <w:t xml:space="preserve"> </w:t>
      </w:r>
      <w:r w:rsidRPr="00EB2BD8">
        <w:rPr>
          <w:rFonts w:ascii="Arial" w:hAnsi="Arial"/>
        </w:rPr>
        <w:t>Grant</w:t>
      </w:r>
      <w:r w:rsidRPr="00EB2BD8">
        <w:rPr>
          <w:rFonts w:ascii="Arial" w:hAnsi="Arial"/>
          <w:spacing w:val="1"/>
        </w:rPr>
        <w:t xml:space="preserve"> </w:t>
      </w:r>
      <w:r w:rsidRPr="00EB2BD8">
        <w:rPr>
          <w:rFonts w:ascii="Arial" w:hAnsi="Arial"/>
          <w:spacing w:val="-2"/>
        </w:rPr>
        <w:t>income.</w:t>
      </w:r>
    </w:p>
    <w:p w14:paraId="6FBA5865" w14:textId="77777777" w:rsidR="00084F36" w:rsidRPr="00EB2BD8" w:rsidRDefault="00084F36">
      <w:pPr>
        <w:pStyle w:val="BodyText"/>
        <w:spacing w:before="7"/>
        <w:rPr>
          <w:rFonts w:ascii="Arial"/>
          <w:sz w:val="23"/>
        </w:rPr>
      </w:pPr>
    </w:p>
    <w:p w14:paraId="5ADE16FF" w14:textId="77777777" w:rsidR="00084F36" w:rsidRPr="00EB2BD8" w:rsidRDefault="00EB2BD8">
      <w:pPr>
        <w:pStyle w:val="BodyText"/>
        <w:spacing w:line="276" w:lineRule="auto"/>
        <w:ind w:left="1025" w:right="1155"/>
        <w:rPr>
          <w:rFonts w:ascii="Arial"/>
        </w:rPr>
      </w:pPr>
      <w:r w:rsidRPr="00EB2BD8">
        <w:rPr>
          <w:rFonts w:ascii="Arial"/>
        </w:rPr>
        <w:t>The VBA oversees the collection of cladding rectification levy on behalf of CSV. The amount of cladding rectification levy payable as at 30 June 2023 to CSV is $11.3 million (2022: $7.7 million) - Refer to Note 5.2 Payables.</w:t>
      </w:r>
    </w:p>
    <w:p w14:paraId="15251BAB" w14:textId="77777777" w:rsidR="00084F36" w:rsidRPr="00EB2BD8" w:rsidRDefault="00084F36">
      <w:pPr>
        <w:pStyle w:val="BodyText"/>
        <w:rPr>
          <w:rFonts w:ascii="Arial"/>
          <w:sz w:val="21"/>
        </w:rPr>
      </w:pPr>
    </w:p>
    <w:p w14:paraId="4BA3193B" w14:textId="77777777" w:rsidR="00084F36" w:rsidRPr="00EB2BD8" w:rsidRDefault="00EB2BD8">
      <w:pPr>
        <w:pStyle w:val="BodyText"/>
        <w:spacing w:line="276" w:lineRule="auto"/>
        <w:ind w:left="1025" w:right="1155"/>
        <w:rPr>
          <w:rFonts w:ascii="Arial" w:hAnsi="Arial"/>
        </w:rPr>
      </w:pPr>
      <w:r w:rsidRPr="00EB2BD8">
        <w:rPr>
          <w:rFonts w:ascii="Arial" w:hAnsi="Arial"/>
        </w:rPr>
        <w:t>Other amount payable to government-controlled entities including Consumer Affairs Victoria’s share of the building levy and domestic building practitioner registration fees of $1.7 million (2022: $1.7 million).</w:t>
      </w:r>
    </w:p>
    <w:p w14:paraId="4B0BC96B" w14:textId="77777777" w:rsidR="00084F36" w:rsidRPr="00EB2BD8" w:rsidRDefault="00084F36">
      <w:pPr>
        <w:pStyle w:val="BodyText"/>
        <w:rPr>
          <w:rFonts w:ascii="Arial"/>
          <w:sz w:val="20"/>
        </w:rPr>
      </w:pPr>
    </w:p>
    <w:p w14:paraId="1E3AF7AC" w14:textId="77777777" w:rsidR="00084F36" w:rsidRPr="00EB2BD8" w:rsidRDefault="00084F36">
      <w:pPr>
        <w:pStyle w:val="BodyText"/>
        <w:rPr>
          <w:rFonts w:ascii="Arial"/>
          <w:sz w:val="20"/>
        </w:rPr>
      </w:pPr>
    </w:p>
    <w:p w14:paraId="573C473E" w14:textId="77777777" w:rsidR="00084F36" w:rsidRPr="00EB2BD8" w:rsidRDefault="00084F36">
      <w:pPr>
        <w:pStyle w:val="BodyText"/>
        <w:rPr>
          <w:rFonts w:ascii="Arial"/>
          <w:sz w:val="20"/>
        </w:rPr>
      </w:pPr>
    </w:p>
    <w:p w14:paraId="3E85F37C" w14:textId="77777777" w:rsidR="00084F36" w:rsidRPr="00EB2BD8" w:rsidRDefault="00084F36">
      <w:pPr>
        <w:pStyle w:val="BodyText"/>
        <w:rPr>
          <w:rFonts w:ascii="Arial"/>
          <w:sz w:val="20"/>
        </w:rPr>
      </w:pPr>
    </w:p>
    <w:p w14:paraId="33DAAD58" w14:textId="77777777" w:rsidR="00084F36" w:rsidRPr="00EB2BD8" w:rsidRDefault="00084F36">
      <w:pPr>
        <w:pStyle w:val="BodyText"/>
        <w:rPr>
          <w:rFonts w:ascii="Arial"/>
          <w:sz w:val="20"/>
        </w:rPr>
      </w:pPr>
    </w:p>
    <w:p w14:paraId="6738E5E1" w14:textId="77777777" w:rsidR="00084F36" w:rsidRPr="00EB2BD8" w:rsidRDefault="00084F36">
      <w:pPr>
        <w:pStyle w:val="BodyText"/>
        <w:rPr>
          <w:rFonts w:ascii="Arial"/>
          <w:sz w:val="20"/>
        </w:rPr>
      </w:pPr>
    </w:p>
    <w:p w14:paraId="0CD7CB92" w14:textId="77777777" w:rsidR="00084F36" w:rsidRPr="00EB2BD8" w:rsidRDefault="00084F36">
      <w:pPr>
        <w:pStyle w:val="BodyText"/>
        <w:rPr>
          <w:rFonts w:ascii="Arial"/>
          <w:sz w:val="20"/>
        </w:rPr>
      </w:pPr>
    </w:p>
    <w:p w14:paraId="4DA969EB" w14:textId="77777777" w:rsidR="00084F36" w:rsidRPr="00EB2BD8" w:rsidRDefault="00084F36">
      <w:pPr>
        <w:pStyle w:val="BodyText"/>
        <w:rPr>
          <w:rFonts w:ascii="Arial"/>
          <w:sz w:val="20"/>
        </w:rPr>
      </w:pPr>
    </w:p>
    <w:p w14:paraId="775139F4" w14:textId="77777777" w:rsidR="00084F36" w:rsidRPr="00EB2BD8" w:rsidRDefault="00084F36">
      <w:pPr>
        <w:pStyle w:val="BodyText"/>
        <w:rPr>
          <w:rFonts w:ascii="Arial"/>
          <w:sz w:val="20"/>
        </w:rPr>
      </w:pPr>
    </w:p>
    <w:p w14:paraId="022940D4" w14:textId="77777777" w:rsidR="00084F36" w:rsidRPr="00EB2BD8" w:rsidRDefault="00084F36">
      <w:pPr>
        <w:pStyle w:val="BodyText"/>
        <w:spacing w:before="10"/>
        <w:rPr>
          <w:rFonts w:ascii="Arial"/>
          <w:sz w:val="23"/>
        </w:rPr>
      </w:pPr>
    </w:p>
    <w:p w14:paraId="788724CB" w14:textId="77777777" w:rsidR="00084F36" w:rsidRPr="00EB2BD8" w:rsidRDefault="00084F36">
      <w:pPr>
        <w:jc w:val="right"/>
        <w:rPr>
          <w:sz w:val="16"/>
        </w:rPr>
        <w:sectPr w:rsidR="00084F36" w:rsidRPr="00EB2BD8" w:rsidSect="006D75B2">
          <w:headerReference w:type="default" r:id="rId365"/>
          <w:footerReference w:type="default" r:id="rId366"/>
          <w:pgSz w:w="11910" w:h="16840"/>
          <w:pgMar w:top="760" w:right="0" w:bottom="280" w:left="0" w:header="0" w:footer="0" w:gutter="0"/>
          <w:cols w:space="720"/>
        </w:sectPr>
      </w:pPr>
    </w:p>
    <w:p w14:paraId="2D79FAC1" w14:textId="77777777" w:rsidR="00084F36" w:rsidRPr="00EB2BD8" w:rsidRDefault="00084F36">
      <w:pPr>
        <w:pStyle w:val="BodyText"/>
        <w:rPr>
          <w:sz w:val="20"/>
        </w:rPr>
      </w:pPr>
    </w:p>
    <w:p w14:paraId="3B95964E" w14:textId="77777777" w:rsidR="00084F36" w:rsidRPr="00EB2BD8" w:rsidRDefault="00084F36">
      <w:pPr>
        <w:pStyle w:val="BodyText"/>
        <w:rPr>
          <w:sz w:val="20"/>
        </w:rPr>
      </w:pPr>
    </w:p>
    <w:p w14:paraId="74B40028" w14:textId="77777777" w:rsidR="00084F36" w:rsidRPr="00EB2BD8" w:rsidRDefault="00084F36">
      <w:pPr>
        <w:pStyle w:val="BodyText"/>
        <w:rPr>
          <w:sz w:val="20"/>
        </w:rPr>
      </w:pPr>
    </w:p>
    <w:p w14:paraId="3876E5DC" w14:textId="77777777" w:rsidR="00084F36" w:rsidRPr="00EB2BD8" w:rsidRDefault="00084F36">
      <w:pPr>
        <w:pStyle w:val="BodyText"/>
        <w:rPr>
          <w:sz w:val="20"/>
        </w:rPr>
      </w:pPr>
    </w:p>
    <w:p w14:paraId="445CEEFB" w14:textId="77777777" w:rsidR="00084F36" w:rsidRPr="00EB2BD8" w:rsidRDefault="00084F36">
      <w:pPr>
        <w:pStyle w:val="BodyText"/>
        <w:rPr>
          <w:sz w:val="20"/>
        </w:rPr>
      </w:pPr>
    </w:p>
    <w:p w14:paraId="3C48E6A7" w14:textId="59B16986" w:rsidR="00084F36" w:rsidRPr="00EB2BD8" w:rsidRDefault="00394A93">
      <w:pPr>
        <w:pStyle w:val="BodyText"/>
        <w:rPr>
          <w:sz w:val="21"/>
        </w:rPr>
      </w:pPr>
      <w:r w:rsidRPr="00EB2BD8">
        <w:rPr>
          <w:noProof/>
        </w:rPr>
        <mc:AlternateContent>
          <mc:Choice Requires="wpg">
            <w:drawing>
              <wp:anchor distT="0" distB="0" distL="0" distR="0" simplePos="0" relativeHeight="251737088" behindDoc="1" locked="0" layoutInCell="1" allowOverlap="1" wp14:anchorId="5F3DE4C9" wp14:editId="60537928">
                <wp:simplePos x="0" y="0"/>
                <wp:positionH relativeFrom="margin">
                  <wp:align>center</wp:align>
                </wp:positionH>
                <wp:positionV relativeFrom="page">
                  <wp:posOffset>1475740</wp:posOffset>
                </wp:positionV>
                <wp:extent cx="6489700" cy="8496300"/>
                <wp:effectExtent l="0" t="0" r="6350" b="0"/>
                <wp:wrapNone/>
                <wp:docPr id="1118" name="Group 1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0" cy="8496300"/>
                          <a:chOff x="530326" y="1476006"/>
                          <a:chExt cx="6489700" cy="8496300"/>
                        </a:xfrm>
                      </wpg:grpSpPr>
                      <wps:wsp>
                        <wps:cNvPr id="1123" name="Graphic 1123"/>
                        <wps:cNvSpPr/>
                        <wps:spPr>
                          <a:xfrm>
                            <a:off x="530326" y="1476006"/>
                            <a:ext cx="6489700" cy="8496300"/>
                          </a:xfrm>
                          <a:custGeom>
                            <a:avLst/>
                            <a:gdLst/>
                            <a:ahLst/>
                            <a:cxnLst/>
                            <a:rect l="l" t="t" r="r" b="b"/>
                            <a:pathLst>
                              <a:path w="6489700" h="8496300">
                                <a:moveTo>
                                  <a:pt x="6489674" y="0"/>
                                </a:moveTo>
                                <a:lnTo>
                                  <a:pt x="0" y="0"/>
                                </a:lnTo>
                                <a:lnTo>
                                  <a:pt x="0" y="8495995"/>
                                </a:lnTo>
                                <a:lnTo>
                                  <a:pt x="6489674" y="8495995"/>
                                </a:lnTo>
                                <a:lnTo>
                                  <a:pt x="6489674" y="0"/>
                                </a:lnTo>
                                <a:close/>
                              </a:path>
                            </a:pathLst>
                          </a:custGeom>
                          <a:solidFill>
                            <a:srgbClr val="FFFFFF"/>
                          </a:solidFill>
                        </wps:spPr>
                        <wps:bodyPr wrap="square" lIns="0" tIns="0" rIns="0" bIns="0" rtlCol="0">
                          <a:prstTxWarp prst="textNoShape">
                            <a:avLst/>
                          </a:prstTxWarp>
                          <a:noAutofit/>
                        </wps:bodyPr>
                      </wps:wsp>
                      <wps:wsp>
                        <wps:cNvPr id="1124" name="Graphic 1124"/>
                        <wps:cNvSpPr/>
                        <wps:spPr>
                          <a:xfrm>
                            <a:off x="644182" y="1998598"/>
                            <a:ext cx="5691505" cy="213995"/>
                          </a:xfrm>
                          <a:custGeom>
                            <a:avLst/>
                            <a:gdLst/>
                            <a:ahLst/>
                            <a:cxnLst/>
                            <a:rect l="l" t="t" r="r" b="b"/>
                            <a:pathLst>
                              <a:path w="5691505" h="213995">
                                <a:moveTo>
                                  <a:pt x="4128427" y="0"/>
                                </a:moveTo>
                                <a:lnTo>
                                  <a:pt x="0" y="0"/>
                                </a:lnTo>
                                <a:lnTo>
                                  <a:pt x="0" y="213982"/>
                                </a:lnTo>
                                <a:lnTo>
                                  <a:pt x="4128427" y="213982"/>
                                </a:lnTo>
                                <a:lnTo>
                                  <a:pt x="4128427" y="0"/>
                                </a:lnTo>
                                <a:close/>
                              </a:path>
                              <a:path w="5691505" h="213995">
                                <a:moveTo>
                                  <a:pt x="5691200" y="0"/>
                                </a:moveTo>
                                <a:lnTo>
                                  <a:pt x="4947996" y="0"/>
                                </a:lnTo>
                                <a:lnTo>
                                  <a:pt x="4128439" y="0"/>
                                </a:lnTo>
                                <a:lnTo>
                                  <a:pt x="4128439" y="213982"/>
                                </a:lnTo>
                                <a:lnTo>
                                  <a:pt x="4947983" y="213982"/>
                                </a:lnTo>
                                <a:lnTo>
                                  <a:pt x="5691200" y="213982"/>
                                </a:lnTo>
                                <a:lnTo>
                                  <a:pt x="5691200" y="0"/>
                                </a:lnTo>
                                <a:close/>
                              </a:path>
                            </a:pathLst>
                          </a:custGeom>
                          <a:solidFill>
                            <a:srgbClr val="0070C0"/>
                          </a:solidFill>
                        </wps:spPr>
                        <wps:bodyPr wrap="square" lIns="0" tIns="0" rIns="0" bIns="0" rtlCol="0">
                          <a:prstTxWarp prst="textNoShape">
                            <a:avLst/>
                          </a:prstTxWarp>
                          <a:noAutofit/>
                        </wps:bodyPr>
                      </wps:wsp>
                      <wps:wsp>
                        <wps:cNvPr id="1125" name="Graphic 1125"/>
                        <wps:cNvSpPr/>
                        <wps:spPr>
                          <a:xfrm>
                            <a:off x="6335407" y="1998598"/>
                            <a:ext cx="5715" cy="213995"/>
                          </a:xfrm>
                          <a:custGeom>
                            <a:avLst/>
                            <a:gdLst/>
                            <a:ahLst/>
                            <a:cxnLst/>
                            <a:rect l="l" t="t" r="r" b="b"/>
                            <a:pathLst>
                              <a:path w="5715" h="213995">
                                <a:moveTo>
                                  <a:pt x="5702" y="0"/>
                                </a:moveTo>
                                <a:lnTo>
                                  <a:pt x="0" y="0"/>
                                </a:lnTo>
                                <a:lnTo>
                                  <a:pt x="0" y="213982"/>
                                </a:lnTo>
                                <a:lnTo>
                                  <a:pt x="5702" y="213982"/>
                                </a:lnTo>
                                <a:lnTo>
                                  <a:pt x="5702" y="0"/>
                                </a:lnTo>
                                <a:close/>
                              </a:path>
                            </a:pathLst>
                          </a:custGeom>
                          <a:solidFill>
                            <a:srgbClr val="0098FF"/>
                          </a:solidFill>
                        </wps:spPr>
                        <wps:bodyPr wrap="square" lIns="0" tIns="0" rIns="0" bIns="0" rtlCol="0">
                          <a:prstTxWarp prst="textNoShape">
                            <a:avLst/>
                          </a:prstTxWarp>
                          <a:noAutofit/>
                        </wps:bodyPr>
                      </wps:wsp>
                      <wps:wsp>
                        <wps:cNvPr id="1126" name="Graphic 1126"/>
                        <wps:cNvSpPr/>
                        <wps:spPr>
                          <a:xfrm>
                            <a:off x="644182" y="6860272"/>
                            <a:ext cx="5814060" cy="18415"/>
                          </a:xfrm>
                          <a:custGeom>
                            <a:avLst/>
                            <a:gdLst/>
                            <a:ahLst/>
                            <a:cxnLst/>
                            <a:rect l="l" t="t" r="r" b="b"/>
                            <a:pathLst>
                              <a:path w="5814060" h="18415">
                                <a:moveTo>
                                  <a:pt x="3978643" y="0"/>
                                </a:moveTo>
                                <a:lnTo>
                                  <a:pt x="3960812" y="0"/>
                                </a:lnTo>
                                <a:lnTo>
                                  <a:pt x="0" y="0"/>
                                </a:lnTo>
                                <a:lnTo>
                                  <a:pt x="0" y="17830"/>
                                </a:lnTo>
                                <a:lnTo>
                                  <a:pt x="3960812" y="17830"/>
                                </a:lnTo>
                                <a:lnTo>
                                  <a:pt x="3978643" y="17830"/>
                                </a:lnTo>
                                <a:lnTo>
                                  <a:pt x="3978643" y="0"/>
                                </a:lnTo>
                                <a:close/>
                              </a:path>
                              <a:path w="5814060" h="18415">
                                <a:moveTo>
                                  <a:pt x="5813895" y="0"/>
                                </a:moveTo>
                                <a:lnTo>
                                  <a:pt x="3978656" y="0"/>
                                </a:lnTo>
                                <a:lnTo>
                                  <a:pt x="3978656" y="17830"/>
                                </a:lnTo>
                                <a:lnTo>
                                  <a:pt x="5813895" y="17830"/>
                                </a:lnTo>
                                <a:lnTo>
                                  <a:pt x="5813895"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C5236A" id="Group 1118" o:spid="_x0000_s1026" alt="&quot;&quot;" style="position:absolute;margin-left:0;margin-top:116.2pt;width:511pt;height:669pt;z-index:-251579392;mso-wrap-distance-left:0;mso-wrap-distance-right:0;mso-position-horizontal:center;mso-position-horizontal-relative:margin;mso-position-vertical-relative:page;mso-width-relative:margin;mso-height-relative:margin" coordorigin="5303,14760" coordsize="64897,8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">
                <v:shape id="Graphic 1123" o:spid="_x0000_s1027" style="position:absolute;left:5303;top:14760;width:64897;height:84963;visibility:visible;mso-wrap-style:square;v-text-anchor:top" coordsize="6489700,8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" path="m6489674,l,,,8495995r6489674,l6489674,xe" stroked="f">
                  <v:path arrowok="t"/>
                </v:shape>
                <v:shape id="Graphic 1124" o:spid="_x0000_s1028" style="position:absolute;left:6441;top:19985;width:56915;height:2140;visibility:visible;mso-wrap-style:square;v-text-anchor:top" coordsize="5691505,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" path="m4128427,l,,,213982r4128427,l4128427,xem5691200,l4947996,,4128439,r,213982l4947983,213982r743217,l5691200,xe" fillcolor="#0070c0" stroked="f">
                  <v:path arrowok="t"/>
                </v:shape>
                <v:shape id="Graphic 1125" o:spid="_x0000_s1029" style="position:absolute;left:63354;top:19985;width:57;height:2140;visibility:visible;mso-wrap-style:square;v-text-anchor:top" coordsize="5715,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" path="m5702,l,,,213982r5702,l5702,xe" fillcolor="#0098ff" stroked="f">
                  <v:path arrowok="t"/>
                </v:shape>
                <v:shape id="Graphic 1126" o:spid="_x0000_s1030" style="position:absolute;left:6441;top:68602;width:58141;height:184;visibility:visible;mso-wrap-style:square;v-text-anchor:top" coordsize="58140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" path="m3978643,r-17831,l,,,17830r3960812,l3978643,17830r,-17830xem5813895,l3978656,r,17830l5813895,17830r,-17830xe" fillcolor="black" stroked="f">
                  <v:path arrowok="t"/>
                </v:shape>
                <w10:wrap anchorx="margin" anchory="page"/>
              </v:group>
            </w:pict>
          </mc:Fallback>
        </mc:AlternateContent>
      </w:r>
    </w:p>
    <w:p w14:paraId="53C57BD8" w14:textId="77777777" w:rsidR="00084F36" w:rsidRPr="00EB2BD8" w:rsidRDefault="00EB2BD8">
      <w:pPr>
        <w:ind w:left="1014"/>
        <w:rPr>
          <w:rFonts w:ascii="Arial"/>
          <w:sz w:val="17"/>
        </w:rPr>
      </w:pPr>
      <w:r w:rsidRPr="00EB2BD8">
        <w:rPr>
          <w:rFonts w:ascii="Arial"/>
          <w:sz w:val="17"/>
        </w:rPr>
        <w:t>The</w:t>
      </w:r>
      <w:r w:rsidRPr="00EB2BD8">
        <w:rPr>
          <w:rFonts w:ascii="Arial"/>
          <w:spacing w:val="-10"/>
          <w:sz w:val="17"/>
        </w:rPr>
        <w:t xml:space="preserve"> </w:t>
      </w:r>
      <w:r w:rsidRPr="00EB2BD8">
        <w:rPr>
          <w:rFonts w:ascii="Arial"/>
          <w:sz w:val="17"/>
        </w:rPr>
        <w:t>VBA</w:t>
      </w:r>
      <w:r w:rsidRPr="00EB2BD8">
        <w:rPr>
          <w:rFonts w:ascii="Arial"/>
          <w:spacing w:val="-10"/>
          <w:sz w:val="17"/>
        </w:rPr>
        <w:t xml:space="preserve"> </w:t>
      </w:r>
      <w:r w:rsidRPr="00EB2BD8">
        <w:rPr>
          <w:rFonts w:ascii="Arial"/>
          <w:sz w:val="17"/>
        </w:rPr>
        <w:t>made</w:t>
      </w:r>
      <w:r w:rsidRPr="00EB2BD8">
        <w:rPr>
          <w:rFonts w:ascii="Arial"/>
          <w:spacing w:val="-9"/>
          <w:sz w:val="17"/>
        </w:rPr>
        <w:t xml:space="preserve"> </w:t>
      </w:r>
      <w:r w:rsidRPr="00EB2BD8">
        <w:rPr>
          <w:rFonts w:ascii="Arial"/>
          <w:sz w:val="17"/>
        </w:rPr>
        <w:t>payments</w:t>
      </w:r>
      <w:r w:rsidRPr="00EB2BD8">
        <w:rPr>
          <w:rFonts w:ascii="Arial"/>
          <w:spacing w:val="-9"/>
          <w:sz w:val="17"/>
        </w:rPr>
        <w:t xml:space="preserve"> </w:t>
      </w:r>
      <w:r w:rsidRPr="00EB2BD8">
        <w:rPr>
          <w:rFonts w:ascii="Arial"/>
          <w:sz w:val="17"/>
        </w:rPr>
        <w:t>to</w:t>
      </w:r>
      <w:r w:rsidRPr="00EB2BD8">
        <w:rPr>
          <w:rFonts w:ascii="Arial"/>
          <w:spacing w:val="-10"/>
          <w:sz w:val="17"/>
        </w:rPr>
        <w:t xml:space="preserve"> </w:t>
      </w:r>
      <w:r w:rsidRPr="00EB2BD8">
        <w:rPr>
          <w:rFonts w:ascii="Arial"/>
          <w:sz w:val="17"/>
        </w:rPr>
        <w:t>other</w:t>
      </w:r>
      <w:r w:rsidRPr="00EB2BD8">
        <w:rPr>
          <w:rFonts w:ascii="Arial"/>
          <w:spacing w:val="-9"/>
          <w:sz w:val="17"/>
        </w:rPr>
        <w:t xml:space="preserve"> </w:t>
      </w:r>
      <w:r w:rsidRPr="00EB2BD8">
        <w:rPr>
          <w:rFonts w:ascii="Arial"/>
          <w:sz w:val="17"/>
        </w:rPr>
        <w:t>government-controlled</w:t>
      </w:r>
      <w:r w:rsidRPr="00EB2BD8">
        <w:rPr>
          <w:rFonts w:ascii="Arial"/>
          <w:spacing w:val="-9"/>
          <w:sz w:val="17"/>
        </w:rPr>
        <w:t xml:space="preserve"> </w:t>
      </w:r>
      <w:r w:rsidRPr="00EB2BD8">
        <w:rPr>
          <w:rFonts w:ascii="Arial"/>
          <w:sz w:val="17"/>
        </w:rPr>
        <w:t>entities</w:t>
      </w:r>
      <w:r w:rsidRPr="00EB2BD8">
        <w:rPr>
          <w:rFonts w:ascii="Arial"/>
          <w:spacing w:val="-10"/>
          <w:sz w:val="17"/>
        </w:rPr>
        <w:t xml:space="preserve"> </w:t>
      </w:r>
      <w:r w:rsidRPr="00EB2BD8">
        <w:rPr>
          <w:rFonts w:ascii="Arial"/>
          <w:spacing w:val="-4"/>
          <w:sz w:val="17"/>
        </w:rPr>
        <w:t>for:</w:t>
      </w:r>
    </w:p>
    <w:p w14:paraId="5A2CEBE1" w14:textId="77777777" w:rsidR="00084F36" w:rsidRPr="00EB2BD8" w:rsidRDefault="00EB2BD8">
      <w:pPr>
        <w:spacing w:before="126"/>
        <w:ind w:right="2025"/>
        <w:jc w:val="right"/>
        <w:rPr>
          <w:rFonts w:ascii="Arial" w:hAnsi="Arial"/>
          <w:sz w:val="17"/>
        </w:rPr>
      </w:pPr>
      <w:r w:rsidRPr="00EB2BD8">
        <w:rPr>
          <w:noProof/>
        </w:rPr>
        <mc:AlternateContent>
          <mc:Choice Requires="wps">
            <w:drawing>
              <wp:anchor distT="0" distB="0" distL="0" distR="0" simplePos="0" relativeHeight="251159552" behindDoc="0" locked="0" layoutInCell="1" allowOverlap="1" wp14:anchorId="6EFBEBCC" wp14:editId="21A36300">
                <wp:simplePos x="0" y="0"/>
                <wp:positionH relativeFrom="page">
                  <wp:posOffset>644182</wp:posOffset>
                </wp:positionH>
                <wp:positionV relativeFrom="paragraph">
                  <wp:posOffset>267539</wp:posOffset>
                </wp:positionV>
                <wp:extent cx="5691505" cy="213995"/>
                <wp:effectExtent l="0" t="0" r="0" b="0"/>
                <wp:wrapNone/>
                <wp:docPr id="1127" name="Textbox 1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1505" cy="213995"/>
                        </a:xfrm>
                        <a:prstGeom prst="rect">
                          <a:avLst/>
                        </a:prstGeom>
                      </wps:spPr>
                      <wps:txbx>
                        <w:txbxContent>
                          <w:p w14:paraId="1EB886BA" w14:textId="77777777" w:rsidR="00084F36" w:rsidRDefault="00EB2BD8">
                            <w:pPr>
                              <w:tabs>
                                <w:tab w:val="left" w:pos="7314"/>
                                <w:tab w:val="right" w:pos="8865"/>
                              </w:tabs>
                              <w:spacing w:before="69"/>
                              <w:ind w:left="101"/>
                              <w:rPr>
                                <w:rFonts w:ascii="Arial"/>
                                <w:b/>
                                <w:sz w:val="17"/>
                              </w:rPr>
                            </w:pPr>
                            <w:r>
                              <w:rPr>
                                <w:rFonts w:ascii="Arial"/>
                                <w:b/>
                                <w:color w:val="FFFFFF"/>
                                <w:spacing w:val="-2"/>
                                <w:sz w:val="17"/>
                              </w:rPr>
                              <w:t>Government-related</w:t>
                            </w:r>
                            <w:r>
                              <w:rPr>
                                <w:rFonts w:ascii="Arial"/>
                                <w:b/>
                                <w:color w:val="FFFFFF"/>
                                <w:spacing w:val="11"/>
                                <w:sz w:val="17"/>
                              </w:rPr>
                              <w:t xml:space="preserve"> </w:t>
                            </w:r>
                            <w:r>
                              <w:rPr>
                                <w:rFonts w:ascii="Arial"/>
                                <w:b/>
                                <w:color w:val="FFFFFF"/>
                                <w:spacing w:val="-2"/>
                                <w:sz w:val="17"/>
                              </w:rPr>
                              <w:t>entities</w:t>
                            </w:r>
                            <w:r>
                              <w:rPr>
                                <w:rFonts w:ascii="Arial"/>
                                <w:b/>
                                <w:color w:val="FFFFFF"/>
                                <w:sz w:val="17"/>
                              </w:rPr>
                              <w:tab/>
                            </w:r>
                            <w:r>
                              <w:rPr>
                                <w:rFonts w:ascii="Arial"/>
                                <w:b/>
                                <w:color w:val="FFFFFF"/>
                                <w:spacing w:val="-4"/>
                                <w:sz w:val="17"/>
                              </w:rPr>
                              <w:t>2023</w:t>
                            </w:r>
                            <w:r>
                              <w:rPr>
                                <w:rFonts w:ascii="Arial"/>
                                <w:b/>
                                <w:color w:val="FFFFFF"/>
                                <w:sz w:val="17"/>
                              </w:rPr>
                              <w:tab/>
                            </w:r>
                            <w:r>
                              <w:rPr>
                                <w:rFonts w:ascii="Arial"/>
                                <w:b/>
                                <w:color w:val="FFFFFF"/>
                                <w:spacing w:val="-4"/>
                                <w:sz w:val="17"/>
                              </w:rPr>
                              <w:t>2022</w:t>
                            </w:r>
                          </w:p>
                        </w:txbxContent>
                      </wps:txbx>
                      <wps:bodyPr wrap="square" lIns="0" tIns="0" rIns="0" bIns="0" rtlCol="0">
                        <a:noAutofit/>
                      </wps:bodyPr>
                    </wps:wsp>
                  </a:graphicData>
                </a:graphic>
              </wp:anchor>
            </w:drawing>
          </mc:Choice>
          <mc:Fallback>
            <w:pict>
              <v:shape w14:anchorId="6EFBEBCC" id="Textbox 1127" o:spid="_x0000_s1059" type="#_x0000_t202" alt="&quot;&quot;" style="position:absolute;left:0;text-align:left;margin-left:50.7pt;margin-top:21.05pt;width:448.15pt;height:16.85pt;z-index:251159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" filled="f" stroked="f">
                <v:textbox inset="0,0,0,0">
                  <w:txbxContent>
                    <w:p w14:paraId="1EB886BA" w14:textId="77777777" w:rsidR="00084F36" w:rsidRDefault="00EB2BD8">
                      <w:pPr>
                        <w:tabs>
                          <w:tab w:val="left" w:pos="7314"/>
                          <w:tab w:val="right" w:pos="8865"/>
                        </w:tabs>
                        <w:spacing w:before="69"/>
                        <w:ind w:left="101"/>
                        <w:rPr>
                          <w:rFonts w:ascii="Arial"/>
                          <w:b/>
                          <w:sz w:val="17"/>
                        </w:rPr>
                      </w:pPr>
                      <w:r>
                        <w:rPr>
                          <w:rFonts w:ascii="Arial"/>
                          <w:b/>
                          <w:color w:val="FFFFFF"/>
                          <w:spacing w:val="-2"/>
                          <w:sz w:val="17"/>
                        </w:rPr>
                        <w:t>Government-related</w:t>
                      </w:r>
                      <w:r>
                        <w:rPr>
                          <w:rFonts w:ascii="Arial"/>
                          <w:b/>
                          <w:color w:val="FFFFFF"/>
                          <w:spacing w:val="11"/>
                          <w:sz w:val="17"/>
                        </w:rPr>
                        <w:t xml:space="preserve"> </w:t>
                      </w:r>
                      <w:r>
                        <w:rPr>
                          <w:rFonts w:ascii="Arial"/>
                          <w:b/>
                          <w:color w:val="FFFFFF"/>
                          <w:spacing w:val="-2"/>
                          <w:sz w:val="17"/>
                        </w:rPr>
                        <w:t>entities</w:t>
                      </w:r>
                      <w:r>
                        <w:rPr>
                          <w:rFonts w:ascii="Arial"/>
                          <w:b/>
                          <w:color w:val="FFFFFF"/>
                          <w:sz w:val="17"/>
                        </w:rPr>
                        <w:tab/>
                      </w:r>
                      <w:r>
                        <w:rPr>
                          <w:rFonts w:ascii="Arial"/>
                          <w:b/>
                          <w:color w:val="FFFFFF"/>
                          <w:spacing w:val="-4"/>
                          <w:sz w:val="17"/>
                        </w:rPr>
                        <w:t>2023</w:t>
                      </w:r>
                      <w:r>
                        <w:rPr>
                          <w:rFonts w:ascii="Arial"/>
                          <w:b/>
                          <w:color w:val="FFFFFF"/>
                          <w:sz w:val="17"/>
                        </w:rPr>
                        <w:tab/>
                      </w:r>
                      <w:r>
                        <w:rPr>
                          <w:rFonts w:ascii="Arial"/>
                          <w:b/>
                          <w:color w:val="FFFFFF"/>
                          <w:spacing w:val="-4"/>
                          <w:sz w:val="17"/>
                        </w:rPr>
                        <w:t>2022</w:t>
                      </w:r>
                    </w:p>
                  </w:txbxContent>
                </v:textbox>
                <w10:wrap anchorx="page"/>
              </v:shape>
            </w:pict>
          </mc:Fallback>
        </mc:AlternateContent>
      </w:r>
      <w:r w:rsidRPr="00EB2BD8">
        <w:rPr>
          <w:rFonts w:ascii="Arial" w:hAnsi="Arial"/>
          <w:spacing w:val="-2"/>
          <w:sz w:val="17"/>
        </w:rPr>
        <w:t>($’000)</w:t>
      </w:r>
    </w:p>
    <w:p w14:paraId="0861EB7C" w14:textId="77777777" w:rsidR="00084F36" w:rsidRPr="00EB2BD8" w:rsidRDefault="00084F36">
      <w:pPr>
        <w:pStyle w:val="BodyText"/>
        <w:rPr>
          <w:rFonts w:ascii="Arial"/>
          <w:sz w:val="20"/>
        </w:rPr>
      </w:pPr>
    </w:p>
    <w:p w14:paraId="2F93B83C" w14:textId="77777777" w:rsidR="00084F36" w:rsidRPr="00EB2BD8" w:rsidRDefault="00084F36">
      <w:pPr>
        <w:pStyle w:val="BodyText"/>
        <w:spacing w:before="2"/>
        <w:rPr>
          <w:rFonts w:ascii="Arial"/>
          <w:sz w:val="17"/>
        </w:rPr>
      </w:pPr>
    </w:p>
    <w:tbl>
      <w:tblPr>
        <w:tblW w:w="0" w:type="auto"/>
        <w:tblInd w:w="1021" w:type="dxa"/>
        <w:tblLayout w:type="fixed"/>
        <w:tblCellMar>
          <w:left w:w="0" w:type="dxa"/>
          <w:right w:w="0" w:type="dxa"/>
        </w:tblCellMar>
        <w:tblLook w:val="01E0" w:firstRow="1" w:lastRow="1" w:firstColumn="1" w:lastColumn="1" w:noHBand="0" w:noVBand="0"/>
      </w:tblPr>
      <w:tblGrid>
        <w:gridCol w:w="6501"/>
        <w:gridCol w:w="1290"/>
        <w:gridCol w:w="1174"/>
      </w:tblGrid>
      <w:tr w:rsidR="00EB2BD8" w:rsidRPr="00EB2BD8" w14:paraId="6A229861" w14:textId="77777777">
        <w:trPr>
          <w:trHeight w:val="313"/>
        </w:trPr>
        <w:tc>
          <w:tcPr>
            <w:tcW w:w="6501" w:type="dxa"/>
            <w:shd w:val="clear" w:color="auto" w:fill="FFFFFF"/>
          </w:tcPr>
          <w:p w14:paraId="510F9483" w14:textId="77777777" w:rsidR="00084F36" w:rsidRPr="00EB2BD8" w:rsidRDefault="00EB2BD8">
            <w:pPr>
              <w:pStyle w:val="TableParagraph"/>
              <w:spacing w:before="52"/>
              <w:ind w:left="101"/>
              <w:rPr>
                <w:rFonts w:ascii="Arial"/>
                <w:sz w:val="11"/>
              </w:rPr>
            </w:pPr>
            <w:r w:rsidRPr="00EB2BD8">
              <w:rPr>
                <w:rFonts w:ascii="Arial"/>
                <w:sz w:val="17"/>
              </w:rPr>
              <w:t>Cladding</w:t>
            </w:r>
            <w:r w:rsidRPr="00EB2BD8">
              <w:rPr>
                <w:rFonts w:ascii="Arial"/>
                <w:spacing w:val="-10"/>
                <w:sz w:val="17"/>
              </w:rPr>
              <w:t xml:space="preserve"> </w:t>
            </w:r>
            <w:r w:rsidRPr="00EB2BD8">
              <w:rPr>
                <w:rFonts w:ascii="Arial"/>
                <w:sz w:val="17"/>
              </w:rPr>
              <w:t>Safety</w:t>
            </w:r>
            <w:r w:rsidRPr="00EB2BD8">
              <w:rPr>
                <w:rFonts w:ascii="Arial"/>
                <w:spacing w:val="-10"/>
                <w:sz w:val="17"/>
              </w:rPr>
              <w:t xml:space="preserve"> </w:t>
            </w:r>
            <w:r w:rsidRPr="00EB2BD8">
              <w:rPr>
                <w:rFonts w:ascii="Arial"/>
                <w:spacing w:val="-2"/>
                <w:sz w:val="17"/>
              </w:rPr>
              <w:t>Victoria</w:t>
            </w:r>
            <w:r w:rsidRPr="00EB2BD8">
              <w:rPr>
                <w:rFonts w:ascii="Arial"/>
                <w:spacing w:val="-2"/>
                <w:position w:val="6"/>
                <w:sz w:val="11"/>
              </w:rPr>
              <w:t>(a)</w:t>
            </w:r>
          </w:p>
        </w:tc>
        <w:tc>
          <w:tcPr>
            <w:tcW w:w="1290" w:type="dxa"/>
            <w:tcBorders>
              <w:top w:val="single" w:sz="4" w:space="0" w:color="0098FF"/>
            </w:tcBorders>
            <w:shd w:val="clear" w:color="auto" w:fill="DEEAF6"/>
          </w:tcPr>
          <w:p w14:paraId="5DC140B3" w14:textId="77777777" w:rsidR="00084F36" w:rsidRPr="00EB2BD8" w:rsidRDefault="00EB2BD8">
            <w:pPr>
              <w:pStyle w:val="TableParagraph"/>
              <w:spacing w:before="55"/>
              <w:ind w:right="99"/>
              <w:jc w:val="right"/>
              <w:rPr>
                <w:rFonts w:ascii="Arial"/>
                <w:sz w:val="17"/>
              </w:rPr>
            </w:pPr>
            <w:r w:rsidRPr="00EB2BD8">
              <w:rPr>
                <w:rFonts w:ascii="Arial"/>
                <w:spacing w:val="-2"/>
                <w:sz w:val="17"/>
              </w:rPr>
              <w:t>91,997</w:t>
            </w:r>
          </w:p>
        </w:tc>
        <w:tc>
          <w:tcPr>
            <w:tcW w:w="1174" w:type="dxa"/>
            <w:tcBorders>
              <w:top w:val="single" w:sz="4" w:space="0" w:color="0098FF"/>
            </w:tcBorders>
            <w:shd w:val="clear" w:color="auto" w:fill="FFFFFF"/>
          </w:tcPr>
          <w:p w14:paraId="59DC0E6F" w14:textId="77777777" w:rsidR="00084F36" w:rsidRPr="00EB2BD8" w:rsidRDefault="00EB2BD8">
            <w:pPr>
              <w:pStyle w:val="TableParagraph"/>
              <w:spacing w:before="55"/>
              <w:ind w:right="98"/>
              <w:jc w:val="right"/>
              <w:rPr>
                <w:rFonts w:ascii="Arial"/>
                <w:sz w:val="17"/>
              </w:rPr>
            </w:pPr>
            <w:r w:rsidRPr="00EB2BD8">
              <w:rPr>
                <w:rFonts w:ascii="Arial"/>
                <w:spacing w:val="-2"/>
                <w:sz w:val="17"/>
              </w:rPr>
              <w:t>78,315</w:t>
            </w:r>
          </w:p>
        </w:tc>
      </w:tr>
      <w:tr w:rsidR="00EB2BD8" w:rsidRPr="00EB2BD8" w14:paraId="1FC25C9E" w14:textId="77777777">
        <w:trPr>
          <w:trHeight w:val="316"/>
        </w:trPr>
        <w:tc>
          <w:tcPr>
            <w:tcW w:w="6501" w:type="dxa"/>
            <w:shd w:val="clear" w:color="auto" w:fill="FFFFFF"/>
          </w:tcPr>
          <w:p w14:paraId="4C3CBC32" w14:textId="77777777" w:rsidR="00084F36" w:rsidRPr="00EB2BD8" w:rsidRDefault="00EB2BD8">
            <w:pPr>
              <w:pStyle w:val="TableParagraph"/>
              <w:spacing w:before="52"/>
              <w:ind w:left="101"/>
              <w:rPr>
                <w:rFonts w:ascii="Arial"/>
                <w:sz w:val="11"/>
              </w:rPr>
            </w:pPr>
            <w:r w:rsidRPr="00EB2BD8">
              <w:rPr>
                <w:rFonts w:ascii="Arial"/>
                <w:sz w:val="17"/>
              </w:rPr>
              <w:t>Consumer</w:t>
            </w:r>
            <w:r w:rsidRPr="00EB2BD8">
              <w:rPr>
                <w:rFonts w:ascii="Arial"/>
                <w:spacing w:val="-11"/>
                <w:sz w:val="17"/>
              </w:rPr>
              <w:t xml:space="preserve"> </w:t>
            </w:r>
            <w:r w:rsidRPr="00EB2BD8">
              <w:rPr>
                <w:rFonts w:ascii="Arial"/>
                <w:sz w:val="17"/>
              </w:rPr>
              <w:t>Affairs</w:t>
            </w:r>
            <w:r w:rsidRPr="00EB2BD8">
              <w:rPr>
                <w:rFonts w:ascii="Arial"/>
                <w:spacing w:val="-11"/>
                <w:sz w:val="17"/>
              </w:rPr>
              <w:t xml:space="preserve"> </w:t>
            </w:r>
            <w:r w:rsidRPr="00EB2BD8">
              <w:rPr>
                <w:rFonts w:ascii="Arial"/>
                <w:spacing w:val="-2"/>
                <w:sz w:val="17"/>
              </w:rPr>
              <w:t>Victoria</w:t>
            </w:r>
            <w:r w:rsidRPr="00EB2BD8">
              <w:rPr>
                <w:rFonts w:ascii="Arial"/>
                <w:spacing w:val="-2"/>
                <w:position w:val="6"/>
                <w:sz w:val="11"/>
              </w:rPr>
              <w:t>(b)</w:t>
            </w:r>
          </w:p>
        </w:tc>
        <w:tc>
          <w:tcPr>
            <w:tcW w:w="1290" w:type="dxa"/>
            <w:shd w:val="clear" w:color="auto" w:fill="DEEAF6"/>
          </w:tcPr>
          <w:p w14:paraId="510CA6C6" w14:textId="77777777" w:rsidR="00084F36" w:rsidRPr="00EB2BD8" w:rsidRDefault="00EB2BD8">
            <w:pPr>
              <w:pStyle w:val="TableParagraph"/>
              <w:spacing w:before="55"/>
              <w:ind w:right="99"/>
              <w:jc w:val="right"/>
              <w:rPr>
                <w:rFonts w:ascii="Arial"/>
                <w:sz w:val="17"/>
              </w:rPr>
            </w:pPr>
            <w:r w:rsidRPr="00EB2BD8">
              <w:rPr>
                <w:rFonts w:ascii="Arial"/>
                <w:spacing w:val="-2"/>
                <w:sz w:val="17"/>
              </w:rPr>
              <w:t>20,184</w:t>
            </w:r>
          </w:p>
        </w:tc>
        <w:tc>
          <w:tcPr>
            <w:tcW w:w="1174" w:type="dxa"/>
            <w:shd w:val="clear" w:color="auto" w:fill="FFFFFF"/>
          </w:tcPr>
          <w:p w14:paraId="6D66E73F" w14:textId="77777777" w:rsidR="00084F36" w:rsidRPr="00EB2BD8" w:rsidRDefault="00EB2BD8">
            <w:pPr>
              <w:pStyle w:val="TableParagraph"/>
              <w:spacing w:before="55"/>
              <w:ind w:right="97"/>
              <w:jc w:val="right"/>
              <w:rPr>
                <w:rFonts w:ascii="Arial"/>
                <w:sz w:val="17"/>
              </w:rPr>
            </w:pPr>
            <w:r w:rsidRPr="00EB2BD8">
              <w:rPr>
                <w:rFonts w:ascii="Arial"/>
                <w:spacing w:val="-2"/>
                <w:sz w:val="17"/>
              </w:rPr>
              <w:t>20,403</w:t>
            </w:r>
          </w:p>
        </w:tc>
      </w:tr>
      <w:tr w:rsidR="00EB2BD8" w:rsidRPr="00EB2BD8" w14:paraId="2C730248" w14:textId="77777777">
        <w:trPr>
          <w:trHeight w:val="318"/>
        </w:trPr>
        <w:tc>
          <w:tcPr>
            <w:tcW w:w="6501" w:type="dxa"/>
            <w:shd w:val="clear" w:color="auto" w:fill="FFFFFF"/>
          </w:tcPr>
          <w:p w14:paraId="7E67CF45" w14:textId="77777777" w:rsidR="00084F36" w:rsidRPr="00EB2BD8" w:rsidRDefault="00EB2BD8">
            <w:pPr>
              <w:pStyle w:val="TableParagraph"/>
              <w:spacing w:before="54"/>
              <w:ind w:left="101"/>
              <w:rPr>
                <w:rFonts w:ascii="Arial"/>
                <w:sz w:val="11"/>
              </w:rPr>
            </w:pPr>
            <w:r w:rsidRPr="00EB2BD8">
              <w:rPr>
                <w:rFonts w:ascii="Arial"/>
                <w:sz w:val="17"/>
              </w:rPr>
              <w:t>Department</w:t>
            </w:r>
            <w:r w:rsidRPr="00EB2BD8">
              <w:rPr>
                <w:rFonts w:ascii="Arial"/>
                <w:spacing w:val="-9"/>
                <w:sz w:val="17"/>
              </w:rPr>
              <w:t xml:space="preserve"> </w:t>
            </w:r>
            <w:r w:rsidRPr="00EB2BD8">
              <w:rPr>
                <w:rFonts w:ascii="Arial"/>
                <w:sz w:val="17"/>
              </w:rPr>
              <w:t>of</w:t>
            </w:r>
            <w:r w:rsidRPr="00EB2BD8">
              <w:rPr>
                <w:rFonts w:ascii="Arial"/>
                <w:spacing w:val="-9"/>
                <w:sz w:val="17"/>
              </w:rPr>
              <w:t xml:space="preserve"> </w:t>
            </w:r>
            <w:r w:rsidRPr="00EB2BD8">
              <w:rPr>
                <w:rFonts w:ascii="Arial"/>
                <w:sz w:val="17"/>
              </w:rPr>
              <w:t>Energy,</w:t>
            </w:r>
            <w:r w:rsidRPr="00EB2BD8">
              <w:rPr>
                <w:rFonts w:ascii="Arial"/>
                <w:spacing w:val="-9"/>
                <w:sz w:val="17"/>
              </w:rPr>
              <w:t xml:space="preserve"> </w:t>
            </w:r>
            <w:r w:rsidRPr="00EB2BD8">
              <w:rPr>
                <w:rFonts w:ascii="Arial"/>
                <w:sz w:val="17"/>
              </w:rPr>
              <w:t>Environment</w:t>
            </w:r>
            <w:r w:rsidRPr="00EB2BD8">
              <w:rPr>
                <w:rFonts w:ascii="Arial"/>
                <w:spacing w:val="-9"/>
                <w:sz w:val="17"/>
              </w:rPr>
              <w:t xml:space="preserve"> </w:t>
            </w:r>
            <w:r w:rsidRPr="00EB2BD8">
              <w:rPr>
                <w:rFonts w:ascii="Arial"/>
                <w:sz w:val="17"/>
              </w:rPr>
              <w:t>and</w:t>
            </w:r>
            <w:r w:rsidRPr="00EB2BD8">
              <w:rPr>
                <w:rFonts w:ascii="Arial"/>
                <w:spacing w:val="-9"/>
                <w:sz w:val="17"/>
              </w:rPr>
              <w:t xml:space="preserve"> </w:t>
            </w:r>
            <w:r w:rsidRPr="00EB2BD8">
              <w:rPr>
                <w:rFonts w:ascii="Arial"/>
                <w:sz w:val="17"/>
              </w:rPr>
              <w:t>Climate</w:t>
            </w:r>
            <w:r w:rsidRPr="00EB2BD8">
              <w:rPr>
                <w:rFonts w:ascii="Arial"/>
                <w:spacing w:val="-10"/>
                <w:sz w:val="17"/>
              </w:rPr>
              <w:t xml:space="preserve"> </w:t>
            </w:r>
            <w:r w:rsidRPr="00EB2BD8">
              <w:rPr>
                <w:rFonts w:ascii="Arial"/>
                <w:sz w:val="17"/>
              </w:rPr>
              <w:t>Action</w:t>
            </w:r>
            <w:r w:rsidRPr="00EB2BD8">
              <w:rPr>
                <w:rFonts w:ascii="Arial"/>
                <w:spacing w:val="-10"/>
                <w:sz w:val="17"/>
              </w:rPr>
              <w:t xml:space="preserve"> </w:t>
            </w:r>
            <w:r w:rsidRPr="00EB2BD8">
              <w:rPr>
                <w:rFonts w:ascii="Arial"/>
                <w:spacing w:val="-2"/>
                <w:sz w:val="17"/>
              </w:rPr>
              <w:t>(DEECA)</w:t>
            </w:r>
            <w:r w:rsidRPr="00EB2BD8">
              <w:rPr>
                <w:rFonts w:ascii="Arial"/>
                <w:spacing w:val="-2"/>
                <w:position w:val="6"/>
                <w:sz w:val="11"/>
              </w:rPr>
              <w:t>(c)</w:t>
            </w:r>
          </w:p>
        </w:tc>
        <w:tc>
          <w:tcPr>
            <w:tcW w:w="1290" w:type="dxa"/>
            <w:shd w:val="clear" w:color="auto" w:fill="DEEAF6"/>
          </w:tcPr>
          <w:p w14:paraId="6F877AE8" w14:textId="77777777" w:rsidR="00084F36" w:rsidRPr="00EB2BD8" w:rsidRDefault="00EB2BD8">
            <w:pPr>
              <w:pStyle w:val="TableParagraph"/>
              <w:spacing w:before="58"/>
              <w:ind w:right="100"/>
              <w:jc w:val="right"/>
              <w:rPr>
                <w:rFonts w:ascii="Arial"/>
                <w:sz w:val="17"/>
              </w:rPr>
            </w:pPr>
            <w:r w:rsidRPr="00EB2BD8">
              <w:rPr>
                <w:rFonts w:ascii="Arial"/>
                <w:spacing w:val="-2"/>
                <w:sz w:val="17"/>
              </w:rPr>
              <w:t>1,618</w:t>
            </w:r>
          </w:p>
        </w:tc>
        <w:tc>
          <w:tcPr>
            <w:tcW w:w="1174" w:type="dxa"/>
            <w:shd w:val="clear" w:color="auto" w:fill="FFFFFF"/>
          </w:tcPr>
          <w:p w14:paraId="3B830567" w14:textId="77777777" w:rsidR="00084F36" w:rsidRPr="00EB2BD8" w:rsidRDefault="00EB2BD8">
            <w:pPr>
              <w:pStyle w:val="TableParagraph"/>
              <w:spacing w:before="58"/>
              <w:ind w:right="97"/>
              <w:jc w:val="right"/>
              <w:rPr>
                <w:rFonts w:ascii="Arial"/>
                <w:sz w:val="17"/>
              </w:rPr>
            </w:pPr>
            <w:r w:rsidRPr="00EB2BD8">
              <w:rPr>
                <w:rFonts w:ascii="Arial"/>
                <w:spacing w:val="-2"/>
                <w:sz w:val="17"/>
              </w:rPr>
              <w:t>2,260</w:t>
            </w:r>
          </w:p>
        </w:tc>
      </w:tr>
      <w:tr w:rsidR="00EB2BD8" w:rsidRPr="00EB2BD8" w14:paraId="0A101681" w14:textId="77777777">
        <w:trPr>
          <w:trHeight w:val="317"/>
        </w:trPr>
        <w:tc>
          <w:tcPr>
            <w:tcW w:w="6501" w:type="dxa"/>
            <w:shd w:val="clear" w:color="auto" w:fill="FFFFFF"/>
          </w:tcPr>
          <w:p w14:paraId="532B5108" w14:textId="77777777" w:rsidR="00084F36" w:rsidRPr="00EB2BD8" w:rsidRDefault="00EB2BD8">
            <w:pPr>
              <w:pStyle w:val="TableParagraph"/>
              <w:spacing w:before="54"/>
              <w:ind w:left="101"/>
              <w:rPr>
                <w:rFonts w:ascii="Arial"/>
                <w:sz w:val="11"/>
              </w:rPr>
            </w:pPr>
            <w:r w:rsidRPr="00EB2BD8">
              <w:rPr>
                <w:rFonts w:ascii="Arial"/>
                <w:sz w:val="17"/>
              </w:rPr>
              <w:t>Victorian</w:t>
            </w:r>
            <w:r w:rsidRPr="00EB2BD8">
              <w:rPr>
                <w:rFonts w:ascii="Arial"/>
                <w:spacing w:val="-12"/>
                <w:sz w:val="17"/>
              </w:rPr>
              <w:t xml:space="preserve"> </w:t>
            </w:r>
            <w:r w:rsidRPr="00EB2BD8">
              <w:rPr>
                <w:rFonts w:ascii="Arial"/>
                <w:sz w:val="17"/>
              </w:rPr>
              <w:t>Managed</w:t>
            </w:r>
            <w:r w:rsidRPr="00EB2BD8">
              <w:rPr>
                <w:rFonts w:ascii="Arial"/>
                <w:spacing w:val="-11"/>
                <w:sz w:val="17"/>
              </w:rPr>
              <w:t xml:space="preserve"> </w:t>
            </w:r>
            <w:r w:rsidRPr="00EB2BD8">
              <w:rPr>
                <w:rFonts w:ascii="Arial"/>
                <w:sz w:val="17"/>
              </w:rPr>
              <w:t>Insurance</w:t>
            </w:r>
            <w:r w:rsidRPr="00EB2BD8">
              <w:rPr>
                <w:rFonts w:ascii="Arial"/>
                <w:spacing w:val="-12"/>
                <w:sz w:val="17"/>
              </w:rPr>
              <w:t xml:space="preserve"> </w:t>
            </w:r>
            <w:r w:rsidRPr="00EB2BD8">
              <w:rPr>
                <w:rFonts w:ascii="Arial"/>
                <w:spacing w:val="-2"/>
                <w:sz w:val="17"/>
              </w:rPr>
              <w:t>Authority</w:t>
            </w:r>
            <w:r w:rsidRPr="00EB2BD8">
              <w:rPr>
                <w:rFonts w:ascii="Arial"/>
                <w:spacing w:val="-2"/>
                <w:position w:val="6"/>
                <w:sz w:val="11"/>
              </w:rPr>
              <w:t>(d)</w:t>
            </w:r>
          </w:p>
        </w:tc>
        <w:tc>
          <w:tcPr>
            <w:tcW w:w="1290" w:type="dxa"/>
            <w:shd w:val="clear" w:color="auto" w:fill="DEEAF6"/>
          </w:tcPr>
          <w:p w14:paraId="3FD087AF" w14:textId="77777777" w:rsidR="00084F36" w:rsidRPr="00EB2BD8" w:rsidRDefault="00EB2BD8">
            <w:pPr>
              <w:pStyle w:val="TableParagraph"/>
              <w:spacing w:before="58"/>
              <w:ind w:right="100"/>
              <w:jc w:val="right"/>
              <w:rPr>
                <w:rFonts w:ascii="Arial"/>
                <w:sz w:val="17"/>
              </w:rPr>
            </w:pPr>
            <w:r w:rsidRPr="00EB2BD8">
              <w:rPr>
                <w:rFonts w:ascii="Arial"/>
                <w:spacing w:val="-2"/>
                <w:sz w:val="17"/>
              </w:rPr>
              <w:t>3,682</w:t>
            </w:r>
          </w:p>
        </w:tc>
        <w:tc>
          <w:tcPr>
            <w:tcW w:w="1174" w:type="dxa"/>
            <w:shd w:val="clear" w:color="auto" w:fill="FFFFFF"/>
          </w:tcPr>
          <w:p w14:paraId="3DF20E01" w14:textId="77777777" w:rsidR="00084F36" w:rsidRPr="00EB2BD8" w:rsidRDefault="00EB2BD8">
            <w:pPr>
              <w:pStyle w:val="TableParagraph"/>
              <w:spacing w:before="58"/>
              <w:ind w:right="97"/>
              <w:jc w:val="right"/>
              <w:rPr>
                <w:rFonts w:ascii="Arial"/>
                <w:sz w:val="17"/>
              </w:rPr>
            </w:pPr>
            <w:r w:rsidRPr="00EB2BD8">
              <w:rPr>
                <w:rFonts w:ascii="Arial"/>
                <w:spacing w:val="-2"/>
                <w:sz w:val="17"/>
              </w:rPr>
              <w:t>3,007</w:t>
            </w:r>
          </w:p>
        </w:tc>
      </w:tr>
      <w:tr w:rsidR="00EB2BD8" w:rsidRPr="00EB2BD8" w14:paraId="2B68B8A1" w14:textId="77777777">
        <w:trPr>
          <w:trHeight w:val="315"/>
        </w:trPr>
        <w:tc>
          <w:tcPr>
            <w:tcW w:w="6501" w:type="dxa"/>
            <w:tcBorders>
              <w:bottom w:val="single" w:sz="12" w:space="0" w:color="000000"/>
            </w:tcBorders>
            <w:shd w:val="clear" w:color="auto" w:fill="FFFFFF"/>
          </w:tcPr>
          <w:p w14:paraId="263C1A0C" w14:textId="77777777" w:rsidR="00084F36" w:rsidRPr="00EB2BD8" w:rsidRDefault="00EB2BD8">
            <w:pPr>
              <w:pStyle w:val="TableParagraph"/>
              <w:spacing w:before="54"/>
              <w:ind w:left="101"/>
              <w:rPr>
                <w:rFonts w:ascii="Arial"/>
                <w:sz w:val="11"/>
              </w:rPr>
            </w:pPr>
            <w:r w:rsidRPr="00EB2BD8">
              <w:rPr>
                <w:rFonts w:ascii="Arial"/>
                <w:sz w:val="17"/>
              </w:rPr>
              <w:t>Other</w:t>
            </w:r>
            <w:r w:rsidRPr="00EB2BD8">
              <w:rPr>
                <w:rFonts w:ascii="Arial"/>
                <w:spacing w:val="-9"/>
                <w:sz w:val="17"/>
              </w:rPr>
              <w:t xml:space="preserve"> </w:t>
            </w:r>
            <w:r w:rsidRPr="00EB2BD8">
              <w:rPr>
                <w:rFonts w:ascii="Arial"/>
                <w:sz w:val="17"/>
              </w:rPr>
              <w:t>departments</w:t>
            </w:r>
            <w:r w:rsidRPr="00EB2BD8">
              <w:rPr>
                <w:rFonts w:ascii="Arial"/>
                <w:spacing w:val="-9"/>
                <w:sz w:val="17"/>
              </w:rPr>
              <w:t xml:space="preserve"> </w:t>
            </w:r>
            <w:r w:rsidRPr="00EB2BD8">
              <w:rPr>
                <w:rFonts w:ascii="Arial"/>
                <w:sz w:val="17"/>
              </w:rPr>
              <w:t>and</w:t>
            </w:r>
            <w:r w:rsidRPr="00EB2BD8">
              <w:rPr>
                <w:rFonts w:ascii="Arial"/>
                <w:spacing w:val="-9"/>
                <w:sz w:val="17"/>
              </w:rPr>
              <w:t xml:space="preserve"> </w:t>
            </w:r>
            <w:r w:rsidRPr="00EB2BD8">
              <w:rPr>
                <w:rFonts w:ascii="Arial"/>
                <w:spacing w:val="-2"/>
                <w:sz w:val="17"/>
              </w:rPr>
              <w:t>agencies</w:t>
            </w:r>
            <w:r w:rsidRPr="00EB2BD8">
              <w:rPr>
                <w:rFonts w:ascii="Arial"/>
                <w:spacing w:val="-2"/>
                <w:position w:val="6"/>
                <w:sz w:val="11"/>
              </w:rPr>
              <w:t>(d)</w:t>
            </w:r>
          </w:p>
        </w:tc>
        <w:tc>
          <w:tcPr>
            <w:tcW w:w="1290" w:type="dxa"/>
            <w:tcBorders>
              <w:bottom w:val="single" w:sz="12" w:space="0" w:color="000000"/>
            </w:tcBorders>
            <w:shd w:val="clear" w:color="auto" w:fill="DEEAF6"/>
          </w:tcPr>
          <w:p w14:paraId="6AC00743" w14:textId="77777777" w:rsidR="00084F36" w:rsidRPr="00EB2BD8" w:rsidRDefault="00EB2BD8">
            <w:pPr>
              <w:pStyle w:val="TableParagraph"/>
              <w:spacing w:before="58"/>
              <w:ind w:right="100"/>
              <w:jc w:val="right"/>
              <w:rPr>
                <w:rFonts w:ascii="Arial"/>
                <w:sz w:val="17"/>
              </w:rPr>
            </w:pPr>
            <w:r w:rsidRPr="00EB2BD8">
              <w:rPr>
                <w:rFonts w:ascii="Arial"/>
                <w:spacing w:val="-2"/>
                <w:sz w:val="17"/>
              </w:rPr>
              <w:t>2,387</w:t>
            </w:r>
          </w:p>
        </w:tc>
        <w:tc>
          <w:tcPr>
            <w:tcW w:w="1174" w:type="dxa"/>
            <w:tcBorders>
              <w:bottom w:val="single" w:sz="12" w:space="0" w:color="000000"/>
            </w:tcBorders>
            <w:shd w:val="clear" w:color="auto" w:fill="FFFFFF"/>
          </w:tcPr>
          <w:p w14:paraId="63E38B6D" w14:textId="77777777" w:rsidR="00084F36" w:rsidRPr="00EB2BD8" w:rsidRDefault="00EB2BD8">
            <w:pPr>
              <w:pStyle w:val="TableParagraph"/>
              <w:spacing w:before="58"/>
              <w:ind w:right="97"/>
              <w:jc w:val="right"/>
              <w:rPr>
                <w:rFonts w:ascii="Arial"/>
                <w:sz w:val="17"/>
              </w:rPr>
            </w:pPr>
            <w:r w:rsidRPr="00EB2BD8">
              <w:rPr>
                <w:rFonts w:ascii="Arial"/>
                <w:spacing w:val="-2"/>
                <w:sz w:val="17"/>
              </w:rPr>
              <w:t>2,410</w:t>
            </w:r>
          </w:p>
        </w:tc>
      </w:tr>
      <w:tr w:rsidR="00EB2BD8" w:rsidRPr="00EB2BD8" w14:paraId="3A6F1231" w14:textId="77777777">
        <w:trPr>
          <w:trHeight w:val="287"/>
        </w:trPr>
        <w:tc>
          <w:tcPr>
            <w:tcW w:w="6501" w:type="dxa"/>
            <w:tcBorders>
              <w:top w:val="single" w:sz="12" w:space="0" w:color="000000"/>
              <w:bottom w:val="single" w:sz="12" w:space="0" w:color="000000"/>
            </w:tcBorders>
            <w:shd w:val="clear" w:color="auto" w:fill="FFFFFF"/>
          </w:tcPr>
          <w:p w14:paraId="6B7FBEC5" w14:textId="77777777" w:rsidR="00084F36" w:rsidRPr="00EB2BD8" w:rsidRDefault="00EB2BD8">
            <w:pPr>
              <w:pStyle w:val="TableParagraph"/>
              <w:spacing w:before="45"/>
              <w:ind w:left="101"/>
              <w:rPr>
                <w:rFonts w:ascii="Arial"/>
                <w:b/>
                <w:sz w:val="17"/>
              </w:rPr>
            </w:pPr>
            <w:r w:rsidRPr="00EB2BD8">
              <w:rPr>
                <w:rFonts w:ascii="Arial"/>
                <w:b/>
                <w:sz w:val="17"/>
              </w:rPr>
              <w:t>Total</w:t>
            </w:r>
            <w:r w:rsidRPr="00EB2BD8">
              <w:rPr>
                <w:rFonts w:ascii="Arial"/>
                <w:b/>
                <w:spacing w:val="-10"/>
                <w:sz w:val="17"/>
              </w:rPr>
              <w:t xml:space="preserve"> </w:t>
            </w:r>
            <w:r w:rsidRPr="00EB2BD8">
              <w:rPr>
                <w:rFonts w:ascii="Arial"/>
                <w:b/>
                <w:sz w:val="17"/>
              </w:rPr>
              <w:t>aggregate</w:t>
            </w:r>
            <w:r w:rsidRPr="00EB2BD8">
              <w:rPr>
                <w:rFonts w:ascii="Arial"/>
                <w:b/>
                <w:spacing w:val="-10"/>
                <w:sz w:val="17"/>
              </w:rPr>
              <w:t xml:space="preserve"> </w:t>
            </w:r>
            <w:r w:rsidRPr="00EB2BD8">
              <w:rPr>
                <w:rFonts w:ascii="Arial"/>
                <w:b/>
                <w:spacing w:val="-2"/>
                <w:sz w:val="17"/>
              </w:rPr>
              <w:t>transactions</w:t>
            </w:r>
          </w:p>
        </w:tc>
        <w:tc>
          <w:tcPr>
            <w:tcW w:w="1290" w:type="dxa"/>
            <w:tcBorders>
              <w:top w:val="single" w:sz="12" w:space="0" w:color="000000"/>
              <w:bottom w:val="single" w:sz="12" w:space="0" w:color="000000"/>
            </w:tcBorders>
            <w:shd w:val="clear" w:color="auto" w:fill="DEEAF6"/>
          </w:tcPr>
          <w:p w14:paraId="1EC673F2" w14:textId="77777777" w:rsidR="00084F36" w:rsidRPr="00EB2BD8" w:rsidRDefault="00EB2BD8">
            <w:pPr>
              <w:pStyle w:val="TableParagraph"/>
              <w:spacing w:before="45"/>
              <w:ind w:right="99"/>
              <w:jc w:val="right"/>
              <w:rPr>
                <w:rFonts w:ascii="Arial"/>
                <w:b/>
                <w:sz w:val="17"/>
              </w:rPr>
            </w:pPr>
            <w:r w:rsidRPr="00EB2BD8">
              <w:rPr>
                <w:rFonts w:ascii="Arial"/>
                <w:b/>
                <w:spacing w:val="-2"/>
                <w:sz w:val="17"/>
              </w:rPr>
              <w:t>119,868</w:t>
            </w:r>
          </w:p>
        </w:tc>
        <w:tc>
          <w:tcPr>
            <w:tcW w:w="1174" w:type="dxa"/>
            <w:tcBorders>
              <w:top w:val="single" w:sz="12" w:space="0" w:color="000000"/>
              <w:bottom w:val="single" w:sz="12" w:space="0" w:color="000000"/>
            </w:tcBorders>
            <w:shd w:val="clear" w:color="auto" w:fill="FFFFFF"/>
          </w:tcPr>
          <w:p w14:paraId="3E5ABF70" w14:textId="77777777" w:rsidR="00084F36" w:rsidRPr="00EB2BD8" w:rsidRDefault="00EB2BD8">
            <w:pPr>
              <w:pStyle w:val="TableParagraph"/>
              <w:spacing w:before="45"/>
              <w:ind w:right="98"/>
              <w:jc w:val="right"/>
              <w:rPr>
                <w:rFonts w:ascii="Arial"/>
                <w:b/>
                <w:sz w:val="17"/>
              </w:rPr>
            </w:pPr>
            <w:r w:rsidRPr="00EB2BD8">
              <w:rPr>
                <w:rFonts w:ascii="Arial"/>
                <w:b/>
                <w:spacing w:val="-2"/>
                <w:sz w:val="17"/>
              </w:rPr>
              <w:t>106,395</w:t>
            </w:r>
          </w:p>
        </w:tc>
      </w:tr>
    </w:tbl>
    <w:p w14:paraId="5219A7DC" w14:textId="77777777" w:rsidR="00084F36" w:rsidRPr="00EB2BD8" w:rsidRDefault="00084F36">
      <w:pPr>
        <w:pStyle w:val="BodyText"/>
        <w:spacing w:before="5"/>
        <w:rPr>
          <w:rFonts w:ascii="Arial"/>
          <w:sz w:val="23"/>
        </w:rPr>
      </w:pPr>
    </w:p>
    <w:p w14:paraId="3D497664" w14:textId="77777777" w:rsidR="00084F36" w:rsidRPr="00EB2BD8" w:rsidRDefault="00EB2BD8">
      <w:pPr>
        <w:spacing w:before="95"/>
        <w:ind w:left="1076"/>
        <w:rPr>
          <w:rFonts w:ascii="Arial"/>
          <w:i/>
          <w:sz w:val="15"/>
        </w:rPr>
      </w:pPr>
      <w:r w:rsidRPr="00EB2BD8">
        <w:rPr>
          <w:rFonts w:ascii="Arial"/>
          <w:i/>
          <w:spacing w:val="-2"/>
          <w:sz w:val="15"/>
        </w:rPr>
        <w:t>Notes:</w:t>
      </w:r>
    </w:p>
    <w:p w14:paraId="464FC181" w14:textId="77777777" w:rsidR="00084F36" w:rsidRPr="00EB2BD8" w:rsidRDefault="00EB2BD8">
      <w:pPr>
        <w:pStyle w:val="ListParagraph"/>
        <w:numPr>
          <w:ilvl w:val="0"/>
          <w:numId w:val="26"/>
        </w:numPr>
        <w:tabs>
          <w:tab w:val="left" w:pos="1410"/>
        </w:tabs>
        <w:spacing w:before="82"/>
        <w:ind w:left="1410" w:hanging="334"/>
        <w:rPr>
          <w:rFonts w:ascii="Arial"/>
          <w:i/>
          <w:sz w:val="15"/>
        </w:rPr>
      </w:pPr>
      <w:r w:rsidRPr="00EB2BD8">
        <w:rPr>
          <w:rFonts w:ascii="Arial"/>
          <w:i/>
          <w:sz w:val="15"/>
        </w:rPr>
        <w:t>This</w:t>
      </w:r>
      <w:r w:rsidRPr="00EB2BD8">
        <w:rPr>
          <w:rFonts w:ascii="Arial"/>
          <w:i/>
          <w:spacing w:val="-7"/>
          <w:sz w:val="15"/>
        </w:rPr>
        <w:t xml:space="preserve"> </w:t>
      </w:r>
      <w:r w:rsidRPr="00EB2BD8">
        <w:rPr>
          <w:rFonts w:ascii="Arial"/>
          <w:i/>
          <w:sz w:val="15"/>
        </w:rPr>
        <w:t>represents</w:t>
      </w:r>
      <w:r w:rsidRPr="00EB2BD8">
        <w:rPr>
          <w:rFonts w:ascii="Arial"/>
          <w:i/>
          <w:spacing w:val="-6"/>
          <w:sz w:val="15"/>
        </w:rPr>
        <w:t xml:space="preserve"> </w:t>
      </w:r>
      <w:r w:rsidRPr="00EB2BD8">
        <w:rPr>
          <w:rFonts w:ascii="Arial"/>
          <w:i/>
          <w:sz w:val="15"/>
        </w:rPr>
        <w:t>the</w:t>
      </w:r>
      <w:r w:rsidRPr="00EB2BD8">
        <w:rPr>
          <w:rFonts w:ascii="Arial"/>
          <w:i/>
          <w:spacing w:val="-8"/>
          <w:sz w:val="15"/>
        </w:rPr>
        <w:t xml:space="preserve"> </w:t>
      </w:r>
      <w:r w:rsidRPr="00EB2BD8">
        <w:rPr>
          <w:rFonts w:ascii="Arial"/>
          <w:i/>
          <w:sz w:val="15"/>
        </w:rPr>
        <w:t>remittance</w:t>
      </w:r>
      <w:r w:rsidRPr="00EB2BD8">
        <w:rPr>
          <w:rFonts w:ascii="Arial"/>
          <w:i/>
          <w:spacing w:val="-7"/>
          <w:sz w:val="15"/>
        </w:rPr>
        <w:t xml:space="preserve"> </w:t>
      </w:r>
      <w:r w:rsidRPr="00EB2BD8">
        <w:rPr>
          <w:rFonts w:ascii="Arial"/>
          <w:i/>
          <w:sz w:val="15"/>
        </w:rPr>
        <w:t>of</w:t>
      </w:r>
      <w:r w:rsidRPr="00EB2BD8">
        <w:rPr>
          <w:rFonts w:ascii="Arial"/>
          <w:i/>
          <w:spacing w:val="-5"/>
          <w:sz w:val="15"/>
        </w:rPr>
        <w:t xml:space="preserve"> </w:t>
      </w:r>
      <w:r w:rsidRPr="00EB2BD8">
        <w:rPr>
          <w:rFonts w:ascii="Arial"/>
          <w:i/>
          <w:sz w:val="15"/>
        </w:rPr>
        <w:t>cladding</w:t>
      </w:r>
      <w:r w:rsidRPr="00EB2BD8">
        <w:rPr>
          <w:rFonts w:ascii="Arial"/>
          <w:i/>
          <w:spacing w:val="-8"/>
          <w:sz w:val="15"/>
        </w:rPr>
        <w:t xml:space="preserve"> </w:t>
      </w:r>
      <w:r w:rsidRPr="00EB2BD8">
        <w:rPr>
          <w:rFonts w:ascii="Arial"/>
          <w:i/>
          <w:sz w:val="15"/>
        </w:rPr>
        <w:t>rectification</w:t>
      </w:r>
      <w:r w:rsidRPr="00EB2BD8">
        <w:rPr>
          <w:rFonts w:ascii="Arial"/>
          <w:i/>
          <w:spacing w:val="-7"/>
          <w:sz w:val="15"/>
        </w:rPr>
        <w:t xml:space="preserve"> </w:t>
      </w:r>
      <w:r w:rsidRPr="00EB2BD8">
        <w:rPr>
          <w:rFonts w:ascii="Arial"/>
          <w:i/>
          <w:sz w:val="15"/>
        </w:rPr>
        <w:t>levy</w:t>
      </w:r>
      <w:r w:rsidRPr="00EB2BD8">
        <w:rPr>
          <w:rFonts w:ascii="Arial"/>
          <w:i/>
          <w:spacing w:val="-6"/>
          <w:sz w:val="15"/>
        </w:rPr>
        <w:t xml:space="preserve"> </w:t>
      </w:r>
      <w:r w:rsidRPr="00EB2BD8">
        <w:rPr>
          <w:rFonts w:ascii="Arial"/>
          <w:i/>
          <w:sz w:val="15"/>
        </w:rPr>
        <w:t>to</w:t>
      </w:r>
      <w:r w:rsidRPr="00EB2BD8">
        <w:rPr>
          <w:rFonts w:ascii="Arial"/>
          <w:i/>
          <w:spacing w:val="-7"/>
          <w:sz w:val="15"/>
        </w:rPr>
        <w:t xml:space="preserve"> </w:t>
      </w:r>
      <w:r w:rsidRPr="00EB2BD8">
        <w:rPr>
          <w:rFonts w:ascii="Arial"/>
          <w:i/>
          <w:sz w:val="15"/>
        </w:rPr>
        <w:t>Cladding</w:t>
      </w:r>
      <w:r w:rsidRPr="00EB2BD8">
        <w:rPr>
          <w:rFonts w:ascii="Arial"/>
          <w:i/>
          <w:spacing w:val="-8"/>
          <w:sz w:val="15"/>
        </w:rPr>
        <w:t xml:space="preserve"> </w:t>
      </w:r>
      <w:r w:rsidRPr="00EB2BD8">
        <w:rPr>
          <w:rFonts w:ascii="Arial"/>
          <w:i/>
          <w:sz w:val="15"/>
        </w:rPr>
        <w:t>Safety</w:t>
      </w:r>
      <w:r w:rsidRPr="00EB2BD8">
        <w:rPr>
          <w:rFonts w:ascii="Arial"/>
          <w:i/>
          <w:spacing w:val="-6"/>
          <w:sz w:val="15"/>
        </w:rPr>
        <w:t xml:space="preserve"> </w:t>
      </w:r>
      <w:r w:rsidRPr="00EB2BD8">
        <w:rPr>
          <w:rFonts w:ascii="Arial"/>
          <w:i/>
          <w:spacing w:val="-2"/>
          <w:sz w:val="15"/>
        </w:rPr>
        <w:t>Victoria.</w:t>
      </w:r>
    </w:p>
    <w:p w14:paraId="7CBF5045" w14:textId="77777777" w:rsidR="00084F36" w:rsidRPr="00EB2BD8" w:rsidRDefault="00EB2BD8">
      <w:pPr>
        <w:pStyle w:val="ListParagraph"/>
        <w:numPr>
          <w:ilvl w:val="0"/>
          <w:numId w:val="26"/>
        </w:numPr>
        <w:tabs>
          <w:tab w:val="left" w:pos="1410"/>
        </w:tabs>
        <w:spacing w:before="82"/>
        <w:ind w:left="1410" w:hanging="334"/>
        <w:rPr>
          <w:rFonts w:ascii="Arial" w:hAnsi="Arial"/>
          <w:i/>
          <w:sz w:val="15"/>
        </w:rPr>
      </w:pPr>
      <w:r w:rsidRPr="00EB2BD8">
        <w:rPr>
          <w:rFonts w:ascii="Arial" w:hAnsi="Arial"/>
          <w:i/>
          <w:sz w:val="15"/>
        </w:rPr>
        <w:t>This</w:t>
      </w:r>
      <w:r w:rsidRPr="00EB2BD8">
        <w:rPr>
          <w:rFonts w:ascii="Arial" w:hAnsi="Arial"/>
          <w:i/>
          <w:spacing w:val="-8"/>
          <w:sz w:val="15"/>
        </w:rPr>
        <w:t xml:space="preserve"> </w:t>
      </w:r>
      <w:r w:rsidRPr="00EB2BD8">
        <w:rPr>
          <w:rFonts w:ascii="Arial" w:hAnsi="Arial"/>
          <w:i/>
          <w:sz w:val="15"/>
        </w:rPr>
        <w:t>represents</w:t>
      </w:r>
      <w:r w:rsidRPr="00EB2BD8">
        <w:rPr>
          <w:rFonts w:ascii="Arial" w:hAnsi="Arial"/>
          <w:i/>
          <w:spacing w:val="-6"/>
          <w:sz w:val="15"/>
        </w:rPr>
        <w:t xml:space="preserve"> </w:t>
      </w:r>
      <w:r w:rsidRPr="00EB2BD8">
        <w:rPr>
          <w:rFonts w:ascii="Arial" w:hAnsi="Arial"/>
          <w:i/>
          <w:sz w:val="15"/>
        </w:rPr>
        <w:t>Consumer</w:t>
      </w:r>
      <w:r w:rsidRPr="00EB2BD8">
        <w:rPr>
          <w:rFonts w:ascii="Arial" w:hAnsi="Arial"/>
          <w:i/>
          <w:spacing w:val="-8"/>
          <w:sz w:val="15"/>
        </w:rPr>
        <w:t xml:space="preserve"> </w:t>
      </w:r>
      <w:r w:rsidRPr="00EB2BD8">
        <w:rPr>
          <w:rFonts w:ascii="Arial" w:hAnsi="Arial"/>
          <w:i/>
          <w:sz w:val="15"/>
        </w:rPr>
        <w:t>Affairs</w:t>
      </w:r>
      <w:r w:rsidRPr="00EB2BD8">
        <w:rPr>
          <w:rFonts w:ascii="Arial" w:hAnsi="Arial"/>
          <w:i/>
          <w:spacing w:val="-7"/>
          <w:sz w:val="15"/>
        </w:rPr>
        <w:t xml:space="preserve"> </w:t>
      </w:r>
      <w:r w:rsidRPr="00EB2BD8">
        <w:rPr>
          <w:rFonts w:ascii="Arial" w:hAnsi="Arial"/>
          <w:i/>
          <w:sz w:val="15"/>
        </w:rPr>
        <w:t>Victoria’s</w:t>
      </w:r>
      <w:r w:rsidRPr="00EB2BD8">
        <w:rPr>
          <w:rFonts w:ascii="Arial" w:hAnsi="Arial"/>
          <w:i/>
          <w:spacing w:val="-7"/>
          <w:sz w:val="15"/>
        </w:rPr>
        <w:t xml:space="preserve"> </w:t>
      </w:r>
      <w:r w:rsidRPr="00EB2BD8">
        <w:rPr>
          <w:rFonts w:ascii="Arial" w:hAnsi="Arial"/>
          <w:i/>
          <w:sz w:val="15"/>
        </w:rPr>
        <w:t>share</w:t>
      </w:r>
      <w:r w:rsidRPr="00EB2BD8">
        <w:rPr>
          <w:rFonts w:ascii="Arial" w:hAnsi="Arial"/>
          <w:i/>
          <w:spacing w:val="-8"/>
          <w:sz w:val="15"/>
        </w:rPr>
        <w:t xml:space="preserve"> </w:t>
      </w:r>
      <w:r w:rsidRPr="00EB2BD8">
        <w:rPr>
          <w:rFonts w:ascii="Arial" w:hAnsi="Arial"/>
          <w:i/>
          <w:sz w:val="15"/>
        </w:rPr>
        <w:t>of</w:t>
      </w:r>
      <w:r w:rsidRPr="00EB2BD8">
        <w:rPr>
          <w:rFonts w:ascii="Arial" w:hAnsi="Arial"/>
          <w:i/>
          <w:spacing w:val="-8"/>
          <w:sz w:val="15"/>
        </w:rPr>
        <w:t xml:space="preserve"> </w:t>
      </w:r>
      <w:r w:rsidRPr="00EB2BD8">
        <w:rPr>
          <w:rFonts w:ascii="Arial" w:hAnsi="Arial"/>
          <w:i/>
          <w:sz w:val="15"/>
        </w:rPr>
        <w:t>the</w:t>
      </w:r>
      <w:r w:rsidRPr="00EB2BD8">
        <w:rPr>
          <w:rFonts w:ascii="Arial" w:hAnsi="Arial"/>
          <w:i/>
          <w:spacing w:val="-8"/>
          <w:sz w:val="15"/>
        </w:rPr>
        <w:t xml:space="preserve"> </w:t>
      </w:r>
      <w:r w:rsidRPr="00EB2BD8">
        <w:rPr>
          <w:rFonts w:ascii="Arial" w:hAnsi="Arial"/>
          <w:i/>
          <w:sz w:val="15"/>
        </w:rPr>
        <w:t>building</w:t>
      </w:r>
      <w:r w:rsidRPr="00EB2BD8">
        <w:rPr>
          <w:rFonts w:ascii="Arial" w:hAnsi="Arial"/>
          <w:i/>
          <w:spacing w:val="-8"/>
          <w:sz w:val="15"/>
        </w:rPr>
        <w:t xml:space="preserve"> </w:t>
      </w:r>
      <w:r w:rsidRPr="00EB2BD8">
        <w:rPr>
          <w:rFonts w:ascii="Arial" w:hAnsi="Arial"/>
          <w:i/>
          <w:sz w:val="15"/>
        </w:rPr>
        <w:t>levy</w:t>
      </w:r>
      <w:r w:rsidRPr="00EB2BD8">
        <w:rPr>
          <w:rFonts w:ascii="Arial" w:hAnsi="Arial"/>
          <w:i/>
          <w:spacing w:val="-7"/>
          <w:sz w:val="15"/>
        </w:rPr>
        <w:t xml:space="preserve"> </w:t>
      </w:r>
      <w:r w:rsidRPr="00EB2BD8">
        <w:rPr>
          <w:rFonts w:ascii="Arial" w:hAnsi="Arial"/>
          <w:i/>
          <w:sz w:val="15"/>
        </w:rPr>
        <w:t>and</w:t>
      </w:r>
      <w:r w:rsidRPr="00EB2BD8">
        <w:rPr>
          <w:rFonts w:ascii="Arial" w:hAnsi="Arial"/>
          <w:i/>
          <w:spacing w:val="-8"/>
          <w:sz w:val="15"/>
        </w:rPr>
        <w:t xml:space="preserve"> </w:t>
      </w:r>
      <w:r w:rsidRPr="00EB2BD8">
        <w:rPr>
          <w:rFonts w:ascii="Arial" w:hAnsi="Arial"/>
          <w:i/>
          <w:sz w:val="15"/>
        </w:rPr>
        <w:t>domestic</w:t>
      </w:r>
      <w:r w:rsidRPr="00EB2BD8">
        <w:rPr>
          <w:rFonts w:ascii="Arial" w:hAnsi="Arial"/>
          <w:i/>
          <w:spacing w:val="-8"/>
          <w:sz w:val="15"/>
        </w:rPr>
        <w:t xml:space="preserve"> </w:t>
      </w:r>
      <w:r w:rsidRPr="00EB2BD8">
        <w:rPr>
          <w:rFonts w:ascii="Arial" w:hAnsi="Arial"/>
          <w:i/>
          <w:sz w:val="15"/>
        </w:rPr>
        <w:t>building</w:t>
      </w:r>
      <w:r w:rsidRPr="00EB2BD8">
        <w:rPr>
          <w:rFonts w:ascii="Arial" w:hAnsi="Arial"/>
          <w:i/>
          <w:spacing w:val="-7"/>
          <w:sz w:val="15"/>
        </w:rPr>
        <w:t xml:space="preserve"> </w:t>
      </w:r>
      <w:r w:rsidRPr="00EB2BD8">
        <w:rPr>
          <w:rFonts w:ascii="Arial" w:hAnsi="Arial"/>
          <w:i/>
          <w:sz w:val="15"/>
        </w:rPr>
        <w:t>practitioner</w:t>
      </w:r>
      <w:r w:rsidRPr="00EB2BD8">
        <w:rPr>
          <w:rFonts w:ascii="Arial" w:hAnsi="Arial"/>
          <w:i/>
          <w:spacing w:val="-8"/>
          <w:sz w:val="15"/>
        </w:rPr>
        <w:t xml:space="preserve"> </w:t>
      </w:r>
      <w:r w:rsidRPr="00EB2BD8">
        <w:rPr>
          <w:rFonts w:ascii="Arial" w:hAnsi="Arial"/>
          <w:i/>
          <w:sz w:val="15"/>
        </w:rPr>
        <w:t>registration</w:t>
      </w:r>
      <w:r w:rsidRPr="00EB2BD8">
        <w:rPr>
          <w:rFonts w:ascii="Arial" w:hAnsi="Arial"/>
          <w:i/>
          <w:spacing w:val="-8"/>
          <w:sz w:val="15"/>
        </w:rPr>
        <w:t xml:space="preserve"> </w:t>
      </w:r>
      <w:r w:rsidRPr="00EB2BD8">
        <w:rPr>
          <w:rFonts w:ascii="Arial" w:hAnsi="Arial"/>
          <w:i/>
          <w:spacing w:val="-2"/>
          <w:sz w:val="15"/>
        </w:rPr>
        <w:t>fees.</w:t>
      </w:r>
    </w:p>
    <w:p w14:paraId="5277622C" w14:textId="77777777" w:rsidR="00084F36" w:rsidRPr="00EB2BD8" w:rsidRDefault="00EB2BD8">
      <w:pPr>
        <w:pStyle w:val="ListParagraph"/>
        <w:numPr>
          <w:ilvl w:val="0"/>
          <w:numId w:val="26"/>
        </w:numPr>
        <w:tabs>
          <w:tab w:val="left" w:pos="1411"/>
        </w:tabs>
        <w:spacing w:before="81"/>
        <w:ind w:left="1411" w:hanging="335"/>
        <w:rPr>
          <w:rFonts w:ascii="Arial"/>
          <w:i/>
          <w:sz w:val="15"/>
        </w:rPr>
      </w:pPr>
      <w:r w:rsidRPr="00EB2BD8">
        <w:rPr>
          <w:rFonts w:ascii="Arial"/>
          <w:i/>
          <w:sz w:val="15"/>
        </w:rPr>
        <w:t>Supports</w:t>
      </w:r>
      <w:r w:rsidRPr="00EB2BD8">
        <w:rPr>
          <w:rFonts w:ascii="Arial"/>
          <w:i/>
          <w:spacing w:val="-6"/>
          <w:sz w:val="15"/>
        </w:rPr>
        <w:t xml:space="preserve"> </w:t>
      </w:r>
      <w:r w:rsidRPr="00EB2BD8">
        <w:rPr>
          <w:rFonts w:ascii="Arial"/>
          <w:i/>
          <w:sz w:val="15"/>
        </w:rPr>
        <w:t>the</w:t>
      </w:r>
      <w:r w:rsidRPr="00EB2BD8">
        <w:rPr>
          <w:rFonts w:ascii="Arial"/>
          <w:i/>
          <w:spacing w:val="-6"/>
          <w:sz w:val="15"/>
        </w:rPr>
        <w:t xml:space="preserve"> </w:t>
      </w:r>
      <w:r w:rsidRPr="00EB2BD8">
        <w:rPr>
          <w:rFonts w:ascii="Arial"/>
          <w:i/>
          <w:sz w:val="15"/>
        </w:rPr>
        <w:t>policy</w:t>
      </w:r>
      <w:r w:rsidRPr="00EB2BD8">
        <w:rPr>
          <w:rFonts w:ascii="Arial"/>
          <w:i/>
          <w:spacing w:val="-6"/>
          <w:sz w:val="15"/>
        </w:rPr>
        <w:t xml:space="preserve"> </w:t>
      </w:r>
      <w:r w:rsidRPr="00EB2BD8">
        <w:rPr>
          <w:rFonts w:ascii="Arial"/>
          <w:i/>
          <w:sz w:val="15"/>
        </w:rPr>
        <w:t>function</w:t>
      </w:r>
      <w:r w:rsidRPr="00EB2BD8">
        <w:rPr>
          <w:rFonts w:ascii="Arial"/>
          <w:i/>
          <w:spacing w:val="-6"/>
          <w:sz w:val="15"/>
        </w:rPr>
        <w:t xml:space="preserve"> </w:t>
      </w:r>
      <w:r w:rsidRPr="00EB2BD8">
        <w:rPr>
          <w:rFonts w:ascii="Arial"/>
          <w:i/>
          <w:sz w:val="15"/>
        </w:rPr>
        <w:t>of</w:t>
      </w:r>
      <w:r w:rsidRPr="00EB2BD8">
        <w:rPr>
          <w:rFonts w:ascii="Arial"/>
          <w:i/>
          <w:spacing w:val="-7"/>
          <w:sz w:val="15"/>
        </w:rPr>
        <w:t xml:space="preserve"> </w:t>
      </w:r>
      <w:r w:rsidRPr="00EB2BD8">
        <w:rPr>
          <w:rFonts w:ascii="Arial"/>
          <w:i/>
          <w:sz w:val="15"/>
        </w:rPr>
        <w:t>the</w:t>
      </w:r>
      <w:r w:rsidRPr="00EB2BD8">
        <w:rPr>
          <w:rFonts w:ascii="Arial"/>
          <w:i/>
          <w:spacing w:val="-6"/>
          <w:sz w:val="15"/>
        </w:rPr>
        <w:t xml:space="preserve"> </w:t>
      </w:r>
      <w:r w:rsidRPr="00EB2BD8">
        <w:rPr>
          <w:rFonts w:ascii="Arial"/>
          <w:i/>
          <w:sz w:val="15"/>
        </w:rPr>
        <w:t>Department</w:t>
      </w:r>
      <w:r w:rsidRPr="00EB2BD8">
        <w:rPr>
          <w:rFonts w:ascii="Arial"/>
          <w:i/>
          <w:spacing w:val="-7"/>
          <w:sz w:val="15"/>
        </w:rPr>
        <w:t xml:space="preserve"> </w:t>
      </w:r>
      <w:r w:rsidRPr="00EB2BD8">
        <w:rPr>
          <w:rFonts w:ascii="Arial"/>
          <w:i/>
          <w:sz w:val="15"/>
        </w:rPr>
        <w:t>and</w:t>
      </w:r>
      <w:r w:rsidRPr="00EB2BD8">
        <w:rPr>
          <w:rFonts w:ascii="Arial"/>
          <w:i/>
          <w:spacing w:val="-4"/>
          <w:sz w:val="15"/>
        </w:rPr>
        <w:t xml:space="preserve"> </w:t>
      </w:r>
      <w:r w:rsidRPr="00EB2BD8">
        <w:rPr>
          <w:rFonts w:ascii="Arial"/>
          <w:i/>
          <w:sz w:val="15"/>
        </w:rPr>
        <w:t>other</w:t>
      </w:r>
      <w:r w:rsidRPr="00EB2BD8">
        <w:rPr>
          <w:rFonts w:ascii="Arial"/>
          <w:i/>
          <w:spacing w:val="-7"/>
          <w:sz w:val="15"/>
        </w:rPr>
        <w:t xml:space="preserve"> </w:t>
      </w:r>
      <w:r w:rsidRPr="00EB2BD8">
        <w:rPr>
          <w:rFonts w:ascii="Arial"/>
          <w:i/>
          <w:sz w:val="15"/>
        </w:rPr>
        <w:t>miscellaneous</w:t>
      </w:r>
      <w:r w:rsidRPr="00EB2BD8">
        <w:rPr>
          <w:rFonts w:ascii="Arial"/>
          <w:i/>
          <w:spacing w:val="-5"/>
          <w:sz w:val="15"/>
        </w:rPr>
        <w:t xml:space="preserve"> </w:t>
      </w:r>
      <w:r w:rsidRPr="00EB2BD8">
        <w:rPr>
          <w:rFonts w:ascii="Arial"/>
          <w:i/>
          <w:spacing w:val="-2"/>
          <w:sz w:val="15"/>
        </w:rPr>
        <w:t>services.</w:t>
      </w:r>
    </w:p>
    <w:p w14:paraId="48FE1C9B" w14:textId="77777777" w:rsidR="00084F36" w:rsidRPr="00EB2BD8" w:rsidRDefault="00EB2BD8">
      <w:pPr>
        <w:pStyle w:val="ListParagraph"/>
        <w:numPr>
          <w:ilvl w:val="0"/>
          <w:numId w:val="26"/>
        </w:numPr>
        <w:tabs>
          <w:tab w:val="left" w:pos="1410"/>
        </w:tabs>
        <w:spacing w:before="83"/>
        <w:ind w:left="1410" w:hanging="334"/>
        <w:rPr>
          <w:rFonts w:ascii="Arial"/>
          <w:i/>
          <w:sz w:val="15"/>
        </w:rPr>
      </w:pPr>
      <w:r w:rsidRPr="00EB2BD8">
        <w:rPr>
          <w:rFonts w:ascii="Arial"/>
          <w:i/>
          <w:sz w:val="15"/>
        </w:rPr>
        <w:t>For</w:t>
      </w:r>
      <w:r w:rsidRPr="00EB2BD8">
        <w:rPr>
          <w:rFonts w:ascii="Arial"/>
          <w:i/>
          <w:spacing w:val="-6"/>
          <w:sz w:val="15"/>
        </w:rPr>
        <w:t xml:space="preserve"> </w:t>
      </w:r>
      <w:r w:rsidRPr="00EB2BD8">
        <w:rPr>
          <w:rFonts w:ascii="Arial"/>
          <w:i/>
          <w:sz w:val="15"/>
        </w:rPr>
        <w:t>the</w:t>
      </w:r>
      <w:r w:rsidRPr="00EB2BD8">
        <w:rPr>
          <w:rFonts w:ascii="Arial"/>
          <w:i/>
          <w:spacing w:val="-5"/>
          <w:sz w:val="15"/>
        </w:rPr>
        <w:t xml:space="preserve"> </w:t>
      </w:r>
      <w:r w:rsidRPr="00EB2BD8">
        <w:rPr>
          <w:rFonts w:ascii="Arial"/>
          <w:i/>
          <w:sz w:val="15"/>
        </w:rPr>
        <w:t>provision</w:t>
      </w:r>
      <w:r w:rsidRPr="00EB2BD8">
        <w:rPr>
          <w:rFonts w:ascii="Arial"/>
          <w:i/>
          <w:spacing w:val="-5"/>
          <w:sz w:val="15"/>
        </w:rPr>
        <w:t xml:space="preserve"> </w:t>
      </w:r>
      <w:r w:rsidRPr="00EB2BD8">
        <w:rPr>
          <w:rFonts w:ascii="Arial"/>
          <w:i/>
          <w:sz w:val="15"/>
        </w:rPr>
        <w:t>of</w:t>
      </w:r>
      <w:r w:rsidRPr="00EB2BD8">
        <w:rPr>
          <w:rFonts w:ascii="Arial"/>
          <w:i/>
          <w:spacing w:val="-6"/>
          <w:sz w:val="15"/>
        </w:rPr>
        <w:t xml:space="preserve"> </w:t>
      </w:r>
      <w:r w:rsidRPr="00EB2BD8">
        <w:rPr>
          <w:rFonts w:ascii="Arial"/>
          <w:i/>
          <w:sz w:val="15"/>
        </w:rPr>
        <w:t>goods</w:t>
      </w:r>
      <w:r w:rsidRPr="00EB2BD8">
        <w:rPr>
          <w:rFonts w:ascii="Arial"/>
          <w:i/>
          <w:spacing w:val="-5"/>
          <w:sz w:val="15"/>
        </w:rPr>
        <w:t xml:space="preserve"> </w:t>
      </w:r>
      <w:r w:rsidRPr="00EB2BD8">
        <w:rPr>
          <w:rFonts w:ascii="Arial"/>
          <w:i/>
          <w:sz w:val="15"/>
        </w:rPr>
        <w:t>and/or</w:t>
      </w:r>
      <w:r w:rsidRPr="00EB2BD8">
        <w:rPr>
          <w:rFonts w:ascii="Arial"/>
          <w:i/>
          <w:spacing w:val="-4"/>
          <w:sz w:val="15"/>
        </w:rPr>
        <w:t xml:space="preserve"> </w:t>
      </w:r>
      <w:r w:rsidRPr="00EB2BD8">
        <w:rPr>
          <w:rFonts w:ascii="Arial"/>
          <w:i/>
          <w:spacing w:val="-2"/>
          <w:sz w:val="15"/>
        </w:rPr>
        <w:t>services.</w:t>
      </w:r>
    </w:p>
    <w:p w14:paraId="579C525B" w14:textId="77777777" w:rsidR="00084F36" w:rsidRPr="00EB2BD8" w:rsidRDefault="00084F36">
      <w:pPr>
        <w:pStyle w:val="BodyText"/>
        <w:rPr>
          <w:rFonts w:ascii="Arial"/>
          <w:i/>
          <w:sz w:val="16"/>
        </w:rPr>
      </w:pPr>
    </w:p>
    <w:p w14:paraId="2310440D" w14:textId="77777777" w:rsidR="00084F36" w:rsidRPr="00EB2BD8" w:rsidRDefault="00EB2BD8">
      <w:pPr>
        <w:spacing w:before="119" w:line="273" w:lineRule="auto"/>
        <w:ind w:left="1014" w:right="1813"/>
        <w:rPr>
          <w:rFonts w:ascii="Arial"/>
          <w:sz w:val="17"/>
        </w:rPr>
      </w:pPr>
      <w:r w:rsidRPr="00EB2BD8">
        <w:rPr>
          <w:rFonts w:ascii="Arial"/>
          <w:b/>
          <w:sz w:val="17"/>
        </w:rPr>
        <w:t>Key</w:t>
      </w:r>
      <w:r w:rsidRPr="00EB2BD8">
        <w:rPr>
          <w:rFonts w:ascii="Arial"/>
          <w:b/>
          <w:spacing w:val="-8"/>
          <w:sz w:val="17"/>
        </w:rPr>
        <w:t xml:space="preserve"> </w:t>
      </w:r>
      <w:r w:rsidRPr="00EB2BD8">
        <w:rPr>
          <w:rFonts w:ascii="Arial"/>
          <w:b/>
          <w:sz w:val="17"/>
        </w:rPr>
        <w:t>management</w:t>
      </w:r>
      <w:r w:rsidRPr="00EB2BD8">
        <w:rPr>
          <w:rFonts w:ascii="Arial"/>
          <w:b/>
          <w:spacing w:val="-7"/>
          <w:sz w:val="17"/>
        </w:rPr>
        <w:t xml:space="preserve"> </w:t>
      </w:r>
      <w:r w:rsidRPr="00EB2BD8">
        <w:rPr>
          <w:rFonts w:ascii="Arial"/>
          <w:b/>
          <w:sz w:val="17"/>
        </w:rPr>
        <w:t>personnel</w:t>
      </w:r>
      <w:r w:rsidRPr="00EB2BD8">
        <w:rPr>
          <w:rFonts w:ascii="Arial"/>
          <w:b/>
          <w:spacing w:val="-8"/>
          <w:sz w:val="17"/>
        </w:rPr>
        <w:t xml:space="preserve"> </w:t>
      </w:r>
      <w:r w:rsidRPr="00EB2BD8">
        <w:rPr>
          <w:rFonts w:ascii="Arial"/>
          <w:b/>
          <w:sz w:val="17"/>
        </w:rPr>
        <w:t>(KMP)</w:t>
      </w:r>
      <w:r w:rsidRPr="00EB2BD8">
        <w:rPr>
          <w:rFonts w:ascii="Arial"/>
          <w:b/>
          <w:spacing w:val="-7"/>
          <w:sz w:val="17"/>
        </w:rPr>
        <w:t xml:space="preserve"> </w:t>
      </w:r>
      <w:r w:rsidRPr="00EB2BD8">
        <w:rPr>
          <w:rFonts w:ascii="Arial"/>
          <w:sz w:val="17"/>
        </w:rPr>
        <w:t>of</w:t>
      </w:r>
      <w:r w:rsidRPr="00EB2BD8">
        <w:rPr>
          <w:rFonts w:ascii="Arial"/>
          <w:spacing w:val="-7"/>
          <w:sz w:val="17"/>
        </w:rPr>
        <w:t xml:space="preserve"> </w:t>
      </w:r>
      <w:r w:rsidRPr="00EB2BD8">
        <w:rPr>
          <w:rFonts w:ascii="Arial"/>
          <w:sz w:val="17"/>
        </w:rPr>
        <w:t>the</w:t>
      </w:r>
      <w:r w:rsidRPr="00EB2BD8">
        <w:rPr>
          <w:rFonts w:ascii="Arial"/>
          <w:spacing w:val="-8"/>
          <w:sz w:val="17"/>
        </w:rPr>
        <w:t xml:space="preserve"> </w:t>
      </w:r>
      <w:r w:rsidRPr="00EB2BD8">
        <w:rPr>
          <w:rFonts w:ascii="Arial"/>
          <w:sz w:val="17"/>
        </w:rPr>
        <w:t>VBA</w:t>
      </w:r>
      <w:r w:rsidRPr="00EB2BD8">
        <w:rPr>
          <w:rFonts w:ascii="Arial"/>
          <w:spacing w:val="-8"/>
          <w:sz w:val="17"/>
        </w:rPr>
        <w:t xml:space="preserve"> </w:t>
      </w:r>
      <w:r w:rsidRPr="00EB2BD8">
        <w:rPr>
          <w:rFonts w:ascii="Arial"/>
          <w:sz w:val="17"/>
        </w:rPr>
        <w:t>include</w:t>
      </w:r>
      <w:r w:rsidRPr="00EB2BD8">
        <w:rPr>
          <w:rFonts w:ascii="Arial"/>
          <w:spacing w:val="-8"/>
          <w:sz w:val="17"/>
        </w:rPr>
        <w:t xml:space="preserve"> </w:t>
      </w:r>
      <w:r w:rsidRPr="00EB2BD8">
        <w:rPr>
          <w:rFonts w:ascii="Arial"/>
          <w:sz w:val="17"/>
        </w:rPr>
        <w:t>Responsible</w:t>
      </w:r>
      <w:r w:rsidRPr="00EB2BD8">
        <w:rPr>
          <w:rFonts w:ascii="Arial"/>
          <w:spacing w:val="-8"/>
          <w:sz w:val="17"/>
        </w:rPr>
        <w:t xml:space="preserve"> </w:t>
      </w:r>
      <w:r w:rsidRPr="00EB2BD8">
        <w:rPr>
          <w:rFonts w:ascii="Arial"/>
          <w:sz w:val="17"/>
        </w:rPr>
        <w:t>Persons</w:t>
      </w:r>
      <w:r w:rsidRPr="00EB2BD8">
        <w:rPr>
          <w:rFonts w:ascii="Arial"/>
          <w:spacing w:val="-8"/>
          <w:sz w:val="17"/>
        </w:rPr>
        <w:t xml:space="preserve"> </w:t>
      </w:r>
      <w:r w:rsidRPr="00EB2BD8">
        <w:rPr>
          <w:rFonts w:ascii="Arial"/>
          <w:sz w:val="17"/>
        </w:rPr>
        <w:t>as</w:t>
      </w:r>
      <w:r w:rsidRPr="00EB2BD8">
        <w:rPr>
          <w:rFonts w:ascii="Arial"/>
          <w:spacing w:val="-8"/>
          <w:sz w:val="17"/>
        </w:rPr>
        <w:t xml:space="preserve"> </w:t>
      </w:r>
      <w:r w:rsidRPr="00EB2BD8">
        <w:rPr>
          <w:rFonts w:ascii="Arial"/>
          <w:sz w:val="17"/>
        </w:rPr>
        <w:t>outlined</w:t>
      </w:r>
      <w:r w:rsidRPr="00EB2BD8">
        <w:rPr>
          <w:rFonts w:ascii="Arial"/>
          <w:spacing w:val="-8"/>
          <w:sz w:val="17"/>
        </w:rPr>
        <w:t xml:space="preserve"> </w:t>
      </w:r>
      <w:r w:rsidRPr="00EB2BD8">
        <w:rPr>
          <w:rFonts w:ascii="Arial"/>
          <w:sz w:val="17"/>
        </w:rPr>
        <w:t>in</w:t>
      </w:r>
      <w:r w:rsidRPr="00EB2BD8">
        <w:rPr>
          <w:rFonts w:ascii="Arial"/>
          <w:spacing w:val="-8"/>
          <w:sz w:val="17"/>
        </w:rPr>
        <w:t xml:space="preserve"> </w:t>
      </w:r>
      <w:r w:rsidRPr="00EB2BD8">
        <w:rPr>
          <w:rFonts w:ascii="Arial"/>
          <w:sz w:val="17"/>
        </w:rPr>
        <w:t>note</w:t>
      </w:r>
      <w:r w:rsidRPr="00EB2BD8">
        <w:rPr>
          <w:rFonts w:ascii="Arial"/>
          <w:spacing w:val="-7"/>
          <w:sz w:val="17"/>
        </w:rPr>
        <w:t xml:space="preserve"> </w:t>
      </w:r>
      <w:r w:rsidRPr="00EB2BD8">
        <w:rPr>
          <w:rFonts w:ascii="Arial"/>
          <w:sz w:val="17"/>
        </w:rPr>
        <w:t>8.3</w:t>
      </w:r>
      <w:r w:rsidRPr="00EB2BD8">
        <w:rPr>
          <w:rFonts w:ascii="Arial"/>
          <w:spacing w:val="-8"/>
          <w:sz w:val="17"/>
        </w:rPr>
        <w:t xml:space="preserve"> </w:t>
      </w:r>
      <w:r w:rsidRPr="00EB2BD8">
        <w:rPr>
          <w:rFonts w:ascii="Arial"/>
          <w:sz w:val="17"/>
        </w:rPr>
        <w:t>and</w:t>
      </w:r>
      <w:r w:rsidRPr="00EB2BD8">
        <w:rPr>
          <w:rFonts w:ascii="Arial"/>
          <w:spacing w:val="-8"/>
          <w:sz w:val="17"/>
        </w:rPr>
        <w:t xml:space="preserve"> </w:t>
      </w:r>
      <w:r w:rsidRPr="00EB2BD8">
        <w:rPr>
          <w:rFonts w:ascii="Arial"/>
          <w:sz w:val="17"/>
        </w:rPr>
        <w:t>senior executives of the VBA as indicated below:</w:t>
      </w:r>
    </w:p>
    <w:p w14:paraId="420F7C24" w14:textId="77777777" w:rsidR="00084F36" w:rsidRPr="00EB2BD8" w:rsidRDefault="00084F36">
      <w:pPr>
        <w:pStyle w:val="BodyText"/>
        <w:spacing w:before="8"/>
        <w:rPr>
          <w:rFonts w:ascii="Arial"/>
          <w:sz w:val="24"/>
        </w:rPr>
      </w:pPr>
    </w:p>
    <w:p w14:paraId="671A4D9D" w14:textId="77777777" w:rsidR="00084F36" w:rsidRPr="00EB2BD8" w:rsidRDefault="00EB2BD8">
      <w:pPr>
        <w:tabs>
          <w:tab w:val="left" w:pos="7351"/>
        </w:tabs>
        <w:ind w:left="1115"/>
        <w:rPr>
          <w:rFonts w:ascii="Arial"/>
          <w:sz w:val="17"/>
        </w:rPr>
      </w:pPr>
      <w:r w:rsidRPr="00EB2BD8">
        <w:rPr>
          <w:rFonts w:ascii="Arial"/>
          <w:sz w:val="17"/>
        </w:rPr>
        <w:t>Andrew</w:t>
      </w:r>
      <w:r w:rsidRPr="00EB2BD8">
        <w:rPr>
          <w:rFonts w:ascii="Arial"/>
          <w:spacing w:val="-11"/>
          <w:sz w:val="17"/>
        </w:rPr>
        <w:t xml:space="preserve"> </w:t>
      </w:r>
      <w:r w:rsidRPr="00EB2BD8">
        <w:rPr>
          <w:rFonts w:ascii="Arial"/>
          <w:sz w:val="17"/>
        </w:rPr>
        <w:t>Cialini,</w:t>
      </w:r>
      <w:r w:rsidRPr="00EB2BD8">
        <w:rPr>
          <w:rFonts w:ascii="Arial"/>
          <w:spacing w:val="-9"/>
          <w:sz w:val="17"/>
        </w:rPr>
        <w:t xml:space="preserve"> </w:t>
      </w:r>
      <w:r w:rsidRPr="00EB2BD8">
        <w:rPr>
          <w:rFonts w:ascii="Arial"/>
          <w:sz w:val="17"/>
        </w:rPr>
        <w:t>State</w:t>
      </w:r>
      <w:r w:rsidRPr="00EB2BD8">
        <w:rPr>
          <w:rFonts w:ascii="Arial"/>
          <w:spacing w:val="-10"/>
          <w:sz w:val="17"/>
        </w:rPr>
        <w:t xml:space="preserve"> </w:t>
      </w:r>
      <w:r w:rsidRPr="00EB2BD8">
        <w:rPr>
          <w:rFonts w:ascii="Arial"/>
          <w:sz w:val="17"/>
        </w:rPr>
        <w:t>Building</w:t>
      </w:r>
      <w:r w:rsidRPr="00EB2BD8">
        <w:rPr>
          <w:rFonts w:ascii="Arial"/>
          <w:spacing w:val="-9"/>
          <w:sz w:val="17"/>
        </w:rPr>
        <w:t xml:space="preserve"> </w:t>
      </w:r>
      <w:r w:rsidRPr="00EB2BD8">
        <w:rPr>
          <w:rFonts w:ascii="Arial"/>
          <w:spacing w:val="-2"/>
          <w:sz w:val="17"/>
        </w:rPr>
        <w:t>Surveyor</w:t>
      </w:r>
      <w:r w:rsidRPr="00EB2BD8">
        <w:rPr>
          <w:rFonts w:ascii="Arial"/>
          <w:sz w:val="17"/>
        </w:rPr>
        <w:tab/>
        <w:t>1</w:t>
      </w:r>
      <w:r w:rsidRPr="00EB2BD8">
        <w:rPr>
          <w:rFonts w:ascii="Arial"/>
          <w:spacing w:val="-5"/>
          <w:sz w:val="17"/>
        </w:rPr>
        <w:t xml:space="preserve"> </w:t>
      </w:r>
      <w:r w:rsidRPr="00EB2BD8">
        <w:rPr>
          <w:rFonts w:ascii="Arial"/>
          <w:sz w:val="17"/>
        </w:rPr>
        <w:t>July</w:t>
      </w:r>
      <w:r w:rsidRPr="00EB2BD8">
        <w:rPr>
          <w:rFonts w:ascii="Arial"/>
          <w:spacing w:val="-4"/>
          <w:sz w:val="17"/>
        </w:rPr>
        <w:t xml:space="preserve"> </w:t>
      </w:r>
      <w:r w:rsidRPr="00EB2BD8">
        <w:rPr>
          <w:rFonts w:ascii="Arial"/>
          <w:sz w:val="17"/>
        </w:rPr>
        <w:t>2022</w:t>
      </w:r>
      <w:r w:rsidRPr="00EB2BD8">
        <w:rPr>
          <w:rFonts w:ascii="Arial"/>
          <w:spacing w:val="-4"/>
          <w:sz w:val="17"/>
        </w:rPr>
        <w:t xml:space="preserve"> </w:t>
      </w:r>
      <w:r w:rsidRPr="00EB2BD8">
        <w:rPr>
          <w:rFonts w:ascii="Arial"/>
          <w:sz w:val="17"/>
        </w:rPr>
        <w:t>-</w:t>
      </w:r>
      <w:r w:rsidRPr="00EB2BD8">
        <w:rPr>
          <w:rFonts w:ascii="Arial"/>
          <w:spacing w:val="-5"/>
          <w:sz w:val="17"/>
        </w:rPr>
        <w:t xml:space="preserve"> </w:t>
      </w:r>
      <w:r w:rsidRPr="00EB2BD8">
        <w:rPr>
          <w:rFonts w:ascii="Arial"/>
          <w:sz w:val="17"/>
        </w:rPr>
        <w:t>30</w:t>
      </w:r>
      <w:r w:rsidRPr="00EB2BD8">
        <w:rPr>
          <w:rFonts w:ascii="Arial"/>
          <w:spacing w:val="-4"/>
          <w:sz w:val="17"/>
        </w:rPr>
        <w:t xml:space="preserve"> </w:t>
      </w:r>
      <w:r w:rsidRPr="00EB2BD8">
        <w:rPr>
          <w:rFonts w:ascii="Arial"/>
          <w:sz w:val="17"/>
        </w:rPr>
        <w:t>June</w:t>
      </w:r>
      <w:r w:rsidRPr="00EB2BD8">
        <w:rPr>
          <w:rFonts w:ascii="Arial"/>
          <w:spacing w:val="-4"/>
          <w:sz w:val="17"/>
        </w:rPr>
        <w:t xml:space="preserve"> 2023</w:t>
      </w:r>
    </w:p>
    <w:p w14:paraId="77206662" w14:textId="77777777" w:rsidR="00084F36" w:rsidRPr="00EB2BD8" w:rsidRDefault="00EB2BD8">
      <w:pPr>
        <w:tabs>
          <w:tab w:val="left" w:pos="7351"/>
        </w:tabs>
        <w:spacing w:before="123"/>
        <w:ind w:left="1115"/>
        <w:rPr>
          <w:rFonts w:ascii="Arial" w:hAnsi="Arial"/>
          <w:sz w:val="17"/>
        </w:rPr>
      </w:pPr>
      <w:r w:rsidRPr="00EB2BD8">
        <w:rPr>
          <w:rFonts w:ascii="Arial" w:hAnsi="Arial"/>
          <w:sz w:val="17"/>
        </w:rPr>
        <w:t>Karen</w:t>
      </w:r>
      <w:r w:rsidRPr="00EB2BD8">
        <w:rPr>
          <w:rFonts w:ascii="Arial" w:hAnsi="Arial"/>
          <w:spacing w:val="-9"/>
          <w:sz w:val="17"/>
        </w:rPr>
        <w:t xml:space="preserve"> </w:t>
      </w:r>
      <w:r w:rsidRPr="00EB2BD8">
        <w:rPr>
          <w:rFonts w:ascii="Arial" w:hAnsi="Arial"/>
          <w:sz w:val="17"/>
        </w:rPr>
        <w:t>Wild,</w:t>
      </w:r>
      <w:r w:rsidRPr="00EB2BD8">
        <w:rPr>
          <w:rFonts w:ascii="Arial" w:hAnsi="Arial"/>
          <w:spacing w:val="-8"/>
          <w:sz w:val="17"/>
        </w:rPr>
        <w:t xml:space="preserve"> </w:t>
      </w:r>
      <w:r w:rsidRPr="00EB2BD8">
        <w:rPr>
          <w:rFonts w:ascii="Arial" w:hAnsi="Arial"/>
          <w:sz w:val="17"/>
        </w:rPr>
        <w:t>Executive</w:t>
      </w:r>
      <w:r w:rsidRPr="00EB2BD8">
        <w:rPr>
          <w:rFonts w:ascii="Arial" w:hAnsi="Arial"/>
          <w:spacing w:val="-8"/>
          <w:sz w:val="17"/>
        </w:rPr>
        <w:t xml:space="preserve"> </w:t>
      </w:r>
      <w:r w:rsidRPr="00EB2BD8">
        <w:rPr>
          <w:rFonts w:ascii="Arial" w:hAnsi="Arial"/>
          <w:sz w:val="17"/>
        </w:rPr>
        <w:t>Director</w:t>
      </w:r>
      <w:r w:rsidRPr="00EB2BD8">
        <w:rPr>
          <w:rFonts w:ascii="Arial" w:hAnsi="Arial"/>
          <w:spacing w:val="-8"/>
          <w:sz w:val="17"/>
        </w:rPr>
        <w:t xml:space="preserve"> </w:t>
      </w:r>
      <w:r w:rsidRPr="00EB2BD8">
        <w:rPr>
          <w:rFonts w:ascii="Arial" w:hAnsi="Arial"/>
          <w:sz w:val="17"/>
        </w:rPr>
        <w:t>People</w:t>
      </w:r>
      <w:r w:rsidRPr="00EB2BD8">
        <w:rPr>
          <w:rFonts w:ascii="Arial" w:hAnsi="Arial"/>
          <w:spacing w:val="-9"/>
          <w:sz w:val="17"/>
        </w:rPr>
        <w:t xml:space="preserve"> </w:t>
      </w:r>
      <w:r w:rsidRPr="00EB2BD8">
        <w:rPr>
          <w:rFonts w:ascii="Arial" w:hAnsi="Arial"/>
          <w:sz w:val="17"/>
        </w:rPr>
        <w:t>and</w:t>
      </w:r>
      <w:r w:rsidRPr="00EB2BD8">
        <w:rPr>
          <w:rFonts w:ascii="Arial" w:hAnsi="Arial"/>
          <w:spacing w:val="-8"/>
          <w:sz w:val="17"/>
        </w:rPr>
        <w:t xml:space="preserve"> </w:t>
      </w:r>
      <w:r w:rsidRPr="00EB2BD8">
        <w:rPr>
          <w:rFonts w:ascii="Arial" w:hAnsi="Arial"/>
          <w:spacing w:val="-2"/>
          <w:sz w:val="17"/>
        </w:rPr>
        <w:t>Capability</w:t>
      </w:r>
      <w:r w:rsidRPr="00EB2BD8">
        <w:rPr>
          <w:rFonts w:ascii="Arial" w:hAnsi="Arial"/>
          <w:sz w:val="17"/>
        </w:rPr>
        <w:tab/>
        <w:t>1</w:t>
      </w:r>
      <w:r w:rsidRPr="00EB2BD8">
        <w:rPr>
          <w:rFonts w:ascii="Arial" w:hAnsi="Arial"/>
          <w:spacing w:val="-5"/>
          <w:sz w:val="17"/>
        </w:rPr>
        <w:t xml:space="preserve"> </w:t>
      </w:r>
      <w:r w:rsidRPr="00EB2BD8">
        <w:rPr>
          <w:rFonts w:ascii="Arial" w:hAnsi="Arial"/>
          <w:sz w:val="17"/>
        </w:rPr>
        <w:t>July</w:t>
      </w:r>
      <w:r w:rsidRPr="00EB2BD8">
        <w:rPr>
          <w:rFonts w:ascii="Arial" w:hAnsi="Arial"/>
          <w:spacing w:val="-4"/>
          <w:sz w:val="17"/>
        </w:rPr>
        <w:t xml:space="preserve"> </w:t>
      </w:r>
      <w:r w:rsidRPr="00EB2BD8">
        <w:rPr>
          <w:rFonts w:ascii="Arial" w:hAnsi="Arial"/>
          <w:sz w:val="17"/>
        </w:rPr>
        <w:t>2022</w:t>
      </w:r>
      <w:r w:rsidRPr="00EB2BD8">
        <w:rPr>
          <w:rFonts w:ascii="Arial" w:hAnsi="Arial"/>
          <w:spacing w:val="-5"/>
          <w:sz w:val="17"/>
        </w:rPr>
        <w:t xml:space="preserve"> </w:t>
      </w:r>
      <w:r w:rsidRPr="00EB2BD8">
        <w:rPr>
          <w:rFonts w:ascii="Arial" w:hAnsi="Arial"/>
          <w:sz w:val="17"/>
        </w:rPr>
        <w:t>–</w:t>
      </w:r>
      <w:r w:rsidRPr="00EB2BD8">
        <w:rPr>
          <w:rFonts w:ascii="Arial" w:hAnsi="Arial"/>
          <w:spacing w:val="-4"/>
          <w:sz w:val="17"/>
        </w:rPr>
        <w:t xml:space="preserve"> </w:t>
      </w:r>
      <w:r w:rsidRPr="00EB2BD8">
        <w:rPr>
          <w:rFonts w:ascii="Arial" w:hAnsi="Arial"/>
          <w:sz w:val="17"/>
        </w:rPr>
        <w:t>30</w:t>
      </w:r>
      <w:r w:rsidRPr="00EB2BD8">
        <w:rPr>
          <w:rFonts w:ascii="Arial" w:hAnsi="Arial"/>
          <w:spacing w:val="-4"/>
          <w:sz w:val="17"/>
        </w:rPr>
        <w:t xml:space="preserve"> </w:t>
      </w:r>
      <w:r w:rsidRPr="00EB2BD8">
        <w:rPr>
          <w:rFonts w:ascii="Arial" w:hAnsi="Arial"/>
          <w:sz w:val="17"/>
        </w:rPr>
        <w:t>June</w:t>
      </w:r>
      <w:r w:rsidRPr="00EB2BD8">
        <w:rPr>
          <w:rFonts w:ascii="Arial" w:hAnsi="Arial"/>
          <w:spacing w:val="-5"/>
          <w:sz w:val="17"/>
        </w:rPr>
        <w:t xml:space="preserve"> </w:t>
      </w:r>
      <w:r w:rsidRPr="00EB2BD8">
        <w:rPr>
          <w:rFonts w:ascii="Arial" w:hAnsi="Arial"/>
          <w:spacing w:val="-4"/>
          <w:sz w:val="17"/>
        </w:rPr>
        <w:t>2023</w:t>
      </w:r>
    </w:p>
    <w:p w14:paraId="3104C273" w14:textId="77777777" w:rsidR="00084F36" w:rsidRPr="00EB2BD8" w:rsidRDefault="00EB2BD8">
      <w:pPr>
        <w:tabs>
          <w:tab w:val="left" w:pos="7351"/>
        </w:tabs>
        <w:spacing w:before="123"/>
        <w:ind w:left="1115"/>
        <w:rPr>
          <w:rFonts w:ascii="Arial"/>
          <w:sz w:val="17"/>
        </w:rPr>
      </w:pPr>
      <w:r w:rsidRPr="00EB2BD8">
        <w:rPr>
          <w:rFonts w:ascii="Arial"/>
          <w:sz w:val="17"/>
        </w:rPr>
        <w:t>Lee</w:t>
      </w:r>
      <w:r w:rsidRPr="00EB2BD8">
        <w:rPr>
          <w:rFonts w:ascii="Arial"/>
          <w:spacing w:val="-9"/>
          <w:sz w:val="17"/>
        </w:rPr>
        <w:t xml:space="preserve"> </w:t>
      </w:r>
      <w:r w:rsidRPr="00EB2BD8">
        <w:rPr>
          <w:rFonts w:ascii="Arial"/>
          <w:sz w:val="17"/>
        </w:rPr>
        <w:t>Scales,</w:t>
      </w:r>
      <w:r w:rsidRPr="00EB2BD8">
        <w:rPr>
          <w:rFonts w:ascii="Arial"/>
          <w:spacing w:val="-8"/>
          <w:sz w:val="17"/>
        </w:rPr>
        <w:t xml:space="preserve"> </w:t>
      </w:r>
      <w:r w:rsidRPr="00EB2BD8">
        <w:rPr>
          <w:rFonts w:ascii="Arial"/>
          <w:sz w:val="17"/>
        </w:rPr>
        <w:t>Acting</w:t>
      </w:r>
      <w:r w:rsidRPr="00EB2BD8">
        <w:rPr>
          <w:rFonts w:ascii="Arial"/>
          <w:spacing w:val="-8"/>
          <w:sz w:val="17"/>
        </w:rPr>
        <w:t xml:space="preserve"> </w:t>
      </w:r>
      <w:r w:rsidRPr="00EB2BD8">
        <w:rPr>
          <w:rFonts w:ascii="Arial"/>
          <w:sz w:val="17"/>
        </w:rPr>
        <w:t>Executive</w:t>
      </w:r>
      <w:r w:rsidRPr="00EB2BD8">
        <w:rPr>
          <w:rFonts w:ascii="Arial"/>
          <w:spacing w:val="-9"/>
          <w:sz w:val="17"/>
        </w:rPr>
        <w:t xml:space="preserve"> </w:t>
      </w:r>
      <w:r w:rsidRPr="00EB2BD8">
        <w:rPr>
          <w:rFonts w:ascii="Arial"/>
          <w:sz w:val="17"/>
        </w:rPr>
        <w:t>Director</w:t>
      </w:r>
      <w:r w:rsidRPr="00EB2BD8">
        <w:rPr>
          <w:rFonts w:ascii="Arial"/>
          <w:spacing w:val="-8"/>
          <w:sz w:val="17"/>
        </w:rPr>
        <w:t xml:space="preserve"> </w:t>
      </w:r>
      <w:r w:rsidRPr="00EB2BD8">
        <w:rPr>
          <w:rFonts w:ascii="Arial"/>
          <w:sz w:val="17"/>
        </w:rPr>
        <w:t>People</w:t>
      </w:r>
      <w:r w:rsidRPr="00EB2BD8">
        <w:rPr>
          <w:rFonts w:ascii="Arial"/>
          <w:spacing w:val="-8"/>
          <w:sz w:val="17"/>
        </w:rPr>
        <w:t xml:space="preserve"> </w:t>
      </w:r>
      <w:r w:rsidRPr="00EB2BD8">
        <w:rPr>
          <w:rFonts w:ascii="Arial"/>
          <w:sz w:val="17"/>
        </w:rPr>
        <w:t>and</w:t>
      </w:r>
      <w:r w:rsidRPr="00EB2BD8">
        <w:rPr>
          <w:rFonts w:ascii="Arial"/>
          <w:spacing w:val="-9"/>
          <w:sz w:val="17"/>
        </w:rPr>
        <w:t xml:space="preserve"> </w:t>
      </w:r>
      <w:r w:rsidRPr="00EB2BD8">
        <w:rPr>
          <w:rFonts w:ascii="Arial"/>
          <w:spacing w:val="-2"/>
          <w:sz w:val="17"/>
        </w:rPr>
        <w:t>Capability</w:t>
      </w:r>
      <w:r w:rsidRPr="00EB2BD8">
        <w:rPr>
          <w:rFonts w:ascii="Arial"/>
          <w:sz w:val="17"/>
        </w:rPr>
        <w:tab/>
        <w:t>3</w:t>
      </w:r>
      <w:r w:rsidRPr="00EB2BD8">
        <w:rPr>
          <w:rFonts w:ascii="Arial"/>
          <w:spacing w:val="-5"/>
          <w:sz w:val="17"/>
        </w:rPr>
        <w:t xml:space="preserve"> </w:t>
      </w:r>
      <w:r w:rsidRPr="00EB2BD8">
        <w:rPr>
          <w:rFonts w:ascii="Arial"/>
          <w:sz w:val="17"/>
        </w:rPr>
        <w:t>October</w:t>
      </w:r>
      <w:r w:rsidRPr="00EB2BD8">
        <w:rPr>
          <w:rFonts w:ascii="Arial"/>
          <w:spacing w:val="-4"/>
          <w:sz w:val="17"/>
        </w:rPr>
        <w:t xml:space="preserve"> </w:t>
      </w:r>
      <w:r w:rsidRPr="00EB2BD8">
        <w:rPr>
          <w:rFonts w:ascii="Arial"/>
          <w:sz w:val="17"/>
        </w:rPr>
        <w:t>2022</w:t>
      </w:r>
      <w:r w:rsidRPr="00EB2BD8">
        <w:rPr>
          <w:rFonts w:ascii="Arial"/>
          <w:spacing w:val="-5"/>
          <w:sz w:val="17"/>
        </w:rPr>
        <w:t xml:space="preserve"> </w:t>
      </w:r>
      <w:r w:rsidRPr="00EB2BD8">
        <w:rPr>
          <w:rFonts w:ascii="Arial"/>
          <w:sz w:val="17"/>
        </w:rPr>
        <w:t>-</w:t>
      </w:r>
      <w:r w:rsidRPr="00EB2BD8">
        <w:rPr>
          <w:rFonts w:ascii="Arial"/>
          <w:spacing w:val="-4"/>
          <w:sz w:val="17"/>
        </w:rPr>
        <w:t xml:space="preserve"> </w:t>
      </w:r>
      <w:r w:rsidRPr="00EB2BD8">
        <w:rPr>
          <w:rFonts w:ascii="Arial"/>
          <w:sz w:val="17"/>
        </w:rPr>
        <w:t>30</w:t>
      </w:r>
      <w:r w:rsidRPr="00EB2BD8">
        <w:rPr>
          <w:rFonts w:ascii="Arial"/>
          <w:spacing w:val="-5"/>
          <w:sz w:val="17"/>
        </w:rPr>
        <w:t xml:space="preserve"> </w:t>
      </w:r>
      <w:r w:rsidRPr="00EB2BD8">
        <w:rPr>
          <w:rFonts w:ascii="Arial"/>
          <w:sz w:val="17"/>
        </w:rPr>
        <w:t>June</w:t>
      </w:r>
      <w:r w:rsidRPr="00EB2BD8">
        <w:rPr>
          <w:rFonts w:ascii="Arial"/>
          <w:spacing w:val="-4"/>
          <w:sz w:val="17"/>
        </w:rPr>
        <w:t xml:space="preserve"> 2023</w:t>
      </w:r>
    </w:p>
    <w:p w14:paraId="1EA49191" w14:textId="77777777" w:rsidR="00084F36" w:rsidRPr="00EB2BD8" w:rsidRDefault="00EB2BD8">
      <w:pPr>
        <w:tabs>
          <w:tab w:val="left" w:pos="7351"/>
        </w:tabs>
        <w:spacing w:before="123"/>
        <w:ind w:left="1115"/>
        <w:rPr>
          <w:rFonts w:ascii="Arial" w:hAnsi="Arial"/>
          <w:sz w:val="17"/>
        </w:rPr>
      </w:pPr>
      <w:r w:rsidRPr="00EB2BD8">
        <w:rPr>
          <w:rFonts w:ascii="Arial" w:hAnsi="Arial"/>
          <w:sz w:val="17"/>
        </w:rPr>
        <w:t>Brendan</w:t>
      </w:r>
      <w:r w:rsidRPr="00EB2BD8">
        <w:rPr>
          <w:rFonts w:ascii="Arial" w:hAnsi="Arial"/>
          <w:spacing w:val="-11"/>
          <w:sz w:val="17"/>
        </w:rPr>
        <w:t xml:space="preserve"> </w:t>
      </w:r>
      <w:r w:rsidRPr="00EB2BD8">
        <w:rPr>
          <w:rFonts w:ascii="Arial" w:hAnsi="Arial"/>
          <w:sz w:val="17"/>
        </w:rPr>
        <w:t>Reilly,</w:t>
      </w:r>
      <w:r w:rsidRPr="00EB2BD8">
        <w:rPr>
          <w:rFonts w:ascii="Arial" w:hAnsi="Arial"/>
          <w:spacing w:val="-10"/>
          <w:sz w:val="17"/>
        </w:rPr>
        <w:t xml:space="preserve"> </w:t>
      </w:r>
      <w:r w:rsidRPr="00EB2BD8">
        <w:rPr>
          <w:rFonts w:ascii="Arial" w:hAnsi="Arial"/>
          <w:sz w:val="17"/>
        </w:rPr>
        <w:t>Executive</w:t>
      </w:r>
      <w:r w:rsidRPr="00EB2BD8">
        <w:rPr>
          <w:rFonts w:ascii="Arial" w:hAnsi="Arial"/>
          <w:spacing w:val="-11"/>
          <w:sz w:val="17"/>
        </w:rPr>
        <w:t xml:space="preserve"> </w:t>
      </w:r>
      <w:r w:rsidRPr="00EB2BD8">
        <w:rPr>
          <w:rFonts w:ascii="Arial" w:hAnsi="Arial"/>
          <w:spacing w:val="-2"/>
          <w:sz w:val="17"/>
        </w:rPr>
        <w:t>Counsel</w:t>
      </w:r>
      <w:r w:rsidRPr="00EB2BD8">
        <w:rPr>
          <w:rFonts w:ascii="Arial" w:hAnsi="Arial"/>
          <w:sz w:val="17"/>
        </w:rPr>
        <w:tab/>
        <w:t>28</w:t>
      </w:r>
      <w:r w:rsidRPr="00EB2BD8">
        <w:rPr>
          <w:rFonts w:ascii="Arial" w:hAnsi="Arial"/>
          <w:spacing w:val="-6"/>
          <w:sz w:val="17"/>
        </w:rPr>
        <w:t xml:space="preserve"> </w:t>
      </w:r>
      <w:r w:rsidRPr="00EB2BD8">
        <w:rPr>
          <w:rFonts w:ascii="Arial" w:hAnsi="Arial"/>
          <w:sz w:val="17"/>
        </w:rPr>
        <w:t>November</w:t>
      </w:r>
      <w:r w:rsidRPr="00EB2BD8">
        <w:rPr>
          <w:rFonts w:ascii="Arial" w:hAnsi="Arial"/>
          <w:spacing w:val="-4"/>
          <w:sz w:val="17"/>
        </w:rPr>
        <w:t xml:space="preserve"> </w:t>
      </w:r>
      <w:r w:rsidRPr="00EB2BD8">
        <w:rPr>
          <w:rFonts w:ascii="Arial" w:hAnsi="Arial"/>
          <w:sz w:val="17"/>
        </w:rPr>
        <w:t>2022</w:t>
      </w:r>
      <w:r w:rsidRPr="00EB2BD8">
        <w:rPr>
          <w:rFonts w:ascii="Arial" w:hAnsi="Arial"/>
          <w:spacing w:val="-6"/>
          <w:sz w:val="17"/>
        </w:rPr>
        <w:t xml:space="preserve"> </w:t>
      </w:r>
      <w:r w:rsidRPr="00EB2BD8">
        <w:rPr>
          <w:rFonts w:ascii="Arial" w:hAnsi="Arial"/>
          <w:sz w:val="17"/>
        </w:rPr>
        <w:t>–</w:t>
      </w:r>
      <w:r w:rsidRPr="00EB2BD8">
        <w:rPr>
          <w:rFonts w:ascii="Arial" w:hAnsi="Arial"/>
          <w:spacing w:val="-5"/>
          <w:sz w:val="17"/>
        </w:rPr>
        <w:t xml:space="preserve"> </w:t>
      </w:r>
      <w:r w:rsidRPr="00EB2BD8">
        <w:rPr>
          <w:rFonts w:ascii="Arial" w:hAnsi="Arial"/>
          <w:sz w:val="17"/>
        </w:rPr>
        <w:t>30</w:t>
      </w:r>
      <w:r w:rsidRPr="00EB2BD8">
        <w:rPr>
          <w:rFonts w:ascii="Arial" w:hAnsi="Arial"/>
          <w:spacing w:val="-6"/>
          <w:sz w:val="17"/>
        </w:rPr>
        <w:t xml:space="preserve"> </w:t>
      </w:r>
      <w:r w:rsidRPr="00EB2BD8">
        <w:rPr>
          <w:rFonts w:ascii="Arial" w:hAnsi="Arial"/>
          <w:sz w:val="17"/>
        </w:rPr>
        <w:t>June</w:t>
      </w:r>
      <w:r w:rsidRPr="00EB2BD8">
        <w:rPr>
          <w:rFonts w:ascii="Arial" w:hAnsi="Arial"/>
          <w:spacing w:val="-6"/>
          <w:sz w:val="17"/>
        </w:rPr>
        <w:t xml:space="preserve"> </w:t>
      </w:r>
      <w:r w:rsidRPr="00EB2BD8">
        <w:rPr>
          <w:rFonts w:ascii="Arial" w:hAnsi="Arial"/>
          <w:spacing w:val="-4"/>
          <w:sz w:val="17"/>
        </w:rPr>
        <w:t>2023</w:t>
      </w:r>
    </w:p>
    <w:p w14:paraId="2A712EB6" w14:textId="77777777" w:rsidR="00084F36" w:rsidRPr="00EB2BD8" w:rsidRDefault="00EB2BD8">
      <w:pPr>
        <w:tabs>
          <w:tab w:val="left" w:pos="7351"/>
        </w:tabs>
        <w:spacing w:before="122"/>
        <w:ind w:left="1115"/>
        <w:rPr>
          <w:rFonts w:ascii="Arial"/>
          <w:sz w:val="17"/>
        </w:rPr>
      </w:pPr>
      <w:r w:rsidRPr="00EB2BD8">
        <w:rPr>
          <w:rFonts w:ascii="Arial"/>
          <w:sz w:val="17"/>
        </w:rPr>
        <w:t>David</w:t>
      </w:r>
      <w:r w:rsidRPr="00EB2BD8">
        <w:rPr>
          <w:rFonts w:ascii="Arial"/>
          <w:spacing w:val="-10"/>
          <w:sz w:val="17"/>
        </w:rPr>
        <w:t xml:space="preserve"> </w:t>
      </w:r>
      <w:r w:rsidRPr="00EB2BD8">
        <w:rPr>
          <w:rFonts w:ascii="Arial"/>
          <w:sz w:val="17"/>
        </w:rPr>
        <w:t>Black,</w:t>
      </w:r>
      <w:r w:rsidRPr="00EB2BD8">
        <w:rPr>
          <w:rFonts w:ascii="Arial"/>
          <w:spacing w:val="-8"/>
          <w:sz w:val="17"/>
        </w:rPr>
        <w:t xml:space="preserve"> </w:t>
      </w:r>
      <w:r w:rsidRPr="00EB2BD8">
        <w:rPr>
          <w:rFonts w:ascii="Arial"/>
          <w:sz w:val="17"/>
        </w:rPr>
        <w:t>Executive</w:t>
      </w:r>
      <w:r w:rsidRPr="00EB2BD8">
        <w:rPr>
          <w:rFonts w:ascii="Arial"/>
          <w:spacing w:val="-10"/>
          <w:sz w:val="17"/>
        </w:rPr>
        <w:t xml:space="preserve"> </w:t>
      </w:r>
      <w:r w:rsidRPr="00EB2BD8">
        <w:rPr>
          <w:rFonts w:ascii="Arial"/>
          <w:sz w:val="17"/>
        </w:rPr>
        <w:t>Director</w:t>
      </w:r>
      <w:r w:rsidRPr="00EB2BD8">
        <w:rPr>
          <w:rFonts w:ascii="Arial"/>
          <w:spacing w:val="-8"/>
          <w:sz w:val="17"/>
        </w:rPr>
        <w:t xml:space="preserve"> </w:t>
      </w:r>
      <w:r w:rsidRPr="00EB2BD8">
        <w:rPr>
          <w:rFonts w:ascii="Arial"/>
          <w:sz w:val="17"/>
        </w:rPr>
        <w:t>Building</w:t>
      </w:r>
      <w:r w:rsidRPr="00EB2BD8">
        <w:rPr>
          <w:rFonts w:ascii="Arial"/>
          <w:spacing w:val="-10"/>
          <w:sz w:val="17"/>
        </w:rPr>
        <w:t xml:space="preserve"> </w:t>
      </w:r>
      <w:r w:rsidRPr="00EB2BD8">
        <w:rPr>
          <w:rFonts w:ascii="Arial"/>
          <w:sz w:val="17"/>
        </w:rPr>
        <w:t>System</w:t>
      </w:r>
      <w:r w:rsidRPr="00EB2BD8">
        <w:rPr>
          <w:rFonts w:ascii="Arial"/>
          <w:spacing w:val="-9"/>
          <w:sz w:val="17"/>
        </w:rPr>
        <w:t xml:space="preserve"> </w:t>
      </w:r>
      <w:r w:rsidRPr="00EB2BD8">
        <w:rPr>
          <w:rFonts w:ascii="Arial"/>
          <w:spacing w:val="-2"/>
          <w:sz w:val="17"/>
        </w:rPr>
        <w:t>Technology</w:t>
      </w:r>
      <w:r w:rsidRPr="00EB2BD8">
        <w:rPr>
          <w:rFonts w:ascii="Arial"/>
          <w:sz w:val="17"/>
        </w:rPr>
        <w:tab/>
        <w:t>1</w:t>
      </w:r>
      <w:r w:rsidRPr="00EB2BD8">
        <w:rPr>
          <w:rFonts w:ascii="Arial"/>
          <w:spacing w:val="-5"/>
          <w:sz w:val="17"/>
        </w:rPr>
        <w:t xml:space="preserve"> </w:t>
      </w:r>
      <w:r w:rsidRPr="00EB2BD8">
        <w:rPr>
          <w:rFonts w:ascii="Arial"/>
          <w:sz w:val="17"/>
        </w:rPr>
        <w:t>July</w:t>
      </w:r>
      <w:r w:rsidRPr="00EB2BD8">
        <w:rPr>
          <w:rFonts w:ascii="Arial"/>
          <w:spacing w:val="-4"/>
          <w:sz w:val="17"/>
        </w:rPr>
        <w:t xml:space="preserve"> </w:t>
      </w:r>
      <w:r w:rsidRPr="00EB2BD8">
        <w:rPr>
          <w:rFonts w:ascii="Arial"/>
          <w:sz w:val="17"/>
        </w:rPr>
        <w:t>2022</w:t>
      </w:r>
      <w:r w:rsidRPr="00EB2BD8">
        <w:rPr>
          <w:rFonts w:ascii="Arial"/>
          <w:spacing w:val="-4"/>
          <w:sz w:val="17"/>
        </w:rPr>
        <w:t xml:space="preserve"> </w:t>
      </w:r>
      <w:r w:rsidRPr="00EB2BD8">
        <w:rPr>
          <w:rFonts w:ascii="Arial"/>
          <w:sz w:val="17"/>
        </w:rPr>
        <w:t>-</w:t>
      </w:r>
      <w:r w:rsidRPr="00EB2BD8">
        <w:rPr>
          <w:rFonts w:ascii="Arial"/>
          <w:spacing w:val="-5"/>
          <w:sz w:val="17"/>
        </w:rPr>
        <w:t xml:space="preserve"> </w:t>
      </w:r>
      <w:r w:rsidRPr="00EB2BD8">
        <w:rPr>
          <w:rFonts w:ascii="Arial"/>
          <w:sz w:val="17"/>
        </w:rPr>
        <w:t>30</w:t>
      </w:r>
      <w:r w:rsidRPr="00EB2BD8">
        <w:rPr>
          <w:rFonts w:ascii="Arial"/>
          <w:spacing w:val="-4"/>
          <w:sz w:val="17"/>
        </w:rPr>
        <w:t xml:space="preserve"> </w:t>
      </w:r>
      <w:r w:rsidRPr="00EB2BD8">
        <w:rPr>
          <w:rFonts w:ascii="Arial"/>
          <w:sz w:val="17"/>
        </w:rPr>
        <w:t>June</w:t>
      </w:r>
      <w:r w:rsidRPr="00EB2BD8">
        <w:rPr>
          <w:rFonts w:ascii="Arial"/>
          <w:spacing w:val="-4"/>
          <w:sz w:val="17"/>
        </w:rPr>
        <w:t xml:space="preserve"> 2023</w:t>
      </w:r>
    </w:p>
    <w:p w14:paraId="5319B716" w14:textId="77777777" w:rsidR="00084F36" w:rsidRPr="00EB2BD8" w:rsidRDefault="00EB2BD8">
      <w:pPr>
        <w:tabs>
          <w:tab w:val="left" w:pos="7351"/>
        </w:tabs>
        <w:spacing w:before="124"/>
        <w:ind w:left="1115"/>
        <w:rPr>
          <w:rFonts w:ascii="Arial"/>
          <w:sz w:val="17"/>
        </w:rPr>
      </w:pPr>
      <w:r w:rsidRPr="00EB2BD8">
        <w:rPr>
          <w:rFonts w:ascii="Arial"/>
          <w:sz w:val="17"/>
        </w:rPr>
        <w:t>Katrina</w:t>
      </w:r>
      <w:r w:rsidRPr="00EB2BD8">
        <w:rPr>
          <w:rFonts w:ascii="Arial"/>
          <w:spacing w:val="-10"/>
          <w:sz w:val="17"/>
        </w:rPr>
        <w:t xml:space="preserve"> </w:t>
      </w:r>
      <w:r w:rsidRPr="00EB2BD8">
        <w:rPr>
          <w:rFonts w:ascii="Arial"/>
          <w:sz w:val="17"/>
        </w:rPr>
        <w:t>Excell,</w:t>
      </w:r>
      <w:r w:rsidRPr="00EB2BD8">
        <w:rPr>
          <w:rFonts w:ascii="Arial"/>
          <w:spacing w:val="-9"/>
          <w:sz w:val="17"/>
        </w:rPr>
        <w:t xml:space="preserve"> </w:t>
      </w:r>
      <w:r w:rsidRPr="00EB2BD8">
        <w:rPr>
          <w:rFonts w:ascii="Arial"/>
          <w:sz w:val="17"/>
        </w:rPr>
        <w:t>Chief</w:t>
      </w:r>
      <w:r w:rsidRPr="00EB2BD8">
        <w:rPr>
          <w:rFonts w:ascii="Arial"/>
          <w:spacing w:val="-8"/>
          <w:sz w:val="17"/>
        </w:rPr>
        <w:t xml:space="preserve"> </w:t>
      </w:r>
      <w:r w:rsidRPr="00EB2BD8">
        <w:rPr>
          <w:rFonts w:ascii="Arial"/>
          <w:sz w:val="17"/>
        </w:rPr>
        <w:t>Finance</w:t>
      </w:r>
      <w:r w:rsidRPr="00EB2BD8">
        <w:rPr>
          <w:rFonts w:ascii="Arial"/>
          <w:spacing w:val="-9"/>
          <w:sz w:val="17"/>
        </w:rPr>
        <w:t xml:space="preserve"> </w:t>
      </w:r>
      <w:r w:rsidRPr="00EB2BD8">
        <w:rPr>
          <w:rFonts w:ascii="Arial"/>
          <w:spacing w:val="-2"/>
          <w:sz w:val="17"/>
        </w:rPr>
        <w:t>Officer</w:t>
      </w:r>
      <w:r w:rsidRPr="00EB2BD8">
        <w:rPr>
          <w:rFonts w:ascii="Arial"/>
          <w:sz w:val="17"/>
        </w:rPr>
        <w:tab/>
        <w:t>1</w:t>
      </w:r>
      <w:r w:rsidRPr="00EB2BD8">
        <w:rPr>
          <w:rFonts w:ascii="Arial"/>
          <w:spacing w:val="-5"/>
          <w:sz w:val="17"/>
        </w:rPr>
        <w:t xml:space="preserve"> </w:t>
      </w:r>
      <w:r w:rsidRPr="00EB2BD8">
        <w:rPr>
          <w:rFonts w:ascii="Arial"/>
          <w:sz w:val="17"/>
        </w:rPr>
        <w:t>July</w:t>
      </w:r>
      <w:r w:rsidRPr="00EB2BD8">
        <w:rPr>
          <w:rFonts w:ascii="Arial"/>
          <w:spacing w:val="-4"/>
          <w:sz w:val="17"/>
        </w:rPr>
        <w:t xml:space="preserve"> </w:t>
      </w:r>
      <w:r w:rsidRPr="00EB2BD8">
        <w:rPr>
          <w:rFonts w:ascii="Arial"/>
          <w:sz w:val="17"/>
        </w:rPr>
        <w:t>2022</w:t>
      </w:r>
      <w:r w:rsidRPr="00EB2BD8">
        <w:rPr>
          <w:rFonts w:ascii="Arial"/>
          <w:spacing w:val="-4"/>
          <w:sz w:val="17"/>
        </w:rPr>
        <w:t xml:space="preserve"> </w:t>
      </w:r>
      <w:r w:rsidRPr="00EB2BD8">
        <w:rPr>
          <w:rFonts w:ascii="Arial"/>
          <w:sz w:val="17"/>
        </w:rPr>
        <w:t>-</w:t>
      </w:r>
      <w:r w:rsidRPr="00EB2BD8">
        <w:rPr>
          <w:rFonts w:ascii="Arial"/>
          <w:spacing w:val="-5"/>
          <w:sz w:val="17"/>
        </w:rPr>
        <w:t xml:space="preserve"> </w:t>
      </w:r>
      <w:r w:rsidRPr="00EB2BD8">
        <w:rPr>
          <w:rFonts w:ascii="Arial"/>
          <w:sz w:val="17"/>
        </w:rPr>
        <w:t>30</w:t>
      </w:r>
      <w:r w:rsidRPr="00EB2BD8">
        <w:rPr>
          <w:rFonts w:ascii="Arial"/>
          <w:spacing w:val="-4"/>
          <w:sz w:val="17"/>
        </w:rPr>
        <w:t xml:space="preserve"> </w:t>
      </w:r>
      <w:r w:rsidRPr="00EB2BD8">
        <w:rPr>
          <w:rFonts w:ascii="Arial"/>
          <w:sz w:val="17"/>
        </w:rPr>
        <w:t>June</w:t>
      </w:r>
      <w:r w:rsidRPr="00EB2BD8">
        <w:rPr>
          <w:rFonts w:ascii="Arial"/>
          <w:spacing w:val="-4"/>
          <w:sz w:val="17"/>
        </w:rPr>
        <w:t xml:space="preserve"> 2023</w:t>
      </w:r>
    </w:p>
    <w:p w14:paraId="1C919EF6" w14:textId="77777777" w:rsidR="00084F36" w:rsidRPr="00EB2BD8" w:rsidRDefault="00EB2BD8">
      <w:pPr>
        <w:tabs>
          <w:tab w:val="left" w:pos="7351"/>
        </w:tabs>
        <w:spacing w:before="122"/>
        <w:ind w:left="1115"/>
        <w:rPr>
          <w:rFonts w:ascii="Arial"/>
          <w:sz w:val="17"/>
        </w:rPr>
      </w:pPr>
      <w:r w:rsidRPr="00EB2BD8">
        <w:rPr>
          <w:rFonts w:ascii="Arial"/>
          <w:sz w:val="17"/>
        </w:rPr>
        <w:t>Todd</w:t>
      </w:r>
      <w:r w:rsidRPr="00EB2BD8">
        <w:rPr>
          <w:rFonts w:ascii="Arial"/>
          <w:spacing w:val="-9"/>
          <w:sz w:val="17"/>
        </w:rPr>
        <w:t xml:space="preserve"> </w:t>
      </w:r>
      <w:r w:rsidRPr="00EB2BD8">
        <w:rPr>
          <w:rFonts w:ascii="Arial"/>
          <w:sz w:val="17"/>
        </w:rPr>
        <w:t>Bentley,</w:t>
      </w:r>
      <w:r w:rsidRPr="00EB2BD8">
        <w:rPr>
          <w:rFonts w:ascii="Arial"/>
          <w:spacing w:val="-7"/>
          <w:sz w:val="17"/>
        </w:rPr>
        <w:t xml:space="preserve"> </w:t>
      </w:r>
      <w:r w:rsidRPr="00EB2BD8">
        <w:rPr>
          <w:rFonts w:ascii="Arial"/>
          <w:sz w:val="17"/>
        </w:rPr>
        <w:t>Chief</w:t>
      </w:r>
      <w:r w:rsidRPr="00EB2BD8">
        <w:rPr>
          <w:rFonts w:ascii="Arial"/>
          <w:spacing w:val="-8"/>
          <w:sz w:val="17"/>
        </w:rPr>
        <w:t xml:space="preserve"> </w:t>
      </w:r>
      <w:r w:rsidRPr="00EB2BD8">
        <w:rPr>
          <w:rFonts w:ascii="Arial"/>
          <w:sz w:val="17"/>
        </w:rPr>
        <w:t>Risk</w:t>
      </w:r>
      <w:r w:rsidRPr="00EB2BD8">
        <w:rPr>
          <w:rFonts w:ascii="Arial"/>
          <w:spacing w:val="-8"/>
          <w:sz w:val="17"/>
        </w:rPr>
        <w:t xml:space="preserve"> </w:t>
      </w:r>
      <w:r w:rsidRPr="00EB2BD8">
        <w:rPr>
          <w:rFonts w:ascii="Arial"/>
          <w:spacing w:val="-2"/>
          <w:sz w:val="17"/>
        </w:rPr>
        <w:t>Officer</w:t>
      </w:r>
      <w:r w:rsidRPr="00EB2BD8">
        <w:rPr>
          <w:rFonts w:ascii="Arial"/>
          <w:sz w:val="17"/>
        </w:rPr>
        <w:tab/>
        <w:t>1</w:t>
      </w:r>
      <w:r w:rsidRPr="00EB2BD8">
        <w:rPr>
          <w:rFonts w:ascii="Arial"/>
          <w:spacing w:val="-5"/>
          <w:sz w:val="17"/>
        </w:rPr>
        <w:t xml:space="preserve"> </w:t>
      </w:r>
      <w:r w:rsidRPr="00EB2BD8">
        <w:rPr>
          <w:rFonts w:ascii="Arial"/>
          <w:sz w:val="17"/>
        </w:rPr>
        <w:t>July</w:t>
      </w:r>
      <w:r w:rsidRPr="00EB2BD8">
        <w:rPr>
          <w:rFonts w:ascii="Arial"/>
          <w:spacing w:val="-4"/>
          <w:sz w:val="17"/>
        </w:rPr>
        <w:t xml:space="preserve"> </w:t>
      </w:r>
      <w:r w:rsidRPr="00EB2BD8">
        <w:rPr>
          <w:rFonts w:ascii="Arial"/>
          <w:sz w:val="17"/>
        </w:rPr>
        <w:t>2022</w:t>
      </w:r>
      <w:r w:rsidRPr="00EB2BD8">
        <w:rPr>
          <w:rFonts w:ascii="Arial"/>
          <w:spacing w:val="-4"/>
          <w:sz w:val="17"/>
        </w:rPr>
        <w:t xml:space="preserve"> </w:t>
      </w:r>
      <w:r w:rsidRPr="00EB2BD8">
        <w:rPr>
          <w:rFonts w:ascii="Arial"/>
          <w:sz w:val="17"/>
        </w:rPr>
        <w:t>-</w:t>
      </w:r>
      <w:r w:rsidRPr="00EB2BD8">
        <w:rPr>
          <w:rFonts w:ascii="Arial"/>
          <w:spacing w:val="-5"/>
          <w:sz w:val="17"/>
        </w:rPr>
        <w:t xml:space="preserve"> </w:t>
      </w:r>
      <w:r w:rsidRPr="00EB2BD8">
        <w:rPr>
          <w:rFonts w:ascii="Arial"/>
          <w:sz w:val="17"/>
        </w:rPr>
        <w:t>30</w:t>
      </w:r>
      <w:r w:rsidRPr="00EB2BD8">
        <w:rPr>
          <w:rFonts w:ascii="Arial"/>
          <w:spacing w:val="-4"/>
          <w:sz w:val="17"/>
        </w:rPr>
        <w:t xml:space="preserve"> </w:t>
      </w:r>
      <w:r w:rsidRPr="00EB2BD8">
        <w:rPr>
          <w:rFonts w:ascii="Arial"/>
          <w:sz w:val="17"/>
        </w:rPr>
        <w:t>June</w:t>
      </w:r>
      <w:r w:rsidRPr="00EB2BD8">
        <w:rPr>
          <w:rFonts w:ascii="Arial"/>
          <w:spacing w:val="-4"/>
          <w:sz w:val="17"/>
        </w:rPr>
        <w:t xml:space="preserve"> 2023</w:t>
      </w:r>
    </w:p>
    <w:p w14:paraId="198C0049" w14:textId="77777777" w:rsidR="00084F36" w:rsidRPr="00EB2BD8" w:rsidRDefault="00EB2BD8">
      <w:pPr>
        <w:tabs>
          <w:tab w:val="left" w:pos="7352"/>
        </w:tabs>
        <w:spacing w:before="122"/>
        <w:ind w:left="1115"/>
        <w:rPr>
          <w:rFonts w:ascii="Arial"/>
          <w:sz w:val="17"/>
        </w:rPr>
      </w:pPr>
      <w:r w:rsidRPr="00EB2BD8">
        <w:rPr>
          <w:rFonts w:ascii="Arial"/>
          <w:sz w:val="17"/>
        </w:rPr>
        <w:t>Ann</w:t>
      </w:r>
      <w:r w:rsidRPr="00EB2BD8">
        <w:rPr>
          <w:rFonts w:ascii="Arial"/>
          <w:spacing w:val="-9"/>
          <w:sz w:val="17"/>
        </w:rPr>
        <w:t xml:space="preserve"> </w:t>
      </w:r>
      <w:r w:rsidRPr="00EB2BD8">
        <w:rPr>
          <w:rFonts w:ascii="Arial"/>
          <w:sz w:val="17"/>
        </w:rPr>
        <w:t>King,</w:t>
      </w:r>
      <w:r w:rsidRPr="00EB2BD8">
        <w:rPr>
          <w:rFonts w:ascii="Arial"/>
          <w:spacing w:val="-8"/>
          <w:sz w:val="17"/>
        </w:rPr>
        <w:t xml:space="preserve"> </w:t>
      </w:r>
      <w:r w:rsidRPr="00EB2BD8">
        <w:rPr>
          <w:rFonts w:ascii="Arial"/>
          <w:sz w:val="17"/>
        </w:rPr>
        <w:t>Chief</w:t>
      </w:r>
      <w:r w:rsidRPr="00EB2BD8">
        <w:rPr>
          <w:rFonts w:ascii="Arial"/>
          <w:spacing w:val="-9"/>
          <w:sz w:val="17"/>
        </w:rPr>
        <w:t xml:space="preserve"> </w:t>
      </w:r>
      <w:r w:rsidRPr="00EB2BD8">
        <w:rPr>
          <w:rFonts w:ascii="Arial"/>
          <w:sz w:val="17"/>
        </w:rPr>
        <w:t>Operations</w:t>
      </w:r>
      <w:r w:rsidRPr="00EB2BD8">
        <w:rPr>
          <w:rFonts w:ascii="Arial"/>
          <w:spacing w:val="-8"/>
          <w:sz w:val="17"/>
        </w:rPr>
        <w:t xml:space="preserve"> </w:t>
      </w:r>
      <w:r w:rsidRPr="00EB2BD8">
        <w:rPr>
          <w:rFonts w:ascii="Arial"/>
          <w:spacing w:val="-2"/>
          <w:sz w:val="17"/>
        </w:rPr>
        <w:t>Officer</w:t>
      </w:r>
      <w:r w:rsidRPr="00EB2BD8">
        <w:rPr>
          <w:rFonts w:ascii="Arial"/>
          <w:sz w:val="17"/>
        </w:rPr>
        <w:tab/>
        <w:t>1</w:t>
      </w:r>
      <w:r w:rsidRPr="00EB2BD8">
        <w:rPr>
          <w:rFonts w:ascii="Arial"/>
          <w:spacing w:val="-5"/>
          <w:sz w:val="17"/>
        </w:rPr>
        <w:t xml:space="preserve"> </w:t>
      </w:r>
      <w:r w:rsidRPr="00EB2BD8">
        <w:rPr>
          <w:rFonts w:ascii="Arial"/>
          <w:sz w:val="17"/>
        </w:rPr>
        <w:t>July</w:t>
      </w:r>
      <w:r w:rsidRPr="00EB2BD8">
        <w:rPr>
          <w:rFonts w:ascii="Arial"/>
          <w:spacing w:val="-4"/>
          <w:sz w:val="17"/>
        </w:rPr>
        <w:t xml:space="preserve"> </w:t>
      </w:r>
      <w:r w:rsidRPr="00EB2BD8">
        <w:rPr>
          <w:rFonts w:ascii="Arial"/>
          <w:sz w:val="17"/>
        </w:rPr>
        <w:t>2022</w:t>
      </w:r>
      <w:r w:rsidRPr="00EB2BD8">
        <w:rPr>
          <w:rFonts w:ascii="Arial"/>
          <w:spacing w:val="-4"/>
          <w:sz w:val="17"/>
        </w:rPr>
        <w:t xml:space="preserve"> </w:t>
      </w:r>
      <w:r w:rsidRPr="00EB2BD8">
        <w:rPr>
          <w:rFonts w:ascii="Arial"/>
          <w:sz w:val="17"/>
        </w:rPr>
        <w:t>-</w:t>
      </w:r>
      <w:r w:rsidRPr="00EB2BD8">
        <w:rPr>
          <w:rFonts w:ascii="Arial"/>
          <w:spacing w:val="-5"/>
          <w:sz w:val="17"/>
        </w:rPr>
        <w:t xml:space="preserve"> </w:t>
      </w:r>
      <w:r w:rsidRPr="00EB2BD8">
        <w:rPr>
          <w:rFonts w:ascii="Arial"/>
          <w:sz w:val="17"/>
        </w:rPr>
        <w:t>30</w:t>
      </w:r>
      <w:r w:rsidRPr="00EB2BD8">
        <w:rPr>
          <w:rFonts w:ascii="Arial"/>
          <w:spacing w:val="-4"/>
          <w:sz w:val="17"/>
        </w:rPr>
        <w:t xml:space="preserve"> </w:t>
      </w:r>
      <w:r w:rsidRPr="00EB2BD8">
        <w:rPr>
          <w:rFonts w:ascii="Arial"/>
          <w:sz w:val="17"/>
        </w:rPr>
        <w:t>June</w:t>
      </w:r>
      <w:r w:rsidRPr="00EB2BD8">
        <w:rPr>
          <w:rFonts w:ascii="Arial"/>
          <w:spacing w:val="-4"/>
          <w:sz w:val="17"/>
        </w:rPr>
        <w:t xml:space="preserve"> 2023</w:t>
      </w:r>
    </w:p>
    <w:p w14:paraId="2AF3BDD9" w14:textId="77777777" w:rsidR="00084F36" w:rsidRPr="00EB2BD8" w:rsidRDefault="00EB2BD8">
      <w:pPr>
        <w:tabs>
          <w:tab w:val="left" w:pos="7352"/>
        </w:tabs>
        <w:spacing w:before="124"/>
        <w:ind w:left="1115"/>
        <w:rPr>
          <w:rFonts w:ascii="Arial"/>
          <w:sz w:val="17"/>
        </w:rPr>
      </w:pPr>
      <w:r w:rsidRPr="00EB2BD8">
        <w:rPr>
          <w:rFonts w:ascii="Arial"/>
          <w:sz w:val="17"/>
        </w:rPr>
        <w:t>John</w:t>
      </w:r>
      <w:r w:rsidRPr="00EB2BD8">
        <w:rPr>
          <w:rFonts w:ascii="Arial"/>
          <w:spacing w:val="-10"/>
          <w:sz w:val="17"/>
        </w:rPr>
        <w:t xml:space="preserve"> </w:t>
      </w:r>
      <w:r w:rsidRPr="00EB2BD8">
        <w:rPr>
          <w:rFonts w:ascii="Arial"/>
          <w:sz w:val="17"/>
        </w:rPr>
        <w:t>Sullivan,</w:t>
      </w:r>
      <w:r w:rsidRPr="00EB2BD8">
        <w:rPr>
          <w:rFonts w:ascii="Arial"/>
          <w:spacing w:val="-9"/>
          <w:sz w:val="17"/>
        </w:rPr>
        <w:t xml:space="preserve"> </w:t>
      </w:r>
      <w:r w:rsidRPr="00EB2BD8">
        <w:rPr>
          <w:rFonts w:ascii="Arial"/>
          <w:sz w:val="17"/>
        </w:rPr>
        <w:t>Director</w:t>
      </w:r>
      <w:r w:rsidRPr="00EB2BD8">
        <w:rPr>
          <w:rFonts w:ascii="Arial"/>
          <w:spacing w:val="-9"/>
          <w:sz w:val="17"/>
        </w:rPr>
        <w:t xml:space="preserve"> </w:t>
      </w:r>
      <w:r w:rsidRPr="00EB2BD8">
        <w:rPr>
          <w:rFonts w:ascii="Arial"/>
          <w:spacing w:val="-2"/>
          <w:sz w:val="17"/>
        </w:rPr>
        <w:t>Governance</w:t>
      </w:r>
      <w:r w:rsidRPr="00EB2BD8">
        <w:rPr>
          <w:rFonts w:ascii="Arial"/>
          <w:sz w:val="17"/>
        </w:rPr>
        <w:tab/>
        <w:t>1</w:t>
      </w:r>
      <w:r w:rsidRPr="00EB2BD8">
        <w:rPr>
          <w:rFonts w:ascii="Arial"/>
          <w:spacing w:val="-5"/>
          <w:sz w:val="17"/>
        </w:rPr>
        <w:t xml:space="preserve"> </w:t>
      </w:r>
      <w:r w:rsidRPr="00EB2BD8">
        <w:rPr>
          <w:rFonts w:ascii="Arial"/>
          <w:sz w:val="17"/>
        </w:rPr>
        <w:t>July</w:t>
      </w:r>
      <w:r w:rsidRPr="00EB2BD8">
        <w:rPr>
          <w:rFonts w:ascii="Arial"/>
          <w:spacing w:val="-4"/>
          <w:sz w:val="17"/>
        </w:rPr>
        <w:t xml:space="preserve"> </w:t>
      </w:r>
      <w:r w:rsidRPr="00EB2BD8">
        <w:rPr>
          <w:rFonts w:ascii="Arial"/>
          <w:sz w:val="17"/>
        </w:rPr>
        <w:t>2022</w:t>
      </w:r>
      <w:r w:rsidRPr="00EB2BD8">
        <w:rPr>
          <w:rFonts w:ascii="Arial"/>
          <w:spacing w:val="-4"/>
          <w:sz w:val="17"/>
        </w:rPr>
        <w:t xml:space="preserve"> </w:t>
      </w:r>
      <w:r w:rsidRPr="00EB2BD8">
        <w:rPr>
          <w:rFonts w:ascii="Arial"/>
          <w:sz w:val="17"/>
        </w:rPr>
        <w:t>-</w:t>
      </w:r>
      <w:r w:rsidRPr="00EB2BD8">
        <w:rPr>
          <w:rFonts w:ascii="Arial"/>
          <w:spacing w:val="-5"/>
          <w:sz w:val="17"/>
        </w:rPr>
        <w:t xml:space="preserve"> </w:t>
      </w:r>
      <w:r w:rsidRPr="00EB2BD8">
        <w:rPr>
          <w:rFonts w:ascii="Arial"/>
          <w:sz w:val="17"/>
        </w:rPr>
        <w:t>30</w:t>
      </w:r>
      <w:r w:rsidRPr="00EB2BD8">
        <w:rPr>
          <w:rFonts w:ascii="Arial"/>
          <w:spacing w:val="-4"/>
          <w:sz w:val="17"/>
        </w:rPr>
        <w:t xml:space="preserve"> </w:t>
      </w:r>
      <w:r w:rsidRPr="00EB2BD8">
        <w:rPr>
          <w:rFonts w:ascii="Arial"/>
          <w:sz w:val="17"/>
        </w:rPr>
        <w:t>June</w:t>
      </w:r>
      <w:r w:rsidRPr="00EB2BD8">
        <w:rPr>
          <w:rFonts w:ascii="Arial"/>
          <w:spacing w:val="-4"/>
          <w:sz w:val="17"/>
        </w:rPr>
        <w:t xml:space="preserve"> 2023</w:t>
      </w:r>
    </w:p>
    <w:p w14:paraId="63C6F2B0" w14:textId="77777777" w:rsidR="00084F36" w:rsidRPr="00EB2BD8" w:rsidRDefault="00084F36">
      <w:pPr>
        <w:pStyle w:val="BodyText"/>
        <w:spacing w:before="6"/>
        <w:rPr>
          <w:rFonts w:ascii="Arial"/>
          <w:sz w:val="27"/>
        </w:rPr>
      </w:pPr>
    </w:p>
    <w:p w14:paraId="6259475E" w14:textId="77777777" w:rsidR="00084F36" w:rsidRPr="00EB2BD8" w:rsidRDefault="00EB2BD8">
      <w:pPr>
        <w:spacing w:before="93" w:line="273" w:lineRule="auto"/>
        <w:ind w:left="1014" w:right="1813"/>
        <w:rPr>
          <w:rFonts w:ascii="Arial" w:hAnsi="Arial"/>
          <w:sz w:val="17"/>
        </w:rPr>
      </w:pPr>
      <w:r w:rsidRPr="00EB2BD8">
        <w:rPr>
          <w:rFonts w:ascii="Arial" w:hAnsi="Arial"/>
          <w:sz w:val="17"/>
        </w:rPr>
        <w:t>The compensation detailed below excludes the salaries and benefits the Portfolio Minister receives. The Minister’s remuneration</w:t>
      </w:r>
      <w:r w:rsidRPr="00EB2BD8">
        <w:rPr>
          <w:rFonts w:ascii="Arial" w:hAnsi="Arial"/>
          <w:spacing w:val="-8"/>
          <w:sz w:val="17"/>
        </w:rPr>
        <w:t xml:space="preserve"> </w:t>
      </w:r>
      <w:r w:rsidRPr="00EB2BD8">
        <w:rPr>
          <w:rFonts w:ascii="Arial" w:hAnsi="Arial"/>
          <w:sz w:val="17"/>
        </w:rPr>
        <w:t>and</w:t>
      </w:r>
      <w:r w:rsidRPr="00EB2BD8">
        <w:rPr>
          <w:rFonts w:ascii="Arial" w:hAnsi="Arial"/>
          <w:spacing w:val="-8"/>
          <w:sz w:val="17"/>
        </w:rPr>
        <w:t xml:space="preserve"> </w:t>
      </w:r>
      <w:r w:rsidRPr="00EB2BD8">
        <w:rPr>
          <w:rFonts w:ascii="Arial" w:hAnsi="Arial"/>
          <w:sz w:val="17"/>
        </w:rPr>
        <w:t>allowances</w:t>
      </w:r>
      <w:r w:rsidRPr="00EB2BD8">
        <w:rPr>
          <w:rFonts w:ascii="Arial" w:hAnsi="Arial"/>
          <w:spacing w:val="-8"/>
          <w:sz w:val="17"/>
        </w:rPr>
        <w:t xml:space="preserve"> </w:t>
      </w:r>
      <w:r w:rsidRPr="00EB2BD8">
        <w:rPr>
          <w:rFonts w:ascii="Arial" w:hAnsi="Arial"/>
          <w:sz w:val="17"/>
        </w:rPr>
        <w:t>are</w:t>
      </w:r>
      <w:r w:rsidRPr="00EB2BD8">
        <w:rPr>
          <w:rFonts w:ascii="Arial" w:hAnsi="Arial"/>
          <w:spacing w:val="-7"/>
          <w:sz w:val="17"/>
        </w:rPr>
        <w:t xml:space="preserve"> </w:t>
      </w:r>
      <w:r w:rsidRPr="00EB2BD8">
        <w:rPr>
          <w:rFonts w:ascii="Arial" w:hAnsi="Arial"/>
          <w:sz w:val="17"/>
        </w:rPr>
        <w:t>set</w:t>
      </w:r>
      <w:r w:rsidRPr="00EB2BD8">
        <w:rPr>
          <w:rFonts w:ascii="Arial" w:hAnsi="Arial"/>
          <w:spacing w:val="-7"/>
          <w:sz w:val="17"/>
        </w:rPr>
        <w:t xml:space="preserve"> </w:t>
      </w:r>
      <w:r w:rsidRPr="00EB2BD8">
        <w:rPr>
          <w:rFonts w:ascii="Arial" w:hAnsi="Arial"/>
          <w:sz w:val="17"/>
        </w:rPr>
        <w:t>by</w:t>
      </w:r>
      <w:r w:rsidRPr="00EB2BD8">
        <w:rPr>
          <w:rFonts w:ascii="Arial" w:hAnsi="Arial"/>
          <w:spacing w:val="-8"/>
          <w:sz w:val="17"/>
        </w:rPr>
        <w:t xml:space="preserve"> </w:t>
      </w:r>
      <w:r w:rsidRPr="00EB2BD8">
        <w:rPr>
          <w:rFonts w:ascii="Arial" w:hAnsi="Arial"/>
          <w:sz w:val="17"/>
        </w:rPr>
        <w:t>the</w:t>
      </w:r>
      <w:r w:rsidRPr="00EB2BD8">
        <w:rPr>
          <w:rFonts w:ascii="Arial" w:hAnsi="Arial"/>
          <w:spacing w:val="-8"/>
          <w:sz w:val="17"/>
        </w:rPr>
        <w:t xml:space="preserve"> </w:t>
      </w:r>
      <w:r w:rsidRPr="00EB2BD8">
        <w:rPr>
          <w:rFonts w:ascii="Arial" w:hAnsi="Arial"/>
          <w:i/>
          <w:sz w:val="17"/>
        </w:rPr>
        <w:t>Parliamentary</w:t>
      </w:r>
      <w:r w:rsidRPr="00EB2BD8">
        <w:rPr>
          <w:rFonts w:ascii="Arial" w:hAnsi="Arial"/>
          <w:i/>
          <w:spacing w:val="-6"/>
          <w:sz w:val="17"/>
        </w:rPr>
        <w:t xml:space="preserve"> </w:t>
      </w:r>
      <w:r w:rsidRPr="00EB2BD8">
        <w:rPr>
          <w:rFonts w:ascii="Arial" w:hAnsi="Arial"/>
          <w:i/>
          <w:sz w:val="17"/>
        </w:rPr>
        <w:t>Salaries</w:t>
      </w:r>
      <w:r w:rsidRPr="00EB2BD8">
        <w:rPr>
          <w:rFonts w:ascii="Arial" w:hAnsi="Arial"/>
          <w:i/>
          <w:spacing w:val="-8"/>
          <w:sz w:val="17"/>
        </w:rPr>
        <w:t xml:space="preserve"> </w:t>
      </w:r>
      <w:r w:rsidRPr="00EB2BD8">
        <w:rPr>
          <w:rFonts w:ascii="Arial" w:hAnsi="Arial"/>
          <w:i/>
          <w:sz w:val="17"/>
        </w:rPr>
        <w:t>and</w:t>
      </w:r>
      <w:r w:rsidRPr="00EB2BD8">
        <w:rPr>
          <w:rFonts w:ascii="Arial" w:hAnsi="Arial"/>
          <w:i/>
          <w:spacing w:val="-8"/>
          <w:sz w:val="17"/>
        </w:rPr>
        <w:t xml:space="preserve"> </w:t>
      </w:r>
      <w:r w:rsidRPr="00EB2BD8">
        <w:rPr>
          <w:rFonts w:ascii="Arial" w:hAnsi="Arial"/>
          <w:i/>
          <w:sz w:val="17"/>
        </w:rPr>
        <w:t>Superannuation</w:t>
      </w:r>
      <w:r w:rsidRPr="00EB2BD8">
        <w:rPr>
          <w:rFonts w:ascii="Arial" w:hAnsi="Arial"/>
          <w:i/>
          <w:spacing w:val="-7"/>
          <w:sz w:val="17"/>
        </w:rPr>
        <w:t xml:space="preserve"> </w:t>
      </w:r>
      <w:r w:rsidRPr="00EB2BD8">
        <w:rPr>
          <w:rFonts w:ascii="Arial" w:hAnsi="Arial"/>
          <w:i/>
          <w:sz w:val="17"/>
        </w:rPr>
        <w:t>Act</w:t>
      </w:r>
      <w:r w:rsidRPr="00EB2BD8">
        <w:rPr>
          <w:rFonts w:ascii="Arial" w:hAnsi="Arial"/>
          <w:i/>
          <w:spacing w:val="-7"/>
          <w:sz w:val="17"/>
        </w:rPr>
        <w:t xml:space="preserve"> </w:t>
      </w:r>
      <w:r w:rsidRPr="00EB2BD8">
        <w:rPr>
          <w:rFonts w:ascii="Arial" w:hAnsi="Arial"/>
          <w:i/>
          <w:sz w:val="17"/>
        </w:rPr>
        <w:t>1968</w:t>
      </w:r>
      <w:r w:rsidRPr="00EB2BD8">
        <w:rPr>
          <w:rFonts w:ascii="Arial" w:hAnsi="Arial"/>
          <w:i/>
          <w:spacing w:val="-7"/>
          <w:sz w:val="17"/>
        </w:rPr>
        <w:t xml:space="preserve"> </w:t>
      </w:r>
      <w:r w:rsidRPr="00EB2BD8">
        <w:rPr>
          <w:rFonts w:ascii="Arial" w:hAnsi="Arial"/>
          <w:sz w:val="17"/>
        </w:rPr>
        <w:t>and</w:t>
      </w:r>
      <w:r w:rsidRPr="00EB2BD8">
        <w:rPr>
          <w:rFonts w:ascii="Arial" w:hAnsi="Arial"/>
          <w:spacing w:val="-8"/>
          <w:sz w:val="17"/>
        </w:rPr>
        <w:t xml:space="preserve"> </w:t>
      </w:r>
      <w:r w:rsidRPr="00EB2BD8">
        <w:rPr>
          <w:rFonts w:ascii="Arial" w:hAnsi="Arial"/>
          <w:sz w:val="17"/>
        </w:rPr>
        <w:t>are</w:t>
      </w:r>
      <w:r w:rsidRPr="00EB2BD8">
        <w:rPr>
          <w:rFonts w:ascii="Arial" w:hAnsi="Arial"/>
          <w:spacing w:val="-8"/>
          <w:sz w:val="17"/>
        </w:rPr>
        <w:t xml:space="preserve"> </w:t>
      </w:r>
      <w:r w:rsidRPr="00EB2BD8">
        <w:rPr>
          <w:rFonts w:ascii="Arial" w:hAnsi="Arial"/>
          <w:sz w:val="17"/>
        </w:rPr>
        <w:t>reported</w:t>
      </w:r>
      <w:r w:rsidRPr="00EB2BD8">
        <w:rPr>
          <w:rFonts w:ascii="Arial" w:hAnsi="Arial"/>
          <w:spacing w:val="-8"/>
          <w:sz w:val="17"/>
        </w:rPr>
        <w:t xml:space="preserve"> </w:t>
      </w:r>
      <w:r w:rsidRPr="00EB2BD8">
        <w:rPr>
          <w:rFonts w:ascii="Arial" w:hAnsi="Arial"/>
          <w:sz w:val="17"/>
        </w:rPr>
        <w:t>within the State’s Annual Financial Report.</w:t>
      </w:r>
    </w:p>
    <w:p w14:paraId="1613BD8A" w14:textId="77777777" w:rsidR="00084F36" w:rsidRPr="00EB2BD8" w:rsidRDefault="00084F36">
      <w:pPr>
        <w:pStyle w:val="BodyText"/>
        <w:rPr>
          <w:rFonts w:ascii="Arial"/>
        </w:rPr>
      </w:pPr>
    </w:p>
    <w:p w14:paraId="0E5B0930" w14:textId="77777777" w:rsidR="00084F36" w:rsidRPr="00EB2BD8" w:rsidRDefault="00EB2BD8">
      <w:pPr>
        <w:spacing w:before="115"/>
        <w:ind w:right="2080"/>
        <w:jc w:val="right"/>
        <w:rPr>
          <w:rFonts w:ascii="Arial" w:hAnsi="Arial"/>
          <w:sz w:val="17"/>
        </w:rPr>
      </w:pPr>
      <w:r w:rsidRPr="00EB2BD8">
        <w:rPr>
          <w:rFonts w:ascii="Arial" w:hAnsi="Arial"/>
          <w:spacing w:val="-2"/>
          <w:sz w:val="17"/>
        </w:rPr>
        <w:t>($’000)</w:t>
      </w:r>
    </w:p>
    <w:p w14:paraId="557C36CD" w14:textId="77777777" w:rsidR="00084F36" w:rsidRPr="00EB2BD8" w:rsidRDefault="00084F36">
      <w:pPr>
        <w:pStyle w:val="BodyText"/>
        <w:spacing w:before="6"/>
        <w:rPr>
          <w:rFonts w:ascii="Arial"/>
          <w:sz w:val="7"/>
        </w:rPr>
      </w:pPr>
    </w:p>
    <w:tbl>
      <w:tblPr>
        <w:tblW w:w="0" w:type="auto"/>
        <w:tblInd w:w="1022" w:type="dxa"/>
        <w:tblLayout w:type="fixed"/>
        <w:tblCellMar>
          <w:left w:w="0" w:type="dxa"/>
          <w:right w:w="0" w:type="dxa"/>
        </w:tblCellMar>
        <w:tblLook w:val="01E0" w:firstRow="1" w:lastRow="1" w:firstColumn="1" w:lastColumn="1" w:noHBand="0" w:noVBand="0"/>
      </w:tblPr>
      <w:tblGrid>
        <w:gridCol w:w="6552"/>
        <w:gridCol w:w="1179"/>
        <w:gridCol w:w="1179"/>
      </w:tblGrid>
      <w:tr w:rsidR="00EB2BD8" w:rsidRPr="00EB2BD8" w14:paraId="75E06033" w14:textId="77777777">
        <w:trPr>
          <w:trHeight w:val="392"/>
        </w:trPr>
        <w:tc>
          <w:tcPr>
            <w:tcW w:w="6552" w:type="dxa"/>
            <w:tcBorders>
              <w:left w:val="single" w:sz="4" w:space="0" w:color="0098FF"/>
              <w:bottom w:val="single" w:sz="4" w:space="0" w:color="0098FF"/>
            </w:tcBorders>
            <w:shd w:val="clear" w:color="auto" w:fill="0070C0"/>
          </w:tcPr>
          <w:p w14:paraId="194F3170" w14:textId="77777777" w:rsidR="00084F36" w:rsidRPr="00EB2BD8" w:rsidRDefault="00EB2BD8">
            <w:pPr>
              <w:pStyle w:val="TableParagraph"/>
              <w:spacing w:before="97"/>
              <w:ind w:left="100"/>
              <w:rPr>
                <w:rFonts w:ascii="Arial"/>
                <w:b/>
                <w:sz w:val="17"/>
              </w:rPr>
            </w:pPr>
            <w:r w:rsidRPr="00EB2BD8">
              <w:rPr>
                <w:rFonts w:ascii="Arial"/>
                <w:b/>
                <w:sz w:val="17"/>
              </w:rPr>
              <w:t>Compensation</w:t>
            </w:r>
            <w:r w:rsidRPr="00EB2BD8">
              <w:rPr>
                <w:rFonts w:ascii="Arial"/>
                <w:b/>
                <w:spacing w:val="-10"/>
                <w:sz w:val="17"/>
              </w:rPr>
              <w:t xml:space="preserve"> </w:t>
            </w:r>
            <w:r w:rsidRPr="00EB2BD8">
              <w:rPr>
                <w:rFonts w:ascii="Arial"/>
                <w:b/>
                <w:sz w:val="17"/>
              </w:rPr>
              <w:t>of</w:t>
            </w:r>
            <w:r w:rsidRPr="00EB2BD8">
              <w:rPr>
                <w:rFonts w:ascii="Arial"/>
                <w:b/>
                <w:spacing w:val="-9"/>
                <w:sz w:val="17"/>
              </w:rPr>
              <w:t xml:space="preserve"> </w:t>
            </w:r>
            <w:r w:rsidRPr="00EB2BD8">
              <w:rPr>
                <w:rFonts w:ascii="Arial"/>
                <w:b/>
                <w:spacing w:val="-5"/>
                <w:sz w:val="17"/>
              </w:rPr>
              <w:t>KMP</w:t>
            </w:r>
          </w:p>
        </w:tc>
        <w:tc>
          <w:tcPr>
            <w:tcW w:w="1179" w:type="dxa"/>
            <w:tcBorders>
              <w:bottom w:val="single" w:sz="4" w:space="0" w:color="0098FF"/>
            </w:tcBorders>
            <w:shd w:val="clear" w:color="auto" w:fill="0070C0"/>
          </w:tcPr>
          <w:p w14:paraId="0E285CCC" w14:textId="77777777" w:rsidR="00084F36" w:rsidRPr="00EB2BD8" w:rsidRDefault="00EB2BD8">
            <w:pPr>
              <w:pStyle w:val="TableParagraph"/>
              <w:spacing w:before="97"/>
              <w:ind w:right="94"/>
              <w:jc w:val="right"/>
              <w:rPr>
                <w:rFonts w:ascii="Arial"/>
                <w:b/>
                <w:sz w:val="17"/>
              </w:rPr>
            </w:pPr>
            <w:r w:rsidRPr="00EB2BD8">
              <w:rPr>
                <w:rFonts w:ascii="Arial"/>
                <w:b/>
                <w:spacing w:val="-4"/>
                <w:sz w:val="17"/>
              </w:rPr>
              <w:t>2023</w:t>
            </w:r>
          </w:p>
        </w:tc>
        <w:tc>
          <w:tcPr>
            <w:tcW w:w="1179" w:type="dxa"/>
            <w:tcBorders>
              <w:bottom w:val="single" w:sz="4" w:space="0" w:color="0098FF"/>
              <w:right w:val="single" w:sz="4" w:space="0" w:color="0098FF"/>
            </w:tcBorders>
            <w:shd w:val="clear" w:color="auto" w:fill="0070C0"/>
          </w:tcPr>
          <w:p w14:paraId="3D7CC00C" w14:textId="77777777" w:rsidR="00084F36" w:rsidRPr="00EB2BD8" w:rsidRDefault="00EB2BD8">
            <w:pPr>
              <w:pStyle w:val="TableParagraph"/>
              <w:spacing w:before="97"/>
              <w:ind w:right="89"/>
              <w:jc w:val="right"/>
              <w:rPr>
                <w:rFonts w:ascii="Arial"/>
                <w:b/>
                <w:sz w:val="17"/>
              </w:rPr>
            </w:pPr>
            <w:r w:rsidRPr="00EB2BD8">
              <w:rPr>
                <w:rFonts w:ascii="Arial"/>
                <w:b/>
                <w:spacing w:val="-4"/>
                <w:sz w:val="17"/>
              </w:rPr>
              <w:t>2022</w:t>
            </w:r>
          </w:p>
        </w:tc>
      </w:tr>
      <w:tr w:rsidR="00EB2BD8" w:rsidRPr="00EB2BD8" w14:paraId="17CFC999" w14:textId="77777777">
        <w:trPr>
          <w:trHeight w:val="312"/>
        </w:trPr>
        <w:tc>
          <w:tcPr>
            <w:tcW w:w="6552" w:type="dxa"/>
            <w:tcBorders>
              <w:top w:val="single" w:sz="4" w:space="0" w:color="0098FF"/>
            </w:tcBorders>
            <w:shd w:val="clear" w:color="auto" w:fill="FFFFFF"/>
          </w:tcPr>
          <w:p w14:paraId="3BD78E8C" w14:textId="77777777" w:rsidR="00084F36" w:rsidRPr="00EB2BD8" w:rsidRDefault="00EB2BD8">
            <w:pPr>
              <w:pStyle w:val="TableParagraph"/>
              <w:spacing w:before="54"/>
              <w:ind w:left="105"/>
              <w:rPr>
                <w:rFonts w:ascii="Arial"/>
                <w:sz w:val="17"/>
              </w:rPr>
            </w:pPr>
            <w:r w:rsidRPr="00EB2BD8">
              <w:rPr>
                <w:rFonts w:ascii="Arial"/>
                <w:spacing w:val="-2"/>
                <w:sz w:val="17"/>
              </w:rPr>
              <w:t>Short-term</w:t>
            </w:r>
            <w:r w:rsidRPr="00EB2BD8">
              <w:rPr>
                <w:rFonts w:ascii="Arial"/>
                <w:spacing w:val="6"/>
                <w:sz w:val="17"/>
              </w:rPr>
              <w:t xml:space="preserve"> </w:t>
            </w:r>
            <w:r w:rsidRPr="00EB2BD8">
              <w:rPr>
                <w:rFonts w:ascii="Arial"/>
                <w:spacing w:val="-2"/>
                <w:sz w:val="17"/>
              </w:rPr>
              <w:t>employee</w:t>
            </w:r>
            <w:r w:rsidRPr="00EB2BD8">
              <w:rPr>
                <w:rFonts w:ascii="Arial"/>
                <w:spacing w:val="5"/>
                <w:sz w:val="17"/>
              </w:rPr>
              <w:t xml:space="preserve"> </w:t>
            </w:r>
            <w:r w:rsidRPr="00EB2BD8">
              <w:rPr>
                <w:rFonts w:ascii="Arial"/>
                <w:spacing w:val="-2"/>
                <w:sz w:val="17"/>
              </w:rPr>
              <w:t>benefits</w:t>
            </w:r>
          </w:p>
        </w:tc>
        <w:tc>
          <w:tcPr>
            <w:tcW w:w="1179" w:type="dxa"/>
            <w:tcBorders>
              <w:top w:val="single" w:sz="4" w:space="0" w:color="0098FF"/>
            </w:tcBorders>
            <w:shd w:val="clear" w:color="auto" w:fill="DEEAF6"/>
          </w:tcPr>
          <w:p w14:paraId="57845AD0" w14:textId="77777777" w:rsidR="00084F36" w:rsidRPr="00EB2BD8" w:rsidRDefault="00EB2BD8">
            <w:pPr>
              <w:pStyle w:val="TableParagraph"/>
              <w:spacing w:before="54"/>
              <w:ind w:right="95"/>
              <w:jc w:val="right"/>
              <w:rPr>
                <w:rFonts w:ascii="Arial"/>
                <w:sz w:val="17"/>
              </w:rPr>
            </w:pPr>
            <w:r w:rsidRPr="00EB2BD8">
              <w:rPr>
                <w:rFonts w:ascii="Arial"/>
                <w:spacing w:val="-2"/>
                <w:sz w:val="17"/>
              </w:rPr>
              <w:t>3,511</w:t>
            </w:r>
          </w:p>
        </w:tc>
        <w:tc>
          <w:tcPr>
            <w:tcW w:w="1179" w:type="dxa"/>
            <w:tcBorders>
              <w:top w:val="single" w:sz="4" w:space="0" w:color="0098FF"/>
            </w:tcBorders>
            <w:shd w:val="clear" w:color="auto" w:fill="FFFFFF"/>
          </w:tcPr>
          <w:p w14:paraId="0B9CC21F" w14:textId="77777777" w:rsidR="00084F36" w:rsidRPr="00EB2BD8" w:rsidRDefault="00EB2BD8">
            <w:pPr>
              <w:pStyle w:val="TableParagraph"/>
              <w:spacing w:before="54"/>
              <w:ind w:right="93"/>
              <w:jc w:val="right"/>
              <w:rPr>
                <w:rFonts w:ascii="Arial"/>
                <w:sz w:val="17"/>
              </w:rPr>
            </w:pPr>
            <w:r w:rsidRPr="00EB2BD8">
              <w:rPr>
                <w:rFonts w:ascii="Arial"/>
                <w:spacing w:val="-2"/>
                <w:sz w:val="17"/>
              </w:rPr>
              <w:t>3,002</w:t>
            </w:r>
          </w:p>
        </w:tc>
      </w:tr>
      <w:tr w:rsidR="00EB2BD8" w:rsidRPr="00EB2BD8" w14:paraId="7442C2FA" w14:textId="77777777">
        <w:trPr>
          <w:trHeight w:val="316"/>
        </w:trPr>
        <w:tc>
          <w:tcPr>
            <w:tcW w:w="6552" w:type="dxa"/>
            <w:shd w:val="clear" w:color="auto" w:fill="FFFFFF"/>
          </w:tcPr>
          <w:p w14:paraId="1975BE1D" w14:textId="77777777" w:rsidR="00084F36" w:rsidRPr="00EB2BD8" w:rsidRDefault="00EB2BD8">
            <w:pPr>
              <w:pStyle w:val="TableParagraph"/>
              <w:spacing w:before="56"/>
              <w:ind w:left="105"/>
              <w:rPr>
                <w:rFonts w:ascii="Arial"/>
                <w:sz w:val="17"/>
              </w:rPr>
            </w:pPr>
            <w:r w:rsidRPr="00EB2BD8">
              <w:rPr>
                <w:rFonts w:ascii="Arial"/>
                <w:spacing w:val="-2"/>
                <w:sz w:val="17"/>
              </w:rPr>
              <w:t>Post-employment</w:t>
            </w:r>
            <w:r w:rsidRPr="00EB2BD8">
              <w:rPr>
                <w:rFonts w:ascii="Arial"/>
                <w:spacing w:val="10"/>
                <w:sz w:val="17"/>
              </w:rPr>
              <w:t xml:space="preserve"> </w:t>
            </w:r>
            <w:r w:rsidRPr="00EB2BD8">
              <w:rPr>
                <w:rFonts w:ascii="Arial"/>
                <w:spacing w:val="-2"/>
                <w:sz w:val="17"/>
              </w:rPr>
              <w:t>benefits</w:t>
            </w:r>
          </w:p>
        </w:tc>
        <w:tc>
          <w:tcPr>
            <w:tcW w:w="1179" w:type="dxa"/>
            <w:shd w:val="clear" w:color="auto" w:fill="DEEAF6"/>
          </w:tcPr>
          <w:p w14:paraId="550B159B" w14:textId="77777777" w:rsidR="00084F36" w:rsidRPr="00EB2BD8" w:rsidRDefault="00EB2BD8">
            <w:pPr>
              <w:pStyle w:val="TableParagraph"/>
              <w:spacing w:before="56"/>
              <w:ind w:right="95"/>
              <w:jc w:val="right"/>
              <w:rPr>
                <w:rFonts w:ascii="Arial"/>
                <w:sz w:val="17"/>
              </w:rPr>
            </w:pPr>
            <w:r w:rsidRPr="00EB2BD8">
              <w:rPr>
                <w:rFonts w:ascii="Arial"/>
                <w:spacing w:val="-5"/>
                <w:sz w:val="17"/>
              </w:rPr>
              <w:t>279</w:t>
            </w:r>
          </w:p>
        </w:tc>
        <w:tc>
          <w:tcPr>
            <w:tcW w:w="1179" w:type="dxa"/>
            <w:shd w:val="clear" w:color="auto" w:fill="FFFFFF"/>
          </w:tcPr>
          <w:p w14:paraId="2548C88E" w14:textId="77777777" w:rsidR="00084F36" w:rsidRPr="00EB2BD8" w:rsidRDefault="00EB2BD8">
            <w:pPr>
              <w:pStyle w:val="TableParagraph"/>
              <w:spacing w:before="56"/>
              <w:ind w:right="93"/>
              <w:jc w:val="right"/>
              <w:rPr>
                <w:rFonts w:ascii="Arial"/>
                <w:sz w:val="17"/>
              </w:rPr>
            </w:pPr>
            <w:r w:rsidRPr="00EB2BD8">
              <w:rPr>
                <w:rFonts w:ascii="Arial"/>
                <w:spacing w:val="-5"/>
                <w:sz w:val="17"/>
              </w:rPr>
              <w:t>228</w:t>
            </w:r>
          </w:p>
        </w:tc>
      </w:tr>
      <w:tr w:rsidR="00EB2BD8" w:rsidRPr="00EB2BD8" w14:paraId="4BFD41F4" w14:textId="77777777">
        <w:trPr>
          <w:trHeight w:val="315"/>
        </w:trPr>
        <w:tc>
          <w:tcPr>
            <w:tcW w:w="6552" w:type="dxa"/>
            <w:tcBorders>
              <w:bottom w:val="single" w:sz="12" w:space="0" w:color="000000"/>
            </w:tcBorders>
            <w:shd w:val="clear" w:color="auto" w:fill="FFFFFF"/>
          </w:tcPr>
          <w:p w14:paraId="403EF764" w14:textId="77777777" w:rsidR="00084F36" w:rsidRPr="00EB2BD8" w:rsidRDefault="00EB2BD8">
            <w:pPr>
              <w:pStyle w:val="TableParagraph"/>
              <w:spacing w:before="58"/>
              <w:ind w:left="105"/>
              <w:rPr>
                <w:rFonts w:ascii="Arial"/>
                <w:sz w:val="17"/>
              </w:rPr>
            </w:pPr>
            <w:r w:rsidRPr="00EB2BD8">
              <w:rPr>
                <w:rFonts w:ascii="Arial"/>
                <w:sz w:val="17"/>
              </w:rPr>
              <w:t>Other</w:t>
            </w:r>
            <w:r w:rsidRPr="00EB2BD8">
              <w:rPr>
                <w:rFonts w:ascii="Arial"/>
                <w:spacing w:val="-9"/>
                <w:sz w:val="17"/>
              </w:rPr>
              <w:t xml:space="preserve"> </w:t>
            </w:r>
            <w:r w:rsidRPr="00EB2BD8">
              <w:rPr>
                <w:rFonts w:ascii="Arial"/>
                <w:sz w:val="17"/>
              </w:rPr>
              <w:t>long-term</w:t>
            </w:r>
            <w:r w:rsidRPr="00EB2BD8">
              <w:rPr>
                <w:rFonts w:ascii="Arial"/>
                <w:spacing w:val="-9"/>
                <w:sz w:val="17"/>
              </w:rPr>
              <w:t xml:space="preserve"> </w:t>
            </w:r>
            <w:r w:rsidRPr="00EB2BD8">
              <w:rPr>
                <w:rFonts w:ascii="Arial"/>
                <w:spacing w:val="-2"/>
                <w:sz w:val="17"/>
              </w:rPr>
              <w:t>benefits</w:t>
            </w:r>
          </w:p>
        </w:tc>
        <w:tc>
          <w:tcPr>
            <w:tcW w:w="1179" w:type="dxa"/>
            <w:tcBorders>
              <w:bottom w:val="single" w:sz="12" w:space="0" w:color="000000"/>
            </w:tcBorders>
            <w:shd w:val="clear" w:color="auto" w:fill="DEEAF6"/>
          </w:tcPr>
          <w:p w14:paraId="4AA599DC" w14:textId="77777777" w:rsidR="00084F36" w:rsidRPr="00EB2BD8" w:rsidRDefault="00EB2BD8">
            <w:pPr>
              <w:pStyle w:val="TableParagraph"/>
              <w:spacing w:before="58"/>
              <w:ind w:right="95"/>
              <w:jc w:val="right"/>
              <w:rPr>
                <w:rFonts w:ascii="Arial"/>
                <w:sz w:val="17"/>
              </w:rPr>
            </w:pPr>
            <w:r w:rsidRPr="00EB2BD8">
              <w:rPr>
                <w:rFonts w:ascii="Arial"/>
                <w:spacing w:val="-5"/>
                <w:sz w:val="17"/>
              </w:rPr>
              <w:t>200</w:t>
            </w:r>
          </w:p>
        </w:tc>
        <w:tc>
          <w:tcPr>
            <w:tcW w:w="1179" w:type="dxa"/>
            <w:tcBorders>
              <w:bottom w:val="single" w:sz="12" w:space="0" w:color="000000"/>
            </w:tcBorders>
            <w:shd w:val="clear" w:color="auto" w:fill="FFFFFF"/>
          </w:tcPr>
          <w:p w14:paraId="4E0C614A" w14:textId="77777777" w:rsidR="00084F36" w:rsidRPr="00EB2BD8" w:rsidRDefault="00EB2BD8">
            <w:pPr>
              <w:pStyle w:val="TableParagraph"/>
              <w:spacing w:before="58"/>
              <w:ind w:right="93"/>
              <w:jc w:val="right"/>
              <w:rPr>
                <w:rFonts w:ascii="Arial"/>
                <w:sz w:val="17"/>
              </w:rPr>
            </w:pPr>
            <w:r w:rsidRPr="00EB2BD8">
              <w:rPr>
                <w:rFonts w:ascii="Arial"/>
                <w:spacing w:val="-5"/>
                <w:sz w:val="17"/>
              </w:rPr>
              <w:t>60</w:t>
            </w:r>
          </w:p>
        </w:tc>
      </w:tr>
      <w:tr w:rsidR="00EB2BD8" w:rsidRPr="00EB2BD8" w14:paraId="70AF3782" w14:textId="77777777">
        <w:trPr>
          <w:trHeight w:val="287"/>
        </w:trPr>
        <w:tc>
          <w:tcPr>
            <w:tcW w:w="6552" w:type="dxa"/>
            <w:tcBorders>
              <w:top w:val="single" w:sz="12" w:space="0" w:color="000000"/>
              <w:bottom w:val="single" w:sz="12" w:space="0" w:color="000000"/>
            </w:tcBorders>
            <w:shd w:val="clear" w:color="auto" w:fill="FFFFFF"/>
          </w:tcPr>
          <w:p w14:paraId="4DD800F6" w14:textId="77777777" w:rsidR="00084F36" w:rsidRPr="00EB2BD8" w:rsidRDefault="00EB2BD8">
            <w:pPr>
              <w:pStyle w:val="TableParagraph"/>
              <w:spacing w:before="45"/>
              <w:ind w:left="105"/>
              <w:rPr>
                <w:rFonts w:ascii="Arial"/>
                <w:b/>
                <w:sz w:val="17"/>
              </w:rPr>
            </w:pPr>
            <w:r w:rsidRPr="00EB2BD8">
              <w:rPr>
                <w:rFonts w:ascii="Arial"/>
                <w:b/>
                <w:spacing w:val="-2"/>
                <w:sz w:val="17"/>
              </w:rPr>
              <w:t>Total</w:t>
            </w:r>
          </w:p>
        </w:tc>
        <w:tc>
          <w:tcPr>
            <w:tcW w:w="1179" w:type="dxa"/>
            <w:tcBorders>
              <w:top w:val="single" w:sz="12" w:space="0" w:color="000000"/>
              <w:bottom w:val="single" w:sz="12" w:space="0" w:color="000000"/>
            </w:tcBorders>
            <w:shd w:val="clear" w:color="auto" w:fill="DEEAF6"/>
          </w:tcPr>
          <w:p w14:paraId="72A9B69B" w14:textId="77777777" w:rsidR="00084F36" w:rsidRPr="00EB2BD8" w:rsidRDefault="00EB2BD8">
            <w:pPr>
              <w:pStyle w:val="TableParagraph"/>
              <w:spacing w:before="45"/>
              <w:ind w:right="95"/>
              <w:jc w:val="right"/>
              <w:rPr>
                <w:rFonts w:ascii="Arial"/>
                <w:b/>
                <w:sz w:val="17"/>
              </w:rPr>
            </w:pPr>
            <w:r w:rsidRPr="00EB2BD8">
              <w:rPr>
                <w:rFonts w:ascii="Arial"/>
                <w:b/>
                <w:spacing w:val="-2"/>
                <w:sz w:val="17"/>
              </w:rPr>
              <w:t>3,990</w:t>
            </w:r>
          </w:p>
        </w:tc>
        <w:tc>
          <w:tcPr>
            <w:tcW w:w="1179" w:type="dxa"/>
            <w:tcBorders>
              <w:top w:val="single" w:sz="12" w:space="0" w:color="000000"/>
              <w:bottom w:val="single" w:sz="12" w:space="0" w:color="000000"/>
            </w:tcBorders>
            <w:shd w:val="clear" w:color="auto" w:fill="FFFFFF"/>
          </w:tcPr>
          <w:p w14:paraId="73CF3EF5" w14:textId="77777777" w:rsidR="00084F36" w:rsidRPr="00EB2BD8" w:rsidRDefault="00EB2BD8">
            <w:pPr>
              <w:pStyle w:val="TableParagraph"/>
              <w:spacing w:before="45"/>
              <w:ind w:right="95"/>
              <w:jc w:val="right"/>
              <w:rPr>
                <w:rFonts w:ascii="Arial"/>
                <w:b/>
                <w:sz w:val="17"/>
              </w:rPr>
            </w:pPr>
            <w:r w:rsidRPr="00EB2BD8">
              <w:rPr>
                <w:rFonts w:ascii="Arial"/>
                <w:b/>
                <w:spacing w:val="-2"/>
                <w:sz w:val="17"/>
              </w:rPr>
              <w:t>3,290</w:t>
            </w:r>
          </w:p>
        </w:tc>
      </w:tr>
    </w:tbl>
    <w:p w14:paraId="0CF175D5" w14:textId="77777777" w:rsidR="00084F36" w:rsidRPr="00EB2BD8" w:rsidRDefault="00084F36">
      <w:pPr>
        <w:pStyle w:val="BodyText"/>
        <w:spacing w:before="7"/>
        <w:rPr>
          <w:rFonts w:ascii="Arial"/>
          <w:sz w:val="21"/>
        </w:rPr>
      </w:pPr>
    </w:p>
    <w:p w14:paraId="26422CBF" w14:textId="77777777" w:rsidR="00084F36" w:rsidRPr="00EB2BD8" w:rsidRDefault="00EB2BD8">
      <w:pPr>
        <w:spacing w:line="273" w:lineRule="auto"/>
        <w:ind w:left="1014" w:right="1761"/>
        <w:rPr>
          <w:rFonts w:ascii="Arial"/>
          <w:sz w:val="17"/>
        </w:rPr>
      </w:pPr>
      <w:r w:rsidRPr="00EB2BD8">
        <w:rPr>
          <w:rFonts w:ascii="Arial"/>
          <w:sz w:val="17"/>
        </w:rPr>
        <w:t>Remuneration</w:t>
      </w:r>
      <w:r w:rsidRPr="00EB2BD8">
        <w:rPr>
          <w:rFonts w:ascii="Arial"/>
          <w:spacing w:val="-6"/>
          <w:sz w:val="17"/>
        </w:rPr>
        <w:t xml:space="preserve"> </w:t>
      </w:r>
      <w:r w:rsidRPr="00EB2BD8">
        <w:rPr>
          <w:rFonts w:ascii="Arial"/>
          <w:sz w:val="17"/>
        </w:rPr>
        <w:t>of</w:t>
      </w:r>
      <w:r w:rsidRPr="00EB2BD8">
        <w:rPr>
          <w:rFonts w:ascii="Arial"/>
          <w:spacing w:val="-6"/>
          <w:sz w:val="17"/>
        </w:rPr>
        <w:t xml:space="preserve"> </w:t>
      </w:r>
      <w:r w:rsidRPr="00EB2BD8">
        <w:rPr>
          <w:rFonts w:ascii="Arial"/>
          <w:sz w:val="17"/>
        </w:rPr>
        <w:t>staff</w:t>
      </w:r>
      <w:r w:rsidRPr="00EB2BD8">
        <w:rPr>
          <w:rFonts w:ascii="Arial"/>
          <w:spacing w:val="-6"/>
          <w:sz w:val="17"/>
        </w:rPr>
        <w:t xml:space="preserve"> </w:t>
      </w:r>
      <w:r w:rsidRPr="00EB2BD8">
        <w:rPr>
          <w:rFonts w:ascii="Arial"/>
          <w:sz w:val="17"/>
        </w:rPr>
        <w:t>who</w:t>
      </w:r>
      <w:r w:rsidRPr="00EB2BD8">
        <w:rPr>
          <w:rFonts w:ascii="Arial"/>
          <w:spacing w:val="-7"/>
          <w:sz w:val="17"/>
        </w:rPr>
        <w:t xml:space="preserve"> </w:t>
      </w:r>
      <w:r w:rsidRPr="00EB2BD8">
        <w:rPr>
          <w:rFonts w:ascii="Arial"/>
          <w:sz w:val="17"/>
        </w:rPr>
        <w:t>have</w:t>
      </w:r>
      <w:r w:rsidRPr="00EB2BD8">
        <w:rPr>
          <w:rFonts w:ascii="Arial"/>
          <w:spacing w:val="-7"/>
          <w:sz w:val="17"/>
        </w:rPr>
        <w:t xml:space="preserve"> </w:t>
      </w:r>
      <w:r w:rsidRPr="00EB2BD8">
        <w:rPr>
          <w:rFonts w:ascii="Arial"/>
          <w:sz w:val="17"/>
        </w:rPr>
        <w:t>acted</w:t>
      </w:r>
      <w:r w:rsidRPr="00EB2BD8">
        <w:rPr>
          <w:rFonts w:ascii="Arial"/>
          <w:spacing w:val="-7"/>
          <w:sz w:val="17"/>
        </w:rPr>
        <w:t xml:space="preserve"> </w:t>
      </w:r>
      <w:r w:rsidRPr="00EB2BD8">
        <w:rPr>
          <w:rFonts w:ascii="Arial"/>
          <w:sz w:val="17"/>
        </w:rPr>
        <w:t>in</w:t>
      </w:r>
      <w:r w:rsidRPr="00EB2BD8">
        <w:rPr>
          <w:rFonts w:ascii="Arial"/>
          <w:spacing w:val="-7"/>
          <w:sz w:val="17"/>
        </w:rPr>
        <w:t xml:space="preserve"> </w:t>
      </w:r>
      <w:r w:rsidRPr="00EB2BD8">
        <w:rPr>
          <w:rFonts w:ascii="Arial"/>
          <w:sz w:val="17"/>
        </w:rPr>
        <w:t>the</w:t>
      </w:r>
      <w:r w:rsidRPr="00EB2BD8">
        <w:rPr>
          <w:rFonts w:ascii="Arial"/>
          <w:spacing w:val="-7"/>
          <w:sz w:val="17"/>
        </w:rPr>
        <w:t xml:space="preserve"> </w:t>
      </w:r>
      <w:r w:rsidRPr="00EB2BD8">
        <w:rPr>
          <w:rFonts w:ascii="Arial"/>
          <w:sz w:val="17"/>
        </w:rPr>
        <w:t>executive</w:t>
      </w:r>
      <w:r w:rsidRPr="00EB2BD8">
        <w:rPr>
          <w:rFonts w:ascii="Arial"/>
          <w:spacing w:val="-7"/>
          <w:sz w:val="17"/>
        </w:rPr>
        <w:t xml:space="preserve"> </w:t>
      </w:r>
      <w:r w:rsidRPr="00EB2BD8">
        <w:rPr>
          <w:rFonts w:ascii="Arial"/>
          <w:sz w:val="17"/>
        </w:rPr>
        <w:t>position</w:t>
      </w:r>
      <w:r w:rsidRPr="00EB2BD8">
        <w:rPr>
          <w:rFonts w:ascii="Arial"/>
          <w:spacing w:val="-7"/>
          <w:sz w:val="17"/>
        </w:rPr>
        <w:t xml:space="preserve"> </w:t>
      </w:r>
      <w:r w:rsidRPr="00EB2BD8">
        <w:rPr>
          <w:rFonts w:ascii="Arial"/>
          <w:sz w:val="17"/>
        </w:rPr>
        <w:t>(KMP)</w:t>
      </w:r>
      <w:r w:rsidRPr="00EB2BD8">
        <w:rPr>
          <w:rFonts w:ascii="Arial"/>
          <w:spacing w:val="-6"/>
          <w:sz w:val="17"/>
        </w:rPr>
        <w:t xml:space="preserve"> </w:t>
      </w:r>
      <w:r w:rsidRPr="00EB2BD8">
        <w:rPr>
          <w:rFonts w:ascii="Arial"/>
          <w:sz w:val="17"/>
        </w:rPr>
        <w:t>for</w:t>
      </w:r>
      <w:r w:rsidRPr="00EB2BD8">
        <w:rPr>
          <w:rFonts w:ascii="Arial"/>
          <w:spacing w:val="-6"/>
          <w:sz w:val="17"/>
        </w:rPr>
        <w:t xml:space="preserve"> </w:t>
      </w:r>
      <w:r w:rsidRPr="00EB2BD8">
        <w:rPr>
          <w:rFonts w:ascii="Arial"/>
          <w:sz w:val="17"/>
        </w:rPr>
        <w:t>over</w:t>
      </w:r>
      <w:r w:rsidRPr="00EB2BD8">
        <w:rPr>
          <w:rFonts w:ascii="Arial"/>
          <w:spacing w:val="-6"/>
          <w:sz w:val="17"/>
        </w:rPr>
        <w:t xml:space="preserve"> </w:t>
      </w:r>
      <w:r w:rsidRPr="00EB2BD8">
        <w:rPr>
          <w:rFonts w:ascii="Arial"/>
          <w:sz w:val="17"/>
        </w:rPr>
        <w:t>two</w:t>
      </w:r>
      <w:r w:rsidRPr="00EB2BD8">
        <w:rPr>
          <w:rFonts w:ascii="Arial"/>
          <w:spacing w:val="-7"/>
          <w:sz w:val="17"/>
        </w:rPr>
        <w:t xml:space="preserve"> </w:t>
      </w:r>
      <w:r w:rsidRPr="00EB2BD8">
        <w:rPr>
          <w:rFonts w:ascii="Arial"/>
          <w:sz w:val="17"/>
        </w:rPr>
        <w:t>months</w:t>
      </w:r>
      <w:r w:rsidRPr="00EB2BD8">
        <w:rPr>
          <w:rFonts w:ascii="Arial"/>
          <w:spacing w:val="-5"/>
          <w:sz w:val="17"/>
        </w:rPr>
        <w:t xml:space="preserve"> </w:t>
      </w:r>
      <w:r w:rsidRPr="00EB2BD8">
        <w:rPr>
          <w:rFonts w:ascii="Arial"/>
          <w:sz w:val="17"/>
        </w:rPr>
        <w:t>have</w:t>
      </w:r>
      <w:r w:rsidRPr="00EB2BD8">
        <w:rPr>
          <w:rFonts w:ascii="Arial"/>
          <w:spacing w:val="-7"/>
          <w:sz w:val="17"/>
        </w:rPr>
        <w:t xml:space="preserve"> </w:t>
      </w:r>
      <w:r w:rsidRPr="00EB2BD8">
        <w:rPr>
          <w:rFonts w:ascii="Arial"/>
          <w:sz w:val="17"/>
        </w:rPr>
        <w:t>been</w:t>
      </w:r>
      <w:r w:rsidRPr="00EB2BD8">
        <w:rPr>
          <w:rFonts w:ascii="Arial"/>
          <w:spacing w:val="-7"/>
          <w:sz w:val="17"/>
        </w:rPr>
        <w:t xml:space="preserve"> </w:t>
      </w:r>
      <w:r w:rsidRPr="00EB2BD8">
        <w:rPr>
          <w:rFonts w:ascii="Arial"/>
          <w:sz w:val="17"/>
        </w:rPr>
        <w:t>included</w:t>
      </w:r>
      <w:r w:rsidRPr="00EB2BD8">
        <w:rPr>
          <w:rFonts w:ascii="Arial"/>
          <w:spacing w:val="-7"/>
          <w:sz w:val="17"/>
        </w:rPr>
        <w:t xml:space="preserve"> </w:t>
      </w:r>
      <w:r w:rsidRPr="00EB2BD8">
        <w:rPr>
          <w:rFonts w:ascii="Arial"/>
          <w:sz w:val="17"/>
        </w:rPr>
        <w:t>in</w:t>
      </w:r>
      <w:r w:rsidRPr="00EB2BD8">
        <w:rPr>
          <w:rFonts w:ascii="Arial"/>
          <w:spacing w:val="-7"/>
          <w:sz w:val="17"/>
        </w:rPr>
        <w:t xml:space="preserve"> </w:t>
      </w:r>
      <w:r w:rsidRPr="00EB2BD8">
        <w:rPr>
          <w:rFonts w:ascii="Arial"/>
          <w:sz w:val="17"/>
        </w:rPr>
        <w:t>the</w:t>
      </w:r>
      <w:r w:rsidRPr="00EB2BD8">
        <w:rPr>
          <w:rFonts w:ascii="Arial"/>
          <w:spacing w:val="-7"/>
          <w:sz w:val="17"/>
        </w:rPr>
        <w:t xml:space="preserve"> </w:t>
      </w:r>
      <w:r w:rsidRPr="00EB2BD8">
        <w:rPr>
          <w:rFonts w:ascii="Arial"/>
          <w:sz w:val="17"/>
        </w:rPr>
        <w:t xml:space="preserve">table </w:t>
      </w:r>
      <w:r w:rsidRPr="00EB2BD8">
        <w:rPr>
          <w:rFonts w:ascii="Arial"/>
          <w:spacing w:val="-2"/>
          <w:sz w:val="17"/>
        </w:rPr>
        <w:t>above.</w:t>
      </w:r>
    </w:p>
    <w:p w14:paraId="53BB4FFC" w14:textId="77777777" w:rsidR="00084F36" w:rsidRPr="00EB2BD8" w:rsidRDefault="00084F36">
      <w:pPr>
        <w:pStyle w:val="BodyText"/>
        <w:rPr>
          <w:rFonts w:ascii="Arial"/>
          <w:sz w:val="20"/>
        </w:rPr>
      </w:pPr>
    </w:p>
    <w:p w14:paraId="53F86404" w14:textId="77777777" w:rsidR="00084F36" w:rsidRPr="00EB2BD8" w:rsidRDefault="00084F36">
      <w:pPr>
        <w:pStyle w:val="BodyText"/>
        <w:rPr>
          <w:rFonts w:ascii="Arial"/>
          <w:sz w:val="20"/>
        </w:rPr>
      </w:pPr>
    </w:p>
    <w:p w14:paraId="7B21D5C0" w14:textId="77777777" w:rsidR="00084F36" w:rsidRPr="00EB2BD8" w:rsidRDefault="00084F36">
      <w:pPr>
        <w:pStyle w:val="BodyText"/>
        <w:rPr>
          <w:rFonts w:ascii="Arial"/>
          <w:sz w:val="20"/>
        </w:rPr>
      </w:pPr>
    </w:p>
    <w:p w14:paraId="5C1220F5" w14:textId="77777777" w:rsidR="00084F36" w:rsidRPr="00EB2BD8" w:rsidRDefault="00084F36">
      <w:pPr>
        <w:pStyle w:val="BodyText"/>
        <w:rPr>
          <w:rFonts w:ascii="Arial"/>
          <w:sz w:val="20"/>
        </w:rPr>
      </w:pPr>
    </w:p>
    <w:p w14:paraId="3E873ABC" w14:textId="77777777" w:rsidR="00084F36" w:rsidRPr="00EB2BD8" w:rsidRDefault="00084F36">
      <w:pPr>
        <w:pStyle w:val="BodyText"/>
        <w:spacing w:before="6"/>
        <w:rPr>
          <w:rFonts w:ascii="Arial"/>
          <w:sz w:val="25"/>
        </w:rPr>
      </w:pPr>
    </w:p>
    <w:p w14:paraId="64E50F11" w14:textId="46160650" w:rsidR="00084F36" w:rsidRPr="00EB2BD8" w:rsidRDefault="00EB2BD8">
      <w:pPr>
        <w:tabs>
          <w:tab w:val="left" w:pos="1906"/>
        </w:tabs>
        <w:spacing w:before="91"/>
        <w:ind w:left="842"/>
        <w:rPr>
          <w:b/>
          <w:sz w:val="16"/>
        </w:rPr>
      </w:pPr>
      <w:r w:rsidRPr="00EB2BD8">
        <w:rPr>
          <w:sz w:val="16"/>
        </w:rPr>
        <w:tab/>
      </w:r>
    </w:p>
    <w:p w14:paraId="427FF809" w14:textId="77777777" w:rsidR="00084F36" w:rsidRPr="00EB2BD8" w:rsidRDefault="00084F36">
      <w:pPr>
        <w:rPr>
          <w:sz w:val="16"/>
        </w:rPr>
        <w:sectPr w:rsidR="00084F36" w:rsidRPr="00EB2BD8" w:rsidSect="006D75B2">
          <w:headerReference w:type="even" r:id="rId367"/>
          <w:footerReference w:type="even" r:id="rId368"/>
          <w:pgSz w:w="11910" w:h="16840"/>
          <w:pgMar w:top="780" w:right="0" w:bottom="280" w:left="0" w:header="0" w:footer="0" w:gutter="0"/>
          <w:cols w:space="720"/>
        </w:sectPr>
      </w:pPr>
    </w:p>
    <w:p w14:paraId="434923C0" w14:textId="77777777" w:rsidR="00084F36" w:rsidRPr="00EB2BD8" w:rsidRDefault="00084F36">
      <w:pPr>
        <w:pStyle w:val="BodyText"/>
        <w:rPr>
          <w:sz w:val="20"/>
        </w:rPr>
      </w:pPr>
    </w:p>
    <w:p w14:paraId="67ED4C9F" w14:textId="77777777" w:rsidR="00084F36" w:rsidRPr="00EB2BD8" w:rsidRDefault="00084F36">
      <w:pPr>
        <w:pStyle w:val="BodyText"/>
        <w:rPr>
          <w:sz w:val="20"/>
        </w:rPr>
      </w:pPr>
    </w:p>
    <w:p w14:paraId="15A161BB" w14:textId="77777777" w:rsidR="00084F36" w:rsidRPr="00EB2BD8" w:rsidRDefault="00084F36">
      <w:pPr>
        <w:pStyle w:val="BodyText"/>
        <w:rPr>
          <w:sz w:val="20"/>
        </w:rPr>
      </w:pPr>
    </w:p>
    <w:p w14:paraId="6B2F00F9" w14:textId="77777777" w:rsidR="00084F36" w:rsidRPr="00EB2BD8" w:rsidRDefault="00084F36">
      <w:pPr>
        <w:pStyle w:val="BodyText"/>
        <w:rPr>
          <w:sz w:val="20"/>
        </w:rPr>
      </w:pPr>
    </w:p>
    <w:p w14:paraId="05453996" w14:textId="77777777" w:rsidR="00084F36" w:rsidRPr="00EB2BD8" w:rsidRDefault="00084F36">
      <w:pPr>
        <w:pStyle w:val="BodyText"/>
        <w:rPr>
          <w:sz w:val="20"/>
        </w:rPr>
      </w:pPr>
    </w:p>
    <w:p w14:paraId="4BBEDCF9" w14:textId="77777777" w:rsidR="00084F36" w:rsidRPr="00EB2BD8" w:rsidRDefault="00084F36">
      <w:pPr>
        <w:pStyle w:val="BodyText"/>
        <w:spacing w:before="5"/>
        <w:rPr>
          <w:sz w:val="23"/>
        </w:rPr>
      </w:pPr>
    </w:p>
    <w:p w14:paraId="7430201C" w14:textId="68352B97" w:rsidR="00084F36" w:rsidRPr="00EB2BD8" w:rsidRDefault="00EB2BD8" w:rsidP="000546D6">
      <w:pPr>
        <w:pStyle w:val="Heading2"/>
        <w:ind w:left="1076"/>
      </w:pPr>
      <w:bookmarkStart w:id="370" w:name="_Toc150762672"/>
      <w:r w:rsidRPr="00EB2BD8">
        <w:t>Transactions</w:t>
      </w:r>
      <w:r w:rsidRPr="00EB2BD8">
        <w:rPr>
          <w:spacing w:val="-1"/>
        </w:rPr>
        <w:t xml:space="preserve"> </w:t>
      </w:r>
      <w:r w:rsidRPr="00EB2BD8">
        <w:t>and balances</w:t>
      </w:r>
      <w:r w:rsidRPr="00EB2BD8">
        <w:rPr>
          <w:spacing w:val="-1"/>
        </w:rPr>
        <w:t xml:space="preserve"> </w:t>
      </w:r>
      <w:r w:rsidRPr="00EB2BD8">
        <w:t>with key management</w:t>
      </w:r>
      <w:r w:rsidRPr="00EB2BD8">
        <w:rPr>
          <w:spacing w:val="-1"/>
        </w:rPr>
        <w:t xml:space="preserve"> </w:t>
      </w:r>
      <w:r w:rsidRPr="00EB2BD8">
        <w:t>personnel</w:t>
      </w:r>
      <w:r w:rsidR="000546D6">
        <w:br/>
      </w:r>
      <w:r w:rsidRPr="00EB2BD8">
        <w:t>and</w:t>
      </w:r>
      <w:r w:rsidRPr="00EB2BD8">
        <w:rPr>
          <w:spacing w:val="-1"/>
        </w:rPr>
        <w:t xml:space="preserve"> </w:t>
      </w:r>
      <w:r w:rsidRPr="00EB2BD8">
        <w:t xml:space="preserve">other related </w:t>
      </w:r>
      <w:r w:rsidRPr="00EB2BD8">
        <w:rPr>
          <w:spacing w:val="-2"/>
        </w:rPr>
        <w:t>parties</w:t>
      </w:r>
      <w:bookmarkEnd w:id="370"/>
    </w:p>
    <w:p w14:paraId="754CC256" w14:textId="77777777" w:rsidR="00084F36" w:rsidRPr="00EB2BD8" w:rsidRDefault="00EB2BD8">
      <w:pPr>
        <w:pStyle w:val="BodyText"/>
        <w:spacing w:before="161" w:line="278" w:lineRule="auto"/>
        <w:ind w:left="1076" w:right="1155"/>
        <w:rPr>
          <w:rFonts w:ascii="Arial"/>
        </w:rPr>
      </w:pPr>
      <w:r w:rsidRPr="00EB2BD8">
        <w:rPr>
          <w:rFonts w:ascii="Arial"/>
        </w:rPr>
        <w:t>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Public Administration Act 2004 and Codes of Conduct and Standards issued by the Victorian Public Sector Commission.</w:t>
      </w:r>
    </w:p>
    <w:p w14:paraId="1CC85A4D" w14:textId="77777777" w:rsidR="00084F36" w:rsidRPr="00EB2BD8" w:rsidRDefault="00EB2BD8">
      <w:pPr>
        <w:pStyle w:val="BodyText"/>
        <w:spacing w:line="276" w:lineRule="auto"/>
        <w:ind w:left="1076" w:right="1155"/>
        <w:rPr>
          <w:rFonts w:ascii="Arial"/>
        </w:rPr>
      </w:pPr>
      <w:r w:rsidRPr="00EB2BD8">
        <w:rPr>
          <w:rFonts w:ascii="Arial"/>
        </w:rPr>
        <w:t xml:space="preserve">Procurement processes occur on terms and conditions consistent with Victorian Government Purchasing Board </w:t>
      </w:r>
      <w:r w:rsidRPr="00EB2BD8">
        <w:rPr>
          <w:rFonts w:ascii="Arial"/>
          <w:spacing w:val="-2"/>
        </w:rPr>
        <w:t>requirements.</w:t>
      </w:r>
    </w:p>
    <w:p w14:paraId="4D3CF598" w14:textId="77777777" w:rsidR="00084F36" w:rsidRPr="00EB2BD8" w:rsidRDefault="00084F36">
      <w:pPr>
        <w:pStyle w:val="BodyText"/>
        <w:spacing w:before="7"/>
        <w:rPr>
          <w:rFonts w:ascii="Arial"/>
          <w:sz w:val="20"/>
        </w:rPr>
      </w:pPr>
    </w:p>
    <w:p w14:paraId="36A695D8" w14:textId="77777777" w:rsidR="00084F36" w:rsidRPr="00EB2BD8" w:rsidRDefault="00EB2BD8">
      <w:pPr>
        <w:pStyle w:val="BodyText"/>
        <w:spacing w:line="278" w:lineRule="auto"/>
        <w:ind w:left="1076" w:right="979"/>
        <w:rPr>
          <w:rFonts w:ascii="Arial"/>
        </w:rPr>
      </w:pPr>
      <w:r w:rsidRPr="00EB2BD8">
        <w:rPr>
          <w:rFonts w:ascii="Arial"/>
        </w:rPr>
        <w:t>Ms Sue Eddy resigned from her role as Chief Executive Officer (CEO) at the VBA on 14 May 2023.</w:t>
      </w:r>
      <w:r w:rsidRPr="00EB2BD8">
        <w:rPr>
          <w:rFonts w:ascii="Arial"/>
          <w:spacing w:val="40"/>
        </w:rPr>
        <w:t xml:space="preserve"> </w:t>
      </w:r>
      <w:r w:rsidRPr="00EB2BD8">
        <w:rPr>
          <w:rFonts w:ascii="Arial"/>
        </w:rPr>
        <w:t>During her tenure as CEO, she served as a Council Member for RMIT University, a board member of the Australian Building Codes Board, and an Executive In Residence of Melbourne Business School.</w:t>
      </w:r>
      <w:r w:rsidRPr="00EB2BD8">
        <w:rPr>
          <w:rFonts w:ascii="Arial"/>
          <w:spacing w:val="40"/>
        </w:rPr>
        <w:t xml:space="preserve"> </w:t>
      </w:r>
      <w:r w:rsidRPr="00EB2BD8">
        <w:rPr>
          <w:rFonts w:ascii="Arial"/>
        </w:rPr>
        <w:t>As part of the</w:t>
      </w:r>
      <w:r w:rsidRPr="00EB2BD8">
        <w:rPr>
          <w:rFonts w:ascii="Arial"/>
          <w:spacing w:val="-2"/>
        </w:rPr>
        <w:t xml:space="preserve"> </w:t>
      </w:r>
      <w:r w:rsidRPr="00EB2BD8">
        <w:rPr>
          <w:rFonts w:ascii="Arial"/>
        </w:rPr>
        <w:t>VBA research program, the VBA Board granted</w:t>
      </w:r>
    </w:p>
    <w:p w14:paraId="2FCF6034" w14:textId="77777777" w:rsidR="00084F36" w:rsidRPr="00EB2BD8" w:rsidRDefault="00EB2BD8">
      <w:pPr>
        <w:pStyle w:val="BodyText"/>
        <w:spacing w:line="278" w:lineRule="auto"/>
        <w:ind w:left="1076" w:right="1155"/>
        <w:rPr>
          <w:rFonts w:ascii="Arial"/>
        </w:rPr>
      </w:pPr>
      <w:r w:rsidRPr="00EB2BD8">
        <w:rPr>
          <w:rFonts w:ascii="Arial"/>
        </w:rPr>
        <w:t>$44,000 to RMIT University (2022: $22,000). Payments totalling $1.04 million (2022: $1.04 million) were made to the Australian Building Codes Board on behalf of the Victorian Government.</w:t>
      </w:r>
      <w:r w:rsidRPr="00EB2BD8">
        <w:rPr>
          <w:rFonts w:ascii="Arial"/>
          <w:spacing w:val="40"/>
        </w:rPr>
        <w:t xml:space="preserve"> </w:t>
      </w:r>
      <w:r w:rsidRPr="00EB2BD8">
        <w:rPr>
          <w:rFonts w:ascii="Arial"/>
        </w:rPr>
        <w:t>Ms Eddy did not have any involvement in the awarding of these grants and payments and did not receive any remuneration for any of these roles.</w:t>
      </w:r>
    </w:p>
    <w:p w14:paraId="41AA7179" w14:textId="77777777" w:rsidR="00084F36" w:rsidRPr="00EB2BD8" w:rsidRDefault="00084F36">
      <w:pPr>
        <w:pStyle w:val="BodyText"/>
        <w:spacing w:before="5"/>
        <w:rPr>
          <w:rFonts w:ascii="Arial"/>
          <w:sz w:val="20"/>
        </w:rPr>
      </w:pPr>
    </w:p>
    <w:p w14:paraId="42D00CD8" w14:textId="77777777" w:rsidR="00084F36" w:rsidRPr="00EB2BD8" w:rsidRDefault="00EB2BD8">
      <w:pPr>
        <w:pStyle w:val="BodyText"/>
        <w:spacing w:line="276" w:lineRule="auto"/>
        <w:ind w:left="1076" w:right="1155"/>
        <w:rPr>
          <w:rFonts w:ascii="Arial"/>
        </w:rPr>
      </w:pPr>
      <w:r w:rsidRPr="00EB2BD8">
        <w:rPr>
          <w:rFonts w:ascii="Arial"/>
        </w:rPr>
        <w:t>Outside of normal citizen type transactions with the VBA, there were no other related party transactions that involved key management personnel, their close family members and their personal business interests. No provision has been required, nor any expense recognised, for impairment of receivables from related parties.</w:t>
      </w:r>
    </w:p>
    <w:p w14:paraId="428984CC" w14:textId="77777777" w:rsidR="00084F36" w:rsidRPr="00EB2BD8" w:rsidRDefault="00084F36">
      <w:pPr>
        <w:pStyle w:val="BodyText"/>
        <w:rPr>
          <w:rFonts w:ascii="Arial"/>
          <w:sz w:val="21"/>
        </w:rPr>
      </w:pPr>
    </w:p>
    <w:p w14:paraId="30B86725" w14:textId="220195A0" w:rsidR="00084F36" w:rsidRPr="00EB2BD8" w:rsidRDefault="000546D6" w:rsidP="000546D6">
      <w:pPr>
        <w:pStyle w:val="Heading2"/>
        <w:ind w:firstLine="226"/>
      </w:pPr>
      <w:bookmarkStart w:id="371" w:name="_Toc150762673"/>
      <w:r>
        <w:t>8.6 R</w:t>
      </w:r>
      <w:r w:rsidRPr="00EB2BD8">
        <w:t>emuneration</w:t>
      </w:r>
      <w:r w:rsidRPr="00EB2BD8">
        <w:rPr>
          <w:spacing w:val="-2"/>
        </w:rPr>
        <w:t xml:space="preserve"> </w:t>
      </w:r>
      <w:r w:rsidRPr="00EB2BD8">
        <w:t>of</w:t>
      </w:r>
      <w:r w:rsidRPr="00EB2BD8">
        <w:rPr>
          <w:spacing w:val="-1"/>
        </w:rPr>
        <w:t xml:space="preserve"> </w:t>
      </w:r>
      <w:r w:rsidRPr="00EB2BD8">
        <w:rPr>
          <w:spacing w:val="-2"/>
        </w:rPr>
        <w:t>auditors</w:t>
      </w:r>
      <w:bookmarkEnd w:id="371"/>
    </w:p>
    <w:p w14:paraId="2D59B289" w14:textId="77777777" w:rsidR="00084F36" w:rsidRPr="00EB2BD8" w:rsidRDefault="00084F36">
      <w:pPr>
        <w:pStyle w:val="BodyText"/>
        <w:spacing w:before="1"/>
        <w:rPr>
          <w:rFonts w:ascii="Arial"/>
          <w:b/>
          <w:sz w:val="25"/>
        </w:rPr>
      </w:pPr>
    </w:p>
    <w:p w14:paraId="6522FF2B" w14:textId="77777777" w:rsidR="00084F36" w:rsidRPr="00EB2BD8" w:rsidRDefault="00EB2BD8">
      <w:pPr>
        <w:pStyle w:val="BodyText"/>
        <w:ind w:right="1376"/>
        <w:jc w:val="right"/>
        <w:rPr>
          <w:rFonts w:ascii="Arial" w:hAnsi="Arial"/>
        </w:rPr>
      </w:pPr>
      <w:r w:rsidRPr="00EB2BD8">
        <w:rPr>
          <w:rFonts w:ascii="Arial" w:hAnsi="Arial"/>
          <w:spacing w:val="-2"/>
        </w:rPr>
        <w:t>($’000)</w:t>
      </w:r>
    </w:p>
    <w:p w14:paraId="0AA406D1" w14:textId="77777777" w:rsidR="00084F36" w:rsidRPr="00EB2BD8" w:rsidRDefault="00084F36">
      <w:pPr>
        <w:pStyle w:val="BodyText"/>
        <w:spacing w:before="6"/>
        <w:rPr>
          <w:rFonts w:ascii="Arial"/>
          <w:sz w:val="8"/>
        </w:rPr>
      </w:pPr>
    </w:p>
    <w:tbl>
      <w:tblPr>
        <w:tblW w:w="0" w:type="auto"/>
        <w:tblInd w:w="1084" w:type="dxa"/>
        <w:tblBorders>
          <w:top w:val="single" w:sz="4" w:space="0" w:color="0098FF"/>
          <w:left w:val="single" w:sz="4" w:space="0" w:color="0098FF"/>
          <w:bottom w:val="single" w:sz="4" w:space="0" w:color="0098FF"/>
          <w:right w:val="single" w:sz="4" w:space="0" w:color="0098FF"/>
          <w:insideH w:val="single" w:sz="4" w:space="0" w:color="0098FF"/>
          <w:insideV w:val="single" w:sz="4" w:space="0" w:color="0098FF"/>
        </w:tblBorders>
        <w:tblLayout w:type="fixed"/>
        <w:tblCellMar>
          <w:left w:w="0" w:type="dxa"/>
          <w:right w:w="0" w:type="dxa"/>
        </w:tblCellMar>
        <w:tblLook w:val="01E0" w:firstRow="1" w:lastRow="1" w:firstColumn="1" w:lastColumn="1" w:noHBand="0" w:noVBand="0"/>
      </w:tblPr>
      <w:tblGrid>
        <w:gridCol w:w="6552"/>
        <w:gridCol w:w="1503"/>
        <w:gridCol w:w="1503"/>
      </w:tblGrid>
      <w:tr w:rsidR="00EB2BD8" w:rsidRPr="00EB2BD8" w14:paraId="60D0E5CD" w14:textId="77777777">
        <w:trPr>
          <w:trHeight w:val="421"/>
        </w:trPr>
        <w:tc>
          <w:tcPr>
            <w:tcW w:w="8055" w:type="dxa"/>
            <w:gridSpan w:val="2"/>
            <w:tcBorders>
              <w:right w:val="nil"/>
            </w:tcBorders>
            <w:shd w:val="clear" w:color="auto" w:fill="0070C0"/>
          </w:tcPr>
          <w:p w14:paraId="51A62C82" w14:textId="77777777" w:rsidR="00084F36" w:rsidRPr="00EB2BD8" w:rsidRDefault="00EB2BD8">
            <w:pPr>
              <w:pStyle w:val="TableParagraph"/>
              <w:spacing w:before="107"/>
              <w:ind w:right="101"/>
              <w:jc w:val="right"/>
              <w:rPr>
                <w:rFonts w:ascii="Arial"/>
                <w:b/>
                <w:sz w:val="18"/>
              </w:rPr>
            </w:pPr>
            <w:r w:rsidRPr="00EB2BD8">
              <w:rPr>
                <w:rFonts w:ascii="Arial"/>
                <w:b/>
                <w:spacing w:val="-4"/>
                <w:sz w:val="18"/>
              </w:rPr>
              <w:t>2023</w:t>
            </w:r>
          </w:p>
        </w:tc>
        <w:tc>
          <w:tcPr>
            <w:tcW w:w="1503" w:type="dxa"/>
            <w:tcBorders>
              <w:left w:val="nil"/>
            </w:tcBorders>
            <w:shd w:val="clear" w:color="auto" w:fill="0070C0"/>
          </w:tcPr>
          <w:p w14:paraId="6F0653FC" w14:textId="77777777" w:rsidR="00084F36" w:rsidRPr="00EB2BD8" w:rsidRDefault="00EB2BD8">
            <w:pPr>
              <w:pStyle w:val="TableParagraph"/>
              <w:spacing w:before="107"/>
              <w:ind w:right="94"/>
              <w:jc w:val="right"/>
              <w:rPr>
                <w:rFonts w:ascii="Arial"/>
                <w:b/>
                <w:sz w:val="18"/>
              </w:rPr>
            </w:pPr>
            <w:r w:rsidRPr="00EB2BD8">
              <w:rPr>
                <w:rFonts w:ascii="Arial"/>
                <w:b/>
                <w:spacing w:val="-4"/>
                <w:sz w:val="18"/>
              </w:rPr>
              <w:t>2022</w:t>
            </w:r>
          </w:p>
        </w:tc>
      </w:tr>
      <w:tr w:rsidR="00EB2BD8" w:rsidRPr="00EB2BD8" w14:paraId="080152B0" w14:textId="77777777">
        <w:trPr>
          <w:trHeight w:val="673"/>
        </w:trPr>
        <w:tc>
          <w:tcPr>
            <w:tcW w:w="6552" w:type="dxa"/>
            <w:tcBorders>
              <w:left w:val="nil"/>
              <w:bottom w:val="single" w:sz="12" w:space="0" w:color="000000"/>
              <w:right w:val="nil"/>
            </w:tcBorders>
            <w:shd w:val="clear" w:color="auto" w:fill="FFFFFF"/>
          </w:tcPr>
          <w:p w14:paraId="490CE208" w14:textId="77777777" w:rsidR="00084F36" w:rsidRPr="00EB2BD8" w:rsidRDefault="00EB2BD8">
            <w:pPr>
              <w:pStyle w:val="TableParagraph"/>
              <w:spacing w:before="62"/>
              <w:ind w:left="113"/>
              <w:rPr>
                <w:rFonts w:ascii="Arial"/>
                <w:b/>
                <w:sz w:val="18"/>
              </w:rPr>
            </w:pPr>
            <w:r w:rsidRPr="00EB2BD8">
              <w:rPr>
                <w:rFonts w:ascii="Arial"/>
                <w:b/>
                <w:sz w:val="18"/>
              </w:rPr>
              <w:t>Victorian</w:t>
            </w:r>
            <w:r w:rsidRPr="00EB2BD8">
              <w:rPr>
                <w:rFonts w:ascii="Arial"/>
                <w:b/>
                <w:spacing w:val="-5"/>
                <w:sz w:val="18"/>
              </w:rPr>
              <w:t xml:space="preserve"> </w:t>
            </w:r>
            <w:r w:rsidRPr="00EB2BD8">
              <w:rPr>
                <w:rFonts w:ascii="Arial"/>
                <w:b/>
                <w:sz w:val="18"/>
              </w:rPr>
              <w:t>Auditor-General's</w:t>
            </w:r>
            <w:r w:rsidRPr="00EB2BD8">
              <w:rPr>
                <w:rFonts w:ascii="Arial"/>
                <w:b/>
                <w:spacing w:val="-4"/>
                <w:sz w:val="18"/>
              </w:rPr>
              <w:t xml:space="preserve"> </w:t>
            </w:r>
            <w:r w:rsidRPr="00EB2BD8">
              <w:rPr>
                <w:rFonts w:ascii="Arial"/>
                <w:b/>
                <w:spacing w:val="-2"/>
                <w:sz w:val="18"/>
              </w:rPr>
              <w:t>Office</w:t>
            </w:r>
          </w:p>
          <w:p w14:paraId="0E4830B7" w14:textId="77777777" w:rsidR="00084F36" w:rsidRPr="00EB2BD8" w:rsidRDefault="00EB2BD8">
            <w:pPr>
              <w:pStyle w:val="TableParagraph"/>
              <w:spacing w:before="130"/>
              <w:ind w:left="113"/>
              <w:rPr>
                <w:rFonts w:ascii="Arial"/>
                <w:sz w:val="18"/>
              </w:rPr>
            </w:pPr>
            <w:r w:rsidRPr="00EB2BD8">
              <w:rPr>
                <w:rFonts w:ascii="Arial"/>
                <w:sz w:val="18"/>
              </w:rPr>
              <w:t>Audit</w:t>
            </w:r>
            <w:r w:rsidRPr="00EB2BD8">
              <w:rPr>
                <w:rFonts w:ascii="Arial"/>
                <w:spacing w:val="-2"/>
                <w:sz w:val="18"/>
              </w:rPr>
              <w:t xml:space="preserve"> </w:t>
            </w:r>
            <w:r w:rsidRPr="00EB2BD8">
              <w:rPr>
                <w:rFonts w:ascii="Arial"/>
                <w:sz w:val="18"/>
              </w:rPr>
              <w:t>of</w:t>
            </w:r>
            <w:r w:rsidRPr="00EB2BD8">
              <w:rPr>
                <w:rFonts w:ascii="Arial"/>
                <w:spacing w:val="-2"/>
                <w:sz w:val="18"/>
              </w:rPr>
              <w:t xml:space="preserve"> </w:t>
            </w:r>
            <w:r w:rsidRPr="00EB2BD8">
              <w:rPr>
                <w:rFonts w:ascii="Arial"/>
                <w:sz w:val="18"/>
              </w:rPr>
              <w:t>the</w:t>
            </w:r>
            <w:r w:rsidRPr="00EB2BD8">
              <w:rPr>
                <w:rFonts w:ascii="Arial"/>
                <w:spacing w:val="-2"/>
                <w:sz w:val="18"/>
              </w:rPr>
              <w:t xml:space="preserve"> </w:t>
            </w:r>
            <w:r w:rsidRPr="00EB2BD8">
              <w:rPr>
                <w:rFonts w:ascii="Arial"/>
                <w:sz w:val="18"/>
              </w:rPr>
              <w:t>financial</w:t>
            </w:r>
            <w:r w:rsidRPr="00EB2BD8">
              <w:rPr>
                <w:rFonts w:ascii="Arial"/>
                <w:spacing w:val="-2"/>
                <w:sz w:val="18"/>
              </w:rPr>
              <w:t xml:space="preserve"> statements</w:t>
            </w:r>
          </w:p>
        </w:tc>
        <w:tc>
          <w:tcPr>
            <w:tcW w:w="1503" w:type="dxa"/>
            <w:tcBorders>
              <w:left w:val="nil"/>
              <w:bottom w:val="single" w:sz="12" w:space="0" w:color="000000"/>
              <w:right w:val="nil"/>
            </w:tcBorders>
            <w:shd w:val="clear" w:color="auto" w:fill="DEEAF6"/>
          </w:tcPr>
          <w:p w14:paraId="02818DDD" w14:textId="77777777" w:rsidR="00084F36" w:rsidRPr="00EB2BD8" w:rsidRDefault="00084F36">
            <w:pPr>
              <w:pStyle w:val="TableParagraph"/>
              <w:rPr>
                <w:rFonts w:ascii="Arial"/>
                <w:sz w:val="20"/>
              </w:rPr>
            </w:pPr>
          </w:p>
          <w:p w14:paraId="3F2BFF4C" w14:textId="77777777" w:rsidR="00084F36" w:rsidRPr="00EB2BD8" w:rsidRDefault="00EB2BD8">
            <w:pPr>
              <w:pStyle w:val="TableParagraph"/>
              <w:spacing w:before="169"/>
              <w:ind w:right="101"/>
              <w:jc w:val="right"/>
              <w:rPr>
                <w:rFonts w:ascii="Arial"/>
                <w:sz w:val="18"/>
              </w:rPr>
            </w:pPr>
            <w:r w:rsidRPr="00EB2BD8">
              <w:rPr>
                <w:rFonts w:ascii="Arial"/>
                <w:spacing w:val="-5"/>
                <w:sz w:val="18"/>
              </w:rPr>
              <w:t>60</w:t>
            </w:r>
          </w:p>
        </w:tc>
        <w:tc>
          <w:tcPr>
            <w:tcW w:w="1503" w:type="dxa"/>
            <w:tcBorders>
              <w:left w:val="nil"/>
              <w:bottom w:val="single" w:sz="12" w:space="0" w:color="000000"/>
              <w:right w:val="nil"/>
            </w:tcBorders>
            <w:shd w:val="clear" w:color="auto" w:fill="FFFFFF"/>
          </w:tcPr>
          <w:p w14:paraId="15EDE04E" w14:textId="77777777" w:rsidR="00084F36" w:rsidRPr="00EB2BD8" w:rsidRDefault="00084F36">
            <w:pPr>
              <w:pStyle w:val="TableParagraph"/>
              <w:rPr>
                <w:rFonts w:ascii="Arial"/>
                <w:sz w:val="20"/>
              </w:rPr>
            </w:pPr>
          </w:p>
          <w:p w14:paraId="61C2C4B6" w14:textId="77777777" w:rsidR="00084F36" w:rsidRPr="00EB2BD8" w:rsidRDefault="00EB2BD8">
            <w:pPr>
              <w:pStyle w:val="TableParagraph"/>
              <w:spacing w:before="169"/>
              <w:ind w:right="98"/>
              <w:jc w:val="right"/>
              <w:rPr>
                <w:rFonts w:ascii="Arial"/>
                <w:sz w:val="18"/>
              </w:rPr>
            </w:pPr>
            <w:r w:rsidRPr="00EB2BD8">
              <w:rPr>
                <w:rFonts w:ascii="Arial"/>
                <w:spacing w:val="-5"/>
                <w:sz w:val="18"/>
              </w:rPr>
              <w:t>58</w:t>
            </w:r>
          </w:p>
        </w:tc>
      </w:tr>
      <w:tr w:rsidR="00EB2BD8" w:rsidRPr="00EB2BD8" w14:paraId="32A31F72" w14:textId="77777777">
        <w:trPr>
          <w:trHeight w:val="311"/>
        </w:trPr>
        <w:tc>
          <w:tcPr>
            <w:tcW w:w="6552" w:type="dxa"/>
            <w:tcBorders>
              <w:top w:val="single" w:sz="12" w:space="0" w:color="000000"/>
              <w:left w:val="nil"/>
              <w:bottom w:val="single" w:sz="12" w:space="0" w:color="000000"/>
              <w:right w:val="nil"/>
            </w:tcBorders>
            <w:shd w:val="clear" w:color="auto" w:fill="FFFFFF"/>
          </w:tcPr>
          <w:p w14:paraId="35CDD1E0" w14:textId="77777777" w:rsidR="00084F36" w:rsidRPr="00EB2BD8" w:rsidRDefault="00EB2BD8">
            <w:pPr>
              <w:pStyle w:val="TableParagraph"/>
              <w:spacing w:before="52"/>
              <w:ind w:left="113"/>
              <w:rPr>
                <w:rFonts w:ascii="Arial"/>
                <w:b/>
                <w:sz w:val="18"/>
              </w:rPr>
            </w:pPr>
            <w:r w:rsidRPr="00EB2BD8">
              <w:rPr>
                <w:rFonts w:ascii="Arial"/>
                <w:b/>
                <w:sz w:val="18"/>
              </w:rPr>
              <w:t>Total</w:t>
            </w:r>
            <w:r w:rsidRPr="00EB2BD8">
              <w:rPr>
                <w:rFonts w:ascii="Arial"/>
                <w:b/>
                <w:spacing w:val="-2"/>
                <w:sz w:val="18"/>
              </w:rPr>
              <w:t xml:space="preserve"> </w:t>
            </w:r>
            <w:r w:rsidRPr="00EB2BD8">
              <w:rPr>
                <w:rFonts w:ascii="Arial"/>
                <w:b/>
                <w:sz w:val="18"/>
              </w:rPr>
              <w:t>remuneration</w:t>
            </w:r>
            <w:r w:rsidRPr="00EB2BD8">
              <w:rPr>
                <w:rFonts w:ascii="Arial"/>
                <w:b/>
                <w:spacing w:val="-1"/>
                <w:sz w:val="18"/>
              </w:rPr>
              <w:t xml:space="preserve"> </w:t>
            </w:r>
            <w:r w:rsidRPr="00EB2BD8">
              <w:rPr>
                <w:rFonts w:ascii="Arial"/>
                <w:b/>
                <w:sz w:val="18"/>
              </w:rPr>
              <w:t>of</w:t>
            </w:r>
            <w:r w:rsidRPr="00EB2BD8">
              <w:rPr>
                <w:rFonts w:ascii="Arial"/>
                <w:b/>
                <w:spacing w:val="-3"/>
                <w:sz w:val="18"/>
              </w:rPr>
              <w:t xml:space="preserve"> </w:t>
            </w:r>
            <w:r w:rsidRPr="00EB2BD8">
              <w:rPr>
                <w:rFonts w:ascii="Arial"/>
                <w:b/>
                <w:spacing w:val="-2"/>
                <w:sz w:val="18"/>
              </w:rPr>
              <w:t>auditors</w:t>
            </w:r>
          </w:p>
        </w:tc>
        <w:tc>
          <w:tcPr>
            <w:tcW w:w="1503" w:type="dxa"/>
            <w:tcBorders>
              <w:top w:val="single" w:sz="12" w:space="0" w:color="000000"/>
              <w:left w:val="nil"/>
              <w:bottom w:val="single" w:sz="12" w:space="0" w:color="000000"/>
              <w:right w:val="nil"/>
            </w:tcBorders>
            <w:shd w:val="clear" w:color="auto" w:fill="DEEAF6"/>
          </w:tcPr>
          <w:p w14:paraId="33F95119" w14:textId="77777777" w:rsidR="00084F36" w:rsidRPr="00EB2BD8" w:rsidRDefault="00EB2BD8">
            <w:pPr>
              <w:pStyle w:val="TableParagraph"/>
              <w:spacing w:before="52"/>
              <w:ind w:right="101"/>
              <w:jc w:val="right"/>
              <w:rPr>
                <w:rFonts w:ascii="Arial"/>
                <w:b/>
                <w:sz w:val="18"/>
              </w:rPr>
            </w:pPr>
            <w:r w:rsidRPr="00EB2BD8">
              <w:rPr>
                <w:rFonts w:ascii="Arial"/>
                <w:b/>
                <w:spacing w:val="-5"/>
                <w:sz w:val="18"/>
              </w:rPr>
              <w:t>60</w:t>
            </w:r>
          </w:p>
        </w:tc>
        <w:tc>
          <w:tcPr>
            <w:tcW w:w="1503" w:type="dxa"/>
            <w:tcBorders>
              <w:top w:val="single" w:sz="12" w:space="0" w:color="000000"/>
              <w:left w:val="nil"/>
              <w:bottom w:val="single" w:sz="12" w:space="0" w:color="000000"/>
              <w:right w:val="nil"/>
            </w:tcBorders>
            <w:shd w:val="clear" w:color="auto" w:fill="FFFFFF"/>
          </w:tcPr>
          <w:p w14:paraId="7EA8F3EF" w14:textId="77777777" w:rsidR="00084F36" w:rsidRPr="00EB2BD8" w:rsidRDefault="00EB2BD8">
            <w:pPr>
              <w:pStyle w:val="TableParagraph"/>
              <w:spacing w:before="52"/>
              <w:ind w:right="100"/>
              <w:jc w:val="right"/>
              <w:rPr>
                <w:rFonts w:ascii="Arial"/>
                <w:b/>
                <w:sz w:val="18"/>
              </w:rPr>
            </w:pPr>
            <w:r w:rsidRPr="00EB2BD8">
              <w:rPr>
                <w:rFonts w:ascii="Arial"/>
                <w:b/>
                <w:spacing w:val="-5"/>
                <w:sz w:val="18"/>
              </w:rPr>
              <w:t>58</w:t>
            </w:r>
          </w:p>
        </w:tc>
      </w:tr>
    </w:tbl>
    <w:p w14:paraId="36FA2990" w14:textId="77777777" w:rsidR="00084F36" w:rsidRPr="00EB2BD8" w:rsidRDefault="00084F36">
      <w:pPr>
        <w:pStyle w:val="BodyText"/>
        <w:rPr>
          <w:rFonts w:ascii="Arial"/>
          <w:sz w:val="20"/>
        </w:rPr>
      </w:pPr>
    </w:p>
    <w:p w14:paraId="3619484A" w14:textId="77777777" w:rsidR="00084F36" w:rsidRPr="00EB2BD8" w:rsidRDefault="00084F36">
      <w:pPr>
        <w:pStyle w:val="BodyText"/>
        <w:rPr>
          <w:rFonts w:ascii="Arial"/>
          <w:sz w:val="20"/>
        </w:rPr>
      </w:pPr>
    </w:p>
    <w:p w14:paraId="02F70399" w14:textId="77777777" w:rsidR="00084F36" w:rsidRPr="00EB2BD8" w:rsidRDefault="00084F36">
      <w:pPr>
        <w:pStyle w:val="BodyText"/>
        <w:spacing w:before="9"/>
        <w:rPr>
          <w:rFonts w:ascii="Arial"/>
          <w:sz w:val="20"/>
        </w:rPr>
      </w:pPr>
    </w:p>
    <w:p w14:paraId="5951A759" w14:textId="46380773" w:rsidR="00084F36" w:rsidRPr="000546D6" w:rsidRDefault="000546D6" w:rsidP="000546D6">
      <w:pPr>
        <w:pStyle w:val="Heading2"/>
        <w:ind w:firstLine="226"/>
      </w:pPr>
      <w:bookmarkStart w:id="372" w:name="_Toc150762674"/>
      <w:r>
        <w:t xml:space="preserve">8.7 </w:t>
      </w:r>
      <w:r w:rsidRPr="000546D6">
        <w:t>Subsequent</w:t>
      </w:r>
      <w:r w:rsidRPr="000546D6">
        <w:rPr>
          <w:spacing w:val="-2"/>
        </w:rPr>
        <w:t xml:space="preserve"> events</w:t>
      </w:r>
      <w:bookmarkEnd w:id="372"/>
    </w:p>
    <w:p w14:paraId="2C8DE5F7" w14:textId="77777777" w:rsidR="00084F36" w:rsidRPr="00EB2BD8" w:rsidRDefault="00EB2BD8">
      <w:pPr>
        <w:pStyle w:val="BodyText"/>
        <w:spacing w:before="183" w:line="259" w:lineRule="auto"/>
        <w:ind w:left="1076" w:right="858"/>
        <w:rPr>
          <w:rFonts w:ascii="Arial"/>
        </w:rPr>
      </w:pPr>
      <w:r w:rsidRPr="00EB2BD8">
        <w:rPr>
          <w:rFonts w:ascii="Arial"/>
        </w:rPr>
        <w:t>There have been no significant or material events since the balance date to the date of approval of the financial report that require adjustments to the amounts reported and disclosures made in the financial report.</w:t>
      </w:r>
    </w:p>
    <w:p w14:paraId="5ABBFD09" w14:textId="77777777" w:rsidR="00084F36" w:rsidRPr="00EB2BD8" w:rsidRDefault="00084F36">
      <w:pPr>
        <w:pStyle w:val="BodyText"/>
        <w:rPr>
          <w:rFonts w:ascii="Arial"/>
          <w:sz w:val="20"/>
        </w:rPr>
      </w:pPr>
    </w:p>
    <w:p w14:paraId="78E726F8" w14:textId="77777777" w:rsidR="00084F36" w:rsidRPr="00EB2BD8" w:rsidRDefault="00084F36">
      <w:pPr>
        <w:pStyle w:val="BodyText"/>
        <w:rPr>
          <w:rFonts w:ascii="Arial"/>
          <w:sz w:val="20"/>
        </w:rPr>
      </w:pPr>
    </w:p>
    <w:p w14:paraId="56CEFD17" w14:textId="77777777" w:rsidR="00084F36" w:rsidRPr="00EB2BD8" w:rsidRDefault="00084F36">
      <w:pPr>
        <w:pStyle w:val="BodyText"/>
        <w:rPr>
          <w:rFonts w:ascii="Arial"/>
          <w:sz w:val="20"/>
        </w:rPr>
      </w:pPr>
    </w:p>
    <w:p w14:paraId="5DD04514" w14:textId="77777777" w:rsidR="00084F36" w:rsidRPr="00EB2BD8" w:rsidRDefault="00084F36">
      <w:pPr>
        <w:pStyle w:val="BodyText"/>
        <w:rPr>
          <w:rFonts w:ascii="Arial"/>
          <w:sz w:val="20"/>
        </w:rPr>
      </w:pPr>
    </w:p>
    <w:p w14:paraId="19F6F56C" w14:textId="77777777" w:rsidR="00084F36" w:rsidRPr="00EB2BD8" w:rsidRDefault="00084F36">
      <w:pPr>
        <w:pStyle w:val="BodyText"/>
        <w:rPr>
          <w:rFonts w:ascii="Arial"/>
          <w:sz w:val="20"/>
        </w:rPr>
      </w:pPr>
    </w:p>
    <w:p w14:paraId="3231EBF4" w14:textId="77777777" w:rsidR="00084F36" w:rsidRPr="00EB2BD8" w:rsidRDefault="00084F36">
      <w:pPr>
        <w:pStyle w:val="BodyText"/>
        <w:rPr>
          <w:rFonts w:ascii="Arial"/>
          <w:sz w:val="20"/>
        </w:rPr>
      </w:pPr>
    </w:p>
    <w:p w14:paraId="4035C090" w14:textId="77777777" w:rsidR="00084F36" w:rsidRPr="00EB2BD8" w:rsidRDefault="00084F36">
      <w:pPr>
        <w:pStyle w:val="BodyText"/>
        <w:rPr>
          <w:rFonts w:ascii="Arial"/>
          <w:sz w:val="20"/>
        </w:rPr>
      </w:pPr>
    </w:p>
    <w:p w14:paraId="692934BE" w14:textId="77777777" w:rsidR="00084F36" w:rsidRPr="00EB2BD8" w:rsidRDefault="00084F36">
      <w:pPr>
        <w:pStyle w:val="BodyText"/>
        <w:rPr>
          <w:rFonts w:ascii="Arial"/>
          <w:sz w:val="20"/>
        </w:rPr>
      </w:pPr>
    </w:p>
    <w:p w14:paraId="6CD95475" w14:textId="77777777" w:rsidR="00084F36" w:rsidRPr="00EB2BD8" w:rsidRDefault="00084F36">
      <w:pPr>
        <w:pStyle w:val="BodyText"/>
        <w:rPr>
          <w:rFonts w:ascii="Arial"/>
          <w:sz w:val="20"/>
        </w:rPr>
      </w:pPr>
    </w:p>
    <w:p w14:paraId="6889FADF" w14:textId="77777777" w:rsidR="00084F36" w:rsidRPr="00EB2BD8" w:rsidRDefault="00084F36">
      <w:pPr>
        <w:pStyle w:val="BodyText"/>
        <w:rPr>
          <w:rFonts w:ascii="Arial"/>
          <w:sz w:val="20"/>
        </w:rPr>
      </w:pPr>
    </w:p>
    <w:p w14:paraId="106A2C49" w14:textId="77777777" w:rsidR="00084F36" w:rsidRPr="00EB2BD8" w:rsidRDefault="00084F36">
      <w:pPr>
        <w:pStyle w:val="BodyText"/>
        <w:rPr>
          <w:rFonts w:ascii="Arial"/>
          <w:sz w:val="20"/>
        </w:rPr>
      </w:pPr>
    </w:p>
    <w:p w14:paraId="543195E1" w14:textId="77777777" w:rsidR="00084F36" w:rsidRPr="00EB2BD8" w:rsidRDefault="00084F36">
      <w:pPr>
        <w:pStyle w:val="BodyText"/>
        <w:rPr>
          <w:rFonts w:ascii="Arial"/>
          <w:sz w:val="20"/>
        </w:rPr>
      </w:pPr>
    </w:p>
    <w:p w14:paraId="0D4FBCC5" w14:textId="77777777" w:rsidR="00084F36" w:rsidRPr="00EB2BD8" w:rsidRDefault="00084F36">
      <w:pPr>
        <w:pStyle w:val="BodyText"/>
        <w:rPr>
          <w:rFonts w:ascii="Arial"/>
          <w:sz w:val="20"/>
        </w:rPr>
      </w:pPr>
    </w:p>
    <w:p w14:paraId="470997D9" w14:textId="77777777" w:rsidR="00084F36" w:rsidRPr="00EB2BD8" w:rsidRDefault="00084F36">
      <w:pPr>
        <w:pStyle w:val="BodyText"/>
        <w:rPr>
          <w:rFonts w:ascii="Arial"/>
          <w:sz w:val="20"/>
        </w:rPr>
      </w:pPr>
    </w:p>
    <w:p w14:paraId="56134835" w14:textId="77777777" w:rsidR="00084F36" w:rsidRPr="00EB2BD8" w:rsidRDefault="00084F36">
      <w:pPr>
        <w:pStyle w:val="BodyText"/>
        <w:rPr>
          <w:rFonts w:ascii="Arial"/>
          <w:sz w:val="20"/>
        </w:rPr>
      </w:pPr>
    </w:p>
    <w:p w14:paraId="3CC5F411" w14:textId="77777777" w:rsidR="00084F36" w:rsidRPr="00EB2BD8" w:rsidRDefault="00084F36">
      <w:pPr>
        <w:pStyle w:val="BodyText"/>
        <w:rPr>
          <w:rFonts w:ascii="Arial"/>
          <w:sz w:val="20"/>
        </w:rPr>
      </w:pPr>
    </w:p>
    <w:p w14:paraId="67E95D16" w14:textId="77777777" w:rsidR="00084F36" w:rsidRPr="00EB2BD8" w:rsidRDefault="00084F36">
      <w:pPr>
        <w:pStyle w:val="BodyText"/>
        <w:rPr>
          <w:rFonts w:ascii="Arial"/>
          <w:sz w:val="20"/>
        </w:rPr>
      </w:pPr>
    </w:p>
    <w:p w14:paraId="7EA50801" w14:textId="77777777" w:rsidR="00084F36" w:rsidRPr="00EB2BD8" w:rsidRDefault="00084F36">
      <w:pPr>
        <w:pStyle w:val="BodyText"/>
        <w:spacing w:before="6"/>
        <w:rPr>
          <w:rFonts w:ascii="Arial"/>
          <w:sz w:val="20"/>
        </w:rPr>
      </w:pPr>
    </w:p>
    <w:p w14:paraId="1FFD4E87" w14:textId="77777777" w:rsidR="00084F36" w:rsidRPr="00EB2BD8" w:rsidRDefault="00084F36">
      <w:pPr>
        <w:jc w:val="right"/>
        <w:rPr>
          <w:sz w:val="16"/>
        </w:rPr>
        <w:sectPr w:rsidR="00084F36" w:rsidRPr="00EB2BD8" w:rsidSect="006D75B2">
          <w:headerReference w:type="default" r:id="rId369"/>
          <w:footerReference w:type="default" r:id="rId370"/>
          <w:pgSz w:w="11910" w:h="16840"/>
          <w:pgMar w:top="760" w:right="0" w:bottom="280" w:left="0" w:header="0" w:footer="0" w:gutter="0"/>
          <w:cols w:space="720"/>
        </w:sectPr>
      </w:pPr>
    </w:p>
    <w:p w14:paraId="2DDA7D5C" w14:textId="77777777" w:rsidR="00084F36" w:rsidRPr="00EB2BD8" w:rsidRDefault="00084F36">
      <w:pPr>
        <w:pStyle w:val="BodyText"/>
        <w:rPr>
          <w:sz w:val="20"/>
        </w:rPr>
      </w:pPr>
    </w:p>
    <w:p w14:paraId="3207ED2B" w14:textId="77777777" w:rsidR="00084F36" w:rsidRPr="00EB2BD8" w:rsidRDefault="00084F36">
      <w:pPr>
        <w:pStyle w:val="BodyText"/>
        <w:rPr>
          <w:sz w:val="20"/>
        </w:rPr>
      </w:pPr>
    </w:p>
    <w:p w14:paraId="75224DAE" w14:textId="77777777" w:rsidR="00084F36" w:rsidRPr="00EB2BD8" w:rsidRDefault="00084F36">
      <w:pPr>
        <w:pStyle w:val="BodyText"/>
        <w:rPr>
          <w:sz w:val="20"/>
        </w:rPr>
      </w:pPr>
    </w:p>
    <w:p w14:paraId="400AFBDB" w14:textId="77777777" w:rsidR="00084F36" w:rsidRPr="00EB2BD8" w:rsidRDefault="00084F36">
      <w:pPr>
        <w:pStyle w:val="BodyText"/>
        <w:rPr>
          <w:sz w:val="20"/>
        </w:rPr>
      </w:pPr>
    </w:p>
    <w:p w14:paraId="6F20E0A4" w14:textId="41EA04B7" w:rsidR="00084F36" w:rsidRPr="00EB2BD8" w:rsidRDefault="000546D6" w:rsidP="000546D6">
      <w:pPr>
        <w:pStyle w:val="Heading2"/>
        <w:ind w:left="1055"/>
      </w:pPr>
      <w:bookmarkStart w:id="373" w:name="_Toc150762675"/>
      <w:r>
        <w:t>8.8 A</w:t>
      </w:r>
      <w:r w:rsidRPr="00EB2BD8">
        <w:t>ustralian</w:t>
      </w:r>
      <w:r w:rsidRPr="00EB2BD8">
        <w:rPr>
          <w:spacing w:val="14"/>
        </w:rPr>
        <w:t xml:space="preserve"> </w:t>
      </w:r>
      <w:r w:rsidRPr="00EB2BD8">
        <w:t>accounting</w:t>
      </w:r>
      <w:r w:rsidRPr="00EB2BD8">
        <w:rPr>
          <w:spacing w:val="15"/>
        </w:rPr>
        <w:t xml:space="preserve"> </w:t>
      </w:r>
      <w:r w:rsidRPr="00EB2BD8">
        <w:t>standards</w:t>
      </w:r>
      <w:r w:rsidRPr="00EB2BD8">
        <w:rPr>
          <w:spacing w:val="14"/>
        </w:rPr>
        <w:t xml:space="preserve"> </w:t>
      </w:r>
      <w:r w:rsidRPr="00EB2BD8">
        <w:t>issued</w:t>
      </w:r>
      <w:r w:rsidRPr="00EB2BD8">
        <w:rPr>
          <w:spacing w:val="15"/>
        </w:rPr>
        <w:t xml:space="preserve"> </w:t>
      </w:r>
      <w:r w:rsidRPr="00EB2BD8">
        <w:t>that</w:t>
      </w:r>
      <w:r w:rsidRPr="00EB2BD8">
        <w:rPr>
          <w:spacing w:val="17"/>
        </w:rPr>
        <w:t xml:space="preserve"> </w:t>
      </w:r>
      <w:r w:rsidRPr="00EB2BD8">
        <w:t>are</w:t>
      </w:r>
      <w:r w:rsidRPr="00EB2BD8">
        <w:rPr>
          <w:spacing w:val="15"/>
        </w:rPr>
        <w:t xml:space="preserve"> </w:t>
      </w:r>
      <w:r w:rsidRPr="00EB2BD8">
        <w:t>not</w:t>
      </w:r>
      <w:r w:rsidRPr="00EB2BD8">
        <w:rPr>
          <w:spacing w:val="17"/>
        </w:rPr>
        <w:t xml:space="preserve"> </w:t>
      </w:r>
      <w:r>
        <w:rPr>
          <w:spacing w:val="17"/>
        </w:rPr>
        <w:br/>
      </w:r>
      <w:r w:rsidRPr="00EB2BD8">
        <w:t>yet</w:t>
      </w:r>
      <w:r w:rsidRPr="00EB2BD8">
        <w:rPr>
          <w:spacing w:val="16"/>
        </w:rPr>
        <w:t xml:space="preserve"> </w:t>
      </w:r>
      <w:r w:rsidRPr="00EB2BD8">
        <w:rPr>
          <w:spacing w:val="-2"/>
        </w:rPr>
        <w:t>effective</w:t>
      </w:r>
      <w:bookmarkEnd w:id="373"/>
    </w:p>
    <w:p w14:paraId="5B56D68F" w14:textId="77777777" w:rsidR="00084F36" w:rsidRPr="00EB2BD8" w:rsidRDefault="00EB2BD8">
      <w:pPr>
        <w:spacing w:before="177" w:line="290" w:lineRule="auto"/>
        <w:ind w:left="1055" w:right="1813"/>
        <w:rPr>
          <w:rFonts w:ascii="Arial"/>
          <w:sz w:val="16"/>
        </w:rPr>
      </w:pPr>
      <w:r w:rsidRPr="00EB2BD8">
        <w:rPr>
          <w:rFonts w:ascii="Arial"/>
          <w:w w:val="105"/>
          <w:sz w:val="16"/>
        </w:rPr>
        <w:t>Certain</w:t>
      </w:r>
      <w:r w:rsidRPr="00EB2BD8">
        <w:rPr>
          <w:rFonts w:ascii="Arial"/>
          <w:spacing w:val="-3"/>
          <w:w w:val="105"/>
          <w:sz w:val="16"/>
        </w:rPr>
        <w:t xml:space="preserve"> </w:t>
      </w:r>
      <w:r w:rsidRPr="00EB2BD8">
        <w:rPr>
          <w:rFonts w:ascii="Arial"/>
          <w:w w:val="105"/>
          <w:sz w:val="16"/>
        </w:rPr>
        <w:t>new</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revised</w:t>
      </w:r>
      <w:r w:rsidRPr="00EB2BD8">
        <w:rPr>
          <w:rFonts w:ascii="Arial"/>
          <w:spacing w:val="-3"/>
          <w:w w:val="105"/>
          <w:sz w:val="16"/>
        </w:rPr>
        <w:t xml:space="preserve"> </w:t>
      </w:r>
      <w:r w:rsidRPr="00EB2BD8">
        <w:rPr>
          <w:rFonts w:ascii="Arial"/>
          <w:w w:val="105"/>
          <w:sz w:val="16"/>
        </w:rPr>
        <w:t>Australian</w:t>
      </w:r>
      <w:r w:rsidRPr="00EB2BD8">
        <w:rPr>
          <w:rFonts w:ascii="Arial"/>
          <w:spacing w:val="-3"/>
          <w:w w:val="105"/>
          <w:sz w:val="16"/>
        </w:rPr>
        <w:t xml:space="preserve"> </w:t>
      </w:r>
      <w:r w:rsidRPr="00EB2BD8">
        <w:rPr>
          <w:rFonts w:ascii="Arial"/>
          <w:w w:val="105"/>
          <w:sz w:val="16"/>
        </w:rPr>
        <w:t>Accounting</w:t>
      </w:r>
      <w:r w:rsidRPr="00EB2BD8">
        <w:rPr>
          <w:rFonts w:ascii="Arial"/>
          <w:spacing w:val="-3"/>
          <w:w w:val="105"/>
          <w:sz w:val="16"/>
        </w:rPr>
        <w:t xml:space="preserve"> </w:t>
      </w:r>
      <w:r w:rsidRPr="00EB2BD8">
        <w:rPr>
          <w:rFonts w:ascii="Arial"/>
          <w:w w:val="105"/>
          <w:sz w:val="16"/>
        </w:rPr>
        <w:t>Standards</w:t>
      </w:r>
      <w:r w:rsidRPr="00EB2BD8">
        <w:rPr>
          <w:rFonts w:ascii="Arial"/>
          <w:spacing w:val="-3"/>
          <w:w w:val="105"/>
          <w:sz w:val="16"/>
        </w:rPr>
        <w:t xml:space="preserve"> </w:t>
      </w:r>
      <w:r w:rsidRPr="00EB2BD8">
        <w:rPr>
          <w:rFonts w:ascii="Arial"/>
          <w:w w:val="105"/>
          <w:sz w:val="16"/>
        </w:rPr>
        <w:t>(AAS)</w:t>
      </w:r>
      <w:r w:rsidRPr="00EB2BD8">
        <w:rPr>
          <w:rFonts w:ascii="Arial"/>
          <w:spacing w:val="-3"/>
          <w:w w:val="105"/>
          <w:sz w:val="16"/>
        </w:rPr>
        <w:t xml:space="preserve"> </w:t>
      </w:r>
      <w:r w:rsidRPr="00EB2BD8">
        <w:rPr>
          <w:rFonts w:ascii="Arial"/>
          <w:w w:val="105"/>
          <w:sz w:val="16"/>
        </w:rPr>
        <w:t>have</w:t>
      </w:r>
      <w:r w:rsidRPr="00EB2BD8">
        <w:rPr>
          <w:rFonts w:ascii="Arial"/>
          <w:spacing w:val="-3"/>
          <w:w w:val="105"/>
          <w:sz w:val="16"/>
        </w:rPr>
        <w:t xml:space="preserve"> </w:t>
      </w:r>
      <w:r w:rsidRPr="00EB2BD8">
        <w:rPr>
          <w:rFonts w:ascii="Arial"/>
          <w:w w:val="105"/>
          <w:sz w:val="16"/>
        </w:rPr>
        <w:t>been</w:t>
      </w:r>
      <w:r w:rsidRPr="00EB2BD8">
        <w:rPr>
          <w:rFonts w:ascii="Arial"/>
          <w:spacing w:val="-2"/>
          <w:w w:val="105"/>
          <w:sz w:val="16"/>
        </w:rPr>
        <w:t xml:space="preserve"> </w:t>
      </w:r>
      <w:r w:rsidRPr="00EB2BD8">
        <w:rPr>
          <w:rFonts w:ascii="Arial"/>
          <w:w w:val="105"/>
          <w:sz w:val="16"/>
        </w:rPr>
        <w:t>issued</w:t>
      </w:r>
      <w:r w:rsidRPr="00EB2BD8">
        <w:rPr>
          <w:rFonts w:ascii="Arial"/>
          <w:spacing w:val="-3"/>
          <w:w w:val="105"/>
          <w:sz w:val="16"/>
        </w:rPr>
        <w:t xml:space="preserve"> </w:t>
      </w:r>
      <w:r w:rsidRPr="00EB2BD8">
        <w:rPr>
          <w:rFonts w:ascii="Arial"/>
          <w:w w:val="105"/>
          <w:sz w:val="16"/>
        </w:rPr>
        <w:t>but</w:t>
      </w:r>
      <w:r w:rsidRPr="00EB2BD8">
        <w:rPr>
          <w:rFonts w:ascii="Arial"/>
          <w:spacing w:val="-3"/>
          <w:w w:val="105"/>
          <w:sz w:val="16"/>
        </w:rPr>
        <w:t xml:space="preserve"> </w:t>
      </w:r>
      <w:r w:rsidRPr="00EB2BD8">
        <w:rPr>
          <w:rFonts w:ascii="Arial"/>
          <w:w w:val="105"/>
          <w:sz w:val="16"/>
        </w:rPr>
        <w:t>not</w:t>
      </w:r>
      <w:r w:rsidRPr="00EB2BD8">
        <w:rPr>
          <w:rFonts w:ascii="Arial"/>
          <w:spacing w:val="-3"/>
          <w:w w:val="105"/>
          <w:sz w:val="16"/>
        </w:rPr>
        <w:t xml:space="preserve"> </w:t>
      </w:r>
      <w:r w:rsidRPr="00EB2BD8">
        <w:rPr>
          <w:rFonts w:ascii="Arial"/>
          <w:w w:val="105"/>
          <w:sz w:val="16"/>
        </w:rPr>
        <w:t>effective</w:t>
      </w:r>
      <w:r w:rsidRPr="00EB2BD8">
        <w:rPr>
          <w:rFonts w:ascii="Arial"/>
          <w:spacing w:val="-3"/>
          <w:w w:val="105"/>
          <w:sz w:val="16"/>
        </w:rPr>
        <w:t xml:space="preserve"> </w:t>
      </w:r>
      <w:r w:rsidRPr="00EB2BD8">
        <w:rPr>
          <w:rFonts w:ascii="Arial"/>
          <w:w w:val="105"/>
          <w:sz w:val="16"/>
        </w:rPr>
        <w:t>for</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2022-23 reporting period. These accounting standards have not been applied to the VBA Financial Statements.</w:t>
      </w:r>
    </w:p>
    <w:p w14:paraId="2D7203D7" w14:textId="77777777" w:rsidR="00084F36" w:rsidRPr="00EB2BD8" w:rsidRDefault="00084F36">
      <w:pPr>
        <w:pStyle w:val="BodyText"/>
        <w:spacing w:before="2"/>
        <w:rPr>
          <w:rFonts w:ascii="Arial"/>
          <w:sz w:val="19"/>
        </w:rPr>
      </w:pPr>
    </w:p>
    <w:p w14:paraId="0A0A2B6C" w14:textId="77777777" w:rsidR="00084F36" w:rsidRPr="00EB2BD8" w:rsidRDefault="00EB2BD8">
      <w:pPr>
        <w:spacing w:before="1" w:line="290" w:lineRule="auto"/>
        <w:ind w:left="1055" w:right="1813"/>
        <w:rPr>
          <w:rFonts w:ascii="Arial" w:hAnsi="Arial"/>
          <w:b/>
          <w:sz w:val="16"/>
        </w:rPr>
      </w:pPr>
      <w:r w:rsidRPr="00EB2BD8">
        <w:rPr>
          <w:rFonts w:ascii="Arial" w:hAnsi="Arial"/>
          <w:b/>
          <w:w w:val="105"/>
          <w:sz w:val="16"/>
        </w:rPr>
        <w:t>AASB</w:t>
      </w:r>
      <w:r w:rsidRPr="00EB2BD8">
        <w:rPr>
          <w:rFonts w:ascii="Arial" w:hAnsi="Arial"/>
          <w:b/>
          <w:spacing w:val="-3"/>
          <w:w w:val="105"/>
          <w:sz w:val="16"/>
        </w:rPr>
        <w:t xml:space="preserve"> </w:t>
      </w:r>
      <w:r w:rsidRPr="00EB2BD8">
        <w:rPr>
          <w:rFonts w:ascii="Arial" w:hAnsi="Arial"/>
          <w:b/>
          <w:w w:val="105"/>
          <w:sz w:val="16"/>
        </w:rPr>
        <w:t>2022-10</w:t>
      </w:r>
      <w:r w:rsidRPr="00EB2BD8">
        <w:rPr>
          <w:rFonts w:ascii="Arial" w:hAnsi="Arial"/>
          <w:b/>
          <w:spacing w:val="-3"/>
          <w:w w:val="105"/>
          <w:sz w:val="16"/>
        </w:rPr>
        <w:t xml:space="preserve"> </w:t>
      </w:r>
      <w:r w:rsidRPr="00EB2BD8">
        <w:rPr>
          <w:rFonts w:ascii="Arial" w:hAnsi="Arial"/>
          <w:b/>
          <w:w w:val="105"/>
          <w:sz w:val="16"/>
        </w:rPr>
        <w:t>Amendments</w:t>
      </w:r>
      <w:r w:rsidRPr="00EB2BD8">
        <w:rPr>
          <w:rFonts w:ascii="Arial" w:hAnsi="Arial"/>
          <w:b/>
          <w:spacing w:val="-3"/>
          <w:w w:val="105"/>
          <w:sz w:val="16"/>
        </w:rPr>
        <w:t xml:space="preserve"> </w:t>
      </w:r>
      <w:r w:rsidRPr="00EB2BD8">
        <w:rPr>
          <w:rFonts w:ascii="Arial" w:hAnsi="Arial"/>
          <w:b/>
          <w:w w:val="105"/>
          <w:sz w:val="16"/>
        </w:rPr>
        <w:t>to</w:t>
      </w:r>
      <w:r w:rsidRPr="00EB2BD8">
        <w:rPr>
          <w:rFonts w:ascii="Arial" w:hAnsi="Arial"/>
          <w:b/>
          <w:spacing w:val="-3"/>
          <w:w w:val="105"/>
          <w:sz w:val="16"/>
        </w:rPr>
        <w:t xml:space="preserve"> </w:t>
      </w:r>
      <w:r w:rsidRPr="00EB2BD8">
        <w:rPr>
          <w:rFonts w:ascii="Arial" w:hAnsi="Arial"/>
          <w:b/>
          <w:w w:val="105"/>
          <w:sz w:val="16"/>
        </w:rPr>
        <w:t>Australian</w:t>
      </w:r>
      <w:r w:rsidRPr="00EB2BD8">
        <w:rPr>
          <w:rFonts w:ascii="Arial" w:hAnsi="Arial"/>
          <w:b/>
          <w:spacing w:val="-4"/>
          <w:w w:val="105"/>
          <w:sz w:val="16"/>
        </w:rPr>
        <w:t xml:space="preserve"> </w:t>
      </w:r>
      <w:r w:rsidRPr="00EB2BD8">
        <w:rPr>
          <w:rFonts w:ascii="Arial" w:hAnsi="Arial"/>
          <w:b/>
          <w:w w:val="105"/>
          <w:sz w:val="16"/>
        </w:rPr>
        <w:t>Accounting</w:t>
      </w:r>
      <w:r w:rsidRPr="00EB2BD8">
        <w:rPr>
          <w:rFonts w:ascii="Arial" w:hAnsi="Arial"/>
          <w:b/>
          <w:spacing w:val="-3"/>
          <w:w w:val="105"/>
          <w:sz w:val="16"/>
        </w:rPr>
        <w:t xml:space="preserve"> </w:t>
      </w:r>
      <w:r w:rsidRPr="00EB2BD8">
        <w:rPr>
          <w:rFonts w:ascii="Arial" w:hAnsi="Arial"/>
          <w:b/>
          <w:w w:val="105"/>
          <w:sz w:val="16"/>
        </w:rPr>
        <w:t>Standards</w:t>
      </w:r>
      <w:r w:rsidRPr="00EB2BD8">
        <w:rPr>
          <w:rFonts w:ascii="Arial" w:hAnsi="Arial"/>
          <w:b/>
          <w:spacing w:val="-3"/>
          <w:w w:val="105"/>
          <w:sz w:val="16"/>
        </w:rPr>
        <w:t xml:space="preserve"> </w:t>
      </w:r>
      <w:r w:rsidRPr="00EB2BD8">
        <w:rPr>
          <w:rFonts w:ascii="Arial" w:hAnsi="Arial"/>
          <w:b/>
          <w:w w:val="105"/>
          <w:sz w:val="16"/>
        </w:rPr>
        <w:t>–</w:t>
      </w:r>
      <w:r w:rsidRPr="00EB2BD8">
        <w:rPr>
          <w:rFonts w:ascii="Arial" w:hAnsi="Arial"/>
          <w:b/>
          <w:spacing w:val="-3"/>
          <w:w w:val="105"/>
          <w:sz w:val="16"/>
        </w:rPr>
        <w:t xml:space="preserve"> </w:t>
      </w:r>
      <w:r w:rsidRPr="00EB2BD8">
        <w:rPr>
          <w:rFonts w:ascii="Arial" w:hAnsi="Arial"/>
          <w:b/>
          <w:w w:val="105"/>
          <w:sz w:val="16"/>
        </w:rPr>
        <w:t>Fair</w:t>
      </w:r>
      <w:r w:rsidRPr="00EB2BD8">
        <w:rPr>
          <w:rFonts w:ascii="Arial" w:hAnsi="Arial"/>
          <w:b/>
          <w:spacing w:val="-3"/>
          <w:w w:val="105"/>
          <w:sz w:val="16"/>
        </w:rPr>
        <w:t xml:space="preserve"> </w:t>
      </w:r>
      <w:r w:rsidRPr="00EB2BD8">
        <w:rPr>
          <w:rFonts w:ascii="Arial" w:hAnsi="Arial"/>
          <w:b/>
          <w:w w:val="105"/>
          <w:sz w:val="16"/>
        </w:rPr>
        <w:t>Value</w:t>
      </w:r>
      <w:r w:rsidRPr="00EB2BD8">
        <w:rPr>
          <w:rFonts w:ascii="Arial" w:hAnsi="Arial"/>
          <w:b/>
          <w:spacing w:val="-3"/>
          <w:w w:val="105"/>
          <w:sz w:val="16"/>
        </w:rPr>
        <w:t xml:space="preserve"> </w:t>
      </w:r>
      <w:r w:rsidRPr="00EB2BD8">
        <w:rPr>
          <w:rFonts w:ascii="Arial" w:hAnsi="Arial"/>
          <w:b/>
          <w:w w:val="105"/>
          <w:sz w:val="16"/>
        </w:rPr>
        <w:t>Measurement</w:t>
      </w:r>
      <w:r w:rsidRPr="00EB2BD8">
        <w:rPr>
          <w:rFonts w:ascii="Arial" w:hAnsi="Arial"/>
          <w:b/>
          <w:spacing w:val="-3"/>
          <w:w w:val="105"/>
          <w:sz w:val="16"/>
        </w:rPr>
        <w:t xml:space="preserve"> </w:t>
      </w:r>
      <w:r w:rsidRPr="00EB2BD8">
        <w:rPr>
          <w:rFonts w:ascii="Arial" w:hAnsi="Arial"/>
          <w:b/>
          <w:w w:val="105"/>
          <w:sz w:val="16"/>
        </w:rPr>
        <w:t>of</w:t>
      </w:r>
      <w:r w:rsidRPr="00EB2BD8">
        <w:rPr>
          <w:rFonts w:ascii="Arial" w:hAnsi="Arial"/>
          <w:b/>
          <w:spacing w:val="-3"/>
          <w:w w:val="105"/>
          <w:sz w:val="16"/>
        </w:rPr>
        <w:t xml:space="preserve"> </w:t>
      </w:r>
      <w:r w:rsidRPr="00EB2BD8">
        <w:rPr>
          <w:rFonts w:ascii="Arial" w:hAnsi="Arial"/>
          <w:b/>
          <w:w w:val="105"/>
          <w:sz w:val="16"/>
        </w:rPr>
        <w:t>Non-Financial Assets of Not-for-Profit Public Sector Entities.</w:t>
      </w:r>
    </w:p>
    <w:p w14:paraId="43307951" w14:textId="77777777" w:rsidR="00084F36" w:rsidRPr="00EB2BD8" w:rsidRDefault="00084F36">
      <w:pPr>
        <w:pStyle w:val="BodyText"/>
        <w:spacing w:before="2"/>
        <w:rPr>
          <w:rFonts w:ascii="Arial"/>
          <w:b/>
          <w:sz w:val="19"/>
        </w:rPr>
      </w:pPr>
    </w:p>
    <w:p w14:paraId="35AB0346" w14:textId="77777777" w:rsidR="00084F36" w:rsidRPr="00EB2BD8" w:rsidRDefault="00EB2BD8">
      <w:pPr>
        <w:spacing w:line="290" w:lineRule="auto"/>
        <w:ind w:left="1055" w:right="1813" w:hanging="1"/>
        <w:rPr>
          <w:rFonts w:ascii="Arial"/>
          <w:sz w:val="16"/>
        </w:rPr>
      </w:pPr>
      <w:r w:rsidRPr="00EB2BD8">
        <w:rPr>
          <w:rFonts w:ascii="Arial"/>
          <w:w w:val="105"/>
          <w:sz w:val="16"/>
        </w:rPr>
        <w:t>AASB 2022-10 amends AASB 13 Fair Value Measurement by adding authoritative implementation guidance and illustrative</w:t>
      </w:r>
      <w:r w:rsidRPr="00EB2BD8">
        <w:rPr>
          <w:rFonts w:ascii="Arial"/>
          <w:spacing w:val="-3"/>
          <w:w w:val="105"/>
          <w:sz w:val="16"/>
        </w:rPr>
        <w:t xml:space="preserve"> </w:t>
      </w:r>
      <w:r w:rsidRPr="00EB2BD8">
        <w:rPr>
          <w:rFonts w:ascii="Arial"/>
          <w:w w:val="105"/>
          <w:sz w:val="16"/>
        </w:rPr>
        <w:t>examples</w:t>
      </w:r>
      <w:r w:rsidRPr="00EB2BD8">
        <w:rPr>
          <w:rFonts w:ascii="Arial"/>
          <w:spacing w:val="-3"/>
          <w:w w:val="105"/>
          <w:sz w:val="16"/>
        </w:rPr>
        <w:t xml:space="preserve"> </w:t>
      </w:r>
      <w:r w:rsidRPr="00EB2BD8">
        <w:rPr>
          <w:rFonts w:ascii="Arial"/>
          <w:w w:val="105"/>
          <w:sz w:val="16"/>
        </w:rPr>
        <w:t>for</w:t>
      </w:r>
      <w:r w:rsidRPr="00EB2BD8">
        <w:rPr>
          <w:rFonts w:ascii="Arial"/>
          <w:spacing w:val="-3"/>
          <w:w w:val="105"/>
          <w:sz w:val="16"/>
        </w:rPr>
        <w:t xml:space="preserve"> </w:t>
      </w:r>
      <w:r w:rsidRPr="00EB2BD8">
        <w:rPr>
          <w:rFonts w:ascii="Arial"/>
          <w:w w:val="105"/>
          <w:sz w:val="16"/>
        </w:rPr>
        <w:t>fair</w:t>
      </w:r>
      <w:r w:rsidRPr="00EB2BD8">
        <w:rPr>
          <w:rFonts w:ascii="Arial"/>
          <w:spacing w:val="-3"/>
          <w:w w:val="105"/>
          <w:sz w:val="16"/>
        </w:rPr>
        <w:t xml:space="preserve"> </w:t>
      </w:r>
      <w:r w:rsidRPr="00EB2BD8">
        <w:rPr>
          <w:rFonts w:ascii="Arial"/>
          <w:w w:val="105"/>
          <w:sz w:val="16"/>
        </w:rPr>
        <w:t>value</w:t>
      </w:r>
      <w:r w:rsidRPr="00EB2BD8">
        <w:rPr>
          <w:rFonts w:ascii="Arial"/>
          <w:spacing w:val="-3"/>
          <w:w w:val="105"/>
          <w:sz w:val="16"/>
        </w:rPr>
        <w:t xml:space="preserve"> </w:t>
      </w:r>
      <w:r w:rsidRPr="00EB2BD8">
        <w:rPr>
          <w:rFonts w:ascii="Arial"/>
          <w:w w:val="105"/>
          <w:sz w:val="16"/>
        </w:rPr>
        <w:t>measurements</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non-financial</w:t>
      </w:r>
      <w:r w:rsidRPr="00EB2BD8">
        <w:rPr>
          <w:rFonts w:ascii="Arial"/>
          <w:spacing w:val="-3"/>
          <w:w w:val="105"/>
          <w:sz w:val="16"/>
        </w:rPr>
        <w:t xml:space="preserve"> </w:t>
      </w:r>
      <w:r w:rsidRPr="00EB2BD8">
        <w:rPr>
          <w:rFonts w:ascii="Arial"/>
          <w:w w:val="105"/>
          <w:sz w:val="16"/>
        </w:rPr>
        <w:t>assets</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not-for-profit</w:t>
      </w:r>
      <w:r w:rsidRPr="00EB2BD8">
        <w:rPr>
          <w:rFonts w:ascii="Arial"/>
          <w:spacing w:val="-1"/>
          <w:w w:val="105"/>
          <w:sz w:val="16"/>
        </w:rPr>
        <w:t xml:space="preserve"> </w:t>
      </w:r>
      <w:r w:rsidRPr="00EB2BD8">
        <w:rPr>
          <w:rFonts w:ascii="Arial"/>
          <w:w w:val="105"/>
          <w:sz w:val="16"/>
        </w:rPr>
        <w:t>public</w:t>
      </w:r>
      <w:r w:rsidRPr="00EB2BD8">
        <w:rPr>
          <w:rFonts w:ascii="Arial"/>
          <w:spacing w:val="-3"/>
          <w:w w:val="105"/>
          <w:sz w:val="16"/>
        </w:rPr>
        <w:t xml:space="preserve"> </w:t>
      </w:r>
      <w:r w:rsidRPr="00EB2BD8">
        <w:rPr>
          <w:rFonts w:ascii="Arial"/>
          <w:w w:val="105"/>
          <w:sz w:val="16"/>
        </w:rPr>
        <w:t>sector</w:t>
      </w:r>
      <w:r w:rsidRPr="00EB2BD8">
        <w:rPr>
          <w:rFonts w:ascii="Arial"/>
          <w:spacing w:val="-3"/>
          <w:w w:val="105"/>
          <w:sz w:val="16"/>
        </w:rPr>
        <w:t xml:space="preserve"> </w:t>
      </w:r>
      <w:r w:rsidRPr="00EB2BD8">
        <w:rPr>
          <w:rFonts w:ascii="Arial"/>
          <w:w w:val="105"/>
          <w:sz w:val="16"/>
        </w:rPr>
        <w:t>entities</w:t>
      </w:r>
      <w:r w:rsidRPr="00EB2BD8">
        <w:rPr>
          <w:rFonts w:ascii="Arial"/>
          <w:spacing w:val="-3"/>
          <w:w w:val="105"/>
          <w:sz w:val="16"/>
        </w:rPr>
        <w:t xml:space="preserve"> </w:t>
      </w:r>
      <w:r w:rsidRPr="00EB2BD8">
        <w:rPr>
          <w:rFonts w:ascii="Arial"/>
          <w:w w:val="105"/>
          <w:sz w:val="16"/>
        </w:rPr>
        <w:t>not</w:t>
      </w:r>
      <w:r w:rsidRPr="00EB2BD8">
        <w:rPr>
          <w:rFonts w:ascii="Arial"/>
          <w:spacing w:val="-3"/>
          <w:w w:val="105"/>
          <w:sz w:val="16"/>
        </w:rPr>
        <w:t xml:space="preserve"> </w:t>
      </w:r>
      <w:r w:rsidRPr="00EB2BD8">
        <w:rPr>
          <w:rFonts w:ascii="Arial"/>
          <w:w w:val="105"/>
          <w:sz w:val="16"/>
        </w:rPr>
        <w:t>held primarily for their ability to generate net cash inflows.</w:t>
      </w:r>
    </w:p>
    <w:p w14:paraId="7CA96F04" w14:textId="77777777" w:rsidR="00084F36" w:rsidRPr="00EB2BD8" w:rsidRDefault="00084F36">
      <w:pPr>
        <w:pStyle w:val="BodyText"/>
        <w:spacing w:before="3"/>
        <w:rPr>
          <w:rFonts w:ascii="Arial"/>
          <w:sz w:val="19"/>
        </w:rPr>
      </w:pPr>
    </w:p>
    <w:p w14:paraId="0B14DD73" w14:textId="77777777" w:rsidR="00084F36" w:rsidRPr="00EB2BD8" w:rsidRDefault="00EB2BD8">
      <w:pPr>
        <w:ind w:left="1055"/>
        <w:rPr>
          <w:rFonts w:ascii="Arial"/>
          <w:sz w:val="16"/>
        </w:rPr>
      </w:pPr>
      <w:r w:rsidRPr="00EB2BD8">
        <w:rPr>
          <w:rFonts w:ascii="Arial"/>
          <w:w w:val="105"/>
          <w:sz w:val="16"/>
        </w:rPr>
        <w:t>Among</w:t>
      </w:r>
      <w:r w:rsidRPr="00EB2BD8">
        <w:rPr>
          <w:rFonts w:ascii="Arial"/>
          <w:spacing w:val="-7"/>
          <w:w w:val="105"/>
          <w:sz w:val="16"/>
        </w:rPr>
        <w:t xml:space="preserve"> </w:t>
      </w:r>
      <w:r w:rsidRPr="00EB2BD8">
        <w:rPr>
          <w:rFonts w:ascii="Arial"/>
          <w:w w:val="105"/>
          <w:sz w:val="16"/>
        </w:rPr>
        <w:t>other</w:t>
      </w:r>
      <w:r w:rsidRPr="00EB2BD8">
        <w:rPr>
          <w:rFonts w:ascii="Arial"/>
          <w:spacing w:val="-6"/>
          <w:w w:val="105"/>
          <w:sz w:val="16"/>
        </w:rPr>
        <w:t xml:space="preserve"> </w:t>
      </w:r>
      <w:r w:rsidRPr="00EB2BD8">
        <w:rPr>
          <w:rFonts w:ascii="Arial"/>
          <w:w w:val="105"/>
          <w:sz w:val="16"/>
        </w:rPr>
        <w:t>things,</w:t>
      </w:r>
      <w:r w:rsidRPr="00EB2BD8">
        <w:rPr>
          <w:rFonts w:ascii="Arial"/>
          <w:spacing w:val="-7"/>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spacing w:val="-2"/>
          <w:w w:val="105"/>
          <w:sz w:val="16"/>
        </w:rPr>
        <w:t>Standard:</w:t>
      </w:r>
    </w:p>
    <w:p w14:paraId="3A8034F5" w14:textId="77777777" w:rsidR="00084F36" w:rsidRPr="00EB2BD8" w:rsidRDefault="00EB2BD8">
      <w:pPr>
        <w:pStyle w:val="ListParagraph"/>
        <w:numPr>
          <w:ilvl w:val="0"/>
          <w:numId w:val="25"/>
        </w:numPr>
        <w:tabs>
          <w:tab w:val="left" w:pos="1838"/>
          <w:tab w:val="left" w:pos="1849"/>
        </w:tabs>
        <w:spacing w:before="38" w:line="290" w:lineRule="auto"/>
        <w:ind w:right="1903" w:hanging="397"/>
        <w:rPr>
          <w:rFonts w:ascii="Arial" w:hAnsi="Arial"/>
          <w:sz w:val="16"/>
        </w:rPr>
      </w:pPr>
      <w:r w:rsidRPr="00EB2BD8">
        <w:rPr>
          <w:rFonts w:ascii="Arial" w:hAnsi="Arial"/>
          <w:w w:val="105"/>
          <w:sz w:val="16"/>
        </w:rPr>
        <w:t>specifies that an entity needs to consider whether an asset’s highest and best use differs from its current use only</w:t>
      </w:r>
      <w:r w:rsidRPr="00EB2BD8">
        <w:rPr>
          <w:rFonts w:ascii="Arial" w:hAnsi="Arial"/>
          <w:spacing w:val="-2"/>
          <w:w w:val="105"/>
          <w:sz w:val="16"/>
        </w:rPr>
        <w:t xml:space="preserve"> </w:t>
      </w:r>
      <w:r w:rsidRPr="00EB2BD8">
        <w:rPr>
          <w:rFonts w:ascii="Arial" w:hAnsi="Arial"/>
          <w:w w:val="105"/>
          <w:sz w:val="16"/>
        </w:rPr>
        <w:t>when</w:t>
      </w:r>
      <w:r w:rsidRPr="00EB2BD8">
        <w:rPr>
          <w:rFonts w:ascii="Arial" w:hAnsi="Arial"/>
          <w:spacing w:val="-2"/>
          <w:w w:val="105"/>
          <w:sz w:val="16"/>
        </w:rPr>
        <w:t xml:space="preserve"> </w:t>
      </w:r>
      <w:r w:rsidRPr="00EB2BD8">
        <w:rPr>
          <w:rFonts w:ascii="Arial" w:hAnsi="Arial"/>
          <w:w w:val="105"/>
          <w:sz w:val="16"/>
        </w:rPr>
        <w:t>it</w:t>
      </w:r>
      <w:r w:rsidRPr="00EB2BD8">
        <w:rPr>
          <w:rFonts w:ascii="Arial" w:hAnsi="Arial"/>
          <w:spacing w:val="-2"/>
          <w:w w:val="105"/>
          <w:sz w:val="16"/>
        </w:rPr>
        <w:t xml:space="preserve"> </w:t>
      </w:r>
      <w:r w:rsidRPr="00EB2BD8">
        <w:rPr>
          <w:rFonts w:ascii="Arial" w:hAnsi="Arial"/>
          <w:w w:val="105"/>
          <w:sz w:val="16"/>
        </w:rPr>
        <w:t>is</w:t>
      </w:r>
      <w:r w:rsidRPr="00EB2BD8">
        <w:rPr>
          <w:rFonts w:ascii="Arial" w:hAnsi="Arial"/>
          <w:spacing w:val="-2"/>
          <w:w w:val="105"/>
          <w:sz w:val="16"/>
        </w:rPr>
        <w:t xml:space="preserve"> </w:t>
      </w:r>
      <w:r w:rsidRPr="00EB2BD8">
        <w:rPr>
          <w:rFonts w:ascii="Arial" w:hAnsi="Arial"/>
          <w:w w:val="105"/>
          <w:sz w:val="16"/>
        </w:rPr>
        <w:t>held</w:t>
      </w:r>
      <w:r w:rsidRPr="00EB2BD8">
        <w:rPr>
          <w:rFonts w:ascii="Arial" w:hAnsi="Arial"/>
          <w:spacing w:val="-2"/>
          <w:w w:val="105"/>
          <w:sz w:val="16"/>
        </w:rPr>
        <w:t xml:space="preserve"> </w:t>
      </w:r>
      <w:r w:rsidRPr="00EB2BD8">
        <w:rPr>
          <w:rFonts w:ascii="Arial" w:hAnsi="Arial"/>
          <w:w w:val="105"/>
          <w:sz w:val="16"/>
        </w:rPr>
        <w:t>for</w:t>
      </w:r>
      <w:r w:rsidRPr="00EB2BD8">
        <w:rPr>
          <w:rFonts w:ascii="Arial" w:hAnsi="Arial"/>
          <w:spacing w:val="-2"/>
          <w:w w:val="105"/>
          <w:sz w:val="16"/>
        </w:rPr>
        <w:t xml:space="preserve"> </w:t>
      </w:r>
      <w:r w:rsidRPr="00EB2BD8">
        <w:rPr>
          <w:rFonts w:ascii="Arial" w:hAnsi="Arial"/>
          <w:w w:val="105"/>
          <w:sz w:val="16"/>
        </w:rPr>
        <w:t>sale</w:t>
      </w:r>
      <w:r w:rsidRPr="00EB2BD8">
        <w:rPr>
          <w:rFonts w:ascii="Arial" w:hAnsi="Arial"/>
          <w:spacing w:val="-2"/>
          <w:w w:val="105"/>
          <w:sz w:val="16"/>
        </w:rPr>
        <w:t xml:space="preserve"> </w:t>
      </w:r>
      <w:r w:rsidRPr="00EB2BD8">
        <w:rPr>
          <w:rFonts w:ascii="Arial" w:hAnsi="Arial"/>
          <w:w w:val="105"/>
          <w:sz w:val="16"/>
        </w:rPr>
        <w:t>or</w:t>
      </w:r>
      <w:r w:rsidRPr="00EB2BD8">
        <w:rPr>
          <w:rFonts w:ascii="Arial" w:hAnsi="Arial"/>
          <w:spacing w:val="-2"/>
          <w:w w:val="105"/>
          <w:sz w:val="16"/>
        </w:rPr>
        <w:t xml:space="preserve"> </w:t>
      </w:r>
      <w:r w:rsidRPr="00EB2BD8">
        <w:rPr>
          <w:rFonts w:ascii="Arial" w:hAnsi="Arial"/>
          <w:w w:val="105"/>
          <w:sz w:val="16"/>
        </w:rPr>
        <w:t>held</w:t>
      </w:r>
      <w:r w:rsidRPr="00EB2BD8">
        <w:rPr>
          <w:rFonts w:ascii="Arial" w:hAnsi="Arial"/>
          <w:spacing w:val="-2"/>
          <w:w w:val="105"/>
          <w:sz w:val="16"/>
        </w:rPr>
        <w:t xml:space="preserve"> </w:t>
      </w:r>
      <w:r w:rsidRPr="00EB2BD8">
        <w:rPr>
          <w:rFonts w:ascii="Arial" w:hAnsi="Arial"/>
          <w:w w:val="105"/>
          <w:sz w:val="16"/>
        </w:rPr>
        <w:t>for</w:t>
      </w:r>
      <w:r w:rsidRPr="00EB2BD8">
        <w:rPr>
          <w:rFonts w:ascii="Arial" w:hAnsi="Arial"/>
          <w:spacing w:val="-2"/>
          <w:w w:val="105"/>
          <w:sz w:val="16"/>
        </w:rPr>
        <w:t xml:space="preserve"> </w:t>
      </w:r>
      <w:r w:rsidRPr="00EB2BD8">
        <w:rPr>
          <w:rFonts w:ascii="Arial" w:hAnsi="Arial"/>
          <w:w w:val="105"/>
          <w:sz w:val="16"/>
        </w:rPr>
        <w:t>distributions</w:t>
      </w:r>
      <w:r w:rsidRPr="00EB2BD8">
        <w:rPr>
          <w:rFonts w:ascii="Arial" w:hAnsi="Arial"/>
          <w:spacing w:val="-2"/>
          <w:w w:val="105"/>
          <w:sz w:val="16"/>
        </w:rPr>
        <w:t xml:space="preserve"> </w:t>
      </w:r>
      <w:r w:rsidRPr="00EB2BD8">
        <w:rPr>
          <w:rFonts w:ascii="Arial" w:hAnsi="Arial"/>
          <w:w w:val="105"/>
          <w:sz w:val="16"/>
        </w:rPr>
        <w:t>to</w:t>
      </w:r>
      <w:r w:rsidRPr="00EB2BD8">
        <w:rPr>
          <w:rFonts w:ascii="Arial" w:hAnsi="Arial"/>
          <w:spacing w:val="-2"/>
          <w:w w:val="105"/>
          <w:sz w:val="16"/>
        </w:rPr>
        <w:t xml:space="preserve"> </w:t>
      </w:r>
      <w:r w:rsidRPr="00EB2BD8">
        <w:rPr>
          <w:rFonts w:ascii="Arial" w:hAnsi="Arial"/>
          <w:w w:val="105"/>
          <w:sz w:val="16"/>
        </w:rPr>
        <w:t>owners</w:t>
      </w:r>
      <w:r w:rsidRPr="00EB2BD8">
        <w:rPr>
          <w:rFonts w:ascii="Arial" w:hAnsi="Arial"/>
          <w:spacing w:val="-2"/>
          <w:w w:val="105"/>
          <w:sz w:val="16"/>
        </w:rPr>
        <w:t xml:space="preserve"> </w:t>
      </w:r>
      <w:r w:rsidRPr="00EB2BD8">
        <w:rPr>
          <w:rFonts w:ascii="Arial" w:hAnsi="Arial"/>
          <w:w w:val="105"/>
          <w:sz w:val="16"/>
        </w:rPr>
        <w:t>under</w:t>
      </w:r>
      <w:r w:rsidRPr="00EB2BD8">
        <w:rPr>
          <w:rFonts w:ascii="Arial" w:hAnsi="Arial"/>
          <w:spacing w:val="-2"/>
          <w:w w:val="105"/>
          <w:sz w:val="16"/>
        </w:rPr>
        <w:t xml:space="preserve"> </w:t>
      </w:r>
      <w:r w:rsidRPr="00EB2BD8">
        <w:rPr>
          <w:rFonts w:ascii="Arial" w:hAnsi="Arial"/>
          <w:w w:val="105"/>
          <w:sz w:val="16"/>
        </w:rPr>
        <w:t>AASB</w:t>
      </w:r>
      <w:r w:rsidRPr="00EB2BD8">
        <w:rPr>
          <w:rFonts w:ascii="Arial" w:hAnsi="Arial"/>
          <w:spacing w:val="-2"/>
          <w:w w:val="105"/>
          <w:sz w:val="16"/>
        </w:rPr>
        <w:t xml:space="preserve"> </w:t>
      </w:r>
      <w:r w:rsidRPr="00EB2BD8">
        <w:rPr>
          <w:rFonts w:ascii="Arial" w:hAnsi="Arial"/>
          <w:w w:val="105"/>
          <w:sz w:val="16"/>
        </w:rPr>
        <w:t>5</w:t>
      </w:r>
      <w:r w:rsidRPr="00EB2BD8">
        <w:rPr>
          <w:rFonts w:ascii="Arial" w:hAnsi="Arial"/>
          <w:spacing w:val="-2"/>
          <w:w w:val="105"/>
          <w:sz w:val="16"/>
        </w:rPr>
        <w:t xml:space="preserve"> </w:t>
      </w:r>
      <w:r w:rsidRPr="00EB2BD8">
        <w:rPr>
          <w:rFonts w:ascii="Arial" w:hAnsi="Arial"/>
          <w:w w:val="105"/>
          <w:sz w:val="16"/>
        </w:rPr>
        <w:t>Non-current</w:t>
      </w:r>
      <w:r w:rsidRPr="00EB2BD8">
        <w:rPr>
          <w:rFonts w:ascii="Arial" w:hAnsi="Arial"/>
          <w:spacing w:val="-1"/>
          <w:w w:val="105"/>
          <w:sz w:val="16"/>
        </w:rPr>
        <w:t xml:space="preserve"> </w:t>
      </w:r>
      <w:r w:rsidRPr="00EB2BD8">
        <w:rPr>
          <w:rFonts w:ascii="Arial" w:hAnsi="Arial"/>
          <w:w w:val="105"/>
          <w:sz w:val="16"/>
        </w:rPr>
        <w:t>Assets</w:t>
      </w:r>
      <w:r w:rsidRPr="00EB2BD8">
        <w:rPr>
          <w:rFonts w:ascii="Arial" w:hAnsi="Arial"/>
          <w:spacing w:val="-2"/>
          <w:w w:val="105"/>
          <w:sz w:val="16"/>
        </w:rPr>
        <w:t xml:space="preserve"> </w:t>
      </w:r>
      <w:r w:rsidRPr="00EB2BD8">
        <w:rPr>
          <w:rFonts w:ascii="Arial" w:hAnsi="Arial"/>
          <w:w w:val="105"/>
          <w:sz w:val="16"/>
        </w:rPr>
        <w:t>Held</w:t>
      </w:r>
      <w:r w:rsidRPr="00EB2BD8">
        <w:rPr>
          <w:rFonts w:ascii="Arial" w:hAnsi="Arial"/>
          <w:spacing w:val="-2"/>
          <w:w w:val="105"/>
          <w:sz w:val="16"/>
        </w:rPr>
        <w:t xml:space="preserve"> </w:t>
      </w:r>
      <w:r w:rsidRPr="00EB2BD8">
        <w:rPr>
          <w:rFonts w:ascii="Arial" w:hAnsi="Arial"/>
          <w:w w:val="105"/>
          <w:sz w:val="16"/>
        </w:rPr>
        <w:t>for</w:t>
      </w:r>
      <w:r w:rsidRPr="00EB2BD8">
        <w:rPr>
          <w:rFonts w:ascii="Arial" w:hAnsi="Arial"/>
          <w:spacing w:val="-2"/>
          <w:w w:val="105"/>
          <w:sz w:val="16"/>
        </w:rPr>
        <w:t xml:space="preserve"> </w:t>
      </w:r>
      <w:r w:rsidRPr="00EB2BD8">
        <w:rPr>
          <w:rFonts w:ascii="Arial" w:hAnsi="Arial"/>
          <w:w w:val="105"/>
          <w:sz w:val="16"/>
        </w:rPr>
        <w:t>Sale and Discontinued Operations or if it is highly probable that it will be used for an alternative purpose;</w:t>
      </w:r>
    </w:p>
    <w:p w14:paraId="637C6CF9" w14:textId="77777777" w:rsidR="00084F36" w:rsidRPr="00EB2BD8" w:rsidRDefault="00EB2BD8">
      <w:pPr>
        <w:pStyle w:val="ListParagraph"/>
        <w:numPr>
          <w:ilvl w:val="0"/>
          <w:numId w:val="25"/>
        </w:numPr>
        <w:tabs>
          <w:tab w:val="left" w:pos="1837"/>
          <w:tab w:val="left" w:pos="1849"/>
        </w:tabs>
        <w:spacing w:line="290" w:lineRule="auto"/>
        <w:ind w:right="1881" w:hanging="397"/>
        <w:jc w:val="both"/>
        <w:rPr>
          <w:rFonts w:ascii="Arial" w:hAnsi="Arial"/>
          <w:sz w:val="16"/>
        </w:rPr>
      </w:pPr>
      <w:r w:rsidRPr="00EB2BD8">
        <w:rPr>
          <w:rFonts w:ascii="Arial" w:hAnsi="Arial"/>
          <w:w w:val="105"/>
          <w:sz w:val="16"/>
        </w:rPr>
        <w:t>clarifies</w:t>
      </w:r>
      <w:r w:rsidRPr="00EB2BD8">
        <w:rPr>
          <w:rFonts w:ascii="Arial" w:hAnsi="Arial"/>
          <w:spacing w:val="-3"/>
          <w:w w:val="105"/>
          <w:sz w:val="16"/>
        </w:rPr>
        <w:t xml:space="preserve"> </w:t>
      </w:r>
      <w:r w:rsidRPr="00EB2BD8">
        <w:rPr>
          <w:rFonts w:ascii="Arial" w:hAnsi="Arial"/>
          <w:w w:val="105"/>
          <w:sz w:val="16"/>
        </w:rPr>
        <w:t>that</w:t>
      </w:r>
      <w:r w:rsidRPr="00EB2BD8">
        <w:rPr>
          <w:rFonts w:ascii="Arial" w:hAnsi="Arial"/>
          <w:spacing w:val="-3"/>
          <w:w w:val="105"/>
          <w:sz w:val="16"/>
        </w:rPr>
        <w:t xml:space="preserve"> </w:t>
      </w:r>
      <w:r w:rsidRPr="00EB2BD8">
        <w:rPr>
          <w:rFonts w:ascii="Arial" w:hAnsi="Arial"/>
          <w:w w:val="105"/>
          <w:sz w:val="16"/>
        </w:rPr>
        <w:t>an</w:t>
      </w:r>
      <w:r w:rsidRPr="00EB2BD8">
        <w:rPr>
          <w:rFonts w:ascii="Arial" w:hAnsi="Arial"/>
          <w:spacing w:val="-3"/>
          <w:w w:val="105"/>
          <w:sz w:val="16"/>
        </w:rPr>
        <w:t xml:space="preserve"> </w:t>
      </w:r>
      <w:r w:rsidRPr="00EB2BD8">
        <w:rPr>
          <w:rFonts w:ascii="Arial" w:hAnsi="Arial"/>
          <w:w w:val="105"/>
          <w:sz w:val="16"/>
        </w:rPr>
        <w:t>asset’s</w:t>
      </w:r>
      <w:r w:rsidRPr="00EB2BD8">
        <w:rPr>
          <w:rFonts w:ascii="Arial" w:hAnsi="Arial"/>
          <w:spacing w:val="-3"/>
          <w:w w:val="105"/>
          <w:sz w:val="16"/>
        </w:rPr>
        <w:t xml:space="preserve"> </w:t>
      </w:r>
      <w:r w:rsidRPr="00EB2BD8">
        <w:rPr>
          <w:rFonts w:ascii="Arial" w:hAnsi="Arial"/>
          <w:w w:val="105"/>
          <w:sz w:val="16"/>
        </w:rPr>
        <w:t>use</w:t>
      </w:r>
      <w:r w:rsidRPr="00EB2BD8">
        <w:rPr>
          <w:rFonts w:ascii="Arial" w:hAnsi="Arial"/>
          <w:spacing w:val="-3"/>
          <w:w w:val="105"/>
          <w:sz w:val="16"/>
        </w:rPr>
        <w:t xml:space="preserve"> </w:t>
      </w:r>
      <w:r w:rsidRPr="00EB2BD8">
        <w:rPr>
          <w:rFonts w:ascii="Arial" w:hAnsi="Arial"/>
          <w:w w:val="105"/>
          <w:sz w:val="16"/>
        </w:rPr>
        <w:t>is</w:t>
      </w:r>
      <w:r w:rsidRPr="00EB2BD8">
        <w:rPr>
          <w:rFonts w:ascii="Arial" w:hAnsi="Arial"/>
          <w:spacing w:val="-3"/>
          <w:w w:val="105"/>
          <w:sz w:val="16"/>
        </w:rPr>
        <w:t xml:space="preserve"> </w:t>
      </w:r>
      <w:r w:rsidRPr="00EB2BD8">
        <w:rPr>
          <w:rFonts w:ascii="Arial" w:hAnsi="Arial"/>
          <w:w w:val="105"/>
          <w:sz w:val="16"/>
        </w:rPr>
        <w:t>‘financially</w:t>
      </w:r>
      <w:r w:rsidRPr="00EB2BD8">
        <w:rPr>
          <w:rFonts w:ascii="Arial" w:hAnsi="Arial"/>
          <w:spacing w:val="-3"/>
          <w:w w:val="105"/>
          <w:sz w:val="16"/>
        </w:rPr>
        <w:t xml:space="preserve"> </w:t>
      </w:r>
      <w:r w:rsidRPr="00EB2BD8">
        <w:rPr>
          <w:rFonts w:ascii="Arial" w:hAnsi="Arial"/>
          <w:w w:val="105"/>
          <w:sz w:val="16"/>
        </w:rPr>
        <w:t>feasible’</w:t>
      </w:r>
      <w:r w:rsidRPr="00EB2BD8">
        <w:rPr>
          <w:rFonts w:ascii="Arial" w:hAnsi="Arial"/>
          <w:spacing w:val="-3"/>
          <w:w w:val="105"/>
          <w:sz w:val="16"/>
        </w:rPr>
        <w:t xml:space="preserve"> </w:t>
      </w:r>
      <w:r w:rsidRPr="00EB2BD8">
        <w:rPr>
          <w:rFonts w:ascii="Arial" w:hAnsi="Arial"/>
          <w:w w:val="105"/>
          <w:sz w:val="16"/>
        </w:rPr>
        <w:t>if</w:t>
      </w:r>
      <w:r w:rsidRPr="00EB2BD8">
        <w:rPr>
          <w:rFonts w:ascii="Arial" w:hAnsi="Arial"/>
          <w:spacing w:val="-3"/>
          <w:w w:val="105"/>
          <w:sz w:val="16"/>
        </w:rPr>
        <w:t xml:space="preserve"> </w:t>
      </w:r>
      <w:r w:rsidRPr="00EB2BD8">
        <w:rPr>
          <w:rFonts w:ascii="Arial" w:hAnsi="Arial"/>
          <w:w w:val="105"/>
          <w:sz w:val="16"/>
        </w:rPr>
        <w:t>market</w:t>
      </w:r>
      <w:r w:rsidRPr="00EB2BD8">
        <w:rPr>
          <w:rFonts w:ascii="Arial" w:hAnsi="Arial"/>
          <w:spacing w:val="-3"/>
          <w:w w:val="105"/>
          <w:sz w:val="16"/>
        </w:rPr>
        <w:t xml:space="preserve"> </w:t>
      </w:r>
      <w:r w:rsidRPr="00EB2BD8">
        <w:rPr>
          <w:rFonts w:ascii="Arial" w:hAnsi="Arial"/>
          <w:w w:val="105"/>
          <w:sz w:val="16"/>
        </w:rPr>
        <w:t>participants</w:t>
      </w:r>
      <w:r w:rsidRPr="00EB2BD8">
        <w:rPr>
          <w:rFonts w:ascii="Arial" w:hAnsi="Arial"/>
          <w:spacing w:val="-3"/>
          <w:w w:val="105"/>
          <w:sz w:val="16"/>
        </w:rPr>
        <w:t xml:space="preserve"> </w:t>
      </w:r>
      <w:r w:rsidRPr="00EB2BD8">
        <w:rPr>
          <w:rFonts w:ascii="Arial" w:hAnsi="Arial"/>
          <w:w w:val="105"/>
          <w:sz w:val="16"/>
        </w:rPr>
        <w:t>would</w:t>
      </w:r>
      <w:r w:rsidRPr="00EB2BD8">
        <w:rPr>
          <w:rFonts w:ascii="Arial" w:hAnsi="Arial"/>
          <w:spacing w:val="-3"/>
          <w:w w:val="105"/>
          <w:sz w:val="16"/>
        </w:rPr>
        <w:t xml:space="preserve"> </w:t>
      </w:r>
      <w:r w:rsidRPr="00EB2BD8">
        <w:rPr>
          <w:rFonts w:ascii="Arial" w:hAnsi="Arial"/>
          <w:w w:val="105"/>
          <w:sz w:val="16"/>
        </w:rPr>
        <w:t>be</w:t>
      </w:r>
      <w:r w:rsidRPr="00EB2BD8">
        <w:rPr>
          <w:rFonts w:ascii="Arial" w:hAnsi="Arial"/>
          <w:spacing w:val="-3"/>
          <w:w w:val="105"/>
          <w:sz w:val="16"/>
        </w:rPr>
        <w:t xml:space="preserve"> </w:t>
      </w:r>
      <w:r w:rsidRPr="00EB2BD8">
        <w:rPr>
          <w:rFonts w:ascii="Arial" w:hAnsi="Arial"/>
          <w:w w:val="105"/>
          <w:sz w:val="16"/>
        </w:rPr>
        <w:t>willing</w:t>
      </w:r>
      <w:r w:rsidRPr="00EB2BD8">
        <w:rPr>
          <w:rFonts w:ascii="Arial" w:hAnsi="Arial"/>
          <w:spacing w:val="-3"/>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invest</w:t>
      </w:r>
      <w:r w:rsidRPr="00EB2BD8">
        <w:rPr>
          <w:rFonts w:ascii="Arial" w:hAnsi="Arial"/>
          <w:spacing w:val="-3"/>
          <w:w w:val="105"/>
          <w:sz w:val="16"/>
        </w:rPr>
        <w:t xml:space="preserve"> </w:t>
      </w:r>
      <w:r w:rsidRPr="00EB2BD8">
        <w:rPr>
          <w:rFonts w:ascii="Arial" w:hAnsi="Arial"/>
          <w:w w:val="105"/>
          <w:sz w:val="16"/>
        </w:rPr>
        <w:t>in</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asset’s service capacity, considering both the capacity to provide needed goods or services and the resulting costs of those goods and services;</w:t>
      </w:r>
    </w:p>
    <w:p w14:paraId="376D81B8" w14:textId="77777777" w:rsidR="00084F36" w:rsidRPr="00EB2BD8" w:rsidRDefault="00EB2BD8">
      <w:pPr>
        <w:pStyle w:val="ListParagraph"/>
        <w:numPr>
          <w:ilvl w:val="0"/>
          <w:numId w:val="25"/>
        </w:numPr>
        <w:tabs>
          <w:tab w:val="left" w:pos="1838"/>
          <w:tab w:val="left" w:pos="1849"/>
        </w:tabs>
        <w:spacing w:line="290" w:lineRule="auto"/>
        <w:ind w:right="1849" w:hanging="397"/>
        <w:rPr>
          <w:rFonts w:ascii="Arial" w:hAnsi="Arial"/>
          <w:sz w:val="16"/>
        </w:rPr>
      </w:pPr>
      <w:r w:rsidRPr="00EB2BD8">
        <w:rPr>
          <w:rFonts w:ascii="Arial" w:hAnsi="Arial"/>
          <w:w w:val="105"/>
          <w:sz w:val="16"/>
        </w:rPr>
        <w:t>specifies that if both market selling price and some market participant data required to fair value the asset are not</w:t>
      </w:r>
      <w:r w:rsidRPr="00EB2BD8">
        <w:rPr>
          <w:rFonts w:ascii="Arial" w:hAnsi="Arial"/>
          <w:spacing w:val="-2"/>
          <w:w w:val="105"/>
          <w:sz w:val="16"/>
        </w:rPr>
        <w:t xml:space="preserve"> </w:t>
      </w:r>
      <w:r w:rsidRPr="00EB2BD8">
        <w:rPr>
          <w:rFonts w:ascii="Arial" w:hAnsi="Arial"/>
          <w:w w:val="105"/>
          <w:sz w:val="16"/>
        </w:rPr>
        <w:t>observable,</w:t>
      </w:r>
      <w:r w:rsidRPr="00EB2BD8">
        <w:rPr>
          <w:rFonts w:ascii="Arial" w:hAnsi="Arial"/>
          <w:spacing w:val="-2"/>
          <w:w w:val="105"/>
          <w:sz w:val="16"/>
        </w:rPr>
        <w:t xml:space="preserve"> </w:t>
      </w:r>
      <w:r w:rsidRPr="00EB2BD8">
        <w:rPr>
          <w:rFonts w:ascii="Arial" w:hAnsi="Arial"/>
          <w:w w:val="105"/>
          <w:sz w:val="16"/>
        </w:rPr>
        <w:t>an</w:t>
      </w:r>
      <w:r w:rsidRPr="00EB2BD8">
        <w:rPr>
          <w:rFonts w:ascii="Arial" w:hAnsi="Arial"/>
          <w:spacing w:val="-2"/>
          <w:w w:val="105"/>
          <w:sz w:val="16"/>
        </w:rPr>
        <w:t xml:space="preserve"> </w:t>
      </w:r>
      <w:r w:rsidRPr="00EB2BD8">
        <w:rPr>
          <w:rFonts w:ascii="Arial" w:hAnsi="Arial"/>
          <w:w w:val="105"/>
          <w:sz w:val="16"/>
        </w:rPr>
        <w:t>entity</w:t>
      </w:r>
      <w:r w:rsidRPr="00EB2BD8">
        <w:rPr>
          <w:rFonts w:ascii="Arial" w:hAnsi="Arial"/>
          <w:spacing w:val="-2"/>
          <w:w w:val="105"/>
          <w:sz w:val="16"/>
        </w:rPr>
        <w:t xml:space="preserve"> </w:t>
      </w:r>
      <w:r w:rsidRPr="00EB2BD8">
        <w:rPr>
          <w:rFonts w:ascii="Arial" w:hAnsi="Arial"/>
          <w:w w:val="105"/>
          <w:sz w:val="16"/>
        </w:rPr>
        <w:t>needs</w:t>
      </w:r>
      <w:r w:rsidRPr="00EB2BD8">
        <w:rPr>
          <w:rFonts w:ascii="Arial" w:hAnsi="Arial"/>
          <w:spacing w:val="-2"/>
          <w:w w:val="105"/>
          <w:sz w:val="16"/>
        </w:rPr>
        <w:t xml:space="preserve"> </w:t>
      </w:r>
      <w:r w:rsidRPr="00EB2BD8">
        <w:rPr>
          <w:rFonts w:ascii="Arial" w:hAnsi="Arial"/>
          <w:w w:val="105"/>
          <w:sz w:val="16"/>
        </w:rPr>
        <w:t>to</w:t>
      </w:r>
      <w:r w:rsidRPr="00EB2BD8">
        <w:rPr>
          <w:rFonts w:ascii="Arial" w:hAnsi="Arial"/>
          <w:spacing w:val="-2"/>
          <w:w w:val="105"/>
          <w:sz w:val="16"/>
        </w:rPr>
        <w:t xml:space="preserve"> </w:t>
      </w:r>
      <w:r w:rsidRPr="00EB2BD8">
        <w:rPr>
          <w:rFonts w:ascii="Arial" w:hAnsi="Arial"/>
          <w:w w:val="105"/>
          <w:sz w:val="16"/>
        </w:rPr>
        <w:t>start</w:t>
      </w:r>
      <w:r w:rsidRPr="00EB2BD8">
        <w:rPr>
          <w:rFonts w:ascii="Arial" w:hAnsi="Arial"/>
          <w:spacing w:val="-2"/>
          <w:w w:val="105"/>
          <w:sz w:val="16"/>
        </w:rPr>
        <w:t xml:space="preserve"> </w:t>
      </w:r>
      <w:r w:rsidRPr="00EB2BD8">
        <w:rPr>
          <w:rFonts w:ascii="Arial" w:hAnsi="Arial"/>
          <w:w w:val="105"/>
          <w:sz w:val="16"/>
        </w:rPr>
        <w:t>with</w:t>
      </w:r>
      <w:r w:rsidRPr="00EB2BD8">
        <w:rPr>
          <w:rFonts w:ascii="Arial" w:hAnsi="Arial"/>
          <w:spacing w:val="-2"/>
          <w:w w:val="105"/>
          <w:sz w:val="16"/>
        </w:rPr>
        <w:t xml:space="preserve"> </w:t>
      </w:r>
      <w:r w:rsidRPr="00EB2BD8">
        <w:rPr>
          <w:rFonts w:ascii="Arial" w:hAnsi="Arial"/>
          <w:w w:val="105"/>
          <w:sz w:val="16"/>
        </w:rPr>
        <w:t>its</w:t>
      </w:r>
      <w:r w:rsidRPr="00EB2BD8">
        <w:rPr>
          <w:rFonts w:ascii="Arial" w:hAnsi="Arial"/>
          <w:spacing w:val="-2"/>
          <w:w w:val="105"/>
          <w:sz w:val="16"/>
        </w:rPr>
        <w:t xml:space="preserve"> </w:t>
      </w:r>
      <w:r w:rsidRPr="00EB2BD8">
        <w:rPr>
          <w:rFonts w:ascii="Arial" w:hAnsi="Arial"/>
          <w:w w:val="105"/>
          <w:sz w:val="16"/>
        </w:rPr>
        <w:t>own</w:t>
      </w:r>
      <w:r w:rsidRPr="00EB2BD8">
        <w:rPr>
          <w:rFonts w:ascii="Arial" w:hAnsi="Arial"/>
          <w:spacing w:val="-2"/>
          <w:w w:val="105"/>
          <w:sz w:val="16"/>
        </w:rPr>
        <w:t xml:space="preserve"> </w:t>
      </w:r>
      <w:r w:rsidRPr="00EB2BD8">
        <w:rPr>
          <w:rFonts w:ascii="Arial" w:hAnsi="Arial"/>
          <w:w w:val="105"/>
          <w:sz w:val="16"/>
        </w:rPr>
        <w:t>assumptions</w:t>
      </w:r>
      <w:r w:rsidRPr="00EB2BD8">
        <w:rPr>
          <w:rFonts w:ascii="Arial" w:hAnsi="Arial"/>
          <w:spacing w:val="-2"/>
          <w:w w:val="105"/>
          <w:sz w:val="16"/>
        </w:rPr>
        <w:t xml:space="preserve"> </w:t>
      </w:r>
      <w:r w:rsidRPr="00EB2BD8">
        <w:rPr>
          <w:rFonts w:ascii="Arial" w:hAnsi="Arial"/>
          <w:w w:val="105"/>
          <w:sz w:val="16"/>
        </w:rPr>
        <w:t>and</w:t>
      </w:r>
      <w:r w:rsidRPr="00EB2BD8">
        <w:rPr>
          <w:rFonts w:ascii="Arial" w:hAnsi="Arial"/>
          <w:spacing w:val="-2"/>
          <w:w w:val="105"/>
          <w:sz w:val="16"/>
        </w:rPr>
        <w:t xml:space="preserve"> </w:t>
      </w:r>
      <w:r w:rsidRPr="00EB2BD8">
        <w:rPr>
          <w:rFonts w:ascii="Arial" w:hAnsi="Arial"/>
          <w:w w:val="105"/>
          <w:sz w:val="16"/>
        </w:rPr>
        <w:t>adjust</w:t>
      </w:r>
      <w:r w:rsidRPr="00EB2BD8">
        <w:rPr>
          <w:rFonts w:ascii="Arial" w:hAnsi="Arial"/>
          <w:spacing w:val="-2"/>
          <w:w w:val="105"/>
          <w:sz w:val="16"/>
        </w:rPr>
        <w:t xml:space="preserve"> </w:t>
      </w:r>
      <w:r w:rsidRPr="00EB2BD8">
        <w:rPr>
          <w:rFonts w:ascii="Arial" w:hAnsi="Arial"/>
          <w:w w:val="105"/>
          <w:sz w:val="16"/>
        </w:rPr>
        <w:t>them</w:t>
      </w:r>
      <w:r w:rsidRPr="00EB2BD8">
        <w:rPr>
          <w:rFonts w:ascii="Arial" w:hAnsi="Arial"/>
          <w:spacing w:val="-2"/>
          <w:w w:val="105"/>
          <w:sz w:val="16"/>
        </w:rPr>
        <w:t xml:space="preserve"> </w:t>
      </w:r>
      <w:r w:rsidRPr="00EB2BD8">
        <w:rPr>
          <w:rFonts w:ascii="Arial" w:hAnsi="Arial"/>
          <w:w w:val="105"/>
          <w:sz w:val="16"/>
        </w:rPr>
        <w:t>to</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4"/>
          <w:w w:val="105"/>
          <w:sz w:val="16"/>
        </w:rPr>
        <w:t xml:space="preserve"> </w:t>
      </w:r>
      <w:r w:rsidRPr="00EB2BD8">
        <w:rPr>
          <w:rFonts w:ascii="Arial" w:hAnsi="Arial"/>
          <w:w w:val="105"/>
          <w:sz w:val="16"/>
        </w:rPr>
        <w:t>extent</w:t>
      </w:r>
      <w:r w:rsidRPr="00EB2BD8">
        <w:rPr>
          <w:rFonts w:ascii="Arial" w:hAnsi="Arial"/>
          <w:spacing w:val="-2"/>
          <w:w w:val="105"/>
          <w:sz w:val="16"/>
        </w:rPr>
        <w:t xml:space="preserve"> </w:t>
      </w:r>
      <w:r w:rsidRPr="00EB2BD8">
        <w:rPr>
          <w:rFonts w:ascii="Arial" w:hAnsi="Arial"/>
          <w:w w:val="105"/>
          <w:sz w:val="16"/>
        </w:rPr>
        <w:t>that</w:t>
      </w:r>
      <w:r w:rsidRPr="00EB2BD8">
        <w:rPr>
          <w:rFonts w:ascii="Arial" w:hAnsi="Arial"/>
          <w:spacing w:val="-2"/>
          <w:w w:val="105"/>
          <w:sz w:val="16"/>
        </w:rPr>
        <w:t xml:space="preserve"> </w:t>
      </w:r>
      <w:r w:rsidRPr="00EB2BD8">
        <w:rPr>
          <w:rFonts w:ascii="Arial" w:hAnsi="Arial"/>
          <w:w w:val="105"/>
          <w:sz w:val="16"/>
        </w:rPr>
        <w:t>reasonably available information indicates that other market participants would use different data; and</w:t>
      </w:r>
    </w:p>
    <w:p w14:paraId="7F1653F2" w14:textId="77777777" w:rsidR="00084F36" w:rsidRPr="00EB2BD8" w:rsidRDefault="00EB2BD8">
      <w:pPr>
        <w:pStyle w:val="ListParagraph"/>
        <w:numPr>
          <w:ilvl w:val="0"/>
          <w:numId w:val="25"/>
        </w:numPr>
        <w:tabs>
          <w:tab w:val="left" w:pos="1838"/>
          <w:tab w:val="left" w:pos="1849"/>
        </w:tabs>
        <w:spacing w:line="290" w:lineRule="auto"/>
        <w:ind w:right="2252" w:hanging="397"/>
        <w:rPr>
          <w:rFonts w:ascii="Arial" w:hAnsi="Arial"/>
          <w:sz w:val="16"/>
        </w:rPr>
      </w:pPr>
      <w:r w:rsidRPr="00EB2BD8">
        <w:rPr>
          <w:rFonts w:ascii="Arial" w:hAnsi="Arial"/>
          <w:w w:val="105"/>
          <w:sz w:val="16"/>
        </w:rPr>
        <w:t>provides</w:t>
      </w:r>
      <w:r w:rsidRPr="00EB2BD8">
        <w:rPr>
          <w:rFonts w:ascii="Arial" w:hAnsi="Arial"/>
          <w:spacing w:val="-2"/>
          <w:w w:val="105"/>
          <w:sz w:val="16"/>
        </w:rPr>
        <w:t xml:space="preserve"> </w:t>
      </w:r>
      <w:r w:rsidRPr="00EB2BD8">
        <w:rPr>
          <w:rFonts w:ascii="Arial" w:hAnsi="Arial"/>
          <w:w w:val="105"/>
          <w:sz w:val="16"/>
        </w:rPr>
        <w:t>guidance</w:t>
      </w:r>
      <w:r w:rsidRPr="00EB2BD8">
        <w:rPr>
          <w:rFonts w:ascii="Arial" w:hAnsi="Arial"/>
          <w:spacing w:val="-3"/>
          <w:w w:val="105"/>
          <w:sz w:val="16"/>
        </w:rPr>
        <w:t xml:space="preserve"> </w:t>
      </w:r>
      <w:r w:rsidRPr="00EB2BD8">
        <w:rPr>
          <w:rFonts w:ascii="Arial" w:hAnsi="Arial"/>
          <w:w w:val="105"/>
          <w:sz w:val="16"/>
        </w:rPr>
        <w:t>on</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application</w:t>
      </w:r>
      <w:r w:rsidRPr="00EB2BD8">
        <w:rPr>
          <w:rFonts w:ascii="Arial" w:hAnsi="Arial"/>
          <w:spacing w:val="-3"/>
          <w:w w:val="105"/>
          <w:sz w:val="16"/>
        </w:rPr>
        <w:t xml:space="preserve"> </w:t>
      </w:r>
      <w:r w:rsidRPr="00EB2BD8">
        <w:rPr>
          <w:rFonts w:ascii="Arial" w:hAnsi="Arial"/>
          <w:w w:val="105"/>
          <w:sz w:val="16"/>
        </w:rPr>
        <w:t>of</w:t>
      </w:r>
      <w:r w:rsidRPr="00EB2BD8">
        <w:rPr>
          <w:rFonts w:ascii="Arial" w:hAnsi="Arial"/>
          <w:spacing w:val="-1"/>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cost</w:t>
      </w:r>
      <w:r w:rsidRPr="00EB2BD8">
        <w:rPr>
          <w:rFonts w:ascii="Arial" w:hAnsi="Arial"/>
          <w:spacing w:val="-3"/>
          <w:w w:val="105"/>
          <w:sz w:val="16"/>
        </w:rPr>
        <w:t xml:space="preserve"> </w:t>
      </w:r>
      <w:r w:rsidRPr="00EB2BD8">
        <w:rPr>
          <w:rFonts w:ascii="Arial" w:hAnsi="Arial"/>
          <w:w w:val="105"/>
          <w:sz w:val="16"/>
        </w:rPr>
        <w:t>approach</w:t>
      </w:r>
      <w:r w:rsidRPr="00EB2BD8">
        <w:rPr>
          <w:rFonts w:ascii="Arial" w:hAnsi="Arial"/>
          <w:spacing w:val="-3"/>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fair</w:t>
      </w:r>
      <w:r w:rsidRPr="00EB2BD8">
        <w:rPr>
          <w:rFonts w:ascii="Arial" w:hAnsi="Arial"/>
          <w:spacing w:val="-3"/>
          <w:w w:val="105"/>
          <w:sz w:val="16"/>
        </w:rPr>
        <w:t xml:space="preserve"> </w:t>
      </w:r>
      <w:r w:rsidRPr="00EB2BD8">
        <w:rPr>
          <w:rFonts w:ascii="Arial" w:hAnsi="Arial"/>
          <w:w w:val="105"/>
          <w:sz w:val="16"/>
        </w:rPr>
        <w:t>value,</w:t>
      </w:r>
      <w:r w:rsidRPr="00EB2BD8">
        <w:rPr>
          <w:rFonts w:ascii="Arial" w:hAnsi="Arial"/>
          <w:spacing w:val="-3"/>
          <w:w w:val="105"/>
          <w:sz w:val="16"/>
        </w:rPr>
        <w:t xml:space="preserve"> </w:t>
      </w:r>
      <w:r w:rsidRPr="00EB2BD8">
        <w:rPr>
          <w:rFonts w:ascii="Arial" w:hAnsi="Arial"/>
          <w:w w:val="105"/>
          <w:sz w:val="16"/>
        </w:rPr>
        <w:t>including</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nature</w:t>
      </w:r>
      <w:r w:rsidRPr="00EB2BD8">
        <w:rPr>
          <w:rFonts w:ascii="Arial" w:hAnsi="Arial"/>
          <w:spacing w:val="-3"/>
          <w:w w:val="105"/>
          <w:sz w:val="16"/>
        </w:rPr>
        <w:t xml:space="preserve"> </w:t>
      </w:r>
      <w:r w:rsidRPr="00EB2BD8">
        <w:rPr>
          <w:rFonts w:ascii="Arial" w:hAnsi="Arial"/>
          <w:w w:val="105"/>
          <w:sz w:val="16"/>
        </w:rPr>
        <w:t>of</w:t>
      </w:r>
      <w:r w:rsidRPr="00EB2BD8">
        <w:rPr>
          <w:rFonts w:ascii="Arial" w:hAnsi="Arial"/>
          <w:spacing w:val="-3"/>
          <w:w w:val="105"/>
          <w:sz w:val="16"/>
        </w:rPr>
        <w:t xml:space="preserve"> </w:t>
      </w:r>
      <w:r w:rsidRPr="00EB2BD8">
        <w:rPr>
          <w:rFonts w:ascii="Arial" w:hAnsi="Arial"/>
          <w:w w:val="105"/>
          <w:sz w:val="16"/>
        </w:rPr>
        <w:t>costs</w:t>
      </w:r>
      <w:r w:rsidRPr="00EB2BD8">
        <w:rPr>
          <w:rFonts w:ascii="Arial" w:hAnsi="Arial"/>
          <w:spacing w:val="-3"/>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be included in a reference asset and identification of economic obsolescence.</w:t>
      </w:r>
    </w:p>
    <w:p w14:paraId="169F5E88" w14:textId="77777777" w:rsidR="00084F36" w:rsidRPr="00EB2BD8" w:rsidRDefault="00084F36">
      <w:pPr>
        <w:pStyle w:val="BodyText"/>
        <w:spacing w:before="10"/>
        <w:rPr>
          <w:rFonts w:ascii="Arial"/>
        </w:rPr>
      </w:pPr>
    </w:p>
    <w:p w14:paraId="7AFA455E" w14:textId="77777777" w:rsidR="00084F36" w:rsidRPr="00EB2BD8" w:rsidRDefault="00EB2BD8">
      <w:pPr>
        <w:spacing w:line="290" w:lineRule="auto"/>
        <w:ind w:left="1055" w:right="1813"/>
        <w:rPr>
          <w:rFonts w:ascii="Arial"/>
          <w:sz w:val="16"/>
        </w:rPr>
      </w:pPr>
      <w:r w:rsidRPr="00EB2BD8">
        <w:rPr>
          <w:rFonts w:ascii="Arial"/>
          <w:w w:val="105"/>
          <w:sz w:val="16"/>
        </w:rPr>
        <w:t>This</w:t>
      </w:r>
      <w:r w:rsidRPr="00EB2BD8">
        <w:rPr>
          <w:rFonts w:ascii="Arial"/>
          <w:spacing w:val="-3"/>
          <w:w w:val="105"/>
          <w:sz w:val="16"/>
        </w:rPr>
        <w:t xml:space="preserve"> </w:t>
      </w:r>
      <w:r w:rsidRPr="00EB2BD8">
        <w:rPr>
          <w:rFonts w:ascii="Arial"/>
          <w:w w:val="105"/>
          <w:sz w:val="16"/>
        </w:rPr>
        <w:t>Standard</w:t>
      </w:r>
      <w:r w:rsidRPr="00EB2BD8">
        <w:rPr>
          <w:rFonts w:ascii="Arial"/>
          <w:spacing w:val="-3"/>
          <w:w w:val="105"/>
          <w:sz w:val="16"/>
        </w:rPr>
        <w:t xml:space="preserve"> </w:t>
      </w:r>
      <w:r w:rsidRPr="00EB2BD8">
        <w:rPr>
          <w:rFonts w:ascii="Arial"/>
          <w:w w:val="105"/>
          <w:sz w:val="16"/>
        </w:rPr>
        <w:t>applies</w:t>
      </w:r>
      <w:r w:rsidRPr="00EB2BD8">
        <w:rPr>
          <w:rFonts w:ascii="Arial"/>
          <w:spacing w:val="-3"/>
          <w:w w:val="105"/>
          <w:sz w:val="16"/>
        </w:rPr>
        <w:t xml:space="preserve"> </w:t>
      </w:r>
      <w:r w:rsidRPr="00EB2BD8">
        <w:rPr>
          <w:rFonts w:ascii="Arial"/>
          <w:w w:val="105"/>
          <w:sz w:val="16"/>
        </w:rPr>
        <w:t>prospectively</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annual</w:t>
      </w:r>
      <w:r w:rsidRPr="00EB2BD8">
        <w:rPr>
          <w:rFonts w:ascii="Arial"/>
          <w:spacing w:val="-3"/>
          <w:w w:val="105"/>
          <w:sz w:val="16"/>
        </w:rPr>
        <w:t xml:space="preserve"> </w:t>
      </w:r>
      <w:r w:rsidRPr="00EB2BD8">
        <w:rPr>
          <w:rFonts w:ascii="Arial"/>
          <w:w w:val="105"/>
          <w:sz w:val="16"/>
        </w:rPr>
        <w:t>periods</w:t>
      </w:r>
      <w:r w:rsidRPr="00EB2BD8">
        <w:rPr>
          <w:rFonts w:ascii="Arial"/>
          <w:spacing w:val="-3"/>
          <w:w w:val="105"/>
          <w:sz w:val="16"/>
        </w:rPr>
        <w:t xml:space="preserve"> </w:t>
      </w:r>
      <w:r w:rsidRPr="00EB2BD8">
        <w:rPr>
          <w:rFonts w:ascii="Arial"/>
          <w:w w:val="105"/>
          <w:sz w:val="16"/>
        </w:rPr>
        <w:t>beginning</w:t>
      </w:r>
      <w:r w:rsidRPr="00EB2BD8">
        <w:rPr>
          <w:rFonts w:ascii="Arial"/>
          <w:spacing w:val="-3"/>
          <w:w w:val="105"/>
          <w:sz w:val="16"/>
        </w:rPr>
        <w:t xml:space="preserve"> </w:t>
      </w:r>
      <w:r w:rsidRPr="00EB2BD8">
        <w:rPr>
          <w:rFonts w:ascii="Arial"/>
          <w:w w:val="105"/>
          <w:sz w:val="16"/>
        </w:rPr>
        <w:t>on</w:t>
      </w:r>
      <w:r w:rsidRPr="00EB2BD8">
        <w:rPr>
          <w:rFonts w:ascii="Arial"/>
          <w:spacing w:val="-3"/>
          <w:w w:val="105"/>
          <w:sz w:val="16"/>
        </w:rPr>
        <w:t xml:space="preserve"> </w:t>
      </w:r>
      <w:r w:rsidRPr="00EB2BD8">
        <w:rPr>
          <w:rFonts w:ascii="Arial"/>
          <w:w w:val="105"/>
          <w:sz w:val="16"/>
        </w:rPr>
        <w:t>or</w:t>
      </w:r>
      <w:r w:rsidRPr="00EB2BD8">
        <w:rPr>
          <w:rFonts w:ascii="Arial"/>
          <w:spacing w:val="-3"/>
          <w:w w:val="105"/>
          <w:sz w:val="16"/>
        </w:rPr>
        <w:t xml:space="preserve"> </w:t>
      </w:r>
      <w:r w:rsidRPr="00EB2BD8">
        <w:rPr>
          <w:rFonts w:ascii="Arial"/>
          <w:w w:val="105"/>
          <w:sz w:val="16"/>
        </w:rPr>
        <w:t>after</w:t>
      </w:r>
      <w:r w:rsidRPr="00EB2BD8">
        <w:rPr>
          <w:rFonts w:ascii="Arial"/>
          <w:spacing w:val="-3"/>
          <w:w w:val="105"/>
          <w:sz w:val="16"/>
        </w:rPr>
        <w:t xml:space="preserve"> </w:t>
      </w:r>
      <w:r w:rsidRPr="00EB2BD8">
        <w:rPr>
          <w:rFonts w:ascii="Arial"/>
          <w:w w:val="105"/>
          <w:sz w:val="16"/>
        </w:rPr>
        <w:t>1</w:t>
      </w:r>
      <w:r w:rsidRPr="00EB2BD8">
        <w:rPr>
          <w:rFonts w:ascii="Arial"/>
          <w:spacing w:val="-3"/>
          <w:w w:val="105"/>
          <w:sz w:val="16"/>
        </w:rPr>
        <w:t xml:space="preserve"> </w:t>
      </w:r>
      <w:r w:rsidRPr="00EB2BD8">
        <w:rPr>
          <w:rFonts w:ascii="Arial"/>
          <w:w w:val="105"/>
          <w:sz w:val="16"/>
        </w:rPr>
        <w:t>January</w:t>
      </w:r>
      <w:r w:rsidRPr="00EB2BD8">
        <w:rPr>
          <w:rFonts w:ascii="Arial"/>
          <w:spacing w:val="-3"/>
          <w:w w:val="105"/>
          <w:sz w:val="16"/>
        </w:rPr>
        <w:t xml:space="preserve"> </w:t>
      </w:r>
      <w:r w:rsidRPr="00EB2BD8">
        <w:rPr>
          <w:rFonts w:ascii="Arial"/>
          <w:w w:val="105"/>
          <w:sz w:val="16"/>
        </w:rPr>
        <w:t>2024,</w:t>
      </w:r>
      <w:r w:rsidRPr="00EB2BD8">
        <w:rPr>
          <w:rFonts w:ascii="Arial"/>
          <w:spacing w:val="-3"/>
          <w:w w:val="105"/>
          <w:sz w:val="16"/>
        </w:rPr>
        <w:t xml:space="preserve"> </w:t>
      </w:r>
      <w:r w:rsidRPr="00EB2BD8">
        <w:rPr>
          <w:rFonts w:ascii="Arial"/>
          <w:w w:val="105"/>
          <w:sz w:val="16"/>
        </w:rPr>
        <w:t>with</w:t>
      </w:r>
      <w:r w:rsidRPr="00EB2BD8">
        <w:rPr>
          <w:rFonts w:ascii="Arial"/>
          <w:spacing w:val="-3"/>
          <w:w w:val="105"/>
          <w:sz w:val="16"/>
        </w:rPr>
        <w:t xml:space="preserve"> </w:t>
      </w:r>
      <w:r w:rsidRPr="00EB2BD8">
        <w:rPr>
          <w:rFonts w:ascii="Arial"/>
          <w:w w:val="105"/>
          <w:sz w:val="16"/>
        </w:rPr>
        <w:t>earlier</w:t>
      </w:r>
      <w:r w:rsidRPr="00EB2BD8">
        <w:rPr>
          <w:rFonts w:ascii="Arial"/>
          <w:spacing w:val="-3"/>
          <w:w w:val="105"/>
          <w:sz w:val="16"/>
        </w:rPr>
        <w:t xml:space="preserve"> </w:t>
      </w:r>
      <w:r w:rsidRPr="00EB2BD8">
        <w:rPr>
          <w:rFonts w:ascii="Arial"/>
          <w:w w:val="105"/>
          <w:sz w:val="16"/>
        </w:rPr>
        <w:t xml:space="preserve">application </w:t>
      </w:r>
      <w:r w:rsidRPr="00EB2BD8">
        <w:rPr>
          <w:rFonts w:ascii="Arial"/>
          <w:spacing w:val="-2"/>
          <w:w w:val="105"/>
          <w:sz w:val="16"/>
        </w:rPr>
        <w:t>permitted.</w:t>
      </w:r>
    </w:p>
    <w:p w14:paraId="6E442FAA" w14:textId="77777777" w:rsidR="00084F36" w:rsidRPr="00EB2BD8" w:rsidRDefault="00084F36">
      <w:pPr>
        <w:pStyle w:val="BodyText"/>
        <w:spacing w:before="2"/>
        <w:rPr>
          <w:rFonts w:ascii="Arial"/>
          <w:sz w:val="19"/>
        </w:rPr>
      </w:pPr>
    </w:p>
    <w:p w14:paraId="48E58B29" w14:textId="77777777" w:rsidR="00084F36" w:rsidRPr="00EB2BD8" w:rsidRDefault="00EB2BD8">
      <w:pPr>
        <w:spacing w:before="1" w:line="290" w:lineRule="auto"/>
        <w:ind w:left="1055" w:right="1813"/>
        <w:rPr>
          <w:rFonts w:ascii="Arial" w:hAnsi="Arial"/>
          <w:b/>
          <w:sz w:val="16"/>
        </w:rPr>
      </w:pPr>
      <w:r w:rsidRPr="00EB2BD8">
        <w:rPr>
          <w:rFonts w:ascii="Arial" w:hAnsi="Arial"/>
          <w:b/>
          <w:w w:val="105"/>
          <w:sz w:val="16"/>
        </w:rPr>
        <w:t>AASB</w:t>
      </w:r>
      <w:r w:rsidRPr="00EB2BD8">
        <w:rPr>
          <w:rFonts w:ascii="Arial" w:hAnsi="Arial"/>
          <w:b/>
          <w:spacing w:val="-3"/>
          <w:w w:val="105"/>
          <w:sz w:val="16"/>
        </w:rPr>
        <w:t xml:space="preserve"> </w:t>
      </w:r>
      <w:r w:rsidRPr="00EB2BD8">
        <w:rPr>
          <w:rFonts w:ascii="Arial" w:hAnsi="Arial"/>
          <w:b/>
          <w:w w:val="105"/>
          <w:sz w:val="16"/>
        </w:rPr>
        <w:t>2020-1</w:t>
      </w:r>
      <w:r w:rsidRPr="00EB2BD8">
        <w:rPr>
          <w:rFonts w:ascii="Arial" w:hAnsi="Arial"/>
          <w:b/>
          <w:spacing w:val="-3"/>
          <w:w w:val="105"/>
          <w:sz w:val="16"/>
        </w:rPr>
        <w:t xml:space="preserve"> </w:t>
      </w:r>
      <w:r w:rsidRPr="00EB2BD8">
        <w:rPr>
          <w:rFonts w:ascii="Arial" w:hAnsi="Arial"/>
          <w:b/>
          <w:w w:val="105"/>
          <w:sz w:val="16"/>
        </w:rPr>
        <w:t>Amendments</w:t>
      </w:r>
      <w:r w:rsidRPr="00EB2BD8">
        <w:rPr>
          <w:rFonts w:ascii="Arial" w:hAnsi="Arial"/>
          <w:b/>
          <w:spacing w:val="-2"/>
          <w:w w:val="105"/>
          <w:sz w:val="16"/>
        </w:rPr>
        <w:t xml:space="preserve"> </w:t>
      </w:r>
      <w:r w:rsidRPr="00EB2BD8">
        <w:rPr>
          <w:rFonts w:ascii="Arial" w:hAnsi="Arial"/>
          <w:b/>
          <w:w w:val="105"/>
          <w:sz w:val="16"/>
        </w:rPr>
        <w:t>to</w:t>
      </w:r>
      <w:r w:rsidRPr="00EB2BD8">
        <w:rPr>
          <w:rFonts w:ascii="Arial" w:hAnsi="Arial"/>
          <w:b/>
          <w:spacing w:val="-2"/>
          <w:w w:val="105"/>
          <w:sz w:val="16"/>
        </w:rPr>
        <w:t xml:space="preserve"> </w:t>
      </w:r>
      <w:r w:rsidRPr="00EB2BD8">
        <w:rPr>
          <w:rFonts w:ascii="Arial" w:hAnsi="Arial"/>
          <w:b/>
          <w:w w:val="105"/>
          <w:sz w:val="16"/>
        </w:rPr>
        <w:t>Australian</w:t>
      </w:r>
      <w:r w:rsidRPr="00EB2BD8">
        <w:rPr>
          <w:rFonts w:ascii="Arial" w:hAnsi="Arial"/>
          <w:b/>
          <w:spacing w:val="-4"/>
          <w:w w:val="105"/>
          <w:sz w:val="16"/>
        </w:rPr>
        <w:t xml:space="preserve"> </w:t>
      </w:r>
      <w:r w:rsidRPr="00EB2BD8">
        <w:rPr>
          <w:rFonts w:ascii="Arial" w:hAnsi="Arial"/>
          <w:b/>
          <w:w w:val="105"/>
          <w:sz w:val="16"/>
        </w:rPr>
        <w:t>Accounting</w:t>
      </w:r>
      <w:r w:rsidRPr="00EB2BD8">
        <w:rPr>
          <w:rFonts w:ascii="Arial" w:hAnsi="Arial"/>
          <w:b/>
          <w:spacing w:val="-2"/>
          <w:w w:val="105"/>
          <w:sz w:val="16"/>
        </w:rPr>
        <w:t xml:space="preserve"> </w:t>
      </w:r>
      <w:r w:rsidRPr="00EB2BD8">
        <w:rPr>
          <w:rFonts w:ascii="Arial" w:hAnsi="Arial"/>
          <w:b/>
          <w:w w:val="105"/>
          <w:sz w:val="16"/>
        </w:rPr>
        <w:t>Standards</w:t>
      </w:r>
      <w:r w:rsidRPr="00EB2BD8">
        <w:rPr>
          <w:rFonts w:ascii="Arial" w:hAnsi="Arial"/>
          <w:b/>
          <w:spacing w:val="-3"/>
          <w:w w:val="105"/>
          <w:sz w:val="16"/>
        </w:rPr>
        <w:t xml:space="preserve"> </w:t>
      </w:r>
      <w:r w:rsidRPr="00EB2BD8">
        <w:rPr>
          <w:rFonts w:ascii="Arial" w:hAnsi="Arial"/>
          <w:b/>
          <w:w w:val="105"/>
          <w:sz w:val="16"/>
        </w:rPr>
        <w:t>–</w:t>
      </w:r>
      <w:r w:rsidRPr="00EB2BD8">
        <w:rPr>
          <w:rFonts w:ascii="Arial" w:hAnsi="Arial"/>
          <w:b/>
          <w:spacing w:val="-3"/>
          <w:w w:val="105"/>
          <w:sz w:val="16"/>
        </w:rPr>
        <w:t xml:space="preserve"> </w:t>
      </w:r>
      <w:r w:rsidRPr="00EB2BD8">
        <w:rPr>
          <w:rFonts w:ascii="Arial" w:hAnsi="Arial"/>
          <w:b/>
          <w:w w:val="105"/>
          <w:sz w:val="16"/>
        </w:rPr>
        <w:t>Classification</w:t>
      </w:r>
      <w:r w:rsidRPr="00EB2BD8">
        <w:rPr>
          <w:rFonts w:ascii="Arial" w:hAnsi="Arial"/>
          <w:b/>
          <w:spacing w:val="-3"/>
          <w:w w:val="105"/>
          <w:sz w:val="16"/>
        </w:rPr>
        <w:t xml:space="preserve"> </w:t>
      </w:r>
      <w:r w:rsidRPr="00EB2BD8">
        <w:rPr>
          <w:rFonts w:ascii="Arial" w:hAnsi="Arial"/>
          <w:b/>
          <w:w w:val="105"/>
          <w:sz w:val="16"/>
        </w:rPr>
        <w:t>of</w:t>
      </w:r>
      <w:r w:rsidRPr="00EB2BD8">
        <w:rPr>
          <w:rFonts w:ascii="Arial" w:hAnsi="Arial"/>
          <w:b/>
          <w:spacing w:val="-4"/>
          <w:w w:val="105"/>
          <w:sz w:val="16"/>
        </w:rPr>
        <w:t xml:space="preserve"> </w:t>
      </w:r>
      <w:r w:rsidRPr="00EB2BD8">
        <w:rPr>
          <w:rFonts w:ascii="Arial" w:hAnsi="Arial"/>
          <w:b/>
          <w:w w:val="105"/>
          <w:sz w:val="16"/>
        </w:rPr>
        <w:t>Liabilities</w:t>
      </w:r>
      <w:r w:rsidRPr="00EB2BD8">
        <w:rPr>
          <w:rFonts w:ascii="Arial" w:hAnsi="Arial"/>
          <w:b/>
          <w:spacing w:val="-3"/>
          <w:w w:val="105"/>
          <w:sz w:val="16"/>
        </w:rPr>
        <w:t xml:space="preserve"> </w:t>
      </w:r>
      <w:r w:rsidRPr="00EB2BD8">
        <w:rPr>
          <w:rFonts w:ascii="Arial" w:hAnsi="Arial"/>
          <w:b/>
          <w:w w:val="105"/>
          <w:sz w:val="16"/>
        </w:rPr>
        <w:t>as</w:t>
      </w:r>
      <w:r w:rsidRPr="00EB2BD8">
        <w:rPr>
          <w:rFonts w:ascii="Arial" w:hAnsi="Arial"/>
          <w:b/>
          <w:spacing w:val="-3"/>
          <w:w w:val="105"/>
          <w:sz w:val="16"/>
        </w:rPr>
        <w:t xml:space="preserve"> </w:t>
      </w:r>
      <w:r w:rsidRPr="00EB2BD8">
        <w:rPr>
          <w:rFonts w:ascii="Arial" w:hAnsi="Arial"/>
          <w:b/>
          <w:w w:val="105"/>
          <w:sz w:val="16"/>
        </w:rPr>
        <w:t>Current</w:t>
      </w:r>
      <w:r w:rsidRPr="00EB2BD8">
        <w:rPr>
          <w:rFonts w:ascii="Arial" w:hAnsi="Arial"/>
          <w:b/>
          <w:spacing w:val="-3"/>
          <w:w w:val="105"/>
          <w:sz w:val="16"/>
        </w:rPr>
        <w:t xml:space="preserve"> </w:t>
      </w:r>
      <w:r w:rsidRPr="00EB2BD8">
        <w:rPr>
          <w:rFonts w:ascii="Arial" w:hAnsi="Arial"/>
          <w:b/>
          <w:w w:val="105"/>
          <w:sz w:val="16"/>
        </w:rPr>
        <w:t>or</w:t>
      </w:r>
      <w:r w:rsidRPr="00EB2BD8">
        <w:rPr>
          <w:rFonts w:ascii="Arial" w:hAnsi="Arial"/>
          <w:b/>
          <w:spacing w:val="-3"/>
          <w:w w:val="105"/>
          <w:sz w:val="16"/>
        </w:rPr>
        <w:t xml:space="preserve"> </w:t>
      </w:r>
      <w:r w:rsidRPr="00EB2BD8">
        <w:rPr>
          <w:rFonts w:ascii="Arial" w:hAnsi="Arial"/>
          <w:b/>
          <w:w w:val="105"/>
          <w:sz w:val="16"/>
        </w:rPr>
        <w:t xml:space="preserve">Non- Current and AASB 2022-6 Amendments to Australian Accounting Standards – Non-current Liabilities with </w:t>
      </w:r>
      <w:r w:rsidRPr="00EB2BD8">
        <w:rPr>
          <w:rFonts w:ascii="Arial" w:hAnsi="Arial"/>
          <w:b/>
          <w:spacing w:val="-2"/>
          <w:w w:val="105"/>
          <w:sz w:val="16"/>
        </w:rPr>
        <w:t>Covenants</w:t>
      </w:r>
    </w:p>
    <w:p w14:paraId="29188E38" w14:textId="77777777" w:rsidR="00084F36" w:rsidRPr="00EB2BD8" w:rsidRDefault="00084F36">
      <w:pPr>
        <w:pStyle w:val="BodyText"/>
        <w:spacing w:before="2"/>
        <w:rPr>
          <w:rFonts w:ascii="Arial"/>
          <w:b/>
          <w:sz w:val="19"/>
        </w:rPr>
      </w:pPr>
    </w:p>
    <w:p w14:paraId="2E14CA85" w14:textId="77777777" w:rsidR="00084F36" w:rsidRPr="00EB2BD8" w:rsidRDefault="00EB2BD8">
      <w:pPr>
        <w:spacing w:before="1" w:line="290" w:lineRule="auto"/>
        <w:ind w:left="1055" w:right="2082"/>
        <w:jc w:val="both"/>
        <w:rPr>
          <w:rFonts w:ascii="Arial"/>
          <w:sz w:val="16"/>
        </w:rPr>
      </w:pPr>
      <w:r w:rsidRPr="00EB2BD8">
        <w:rPr>
          <w:rFonts w:ascii="Arial"/>
          <w:w w:val="105"/>
          <w:sz w:val="16"/>
        </w:rPr>
        <w:t>AASB</w:t>
      </w:r>
      <w:r w:rsidRPr="00EB2BD8">
        <w:rPr>
          <w:rFonts w:ascii="Arial"/>
          <w:spacing w:val="-2"/>
          <w:w w:val="105"/>
          <w:sz w:val="16"/>
        </w:rPr>
        <w:t xml:space="preserve"> </w:t>
      </w:r>
      <w:r w:rsidRPr="00EB2BD8">
        <w:rPr>
          <w:rFonts w:ascii="Arial"/>
          <w:w w:val="105"/>
          <w:sz w:val="16"/>
        </w:rPr>
        <w:t>2020-1</w:t>
      </w:r>
      <w:r w:rsidRPr="00EB2BD8">
        <w:rPr>
          <w:rFonts w:ascii="Arial"/>
          <w:spacing w:val="-1"/>
          <w:w w:val="105"/>
          <w:sz w:val="16"/>
        </w:rPr>
        <w:t xml:space="preserve"> </w:t>
      </w:r>
      <w:r w:rsidRPr="00EB2BD8">
        <w:rPr>
          <w:rFonts w:ascii="Arial"/>
          <w:w w:val="105"/>
          <w:sz w:val="16"/>
        </w:rPr>
        <w:t>amended</w:t>
      </w:r>
      <w:r w:rsidRPr="00EB2BD8">
        <w:rPr>
          <w:rFonts w:ascii="Arial"/>
          <w:spacing w:val="-2"/>
          <w:w w:val="105"/>
          <w:sz w:val="16"/>
        </w:rPr>
        <w:t xml:space="preserve"> </w:t>
      </w:r>
      <w:r w:rsidRPr="00EB2BD8">
        <w:rPr>
          <w:rFonts w:ascii="Arial"/>
          <w:w w:val="105"/>
          <w:sz w:val="16"/>
        </w:rPr>
        <w:t>AASB</w:t>
      </w:r>
      <w:r w:rsidRPr="00EB2BD8">
        <w:rPr>
          <w:rFonts w:ascii="Arial"/>
          <w:spacing w:val="-2"/>
          <w:w w:val="105"/>
          <w:sz w:val="16"/>
        </w:rPr>
        <w:t xml:space="preserve"> </w:t>
      </w:r>
      <w:r w:rsidRPr="00EB2BD8">
        <w:rPr>
          <w:rFonts w:ascii="Arial"/>
          <w:w w:val="105"/>
          <w:sz w:val="16"/>
        </w:rPr>
        <w:t>101</w:t>
      </w:r>
      <w:r w:rsidRPr="00EB2BD8">
        <w:rPr>
          <w:rFonts w:ascii="Arial"/>
          <w:spacing w:val="-2"/>
          <w:w w:val="105"/>
          <w:sz w:val="16"/>
        </w:rPr>
        <w:t xml:space="preserve"> </w:t>
      </w:r>
      <w:r w:rsidRPr="00EB2BD8">
        <w:rPr>
          <w:rFonts w:ascii="Arial"/>
          <w:w w:val="105"/>
          <w:sz w:val="16"/>
        </w:rPr>
        <w:t>Presentation</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Financial</w:t>
      </w:r>
      <w:r w:rsidRPr="00EB2BD8">
        <w:rPr>
          <w:rFonts w:ascii="Arial"/>
          <w:spacing w:val="-2"/>
          <w:w w:val="105"/>
          <w:sz w:val="16"/>
        </w:rPr>
        <w:t xml:space="preserve"> </w:t>
      </w:r>
      <w:r w:rsidRPr="00EB2BD8">
        <w:rPr>
          <w:rFonts w:ascii="Arial"/>
          <w:w w:val="105"/>
          <w:sz w:val="16"/>
        </w:rPr>
        <w:t>Statements</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clarify</w:t>
      </w:r>
      <w:r w:rsidRPr="00EB2BD8">
        <w:rPr>
          <w:rFonts w:ascii="Arial"/>
          <w:spacing w:val="-2"/>
          <w:w w:val="105"/>
          <w:sz w:val="16"/>
        </w:rPr>
        <w:t xml:space="preserve"> </w:t>
      </w:r>
      <w:r w:rsidRPr="00EB2BD8">
        <w:rPr>
          <w:rFonts w:ascii="Arial"/>
          <w:w w:val="105"/>
          <w:sz w:val="16"/>
        </w:rPr>
        <w:t>requirements</w:t>
      </w:r>
      <w:r w:rsidRPr="00EB2BD8">
        <w:rPr>
          <w:rFonts w:ascii="Arial"/>
          <w:spacing w:val="-2"/>
          <w:w w:val="105"/>
          <w:sz w:val="16"/>
        </w:rPr>
        <w:t xml:space="preserve"> </w:t>
      </w:r>
      <w:r w:rsidRPr="00EB2BD8">
        <w:rPr>
          <w:rFonts w:ascii="Arial"/>
          <w:w w:val="105"/>
          <w:sz w:val="16"/>
        </w:rPr>
        <w:t>for</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presentation</w:t>
      </w:r>
      <w:r w:rsidRPr="00EB2BD8">
        <w:rPr>
          <w:rFonts w:ascii="Arial"/>
          <w:spacing w:val="-2"/>
          <w:w w:val="105"/>
          <w:sz w:val="16"/>
        </w:rPr>
        <w:t xml:space="preserve"> </w:t>
      </w:r>
      <w:r w:rsidRPr="00EB2BD8">
        <w:rPr>
          <w:rFonts w:ascii="Arial"/>
          <w:w w:val="105"/>
          <w:sz w:val="16"/>
        </w:rPr>
        <w:t>of liabilities</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statement</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financial</w:t>
      </w:r>
      <w:r w:rsidRPr="00EB2BD8">
        <w:rPr>
          <w:rFonts w:ascii="Arial"/>
          <w:spacing w:val="-3"/>
          <w:w w:val="105"/>
          <w:sz w:val="16"/>
        </w:rPr>
        <w:t xml:space="preserve"> </w:t>
      </w:r>
      <w:r w:rsidRPr="00EB2BD8">
        <w:rPr>
          <w:rFonts w:ascii="Arial"/>
          <w:w w:val="105"/>
          <w:sz w:val="16"/>
        </w:rPr>
        <w:t>position</w:t>
      </w:r>
      <w:r w:rsidRPr="00EB2BD8">
        <w:rPr>
          <w:rFonts w:ascii="Arial"/>
          <w:spacing w:val="-3"/>
          <w:w w:val="105"/>
          <w:sz w:val="16"/>
        </w:rPr>
        <w:t xml:space="preserve"> </w:t>
      </w:r>
      <w:r w:rsidRPr="00EB2BD8">
        <w:rPr>
          <w:rFonts w:ascii="Arial"/>
          <w:w w:val="105"/>
          <w:sz w:val="16"/>
        </w:rPr>
        <w:t>as</w:t>
      </w:r>
      <w:r w:rsidRPr="00EB2BD8">
        <w:rPr>
          <w:rFonts w:ascii="Arial"/>
          <w:spacing w:val="-3"/>
          <w:w w:val="105"/>
          <w:sz w:val="16"/>
        </w:rPr>
        <w:t xml:space="preserve"> </w:t>
      </w:r>
      <w:r w:rsidRPr="00EB2BD8">
        <w:rPr>
          <w:rFonts w:ascii="Arial"/>
          <w:w w:val="105"/>
          <w:sz w:val="16"/>
        </w:rPr>
        <w:t>current</w:t>
      </w:r>
      <w:r w:rsidRPr="00EB2BD8">
        <w:rPr>
          <w:rFonts w:ascii="Arial"/>
          <w:spacing w:val="-3"/>
          <w:w w:val="105"/>
          <w:sz w:val="16"/>
        </w:rPr>
        <w:t xml:space="preserve"> </w:t>
      </w:r>
      <w:r w:rsidRPr="00EB2BD8">
        <w:rPr>
          <w:rFonts w:ascii="Arial"/>
          <w:w w:val="105"/>
          <w:sz w:val="16"/>
        </w:rPr>
        <w:t>or</w:t>
      </w:r>
      <w:r w:rsidRPr="00EB2BD8">
        <w:rPr>
          <w:rFonts w:ascii="Arial"/>
          <w:spacing w:val="-2"/>
          <w:w w:val="105"/>
          <w:sz w:val="16"/>
        </w:rPr>
        <w:t xml:space="preserve"> </w:t>
      </w:r>
      <w:r w:rsidRPr="00EB2BD8">
        <w:rPr>
          <w:rFonts w:ascii="Arial"/>
          <w:w w:val="105"/>
          <w:sz w:val="16"/>
        </w:rPr>
        <w:t>non-current</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was</w:t>
      </w:r>
      <w:r w:rsidRPr="00EB2BD8">
        <w:rPr>
          <w:rFonts w:ascii="Arial"/>
          <w:spacing w:val="-3"/>
          <w:w w:val="105"/>
          <w:sz w:val="16"/>
        </w:rPr>
        <w:t xml:space="preserve"> </w:t>
      </w:r>
      <w:r w:rsidRPr="00EB2BD8">
        <w:rPr>
          <w:rFonts w:ascii="Arial"/>
          <w:w w:val="105"/>
          <w:sz w:val="16"/>
        </w:rPr>
        <w:t>applicable</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annual</w:t>
      </w:r>
      <w:r w:rsidRPr="00EB2BD8">
        <w:rPr>
          <w:rFonts w:ascii="Arial"/>
          <w:spacing w:val="-3"/>
          <w:w w:val="105"/>
          <w:sz w:val="16"/>
        </w:rPr>
        <w:t xml:space="preserve"> </w:t>
      </w:r>
      <w:r w:rsidRPr="00EB2BD8">
        <w:rPr>
          <w:rFonts w:ascii="Arial"/>
          <w:w w:val="105"/>
          <w:sz w:val="16"/>
        </w:rPr>
        <w:t>reporting</w:t>
      </w:r>
      <w:r w:rsidRPr="00EB2BD8">
        <w:rPr>
          <w:rFonts w:ascii="Arial"/>
          <w:spacing w:val="-3"/>
          <w:w w:val="105"/>
          <w:sz w:val="16"/>
        </w:rPr>
        <w:t xml:space="preserve"> </w:t>
      </w:r>
      <w:r w:rsidRPr="00EB2BD8">
        <w:rPr>
          <w:rFonts w:ascii="Arial"/>
          <w:w w:val="105"/>
          <w:sz w:val="16"/>
        </w:rPr>
        <w:t>periods beginning on or after 1 January 2022.</w:t>
      </w:r>
    </w:p>
    <w:p w14:paraId="6EAA116D" w14:textId="77777777" w:rsidR="00084F36" w:rsidRPr="00EB2BD8" w:rsidRDefault="00084F36">
      <w:pPr>
        <w:pStyle w:val="BodyText"/>
        <w:spacing w:before="1"/>
        <w:rPr>
          <w:rFonts w:ascii="Arial"/>
          <w:sz w:val="19"/>
        </w:rPr>
      </w:pPr>
    </w:p>
    <w:p w14:paraId="0D6B7CE2" w14:textId="77777777" w:rsidR="00084F36" w:rsidRPr="00EB2BD8" w:rsidRDefault="00EB2BD8">
      <w:pPr>
        <w:spacing w:line="290" w:lineRule="auto"/>
        <w:ind w:left="1055" w:right="1813"/>
        <w:rPr>
          <w:rFonts w:ascii="Arial"/>
          <w:sz w:val="16"/>
        </w:rPr>
      </w:pPr>
      <w:r w:rsidRPr="00EB2BD8">
        <w:rPr>
          <w:rFonts w:ascii="Arial"/>
          <w:w w:val="105"/>
          <w:sz w:val="16"/>
        </w:rPr>
        <w:t>AASB</w:t>
      </w:r>
      <w:r w:rsidRPr="00EB2BD8">
        <w:rPr>
          <w:rFonts w:ascii="Arial"/>
          <w:spacing w:val="-3"/>
          <w:w w:val="105"/>
          <w:sz w:val="16"/>
        </w:rPr>
        <w:t xml:space="preserve"> </w:t>
      </w:r>
      <w:r w:rsidRPr="00EB2BD8">
        <w:rPr>
          <w:rFonts w:ascii="Arial"/>
          <w:w w:val="105"/>
          <w:sz w:val="16"/>
        </w:rPr>
        <w:t>2020-6</w:t>
      </w:r>
      <w:r w:rsidRPr="00EB2BD8">
        <w:rPr>
          <w:rFonts w:ascii="Arial"/>
          <w:spacing w:val="-2"/>
          <w:w w:val="105"/>
          <w:sz w:val="16"/>
        </w:rPr>
        <w:t xml:space="preserve"> </w:t>
      </w:r>
      <w:r w:rsidRPr="00EB2BD8">
        <w:rPr>
          <w:rFonts w:ascii="Arial"/>
          <w:w w:val="105"/>
          <w:sz w:val="16"/>
        </w:rPr>
        <w:t>subsequently</w:t>
      </w:r>
      <w:r w:rsidRPr="00EB2BD8">
        <w:rPr>
          <w:rFonts w:ascii="Arial"/>
          <w:spacing w:val="-3"/>
          <w:w w:val="105"/>
          <w:sz w:val="16"/>
        </w:rPr>
        <w:t xml:space="preserve"> </w:t>
      </w:r>
      <w:r w:rsidRPr="00EB2BD8">
        <w:rPr>
          <w:rFonts w:ascii="Arial"/>
          <w:w w:val="105"/>
          <w:sz w:val="16"/>
        </w:rPr>
        <w:t>amended</w:t>
      </w:r>
      <w:r w:rsidRPr="00EB2BD8">
        <w:rPr>
          <w:rFonts w:ascii="Arial"/>
          <w:spacing w:val="-3"/>
          <w:w w:val="105"/>
          <w:sz w:val="16"/>
        </w:rPr>
        <w:t xml:space="preserve"> </w:t>
      </w:r>
      <w:r w:rsidRPr="00EB2BD8">
        <w:rPr>
          <w:rFonts w:ascii="Arial"/>
          <w:w w:val="105"/>
          <w:sz w:val="16"/>
        </w:rPr>
        <w:t>AASB</w:t>
      </w:r>
      <w:r w:rsidRPr="00EB2BD8">
        <w:rPr>
          <w:rFonts w:ascii="Arial"/>
          <w:spacing w:val="-2"/>
          <w:w w:val="105"/>
          <w:sz w:val="16"/>
        </w:rPr>
        <w:t xml:space="preserve"> </w:t>
      </w:r>
      <w:r w:rsidRPr="00EB2BD8">
        <w:rPr>
          <w:rFonts w:ascii="Arial"/>
          <w:w w:val="105"/>
          <w:sz w:val="16"/>
        </w:rPr>
        <w:t>2020-1,</w:t>
      </w:r>
      <w:r w:rsidRPr="00EB2BD8">
        <w:rPr>
          <w:rFonts w:ascii="Arial"/>
          <w:spacing w:val="-3"/>
          <w:w w:val="105"/>
          <w:sz w:val="16"/>
        </w:rPr>
        <w:t xml:space="preserve"> </w:t>
      </w:r>
      <w:r w:rsidRPr="00EB2BD8">
        <w:rPr>
          <w:rFonts w:ascii="Arial"/>
          <w:w w:val="105"/>
          <w:sz w:val="16"/>
        </w:rPr>
        <w:t>deferring</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mandatory</w:t>
      </w:r>
      <w:r w:rsidRPr="00EB2BD8">
        <w:rPr>
          <w:rFonts w:ascii="Arial"/>
          <w:spacing w:val="-3"/>
          <w:w w:val="105"/>
          <w:sz w:val="16"/>
        </w:rPr>
        <w:t xml:space="preserve"> </w:t>
      </w:r>
      <w:r w:rsidRPr="00EB2BD8">
        <w:rPr>
          <w:rFonts w:ascii="Arial"/>
          <w:w w:val="105"/>
          <w:sz w:val="16"/>
        </w:rPr>
        <w:t>effective</w:t>
      </w:r>
      <w:r w:rsidRPr="00EB2BD8">
        <w:rPr>
          <w:rFonts w:ascii="Arial"/>
          <w:spacing w:val="-3"/>
          <w:w w:val="105"/>
          <w:sz w:val="16"/>
        </w:rPr>
        <w:t xml:space="preserve"> </w:t>
      </w:r>
      <w:r w:rsidRPr="00EB2BD8">
        <w:rPr>
          <w:rFonts w:ascii="Arial"/>
          <w:w w:val="105"/>
          <w:sz w:val="16"/>
        </w:rPr>
        <w:t>date</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AASB</w:t>
      </w:r>
      <w:r w:rsidRPr="00EB2BD8">
        <w:rPr>
          <w:rFonts w:ascii="Arial"/>
          <w:spacing w:val="-3"/>
          <w:w w:val="105"/>
          <w:sz w:val="16"/>
        </w:rPr>
        <w:t xml:space="preserve"> </w:t>
      </w:r>
      <w:r w:rsidRPr="00EB2BD8">
        <w:rPr>
          <w:rFonts w:ascii="Arial"/>
          <w:w w:val="105"/>
          <w:sz w:val="16"/>
        </w:rPr>
        <w:t>2020-1</w:t>
      </w:r>
      <w:r w:rsidRPr="00EB2BD8">
        <w:rPr>
          <w:rFonts w:ascii="Arial"/>
          <w:spacing w:val="-3"/>
          <w:w w:val="105"/>
          <w:sz w:val="16"/>
        </w:rPr>
        <w:t xml:space="preserve"> </w:t>
      </w:r>
      <w:r w:rsidRPr="00EB2BD8">
        <w:rPr>
          <w:rFonts w:ascii="Arial"/>
          <w:w w:val="105"/>
          <w:sz w:val="16"/>
        </w:rPr>
        <w:t>from</w:t>
      </w:r>
      <w:r w:rsidRPr="00EB2BD8">
        <w:rPr>
          <w:rFonts w:ascii="Arial"/>
          <w:spacing w:val="-3"/>
          <w:w w:val="105"/>
          <w:sz w:val="16"/>
        </w:rPr>
        <w:t xml:space="preserve"> </w:t>
      </w:r>
      <w:r w:rsidRPr="00EB2BD8">
        <w:rPr>
          <w:rFonts w:ascii="Arial"/>
          <w:w w:val="105"/>
          <w:sz w:val="16"/>
        </w:rPr>
        <w:t>1 January 2022 to 1 January 2023. AASB 2022-6 was applicable for annual reporting periods beginning on or after 1 January 2022.</w:t>
      </w:r>
    </w:p>
    <w:p w14:paraId="6FA2AE5C" w14:textId="77777777" w:rsidR="00084F36" w:rsidRPr="00EB2BD8" w:rsidRDefault="00084F36">
      <w:pPr>
        <w:pStyle w:val="BodyText"/>
        <w:spacing w:before="3"/>
        <w:rPr>
          <w:rFonts w:ascii="Arial"/>
          <w:sz w:val="19"/>
        </w:rPr>
      </w:pPr>
    </w:p>
    <w:p w14:paraId="4F07EB78" w14:textId="77777777" w:rsidR="00084F36" w:rsidRPr="00EB2BD8" w:rsidRDefault="00EB2BD8">
      <w:pPr>
        <w:ind w:left="1055"/>
        <w:rPr>
          <w:rFonts w:ascii="Arial"/>
          <w:sz w:val="16"/>
        </w:rPr>
      </w:pPr>
      <w:r w:rsidRPr="00EB2BD8">
        <w:rPr>
          <w:rFonts w:ascii="Arial"/>
          <w:w w:val="105"/>
          <w:sz w:val="16"/>
        </w:rPr>
        <w:t>AASB</w:t>
      </w:r>
      <w:r w:rsidRPr="00EB2BD8">
        <w:rPr>
          <w:rFonts w:ascii="Arial"/>
          <w:spacing w:val="-8"/>
          <w:w w:val="105"/>
          <w:sz w:val="16"/>
        </w:rPr>
        <w:t xml:space="preserve"> </w:t>
      </w:r>
      <w:r w:rsidRPr="00EB2BD8">
        <w:rPr>
          <w:rFonts w:ascii="Arial"/>
          <w:w w:val="105"/>
          <w:sz w:val="16"/>
        </w:rPr>
        <w:t>2022-6</w:t>
      </w:r>
      <w:r w:rsidRPr="00EB2BD8">
        <w:rPr>
          <w:rFonts w:ascii="Arial"/>
          <w:spacing w:val="-6"/>
          <w:w w:val="105"/>
          <w:sz w:val="16"/>
        </w:rPr>
        <w:t xml:space="preserve"> </w:t>
      </w:r>
      <w:r w:rsidRPr="00EB2BD8">
        <w:rPr>
          <w:rFonts w:ascii="Arial"/>
          <w:w w:val="105"/>
          <w:sz w:val="16"/>
        </w:rPr>
        <w:t>amends</w:t>
      </w:r>
      <w:r w:rsidRPr="00EB2BD8">
        <w:rPr>
          <w:rFonts w:ascii="Arial"/>
          <w:spacing w:val="-8"/>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clarifies</w:t>
      </w:r>
      <w:r w:rsidRPr="00EB2BD8">
        <w:rPr>
          <w:rFonts w:ascii="Arial"/>
          <w:spacing w:val="-8"/>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requirements</w:t>
      </w:r>
      <w:r w:rsidRPr="00EB2BD8">
        <w:rPr>
          <w:rFonts w:ascii="Arial"/>
          <w:spacing w:val="-8"/>
          <w:w w:val="105"/>
          <w:sz w:val="16"/>
        </w:rPr>
        <w:t xml:space="preserve"> </w:t>
      </w:r>
      <w:r w:rsidRPr="00EB2BD8">
        <w:rPr>
          <w:rFonts w:ascii="Arial"/>
          <w:w w:val="105"/>
          <w:sz w:val="16"/>
        </w:rPr>
        <w:t>contained</w:t>
      </w:r>
      <w:r w:rsidRPr="00EB2BD8">
        <w:rPr>
          <w:rFonts w:ascii="Arial"/>
          <w:spacing w:val="-7"/>
          <w:w w:val="105"/>
          <w:sz w:val="16"/>
        </w:rPr>
        <w:t xml:space="preserve"> </w:t>
      </w:r>
      <w:r w:rsidRPr="00EB2BD8">
        <w:rPr>
          <w:rFonts w:ascii="Arial"/>
          <w:w w:val="105"/>
          <w:sz w:val="16"/>
        </w:rPr>
        <w:t>in</w:t>
      </w:r>
      <w:r w:rsidRPr="00EB2BD8">
        <w:rPr>
          <w:rFonts w:ascii="Arial"/>
          <w:spacing w:val="-7"/>
          <w:w w:val="105"/>
          <w:sz w:val="16"/>
        </w:rPr>
        <w:t xml:space="preserve"> </w:t>
      </w:r>
      <w:r w:rsidRPr="00EB2BD8">
        <w:rPr>
          <w:rFonts w:ascii="Arial"/>
          <w:w w:val="105"/>
          <w:sz w:val="16"/>
        </w:rPr>
        <w:t>AASB</w:t>
      </w:r>
      <w:r w:rsidRPr="00EB2BD8">
        <w:rPr>
          <w:rFonts w:ascii="Arial"/>
          <w:spacing w:val="-8"/>
          <w:w w:val="105"/>
          <w:sz w:val="16"/>
        </w:rPr>
        <w:t xml:space="preserve"> </w:t>
      </w:r>
      <w:r w:rsidRPr="00EB2BD8">
        <w:rPr>
          <w:rFonts w:ascii="Arial"/>
          <w:w w:val="105"/>
          <w:sz w:val="16"/>
        </w:rPr>
        <w:t>2020-1.</w:t>
      </w:r>
      <w:r w:rsidRPr="00EB2BD8">
        <w:rPr>
          <w:rFonts w:ascii="Arial"/>
          <w:spacing w:val="-7"/>
          <w:w w:val="105"/>
          <w:sz w:val="16"/>
        </w:rPr>
        <w:t xml:space="preserve"> </w:t>
      </w:r>
      <w:r w:rsidRPr="00EB2BD8">
        <w:rPr>
          <w:rFonts w:ascii="Arial"/>
          <w:w w:val="105"/>
          <w:sz w:val="16"/>
        </w:rPr>
        <w:t>Among</w:t>
      </w:r>
      <w:r w:rsidRPr="00EB2BD8">
        <w:rPr>
          <w:rFonts w:ascii="Arial"/>
          <w:spacing w:val="-7"/>
          <w:w w:val="105"/>
          <w:sz w:val="16"/>
        </w:rPr>
        <w:t xml:space="preserve"> </w:t>
      </w:r>
      <w:r w:rsidRPr="00EB2BD8">
        <w:rPr>
          <w:rFonts w:ascii="Arial"/>
          <w:w w:val="105"/>
          <w:sz w:val="16"/>
        </w:rPr>
        <w:t>other</w:t>
      </w:r>
      <w:r w:rsidRPr="00EB2BD8">
        <w:rPr>
          <w:rFonts w:ascii="Arial"/>
          <w:spacing w:val="-7"/>
          <w:w w:val="105"/>
          <w:sz w:val="16"/>
        </w:rPr>
        <w:t xml:space="preserve"> </w:t>
      </w:r>
      <w:r w:rsidRPr="00EB2BD8">
        <w:rPr>
          <w:rFonts w:ascii="Arial"/>
          <w:w w:val="105"/>
          <w:sz w:val="16"/>
        </w:rPr>
        <w:t>things,</w:t>
      </w:r>
      <w:r w:rsidRPr="00EB2BD8">
        <w:rPr>
          <w:rFonts w:ascii="Arial"/>
          <w:spacing w:val="-8"/>
          <w:w w:val="105"/>
          <w:sz w:val="16"/>
        </w:rPr>
        <w:t xml:space="preserve"> </w:t>
      </w:r>
      <w:r w:rsidRPr="00EB2BD8">
        <w:rPr>
          <w:rFonts w:ascii="Arial"/>
          <w:spacing w:val="-5"/>
          <w:w w:val="105"/>
          <w:sz w:val="16"/>
        </w:rPr>
        <w:t>it:</w:t>
      </w:r>
    </w:p>
    <w:p w14:paraId="7DE131BB" w14:textId="77777777" w:rsidR="00084F36" w:rsidRPr="00EB2BD8" w:rsidRDefault="00EB2BD8">
      <w:pPr>
        <w:pStyle w:val="ListParagraph"/>
        <w:numPr>
          <w:ilvl w:val="0"/>
          <w:numId w:val="25"/>
        </w:numPr>
        <w:tabs>
          <w:tab w:val="left" w:pos="1838"/>
          <w:tab w:val="left" w:pos="1849"/>
        </w:tabs>
        <w:spacing w:before="38" w:line="290" w:lineRule="auto"/>
        <w:ind w:right="2335" w:hanging="397"/>
        <w:rPr>
          <w:rFonts w:ascii="Arial" w:hAnsi="Arial"/>
          <w:sz w:val="16"/>
        </w:rPr>
      </w:pPr>
      <w:r w:rsidRPr="00EB2BD8">
        <w:rPr>
          <w:rFonts w:ascii="Arial" w:hAnsi="Arial"/>
          <w:w w:val="105"/>
          <w:sz w:val="16"/>
        </w:rPr>
        <w:t>clarifies</w:t>
      </w:r>
      <w:r w:rsidRPr="00EB2BD8">
        <w:rPr>
          <w:rFonts w:ascii="Arial" w:hAnsi="Arial"/>
          <w:spacing w:val="-2"/>
          <w:w w:val="105"/>
          <w:sz w:val="16"/>
        </w:rPr>
        <w:t xml:space="preserve"> </w:t>
      </w:r>
      <w:r w:rsidRPr="00EB2BD8">
        <w:rPr>
          <w:rFonts w:ascii="Arial" w:hAnsi="Arial"/>
          <w:w w:val="105"/>
          <w:sz w:val="16"/>
        </w:rPr>
        <w:t>that</w:t>
      </w:r>
      <w:r w:rsidRPr="00EB2BD8">
        <w:rPr>
          <w:rFonts w:ascii="Arial" w:hAnsi="Arial"/>
          <w:spacing w:val="-2"/>
          <w:w w:val="105"/>
          <w:sz w:val="16"/>
        </w:rPr>
        <w:t xml:space="preserve"> </w:t>
      </w:r>
      <w:r w:rsidRPr="00EB2BD8">
        <w:rPr>
          <w:rFonts w:ascii="Arial" w:hAnsi="Arial"/>
          <w:w w:val="105"/>
          <w:sz w:val="16"/>
        </w:rPr>
        <w:t>only</w:t>
      </w:r>
      <w:r w:rsidRPr="00EB2BD8">
        <w:rPr>
          <w:rFonts w:ascii="Arial" w:hAnsi="Arial"/>
          <w:spacing w:val="-2"/>
          <w:w w:val="105"/>
          <w:sz w:val="16"/>
        </w:rPr>
        <w:t xml:space="preserve"> </w:t>
      </w:r>
      <w:r w:rsidRPr="00EB2BD8">
        <w:rPr>
          <w:rFonts w:ascii="Arial" w:hAnsi="Arial"/>
          <w:w w:val="105"/>
          <w:sz w:val="16"/>
        </w:rPr>
        <w:t>those</w:t>
      </w:r>
      <w:r w:rsidRPr="00EB2BD8">
        <w:rPr>
          <w:rFonts w:ascii="Arial" w:hAnsi="Arial"/>
          <w:spacing w:val="-2"/>
          <w:w w:val="105"/>
          <w:sz w:val="16"/>
        </w:rPr>
        <w:t xml:space="preserve"> </w:t>
      </w:r>
      <w:r w:rsidRPr="00EB2BD8">
        <w:rPr>
          <w:rFonts w:ascii="Arial" w:hAnsi="Arial"/>
          <w:w w:val="105"/>
          <w:sz w:val="16"/>
        </w:rPr>
        <w:t>covenants</w:t>
      </w:r>
      <w:r w:rsidRPr="00EB2BD8">
        <w:rPr>
          <w:rFonts w:ascii="Arial" w:hAnsi="Arial"/>
          <w:spacing w:val="-2"/>
          <w:w w:val="105"/>
          <w:sz w:val="16"/>
        </w:rPr>
        <w:t xml:space="preserve"> </w:t>
      </w:r>
      <w:r w:rsidRPr="00EB2BD8">
        <w:rPr>
          <w:rFonts w:ascii="Arial" w:hAnsi="Arial"/>
          <w:w w:val="105"/>
          <w:sz w:val="16"/>
        </w:rPr>
        <w:t>that</w:t>
      </w:r>
      <w:r w:rsidRPr="00EB2BD8">
        <w:rPr>
          <w:rFonts w:ascii="Arial" w:hAnsi="Arial"/>
          <w:spacing w:val="-2"/>
          <w:w w:val="105"/>
          <w:sz w:val="16"/>
        </w:rPr>
        <w:t xml:space="preserve"> </w:t>
      </w:r>
      <w:r w:rsidRPr="00EB2BD8">
        <w:rPr>
          <w:rFonts w:ascii="Arial" w:hAnsi="Arial"/>
          <w:w w:val="105"/>
          <w:sz w:val="16"/>
        </w:rPr>
        <w:t>an</w:t>
      </w:r>
      <w:r w:rsidRPr="00EB2BD8">
        <w:rPr>
          <w:rFonts w:ascii="Arial" w:hAnsi="Arial"/>
          <w:spacing w:val="-2"/>
          <w:w w:val="105"/>
          <w:sz w:val="16"/>
        </w:rPr>
        <w:t xml:space="preserve"> </w:t>
      </w:r>
      <w:r w:rsidRPr="00EB2BD8">
        <w:rPr>
          <w:rFonts w:ascii="Arial" w:hAnsi="Arial"/>
          <w:w w:val="105"/>
          <w:sz w:val="16"/>
        </w:rPr>
        <w:t>entity</w:t>
      </w:r>
      <w:r w:rsidRPr="00EB2BD8">
        <w:rPr>
          <w:rFonts w:ascii="Arial" w:hAnsi="Arial"/>
          <w:spacing w:val="-2"/>
          <w:w w:val="105"/>
          <w:sz w:val="16"/>
        </w:rPr>
        <w:t xml:space="preserve"> </w:t>
      </w:r>
      <w:r w:rsidRPr="00EB2BD8">
        <w:rPr>
          <w:rFonts w:ascii="Arial" w:hAnsi="Arial"/>
          <w:w w:val="105"/>
          <w:sz w:val="16"/>
        </w:rPr>
        <w:t>must</w:t>
      </w:r>
      <w:r w:rsidRPr="00EB2BD8">
        <w:rPr>
          <w:rFonts w:ascii="Arial" w:hAnsi="Arial"/>
          <w:spacing w:val="-2"/>
          <w:w w:val="105"/>
          <w:sz w:val="16"/>
        </w:rPr>
        <w:t xml:space="preserve"> </w:t>
      </w:r>
      <w:r w:rsidRPr="00EB2BD8">
        <w:rPr>
          <w:rFonts w:ascii="Arial" w:hAnsi="Arial"/>
          <w:w w:val="105"/>
          <w:sz w:val="16"/>
        </w:rPr>
        <w:t>comply</w:t>
      </w:r>
      <w:r w:rsidRPr="00EB2BD8">
        <w:rPr>
          <w:rFonts w:ascii="Arial" w:hAnsi="Arial"/>
          <w:spacing w:val="-2"/>
          <w:w w:val="105"/>
          <w:sz w:val="16"/>
        </w:rPr>
        <w:t xml:space="preserve"> </w:t>
      </w:r>
      <w:r w:rsidRPr="00EB2BD8">
        <w:rPr>
          <w:rFonts w:ascii="Arial" w:hAnsi="Arial"/>
          <w:w w:val="105"/>
          <w:sz w:val="16"/>
        </w:rPr>
        <w:t>with</w:t>
      </w:r>
      <w:r w:rsidRPr="00EB2BD8">
        <w:rPr>
          <w:rFonts w:ascii="Arial" w:hAnsi="Arial"/>
          <w:spacing w:val="-2"/>
          <w:w w:val="105"/>
          <w:sz w:val="16"/>
        </w:rPr>
        <w:t xml:space="preserve"> </w:t>
      </w:r>
      <w:r w:rsidRPr="00EB2BD8">
        <w:rPr>
          <w:rFonts w:ascii="Arial" w:hAnsi="Arial"/>
          <w:w w:val="105"/>
          <w:sz w:val="16"/>
        </w:rPr>
        <w:t>at</w:t>
      </w:r>
      <w:r w:rsidRPr="00EB2BD8">
        <w:rPr>
          <w:rFonts w:ascii="Arial" w:hAnsi="Arial"/>
          <w:spacing w:val="-2"/>
          <w:w w:val="105"/>
          <w:sz w:val="16"/>
        </w:rPr>
        <w:t xml:space="preserve"> </w:t>
      </w:r>
      <w:r w:rsidRPr="00EB2BD8">
        <w:rPr>
          <w:rFonts w:ascii="Arial" w:hAnsi="Arial"/>
          <w:w w:val="105"/>
          <w:sz w:val="16"/>
        </w:rPr>
        <w:t>or</w:t>
      </w:r>
      <w:r w:rsidRPr="00EB2BD8">
        <w:rPr>
          <w:rFonts w:ascii="Arial" w:hAnsi="Arial"/>
          <w:spacing w:val="-2"/>
          <w:w w:val="105"/>
          <w:sz w:val="16"/>
        </w:rPr>
        <w:t xml:space="preserve"> </w:t>
      </w:r>
      <w:r w:rsidRPr="00EB2BD8">
        <w:rPr>
          <w:rFonts w:ascii="Arial" w:hAnsi="Arial"/>
          <w:w w:val="105"/>
          <w:sz w:val="16"/>
        </w:rPr>
        <w:t>before</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reporting</w:t>
      </w:r>
      <w:r w:rsidRPr="00EB2BD8">
        <w:rPr>
          <w:rFonts w:ascii="Arial" w:hAnsi="Arial"/>
          <w:spacing w:val="-2"/>
          <w:w w:val="105"/>
          <w:sz w:val="16"/>
        </w:rPr>
        <w:t xml:space="preserve"> </w:t>
      </w:r>
      <w:r w:rsidRPr="00EB2BD8">
        <w:rPr>
          <w:rFonts w:ascii="Arial" w:hAnsi="Arial"/>
          <w:w w:val="105"/>
          <w:sz w:val="16"/>
        </w:rPr>
        <w:t>date</w:t>
      </w:r>
      <w:r w:rsidRPr="00EB2BD8">
        <w:rPr>
          <w:rFonts w:ascii="Arial" w:hAnsi="Arial"/>
          <w:spacing w:val="-2"/>
          <w:w w:val="105"/>
          <w:sz w:val="16"/>
        </w:rPr>
        <w:t xml:space="preserve"> </w:t>
      </w:r>
      <w:r w:rsidRPr="00EB2BD8">
        <w:rPr>
          <w:rFonts w:ascii="Arial" w:hAnsi="Arial"/>
          <w:w w:val="105"/>
          <w:sz w:val="16"/>
        </w:rPr>
        <w:t>affect</w:t>
      </w:r>
      <w:r w:rsidRPr="00EB2BD8">
        <w:rPr>
          <w:rFonts w:ascii="Arial" w:hAnsi="Arial"/>
          <w:spacing w:val="-2"/>
          <w:w w:val="105"/>
          <w:sz w:val="16"/>
        </w:rPr>
        <w:t xml:space="preserve"> </w:t>
      </w:r>
      <w:r w:rsidRPr="00EB2BD8">
        <w:rPr>
          <w:rFonts w:ascii="Arial" w:hAnsi="Arial"/>
          <w:w w:val="105"/>
          <w:sz w:val="16"/>
        </w:rPr>
        <w:t>a liability’s classification as current or non-current; and</w:t>
      </w:r>
    </w:p>
    <w:p w14:paraId="433DDCA7" w14:textId="77777777" w:rsidR="00084F36" w:rsidRPr="00EB2BD8" w:rsidRDefault="00EB2BD8">
      <w:pPr>
        <w:pStyle w:val="ListParagraph"/>
        <w:numPr>
          <w:ilvl w:val="0"/>
          <w:numId w:val="25"/>
        </w:numPr>
        <w:tabs>
          <w:tab w:val="left" w:pos="1838"/>
          <w:tab w:val="left" w:pos="1849"/>
        </w:tabs>
        <w:spacing w:line="290" w:lineRule="auto"/>
        <w:ind w:right="1954" w:hanging="397"/>
        <w:rPr>
          <w:rFonts w:ascii="Arial" w:hAnsi="Arial"/>
          <w:sz w:val="16"/>
        </w:rPr>
      </w:pPr>
      <w:r w:rsidRPr="00EB2BD8">
        <w:rPr>
          <w:rFonts w:ascii="Arial" w:hAnsi="Arial"/>
          <w:w w:val="105"/>
          <w:sz w:val="16"/>
        </w:rPr>
        <w:t>requires</w:t>
      </w:r>
      <w:r w:rsidRPr="00EB2BD8">
        <w:rPr>
          <w:rFonts w:ascii="Arial" w:hAnsi="Arial"/>
          <w:spacing w:val="-3"/>
          <w:w w:val="105"/>
          <w:sz w:val="16"/>
        </w:rPr>
        <w:t xml:space="preserve"> </w:t>
      </w:r>
      <w:r w:rsidRPr="00EB2BD8">
        <w:rPr>
          <w:rFonts w:ascii="Arial" w:hAnsi="Arial"/>
          <w:w w:val="105"/>
          <w:sz w:val="16"/>
        </w:rPr>
        <w:t>additional</w:t>
      </w:r>
      <w:r w:rsidRPr="00EB2BD8">
        <w:rPr>
          <w:rFonts w:ascii="Arial" w:hAnsi="Arial"/>
          <w:spacing w:val="-3"/>
          <w:w w:val="105"/>
          <w:sz w:val="16"/>
        </w:rPr>
        <w:t xml:space="preserve"> </w:t>
      </w:r>
      <w:r w:rsidRPr="00EB2BD8">
        <w:rPr>
          <w:rFonts w:ascii="Arial" w:hAnsi="Arial"/>
          <w:w w:val="105"/>
          <w:sz w:val="16"/>
        </w:rPr>
        <w:t>disclosures</w:t>
      </w:r>
      <w:r w:rsidRPr="00EB2BD8">
        <w:rPr>
          <w:rFonts w:ascii="Arial" w:hAnsi="Arial"/>
          <w:spacing w:val="-3"/>
          <w:w w:val="105"/>
          <w:sz w:val="16"/>
        </w:rPr>
        <w:t xml:space="preserve"> </w:t>
      </w:r>
      <w:r w:rsidRPr="00EB2BD8">
        <w:rPr>
          <w:rFonts w:ascii="Arial" w:hAnsi="Arial"/>
          <w:w w:val="105"/>
          <w:sz w:val="16"/>
        </w:rPr>
        <w:t>for</w:t>
      </w:r>
      <w:r w:rsidRPr="00EB2BD8">
        <w:rPr>
          <w:rFonts w:ascii="Arial" w:hAnsi="Arial"/>
          <w:spacing w:val="-3"/>
          <w:w w:val="105"/>
          <w:sz w:val="16"/>
        </w:rPr>
        <w:t xml:space="preserve"> </w:t>
      </w:r>
      <w:r w:rsidRPr="00EB2BD8">
        <w:rPr>
          <w:rFonts w:ascii="Arial" w:hAnsi="Arial"/>
          <w:w w:val="105"/>
          <w:sz w:val="16"/>
        </w:rPr>
        <w:t>non-current</w:t>
      </w:r>
      <w:r w:rsidRPr="00EB2BD8">
        <w:rPr>
          <w:rFonts w:ascii="Arial" w:hAnsi="Arial"/>
          <w:spacing w:val="-3"/>
          <w:w w:val="105"/>
          <w:sz w:val="16"/>
        </w:rPr>
        <w:t xml:space="preserve"> </w:t>
      </w:r>
      <w:r w:rsidRPr="00EB2BD8">
        <w:rPr>
          <w:rFonts w:ascii="Arial" w:hAnsi="Arial"/>
          <w:w w:val="105"/>
          <w:sz w:val="16"/>
        </w:rPr>
        <w:t>liabilities</w:t>
      </w:r>
      <w:r w:rsidRPr="00EB2BD8">
        <w:rPr>
          <w:rFonts w:ascii="Arial" w:hAnsi="Arial"/>
          <w:spacing w:val="-2"/>
          <w:w w:val="105"/>
          <w:sz w:val="16"/>
        </w:rPr>
        <w:t xml:space="preserve"> </w:t>
      </w:r>
      <w:r w:rsidRPr="00EB2BD8">
        <w:rPr>
          <w:rFonts w:ascii="Arial" w:hAnsi="Arial"/>
          <w:w w:val="105"/>
          <w:sz w:val="16"/>
        </w:rPr>
        <w:t>that</w:t>
      </w:r>
      <w:r w:rsidRPr="00EB2BD8">
        <w:rPr>
          <w:rFonts w:ascii="Arial" w:hAnsi="Arial"/>
          <w:spacing w:val="-3"/>
          <w:w w:val="105"/>
          <w:sz w:val="16"/>
        </w:rPr>
        <w:t xml:space="preserve"> </w:t>
      </w:r>
      <w:r w:rsidRPr="00EB2BD8">
        <w:rPr>
          <w:rFonts w:ascii="Arial" w:hAnsi="Arial"/>
          <w:w w:val="105"/>
          <w:sz w:val="16"/>
        </w:rPr>
        <w:t>are</w:t>
      </w:r>
      <w:r w:rsidRPr="00EB2BD8">
        <w:rPr>
          <w:rFonts w:ascii="Arial" w:hAnsi="Arial"/>
          <w:spacing w:val="-3"/>
          <w:w w:val="105"/>
          <w:sz w:val="16"/>
        </w:rPr>
        <w:t xml:space="preserve"> </w:t>
      </w:r>
      <w:r w:rsidRPr="00EB2BD8">
        <w:rPr>
          <w:rFonts w:ascii="Arial" w:hAnsi="Arial"/>
          <w:w w:val="105"/>
          <w:sz w:val="16"/>
        </w:rPr>
        <w:t>subject</w:t>
      </w:r>
      <w:r w:rsidRPr="00EB2BD8">
        <w:rPr>
          <w:rFonts w:ascii="Arial" w:hAnsi="Arial"/>
          <w:spacing w:val="-3"/>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an</w:t>
      </w:r>
      <w:r w:rsidRPr="00EB2BD8">
        <w:rPr>
          <w:rFonts w:ascii="Arial" w:hAnsi="Arial"/>
          <w:spacing w:val="-3"/>
          <w:w w:val="105"/>
          <w:sz w:val="16"/>
        </w:rPr>
        <w:t xml:space="preserve"> </w:t>
      </w:r>
      <w:r w:rsidRPr="00EB2BD8">
        <w:rPr>
          <w:rFonts w:ascii="Arial" w:hAnsi="Arial"/>
          <w:w w:val="105"/>
          <w:sz w:val="16"/>
        </w:rPr>
        <w:t>entity</w:t>
      </w:r>
      <w:r w:rsidRPr="00EB2BD8">
        <w:rPr>
          <w:rFonts w:ascii="Arial" w:hAnsi="Arial"/>
          <w:spacing w:val="-3"/>
          <w:w w:val="105"/>
          <w:sz w:val="16"/>
        </w:rPr>
        <w:t xml:space="preserve"> </w:t>
      </w:r>
      <w:r w:rsidRPr="00EB2BD8">
        <w:rPr>
          <w:rFonts w:ascii="Arial" w:hAnsi="Arial"/>
          <w:w w:val="105"/>
          <w:sz w:val="16"/>
        </w:rPr>
        <w:t>complying</w:t>
      </w:r>
      <w:r w:rsidRPr="00EB2BD8">
        <w:rPr>
          <w:rFonts w:ascii="Arial" w:hAnsi="Arial"/>
          <w:spacing w:val="-3"/>
          <w:w w:val="105"/>
          <w:sz w:val="16"/>
        </w:rPr>
        <w:t xml:space="preserve"> </w:t>
      </w:r>
      <w:r w:rsidRPr="00EB2BD8">
        <w:rPr>
          <w:rFonts w:ascii="Arial" w:hAnsi="Arial"/>
          <w:w w:val="105"/>
          <w:sz w:val="16"/>
        </w:rPr>
        <w:t>with</w:t>
      </w:r>
      <w:r w:rsidRPr="00EB2BD8">
        <w:rPr>
          <w:rFonts w:ascii="Arial" w:hAnsi="Arial"/>
          <w:spacing w:val="-3"/>
          <w:w w:val="105"/>
          <w:sz w:val="16"/>
        </w:rPr>
        <w:t xml:space="preserve"> </w:t>
      </w:r>
      <w:r w:rsidRPr="00EB2BD8">
        <w:rPr>
          <w:rFonts w:ascii="Arial" w:hAnsi="Arial"/>
          <w:w w:val="105"/>
          <w:sz w:val="16"/>
        </w:rPr>
        <w:t>covenants within twelve months after the reporting date.</w:t>
      </w:r>
    </w:p>
    <w:p w14:paraId="3746C71D" w14:textId="77777777" w:rsidR="00084F36" w:rsidRPr="00EB2BD8" w:rsidRDefault="00084F36">
      <w:pPr>
        <w:pStyle w:val="BodyText"/>
        <w:spacing w:before="2"/>
        <w:rPr>
          <w:rFonts w:ascii="Arial"/>
          <w:sz w:val="19"/>
        </w:rPr>
      </w:pPr>
    </w:p>
    <w:p w14:paraId="31517236" w14:textId="77777777" w:rsidR="00084F36" w:rsidRPr="00EB2BD8" w:rsidRDefault="00EB2BD8">
      <w:pPr>
        <w:ind w:left="1055"/>
        <w:rPr>
          <w:rFonts w:ascii="Arial"/>
          <w:sz w:val="16"/>
        </w:rPr>
      </w:pPr>
      <w:r w:rsidRPr="00EB2BD8">
        <w:rPr>
          <w:rFonts w:ascii="Arial"/>
          <w:w w:val="105"/>
          <w:sz w:val="16"/>
        </w:rPr>
        <w:t>AASB</w:t>
      </w:r>
      <w:r w:rsidRPr="00EB2BD8">
        <w:rPr>
          <w:rFonts w:ascii="Arial"/>
          <w:spacing w:val="-7"/>
          <w:w w:val="105"/>
          <w:sz w:val="16"/>
        </w:rPr>
        <w:t xml:space="preserve"> </w:t>
      </w:r>
      <w:r w:rsidRPr="00EB2BD8">
        <w:rPr>
          <w:rFonts w:ascii="Arial"/>
          <w:w w:val="105"/>
          <w:sz w:val="16"/>
        </w:rPr>
        <w:t>2022-6</w:t>
      </w:r>
      <w:r w:rsidRPr="00EB2BD8">
        <w:rPr>
          <w:rFonts w:ascii="Arial"/>
          <w:spacing w:val="-6"/>
          <w:w w:val="105"/>
          <w:sz w:val="16"/>
        </w:rPr>
        <w:t xml:space="preserve"> </w:t>
      </w:r>
      <w:r w:rsidRPr="00EB2BD8">
        <w:rPr>
          <w:rFonts w:ascii="Arial"/>
          <w:w w:val="105"/>
          <w:sz w:val="16"/>
        </w:rPr>
        <w:t>applies</w:t>
      </w:r>
      <w:r w:rsidRPr="00EB2BD8">
        <w:rPr>
          <w:rFonts w:ascii="Arial"/>
          <w:spacing w:val="-6"/>
          <w:w w:val="105"/>
          <w:sz w:val="16"/>
        </w:rPr>
        <w:t xml:space="preserve"> </w:t>
      </w:r>
      <w:r w:rsidRPr="00EB2BD8">
        <w:rPr>
          <w:rFonts w:ascii="Arial"/>
          <w:w w:val="105"/>
          <w:sz w:val="16"/>
        </w:rPr>
        <w:t>to</w:t>
      </w:r>
      <w:r w:rsidRPr="00EB2BD8">
        <w:rPr>
          <w:rFonts w:ascii="Arial"/>
          <w:spacing w:val="-7"/>
          <w:w w:val="105"/>
          <w:sz w:val="16"/>
        </w:rPr>
        <w:t xml:space="preserve"> </w:t>
      </w:r>
      <w:r w:rsidRPr="00EB2BD8">
        <w:rPr>
          <w:rFonts w:ascii="Arial"/>
          <w:w w:val="105"/>
          <w:sz w:val="16"/>
        </w:rPr>
        <w:t>annual</w:t>
      </w:r>
      <w:r w:rsidRPr="00EB2BD8">
        <w:rPr>
          <w:rFonts w:ascii="Arial"/>
          <w:spacing w:val="-6"/>
          <w:w w:val="105"/>
          <w:sz w:val="16"/>
        </w:rPr>
        <w:t xml:space="preserve"> </w:t>
      </w:r>
      <w:r w:rsidRPr="00EB2BD8">
        <w:rPr>
          <w:rFonts w:ascii="Arial"/>
          <w:w w:val="105"/>
          <w:sz w:val="16"/>
        </w:rPr>
        <w:t>reporting</w:t>
      </w:r>
      <w:r w:rsidRPr="00EB2BD8">
        <w:rPr>
          <w:rFonts w:ascii="Arial"/>
          <w:spacing w:val="-6"/>
          <w:w w:val="105"/>
          <w:sz w:val="16"/>
        </w:rPr>
        <w:t xml:space="preserve"> </w:t>
      </w:r>
      <w:r w:rsidRPr="00EB2BD8">
        <w:rPr>
          <w:rFonts w:ascii="Arial"/>
          <w:w w:val="105"/>
          <w:sz w:val="16"/>
        </w:rPr>
        <w:t>periods</w:t>
      </w:r>
      <w:r w:rsidRPr="00EB2BD8">
        <w:rPr>
          <w:rFonts w:ascii="Arial"/>
          <w:spacing w:val="-7"/>
          <w:w w:val="105"/>
          <w:sz w:val="16"/>
        </w:rPr>
        <w:t xml:space="preserve"> </w:t>
      </w:r>
      <w:r w:rsidRPr="00EB2BD8">
        <w:rPr>
          <w:rFonts w:ascii="Arial"/>
          <w:w w:val="105"/>
          <w:sz w:val="16"/>
        </w:rPr>
        <w:t>beginning</w:t>
      </w:r>
      <w:r w:rsidRPr="00EB2BD8">
        <w:rPr>
          <w:rFonts w:ascii="Arial"/>
          <w:spacing w:val="-5"/>
          <w:w w:val="105"/>
          <w:sz w:val="16"/>
        </w:rPr>
        <w:t xml:space="preserve"> </w:t>
      </w:r>
      <w:r w:rsidRPr="00EB2BD8">
        <w:rPr>
          <w:rFonts w:ascii="Arial"/>
          <w:w w:val="105"/>
          <w:sz w:val="16"/>
        </w:rPr>
        <w:t>on</w:t>
      </w:r>
      <w:r w:rsidRPr="00EB2BD8">
        <w:rPr>
          <w:rFonts w:ascii="Arial"/>
          <w:spacing w:val="-7"/>
          <w:w w:val="105"/>
          <w:sz w:val="16"/>
        </w:rPr>
        <w:t xml:space="preserve"> </w:t>
      </w:r>
      <w:r w:rsidRPr="00EB2BD8">
        <w:rPr>
          <w:rFonts w:ascii="Arial"/>
          <w:w w:val="105"/>
          <w:sz w:val="16"/>
        </w:rPr>
        <w:t>or</w:t>
      </w:r>
      <w:r w:rsidRPr="00EB2BD8">
        <w:rPr>
          <w:rFonts w:ascii="Arial"/>
          <w:spacing w:val="-7"/>
          <w:w w:val="105"/>
          <w:sz w:val="16"/>
        </w:rPr>
        <w:t xml:space="preserve"> </w:t>
      </w:r>
      <w:r w:rsidRPr="00EB2BD8">
        <w:rPr>
          <w:rFonts w:ascii="Arial"/>
          <w:w w:val="105"/>
          <w:sz w:val="16"/>
        </w:rPr>
        <w:t>after</w:t>
      </w:r>
      <w:r w:rsidRPr="00EB2BD8">
        <w:rPr>
          <w:rFonts w:ascii="Arial"/>
          <w:spacing w:val="-6"/>
          <w:w w:val="105"/>
          <w:sz w:val="16"/>
        </w:rPr>
        <w:t xml:space="preserve"> </w:t>
      </w:r>
      <w:r w:rsidRPr="00EB2BD8">
        <w:rPr>
          <w:rFonts w:ascii="Arial"/>
          <w:w w:val="105"/>
          <w:sz w:val="16"/>
        </w:rPr>
        <w:t>1</w:t>
      </w:r>
      <w:r w:rsidRPr="00EB2BD8">
        <w:rPr>
          <w:rFonts w:ascii="Arial"/>
          <w:spacing w:val="-7"/>
          <w:w w:val="105"/>
          <w:sz w:val="16"/>
        </w:rPr>
        <w:t xml:space="preserve"> </w:t>
      </w:r>
      <w:r w:rsidRPr="00EB2BD8">
        <w:rPr>
          <w:rFonts w:ascii="Arial"/>
          <w:w w:val="105"/>
          <w:sz w:val="16"/>
        </w:rPr>
        <w:t>January</w:t>
      </w:r>
      <w:r w:rsidRPr="00EB2BD8">
        <w:rPr>
          <w:rFonts w:ascii="Arial"/>
          <w:spacing w:val="-6"/>
          <w:w w:val="105"/>
          <w:sz w:val="16"/>
        </w:rPr>
        <w:t xml:space="preserve"> </w:t>
      </w:r>
      <w:r w:rsidRPr="00EB2BD8">
        <w:rPr>
          <w:rFonts w:ascii="Arial"/>
          <w:spacing w:val="-4"/>
          <w:w w:val="105"/>
          <w:sz w:val="16"/>
        </w:rPr>
        <w:t>2023.</w:t>
      </w:r>
    </w:p>
    <w:p w14:paraId="1C9750D2" w14:textId="77777777" w:rsidR="00084F36" w:rsidRPr="00EB2BD8" w:rsidRDefault="00084F36">
      <w:pPr>
        <w:pStyle w:val="BodyText"/>
        <w:spacing w:before="8"/>
        <w:rPr>
          <w:rFonts w:ascii="Arial"/>
          <w:sz w:val="22"/>
        </w:rPr>
      </w:pPr>
    </w:p>
    <w:p w14:paraId="74043B8A" w14:textId="77777777" w:rsidR="00084F36" w:rsidRPr="00EB2BD8" w:rsidRDefault="00EB2BD8">
      <w:pPr>
        <w:ind w:left="1055"/>
        <w:rPr>
          <w:rFonts w:ascii="Arial"/>
          <w:sz w:val="16"/>
        </w:rPr>
      </w:pPr>
      <w:r w:rsidRPr="00EB2BD8">
        <w:rPr>
          <w:rFonts w:ascii="Arial"/>
          <w:w w:val="105"/>
          <w:sz w:val="16"/>
        </w:rPr>
        <w:t>The</w:t>
      </w:r>
      <w:r w:rsidRPr="00EB2BD8">
        <w:rPr>
          <w:rFonts w:ascii="Arial"/>
          <w:spacing w:val="-6"/>
          <w:w w:val="105"/>
          <w:sz w:val="16"/>
        </w:rPr>
        <w:t xml:space="preserve"> </w:t>
      </w:r>
      <w:r w:rsidRPr="00EB2BD8">
        <w:rPr>
          <w:rFonts w:ascii="Arial"/>
          <w:w w:val="105"/>
          <w:sz w:val="16"/>
        </w:rPr>
        <w:t>VBA</w:t>
      </w:r>
      <w:r w:rsidRPr="00EB2BD8">
        <w:rPr>
          <w:rFonts w:ascii="Arial"/>
          <w:spacing w:val="-6"/>
          <w:w w:val="105"/>
          <w:sz w:val="16"/>
        </w:rPr>
        <w:t xml:space="preserve"> </w:t>
      </w:r>
      <w:r w:rsidRPr="00EB2BD8">
        <w:rPr>
          <w:rFonts w:ascii="Arial"/>
          <w:w w:val="105"/>
          <w:sz w:val="16"/>
        </w:rPr>
        <w:t>is</w:t>
      </w:r>
      <w:r w:rsidRPr="00EB2BD8">
        <w:rPr>
          <w:rFonts w:ascii="Arial"/>
          <w:spacing w:val="-6"/>
          <w:w w:val="105"/>
          <w:sz w:val="16"/>
        </w:rPr>
        <w:t xml:space="preserve"> </w:t>
      </w:r>
      <w:r w:rsidRPr="00EB2BD8">
        <w:rPr>
          <w:rFonts w:ascii="Arial"/>
          <w:w w:val="105"/>
          <w:sz w:val="16"/>
        </w:rPr>
        <w:t>currently</w:t>
      </w:r>
      <w:r w:rsidRPr="00EB2BD8">
        <w:rPr>
          <w:rFonts w:ascii="Arial"/>
          <w:spacing w:val="-5"/>
          <w:w w:val="105"/>
          <w:sz w:val="16"/>
        </w:rPr>
        <w:t xml:space="preserve"> </w:t>
      </w:r>
      <w:r w:rsidRPr="00EB2BD8">
        <w:rPr>
          <w:rFonts w:ascii="Arial"/>
          <w:w w:val="105"/>
          <w:sz w:val="16"/>
        </w:rPr>
        <w:t>in</w:t>
      </w:r>
      <w:r w:rsidRPr="00EB2BD8">
        <w:rPr>
          <w:rFonts w:ascii="Arial"/>
          <w:spacing w:val="-6"/>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process</w:t>
      </w:r>
      <w:r w:rsidRPr="00EB2BD8">
        <w:rPr>
          <w:rFonts w:ascii="Arial"/>
          <w:spacing w:val="-5"/>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assessing</w:t>
      </w:r>
      <w:r w:rsidRPr="00EB2BD8">
        <w:rPr>
          <w:rFonts w:ascii="Arial"/>
          <w:spacing w:val="-6"/>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w w:val="105"/>
          <w:sz w:val="16"/>
        </w:rPr>
        <w:t>potential</w:t>
      </w:r>
      <w:r w:rsidRPr="00EB2BD8">
        <w:rPr>
          <w:rFonts w:ascii="Arial"/>
          <w:spacing w:val="-5"/>
          <w:w w:val="105"/>
          <w:sz w:val="16"/>
        </w:rPr>
        <w:t xml:space="preserve"> </w:t>
      </w:r>
      <w:r w:rsidRPr="00EB2BD8">
        <w:rPr>
          <w:rFonts w:ascii="Arial"/>
          <w:w w:val="105"/>
          <w:sz w:val="16"/>
        </w:rPr>
        <w:t>impact</w:t>
      </w:r>
      <w:r w:rsidRPr="00EB2BD8">
        <w:rPr>
          <w:rFonts w:ascii="Arial"/>
          <w:spacing w:val="-6"/>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these</w:t>
      </w:r>
      <w:r w:rsidRPr="00EB2BD8">
        <w:rPr>
          <w:rFonts w:ascii="Arial"/>
          <w:spacing w:val="-5"/>
          <w:w w:val="105"/>
          <w:sz w:val="16"/>
        </w:rPr>
        <w:t xml:space="preserve"> </w:t>
      </w:r>
      <w:r w:rsidRPr="00EB2BD8">
        <w:rPr>
          <w:rFonts w:ascii="Arial"/>
          <w:w w:val="105"/>
          <w:sz w:val="16"/>
        </w:rPr>
        <w:t>standards</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spacing w:val="-2"/>
          <w:w w:val="105"/>
          <w:sz w:val="16"/>
        </w:rPr>
        <w:t>amendments.</w:t>
      </w:r>
    </w:p>
    <w:p w14:paraId="616D0043" w14:textId="77777777" w:rsidR="00084F36" w:rsidRPr="00EB2BD8" w:rsidRDefault="00084F36">
      <w:pPr>
        <w:pStyle w:val="BodyText"/>
        <w:spacing w:before="6"/>
        <w:rPr>
          <w:rFonts w:ascii="Arial"/>
          <w:sz w:val="22"/>
        </w:rPr>
      </w:pPr>
    </w:p>
    <w:p w14:paraId="2DAFF02B" w14:textId="77777777" w:rsidR="00084F36" w:rsidRPr="00EB2BD8" w:rsidRDefault="00EB2BD8">
      <w:pPr>
        <w:spacing w:before="1" w:line="290" w:lineRule="auto"/>
        <w:ind w:left="1055" w:right="1813"/>
        <w:rPr>
          <w:rFonts w:ascii="Arial"/>
          <w:sz w:val="16"/>
        </w:rPr>
      </w:pPr>
      <w:r w:rsidRPr="00EB2BD8">
        <w:rPr>
          <w:rFonts w:ascii="Arial"/>
          <w:w w:val="105"/>
          <w:sz w:val="16"/>
        </w:rPr>
        <w:t>A</w:t>
      </w:r>
      <w:r w:rsidRPr="00EB2BD8">
        <w:rPr>
          <w:rFonts w:ascii="Arial"/>
          <w:spacing w:val="-3"/>
          <w:w w:val="105"/>
          <w:sz w:val="16"/>
        </w:rPr>
        <w:t xml:space="preserve"> </w:t>
      </w:r>
      <w:r w:rsidRPr="00EB2BD8">
        <w:rPr>
          <w:rFonts w:ascii="Arial"/>
          <w:w w:val="105"/>
          <w:sz w:val="16"/>
        </w:rPr>
        <w:t>number</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other</w:t>
      </w:r>
      <w:r w:rsidRPr="00EB2BD8">
        <w:rPr>
          <w:rFonts w:ascii="Arial"/>
          <w:spacing w:val="-3"/>
          <w:w w:val="105"/>
          <w:sz w:val="16"/>
        </w:rPr>
        <w:t xml:space="preserve"> </w:t>
      </w:r>
      <w:r w:rsidRPr="00EB2BD8">
        <w:rPr>
          <w:rFonts w:ascii="Arial"/>
          <w:w w:val="105"/>
          <w:sz w:val="16"/>
        </w:rPr>
        <w:t>standards</w:t>
      </w:r>
      <w:r w:rsidRPr="00EB2BD8">
        <w:rPr>
          <w:rFonts w:ascii="Arial"/>
          <w:spacing w:val="-2"/>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amendments</w:t>
      </w:r>
      <w:r w:rsidRPr="00EB2BD8">
        <w:rPr>
          <w:rFonts w:ascii="Arial"/>
          <w:spacing w:val="-3"/>
          <w:w w:val="105"/>
          <w:sz w:val="16"/>
        </w:rPr>
        <w:t xml:space="preserve"> </w:t>
      </w:r>
      <w:r w:rsidRPr="00EB2BD8">
        <w:rPr>
          <w:rFonts w:ascii="Arial"/>
          <w:w w:val="105"/>
          <w:sz w:val="16"/>
        </w:rPr>
        <w:t>have</w:t>
      </w:r>
      <w:r w:rsidRPr="00EB2BD8">
        <w:rPr>
          <w:rFonts w:ascii="Arial"/>
          <w:spacing w:val="-3"/>
          <w:w w:val="105"/>
          <w:sz w:val="16"/>
        </w:rPr>
        <w:t xml:space="preserve"> </w:t>
      </w:r>
      <w:r w:rsidRPr="00EB2BD8">
        <w:rPr>
          <w:rFonts w:ascii="Arial"/>
          <w:w w:val="105"/>
          <w:sz w:val="16"/>
        </w:rPr>
        <w:t>also</w:t>
      </w:r>
      <w:r w:rsidRPr="00EB2BD8">
        <w:rPr>
          <w:rFonts w:ascii="Arial"/>
          <w:spacing w:val="-3"/>
          <w:w w:val="105"/>
          <w:sz w:val="16"/>
        </w:rPr>
        <w:t xml:space="preserve"> </w:t>
      </w:r>
      <w:r w:rsidRPr="00EB2BD8">
        <w:rPr>
          <w:rFonts w:ascii="Arial"/>
          <w:w w:val="105"/>
          <w:sz w:val="16"/>
        </w:rPr>
        <w:t>been</w:t>
      </w:r>
      <w:r w:rsidRPr="00EB2BD8">
        <w:rPr>
          <w:rFonts w:ascii="Arial"/>
          <w:spacing w:val="-3"/>
          <w:w w:val="105"/>
          <w:sz w:val="16"/>
        </w:rPr>
        <w:t xml:space="preserve"> </w:t>
      </w:r>
      <w:r w:rsidRPr="00EB2BD8">
        <w:rPr>
          <w:rFonts w:ascii="Arial"/>
          <w:w w:val="105"/>
          <w:sz w:val="16"/>
        </w:rPr>
        <w:t>issued</w:t>
      </w:r>
      <w:r w:rsidRPr="00EB2BD8">
        <w:rPr>
          <w:rFonts w:ascii="Arial"/>
          <w:spacing w:val="-3"/>
          <w:w w:val="105"/>
          <w:sz w:val="16"/>
        </w:rPr>
        <w:t xml:space="preserve"> </w:t>
      </w:r>
      <w:r w:rsidRPr="00EB2BD8">
        <w:rPr>
          <w:rFonts w:ascii="Arial"/>
          <w:w w:val="105"/>
          <w:sz w:val="16"/>
        </w:rPr>
        <w:t>that</w:t>
      </w:r>
      <w:r w:rsidRPr="00EB2BD8">
        <w:rPr>
          <w:rFonts w:ascii="Arial"/>
          <w:spacing w:val="-3"/>
          <w:w w:val="105"/>
          <w:sz w:val="16"/>
        </w:rPr>
        <w:t xml:space="preserve"> </w:t>
      </w:r>
      <w:r w:rsidRPr="00EB2BD8">
        <w:rPr>
          <w:rFonts w:ascii="Arial"/>
          <w:w w:val="105"/>
          <w:sz w:val="16"/>
        </w:rPr>
        <w:t>apply</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future</w:t>
      </w:r>
      <w:r w:rsidRPr="00EB2BD8">
        <w:rPr>
          <w:rFonts w:ascii="Arial"/>
          <w:spacing w:val="-2"/>
          <w:w w:val="105"/>
          <w:sz w:val="16"/>
        </w:rPr>
        <w:t xml:space="preserve"> </w:t>
      </w:r>
      <w:r w:rsidRPr="00EB2BD8">
        <w:rPr>
          <w:rFonts w:ascii="Arial"/>
          <w:w w:val="105"/>
          <w:sz w:val="16"/>
        </w:rPr>
        <w:t>reporting</w:t>
      </w:r>
      <w:r w:rsidRPr="00EB2BD8">
        <w:rPr>
          <w:rFonts w:ascii="Arial"/>
          <w:spacing w:val="-3"/>
          <w:w w:val="105"/>
          <w:sz w:val="16"/>
        </w:rPr>
        <w:t xml:space="preserve"> </w:t>
      </w:r>
      <w:r w:rsidRPr="00EB2BD8">
        <w:rPr>
          <w:rFonts w:ascii="Arial"/>
          <w:w w:val="105"/>
          <w:sz w:val="16"/>
        </w:rPr>
        <w:t>periods,</w:t>
      </w:r>
      <w:r w:rsidRPr="00EB2BD8">
        <w:rPr>
          <w:rFonts w:ascii="Arial"/>
          <w:spacing w:val="-3"/>
          <w:w w:val="105"/>
          <w:sz w:val="16"/>
        </w:rPr>
        <w:t xml:space="preserve"> </w:t>
      </w:r>
      <w:r w:rsidRPr="00EB2BD8">
        <w:rPr>
          <w:rFonts w:ascii="Arial"/>
          <w:w w:val="105"/>
          <w:sz w:val="16"/>
        </w:rPr>
        <w:t>however</w:t>
      </w:r>
      <w:r w:rsidRPr="00EB2BD8">
        <w:rPr>
          <w:rFonts w:ascii="Arial"/>
          <w:spacing w:val="-3"/>
          <w:w w:val="105"/>
          <w:sz w:val="16"/>
        </w:rPr>
        <w:t xml:space="preserve"> </w:t>
      </w:r>
      <w:r w:rsidRPr="00EB2BD8">
        <w:rPr>
          <w:rFonts w:ascii="Arial"/>
          <w:w w:val="105"/>
          <w:sz w:val="16"/>
        </w:rPr>
        <w:t>they are not expected to have any significant impact on the financial statements in the period of initial application.</w:t>
      </w:r>
    </w:p>
    <w:p w14:paraId="519D75B1" w14:textId="77777777" w:rsidR="00084F36" w:rsidRPr="00EB2BD8" w:rsidRDefault="00084F36">
      <w:pPr>
        <w:pStyle w:val="BodyText"/>
        <w:rPr>
          <w:rFonts w:ascii="Arial"/>
          <w:sz w:val="20"/>
        </w:rPr>
      </w:pPr>
    </w:p>
    <w:p w14:paraId="20B8D980" w14:textId="77777777" w:rsidR="00084F36" w:rsidRPr="00EB2BD8" w:rsidRDefault="00084F36">
      <w:pPr>
        <w:pStyle w:val="BodyText"/>
        <w:rPr>
          <w:rFonts w:ascii="Arial"/>
          <w:sz w:val="20"/>
        </w:rPr>
      </w:pPr>
    </w:p>
    <w:p w14:paraId="6E7CC0F0" w14:textId="77777777" w:rsidR="00084F36" w:rsidRPr="00EB2BD8" w:rsidRDefault="00084F36">
      <w:pPr>
        <w:pStyle w:val="BodyText"/>
        <w:rPr>
          <w:rFonts w:ascii="Arial"/>
          <w:sz w:val="20"/>
        </w:rPr>
      </w:pPr>
    </w:p>
    <w:p w14:paraId="4302B54B" w14:textId="77777777" w:rsidR="00084F36" w:rsidRPr="00EB2BD8" w:rsidRDefault="00084F36">
      <w:pPr>
        <w:pStyle w:val="BodyText"/>
        <w:rPr>
          <w:rFonts w:ascii="Arial"/>
          <w:sz w:val="20"/>
        </w:rPr>
      </w:pPr>
    </w:p>
    <w:p w14:paraId="59F1CCB2" w14:textId="77777777" w:rsidR="00084F36" w:rsidRPr="00EB2BD8" w:rsidRDefault="00084F36">
      <w:pPr>
        <w:pStyle w:val="BodyText"/>
        <w:rPr>
          <w:rFonts w:ascii="Arial"/>
          <w:sz w:val="20"/>
        </w:rPr>
      </w:pPr>
    </w:p>
    <w:p w14:paraId="2C46A953" w14:textId="77777777" w:rsidR="00084F36" w:rsidRPr="00EB2BD8" w:rsidRDefault="00084F36">
      <w:pPr>
        <w:pStyle w:val="BodyText"/>
        <w:rPr>
          <w:rFonts w:ascii="Arial"/>
          <w:sz w:val="20"/>
        </w:rPr>
      </w:pPr>
    </w:p>
    <w:p w14:paraId="2DDA94C5" w14:textId="77777777" w:rsidR="00084F36" w:rsidRPr="00EB2BD8" w:rsidRDefault="00084F36">
      <w:pPr>
        <w:pStyle w:val="BodyText"/>
        <w:rPr>
          <w:rFonts w:ascii="Arial"/>
          <w:sz w:val="20"/>
        </w:rPr>
      </w:pPr>
    </w:p>
    <w:p w14:paraId="358A0536" w14:textId="77777777" w:rsidR="00084F36" w:rsidRPr="00EB2BD8" w:rsidRDefault="00084F36">
      <w:pPr>
        <w:pStyle w:val="BodyText"/>
        <w:spacing w:before="10"/>
        <w:rPr>
          <w:rFonts w:ascii="Arial"/>
          <w:sz w:val="24"/>
        </w:rPr>
      </w:pPr>
    </w:p>
    <w:p w14:paraId="0AF6B293" w14:textId="02577706" w:rsidR="00084F36" w:rsidRPr="00EB2BD8" w:rsidRDefault="00EB2BD8">
      <w:pPr>
        <w:tabs>
          <w:tab w:val="left" w:pos="1906"/>
        </w:tabs>
        <w:spacing w:before="92"/>
        <w:ind w:left="842"/>
        <w:rPr>
          <w:b/>
          <w:sz w:val="16"/>
        </w:rPr>
      </w:pPr>
      <w:r w:rsidRPr="00EB2BD8">
        <w:rPr>
          <w:sz w:val="16"/>
        </w:rPr>
        <w:tab/>
      </w:r>
    </w:p>
    <w:p w14:paraId="352D6F98" w14:textId="77777777" w:rsidR="00084F36" w:rsidRPr="00EB2BD8" w:rsidRDefault="00084F36">
      <w:pPr>
        <w:rPr>
          <w:sz w:val="16"/>
        </w:rPr>
        <w:sectPr w:rsidR="00084F36" w:rsidRPr="00EB2BD8" w:rsidSect="006D75B2">
          <w:headerReference w:type="even" r:id="rId371"/>
          <w:footerReference w:type="even" r:id="rId372"/>
          <w:pgSz w:w="11910" w:h="16840"/>
          <w:pgMar w:top="780" w:right="0" w:bottom="280" w:left="0" w:header="0" w:footer="0" w:gutter="0"/>
          <w:cols w:space="720"/>
        </w:sectPr>
      </w:pPr>
    </w:p>
    <w:p w14:paraId="2B1EEAEB" w14:textId="68C5ABAA" w:rsidR="00084F36" w:rsidRPr="00EB2BD8" w:rsidRDefault="00084F36" w:rsidP="003B3D54">
      <w:pPr>
        <w:pStyle w:val="Heading6"/>
        <w:ind w:left="0"/>
      </w:pPr>
    </w:p>
    <w:p w14:paraId="5C2704E6" w14:textId="77777777" w:rsidR="00084F36" w:rsidRPr="00EB2BD8" w:rsidRDefault="00084F36">
      <w:pPr>
        <w:pStyle w:val="BodyText"/>
        <w:rPr>
          <w:sz w:val="20"/>
        </w:rPr>
      </w:pPr>
    </w:p>
    <w:p w14:paraId="5FF3C8FD" w14:textId="77777777" w:rsidR="00084F36" w:rsidRPr="00EB2BD8" w:rsidRDefault="00084F36">
      <w:pPr>
        <w:pStyle w:val="BodyText"/>
        <w:rPr>
          <w:sz w:val="20"/>
        </w:rPr>
      </w:pPr>
    </w:p>
    <w:p w14:paraId="26727F28" w14:textId="77777777" w:rsidR="00084F36" w:rsidRPr="00EB2BD8" w:rsidRDefault="00084F36">
      <w:pPr>
        <w:pStyle w:val="BodyText"/>
        <w:rPr>
          <w:sz w:val="20"/>
        </w:rPr>
      </w:pPr>
    </w:p>
    <w:p w14:paraId="1184F4EE" w14:textId="77777777" w:rsidR="00084F36" w:rsidRPr="00EB2BD8" w:rsidRDefault="00084F36">
      <w:pPr>
        <w:pStyle w:val="BodyText"/>
        <w:spacing w:before="7"/>
        <w:rPr>
          <w:sz w:val="22"/>
        </w:rPr>
      </w:pPr>
    </w:p>
    <w:p w14:paraId="34B5084E" w14:textId="25EC7940" w:rsidR="00084F36" w:rsidRPr="00EB2BD8" w:rsidRDefault="00D0600F" w:rsidP="000546D6">
      <w:pPr>
        <w:pStyle w:val="Heading2"/>
      </w:pPr>
      <w:r>
        <w:t xml:space="preserve"> </w:t>
      </w:r>
      <w:bookmarkStart w:id="374" w:name="_Toc150762676"/>
      <w:r w:rsidR="000546D6">
        <w:t>8.9 S</w:t>
      </w:r>
      <w:r w:rsidR="000546D6" w:rsidRPr="00EB2BD8">
        <w:t>ecurity</w:t>
      </w:r>
      <w:r w:rsidR="000546D6" w:rsidRPr="00EB2BD8">
        <w:rPr>
          <w:spacing w:val="-14"/>
        </w:rPr>
        <w:t xml:space="preserve"> </w:t>
      </w:r>
      <w:r w:rsidR="000546D6" w:rsidRPr="00EB2BD8">
        <w:rPr>
          <w:spacing w:val="-2"/>
        </w:rPr>
        <w:t>deposits</w:t>
      </w:r>
      <w:bookmarkEnd w:id="374"/>
    </w:p>
    <w:p w14:paraId="200C7ADE" w14:textId="77777777" w:rsidR="00084F36" w:rsidRPr="00EB2BD8" w:rsidRDefault="00084F36">
      <w:pPr>
        <w:pStyle w:val="BodyText"/>
        <w:spacing w:before="8"/>
        <w:rPr>
          <w:rFonts w:ascii="Arial"/>
          <w:b/>
          <w:sz w:val="16"/>
        </w:rPr>
      </w:pPr>
    </w:p>
    <w:p w14:paraId="19D26B05" w14:textId="77777777" w:rsidR="00084F36" w:rsidRPr="00EB2BD8" w:rsidRDefault="00EB2BD8">
      <w:pPr>
        <w:pStyle w:val="BodyText"/>
        <w:spacing w:before="94"/>
        <w:ind w:right="1432"/>
        <w:jc w:val="right"/>
        <w:rPr>
          <w:rFonts w:ascii="Arial" w:hAnsi="Arial"/>
        </w:rPr>
      </w:pPr>
      <w:r w:rsidRPr="00EB2BD8">
        <w:rPr>
          <w:rFonts w:ascii="Arial" w:hAnsi="Arial"/>
          <w:spacing w:val="-2"/>
        </w:rPr>
        <w:t>($’000)</w:t>
      </w:r>
    </w:p>
    <w:p w14:paraId="38606686" w14:textId="77777777" w:rsidR="00084F36" w:rsidRPr="00EB2BD8" w:rsidRDefault="00084F36">
      <w:pPr>
        <w:pStyle w:val="BodyText"/>
        <w:spacing w:before="5"/>
        <w:rPr>
          <w:rFonts w:ascii="Arial"/>
          <w:sz w:val="8"/>
        </w:rPr>
      </w:pPr>
    </w:p>
    <w:tbl>
      <w:tblPr>
        <w:tblW w:w="0" w:type="auto"/>
        <w:tblInd w:w="1082" w:type="dxa"/>
        <w:tblBorders>
          <w:top w:val="single" w:sz="4" w:space="0" w:color="0098FF"/>
          <w:left w:val="single" w:sz="4" w:space="0" w:color="0098FF"/>
          <w:bottom w:val="single" w:sz="4" w:space="0" w:color="0098FF"/>
          <w:right w:val="single" w:sz="4" w:space="0" w:color="0098FF"/>
          <w:insideH w:val="single" w:sz="4" w:space="0" w:color="0098FF"/>
          <w:insideV w:val="single" w:sz="4" w:space="0" w:color="0098FF"/>
        </w:tblBorders>
        <w:tblLayout w:type="fixed"/>
        <w:tblCellMar>
          <w:left w:w="0" w:type="dxa"/>
          <w:right w:w="0" w:type="dxa"/>
        </w:tblCellMar>
        <w:tblLook w:val="01E0" w:firstRow="1" w:lastRow="1" w:firstColumn="1" w:lastColumn="1" w:noHBand="0" w:noVBand="0"/>
      </w:tblPr>
      <w:tblGrid>
        <w:gridCol w:w="6515"/>
        <w:gridCol w:w="1495"/>
        <w:gridCol w:w="1495"/>
      </w:tblGrid>
      <w:tr w:rsidR="00EB2BD8" w:rsidRPr="00EB2BD8" w14:paraId="02A705D1" w14:textId="77777777">
        <w:trPr>
          <w:trHeight w:val="419"/>
        </w:trPr>
        <w:tc>
          <w:tcPr>
            <w:tcW w:w="8010" w:type="dxa"/>
            <w:gridSpan w:val="2"/>
            <w:tcBorders>
              <w:right w:val="nil"/>
            </w:tcBorders>
            <w:shd w:val="clear" w:color="auto" w:fill="0070C0"/>
          </w:tcPr>
          <w:p w14:paraId="6549F5FF" w14:textId="77777777" w:rsidR="00084F36" w:rsidRPr="00EB2BD8" w:rsidRDefault="00EB2BD8">
            <w:pPr>
              <w:pStyle w:val="TableParagraph"/>
              <w:spacing w:before="105"/>
              <w:ind w:right="102"/>
              <w:jc w:val="right"/>
              <w:rPr>
                <w:rFonts w:ascii="Arial"/>
                <w:b/>
                <w:sz w:val="18"/>
              </w:rPr>
            </w:pPr>
            <w:r w:rsidRPr="00EB2BD8">
              <w:rPr>
                <w:rFonts w:ascii="Arial"/>
                <w:b/>
                <w:spacing w:val="-4"/>
                <w:sz w:val="18"/>
              </w:rPr>
              <w:t>2023</w:t>
            </w:r>
          </w:p>
        </w:tc>
        <w:tc>
          <w:tcPr>
            <w:tcW w:w="1495" w:type="dxa"/>
            <w:tcBorders>
              <w:left w:val="nil"/>
            </w:tcBorders>
            <w:shd w:val="clear" w:color="auto" w:fill="0070C0"/>
          </w:tcPr>
          <w:p w14:paraId="616F373D" w14:textId="77777777" w:rsidR="00084F36" w:rsidRPr="00EB2BD8" w:rsidRDefault="00EB2BD8">
            <w:pPr>
              <w:pStyle w:val="TableParagraph"/>
              <w:spacing w:before="105"/>
              <w:ind w:right="95"/>
              <w:jc w:val="right"/>
              <w:rPr>
                <w:rFonts w:ascii="Arial"/>
                <w:b/>
                <w:sz w:val="18"/>
              </w:rPr>
            </w:pPr>
            <w:r w:rsidRPr="00EB2BD8">
              <w:rPr>
                <w:rFonts w:ascii="Arial"/>
                <w:b/>
                <w:spacing w:val="-4"/>
                <w:sz w:val="18"/>
              </w:rPr>
              <w:t>2022</w:t>
            </w:r>
          </w:p>
        </w:tc>
      </w:tr>
      <w:tr w:rsidR="00EB2BD8" w:rsidRPr="00EB2BD8" w14:paraId="09B6EC19" w14:textId="77777777">
        <w:trPr>
          <w:trHeight w:val="330"/>
        </w:trPr>
        <w:tc>
          <w:tcPr>
            <w:tcW w:w="6515" w:type="dxa"/>
            <w:tcBorders>
              <w:left w:val="nil"/>
              <w:bottom w:val="single" w:sz="12" w:space="0" w:color="000000"/>
              <w:right w:val="nil"/>
            </w:tcBorders>
            <w:shd w:val="clear" w:color="auto" w:fill="FFFFFF"/>
          </w:tcPr>
          <w:p w14:paraId="5C96D08E" w14:textId="77777777" w:rsidR="00084F36" w:rsidRPr="00EB2BD8" w:rsidRDefault="00EB2BD8">
            <w:pPr>
              <w:pStyle w:val="TableParagraph"/>
              <w:spacing w:before="61"/>
              <w:ind w:left="112"/>
              <w:rPr>
                <w:rFonts w:ascii="Arial"/>
                <w:sz w:val="18"/>
              </w:rPr>
            </w:pPr>
            <w:r w:rsidRPr="00EB2BD8">
              <w:rPr>
                <w:rFonts w:ascii="Arial"/>
                <w:sz w:val="18"/>
              </w:rPr>
              <w:t>Security</w:t>
            </w:r>
            <w:r w:rsidRPr="00EB2BD8">
              <w:rPr>
                <w:rFonts w:ascii="Arial"/>
                <w:spacing w:val="-6"/>
                <w:sz w:val="18"/>
              </w:rPr>
              <w:t xml:space="preserve"> </w:t>
            </w:r>
            <w:r w:rsidRPr="00EB2BD8">
              <w:rPr>
                <w:rFonts w:ascii="Arial"/>
                <w:spacing w:val="-2"/>
                <w:sz w:val="18"/>
              </w:rPr>
              <w:t>deposits</w:t>
            </w:r>
          </w:p>
        </w:tc>
        <w:tc>
          <w:tcPr>
            <w:tcW w:w="1495" w:type="dxa"/>
            <w:tcBorders>
              <w:left w:val="nil"/>
              <w:bottom w:val="single" w:sz="12" w:space="0" w:color="000000"/>
              <w:right w:val="nil"/>
            </w:tcBorders>
            <w:shd w:val="clear" w:color="auto" w:fill="DEEAF6"/>
          </w:tcPr>
          <w:p w14:paraId="20CBC92F" w14:textId="77777777" w:rsidR="00084F36" w:rsidRPr="00EB2BD8" w:rsidRDefault="00EB2BD8">
            <w:pPr>
              <w:pStyle w:val="TableParagraph"/>
              <w:spacing w:before="61"/>
              <w:ind w:right="102"/>
              <w:jc w:val="right"/>
              <w:rPr>
                <w:rFonts w:ascii="Arial"/>
                <w:sz w:val="18"/>
              </w:rPr>
            </w:pPr>
            <w:r w:rsidRPr="00EB2BD8">
              <w:rPr>
                <w:rFonts w:ascii="Arial"/>
                <w:spacing w:val="-2"/>
                <w:sz w:val="18"/>
              </w:rPr>
              <w:t>2,976</w:t>
            </w:r>
          </w:p>
        </w:tc>
        <w:tc>
          <w:tcPr>
            <w:tcW w:w="1495" w:type="dxa"/>
            <w:tcBorders>
              <w:left w:val="nil"/>
              <w:bottom w:val="single" w:sz="12" w:space="0" w:color="000000"/>
              <w:right w:val="nil"/>
            </w:tcBorders>
            <w:shd w:val="clear" w:color="auto" w:fill="FFFFFF"/>
          </w:tcPr>
          <w:p w14:paraId="44F1C247" w14:textId="77777777" w:rsidR="00084F36" w:rsidRPr="00EB2BD8" w:rsidRDefault="00EB2BD8">
            <w:pPr>
              <w:pStyle w:val="TableParagraph"/>
              <w:spacing w:before="61"/>
              <w:ind w:right="100"/>
              <w:jc w:val="right"/>
              <w:rPr>
                <w:rFonts w:ascii="Arial"/>
                <w:sz w:val="18"/>
              </w:rPr>
            </w:pPr>
            <w:r w:rsidRPr="00EB2BD8">
              <w:rPr>
                <w:rFonts w:ascii="Arial"/>
                <w:spacing w:val="-2"/>
                <w:sz w:val="18"/>
              </w:rPr>
              <w:t>2,856</w:t>
            </w:r>
          </w:p>
        </w:tc>
      </w:tr>
      <w:tr w:rsidR="00EB2BD8" w:rsidRPr="00EB2BD8" w14:paraId="24D51922" w14:textId="77777777">
        <w:trPr>
          <w:trHeight w:val="309"/>
        </w:trPr>
        <w:tc>
          <w:tcPr>
            <w:tcW w:w="6515" w:type="dxa"/>
            <w:tcBorders>
              <w:top w:val="single" w:sz="12" w:space="0" w:color="000000"/>
              <w:left w:val="nil"/>
              <w:bottom w:val="single" w:sz="12" w:space="0" w:color="000000"/>
              <w:right w:val="nil"/>
            </w:tcBorders>
            <w:shd w:val="clear" w:color="auto" w:fill="FFFFFF"/>
          </w:tcPr>
          <w:p w14:paraId="498C2770" w14:textId="77777777" w:rsidR="00084F36" w:rsidRPr="00EB2BD8" w:rsidRDefault="00EB2BD8">
            <w:pPr>
              <w:pStyle w:val="TableParagraph"/>
              <w:spacing w:before="50"/>
              <w:ind w:left="112"/>
              <w:rPr>
                <w:rFonts w:ascii="Arial"/>
                <w:b/>
                <w:sz w:val="18"/>
              </w:rPr>
            </w:pPr>
            <w:r w:rsidRPr="00EB2BD8">
              <w:rPr>
                <w:rFonts w:ascii="Arial"/>
                <w:b/>
                <w:sz w:val="18"/>
              </w:rPr>
              <w:t>Total</w:t>
            </w:r>
            <w:r w:rsidRPr="00EB2BD8">
              <w:rPr>
                <w:rFonts w:ascii="Arial"/>
                <w:b/>
                <w:spacing w:val="-3"/>
                <w:sz w:val="18"/>
              </w:rPr>
              <w:t xml:space="preserve"> </w:t>
            </w:r>
            <w:r w:rsidRPr="00EB2BD8">
              <w:rPr>
                <w:rFonts w:ascii="Arial"/>
                <w:b/>
                <w:sz w:val="18"/>
              </w:rPr>
              <w:t>security</w:t>
            </w:r>
            <w:r w:rsidRPr="00EB2BD8">
              <w:rPr>
                <w:rFonts w:ascii="Arial"/>
                <w:b/>
                <w:spacing w:val="-3"/>
                <w:sz w:val="18"/>
              </w:rPr>
              <w:t xml:space="preserve"> </w:t>
            </w:r>
            <w:r w:rsidRPr="00EB2BD8">
              <w:rPr>
                <w:rFonts w:ascii="Arial"/>
                <w:b/>
                <w:spacing w:val="-2"/>
                <w:sz w:val="18"/>
              </w:rPr>
              <w:t>deposits</w:t>
            </w:r>
          </w:p>
        </w:tc>
        <w:tc>
          <w:tcPr>
            <w:tcW w:w="1495" w:type="dxa"/>
            <w:tcBorders>
              <w:top w:val="single" w:sz="12" w:space="0" w:color="000000"/>
              <w:left w:val="nil"/>
              <w:bottom w:val="single" w:sz="12" w:space="0" w:color="000000"/>
              <w:right w:val="nil"/>
            </w:tcBorders>
            <w:shd w:val="clear" w:color="auto" w:fill="DEEAF6"/>
          </w:tcPr>
          <w:p w14:paraId="20D1E1E9" w14:textId="77777777" w:rsidR="00084F36" w:rsidRPr="00EB2BD8" w:rsidRDefault="00EB2BD8">
            <w:pPr>
              <w:pStyle w:val="TableParagraph"/>
              <w:spacing w:before="50"/>
              <w:ind w:right="102"/>
              <w:jc w:val="right"/>
              <w:rPr>
                <w:rFonts w:ascii="Arial"/>
                <w:b/>
                <w:sz w:val="18"/>
              </w:rPr>
            </w:pPr>
            <w:r w:rsidRPr="00EB2BD8">
              <w:rPr>
                <w:rFonts w:ascii="Arial"/>
                <w:b/>
                <w:spacing w:val="-2"/>
                <w:sz w:val="18"/>
              </w:rPr>
              <w:t>2,976</w:t>
            </w:r>
          </w:p>
        </w:tc>
        <w:tc>
          <w:tcPr>
            <w:tcW w:w="1495" w:type="dxa"/>
            <w:tcBorders>
              <w:top w:val="single" w:sz="12" w:space="0" w:color="000000"/>
              <w:left w:val="nil"/>
              <w:bottom w:val="single" w:sz="12" w:space="0" w:color="000000"/>
              <w:right w:val="nil"/>
            </w:tcBorders>
            <w:shd w:val="clear" w:color="auto" w:fill="FFFFFF"/>
          </w:tcPr>
          <w:p w14:paraId="2ED4628A" w14:textId="77777777" w:rsidR="00084F36" w:rsidRPr="00EB2BD8" w:rsidRDefault="00EB2BD8">
            <w:pPr>
              <w:pStyle w:val="TableParagraph"/>
              <w:spacing w:before="50"/>
              <w:ind w:right="101"/>
              <w:jc w:val="right"/>
              <w:rPr>
                <w:rFonts w:ascii="Arial"/>
                <w:b/>
                <w:sz w:val="18"/>
              </w:rPr>
            </w:pPr>
            <w:r w:rsidRPr="00EB2BD8">
              <w:rPr>
                <w:rFonts w:ascii="Arial"/>
                <w:b/>
                <w:spacing w:val="-2"/>
                <w:sz w:val="18"/>
              </w:rPr>
              <w:t>2,856</w:t>
            </w:r>
          </w:p>
        </w:tc>
      </w:tr>
    </w:tbl>
    <w:p w14:paraId="1E31EE64" w14:textId="77777777" w:rsidR="00084F36" w:rsidRPr="00EB2BD8" w:rsidRDefault="00084F36">
      <w:pPr>
        <w:pStyle w:val="BodyText"/>
        <w:spacing w:before="6"/>
        <w:rPr>
          <w:rFonts w:ascii="Arial"/>
          <w:sz w:val="27"/>
        </w:rPr>
      </w:pPr>
    </w:p>
    <w:p w14:paraId="7C933F47" w14:textId="77777777" w:rsidR="00084F36" w:rsidRPr="00EB2BD8" w:rsidRDefault="00EB2BD8">
      <w:pPr>
        <w:pStyle w:val="BodyText"/>
        <w:spacing w:line="276" w:lineRule="auto"/>
        <w:ind w:left="1074" w:right="1155"/>
        <w:rPr>
          <w:rFonts w:ascii="Arial"/>
        </w:rPr>
      </w:pPr>
      <w:r w:rsidRPr="00EB2BD8">
        <w:rPr>
          <w:rFonts w:ascii="Arial"/>
        </w:rPr>
        <w:t>Under section 22 of the Building Act 1993 and regulation 48 of the Building Regulations 2018, the relevant building surveyor may issue a building permit with a condition that a bond or guarantee be deposited to be held by the VBA until building</w:t>
      </w:r>
      <w:r w:rsidRPr="00EB2BD8">
        <w:rPr>
          <w:rFonts w:ascii="Arial"/>
          <w:spacing w:val="-3"/>
        </w:rPr>
        <w:t xml:space="preserve"> </w:t>
      </w:r>
      <w:r w:rsidRPr="00EB2BD8">
        <w:rPr>
          <w:rFonts w:ascii="Arial"/>
        </w:rPr>
        <w:t>works</w:t>
      </w:r>
      <w:r w:rsidRPr="00EB2BD8">
        <w:rPr>
          <w:rFonts w:ascii="Arial"/>
          <w:spacing w:val="-1"/>
        </w:rPr>
        <w:t xml:space="preserve"> </w:t>
      </w:r>
      <w:r w:rsidRPr="00EB2BD8">
        <w:rPr>
          <w:rFonts w:ascii="Arial"/>
        </w:rPr>
        <w:t>are</w:t>
      </w:r>
      <w:r w:rsidRPr="00EB2BD8">
        <w:rPr>
          <w:rFonts w:ascii="Arial"/>
          <w:spacing w:val="-3"/>
        </w:rPr>
        <w:t xml:space="preserve"> </w:t>
      </w:r>
      <w:r w:rsidRPr="00EB2BD8">
        <w:rPr>
          <w:rFonts w:ascii="Arial"/>
        </w:rPr>
        <w:t>completed.</w:t>
      </w:r>
      <w:r w:rsidRPr="00EB2BD8">
        <w:rPr>
          <w:rFonts w:ascii="Arial"/>
          <w:spacing w:val="-1"/>
        </w:rPr>
        <w:t xml:space="preserve"> </w:t>
      </w:r>
      <w:r w:rsidRPr="00EB2BD8">
        <w:rPr>
          <w:rFonts w:ascii="Arial"/>
        </w:rPr>
        <w:t>Payments</w:t>
      </w:r>
      <w:r w:rsidRPr="00EB2BD8">
        <w:rPr>
          <w:rFonts w:ascii="Arial"/>
          <w:spacing w:val="-2"/>
        </w:rPr>
        <w:t xml:space="preserve"> </w:t>
      </w:r>
      <w:r w:rsidRPr="00EB2BD8">
        <w:rPr>
          <w:rFonts w:ascii="Arial"/>
        </w:rPr>
        <w:t>are</w:t>
      </w:r>
      <w:r w:rsidRPr="00EB2BD8">
        <w:rPr>
          <w:rFonts w:ascii="Arial"/>
          <w:spacing w:val="-2"/>
        </w:rPr>
        <w:t xml:space="preserve"> </w:t>
      </w:r>
      <w:r w:rsidRPr="00EB2BD8">
        <w:rPr>
          <w:rFonts w:ascii="Arial"/>
        </w:rPr>
        <w:t>recognised</w:t>
      </w:r>
      <w:r w:rsidRPr="00EB2BD8">
        <w:rPr>
          <w:rFonts w:ascii="Arial"/>
          <w:spacing w:val="-3"/>
        </w:rPr>
        <w:t xml:space="preserve"> </w:t>
      </w:r>
      <w:r w:rsidRPr="00EB2BD8">
        <w:rPr>
          <w:rFonts w:ascii="Arial"/>
        </w:rPr>
        <w:t>as</w:t>
      </w:r>
      <w:r w:rsidRPr="00EB2BD8">
        <w:rPr>
          <w:rFonts w:ascii="Arial"/>
          <w:spacing w:val="-1"/>
        </w:rPr>
        <w:t xml:space="preserve"> </w:t>
      </w:r>
      <w:r w:rsidRPr="00EB2BD8">
        <w:rPr>
          <w:rFonts w:ascii="Arial"/>
        </w:rPr>
        <w:t>a</w:t>
      </w:r>
      <w:r w:rsidRPr="00EB2BD8">
        <w:rPr>
          <w:rFonts w:ascii="Arial"/>
          <w:spacing w:val="-3"/>
        </w:rPr>
        <w:t xml:space="preserve"> </w:t>
      </w:r>
      <w:r w:rsidRPr="00EB2BD8">
        <w:rPr>
          <w:rFonts w:ascii="Arial"/>
        </w:rPr>
        <w:t>liability</w:t>
      </w:r>
      <w:r w:rsidRPr="00EB2BD8">
        <w:rPr>
          <w:rFonts w:ascii="Arial"/>
          <w:spacing w:val="-2"/>
        </w:rPr>
        <w:t xml:space="preserve"> </w:t>
      </w:r>
      <w:r w:rsidRPr="00EB2BD8">
        <w:rPr>
          <w:rFonts w:ascii="Arial"/>
        </w:rPr>
        <w:t>at</w:t>
      </w:r>
      <w:r w:rsidRPr="00EB2BD8">
        <w:rPr>
          <w:rFonts w:ascii="Arial"/>
          <w:spacing w:val="-2"/>
        </w:rPr>
        <w:t xml:space="preserve"> </w:t>
      </w:r>
      <w:r w:rsidRPr="00EB2BD8">
        <w:rPr>
          <w:rFonts w:ascii="Arial"/>
        </w:rPr>
        <w:t>the</w:t>
      </w:r>
      <w:r w:rsidRPr="00EB2BD8">
        <w:rPr>
          <w:rFonts w:ascii="Arial"/>
          <w:spacing w:val="-3"/>
        </w:rPr>
        <w:t xml:space="preserve"> </w:t>
      </w:r>
      <w:r w:rsidRPr="00EB2BD8">
        <w:rPr>
          <w:rFonts w:ascii="Arial"/>
        </w:rPr>
        <w:t>time</w:t>
      </w:r>
      <w:r w:rsidRPr="00EB2BD8">
        <w:rPr>
          <w:rFonts w:ascii="Arial"/>
          <w:spacing w:val="-3"/>
        </w:rPr>
        <w:t xml:space="preserve"> </w:t>
      </w:r>
      <w:r w:rsidRPr="00EB2BD8">
        <w:rPr>
          <w:rFonts w:ascii="Arial"/>
        </w:rPr>
        <w:t>the</w:t>
      </w:r>
      <w:r w:rsidRPr="00EB2BD8">
        <w:rPr>
          <w:rFonts w:ascii="Arial"/>
          <w:spacing w:val="-3"/>
        </w:rPr>
        <w:t xml:space="preserve"> </w:t>
      </w:r>
      <w:r w:rsidRPr="00EB2BD8">
        <w:rPr>
          <w:rFonts w:ascii="Arial"/>
        </w:rPr>
        <w:t>deposit</w:t>
      </w:r>
      <w:r w:rsidRPr="00EB2BD8">
        <w:rPr>
          <w:rFonts w:ascii="Arial"/>
          <w:spacing w:val="-2"/>
        </w:rPr>
        <w:t xml:space="preserve"> </w:t>
      </w:r>
      <w:r w:rsidRPr="00EB2BD8">
        <w:rPr>
          <w:rFonts w:ascii="Arial"/>
        </w:rPr>
        <w:t>is</w:t>
      </w:r>
      <w:r w:rsidRPr="00EB2BD8">
        <w:rPr>
          <w:rFonts w:ascii="Arial"/>
          <w:spacing w:val="-2"/>
        </w:rPr>
        <w:t xml:space="preserve"> </w:t>
      </w:r>
      <w:r w:rsidRPr="00EB2BD8">
        <w:rPr>
          <w:rFonts w:ascii="Arial"/>
        </w:rPr>
        <w:t>received</w:t>
      </w:r>
      <w:r w:rsidRPr="00EB2BD8">
        <w:rPr>
          <w:rFonts w:ascii="Arial"/>
          <w:spacing w:val="-3"/>
        </w:rPr>
        <w:t xml:space="preserve"> </w:t>
      </w:r>
      <w:r w:rsidRPr="00EB2BD8">
        <w:rPr>
          <w:rFonts w:ascii="Arial"/>
        </w:rPr>
        <w:t>by</w:t>
      </w:r>
      <w:r w:rsidRPr="00EB2BD8">
        <w:rPr>
          <w:rFonts w:ascii="Arial"/>
          <w:spacing w:val="-2"/>
        </w:rPr>
        <w:t xml:space="preserve"> </w:t>
      </w:r>
      <w:r w:rsidRPr="00EB2BD8">
        <w:rPr>
          <w:rFonts w:ascii="Arial"/>
        </w:rPr>
        <w:t>the</w:t>
      </w:r>
      <w:r w:rsidRPr="00EB2BD8">
        <w:rPr>
          <w:rFonts w:ascii="Arial"/>
          <w:spacing w:val="-3"/>
        </w:rPr>
        <w:t xml:space="preserve"> </w:t>
      </w:r>
      <w:r w:rsidRPr="00EB2BD8">
        <w:rPr>
          <w:rFonts w:ascii="Arial"/>
        </w:rPr>
        <w:t>VBA.</w:t>
      </w:r>
      <w:r w:rsidRPr="00EB2BD8">
        <w:rPr>
          <w:rFonts w:ascii="Arial"/>
          <w:spacing w:val="-2"/>
        </w:rPr>
        <w:t xml:space="preserve"> </w:t>
      </w:r>
      <w:r w:rsidRPr="00EB2BD8">
        <w:rPr>
          <w:rFonts w:ascii="Arial"/>
        </w:rPr>
        <w:t>The liability is measured at carrying value.</w:t>
      </w:r>
    </w:p>
    <w:p w14:paraId="37EF758A" w14:textId="77777777" w:rsidR="00084F36" w:rsidRPr="00EB2BD8" w:rsidRDefault="00084F36">
      <w:pPr>
        <w:pStyle w:val="BodyText"/>
        <w:rPr>
          <w:rFonts w:ascii="Arial"/>
          <w:sz w:val="20"/>
        </w:rPr>
      </w:pPr>
    </w:p>
    <w:p w14:paraId="787CF497" w14:textId="77777777" w:rsidR="00084F36" w:rsidRPr="00EB2BD8" w:rsidRDefault="00084F36">
      <w:pPr>
        <w:pStyle w:val="BodyText"/>
        <w:spacing w:before="6"/>
        <w:rPr>
          <w:rFonts w:ascii="Arial"/>
          <w:sz w:val="17"/>
        </w:rPr>
      </w:pPr>
    </w:p>
    <w:p w14:paraId="6CC02D4E" w14:textId="0F194F23" w:rsidR="00084F36" w:rsidRPr="00EB2BD8" w:rsidRDefault="000546D6" w:rsidP="000546D6">
      <w:pPr>
        <w:pStyle w:val="Heading2"/>
      </w:pPr>
      <w:bookmarkStart w:id="375" w:name="_Toc150762677"/>
      <w:r>
        <w:t>`8.10 C</w:t>
      </w:r>
      <w:r w:rsidRPr="00EB2BD8">
        <w:t>ontributions</w:t>
      </w:r>
      <w:r w:rsidRPr="00EB2BD8">
        <w:rPr>
          <w:spacing w:val="-14"/>
        </w:rPr>
        <w:t xml:space="preserve"> </w:t>
      </w:r>
      <w:r w:rsidRPr="00EB2BD8">
        <w:t>by</w:t>
      </w:r>
      <w:r w:rsidRPr="00EB2BD8">
        <w:rPr>
          <w:spacing w:val="-13"/>
        </w:rPr>
        <w:t xml:space="preserve"> </w:t>
      </w:r>
      <w:r w:rsidRPr="00EB2BD8">
        <w:rPr>
          <w:spacing w:val="-2"/>
        </w:rPr>
        <w:t>owners</w:t>
      </w:r>
      <w:bookmarkEnd w:id="375"/>
    </w:p>
    <w:p w14:paraId="2396EB45" w14:textId="77777777" w:rsidR="00084F36" w:rsidRPr="00EB2BD8" w:rsidRDefault="00EB2BD8">
      <w:pPr>
        <w:pStyle w:val="BodyText"/>
        <w:spacing w:before="180" w:line="276" w:lineRule="auto"/>
        <w:ind w:left="1074" w:right="1155"/>
        <w:rPr>
          <w:rFonts w:ascii="Arial"/>
        </w:rPr>
      </w:pPr>
      <w:r w:rsidRPr="00EB2BD8">
        <w:rPr>
          <w:rFonts w:ascii="Arial"/>
        </w:rPr>
        <w:t>Consistent</w:t>
      </w:r>
      <w:r w:rsidRPr="00EB2BD8">
        <w:rPr>
          <w:rFonts w:ascii="Arial"/>
          <w:spacing w:val="-3"/>
        </w:rPr>
        <w:t xml:space="preserve"> </w:t>
      </w:r>
      <w:r w:rsidRPr="00EB2BD8">
        <w:rPr>
          <w:rFonts w:ascii="Arial"/>
        </w:rPr>
        <w:t>with</w:t>
      </w:r>
      <w:r w:rsidRPr="00EB2BD8">
        <w:rPr>
          <w:rFonts w:ascii="Arial"/>
          <w:spacing w:val="-2"/>
        </w:rPr>
        <w:t xml:space="preserve"> </w:t>
      </w:r>
      <w:r w:rsidRPr="00EB2BD8">
        <w:rPr>
          <w:rFonts w:ascii="Arial"/>
        </w:rPr>
        <w:t>the</w:t>
      </w:r>
      <w:r w:rsidRPr="00EB2BD8">
        <w:rPr>
          <w:rFonts w:ascii="Arial"/>
          <w:spacing w:val="-4"/>
        </w:rPr>
        <w:t xml:space="preserve"> </w:t>
      </w:r>
      <w:r w:rsidRPr="00EB2BD8">
        <w:rPr>
          <w:rFonts w:ascii="Arial"/>
        </w:rPr>
        <w:t>requirements</w:t>
      </w:r>
      <w:r w:rsidRPr="00EB2BD8">
        <w:rPr>
          <w:rFonts w:ascii="Arial"/>
          <w:spacing w:val="-3"/>
        </w:rPr>
        <w:t xml:space="preserve"> </w:t>
      </w:r>
      <w:r w:rsidRPr="00EB2BD8">
        <w:rPr>
          <w:rFonts w:ascii="Arial"/>
        </w:rPr>
        <w:t>of</w:t>
      </w:r>
      <w:r w:rsidRPr="00EB2BD8">
        <w:rPr>
          <w:rFonts w:ascii="Arial"/>
          <w:spacing w:val="-3"/>
        </w:rPr>
        <w:t xml:space="preserve"> </w:t>
      </w:r>
      <w:r w:rsidRPr="00EB2BD8">
        <w:rPr>
          <w:rFonts w:ascii="Arial"/>
        </w:rPr>
        <w:t>AASB</w:t>
      </w:r>
      <w:r w:rsidRPr="00EB2BD8">
        <w:rPr>
          <w:rFonts w:ascii="Arial"/>
          <w:spacing w:val="-3"/>
        </w:rPr>
        <w:t xml:space="preserve"> </w:t>
      </w:r>
      <w:r w:rsidRPr="00EB2BD8">
        <w:rPr>
          <w:rFonts w:ascii="Arial"/>
        </w:rPr>
        <w:t>1004</w:t>
      </w:r>
      <w:r w:rsidRPr="00EB2BD8">
        <w:rPr>
          <w:rFonts w:ascii="Arial"/>
          <w:spacing w:val="-4"/>
        </w:rPr>
        <w:t xml:space="preserve"> </w:t>
      </w:r>
      <w:r w:rsidRPr="00EB2BD8">
        <w:rPr>
          <w:rFonts w:ascii="Arial"/>
        </w:rPr>
        <w:t>Contributions,</w:t>
      </w:r>
      <w:r w:rsidRPr="00EB2BD8">
        <w:rPr>
          <w:rFonts w:ascii="Arial"/>
          <w:spacing w:val="-3"/>
        </w:rPr>
        <w:t xml:space="preserve"> </w:t>
      </w:r>
      <w:r w:rsidRPr="00EB2BD8">
        <w:rPr>
          <w:rFonts w:ascii="Arial"/>
        </w:rPr>
        <w:t>contributions</w:t>
      </w:r>
      <w:r w:rsidRPr="00EB2BD8">
        <w:rPr>
          <w:rFonts w:ascii="Arial"/>
          <w:spacing w:val="-2"/>
        </w:rPr>
        <w:t xml:space="preserve"> </w:t>
      </w:r>
      <w:r w:rsidRPr="00EB2BD8">
        <w:rPr>
          <w:rFonts w:ascii="Arial"/>
        </w:rPr>
        <w:t>by</w:t>
      </w:r>
      <w:r w:rsidRPr="00EB2BD8">
        <w:rPr>
          <w:rFonts w:ascii="Arial"/>
          <w:spacing w:val="-3"/>
        </w:rPr>
        <w:t xml:space="preserve"> </w:t>
      </w:r>
      <w:r w:rsidRPr="00EB2BD8">
        <w:rPr>
          <w:rFonts w:ascii="Arial"/>
        </w:rPr>
        <w:t>owners</w:t>
      </w:r>
      <w:r w:rsidRPr="00EB2BD8">
        <w:rPr>
          <w:rFonts w:ascii="Arial"/>
          <w:spacing w:val="-3"/>
        </w:rPr>
        <w:t xml:space="preserve"> </w:t>
      </w:r>
      <w:r w:rsidRPr="00EB2BD8">
        <w:rPr>
          <w:rFonts w:ascii="Arial"/>
        </w:rPr>
        <w:t>(that</w:t>
      </w:r>
      <w:r w:rsidRPr="00EB2BD8">
        <w:rPr>
          <w:rFonts w:ascii="Arial"/>
          <w:spacing w:val="-3"/>
        </w:rPr>
        <w:t xml:space="preserve"> </w:t>
      </w:r>
      <w:r w:rsidRPr="00EB2BD8">
        <w:rPr>
          <w:rFonts w:ascii="Arial"/>
        </w:rPr>
        <w:t>is,</w:t>
      </w:r>
      <w:r w:rsidRPr="00EB2BD8">
        <w:rPr>
          <w:rFonts w:ascii="Arial"/>
          <w:spacing w:val="-3"/>
        </w:rPr>
        <w:t xml:space="preserve"> </w:t>
      </w:r>
      <w:r w:rsidRPr="00EB2BD8">
        <w:rPr>
          <w:rFonts w:ascii="Arial"/>
        </w:rPr>
        <w:t>contributed</w:t>
      </w:r>
      <w:r w:rsidRPr="00EB2BD8">
        <w:rPr>
          <w:rFonts w:ascii="Arial"/>
          <w:spacing w:val="-4"/>
        </w:rPr>
        <w:t xml:space="preserve"> </w:t>
      </w:r>
      <w:r w:rsidRPr="00EB2BD8">
        <w:rPr>
          <w:rFonts w:ascii="Arial"/>
        </w:rPr>
        <w:t>capital</w:t>
      </w:r>
      <w:r w:rsidRPr="00EB2BD8">
        <w:rPr>
          <w:rFonts w:ascii="Arial"/>
          <w:spacing w:val="-4"/>
        </w:rPr>
        <w:t xml:space="preserve"> </w:t>
      </w:r>
      <w:r w:rsidRPr="00EB2BD8">
        <w:rPr>
          <w:rFonts w:ascii="Arial"/>
        </w:rPr>
        <w:t>and</w:t>
      </w:r>
      <w:r w:rsidRPr="00EB2BD8">
        <w:rPr>
          <w:rFonts w:ascii="Arial"/>
          <w:spacing w:val="-4"/>
        </w:rPr>
        <w:t xml:space="preserve"> </w:t>
      </w:r>
      <w:r w:rsidRPr="00EB2BD8">
        <w:rPr>
          <w:rFonts w:ascii="Arial"/>
        </w:rPr>
        <w:t>its repayment) are treated as equity transactions and, therefore, do not form part of the income and expenses of the VBA.</w:t>
      </w:r>
    </w:p>
    <w:p w14:paraId="6FCC7920" w14:textId="77777777" w:rsidR="00084F36" w:rsidRPr="00EB2BD8" w:rsidRDefault="00084F36">
      <w:pPr>
        <w:pStyle w:val="BodyText"/>
        <w:spacing w:before="7"/>
        <w:rPr>
          <w:rFonts w:ascii="Arial"/>
          <w:sz w:val="20"/>
        </w:rPr>
      </w:pPr>
    </w:p>
    <w:p w14:paraId="124FB045" w14:textId="77777777" w:rsidR="00084F36" w:rsidRPr="00EB2BD8" w:rsidRDefault="00EB2BD8">
      <w:pPr>
        <w:pStyle w:val="BodyText"/>
        <w:spacing w:before="1" w:line="276" w:lineRule="auto"/>
        <w:ind w:left="1074" w:right="1114"/>
        <w:jc w:val="both"/>
        <w:rPr>
          <w:rFonts w:ascii="Arial"/>
        </w:rPr>
      </w:pPr>
      <w:r w:rsidRPr="00EB2BD8">
        <w:rPr>
          <w:rFonts w:ascii="Arial"/>
        </w:rPr>
        <w:t>Additions</w:t>
      </w:r>
      <w:r w:rsidRPr="00EB2BD8">
        <w:rPr>
          <w:rFonts w:ascii="Arial"/>
          <w:spacing w:val="-2"/>
        </w:rPr>
        <w:t xml:space="preserve"> </w:t>
      </w:r>
      <w:r w:rsidRPr="00EB2BD8">
        <w:rPr>
          <w:rFonts w:ascii="Arial"/>
        </w:rPr>
        <w:t>to</w:t>
      </w:r>
      <w:r w:rsidRPr="00EB2BD8">
        <w:rPr>
          <w:rFonts w:ascii="Arial"/>
          <w:spacing w:val="-2"/>
        </w:rPr>
        <w:t xml:space="preserve"> </w:t>
      </w:r>
      <w:r w:rsidRPr="00EB2BD8">
        <w:rPr>
          <w:rFonts w:ascii="Arial"/>
        </w:rPr>
        <w:t>net</w:t>
      </w:r>
      <w:r w:rsidRPr="00EB2BD8">
        <w:rPr>
          <w:rFonts w:ascii="Arial"/>
          <w:spacing w:val="-2"/>
        </w:rPr>
        <w:t xml:space="preserve"> </w:t>
      </w:r>
      <w:r w:rsidRPr="00EB2BD8">
        <w:rPr>
          <w:rFonts w:ascii="Arial"/>
        </w:rPr>
        <w:t>assets</w:t>
      </w:r>
      <w:r w:rsidRPr="00EB2BD8">
        <w:rPr>
          <w:rFonts w:ascii="Arial"/>
          <w:spacing w:val="-2"/>
        </w:rPr>
        <w:t xml:space="preserve"> </w:t>
      </w:r>
      <w:r w:rsidRPr="00EB2BD8">
        <w:rPr>
          <w:rFonts w:ascii="Arial"/>
        </w:rPr>
        <w:t>that</w:t>
      </w:r>
      <w:r w:rsidRPr="00EB2BD8">
        <w:rPr>
          <w:rFonts w:ascii="Arial"/>
          <w:spacing w:val="-2"/>
        </w:rPr>
        <w:t xml:space="preserve"> </w:t>
      </w:r>
      <w:r w:rsidRPr="00EB2BD8">
        <w:rPr>
          <w:rFonts w:ascii="Arial"/>
        </w:rPr>
        <w:t>have</w:t>
      </w:r>
      <w:r w:rsidRPr="00EB2BD8">
        <w:rPr>
          <w:rFonts w:ascii="Arial"/>
          <w:spacing w:val="-2"/>
        </w:rPr>
        <w:t xml:space="preserve"> </w:t>
      </w:r>
      <w:r w:rsidRPr="00EB2BD8">
        <w:rPr>
          <w:rFonts w:ascii="Arial"/>
        </w:rPr>
        <w:t>been</w:t>
      </w:r>
      <w:r w:rsidRPr="00EB2BD8">
        <w:rPr>
          <w:rFonts w:ascii="Arial"/>
          <w:spacing w:val="-2"/>
        </w:rPr>
        <w:t xml:space="preserve"> </w:t>
      </w:r>
      <w:r w:rsidRPr="00EB2BD8">
        <w:rPr>
          <w:rFonts w:ascii="Arial"/>
        </w:rPr>
        <w:t>designated</w:t>
      </w:r>
      <w:r w:rsidRPr="00EB2BD8">
        <w:rPr>
          <w:rFonts w:ascii="Arial"/>
          <w:spacing w:val="-2"/>
        </w:rPr>
        <w:t xml:space="preserve"> </w:t>
      </w:r>
      <w:r w:rsidRPr="00EB2BD8">
        <w:rPr>
          <w:rFonts w:ascii="Arial"/>
        </w:rPr>
        <w:t>as</w:t>
      </w:r>
      <w:r w:rsidRPr="00EB2BD8">
        <w:rPr>
          <w:rFonts w:ascii="Arial"/>
          <w:spacing w:val="-2"/>
        </w:rPr>
        <w:t xml:space="preserve"> </w:t>
      </w:r>
      <w:r w:rsidRPr="00EB2BD8">
        <w:rPr>
          <w:rFonts w:ascii="Arial"/>
        </w:rPr>
        <w:t>contributions</w:t>
      </w:r>
      <w:r w:rsidRPr="00EB2BD8">
        <w:rPr>
          <w:rFonts w:ascii="Arial"/>
          <w:spacing w:val="-2"/>
        </w:rPr>
        <w:t xml:space="preserve"> </w:t>
      </w:r>
      <w:r w:rsidRPr="00EB2BD8">
        <w:rPr>
          <w:rFonts w:ascii="Arial"/>
        </w:rPr>
        <w:t>by</w:t>
      </w:r>
      <w:r w:rsidRPr="00EB2BD8">
        <w:rPr>
          <w:rFonts w:ascii="Arial"/>
          <w:spacing w:val="-2"/>
        </w:rPr>
        <w:t xml:space="preserve"> </w:t>
      </w:r>
      <w:r w:rsidRPr="00EB2BD8">
        <w:rPr>
          <w:rFonts w:ascii="Arial"/>
        </w:rPr>
        <w:t>owners</w:t>
      </w:r>
      <w:r w:rsidRPr="00EB2BD8">
        <w:rPr>
          <w:rFonts w:ascii="Arial"/>
          <w:spacing w:val="-2"/>
        </w:rPr>
        <w:t xml:space="preserve"> </w:t>
      </w:r>
      <w:r w:rsidRPr="00EB2BD8">
        <w:rPr>
          <w:rFonts w:ascii="Arial"/>
        </w:rPr>
        <w:t>are</w:t>
      </w:r>
      <w:r w:rsidRPr="00EB2BD8">
        <w:rPr>
          <w:rFonts w:ascii="Arial"/>
          <w:spacing w:val="-2"/>
        </w:rPr>
        <w:t xml:space="preserve"> </w:t>
      </w:r>
      <w:r w:rsidRPr="00EB2BD8">
        <w:rPr>
          <w:rFonts w:ascii="Arial"/>
        </w:rPr>
        <w:t>recognised</w:t>
      </w:r>
      <w:r w:rsidRPr="00EB2BD8">
        <w:rPr>
          <w:rFonts w:ascii="Arial"/>
          <w:spacing w:val="-2"/>
        </w:rPr>
        <w:t xml:space="preserve"> </w:t>
      </w:r>
      <w:r w:rsidRPr="00EB2BD8">
        <w:rPr>
          <w:rFonts w:ascii="Arial"/>
        </w:rPr>
        <w:t>as</w:t>
      </w:r>
      <w:r w:rsidRPr="00EB2BD8">
        <w:rPr>
          <w:rFonts w:ascii="Arial"/>
          <w:spacing w:val="-2"/>
        </w:rPr>
        <w:t xml:space="preserve"> </w:t>
      </w:r>
      <w:r w:rsidRPr="00EB2BD8">
        <w:rPr>
          <w:rFonts w:ascii="Arial"/>
        </w:rPr>
        <w:t>contributed</w:t>
      </w:r>
      <w:r w:rsidRPr="00EB2BD8">
        <w:rPr>
          <w:rFonts w:ascii="Arial"/>
          <w:spacing w:val="-2"/>
        </w:rPr>
        <w:t xml:space="preserve"> </w:t>
      </w:r>
      <w:r w:rsidRPr="00EB2BD8">
        <w:rPr>
          <w:rFonts w:ascii="Arial"/>
        </w:rPr>
        <w:t>capital.</w:t>
      </w:r>
      <w:r w:rsidRPr="00EB2BD8">
        <w:rPr>
          <w:rFonts w:ascii="Arial"/>
          <w:spacing w:val="-2"/>
        </w:rPr>
        <w:t xml:space="preserve"> </w:t>
      </w:r>
      <w:r w:rsidRPr="00EB2BD8">
        <w:rPr>
          <w:rFonts w:ascii="Arial"/>
        </w:rPr>
        <w:t>Other transfers</w:t>
      </w:r>
      <w:r w:rsidRPr="00EB2BD8">
        <w:rPr>
          <w:rFonts w:ascii="Arial"/>
          <w:spacing w:val="-3"/>
        </w:rPr>
        <w:t xml:space="preserve"> </w:t>
      </w:r>
      <w:r w:rsidRPr="00EB2BD8">
        <w:rPr>
          <w:rFonts w:ascii="Arial"/>
        </w:rPr>
        <w:t>that</w:t>
      </w:r>
      <w:r w:rsidRPr="00EB2BD8">
        <w:rPr>
          <w:rFonts w:ascii="Arial"/>
          <w:spacing w:val="-3"/>
        </w:rPr>
        <w:t xml:space="preserve"> </w:t>
      </w:r>
      <w:r w:rsidRPr="00EB2BD8">
        <w:rPr>
          <w:rFonts w:ascii="Arial"/>
        </w:rPr>
        <w:t>are</w:t>
      </w:r>
      <w:r w:rsidRPr="00EB2BD8">
        <w:rPr>
          <w:rFonts w:ascii="Arial"/>
          <w:spacing w:val="-4"/>
        </w:rPr>
        <w:t xml:space="preserve"> </w:t>
      </w:r>
      <w:r w:rsidRPr="00EB2BD8">
        <w:rPr>
          <w:rFonts w:ascii="Arial"/>
        </w:rPr>
        <w:t>in</w:t>
      </w:r>
      <w:r w:rsidRPr="00EB2BD8">
        <w:rPr>
          <w:rFonts w:ascii="Arial"/>
          <w:spacing w:val="-4"/>
        </w:rPr>
        <w:t xml:space="preserve"> </w:t>
      </w:r>
      <w:r w:rsidRPr="00EB2BD8">
        <w:rPr>
          <w:rFonts w:ascii="Arial"/>
        </w:rPr>
        <w:t>the</w:t>
      </w:r>
      <w:r w:rsidRPr="00EB2BD8">
        <w:rPr>
          <w:rFonts w:ascii="Arial"/>
          <w:spacing w:val="-4"/>
        </w:rPr>
        <w:t xml:space="preserve"> </w:t>
      </w:r>
      <w:r w:rsidRPr="00EB2BD8">
        <w:rPr>
          <w:rFonts w:ascii="Arial"/>
        </w:rPr>
        <w:t>nature</w:t>
      </w:r>
      <w:r w:rsidRPr="00EB2BD8">
        <w:rPr>
          <w:rFonts w:ascii="Arial"/>
          <w:spacing w:val="-2"/>
        </w:rPr>
        <w:t xml:space="preserve"> </w:t>
      </w:r>
      <w:r w:rsidRPr="00EB2BD8">
        <w:rPr>
          <w:rFonts w:ascii="Arial"/>
        </w:rPr>
        <w:t>of</w:t>
      </w:r>
      <w:r w:rsidRPr="00EB2BD8">
        <w:rPr>
          <w:rFonts w:ascii="Arial"/>
          <w:spacing w:val="-3"/>
        </w:rPr>
        <w:t xml:space="preserve"> </w:t>
      </w:r>
      <w:r w:rsidRPr="00EB2BD8">
        <w:rPr>
          <w:rFonts w:ascii="Arial"/>
        </w:rPr>
        <w:t>contributions</w:t>
      </w:r>
      <w:r w:rsidRPr="00EB2BD8">
        <w:rPr>
          <w:rFonts w:ascii="Arial"/>
          <w:spacing w:val="-3"/>
        </w:rPr>
        <w:t xml:space="preserve"> </w:t>
      </w:r>
      <w:r w:rsidRPr="00EB2BD8">
        <w:rPr>
          <w:rFonts w:ascii="Arial"/>
        </w:rPr>
        <w:t>to</w:t>
      </w:r>
      <w:r w:rsidRPr="00EB2BD8">
        <w:rPr>
          <w:rFonts w:ascii="Arial"/>
          <w:spacing w:val="-4"/>
        </w:rPr>
        <w:t xml:space="preserve"> </w:t>
      </w:r>
      <w:r w:rsidRPr="00EB2BD8">
        <w:rPr>
          <w:rFonts w:ascii="Arial"/>
        </w:rPr>
        <w:t>or</w:t>
      </w:r>
      <w:r w:rsidRPr="00EB2BD8">
        <w:rPr>
          <w:rFonts w:ascii="Arial"/>
          <w:spacing w:val="-3"/>
        </w:rPr>
        <w:t xml:space="preserve"> </w:t>
      </w:r>
      <w:r w:rsidRPr="00EB2BD8">
        <w:rPr>
          <w:rFonts w:ascii="Arial"/>
        </w:rPr>
        <w:t>distributions</w:t>
      </w:r>
      <w:r w:rsidRPr="00EB2BD8">
        <w:rPr>
          <w:rFonts w:ascii="Arial"/>
          <w:spacing w:val="-3"/>
        </w:rPr>
        <w:t xml:space="preserve"> </w:t>
      </w:r>
      <w:r w:rsidRPr="00EB2BD8">
        <w:rPr>
          <w:rFonts w:ascii="Arial"/>
        </w:rPr>
        <w:t>by</w:t>
      </w:r>
      <w:r w:rsidRPr="00EB2BD8">
        <w:rPr>
          <w:rFonts w:ascii="Arial"/>
          <w:spacing w:val="-3"/>
        </w:rPr>
        <w:t xml:space="preserve"> </w:t>
      </w:r>
      <w:r w:rsidRPr="00EB2BD8">
        <w:rPr>
          <w:rFonts w:ascii="Arial"/>
        </w:rPr>
        <w:t>owners</w:t>
      </w:r>
      <w:r w:rsidRPr="00EB2BD8">
        <w:rPr>
          <w:rFonts w:ascii="Arial"/>
          <w:spacing w:val="-2"/>
        </w:rPr>
        <w:t xml:space="preserve"> </w:t>
      </w:r>
      <w:r w:rsidRPr="00EB2BD8">
        <w:rPr>
          <w:rFonts w:ascii="Arial"/>
        </w:rPr>
        <w:t>have</w:t>
      </w:r>
      <w:r w:rsidRPr="00EB2BD8">
        <w:rPr>
          <w:rFonts w:ascii="Arial"/>
          <w:spacing w:val="-4"/>
        </w:rPr>
        <w:t xml:space="preserve"> </w:t>
      </w:r>
      <w:r w:rsidRPr="00EB2BD8">
        <w:rPr>
          <w:rFonts w:ascii="Arial"/>
        </w:rPr>
        <w:t>also</w:t>
      </w:r>
      <w:r w:rsidRPr="00EB2BD8">
        <w:rPr>
          <w:rFonts w:ascii="Arial"/>
          <w:spacing w:val="-4"/>
        </w:rPr>
        <w:t xml:space="preserve"> </w:t>
      </w:r>
      <w:r w:rsidRPr="00EB2BD8">
        <w:rPr>
          <w:rFonts w:ascii="Arial"/>
        </w:rPr>
        <w:t>been</w:t>
      </w:r>
      <w:r w:rsidRPr="00EB2BD8">
        <w:rPr>
          <w:rFonts w:ascii="Arial"/>
          <w:spacing w:val="-2"/>
        </w:rPr>
        <w:t xml:space="preserve"> </w:t>
      </w:r>
      <w:r w:rsidRPr="00EB2BD8">
        <w:rPr>
          <w:rFonts w:ascii="Arial"/>
        </w:rPr>
        <w:t>designated</w:t>
      </w:r>
      <w:r w:rsidRPr="00EB2BD8">
        <w:rPr>
          <w:rFonts w:ascii="Arial"/>
          <w:spacing w:val="-4"/>
        </w:rPr>
        <w:t xml:space="preserve"> </w:t>
      </w:r>
      <w:r w:rsidRPr="00EB2BD8">
        <w:rPr>
          <w:rFonts w:ascii="Arial"/>
        </w:rPr>
        <w:t>as</w:t>
      </w:r>
      <w:r w:rsidRPr="00EB2BD8">
        <w:rPr>
          <w:rFonts w:ascii="Arial"/>
          <w:spacing w:val="-3"/>
        </w:rPr>
        <w:t xml:space="preserve"> </w:t>
      </w:r>
      <w:r w:rsidRPr="00EB2BD8">
        <w:rPr>
          <w:rFonts w:ascii="Arial"/>
        </w:rPr>
        <w:t>contributions</w:t>
      </w:r>
      <w:r w:rsidRPr="00EB2BD8">
        <w:rPr>
          <w:rFonts w:ascii="Arial"/>
          <w:spacing w:val="-2"/>
        </w:rPr>
        <w:t xml:space="preserve"> </w:t>
      </w:r>
      <w:r w:rsidRPr="00EB2BD8">
        <w:rPr>
          <w:rFonts w:ascii="Arial"/>
        </w:rPr>
        <w:t xml:space="preserve">by </w:t>
      </w:r>
      <w:r w:rsidRPr="00EB2BD8">
        <w:rPr>
          <w:rFonts w:ascii="Arial"/>
          <w:spacing w:val="-2"/>
        </w:rPr>
        <w:t>owners.</w:t>
      </w:r>
    </w:p>
    <w:p w14:paraId="162A136C" w14:textId="77777777" w:rsidR="00084F36" w:rsidRPr="00EB2BD8" w:rsidRDefault="00084F36">
      <w:pPr>
        <w:pStyle w:val="BodyText"/>
        <w:spacing w:before="7"/>
        <w:rPr>
          <w:rFonts w:ascii="Arial"/>
          <w:sz w:val="20"/>
        </w:rPr>
      </w:pPr>
    </w:p>
    <w:p w14:paraId="6737CD3B" w14:textId="77777777" w:rsidR="00084F36" w:rsidRPr="00EB2BD8" w:rsidRDefault="00EB2BD8">
      <w:pPr>
        <w:pStyle w:val="BodyText"/>
        <w:spacing w:before="1" w:line="276" w:lineRule="auto"/>
        <w:ind w:left="1074" w:right="1144"/>
        <w:jc w:val="both"/>
        <w:rPr>
          <w:rFonts w:ascii="Arial"/>
        </w:rPr>
      </w:pPr>
      <w:r w:rsidRPr="00EB2BD8">
        <w:rPr>
          <w:rFonts w:ascii="Arial"/>
        </w:rPr>
        <w:t>Transfers</w:t>
      </w:r>
      <w:r w:rsidRPr="00EB2BD8">
        <w:rPr>
          <w:rFonts w:ascii="Arial"/>
          <w:spacing w:val="-3"/>
        </w:rPr>
        <w:t xml:space="preserve"> </w:t>
      </w:r>
      <w:r w:rsidRPr="00EB2BD8">
        <w:rPr>
          <w:rFonts w:ascii="Arial"/>
        </w:rPr>
        <w:t>of</w:t>
      </w:r>
      <w:r w:rsidRPr="00EB2BD8">
        <w:rPr>
          <w:rFonts w:ascii="Arial"/>
          <w:spacing w:val="-3"/>
        </w:rPr>
        <w:t xml:space="preserve"> </w:t>
      </w:r>
      <w:r w:rsidRPr="00EB2BD8">
        <w:rPr>
          <w:rFonts w:ascii="Arial"/>
        </w:rPr>
        <w:t>net</w:t>
      </w:r>
      <w:r w:rsidRPr="00EB2BD8">
        <w:rPr>
          <w:rFonts w:ascii="Arial"/>
          <w:spacing w:val="-3"/>
        </w:rPr>
        <w:t xml:space="preserve"> </w:t>
      </w:r>
      <w:r w:rsidRPr="00EB2BD8">
        <w:rPr>
          <w:rFonts w:ascii="Arial"/>
        </w:rPr>
        <w:t>assets</w:t>
      </w:r>
      <w:r w:rsidRPr="00EB2BD8">
        <w:rPr>
          <w:rFonts w:ascii="Arial"/>
          <w:spacing w:val="-3"/>
        </w:rPr>
        <w:t xml:space="preserve"> </w:t>
      </w:r>
      <w:r w:rsidRPr="00EB2BD8">
        <w:rPr>
          <w:rFonts w:ascii="Arial"/>
        </w:rPr>
        <w:t>arising</w:t>
      </w:r>
      <w:r w:rsidRPr="00EB2BD8">
        <w:rPr>
          <w:rFonts w:ascii="Arial"/>
          <w:spacing w:val="-2"/>
        </w:rPr>
        <w:t xml:space="preserve"> </w:t>
      </w:r>
      <w:r w:rsidRPr="00EB2BD8">
        <w:rPr>
          <w:rFonts w:ascii="Arial"/>
        </w:rPr>
        <w:t>from</w:t>
      </w:r>
      <w:r w:rsidRPr="00EB2BD8">
        <w:rPr>
          <w:rFonts w:ascii="Arial"/>
          <w:spacing w:val="-3"/>
        </w:rPr>
        <w:t xml:space="preserve"> </w:t>
      </w:r>
      <w:r w:rsidRPr="00EB2BD8">
        <w:rPr>
          <w:rFonts w:ascii="Arial"/>
        </w:rPr>
        <w:t>administrative</w:t>
      </w:r>
      <w:r w:rsidRPr="00EB2BD8">
        <w:rPr>
          <w:rFonts w:ascii="Arial"/>
          <w:spacing w:val="-4"/>
        </w:rPr>
        <w:t xml:space="preserve"> </w:t>
      </w:r>
      <w:r w:rsidRPr="00EB2BD8">
        <w:rPr>
          <w:rFonts w:ascii="Arial"/>
        </w:rPr>
        <w:t>restructurings</w:t>
      </w:r>
      <w:r w:rsidRPr="00EB2BD8">
        <w:rPr>
          <w:rFonts w:ascii="Arial"/>
          <w:spacing w:val="-3"/>
        </w:rPr>
        <w:t xml:space="preserve"> </w:t>
      </w:r>
      <w:r w:rsidRPr="00EB2BD8">
        <w:rPr>
          <w:rFonts w:ascii="Arial"/>
        </w:rPr>
        <w:t>are</w:t>
      </w:r>
      <w:r w:rsidRPr="00EB2BD8">
        <w:rPr>
          <w:rFonts w:ascii="Arial"/>
          <w:spacing w:val="-4"/>
        </w:rPr>
        <w:t xml:space="preserve"> </w:t>
      </w:r>
      <w:r w:rsidRPr="00EB2BD8">
        <w:rPr>
          <w:rFonts w:ascii="Arial"/>
        </w:rPr>
        <w:t>treated</w:t>
      </w:r>
      <w:r w:rsidRPr="00EB2BD8">
        <w:rPr>
          <w:rFonts w:ascii="Arial"/>
          <w:spacing w:val="-4"/>
        </w:rPr>
        <w:t xml:space="preserve"> </w:t>
      </w:r>
      <w:r w:rsidRPr="00EB2BD8">
        <w:rPr>
          <w:rFonts w:ascii="Arial"/>
        </w:rPr>
        <w:t>as</w:t>
      </w:r>
      <w:r w:rsidRPr="00EB2BD8">
        <w:rPr>
          <w:rFonts w:ascii="Arial"/>
          <w:spacing w:val="-3"/>
        </w:rPr>
        <w:t xml:space="preserve"> </w:t>
      </w:r>
      <w:r w:rsidRPr="00EB2BD8">
        <w:rPr>
          <w:rFonts w:ascii="Arial"/>
        </w:rPr>
        <w:t>distributions</w:t>
      </w:r>
      <w:r w:rsidRPr="00EB2BD8">
        <w:rPr>
          <w:rFonts w:ascii="Arial"/>
          <w:spacing w:val="-3"/>
        </w:rPr>
        <w:t xml:space="preserve"> </w:t>
      </w:r>
      <w:r w:rsidRPr="00EB2BD8">
        <w:rPr>
          <w:rFonts w:ascii="Arial"/>
        </w:rPr>
        <w:t>to</w:t>
      </w:r>
      <w:r w:rsidRPr="00EB2BD8">
        <w:rPr>
          <w:rFonts w:ascii="Arial"/>
          <w:spacing w:val="-4"/>
        </w:rPr>
        <w:t xml:space="preserve"> </w:t>
      </w:r>
      <w:r w:rsidRPr="00EB2BD8">
        <w:rPr>
          <w:rFonts w:ascii="Arial"/>
        </w:rPr>
        <w:t>or</w:t>
      </w:r>
      <w:r w:rsidRPr="00EB2BD8">
        <w:rPr>
          <w:rFonts w:ascii="Arial"/>
          <w:spacing w:val="-3"/>
        </w:rPr>
        <w:t xml:space="preserve"> </w:t>
      </w:r>
      <w:r w:rsidRPr="00EB2BD8">
        <w:rPr>
          <w:rFonts w:ascii="Arial"/>
        </w:rPr>
        <w:t>contributions</w:t>
      </w:r>
      <w:r w:rsidRPr="00EB2BD8">
        <w:rPr>
          <w:rFonts w:ascii="Arial"/>
          <w:spacing w:val="-3"/>
        </w:rPr>
        <w:t xml:space="preserve"> </w:t>
      </w:r>
      <w:r w:rsidRPr="00EB2BD8">
        <w:rPr>
          <w:rFonts w:ascii="Arial"/>
        </w:rPr>
        <w:t>by</w:t>
      </w:r>
      <w:r w:rsidRPr="00EB2BD8">
        <w:rPr>
          <w:rFonts w:ascii="Arial"/>
          <w:spacing w:val="-3"/>
        </w:rPr>
        <w:t xml:space="preserve"> </w:t>
      </w:r>
      <w:r w:rsidRPr="00EB2BD8">
        <w:rPr>
          <w:rFonts w:ascii="Arial"/>
        </w:rPr>
        <w:t>owners. Transfers of net liabilities arising from administrative restructurings are treated as distributions to owners.</w:t>
      </w:r>
    </w:p>
    <w:p w14:paraId="62C936B5" w14:textId="77777777" w:rsidR="00084F36" w:rsidRPr="00EB2BD8" w:rsidRDefault="00084F36">
      <w:pPr>
        <w:pStyle w:val="BodyText"/>
        <w:spacing w:before="7"/>
        <w:rPr>
          <w:rFonts w:ascii="Arial"/>
          <w:sz w:val="20"/>
        </w:rPr>
      </w:pPr>
    </w:p>
    <w:p w14:paraId="5C44BBA2" w14:textId="77777777" w:rsidR="00084F36" w:rsidRPr="00EB2BD8" w:rsidRDefault="00EB2BD8">
      <w:pPr>
        <w:pStyle w:val="BodyText"/>
        <w:ind w:left="1074"/>
        <w:jc w:val="both"/>
        <w:rPr>
          <w:rFonts w:ascii="Arial"/>
        </w:rPr>
      </w:pPr>
      <w:r w:rsidRPr="00EB2BD8">
        <w:rPr>
          <w:rFonts w:ascii="Arial"/>
        </w:rPr>
        <w:t>During</w:t>
      </w:r>
      <w:r w:rsidRPr="00EB2BD8">
        <w:rPr>
          <w:rFonts w:ascii="Arial"/>
          <w:spacing w:val="-7"/>
        </w:rPr>
        <w:t xml:space="preserve"> </w:t>
      </w:r>
      <w:r w:rsidRPr="00EB2BD8">
        <w:rPr>
          <w:rFonts w:ascii="Arial"/>
        </w:rPr>
        <w:t>the</w:t>
      </w:r>
      <w:r w:rsidRPr="00EB2BD8">
        <w:rPr>
          <w:rFonts w:ascii="Arial"/>
          <w:spacing w:val="-5"/>
        </w:rPr>
        <w:t xml:space="preserve"> </w:t>
      </w:r>
      <w:r w:rsidRPr="00EB2BD8">
        <w:rPr>
          <w:rFonts w:ascii="Arial"/>
        </w:rPr>
        <w:t>financial</w:t>
      </w:r>
      <w:r w:rsidRPr="00EB2BD8">
        <w:rPr>
          <w:rFonts w:ascii="Arial"/>
          <w:spacing w:val="-4"/>
        </w:rPr>
        <w:t xml:space="preserve"> </w:t>
      </w:r>
      <w:r w:rsidRPr="00EB2BD8">
        <w:rPr>
          <w:rFonts w:ascii="Arial"/>
        </w:rPr>
        <w:t>year,</w:t>
      </w:r>
      <w:r w:rsidRPr="00EB2BD8">
        <w:rPr>
          <w:rFonts w:ascii="Arial"/>
          <w:spacing w:val="-4"/>
        </w:rPr>
        <w:t xml:space="preserve"> </w:t>
      </w:r>
      <w:r w:rsidRPr="00EB2BD8">
        <w:rPr>
          <w:rFonts w:ascii="Arial"/>
        </w:rPr>
        <w:t>the</w:t>
      </w:r>
      <w:r w:rsidRPr="00EB2BD8">
        <w:rPr>
          <w:rFonts w:ascii="Arial"/>
          <w:spacing w:val="-5"/>
        </w:rPr>
        <w:t xml:space="preserve"> </w:t>
      </w:r>
      <w:r w:rsidRPr="00EB2BD8">
        <w:rPr>
          <w:rFonts w:ascii="Arial"/>
        </w:rPr>
        <w:t>VBA</w:t>
      </w:r>
      <w:r w:rsidRPr="00EB2BD8">
        <w:rPr>
          <w:rFonts w:ascii="Arial"/>
          <w:spacing w:val="-4"/>
        </w:rPr>
        <w:t xml:space="preserve"> </w:t>
      </w:r>
      <w:r w:rsidRPr="00EB2BD8">
        <w:rPr>
          <w:rFonts w:ascii="Arial"/>
        </w:rPr>
        <w:t>received</w:t>
      </w:r>
      <w:r w:rsidRPr="00EB2BD8">
        <w:rPr>
          <w:rFonts w:ascii="Arial"/>
          <w:spacing w:val="-3"/>
        </w:rPr>
        <w:t xml:space="preserve"> </w:t>
      </w:r>
      <w:r w:rsidRPr="00EB2BD8">
        <w:rPr>
          <w:rFonts w:ascii="Arial"/>
        </w:rPr>
        <w:t>funding</w:t>
      </w:r>
      <w:r w:rsidRPr="00EB2BD8">
        <w:rPr>
          <w:rFonts w:ascii="Arial"/>
          <w:spacing w:val="-3"/>
        </w:rPr>
        <w:t xml:space="preserve"> </w:t>
      </w:r>
      <w:r w:rsidRPr="00EB2BD8">
        <w:rPr>
          <w:rFonts w:ascii="Arial"/>
        </w:rPr>
        <w:t>of</w:t>
      </w:r>
      <w:r w:rsidRPr="00EB2BD8">
        <w:rPr>
          <w:rFonts w:ascii="Arial"/>
          <w:spacing w:val="-4"/>
        </w:rPr>
        <w:t xml:space="preserve"> </w:t>
      </w:r>
      <w:r w:rsidRPr="00EB2BD8">
        <w:rPr>
          <w:rFonts w:ascii="Arial"/>
        </w:rPr>
        <w:t>$2.18</w:t>
      </w:r>
      <w:r w:rsidRPr="00EB2BD8">
        <w:rPr>
          <w:rFonts w:ascii="Arial"/>
          <w:spacing w:val="-5"/>
        </w:rPr>
        <w:t xml:space="preserve"> </w:t>
      </w:r>
      <w:r w:rsidRPr="00EB2BD8">
        <w:rPr>
          <w:rFonts w:ascii="Arial"/>
        </w:rPr>
        <w:t>million</w:t>
      </w:r>
      <w:r w:rsidRPr="00EB2BD8">
        <w:rPr>
          <w:rFonts w:ascii="Arial"/>
          <w:spacing w:val="-4"/>
        </w:rPr>
        <w:t xml:space="preserve"> </w:t>
      </w:r>
      <w:r w:rsidRPr="00EB2BD8">
        <w:rPr>
          <w:rFonts w:ascii="Arial"/>
        </w:rPr>
        <w:t>(2022:</w:t>
      </w:r>
      <w:r w:rsidRPr="00EB2BD8">
        <w:rPr>
          <w:rFonts w:ascii="Arial"/>
          <w:spacing w:val="-4"/>
        </w:rPr>
        <w:t xml:space="preserve"> </w:t>
      </w:r>
      <w:r w:rsidRPr="00EB2BD8">
        <w:rPr>
          <w:rFonts w:ascii="Arial"/>
        </w:rPr>
        <w:t>nil)</w:t>
      </w:r>
      <w:r w:rsidRPr="00EB2BD8">
        <w:rPr>
          <w:rFonts w:ascii="Arial"/>
          <w:spacing w:val="-4"/>
        </w:rPr>
        <w:t xml:space="preserve"> </w:t>
      </w:r>
      <w:r w:rsidRPr="00EB2BD8">
        <w:rPr>
          <w:rFonts w:ascii="Arial"/>
        </w:rPr>
        <w:t>from</w:t>
      </w:r>
      <w:r w:rsidRPr="00EB2BD8">
        <w:rPr>
          <w:rFonts w:ascii="Arial"/>
          <w:spacing w:val="-3"/>
        </w:rPr>
        <w:t xml:space="preserve"> </w:t>
      </w:r>
      <w:r w:rsidRPr="00EB2BD8">
        <w:rPr>
          <w:rFonts w:ascii="Arial"/>
        </w:rPr>
        <w:t>DEECA</w:t>
      </w:r>
      <w:r w:rsidRPr="00EB2BD8">
        <w:rPr>
          <w:rFonts w:ascii="Arial"/>
          <w:spacing w:val="-4"/>
        </w:rPr>
        <w:t xml:space="preserve"> </w:t>
      </w:r>
      <w:r w:rsidRPr="00EB2BD8">
        <w:rPr>
          <w:rFonts w:ascii="Arial"/>
        </w:rPr>
        <w:t>as</w:t>
      </w:r>
      <w:r w:rsidRPr="00EB2BD8">
        <w:rPr>
          <w:rFonts w:ascii="Arial"/>
          <w:spacing w:val="-4"/>
        </w:rPr>
        <w:t xml:space="preserve"> </w:t>
      </w:r>
      <w:r w:rsidRPr="00EB2BD8">
        <w:rPr>
          <w:rFonts w:ascii="Arial"/>
        </w:rPr>
        <w:t>contributed</w:t>
      </w:r>
      <w:r w:rsidRPr="00EB2BD8">
        <w:rPr>
          <w:rFonts w:ascii="Arial"/>
          <w:spacing w:val="-4"/>
        </w:rPr>
        <w:t xml:space="preserve"> </w:t>
      </w:r>
      <w:r w:rsidRPr="00EB2BD8">
        <w:rPr>
          <w:rFonts w:ascii="Arial"/>
          <w:spacing w:val="-2"/>
        </w:rPr>
        <w:t>capital.</w:t>
      </w:r>
    </w:p>
    <w:p w14:paraId="53DF15AF" w14:textId="77777777" w:rsidR="00084F36" w:rsidRPr="00EB2BD8" w:rsidRDefault="00084F36">
      <w:pPr>
        <w:pStyle w:val="BodyText"/>
        <w:rPr>
          <w:rFonts w:ascii="Arial"/>
          <w:sz w:val="20"/>
        </w:rPr>
      </w:pPr>
    </w:p>
    <w:p w14:paraId="304FC0A1" w14:textId="77777777" w:rsidR="00084F36" w:rsidRPr="00EB2BD8" w:rsidRDefault="00084F36">
      <w:pPr>
        <w:pStyle w:val="BodyText"/>
        <w:spacing w:before="2"/>
        <w:rPr>
          <w:rFonts w:ascii="Arial"/>
          <w:sz w:val="20"/>
        </w:rPr>
      </w:pPr>
    </w:p>
    <w:p w14:paraId="7E9DA319" w14:textId="7BF44A23" w:rsidR="00084F36" w:rsidRPr="00EB2BD8" w:rsidRDefault="00D0600F" w:rsidP="000546D6">
      <w:pPr>
        <w:pStyle w:val="Heading2"/>
      </w:pPr>
      <w:r>
        <w:t xml:space="preserve"> </w:t>
      </w:r>
      <w:bookmarkStart w:id="376" w:name="_Toc150762678"/>
      <w:r w:rsidR="000546D6">
        <w:t>8.11 G</w:t>
      </w:r>
      <w:r w:rsidR="000546D6" w:rsidRPr="00EB2BD8">
        <w:t>lossary</w:t>
      </w:r>
      <w:r w:rsidR="000546D6" w:rsidRPr="00EB2BD8">
        <w:rPr>
          <w:spacing w:val="-12"/>
        </w:rPr>
        <w:t xml:space="preserve"> </w:t>
      </w:r>
      <w:r w:rsidR="000546D6" w:rsidRPr="00EB2BD8">
        <w:t>of</w:t>
      </w:r>
      <w:r w:rsidR="000546D6" w:rsidRPr="00EB2BD8">
        <w:rPr>
          <w:spacing w:val="-11"/>
        </w:rPr>
        <w:t xml:space="preserve"> </w:t>
      </w:r>
      <w:r w:rsidR="000546D6" w:rsidRPr="00EB2BD8">
        <w:t>technical</w:t>
      </w:r>
      <w:r w:rsidR="000546D6" w:rsidRPr="00EB2BD8">
        <w:rPr>
          <w:spacing w:val="-11"/>
        </w:rPr>
        <w:t xml:space="preserve"> </w:t>
      </w:r>
      <w:r w:rsidR="000546D6" w:rsidRPr="00EB2BD8">
        <w:rPr>
          <w:spacing w:val="-4"/>
        </w:rPr>
        <w:t>terms</w:t>
      </w:r>
      <w:bookmarkEnd w:id="376"/>
    </w:p>
    <w:p w14:paraId="0086E248" w14:textId="643B85BB" w:rsidR="00084F36" w:rsidRPr="00EB2BD8" w:rsidRDefault="00D0600F" w:rsidP="00D0600F">
      <w:pPr>
        <w:pStyle w:val="Heading3"/>
      </w:pPr>
      <w:r>
        <w:t xml:space="preserve">    </w:t>
      </w:r>
      <w:bookmarkStart w:id="377" w:name="_Toc150762679"/>
      <w:r w:rsidR="00EB2BD8" w:rsidRPr="00EB2BD8">
        <w:t>Actuarial</w:t>
      </w:r>
      <w:r w:rsidR="00EB2BD8" w:rsidRPr="00EB2BD8">
        <w:rPr>
          <w:spacing w:val="-8"/>
        </w:rPr>
        <w:t xml:space="preserve"> </w:t>
      </w:r>
      <w:r w:rsidR="00EB2BD8" w:rsidRPr="00EB2BD8">
        <w:t>gains</w:t>
      </w:r>
      <w:r w:rsidR="00EB2BD8" w:rsidRPr="00EB2BD8">
        <w:rPr>
          <w:spacing w:val="-8"/>
        </w:rPr>
        <w:t xml:space="preserve"> </w:t>
      </w:r>
      <w:r w:rsidR="00EB2BD8" w:rsidRPr="00EB2BD8">
        <w:t>or</w:t>
      </w:r>
      <w:r w:rsidR="00EB2BD8" w:rsidRPr="00EB2BD8">
        <w:rPr>
          <w:spacing w:val="-8"/>
        </w:rPr>
        <w:t xml:space="preserve"> </w:t>
      </w:r>
      <w:r w:rsidR="00EB2BD8" w:rsidRPr="00EB2BD8">
        <w:t>losses</w:t>
      </w:r>
      <w:r w:rsidR="00EB2BD8" w:rsidRPr="00EB2BD8">
        <w:rPr>
          <w:spacing w:val="-8"/>
        </w:rPr>
        <w:t xml:space="preserve"> </w:t>
      </w:r>
      <w:r w:rsidR="00EB2BD8" w:rsidRPr="00EB2BD8">
        <w:t>on</w:t>
      </w:r>
      <w:r w:rsidR="00EB2BD8" w:rsidRPr="00EB2BD8">
        <w:rPr>
          <w:spacing w:val="-8"/>
        </w:rPr>
        <w:t xml:space="preserve"> </w:t>
      </w:r>
      <w:r w:rsidR="00EB2BD8" w:rsidRPr="00EB2BD8">
        <w:t>superannuation</w:t>
      </w:r>
      <w:r w:rsidR="00EB2BD8" w:rsidRPr="00EB2BD8">
        <w:rPr>
          <w:spacing w:val="-8"/>
        </w:rPr>
        <w:t xml:space="preserve"> </w:t>
      </w:r>
      <w:r w:rsidR="00EB2BD8" w:rsidRPr="00EB2BD8">
        <w:t>defined</w:t>
      </w:r>
      <w:r w:rsidR="00EB2BD8" w:rsidRPr="00EB2BD8">
        <w:rPr>
          <w:spacing w:val="-7"/>
        </w:rPr>
        <w:t xml:space="preserve"> </w:t>
      </w:r>
      <w:r w:rsidR="00EB2BD8" w:rsidRPr="00EB2BD8">
        <w:t>benefit</w:t>
      </w:r>
      <w:r w:rsidR="00EB2BD8" w:rsidRPr="00EB2BD8">
        <w:rPr>
          <w:spacing w:val="-8"/>
        </w:rPr>
        <w:t xml:space="preserve"> </w:t>
      </w:r>
      <w:r w:rsidR="00EB2BD8" w:rsidRPr="00EB2BD8">
        <w:rPr>
          <w:spacing w:val="-2"/>
        </w:rPr>
        <w:t>plans</w:t>
      </w:r>
      <w:bookmarkEnd w:id="377"/>
    </w:p>
    <w:p w14:paraId="12F96469" w14:textId="5BC119EE" w:rsidR="000546D6" w:rsidRDefault="00EB2BD8" w:rsidP="000546D6">
      <w:pPr>
        <w:ind w:left="1210"/>
        <w:rPr>
          <w:rFonts w:ascii="Arial" w:hAnsi="Arial" w:cs="Arial"/>
          <w:sz w:val="18"/>
          <w:szCs w:val="18"/>
        </w:rPr>
      </w:pPr>
      <w:r w:rsidRPr="000546D6">
        <w:rPr>
          <w:rFonts w:ascii="Arial" w:hAnsi="Arial" w:cs="Arial"/>
          <w:sz w:val="18"/>
          <w:szCs w:val="18"/>
        </w:rPr>
        <w:t>Actuarial</w:t>
      </w:r>
      <w:r w:rsidRPr="000546D6">
        <w:rPr>
          <w:rFonts w:ascii="Arial" w:hAnsi="Arial" w:cs="Arial"/>
          <w:spacing w:val="-4"/>
          <w:sz w:val="18"/>
          <w:szCs w:val="18"/>
        </w:rPr>
        <w:t xml:space="preserve"> </w:t>
      </w:r>
      <w:r w:rsidRPr="000546D6">
        <w:rPr>
          <w:rFonts w:ascii="Arial" w:hAnsi="Arial" w:cs="Arial"/>
          <w:sz w:val="18"/>
          <w:szCs w:val="18"/>
        </w:rPr>
        <w:t>gains</w:t>
      </w:r>
      <w:r w:rsidRPr="000546D6">
        <w:rPr>
          <w:rFonts w:ascii="Arial" w:hAnsi="Arial" w:cs="Arial"/>
          <w:spacing w:val="-2"/>
          <w:sz w:val="18"/>
          <w:szCs w:val="18"/>
        </w:rPr>
        <w:t xml:space="preserve"> </w:t>
      </w:r>
      <w:r w:rsidRPr="000546D6">
        <w:rPr>
          <w:rFonts w:ascii="Arial" w:hAnsi="Arial" w:cs="Arial"/>
          <w:sz w:val="18"/>
          <w:szCs w:val="18"/>
        </w:rPr>
        <w:t>or</w:t>
      </w:r>
      <w:r w:rsidRPr="000546D6">
        <w:rPr>
          <w:rFonts w:ascii="Arial" w:hAnsi="Arial" w:cs="Arial"/>
          <w:spacing w:val="-3"/>
          <w:sz w:val="18"/>
          <w:szCs w:val="18"/>
        </w:rPr>
        <w:t xml:space="preserve"> </w:t>
      </w:r>
      <w:r w:rsidRPr="000546D6">
        <w:rPr>
          <w:rFonts w:ascii="Arial" w:hAnsi="Arial" w:cs="Arial"/>
          <w:sz w:val="18"/>
          <w:szCs w:val="18"/>
        </w:rPr>
        <w:t>losses</w:t>
      </w:r>
      <w:r w:rsidRPr="000546D6">
        <w:rPr>
          <w:rFonts w:ascii="Arial" w:hAnsi="Arial" w:cs="Arial"/>
          <w:spacing w:val="-3"/>
          <w:sz w:val="18"/>
          <w:szCs w:val="18"/>
        </w:rPr>
        <w:t xml:space="preserve"> </w:t>
      </w:r>
      <w:r w:rsidRPr="000546D6">
        <w:rPr>
          <w:rFonts w:ascii="Arial" w:hAnsi="Arial" w:cs="Arial"/>
          <w:sz w:val="18"/>
          <w:szCs w:val="18"/>
        </w:rPr>
        <w:t>on</w:t>
      </w:r>
      <w:r w:rsidRPr="000546D6">
        <w:rPr>
          <w:rFonts w:ascii="Arial" w:hAnsi="Arial" w:cs="Arial"/>
          <w:spacing w:val="-4"/>
          <w:sz w:val="18"/>
          <w:szCs w:val="18"/>
        </w:rPr>
        <w:t xml:space="preserve"> </w:t>
      </w:r>
      <w:r w:rsidRPr="000546D6">
        <w:rPr>
          <w:rFonts w:ascii="Arial" w:hAnsi="Arial" w:cs="Arial"/>
          <w:sz w:val="18"/>
          <w:szCs w:val="18"/>
        </w:rPr>
        <w:t>superannuation</w:t>
      </w:r>
      <w:r w:rsidRPr="000546D6">
        <w:rPr>
          <w:rFonts w:ascii="Arial" w:hAnsi="Arial" w:cs="Arial"/>
          <w:spacing w:val="-3"/>
          <w:sz w:val="18"/>
          <w:szCs w:val="18"/>
        </w:rPr>
        <w:t xml:space="preserve"> </w:t>
      </w:r>
      <w:r w:rsidRPr="000546D6">
        <w:rPr>
          <w:rFonts w:ascii="Arial" w:hAnsi="Arial" w:cs="Arial"/>
          <w:sz w:val="18"/>
          <w:szCs w:val="18"/>
        </w:rPr>
        <w:t>defined</w:t>
      </w:r>
      <w:r w:rsidRPr="000546D6">
        <w:rPr>
          <w:rFonts w:ascii="Arial" w:hAnsi="Arial" w:cs="Arial"/>
          <w:spacing w:val="-4"/>
          <w:sz w:val="18"/>
          <w:szCs w:val="18"/>
        </w:rPr>
        <w:t xml:space="preserve"> </w:t>
      </w:r>
      <w:r w:rsidRPr="000546D6">
        <w:rPr>
          <w:rFonts w:ascii="Arial" w:hAnsi="Arial" w:cs="Arial"/>
          <w:sz w:val="18"/>
          <w:szCs w:val="18"/>
        </w:rPr>
        <w:t>benefit</w:t>
      </w:r>
      <w:r w:rsidRPr="000546D6">
        <w:rPr>
          <w:rFonts w:ascii="Arial" w:hAnsi="Arial" w:cs="Arial"/>
          <w:spacing w:val="-2"/>
          <w:sz w:val="18"/>
          <w:szCs w:val="18"/>
        </w:rPr>
        <w:t xml:space="preserve"> </w:t>
      </w:r>
      <w:r w:rsidRPr="000546D6">
        <w:rPr>
          <w:rFonts w:ascii="Arial" w:hAnsi="Arial" w:cs="Arial"/>
          <w:sz w:val="18"/>
          <w:szCs w:val="18"/>
        </w:rPr>
        <w:t>plans</w:t>
      </w:r>
      <w:r w:rsidRPr="000546D6">
        <w:rPr>
          <w:rFonts w:ascii="Arial" w:hAnsi="Arial" w:cs="Arial"/>
          <w:spacing w:val="-2"/>
          <w:sz w:val="18"/>
          <w:szCs w:val="18"/>
        </w:rPr>
        <w:t xml:space="preserve"> </w:t>
      </w:r>
      <w:r w:rsidRPr="000546D6">
        <w:rPr>
          <w:rFonts w:ascii="Arial" w:hAnsi="Arial" w:cs="Arial"/>
          <w:sz w:val="18"/>
          <w:szCs w:val="18"/>
        </w:rPr>
        <w:t>are</w:t>
      </w:r>
      <w:r w:rsidRPr="000546D6">
        <w:rPr>
          <w:rFonts w:ascii="Arial" w:hAnsi="Arial" w:cs="Arial"/>
          <w:spacing w:val="-4"/>
          <w:sz w:val="18"/>
          <w:szCs w:val="18"/>
        </w:rPr>
        <w:t xml:space="preserve"> </w:t>
      </w:r>
      <w:r w:rsidRPr="000546D6">
        <w:rPr>
          <w:rFonts w:ascii="Arial" w:hAnsi="Arial" w:cs="Arial"/>
          <w:sz w:val="18"/>
          <w:szCs w:val="18"/>
        </w:rPr>
        <w:t>changes</w:t>
      </w:r>
      <w:r w:rsidRPr="000546D6">
        <w:rPr>
          <w:rFonts w:ascii="Arial" w:hAnsi="Arial" w:cs="Arial"/>
          <w:spacing w:val="-3"/>
          <w:sz w:val="18"/>
          <w:szCs w:val="18"/>
        </w:rPr>
        <w:t xml:space="preserve"> </w:t>
      </w:r>
      <w:r w:rsidRPr="000546D6">
        <w:rPr>
          <w:rFonts w:ascii="Arial" w:hAnsi="Arial" w:cs="Arial"/>
          <w:sz w:val="18"/>
          <w:szCs w:val="18"/>
        </w:rPr>
        <w:t>in</w:t>
      </w:r>
      <w:r w:rsidRPr="000546D6">
        <w:rPr>
          <w:rFonts w:ascii="Arial" w:hAnsi="Arial" w:cs="Arial"/>
          <w:spacing w:val="-4"/>
          <w:sz w:val="18"/>
          <w:szCs w:val="18"/>
        </w:rPr>
        <w:t xml:space="preserve"> </w:t>
      </w:r>
      <w:r w:rsidRPr="000546D6">
        <w:rPr>
          <w:rFonts w:ascii="Arial" w:hAnsi="Arial" w:cs="Arial"/>
          <w:sz w:val="18"/>
          <w:szCs w:val="18"/>
        </w:rPr>
        <w:t>the</w:t>
      </w:r>
      <w:r w:rsidRPr="000546D6">
        <w:rPr>
          <w:rFonts w:ascii="Arial" w:hAnsi="Arial" w:cs="Arial"/>
          <w:spacing w:val="-4"/>
          <w:sz w:val="18"/>
          <w:szCs w:val="18"/>
        </w:rPr>
        <w:t xml:space="preserve"> </w:t>
      </w:r>
      <w:r w:rsidRPr="000546D6">
        <w:rPr>
          <w:rFonts w:ascii="Arial" w:hAnsi="Arial" w:cs="Arial"/>
          <w:sz w:val="18"/>
          <w:szCs w:val="18"/>
        </w:rPr>
        <w:t>present</w:t>
      </w:r>
      <w:r w:rsidRPr="000546D6">
        <w:rPr>
          <w:rFonts w:ascii="Arial" w:hAnsi="Arial" w:cs="Arial"/>
          <w:spacing w:val="-3"/>
          <w:sz w:val="18"/>
          <w:szCs w:val="18"/>
        </w:rPr>
        <w:t xml:space="preserve"> </w:t>
      </w:r>
      <w:r w:rsidRPr="000546D6">
        <w:rPr>
          <w:rFonts w:ascii="Arial" w:hAnsi="Arial" w:cs="Arial"/>
          <w:sz w:val="18"/>
          <w:szCs w:val="18"/>
        </w:rPr>
        <w:t>value</w:t>
      </w:r>
      <w:r w:rsidRPr="000546D6">
        <w:rPr>
          <w:rFonts w:ascii="Arial" w:hAnsi="Arial" w:cs="Arial"/>
          <w:spacing w:val="-4"/>
          <w:sz w:val="18"/>
          <w:szCs w:val="18"/>
        </w:rPr>
        <w:t xml:space="preserve"> </w:t>
      </w:r>
      <w:r w:rsidRPr="000546D6">
        <w:rPr>
          <w:rFonts w:ascii="Arial" w:hAnsi="Arial" w:cs="Arial"/>
          <w:sz w:val="18"/>
          <w:szCs w:val="18"/>
        </w:rPr>
        <w:t>of</w:t>
      </w:r>
      <w:r w:rsidRPr="000546D6">
        <w:rPr>
          <w:rFonts w:ascii="Arial" w:hAnsi="Arial" w:cs="Arial"/>
          <w:spacing w:val="-3"/>
          <w:sz w:val="18"/>
          <w:szCs w:val="18"/>
        </w:rPr>
        <w:t xml:space="preserve"> </w:t>
      </w:r>
      <w:r w:rsidRPr="000546D6">
        <w:rPr>
          <w:rFonts w:ascii="Arial" w:hAnsi="Arial" w:cs="Arial"/>
          <w:sz w:val="18"/>
          <w:szCs w:val="18"/>
        </w:rPr>
        <w:t>the</w:t>
      </w:r>
      <w:r w:rsidRPr="000546D6">
        <w:rPr>
          <w:rFonts w:ascii="Arial" w:hAnsi="Arial" w:cs="Arial"/>
          <w:spacing w:val="-4"/>
          <w:sz w:val="18"/>
          <w:szCs w:val="18"/>
        </w:rPr>
        <w:t xml:space="preserve"> </w:t>
      </w:r>
      <w:r w:rsidRPr="000546D6">
        <w:rPr>
          <w:rFonts w:ascii="Arial" w:hAnsi="Arial" w:cs="Arial"/>
          <w:sz w:val="18"/>
          <w:szCs w:val="18"/>
        </w:rPr>
        <w:t xml:space="preserve">superannuation </w:t>
      </w:r>
      <w:r w:rsidR="000546D6">
        <w:rPr>
          <w:rFonts w:ascii="Arial" w:hAnsi="Arial" w:cs="Arial"/>
          <w:sz w:val="18"/>
          <w:szCs w:val="18"/>
        </w:rPr>
        <w:br/>
      </w:r>
      <w:r w:rsidRPr="000546D6">
        <w:rPr>
          <w:rFonts w:ascii="Arial" w:hAnsi="Arial" w:cs="Arial"/>
          <w:sz w:val="18"/>
          <w:szCs w:val="18"/>
        </w:rPr>
        <w:t>defined benefit liability resulting from:</w:t>
      </w:r>
    </w:p>
    <w:p w14:paraId="46D9823F" w14:textId="03984DD7" w:rsidR="000546D6" w:rsidRPr="000546D6" w:rsidRDefault="000546D6">
      <w:pPr>
        <w:pStyle w:val="ListParagraph"/>
        <w:numPr>
          <w:ilvl w:val="0"/>
          <w:numId w:val="79"/>
        </w:numPr>
        <w:rPr>
          <w:rFonts w:ascii="Arial" w:eastAsia="Times New Roman" w:hAnsi="Arial" w:cs="Arial"/>
          <w:sz w:val="18"/>
          <w:szCs w:val="18"/>
          <w:lang w:val="en-AU" w:eastAsia="en-GB"/>
        </w:rPr>
      </w:pPr>
      <w:r w:rsidRPr="000546D6">
        <w:rPr>
          <w:rFonts w:ascii="Arial" w:eastAsia="Times New Roman" w:hAnsi="Arial" w:cs="Arial"/>
          <w:sz w:val="18"/>
          <w:szCs w:val="18"/>
          <w:lang w:val="en-AU" w:eastAsia="en-GB"/>
        </w:rPr>
        <w:t xml:space="preserve">experience adjustments (the effects of differences between the previous actuarial assumptions and what has </w:t>
      </w:r>
      <w:r>
        <w:rPr>
          <w:rFonts w:ascii="Arial" w:eastAsia="Times New Roman" w:hAnsi="Arial" w:cs="Arial"/>
          <w:sz w:val="18"/>
          <w:szCs w:val="18"/>
          <w:lang w:val="en-AU" w:eastAsia="en-GB"/>
        </w:rPr>
        <w:br/>
      </w:r>
      <w:r w:rsidRPr="000546D6">
        <w:rPr>
          <w:rFonts w:ascii="Arial" w:eastAsia="Times New Roman" w:hAnsi="Arial" w:cs="Arial"/>
          <w:sz w:val="18"/>
          <w:szCs w:val="18"/>
          <w:lang w:val="en-AU" w:eastAsia="en-GB"/>
        </w:rPr>
        <w:t xml:space="preserve">actually occurred) </w:t>
      </w:r>
    </w:p>
    <w:p w14:paraId="6C9A699F" w14:textId="0BB74E31" w:rsidR="000546D6" w:rsidRPr="000546D6" w:rsidRDefault="000546D6">
      <w:pPr>
        <w:pStyle w:val="ListParagraph"/>
        <w:numPr>
          <w:ilvl w:val="0"/>
          <w:numId w:val="79"/>
        </w:numPr>
        <w:rPr>
          <w:rFonts w:ascii="Arial" w:eastAsia="Times New Roman" w:hAnsi="Arial" w:cs="Arial"/>
          <w:sz w:val="18"/>
          <w:szCs w:val="18"/>
          <w:lang w:val="en-AU" w:eastAsia="en-GB"/>
        </w:rPr>
      </w:pPr>
      <w:r w:rsidRPr="000546D6">
        <w:rPr>
          <w:rFonts w:ascii="Arial" w:eastAsia="Times New Roman" w:hAnsi="Arial" w:cs="Arial"/>
          <w:sz w:val="18"/>
          <w:szCs w:val="18"/>
          <w:lang w:val="en-AU" w:eastAsia="en-GB"/>
        </w:rPr>
        <w:t>the effects of changes in actuarial assumptions.</w:t>
      </w:r>
    </w:p>
    <w:p w14:paraId="4B3713D7" w14:textId="77777777" w:rsidR="00084F36" w:rsidRPr="00EB2BD8" w:rsidRDefault="00EB2BD8" w:rsidP="000546D6">
      <w:pPr>
        <w:pStyle w:val="Heading3"/>
        <w:ind w:firstLine="224"/>
      </w:pPr>
      <w:bookmarkStart w:id="378" w:name="_Toc150762680"/>
      <w:r w:rsidRPr="00EB2BD8">
        <w:t>Amortisation</w:t>
      </w:r>
      <w:bookmarkEnd w:id="378"/>
    </w:p>
    <w:p w14:paraId="1B00EB29" w14:textId="77777777" w:rsidR="00084F36" w:rsidRPr="00EB2BD8" w:rsidRDefault="00EB2BD8">
      <w:pPr>
        <w:pStyle w:val="BodyText"/>
        <w:spacing w:before="158" w:line="276" w:lineRule="auto"/>
        <w:ind w:left="1074" w:right="1116"/>
        <w:jc w:val="both"/>
        <w:rPr>
          <w:rFonts w:ascii="Arial" w:hAnsi="Arial"/>
        </w:rPr>
      </w:pPr>
      <w:r w:rsidRPr="00EB2BD8">
        <w:rPr>
          <w:rFonts w:ascii="Arial" w:hAnsi="Arial"/>
        </w:rPr>
        <w:t>Amortisation</w:t>
      </w:r>
      <w:r w:rsidRPr="00EB2BD8">
        <w:rPr>
          <w:rFonts w:ascii="Arial" w:hAnsi="Arial"/>
          <w:spacing w:val="-3"/>
        </w:rPr>
        <w:t xml:space="preserve"> </w:t>
      </w:r>
      <w:r w:rsidRPr="00EB2BD8">
        <w:rPr>
          <w:rFonts w:ascii="Arial" w:hAnsi="Arial"/>
        </w:rPr>
        <w:t>is</w:t>
      </w:r>
      <w:r w:rsidRPr="00EB2BD8">
        <w:rPr>
          <w:rFonts w:ascii="Arial" w:hAnsi="Arial"/>
          <w:spacing w:val="-1"/>
        </w:rPr>
        <w:t xml:space="preserve"> </w:t>
      </w:r>
      <w:r w:rsidRPr="00EB2BD8">
        <w:rPr>
          <w:rFonts w:ascii="Arial" w:hAnsi="Arial"/>
        </w:rPr>
        <w:t>the</w:t>
      </w:r>
      <w:r w:rsidRPr="00EB2BD8">
        <w:rPr>
          <w:rFonts w:ascii="Arial" w:hAnsi="Arial"/>
          <w:spacing w:val="-3"/>
        </w:rPr>
        <w:t xml:space="preserve"> </w:t>
      </w:r>
      <w:r w:rsidRPr="00EB2BD8">
        <w:rPr>
          <w:rFonts w:ascii="Arial" w:hAnsi="Arial"/>
        </w:rPr>
        <w:t>expense</w:t>
      </w:r>
      <w:r w:rsidRPr="00EB2BD8">
        <w:rPr>
          <w:rFonts w:ascii="Arial" w:hAnsi="Arial"/>
          <w:spacing w:val="-3"/>
        </w:rPr>
        <w:t xml:space="preserve"> </w:t>
      </w:r>
      <w:r w:rsidRPr="00EB2BD8">
        <w:rPr>
          <w:rFonts w:ascii="Arial" w:hAnsi="Arial"/>
        </w:rPr>
        <w:t>which</w:t>
      </w:r>
      <w:r w:rsidRPr="00EB2BD8">
        <w:rPr>
          <w:rFonts w:ascii="Arial" w:hAnsi="Arial"/>
          <w:spacing w:val="-3"/>
        </w:rPr>
        <w:t xml:space="preserve"> </w:t>
      </w:r>
      <w:r w:rsidRPr="00EB2BD8">
        <w:rPr>
          <w:rFonts w:ascii="Arial" w:hAnsi="Arial"/>
        </w:rPr>
        <w:t>results</w:t>
      </w:r>
      <w:r w:rsidRPr="00EB2BD8">
        <w:rPr>
          <w:rFonts w:ascii="Arial" w:hAnsi="Arial"/>
          <w:spacing w:val="-2"/>
        </w:rPr>
        <w:t xml:space="preserve"> </w:t>
      </w:r>
      <w:r w:rsidRPr="00EB2BD8">
        <w:rPr>
          <w:rFonts w:ascii="Arial" w:hAnsi="Arial"/>
        </w:rPr>
        <w:t>from</w:t>
      </w:r>
      <w:r w:rsidRPr="00EB2BD8">
        <w:rPr>
          <w:rFonts w:ascii="Arial" w:hAnsi="Arial"/>
          <w:spacing w:val="-2"/>
        </w:rPr>
        <w:t xml:space="preserve"> </w:t>
      </w:r>
      <w:r w:rsidRPr="00EB2BD8">
        <w:rPr>
          <w:rFonts w:ascii="Arial" w:hAnsi="Arial"/>
        </w:rPr>
        <w:t>the</w:t>
      </w:r>
      <w:r w:rsidRPr="00EB2BD8">
        <w:rPr>
          <w:rFonts w:ascii="Arial" w:hAnsi="Arial"/>
          <w:spacing w:val="-3"/>
        </w:rPr>
        <w:t xml:space="preserve"> </w:t>
      </w:r>
      <w:r w:rsidRPr="00EB2BD8">
        <w:rPr>
          <w:rFonts w:ascii="Arial" w:hAnsi="Arial"/>
        </w:rPr>
        <w:t>consumption,</w:t>
      </w:r>
      <w:r w:rsidRPr="00EB2BD8">
        <w:rPr>
          <w:rFonts w:ascii="Arial" w:hAnsi="Arial"/>
          <w:spacing w:val="-2"/>
        </w:rPr>
        <w:t xml:space="preserve"> </w:t>
      </w:r>
      <w:r w:rsidRPr="00EB2BD8">
        <w:rPr>
          <w:rFonts w:ascii="Arial" w:hAnsi="Arial"/>
        </w:rPr>
        <w:t>extraction</w:t>
      </w:r>
      <w:r w:rsidRPr="00EB2BD8">
        <w:rPr>
          <w:rFonts w:ascii="Arial" w:hAnsi="Arial"/>
          <w:spacing w:val="-3"/>
        </w:rPr>
        <w:t xml:space="preserve"> </w:t>
      </w:r>
      <w:r w:rsidRPr="00EB2BD8">
        <w:rPr>
          <w:rFonts w:ascii="Arial" w:hAnsi="Arial"/>
        </w:rPr>
        <w:t>or</w:t>
      </w:r>
      <w:r w:rsidRPr="00EB2BD8">
        <w:rPr>
          <w:rFonts w:ascii="Arial" w:hAnsi="Arial"/>
          <w:spacing w:val="-2"/>
        </w:rPr>
        <w:t xml:space="preserve"> </w:t>
      </w:r>
      <w:r w:rsidRPr="00EB2BD8">
        <w:rPr>
          <w:rFonts w:ascii="Arial" w:hAnsi="Arial"/>
        </w:rPr>
        <w:t>use</w:t>
      </w:r>
      <w:r w:rsidRPr="00EB2BD8">
        <w:rPr>
          <w:rFonts w:ascii="Arial" w:hAnsi="Arial"/>
          <w:spacing w:val="-3"/>
        </w:rPr>
        <w:t xml:space="preserve"> </w:t>
      </w:r>
      <w:r w:rsidRPr="00EB2BD8">
        <w:rPr>
          <w:rFonts w:ascii="Arial" w:hAnsi="Arial"/>
        </w:rPr>
        <w:t>over</w:t>
      </w:r>
      <w:r w:rsidRPr="00EB2BD8">
        <w:rPr>
          <w:rFonts w:ascii="Arial" w:hAnsi="Arial"/>
          <w:spacing w:val="-2"/>
        </w:rPr>
        <w:t xml:space="preserve"> </w:t>
      </w:r>
      <w:r w:rsidRPr="00EB2BD8">
        <w:rPr>
          <w:rFonts w:ascii="Arial" w:hAnsi="Arial"/>
        </w:rPr>
        <w:t>time</w:t>
      </w:r>
      <w:r w:rsidRPr="00EB2BD8">
        <w:rPr>
          <w:rFonts w:ascii="Arial" w:hAnsi="Arial"/>
          <w:spacing w:val="-3"/>
        </w:rPr>
        <w:t xml:space="preserve"> </w:t>
      </w:r>
      <w:r w:rsidRPr="00EB2BD8">
        <w:rPr>
          <w:rFonts w:ascii="Arial" w:hAnsi="Arial"/>
        </w:rPr>
        <w:t>of</w:t>
      </w:r>
      <w:r w:rsidRPr="00EB2BD8">
        <w:rPr>
          <w:rFonts w:ascii="Arial" w:hAnsi="Arial"/>
          <w:spacing w:val="-2"/>
        </w:rPr>
        <w:t xml:space="preserve"> </w:t>
      </w:r>
      <w:r w:rsidRPr="00EB2BD8">
        <w:rPr>
          <w:rFonts w:ascii="Arial" w:hAnsi="Arial"/>
        </w:rPr>
        <w:t>a</w:t>
      </w:r>
      <w:r w:rsidRPr="00EB2BD8">
        <w:rPr>
          <w:rFonts w:ascii="Arial" w:hAnsi="Arial"/>
          <w:spacing w:val="-3"/>
        </w:rPr>
        <w:t xml:space="preserve"> </w:t>
      </w:r>
      <w:r w:rsidRPr="00EB2BD8">
        <w:rPr>
          <w:rFonts w:ascii="Arial" w:hAnsi="Arial"/>
        </w:rPr>
        <w:t>non-produced</w:t>
      </w:r>
      <w:r w:rsidRPr="00EB2BD8">
        <w:rPr>
          <w:rFonts w:ascii="Arial" w:hAnsi="Arial"/>
          <w:spacing w:val="-3"/>
        </w:rPr>
        <w:t xml:space="preserve"> </w:t>
      </w:r>
      <w:r w:rsidRPr="00EB2BD8">
        <w:rPr>
          <w:rFonts w:ascii="Arial" w:hAnsi="Arial"/>
        </w:rPr>
        <w:t>physical</w:t>
      </w:r>
      <w:r w:rsidRPr="00EB2BD8">
        <w:rPr>
          <w:rFonts w:ascii="Arial" w:hAnsi="Arial"/>
          <w:spacing w:val="-3"/>
        </w:rPr>
        <w:t xml:space="preserve"> </w:t>
      </w:r>
      <w:r w:rsidRPr="00EB2BD8">
        <w:rPr>
          <w:rFonts w:ascii="Arial" w:hAnsi="Arial"/>
        </w:rPr>
        <w:t>or intangible asset. This expense is classified as an ‘other economic flow’.</w:t>
      </w:r>
    </w:p>
    <w:p w14:paraId="755490FF" w14:textId="77777777" w:rsidR="00084F36" w:rsidRPr="00EB2BD8" w:rsidRDefault="00EB2BD8" w:rsidP="000546D6">
      <w:pPr>
        <w:pStyle w:val="Heading3"/>
        <w:ind w:left="354" w:firstLine="720"/>
      </w:pPr>
      <w:bookmarkStart w:id="379" w:name="_Toc150762681"/>
      <w:r w:rsidRPr="00EB2BD8">
        <w:t>Interest-bearing</w:t>
      </w:r>
      <w:r w:rsidRPr="00EB2BD8">
        <w:rPr>
          <w:spacing w:val="13"/>
        </w:rPr>
        <w:t xml:space="preserve"> </w:t>
      </w:r>
      <w:r w:rsidRPr="00EB2BD8">
        <w:t>liabilities</w:t>
      </w:r>
      <w:bookmarkEnd w:id="379"/>
    </w:p>
    <w:p w14:paraId="13EE1E60" w14:textId="5CA22B2B" w:rsidR="00084F36" w:rsidRPr="000546D6" w:rsidRDefault="00EB2BD8" w:rsidP="000546D6">
      <w:pPr>
        <w:pStyle w:val="BodyText"/>
        <w:spacing w:before="159" w:line="276" w:lineRule="auto"/>
        <w:ind w:left="1074" w:right="1155"/>
        <w:rPr>
          <w:rFonts w:ascii="Arial"/>
        </w:rPr>
      </w:pPr>
      <w:r w:rsidRPr="00EB2BD8">
        <w:rPr>
          <w:rFonts w:ascii="Arial"/>
        </w:rPr>
        <w:t>Interest-bearing</w:t>
      </w:r>
      <w:r w:rsidRPr="00EB2BD8">
        <w:rPr>
          <w:rFonts w:ascii="Arial"/>
          <w:spacing w:val="-5"/>
        </w:rPr>
        <w:t xml:space="preserve"> </w:t>
      </w:r>
      <w:r w:rsidRPr="00EB2BD8">
        <w:rPr>
          <w:rFonts w:ascii="Arial"/>
        </w:rPr>
        <w:t>liabilities</w:t>
      </w:r>
      <w:r w:rsidRPr="00EB2BD8">
        <w:rPr>
          <w:rFonts w:ascii="Arial"/>
          <w:spacing w:val="-4"/>
        </w:rPr>
        <w:t xml:space="preserve"> </w:t>
      </w:r>
      <w:r w:rsidRPr="00EB2BD8">
        <w:rPr>
          <w:rFonts w:ascii="Arial"/>
        </w:rPr>
        <w:t>may</w:t>
      </w:r>
      <w:r w:rsidRPr="00EB2BD8">
        <w:rPr>
          <w:rFonts w:ascii="Arial"/>
          <w:spacing w:val="-3"/>
        </w:rPr>
        <w:t xml:space="preserve"> </w:t>
      </w:r>
      <w:r w:rsidRPr="00EB2BD8">
        <w:rPr>
          <w:rFonts w:ascii="Arial"/>
        </w:rPr>
        <w:t>consist</w:t>
      </w:r>
      <w:r w:rsidRPr="00EB2BD8">
        <w:rPr>
          <w:rFonts w:ascii="Arial"/>
          <w:spacing w:val="-4"/>
        </w:rPr>
        <w:t xml:space="preserve"> </w:t>
      </w:r>
      <w:r w:rsidRPr="00EB2BD8">
        <w:rPr>
          <w:rFonts w:ascii="Arial"/>
        </w:rPr>
        <w:t>of</w:t>
      </w:r>
      <w:r w:rsidRPr="00EB2BD8">
        <w:rPr>
          <w:rFonts w:ascii="Arial"/>
          <w:spacing w:val="-4"/>
        </w:rPr>
        <w:t xml:space="preserve"> </w:t>
      </w:r>
      <w:r w:rsidRPr="00EB2BD8">
        <w:rPr>
          <w:rFonts w:ascii="Arial"/>
        </w:rPr>
        <w:t>public</w:t>
      </w:r>
      <w:r w:rsidRPr="00EB2BD8">
        <w:rPr>
          <w:rFonts w:ascii="Arial"/>
          <w:spacing w:val="-4"/>
        </w:rPr>
        <w:t xml:space="preserve"> </w:t>
      </w:r>
      <w:r w:rsidRPr="00EB2BD8">
        <w:rPr>
          <w:rFonts w:ascii="Arial"/>
        </w:rPr>
        <w:t>borrowings</w:t>
      </w:r>
      <w:r w:rsidRPr="00EB2BD8">
        <w:rPr>
          <w:rFonts w:ascii="Arial"/>
          <w:spacing w:val="-4"/>
        </w:rPr>
        <w:t xml:space="preserve"> </w:t>
      </w:r>
      <w:r w:rsidRPr="00EB2BD8">
        <w:rPr>
          <w:rFonts w:ascii="Arial"/>
        </w:rPr>
        <w:t>raised</w:t>
      </w:r>
      <w:r w:rsidRPr="00EB2BD8">
        <w:rPr>
          <w:rFonts w:ascii="Arial"/>
          <w:spacing w:val="-5"/>
        </w:rPr>
        <w:t xml:space="preserve"> </w:t>
      </w:r>
      <w:r w:rsidRPr="00EB2BD8">
        <w:rPr>
          <w:rFonts w:ascii="Arial"/>
        </w:rPr>
        <w:t>through</w:t>
      </w:r>
      <w:r w:rsidRPr="00EB2BD8">
        <w:rPr>
          <w:rFonts w:ascii="Arial"/>
          <w:spacing w:val="-4"/>
        </w:rPr>
        <w:t xml:space="preserve"> </w:t>
      </w:r>
      <w:r w:rsidRPr="00EB2BD8">
        <w:rPr>
          <w:rFonts w:ascii="Arial"/>
        </w:rPr>
        <w:t>Treasury</w:t>
      </w:r>
      <w:r w:rsidRPr="00EB2BD8">
        <w:rPr>
          <w:rFonts w:ascii="Arial"/>
          <w:spacing w:val="-4"/>
        </w:rPr>
        <w:t xml:space="preserve"> </w:t>
      </w:r>
      <w:r w:rsidRPr="00EB2BD8">
        <w:rPr>
          <w:rFonts w:ascii="Arial"/>
        </w:rPr>
        <w:t>Corporation</w:t>
      </w:r>
      <w:r w:rsidRPr="00EB2BD8">
        <w:rPr>
          <w:rFonts w:ascii="Arial"/>
          <w:spacing w:val="-5"/>
        </w:rPr>
        <w:t xml:space="preserve"> </w:t>
      </w:r>
      <w:r w:rsidRPr="00EB2BD8">
        <w:rPr>
          <w:rFonts w:ascii="Arial"/>
        </w:rPr>
        <w:t>Victoria,</w:t>
      </w:r>
      <w:r w:rsidRPr="00EB2BD8">
        <w:rPr>
          <w:rFonts w:ascii="Arial"/>
          <w:spacing w:val="-4"/>
        </w:rPr>
        <w:t xml:space="preserve"> </w:t>
      </w:r>
      <w:r w:rsidRPr="00EB2BD8">
        <w:rPr>
          <w:rFonts w:ascii="Arial"/>
        </w:rPr>
        <w:t>lease</w:t>
      </w:r>
      <w:r w:rsidRPr="00EB2BD8">
        <w:rPr>
          <w:rFonts w:ascii="Arial"/>
          <w:spacing w:val="-5"/>
        </w:rPr>
        <w:t xml:space="preserve"> </w:t>
      </w:r>
      <w:r w:rsidRPr="00EB2BD8">
        <w:rPr>
          <w:rFonts w:ascii="Arial"/>
        </w:rPr>
        <w:t>liabilities and other interest-bearing arrangements</w:t>
      </w:r>
    </w:p>
    <w:p w14:paraId="31100E43" w14:textId="77777777" w:rsidR="00084F36" w:rsidRPr="00EB2BD8" w:rsidRDefault="00EB2BD8" w:rsidP="000546D6">
      <w:pPr>
        <w:pStyle w:val="Heading3"/>
        <w:ind w:firstLine="224"/>
      </w:pPr>
      <w:bookmarkStart w:id="380" w:name="_Toc150762682"/>
      <w:r w:rsidRPr="00EB2BD8">
        <w:t>Commitments</w:t>
      </w:r>
      <w:bookmarkEnd w:id="380"/>
    </w:p>
    <w:p w14:paraId="4FFFDB75" w14:textId="77777777" w:rsidR="00084F36" w:rsidRPr="00EB2BD8" w:rsidRDefault="00EB2BD8">
      <w:pPr>
        <w:pStyle w:val="BodyText"/>
        <w:spacing w:before="159" w:line="276" w:lineRule="auto"/>
        <w:ind w:left="1074" w:right="1155"/>
        <w:rPr>
          <w:rFonts w:ascii="Arial"/>
        </w:rPr>
      </w:pPr>
      <w:r w:rsidRPr="00EB2BD8">
        <w:rPr>
          <w:rFonts w:ascii="Arial"/>
        </w:rPr>
        <w:t>Commitments</w:t>
      </w:r>
      <w:r w:rsidRPr="00EB2BD8">
        <w:rPr>
          <w:rFonts w:ascii="Arial"/>
          <w:spacing w:val="-3"/>
        </w:rPr>
        <w:t xml:space="preserve"> </w:t>
      </w:r>
      <w:r w:rsidRPr="00EB2BD8">
        <w:rPr>
          <w:rFonts w:ascii="Arial"/>
        </w:rPr>
        <w:t>include</w:t>
      </w:r>
      <w:r w:rsidRPr="00EB2BD8">
        <w:rPr>
          <w:rFonts w:ascii="Arial"/>
          <w:spacing w:val="-4"/>
        </w:rPr>
        <w:t xml:space="preserve"> </w:t>
      </w:r>
      <w:r w:rsidRPr="00EB2BD8">
        <w:rPr>
          <w:rFonts w:ascii="Arial"/>
        </w:rPr>
        <w:t>those</w:t>
      </w:r>
      <w:r w:rsidRPr="00EB2BD8">
        <w:rPr>
          <w:rFonts w:ascii="Arial"/>
          <w:spacing w:val="-4"/>
        </w:rPr>
        <w:t xml:space="preserve"> </w:t>
      </w:r>
      <w:r w:rsidRPr="00EB2BD8">
        <w:rPr>
          <w:rFonts w:ascii="Arial"/>
        </w:rPr>
        <w:t>operating,</w:t>
      </w:r>
      <w:r w:rsidRPr="00EB2BD8">
        <w:rPr>
          <w:rFonts w:ascii="Arial"/>
          <w:spacing w:val="-3"/>
        </w:rPr>
        <w:t xml:space="preserve"> </w:t>
      </w:r>
      <w:r w:rsidRPr="00EB2BD8">
        <w:rPr>
          <w:rFonts w:ascii="Arial"/>
        </w:rPr>
        <w:t>capital</w:t>
      </w:r>
      <w:r w:rsidRPr="00EB2BD8">
        <w:rPr>
          <w:rFonts w:ascii="Arial"/>
          <w:spacing w:val="-4"/>
        </w:rPr>
        <w:t xml:space="preserve"> </w:t>
      </w:r>
      <w:r w:rsidRPr="00EB2BD8">
        <w:rPr>
          <w:rFonts w:ascii="Arial"/>
        </w:rPr>
        <w:t>and</w:t>
      </w:r>
      <w:r w:rsidRPr="00EB2BD8">
        <w:rPr>
          <w:rFonts w:ascii="Arial"/>
          <w:spacing w:val="-4"/>
        </w:rPr>
        <w:t xml:space="preserve"> </w:t>
      </w:r>
      <w:r w:rsidRPr="00EB2BD8">
        <w:rPr>
          <w:rFonts w:ascii="Arial"/>
        </w:rPr>
        <w:t>other</w:t>
      </w:r>
      <w:r w:rsidRPr="00EB2BD8">
        <w:rPr>
          <w:rFonts w:ascii="Arial"/>
          <w:spacing w:val="-3"/>
        </w:rPr>
        <w:t xml:space="preserve"> </w:t>
      </w:r>
      <w:r w:rsidRPr="00EB2BD8">
        <w:rPr>
          <w:rFonts w:ascii="Arial"/>
        </w:rPr>
        <w:t>outsourcing</w:t>
      </w:r>
      <w:r w:rsidRPr="00EB2BD8">
        <w:rPr>
          <w:rFonts w:ascii="Arial"/>
          <w:spacing w:val="-4"/>
        </w:rPr>
        <w:t xml:space="preserve"> </w:t>
      </w:r>
      <w:r w:rsidRPr="00EB2BD8">
        <w:rPr>
          <w:rFonts w:ascii="Arial"/>
        </w:rPr>
        <w:t>commitments</w:t>
      </w:r>
      <w:r w:rsidRPr="00EB2BD8">
        <w:rPr>
          <w:rFonts w:ascii="Arial"/>
          <w:spacing w:val="-3"/>
        </w:rPr>
        <w:t xml:space="preserve"> </w:t>
      </w:r>
      <w:r w:rsidRPr="00EB2BD8">
        <w:rPr>
          <w:rFonts w:ascii="Arial"/>
        </w:rPr>
        <w:t>arising</w:t>
      </w:r>
      <w:r w:rsidRPr="00EB2BD8">
        <w:rPr>
          <w:rFonts w:ascii="Arial"/>
          <w:spacing w:val="-4"/>
        </w:rPr>
        <w:t xml:space="preserve"> </w:t>
      </w:r>
      <w:r w:rsidRPr="00EB2BD8">
        <w:rPr>
          <w:rFonts w:ascii="Arial"/>
        </w:rPr>
        <w:t>from</w:t>
      </w:r>
      <w:r w:rsidRPr="00EB2BD8">
        <w:rPr>
          <w:rFonts w:ascii="Arial"/>
          <w:spacing w:val="-3"/>
        </w:rPr>
        <w:t xml:space="preserve"> </w:t>
      </w:r>
      <w:r w:rsidRPr="00EB2BD8">
        <w:rPr>
          <w:rFonts w:ascii="Arial"/>
        </w:rPr>
        <w:t>non-</w:t>
      </w:r>
      <w:r w:rsidRPr="00EB2BD8">
        <w:rPr>
          <w:rFonts w:ascii="Arial"/>
          <w:spacing w:val="-3"/>
        </w:rPr>
        <w:t xml:space="preserve"> </w:t>
      </w:r>
      <w:r w:rsidRPr="00EB2BD8">
        <w:rPr>
          <w:rFonts w:ascii="Arial"/>
        </w:rPr>
        <w:t>cancellable contractual or statutory sources.</w:t>
      </w:r>
    </w:p>
    <w:p w14:paraId="2592FD69" w14:textId="77777777" w:rsidR="00084F36" w:rsidRPr="00EB2BD8" w:rsidRDefault="00084F36">
      <w:pPr>
        <w:pStyle w:val="BodyText"/>
        <w:spacing w:before="1"/>
        <w:rPr>
          <w:rFonts w:ascii="Arial"/>
          <w:sz w:val="16"/>
        </w:rPr>
      </w:pPr>
    </w:p>
    <w:p w14:paraId="131059D2" w14:textId="77777777" w:rsidR="00084F36" w:rsidRPr="00EB2BD8" w:rsidRDefault="00EB2BD8" w:rsidP="000546D6">
      <w:pPr>
        <w:pStyle w:val="Heading3"/>
        <w:ind w:firstLine="224"/>
      </w:pPr>
      <w:bookmarkStart w:id="381" w:name="_Toc150762683"/>
      <w:r w:rsidRPr="00EB2BD8">
        <w:t>Comprehensive</w:t>
      </w:r>
      <w:r w:rsidRPr="00EB2BD8">
        <w:rPr>
          <w:spacing w:val="8"/>
        </w:rPr>
        <w:t xml:space="preserve"> </w:t>
      </w:r>
      <w:r w:rsidRPr="00EB2BD8">
        <w:t>result</w:t>
      </w:r>
      <w:bookmarkEnd w:id="381"/>
    </w:p>
    <w:p w14:paraId="75529B5D" w14:textId="77777777" w:rsidR="00084F36" w:rsidRPr="00EB2BD8" w:rsidRDefault="00EB2BD8">
      <w:pPr>
        <w:pStyle w:val="BodyText"/>
        <w:spacing w:before="157" w:line="276" w:lineRule="auto"/>
        <w:ind w:left="1074" w:right="1155"/>
        <w:rPr>
          <w:rFonts w:ascii="Arial"/>
        </w:rPr>
      </w:pPr>
      <w:r w:rsidRPr="00EB2BD8">
        <w:rPr>
          <w:rFonts w:ascii="Arial"/>
        </w:rPr>
        <w:t>Comprehensive</w:t>
      </w:r>
      <w:r w:rsidRPr="00EB2BD8">
        <w:rPr>
          <w:rFonts w:ascii="Arial"/>
          <w:spacing w:val="-4"/>
        </w:rPr>
        <w:t xml:space="preserve"> </w:t>
      </w:r>
      <w:r w:rsidRPr="00EB2BD8">
        <w:rPr>
          <w:rFonts w:ascii="Arial"/>
        </w:rPr>
        <w:t>result</w:t>
      </w:r>
      <w:r w:rsidRPr="00EB2BD8">
        <w:rPr>
          <w:rFonts w:ascii="Arial"/>
          <w:spacing w:val="-3"/>
        </w:rPr>
        <w:t xml:space="preserve"> </w:t>
      </w:r>
      <w:r w:rsidRPr="00EB2BD8">
        <w:rPr>
          <w:rFonts w:ascii="Arial"/>
        </w:rPr>
        <w:t>is</w:t>
      </w:r>
      <w:r w:rsidRPr="00EB2BD8">
        <w:rPr>
          <w:rFonts w:ascii="Arial"/>
          <w:spacing w:val="-3"/>
        </w:rPr>
        <w:t xml:space="preserve"> </w:t>
      </w:r>
      <w:r w:rsidRPr="00EB2BD8">
        <w:rPr>
          <w:rFonts w:ascii="Arial"/>
        </w:rPr>
        <w:t>the</w:t>
      </w:r>
      <w:r w:rsidRPr="00EB2BD8">
        <w:rPr>
          <w:rFonts w:ascii="Arial"/>
          <w:spacing w:val="-4"/>
        </w:rPr>
        <w:t xml:space="preserve"> </w:t>
      </w:r>
      <w:r w:rsidRPr="00EB2BD8">
        <w:rPr>
          <w:rFonts w:ascii="Arial"/>
        </w:rPr>
        <w:t>amount</w:t>
      </w:r>
      <w:r w:rsidRPr="00EB2BD8">
        <w:rPr>
          <w:rFonts w:ascii="Arial"/>
          <w:spacing w:val="-3"/>
        </w:rPr>
        <w:t xml:space="preserve"> </w:t>
      </w:r>
      <w:r w:rsidRPr="00EB2BD8">
        <w:rPr>
          <w:rFonts w:ascii="Arial"/>
        </w:rPr>
        <w:t>included</w:t>
      </w:r>
      <w:r w:rsidRPr="00EB2BD8">
        <w:rPr>
          <w:rFonts w:ascii="Arial"/>
          <w:spacing w:val="-2"/>
        </w:rPr>
        <w:t xml:space="preserve"> </w:t>
      </w:r>
      <w:r w:rsidRPr="00EB2BD8">
        <w:rPr>
          <w:rFonts w:ascii="Arial"/>
        </w:rPr>
        <w:t>in</w:t>
      </w:r>
      <w:r w:rsidRPr="00EB2BD8">
        <w:rPr>
          <w:rFonts w:ascii="Arial"/>
          <w:spacing w:val="-4"/>
        </w:rPr>
        <w:t xml:space="preserve"> </w:t>
      </w:r>
      <w:r w:rsidRPr="00EB2BD8">
        <w:rPr>
          <w:rFonts w:ascii="Arial"/>
        </w:rPr>
        <w:t>the</w:t>
      </w:r>
      <w:r w:rsidRPr="00EB2BD8">
        <w:rPr>
          <w:rFonts w:ascii="Arial"/>
          <w:spacing w:val="-4"/>
        </w:rPr>
        <w:t xml:space="preserve"> </w:t>
      </w:r>
      <w:r w:rsidRPr="00EB2BD8">
        <w:rPr>
          <w:rFonts w:ascii="Arial"/>
        </w:rPr>
        <w:t>operating</w:t>
      </w:r>
      <w:r w:rsidRPr="00EB2BD8">
        <w:rPr>
          <w:rFonts w:ascii="Arial"/>
          <w:spacing w:val="-4"/>
        </w:rPr>
        <w:t xml:space="preserve"> </w:t>
      </w:r>
      <w:r w:rsidRPr="00EB2BD8">
        <w:rPr>
          <w:rFonts w:ascii="Arial"/>
        </w:rPr>
        <w:t>statement</w:t>
      </w:r>
      <w:r w:rsidRPr="00EB2BD8">
        <w:rPr>
          <w:rFonts w:ascii="Arial"/>
          <w:spacing w:val="-3"/>
        </w:rPr>
        <w:t xml:space="preserve"> </w:t>
      </w:r>
      <w:r w:rsidRPr="00EB2BD8">
        <w:rPr>
          <w:rFonts w:ascii="Arial"/>
        </w:rPr>
        <w:t>representing</w:t>
      </w:r>
      <w:r w:rsidRPr="00EB2BD8">
        <w:rPr>
          <w:rFonts w:ascii="Arial"/>
          <w:spacing w:val="-4"/>
        </w:rPr>
        <w:t xml:space="preserve"> </w:t>
      </w:r>
      <w:r w:rsidRPr="00EB2BD8">
        <w:rPr>
          <w:rFonts w:ascii="Arial"/>
        </w:rPr>
        <w:t>total</w:t>
      </w:r>
      <w:r w:rsidRPr="00EB2BD8">
        <w:rPr>
          <w:rFonts w:ascii="Arial"/>
          <w:spacing w:val="-4"/>
        </w:rPr>
        <w:t xml:space="preserve"> </w:t>
      </w:r>
      <w:r w:rsidRPr="00EB2BD8">
        <w:rPr>
          <w:rFonts w:ascii="Arial"/>
        </w:rPr>
        <w:t>change</w:t>
      </w:r>
      <w:r w:rsidRPr="00EB2BD8">
        <w:rPr>
          <w:rFonts w:ascii="Arial"/>
          <w:spacing w:val="-4"/>
        </w:rPr>
        <w:t xml:space="preserve"> </w:t>
      </w:r>
      <w:r w:rsidRPr="00EB2BD8">
        <w:rPr>
          <w:rFonts w:ascii="Arial"/>
        </w:rPr>
        <w:t>in</w:t>
      </w:r>
      <w:r w:rsidRPr="00EB2BD8">
        <w:rPr>
          <w:rFonts w:ascii="Arial"/>
          <w:spacing w:val="-4"/>
        </w:rPr>
        <w:t xml:space="preserve"> </w:t>
      </w:r>
      <w:r w:rsidRPr="00EB2BD8">
        <w:rPr>
          <w:rFonts w:ascii="Arial"/>
        </w:rPr>
        <w:t>net</w:t>
      </w:r>
      <w:r w:rsidRPr="00EB2BD8">
        <w:rPr>
          <w:rFonts w:ascii="Arial"/>
          <w:spacing w:val="-3"/>
        </w:rPr>
        <w:t xml:space="preserve"> </w:t>
      </w:r>
      <w:r w:rsidRPr="00EB2BD8">
        <w:rPr>
          <w:rFonts w:ascii="Arial"/>
        </w:rPr>
        <w:t>worth</w:t>
      </w:r>
      <w:r w:rsidRPr="00EB2BD8">
        <w:rPr>
          <w:rFonts w:ascii="Arial"/>
          <w:spacing w:val="-4"/>
        </w:rPr>
        <w:t xml:space="preserve"> </w:t>
      </w:r>
      <w:r w:rsidRPr="00EB2BD8">
        <w:rPr>
          <w:rFonts w:ascii="Arial"/>
        </w:rPr>
        <w:t>other</w:t>
      </w:r>
      <w:r w:rsidRPr="00EB2BD8">
        <w:rPr>
          <w:rFonts w:ascii="Arial"/>
          <w:spacing w:val="-3"/>
        </w:rPr>
        <w:t xml:space="preserve"> </w:t>
      </w:r>
      <w:r w:rsidRPr="00EB2BD8">
        <w:rPr>
          <w:rFonts w:ascii="Arial"/>
        </w:rPr>
        <w:t>than transactions with owners as owners.</w:t>
      </w:r>
    </w:p>
    <w:p w14:paraId="2E8D3207" w14:textId="77777777" w:rsidR="00084F36" w:rsidRPr="00EB2BD8" w:rsidRDefault="00084F36">
      <w:pPr>
        <w:jc w:val="right"/>
        <w:rPr>
          <w:sz w:val="16"/>
        </w:rPr>
        <w:sectPr w:rsidR="00084F36" w:rsidRPr="00EB2BD8" w:rsidSect="006D75B2">
          <w:headerReference w:type="default" r:id="rId373"/>
          <w:footerReference w:type="default" r:id="rId374"/>
          <w:pgSz w:w="11910" w:h="16840"/>
          <w:pgMar w:top="760" w:right="0" w:bottom="280" w:left="0" w:header="0" w:footer="0" w:gutter="0"/>
          <w:cols w:space="720"/>
        </w:sectPr>
      </w:pPr>
    </w:p>
    <w:p w14:paraId="14523C79" w14:textId="77777777" w:rsidR="00084F36" w:rsidRPr="00EB2BD8" w:rsidRDefault="00084F36">
      <w:pPr>
        <w:pStyle w:val="BodyText"/>
        <w:rPr>
          <w:sz w:val="20"/>
        </w:rPr>
      </w:pPr>
    </w:p>
    <w:p w14:paraId="31E69C57" w14:textId="77777777" w:rsidR="00084F36" w:rsidRPr="00EB2BD8" w:rsidRDefault="00084F36">
      <w:pPr>
        <w:pStyle w:val="BodyText"/>
        <w:rPr>
          <w:sz w:val="20"/>
        </w:rPr>
      </w:pPr>
    </w:p>
    <w:p w14:paraId="770879CA" w14:textId="77777777" w:rsidR="00084F36" w:rsidRPr="00EB2BD8" w:rsidRDefault="00084F36">
      <w:pPr>
        <w:pStyle w:val="BodyText"/>
        <w:rPr>
          <w:sz w:val="20"/>
        </w:rPr>
      </w:pPr>
    </w:p>
    <w:p w14:paraId="1B351F77" w14:textId="77777777" w:rsidR="00084F36" w:rsidRPr="00EB2BD8" w:rsidRDefault="00084F36">
      <w:pPr>
        <w:pStyle w:val="BodyText"/>
        <w:rPr>
          <w:sz w:val="20"/>
        </w:rPr>
      </w:pPr>
    </w:p>
    <w:p w14:paraId="6004CD0E" w14:textId="77777777" w:rsidR="00084F36" w:rsidRPr="00EB2BD8" w:rsidRDefault="00084F36">
      <w:pPr>
        <w:pStyle w:val="BodyText"/>
        <w:rPr>
          <w:sz w:val="20"/>
        </w:rPr>
      </w:pPr>
    </w:p>
    <w:p w14:paraId="333B6E19" w14:textId="77777777" w:rsidR="00084F36" w:rsidRPr="00EB2BD8" w:rsidRDefault="00084F36">
      <w:pPr>
        <w:pStyle w:val="BodyText"/>
        <w:rPr>
          <w:sz w:val="17"/>
        </w:rPr>
      </w:pPr>
    </w:p>
    <w:p w14:paraId="09FB9106" w14:textId="77777777" w:rsidR="00084F36" w:rsidRPr="00EB2BD8" w:rsidRDefault="00EB2BD8" w:rsidP="009E31F2">
      <w:pPr>
        <w:pStyle w:val="Heading2"/>
        <w:ind w:firstLine="203"/>
      </w:pPr>
      <w:bookmarkStart w:id="382" w:name="_Toc150762684"/>
      <w:r w:rsidRPr="00EB2BD8">
        <w:t>Depreciation</w:t>
      </w:r>
      <w:bookmarkEnd w:id="382"/>
    </w:p>
    <w:p w14:paraId="12F741CA" w14:textId="77777777" w:rsidR="00084F36" w:rsidRPr="00EB2BD8" w:rsidRDefault="00EB2BD8">
      <w:pPr>
        <w:spacing w:before="157" w:line="290" w:lineRule="auto"/>
        <w:ind w:left="1053" w:right="1813"/>
        <w:rPr>
          <w:rFonts w:ascii="Arial" w:hAnsi="Arial"/>
          <w:sz w:val="16"/>
        </w:rPr>
      </w:pPr>
      <w:r w:rsidRPr="00EB2BD8">
        <w:rPr>
          <w:rFonts w:ascii="Arial" w:hAnsi="Arial"/>
          <w:w w:val="105"/>
          <w:sz w:val="16"/>
        </w:rPr>
        <w:t>Depreciation</w:t>
      </w:r>
      <w:r w:rsidRPr="00EB2BD8">
        <w:rPr>
          <w:rFonts w:ascii="Arial" w:hAnsi="Arial"/>
          <w:spacing w:val="-2"/>
          <w:w w:val="105"/>
          <w:sz w:val="16"/>
        </w:rPr>
        <w:t xml:space="preserve"> </w:t>
      </w:r>
      <w:r w:rsidRPr="00EB2BD8">
        <w:rPr>
          <w:rFonts w:ascii="Arial" w:hAnsi="Arial"/>
          <w:w w:val="105"/>
          <w:sz w:val="16"/>
        </w:rPr>
        <w:t>is</w:t>
      </w:r>
      <w:r w:rsidRPr="00EB2BD8">
        <w:rPr>
          <w:rFonts w:ascii="Arial" w:hAnsi="Arial"/>
          <w:spacing w:val="-2"/>
          <w:w w:val="105"/>
          <w:sz w:val="16"/>
        </w:rPr>
        <w:t xml:space="preserve"> </w:t>
      </w:r>
      <w:r w:rsidRPr="00EB2BD8">
        <w:rPr>
          <w:rFonts w:ascii="Arial" w:hAnsi="Arial"/>
          <w:w w:val="105"/>
          <w:sz w:val="16"/>
        </w:rPr>
        <w:t>an</w:t>
      </w:r>
      <w:r w:rsidRPr="00EB2BD8">
        <w:rPr>
          <w:rFonts w:ascii="Arial" w:hAnsi="Arial"/>
          <w:spacing w:val="-2"/>
          <w:w w:val="105"/>
          <w:sz w:val="16"/>
        </w:rPr>
        <w:t xml:space="preserve"> </w:t>
      </w:r>
      <w:r w:rsidRPr="00EB2BD8">
        <w:rPr>
          <w:rFonts w:ascii="Arial" w:hAnsi="Arial"/>
          <w:w w:val="105"/>
          <w:sz w:val="16"/>
        </w:rPr>
        <w:t>expense</w:t>
      </w:r>
      <w:r w:rsidRPr="00EB2BD8">
        <w:rPr>
          <w:rFonts w:ascii="Arial" w:hAnsi="Arial"/>
          <w:spacing w:val="-2"/>
          <w:w w:val="105"/>
          <w:sz w:val="16"/>
        </w:rPr>
        <w:t xml:space="preserve"> </w:t>
      </w:r>
      <w:r w:rsidRPr="00EB2BD8">
        <w:rPr>
          <w:rFonts w:ascii="Arial" w:hAnsi="Arial"/>
          <w:w w:val="105"/>
          <w:sz w:val="16"/>
        </w:rPr>
        <w:t>that</w:t>
      </w:r>
      <w:r w:rsidRPr="00EB2BD8">
        <w:rPr>
          <w:rFonts w:ascii="Arial" w:hAnsi="Arial"/>
          <w:spacing w:val="-2"/>
          <w:w w:val="105"/>
          <w:sz w:val="16"/>
        </w:rPr>
        <w:t xml:space="preserve"> </w:t>
      </w:r>
      <w:r w:rsidRPr="00EB2BD8">
        <w:rPr>
          <w:rFonts w:ascii="Arial" w:hAnsi="Arial"/>
          <w:w w:val="105"/>
          <w:sz w:val="16"/>
        </w:rPr>
        <w:t>arises</w:t>
      </w:r>
      <w:r w:rsidRPr="00EB2BD8">
        <w:rPr>
          <w:rFonts w:ascii="Arial" w:hAnsi="Arial"/>
          <w:spacing w:val="-2"/>
          <w:w w:val="105"/>
          <w:sz w:val="16"/>
        </w:rPr>
        <w:t xml:space="preserve"> </w:t>
      </w:r>
      <w:r w:rsidRPr="00EB2BD8">
        <w:rPr>
          <w:rFonts w:ascii="Arial" w:hAnsi="Arial"/>
          <w:w w:val="105"/>
          <w:sz w:val="16"/>
        </w:rPr>
        <w:t>from</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consumption</w:t>
      </w:r>
      <w:r w:rsidRPr="00EB2BD8">
        <w:rPr>
          <w:rFonts w:ascii="Arial" w:hAnsi="Arial"/>
          <w:spacing w:val="-2"/>
          <w:w w:val="105"/>
          <w:sz w:val="16"/>
        </w:rPr>
        <w:t xml:space="preserve"> </w:t>
      </w:r>
      <w:r w:rsidRPr="00EB2BD8">
        <w:rPr>
          <w:rFonts w:ascii="Arial" w:hAnsi="Arial"/>
          <w:w w:val="105"/>
          <w:sz w:val="16"/>
        </w:rPr>
        <w:t>through</w:t>
      </w:r>
      <w:r w:rsidRPr="00EB2BD8">
        <w:rPr>
          <w:rFonts w:ascii="Arial" w:hAnsi="Arial"/>
          <w:spacing w:val="-2"/>
          <w:w w:val="105"/>
          <w:sz w:val="16"/>
        </w:rPr>
        <w:t xml:space="preserve"> </w:t>
      </w:r>
      <w:r w:rsidRPr="00EB2BD8">
        <w:rPr>
          <w:rFonts w:ascii="Arial" w:hAnsi="Arial"/>
          <w:w w:val="105"/>
          <w:sz w:val="16"/>
        </w:rPr>
        <w:t>wear</w:t>
      </w:r>
      <w:r w:rsidRPr="00EB2BD8">
        <w:rPr>
          <w:rFonts w:ascii="Arial" w:hAnsi="Arial"/>
          <w:spacing w:val="-2"/>
          <w:w w:val="105"/>
          <w:sz w:val="16"/>
        </w:rPr>
        <w:t xml:space="preserve"> </w:t>
      </w:r>
      <w:r w:rsidRPr="00EB2BD8">
        <w:rPr>
          <w:rFonts w:ascii="Arial" w:hAnsi="Arial"/>
          <w:w w:val="105"/>
          <w:sz w:val="16"/>
        </w:rPr>
        <w:t>or</w:t>
      </w:r>
      <w:r w:rsidRPr="00EB2BD8">
        <w:rPr>
          <w:rFonts w:ascii="Arial" w:hAnsi="Arial"/>
          <w:spacing w:val="-2"/>
          <w:w w:val="105"/>
          <w:sz w:val="16"/>
        </w:rPr>
        <w:t xml:space="preserve"> </w:t>
      </w:r>
      <w:r w:rsidRPr="00EB2BD8">
        <w:rPr>
          <w:rFonts w:ascii="Arial" w:hAnsi="Arial"/>
          <w:w w:val="105"/>
          <w:sz w:val="16"/>
        </w:rPr>
        <w:t>time</w:t>
      </w:r>
      <w:r w:rsidRPr="00EB2BD8">
        <w:rPr>
          <w:rFonts w:ascii="Arial" w:hAnsi="Arial"/>
          <w:spacing w:val="-2"/>
          <w:w w:val="105"/>
          <w:sz w:val="16"/>
        </w:rPr>
        <w:t xml:space="preserve"> </w:t>
      </w:r>
      <w:r w:rsidRPr="00EB2BD8">
        <w:rPr>
          <w:rFonts w:ascii="Arial" w:hAnsi="Arial"/>
          <w:w w:val="105"/>
          <w:sz w:val="16"/>
        </w:rPr>
        <w:t>of</w:t>
      </w:r>
      <w:r w:rsidRPr="00EB2BD8">
        <w:rPr>
          <w:rFonts w:ascii="Arial" w:hAnsi="Arial"/>
          <w:spacing w:val="-2"/>
          <w:w w:val="105"/>
          <w:sz w:val="16"/>
        </w:rPr>
        <w:t xml:space="preserve"> </w:t>
      </w:r>
      <w:r w:rsidRPr="00EB2BD8">
        <w:rPr>
          <w:rFonts w:ascii="Arial" w:hAnsi="Arial"/>
          <w:w w:val="105"/>
          <w:sz w:val="16"/>
        </w:rPr>
        <w:t>a</w:t>
      </w:r>
      <w:r w:rsidRPr="00EB2BD8">
        <w:rPr>
          <w:rFonts w:ascii="Arial" w:hAnsi="Arial"/>
          <w:spacing w:val="-2"/>
          <w:w w:val="105"/>
          <w:sz w:val="16"/>
        </w:rPr>
        <w:t xml:space="preserve"> </w:t>
      </w:r>
      <w:r w:rsidRPr="00EB2BD8">
        <w:rPr>
          <w:rFonts w:ascii="Arial" w:hAnsi="Arial"/>
          <w:w w:val="105"/>
          <w:sz w:val="16"/>
        </w:rPr>
        <w:t>produced</w:t>
      </w:r>
      <w:r w:rsidRPr="00EB2BD8">
        <w:rPr>
          <w:rFonts w:ascii="Arial" w:hAnsi="Arial"/>
          <w:spacing w:val="-2"/>
          <w:w w:val="105"/>
          <w:sz w:val="16"/>
        </w:rPr>
        <w:t xml:space="preserve"> </w:t>
      </w:r>
      <w:r w:rsidRPr="00EB2BD8">
        <w:rPr>
          <w:rFonts w:ascii="Arial" w:hAnsi="Arial"/>
          <w:w w:val="105"/>
          <w:sz w:val="16"/>
        </w:rPr>
        <w:t>physical</w:t>
      </w:r>
      <w:r w:rsidRPr="00EB2BD8">
        <w:rPr>
          <w:rFonts w:ascii="Arial" w:hAnsi="Arial"/>
          <w:spacing w:val="-2"/>
          <w:w w:val="105"/>
          <w:sz w:val="16"/>
        </w:rPr>
        <w:t xml:space="preserve"> </w:t>
      </w:r>
      <w:r w:rsidRPr="00EB2BD8">
        <w:rPr>
          <w:rFonts w:ascii="Arial" w:hAnsi="Arial"/>
          <w:w w:val="105"/>
          <w:sz w:val="16"/>
        </w:rPr>
        <w:t>or</w:t>
      </w:r>
      <w:r w:rsidRPr="00EB2BD8">
        <w:rPr>
          <w:rFonts w:ascii="Arial" w:hAnsi="Arial"/>
          <w:spacing w:val="-2"/>
          <w:w w:val="105"/>
          <w:sz w:val="16"/>
        </w:rPr>
        <w:t xml:space="preserve"> </w:t>
      </w:r>
      <w:r w:rsidRPr="00EB2BD8">
        <w:rPr>
          <w:rFonts w:ascii="Arial" w:hAnsi="Arial"/>
          <w:w w:val="105"/>
          <w:sz w:val="16"/>
        </w:rPr>
        <w:t>intangible asset. This expense is classified as a ‘transaction’ and so reduces the ‘net result from transaction’.</w:t>
      </w:r>
    </w:p>
    <w:p w14:paraId="32A3951C" w14:textId="77777777" w:rsidR="00084F36" w:rsidRPr="00EB2BD8" w:rsidRDefault="00084F36">
      <w:pPr>
        <w:pStyle w:val="BodyText"/>
        <w:rPr>
          <w:rFonts w:ascii="Arial"/>
        </w:rPr>
      </w:pPr>
    </w:p>
    <w:p w14:paraId="489C2BE3" w14:textId="77777777" w:rsidR="00084F36" w:rsidRPr="00EB2BD8" w:rsidRDefault="00EB2BD8" w:rsidP="009E31F2">
      <w:pPr>
        <w:pStyle w:val="Heading2"/>
        <w:ind w:firstLine="203"/>
      </w:pPr>
      <w:bookmarkStart w:id="383" w:name="_Toc150762685"/>
      <w:r w:rsidRPr="00EB2BD8">
        <w:t>Effective</w:t>
      </w:r>
      <w:r w:rsidRPr="00EB2BD8">
        <w:rPr>
          <w:spacing w:val="15"/>
        </w:rPr>
        <w:t xml:space="preserve"> </w:t>
      </w:r>
      <w:r w:rsidRPr="00EB2BD8">
        <w:t>interest</w:t>
      </w:r>
      <w:r w:rsidRPr="00EB2BD8">
        <w:rPr>
          <w:spacing w:val="16"/>
        </w:rPr>
        <w:t xml:space="preserve"> </w:t>
      </w:r>
      <w:r w:rsidRPr="00EB2BD8">
        <w:rPr>
          <w:spacing w:val="-2"/>
        </w:rPr>
        <w:t>method</w:t>
      </w:r>
      <w:bookmarkEnd w:id="383"/>
    </w:p>
    <w:p w14:paraId="2A4C7FB4" w14:textId="77777777" w:rsidR="00084F36" w:rsidRPr="00EB2BD8" w:rsidRDefault="00EB2BD8">
      <w:pPr>
        <w:spacing w:before="156" w:line="290" w:lineRule="auto"/>
        <w:ind w:left="1053" w:right="1813"/>
        <w:rPr>
          <w:rFonts w:ascii="Arial"/>
          <w:sz w:val="16"/>
        </w:rPr>
      </w:pPr>
      <w:r w:rsidRPr="00EB2BD8">
        <w:rPr>
          <w:rFonts w:ascii="Arial"/>
          <w:w w:val="105"/>
          <w:sz w:val="16"/>
        </w:rPr>
        <w:t>The effective interest method is used to calculate the amortised cost of a financial asset or liability and of allocating interest</w:t>
      </w:r>
      <w:r w:rsidRPr="00EB2BD8">
        <w:rPr>
          <w:rFonts w:ascii="Arial"/>
          <w:spacing w:val="-2"/>
          <w:w w:val="105"/>
          <w:sz w:val="16"/>
        </w:rPr>
        <w:t xml:space="preserve"> </w:t>
      </w:r>
      <w:r w:rsidRPr="00EB2BD8">
        <w:rPr>
          <w:rFonts w:ascii="Arial"/>
          <w:w w:val="105"/>
          <w:sz w:val="16"/>
        </w:rPr>
        <w:t>income</w:t>
      </w:r>
      <w:r w:rsidRPr="00EB2BD8">
        <w:rPr>
          <w:rFonts w:ascii="Arial"/>
          <w:spacing w:val="-2"/>
          <w:w w:val="105"/>
          <w:sz w:val="16"/>
        </w:rPr>
        <w:t xml:space="preserve"> </w:t>
      </w:r>
      <w:r w:rsidRPr="00EB2BD8">
        <w:rPr>
          <w:rFonts w:ascii="Arial"/>
          <w:w w:val="105"/>
          <w:sz w:val="16"/>
        </w:rPr>
        <w:t>over</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relevant</w:t>
      </w:r>
      <w:r w:rsidRPr="00EB2BD8">
        <w:rPr>
          <w:rFonts w:ascii="Arial"/>
          <w:spacing w:val="-2"/>
          <w:w w:val="105"/>
          <w:sz w:val="16"/>
        </w:rPr>
        <w:t xml:space="preserve"> </w:t>
      </w:r>
      <w:r w:rsidRPr="00EB2BD8">
        <w:rPr>
          <w:rFonts w:ascii="Arial"/>
          <w:w w:val="105"/>
          <w:sz w:val="16"/>
        </w:rPr>
        <w:t>period.</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effective</w:t>
      </w:r>
      <w:r w:rsidRPr="00EB2BD8">
        <w:rPr>
          <w:rFonts w:ascii="Arial"/>
          <w:spacing w:val="-2"/>
          <w:w w:val="105"/>
          <w:sz w:val="16"/>
        </w:rPr>
        <w:t xml:space="preserve"> </w:t>
      </w:r>
      <w:r w:rsidRPr="00EB2BD8">
        <w:rPr>
          <w:rFonts w:ascii="Arial"/>
          <w:w w:val="105"/>
          <w:sz w:val="16"/>
        </w:rPr>
        <w:t>interest</w:t>
      </w:r>
      <w:r w:rsidRPr="00EB2BD8">
        <w:rPr>
          <w:rFonts w:ascii="Arial"/>
          <w:spacing w:val="-2"/>
          <w:w w:val="105"/>
          <w:sz w:val="16"/>
        </w:rPr>
        <w:t xml:space="preserve"> </w:t>
      </w:r>
      <w:r w:rsidRPr="00EB2BD8">
        <w:rPr>
          <w:rFonts w:ascii="Arial"/>
          <w:w w:val="105"/>
          <w:sz w:val="16"/>
        </w:rPr>
        <w:t>rate</w:t>
      </w:r>
      <w:r w:rsidRPr="00EB2BD8">
        <w:rPr>
          <w:rFonts w:ascii="Arial"/>
          <w:spacing w:val="-2"/>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rate</w:t>
      </w:r>
      <w:r w:rsidRPr="00EB2BD8">
        <w:rPr>
          <w:rFonts w:ascii="Arial"/>
          <w:spacing w:val="-2"/>
          <w:w w:val="105"/>
          <w:sz w:val="16"/>
        </w:rPr>
        <w:t xml:space="preserve"> </w:t>
      </w:r>
      <w:r w:rsidRPr="00EB2BD8">
        <w:rPr>
          <w:rFonts w:ascii="Arial"/>
          <w:w w:val="105"/>
          <w:sz w:val="16"/>
        </w:rPr>
        <w:t>that</w:t>
      </w:r>
      <w:r w:rsidRPr="00EB2BD8">
        <w:rPr>
          <w:rFonts w:ascii="Arial"/>
          <w:spacing w:val="-2"/>
          <w:w w:val="105"/>
          <w:sz w:val="16"/>
        </w:rPr>
        <w:t xml:space="preserve"> </w:t>
      </w:r>
      <w:r w:rsidRPr="00EB2BD8">
        <w:rPr>
          <w:rFonts w:ascii="Arial"/>
          <w:w w:val="105"/>
          <w:sz w:val="16"/>
        </w:rPr>
        <w:t>exactly</w:t>
      </w:r>
      <w:r w:rsidRPr="00EB2BD8">
        <w:rPr>
          <w:rFonts w:ascii="Arial"/>
          <w:spacing w:val="-2"/>
          <w:w w:val="105"/>
          <w:sz w:val="16"/>
        </w:rPr>
        <w:t xml:space="preserve"> </w:t>
      </w:r>
      <w:r w:rsidRPr="00EB2BD8">
        <w:rPr>
          <w:rFonts w:ascii="Arial"/>
          <w:w w:val="105"/>
          <w:sz w:val="16"/>
        </w:rPr>
        <w:t>discounts</w:t>
      </w:r>
      <w:r w:rsidRPr="00EB2BD8">
        <w:rPr>
          <w:rFonts w:ascii="Arial"/>
          <w:spacing w:val="-2"/>
          <w:w w:val="105"/>
          <w:sz w:val="16"/>
        </w:rPr>
        <w:t xml:space="preserve"> </w:t>
      </w:r>
      <w:r w:rsidRPr="00EB2BD8">
        <w:rPr>
          <w:rFonts w:ascii="Arial"/>
          <w:w w:val="105"/>
          <w:sz w:val="16"/>
        </w:rPr>
        <w:t>estimated</w:t>
      </w:r>
      <w:r w:rsidRPr="00EB2BD8">
        <w:rPr>
          <w:rFonts w:ascii="Arial"/>
          <w:spacing w:val="-3"/>
          <w:w w:val="105"/>
          <w:sz w:val="16"/>
        </w:rPr>
        <w:t xml:space="preserve"> </w:t>
      </w:r>
      <w:r w:rsidRPr="00EB2BD8">
        <w:rPr>
          <w:rFonts w:ascii="Arial"/>
          <w:w w:val="105"/>
          <w:sz w:val="16"/>
        </w:rPr>
        <w:t>future</w:t>
      </w:r>
      <w:r w:rsidRPr="00EB2BD8">
        <w:rPr>
          <w:rFonts w:ascii="Arial"/>
          <w:spacing w:val="-2"/>
          <w:w w:val="105"/>
          <w:sz w:val="16"/>
        </w:rPr>
        <w:t xml:space="preserve"> </w:t>
      </w:r>
      <w:r w:rsidRPr="00EB2BD8">
        <w:rPr>
          <w:rFonts w:ascii="Arial"/>
          <w:w w:val="105"/>
          <w:sz w:val="16"/>
        </w:rPr>
        <w:t>cash receipts through the expected life of the financial instrument, or, where appropriate, a shorter period.</w:t>
      </w:r>
    </w:p>
    <w:p w14:paraId="53CBE6DE" w14:textId="77777777" w:rsidR="00084F36" w:rsidRPr="00EB2BD8" w:rsidRDefault="00084F36">
      <w:pPr>
        <w:pStyle w:val="BodyText"/>
        <w:rPr>
          <w:rFonts w:ascii="Arial"/>
        </w:rPr>
      </w:pPr>
    </w:p>
    <w:p w14:paraId="5064C19E" w14:textId="77777777" w:rsidR="00084F36" w:rsidRPr="00EB2BD8" w:rsidRDefault="00EB2BD8" w:rsidP="009E31F2">
      <w:pPr>
        <w:pStyle w:val="Heading2"/>
        <w:ind w:firstLine="203"/>
      </w:pPr>
      <w:bookmarkStart w:id="384" w:name="_Toc150762686"/>
      <w:r w:rsidRPr="00EB2BD8">
        <w:t>Employee</w:t>
      </w:r>
      <w:r w:rsidRPr="00EB2BD8">
        <w:rPr>
          <w:spacing w:val="17"/>
        </w:rPr>
        <w:t xml:space="preserve"> </w:t>
      </w:r>
      <w:r w:rsidRPr="00EB2BD8">
        <w:t>benefits</w:t>
      </w:r>
      <w:r w:rsidRPr="00EB2BD8">
        <w:rPr>
          <w:spacing w:val="18"/>
        </w:rPr>
        <w:t xml:space="preserve"> </w:t>
      </w:r>
      <w:r w:rsidRPr="00EB2BD8">
        <w:rPr>
          <w:spacing w:val="-2"/>
        </w:rPr>
        <w:t>expenses</w:t>
      </w:r>
      <w:bookmarkEnd w:id="384"/>
    </w:p>
    <w:p w14:paraId="4464A49D" w14:textId="77777777" w:rsidR="00084F36" w:rsidRPr="00EB2BD8" w:rsidRDefault="00EB2BD8">
      <w:pPr>
        <w:spacing w:before="155" w:line="290" w:lineRule="auto"/>
        <w:ind w:left="1053" w:right="1813"/>
        <w:rPr>
          <w:rFonts w:ascii="Arial"/>
          <w:sz w:val="16"/>
        </w:rPr>
      </w:pPr>
      <w:r w:rsidRPr="00EB2BD8">
        <w:rPr>
          <w:rFonts w:ascii="Arial"/>
          <w:w w:val="105"/>
          <w:sz w:val="16"/>
        </w:rPr>
        <w:t>Employee</w:t>
      </w:r>
      <w:r w:rsidRPr="00EB2BD8">
        <w:rPr>
          <w:rFonts w:ascii="Arial"/>
          <w:spacing w:val="-3"/>
          <w:w w:val="105"/>
          <w:sz w:val="16"/>
        </w:rPr>
        <w:t xml:space="preserve"> </w:t>
      </w:r>
      <w:r w:rsidRPr="00EB2BD8">
        <w:rPr>
          <w:rFonts w:ascii="Arial"/>
          <w:w w:val="105"/>
          <w:sz w:val="16"/>
        </w:rPr>
        <w:t>benefits</w:t>
      </w:r>
      <w:r w:rsidRPr="00EB2BD8">
        <w:rPr>
          <w:rFonts w:ascii="Arial"/>
          <w:spacing w:val="-3"/>
          <w:w w:val="105"/>
          <w:sz w:val="16"/>
        </w:rPr>
        <w:t xml:space="preserve"> </w:t>
      </w:r>
      <w:r w:rsidRPr="00EB2BD8">
        <w:rPr>
          <w:rFonts w:ascii="Arial"/>
          <w:w w:val="105"/>
          <w:sz w:val="16"/>
        </w:rPr>
        <w:t>expenses</w:t>
      </w:r>
      <w:r w:rsidRPr="00EB2BD8">
        <w:rPr>
          <w:rFonts w:ascii="Arial"/>
          <w:spacing w:val="-2"/>
          <w:w w:val="105"/>
          <w:sz w:val="16"/>
        </w:rPr>
        <w:t xml:space="preserve"> </w:t>
      </w:r>
      <w:r w:rsidRPr="00EB2BD8">
        <w:rPr>
          <w:rFonts w:ascii="Arial"/>
          <w:w w:val="105"/>
          <w:sz w:val="16"/>
        </w:rPr>
        <w:t>include</w:t>
      </w:r>
      <w:r w:rsidRPr="00EB2BD8">
        <w:rPr>
          <w:rFonts w:ascii="Arial"/>
          <w:spacing w:val="-3"/>
          <w:w w:val="105"/>
          <w:sz w:val="16"/>
        </w:rPr>
        <w:t xml:space="preserve"> </w:t>
      </w:r>
      <w:r w:rsidRPr="00EB2BD8">
        <w:rPr>
          <w:rFonts w:ascii="Arial"/>
          <w:w w:val="105"/>
          <w:sz w:val="16"/>
        </w:rPr>
        <w:t>all</w:t>
      </w:r>
      <w:r w:rsidRPr="00EB2BD8">
        <w:rPr>
          <w:rFonts w:ascii="Arial"/>
          <w:spacing w:val="-3"/>
          <w:w w:val="105"/>
          <w:sz w:val="16"/>
        </w:rPr>
        <w:t xml:space="preserve"> </w:t>
      </w:r>
      <w:r w:rsidRPr="00EB2BD8">
        <w:rPr>
          <w:rFonts w:ascii="Arial"/>
          <w:w w:val="105"/>
          <w:sz w:val="16"/>
        </w:rPr>
        <w:t>costs</w:t>
      </w:r>
      <w:r w:rsidRPr="00EB2BD8">
        <w:rPr>
          <w:rFonts w:ascii="Arial"/>
          <w:spacing w:val="-3"/>
          <w:w w:val="105"/>
          <w:sz w:val="16"/>
        </w:rPr>
        <w:t xml:space="preserve"> </w:t>
      </w:r>
      <w:r w:rsidRPr="00EB2BD8">
        <w:rPr>
          <w:rFonts w:ascii="Arial"/>
          <w:w w:val="105"/>
          <w:sz w:val="16"/>
        </w:rPr>
        <w:t>related</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employment</w:t>
      </w:r>
      <w:r w:rsidRPr="00EB2BD8">
        <w:rPr>
          <w:rFonts w:ascii="Arial"/>
          <w:spacing w:val="-3"/>
          <w:w w:val="105"/>
          <w:sz w:val="16"/>
        </w:rPr>
        <w:t xml:space="preserve"> </w:t>
      </w:r>
      <w:r w:rsidRPr="00EB2BD8">
        <w:rPr>
          <w:rFonts w:ascii="Arial"/>
          <w:w w:val="105"/>
          <w:sz w:val="16"/>
        </w:rPr>
        <w:t>including</w:t>
      </w:r>
      <w:r w:rsidRPr="00EB2BD8">
        <w:rPr>
          <w:rFonts w:ascii="Arial"/>
          <w:spacing w:val="-3"/>
          <w:w w:val="105"/>
          <w:sz w:val="16"/>
        </w:rPr>
        <w:t xml:space="preserve"> </w:t>
      </w:r>
      <w:r w:rsidRPr="00EB2BD8">
        <w:rPr>
          <w:rFonts w:ascii="Arial"/>
          <w:w w:val="105"/>
          <w:sz w:val="16"/>
        </w:rPr>
        <w:t>wages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salaries,</w:t>
      </w:r>
      <w:r w:rsidRPr="00EB2BD8">
        <w:rPr>
          <w:rFonts w:ascii="Arial"/>
          <w:spacing w:val="-3"/>
          <w:w w:val="105"/>
          <w:sz w:val="16"/>
        </w:rPr>
        <w:t xml:space="preserve"> </w:t>
      </w:r>
      <w:r w:rsidRPr="00EB2BD8">
        <w:rPr>
          <w:rFonts w:ascii="Arial"/>
          <w:w w:val="105"/>
          <w:sz w:val="16"/>
        </w:rPr>
        <w:t>fringe</w:t>
      </w:r>
      <w:r w:rsidRPr="00EB2BD8">
        <w:rPr>
          <w:rFonts w:ascii="Arial"/>
          <w:spacing w:val="-3"/>
          <w:w w:val="105"/>
          <w:sz w:val="16"/>
        </w:rPr>
        <w:t xml:space="preserve"> </w:t>
      </w:r>
      <w:r w:rsidRPr="00EB2BD8">
        <w:rPr>
          <w:rFonts w:ascii="Arial"/>
          <w:w w:val="105"/>
          <w:sz w:val="16"/>
        </w:rPr>
        <w:t>benefits</w:t>
      </w:r>
      <w:r w:rsidRPr="00EB2BD8">
        <w:rPr>
          <w:rFonts w:ascii="Arial"/>
          <w:spacing w:val="-3"/>
          <w:w w:val="105"/>
          <w:sz w:val="16"/>
        </w:rPr>
        <w:t xml:space="preserve"> </w:t>
      </w:r>
      <w:r w:rsidRPr="00EB2BD8">
        <w:rPr>
          <w:rFonts w:ascii="Arial"/>
          <w:w w:val="105"/>
          <w:sz w:val="16"/>
        </w:rPr>
        <w:t>tax, leave entitlements, redundancy payments, defined benefits superannuation plans, and defined contribution superannuation plans.</w:t>
      </w:r>
    </w:p>
    <w:p w14:paraId="640BE92F" w14:textId="77777777" w:rsidR="00084F36" w:rsidRPr="00EB2BD8" w:rsidRDefault="00084F36">
      <w:pPr>
        <w:pStyle w:val="BodyText"/>
        <w:rPr>
          <w:rFonts w:ascii="Arial"/>
        </w:rPr>
      </w:pPr>
    </w:p>
    <w:p w14:paraId="37FD9B39" w14:textId="77777777" w:rsidR="00084F36" w:rsidRPr="00EB2BD8" w:rsidRDefault="00EB2BD8" w:rsidP="009E31F2">
      <w:pPr>
        <w:pStyle w:val="Heading2"/>
        <w:ind w:firstLine="203"/>
      </w:pPr>
      <w:bookmarkStart w:id="385" w:name="_Toc150762687"/>
      <w:r w:rsidRPr="00EB2BD8">
        <w:t>Finance</w:t>
      </w:r>
      <w:r w:rsidRPr="00EB2BD8">
        <w:rPr>
          <w:spacing w:val="16"/>
        </w:rPr>
        <w:t xml:space="preserve"> </w:t>
      </w:r>
      <w:r w:rsidRPr="00EB2BD8">
        <w:rPr>
          <w:spacing w:val="-4"/>
        </w:rPr>
        <w:t>lease</w:t>
      </w:r>
      <w:bookmarkEnd w:id="385"/>
    </w:p>
    <w:p w14:paraId="1738A9CF" w14:textId="77777777" w:rsidR="00084F36" w:rsidRPr="00EB2BD8" w:rsidRDefault="00EB2BD8">
      <w:pPr>
        <w:spacing w:before="156" w:line="273" w:lineRule="auto"/>
        <w:ind w:left="1053" w:right="2121"/>
        <w:rPr>
          <w:rFonts w:ascii="Arial"/>
          <w:sz w:val="16"/>
        </w:rPr>
      </w:pPr>
      <w:r w:rsidRPr="00EB2BD8">
        <w:rPr>
          <w:rFonts w:ascii="Arial"/>
          <w:w w:val="105"/>
          <w:sz w:val="16"/>
        </w:rPr>
        <w:t>Finance</w:t>
      </w:r>
      <w:r w:rsidRPr="00EB2BD8">
        <w:rPr>
          <w:rFonts w:ascii="Arial"/>
          <w:spacing w:val="-2"/>
          <w:w w:val="105"/>
          <w:sz w:val="16"/>
        </w:rPr>
        <w:t xml:space="preserve"> </w:t>
      </w:r>
      <w:r w:rsidRPr="00EB2BD8">
        <w:rPr>
          <w:rFonts w:ascii="Arial"/>
          <w:w w:val="105"/>
          <w:sz w:val="16"/>
        </w:rPr>
        <w:t>lease</w:t>
      </w:r>
      <w:r w:rsidRPr="00EB2BD8">
        <w:rPr>
          <w:rFonts w:ascii="Arial"/>
          <w:spacing w:val="-2"/>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a</w:t>
      </w:r>
      <w:r w:rsidRPr="00EB2BD8">
        <w:rPr>
          <w:rFonts w:ascii="Arial"/>
          <w:spacing w:val="-2"/>
          <w:w w:val="105"/>
          <w:sz w:val="16"/>
        </w:rPr>
        <w:t xml:space="preserve"> </w:t>
      </w:r>
      <w:r w:rsidRPr="00EB2BD8">
        <w:rPr>
          <w:rFonts w:ascii="Arial"/>
          <w:w w:val="105"/>
          <w:sz w:val="16"/>
        </w:rPr>
        <w:t>lease</w:t>
      </w:r>
      <w:r w:rsidRPr="00EB2BD8">
        <w:rPr>
          <w:rFonts w:ascii="Arial"/>
          <w:spacing w:val="-2"/>
          <w:w w:val="105"/>
          <w:sz w:val="16"/>
        </w:rPr>
        <w:t xml:space="preserve"> </w:t>
      </w:r>
      <w:r w:rsidRPr="00EB2BD8">
        <w:rPr>
          <w:rFonts w:ascii="Arial"/>
          <w:w w:val="105"/>
          <w:sz w:val="16"/>
        </w:rPr>
        <w:t>that</w:t>
      </w:r>
      <w:r w:rsidRPr="00EB2BD8">
        <w:rPr>
          <w:rFonts w:ascii="Arial"/>
          <w:spacing w:val="-2"/>
          <w:w w:val="105"/>
          <w:sz w:val="16"/>
        </w:rPr>
        <w:t xml:space="preserve"> </w:t>
      </w:r>
      <w:r w:rsidRPr="00EB2BD8">
        <w:rPr>
          <w:rFonts w:ascii="Arial"/>
          <w:w w:val="105"/>
          <w:sz w:val="16"/>
        </w:rPr>
        <w:t>transfers</w:t>
      </w:r>
      <w:r w:rsidRPr="00EB2BD8">
        <w:rPr>
          <w:rFonts w:ascii="Arial"/>
          <w:spacing w:val="-2"/>
          <w:w w:val="105"/>
          <w:sz w:val="16"/>
        </w:rPr>
        <w:t xml:space="preserve"> </w:t>
      </w:r>
      <w:r w:rsidRPr="00EB2BD8">
        <w:rPr>
          <w:rFonts w:ascii="Arial"/>
          <w:w w:val="105"/>
          <w:sz w:val="16"/>
        </w:rPr>
        <w:t>substantially</w:t>
      </w:r>
      <w:r w:rsidRPr="00EB2BD8">
        <w:rPr>
          <w:rFonts w:ascii="Arial"/>
          <w:spacing w:val="-2"/>
          <w:w w:val="105"/>
          <w:sz w:val="16"/>
        </w:rPr>
        <w:t xml:space="preserve"> </w:t>
      </w:r>
      <w:r w:rsidRPr="00EB2BD8">
        <w:rPr>
          <w:rFonts w:ascii="Arial"/>
          <w:w w:val="105"/>
          <w:sz w:val="16"/>
        </w:rPr>
        <w:t>all</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risks</w:t>
      </w:r>
      <w:r w:rsidRPr="00EB2BD8">
        <w:rPr>
          <w:rFonts w:ascii="Arial"/>
          <w:spacing w:val="-2"/>
          <w:w w:val="105"/>
          <w:sz w:val="16"/>
        </w:rPr>
        <w:t xml:space="preserve"> </w:t>
      </w:r>
      <w:r w:rsidRPr="00EB2BD8">
        <w:rPr>
          <w:rFonts w:ascii="Arial"/>
          <w:w w:val="105"/>
          <w:sz w:val="16"/>
        </w:rPr>
        <w:t>and</w:t>
      </w:r>
      <w:r w:rsidRPr="00EB2BD8">
        <w:rPr>
          <w:rFonts w:ascii="Arial"/>
          <w:spacing w:val="-2"/>
          <w:w w:val="105"/>
          <w:sz w:val="16"/>
        </w:rPr>
        <w:t xml:space="preserve"> </w:t>
      </w:r>
      <w:r w:rsidRPr="00EB2BD8">
        <w:rPr>
          <w:rFonts w:ascii="Arial"/>
          <w:w w:val="105"/>
          <w:sz w:val="16"/>
        </w:rPr>
        <w:t>rewards</w:t>
      </w:r>
      <w:r w:rsidRPr="00EB2BD8">
        <w:rPr>
          <w:rFonts w:ascii="Arial"/>
          <w:spacing w:val="-2"/>
          <w:w w:val="105"/>
          <w:sz w:val="16"/>
        </w:rPr>
        <w:t xml:space="preserve"> </w:t>
      </w:r>
      <w:r w:rsidRPr="00EB2BD8">
        <w:rPr>
          <w:rFonts w:ascii="Arial"/>
          <w:w w:val="105"/>
          <w:sz w:val="16"/>
        </w:rPr>
        <w:t>incidental</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ownership</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an</w:t>
      </w:r>
      <w:r w:rsidRPr="00EB2BD8">
        <w:rPr>
          <w:rFonts w:ascii="Arial"/>
          <w:spacing w:val="-2"/>
          <w:w w:val="105"/>
          <w:sz w:val="16"/>
        </w:rPr>
        <w:t xml:space="preserve"> </w:t>
      </w:r>
      <w:r w:rsidRPr="00EB2BD8">
        <w:rPr>
          <w:rFonts w:ascii="Arial"/>
          <w:w w:val="105"/>
          <w:sz w:val="16"/>
        </w:rPr>
        <w:t xml:space="preserve">underlying </w:t>
      </w:r>
      <w:r w:rsidRPr="00EB2BD8">
        <w:rPr>
          <w:rFonts w:ascii="Arial"/>
          <w:spacing w:val="-2"/>
          <w:w w:val="105"/>
          <w:sz w:val="16"/>
        </w:rPr>
        <w:t>asset.</w:t>
      </w:r>
    </w:p>
    <w:p w14:paraId="73D72457" w14:textId="77777777" w:rsidR="00084F36" w:rsidRPr="00EB2BD8" w:rsidRDefault="00084F36">
      <w:pPr>
        <w:pStyle w:val="BodyText"/>
        <w:rPr>
          <w:rFonts w:ascii="Arial"/>
        </w:rPr>
      </w:pPr>
    </w:p>
    <w:p w14:paraId="7631630C" w14:textId="77777777" w:rsidR="00084F36" w:rsidRPr="00EB2BD8" w:rsidRDefault="00EB2BD8" w:rsidP="009E31F2">
      <w:pPr>
        <w:pStyle w:val="Heading2"/>
        <w:ind w:firstLine="203"/>
      </w:pPr>
      <w:bookmarkStart w:id="386" w:name="_Toc150762688"/>
      <w:r w:rsidRPr="00EB2BD8">
        <w:t>Financial</w:t>
      </w:r>
      <w:r w:rsidRPr="00EB2BD8">
        <w:rPr>
          <w:spacing w:val="18"/>
        </w:rPr>
        <w:t xml:space="preserve"> </w:t>
      </w:r>
      <w:r w:rsidRPr="00EB2BD8">
        <w:rPr>
          <w:spacing w:val="-2"/>
        </w:rPr>
        <w:t>asset</w:t>
      </w:r>
      <w:bookmarkEnd w:id="386"/>
    </w:p>
    <w:p w14:paraId="5FB1B9E5" w14:textId="77777777" w:rsidR="00084F36" w:rsidRPr="00EB2BD8" w:rsidRDefault="00EB2BD8">
      <w:pPr>
        <w:spacing w:before="157"/>
        <w:ind w:left="1053"/>
        <w:rPr>
          <w:rFonts w:ascii="Arial"/>
          <w:sz w:val="16"/>
        </w:rPr>
      </w:pPr>
      <w:r w:rsidRPr="00EB2BD8">
        <w:rPr>
          <w:rFonts w:ascii="Arial"/>
          <w:w w:val="105"/>
          <w:sz w:val="16"/>
        </w:rPr>
        <w:t>A</w:t>
      </w:r>
      <w:r w:rsidRPr="00EB2BD8">
        <w:rPr>
          <w:rFonts w:ascii="Arial"/>
          <w:spacing w:val="-5"/>
          <w:w w:val="105"/>
          <w:sz w:val="16"/>
        </w:rPr>
        <w:t xml:space="preserve"> </w:t>
      </w:r>
      <w:r w:rsidRPr="00EB2BD8">
        <w:rPr>
          <w:rFonts w:ascii="Arial"/>
          <w:w w:val="105"/>
          <w:sz w:val="16"/>
        </w:rPr>
        <w:t>financial</w:t>
      </w:r>
      <w:r w:rsidRPr="00EB2BD8">
        <w:rPr>
          <w:rFonts w:ascii="Arial"/>
          <w:spacing w:val="-5"/>
          <w:w w:val="105"/>
          <w:sz w:val="16"/>
        </w:rPr>
        <w:t xml:space="preserve"> </w:t>
      </w:r>
      <w:r w:rsidRPr="00EB2BD8">
        <w:rPr>
          <w:rFonts w:ascii="Arial"/>
          <w:w w:val="105"/>
          <w:sz w:val="16"/>
        </w:rPr>
        <w:t>asset</w:t>
      </w:r>
      <w:r w:rsidRPr="00EB2BD8">
        <w:rPr>
          <w:rFonts w:ascii="Arial"/>
          <w:spacing w:val="-5"/>
          <w:w w:val="105"/>
          <w:sz w:val="16"/>
        </w:rPr>
        <w:t xml:space="preserve"> </w:t>
      </w:r>
      <w:r w:rsidRPr="00EB2BD8">
        <w:rPr>
          <w:rFonts w:ascii="Arial"/>
          <w:w w:val="105"/>
          <w:sz w:val="16"/>
        </w:rPr>
        <w:t>is</w:t>
      </w:r>
      <w:r w:rsidRPr="00EB2BD8">
        <w:rPr>
          <w:rFonts w:ascii="Arial"/>
          <w:spacing w:val="-4"/>
          <w:w w:val="105"/>
          <w:sz w:val="16"/>
        </w:rPr>
        <w:t xml:space="preserve"> </w:t>
      </w:r>
      <w:r w:rsidRPr="00EB2BD8">
        <w:rPr>
          <w:rFonts w:ascii="Arial"/>
          <w:w w:val="105"/>
          <w:sz w:val="16"/>
        </w:rPr>
        <w:t>any</w:t>
      </w:r>
      <w:r w:rsidRPr="00EB2BD8">
        <w:rPr>
          <w:rFonts w:ascii="Arial"/>
          <w:spacing w:val="-5"/>
          <w:w w:val="105"/>
          <w:sz w:val="16"/>
        </w:rPr>
        <w:t xml:space="preserve"> </w:t>
      </w:r>
      <w:r w:rsidRPr="00EB2BD8">
        <w:rPr>
          <w:rFonts w:ascii="Arial"/>
          <w:w w:val="105"/>
          <w:sz w:val="16"/>
        </w:rPr>
        <w:t>asset</w:t>
      </w:r>
      <w:r w:rsidRPr="00EB2BD8">
        <w:rPr>
          <w:rFonts w:ascii="Arial"/>
          <w:spacing w:val="-5"/>
          <w:w w:val="105"/>
          <w:sz w:val="16"/>
        </w:rPr>
        <w:t xml:space="preserve"> </w:t>
      </w:r>
      <w:r w:rsidRPr="00EB2BD8">
        <w:rPr>
          <w:rFonts w:ascii="Arial"/>
          <w:w w:val="105"/>
          <w:sz w:val="16"/>
        </w:rPr>
        <w:t>that</w:t>
      </w:r>
      <w:r w:rsidRPr="00EB2BD8">
        <w:rPr>
          <w:rFonts w:ascii="Arial"/>
          <w:spacing w:val="-5"/>
          <w:w w:val="105"/>
          <w:sz w:val="16"/>
        </w:rPr>
        <w:t xml:space="preserve"> </w:t>
      </w:r>
      <w:r w:rsidRPr="00EB2BD8">
        <w:rPr>
          <w:rFonts w:ascii="Arial"/>
          <w:w w:val="105"/>
          <w:sz w:val="16"/>
        </w:rPr>
        <w:t>is</w:t>
      </w:r>
      <w:r w:rsidRPr="00EB2BD8">
        <w:rPr>
          <w:rFonts w:ascii="Arial"/>
          <w:spacing w:val="-4"/>
          <w:w w:val="105"/>
          <w:sz w:val="16"/>
        </w:rPr>
        <w:t xml:space="preserve"> </w:t>
      </w:r>
      <w:r w:rsidRPr="00EB2BD8">
        <w:rPr>
          <w:rFonts w:ascii="Arial"/>
          <w:spacing w:val="-2"/>
          <w:w w:val="105"/>
          <w:sz w:val="16"/>
        </w:rPr>
        <w:t>either:</w:t>
      </w:r>
    </w:p>
    <w:p w14:paraId="40356DD1" w14:textId="77777777" w:rsidR="00084F36" w:rsidRPr="00EB2BD8" w:rsidRDefault="00EB2BD8">
      <w:pPr>
        <w:pStyle w:val="ListParagraph"/>
        <w:numPr>
          <w:ilvl w:val="0"/>
          <w:numId w:val="24"/>
        </w:numPr>
        <w:tabs>
          <w:tab w:val="left" w:pos="1722"/>
        </w:tabs>
        <w:spacing w:before="36"/>
        <w:ind w:left="1722" w:hanging="333"/>
        <w:rPr>
          <w:rFonts w:ascii="Arial"/>
          <w:sz w:val="16"/>
        </w:rPr>
      </w:pPr>
      <w:r w:rsidRPr="00EB2BD8">
        <w:rPr>
          <w:rFonts w:ascii="Arial"/>
          <w:spacing w:val="-4"/>
          <w:w w:val="105"/>
          <w:sz w:val="16"/>
        </w:rPr>
        <w:t>cash</w:t>
      </w:r>
    </w:p>
    <w:p w14:paraId="5CC2CCC8" w14:textId="77777777" w:rsidR="00084F36" w:rsidRPr="00EB2BD8" w:rsidRDefault="00EB2BD8">
      <w:pPr>
        <w:pStyle w:val="ListParagraph"/>
        <w:numPr>
          <w:ilvl w:val="0"/>
          <w:numId w:val="24"/>
        </w:numPr>
        <w:tabs>
          <w:tab w:val="left" w:pos="1723"/>
        </w:tabs>
        <w:spacing w:before="15"/>
        <w:ind w:left="1723" w:hanging="334"/>
        <w:rPr>
          <w:rFonts w:ascii="Arial"/>
          <w:sz w:val="16"/>
        </w:rPr>
      </w:pPr>
      <w:r w:rsidRPr="00EB2BD8">
        <w:rPr>
          <w:rFonts w:ascii="Arial"/>
          <w:w w:val="105"/>
          <w:sz w:val="16"/>
        </w:rPr>
        <w:t>an</w:t>
      </w:r>
      <w:r w:rsidRPr="00EB2BD8">
        <w:rPr>
          <w:rFonts w:ascii="Arial"/>
          <w:spacing w:val="-7"/>
          <w:w w:val="105"/>
          <w:sz w:val="16"/>
        </w:rPr>
        <w:t xml:space="preserve"> </w:t>
      </w:r>
      <w:r w:rsidRPr="00EB2BD8">
        <w:rPr>
          <w:rFonts w:ascii="Arial"/>
          <w:w w:val="105"/>
          <w:sz w:val="16"/>
        </w:rPr>
        <w:t>equity</w:t>
      </w:r>
      <w:r w:rsidRPr="00EB2BD8">
        <w:rPr>
          <w:rFonts w:ascii="Arial"/>
          <w:spacing w:val="-7"/>
          <w:w w:val="105"/>
          <w:sz w:val="16"/>
        </w:rPr>
        <w:t xml:space="preserve"> </w:t>
      </w:r>
      <w:r w:rsidRPr="00EB2BD8">
        <w:rPr>
          <w:rFonts w:ascii="Arial"/>
          <w:w w:val="105"/>
          <w:sz w:val="16"/>
        </w:rPr>
        <w:t>instrument</w:t>
      </w:r>
      <w:r w:rsidRPr="00EB2BD8">
        <w:rPr>
          <w:rFonts w:ascii="Arial"/>
          <w:spacing w:val="-7"/>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another</w:t>
      </w:r>
      <w:r w:rsidRPr="00EB2BD8">
        <w:rPr>
          <w:rFonts w:ascii="Arial"/>
          <w:spacing w:val="-7"/>
          <w:w w:val="105"/>
          <w:sz w:val="16"/>
        </w:rPr>
        <w:t xml:space="preserve"> </w:t>
      </w:r>
      <w:r w:rsidRPr="00EB2BD8">
        <w:rPr>
          <w:rFonts w:ascii="Arial"/>
          <w:spacing w:val="-2"/>
          <w:w w:val="105"/>
          <w:sz w:val="16"/>
        </w:rPr>
        <w:t>entity</w:t>
      </w:r>
    </w:p>
    <w:p w14:paraId="3836F70A" w14:textId="77777777" w:rsidR="00084F36" w:rsidRPr="00EB2BD8" w:rsidRDefault="00EB2BD8">
      <w:pPr>
        <w:pStyle w:val="ListParagraph"/>
        <w:numPr>
          <w:ilvl w:val="1"/>
          <w:numId w:val="24"/>
        </w:numPr>
        <w:tabs>
          <w:tab w:val="left" w:pos="1845"/>
          <w:tab w:val="left" w:pos="1847"/>
        </w:tabs>
        <w:spacing w:before="19" w:line="290" w:lineRule="auto"/>
        <w:ind w:right="1822"/>
        <w:rPr>
          <w:rFonts w:ascii="Arial" w:hAnsi="Arial"/>
          <w:sz w:val="16"/>
        </w:rPr>
      </w:pPr>
      <w:r w:rsidRPr="00EB2BD8">
        <w:rPr>
          <w:rFonts w:ascii="Arial" w:hAnsi="Arial"/>
          <w:w w:val="105"/>
          <w:sz w:val="16"/>
        </w:rPr>
        <w:t>a</w:t>
      </w:r>
      <w:r w:rsidRPr="00EB2BD8">
        <w:rPr>
          <w:rFonts w:ascii="Arial" w:hAnsi="Arial"/>
          <w:spacing w:val="-3"/>
          <w:w w:val="105"/>
          <w:sz w:val="16"/>
        </w:rPr>
        <w:t xml:space="preserve"> </w:t>
      </w:r>
      <w:r w:rsidRPr="00EB2BD8">
        <w:rPr>
          <w:rFonts w:ascii="Arial" w:hAnsi="Arial"/>
          <w:w w:val="105"/>
          <w:sz w:val="16"/>
        </w:rPr>
        <w:t>contractual</w:t>
      </w:r>
      <w:r w:rsidRPr="00EB2BD8">
        <w:rPr>
          <w:rFonts w:ascii="Arial" w:hAnsi="Arial"/>
          <w:spacing w:val="-3"/>
          <w:w w:val="105"/>
          <w:sz w:val="16"/>
        </w:rPr>
        <w:t xml:space="preserve"> </w:t>
      </w:r>
      <w:r w:rsidRPr="00EB2BD8">
        <w:rPr>
          <w:rFonts w:ascii="Arial" w:hAnsi="Arial"/>
          <w:w w:val="105"/>
          <w:sz w:val="16"/>
        </w:rPr>
        <w:t>right</w:t>
      </w:r>
      <w:r w:rsidRPr="00EB2BD8">
        <w:rPr>
          <w:rFonts w:ascii="Arial" w:hAnsi="Arial"/>
          <w:spacing w:val="-2"/>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receive</w:t>
      </w:r>
      <w:r w:rsidRPr="00EB2BD8">
        <w:rPr>
          <w:rFonts w:ascii="Arial" w:hAnsi="Arial"/>
          <w:spacing w:val="-3"/>
          <w:w w:val="105"/>
          <w:sz w:val="16"/>
        </w:rPr>
        <w:t xml:space="preserve"> </w:t>
      </w:r>
      <w:r w:rsidRPr="00EB2BD8">
        <w:rPr>
          <w:rFonts w:ascii="Arial" w:hAnsi="Arial"/>
          <w:w w:val="105"/>
          <w:sz w:val="16"/>
        </w:rPr>
        <w:t>cash</w:t>
      </w:r>
      <w:r w:rsidRPr="00EB2BD8">
        <w:rPr>
          <w:rFonts w:ascii="Arial" w:hAnsi="Arial"/>
          <w:spacing w:val="-3"/>
          <w:w w:val="105"/>
          <w:sz w:val="16"/>
        </w:rPr>
        <w:t xml:space="preserve"> </w:t>
      </w:r>
      <w:r w:rsidRPr="00EB2BD8">
        <w:rPr>
          <w:rFonts w:ascii="Arial" w:hAnsi="Arial"/>
          <w:w w:val="105"/>
          <w:sz w:val="16"/>
        </w:rPr>
        <w:t>or</w:t>
      </w:r>
      <w:r w:rsidRPr="00EB2BD8">
        <w:rPr>
          <w:rFonts w:ascii="Arial" w:hAnsi="Arial"/>
          <w:spacing w:val="-3"/>
          <w:w w:val="105"/>
          <w:sz w:val="16"/>
        </w:rPr>
        <w:t xml:space="preserve"> </w:t>
      </w:r>
      <w:r w:rsidRPr="00EB2BD8">
        <w:rPr>
          <w:rFonts w:ascii="Arial" w:hAnsi="Arial"/>
          <w:w w:val="105"/>
          <w:sz w:val="16"/>
        </w:rPr>
        <w:t>another</w:t>
      </w:r>
      <w:r w:rsidRPr="00EB2BD8">
        <w:rPr>
          <w:rFonts w:ascii="Arial" w:hAnsi="Arial"/>
          <w:spacing w:val="-2"/>
          <w:w w:val="105"/>
          <w:sz w:val="16"/>
        </w:rPr>
        <w:t xml:space="preserve"> </w:t>
      </w:r>
      <w:r w:rsidRPr="00EB2BD8">
        <w:rPr>
          <w:rFonts w:ascii="Arial" w:hAnsi="Arial"/>
          <w:w w:val="105"/>
          <w:sz w:val="16"/>
        </w:rPr>
        <w:t>financial</w:t>
      </w:r>
      <w:r w:rsidRPr="00EB2BD8">
        <w:rPr>
          <w:rFonts w:ascii="Arial" w:hAnsi="Arial"/>
          <w:spacing w:val="-3"/>
          <w:w w:val="105"/>
          <w:sz w:val="16"/>
        </w:rPr>
        <w:t xml:space="preserve"> </w:t>
      </w:r>
      <w:r w:rsidRPr="00EB2BD8">
        <w:rPr>
          <w:rFonts w:ascii="Arial" w:hAnsi="Arial"/>
          <w:w w:val="105"/>
          <w:sz w:val="16"/>
        </w:rPr>
        <w:t>asset</w:t>
      </w:r>
      <w:r w:rsidRPr="00EB2BD8">
        <w:rPr>
          <w:rFonts w:ascii="Arial" w:hAnsi="Arial"/>
          <w:spacing w:val="-3"/>
          <w:w w:val="105"/>
          <w:sz w:val="16"/>
        </w:rPr>
        <w:t xml:space="preserve"> </w:t>
      </w:r>
      <w:r w:rsidRPr="00EB2BD8">
        <w:rPr>
          <w:rFonts w:ascii="Arial" w:hAnsi="Arial"/>
          <w:w w:val="105"/>
          <w:sz w:val="16"/>
        </w:rPr>
        <w:t>from</w:t>
      </w:r>
      <w:r w:rsidRPr="00EB2BD8">
        <w:rPr>
          <w:rFonts w:ascii="Arial" w:hAnsi="Arial"/>
          <w:spacing w:val="-3"/>
          <w:w w:val="105"/>
          <w:sz w:val="16"/>
        </w:rPr>
        <w:t xml:space="preserve"> </w:t>
      </w:r>
      <w:r w:rsidRPr="00EB2BD8">
        <w:rPr>
          <w:rFonts w:ascii="Arial" w:hAnsi="Arial"/>
          <w:w w:val="105"/>
          <w:sz w:val="16"/>
        </w:rPr>
        <w:t>another</w:t>
      </w:r>
      <w:r w:rsidRPr="00EB2BD8">
        <w:rPr>
          <w:rFonts w:ascii="Arial" w:hAnsi="Arial"/>
          <w:spacing w:val="-3"/>
          <w:w w:val="105"/>
          <w:sz w:val="16"/>
        </w:rPr>
        <w:t xml:space="preserve"> </w:t>
      </w:r>
      <w:r w:rsidRPr="00EB2BD8">
        <w:rPr>
          <w:rFonts w:ascii="Arial" w:hAnsi="Arial"/>
          <w:w w:val="105"/>
          <w:sz w:val="16"/>
        </w:rPr>
        <w:t>entity</w:t>
      </w:r>
      <w:r w:rsidRPr="00EB2BD8">
        <w:rPr>
          <w:rFonts w:ascii="Arial" w:hAnsi="Arial"/>
          <w:spacing w:val="-3"/>
          <w:w w:val="105"/>
          <w:sz w:val="16"/>
        </w:rPr>
        <w:t xml:space="preserve"> </w:t>
      </w:r>
      <w:r w:rsidRPr="00EB2BD8">
        <w:rPr>
          <w:rFonts w:ascii="Arial" w:hAnsi="Arial"/>
          <w:w w:val="105"/>
          <w:sz w:val="16"/>
        </w:rPr>
        <w:t>or</w:t>
      </w:r>
      <w:r w:rsidRPr="00EB2BD8">
        <w:rPr>
          <w:rFonts w:ascii="Arial" w:hAnsi="Arial"/>
          <w:spacing w:val="-2"/>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exchange</w:t>
      </w:r>
      <w:r w:rsidRPr="00EB2BD8">
        <w:rPr>
          <w:rFonts w:ascii="Arial" w:hAnsi="Arial"/>
          <w:spacing w:val="-3"/>
          <w:w w:val="105"/>
          <w:sz w:val="16"/>
        </w:rPr>
        <w:t xml:space="preserve"> </w:t>
      </w:r>
      <w:r w:rsidRPr="00EB2BD8">
        <w:rPr>
          <w:rFonts w:ascii="Arial" w:hAnsi="Arial"/>
          <w:w w:val="105"/>
          <w:sz w:val="16"/>
        </w:rPr>
        <w:t>financial</w:t>
      </w:r>
      <w:r w:rsidRPr="00EB2BD8">
        <w:rPr>
          <w:rFonts w:ascii="Arial" w:hAnsi="Arial"/>
          <w:spacing w:val="-3"/>
          <w:w w:val="105"/>
          <w:sz w:val="16"/>
        </w:rPr>
        <w:t xml:space="preserve"> </w:t>
      </w:r>
      <w:r w:rsidRPr="00EB2BD8">
        <w:rPr>
          <w:rFonts w:ascii="Arial" w:hAnsi="Arial"/>
          <w:w w:val="105"/>
          <w:sz w:val="16"/>
        </w:rPr>
        <w:t>assets or financial liabilities with another entity under conditions that are potentially favourable to the entity.</w:t>
      </w:r>
    </w:p>
    <w:p w14:paraId="2FB00111" w14:textId="77777777" w:rsidR="00084F36" w:rsidRPr="00EB2BD8" w:rsidRDefault="00EB2BD8">
      <w:pPr>
        <w:pStyle w:val="ListParagraph"/>
        <w:numPr>
          <w:ilvl w:val="0"/>
          <w:numId w:val="24"/>
        </w:numPr>
        <w:tabs>
          <w:tab w:val="left" w:pos="1722"/>
          <w:tab w:val="left" w:pos="1725"/>
        </w:tabs>
        <w:spacing w:line="259" w:lineRule="auto"/>
        <w:ind w:right="2055"/>
        <w:rPr>
          <w:rFonts w:ascii="Arial" w:hAnsi="Arial"/>
          <w:sz w:val="16"/>
        </w:rPr>
      </w:pPr>
      <w:r w:rsidRPr="00EB2BD8">
        <w:rPr>
          <w:rFonts w:ascii="Arial" w:hAnsi="Arial"/>
          <w:w w:val="105"/>
          <w:sz w:val="16"/>
        </w:rPr>
        <w:t>a</w:t>
      </w:r>
      <w:r w:rsidRPr="00EB2BD8">
        <w:rPr>
          <w:rFonts w:ascii="Arial" w:hAnsi="Arial"/>
          <w:spacing w:val="-2"/>
          <w:w w:val="105"/>
          <w:sz w:val="16"/>
        </w:rPr>
        <w:t xml:space="preserve"> </w:t>
      </w:r>
      <w:r w:rsidRPr="00EB2BD8">
        <w:rPr>
          <w:rFonts w:ascii="Arial" w:hAnsi="Arial"/>
          <w:w w:val="105"/>
          <w:sz w:val="16"/>
        </w:rPr>
        <w:t>financial</w:t>
      </w:r>
      <w:r w:rsidRPr="00EB2BD8">
        <w:rPr>
          <w:rFonts w:ascii="Arial" w:hAnsi="Arial"/>
          <w:spacing w:val="-1"/>
          <w:w w:val="105"/>
          <w:sz w:val="16"/>
        </w:rPr>
        <w:t xml:space="preserve"> </w:t>
      </w:r>
      <w:r w:rsidRPr="00EB2BD8">
        <w:rPr>
          <w:rFonts w:ascii="Arial" w:hAnsi="Arial"/>
          <w:w w:val="105"/>
          <w:sz w:val="16"/>
        </w:rPr>
        <w:t>asset</w:t>
      </w:r>
      <w:r w:rsidRPr="00EB2BD8">
        <w:rPr>
          <w:rFonts w:ascii="Arial" w:hAnsi="Arial"/>
          <w:spacing w:val="-2"/>
          <w:w w:val="105"/>
          <w:sz w:val="16"/>
        </w:rPr>
        <w:t xml:space="preserve"> </w:t>
      </w:r>
      <w:r w:rsidRPr="00EB2BD8">
        <w:rPr>
          <w:rFonts w:ascii="Arial" w:hAnsi="Arial"/>
          <w:w w:val="105"/>
          <w:sz w:val="16"/>
        </w:rPr>
        <w:t>can</w:t>
      </w:r>
      <w:r w:rsidRPr="00EB2BD8">
        <w:rPr>
          <w:rFonts w:ascii="Arial" w:hAnsi="Arial"/>
          <w:spacing w:val="-2"/>
          <w:w w:val="105"/>
          <w:sz w:val="16"/>
        </w:rPr>
        <w:t xml:space="preserve"> </w:t>
      </w:r>
      <w:r w:rsidRPr="00EB2BD8">
        <w:rPr>
          <w:rFonts w:ascii="Arial" w:hAnsi="Arial"/>
          <w:w w:val="105"/>
          <w:sz w:val="16"/>
        </w:rPr>
        <w:t>also</w:t>
      </w:r>
      <w:r w:rsidRPr="00EB2BD8">
        <w:rPr>
          <w:rFonts w:ascii="Arial" w:hAnsi="Arial"/>
          <w:spacing w:val="-1"/>
          <w:w w:val="105"/>
          <w:sz w:val="16"/>
        </w:rPr>
        <w:t xml:space="preserve"> </w:t>
      </w:r>
      <w:r w:rsidRPr="00EB2BD8">
        <w:rPr>
          <w:rFonts w:ascii="Arial" w:hAnsi="Arial"/>
          <w:w w:val="105"/>
          <w:sz w:val="16"/>
        </w:rPr>
        <w:t>be</w:t>
      </w:r>
      <w:r w:rsidRPr="00EB2BD8">
        <w:rPr>
          <w:rFonts w:ascii="Arial" w:hAnsi="Arial"/>
          <w:spacing w:val="-1"/>
          <w:w w:val="105"/>
          <w:sz w:val="16"/>
        </w:rPr>
        <w:t xml:space="preserve"> </w:t>
      </w:r>
      <w:r w:rsidRPr="00EB2BD8">
        <w:rPr>
          <w:rFonts w:ascii="Arial" w:hAnsi="Arial"/>
          <w:w w:val="105"/>
          <w:sz w:val="16"/>
        </w:rPr>
        <w:t>a</w:t>
      </w:r>
      <w:r w:rsidRPr="00EB2BD8">
        <w:rPr>
          <w:rFonts w:ascii="Arial" w:hAnsi="Arial"/>
          <w:spacing w:val="-2"/>
          <w:w w:val="105"/>
          <w:sz w:val="16"/>
        </w:rPr>
        <w:t xml:space="preserve"> </w:t>
      </w:r>
      <w:r w:rsidRPr="00EB2BD8">
        <w:rPr>
          <w:rFonts w:ascii="Arial" w:hAnsi="Arial"/>
          <w:w w:val="105"/>
          <w:sz w:val="16"/>
        </w:rPr>
        <w:t>contract</w:t>
      </w:r>
      <w:r w:rsidRPr="00EB2BD8">
        <w:rPr>
          <w:rFonts w:ascii="Arial" w:hAnsi="Arial"/>
          <w:spacing w:val="-2"/>
          <w:w w:val="105"/>
          <w:sz w:val="16"/>
        </w:rPr>
        <w:t xml:space="preserve"> </w:t>
      </w:r>
      <w:r w:rsidRPr="00EB2BD8">
        <w:rPr>
          <w:rFonts w:ascii="Arial" w:hAnsi="Arial"/>
          <w:w w:val="105"/>
          <w:sz w:val="16"/>
        </w:rPr>
        <w:t>that</w:t>
      </w:r>
      <w:r w:rsidRPr="00EB2BD8">
        <w:rPr>
          <w:rFonts w:ascii="Arial" w:hAnsi="Arial"/>
          <w:spacing w:val="-2"/>
          <w:w w:val="105"/>
          <w:sz w:val="16"/>
        </w:rPr>
        <w:t xml:space="preserve"> </w:t>
      </w:r>
      <w:r w:rsidRPr="00EB2BD8">
        <w:rPr>
          <w:rFonts w:ascii="Arial" w:hAnsi="Arial"/>
          <w:w w:val="105"/>
          <w:sz w:val="16"/>
        </w:rPr>
        <w:t>will</w:t>
      </w:r>
      <w:r w:rsidRPr="00EB2BD8">
        <w:rPr>
          <w:rFonts w:ascii="Arial" w:hAnsi="Arial"/>
          <w:spacing w:val="-2"/>
          <w:w w:val="105"/>
          <w:sz w:val="16"/>
        </w:rPr>
        <w:t xml:space="preserve"> </w:t>
      </w:r>
      <w:r w:rsidRPr="00EB2BD8">
        <w:rPr>
          <w:rFonts w:ascii="Arial" w:hAnsi="Arial"/>
          <w:w w:val="105"/>
          <w:sz w:val="16"/>
        </w:rPr>
        <w:t>or</w:t>
      </w:r>
      <w:r w:rsidRPr="00EB2BD8">
        <w:rPr>
          <w:rFonts w:ascii="Arial" w:hAnsi="Arial"/>
          <w:spacing w:val="-2"/>
          <w:w w:val="105"/>
          <w:sz w:val="16"/>
        </w:rPr>
        <w:t xml:space="preserve"> </w:t>
      </w:r>
      <w:r w:rsidRPr="00EB2BD8">
        <w:rPr>
          <w:rFonts w:ascii="Arial" w:hAnsi="Arial"/>
          <w:w w:val="105"/>
          <w:sz w:val="16"/>
        </w:rPr>
        <w:t>may</w:t>
      </w:r>
      <w:r w:rsidRPr="00EB2BD8">
        <w:rPr>
          <w:rFonts w:ascii="Arial" w:hAnsi="Arial"/>
          <w:spacing w:val="-2"/>
          <w:w w:val="105"/>
          <w:sz w:val="16"/>
        </w:rPr>
        <w:t xml:space="preserve"> </w:t>
      </w:r>
      <w:r w:rsidRPr="00EB2BD8">
        <w:rPr>
          <w:rFonts w:ascii="Arial" w:hAnsi="Arial"/>
          <w:w w:val="105"/>
          <w:sz w:val="16"/>
        </w:rPr>
        <w:t>be</w:t>
      </w:r>
      <w:r w:rsidRPr="00EB2BD8">
        <w:rPr>
          <w:rFonts w:ascii="Arial" w:hAnsi="Arial"/>
          <w:spacing w:val="-1"/>
          <w:w w:val="105"/>
          <w:sz w:val="16"/>
        </w:rPr>
        <w:t xml:space="preserve"> </w:t>
      </w:r>
      <w:r w:rsidRPr="00EB2BD8">
        <w:rPr>
          <w:rFonts w:ascii="Arial" w:hAnsi="Arial"/>
          <w:w w:val="105"/>
          <w:sz w:val="16"/>
        </w:rPr>
        <w:t>settled</w:t>
      </w:r>
      <w:r w:rsidRPr="00EB2BD8">
        <w:rPr>
          <w:rFonts w:ascii="Arial" w:hAnsi="Arial"/>
          <w:spacing w:val="-2"/>
          <w:w w:val="105"/>
          <w:sz w:val="16"/>
        </w:rPr>
        <w:t xml:space="preserve"> </w:t>
      </w:r>
      <w:r w:rsidRPr="00EB2BD8">
        <w:rPr>
          <w:rFonts w:ascii="Arial" w:hAnsi="Arial"/>
          <w:w w:val="105"/>
          <w:sz w:val="16"/>
        </w:rPr>
        <w:t>in</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entity’s</w:t>
      </w:r>
      <w:r w:rsidRPr="00EB2BD8">
        <w:rPr>
          <w:rFonts w:ascii="Arial" w:hAnsi="Arial"/>
          <w:spacing w:val="-2"/>
          <w:w w:val="105"/>
          <w:sz w:val="16"/>
        </w:rPr>
        <w:t xml:space="preserve"> </w:t>
      </w:r>
      <w:r w:rsidRPr="00EB2BD8">
        <w:rPr>
          <w:rFonts w:ascii="Arial" w:hAnsi="Arial"/>
          <w:w w:val="105"/>
          <w:sz w:val="16"/>
        </w:rPr>
        <w:t>own</w:t>
      </w:r>
      <w:r w:rsidRPr="00EB2BD8">
        <w:rPr>
          <w:rFonts w:ascii="Arial" w:hAnsi="Arial"/>
          <w:spacing w:val="-2"/>
          <w:w w:val="105"/>
          <w:sz w:val="16"/>
        </w:rPr>
        <w:t xml:space="preserve"> </w:t>
      </w:r>
      <w:r w:rsidRPr="00EB2BD8">
        <w:rPr>
          <w:rFonts w:ascii="Arial" w:hAnsi="Arial"/>
          <w:w w:val="105"/>
          <w:sz w:val="16"/>
        </w:rPr>
        <w:t>equity</w:t>
      </w:r>
      <w:r w:rsidRPr="00EB2BD8">
        <w:rPr>
          <w:rFonts w:ascii="Arial" w:hAnsi="Arial"/>
          <w:spacing w:val="-2"/>
          <w:w w:val="105"/>
          <w:sz w:val="16"/>
        </w:rPr>
        <w:t xml:space="preserve"> </w:t>
      </w:r>
      <w:r w:rsidRPr="00EB2BD8">
        <w:rPr>
          <w:rFonts w:ascii="Arial" w:hAnsi="Arial"/>
          <w:w w:val="105"/>
          <w:sz w:val="16"/>
        </w:rPr>
        <w:t>instruments</w:t>
      </w:r>
      <w:r w:rsidRPr="00EB2BD8">
        <w:rPr>
          <w:rFonts w:ascii="Arial" w:hAnsi="Arial"/>
          <w:spacing w:val="-1"/>
          <w:w w:val="105"/>
          <w:sz w:val="16"/>
        </w:rPr>
        <w:t xml:space="preserve"> </w:t>
      </w:r>
      <w:r w:rsidRPr="00EB2BD8">
        <w:rPr>
          <w:rFonts w:ascii="Arial" w:hAnsi="Arial"/>
          <w:w w:val="105"/>
          <w:sz w:val="16"/>
        </w:rPr>
        <w:t>and</w:t>
      </w:r>
      <w:r w:rsidRPr="00EB2BD8">
        <w:rPr>
          <w:rFonts w:ascii="Arial" w:hAnsi="Arial"/>
          <w:spacing w:val="-2"/>
          <w:w w:val="105"/>
          <w:sz w:val="16"/>
        </w:rPr>
        <w:t xml:space="preserve"> </w:t>
      </w:r>
      <w:r w:rsidRPr="00EB2BD8">
        <w:rPr>
          <w:rFonts w:ascii="Arial" w:hAnsi="Arial"/>
          <w:w w:val="105"/>
          <w:sz w:val="16"/>
        </w:rPr>
        <w:t xml:space="preserve">is </w:t>
      </w:r>
      <w:r w:rsidRPr="00EB2BD8">
        <w:rPr>
          <w:rFonts w:ascii="Arial" w:hAnsi="Arial"/>
          <w:spacing w:val="-2"/>
          <w:w w:val="105"/>
          <w:sz w:val="16"/>
        </w:rPr>
        <w:t>either:</w:t>
      </w:r>
    </w:p>
    <w:p w14:paraId="0E25B921" w14:textId="77777777" w:rsidR="00084F36" w:rsidRPr="00EB2BD8" w:rsidRDefault="00EB2BD8">
      <w:pPr>
        <w:pStyle w:val="ListParagraph"/>
        <w:numPr>
          <w:ilvl w:val="1"/>
          <w:numId w:val="24"/>
        </w:numPr>
        <w:tabs>
          <w:tab w:val="left" w:pos="1845"/>
          <w:tab w:val="left" w:pos="1847"/>
        </w:tabs>
        <w:spacing w:before="19" w:line="290" w:lineRule="auto"/>
        <w:ind w:right="1812"/>
        <w:rPr>
          <w:rFonts w:ascii="Arial" w:hAnsi="Arial"/>
          <w:sz w:val="16"/>
        </w:rPr>
      </w:pPr>
      <w:r w:rsidRPr="00EB2BD8">
        <w:rPr>
          <w:rFonts w:ascii="Arial" w:hAnsi="Arial"/>
          <w:w w:val="105"/>
          <w:sz w:val="16"/>
        </w:rPr>
        <w:t>a</w:t>
      </w:r>
      <w:r w:rsidRPr="00EB2BD8">
        <w:rPr>
          <w:rFonts w:ascii="Arial" w:hAnsi="Arial"/>
          <w:spacing w:val="-2"/>
          <w:w w:val="105"/>
          <w:sz w:val="16"/>
        </w:rPr>
        <w:t xml:space="preserve"> </w:t>
      </w:r>
      <w:r w:rsidRPr="00EB2BD8">
        <w:rPr>
          <w:rFonts w:ascii="Arial" w:hAnsi="Arial"/>
          <w:w w:val="105"/>
          <w:sz w:val="16"/>
        </w:rPr>
        <w:t>non-derivative</w:t>
      </w:r>
      <w:r w:rsidRPr="00EB2BD8">
        <w:rPr>
          <w:rFonts w:ascii="Arial" w:hAnsi="Arial"/>
          <w:spacing w:val="-2"/>
          <w:w w:val="105"/>
          <w:sz w:val="16"/>
        </w:rPr>
        <w:t xml:space="preserve"> </w:t>
      </w:r>
      <w:r w:rsidRPr="00EB2BD8">
        <w:rPr>
          <w:rFonts w:ascii="Arial" w:hAnsi="Arial"/>
          <w:w w:val="105"/>
          <w:sz w:val="16"/>
        </w:rPr>
        <w:t>for</w:t>
      </w:r>
      <w:r w:rsidRPr="00EB2BD8">
        <w:rPr>
          <w:rFonts w:ascii="Arial" w:hAnsi="Arial"/>
          <w:spacing w:val="-2"/>
          <w:w w:val="105"/>
          <w:sz w:val="16"/>
        </w:rPr>
        <w:t xml:space="preserve"> </w:t>
      </w:r>
      <w:r w:rsidRPr="00EB2BD8">
        <w:rPr>
          <w:rFonts w:ascii="Arial" w:hAnsi="Arial"/>
          <w:w w:val="105"/>
          <w:sz w:val="16"/>
        </w:rPr>
        <w:t>which</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1"/>
          <w:w w:val="105"/>
          <w:sz w:val="16"/>
        </w:rPr>
        <w:t xml:space="preserve"> </w:t>
      </w:r>
      <w:r w:rsidRPr="00EB2BD8">
        <w:rPr>
          <w:rFonts w:ascii="Arial" w:hAnsi="Arial"/>
          <w:w w:val="105"/>
          <w:sz w:val="16"/>
        </w:rPr>
        <w:t>entity</w:t>
      </w:r>
      <w:r w:rsidRPr="00EB2BD8">
        <w:rPr>
          <w:rFonts w:ascii="Arial" w:hAnsi="Arial"/>
          <w:spacing w:val="-2"/>
          <w:w w:val="105"/>
          <w:sz w:val="16"/>
        </w:rPr>
        <w:t xml:space="preserve"> </w:t>
      </w:r>
      <w:r w:rsidRPr="00EB2BD8">
        <w:rPr>
          <w:rFonts w:ascii="Arial" w:hAnsi="Arial"/>
          <w:w w:val="105"/>
          <w:sz w:val="16"/>
        </w:rPr>
        <w:t>is</w:t>
      </w:r>
      <w:r w:rsidRPr="00EB2BD8">
        <w:rPr>
          <w:rFonts w:ascii="Arial" w:hAnsi="Arial"/>
          <w:spacing w:val="-2"/>
          <w:w w:val="105"/>
          <w:sz w:val="16"/>
        </w:rPr>
        <w:t xml:space="preserve"> </w:t>
      </w:r>
      <w:r w:rsidRPr="00EB2BD8">
        <w:rPr>
          <w:rFonts w:ascii="Arial" w:hAnsi="Arial"/>
          <w:w w:val="105"/>
          <w:sz w:val="16"/>
        </w:rPr>
        <w:t>or</w:t>
      </w:r>
      <w:r w:rsidRPr="00EB2BD8">
        <w:rPr>
          <w:rFonts w:ascii="Arial" w:hAnsi="Arial"/>
          <w:spacing w:val="-2"/>
          <w:w w:val="105"/>
          <w:sz w:val="16"/>
        </w:rPr>
        <w:t xml:space="preserve"> </w:t>
      </w:r>
      <w:r w:rsidRPr="00EB2BD8">
        <w:rPr>
          <w:rFonts w:ascii="Arial" w:hAnsi="Arial"/>
          <w:w w:val="105"/>
          <w:sz w:val="16"/>
        </w:rPr>
        <w:t>may</w:t>
      </w:r>
      <w:r w:rsidRPr="00EB2BD8">
        <w:rPr>
          <w:rFonts w:ascii="Arial" w:hAnsi="Arial"/>
          <w:spacing w:val="-1"/>
          <w:w w:val="105"/>
          <w:sz w:val="16"/>
        </w:rPr>
        <w:t xml:space="preserve"> </w:t>
      </w:r>
      <w:r w:rsidRPr="00EB2BD8">
        <w:rPr>
          <w:rFonts w:ascii="Arial" w:hAnsi="Arial"/>
          <w:w w:val="105"/>
          <w:sz w:val="16"/>
        </w:rPr>
        <w:t>be</w:t>
      </w:r>
      <w:r w:rsidRPr="00EB2BD8">
        <w:rPr>
          <w:rFonts w:ascii="Arial" w:hAnsi="Arial"/>
          <w:spacing w:val="-2"/>
          <w:w w:val="105"/>
          <w:sz w:val="16"/>
        </w:rPr>
        <w:t xml:space="preserve"> </w:t>
      </w:r>
      <w:r w:rsidRPr="00EB2BD8">
        <w:rPr>
          <w:rFonts w:ascii="Arial" w:hAnsi="Arial"/>
          <w:w w:val="105"/>
          <w:sz w:val="16"/>
        </w:rPr>
        <w:t>obliged</w:t>
      </w:r>
      <w:r w:rsidRPr="00EB2BD8">
        <w:rPr>
          <w:rFonts w:ascii="Arial" w:hAnsi="Arial"/>
          <w:spacing w:val="-2"/>
          <w:w w:val="105"/>
          <w:sz w:val="16"/>
        </w:rPr>
        <w:t xml:space="preserve"> </w:t>
      </w:r>
      <w:r w:rsidRPr="00EB2BD8">
        <w:rPr>
          <w:rFonts w:ascii="Arial" w:hAnsi="Arial"/>
          <w:w w:val="105"/>
          <w:sz w:val="16"/>
        </w:rPr>
        <w:t>to</w:t>
      </w:r>
      <w:r w:rsidRPr="00EB2BD8">
        <w:rPr>
          <w:rFonts w:ascii="Arial" w:hAnsi="Arial"/>
          <w:spacing w:val="-2"/>
          <w:w w:val="105"/>
          <w:sz w:val="16"/>
        </w:rPr>
        <w:t xml:space="preserve"> </w:t>
      </w:r>
      <w:r w:rsidRPr="00EB2BD8">
        <w:rPr>
          <w:rFonts w:ascii="Arial" w:hAnsi="Arial"/>
          <w:w w:val="105"/>
          <w:sz w:val="16"/>
        </w:rPr>
        <w:t>receive</w:t>
      </w:r>
      <w:r w:rsidRPr="00EB2BD8">
        <w:rPr>
          <w:rFonts w:ascii="Arial" w:hAnsi="Arial"/>
          <w:spacing w:val="-2"/>
          <w:w w:val="105"/>
          <w:sz w:val="16"/>
        </w:rPr>
        <w:t xml:space="preserve"> </w:t>
      </w:r>
      <w:r w:rsidRPr="00EB2BD8">
        <w:rPr>
          <w:rFonts w:ascii="Arial" w:hAnsi="Arial"/>
          <w:w w:val="105"/>
          <w:sz w:val="16"/>
        </w:rPr>
        <w:t>a</w:t>
      </w:r>
      <w:r w:rsidRPr="00EB2BD8">
        <w:rPr>
          <w:rFonts w:ascii="Arial" w:hAnsi="Arial"/>
          <w:spacing w:val="-2"/>
          <w:w w:val="105"/>
          <w:sz w:val="16"/>
        </w:rPr>
        <w:t xml:space="preserve"> </w:t>
      </w:r>
      <w:r w:rsidRPr="00EB2BD8">
        <w:rPr>
          <w:rFonts w:ascii="Arial" w:hAnsi="Arial"/>
          <w:w w:val="105"/>
          <w:sz w:val="16"/>
        </w:rPr>
        <w:t>variable</w:t>
      </w:r>
      <w:r w:rsidRPr="00EB2BD8">
        <w:rPr>
          <w:rFonts w:ascii="Arial" w:hAnsi="Arial"/>
          <w:spacing w:val="-2"/>
          <w:w w:val="105"/>
          <w:sz w:val="16"/>
        </w:rPr>
        <w:t xml:space="preserve"> </w:t>
      </w:r>
      <w:r w:rsidRPr="00EB2BD8">
        <w:rPr>
          <w:rFonts w:ascii="Arial" w:hAnsi="Arial"/>
          <w:w w:val="105"/>
          <w:sz w:val="16"/>
        </w:rPr>
        <w:t>number</w:t>
      </w:r>
      <w:r w:rsidRPr="00EB2BD8">
        <w:rPr>
          <w:rFonts w:ascii="Arial" w:hAnsi="Arial"/>
          <w:spacing w:val="-2"/>
          <w:w w:val="105"/>
          <w:sz w:val="16"/>
        </w:rPr>
        <w:t xml:space="preserve"> </w:t>
      </w:r>
      <w:r w:rsidRPr="00EB2BD8">
        <w:rPr>
          <w:rFonts w:ascii="Arial" w:hAnsi="Arial"/>
          <w:w w:val="105"/>
          <w:sz w:val="16"/>
        </w:rPr>
        <w:t>of</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entity’s</w:t>
      </w:r>
      <w:r w:rsidRPr="00EB2BD8">
        <w:rPr>
          <w:rFonts w:ascii="Arial" w:hAnsi="Arial"/>
          <w:spacing w:val="-2"/>
          <w:w w:val="105"/>
          <w:sz w:val="16"/>
        </w:rPr>
        <w:t xml:space="preserve"> </w:t>
      </w:r>
      <w:r w:rsidRPr="00EB2BD8">
        <w:rPr>
          <w:rFonts w:ascii="Arial" w:hAnsi="Arial"/>
          <w:w w:val="105"/>
          <w:sz w:val="16"/>
        </w:rPr>
        <w:t>own</w:t>
      </w:r>
      <w:r w:rsidRPr="00EB2BD8">
        <w:rPr>
          <w:rFonts w:ascii="Arial" w:hAnsi="Arial"/>
          <w:spacing w:val="-2"/>
          <w:w w:val="105"/>
          <w:sz w:val="16"/>
        </w:rPr>
        <w:t xml:space="preserve"> </w:t>
      </w:r>
      <w:r w:rsidRPr="00EB2BD8">
        <w:rPr>
          <w:rFonts w:ascii="Arial" w:hAnsi="Arial"/>
          <w:w w:val="105"/>
          <w:sz w:val="16"/>
        </w:rPr>
        <w:t xml:space="preserve">equity </w:t>
      </w:r>
      <w:r w:rsidRPr="00EB2BD8">
        <w:rPr>
          <w:rFonts w:ascii="Arial" w:hAnsi="Arial"/>
          <w:spacing w:val="-2"/>
          <w:w w:val="105"/>
          <w:sz w:val="16"/>
        </w:rPr>
        <w:t>instruments</w:t>
      </w:r>
    </w:p>
    <w:p w14:paraId="583BD332" w14:textId="77777777" w:rsidR="00084F36" w:rsidRPr="00EB2BD8" w:rsidRDefault="00EB2BD8">
      <w:pPr>
        <w:pStyle w:val="ListParagraph"/>
        <w:numPr>
          <w:ilvl w:val="1"/>
          <w:numId w:val="24"/>
        </w:numPr>
        <w:tabs>
          <w:tab w:val="left" w:pos="1845"/>
          <w:tab w:val="left" w:pos="1847"/>
        </w:tabs>
        <w:spacing w:line="290" w:lineRule="auto"/>
        <w:ind w:right="1776"/>
        <w:rPr>
          <w:rFonts w:ascii="Arial" w:hAnsi="Arial"/>
          <w:sz w:val="16"/>
        </w:rPr>
      </w:pPr>
      <w:r w:rsidRPr="00EB2BD8">
        <w:rPr>
          <w:rFonts w:ascii="Arial" w:hAnsi="Arial"/>
          <w:w w:val="105"/>
          <w:sz w:val="16"/>
        </w:rPr>
        <w:t>a</w:t>
      </w:r>
      <w:r w:rsidRPr="00EB2BD8">
        <w:rPr>
          <w:rFonts w:ascii="Arial" w:hAnsi="Arial"/>
          <w:spacing w:val="-2"/>
          <w:w w:val="105"/>
          <w:sz w:val="16"/>
        </w:rPr>
        <w:t xml:space="preserve"> </w:t>
      </w:r>
      <w:r w:rsidRPr="00EB2BD8">
        <w:rPr>
          <w:rFonts w:ascii="Arial" w:hAnsi="Arial"/>
          <w:w w:val="105"/>
          <w:sz w:val="16"/>
        </w:rPr>
        <w:t>derivative</w:t>
      </w:r>
      <w:r w:rsidRPr="00EB2BD8">
        <w:rPr>
          <w:rFonts w:ascii="Arial" w:hAnsi="Arial"/>
          <w:spacing w:val="-2"/>
          <w:w w:val="105"/>
          <w:sz w:val="16"/>
        </w:rPr>
        <w:t xml:space="preserve"> </w:t>
      </w:r>
      <w:r w:rsidRPr="00EB2BD8">
        <w:rPr>
          <w:rFonts w:ascii="Arial" w:hAnsi="Arial"/>
          <w:w w:val="105"/>
          <w:sz w:val="16"/>
        </w:rPr>
        <w:t>that</w:t>
      </w:r>
      <w:r w:rsidRPr="00EB2BD8">
        <w:rPr>
          <w:rFonts w:ascii="Arial" w:hAnsi="Arial"/>
          <w:spacing w:val="-2"/>
          <w:w w:val="105"/>
          <w:sz w:val="16"/>
        </w:rPr>
        <w:t xml:space="preserve"> </w:t>
      </w:r>
      <w:r w:rsidRPr="00EB2BD8">
        <w:rPr>
          <w:rFonts w:ascii="Arial" w:hAnsi="Arial"/>
          <w:w w:val="105"/>
          <w:sz w:val="16"/>
        </w:rPr>
        <w:t>will</w:t>
      </w:r>
      <w:r w:rsidRPr="00EB2BD8">
        <w:rPr>
          <w:rFonts w:ascii="Arial" w:hAnsi="Arial"/>
          <w:spacing w:val="-2"/>
          <w:w w:val="105"/>
          <w:sz w:val="16"/>
        </w:rPr>
        <w:t xml:space="preserve"> </w:t>
      </w:r>
      <w:r w:rsidRPr="00EB2BD8">
        <w:rPr>
          <w:rFonts w:ascii="Arial" w:hAnsi="Arial"/>
          <w:w w:val="105"/>
          <w:sz w:val="16"/>
        </w:rPr>
        <w:t>or</w:t>
      </w:r>
      <w:r w:rsidRPr="00EB2BD8">
        <w:rPr>
          <w:rFonts w:ascii="Arial" w:hAnsi="Arial"/>
          <w:spacing w:val="-2"/>
          <w:w w:val="105"/>
          <w:sz w:val="16"/>
        </w:rPr>
        <w:t xml:space="preserve"> </w:t>
      </w:r>
      <w:r w:rsidRPr="00EB2BD8">
        <w:rPr>
          <w:rFonts w:ascii="Arial" w:hAnsi="Arial"/>
          <w:w w:val="105"/>
          <w:sz w:val="16"/>
        </w:rPr>
        <w:t>may</w:t>
      </w:r>
      <w:r w:rsidRPr="00EB2BD8">
        <w:rPr>
          <w:rFonts w:ascii="Arial" w:hAnsi="Arial"/>
          <w:spacing w:val="-2"/>
          <w:w w:val="105"/>
          <w:sz w:val="16"/>
        </w:rPr>
        <w:t xml:space="preserve"> </w:t>
      </w:r>
      <w:r w:rsidRPr="00EB2BD8">
        <w:rPr>
          <w:rFonts w:ascii="Arial" w:hAnsi="Arial"/>
          <w:w w:val="105"/>
          <w:sz w:val="16"/>
        </w:rPr>
        <w:t>be</w:t>
      </w:r>
      <w:r w:rsidRPr="00EB2BD8">
        <w:rPr>
          <w:rFonts w:ascii="Arial" w:hAnsi="Arial"/>
          <w:spacing w:val="-1"/>
          <w:w w:val="105"/>
          <w:sz w:val="16"/>
        </w:rPr>
        <w:t xml:space="preserve"> </w:t>
      </w:r>
      <w:r w:rsidRPr="00EB2BD8">
        <w:rPr>
          <w:rFonts w:ascii="Arial" w:hAnsi="Arial"/>
          <w:w w:val="105"/>
          <w:sz w:val="16"/>
        </w:rPr>
        <w:t>settled</w:t>
      </w:r>
      <w:r w:rsidRPr="00EB2BD8">
        <w:rPr>
          <w:rFonts w:ascii="Arial" w:hAnsi="Arial"/>
          <w:spacing w:val="-2"/>
          <w:w w:val="105"/>
          <w:sz w:val="16"/>
        </w:rPr>
        <w:t xml:space="preserve"> </w:t>
      </w:r>
      <w:r w:rsidRPr="00EB2BD8">
        <w:rPr>
          <w:rFonts w:ascii="Arial" w:hAnsi="Arial"/>
          <w:w w:val="105"/>
          <w:sz w:val="16"/>
        </w:rPr>
        <w:t>other</w:t>
      </w:r>
      <w:r w:rsidRPr="00EB2BD8">
        <w:rPr>
          <w:rFonts w:ascii="Arial" w:hAnsi="Arial"/>
          <w:spacing w:val="-2"/>
          <w:w w:val="105"/>
          <w:sz w:val="16"/>
        </w:rPr>
        <w:t xml:space="preserve"> </w:t>
      </w:r>
      <w:r w:rsidRPr="00EB2BD8">
        <w:rPr>
          <w:rFonts w:ascii="Arial" w:hAnsi="Arial"/>
          <w:w w:val="105"/>
          <w:sz w:val="16"/>
        </w:rPr>
        <w:t>than</w:t>
      </w:r>
      <w:r w:rsidRPr="00EB2BD8">
        <w:rPr>
          <w:rFonts w:ascii="Arial" w:hAnsi="Arial"/>
          <w:spacing w:val="-2"/>
          <w:w w:val="105"/>
          <w:sz w:val="16"/>
        </w:rPr>
        <w:t xml:space="preserve"> </w:t>
      </w:r>
      <w:r w:rsidRPr="00EB2BD8">
        <w:rPr>
          <w:rFonts w:ascii="Arial" w:hAnsi="Arial"/>
          <w:w w:val="105"/>
          <w:sz w:val="16"/>
        </w:rPr>
        <w:t>by</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exchange</w:t>
      </w:r>
      <w:r w:rsidRPr="00EB2BD8">
        <w:rPr>
          <w:rFonts w:ascii="Arial" w:hAnsi="Arial"/>
          <w:spacing w:val="-2"/>
          <w:w w:val="105"/>
          <w:sz w:val="16"/>
        </w:rPr>
        <w:t xml:space="preserve"> </w:t>
      </w:r>
      <w:r w:rsidRPr="00EB2BD8">
        <w:rPr>
          <w:rFonts w:ascii="Arial" w:hAnsi="Arial"/>
          <w:w w:val="105"/>
          <w:sz w:val="16"/>
        </w:rPr>
        <w:t>of</w:t>
      </w:r>
      <w:r w:rsidRPr="00EB2BD8">
        <w:rPr>
          <w:rFonts w:ascii="Arial" w:hAnsi="Arial"/>
          <w:spacing w:val="-2"/>
          <w:w w:val="105"/>
          <w:sz w:val="16"/>
        </w:rPr>
        <w:t xml:space="preserve"> </w:t>
      </w:r>
      <w:r w:rsidRPr="00EB2BD8">
        <w:rPr>
          <w:rFonts w:ascii="Arial" w:hAnsi="Arial"/>
          <w:w w:val="105"/>
          <w:sz w:val="16"/>
        </w:rPr>
        <w:t>a</w:t>
      </w:r>
      <w:r w:rsidRPr="00EB2BD8">
        <w:rPr>
          <w:rFonts w:ascii="Arial" w:hAnsi="Arial"/>
          <w:spacing w:val="-2"/>
          <w:w w:val="105"/>
          <w:sz w:val="16"/>
        </w:rPr>
        <w:t xml:space="preserve"> </w:t>
      </w:r>
      <w:r w:rsidRPr="00EB2BD8">
        <w:rPr>
          <w:rFonts w:ascii="Arial" w:hAnsi="Arial"/>
          <w:w w:val="105"/>
          <w:sz w:val="16"/>
        </w:rPr>
        <w:t>fixed</w:t>
      </w:r>
      <w:r w:rsidRPr="00EB2BD8">
        <w:rPr>
          <w:rFonts w:ascii="Arial" w:hAnsi="Arial"/>
          <w:spacing w:val="-2"/>
          <w:w w:val="105"/>
          <w:sz w:val="16"/>
        </w:rPr>
        <w:t xml:space="preserve"> </w:t>
      </w:r>
      <w:r w:rsidRPr="00EB2BD8">
        <w:rPr>
          <w:rFonts w:ascii="Arial" w:hAnsi="Arial"/>
          <w:w w:val="105"/>
          <w:sz w:val="16"/>
        </w:rPr>
        <w:t>amount</w:t>
      </w:r>
      <w:r w:rsidRPr="00EB2BD8">
        <w:rPr>
          <w:rFonts w:ascii="Arial" w:hAnsi="Arial"/>
          <w:spacing w:val="-2"/>
          <w:w w:val="105"/>
          <w:sz w:val="16"/>
        </w:rPr>
        <w:t xml:space="preserve"> </w:t>
      </w:r>
      <w:r w:rsidRPr="00EB2BD8">
        <w:rPr>
          <w:rFonts w:ascii="Arial" w:hAnsi="Arial"/>
          <w:w w:val="105"/>
          <w:sz w:val="16"/>
        </w:rPr>
        <w:t>of</w:t>
      </w:r>
      <w:r w:rsidRPr="00EB2BD8">
        <w:rPr>
          <w:rFonts w:ascii="Arial" w:hAnsi="Arial"/>
          <w:spacing w:val="-2"/>
          <w:w w:val="105"/>
          <w:sz w:val="16"/>
        </w:rPr>
        <w:t xml:space="preserve"> </w:t>
      </w:r>
      <w:r w:rsidRPr="00EB2BD8">
        <w:rPr>
          <w:rFonts w:ascii="Arial" w:hAnsi="Arial"/>
          <w:w w:val="105"/>
          <w:sz w:val="16"/>
        </w:rPr>
        <w:t>cash</w:t>
      </w:r>
      <w:r w:rsidRPr="00EB2BD8">
        <w:rPr>
          <w:rFonts w:ascii="Arial" w:hAnsi="Arial"/>
          <w:spacing w:val="-2"/>
          <w:w w:val="105"/>
          <w:sz w:val="16"/>
        </w:rPr>
        <w:t xml:space="preserve"> </w:t>
      </w:r>
      <w:r w:rsidRPr="00EB2BD8">
        <w:rPr>
          <w:rFonts w:ascii="Arial" w:hAnsi="Arial"/>
          <w:w w:val="105"/>
          <w:sz w:val="16"/>
        </w:rPr>
        <w:t>or</w:t>
      </w:r>
      <w:r w:rsidRPr="00EB2BD8">
        <w:rPr>
          <w:rFonts w:ascii="Arial" w:hAnsi="Arial"/>
          <w:spacing w:val="-2"/>
          <w:w w:val="105"/>
          <w:sz w:val="16"/>
        </w:rPr>
        <w:t xml:space="preserve"> </w:t>
      </w:r>
      <w:r w:rsidRPr="00EB2BD8">
        <w:rPr>
          <w:rFonts w:ascii="Arial" w:hAnsi="Arial"/>
          <w:w w:val="105"/>
          <w:sz w:val="16"/>
        </w:rPr>
        <w:t>another</w:t>
      </w:r>
      <w:r w:rsidRPr="00EB2BD8">
        <w:rPr>
          <w:rFonts w:ascii="Arial" w:hAnsi="Arial"/>
          <w:spacing w:val="-2"/>
          <w:w w:val="105"/>
          <w:sz w:val="16"/>
        </w:rPr>
        <w:t xml:space="preserve"> </w:t>
      </w:r>
      <w:r w:rsidRPr="00EB2BD8">
        <w:rPr>
          <w:rFonts w:ascii="Arial" w:hAnsi="Arial"/>
          <w:w w:val="105"/>
          <w:sz w:val="16"/>
        </w:rPr>
        <w:t>financial asset for a fixed number of the entity’s own equity instruments.</w:t>
      </w:r>
    </w:p>
    <w:p w14:paraId="0A220573" w14:textId="77777777" w:rsidR="00084F36" w:rsidRPr="00EB2BD8" w:rsidRDefault="00084F36">
      <w:pPr>
        <w:pStyle w:val="BodyText"/>
        <w:rPr>
          <w:rFonts w:ascii="Arial"/>
        </w:rPr>
      </w:pPr>
    </w:p>
    <w:p w14:paraId="5637CFE9" w14:textId="77777777" w:rsidR="00084F36" w:rsidRPr="00EB2BD8" w:rsidRDefault="00EB2BD8" w:rsidP="009E31F2">
      <w:pPr>
        <w:pStyle w:val="Heading2"/>
        <w:ind w:firstLine="203"/>
      </w:pPr>
      <w:bookmarkStart w:id="387" w:name="_Toc150762689"/>
      <w:r w:rsidRPr="00EB2BD8">
        <w:t>Financial</w:t>
      </w:r>
      <w:r w:rsidRPr="00EB2BD8">
        <w:rPr>
          <w:spacing w:val="18"/>
        </w:rPr>
        <w:t xml:space="preserve"> </w:t>
      </w:r>
      <w:r w:rsidRPr="00EB2BD8">
        <w:rPr>
          <w:spacing w:val="-2"/>
        </w:rPr>
        <w:t>instrument</w:t>
      </w:r>
      <w:bookmarkEnd w:id="387"/>
    </w:p>
    <w:p w14:paraId="36301442" w14:textId="77777777" w:rsidR="00084F36" w:rsidRPr="00EB2BD8" w:rsidRDefault="00EB2BD8">
      <w:pPr>
        <w:spacing w:before="155" w:line="290" w:lineRule="auto"/>
        <w:ind w:left="1053" w:right="1813"/>
        <w:rPr>
          <w:rFonts w:ascii="Arial"/>
          <w:sz w:val="16"/>
        </w:rPr>
      </w:pPr>
      <w:r w:rsidRPr="00EB2BD8">
        <w:rPr>
          <w:rFonts w:ascii="Arial"/>
          <w:w w:val="105"/>
          <w:sz w:val="16"/>
        </w:rPr>
        <w:t>A</w:t>
      </w:r>
      <w:r w:rsidRPr="00EB2BD8">
        <w:rPr>
          <w:rFonts w:ascii="Arial"/>
          <w:spacing w:val="-2"/>
          <w:w w:val="105"/>
          <w:sz w:val="16"/>
        </w:rPr>
        <w:t xml:space="preserve"> </w:t>
      </w:r>
      <w:r w:rsidRPr="00EB2BD8">
        <w:rPr>
          <w:rFonts w:ascii="Arial"/>
          <w:w w:val="105"/>
          <w:sz w:val="16"/>
        </w:rPr>
        <w:t>financial</w:t>
      </w:r>
      <w:r w:rsidRPr="00EB2BD8">
        <w:rPr>
          <w:rFonts w:ascii="Arial"/>
          <w:spacing w:val="-2"/>
          <w:w w:val="105"/>
          <w:sz w:val="16"/>
        </w:rPr>
        <w:t xml:space="preserve"> </w:t>
      </w:r>
      <w:r w:rsidRPr="00EB2BD8">
        <w:rPr>
          <w:rFonts w:ascii="Arial"/>
          <w:w w:val="105"/>
          <w:sz w:val="16"/>
        </w:rPr>
        <w:t>instrument</w:t>
      </w:r>
      <w:r w:rsidRPr="00EB2BD8">
        <w:rPr>
          <w:rFonts w:ascii="Arial"/>
          <w:spacing w:val="-2"/>
          <w:w w:val="105"/>
          <w:sz w:val="16"/>
        </w:rPr>
        <w:t xml:space="preserve"> </w:t>
      </w:r>
      <w:r w:rsidRPr="00EB2BD8">
        <w:rPr>
          <w:rFonts w:ascii="Arial"/>
          <w:w w:val="105"/>
          <w:sz w:val="16"/>
        </w:rPr>
        <w:t>is</w:t>
      </w:r>
      <w:r w:rsidRPr="00EB2BD8">
        <w:rPr>
          <w:rFonts w:ascii="Arial"/>
          <w:spacing w:val="-2"/>
          <w:w w:val="105"/>
          <w:sz w:val="16"/>
        </w:rPr>
        <w:t xml:space="preserve"> </w:t>
      </w:r>
      <w:r w:rsidRPr="00EB2BD8">
        <w:rPr>
          <w:rFonts w:ascii="Arial"/>
          <w:w w:val="105"/>
          <w:sz w:val="16"/>
        </w:rPr>
        <w:t>any</w:t>
      </w:r>
      <w:r w:rsidRPr="00EB2BD8">
        <w:rPr>
          <w:rFonts w:ascii="Arial"/>
          <w:spacing w:val="-2"/>
          <w:w w:val="105"/>
          <w:sz w:val="16"/>
        </w:rPr>
        <w:t xml:space="preserve"> </w:t>
      </w:r>
      <w:r w:rsidRPr="00EB2BD8">
        <w:rPr>
          <w:rFonts w:ascii="Arial"/>
          <w:w w:val="105"/>
          <w:sz w:val="16"/>
        </w:rPr>
        <w:t>contract</w:t>
      </w:r>
      <w:r w:rsidRPr="00EB2BD8">
        <w:rPr>
          <w:rFonts w:ascii="Arial"/>
          <w:spacing w:val="-2"/>
          <w:w w:val="105"/>
          <w:sz w:val="16"/>
        </w:rPr>
        <w:t xml:space="preserve"> </w:t>
      </w:r>
      <w:r w:rsidRPr="00EB2BD8">
        <w:rPr>
          <w:rFonts w:ascii="Arial"/>
          <w:w w:val="105"/>
          <w:sz w:val="16"/>
        </w:rPr>
        <w:t>that</w:t>
      </w:r>
      <w:r w:rsidRPr="00EB2BD8">
        <w:rPr>
          <w:rFonts w:ascii="Arial"/>
          <w:spacing w:val="-2"/>
          <w:w w:val="105"/>
          <w:sz w:val="16"/>
        </w:rPr>
        <w:t xml:space="preserve"> </w:t>
      </w:r>
      <w:r w:rsidRPr="00EB2BD8">
        <w:rPr>
          <w:rFonts w:ascii="Arial"/>
          <w:w w:val="105"/>
          <w:sz w:val="16"/>
        </w:rPr>
        <w:t>gives</w:t>
      </w:r>
      <w:r w:rsidRPr="00EB2BD8">
        <w:rPr>
          <w:rFonts w:ascii="Arial"/>
          <w:spacing w:val="-2"/>
          <w:w w:val="105"/>
          <w:sz w:val="16"/>
        </w:rPr>
        <w:t xml:space="preserve"> </w:t>
      </w:r>
      <w:r w:rsidRPr="00EB2BD8">
        <w:rPr>
          <w:rFonts w:ascii="Arial"/>
          <w:w w:val="105"/>
          <w:sz w:val="16"/>
        </w:rPr>
        <w:t>rise</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a</w:t>
      </w:r>
      <w:r w:rsidRPr="00EB2BD8">
        <w:rPr>
          <w:rFonts w:ascii="Arial"/>
          <w:spacing w:val="-2"/>
          <w:w w:val="105"/>
          <w:sz w:val="16"/>
        </w:rPr>
        <w:t xml:space="preserve"> </w:t>
      </w:r>
      <w:r w:rsidRPr="00EB2BD8">
        <w:rPr>
          <w:rFonts w:ascii="Arial"/>
          <w:w w:val="105"/>
          <w:sz w:val="16"/>
        </w:rPr>
        <w:t>financial</w:t>
      </w:r>
      <w:r w:rsidRPr="00EB2BD8">
        <w:rPr>
          <w:rFonts w:ascii="Arial"/>
          <w:spacing w:val="-1"/>
          <w:w w:val="105"/>
          <w:sz w:val="16"/>
        </w:rPr>
        <w:t xml:space="preserve"> </w:t>
      </w:r>
      <w:r w:rsidRPr="00EB2BD8">
        <w:rPr>
          <w:rFonts w:ascii="Arial"/>
          <w:w w:val="105"/>
          <w:sz w:val="16"/>
        </w:rPr>
        <w:t>asset</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one</w:t>
      </w:r>
      <w:r w:rsidRPr="00EB2BD8">
        <w:rPr>
          <w:rFonts w:ascii="Arial"/>
          <w:spacing w:val="-2"/>
          <w:w w:val="105"/>
          <w:sz w:val="16"/>
        </w:rPr>
        <w:t xml:space="preserve"> </w:t>
      </w:r>
      <w:r w:rsidRPr="00EB2BD8">
        <w:rPr>
          <w:rFonts w:ascii="Arial"/>
          <w:w w:val="105"/>
          <w:sz w:val="16"/>
        </w:rPr>
        <w:t>entity</w:t>
      </w:r>
      <w:r w:rsidRPr="00EB2BD8">
        <w:rPr>
          <w:rFonts w:ascii="Arial"/>
          <w:spacing w:val="-2"/>
          <w:w w:val="105"/>
          <w:sz w:val="16"/>
        </w:rPr>
        <w:t xml:space="preserve"> </w:t>
      </w:r>
      <w:r w:rsidRPr="00EB2BD8">
        <w:rPr>
          <w:rFonts w:ascii="Arial"/>
          <w:w w:val="105"/>
          <w:sz w:val="16"/>
        </w:rPr>
        <w:t>and</w:t>
      </w:r>
      <w:r w:rsidRPr="00EB2BD8">
        <w:rPr>
          <w:rFonts w:ascii="Arial"/>
          <w:spacing w:val="-2"/>
          <w:w w:val="105"/>
          <w:sz w:val="16"/>
        </w:rPr>
        <w:t xml:space="preserve"> </w:t>
      </w:r>
      <w:r w:rsidRPr="00EB2BD8">
        <w:rPr>
          <w:rFonts w:ascii="Arial"/>
          <w:w w:val="105"/>
          <w:sz w:val="16"/>
        </w:rPr>
        <w:t>a</w:t>
      </w:r>
      <w:r w:rsidRPr="00EB2BD8">
        <w:rPr>
          <w:rFonts w:ascii="Arial"/>
          <w:spacing w:val="-1"/>
          <w:w w:val="105"/>
          <w:sz w:val="16"/>
        </w:rPr>
        <w:t xml:space="preserve"> </w:t>
      </w:r>
      <w:r w:rsidRPr="00EB2BD8">
        <w:rPr>
          <w:rFonts w:ascii="Arial"/>
          <w:w w:val="105"/>
          <w:sz w:val="16"/>
        </w:rPr>
        <w:t>financial</w:t>
      </w:r>
      <w:r w:rsidRPr="00EB2BD8">
        <w:rPr>
          <w:rFonts w:ascii="Arial"/>
          <w:spacing w:val="-2"/>
          <w:w w:val="105"/>
          <w:sz w:val="16"/>
        </w:rPr>
        <w:t xml:space="preserve"> </w:t>
      </w:r>
      <w:r w:rsidRPr="00EB2BD8">
        <w:rPr>
          <w:rFonts w:ascii="Arial"/>
          <w:w w:val="105"/>
          <w:sz w:val="16"/>
        </w:rPr>
        <w:t>liability</w:t>
      </w:r>
      <w:r w:rsidRPr="00EB2BD8">
        <w:rPr>
          <w:rFonts w:ascii="Arial"/>
          <w:spacing w:val="-2"/>
          <w:w w:val="105"/>
          <w:sz w:val="16"/>
        </w:rPr>
        <w:t xml:space="preserve"> </w:t>
      </w:r>
      <w:r w:rsidRPr="00EB2BD8">
        <w:rPr>
          <w:rFonts w:ascii="Arial"/>
          <w:w w:val="105"/>
          <w:sz w:val="16"/>
        </w:rPr>
        <w:t>or</w:t>
      </w:r>
      <w:r w:rsidRPr="00EB2BD8">
        <w:rPr>
          <w:rFonts w:ascii="Arial"/>
          <w:spacing w:val="-2"/>
          <w:w w:val="105"/>
          <w:sz w:val="16"/>
        </w:rPr>
        <w:t xml:space="preserve"> </w:t>
      </w:r>
      <w:r w:rsidRPr="00EB2BD8">
        <w:rPr>
          <w:rFonts w:ascii="Arial"/>
          <w:w w:val="105"/>
          <w:sz w:val="16"/>
        </w:rPr>
        <w:t>equity instrument of another entity. Financial assets or liabilities that are not contractual (such as statutory receivables or payables that arise as a result of statutory requirements imposed by governments) are not financial instruments.</w:t>
      </w:r>
    </w:p>
    <w:p w14:paraId="6D85F00E" w14:textId="77777777" w:rsidR="00084F36" w:rsidRPr="00EB2BD8" w:rsidRDefault="00084F36">
      <w:pPr>
        <w:pStyle w:val="BodyText"/>
        <w:rPr>
          <w:rFonts w:ascii="Arial"/>
        </w:rPr>
      </w:pPr>
    </w:p>
    <w:p w14:paraId="46573F3F" w14:textId="77777777" w:rsidR="00084F36" w:rsidRPr="00EB2BD8" w:rsidRDefault="00EB2BD8" w:rsidP="009E31F2">
      <w:pPr>
        <w:pStyle w:val="Heading2"/>
        <w:ind w:firstLine="203"/>
      </w:pPr>
      <w:bookmarkStart w:id="388" w:name="_Toc150762690"/>
      <w:r w:rsidRPr="00EB2BD8">
        <w:t>Financial</w:t>
      </w:r>
      <w:r w:rsidRPr="00EB2BD8">
        <w:rPr>
          <w:spacing w:val="18"/>
        </w:rPr>
        <w:t xml:space="preserve"> </w:t>
      </w:r>
      <w:r w:rsidRPr="00EB2BD8">
        <w:rPr>
          <w:spacing w:val="-2"/>
        </w:rPr>
        <w:t>liability</w:t>
      </w:r>
      <w:bookmarkEnd w:id="388"/>
    </w:p>
    <w:p w14:paraId="1C223EF6" w14:textId="77777777" w:rsidR="00084F36" w:rsidRPr="00EB2BD8" w:rsidRDefault="00EB2BD8">
      <w:pPr>
        <w:spacing w:before="156"/>
        <w:ind w:left="1053"/>
        <w:rPr>
          <w:rFonts w:ascii="Arial"/>
          <w:sz w:val="16"/>
        </w:rPr>
      </w:pPr>
      <w:r w:rsidRPr="00EB2BD8">
        <w:rPr>
          <w:rFonts w:ascii="Arial"/>
          <w:w w:val="105"/>
          <w:sz w:val="16"/>
        </w:rPr>
        <w:t>A</w:t>
      </w:r>
      <w:r w:rsidRPr="00EB2BD8">
        <w:rPr>
          <w:rFonts w:ascii="Arial"/>
          <w:spacing w:val="-6"/>
          <w:w w:val="105"/>
          <w:sz w:val="16"/>
        </w:rPr>
        <w:t xml:space="preserve"> </w:t>
      </w:r>
      <w:r w:rsidRPr="00EB2BD8">
        <w:rPr>
          <w:rFonts w:ascii="Arial"/>
          <w:w w:val="105"/>
          <w:sz w:val="16"/>
        </w:rPr>
        <w:t>financial</w:t>
      </w:r>
      <w:r w:rsidRPr="00EB2BD8">
        <w:rPr>
          <w:rFonts w:ascii="Arial"/>
          <w:spacing w:val="-6"/>
          <w:w w:val="105"/>
          <w:sz w:val="16"/>
        </w:rPr>
        <w:t xml:space="preserve"> </w:t>
      </w:r>
      <w:r w:rsidRPr="00EB2BD8">
        <w:rPr>
          <w:rFonts w:ascii="Arial"/>
          <w:w w:val="105"/>
          <w:sz w:val="16"/>
        </w:rPr>
        <w:t>liability</w:t>
      </w:r>
      <w:r w:rsidRPr="00EB2BD8">
        <w:rPr>
          <w:rFonts w:ascii="Arial"/>
          <w:spacing w:val="-5"/>
          <w:w w:val="105"/>
          <w:sz w:val="16"/>
        </w:rPr>
        <w:t xml:space="preserve"> </w:t>
      </w:r>
      <w:r w:rsidRPr="00EB2BD8">
        <w:rPr>
          <w:rFonts w:ascii="Arial"/>
          <w:w w:val="105"/>
          <w:sz w:val="16"/>
        </w:rPr>
        <w:t>is</w:t>
      </w:r>
      <w:r w:rsidRPr="00EB2BD8">
        <w:rPr>
          <w:rFonts w:ascii="Arial"/>
          <w:spacing w:val="-6"/>
          <w:w w:val="105"/>
          <w:sz w:val="16"/>
        </w:rPr>
        <w:t xml:space="preserve"> </w:t>
      </w:r>
      <w:r w:rsidRPr="00EB2BD8">
        <w:rPr>
          <w:rFonts w:ascii="Arial"/>
          <w:w w:val="105"/>
          <w:sz w:val="16"/>
        </w:rPr>
        <w:t>any</w:t>
      </w:r>
      <w:r w:rsidRPr="00EB2BD8">
        <w:rPr>
          <w:rFonts w:ascii="Arial"/>
          <w:spacing w:val="-6"/>
          <w:w w:val="105"/>
          <w:sz w:val="16"/>
        </w:rPr>
        <w:t xml:space="preserve"> </w:t>
      </w:r>
      <w:r w:rsidRPr="00EB2BD8">
        <w:rPr>
          <w:rFonts w:ascii="Arial"/>
          <w:w w:val="105"/>
          <w:sz w:val="16"/>
        </w:rPr>
        <w:t>liability</w:t>
      </w:r>
      <w:r w:rsidRPr="00EB2BD8">
        <w:rPr>
          <w:rFonts w:ascii="Arial"/>
          <w:spacing w:val="-5"/>
          <w:w w:val="105"/>
          <w:sz w:val="16"/>
        </w:rPr>
        <w:t xml:space="preserve"> </w:t>
      </w:r>
      <w:r w:rsidRPr="00EB2BD8">
        <w:rPr>
          <w:rFonts w:ascii="Arial"/>
          <w:w w:val="105"/>
          <w:sz w:val="16"/>
        </w:rPr>
        <w:t>that</w:t>
      </w:r>
      <w:r w:rsidRPr="00EB2BD8">
        <w:rPr>
          <w:rFonts w:ascii="Arial"/>
          <w:spacing w:val="-6"/>
          <w:w w:val="105"/>
          <w:sz w:val="16"/>
        </w:rPr>
        <w:t xml:space="preserve"> </w:t>
      </w:r>
      <w:r w:rsidRPr="00EB2BD8">
        <w:rPr>
          <w:rFonts w:ascii="Arial"/>
          <w:w w:val="105"/>
          <w:sz w:val="16"/>
        </w:rPr>
        <w:t>is</w:t>
      </w:r>
      <w:r w:rsidRPr="00EB2BD8">
        <w:rPr>
          <w:rFonts w:ascii="Arial"/>
          <w:spacing w:val="-5"/>
          <w:w w:val="105"/>
          <w:sz w:val="16"/>
        </w:rPr>
        <w:t xml:space="preserve"> </w:t>
      </w:r>
      <w:r w:rsidRPr="00EB2BD8">
        <w:rPr>
          <w:rFonts w:ascii="Arial"/>
          <w:spacing w:val="-2"/>
          <w:w w:val="105"/>
          <w:sz w:val="16"/>
        </w:rPr>
        <w:t>either:</w:t>
      </w:r>
    </w:p>
    <w:p w14:paraId="68D62C7F" w14:textId="77777777" w:rsidR="00084F36" w:rsidRPr="00EB2BD8" w:rsidRDefault="00EB2BD8">
      <w:pPr>
        <w:pStyle w:val="ListParagraph"/>
        <w:numPr>
          <w:ilvl w:val="0"/>
          <w:numId w:val="4"/>
        </w:numPr>
        <w:tabs>
          <w:tab w:val="left" w:pos="1451"/>
        </w:tabs>
        <w:spacing w:before="38" w:line="285" w:lineRule="auto"/>
        <w:ind w:right="1872"/>
        <w:rPr>
          <w:rFonts w:ascii="Arial" w:hAnsi="Arial"/>
          <w:sz w:val="16"/>
        </w:rPr>
      </w:pPr>
      <w:r w:rsidRPr="00EB2BD8">
        <w:rPr>
          <w:rFonts w:ascii="Arial" w:hAnsi="Arial"/>
          <w:w w:val="105"/>
          <w:sz w:val="16"/>
        </w:rPr>
        <w:t>a</w:t>
      </w:r>
      <w:r w:rsidRPr="00EB2BD8">
        <w:rPr>
          <w:rFonts w:ascii="Arial" w:hAnsi="Arial"/>
          <w:spacing w:val="-3"/>
          <w:w w:val="105"/>
          <w:sz w:val="16"/>
        </w:rPr>
        <w:t xml:space="preserve"> </w:t>
      </w:r>
      <w:r w:rsidRPr="00EB2BD8">
        <w:rPr>
          <w:rFonts w:ascii="Arial" w:hAnsi="Arial"/>
          <w:w w:val="105"/>
          <w:sz w:val="16"/>
        </w:rPr>
        <w:t>contractual</w:t>
      </w:r>
      <w:r w:rsidRPr="00EB2BD8">
        <w:rPr>
          <w:rFonts w:ascii="Arial" w:hAnsi="Arial"/>
          <w:spacing w:val="-3"/>
          <w:w w:val="105"/>
          <w:sz w:val="16"/>
        </w:rPr>
        <w:t xml:space="preserve"> </w:t>
      </w:r>
      <w:r w:rsidRPr="00EB2BD8">
        <w:rPr>
          <w:rFonts w:ascii="Arial" w:hAnsi="Arial"/>
          <w:w w:val="105"/>
          <w:sz w:val="16"/>
        </w:rPr>
        <w:t>obligation</w:t>
      </w:r>
      <w:r w:rsidRPr="00EB2BD8">
        <w:rPr>
          <w:rFonts w:ascii="Arial" w:hAnsi="Arial"/>
          <w:spacing w:val="-3"/>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deliver</w:t>
      </w:r>
      <w:r w:rsidRPr="00EB2BD8">
        <w:rPr>
          <w:rFonts w:ascii="Arial" w:hAnsi="Arial"/>
          <w:spacing w:val="-3"/>
          <w:w w:val="105"/>
          <w:sz w:val="16"/>
        </w:rPr>
        <w:t xml:space="preserve"> </w:t>
      </w:r>
      <w:r w:rsidRPr="00EB2BD8">
        <w:rPr>
          <w:rFonts w:ascii="Arial" w:hAnsi="Arial"/>
          <w:w w:val="105"/>
          <w:sz w:val="16"/>
        </w:rPr>
        <w:t>cash</w:t>
      </w:r>
      <w:r w:rsidRPr="00EB2BD8">
        <w:rPr>
          <w:rFonts w:ascii="Arial" w:hAnsi="Arial"/>
          <w:spacing w:val="-3"/>
          <w:w w:val="105"/>
          <w:sz w:val="16"/>
        </w:rPr>
        <w:t xml:space="preserve"> </w:t>
      </w:r>
      <w:r w:rsidRPr="00EB2BD8">
        <w:rPr>
          <w:rFonts w:ascii="Arial" w:hAnsi="Arial"/>
          <w:w w:val="105"/>
          <w:sz w:val="16"/>
        </w:rPr>
        <w:t>or</w:t>
      </w:r>
      <w:r w:rsidRPr="00EB2BD8">
        <w:rPr>
          <w:rFonts w:ascii="Arial" w:hAnsi="Arial"/>
          <w:spacing w:val="-3"/>
          <w:w w:val="105"/>
          <w:sz w:val="16"/>
        </w:rPr>
        <w:t xml:space="preserve"> </w:t>
      </w:r>
      <w:r w:rsidRPr="00EB2BD8">
        <w:rPr>
          <w:rFonts w:ascii="Arial" w:hAnsi="Arial"/>
          <w:w w:val="105"/>
          <w:sz w:val="16"/>
        </w:rPr>
        <w:t>another</w:t>
      </w:r>
      <w:r w:rsidRPr="00EB2BD8">
        <w:rPr>
          <w:rFonts w:ascii="Arial" w:hAnsi="Arial"/>
          <w:spacing w:val="-3"/>
          <w:w w:val="105"/>
          <w:sz w:val="16"/>
        </w:rPr>
        <w:t xml:space="preserve"> </w:t>
      </w:r>
      <w:r w:rsidRPr="00EB2BD8">
        <w:rPr>
          <w:rFonts w:ascii="Arial" w:hAnsi="Arial"/>
          <w:w w:val="105"/>
          <w:sz w:val="16"/>
        </w:rPr>
        <w:t>financial</w:t>
      </w:r>
      <w:r w:rsidRPr="00EB2BD8">
        <w:rPr>
          <w:rFonts w:ascii="Arial" w:hAnsi="Arial"/>
          <w:spacing w:val="-2"/>
          <w:w w:val="105"/>
          <w:sz w:val="16"/>
        </w:rPr>
        <w:t xml:space="preserve"> </w:t>
      </w:r>
      <w:r w:rsidRPr="00EB2BD8">
        <w:rPr>
          <w:rFonts w:ascii="Arial" w:hAnsi="Arial"/>
          <w:w w:val="105"/>
          <w:sz w:val="16"/>
        </w:rPr>
        <w:t>asset</w:t>
      </w:r>
      <w:r w:rsidRPr="00EB2BD8">
        <w:rPr>
          <w:rFonts w:ascii="Arial" w:hAnsi="Arial"/>
          <w:spacing w:val="-3"/>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another</w:t>
      </w:r>
      <w:r w:rsidRPr="00EB2BD8">
        <w:rPr>
          <w:rFonts w:ascii="Arial" w:hAnsi="Arial"/>
          <w:spacing w:val="-3"/>
          <w:w w:val="105"/>
          <w:sz w:val="16"/>
        </w:rPr>
        <w:t xml:space="preserve"> </w:t>
      </w:r>
      <w:r w:rsidRPr="00EB2BD8">
        <w:rPr>
          <w:rFonts w:ascii="Arial" w:hAnsi="Arial"/>
          <w:w w:val="105"/>
          <w:sz w:val="16"/>
        </w:rPr>
        <w:t>entity</w:t>
      </w:r>
      <w:r w:rsidRPr="00EB2BD8">
        <w:rPr>
          <w:rFonts w:ascii="Arial" w:hAnsi="Arial"/>
          <w:spacing w:val="-3"/>
          <w:w w:val="105"/>
          <w:sz w:val="16"/>
        </w:rPr>
        <w:t xml:space="preserve"> </w:t>
      </w:r>
      <w:r w:rsidRPr="00EB2BD8">
        <w:rPr>
          <w:rFonts w:ascii="Arial" w:hAnsi="Arial"/>
          <w:w w:val="105"/>
          <w:sz w:val="16"/>
        </w:rPr>
        <w:t>or</w:t>
      </w:r>
      <w:r w:rsidRPr="00EB2BD8">
        <w:rPr>
          <w:rFonts w:ascii="Arial" w:hAnsi="Arial"/>
          <w:spacing w:val="-2"/>
          <w:w w:val="105"/>
          <w:sz w:val="16"/>
        </w:rPr>
        <w:t xml:space="preserve"> </w:t>
      </w:r>
      <w:r w:rsidRPr="00EB2BD8">
        <w:rPr>
          <w:rFonts w:ascii="Arial" w:hAnsi="Arial"/>
          <w:w w:val="105"/>
          <w:sz w:val="16"/>
        </w:rPr>
        <w:t>to</w:t>
      </w:r>
      <w:r w:rsidRPr="00EB2BD8">
        <w:rPr>
          <w:rFonts w:ascii="Arial" w:hAnsi="Arial"/>
          <w:spacing w:val="-3"/>
          <w:w w:val="105"/>
          <w:sz w:val="16"/>
        </w:rPr>
        <w:t xml:space="preserve"> </w:t>
      </w:r>
      <w:r w:rsidRPr="00EB2BD8">
        <w:rPr>
          <w:rFonts w:ascii="Arial" w:hAnsi="Arial"/>
          <w:w w:val="105"/>
          <w:sz w:val="16"/>
        </w:rPr>
        <w:t>exchange</w:t>
      </w:r>
      <w:r w:rsidRPr="00EB2BD8">
        <w:rPr>
          <w:rFonts w:ascii="Arial" w:hAnsi="Arial"/>
          <w:spacing w:val="-3"/>
          <w:w w:val="105"/>
          <w:sz w:val="16"/>
        </w:rPr>
        <w:t xml:space="preserve"> </w:t>
      </w:r>
      <w:r w:rsidRPr="00EB2BD8">
        <w:rPr>
          <w:rFonts w:ascii="Arial" w:hAnsi="Arial"/>
          <w:w w:val="105"/>
          <w:sz w:val="16"/>
        </w:rPr>
        <w:t>financial</w:t>
      </w:r>
      <w:r w:rsidRPr="00EB2BD8">
        <w:rPr>
          <w:rFonts w:ascii="Arial" w:hAnsi="Arial"/>
          <w:spacing w:val="-3"/>
          <w:w w:val="105"/>
          <w:sz w:val="16"/>
        </w:rPr>
        <w:t xml:space="preserve"> </w:t>
      </w:r>
      <w:r w:rsidRPr="00EB2BD8">
        <w:rPr>
          <w:rFonts w:ascii="Arial" w:hAnsi="Arial"/>
          <w:w w:val="105"/>
          <w:sz w:val="16"/>
        </w:rPr>
        <w:t>assets</w:t>
      </w:r>
      <w:r w:rsidRPr="00EB2BD8">
        <w:rPr>
          <w:rFonts w:ascii="Arial" w:hAnsi="Arial"/>
          <w:spacing w:val="-3"/>
          <w:w w:val="105"/>
          <w:sz w:val="16"/>
        </w:rPr>
        <w:t xml:space="preserve"> </w:t>
      </w:r>
      <w:r w:rsidRPr="00EB2BD8">
        <w:rPr>
          <w:rFonts w:ascii="Arial" w:hAnsi="Arial"/>
          <w:w w:val="105"/>
          <w:sz w:val="16"/>
        </w:rPr>
        <w:t>or financial liabilities with another entity under conditions that are potentially unfavourable to the entity</w:t>
      </w:r>
    </w:p>
    <w:p w14:paraId="7B75E8C3" w14:textId="77777777" w:rsidR="00084F36" w:rsidRPr="00EB2BD8" w:rsidRDefault="00084F36">
      <w:pPr>
        <w:pStyle w:val="BodyText"/>
        <w:spacing w:before="6"/>
        <w:rPr>
          <w:rFonts w:ascii="Arial"/>
          <w:sz w:val="17"/>
        </w:rPr>
      </w:pPr>
    </w:p>
    <w:p w14:paraId="756F7EDE" w14:textId="77777777" w:rsidR="00084F36" w:rsidRPr="00EB2BD8" w:rsidRDefault="00EB2BD8">
      <w:pPr>
        <w:pStyle w:val="ListParagraph"/>
        <w:numPr>
          <w:ilvl w:val="0"/>
          <w:numId w:val="4"/>
        </w:numPr>
        <w:tabs>
          <w:tab w:val="left" w:pos="1451"/>
        </w:tabs>
        <w:spacing w:line="285" w:lineRule="auto"/>
        <w:ind w:right="1796"/>
        <w:rPr>
          <w:rFonts w:ascii="Arial" w:hAnsi="Arial"/>
          <w:sz w:val="16"/>
        </w:rPr>
      </w:pPr>
      <w:r w:rsidRPr="00EB2BD8">
        <w:rPr>
          <w:rFonts w:ascii="Arial" w:hAnsi="Arial"/>
          <w:w w:val="105"/>
          <w:sz w:val="16"/>
        </w:rPr>
        <w:t>a</w:t>
      </w:r>
      <w:r w:rsidRPr="00EB2BD8">
        <w:rPr>
          <w:rFonts w:ascii="Arial" w:hAnsi="Arial"/>
          <w:spacing w:val="-2"/>
          <w:w w:val="105"/>
          <w:sz w:val="16"/>
        </w:rPr>
        <w:t xml:space="preserve"> </w:t>
      </w:r>
      <w:r w:rsidRPr="00EB2BD8">
        <w:rPr>
          <w:rFonts w:ascii="Arial" w:hAnsi="Arial"/>
          <w:w w:val="105"/>
          <w:sz w:val="16"/>
        </w:rPr>
        <w:t>contract</w:t>
      </w:r>
      <w:r w:rsidRPr="00EB2BD8">
        <w:rPr>
          <w:rFonts w:ascii="Arial" w:hAnsi="Arial"/>
          <w:spacing w:val="-2"/>
          <w:w w:val="105"/>
          <w:sz w:val="16"/>
        </w:rPr>
        <w:t xml:space="preserve"> </w:t>
      </w:r>
      <w:r w:rsidRPr="00EB2BD8">
        <w:rPr>
          <w:rFonts w:ascii="Arial" w:hAnsi="Arial"/>
          <w:w w:val="105"/>
          <w:sz w:val="16"/>
        </w:rPr>
        <w:t>that</w:t>
      </w:r>
      <w:r w:rsidRPr="00EB2BD8">
        <w:rPr>
          <w:rFonts w:ascii="Arial" w:hAnsi="Arial"/>
          <w:spacing w:val="-2"/>
          <w:w w:val="105"/>
          <w:sz w:val="16"/>
        </w:rPr>
        <w:t xml:space="preserve"> </w:t>
      </w:r>
      <w:r w:rsidRPr="00EB2BD8">
        <w:rPr>
          <w:rFonts w:ascii="Arial" w:hAnsi="Arial"/>
          <w:w w:val="105"/>
          <w:sz w:val="16"/>
        </w:rPr>
        <w:t>will</w:t>
      </w:r>
      <w:r w:rsidRPr="00EB2BD8">
        <w:rPr>
          <w:rFonts w:ascii="Arial" w:hAnsi="Arial"/>
          <w:spacing w:val="-2"/>
          <w:w w:val="105"/>
          <w:sz w:val="16"/>
        </w:rPr>
        <w:t xml:space="preserve"> </w:t>
      </w:r>
      <w:r w:rsidRPr="00EB2BD8">
        <w:rPr>
          <w:rFonts w:ascii="Arial" w:hAnsi="Arial"/>
          <w:w w:val="105"/>
          <w:sz w:val="16"/>
        </w:rPr>
        <w:t>or</w:t>
      </w:r>
      <w:r w:rsidRPr="00EB2BD8">
        <w:rPr>
          <w:rFonts w:ascii="Arial" w:hAnsi="Arial"/>
          <w:spacing w:val="-2"/>
          <w:w w:val="105"/>
          <w:sz w:val="16"/>
        </w:rPr>
        <w:t xml:space="preserve"> </w:t>
      </w:r>
      <w:r w:rsidRPr="00EB2BD8">
        <w:rPr>
          <w:rFonts w:ascii="Arial" w:hAnsi="Arial"/>
          <w:w w:val="105"/>
          <w:sz w:val="16"/>
        </w:rPr>
        <w:t>may</w:t>
      </w:r>
      <w:r w:rsidRPr="00EB2BD8">
        <w:rPr>
          <w:rFonts w:ascii="Arial" w:hAnsi="Arial"/>
          <w:spacing w:val="-2"/>
          <w:w w:val="105"/>
          <w:sz w:val="16"/>
        </w:rPr>
        <w:t xml:space="preserve"> </w:t>
      </w:r>
      <w:r w:rsidRPr="00EB2BD8">
        <w:rPr>
          <w:rFonts w:ascii="Arial" w:hAnsi="Arial"/>
          <w:w w:val="105"/>
          <w:sz w:val="16"/>
        </w:rPr>
        <w:t>be</w:t>
      </w:r>
      <w:r w:rsidRPr="00EB2BD8">
        <w:rPr>
          <w:rFonts w:ascii="Arial" w:hAnsi="Arial"/>
          <w:spacing w:val="-1"/>
          <w:w w:val="105"/>
          <w:sz w:val="16"/>
        </w:rPr>
        <w:t xml:space="preserve"> </w:t>
      </w:r>
      <w:r w:rsidRPr="00EB2BD8">
        <w:rPr>
          <w:rFonts w:ascii="Arial" w:hAnsi="Arial"/>
          <w:w w:val="105"/>
          <w:sz w:val="16"/>
        </w:rPr>
        <w:t>settled</w:t>
      </w:r>
      <w:r w:rsidRPr="00EB2BD8">
        <w:rPr>
          <w:rFonts w:ascii="Arial" w:hAnsi="Arial"/>
          <w:spacing w:val="-2"/>
          <w:w w:val="105"/>
          <w:sz w:val="16"/>
        </w:rPr>
        <w:t xml:space="preserve"> </w:t>
      </w:r>
      <w:r w:rsidRPr="00EB2BD8">
        <w:rPr>
          <w:rFonts w:ascii="Arial" w:hAnsi="Arial"/>
          <w:w w:val="105"/>
          <w:sz w:val="16"/>
        </w:rPr>
        <w:t>in</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entity’s</w:t>
      </w:r>
      <w:r w:rsidRPr="00EB2BD8">
        <w:rPr>
          <w:rFonts w:ascii="Arial" w:hAnsi="Arial"/>
          <w:spacing w:val="-2"/>
          <w:w w:val="105"/>
          <w:sz w:val="16"/>
        </w:rPr>
        <w:t xml:space="preserve"> </w:t>
      </w:r>
      <w:r w:rsidRPr="00EB2BD8">
        <w:rPr>
          <w:rFonts w:ascii="Arial" w:hAnsi="Arial"/>
          <w:w w:val="105"/>
          <w:sz w:val="16"/>
        </w:rPr>
        <w:t>own</w:t>
      </w:r>
      <w:r w:rsidRPr="00EB2BD8">
        <w:rPr>
          <w:rFonts w:ascii="Arial" w:hAnsi="Arial"/>
          <w:spacing w:val="-2"/>
          <w:w w:val="105"/>
          <w:sz w:val="16"/>
        </w:rPr>
        <w:t xml:space="preserve"> </w:t>
      </w:r>
      <w:r w:rsidRPr="00EB2BD8">
        <w:rPr>
          <w:rFonts w:ascii="Arial" w:hAnsi="Arial"/>
          <w:w w:val="105"/>
          <w:sz w:val="16"/>
        </w:rPr>
        <w:t>equity</w:t>
      </w:r>
      <w:r w:rsidRPr="00EB2BD8">
        <w:rPr>
          <w:rFonts w:ascii="Arial" w:hAnsi="Arial"/>
          <w:spacing w:val="-2"/>
          <w:w w:val="105"/>
          <w:sz w:val="16"/>
        </w:rPr>
        <w:t xml:space="preserve"> </w:t>
      </w:r>
      <w:r w:rsidRPr="00EB2BD8">
        <w:rPr>
          <w:rFonts w:ascii="Arial" w:hAnsi="Arial"/>
          <w:w w:val="105"/>
          <w:sz w:val="16"/>
        </w:rPr>
        <w:t>instruments</w:t>
      </w:r>
      <w:r w:rsidRPr="00EB2BD8">
        <w:rPr>
          <w:rFonts w:ascii="Arial" w:hAnsi="Arial"/>
          <w:spacing w:val="-1"/>
          <w:w w:val="105"/>
          <w:sz w:val="16"/>
        </w:rPr>
        <w:t xml:space="preserve"> </w:t>
      </w:r>
      <w:r w:rsidRPr="00EB2BD8">
        <w:rPr>
          <w:rFonts w:ascii="Arial" w:hAnsi="Arial"/>
          <w:w w:val="105"/>
          <w:sz w:val="16"/>
        </w:rPr>
        <w:t>and</w:t>
      </w:r>
      <w:r w:rsidRPr="00EB2BD8">
        <w:rPr>
          <w:rFonts w:ascii="Arial" w:hAnsi="Arial"/>
          <w:spacing w:val="-2"/>
          <w:w w:val="105"/>
          <w:sz w:val="16"/>
        </w:rPr>
        <w:t xml:space="preserve"> </w:t>
      </w:r>
      <w:r w:rsidRPr="00EB2BD8">
        <w:rPr>
          <w:rFonts w:ascii="Arial" w:hAnsi="Arial"/>
          <w:w w:val="105"/>
          <w:sz w:val="16"/>
        </w:rPr>
        <w:t>is</w:t>
      </w:r>
      <w:r w:rsidRPr="00EB2BD8">
        <w:rPr>
          <w:rFonts w:ascii="Arial" w:hAnsi="Arial"/>
          <w:spacing w:val="-2"/>
          <w:w w:val="105"/>
          <w:sz w:val="16"/>
        </w:rPr>
        <w:t xml:space="preserve"> </w:t>
      </w:r>
      <w:r w:rsidRPr="00EB2BD8">
        <w:rPr>
          <w:rFonts w:ascii="Arial" w:hAnsi="Arial"/>
          <w:w w:val="105"/>
          <w:sz w:val="16"/>
        </w:rPr>
        <w:t>a</w:t>
      </w:r>
      <w:r w:rsidRPr="00EB2BD8">
        <w:rPr>
          <w:rFonts w:ascii="Arial" w:hAnsi="Arial"/>
          <w:spacing w:val="-2"/>
          <w:w w:val="105"/>
          <w:sz w:val="16"/>
        </w:rPr>
        <w:t xml:space="preserve"> </w:t>
      </w:r>
      <w:r w:rsidRPr="00EB2BD8">
        <w:rPr>
          <w:rFonts w:ascii="Arial" w:hAnsi="Arial"/>
          <w:w w:val="105"/>
          <w:sz w:val="16"/>
        </w:rPr>
        <w:t>non-derivative</w:t>
      </w:r>
      <w:r w:rsidRPr="00EB2BD8">
        <w:rPr>
          <w:rFonts w:ascii="Arial" w:hAnsi="Arial"/>
          <w:spacing w:val="-2"/>
          <w:w w:val="105"/>
          <w:sz w:val="16"/>
        </w:rPr>
        <w:t xml:space="preserve"> </w:t>
      </w:r>
      <w:r w:rsidRPr="00EB2BD8">
        <w:rPr>
          <w:rFonts w:ascii="Arial" w:hAnsi="Arial"/>
          <w:w w:val="105"/>
          <w:sz w:val="16"/>
        </w:rPr>
        <w:t>for</w:t>
      </w:r>
      <w:r w:rsidRPr="00EB2BD8">
        <w:rPr>
          <w:rFonts w:ascii="Arial" w:hAnsi="Arial"/>
          <w:spacing w:val="-2"/>
          <w:w w:val="105"/>
          <w:sz w:val="16"/>
        </w:rPr>
        <w:t xml:space="preserve"> </w:t>
      </w:r>
      <w:r w:rsidRPr="00EB2BD8">
        <w:rPr>
          <w:rFonts w:ascii="Arial" w:hAnsi="Arial"/>
          <w:w w:val="105"/>
          <w:sz w:val="16"/>
        </w:rPr>
        <w:t>which</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entity is or may be obliged to deliver a variable number of the entity’s own equity instruments;</w:t>
      </w:r>
    </w:p>
    <w:p w14:paraId="5162F891" w14:textId="77777777" w:rsidR="00084F36" w:rsidRPr="00EB2BD8" w:rsidRDefault="00084F36">
      <w:pPr>
        <w:pStyle w:val="BodyText"/>
        <w:spacing w:before="5"/>
        <w:rPr>
          <w:rFonts w:ascii="Arial"/>
          <w:sz w:val="17"/>
        </w:rPr>
      </w:pPr>
    </w:p>
    <w:p w14:paraId="5CE6BE7F" w14:textId="77777777" w:rsidR="00084F36" w:rsidRPr="00EB2BD8" w:rsidRDefault="00EB2BD8">
      <w:pPr>
        <w:pStyle w:val="ListParagraph"/>
        <w:numPr>
          <w:ilvl w:val="0"/>
          <w:numId w:val="4"/>
        </w:numPr>
        <w:tabs>
          <w:tab w:val="left" w:pos="1451"/>
        </w:tabs>
        <w:spacing w:before="1" w:line="288" w:lineRule="auto"/>
        <w:ind w:right="1884"/>
        <w:rPr>
          <w:rFonts w:ascii="Arial" w:hAnsi="Arial"/>
          <w:sz w:val="16"/>
        </w:rPr>
      </w:pPr>
      <w:r w:rsidRPr="00EB2BD8">
        <w:rPr>
          <w:rFonts w:ascii="Arial" w:hAnsi="Arial"/>
          <w:w w:val="105"/>
          <w:sz w:val="16"/>
        </w:rPr>
        <w:t>a derivative that will or may be settled other than by the exchange of a fixed amount of cash or another financial asset</w:t>
      </w:r>
      <w:r w:rsidRPr="00EB2BD8">
        <w:rPr>
          <w:rFonts w:ascii="Arial" w:hAnsi="Arial"/>
          <w:spacing w:val="-3"/>
          <w:w w:val="105"/>
          <w:sz w:val="16"/>
        </w:rPr>
        <w:t xml:space="preserve"> </w:t>
      </w:r>
      <w:r w:rsidRPr="00EB2BD8">
        <w:rPr>
          <w:rFonts w:ascii="Arial" w:hAnsi="Arial"/>
          <w:w w:val="105"/>
          <w:sz w:val="16"/>
        </w:rPr>
        <w:t>for</w:t>
      </w:r>
      <w:r w:rsidRPr="00EB2BD8">
        <w:rPr>
          <w:rFonts w:ascii="Arial" w:hAnsi="Arial"/>
          <w:spacing w:val="-3"/>
          <w:w w:val="105"/>
          <w:sz w:val="16"/>
        </w:rPr>
        <w:t xml:space="preserve"> </w:t>
      </w:r>
      <w:r w:rsidRPr="00EB2BD8">
        <w:rPr>
          <w:rFonts w:ascii="Arial" w:hAnsi="Arial"/>
          <w:w w:val="105"/>
          <w:sz w:val="16"/>
        </w:rPr>
        <w:t>a</w:t>
      </w:r>
      <w:r w:rsidRPr="00EB2BD8">
        <w:rPr>
          <w:rFonts w:ascii="Arial" w:hAnsi="Arial"/>
          <w:spacing w:val="-3"/>
          <w:w w:val="105"/>
          <w:sz w:val="16"/>
        </w:rPr>
        <w:t xml:space="preserve"> </w:t>
      </w:r>
      <w:r w:rsidRPr="00EB2BD8">
        <w:rPr>
          <w:rFonts w:ascii="Arial" w:hAnsi="Arial"/>
          <w:w w:val="105"/>
          <w:sz w:val="16"/>
        </w:rPr>
        <w:t>fixed</w:t>
      </w:r>
      <w:r w:rsidRPr="00EB2BD8">
        <w:rPr>
          <w:rFonts w:ascii="Arial" w:hAnsi="Arial"/>
          <w:spacing w:val="-3"/>
          <w:w w:val="105"/>
          <w:sz w:val="16"/>
        </w:rPr>
        <w:t xml:space="preserve"> </w:t>
      </w:r>
      <w:r w:rsidRPr="00EB2BD8">
        <w:rPr>
          <w:rFonts w:ascii="Arial" w:hAnsi="Arial"/>
          <w:w w:val="105"/>
          <w:sz w:val="16"/>
        </w:rPr>
        <w:t>number</w:t>
      </w:r>
      <w:r w:rsidRPr="00EB2BD8">
        <w:rPr>
          <w:rFonts w:ascii="Arial" w:hAnsi="Arial"/>
          <w:spacing w:val="-3"/>
          <w:w w:val="105"/>
          <w:sz w:val="16"/>
        </w:rPr>
        <w:t xml:space="preserve"> </w:t>
      </w:r>
      <w:r w:rsidRPr="00EB2BD8">
        <w:rPr>
          <w:rFonts w:ascii="Arial" w:hAnsi="Arial"/>
          <w:w w:val="105"/>
          <w:sz w:val="16"/>
        </w:rPr>
        <w:t>of</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entity’s</w:t>
      </w:r>
      <w:r w:rsidRPr="00EB2BD8">
        <w:rPr>
          <w:rFonts w:ascii="Arial" w:hAnsi="Arial"/>
          <w:spacing w:val="-3"/>
          <w:w w:val="105"/>
          <w:sz w:val="16"/>
        </w:rPr>
        <w:t xml:space="preserve"> </w:t>
      </w:r>
      <w:r w:rsidRPr="00EB2BD8">
        <w:rPr>
          <w:rFonts w:ascii="Arial" w:hAnsi="Arial"/>
          <w:w w:val="105"/>
          <w:sz w:val="16"/>
        </w:rPr>
        <w:t>own</w:t>
      </w:r>
      <w:r w:rsidRPr="00EB2BD8">
        <w:rPr>
          <w:rFonts w:ascii="Arial" w:hAnsi="Arial"/>
          <w:spacing w:val="-3"/>
          <w:w w:val="105"/>
          <w:sz w:val="16"/>
        </w:rPr>
        <w:t xml:space="preserve"> </w:t>
      </w:r>
      <w:r w:rsidRPr="00EB2BD8">
        <w:rPr>
          <w:rFonts w:ascii="Arial" w:hAnsi="Arial"/>
          <w:w w:val="105"/>
          <w:sz w:val="16"/>
        </w:rPr>
        <w:t>equity</w:t>
      </w:r>
      <w:r w:rsidRPr="00EB2BD8">
        <w:rPr>
          <w:rFonts w:ascii="Arial" w:hAnsi="Arial"/>
          <w:spacing w:val="-3"/>
          <w:w w:val="105"/>
          <w:sz w:val="16"/>
        </w:rPr>
        <w:t xml:space="preserve"> </w:t>
      </w:r>
      <w:r w:rsidRPr="00EB2BD8">
        <w:rPr>
          <w:rFonts w:ascii="Arial" w:hAnsi="Arial"/>
          <w:w w:val="105"/>
          <w:sz w:val="16"/>
        </w:rPr>
        <w:t>instruments.</w:t>
      </w:r>
      <w:r w:rsidRPr="00EB2BD8">
        <w:rPr>
          <w:rFonts w:ascii="Arial" w:hAnsi="Arial"/>
          <w:spacing w:val="-3"/>
          <w:w w:val="105"/>
          <w:sz w:val="16"/>
        </w:rPr>
        <w:t xml:space="preserve"> </w:t>
      </w:r>
      <w:r w:rsidRPr="00EB2BD8">
        <w:rPr>
          <w:rFonts w:ascii="Arial" w:hAnsi="Arial"/>
          <w:w w:val="105"/>
          <w:sz w:val="16"/>
        </w:rPr>
        <w:t>For</w:t>
      </w:r>
      <w:r w:rsidRPr="00EB2BD8">
        <w:rPr>
          <w:rFonts w:ascii="Arial" w:hAnsi="Arial"/>
          <w:spacing w:val="-3"/>
          <w:w w:val="105"/>
          <w:sz w:val="16"/>
        </w:rPr>
        <w:t xml:space="preserve"> </w:t>
      </w:r>
      <w:r w:rsidRPr="00EB2BD8">
        <w:rPr>
          <w:rFonts w:ascii="Arial" w:hAnsi="Arial"/>
          <w:w w:val="105"/>
          <w:sz w:val="16"/>
        </w:rPr>
        <w:t>this</w:t>
      </w:r>
      <w:r w:rsidRPr="00EB2BD8">
        <w:rPr>
          <w:rFonts w:ascii="Arial" w:hAnsi="Arial"/>
          <w:spacing w:val="-3"/>
          <w:w w:val="105"/>
          <w:sz w:val="16"/>
        </w:rPr>
        <w:t xml:space="preserve"> </w:t>
      </w:r>
      <w:r w:rsidRPr="00EB2BD8">
        <w:rPr>
          <w:rFonts w:ascii="Arial" w:hAnsi="Arial"/>
          <w:w w:val="105"/>
          <w:sz w:val="16"/>
        </w:rPr>
        <w:t>purpose,</w:t>
      </w:r>
      <w:r w:rsidRPr="00EB2BD8">
        <w:rPr>
          <w:rFonts w:ascii="Arial" w:hAnsi="Arial"/>
          <w:spacing w:val="-3"/>
          <w:w w:val="105"/>
          <w:sz w:val="16"/>
        </w:rPr>
        <w:t xml:space="preserve"> </w:t>
      </w:r>
      <w:r w:rsidRPr="00EB2BD8">
        <w:rPr>
          <w:rFonts w:ascii="Arial" w:hAnsi="Arial"/>
          <w:w w:val="105"/>
          <w:sz w:val="16"/>
        </w:rPr>
        <w:t>the</w:t>
      </w:r>
      <w:r w:rsidRPr="00EB2BD8">
        <w:rPr>
          <w:rFonts w:ascii="Arial" w:hAnsi="Arial"/>
          <w:spacing w:val="-3"/>
          <w:w w:val="105"/>
          <w:sz w:val="16"/>
        </w:rPr>
        <w:t xml:space="preserve"> </w:t>
      </w:r>
      <w:r w:rsidRPr="00EB2BD8">
        <w:rPr>
          <w:rFonts w:ascii="Arial" w:hAnsi="Arial"/>
          <w:w w:val="105"/>
          <w:sz w:val="16"/>
        </w:rPr>
        <w:t>entity’s</w:t>
      </w:r>
      <w:r w:rsidRPr="00EB2BD8">
        <w:rPr>
          <w:rFonts w:ascii="Arial" w:hAnsi="Arial"/>
          <w:spacing w:val="-3"/>
          <w:w w:val="105"/>
          <w:sz w:val="16"/>
        </w:rPr>
        <w:t xml:space="preserve"> </w:t>
      </w:r>
      <w:r w:rsidRPr="00EB2BD8">
        <w:rPr>
          <w:rFonts w:ascii="Arial" w:hAnsi="Arial"/>
          <w:w w:val="105"/>
          <w:sz w:val="16"/>
        </w:rPr>
        <w:t>own</w:t>
      </w:r>
      <w:r w:rsidRPr="00EB2BD8">
        <w:rPr>
          <w:rFonts w:ascii="Arial" w:hAnsi="Arial"/>
          <w:spacing w:val="-3"/>
          <w:w w:val="105"/>
          <w:sz w:val="16"/>
        </w:rPr>
        <w:t xml:space="preserve"> </w:t>
      </w:r>
      <w:r w:rsidRPr="00EB2BD8">
        <w:rPr>
          <w:rFonts w:ascii="Arial" w:hAnsi="Arial"/>
          <w:w w:val="105"/>
          <w:sz w:val="16"/>
        </w:rPr>
        <w:t>equity</w:t>
      </w:r>
      <w:r w:rsidRPr="00EB2BD8">
        <w:rPr>
          <w:rFonts w:ascii="Arial" w:hAnsi="Arial"/>
          <w:spacing w:val="-3"/>
          <w:w w:val="105"/>
          <w:sz w:val="16"/>
        </w:rPr>
        <w:t xml:space="preserve"> </w:t>
      </w:r>
      <w:r w:rsidRPr="00EB2BD8">
        <w:rPr>
          <w:rFonts w:ascii="Arial" w:hAnsi="Arial"/>
          <w:w w:val="105"/>
          <w:sz w:val="16"/>
        </w:rPr>
        <w:t xml:space="preserve">instruments do not include instruments that are themselves contracts for the future receipt or delivery of the entity’s own equity </w:t>
      </w:r>
      <w:r w:rsidRPr="00EB2BD8">
        <w:rPr>
          <w:rFonts w:ascii="Arial" w:hAnsi="Arial"/>
          <w:spacing w:val="-2"/>
          <w:w w:val="105"/>
          <w:sz w:val="16"/>
        </w:rPr>
        <w:t>instruments.</w:t>
      </w:r>
    </w:p>
    <w:p w14:paraId="1B26F697" w14:textId="77777777" w:rsidR="00084F36" w:rsidRPr="00EB2BD8" w:rsidRDefault="00084F36">
      <w:pPr>
        <w:pStyle w:val="BodyText"/>
        <w:rPr>
          <w:rFonts w:ascii="Arial"/>
          <w:sz w:val="20"/>
        </w:rPr>
      </w:pPr>
    </w:p>
    <w:p w14:paraId="40CEBA46" w14:textId="77777777" w:rsidR="00084F36" w:rsidRPr="00EB2BD8" w:rsidRDefault="00084F36">
      <w:pPr>
        <w:pStyle w:val="BodyText"/>
        <w:rPr>
          <w:rFonts w:ascii="Arial"/>
          <w:sz w:val="20"/>
        </w:rPr>
      </w:pPr>
    </w:p>
    <w:p w14:paraId="55CCEAD7" w14:textId="77777777" w:rsidR="00084F36" w:rsidRPr="00EB2BD8" w:rsidRDefault="00084F36">
      <w:pPr>
        <w:pStyle w:val="BodyText"/>
        <w:spacing w:before="2"/>
        <w:rPr>
          <w:rFonts w:ascii="Arial"/>
        </w:rPr>
      </w:pPr>
    </w:p>
    <w:p w14:paraId="6B3154C0" w14:textId="77777777" w:rsidR="00084F36" w:rsidRPr="00EB2BD8" w:rsidRDefault="00084F36">
      <w:pPr>
        <w:rPr>
          <w:sz w:val="16"/>
        </w:rPr>
        <w:sectPr w:rsidR="00084F36" w:rsidRPr="00EB2BD8" w:rsidSect="006D75B2">
          <w:headerReference w:type="even" r:id="rId375"/>
          <w:footerReference w:type="even" r:id="rId376"/>
          <w:pgSz w:w="11910" w:h="16840"/>
          <w:pgMar w:top="780" w:right="0" w:bottom="280" w:left="0" w:header="0" w:footer="0" w:gutter="0"/>
          <w:cols w:space="720"/>
        </w:sectPr>
      </w:pPr>
    </w:p>
    <w:p w14:paraId="6CCB2DDA" w14:textId="77777777" w:rsidR="00084F36" w:rsidRPr="00EB2BD8" w:rsidRDefault="00084F36">
      <w:pPr>
        <w:pStyle w:val="BodyText"/>
        <w:rPr>
          <w:sz w:val="20"/>
        </w:rPr>
      </w:pPr>
    </w:p>
    <w:p w14:paraId="49AAF2CA" w14:textId="77777777" w:rsidR="00084F36" w:rsidRPr="00EB2BD8" w:rsidRDefault="00084F36">
      <w:pPr>
        <w:pStyle w:val="BodyText"/>
        <w:rPr>
          <w:sz w:val="20"/>
        </w:rPr>
      </w:pPr>
    </w:p>
    <w:p w14:paraId="3E310D1E" w14:textId="77777777" w:rsidR="00084F36" w:rsidRPr="00EB2BD8" w:rsidRDefault="00084F36">
      <w:pPr>
        <w:pStyle w:val="BodyText"/>
        <w:rPr>
          <w:sz w:val="20"/>
        </w:rPr>
      </w:pPr>
    </w:p>
    <w:p w14:paraId="7AD11AA7" w14:textId="77777777" w:rsidR="00084F36" w:rsidRPr="00EB2BD8" w:rsidRDefault="00084F36">
      <w:pPr>
        <w:pStyle w:val="BodyText"/>
        <w:rPr>
          <w:sz w:val="20"/>
        </w:rPr>
      </w:pPr>
    </w:p>
    <w:p w14:paraId="1561644B" w14:textId="77777777" w:rsidR="00084F36" w:rsidRPr="00EB2BD8" w:rsidRDefault="00EB2BD8" w:rsidP="009E31F2">
      <w:pPr>
        <w:pStyle w:val="Heading2"/>
        <w:ind w:left="339" w:firstLine="720"/>
      </w:pPr>
      <w:bookmarkStart w:id="389" w:name="_Toc150762691"/>
      <w:r w:rsidRPr="00EB2BD8">
        <w:t>Financial</w:t>
      </w:r>
      <w:r w:rsidRPr="00EB2BD8">
        <w:rPr>
          <w:spacing w:val="18"/>
        </w:rPr>
        <w:t xml:space="preserve"> </w:t>
      </w:r>
      <w:r w:rsidRPr="00EB2BD8">
        <w:rPr>
          <w:spacing w:val="-2"/>
        </w:rPr>
        <w:t>statements</w:t>
      </w:r>
      <w:bookmarkEnd w:id="389"/>
    </w:p>
    <w:p w14:paraId="54515BCD" w14:textId="77777777" w:rsidR="00084F36" w:rsidRPr="00EB2BD8" w:rsidRDefault="00EB2BD8">
      <w:pPr>
        <w:spacing w:before="157"/>
        <w:ind w:left="1059"/>
        <w:rPr>
          <w:rFonts w:ascii="Arial"/>
          <w:sz w:val="16"/>
        </w:rPr>
      </w:pPr>
      <w:r w:rsidRPr="00EB2BD8">
        <w:rPr>
          <w:rFonts w:ascii="Arial"/>
          <w:w w:val="105"/>
          <w:sz w:val="16"/>
        </w:rPr>
        <w:t>A</w:t>
      </w:r>
      <w:r w:rsidRPr="00EB2BD8">
        <w:rPr>
          <w:rFonts w:ascii="Arial"/>
          <w:spacing w:val="-7"/>
          <w:w w:val="105"/>
          <w:sz w:val="16"/>
        </w:rPr>
        <w:t xml:space="preserve"> </w:t>
      </w:r>
      <w:r w:rsidRPr="00EB2BD8">
        <w:rPr>
          <w:rFonts w:ascii="Arial"/>
          <w:w w:val="105"/>
          <w:sz w:val="16"/>
        </w:rPr>
        <w:t>complete</w:t>
      </w:r>
      <w:r w:rsidRPr="00EB2BD8">
        <w:rPr>
          <w:rFonts w:ascii="Arial"/>
          <w:spacing w:val="-7"/>
          <w:w w:val="105"/>
          <w:sz w:val="16"/>
        </w:rPr>
        <w:t xml:space="preserve"> </w:t>
      </w:r>
      <w:r w:rsidRPr="00EB2BD8">
        <w:rPr>
          <w:rFonts w:ascii="Arial"/>
          <w:w w:val="105"/>
          <w:sz w:val="16"/>
        </w:rPr>
        <w:t>set</w:t>
      </w:r>
      <w:r w:rsidRPr="00EB2BD8">
        <w:rPr>
          <w:rFonts w:ascii="Arial"/>
          <w:spacing w:val="-5"/>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financial</w:t>
      </w:r>
      <w:r w:rsidRPr="00EB2BD8">
        <w:rPr>
          <w:rFonts w:ascii="Arial"/>
          <w:spacing w:val="-7"/>
          <w:w w:val="105"/>
          <w:sz w:val="16"/>
        </w:rPr>
        <w:t xml:space="preserve"> </w:t>
      </w:r>
      <w:r w:rsidRPr="00EB2BD8">
        <w:rPr>
          <w:rFonts w:ascii="Arial"/>
          <w:w w:val="105"/>
          <w:sz w:val="16"/>
        </w:rPr>
        <w:t>statements</w:t>
      </w:r>
      <w:r w:rsidRPr="00EB2BD8">
        <w:rPr>
          <w:rFonts w:ascii="Arial"/>
          <w:spacing w:val="-7"/>
          <w:w w:val="105"/>
          <w:sz w:val="16"/>
        </w:rPr>
        <w:t xml:space="preserve"> </w:t>
      </w:r>
      <w:r w:rsidRPr="00EB2BD8">
        <w:rPr>
          <w:rFonts w:ascii="Arial"/>
          <w:spacing w:val="-2"/>
          <w:w w:val="105"/>
          <w:sz w:val="16"/>
        </w:rPr>
        <w:t>comprises:</w:t>
      </w:r>
    </w:p>
    <w:p w14:paraId="503B970C" w14:textId="77777777" w:rsidR="00084F36" w:rsidRPr="00EB2BD8" w:rsidRDefault="00EB2BD8">
      <w:pPr>
        <w:pStyle w:val="ListParagraph"/>
        <w:numPr>
          <w:ilvl w:val="0"/>
          <w:numId w:val="3"/>
        </w:numPr>
        <w:tabs>
          <w:tab w:val="left" w:pos="1728"/>
        </w:tabs>
        <w:spacing w:before="35"/>
        <w:ind w:left="1728" w:hanging="333"/>
        <w:rPr>
          <w:rFonts w:ascii="Arial"/>
          <w:sz w:val="16"/>
        </w:rPr>
      </w:pPr>
      <w:r w:rsidRPr="00EB2BD8">
        <w:rPr>
          <w:rFonts w:ascii="Arial"/>
          <w:w w:val="105"/>
          <w:sz w:val="16"/>
        </w:rPr>
        <w:t>a</w:t>
      </w:r>
      <w:r w:rsidRPr="00EB2BD8">
        <w:rPr>
          <w:rFonts w:ascii="Arial"/>
          <w:spacing w:val="-4"/>
          <w:w w:val="105"/>
          <w:sz w:val="16"/>
        </w:rPr>
        <w:t xml:space="preserve"> </w:t>
      </w:r>
      <w:r w:rsidRPr="00EB2BD8">
        <w:rPr>
          <w:rFonts w:ascii="Arial"/>
          <w:w w:val="105"/>
          <w:sz w:val="16"/>
        </w:rPr>
        <w:t>balance</w:t>
      </w:r>
      <w:r w:rsidRPr="00EB2BD8">
        <w:rPr>
          <w:rFonts w:ascii="Arial"/>
          <w:spacing w:val="-4"/>
          <w:w w:val="105"/>
          <w:sz w:val="16"/>
        </w:rPr>
        <w:t xml:space="preserve"> </w:t>
      </w:r>
      <w:r w:rsidRPr="00EB2BD8">
        <w:rPr>
          <w:rFonts w:ascii="Arial"/>
          <w:w w:val="105"/>
          <w:sz w:val="16"/>
        </w:rPr>
        <w:t>sheet</w:t>
      </w:r>
      <w:r w:rsidRPr="00EB2BD8">
        <w:rPr>
          <w:rFonts w:ascii="Arial"/>
          <w:spacing w:val="-4"/>
          <w:w w:val="105"/>
          <w:sz w:val="16"/>
        </w:rPr>
        <w:t xml:space="preserve"> </w:t>
      </w:r>
      <w:r w:rsidRPr="00EB2BD8">
        <w:rPr>
          <w:rFonts w:ascii="Arial"/>
          <w:w w:val="105"/>
          <w:sz w:val="16"/>
        </w:rPr>
        <w:t>as</w:t>
      </w:r>
      <w:r w:rsidRPr="00EB2BD8">
        <w:rPr>
          <w:rFonts w:ascii="Arial"/>
          <w:spacing w:val="-4"/>
          <w:w w:val="105"/>
          <w:sz w:val="16"/>
        </w:rPr>
        <w:t xml:space="preserve"> </w:t>
      </w:r>
      <w:r w:rsidRPr="00EB2BD8">
        <w:rPr>
          <w:rFonts w:ascii="Arial"/>
          <w:w w:val="105"/>
          <w:sz w:val="16"/>
        </w:rPr>
        <w:t>at</w:t>
      </w:r>
      <w:r w:rsidRPr="00EB2BD8">
        <w:rPr>
          <w:rFonts w:ascii="Arial"/>
          <w:spacing w:val="-4"/>
          <w:w w:val="105"/>
          <w:sz w:val="16"/>
        </w:rPr>
        <w:t xml:space="preserve"> </w:t>
      </w:r>
      <w:r w:rsidRPr="00EB2BD8">
        <w:rPr>
          <w:rFonts w:ascii="Arial"/>
          <w:w w:val="105"/>
          <w:sz w:val="16"/>
        </w:rPr>
        <w:t>the</w:t>
      </w:r>
      <w:r w:rsidRPr="00EB2BD8">
        <w:rPr>
          <w:rFonts w:ascii="Arial"/>
          <w:spacing w:val="-4"/>
          <w:w w:val="105"/>
          <w:sz w:val="16"/>
        </w:rPr>
        <w:t xml:space="preserve"> </w:t>
      </w:r>
      <w:r w:rsidRPr="00EB2BD8">
        <w:rPr>
          <w:rFonts w:ascii="Arial"/>
          <w:w w:val="105"/>
          <w:sz w:val="16"/>
        </w:rPr>
        <w:t>end</w:t>
      </w:r>
      <w:r w:rsidRPr="00EB2BD8">
        <w:rPr>
          <w:rFonts w:ascii="Arial"/>
          <w:spacing w:val="-4"/>
          <w:w w:val="105"/>
          <w:sz w:val="16"/>
        </w:rPr>
        <w:t xml:space="preserve"> </w:t>
      </w:r>
      <w:r w:rsidRPr="00EB2BD8">
        <w:rPr>
          <w:rFonts w:ascii="Arial"/>
          <w:w w:val="105"/>
          <w:sz w:val="16"/>
        </w:rPr>
        <w:t>of</w:t>
      </w:r>
      <w:r w:rsidRPr="00EB2BD8">
        <w:rPr>
          <w:rFonts w:ascii="Arial"/>
          <w:spacing w:val="-4"/>
          <w:w w:val="105"/>
          <w:sz w:val="16"/>
        </w:rPr>
        <w:t xml:space="preserve"> </w:t>
      </w:r>
      <w:r w:rsidRPr="00EB2BD8">
        <w:rPr>
          <w:rFonts w:ascii="Arial"/>
          <w:w w:val="105"/>
          <w:sz w:val="16"/>
        </w:rPr>
        <w:t>the</w:t>
      </w:r>
      <w:r w:rsidRPr="00EB2BD8">
        <w:rPr>
          <w:rFonts w:ascii="Arial"/>
          <w:spacing w:val="-4"/>
          <w:w w:val="105"/>
          <w:sz w:val="16"/>
        </w:rPr>
        <w:t xml:space="preserve"> </w:t>
      </w:r>
      <w:r w:rsidRPr="00EB2BD8">
        <w:rPr>
          <w:rFonts w:ascii="Arial"/>
          <w:spacing w:val="-2"/>
          <w:w w:val="105"/>
          <w:sz w:val="16"/>
        </w:rPr>
        <w:t>period;</w:t>
      </w:r>
    </w:p>
    <w:p w14:paraId="191E7D74" w14:textId="77777777" w:rsidR="00084F36" w:rsidRPr="00EB2BD8" w:rsidRDefault="00EB2BD8">
      <w:pPr>
        <w:pStyle w:val="ListParagraph"/>
        <w:numPr>
          <w:ilvl w:val="0"/>
          <w:numId w:val="3"/>
        </w:numPr>
        <w:tabs>
          <w:tab w:val="left" w:pos="1729"/>
        </w:tabs>
        <w:spacing w:before="16"/>
        <w:ind w:left="1729" w:hanging="334"/>
        <w:rPr>
          <w:rFonts w:ascii="Arial"/>
          <w:sz w:val="16"/>
        </w:rPr>
      </w:pPr>
      <w:r w:rsidRPr="00EB2BD8">
        <w:rPr>
          <w:rFonts w:ascii="Arial"/>
          <w:w w:val="105"/>
          <w:sz w:val="16"/>
        </w:rPr>
        <w:t>a</w:t>
      </w:r>
      <w:r w:rsidRPr="00EB2BD8">
        <w:rPr>
          <w:rFonts w:ascii="Arial"/>
          <w:spacing w:val="-8"/>
          <w:w w:val="105"/>
          <w:sz w:val="16"/>
        </w:rPr>
        <w:t xml:space="preserve"> </w:t>
      </w:r>
      <w:r w:rsidRPr="00EB2BD8">
        <w:rPr>
          <w:rFonts w:ascii="Arial"/>
          <w:w w:val="105"/>
          <w:sz w:val="16"/>
        </w:rPr>
        <w:t>comprehensive</w:t>
      </w:r>
      <w:r w:rsidRPr="00EB2BD8">
        <w:rPr>
          <w:rFonts w:ascii="Arial"/>
          <w:spacing w:val="-7"/>
          <w:w w:val="105"/>
          <w:sz w:val="16"/>
        </w:rPr>
        <w:t xml:space="preserve"> </w:t>
      </w:r>
      <w:r w:rsidRPr="00EB2BD8">
        <w:rPr>
          <w:rFonts w:ascii="Arial"/>
          <w:w w:val="105"/>
          <w:sz w:val="16"/>
        </w:rPr>
        <w:t>operating</w:t>
      </w:r>
      <w:r w:rsidRPr="00EB2BD8">
        <w:rPr>
          <w:rFonts w:ascii="Arial"/>
          <w:spacing w:val="-8"/>
          <w:w w:val="105"/>
          <w:sz w:val="16"/>
        </w:rPr>
        <w:t xml:space="preserve"> </w:t>
      </w:r>
      <w:r w:rsidRPr="00EB2BD8">
        <w:rPr>
          <w:rFonts w:ascii="Arial"/>
          <w:w w:val="105"/>
          <w:sz w:val="16"/>
        </w:rPr>
        <w:t>statement</w:t>
      </w:r>
      <w:r w:rsidRPr="00EB2BD8">
        <w:rPr>
          <w:rFonts w:ascii="Arial"/>
          <w:spacing w:val="-7"/>
          <w:w w:val="105"/>
          <w:sz w:val="16"/>
        </w:rPr>
        <w:t xml:space="preserve"> </w:t>
      </w:r>
      <w:r w:rsidRPr="00EB2BD8">
        <w:rPr>
          <w:rFonts w:ascii="Arial"/>
          <w:w w:val="105"/>
          <w:sz w:val="16"/>
        </w:rPr>
        <w:t>for</w:t>
      </w:r>
      <w:r w:rsidRPr="00EB2BD8">
        <w:rPr>
          <w:rFonts w:ascii="Arial"/>
          <w:spacing w:val="-8"/>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spacing w:val="-2"/>
          <w:w w:val="105"/>
          <w:sz w:val="16"/>
        </w:rPr>
        <w:t>period;</w:t>
      </w:r>
    </w:p>
    <w:p w14:paraId="41BF99AA" w14:textId="77777777" w:rsidR="00084F36" w:rsidRPr="00EB2BD8" w:rsidRDefault="00EB2BD8">
      <w:pPr>
        <w:pStyle w:val="ListParagraph"/>
        <w:numPr>
          <w:ilvl w:val="0"/>
          <w:numId w:val="3"/>
        </w:numPr>
        <w:tabs>
          <w:tab w:val="left" w:pos="1728"/>
        </w:tabs>
        <w:spacing w:before="15"/>
        <w:ind w:left="1728" w:hanging="333"/>
        <w:rPr>
          <w:rFonts w:ascii="Arial"/>
          <w:sz w:val="16"/>
        </w:rPr>
      </w:pPr>
      <w:r w:rsidRPr="00EB2BD8">
        <w:rPr>
          <w:rFonts w:ascii="Arial"/>
          <w:w w:val="105"/>
          <w:sz w:val="16"/>
        </w:rPr>
        <w:t>a</w:t>
      </w:r>
      <w:r w:rsidRPr="00EB2BD8">
        <w:rPr>
          <w:rFonts w:ascii="Arial"/>
          <w:spacing w:val="-6"/>
          <w:w w:val="105"/>
          <w:sz w:val="16"/>
        </w:rPr>
        <w:t xml:space="preserve"> </w:t>
      </w:r>
      <w:r w:rsidRPr="00EB2BD8">
        <w:rPr>
          <w:rFonts w:ascii="Arial"/>
          <w:w w:val="105"/>
          <w:sz w:val="16"/>
        </w:rPr>
        <w:t>statement</w:t>
      </w:r>
      <w:r w:rsidRPr="00EB2BD8">
        <w:rPr>
          <w:rFonts w:ascii="Arial"/>
          <w:spacing w:val="-5"/>
          <w:w w:val="105"/>
          <w:sz w:val="16"/>
        </w:rPr>
        <w:t xml:space="preserve"> </w:t>
      </w:r>
      <w:r w:rsidRPr="00EB2BD8">
        <w:rPr>
          <w:rFonts w:ascii="Arial"/>
          <w:w w:val="105"/>
          <w:sz w:val="16"/>
        </w:rPr>
        <w:t>of</w:t>
      </w:r>
      <w:r w:rsidRPr="00EB2BD8">
        <w:rPr>
          <w:rFonts w:ascii="Arial"/>
          <w:spacing w:val="-5"/>
          <w:w w:val="105"/>
          <w:sz w:val="16"/>
        </w:rPr>
        <w:t xml:space="preserve"> </w:t>
      </w:r>
      <w:r w:rsidRPr="00EB2BD8">
        <w:rPr>
          <w:rFonts w:ascii="Arial"/>
          <w:w w:val="105"/>
          <w:sz w:val="16"/>
        </w:rPr>
        <w:t>changes</w:t>
      </w:r>
      <w:r w:rsidRPr="00EB2BD8">
        <w:rPr>
          <w:rFonts w:ascii="Arial"/>
          <w:spacing w:val="-5"/>
          <w:w w:val="105"/>
          <w:sz w:val="16"/>
        </w:rPr>
        <w:t xml:space="preserve"> </w:t>
      </w:r>
      <w:r w:rsidRPr="00EB2BD8">
        <w:rPr>
          <w:rFonts w:ascii="Arial"/>
          <w:w w:val="105"/>
          <w:sz w:val="16"/>
        </w:rPr>
        <w:t>in</w:t>
      </w:r>
      <w:r w:rsidRPr="00EB2BD8">
        <w:rPr>
          <w:rFonts w:ascii="Arial"/>
          <w:spacing w:val="-5"/>
          <w:w w:val="105"/>
          <w:sz w:val="16"/>
        </w:rPr>
        <w:t xml:space="preserve"> </w:t>
      </w:r>
      <w:r w:rsidRPr="00EB2BD8">
        <w:rPr>
          <w:rFonts w:ascii="Arial"/>
          <w:w w:val="105"/>
          <w:sz w:val="16"/>
        </w:rPr>
        <w:t>equity</w:t>
      </w:r>
      <w:r w:rsidRPr="00EB2BD8">
        <w:rPr>
          <w:rFonts w:ascii="Arial"/>
          <w:spacing w:val="-5"/>
          <w:w w:val="105"/>
          <w:sz w:val="16"/>
        </w:rPr>
        <w:t xml:space="preserve"> </w:t>
      </w:r>
      <w:r w:rsidRPr="00EB2BD8">
        <w:rPr>
          <w:rFonts w:ascii="Arial"/>
          <w:w w:val="105"/>
          <w:sz w:val="16"/>
        </w:rPr>
        <w:t>for</w:t>
      </w:r>
      <w:r w:rsidRPr="00EB2BD8">
        <w:rPr>
          <w:rFonts w:ascii="Arial"/>
          <w:spacing w:val="-5"/>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spacing w:val="-2"/>
          <w:w w:val="105"/>
          <w:sz w:val="16"/>
        </w:rPr>
        <w:t>period;</w:t>
      </w:r>
    </w:p>
    <w:p w14:paraId="6E76F662" w14:textId="77777777" w:rsidR="00084F36" w:rsidRPr="00EB2BD8" w:rsidRDefault="00EB2BD8">
      <w:pPr>
        <w:pStyle w:val="ListParagraph"/>
        <w:numPr>
          <w:ilvl w:val="0"/>
          <w:numId w:val="3"/>
        </w:numPr>
        <w:tabs>
          <w:tab w:val="left" w:pos="1729"/>
        </w:tabs>
        <w:spacing w:before="17"/>
        <w:ind w:left="1729" w:hanging="334"/>
        <w:rPr>
          <w:rFonts w:ascii="Arial"/>
          <w:sz w:val="16"/>
        </w:rPr>
      </w:pPr>
      <w:r w:rsidRPr="00EB2BD8">
        <w:rPr>
          <w:rFonts w:ascii="Arial"/>
          <w:w w:val="105"/>
          <w:sz w:val="16"/>
        </w:rPr>
        <w:t>a</w:t>
      </w:r>
      <w:r w:rsidRPr="00EB2BD8">
        <w:rPr>
          <w:rFonts w:ascii="Arial"/>
          <w:spacing w:val="-5"/>
          <w:w w:val="105"/>
          <w:sz w:val="16"/>
        </w:rPr>
        <w:t xml:space="preserve"> </w:t>
      </w:r>
      <w:r w:rsidRPr="00EB2BD8">
        <w:rPr>
          <w:rFonts w:ascii="Arial"/>
          <w:w w:val="105"/>
          <w:sz w:val="16"/>
        </w:rPr>
        <w:t>cash</w:t>
      </w:r>
      <w:r w:rsidRPr="00EB2BD8">
        <w:rPr>
          <w:rFonts w:ascii="Arial"/>
          <w:spacing w:val="-5"/>
          <w:w w:val="105"/>
          <w:sz w:val="16"/>
        </w:rPr>
        <w:t xml:space="preserve"> </w:t>
      </w:r>
      <w:r w:rsidRPr="00EB2BD8">
        <w:rPr>
          <w:rFonts w:ascii="Arial"/>
          <w:w w:val="105"/>
          <w:sz w:val="16"/>
        </w:rPr>
        <w:t>flow</w:t>
      </w:r>
      <w:r w:rsidRPr="00EB2BD8">
        <w:rPr>
          <w:rFonts w:ascii="Arial"/>
          <w:spacing w:val="-4"/>
          <w:w w:val="105"/>
          <w:sz w:val="16"/>
        </w:rPr>
        <w:t xml:space="preserve"> </w:t>
      </w:r>
      <w:r w:rsidRPr="00EB2BD8">
        <w:rPr>
          <w:rFonts w:ascii="Arial"/>
          <w:w w:val="105"/>
          <w:sz w:val="16"/>
        </w:rPr>
        <w:t>statement</w:t>
      </w:r>
      <w:r w:rsidRPr="00EB2BD8">
        <w:rPr>
          <w:rFonts w:ascii="Arial"/>
          <w:spacing w:val="-5"/>
          <w:w w:val="105"/>
          <w:sz w:val="16"/>
        </w:rPr>
        <w:t xml:space="preserve"> </w:t>
      </w:r>
      <w:r w:rsidRPr="00EB2BD8">
        <w:rPr>
          <w:rFonts w:ascii="Arial"/>
          <w:w w:val="105"/>
          <w:sz w:val="16"/>
        </w:rPr>
        <w:t>for</w:t>
      </w:r>
      <w:r w:rsidRPr="00EB2BD8">
        <w:rPr>
          <w:rFonts w:ascii="Arial"/>
          <w:spacing w:val="-4"/>
          <w:w w:val="105"/>
          <w:sz w:val="16"/>
        </w:rPr>
        <w:t xml:space="preserve"> </w:t>
      </w:r>
      <w:r w:rsidRPr="00EB2BD8">
        <w:rPr>
          <w:rFonts w:ascii="Arial"/>
          <w:w w:val="105"/>
          <w:sz w:val="16"/>
        </w:rPr>
        <w:t>the</w:t>
      </w:r>
      <w:r w:rsidRPr="00EB2BD8">
        <w:rPr>
          <w:rFonts w:ascii="Arial"/>
          <w:spacing w:val="-5"/>
          <w:w w:val="105"/>
          <w:sz w:val="16"/>
        </w:rPr>
        <w:t xml:space="preserve"> </w:t>
      </w:r>
      <w:r w:rsidRPr="00EB2BD8">
        <w:rPr>
          <w:rFonts w:ascii="Arial"/>
          <w:spacing w:val="-2"/>
          <w:w w:val="105"/>
          <w:sz w:val="16"/>
        </w:rPr>
        <w:t>period;</w:t>
      </w:r>
    </w:p>
    <w:p w14:paraId="64D6EF75" w14:textId="77777777" w:rsidR="00084F36" w:rsidRPr="00EB2BD8" w:rsidRDefault="00EB2BD8">
      <w:pPr>
        <w:pStyle w:val="ListParagraph"/>
        <w:numPr>
          <w:ilvl w:val="0"/>
          <w:numId w:val="3"/>
        </w:numPr>
        <w:tabs>
          <w:tab w:val="left" w:pos="1729"/>
        </w:tabs>
        <w:spacing w:before="16"/>
        <w:ind w:left="1729" w:hanging="334"/>
        <w:rPr>
          <w:rFonts w:ascii="Arial"/>
          <w:sz w:val="16"/>
        </w:rPr>
      </w:pPr>
      <w:r w:rsidRPr="00EB2BD8">
        <w:rPr>
          <w:rFonts w:ascii="Arial"/>
          <w:w w:val="105"/>
          <w:sz w:val="16"/>
        </w:rPr>
        <w:t>notes,</w:t>
      </w:r>
      <w:r w:rsidRPr="00EB2BD8">
        <w:rPr>
          <w:rFonts w:ascii="Arial"/>
          <w:spacing w:val="-9"/>
          <w:w w:val="105"/>
          <w:sz w:val="16"/>
        </w:rPr>
        <w:t xml:space="preserve"> </w:t>
      </w:r>
      <w:r w:rsidRPr="00EB2BD8">
        <w:rPr>
          <w:rFonts w:ascii="Arial"/>
          <w:w w:val="105"/>
          <w:sz w:val="16"/>
        </w:rPr>
        <w:t>comprising</w:t>
      </w:r>
      <w:r w:rsidRPr="00EB2BD8">
        <w:rPr>
          <w:rFonts w:ascii="Arial"/>
          <w:spacing w:val="-8"/>
          <w:w w:val="105"/>
          <w:sz w:val="16"/>
        </w:rPr>
        <w:t xml:space="preserve"> </w:t>
      </w:r>
      <w:r w:rsidRPr="00EB2BD8">
        <w:rPr>
          <w:rFonts w:ascii="Arial"/>
          <w:w w:val="105"/>
          <w:sz w:val="16"/>
        </w:rPr>
        <w:t>a</w:t>
      </w:r>
      <w:r w:rsidRPr="00EB2BD8">
        <w:rPr>
          <w:rFonts w:ascii="Arial"/>
          <w:spacing w:val="-8"/>
          <w:w w:val="105"/>
          <w:sz w:val="16"/>
        </w:rPr>
        <w:t xml:space="preserve"> </w:t>
      </w:r>
      <w:r w:rsidRPr="00EB2BD8">
        <w:rPr>
          <w:rFonts w:ascii="Arial"/>
          <w:w w:val="105"/>
          <w:sz w:val="16"/>
        </w:rPr>
        <w:t>summary</w:t>
      </w:r>
      <w:r w:rsidRPr="00EB2BD8">
        <w:rPr>
          <w:rFonts w:ascii="Arial"/>
          <w:spacing w:val="-7"/>
          <w:w w:val="105"/>
          <w:sz w:val="16"/>
        </w:rPr>
        <w:t xml:space="preserve"> </w:t>
      </w:r>
      <w:r w:rsidRPr="00EB2BD8">
        <w:rPr>
          <w:rFonts w:ascii="Arial"/>
          <w:w w:val="105"/>
          <w:sz w:val="16"/>
        </w:rPr>
        <w:t>of</w:t>
      </w:r>
      <w:r w:rsidRPr="00EB2BD8">
        <w:rPr>
          <w:rFonts w:ascii="Arial"/>
          <w:spacing w:val="-9"/>
          <w:w w:val="105"/>
          <w:sz w:val="16"/>
        </w:rPr>
        <w:t xml:space="preserve"> </w:t>
      </w:r>
      <w:r w:rsidRPr="00EB2BD8">
        <w:rPr>
          <w:rFonts w:ascii="Arial"/>
          <w:w w:val="105"/>
          <w:sz w:val="16"/>
        </w:rPr>
        <w:t>significant</w:t>
      </w:r>
      <w:r w:rsidRPr="00EB2BD8">
        <w:rPr>
          <w:rFonts w:ascii="Arial"/>
          <w:spacing w:val="-8"/>
          <w:w w:val="105"/>
          <w:sz w:val="16"/>
        </w:rPr>
        <w:t xml:space="preserve"> </w:t>
      </w:r>
      <w:r w:rsidRPr="00EB2BD8">
        <w:rPr>
          <w:rFonts w:ascii="Arial"/>
          <w:w w:val="105"/>
          <w:sz w:val="16"/>
        </w:rPr>
        <w:t>accounting</w:t>
      </w:r>
      <w:r w:rsidRPr="00EB2BD8">
        <w:rPr>
          <w:rFonts w:ascii="Arial"/>
          <w:spacing w:val="-8"/>
          <w:w w:val="105"/>
          <w:sz w:val="16"/>
        </w:rPr>
        <w:t xml:space="preserve"> </w:t>
      </w:r>
      <w:r w:rsidRPr="00EB2BD8">
        <w:rPr>
          <w:rFonts w:ascii="Arial"/>
          <w:w w:val="105"/>
          <w:sz w:val="16"/>
        </w:rPr>
        <w:t>policies</w:t>
      </w:r>
      <w:r w:rsidRPr="00EB2BD8">
        <w:rPr>
          <w:rFonts w:ascii="Arial"/>
          <w:spacing w:val="-8"/>
          <w:w w:val="105"/>
          <w:sz w:val="16"/>
        </w:rPr>
        <w:t xml:space="preserve"> </w:t>
      </w:r>
      <w:r w:rsidRPr="00EB2BD8">
        <w:rPr>
          <w:rFonts w:ascii="Arial"/>
          <w:w w:val="105"/>
          <w:sz w:val="16"/>
        </w:rPr>
        <w:t>and</w:t>
      </w:r>
      <w:r w:rsidRPr="00EB2BD8">
        <w:rPr>
          <w:rFonts w:ascii="Arial"/>
          <w:spacing w:val="-8"/>
          <w:w w:val="105"/>
          <w:sz w:val="16"/>
        </w:rPr>
        <w:t xml:space="preserve"> </w:t>
      </w:r>
      <w:r w:rsidRPr="00EB2BD8">
        <w:rPr>
          <w:rFonts w:ascii="Arial"/>
          <w:w w:val="105"/>
          <w:sz w:val="16"/>
        </w:rPr>
        <w:t>other</w:t>
      </w:r>
      <w:r w:rsidRPr="00EB2BD8">
        <w:rPr>
          <w:rFonts w:ascii="Arial"/>
          <w:spacing w:val="-8"/>
          <w:w w:val="105"/>
          <w:sz w:val="16"/>
        </w:rPr>
        <w:t xml:space="preserve"> </w:t>
      </w:r>
      <w:r w:rsidRPr="00EB2BD8">
        <w:rPr>
          <w:rFonts w:ascii="Arial"/>
          <w:w w:val="105"/>
          <w:sz w:val="16"/>
        </w:rPr>
        <w:t>explanatory</w:t>
      </w:r>
      <w:r w:rsidRPr="00EB2BD8">
        <w:rPr>
          <w:rFonts w:ascii="Arial"/>
          <w:spacing w:val="-9"/>
          <w:w w:val="105"/>
          <w:sz w:val="16"/>
        </w:rPr>
        <w:t xml:space="preserve"> </w:t>
      </w:r>
      <w:r w:rsidRPr="00EB2BD8">
        <w:rPr>
          <w:rFonts w:ascii="Arial"/>
          <w:spacing w:val="-2"/>
          <w:w w:val="105"/>
          <w:sz w:val="16"/>
        </w:rPr>
        <w:t>information;</w:t>
      </w:r>
    </w:p>
    <w:p w14:paraId="24AD3E09" w14:textId="77777777" w:rsidR="00084F36" w:rsidRPr="00EB2BD8" w:rsidRDefault="00EB2BD8">
      <w:pPr>
        <w:pStyle w:val="ListParagraph"/>
        <w:numPr>
          <w:ilvl w:val="0"/>
          <w:numId w:val="3"/>
        </w:numPr>
        <w:tabs>
          <w:tab w:val="left" w:pos="1729"/>
          <w:tab w:val="left" w:pos="1731"/>
        </w:tabs>
        <w:spacing w:before="16" w:line="256" w:lineRule="auto"/>
        <w:ind w:right="2676"/>
        <w:rPr>
          <w:rFonts w:ascii="Arial"/>
          <w:sz w:val="16"/>
        </w:rPr>
      </w:pPr>
      <w:r w:rsidRPr="00EB2BD8">
        <w:rPr>
          <w:rFonts w:ascii="Arial"/>
          <w:w w:val="105"/>
          <w:sz w:val="16"/>
        </w:rPr>
        <w:t>comparative</w:t>
      </w:r>
      <w:r w:rsidRPr="00EB2BD8">
        <w:rPr>
          <w:rFonts w:ascii="Arial"/>
          <w:spacing w:val="-3"/>
          <w:w w:val="105"/>
          <w:sz w:val="16"/>
        </w:rPr>
        <w:t xml:space="preserve"> </w:t>
      </w:r>
      <w:r w:rsidRPr="00EB2BD8">
        <w:rPr>
          <w:rFonts w:ascii="Arial"/>
          <w:w w:val="105"/>
          <w:sz w:val="16"/>
        </w:rPr>
        <w:t>information</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respect</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preceding</w:t>
      </w:r>
      <w:r w:rsidRPr="00EB2BD8">
        <w:rPr>
          <w:rFonts w:ascii="Arial"/>
          <w:spacing w:val="-3"/>
          <w:w w:val="105"/>
          <w:sz w:val="16"/>
        </w:rPr>
        <w:t xml:space="preserve"> </w:t>
      </w:r>
      <w:r w:rsidRPr="00EB2BD8">
        <w:rPr>
          <w:rFonts w:ascii="Arial"/>
          <w:w w:val="105"/>
          <w:sz w:val="16"/>
        </w:rPr>
        <w:t>period</w:t>
      </w:r>
      <w:r w:rsidRPr="00EB2BD8">
        <w:rPr>
          <w:rFonts w:ascii="Arial"/>
          <w:spacing w:val="-3"/>
          <w:w w:val="105"/>
          <w:sz w:val="16"/>
        </w:rPr>
        <w:t xml:space="preserve"> </w:t>
      </w:r>
      <w:r w:rsidRPr="00EB2BD8">
        <w:rPr>
          <w:rFonts w:ascii="Arial"/>
          <w:w w:val="105"/>
          <w:sz w:val="16"/>
        </w:rPr>
        <w:t>as</w:t>
      </w:r>
      <w:r w:rsidRPr="00EB2BD8">
        <w:rPr>
          <w:rFonts w:ascii="Arial"/>
          <w:spacing w:val="-3"/>
          <w:w w:val="105"/>
          <w:sz w:val="16"/>
        </w:rPr>
        <w:t xml:space="preserve"> </w:t>
      </w:r>
      <w:r w:rsidRPr="00EB2BD8">
        <w:rPr>
          <w:rFonts w:ascii="Arial"/>
          <w:w w:val="105"/>
          <w:sz w:val="16"/>
        </w:rPr>
        <w:t>specified</w:t>
      </w:r>
      <w:r w:rsidRPr="00EB2BD8">
        <w:rPr>
          <w:rFonts w:ascii="Arial"/>
          <w:spacing w:val="-3"/>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paragraph</w:t>
      </w:r>
      <w:r w:rsidRPr="00EB2BD8">
        <w:rPr>
          <w:rFonts w:ascii="Arial"/>
          <w:spacing w:val="-3"/>
          <w:w w:val="105"/>
          <w:sz w:val="16"/>
        </w:rPr>
        <w:t xml:space="preserve"> </w:t>
      </w:r>
      <w:r w:rsidRPr="00EB2BD8">
        <w:rPr>
          <w:rFonts w:ascii="Arial"/>
          <w:w w:val="105"/>
          <w:sz w:val="16"/>
        </w:rPr>
        <w:t>38</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AASB</w:t>
      </w:r>
      <w:r w:rsidRPr="00EB2BD8">
        <w:rPr>
          <w:rFonts w:ascii="Arial"/>
          <w:spacing w:val="-3"/>
          <w:w w:val="105"/>
          <w:sz w:val="16"/>
        </w:rPr>
        <w:t xml:space="preserve"> </w:t>
      </w:r>
      <w:r w:rsidRPr="00EB2BD8">
        <w:rPr>
          <w:rFonts w:ascii="Arial"/>
          <w:w w:val="105"/>
          <w:sz w:val="16"/>
        </w:rPr>
        <w:t>101 Presentation of Financial Statements; and</w:t>
      </w:r>
    </w:p>
    <w:p w14:paraId="2531B3A4" w14:textId="77777777" w:rsidR="00084F36" w:rsidRPr="00EB2BD8" w:rsidRDefault="00EB2BD8">
      <w:pPr>
        <w:pStyle w:val="ListParagraph"/>
        <w:numPr>
          <w:ilvl w:val="0"/>
          <w:numId w:val="3"/>
        </w:numPr>
        <w:tabs>
          <w:tab w:val="left" w:pos="1729"/>
          <w:tab w:val="left" w:pos="1731"/>
        </w:tabs>
        <w:spacing w:before="24" w:line="273" w:lineRule="auto"/>
        <w:ind w:right="1787"/>
        <w:rPr>
          <w:rFonts w:ascii="Arial"/>
          <w:sz w:val="16"/>
        </w:rPr>
      </w:pPr>
      <w:r w:rsidRPr="00EB2BD8">
        <w:rPr>
          <w:rFonts w:ascii="Arial"/>
          <w:w w:val="105"/>
          <w:sz w:val="16"/>
        </w:rPr>
        <w:t>a</w:t>
      </w:r>
      <w:r w:rsidRPr="00EB2BD8">
        <w:rPr>
          <w:rFonts w:ascii="Arial"/>
          <w:spacing w:val="-2"/>
          <w:w w:val="105"/>
          <w:sz w:val="16"/>
        </w:rPr>
        <w:t xml:space="preserve"> </w:t>
      </w:r>
      <w:r w:rsidRPr="00EB2BD8">
        <w:rPr>
          <w:rFonts w:ascii="Arial"/>
          <w:w w:val="105"/>
          <w:sz w:val="16"/>
        </w:rPr>
        <w:t>statement</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financial</w:t>
      </w:r>
      <w:r w:rsidRPr="00EB2BD8">
        <w:rPr>
          <w:rFonts w:ascii="Arial"/>
          <w:spacing w:val="-2"/>
          <w:w w:val="105"/>
          <w:sz w:val="16"/>
        </w:rPr>
        <w:t xml:space="preserve"> </w:t>
      </w:r>
      <w:r w:rsidRPr="00EB2BD8">
        <w:rPr>
          <w:rFonts w:ascii="Arial"/>
          <w:w w:val="105"/>
          <w:sz w:val="16"/>
        </w:rPr>
        <w:t>position</w:t>
      </w:r>
      <w:r w:rsidRPr="00EB2BD8">
        <w:rPr>
          <w:rFonts w:ascii="Arial"/>
          <w:spacing w:val="-2"/>
          <w:w w:val="105"/>
          <w:sz w:val="16"/>
        </w:rPr>
        <w:t xml:space="preserve"> </w:t>
      </w:r>
      <w:r w:rsidRPr="00EB2BD8">
        <w:rPr>
          <w:rFonts w:ascii="Arial"/>
          <w:w w:val="105"/>
          <w:sz w:val="16"/>
        </w:rPr>
        <w:t>as</w:t>
      </w:r>
      <w:r w:rsidRPr="00EB2BD8">
        <w:rPr>
          <w:rFonts w:ascii="Arial"/>
          <w:spacing w:val="-2"/>
          <w:w w:val="105"/>
          <w:sz w:val="16"/>
        </w:rPr>
        <w:t xml:space="preserve"> </w:t>
      </w:r>
      <w:r w:rsidRPr="00EB2BD8">
        <w:rPr>
          <w:rFonts w:ascii="Arial"/>
          <w:w w:val="105"/>
          <w:sz w:val="16"/>
        </w:rPr>
        <w:t>at</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beginning</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preceding</w:t>
      </w:r>
      <w:r w:rsidRPr="00EB2BD8">
        <w:rPr>
          <w:rFonts w:ascii="Arial"/>
          <w:spacing w:val="-2"/>
          <w:w w:val="105"/>
          <w:sz w:val="16"/>
        </w:rPr>
        <w:t xml:space="preserve"> </w:t>
      </w:r>
      <w:r w:rsidRPr="00EB2BD8">
        <w:rPr>
          <w:rFonts w:ascii="Arial"/>
          <w:w w:val="105"/>
          <w:sz w:val="16"/>
        </w:rPr>
        <w:t>period</w:t>
      </w:r>
      <w:r w:rsidRPr="00EB2BD8">
        <w:rPr>
          <w:rFonts w:ascii="Arial"/>
          <w:spacing w:val="-2"/>
          <w:w w:val="105"/>
          <w:sz w:val="16"/>
        </w:rPr>
        <w:t xml:space="preserve"> </w:t>
      </w:r>
      <w:r w:rsidRPr="00EB2BD8">
        <w:rPr>
          <w:rFonts w:ascii="Arial"/>
          <w:w w:val="105"/>
          <w:sz w:val="16"/>
        </w:rPr>
        <w:t>when</w:t>
      </w:r>
      <w:r w:rsidRPr="00EB2BD8">
        <w:rPr>
          <w:rFonts w:ascii="Arial"/>
          <w:spacing w:val="-2"/>
          <w:w w:val="105"/>
          <w:sz w:val="16"/>
        </w:rPr>
        <w:t xml:space="preserve"> </w:t>
      </w:r>
      <w:r w:rsidRPr="00EB2BD8">
        <w:rPr>
          <w:rFonts w:ascii="Arial"/>
          <w:w w:val="105"/>
          <w:sz w:val="16"/>
        </w:rPr>
        <w:t>an</w:t>
      </w:r>
      <w:r w:rsidRPr="00EB2BD8">
        <w:rPr>
          <w:rFonts w:ascii="Arial"/>
          <w:spacing w:val="-2"/>
          <w:w w:val="105"/>
          <w:sz w:val="16"/>
        </w:rPr>
        <w:t xml:space="preserve"> </w:t>
      </w:r>
      <w:r w:rsidRPr="00EB2BD8">
        <w:rPr>
          <w:rFonts w:ascii="Arial"/>
          <w:w w:val="105"/>
          <w:sz w:val="16"/>
        </w:rPr>
        <w:t>entity</w:t>
      </w:r>
      <w:r w:rsidRPr="00EB2BD8">
        <w:rPr>
          <w:rFonts w:ascii="Arial"/>
          <w:spacing w:val="-2"/>
          <w:w w:val="105"/>
          <w:sz w:val="16"/>
        </w:rPr>
        <w:t xml:space="preserve"> </w:t>
      </w:r>
      <w:r w:rsidRPr="00EB2BD8">
        <w:rPr>
          <w:rFonts w:ascii="Arial"/>
          <w:w w:val="105"/>
          <w:sz w:val="16"/>
        </w:rPr>
        <w:t>applies</w:t>
      </w:r>
      <w:r w:rsidRPr="00EB2BD8">
        <w:rPr>
          <w:rFonts w:ascii="Arial"/>
          <w:spacing w:val="-2"/>
          <w:w w:val="105"/>
          <w:sz w:val="16"/>
        </w:rPr>
        <w:t xml:space="preserve"> </w:t>
      </w:r>
      <w:r w:rsidRPr="00EB2BD8">
        <w:rPr>
          <w:rFonts w:ascii="Arial"/>
          <w:w w:val="105"/>
          <w:sz w:val="16"/>
        </w:rPr>
        <w:t>an</w:t>
      </w:r>
      <w:r w:rsidRPr="00EB2BD8">
        <w:rPr>
          <w:rFonts w:ascii="Arial"/>
          <w:spacing w:val="-1"/>
          <w:w w:val="105"/>
          <w:sz w:val="16"/>
        </w:rPr>
        <w:t xml:space="preserve"> </w:t>
      </w:r>
      <w:r w:rsidRPr="00EB2BD8">
        <w:rPr>
          <w:rFonts w:ascii="Arial"/>
          <w:w w:val="105"/>
          <w:sz w:val="16"/>
        </w:rPr>
        <w:t>accounting policy retrospectively or makes a retrospective restatement of items in its financial statements, or when it reclassifies items in its financial statements in accordance with paragraph 41 of AASB 101.</w:t>
      </w:r>
    </w:p>
    <w:p w14:paraId="7EC56248" w14:textId="77777777" w:rsidR="00084F36" w:rsidRPr="00EB2BD8" w:rsidRDefault="00084F36">
      <w:pPr>
        <w:pStyle w:val="BodyText"/>
        <w:spacing w:before="1"/>
        <w:rPr>
          <w:rFonts w:ascii="Arial"/>
          <w:sz w:val="23"/>
        </w:rPr>
      </w:pPr>
    </w:p>
    <w:p w14:paraId="75585DD6" w14:textId="77777777" w:rsidR="00084F36" w:rsidRPr="00EB2BD8" w:rsidRDefault="00EB2BD8" w:rsidP="009E31F2">
      <w:pPr>
        <w:pStyle w:val="Heading2"/>
        <w:ind w:firstLine="209"/>
      </w:pPr>
      <w:bookmarkStart w:id="390" w:name="_Toc150762692"/>
      <w:r w:rsidRPr="00EB2BD8">
        <w:t>Grant</w:t>
      </w:r>
      <w:r w:rsidRPr="00EB2BD8">
        <w:rPr>
          <w:spacing w:val="9"/>
        </w:rPr>
        <w:t xml:space="preserve"> </w:t>
      </w:r>
      <w:r w:rsidRPr="00EB2BD8">
        <w:t>payments</w:t>
      </w:r>
      <w:bookmarkEnd w:id="390"/>
    </w:p>
    <w:p w14:paraId="5A14DA58" w14:textId="77777777" w:rsidR="00084F36" w:rsidRPr="00EB2BD8" w:rsidRDefault="00EB2BD8">
      <w:pPr>
        <w:spacing w:before="155" w:line="290" w:lineRule="auto"/>
        <w:ind w:left="1059" w:right="1761"/>
        <w:rPr>
          <w:rFonts w:ascii="Arial"/>
          <w:sz w:val="16"/>
        </w:rPr>
      </w:pPr>
      <w:r w:rsidRPr="00EB2BD8">
        <w:rPr>
          <w:rFonts w:ascii="Arial"/>
          <w:w w:val="105"/>
          <w:sz w:val="16"/>
        </w:rPr>
        <w:t>Grant</w:t>
      </w:r>
      <w:r w:rsidRPr="00EB2BD8">
        <w:rPr>
          <w:rFonts w:ascii="Arial"/>
          <w:spacing w:val="-2"/>
          <w:w w:val="105"/>
          <w:sz w:val="16"/>
        </w:rPr>
        <w:t xml:space="preserve"> </w:t>
      </w:r>
      <w:r w:rsidRPr="00EB2BD8">
        <w:rPr>
          <w:rFonts w:ascii="Arial"/>
          <w:w w:val="105"/>
          <w:sz w:val="16"/>
        </w:rPr>
        <w:t>payments</w:t>
      </w:r>
      <w:r w:rsidRPr="00EB2BD8">
        <w:rPr>
          <w:rFonts w:ascii="Arial"/>
          <w:spacing w:val="-2"/>
          <w:w w:val="105"/>
          <w:sz w:val="16"/>
        </w:rPr>
        <w:t xml:space="preserve"> </w:t>
      </w:r>
      <w:r w:rsidRPr="00EB2BD8">
        <w:rPr>
          <w:rFonts w:ascii="Arial"/>
          <w:w w:val="105"/>
          <w:sz w:val="16"/>
        </w:rPr>
        <w:t>are</w:t>
      </w:r>
      <w:r w:rsidRPr="00EB2BD8">
        <w:rPr>
          <w:rFonts w:ascii="Arial"/>
          <w:spacing w:val="-2"/>
          <w:w w:val="105"/>
          <w:sz w:val="16"/>
        </w:rPr>
        <w:t xml:space="preserve"> </w:t>
      </w:r>
      <w:r w:rsidRPr="00EB2BD8">
        <w:rPr>
          <w:rFonts w:ascii="Arial"/>
          <w:w w:val="105"/>
          <w:sz w:val="16"/>
        </w:rPr>
        <w:t>transactions</w:t>
      </w:r>
      <w:r w:rsidRPr="00EB2BD8">
        <w:rPr>
          <w:rFonts w:ascii="Arial"/>
          <w:spacing w:val="-2"/>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which</w:t>
      </w:r>
      <w:r w:rsidRPr="00EB2BD8">
        <w:rPr>
          <w:rFonts w:ascii="Arial"/>
          <w:spacing w:val="-2"/>
          <w:w w:val="105"/>
          <w:sz w:val="16"/>
        </w:rPr>
        <w:t xml:space="preserve"> </w:t>
      </w:r>
      <w:r w:rsidRPr="00EB2BD8">
        <w:rPr>
          <w:rFonts w:ascii="Arial"/>
          <w:w w:val="105"/>
          <w:sz w:val="16"/>
        </w:rPr>
        <w:t>one</w:t>
      </w:r>
      <w:r w:rsidRPr="00EB2BD8">
        <w:rPr>
          <w:rFonts w:ascii="Arial"/>
          <w:spacing w:val="-2"/>
          <w:w w:val="105"/>
          <w:sz w:val="16"/>
        </w:rPr>
        <w:t xml:space="preserve"> </w:t>
      </w:r>
      <w:r w:rsidRPr="00EB2BD8">
        <w:rPr>
          <w:rFonts w:ascii="Arial"/>
          <w:w w:val="105"/>
          <w:sz w:val="16"/>
        </w:rPr>
        <w:t>unit</w:t>
      </w:r>
      <w:r w:rsidRPr="00EB2BD8">
        <w:rPr>
          <w:rFonts w:ascii="Arial"/>
          <w:spacing w:val="-2"/>
          <w:w w:val="105"/>
          <w:sz w:val="16"/>
        </w:rPr>
        <w:t xml:space="preserve"> </w:t>
      </w:r>
      <w:r w:rsidRPr="00EB2BD8">
        <w:rPr>
          <w:rFonts w:ascii="Arial"/>
          <w:w w:val="105"/>
          <w:sz w:val="16"/>
        </w:rPr>
        <w:t>provides</w:t>
      </w:r>
      <w:r w:rsidRPr="00EB2BD8">
        <w:rPr>
          <w:rFonts w:ascii="Arial"/>
          <w:spacing w:val="-2"/>
          <w:w w:val="105"/>
          <w:sz w:val="16"/>
        </w:rPr>
        <w:t xml:space="preserve"> </w:t>
      </w:r>
      <w:r w:rsidRPr="00EB2BD8">
        <w:rPr>
          <w:rFonts w:ascii="Arial"/>
          <w:w w:val="105"/>
          <w:sz w:val="16"/>
        </w:rPr>
        <w:t>goods,</w:t>
      </w:r>
      <w:r w:rsidRPr="00EB2BD8">
        <w:rPr>
          <w:rFonts w:ascii="Arial"/>
          <w:spacing w:val="-2"/>
          <w:w w:val="105"/>
          <w:sz w:val="16"/>
        </w:rPr>
        <w:t xml:space="preserve"> </w:t>
      </w:r>
      <w:r w:rsidRPr="00EB2BD8">
        <w:rPr>
          <w:rFonts w:ascii="Arial"/>
          <w:w w:val="105"/>
          <w:sz w:val="16"/>
        </w:rPr>
        <w:t>services,</w:t>
      </w:r>
      <w:r w:rsidRPr="00EB2BD8">
        <w:rPr>
          <w:rFonts w:ascii="Arial"/>
          <w:spacing w:val="-2"/>
          <w:w w:val="105"/>
          <w:sz w:val="16"/>
        </w:rPr>
        <w:t xml:space="preserve"> </w:t>
      </w:r>
      <w:r w:rsidRPr="00EB2BD8">
        <w:rPr>
          <w:rFonts w:ascii="Arial"/>
          <w:w w:val="105"/>
          <w:sz w:val="16"/>
        </w:rPr>
        <w:t>assets</w:t>
      </w:r>
      <w:r w:rsidRPr="00EB2BD8">
        <w:rPr>
          <w:rFonts w:ascii="Arial"/>
          <w:spacing w:val="-2"/>
          <w:w w:val="105"/>
          <w:sz w:val="16"/>
        </w:rPr>
        <w:t xml:space="preserve"> </w:t>
      </w:r>
      <w:r w:rsidRPr="00EB2BD8">
        <w:rPr>
          <w:rFonts w:ascii="Arial"/>
          <w:w w:val="105"/>
          <w:sz w:val="16"/>
        </w:rPr>
        <w:t>(or</w:t>
      </w:r>
      <w:r w:rsidRPr="00EB2BD8">
        <w:rPr>
          <w:rFonts w:ascii="Arial"/>
          <w:spacing w:val="-2"/>
          <w:w w:val="105"/>
          <w:sz w:val="16"/>
        </w:rPr>
        <w:t xml:space="preserve"> </w:t>
      </w:r>
      <w:r w:rsidRPr="00EB2BD8">
        <w:rPr>
          <w:rFonts w:ascii="Arial"/>
          <w:w w:val="105"/>
          <w:sz w:val="16"/>
        </w:rPr>
        <w:t>extinguishes</w:t>
      </w:r>
      <w:r w:rsidRPr="00EB2BD8">
        <w:rPr>
          <w:rFonts w:ascii="Arial"/>
          <w:spacing w:val="-2"/>
          <w:w w:val="105"/>
          <w:sz w:val="16"/>
        </w:rPr>
        <w:t xml:space="preserve"> </w:t>
      </w:r>
      <w:r w:rsidRPr="00EB2BD8">
        <w:rPr>
          <w:rFonts w:ascii="Arial"/>
          <w:w w:val="105"/>
          <w:sz w:val="16"/>
        </w:rPr>
        <w:t>a</w:t>
      </w:r>
      <w:r w:rsidRPr="00EB2BD8">
        <w:rPr>
          <w:rFonts w:ascii="Arial"/>
          <w:spacing w:val="-2"/>
          <w:w w:val="105"/>
          <w:sz w:val="16"/>
        </w:rPr>
        <w:t xml:space="preserve"> </w:t>
      </w:r>
      <w:r w:rsidRPr="00EB2BD8">
        <w:rPr>
          <w:rFonts w:ascii="Arial"/>
          <w:w w:val="105"/>
          <w:sz w:val="16"/>
        </w:rPr>
        <w:t>liability)</w:t>
      </w:r>
      <w:r w:rsidRPr="00EB2BD8">
        <w:rPr>
          <w:rFonts w:ascii="Arial"/>
          <w:spacing w:val="-2"/>
          <w:w w:val="105"/>
          <w:sz w:val="16"/>
        </w:rPr>
        <w:t xml:space="preserve"> </w:t>
      </w:r>
      <w:r w:rsidRPr="00EB2BD8">
        <w:rPr>
          <w:rFonts w:ascii="Arial"/>
          <w:w w:val="105"/>
          <w:sz w:val="16"/>
        </w:rPr>
        <w:t>or</w:t>
      </w:r>
      <w:r w:rsidRPr="00EB2BD8">
        <w:rPr>
          <w:rFonts w:ascii="Arial"/>
          <w:spacing w:val="-2"/>
          <w:w w:val="105"/>
          <w:sz w:val="16"/>
        </w:rPr>
        <w:t xml:space="preserve"> </w:t>
      </w:r>
      <w:r w:rsidRPr="00EB2BD8">
        <w:rPr>
          <w:rFonts w:ascii="Arial"/>
          <w:w w:val="105"/>
          <w:sz w:val="16"/>
        </w:rPr>
        <w:t>labour</w:t>
      </w:r>
      <w:r w:rsidRPr="00EB2BD8">
        <w:rPr>
          <w:rFonts w:ascii="Arial"/>
          <w:spacing w:val="-2"/>
          <w:w w:val="105"/>
          <w:sz w:val="16"/>
        </w:rPr>
        <w:t xml:space="preserve"> </w:t>
      </w:r>
      <w:r w:rsidRPr="00EB2BD8">
        <w:rPr>
          <w:rFonts w:ascii="Arial"/>
          <w:w w:val="105"/>
          <w:sz w:val="16"/>
        </w:rPr>
        <w:t>to another unit without receiving approximately equal value in return. Grants can either be operating or capital in nature.</w:t>
      </w:r>
    </w:p>
    <w:p w14:paraId="6D0948B1" w14:textId="77777777" w:rsidR="00084F36" w:rsidRPr="00EB2BD8" w:rsidRDefault="00084F36">
      <w:pPr>
        <w:pStyle w:val="BodyText"/>
        <w:spacing w:before="3"/>
        <w:rPr>
          <w:rFonts w:ascii="Arial"/>
          <w:sz w:val="19"/>
        </w:rPr>
      </w:pPr>
    </w:p>
    <w:p w14:paraId="1836AFA1" w14:textId="77777777" w:rsidR="00084F36" w:rsidRPr="00EB2BD8" w:rsidRDefault="00EB2BD8">
      <w:pPr>
        <w:spacing w:line="290" w:lineRule="auto"/>
        <w:ind w:left="1059" w:right="1761"/>
        <w:rPr>
          <w:rFonts w:ascii="Arial"/>
          <w:sz w:val="16"/>
        </w:rPr>
      </w:pPr>
      <w:r w:rsidRPr="00EB2BD8">
        <w:rPr>
          <w:rFonts w:ascii="Arial"/>
          <w:w w:val="105"/>
          <w:sz w:val="16"/>
        </w:rPr>
        <w:t>While grants to governments may result in the provision of some goods or services to the transferor, they do not give the transferor a claim to receive directly benefits of approximately equal value. For this reason, grants are referred to by the AASB</w:t>
      </w:r>
      <w:r w:rsidRPr="00EB2BD8">
        <w:rPr>
          <w:rFonts w:ascii="Arial"/>
          <w:spacing w:val="-3"/>
          <w:w w:val="105"/>
          <w:sz w:val="16"/>
        </w:rPr>
        <w:t xml:space="preserve"> </w:t>
      </w:r>
      <w:r w:rsidRPr="00EB2BD8">
        <w:rPr>
          <w:rFonts w:ascii="Arial"/>
          <w:w w:val="105"/>
          <w:sz w:val="16"/>
        </w:rPr>
        <w:t>as</w:t>
      </w:r>
      <w:r w:rsidRPr="00EB2BD8">
        <w:rPr>
          <w:rFonts w:ascii="Arial"/>
          <w:spacing w:val="-3"/>
          <w:w w:val="105"/>
          <w:sz w:val="16"/>
        </w:rPr>
        <w:t xml:space="preserve"> </w:t>
      </w:r>
      <w:r w:rsidRPr="00EB2BD8">
        <w:rPr>
          <w:rFonts w:ascii="Arial"/>
          <w:w w:val="105"/>
          <w:sz w:val="16"/>
        </w:rPr>
        <w:t>involuntary</w:t>
      </w:r>
      <w:r w:rsidRPr="00EB2BD8">
        <w:rPr>
          <w:rFonts w:ascii="Arial"/>
          <w:spacing w:val="-3"/>
          <w:w w:val="105"/>
          <w:sz w:val="16"/>
        </w:rPr>
        <w:t xml:space="preserve"> </w:t>
      </w:r>
      <w:r w:rsidRPr="00EB2BD8">
        <w:rPr>
          <w:rFonts w:ascii="Arial"/>
          <w:w w:val="105"/>
          <w:sz w:val="16"/>
        </w:rPr>
        <w:t>transfers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termed</w:t>
      </w:r>
      <w:r w:rsidRPr="00EB2BD8">
        <w:rPr>
          <w:rFonts w:ascii="Arial"/>
          <w:spacing w:val="-3"/>
          <w:w w:val="105"/>
          <w:sz w:val="16"/>
        </w:rPr>
        <w:t xml:space="preserve"> </w:t>
      </w:r>
      <w:r w:rsidRPr="00EB2BD8">
        <w:rPr>
          <w:rFonts w:ascii="Arial"/>
          <w:w w:val="105"/>
          <w:sz w:val="16"/>
        </w:rPr>
        <w:t>non-reciprocal</w:t>
      </w:r>
      <w:r w:rsidRPr="00EB2BD8">
        <w:rPr>
          <w:rFonts w:ascii="Arial"/>
          <w:spacing w:val="-3"/>
          <w:w w:val="105"/>
          <w:sz w:val="16"/>
        </w:rPr>
        <w:t xml:space="preserve"> </w:t>
      </w:r>
      <w:r w:rsidRPr="00EB2BD8">
        <w:rPr>
          <w:rFonts w:ascii="Arial"/>
          <w:w w:val="105"/>
          <w:sz w:val="16"/>
        </w:rPr>
        <w:t>transfers.</w:t>
      </w:r>
      <w:r w:rsidRPr="00EB2BD8">
        <w:rPr>
          <w:rFonts w:ascii="Arial"/>
          <w:spacing w:val="-3"/>
          <w:w w:val="105"/>
          <w:sz w:val="16"/>
        </w:rPr>
        <w:t xml:space="preserve"> </w:t>
      </w:r>
      <w:r w:rsidRPr="00EB2BD8">
        <w:rPr>
          <w:rFonts w:ascii="Arial"/>
          <w:w w:val="105"/>
          <w:sz w:val="16"/>
        </w:rPr>
        <w:t>Receipt</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sacrifice</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approximately</w:t>
      </w:r>
      <w:r w:rsidRPr="00EB2BD8">
        <w:rPr>
          <w:rFonts w:ascii="Arial"/>
          <w:spacing w:val="-3"/>
          <w:w w:val="105"/>
          <w:sz w:val="16"/>
        </w:rPr>
        <w:t xml:space="preserve"> </w:t>
      </w:r>
      <w:r w:rsidRPr="00EB2BD8">
        <w:rPr>
          <w:rFonts w:ascii="Arial"/>
          <w:w w:val="105"/>
          <w:sz w:val="16"/>
        </w:rPr>
        <w:t>equal</w:t>
      </w:r>
      <w:r w:rsidRPr="00EB2BD8">
        <w:rPr>
          <w:rFonts w:ascii="Arial"/>
          <w:spacing w:val="-3"/>
          <w:w w:val="105"/>
          <w:sz w:val="16"/>
        </w:rPr>
        <w:t xml:space="preserve"> </w:t>
      </w:r>
      <w:r w:rsidRPr="00EB2BD8">
        <w:rPr>
          <w:rFonts w:ascii="Arial"/>
          <w:w w:val="105"/>
          <w:sz w:val="16"/>
        </w:rPr>
        <w:t>value may occur, but only by coincidence. For example, governments are not obliged to provide commensurate benefits, in the form of goods or services, to particular taxpayers in return for their taxes.</w:t>
      </w:r>
    </w:p>
    <w:p w14:paraId="04FC7AC0" w14:textId="77777777" w:rsidR="00084F36" w:rsidRPr="00EB2BD8" w:rsidRDefault="00084F36">
      <w:pPr>
        <w:pStyle w:val="BodyText"/>
        <w:spacing w:before="1"/>
        <w:rPr>
          <w:rFonts w:ascii="Arial"/>
          <w:sz w:val="19"/>
        </w:rPr>
      </w:pPr>
    </w:p>
    <w:p w14:paraId="64FDC142" w14:textId="77777777" w:rsidR="00084F36" w:rsidRPr="00EB2BD8" w:rsidRDefault="00EB2BD8">
      <w:pPr>
        <w:spacing w:line="290" w:lineRule="auto"/>
        <w:ind w:left="1059" w:right="1844"/>
        <w:jc w:val="both"/>
        <w:rPr>
          <w:rFonts w:ascii="Arial"/>
          <w:sz w:val="16"/>
        </w:rPr>
      </w:pPr>
      <w:r w:rsidRPr="00EB2BD8">
        <w:rPr>
          <w:rFonts w:ascii="Arial"/>
          <w:w w:val="105"/>
          <w:sz w:val="16"/>
        </w:rPr>
        <w:t>Grants</w:t>
      </w:r>
      <w:r w:rsidRPr="00EB2BD8">
        <w:rPr>
          <w:rFonts w:ascii="Arial"/>
          <w:spacing w:val="-2"/>
          <w:w w:val="105"/>
          <w:sz w:val="16"/>
        </w:rPr>
        <w:t xml:space="preserve"> </w:t>
      </w:r>
      <w:r w:rsidRPr="00EB2BD8">
        <w:rPr>
          <w:rFonts w:ascii="Arial"/>
          <w:w w:val="105"/>
          <w:sz w:val="16"/>
        </w:rPr>
        <w:t>can</w:t>
      </w:r>
      <w:r w:rsidRPr="00EB2BD8">
        <w:rPr>
          <w:rFonts w:ascii="Arial"/>
          <w:spacing w:val="-2"/>
          <w:w w:val="105"/>
          <w:sz w:val="16"/>
        </w:rPr>
        <w:t xml:space="preserve"> </w:t>
      </w:r>
      <w:r w:rsidRPr="00EB2BD8">
        <w:rPr>
          <w:rFonts w:ascii="Arial"/>
          <w:w w:val="105"/>
          <w:sz w:val="16"/>
        </w:rPr>
        <w:t>be</w:t>
      </w:r>
      <w:r w:rsidRPr="00EB2BD8">
        <w:rPr>
          <w:rFonts w:ascii="Arial"/>
          <w:spacing w:val="-2"/>
          <w:w w:val="105"/>
          <w:sz w:val="16"/>
        </w:rPr>
        <w:t xml:space="preserve"> </w:t>
      </w:r>
      <w:r w:rsidRPr="00EB2BD8">
        <w:rPr>
          <w:rFonts w:ascii="Arial"/>
          <w:w w:val="105"/>
          <w:sz w:val="16"/>
        </w:rPr>
        <w:t>paid</w:t>
      </w:r>
      <w:r w:rsidRPr="00EB2BD8">
        <w:rPr>
          <w:rFonts w:ascii="Arial"/>
          <w:spacing w:val="-2"/>
          <w:w w:val="105"/>
          <w:sz w:val="16"/>
        </w:rPr>
        <w:t xml:space="preserve"> </w:t>
      </w:r>
      <w:r w:rsidRPr="00EB2BD8">
        <w:rPr>
          <w:rFonts w:ascii="Arial"/>
          <w:w w:val="105"/>
          <w:sz w:val="16"/>
        </w:rPr>
        <w:t>as</w:t>
      </w:r>
      <w:r w:rsidRPr="00EB2BD8">
        <w:rPr>
          <w:rFonts w:ascii="Arial"/>
          <w:spacing w:val="-2"/>
          <w:w w:val="105"/>
          <w:sz w:val="16"/>
        </w:rPr>
        <w:t xml:space="preserve"> </w:t>
      </w:r>
      <w:r w:rsidRPr="00EB2BD8">
        <w:rPr>
          <w:rFonts w:ascii="Arial"/>
          <w:w w:val="105"/>
          <w:sz w:val="16"/>
        </w:rPr>
        <w:t>general-purpose</w:t>
      </w:r>
      <w:r w:rsidRPr="00EB2BD8">
        <w:rPr>
          <w:rFonts w:ascii="Arial"/>
          <w:spacing w:val="-2"/>
          <w:w w:val="105"/>
          <w:sz w:val="16"/>
        </w:rPr>
        <w:t xml:space="preserve"> </w:t>
      </w:r>
      <w:r w:rsidRPr="00EB2BD8">
        <w:rPr>
          <w:rFonts w:ascii="Arial"/>
          <w:w w:val="105"/>
          <w:sz w:val="16"/>
        </w:rPr>
        <w:t>grants,</w:t>
      </w:r>
      <w:r w:rsidRPr="00EB2BD8">
        <w:rPr>
          <w:rFonts w:ascii="Arial"/>
          <w:spacing w:val="-2"/>
          <w:w w:val="105"/>
          <w:sz w:val="16"/>
        </w:rPr>
        <w:t xml:space="preserve"> </w:t>
      </w:r>
      <w:r w:rsidRPr="00EB2BD8">
        <w:rPr>
          <w:rFonts w:ascii="Arial"/>
          <w:w w:val="105"/>
          <w:sz w:val="16"/>
        </w:rPr>
        <w:t>which</w:t>
      </w:r>
      <w:r w:rsidRPr="00EB2BD8">
        <w:rPr>
          <w:rFonts w:ascii="Arial"/>
          <w:spacing w:val="-2"/>
          <w:w w:val="105"/>
          <w:sz w:val="16"/>
        </w:rPr>
        <w:t xml:space="preserve"> </w:t>
      </w:r>
      <w:r w:rsidRPr="00EB2BD8">
        <w:rPr>
          <w:rFonts w:ascii="Arial"/>
          <w:w w:val="105"/>
          <w:sz w:val="16"/>
        </w:rPr>
        <w:t>refer</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grants</w:t>
      </w:r>
      <w:r w:rsidRPr="00EB2BD8">
        <w:rPr>
          <w:rFonts w:ascii="Arial"/>
          <w:spacing w:val="-2"/>
          <w:w w:val="105"/>
          <w:sz w:val="16"/>
        </w:rPr>
        <w:t xml:space="preserve"> </w:t>
      </w:r>
      <w:r w:rsidRPr="00EB2BD8">
        <w:rPr>
          <w:rFonts w:ascii="Arial"/>
          <w:w w:val="105"/>
          <w:sz w:val="16"/>
        </w:rPr>
        <w:t>that</w:t>
      </w:r>
      <w:r w:rsidRPr="00EB2BD8">
        <w:rPr>
          <w:rFonts w:ascii="Arial"/>
          <w:spacing w:val="-2"/>
          <w:w w:val="105"/>
          <w:sz w:val="16"/>
        </w:rPr>
        <w:t xml:space="preserve"> </w:t>
      </w:r>
      <w:r w:rsidRPr="00EB2BD8">
        <w:rPr>
          <w:rFonts w:ascii="Arial"/>
          <w:w w:val="105"/>
          <w:sz w:val="16"/>
        </w:rPr>
        <w:t>are</w:t>
      </w:r>
      <w:r w:rsidRPr="00EB2BD8">
        <w:rPr>
          <w:rFonts w:ascii="Arial"/>
          <w:spacing w:val="-2"/>
          <w:w w:val="105"/>
          <w:sz w:val="16"/>
        </w:rPr>
        <w:t xml:space="preserve"> </w:t>
      </w:r>
      <w:r w:rsidRPr="00EB2BD8">
        <w:rPr>
          <w:rFonts w:ascii="Arial"/>
          <w:w w:val="105"/>
          <w:sz w:val="16"/>
        </w:rPr>
        <w:t>not</w:t>
      </w:r>
      <w:r w:rsidRPr="00EB2BD8">
        <w:rPr>
          <w:rFonts w:ascii="Arial"/>
          <w:spacing w:val="-2"/>
          <w:w w:val="105"/>
          <w:sz w:val="16"/>
        </w:rPr>
        <w:t xml:space="preserve"> </w:t>
      </w:r>
      <w:r w:rsidRPr="00EB2BD8">
        <w:rPr>
          <w:rFonts w:ascii="Arial"/>
          <w:w w:val="105"/>
          <w:sz w:val="16"/>
        </w:rPr>
        <w:t>subject</w:t>
      </w:r>
      <w:r w:rsidRPr="00EB2BD8">
        <w:rPr>
          <w:rFonts w:ascii="Arial"/>
          <w:spacing w:val="-2"/>
          <w:w w:val="105"/>
          <w:sz w:val="16"/>
        </w:rPr>
        <w:t xml:space="preserve"> </w:t>
      </w:r>
      <w:r w:rsidRPr="00EB2BD8">
        <w:rPr>
          <w:rFonts w:ascii="Arial"/>
          <w:w w:val="105"/>
          <w:sz w:val="16"/>
        </w:rPr>
        <w:t>to</w:t>
      </w:r>
      <w:r w:rsidRPr="00EB2BD8">
        <w:rPr>
          <w:rFonts w:ascii="Arial"/>
          <w:spacing w:val="-2"/>
          <w:w w:val="105"/>
          <w:sz w:val="16"/>
        </w:rPr>
        <w:t xml:space="preserve"> </w:t>
      </w:r>
      <w:r w:rsidRPr="00EB2BD8">
        <w:rPr>
          <w:rFonts w:ascii="Arial"/>
          <w:w w:val="105"/>
          <w:sz w:val="16"/>
        </w:rPr>
        <w:t>conditions</w:t>
      </w:r>
      <w:r w:rsidRPr="00EB2BD8">
        <w:rPr>
          <w:rFonts w:ascii="Arial"/>
          <w:spacing w:val="-2"/>
          <w:w w:val="105"/>
          <w:sz w:val="16"/>
        </w:rPr>
        <w:t xml:space="preserve"> </w:t>
      </w:r>
      <w:r w:rsidRPr="00EB2BD8">
        <w:rPr>
          <w:rFonts w:ascii="Arial"/>
          <w:w w:val="105"/>
          <w:sz w:val="16"/>
        </w:rPr>
        <w:t>regarding</w:t>
      </w:r>
      <w:r w:rsidRPr="00EB2BD8">
        <w:rPr>
          <w:rFonts w:ascii="Arial"/>
          <w:spacing w:val="-2"/>
          <w:w w:val="105"/>
          <w:sz w:val="16"/>
        </w:rPr>
        <w:t xml:space="preserve"> </w:t>
      </w:r>
      <w:r w:rsidRPr="00EB2BD8">
        <w:rPr>
          <w:rFonts w:ascii="Arial"/>
          <w:w w:val="105"/>
          <w:sz w:val="16"/>
        </w:rPr>
        <w:t>their</w:t>
      </w:r>
      <w:r w:rsidRPr="00EB2BD8">
        <w:rPr>
          <w:rFonts w:ascii="Arial"/>
          <w:spacing w:val="-2"/>
          <w:w w:val="105"/>
          <w:sz w:val="16"/>
        </w:rPr>
        <w:t xml:space="preserve"> </w:t>
      </w:r>
      <w:r w:rsidRPr="00EB2BD8">
        <w:rPr>
          <w:rFonts w:ascii="Arial"/>
          <w:w w:val="105"/>
          <w:sz w:val="16"/>
        </w:rPr>
        <w:t>use. Alternatively,</w:t>
      </w:r>
      <w:r w:rsidRPr="00EB2BD8">
        <w:rPr>
          <w:rFonts w:ascii="Arial"/>
          <w:spacing w:val="-1"/>
          <w:w w:val="105"/>
          <w:sz w:val="16"/>
        </w:rPr>
        <w:t xml:space="preserve"> </w:t>
      </w:r>
      <w:r w:rsidRPr="00EB2BD8">
        <w:rPr>
          <w:rFonts w:ascii="Arial"/>
          <w:w w:val="105"/>
          <w:sz w:val="16"/>
        </w:rPr>
        <w:t>they</w:t>
      </w:r>
      <w:r w:rsidRPr="00EB2BD8">
        <w:rPr>
          <w:rFonts w:ascii="Arial"/>
          <w:spacing w:val="-1"/>
          <w:w w:val="105"/>
          <w:sz w:val="16"/>
        </w:rPr>
        <w:t xml:space="preserve"> </w:t>
      </w:r>
      <w:r w:rsidRPr="00EB2BD8">
        <w:rPr>
          <w:rFonts w:ascii="Arial"/>
          <w:w w:val="105"/>
          <w:sz w:val="16"/>
        </w:rPr>
        <w:t>may</w:t>
      </w:r>
      <w:r w:rsidRPr="00EB2BD8">
        <w:rPr>
          <w:rFonts w:ascii="Arial"/>
          <w:spacing w:val="-1"/>
          <w:w w:val="105"/>
          <w:sz w:val="16"/>
        </w:rPr>
        <w:t xml:space="preserve"> </w:t>
      </w:r>
      <w:r w:rsidRPr="00EB2BD8">
        <w:rPr>
          <w:rFonts w:ascii="Arial"/>
          <w:w w:val="105"/>
          <w:sz w:val="16"/>
        </w:rPr>
        <w:t>be</w:t>
      </w:r>
      <w:r w:rsidRPr="00EB2BD8">
        <w:rPr>
          <w:rFonts w:ascii="Arial"/>
          <w:spacing w:val="-1"/>
          <w:w w:val="105"/>
          <w:sz w:val="16"/>
        </w:rPr>
        <w:t xml:space="preserve"> </w:t>
      </w:r>
      <w:r w:rsidRPr="00EB2BD8">
        <w:rPr>
          <w:rFonts w:ascii="Arial"/>
          <w:w w:val="105"/>
          <w:sz w:val="16"/>
        </w:rPr>
        <w:t>paid</w:t>
      </w:r>
      <w:r w:rsidRPr="00EB2BD8">
        <w:rPr>
          <w:rFonts w:ascii="Arial"/>
          <w:spacing w:val="-1"/>
          <w:w w:val="105"/>
          <w:sz w:val="16"/>
        </w:rPr>
        <w:t xml:space="preserve"> </w:t>
      </w:r>
      <w:r w:rsidRPr="00EB2BD8">
        <w:rPr>
          <w:rFonts w:ascii="Arial"/>
          <w:w w:val="105"/>
          <w:sz w:val="16"/>
        </w:rPr>
        <w:t>as</w:t>
      </w:r>
      <w:r w:rsidRPr="00EB2BD8">
        <w:rPr>
          <w:rFonts w:ascii="Arial"/>
          <w:spacing w:val="-1"/>
          <w:w w:val="105"/>
          <w:sz w:val="16"/>
        </w:rPr>
        <w:t xml:space="preserve"> </w:t>
      </w:r>
      <w:r w:rsidRPr="00EB2BD8">
        <w:rPr>
          <w:rFonts w:ascii="Arial"/>
          <w:w w:val="105"/>
          <w:sz w:val="16"/>
        </w:rPr>
        <w:t>specific</w:t>
      </w:r>
      <w:r w:rsidRPr="00EB2BD8">
        <w:rPr>
          <w:rFonts w:ascii="Arial"/>
          <w:spacing w:val="-1"/>
          <w:w w:val="105"/>
          <w:sz w:val="16"/>
        </w:rPr>
        <w:t xml:space="preserve"> </w:t>
      </w:r>
      <w:r w:rsidRPr="00EB2BD8">
        <w:rPr>
          <w:rFonts w:ascii="Arial"/>
          <w:w w:val="105"/>
          <w:sz w:val="16"/>
        </w:rPr>
        <w:t>purpose</w:t>
      </w:r>
      <w:r w:rsidRPr="00EB2BD8">
        <w:rPr>
          <w:rFonts w:ascii="Arial"/>
          <w:spacing w:val="-1"/>
          <w:w w:val="105"/>
          <w:sz w:val="16"/>
        </w:rPr>
        <w:t xml:space="preserve"> </w:t>
      </w:r>
      <w:r w:rsidRPr="00EB2BD8">
        <w:rPr>
          <w:rFonts w:ascii="Arial"/>
          <w:w w:val="105"/>
          <w:sz w:val="16"/>
        </w:rPr>
        <w:t>grants,</w:t>
      </w:r>
      <w:r w:rsidRPr="00EB2BD8">
        <w:rPr>
          <w:rFonts w:ascii="Arial"/>
          <w:spacing w:val="-1"/>
          <w:w w:val="105"/>
          <w:sz w:val="16"/>
        </w:rPr>
        <w:t xml:space="preserve"> </w:t>
      </w:r>
      <w:r w:rsidRPr="00EB2BD8">
        <w:rPr>
          <w:rFonts w:ascii="Arial"/>
          <w:w w:val="105"/>
          <w:sz w:val="16"/>
        </w:rPr>
        <w:t>which are</w:t>
      </w:r>
      <w:r w:rsidRPr="00EB2BD8">
        <w:rPr>
          <w:rFonts w:ascii="Arial"/>
          <w:spacing w:val="-1"/>
          <w:w w:val="105"/>
          <w:sz w:val="16"/>
        </w:rPr>
        <w:t xml:space="preserve"> </w:t>
      </w:r>
      <w:r w:rsidRPr="00EB2BD8">
        <w:rPr>
          <w:rFonts w:ascii="Arial"/>
          <w:w w:val="105"/>
          <w:sz w:val="16"/>
        </w:rPr>
        <w:t>paid for</w:t>
      </w:r>
      <w:r w:rsidRPr="00EB2BD8">
        <w:rPr>
          <w:rFonts w:ascii="Arial"/>
          <w:spacing w:val="-1"/>
          <w:w w:val="105"/>
          <w:sz w:val="16"/>
        </w:rPr>
        <w:t xml:space="preserve"> </w:t>
      </w:r>
      <w:r w:rsidRPr="00EB2BD8">
        <w:rPr>
          <w:rFonts w:ascii="Arial"/>
          <w:w w:val="105"/>
          <w:sz w:val="16"/>
        </w:rPr>
        <w:t>a</w:t>
      </w:r>
      <w:r w:rsidRPr="00EB2BD8">
        <w:rPr>
          <w:rFonts w:ascii="Arial"/>
          <w:spacing w:val="-1"/>
          <w:w w:val="105"/>
          <w:sz w:val="16"/>
        </w:rPr>
        <w:t xml:space="preserve"> </w:t>
      </w:r>
      <w:r w:rsidRPr="00EB2BD8">
        <w:rPr>
          <w:rFonts w:ascii="Arial"/>
          <w:w w:val="105"/>
          <w:sz w:val="16"/>
        </w:rPr>
        <w:t>particular</w:t>
      </w:r>
      <w:r w:rsidRPr="00EB2BD8">
        <w:rPr>
          <w:rFonts w:ascii="Arial"/>
          <w:spacing w:val="-1"/>
          <w:w w:val="105"/>
          <w:sz w:val="16"/>
        </w:rPr>
        <w:t xml:space="preserve"> </w:t>
      </w:r>
      <w:r w:rsidRPr="00EB2BD8">
        <w:rPr>
          <w:rFonts w:ascii="Arial"/>
          <w:w w:val="105"/>
          <w:sz w:val="16"/>
        </w:rPr>
        <w:t>purpose</w:t>
      </w:r>
      <w:r w:rsidRPr="00EB2BD8">
        <w:rPr>
          <w:rFonts w:ascii="Arial"/>
          <w:spacing w:val="-1"/>
          <w:w w:val="105"/>
          <w:sz w:val="16"/>
        </w:rPr>
        <w:t xml:space="preserve"> </w:t>
      </w:r>
      <w:r w:rsidRPr="00EB2BD8">
        <w:rPr>
          <w:rFonts w:ascii="Arial"/>
          <w:w w:val="105"/>
          <w:sz w:val="16"/>
        </w:rPr>
        <w:t>and/or have</w:t>
      </w:r>
      <w:r w:rsidRPr="00EB2BD8">
        <w:rPr>
          <w:rFonts w:ascii="Arial"/>
          <w:spacing w:val="-1"/>
          <w:w w:val="105"/>
          <w:sz w:val="16"/>
        </w:rPr>
        <w:t xml:space="preserve"> </w:t>
      </w:r>
      <w:r w:rsidRPr="00EB2BD8">
        <w:rPr>
          <w:rFonts w:ascii="Arial"/>
          <w:w w:val="105"/>
          <w:sz w:val="16"/>
        </w:rPr>
        <w:t>conditions attached regarding their use.</w:t>
      </w:r>
    </w:p>
    <w:p w14:paraId="75EBF2F1" w14:textId="77777777" w:rsidR="00084F36" w:rsidRPr="00EB2BD8" w:rsidRDefault="00084F36">
      <w:pPr>
        <w:pStyle w:val="BodyText"/>
        <w:rPr>
          <w:rFonts w:ascii="Arial"/>
        </w:rPr>
      </w:pPr>
    </w:p>
    <w:p w14:paraId="77D3EBF4" w14:textId="77777777" w:rsidR="00084F36" w:rsidRPr="00EB2BD8" w:rsidRDefault="00EB2BD8" w:rsidP="009E31F2">
      <w:pPr>
        <w:pStyle w:val="Heading2"/>
        <w:ind w:firstLine="209"/>
      </w:pPr>
      <w:bookmarkStart w:id="391" w:name="_Toc150762693"/>
      <w:r w:rsidRPr="00EB2BD8">
        <w:t>General</w:t>
      </w:r>
      <w:r w:rsidRPr="00EB2BD8">
        <w:rPr>
          <w:spacing w:val="18"/>
        </w:rPr>
        <w:t xml:space="preserve"> </w:t>
      </w:r>
      <w:r w:rsidRPr="00EB2BD8">
        <w:t>government</w:t>
      </w:r>
      <w:r w:rsidRPr="00EB2BD8">
        <w:rPr>
          <w:spacing w:val="19"/>
        </w:rPr>
        <w:t xml:space="preserve"> </w:t>
      </w:r>
      <w:r w:rsidRPr="00EB2BD8">
        <w:rPr>
          <w:spacing w:val="-2"/>
        </w:rPr>
        <w:t>sector</w:t>
      </w:r>
      <w:bookmarkEnd w:id="391"/>
    </w:p>
    <w:p w14:paraId="180FD8C5" w14:textId="77777777" w:rsidR="00084F36" w:rsidRPr="00EB2BD8" w:rsidRDefault="00EB2BD8">
      <w:pPr>
        <w:spacing w:before="156" w:line="290" w:lineRule="auto"/>
        <w:ind w:left="1059" w:right="1761"/>
        <w:rPr>
          <w:rFonts w:ascii="Arial"/>
          <w:sz w:val="16"/>
        </w:rPr>
      </w:pPr>
      <w:r w:rsidRPr="00EB2BD8">
        <w:rPr>
          <w:rFonts w:ascii="Arial"/>
          <w:w w:val="105"/>
          <w:sz w:val="16"/>
        </w:rPr>
        <w:t>The general government sector comprises all government departments, offices and other bodies engaged in providing services</w:t>
      </w:r>
      <w:r w:rsidRPr="00EB2BD8">
        <w:rPr>
          <w:rFonts w:ascii="Arial"/>
          <w:spacing w:val="-3"/>
          <w:w w:val="105"/>
          <w:sz w:val="16"/>
        </w:rPr>
        <w:t xml:space="preserve"> </w:t>
      </w:r>
      <w:r w:rsidRPr="00EB2BD8">
        <w:rPr>
          <w:rFonts w:ascii="Arial"/>
          <w:w w:val="105"/>
          <w:sz w:val="16"/>
        </w:rPr>
        <w:t>free</w:t>
      </w:r>
      <w:r w:rsidRPr="00EB2BD8">
        <w:rPr>
          <w:rFonts w:ascii="Arial"/>
          <w:spacing w:val="-3"/>
          <w:w w:val="105"/>
          <w:sz w:val="16"/>
        </w:rPr>
        <w:t xml:space="preserve"> </w:t>
      </w:r>
      <w:r w:rsidRPr="00EB2BD8">
        <w:rPr>
          <w:rFonts w:ascii="Arial"/>
          <w:w w:val="105"/>
          <w:sz w:val="16"/>
        </w:rPr>
        <w:t>of</w:t>
      </w:r>
      <w:r w:rsidRPr="00EB2BD8">
        <w:rPr>
          <w:rFonts w:ascii="Arial"/>
          <w:spacing w:val="-1"/>
          <w:w w:val="105"/>
          <w:sz w:val="16"/>
        </w:rPr>
        <w:t xml:space="preserve"> </w:t>
      </w:r>
      <w:r w:rsidRPr="00EB2BD8">
        <w:rPr>
          <w:rFonts w:ascii="Arial"/>
          <w:w w:val="105"/>
          <w:sz w:val="16"/>
        </w:rPr>
        <w:t>charge</w:t>
      </w:r>
      <w:r w:rsidRPr="00EB2BD8">
        <w:rPr>
          <w:rFonts w:ascii="Arial"/>
          <w:spacing w:val="-3"/>
          <w:w w:val="105"/>
          <w:sz w:val="16"/>
        </w:rPr>
        <w:t xml:space="preserve"> </w:t>
      </w:r>
      <w:r w:rsidRPr="00EB2BD8">
        <w:rPr>
          <w:rFonts w:ascii="Arial"/>
          <w:w w:val="105"/>
          <w:sz w:val="16"/>
        </w:rPr>
        <w:t>or</w:t>
      </w:r>
      <w:r w:rsidRPr="00EB2BD8">
        <w:rPr>
          <w:rFonts w:ascii="Arial"/>
          <w:spacing w:val="-3"/>
          <w:w w:val="105"/>
          <w:sz w:val="16"/>
        </w:rPr>
        <w:t xml:space="preserve"> </w:t>
      </w:r>
      <w:r w:rsidRPr="00EB2BD8">
        <w:rPr>
          <w:rFonts w:ascii="Arial"/>
          <w:w w:val="105"/>
          <w:sz w:val="16"/>
        </w:rPr>
        <w:t>at</w:t>
      </w:r>
      <w:r w:rsidRPr="00EB2BD8">
        <w:rPr>
          <w:rFonts w:ascii="Arial"/>
          <w:spacing w:val="-3"/>
          <w:w w:val="105"/>
          <w:sz w:val="16"/>
        </w:rPr>
        <w:t xml:space="preserve"> </w:t>
      </w:r>
      <w:r w:rsidRPr="00EB2BD8">
        <w:rPr>
          <w:rFonts w:ascii="Arial"/>
          <w:w w:val="105"/>
          <w:sz w:val="16"/>
        </w:rPr>
        <w:t>prices</w:t>
      </w:r>
      <w:r w:rsidRPr="00EB2BD8">
        <w:rPr>
          <w:rFonts w:ascii="Arial"/>
          <w:spacing w:val="-3"/>
          <w:w w:val="105"/>
          <w:sz w:val="16"/>
        </w:rPr>
        <w:t xml:space="preserve"> </w:t>
      </w:r>
      <w:r w:rsidRPr="00EB2BD8">
        <w:rPr>
          <w:rFonts w:ascii="Arial"/>
          <w:w w:val="105"/>
          <w:sz w:val="16"/>
        </w:rPr>
        <w:t>significantly</w:t>
      </w:r>
      <w:r w:rsidRPr="00EB2BD8">
        <w:rPr>
          <w:rFonts w:ascii="Arial"/>
          <w:spacing w:val="-3"/>
          <w:w w:val="105"/>
          <w:sz w:val="16"/>
        </w:rPr>
        <w:t xml:space="preserve"> </w:t>
      </w:r>
      <w:r w:rsidRPr="00EB2BD8">
        <w:rPr>
          <w:rFonts w:ascii="Arial"/>
          <w:w w:val="105"/>
          <w:sz w:val="16"/>
        </w:rPr>
        <w:t>below</w:t>
      </w:r>
      <w:r w:rsidRPr="00EB2BD8">
        <w:rPr>
          <w:rFonts w:ascii="Arial"/>
          <w:spacing w:val="-3"/>
          <w:w w:val="105"/>
          <w:sz w:val="16"/>
        </w:rPr>
        <w:t xml:space="preserve"> </w:t>
      </w:r>
      <w:r w:rsidRPr="00EB2BD8">
        <w:rPr>
          <w:rFonts w:ascii="Arial"/>
          <w:w w:val="105"/>
          <w:sz w:val="16"/>
        </w:rPr>
        <w:t>their</w:t>
      </w:r>
      <w:r w:rsidRPr="00EB2BD8">
        <w:rPr>
          <w:rFonts w:ascii="Arial"/>
          <w:spacing w:val="-3"/>
          <w:w w:val="105"/>
          <w:sz w:val="16"/>
        </w:rPr>
        <w:t xml:space="preserve"> </w:t>
      </w:r>
      <w:r w:rsidRPr="00EB2BD8">
        <w:rPr>
          <w:rFonts w:ascii="Arial"/>
          <w:w w:val="105"/>
          <w:sz w:val="16"/>
        </w:rPr>
        <w:t>cost</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production.</w:t>
      </w:r>
      <w:r w:rsidRPr="00EB2BD8">
        <w:rPr>
          <w:rFonts w:ascii="Arial"/>
          <w:spacing w:val="-3"/>
          <w:w w:val="105"/>
          <w:sz w:val="16"/>
        </w:rPr>
        <w:t xml:space="preserve"> </w:t>
      </w:r>
      <w:r w:rsidRPr="00EB2BD8">
        <w:rPr>
          <w:rFonts w:ascii="Arial"/>
          <w:w w:val="105"/>
          <w:sz w:val="16"/>
        </w:rPr>
        <w:t>General</w:t>
      </w:r>
      <w:r w:rsidRPr="00EB2BD8">
        <w:rPr>
          <w:rFonts w:ascii="Arial"/>
          <w:spacing w:val="-3"/>
          <w:w w:val="105"/>
          <w:sz w:val="16"/>
        </w:rPr>
        <w:t xml:space="preserve"> </w:t>
      </w:r>
      <w:r w:rsidRPr="00EB2BD8">
        <w:rPr>
          <w:rFonts w:ascii="Arial"/>
          <w:w w:val="105"/>
          <w:sz w:val="16"/>
        </w:rPr>
        <w:t>government</w:t>
      </w:r>
      <w:r w:rsidRPr="00EB2BD8">
        <w:rPr>
          <w:rFonts w:ascii="Arial"/>
          <w:spacing w:val="-3"/>
          <w:w w:val="105"/>
          <w:sz w:val="16"/>
        </w:rPr>
        <w:t xml:space="preserve"> </w:t>
      </w:r>
      <w:r w:rsidRPr="00EB2BD8">
        <w:rPr>
          <w:rFonts w:ascii="Arial"/>
          <w:w w:val="105"/>
          <w:sz w:val="16"/>
        </w:rPr>
        <w:t>services</w:t>
      </w:r>
      <w:r w:rsidRPr="00EB2BD8">
        <w:rPr>
          <w:rFonts w:ascii="Arial"/>
          <w:spacing w:val="-3"/>
          <w:w w:val="105"/>
          <w:sz w:val="16"/>
        </w:rPr>
        <w:t xml:space="preserve"> </w:t>
      </w:r>
      <w:r w:rsidRPr="00EB2BD8">
        <w:rPr>
          <w:rFonts w:ascii="Arial"/>
          <w:w w:val="105"/>
          <w:sz w:val="16"/>
        </w:rPr>
        <w:t>include</w:t>
      </w:r>
      <w:r w:rsidRPr="00EB2BD8">
        <w:rPr>
          <w:rFonts w:ascii="Arial"/>
          <w:spacing w:val="-3"/>
          <w:w w:val="105"/>
          <w:sz w:val="16"/>
        </w:rPr>
        <w:t xml:space="preserve"> </w:t>
      </w:r>
      <w:r w:rsidRPr="00EB2BD8">
        <w:rPr>
          <w:rFonts w:ascii="Arial"/>
          <w:w w:val="105"/>
          <w:sz w:val="16"/>
        </w:rPr>
        <w:t>those which are mainly non-market in nature, those which are largely for collective consumption by the community and those which involve the transfer or redistribution of income. These services are financed mainly through taxes, or other compulsory levies and user charges.</w:t>
      </w:r>
    </w:p>
    <w:p w14:paraId="32FBAB0D" w14:textId="77777777" w:rsidR="00084F36" w:rsidRPr="00EB2BD8" w:rsidRDefault="00EB2BD8" w:rsidP="009E31F2">
      <w:pPr>
        <w:pStyle w:val="Heading2"/>
        <w:ind w:firstLine="209"/>
      </w:pPr>
      <w:bookmarkStart w:id="392" w:name="_Toc150762694"/>
      <w:r w:rsidRPr="00EB2BD8">
        <w:t>Infrastructure</w:t>
      </w:r>
      <w:r w:rsidRPr="00EB2BD8">
        <w:rPr>
          <w:spacing w:val="25"/>
        </w:rPr>
        <w:t xml:space="preserve"> </w:t>
      </w:r>
      <w:r w:rsidRPr="00EB2BD8">
        <w:rPr>
          <w:spacing w:val="-2"/>
        </w:rPr>
        <w:t>systems</w:t>
      </w:r>
      <w:bookmarkEnd w:id="392"/>
    </w:p>
    <w:p w14:paraId="7BDDCF03" w14:textId="77777777" w:rsidR="00084F36" w:rsidRPr="00EB2BD8" w:rsidRDefault="00EB2BD8">
      <w:pPr>
        <w:spacing w:before="157" w:line="290" w:lineRule="auto"/>
        <w:ind w:left="1059" w:right="1813"/>
        <w:rPr>
          <w:rFonts w:ascii="Arial"/>
          <w:sz w:val="16"/>
        </w:rPr>
      </w:pPr>
      <w:r w:rsidRPr="00EB2BD8">
        <w:rPr>
          <w:rFonts w:ascii="Arial"/>
          <w:w w:val="105"/>
          <w:sz w:val="16"/>
        </w:rPr>
        <w:t>Infrastructure</w:t>
      </w:r>
      <w:r w:rsidRPr="00EB2BD8">
        <w:rPr>
          <w:rFonts w:ascii="Arial"/>
          <w:spacing w:val="-3"/>
          <w:w w:val="105"/>
          <w:sz w:val="16"/>
        </w:rPr>
        <w:t xml:space="preserve"> </w:t>
      </w:r>
      <w:r w:rsidRPr="00EB2BD8">
        <w:rPr>
          <w:rFonts w:ascii="Arial"/>
          <w:w w:val="105"/>
          <w:sz w:val="16"/>
        </w:rPr>
        <w:t>systems</w:t>
      </w:r>
      <w:r w:rsidRPr="00EB2BD8">
        <w:rPr>
          <w:rFonts w:ascii="Arial"/>
          <w:spacing w:val="-3"/>
          <w:w w:val="105"/>
          <w:sz w:val="16"/>
        </w:rPr>
        <w:t xml:space="preserve"> </w:t>
      </w:r>
      <w:r w:rsidRPr="00EB2BD8">
        <w:rPr>
          <w:rFonts w:ascii="Arial"/>
          <w:w w:val="105"/>
          <w:sz w:val="16"/>
        </w:rPr>
        <w:t>provide</w:t>
      </w:r>
      <w:r w:rsidRPr="00EB2BD8">
        <w:rPr>
          <w:rFonts w:ascii="Arial"/>
          <w:spacing w:val="-2"/>
          <w:w w:val="105"/>
          <w:sz w:val="16"/>
        </w:rPr>
        <w:t xml:space="preserve"> </w:t>
      </w:r>
      <w:r w:rsidRPr="00EB2BD8">
        <w:rPr>
          <w:rFonts w:ascii="Arial"/>
          <w:w w:val="105"/>
          <w:sz w:val="16"/>
        </w:rPr>
        <w:t>essential</w:t>
      </w:r>
      <w:r w:rsidRPr="00EB2BD8">
        <w:rPr>
          <w:rFonts w:ascii="Arial"/>
          <w:spacing w:val="-3"/>
          <w:w w:val="105"/>
          <w:sz w:val="16"/>
        </w:rPr>
        <w:t xml:space="preserve"> </w:t>
      </w:r>
      <w:r w:rsidRPr="00EB2BD8">
        <w:rPr>
          <w:rFonts w:ascii="Arial"/>
          <w:w w:val="105"/>
          <w:sz w:val="16"/>
        </w:rPr>
        <w:t>services</w:t>
      </w:r>
      <w:r w:rsidRPr="00EB2BD8">
        <w:rPr>
          <w:rFonts w:ascii="Arial"/>
          <w:spacing w:val="-3"/>
          <w:w w:val="105"/>
          <w:sz w:val="16"/>
        </w:rPr>
        <w:t xml:space="preserve"> </w:t>
      </w:r>
      <w:r w:rsidRPr="00EB2BD8">
        <w:rPr>
          <w:rFonts w:ascii="Arial"/>
          <w:w w:val="105"/>
          <w:sz w:val="16"/>
        </w:rPr>
        <w:t>used</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delivery</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final</w:t>
      </w:r>
      <w:r w:rsidRPr="00EB2BD8">
        <w:rPr>
          <w:rFonts w:ascii="Arial"/>
          <w:spacing w:val="-3"/>
          <w:w w:val="105"/>
          <w:sz w:val="16"/>
        </w:rPr>
        <w:t xml:space="preserve"> </w:t>
      </w:r>
      <w:r w:rsidRPr="00EB2BD8">
        <w:rPr>
          <w:rFonts w:ascii="Arial"/>
          <w:w w:val="105"/>
          <w:sz w:val="16"/>
        </w:rPr>
        <w:t>services</w:t>
      </w:r>
      <w:r w:rsidRPr="00EB2BD8">
        <w:rPr>
          <w:rFonts w:ascii="Arial"/>
          <w:spacing w:val="-3"/>
          <w:w w:val="105"/>
          <w:sz w:val="16"/>
        </w:rPr>
        <w:t xml:space="preserve"> </w:t>
      </w:r>
      <w:r w:rsidRPr="00EB2BD8">
        <w:rPr>
          <w:rFonts w:ascii="Arial"/>
          <w:w w:val="105"/>
          <w:sz w:val="16"/>
        </w:rPr>
        <w:t>or</w:t>
      </w:r>
      <w:r w:rsidRPr="00EB2BD8">
        <w:rPr>
          <w:rFonts w:ascii="Arial"/>
          <w:spacing w:val="-3"/>
          <w:w w:val="105"/>
          <w:sz w:val="16"/>
        </w:rPr>
        <w:t xml:space="preserve"> </w:t>
      </w:r>
      <w:r w:rsidRPr="00EB2BD8">
        <w:rPr>
          <w:rFonts w:ascii="Arial"/>
          <w:w w:val="105"/>
          <w:sz w:val="16"/>
        </w:rPr>
        <w:t>products.</w:t>
      </w:r>
      <w:r w:rsidRPr="00EB2BD8">
        <w:rPr>
          <w:rFonts w:ascii="Arial"/>
          <w:spacing w:val="-3"/>
          <w:w w:val="105"/>
          <w:sz w:val="16"/>
        </w:rPr>
        <w:t xml:space="preserve"> </w:t>
      </w:r>
      <w:r w:rsidRPr="00EB2BD8">
        <w:rPr>
          <w:rFonts w:ascii="Arial"/>
          <w:w w:val="105"/>
          <w:sz w:val="16"/>
        </w:rPr>
        <w:t>They</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generally</w:t>
      </w:r>
      <w:r w:rsidRPr="00EB2BD8">
        <w:rPr>
          <w:rFonts w:ascii="Arial"/>
          <w:spacing w:val="-3"/>
          <w:w w:val="105"/>
          <w:sz w:val="16"/>
        </w:rPr>
        <w:t xml:space="preserve"> </w:t>
      </w:r>
      <w:r w:rsidRPr="00EB2BD8">
        <w:rPr>
          <w:rFonts w:ascii="Arial"/>
          <w:w w:val="105"/>
          <w:sz w:val="16"/>
        </w:rPr>
        <w:t>a complex interconnected network of individual assets and mainly include sewerage systems, water storage and supply systems, ports, utilities and public transport assets owned by the State.</w:t>
      </w:r>
    </w:p>
    <w:p w14:paraId="075B9643" w14:textId="77777777" w:rsidR="00084F36" w:rsidRPr="00EB2BD8" w:rsidRDefault="00084F36">
      <w:pPr>
        <w:pStyle w:val="BodyText"/>
        <w:rPr>
          <w:rFonts w:ascii="Arial"/>
        </w:rPr>
      </w:pPr>
    </w:p>
    <w:p w14:paraId="5FA038AB" w14:textId="77777777" w:rsidR="00084F36" w:rsidRPr="00EB2BD8" w:rsidRDefault="00EB2BD8" w:rsidP="009E31F2">
      <w:pPr>
        <w:pStyle w:val="Heading2"/>
        <w:ind w:firstLine="209"/>
      </w:pPr>
      <w:bookmarkStart w:id="393" w:name="_Toc150762695"/>
      <w:r w:rsidRPr="00EB2BD8">
        <w:t>Intangible</w:t>
      </w:r>
      <w:r w:rsidRPr="00EB2BD8">
        <w:rPr>
          <w:spacing w:val="19"/>
        </w:rPr>
        <w:t xml:space="preserve"> </w:t>
      </w:r>
      <w:r w:rsidRPr="00EB2BD8">
        <w:t>produced</w:t>
      </w:r>
      <w:r w:rsidRPr="00EB2BD8">
        <w:rPr>
          <w:spacing w:val="19"/>
        </w:rPr>
        <w:t xml:space="preserve"> </w:t>
      </w:r>
      <w:r w:rsidRPr="00EB2BD8">
        <w:rPr>
          <w:spacing w:val="-2"/>
        </w:rPr>
        <w:t>assets</w:t>
      </w:r>
      <w:bookmarkEnd w:id="393"/>
    </w:p>
    <w:p w14:paraId="20AAD808" w14:textId="77777777" w:rsidR="00084F36" w:rsidRPr="00EB2BD8" w:rsidRDefault="00EB2BD8">
      <w:pPr>
        <w:spacing w:before="156"/>
        <w:ind w:left="1059"/>
        <w:rPr>
          <w:rFonts w:ascii="Arial"/>
          <w:sz w:val="16"/>
        </w:rPr>
      </w:pPr>
      <w:r w:rsidRPr="00EB2BD8">
        <w:rPr>
          <w:rFonts w:ascii="Arial"/>
          <w:w w:val="105"/>
          <w:sz w:val="16"/>
        </w:rPr>
        <w:t>Refer</w:t>
      </w:r>
      <w:r w:rsidRPr="00EB2BD8">
        <w:rPr>
          <w:rFonts w:ascii="Arial"/>
          <w:spacing w:val="-6"/>
          <w:w w:val="105"/>
          <w:sz w:val="16"/>
        </w:rPr>
        <w:t xml:space="preserve"> </w:t>
      </w:r>
      <w:r w:rsidRPr="00EB2BD8">
        <w:rPr>
          <w:rFonts w:ascii="Arial"/>
          <w:w w:val="105"/>
          <w:sz w:val="16"/>
        </w:rPr>
        <w:t>to</w:t>
      </w:r>
      <w:r w:rsidRPr="00EB2BD8">
        <w:rPr>
          <w:rFonts w:ascii="Arial"/>
          <w:spacing w:val="-5"/>
          <w:w w:val="105"/>
          <w:sz w:val="16"/>
        </w:rPr>
        <w:t xml:space="preserve"> </w:t>
      </w:r>
      <w:r w:rsidRPr="00EB2BD8">
        <w:rPr>
          <w:rFonts w:ascii="Arial"/>
          <w:w w:val="105"/>
          <w:sz w:val="16"/>
        </w:rPr>
        <w:t>produced</w:t>
      </w:r>
      <w:r w:rsidRPr="00EB2BD8">
        <w:rPr>
          <w:rFonts w:ascii="Arial"/>
          <w:spacing w:val="-5"/>
          <w:w w:val="105"/>
          <w:sz w:val="16"/>
        </w:rPr>
        <w:t xml:space="preserve"> </w:t>
      </w:r>
      <w:r w:rsidRPr="00EB2BD8">
        <w:rPr>
          <w:rFonts w:ascii="Arial"/>
          <w:w w:val="105"/>
          <w:sz w:val="16"/>
        </w:rPr>
        <w:t>assets</w:t>
      </w:r>
      <w:r w:rsidRPr="00EB2BD8">
        <w:rPr>
          <w:rFonts w:ascii="Arial"/>
          <w:spacing w:val="-6"/>
          <w:w w:val="105"/>
          <w:sz w:val="16"/>
        </w:rPr>
        <w:t xml:space="preserve"> </w:t>
      </w:r>
      <w:r w:rsidRPr="00EB2BD8">
        <w:rPr>
          <w:rFonts w:ascii="Arial"/>
          <w:w w:val="105"/>
          <w:sz w:val="16"/>
        </w:rPr>
        <w:t>in</w:t>
      </w:r>
      <w:r w:rsidRPr="00EB2BD8">
        <w:rPr>
          <w:rFonts w:ascii="Arial"/>
          <w:spacing w:val="-5"/>
          <w:w w:val="105"/>
          <w:sz w:val="16"/>
        </w:rPr>
        <w:t xml:space="preserve"> </w:t>
      </w:r>
      <w:r w:rsidRPr="00EB2BD8">
        <w:rPr>
          <w:rFonts w:ascii="Arial"/>
          <w:w w:val="105"/>
          <w:sz w:val="16"/>
        </w:rPr>
        <w:t>this</w:t>
      </w:r>
      <w:r w:rsidRPr="00EB2BD8">
        <w:rPr>
          <w:rFonts w:ascii="Arial"/>
          <w:spacing w:val="-5"/>
          <w:w w:val="105"/>
          <w:sz w:val="16"/>
        </w:rPr>
        <w:t xml:space="preserve"> </w:t>
      </w:r>
      <w:r w:rsidRPr="00EB2BD8">
        <w:rPr>
          <w:rFonts w:ascii="Arial"/>
          <w:spacing w:val="-2"/>
          <w:w w:val="105"/>
          <w:sz w:val="16"/>
        </w:rPr>
        <w:t>glossary.</w:t>
      </w:r>
    </w:p>
    <w:p w14:paraId="552E7190" w14:textId="77777777" w:rsidR="00084F36" w:rsidRPr="00EB2BD8" w:rsidRDefault="00084F36">
      <w:pPr>
        <w:pStyle w:val="BodyText"/>
        <w:rPr>
          <w:rFonts w:ascii="Arial"/>
        </w:rPr>
      </w:pPr>
    </w:p>
    <w:p w14:paraId="71C7862A" w14:textId="77777777" w:rsidR="00084F36" w:rsidRPr="00EB2BD8" w:rsidRDefault="00084F36">
      <w:pPr>
        <w:pStyle w:val="BodyText"/>
        <w:spacing w:before="2"/>
        <w:rPr>
          <w:rFonts w:ascii="Arial"/>
          <w:sz w:val="14"/>
        </w:rPr>
      </w:pPr>
    </w:p>
    <w:p w14:paraId="0E72E5D5" w14:textId="77777777" w:rsidR="00084F36" w:rsidRPr="00EB2BD8" w:rsidRDefault="00EB2BD8" w:rsidP="009E31F2">
      <w:pPr>
        <w:pStyle w:val="Heading2"/>
        <w:ind w:firstLine="209"/>
      </w:pPr>
      <w:bookmarkStart w:id="394" w:name="_Toc150762696"/>
      <w:r w:rsidRPr="00EB2BD8">
        <w:t>Interest</w:t>
      </w:r>
      <w:r w:rsidRPr="00EB2BD8">
        <w:rPr>
          <w:spacing w:val="14"/>
        </w:rPr>
        <w:t xml:space="preserve"> </w:t>
      </w:r>
      <w:r w:rsidRPr="00EB2BD8">
        <w:rPr>
          <w:spacing w:val="-2"/>
        </w:rPr>
        <w:t>expense</w:t>
      </w:r>
      <w:bookmarkEnd w:id="394"/>
    </w:p>
    <w:p w14:paraId="68E7D77F" w14:textId="77777777" w:rsidR="00084F36" w:rsidRPr="00EB2BD8" w:rsidRDefault="00EB2BD8">
      <w:pPr>
        <w:spacing w:before="157" w:line="290" w:lineRule="auto"/>
        <w:ind w:left="1059" w:right="1761"/>
        <w:rPr>
          <w:rFonts w:ascii="Arial"/>
          <w:sz w:val="16"/>
        </w:rPr>
      </w:pPr>
      <w:r w:rsidRPr="00EB2BD8">
        <w:rPr>
          <w:rFonts w:ascii="Arial"/>
          <w:w w:val="105"/>
          <w:sz w:val="16"/>
        </w:rPr>
        <w:t>Costs</w:t>
      </w:r>
      <w:r w:rsidRPr="00EB2BD8">
        <w:rPr>
          <w:rFonts w:ascii="Arial"/>
          <w:spacing w:val="-3"/>
          <w:w w:val="105"/>
          <w:sz w:val="16"/>
        </w:rPr>
        <w:t xml:space="preserve"> </w:t>
      </w:r>
      <w:r w:rsidRPr="00EB2BD8">
        <w:rPr>
          <w:rFonts w:ascii="Arial"/>
          <w:w w:val="105"/>
          <w:sz w:val="16"/>
        </w:rPr>
        <w:t>incurred</w:t>
      </w:r>
      <w:r w:rsidRPr="00EB2BD8">
        <w:rPr>
          <w:rFonts w:ascii="Arial"/>
          <w:spacing w:val="-2"/>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connection</w:t>
      </w:r>
      <w:r w:rsidRPr="00EB2BD8">
        <w:rPr>
          <w:rFonts w:ascii="Arial"/>
          <w:spacing w:val="-2"/>
          <w:w w:val="105"/>
          <w:sz w:val="16"/>
        </w:rPr>
        <w:t xml:space="preserve"> </w:t>
      </w:r>
      <w:r w:rsidRPr="00EB2BD8">
        <w:rPr>
          <w:rFonts w:ascii="Arial"/>
          <w:w w:val="105"/>
          <w:sz w:val="16"/>
        </w:rPr>
        <w:t>with</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borrowing</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funds</w:t>
      </w:r>
      <w:r w:rsidRPr="00EB2BD8">
        <w:rPr>
          <w:rFonts w:ascii="Arial"/>
          <w:spacing w:val="-3"/>
          <w:w w:val="105"/>
          <w:sz w:val="16"/>
        </w:rPr>
        <w:t xml:space="preserve"> </w:t>
      </w:r>
      <w:r w:rsidRPr="00EB2BD8">
        <w:rPr>
          <w:rFonts w:ascii="Arial"/>
          <w:w w:val="105"/>
          <w:sz w:val="16"/>
        </w:rPr>
        <w:t>includes</w:t>
      </w:r>
      <w:r w:rsidRPr="00EB2BD8">
        <w:rPr>
          <w:rFonts w:ascii="Arial"/>
          <w:spacing w:val="-3"/>
          <w:w w:val="105"/>
          <w:sz w:val="16"/>
        </w:rPr>
        <w:t xml:space="preserve"> </w:t>
      </w:r>
      <w:r w:rsidRPr="00EB2BD8">
        <w:rPr>
          <w:rFonts w:ascii="Arial"/>
          <w:w w:val="105"/>
          <w:sz w:val="16"/>
        </w:rPr>
        <w:t>interest</w:t>
      </w:r>
      <w:r w:rsidRPr="00EB2BD8">
        <w:rPr>
          <w:rFonts w:ascii="Arial"/>
          <w:spacing w:val="-3"/>
          <w:w w:val="105"/>
          <w:sz w:val="16"/>
        </w:rPr>
        <w:t xml:space="preserve"> </w:t>
      </w:r>
      <w:r w:rsidRPr="00EB2BD8">
        <w:rPr>
          <w:rFonts w:ascii="Arial"/>
          <w:w w:val="105"/>
          <w:sz w:val="16"/>
        </w:rPr>
        <w:t>on</w:t>
      </w:r>
      <w:r w:rsidRPr="00EB2BD8">
        <w:rPr>
          <w:rFonts w:ascii="Arial"/>
          <w:spacing w:val="-3"/>
          <w:w w:val="105"/>
          <w:sz w:val="16"/>
        </w:rPr>
        <w:t xml:space="preserve"> </w:t>
      </w:r>
      <w:r w:rsidRPr="00EB2BD8">
        <w:rPr>
          <w:rFonts w:ascii="Arial"/>
          <w:w w:val="105"/>
          <w:sz w:val="16"/>
        </w:rPr>
        <w:t>bank</w:t>
      </w:r>
      <w:r w:rsidRPr="00EB2BD8">
        <w:rPr>
          <w:rFonts w:ascii="Arial"/>
          <w:spacing w:val="-3"/>
          <w:w w:val="105"/>
          <w:sz w:val="16"/>
        </w:rPr>
        <w:t xml:space="preserve"> </w:t>
      </w:r>
      <w:r w:rsidRPr="00EB2BD8">
        <w:rPr>
          <w:rFonts w:ascii="Arial"/>
          <w:w w:val="105"/>
          <w:sz w:val="16"/>
        </w:rPr>
        <w:t>overdrafts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short-term</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long-term borrowings, amortisation of discounts or premiums relating to borrowings, interest component of finance leases repayments, and the increase in financial liabilities and non- employee provisions due to the unwinding of discounts to reflect the passage of time.</w:t>
      </w:r>
    </w:p>
    <w:p w14:paraId="2143090B" w14:textId="77777777" w:rsidR="00084F36" w:rsidRPr="00EB2BD8" w:rsidRDefault="00084F36">
      <w:pPr>
        <w:pStyle w:val="BodyText"/>
        <w:rPr>
          <w:rFonts w:ascii="Arial"/>
        </w:rPr>
      </w:pPr>
    </w:p>
    <w:p w14:paraId="23BE9FAC" w14:textId="77777777" w:rsidR="00084F36" w:rsidRPr="00EB2BD8" w:rsidRDefault="00EB2BD8" w:rsidP="009E31F2">
      <w:pPr>
        <w:pStyle w:val="Heading2"/>
        <w:ind w:firstLine="209"/>
      </w:pPr>
      <w:bookmarkStart w:id="395" w:name="_Toc150762697"/>
      <w:r w:rsidRPr="00EB2BD8">
        <w:t>Interest</w:t>
      </w:r>
      <w:r w:rsidRPr="00EB2BD8">
        <w:rPr>
          <w:spacing w:val="14"/>
        </w:rPr>
        <w:t xml:space="preserve"> </w:t>
      </w:r>
      <w:r w:rsidRPr="00EB2BD8">
        <w:rPr>
          <w:spacing w:val="-2"/>
        </w:rPr>
        <w:t>income</w:t>
      </w:r>
      <w:bookmarkEnd w:id="395"/>
    </w:p>
    <w:p w14:paraId="6300578F" w14:textId="77777777" w:rsidR="00084F36" w:rsidRPr="00EB2BD8" w:rsidRDefault="00EB2BD8">
      <w:pPr>
        <w:spacing w:before="157" w:line="290" w:lineRule="auto"/>
        <w:ind w:left="1059" w:right="1813"/>
        <w:rPr>
          <w:rFonts w:ascii="Arial"/>
          <w:sz w:val="16"/>
        </w:rPr>
      </w:pPr>
      <w:r w:rsidRPr="00EB2BD8">
        <w:rPr>
          <w:rFonts w:ascii="Arial"/>
          <w:w w:val="105"/>
          <w:sz w:val="16"/>
        </w:rPr>
        <w:t>Interest</w:t>
      </w:r>
      <w:r w:rsidRPr="00EB2BD8">
        <w:rPr>
          <w:rFonts w:ascii="Arial"/>
          <w:spacing w:val="-3"/>
          <w:w w:val="105"/>
          <w:sz w:val="16"/>
        </w:rPr>
        <w:t xml:space="preserve"> </w:t>
      </w:r>
      <w:r w:rsidRPr="00EB2BD8">
        <w:rPr>
          <w:rFonts w:ascii="Arial"/>
          <w:w w:val="105"/>
          <w:sz w:val="16"/>
        </w:rPr>
        <w:t>income</w:t>
      </w:r>
      <w:r w:rsidRPr="00EB2BD8">
        <w:rPr>
          <w:rFonts w:ascii="Arial"/>
          <w:spacing w:val="-3"/>
          <w:w w:val="105"/>
          <w:sz w:val="16"/>
        </w:rPr>
        <w:t xml:space="preserve"> </w:t>
      </w:r>
      <w:r w:rsidRPr="00EB2BD8">
        <w:rPr>
          <w:rFonts w:ascii="Arial"/>
          <w:w w:val="105"/>
          <w:sz w:val="16"/>
        </w:rPr>
        <w:t>includes</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unwinding</w:t>
      </w:r>
      <w:r w:rsidRPr="00EB2BD8">
        <w:rPr>
          <w:rFonts w:ascii="Arial"/>
          <w:spacing w:val="-2"/>
          <w:w w:val="105"/>
          <w:sz w:val="16"/>
        </w:rPr>
        <w:t xml:space="preserve"> </w:t>
      </w:r>
      <w:r w:rsidRPr="00EB2BD8">
        <w:rPr>
          <w:rFonts w:ascii="Arial"/>
          <w:w w:val="105"/>
          <w:sz w:val="16"/>
        </w:rPr>
        <w:t>over</w:t>
      </w:r>
      <w:r w:rsidRPr="00EB2BD8">
        <w:rPr>
          <w:rFonts w:ascii="Arial"/>
          <w:spacing w:val="-2"/>
          <w:w w:val="105"/>
          <w:sz w:val="16"/>
        </w:rPr>
        <w:t xml:space="preserve"> </w:t>
      </w:r>
      <w:r w:rsidRPr="00EB2BD8">
        <w:rPr>
          <w:rFonts w:ascii="Arial"/>
          <w:w w:val="105"/>
          <w:sz w:val="16"/>
        </w:rPr>
        <w:t>time</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discounts</w:t>
      </w:r>
      <w:r w:rsidRPr="00EB2BD8">
        <w:rPr>
          <w:rFonts w:ascii="Arial"/>
          <w:spacing w:val="-3"/>
          <w:w w:val="105"/>
          <w:sz w:val="16"/>
        </w:rPr>
        <w:t xml:space="preserve"> </w:t>
      </w:r>
      <w:r w:rsidRPr="00EB2BD8">
        <w:rPr>
          <w:rFonts w:ascii="Arial"/>
          <w:w w:val="105"/>
          <w:sz w:val="16"/>
        </w:rPr>
        <w:t>on</w:t>
      </w:r>
      <w:r w:rsidRPr="00EB2BD8">
        <w:rPr>
          <w:rFonts w:ascii="Arial"/>
          <w:spacing w:val="-3"/>
          <w:w w:val="105"/>
          <w:sz w:val="16"/>
        </w:rPr>
        <w:t xml:space="preserve"> </w:t>
      </w:r>
      <w:r w:rsidRPr="00EB2BD8">
        <w:rPr>
          <w:rFonts w:ascii="Arial"/>
          <w:w w:val="105"/>
          <w:sz w:val="16"/>
        </w:rPr>
        <w:t>financial</w:t>
      </w:r>
      <w:r w:rsidRPr="00EB2BD8">
        <w:rPr>
          <w:rFonts w:ascii="Arial"/>
          <w:spacing w:val="-2"/>
          <w:w w:val="105"/>
          <w:sz w:val="16"/>
        </w:rPr>
        <w:t xml:space="preserve"> </w:t>
      </w:r>
      <w:r w:rsidRPr="00EB2BD8">
        <w:rPr>
          <w:rFonts w:ascii="Arial"/>
          <w:w w:val="105"/>
          <w:sz w:val="16"/>
        </w:rPr>
        <w:t>assets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interest</w:t>
      </w:r>
      <w:r w:rsidRPr="00EB2BD8">
        <w:rPr>
          <w:rFonts w:ascii="Arial"/>
          <w:spacing w:val="-3"/>
          <w:w w:val="105"/>
          <w:sz w:val="16"/>
        </w:rPr>
        <w:t xml:space="preserve"> </w:t>
      </w:r>
      <w:r w:rsidRPr="00EB2BD8">
        <w:rPr>
          <w:rFonts w:ascii="Arial"/>
          <w:w w:val="105"/>
          <w:sz w:val="16"/>
        </w:rPr>
        <w:t>received</w:t>
      </w:r>
      <w:r w:rsidRPr="00EB2BD8">
        <w:rPr>
          <w:rFonts w:ascii="Arial"/>
          <w:spacing w:val="-2"/>
          <w:w w:val="105"/>
          <w:sz w:val="16"/>
        </w:rPr>
        <w:t xml:space="preserve"> </w:t>
      </w:r>
      <w:r w:rsidRPr="00EB2BD8">
        <w:rPr>
          <w:rFonts w:ascii="Arial"/>
          <w:w w:val="105"/>
          <w:sz w:val="16"/>
        </w:rPr>
        <w:t>on</w:t>
      </w:r>
      <w:r w:rsidRPr="00EB2BD8">
        <w:rPr>
          <w:rFonts w:ascii="Arial"/>
          <w:spacing w:val="-3"/>
          <w:w w:val="105"/>
          <w:sz w:val="16"/>
        </w:rPr>
        <w:t xml:space="preserve"> </w:t>
      </w:r>
      <w:r w:rsidRPr="00EB2BD8">
        <w:rPr>
          <w:rFonts w:ascii="Arial"/>
          <w:w w:val="105"/>
          <w:sz w:val="16"/>
        </w:rPr>
        <w:t>bank</w:t>
      </w:r>
      <w:r w:rsidRPr="00EB2BD8">
        <w:rPr>
          <w:rFonts w:ascii="Arial"/>
          <w:spacing w:val="-3"/>
          <w:w w:val="105"/>
          <w:sz w:val="16"/>
        </w:rPr>
        <w:t xml:space="preserve"> </w:t>
      </w:r>
      <w:r w:rsidRPr="00EB2BD8">
        <w:rPr>
          <w:rFonts w:ascii="Arial"/>
          <w:w w:val="105"/>
          <w:sz w:val="16"/>
        </w:rPr>
        <w:t>term deposits and other investments.</w:t>
      </w:r>
    </w:p>
    <w:p w14:paraId="1F2BED21" w14:textId="77777777" w:rsidR="00084F36" w:rsidRPr="00EB2BD8" w:rsidRDefault="00084F36">
      <w:pPr>
        <w:pStyle w:val="BodyText"/>
        <w:spacing w:before="11"/>
        <w:rPr>
          <w:rFonts w:ascii="Arial"/>
          <w:sz w:val="29"/>
        </w:rPr>
      </w:pPr>
    </w:p>
    <w:p w14:paraId="4E63D463" w14:textId="77777777" w:rsidR="00084F36" w:rsidRPr="00EB2BD8" w:rsidRDefault="00084F36">
      <w:pPr>
        <w:jc w:val="right"/>
        <w:rPr>
          <w:sz w:val="16"/>
        </w:rPr>
        <w:sectPr w:rsidR="00084F36" w:rsidRPr="00EB2BD8" w:rsidSect="006D75B2">
          <w:headerReference w:type="default" r:id="rId377"/>
          <w:footerReference w:type="default" r:id="rId378"/>
          <w:pgSz w:w="11910" w:h="16840"/>
          <w:pgMar w:top="760" w:right="0" w:bottom="280" w:left="0" w:header="0" w:footer="0" w:gutter="0"/>
          <w:cols w:space="720"/>
        </w:sectPr>
      </w:pPr>
    </w:p>
    <w:p w14:paraId="7C5EB467" w14:textId="77777777" w:rsidR="00084F36" w:rsidRPr="00EB2BD8" w:rsidRDefault="00084F36">
      <w:pPr>
        <w:pStyle w:val="BodyText"/>
        <w:rPr>
          <w:sz w:val="20"/>
        </w:rPr>
      </w:pPr>
    </w:p>
    <w:p w14:paraId="583BBCFE" w14:textId="77777777" w:rsidR="00084F36" w:rsidRPr="00EB2BD8" w:rsidRDefault="00084F36">
      <w:pPr>
        <w:pStyle w:val="BodyText"/>
        <w:rPr>
          <w:sz w:val="20"/>
        </w:rPr>
      </w:pPr>
    </w:p>
    <w:p w14:paraId="06CE3392" w14:textId="77777777" w:rsidR="00084F36" w:rsidRPr="00EB2BD8" w:rsidRDefault="00084F36">
      <w:pPr>
        <w:pStyle w:val="BodyText"/>
        <w:rPr>
          <w:sz w:val="20"/>
        </w:rPr>
      </w:pPr>
    </w:p>
    <w:p w14:paraId="4F378CD4" w14:textId="77777777" w:rsidR="00084F36" w:rsidRPr="00EB2BD8" w:rsidRDefault="00EB2BD8" w:rsidP="001123D6">
      <w:pPr>
        <w:pStyle w:val="Heading2"/>
        <w:ind w:left="268" w:firstLine="720"/>
      </w:pPr>
      <w:bookmarkStart w:id="396" w:name="_Toc150762698"/>
      <w:r w:rsidRPr="00EB2BD8">
        <w:t>Leases</w:t>
      </w:r>
      <w:bookmarkEnd w:id="396"/>
    </w:p>
    <w:p w14:paraId="21227709" w14:textId="77777777" w:rsidR="00084F36" w:rsidRPr="00EB2BD8" w:rsidRDefault="00EB2BD8">
      <w:pPr>
        <w:spacing w:before="157" w:line="290" w:lineRule="auto"/>
        <w:ind w:left="988" w:right="1929"/>
        <w:rPr>
          <w:rFonts w:ascii="Arial"/>
          <w:sz w:val="16"/>
        </w:rPr>
      </w:pPr>
      <w:r w:rsidRPr="00EB2BD8">
        <w:rPr>
          <w:rFonts w:ascii="Arial"/>
          <w:w w:val="105"/>
          <w:sz w:val="16"/>
        </w:rPr>
        <w:t>Rights</w:t>
      </w:r>
      <w:r w:rsidRPr="00EB2BD8">
        <w:rPr>
          <w:rFonts w:ascii="Arial"/>
          <w:spacing w:val="-2"/>
          <w:w w:val="105"/>
          <w:sz w:val="16"/>
        </w:rPr>
        <w:t xml:space="preserve"> </w:t>
      </w:r>
      <w:r w:rsidRPr="00EB2BD8">
        <w:rPr>
          <w:rFonts w:ascii="Arial"/>
          <w:w w:val="105"/>
          <w:sz w:val="16"/>
        </w:rPr>
        <w:t>conveyed</w:t>
      </w:r>
      <w:r w:rsidRPr="00EB2BD8">
        <w:rPr>
          <w:rFonts w:ascii="Arial"/>
          <w:spacing w:val="-2"/>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a</w:t>
      </w:r>
      <w:r w:rsidRPr="00EB2BD8">
        <w:rPr>
          <w:rFonts w:ascii="Arial"/>
          <w:spacing w:val="-2"/>
          <w:w w:val="105"/>
          <w:sz w:val="16"/>
        </w:rPr>
        <w:t xml:space="preserve"> </w:t>
      </w:r>
      <w:r w:rsidRPr="00EB2BD8">
        <w:rPr>
          <w:rFonts w:ascii="Arial"/>
          <w:w w:val="105"/>
          <w:sz w:val="16"/>
        </w:rPr>
        <w:t>contract,</w:t>
      </w:r>
      <w:r w:rsidRPr="00EB2BD8">
        <w:rPr>
          <w:rFonts w:ascii="Arial"/>
          <w:spacing w:val="-2"/>
          <w:w w:val="105"/>
          <w:sz w:val="16"/>
        </w:rPr>
        <w:t xml:space="preserve"> </w:t>
      </w:r>
      <w:r w:rsidRPr="00EB2BD8">
        <w:rPr>
          <w:rFonts w:ascii="Arial"/>
          <w:w w:val="105"/>
          <w:sz w:val="16"/>
        </w:rPr>
        <w:t>or</w:t>
      </w:r>
      <w:r w:rsidRPr="00EB2BD8">
        <w:rPr>
          <w:rFonts w:ascii="Arial"/>
          <w:spacing w:val="-2"/>
          <w:w w:val="105"/>
          <w:sz w:val="16"/>
        </w:rPr>
        <w:t xml:space="preserve"> </w:t>
      </w:r>
      <w:r w:rsidRPr="00EB2BD8">
        <w:rPr>
          <w:rFonts w:ascii="Arial"/>
          <w:w w:val="105"/>
          <w:sz w:val="16"/>
        </w:rPr>
        <w:t>part</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a</w:t>
      </w:r>
      <w:r w:rsidRPr="00EB2BD8">
        <w:rPr>
          <w:rFonts w:ascii="Arial"/>
          <w:spacing w:val="-2"/>
          <w:w w:val="105"/>
          <w:sz w:val="16"/>
        </w:rPr>
        <w:t xml:space="preserve"> </w:t>
      </w:r>
      <w:r w:rsidRPr="00EB2BD8">
        <w:rPr>
          <w:rFonts w:ascii="Arial"/>
          <w:w w:val="105"/>
          <w:sz w:val="16"/>
        </w:rPr>
        <w:t>contract,</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right</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use</w:t>
      </w:r>
      <w:r w:rsidRPr="00EB2BD8">
        <w:rPr>
          <w:rFonts w:ascii="Arial"/>
          <w:spacing w:val="-2"/>
          <w:w w:val="105"/>
          <w:sz w:val="16"/>
        </w:rPr>
        <w:t xml:space="preserve"> </w:t>
      </w:r>
      <w:r w:rsidRPr="00EB2BD8">
        <w:rPr>
          <w:rFonts w:ascii="Arial"/>
          <w:w w:val="105"/>
          <w:sz w:val="16"/>
        </w:rPr>
        <w:t>an</w:t>
      </w:r>
      <w:r w:rsidRPr="00EB2BD8">
        <w:rPr>
          <w:rFonts w:ascii="Arial"/>
          <w:spacing w:val="-2"/>
          <w:w w:val="105"/>
          <w:sz w:val="16"/>
        </w:rPr>
        <w:t xml:space="preserve"> </w:t>
      </w:r>
      <w:r w:rsidRPr="00EB2BD8">
        <w:rPr>
          <w:rFonts w:ascii="Arial"/>
          <w:w w:val="105"/>
          <w:sz w:val="16"/>
        </w:rPr>
        <w:t>underlying</w:t>
      </w:r>
      <w:r w:rsidRPr="00EB2BD8">
        <w:rPr>
          <w:rFonts w:ascii="Arial"/>
          <w:spacing w:val="-2"/>
          <w:w w:val="105"/>
          <w:sz w:val="16"/>
        </w:rPr>
        <w:t xml:space="preserve"> </w:t>
      </w:r>
      <w:r w:rsidRPr="00EB2BD8">
        <w:rPr>
          <w:rFonts w:ascii="Arial"/>
          <w:w w:val="105"/>
          <w:sz w:val="16"/>
        </w:rPr>
        <w:t>asset</w:t>
      </w:r>
      <w:r w:rsidRPr="00EB2BD8">
        <w:rPr>
          <w:rFonts w:ascii="Arial"/>
          <w:spacing w:val="-2"/>
          <w:w w:val="105"/>
          <w:sz w:val="16"/>
        </w:rPr>
        <w:t xml:space="preserve"> </w:t>
      </w:r>
      <w:r w:rsidRPr="00EB2BD8">
        <w:rPr>
          <w:rFonts w:ascii="Arial"/>
          <w:w w:val="105"/>
          <w:sz w:val="16"/>
        </w:rPr>
        <w:t>for</w:t>
      </w:r>
      <w:r w:rsidRPr="00EB2BD8">
        <w:rPr>
          <w:rFonts w:ascii="Arial"/>
          <w:spacing w:val="-2"/>
          <w:w w:val="105"/>
          <w:sz w:val="16"/>
        </w:rPr>
        <w:t xml:space="preserve"> </w:t>
      </w:r>
      <w:r w:rsidRPr="00EB2BD8">
        <w:rPr>
          <w:rFonts w:ascii="Arial"/>
          <w:w w:val="105"/>
          <w:sz w:val="16"/>
        </w:rPr>
        <w:t>a</w:t>
      </w:r>
      <w:r w:rsidRPr="00EB2BD8">
        <w:rPr>
          <w:rFonts w:ascii="Arial"/>
          <w:spacing w:val="-2"/>
          <w:w w:val="105"/>
          <w:sz w:val="16"/>
        </w:rPr>
        <w:t xml:space="preserve"> </w:t>
      </w:r>
      <w:r w:rsidRPr="00EB2BD8">
        <w:rPr>
          <w:rFonts w:ascii="Arial"/>
          <w:w w:val="105"/>
          <w:sz w:val="16"/>
        </w:rPr>
        <w:t>period</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time</w:t>
      </w:r>
      <w:r w:rsidRPr="00EB2BD8">
        <w:rPr>
          <w:rFonts w:ascii="Arial"/>
          <w:spacing w:val="-2"/>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exchange for consideration.</w:t>
      </w:r>
    </w:p>
    <w:p w14:paraId="423D5BD4" w14:textId="77777777" w:rsidR="00084F36" w:rsidRPr="00EB2BD8" w:rsidRDefault="00084F36">
      <w:pPr>
        <w:pStyle w:val="BodyText"/>
        <w:rPr>
          <w:rFonts w:ascii="Arial"/>
        </w:rPr>
      </w:pPr>
    </w:p>
    <w:p w14:paraId="46F89966" w14:textId="77777777" w:rsidR="00084F36" w:rsidRPr="00EB2BD8" w:rsidRDefault="00084F36">
      <w:pPr>
        <w:pStyle w:val="BodyText"/>
        <w:spacing w:before="8"/>
        <w:rPr>
          <w:rFonts w:ascii="Arial"/>
          <w:sz w:val="16"/>
        </w:rPr>
      </w:pPr>
    </w:p>
    <w:p w14:paraId="4A21BF89" w14:textId="77777777" w:rsidR="00084F36" w:rsidRPr="00EB2BD8" w:rsidRDefault="00EB2BD8" w:rsidP="001123D6">
      <w:pPr>
        <w:pStyle w:val="Heading2"/>
        <w:ind w:firstLine="138"/>
      </w:pPr>
      <w:bookmarkStart w:id="397" w:name="_Toc150762699"/>
      <w:r w:rsidRPr="00EB2BD8">
        <w:t>Net</w:t>
      </w:r>
      <w:r w:rsidRPr="00EB2BD8">
        <w:rPr>
          <w:spacing w:val="15"/>
        </w:rPr>
        <w:t xml:space="preserve"> </w:t>
      </w:r>
      <w:r w:rsidRPr="00EB2BD8">
        <w:t>result</w:t>
      </w:r>
      <w:r w:rsidRPr="00EB2BD8">
        <w:rPr>
          <w:spacing w:val="15"/>
        </w:rPr>
        <w:t xml:space="preserve"> </w:t>
      </w:r>
      <w:r w:rsidRPr="00EB2BD8">
        <w:t>from</w:t>
      </w:r>
      <w:r w:rsidRPr="00EB2BD8">
        <w:rPr>
          <w:spacing w:val="16"/>
        </w:rPr>
        <w:t xml:space="preserve"> </w:t>
      </w:r>
      <w:r w:rsidRPr="00EB2BD8">
        <w:t>transactions/net</w:t>
      </w:r>
      <w:r w:rsidRPr="00EB2BD8">
        <w:rPr>
          <w:spacing w:val="15"/>
        </w:rPr>
        <w:t xml:space="preserve"> </w:t>
      </w:r>
      <w:r w:rsidRPr="00EB2BD8">
        <w:t>operating</w:t>
      </w:r>
      <w:r w:rsidRPr="00EB2BD8">
        <w:rPr>
          <w:spacing w:val="16"/>
        </w:rPr>
        <w:t xml:space="preserve"> </w:t>
      </w:r>
      <w:r w:rsidRPr="00EB2BD8">
        <w:rPr>
          <w:spacing w:val="-2"/>
        </w:rPr>
        <w:t>balance</w:t>
      </w:r>
      <w:bookmarkEnd w:id="397"/>
    </w:p>
    <w:p w14:paraId="0BBDD0AD" w14:textId="77777777" w:rsidR="00084F36" w:rsidRPr="00EB2BD8" w:rsidRDefault="00EB2BD8">
      <w:pPr>
        <w:spacing w:before="157" w:line="290" w:lineRule="auto"/>
        <w:ind w:left="988" w:right="1813"/>
        <w:rPr>
          <w:rFonts w:ascii="Arial"/>
          <w:sz w:val="16"/>
        </w:rPr>
      </w:pPr>
      <w:r w:rsidRPr="00EB2BD8">
        <w:rPr>
          <w:rFonts w:ascii="Arial"/>
          <w:w w:val="105"/>
          <w:sz w:val="16"/>
        </w:rPr>
        <w:t>Net result from transactions or net operating balance is a key fiscal aggregate and is revenue from transactions minus expenses from transactions. It is a summary measure of the ongoing sustainability of operations. It excludes gains and losses</w:t>
      </w:r>
      <w:r w:rsidRPr="00EB2BD8">
        <w:rPr>
          <w:rFonts w:ascii="Arial"/>
          <w:spacing w:val="-2"/>
          <w:w w:val="105"/>
          <w:sz w:val="16"/>
        </w:rPr>
        <w:t xml:space="preserve"> </w:t>
      </w:r>
      <w:r w:rsidRPr="00EB2BD8">
        <w:rPr>
          <w:rFonts w:ascii="Arial"/>
          <w:w w:val="105"/>
          <w:sz w:val="16"/>
        </w:rPr>
        <w:t>resulting</w:t>
      </w:r>
      <w:r w:rsidRPr="00EB2BD8">
        <w:rPr>
          <w:rFonts w:ascii="Arial"/>
          <w:spacing w:val="-2"/>
          <w:w w:val="105"/>
          <w:sz w:val="16"/>
        </w:rPr>
        <w:t xml:space="preserve"> </w:t>
      </w:r>
      <w:r w:rsidRPr="00EB2BD8">
        <w:rPr>
          <w:rFonts w:ascii="Arial"/>
          <w:w w:val="105"/>
          <w:sz w:val="16"/>
        </w:rPr>
        <w:t>from</w:t>
      </w:r>
      <w:r w:rsidRPr="00EB2BD8">
        <w:rPr>
          <w:rFonts w:ascii="Arial"/>
          <w:spacing w:val="-2"/>
          <w:w w:val="105"/>
          <w:sz w:val="16"/>
        </w:rPr>
        <w:t xml:space="preserve"> </w:t>
      </w:r>
      <w:r w:rsidRPr="00EB2BD8">
        <w:rPr>
          <w:rFonts w:ascii="Arial"/>
          <w:w w:val="105"/>
          <w:sz w:val="16"/>
        </w:rPr>
        <w:t>changes</w:t>
      </w:r>
      <w:r w:rsidRPr="00EB2BD8">
        <w:rPr>
          <w:rFonts w:ascii="Arial"/>
          <w:spacing w:val="-2"/>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price</w:t>
      </w:r>
      <w:r w:rsidRPr="00EB2BD8">
        <w:rPr>
          <w:rFonts w:ascii="Arial"/>
          <w:spacing w:val="-2"/>
          <w:w w:val="105"/>
          <w:sz w:val="16"/>
        </w:rPr>
        <w:t xml:space="preserve"> </w:t>
      </w:r>
      <w:r w:rsidRPr="00EB2BD8">
        <w:rPr>
          <w:rFonts w:ascii="Arial"/>
          <w:w w:val="105"/>
          <w:sz w:val="16"/>
        </w:rPr>
        <w:t>levels</w:t>
      </w:r>
      <w:r w:rsidRPr="00EB2BD8">
        <w:rPr>
          <w:rFonts w:ascii="Arial"/>
          <w:spacing w:val="-2"/>
          <w:w w:val="105"/>
          <w:sz w:val="16"/>
        </w:rPr>
        <w:t xml:space="preserve"> </w:t>
      </w:r>
      <w:r w:rsidRPr="00EB2BD8">
        <w:rPr>
          <w:rFonts w:ascii="Arial"/>
          <w:w w:val="105"/>
          <w:sz w:val="16"/>
        </w:rPr>
        <w:t>and</w:t>
      </w:r>
      <w:r w:rsidRPr="00EB2BD8">
        <w:rPr>
          <w:rFonts w:ascii="Arial"/>
          <w:spacing w:val="-2"/>
          <w:w w:val="105"/>
          <w:sz w:val="16"/>
        </w:rPr>
        <w:t xml:space="preserve"> </w:t>
      </w:r>
      <w:r w:rsidRPr="00EB2BD8">
        <w:rPr>
          <w:rFonts w:ascii="Arial"/>
          <w:w w:val="105"/>
          <w:sz w:val="16"/>
        </w:rPr>
        <w:t>other</w:t>
      </w:r>
      <w:r w:rsidRPr="00EB2BD8">
        <w:rPr>
          <w:rFonts w:ascii="Arial"/>
          <w:spacing w:val="-2"/>
          <w:w w:val="105"/>
          <w:sz w:val="16"/>
        </w:rPr>
        <w:t xml:space="preserve"> </w:t>
      </w:r>
      <w:r w:rsidRPr="00EB2BD8">
        <w:rPr>
          <w:rFonts w:ascii="Arial"/>
          <w:w w:val="105"/>
          <w:sz w:val="16"/>
        </w:rPr>
        <w:t>changes</w:t>
      </w:r>
      <w:r w:rsidRPr="00EB2BD8">
        <w:rPr>
          <w:rFonts w:ascii="Arial"/>
          <w:spacing w:val="-2"/>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volume</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assets. It</w:t>
      </w:r>
      <w:r w:rsidRPr="00EB2BD8">
        <w:rPr>
          <w:rFonts w:ascii="Arial"/>
          <w:spacing w:val="-2"/>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component</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change in net worth that is due to transactions and can be attributed directly to government policies.</w:t>
      </w:r>
    </w:p>
    <w:p w14:paraId="0BFB3187" w14:textId="77777777" w:rsidR="00084F36" w:rsidRPr="00EB2BD8" w:rsidRDefault="00084F36">
      <w:pPr>
        <w:pStyle w:val="BodyText"/>
        <w:rPr>
          <w:rFonts w:ascii="Arial"/>
        </w:rPr>
      </w:pPr>
    </w:p>
    <w:p w14:paraId="3EA7AFC1" w14:textId="77777777" w:rsidR="00084F36" w:rsidRPr="00EB2BD8" w:rsidRDefault="00084F36">
      <w:pPr>
        <w:pStyle w:val="BodyText"/>
        <w:spacing w:before="8"/>
        <w:rPr>
          <w:rFonts w:ascii="Arial"/>
          <w:sz w:val="24"/>
        </w:rPr>
      </w:pPr>
    </w:p>
    <w:p w14:paraId="420E634B" w14:textId="77777777" w:rsidR="00084F36" w:rsidRPr="00EB2BD8" w:rsidRDefault="00EB2BD8" w:rsidP="001123D6">
      <w:pPr>
        <w:pStyle w:val="Heading2"/>
        <w:ind w:firstLine="138"/>
      </w:pPr>
      <w:bookmarkStart w:id="398" w:name="_Toc150762700"/>
      <w:r w:rsidRPr="00EB2BD8">
        <w:t>Net</w:t>
      </w:r>
      <w:r w:rsidRPr="00EB2BD8">
        <w:rPr>
          <w:spacing w:val="6"/>
        </w:rPr>
        <w:t xml:space="preserve"> </w:t>
      </w:r>
      <w:r w:rsidRPr="00EB2BD8">
        <w:t>result</w:t>
      </w:r>
      <w:bookmarkEnd w:id="398"/>
    </w:p>
    <w:p w14:paraId="3D040877" w14:textId="77777777" w:rsidR="00084F36" w:rsidRPr="00EB2BD8" w:rsidRDefault="00EB2BD8">
      <w:pPr>
        <w:spacing w:before="156" w:line="290" w:lineRule="auto"/>
        <w:ind w:left="988" w:right="1813"/>
        <w:rPr>
          <w:rFonts w:ascii="Arial" w:hAnsi="Arial"/>
          <w:sz w:val="16"/>
        </w:rPr>
      </w:pPr>
      <w:r w:rsidRPr="00EB2BD8">
        <w:rPr>
          <w:rFonts w:ascii="Arial" w:hAnsi="Arial"/>
          <w:w w:val="105"/>
          <w:sz w:val="16"/>
        </w:rPr>
        <w:t>Net</w:t>
      </w:r>
      <w:r w:rsidRPr="00EB2BD8">
        <w:rPr>
          <w:rFonts w:ascii="Arial" w:hAnsi="Arial"/>
          <w:spacing w:val="-2"/>
          <w:w w:val="105"/>
          <w:sz w:val="16"/>
        </w:rPr>
        <w:t xml:space="preserve"> </w:t>
      </w:r>
      <w:r w:rsidRPr="00EB2BD8">
        <w:rPr>
          <w:rFonts w:ascii="Arial" w:hAnsi="Arial"/>
          <w:w w:val="105"/>
          <w:sz w:val="16"/>
        </w:rPr>
        <w:t>result</w:t>
      </w:r>
      <w:r w:rsidRPr="00EB2BD8">
        <w:rPr>
          <w:rFonts w:ascii="Arial" w:hAnsi="Arial"/>
          <w:spacing w:val="-2"/>
          <w:w w:val="105"/>
          <w:sz w:val="16"/>
        </w:rPr>
        <w:t xml:space="preserve"> </w:t>
      </w:r>
      <w:r w:rsidRPr="00EB2BD8">
        <w:rPr>
          <w:rFonts w:ascii="Arial" w:hAnsi="Arial"/>
          <w:w w:val="105"/>
          <w:sz w:val="16"/>
        </w:rPr>
        <w:t>is</w:t>
      </w:r>
      <w:r w:rsidRPr="00EB2BD8">
        <w:rPr>
          <w:rFonts w:ascii="Arial" w:hAnsi="Arial"/>
          <w:spacing w:val="-2"/>
          <w:w w:val="105"/>
          <w:sz w:val="16"/>
        </w:rPr>
        <w:t xml:space="preserve"> </w:t>
      </w:r>
      <w:r w:rsidRPr="00EB2BD8">
        <w:rPr>
          <w:rFonts w:ascii="Arial" w:hAnsi="Arial"/>
          <w:w w:val="105"/>
          <w:sz w:val="16"/>
        </w:rPr>
        <w:t>a</w:t>
      </w:r>
      <w:r w:rsidRPr="00EB2BD8">
        <w:rPr>
          <w:rFonts w:ascii="Arial" w:hAnsi="Arial"/>
          <w:spacing w:val="-1"/>
          <w:w w:val="105"/>
          <w:sz w:val="16"/>
        </w:rPr>
        <w:t xml:space="preserve"> </w:t>
      </w:r>
      <w:r w:rsidRPr="00EB2BD8">
        <w:rPr>
          <w:rFonts w:ascii="Arial" w:hAnsi="Arial"/>
          <w:w w:val="105"/>
          <w:sz w:val="16"/>
        </w:rPr>
        <w:t>measure</w:t>
      </w:r>
      <w:r w:rsidRPr="00EB2BD8">
        <w:rPr>
          <w:rFonts w:ascii="Arial" w:hAnsi="Arial"/>
          <w:spacing w:val="-2"/>
          <w:w w:val="105"/>
          <w:sz w:val="16"/>
        </w:rPr>
        <w:t xml:space="preserve"> </w:t>
      </w:r>
      <w:r w:rsidRPr="00EB2BD8">
        <w:rPr>
          <w:rFonts w:ascii="Arial" w:hAnsi="Arial"/>
          <w:w w:val="105"/>
          <w:sz w:val="16"/>
        </w:rPr>
        <w:t>of</w:t>
      </w:r>
      <w:r w:rsidRPr="00EB2BD8">
        <w:rPr>
          <w:rFonts w:ascii="Arial" w:hAnsi="Arial"/>
          <w:spacing w:val="-2"/>
          <w:w w:val="105"/>
          <w:sz w:val="16"/>
        </w:rPr>
        <w:t xml:space="preserve"> </w:t>
      </w:r>
      <w:r w:rsidRPr="00EB2BD8">
        <w:rPr>
          <w:rFonts w:ascii="Arial" w:hAnsi="Arial"/>
          <w:w w:val="105"/>
          <w:sz w:val="16"/>
        </w:rPr>
        <w:t>financial</w:t>
      </w:r>
      <w:r w:rsidRPr="00EB2BD8">
        <w:rPr>
          <w:rFonts w:ascii="Arial" w:hAnsi="Arial"/>
          <w:spacing w:val="-2"/>
          <w:w w:val="105"/>
          <w:sz w:val="16"/>
        </w:rPr>
        <w:t xml:space="preserve"> </w:t>
      </w:r>
      <w:r w:rsidRPr="00EB2BD8">
        <w:rPr>
          <w:rFonts w:ascii="Arial" w:hAnsi="Arial"/>
          <w:w w:val="105"/>
          <w:sz w:val="16"/>
        </w:rPr>
        <w:t>performance</w:t>
      </w:r>
      <w:r w:rsidRPr="00EB2BD8">
        <w:rPr>
          <w:rFonts w:ascii="Arial" w:hAnsi="Arial"/>
          <w:spacing w:val="-2"/>
          <w:w w:val="105"/>
          <w:sz w:val="16"/>
        </w:rPr>
        <w:t xml:space="preserve"> </w:t>
      </w:r>
      <w:r w:rsidRPr="00EB2BD8">
        <w:rPr>
          <w:rFonts w:ascii="Arial" w:hAnsi="Arial"/>
          <w:w w:val="105"/>
          <w:sz w:val="16"/>
        </w:rPr>
        <w:t>of</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operations</w:t>
      </w:r>
      <w:r w:rsidRPr="00EB2BD8">
        <w:rPr>
          <w:rFonts w:ascii="Arial" w:hAnsi="Arial"/>
          <w:spacing w:val="-2"/>
          <w:w w:val="105"/>
          <w:sz w:val="16"/>
        </w:rPr>
        <w:t xml:space="preserve"> </w:t>
      </w:r>
      <w:r w:rsidRPr="00EB2BD8">
        <w:rPr>
          <w:rFonts w:ascii="Arial" w:hAnsi="Arial"/>
          <w:w w:val="105"/>
          <w:sz w:val="16"/>
        </w:rPr>
        <w:t>for</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1"/>
          <w:w w:val="105"/>
          <w:sz w:val="16"/>
        </w:rPr>
        <w:t xml:space="preserve"> </w:t>
      </w:r>
      <w:r w:rsidRPr="00EB2BD8">
        <w:rPr>
          <w:rFonts w:ascii="Arial" w:hAnsi="Arial"/>
          <w:w w:val="105"/>
          <w:sz w:val="16"/>
        </w:rPr>
        <w:t>period.</w:t>
      </w:r>
      <w:r w:rsidRPr="00EB2BD8">
        <w:rPr>
          <w:rFonts w:ascii="Arial" w:hAnsi="Arial"/>
          <w:spacing w:val="-2"/>
          <w:w w:val="105"/>
          <w:sz w:val="16"/>
        </w:rPr>
        <w:t xml:space="preserve"> </w:t>
      </w:r>
      <w:r w:rsidRPr="00EB2BD8">
        <w:rPr>
          <w:rFonts w:ascii="Arial" w:hAnsi="Arial"/>
          <w:w w:val="105"/>
          <w:sz w:val="16"/>
        </w:rPr>
        <w:t>It</w:t>
      </w:r>
      <w:r w:rsidRPr="00EB2BD8">
        <w:rPr>
          <w:rFonts w:ascii="Arial" w:hAnsi="Arial"/>
          <w:spacing w:val="-2"/>
          <w:w w:val="105"/>
          <w:sz w:val="16"/>
        </w:rPr>
        <w:t xml:space="preserve"> </w:t>
      </w:r>
      <w:r w:rsidRPr="00EB2BD8">
        <w:rPr>
          <w:rFonts w:ascii="Arial" w:hAnsi="Arial"/>
          <w:w w:val="105"/>
          <w:sz w:val="16"/>
        </w:rPr>
        <w:t>is</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net</w:t>
      </w:r>
      <w:r w:rsidRPr="00EB2BD8">
        <w:rPr>
          <w:rFonts w:ascii="Arial" w:hAnsi="Arial"/>
          <w:spacing w:val="-2"/>
          <w:w w:val="105"/>
          <w:sz w:val="16"/>
        </w:rPr>
        <w:t xml:space="preserve"> </w:t>
      </w:r>
      <w:r w:rsidRPr="00EB2BD8">
        <w:rPr>
          <w:rFonts w:ascii="Arial" w:hAnsi="Arial"/>
          <w:w w:val="105"/>
          <w:sz w:val="16"/>
        </w:rPr>
        <w:t>result</w:t>
      </w:r>
      <w:r w:rsidRPr="00EB2BD8">
        <w:rPr>
          <w:rFonts w:ascii="Arial" w:hAnsi="Arial"/>
          <w:spacing w:val="-2"/>
          <w:w w:val="105"/>
          <w:sz w:val="16"/>
        </w:rPr>
        <w:t xml:space="preserve"> </w:t>
      </w:r>
      <w:r w:rsidRPr="00EB2BD8">
        <w:rPr>
          <w:rFonts w:ascii="Arial" w:hAnsi="Arial"/>
          <w:w w:val="105"/>
          <w:sz w:val="16"/>
        </w:rPr>
        <w:t>of</w:t>
      </w:r>
      <w:r w:rsidRPr="00EB2BD8">
        <w:rPr>
          <w:rFonts w:ascii="Arial" w:hAnsi="Arial"/>
          <w:spacing w:val="-2"/>
          <w:w w:val="105"/>
          <w:sz w:val="16"/>
        </w:rPr>
        <w:t xml:space="preserve"> </w:t>
      </w:r>
      <w:r w:rsidRPr="00EB2BD8">
        <w:rPr>
          <w:rFonts w:ascii="Arial" w:hAnsi="Arial"/>
          <w:w w:val="105"/>
          <w:sz w:val="16"/>
        </w:rPr>
        <w:t>items</w:t>
      </w:r>
      <w:r w:rsidRPr="00EB2BD8">
        <w:rPr>
          <w:rFonts w:ascii="Arial" w:hAnsi="Arial"/>
          <w:spacing w:val="-2"/>
          <w:w w:val="105"/>
          <w:sz w:val="16"/>
        </w:rPr>
        <w:t xml:space="preserve"> </w:t>
      </w:r>
      <w:r w:rsidRPr="00EB2BD8">
        <w:rPr>
          <w:rFonts w:ascii="Arial" w:hAnsi="Arial"/>
          <w:w w:val="105"/>
          <w:sz w:val="16"/>
        </w:rPr>
        <w:t>of</w:t>
      </w:r>
      <w:r w:rsidRPr="00EB2BD8">
        <w:rPr>
          <w:rFonts w:ascii="Arial" w:hAnsi="Arial"/>
          <w:spacing w:val="-2"/>
          <w:w w:val="105"/>
          <w:sz w:val="16"/>
        </w:rPr>
        <w:t xml:space="preserve"> </w:t>
      </w:r>
      <w:r w:rsidRPr="00EB2BD8">
        <w:rPr>
          <w:rFonts w:ascii="Arial" w:hAnsi="Arial"/>
          <w:w w:val="105"/>
          <w:sz w:val="16"/>
        </w:rPr>
        <w:t>revenue, gains and expenses (including losses) recognised for the period, excluding those classified as ‘other non-owner movements in equity’.</w:t>
      </w:r>
    </w:p>
    <w:p w14:paraId="5EC59D5D" w14:textId="77777777" w:rsidR="00084F36" w:rsidRPr="00EB2BD8" w:rsidRDefault="00084F36">
      <w:pPr>
        <w:pStyle w:val="BodyText"/>
        <w:rPr>
          <w:rFonts w:ascii="Arial"/>
        </w:rPr>
      </w:pPr>
    </w:p>
    <w:p w14:paraId="5E32D459" w14:textId="77777777" w:rsidR="00084F36" w:rsidRPr="00EB2BD8" w:rsidRDefault="00EB2BD8" w:rsidP="001123D6">
      <w:pPr>
        <w:pStyle w:val="Heading2"/>
        <w:ind w:firstLine="138"/>
      </w:pPr>
      <w:bookmarkStart w:id="399" w:name="_Toc150762701"/>
      <w:r w:rsidRPr="00EB2BD8">
        <w:t>Net</w:t>
      </w:r>
      <w:r w:rsidRPr="00EB2BD8">
        <w:rPr>
          <w:spacing w:val="6"/>
        </w:rPr>
        <w:t xml:space="preserve"> </w:t>
      </w:r>
      <w:r w:rsidRPr="00EB2BD8">
        <w:t>worth</w:t>
      </w:r>
      <w:bookmarkEnd w:id="399"/>
    </w:p>
    <w:p w14:paraId="5F0932D2" w14:textId="77777777" w:rsidR="00084F36" w:rsidRPr="00EB2BD8" w:rsidRDefault="00EB2BD8">
      <w:pPr>
        <w:spacing w:before="157"/>
        <w:ind w:left="988"/>
        <w:rPr>
          <w:rFonts w:ascii="Arial"/>
          <w:sz w:val="16"/>
        </w:rPr>
      </w:pPr>
      <w:r w:rsidRPr="00EB2BD8">
        <w:rPr>
          <w:rFonts w:ascii="Arial"/>
          <w:w w:val="105"/>
          <w:sz w:val="16"/>
        </w:rPr>
        <w:t>Assets</w:t>
      </w:r>
      <w:r w:rsidRPr="00EB2BD8">
        <w:rPr>
          <w:rFonts w:ascii="Arial"/>
          <w:spacing w:val="-7"/>
          <w:w w:val="105"/>
          <w:sz w:val="16"/>
        </w:rPr>
        <w:t xml:space="preserve"> </w:t>
      </w:r>
      <w:r w:rsidRPr="00EB2BD8">
        <w:rPr>
          <w:rFonts w:ascii="Arial"/>
          <w:w w:val="105"/>
          <w:sz w:val="16"/>
        </w:rPr>
        <w:t>less</w:t>
      </w:r>
      <w:r w:rsidRPr="00EB2BD8">
        <w:rPr>
          <w:rFonts w:ascii="Arial"/>
          <w:spacing w:val="-6"/>
          <w:w w:val="105"/>
          <w:sz w:val="16"/>
        </w:rPr>
        <w:t xml:space="preserve"> </w:t>
      </w:r>
      <w:r w:rsidRPr="00EB2BD8">
        <w:rPr>
          <w:rFonts w:ascii="Arial"/>
          <w:w w:val="105"/>
          <w:sz w:val="16"/>
        </w:rPr>
        <w:t>liabilities,</w:t>
      </w:r>
      <w:r w:rsidRPr="00EB2BD8">
        <w:rPr>
          <w:rFonts w:ascii="Arial"/>
          <w:spacing w:val="-7"/>
          <w:w w:val="105"/>
          <w:sz w:val="16"/>
        </w:rPr>
        <w:t xml:space="preserve"> </w:t>
      </w:r>
      <w:r w:rsidRPr="00EB2BD8">
        <w:rPr>
          <w:rFonts w:ascii="Arial"/>
          <w:w w:val="105"/>
          <w:sz w:val="16"/>
        </w:rPr>
        <w:t>which</w:t>
      </w:r>
      <w:r w:rsidRPr="00EB2BD8">
        <w:rPr>
          <w:rFonts w:ascii="Arial"/>
          <w:spacing w:val="-6"/>
          <w:w w:val="105"/>
          <w:sz w:val="16"/>
        </w:rPr>
        <w:t xml:space="preserve"> </w:t>
      </w:r>
      <w:r w:rsidRPr="00EB2BD8">
        <w:rPr>
          <w:rFonts w:ascii="Arial"/>
          <w:w w:val="105"/>
          <w:sz w:val="16"/>
        </w:rPr>
        <w:t>is</w:t>
      </w:r>
      <w:r w:rsidRPr="00EB2BD8">
        <w:rPr>
          <w:rFonts w:ascii="Arial"/>
          <w:spacing w:val="-7"/>
          <w:w w:val="105"/>
          <w:sz w:val="16"/>
        </w:rPr>
        <w:t xml:space="preserve"> </w:t>
      </w:r>
      <w:r w:rsidRPr="00EB2BD8">
        <w:rPr>
          <w:rFonts w:ascii="Arial"/>
          <w:w w:val="105"/>
          <w:sz w:val="16"/>
        </w:rPr>
        <w:t>an</w:t>
      </w:r>
      <w:r w:rsidRPr="00EB2BD8">
        <w:rPr>
          <w:rFonts w:ascii="Arial"/>
          <w:spacing w:val="-6"/>
          <w:w w:val="105"/>
          <w:sz w:val="16"/>
        </w:rPr>
        <w:t xml:space="preserve"> </w:t>
      </w:r>
      <w:r w:rsidRPr="00EB2BD8">
        <w:rPr>
          <w:rFonts w:ascii="Arial"/>
          <w:w w:val="105"/>
          <w:sz w:val="16"/>
        </w:rPr>
        <w:t>economic</w:t>
      </w:r>
      <w:r w:rsidRPr="00EB2BD8">
        <w:rPr>
          <w:rFonts w:ascii="Arial"/>
          <w:spacing w:val="-6"/>
          <w:w w:val="105"/>
          <w:sz w:val="16"/>
        </w:rPr>
        <w:t xml:space="preserve"> </w:t>
      </w:r>
      <w:r w:rsidRPr="00EB2BD8">
        <w:rPr>
          <w:rFonts w:ascii="Arial"/>
          <w:w w:val="105"/>
          <w:sz w:val="16"/>
        </w:rPr>
        <w:t>measure</w:t>
      </w:r>
      <w:r w:rsidRPr="00EB2BD8">
        <w:rPr>
          <w:rFonts w:ascii="Arial"/>
          <w:spacing w:val="-7"/>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spacing w:val="-2"/>
          <w:w w:val="105"/>
          <w:sz w:val="16"/>
        </w:rPr>
        <w:t>wealth.</w:t>
      </w:r>
    </w:p>
    <w:p w14:paraId="7EEF8FFB" w14:textId="77777777" w:rsidR="00084F36" w:rsidRPr="00EB2BD8" w:rsidRDefault="00084F36">
      <w:pPr>
        <w:pStyle w:val="BodyText"/>
        <w:rPr>
          <w:rFonts w:ascii="Arial"/>
        </w:rPr>
      </w:pPr>
    </w:p>
    <w:p w14:paraId="47738D63" w14:textId="77777777" w:rsidR="00084F36" w:rsidRPr="00EB2BD8" w:rsidRDefault="00084F36">
      <w:pPr>
        <w:pStyle w:val="BodyText"/>
        <w:spacing w:before="2"/>
        <w:rPr>
          <w:rFonts w:ascii="Arial"/>
          <w:sz w:val="14"/>
        </w:rPr>
      </w:pPr>
    </w:p>
    <w:p w14:paraId="3703FCE3" w14:textId="77777777" w:rsidR="00084F36" w:rsidRPr="00EB2BD8" w:rsidRDefault="00EB2BD8" w:rsidP="001123D6">
      <w:pPr>
        <w:pStyle w:val="Heading2"/>
        <w:ind w:firstLine="138"/>
      </w:pPr>
      <w:bookmarkStart w:id="400" w:name="_Toc150762702"/>
      <w:r w:rsidRPr="00EB2BD8">
        <w:t>Non-financial</w:t>
      </w:r>
      <w:r w:rsidRPr="00EB2BD8">
        <w:rPr>
          <w:spacing w:val="25"/>
        </w:rPr>
        <w:t xml:space="preserve"> </w:t>
      </w:r>
      <w:r w:rsidRPr="00EB2BD8">
        <w:rPr>
          <w:spacing w:val="-2"/>
        </w:rPr>
        <w:t>assets</w:t>
      </w:r>
      <w:bookmarkEnd w:id="400"/>
    </w:p>
    <w:p w14:paraId="2F0955DA" w14:textId="77777777" w:rsidR="00084F36" w:rsidRPr="00EB2BD8" w:rsidRDefault="00EB2BD8">
      <w:pPr>
        <w:spacing w:before="156" w:line="290" w:lineRule="auto"/>
        <w:ind w:left="988" w:right="1813"/>
        <w:rPr>
          <w:rFonts w:ascii="Arial" w:hAnsi="Arial"/>
          <w:sz w:val="16"/>
        </w:rPr>
      </w:pPr>
      <w:r w:rsidRPr="00EB2BD8">
        <w:rPr>
          <w:rFonts w:ascii="Arial" w:hAnsi="Arial"/>
          <w:w w:val="105"/>
          <w:sz w:val="16"/>
        </w:rPr>
        <w:t>Non-financial</w:t>
      </w:r>
      <w:r w:rsidRPr="00EB2BD8">
        <w:rPr>
          <w:rFonts w:ascii="Arial" w:hAnsi="Arial"/>
          <w:spacing w:val="-2"/>
          <w:w w:val="105"/>
          <w:sz w:val="16"/>
        </w:rPr>
        <w:t xml:space="preserve"> </w:t>
      </w:r>
      <w:r w:rsidRPr="00EB2BD8">
        <w:rPr>
          <w:rFonts w:ascii="Arial" w:hAnsi="Arial"/>
          <w:w w:val="105"/>
          <w:sz w:val="16"/>
        </w:rPr>
        <w:t>assets</w:t>
      </w:r>
      <w:r w:rsidRPr="00EB2BD8">
        <w:rPr>
          <w:rFonts w:ascii="Arial" w:hAnsi="Arial"/>
          <w:spacing w:val="-3"/>
          <w:w w:val="105"/>
          <w:sz w:val="16"/>
        </w:rPr>
        <w:t xml:space="preserve"> </w:t>
      </w:r>
      <w:r w:rsidRPr="00EB2BD8">
        <w:rPr>
          <w:rFonts w:ascii="Arial" w:hAnsi="Arial"/>
          <w:w w:val="105"/>
          <w:sz w:val="16"/>
        </w:rPr>
        <w:t>are</w:t>
      </w:r>
      <w:r w:rsidRPr="00EB2BD8">
        <w:rPr>
          <w:rFonts w:ascii="Arial" w:hAnsi="Arial"/>
          <w:spacing w:val="-3"/>
          <w:w w:val="105"/>
          <w:sz w:val="16"/>
        </w:rPr>
        <w:t xml:space="preserve"> </w:t>
      </w:r>
      <w:r w:rsidRPr="00EB2BD8">
        <w:rPr>
          <w:rFonts w:ascii="Arial" w:hAnsi="Arial"/>
          <w:w w:val="105"/>
          <w:sz w:val="16"/>
        </w:rPr>
        <w:t>all</w:t>
      </w:r>
      <w:r w:rsidRPr="00EB2BD8">
        <w:rPr>
          <w:rFonts w:ascii="Arial" w:hAnsi="Arial"/>
          <w:spacing w:val="-3"/>
          <w:w w:val="105"/>
          <w:sz w:val="16"/>
        </w:rPr>
        <w:t xml:space="preserve"> </w:t>
      </w:r>
      <w:r w:rsidRPr="00EB2BD8">
        <w:rPr>
          <w:rFonts w:ascii="Arial" w:hAnsi="Arial"/>
          <w:w w:val="105"/>
          <w:sz w:val="16"/>
        </w:rPr>
        <w:t>assets</w:t>
      </w:r>
      <w:r w:rsidRPr="00EB2BD8">
        <w:rPr>
          <w:rFonts w:ascii="Arial" w:hAnsi="Arial"/>
          <w:spacing w:val="-3"/>
          <w:w w:val="105"/>
          <w:sz w:val="16"/>
        </w:rPr>
        <w:t xml:space="preserve"> </w:t>
      </w:r>
      <w:r w:rsidRPr="00EB2BD8">
        <w:rPr>
          <w:rFonts w:ascii="Arial" w:hAnsi="Arial"/>
          <w:w w:val="105"/>
          <w:sz w:val="16"/>
        </w:rPr>
        <w:t>that</w:t>
      </w:r>
      <w:r w:rsidRPr="00EB2BD8">
        <w:rPr>
          <w:rFonts w:ascii="Arial" w:hAnsi="Arial"/>
          <w:spacing w:val="-3"/>
          <w:w w:val="105"/>
          <w:sz w:val="16"/>
        </w:rPr>
        <w:t xml:space="preserve"> </w:t>
      </w:r>
      <w:r w:rsidRPr="00EB2BD8">
        <w:rPr>
          <w:rFonts w:ascii="Arial" w:hAnsi="Arial"/>
          <w:w w:val="105"/>
          <w:sz w:val="16"/>
        </w:rPr>
        <w:t>are</w:t>
      </w:r>
      <w:r w:rsidRPr="00EB2BD8">
        <w:rPr>
          <w:rFonts w:ascii="Arial" w:hAnsi="Arial"/>
          <w:spacing w:val="-3"/>
          <w:w w:val="105"/>
          <w:sz w:val="16"/>
        </w:rPr>
        <w:t xml:space="preserve"> </w:t>
      </w:r>
      <w:r w:rsidRPr="00EB2BD8">
        <w:rPr>
          <w:rFonts w:ascii="Arial" w:hAnsi="Arial"/>
          <w:w w:val="105"/>
          <w:sz w:val="16"/>
        </w:rPr>
        <w:t>not</w:t>
      </w:r>
      <w:r w:rsidRPr="00EB2BD8">
        <w:rPr>
          <w:rFonts w:ascii="Arial" w:hAnsi="Arial"/>
          <w:spacing w:val="-3"/>
          <w:w w:val="105"/>
          <w:sz w:val="16"/>
        </w:rPr>
        <w:t xml:space="preserve"> </w:t>
      </w:r>
      <w:r w:rsidRPr="00EB2BD8">
        <w:rPr>
          <w:rFonts w:ascii="Arial" w:hAnsi="Arial"/>
          <w:w w:val="105"/>
          <w:sz w:val="16"/>
        </w:rPr>
        <w:t>‘financial</w:t>
      </w:r>
      <w:r w:rsidRPr="00EB2BD8">
        <w:rPr>
          <w:rFonts w:ascii="Arial" w:hAnsi="Arial"/>
          <w:spacing w:val="-2"/>
          <w:w w:val="105"/>
          <w:sz w:val="16"/>
        </w:rPr>
        <w:t xml:space="preserve"> </w:t>
      </w:r>
      <w:r w:rsidRPr="00EB2BD8">
        <w:rPr>
          <w:rFonts w:ascii="Arial" w:hAnsi="Arial"/>
          <w:w w:val="105"/>
          <w:sz w:val="16"/>
        </w:rPr>
        <w:t>assets’.</w:t>
      </w:r>
      <w:r w:rsidRPr="00EB2BD8">
        <w:rPr>
          <w:rFonts w:ascii="Arial" w:hAnsi="Arial"/>
          <w:spacing w:val="-3"/>
          <w:w w:val="105"/>
          <w:sz w:val="16"/>
        </w:rPr>
        <w:t xml:space="preserve"> </w:t>
      </w:r>
      <w:r w:rsidRPr="00EB2BD8">
        <w:rPr>
          <w:rFonts w:ascii="Arial" w:hAnsi="Arial"/>
          <w:w w:val="105"/>
          <w:sz w:val="16"/>
        </w:rPr>
        <w:t>It</w:t>
      </w:r>
      <w:r w:rsidRPr="00EB2BD8">
        <w:rPr>
          <w:rFonts w:ascii="Arial" w:hAnsi="Arial"/>
          <w:spacing w:val="-3"/>
          <w:w w:val="105"/>
          <w:sz w:val="16"/>
        </w:rPr>
        <w:t xml:space="preserve"> </w:t>
      </w:r>
      <w:r w:rsidRPr="00EB2BD8">
        <w:rPr>
          <w:rFonts w:ascii="Arial" w:hAnsi="Arial"/>
          <w:w w:val="105"/>
          <w:sz w:val="16"/>
        </w:rPr>
        <w:t>includes</w:t>
      </w:r>
      <w:r w:rsidRPr="00EB2BD8">
        <w:rPr>
          <w:rFonts w:ascii="Arial" w:hAnsi="Arial"/>
          <w:spacing w:val="-3"/>
          <w:w w:val="105"/>
          <w:sz w:val="16"/>
        </w:rPr>
        <w:t xml:space="preserve"> </w:t>
      </w:r>
      <w:r w:rsidRPr="00EB2BD8">
        <w:rPr>
          <w:rFonts w:ascii="Arial" w:hAnsi="Arial"/>
          <w:w w:val="105"/>
          <w:sz w:val="16"/>
        </w:rPr>
        <w:t>inventories,</w:t>
      </w:r>
      <w:r w:rsidRPr="00EB2BD8">
        <w:rPr>
          <w:rFonts w:ascii="Arial" w:hAnsi="Arial"/>
          <w:spacing w:val="-3"/>
          <w:w w:val="105"/>
          <w:sz w:val="16"/>
        </w:rPr>
        <w:t xml:space="preserve"> </w:t>
      </w:r>
      <w:r w:rsidRPr="00EB2BD8">
        <w:rPr>
          <w:rFonts w:ascii="Arial" w:hAnsi="Arial"/>
          <w:w w:val="105"/>
          <w:sz w:val="16"/>
        </w:rPr>
        <w:t>land,</w:t>
      </w:r>
      <w:r w:rsidRPr="00EB2BD8">
        <w:rPr>
          <w:rFonts w:ascii="Arial" w:hAnsi="Arial"/>
          <w:spacing w:val="-3"/>
          <w:w w:val="105"/>
          <w:sz w:val="16"/>
        </w:rPr>
        <w:t xml:space="preserve"> </w:t>
      </w:r>
      <w:r w:rsidRPr="00EB2BD8">
        <w:rPr>
          <w:rFonts w:ascii="Arial" w:hAnsi="Arial"/>
          <w:w w:val="105"/>
          <w:sz w:val="16"/>
        </w:rPr>
        <w:t>buildings,</w:t>
      </w:r>
      <w:r w:rsidRPr="00EB2BD8">
        <w:rPr>
          <w:rFonts w:ascii="Arial" w:hAnsi="Arial"/>
          <w:spacing w:val="-3"/>
          <w:w w:val="105"/>
          <w:sz w:val="16"/>
        </w:rPr>
        <w:t xml:space="preserve"> </w:t>
      </w:r>
      <w:r w:rsidRPr="00EB2BD8">
        <w:rPr>
          <w:rFonts w:ascii="Arial" w:hAnsi="Arial"/>
          <w:w w:val="105"/>
          <w:sz w:val="16"/>
        </w:rPr>
        <w:t>infrastructure,</w:t>
      </w:r>
      <w:r w:rsidRPr="00EB2BD8">
        <w:rPr>
          <w:rFonts w:ascii="Arial" w:hAnsi="Arial"/>
          <w:spacing w:val="-3"/>
          <w:w w:val="105"/>
          <w:sz w:val="16"/>
        </w:rPr>
        <w:t xml:space="preserve"> </w:t>
      </w:r>
      <w:r w:rsidRPr="00EB2BD8">
        <w:rPr>
          <w:rFonts w:ascii="Arial" w:hAnsi="Arial"/>
          <w:w w:val="105"/>
          <w:sz w:val="16"/>
        </w:rPr>
        <w:t>road networks, land under roads, plant and equipment, cultural and heritage assets, intangible and biological assets such as commercial forests.</w:t>
      </w:r>
    </w:p>
    <w:p w14:paraId="142F4751" w14:textId="77777777" w:rsidR="00084F36" w:rsidRPr="00EB2BD8" w:rsidRDefault="00084F36">
      <w:pPr>
        <w:pStyle w:val="BodyText"/>
        <w:rPr>
          <w:rFonts w:ascii="Arial"/>
        </w:rPr>
      </w:pPr>
    </w:p>
    <w:p w14:paraId="74CFADF6" w14:textId="77777777" w:rsidR="00084F36" w:rsidRPr="00EB2BD8" w:rsidRDefault="00EB2BD8" w:rsidP="001123D6">
      <w:pPr>
        <w:pStyle w:val="Heading2"/>
        <w:ind w:firstLine="138"/>
      </w:pPr>
      <w:bookmarkStart w:id="401" w:name="_Toc150762703"/>
      <w:r w:rsidRPr="00EB2BD8">
        <w:t>Other</w:t>
      </w:r>
      <w:r w:rsidRPr="00EB2BD8">
        <w:rPr>
          <w:spacing w:val="11"/>
        </w:rPr>
        <w:t xml:space="preserve"> </w:t>
      </w:r>
      <w:r w:rsidRPr="00EB2BD8">
        <w:t>economic</w:t>
      </w:r>
      <w:r w:rsidRPr="00EB2BD8">
        <w:rPr>
          <w:spacing w:val="12"/>
        </w:rPr>
        <w:t xml:space="preserve"> </w:t>
      </w:r>
      <w:r w:rsidRPr="00EB2BD8">
        <w:t>flows</w:t>
      </w:r>
      <w:r w:rsidRPr="00EB2BD8">
        <w:rPr>
          <w:spacing w:val="12"/>
        </w:rPr>
        <w:t xml:space="preserve"> </w:t>
      </w:r>
      <w:r w:rsidRPr="00EB2BD8">
        <w:t>included</w:t>
      </w:r>
      <w:r w:rsidRPr="00EB2BD8">
        <w:rPr>
          <w:spacing w:val="12"/>
        </w:rPr>
        <w:t xml:space="preserve"> </w:t>
      </w:r>
      <w:r w:rsidRPr="00EB2BD8">
        <w:t>in</w:t>
      </w:r>
      <w:r w:rsidRPr="00EB2BD8">
        <w:rPr>
          <w:spacing w:val="10"/>
        </w:rPr>
        <w:t xml:space="preserve"> </w:t>
      </w:r>
      <w:r w:rsidRPr="00EB2BD8">
        <w:t>net</w:t>
      </w:r>
      <w:r w:rsidRPr="00EB2BD8">
        <w:rPr>
          <w:spacing w:val="12"/>
        </w:rPr>
        <w:t xml:space="preserve"> </w:t>
      </w:r>
      <w:r w:rsidRPr="00EB2BD8">
        <w:rPr>
          <w:spacing w:val="-2"/>
        </w:rPr>
        <w:t>result</w:t>
      </w:r>
      <w:bookmarkEnd w:id="401"/>
    </w:p>
    <w:p w14:paraId="5E51B7C4" w14:textId="77777777" w:rsidR="00084F36" w:rsidRPr="00EB2BD8" w:rsidRDefault="00EB2BD8">
      <w:pPr>
        <w:spacing w:before="156" w:line="290" w:lineRule="auto"/>
        <w:ind w:left="988" w:right="1827"/>
        <w:rPr>
          <w:rFonts w:ascii="Arial"/>
          <w:sz w:val="16"/>
        </w:rPr>
      </w:pPr>
      <w:r w:rsidRPr="00EB2BD8">
        <w:rPr>
          <w:rFonts w:ascii="Arial"/>
          <w:w w:val="105"/>
          <w:sz w:val="16"/>
        </w:rPr>
        <w:t>Other economic flows included in net result are changes in the volume or value of an asset or liability that do not result from</w:t>
      </w:r>
      <w:r w:rsidRPr="00EB2BD8">
        <w:rPr>
          <w:rFonts w:ascii="Arial"/>
          <w:spacing w:val="-3"/>
          <w:w w:val="105"/>
          <w:sz w:val="16"/>
        </w:rPr>
        <w:t xml:space="preserve"> </w:t>
      </w:r>
      <w:r w:rsidRPr="00EB2BD8">
        <w:rPr>
          <w:rFonts w:ascii="Arial"/>
          <w:w w:val="105"/>
          <w:sz w:val="16"/>
        </w:rPr>
        <w:t>transactions.</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simple</w:t>
      </w:r>
      <w:r w:rsidRPr="00EB2BD8">
        <w:rPr>
          <w:rFonts w:ascii="Arial"/>
          <w:spacing w:val="-3"/>
          <w:w w:val="105"/>
          <w:sz w:val="16"/>
        </w:rPr>
        <w:t xml:space="preserve"> </w:t>
      </w:r>
      <w:r w:rsidRPr="00EB2BD8">
        <w:rPr>
          <w:rFonts w:ascii="Arial"/>
          <w:w w:val="105"/>
          <w:sz w:val="16"/>
        </w:rPr>
        <w:t>terms,</w:t>
      </w:r>
      <w:r w:rsidRPr="00EB2BD8">
        <w:rPr>
          <w:rFonts w:ascii="Arial"/>
          <w:spacing w:val="-3"/>
          <w:w w:val="105"/>
          <w:sz w:val="16"/>
        </w:rPr>
        <w:t xml:space="preserve"> </w:t>
      </w:r>
      <w:r w:rsidRPr="00EB2BD8">
        <w:rPr>
          <w:rFonts w:ascii="Arial"/>
          <w:w w:val="105"/>
          <w:sz w:val="16"/>
        </w:rPr>
        <w:t>other</w:t>
      </w:r>
      <w:r w:rsidRPr="00EB2BD8">
        <w:rPr>
          <w:rFonts w:ascii="Arial"/>
          <w:spacing w:val="-3"/>
          <w:w w:val="105"/>
          <w:sz w:val="16"/>
        </w:rPr>
        <w:t xml:space="preserve"> </w:t>
      </w:r>
      <w:r w:rsidRPr="00EB2BD8">
        <w:rPr>
          <w:rFonts w:ascii="Arial"/>
          <w:w w:val="105"/>
          <w:sz w:val="16"/>
        </w:rPr>
        <w:t>economic</w:t>
      </w:r>
      <w:r w:rsidRPr="00EB2BD8">
        <w:rPr>
          <w:rFonts w:ascii="Arial"/>
          <w:spacing w:val="-3"/>
          <w:w w:val="105"/>
          <w:sz w:val="16"/>
        </w:rPr>
        <w:t xml:space="preserve"> </w:t>
      </w:r>
      <w:r w:rsidRPr="00EB2BD8">
        <w:rPr>
          <w:rFonts w:ascii="Arial"/>
          <w:w w:val="105"/>
          <w:sz w:val="16"/>
        </w:rPr>
        <w:t>flows</w:t>
      </w:r>
      <w:r w:rsidRPr="00EB2BD8">
        <w:rPr>
          <w:rFonts w:ascii="Arial"/>
          <w:spacing w:val="-3"/>
          <w:w w:val="105"/>
          <w:sz w:val="16"/>
        </w:rPr>
        <w:t xml:space="preserve"> </w:t>
      </w:r>
      <w:r w:rsidRPr="00EB2BD8">
        <w:rPr>
          <w:rFonts w:ascii="Arial"/>
          <w:w w:val="105"/>
          <w:sz w:val="16"/>
        </w:rPr>
        <w:t>are</w:t>
      </w:r>
      <w:r w:rsidRPr="00EB2BD8">
        <w:rPr>
          <w:rFonts w:ascii="Arial"/>
          <w:spacing w:val="-3"/>
          <w:w w:val="105"/>
          <w:sz w:val="16"/>
        </w:rPr>
        <w:t xml:space="preserve"> </w:t>
      </w:r>
      <w:r w:rsidRPr="00EB2BD8">
        <w:rPr>
          <w:rFonts w:ascii="Arial"/>
          <w:w w:val="105"/>
          <w:sz w:val="16"/>
        </w:rPr>
        <w:t>changes</w:t>
      </w:r>
      <w:r w:rsidRPr="00EB2BD8">
        <w:rPr>
          <w:rFonts w:ascii="Arial"/>
          <w:spacing w:val="-3"/>
          <w:w w:val="105"/>
          <w:sz w:val="16"/>
        </w:rPr>
        <w:t xml:space="preserve"> </w:t>
      </w:r>
      <w:r w:rsidRPr="00EB2BD8">
        <w:rPr>
          <w:rFonts w:ascii="Arial"/>
          <w:w w:val="105"/>
          <w:sz w:val="16"/>
        </w:rPr>
        <w:t>arising</w:t>
      </w:r>
      <w:r w:rsidRPr="00EB2BD8">
        <w:rPr>
          <w:rFonts w:ascii="Arial"/>
          <w:spacing w:val="-3"/>
          <w:w w:val="105"/>
          <w:sz w:val="16"/>
        </w:rPr>
        <w:t xml:space="preserve"> </w:t>
      </w:r>
      <w:r w:rsidRPr="00EB2BD8">
        <w:rPr>
          <w:rFonts w:ascii="Arial"/>
          <w:w w:val="105"/>
          <w:sz w:val="16"/>
        </w:rPr>
        <w:t>from</w:t>
      </w:r>
      <w:r w:rsidRPr="00EB2BD8">
        <w:rPr>
          <w:rFonts w:ascii="Arial"/>
          <w:spacing w:val="-3"/>
          <w:w w:val="105"/>
          <w:sz w:val="16"/>
        </w:rPr>
        <w:t xml:space="preserve"> </w:t>
      </w:r>
      <w:r w:rsidRPr="00EB2BD8">
        <w:rPr>
          <w:rFonts w:ascii="Arial"/>
          <w:w w:val="105"/>
          <w:sz w:val="16"/>
        </w:rPr>
        <w:t>market</w:t>
      </w:r>
      <w:r w:rsidRPr="00EB2BD8">
        <w:rPr>
          <w:rFonts w:ascii="Arial"/>
          <w:spacing w:val="-1"/>
          <w:w w:val="105"/>
          <w:sz w:val="16"/>
        </w:rPr>
        <w:t xml:space="preserve"> </w:t>
      </w:r>
      <w:r w:rsidRPr="00EB2BD8">
        <w:rPr>
          <w:rFonts w:ascii="Arial"/>
          <w:w w:val="105"/>
          <w:sz w:val="16"/>
        </w:rPr>
        <w:t>remeasurements.</w:t>
      </w:r>
      <w:r w:rsidRPr="00EB2BD8">
        <w:rPr>
          <w:rFonts w:ascii="Arial"/>
          <w:spacing w:val="-3"/>
          <w:w w:val="105"/>
          <w:sz w:val="16"/>
        </w:rPr>
        <w:t xml:space="preserve"> </w:t>
      </w:r>
      <w:r w:rsidRPr="00EB2BD8">
        <w:rPr>
          <w:rFonts w:ascii="Arial"/>
          <w:w w:val="105"/>
          <w:sz w:val="16"/>
        </w:rPr>
        <w:t>They</w:t>
      </w:r>
      <w:r w:rsidRPr="00EB2BD8">
        <w:rPr>
          <w:rFonts w:ascii="Arial"/>
          <w:spacing w:val="-3"/>
          <w:w w:val="105"/>
          <w:sz w:val="16"/>
        </w:rPr>
        <w:t xml:space="preserve"> </w:t>
      </w:r>
      <w:r w:rsidRPr="00EB2BD8">
        <w:rPr>
          <w:rFonts w:ascii="Arial"/>
          <w:w w:val="105"/>
          <w:sz w:val="16"/>
        </w:rPr>
        <w:t>include:</w:t>
      </w:r>
    </w:p>
    <w:p w14:paraId="0003CEB9" w14:textId="77777777" w:rsidR="00084F36" w:rsidRPr="00EB2BD8" w:rsidRDefault="00EB2BD8">
      <w:pPr>
        <w:pStyle w:val="ListParagraph"/>
        <w:numPr>
          <w:ilvl w:val="0"/>
          <w:numId w:val="23"/>
        </w:numPr>
        <w:tabs>
          <w:tab w:val="left" w:pos="1657"/>
        </w:tabs>
        <w:spacing w:line="241" w:lineRule="exact"/>
        <w:ind w:left="1657" w:hanging="333"/>
        <w:rPr>
          <w:rFonts w:ascii="Arial"/>
          <w:sz w:val="16"/>
        </w:rPr>
      </w:pPr>
      <w:r w:rsidRPr="00EB2BD8">
        <w:rPr>
          <w:rFonts w:ascii="Arial"/>
          <w:w w:val="105"/>
          <w:sz w:val="16"/>
        </w:rPr>
        <w:t>gains</w:t>
      </w:r>
      <w:r w:rsidRPr="00EB2BD8">
        <w:rPr>
          <w:rFonts w:ascii="Arial"/>
          <w:spacing w:val="-9"/>
          <w:w w:val="105"/>
          <w:sz w:val="16"/>
        </w:rPr>
        <w:t xml:space="preserve"> </w:t>
      </w:r>
      <w:r w:rsidRPr="00EB2BD8">
        <w:rPr>
          <w:rFonts w:ascii="Arial"/>
          <w:w w:val="105"/>
          <w:sz w:val="16"/>
        </w:rPr>
        <w:t>and</w:t>
      </w:r>
      <w:r w:rsidRPr="00EB2BD8">
        <w:rPr>
          <w:rFonts w:ascii="Arial"/>
          <w:spacing w:val="-8"/>
          <w:w w:val="105"/>
          <w:sz w:val="16"/>
        </w:rPr>
        <w:t xml:space="preserve"> </w:t>
      </w:r>
      <w:r w:rsidRPr="00EB2BD8">
        <w:rPr>
          <w:rFonts w:ascii="Arial"/>
          <w:w w:val="105"/>
          <w:sz w:val="16"/>
        </w:rPr>
        <w:t>losses</w:t>
      </w:r>
      <w:r w:rsidRPr="00EB2BD8">
        <w:rPr>
          <w:rFonts w:ascii="Arial"/>
          <w:spacing w:val="-9"/>
          <w:w w:val="105"/>
          <w:sz w:val="16"/>
        </w:rPr>
        <w:t xml:space="preserve"> </w:t>
      </w:r>
      <w:r w:rsidRPr="00EB2BD8">
        <w:rPr>
          <w:rFonts w:ascii="Arial"/>
          <w:w w:val="105"/>
          <w:sz w:val="16"/>
        </w:rPr>
        <w:t>from</w:t>
      </w:r>
      <w:r w:rsidRPr="00EB2BD8">
        <w:rPr>
          <w:rFonts w:ascii="Arial"/>
          <w:spacing w:val="-8"/>
          <w:w w:val="105"/>
          <w:sz w:val="16"/>
        </w:rPr>
        <w:t xml:space="preserve"> </w:t>
      </w:r>
      <w:r w:rsidRPr="00EB2BD8">
        <w:rPr>
          <w:rFonts w:ascii="Arial"/>
          <w:w w:val="105"/>
          <w:sz w:val="16"/>
        </w:rPr>
        <w:t>disposals,</w:t>
      </w:r>
      <w:r w:rsidRPr="00EB2BD8">
        <w:rPr>
          <w:rFonts w:ascii="Arial"/>
          <w:spacing w:val="-8"/>
          <w:w w:val="105"/>
          <w:sz w:val="16"/>
        </w:rPr>
        <w:t xml:space="preserve"> </w:t>
      </w:r>
      <w:r w:rsidRPr="00EB2BD8">
        <w:rPr>
          <w:rFonts w:ascii="Arial"/>
          <w:w w:val="105"/>
          <w:sz w:val="16"/>
        </w:rPr>
        <w:t>revaluation</w:t>
      </w:r>
      <w:r w:rsidRPr="00EB2BD8">
        <w:rPr>
          <w:rFonts w:ascii="Arial"/>
          <w:spacing w:val="-8"/>
          <w:w w:val="105"/>
          <w:sz w:val="16"/>
        </w:rPr>
        <w:t xml:space="preserve"> </w:t>
      </w:r>
      <w:r w:rsidRPr="00EB2BD8">
        <w:rPr>
          <w:rFonts w:ascii="Arial"/>
          <w:w w:val="105"/>
          <w:sz w:val="16"/>
        </w:rPr>
        <w:t>and</w:t>
      </w:r>
      <w:r w:rsidRPr="00EB2BD8">
        <w:rPr>
          <w:rFonts w:ascii="Arial"/>
          <w:spacing w:val="-8"/>
          <w:w w:val="105"/>
          <w:sz w:val="16"/>
        </w:rPr>
        <w:t xml:space="preserve"> </w:t>
      </w:r>
      <w:r w:rsidRPr="00EB2BD8">
        <w:rPr>
          <w:rFonts w:ascii="Arial"/>
          <w:w w:val="105"/>
          <w:sz w:val="16"/>
        </w:rPr>
        <w:t>impairments</w:t>
      </w:r>
      <w:r w:rsidRPr="00EB2BD8">
        <w:rPr>
          <w:rFonts w:ascii="Arial"/>
          <w:spacing w:val="-9"/>
          <w:w w:val="105"/>
          <w:sz w:val="16"/>
        </w:rPr>
        <w:t xml:space="preserve"> </w:t>
      </w:r>
      <w:r w:rsidRPr="00EB2BD8">
        <w:rPr>
          <w:rFonts w:ascii="Arial"/>
          <w:w w:val="105"/>
          <w:sz w:val="16"/>
        </w:rPr>
        <w:t>of</w:t>
      </w:r>
      <w:r w:rsidRPr="00EB2BD8">
        <w:rPr>
          <w:rFonts w:ascii="Arial"/>
          <w:spacing w:val="-8"/>
          <w:w w:val="105"/>
          <w:sz w:val="16"/>
        </w:rPr>
        <w:t xml:space="preserve"> </w:t>
      </w:r>
      <w:r w:rsidRPr="00EB2BD8">
        <w:rPr>
          <w:rFonts w:ascii="Arial"/>
          <w:w w:val="105"/>
          <w:sz w:val="16"/>
        </w:rPr>
        <w:t>non-financial</w:t>
      </w:r>
      <w:r w:rsidRPr="00EB2BD8">
        <w:rPr>
          <w:rFonts w:ascii="Arial"/>
          <w:spacing w:val="-8"/>
          <w:w w:val="105"/>
          <w:sz w:val="16"/>
        </w:rPr>
        <w:t xml:space="preserve"> </w:t>
      </w:r>
      <w:r w:rsidRPr="00EB2BD8">
        <w:rPr>
          <w:rFonts w:ascii="Arial"/>
          <w:w w:val="105"/>
          <w:sz w:val="16"/>
        </w:rPr>
        <w:t>physical</w:t>
      </w:r>
      <w:r w:rsidRPr="00EB2BD8">
        <w:rPr>
          <w:rFonts w:ascii="Arial"/>
          <w:spacing w:val="-8"/>
          <w:w w:val="105"/>
          <w:sz w:val="16"/>
        </w:rPr>
        <w:t xml:space="preserve"> </w:t>
      </w:r>
      <w:r w:rsidRPr="00EB2BD8">
        <w:rPr>
          <w:rFonts w:ascii="Arial"/>
          <w:w w:val="105"/>
          <w:sz w:val="16"/>
        </w:rPr>
        <w:t>and</w:t>
      </w:r>
      <w:r w:rsidRPr="00EB2BD8">
        <w:rPr>
          <w:rFonts w:ascii="Arial"/>
          <w:spacing w:val="-8"/>
          <w:w w:val="105"/>
          <w:sz w:val="16"/>
        </w:rPr>
        <w:t xml:space="preserve"> </w:t>
      </w:r>
      <w:r w:rsidRPr="00EB2BD8">
        <w:rPr>
          <w:rFonts w:ascii="Arial"/>
          <w:w w:val="105"/>
          <w:sz w:val="16"/>
        </w:rPr>
        <w:t>intangible</w:t>
      </w:r>
      <w:r w:rsidRPr="00EB2BD8">
        <w:rPr>
          <w:rFonts w:ascii="Arial"/>
          <w:spacing w:val="-9"/>
          <w:w w:val="105"/>
          <w:sz w:val="16"/>
        </w:rPr>
        <w:t xml:space="preserve"> </w:t>
      </w:r>
      <w:r w:rsidRPr="00EB2BD8">
        <w:rPr>
          <w:rFonts w:ascii="Arial"/>
          <w:spacing w:val="-2"/>
          <w:w w:val="105"/>
          <w:sz w:val="16"/>
        </w:rPr>
        <w:t>assets;</w:t>
      </w:r>
    </w:p>
    <w:p w14:paraId="2D1E2DA1" w14:textId="77777777" w:rsidR="00084F36" w:rsidRPr="00EB2BD8" w:rsidRDefault="00EB2BD8">
      <w:pPr>
        <w:pStyle w:val="ListParagraph"/>
        <w:numPr>
          <w:ilvl w:val="0"/>
          <w:numId w:val="23"/>
        </w:numPr>
        <w:tabs>
          <w:tab w:val="left" w:pos="1658"/>
        </w:tabs>
        <w:spacing w:before="16"/>
        <w:ind w:left="1658" w:hanging="334"/>
        <w:rPr>
          <w:rFonts w:ascii="Arial"/>
          <w:sz w:val="16"/>
        </w:rPr>
      </w:pPr>
      <w:r w:rsidRPr="00EB2BD8">
        <w:rPr>
          <w:rFonts w:ascii="Arial"/>
          <w:w w:val="105"/>
          <w:sz w:val="16"/>
        </w:rPr>
        <w:t>fair</w:t>
      </w:r>
      <w:r w:rsidRPr="00EB2BD8">
        <w:rPr>
          <w:rFonts w:ascii="Arial"/>
          <w:spacing w:val="-8"/>
          <w:w w:val="105"/>
          <w:sz w:val="16"/>
        </w:rPr>
        <w:t xml:space="preserve"> </w:t>
      </w:r>
      <w:r w:rsidRPr="00EB2BD8">
        <w:rPr>
          <w:rFonts w:ascii="Arial"/>
          <w:w w:val="105"/>
          <w:sz w:val="16"/>
        </w:rPr>
        <w:t>value</w:t>
      </w:r>
      <w:r w:rsidRPr="00EB2BD8">
        <w:rPr>
          <w:rFonts w:ascii="Arial"/>
          <w:spacing w:val="-8"/>
          <w:w w:val="105"/>
          <w:sz w:val="16"/>
        </w:rPr>
        <w:t xml:space="preserve"> </w:t>
      </w:r>
      <w:r w:rsidRPr="00EB2BD8">
        <w:rPr>
          <w:rFonts w:ascii="Arial"/>
          <w:w w:val="105"/>
          <w:sz w:val="16"/>
        </w:rPr>
        <w:t>changes</w:t>
      </w:r>
      <w:r w:rsidRPr="00EB2BD8">
        <w:rPr>
          <w:rFonts w:ascii="Arial"/>
          <w:spacing w:val="-8"/>
          <w:w w:val="105"/>
          <w:sz w:val="16"/>
        </w:rPr>
        <w:t xml:space="preserve"> </w:t>
      </w:r>
      <w:r w:rsidRPr="00EB2BD8">
        <w:rPr>
          <w:rFonts w:ascii="Arial"/>
          <w:w w:val="105"/>
          <w:sz w:val="16"/>
        </w:rPr>
        <w:t>of</w:t>
      </w:r>
      <w:r w:rsidRPr="00EB2BD8">
        <w:rPr>
          <w:rFonts w:ascii="Arial"/>
          <w:spacing w:val="-8"/>
          <w:w w:val="105"/>
          <w:sz w:val="16"/>
        </w:rPr>
        <w:t xml:space="preserve"> </w:t>
      </w:r>
      <w:r w:rsidRPr="00EB2BD8">
        <w:rPr>
          <w:rFonts w:ascii="Arial"/>
          <w:w w:val="105"/>
          <w:sz w:val="16"/>
        </w:rPr>
        <w:t>financial</w:t>
      </w:r>
      <w:r w:rsidRPr="00EB2BD8">
        <w:rPr>
          <w:rFonts w:ascii="Arial"/>
          <w:spacing w:val="-6"/>
          <w:w w:val="105"/>
          <w:sz w:val="16"/>
        </w:rPr>
        <w:t xml:space="preserve"> </w:t>
      </w:r>
      <w:r w:rsidRPr="00EB2BD8">
        <w:rPr>
          <w:rFonts w:ascii="Arial"/>
          <w:w w:val="105"/>
          <w:sz w:val="16"/>
        </w:rPr>
        <w:t>instruments</w:t>
      </w:r>
      <w:r w:rsidRPr="00EB2BD8">
        <w:rPr>
          <w:rFonts w:ascii="Arial"/>
          <w:spacing w:val="-8"/>
          <w:w w:val="105"/>
          <w:sz w:val="16"/>
        </w:rPr>
        <w:t xml:space="preserve"> </w:t>
      </w:r>
      <w:r w:rsidRPr="00EB2BD8">
        <w:rPr>
          <w:rFonts w:ascii="Arial"/>
          <w:w w:val="105"/>
          <w:sz w:val="16"/>
        </w:rPr>
        <w:t>and</w:t>
      </w:r>
      <w:r w:rsidRPr="00EB2BD8">
        <w:rPr>
          <w:rFonts w:ascii="Arial"/>
          <w:spacing w:val="-8"/>
          <w:w w:val="105"/>
          <w:sz w:val="16"/>
        </w:rPr>
        <w:t xml:space="preserve"> </w:t>
      </w:r>
      <w:r w:rsidRPr="00EB2BD8">
        <w:rPr>
          <w:rFonts w:ascii="Arial"/>
          <w:w w:val="105"/>
          <w:sz w:val="16"/>
        </w:rPr>
        <w:t>agricultural</w:t>
      </w:r>
      <w:r w:rsidRPr="00EB2BD8">
        <w:rPr>
          <w:rFonts w:ascii="Arial"/>
          <w:spacing w:val="-7"/>
          <w:w w:val="105"/>
          <w:sz w:val="16"/>
        </w:rPr>
        <w:t xml:space="preserve"> </w:t>
      </w:r>
      <w:r w:rsidRPr="00EB2BD8">
        <w:rPr>
          <w:rFonts w:ascii="Arial"/>
          <w:w w:val="105"/>
          <w:sz w:val="16"/>
        </w:rPr>
        <w:t>assets;</w:t>
      </w:r>
      <w:r w:rsidRPr="00EB2BD8">
        <w:rPr>
          <w:rFonts w:ascii="Arial"/>
          <w:spacing w:val="-8"/>
          <w:w w:val="105"/>
          <w:sz w:val="16"/>
        </w:rPr>
        <w:t xml:space="preserve"> </w:t>
      </w:r>
      <w:r w:rsidRPr="00EB2BD8">
        <w:rPr>
          <w:rFonts w:ascii="Arial"/>
          <w:spacing w:val="-5"/>
          <w:w w:val="105"/>
          <w:sz w:val="16"/>
        </w:rPr>
        <w:t>and</w:t>
      </w:r>
    </w:p>
    <w:p w14:paraId="79C94996" w14:textId="77777777" w:rsidR="00084F36" w:rsidRPr="00EB2BD8" w:rsidRDefault="00EB2BD8">
      <w:pPr>
        <w:pStyle w:val="ListParagraph"/>
        <w:numPr>
          <w:ilvl w:val="0"/>
          <w:numId w:val="23"/>
        </w:numPr>
        <w:tabs>
          <w:tab w:val="left" w:pos="1657"/>
        </w:tabs>
        <w:spacing w:before="16"/>
        <w:ind w:left="1657" w:hanging="333"/>
        <w:rPr>
          <w:rFonts w:ascii="Arial"/>
          <w:sz w:val="16"/>
        </w:rPr>
      </w:pPr>
      <w:r w:rsidRPr="00EB2BD8">
        <w:rPr>
          <w:rFonts w:ascii="Arial"/>
          <w:w w:val="105"/>
          <w:sz w:val="16"/>
        </w:rPr>
        <w:t>depletion</w:t>
      </w:r>
      <w:r w:rsidRPr="00EB2BD8">
        <w:rPr>
          <w:rFonts w:ascii="Arial"/>
          <w:spacing w:val="-7"/>
          <w:w w:val="105"/>
          <w:sz w:val="16"/>
        </w:rPr>
        <w:t xml:space="preserve"> </w:t>
      </w:r>
      <w:r w:rsidRPr="00EB2BD8">
        <w:rPr>
          <w:rFonts w:ascii="Arial"/>
          <w:w w:val="105"/>
          <w:sz w:val="16"/>
        </w:rPr>
        <w:t>of</w:t>
      </w:r>
      <w:r w:rsidRPr="00EB2BD8">
        <w:rPr>
          <w:rFonts w:ascii="Arial"/>
          <w:spacing w:val="-7"/>
          <w:w w:val="105"/>
          <w:sz w:val="16"/>
        </w:rPr>
        <w:t xml:space="preserve"> </w:t>
      </w:r>
      <w:r w:rsidRPr="00EB2BD8">
        <w:rPr>
          <w:rFonts w:ascii="Arial"/>
          <w:w w:val="105"/>
          <w:sz w:val="16"/>
        </w:rPr>
        <w:t>natural</w:t>
      </w:r>
      <w:r w:rsidRPr="00EB2BD8">
        <w:rPr>
          <w:rFonts w:ascii="Arial"/>
          <w:spacing w:val="-7"/>
          <w:w w:val="105"/>
          <w:sz w:val="16"/>
        </w:rPr>
        <w:t xml:space="preserve"> </w:t>
      </w:r>
      <w:r w:rsidRPr="00EB2BD8">
        <w:rPr>
          <w:rFonts w:ascii="Arial"/>
          <w:w w:val="105"/>
          <w:sz w:val="16"/>
        </w:rPr>
        <w:t>assets</w:t>
      </w:r>
      <w:r w:rsidRPr="00EB2BD8">
        <w:rPr>
          <w:rFonts w:ascii="Arial"/>
          <w:spacing w:val="-7"/>
          <w:w w:val="105"/>
          <w:sz w:val="16"/>
        </w:rPr>
        <w:t xml:space="preserve"> </w:t>
      </w:r>
      <w:r w:rsidRPr="00EB2BD8">
        <w:rPr>
          <w:rFonts w:ascii="Arial"/>
          <w:w w:val="105"/>
          <w:sz w:val="16"/>
        </w:rPr>
        <w:t>(non-produced)</w:t>
      </w:r>
      <w:r w:rsidRPr="00EB2BD8">
        <w:rPr>
          <w:rFonts w:ascii="Arial"/>
          <w:spacing w:val="-7"/>
          <w:w w:val="105"/>
          <w:sz w:val="16"/>
        </w:rPr>
        <w:t xml:space="preserve"> </w:t>
      </w:r>
      <w:r w:rsidRPr="00EB2BD8">
        <w:rPr>
          <w:rFonts w:ascii="Arial"/>
          <w:w w:val="105"/>
          <w:sz w:val="16"/>
        </w:rPr>
        <w:t>from</w:t>
      </w:r>
      <w:r w:rsidRPr="00EB2BD8">
        <w:rPr>
          <w:rFonts w:ascii="Arial"/>
          <w:spacing w:val="-7"/>
          <w:w w:val="105"/>
          <w:sz w:val="16"/>
        </w:rPr>
        <w:t xml:space="preserve"> </w:t>
      </w:r>
      <w:r w:rsidRPr="00EB2BD8">
        <w:rPr>
          <w:rFonts w:ascii="Arial"/>
          <w:w w:val="105"/>
          <w:sz w:val="16"/>
        </w:rPr>
        <w:t>their</w:t>
      </w:r>
      <w:r w:rsidRPr="00EB2BD8">
        <w:rPr>
          <w:rFonts w:ascii="Arial"/>
          <w:spacing w:val="-6"/>
          <w:w w:val="105"/>
          <w:sz w:val="16"/>
        </w:rPr>
        <w:t xml:space="preserve"> </w:t>
      </w:r>
      <w:r w:rsidRPr="00EB2BD8">
        <w:rPr>
          <w:rFonts w:ascii="Arial"/>
          <w:w w:val="105"/>
          <w:sz w:val="16"/>
        </w:rPr>
        <w:t>use</w:t>
      </w:r>
      <w:r w:rsidRPr="00EB2BD8">
        <w:rPr>
          <w:rFonts w:ascii="Arial"/>
          <w:spacing w:val="-7"/>
          <w:w w:val="105"/>
          <w:sz w:val="16"/>
        </w:rPr>
        <w:t xml:space="preserve"> </w:t>
      </w:r>
      <w:r w:rsidRPr="00EB2BD8">
        <w:rPr>
          <w:rFonts w:ascii="Arial"/>
          <w:w w:val="105"/>
          <w:sz w:val="16"/>
        </w:rPr>
        <w:t>or</w:t>
      </w:r>
      <w:r w:rsidRPr="00EB2BD8">
        <w:rPr>
          <w:rFonts w:ascii="Arial"/>
          <w:spacing w:val="-7"/>
          <w:w w:val="105"/>
          <w:sz w:val="16"/>
        </w:rPr>
        <w:t xml:space="preserve"> </w:t>
      </w:r>
      <w:r w:rsidRPr="00EB2BD8">
        <w:rPr>
          <w:rFonts w:ascii="Arial"/>
          <w:spacing w:val="-2"/>
          <w:w w:val="105"/>
          <w:sz w:val="16"/>
        </w:rPr>
        <w:t>removal.</w:t>
      </w:r>
    </w:p>
    <w:p w14:paraId="3A18EDD3" w14:textId="77777777" w:rsidR="00084F36" w:rsidRPr="00EB2BD8" w:rsidRDefault="00084F36">
      <w:pPr>
        <w:pStyle w:val="BodyText"/>
        <w:rPr>
          <w:rFonts w:ascii="Arial"/>
          <w:sz w:val="20"/>
        </w:rPr>
      </w:pPr>
    </w:p>
    <w:p w14:paraId="6968904A" w14:textId="77777777" w:rsidR="00084F36" w:rsidRPr="00EB2BD8" w:rsidRDefault="00EB2BD8" w:rsidP="001123D6">
      <w:pPr>
        <w:pStyle w:val="Heading2"/>
        <w:ind w:firstLine="138"/>
      </w:pPr>
      <w:bookmarkStart w:id="402" w:name="_Toc150762704"/>
      <w:r w:rsidRPr="00EB2BD8">
        <w:t>Other</w:t>
      </w:r>
      <w:r w:rsidRPr="00EB2BD8">
        <w:rPr>
          <w:spacing w:val="14"/>
        </w:rPr>
        <w:t xml:space="preserve"> </w:t>
      </w:r>
      <w:r w:rsidRPr="00EB2BD8">
        <w:t>economic</w:t>
      </w:r>
      <w:r w:rsidRPr="00EB2BD8">
        <w:rPr>
          <w:spacing w:val="14"/>
        </w:rPr>
        <w:t xml:space="preserve"> </w:t>
      </w:r>
      <w:r w:rsidRPr="00EB2BD8">
        <w:t>flows</w:t>
      </w:r>
      <w:r w:rsidRPr="00EB2BD8">
        <w:rPr>
          <w:spacing w:val="14"/>
        </w:rPr>
        <w:t xml:space="preserve"> </w:t>
      </w:r>
      <w:r w:rsidRPr="00EB2BD8">
        <w:t>–</w:t>
      </w:r>
      <w:r w:rsidRPr="00EB2BD8">
        <w:rPr>
          <w:spacing w:val="15"/>
        </w:rPr>
        <w:t xml:space="preserve"> </w:t>
      </w:r>
      <w:r w:rsidRPr="00EB2BD8">
        <w:t>other</w:t>
      </w:r>
      <w:r w:rsidRPr="00EB2BD8">
        <w:rPr>
          <w:spacing w:val="14"/>
        </w:rPr>
        <w:t xml:space="preserve"> </w:t>
      </w:r>
      <w:r w:rsidRPr="00EB2BD8">
        <w:t>comprehensive</w:t>
      </w:r>
      <w:r w:rsidRPr="00EB2BD8">
        <w:rPr>
          <w:spacing w:val="15"/>
        </w:rPr>
        <w:t xml:space="preserve"> </w:t>
      </w:r>
      <w:r w:rsidRPr="00EB2BD8">
        <w:rPr>
          <w:spacing w:val="-2"/>
        </w:rPr>
        <w:t>income</w:t>
      </w:r>
      <w:bookmarkEnd w:id="402"/>
    </w:p>
    <w:p w14:paraId="6B746283" w14:textId="77777777" w:rsidR="00084F36" w:rsidRPr="00EB2BD8" w:rsidRDefault="00EB2BD8">
      <w:pPr>
        <w:spacing w:before="155" w:line="290" w:lineRule="auto"/>
        <w:ind w:left="988" w:right="1155"/>
        <w:rPr>
          <w:rFonts w:ascii="Arial" w:hAnsi="Arial"/>
          <w:sz w:val="16"/>
        </w:rPr>
      </w:pPr>
      <w:r w:rsidRPr="00EB2BD8">
        <w:rPr>
          <w:rFonts w:ascii="Arial" w:hAnsi="Arial"/>
          <w:w w:val="105"/>
          <w:sz w:val="16"/>
        </w:rPr>
        <w:t>Other</w:t>
      </w:r>
      <w:r w:rsidRPr="00EB2BD8">
        <w:rPr>
          <w:rFonts w:ascii="Arial" w:hAnsi="Arial"/>
          <w:spacing w:val="-3"/>
          <w:w w:val="105"/>
          <w:sz w:val="16"/>
        </w:rPr>
        <w:t xml:space="preserve"> </w:t>
      </w:r>
      <w:r w:rsidRPr="00EB2BD8">
        <w:rPr>
          <w:rFonts w:ascii="Arial" w:hAnsi="Arial"/>
          <w:w w:val="105"/>
          <w:sz w:val="16"/>
        </w:rPr>
        <w:t>economic</w:t>
      </w:r>
      <w:r w:rsidRPr="00EB2BD8">
        <w:rPr>
          <w:rFonts w:ascii="Arial" w:hAnsi="Arial"/>
          <w:spacing w:val="-3"/>
          <w:w w:val="105"/>
          <w:sz w:val="16"/>
        </w:rPr>
        <w:t xml:space="preserve"> </w:t>
      </w:r>
      <w:r w:rsidRPr="00EB2BD8">
        <w:rPr>
          <w:rFonts w:ascii="Arial" w:hAnsi="Arial"/>
          <w:w w:val="105"/>
          <w:sz w:val="16"/>
        </w:rPr>
        <w:t>flows</w:t>
      </w:r>
      <w:r w:rsidRPr="00EB2BD8">
        <w:rPr>
          <w:rFonts w:ascii="Arial" w:hAnsi="Arial"/>
          <w:spacing w:val="-3"/>
          <w:w w:val="105"/>
          <w:sz w:val="16"/>
        </w:rPr>
        <w:t xml:space="preserve"> </w:t>
      </w:r>
      <w:r w:rsidRPr="00EB2BD8">
        <w:rPr>
          <w:rFonts w:ascii="Arial" w:hAnsi="Arial"/>
          <w:w w:val="105"/>
          <w:sz w:val="16"/>
        </w:rPr>
        <w:t>–</w:t>
      </w:r>
      <w:r w:rsidRPr="00EB2BD8">
        <w:rPr>
          <w:rFonts w:ascii="Arial" w:hAnsi="Arial"/>
          <w:spacing w:val="-3"/>
          <w:w w:val="105"/>
          <w:sz w:val="16"/>
        </w:rPr>
        <w:t xml:space="preserve"> </w:t>
      </w:r>
      <w:r w:rsidRPr="00EB2BD8">
        <w:rPr>
          <w:rFonts w:ascii="Arial" w:hAnsi="Arial"/>
          <w:w w:val="105"/>
          <w:sz w:val="16"/>
        </w:rPr>
        <w:t>other</w:t>
      </w:r>
      <w:r w:rsidRPr="00EB2BD8">
        <w:rPr>
          <w:rFonts w:ascii="Arial" w:hAnsi="Arial"/>
          <w:spacing w:val="-2"/>
          <w:w w:val="105"/>
          <w:sz w:val="16"/>
        </w:rPr>
        <w:t xml:space="preserve"> </w:t>
      </w:r>
      <w:r w:rsidRPr="00EB2BD8">
        <w:rPr>
          <w:rFonts w:ascii="Arial" w:hAnsi="Arial"/>
          <w:w w:val="105"/>
          <w:sz w:val="16"/>
        </w:rPr>
        <w:t>comprehensive</w:t>
      </w:r>
      <w:r w:rsidRPr="00EB2BD8">
        <w:rPr>
          <w:rFonts w:ascii="Arial" w:hAnsi="Arial"/>
          <w:spacing w:val="-2"/>
          <w:w w:val="105"/>
          <w:sz w:val="16"/>
        </w:rPr>
        <w:t xml:space="preserve"> </w:t>
      </w:r>
      <w:r w:rsidRPr="00EB2BD8">
        <w:rPr>
          <w:rFonts w:ascii="Arial" w:hAnsi="Arial"/>
          <w:w w:val="105"/>
          <w:sz w:val="16"/>
        </w:rPr>
        <w:t>income</w:t>
      </w:r>
      <w:r w:rsidRPr="00EB2BD8">
        <w:rPr>
          <w:rFonts w:ascii="Arial" w:hAnsi="Arial"/>
          <w:spacing w:val="-3"/>
          <w:w w:val="105"/>
          <w:sz w:val="16"/>
        </w:rPr>
        <w:t xml:space="preserve"> </w:t>
      </w:r>
      <w:r w:rsidRPr="00EB2BD8">
        <w:rPr>
          <w:rFonts w:ascii="Arial" w:hAnsi="Arial"/>
          <w:w w:val="105"/>
          <w:sz w:val="16"/>
        </w:rPr>
        <w:t>comprises</w:t>
      </w:r>
      <w:r w:rsidRPr="00EB2BD8">
        <w:rPr>
          <w:rFonts w:ascii="Arial" w:hAnsi="Arial"/>
          <w:spacing w:val="-3"/>
          <w:w w:val="105"/>
          <w:sz w:val="16"/>
        </w:rPr>
        <w:t xml:space="preserve"> </w:t>
      </w:r>
      <w:r w:rsidRPr="00EB2BD8">
        <w:rPr>
          <w:rFonts w:ascii="Arial" w:hAnsi="Arial"/>
          <w:w w:val="105"/>
          <w:sz w:val="16"/>
        </w:rPr>
        <w:t>items</w:t>
      </w:r>
      <w:r w:rsidRPr="00EB2BD8">
        <w:rPr>
          <w:rFonts w:ascii="Arial" w:hAnsi="Arial"/>
          <w:spacing w:val="-3"/>
          <w:w w:val="105"/>
          <w:sz w:val="16"/>
        </w:rPr>
        <w:t xml:space="preserve"> </w:t>
      </w:r>
      <w:r w:rsidRPr="00EB2BD8">
        <w:rPr>
          <w:rFonts w:ascii="Arial" w:hAnsi="Arial"/>
          <w:w w:val="105"/>
          <w:sz w:val="16"/>
        </w:rPr>
        <w:t>(including</w:t>
      </w:r>
      <w:r w:rsidRPr="00EB2BD8">
        <w:rPr>
          <w:rFonts w:ascii="Arial" w:hAnsi="Arial"/>
          <w:spacing w:val="-3"/>
          <w:w w:val="105"/>
          <w:sz w:val="16"/>
        </w:rPr>
        <w:t xml:space="preserve"> </w:t>
      </w:r>
      <w:r w:rsidRPr="00EB2BD8">
        <w:rPr>
          <w:rFonts w:ascii="Arial" w:hAnsi="Arial"/>
          <w:w w:val="105"/>
          <w:sz w:val="16"/>
        </w:rPr>
        <w:t>reclassification</w:t>
      </w:r>
      <w:r w:rsidRPr="00EB2BD8">
        <w:rPr>
          <w:rFonts w:ascii="Arial" w:hAnsi="Arial"/>
          <w:spacing w:val="-3"/>
          <w:w w:val="105"/>
          <w:sz w:val="16"/>
        </w:rPr>
        <w:t xml:space="preserve"> </w:t>
      </w:r>
      <w:r w:rsidRPr="00EB2BD8">
        <w:rPr>
          <w:rFonts w:ascii="Arial" w:hAnsi="Arial"/>
          <w:w w:val="105"/>
          <w:sz w:val="16"/>
        </w:rPr>
        <w:t>adjustments)</w:t>
      </w:r>
      <w:r w:rsidRPr="00EB2BD8">
        <w:rPr>
          <w:rFonts w:ascii="Arial" w:hAnsi="Arial"/>
          <w:spacing w:val="-3"/>
          <w:w w:val="105"/>
          <w:sz w:val="16"/>
        </w:rPr>
        <w:t xml:space="preserve"> </w:t>
      </w:r>
      <w:r w:rsidRPr="00EB2BD8">
        <w:rPr>
          <w:rFonts w:ascii="Arial" w:hAnsi="Arial"/>
          <w:w w:val="105"/>
          <w:sz w:val="16"/>
        </w:rPr>
        <w:t>that</w:t>
      </w:r>
      <w:r w:rsidRPr="00EB2BD8">
        <w:rPr>
          <w:rFonts w:ascii="Arial" w:hAnsi="Arial"/>
          <w:spacing w:val="-3"/>
          <w:w w:val="105"/>
          <w:sz w:val="16"/>
        </w:rPr>
        <w:t xml:space="preserve"> </w:t>
      </w:r>
      <w:r w:rsidRPr="00EB2BD8">
        <w:rPr>
          <w:rFonts w:ascii="Arial" w:hAnsi="Arial"/>
          <w:w w:val="105"/>
          <w:sz w:val="16"/>
        </w:rPr>
        <w:t>are</w:t>
      </w:r>
      <w:r w:rsidRPr="00EB2BD8">
        <w:rPr>
          <w:rFonts w:ascii="Arial" w:hAnsi="Arial"/>
          <w:spacing w:val="-3"/>
          <w:w w:val="105"/>
          <w:sz w:val="16"/>
        </w:rPr>
        <w:t xml:space="preserve"> </w:t>
      </w:r>
      <w:r w:rsidRPr="00EB2BD8">
        <w:rPr>
          <w:rFonts w:ascii="Arial" w:hAnsi="Arial"/>
          <w:w w:val="105"/>
          <w:sz w:val="16"/>
        </w:rPr>
        <w:t>not recognised in net result as required or permitted by other Australian Accounting Standards.</w:t>
      </w:r>
    </w:p>
    <w:p w14:paraId="6AF4308D" w14:textId="77777777" w:rsidR="00084F36" w:rsidRPr="00EB2BD8" w:rsidRDefault="00084F36">
      <w:pPr>
        <w:pStyle w:val="BodyText"/>
        <w:spacing w:before="3"/>
        <w:rPr>
          <w:rFonts w:ascii="Arial"/>
          <w:sz w:val="19"/>
        </w:rPr>
      </w:pPr>
    </w:p>
    <w:p w14:paraId="34F77FE5" w14:textId="77777777" w:rsidR="00084F36" w:rsidRPr="00EB2BD8" w:rsidRDefault="00EB2BD8">
      <w:pPr>
        <w:ind w:left="988"/>
        <w:rPr>
          <w:rFonts w:ascii="Arial" w:hAnsi="Arial"/>
          <w:sz w:val="16"/>
        </w:rPr>
      </w:pPr>
      <w:r w:rsidRPr="00EB2BD8">
        <w:rPr>
          <w:rFonts w:ascii="Arial" w:hAnsi="Arial"/>
          <w:w w:val="105"/>
          <w:sz w:val="16"/>
        </w:rPr>
        <w:t>The</w:t>
      </w:r>
      <w:r w:rsidRPr="00EB2BD8">
        <w:rPr>
          <w:rFonts w:ascii="Arial" w:hAnsi="Arial"/>
          <w:spacing w:val="-8"/>
          <w:w w:val="105"/>
          <w:sz w:val="16"/>
        </w:rPr>
        <w:t xml:space="preserve"> </w:t>
      </w:r>
      <w:r w:rsidRPr="00EB2BD8">
        <w:rPr>
          <w:rFonts w:ascii="Arial" w:hAnsi="Arial"/>
          <w:w w:val="105"/>
          <w:sz w:val="16"/>
        </w:rPr>
        <w:t>components</w:t>
      </w:r>
      <w:r w:rsidRPr="00EB2BD8">
        <w:rPr>
          <w:rFonts w:ascii="Arial" w:hAnsi="Arial"/>
          <w:spacing w:val="-7"/>
          <w:w w:val="105"/>
          <w:sz w:val="16"/>
        </w:rPr>
        <w:t xml:space="preserve"> </w:t>
      </w:r>
      <w:r w:rsidRPr="00EB2BD8">
        <w:rPr>
          <w:rFonts w:ascii="Arial" w:hAnsi="Arial"/>
          <w:w w:val="105"/>
          <w:sz w:val="16"/>
        </w:rPr>
        <w:t>of</w:t>
      </w:r>
      <w:r w:rsidRPr="00EB2BD8">
        <w:rPr>
          <w:rFonts w:ascii="Arial" w:hAnsi="Arial"/>
          <w:spacing w:val="-8"/>
          <w:w w:val="105"/>
          <w:sz w:val="16"/>
        </w:rPr>
        <w:t xml:space="preserve"> </w:t>
      </w:r>
      <w:r w:rsidRPr="00EB2BD8">
        <w:rPr>
          <w:rFonts w:ascii="Arial" w:hAnsi="Arial"/>
          <w:w w:val="105"/>
          <w:sz w:val="16"/>
        </w:rPr>
        <w:t>other</w:t>
      </w:r>
      <w:r w:rsidRPr="00EB2BD8">
        <w:rPr>
          <w:rFonts w:ascii="Arial" w:hAnsi="Arial"/>
          <w:spacing w:val="-7"/>
          <w:w w:val="105"/>
          <w:sz w:val="16"/>
        </w:rPr>
        <w:t xml:space="preserve"> </w:t>
      </w:r>
      <w:r w:rsidRPr="00EB2BD8">
        <w:rPr>
          <w:rFonts w:ascii="Arial" w:hAnsi="Arial"/>
          <w:w w:val="105"/>
          <w:sz w:val="16"/>
        </w:rPr>
        <w:t>economic</w:t>
      </w:r>
      <w:r w:rsidRPr="00EB2BD8">
        <w:rPr>
          <w:rFonts w:ascii="Arial" w:hAnsi="Arial"/>
          <w:spacing w:val="-7"/>
          <w:w w:val="105"/>
          <w:sz w:val="16"/>
        </w:rPr>
        <w:t xml:space="preserve"> </w:t>
      </w:r>
      <w:r w:rsidRPr="00EB2BD8">
        <w:rPr>
          <w:rFonts w:ascii="Arial" w:hAnsi="Arial"/>
          <w:w w:val="105"/>
          <w:sz w:val="16"/>
        </w:rPr>
        <w:t>flows</w:t>
      </w:r>
      <w:r w:rsidRPr="00EB2BD8">
        <w:rPr>
          <w:rFonts w:ascii="Arial" w:hAnsi="Arial"/>
          <w:spacing w:val="-8"/>
          <w:w w:val="105"/>
          <w:sz w:val="16"/>
        </w:rPr>
        <w:t xml:space="preserve"> </w:t>
      </w:r>
      <w:r w:rsidRPr="00EB2BD8">
        <w:rPr>
          <w:rFonts w:ascii="Arial" w:hAnsi="Arial"/>
          <w:w w:val="105"/>
          <w:sz w:val="16"/>
        </w:rPr>
        <w:t>–</w:t>
      </w:r>
      <w:r w:rsidRPr="00EB2BD8">
        <w:rPr>
          <w:rFonts w:ascii="Arial" w:hAnsi="Arial"/>
          <w:spacing w:val="-7"/>
          <w:w w:val="105"/>
          <w:sz w:val="16"/>
        </w:rPr>
        <w:t xml:space="preserve"> </w:t>
      </w:r>
      <w:r w:rsidRPr="00EB2BD8">
        <w:rPr>
          <w:rFonts w:ascii="Arial" w:hAnsi="Arial"/>
          <w:w w:val="105"/>
          <w:sz w:val="16"/>
        </w:rPr>
        <w:t>other</w:t>
      </w:r>
      <w:r w:rsidRPr="00EB2BD8">
        <w:rPr>
          <w:rFonts w:ascii="Arial" w:hAnsi="Arial"/>
          <w:spacing w:val="-7"/>
          <w:w w:val="105"/>
          <w:sz w:val="16"/>
        </w:rPr>
        <w:t xml:space="preserve"> </w:t>
      </w:r>
      <w:r w:rsidRPr="00EB2BD8">
        <w:rPr>
          <w:rFonts w:ascii="Arial" w:hAnsi="Arial"/>
          <w:w w:val="105"/>
          <w:sz w:val="16"/>
        </w:rPr>
        <w:t>comprehensive</w:t>
      </w:r>
      <w:r w:rsidRPr="00EB2BD8">
        <w:rPr>
          <w:rFonts w:ascii="Arial" w:hAnsi="Arial"/>
          <w:spacing w:val="-8"/>
          <w:w w:val="105"/>
          <w:sz w:val="16"/>
        </w:rPr>
        <w:t xml:space="preserve"> </w:t>
      </w:r>
      <w:r w:rsidRPr="00EB2BD8">
        <w:rPr>
          <w:rFonts w:ascii="Arial" w:hAnsi="Arial"/>
          <w:w w:val="105"/>
          <w:sz w:val="16"/>
        </w:rPr>
        <w:t>income</w:t>
      </w:r>
      <w:r w:rsidRPr="00EB2BD8">
        <w:rPr>
          <w:rFonts w:ascii="Arial" w:hAnsi="Arial"/>
          <w:spacing w:val="-7"/>
          <w:w w:val="105"/>
          <w:sz w:val="16"/>
        </w:rPr>
        <w:t xml:space="preserve"> </w:t>
      </w:r>
      <w:r w:rsidRPr="00EB2BD8">
        <w:rPr>
          <w:rFonts w:ascii="Arial" w:hAnsi="Arial"/>
          <w:spacing w:val="-2"/>
          <w:w w:val="105"/>
          <w:sz w:val="16"/>
        </w:rPr>
        <w:t>include:</w:t>
      </w:r>
    </w:p>
    <w:p w14:paraId="15F2329C" w14:textId="77777777" w:rsidR="00084F36" w:rsidRPr="00EB2BD8" w:rsidRDefault="00EB2BD8">
      <w:pPr>
        <w:pStyle w:val="ListParagraph"/>
        <w:numPr>
          <w:ilvl w:val="0"/>
          <w:numId w:val="22"/>
        </w:numPr>
        <w:tabs>
          <w:tab w:val="left" w:pos="1657"/>
        </w:tabs>
        <w:spacing w:before="37"/>
        <w:ind w:left="1657" w:hanging="333"/>
        <w:rPr>
          <w:rFonts w:ascii="Arial"/>
          <w:sz w:val="16"/>
        </w:rPr>
      </w:pPr>
      <w:r w:rsidRPr="00EB2BD8">
        <w:rPr>
          <w:rFonts w:ascii="Arial"/>
          <w:w w:val="105"/>
          <w:sz w:val="16"/>
        </w:rPr>
        <w:t>changes</w:t>
      </w:r>
      <w:r w:rsidRPr="00EB2BD8">
        <w:rPr>
          <w:rFonts w:ascii="Arial"/>
          <w:spacing w:val="-8"/>
          <w:w w:val="105"/>
          <w:sz w:val="16"/>
        </w:rPr>
        <w:t xml:space="preserve"> </w:t>
      </w:r>
      <w:r w:rsidRPr="00EB2BD8">
        <w:rPr>
          <w:rFonts w:ascii="Arial"/>
          <w:w w:val="105"/>
          <w:sz w:val="16"/>
        </w:rPr>
        <w:t>in</w:t>
      </w:r>
      <w:r w:rsidRPr="00EB2BD8">
        <w:rPr>
          <w:rFonts w:ascii="Arial"/>
          <w:spacing w:val="-8"/>
          <w:w w:val="105"/>
          <w:sz w:val="16"/>
        </w:rPr>
        <w:t xml:space="preserve"> </w:t>
      </w:r>
      <w:r w:rsidRPr="00EB2BD8">
        <w:rPr>
          <w:rFonts w:ascii="Arial"/>
          <w:w w:val="105"/>
          <w:sz w:val="16"/>
        </w:rPr>
        <w:t>physical</w:t>
      </w:r>
      <w:r w:rsidRPr="00EB2BD8">
        <w:rPr>
          <w:rFonts w:ascii="Arial"/>
          <w:spacing w:val="-8"/>
          <w:w w:val="105"/>
          <w:sz w:val="16"/>
        </w:rPr>
        <w:t xml:space="preserve"> </w:t>
      </w:r>
      <w:r w:rsidRPr="00EB2BD8">
        <w:rPr>
          <w:rFonts w:ascii="Arial"/>
          <w:w w:val="105"/>
          <w:sz w:val="16"/>
        </w:rPr>
        <w:t>asset</w:t>
      </w:r>
      <w:r w:rsidRPr="00EB2BD8">
        <w:rPr>
          <w:rFonts w:ascii="Arial"/>
          <w:spacing w:val="-8"/>
          <w:w w:val="105"/>
          <w:sz w:val="16"/>
        </w:rPr>
        <w:t xml:space="preserve"> </w:t>
      </w:r>
      <w:r w:rsidRPr="00EB2BD8">
        <w:rPr>
          <w:rFonts w:ascii="Arial"/>
          <w:w w:val="105"/>
          <w:sz w:val="16"/>
        </w:rPr>
        <w:t>revaluation</w:t>
      </w:r>
      <w:r w:rsidRPr="00EB2BD8">
        <w:rPr>
          <w:rFonts w:ascii="Arial"/>
          <w:spacing w:val="-8"/>
          <w:w w:val="105"/>
          <w:sz w:val="16"/>
        </w:rPr>
        <w:t xml:space="preserve"> </w:t>
      </w:r>
      <w:r w:rsidRPr="00EB2BD8">
        <w:rPr>
          <w:rFonts w:ascii="Arial"/>
          <w:spacing w:val="-2"/>
          <w:w w:val="105"/>
          <w:sz w:val="16"/>
        </w:rPr>
        <w:t>surplus;</w:t>
      </w:r>
    </w:p>
    <w:p w14:paraId="078C49EA" w14:textId="77777777" w:rsidR="00084F36" w:rsidRPr="00EB2BD8" w:rsidRDefault="00EB2BD8">
      <w:pPr>
        <w:pStyle w:val="ListParagraph"/>
        <w:numPr>
          <w:ilvl w:val="0"/>
          <w:numId w:val="22"/>
        </w:numPr>
        <w:tabs>
          <w:tab w:val="left" w:pos="1658"/>
        </w:tabs>
        <w:spacing w:before="15"/>
        <w:ind w:left="1658" w:hanging="334"/>
        <w:rPr>
          <w:rFonts w:ascii="Arial"/>
          <w:sz w:val="16"/>
        </w:rPr>
      </w:pPr>
      <w:r w:rsidRPr="00EB2BD8">
        <w:rPr>
          <w:rFonts w:ascii="Arial"/>
          <w:w w:val="105"/>
          <w:sz w:val="16"/>
        </w:rPr>
        <w:t>share</w:t>
      </w:r>
      <w:r w:rsidRPr="00EB2BD8">
        <w:rPr>
          <w:rFonts w:ascii="Arial"/>
          <w:spacing w:val="-7"/>
          <w:w w:val="105"/>
          <w:sz w:val="16"/>
        </w:rPr>
        <w:t xml:space="preserve"> </w:t>
      </w:r>
      <w:r w:rsidRPr="00EB2BD8">
        <w:rPr>
          <w:rFonts w:ascii="Arial"/>
          <w:w w:val="105"/>
          <w:sz w:val="16"/>
        </w:rPr>
        <w:t>of</w:t>
      </w:r>
      <w:r w:rsidRPr="00EB2BD8">
        <w:rPr>
          <w:rFonts w:ascii="Arial"/>
          <w:spacing w:val="-7"/>
          <w:w w:val="105"/>
          <w:sz w:val="16"/>
        </w:rPr>
        <w:t xml:space="preserve"> </w:t>
      </w:r>
      <w:r w:rsidRPr="00EB2BD8">
        <w:rPr>
          <w:rFonts w:ascii="Arial"/>
          <w:w w:val="105"/>
          <w:sz w:val="16"/>
        </w:rPr>
        <w:t>net</w:t>
      </w:r>
      <w:r w:rsidRPr="00EB2BD8">
        <w:rPr>
          <w:rFonts w:ascii="Arial"/>
          <w:spacing w:val="-7"/>
          <w:w w:val="105"/>
          <w:sz w:val="16"/>
        </w:rPr>
        <w:t xml:space="preserve"> </w:t>
      </w:r>
      <w:r w:rsidRPr="00EB2BD8">
        <w:rPr>
          <w:rFonts w:ascii="Arial"/>
          <w:w w:val="105"/>
          <w:sz w:val="16"/>
        </w:rPr>
        <w:t>movement</w:t>
      </w:r>
      <w:r w:rsidRPr="00EB2BD8">
        <w:rPr>
          <w:rFonts w:ascii="Arial"/>
          <w:spacing w:val="-6"/>
          <w:w w:val="105"/>
          <w:sz w:val="16"/>
        </w:rPr>
        <w:t xml:space="preserve"> </w:t>
      </w:r>
      <w:r w:rsidRPr="00EB2BD8">
        <w:rPr>
          <w:rFonts w:ascii="Arial"/>
          <w:w w:val="105"/>
          <w:sz w:val="16"/>
        </w:rPr>
        <w:t>in</w:t>
      </w:r>
      <w:r w:rsidRPr="00EB2BD8">
        <w:rPr>
          <w:rFonts w:ascii="Arial"/>
          <w:spacing w:val="-7"/>
          <w:w w:val="105"/>
          <w:sz w:val="16"/>
        </w:rPr>
        <w:t xml:space="preserve"> </w:t>
      </w:r>
      <w:r w:rsidRPr="00EB2BD8">
        <w:rPr>
          <w:rFonts w:ascii="Arial"/>
          <w:w w:val="105"/>
          <w:sz w:val="16"/>
        </w:rPr>
        <w:t>revaluation</w:t>
      </w:r>
      <w:r w:rsidRPr="00EB2BD8">
        <w:rPr>
          <w:rFonts w:ascii="Arial"/>
          <w:spacing w:val="-7"/>
          <w:w w:val="105"/>
          <w:sz w:val="16"/>
        </w:rPr>
        <w:t xml:space="preserve"> </w:t>
      </w:r>
      <w:r w:rsidRPr="00EB2BD8">
        <w:rPr>
          <w:rFonts w:ascii="Arial"/>
          <w:w w:val="105"/>
          <w:sz w:val="16"/>
        </w:rPr>
        <w:t>surplus</w:t>
      </w:r>
      <w:r w:rsidRPr="00EB2BD8">
        <w:rPr>
          <w:rFonts w:ascii="Arial"/>
          <w:spacing w:val="-7"/>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associates</w:t>
      </w:r>
      <w:r w:rsidRPr="00EB2BD8">
        <w:rPr>
          <w:rFonts w:ascii="Arial"/>
          <w:spacing w:val="-6"/>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joint</w:t>
      </w:r>
      <w:r w:rsidRPr="00EB2BD8">
        <w:rPr>
          <w:rFonts w:ascii="Arial"/>
          <w:spacing w:val="-7"/>
          <w:w w:val="105"/>
          <w:sz w:val="16"/>
        </w:rPr>
        <w:t xml:space="preserve"> </w:t>
      </w:r>
      <w:r w:rsidRPr="00EB2BD8">
        <w:rPr>
          <w:rFonts w:ascii="Arial"/>
          <w:w w:val="105"/>
          <w:sz w:val="16"/>
        </w:rPr>
        <w:t>ventures;</w:t>
      </w:r>
      <w:r w:rsidRPr="00EB2BD8">
        <w:rPr>
          <w:rFonts w:ascii="Arial"/>
          <w:spacing w:val="-7"/>
          <w:w w:val="105"/>
          <w:sz w:val="16"/>
        </w:rPr>
        <w:t xml:space="preserve"> </w:t>
      </w:r>
      <w:r w:rsidRPr="00EB2BD8">
        <w:rPr>
          <w:rFonts w:ascii="Arial"/>
          <w:spacing w:val="-5"/>
          <w:w w:val="105"/>
          <w:sz w:val="16"/>
        </w:rPr>
        <w:t>and</w:t>
      </w:r>
    </w:p>
    <w:p w14:paraId="2BFC552D" w14:textId="77777777" w:rsidR="00084F36" w:rsidRPr="00EB2BD8" w:rsidRDefault="00EB2BD8">
      <w:pPr>
        <w:pStyle w:val="ListParagraph"/>
        <w:numPr>
          <w:ilvl w:val="0"/>
          <w:numId w:val="22"/>
        </w:numPr>
        <w:tabs>
          <w:tab w:val="left" w:pos="1657"/>
        </w:tabs>
        <w:spacing w:before="16"/>
        <w:ind w:left="1657" w:hanging="333"/>
        <w:rPr>
          <w:rFonts w:ascii="Arial"/>
          <w:sz w:val="16"/>
        </w:rPr>
      </w:pPr>
      <w:r w:rsidRPr="00EB2BD8">
        <w:rPr>
          <w:rFonts w:ascii="Arial"/>
          <w:w w:val="105"/>
          <w:sz w:val="16"/>
        </w:rPr>
        <w:t>gains</w:t>
      </w:r>
      <w:r w:rsidRPr="00EB2BD8">
        <w:rPr>
          <w:rFonts w:ascii="Arial"/>
          <w:spacing w:val="-10"/>
          <w:w w:val="105"/>
          <w:sz w:val="16"/>
        </w:rPr>
        <w:t xml:space="preserve"> </w:t>
      </w:r>
      <w:r w:rsidRPr="00EB2BD8">
        <w:rPr>
          <w:rFonts w:ascii="Arial"/>
          <w:w w:val="105"/>
          <w:sz w:val="16"/>
        </w:rPr>
        <w:t>and</w:t>
      </w:r>
      <w:r w:rsidRPr="00EB2BD8">
        <w:rPr>
          <w:rFonts w:ascii="Arial"/>
          <w:spacing w:val="-9"/>
          <w:w w:val="105"/>
          <w:sz w:val="16"/>
        </w:rPr>
        <w:t xml:space="preserve"> </w:t>
      </w:r>
      <w:r w:rsidRPr="00EB2BD8">
        <w:rPr>
          <w:rFonts w:ascii="Arial"/>
          <w:w w:val="105"/>
          <w:sz w:val="16"/>
        </w:rPr>
        <w:t>losses</w:t>
      </w:r>
      <w:r w:rsidRPr="00EB2BD8">
        <w:rPr>
          <w:rFonts w:ascii="Arial"/>
          <w:spacing w:val="-9"/>
          <w:w w:val="105"/>
          <w:sz w:val="16"/>
        </w:rPr>
        <w:t xml:space="preserve"> </w:t>
      </w:r>
      <w:r w:rsidRPr="00EB2BD8">
        <w:rPr>
          <w:rFonts w:ascii="Arial"/>
          <w:w w:val="105"/>
          <w:sz w:val="16"/>
        </w:rPr>
        <w:t>on</w:t>
      </w:r>
      <w:r w:rsidRPr="00EB2BD8">
        <w:rPr>
          <w:rFonts w:ascii="Arial"/>
          <w:spacing w:val="-9"/>
          <w:w w:val="105"/>
          <w:sz w:val="16"/>
        </w:rPr>
        <w:t xml:space="preserve"> </w:t>
      </w:r>
      <w:r w:rsidRPr="00EB2BD8">
        <w:rPr>
          <w:rFonts w:ascii="Arial"/>
          <w:w w:val="105"/>
          <w:sz w:val="16"/>
        </w:rPr>
        <w:t>remeasuring</w:t>
      </w:r>
      <w:r w:rsidRPr="00EB2BD8">
        <w:rPr>
          <w:rFonts w:ascii="Arial"/>
          <w:spacing w:val="-9"/>
          <w:w w:val="105"/>
          <w:sz w:val="16"/>
        </w:rPr>
        <w:t xml:space="preserve"> </w:t>
      </w:r>
      <w:r w:rsidRPr="00EB2BD8">
        <w:rPr>
          <w:rFonts w:ascii="Arial"/>
          <w:w w:val="105"/>
          <w:sz w:val="16"/>
        </w:rPr>
        <w:t>available-for-sale</w:t>
      </w:r>
      <w:r w:rsidRPr="00EB2BD8">
        <w:rPr>
          <w:rFonts w:ascii="Arial"/>
          <w:spacing w:val="-9"/>
          <w:w w:val="105"/>
          <w:sz w:val="16"/>
        </w:rPr>
        <w:t xml:space="preserve"> </w:t>
      </w:r>
      <w:r w:rsidRPr="00EB2BD8">
        <w:rPr>
          <w:rFonts w:ascii="Arial"/>
          <w:w w:val="105"/>
          <w:sz w:val="16"/>
        </w:rPr>
        <w:t>financial</w:t>
      </w:r>
      <w:r w:rsidRPr="00EB2BD8">
        <w:rPr>
          <w:rFonts w:ascii="Arial"/>
          <w:spacing w:val="-9"/>
          <w:w w:val="105"/>
          <w:sz w:val="16"/>
        </w:rPr>
        <w:t xml:space="preserve"> </w:t>
      </w:r>
      <w:r w:rsidRPr="00EB2BD8">
        <w:rPr>
          <w:rFonts w:ascii="Arial"/>
          <w:spacing w:val="-2"/>
          <w:w w:val="105"/>
          <w:sz w:val="16"/>
        </w:rPr>
        <w:t>assets.</w:t>
      </w:r>
    </w:p>
    <w:p w14:paraId="0A5C578C" w14:textId="77777777" w:rsidR="00084F36" w:rsidRPr="00EB2BD8" w:rsidRDefault="00084F36">
      <w:pPr>
        <w:pStyle w:val="BodyText"/>
        <w:rPr>
          <w:rFonts w:ascii="Arial"/>
          <w:sz w:val="20"/>
        </w:rPr>
      </w:pPr>
    </w:p>
    <w:p w14:paraId="1397522E" w14:textId="77777777" w:rsidR="00084F36" w:rsidRPr="00EB2BD8" w:rsidRDefault="00084F36">
      <w:pPr>
        <w:pStyle w:val="BodyText"/>
        <w:spacing w:before="4"/>
        <w:rPr>
          <w:rFonts w:ascii="Arial"/>
          <w:sz w:val="16"/>
        </w:rPr>
      </w:pPr>
    </w:p>
    <w:p w14:paraId="2F386AA8" w14:textId="77777777" w:rsidR="00084F36" w:rsidRPr="00EB2BD8" w:rsidRDefault="00EB2BD8">
      <w:pPr>
        <w:ind w:left="988"/>
        <w:rPr>
          <w:rFonts w:ascii="Arial"/>
          <w:b/>
          <w:sz w:val="20"/>
        </w:rPr>
      </w:pPr>
      <w:r w:rsidRPr="00EB2BD8">
        <w:rPr>
          <w:rFonts w:ascii="Arial"/>
          <w:b/>
          <w:spacing w:val="-2"/>
          <w:sz w:val="20"/>
        </w:rPr>
        <w:t>Payables</w:t>
      </w:r>
    </w:p>
    <w:p w14:paraId="22606E7F" w14:textId="77777777" w:rsidR="00084F36" w:rsidRPr="00EB2BD8" w:rsidRDefault="00EB2BD8">
      <w:pPr>
        <w:spacing w:before="157"/>
        <w:ind w:left="988"/>
        <w:rPr>
          <w:rFonts w:ascii="Arial"/>
          <w:sz w:val="16"/>
        </w:rPr>
      </w:pPr>
      <w:r w:rsidRPr="00EB2BD8">
        <w:rPr>
          <w:rFonts w:ascii="Arial"/>
          <w:w w:val="105"/>
          <w:sz w:val="16"/>
        </w:rPr>
        <w:t>Payables</w:t>
      </w:r>
      <w:r w:rsidRPr="00EB2BD8">
        <w:rPr>
          <w:rFonts w:ascii="Arial"/>
          <w:spacing w:val="-8"/>
          <w:w w:val="105"/>
          <w:sz w:val="16"/>
        </w:rPr>
        <w:t xml:space="preserve"> </w:t>
      </w:r>
      <w:r w:rsidRPr="00EB2BD8">
        <w:rPr>
          <w:rFonts w:ascii="Arial"/>
          <w:w w:val="105"/>
          <w:sz w:val="16"/>
        </w:rPr>
        <w:t>include</w:t>
      </w:r>
      <w:r w:rsidRPr="00EB2BD8">
        <w:rPr>
          <w:rFonts w:ascii="Arial"/>
          <w:spacing w:val="-7"/>
          <w:w w:val="105"/>
          <w:sz w:val="16"/>
        </w:rPr>
        <w:t xml:space="preserve"> </w:t>
      </w:r>
      <w:r w:rsidRPr="00EB2BD8">
        <w:rPr>
          <w:rFonts w:ascii="Arial"/>
          <w:w w:val="105"/>
          <w:sz w:val="16"/>
        </w:rPr>
        <w:t>short</w:t>
      </w:r>
      <w:r w:rsidRPr="00EB2BD8">
        <w:rPr>
          <w:rFonts w:ascii="Arial"/>
          <w:spacing w:val="-8"/>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long-term</w:t>
      </w:r>
      <w:r w:rsidRPr="00EB2BD8">
        <w:rPr>
          <w:rFonts w:ascii="Arial"/>
          <w:spacing w:val="-7"/>
          <w:w w:val="105"/>
          <w:sz w:val="16"/>
        </w:rPr>
        <w:t xml:space="preserve"> </w:t>
      </w:r>
      <w:r w:rsidRPr="00EB2BD8">
        <w:rPr>
          <w:rFonts w:ascii="Arial"/>
          <w:w w:val="105"/>
          <w:sz w:val="16"/>
        </w:rPr>
        <w:t>trade</w:t>
      </w:r>
      <w:r w:rsidRPr="00EB2BD8">
        <w:rPr>
          <w:rFonts w:ascii="Arial"/>
          <w:spacing w:val="-7"/>
          <w:w w:val="105"/>
          <w:sz w:val="16"/>
        </w:rPr>
        <w:t xml:space="preserve"> </w:t>
      </w:r>
      <w:r w:rsidRPr="00EB2BD8">
        <w:rPr>
          <w:rFonts w:ascii="Arial"/>
          <w:w w:val="105"/>
          <w:sz w:val="16"/>
        </w:rPr>
        <w:t>debt</w:t>
      </w:r>
      <w:r w:rsidRPr="00EB2BD8">
        <w:rPr>
          <w:rFonts w:ascii="Arial"/>
          <w:spacing w:val="-7"/>
          <w:w w:val="105"/>
          <w:sz w:val="16"/>
        </w:rPr>
        <w:t xml:space="preserve"> </w:t>
      </w:r>
      <w:r w:rsidRPr="00EB2BD8">
        <w:rPr>
          <w:rFonts w:ascii="Arial"/>
          <w:w w:val="105"/>
          <w:sz w:val="16"/>
        </w:rPr>
        <w:t>and</w:t>
      </w:r>
      <w:r w:rsidRPr="00EB2BD8">
        <w:rPr>
          <w:rFonts w:ascii="Arial"/>
          <w:spacing w:val="-8"/>
          <w:w w:val="105"/>
          <w:sz w:val="16"/>
        </w:rPr>
        <w:t xml:space="preserve"> </w:t>
      </w:r>
      <w:r w:rsidRPr="00EB2BD8">
        <w:rPr>
          <w:rFonts w:ascii="Arial"/>
          <w:w w:val="105"/>
          <w:sz w:val="16"/>
        </w:rPr>
        <w:t>accounts</w:t>
      </w:r>
      <w:r w:rsidRPr="00EB2BD8">
        <w:rPr>
          <w:rFonts w:ascii="Arial"/>
          <w:spacing w:val="-7"/>
          <w:w w:val="105"/>
          <w:sz w:val="16"/>
        </w:rPr>
        <w:t xml:space="preserve"> </w:t>
      </w:r>
      <w:r w:rsidRPr="00EB2BD8">
        <w:rPr>
          <w:rFonts w:ascii="Arial"/>
          <w:w w:val="105"/>
          <w:sz w:val="16"/>
        </w:rPr>
        <w:t>payable,</w:t>
      </w:r>
      <w:r w:rsidRPr="00EB2BD8">
        <w:rPr>
          <w:rFonts w:ascii="Arial"/>
          <w:spacing w:val="-7"/>
          <w:w w:val="105"/>
          <w:sz w:val="16"/>
        </w:rPr>
        <w:t xml:space="preserve"> </w:t>
      </w:r>
      <w:r w:rsidRPr="00EB2BD8">
        <w:rPr>
          <w:rFonts w:ascii="Arial"/>
          <w:w w:val="105"/>
          <w:sz w:val="16"/>
        </w:rPr>
        <w:t>grants,</w:t>
      </w:r>
      <w:r w:rsidRPr="00EB2BD8">
        <w:rPr>
          <w:rFonts w:ascii="Arial"/>
          <w:spacing w:val="-8"/>
          <w:w w:val="105"/>
          <w:sz w:val="16"/>
        </w:rPr>
        <w:t xml:space="preserve"> </w:t>
      </w:r>
      <w:r w:rsidRPr="00EB2BD8">
        <w:rPr>
          <w:rFonts w:ascii="Arial"/>
          <w:w w:val="105"/>
          <w:sz w:val="16"/>
        </w:rPr>
        <w:t>taxes</w:t>
      </w:r>
      <w:r w:rsidRPr="00EB2BD8">
        <w:rPr>
          <w:rFonts w:ascii="Arial"/>
          <w:spacing w:val="-7"/>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interest</w:t>
      </w:r>
      <w:r w:rsidRPr="00EB2BD8">
        <w:rPr>
          <w:rFonts w:ascii="Arial"/>
          <w:spacing w:val="-8"/>
          <w:w w:val="105"/>
          <w:sz w:val="16"/>
        </w:rPr>
        <w:t xml:space="preserve"> </w:t>
      </w:r>
      <w:r w:rsidRPr="00EB2BD8">
        <w:rPr>
          <w:rFonts w:ascii="Arial"/>
          <w:spacing w:val="-2"/>
          <w:w w:val="105"/>
          <w:sz w:val="16"/>
        </w:rPr>
        <w:t>payable.</w:t>
      </w:r>
    </w:p>
    <w:p w14:paraId="687BD234" w14:textId="77777777" w:rsidR="00084F36" w:rsidRPr="00EB2BD8" w:rsidRDefault="00084F36">
      <w:pPr>
        <w:pStyle w:val="BodyText"/>
        <w:rPr>
          <w:rFonts w:ascii="Arial"/>
        </w:rPr>
      </w:pPr>
    </w:p>
    <w:p w14:paraId="713C0D73" w14:textId="77777777" w:rsidR="00084F36" w:rsidRPr="00EB2BD8" w:rsidRDefault="00084F36">
      <w:pPr>
        <w:pStyle w:val="BodyText"/>
        <w:spacing w:before="1"/>
        <w:rPr>
          <w:rFonts w:ascii="Arial"/>
          <w:sz w:val="14"/>
        </w:rPr>
      </w:pPr>
    </w:p>
    <w:p w14:paraId="27DCD895" w14:textId="77777777" w:rsidR="00084F36" w:rsidRPr="00EB2BD8" w:rsidRDefault="00EB2BD8">
      <w:pPr>
        <w:ind w:left="988"/>
        <w:rPr>
          <w:rFonts w:ascii="Arial"/>
          <w:b/>
          <w:sz w:val="20"/>
        </w:rPr>
      </w:pPr>
      <w:r w:rsidRPr="00EB2BD8">
        <w:rPr>
          <w:rFonts w:ascii="Arial"/>
          <w:b/>
          <w:sz w:val="20"/>
        </w:rPr>
        <w:t>Produced</w:t>
      </w:r>
      <w:r w:rsidRPr="00EB2BD8">
        <w:rPr>
          <w:rFonts w:ascii="Arial"/>
          <w:b/>
          <w:spacing w:val="17"/>
          <w:sz w:val="20"/>
        </w:rPr>
        <w:t xml:space="preserve"> </w:t>
      </w:r>
      <w:r w:rsidRPr="00EB2BD8">
        <w:rPr>
          <w:rFonts w:ascii="Arial"/>
          <w:b/>
          <w:spacing w:val="-2"/>
          <w:sz w:val="20"/>
        </w:rPr>
        <w:t>assets</w:t>
      </w:r>
    </w:p>
    <w:p w14:paraId="5E6DA3DE" w14:textId="77777777" w:rsidR="00084F36" w:rsidRPr="00EB2BD8" w:rsidRDefault="00EB2BD8">
      <w:pPr>
        <w:spacing w:before="157" w:line="290" w:lineRule="auto"/>
        <w:ind w:left="988" w:right="1813"/>
        <w:rPr>
          <w:rFonts w:ascii="Arial"/>
          <w:sz w:val="16"/>
        </w:rPr>
      </w:pPr>
      <w:r w:rsidRPr="00EB2BD8">
        <w:rPr>
          <w:rFonts w:ascii="Arial"/>
          <w:w w:val="105"/>
          <w:sz w:val="16"/>
        </w:rPr>
        <w:t>Produced assets include buildings, plant and equipment, inventories, cultivated assets and certain intangible assets. Intangible</w:t>
      </w:r>
      <w:r w:rsidRPr="00EB2BD8">
        <w:rPr>
          <w:rFonts w:ascii="Arial"/>
          <w:spacing w:val="-3"/>
          <w:w w:val="105"/>
          <w:sz w:val="16"/>
        </w:rPr>
        <w:t xml:space="preserve"> </w:t>
      </w:r>
      <w:r w:rsidRPr="00EB2BD8">
        <w:rPr>
          <w:rFonts w:ascii="Arial"/>
          <w:w w:val="105"/>
          <w:sz w:val="16"/>
        </w:rPr>
        <w:t>produced</w:t>
      </w:r>
      <w:r w:rsidRPr="00EB2BD8">
        <w:rPr>
          <w:rFonts w:ascii="Arial"/>
          <w:spacing w:val="-3"/>
          <w:w w:val="105"/>
          <w:sz w:val="16"/>
        </w:rPr>
        <w:t xml:space="preserve"> </w:t>
      </w:r>
      <w:r w:rsidRPr="00EB2BD8">
        <w:rPr>
          <w:rFonts w:ascii="Arial"/>
          <w:w w:val="105"/>
          <w:sz w:val="16"/>
        </w:rPr>
        <w:t>assets</w:t>
      </w:r>
      <w:r w:rsidRPr="00EB2BD8">
        <w:rPr>
          <w:rFonts w:ascii="Arial"/>
          <w:spacing w:val="-3"/>
          <w:w w:val="105"/>
          <w:sz w:val="16"/>
        </w:rPr>
        <w:t xml:space="preserve"> </w:t>
      </w:r>
      <w:r w:rsidRPr="00EB2BD8">
        <w:rPr>
          <w:rFonts w:ascii="Arial"/>
          <w:w w:val="105"/>
          <w:sz w:val="16"/>
        </w:rPr>
        <w:t>may</w:t>
      </w:r>
      <w:r w:rsidRPr="00EB2BD8">
        <w:rPr>
          <w:rFonts w:ascii="Arial"/>
          <w:spacing w:val="-3"/>
          <w:w w:val="105"/>
          <w:sz w:val="16"/>
        </w:rPr>
        <w:t xml:space="preserve"> </w:t>
      </w:r>
      <w:r w:rsidRPr="00EB2BD8">
        <w:rPr>
          <w:rFonts w:ascii="Arial"/>
          <w:w w:val="105"/>
          <w:sz w:val="16"/>
        </w:rPr>
        <w:t>include</w:t>
      </w:r>
      <w:r w:rsidRPr="00EB2BD8">
        <w:rPr>
          <w:rFonts w:ascii="Arial"/>
          <w:spacing w:val="-3"/>
          <w:w w:val="105"/>
          <w:sz w:val="16"/>
        </w:rPr>
        <w:t xml:space="preserve"> </w:t>
      </w:r>
      <w:r w:rsidRPr="00EB2BD8">
        <w:rPr>
          <w:rFonts w:ascii="Arial"/>
          <w:w w:val="105"/>
          <w:sz w:val="16"/>
        </w:rPr>
        <w:t>computer</w:t>
      </w:r>
      <w:r w:rsidRPr="00EB2BD8">
        <w:rPr>
          <w:rFonts w:ascii="Arial"/>
          <w:spacing w:val="-3"/>
          <w:w w:val="105"/>
          <w:sz w:val="16"/>
        </w:rPr>
        <w:t xml:space="preserve"> </w:t>
      </w:r>
      <w:r w:rsidRPr="00EB2BD8">
        <w:rPr>
          <w:rFonts w:ascii="Arial"/>
          <w:w w:val="105"/>
          <w:sz w:val="16"/>
        </w:rPr>
        <w:t>software,</w:t>
      </w:r>
      <w:r w:rsidRPr="00EB2BD8">
        <w:rPr>
          <w:rFonts w:ascii="Arial"/>
          <w:spacing w:val="-1"/>
          <w:w w:val="105"/>
          <w:sz w:val="16"/>
        </w:rPr>
        <w:t xml:space="preserve"> </w:t>
      </w:r>
      <w:r w:rsidRPr="00EB2BD8">
        <w:rPr>
          <w:rFonts w:ascii="Arial"/>
          <w:w w:val="105"/>
          <w:sz w:val="16"/>
        </w:rPr>
        <w:t>motion</w:t>
      </w:r>
      <w:r w:rsidRPr="00EB2BD8">
        <w:rPr>
          <w:rFonts w:ascii="Arial"/>
          <w:spacing w:val="-3"/>
          <w:w w:val="105"/>
          <w:sz w:val="16"/>
        </w:rPr>
        <w:t xml:space="preserve"> </w:t>
      </w:r>
      <w:r w:rsidRPr="00EB2BD8">
        <w:rPr>
          <w:rFonts w:ascii="Arial"/>
          <w:w w:val="105"/>
          <w:sz w:val="16"/>
        </w:rPr>
        <w:t>picture</w:t>
      </w:r>
      <w:r w:rsidRPr="00EB2BD8">
        <w:rPr>
          <w:rFonts w:ascii="Arial"/>
          <w:spacing w:val="-2"/>
          <w:w w:val="105"/>
          <w:sz w:val="16"/>
        </w:rPr>
        <w:t xml:space="preserve"> </w:t>
      </w:r>
      <w:r w:rsidRPr="00EB2BD8">
        <w:rPr>
          <w:rFonts w:ascii="Arial"/>
          <w:w w:val="105"/>
          <w:sz w:val="16"/>
        </w:rPr>
        <w:t>films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research</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development</w:t>
      </w:r>
      <w:r w:rsidRPr="00EB2BD8">
        <w:rPr>
          <w:rFonts w:ascii="Arial"/>
          <w:spacing w:val="-3"/>
          <w:w w:val="105"/>
          <w:sz w:val="16"/>
        </w:rPr>
        <w:t xml:space="preserve"> </w:t>
      </w:r>
      <w:r w:rsidRPr="00EB2BD8">
        <w:rPr>
          <w:rFonts w:ascii="Arial"/>
          <w:w w:val="105"/>
          <w:sz w:val="16"/>
        </w:rPr>
        <w:t>costs (which does not include the start-up costs associated with capital projects).</w:t>
      </w:r>
    </w:p>
    <w:p w14:paraId="2F347063" w14:textId="77777777" w:rsidR="00084F36" w:rsidRPr="00EB2BD8" w:rsidRDefault="00084F36">
      <w:pPr>
        <w:pStyle w:val="BodyText"/>
        <w:rPr>
          <w:rFonts w:ascii="Arial"/>
          <w:sz w:val="20"/>
        </w:rPr>
      </w:pPr>
    </w:p>
    <w:p w14:paraId="09C85FA8" w14:textId="77777777" w:rsidR="00084F36" w:rsidRPr="00EB2BD8" w:rsidRDefault="00084F36">
      <w:pPr>
        <w:pStyle w:val="BodyText"/>
        <w:spacing w:before="9"/>
        <w:rPr>
          <w:rFonts w:ascii="Arial"/>
          <w:sz w:val="21"/>
        </w:rPr>
      </w:pPr>
    </w:p>
    <w:p w14:paraId="670A73C4" w14:textId="707DC19F" w:rsidR="00084F36" w:rsidRPr="00EB2BD8" w:rsidRDefault="00EB2BD8">
      <w:pPr>
        <w:tabs>
          <w:tab w:val="left" w:pos="1906"/>
        </w:tabs>
        <w:ind w:left="842"/>
        <w:rPr>
          <w:b/>
          <w:sz w:val="16"/>
        </w:rPr>
      </w:pPr>
      <w:r w:rsidRPr="00EB2BD8">
        <w:rPr>
          <w:sz w:val="16"/>
        </w:rPr>
        <w:tab/>
      </w:r>
    </w:p>
    <w:p w14:paraId="170807D6" w14:textId="77777777" w:rsidR="00084F36" w:rsidRPr="00EB2BD8" w:rsidRDefault="00084F36">
      <w:pPr>
        <w:rPr>
          <w:sz w:val="16"/>
        </w:rPr>
        <w:sectPr w:rsidR="00084F36" w:rsidRPr="00EB2BD8" w:rsidSect="006D75B2">
          <w:headerReference w:type="even" r:id="rId379"/>
          <w:footerReference w:type="even" r:id="rId380"/>
          <w:pgSz w:w="11910" w:h="16840"/>
          <w:pgMar w:top="780" w:right="0" w:bottom="280" w:left="0" w:header="0" w:footer="0" w:gutter="0"/>
          <w:cols w:space="720"/>
        </w:sectPr>
      </w:pPr>
    </w:p>
    <w:p w14:paraId="5EF4B923" w14:textId="77777777" w:rsidR="00084F36" w:rsidRPr="00EB2BD8" w:rsidRDefault="00084F36">
      <w:pPr>
        <w:pStyle w:val="BodyText"/>
        <w:rPr>
          <w:sz w:val="20"/>
        </w:rPr>
      </w:pPr>
    </w:p>
    <w:p w14:paraId="6D6F68E6" w14:textId="77777777" w:rsidR="00084F36" w:rsidRPr="00EB2BD8" w:rsidRDefault="00084F36">
      <w:pPr>
        <w:pStyle w:val="BodyText"/>
        <w:rPr>
          <w:sz w:val="20"/>
        </w:rPr>
      </w:pPr>
    </w:p>
    <w:p w14:paraId="6618430D" w14:textId="77777777" w:rsidR="00084F36" w:rsidRPr="00EB2BD8" w:rsidRDefault="00084F36">
      <w:pPr>
        <w:pStyle w:val="BodyText"/>
        <w:rPr>
          <w:sz w:val="20"/>
        </w:rPr>
      </w:pPr>
    </w:p>
    <w:p w14:paraId="4BD14188" w14:textId="77777777" w:rsidR="00084F36" w:rsidRPr="00EB2BD8" w:rsidRDefault="00084F36">
      <w:pPr>
        <w:pStyle w:val="BodyText"/>
        <w:rPr>
          <w:sz w:val="20"/>
        </w:rPr>
      </w:pPr>
    </w:p>
    <w:p w14:paraId="35CBE941" w14:textId="77777777" w:rsidR="00084F36" w:rsidRPr="00EB2BD8" w:rsidRDefault="00084F36">
      <w:pPr>
        <w:pStyle w:val="BodyText"/>
        <w:rPr>
          <w:sz w:val="20"/>
        </w:rPr>
      </w:pPr>
    </w:p>
    <w:p w14:paraId="6AC03D33" w14:textId="77777777" w:rsidR="00084F36" w:rsidRPr="00EB2BD8" w:rsidRDefault="00084F36">
      <w:pPr>
        <w:pStyle w:val="BodyText"/>
        <w:spacing w:before="7"/>
        <w:rPr>
          <w:sz w:val="19"/>
        </w:rPr>
      </w:pPr>
    </w:p>
    <w:p w14:paraId="6BF8BE84" w14:textId="77777777" w:rsidR="00084F36" w:rsidRPr="00EB2BD8" w:rsidRDefault="00EB2BD8" w:rsidP="001123D6">
      <w:pPr>
        <w:pStyle w:val="Heading2"/>
        <w:ind w:firstLine="205"/>
      </w:pPr>
      <w:bookmarkStart w:id="403" w:name="_Toc150762705"/>
      <w:r w:rsidRPr="00EB2BD8">
        <w:t>Receivables</w:t>
      </w:r>
      <w:bookmarkEnd w:id="403"/>
    </w:p>
    <w:p w14:paraId="40B1CADC" w14:textId="77777777" w:rsidR="00084F36" w:rsidRPr="00EB2BD8" w:rsidRDefault="00EB2BD8">
      <w:pPr>
        <w:spacing w:before="157" w:line="290" w:lineRule="auto"/>
        <w:ind w:left="1055" w:right="1813"/>
        <w:rPr>
          <w:rFonts w:ascii="Arial"/>
          <w:sz w:val="16"/>
        </w:rPr>
      </w:pPr>
      <w:r w:rsidRPr="00EB2BD8">
        <w:rPr>
          <w:rFonts w:ascii="Arial"/>
          <w:w w:val="105"/>
          <w:sz w:val="16"/>
        </w:rPr>
        <w:t>Receivables</w:t>
      </w:r>
      <w:r w:rsidRPr="00EB2BD8">
        <w:rPr>
          <w:rFonts w:ascii="Arial"/>
          <w:spacing w:val="-3"/>
          <w:w w:val="105"/>
          <w:sz w:val="16"/>
        </w:rPr>
        <w:t xml:space="preserve"> </w:t>
      </w:r>
      <w:r w:rsidRPr="00EB2BD8">
        <w:rPr>
          <w:rFonts w:ascii="Arial"/>
          <w:w w:val="105"/>
          <w:sz w:val="16"/>
        </w:rPr>
        <w:t>Include</w:t>
      </w:r>
      <w:r w:rsidRPr="00EB2BD8">
        <w:rPr>
          <w:rFonts w:ascii="Arial"/>
          <w:spacing w:val="-3"/>
          <w:w w:val="105"/>
          <w:sz w:val="16"/>
        </w:rPr>
        <w:t xml:space="preserve"> </w:t>
      </w:r>
      <w:r w:rsidRPr="00EB2BD8">
        <w:rPr>
          <w:rFonts w:ascii="Arial"/>
          <w:w w:val="105"/>
          <w:sz w:val="16"/>
        </w:rPr>
        <w:t>amounts</w:t>
      </w:r>
      <w:r w:rsidRPr="00EB2BD8">
        <w:rPr>
          <w:rFonts w:ascii="Arial"/>
          <w:spacing w:val="-3"/>
          <w:w w:val="105"/>
          <w:sz w:val="16"/>
        </w:rPr>
        <w:t xml:space="preserve"> </w:t>
      </w:r>
      <w:r w:rsidRPr="00EB2BD8">
        <w:rPr>
          <w:rFonts w:ascii="Arial"/>
          <w:w w:val="105"/>
          <w:sz w:val="16"/>
        </w:rPr>
        <w:t>owing</w:t>
      </w:r>
      <w:r w:rsidRPr="00EB2BD8">
        <w:rPr>
          <w:rFonts w:ascii="Arial"/>
          <w:spacing w:val="-3"/>
          <w:w w:val="105"/>
          <w:sz w:val="16"/>
        </w:rPr>
        <w:t xml:space="preserve"> </w:t>
      </w:r>
      <w:r w:rsidRPr="00EB2BD8">
        <w:rPr>
          <w:rFonts w:ascii="Arial"/>
          <w:w w:val="105"/>
          <w:sz w:val="16"/>
        </w:rPr>
        <w:t>from</w:t>
      </w:r>
      <w:r w:rsidRPr="00EB2BD8">
        <w:rPr>
          <w:rFonts w:ascii="Arial"/>
          <w:spacing w:val="-3"/>
          <w:w w:val="105"/>
          <w:sz w:val="16"/>
        </w:rPr>
        <w:t xml:space="preserve"> </w:t>
      </w:r>
      <w:r w:rsidRPr="00EB2BD8">
        <w:rPr>
          <w:rFonts w:ascii="Arial"/>
          <w:w w:val="105"/>
          <w:sz w:val="16"/>
        </w:rPr>
        <w:t>government</w:t>
      </w:r>
      <w:r w:rsidRPr="00EB2BD8">
        <w:rPr>
          <w:rFonts w:ascii="Arial"/>
          <w:spacing w:val="-3"/>
          <w:w w:val="105"/>
          <w:sz w:val="16"/>
        </w:rPr>
        <w:t xml:space="preserve"> </w:t>
      </w:r>
      <w:r w:rsidRPr="00EB2BD8">
        <w:rPr>
          <w:rFonts w:ascii="Arial"/>
          <w:w w:val="105"/>
          <w:sz w:val="16"/>
        </w:rPr>
        <w:t>through</w:t>
      </w:r>
      <w:r w:rsidRPr="00EB2BD8">
        <w:rPr>
          <w:rFonts w:ascii="Arial"/>
          <w:spacing w:val="-3"/>
          <w:w w:val="105"/>
          <w:sz w:val="16"/>
        </w:rPr>
        <w:t xml:space="preserve"> </w:t>
      </w:r>
      <w:r w:rsidRPr="00EB2BD8">
        <w:rPr>
          <w:rFonts w:ascii="Arial"/>
          <w:w w:val="105"/>
          <w:sz w:val="16"/>
        </w:rPr>
        <w:t>appropriation</w:t>
      </w:r>
      <w:r w:rsidRPr="00EB2BD8">
        <w:rPr>
          <w:rFonts w:ascii="Arial"/>
          <w:spacing w:val="-2"/>
          <w:w w:val="105"/>
          <w:sz w:val="16"/>
        </w:rPr>
        <w:t xml:space="preserve"> </w:t>
      </w:r>
      <w:r w:rsidRPr="00EB2BD8">
        <w:rPr>
          <w:rFonts w:ascii="Arial"/>
          <w:w w:val="105"/>
          <w:sz w:val="16"/>
        </w:rPr>
        <w:t>receivable,</w:t>
      </w:r>
      <w:r w:rsidRPr="00EB2BD8">
        <w:rPr>
          <w:rFonts w:ascii="Arial"/>
          <w:spacing w:val="-3"/>
          <w:w w:val="105"/>
          <w:sz w:val="16"/>
        </w:rPr>
        <w:t xml:space="preserve"> </w:t>
      </w:r>
      <w:r w:rsidRPr="00EB2BD8">
        <w:rPr>
          <w:rFonts w:ascii="Arial"/>
          <w:w w:val="105"/>
          <w:sz w:val="16"/>
        </w:rPr>
        <w:t>short</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long-term</w:t>
      </w:r>
      <w:r w:rsidRPr="00EB2BD8">
        <w:rPr>
          <w:rFonts w:ascii="Arial"/>
          <w:spacing w:val="-3"/>
          <w:w w:val="105"/>
          <w:sz w:val="16"/>
        </w:rPr>
        <w:t xml:space="preserve"> </w:t>
      </w:r>
      <w:r w:rsidRPr="00EB2BD8">
        <w:rPr>
          <w:rFonts w:ascii="Arial"/>
          <w:w w:val="105"/>
          <w:sz w:val="16"/>
        </w:rPr>
        <w:t>trade</w:t>
      </w:r>
      <w:r w:rsidRPr="00EB2BD8">
        <w:rPr>
          <w:rFonts w:ascii="Arial"/>
          <w:spacing w:val="-3"/>
          <w:w w:val="105"/>
          <w:sz w:val="16"/>
        </w:rPr>
        <w:t xml:space="preserve"> </w:t>
      </w:r>
      <w:r w:rsidRPr="00EB2BD8">
        <w:rPr>
          <w:rFonts w:ascii="Arial"/>
          <w:w w:val="105"/>
          <w:sz w:val="16"/>
        </w:rPr>
        <w:t>credit and accounts receivable, accrued investment income, grants, taxes and interest receivable.</w:t>
      </w:r>
    </w:p>
    <w:p w14:paraId="7FC02BF7" w14:textId="77777777" w:rsidR="00084F36" w:rsidRPr="00EB2BD8" w:rsidRDefault="00084F36">
      <w:pPr>
        <w:pStyle w:val="BodyText"/>
        <w:rPr>
          <w:rFonts w:ascii="Arial"/>
        </w:rPr>
      </w:pPr>
    </w:p>
    <w:p w14:paraId="0A639EF7" w14:textId="77777777" w:rsidR="00084F36" w:rsidRPr="00EB2BD8" w:rsidRDefault="00EB2BD8" w:rsidP="001123D6">
      <w:pPr>
        <w:pStyle w:val="Heading2"/>
        <w:ind w:firstLine="205"/>
      </w:pPr>
      <w:bookmarkStart w:id="404" w:name="_Toc150762706"/>
      <w:r w:rsidRPr="00EB2BD8">
        <w:t>Sales</w:t>
      </w:r>
      <w:r w:rsidRPr="00EB2BD8">
        <w:rPr>
          <w:spacing w:val="9"/>
        </w:rPr>
        <w:t xml:space="preserve"> </w:t>
      </w:r>
      <w:r w:rsidRPr="00EB2BD8">
        <w:t>of</w:t>
      </w:r>
      <w:r w:rsidRPr="00EB2BD8">
        <w:rPr>
          <w:spacing w:val="9"/>
        </w:rPr>
        <w:t xml:space="preserve"> </w:t>
      </w:r>
      <w:r w:rsidRPr="00EB2BD8">
        <w:t>goods</w:t>
      </w:r>
      <w:r w:rsidRPr="00EB2BD8">
        <w:rPr>
          <w:spacing w:val="9"/>
        </w:rPr>
        <w:t xml:space="preserve"> </w:t>
      </w:r>
      <w:r w:rsidRPr="00EB2BD8">
        <w:t>and</w:t>
      </w:r>
      <w:r w:rsidRPr="00EB2BD8">
        <w:rPr>
          <w:spacing w:val="9"/>
        </w:rPr>
        <w:t xml:space="preserve"> </w:t>
      </w:r>
      <w:r w:rsidRPr="00EB2BD8">
        <w:rPr>
          <w:spacing w:val="-2"/>
        </w:rPr>
        <w:t>services</w:t>
      </w:r>
      <w:bookmarkEnd w:id="404"/>
    </w:p>
    <w:p w14:paraId="2AD62380" w14:textId="77777777" w:rsidR="00084F36" w:rsidRPr="00EB2BD8" w:rsidRDefault="00EB2BD8">
      <w:pPr>
        <w:spacing w:before="156" w:line="290" w:lineRule="auto"/>
        <w:ind w:left="1055" w:right="1761"/>
        <w:rPr>
          <w:rFonts w:ascii="Arial"/>
          <w:sz w:val="16"/>
        </w:rPr>
      </w:pPr>
      <w:r w:rsidRPr="00EB2BD8">
        <w:rPr>
          <w:rFonts w:ascii="Arial"/>
          <w:w w:val="105"/>
          <w:sz w:val="16"/>
        </w:rPr>
        <w:t>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w:t>
      </w:r>
      <w:r w:rsidRPr="00EB2BD8">
        <w:rPr>
          <w:rFonts w:ascii="Arial"/>
          <w:spacing w:val="-3"/>
          <w:w w:val="105"/>
          <w:sz w:val="16"/>
        </w:rPr>
        <w:t xml:space="preserve"> </w:t>
      </w:r>
      <w:r w:rsidRPr="00EB2BD8">
        <w:rPr>
          <w:rFonts w:ascii="Arial"/>
          <w:w w:val="105"/>
          <w:sz w:val="16"/>
        </w:rPr>
        <w:t>income</w:t>
      </w:r>
      <w:r w:rsidRPr="00EB2BD8">
        <w:rPr>
          <w:rFonts w:ascii="Arial"/>
          <w:spacing w:val="-3"/>
          <w:w w:val="105"/>
          <w:sz w:val="16"/>
        </w:rPr>
        <w:t xml:space="preserve"> </w:t>
      </w:r>
      <w:r w:rsidRPr="00EB2BD8">
        <w:rPr>
          <w:rFonts w:ascii="Arial"/>
          <w:w w:val="105"/>
          <w:sz w:val="16"/>
        </w:rPr>
        <w:t>from</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use</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non-produced</w:t>
      </w:r>
      <w:r w:rsidRPr="00EB2BD8">
        <w:rPr>
          <w:rFonts w:ascii="Arial"/>
          <w:spacing w:val="-3"/>
          <w:w w:val="105"/>
          <w:sz w:val="16"/>
        </w:rPr>
        <w:t xml:space="preserve"> </w:t>
      </w:r>
      <w:r w:rsidRPr="00EB2BD8">
        <w:rPr>
          <w:rFonts w:ascii="Arial"/>
          <w:w w:val="105"/>
          <w:sz w:val="16"/>
        </w:rPr>
        <w:t>assets</w:t>
      </w:r>
      <w:r w:rsidRPr="00EB2BD8">
        <w:rPr>
          <w:rFonts w:ascii="Arial"/>
          <w:spacing w:val="-3"/>
          <w:w w:val="105"/>
          <w:sz w:val="16"/>
        </w:rPr>
        <w:t xml:space="preserve"> </w:t>
      </w:r>
      <w:r w:rsidRPr="00EB2BD8">
        <w:rPr>
          <w:rFonts w:ascii="Arial"/>
          <w:w w:val="105"/>
          <w:sz w:val="16"/>
        </w:rPr>
        <w:t>such</w:t>
      </w:r>
      <w:r w:rsidRPr="00EB2BD8">
        <w:rPr>
          <w:rFonts w:ascii="Arial"/>
          <w:spacing w:val="-3"/>
          <w:w w:val="105"/>
          <w:sz w:val="16"/>
        </w:rPr>
        <w:t xml:space="preserve"> </w:t>
      </w:r>
      <w:r w:rsidRPr="00EB2BD8">
        <w:rPr>
          <w:rFonts w:ascii="Arial"/>
          <w:w w:val="105"/>
          <w:sz w:val="16"/>
        </w:rPr>
        <w:t>as</w:t>
      </w:r>
      <w:r w:rsidRPr="00EB2BD8">
        <w:rPr>
          <w:rFonts w:ascii="Arial"/>
          <w:spacing w:val="-3"/>
          <w:w w:val="105"/>
          <w:sz w:val="16"/>
        </w:rPr>
        <w:t xml:space="preserve"> </w:t>
      </w:r>
      <w:r w:rsidRPr="00EB2BD8">
        <w:rPr>
          <w:rFonts w:ascii="Arial"/>
          <w:w w:val="105"/>
          <w:sz w:val="16"/>
        </w:rPr>
        <w:t>land.</w:t>
      </w:r>
      <w:r w:rsidRPr="00EB2BD8">
        <w:rPr>
          <w:rFonts w:ascii="Arial"/>
          <w:spacing w:val="-3"/>
          <w:w w:val="105"/>
          <w:sz w:val="16"/>
        </w:rPr>
        <w:t xml:space="preserve"> </w:t>
      </w:r>
      <w:r w:rsidRPr="00EB2BD8">
        <w:rPr>
          <w:rFonts w:ascii="Arial"/>
          <w:w w:val="105"/>
          <w:sz w:val="16"/>
        </w:rPr>
        <w:t>User</w:t>
      </w:r>
      <w:r w:rsidRPr="00EB2BD8">
        <w:rPr>
          <w:rFonts w:ascii="Arial"/>
          <w:spacing w:val="-3"/>
          <w:w w:val="105"/>
          <w:sz w:val="16"/>
        </w:rPr>
        <w:t xml:space="preserve"> </w:t>
      </w:r>
      <w:r w:rsidRPr="00EB2BD8">
        <w:rPr>
          <w:rFonts w:ascii="Arial"/>
          <w:w w:val="105"/>
          <w:sz w:val="16"/>
        </w:rPr>
        <w:t>charges</w:t>
      </w:r>
      <w:r w:rsidRPr="00EB2BD8">
        <w:rPr>
          <w:rFonts w:ascii="Arial"/>
          <w:spacing w:val="-3"/>
          <w:w w:val="105"/>
          <w:sz w:val="16"/>
        </w:rPr>
        <w:t xml:space="preserve"> </w:t>
      </w:r>
      <w:r w:rsidRPr="00EB2BD8">
        <w:rPr>
          <w:rFonts w:ascii="Arial"/>
          <w:w w:val="105"/>
          <w:sz w:val="16"/>
        </w:rPr>
        <w:t>includes</w:t>
      </w:r>
      <w:r w:rsidRPr="00EB2BD8">
        <w:rPr>
          <w:rFonts w:ascii="Arial"/>
          <w:spacing w:val="-3"/>
          <w:w w:val="105"/>
          <w:sz w:val="16"/>
        </w:rPr>
        <w:t xml:space="preserve"> </w:t>
      </w:r>
      <w:r w:rsidRPr="00EB2BD8">
        <w:rPr>
          <w:rFonts w:ascii="Arial"/>
          <w:w w:val="105"/>
          <w:sz w:val="16"/>
        </w:rPr>
        <w:t>sale</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goods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services</w:t>
      </w:r>
      <w:r w:rsidRPr="00EB2BD8">
        <w:rPr>
          <w:rFonts w:ascii="Arial"/>
          <w:spacing w:val="-3"/>
          <w:w w:val="105"/>
          <w:sz w:val="16"/>
        </w:rPr>
        <w:t xml:space="preserve"> </w:t>
      </w:r>
      <w:r w:rsidRPr="00EB2BD8">
        <w:rPr>
          <w:rFonts w:ascii="Arial"/>
          <w:w w:val="105"/>
          <w:sz w:val="16"/>
        </w:rPr>
        <w:t>income.</w:t>
      </w:r>
    </w:p>
    <w:p w14:paraId="741CC10F" w14:textId="77777777" w:rsidR="00084F36" w:rsidRPr="00EB2BD8" w:rsidRDefault="00084F36">
      <w:pPr>
        <w:pStyle w:val="BodyText"/>
        <w:rPr>
          <w:rFonts w:ascii="Arial"/>
        </w:rPr>
      </w:pPr>
    </w:p>
    <w:p w14:paraId="0E275B4E" w14:textId="77777777" w:rsidR="00084F36" w:rsidRPr="00EB2BD8" w:rsidRDefault="00EB2BD8" w:rsidP="001123D6">
      <w:pPr>
        <w:pStyle w:val="Heading2"/>
        <w:ind w:firstLine="205"/>
      </w:pPr>
      <w:bookmarkStart w:id="405" w:name="_Toc150762707"/>
      <w:r w:rsidRPr="00EB2BD8">
        <w:t>Supplies</w:t>
      </w:r>
      <w:r w:rsidRPr="00EB2BD8">
        <w:rPr>
          <w:spacing w:val="12"/>
        </w:rPr>
        <w:t xml:space="preserve"> </w:t>
      </w:r>
      <w:r w:rsidRPr="00EB2BD8">
        <w:t>and</w:t>
      </w:r>
      <w:r w:rsidRPr="00EB2BD8">
        <w:rPr>
          <w:spacing w:val="12"/>
        </w:rPr>
        <w:t xml:space="preserve"> </w:t>
      </w:r>
      <w:r w:rsidRPr="00EB2BD8">
        <w:rPr>
          <w:spacing w:val="-2"/>
        </w:rPr>
        <w:t>services</w:t>
      </w:r>
      <w:bookmarkEnd w:id="405"/>
    </w:p>
    <w:p w14:paraId="16E686BF" w14:textId="77777777" w:rsidR="00084F36" w:rsidRPr="00EB2BD8" w:rsidRDefault="00EB2BD8">
      <w:pPr>
        <w:spacing w:before="156" w:line="290" w:lineRule="auto"/>
        <w:ind w:left="1055" w:right="1813"/>
        <w:rPr>
          <w:rFonts w:ascii="Arial"/>
          <w:sz w:val="16"/>
        </w:rPr>
      </w:pPr>
      <w:r w:rsidRPr="00EB2BD8">
        <w:rPr>
          <w:rFonts w:ascii="Arial"/>
          <w:w w:val="105"/>
          <w:sz w:val="16"/>
        </w:rPr>
        <w:t>Supplies</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services</w:t>
      </w:r>
      <w:r w:rsidRPr="00EB2BD8">
        <w:rPr>
          <w:rFonts w:ascii="Arial"/>
          <w:spacing w:val="-3"/>
          <w:w w:val="105"/>
          <w:sz w:val="16"/>
        </w:rPr>
        <w:t xml:space="preserve"> </w:t>
      </w:r>
      <w:r w:rsidRPr="00EB2BD8">
        <w:rPr>
          <w:rFonts w:ascii="Arial"/>
          <w:w w:val="105"/>
          <w:sz w:val="16"/>
        </w:rPr>
        <w:t>generally</w:t>
      </w:r>
      <w:r w:rsidRPr="00EB2BD8">
        <w:rPr>
          <w:rFonts w:ascii="Arial"/>
          <w:spacing w:val="-3"/>
          <w:w w:val="105"/>
          <w:sz w:val="16"/>
        </w:rPr>
        <w:t xml:space="preserve"> </w:t>
      </w:r>
      <w:r w:rsidRPr="00EB2BD8">
        <w:rPr>
          <w:rFonts w:ascii="Arial"/>
          <w:w w:val="105"/>
          <w:sz w:val="16"/>
        </w:rPr>
        <w:t>represent</w:t>
      </w:r>
      <w:r w:rsidRPr="00EB2BD8">
        <w:rPr>
          <w:rFonts w:ascii="Arial"/>
          <w:spacing w:val="-3"/>
          <w:w w:val="105"/>
          <w:sz w:val="16"/>
        </w:rPr>
        <w:t xml:space="preserve"> </w:t>
      </w:r>
      <w:r w:rsidRPr="00EB2BD8">
        <w:rPr>
          <w:rFonts w:ascii="Arial"/>
          <w:w w:val="105"/>
          <w:sz w:val="16"/>
        </w:rPr>
        <w:t>cost</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goods</w:t>
      </w:r>
      <w:r w:rsidRPr="00EB2BD8">
        <w:rPr>
          <w:rFonts w:ascii="Arial"/>
          <w:spacing w:val="-3"/>
          <w:w w:val="105"/>
          <w:sz w:val="16"/>
        </w:rPr>
        <w:t xml:space="preserve"> </w:t>
      </w:r>
      <w:r w:rsidRPr="00EB2BD8">
        <w:rPr>
          <w:rFonts w:ascii="Arial"/>
          <w:w w:val="105"/>
          <w:sz w:val="16"/>
        </w:rPr>
        <w:t>sold</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day-to-day</w:t>
      </w:r>
      <w:r w:rsidRPr="00EB2BD8">
        <w:rPr>
          <w:rFonts w:ascii="Arial"/>
          <w:spacing w:val="-3"/>
          <w:w w:val="105"/>
          <w:sz w:val="16"/>
        </w:rPr>
        <w:t xml:space="preserve"> </w:t>
      </w:r>
      <w:r w:rsidRPr="00EB2BD8">
        <w:rPr>
          <w:rFonts w:ascii="Arial"/>
          <w:w w:val="105"/>
          <w:sz w:val="16"/>
        </w:rPr>
        <w:t>running</w:t>
      </w:r>
      <w:r w:rsidRPr="00EB2BD8">
        <w:rPr>
          <w:rFonts w:ascii="Arial"/>
          <w:spacing w:val="-2"/>
          <w:w w:val="105"/>
          <w:sz w:val="16"/>
        </w:rPr>
        <w:t xml:space="preserve"> </w:t>
      </w:r>
      <w:r w:rsidRPr="00EB2BD8">
        <w:rPr>
          <w:rFonts w:ascii="Arial"/>
          <w:w w:val="105"/>
          <w:sz w:val="16"/>
        </w:rPr>
        <w:t>costs,</w:t>
      </w:r>
      <w:r w:rsidRPr="00EB2BD8">
        <w:rPr>
          <w:rFonts w:ascii="Arial"/>
          <w:spacing w:val="-3"/>
          <w:w w:val="105"/>
          <w:sz w:val="16"/>
        </w:rPr>
        <w:t xml:space="preserve"> </w:t>
      </w:r>
      <w:r w:rsidRPr="00EB2BD8">
        <w:rPr>
          <w:rFonts w:ascii="Arial"/>
          <w:w w:val="105"/>
          <w:sz w:val="16"/>
        </w:rPr>
        <w:t>including</w:t>
      </w:r>
      <w:r w:rsidRPr="00EB2BD8">
        <w:rPr>
          <w:rFonts w:ascii="Arial"/>
          <w:spacing w:val="-3"/>
          <w:w w:val="105"/>
          <w:sz w:val="16"/>
        </w:rPr>
        <w:t xml:space="preserve"> </w:t>
      </w:r>
      <w:r w:rsidRPr="00EB2BD8">
        <w:rPr>
          <w:rFonts w:ascii="Arial"/>
          <w:w w:val="105"/>
          <w:sz w:val="16"/>
        </w:rPr>
        <w:t>maintenance costs, incurred in the normal operations of the VBA.</w:t>
      </w:r>
    </w:p>
    <w:p w14:paraId="24CC04D6" w14:textId="77777777" w:rsidR="00084F36" w:rsidRPr="00EB2BD8" w:rsidRDefault="00084F36">
      <w:pPr>
        <w:pStyle w:val="BodyText"/>
        <w:rPr>
          <w:rFonts w:ascii="Arial"/>
        </w:rPr>
      </w:pPr>
    </w:p>
    <w:p w14:paraId="41E2491A" w14:textId="77777777" w:rsidR="00084F36" w:rsidRPr="00EB2BD8" w:rsidRDefault="00EB2BD8" w:rsidP="001123D6">
      <w:pPr>
        <w:pStyle w:val="Heading2"/>
        <w:ind w:firstLine="205"/>
      </w:pPr>
      <w:bookmarkStart w:id="406" w:name="_Toc150762708"/>
      <w:r w:rsidRPr="00EB2BD8">
        <w:t>Transactions</w:t>
      </w:r>
      <w:bookmarkEnd w:id="406"/>
    </w:p>
    <w:p w14:paraId="211B4F9A" w14:textId="77777777" w:rsidR="00084F36" w:rsidRPr="00EB2BD8" w:rsidRDefault="00084F36">
      <w:pPr>
        <w:pStyle w:val="BodyText"/>
        <w:spacing w:before="3"/>
        <w:rPr>
          <w:rFonts w:ascii="Arial"/>
          <w:b/>
          <w:sz w:val="17"/>
        </w:rPr>
      </w:pPr>
    </w:p>
    <w:p w14:paraId="2FC982AA" w14:textId="77777777" w:rsidR="00084F36" w:rsidRPr="00EB2BD8" w:rsidRDefault="00EB2BD8">
      <w:pPr>
        <w:spacing w:before="1" w:line="326" w:lineRule="auto"/>
        <w:ind w:left="1055" w:right="1813"/>
        <w:rPr>
          <w:rFonts w:ascii="Arial"/>
          <w:sz w:val="16"/>
        </w:rPr>
      </w:pPr>
      <w:r w:rsidRPr="00EB2BD8">
        <w:rPr>
          <w:rFonts w:ascii="Arial"/>
          <w:w w:val="105"/>
          <w:sz w:val="16"/>
        </w:rPr>
        <w:t>Transactions are those economic flows that are considered to arise as a result of policy decisions, usually an interaction between two entities by mutual agreement. They also include flows in an entity such as depreciation where the owner is simultaneously acting as the owner of the depreciating asset and as the consumer of the service provided by the asset. Taxation</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regarded</w:t>
      </w:r>
      <w:r w:rsidRPr="00EB2BD8">
        <w:rPr>
          <w:rFonts w:ascii="Arial"/>
          <w:spacing w:val="-3"/>
          <w:w w:val="105"/>
          <w:sz w:val="16"/>
        </w:rPr>
        <w:t xml:space="preserve"> </w:t>
      </w:r>
      <w:r w:rsidRPr="00EB2BD8">
        <w:rPr>
          <w:rFonts w:ascii="Arial"/>
          <w:w w:val="105"/>
          <w:sz w:val="16"/>
        </w:rPr>
        <w:t>as</w:t>
      </w:r>
      <w:r w:rsidRPr="00EB2BD8">
        <w:rPr>
          <w:rFonts w:ascii="Arial"/>
          <w:spacing w:val="-3"/>
          <w:w w:val="105"/>
          <w:sz w:val="16"/>
        </w:rPr>
        <w:t xml:space="preserve"> </w:t>
      </w:r>
      <w:r w:rsidRPr="00EB2BD8">
        <w:rPr>
          <w:rFonts w:ascii="Arial"/>
          <w:w w:val="105"/>
          <w:sz w:val="16"/>
        </w:rPr>
        <w:t>mutually</w:t>
      </w:r>
      <w:r w:rsidRPr="00EB2BD8">
        <w:rPr>
          <w:rFonts w:ascii="Arial"/>
          <w:spacing w:val="-3"/>
          <w:w w:val="105"/>
          <w:sz w:val="16"/>
        </w:rPr>
        <w:t xml:space="preserve"> </w:t>
      </w:r>
      <w:r w:rsidRPr="00EB2BD8">
        <w:rPr>
          <w:rFonts w:ascii="Arial"/>
          <w:w w:val="105"/>
          <w:sz w:val="16"/>
        </w:rPr>
        <w:t>agreed</w:t>
      </w:r>
      <w:r w:rsidRPr="00EB2BD8">
        <w:rPr>
          <w:rFonts w:ascii="Arial"/>
          <w:spacing w:val="-3"/>
          <w:w w:val="105"/>
          <w:sz w:val="16"/>
        </w:rPr>
        <w:t xml:space="preserve"> </w:t>
      </w:r>
      <w:r w:rsidRPr="00EB2BD8">
        <w:rPr>
          <w:rFonts w:ascii="Arial"/>
          <w:w w:val="105"/>
          <w:sz w:val="16"/>
        </w:rPr>
        <w:t>interactions</w:t>
      </w:r>
      <w:r w:rsidRPr="00EB2BD8">
        <w:rPr>
          <w:rFonts w:ascii="Arial"/>
          <w:spacing w:val="-3"/>
          <w:w w:val="105"/>
          <w:sz w:val="16"/>
        </w:rPr>
        <w:t xml:space="preserve"> </w:t>
      </w:r>
      <w:r w:rsidRPr="00EB2BD8">
        <w:rPr>
          <w:rFonts w:ascii="Arial"/>
          <w:w w:val="105"/>
          <w:sz w:val="16"/>
        </w:rPr>
        <w:t>between</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government</w:t>
      </w:r>
      <w:r w:rsidRPr="00EB2BD8">
        <w:rPr>
          <w:rFonts w:ascii="Arial"/>
          <w:spacing w:val="-3"/>
          <w:w w:val="105"/>
          <w:sz w:val="16"/>
        </w:rPr>
        <w:t xml:space="preserve"> </w:t>
      </w:r>
      <w:r w:rsidRPr="00EB2BD8">
        <w:rPr>
          <w:rFonts w:ascii="Arial"/>
          <w:w w:val="105"/>
          <w:sz w:val="16"/>
        </w:rPr>
        <w:t>and</w:t>
      </w:r>
      <w:r w:rsidRPr="00EB2BD8">
        <w:rPr>
          <w:rFonts w:ascii="Arial"/>
          <w:spacing w:val="-3"/>
          <w:w w:val="105"/>
          <w:sz w:val="16"/>
        </w:rPr>
        <w:t xml:space="preserve"> </w:t>
      </w:r>
      <w:r w:rsidRPr="00EB2BD8">
        <w:rPr>
          <w:rFonts w:ascii="Arial"/>
          <w:w w:val="105"/>
          <w:sz w:val="16"/>
        </w:rPr>
        <w:t>taxpayers.</w:t>
      </w:r>
      <w:r w:rsidRPr="00EB2BD8">
        <w:rPr>
          <w:rFonts w:ascii="Arial"/>
          <w:spacing w:val="-3"/>
          <w:w w:val="105"/>
          <w:sz w:val="16"/>
        </w:rPr>
        <w:t xml:space="preserve"> </w:t>
      </w:r>
      <w:r w:rsidRPr="00EB2BD8">
        <w:rPr>
          <w:rFonts w:ascii="Arial"/>
          <w:w w:val="105"/>
          <w:sz w:val="16"/>
        </w:rPr>
        <w:t>Transactions</w:t>
      </w:r>
      <w:r w:rsidRPr="00EB2BD8">
        <w:rPr>
          <w:rFonts w:ascii="Arial"/>
          <w:spacing w:val="-3"/>
          <w:w w:val="105"/>
          <w:sz w:val="16"/>
        </w:rPr>
        <w:t xml:space="preserve"> </w:t>
      </w:r>
      <w:r w:rsidRPr="00EB2BD8">
        <w:rPr>
          <w:rFonts w:ascii="Arial"/>
          <w:w w:val="105"/>
          <w:sz w:val="16"/>
        </w:rPr>
        <w:t>can</w:t>
      </w:r>
      <w:r w:rsidRPr="00EB2BD8">
        <w:rPr>
          <w:rFonts w:ascii="Arial"/>
          <w:spacing w:val="-3"/>
          <w:w w:val="105"/>
          <w:sz w:val="16"/>
        </w:rPr>
        <w:t xml:space="preserve"> </w:t>
      </w:r>
      <w:r w:rsidRPr="00EB2BD8">
        <w:rPr>
          <w:rFonts w:ascii="Arial"/>
          <w:w w:val="105"/>
          <w:sz w:val="16"/>
        </w:rPr>
        <w:t>be</w:t>
      </w:r>
      <w:r w:rsidRPr="00EB2BD8">
        <w:rPr>
          <w:rFonts w:ascii="Arial"/>
          <w:spacing w:val="-3"/>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kind (e.g. assets provided/given free of charge or for nominal consideration) or where the final consideration is cash. In simple terms, transactions arise from the policy decisions of the government.</w:t>
      </w:r>
    </w:p>
    <w:p w14:paraId="60A684AE" w14:textId="77777777" w:rsidR="00084F36" w:rsidRPr="00EB2BD8" w:rsidRDefault="00084F36">
      <w:pPr>
        <w:pStyle w:val="BodyText"/>
        <w:rPr>
          <w:rFonts w:ascii="Arial"/>
        </w:rPr>
      </w:pPr>
    </w:p>
    <w:p w14:paraId="6F3CE7A4" w14:textId="77777777" w:rsidR="00084F36" w:rsidRPr="00EB2BD8" w:rsidRDefault="00084F36">
      <w:pPr>
        <w:pStyle w:val="BodyText"/>
        <w:spacing w:before="1"/>
        <w:rPr>
          <w:rFonts w:ascii="Arial"/>
          <w:sz w:val="22"/>
        </w:rPr>
      </w:pPr>
    </w:p>
    <w:p w14:paraId="0E8F7604" w14:textId="271A27F2" w:rsidR="00084F36" w:rsidRPr="0004531F" w:rsidRDefault="0004531F" w:rsidP="0004531F">
      <w:pPr>
        <w:pStyle w:val="Heading2"/>
      </w:pPr>
      <w:r>
        <w:t xml:space="preserve"> </w:t>
      </w:r>
      <w:bookmarkStart w:id="407" w:name="_Toc150762709"/>
      <w:r>
        <w:t>8.12 S</w:t>
      </w:r>
      <w:r w:rsidRPr="0004531F">
        <w:t>tyle</w:t>
      </w:r>
      <w:r w:rsidRPr="0004531F">
        <w:rPr>
          <w:spacing w:val="14"/>
        </w:rPr>
        <w:t xml:space="preserve"> </w:t>
      </w:r>
      <w:r w:rsidRPr="0004531F">
        <w:t>conventions</w:t>
      </w:r>
      <w:bookmarkEnd w:id="407"/>
    </w:p>
    <w:p w14:paraId="30AF3F9C" w14:textId="77777777" w:rsidR="00084F36" w:rsidRPr="00EB2BD8" w:rsidRDefault="00EB2BD8">
      <w:pPr>
        <w:spacing w:before="176" w:line="290" w:lineRule="auto"/>
        <w:ind w:left="1055" w:right="1813"/>
        <w:rPr>
          <w:rFonts w:ascii="Arial"/>
          <w:sz w:val="16"/>
        </w:rPr>
      </w:pPr>
      <w:r w:rsidRPr="00EB2BD8">
        <w:rPr>
          <w:rFonts w:ascii="Arial"/>
          <w:w w:val="105"/>
          <w:sz w:val="16"/>
        </w:rPr>
        <w:t>Figures</w:t>
      </w:r>
      <w:r w:rsidRPr="00EB2BD8">
        <w:rPr>
          <w:rFonts w:ascii="Arial"/>
          <w:spacing w:val="-2"/>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tables</w:t>
      </w:r>
      <w:r w:rsidRPr="00EB2BD8">
        <w:rPr>
          <w:rFonts w:ascii="Arial"/>
          <w:spacing w:val="-2"/>
          <w:w w:val="105"/>
          <w:sz w:val="16"/>
        </w:rPr>
        <w:t xml:space="preserve"> </w:t>
      </w:r>
      <w:r w:rsidRPr="00EB2BD8">
        <w:rPr>
          <w:rFonts w:ascii="Arial"/>
          <w:w w:val="105"/>
          <w:sz w:val="16"/>
        </w:rPr>
        <w:t>and</w:t>
      </w:r>
      <w:r w:rsidRPr="00EB2BD8">
        <w:rPr>
          <w:rFonts w:ascii="Arial"/>
          <w:spacing w:val="-2"/>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the</w:t>
      </w:r>
      <w:r w:rsidRPr="00EB2BD8">
        <w:rPr>
          <w:rFonts w:ascii="Arial"/>
          <w:spacing w:val="-2"/>
          <w:w w:val="105"/>
          <w:sz w:val="16"/>
        </w:rPr>
        <w:t xml:space="preserve"> </w:t>
      </w:r>
      <w:r w:rsidRPr="00EB2BD8">
        <w:rPr>
          <w:rFonts w:ascii="Arial"/>
          <w:w w:val="105"/>
          <w:sz w:val="16"/>
        </w:rPr>
        <w:t>text</w:t>
      </w:r>
      <w:r w:rsidRPr="00EB2BD8">
        <w:rPr>
          <w:rFonts w:ascii="Arial"/>
          <w:spacing w:val="-2"/>
          <w:w w:val="105"/>
          <w:sz w:val="16"/>
        </w:rPr>
        <w:t xml:space="preserve"> </w:t>
      </w:r>
      <w:r w:rsidRPr="00EB2BD8">
        <w:rPr>
          <w:rFonts w:ascii="Arial"/>
          <w:w w:val="105"/>
          <w:sz w:val="16"/>
        </w:rPr>
        <w:t>have</w:t>
      </w:r>
      <w:r w:rsidRPr="00EB2BD8">
        <w:rPr>
          <w:rFonts w:ascii="Arial"/>
          <w:spacing w:val="-2"/>
          <w:w w:val="105"/>
          <w:sz w:val="16"/>
        </w:rPr>
        <w:t xml:space="preserve"> </w:t>
      </w:r>
      <w:r w:rsidRPr="00EB2BD8">
        <w:rPr>
          <w:rFonts w:ascii="Arial"/>
          <w:w w:val="105"/>
          <w:sz w:val="16"/>
        </w:rPr>
        <w:t>been</w:t>
      </w:r>
      <w:r w:rsidRPr="00EB2BD8">
        <w:rPr>
          <w:rFonts w:ascii="Arial"/>
          <w:spacing w:val="-2"/>
          <w:w w:val="105"/>
          <w:sz w:val="16"/>
        </w:rPr>
        <w:t xml:space="preserve"> </w:t>
      </w:r>
      <w:r w:rsidRPr="00EB2BD8">
        <w:rPr>
          <w:rFonts w:ascii="Arial"/>
          <w:w w:val="105"/>
          <w:sz w:val="16"/>
        </w:rPr>
        <w:t>rounded.</w:t>
      </w:r>
      <w:r w:rsidRPr="00EB2BD8">
        <w:rPr>
          <w:rFonts w:ascii="Arial"/>
          <w:spacing w:val="-2"/>
          <w:w w:val="105"/>
          <w:sz w:val="16"/>
        </w:rPr>
        <w:t xml:space="preserve"> </w:t>
      </w:r>
      <w:r w:rsidRPr="00EB2BD8">
        <w:rPr>
          <w:rFonts w:ascii="Arial"/>
          <w:w w:val="105"/>
          <w:sz w:val="16"/>
        </w:rPr>
        <w:t>Discrepancies</w:t>
      </w:r>
      <w:r w:rsidRPr="00EB2BD8">
        <w:rPr>
          <w:rFonts w:ascii="Arial"/>
          <w:spacing w:val="-2"/>
          <w:w w:val="105"/>
          <w:sz w:val="16"/>
        </w:rPr>
        <w:t xml:space="preserve"> </w:t>
      </w:r>
      <w:r w:rsidRPr="00EB2BD8">
        <w:rPr>
          <w:rFonts w:ascii="Arial"/>
          <w:w w:val="105"/>
          <w:sz w:val="16"/>
        </w:rPr>
        <w:t>in</w:t>
      </w:r>
      <w:r w:rsidRPr="00EB2BD8">
        <w:rPr>
          <w:rFonts w:ascii="Arial"/>
          <w:spacing w:val="-2"/>
          <w:w w:val="105"/>
          <w:sz w:val="16"/>
        </w:rPr>
        <w:t xml:space="preserve"> </w:t>
      </w:r>
      <w:r w:rsidRPr="00EB2BD8">
        <w:rPr>
          <w:rFonts w:ascii="Arial"/>
          <w:w w:val="105"/>
          <w:sz w:val="16"/>
        </w:rPr>
        <w:t>tables</w:t>
      </w:r>
      <w:r w:rsidRPr="00EB2BD8">
        <w:rPr>
          <w:rFonts w:ascii="Arial"/>
          <w:spacing w:val="-2"/>
          <w:w w:val="105"/>
          <w:sz w:val="16"/>
        </w:rPr>
        <w:t xml:space="preserve"> </w:t>
      </w:r>
      <w:r w:rsidRPr="00EB2BD8">
        <w:rPr>
          <w:rFonts w:ascii="Arial"/>
          <w:w w:val="105"/>
          <w:sz w:val="16"/>
        </w:rPr>
        <w:t>between</w:t>
      </w:r>
      <w:r w:rsidRPr="00EB2BD8">
        <w:rPr>
          <w:rFonts w:ascii="Arial"/>
          <w:spacing w:val="-1"/>
          <w:w w:val="105"/>
          <w:sz w:val="16"/>
        </w:rPr>
        <w:t xml:space="preserve"> </w:t>
      </w:r>
      <w:r w:rsidRPr="00EB2BD8">
        <w:rPr>
          <w:rFonts w:ascii="Arial"/>
          <w:w w:val="105"/>
          <w:sz w:val="16"/>
        </w:rPr>
        <w:t>totals</w:t>
      </w:r>
      <w:r w:rsidRPr="00EB2BD8">
        <w:rPr>
          <w:rFonts w:ascii="Arial"/>
          <w:spacing w:val="-2"/>
          <w:w w:val="105"/>
          <w:sz w:val="16"/>
        </w:rPr>
        <w:t xml:space="preserve"> </w:t>
      </w:r>
      <w:r w:rsidRPr="00EB2BD8">
        <w:rPr>
          <w:rFonts w:ascii="Arial"/>
          <w:w w:val="105"/>
          <w:sz w:val="16"/>
        </w:rPr>
        <w:t>and</w:t>
      </w:r>
      <w:r w:rsidRPr="00EB2BD8">
        <w:rPr>
          <w:rFonts w:ascii="Arial"/>
          <w:spacing w:val="-2"/>
          <w:w w:val="105"/>
          <w:sz w:val="16"/>
        </w:rPr>
        <w:t xml:space="preserve"> </w:t>
      </w:r>
      <w:r w:rsidRPr="00EB2BD8">
        <w:rPr>
          <w:rFonts w:ascii="Arial"/>
          <w:w w:val="105"/>
          <w:sz w:val="16"/>
        </w:rPr>
        <w:t>sums</w:t>
      </w:r>
      <w:r w:rsidRPr="00EB2BD8">
        <w:rPr>
          <w:rFonts w:ascii="Arial"/>
          <w:spacing w:val="-2"/>
          <w:w w:val="105"/>
          <w:sz w:val="16"/>
        </w:rPr>
        <w:t xml:space="preserve"> </w:t>
      </w:r>
      <w:r w:rsidRPr="00EB2BD8">
        <w:rPr>
          <w:rFonts w:ascii="Arial"/>
          <w:w w:val="105"/>
          <w:sz w:val="16"/>
        </w:rPr>
        <w:t>of</w:t>
      </w:r>
      <w:r w:rsidRPr="00EB2BD8">
        <w:rPr>
          <w:rFonts w:ascii="Arial"/>
          <w:spacing w:val="-2"/>
          <w:w w:val="105"/>
          <w:sz w:val="16"/>
        </w:rPr>
        <w:t xml:space="preserve"> </w:t>
      </w:r>
      <w:r w:rsidRPr="00EB2BD8">
        <w:rPr>
          <w:rFonts w:ascii="Arial"/>
          <w:w w:val="105"/>
          <w:sz w:val="16"/>
        </w:rPr>
        <w:t>components reflect rounding. Percentage variations in all tables are based on the underlying unrounded amounts.</w:t>
      </w:r>
    </w:p>
    <w:p w14:paraId="4E281A70" w14:textId="77777777" w:rsidR="00084F36" w:rsidRPr="00EB2BD8" w:rsidRDefault="00EB2BD8">
      <w:pPr>
        <w:spacing w:line="183" w:lineRule="exact"/>
        <w:ind w:left="1055"/>
        <w:rPr>
          <w:rFonts w:ascii="Arial"/>
          <w:sz w:val="16"/>
        </w:rPr>
      </w:pPr>
      <w:r w:rsidRPr="00EB2BD8">
        <w:rPr>
          <w:rFonts w:ascii="Arial"/>
          <w:w w:val="105"/>
          <w:sz w:val="16"/>
        </w:rPr>
        <w:t>The</w:t>
      </w:r>
      <w:r w:rsidRPr="00EB2BD8">
        <w:rPr>
          <w:rFonts w:ascii="Arial"/>
          <w:spacing w:val="-5"/>
          <w:w w:val="105"/>
          <w:sz w:val="16"/>
        </w:rPr>
        <w:t xml:space="preserve"> </w:t>
      </w:r>
      <w:r w:rsidRPr="00EB2BD8">
        <w:rPr>
          <w:rFonts w:ascii="Arial"/>
          <w:w w:val="105"/>
          <w:sz w:val="16"/>
        </w:rPr>
        <w:t>notation</w:t>
      </w:r>
      <w:r w:rsidRPr="00EB2BD8">
        <w:rPr>
          <w:rFonts w:ascii="Arial"/>
          <w:spacing w:val="-5"/>
          <w:w w:val="105"/>
          <w:sz w:val="16"/>
        </w:rPr>
        <w:t xml:space="preserve"> </w:t>
      </w:r>
      <w:r w:rsidRPr="00EB2BD8">
        <w:rPr>
          <w:rFonts w:ascii="Arial"/>
          <w:w w:val="105"/>
          <w:sz w:val="16"/>
        </w:rPr>
        <w:t>used</w:t>
      </w:r>
      <w:r w:rsidRPr="00EB2BD8">
        <w:rPr>
          <w:rFonts w:ascii="Arial"/>
          <w:spacing w:val="-4"/>
          <w:w w:val="105"/>
          <w:sz w:val="16"/>
        </w:rPr>
        <w:t xml:space="preserve"> </w:t>
      </w:r>
      <w:r w:rsidRPr="00EB2BD8">
        <w:rPr>
          <w:rFonts w:ascii="Arial"/>
          <w:w w:val="105"/>
          <w:sz w:val="16"/>
        </w:rPr>
        <w:t>in</w:t>
      </w:r>
      <w:r w:rsidRPr="00EB2BD8">
        <w:rPr>
          <w:rFonts w:ascii="Arial"/>
          <w:spacing w:val="-5"/>
          <w:w w:val="105"/>
          <w:sz w:val="16"/>
        </w:rPr>
        <w:t xml:space="preserve"> </w:t>
      </w:r>
      <w:r w:rsidRPr="00EB2BD8">
        <w:rPr>
          <w:rFonts w:ascii="Arial"/>
          <w:w w:val="105"/>
          <w:sz w:val="16"/>
        </w:rPr>
        <w:t>the</w:t>
      </w:r>
      <w:r w:rsidRPr="00EB2BD8">
        <w:rPr>
          <w:rFonts w:ascii="Arial"/>
          <w:spacing w:val="-4"/>
          <w:w w:val="105"/>
          <w:sz w:val="16"/>
        </w:rPr>
        <w:t xml:space="preserve"> </w:t>
      </w:r>
      <w:r w:rsidRPr="00EB2BD8">
        <w:rPr>
          <w:rFonts w:ascii="Arial"/>
          <w:w w:val="105"/>
          <w:sz w:val="16"/>
        </w:rPr>
        <w:t>tables</w:t>
      </w:r>
      <w:r w:rsidRPr="00EB2BD8">
        <w:rPr>
          <w:rFonts w:ascii="Arial"/>
          <w:spacing w:val="-5"/>
          <w:w w:val="105"/>
          <w:sz w:val="16"/>
        </w:rPr>
        <w:t xml:space="preserve"> </w:t>
      </w:r>
      <w:r w:rsidRPr="00EB2BD8">
        <w:rPr>
          <w:rFonts w:ascii="Arial"/>
          <w:w w:val="105"/>
          <w:sz w:val="16"/>
        </w:rPr>
        <w:t>is</w:t>
      </w:r>
      <w:r w:rsidRPr="00EB2BD8">
        <w:rPr>
          <w:rFonts w:ascii="Arial"/>
          <w:spacing w:val="-4"/>
          <w:w w:val="105"/>
          <w:sz w:val="16"/>
        </w:rPr>
        <w:t xml:space="preserve"> </w:t>
      </w:r>
      <w:r w:rsidRPr="00EB2BD8">
        <w:rPr>
          <w:rFonts w:ascii="Arial"/>
          <w:w w:val="105"/>
          <w:sz w:val="16"/>
        </w:rPr>
        <w:t>as</w:t>
      </w:r>
      <w:r w:rsidRPr="00EB2BD8">
        <w:rPr>
          <w:rFonts w:ascii="Arial"/>
          <w:spacing w:val="-5"/>
          <w:w w:val="105"/>
          <w:sz w:val="16"/>
        </w:rPr>
        <w:t xml:space="preserve"> </w:t>
      </w:r>
      <w:r w:rsidRPr="00EB2BD8">
        <w:rPr>
          <w:rFonts w:ascii="Arial"/>
          <w:spacing w:val="-2"/>
          <w:w w:val="105"/>
          <w:sz w:val="16"/>
        </w:rPr>
        <w:t>follows:</w:t>
      </w:r>
    </w:p>
    <w:p w14:paraId="738B2190" w14:textId="77777777" w:rsidR="00084F36" w:rsidRPr="00EB2BD8" w:rsidRDefault="00084F36">
      <w:pPr>
        <w:pStyle w:val="BodyText"/>
        <w:spacing w:before="2"/>
        <w:rPr>
          <w:rFonts w:ascii="Arial"/>
          <w:sz w:val="15"/>
        </w:rPr>
      </w:pPr>
    </w:p>
    <w:p w14:paraId="3B937A36" w14:textId="77777777" w:rsidR="00084F36" w:rsidRPr="00EB2BD8" w:rsidRDefault="00EB2BD8">
      <w:pPr>
        <w:tabs>
          <w:tab w:val="left" w:pos="2174"/>
        </w:tabs>
        <w:spacing w:line="465" w:lineRule="auto"/>
        <w:ind w:left="1616" w:right="7936"/>
        <w:rPr>
          <w:rFonts w:ascii="Arial"/>
          <w:sz w:val="16"/>
        </w:rPr>
      </w:pPr>
      <w:r w:rsidRPr="00EB2BD8">
        <w:rPr>
          <w:rFonts w:ascii="Arial"/>
          <w:spacing w:val="-6"/>
          <w:w w:val="105"/>
          <w:sz w:val="16"/>
        </w:rPr>
        <w:t>..</w:t>
      </w:r>
      <w:r w:rsidRPr="00EB2BD8">
        <w:rPr>
          <w:rFonts w:ascii="Arial"/>
          <w:sz w:val="16"/>
        </w:rPr>
        <w:tab/>
      </w:r>
      <w:r w:rsidRPr="00EB2BD8">
        <w:rPr>
          <w:rFonts w:ascii="Arial"/>
          <w:w w:val="105"/>
          <w:sz w:val="16"/>
        </w:rPr>
        <w:t>zero,</w:t>
      </w:r>
      <w:r w:rsidRPr="00EB2BD8">
        <w:rPr>
          <w:rFonts w:ascii="Arial"/>
          <w:spacing w:val="-9"/>
          <w:w w:val="105"/>
          <w:sz w:val="16"/>
        </w:rPr>
        <w:t xml:space="preserve"> </w:t>
      </w:r>
      <w:r w:rsidRPr="00EB2BD8">
        <w:rPr>
          <w:rFonts w:ascii="Arial"/>
          <w:w w:val="105"/>
          <w:sz w:val="16"/>
        </w:rPr>
        <w:t>or</w:t>
      </w:r>
      <w:r w:rsidRPr="00EB2BD8">
        <w:rPr>
          <w:rFonts w:ascii="Arial"/>
          <w:spacing w:val="-9"/>
          <w:w w:val="105"/>
          <w:sz w:val="16"/>
        </w:rPr>
        <w:t xml:space="preserve"> </w:t>
      </w:r>
      <w:r w:rsidRPr="00EB2BD8">
        <w:rPr>
          <w:rFonts w:ascii="Arial"/>
          <w:w w:val="105"/>
          <w:sz w:val="16"/>
        </w:rPr>
        <w:t>rounded</w:t>
      </w:r>
      <w:r w:rsidRPr="00EB2BD8">
        <w:rPr>
          <w:rFonts w:ascii="Arial"/>
          <w:spacing w:val="-9"/>
          <w:w w:val="105"/>
          <w:sz w:val="16"/>
        </w:rPr>
        <w:t xml:space="preserve"> </w:t>
      </w:r>
      <w:r w:rsidRPr="00EB2BD8">
        <w:rPr>
          <w:rFonts w:ascii="Arial"/>
          <w:w w:val="105"/>
          <w:sz w:val="16"/>
        </w:rPr>
        <w:t>to</w:t>
      </w:r>
      <w:r w:rsidRPr="00EB2BD8">
        <w:rPr>
          <w:rFonts w:ascii="Arial"/>
          <w:spacing w:val="-9"/>
          <w:w w:val="105"/>
          <w:sz w:val="16"/>
        </w:rPr>
        <w:t xml:space="preserve"> </w:t>
      </w:r>
      <w:r w:rsidRPr="00EB2BD8">
        <w:rPr>
          <w:rFonts w:ascii="Arial"/>
          <w:w w:val="105"/>
          <w:sz w:val="16"/>
        </w:rPr>
        <w:t>zero (xxx.x)</w:t>
      </w:r>
      <w:r w:rsidRPr="00EB2BD8">
        <w:rPr>
          <w:rFonts w:ascii="Arial"/>
          <w:spacing w:val="40"/>
          <w:w w:val="105"/>
          <w:sz w:val="16"/>
        </w:rPr>
        <w:t xml:space="preserve"> </w:t>
      </w:r>
      <w:r w:rsidRPr="00EB2BD8">
        <w:rPr>
          <w:rFonts w:ascii="Arial"/>
          <w:w w:val="105"/>
          <w:sz w:val="16"/>
        </w:rPr>
        <w:t>negative numbers</w:t>
      </w:r>
    </w:p>
    <w:p w14:paraId="23C44ED9" w14:textId="77777777" w:rsidR="00084F36" w:rsidRPr="00EB2BD8" w:rsidRDefault="00EB2BD8">
      <w:pPr>
        <w:tabs>
          <w:tab w:val="left" w:pos="2212"/>
        </w:tabs>
        <w:spacing w:before="2" w:line="465" w:lineRule="auto"/>
        <w:ind w:left="1616" w:right="8804"/>
        <w:rPr>
          <w:rFonts w:ascii="Arial"/>
          <w:sz w:val="16"/>
        </w:rPr>
      </w:pPr>
      <w:r w:rsidRPr="00EB2BD8">
        <w:rPr>
          <w:rFonts w:ascii="Arial"/>
          <w:spacing w:val="-4"/>
          <w:w w:val="105"/>
          <w:sz w:val="16"/>
        </w:rPr>
        <w:t>200x</w:t>
      </w:r>
      <w:r w:rsidRPr="00EB2BD8">
        <w:rPr>
          <w:rFonts w:ascii="Arial"/>
          <w:sz w:val="16"/>
        </w:rPr>
        <w:tab/>
      </w:r>
      <w:r w:rsidRPr="00EB2BD8">
        <w:rPr>
          <w:rFonts w:ascii="Arial"/>
          <w:w w:val="105"/>
          <w:sz w:val="16"/>
        </w:rPr>
        <w:t>year period 200x-0x</w:t>
      </w:r>
      <w:r w:rsidRPr="00EB2BD8">
        <w:rPr>
          <w:rFonts w:ascii="Arial"/>
          <w:spacing w:val="-12"/>
          <w:w w:val="105"/>
          <w:sz w:val="16"/>
        </w:rPr>
        <w:t xml:space="preserve"> </w:t>
      </w:r>
      <w:r w:rsidRPr="00EB2BD8">
        <w:rPr>
          <w:rFonts w:ascii="Arial"/>
          <w:w w:val="105"/>
          <w:sz w:val="16"/>
        </w:rPr>
        <w:t>year</w:t>
      </w:r>
      <w:r w:rsidRPr="00EB2BD8">
        <w:rPr>
          <w:rFonts w:ascii="Arial"/>
          <w:spacing w:val="-12"/>
          <w:w w:val="105"/>
          <w:sz w:val="16"/>
        </w:rPr>
        <w:t xml:space="preserve"> </w:t>
      </w:r>
      <w:r w:rsidRPr="00EB2BD8">
        <w:rPr>
          <w:rFonts w:ascii="Arial"/>
          <w:w w:val="105"/>
          <w:sz w:val="16"/>
        </w:rPr>
        <w:t>period</w:t>
      </w:r>
    </w:p>
    <w:p w14:paraId="3D119D85" w14:textId="77777777" w:rsidR="00084F36" w:rsidRPr="00EB2BD8" w:rsidRDefault="00EB2BD8">
      <w:pPr>
        <w:spacing w:before="1" w:line="271" w:lineRule="auto"/>
        <w:ind w:left="1054" w:right="2003"/>
        <w:jc w:val="both"/>
        <w:rPr>
          <w:rFonts w:ascii="Arial" w:hAnsi="Arial"/>
          <w:sz w:val="16"/>
        </w:rPr>
      </w:pP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financial</w:t>
      </w:r>
      <w:r w:rsidRPr="00EB2BD8">
        <w:rPr>
          <w:rFonts w:ascii="Arial" w:hAnsi="Arial"/>
          <w:spacing w:val="-2"/>
          <w:w w:val="105"/>
          <w:sz w:val="16"/>
        </w:rPr>
        <w:t xml:space="preserve"> </w:t>
      </w:r>
      <w:r w:rsidRPr="00EB2BD8">
        <w:rPr>
          <w:rFonts w:ascii="Arial" w:hAnsi="Arial"/>
          <w:w w:val="105"/>
          <w:sz w:val="16"/>
        </w:rPr>
        <w:t>statements</w:t>
      </w:r>
      <w:r w:rsidRPr="00EB2BD8">
        <w:rPr>
          <w:rFonts w:ascii="Arial" w:hAnsi="Arial"/>
          <w:spacing w:val="-2"/>
          <w:w w:val="105"/>
          <w:sz w:val="16"/>
        </w:rPr>
        <w:t xml:space="preserve"> </w:t>
      </w:r>
      <w:r w:rsidRPr="00EB2BD8">
        <w:rPr>
          <w:rFonts w:ascii="Arial" w:hAnsi="Arial"/>
          <w:w w:val="105"/>
          <w:sz w:val="16"/>
        </w:rPr>
        <w:t>and</w:t>
      </w:r>
      <w:r w:rsidRPr="00EB2BD8">
        <w:rPr>
          <w:rFonts w:ascii="Arial" w:hAnsi="Arial"/>
          <w:spacing w:val="-1"/>
          <w:w w:val="105"/>
          <w:sz w:val="16"/>
        </w:rPr>
        <w:t xml:space="preserve"> </w:t>
      </w:r>
      <w:r w:rsidRPr="00EB2BD8">
        <w:rPr>
          <w:rFonts w:ascii="Arial" w:hAnsi="Arial"/>
          <w:w w:val="105"/>
          <w:sz w:val="16"/>
        </w:rPr>
        <w:t>notes</w:t>
      </w:r>
      <w:r w:rsidRPr="00EB2BD8">
        <w:rPr>
          <w:rFonts w:ascii="Arial" w:hAnsi="Arial"/>
          <w:spacing w:val="-2"/>
          <w:w w:val="105"/>
          <w:sz w:val="16"/>
        </w:rPr>
        <w:t xml:space="preserve"> </w:t>
      </w:r>
      <w:r w:rsidRPr="00EB2BD8">
        <w:rPr>
          <w:rFonts w:ascii="Arial" w:hAnsi="Arial"/>
          <w:w w:val="105"/>
          <w:sz w:val="16"/>
        </w:rPr>
        <w:t>are</w:t>
      </w:r>
      <w:r w:rsidRPr="00EB2BD8">
        <w:rPr>
          <w:rFonts w:ascii="Arial" w:hAnsi="Arial"/>
          <w:spacing w:val="-2"/>
          <w:w w:val="105"/>
          <w:sz w:val="16"/>
        </w:rPr>
        <w:t xml:space="preserve"> </w:t>
      </w:r>
      <w:r w:rsidRPr="00EB2BD8">
        <w:rPr>
          <w:rFonts w:ascii="Arial" w:hAnsi="Arial"/>
          <w:w w:val="105"/>
          <w:sz w:val="16"/>
        </w:rPr>
        <w:t>presented</w:t>
      </w:r>
      <w:r w:rsidRPr="00EB2BD8">
        <w:rPr>
          <w:rFonts w:ascii="Arial" w:hAnsi="Arial"/>
          <w:spacing w:val="-2"/>
          <w:w w:val="105"/>
          <w:sz w:val="16"/>
        </w:rPr>
        <w:t xml:space="preserve"> </w:t>
      </w:r>
      <w:r w:rsidRPr="00EB2BD8">
        <w:rPr>
          <w:rFonts w:ascii="Arial" w:hAnsi="Arial"/>
          <w:w w:val="105"/>
          <w:sz w:val="16"/>
        </w:rPr>
        <w:t>based</w:t>
      </w:r>
      <w:r w:rsidRPr="00EB2BD8">
        <w:rPr>
          <w:rFonts w:ascii="Arial" w:hAnsi="Arial"/>
          <w:spacing w:val="-2"/>
          <w:w w:val="105"/>
          <w:sz w:val="16"/>
        </w:rPr>
        <w:t xml:space="preserve"> </w:t>
      </w:r>
      <w:r w:rsidRPr="00EB2BD8">
        <w:rPr>
          <w:rFonts w:ascii="Arial" w:hAnsi="Arial"/>
          <w:w w:val="105"/>
          <w:sz w:val="16"/>
        </w:rPr>
        <w:t>on</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illustration</w:t>
      </w:r>
      <w:r w:rsidRPr="00EB2BD8">
        <w:rPr>
          <w:rFonts w:ascii="Arial" w:hAnsi="Arial"/>
          <w:spacing w:val="-2"/>
          <w:w w:val="105"/>
          <w:sz w:val="16"/>
        </w:rPr>
        <w:t xml:space="preserve"> </w:t>
      </w:r>
      <w:r w:rsidRPr="00EB2BD8">
        <w:rPr>
          <w:rFonts w:ascii="Arial" w:hAnsi="Arial"/>
          <w:w w:val="105"/>
          <w:sz w:val="16"/>
        </w:rPr>
        <w:t>for</w:t>
      </w:r>
      <w:r w:rsidRPr="00EB2BD8">
        <w:rPr>
          <w:rFonts w:ascii="Arial" w:hAnsi="Arial"/>
          <w:spacing w:val="-2"/>
          <w:w w:val="105"/>
          <w:sz w:val="16"/>
        </w:rPr>
        <w:t xml:space="preserve"> </w:t>
      </w:r>
      <w:r w:rsidRPr="00EB2BD8">
        <w:rPr>
          <w:rFonts w:ascii="Arial" w:hAnsi="Arial"/>
          <w:w w:val="105"/>
          <w:sz w:val="16"/>
        </w:rPr>
        <w:t>a</w:t>
      </w:r>
      <w:r w:rsidRPr="00EB2BD8">
        <w:rPr>
          <w:rFonts w:ascii="Arial" w:hAnsi="Arial"/>
          <w:spacing w:val="-2"/>
          <w:w w:val="105"/>
          <w:sz w:val="16"/>
        </w:rPr>
        <w:t xml:space="preserve"> </w:t>
      </w:r>
      <w:r w:rsidRPr="00EB2BD8">
        <w:rPr>
          <w:rFonts w:ascii="Arial" w:hAnsi="Arial"/>
          <w:w w:val="105"/>
          <w:sz w:val="16"/>
        </w:rPr>
        <w:t>government</w:t>
      </w:r>
      <w:r w:rsidRPr="00EB2BD8">
        <w:rPr>
          <w:rFonts w:ascii="Arial" w:hAnsi="Arial"/>
          <w:spacing w:val="-2"/>
          <w:w w:val="105"/>
          <w:sz w:val="16"/>
        </w:rPr>
        <w:t xml:space="preserve"> </w:t>
      </w:r>
      <w:r w:rsidRPr="00EB2BD8">
        <w:rPr>
          <w:rFonts w:ascii="Arial" w:hAnsi="Arial"/>
          <w:w w:val="105"/>
          <w:sz w:val="16"/>
        </w:rPr>
        <w:t>department</w:t>
      </w:r>
      <w:r w:rsidRPr="00EB2BD8">
        <w:rPr>
          <w:rFonts w:ascii="Arial" w:hAnsi="Arial"/>
          <w:spacing w:val="-2"/>
          <w:w w:val="105"/>
          <w:sz w:val="16"/>
        </w:rPr>
        <w:t xml:space="preserve"> </w:t>
      </w:r>
      <w:r w:rsidRPr="00EB2BD8">
        <w:rPr>
          <w:rFonts w:ascii="Arial" w:hAnsi="Arial"/>
          <w:w w:val="105"/>
          <w:sz w:val="16"/>
        </w:rPr>
        <w:t>in</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2022-23 Model</w:t>
      </w:r>
      <w:r w:rsidRPr="00EB2BD8">
        <w:rPr>
          <w:rFonts w:ascii="Arial" w:hAnsi="Arial"/>
          <w:spacing w:val="-2"/>
          <w:w w:val="105"/>
          <w:sz w:val="16"/>
        </w:rPr>
        <w:t xml:space="preserve"> </w:t>
      </w:r>
      <w:r w:rsidRPr="00EB2BD8">
        <w:rPr>
          <w:rFonts w:ascii="Arial" w:hAnsi="Arial"/>
          <w:w w:val="105"/>
          <w:sz w:val="16"/>
        </w:rPr>
        <w:t>Report</w:t>
      </w:r>
      <w:r w:rsidRPr="00EB2BD8">
        <w:rPr>
          <w:rFonts w:ascii="Arial" w:hAnsi="Arial"/>
          <w:spacing w:val="-2"/>
          <w:w w:val="105"/>
          <w:sz w:val="16"/>
        </w:rPr>
        <w:t xml:space="preserve"> </w:t>
      </w:r>
      <w:r w:rsidRPr="00EB2BD8">
        <w:rPr>
          <w:rFonts w:ascii="Arial" w:hAnsi="Arial"/>
          <w:w w:val="105"/>
          <w:sz w:val="16"/>
        </w:rPr>
        <w:t>for</w:t>
      </w:r>
      <w:r w:rsidRPr="00EB2BD8">
        <w:rPr>
          <w:rFonts w:ascii="Arial" w:hAnsi="Arial"/>
          <w:spacing w:val="-2"/>
          <w:w w:val="105"/>
          <w:sz w:val="16"/>
        </w:rPr>
        <w:t xml:space="preserve"> </w:t>
      </w:r>
      <w:r w:rsidRPr="00EB2BD8">
        <w:rPr>
          <w:rFonts w:ascii="Arial" w:hAnsi="Arial"/>
          <w:w w:val="105"/>
          <w:sz w:val="16"/>
        </w:rPr>
        <w:t>Victorian</w:t>
      </w:r>
      <w:r w:rsidRPr="00EB2BD8">
        <w:rPr>
          <w:rFonts w:ascii="Arial" w:hAnsi="Arial"/>
          <w:spacing w:val="-2"/>
          <w:w w:val="105"/>
          <w:sz w:val="16"/>
        </w:rPr>
        <w:t xml:space="preserve"> </w:t>
      </w:r>
      <w:r w:rsidRPr="00EB2BD8">
        <w:rPr>
          <w:rFonts w:ascii="Arial" w:hAnsi="Arial"/>
          <w:w w:val="105"/>
          <w:sz w:val="16"/>
        </w:rPr>
        <w:t>Government</w:t>
      </w:r>
      <w:r w:rsidRPr="00EB2BD8">
        <w:rPr>
          <w:rFonts w:ascii="Arial" w:hAnsi="Arial"/>
          <w:spacing w:val="-2"/>
          <w:w w:val="105"/>
          <w:sz w:val="16"/>
        </w:rPr>
        <w:t xml:space="preserve"> </w:t>
      </w:r>
      <w:r w:rsidRPr="00EB2BD8">
        <w:rPr>
          <w:rFonts w:ascii="Arial" w:hAnsi="Arial"/>
          <w:w w:val="105"/>
          <w:sz w:val="16"/>
        </w:rPr>
        <w:t>Departments.</w:t>
      </w:r>
      <w:r w:rsidRPr="00EB2BD8">
        <w:rPr>
          <w:rFonts w:ascii="Arial" w:hAnsi="Arial"/>
          <w:spacing w:val="-2"/>
          <w:w w:val="105"/>
          <w:sz w:val="16"/>
        </w:rPr>
        <w:t xml:space="preserve"> </w:t>
      </w:r>
      <w:r w:rsidRPr="00EB2BD8">
        <w:rPr>
          <w:rFonts w:ascii="Arial" w:hAnsi="Arial"/>
          <w:w w:val="105"/>
          <w:sz w:val="16"/>
        </w:rPr>
        <w:t>The</w:t>
      </w:r>
      <w:r w:rsidRPr="00EB2BD8">
        <w:rPr>
          <w:rFonts w:ascii="Arial" w:hAnsi="Arial"/>
          <w:spacing w:val="-2"/>
          <w:w w:val="105"/>
          <w:sz w:val="16"/>
        </w:rPr>
        <w:t xml:space="preserve"> </w:t>
      </w:r>
      <w:r w:rsidRPr="00EB2BD8">
        <w:rPr>
          <w:rFonts w:ascii="Arial" w:hAnsi="Arial"/>
          <w:w w:val="105"/>
          <w:sz w:val="16"/>
        </w:rPr>
        <w:t>presentation</w:t>
      </w:r>
      <w:r w:rsidRPr="00EB2BD8">
        <w:rPr>
          <w:rFonts w:ascii="Arial" w:hAnsi="Arial"/>
          <w:spacing w:val="-2"/>
          <w:w w:val="105"/>
          <w:sz w:val="16"/>
        </w:rPr>
        <w:t xml:space="preserve"> </w:t>
      </w:r>
      <w:r w:rsidRPr="00EB2BD8">
        <w:rPr>
          <w:rFonts w:ascii="Arial" w:hAnsi="Arial"/>
          <w:w w:val="105"/>
          <w:sz w:val="16"/>
        </w:rPr>
        <w:t>of</w:t>
      </w:r>
      <w:r w:rsidRPr="00EB2BD8">
        <w:rPr>
          <w:rFonts w:ascii="Arial" w:hAnsi="Arial"/>
          <w:spacing w:val="-2"/>
          <w:w w:val="105"/>
          <w:sz w:val="16"/>
        </w:rPr>
        <w:t xml:space="preserve"> </w:t>
      </w:r>
      <w:r w:rsidRPr="00EB2BD8">
        <w:rPr>
          <w:rFonts w:ascii="Arial" w:hAnsi="Arial"/>
          <w:w w:val="105"/>
          <w:sz w:val="16"/>
        </w:rPr>
        <w:t>other</w:t>
      </w:r>
      <w:r w:rsidRPr="00EB2BD8">
        <w:rPr>
          <w:rFonts w:ascii="Arial" w:hAnsi="Arial"/>
          <w:spacing w:val="-2"/>
          <w:w w:val="105"/>
          <w:sz w:val="16"/>
        </w:rPr>
        <w:t xml:space="preserve"> </w:t>
      </w:r>
      <w:r w:rsidRPr="00EB2BD8">
        <w:rPr>
          <w:rFonts w:ascii="Arial" w:hAnsi="Arial"/>
          <w:w w:val="105"/>
          <w:sz w:val="16"/>
        </w:rPr>
        <w:t>disclosures</w:t>
      </w:r>
      <w:r w:rsidRPr="00EB2BD8">
        <w:rPr>
          <w:rFonts w:ascii="Arial" w:hAnsi="Arial"/>
          <w:spacing w:val="-2"/>
          <w:w w:val="105"/>
          <w:sz w:val="16"/>
        </w:rPr>
        <w:t xml:space="preserve"> </w:t>
      </w:r>
      <w:r w:rsidRPr="00EB2BD8">
        <w:rPr>
          <w:rFonts w:ascii="Arial" w:hAnsi="Arial"/>
          <w:w w:val="105"/>
          <w:sz w:val="16"/>
        </w:rPr>
        <w:t>is</w:t>
      </w:r>
      <w:r w:rsidRPr="00EB2BD8">
        <w:rPr>
          <w:rFonts w:ascii="Arial" w:hAnsi="Arial"/>
          <w:spacing w:val="-2"/>
          <w:w w:val="105"/>
          <w:sz w:val="16"/>
        </w:rPr>
        <w:t xml:space="preserve"> </w:t>
      </w:r>
      <w:r w:rsidRPr="00EB2BD8">
        <w:rPr>
          <w:rFonts w:ascii="Arial" w:hAnsi="Arial"/>
          <w:w w:val="105"/>
          <w:sz w:val="16"/>
        </w:rPr>
        <w:t>generally</w:t>
      </w:r>
      <w:r w:rsidRPr="00EB2BD8">
        <w:rPr>
          <w:rFonts w:ascii="Arial" w:hAnsi="Arial"/>
          <w:spacing w:val="-2"/>
          <w:w w:val="105"/>
          <w:sz w:val="16"/>
        </w:rPr>
        <w:t xml:space="preserve"> </w:t>
      </w:r>
      <w:r w:rsidRPr="00EB2BD8">
        <w:rPr>
          <w:rFonts w:ascii="Arial" w:hAnsi="Arial"/>
          <w:w w:val="105"/>
          <w:sz w:val="16"/>
        </w:rPr>
        <w:t>consistent</w:t>
      </w:r>
      <w:r w:rsidRPr="00EB2BD8">
        <w:rPr>
          <w:rFonts w:ascii="Arial" w:hAnsi="Arial"/>
          <w:spacing w:val="-2"/>
          <w:w w:val="105"/>
          <w:sz w:val="16"/>
        </w:rPr>
        <w:t xml:space="preserve"> </w:t>
      </w:r>
      <w:r w:rsidRPr="00EB2BD8">
        <w:rPr>
          <w:rFonts w:ascii="Arial" w:hAnsi="Arial"/>
          <w:w w:val="105"/>
          <w:sz w:val="16"/>
        </w:rPr>
        <w:t>with the other disclosures made in earlier publications of VBA’s annual reports.</w:t>
      </w:r>
    </w:p>
    <w:p w14:paraId="67D4C41E" w14:textId="77777777" w:rsidR="00084F36" w:rsidRPr="00EB2BD8" w:rsidRDefault="00084F36">
      <w:pPr>
        <w:pStyle w:val="BodyText"/>
        <w:rPr>
          <w:rFonts w:ascii="Arial"/>
        </w:rPr>
      </w:pPr>
    </w:p>
    <w:p w14:paraId="5B53544E" w14:textId="1850E457" w:rsidR="00084F36" w:rsidRPr="00EB2BD8" w:rsidRDefault="0004531F" w:rsidP="0004531F">
      <w:pPr>
        <w:pStyle w:val="Heading2"/>
        <w:ind w:firstLine="204"/>
      </w:pPr>
      <w:bookmarkStart w:id="408" w:name="_Toc150762710"/>
      <w:r>
        <w:t>O</w:t>
      </w:r>
      <w:r w:rsidRPr="00EB2BD8">
        <w:t>ther</w:t>
      </w:r>
      <w:r w:rsidRPr="00EB2BD8">
        <w:rPr>
          <w:spacing w:val="18"/>
        </w:rPr>
        <w:t xml:space="preserve"> </w:t>
      </w:r>
      <w:r w:rsidRPr="00EB2BD8">
        <w:t>accounting</w:t>
      </w:r>
      <w:r w:rsidRPr="00EB2BD8">
        <w:rPr>
          <w:spacing w:val="20"/>
        </w:rPr>
        <w:t xml:space="preserve"> </w:t>
      </w:r>
      <w:r w:rsidRPr="00EB2BD8">
        <w:rPr>
          <w:spacing w:val="-2"/>
        </w:rPr>
        <w:t>policies</w:t>
      </w:r>
      <w:bookmarkEnd w:id="408"/>
    </w:p>
    <w:p w14:paraId="26D60E1A" w14:textId="77777777" w:rsidR="00084F36" w:rsidRPr="00EB2BD8" w:rsidRDefault="00EB2BD8">
      <w:pPr>
        <w:spacing w:before="177"/>
        <w:ind w:left="1055"/>
        <w:rPr>
          <w:rFonts w:ascii="Arial"/>
          <w:sz w:val="16"/>
        </w:rPr>
      </w:pPr>
      <w:r w:rsidRPr="00EB2BD8">
        <w:rPr>
          <w:rFonts w:ascii="Arial"/>
          <w:w w:val="105"/>
          <w:sz w:val="16"/>
        </w:rPr>
        <w:t>Goods</w:t>
      </w:r>
      <w:r w:rsidRPr="00EB2BD8">
        <w:rPr>
          <w:rFonts w:ascii="Arial"/>
          <w:spacing w:val="-7"/>
          <w:w w:val="105"/>
          <w:sz w:val="16"/>
        </w:rPr>
        <w:t xml:space="preserve"> </w:t>
      </w:r>
      <w:r w:rsidRPr="00EB2BD8">
        <w:rPr>
          <w:rFonts w:ascii="Arial"/>
          <w:w w:val="105"/>
          <w:sz w:val="16"/>
        </w:rPr>
        <w:t>and</w:t>
      </w:r>
      <w:r w:rsidRPr="00EB2BD8">
        <w:rPr>
          <w:rFonts w:ascii="Arial"/>
          <w:spacing w:val="-7"/>
          <w:w w:val="105"/>
          <w:sz w:val="16"/>
        </w:rPr>
        <w:t xml:space="preserve"> </w:t>
      </w:r>
      <w:r w:rsidRPr="00EB2BD8">
        <w:rPr>
          <w:rFonts w:ascii="Arial"/>
          <w:w w:val="105"/>
          <w:sz w:val="16"/>
        </w:rPr>
        <w:t>Services</w:t>
      </w:r>
      <w:r w:rsidRPr="00EB2BD8">
        <w:rPr>
          <w:rFonts w:ascii="Arial"/>
          <w:spacing w:val="-7"/>
          <w:w w:val="105"/>
          <w:sz w:val="16"/>
        </w:rPr>
        <w:t xml:space="preserve"> </w:t>
      </w:r>
      <w:r w:rsidRPr="00EB2BD8">
        <w:rPr>
          <w:rFonts w:ascii="Arial"/>
          <w:w w:val="105"/>
          <w:sz w:val="16"/>
        </w:rPr>
        <w:t>Tax</w:t>
      </w:r>
      <w:r w:rsidRPr="00EB2BD8">
        <w:rPr>
          <w:rFonts w:ascii="Arial"/>
          <w:spacing w:val="-7"/>
          <w:w w:val="105"/>
          <w:sz w:val="16"/>
        </w:rPr>
        <w:t xml:space="preserve"> </w:t>
      </w:r>
      <w:r w:rsidRPr="00EB2BD8">
        <w:rPr>
          <w:rFonts w:ascii="Arial"/>
          <w:spacing w:val="-2"/>
          <w:w w:val="105"/>
          <w:sz w:val="16"/>
        </w:rPr>
        <w:t>(GST)</w:t>
      </w:r>
    </w:p>
    <w:p w14:paraId="7CE7C625" w14:textId="77777777" w:rsidR="00084F36" w:rsidRPr="00EB2BD8" w:rsidRDefault="00EB2BD8">
      <w:pPr>
        <w:spacing w:before="38"/>
        <w:ind w:left="1055"/>
        <w:rPr>
          <w:rFonts w:ascii="Arial"/>
          <w:sz w:val="16"/>
        </w:rPr>
      </w:pPr>
      <w:r w:rsidRPr="00EB2BD8">
        <w:rPr>
          <w:rFonts w:ascii="Arial"/>
          <w:w w:val="105"/>
          <w:sz w:val="16"/>
        </w:rPr>
        <w:t>Income,</w:t>
      </w:r>
      <w:r w:rsidRPr="00EB2BD8">
        <w:rPr>
          <w:rFonts w:ascii="Arial"/>
          <w:spacing w:val="-7"/>
          <w:w w:val="105"/>
          <w:sz w:val="16"/>
        </w:rPr>
        <w:t xml:space="preserve"> </w:t>
      </w:r>
      <w:r w:rsidRPr="00EB2BD8">
        <w:rPr>
          <w:rFonts w:ascii="Arial"/>
          <w:w w:val="105"/>
          <w:sz w:val="16"/>
        </w:rPr>
        <w:t>expenses</w:t>
      </w:r>
      <w:r w:rsidRPr="00EB2BD8">
        <w:rPr>
          <w:rFonts w:ascii="Arial"/>
          <w:spacing w:val="-6"/>
          <w:w w:val="105"/>
          <w:sz w:val="16"/>
        </w:rPr>
        <w:t xml:space="preserve"> </w:t>
      </w:r>
      <w:r w:rsidRPr="00EB2BD8">
        <w:rPr>
          <w:rFonts w:ascii="Arial"/>
          <w:w w:val="105"/>
          <w:sz w:val="16"/>
        </w:rPr>
        <w:t>and</w:t>
      </w:r>
      <w:r w:rsidRPr="00EB2BD8">
        <w:rPr>
          <w:rFonts w:ascii="Arial"/>
          <w:spacing w:val="-6"/>
          <w:w w:val="105"/>
          <w:sz w:val="16"/>
        </w:rPr>
        <w:t xml:space="preserve"> </w:t>
      </w:r>
      <w:r w:rsidRPr="00EB2BD8">
        <w:rPr>
          <w:rFonts w:ascii="Arial"/>
          <w:w w:val="105"/>
          <w:sz w:val="16"/>
        </w:rPr>
        <w:t>assets</w:t>
      </w:r>
      <w:r w:rsidRPr="00EB2BD8">
        <w:rPr>
          <w:rFonts w:ascii="Arial"/>
          <w:spacing w:val="-6"/>
          <w:w w:val="105"/>
          <w:sz w:val="16"/>
        </w:rPr>
        <w:t xml:space="preserve"> </w:t>
      </w:r>
      <w:r w:rsidRPr="00EB2BD8">
        <w:rPr>
          <w:rFonts w:ascii="Arial"/>
          <w:w w:val="105"/>
          <w:sz w:val="16"/>
        </w:rPr>
        <w:t>are</w:t>
      </w:r>
      <w:r w:rsidRPr="00EB2BD8">
        <w:rPr>
          <w:rFonts w:ascii="Arial"/>
          <w:spacing w:val="-6"/>
          <w:w w:val="105"/>
          <w:sz w:val="16"/>
        </w:rPr>
        <w:t xml:space="preserve"> </w:t>
      </w:r>
      <w:r w:rsidRPr="00EB2BD8">
        <w:rPr>
          <w:rFonts w:ascii="Arial"/>
          <w:w w:val="105"/>
          <w:sz w:val="16"/>
        </w:rPr>
        <w:t>recognised</w:t>
      </w:r>
      <w:r w:rsidRPr="00EB2BD8">
        <w:rPr>
          <w:rFonts w:ascii="Arial"/>
          <w:spacing w:val="-7"/>
          <w:w w:val="105"/>
          <w:sz w:val="16"/>
        </w:rPr>
        <w:t xml:space="preserve"> </w:t>
      </w:r>
      <w:r w:rsidRPr="00EB2BD8">
        <w:rPr>
          <w:rFonts w:ascii="Arial"/>
          <w:w w:val="105"/>
          <w:sz w:val="16"/>
        </w:rPr>
        <w:t>net</w:t>
      </w:r>
      <w:r w:rsidRPr="00EB2BD8">
        <w:rPr>
          <w:rFonts w:ascii="Arial"/>
          <w:spacing w:val="-6"/>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the</w:t>
      </w:r>
      <w:r w:rsidRPr="00EB2BD8">
        <w:rPr>
          <w:rFonts w:ascii="Arial"/>
          <w:spacing w:val="-7"/>
          <w:w w:val="105"/>
          <w:sz w:val="16"/>
        </w:rPr>
        <w:t xml:space="preserve"> </w:t>
      </w:r>
      <w:r w:rsidRPr="00EB2BD8">
        <w:rPr>
          <w:rFonts w:ascii="Arial"/>
          <w:w w:val="105"/>
          <w:sz w:val="16"/>
        </w:rPr>
        <w:t>amount</w:t>
      </w:r>
      <w:r w:rsidRPr="00EB2BD8">
        <w:rPr>
          <w:rFonts w:ascii="Arial"/>
          <w:spacing w:val="-6"/>
          <w:w w:val="105"/>
          <w:sz w:val="16"/>
        </w:rPr>
        <w:t xml:space="preserve"> </w:t>
      </w:r>
      <w:r w:rsidRPr="00EB2BD8">
        <w:rPr>
          <w:rFonts w:ascii="Arial"/>
          <w:w w:val="105"/>
          <w:sz w:val="16"/>
        </w:rPr>
        <w:t>of</w:t>
      </w:r>
      <w:r w:rsidRPr="00EB2BD8">
        <w:rPr>
          <w:rFonts w:ascii="Arial"/>
          <w:spacing w:val="-6"/>
          <w:w w:val="105"/>
          <w:sz w:val="16"/>
        </w:rPr>
        <w:t xml:space="preserve"> </w:t>
      </w:r>
      <w:r w:rsidRPr="00EB2BD8">
        <w:rPr>
          <w:rFonts w:ascii="Arial"/>
          <w:w w:val="105"/>
          <w:sz w:val="16"/>
        </w:rPr>
        <w:t>associated</w:t>
      </w:r>
      <w:r w:rsidRPr="00EB2BD8">
        <w:rPr>
          <w:rFonts w:ascii="Arial"/>
          <w:spacing w:val="-7"/>
          <w:w w:val="105"/>
          <w:sz w:val="16"/>
        </w:rPr>
        <w:t xml:space="preserve"> </w:t>
      </w:r>
      <w:r w:rsidRPr="00EB2BD8">
        <w:rPr>
          <w:rFonts w:ascii="Arial"/>
          <w:w w:val="105"/>
          <w:sz w:val="16"/>
        </w:rPr>
        <w:t>GST,</w:t>
      </w:r>
      <w:r w:rsidRPr="00EB2BD8">
        <w:rPr>
          <w:rFonts w:ascii="Arial"/>
          <w:spacing w:val="-6"/>
          <w:w w:val="105"/>
          <w:sz w:val="16"/>
        </w:rPr>
        <w:t xml:space="preserve"> </w:t>
      </w:r>
      <w:r w:rsidRPr="00EB2BD8">
        <w:rPr>
          <w:rFonts w:ascii="Arial"/>
          <w:w w:val="105"/>
          <w:sz w:val="16"/>
        </w:rPr>
        <w:t>unless</w:t>
      </w:r>
      <w:r w:rsidRPr="00EB2BD8">
        <w:rPr>
          <w:rFonts w:ascii="Arial"/>
          <w:spacing w:val="-6"/>
          <w:w w:val="105"/>
          <w:sz w:val="16"/>
        </w:rPr>
        <w:t xml:space="preserve"> </w:t>
      </w:r>
      <w:r w:rsidRPr="00EB2BD8">
        <w:rPr>
          <w:rFonts w:ascii="Arial"/>
          <w:w w:val="105"/>
          <w:sz w:val="16"/>
        </w:rPr>
        <w:t>the</w:t>
      </w:r>
      <w:r w:rsidRPr="00EB2BD8">
        <w:rPr>
          <w:rFonts w:ascii="Arial"/>
          <w:spacing w:val="-6"/>
          <w:w w:val="105"/>
          <w:sz w:val="16"/>
        </w:rPr>
        <w:t xml:space="preserve"> </w:t>
      </w:r>
      <w:r w:rsidRPr="00EB2BD8">
        <w:rPr>
          <w:rFonts w:ascii="Arial"/>
          <w:spacing w:val="-5"/>
          <w:w w:val="105"/>
          <w:sz w:val="16"/>
        </w:rPr>
        <w:t>GST</w:t>
      </w:r>
    </w:p>
    <w:p w14:paraId="62A97D50" w14:textId="77777777" w:rsidR="00084F36" w:rsidRPr="00EB2BD8" w:rsidRDefault="00EB2BD8">
      <w:pPr>
        <w:spacing w:before="38" w:line="290" w:lineRule="auto"/>
        <w:ind w:left="1055" w:right="1813"/>
        <w:rPr>
          <w:rFonts w:ascii="Arial"/>
          <w:sz w:val="16"/>
        </w:rPr>
      </w:pPr>
      <w:r w:rsidRPr="00EB2BD8">
        <w:rPr>
          <w:rFonts w:ascii="Arial"/>
          <w:w w:val="105"/>
          <w:sz w:val="16"/>
        </w:rPr>
        <w:t>incurred</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not</w:t>
      </w:r>
      <w:r w:rsidRPr="00EB2BD8">
        <w:rPr>
          <w:rFonts w:ascii="Arial"/>
          <w:spacing w:val="-1"/>
          <w:w w:val="105"/>
          <w:sz w:val="16"/>
        </w:rPr>
        <w:t xml:space="preserve"> </w:t>
      </w:r>
      <w:r w:rsidRPr="00EB2BD8">
        <w:rPr>
          <w:rFonts w:ascii="Arial"/>
          <w:w w:val="105"/>
          <w:sz w:val="16"/>
        </w:rPr>
        <w:t>recoverable</w:t>
      </w:r>
      <w:r w:rsidRPr="00EB2BD8">
        <w:rPr>
          <w:rFonts w:ascii="Arial"/>
          <w:spacing w:val="-3"/>
          <w:w w:val="105"/>
          <w:sz w:val="16"/>
        </w:rPr>
        <w:t xml:space="preserve"> </w:t>
      </w:r>
      <w:r w:rsidRPr="00EB2BD8">
        <w:rPr>
          <w:rFonts w:ascii="Arial"/>
          <w:w w:val="105"/>
          <w:sz w:val="16"/>
        </w:rPr>
        <w:t>from</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taxation</w:t>
      </w:r>
      <w:r w:rsidRPr="00EB2BD8">
        <w:rPr>
          <w:rFonts w:ascii="Arial"/>
          <w:spacing w:val="-2"/>
          <w:w w:val="105"/>
          <w:sz w:val="16"/>
        </w:rPr>
        <w:t xml:space="preserve"> </w:t>
      </w:r>
      <w:r w:rsidRPr="00EB2BD8">
        <w:rPr>
          <w:rFonts w:ascii="Arial"/>
          <w:w w:val="105"/>
          <w:sz w:val="16"/>
        </w:rPr>
        <w:t>authority.</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latter</w:t>
      </w:r>
      <w:r w:rsidRPr="00EB2BD8">
        <w:rPr>
          <w:rFonts w:ascii="Arial"/>
          <w:spacing w:val="-3"/>
          <w:w w:val="105"/>
          <w:sz w:val="16"/>
        </w:rPr>
        <w:t xml:space="preserve"> </w:t>
      </w:r>
      <w:r w:rsidRPr="00EB2BD8">
        <w:rPr>
          <w:rFonts w:ascii="Arial"/>
          <w:w w:val="105"/>
          <w:sz w:val="16"/>
        </w:rPr>
        <w:t>case,</w:t>
      </w:r>
      <w:r w:rsidRPr="00EB2BD8">
        <w:rPr>
          <w:rFonts w:ascii="Arial"/>
          <w:spacing w:val="-3"/>
          <w:w w:val="105"/>
          <w:sz w:val="16"/>
        </w:rPr>
        <w:t xml:space="preserve"> </w:t>
      </w:r>
      <w:r w:rsidRPr="00EB2BD8">
        <w:rPr>
          <w:rFonts w:ascii="Arial"/>
          <w:w w:val="105"/>
          <w:sz w:val="16"/>
        </w:rPr>
        <w:t>GST</w:t>
      </w:r>
      <w:r w:rsidRPr="00EB2BD8">
        <w:rPr>
          <w:rFonts w:ascii="Arial"/>
          <w:spacing w:val="-2"/>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recognised</w:t>
      </w:r>
      <w:r w:rsidRPr="00EB2BD8">
        <w:rPr>
          <w:rFonts w:ascii="Arial"/>
          <w:spacing w:val="-3"/>
          <w:w w:val="105"/>
          <w:sz w:val="16"/>
        </w:rPr>
        <w:t xml:space="preserve"> </w:t>
      </w:r>
      <w:r w:rsidRPr="00EB2BD8">
        <w:rPr>
          <w:rFonts w:ascii="Arial"/>
          <w:w w:val="105"/>
          <w:sz w:val="16"/>
        </w:rPr>
        <w:t>as</w:t>
      </w:r>
      <w:r w:rsidRPr="00EB2BD8">
        <w:rPr>
          <w:rFonts w:ascii="Arial"/>
          <w:spacing w:val="-3"/>
          <w:w w:val="105"/>
          <w:sz w:val="16"/>
        </w:rPr>
        <w:t xml:space="preserve"> </w:t>
      </w:r>
      <w:r w:rsidRPr="00EB2BD8">
        <w:rPr>
          <w:rFonts w:ascii="Arial"/>
          <w:w w:val="105"/>
          <w:sz w:val="16"/>
        </w:rPr>
        <w:t>part</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cost</w:t>
      </w:r>
      <w:r w:rsidRPr="00EB2BD8">
        <w:rPr>
          <w:rFonts w:ascii="Arial"/>
          <w:spacing w:val="-3"/>
          <w:w w:val="105"/>
          <w:sz w:val="16"/>
        </w:rPr>
        <w:t xml:space="preserve"> </w:t>
      </w:r>
      <w:r w:rsidRPr="00EB2BD8">
        <w:rPr>
          <w:rFonts w:ascii="Arial"/>
          <w:w w:val="105"/>
          <w:sz w:val="16"/>
        </w:rPr>
        <w:t>of acquisition of the asset or as part of the expense.</w:t>
      </w:r>
    </w:p>
    <w:p w14:paraId="1B395A47" w14:textId="77777777" w:rsidR="00084F36" w:rsidRPr="00EB2BD8" w:rsidRDefault="00084F36">
      <w:pPr>
        <w:pStyle w:val="BodyText"/>
        <w:spacing w:before="2"/>
        <w:rPr>
          <w:rFonts w:ascii="Arial"/>
          <w:sz w:val="19"/>
        </w:rPr>
      </w:pPr>
    </w:p>
    <w:p w14:paraId="02492512" w14:textId="77777777" w:rsidR="00084F36" w:rsidRPr="00EB2BD8" w:rsidRDefault="00EB2BD8">
      <w:pPr>
        <w:spacing w:before="1" w:line="290" w:lineRule="auto"/>
        <w:ind w:left="1055" w:right="1813"/>
        <w:rPr>
          <w:rFonts w:ascii="Arial"/>
          <w:sz w:val="16"/>
        </w:rPr>
      </w:pPr>
      <w:r w:rsidRPr="00EB2BD8">
        <w:rPr>
          <w:rFonts w:ascii="Arial"/>
          <w:w w:val="105"/>
          <w:sz w:val="16"/>
        </w:rPr>
        <w:t>Receivables and payables are stated inclusive of the amount of GST receivable or payable. The net amount of GST recoverable</w:t>
      </w:r>
      <w:r w:rsidRPr="00EB2BD8">
        <w:rPr>
          <w:rFonts w:ascii="Arial"/>
          <w:spacing w:val="-3"/>
          <w:w w:val="105"/>
          <w:sz w:val="16"/>
        </w:rPr>
        <w:t xml:space="preserve"> </w:t>
      </w:r>
      <w:r w:rsidRPr="00EB2BD8">
        <w:rPr>
          <w:rFonts w:ascii="Arial"/>
          <w:w w:val="105"/>
          <w:sz w:val="16"/>
        </w:rPr>
        <w:t>from,</w:t>
      </w:r>
      <w:r w:rsidRPr="00EB2BD8">
        <w:rPr>
          <w:rFonts w:ascii="Arial"/>
          <w:spacing w:val="-3"/>
          <w:w w:val="105"/>
          <w:sz w:val="16"/>
        </w:rPr>
        <w:t xml:space="preserve"> </w:t>
      </w:r>
      <w:r w:rsidRPr="00EB2BD8">
        <w:rPr>
          <w:rFonts w:ascii="Arial"/>
          <w:w w:val="105"/>
          <w:sz w:val="16"/>
        </w:rPr>
        <w:t>or</w:t>
      </w:r>
      <w:r w:rsidRPr="00EB2BD8">
        <w:rPr>
          <w:rFonts w:ascii="Arial"/>
          <w:spacing w:val="-3"/>
          <w:w w:val="105"/>
          <w:sz w:val="16"/>
        </w:rPr>
        <w:t xml:space="preserve"> </w:t>
      </w:r>
      <w:r w:rsidRPr="00EB2BD8">
        <w:rPr>
          <w:rFonts w:ascii="Arial"/>
          <w:w w:val="105"/>
          <w:sz w:val="16"/>
        </w:rPr>
        <w:t>payable</w:t>
      </w:r>
      <w:r w:rsidRPr="00EB2BD8">
        <w:rPr>
          <w:rFonts w:ascii="Arial"/>
          <w:spacing w:val="-3"/>
          <w:w w:val="105"/>
          <w:sz w:val="16"/>
        </w:rPr>
        <w:t xml:space="preserve"> </w:t>
      </w:r>
      <w:r w:rsidRPr="00EB2BD8">
        <w:rPr>
          <w:rFonts w:ascii="Arial"/>
          <w:w w:val="105"/>
          <w:sz w:val="16"/>
        </w:rPr>
        <w:t>to,</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taxation</w:t>
      </w:r>
      <w:r w:rsidRPr="00EB2BD8">
        <w:rPr>
          <w:rFonts w:ascii="Arial"/>
          <w:spacing w:val="-2"/>
          <w:w w:val="105"/>
          <w:sz w:val="16"/>
        </w:rPr>
        <w:t xml:space="preserve"> </w:t>
      </w:r>
      <w:r w:rsidRPr="00EB2BD8">
        <w:rPr>
          <w:rFonts w:ascii="Arial"/>
          <w:w w:val="105"/>
          <w:sz w:val="16"/>
        </w:rPr>
        <w:t>authority</w:t>
      </w:r>
      <w:r w:rsidRPr="00EB2BD8">
        <w:rPr>
          <w:rFonts w:ascii="Arial"/>
          <w:spacing w:val="-3"/>
          <w:w w:val="105"/>
          <w:sz w:val="16"/>
        </w:rPr>
        <w:t xml:space="preserve"> </w:t>
      </w:r>
      <w:r w:rsidRPr="00EB2BD8">
        <w:rPr>
          <w:rFonts w:ascii="Arial"/>
          <w:w w:val="105"/>
          <w:sz w:val="16"/>
        </w:rPr>
        <w:t>is</w:t>
      </w:r>
      <w:r w:rsidRPr="00EB2BD8">
        <w:rPr>
          <w:rFonts w:ascii="Arial"/>
          <w:spacing w:val="-3"/>
          <w:w w:val="105"/>
          <w:sz w:val="16"/>
        </w:rPr>
        <w:t xml:space="preserve"> </w:t>
      </w:r>
      <w:r w:rsidRPr="00EB2BD8">
        <w:rPr>
          <w:rFonts w:ascii="Arial"/>
          <w:w w:val="105"/>
          <w:sz w:val="16"/>
        </w:rPr>
        <w:t>included</w:t>
      </w:r>
      <w:r w:rsidRPr="00EB2BD8">
        <w:rPr>
          <w:rFonts w:ascii="Arial"/>
          <w:spacing w:val="-3"/>
          <w:w w:val="105"/>
          <w:sz w:val="16"/>
        </w:rPr>
        <w:t xml:space="preserve"> </w:t>
      </w:r>
      <w:r w:rsidRPr="00EB2BD8">
        <w:rPr>
          <w:rFonts w:ascii="Arial"/>
          <w:w w:val="105"/>
          <w:sz w:val="16"/>
        </w:rPr>
        <w:t>with</w:t>
      </w:r>
      <w:r w:rsidRPr="00EB2BD8">
        <w:rPr>
          <w:rFonts w:ascii="Arial"/>
          <w:spacing w:val="-3"/>
          <w:w w:val="105"/>
          <w:sz w:val="16"/>
        </w:rPr>
        <w:t xml:space="preserve"> </w:t>
      </w:r>
      <w:r w:rsidRPr="00EB2BD8">
        <w:rPr>
          <w:rFonts w:ascii="Arial"/>
          <w:w w:val="105"/>
          <w:sz w:val="16"/>
        </w:rPr>
        <w:t>other</w:t>
      </w:r>
      <w:r w:rsidRPr="00EB2BD8">
        <w:rPr>
          <w:rFonts w:ascii="Arial"/>
          <w:spacing w:val="-3"/>
          <w:w w:val="105"/>
          <w:sz w:val="16"/>
        </w:rPr>
        <w:t xml:space="preserve"> </w:t>
      </w:r>
      <w:r w:rsidRPr="00EB2BD8">
        <w:rPr>
          <w:rFonts w:ascii="Arial"/>
          <w:w w:val="105"/>
          <w:sz w:val="16"/>
        </w:rPr>
        <w:t>receivables</w:t>
      </w:r>
      <w:r w:rsidRPr="00EB2BD8">
        <w:rPr>
          <w:rFonts w:ascii="Arial"/>
          <w:spacing w:val="-3"/>
          <w:w w:val="105"/>
          <w:sz w:val="16"/>
        </w:rPr>
        <w:t xml:space="preserve"> </w:t>
      </w:r>
      <w:r w:rsidRPr="00EB2BD8">
        <w:rPr>
          <w:rFonts w:ascii="Arial"/>
          <w:w w:val="105"/>
          <w:sz w:val="16"/>
        </w:rPr>
        <w:t>or</w:t>
      </w:r>
      <w:r w:rsidRPr="00EB2BD8">
        <w:rPr>
          <w:rFonts w:ascii="Arial"/>
          <w:spacing w:val="-3"/>
          <w:w w:val="105"/>
          <w:sz w:val="16"/>
        </w:rPr>
        <w:t xml:space="preserve"> </w:t>
      </w:r>
      <w:r w:rsidRPr="00EB2BD8">
        <w:rPr>
          <w:rFonts w:ascii="Arial"/>
          <w:w w:val="105"/>
          <w:sz w:val="16"/>
        </w:rPr>
        <w:t>payables</w:t>
      </w:r>
      <w:r w:rsidRPr="00EB2BD8">
        <w:rPr>
          <w:rFonts w:ascii="Arial"/>
          <w:spacing w:val="-3"/>
          <w:w w:val="105"/>
          <w:sz w:val="16"/>
        </w:rPr>
        <w:t xml:space="preserve"> </w:t>
      </w:r>
      <w:r w:rsidRPr="00EB2BD8">
        <w:rPr>
          <w:rFonts w:ascii="Arial"/>
          <w:w w:val="105"/>
          <w:sz w:val="16"/>
        </w:rPr>
        <w:t>in</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Balance</w:t>
      </w:r>
      <w:r w:rsidRPr="00EB2BD8">
        <w:rPr>
          <w:rFonts w:ascii="Arial"/>
          <w:spacing w:val="-3"/>
          <w:w w:val="105"/>
          <w:sz w:val="16"/>
        </w:rPr>
        <w:t xml:space="preserve"> </w:t>
      </w:r>
      <w:r w:rsidRPr="00EB2BD8">
        <w:rPr>
          <w:rFonts w:ascii="Arial"/>
          <w:w w:val="105"/>
          <w:sz w:val="16"/>
        </w:rPr>
        <w:t>Sheet.</w:t>
      </w:r>
    </w:p>
    <w:p w14:paraId="4B1FDDC2" w14:textId="77777777" w:rsidR="00084F36" w:rsidRPr="00EB2BD8" w:rsidRDefault="00084F36">
      <w:pPr>
        <w:pStyle w:val="BodyText"/>
        <w:spacing w:before="3"/>
        <w:rPr>
          <w:rFonts w:ascii="Arial"/>
          <w:sz w:val="19"/>
        </w:rPr>
      </w:pPr>
    </w:p>
    <w:p w14:paraId="208B3A7D" w14:textId="77777777" w:rsidR="00084F36" w:rsidRPr="00EB2BD8" w:rsidRDefault="00EB2BD8">
      <w:pPr>
        <w:spacing w:line="290" w:lineRule="auto"/>
        <w:ind w:left="1055" w:right="1813"/>
        <w:rPr>
          <w:rFonts w:ascii="Arial"/>
          <w:sz w:val="16"/>
        </w:rPr>
      </w:pPr>
      <w:r w:rsidRPr="00EB2BD8">
        <w:rPr>
          <w:rFonts w:ascii="Arial"/>
          <w:w w:val="105"/>
          <w:sz w:val="16"/>
        </w:rPr>
        <w:t>Cash</w:t>
      </w:r>
      <w:r w:rsidRPr="00EB2BD8">
        <w:rPr>
          <w:rFonts w:ascii="Arial"/>
          <w:spacing w:val="-3"/>
          <w:w w:val="105"/>
          <w:sz w:val="16"/>
        </w:rPr>
        <w:t xml:space="preserve"> </w:t>
      </w:r>
      <w:r w:rsidRPr="00EB2BD8">
        <w:rPr>
          <w:rFonts w:ascii="Arial"/>
          <w:w w:val="105"/>
          <w:sz w:val="16"/>
        </w:rPr>
        <w:t>flows</w:t>
      </w:r>
      <w:r w:rsidRPr="00EB2BD8">
        <w:rPr>
          <w:rFonts w:ascii="Arial"/>
          <w:spacing w:val="-3"/>
          <w:w w:val="105"/>
          <w:sz w:val="16"/>
        </w:rPr>
        <w:t xml:space="preserve"> </w:t>
      </w:r>
      <w:r w:rsidRPr="00EB2BD8">
        <w:rPr>
          <w:rFonts w:ascii="Arial"/>
          <w:w w:val="105"/>
          <w:sz w:val="16"/>
        </w:rPr>
        <w:t>are</w:t>
      </w:r>
      <w:r w:rsidRPr="00EB2BD8">
        <w:rPr>
          <w:rFonts w:ascii="Arial"/>
          <w:spacing w:val="-2"/>
          <w:w w:val="105"/>
          <w:sz w:val="16"/>
        </w:rPr>
        <w:t xml:space="preserve"> </w:t>
      </w:r>
      <w:r w:rsidRPr="00EB2BD8">
        <w:rPr>
          <w:rFonts w:ascii="Arial"/>
          <w:w w:val="105"/>
          <w:sz w:val="16"/>
        </w:rPr>
        <w:t>presented</w:t>
      </w:r>
      <w:r w:rsidRPr="00EB2BD8">
        <w:rPr>
          <w:rFonts w:ascii="Arial"/>
          <w:spacing w:val="-3"/>
          <w:w w:val="105"/>
          <w:sz w:val="16"/>
        </w:rPr>
        <w:t xml:space="preserve"> </w:t>
      </w:r>
      <w:r w:rsidRPr="00EB2BD8">
        <w:rPr>
          <w:rFonts w:ascii="Arial"/>
          <w:w w:val="105"/>
          <w:sz w:val="16"/>
        </w:rPr>
        <w:t>on</w:t>
      </w:r>
      <w:r w:rsidRPr="00EB2BD8">
        <w:rPr>
          <w:rFonts w:ascii="Arial"/>
          <w:spacing w:val="-2"/>
          <w:w w:val="105"/>
          <w:sz w:val="16"/>
        </w:rPr>
        <w:t xml:space="preserve"> </w:t>
      </w:r>
      <w:r w:rsidRPr="00EB2BD8">
        <w:rPr>
          <w:rFonts w:ascii="Arial"/>
          <w:w w:val="105"/>
          <w:sz w:val="16"/>
        </w:rPr>
        <w:t>a</w:t>
      </w:r>
      <w:r w:rsidRPr="00EB2BD8">
        <w:rPr>
          <w:rFonts w:ascii="Arial"/>
          <w:spacing w:val="-3"/>
          <w:w w:val="105"/>
          <w:sz w:val="16"/>
        </w:rPr>
        <w:t xml:space="preserve"> </w:t>
      </w:r>
      <w:r w:rsidRPr="00EB2BD8">
        <w:rPr>
          <w:rFonts w:ascii="Arial"/>
          <w:w w:val="105"/>
          <w:sz w:val="16"/>
        </w:rPr>
        <w:t>gross</w:t>
      </w:r>
      <w:r w:rsidRPr="00EB2BD8">
        <w:rPr>
          <w:rFonts w:ascii="Arial"/>
          <w:spacing w:val="-3"/>
          <w:w w:val="105"/>
          <w:sz w:val="16"/>
        </w:rPr>
        <w:t xml:space="preserve"> </w:t>
      </w:r>
      <w:r w:rsidRPr="00EB2BD8">
        <w:rPr>
          <w:rFonts w:ascii="Arial"/>
          <w:w w:val="105"/>
          <w:sz w:val="16"/>
        </w:rPr>
        <w:t>basis.</w:t>
      </w:r>
      <w:r w:rsidRPr="00EB2BD8">
        <w:rPr>
          <w:rFonts w:ascii="Arial"/>
          <w:spacing w:val="-3"/>
          <w:w w:val="105"/>
          <w:sz w:val="16"/>
        </w:rPr>
        <w:t xml:space="preserve"> </w:t>
      </w:r>
      <w:r w:rsidRPr="00EB2BD8">
        <w:rPr>
          <w:rFonts w:ascii="Arial"/>
          <w:w w:val="105"/>
          <w:sz w:val="16"/>
        </w:rPr>
        <w:t>The</w:t>
      </w:r>
      <w:r w:rsidRPr="00EB2BD8">
        <w:rPr>
          <w:rFonts w:ascii="Arial"/>
          <w:spacing w:val="-3"/>
          <w:w w:val="105"/>
          <w:sz w:val="16"/>
        </w:rPr>
        <w:t xml:space="preserve"> </w:t>
      </w:r>
      <w:r w:rsidRPr="00EB2BD8">
        <w:rPr>
          <w:rFonts w:ascii="Arial"/>
          <w:w w:val="105"/>
          <w:sz w:val="16"/>
        </w:rPr>
        <w:t>GST</w:t>
      </w:r>
      <w:r w:rsidRPr="00EB2BD8">
        <w:rPr>
          <w:rFonts w:ascii="Arial"/>
          <w:spacing w:val="-2"/>
          <w:w w:val="105"/>
          <w:sz w:val="16"/>
        </w:rPr>
        <w:t xml:space="preserve"> </w:t>
      </w:r>
      <w:r w:rsidRPr="00EB2BD8">
        <w:rPr>
          <w:rFonts w:ascii="Arial"/>
          <w:w w:val="105"/>
          <w:sz w:val="16"/>
        </w:rPr>
        <w:t>components</w:t>
      </w:r>
      <w:r w:rsidRPr="00EB2BD8">
        <w:rPr>
          <w:rFonts w:ascii="Arial"/>
          <w:spacing w:val="-3"/>
          <w:w w:val="105"/>
          <w:sz w:val="16"/>
        </w:rPr>
        <w:t xml:space="preserve"> </w:t>
      </w:r>
      <w:r w:rsidRPr="00EB2BD8">
        <w:rPr>
          <w:rFonts w:ascii="Arial"/>
          <w:w w:val="105"/>
          <w:sz w:val="16"/>
        </w:rPr>
        <w:t>of</w:t>
      </w:r>
      <w:r w:rsidRPr="00EB2BD8">
        <w:rPr>
          <w:rFonts w:ascii="Arial"/>
          <w:spacing w:val="-3"/>
          <w:w w:val="105"/>
          <w:sz w:val="16"/>
        </w:rPr>
        <w:t xml:space="preserve"> </w:t>
      </w:r>
      <w:r w:rsidRPr="00EB2BD8">
        <w:rPr>
          <w:rFonts w:ascii="Arial"/>
          <w:w w:val="105"/>
          <w:sz w:val="16"/>
        </w:rPr>
        <w:t>cash</w:t>
      </w:r>
      <w:r w:rsidRPr="00EB2BD8">
        <w:rPr>
          <w:rFonts w:ascii="Arial"/>
          <w:spacing w:val="-3"/>
          <w:w w:val="105"/>
          <w:sz w:val="16"/>
        </w:rPr>
        <w:t xml:space="preserve"> </w:t>
      </w:r>
      <w:r w:rsidRPr="00EB2BD8">
        <w:rPr>
          <w:rFonts w:ascii="Arial"/>
          <w:w w:val="105"/>
          <w:sz w:val="16"/>
        </w:rPr>
        <w:t>flows</w:t>
      </w:r>
      <w:r w:rsidRPr="00EB2BD8">
        <w:rPr>
          <w:rFonts w:ascii="Arial"/>
          <w:spacing w:val="-3"/>
          <w:w w:val="105"/>
          <w:sz w:val="16"/>
        </w:rPr>
        <w:t xml:space="preserve"> </w:t>
      </w:r>
      <w:r w:rsidRPr="00EB2BD8">
        <w:rPr>
          <w:rFonts w:ascii="Arial"/>
          <w:w w:val="105"/>
          <w:sz w:val="16"/>
        </w:rPr>
        <w:t>arising</w:t>
      </w:r>
      <w:r w:rsidRPr="00EB2BD8">
        <w:rPr>
          <w:rFonts w:ascii="Arial"/>
          <w:spacing w:val="-3"/>
          <w:w w:val="105"/>
          <w:sz w:val="16"/>
        </w:rPr>
        <w:t xml:space="preserve"> </w:t>
      </w:r>
      <w:r w:rsidRPr="00EB2BD8">
        <w:rPr>
          <w:rFonts w:ascii="Arial"/>
          <w:w w:val="105"/>
          <w:sz w:val="16"/>
        </w:rPr>
        <w:t>from</w:t>
      </w:r>
      <w:r w:rsidRPr="00EB2BD8">
        <w:rPr>
          <w:rFonts w:ascii="Arial"/>
          <w:spacing w:val="-3"/>
          <w:w w:val="105"/>
          <w:sz w:val="16"/>
        </w:rPr>
        <w:t xml:space="preserve"> </w:t>
      </w:r>
      <w:r w:rsidRPr="00EB2BD8">
        <w:rPr>
          <w:rFonts w:ascii="Arial"/>
          <w:w w:val="105"/>
          <w:sz w:val="16"/>
        </w:rPr>
        <w:t>investing</w:t>
      </w:r>
      <w:r w:rsidRPr="00EB2BD8">
        <w:rPr>
          <w:rFonts w:ascii="Arial"/>
          <w:spacing w:val="-3"/>
          <w:w w:val="105"/>
          <w:sz w:val="16"/>
        </w:rPr>
        <w:t xml:space="preserve"> </w:t>
      </w:r>
      <w:r w:rsidRPr="00EB2BD8">
        <w:rPr>
          <w:rFonts w:ascii="Arial"/>
          <w:w w:val="105"/>
          <w:sz w:val="16"/>
        </w:rPr>
        <w:t>or</w:t>
      </w:r>
      <w:r w:rsidRPr="00EB2BD8">
        <w:rPr>
          <w:rFonts w:ascii="Arial"/>
          <w:spacing w:val="-2"/>
          <w:w w:val="105"/>
          <w:sz w:val="16"/>
        </w:rPr>
        <w:t xml:space="preserve"> </w:t>
      </w:r>
      <w:r w:rsidRPr="00EB2BD8">
        <w:rPr>
          <w:rFonts w:ascii="Arial"/>
          <w:w w:val="105"/>
          <w:sz w:val="16"/>
        </w:rPr>
        <w:t>financing activities that were recovered from, or paid to, the taxation authority, are presented as an operating cash flow.</w:t>
      </w:r>
    </w:p>
    <w:p w14:paraId="184FA42E" w14:textId="77777777" w:rsidR="00084F36" w:rsidRPr="00EB2BD8" w:rsidRDefault="00084F36">
      <w:pPr>
        <w:pStyle w:val="BodyText"/>
        <w:rPr>
          <w:rFonts w:ascii="Arial"/>
          <w:sz w:val="20"/>
        </w:rPr>
      </w:pPr>
    </w:p>
    <w:p w14:paraId="425A3939" w14:textId="77777777" w:rsidR="00084F36" w:rsidRPr="00EB2BD8" w:rsidRDefault="00084F36">
      <w:pPr>
        <w:pStyle w:val="BodyText"/>
        <w:rPr>
          <w:rFonts w:ascii="Arial"/>
          <w:sz w:val="20"/>
        </w:rPr>
      </w:pPr>
    </w:p>
    <w:p w14:paraId="7DE41BD1" w14:textId="77777777" w:rsidR="00084F36" w:rsidRPr="00EB2BD8" w:rsidRDefault="00084F36">
      <w:pPr>
        <w:jc w:val="right"/>
        <w:rPr>
          <w:sz w:val="16"/>
        </w:rPr>
        <w:sectPr w:rsidR="00084F36" w:rsidRPr="00EB2BD8" w:rsidSect="006D75B2">
          <w:headerReference w:type="default" r:id="rId381"/>
          <w:footerReference w:type="default" r:id="rId382"/>
          <w:pgSz w:w="11910" w:h="16840"/>
          <w:pgMar w:top="760" w:right="0" w:bottom="280" w:left="0" w:header="0" w:footer="0" w:gutter="0"/>
          <w:cols w:space="720"/>
        </w:sectPr>
      </w:pPr>
    </w:p>
    <w:p w14:paraId="716B973C" w14:textId="77777777" w:rsidR="00084F36" w:rsidRPr="00EB2BD8" w:rsidRDefault="00084F36">
      <w:pPr>
        <w:pStyle w:val="BodyText"/>
        <w:spacing w:before="1"/>
        <w:rPr>
          <w:sz w:val="35"/>
        </w:rPr>
      </w:pPr>
    </w:p>
    <w:p w14:paraId="4795D3AE" w14:textId="77777777" w:rsidR="00084F36" w:rsidRPr="00EB2BD8" w:rsidRDefault="00EB2BD8" w:rsidP="00D0600F">
      <w:pPr>
        <w:pStyle w:val="Heading1"/>
      </w:pPr>
      <w:bookmarkStart w:id="409" w:name="_Toc150762711"/>
      <w:r w:rsidRPr="00EB2BD8">
        <w:rPr>
          <w:w w:val="80"/>
        </w:rPr>
        <w:t>7/</w:t>
      </w:r>
      <w:bookmarkEnd w:id="409"/>
    </w:p>
    <w:p w14:paraId="59E68FDA" w14:textId="77777777" w:rsidR="00084F36" w:rsidRPr="00EB2BD8" w:rsidRDefault="00EB2BD8" w:rsidP="00D0600F">
      <w:pPr>
        <w:pStyle w:val="Heading1"/>
      </w:pPr>
      <w:bookmarkStart w:id="410" w:name="_Toc150762712"/>
      <w:r w:rsidRPr="00EB2BD8">
        <w:t>Appendices</w:t>
      </w:r>
      <w:bookmarkEnd w:id="410"/>
    </w:p>
    <w:p w14:paraId="7D298FA2" w14:textId="77777777" w:rsidR="00084F36" w:rsidRPr="00EB2BD8" w:rsidRDefault="00084F36">
      <w:pPr>
        <w:pStyle w:val="BodyText"/>
        <w:rPr>
          <w:rFonts w:ascii="Tahoma"/>
          <w:b/>
          <w:sz w:val="20"/>
        </w:rPr>
      </w:pPr>
    </w:p>
    <w:p w14:paraId="3E783A34" w14:textId="77777777" w:rsidR="00084F36" w:rsidRPr="00EB2BD8" w:rsidRDefault="00084F36">
      <w:pPr>
        <w:pStyle w:val="BodyText"/>
        <w:rPr>
          <w:rFonts w:ascii="Tahoma"/>
          <w:b/>
          <w:sz w:val="20"/>
        </w:rPr>
      </w:pPr>
    </w:p>
    <w:p w14:paraId="255DBC93" w14:textId="77777777" w:rsidR="00084F36" w:rsidRPr="00EB2BD8" w:rsidRDefault="00084F36">
      <w:pPr>
        <w:pStyle w:val="BodyText"/>
        <w:rPr>
          <w:rFonts w:ascii="Tahoma"/>
          <w:b/>
          <w:sz w:val="20"/>
        </w:rPr>
      </w:pPr>
    </w:p>
    <w:p w14:paraId="18182B85" w14:textId="77777777" w:rsidR="00084F36" w:rsidRPr="00EB2BD8" w:rsidRDefault="00084F36">
      <w:pPr>
        <w:pStyle w:val="BodyText"/>
        <w:rPr>
          <w:rFonts w:ascii="Tahoma"/>
          <w:b/>
          <w:sz w:val="20"/>
        </w:rPr>
      </w:pPr>
    </w:p>
    <w:p w14:paraId="724A582B" w14:textId="77777777" w:rsidR="00084F36" w:rsidRPr="00EB2BD8" w:rsidRDefault="00084F36">
      <w:pPr>
        <w:pStyle w:val="BodyText"/>
        <w:rPr>
          <w:rFonts w:ascii="Tahoma"/>
          <w:b/>
          <w:sz w:val="20"/>
        </w:rPr>
      </w:pPr>
    </w:p>
    <w:p w14:paraId="29255512" w14:textId="77777777" w:rsidR="00084F36" w:rsidRPr="00EB2BD8" w:rsidRDefault="00084F36">
      <w:pPr>
        <w:pStyle w:val="BodyText"/>
        <w:rPr>
          <w:rFonts w:ascii="Tahoma"/>
          <w:b/>
          <w:sz w:val="20"/>
        </w:rPr>
      </w:pPr>
    </w:p>
    <w:p w14:paraId="183D594D" w14:textId="77777777" w:rsidR="00084F36" w:rsidRPr="00EB2BD8" w:rsidRDefault="00084F36">
      <w:pPr>
        <w:pStyle w:val="BodyText"/>
        <w:rPr>
          <w:rFonts w:ascii="Tahoma"/>
          <w:b/>
          <w:sz w:val="20"/>
        </w:rPr>
      </w:pPr>
    </w:p>
    <w:p w14:paraId="04979693" w14:textId="77777777" w:rsidR="00084F36" w:rsidRPr="00EB2BD8" w:rsidRDefault="00084F36">
      <w:pPr>
        <w:pStyle w:val="BodyText"/>
        <w:rPr>
          <w:rFonts w:ascii="Tahoma"/>
          <w:b/>
          <w:sz w:val="20"/>
        </w:rPr>
      </w:pPr>
    </w:p>
    <w:p w14:paraId="46783056" w14:textId="77777777" w:rsidR="00084F36" w:rsidRPr="00EB2BD8" w:rsidRDefault="00084F36">
      <w:pPr>
        <w:pStyle w:val="BodyText"/>
        <w:rPr>
          <w:rFonts w:ascii="Tahoma"/>
          <w:b/>
          <w:sz w:val="20"/>
        </w:rPr>
      </w:pPr>
    </w:p>
    <w:p w14:paraId="0BE33028" w14:textId="77777777" w:rsidR="00084F36" w:rsidRPr="00EB2BD8" w:rsidRDefault="00084F36">
      <w:pPr>
        <w:pStyle w:val="BodyText"/>
        <w:rPr>
          <w:rFonts w:ascii="Tahoma"/>
          <w:b/>
          <w:sz w:val="20"/>
        </w:rPr>
      </w:pPr>
    </w:p>
    <w:p w14:paraId="25BB2B00" w14:textId="77777777" w:rsidR="00084F36" w:rsidRPr="00EB2BD8" w:rsidRDefault="00084F36">
      <w:pPr>
        <w:pStyle w:val="BodyText"/>
        <w:rPr>
          <w:rFonts w:ascii="Tahoma"/>
          <w:b/>
          <w:sz w:val="20"/>
        </w:rPr>
      </w:pPr>
    </w:p>
    <w:p w14:paraId="186D68E2" w14:textId="77777777" w:rsidR="00084F36" w:rsidRPr="00EB2BD8" w:rsidRDefault="00084F36">
      <w:pPr>
        <w:pStyle w:val="BodyText"/>
        <w:rPr>
          <w:rFonts w:ascii="Tahoma"/>
          <w:b/>
          <w:sz w:val="20"/>
        </w:rPr>
      </w:pPr>
    </w:p>
    <w:p w14:paraId="385D5D53" w14:textId="77777777" w:rsidR="00084F36" w:rsidRPr="00EB2BD8" w:rsidRDefault="00084F36">
      <w:pPr>
        <w:pStyle w:val="BodyText"/>
        <w:rPr>
          <w:rFonts w:ascii="Tahoma"/>
          <w:b/>
          <w:sz w:val="20"/>
        </w:rPr>
      </w:pPr>
    </w:p>
    <w:p w14:paraId="70D20DF8" w14:textId="77777777" w:rsidR="00084F36" w:rsidRPr="00EB2BD8" w:rsidRDefault="00084F36">
      <w:pPr>
        <w:pStyle w:val="BodyText"/>
        <w:rPr>
          <w:rFonts w:ascii="Tahoma"/>
          <w:b/>
          <w:sz w:val="20"/>
        </w:rPr>
      </w:pPr>
    </w:p>
    <w:p w14:paraId="456ED49C" w14:textId="77777777" w:rsidR="00084F36" w:rsidRPr="00EB2BD8" w:rsidRDefault="00084F36">
      <w:pPr>
        <w:pStyle w:val="BodyText"/>
        <w:rPr>
          <w:rFonts w:ascii="Tahoma"/>
          <w:b/>
          <w:sz w:val="20"/>
        </w:rPr>
      </w:pPr>
    </w:p>
    <w:p w14:paraId="47DF45B4" w14:textId="77777777" w:rsidR="00084F36" w:rsidRPr="00EB2BD8" w:rsidRDefault="00084F36">
      <w:pPr>
        <w:pStyle w:val="BodyText"/>
        <w:rPr>
          <w:rFonts w:ascii="Tahoma"/>
          <w:b/>
          <w:sz w:val="20"/>
        </w:rPr>
      </w:pPr>
    </w:p>
    <w:p w14:paraId="5B81ECD8" w14:textId="77777777" w:rsidR="00084F36" w:rsidRPr="00EB2BD8" w:rsidRDefault="00084F36">
      <w:pPr>
        <w:pStyle w:val="BodyText"/>
        <w:rPr>
          <w:rFonts w:ascii="Tahoma"/>
          <w:b/>
          <w:sz w:val="20"/>
        </w:rPr>
      </w:pPr>
    </w:p>
    <w:p w14:paraId="22680E3C" w14:textId="77777777" w:rsidR="00084F36" w:rsidRPr="00EB2BD8" w:rsidRDefault="00084F36">
      <w:pPr>
        <w:pStyle w:val="BodyText"/>
        <w:rPr>
          <w:rFonts w:ascii="Tahoma"/>
          <w:b/>
          <w:sz w:val="20"/>
        </w:rPr>
      </w:pPr>
    </w:p>
    <w:p w14:paraId="0CF6DFA1" w14:textId="77777777" w:rsidR="00084F36" w:rsidRPr="00EB2BD8" w:rsidRDefault="00084F36">
      <w:pPr>
        <w:pStyle w:val="BodyText"/>
        <w:rPr>
          <w:rFonts w:ascii="Tahoma"/>
          <w:b/>
          <w:sz w:val="20"/>
        </w:rPr>
      </w:pPr>
    </w:p>
    <w:p w14:paraId="75EDD011" w14:textId="77777777" w:rsidR="00084F36" w:rsidRPr="00EB2BD8" w:rsidRDefault="00084F36">
      <w:pPr>
        <w:pStyle w:val="BodyText"/>
        <w:rPr>
          <w:rFonts w:ascii="Tahoma"/>
          <w:b/>
          <w:sz w:val="20"/>
        </w:rPr>
      </w:pPr>
    </w:p>
    <w:p w14:paraId="3F541F4D" w14:textId="77777777" w:rsidR="00084F36" w:rsidRPr="00EB2BD8" w:rsidRDefault="00084F36">
      <w:pPr>
        <w:pStyle w:val="BodyText"/>
        <w:rPr>
          <w:rFonts w:ascii="Tahoma"/>
          <w:b/>
          <w:sz w:val="20"/>
        </w:rPr>
      </w:pPr>
    </w:p>
    <w:p w14:paraId="1941A205" w14:textId="77777777" w:rsidR="00084F36" w:rsidRPr="00EB2BD8" w:rsidRDefault="00084F36">
      <w:pPr>
        <w:pStyle w:val="BodyText"/>
        <w:rPr>
          <w:rFonts w:ascii="Tahoma"/>
          <w:b/>
          <w:sz w:val="20"/>
        </w:rPr>
      </w:pPr>
    </w:p>
    <w:p w14:paraId="05F15384" w14:textId="77777777" w:rsidR="00084F36" w:rsidRPr="00EB2BD8" w:rsidRDefault="00084F36">
      <w:pPr>
        <w:pStyle w:val="BodyText"/>
        <w:rPr>
          <w:rFonts w:ascii="Tahoma"/>
          <w:b/>
          <w:sz w:val="20"/>
        </w:rPr>
      </w:pPr>
    </w:p>
    <w:p w14:paraId="161D9D30" w14:textId="77777777" w:rsidR="00084F36" w:rsidRPr="00EB2BD8" w:rsidRDefault="00084F36">
      <w:pPr>
        <w:pStyle w:val="BodyText"/>
        <w:rPr>
          <w:rFonts w:ascii="Tahoma"/>
          <w:b/>
          <w:sz w:val="20"/>
        </w:rPr>
      </w:pPr>
    </w:p>
    <w:p w14:paraId="0923F0B0" w14:textId="77777777" w:rsidR="00084F36" w:rsidRPr="00EB2BD8" w:rsidRDefault="00084F36">
      <w:pPr>
        <w:pStyle w:val="BodyText"/>
        <w:rPr>
          <w:rFonts w:ascii="Tahoma"/>
          <w:b/>
          <w:sz w:val="20"/>
        </w:rPr>
      </w:pPr>
    </w:p>
    <w:p w14:paraId="42D556E5" w14:textId="77777777" w:rsidR="00084F36" w:rsidRPr="00EB2BD8" w:rsidRDefault="00084F36">
      <w:pPr>
        <w:pStyle w:val="BodyText"/>
        <w:rPr>
          <w:rFonts w:ascii="Tahoma"/>
          <w:b/>
          <w:sz w:val="20"/>
        </w:rPr>
      </w:pPr>
    </w:p>
    <w:p w14:paraId="0D73698F" w14:textId="77777777" w:rsidR="00084F36" w:rsidRPr="00EB2BD8" w:rsidRDefault="00084F36">
      <w:pPr>
        <w:pStyle w:val="BodyText"/>
        <w:rPr>
          <w:rFonts w:ascii="Tahoma"/>
          <w:b/>
          <w:sz w:val="20"/>
        </w:rPr>
      </w:pPr>
    </w:p>
    <w:p w14:paraId="1FA548AD" w14:textId="77777777" w:rsidR="00084F36" w:rsidRPr="00EB2BD8" w:rsidRDefault="00084F36">
      <w:pPr>
        <w:pStyle w:val="BodyText"/>
        <w:rPr>
          <w:rFonts w:ascii="Tahoma"/>
          <w:b/>
          <w:sz w:val="20"/>
        </w:rPr>
      </w:pPr>
    </w:p>
    <w:p w14:paraId="22E1D164" w14:textId="77777777" w:rsidR="00084F36" w:rsidRPr="00EB2BD8" w:rsidRDefault="00084F36">
      <w:pPr>
        <w:pStyle w:val="BodyText"/>
        <w:rPr>
          <w:rFonts w:ascii="Tahoma"/>
          <w:b/>
          <w:sz w:val="20"/>
        </w:rPr>
      </w:pPr>
    </w:p>
    <w:p w14:paraId="4C2ABA2D" w14:textId="77777777" w:rsidR="00084F36" w:rsidRPr="00EB2BD8" w:rsidRDefault="00084F36">
      <w:pPr>
        <w:pStyle w:val="BodyText"/>
        <w:rPr>
          <w:rFonts w:ascii="Tahoma"/>
          <w:b/>
          <w:sz w:val="20"/>
        </w:rPr>
      </w:pPr>
    </w:p>
    <w:p w14:paraId="1E3529D0" w14:textId="77777777" w:rsidR="00084F36" w:rsidRPr="00EB2BD8" w:rsidRDefault="00084F36">
      <w:pPr>
        <w:pStyle w:val="BodyText"/>
        <w:rPr>
          <w:rFonts w:ascii="Tahoma"/>
          <w:b/>
          <w:sz w:val="20"/>
        </w:rPr>
      </w:pPr>
    </w:p>
    <w:p w14:paraId="7891E5C1" w14:textId="77777777" w:rsidR="00084F36" w:rsidRPr="00EB2BD8" w:rsidRDefault="00084F36">
      <w:pPr>
        <w:pStyle w:val="BodyText"/>
        <w:rPr>
          <w:rFonts w:ascii="Tahoma"/>
          <w:b/>
          <w:sz w:val="20"/>
        </w:rPr>
      </w:pPr>
    </w:p>
    <w:p w14:paraId="10280B1C" w14:textId="77777777" w:rsidR="00084F36" w:rsidRPr="00EB2BD8" w:rsidRDefault="00084F36">
      <w:pPr>
        <w:pStyle w:val="BodyText"/>
        <w:rPr>
          <w:rFonts w:ascii="Tahoma"/>
          <w:b/>
          <w:sz w:val="20"/>
        </w:rPr>
      </w:pPr>
    </w:p>
    <w:p w14:paraId="6B3EFD86" w14:textId="77777777" w:rsidR="00084F36" w:rsidRPr="00EB2BD8" w:rsidRDefault="00084F36">
      <w:pPr>
        <w:pStyle w:val="BodyText"/>
        <w:rPr>
          <w:rFonts w:ascii="Tahoma"/>
          <w:b/>
          <w:sz w:val="20"/>
        </w:rPr>
      </w:pPr>
    </w:p>
    <w:p w14:paraId="6A90DB0A" w14:textId="77777777" w:rsidR="00084F36" w:rsidRPr="00EB2BD8" w:rsidRDefault="00084F36">
      <w:pPr>
        <w:pStyle w:val="BodyText"/>
        <w:rPr>
          <w:rFonts w:ascii="Tahoma"/>
          <w:b/>
          <w:sz w:val="20"/>
        </w:rPr>
      </w:pPr>
    </w:p>
    <w:p w14:paraId="522FF50F" w14:textId="77777777" w:rsidR="00084F36" w:rsidRPr="00EB2BD8" w:rsidRDefault="00084F36">
      <w:pPr>
        <w:pStyle w:val="BodyText"/>
        <w:rPr>
          <w:rFonts w:ascii="Tahoma"/>
          <w:b/>
          <w:sz w:val="20"/>
        </w:rPr>
      </w:pPr>
    </w:p>
    <w:p w14:paraId="14D925E8" w14:textId="77777777" w:rsidR="00084F36" w:rsidRPr="00EB2BD8" w:rsidRDefault="00084F36">
      <w:pPr>
        <w:pStyle w:val="BodyText"/>
        <w:rPr>
          <w:rFonts w:ascii="Tahoma"/>
          <w:b/>
          <w:sz w:val="20"/>
        </w:rPr>
      </w:pPr>
    </w:p>
    <w:p w14:paraId="698FE682" w14:textId="77777777" w:rsidR="00084F36" w:rsidRPr="00EB2BD8" w:rsidRDefault="00084F36">
      <w:pPr>
        <w:pStyle w:val="BodyText"/>
        <w:rPr>
          <w:rFonts w:ascii="Tahoma"/>
          <w:b/>
          <w:sz w:val="20"/>
        </w:rPr>
      </w:pPr>
    </w:p>
    <w:p w14:paraId="508AF007" w14:textId="77777777" w:rsidR="00084F36" w:rsidRPr="00EB2BD8" w:rsidRDefault="00084F36">
      <w:pPr>
        <w:pStyle w:val="BodyText"/>
        <w:rPr>
          <w:rFonts w:ascii="Tahoma"/>
          <w:b/>
          <w:sz w:val="20"/>
        </w:rPr>
      </w:pPr>
    </w:p>
    <w:p w14:paraId="7D271E79" w14:textId="77777777" w:rsidR="00084F36" w:rsidRPr="00EB2BD8" w:rsidRDefault="00084F36">
      <w:pPr>
        <w:pStyle w:val="BodyText"/>
        <w:rPr>
          <w:rFonts w:ascii="Tahoma"/>
          <w:b/>
          <w:sz w:val="20"/>
        </w:rPr>
      </w:pPr>
    </w:p>
    <w:p w14:paraId="60C8F14E" w14:textId="77777777" w:rsidR="00084F36" w:rsidRPr="00EB2BD8" w:rsidRDefault="00084F36">
      <w:pPr>
        <w:pStyle w:val="BodyText"/>
        <w:rPr>
          <w:rFonts w:ascii="Tahoma"/>
          <w:b/>
          <w:sz w:val="20"/>
        </w:rPr>
      </w:pPr>
    </w:p>
    <w:p w14:paraId="17DE262A" w14:textId="77777777" w:rsidR="00084F36" w:rsidRPr="00EB2BD8" w:rsidRDefault="00084F36">
      <w:pPr>
        <w:pStyle w:val="BodyText"/>
        <w:rPr>
          <w:rFonts w:ascii="Tahoma"/>
          <w:b/>
          <w:sz w:val="20"/>
        </w:rPr>
      </w:pPr>
    </w:p>
    <w:p w14:paraId="406AD128" w14:textId="77777777" w:rsidR="00084F36" w:rsidRPr="00EB2BD8" w:rsidRDefault="00084F36">
      <w:pPr>
        <w:pStyle w:val="BodyText"/>
        <w:rPr>
          <w:rFonts w:ascii="Tahoma"/>
          <w:b/>
          <w:sz w:val="20"/>
        </w:rPr>
      </w:pPr>
    </w:p>
    <w:p w14:paraId="5CE6B256" w14:textId="77777777" w:rsidR="00084F36" w:rsidRPr="00EB2BD8" w:rsidRDefault="00084F36">
      <w:pPr>
        <w:pStyle w:val="BodyText"/>
        <w:rPr>
          <w:rFonts w:ascii="Tahoma"/>
          <w:b/>
          <w:sz w:val="20"/>
        </w:rPr>
      </w:pPr>
    </w:p>
    <w:p w14:paraId="19548009" w14:textId="77777777" w:rsidR="00084F36" w:rsidRPr="00EB2BD8" w:rsidRDefault="00084F36">
      <w:pPr>
        <w:pStyle w:val="BodyText"/>
        <w:rPr>
          <w:rFonts w:ascii="Tahoma"/>
          <w:b/>
          <w:sz w:val="20"/>
        </w:rPr>
      </w:pPr>
    </w:p>
    <w:p w14:paraId="59C0973C" w14:textId="77777777" w:rsidR="00084F36" w:rsidRPr="00EB2BD8" w:rsidRDefault="00084F36">
      <w:pPr>
        <w:pStyle w:val="BodyText"/>
        <w:rPr>
          <w:rFonts w:ascii="Tahoma"/>
          <w:b/>
          <w:sz w:val="20"/>
        </w:rPr>
      </w:pPr>
    </w:p>
    <w:p w14:paraId="4C76BAF4" w14:textId="742736E7" w:rsidR="00084F36" w:rsidRDefault="00084F36">
      <w:pPr>
        <w:pStyle w:val="BodyText"/>
        <w:rPr>
          <w:rFonts w:ascii="Tahoma"/>
          <w:b/>
          <w:sz w:val="20"/>
        </w:rPr>
      </w:pPr>
    </w:p>
    <w:p w14:paraId="1F722FD6" w14:textId="7AA1D837" w:rsidR="0004531F" w:rsidRDefault="0004531F">
      <w:pPr>
        <w:pStyle w:val="BodyText"/>
        <w:rPr>
          <w:rFonts w:ascii="Tahoma"/>
          <w:b/>
          <w:sz w:val="20"/>
        </w:rPr>
      </w:pPr>
    </w:p>
    <w:p w14:paraId="2DF0AE04" w14:textId="0550A8FF" w:rsidR="0004531F" w:rsidRDefault="0004531F">
      <w:pPr>
        <w:pStyle w:val="BodyText"/>
        <w:rPr>
          <w:rFonts w:ascii="Tahoma"/>
          <w:b/>
          <w:sz w:val="20"/>
        </w:rPr>
      </w:pPr>
    </w:p>
    <w:p w14:paraId="026FF470" w14:textId="1C013033" w:rsidR="0004531F" w:rsidRDefault="0004531F">
      <w:pPr>
        <w:pStyle w:val="BodyText"/>
        <w:rPr>
          <w:rFonts w:ascii="Tahoma"/>
          <w:b/>
          <w:sz w:val="20"/>
        </w:rPr>
      </w:pPr>
    </w:p>
    <w:p w14:paraId="74A2E141" w14:textId="27A86B75" w:rsidR="0004531F" w:rsidRDefault="0004531F">
      <w:pPr>
        <w:pStyle w:val="BodyText"/>
        <w:rPr>
          <w:rFonts w:ascii="Tahoma"/>
          <w:b/>
          <w:sz w:val="20"/>
        </w:rPr>
      </w:pPr>
    </w:p>
    <w:p w14:paraId="032F3043" w14:textId="445B3C20" w:rsidR="0004531F" w:rsidRDefault="0004531F">
      <w:pPr>
        <w:pStyle w:val="BodyText"/>
        <w:rPr>
          <w:rFonts w:ascii="Tahoma"/>
          <w:b/>
          <w:sz w:val="20"/>
        </w:rPr>
      </w:pPr>
    </w:p>
    <w:p w14:paraId="7B1E83E5" w14:textId="5CB6EB17" w:rsidR="0004531F" w:rsidRDefault="0004531F">
      <w:pPr>
        <w:pStyle w:val="BodyText"/>
        <w:rPr>
          <w:rFonts w:ascii="Tahoma"/>
          <w:b/>
          <w:sz w:val="20"/>
        </w:rPr>
      </w:pPr>
    </w:p>
    <w:p w14:paraId="7065B7C8" w14:textId="0948591D" w:rsidR="0004531F" w:rsidRDefault="0004531F">
      <w:pPr>
        <w:pStyle w:val="BodyText"/>
        <w:rPr>
          <w:rFonts w:ascii="Tahoma"/>
          <w:b/>
          <w:sz w:val="20"/>
        </w:rPr>
      </w:pPr>
    </w:p>
    <w:p w14:paraId="378F5EEA" w14:textId="12390563" w:rsidR="0004531F" w:rsidRDefault="0004531F">
      <w:pPr>
        <w:pStyle w:val="BodyText"/>
        <w:rPr>
          <w:rFonts w:ascii="Tahoma"/>
          <w:b/>
          <w:sz w:val="20"/>
        </w:rPr>
      </w:pPr>
    </w:p>
    <w:p w14:paraId="30905A4B" w14:textId="77777777" w:rsidR="0004531F" w:rsidRPr="00EB2BD8" w:rsidRDefault="0004531F">
      <w:pPr>
        <w:pStyle w:val="BodyText"/>
        <w:rPr>
          <w:rFonts w:ascii="Tahoma"/>
          <w:b/>
          <w:sz w:val="20"/>
        </w:rPr>
      </w:pPr>
    </w:p>
    <w:p w14:paraId="01EEFA89" w14:textId="77777777" w:rsidR="00084F36" w:rsidRPr="00EB2BD8" w:rsidRDefault="00084F36">
      <w:pPr>
        <w:pStyle w:val="BodyText"/>
        <w:spacing w:before="6"/>
        <w:rPr>
          <w:rFonts w:ascii="Tahoma"/>
          <w:b/>
          <w:sz w:val="21"/>
        </w:rPr>
      </w:pPr>
    </w:p>
    <w:p w14:paraId="480E0FB8" w14:textId="59C03A74" w:rsidR="00084F36" w:rsidRPr="00EB2BD8" w:rsidRDefault="00EB2BD8">
      <w:pPr>
        <w:tabs>
          <w:tab w:val="left" w:pos="1830"/>
        </w:tabs>
        <w:ind w:left="766"/>
        <w:rPr>
          <w:b/>
          <w:sz w:val="16"/>
        </w:rPr>
      </w:pPr>
      <w:r w:rsidRPr="00EB2BD8">
        <w:rPr>
          <w:sz w:val="16"/>
        </w:rPr>
        <w:tab/>
      </w:r>
    </w:p>
    <w:p w14:paraId="5E7DD74B" w14:textId="77777777" w:rsidR="00084F36" w:rsidRPr="00EB2BD8" w:rsidRDefault="00084F36">
      <w:pPr>
        <w:rPr>
          <w:sz w:val="16"/>
        </w:rPr>
        <w:sectPr w:rsidR="00084F36" w:rsidRPr="00EB2BD8" w:rsidSect="006D75B2">
          <w:headerReference w:type="even" r:id="rId383"/>
          <w:footerReference w:type="even" r:id="rId384"/>
          <w:footerReference w:type="default" r:id="rId385"/>
          <w:pgSz w:w="11910" w:h="16840"/>
          <w:pgMar w:top="740" w:right="0" w:bottom="280" w:left="0" w:header="0" w:footer="0" w:gutter="0"/>
          <w:cols w:space="720"/>
        </w:sectPr>
      </w:pPr>
    </w:p>
    <w:p w14:paraId="1CB933BC" w14:textId="77777777" w:rsidR="00084F36" w:rsidRPr="00EB2BD8" w:rsidRDefault="00084F36">
      <w:pPr>
        <w:pStyle w:val="BodyText"/>
        <w:rPr>
          <w:b/>
          <w:sz w:val="20"/>
        </w:rPr>
      </w:pPr>
    </w:p>
    <w:p w14:paraId="080284D3" w14:textId="77777777" w:rsidR="00084F36" w:rsidRPr="00EB2BD8" w:rsidRDefault="00084F36">
      <w:pPr>
        <w:pStyle w:val="BodyText"/>
        <w:rPr>
          <w:b/>
          <w:sz w:val="20"/>
        </w:rPr>
      </w:pPr>
    </w:p>
    <w:p w14:paraId="63AE37BD" w14:textId="77777777" w:rsidR="00084F36" w:rsidRPr="00EB2BD8" w:rsidRDefault="00084F36">
      <w:pPr>
        <w:pStyle w:val="BodyText"/>
        <w:spacing w:before="1"/>
        <w:rPr>
          <w:b/>
          <w:sz w:val="23"/>
        </w:rPr>
      </w:pPr>
    </w:p>
    <w:p w14:paraId="063F8EC8" w14:textId="77777777" w:rsidR="00084F36" w:rsidRPr="00EB2BD8" w:rsidRDefault="00084F36">
      <w:pPr>
        <w:pStyle w:val="BodyText"/>
        <w:rPr>
          <w:sz w:val="20"/>
        </w:rPr>
      </w:pPr>
    </w:p>
    <w:p w14:paraId="4F553B50" w14:textId="77777777" w:rsidR="00084F36" w:rsidRPr="00EB2BD8" w:rsidRDefault="00084F36">
      <w:pPr>
        <w:pStyle w:val="BodyText"/>
        <w:rPr>
          <w:sz w:val="20"/>
        </w:rPr>
      </w:pPr>
    </w:p>
    <w:p w14:paraId="13D14FCC" w14:textId="77777777" w:rsidR="00084F36" w:rsidRPr="00EB2BD8" w:rsidRDefault="00084F36">
      <w:pPr>
        <w:pStyle w:val="BodyText"/>
        <w:rPr>
          <w:sz w:val="20"/>
        </w:rPr>
      </w:pPr>
    </w:p>
    <w:p w14:paraId="5FEEEF84" w14:textId="77777777" w:rsidR="00084F36" w:rsidRPr="00EB2BD8" w:rsidRDefault="00084F36">
      <w:pPr>
        <w:pStyle w:val="BodyText"/>
        <w:rPr>
          <w:sz w:val="20"/>
        </w:rPr>
      </w:pPr>
    </w:p>
    <w:p w14:paraId="6C6793CF" w14:textId="77777777" w:rsidR="00084F36" w:rsidRPr="00EB2BD8" w:rsidRDefault="00084F36">
      <w:pPr>
        <w:pStyle w:val="BodyText"/>
        <w:rPr>
          <w:sz w:val="20"/>
        </w:rPr>
      </w:pPr>
    </w:p>
    <w:p w14:paraId="5C9E6BE0" w14:textId="77777777" w:rsidR="00084F36" w:rsidRPr="00EB2BD8" w:rsidRDefault="00084F36">
      <w:pPr>
        <w:pStyle w:val="BodyText"/>
        <w:rPr>
          <w:sz w:val="20"/>
        </w:rPr>
      </w:pPr>
    </w:p>
    <w:p w14:paraId="449D5DFF" w14:textId="77777777" w:rsidR="00084F36" w:rsidRPr="00EB2BD8" w:rsidRDefault="00084F36">
      <w:pPr>
        <w:pStyle w:val="BodyText"/>
        <w:rPr>
          <w:sz w:val="20"/>
        </w:rPr>
      </w:pPr>
    </w:p>
    <w:p w14:paraId="642BCF82" w14:textId="77777777" w:rsidR="00084F36" w:rsidRPr="00EB2BD8" w:rsidRDefault="00084F36">
      <w:pPr>
        <w:pStyle w:val="BodyText"/>
        <w:rPr>
          <w:sz w:val="20"/>
        </w:rPr>
      </w:pPr>
    </w:p>
    <w:p w14:paraId="7FC4A030" w14:textId="77777777" w:rsidR="00084F36" w:rsidRPr="00EB2BD8" w:rsidRDefault="00084F36">
      <w:pPr>
        <w:pStyle w:val="BodyText"/>
        <w:rPr>
          <w:sz w:val="20"/>
        </w:rPr>
      </w:pPr>
    </w:p>
    <w:p w14:paraId="35425C35" w14:textId="77777777" w:rsidR="00084F36" w:rsidRPr="00EB2BD8" w:rsidRDefault="00084F36">
      <w:pPr>
        <w:pStyle w:val="BodyText"/>
        <w:rPr>
          <w:sz w:val="20"/>
        </w:rPr>
      </w:pPr>
    </w:p>
    <w:p w14:paraId="4DD82004" w14:textId="77777777" w:rsidR="00084F36" w:rsidRPr="00EB2BD8" w:rsidRDefault="00084F36">
      <w:pPr>
        <w:pStyle w:val="BodyText"/>
        <w:rPr>
          <w:sz w:val="20"/>
        </w:rPr>
      </w:pPr>
    </w:p>
    <w:p w14:paraId="77510D38" w14:textId="77777777" w:rsidR="00084F36" w:rsidRPr="00EB2BD8" w:rsidRDefault="00084F36">
      <w:pPr>
        <w:pStyle w:val="BodyText"/>
        <w:rPr>
          <w:sz w:val="20"/>
        </w:rPr>
      </w:pPr>
    </w:p>
    <w:p w14:paraId="576890B1" w14:textId="77777777" w:rsidR="00084F36" w:rsidRPr="00EB2BD8" w:rsidRDefault="00084F36">
      <w:pPr>
        <w:pStyle w:val="BodyText"/>
        <w:rPr>
          <w:sz w:val="20"/>
        </w:rPr>
      </w:pPr>
    </w:p>
    <w:p w14:paraId="6183B396" w14:textId="77777777" w:rsidR="00084F36" w:rsidRPr="00EB2BD8" w:rsidRDefault="00084F36">
      <w:pPr>
        <w:pStyle w:val="BodyText"/>
        <w:spacing w:before="9"/>
        <w:rPr>
          <w:sz w:val="27"/>
        </w:rPr>
      </w:pPr>
    </w:p>
    <w:p w14:paraId="148D60CE" w14:textId="493BA18F" w:rsidR="00084F36" w:rsidRDefault="00EB2BD8" w:rsidP="00D0600F">
      <w:pPr>
        <w:pStyle w:val="Heading2"/>
      </w:pPr>
      <w:bookmarkStart w:id="411" w:name="_Toc150762713"/>
      <w:r w:rsidRPr="00D0600F">
        <w:t>Appendices contents page</w:t>
      </w:r>
      <w:bookmarkEnd w:id="411"/>
    </w:p>
    <w:p w14:paraId="0FB1D49A" w14:textId="3435CFC5" w:rsidR="00D0600F" w:rsidRDefault="00D0600F" w:rsidP="00D0600F">
      <w:pPr>
        <w:pStyle w:val="Heading2"/>
      </w:pPr>
    </w:p>
    <w:p w14:paraId="0F707869" w14:textId="2C7684FE" w:rsidR="00D0600F" w:rsidRDefault="00D0600F" w:rsidP="00D0600F">
      <w:pPr>
        <w:pStyle w:val="Heading3"/>
      </w:pPr>
      <w:bookmarkStart w:id="412" w:name="_Toc150762714"/>
      <w:r>
        <w:t>Appendix A</w:t>
      </w:r>
      <w:r>
        <w:tab/>
      </w:r>
      <w:r>
        <w:tab/>
        <w:t>Disclosure Index</w:t>
      </w:r>
      <w:r>
        <w:tab/>
      </w:r>
      <w:r>
        <w:tab/>
      </w:r>
      <w:r>
        <w:tab/>
      </w:r>
      <w:r>
        <w:tab/>
      </w:r>
      <w:r>
        <w:tab/>
      </w:r>
      <w:r>
        <w:tab/>
      </w:r>
      <w:r>
        <w:tab/>
        <w:t>146</w:t>
      </w:r>
      <w:bookmarkEnd w:id="412"/>
    </w:p>
    <w:p w14:paraId="54C16C2B" w14:textId="6E3E422E" w:rsidR="00D0600F" w:rsidRDefault="00D0600F" w:rsidP="00D0600F">
      <w:pPr>
        <w:pStyle w:val="Heading3"/>
      </w:pPr>
      <w:bookmarkStart w:id="413" w:name="_Toc150762715"/>
      <w:r>
        <w:t>Appendix B</w:t>
      </w:r>
      <w:r>
        <w:tab/>
      </w:r>
      <w:r>
        <w:tab/>
        <w:t xml:space="preserve">Progress against 2021-23 Statement of Expectations </w:t>
      </w:r>
      <w:r>
        <w:tab/>
      </w:r>
      <w:r>
        <w:tab/>
        <w:t>149</w:t>
      </w:r>
      <w:bookmarkEnd w:id="413"/>
    </w:p>
    <w:p w14:paraId="2E9D2F75" w14:textId="24842337" w:rsidR="00D0600F" w:rsidRDefault="00D0600F" w:rsidP="00D0600F">
      <w:pPr>
        <w:pStyle w:val="Heading3"/>
      </w:pPr>
      <w:bookmarkStart w:id="414" w:name="_Toc150762716"/>
      <w:r>
        <w:t xml:space="preserve">Appendix C </w:t>
      </w:r>
      <w:r>
        <w:tab/>
        <w:t>People Data</w:t>
      </w:r>
      <w:r>
        <w:tab/>
      </w:r>
      <w:r>
        <w:tab/>
      </w:r>
      <w:r>
        <w:tab/>
      </w:r>
      <w:r>
        <w:tab/>
      </w:r>
      <w:r>
        <w:tab/>
      </w:r>
      <w:r>
        <w:tab/>
      </w:r>
      <w:r>
        <w:tab/>
      </w:r>
      <w:r>
        <w:tab/>
        <w:t>150</w:t>
      </w:r>
      <w:bookmarkEnd w:id="414"/>
    </w:p>
    <w:p w14:paraId="2DC883D1" w14:textId="3AFB678C" w:rsidR="00D0600F" w:rsidRDefault="00D0600F" w:rsidP="00D0600F">
      <w:pPr>
        <w:pStyle w:val="Heading3"/>
      </w:pPr>
      <w:bookmarkStart w:id="415" w:name="_Toc150762717"/>
      <w:r>
        <w:t>Appendix D</w:t>
      </w:r>
      <w:r>
        <w:tab/>
      </w:r>
      <w:r>
        <w:tab/>
        <w:t xml:space="preserve">Prosecution and </w:t>
      </w:r>
      <w:r w:rsidR="003B3D54">
        <w:t>practitioner</w:t>
      </w:r>
      <w:r>
        <w:t xml:space="preserve"> discipline outcomes</w:t>
      </w:r>
      <w:r>
        <w:tab/>
      </w:r>
      <w:r>
        <w:tab/>
        <w:t>157</w:t>
      </w:r>
      <w:bookmarkEnd w:id="415"/>
    </w:p>
    <w:p w14:paraId="5CF8B630" w14:textId="0A30A8E1" w:rsidR="00D0600F" w:rsidRPr="00D0600F" w:rsidRDefault="00D0600F" w:rsidP="00D0600F">
      <w:pPr>
        <w:pStyle w:val="Heading3"/>
      </w:pPr>
      <w:bookmarkStart w:id="416" w:name="_Toc150762718"/>
      <w:r>
        <w:t>Appendix E</w:t>
      </w:r>
      <w:r>
        <w:tab/>
      </w:r>
      <w:r>
        <w:tab/>
        <w:t>Glossary</w:t>
      </w:r>
      <w:r>
        <w:tab/>
      </w:r>
      <w:r>
        <w:tab/>
      </w:r>
      <w:r>
        <w:tab/>
      </w:r>
      <w:r>
        <w:tab/>
      </w:r>
      <w:r>
        <w:tab/>
      </w:r>
      <w:r>
        <w:tab/>
      </w:r>
      <w:r>
        <w:tab/>
      </w:r>
      <w:r>
        <w:tab/>
        <w:t>178</w:t>
      </w:r>
      <w:bookmarkEnd w:id="416"/>
    </w:p>
    <w:p w14:paraId="14BE35A2" w14:textId="77777777" w:rsidR="00084F36" w:rsidRPr="00EB2BD8" w:rsidRDefault="00084F36">
      <w:pPr>
        <w:pStyle w:val="BodyText"/>
        <w:rPr>
          <w:rFonts w:ascii="Tahoma"/>
          <w:b/>
          <w:sz w:val="20"/>
        </w:rPr>
      </w:pPr>
    </w:p>
    <w:p w14:paraId="601C4B10" w14:textId="77777777" w:rsidR="00084F36" w:rsidRPr="00EB2BD8" w:rsidRDefault="00084F36">
      <w:pPr>
        <w:pStyle w:val="BodyText"/>
        <w:rPr>
          <w:rFonts w:ascii="Tahoma"/>
          <w:b/>
          <w:sz w:val="20"/>
        </w:rPr>
      </w:pPr>
    </w:p>
    <w:p w14:paraId="38787C08" w14:textId="77777777" w:rsidR="00084F36" w:rsidRPr="00EB2BD8" w:rsidRDefault="00084F36">
      <w:pPr>
        <w:pStyle w:val="BodyText"/>
        <w:rPr>
          <w:rFonts w:ascii="Tahoma"/>
          <w:b/>
          <w:sz w:val="20"/>
        </w:rPr>
      </w:pPr>
    </w:p>
    <w:p w14:paraId="013B02DF" w14:textId="77777777" w:rsidR="00084F36" w:rsidRPr="00EB2BD8" w:rsidRDefault="00084F36">
      <w:pPr>
        <w:pStyle w:val="BodyText"/>
        <w:spacing w:before="4" w:after="1"/>
        <w:rPr>
          <w:rFonts w:ascii="Tahoma"/>
          <w:b/>
          <w:sz w:val="11"/>
        </w:rPr>
      </w:pPr>
    </w:p>
    <w:p w14:paraId="5ACF5FF9" w14:textId="77777777" w:rsidR="00084F36" w:rsidRPr="00EB2BD8" w:rsidRDefault="00084F36">
      <w:pPr>
        <w:spacing w:line="241" w:lineRule="exact"/>
        <w:jc w:val="right"/>
        <w:sectPr w:rsidR="00084F36" w:rsidRPr="00EB2BD8" w:rsidSect="006D75B2">
          <w:headerReference w:type="default" r:id="rId386"/>
          <w:footerReference w:type="even" r:id="rId387"/>
          <w:footerReference w:type="default" r:id="rId388"/>
          <w:pgSz w:w="11910" w:h="16840"/>
          <w:pgMar w:top="0" w:right="0" w:bottom="700" w:left="0" w:header="0" w:footer="519" w:gutter="0"/>
          <w:pgNumType w:start="145"/>
          <w:cols w:space="720"/>
        </w:sectPr>
      </w:pPr>
    </w:p>
    <w:p w14:paraId="60A1BC35" w14:textId="77777777" w:rsidR="00084F36" w:rsidRPr="00EB2BD8" w:rsidRDefault="00084F36">
      <w:pPr>
        <w:pStyle w:val="BodyText"/>
        <w:spacing w:before="10"/>
        <w:rPr>
          <w:rFonts w:ascii="Tahoma"/>
          <w:b/>
        </w:rPr>
      </w:pPr>
    </w:p>
    <w:p w14:paraId="122709CA" w14:textId="77777777" w:rsidR="00084F36" w:rsidRPr="00EB2BD8" w:rsidRDefault="00084F36">
      <w:pPr>
        <w:pStyle w:val="BodyText"/>
        <w:rPr>
          <w:rFonts w:ascii="Tahoma"/>
          <w:b/>
          <w:sz w:val="20"/>
        </w:rPr>
      </w:pPr>
    </w:p>
    <w:p w14:paraId="7EAF566E" w14:textId="77777777" w:rsidR="00084F36" w:rsidRPr="00EB2BD8" w:rsidRDefault="00084F36">
      <w:pPr>
        <w:pStyle w:val="BodyText"/>
        <w:rPr>
          <w:rFonts w:ascii="Tahoma"/>
          <w:b/>
          <w:sz w:val="20"/>
        </w:rPr>
      </w:pPr>
    </w:p>
    <w:p w14:paraId="2793C82D" w14:textId="77777777" w:rsidR="00084F36" w:rsidRPr="00EB2BD8" w:rsidRDefault="00084F36">
      <w:pPr>
        <w:pStyle w:val="BodyText"/>
        <w:rPr>
          <w:rFonts w:ascii="Tahoma"/>
          <w:b/>
          <w:sz w:val="20"/>
        </w:rPr>
      </w:pPr>
    </w:p>
    <w:p w14:paraId="6B7336E5" w14:textId="77777777" w:rsidR="00084F36" w:rsidRPr="00EB2BD8" w:rsidRDefault="00084F36">
      <w:pPr>
        <w:pStyle w:val="BodyText"/>
        <w:spacing w:before="3"/>
        <w:rPr>
          <w:rFonts w:ascii="Tahoma"/>
          <w:b/>
        </w:rPr>
      </w:pPr>
    </w:p>
    <w:p w14:paraId="387CE22B" w14:textId="5FDC88A7" w:rsidR="003B3D54" w:rsidRDefault="003B3D54" w:rsidP="003B3D54">
      <w:pPr>
        <w:pStyle w:val="Heading1"/>
        <w:rPr>
          <w:w w:val="90"/>
        </w:rPr>
      </w:pPr>
      <w:bookmarkStart w:id="417" w:name="_Toc150762719"/>
      <w:r>
        <w:rPr>
          <w:w w:val="90"/>
        </w:rPr>
        <w:t>Appendix A</w:t>
      </w:r>
      <w:bookmarkEnd w:id="417"/>
    </w:p>
    <w:p w14:paraId="3E0DD325" w14:textId="595F4F95" w:rsidR="00084F36" w:rsidRPr="00EB2BD8" w:rsidRDefault="00EB2BD8" w:rsidP="0004531F">
      <w:pPr>
        <w:pStyle w:val="Heading2"/>
      </w:pPr>
      <w:bookmarkStart w:id="418" w:name="_Toc150762720"/>
      <w:r w:rsidRPr="00EB2BD8">
        <w:rPr>
          <w:w w:val="90"/>
        </w:rPr>
        <w:t>Disclosure</w:t>
      </w:r>
      <w:r w:rsidRPr="00EB2BD8">
        <w:rPr>
          <w:spacing w:val="17"/>
        </w:rPr>
        <w:t xml:space="preserve"> </w:t>
      </w:r>
      <w:r w:rsidRPr="00EB2BD8">
        <w:rPr>
          <w:spacing w:val="-2"/>
        </w:rPr>
        <w:t>index</w:t>
      </w:r>
      <w:bookmarkEnd w:id="418"/>
    </w:p>
    <w:p w14:paraId="336A1845" w14:textId="77777777" w:rsidR="00084F36" w:rsidRPr="00EB2BD8" w:rsidRDefault="00084F36">
      <w:pPr>
        <w:pStyle w:val="BodyText"/>
        <w:spacing w:before="1"/>
        <w:rPr>
          <w:b/>
          <w:sz w:val="33"/>
        </w:rPr>
      </w:pPr>
    </w:p>
    <w:p w14:paraId="0831E324" w14:textId="77777777" w:rsidR="00084F36" w:rsidRPr="00EB2BD8" w:rsidRDefault="00EB2BD8">
      <w:pPr>
        <w:pStyle w:val="BodyText"/>
        <w:spacing w:line="261" w:lineRule="auto"/>
        <w:ind w:left="850" w:right="858"/>
      </w:pPr>
      <w:r w:rsidRPr="00EB2BD8">
        <w:t>The</w:t>
      </w:r>
      <w:r w:rsidRPr="00EB2BD8">
        <w:rPr>
          <w:spacing w:val="-2"/>
        </w:rPr>
        <w:t xml:space="preserve"> </w:t>
      </w:r>
      <w:r w:rsidRPr="00EB2BD8">
        <w:t>Annual</w:t>
      </w:r>
      <w:r w:rsidRPr="00EB2BD8">
        <w:rPr>
          <w:spacing w:val="-2"/>
        </w:rPr>
        <w:t xml:space="preserve"> </w:t>
      </w:r>
      <w:r w:rsidRPr="00EB2BD8">
        <w:t>Report</w:t>
      </w:r>
      <w:r w:rsidRPr="00EB2BD8">
        <w:rPr>
          <w:spacing w:val="-2"/>
        </w:rPr>
        <w:t xml:space="preserve"> </w:t>
      </w:r>
      <w:r w:rsidRPr="00EB2BD8">
        <w:t>of</w:t>
      </w:r>
      <w:r w:rsidRPr="00EB2BD8">
        <w:rPr>
          <w:spacing w:val="-2"/>
        </w:rPr>
        <w:t xml:space="preserve"> </w:t>
      </w:r>
      <w:r w:rsidRPr="00EB2BD8">
        <w:t>the</w:t>
      </w:r>
      <w:r w:rsidRPr="00EB2BD8">
        <w:rPr>
          <w:spacing w:val="-2"/>
        </w:rPr>
        <w:t xml:space="preserve"> </w:t>
      </w:r>
      <w:r w:rsidRPr="00EB2BD8">
        <w:t>VBA</w:t>
      </w:r>
      <w:r w:rsidRPr="00EB2BD8">
        <w:rPr>
          <w:spacing w:val="-2"/>
        </w:rPr>
        <w:t xml:space="preserve"> </w:t>
      </w:r>
      <w:r w:rsidRPr="00EB2BD8">
        <w:t>is</w:t>
      </w:r>
      <w:r w:rsidRPr="00EB2BD8">
        <w:rPr>
          <w:spacing w:val="-2"/>
        </w:rPr>
        <w:t xml:space="preserve"> </w:t>
      </w:r>
      <w:r w:rsidRPr="00EB2BD8">
        <w:t>prepared</w:t>
      </w:r>
      <w:r w:rsidRPr="00EB2BD8">
        <w:rPr>
          <w:spacing w:val="-2"/>
        </w:rPr>
        <w:t xml:space="preserve"> </w:t>
      </w:r>
      <w:r w:rsidRPr="00EB2BD8">
        <w:t>in</w:t>
      </w:r>
      <w:r w:rsidRPr="00EB2BD8">
        <w:rPr>
          <w:spacing w:val="-2"/>
        </w:rPr>
        <w:t xml:space="preserve"> </w:t>
      </w:r>
      <w:r w:rsidRPr="00EB2BD8">
        <w:t>accordance</w:t>
      </w:r>
      <w:r w:rsidRPr="00EB2BD8">
        <w:rPr>
          <w:spacing w:val="-2"/>
        </w:rPr>
        <w:t xml:space="preserve"> </w:t>
      </w:r>
      <w:r w:rsidRPr="00EB2BD8">
        <w:t>with</w:t>
      </w:r>
      <w:r w:rsidRPr="00EB2BD8">
        <w:rPr>
          <w:spacing w:val="-2"/>
        </w:rPr>
        <w:t xml:space="preserve"> </w:t>
      </w:r>
      <w:r w:rsidRPr="00EB2BD8">
        <w:t>all</w:t>
      </w:r>
      <w:r w:rsidRPr="00EB2BD8">
        <w:rPr>
          <w:spacing w:val="-2"/>
        </w:rPr>
        <w:t xml:space="preserve"> </w:t>
      </w:r>
      <w:r w:rsidRPr="00EB2BD8">
        <w:t>relevant</w:t>
      </w:r>
      <w:r w:rsidRPr="00EB2BD8">
        <w:rPr>
          <w:spacing w:val="-2"/>
        </w:rPr>
        <w:t xml:space="preserve"> </w:t>
      </w:r>
      <w:r w:rsidRPr="00EB2BD8">
        <w:t>Victorian</w:t>
      </w:r>
      <w:r w:rsidRPr="00EB2BD8">
        <w:rPr>
          <w:spacing w:val="-2"/>
        </w:rPr>
        <w:t xml:space="preserve"> </w:t>
      </w:r>
      <w:r w:rsidRPr="00EB2BD8">
        <w:t>legislation</w:t>
      </w:r>
      <w:r w:rsidRPr="00EB2BD8">
        <w:rPr>
          <w:spacing w:val="-2"/>
        </w:rPr>
        <w:t xml:space="preserve"> </w:t>
      </w:r>
      <w:r w:rsidRPr="00EB2BD8">
        <w:t>and</w:t>
      </w:r>
      <w:r w:rsidRPr="00EB2BD8">
        <w:rPr>
          <w:spacing w:val="-2"/>
        </w:rPr>
        <w:t xml:space="preserve"> </w:t>
      </w:r>
      <w:r w:rsidRPr="00EB2BD8">
        <w:t xml:space="preserve">pronouncements. This index has been prepared to facilitate identification of the VBA’s compliance with statutory disclosure </w:t>
      </w:r>
      <w:r w:rsidRPr="00EB2BD8">
        <w:rPr>
          <w:spacing w:val="-2"/>
        </w:rPr>
        <w:t>requirements.</w:t>
      </w:r>
    </w:p>
    <w:p w14:paraId="7CE387E8" w14:textId="77777777" w:rsidR="00084F36" w:rsidRPr="00EB2BD8" w:rsidRDefault="00084F36">
      <w:pPr>
        <w:pStyle w:val="BodyText"/>
        <w:spacing w:before="3"/>
        <w:rPr>
          <w:sz w:val="19"/>
        </w:rPr>
      </w:pPr>
    </w:p>
    <w:p w14:paraId="3FE1D973" w14:textId="77777777" w:rsidR="00084F36" w:rsidRPr="00EB2BD8" w:rsidRDefault="00EB2BD8">
      <w:pPr>
        <w:pStyle w:val="BodyText"/>
        <w:spacing w:before="1" w:line="261" w:lineRule="auto"/>
        <w:ind w:left="850" w:right="1155"/>
      </w:pPr>
      <w:r w:rsidRPr="00EB2BD8">
        <w:t>To</w:t>
      </w:r>
      <w:r w:rsidRPr="00EB2BD8">
        <w:rPr>
          <w:spacing w:val="-11"/>
        </w:rPr>
        <w:t xml:space="preserve"> </w:t>
      </w:r>
      <w:r w:rsidRPr="00EB2BD8">
        <w:t>refer</w:t>
      </w:r>
      <w:r w:rsidRPr="00EB2BD8">
        <w:rPr>
          <w:spacing w:val="-11"/>
        </w:rPr>
        <w:t xml:space="preserve"> </w:t>
      </w:r>
      <w:r w:rsidRPr="00EB2BD8">
        <w:t>to</w:t>
      </w:r>
      <w:r w:rsidRPr="00EB2BD8">
        <w:rPr>
          <w:spacing w:val="-11"/>
        </w:rPr>
        <w:t xml:space="preserve"> </w:t>
      </w:r>
      <w:r w:rsidRPr="00EB2BD8">
        <w:t>the</w:t>
      </w:r>
      <w:r w:rsidRPr="00EB2BD8">
        <w:rPr>
          <w:spacing w:val="-11"/>
        </w:rPr>
        <w:t xml:space="preserve"> </w:t>
      </w:r>
      <w:r w:rsidRPr="00EB2BD8">
        <w:t>relevant</w:t>
      </w:r>
      <w:r w:rsidRPr="00EB2BD8">
        <w:rPr>
          <w:spacing w:val="-11"/>
        </w:rPr>
        <w:t xml:space="preserve"> </w:t>
      </w:r>
      <w:r w:rsidRPr="00EB2BD8">
        <w:t>requirements</w:t>
      </w:r>
      <w:r w:rsidRPr="00EB2BD8">
        <w:rPr>
          <w:spacing w:val="-11"/>
        </w:rPr>
        <w:t xml:space="preserve"> </w:t>
      </w:r>
      <w:r w:rsidRPr="00EB2BD8">
        <w:t>for</w:t>
      </w:r>
      <w:r w:rsidRPr="00EB2BD8">
        <w:rPr>
          <w:spacing w:val="-11"/>
        </w:rPr>
        <w:t xml:space="preserve"> </w:t>
      </w:r>
      <w:r w:rsidRPr="00EB2BD8">
        <w:t>the</w:t>
      </w:r>
      <w:r w:rsidRPr="00EB2BD8">
        <w:rPr>
          <w:spacing w:val="-11"/>
        </w:rPr>
        <w:t xml:space="preserve"> </w:t>
      </w:r>
      <w:r w:rsidRPr="00EB2BD8">
        <w:t>corresponding</w:t>
      </w:r>
      <w:r w:rsidRPr="00EB2BD8">
        <w:rPr>
          <w:spacing w:val="-11"/>
        </w:rPr>
        <w:t xml:space="preserve"> </w:t>
      </w:r>
      <w:r w:rsidRPr="00EB2BD8">
        <w:t>disclosure</w:t>
      </w:r>
      <w:r w:rsidRPr="00EB2BD8">
        <w:rPr>
          <w:spacing w:val="-11"/>
        </w:rPr>
        <w:t xml:space="preserve"> </w:t>
      </w:r>
      <w:r w:rsidRPr="00EB2BD8">
        <w:t>requirements,</w:t>
      </w:r>
      <w:r w:rsidRPr="00EB2BD8">
        <w:rPr>
          <w:spacing w:val="-11"/>
        </w:rPr>
        <w:t xml:space="preserve"> </w:t>
      </w:r>
      <w:r w:rsidRPr="00EB2BD8">
        <w:t>click</w:t>
      </w:r>
      <w:r w:rsidRPr="00EB2BD8">
        <w:rPr>
          <w:spacing w:val="-11"/>
        </w:rPr>
        <w:t xml:space="preserve"> </w:t>
      </w:r>
      <w:r w:rsidRPr="00EB2BD8">
        <w:t>on</w:t>
      </w:r>
      <w:r w:rsidRPr="00EB2BD8">
        <w:rPr>
          <w:spacing w:val="-11"/>
        </w:rPr>
        <w:t xml:space="preserve"> </w:t>
      </w:r>
      <w:r w:rsidRPr="00EB2BD8">
        <w:t>the</w:t>
      </w:r>
      <w:r w:rsidRPr="00EB2BD8">
        <w:rPr>
          <w:spacing w:val="-11"/>
        </w:rPr>
        <w:t xml:space="preserve"> </w:t>
      </w:r>
      <w:r w:rsidRPr="00EB2BD8">
        <w:t>corresponding page</w:t>
      </w:r>
      <w:r w:rsidRPr="00EB2BD8">
        <w:rPr>
          <w:spacing w:val="-6"/>
        </w:rPr>
        <w:t xml:space="preserve"> </w:t>
      </w:r>
      <w:r w:rsidRPr="00EB2BD8">
        <w:t>references.</w:t>
      </w:r>
    </w:p>
    <w:p w14:paraId="565FE884" w14:textId="77777777" w:rsidR="00084F36" w:rsidRPr="00EB2BD8" w:rsidRDefault="00084F36">
      <w:pPr>
        <w:pStyle w:val="BodyText"/>
        <w:spacing w:before="4"/>
        <w:rPr>
          <w:sz w:val="19"/>
        </w:rPr>
      </w:pPr>
    </w:p>
    <w:tbl>
      <w:tblPr>
        <w:tblW w:w="0" w:type="auto"/>
        <w:tblInd w:w="857" w:type="dxa"/>
        <w:tblLayout w:type="fixed"/>
        <w:tblCellMar>
          <w:left w:w="0" w:type="dxa"/>
          <w:right w:w="0" w:type="dxa"/>
        </w:tblCellMar>
        <w:tblLook w:val="01E0" w:firstRow="1" w:lastRow="1" w:firstColumn="1" w:lastColumn="1" w:noHBand="0" w:noVBand="0"/>
      </w:tblPr>
      <w:tblGrid>
        <w:gridCol w:w="2209"/>
        <w:gridCol w:w="6125"/>
        <w:gridCol w:w="1870"/>
      </w:tblGrid>
      <w:tr w:rsidR="00EB2BD8" w:rsidRPr="00EB2BD8" w14:paraId="7530DD5B" w14:textId="77777777">
        <w:trPr>
          <w:trHeight w:val="386"/>
        </w:trPr>
        <w:tc>
          <w:tcPr>
            <w:tcW w:w="2209" w:type="dxa"/>
            <w:shd w:val="clear" w:color="auto" w:fill="005F83"/>
          </w:tcPr>
          <w:p w14:paraId="386804B1" w14:textId="77777777" w:rsidR="00084F36" w:rsidRPr="0004531F" w:rsidRDefault="00EB2BD8">
            <w:pPr>
              <w:pStyle w:val="TableParagraph"/>
              <w:spacing w:before="118"/>
              <w:ind w:left="113"/>
              <w:rPr>
                <w:color w:val="FFFFFF" w:themeColor="background1"/>
                <w:sz w:val="16"/>
              </w:rPr>
            </w:pPr>
            <w:r w:rsidRPr="0004531F">
              <w:rPr>
                <w:color w:val="FFFFFF" w:themeColor="background1"/>
                <w:spacing w:val="-2"/>
                <w:sz w:val="16"/>
              </w:rPr>
              <w:t>Legislation</w:t>
            </w:r>
          </w:p>
        </w:tc>
        <w:tc>
          <w:tcPr>
            <w:tcW w:w="6125" w:type="dxa"/>
            <w:shd w:val="clear" w:color="auto" w:fill="005F83"/>
          </w:tcPr>
          <w:p w14:paraId="0988D3FE" w14:textId="77777777" w:rsidR="00084F36" w:rsidRPr="0004531F" w:rsidRDefault="00EB2BD8">
            <w:pPr>
              <w:pStyle w:val="TableParagraph"/>
              <w:spacing w:before="118"/>
              <w:ind w:left="1"/>
              <w:rPr>
                <w:color w:val="FFFFFF" w:themeColor="background1"/>
                <w:sz w:val="16"/>
              </w:rPr>
            </w:pPr>
            <w:r w:rsidRPr="0004531F">
              <w:rPr>
                <w:color w:val="FFFFFF" w:themeColor="background1"/>
                <w:spacing w:val="-2"/>
                <w:sz w:val="16"/>
              </w:rPr>
              <w:t>Requirement</w:t>
            </w:r>
          </w:p>
        </w:tc>
        <w:tc>
          <w:tcPr>
            <w:tcW w:w="1870" w:type="dxa"/>
            <w:shd w:val="clear" w:color="auto" w:fill="005F83"/>
          </w:tcPr>
          <w:p w14:paraId="61397B02" w14:textId="77777777" w:rsidR="00084F36" w:rsidRPr="0004531F" w:rsidRDefault="00EB2BD8">
            <w:pPr>
              <w:pStyle w:val="TableParagraph"/>
              <w:spacing w:before="118"/>
              <w:ind w:left="396"/>
              <w:rPr>
                <w:color w:val="FFFFFF" w:themeColor="background1"/>
                <w:sz w:val="16"/>
              </w:rPr>
            </w:pPr>
            <w:r w:rsidRPr="0004531F">
              <w:rPr>
                <w:color w:val="FFFFFF" w:themeColor="background1"/>
                <w:w w:val="105"/>
                <w:sz w:val="16"/>
              </w:rPr>
              <w:t xml:space="preserve">Page </w:t>
            </w:r>
            <w:r w:rsidRPr="0004531F">
              <w:rPr>
                <w:color w:val="FFFFFF" w:themeColor="background1"/>
                <w:spacing w:val="-2"/>
                <w:w w:val="105"/>
                <w:sz w:val="16"/>
              </w:rPr>
              <w:t>reference</w:t>
            </w:r>
          </w:p>
        </w:tc>
      </w:tr>
      <w:tr w:rsidR="00EB2BD8" w:rsidRPr="00EB2BD8" w14:paraId="5C748226" w14:textId="77777777">
        <w:trPr>
          <w:trHeight w:val="689"/>
        </w:trPr>
        <w:tc>
          <w:tcPr>
            <w:tcW w:w="2209" w:type="dxa"/>
            <w:shd w:val="clear" w:color="auto" w:fill="E5F5FF"/>
          </w:tcPr>
          <w:p w14:paraId="6EA8DFE5" w14:textId="77777777" w:rsidR="00084F36" w:rsidRPr="00EB2BD8" w:rsidRDefault="00EB2BD8">
            <w:pPr>
              <w:pStyle w:val="TableParagraph"/>
              <w:spacing w:before="85"/>
              <w:ind w:left="79"/>
              <w:rPr>
                <w:sz w:val="16"/>
              </w:rPr>
            </w:pPr>
            <w:r w:rsidRPr="00EB2BD8">
              <w:rPr>
                <w:spacing w:val="-2"/>
                <w:sz w:val="16"/>
              </w:rPr>
              <w:t>Report</w:t>
            </w:r>
            <w:r w:rsidRPr="00EB2BD8">
              <w:rPr>
                <w:spacing w:val="-6"/>
                <w:sz w:val="16"/>
              </w:rPr>
              <w:t xml:space="preserve"> </w:t>
            </w:r>
            <w:r w:rsidRPr="00EB2BD8">
              <w:rPr>
                <w:spacing w:val="-2"/>
                <w:sz w:val="16"/>
              </w:rPr>
              <w:t>of</w:t>
            </w:r>
            <w:r w:rsidRPr="00EB2BD8">
              <w:rPr>
                <w:spacing w:val="-6"/>
                <w:sz w:val="16"/>
              </w:rPr>
              <w:t xml:space="preserve"> </w:t>
            </w:r>
            <w:r w:rsidRPr="00EB2BD8">
              <w:rPr>
                <w:spacing w:val="-2"/>
                <w:sz w:val="16"/>
              </w:rPr>
              <w:t>operations</w:t>
            </w:r>
          </w:p>
          <w:p w14:paraId="5FA24D80" w14:textId="77777777" w:rsidR="00084F36" w:rsidRPr="00EB2BD8" w:rsidRDefault="00084F36">
            <w:pPr>
              <w:pStyle w:val="TableParagraph"/>
              <w:spacing w:before="5"/>
              <w:rPr>
                <w:sz w:val="15"/>
              </w:rPr>
            </w:pPr>
          </w:p>
          <w:p w14:paraId="70840455" w14:textId="77777777" w:rsidR="00084F36" w:rsidRPr="00EB2BD8" w:rsidRDefault="00EB2BD8">
            <w:pPr>
              <w:pStyle w:val="TableParagraph"/>
              <w:ind w:left="79"/>
              <w:rPr>
                <w:sz w:val="16"/>
              </w:rPr>
            </w:pPr>
            <w:r w:rsidRPr="00EB2BD8">
              <w:rPr>
                <w:spacing w:val="-2"/>
                <w:w w:val="105"/>
                <w:sz w:val="16"/>
              </w:rPr>
              <w:t>Charter</w:t>
            </w:r>
            <w:r w:rsidRPr="00EB2BD8">
              <w:rPr>
                <w:spacing w:val="-10"/>
                <w:w w:val="105"/>
                <w:sz w:val="16"/>
              </w:rPr>
              <w:t xml:space="preserve"> </w:t>
            </w:r>
            <w:r w:rsidRPr="00EB2BD8">
              <w:rPr>
                <w:spacing w:val="-2"/>
                <w:w w:val="105"/>
                <w:sz w:val="16"/>
              </w:rPr>
              <w:t>and</w:t>
            </w:r>
            <w:r w:rsidRPr="00EB2BD8">
              <w:rPr>
                <w:spacing w:val="-10"/>
                <w:w w:val="105"/>
                <w:sz w:val="16"/>
              </w:rPr>
              <w:t xml:space="preserve"> </w:t>
            </w:r>
            <w:r w:rsidRPr="00EB2BD8">
              <w:rPr>
                <w:spacing w:val="-2"/>
                <w:w w:val="105"/>
                <w:sz w:val="16"/>
              </w:rPr>
              <w:t>purpose</w:t>
            </w:r>
          </w:p>
        </w:tc>
        <w:tc>
          <w:tcPr>
            <w:tcW w:w="6125" w:type="dxa"/>
            <w:shd w:val="clear" w:color="auto" w:fill="E5F5FF"/>
          </w:tcPr>
          <w:p w14:paraId="13A7331B" w14:textId="77777777" w:rsidR="00084F36" w:rsidRPr="00EB2BD8" w:rsidRDefault="00084F36">
            <w:pPr>
              <w:pStyle w:val="TableParagraph"/>
              <w:rPr>
                <w:rFonts w:ascii="Times New Roman"/>
                <w:sz w:val="16"/>
              </w:rPr>
            </w:pPr>
          </w:p>
        </w:tc>
        <w:tc>
          <w:tcPr>
            <w:tcW w:w="1870" w:type="dxa"/>
            <w:shd w:val="clear" w:color="auto" w:fill="E5F5FF"/>
          </w:tcPr>
          <w:p w14:paraId="106060F6" w14:textId="77777777" w:rsidR="00084F36" w:rsidRPr="00EB2BD8" w:rsidRDefault="00084F36">
            <w:pPr>
              <w:pStyle w:val="TableParagraph"/>
              <w:rPr>
                <w:rFonts w:ascii="Times New Roman"/>
                <w:sz w:val="16"/>
              </w:rPr>
            </w:pPr>
          </w:p>
        </w:tc>
      </w:tr>
      <w:tr w:rsidR="00EB2BD8" w:rsidRPr="00EB2BD8" w14:paraId="36EDAD48" w14:textId="77777777">
        <w:trPr>
          <w:trHeight w:val="384"/>
        </w:trPr>
        <w:tc>
          <w:tcPr>
            <w:tcW w:w="2209" w:type="dxa"/>
            <w:tcBorders>
              <w:bottom w:val="single" w:sz="2" w:space="0" w:color="000000"/>
            </w:tcBorders>
          </w:tcPr>
          <w:p w14:paraId="7CB1E243" w14:textId="77777777" w:rsidR="00084F36" w:rsidRPr="00EB2BD8" w:rsidRDefault="00EB2BD8">
            <w:pPr>
              <w:pStyle w:val="TableParagraph"/>
              <w:spacing w:before="119"/>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Borders>
              <w:bottom w:val="single" w:sz="2" w:space="0" w:color="000000"/>
            </w:tcBorders>
          </w:tcPr>
          <w:p w14:paraId="4F422B36" w14:textId="77777777" w:rsidR="00084F36" w:rsidRPr="00EB2BD8" w:rsidRDefault="00EB2BD8">
            <w:pPr>
              <w:pStyle w:val="TableParagraph"/>
              <w:spacing w:before="119"/>
              <w:ind w:left="1"/>
              <w:rPr>
                <w:sz w:val="16"/>
              </w:rPr>
            </w:pPr>
            <w:r w:rsidRPr="00EB2BD8">
              <w:rPr>
                <w:sz w:val="16"/>
              </w:rPr>
              <w:t>Manner</w:t>
            </w:r>
            <w:r w:rsidRPr="00EB2BD8">
              <w:rPr>
                <w:spacing w:val="-9"/>
                <w:sz w:val="16"/>
              </w:rPr>
              <w:t xml:space="preserve"> </w:t>
            </w:r>
            <w:r w:rsidRPr="00EB2BD8">
              <w:rPr>
                <w:sz w:val="16"/>
              </w:rPr>
              <w:t>of</w:t>
            </w:r>
            <w:r w:rsidRPr="00EB2BD8">
              <w:rPr>
                <w:spacing w:val="-8"/>
                <w:sz w:val="16"/>
              </w:rPr>
              <w:t xml:space="preserve"> </w:t>
            </w:r>
            <w:r w:rsidRPr="00EB2BD8">
              <w:rPr>
                <w:sz w:val="16"/>
              </w:rPr>
              <w:t>establishment</w:t>
            </w:r>
            <w:r w:rsidRPr="00EB2BD8">
              <w:rPr>
                <w:spacing w:val="-8"/>
                <w:sz w:val="16"/>
              </w:rPr>
              <w:t xml:space="preserve"> </w:t>
            </w:r>
            <w:r w:rsidRPr="00EB2BD8">
              <w:rPr>
                <w:sz w:val="16"/>
              </w:rPr>
              <w:t>and</w:t>
            </w:r>
            <w:r w:rsidRPr="00EB2BD8">
              <w:rPr>
                <w:spacing w:val="-9"/>
                <w:sz w:val="16"/>
              </w:rPr>
              <w:t xml:space="preserve"> </w:t>
            </w:r>
            <w:r w:rsidRPr="00EB2BD8">
              <w:rPr>
                <w:sz w:val="16"/>
              </w:rPr>
              <w:t>the</w:t>
            </w:r>
            <w:r w:rsidRPr="00EB2BD8">
              <w:rPr>
                <w:spacing w:val="-8"/>
                <w:sz w:val="16"/>
              </w:rPr>
              <w:t xml:space="preserve"> </w:t>
            </w:r>
            <w:r w:rsidRPr="00EB2BD8">
              <w:rPr>
                <w:sz w:val="16"/>
              </w:rPr>
              <w:t>relevant</w:t>
            </w:r>
            <w:r w:rsidRPr="00EB2BD8">
              <w:rPr>
                <w:spacing w:val="-8"/>
                <w:sz w:val="16"/>
              </w:rPr>
              <w:t xml:space="preserve"> </w:t>
            </w:r>
            <w:r w:rsidRPr="00EB2BD8">
              <w:rPr>
                <w:spacing w:val="-2"/>
                <w:sz w:val="16"/>
              </w:rPr>
              <w:t>Ministers</w:t>
            </w:r>
          </w:p>
        </w:tc>
        <w:tc>
          <w:tcPr>
            <w:tcW w:w="1870" w:type="dxa"/>
            <w:tcBorders>
              <w:bottom w:val="single" w:sz="2" w:space="0" w:color="000000"/>
            </w:tcBorders>
          </w:tcPr>
          <w:p w14:paraId="38808EA9" w14:textId="77777777" w:rsidR="00084F36" w:rsidRPr="00EB2BD8" w:rsidRDefault="00EB2BD8">
            <w:pPr>
              <w:pStyle w:val="TableParagraph"/>
              <w:spacing w:before="119"/>
              <w:ind w:right="110"/>
              <w:jc w:val="right"/>
              <w:rPr>
                <w:sz w:val="16"/>
              </w:rPr>
            </w:pPr>
            <w:r w:rsidRPr="00EB2BD8">
              <w:rPr>
                <w:w w:val="96"/>
                <w:sz w:val="16"/>
              </w:rPr>
              <w:t>9</w:t>
            </w:r>
          </w:p>
        </w:tc>
      </w:tr>
      <w:tr w:rsidR="00EB2BD8" w:rsidRPr="00EB2BD8" w14:paraId="31675791" w14:textId="77777777">
        <w:trPr>
          <w:trHeight w:val="381"/>
        </w:trPr>
        <w:tc>
          <w:tcPr>
            <w:tcW w:w="2209" w:type="dxa"/>
            <w:tcBorders>
              <w:top w:val="single" w:sz="2" w:space="0" w:color="000000"/>
              <w:bottom w:val="single" w:sz="2" w:space="0" w:color="000000"/>
            </w:tcBorders>
          </w:tcPr>
          <w:p w14:paraId="571D6C5C"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Borders>
              <w:top w:val="single" w:sz="2" w:space="0" w:color="000000"/>
              <w:bottom w:val="single" w:sz="2" w:space="0" w:color="000000"/>
            </w:tcBorders>
          </w:tcPr>
          <w:p w14:paraId="1ED2F105" w14:textId="77777777" w:rsidR="00084F36" w:rsidRPr="00EB2BD8" w:rsidRDefault="00EB2BD8">
            <w:pPr>
              <w:pStyle w:val="TableParagraph"/>
              <w:spacing w:before="116"/>
              <w:ind w:left="1"/>
              <w:rPr>
                <w:sz w:val="16"/>
              </w:rPr>
            </w:pPr>
            <w:r w:rsidRPr="00EB2BD8">
              <w:rPr>
                <w:spacing w:val="-2"/>
                <w:sz w:val="16"/>
              </w:rPr>
              <w:t>Purpose,</w:t>
            </w:r>
            <w:r w:rsidRPr="00EB2BD8">
              <w:rPr>
                <w:spacing w:val="-9"/>
                <w:sz w:val="16"/>
              </w:rPr>
              <w:t xml:space="preserve"> </w:t>
            </w:r>
            <w:r w:rsidRPr="00EB2BD8">
              <w:rPr>
                <w:spacing w:val="-2"/>
                <w:sz w:val="16"/>
              </w:rPr>
              <w:t>functions,</w:t>
            </w:r>
            <w:r w:rsidRPr="00EB2BD8">
              <w:rPr>
                <w:spacing w:val="-9"/>
                <w:sz w:val="16"/>
              </w:rPr>
              <w:t xml:space="preserve"> </w:t>
            </w:r>
            <w:r w:rsidRPr="00EB2BD8">
              <w:rPr>
                <w:spacing w:val="-2"/>
                <w:sz w:val="16"/>
              </w:rPr>
              <w:t>powers</w:t>
            </w:r>
            <w:r w:rsidRPr="00EB2BD8">
              <w:rPr>
                <w:spacing w:val="-9"/>
                <w:sz w:val="16"/>
              </w:rPr>
              <w:t xml:space="preserve"> </w:t>
            </w:r>
            <w:r w:rsidRPr="00EB2BD8">
              <w:rPr>
                <w:spacing w:val="-2"/>
                <w:sz w:val="16"/>
              </w:rPr>
              <w:t>and</w:t>
            </w:r>
            <w:r w:rsidRPr="00EB2BD8">
              <w:rPr>
                <w:spacing w:val="-9"/>
                <w:sz w:val="16"/>
              </w:rPr>
              <w:t xml:space="preserve"> </w:t>
            </w:r>
            <w:r w:rsidRPr="00EB2BD8">
              <w:rPr>
                <w:spacing w:val="-2"/>
                <w:sz w:val="16"/>
              </w:rPr>
              <w:t>duties</w:t>
            </w:r>
          </w:p>
        </w:tc>
        <w:tc>
          <w:tcPr>
            <w:tcW w:w="1870" w:type="dxa"/>
            <w:tcBorders>
              <w:top w:val="single" w:sz="2" w:space="0" w:color="000000"/>
              <w:bottom w:val="single" w:sz="2" w:space="0" w:color="000000"/>
            </w:tcBorders>
          </w:tcPr>
          <w:p w14:paraId="1D75205D" w14:textId="77777777" w:rsidR="00084F36" w:rsidRPr="00EB2BD8" w:rsidRDefault="00EB2BD8">
            <w:pPr>
              <w:pStyle w:val="TableParagraph"/>
              <w:spacing w:before="116"/>
              <w:ind w:right="110"/>
              <w:jc w:val="right"/>
              <w:rPr>
                <w:sz w:val="16"/>
              </w:rPr>
            </w:pPr>
            <w:r w:rsidRPr="00EB2BD8">
              <w:rPr>
                <w:spacing w:val="-8"/>
                <w:sz w:val="16"/>
              </w:rPr>
              <w:t>7-</w:t>
            </w:r>
            <w:r w:rsidRPr="00EB2BD8">
              <w:rPr>
                <w:spacing w:val="-10"/>
                <w:sz w:val="16"/>
              </w:rPr>
              <w:t>9</w:t>
            </w:r>
          </w:p>
        </w:tc>
      </w:tr>
      <w:tr w:rsidR="00EB2BD8" w:rsidRPr="00EB2BD8" w14:paraId="57D62A65" w14:textId="77777777">
        <w:trPr>
          <w:trHeight w:val="381"/>
        </w:trPr>
        <w:tc>
          <w:tcPr>
            <w:tcW w:w="2209" w:type="dxa"/>
            <w:tcBorders>
              <w:top w:val="single" w:sz="2" w:space="0" w:color="000000"/>
              <w:bottom w:val="single" w:sz="2" w:space="0" w:color="000000"/>
            </w:tcBorders>
          </w:tcPr>
          <w:p w14:paraId="64972FF6"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Borders>
              <w:top w:val="single" w:sz="2" w:space="0" w:color="000000"/>
              <w:bottom w:val="single" w:sz="2" w:space="0" w:color="000000"/>
            </w:tcBorders>
          </w:tcPr>
          <w:p w14:paraId="1717EBDA" w14:textId="77777777" w:rsidR="00084F36" w:rsidRPr="00EB2BD8" w:rsidRDefault="00EB2BD8">
            <w:pPr>
              <w:pStyle w:val="TableParagraph"/>
              <w:spacing w:before="116"/>
              <w:ind w:left="1"/>
              <w:rPr>
                <w:sz w:val="16"/>
              </w:rPr>
            </w:pPr>
            <w:r w:rsidRPr="00EB2BD8">
              <w:rPr>
                <w:sz w:val="16"/>
              </w:rPr>
              <w:t>Key</w:t>
            </w:r>
            <w:r w:rsidRPr="00EB2BD8">
              <w:rPr>
                <w:spacing w:val="-13"/>
                <w:sz w:val="16"/>
              </w:rPr>
              <w:t xml:space="preserve"> </w:t>
            </w:r>
            <w:r w:rsidRPr="00EB2BD8">
              <w:rPr>
                <w:sz w:val="16"/>
              </w:rPr>
              <w:t>initiatives</w:t>
            </w:r>
            <w:r w:rsidRPr="00EB2BD8">
              <w:rPr>
                <w:spacing w:val="-12"/>
                <w:sz w:val="16"/>
              </w:rPr>
              <w:t xml:space="preserve"> </w:t>
            </w:r>
            <w:r w:rsidRPr="00EB2BD8">
              <w:rPr>
                <w:sz w:val="16"/>
              </w:rPr>
              <w:t>and</w:t>
            </w:r>
            <w:r w:rsidRPr="00EB2BD8">
              <w:rPr>
                <w:spacing w:val="-12"/>
                <w:sz w:val="16"/>
              </w:rPr>
              <w:t xml:space="preserve"> </w:t>
            </w:r>
            <w:r w:rsidRPr="00EB2BD8">
              <w:rPr>
                <w:spacing w:val="-2"/>
                <w:sz w:val="16"/>
              </w:rPr>
              <w:t>projects</w:t>
            </w:r>
          </w:p>
        </w:tc>
        <w:tc>
          <w:tcPr>
            <w:tcW w:w="1870" w:type="dxa"/>
            <w:tcBorders>
              <w:top w:val="single" w:sz="2" w:space="0" w:color="000000"/>
              <w:bottom w:val="single" w:sz="2" w:space="0" w:color="000000"/>
            </w:tcBorders>
          </w:tcPr>
          <w:p w14:paraId="0BBFCADD" w14:textId="77777777" w:rsidR="00084F36" w:rsidRPr="00EB2BD8" w:rsidRDefault="00EB2BD8">
            <w:pPr>
              <w:pStyle w:val="TableParagraph"/>
              <w:spacing w:before="116"/>
              <w:ind w:right="111"/>
              <w:jc w:val="right"/>
              <w:rPr>
                <w:sz w:val="16"/>
              </w:rPr>
            </w:pPr>
            <w:r w:rsidRPr="00EB2BD8">
              <w:rPr>
                <w:spacing w:val="-2"/>
                <w:sz w:val="16"/>
              </w:rPr>
              <w:t>6-</w:t>
            </w:r>
            <w:r w:rsidRPr="00EB2BD8">
              <w:rPr>
                <w:spacing w:val="-5"/>
                <w:sz w:val="16"/>
              </w:rPr>
              <w:t>68</w:t>
            </w:r>
          </w:p>
        </w:tc>
      </w:tr>
      <w:tr w:rsidR="00EB2BD8" w:rsidRPr="00EB2BD8" w14:paraId="6A5EDCC5" w14:textId="77777777">
        <w:trPr>
          <w:trHeight w:val="384"/>
        </w:trPr>
        <w:tc>
          <w:tcPr>
            <w:tcW w:w="2209" w:type="dxa"/>
            <w:tcBorders>
              <w:top w:val="single" w:sz="2" w:space="0" w:color="000000"/>
            </w:tcBorders>
          </w:tcPr>
          <w:p w14:paraId="4E2541AD"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Borders>
              <w:top w:val="single" w:sz="2" w:space="0" w:color="000000"/>
            </w:tcBorders>
          </w:tcPr>
          <w:p w14:paraId="065573A6" w14:textId="77777777" w:rsidR="00084F36" w:rsidRPr="00EB2BD8" w:rsidRDefault="00EB2BD8">
            <w:pPr>
              <w:pStyle w:val="TableParagraph"/>
              <w:spacing w:before="116"/>
              <w:ind w:left="1"/>
              <w:rPr>
                <w:sz w:val="16"/>
              </w:rPr>
            </w:pPr>
            <w:r w:rsidRPr="00EB2BD8">
              <w:rPr>
                <w:sz w:val="16"/>
              </w:rPr>
              <w:t>Nature</w:t>
            </w:r>
            <w:r w:rsidRPr="00EB2BD8">
              <w:rPr>
                <w:spacing w:val="-5"/>
                <w:sz w:val="16"/>
              </w:rPr>
              <w:t xml:space="preserve"> </w:t>
            </w:r>
            <w:r w:rsidRPr="00EB2BD8">
              <w:rPr>
                <w:sz w:val="16"/>
              </w:rPr>
              <w:t>and</w:t>
            </w:r>
            <w:r w:rsidRPr="00EB2BD8">
              <w:rPr>
                <w:spacing w:val="-4"/>
                <w:sz w:val="16"/>
              </w:rPr>
              <w:t xml:space="preserve"> </w:t>
            </w:r>
            <w:r w:rsidRPr="00EB2BD8">
              <w:rPr>
                <w:sz w:val="16"/>
              </w:rPr>
              <w:t>range</w:t>
            </w:r>
            <w:r w:rsidRPr="00EB2BD8">
              <w:rPr>
                <w:spacing w:val="-4"/>
                <w:sz w:val="16"/>
              </w:rPr>
              <w:t xml:space="preserve"> </w:t>
            </w:r>
            <w:r w:rsidRPr="00EB2BD8">
              <w:rPr>
                <w:sz w:val="16"/>
              </w:rPr>
              <w:t>of</w:t>
            </w:r>
            <w:r w:rsidRPr="00EB2BD8">
              <w:rPr>
                <w:spacing w:val="-4"/>
                <w:sz w:val="16"/>
              </w:rPr>
              <w:t xml:space="preserve"> </w:t>
            </w:r>
            <w:r w:rsidRPr="00EB2BD8">
              <w:rPr>
                <w:sz w:val="16"/>
              </w:rPr>
              <w:t>services</w:t>
            </w:r>
            <w:r w:rsidRPr="00EB2BD8">
              <w:rPr>
                <w:spacing w:val="-4"/>
                <w:sz w:val="16"/>
              </w:rPr>
              <w:t xml:space="preserve"> </w:t>
            </w:r>
            <w:r w:rsidRPr="00EB2BD8">
              <w:rPr>
                <w:spacing w:val="-2"/>
                <w:sz w:val="16"/>
              </w:rPr>
              <w:t>provided</w:t>
            </w:r>
          </w:p>
        </w:tc>
        <w:tc>
          <w:tcPr>
            <w:tcW w:w="1870" w:type="dxa"/>
            <w:tcBorders>
              <w:top w:val="single" w:sz="2" w:space="0" w:color="000000"/>
            </w:tcBorders>
          </w:tcPr>
          <w:p w14:paraId="17426D11" w14:textId="77777777" w:rsidR="00084F36" w:rsidRPr="00EB2BD8" w:rsidRDefault="00EB2BD8">
            <w:pPr>
              <w:pStyle w:val="TableParagraph"/>
              <w:spacing w:before="116"/>
              <w:ind w:right="110"/>
              <w:jc w:val="right"/>
              <w:rPr>
                <w:sz w:val="16"/>
              </w:rPr>
            </w:pPr>
            <w:r w:rsidRPr="00EB2BD8">
              <w:rPr>
                <w:w w:val="96"/>
                <w:sz w:val="16"/>
              </w:rPr>
              <w:t>9</w:t>
            </w:r>
          </w:p>
        </w:tc>
      </w:tr>
      <w:tr w:rsidR="00EB2BD8" w:rsidRPr="00EB2BD8" w14:paraId="1DDCA569" w14:textId="77777777">
        <w:trPr>
          <w:trHeight w:val="320"/>
        </w:trPr>
        <w:tc>
          <w:tcPr>
            <w:tcW w:w="2209" w:type="dxa"/>
            <w:shd w:val="clear" w:color="auto" w:fill="E5F5FF"/>
          </w:tcPr>
          <w:p w14:paraId="5448693A" w14:textId="77777777" w:rsidR="00084F36" w:rsidRPr="00EB2BD8" w:rsidRDefault="00EB2BD8">
            <w:pPr>
              <w:pStyle w:val="TableParagraph"/>
              <w:spacing w:before="85"/>
              <w:ind w:left="79"/>
              <w:rPr>
                <w:sz w:val="16"/>
              </w:rPr>
            </w:pPr>
            <w:r w:rsidRPr="00EB2BD8">
              <w:rPr>
                <w:sz w:val="16"/>
              </w:rPr>
              <w:t>Management</w:t>
            </w:r>
            <w:r w:rsidRPr="00EB2BD8">
              <w:rPr>
                <w:spacing w:val="10"/>
                <w:sz w:val="16"/>
              </w:rPr>
              <w:t xml:space="preserve"> </w:t>
            </w:r>
            <w:r w:rsidRPr="00EB2BD8">
              <w:rPr>
                <w:sz w:val="16"/>
              </w:rPr>
              <w:t>and</w:t>
            </w:r>
            <w:r w:rsidRPr="00EB2BD8">
              <w:rPr>
                <w:spacing w:val="10"/>
                <w:sz w:val="16"/>
              </w:rPr>
              <w:t xml:space="preserve"> </w:t>
            </w:r>
            <w:r w:rsidRPr="00EB2BD8">
              <w:rPr>
                <w:spacing w:val="-2"/>
                <w:sz w:val="16"/>
              </w:rPr>
              <w:t>structure</w:t>
            </w:r>
          </w:p>
        </w:tc>
        <w:tc>
          <w:tcPr>
            <w:tcW w:w="6125" w:type="dxa"/>
            <w:shd w:val="clear" w:color="auto" w:fill="E5F5FF"/>
          </w:tcPr>
          <w:p w14:paraId="78F9B2FA" w14:textId="77777777" w:rsidR="00084F36" w:rsidRPr="00EB2BD8" w:rsidRDefault="00084F36">
            <w:pPr>
              <w:pStyle w:val="TableParagraph"/>
              <w:rPr>
                <w:rFonts w:ascii="Times New Roman"/>
                <w:sz w:val="16"/>
              </w:rPr>
            </w:pPr>
          </w:p>
        </w:tc>
        <w:tc>
          <w:tcPr>
            <w:tcW w:w="1870" w:type="dxa"/>
            <w:shd w:val="clear" w:color="auto" w:fill="E5F5FF"/>
          </w:tcPr>
          <w:p w14:paraId="1E542A04" w14:textId="77777777" w:rsidR="00084F36" w:rsidRPr="00EB2BD8" w:rsidRDefault="00084F36">
            <w:pPr>
              <w:pStyle w:val="TableParagraph"/>
              <w:rPr>
                <w:rFonts w:ascii="Times New Roman"/>
                <w:sz w:val="16"/>
              </w:rPr>
            </w:pPr>
          </w:p>
        </w:tc>
      </w:tr>
      <w:tr w:rsidR="00EB2BD8" w:rsidRPr="00EB2BD8" w14:paraId="282323B4" w14:textId="77777777">
        <w:trPr>
          <w:trHeight w:val="386"/>
        </w:trPr>
        <w:tc>
          <w:tcPr>
            <w:tcW w:w="2209" w:type="dxa"/>
          </w:tcPr>
          <w:p w14:paraId="34C26B56" w14:textId="77777777" w:rsidR="00084F36" w:rsidRPr="00EB2BD8" w:rsidRDefault="00EB2BD8">
            <w:pPr>
              <w:pStyle w:val="TableParagraph"/>
              <w:spacing w:before="119"/>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Pr>
          <w:p w14:paraId="219C92F1" w14:textId="77777777" w:rsidR="00084F36" w:rsidRPr="00EB2BD8" w:rsidRDefault="00EB2BD8">
            <w:pPr>
              <w:pStyle w:val="TableParagraph"/>
              <w:spacing w:before="119"/>
              <w:ind w:left="1"/>
              <w:rPr>
                <w:sz w:val="16"/>
              </w:rPr>
            </w:pPr>
            <w:r w:rsidRPr="00EB2BD8">
              <w:rPr>
                <w:sz w:val="16"/>
              </w:rPr>
              <w:t>Organisational</w:t>
            </w:r>
            <w:r w:rsidRPr="00EB2BD8">
              <w:rPr>
                <w:spacing w:val="4"/>
                <w:sz w:val="16"/>
              </w:rPr>
              <w:t xml:space="preserve"> </w:t>
            </w:r>
            <w:r w:rsidRPr="00EB2BD8">
              <w:rPr>
                <w:spacing w:val="-2"/>
                <w:sz w:val="16"/>
              </w:rPr>
              <w:t>structure</w:t>
            </w:r>
          </w:p>
        </w:tc>
        <w:tc>
          <w:tcPr>
            <w:tcW w:w="1870" w:type="dxa"/>
          </w:tcPr>
          <w:p w14:paraId="0EBDF315" w14:textId="77777777" w:rsidR="00084F36" w:rsidRPr="00EB2BD8" w:rsidRDefault="00EB2BD8">
            <w:pPr>
              <w:pStyle w:val="TableParagraph"/>
              <w:spacing w:before="119"/>
              <w:ind w:right="111"/>
              <w:jc w:val="right"/>
              <w:rPr>
                <w:sz w:val="16"/>
              </w:rPr>
            </w:pPr>
            <w:r w:rsidRPr="00EB2BD8">
              <w:rPr>
                <w:spacing w:val="-5"/>
                <w:sz w:val="16"/>
              </w:rPr>
              <w:t>68</w:t>
            </w:r>
          </w:p>
        </w:tc>
      </w:tr>
      <w:tr w:rsidR="00EB2BD8" w:rsidRPr="00EB2BD8" w14:paraId="70758BD2" w14:textId="77777777">
        <w:trPr>
          <w:trHeight w:val="320"/>
        </w:trPr>
        <w:tc>
          <w:tcPr>
            <w:tcW w:w="10204" w:type="dxa"/>
            <w:gridSpan w:val="3"/>
            <w:shd w:val="clear" w:color="auto" w:fill="E5F5FF"/>
          </w:tcPr>
          <w:p w14:paraId="671D7745" w14:textId="77777777" w:rsidR="00084F36" w:rsidRPr="00EB2BD8" w:rsidRDefault="00EB2BD8">
            <w:pPr>
              <w:pStyle w:val="TableParagraph"/>
              <w:spacing w:before="85"/>
              <w:ind w:left="79"/>
              <w:rPr>
                <w:sz w:val="16"/>
              </w:rPr>
            </w:pPr>
            <w:r w:rsidRPr="00EB2BD8">
              <w:rPr>
                <w:sz w:val="16"/>
              </w:rPr>
              <w:t>Financial and</w:t>
            </w:r>
            <w:r w:rsidRPr="00EB2BD8">
              <w:rPr>
                <w:spacing w:val="1"/>
                <w:sz w:val="16"/>
              </w:rPr>
              <w:t xml:space="preserve"> </w:t>
            </w:r>
            <w:r w:rsidRPr="00EB2BD8">
              <w:rPr>
                <w:sz w:val="16"/>
              </w:rPr>
              <w:t>other</w:t>
            </w:r>
            <w:r w:rsidRPr="00EB2BD8">
              <w:rPr>
                <w:spacing w:val="1"/>
                <w:sz w:val="16"/>
              </w:rPr>
              <w:t xml:space="preserve"> </w:t>
            </w:r>
            <w:r w:rsidRPr="00EB2BD8">
              <w:rPr>
                <w:spacing w:val="-2"/>
                <w:sz w:val="16"/>
              </w:rPr>
              <w:t>information</w:t>
            </w:r>
          </w:p>
        </w:tc>
      </w:tr>
      <w:tr w:rsidR="00EB2BD8" w:rsidRPr="00EB2BD8" w14:paraId="6742224B" w14:textId="77777777">
        <w:trPr>
          <w:trHeight w:val="384"/>
        </w:trPr>
        <w:tc>
          <w:tcPr>
            <w:tcW w:w="2209" w:type="dxa"/>
            <w:tcBorders>
              <w:bottom w:val="single" w:sz="2" w:space="0" w:color="000000"/>
            </w:tcBorders>
          </w:tcPr>
          <w:p w14:paraId="6881FDDC" w14:textId="77777777" w:rsidR="00084F36" w:rsidRPr="00EB2BD8" w:rsidRDefault="00EB2BD8">
            <w:pPr>
              <w:pStyle w:val="TableParagraph"/>
              <w:spacing w:before="119"/>
              <w:ind w:left="113"/>
              <w:rPr>
                <w:sz w:val="16"/>
              </w:rPr>
            </w:pPr>
            <w:r w:rsidRPr="00EB2BD8">
              <w:rPr>
                <w:sz w:val="16"/>
              </w:rPr>
              <w:t>FRD</w:t>
            </w:r>
            <w:r w:rsidRPr="00EB2BD8">
              <w:rPr>
                <w:spacing w:val="-2"/>
                <w:sz w:val="16"/>
              </w:rPr>
              <w:t xml:space="preserve"> </w:t>
            </w:r>
            <w:r w:rsidRPr="00EB2BD8">
              <w:rPr>
                <w:spacing w:val="-5"/>
                <w:sz w:val="16"/>
              </w:rPr>
              <w:t>10</w:t>
            </w:r>
          </w:p>
        </w:tc>
        <w:tc>
          <w:tcPr>
            <w:tcW w:w="6125" w:type="dxa"/>
            <w:tcBorders>
              <w:bottom w:val="single" w:sz="2" w:space="0" w:color="000000"/>
            </w:tcBorders>
          </w:tcPr>
          <w:p w14:paraId="5DF4C373" w14:textId="77777777" w:rsidR="00084F36" w:rsidRPr="00EB2BD8" w:rsidRDefault="00EB2BD8">
            <w:pPr>
              <w:pStyle w:val="TableParagraph"/>
              <w:spacing w:before="119"/>
              <w:ind w:left="1"/>
              <w:rPr>
                <w:sz w:val="16"/>
              </w:rPr>
            </w:pPr>
            <w:r w:rsidRPr="00EB2BD8">
              <w:rPr>
                <w:spacing w:val="-4"/>
                <w:sz w:val="16"/>
              </w:rPr>
              <w:t>Disclosure</w:t>
            </w:r>
            <w:r w:rsidRPr="00EB2BD8">
              <w:rPr>
                <w:spacing w:val="7"/>
                <w:sz w:val="16"/>
              </w:rPr>
              <w:t xml:space="preserve"> </w:t>
            </w:r>
            <w:r w:rsidRPr="00EB2BD8">
              <w:rPr>
                <w:spacing w:val="-2"/>
                <w:sz w:val="16"/>
              </w:rPr>
              <w:t>index</w:t>
            </w:r>
          </w:p>
        </w:tc>
        <w:tc>
          <w:tcPr>
            <w:tcW w:w="1870" w:type="dxa"/>
            <w:tcBorders>
              <w:bottom w:val="single" w:sz="2" w:space="0" w:color="000000"/>
            </w:tcBorders>
          </w:tcPr>
          <w:p w14:paraId="11FB0D83" w14:textId="77777777" w:rsidR="00084F36" w:rsidRPr="00EB2BD8" w:rsidRDefault="00EB2BD8">
            <w:pPr>
              <w:pStyle w:val="TableParagraph"/>
              <w:spacing w:before="119"/>
              <w:ind w:right="111"/>
              <w:jc w:val="right"/>
              <w:rPr>
                <w:sz w:val="16"/>
              </w:rPr>
            </w:pPr>
            <w:r w:rsidRPr="00EB2BD8">
              <w:rPr>
                <w:spacing w:val="-3"/>
                <w:w w:val="90"/>
                <w:sz w:val="16"/>
              </w:rPr>
              <w:t>146-</w:t>
            </w:r>
            <w:r w:rsidRPr="00EB2BD8">
              <w:rPr>
                <w:spacing w:val="-5"/>
                <w:w w:val="95"/>
                <w:sz w:val="16"/>
              </w:rPr>
              <w:t>148</w:t>
            </w:r>
          </w:p>
        </w:tc>
      </w:tr>
      <w:tr w:rsidR="00EB2BD8" w:rsidRPr="00EB2BD8" w14:paraId="6130A713" w14:textId="77777777">
        <w:trPr>
          <w:trHeight w:val="381"/>
        </w:trPr>
        <w:tc>
          <w:tcPr>
            <w:tcW w:w="2209" w:type="dxa"/>
            <w:tcBorders>
              <w:top w:val="single" w:sz="2" w:space="0" w:color="000000"/>
              <w:bottom w:val="single" w:sz="2" w:space="0" w:color="000000"/>
            </w:tcBorders>
          </w:tcPr>
          <w:p w14:paraId="6F2A90ED"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12</w:t>
            </w:r>
          </w:p>
        </w:tc>
        <w:tc>
          <w:tcPr>
            <w:tcW w:w="6125" w:type="dxa"/>
            <w:tcBorders>
              <w:top w:val="single" w:sz="2" w:space="0" w:color="000000"/>
              <w:bottom w:val="single" w:sz="2" w:space="0" w:color="000000"/>
            </w:tcBorders>
          </w:tcPr>
          <w:p w14:paraId="4F06D3B3" w14:textId="77777777" w:rsidR="00084F36" w:rsidRPr="00EB2BD8" w:rsidRDefault="00EB2BD8">
            <w:pPr>
              <w:pStyle w:val="TableParagraph"/>
              <w:spacing w:before="116"/>
              <w:ind w:left="1"/>
              <w:rPr>
                <w:sz w:val="16"/>
              </w:rPr>
            </w:pPr>
            <w:r w:rsidRPr="00EB2BD8">
              <w:rPr>
                <w:spacing w:val="-2"/>
                <w:sz w:val="16"/>
              </w:rPr>
              <w:t>Disclosure</w:t>
            </w:r>
            <w:r w:rsidRPr="00EB2BD8">
              <w:rPr>
                <w:spacing w:val="-8"/>
                <w:sz w:val="16"/>
              </w:rPr>
              <w:t xml:space="preserve"> </w:t>
            </w:r>
            <w:r w:rsidRPr="00EB2BD8">
              <w:rPr>
                <w:spacing w:val="-2"/>
                <w:sz w:val="16"/>
              </w:rPr>
              <w:t>of</w:t>
            </w:r>
            <w:r w:rsidRPr="00EB2BD8">
              <w:rPr>
                <w:spacing w:val="-8"/>
                <w:sz w:val="16"/>
              </w:rPr>
              <w:t xml:space="preserve"> </w:t>
            </w:r>
            <w:r w:rsidRPr="00EB2BD8">
              <w:rPr>
                <w:spacing w:val="-2"/>
                <w:sz w:val="16"/>
              </w:rPr>
              <w:t>major</w:t>
            </w:r>
            <w:r w:rsidRPr="00EB2BD8">
              <w:rPr>
                <w:spacing w:val="-8"/>
                <w:sz w:val="16"/>
              </w:rPr>
              <w:t xml:space="preserve"> </w:t>
            </w:r>
            <w:r w:rsidRPr="00EB2BD8">
              <w:rPr>
                <w:spacing w:val="-2"/>
                <w:sz w:val="16"/>
              </w:rPr>
              <w:t>contracts</w:t>
            </w:r>
          </w:p>
        </w:tc>
        <w:tc>
          <w:tcPr>
            <w:tcW w:w="1870" w:type="dxa"/>
            <w:tcBorders>
              <w:top w:val="single" w:sz="2" w:space="0" w:color="000000"/>
              <w:bottom w:val="single" w:sz="2" w:space="0" w:color="000000"/>
            </w:tcBorders>
          </w:tcPr>
          <w:p w14:paraId="53F460C1" w14:textId="77777777" w:rsidR="00084F36" w:rsidRPr="00EB2BD8" w:rsidRDefault="00EB2BD8">
            <w:pPr>
              <w:pStyle w:val="TableParagraph"/>
              <w:spacing w:before="116"/>
              <w:ind w:right="118"/>
              <w:jc w:val="right"/>
              <w:rPr>
                <w:sz w:val="16"/>
              </w:rPr>
            </w:pPr>
            <w:r w:rsidRPr="00EB2BD8">
              <w:rPr>
                <w:spacing w:val="-5"/>
                <w:w w:val="95"/>
                <w:sz w:val="16"/>
              </w:rPr>
              <w:t>74</w:t>
            </w:r>
          </w:p>
        </w:tc>
      </w:tr>
      <w:tr w:rsidR="00EB2BD8" w:rsidRPr="00EB2BD8" w14:paraId="07BD9571" w14:textId="77777777">
        <w:trPr>
          <w:trHeight w:val="381"/>
        </w:trPr>
        <w:tc>
          <w:tcPr>
            <w:tcW w:w="2209" w:type="dxa"/>
            <w:tcBorders>
              <w:top w:val="single" w:sz="2" w:space="0" w:color="000000"/>
              <w:bottom w:val="single" w:sz="2" w:space="0" w:color="000000"/>
            </w:tcBorders>
          </w:tcPr>
          <w:p w14:paraId="22867160"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15</w:t>
            </w:r>
          </w:p>
        </w:tc>
        <w:tc>
          <w:tcPr>
            <w:tcW w:w="6125" w:type="dxa"/>
            <w:tcBorders>
              <w:top w:val="single" w:sz="2" w:space="0" w:color="000000"/>
              <w:bottom w:val="single" w:sz="2" w:space="0" w:color="000000"/>
            </w:tcBorders>
          </w:tcPr>
          <w:p w14:paraId="1AB831D1" w14:textId="77777777" w:rsidR="00084F36" w:rsidRPr="00EB2BD8" w:rsidRDefault="00EB2BD8">
            <w:pPr>
              <w:pStyle w:val="TableParagraph"/>
              <w:spacing w:before="116"/>
              <w:ind w:left="1"/>
              <w:rPr>
                <w:sz w:val="16"/>
              </w:rPr>
            </w:pPr>
            <w:r w:rsidRPr="00EB2BD8">
              <w:rPr>
                <w:sz w:val="16"/>
              </w:rPr>
              <w:t>Executive</w:t>
            </w:r>
            <w:r w:rsidRPr="00EB2BD8">
              <w:rPr>
                <w:spacing w:val="-13"/>
                <w:sz w:val="16"/>
              </w:rPr>
              <w:t xml:space="preserve"> </w:t>
            </w:r>
            <w:r w:rsidRPr="00EB2BD8">
              <w:rPr>
                <w:sz w:val="16"/>
              </w:rPr>
              <w:t>officer</w:t>
            </w:r>
            <w:r w:rsidRPr="00EB2BD8">
              <w:rPr>
                <w:spacing w:val="-12"/>
                <w:sz w:val="16"/>
              </w:rPr>
              <w:t xml:space="preserve"> </w:t>
            </w:r>
            <w:r w:rsidRPr="00EB2BD8">
              <w:rPr>
                <w:spacing w:val="-2"/>
                <w:sz w:val="16"/>
              </w:rPr>
              <w:t>disclosures</w:t>
            </w:r>
          </w:p>
        </w:tc>
        <w:tc>
          <w:tcPr>
            <w:tcW w:w="1870" w:type="dxa"/>
            <w:tcBorders>
              <w:top w:val="single" w:sz="2" w:space="0" w:color="000000"/>
              <w:bottom w:val="single" w:sz="2" w:space="0" w:color="000000"/>
            </w:tcBorders>
          </w:tcPr>
          <w:p w14:paraId="275BCC69" w14:textId="77777777" w:rsidR="00084F36" w:rsidRPr="00EB2BD8" w:rsidRDefault="00EB2BD8">
            <w:pPr>
              <w:pStyle w:val="TableParagraph"/>
              <w:spacing w:before="116"/>
              <w:ind w:right="111"/>
              <w:jc w:val="right"/>
              <w:rPr>
                <w:sz w:val="16"/>
              </w:rPr>
            </w:pPr>
            <w:r w:rsidRPr="00EB2BD8">
              <w:rPr>
                <w:spacing w:val="-5"/>
                <w:w w:val="85"/>
                <w:sz w:val="16"/>
              </w:rPr>
              <w:t>155</w:t>
            </w:r>
          </w:p>
        </w:tc>
      </w:tr>
      <w:tr w:rsidR="00EB2BD8" w:rsidRPr="00EB2BD8" w14:paraId="44EE79D8" w14:textId="77777777">
        <w:trPr>
          <w:trHeight w:val="381"/>
        </w:trPr>
        <w:tc>
          <w:tcPr>
            <w:tcW w:w="2209" w:type="dxa"/>
            <w:tcBorders>
              <w:top w:val="single" w:sz="2" w:space="0" w:color="000000"/>
              <w:bottom w:val="single" w:sz="2" w:space="0" w:color="000000"/>
            </w:tcBorders>
          </w:tcPr>
          <w:p w14:paraId="0F1AB37F"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Borders>
              <w:top w:val="single" w:sz="2" w:space="0" w:color="000000"/>
              <w:bottom w:val="single" w:sz="2" w:space="0" w:color="000000"/>
            </w:tcBorders>
          </w:tcPr>
          <w:p w14:paraId="0E64BF65" w14:textId="77777777" w:rsidR="00084F36" w:rsidRPr="00EB2BD8" w:rsidRDefault="00EB2BD8">
            <w:pPr>
              <w:pStyle w:val="TableParagraph"/>
              <w:spacing w:before="116"/>
              <w:ind w:left="1"/>
              <w:rPr>
                <w:sz w:val="16"/>
              </w:rPr>
            </w:pPr>
            <w:r w:rsidRPr="00EB2BD8">
              <w:rPr>
                <w:sz w:val="16"/>
              </w:rPr>
              <w:t>Employment</w:t>
            </w:r>
            <w:r w:rsidRPr="00EB2BD8">
              <w:rPr>
                <w:spacing w:val="-1"/>
                <w:sz w:val="16"/>
              </w:rPr>
              <w:t xml:space="preserve"> </w:t>
            </w:r>
            <w:r w:rsidRPr="00EB2BD8">
              <w:rPr>
                <w:sz w:val="16"/>
              </w:rPr>
              <w:t xml:space="preserve">and conduct </w:t>
            </w:r>
            <w:r w:rsidRPr="00EB2BD8">
              <w:rPr>
                <w:spacing w:val="-2"/>
                <w:sz w:val="16"/>
              </w:rPr>
              <w:t>principles</w:t>
            </w:r>
          </w:p>
        </w:tc>
        <w:tc>
          <w:tcPr>
            <w:tcW w:w="1870" w:type="dxa"/>
            <w:tcBorders>
              <w:top w:val="single" w:sz="2" w:space="0" w:color="000000"/>
              <w:bottom w:val="single" w:sz="2" w:space="0" w:color="000000"/>
            </w:tcBorders>
          </w:tcPr>
          <w:p w14:paraId="4A0F3845" w14:textId="77777777" w:rsidR="00084F36" w:rsidRPr="00EB2BD8" w:rsidRDefault="00EB2BD8">
            <w:pPr>
              <w:pStyle w:val="TableParagraph"/>
              <w:spacing w:before="116"/>
              <w:ind w:right="111"/>
              <w:jc w:val="right"/>
              <w:rPr>
                <w:sz w:val="16"/>
              </w:rPr>
            </w:pPr>
            <w:r w:rsidRPr="00EB2BD8">
              <w:rPr>
                <w:spacing w:val="-5"/>
                <w:w w:val="75"/>
                <w:sz w:val="16"/>
              </w:rPr>
              <w:t>151</w:t>
            </w:r>
          </w:p>
        </w:tc>
      </w:tr>
      <w:tr w:rsidR="00EB2BD8" w:rsidRPr="00EB2BD8" w14:paraId="7CDE52EF" w14:textId="77777777">
        <w:trPr>
          <w:trHeight w:val="381"/>
        </w:trPr>
        <w:tc>
          <w:tcPr>
            <w:tcW w:w="2209" w:type="dxa"/>
            <w:tcBorders>
              <w:top w:val="single" w:sz="2" w:space="0" w:color="000000"/>
              <w:bottom w:val="single" w:sz="2" w:space="0" w:color="000000"/>
            </w:tcBorders>
          </w:tcPr>
          <w:p w14:paraId="0BC537F3"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Borders>
              <w:top w:val="single" w:sz="2" w:space="0" w:color="000000"/>
              <w:bottom w:val="single" w:sz="2" w:space="0" w:color="000000"/>
            </w:tcBorders>
          </w:tcPr>
          <w:p w14:paraId="28002F02" w14:textId="77777777" w:rsidR="00084F36" w:rsidRPr="00EB2BD8" w:rsidRDefault="00EB2BD8">
            <w:pPr>
              <w:pStyle w:val="TableParagraph"/>
              <w:spacing w:before="116"/>
              <w:ind w:left="1"/>
              <w:rPr>
                <w:sz w:val="16"/>
              </w:rPr>
            </w:pPr>
            <w:r w:rsidRPr="00EB2BD8">
              <w:rPr>
                <w:sz w:val="16"/>
              </w:rPr>
              <w:t>Occupational</w:t>
            </w:r>
            <w:r w:rsidRPr="00EB2BD8">
              <w:rPr>
                <w:spacing w:val="1"/>
                <w:sz w:val="16"/>
              </w:rPr>
              <w:t xml:space="preserve"> </w:t>
            </w:r>
            <w:r w:rsidRPr="00EB2BD8">
              <w:rPr>
                <w:sz w:val="16"/>
              </w:rPr>
              <w:t>health</w:t>
            </w:r>
            <w:r w:rsidRPr="00EB2BD8">
              <w:rPr>
                <w:spacing w:val="3"/>
                <w:sz w:val="16"/>
              </w:rPr>
              <w:t xml:space="preserve"> </w:t>
            </w:r>
            <w:r w:rsidRPr="00EB2BD8">
              <w:rPr>
                <w:sz w:val="16"/>
              </w:rPr>
              <w:t>and</w:t>
            </w:r>
            <w:r w:rsidRPr="00EB2BD8">
              <w:rPr>
                <w:spacing w:val="3"/>
                <w:sz w:val="16"/>
              </w:rPr>
              <w:t xml:space="preserve"> </w:t>
            </w:r>
            <w:r w:rsidRPr="00EB2BD8">
              <w:rPr>
                <w:sz w:val="16"/>
              </w:rPr>
              <w:t>safety</w:t>
            </w:r>
            <w:r w:rsidRPr="00EB2BD8">
              <w:rPr>
                <w:spacing w:val="4"/>
                <w:sz w:val="16"/>
              </w:rPr>
              <w:t xml:space="preserve"> </w:t>
            </w:r>
            <w:r w:rsidRPr="00EB2BD8">
              <w:rPr>
                <w:spacing w:val="-2"/>
                <w:sz w:val="16"/>
              </w:rPr>
              <w:t>policy</w:t>
            </w:r>
          </w:p>
        </w:tc>
        <w:tc>
          <w:tcPr>
            <w:tcW w:w="1870" w:type="dxa"/>
            <w:tcBorders>
              <w:top w:val="single" w:sz="2" w:space="0" w:color="000000"/>
              <w:bottom w:val="single" w:sz="2" w:space="0" w:color="000000"/>
            </w:tcBorders>
          </w:tcPr>
          <w:p w14:paraId="2A182F61" w14:textId="77777777" w:rsidR="00084F36" w:rsidRPr="00EB2BD8" w:rsidRDefault="00EB2BD8">
            <w:pPr>
              <w:pStyle w:val="TableParagraph"/>
              <w:spacing w:before="116"/>
              <w:ind w:right="114"/>
              <w:jc w:val="right"/>
              <w:rPr>
                <w:sz w:val="16"/>
              </w:rPr>
            </w:pPr>
            <w:r w:rsidRPr="00EB2BD8">
              <w:rPr>
                <w:spacing w:val="-5"/>
                <w:w w:val="95"/>
                <w:sz w:val="16"/>
              </w:rPr>
              <w:t>67</w:t>
            </w:r>
          </w:p>
        </w:tc>
      </w:tr>
      <w:tr w:rsidR="00EB2BD8" w:rsidRPr="00EB2BD8" w14:paraId="09937ABB" w14:textId="77777777">
        <w:trPr>
          <w:trHeight w:val="381"/>
        </w:trPr>
        <w:tc>
          <w:tcPr>
            <w:tcW w:w="2209" w:type="dxa"/>
            <w:tcBorders>
              <w:top w:val="single" w:sz="2" w:space="0" w:color="000000"/>
              <w:bottom w:val="single" w:sz="2" w:space="0" w:color="000000"/>
            </w:tcBorders>
          </w:tcPr>
          <w:p w14:paraId="78208B97"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Borders>
              <w:top w:val="single" w:sz="2" w:space="0" w:color="000000"/>
              <w:bottom w:val="single" w:sz="2" w:space="0" w:color="000000"/>
            </w:tcBorders>
          </w:tcPr>
          <w:p w14:paraId="139807EF" w14:textId="77777777" w:rsidR="00084F36" w:rsidRPr="00EB2BD8" w:rsidRDefault="00EB2BD8">
            <w:pPr>
              <w:pStyle w:val="TableParagraph"/>
              <w:spacing w:before="116"/>
              <w:ind w:left="1"/>
              <w:rPr>
                <w:sz w:val="16"/>
              </w:rPr>
            </w:pPr>
            <w:r w:rsidRPr="00EB2BD8">
              <w:rPr>
                <w:sz w:val="16"/>
              </w:rPr>
              <w:t>Summary</w:t>
            </w:r>
            <w:r w:rsidRPr="00EB2BD8">
              <w:rPr>
                <w:spacing w:val="-11"/>
                <w:sz w:val="16"/>
              </w:rPr>
              <w:t xml:space="preserve"> </w:t>
            </w:r>
            <w:r w:rsidRPr="00EB2BD8">
              <w:rPr>
                <w:sz w:val="16"/>
              </w:rPr>
              <w:t>of</w:t>
            </w:r>
            <w:r w:rsidRPr="00EB2BD8">
              <w:rPr>
                <w:spacing w:val="-11"/>
                <w:sz w:val="16"/>
              </w:rPr>
              <w:t xml:space="preserve"> </w:t>
            </w:r>
            <w:r w:rsidRPr="00EB2BD8">
              <w:rPr>
                <w:sz w:val="16"/>
              </w:rPr>
              <w:t>the</w:t>
            </w:r>
            <w:r w:rsidRPr="00EB2BD8">
              <w:rPr>
                <w:spacing w:val="-11"/>
                <w:sz w:val="16"/>
              </w:rPr>
              <w:t xml:space="preserve"> </w:t>
            </w:r>
            <w:r w:rsidRPr="00EB2BD8">
              <w:rPr>
                <w:sz w:val="16"/>
              </w:rPr>
              <w:t>financial</w:t>
            </w:r>
            <w:r w:rsidRPr="00EB2BD8">
              <w:rPr>
                <w:spacing w:val="-11"/>
                <w:sz w:val="16"/>
              </w:rPr>
              <w:t xml:space="preserve"> </w:t>
            </w:r>
            <w:r w:rsidRPr="00EB2BD8">
              <w:rPr>
                <w:sz w:val="16"/>
              </w:rPr>
              <w:t>results</w:t>
            </w:r>
            <w:r w:rsidRPr="00EB2BD8">
              <w:rPr>
                <w:spacing w:val="-10"/>
                <w:sz w:val="16"/>
              </w:rPr>
              <w:t xml:space="preserve"> </w:t>
            </w:r>
            <w:r w:rsidRPr="00EB2BD8">
              <w:rPr>
                <w:sz w:val="16"/>
              </w:rPr>
              <w:t>for</w:t>
            </w:r>
            <w:r w:rsidRPr="00EB2BD8">
              <w:rPr>
                <w:spacing w:val="-11"/>
                <w:sz w:val="16"/>
              </w:rPr>
              <w:t xml:space="preserve"> </w:t>
            </w:r>
            <w:r w:rsidRPr="00EB2BD8">
              <w:rPr>
                <w:sz w:val="16"/>
              </w:rPr>
              <w:t>the</w:t>
            </w:r>
            <w:r w:rsidRPr="00EB2BD8">
              <w:rPr>
                <w:spacing w:val="-11"/>
                <w:sz w:val="16"/>
              </w:rPr>
              <w:t xml:space="preserve"> </w:t>
            </w:r>
            <w:r w:rsidRPr="00EB2BD8">
              <w:rPr>
                <w:spacing w:val="-4"/>
                <w:sz w:val="16"/>
              </w:rPr>
              <w:t>year</w:t>
            </w:r>
          </w:p>
        </w:tc>
        <w:tc>
          <w:tcPr>
            <w:tcW w:w="1870" w:type="dxa"/>
            <w:tcBorders>
              <w:top w:val="single" w:sz="2" w:space="0" w:color="000000"/>
              <w:bottom w:val="single" w:sz="2" w:space="0" w:color="000000"/>
            </w:tcBorders>
          </w:tcPr>
          <w:p w14:paraId="4A751AD7" w14:textId="77777777" w:rsidR="00084F36" w:rsidRPr="00EB2BD8" w:rsidRDefault="00EB2BD8">
            <w:pPr>
              <w:pStyle w:val="TableParagraph"/>
              <w:spacing w:before="116"/>
              <w:ind w:right="111"/>
              <w:jc w:val="right"/>
              <w:rPr>
                <w:sz w:val="16"/>
              </w:rPr>
            </w:pPr>
            <w:r w:rsidRPr="00EB2BD8">
              <w:rPr>
                <w:spacing w:val="-5"/>
                <w:w w:val="85"/>
                <w:sz w:val="16"/>
              </w:rPr>
              <w:t>18</w:t>
            </w:r>
          </w:p>
        </w:tc>
      </w:tr>
      <w:tr w:rsidR="00EB2BD8" w:rsidRPr="00EB2BD8" w14:paraId="43D7AAB3" w14:textId="77777777">
        <w:trPr>
          <w:trHeight w:val="381"/>
        </w:trPr>
        <w:tc>
          <w:tcPr>
            <w:tcW w:w="2209" w:type="dxa"/>
            <w:tcBorders>
              <w:top w:val="single" w:sz="2" w:space="0" w:color="000000"/>
              <w:bottom w:val="single" w:sz="2" w:space="0" w:color="000000"/>
            </w:tcBorders>
          </w:tcPr>
          <w:p w14:paraId="79D81C7D"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Borders>
              <w:top w:val="single" w:sz="2" w:space="0" w:color="000000"/>
              <w:bottom w:val="single" w:sz="2" w:space="0" w:color="000000"/>
            </w:tcBorders>
          </w:tcPr>
          <w:p w14:paraId="72C9EF54" w14:textId="77777777" w:rsidR="00084F36" w:rsidRPr="00EB2BD8" w:rsidRDefault="00EB2BD8">
            <w:pPr>
              <w:pStyle w:val="TableParagraph"/>
              <w:spacing w:before="116"/>
              <w:ind w:left="1"/>
              <w:rPr>
                <w:sz w:val="16"/>
              </w:rPr>
            </w:pPr>
            <w:r w:rsidRPr="00EB2BD8">
              <w:rPr>
                <w:sz w:val="16"/>
              </w:rPr>
              <w:t>Significant</w:t>
            </w:r>
            <w:r w:rsidRPr="00EB2BD8">
              <w:rPr>
                <w:spacing w:val="-9"/>
                <w:sz w:val="16"/>
              </w:rPr>
              <w:t xml:space="preserve"> </w:t>
            </w:r>
            <w:r w:rsidRPr="00EB2BD8">
              <w:rPr>
                <w:sz w:val="16"/>
              </w:rPr>
              <w:t>changes</w:t>
            </w:r>
            <w:r w:rsidRPr="00EB2BD8">
              <w:rPr>
                <w:spacing w:val="-9"/>
                <w:sz w:val="16"/>
              </w:rPr>
              <w:t xml:space="preserve"> </w:t>
            </w:r>
            <w:r w:rsidRPr="00EB2BD8">
              <w:rPr>
                <w:sz w:val="16"/>
              </w:rPr>
              <w:t>in</w:t>
            </w:r>
            <w:r w:rsidRPr="00EB2BD8">
              <w:rPr>
                <w:spacing w:val="-9"/>
                <w:sz w:val="16"/>
              </w:rPr>
              <w:t xml:space="preserve"> </w:t>
            </w:r>
            <w:r w:rsidRPr="00EB2BD8">
              <w:rPr>
                <w:sz w:val="16"/>
              </w:rPr>
              <w:t>financial</w:t>
            </w:r>
            <w:r w:rsidRPr="00EB2BD8">
              <w:rPr>
                <w:spacing w:val="-8"/>
                <w:sz w:val="16"/>
              </w:rPr>
              <w:t xml:space="preserve"> </w:t>
            </w:r>
            <w:r w:rsidRPr="00EB2BD8">
              <w:rPr>
                <w:sz w:val="16"/>
              </w:rPr>
              <w:t>position</w:t>
            </w:r>
            <w:r w:rsidRPr="00EB2BD8">
              <w:rPr>
                <w:spacing w:val="-9"/>
                <w:sz w:val="16"/>
              </w:rPr>
              <w:t xml:space="preserve"> </w:t>
            </w:r>
            <w:r w:rsidRPr="00EB2BD8">
              <w:rPr>
                <w:sz w:val="16"/>
              </w:rPr>
              <w:t>during</w:t>
            </w:r>
            <w:r w:rsidRPr="00EB2BD8">
              <w:rPr>
                <w:spacing w:val="-9"/>
                <w:sz w:val="16"/>
              </w:rPr>
              <w:t xml:space="preserve"> </w:t>
            </w:r>
            <w:r w:rsidRPr="00EB2BD8">
              <w:rPr>
                <w:sz w:val="16"/>
              </w:rPr>
              <w:t>the</w:t>
            </w:r>
            <w:r w:rsidRPr="00EB2BD8">
              <w:rPr>
                <w:spacing w:val="-8"/>
                <w:sz w:val="16"/>
              </w:rPr>
              <w:t xml:space="preserve"> </w:t>
            </w:r>
            <w:r w:rsidRPr="00EB2BD8">
              <w:rPr>
                <w:spacing w:val="-4"/>
                <w:sz w:val="16"/>
              </w:rPr>
              <w:t>year</w:t>
            </w:r>
          </w:p>
        </w:tc>
        <w:tc>
          <w:tcPr>
            <w:tcW w:w="1870" w:type="dxa"/>
            <w:tcBorders>
              <w:top w:val="single" w:sz="2" w:space="0" w:color="000000"/>
              <w:bottom w:val="single" w:sz="2" w:space="0" w:color="000000"/>
            </w:tcBorders>
          </w:tcPr>
          <w:p w14:paraId="47EF5689" w14:textId="77777777" w:rsidR="00084F36" w:rsidRPr="00EB2BD8" w:rsidRDefault="00EB2BD8">
            <w:pPr>
              <w:pStyle w:val="TableParagraph"/>
              <w:spacing w:before="116"/>
              <w:ind w:right="110"/>
              <w:jc w:val="right"/>
              <w:rPr>
                <w:sz w:val="16"/>
              </w:rPr>
            </w:pPr>
            <w:r w:rsidRPr="00EB2BD8">
              <w:rPr>
                <w:spacing w:val="-2"/>
                <w:w w:val="85"/>
                <w:sz w:val="16"/>
              </w:rPr>
              <w:t>19-</w:t>
            </w:r>
            <w:r w:rsidRPr="00EB2BD8">
              <w:rPr>
                <w:spacing w:val="-5"/>
                <w:sz w:val="16"/>
              </w:rPr>
              <w:t>20</w:t>
            </w:r>
          </w:p>
        </w:tc>
      </w:tr>
      <w:tr w:rsidR="00EB2BD8" w:rsidRPr="00EB2BD8" w14:paraId="7B11E3AA" w14:textId="77777777">
        <w:trPr>
          <w:trHeight w:val="381"/>
        </w:trPr>
        <w:tc>
          <w:tcPr>
            <w:tcW w:w="2209" w:type="dxa"/>
            <w:tcBorders>
              <w:top w:val="single" w:sz="2" w:space="0" w:color="000000"/>
              <w:bottom w:val="single" w:sz="2" w:space="0" w:color="000000"/>
            </w:tcBorders>
          </w:tcPr>
          <w:p w14:paraId="43BC6234"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Borders>
              <w:top w:val="single" w:sz="2" w:space="0" w:color="000000"/>
              <w:bottom w:val="single" w:sz="2" w:space="0" w:color="000000"/>
            </w:tcBorders>
          </w:tcPr>
          <w:p w14:paraId="2D10422E" w14:textId="77777777" w:rsidR="00084F36" w:rsidRPr="00EB2BD8" w:rsidRDefault="00EB2BD8">
            <w:pPr>
              <w:pStyle w:val="TableParagraph"/>
              <w:spacing w:before="116"/>
              <w:ind w:left="1"/>
              <w:rPr>
                <w:sz w:val="16"/>
              </w:rPr>
            </w:pPr>
            <w:r w:rsidRPr="00EB2BD8">
              <w:rPr>
                <w:sz w:val="16"/>
              </w:rPr>
              <w:t>Major</w:t>
            </w:r>
            <w:r w:rsidRPr="00EB2BD8">
              <w:rPr>
                <w:spacing w:val="-6"/>
                <w:sz w:val="16"/>
              </w:rPr>
              <w:t xml:space="preserve"> </w:t>
            </w:r>
            <w:r w:rsidRPr="00EB2BD8">
              <w:rPr>
                <w:sz w:val="16"/>
              </w:rPr>
              <w:t>changes</w:t>
            </w:r>
            <w:r w:rsidRPr="00EB2BD8">
              <w:rPr>
                <w:spacing w:val="-6"/>
                <w:sz w:val="16"/>
              </w:rPr>
              <w:t xml:space="preserve"> </w:t>
            </w:r>
            <w:r w:rsidRPr="00EB2BD8">
              <w:rPr>
                <w:sz w:val="16"/>
              </w:rPr>
              <w:t>or</w:t>
            </w:r>
            <w:r w:rsidRPr="00EB2BD8">
              <w:rPr>
                <w:spacing w:val="-6"/>
                <w:sz w:val="16"/>
              </w:rPr>
              <w:t xml:space="preserve"> </w:t>
            </w:r>
            <w:r w:rsidRPr="00EB2BD8">
              <w:rPr>
                <w:sz w:val="16"/>
              </w:rPr>
              <w:t>factors</w:t>
            </w:r>
            <w:r w:rsidRPr="00EB2BD8">
              <w:rPr>
                <w:spacing w:val="-6"/>
                <w:sz w:val="16"/>
              </w:rPr>
              <w:t xml:space="preserve"> </w:t>
            </w:r>
            <w:r w:rsidRPr="00EB2BD8">
              <w:rPr>
                <w:sz w:val="16"/>
              </w:rPr>
              <w:t>affecting</w:t>
            </w:r>
            <w:r w:rsidRPr="00EB2BD8">
              <w:rPr>
                <w:spacing w:val="-6"/>
                <w:sz w:val="16"/>
              </w:rPr>
              <w:t xml:space="preserve"> </w:t>
            </w:r>
            <w:r w:rsidRPr="00EB2BD8">
              <w:rPr>
                <w:spacing w:val="-2"/>
                <w:sz w:val="16"/>
              </w:rPr>
              <w:t>performance</w:t>
            </w:r>
          </w:p>
        </w:tc>
        <w:tc>
          <w:tcPr>
            <w:tcW w:w="1870" w:type="dxa"/>
            <w:tcBorders>
              <w:top w:val="single" w:sz="2" w:space="0" w:color="000000"/>
              <w:bottom w:val="single" w:sz="2" w:space="0" w:color="000000"/>
            </w:tcBorders>
          </w:tcPr>
          <w:p w14:paraId="63C797A8" w14:textId="77777777" w:rsidR="00084F36" w:rsidRPr="00EB2BD8" w:rsidRDefault="00EB2BD8">
            <w:pPr>
              <w:pStyle w:val="TableParagraph"/>
              <w:spacing w:before="116"/>
              <w:ind w:right="110"/>
              <w:jc w:val="right"/>
              <w:rPr>
                <w:sz w:val="16"/>
              </w:rPr>
            </w:pPr>
            <w:r w:rsidRPr="00EB2BD8">
              <w:rPr>
                <w:spacing w:val="-2"/>
                <w:w w:val="85"/>
                <w:sz w:val="16"/>
              </w:rPr>
              <w:t>19-</w:t>
            </w:r>
            <w:r w:rsidRPr="00EB2BD8">
              <w:rPr>
                <w:spacing w:val="-5"/>
                <w:sz w:val="16"/>
              </w:rPr>
              <w:t>20</w:t>
            </w:r>
          </w:p>
        </w:tc>
      </w:tr>
      <w:tr w:rsidR="00EB2BD8" w:rsidRPr="00EB2BD8" w14:paraId="5AD25343" w14:textId="77777777">
        <w:trPr>
          <w:trHeight w:val="381"/>
        </w:trPr>
        <w:tc>
          <w:tcPr>
            <w:tcW w:w="2209" w:type="dxa"/>
            <w:tcBorders>
              <w:top w:val="single" w:sz="2" w:space="0" w:color="000000"/>
              <w:bottom w:val="single" w:sz="2" w:space="0" w:color="000000"/>
            </w:tcBorders>
          </w:tcPr>
          <w:p w14:paraId="7857F694"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Borders>
              <w:top w:val="single" w:sz="2" w:space="0" w:color="000000"/>
              <w:bottom w:val="single" w:sz="2" w:space="0" w:color="000000"/>
            </w:tcBorders>
          </w:tcPr>
          <w:p w14:paraId="619B757D" w14:textId="77777777" w:rsidR="00084F36" w:rsidRPr="00EB2BD8" w:rsidRDefault="00EB2BD8">
            <w:pPr>
              <w:pStyle w:val="TableParagraph"/>
              <w:spacing w:before="116"/>
              <w:ind w:left="1"/>
              <w:rPr>
                <w:sz w:val="16"/>
              </w:rPr>
            </w:pPr>
            <w:r w:rsidRPr="00EB2BD8">
              <w:rPr>
                <w:sz w:val="16"/>
              </w:rPr>
              <w:t>Subsequent</w:t>
            </w:r>
            <w:r w:rsidRPr="00EB2BD8">
              <w:rPr>
                <w:spacing w:val="3"/>
                <w:sz w:val="16"/>
              </w:rPr>
              <w:t xml:space="preserve"> </w:t>
            </w:r>
            <w:r w:rsidRPr="00EB2BD8">
              <w:rPr>
                <w:spacing w:val="-2"/>
                <w:sz w:val="16"/>
              </w:rPr>
              <w:t>events</w:t>
            </w:r>
          </w:p>
        </w:tc>
        <w:tc>
          <w:tcPr>
            <w:tcW w:w="1870" w:type="dxa"/>
            <w:tcBorders>
              <w:top w:val="single" w:sz="2" w:space="0" w:color="000000"/>
              <w:bottom w:val="single" w:sz="2" w:space="0" w:color="000000"/>
            </w:tcBorders>
          </w:tcPr>
          <w:p w14:paraId="23F721A4" w14:textId="77777777" w:rsidR="00084F36" w:rsidRPr="00EB2BD8" w:rsidRDefault="00EB2BD8">
            <w:pPr>
              <w:pStyle w:val="TableParagraph"/>
              <w:spacing w:before="116"/>
              <w:ind w:right="111"/>
              <w:jc w:val="right"/>
              <w:rPr>
                <w:sz w:val="16"/>
              </w:rPr>
            </w:pPr>
            <w:r w:rsidRPr="00EB2BD8">
              <w:rPr>
                <w:spacing w:val="-5"/>
                <w:w w:val="85"/>
                <w:sz w:val="16"/>
              </w:rPr>
              <w:t>137</w:t>
            </w:r>
          </w:p>
        </w:tc>
      </w:tr>
      <w:tr w:rsidR="00EB2BD8" w:rsidRPr="00EB2BD8" w14:paraId="79AA4808" w14:textId="77777777">
        <w:trPr>
          <w:trHeight w:val="381"/>
        </w:trPr>
        <w:tc>
          <w:tcPr>
            <w:tcW w:w="2209" w:type="dxa"/>
            <w:tcBorders>
              <w:top w:val="single" w:sz="2" w:space="0" w:color="000000"/>
              <w:bottom w:val="single" w:sz="2" w:space="0" w:color="000000"/>
            </w:tcBorders>
          </w:tcPr>
          <w:p w14:paraId="51D12481"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Borders>
              <w:top w:val="single" w:sz="2" w:space="0" w:color="000000"/>
              <w:bottom w:val="single" w:sz="2" w:space="0" w:color="000000"/>
            </w:tcBorders>
          </w:tcPr>
          <w:p w14:paraId="5F7249AB" w14:textId="77777777" w:rsidR="00084F36" w:rsidRPr="00EB2BD8" w:rsidRDefault="00EB2BD8">
            <w:pPr>
              <w:pStyle w:val="TableParagraph"/>
              <w:spacing w:before="116"/>
              <w:ind w:left="1"/>
              <w:rPr>
                <w:i/>
                <w:sz w:val="16"/>
              </w:rPr>
            </w:pPr>
            <w:r w:rsidRPr="00EB2BD8">
              <w:rPr>
                <w:spacing w:val="-2"/>
                <w:sz w:val="16"/>
              </w:rPr>
              <w:t>Application and</w:t>
            </w:r>
            <w:r w:rsidRPr="00EB2BD8">
              <w:rPr>
                <w:spacing w:val="-1"/>
                <w:sz w:val="16"/>
              </w:rPr>
              <w:t xml:space="preserve"> </w:t>
            </w:r>
            <w:r w:rsidRPr="00EB2BD8">
              <w:rPr>
                <w:spacing w:val="-2"/>
                <w:sz w:val="16"/>
              </w:rPr>
              <w:t>operation</w:t>
            </w:r>
            <w:r w:rsidRPr="00EB2BD8">
              <w:rPr>
                <w:spacing w:val="-1"/>
                <w:sz w:val="16"/>
              </w:rPr>
              <w:t xml:space="preserve"> </w:t>
            </w:r>
            <w:r w:rsidRPr="00EB2BD8">
              <w:rPr>
                <w:spacing w:val="-2"/>
                <w:sz w:val="16"/>
              </w:rPr>
              <w:t>of</w:t>
            </w:r>
            <w:r w:rsidRPr="00EB2BD8">
              <w:rPr>
                <w:spacing w:val="-1"/>
                <w:sz w:val="16"/>
              </w:rPr>
              <w:t xml:space="preserve"> </w:t>
            </w:r>
            <w:r w:rsidRPr="00EB2BD8">
              <w:rPr>
                <w:i/>
                <w:spacing w:val="-2"/>
                <w:sz w:val="16"/>
              </w:rPr>
              <w:t>Freedom</w:t>
            </w:r>
            <w:r w:rsidRPr="00EB2BD8">
              <w:rPr>
                <w:i/>
                <w:spacing w:val="-1"/>
                <w:sz w:val="16"/>
              </w:rPr>
              <w:t xml:space="preserve"> </w:t>
            </w:r>
            <w:r w:rsidRPr="00EB2BD8">
              <w:rPr>
                <w:i/>
                <w:spacing w:val="-2"/>
                <w:sz w:val="16"/>
              </w:rPr>
              <w:t>of</w:t>
            </w:r>
            <w:r w:rsidRPr="00EB2BD8">
              <w:rPr>
                <w:i/>
                <w:spacing w:val="-1"/>
                <w:sz w:val="16"/>
              </w:rPr>
              <w:t xml:space="preserve"> </w:t>
            </w:r>
            <w:r w:rsidRPr="00EB2BD8">
              <w:rPr>
                <w:i/>
                <w:spacing w:val="-2"/>
                <w:sz w:val="16"/>
              </w:rPr>
              <w:t>Information</w:t>
            </w:r>
            <w:r w:rsidRPr="00EB2BD8">
              <w:rPr>
                <w:i/>
                <w:spacing w:val="-1"/>
                <w:sz w:val="16"/>
              </w:rPr>
              <w:t xml:space="preserve"> </w:t>
            </w:r>
            <w:r w:rsidRPr="00EB2BD8">
              <w:rPr>
                <w:i/>
                <w:spacing w:val="-2"/>
                <w:sz w:val="16"/>
              </w:rPr>
              <w:t>Act</w:t>
            </w:r>
            <w:r w:rsidRPr="00EB2BD8">
              <w:rPr>
                <w:i/>
                <w:spacing w:val="-1"/>
                <w:sz w:val="16"/>
              </w:rPr>
              <w:t xml:space="preserve"> </w:t>
            </w:r>
            <w:r w:rsidRPr="00EB2BD8">
              <w:rPr>
                <w:i/>
                <w:spacing w:val="-4"/>
                <w:sz w:val="16"/>
              </w:rPr>
              <w:t>1982</w:t>
            </w:r>
          </w:p>
        </w:tc>
        <w:tc>
          <w:tcPr>
            <w:tcW w:w="1870" w:type="dxa"/>
            <w:tcBorders>
              <w:top w:val="single" w:sz="2" w:space="0" w:color="000000"/>
              <w:bottom w:val="single" w:sz="2" w:space="0" w:color="000000"/>
            </w:tcBorders>
          </w:tcPr>
          <w:p w14:paraId="3E811909" w14:textId="77777777" w:rsidR="00084F36" w:rsidRPr="00EB2BD8" w:rsidRDefault="00EB2BD8">
            <w:pPr>
              <w:pStyle w:val="TableParagraph"/>
              <w:spacing w:before="116"/>
              <w:ind w:right="111"/>
              <w:jc w:val="right"/>
              <w:rPr>
                <w:sz w:val="16"/>
              </w:rPr>
            </w:pPr>
            <w:r w:rsidRPr="00EB2BD8">
              <w:rPr>
                <w:spacing w:val="-5"/>
                <w:w w:val="95"/>
                <w:sz w:val="16"/>
              </w:rPr>
              <w:t>76</w:t>
            </w:r>
          </w:p>
        </w:tc>
      </w:tr>
      <w:tr w:rsidR="00EB2BD8" w:rsidRPr="00EB2BD8" w14:paraId="10820415" w14:textId="77777777">
        <w:trPr>
          <w:trHeight w:val="381"/>
        </w:trPr>
        <w:tc>
          <w:tcPr>
            <w:tcW w:w="2209" w:type="dxa"/>
            <w:tcBorders>
              <w:top w:val="single" w:sz="2" w:space="0" w:color="000000"/>
              <w:bottom w:val="single" w:sz="2" w:space="0" w:color="000000"/>
            </w:tcBorders>
          </w:tcPr>
          <w:p w14:paraId="149A4BFA"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Borders>
              <w:top w:val="single" w:sz="2" w:space="0" w:color="000000"/>
              <w:bottom w:val="single" w:sz="2" w:space="0" w:color="000000"/>
            </w:tcBorders>
          </w:tcPr>
          <w:p w14:paraId="7E616D0A" w14:textId="77777777" w:rsidR="00084F36" w:rsidRPr="00EB2BD8" w:rsidRDefault="00EB2BD8">
            <w:pPr>
              <w:pStyle w:val="TableParagraph"/>
              <w:spacing w:before="116"/>
              <w:ind w:left="1"/>
              <w:rPr>
                <w:i/>
                <w:sz w:val="16"/>
              </w:rPr>
            </w:pPr>
            <w:r w:rsidRPr="00EB2BD8">
              <w:rPr>
                <w:sz w:val="16"/>
              </w:rPr>
              <w:t>Compliance</w:t>
            </w:r>
            <w:r w:rsidRPr="00EB2BD8">
              <w:rPr>
                <w:spacing w:val="-11"/>
                <w:sz w:val="16"/>
              </w:rPr>
              <w:t xml:space="preserve"> </w:t>
            </w:r>
            <w:r w:rsidRPr="00EB2BD8">
              <w:rPr>
                <w:sz w:val="16"/>
              </w:rPr>
              <w:t>with</w:t>
            </w:r>
            <w:r w:rsidRPr="00EB2BD8">
              <w:rPr>
                <w:spacing w:val="-10"/>
                <w:sz w:val="16"/>
              </w:rPr>
              <w:t xml:space="preserve"> </w:t>
            </w:r>
            <w:r w:rsidRPr="00EB2BD8">
              <w:rPr>
                <w:sz w:val="16"/>
              </w:rPr>
              <w:t>building</w:t>
            </w:r>
            <w:r w:rsidRPr="00EB2BD8">
              <w:rPr>
                <w:spacing w:val="-10"/>
                <w:sz w:val="16"/>
              </w:rPr>
              <w:t xml:space="preserve"> </w:t>
            </w:r>
            <w:r w:rsidRPr="00EB2BD8">
              <w:rPr>
                <w:sz w:val="16"/>
              </w:rPr>
              <w:t>and</w:t>
            </w:r>
            <w:r w:rsidRPr="00EB2BD8">
              <w:rPr>
                <w:spacing w:val="-10"/>
                <w:sz w:val="16"/>
              </w:rPr>
              <w:t xml:space="preserve"> </w:t>
            </w:r>
            <w:r w:rsidRPr="00EB2BD8">
              <w:rPr>
                <w:sz w:val="16"/>
              </w:rPr>
              <w:t>maintenance</w:t>
            </w:r>
            <w:r w:rsidRPr="00EB2BD8">
              <w:rPr>
                <w:spacing w:val="-10"/>
                <w:sz w:val="16"/>
              </w:rPr>
              <w:t xml:space="preserve"> </w:t>
            </w:r>
            <w:r w:rsidRPr="00EB2BD8">
              <w:rPr>
                <w:sz w:val="16"/>
              </w:rPr>
              <w:t>provisions</w:t>
            </w:r>
            <w:r w:rsidRPr="00EB2BD8">
              <w:rPr>
                <w:spacing w:val="-10"/>
                <w:sz w:val="16"/>
              </w:rPr>
              <w:t xml:space="preserve"> </w:t>
            </w:r>
            <w:r w:rsidRPr="00EB2BD8">
              <w:rPr>
                <w:sz w:val="16"/>
              </w:rPr>
              <w:t>of</w:t>
            </w:r>
            <w:r w:rsidRPr="00EB2BD8">
              <w:rPr>
                <w:spacing w:val="-10"/>
                <w:sz w:val="16"/>
              </w:rPr>
              <w:t xml:space="preserve"> </w:t>
            </w:r>
            <w:r w:rsidRPr="00EB2BD8">
              <w:rPr>
                <w:i/>
                <w:sz w:val="16"/>
              </w:rPr>
              <w:t>Building</w:t>
            </w:r>
            <w:r w:rsidRPr="00EB2BD8">
              <w:rPr>
                <w:i/>
                <w:spacing w:val="-10"/>
                <w:sz w:val="16"/>
              </w:rPr>
              <w:t xml:space="preserve"> </w:t>
            </w:r>
            <w:r w:rsidRPr="00EB2BD8">
              <w:rPr>
                <w:i/>
                <w:sz w:val="16"/>
              </w:rPr>
              <w:t>Act</w:t>
            </w:r>
            <w:r w:rsidRPr="00EB2BD8">
              <w:rPr>
                <w:i/>
                <w:spacing w:val="-10"/>
                <w:sz w:val="16"/>
              </w:rPr>
              <w:t xml:space="preserve"> </w:t>
            </w:r>
            <w:r w:rsidRPr="00EB2BD8">
              <w:rPr>
                <w:i/>
                <w:spacing w:val="-4"/>
                <w:sz w:val="16"/>
              </w:rPr>
              <w:t>1993</w:t>
            </w:r>
          </w:p>
        </w:tc>
        <w:tc>
          <w:tcPr>
            <w:tcW w:w="1870" w:type="dxa"/>
            <w:tcBorders>
              <w:top w:val="single" w:sz="2" w:space="0" w:color="000000"/>
              <w:bottom w:val="single" w:sz="2" w:space="0" w:color="000000"/>
            </w:tcBorders>
          </w:tcPr>
          <w:p w14:paraId="7AA113D0" w14:textId="77777777" w:rsidR="00084F36" w:rsidRPr="00EB2BD8" w:rsidRDefault="00EB2BD8">
            <w:pPr>
              <w:pStyle w:val="TableParagraph"/>
              <w:spacing w:before="116"/>
              <w:ind w:right="111"/>
              <w:jc w:val="right"/>
              <w:rPr>
                <w:sz w:val="16"/>
              </w:rPr>
            </w:pPr>
            <w:r w:rsidRPr="00EB2BD8">
              <w:rPr>
                <w:spacing w:val="-5"/>
                <w:w w:val="95"/>
                <w:sz w:val="16"/>
              </w:rPr>
              <w:t>75</w:t>
            </w:r>
          </w:p>
        </w:tc>
      </w:tr>
      <w:tr w:rsidR="00EB2BD8" w:rsidRPr="00EB2BD8" w14:paraId="7AB9E897" w14:textId="77777777">
        <w:trPr>
          <w:trHeight w:val="381"/>
        </w:trPr>
        <w:tc>
          <w:tcPr>
            <w:tcW w:w="2209" w:type="dxa"/>
            <w:tcBorders>
              <w:top w:val="single" w:sz="2" w:space="0" w:color="000000"/>
              <w:bottom w:val="single" w:sz="2" w:space="0" w:color="000000"/>
            </w:tcBorders>
          </w:tcPr>
          <w:p w14:paraId="66E3544C"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Borders>
              <w:top w:val="single" w:sz="2" w:space="0" w:color="000000"/>
              <w:bottom w:val="single" w:sz="2" w:space="0" w:color="000000"/>
            </w:tcBorders>
          </w:tcPr>
          <w:p w14:paraId="3A25CA11" w14:textId="77777777" w:rsidR="00084F36" w:rsidRPr="00EB2BD8" w:rsidRDefault="00EB2BD8">
            <w:pPr>
              <w:pStyle w:val="TableParagraph"/>
              <w:spacing w:before="116"/>
              <w:ind w:left="1"/>
              <w:rPr>
                <w:sz w:val="16"/>
              </w:rPr>
            </w:pPr>
            <w:r w:rsidRPr="00EB2BD8">
              <w:rPr>
                <w:sz w:val="16"/>
              </w:rPr>
              <w:t>Statement</w:t>
            </w:r>
            <w:r w:rsidRPr="00EB2BD8">
              <w:rPr>
                <w:spacing w:val="-5"/>
                <w:sz w:val="16"/>
              </w:rPr>
              <w:t xml:space="preserve"> </w:t>
            </w:r>
            <w:r w:rsidRPr="00EB2BD8">
              <w:rPr>
                <w:sz w:val="16"/>
              </w:rPr>
              <w:t>on</w:t>
            </w:r>
            <w:r w:rsidRPr="00EB2BD8">
              <w:rPr>
                <w:spacing w:val="-5"/>
                <w:sz w:val="16"/>
              </w:rPr>
              <w:t xml:space="preserve"> </w:t>
            </w:r>
            <w:r w:rsidRPr="00EB2BD8">
              <w:rPr>
                <w:sz w:val="16"/>
              </w:rPr>
              <w:t>National</w:t>
            </w:r>
            <w:r w:rsidRPr="00EB2BD8">
              <w:rPr>
                <w:spacing w:val="-4"/>
                <w:sz w:val="16"/>
              </w:rPr>
              <w:t xml:space="preserve"> </w:t>
            </w:r>
            <w:r w:rsidRPr="00EB2BD8">
              <w:rPr>
                <w:sz w:val="16"/>
              </w:rPr>
              <w:t>Competition</w:t>
            </w:r>
            <w:r w:rsidRPr="00EB2BD8">
              <w:rPr>
                <w:spacing w:val="-5"/>
                <w:sz w:val="16"/>
              </w:rPr>
              <w:t xml:space="preserve"> </w:t>
            </w:r>
            <w:r w:rsidRPr="00EB2BD8">
              <w:rPr>
                <w:spacing w:val="-2"/>
                <w:sz w:val="16"/>
              </w:rPr>
              <w:t>Policy</w:t>
            </w:r>
          </w:p>
        </w:tc>
        <w:tc>
          <w:tcPr>
            <w:tcW w:w="1870" w:type="dxa"/>
            <w:tcBorders>
              <w:top w:val="single" w:sz="2" w:space="0" w:color="000000"/>
              <w:bottom w:val="single" w:sz="2" w:space="0" w:color="000000"/>
            </w:tcBorders>
          </w:tcPr>
          <w:p w14:paraId="56C5BB93" w14:textId="77777777" w:rsidR="00084F36" w:rsidRPr="00EB2BD8" w:rsidRDefault="00EB2BD8">
            <w:pPr>
              <w:pStyle w:val="TableParagraph"/>
              <w:spacing w:before="116"/>
              <w:ind w:right="111"/>
              <w:jc w:val="right"/>
              <w:rPr>
                <w:sz w:val="16"/>
              </w:rPr>
            </w:pPr>
            <w:r w:rsidRPr="00EB2BD8">
              <w:rPr>
                <w:spacing w:val="-5"/>
                <w:w w:val="85"/>
                <w:sz w:val="16"/>
              </w:rPr>
              <w:t>77</w:t>
            </w:r>
          </w:p>
        </w:tc>
      </w:tr>
      <w:tr w:rsidR="00EB2BD8" w:rsidRPr="00EB2BD8" w14:paraId="64081847" w14:textId="77777777">
        <w:trPr>
          <w:trHeight w:val="381"/>
        </w:trPr>
        <w:tc>
          <w:tcPr>
            <w:tcW w:w="2209" w:type="dxa"/>
            <w:tcBorders>
              <w:top w:val="single" w:sz="2" w:space="0" w:color="000000"/>
              <w:bottom w:val="single" w:sz="2" w:space="0" w:color="000000"/>
            </w:tcBorders>
          </w:tcPr>
          <w:p w14:paraId="491CE22A"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Borders>
              <w:top w:val="single" w:sz="2" w:space="0" w:color="000000"/>
              <w:bottom w:val="single" w:sz="2" w:space="0" w:color="000000"/>
            </w:tcBorders>
          </w:tcPr>
          <w:p w14:paraId="741D4217" w14:textId="77777777" w:rsidR="00084F36" w:rsidRPr="00EB2BD8" w:rsidRDefault="00EB2BD8">
            <w:pPr>
              <w:pStyle w:val="TableParagraph"/>
              <w:spacing w:before="116"/>
              <w:ind w:left="1"/>
              <w:rPr>
                <w:i/>
                <w:sz w:val="16"/>
              </w:rPr>
            </w:pPr>
            <w:r w:rsidRPr="00EB2BD8">
              <w:rPr>
                <w:sz w:val="16"/>
              </w:rPr>
              <w:t>Application</w:t>
            </w:r>
            <w:r w:rsidRPr="00EB2BD8">
              <w:rPr>
                <w:spacing w:val="-13"/>
                <w:sz w:val="16"/>
              </w:rPr>
              <w:t xml:space="preserve"> </w:t>
            </w:r>
            <w:r w:rsidRPr="00EB2BD8">
              <w:rPr>
                <w:sz w:val="16"/>
              </w:rPr>
              <w:t>and</w:t>
            </w:r>
            <w:r w:rsidRPr="00EB2BD8">
              <w:rPr>
                <w:spacing w:val="-12"/>
                <w:sz w:val="16"/>
              </w:rPr>
              <w:t xml:space="preserve"> </w:t>
            </w:r>
            <w:r w:rsidRPr="00EB2BD8">
              <w:rPr>
                <w:sz w:val="16"/>
              </w:rPr>
              <w:t>operation</w:t>
            </w:r>
            <w:r w:rsidRPr="00EB2BD8">
              <w:rPr>
                <w:spacing w:val="-13"/>
                <w:sz w:val="16"/>
              </w:rPr>
              <w:t xml:space="preserve"> </w:t>
            </w:r>
            <w:r w:rsidRPr="00EB2BD8">
              <w:rPr>
                <w:sz w:val="16"/>
              </w:rPr>
              <w:t>of</w:t>
            </w:r>
            <w:r w:rsidRPr="00EB2BD8">
              <w:rPr>
                <w:spacing w:val="-12"/>
                <w:sz w:val="16"/>
              </w:rPr>
              <w:t xml:space="preserve"> </w:t>
            </w:r>
            <w:r w:rsidRPr="00EB2BD8">
              <w:rPr>
                <w:sz w:val="16"/>
              </w:rPr>
              <w:t>the</w:t>
            </w:r>
            <w:r w:rsidRPr="00EB2BD8">
              <w:rPr>
                <w:spacing w:val="-12"/>
                <w:sz w:val="16"/>
              </w:rPr>
              <w:t xml:space="preserve"> </w:t>
            </w:r>
            <w:r w:rsidRPr="00EB2BD8">
              <w:rPr>
                <w:i/>
                <w:sz w:val="16"/>
              </w:rPr>
              <w:t>Public</w:t>
            </w:r>
            <w:r w:rsidRPr="00EB2BD8">
              <w:rPr>
                <w:i/>
                <w:spacing w:val="-13"/>
                <w:sz w:val="16"/>
              </w:rPr>
              <w:t xml:space="preserve"> </w:t>
            </w:r>
            <w:r w:rsidRPr="00EB2BD8">
              <w:rPr>
                <w:i/>
                <w:sz w:val="16"/>
              </w:rPr>
              <w:t>Interest</w:t>
            </w:r>
            <w:r w:rsidRPr="00EB2BD8">
              <w:rPr>
                <w:i/>
                <w:spacing w:val="-12"/>
                <w:sz w:val="16"/>
              </w:rPr>
              <w:t xml:space="preserve"> </w:t>
            </w:r>
            <w:r w:rsidRPr="00EB2BD8">
              <w:rPr>
                <w:i/>
                <w:sz w:val="16"/>
              </w:rPr>
              <w:t>Disclosures</w:t>
            </w:r>
            <w:r w:rsidRPr="00EB2BD8">
              <w:rPr>
                <w:i/>
                <w:spacing w:val="-13"/>
                <w:sz w:val="16"/>
              </w:rPr>
              <w:t xml:space="preserve"> </w:t>
            </w:r>
            <w:r w:rsidRPr="00EB2BD8">
              <w:rPr>
                <w:i/>
                <w:sz w:val="16"/>
              </w:rPr>
              <w:t>Act</w:t>
            </w:r>
            <w:r w:rsidRPr="00EB2BD8">
              <w:rPr>
                <w:i/>
                <w:spacing w:val="-12"/>
                <w:sz w:val="16"/>
              </w:rPr>
              <w:t xml:space="preserve"> </w:t>
            </w:r>
            <w:r w:rsidRPr="00EB2BD8">
              <w:rPr>
                <w:i/>
                <w:spacing w:val="-4"/>
                <w:sz w:val="16"/>
              </w:rPr>
              <w:t>2012</w:t>
            </w:r>
          </w:p>
        </w:tc>
        <w:tc>
          <w:tcPr>
            <w:tcW w:w="1870" w:type="dxa"/>
            <w:tcBorders>
              <w:top w:val="single" w:sz="2" w:space="0" w:color="000000"/>
              <w:bottom w:val="single" w:sz="2" w:space="0" w:color="000000"/>
            </w:tcBorders>
          </w:tcPr>
          <w:p w14:paraId="217D6E95" w14:textId="77777777" w:rsidR="00084F36" w:rsidRPr="00EB2BD8" w:rsidRDefault="00EB2BD8">
            <w:pPr>
              <w:pStyle w:val="TableParagraph"/>
              <w:spacing w:before="116"/>
              <w:ind w:right="111"/>
              <w:jc w:val="right"/>
              <w:rPr>
                <w:sz w:val="16"/>
              </w:rPr>
            </w:pPr>
            <w:r w:rsidRPr="00EB2BD8">
              <w:rPr>
                <w:spacing w:val="-5"/>
                <w:w w:val="85"/>
                <w:sz w:val="16"/>
              </w:rPr>
              <w:t>77</w:t>
            </w:r>
          </w:p>
        </w:tc>
      </w:tr>
      <w:tr w:rsidR="00EB2BD8" w:rsidRPr="00EB2BD8" w14:paraId="426F369A" w14:textId="77777777">
        <w:trPr>
          <w:trHeight w:val="381"/>
        </w:trPr>
        <w:tc>
          <w:tcPr>
            <w:tcW w:w="2209" w:type="dxa"/>
            <w:tcBorders>
              <w:top w:val="single" w:sz="2" w:space="0" w:color="000000"/>
              <w:bottom w:val="single" w:sz="2" w:space="0" w:color="000000"/>
            </w:tcBorders>
          </w:tcPr>
          <w:p w14:paraId="259846F1" w14:textId="77777777" w:rsidR="00084F36" w:rsidRPr="00EB2BD8" w:rsidRDefault="00EB2BD8">
            <w:pPr>
              <w:pStyle w:val="TableParagraph"/>
              <w:spacing w:before="115"/>
              <w:ind w:left="113"/>
              <w:rPr>
                <w:sz w:val="16"/>
              </w:rPr>
            </w:pPr>
            <w:r w:rsidRPr="00EB2BD8">
              <w:rPr>
                <w:sz w:val="16"/>
              </w:rPr>
              <w:t>FRD</w:t>
            </w:r>
            <w:r w:rsidRPr="00EB2BD8">
              <w:rPr>
                <w:spacing w:val="-2"/>
                <w:sz w:val="16"/>
              </w:rPr>
              <w:t xml:space="preserve"> </w:t>
            </w:r>
            <w:r w:rsidRPr="00EB2BD8">
              <w:rPr>
                <w:spacing w:val="-5"/>
                <w:sz w:val="16"/>
              </w:rPr>
              <w:t>22</w:t>
            </w:r>
          </w:p>
        </w:tc>
        <w:tc>
          <w:tcPr>
            <w:tcW w:w="6125" w:type="dxa"/>
            <w:tcBorders>
              <w:top w:val="single" w:sz="2" w:space="0" w:color="000000"/>
              <w:bottom w:val="single" w:sz="2" w:space="0" w:color="000000"/>
            </w:tcBorders>
          </w:tcPr>
          <w:p w14:paraId="5DE65BA6" w14:textId="77777777" w:rsidR="00084F36" w:rsidRPr="00EB2BD8" w:rsidRDefault="00EB2BD8">
            <w:pPr>
              <w:pStyle w:val="TableParagraph"/>
              <w:spacing w:before="115"/>
              <w:ind w:left="1"/>
              <w:rPr>
                <w:sz w:val="16"/>
              </w:rPr>
            </w:pPr>
            <w:r w:rsidRPr="00EB2BD8">
              <w:rPr>
                <w:spacing w:val="-2"/>
                <w:sz w:val="16"/>
              </w:rPr>
              <w:t>Details</w:t>
            </w:r>
            <w:r w:rsidRPr="00EB2BD8">
              <w:rPr>
                <w:spacing w:val="-3"/>
                <w:sz w:val="16"/>
              </w:rPr>
              <w:t xml:space="preserve"> </w:t>
            </w:r>
            <w:r w:rsidRPr="00EB2BD8">
              <w:rPr>
                <w:spacing w:val="-2"/>
                <w:sz w:val="16"/>
              </w:rPr>
              <w:t>of consultancies</w:t>
            </w:r>
            <w:r w:rsidRPr="00EB2BD8">
              <w:rPr>
                <w:spacing w:val="-3"/>
                <w:sz w:val="16"/>
              </w:rPr>
              <w:t xml:space="preserve"> </w:t>
            </w:r>
            <w:r w:rsidRPr="00EB2BD8">
              <w:rPr>
                <w:spacing w:val="-2"/>
                <w:sz w:val="16"/>
              </w:rPr>
              <w:t>over $10,000</w:t>
            </w:r>
          </w:p>
        </w:tc>
        <w:tc>
          <w:tcPr>
            <w:tcW w:w="1870" w:type="dxa"/>
            <w:tcBorders>
              <w:top w:val="single" w:sz="2" w:space="0" w:color="000000"/>
              <w:bottom w:val="single" w:sz="2" w:space="0" w:color="000000"/>
            </w:tcBorders>
          </w:tcPr>
          <w:p w14:paraId="6956CFCF" w14:textId="77777777" w:rsidR="00084F36" w:rsidRPr="00EB2BD8" w:rsidRDefault="00EB2BD8">
            <w:pPr>
              <w:pStyle w:val="TableParagraph"/>
              <w:spacing w:before="115"/>
              <w:ind w:right="118"/>
              <w:jc w:val="right"/>
              <w:rPr>
                <w:sz w:val="16"/>
              </w:rPr>
            </w:pPr>
            <w:r w:rsidRPr="00EB2BD8">
              <w:rPr>
                <w:spacing w:val="-5"/>
                <w:w w:val="95"/>
                <w:sz w:val="16"/>
              </w:rPr>
              <w:t>74</w:t>
            </w:r>
          </w:p>
        </w:tc>
      </w:tr>
    </w:tbl>
    <w:p w14:paraId="3F8E9C32" w14:textId="77777777" w:rsidR="00084F36" w:rsidRPr="00EB2BD8" w:rsidRDefault="00084F36">
      <w:pPr>
        <w:jc w:val="right"/>
        <w:rPr>
          <w:sz w:val="16"/>
        </w:rPr>
        <w:sectPr w:rsidR="00084F36" w:rsidRPr="00EB2BD8" w:rsidSect="006D75B2">
          <w:headerReference w:type="even" r:id="rId389"/>
          <w:headerReference w:type="default" r:id="rId390"/>
          <w:footerReference w:type="default" r:id="rId391"/>
          <w:pgSz w:w="11910" w:h="16840"/>
          <w:pgMar w:top="1100" w:right="0" w:bottom="700" w:left="0" w:header="0" w:footer="501" w:gutter="0"/>
          <w:cols w:space="720"/>
        </w:sectPr>
      </w:pPr>
    </w:p>
    <w:p w14:paraId="5D0AF35E" w14:textId="77777777" w:rsidR="00084F36" w:rsidRPr="00EB2BD8" w:rsidRDefault="00084F36">
      <w:pPr>
        <w:pStyle w:val="BodyText"/>
        <w:rPr>
          <w:sz w:val="20"/>
        </w:rPr>
      </w:pPr>
    </w:p>
    <w:p w14:paraId="082748C0" w14:textId="77777777" w:rsidR="00084F36" w:rsidRPr="00EB2BD8" w:rsidRDefault="00084F36">
      <w:pPr>
        <w:pStyle w:val="BodyText"/>
        <w:rPr>
          <w:sz w:val="20"/>
        </w:rPr>
      </w:pPr>
    </w:p>
    <w:p w14:paraId="661E9AEE" w14:textId="77777777" w:rsidR="00084F36" w:rsidRPr="00EB2BD8" w:rsidRDefault="00084F36">
      <w:pPr>
        <w:pStyle w:val="BodyText"/>
        <w:rPr>
          <w:sz w:val="20"/>
        </w:rPr>
      </w:pPr>
    </w:p>
    <w:p w14:paraId="3F2A8A9B" w14:textId="77777777" w:rsidR="00084F36" w:rsidRPr="00EB2BD8" w:rsidRDefault="00084F36">
      <w:pPr>
        <w:pStyle w:val="BodyText"/>
        <w:rPr>
          <w:sz w:val="20"/>
        </w:rPr>
      </w:pPr>
    </w:p>
    <w:p w14:paraId="5E143698" w14:textId="77777777" w:rsidR="00084F36" w:rsidRPr="00EB2BD8" w:rsidRDefault="00084F36">
      <w:pPr>
        <w:pStyle w:val="BodyText"/>
        <w:spacing w:before="9"/>
        <w:rPr>
          <w:sz w:val="21"/>
        </w:rPr>
      </w:pPr>
    </w:p>
    <w:tbl>
      <w:tblPr>
        <w:tblW w:w="0" w:type="auto"/>
        <w:tblInd w:w="857" w:type="dxa"/>
        <w:tblLayout w:type="fixed"/>
        <w:tblCellMar>
          <w:left w:w="0" w:type="dxa"/>
          <w:right w:w="0" w:type="dxa"/>
        </w:tblCellMar>
        <w:tblLook w:val="01E0" w:firstRow="1" w:lastRow="1" w:firstColumn="1" w:lastColumn="1" w:noHBand="0" w:noVBand="0"/>
      </w:tblPr>
      <w:tblGrid>
        <w:gridCol w:w="1594"/>
        <w:gridCol w:w="5825"/>
        <w:gridCol w:w="2787"/>
      </w:tblGrid>
      <w:tr w:rsidR="00EB2BD8" w:rsidRPr="00EB2BD8" w14:paraId="2022D9F0" w14:textId="77777777">
        <w:trPr>
          <w:trHeight w:val="386"/>
        </w:trPr>
        <w:tc>
          <w:tcPr>
            <w:tcW w:w="1594" w:type="dxa"/>
            <w:shd w:val="clear" w:color="auto" w:fill="005F83"/>
          </w:tcPr>
          <w:p w14:paraId="487F60B3" w14:textId="77777777" w:rsidR="00084F36" w:rsidRPr="0004531F" w:rsidRDefault="00EB2BD8">
            <w:pPr>
              <w:pStyle w:val="TableParagraph"/>
              <w:spacing w:before="118"/>
              <w:ind w:left="113"/>
              <w:rPr>
                <w:color w:val="FFFFFF" w:themeColor="background1"/>
                <w:sz w:val="16"/>
              </w:rPr>
            </w:pPr>
            <w:r w:rsidRPr="0004531F">
              <w:rPr>
                <w:color w:val="FFFFFF" w:themeColor="background1"/>
                <w:spacing w:val="-2"/>
                <w:sz w:val="16"/>
              </w:rPr>
              <w:t>Legislation</w:t>
            </w:r>
          </w:p>
        </w:tc>
        <w:tc>
          <w:tcPr>
            <w:tcW w:w="5825" w:type="dxa"/>
            <w:shd w:val="clear" w:color="auto" w:fill="005F83"/>
          </w:tcPr>
          <w:p w14:paraId="59AD9A0D" w14:textId="77777777" w:rsidR="00084F36" w:rsidRPr="0004531F" w:rsidRDefault="00EB2BD8">
            <w:pPr>
              <w:pStyle w:val="TableParagraph"/>
              <w:spacing w:before="118"/>
              <w:ind w:left="616"/>
              <w:rPr>
                <w:color w:val="FFFFFF" w:themeColor="background1"/>
                <w:sz w:val="16"/>
              </w:rPr>
            </w:pPr>
            <w:r w:rsidRPr="0004531F">
              <w:rPr>
                <w:color w:val="FFFFFF" w:themeColor="background1"/>
                <w:spacing w:val="-2"/>
                <w:sz w:val="16"/>
              </w:rPr>
              <w:t>Requirement</w:t>
            </w:r>
          </w:p>
        </w:tc>
        <w:tc>
          <w:tcPr>
            <w:tcW w:w="2787" w:type="dxa"/>
            <w:shd w:val="clear" w:color="auto" w:fill="005F83"/>
          </w:tcPr>
          <w:p w14:paraId="73FBDB8E" w14:textId="77777777" w:rsidR="00084F36" w:rsidRPr="0004531F" w:rsidRDefault="00EB2BD8">
            <w:pPr>
              <w:pStyle w:val="TableParagraph"/>
              <w:spacing w:before="118"/>
              <w:ind w:left="1311"/>
              <w:rPr>
                <w:color w:val="FFFFFF" w:themeColor="background1"/>
                <w:sz w:val="16"/>
              </w:rPr>
            </w:pPr>
            <w:r w:rsidRPr="0004531F">
              <w:rPr>
                <w:color w:val="FFFFFF" w:themeColor="background1"/>
                <w:w w:val="105"/>
                <w:sz w:val="16"/>
              </w:rPr>
              <w:t xml:space="preserve">Page </w:t>
            </w:r>
            <w:r w:rsidRPr="0004531F">
              <w:rPr>
                <w:color w:val="FFFFFF" w:themeColor="background1"/>
                <w:spacing w:val="-2"/>
                <w:w w:val="105"/>
                <w:sz w:val="16"/>
              </w:rPr>
              <w:t>reference</w:t>
            </w:r>
          </w:p>
        </w:tc>
      </w:tr>
      <w:tr w:rsidR="00EB2BD8" w:rsidRPr="00EB2BD8" w14:paraId="29209550" w14:textId="77777777">
        <w:trPr>
          <w:trHeight w:val="384"/>
        </w:trPr>
        <w:tc>
          <w:tcPr>
            <w:tcW w:w="1594" w:type="dxa"/>
            <w:tcBorders>
              <w:bottom w:val="single" w:sz="2" w:space="0" w:color="000000"/>
            </w:tcBorders>
          </w:tcPr>
          <w:p w14:paraId="740F8FB2" w14:textId="77777777" w:rsidR="00084F36" w:rsidRPr="00EB2BD8" w:rsidRDefault="00EB2BD8">
            <w:pPr>
              <w:pStyle w:val="TableParagraph"/>
              <w:spacing w:before="118"/>
              <w:ind w:left="113"/>
              <w:rPr>
                <w:sz w:val="16"/>
              </w:rPr>
            </w:pPr>
            <w:r w:rsidRPr="00EB2BD8">
              <w:rPr>
                <w:sz w:val="16"/>
              </w:rPr>
              <w:t>FRD</w:t>
            </w:r>
            <w:r w:rsidRPr="00EB2BD8">
              <w:rPr>
                <w:spacing w:val="-2"/>
                <w:sz w:val="16"/>
              </w:rPr>
              <w:t xml:space="preserve"> </w:t>
            </w:r>
            <w:r w:rsidRPr="00EB2BD8">
              <w:rPr>
                <w:spacing w:val="-5"/>
                <w:sz w:val="16"/>
              </w:rPr>
              <w:t>22</w:t>
            </w:r>
          </w:p>
        </w:tc>
        <w:tc>
          <w:tcPr>
            <w:tcW w:w="5825" w:type="dxa"/>
            <w:tcBorders>
              <w:bottom w:val="single" w:sz="2" w:space="0" w:color="000000"/>
            </w:tcBorders>
          </w:tcPr>
          <w:p w14:paraId="140892C2" w14:textId="77777777" w:rsidR="00084F36" w:rsidRPr="00EB2BD8" w:rsidRDefault="00EB2BD8">
            <w:pPr>
              <w:pStyle w:val="TableParagraph"/>
              <w:spacing w:before="118"/>
              <w:ind w:left="616"/>
              <w:rPr>
                <w:sz w:val="16"/>
              </w:rPr>
            </w:pPr>
            <w:r w:rsidRPr="00EB2BD8">
              <w:rPr>
                <w:spacing w:val="-2"/>
                <w:sz w:val="16"/>
              </w:rPr>
              <w:t>Details</w:t>
            </w:r>
            <w:r w:rsidRPr="00EB2BD8">
              <w:rPr>
                <w:sz w:val="16"/>
              </w:rPr>
              <w:t xml:space="preserve"> </w:t>
            </w:r>
            <w:r w:rsidRPr="00EB2BD8">
              <w:rPr>
                <w:spacing w:val="-2"/>
                <w:sz w:val="16"/>
              </w:rPr>
              <w:t>of</w:t>
            </w:r>
            <w:r w:rsidRPr="00EB2BD8">
              <w:rPr>
                <w:sz w:val="16"/>
              </w:rPr>
              <w:t xml:space="preserve"> </w:t>
            </w:r>
            <w:r w:rsidRPr="00EB2BD8">
              <w:rPr>
                <w:spacing w:val="-2"/>
                <w:sz w:val="16"/>
              </w:rPr>
              <w:t>consultancies</w:t>
            </w:r>
            <w:r w:rsidRPr="00EB2BD8">
              <w:rPr>
                <w:sz w:val="16"/>
              </w:rPr>
              <w:t xml:space="preserve"> </w:t>
            </w:r>
            <w:r w:rsidRPr="00EB2BD8">
              <w:rPr>
                <w:spacing w:val="-2"/>
                <w:sz w:val="16"/>
              </w:rPr>
              <w:t>under</w:t>
            </w:r>
            <w:r w:rsidRPr="00EB2BD8">
              <w:rPr>
                <w:sz w:val="16"/>
              </w:rPr>
              <w:t xml:space="preserve"> </w:t>
            </w:r>
            <w:r w:rsidRPr="00EB2BD8">
              <w:rPr>
                <w:spacing w:val="-2"/>
                <w:sz w:val="16"/>
              </w:rPr>
              <w:t>$10,000</w:t>
            </w:r>
          </w:p>
        </w:tc>
        <w:tc>
          <w:tcPr>
            <w:tcW w:w="2787" w:type="dxa"/>
            <w:tcBorders>
              <w:bottom w:val="single" w:sz="2" w:space="0" w:color="000000"/>
            </w:tcBorders>
          </w:tcPr>
          <w:p w14:paraId="27F2CFF4" w14:textId="77777777" w:rsidR="00084F36" w:rsidRPr="00EB2BD8" w:rsidRDefault="00EB2BD8">
            <w:pPr>
              <w:pStyle w:val="TableParagraph"/>
              <w:spacing w:before="118"/>
              <w:ind w:right="120"/>
              <w:jc w:val="right"/>
              <w:rPr>
                <w:sz w:val="16"/>
              </w:rPr>
            </w:pPr>
            <w:r w:rsidRPr="00EB2BD8">
              <w:rPr>
                <w:spacing w:val="-5"/>
                <w:w w:val="95"/>
                <w:sz w:val="16"/>
              </w:rPr>
              <w:t>74</w:t>
            </w:r>
          </w:p>
        </w:tc>
      </w:tr>
      <w:tr w:rsidR="00EB2BD8" w:rsidRPr="00EB2BD8" w14:paraId="75B5A9E4" w14:textId="77777777">
        <w:trPr>
          <w:trHeight w:val="381"/>
        </w:trPr>
        <w:tc>
          <w:tcPr>
            <w:tcW w:w="1594" w:type="dxa"/>
            <w:tcBorders>
              <w:top w:val="single" w:sz="2" w:space="0" w:color="000000"/>
              <w:bottom w:val="single" w:sz="2" w:space="0" w:color="000000"/>
            </w:tcBorders>
          </w:tcPr>
          <w:p w14:paraId="620CF773"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5825" w:type="dxa"/>
            <w:tcBorders>
              <w:top w:val="single" w:sz="2" w:space="0" w:color="000000"/>
              <w:bottom w:val="single" w:sz="2" w:space="0" w:color="000000"/>
            </w:tcBorders>
          </w:tcPr>
          <w:p w14:paraId="267DEB5E" w14:textId="77777777" w:rsidR="00084F36" w:rsidRPr="00EB2BD8" w:rsidRDefault="00EB2BD8">
            <w:pPr>
              <w:pStyle w:val="TableParagraph"/>
              <w:spacing w:before="116"/>
              <w:ind w:left="616"/>
              <w:rPr>
                <w:sz w:val="16"/>
              </w:rPr>
            </w:pPr>
            <w:r w:rsidRPr="00EB2BD8">
              <w:rPr>
                <w:spacing w:val="-2"/>
                <w:sz w:val="16"/>
              </w:rPr>
              <w:t>Disclosure</w:t>
            </w:r>
            <w:r w:rsidRPr="00EB2BD8">
              <w:rPr>
                <w:spacing w:val="-3"/>
                <w:sz w:val="16"/>
              </w:rPr>
              <w:t xml:space="preserve"> </w:t>
            </w:r>
            <w:r w:rsidRPr="00EB2BD8">
              <w:rPr>
                <w:spacing w:val="-2"/>
                <w:sz w:val="16"/>
              </w:rPr>
              <w:t>of government advertising expenditure</w:t>
            </w:r>
          </w:p>
        </w:tc>
        <w:tc>
          <w:tcPr>
            <w:tcW w:w="2787" w:type="dxa"/>
            <w:tcBorders>
              <w:top w:val="single" w:sz="2" w:space="0" w:color="000000"/>
              <w:bottom w:val="single" w:sz="2" w:space="0" w:color="000000"/>
            </w:tcBorders>
          </w:tcPr>
          <w:p w14:paraId="47BB40E7" w14:textId="77777777" w:rsidR="00084F36" w:rsidRPr="00EB2BD8" w:rsidRDefault="00EB2BD8">
            <w:pPr>
              <w:pStyle w:val="TableParagraph"/>
              <w:spacing w:before="116"/>
              <w:ind w:right="120"/>
              <w:jc w:val="right"/>
              <w:rPr>
                <w:sz w:val="16"/>
              </w:rPr>
            </w:pPr>
            <w:r w:rsidRPr="00EB2BD8">
              <w:rPr>
                <w:spacing w:val="-5"/>
                <w:w w:val="95"/>
                <w:sz w:val="16"/>
              </w:rPr>
              <w:t>74</w:t>
            </w:r>
          </w:p>
        </w:tc>
      </w:tr>
      <w:tr w:rsidR="00EB2BD8" w:rsidRPr="00EB2BD8" w14:paraId="03E928B6" w14:textId="77777777">
        <w:trPr>
          <w:trHeight w:val="381"/>
        </w:trPr>
        <w:tc>
          <w:tcPr>
            <w:tcW w:w="1594" w:type="dxa"/>
            <w:tcBorders>
              <w:top w:val="single" w:sz="2" w:space="0" w:color="000000"/>
              <w:bottom w:val="single" w:sz="2" w:space="0" w:color="000000"/>
            </w:tcBorders>
          </w:tcPr>
          <w:p w14:paraId="55439713"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5825" w:type="dxa"/>
            <w:tcBorders>
              <w:top w:val="single" w:sz="2" w:space="0" w:color="000000"/>
              <w:bottom w:val="single" w:sz="2" w:space="0" w:color="000000"/>
            </w:tcBorders>
          </w:tcPr>
          <w:p w14:paraId="1D078880" w14:textId="77777777" w:rsidR="00084F36" w:rsidRPr="00EB2BD8" w:rsidRDefault="00EB2BD8">
            <w:pPr>
              <w:pStyle w:val="TableParagraph"/>
              <w:spacing w:before="116"/>
              <w:ind w:left="616"/>
              <w:rPr>
                <w:sz w:val="16"/>
              </w:rPr>
            </w:pPr>
            <w:r w:rsidRPr="00EB2BD8">
              <w:rPr>
                <w:spacing w:val="-2"/>
                <w:sz w:val="16"/>
              </w:rPr>
              <w:t>Disclosure</w:t>
            </w:r>
            <w:r w:rsidRPr="00EB2BD8">
              <w:rPr>
                <w:spacing w:val="-12"/>
                <w:sz w:val="16"/>
              </w:rPr>
              <w:t xml:space="preserve"> </w:t>
            </w:r>
            <w:r w:rsidRPr="00EB2BD8">
              <w:rPr>
                <w:spacing w:val="-2"/>
                <w:sz w:val="16"/>
              </w:rPr>
              <w:t>of</w:t>
            </w:r>
            <w:r w:rsidRPr="00EB2BD8">
              <w:rPr>
                <w:spacing w:val="-12"/>
                <w:sz w:val="16"/>
              </w:rPr>
              <w:t xml:space="preserve"> </w:t>
            </w:r>
            <w:r w:rsidRPr="00EB2BD8">
              <w:rPr>
                <w:spacing w:val="-2"/>
                <w:sz w:val="16"/>
              </w:rPr>
              <w:t>ICT</w:t>
            </w:r>
            <w:r w:rsidRPr="00EB2BD8">
              <w:rPr>
                <w:spacing w:val="-11"/>
                <w:sz w:val="16"/>
              </w:rPr>
              <w:t xml:space="preserve"> </w:t>
            </w:r>
            <w:r w:rsidRPr="00EB2BD8">
              <w:rPr>
                <w:spacing w:val="-2"/>
                <w:sz w:val="16"/>
              </w:rPr>
              <w:t>expenditure</w:t>
            </w:r>
          </w:p>
        </w:tc>
        <w:tc>
          <w:tcPr>
            <w:tcW w:w="2787" w:type="dxa"/>
            <w:tcBorders>
              <w:top w:val="single" w:sz="2" w:space="0" w:color="000000"/>
              <w:bottom w:val="single" w:sz="2" w:space="0" w:color="000000"/>
            </w:tcBorders>
          </w:tcPr>
          <w:p w14:paraId="450C4CC0" w14:textId="77777777" w:rsidR="00084F36" w:rsidRPr="00EB2BD8" w:rsidRDefault="00EB2BD8">
            <w:pPr>
              <w:pStyle w:val="TableParagraph"/>
              <w:spacing w:before="116"/>
              <w:ind w:right="113"/>
              <w:jc w:val="right"/>
              <w:rPr>
                <w:sz w:val="16"/>
              </w:rPr>
            </w:pPr>
            <w:r w:rsidRPr="00EB2BD8">
              <w:rPr>
                <w:spacing w:val="-5"/>
                <w:w w:val="95"/>
                <w:sz w:val="16"/>
              </w:rPr>
              <w:t>75</w:t>
            </w:r>
          </w:p>
        </w:tc>
      </w:tr>
      <w:tr w:rsidR="00EB2BD8" w:rsidRPr="00EB2BD8" w14:paraId="08C3B4FE" w14:textId="77777777">
        <w:trPr>
          <w:trHeight w:val="381"/>
        </w:trPr>
        <w:tc>
          <w:tcPr>
            <w:tcW w:w="1594" w:type="dxa"/>
            <w:tcBorders>
              <w:top w:val="single" w:sz="2" w:space="0" w:color="000000"/>
              <w:bottom w:val="single" w:sz="2" w:space="0" w:color="000000"/>
            </w:tcBorders>
          </w:tcPr>
          <w:p w14:paraId="22CB821F"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5825" w:type="dxa"/>
            <w:tcBorders>
              <w:top w:val="single" w:sz="2" w:space="0" w:color="000000"/>
              <w:bottom w:val="single" w:sz="2" w:space="0" w:color="000000"/>
            </w:tcBorders>
          </w:tcPr>
          <w:p w14:paraId="744B94FC" w14:textId="77777777" w:rsidR="00084F36" w:rsidRPr="00EB2BD8" w:rsidRDefault="00EB2BD8">
            <w:pPr>
              <w:pStyle w:val="TableParagraph"/>
              <w:spacing w:before="116"/>
              <w:ind w:left="616"/>
              <w:rPr>
                <w:sz w:val="16"/>
              </w:rPr>
            </w:pPr>
            <w:r w:rsidRPr="00EB2BD8">
              <w:rPr>
                <w:sz w:val="16"/>
              </w:rPr>
              <w:t>Statement</w:t>
            </w:r>
            <w:r w:rsidRPr="00EB2BD8">
              <w:rPr>
                <w:spacing w:val="-9"/>
                <w:sz w:val="16"/>
              </w:rPr>
              <w:t xml:space="preserve"> </w:t>
            </w:r>
            <w:r w:rsidRPr="00EB2BD8">
              <w:rPr>
                <w:sz w:val="16"/>
              </w:rPr>
              <w:t>of</w:t>
            </w:r>
            <w:r w:rsidRPr="00EB2BD8">
              <w:rPr>
                <w:spacing w:val="-8"/>
                <w:sz w:val="16"/>
              </w:rPr>
              <w:t xml:space="preserve"> </w:t>
            </w:r>
            <w:r w:rsidRPr="00EB2BD8">
              <w:rPr>
                <w:sz w:val="16"/>
              </w:rPr>
              <w:t>availability</w:t>
            </w:r>
            <w:r w:rsidRPr="00EB2BD8">
              <w:rPr>
                <w:spacing w:val="-9"/>
                <w:sz w:val="16"/>
              </w:rPr>
              <w:t xml:space="preserve"> </w:t>
            </w:r>
            <w:r w:rsidRPr="00EB2BD8">
              <w:rPr>
                <w:sz w:val="16"/>
              </w:rPr>
              <w:t>of</w:t>
            </w:r>
            <w:r w:rsidRPr="00EB2BD8">
              <w:rPr>
                <w:spacing w:val="-8"/>
                <w:sz w:val="16"/>
              </w:rPr>
              <w:t xml:space="preserve"> </w:t>
            </w:r>
            <w:r w:rsidRPr="00EB2BD8">
              <w:rPr>
                <w:sz w:val="16"/>
              </w:rPr>
              <w:t>other</w:t>
            </w:r>
            <w:r w:rsidRPr="00EB2BD8">
              <w:rPr>
                <w:spacing w:val="-8"/>
                <w:sz w:val="16"/>
              </w:rPr>
              <w:t xml:space="preserve"> </w:t>
            </w:r>
            <w:r w:rsidRPr="00EB2BD8">
              <w:rPr>
                <w:spacing w:val="-2"/>
                <w:sz w:val="16"/>
              </w:rPr>
              <w:t>information</w:t>
            </w:r>
          </w:p>
        </w:tc>
        <w:tc>
          <w:tcPr>
            <w:tcW w:w="2787" w:type="dxa"/>
            <w:tcBorders>
              <w:top w:val="single" w:sz="2" w:space="0" w:color="000000"/>
              <w:bottom w:val="single" w:sz="2" w:space="0" w:color="000000"/>
            </w:tcBorders>
          </w:tcPr>
          <w:p w14:paraId="129F6A75" w14:textId="77777777" w:rsidR="00084F36" w:rsidRPr="00EB2BD8" w:rsidRDefault="00EB2BD8">
            <w:pPr>
              <w:pStyle w:val="TableParagraph"/>
              <w:spacing w:before="116"/>
              <w:ind w:right="113"/>
              <w:jc w:val="right"/>
              <w:rPr>
                <w:sz w:val="16"/>
              </w:rPr>
            </w:pPr>
            <w:r w:rsidRPr="00EB2BD8">
              <w:rPr>
                <w:spacing w:val="-5"/>
                <w:w w:val="95"/>
                <w:sz w:val="16"/>
              </w:rPr>
              <w:t>76</w:t>
            </w:r>
          </w:p>
        </w:tc>
      </w:tr>
      <w:tr w:rsidR="00EB2BD8" w:rsidRPr="00EB2BD8" w14:paraId="330D7156" w14:textId="77777777">
        <w:trPr>
          <w:trHeight w:val="381"/>
        </w:trPr>
        <w:tc>
          <w:tcPr>
            <w:tcW w:w="1594" w:type="dxa"/>
            <w:tcBorders>
              <w:top w:val="single" w:sz="2" w:space="0" w:color="000000"/>
              <w:bottom w:val="single" w:sz="2" w:space="0" w:color="000000"/>
            </w:tcBorders>
          </w:tcPr>
          <w:p w14:paraId="57032760"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22</w:t>
            </w:r>
          </w:p>
        </w:tc>
        <w:tc>
          <w:tcPr>
            <w:tcW w:w="5825" w:type="dxa"/>
            <w:tcBorders>
              <w:top w:val="single" w:sz="2" w:space="0" w:color="000000"/>
              <w:bottom w:val="single" w:sz="2" w:space="0" w:color="000000"/>
            </w:tcBorders>
          </w:tcPr>
          <w:p w14:paraId="2F0A6312" w14:textId="77777777" w:rsidR="00084F36" w:rsidRPr="00EB2BD8" w:rsidRDefault="00EB2BD8">
            <w:pPr>
              <w:pStyle w:val="TableParagraph"/>
              <w:spacing w:before="116"/>
              <w:ind w:left="616"/>
              <w:rPr>
                <w:sz w:val="16"/>
              </w:rPr>
            </w:pPr>
            <w:r w:rsidRPr="00EB2BD8">
              <w:rPr>
                <w:spacing w:val="-2"/>
                <w:sz w:val="16"/>
              </w:rPr>
              <w:t>Disclosure of emergency procurement</w:t>
            </w:r>
          </w:p>
        </w:tc>
        <w:tc>
          <w:tcPr>
            <w:tcW w:w="2787" w:type="dxa"/>
            <w:tcBorders>
              <w:top w:val="single" w:sz="2" w:space="0" w:color="000000"/>
              <w:bottom w:val="single" w:sz="2" w:space="0" w:color="000000"/>
            </w:tcBorders>
          </w:tcPr>
          <w:p w14:paraId="3C87712C" w14:textId="77777777" w:rsidR="00084F36" w:rsidRPr="00EB2BD8" w:rsidRDefault="00EB2BD8">
            <w:pPr>
              <w:pStyle w:val="TableParagraph"/>
              <w:spacing w:before="116"/>
              <w:ind w:right="120"/>
              <w:jc w:val="right"/>
              <w:rPr>
                <w:sz w:val="16"/>
              </w:rPr>
            </w:pPr>
            <w:r w:rsidRPr="00EB2BD8">
              <w:rPr>
                <w:spacing w:val="-5"/>
                <w:w w:val="95"/>
                <w:sz w:val="16"/>
              </w:rPr>
              <w:t>74</w:t>
            </w:r>
          </w:p>
        </w:tc>
      </w:tr>
      <w:tr w:rsidR="00EB2BD8" w:rsidRPr="00EB2BD8" w14:paraId="1F284F8B" w14:textId="77777777">
        <w:trPr>
          <w:trHeight w:val="381"/>
        </w:trPr>
        <w:tc>
          <w:tcPr>
            <w:tcW w:w="1594" w:type="dxa"/>
            <w:tcBorders>
              <w:top w:val="single" w:sz="2" w:space="0" w:color="000000"/>
              <w:bottom w:val="single" w:sz="2" w:space="0" w:color="000000"/>
            </w:tcBorders>
          </w:tcPr>
          <w:p w14:paraId="25C1CD9B"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24</w:t>
            </w:r>
          </w:p>
        </w:tc>
        <w:tc>
          <w:tcPr>
            <w:tcW w:w="5825" w:type="dxa"/>
            <w:tcBorders>
              <w:top w:val="single" w:sz="2" w:space="0" w:color="000000"/>
              <w:bottom w:val="single" w:sz="2" w:space="0" w:color="000000"/>
            </w:tcBorders>
          </w:tcPr>
          <w:p w14:paraId="16F9733A" w14:textId="77777777" w:rsidR="00084F36" w:rsidRPr="00EB2BD8" w:rsidRDefault="00EB2BD8">
            <w:pPr>
              <w:pStyle w:val="TableParagraph"/>
              <w:spacing w:before="116"/>
              <w:ind w:left="616"/>
              <w:rPr>
                <w:sz w:val="16"/>
              </w:rPr>
            </w:pPr>
            <w:r w:rsidRPr="00EB2BD8">
              <w:rPr>
                <w:sz w:val="16"/>
              </w:rPr>
              <w:t>Reporting</w:t>
            </w:r>
            <w:r w:rsidRPr="00EB2BD8">
              <w:rPr>
                <w:spacing w:val="-8"/>
                <w:sz w:val="16"/>
              </w:rPr>
              <w:t xml:space="preserve"> </w:t>
            </w:r>
            <w:r w:rsidRPr="00EB2BD8">
              <w:rPr>
                <w:sz w:val="16"/>
              </w:rPr>
              <w:t>of</w:t>
            </w:r>
            <w:r w:rsidRPr="00EB2BD8">
              <w:rPr>
                <w:spacing w:val="-8"/>
                <w:sz w:val="16"/>
              </w:rPr>
              <w:t xml:space="preserve"> </w:t>
            </w:r>
            <w:r w:rsidRPr="00EB2BD8">
              <w:rPr>
                <w:sz w:val="16"/>
              </w:rPr>
              <w:t>office-based</w:t>
            </w:r>
            <w:r w:rsidRPr="00EB2BD8">
              <w:rPr>
                <w:spacing w:val="-8"/>
                <w:sz w:val="16"/>
              </w:rPr>
              <w:t xml:space="preserve"> </w:t>
            </w:r>
            <w:r w:rsidRPr="00EB2BD8">
              <w:rPr>
                <w:sz w:val="16"/>
              </w:rPr>
              <w:t>environmental</w:t>
            </w:r>
            <w:r w:rsidRPr="00EB2BD8">
              <w:rPr>
                <w:spacing w:val="-8"/>
                <w:sz w:val="16"/>
              </w:rPr>
              <w:t xml:space="preserve"> </w:t>
            </w:r>
            <w:r w:rsidRPr="00EB2BD8">
              <w:rPr>
                <w:spacing w:val="-2"/>
                <w:sz w:val="16"/>
              </w:rPr>
              <w:t>impacts</w:t>
            </w:r>
          </w:p>
        </w:tc>
        <w:tc>
          <w:tcPr>
            <w:tcW w:w="2787" w:type="dxa"/>
            <w:tcBorders>
              <w:top w:val="single" w:sz="2" w:space="0" w:color="000000"/>
              <w:bottom w:val="single" w:sz="2" w:space="0" w:color="000000"/>
            </w:tcBorders>
          </w:tcPr>
          <w:p w14:paraId="7AC62938" w14:textId="77777777" w:rsidR="00084F36" w:rsidRPr="00EB2BD8" w:rsidRDefault="00EB2BD8">
            <w:pPr>
              <w:pStyle w:val="TableParagraph"/>
              <w:spacing w:before="116"/>
              <w:ind w:right="112"/>
              <w:jc w:val="right"/>
              <w:rPr>
                <w:sz w:val="16"/>
              </w:rPr>
            </w:pPr>
            <w:r w:rsidRPr="00EB2BD8">
              <w:rPr>
                <w:spacing w:val="-2"/>
                <w:w w:val="90"/>
                <w:sz w:val="16"/>
              </w:rPr>
              <w:t>79-</w:t>
            </w:r>
            <w:r w:rsidRPr="00EB2BD8">
              <w:rPr>
                <w:spacing w:val="-7"/>
                <w:sz w:val="16"/>
              </w:rPr>
              <w:t>81</w:t>
            </w:r>
          </w:p>
        </w:tc>
      </w:tr>
      <w:tr w:rsidR="00EB2BD8" w:rsidRPr="00EB2BD8" w14:paraId="72DF4BB7" w14:textId="77777777">
        <w:trPr>
          <w:trHeight w:val="381"/>
        </w:trPr>
        <w:tc>
          <w:tcPr>
            <w:tcW w:w="1594" w:type="dxa"/>
            <w:tcBorders>
              <w:top w:val="single" w:sz="2" w:space="0" w:color="000000"/>
              <w:bottom w:val="single" w:sz="2" w:space="0" w:color="000000"/>
            </w:tcBorders>
          </w:tcPr>
          <w:p w14:paraId="68804742"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25</w:t>
            </w:r>
          </w:p>
        </w:tc>
        <w:tc>
          <w:tcPr>
            <w:tcW w:w="5825" w:type="dxa"/>
            <w:tcBorders>
              <w:top w:val="single" w:sz="2" w:space="0" w:color="000000"/>
              <w:bottom w:val="single" w:sz="2" w:space="0" w:color="000000"/>
            </w:tcBorders>
          </w:tcPr>
          <w:p w14:paraId="1C3A9EEC" w14:textId="77777777" w:rsidR="00084F36" w:rsidRPr="00EB2BD8" w:rsidRDefault="00EB2BD8">
            <w:pPr>
              <w:pStyle w:val="TableParagraph"/>
              <w:spacing w:before="116"/>
              <w:ind w:left="616"/>
              <w:rPr>
                <w:sz w:val="16"/>
              </w:rPr>
            </w:pPr>
            <w:r w:rsidRPr="00EB2BD8">
              <w:rPr>
                <w:w w:val="105"/>
                <w:sz w:val="16"/>
              </w:rPr>
              <w:t>Local</w:t>
            </w:r>
            <w:r w:rsidRPr="00EB2BD8">
              <w:rPr>
                <w:spacing w:val="-4"/>
                <w:w w:val="105"/>
                <w:sz w:val="16"/>
              </w:rPr>
              <w:t xml:space="preserve"> </w:t>
            </w:r>
            <w:r w:rsidRPr="00EB2BD8">
              <w:rPr>
                <w:w w:val="105"/>
                <w:sz w:val="16"/>
              </w:rPr>
              <w:t>Jobs</w:t>
            </w:r>
            <w:r w:rsidRPr="00EB2BD8">
              <w:rPr>
                <w:spacing w:val="-3"/>
                <w:w w:val="105"/>
                <w:sz w:val="16"/>
              </w:rPr>
              <w:t xml:space="preserve"> </w:t>
            </w:r>
            <w:r w:rsidRPr="00EB2BD8">
              <w:rPr>
                <w:spacing w:val="-2"/>
                <w:w w:val="105"/>
                <w:sz w:val="16"/>
              </w:rPr>
              <w:t>First</w:t>
            </w:r>
          </w:p>
        </w:tc>
        <w:tc>
          <w:tcPr>
            <w:tcW w:w="2787" w:type="dxa"/>
            <w:tcBorders>
              <w:top w:val="single" w:sz="2" w:space="0" w:color="000000"/>
              <w:bottom w:val="single" w:sz="2" w:space="0" w:color="000000"/>
            </w:tcBorders>
          </w:tcPr>
          <w:p w14:paraId="0FEF8573" w14:textId="77777777" w:rsidR="00084F36" w:rsidRPr="00EB2BD8" w:rsidRDefault="00EB2BD8">
            <w:pPr>
              <w:pStyle w:val="TableParagraph"/>
              <w:spacing w:before="116"/>
              <w:ind w:right="120"/>
              <w:jc w:val="right"/>
              <w:rPr>
                <w:sz w:val="16"/>
              </w:rPr>
            </w:pPr>
            <w:r w:rsidRPr="00EB2BD8">
              <w:rPr>
                <w:spacing w:val="-5"/>
                <w:w w:val="95"/>
                <w:sz w:val="16"/>
              </w:rPr>
              <w:t>74</w:t>
            </w:r>
          </w:p>
        </w:tc>
      </w:tr>
      <w:tr w:rsidR="00EB2BD8" w:rsidRPr="00EB2BD8" w14:paraId="607BEC0E" w14:textId="77777777">
        <w:trPr>
          <w:trHeight w:val="381"/>
        </w:trPr>
        <w:tc>
          <w:tcPr>
            <w:tcW w:w="1594" w:type="dxa"/>
            <w:tcBorders>
              <w:top w:val="single" w:sz="2" w:space="0" w:color="000000"/>
              <w:bottom w:val="single" w:sz="2" w:space="0" w:color="000000"/>
            </w:tcBorders>
          </w:tcPr>
          <w:p w14:paraId="7B689B7F" w14:textId="77777777" w:rsidR="00084F36" w:rsidRPr="00EB2BD8" w:rsidRDefault="00EB2BD8">
            <w:pPr>
              <w:pStyle w:val="TableParagraph"/>
              <w:spacing w:before="115"/>
              <w:ind w:left="113"/>
              <w:rPr>
                <w:sz w:val="16"/>
              </w:rPr>
            </w:pPr>
            <w:r w:rsidRPr="00EB2BD8">
              <w:rPr>
                <w:sz w:val="16"/>
              </w:rPr>
              <w:t>FRD</w:t>
            </w:r>
            <w:r w:rsidRPr="00EB2BD8">
              <w:rPr>
                <w:spacing w:val="-2"/>
                <w:sz w:val="16"/>
              </w:rPr>
              <w:t xml:space="preserve"> </w:t>
            </w:r>
            <w:r w:rsidRPr="00EB2BD8">
              <w:rPr>
                <w:spacing w:val="-5"/>
                <w:sz w:val="16"/>
              </w:rPr>
              <w:t>29</w:t>
            </w:r>
          </w:p>
        </w:tc>
        <w:tc>
          <w:tcPr>
            <w:tcW w:w="5825" w:type="dxa"/>
            <w:tcBorders>
              <w:top w:val="single" w:sz="2" w:space="0" w:color="000000"/>
              <w:bottom w:val="single" w:sz="2" w:space="0" w:color="000000"/>
            </w:tcBorders>
          </w:tcPr>
          <w:p w14:paraId="77224641" w14:textId="77777777" w:rsidR="00084F36" w:rsidRPr="00EB2BD8" w:rsidRDefault="00EB2BD8">
            <w:pPr>
              <w:pStyle w:val="TableParagraph"/>
              <w:spacing w:before="115"/>
              <w:ind w:left="616"/>
              <w:rPr>
                <w:sz w:val="16"/>
              </w:rPr>
            </w:pPr>
            <w:r w:rsidRPr="00EB2BD8">
              <w:rPr>
                <w:sz w:val="16"/>
              </w:rPr>
              <w:t>Workforce</w:t>
            </w:r>
            <w:r w:rsidRPr="00EB2BD8">
              <w:rPr>
                <w:spacing w:val="-2"/>
                <w:sz w:val="16"/>
              </w:rPr>
              <w:t xml:space="preserve"> </w:t>
            </w:r>
            <w:r w:rsidRPr="00EB2BD8">
              <w:rPr>
                <w:sz w:val="16"/>
              </w:rPr>
              <w:t>data</w:t>
            </w:r>
            <w:r w:rsidRPr="00EB2BD8">
              <w:rPr>
                <w:spacing w:val="-1"/>
                <w:sz w:val="16"/>
              </w:rPr>
              <w:t xml:space="preserve"> </w:t>
            </w:r>
            <w:r w:rsidRPr="00EB2BD8">
              <w:rPr>
                <w:spacing w:val="-2"/>
                <w:sz w:val="16"/>
              </w:rPr>
              <w:t>disclosures</w:t>
            </w:r>
          </w:p>
        </w:tc>
        <w:tc>
          <w:tcPr>
            <w:tcW w:w="2787" w:type="dxa"/>
            <w:tcBorders>
              <w:top w:val="single" w:sz="2" w:space="0" w:color="000000"/>
              <w:bottom w:val="single" w:sz="2" w:space="0" w:color="000000"/>
            </w:tcBorders>
          </w:tcPr>
          <w:p w14:paraId="78EE13D6" w14:textId="77777777" w:rsidR="00084F36" w:rsidRPr="00EB2BD8" w:rsidRDefault="00EB2BD8">
            <w:pPr>
              <w:pStyle w:val="TableParagraph"/>
              <w:spacing w:before="115"/>
              <w:ind w:right="113"/>
              <w:jc w:val="right"/>
              <w:rPr>
                <w:sz w:val="16"/>
              </w:rPr>
            </w:pPr>
            <w:r w:rsidRPr="00EB2BD8">
              <w:rPr>
                <w:spacing w:val="-2"/>
                <w:w w:val="80"/>
                <w:sz w:val="16"/>
              </w:rPr>
              <w:t>152-</w:t>
            </w:r>
            <w:r w:rsidRPr="00EB2BD8">
              <w:rPr>
                <w:spacing w:val="-5"/>
                <w:w w:val="95"/>
                <w:sz w:val="16"/>
              </w:rPr>
              <w:t>154</w:t>
            </w:r>
          </w:p>
        </w:tc>
      </w:tr>
      <w:tr w:rsidR="00EB2BD8" w:rsidRPr="00EB2BD8" w14:paraId="1D2F8715" w14:textId="77777777">
        <w:trPr>
          <w:trHeight w:val="381"/>
        </w:trPr>
        <w:tc>
          <w:tcPr>
            <w:tcW w:w="1594" w:type="dxa"/>
            <w:tcBorders>
              <w:top w:val="single" w:sz="2" w:space="0" w:color="000000"/>
              <w:bottom w:val="single" w:sz="2" w:space="0" w:color="000000"/>
            </w:tcBorders>
          </w:tcPr>
          <w:p w14:paraId="0D1BC3E9" w14:textId="77777777" w:rsidR="00084F36" w:rsidRPr="00EB2BD8" w:rsidRDefault="00EB2BD8">
            <w:pPr>
              <w:pStyle w:val="TableParagraph"/>
              <w:spacing w:before="115"/>
              <w:ind w:left="113"/>
              <w:rPr>
                <w:sz w:val="16"/>
              </w:rPr>
            </w:pPr>
            <w:r w:rsidRPr="00EB2BD8">
              <w:rPr>
                <w:sz w:val="16"/>
              </w:rPr>
              <w:t>SD</w:t>
            </w:r>
            <w:r w:rsidRPr="00EB2BD8">
              <w:rPr>
                <w:spacing w:val="-3"/>
                <w:sz w:val="16"/>
              </w:rPr>
              <w:t xml:space="preserve"> </w:t>
            </w:r>
            <w:r w:rsidRPr="00EB2BD8">
              <w:rPr>
                <w:spacing w:val="-5"/>
                <w:sz w:val="16"/>
              </w:rPr>
              <w:t>5.2</w:t>
            </w:r>
          </w:p>
        </w:tc>
        <w:tc>
          <w:tcPr>
            <w:tcW w:w="5825" w:type="dxa"/>
            <w:tcBorders>
              <w:top w:val="single" w:sz="2" w:space="0" w:color="000000"/>
              <w:bottom w:val="single" w:sz="2" w:space="0" w:color="000000"/>
            </w:tcBorders>
          </w:tcPr>
          <w:p w14:paraId="7D37678E" w14:textId="77777777" w:rsidR="00084F36" w:rsidRPr="00EB2BD8" w:rsidRDefault="00EB2BD8">
            <w:pPr>
              <w:pStyle w:val="TableParagraph"/>
              <w:spacing w:before="115"/>
              <w:ind w:left="616"/>
              <w:rPr>
                <w:sz w:val="16"/>
              </w:rPr>
            </w:pPr>
            <w:r w:rsidRPr="00EB2BD8">
              <w:rPr>
                <w:sz w:val="16"/>
              </w:rPr>
              <w:t>Specific</w:t>
            </w:r>
            <w:r w:rsidRPr="00EB2BD8">
              <w:rPr>
                <w:spacing w:val="-9"/>
                <w:sz w:val="16"/>
              </w:rPr>
              <w:t xml:space="preserve"> </w:t>
            </w:r>
            <w:r w:rsidRPr="00EB2BD8">
              <w:rPr>
                <w:sz w:val="16"/>
              </w:rPr>
              <w:t>requirements</w:t>
            </w:r>
            <w:r w:rsidRPr="00EB2BD8">
              <w:rPr>
                <w:spacing w:val="-9"/>
                <w:sz w:val="16"/>
              </w:rPr>
              <w:t xml:space="preserve"> </w:t>
            </w:r>
            <w:r w:rsidRPr="00EB2BD8">
              <w:rPr>
                <w:sz w:val="16"/>
              </w:rPr>
              <w:t>under</w:t>
            </w:r>
            <w:r w:rsidRPr="00EB2BD8">
              <w:rPr>
                <w:spacing w:val="-9"/>
                <w:sz w:val="16"/>
              </w:rPr>
              <w:t xml:space="preserve"> </w:t>
            </w:r>
            <w:r w:rsidRPr="00EB2BD8">
              <w:rPr>
                <w:sz w:val="16"/>
              </w:rPr>
              <w:t>Standing</w:t>
            </w:r>
            <w:r w:rsidRPr="00EB2BD8">
              <w:rPr>
                <w:spacing w:val="-8"/>
                <w:sz w:val="16"/>
              </w:rPr>
              <w:t xml:space="preserve"> </w:t>
            </w:r>
            <w:r w:rsidRPr="00EB2BD8">
              <w:rPr>
                <w:sz w:val="16"/>
              </w:rPr>
              <w:t>Direction</w:t>
            </w:r>
            <w:r w:rsidRPr="00EB2BD8">
              <w:rPr>
                <w:spacing w:val="-9"/>
                <w:sz w:val="16"/>
              </w:rPr>
              <w:t xml:space="preserve"> </w:t>
            </w:r>
            <w:r w:rsidRPr="00EB2BD8">
              <w:rPr>
                <w:spacing w:val="-5"/>
                <w:sz w:val="16"/>
              </w:rPr>
              <w:t>5.2</w:t>
            </w:r>
          </w:p>
        </w:tc>
        <w:tc>
          <w:tcPr>
            <w:tcW w:w="2787" w:type="dxa"/>
            <w:tcBorders>
              <w:top w:val="single" w:sz="2" w:space="0" w:color="000000"/>
              <w:bottom w:val="single" w:sz="2" w:space="0" w:color="000000"/>
            </w:tcBorders>
          </w:tcPr>
          <w:p w14:paraId="518CAF57" w14:textId="77777777" w:rsidR="00084F36" w:rsidRPr="00EB2BD8" w:rsidRDefault="00EB2BD8">
            <w:pPr>
              <w:pStyle w:val="TableParagraph"/>
              <w:spacing w:before="115"/>
              <w:ind w:right="112"/>
              <w:jc w:val="right"/>
              <w:rPr>
                <w:sz w:val="16"/>
              </w:rPr>
            </w:pPr>
            <w:r w:rsidRPr="00EB2BD8">
              <w:rPr>
                <w:w w:val="80"/>
                <w:sz w:val="16"/>
              </w:rPr>
              <w:t>2</w:t>
            </w:r>
          </w:p>
        </w:tc>
      </w:tr>
    </w:tbl>
    <w:p w14:paraId="435DE860" w14:textId="77777777" w:rsidR="00084F36" w:rsidRPr="00EB2BD8" w:rsidRDefault="00EB2BD8">
      <w:pPr>
        <w:pStyle w:val="BodyText"/>
        <w:spacing w:before="9"/>
        <w:rPr>
          <w:sz w:val="19"/>
        </w:rPr>
      </w:pPr>
      <w:r w:rsidRPr="00EB2BD8">
        <w:rPr>
          <w:noProof/>
        </w:rPr>
        <mc:AlternateContent>
          <mc:Choice Requires="wps">
            <w:drawing>
              <wp:anchor distT="0" distB="0" distL="0" distR="0" simplePos="0" relativeHeight="252090368" behindDoc="1" locked="0" layoutInCell="1" allowOverlap="1" wp14:anchorId="0570078A" wp14:editId="4E60250B">
                <wp:simplePos x="0" y="0"/>
                <wp:positionH relativeFrom="page">
                  <wp:posOffset>540000</wp:posOffset>
                </wp:positionH>
                <wp:positionV relativeFrom="paragraph">
                  <wp:posOffset>163372</wp:posOffset>
                </wp:positionV>
                <wp:extent cx="6480175" cy="203200"/>
                <wp:effectExtent l="0" t="0" r="0" b="0"/>
                <wp:wrapTopAndBottom/>
                <wp:docPr id="1210" name="Textbox 1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203200"/>
                        </a:xfrm>
                        <a:prstGeom prst="rect">
                          <a:avLst/>
                        </a:prstGeom>
                        <a:solidFill>
                          <a:srgbClr val="E5F5FF"/>
                        </a:solidFill>
                      </wps:spPr>
                      <wps:txbx>
                        <w:txbxContent>
                          <w:p w14:paraId="5278BA83" w14:textId="77777777" w:rsidR="00084F36" w:rsidRDefault="00EB2BD8">
                            <w:pPr>
                              <w:spacing w:before="85"/>
                              <w:ind w:left="80"/>
                              <w:rPr>
                                <w:color w:val="000000"/>
                                <w:sz w:val="16"/>
                              </w:rPr>
                            </w:pPr>
                            <w:r>
                              <w:rPr>
                                <w:color w:val="000000"/>
                                <w:sz w:val="16"/>
                              </w:rPr>
                              <w:t>Compliance</w:t>
                            </w:r>
                            <w:r>
                              <w:rPr>
                                <w:color w:val="000000"/>
                                <w:spacing w:val="5"/>
                                <w:sz w:val="16"/>
                              </w:rPr>
                              <w:t xml:space="preserve"> </w:t>
                            </w:r>
                            <w:r>
                              <w:rPr>
                                <w:color w:val="000000"/>
                                <w:sz w:val="16"/>
                              </w:rPr>
                              <w:t>attestation</w:t>
                            </w:r>
                            <w:r>
                              <w:rPr>
                                <w:color w:val="000000"/>
                                <w:spacing w:val="5"/>
                                <w:sz w:val="16"/>
                              </w:rPr>
                              <w:t xml:space="preserve"> </w:t>
                            </w:r>
                            <w:r>
                              <w:rPr>
                                <w:color w:val="000000"/>
                                <w:sz w:val="16"/>
                              </w:rPr>
                              <w:t>and</w:t>
                            </w:r>
                            <w:r>
                              <w:rPr>
                                <w:color w:val="000000"/>
                                <w:spacing w:val="5"/>
                                <w:sz w:val="16"/>
                              </w:rPr>
                              <w:t xml:space="preserve"> </w:t>
                            </w:r>
                            <w:r>
                              <w:rPr>
                                <w:color w:val="000000"/>
                                <w:spacing w:val="-2"/>
                                <w:sz w:val="16"/>
                              </w:rPr>
                              <w:t>declaration</w:t>
                            </w:r>
                          </w:p>
                        </w:txbxContent>
                      </wps:txbx>
                      <wps:bodyPr wrap="square" lIns="0" tIns="0" rIns="0" bIns="0" rtlCol="0">
                        <a:noAutofit/>
                      </wps:bodyPr>
                    </wps:wsp>
                  </a:graphicData>
                </a:graphic>
              </wp:anchor>
            </w:drawing>
          </mc:Choice>
          <mc:Fallback>
            <w:pict>
              <v:shape w14:anchorId="0570078A" id="Textbox 1210" o:spid="_x0000_s1060" type="#_x0000_t202" alt="&quot;&quot;" style="position:absolute;margin-left:42.5pt;margin-top:12.85pt;width:510.25pt;height:16pt;z-index:-25122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" fillcolor="#e5f5ff" stroked="f">
                <v:textbox inset="0,0,0,0">
                  <w:txbxContent>
                    <w:p w14:paraId="5278BA83" w14:textId="77777777" w:rsidR="00084F36" w:rsidRDefault="00EB2BD8">
                      <w:pPr>
                        <w:spacing w:before="85"/>
                        <w:ind w:left="80"/>
                        <w:rPr>
                          <w:color w:val="000000"/>
                          <w:sz w:val="16"/>
                        </w:rPr>
                      </w:pPr>
                      <w:r>
                        <w:rPr>
                          <w:color w:val="000000"/>
                          <w:sz w:val="16"/>
                        </w:rPr>
                        <w:t>Compliance</w:t>
                      </w:r>
                      <w:r>
                        <w:rPr>
                          <w:color w:val="000000"/>
                          <w:spacing w:val="5"/>
                          <w:sz w:val="16"/>
                        </w:rPr>
                        <w:t xml:space="preserve"> </w:t>
                      </w:r>
                      <w:r>
                        <w:rPr>
                          <w:color w:val="000000"/>
                          <w:sz w:val="16"/>
                        </w:rPr>
                        <w:t>attestation</w:t>
                      </w:r>
                      <w:r>
                        <w:rPr>
                          <w:color w:val="000000"/>
                          <w:spacing w:val="5"/>
                          <w:sz w:val="16"/>
                        </w:rPr>
                        <w:t xml:space="preserve"> </w:t>
                      </w:r>
                      <w:r>
                        <w:rPr>
                          <w:color w:val="000000"/>
                          <w:sz w:val="16"/>
                        </w:rPr>
                        <w:t>and</w:t>
                      </w:r>
                      <w:r>
                        <w:rPr>
                          <w:color w:val="000000"/>
                          <w:spacing w:val="5"/>
                          <w:sz w:val="16"/>
                        </w:rPr>
                        <w:t xml:space="preserve"> </w:t>
                      </w:r>
                      <w:r>
                        <w:rPr>
                          <w:color w:val="000000"/>
                          <w:spacing w:val="-2"/>
                          <w:sz w:val="16"/>
                        </w:rPr>
                        <w:t>declaration</w:t>
                      </w:r>
                    </w:p>
                  </w:txbxContent>
                </v:textbox>
                <w10:wrap type="topAndBottom" anchorx="page"/>
              </v:shape>
            </w:pict>
          </mc:Fallback>
        </mc:AlternateContent>
      </w:r>
    </w:p>
    <w:p w14:paraId="04A88A1D" w14:textId="77777777" w:rsidR="00084F36" w:rsidRPr="00EB2BD8" w:rsidRDefault="00084F36">
      <w:pPr>
        <w:pStyle w:val="BodyText"/>
        <w:spacing w:before="5" w:after="1"/>
        <w:rPr>
          <w:sz w:val="10"/>
        </w:rPr>
      </w:pPr>
    </w:p>
    <w:tbl>
      <w:tblPr>
        <w:tblW w:w="0" w:type="auto"/>
        <w:tblInd w:w="857" w:type="dxa"/>
        <w:tblLayout w:type="fixed"/>
        <w:tblCellMar>
          <w:left w:w="0" w:type="dxa"/>
          <w:right w:w="0" w:type="dxa"/>
        </w:tblCellMar>
        <w:tblLook w:val="01E0" w:firstRow="1" w:lastRow="1" w:firstColumn="1" w:lastColumn="1" w:noHBand="0" w:noVBand="0"/>
      </w:tblPr>
      <w:tblGrid>
        <w:gridCol w:w="1453"/>
        <w:gridCol w:w="7009"/>
        <w:gridCol w:w="1742"/>
      </w:tblGrid>
      <w:tr w:rsidR="00EB2BD8" w:rsidRPr="00EB2BD8" w14:paraId="32EADBAB" w14:textId="77777777">
        <w:trPr>
          <w:trHeight w:val="260"/>
        </w:trPr>
        <w:tc>
          <w:tcPr>
            <w:tcW w:w="1453" w:type="dxa"/>
            <w:tcBorders>
              <w:bottom w:val="single" w:sz="2" w:space="0" w:color="000000"/>
            </w:tcBorders>
          </w:tcPr>
          <w:p w14:paraId="50C728D7" w14:textId="77777777" w:rsidR="00084F36" w:rsidRPr="00EB2BD8" w:rsidRDefault="00EB2BD8">
            <w:pPr>
              <w:pStyle w:val="TableParagraph"/>
              <w:spacing w:line="184" w:lineRule="exact"/>
              <w:ind w:left="113"/>
              <w:rPr>
                <w:sz w:val="16"/>
              </w:rPr>
            </w:pPr>
            <w:r w:rsidRPr="00EB2BD8">
              <w:rPr>
                <w:sz w:val="16"/>
              </w:rPr>
              <w:t>SD</w:t>
            </w:r>
            <w:r w:rsidRPr="00EB2BD8">
              <w:rPr>
                <w:spacing w:val="-3"/>
                <w:sz w:val="16"/>
              </w:rPr>
              <w:t xml:space="preserve"> </w:t>
            </w:r>
            <w:r w:rsidRPr="00EB2BD8">
              <w:rPr>
                <w:spacing w:val="-4"/>
                <w:sz w:val="16"/>
              </w:rPr>
              <w:t>5.1.4</w:t>
            </w:r>
          </w:p>
        </w:tc>
        <w:tc>
          <w:tcPr>
            <w:tcW w:w="7009" w:type="dxa"/>
            <w:tcBorders>
              <w:bottom w:val="single" w:sz="2" w:space="0" w:color="000000"/>
            </w:tcBorders>
          </w:tcPr>
          <w:p w14:paraId="0376A3B0" w14:textId="77777777" w:rsidR="00084F36" w:rsidRPr="00EB2BD8" w:rsidRDefault="00EB2BD8">
            <w:pPr>
              <w:pStyle w:val="TableParagraph"/>
              <w:spacing w:line="184" w:lineRule="exact"/>
              <w:ind w:left="758"/>
              <w:rPr>
                <w:sz w:val="16"/>
              </w:rPr>
            </w:pPr>
            <w:r w:rsidRPr="00EB2BD8">
              <w:rPr>
                <w:spacing w:val="-2"/>
                <w:sz w:val="16"/>
              </w:rPr>
              <w:t>Attestation</w:t>
            </w:r>
            <w:r w:rsidRPr="00EB2BD8">
              <w:rPr>
                <w:spacing w:val="-1"/>
                <w:sz w:val="16"/>
              </w:rPr>
              <w:t xml:space="preserve"> </w:t>
            </w:r>
            <w:r w:rsidRPr="00EB2BD8">
              <w:rPr>
                <w:spacing w:val="-2"/>
                <w:sz w:val="16"/>
              </w:rPr>
              <w:t>for</w:t>
            </w:r>
            <w:r w:rsidRPr="00EB2BD8">
              <w:rPr>
                <w:sz w:val="16"/>
              </w:rPr>
              <w:t xml:space="preserve"> </w:t>
            </w:r>
            <w:r w:rsidRPr="00EB2BD8">
              <w:rPr>
                <w:spacing w:val="-2"/>
                <w:sz w:val="16"/>
              </w:rPr>
              <w:t>compliance</w:t>
            </w:r>
            <w:r w:rsidRPr="00EB2BD8">
              <w:rPr>
                <w:spacing w:val="-1"/>
                <w:sz w:val="16"/>
              </w:rPr>
              <w:t xml:space="preserve"> </w:t>
            </w:r>
            <w:r w:rsidRPr="00EB2BD8">
              <w:rPr>
                <w:spacing w:val="-2"/>
                <w:sz w:val="16"/>
              </w:rPr>
              <w:t>with</w:t>
            </w:r>
            <w:r w:rsidRPr="00EB2BD8">
              <w:rPr>
                <w:sz w:val="16"/>
              </w:rPr>
              <w:t xml:space="preserve"> </w:t>
            </w:r>
            <w:r w:rsidRPr="00EB2BD8">
              <w:rPr>
                <w:spacing w:val="-2"/>
                <w:sz w:val="16"/>
              </w:rPr>
              <w:t>Ministerial</w:t>
            </w:r>
            <w:r w:rsidRPr="00EB2BD8">
              <w:rPr>
                <w:spacing w:val="-1"/>
                <w:sz w:val="16"/>
              </w:rPr>
              <w:t xml:space="preserve"> </w:t>
            </w:r>
            <w:r w:rsidRPr="00EB2BD8">
              <w:rPr>
                <w:spacing w:val="-2"/>
                <w:sz w:val="16"/>
              </w:rPr>
              <w:t>Standing</w:t>
            </w:r>
            <w:r w:rsidRPr="00EB2BD8">
              <w:rPr>
                <w:sz w:val="16"/>
              </w:rPr>
              <w:t xml:space="preserve"> </w:t>
            </w:r>
            <w:r w:rsidRPr="00EB2BD8">
              <w:rPr>
                <w:spacing w:val="-2"/>
                <w:sz w:val="16"/>
              </w:rPr>
              <w:t>Direction</w:t>
            </w:r>
          </w:p>
        </w:tc>
        <w:tc>
          <w:tcPr>
            <w:tcW w:w="1742" w:type="dxa"/>
            <w:tcBorders>
              <w:bottom w:val="single" w:sz="2" w:space="0" w:color="000000"/>
            </w:tcBorders>
          </w:tcPr>
          <w:p w14:paraId="797259C5" w14:textId="77777777" w:rsidR="00084F36" w:rsidRPr="00EB2BD8" w:rsidRDefault="00EB2BD8">
            <w:pPr>
              <w:pStyle w:val="TableParagraph"/>
              <w:spacing w:line="184" w:lineRule="exact"/>
              <w:ind w:right="110"/>
              <w:jc w:val="right"/>
              <w:rPr>
                <w:sz w:val="16"/>
              </w:rPr>
            </w:pPr>
            <w:r w:rsidRPr="00EB2BD8">
              <w:rPr>
                <w:w w:val="80"/>
                <w:sz w:val="16"/>
              </w:rPr>
              <w:t>2</w:t>
            </w:r>
          </w:p>
        </w:tc>
      </w:tr>
      <w:tr w:rsidR="00EB2BD8" w:rsidRPr="00EB2BD8" w14:paraId="361254FA" w14:textId="77777777">
        <w:trPr>
          <w:trHeight w:val="302"/>
        </w:trPr>
        <w:tc>
          <w:tcPr>
            <w:tcW w:w="1453" w:type="dxa"/>
            <w:tcBorders>
              <w:top w:val="single" w:sz="2" w:space="0" w:color="000000"/>
            </w:tcBorders>
          </w:tcPr>
          <w:p w14:paraId="76FA07C2" w14:textId="77777777" w:rsidR="00084F36" w:rsidRPr="00EB2BD8" w:rsidRDefault="00EB2BD8">
            <w:pPr>
              <w:pStyle w:val="TableParagraph"/>
              <w:spacing w:before="116" w:line="166" w:lineRule="exact"/>
              <w:ind w:left="113"/>
              <w:rPr>
                <w:sz w:val="16"/>
              </w:rPr>
            </w:pPr>
            <w:r w:rsidRPr="00EB2BD8">
              <w:rPr>
                <w:sz w:val="16"/>
              </w:rPr>
              <w:t>SD</w:t>
            </w:r>
            <w:r w:rsidRPr="00EB2BD8">
              <w:rPr>
                <w:spacing w:val="-3"/>
                <w:sz w:val="16"/>
              </w:rPr>
              <w:t xml:space="preserve"> </w:t>
            </w:r>
            <w:r w:rsidRPr="00EB2BD8">
              <w:rPr>
                <w:spacing w:val="-4"/>
                <w:sz w:val="16"/>
              </w:rPr>
              <w:t>5.2.3</w:t>
            </w:r>
          </w:p>
        </w:tc>
        <w:tc>
          <w:tcPr>
            <w:tcW w:w="7009" w:type="dxa"/>
            <w:tcBorders>
              <w:top w:val="single" w:sz="2" w:space="0" w:color="000000"/>
            </w:tcBorders>
          </w:tcPr>
          <w:p w14:paraId="7108991B" w14:textId="77777777" w:rsidR="00084F36" w:rsidRPr="00EB2BD8" w:rsidRDefault="00EB2BD8">
            <w:pPr>
              <w:pStyle w:val="TableParagraph"/>
              <w:spacing w:before="116" w:line="166" w:lineRule="exact"/>
              <w:ind w:left="758"/>
              <w:rPr>
                <w:sz w:val="16"/>
              </w:rPr>
            </w:pPr>
            <w:r w:rsidRPr="00EB2BD8">
              <w:rPr>
                <w:spacing w:val="-2"/>
                <w:sz w:val="16"/>
              </w:rPr>
              <w:t>Declaration</w:t>
            </w:r>
            <w:r w:rsidRPr="00EB2BD8">
              <w:rPr>
                <w:spacing w:val="-3"/>
                <w:sz w:val="16"/>
              </w:rPr>
              <w:t xml:space="preserve"> </w:t>
            </w:r>
            <w:r w:rsidRPr="00EB2BD8">
              <w:rPr>
                <w:spacing w:val="-2"/>
                <w:sz w:val="16"/>
              </w:rPr>
              <w:t>in report</w:t>
            </w:r>
            <w:r w:rsidRPr="00EB2BD8">
              <w:rPr>
                <w:spacing w:val="-3"/>
                <w:sz w:val="16"/>
              </w:rPr>
              <w:t xml:space="preserve"> </w:t>
            </w:r>
            <w:r w:rsidRPr="00EB2BD8">
              <w:rPr>
                <w:spacing w:val="-2"/>
                <w:sz w:val="16"/>
              </w:rPr>
              <w:t>of operations</w:t>
            </w:r>
          </w:p>
        </w:tc>
        <w:tc>
          <w:tcPr>
            <w:tcW w:w="1742" w:type="dxa"/>
            <w:tcBorders>
              <w:top w:val="single" w:sz="2" w:space="0" w:color="000000"/>
            </w:tcBorders>
          </w:tcPr>
          <w:p w14:paraId="71E695EB" w14:textId="77777777" w:rsidR="00084F36" w:rsidRPr="00EB2BD8" w:rsidRDefault="00EB2BD8">
            <w:pPr>
              <w:pStyle w:val="TableParagraph"/>
              <w:spacing w:before="116" w:line="166" w:lineRule="exact"/>
              <w:ind w:right="110"/>
              <w:jc w:val="right"/>
              <w:rPr>
                <w:sz w:val="16"/>
              </w:rPr>
            </w:pPr>
            <w:r w:rsidRPr="00EB2BD8">
              <w:rPr>
                <w:w w:val="80"/>
                <w:sz w:val="16"/>
              </w:rPr>
              <w:t>2</w:t>
            </w:r>
          </w:p>
        </w:tc>
      </w:tr>
    </w:tbl>
    <w:p w14:paraId="7852D75B" w14:textId="77777777" w:rsidR="00084F36" w:rsidRPr="00EB2BD8" w:rsidRDefault="00EB2BD8">
      <w:pPr>
        <w:pStyle w:val="BodyText"/>
        <w:spacing w:before="11"/>
        <w:rPr>
          <w:sz w:val="4"/>
        </w:rPr>
      </w:pPr>
      <w:r w:rsidRPr="00EB2BD8">
        <w:rPr>
          <w:noProof/>
        </w:rPr>
        <mc:AlternateContent>
          <mc:Choice Requires="wps">
            <w:drawing>
              <wp:anchor distT="0" distB="0" distL="0" distR="0" simplePos="0" relativeHeight="252092416" behindDoc="1" locked="0" layoutInCell="1" allowOverlap="1" wp14:anchorId="1E7D2654" wp14:editId="597A0703">
                <wp:simplePos x="0" y="0"/>
                <wp:positionH relativeFrom="page">
                  <wp:posOffset>540000</wp:posOffset>
                </wp:positionH>
                <wp:positionV relativeFrom="paragraph">
                  <wp:posOffset>52623</wp:posOffset>
                </wp:positionV>
                <wp:extent cx="6480175" cy="203200"/>
                <wp:effectExtent l="0" t="0" r="0" b="0"/>
                <wp:wrapTopAndBottom/>
                <wp:docPr id="1211" name="Textbox 1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203200"/>
                        </a:xfrm>
                        <a:prstGeom prst="rect">
                          <a:avLst/>
                        </a:prstGeom>
                        <a:solidFill>
                          <a:srgbClr val="E5F5FF"/>
                        </a:solidFill>
                      </wps:spPr>
                      <wps:txbx>
                        <w:txbxContent>
                          <w:p w14:paraId="737E21A5" w14:textId="77777777" w:rsidR="00084F36" w:rsidRDefault="00EB2BD8">
                            <w:pPr>
                              <w:spacing w:before="85"/>
                              <w:ind w:left="80"/>
                              <w:rPr>
                                <w:color w:val="000000"/>
                                <w:sz w:val="16"/>
                              </w:rPr>
                            </w:pPr>
                            <w:r>
                              <w:rPr>
                                <w:color w:val="000000"/>
                                <w:sz w:val="16"/>
                              </w:rPr>
                              <w:t>Financial</w:t>
                            </w:r>
                            <w:r>
                              <w:rPr>
                                <w:color w:val="000000"/>
                                <w:spacing w:val="7"/>
                                <w:sz w:val="16"/>
                              </w:rPr>
                              <w:t xml:space="preserve"> </w:t>
                            </w:r>
                            <w:r>
                              <w:rPr>
                                <w:color w:val="000000"/>
                                <w:sz w:val="16"/>
                              </w:rPr>
                              <w:t>statements</w:t>
                            </w:r>
                            <w:r>
                              <w:rPr>
                                <w:color w:val="000000"/>
                                <w:spacing w:val="8"/>
                                <w:sz w:val="16"/>
                              </w:rPr>
                              <w:t xml:space="preserve"> </w:t>
                            </w:r>
                            <w:r>
                              <w:rPr>
                                <w:color w:val="000000"/>
                                <w:spacing w:val="-2"/>
                                <w:sz w:val="16"/>
                              </w:rPr>
                              <w:t>Declaration</w:t>
                            </w:r>
                          </w:p>
                        </w:txbxContent>
                      </wps:txbx>
                      <wps:bodyPr wrap="square" lIns="0" tIns="0" rIns="0" bIns="0" rtlCol="0">
                        <a:noAutofit/>
                      </wps:bodyPr>
                    </wps:wsp>
                  </a:graphicData>
                </a:graphic>
              </wp:anchor>
            </w:drawing>
          </mc:Choice>
          <mc:Fallback>
            <w:pict>
              <v:shape w14:anchorId="1E7D2654" id="Textbox 1211" o:spid="_x0000_s1061" type="#_x0000_t202" alt="&quot;&quot;" style="position:absolute;margin-left:42.5pt;margin-top:4.15pt;width:510.25pt;height:16pt;z-index:-25122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" fillcolor="#e5f5ff" stroked="f">
                <v:textbox inset="0,0,0,0">
                  <w:txbxContent>
                    <w:p w14:paraId="737E21A5" w14:textId="77777777" w:rsidR="00084F36" w:rsidRDefault="00EB2BD8">
                      <w:pPr>
                        <w:spacing w:before="85"/>
                        <w:ind w:left="80"/>
                        <w:rPr>
                          <w:color w:val="000000"/>
                          <w:sz w:val="16"/>
                        </w:rPr>
                      </w:pPr>
                      <w:r>
                        <w:rPr>
                          <w:color w:val="000000"/>
                          <w:sz w:val="16"/>
                        </w:rPr>
                        <w:t>Financial</w:t>
                      </w:r>
                      <w:r>
                        <w:rPr>
                          <w:color w:val="000000"/>
                          <w:spacing w:val="7"/>
                          <w:sz w:val="16"/>
                        </w:rPr>
                        <w:t xml:space="preserve"> </w:t>
                      </w:r>
                      <w:r>
                        <w:rPr>
                          <w:color w:val="000000"/>
                          <w:sz w:val="16"/>
                        </w:rPr>
                        <w:t>statements</w:t>
                      </w:r>
                      <w:r>
                        <w:rPr>
                          <w:color w:val="000000"/>
                          <w:spacing w:val="8"/>
                          <w:sz w:val="16"/>
                        </w:rPr>
                        <w:t xml:space="preserve"> </w:t>
                      </w:r>
                      <w:r>
                        <w:rPr>
                          <w:color w:val="000000"/>
                          <w:spacing w:val="-2"/>
                          <w:sz w:val="16"/>
                        </w:rPr>
                        <w:t>Declaration</w:t>
                      </w:r>
                    </w:p>
                  </w:txbxContent>
                </v:textbox>
                <w10:wrap type="topAndBottom" anchorx="page"/>
              </v:shape>
            </w:pict>
          </mc:Fallback>
        </mc:AlternateContent>
      </w:r>
    </w:p>
    <w:p w14:paraId="1D1CA46A" w14:textId="77777777" w:rsidR="00084F36" w:rsidRPr="00EB2BD8" w:rsidRDefault="00EB2BD8">
      <w:pPr>
        <w:tabs>
          <w:tab w:val="left" w:pos="3061"/>
          <w:tab w:val="right" w:pos="10940"/>
        </w:tabs>
        <w:spacing w:before="119"/>
        <w:ind w:left="963"/>
        <w:rPr>
          <w:sz w:val="16"/>
        </w:rPr>
      </w:pPr>
      <w:r w:rsidRPr="00EB2BD8">
        <w:rPr>
          <w:sz w:val="16"/>
        </w:rPr>
        <w:t>SD</w:t>
      </w:r>
      <w:r w:rsidRPr="00EB2BD8">
        <w:rPr>
          <w:spacing w:val="-3"/>
          <w:sz w:val="16"/>
        </w:rPr>
        <w:t xml:space="preserve"> </w:t>
      </w:r>
      <w:r w:rsidRPr="00EB2BD8">
        <w:rPr>
          <w:spacing w:val="-4"/>
          <w:sz w:val="16"/>
        </w:rPr>
        <w:t>5.2.2</w:t>
      </w:r>
      <w:r w:rsidRPr="00EB2BD8">
        <w:rPr>
          <w:sz w:val="16"/>
        </w:rPr>
        <w:tab/>
        <w:t>Declaration</w:t>
      </w:r>
      <w:r w:rsidRPr="00EB2BD8">
        <w:rPr>
          <w:spacing w:val="-5"/>
          <w:sz w:val="16"/>
        </w:rPr>
        <w:t xml:space="preserve"> </w:t>
      </w:r>
      <w:r w:rsidRPr="00EB2BD8">
        <w:rPr>
          <w:sz w:val="16"/>
        </w:rPr>
        <w:t>in</w:t>
      </w:r>
      <w:r w:rsidRPr="00EB2BD8">
        <w:rPr>
          <w:spacing w:val="-4"/>
          <w:sz w:val="16"/>
        </w:rPr>
        <w:t xml:space="preserve"> </w:t>
      </w:r>
      <w:r w:rsidRPr="00EB2BD8">
        <w:rPr>
          <w:sz w:val="16"/>
        </w:rPr>
        <w:t>Financial</w:t>
      </w:r>
      <w:r w:rsidRPr="00EB2BD8">
        <w:rPr>
          <w:spacing w:val="-4"/>
          <w:sz w:val="16"/>
        </w:rPr>
        <w:t xml:space="preserve"> </w:t>
      </w:r>
      <w:r w:rsidRPr="00EB2BD8">
        <w:rPr>
          <w:spacing w:val="-2"/>
          <w:sz w:val="16"/>
        </w:rPr>
        <w:t>statements</w:t>
      </w:r>
      <w:r w:rsidRPr="00EB2BD8">
        <w:rPr>
          <w:sz w:val="16"/>
        </w:rPr>
        <w:tab/>
      </w:r>
      <w:r w:rsidRPr="00EB2BD8">
        <w:rPr>
          <w:spacing w:val="-5"/>
          <w:sz w:val="16"/>
        </w:rPr>
        <w:t>83</w:t>
      </w:r>
    </w:p>
    <w:p w14:paraId="6EDC2EC7" w14:textId="77777777" w:rsidR="00084F36" w:rsidRPr="00EB2BD8" w:rsidRDefault="00EB2BD8">
      <w:pPr>
        <w:pStyle w:val="BodyText"/>
        <w:spacing w:before="8"/>
        <w:rPr>
          <w:sz w:val="4"/>
        </w:rPr>
      </w:pPr>
      <w:r w:rsidRPr="00EB2BD8">
        <w:rPr>
          <w:noProof/>
        </w:rPr>
        <mc:AlternateContent>
          <mc:Choice Requires="wps">
            <w:drawing>
              <wp:anchor distT="0" distB="0" distL="0" distR="0" simplePos="0" relativeHeight="252102656" behindDoc="1" locked="0" layoutInCell="1" allowOverlap="1" wp14:anchorId="656C2737" wp14:editId="396BED22">
                <wp:simplePos x="0" y="0"/>
                <wp:positionH relativeFrom="page">
                  <wp:posOffset>540000</wp:posOffset>
                </wp:positionH>
                <wp:positionV relativeFrom="paragraph">
                  <wp:posOffset>50369</wp:posOffset>
                </wp:positionV>
                <wp:extent cx="6480175" cy="203200"/>
                <wp:effectExtent l="0" t="0" r="0" b="0"/>
                <wp:wrapTopAndBottom/>
                <wp:docPr id="1212" name="Textbox 1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203200"/>
                        </a:xfrm>
                        <a:prstGeom prst="rect">
                          <a:avLst/>
                        </a:prstGeom>
                        <a:solidFill>
                          <a:srgbClr val="E5F5FF"/>
                        </a:solidFill>
                      </wps:spPr>
                      <wps:txbx>
                        <w:txbxContent>
                          <w:p w14:paraId="788F08D0" w14:textId="77777777" w:rsidR="00084F36" w:rsidRDefault="00EB2BD8">
                            <w:pPr>
                              <w:spacing w:before="85"/>
                              <w:ind w:left="80"/>
                              <w:rPr>
                                <w:color w:val="000000"/>
                                <w:sz w:val="16"/>
                              </w:rPr>
                            </w:pPr>
                            <w:r>
                              <w:rPr>
                                <w:color w:val="000000"/>
                                <w:sz w:val="16"/>
                              </w:rPr>
                              <w:t>Other</w:t>
                            </w:r>
                            <w:r>
                              <w:rPr>
                                <w:color w:val="000000"/>
                                <w:spacing w:val="-11"/>
                                <w:sz w:val="16"/>
                              </w:rPr>
                              <w:t xml:space="preserve"> </w:t>
                            </w:r>
                            <w:r>
                              <w:rPr>
                                <w:color w:val="000000"/>
                                <w:sz w:val="16"/>
                              </w:rPr>
                              <w:t>requirements</w:t>
                            </w:r>
                            <w:r>
                              <w:rPr>
                                <w:color w:val="000000"/>
                                <w:spacing w:val="-11"/>
                                <w:sz w:val="16"/>
                              </w:rPr>
                              <w:t xml:space="preserve"> </w:t>
                            </w:r>
                            <w:r>
                              <w:rPr>
                                <w:color w:val="000000"/>
                                <w:sz w:val="16"/>
                              </w:rPr>
                              <w:t>under</w:t>
                            </w:r>
                            <w:r>
                              <w:rPr>
                                <w:color w:val="000000"/>
                                <w:spacing w:val="-10"/>
                                <w:sz w:val="16"/>
                              </w:rPr>
                              <w:t xml:space="preserve"> </w:t>
                            </w:r>
                            <w:r>
                              <w:rPr>
                                <w:color w:val="000000"/>
                                <w:sz w:val="16"/>
                              </w:rPr>
                              <w:t>Standing</w:t>
                            </w:r>
                            <w:r>
                              <w:rPr>
                                <w:color w:val="000000"/>
                                <w:spacing w:val="-11"/>
                                <w:sz w:val="16"/>
                              </w:rPr>
                              <w:t xml:space="preserve"> </w:t>
                            </w:r>
                            <w:r>
                              <w:rPr>
                                <w:color w:val="000000"/>
                                <w:sz w:val="16"/>
                              </w:rPr>
                              <w:t>Directions</w:t>
                            </w:r>
                            <w:r>
                              <w:rPr>
                                <w:color w:val="000000"/>
                                <w:spacing w:val="-10"/>
                                <w:sz w:val="16"/>
                              </w:rPr>
                              <w:t xml:space="preserve"> </w:t>
                            </w:r>
                            <w:r>
                              <w:rPr>
                                <w:color w:val="000000"/>
                                <w:spacing w:val="-5"/>
                                <w:sz w:val="16"/>
                              </w:rPr>
                              <w:t>5.2</w:t>
                            </w:r>
                          </w:p>
                        </w:txbxContent>
                      </wps:txbx>
                      <wps:bodyPr wrap="square" lIns="0" tIns="0" rIns="0" bIns="0" rtlCol="0">
                        <a:noAutofit/>
                      </wps:bodyPr>
                    </wps:wsp>
                  </a:graphicData>
                </a:graphic>
              </wp:anchor>
            </w:drawing>
          </mc:Choice>
          <mc:Fallback>
            <w:pict>
              <v:shape w14:anchorId="656C2737" id="Textbox 1212" o:spid="_x0000_s1062" type="#_x0000_t202" alt="&quot;&quot;" style="position:absolute;margin-left:42.5pt;margin-top:3.95pt;width:510.25pt;height:16pt;z-index:-25121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" fillcolor="#e5f5ff" stroked="f">
                <v:textbox inset="0,0,0,0">
                  <w:txbxContent>
                    <w:p w14:paraId="788F08D0" w14:textId="77777777" w:rsidR="00084F36" w:rsidRDefault="00EB2BD8">
                      <w:pPr>
                        <w:spacing w:before="85"/>
                        <w:ind w:left="80"/>
                        <w:rPr>
                          <w:color w:val="000000"/>
                          <w:sz w:val="16"/>
                        </w:rPr>
                      </w:pPr>
                      <w:r>
                        <w:rPr>
                          <w:color w:val="000000"/>
                          <w:sz w:val="16"/>
                        </w:rPr>
                        <w:t>Other</w:t>
                      </w:r>
                      <w:r>
                        <w:rPr>
                          <w:color w:val="000000"/>
                          <w:spacing w:val="-11"/>
                          <w:sz w:val="16"/>
                        </w:rPr>
                        <w:t xml:space="preserve"> </w:t>
                      </w:r>
                      <w:r>
                        <w:rPr>
                          <w:color w:val="000000"/>
                          <w:sz w:val="16"/>
                        </w:rPr>
                        <w:t>requirements</w:t>
                      </w:r>
                      <w:r>
                        <w:rPr>
                          <w:color w:val="000000"/>
                          <w:spacing w:val="-11"/>
                          <w:sz w:val="16"/>
                        </w:rPr>
                        <w:t xml:space="preserve"> </w:t>
                      </w:r>
                      <w:r>
                        <w:rPr>
                          <w:color w:val="000000"/>
                          <w:sz w:val="16"/>
                        </w:rPr>
                        <w:t>under</w:t>
                      </w:r>
                      <w:r>
                        <w:rPr>
                          <w:color w:val="000000"/>
                          <w:spacing w:val="-10"/>
                          <w:sz w:val="16"/>
                        </w:rPr>
                        <w:t xml:space="preserve"> </w:t>
                      </w:r>
                      <w:r>
                        <w:rPr>
                          <w:color w:val="000000"/>
                          <w:sz w:val="16"/>
                        </w:rPr>
                        <w:t>Standing</w:t>
                      </w:r>
                      <w:r>
                        <w:rPr>
                          <w:color w:val="000000"/>
                          <w:spacing w:val="-11"/>
                          <w:sz w:val="16"/>
                        </w:rPr>
                        <w:t xml:space="preserve"> </w:t>
                      </w:r>
                      <w:r>
                        <w:rPr>
                          <w:color w:val="000000"/>
                          <w:sz w:val="16"/>
                        </w:rPr>
                        <w:t>Directions</w:t>
                      </w:r>
                      <w:r>
                        <w:rPr>
                          <w:color w:val="000000"/>
                          <w:spacing w:val="-10"/>
                          <w:sz w:val="16"/>
                        </w:rPr>
                        <w:t xml:space="preserve"> </w:t>
                      </w:r>
                      <w:r>
                        <w:rPr>
                          <w:color w:val="000000"/>
                          <w:spacing w:val="-5"/>
                          <w:sz w:val="16"/>
                        </w:rPr>
                        <w:t>5.2</w:t>
                      </w:r>
                    </w:p>
                  </w:txbxContent>
                </v:textbox>
                <w10:wrap type="topAndBottom" anchorx="page"/>
              </v:shape>
            </w:pict>
          </mc:Fallback>
        </mc:AlternateContent>
      </w:r>
    </w:p>
    <w:p w14:paraId="0FFB71F2" w14:textId="77777777" w:rsidR="00084F36" w:rsidRPr="00EB2BD8" w:rsidRDefault="00084F36">
      <w:pPr>
        <w:pStyle w:val="BodyText"/>
        <w:spacing w:before="6"/>
        <w:rPr>
          <w:sz w:val="10"/>
        </w:rPr>
      </w:pPr>
    </w:p>
    <w:tbl>
      <w:tblPr>
        <w:tblW w:w="0" w:type="auto"/>
        <w:tblInd w:w="857" w:type="dxa"/>
        <w:tblLayout w:type="fixed"/>
        <w:tblCellMar>
          <w:left w:w="0" w:type="dxa"/>
          <w:right w:w="0" w:type="dxa"/>
        </w:tblCellMar>
        <w:tblLook w:val="01E0" w:firstRow="1" w:lastRow="1" w:firstColumn="1" w:lastColumn="1" w:noHBand="0" w:noVBand="0"/>
      </w:tblPr>
      <w:tblGrid>
        <w:gridCol w:w="1533"/>
        <w:gridCol w:w="7288"/>
        <w:gridCol w:w="1382"/>
      </w:tblGrid>
      <w:tr w:rsidR="00EB2BD8" w:rsidRPr="00EB2BD8" w14:paraId="53753DB8" w14:textId="77777777">
        <w:trPr>
          <w:trHeight w:val="490"/>
        </w:trPr>
        <w:tc>
          <w:tcPr>
            <w:tcW w:w="1533" w:type="dxa"/>
            <w:tcBorders>
              <w:bottom w:val="single" w:sz="2" w:space="0" w:color="000000"/>
            </w:tcBorders>
          </w:tcPr>
          <w:p w14:paraId="3C4F08E3" w14:textId="77777777" w:rsidR="00084F36" w:rsidRPr="00EB2BD8" w:rsidRDefault="00EB2BD8">
            <w:pPr>
              <w:pStyle w:val="TableParagraph"/>
              <w:spacing w:line="184" w:lineRule="exact"/>
              <w:ind w:left="113"/>
              <w:rPr>
                <w:sz w:val="16"/>
              </w:rPr>
            </w:pPr>
            <w:r w:rsidRPr="00EB2BD8">
              <w:rPr>
                <w:sz w:val="16"/>
              </w:rPr>
              <w:t>SD</w:t>
            </w:r>
            <w:r w:rsidRPr="00EB2BD8">
              <w:rPr>
                <w:spacing w:val="-3"/>
                <w:sz w:val="16"/>
              </w:rPr>
              <w:t xml:space="preserve"> </w:t>
            </w:r>
            <w:r w:rsidRPr="00EB2BD8">
              <w:rPr>
                <w:spacing w:val="-2"/>
                <w:sz w:val="16"/>
              </w:rPr>
              <w:t>5.2.1(a)</w:t>
            </w:r>
          </w:p>
        </w:tc>
        <w:tc>
          <w:tcPr>
            <w:tcW w:w="7288" w:type="dxa"/>
            <w:tcBorders>
              <w:bottom w:val="single" w:sz="2" w:space="0" w:color="000000"/>
            </w:tcBorders>
          </w:tcPr>
          <w:p w14:paraId="3F14BA3E" w14:textId="77777777" w:rsidR="00084F36" w:rsidRPr="00EB2BD8" w:rsidRDefault="00EB2BD8">
            <w:pPr>
              <w:pStyle w:val="TableParagraph"/>
              <w:spacing w:line="292" w:lineRule="auto"/>
              <w:ind w:left="678"/>
              <w:rPr>
                <w:sz w:val="16"/>
              </w:rPr>
            </w:pPr>
            <w:r w:rsidRPr="00EB2BD8">
              <w:rPr>
                <w:sz w:val="16"/>
              </w:rPr>
              <w:t>Compliance</w:t>
            </w:r>
            <w:r w:rsidRPr="00EB2BD8">
              <w:rPr>
                <w:spacing w:val="-6"/>
                <w:sz w:val="16"/>
              </w:rPr>
              <w:t xml:space="preserve"> </w:t>
            </w:r>
            <w:r w:rsidRPr="00EB2BD8">
              <w:rPr>
                <w:sz w:val="16"/>
              </w:rPr>
              <w:t>with</w:t>
            </w:r>
            <w:r w:rsidRPr="00EB2BD8">
              <w:rPr>
                <w:spacing w:val="-6"/>
                <w:sz w:val="16"/>
              </w:rPr>
              <w:t xml:space="preserve"> </w:t>
            </w:r>
            <w:r w:rsidRPr="00EB2BD8">
              <w:rPr>
                <w:sz w:val="16"/>
              </w:rPr>
              <w:t>Australian</w:t>
            </w:r>
            <w:r w:rsidRPr="00EB2BD8">
              <w:rPr>
                <w:spacing w:val="-6"/>
                <w:sz w:val="16"/>
              </w:rPr>
              <w:t xml:space="preserve"> </w:t>
            </w:r>
            <w:r w:rsidRPr="00EB2BD8">
              <w:rPr>
                <w:sz w:val="16"/>
              </w:rPr>
              <w:t>Accounting</w:t>
            </w:r>
            <w:r w:rsidRPr="00EB2BD8">
              <w:rPr>
                <w:spacing w:val="-6"/>
                <w:sz w:val="16"/>
              </w:rPr>
              <w:t xml:space="preserve"> </w:t>
            </w:r>
            <w:r w:rsidRPr="00EB2BD8">
              <w:rPr>
                <w:sz w:val="16"/>
              </w:rPr>
              <w:t>Standards</w:t>
            </w:r>
            <w:r w:rsidRPr="00EB2BD8">
              <w:rPr>
                <w:spacing w:val="-6"/>
                <w:sz w:val="16"/>
              </w:rPr>
              <w:t xml:space="preserve"> </w:t>
            </w:r>
            <w:r w:rsidRPr="00EB2BD8">
              <w:rPr>
                <w:sz w:val="16"/>
              </w:rPr>
              <w:t>and</w:t>
            </w:r>
            <w:r w:rsidRPr="00EB2BD8">
              <w:rPr>
                <w:spacing w:val="-6"/>
                <w:sz w:val="16"/>
              </w:rPr>
              <w:t xml:space="preserve"> </w:t>
            </w:r>
            <w:r w:rsidRPr="00EB2BD8">
              <w:rPr>
                <w:sz w:val="16"/>
              </w:rPr>
              <w:t>other</w:t>
            </w:r>
            <w:r w:rsidRPr="00EB2BD8">
              <w:rPr>
                <w:spacing w:val="-6"/>
                <w:sz w:val="16"/>
              </w:rPr>
              <w:t xml:space="preserve"> </w:t>
            </w:r>
            <w:r w:rsidRPr="00EB2BD8">
              <w:rPr>
                <w:sz w:val="16"/>
              </w:rPr>
              <w:t xml:space="preserve">authoritative </w:t>
            </w:r>
            <w:r w:rsidRPr="00EB2BD8">
              <w:rPr>
                <w:spacing w:val="-2"/>
                <w:sz w:val="16"/>
              </w:rPr>
              <w:t>pronouncements</w:t>
            </w:r>
          </w:p>
        </w:tc>
        <w:tc>
          <w:tcPr>
            <w:tcW w:w="1382" w:type="dxa"/>
            <w:tcBorders>
              <w:bottom w:val="single" w:sz="2" w:space="0" w:color="000000"/>
            </w:tcBorders>
          </w:tcPr>
          <w:p w14:paraId="1939A4D5" w14:textId="77777777" w:rsidR="00084F36" w:rsidRPr="00EB2BD8" w:rsidRDefault="00EB2BD8">
            <w:pPr>
              <w:pStyle w:val="TableParagraph"/>
              <w:spacing w:line="184" w:lineRule="exact"/>
              <w:ind w:right="111"/>
              <w:jc w:val="right"/>
              <w:rPr>
                <w:sz w:val="16"/>
              </w:rPr>
            </w:pPr>
            <w:r w:rsidRPr="00EB2BD8">
              <w:rPr>
                <w:spacing w:val="-5"/>
                <w:w w:val="85"/>
                <w:sz w:val="16"/>
              </w:rPr>
              <w:t>91</w:t>
            </w:r>
          </w:p>
        </w:tc>
      </w:tr>
      <w:tr w:rsidR="00EB2BD8" w:rsidRPr="00EB2BD8" w14:paraId="7C72ECFE" w14:textId="77777777">
        <w:trPr>
          <w:trHeight w:val="381"/>
        </w:trPr>
        <w:tc>
          <w:tcPr>
            <w:tcW w:w="1533" w:type="dxa"/>
            <w:tcBorders>
              <w:top w:val="single" w:sz="2" w:space="0" w:color="000000"/>
              <w:bottom w:val="single" w:sz="2" w:space="0" w:color="000000"/>
            </w:tcBorders>
          </w:tcPr>
          <w:p w14:paraId="53CD9A7A" w14:textId="77777777" w:rsidR="00084F36" w:rsidRPr="00EB2BD8" w:rsidRDefault="00EB2BD8">
            <w:pPr>
              <w:pStyle w:val="TableParagraph"/>
              <w:spacing w:before="116"/>
              <w:ind w:left="113"/>
              <w:rPr>
                <w:sz w:val="16"/>
              </w:rPr>
            </w:pPr>
            <w:r w:rsidRPr="00EB2BD8">
              <w:rPr>
                <w:sz w:val="16"/>
              </w:rPr>
              <w:t>SD</w:t>
            </w:r>
            <w:r w:rsidRPr="00EB2BD8">
              <w:rPr>
                <w:spacing w:val="-3"/>
                <w:sz w:val="16"/>
              </w:rPr>
              <w:t xml:space="preserve"> </w:t>
            </w:r>
            <w:r w:rsidRPr="00EB2BD8">
              <w:rPr>
                <w:spacing w:val="-2"/>
                <w:sz w:val="16"/>
              </w:rPr>
              <w:t>5.2.1(a)</w:t>
            </w:r>
          </w:p>
        </w:tc>
        <w:tc>
          <w:tcPr>
            <w:tcW w:w="7288" w:type="dxa"/>
            <w:tcBorders>
              <w:top w:val="single" w:sz="2" w:space="0" w:color="000000"/>
              <w:bottom w:val="single" w:sz="2" w:space="0" w:color="000000"/>
            </w:tcBorders>
          </w:tcPr>
          <w:p w14:paraId="11AC23F9" w14:textId="77777777" w:rsidR="00084F36" w:rsidRPr="00EB2BD8" w:rsidRDefault="00EB2BD8">
            <w:pPr>
              <w:pStyle w:val="TableParagraph"/>
              <w:spacing w:before="116"/>
              <w:ind w:left="678"/>
              <w:rPr>
                <w:sz w:val="16"/>
              </w:rPr>
            </w:pPr>
            <w:r w:rsidRPr="00EB2BD8">
              <w:rPr>
                <w:sz w:val="16"/>
              </w:rPr>
              <w:t>Compliance</w:t>
            </w:r>
            <w:r w:rsidRPr="00EB2BD8">
              <w:rPr>
                <w:spacing w:val="-4"/>
                <w:sz w:val="16"/>
              </w:rPr>
              <w:t xml:space="preserve"> </w:t>
            </w:r>
            <w:r w:rsidRPr="00EB2BD8">
              <w:rPr>
                <w:sz w:val="16"/>
              </w:rPr>
              <w:t>with</w:t>
            </w:r>
            <w:r w:rsidRPr="00EB2BD8">
              <w:rPr>
                <w:spacing w:val="-4"/>
                <w:sz w:val="16"/>
              </w:rPr>
              <w:t xml:space="preserve"> </w:t>
            </w:r>
            <w:r w:rsidRPr="00EB2BD8">
              <w:rPr>
                <w:sz w:val="16"/>
              </w:rPr>
              <w:t>Standing</w:t>
            </w:r>
            <w:r w:rsidRPr="00EB2BD8">
              <w:rPr>
                <w:spacing w:val="-4"/>
                <w:sz w:val="16"/>
              </w:rPr>
              <w:t xml:space="preserve"> </w:t>
            </w:r>
            <w:r w:rsidRPr="00EB2BD8">
              <w:rPr>
                <w:spacing w:val="-2"/>
                <w:sz w:val="16"/>
              </w:rPr>
              <w:t>Directions</w:t>
            </w:r>
          </w:p>
        </w:tc>
        <w:tc>
          <w:tcPr>
            <w:tcW w:w="1382" w:type="dxa"/>
            <w:tcBorders>
              <w:top w:val="single" w:sz="2" w:space="0" w:color="000000"/>
              <w:bottom w:val="single" w:sz="2" w:space="0" w:color="000000"/>
            </w:tcBorders>
          </w:tcPr>
          <w:p w14:paraId="13ECBF48" w14:textId="77777777" w:rsidR="00084F36" w:rsidRPr="00EB2BD8" w:rsidRDefault="00EB2BD8">
            <w:pPr>
              <w:pStyle w:val="TableParagraph"/>
              <w:spacing w:before="116"/>
              <w:ind w:right="109"/>
              <w:jc w:val="right"/>
              <w:rPr>
                <w:sz w:val="16"/>
              </w:rPr>
            </w:pPr>
            <w:r w:rsidRPr="00EB2BD8">
              <w:rPr>
                <w:w w:val="80"/>
                <w:sz w:val="16"/>
              </w:rPr>
              <w:t>2</w:t>
            </w:r>
          </w:p>
        </w:tc>
      </w:tr>
      <w:tr w:rsidR="00EB2BD8" w:rsidRPr="00EB2BD8" w14:paraId="3BB01ABB" w14:textId="77777777">
        <w:trPr>
          <w:trHeight w:val="384"/>
        </w:trPr>
        <w:tc>
          <w:tcPr>
            <w:tcW w:w="1533" w:type="dxa"/>
            <w:tcBorders>
              <w:top w:val="single" w:sz="2" w:space="0" w:color="000000"/>
            </w:tcBorders>
          </w:tcPr>
          <w:p w14:paraId="5FFAC32F" w14:textId="77777777" w:rsidR="00084F36" w:rsidRPr="00EB2BD8" w:rsidRDefault="00EB2BD8">
            <w:pPr>
              <w:pStyle w:val="TableParagraph"/>
              <w:spacing w:before="116"/>
              <w:ind w:left="113"/>
              <w:rPr>
                <w:sz w:val="16"/>
              </w:rPr>
            </w:pPr>
            <w:r w:rsidRPr="00EB2BD8">
              <w:rPr>
                <w:sz w:val="16"/>
              </w:rPr>
              <w:t>SD</w:t>
            </w:r>
            <w:r w:rsidRPr="00EB2BD8">
              <w:rPr>
                <w:spacing w:val="-3"/>
                <w:sz w:val="16"/>
              </w:rPr>
              <w:t xml:space="preserve"> </w:t>
            </w:r>
            <w:r w:rsidRPr="00EB2BD8">
              <w:rPr>
                <w:spacing w:val="-2"/>
                <w:sz w:val="16"/>
              </w:rPr>
              <w:t>5.2.1(b)</w:t>
            </w:r>
          </w:p>
        </w:tc>
        <w:tc>
          <w:tcPr>
            <w:tcW w:w="7288" w:type="dxa"/>
            <w:tcBorders>
              <w:top w:val="single" w:sz="2" w:space="0" w:color="000000"/>
            </w:tcBorders>
          </w:tcPr>
          <w:p w14:paraId="321EC61B" w14:textId="77777777" w:rsidR="00084F36" w:rsidRPr="00EB2BD8" w:rsidRDefault="00EB2BD8">
            <w:pPr>
              <w:pStyle w:val="TableParagraph"/>
              <w:spacing w:before="116"/>
              <w:ind w:left="678"/>
              <w:rPr>
                <w:sz w:val="16"/>
              </w:rPr>
            </w:pPr>
            <w:r w:rsidRPr="00EB2BD8">
              <w:rPr>
                <w:sz w:val="16"/>
              </w:rPr>
              <w:t>Compliance</w:t>
            </w:r>
            <w:r w:rsidRPr="00EB2BD8">
              <w:rPr>
                <w:spacing w:val="-8"/>
                <w:sz w:val="16"/>
              </w:rPr>
              <w:t xml:space="preserve"> </w:t>
            </w:r>
            <w:r w:rsidRPr="00EB2BD8">
              <w:rPr>
                <w:sz w:val="16"/>
              </w:rPr>
              <w:t>with</w:t>
            </w:r>
            <w:r w:rsidRPr="00EB2BD8">
              <w:rPr>
                <w:spacing w:val="-7"/>
                <w:sz w:val="16"/>
              </w:rPr>
              <w:t xml:space="preserve"> </w:t>
            </w:r>
            <w:r w:rsidRPr="00EB2BD8">
              <w:rPr>
                <w:sz w:val="16"/>
              </w:rPr>
              <w:t>Model</w:t>
            </w:r>
            <w:r w:rsidRPr="00EB2BD8">
              <w:rPr>
                <w:spacing w:val="-7"/>
                <w:sz w:val="16"/>
              </w:rPr>
              <w:t xml:space="preserve"> </w:t>
            </w:r>
            <w:r w:rsidRPr="00EB2BD8">
              <w:rPr>
                <w:sz w:val="16"/>
              </w:rPr>
              <w:t>Financial</w:t>
            </w:r>
            <w:r w:rsidRPr="00EB2BD8">
              <w:rPr>
                <w:spacing w:val="-7"/>
                <w:sz w:val="16"/>
              </w:rPr>
              <w:t xml:space="preserve"> </w:t>
            </w:r>
            <w:r w:rsidRPr="00EB2BD8">
              <w:rPr>
                <w:spacing w:val="-2"/>
                <w:sz w:val="16"/>
              </w:rPr>
              <w:t>Report</w:t>
            </w:r>
          </w:p>
        </w:tc>
        <w:tc>
          <w:tcPr>
            <w:tcW w:w="1382" w:type="dxa"/>
            <w:tcBorders>
              <w:top w:val="single" w:sz="2" w:space="0" w:color="000000"/>
            </w:tcBorders>
          </w:tcPr>
          <w:p w14:paraId="61A2C017" w14:textId="77777777" w:rsidR="00084F36" w:rsidRPr="00EB2BD8" w:rsidRDefault="00EB2BD8">
            <w:pPr>
              <w:pStyle w:val="TableParagraph"/>
              <w:spacing w:before="116"/>
              <w:ind w:right="110"/>
              <w:jc w:val="right"/>
              <w:rPr>
                <w:sz w:val="16"/>
              </w:rPr>
            </w:pPr>
            <w:r w:rsidRPr="00EB2BD8">
              <w:rPr>
                <w:spacing w:val="-5"/>
                <w:w w:val="90"/>
                <w:sz w:val="16"/>
              </w:rPr>
              <w:t>143</w:t>
            </w:r>
          </w:p>
        </w:tc>
      </w:tr>
      <w:tr w:rsidR="00EB2BD8" w:rsidRPr="00EB2BD8" w14:paraId="50B948EB" w14:textId="77777777">
        <w:trPr>
          <w:trHeight w:val="320"/>
        </w:trPr>
        <w:tc>
          <w:tcPr>
            <w:tcW w:w="10203" w:type="dxa"/>
            <w:gridSpan w:val="3"/>
            <w:shd w:val="clear" w:color="auto" w:fill="E5F5FF"/>
          </w:tcPr>
          <w:p w14:paraId="6DFE52BF" w14:textId="77777777" w:rsidR="00084F36" w:rsidRPr="00EB2BD8" w:rsidRDefault="00EB2BD8">
            <w:pPr>
              <w:pStyle w:val="TableParagraph"/>
              <w:spacing w:before="85"/>
              <w:ind w:left="79"/>
              <w:rPr>
                <w:sz w:val="16"/>
              </w:rPr>
            </w:pPr>
            <w:r w:rsidRPr="00EB2BD8">
              <w:rPr>
                <w:sz w:val="16"/>
              </w:rPr>
              <w:t>Other</w:t>
            </w:r>
            <w:r w:rsidRPr="00EB2BD8">
              <w:rPr>
                <w:spacing w:val="-11"/>
                <w:sz w:val="16"/>
              </w:rPr>
              <w:t xml:space="preserve"> </w:t>
            </w:r>
            <w:r w:rsidRPr="00EB2BD8">
              <w:rPr>
                <w:sz w:val="16"/>
              </w:rPr>
              <w:t>disclosures</w:t>
            </w:r>
            <w:r w:rsidRPr="00EB2BD8">
              <w:rPr>
                <w:spacing w:val="-11"/>
                <w:sz w:val="16"/>
              </w:rPr>
              <w:t xml:space="preserve"> </w:t>
            </w:r>
            <w:r w:rsidRPr="00EB2BD8">
              <w:rPr>
                <w:sz w:val="16"/>
              </w:rPr>
              <w:t>as</w:t>
            </w:r>
            <w:r w:rsidRPr="00EB2BD8">
              <w:rPr>
                <w:spacing w:val="-11"/>
                <w:sz w:val="16"/>
              </w:rPr>
              <w:t xml:space="preserve"> </w:t>
            </w:r>
            <w:r w:rsidRPr="00EB2BD8">
              <w:rPr>
                <w:sz w:val="16"/>
              </w:rPr>
              <w:t>required</w:t>
            </w:r>
            <w:r w:rsidRPr="00EB2BD8">
              <w:rPr>
                <w:spacing w:val="-11"/>
                <w:sz w:val="16"/>
              </w:rPr>
              <w:t xml:space="preserve"> </w:t>
            </w:r>
            <w:r w:rsidRPr="00EB2BD8">
              <w:rPr>
                <w:sz w:val="16"/>
              </w:rPr>
              <w:t>by</w:t>
            </w:r>
            <w:r w:rsidRPr="00EB2BD8">
              <w:rPr>
                <w:spacing w:val="-11"/>
                <w:sz w:val="16"/>
              </w:rPr>
              <w:t xml:space="preserve"> </w:t>
            </w:r>
            <w:r w:rsidRPr="00EB2BD8">
              <w:rPr>
                <w:sz w:val="16"/>
              </w:rPr>
              <w:t>FRDs</w:t>
            </w:r>
            <w:r w:rsidRPr="00EB2BD8">
              <w:rPr>
                <w:spacing w:val="-11"/>
                <w:sz w:val="16"/>
              </w:rPr>
              <w:t xml:space="preserve"> </w:t>
            </w:r>
            <w:r w:rsidRPr="00EB2BD8">
              <w:rPr>
                <w:sz w:val="16"/>
              </w:rPr>
              <w:t>in</w:t>
            </w:r>
            <w:r w:rsidRPr="00EB2BD8">
              <w:rPr>
                <w:spacing w:val="-11"/>
                <w:sz w:val="16"/>
              </w:rPr>
              <w:t xml:space="preserve"> </w:t>
            </w:r>
            <w:r w:rsidRPr="00EB2BD8">
              <w:rPr>
                <w:sz w:val="16"/>
              </w:rPr>
              <w:t>Notes</w:t>
            </w:r>
            <w:r w:rsidRPr="00EB2BD8">
              <w:rPr>
                <w:spacing w:val="-11"/>
                <w:sz w:val="16"/>
              </w:rPr>
              <w:t xml:space="preserve"> </w:t>
            </w:r>
            <w:r w:rsidRPr="00EB2BD8">
              <w:rPr>
                <w:sz w:val="16"/>
              </w:rPr>
              <w:t>to</w:t>
            </w:r>
            <w:r w:rsidRPr="00EB2BD8">
              <w:rPr>
                <w:spacing w:val="-11"/>
                <w:sz w:val="16"/>
              </w:rPr>
              <w:t xml:space="preserve"> </w:t>
            </w:r>
            <w:r w:rsidRPr="00EB2BD8">
              <w:rPr>
                <w:sz w:val="16"/>
              </w:rPr>
              <w:t>the</w:t>
            </w:r>
            <w:r w:rsidRPr="00EB2BD8">
              <w:rPr>
                <w:spacing w:val="-11"/>
                <w:sz w:val="16"/>
              </w:rPr>
              <w:t xml:space="preserve"> </w:t>
            </w:r>
            <w:r w:rsidRPr="00EB2BD8">
              <w:rPr>
                <w:sz w:val="16"/>
              </w:rPr>
              <w:t>financial</w:t>
            </w:r>
            <w:r w:rsidRPr="00EB2BD8">
              <w:rPr>
                <w:spacing w:val="-11"/>
                <w:sz w:val="16"/>
              </w:rPr>
              <w:t xml:space="preserve"> </w:t>
            </w:r>
            <w:r w:rsidRPr="00EB2BD8">
              <w:rPr>
                <w:spacing w:val="-2"/>
                <w:sz w:val="16"/>
              </w:rPr>
              <w:t>statements(a)</w:t>
            </w:r>
          </w:p>
        </w:tc>
      </w:tr>
      <w:tr w:rsidR="00EB2BD8" w:rsidRPr="00EB2BD8" w14:paraId="00F2870B" w14:textId="77777777">
        <w:trPr>
          <w:trHeight w:val="384"/>
        </w:trPr>
        <w:tc>
          <w:tcPr>
            <w:tcW w:w="1533" w:type="dxa"/>
            <w:tcBorders>
              <w:bottom w:val="single" w:sz="2" w:space="0" w:color="000000"/>
            </w:tcBorders>
          </w:tcPr>
          <w:p w14:paraId="6F2F4FFC" w14:textId="77777777" w:rsidR="00084F36" w:rsidRPr="00EB2BD8" w:rsidRDefault="00EB2BD8">
            <w:pPr>
              <w:pStyle w:val="TableParagraph"/>
              <w:spacing w:before="119"/>
              <w:ind w:left="113"/>
              <w:rPr>
                <w:sz w:val="16"/>
              </w:rPr>
            </w:pPr>
            <w:r w:rsidRPr="00EB2BD8">
              <w:rPr>
                <w:w w:val="95"/>
                <w:sz w:val="16"/>
              </w:rPr>
              <w:t>FRD</w:t>
            </w:r>
            <w:r w:rsidRPr="00EB2BD8">
              <w:rPr>
                <w:spacing w:val="13"/>
                <w:sz w:val="16"/>
              </w:rPr>
              <w:t xml:space="preserve"> </w:t>
            </w:r>
            <w:r w:rsidRPr="00EB2BD8">
              <w:rPr>
                <w:spacing w:val="-5"/>
                <w:w w:val="85"/>
                <w:sz w:val="16"/>
              </w:rPr>
              <w:t>11</w:t>
            </w:r>
          </w:p>
        </w:tc>
        <w:tc>
          <w:tcPr>
            <w:tcW w:w="7288" w:type="dxa"/>
            <w:tcBorders>
              <w:bottom w:val="single" w:sz="2" w:space="0" w:color="000000"/>
            </w:tcBorders>
          </w:tcPr>
          <w:p w14:paraId="051C76FA" w14:textId="77777777" w:rsidR="00084F36" w:rsidRPr="00EB2BD8" w:rsidRDefault="00EB2BD8">
            <w:pPr>
              <w:pStyle w:val="TableParagraph"/>
              <w:spacing w:before="119"/>
              <w:ind w:left="678"/>
              <w:rPr>
                <w:sz w:val="16"/>
              </w:rPr>
            </w:pPr>
            <w:r w:rsidRPr="00EB2BD8">
              <w:rPr>
                <w:spacing w:val="-2"/>
                <w:sz w:val="16"/>
              </w:rPr>
              <w:t>Disclosure</w:t>
            </w:r>
            <w:r w:rsidRPr="00EB2BD8">
              <w:rPr>
                <w:spacing w:val="-7"/>
                <w:sz w:val="16"/>
              </w:rPr>
              <w:t xml:space="preserve"> </w:t>
            </w:r>
            <w:r w:rsidRPr="00EB2BD8">
              <w:rPr>
                <w:spacing w:val="-2"/>
                <w:sz w:val="16"/>
              </w:rPr>
              <w:t>of</w:t>
            </w:r>
            <w:r w:rsidRPr="00EB2BD8">
              <w:rPr>
                <w:spacing w:val="-7"/>
                <w:sz w:val="16"/>
              </w:rPr>
              <w:t xml:space="preserve"> </w:t>
            </w:r>
            <w:r w:rsidRPr="00EB2BD8">
              <w:rPr>
                <w:spacing w:val="-2"/>
                <w:sz w:val="16"/>
              </w:rPr>
              <w:t>ex</w:t>
            </w:r>
            <w:r w:rsidRPr="00EB2BD8">
              <w:rPr>
                <w:spacing w:val="-7"/>
                <w:sz w:val="16"/>
              </w:rPr>
              <w:t xml:space="preserve"> </w:t>
            </w:r>
            <w:r w:rsidRPr="00EB2BD8">
              <w:rPr>
                <w:spacing w:val="-2"/>
                <w:sz w:val="16"/>
              </w:rPr>
              <w:t>gratia</w:t>
            </w:r>
            <w:r w:rsidRPr="00EB2BD8">
              <w:rPr>
                <w:spacing w:val="-7"/>
                <w:sz w:val="16"/>
              </w:rPr>
              <w:t xml:space="preserve"> </w:t>
            </w:r>
            <w:r w:rsidRPr="00EB2BD8">
              <w:rPr>
                <w:spacing w:val="-2"/>
                <w:sz w:val="16"/>
              </w:rPr>
              <w:t>expenses</w:t>
            </w:r>
          </w:p>
        </w:tc>
        <w:tc>
          <w:tcPr>
            <w:tcW w:w="1382" w:type="dxa"/>
            <w:tcBorders>
              <w:bottom w:val="single" w:sz="2" w:space="0" w:color="000000"/>
            </w:tcBorders>
          </w:tcPr>
          <w:p w14:paraId="300D152F" w14:textId="77777777" w:rsidR="00084F36" w:rsidRPr="00EB2BD8" w:rsidRDefault="00EB2BD8">
            <w:pPr>
              <w:pStyle w:val="TableParagraph"/>
              <w:spacing w:before="119"/>
              <w:ind w:right="126"/>
              <w:jc w:val="right"/>
              <w:rPr>
                <w:sz w:val="16"/>
              </w:rPr>
            </w:pPr>
            <w:r w:rsidRPr="00EB2BD8">
              <w:rPr>
                <w:spacing w:val="-5"/>
                <w:sz w:val="16"/>
              </w:rPr>
              <w:t>N/A</w:t>
            </w:r>
          </w:p>
        </w:tc>
      </w:tr>
      <w:tr w:rsidR="00EB2BD8" w:rsidRPr="00EB2BD8" w14:paraId="019C135C" w14:textId="77777777">
        <w:trPr>
          <w:trHeight w:val="611"/>
        </w:trPr>
        <w:tc>
          <w:tcPr>
            <w:tcW w:w="1533" w:type="dxa"/>
            <w:tcBorders>
              <w:top w:val="single" w:sz="2" w:space="0" w:color="000000"/>
              <w:bottom w:val="single" w:sz="2" w:space="0" w:color="000000"/>
            </w:tcBorders>
          </w:tcPr>
          <w:p w14:paraId="733351BD"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21</w:t>
            </w:r>
          </w:p>
        </w:tc>
        <w:tc>
          <w:tcPr>
            <w:tcW w:w="7288" w:type="dxa"/>
            <w:tcBorders>
              <w:top w:val="single" w:sz="2" w:space="0" w:color="000000"/>
              <w:bottom w:val="single" w:sz="2" w:space="0" w:color="000000"/>
            </w:tcBorders>
          </w:tcPr>
          <w:p w14:paraId="12D3A7F7" w14:textId="77777777" w:rsidR="00084F36" w:rsidRPr="00EB2BD8" w:rsidRDefault="00EB2BD8">
            <w:pPr>
              <w:pStyle w:val="TableParagraph"/>
              <w:spacing w:before="116" w:line="292" w:lineRule="auto"/>
              <w:ind w:left="678"/>
              <w:rPr>
                <w:sz w:val="16"/>
              </w:rPr>
            </w:pPr>
            <w:r w:rsidRPr="00EB2BD8">
              <w:rPr>
                <w:sz w:val="16"/>
              </w:rPr>
              <w:t>Disclosures</w:t>
            </w:r>
            <w:r w:rsidRPr="00EB2BD8">
              <w:rPr>
                <w:spacing w:val="-1"/>
                <w:sz w:val="16"/>
              </w:rPr>
              <w:t xml:space="preserve"> </w:t>
            </w:r>
            <w:r w:rsidRPr="00EB2BD8">
              <w:rPr>
                <w:sz w:val="16"/>
              </w:rPr>
              <w:t>of</w:t>
            </w:r>
            <w:r w:rsidRPr="00EB2BD8">
              <w:rPr>
                <w:spacing w:val="-1"/>
                <w:sz w:val="16"/>
              </w:rPr>
              <w:t xml:space="preserve"> </w:t>
            </w:r>
            <w:r w:rsidRPr="00EB2BD8">
              <w:rPr>
                <w:sz w:val="16"/>
              </w:rPr>
              <w:t>responsible</w:t>
            </w:r>
            <w:r w:rsidRPr="00EB2BD8">
              <w:rPr>
                <w:spacing w:val="-1"/>
                <w:sz w:val="16"/>
              </w:rPr>
              <w:t xml:space="preserve"> </w:t>
            </w:r>
            <w:r w:rsidRPr="00EB2BD8">
              <w:rPr>
                <w:sz w:val="16"/>
              </w:rPr>
              <w:t>persons,</w:t>
            </w:r>
            <w:r w:rsidRPr="00EB2BD8">
              <w:rPr>
                <w:spacing w:val="-1"/>
                <w:sz w:val="16"/>
              </w:rPr>
              <w:t xml:space="preserve"> </w:t>
            </w:r>
            <w:r w:rsidRPr="00EB2BD8">
              <w:rPr>
                <w:sz w:val="16"/>
              </w:rPr>
              <w:t>executive</w:t>
            </w:r>
            <w:r w:rsidRPr="00EB2BD8">
              <w:rPr>
                <w:spacing w:val="-1"/>
                <w:sz w:val="16"/>
              </w:rPr>
              <w:t xml:space="preserve"> </w:t>
            </w:r>
            <w:r w:rsidRPr="00EB2BD8">
              <w:rPr>
                <w:sz w:val="16"/>
              </w:rPr>
              <w:t>officers</w:t>
            </w:r>
            <w:r w:rsidRPr="00EB2BD8">
              <w:rPr>
                <w:spacing w:val="-1"/>
                <w:sz w:val="16"/>
              </w:rPr>
              <w:t xml:space="preserve"> </w:t>
            </w:r>
            <w:r w:rsidRPr="00EB2BD8">
              <w:rPr>
                <w:sz w:val="16"/>
              </w:rPr>
              <w:t>and</w:t>
            </w:r>
            <w:r w:rsidRPr="00EB2BD8">
              <w:rPr>
                <w:spacing w:val="-1"/>
                <w:sz w:val="16"/>
              </w:rPr>
              <w:t xml:space="preserve"> </w:t>
            </w:r>
            <w:r w:rsidRPr="00EB2BD8">
              <w:rPr>
                <w:sz w:val="16"/>
              </w:rPr>
              <w:t>other</w:t>
            </w:r>
            <w:r w:rsidRPr="00EB2BD8">
              <w:rPr>
                <w:spacing w:val="-1"/>
                <w:sz w:val="16"/>
              </w:rPr>
              <w:t xml:space="preserve"> </w:t>
            </w:r>
            <w:r w:rsidRPr="00EB2BD8">
              <w:rPr>
                <w:sz w:val="16"/>
              </w:rPr>
              <w:t>personnel (contractors</w:t>
            </w:r>
            <w:r w:rsidRPr="00EB2BD8">
              <w:rPr>
                <w:spacing w:val="-13"/>
                <w:sz w:val="16"/>
              </w:rPr>
              <w:t xml:space="preserve"> </w:t>
            </w:r>
            <w:r w:rsidRPr="00EB2BD8">
              <w:rPr>
                <w:sz w:val="16"/>
              </w:rPr>
              <w:t>with</w:t>
            </w:r>
            <w:r w:rsidRPr="00EB2BD8">
              <w:rPr>
                <w:spacing w:val="-13"/>
                <w:sz w:val="16"/>
              </w:rPr>
              <w:t xml:space="preserve"> </w:t>
            </w:r>
            <w:r w:rsidRPr="00EB2BD8">
              <w:rPr>
                <w:sz w:val="16"/>
              </w:rPr>
              <w:t>significant</w:t>
            </w:r>
            <w:r w:rsidRPr="00EB2BD8">
              <w:rPr>
                <w:spacing w:val="-12"/>
                <w:sz w:val="16"/>
              </w:rPr>
              <w:t xml:space="preserve"> </w:t>
            </w:r>
            <w:r w:rsidRPr="00EB2BD8">
              <w:rPr>
                <w:sz w:val="16"/>
              </w:rPr>
              <w:t>management</w:t>
            </w:r>
            <w:r w:rsidRPr="00EB2BD8">
              <w:rPr>
                <w:spacing w:val="-13"/>
                <w:sz w:val="16"/>
              </w:rPr>
              <w:t xml:space="preserve"> </w:t>
            </w:r>
            <w:r w:rsidRPr="00EB2BD8">
              <w:rPr>
                <w:sz w:val="16"/>
              </w:rPr>
              <w:t>responsibilities)</w:t>
            </w:r>
            <w:r w:rsidRPr="00EB2BD8">
              <w:rPr>
                <w:spacing w:val="-13"/>
                <w:sz w:val="16"/>
              </w:rPr>
              <w:t xml:space="preserve"> </w:t>
            </w:r>
            <w:r w:rsidRPr="00EB2BD8">
              <w:rPr>
                <w:sz w:val="16"/>
              </w:rPr>
              <w:t>in</w:t>
            </w:r>
            <w:r w:rsidRPr="00EB2BD8">
              <w:rPr>
                <w:spacing w:val="-12"/>
                <w:sz w:val="16"/>
              </w:rPr>
              <w:t xml:space="preserve"> </w:t>
            </w:r>
            <w:r w:rsidRPr="00EB2BD8">
              <w:rPr>
                <w:sz w:val="16"/>
              </w:rPr>
              <w:t>the</w:t>
            </w:r>
            <w:r w:rsidRPr="00EB2BD8">
              <w:rPr>
                <w:spacing w:val="-13"/>
                <w:sz w:val="16"/>
              </w:rPr>
              <w:t xml:space="preserve"> </w:t>
            </w:r>
            <w:r w:rsidRPr="00EB2BD8">
              <w:rPr>
                <w:sz w:val="16"/>
              </w:rPr>
              <w:t>financial</w:t>
            </w:r>
            <w:r w:rsidRPr="00EB2BD8">
              <w:rPr>
                <w:spacing w:val="-13"/>
                <w:sz w:val="16"/>
              </w:rPr>
              <w:t xml:space="preserve"> </w:t>
            </w:r>
            <w:r w:rsidRPr="00EB2BD8">
              <w:rPr>
                <w:sz w:val="16"/>
              </w:rPr>
              <w:t>report</w:t>
            </w:r>
          </w:p>
        </w:tc>
        <w:tc>
          <w:tcPr>
            <w:tcW w:w="1382" w:type="dxa"/>
            <w:tcBorders>
              <w:top w:val="single" w:sz="2" w:space="0" w:color="000000"/>
              <w:bottom w:val="single" w:sz="2" w:space="0" w:color="000000"/>
            </w:tcBorders>
          </w:tcPr>
          <w:p w14:paraId="5CDF67C0" w14:textId="77777777" w:rsidR="00084F36" w:rsidRPr="00EB2BD8" w:rsidRDefault="00EB2BD8">
            <w:pPr>
              <w:pStyle w:val="TableParagraph"/>
              <w:spacing w:before="116"/>
              <w:ind w:right="109"/>
              <w:jc w:val="right"/>
              <w:rPr>
                <w:sz w:val="16"/>
              </w:rPr>
            </w:pPr>
            <w:r w:rsidRPr="00EB2BD8">
              <w:rPr>
                <w:spacing w:val="-5"/>
                <w:w w:val="90"/>
                <w:sz w:val="16"/>
              </w:rPr>
              <w:t>133</w:t>
            </w:r>
          </w:p>
        </w:tc>
      </w:tr>
      <w:tr w:rsidR="00EB2BD8" w:rsidRPr="00EB2BD8" w14:paraId="0895EF5D" w14:textId="77777777">
        <w:trPr>
          <w:trHeight w:val="381"/>
        </w:trPr>
        <w:tc>
          <w:tcPr>
            <w:tcW w:w="1533" w:type="dxa"/>
            <w:tcBorders>
              <w:top w:val="single" w:sz="2" w:space="0" w:color="000000"/>
              <w:bottom w:val="single" w:sz="2" w:space="0" w:color="000000"/>
            </w:tcBorders>
          </w:tcPr>
          <w:p w14:paraId="5B9F6565"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103</w:t>
            </w:r>
          </w:p>
        </w:tc>
        <w:tc>
          <w:tcPr>
            <w:tcW w:w="7288" w:type="dxa"/>
            <w:tcBorders>
              <w:top w:val="single" w:sz="2" w:space="0" w:color="000000"/>
              <w:bottom w:val="single" w:sz="2" w:space="0" w:color="000000"/>
            </w:tcBorders>
          </w:tcPr>
          <w:p w14:paraId="0D01BDA5" w14:textId="77777777" w:rsidR="00084F36" w:rsidRPr="00EB2BD8" w:rsidRDefault="00EB2BD8">
            <w:pPr>
              <w:pStyle w:val="TableParagraph"/>
              <w:spacing w:before="116"/>
              <w:ind w:left="678"/>
              <w:rPr>
                <w:sz w:val="16"/>
              </w:rPr>
            </w:pPr>
            <w:r w:rsidRPr="00EB2BD8">
              <w:rPr>
                <w:sz w:val="16"/>
              </w:rPr>
              <w:t>Non-financial</w:t>
            </w:r>
            <w:r w:rsidRPr="00EB2BD8">
              <w:rPr>
                <w:spacing w:val="5"/>
                <w:sz w:val="16"/>
              </w:rPr>
              <w:t xml:space="preserve"> </w:t>
            </w:r>
            <w:r w:rsidRPr="00EB2BD8">
              <w:rPr>
                <w:sz w:val="16"/>
              </w:rPr>
              <w:t>physical</w:t>
            </w:r>
            <w:r w:rsidRPr="00EB2BD8">
              <w:rPr>
                <w:spacing w:val="6"/>
                <w:sz w:val="16"/>
              </w:rPr>
              <w:t xml:space="preserve"> </w:t>
            </w:r>
            <w:r w:rsidRPr="00EB2BD8">
              <w:rPr>
                <w:spacing w:val="-2"/>
                <w:sz w:val="16"/>
              </w:rPr>
              <w:t>assets</w:t>
            </w:r>
          </w:p>
        </w:tc>
        <w:tc>
          <w:tcPr>
            <w:tcW w:w="1382" w:type="dxa"/>
            <w:tcBorders>
              <w:top w:val="single" w:sz="2" w:space="0" w:color="000000"/>
              <w:bottom w:val="single" w:sz="2" w:space="0" w:color="000000"/>
            </w:tcBorders>
          </w:tcPr>
          <w:p w14:paraId="16D51BBD" w14:textId="77777777" w:rsidR="00084F36" w:rsidRPr="00EB2BD8" w:rsidRDefault="00EB2BD8">
            <w:pPr>
              <w:pStyle w:val="TableParagraph"/>
              <w:spacing w:before="116"/>
              <w:ind w:right="110"/>
              <w:jc w:val="right"/>
              <w:rPr>
                <w:sz w:val="16"/>
              </w:rPr>
            </w:pPr>
            <w:r w:rsidRPr="00EB2BD8">
              <w:rPr>
                <w:w w:val="80"/>
                <w:sz w:val="16"/>
              </w:rPr>
              <w:t>102,</w:t>
            </w:r>
            <w:r w:rsidRPr="00EB2BD8">
              <w:rPr>
                <w:spacing w:val="9"/>
                <w:sz w:val="16"/>
              </w:rPr>
              <w:t xml:space="preserve"> </w:t>
            </w:r>
            <w:r w:rsidRPr="00EB2BD8">
              <w:rPr>
                <w:w w:val="80"/>
                <w:sz w:val="16"/>
              </w:rPr>
              <w:t>130-</w:t>
            </w:r>
            <w:r w:rsidRPr="00EB2BD8">
              <w:rPr>
                <w:spacing w:val="-5"/>
                <w:w w:val="80"/>
                <w:sz w:val="16"/>
              </w:rPr>
              <w:t>131</w:t>
            </w:r>
          </w:p>
        </w:tc>
      </w:tr>
      <w:tr w:rsidR="00EB2BD8" w:rsidRPr="00EB2BD8" w14:paraId="7931B84A" w14:textId="77777777">
        <w:trPr>
          <w:trHeight w:val="381"/>
        </w:trPr>
        <w:tc>
          <w:tcPr>
            <w:tcW w:w="1533" w:type="dxa"/>
            <w:tcBorders>
              <w:top w:val="single" w:sz="2" w:space="0" w:color="000000"/>
              <w:bottom w:val="single" w:sz="2" w:space="0" w:color="000000"/>
            </w:tcBorders>
          </w:tcPr>
          <w:p w14:paraId="7B0C841F"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110</w:t>
            </w:r>
          </w:p>
        </w:tc>
        <w:tc>
          <w:tcPr>
            <w:tcW w:w="7288" w:type="dxa"/>
            <w:tcBorders>
              <w:top w:val="single" w:sz="2" w:space="0" w:color="000000"/>
              <w:bottom w:val="single" w:sz="2" w:space="0" w:color="000000"/>
            </w:tcBorders>
          </w:tcPr>
          <w:p w14:paraId="2A358217" w14:textId="77777777" w:rsidR="00084F36" w:rsidRPr="00EB2BD8" w:rsidRDefault="00EB2BD8">
            <w:pPr>
              <w:pStyle w:val="TableParagraph"/>
              <w:spacing w:before="116"/>
              <w:ind w:left="678"/>
              <w:rPr>
                <w:sz w:val="16"/>
              </w:rPr>
            </w:pPr>
            <w:r w:rsidRPr="00EB2BD8">
              <w:rPr>
                <w:sz w:val="16"/>
              </w:rPr>
              <w:t>Cash</w:t>
            </w:r>
            <w:r w:rsidRPr="00EB2BD8">
              <w:rPr>
                <w:spacing w:val="-12"/>
                <w:sz w:val="16"/>
              </w:rPr>
              <w:t xml:space="preserve"> </w:t>
            </w:r>
            <w:r w:rsidRPr="00EB2BD8">
              <w:rPr>
                <w:sz w:val="16"/>
              </w:rPr>
              <w:t>flow</w:t>
            </w:r>
            <w:r w:rsidRPr="00EB2BD8">
              <w:rPr>
                <w:spacing w:val="-11"/>
                <w:sz w:val="16"/>
              </w:rPr>
              <w:t xml:space="preserve"> </w:t>
            </w:r>
            <w:r w:rsidRPr="00EB2BD8">
              <w:rPr>
                <w:spacing w:val="-2"/>
                <w:sz w:val="16"/>
              </w:rPr>
              <w:t>statements</w:t>
            </w:r>
          </w:p>
        </w:tc>
        <w:tc>
          <w:tcPr>
            <w:tcW w:w="1382" w:type="dxa"/>
            <w:tcBorders>
              <w:top w:val="single" w:sz="2" w:space="0" w:color="000000"/>
              <w:bottom w:val="single" w:sz="2" w:space="0" w:color="000000"/>
            </w:tcBorders>
          </w:tcPr>
          <w:p w14:paraId="61CC6453" w14:textId="77777777" w:rsidR="00084F36" w:rsidRPr="00EB2BD8" w:rsidRDefault="00EB2BD8">
            <w:pPr>
              <w:pStyle w:val="TableParagraph"/>
              <w:spacing w:before="116"/>
              <w:ind w:right="110"/>
              <w:jc w:val="right"/>
              <w:rPr>
                <w:sz w:val="16"/>
              </w:rPr>
            </w:pPr>
            <w:r w:rsidRPr="00EB2BD8">
              <w:rPr>
                <w:spacing w:val="-5"/>
                <w:sz w:val="16"/>
              </w:rPr>
              <w:t>89</w:t>
            </w:r>
          </w:p>
        </w:tc>
      </w:tr>
      <w:tr w:rsidR="00EB2BD8" w:rsidRPr="00EB2BD8" w14:paraId="1BF5317A" w14:textId="77777777">
        <w:trPr>
          <w:trHeight w:val="381"/>
        </w:trPr>
        <w:tc>
          <w:tcPr>
            <w:tcW w:w="1533" w:type="dxa"/>
            <w:tcBorders>
              <w:top w:val="single" w:sz="2" w:space="0" w:color="000000"/>
              <w:bottom w:val="single" w:sz="2" w:space="0" w:color="000000"/>
            </w:tcBorders>
          </w:tcPr>
          <w:p w14:paraId="0377DD8E" w14:textId="77777777" w:rsidR="00084F36" w:rsidRPr="00EB2BD8" w:rsidRDefault="00EB2BD8">
            <w:pPr>
              <w:pStyle w:val="TableParagraph"/>
              <w:spacing w:before="116"/>
              <w:ind w:left="113"/>
              <w:rPr>
                <w:sz w:val="16"/>
              </w:rPr>
            </w:pPr>
            <w:r w:rsidRPr="00EB2BD8">
              <w:rPr>
                <w:w w:val="95"/>
                <w:sz w:val="16"/>
              </w:rPr>
              <w:t>FRD</w:t>
            </w:r>
            <w:r w:rsidRPr="00EB2BD8">
              <w:rPr>
                <w:spacing w:val="13"/>
                <w:sz w:val="16"/>
              </w:rPr>
              <w:t xml:space="preserve"> </w:t>
            </w:r>
            <w:r w:rsidRPr="00EB2BD8">
              <w:rPr>
                <w:spacing w:val="-5"/>
                <w:w w:val="95"/>
                <w:sz w:val="16"/>
              </w:rPr>
              <w:t>112</w:t>
            </w:r>
          </w:p>
        </w:tc>
        <w:tc>
          <w:tcPr>
            <w:tcW w:w="7288" w:type="dxa"/>
            <w:tcBorders>
              <w:top w:val="single" w:sz="2" w:space="0" w:color="000000"/>
              <w:bottom w:val="single" w:sz="2" w:space="0" w:color="000000"/>
            </w:tcBorders>
          </w:tcPr>
          <w:p w14:paraId="287B4F01" w14:textId="77777777" w:rsidR="00084F36" w:rsidRPr="00EB2BD8" w:rsidRDefault="00EB2BD8">
            <w:pPr>
              <w:pStyle w:val="TableParagraph"/>
              <w:spacing w:before="116"/>
              <w:ind w:left="678"/>
              <w:rPr>
                <w:sz w:val="16"/>
              </w:rPr>
            </w:pPr>
            <w:r w:rsidRPr="00EB2BD8">
              <w:rPr>
                <w:sz w:val="16"/>
              </w:rPr>
              <w:t>Defined</w:t>
            </w:r>
            <w:r w:rsidRPr="00EB2BD8">
              <w:rPr>
                <w:spacing w:val="-12"/>
                <w:sz w:val="16"/>
              </w:rPr>
              <w:t xml:space="preserve"> </w:t>
            </w:r>
            <w:r w:rsidRPr="00EB2BD8">
              <w:rPr>
                <w:sz w:val="16"/>
              </w:rPr>
              <w:t>benefit</w:t>
            </w:r>
            <w:r w:rsidRPr="00EB2BD8">
              <w:rPr>
                <w:spacing w:val="-11"/>
                <w:sz w:val="16"/>
              </w:rPr>
              <w:t xml:space="preserve"> </w:t>
            </w:r>
            <w:r w:rsidRPr="00EB2BD8">
              <w:rPr>
                <w:sz w:val="16"/>
              </w:rPr>
              <w:t>superannuation</w:t>
            </w:r>
            <w:r w:rsidRPr="00EB2BD8">
              <w:rPr>
                <w:spacing w:val="-11"/>
                <w:sz w:val="16"/>
              </w:rPr>
              <w:t xml:space="preserve"> </w:t>
            </w:r>
            <w:r w:rsidRPr="00EB2BD8">
              <w:rPr>
                <w:spacing w:val="-2"/>
                <w:sz w:val="16"/>
              </w:rPr>
              <w:t>obligations</w:t>
            </w:r>
          </w:p>
        </w:tc>
        <w:tc>
          <w:tcPr>
            <w:tcW w:w="1382" w:type="dxa"/>
            <w:tcBorders>
              <w:top w:val="single" w:sz="2" w:space="0" w:color="000000"/>
              <w:bottom w:val="single" w:sz="2" w:space="0" w:color="000000"/>
            </w:tcBorders>
          </w:tcPr>
          <w:p w14:paraId="1D92989B" w14:textId="77777777" w:rsidR="00084F36" w:rsidRPr="00EB2BD8" w:rsidRDefault="00EB2BD8">
            <w:pPr>
              <w:pStyle w:val="TableParagraph"/>
              <w:spacing w:before="116"/>
              <w:ind w:right="110"/>
              <w:jc w:val="right"/>
              <w:rPr>
                <w:sz w:val="16"/>
              </w:rPr>
            </w:pPr>
            <w:r w:rsidRPr="00EB2BD8">
              <w:rPr>
                <w:spacing w:val="-5"/>
                <w:sz w:val="16"/>
              </w:rPr>
              <w:t>99</w:t>
            </w:r>
          </w:p>
        </w:tc>
      </w:tr>
      <w:tr w:rsidR="00EB2BD8" w:rsidRPr="00EB2BD8" w14:paraId="154F445D" w14:textId="77777777">
        <w:trPr>
          <w:trHeight w:val="611"/>
        </w:trPr>
        <w:tc>
          <w:tcPr>
            <w:tcW w:w="1533" w:type="dxa"/>
            <w:tcBorders>
              <w:top w:val="single" w:sz="2" w:space="0" w:color="000000"/>
              <w:bottom w:val="single" w:sz="2" w:space="0" w:color="000000"/>
            </w:tcBorders>
          </w:tcPr>
          <w:p w14:paraId="2877CD85" w14:textId="77777777" w:rsidR="00084F36" w:rsidRPr="00EB2BD8" w:rsidRDefault="00EB2BD8">
            <w:pPr>
              <w:pStyle w:val="TableParagraph"/>
              <w:spacing w:before="116"/>
              <w:ind w:left="113"/>
              <w:rPr>
                <w:sz w:val="16"/>
              </w:rPr>
            </w:pPr>
            <w:r w:rsidRPr="00EB2BD8">
              <w:rPr>
                <w:sz w:val="16"/>
              </w:rPr>
              <w:t>FRD</w:t>
            </w:r>
            <w:r w:rsidRPr="00EB2BD8">
              <w:rPr>
                <w:spacing w:val="-2"/>
                <w:sz w:val="16"/>
              </w:rPr>
              <w:t xml:space="preserve"> </w:t>
            </w:r>
            <w:r w:rsidRPr="00EB2BD8">
              <w:rPr>
                <w:spacing w:val="-5"/>
                <w:sz w:val="16"/>
              </w:rPr>
              <w:t>114</w:t>
            </w:r>
          </w:p>
        </w:tc>
        <w:tc>
          <w:tcPr>
            <w:tcW w:w="7288" w:type="dxa"/>
            <w:tcBorders>
              <w:top w:val="single" w:sz="2" w:space="0" w:color="000000"/>
              <w:bottom w:val="single" w:sz="2" w:space="0" w:color="000000"/>
            </w:tcBorders>
          </w:tcPr>
          <w:p w14:paraId="171423A3" w14:textId="77777777" w:rsidR="00084F36" w:rsidRPr="00EB2BD8" w:rsidRDefault="00EB2BD8">
            <w:pPr>
              <w:pStyle w:val="TableParagraph"/>
              <w:spacing w:before="116" w:line="292" w:lineRule="auto"/>
              <w:ind w:left="678"/>
              <w:rPr>
                <w:sz w:val="16"/>
              </w:rPr>
            </w:pPr>
            <w:r w:rsidRPr="00EB2BD8">
              <w:rPr>
                <w:sz w:val="16"/>
              </w:rPr>
              <w:t>Financial</w:t>
            </w:r>
            <w:r w:rsidRPr="00EB2BD8">
              <w:rPr>
                <w:spacing w:val="-7"/>
                <w:sz w:val="16"/>
              </w:rPr>
              <w:t xml:space="preserve"> </w:t>
            </w:r>
            <w:r w:rsidRPr="00EB2BD8">
              <w:rPr>
                <w:sz w:val="16"/>
              </w:rPr>
              <w:t>instruments</w:t>
            </w:r>
            <w:r w:rsidRPr="00EB2BD8">
              <w:rPr>
                <w:spacing w:val="-7"/>
                <w:sz w:val="16"/>
              </w:rPr>
              <w:t xml:space="preserve"> </w:t>
            </w:r>
            <w:r w:rsidRPr="00EB2BD8">
              <w:rPr>
                <w:sz w:val="16"/>
              </w:rPr>
              <w:t>—</w:t>
            </w:r>
            <w:r w:rsidRPr="00EB2BD8">
              <w:rPr>
                <w:spacing w:val="-7"/>
                <w:sz w:val="16"/>
              </w:rPr>
              <w:t xml:space="preserve"> </w:t>
            </w:r>
            <w:r w:rsidRPr="00EB2BD8">
              <w:rPr>
                <w:sz w:val="16"/>
              </w:rPr>
              <w:t>general</w:t>
            </w:r>
            <w:r w:rsidRPr="00EB2BD8">
              <w:rPr>
                <w:spacing w:val="-7"/>
                <w:sz w:val="16"/>
              </w:rPr>
              <w:t xml:space="preserve"> </w:t>
            </w:r>
            <w:r w:rsidRPr="00EB2BD8">
              <w:rPr>
                <w:sz w:val="16"/>
              </w:rPr>
              <w:t>government</w:t>
            </w:r>
            <w:r w:rsidRPr="00EB2BD8">
              <w:rPr>
                <w:spacing w:val="-7"/>
                <w:sz w:val="16"/>
              </w:rPr>
              <w:t xml:space="preserve"> </w:t>
            </w:r>
            <w:r w:rsidRPr="00EB2BD8">
              <w:rPr>
                <w:sz w:val="16"/>
              </w:rPr>
              <w:t>entities</w:t>
            </w:r>
            <w:r w:rsidRPr="00EB2BD8">
              <w:rPr>
                <w:spacing w:val="-7"/>
                <w:sz w:val="16"/>
              </w:rPr>
              <w:t xml:space="preserve"> </w:t>
            </w:r>
            <w:r w:rsidRPr="00EB2BD8">
              <w:rPr>
                <w:sz w:val="16"/>
              </w:rPr>
              <w:t>and</w:t>
            </w:r>
            <w:r w:rsidRPr="00EB2BD8">
              <w:rPr>
                <w:spacing w:val="-7"/>
                <w:sz w:val="16"/>
              </w:rPr>
              <w:t xml:space="preserve"> </w:t>
            </w:r>
            <w:r w:rsidRPr="00EB2BD8">
              <w:rPr>
                <w:sz w:val="16"/>
              </w:rPr>
              <w:t>public</w:t>
            </w:r>
            <w:r w:rsidRPr="00EB2BD8">
              <w:rPr>
                <w:spacing w:val="-7"/>
                <w:sz w:val="16"/>
              </w:rPr>
              <w:t xml:space="preserve"> </w:t>
            </w:r>
            <w:r w:rsidRPr="00EB2BD8">
              <w:rPr>
                <w:sz w:val="16"/>
              </w:rPr>
              <w:t xml:space="preserve">non-financial </w:t>
            </w:r>
            <w:r w:rsidRPr="00EB2BD8">
              <w:rPr>
                <w:spacing w:val="-2"/>
                <w:sz w:val="16"/>
              </w:rPr>
              <w:t>corporations</w:t>
            </w:r>
          </w:p>
        </w:tc>
        <w:tc>
          <w:tcPr>
            <w:tcW w:w="1382" w:type="dxa"/>
            <w:tcBorders>
              <w:top w:val="single" w:sz="2" w:space="0" w:color="000000"/>
              <w:bottom w:val="single" w:sz="2" w:space="0" w:color="000000"/>
            </w:tcBorders>
          </w:tcPr>
          <w:p w14:paraId="7AA7E027" w14:textId="77777777" w:rsidR="00084F36" w:rsidRPr="00EB2BD8" w:rsidRDefault="00EB2BD8">
            <w:pPr>
              <w:pStyle w:val="TableParagraph"/>
              <w:spacing w:before="116"/>
              <w:ind w:right="110"/>
              <w:jc w:val="right"/>
              <w:rPr>
                <w:sz w:val="16"/>
              </w:rPr>
            </w:pPr>
            <w:r w:rsidRPr="00EB2BD8">
              <w:rPr>
                <w:spacing w:val="-2"/>
                <w:w w:val="75"/>
                <w:sz w:val="16"/>
              </w:rPr>
              <w:t>119-</w:t>
            </w:r>
            <w:r w:rsidRPr="00EB2BD8">
              <w:rPr>
                <w:spacing w:val="-5"/>
                <w:w w:val="85"/>
                <w:sz w:val="16"/>
              </w:rPr>
              <w:t>123</w:t>
            </w:r>
          </w:p>
        </w:tc>
      </w:tr>
    </w:tbl>
    <w:p w14:paraId="1CFE5192" w14:textId="77777777" w:rsidR="00084F36" w:rsidRPr="00EB2BD8" w:rsidRDefault="00EB2BD8">
      <w:pPr>
        <w:spacing w:before="121"/>
        <w:ind w:left="963"/>
        <w:rPr>
          <w:i/>
          <w:sz w:val="14"/>
        </w:rPr>
      </w:pPr>
      <w:r w:rsidRPr="00EB2BD8">
        <w:rPr>
          <w:i/>
          <w:spacing w:val="-2"/>
          <w:sz w:val="14"/>
        </w:rPr>
        <w:t>Note:</w:t>
      </w:r>
    </w:p>
    <w:p w14:paraId="638C00D7" w14:textId="77777777" w:rsidR="00084F36" w:rsidRPr="00EB2BD8" w:rsidRDefault="00EB2BD8">
      <w:pPr>
        <w:spacing w:before="15" w:line="261" w:lineRule="auto"/>
        <w:ind w:left="1247" w:right="2121"/>
        <w:rPr>
          <w:i/>
          <w:sz w:val="14"/>
        </w:rPr>
      </w:pPr>
      <w:r w:rsidRPr="00EB2BD8">
        <w:rPr>
          <w:i/>
          <w:sz w:val="14"/>
        </w:rPr>
        <w:t>References to FRDs have been removed from the Disclosure Index if the specific FRDs do not contain requirements that are in the nature of disclosure.</w:t>
      </w:r>
    </w:p>
    <w:p w14:paraId="0D0917CB" w14:textId="484F6B40" w:rsidR="00084F36" w:rsidRPr="00EB2BD8" w:rsidRDefault="00084F36">
      <w:pPr>
        <w:pStyle w:val="BodyText"/>
        <w:spacing w:before="7"/>
        <w:rPr>
          <w:i/>
          <w:sz w:val="3"/>
        </w:rPr>
      </w:pPr>
    </w:p>
    <w:p w14:paraId="30E27880" w14:textId="77777777" w:rsidR="00084F36" w:rsidRPr="00EB2BD8" w:rsidRDefault="00084F36">
      <w:pPr>
        <w:rPr>
          <w:sz w:val="3"/>
        </w:rPr>
        <w:sectPr w:rsidR="00084F36" w:rsidRPr="00EB2BD8" w:rsidSect="006D75B2">
          <w:footerReference w:type="even" r:id="rId392"/>
          <w:footerReference w:type="default" r:id="rId393"/>
          <w:pgSz w:w="11910" w:h="16840"/>
          <w:pgMar w:top="1080" w:right="0" w:bottom="700" w:left="0" w:header="0" w:footer="515" w:gutter="0"/>
          <w:pgNumType w:start="147"/>
          <w:cols w:space="720"/>
        </w:sectPr>
      </w:pPr>
    </w:p>
    <w:p w14:paraId="7B35915A" w14:textId="77777777" w:rsidR="00084F36" w:rsidRPr="00EB2BD8" w:rsidRDefault="00084F36">
      <w:pPr>
        <w:pStyle w:val="BodyText"/>
        <w:rPr>
          <w:i/>
          <w:sz w:val="20"/>
        </w:rPr>
      </w:pPr>
    </w:p>
    <w:p w14:paraId="51161524" w14:textId="77777777" w:rsidR="00084F36" w:rsidRPr="00EB2BD8" w:rsidRDefault="00084F36">
      <w:pPr>
        <w:pStyle w:val="BodyText"/>
        <w:rPr>
          <w:i/>
          <w:sz w:val="20"/>
        </w:rPr>
      </w:pPr>
    </w:p>
    <w:p w14:paraId="5735F233" w14:textId="77777777" w:rsidR="00084F36" w:rsidRPr="00EB2BD8" w:rsidRDefault="00084F36">
      <w:pPr>
        <w:pStyle w:val="BodyText"/>
        <w:rPr>
          <w:i/>
          <w:sz w:val="20"/>
        </w:rPr>
      </w:pPr>
    </w:p>
    <w:p w14:paraId="4B996C7D" w14:textId="77777777" w:rsidR="00084F36" w:rsidRPr="00EB2BD8" w:rsidRDefault="00084F36">
      <w:pPr>
        <w:pStyle w:val="BodyText"/>
        <w:rPr>
          <w:i/>
          <w:sz w:val="20"/>
        </w:rPr>
      </w:pPr>
    </w:p>
    <w:p w14:paraId="57E3C8B5" w14:textId="77777777" w:rsidR="00084F36" w:rsidRPr="00EB2BD8" w:rsidRDefault="00084F36">
      <w:pPr>
        <w:pStyle w:val="BodyText"/>
        <w:spacing w:before="6"/>
        <w:rPr>
          <w:i/>
          <w:sz w:val="23"/>
        </w:rPr>
      </w:pPr>
    </w:p>
    <w:tbl>
      <w:tblPr>
        <w:tblW w:w="0" w:type="auto"/>
        <w:tblInd w:w="857" w:type="dxa"/>
        <w:tblLayout w:type="fixed"/>
        <w:tblCellMar>
          <w:left w:w="0" w:type="dxa"/>
          <w:right w:w="0" w:type="dxa"/>
        </w:tblCellMar>
        <w:tblLook w:val="01E0" w:firstRow="1" w:lastRow="1" w:firstColumn="1" w:lastColumn="1" w:noHBand="0" w:noVBand="0"/>
      </w:tblPr>
      <w:tblGrid>
        <w:gridCol w:w="7039"/>
        <w:gridCol w:w="3166"/>
      </w:tblGrid>
      <w:tr w:rsidR="00EB2BD8" w:rsidRPr="00EB2BD8" w14:paraId="08DE9ABD" w14:textId="77777777">
        <w:trPr>
          <w:trHeight w:val="640"/>
        </w:trPr>
        <w:tc>
          <w:tcPr>
            <w:tcW w:w="7039" w:type="dxa"/>
            <w:shd w:val="clear" w:color="auto" w:fill="E5F5FF"/>
          </w:tcPr>
          <w:p w14:paraId="5897A4AA" w14:textId="77777777" w:rsidR="00084F36" w:rsidRPr="00EB2BD8" w:rsidRDefault="00EB2BD8">
            <w:pPr>
              <w:pStyle w:val="TableParagraph"/>
              <w:spacing w:before="85"/>
              <w:ind w:left="80"/>
              <w:rPr>
                <w:sz w:val="16"/>
              </w:rPr>
            </w:pPr>
            <w:r w:rsidRPr="00EB2BD8">
              <w:rPr>
                <w:spacing w:val="-2"/>
                <w:sz w:val="16"/>
              </w:rPr>
              <w:t>Legislation</w:t>
            </w:r>
          </w:p>
        </w:tc>
        <w:tc>
          <w:tcPr>
            <w:tcW w:w="3166" w:type="dxa"/>
            <w:shd w:val="clear" w:color="auto" w:fill="E5F5FF"/>
          </w:tcPr>
          <w:p w14:paraId="4C94F096" w14:textId="77777777" w:rsidR="00084F36" w:rsidRPr="00EB2BD8" w:rsidRDefault="00EB2BD8">
            <w:pPr>
              <w:pStyle w:val="TableParagraph"/>
              <w:spacing w:before="85"/>
              <w:ind w:right="79"/>
              <w:jc w:val="right"/>
              <w:rPr>
                <w:sz w:val="16"/>
              </w:rPr>
            </w:pPr>
            <w:r w:rsidRPr="00EB2BD8">
              <w:rPr>
                <w:w w:val="105"/>
                <w:sz w:val="16"/>
              </w:rPr>
              <w:t>Page</w:t>
            </w:r>
            <w:r w:rsidRPr="00EB2BD8">
              <w:rPr>
                <w:spacing w:val="-3"/>
                <w:w w:val="105"/>
                <w:sz w:val="16"/>
              </w:rPr>
              <w:t xml:space="preserve"> </w:t>
            </w:r>
            <w:r w:rsidRPr="00EB2BD8">
              <w:rPr>
                <w:spacing w:val="-2"/>
                <w:w w:val="105"/>
                <w:sz w:val="16"/>
              </w:rPr>
              <w:t>reference</w:t>
            </w:r>
          </w:p>
        </w:tc>
      </w:tr>
      <w:tr w:rsidR="00EB2BD8" w:rsidRPr="00EB2BD8" w14:paraId="4218E5E3" w14:textId="77777777">
        <w:trPr>
          <w:trHeight w:val="384"/>
        </w:trPr>
        <w:tc>
          <w:tcPr>
            <w:tcW w:w="7039" w:type="dxa"/>
            <w:tcBorders>
              <w:bottom w:val="single" w:sz="2" w:space="0" w:color="000000"/>
            </w:tcBorders>
          </w:tcPr>
          <w:p w14:paraId="5EE2FBE1" w14:textId="77777777" w:rsidR="00084F36" w:rsidRPr="00EB2BD8" w:rsidRDefault="00EB2BD8">
            <w:pPr>
              <w:pStyle w:val="TableParagraph"/>
              <w:spacing w:before="118"/>
              <w:ind w:left="113"/>
              <w:rPr>
                <w:i/>
                <w:sz w:val="16"/>
              </w:rPr>
            </w:pPr>
            <w:r w:rsidRPr="00EB2BD8">
              <w:rPr>
                <w:i/>
                <w:sz w:val="16"/>
              </w:rPr>
              <w:t>Freedom</w:t>
            </w:r>
            <w:r w:rsidRPr="00EB2BD8">
              <w:rPr>
                <w:i/>
                <w:spacing w:val="-12"/>
                <w:sz w:val="16"/>
              </w:rPr>
              <w:t xml:space="preserve"> </w:t>
            </w:r>
            <w:r w:rsidRPr="00EB2BD8">
              <w:rPr>
                <w:i/>
                <w:sz w:val="16"/>
              </w:rPr>
              <w:t>of</w:t>
            </w:r>
            <w:r w:rsidRPr="00EB2BD8">
              <w:rPr>
                <w:i/>
                <w:spacing w:val="-11"/>
                <w:sz w:val="16"/>
              </w:rPr>
              <w:t xml:space="preserve"> </w:t>
            </w:r>
            <w:r w:rsidRPr="00EB2BD8">
              <w:rPr>
                <w:i/>
                <w:sz w:val="16"/>
              </w:rPr>
              <w:t>Information</w:t>
            </w:r>
            <w:r w:rsidRPr="00EB2BD8">
              <w:rPr>
                <w:i/>
                <w:spacing w:val="-12"/>
                <w:sz w:val="16"/>
              </w:rPr>
              <w:t xml:space="preserve"> </w:t>
            </w:r>
            <w:r w:rsidRPr="00EB2BD8">
              <w:rPr>
                <w:i/>
                <w:sz w:val="16"/>
              </w:rPr>
              <w:t>Act</w:t>
            </w:r>
            <w:r w:rsidRPr="00EB2BD8">
              <w:rPr>
                <w:i/>
                <w:spacing w:val="-11"/>
                <w:sz w:val="16"/>
              </w:rPr>
              <w:t xml:space="preserve"> </w:t>
            </w:r>
            <w:r w:rsidRPr="00EB2BD8">
              <w:rPr>
                <w:i/>
                <w:spacing w:val="-4"/>
                <w:sz w:val="16"/>
              </w:rPr>
              <w:t>1982</w:t>
            </w:r>
          </w:p>
        </w:tc>
        <w:tc>
          <w:tcPr>
            <w:tcW w:w="3166" w:type="dxa"/>
            <w:tcBorders>
              <w:bottom w:val="single" w:sz="2" w:space="0" w:color="000000"/>
            </w:tcBorders>
          </w:tcPr>
          <w:p w14:paraId="44E5E1EC" w14:textId="77777777" w:rsidR="00084F36" w:rsidRPr="00EB2BD8" w:rsidRDefault="00EB2BD8">
            <w:pPr>
              <w:pStyle w:val="TableParagraph"/>
              <w:spacing w:before="118"/>
              <w:ind w:right="112"/>
              <w:jc w:val="right"/>
              <w:rPr>
                <w:sz w:val="16"/>
              </w:rPr>
            </w:pPr>
            <w:r w:rsidRPr="00EB2BD8">
              <w:rPr>
                <w:spacing w:val="-5"/>
                <w:w w:val="95"/>
                <w:sz w:val="16"/>
              </w:rPr>
              <w:t>76</w:t>
            </w:r>
          </w:p>
        </w:tc>
      </w:tr>
      <w:tr w:rsidR="00EB2BD8" w:rsidRPr="00EB2BD8" w14:paraId="127872BB" w14:textId="77777777">
        <w:trPr>
          <w:trHeight w:val="381"/>
        </w:trPr>
        <w:tc>
          <w:tcPr>
            <w:tcW w:w="7039" w:type="dxa"/>
            <w:tcBorders>
              <w:top w:val="single" w:sz="2" w:space="0" w:color="000000"/>
              <w:bottom w:val="single" w:sz="2" w:space="0" w:color="000000"/>
            </w:tcBorders>
          </w:tcPr>
          <w:p w14:paraId="5038166C" w14:textId="77777777" w:rsidR="00084F36" w:rsidRPr="00EB2BD8" w:rsidRDefault="00EB2BD8">
            <w:pPr>
              <w:pStyle w:val="TableParagraph"/>
              <w:spacing w:before="116"/>
              <w:ind w:left="113"/>
              <w:rPr>
                <w:i/>
                <w:sz w:val="16"/>
              </w:rPr>
            </w:pPr>
            <w:r w:rsidRPr="00EB2BD8">
              <w:rPr>
                <w:i/>
                <w:sz w:val="16"/>
              </w:rPr>
              <w:t>Building</w:t>
            </w:r>
            <w:r w:rsidRPr="00EB2BD8">
              <w:rPr>
                <w:i/>
                <w:spacing w:val="-10"/>
                <w:sz w:val="16"/>
              </w:rPr>
              <w:t xml:space="preserve"> </w:t>
            </w:r>
            <w:r w:rsidRPr="00EB2BD8">
              <w:rPr>
                <w:i/>
                <w:sz w:val="16"/>
              </w:rPr>
              <w:t>Act</w:t>
            </w:r>
            <w:r w:rsidRPr="00EB2BD8">
              <w:rPr>
                <w:i/>
                <w:spacing w:val="-10"/>
                <w:sz w:val="16"/>
              </w:rPr>
              <w:t xml:space="preserve"> </w:t>
            </w:r>
            <w:r w:rsidRPr="00EB2BD8">
              <w:rPr>
                <w:i/>
                <w:spacing w:val="-4"/>
                <w:sz w:val="16"/>
              </w:rPr>
              <w:t>1993</w:t>
            </w:r>
          </w:p>
        </w:tc>
        <w:tc>
          <w:tcPr>
            <w:tcW w:w="3166" w:type="dxa"/>
            <w:tcBorders>
              <w:top w:val="single" w:sz="2" w:space="0" w:color="000000"/>
              <w:bottom w:val="single" w:sz="2" w:space="0" w:color="000000"/>
            </w:tcBorders>
          </w:tcPr>
          <w:p w14:paraId="12C108BA" w14:textId="77777777" w:rsidR="00084F36" w:rsidRPr="00EB2BD8" w:rsidRDefault="00EB2BD8">
            <w:pPr>
              <w:pStyle w:val="TableParagraph"/>
              <w:spacing w:before="116"/>
              <w:ind w:right="112"/>
              <w:jc w:val="right"/>
              <w:rPr>
                <w:sz w:val="16"/>
              </w:rPr>
            </w:pPr>
            <w:r w:rsidRPr="00EB2BD8">
              <w:rPr>
                <w:spacing w:val="-5"/>
                <w:w w:val="95"/>
                <w:sz w:val="16"/>
              </w:rPr>
              <w:t>75</w:t>
            </w:r>
          </w:p>
        </w:tc>
      </w:tr>
      <w:tr w:rsidR="00EB2BD8" w:rsidRPr="00EB2BD8" w14:paraId="5F763C53" w14:textId="77777777">
        <w:trPr>
          <w:trHeight w:val="381"/>
        </w:trPr>
        <w:tc>
          <w:tcPr>
            <w:tcW w:w="7039" w:type="dxa"/>
            <w:tcBorders>
              <w:top w:val="single" w:sz="2" w:space="0" w:color="000000"/>
              <w:bottom w:val="single" w:sz="2" w:space="0" w:color="000000"/>
            </w:tcBorders>
          </w:tcPr>
          <w:p w14:paraId="31D63B63" w14:textId="77777777" w:rsidR="00084F36" w:rsidRPr="00EB2BD8" w:rsidRDefault="00EB2BD8">
            <w:pPr>
              <w:pStyle w:val="TableParagraph"/>
              <w:spacing w:before="116"/>
              <w:ind w:left="113"/>
              <w:rPr>
                <w:i/>
                <w:sz w:val="16"/>
              </w:rPr>
            </w:pPr>
            <w:r w:rsidRPr="00EB2BD8">
              <w:rPr>
                <w:i/>
                <w:sz w:val="16"/>
              </w:rPr>
              <w:t>Public</w:t>
            </w:r>
            <w:r w:rsidRPr="00EB2BD8">
              <w:rPr>
                <w:i/>
                <w:spacing w:val="-13"/>
                <w:sz w:val="16"/>
              </w:rPr>
              <w:t xml:space="preserve"> </w:t>
            </w:r>
            <w:r w:rsidRPr="00EB2BD8">
              <w:rPr>
                <w:i/>
                <w:sz w:val="16"/>
              </w:rPr>
              <w:t>Interest</w:t>
            </w:r>
            <w:r w:rsidRPr="00EB2BD8">
              <w:rPr>
                <w:i/>
                <w:spacing w:val="-12"/>
                <w:sz w:val="16"/>
              </w:rPr>
              <w:t xml:space="preserve"> </w:t>
            </w:r>
            <w:r w:rsidRPr="00EB2BD8">
              <w:rPr>
                <w:i/>
                <w:sz w:val="16"/>
              </w:rPr>
              <w:t>Disclosures</w:t>
            </w:r>
            <w:r w:rsidRPr="00EB2BD8">
              <w:rPr>
                <w:i/>
                <w:spacing w:val="-12"/>
                <w:sz w:val="16"/>
              </w:rPr>
              <w:t xml:space="preserve"> </w:t>
            </w:r>
            <w:r w:rsidRPr="00EB2BD8">
              <w:rPr>
                <w:i/>
                <w:sz w:val="16"/>
              </w:rPr>
              <w:t>Act</w:t>
            </w:r>
            <w:r w:rsidRPr="00EB2BD8">
              <w:rPr>
                <w:i/>
                <w:spacing w:val="-12"/>
                <w:sz w:val="16"/>
              </w:rPr>
              <w:t xml:space="preserve"> </w:t>
            </w:r>
            <w:r w:rsidRPr="00EB2BD8">
              <w:rPr>
                <w:i/>
                <w:spacing w:val="-4"/>
                <w:sz w:val="16"/>
              </w:rPr>
              <w:t>2012</w:t>
            </w:r>
          </w:p>
        </w:tc>
        <w:tc>
          <w:tcPr>
            <w:tcW w:w="3166" w:type="dxa"/>
            <w:tcBorders>
              <w:top w:val="single" w:sz="2" w:space="0" w:color="000000"/>
              <w:bottom w:val="single" w:sz="2" w:space="0" w:color="000000"/>
            </w:tcBorders>
          </w:tcPr>
          <w:p w14:paraId="02B11B70" w14:textId="77777777" w:rsidR="00084F36" w:rsidRPr="00EB2BD8" w:rsidRDefault="00EB2BD8">
            <w:pPr>
              <w:pStyle w:val="TableParagraph"/>
              <w:spacing w:before="116"/>
              <w:ind w:right="112"/>
              <w:jc w:val="right"/>
              <w:rPr>
                <w:sz w:val="16"/>
              </w:rPr>
            </w:pPr>
            <w:r w:rsidRPr="00EB2BD8">
              <w:rPr>
                <w:spacing w:val="-5"/>
                <w:w w:val="85"/>
                <w:sz w:val="16"/>
              </w:rPr>
              <w:t>77</w:t>
            </w:r>
          </w:p>
        </w:tc>
      </w:tr>
      <w:tr w:rsidR="00EB2BD8" w:rsidRPr="00EB2BD8" w14:paraId="003FF393" w14:textId="77777777">
        <w:trPr>
          <w:trHeight w:val="381"/>
        </w:trPr>
        <w:tc>
          <w:tcPr>
            <w:tcW w:w="7039" w:type="dxa"/>
            <w:tcBorders>
              <w:top w:val="single" w:sz="2" w:space="0" w:color="000000"/>
              <w:bottom w:val="single" w:sz="2" w:space="0" w:color="000000"/>
            </w:tcBorders>
          </w:tcPr>
          <w:p w14:paraId="55F5358A" w14:textId="77777777" w:rsidR="00084F36" w:rsidRPr="00EB2BD8" w:rsidRDefault="00EB2BD8">
            <w:pPr>
              <w:pStyle w:val="TableParagraph"/>
              <w:spacing w:before="116"/>
              <w:ind w:left="113"/>
              <w:rPr>
                <w:i/>
                <w:sz w:val="16"/>
              </w:rPr>
            </w:pPr>
            <w:r w:rsidRPr="00EB2BD8">
              <w:rPr>
                <w:i/>
                <w:spacing w:val="-2"/>
                <w:sz w:val="16"/>
              </w:rPr>
              <w:t>Disability</w:t>
            </w:r>
            <w:r w:rsidRPr="00EB2BD8">
              <w:rPr>
                <w:i/>
                <w:spacing w:val="-4"/>
                <w:sz w:val="16"/>
              </w:rPr>
              <w:t xml:space="preserve"> </w:t>
            </w:r>
            <w:r w:rsidRPr="00EB2BD8">
              <w:rPr>
                <w:i/>
                <w:spacing w:val="-2"/>
                <w:sz w:val="16"/>
              </w:rPr>
              <w:t>Act</w:t>
            </w:r>
            <w:r w:rsidRPr="00EB2BD8">
              <w:rPr>
                <w:i/>
                <w:spacing w:val="-3"/>
                <w:sz w:val="16"/>
              </w:rPr>
              <w:t xml:space="preserve"> </w:t>
            </w:r>
            <w:r w:rsidRPr="00EB2BD8">
              <w:rPr>
                <w:i/>
                <w:spacing w:val="-4"/>
                <w:sz w:val="16"/>
              </w:rPr>
              <w:t>2006</w:t>
            </w:r>
          </w:p>
        </w:tc>
        <w:tc>
          <w:tcPr>
            <w:tcW w:w="3166" w:type="dxa"/>
            <w:tcBorders>
              <w:top w:val="single" w:sz="2" w:space="0" w:color="000000"/>
              <w:bottom w:val="single" w:sz="2" w:space="0" w:color="000000"/>
            </w:tcBorders>
          </w:tcPr>
          <w:p w14:paraId="3B13C381" w14:textId="77777777" w:rsidR="00084F36" w:rsidRPr="00EB2BD8" w:rsidRDefault="00EB2BD8">
            <w:pPr>
              <w:pStyle w:val="TableParagraph"/>
              <w:spacing w:before="116"/>
              <w:ind w:right="112"/>
              <w:jc w:val="right"/>
              <w:rPr>
                <w:sz w:val="16"/>
              </w:rPr>
            </w:pPr>
            <w:r w:rsidRPr="00EB2BD8">
              <w:rPr>
                <w:spacing w:val="-5"/>
                <w:w w:val="95"/>
                <w:sz w:val="16"/>
              </w:rPr>
              <w:t>78</w:t>
            </w:r>
          </w:p>
        </w:tc>
      </w:tr>
      <w:tr w:rsidR="00EB2BD8" w:rsidRPr="00EB2BD8" w14:paraId="611A356E" w14:textId="77777777">
        <w:trPr>
          <w:trHeight w:val="381"/>
        </w:trPr>
        <w:tc>
          <w:tcPr>
            <w:tcW w:w="7039" w:type="dxa"/>
            <w:tcBorders>
              <w:top w:val="single" w:sz="2" w:space="0" w:color="000000"/>
              <w:bottom w:val="single" w:sz="2" w:space="0" w:color="000000"/>
            </w:tcBorders>
          </w:tcPr>
          <w:p w14:paraId="306FFB5C" w14:textId="77777777" w:rsidR="00084F36" w:rsidRPr="00EB2BD8" w:rsidRDefault="00EB2BD8">
            <w:pPr>
              <w:pStyle w:val="TableParagraph"/>
              <w:spacing w:before="116"/>
              <w:ind w:left="113"/>
              <w:rPr>
                <w:i/>
                <w:sz w:val="16"/>
              </w:rPr>
            </w:pPr>
            <w:r w:rsidRPr="00EB2BD8">
              <w:rPr>
                <w:i/>
                <w:w w:val="105"/>
                <w:sz w:val="16"/>
              </w:rPr>
              <w:t>Local</w:t>
            </w:r>
            <w:r w:rsidRPr="00EB2BD8">
              <w:rPr>
                <w:i/>
                <w:spacing w:val="-13"/>
                <w:w w:val="105"/>
                <w:sz w:val="16"/>
              </w:rPr>
              <w:t xml:space="preserve"> </w:t>
            </w:r>
            <w:r w:rsidRPr="00EB2BD8">
              <w:rPr>
                <w:i/>
                <w:w w:val="105"/>
                <w:sz w:val="16"/>
              </w:rPr>
              <w:t>Jobs</w:t>
            </w:r>
            <w:r w:rsidRPr="00EB2BD8">
              <w:rPr>
                <w:i/>
                <w:spacing w:val="-12"/>
                <w:w w:val="105"/>
                <w:sz w:val="16"/>
              </w:rPr>
              <w:t xml:space="preserve"> </w:t>
            </w:r>
            <w:r w:rsidRPr="00EB2BD8">
              <w:rPr>
                <w:i/>
                <w:w w:val="105"/>
                <w:sz w:val="16"/>
              </w:rPr>
              <w:t>Act</w:t>
            </w:r>
            <w:r w:rsidRPr="00EB2BD8">
              <w:rPr>
                <w:i/>
                <w:spacing w:val="-12"/>
                <w:w w:val="105"/>
                <w:sz w:val="16"/>
              </w:rPr>
              <w:t xml:space="preserve"> </w:t>
            </w:r>
            <w:r w:rsidRPr="00EB2BD8">
              <w:rPr>
                <w:i/>
                <w:spacing w:val="-4"/>
                <w:w w:val="105"/>
                <w:sz w:val="16"/>
              </w:rPr>
              <w:t>2003</w:t>
            </w:r>
          </w:p>
        </w:tc>
        <w:tc>
          <w:tcPr>
            <w:tcW w:w="3166" w:type="dxa"/>
            <w:tcBorders>
              <w:top w:val="single" w:sz="2" w:space="0" w:color="000000"/>
              <w:bottom w:val="single" w:sz="2" w:space="0" w:color="000000"/>
            </w:tcBorders>
          </w:tcPr>
          <w:p w14:paraId="530AD1A9" w14:textId="77777777" w:rsidR="00084F36" w:rsidRPr="00EB2BD8" w:rsidRDefault="00EB2BD8">
            <w:pPr>
              <w:pStyle w:val="TableParagraph"/>
              <w:spacing w:before="116"/>
              <w:ind w:right="119"/>
              <w:jc w:val="right"/>
              <w:rPr>
                <w:sz w:val="16"/>
              </w:rPr>
            </w:pPr>
            <w:r w:rsidRPr="00EB2BD8">
              <w:rPr>
                <w:spacing w:val="-5"/>
                <w:w w:val="95"/>
                <w:sz w:val="16"/>
              </w:rPr>
              <w:t>74</w:t>
            </w:r>
          </w:p>
        </w:tc>
      </w:tr>
      <w:tr w:rsidR="00EB2BD8" w:rsidRPr="00EB2BD8" w14:paraId="3CD85860" w14:textId="77777777">
        <w:trPr>
          <w:trHeight w:val="381"/>
        </w:trPr>
        <w:tc>
          <w:tcPr>
            <w:tcW w:w="7039" w:type="dxa"/>
            <w:tcBorders>
              <w:top w:val="single" w:sz="2" w:space="0" w:color="000000"/>
              <w:bottom w:val="single" w:sz="2" w:space="0" w:color="000000"/>
            </w:tcBorders>
          </w:tcPr>
          <w:p w14:paraId="4580B286" w14:textId="77777777" w:rsidR="00084F36" w:rsidRPr="00EB2BD8" w:rsidRDefault="00EB2BD8">
            <w:pPr>
              <w:pStyle w:val="TableParagraph"/>
              <w:spacing w:before="116"/>
              <w:ind w:left="113"/>
              <w:rPr>
                <w:i/>
                <w:sz w:val="16"/>
              </w:rPr>
            </w:pPr>
            <w:r w:rsidRPr="00EB2BD8">
              <w:rPr>
                <w:i/>
                <w:sz w:val="16"/>
              </w:rPr>
              <w:t>Financial</w:t>
            </w:r>
            <w:r w:rsidRPr="00EB2BD8">
              <w:rPr>
                <w:i/>
                <w:spacing w:val="1"/>
                <w:sz w:val="16"/>
              </w:rPr>
              <w:t xml:space="preserve"> </w:t>
            </w:r>
            <w:r w:rsidRPr="00EB2BD8">
              <w:rPr>
                <w:i/>
                <w:sz w:val="16"/>
              </w:rPr>
              <w:t>Management</w:t>
            </w:r>
            <w:r w:rsidRPr="00EB2BD8">
              <w:rPr>
                <w:i/>
                <w:spacing w:val="1"/>
                <w:sz w:val="16"/>
              </w:rPr>
              <w:t xml:space="preserve"> </w:t>
            </w:r>
            <w:r w:rsidRPr="00EB2BD8">
              <w:rPr>
                <w:i/>
                <w:sz w:val="16"/>
              </w:rPr>
              <w:t>Act</w:t>
            </w:r>
            <w:r w:rsidRPr="00EB2BD8">
              <w:rPr>
                <w:i/>
                <w:spacing w:val="1"/>
                <w:sz w:val="16"/>
              </w:rPr>
              <w:t xml:space="preserve"> </w:t>
            </w:r>
            <w:r w:rsidRPr="00EB2BD8">
              <w:rPr>
                <w:i/>
                <w:spacing w:val="-4"/>
                <w:sz w:val="16"/>
              </w:rPr>
              <w:t>1994</w:t>
            </w:r>
          </w:p>
        </w:tc>
        <w:tc>
          <w:tcPr>
            <w:tcW w:w="3166" w:type="dxa"/>
            <w:tcBorders>
              <w:top w:val="single" w:sz="2" w:space="0" w:color="000000"/>
              <w:bottom w:val="single" w:sz="2" w:space="0" w:color="000000"/>
            </w:tcBorders>
          </w:tcPr>
          <w:p w14:paraId="754D984A" w14:textId="77777777" w:rsidR="00084F36" w:rsidRPr="00EB2BD8" w:rsidRDefault="00EB2BD8">
            <w:pPr>
              <w:pStyle w:val="TableParagraph"/>
              <w:spacing w:before="116"/>
              <w:ind w:right="113"/>
              <w:jc w:val="right"/>
              <w:rPr>
                <w:sz w:val="16"/>
              </w:rPr>
            </w:pPr>
            <w:r w:rsidRPr="00EB2BD8">
              <w:rPr>
                <w:spacing w:val="-5"/>
                <w:w w:val="85"/>
                <w:sz w:val="16"/>
              </w:rPr>
              <w:t>91</w:t>
            </w:r>
          </w:p>
        </w:tc>
      </w:tr>
      <w:tr w:rsidR="00EB2BD8" w:rsidRPr="00EB2BD8" w14:paraId="428F3A10" w14:textId="77777777">
        <w:trPr>
          <w:trHeight w:val="381"/>
        </w:trPr>
        <w:tc>
          <w:tcPr>
            <w:tcW w:w="7039" w:type="dxa"/>
            <w:tcBorders>
              <w:top w:val="single" w:sz="2" w:space="0" w:color="000000"/>
              <w:bottom w:val="single" w:sz="2" w:space="0" w:color="000000"/>
            </w:tcBorders>
          </w:tcPr>
          <w:p w14:paraId="52C340B4" w14:textId="77777777" w:rsidR="00084F36" w:rsidRPr="00EB2BD8" w:rsidRDefault="00EB2BD8">
            <w:pPr>
              <w:pStyle w:val="TableParagraph"/>
              <w:spacing w:before="116"/>
              <w:ind w:left="113"/>
              <w:rPr>
                <w:i/>
                <w:sz w:val="16"/>
              </w:rPr>
            </w:pPr>
            <w:r w:rsidRPr="00EB2BD8">
              <w:rPr>
                <w:i/>
                <w:sz w:val="16"/>
              </w:rPr>
              <w:t>Building</w:t>
            </w:r>
            <w:r w:rsidRPr="00EB2BD8">
              <w:rPr>
                <w:i/>
                <w:spacing w:val="-8"/>
                <w:sz w:val="16"/>
              </w:rPr>
              <w:t xml:space="preserve"> </w:t>
            </w:r>
            <w:r w:rsidRPr="00EB2BD8">
              <w:rPr>
                <w:i/>
                <w:sz w:val="16"/>
              </w:rPr>
              <w:t>and</w:t>
            </w:r>
            <w:r w:rsidRPr="00EB2BD8">
              <w:rPr>
                <w:i/>
                <w:spacing w:val="-7"/>
                <w:sz w:val="16"/>
              </w:rPr>
              <w:t xml:space="preserve"> </w:t>
            </w:r>
            <w:r w:rsidRPr="00EB2BD8">
              <w:rPr>
                <w:i/>
                <w:sz w:val="16"/>
              </w:rPr>
              <w:t>Construction</w:t>
            </w:r>
            <w:r w:rsidRPr="00EB2BD8">
              <w:rPr>
                <w:i/>
                <w:spacing w:val="-8"/>
                <w:sz w:val="16"/>
              </w:rPr>
              <w:t xml:space="preserve"> </w:t>
            </w:r>
            <w:r w:rsidRPr="00EB2BD8">
              <w:rPr>
                <w:i/>
                <w:sz w:val="16"/>
              </w:rPr>
              <w:t>Industry</w:t>
            </w:r>
            <w:r w:rsidRPr="00EB2BD8">
              <w:rPr>
                <w:i/>
                <w:spacing w:val="-7"/>
                <w:sz w:val="16"/>
              </w:rPr>
              <w:t xml:space="preserve"> </w:t>
            </w:r>
            <w:r w:rsidRPr="00EB2BD8">
              <w:rPr>
                <w:i/>
                <w:sz w:val="16"/>
              </w:rPr>
              <w:t>Security</w:t>
            </w:r>
            <w:r w:rsidRPr="00EB2BD8">
              <w:rPr>
                <w:i/>
                <w:spacing w:val="-7"/>
                <w:sz w:val="16"/>
              </w:rPr>
              <w:t xml:space="preserve"> </w:t>
            </w:r>
            <w:r w:rsidRPr="00EB2BD8">
              <w:rPr>
                <w:i/>
                <w:sz w:val="16"/>
              </w:rPr>
              <w:t>of</w:t>
            </w:r>
            <w:r w:rsidRPr="00EB2BD8">
              <w:rPr>
                <w:i/>
                <w:spacing w:val="-8"/>
                <w:sz w:val="16"/>
              </w:rPr>
              <w:t xml:space="preserve"> </w:t>
            </w:r>
            <w:r w:rsidRPr="00EB2BD8">
              <w:rPr>
                <w:i/>
                <w:sz w:val="16"/>
              </w:rPr>
              <w:t>Payment</w:t>
            </w:r>
            <w:r w:rsidRPr="00EB2BD8">
              <w:rPr>
                <w:i/>
                <w:spacing w:val="-7"/>
                <w:sz w:val="16"/>
              </w:rPr>
              <w:t xml:space="preserve"> </w:t>
            </w:r>
            <w:r w:rsidRPr="00EB2BD8">
              <w:rPr>
                <w:i/>
                <w:sz w:val="16"/>
              </w:rPr>
              <w:t>Act</w:t>
            </w:r>
            <w:r w:rsidRPr="00EB2BD8">
              <w:rPr>
                <w:i/>
                <w:spacing w:val="-7"/>
                <w:sz w:val="16"/>
              </w:rPr>
              <w:t xml:space="preserve"> </w:t>
            </w:r>
            <w:r w:rsidRPr="00EB2BD8">
              <w:rPr>
                <w:i/>
                <w:spacing w:val="-4"/>
                <w:sz w:val="16"/>
              </w:rPr>
              <w:t>2002</w:t>
            </w:r>
          </w:p>
        </w:tc>
        <w:tc>
          <w:tcPr>
            <w:tcW w:w="3166" w:type="dxa"/>
            <w:tcBorders>
              <w:top w:val="single" w:sz="2" w:space="0" w:color="000000"/>
              <w:bottom w:val="single" w:sz="2" w:space="0" w:color="000000"/>
            </w:tcBorders>
          </w:tcPr>
          <w:p w14:paraId="27960D76" w14:textId="77777777" w:rsidR="00084F36" w:rsidRPr="00EB2BD8" w:rsidRDefault="00EB2BD8">
            <w:pPr>
              <w:pStyle w:val="TableParagraph"/>
              <w:spacing w:before="116"/>
              <w:ind w:right="112"/>
              <w:jc w:val="right"/>
              <w:rPr>
                <w:sz w:val="16"/>
              </w:rPr>
            </w:pPr>
            <w:r w:rsidRPr="00EB2BD8">
              <w:rPr>
                <w:spacing w:val="-5"/>
                <w:w w:val="95"/>
                <w:sz w:val="16"/>
              </w:rPr>
              <w:t>37</w:t>
            </w:r>
          </w:p>
        </w:tc>
      </w:tr>
      <w:tr w:rsidR="00EB2BD8" w:rsidRPr="00EB2BD8" w14:paraId="6215F774" w14:textId="77777777">
        <w:trPr>
          <w:trHeight w:val="381"/>
        </w:trPr>
        <w:tc>
          <w:tcPr>
            <w:tcW w:w="7039" w:type="dxa"/>
            <w:tcBorders>
              <w:top w:val="single" w:sz="2" w:space="0" w:color="000000"/>
              <w:bottom w:val="single" w:sz="2" w:space="0" w:color="000000"/>
            </w:tcBorders>
          </w:tcPr>
          <w:p w14:paraId="0BB35B9F" w14:textId="77777777" w:rsidR="00084F36" w:rsidRPr="00EB2BD8" w:rsidRDefault="00EB2BD8">
            <w:pPr>
              <w:pStyle w:val="TableParagraph"/>
              <w:spacing w:before="116"/>
              <w:ind w:left="113"/>
              <w:rPr>
                <w:i/>
                <w:sz w:val="16"/>
              </w:rPr>
            </w:pPr>
            <w:r w:rsidRPr="00EB2BD8">
              <w:rPr>
                <w:i/>
                <w:sz w:val="16"/>
              </w:rPr>
              <w:t>Carers</w:t>
            </w:r>
            <w:r w:rsidRPr="00EB2BD8">
              <w:rPr>
                <w:i/>
                <w:spacing w:val="-6"/>
                <w:sz w:val="16"/>
              </w:rPr>
              <w:t xml:space="preserve"> </w:t>
            </w:r>
            <w:r w:rsidRPr="00EB2BD8">
              <w:rPr>
                <w:i/>
                <w:sz w:val="16"/>
              </w:rPr>
              <w:t>Recognition</w:t>
            </w:r>
            <w:r w:rsidRPr="00EB2BD8">
              <w:rPr>
                <w:i/>
                <w:spacing w:val="-5"/>
                <w:sz w:val="16"/>
              </w:rPr>
              <w:t xml:space="preserve"> </w:t>
            </w:r>
            <w:r w:rsidRPr="00EB2BD8">
              <w:rPr>
                <w:i/>
                <w:sz w:val="16"/>
              </w:rPr>
              <w:t>Act</w:t>
            </w:r>
            <w:r w:rsidRPr="00EB2BD8">
              <w:rPr>
                <w:i/>
                <w:spacing w:val="-6"/>
                <w:sz w:val="16"/>
              </w:rPr>
              <w:t xml:space="preserve"> </w:t>
            </w:r>
            <w:r w:rsidRPr="00EB2BD8">
              <w:rPr>
                <w:i/>
                <w:spacing w:val="-4"/>
                <w:sz w:val="16"/>
              </w:rPr>
              <w:t>2012</w:t>
            </w:r>
          </w:p>
        </w:tc>
        <w:tc>
          <w:tcPr>
            <w:tcW w:w="3166" w:type="dxa"/>
            <w:tcBorders>
              <w:top w:val="single" w:sz="2" w:space="0" w:color="000000"/>
              <w:bottom w:val="single" w:sz="2" w:space="0" w:color="000000"/>
            </w:tcBorders>
          </w:tcPr>
          <w:p w14:paraId="7ACE9423" w14:textId="77777777" w:rsidR="00084F36" w:rsidRPr="00EB2BD8" w:rsidRDefault="00EB2BD8">
            <w:pPr>
              <w:pStyle w:val="TableParagraph"/>
              <w:spacing w:before="116"/>
              <w:ind w:right="112"/>
              <w:jc w:val="right"/>
              <w:rPr>
                <w:sz w:val="16"/>
              </w:rPr>
            </w:pPr>
            <w:r w:rsidRPr="00EB2BD8">
              <w:rPr>
                <w:spacing w:val="-5"/>
                <w:w w:val="95"/>
                <w:sz w:val="16"/>
              </w:rPr>
              <w:t>78</w:t>
            </w:r>
          </w:p>
        </w:tc>
      </w:tr>
      <w:tr w:rsidR="00084F36" w:rsidRPr="00EB2BD8" w14:paraId="4284C719" w14:textId="77777777">
        <w:trPr>
          <w:trHeight w:val="381"/>
        </w:trPr>
        <w:tc>
          <w:tcPr>
            <w:tcW w:w="7039" w:type="dxa"/>
            <w:tcBorders>
              <w:top w:val="single" w:sz="2" w:space="0" w:color="000000"/>
              <w:bottom w:val="single" w:sz="2" w:space="0" w:color="000000"/>
            </w:tcBorders>
          </w:tcPr>
          <w:p w14:paraId="7FC2F6FA" w14:textId="77777777" w:rsidR="00084F36" w:rsidRPr="00EB2BD8" w:rsidRDefault="00EB2BD8">
            <w:pPr>
              <w:pStyle w:val="TableParagraph"/>
              <w:spacing w:before="116"/>
              <w:ind w:left="113"/>
              <w:rPr>
                <w:i/>
                <w:sz w:val="16"/>
              </w:rPr>
            </w:pPr>
            <w:r w:rsidRPr="00EB2BD8">
              <w:rPr>
                <w:i/>
                <w:sz w:val="16"/>
              </w:rPr>
              <w:t>Gender</w:t>
            </w:r>
            <w:r w:rsidRPr="00EB2BD8">
              <w:rPr>
                <w:i/>
                <w:spacing w:val="-1"/>
                <w:sz w:val="16"/>
              </w:rPr>
              <w:t xml:space="preserve"> </w:t>
            </w:r>
            <w:r w:rsidRPr="00EB2BD8">
              <w:rPr>
                <w:i/>
                <w:sz w:val="16"/>
              </w:rPr>
              <w:t>Equality</w:t>
            </w:r>
            <w:r w:rsidRPr="00EB2BD8">
              <w:rPr>
                <w:i/>
                <w:spacing w:val="-1"/>
                <w:sz w:val="16"/>
              </w:rPr>
              <w:t xml:space="preserve"> </w:t>
            </w:r>
            <w:r w:rsidRPr="00EB2BD8">
              <w:rPr>
                <w:i/>
                <w:sz w:val="16"/>
              </w:rPr>
              <w:t xml:space="preserve">Act </w:t>
            </w:r>
            <w:r w:rsidRPr="00EB2BD8">
              <w:rPr>
                <w:i/>
                <w:spacing w:val="-4"/>
                <w:sz w:val="16"/>
              </w:rPr>
              <w:t>2020</w:t>
            </w:r>
          </w:p>
        </w:tc>
        <w:tc>
          <w:tcPr>
            <w:tcW w:w="3166" w:type="dxa"/>
            <w:tcBorders>
              <w:top w:val="single" w:sz="2" w:space="0" w:color="000000"/>
              <w:bottom w:val="single" w:sz="2" w:space="0" w:color="000000"/>
            </w:tcBorders>
          </w:tcPr>
          <w:p w14:paraId="7589CCDA" w14:textId="77777777" w:rsidR="00084F36" w:rsidRPr="00EB2BD8" w:rsidRDefault="00EB2BD8">
            <w:pPr>
              <w:pStyle w:val="TableParagraph"/>
              <w:spacing w:before="116"/>
              <w:ind w:right="112"/>
              <w:jc w:val="right"/>
              <w:rPr>
                <w:sz w:val="16"/>
              </w:rPr>
            </w:pPr>
            <w:r w:rsidRPr="00EB2BD8">
              <w:rPr>
                <w:spacing w:val="-5"/>
                <w:sz w:val="16"/>
              </w:rPr>
              <w:t>65</w:t>
            </w:r>
          </w:p>
        </w:tc>
      </w:tr>
    </w:tbl>
    <w:p w14:paraId="7AD6E651" w14:textId="77777777" w:rsidR="00084F36" w:rsidRPr="00EB2BD8" w:rsidRDefault="00084F36">
      <w:pPr>
        <w:jc w:val="right"/>
        <w:rPr>
          <w:sz w:val="16"/>
        </w:rPr>
        <w:sectPr w:rsidR="00084F36" w:rsidRPr="00EB2BD8" w:rsidSect="006D75B2">
          <w:footerReference w:type="default" r:id="rId394"/>
          <w:pgSz w:w="11910" w:h="16840"/>
          <w:pgMar w:top="1100" w:right="0" w:bottom="700" w:left="0" w:header="0" w:footer="505" w:gutter="0"/>
          <w:cols w:space="720"/>
        </w:sectPr>
      </w:pPr>
    </w:p>
    <w:p w14:paraId="214EA245" w14:textId="77777777" w:rsidR="00084F36" w:rsidRPr="00EB2BD8" w:rsidRDefault="00EB2BD8" w:rsidP="003B3D54">
      <w:pPr>
        <w:pStyle w:val="Heading1"/>
      </w:pPr>
      <w:bookmarkStart w:id="419" w:name="_Toc150762721"/>
      <w:r w:rsidRPr="00EB2BD8">
        <w:lastRenderedPageBreak/>
        <w:t>Appendix</w:t>
      </w:r>
      <w:r w:rsidRPr="00EB2BD8">
        <w:rPr>
          <w:spacing w:val="-32"/>
        </w:rPr>
        <w:t xml:space="preserve"> </w:t>
      </w:r>
      <w:r w:rsidRPr="00EB2BD8">
        <w:rPr>
          <w:spacing w:val="-10"/>
        </w:rPr>
        <w:t>B</w:t>
      </w:r>
      <w:bookmarkEnd w:id="419"/>
    </w:p>
    <w:p w14:paraId="60B3F9D2" w14:textId="77777777" w:rsidR="00084F36" w:rsidRPr="00EB2BD8" w:rsidRDefault="00EB2BD8" w:rsidP="0004531F">
      <w:pPr>
        <w:pStyle w:val="Heading2"/>
      </w:pPr>
      <w:bookmarkStart w:id="420" w:name="_Toc150762722"/>
      <w:r w:rsidRPr="00EB2BD8">
        <w:rPr>
          <w:spacing w:val="-10"/>
        </w:rPr>
        <w:t>Progress</w:t>
      </w:r>
      <w:r w:rsidRPr="00EB2BD8">
        <w:rPr>
          <w:spacing w:val="-18"/>
        </w:rPr>
        <w:t xml:space="preserve"> </w:t>
      </w:r>
      <w:r w:rsidRPr="00EB2BD8">
        <w:rPr>
          <w:spacing w:val="-10"/>
        </w:rPr>
        <w:t>against</w:t>
      </w:r>
      <w:r w:rsidRPr="00EB2BD8">
        <w:rPr>
          <w:spacing w:val="-18"/>
        </w:rPr>
        <w:t xml:space="preserve"> </w:t>
      </w:r>
      <w:r w:rsidRPr="00EB2BD8">
        <w:rPr>
          <w:spacing w:val="-10"/>
        </w:rPr>
        <w:t>2021-23</w:t>
      </w:r>
      <w:r w:rsidRPr="00EB2BD8">
        <w:rPr>
          <w:spacing w:val="-17"/>
        </w:rPr>
        <w:t xml:space="preserve"> </w:t>
      </w:r>
      <w:r w:rsidRPr="00EB2BD8">
        <w:rPr>
          <w:spacing w:val="-10"/>
        </w:rPr>
        <w:t>Statement</w:t>
      </w:r>
      <w:r w:rsidRPr="00EB2BD8">
        <w:rPr>
          <w:spacing w:val="-18"/>
        </w:rPr>
        <w:t xml:space="preserve"> </w:t>
      </w:r>
      <w:r w:rsidRPr="00EB2BD8">
        <w:rPr>
          <w:spacing w:val="-10"/>
        </w:rPr>
        <w:t>of</w:t>
      </w:r>
      <w:r w:rsidRPr="00EB2BD8">
        <w:rPr>
          <w:spacing w:val="-17"/>
        </w:rPr>
        <w:t xml:space="preserve"> </w:t>
      </w:r>
      <w:r w:rsidRPr="00EB2BD8">
        <w:rPr>
          <w:spacing w:val="-10"/>
        </w:rPr>
        <w:t>Expectations</w:t>
      </w:r>
      <w:bookmarkEnd w:id="420"/>
    </w:p>
    <w:p w14:paraId="7383D570" w14:textId="77777777" w:rsidR="00084F36" w:rsidRPr="00EB2BD8" w:rsidRDefault="00084F36">
      <w:pPr>
        <w:pStyle w:val="BodyText"/>
        <w:rPr>
          <w:b/>
          <w:sz w:val="10"/>
        </w:rPr>
      </w:pPr>
    </w:p>
    <w:tbl>
      <w:tblPr>
        <w:tblW w:w="0" w:type="auto"/>
        <w:tblInd w:w="857" w:type="dxa"/>
        <w:tblLayout w:type="fixed"/>
        <w:tblCellMar>
          <w:left w:w="0" w:type="dxa"/>
          <w:right w:w="0" w:type="dxa"/>
        </w:tblCellMar>
        <w:tblLook w:val="01E0" w:firstRow="1" w:lastRow="1" w:firstColumn="1" w:lastColumn="1" w:noHBand="0" w:noVBand="0"/>
      </w:tblPr>
      <w:tblGrid>
        <w:gridCol w:w="1035"/>
        <w:gridCol w:w="7033"/>
        <w:gridCol w:w="982"/>
        <w:gridCol w:w="1416"/>
      </w:tblGrid>
      <w:tr w:rsidR="00EB2BD8" w:rsidRPr="00EB2BD8" w14:paraId="559DC5E3" w14:textId="77777777">
        <w:trPr>
          <w:trHeight w:val="384"/>
        </w:trPr>
        <w:tc>
          <w:tcPr>
            <w:tcW w:w="1035" w:type="dxa"/>
            <w:tcBorders>
              <w:bottom w:val="single" w:sz="2" w:space="0" w:color="000000"/>
            </w:tcBorders>
            <w:shd w:val="clear" w:color="auto" w:fill="005F83"/>
          </w:tcPr>
          <w:p w14:paraId="23A015F6" w14:textId="77777777" w:rsidR="00084F36" w:rsidRPr="0004531F" w:rsidRDefault="00EB2BD8">
            <w:pPr>
              <w:pStyle w:val="TableParagraph"/>
              <w:spacing w:before="118"/>
              <w:ind w:left="113"/>
              <w:rPr>
                <w:color w:val="FFFFFF" w:themeColor="background1"/>
                <w:sz w:val="16"/>
              </w:rPr>
            </w:pPr>
            <w:r w:rsidRPr="0004531F">
              <w:rPr>
                <w:color w:val="FFFFFF" w:themeColor="background1"/>
                <w:sz w:val="16"/>
              </w:rPr>
              <w:t>Target</w:t>
            </w:r>
            <w:r w:rsidRPr="0004531F">
              <w:rPr>
                <w:color w:val="FFFFFF" w:themeColor="background1"/>
                <w:spacing w:val="-6"/>
                <w:sz w:val="16"/>
              </w:rPr>
              <w:t xml:space="preserve"> </w:t>
            </w:r>
            <w:r w:rsidRPr="0004531F">
              <w:rPr>
                <w:color w:val="FFFFFF" w:themeColor="background1"/>
                <w:spacing w:val="-5"/>
                <w:sz w:val="16"/>
              </w:rPr>
              <w:t>No.</w:t>
            </w:r>
          </w:p>
        </w:tc>
        <w:tc>
          <w:tcPr>
            <w:tcW w:w="7033" w:type="dxa"/>
            <w:tcBorders>
              <w:bottom w:val="single" w:sz="2" w:space="0" w:color="000000"/>
            </w:tcBorders>
            <w:shd w:val="clear" w:color="auto" w:fill="005F83"/>
          </w:tcPr>
          <w:p w14:paraId="4F7743FA" w14:textId="77777777" w:rsidR="00084F36" w:rsidRPr="0004531F" w:rsidRDefault="00EB2BD8">
            <w:pPr>
              <w:pStyle w:val="TableParagraph"/>
              <w:spacing w:before="118"/>
              <w:ind w:left="117"/>
              <w:rPr>
                <w:color w:val="FFFFFF" w:themeColor="background1"/>
                <w:sz w:val="16"/>
              </w:rPr>
            </w:pPr>
            <w:r w:rsidRPr="0004531F">
              <w:rPr>
                <w:color w:val="FFFFFF" w:themeColor="background1"/>
                <w:spacing w:val="-2"/>
                <w:sz w:val="16"/>
              </w:rPr>
              <w:t>Requirement</w:t>
            </w:r>
          </w:p>
        </w:tc>
        <w:tc>
          <w:tcPr>
            <w:tcW w:w="982" w:type="dxa"/>
            <w:tcBorders>
              <w:bottom w:val="single" w:sz="2" w:space="0" w:color="000000"/>
            </w:tcBorders>
            <w:shd w:val="clear" w:color="auto" w:fill="005F83"/>
          </w:tcPr>
          <w:p w14:paraId="2D779DD8" w14:textId="77777777" w:rsidR="00084F36" w:rsidRPr="0004531F" w:rsidRDefault="00EB2BD8">
            <w:pPr>
              <w:pStyle w:val="TableParagraph"/>
              <w:spacing w:before="118"/>
              <w:ind w:left="114"/>
              <w:rPr>
                <w:color w:val="FFFFFF" w:themeColor="background1"/>
                <w:sz w:val="16"/>
              </w:rPr>
            </w:pPr>
            <w:r w:rsidRPr="0004531F">
              <w:rPr>
                <w:color w:val="FFFFFF" w:themeColor="background1"/>
                <w:spacing w:val="-2"/>
                <w:w w:val="110"/>
                <w:sz w:val="16"/>
              </w:rPr>
              <w:t>Status</w:t>
            </w:r>
          </w:p>
        </w:tc>
        <w:tc>
          <w:tcPr>
            <w:tcW w:w="1416" w:type="dxa"/>
            <w:tcBorders>
              <w:bottom w:val="single" w:sz="2" w:space="0" w:color="000000"/>
            </w:tcBorders>
            <w:shd w:val="clear" w:color="auto" w:fill="005F83"/>
          </w:tcPr>
          <w:p w14:paraId="60EF4102" w14:textId="77777777" w:rsidR="00084F36" w:rsidRPr="0004531F" w:rsidRDefault="00EB2BD8">
            <w:pPr>
              <w:pStyle w:val="TableParagraph"/>
              <w:spacing w:before="118"/>
              <w:ind w:right="111"/>
              <w:jc w:val="right"/>
              <w:rPr>
                <w:color w:val="FFFFFF" w:themeColor="background1"/>
                <w:sz w:val="16"/>
              </w:rPr>
            </w:pPr>
            <w:r w:rsidRPr="0004531F">
              <w:rPr>
                <w:color w:val="FFFFFF" w:themeColor="background1"/>
                <w:w w:val="105"/>
                <w:sz w:val="16"/>
              </w:rPr>
              <w:t xml:space="preserve">Page </w:t>
            </w:r>
            <w:r w:rsidRPr="0004531F">
              <w:rPr>
                <w:color w:val="FFFFFF" w:themeColor="background1"/>
                <w:spacing w:val="-2"/>
                <w:w w:val="105"/>
                <w:sz w:val="16"/>
              </w:rPr>
              <w:t>reference</w:t>
            </w:r>
          </w:p>
        </w:tc>
      </w:tr>
      <w:tr w:rsidR="00EB2BD8" w:rsidRPr="00EB2BD8" w14:paraId="7DF89857" w14:textId="77777777">
        <w:trPr>
          <w:trHeight w:val="311"/>
        </w:trPr>
        <w:tc>
          <w:tcPr>
            <w:tcW w:w="1035" w:type="dxa"/>
            <w:tcBorders>
              <w:top w:val="single" w:sz="2" w:space="0" w:color="000000"/>
            </w:tcBorders>
          </w:tcPr>
          <w:p w14:paraId="20BD7F57" w14:textId="77777777" w:rsidR="00084F36" w:rsidRPr="00EB2BD8" w:rsidRDefault="00EB2BD8">
            <w:pPr>
              <w:pStyle w:val="TableParagraph"/>
              <w:spacing w:before="116" w:line="175" w:lineRule="exact"/>
              <w:ind w:left="113"/>
              <w:rPr>
                <w:sz w:val="16"/>
              </w:rPr>
            </w:pPr>
            <w:r w:rsidRPr="00EB2BD8">
              <w:rPr>
                <w:w w:val="55"/>
                <w:sz w:val="16"/>
              </w:rPr>
              <w:t>1</w:t>
            </w:r>
          </w:p>
        </w:tc>
        <w:tc>
          <w:tcPr>
            <w:tcW w:w="7033" w:type="dxa"/>
            <w:tcBorders>
              <w:top w:val="single" w:sz="2" w:space="0" w:color="000000"/>
            </w:tcBorders>
          </w:tcPr>
          <w:p w14:paraId="20CAF956" w14:textId="77777777" w:rsidR="00084F36" w:rsidRPr="00EB2BD8" w:rsidRDefault="00EB2BD8">
            <w:pPr>
              <w:pStyle w:val="TableParagraph"/>
              <w:spacing w:before="116" w:line="175" w:lineRule="exact"/>
              <w:ind w:left="117"/>
              <w:rPr>
                <w:sz w:val="16"/>
              </w:rPr>
            </w:pPr>
            <w:r w:rsidRPr="00EB2BD8">
              <w:rPr>
                <w:spacing w:val="-2"/>
                <w:sz w:val="16"/>
              </w:rPr>
              <w:t>By</w:t>
            </w:r>
            <w:r w:rsidRPr="00EB2BD8">
              <w:rPr>
                <w:spacing w:val="-5"/>
                <w:sz w:val="16"/>
              </w:rPr>
              <w:t xml:space="preserve"> </w:t>
            </w:r>
            <w:r w:rsidRPr="00EB2BD8">
              <w:rPr>
                <w:spacing w:val="-2"/>
                <w:sz w:val="16"/>
              </w:rPr>
              <w:t>June</w:t>
            </w:r>
            <w:r w:rsidRPr="00EB2BD8">
              <w:rPr>
                <w:spacing w:val="-5"/>
                <w:sz w:val="16"/>
              </w:rPr>
              <w:t xml:space="preserve"> </w:t>
            </w:r>
            <w:r w:rsidRPr="00EB2BD8">
              <w:rPr>
                <w:spacing w:val="-2"/>
                <w:sz w:val="16"/>
              </w:rPr>
              <w:t>2023,</w:t>
            </w:r>
            <w:r w:rsidRPr="00EB2BD8">
              <w:rPr>
                <w:spacing w:val="-5"/>
                <w:sz w:val="16"/>
              </w:rPr>
              <w:t xml:space="preserve"> </w:t>
            </w:r>
            <w:r w:rsidRPr="00EB2BD8">
              <w:rPr>
                <w:spacing w:val="-2"/>
                <w:sz w:val="16"/>
              </w:rPr>
              <w:t>processing</w:t>
            </w:r>
            <w:r w:rsidRPr="00EB2BD8">
              <w:rPr>
                <w:spacing w:val="-4"/>
                <w:sz w:val="16"/>
              </w:rPr>
              <w:t xml:space="preserve"> </w:t>
            </w:r>
            <w:r w:rsidRPr="00EB2BD8">
              <w:rPr>
                <w:spacing w:val="-2"/>
                <w:sz w:val="16"/>
              </w:rPr>
              <w:t>80</w:t>
            </w:r>
            <w:r w:rsidRPr="00EB2BD8">
              <w:rPr>
                <w:spacing w:val="-5"/>
                <w:sz w:val="16"/>
              </w:rPr>
              <w:t xml:space="preserve"> </w:t>
            </w:r>
            <w:r w:rsidRPr="00EB2BD8">
              <w:rPr>
                <w:spacing w:val="-2"/>
                <w:sz w:val="16"/>
              </w:rPr>
              <w:t>per</w:t>
            </w:r>
            <w:r w:rsidRPr="00EB2BD8">
              <w:rPr>
                <w:spacing w:val="-5"/>
                <w:sz w:val="16"/>
              </w:rPr>
              <w:t xml:space="preserve"> </w:t>
            </w:r>
            <w:r w:rsidRPr="00EB2BD8">
              <w:rPr>
                <w:spacing w:val="-2"/>
                <w:sz w:val="16"/>
              </w:rPr>
              <w:t>cent</w:t>
            </w:r>
            <w:r w:rsidRPr="00EB2BD8">
              <w:rPr>
                <w:spacing w:val="-4"/>
                <w:sz w:val="16"/>
              </w:rPr>
              <w:t xml:space="preserve"> </w:t>
            </w:r>
            <w:r w:rsidRPr="00EB2BD8">
              <w:rPr>
                <w:spacing w:val="-2"/>
                <w:sz w:val="16"/>
              </w:rPr>
              <w:t>of</w:t>
            </w:r>
            <w:r w:rsidRPr="00EB2BD8">
              <w:rPr>
                <w:spacing w:val="-5"/>
                <w:sz w:val="16"/>
              </w:rPr>
              <w:t xml:space="preserve"> </w:t>
            </w:r>
            <w:r w:rsidRPr="00EB2BD8">
              <w:rPr>
                <w:spacing w:val="-2"/>
                <w:sz w:val="16"/>
              </w:rPr>
              <w:t>building</w:t>
            </w:r>
            <w:r w:rsidRPr="00EB2BD8">
              <w:rPr>
                <w:spacing w:val="-5"/>
                <w:sz w:val="16"/>
              </w:rPr>
              <w:t xml:space="preserve"> </w:t>
            </w:r>
            <w:r w:rsidRPr="00EB2BD8">
              <w:rPr>
                <w:spacing w:val="-2"/>
                <w:sz w:val="16"/>
              </w:rPr>
              <w:t>registration</w:t>
            </w:r>
            <w:r w:rsidRPr="00EB2BD8">
              <w:rPr>
                <w:spacing w:val="-4"/>
                <w:sz w:val="16"/>
              </w:rPr>
              <w:t xml:space="preserve"> </w:t>
            </w:r>
            <w:r w:rsidRPr="00EB2BD8">
              <w:rPr>
                <w:spacing w:val="-2"/>
                <w:sz w:val="16"/>
              </w:rPr>
              <w:t>decisions</w:t>
            </w:r>
            <w:r w:rsidRPr="00EB2BD8">
              <w:rPr>
                <w:spacing w:val="-5"/>
                <w:sz w:val="16"/>
              </w:rPr>
              <w:t xml:space="preserve"> </w:t>
            </w:r>
            <w:r w:rsidRPr="00EB2BD8">
              <w:rPr>
                <w:spacing w:val="-2"/>
                <w:sz w:val="16"/>
              </w:rPr>
              <w:t>within</w:t>
            </w:r>
            <w:r w:rsidRPr="00EB2BD8">
              <w:rPr>
                <w:spacing w:val="-5"/>
                <w:sz w:val="16"/>
              </w:rPr>
              <w:t xml:space="preserve"> 45</w:t>
            </w:r>
          </w:p>
        </w:tc>
        <w:tc>
          <w:tcPr>
            <w:tcW w:w="982" w:type="dxa"/>
            <w:tcBorders>
              <w:top w:val="single" w:sz="2" w:space="0" w:color="000000"/>
            </w:tcBorders>
          </w:tcPr>
          <w:p w14:paraId="25CC0BB8" w14:textId="77777777" w:rsidR="00084F36" w:rsidRPr="00EB2BD8" w:rsidRDefault="00EB2BD8">
            <w:pPr>
              <w:pStyle w:val="TableParagraph"/>
              <w:spacing w:before="116" w:line="175" w:lineRule="exact"/>
              <w:ind w:left="120"/>
              <w:rPr>
                <w:sz w:val="16"/>
              </w:rPr>
            </w:pPr>
            <w:r w:rsidRPr="00EB2BD8">
              <w:rPr>
                <w:spacing w:val="-2"/>
                <w:sz w:val="16"/>
              </w:rPr>
              <w:t>Complete</w:t>
            </w:r>
          </w:p>
        </w:tc>
        <w:tc>
          <w:tcPr>
            <w:tcW w:w="1416" w:type="dxa"/>
            <w:tcBorders>
              <w:top w:val="single" w:sz="2" w:space="0" w:color="000000"/>
            </w:tcBorders>
          </w:tcPr>
          <w:p w14:paraId="1FEA6385" w14:textId="77777777" w:rsidR="00084F36" w:rsidRPr="00EB2BD8" w:rsidRDefault="00EB2BD8">
            <w:pPr>
              <w:pStyle w:val="TableParagraph"/>
              <w:spacing w:before="116" w:line="175" w:lineRule="exact"/>
              <w:ind w:right="109"/>
              <w:jc w:val="right"/>
              <w:rPr>
                <w:sz w:val="16"/>
              </w:rPr>
            </w:pPr>
            <w:r w:rsidRPr="00EB2BD8">
              <w:rPr>
                <w:spacing w:val="-5"/>
                <w:w w:val="85"/>
                <w:sz w:val="16"/>
              </w:rPr>
              <w:t>31</w:t>
            </w:r>
          </w:p>
        </w:tc>
      </w:tr>
      <w:tr w:rsidR="00EB2BD8" w:rsidRPr="00EB2BD8" w14:paraId="3F4AEB80" w14:textId="77777777">
        <w:trPr>
          <w:trHeight w:val="200"/>
        </w:trPr>
        <w:tc>
          <w:tcPr>
            <w:tcW w:w="1035" w:type="dxa"/>
          </w:tcPr>
          <w:p w14:paraId="44F93632" w14:textId="77777777" w:rsidR="00084F36" w:rsidRPr="00EB2BD8" w:rsidRDefault="00084F36">
            <w:pPr>
              <w:pStyle w:val="TableParagraph"/>
              <w:rPr>
                <w:rFonts w:ascii="Times New Roman"/>
                <w:sz w:val="12"/>
              </w:rPr>
            </w:pPr>
          </w:p>
        </w:tc>
        <w:tc>
          <w:tcPr>
            <w:tcW w:w="7033" w:type="dxa"/>
          </w:tcPr>
          <w:p w14:paraId="27A0E7EB" w14:textId="77777777" w:rsidR="00084F36" w:rsidRPr="00EB2BD8" w:rsidRDefault="00EB2BD8">
            <w:pPr>
              <w:pStyle w:val="TableParagraph"/>
              <w:spacing w:before="4" w:line="175" w:lineRule="exact"/>
              <w:ind w:left="117"/>
              <w:rPr>
                <w:sz w:val="16"/>
              </w:rPr>
            </w:pPr>
            <w:r w:rsidRPr="00EB2BD8">
              <w:rPr>
                <w:spacing w:val="-4"/>
                <w:sz w:val="16"/>
              </w:rPr>
              <w:t>business</w:t>
            </w:r>
            <w:r w:rsidRPr="00EB2BD8">
              <w:rPr>
                <w:spacing w:val="-6"/>
                <w:sz w:val="16"/>
              </w:rPr>
              <w:t xml:space="preserve"> </w:t>
            </w:r>
            <w:r w:rsidRPr="00EB2BD8">
              <w:rPr>
                <w:spacing w:val="-4"/>
                <w:sz w:val="16"/>
              </w:rPr>
              <w:t>days</w:t>
            </w:r>
            <w:r w:rsidRPr="00EB2BD8">
              <w:rPr>
                <w:spacing w:val="-6"/>
                <w:sz w:val="16"/>
              </w:rPr>
              <w:t xml:space="preserve"> </w:t>
            </w:r>
            <w:r w:rsidRPr="00EB2BD8">
              <w:rPr>
                <w:spacing w:val="-4"/>
                <w:sz w:val="16"/>
              </w:rPr>
              <w:t>of</w:t>
            </w:r>
            <w:r w:rsidRPr="00EB2BD8">
              <w:rPr>
                <w:spacing w:val="-6"/>
                <w:sz w:val="16"/>
              </w:rPr>
              <w:t xml:space="preserve"> </w:t>
            </w:r>
            <w:r w:rsidRPr="00EB2BD8">
              <w:rPr>
                <w:spacing w:val="-4"/>
                <w:sz w:val="16"/>
              </w:rPr>
              <w:t>receipt</w:t>
            </w:r>
            <w:r w:rsidRPr="00EB2BD8">
              <w:rPr>
                <w:spacing w:val="-5"/>
                <w:sz w:val="16"/>
              </w:rPr>
              <w:t xml:space="preserve"> </w:t>
            </w:r>
            <w:r w:rsidRPr="00EB2BD8">
              <w:rPr>
                <w:spacing w:val="-4"/>
                <w:sz w:val="16"/>
              </w:rPr>
              <w:t>for</w:t>
            </w:r>
            <w:r w:rsidRPr="00EB2BD8">
              <w:rPr>
                <w:spacing w:val="-6"/>
                <w:sz w:val="16"/>
              </w:rPr>
              <w:t xml:space="preserve"> </w:t>
            </w:r>
            <w:r w:rsidRPr="00EB2BD8">
              <w:rPr>
                <w:spacing w:val="-4"/>
                <w:sz w:val="16"/>
              </w:rPr>
              <w:t>the</w:t>
            </w:r>
            <w:r w:rsidRPr="00EB2BD8">
              <w:rPr>
                <w:spacing w:val="-6"/>
                <w:sz w:val="16"/>
              </w:rPr>
              <w:t xml:space="preserve"> </w:t>
            </w:r>
            <w:r w:rsidRPr="00EB2BD8">
              <w:rPr>
                <w:spacing w:val="-4"/>
                <w:sz w:val="16"/>
              </w:rPr>
              <w:t>period</w:t>
            </w:r>
            <w:r w:rsidRPr="00EB2BD8">
              <w:rPr>
                <w:spacing w:val="-5"/>
                <w:sz w:val="16"/>
              </w:rPr>
              <w:t xml:space="preserve"> </w:t>
            </w:r>
            <w:r w:rsidRPr="00EB2BD8">
              <w:rPr>
                <w:spacing w:val="-4"/>
                <w:sz w:val="16"/>
              </w:rPr>
              <w:t>from</w:t>
            </w:r>
            <w:r w:rsidRPr="00EB2BD8">
              <w:rPr>
                <w:spacing w:val="-6"/>
                <w:sz w:val="16"/>
              </w:rPr>
              <w:t xml:space="preserve"> </w:t>
            </w:r>
            <w:r w:rsidRPr="00EB2BD8">
              <w:rPr>
                <w:spacing w:val="-4"/>
                <w:sz w:val="16"/>
              </w:rPr>
              <w:t>1</w:t>
            </w:r>
            <w:r w:rsidRPr="00EB2BD8">
              <w:rPr>
                <w:spacing w:val="-6"/>
                <w:sz w:val="16"/>
              </w:rPr>
              <w:t xml:space="preserve"> </w:t>
            </w:r>
            <w:r w:rsidRPr="00EB2BD8">
              <w:rPr>
                <w:spacing w:val="-4"/>
                <w:sz w:val="16"/>
              </w:rPr>
              <w:t>July</w:t>
            </w:r>
            <w:r w:rsidRPr="00EB2BD8">
              <w:rPr>
                <w:spacing w:val="-5"/>
                <w:sz w:val="16"/>
              </w:rPr>
              <w:t xml:space="preserve"> </w:t>
            </w:r>
            <w:r w:rsidRPr="00EB2BD8">
              <w:rPr>
                <w:spacing w:val="-4"/>
                <w:sz w:val="16"/>
              </w:rPr>
              <w:t>2021</w:t>
            </w:r>
            <w:r w:rsidRPr="00EB2BD8">
              <w:rPr>
                <w:spacing w:val="-6"/>
                <w:sz w:val="16"/>
              </w:rPr>
              <w:t xml:space="preserve"> </w:t>
            </w:r>
            <w:r w:rsidRPr="00EB2BD8">
              <w:rPr>
                <w:spacing w:val="-4"/>
                <w:sz w:val="16"/>
              </w:rPr>
              <w:t>to</w:t>
            </w:r>
            <w:r w:rsidRPr="00EB2BD8">
              <w:rPr>
                <w:spacing w:val="-6"/>
                <w:sz w:val="16"/>
              </w:rPr>
              <w:t xml:space="preserve"> </w:t>
            </w:r>
            <w:r w:rsidRPr="00EB2BD8">
              <w:rPr>
                <w:spacing w:val="-4"/>
                <w:sz w:val="16"/>
              </w:rPr>
              <w:t>30</w:t>
            </w:r>
            <w:r w:rsidRPr="00EB2BD8">
              <w:rPr>
                <w:spacing w:val="-6"/>
                <w:sz w:val="16"/>
              </w:rPr>
              <w:t xml:space="preserve"> </w:t>
            </w:r>
            <w:r w:rsidRPr="00EB2BD8">
              <w:rPr>
                <w:spacing w:val="-4"/>
                <w:sz w:val="16"/>
              </w:rPr>
              <w:t>June</w:t>
            </w:r>
            <w:r w:rsidRPr="00EB2BD8">
              <w:rPr>
                <w:spacing w:val="-5"/>
                <w:sz w:val="16"/>
              </w:rPr>
              <w:t xml:space="preserve"> </w:t>
            </w:r>
            <w:r w:rsidRPr="00EB2BD8">
              <w:rPr>
                <w:spacing w:val="-4"/>
                <w:sz w:val="16"/>
              </w:rPr>
              <w:t>2022,</w:t>
            </w:r>
            <w:r w:rsidRPr="00EB2BD8">
              <w:rPr>
                <w:spacing w:val="-6"/>
                <w:sz w:val="16"/>
              </w:rPr>
              <w:t xml:space="preserve"> </w:t>
            </w:r>
            <w:r w:rsidRPr="00EB2BD8">
              <w:rPr>
                <w:spacing w:val="-4"/>
                <w:sz w:val="16"/>
              </w:rPr>
              <w:t>with</w:t>
            </w:r>
            <w:r w:rsidRPr="00EB2BD8">
              <w:rPr>
                <w:spacing w:val="-6"/>
                <w:sz w:val="16"/>
              </w:rPr>
              <w:t xml:space="preserve"> </w:t>
            </w:r>
            <w:r w:rsidRPr="00EB2BD8">
              <w:rPr>
                <w:spacing w:val="-4"/>
                <w:sz w:val="16"/>
              </w:rPr>
              <w:t>further</w:t>
            </w:r>
          </w:p>
        </w:tc>
        <w:tc>
          <w:tcPr>
            <w:tcW w:w="982" w:type="dxa"/>
          </w:tcPr>
          <w:p w14:paraId="62EDEE59" w14:textId="77777777" w:rsidR="00084F36" w:rsidRPr="00EB2BD8" w:rsidRDefault="00084F36">
            <w:pPr>
              <w:pStyle w:val="TableParagraph"/>
              <w:rPr>
                <w:rFonts w:ascii="Times New Roman"/>
                <w:sz w:val="12"/>
              </w:rPr>
            </w:pPr>
          </w:p>
        </w:tc>
        <w:tc>
          <w:tcPr>
            <w:tcW w:w="1416" w:type="dxa"/>
          </w:tcPr>
          <w:p w14:paraId="5CDDAD36" w14:textId="77777777" w:rsidR="00084F36" w:rsidRPr="00EB2BD8" w:rsidRDefault="00084F36">
            <w:pPr>
              <w:pStyle w:val="TableParagraph"/>
              <w:rPr>
                <w:rFonts w:ascii="Times New Roman"/>
                <w:sz w:val="12"/>
              </w:rPr>
            </w:pPr>
          </w:p>
        </w:tc>
      </w:tr>
      <w:tr w:rsidR="00EB2BD8" w:rsidRPr="00EB2BD8" w14:paraId="6AF6910F" w14:textId="77777777">
        <w:trPr>
          <w:trHeight w:val="200"/>
        </w:trPr>
        <w:tc>
          <w:tcPr>
            <w:tcW w:w="1035" w:type="dxa"/>
          </w:tcPr>
          <w:p w14:paraId="38396325" w14:textId="77777777" w:rsidR="00084F36" w:rsidRPr="00EB2BD8" w:rsidRDefault="00084F36">
            <w:pPr>
              <w:pStyle w:val="TableParagraph"/>
              <w:rPr>
                <w:rFonts w:ascii="Times New Roman"/>
                <w:sz w:val="12"/>
              </w:rPr>
            </w:pPr>
          </w:p>
        </w:tc>
        <w:tc>
          <w:tcPr>
            <w:tcW w:w="7033" w:type="dxa"/>
          </w:tcPr>
          <w:p w14:paraId="0C9D4D86" w14:textId="77777777" w:rsidR="00084F36" w:rsidRPr="00EB2BD8" w:rsidRDefault="00EB2BD8">
            <w:pPr>
              <w:pStyle w:val="TableParagraph"/>
              <w:spacing w:before="4" w:line="175" w:lineRule="exact"/>
              <w:ind w:left="117"/>
              <w:rPr>
                <w:sz w:val="16"/>
              </w:rPr>
            </w:pPr>
            <w:r w:rsidRPr="00EB2BD8">
              <w:rPr>
                <w:spacing w:val="-2"/>
                <w:sz w:val="16"/>
              </w:rPr>
              <w:t>improvements</w:t>
            </w:r>
            <w:r w:rsidRPr="00EB2BD8">
              <w:rPr>
                <w:spacing w:val="-6"/>
                <w:sz w:val="16"/>
              </w:rPr>
              <w:t xml:space="preserve"> </w:t>
            </w:r>
            <w:r w:rsidRPr="00EB2BD8">
              <w:rPr>
                <w:spacing w:val="-2"/>
                <w:sz w:val="16"/>
              </w:rPr>
              <w:t>to</w:t>
            </w:r>
            <w:r w:rsidRPr="00EB2BD8">
              <w:rPr>
                <w:spacing w:val="-6"/>
                <w:sz w:val="16"/>
              </w:rPr>
              <w:t xml:space="preserve"> </w:t>
            </w:r>
            <w:r w:rsidRPr="00EB2BD8">
              <w:rPr>
                <w:spacing w:val="-2"/>
                <w:sz w:val="16"/>
              </w:rPr>
              <w:t>be</w:t>
            </w:r>
            <w:r w:rsidRPr="00EB2BD8">
              <w:rPr>
                <w:spacing w:val="-5"/>
                <w:sz w:val="16"/>
              </w:rPr>
              <w:t xml:space="preserve"> </w:t>
            </w:r>
            <w:r w:rsidRPr="00EB2BD8">
              <w:rPr>
                <w:spacing w:val="-2"/>
                <w:sz w:val="16"/>
              </w:rPr>
              <w:t>delivered</w:t>
            </w:r>
            <w:r w:rsidRPr="00EB2BD8">
              <w:rPr>
                <w:spacing w:val="-6"/>
                <w:sz w:val="16"/>
              </w:rPr>
              <w:t xml:space="preserve"> </w:t>
            </w:r>
            <w:r w:rsidRPr="00EB2BD8">
              <w:rPr>
                <w:spacing w:val="-2"/>
                <w:sz w:val="16"/>
              </w:rPr>
              <w:t>in</w:t>
            </w:r>
            <w:r w:rsidRPr="00EB2BD8">
              <w:rPr>
                <w:spacing w:val="-6"/>
                <w:sz w:val="16"/>
              </w:rPr>
              <w:t xml:space="preserve"> </w:t>
            </w:r>
            <w:r w:rsidRPr="00EB2BD8">
              <w:rPr>
                <w:spacing w:val="-2"/>
                <w:sz w:val="16"/>
              </w:rPr>
              <w:t>the</w:t>
            </w:r>
            <w:r w:rsidRPr="00EB2BD8">
              <w:rPr>
                <w:spacing w:val="-5"/>
                <w:sz w:val="16"/>
              </w:rPr>
              <w:t xml:space="preserve"> </w:t>
            </w:r>
            <w:r w:rsidRPr="00EB2BD8">
              <w:rPr>
                <w:spacing w:val="-2"/>
                <w:sz w:val="16"/>
              </w:rPr>
              <w:t>following</w:t>
            </w:r>
            <w:r w:rsidRPr="00EB2BD8">
              <w:rPr>
                <w:spacing w:val="-6"/>
                <w:sz w:val="16"/>
              </w:rPr>
              <w:t xml:space="preserve"> </w:t>
            </w:r>
            <w:r w:rsidRPr="00EB2BD8">
              <w:rPr>
                <w:spacing w:val="-2"/>
                <w:sz w:val="16"/>
              </w:rPr>
              <w:t>year.</w:t>
            </w:r>
            <w:r w:rsidRPr="00EB2BD8">
              <w:rPr>
                <w:spacing w:val="-5"/>
                <w:sz w:val="16"/>
              </w:rPr>
              <w:t xml:space="preserve"> </w:t>
            </w:r>
            <w:r w:rsidRPr="00EB2BD8">
              <w:rPr>
                <w:spacing w:val="-2"/>
                <w:sz w:val="16"/>
              </w:rPr>
              <w:t>Enhanced</w:t>
            </w:r>
            <w:r w:rsidRPr="00EB2BD8">
              <w:rPr>
                <w:spacing w:val="-6"/>
                <w:sz w:val="16"/>
              </w:rPr>
              <w:t xml:space="preserve"> </w:t>
            </w:r>
            <w:r w:rsidRPr="00EB2BD8">
              <w:rPr>
                <w:spacing w:val="-2"/>
                <w:sz w:val="16"/>
              </w:rPr>
              <w:t>timeliness</w:t>
            </w:r>
            <w:r w:rsidRPr="00EB2BD8">
              <w:rPr>
                <w:spacing w:val="-6"/>
                <w:sz w:val="16"/>
              </w:rPr>
              <w:t xml:space="preserve"> </w:t>
            </w:r>
            <w:r w:rsidRPr="00EB2BD8">
              <w:rPr>
                <w:spacing w:val="-2"/>
                <w:sz w:val="16"/>
              </w:rPr>
              <w:t>for</w:t>
            </w:r>
            <w:r w:rsidRPr="00EB2BD8">
              <w:rPr>
                <w:spacing w:val="-5"/>
                <w:sz w:val="16"/>
              </w:rPr>
              <w:t xml:space="preserve"> </w:t>
            </w:r>
            <w:r w:rsidRPr="00EB2BD8">
              <w:rPr>
                <w:spacing w:val="-2"/>
                <w:sz w:val="16"/>
              </w:rPr>
              <w:t>building</w:t>
            </w:r>
            <w:r w:rsidRPr="00EB2BD8">
              <w:rPr>
                <w:spacing w:val="-6"/>
                <w:sz w:val="16"/>
              </w:rPr>
              <w:t xml:space="preserve"> </w:t>
            </w:r>
            <w:r w:rsidRPr="00EB2BD8">
              <w:rPr>
                <w:spacing w:val="-5"/>
                <w:sz w:val="16"/>
              </w:rPr>
              <w:t>and</w:t>
            </w:r>
          </w:p>
        </w:tc>
        <w:tc>
          <w:tcPr>
            <w:tcW w:w="982" w:type="dxa"/>
          </w:tcPr>
          <w:p w14:paraId="09B3C14F" w14:textId="77777777" w:rsidR="00084F36" w:rsidRPr="00EB2BD8" w:rsidRDefault="00084F36">
            <w:pPr>
              <w:pStyle w:val="TableParagraph"/>
              <w:rPr>
                <w:rFonts w:ascii="Times New Roman"/>
                <w:sz w:val="12"/>
              </w:rPr>
            </w:pPr>
          </w:p>
        </w:tc>
        <w:tc>
          <w:tcPr>
            <w:tcW w:w="1416" w:type="dxa"/>
          </w:tcPr>
          <w:p w14:paraId="500BACF2" w14:textId="77777777" w:rsidR="00084F36" w:rsidRPr="00EB2BD8" w:rsidRDefault="00084F36">
            <w:pPr>
              <w:pStyle w:val="TableParagraph"/>
              <w:rPr>
                <w:rFonts w:ascii="Times New Roman"/>
                <w:sz w:val="12"/>
              </w:rPr>
            </w:pPr>
          </w:p>
        </w:tc>
      </w:tr>
      <w:tr w:rsidR="00EB2BD8" w:rsidRPr="00EB2BD8" w14:paraId="370257F1" w14:textId="77777777">
        <w:trPr>
          <w:trHeight w:val="270"/>
        </w:trPr>
        <w:tc>
          <w:tcPr>
            <w:tcW w:w="1035" w:type="dxa"/>
            <w:tcBorders>
              <w:bottom w:val="single" w:sz="2" w:space="0" w:color="000000"/>
            </w:tcBorders>
          </w:tcPr>
          <w:p w14:paraId="1027E1CA" w14:textId="77777777" w:rsidR="00084F36" w:rsidRPr="00EB2BD8" w:rsidRDefault="00084F36">
            <w:pPr>
              <w:pStyle w:val="TableParagraph"/>
              <w:rPr>
                <w:rFonts w:ascii="Times New Roman"/>
                <w:sz w:val="16"/>
              </w:rPr>
            </w:pPr>
          </w:p>
        </w:tc>
        <w:tc>
          <w:tcPr>
            <w:tcW w:w="7033" w:type="dxa"/>
            <w:tcBorders>
              <w:bottom w:val="single" w:sz="2" w:space="0" w:color="000000"/>
            </w:tcBorders>
          </w:tcPr>
          <w:p w14:paraId="650DC73D" w14:textId="77777777" w:rsidR="00084F36" w:rsidRPr="00EB2BD8" w:rsidRDefault="00EB2BD8">
            <w:pPr>
              <w:pStyle w:val="TableParagraph"/>
              <w:spacing w:before="4"/>
              <w:ind w:left="117"/>
              <w:rPr>
                <w:sz w:val="16"/>
              </w:rPr>
            </w:pPr>
            <w:r w:rsidRPr="00EB2BD8">
              <w:rPr>
                <w:spacing w:val="-2"/>
                <w:sz w:val="16"/>
              </w:rPr>
              <w:t>plumbing registrations to be reported annually.</w:t>
            </w:r>
          </w:p>
        </w:tc>
        <w:tc>
          <w:tcPr>
            <w:tcW w:w="982" w:type="dxa"/>
            <w:tcBorders>
              <w:bottom w:val="single" w:sz="2" w:space="0" w:color="000000"/>
            </w:tcBorders>
          </w:tcPr>
          <w:p w14:paraId="5CA16C97" w14:textId="77777777" w:rsidR="00084F36" w:rsidRPr="00EB2BD8" w:rsidRDefault="00084F36">
            <w:pPr>
              <w:pStyle w:val="TableParagraph"/>
              <w:rPr>
                <w:rFonts w:ascii="Times New Roman"/>
                <w:sz w:val="16"/>
              </w:rPr>
            </w:pPr>
          </w:p>
        </w:tc>
        <w:tc>
          <w:tcPr>
            <w:tcW w:w="1416" w:type="dxa"/>
            <w:tcBorders>
              <w:bottom w:val="single" w:sz="2" w:space="0" w:color="000000"/>
            </w:tcBorders>
          </w:tcPr>
          <w:p w14:paraId="37CFB93E" w14:textId="77777777" w:rsidR="00084F36" w:rsidRPr="00EB2BD8" w:rsidRDefault="00084F36">
            <w:pPr>
              <w:pStyle w:val="TableParagraph"/>
              <w:rPr>
                <w:rFonts w:ascii="Times New Roman"/>
                <w:sz w:val="16"/>
              </w:rPr>
            </w:pPr>
          </w:p>
        </w:tc>
      </w:tr>
      <w:tr w:rsidR="00EB2BD8" w:rsidRPr="00EB2BD8" w14:paraId="5B54D8A9" w14:textId="77777777">
        <w:trPr>
          <w:trHeight w:val="311"/>
        </w:trPr>
        <w:tc>
          <w:tcPr>
            <w:tcW w:w="1035" w:type="dxa"/>
            <w:tcBorders>
              <w:top w:val="single" w:sz="2" w:space="0" w:color="000000"/>
            </w:tcBorders>
          </w:tcPr>
          <w:p w14:paraId="6FF478E9" w14:textId="77777777" w:rsidR="00084F36" w:rsidRPr="00EB2BD8" w:rsidRDefault="00EB2BD8">
            <w:pPr>
              <w:pStyle w:val="TableParagraph"/>
              <w:spacing w:before="116" w:line="175" w:lineRule="exact"/>
              <w:ind w:left="113"/>
              <w:rPr>
                <w:sz w:val="16"/>
              </w:rPr>
            </w:pPr>
            <w:r w:rsidRPr="00EB2BD8">
              <w:rPr>
                <w:w w:val="80"/>
                <w:sz w:val="16"/>
              </w:rPr>
              <w:t>2</w:t>
            </w:r>
          </w:p>
        </w:tc>
        <w:tc>
          <w:tcPr>
            <w:tcW w:w="7033" w:type="dxa"/>
            <w:tcBorders>
              <w:top w:val="single" w:sz="2" w:space="0" w:color="000000"/>
            </w:tcBorders>
          </w:tcPr>
          <w:p w14:paraId="10CF83F9" w14:textId="77777777" w:rsidR="00084F36" w:rsidRPr="00EB2BD8" w:rsidRDefault="00EB2BD8">
            <w:pPr>
              <w:pStyle w:val="TableParagraph"/>
              <w:spacing w:before="116" w:line="175" w:lineRule="exact"/>
              <w:ind w:left="117"/>
              <w:rPr>
                <w:sz w:val="16"/>
              </w:rPr>
            </w:pPr>
            <w:r w:rsidRPr="00EB2BD8">
              <w:rPr>
                <w:sz w:val="16"/>
              </w:rPr>
              <w:t>By</w:t>
            </w:r>
            <w:r w:rsidRPr="00EB2BD8">
              <w:rPr>
                <w:spacing w:val="-12"/>
                <w:sz w:val="16"/>
              </w:rPr>
              <w:t xml:space="preserve"> </w:t>
            </w:r>
            <w:r w:rsidRPr="00EB2BD8">
              <w:rPr>
                <w:sz w:val="16"/>
              </w:rPr>
              <w:t>June</w:t>
            </w:r>
            <w:r w:rsidRPr="00EB2BD8">
              <w:rPr>
                <w:spacing w:val="-11"/>
                <w:sz w:val="16"/>
              </w:rPr>
              <w:t xml:space="preserve"> </w:t>
            </w:r>
            <w:r w:rsidRPr="00EB2BD8">
              <w:rPr>
                <w:sz w:val="16"/>
              </w:rPr>
              <w:t>2023,</w:t>
            </w:r>
            <w:r w:rsidRPr="00EB2BD8">
              <w:rPr>
                <w:spacing w:val="-11"/>
                <w:sz w:val="16"/>
              </w:rPr>
              <w:t xml:space="preserve"> </w:t>
            </w:r>
            <w:r w:rsidRPr="00EB2BD8">
              <w:rPr>
                <w:sz w:val="16"/>
              </w:rPr>
              <w:t>deliver</w:t>
            </w:r>
            <w:r w:rsidRPr="00EB2BD8">
              <w:rPr>
                <w:spacing w:val="-12"/>
                <w:sz w:val="16"/>
              </w:rPr>
              <w:t xml:space="preserve"> </w:t>
            </w:r>
            <w:r w:rsidRPr="00EB2BD8">
              <w:rPr>
                <w:sz w:val="16"/>
              </w:rPr>
              <w:t>a</w:t>
            </w:r>
            <w:r w:rsidRPr="00EB2BD8">
              <w:rPr>
                <w:spacing w:val="-11"/>
                <w:sz w:val="16"/>
              </w:rPr>
              <w:t xml:space="preserve"> </w:t>
            </w:r>
            <w:r w:rsidRPr="00EB2BD8">
              <w:rPr>
                <w:sz w:val="16"/>
              </w:rPr>
              <w:t>secure</w:t>
            </w:r>
            <w:r w:rsidRPr="00EB2BD8">
              <w:rPr>
                <w:spacing w:val="-11"/>
                <w:sz w:val="16"/>
              </w:rPr>
              <w:t xml:space="preserve"> </w:t>
            </w:r>
            <w:r w:rsidRPr="00EB2BD8">
              <w:rPr>
                <w:sz w:val="16"/>
              </w:rPr>
              <w:t>online</w:t>
            </w:r>
            <w:r w:rsidRPr="00EB2BD8">
              <w:rPr>
                <w:spacing w:val="-11"/>
                <w:sz w:val="16"/>
              </w:rPr>
              <w:t xml:space="preserve"> </w:t>
            </w:r>
            <w:r w:rsidRPr="00EB2BD8">
              <w:rPr>
                <w:sz w:val="16"/>
              </w:rPr>
              <w:t>examination</w:t>
            </w:r>
            <w:r w:rsidRPr="00EB2BD8">
              <w:rPr>
                <w:spacing w:val="-12"/>
                <w:sz w:val="16"/>
              </w:rPr>
              <w:t xml:space="preserve"> </w:t>
            </w:r>
            <w:r w:rsidRPr="00EB2BD8">
              <w:rPr>
                <w:sz w:val="16"/>
              </w:rPr>
              <w:t>portal</w:t>
            </w:r>
            <w:r w:rsidRPr="00EB2BD8">
              <w:rPr>
                <w:spacing w:val="-11"/>
                <w:sz w:val="16"/>
              </w:rPr>
              <w:t xml:space="preserve"> </w:t>
            </w:r>
            <w:r w:rsidRPr="00EB2BD8">
              <w:rPr>
                <w:sz w:val="16"/>
              </w:rPr>
              <w:t>to</w:t>
            </w:r>
            <w:r w:rsidRPr="00EB2BD8">
              <w:rPr>
                <w:spacing w:val="-11"/>
                <w:sz w:val="16"/>
              </w:rPr>
              <w:t xml:space="preserve"> </w:t>
            </w:r>
            <w:r w:rsidRPr="00EB2BD8">
              <w:rPr>
                <w:sz w:val="16"/>
              </w:rPr>
              <w:t>enable</w:t>
            </w:r>
            <w:r w:rsidRPr="00EB2BD8">
              <w:rPr>
                <w:spacing w:val="-11"/>
                <w:sz w:val="16"/>
              </w:rPr>
              <w:t xml:space="preserve"> </w:t>
            </w:r>
            <w:r w:rsidRPr="00EB2BD8">
              <w:rPr>
                <w:sz w:val="16"/>
              </w:rPr>
              <w:t>practitioners</w:t>
            </w:r>
            <w:r w:rsidRPr="00EB2BD8">
              <w:rPr>
                <w:spacing w:val="-12"/>
                <w:sz w:val="16"/>
              </w:rPr>
              <w:t xml:space="preserve"> </w:t>
            </w:r>
            <w:r w:rsidRPr="00EB2BD8">
              <w:rPr>
                <w:spacing w:val="-5"/>
                <w:sz w:val="16"/>
              </w:rPr>
              <w:t>and</w:t>
            </w:r>
          </w:p>
        </w:tc>
        <w:tc>
          <w:tcPr>
            <w:tcW w:w="982" w:type="dxa"/>
            <w:tcBorders>
              <w:top w:val="single" w:sz="2" w:space="0" w:color="000000"/>
            </w:tcBorders>
          </w:tcPr>
          <w:p w14:paraId="0406AEB8" w14:textId="77777777" w:rsidR="00084F36" w:rsidRPr="00EB2BD8" w:rsidRDefault="00EB2BD8">
            <w:pPr>
              <w:pStyle w:val="TableParagraph"/>
              <w:spacing w:before="116" w:line="175" w:lineRule="exact"/>
              <w:ind w:right="110"/>
              <w:jc w:val="right"/>
              <w:rPr>
                <w:sz w:val="16"/>
              </w:rPr>
            </w:pPr>
            <w:r w:rsidRPr="00EB2BD8">
              <w:rPr>
                <w:spacing w:val="-2"/>
                <w:w w:val="105"/>
                <w:sz w:val="16"/>
              </w:rPr>
              <w:t>Partially</w:t>
            </w:r>
          </w:p>
        </w:tc>
        <w:tc>
          <w:tcPr>
            <w:tcW w:w="1416" w:type="dxa"/>
            <w:tcBorders>
              <w:top w:val="single" w:sz="2" w:space="0" w:color="000000"/>
            </w:tcBorders>
          </w:tcPr>
          <w:p w14:paraId="0F69725B" w14:textId="77777777" w:rsidR="00084F36" w:rsidRPr="00EB2BD8" w:rsidRDefault="00EB2BD8">
            <w:pPr>
              <w:pStyle w:val="TableParagraph"/>
              <w:spacing w:before="116" w:line="175" w:lineRule="exact"/>
              <w:ind w:right="109"/>
              <w:jc w:val="right"/>
              <w:rPr>
                <w:sz w:val="16"/>
              </w:rPr>
            </w:pPr>
            <w:r w:rsidRPr="00EB2BD8">
              <w:rPr>
                <w:w w:val="85"/>
                <w:sz w:val="16"/>
              </w:rPr>
              <w:t>41-</w:t>
            </w:r>
            <w:r w:rsidRPr="00EB2BD8">
              <w:rPr>
                <w:spacing w:val="-5"/>
                <w:sz w:val="16"/>
              </w:rPr>
              <w:t>42</w:t>
            </w:r>
          </w:p>
        </w:tc>
      </w:tr>
      <w:tr w:rsidR="00EB2BD8" w:rsidRPr="00EB2BD8" w14:paraId="5EF4F7B6" w14:textId="77777777">
        <w:trPr>
          <w:trHeight w:val="200"/>
        </w:trPr>
        <w:tc>
          <w:tcPr>
            <w:tcW w:w="1035" w:type="dxa"/>
          </w:tcPr>
          <w:p w14:paraId="6108AFCC" w14:textId="77777777" w:rsidR="00084F36" w:rsidRPr="00EB2BD8" w:rsidRDefault="00084F36">
            <w:pPr>
              <w:pStyle w:val="TableParagraph"/>
              <w:rPr>
                <w:rFonts w:ascii="Times New Roman"/>
                <w:sz w:val="12"/>
              </w:rPr>
            </w:pPr>
          </w:p>
        </w:tc>
        <w:tc>
          <w:tcPr>
            <w:tcW w:w="7033" w:type="dxa"/>
          </w:tcPr>
          <w:p w14:paraId="254D0E3C" w14:textId="77777777" w:rsidR="00084F36" w:rsidRPr="00EB2BD8" w:rsidRDefault="00EB2BD8">
            <w:pPr>
              <w:pStyle w:val="TableParagraph"/>
              <w:spacing w:before="4" w:line="175" w:lineRule="exact"/>
              <w:ind w:left="117"/>
              <w:rPr>
                <w:sz w:val="16"/>
              </w:rPr>
            </w:pPr>
            <w:r w:rsidRPr="00EB2BD8">
              <w:rPr>
                <w:spacing w:val="-2"/>
                <w:sz w:val="16"/>
              </w:rPr>
              <w:t>applicants</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do</w:t>
            </w:r>
            <w:r w:rsidRPr="00EB2BD8">
              <w:rPr>
                <w:spacing w:val="-6"/>
                <w:sz w:val="16"/>
              </w:rPr>
              <w:t xml:space="preserve"> </w:t>
            </w:r>
            <w:r w:rsidRPr="00EB2BD8">
              <w:rPr>
                <w:spacing w:val="-2"/>
                <w:sz w:val="16"/>
              </w:rPr>
              <w:t>desktop</w:t>
            </w:r>
            <w:r w:rsidRPr="00EB2BD8">
              <w:rPr>
                <w:spacing w:val="-5"/>
                <w:sz w:val="16"/>
              </w:rPr>
              <w:t xml:space="preserve"> </w:t>
            </w:r>
            <w:r w:rsidRPr="00EB2BD8">
              <w:rPr>
                <w:spacing w:val="-2"/>
                <w:sz w:val="16"/>
              </w:rPr>
              <w:t>exams</w:t>
            </w:r>
            <w:r w:rsidRPr="00EB2BD8">
              <w:rPr>
                <w:spacing w:val="-5"/>
                <w:sz w:val="16"/>
              </w:rPr>
              <w:t xml:space="preserve"> </w:t>
            </w:r>
            <w:r w:rsidRPr="00EB2BD8">
              <w:rPr>
                <w:spacing w:val="-2"/>
                <w:sz w:val="16"/>
              </w:rPr>
              <w:t>remotely.</w:t>
            </w:r>
            <w:r w:rsidRPr="00EB2BD8">
              <w:rPr>
                <w:spacing w:val="-6"/>
                <w:sz w:val="16"/>
              </w:rPr>
              <w:t xml:space="preserve"> </w:t>
            </w:r>
            <w:r w:rsidRPr="00EB2BD8">
              <w:rPr>
                <w:spacing w:val="-2"/>
                <w:sz w:val="16"/>
              </w:rPr>
              <w:t>Online</w:t>
            </w:r>
            <w:r w:rsidRPr="00EB2BD8">
              <w:rPr>
                <w:spacing w:val="-5"/>
                <w:sz w:val="16"/>
              </w:rPr>
              <w:t xml:space="preserve"> </w:t>
            </w:r>
            <w:r w:rsidRPr="00EB2BD8">
              <w:rPr>
                <w:spacing w:val="-2"/>
                <w:sz w:val="16"/>
              </w:rPr>
              <w:t>exams</w:t>
            </w:r>
            <w:r w:rsidRPr="00EB2BD8">
              <w:rPr>
                <w:spacing w:val="-6"/>
                <w:sz w:val="16"/>
              </w:rPr>
              <w:t xml:space="preserve"> </w:t>
            </w:r>
            <w:r w:rsidRPr="00EB2BD8">
              <w:rPr>
                <w:spacing w:val="-2"/>
                <w:sz w:val="16"/>
              </w:rPr>
              <w:t>for</w:t>
            </w:r>
            <w:r w:rsidRPr="00EB2BD8">
              <w:rPr>
                <w:spacing w:val="-5"/>
                <w:sz w:val="16"/>
              </w:rPr>
              <w:t xml:space="preserve"> </w:t>
            </w:r>
            <w:r w:rsidRPr="00EB2BD8">
              <w:rPr>
                <w:spacing w:val="-2"/>
                <w:sz w:val="16"/>
              </w:rPr>
              <w:t>all</w:t>
            </w:r>
            <w:r w:rsidRPr="00EB2BD8">
              <w:rPr>
                <w:spacing w:val="-5"/>
                <w:sz w:val="16"/>
              </w:rPr>
              <w:t xml:space="preserve"> </w:t>
            </w:r>
            <w:r w:rsidRPr="00EB2BD8">
              <w:rPr>
                <w:spacing w:val="-2"/>
                <w:sz w:val="16"/>
              </w:rPr>
              <w:t>relevant</w:t>
            </w:r>
            <w:r w:rsidRPr="00EB2BD8">
              <w:rPr>
                <w:spacing w:val="-6"/>
                <w:sz w:val="16"/>
              </w:rPr>
              <w:t xml:space="preserve"> </w:t>
            </w:r>
            <w:r w:rsidRPr="00EB2BD8">
              <w:rPr>
                <w:spacing w:val="-2"/>
                <w:sz w:val="16"/>
              </w:rPr>
              <w:t>building</w:t>
            </w:r>
            <w:r w:rsidRPr="00EB2BD8">
              <w:rPr>
                <w:spacing w:val="-5"/>
                <w:sz w:val="16"/>
              </w:rPr>
              <w:t xml:space="preserve"> and</w:t>
            </w:r>
          </w:p>
        </w:tc>
        <w:tc>
          <w:tcPr>
            <w:tcW w:w="982" w:type="dxa"/>
          </w:tcPr>
          <w:p w14:paraId="1827E792" w14:textId="77777777" w:rsidR="00084F36" w:rsidRPr="00EB2BD8" w:rsidRDefault="00EB2BD8">
            <w:pPr>
              <w:pStyle w:val="TableParagraph"/>
              <w:spacing w:before="4" w:line="175" w:lineRule="exact"/>
              <w:ind w:left="149"/>
              <w:rPr>
                <w:sz w:val="16"/>
              </w:rPr>
            </w:pPr>
            <w:r w:rsidRPr="00EB2BD8">
              <w:rPr>
                <w:spacing w:val="-2"/>
                <w:sz w:val="16"/>
              </w:rPr>
              <w:t>complete</w:t>
            </w:r>
          </w:p>
        </w:tc>
        <w:tc>
          <w:tcPr>
            <w:tcW w:w="1416" w:type="dxa"/>
          </w:tcPr>
          <w:p w14:paraId="4DEB825D" w14:textId="77777777" w:rsidR="00084F36" w:rsidRPr="00EB2BD8" w:rsidRDefault="00084F36">
            <w:pPr>
              <w:pStyle w:val="TableParagraph"/>
              <w:rPr>
                <w:rFonts w:ascii="Times New Roman"/>
                <w:sz w:val="12"/>
              </w:rPr>
            </w:pPr>
          </w:p>
        </w:tc>
      </w:tr>
      <w:tr w:rsidR="00EB2BD8" w:rsidRPr="00EB2BD8" w14:paraId="30A315CA" w14:textId="77777777">
        <w:trPr>
          <w:trHeight w:val="270"/>
        </w:trPr>
        <w:tc>
          <w:tcPr>
            <w:tcW w:w="1035" w:type="dxa"/>
            <w:tcBorders>
              <w:bottom w:val="single" w:sz="2" w:space="0" w:color="000000"/>
            </w:tcBorders>
          </w:tcPr>
          <w:p w14:paraId="76CFD75B" w14:textId="77777777" w:rsidR="00084F36" w:rsidRPr="00EB2BD8" w:rsidRDefault="00084F36">
            <w:pPr>
              <w:pStyle w:val="TableParagraph"/>
              <w:rPr>
                <w:rFonts w:ascii="Times New Roman"/>
                <w:sz w:val="16"/>
              </w:rPr>
            </w:pPr>
          </w:p>
        </w:tc>
        <w:tc>
          <w:tcPr>
            <w:tcW w:w="7033" w:type="dxa"/>
            <w:tcBorders>
              <w:bottom w:val="single" w:sz="2" w:space="0" w:color="000000"/>
            </w:tcBorders>
          </w:tcPr>
          <w:p w14:paraId="1E85C0E3" w14:textId="77777777" w:rsidR="00084F36" w:rsidRPr="00EB2BD8" w:rsidRDefault="00EB2BD8">
            <w:pPr>
              <w:pStyle w:val="TableParagraph"/>
              <w:spacing w:before="4"/>
              <w:ind w:left="117"/>
              <w:rPr>
                <w:sz w:val="16"/>
              </w:rPr>
            </w:pPr>
            <w:r w:rsidRPr="00EB2BD8">
              <w:rPr>
                <w:sz w:val="16"/>
              </w:rPr>
              <w:t>plumbing</w:t>
            </w:r>
            <w:r w:rsidRPr="00EB2BD8">
              <w:rPr>
                <w:spacing w:val="-6"/>
                <w:sz w:val="16"/>
              </w:rPr>
              <w:t xml:space="preserve"> </w:t>
            </w:r>
            <w:r w:rsidRPr="00EB2BD8">
              <w:rPr>
                <w:sz w:val="16"/>
              </w:rPr>
              <w:t>assessments</w:t>
            </w:r>
            <w:r w:rsidRPr="00EB2BD8">
              <w:rPr>
                <w:spacing w:val="-5"/>
                <w:sz w:val="16"/>
              </w:rPr>
              <w:t xml:space="preserve"> </w:t>
            </w:r>
            <w:r w:rsidRPr="00EB2BD8">
              <w:rPr>
                <w:sz w:val="16"/>
              </w:rPr>
              <w:t>delivered</w:t>
            </w:r>
            <w:r w:rsidRPr="00EB2BD8">
              <w:rPr>
                <w:spacing w:val="-5"/>
                <w:sz w:val="16"/>
              </w:rPr>
              <w:t xml:space="preserve"> </w:t>
            </w:r>
            <w:r w:rsidRPr="00EB2BD8">
              <w:rPr>
                <w:sz w:val="16"/>
              </w:rPr>
              <w:t>by</w:t>
            </w:r>
            <w:r w:rsidRPr="00EB2BD8">
              <w:rPr>
                <w:spacing w:val="-5"/>
                <w:sz w:val="16"/>
              </w:rPr>
              <w:t xml:space="preserve"> </w:t>
            </w:r>
            <w:r w:rsidRPr="00EB2BD8">
              <w:rPr>
                <w:sz w:val="16"/>
              </w:rPr>
              <w:t>30</w:t>
            </w:r>
            <w:r w:rsidRPr="00EB2BD8">
              <w:rPr>
                <w:spacing w:val="-5"/>
                <w:sz w:val="16"/>
              </w:rPr>
              <w:t xml:space="preserve"> </w:t>
            </w:r>
            <w:r w:rsidRPr="00EB2BD8">
              <w:rPr>
                <w:sz w:val="16"/>
              </w:rPr>
              <w:t>June</w:t>
            </w:r>
            <w:r w:rsidRPr="00EB2BD8">
              <w:rPr>
                <w:spacing w:val="-5"/>
                <w:sz w:val="16"/>
              </w:rPr>
              <w:t xml:space="preserve"> </w:t>
            </w:r>
            <w:r w:rsidRPr="00EB2BD8">
              <w:rPr>
                <w:spacing w:val="-4"/>
                <w:sz w:val="16"/>
              </w:rPr>
              <w:t>2022.</w:t>
            </w:r>
          </w:p>
        </w:tc>
        <w:tc>
          <w:tcPr>
            <w:tcW w:w="982" w:type="dxa"/>
            <w:tcBorders>
              <w:bottom w:val="single" w:sz="2" w:space="0" w:color="000000"/>
            </w:tcBorders>
          </w:tcPr>
          <w:p w14:paraId="0C457DA3" w14:textId="77777777" w:rsidR="00084F36" w:rsidRPr="00EB2BD8" w:rsidRDefault="00084F36">
            <w:pPr>
              <w:pStyle w:val="TableParagraph"/>
              <w:rPr>
                <w:rFonts w:ascii="Times New Roman"/>
                <w:sz w:val="16"/>
              </w:rPr>
            </w:pPr>
          </w:p>
        </w:tc>
        <w:tc>
          <w:tcPr>
            <w:tcW w:w="1416" w:type="dxa"/>
            <w:tcBorders>
              <w:bottom w:val="single" w:sz="2" w:space="0" w:color="000000"/>
            </w:tcBorders>
          </w:tcPr>
          <w:p w14:paraId="60F1A064" w14:textId="77777777" w:rsidR="00084F36" w:rsidRPr="00EB2BD8" w:rsidRDefault="00084F36">
            <w:pPr>
              <w:pStyle w:val="TableParagraph"/>
              <w:rPr>
                <w:rFonts w:ascii="Times New Roman"/>
                <w:sz w:val="16"/>
              </w:rPr>
            </w:pPr>
          </w:p>
        </w:tc>
      </w:tr>
      <w:tr w:rsidR="00EB2BD8" w:rsidRPr="00EB2BD8" w14:paraId="14142360" w14:textId="77777777">
        <w:trPr>
          <w:trHeight w:val="311"/>
        </w:trPr>
        <w:tc>
          <w:tcPr>
            <w:tcW w:w="1035" w:type="dxa"/>
            <w:tcBorders>
              <w:top w:val="single" w:sz="2" w:space="0" w:color="000000"/>
            </w:tcBorders>
          </w:tcPr>
          <w:p w14:paraId="7B87AAB7" w14:textId="77777777" w:rsidR="00084F36" w:rsidRPr="00EB2BD8" w:rsidRDefault="00EB2BD8">
            <w:pPr>
              <w:pStyle w:val="TableParagraph"/>
              <w:spacing w:before="116" w:line="175" w:lineRule="exact"/>
              <w:ind w:left="113"/>
              <w:rPr>
                <w:sz w:val="16"/>
              </w:rPr>
            </w:pPr>
            <w:r w:rsidRPr="00EB2BD8">
              <w:rPr>
                <w:w w:val="93"/>
                <w:sz w:val="16"/>
              </w:rPr>
              <w:t>3</w:t>
            </w:r>
          </w:p>
        </w:tc>
        <w:tc>
          <w:tcPr>
            <w:tcW w:w="7033" w:type="dxa"/>
            <w:tcBorders>
              <w:top w:val="single" w:sz="2" w:space="0" w:color="000000"/>
            </w:tcBorders>
          </w:tcPr>
          <w:p w14:paraId="1EAD217F" w14:textId="77777777" w:rsidR="00084F36" w:rsidRPr="00EB2BD8" w:rsidRDefault="00EB2BD8">
            <w:pPr>
              <w:pStyle w:val="TableParagraph"/>
              <w:spacing w:before="116" w:line="175" w:lineRule="exact"/>
              <w:ind w:left="117"/>
              <w:rPr>
                <w:sz w:val="16"/>
              </w:rPr>
            </w:pPr>
            <w:r w:rsidRPr="00EB2BD8">
              <w:rPr>
                <w:sz w:val="16"/>
              </w:rPr>
              <w:t>By</w:t>
            </w:r>
            <w:r w:rsidRPr="00EB2BD8">
              <w:rPr>
                <w:spacing w:val="-11"/>
                <w:sz w:val="16"/>
              </w:rPr>
              <w:t xml:space="preserve"> </w:t>
            </w:r>
            <w:r w:rsidRPr="00EB2BD8">
              <w:rPr>
                <w:sz w:val="16"/>
              </w:rPr>
              <w:t>June</w:t>
            </w:r>
            <w:r w:rsidRPr="00EB2BD8">
              <w:rPr>
                <w:spacing w:val="-10"/>
                <w:sz w:val="16"/>
              </w:rPr>
              <w:t xml:space="preserve"> </w:t>
            </w:r>
            <w:r w:rsidRPr="00EB2BD8">
              <w:rPr>
                <w:sz w:val="16"/>
              </w:rPr>
              <w:t>2023,</w:t>
            </w:r>
            <w:r w:rsidRPr="00EB2BD8">
              <w:rPr>
                <w:spacing w:val="-10"/>
                <w:sz w:val="16"/>
              </w:rPr>
              <w:t xml:space="preserve"> </w:t>
            </w:r>
            <w:r w:rsidRPr="00EB2BD8">
              <w:rPr>
                <w:sz w:val="16"/>
              </w:rPr>
              <w:t>enhance</w:t>
            </w:r>
            <w:r w:rsidRPr="00EB2BD8">
              <w:rPr>
                <w:spacing w:val="-10"/>
                <w:sz w:val="16"/>
              </w:rPr>
              <w:t xml:space="preserve"> </w:t>
            </w:r>
            <w:r w:rsidRPr="00EB2BD8">
              <w:rPr>
                <w:sz w:val="16"/>
              </w:rPr>
              <w:t>the</w:t>
            </w:r>
            <w:r w:rsidRPr="00EB2BD8">
              <w:rPr>
                <w:spacing w:val="-10"/>
                <w:sz w:val="16"/>
              </w:rPr>
              <w:t xml:space="preserve"> </w:t>
            </w:r>
            <w:r w:rsidRPr="00EB2BD8">
              <w:rPr>
                <w:sz w:val="16"/>
              </w:rPr>
              <w:t>digital</w:t>
            </w:r>
            <w:r w:rsidRPr="00EB2BD8">
              <w:rPr>
                <w:spacing w:val="-10"/>
                <w:sz w:val="16"/>
              </w:rPr>
              <w:t xml:space="preserve"> </w:t>
            </w:r>
            <w:r w:rsidRPr="00EB2BD8">
              <w:rPr>
                <w:sz w:val="16"/>
              </w:rPr>
              <w:t>experiences</w:t>
            </w:r>
            <w:r w:rsidRPr="00EB2BD8">
              <w:rPr>
                <w:spacing w:val="-10"/>
                <w:sz w:val="16"/>
              </w:rPr>
              <w:t xml:space="preserve"> </w:t>
            </w:r>
            <w:r w:rsidRPr="00EB2BD8">
              <w:rPr>
                <w:sz w:val="16"/>
              </w:rPr>
              <w:t>of</w:t>
            </w:r>
            <w:r w:rsidRPr="00EB2BD8">
              <w:rPr>
                <w:spacing w:val="-10"/>
                <w:sz w:val="16"/>
              </w:rPr>
              <w:t xml:space="preserve"> </w:t>
            </w:r>
            <w:r w:rsidRPr="00EB2BD8">
              <w:rPr>
                <w:sz w:val="16"/>
              </w:rPr>
              <w:t>practitioners</w:t>
            </w:r>
            <w:r w:rsidRPr="00EB2BD8">
              <w:rPr>
                <w:spacing w:val="-10"/>
                <w:sz w:val="16"/>
              </w:rPr>
              <w:t xml:space="preserve"> </w:t>
            </w:r>
            <w:r w:rsidRPr="00EB2BD8">
              <w:rPr>
                <w:sz w:val="16"/>
              </w:rPr>
              <w:t>and</w:t>
            </w:r>
            <w:r w:rsidRPr="00EB2BD8">
              <w:rPr>
                <w:spacing w:val="-10"/>
                <w:sz w:val="16"/>
              </w:rPr>
              <w:t xml:space="preserve"> </w:t>
            </w:r>
            <w:r w:rsidRPr="00EB2BD8">
              <w:rPr>
                <w:sz w:val="16"/>
              </w:rPr>
              <w:t>consumers</w:t>
            </w:r>
            <w:r w:rsidRPr="00EB2BD8">
              <w:rPr>
                <w:spacing w:val="-11"/>
                <w:sz w:val="16"/>
              </w:rPr>
              <w:t xml:space="preserve"> </w:t>
            </w:r>
            <w:r w:rsidRPr="00EB2BD8">
              <w:rPr>
                <w:spacing w:val="-5"/>
                <w:sz w:val="16"/>
              </w:rPr>
              <w:t>by</w:t>
            </w:r>
          </w:p>
        </w:tc>
        <w:tc>
          <w:tcPr>
            <w:tcW w:w="982" w:type="dxa"/>
            <w:tcBorders>
              <w:top w:val="single" w:sz="2" w:space="0" w:color="000000"/>
            </w:tcBorders>
          </w:tcPr>
          <w:p w14:paraId="72EAD814" w14:textId="77777777" w:rsidR="00084F36" w:rsidRPr="00EB2BD8" w:rsidRDefault="00EB2BD8">
            <w:pPr>
              <w:pStyle w:val="TableParagraph"/>
              <w:spacing w:before="116" w:line="175" w:lineRule="exact"/>
              <w:ind w:right="110"/>
              <w:jc w:val="right"/>
              <w:rPr>
                <w:sz w:val="16"/>
              </w:rPr>
            </w:pPr>
            <w:r w:rsidRPr="00EB2BD8">
              <w:rPr>
                <w:spacing w:val="-2"/>
                <w:w w:val="105"/>
                <w:sz w:val="16"/>
              </w:rPr>
              <w:t>Partially</w:t>
            </w:r>
          </w:p>
        </w:tc>
        <w:tc>
          <w:tcPr>
            <w:tcW w:w="1416" w:type="dxa"/>
            <w:tcBorders>
              <w:top w:val="single" w:sz="2" w:space="0" w:color="000000"/>
            </w:tcBorders>
          </w:tcPr>
          <w:p w14:paraId="36707A64" w14:textId="77777777" w:rsidR="00084F36" w:rsidRPr="00EB2BD8" w:rsidRDefault="00EB2BD8">
            <w:pPr>
              <w:pStyle w:val="TableParagraph"/>
              <w:spacing w:before="116" w:line="175" w:lineRule="exact"/>
              <w:ind w:right="109"/>
              <w:jc w:val="right"/>
              <w:rPr>
                <w:sz w:val="16"/>
              </w:rPr>
            </w:pPr>
            <w:r w:rsidRPr="00EB2BD8">
              <w:rPr>
                <w:w w:val="80"/>
                <w:sz w:val="16"/>
              </w:rPr>
              <w:t>42,</w:t>
            </w:r>
            <w:r w:rsidRPr="00EB2BD8">
              <w:rPr>
                <w:spacing w:val="-3"/>
                <w:sz w:val="16"/>
              </w:rPr>
              <w:t xml:space="preserve"> </w:t>
            </w:r>
            <w:r w:rsidRPr="00EB2BD8">
              <w:rPr>
                <w:spacing w:val="-5"/>
                <w:w w:val="95"/>
                <w:sz w:val="16"/>
              </w:rPr>
              <w:t>53</w:t>
            </w:r>
          </w:p>
        </w:tc>
      </w:tr>
      <w:tr w:rsidR="00EB2BD8" w:rsidRPr="00EB2BD8" w14:paraId="602DFECD" w14:textId="77777777">
        <w:trPr>
          <w:trHeight w:val="200"/>
        </w:trPr>
        <w:tc>
          <w:tcPr>
            <w:tcW w:w="1035" w:type="dxa"/>
          </w:tcPr>
          <w:p w14:paraId="639DD391" w14:textId="77777777" w:rsidR="00084F36" w:rsidRPr="00EB2BD8" w:rsidRDefault="00084F36">
            <w:pPr>
              <w:pStyle w:val="TableParagraph"/>
              <w:rPr>
                <w:rFonts w:ascii="Times New Roman"/>
                <w:sz w:val="12"/>
              </w:rPr>
            </w:pPr>
          </w:p>
        </w:tc>
        <w:tc>
          <w:tcPr>
            <w:tcW w:w="7033" w:type="dxa"/>
          </w:tcPr>
          <w:p w14:paraId="38CA5CA2" w14:textId="77777777" w:rsidR="00084F36" w:rsidRPr="00EB2BD8" w:rsidRDefault="00EB2BD8">
            <w:pPr>
              <w:pStyle w:val="TableParagraph"/>
              <w:spacing w:before="4" w:line="175" w:lineRule="exact"/>
              <w:ind w:left="117"/>
              <w:rPr>
                <w:sz w:val="16"/>
              </w:rPr>
            </w:pPr>
            <w:r w:rsidRPr="00EB2BD8">
              <w:rPr>
                <w:spacing w:val="-2"/>
                <w:sz w:val="16"/>
              </w:rPr>
              <w:t>progressing VBA's digital transformation</w:t>
            </w:r>
            <w:r w:rsidRPr="00EB2BD8">
              <w:rPr>
                <w:spacing w:val="-1"/>
                <w:sz w:val="16"/>
              </w:rPr>
              <w:t xml:space="preserve"> </w:t>
            </w:r>
            <w:r w:rsidRPr="00EB2BD8">
              <w:rPr>
                <w:spacing w:val="-2"/>
                <w:sz w:val="16"/>
              </w:rPr>
              <w:t>of regulatory processes and</w:t>
            </w:r>
            <w:r w:rsidRPr="00EB2BD8">
              <w:rPr>
                <w:spacing w:val="-1"/>
                <w:sz w:val="16"/>
              </w:rPr>
              <w:t xml:space="preserve"> </w:t>
            </w:r>
            <w:r w:rsidRPr="00EB2BD8">
              <w:rPr>
                <w:spacing w:val="-2"/>
                <w:sz w:val="16"/>
              </w:rPr>
              <w:t>online interfaces.</w:t>
            </w:r>
          </w:p>
        </w:tc>
        <w:tc>
          <w:tcPr>
            <w:tcW w:w="982" w:type="dxa"/>
          </w:tcPr>
          <w:p w14:paraId="46508F76" w14:textId="77777777" w:rsidR="00084F36" w:rsidRPr="00EB2BD8" w:rsidRDefault="00EB2BD8">
            <w:pPr>
              <w:pStyle w:val="TableParagraph"/>
              <w:spacing w:before="4" w:line="175" w:lineRule="exact"/>
              <w:ind w:left="149"/>
              <w:rPr>
                <w:sz w:val="16"/>
              </w:rPr>
            </w:pPr>
            <w:r w:rsidRPr="00EB2BD8">
              <w:rPr>
                <w:spacing w:val="-2"/>
                <w:sz w:val="16"/>
              </w:rPr>
              <w:t>complete</w:t>
            </w:r>
          </w:p>
        </w:tc>
        <w:tc>
          <w:tcPr>
            <w:tcW w:w="1416" w:type="dxa"/>
          </w:tcPr>
          <w:p w14:paraId="1B9C8F31" w14:textId="77777777" w:rsidR="00084F36" w:rsidRPr="00EB2BD8" w:rsidRDefault="00084F36">
            <w:pPr>
              <w:pStyle w:val="TableParagraph"/>
              <w:rPr>
                <w:rFonts w:ascii="Times New Roman"/>
                <w:sz w:val="12"/>
              </w:rPr>
            </w:pPr>
          </w:p>
        </w:tc>
      </w:tr>
      <w:tr w:rsidR="00EB2BD8" w:rsidRPr="00EB2BD8" w14:paraId="04BD34F4" w14:textId="77777777">
        <w:trPr>
          <w:trHeight w:val="200"/>
        </w:trPr>
        <w:tc>
          <w:tcPr>
            <w:tcW w:w="1035" w:type="dxa"/>
          </w:tcPr>
          <w:p w14:paraId="5F94DA8F" w14:textId="77777777" w:rsidR="00084F36" w:rsidRPr="00EB2BD8" w:rsidRDefault="00084F36">
            <w:pPr>
              <w:pStyle w:val="TableParagraph"/>
              <w:rPr>
                <w:rFonts w:ascii="Times New Roman"/>
                <w:sz w:val="12"/>
              </w:rPr>
            </w:pPr>
          </w:p>
        </w:tc>
        <w:tc>
          <w:tcPr>
            <w:tcW w:w="7033" w:type="dxa"/>
          </w:tcPr>
          <w:p w14:paraId="6C9182DA" w14:textId="77777777" w:rsidR="00084F36" w:rsidRPr="00EB2BD8" w:rsidRDefault="00EB2BD8">
            <w:pPr>
              <w:pStyle w:val="TableParagraph"/>
              <w:spacing w:before="4" w:line="175" w:lineRule="exact"/>
              <w:ind w:left="117"/>
              <w:rPr>
                <w:sz w:val="16"/>
              </w:rPr>
            </w:pPr>
            <w:r w:rsidRPr="00EB2BD8">
              <w:rPr>
                <w:spacing w:val="-2"/>
                <w:sz w:val="16"/>
              </w:rPr>
              <w:t>The progress indicators</w:t>
            </w:r>
            <w:r w:rsidRPr="00EB2BD8">
              <w:rPr>
                <w:spacing w:val="-1"/>
                <w:sz w:val="16"/>
              </w:rPr>
              <w:t xml:space="preserve"> </w:t>
            </w:r>
            <w:r w:rsidRPr="00EB2BD8">
              <w:rPr>
                <w:spacing w:val="-4"/>
                <w:sz w:val="16"/>
              </w:rPr>
              <w:t>are:</w:t>
            </w:r>
          </w:p>
        </w:tc>
        <w:tc>
          <w:tcPr>
            <w:tcW w:w="982" w:type="dxa"/>
          </w:tcPr>
          <w:p w14:paraId="2555DC68" w14:textId="77777777" w:rsidR="00084F36" w:rsidRPr="00EB2BD8" w:rsidRDefault="00084F36">
            <w:pPr>
              <w:pStyle w:val="TableParagraph"/>
              <w:rPr>
                <w:rFonts w:ascii="Times New Roman"/>
                <w:sz w:val="12"/>
              </w:rPr>
            </w:pPr>
          </w:p>
        </w:tc>
        <w:tc>
          <w:tcPr>
            <w:tcW w:w="1416" w:type="dxa"/>
          </w:tcPr>
          <w:p w14:paraId="69F55B51" w14:textId="77777777" w:rsidR="00084F36" w:rsidRPr="00EB2BD8" w:rsidRDefault="00084F36">
            <w:pPr>
              <w:pStyle w:val="TableParagraph"/>
              <w:rPr>
                <w:rFonts w:ascii="Times New Roman"/>
                <w:sz w:val="12"/>
              </w:rPr>
            </w:pPr>
          </w:p>
        </w:tc>
      </w:tr>
      <w:tr w:rsidR="00EB2BD8" w:rsidRPr="00EB2BD8" w14:paraId="40824129" w14:textId="77777777">
        <w:trPr>
          <w:trHeight w:val="190"/>
        </w:trPr>
        <w:tc>
          <w:tcPr>
            <w:tcW w:w="1035" w:type="dxa"/>
          </w:tcPr>
          <w:p w14:paraId="69A53826" w14:textId="77777777" w:rsidR="00084F36" w:rsidRPr="00EB2BD8" w:rsidRDefault="00084F36">
            <w:pPr>
              <w:pStyle w:val="TableParagraph"/>
              <w:rPr>
                <w:rFonts w:ascii="Times New Roman"/>
                <w:sz w:val="12"/>
              </w:rPr>
            </w:pPr>
          </w:p>
        </w:tc>
        <w:tc>
          <w:tcPr>
            <w:tcW w:w="7033" w:type="dxa"/>
          </w:tcPr>
          <w:p w14:paraId="0267FCE6" w14:textId="77777777" w:rsidR="00084F36" w:rsidRPr="00EB2BD8" w:rsidRDefault="00EB2BD8">
            <w:pPr>
              <w:pStyle w:val="TableParagraph"/>
              <w:numPr>
                <w:ilvl w:val="0"/>
                <w:numId w:val="21"/>
              </w:numPr>
              <w:tabs>
                <w:tab w:val="left" w:pos="400"/>
              </w:tabs>
              <w:spacing w:before="4" w:line="166" w:lineRule="exact"/>
              <w:ind w:hanging="283"/>
              <w:rPr>
                <w:sz w:val="16"/>
              </w:rPr>
            </w:pPr>
            <w:r w:rsidRPr="00EB2BD8">
              <w:rPr>
                <w:sz w:val="16"/>
              </w:rPr>
              <w:t>Practitioner</w:t>
            </w:r>
            <w:r w:rsidRPr="00EB2BD8">
              <w:rPr>
                <w:spacing w:val="-9"/>
                <w:sz w:val="16"/>
              </w:rPr>
              <w:t xml:space="preserve"> </w:t>
            </w:r>
            <w:r w:rsidRPr="00EB2BD8">
              <w:rPr>
                <w:sz w:val="16"/>
              </w:rPr>
              <w:t>and</w:t>
            </w:r>
            <w:r w:rsidRPr="00EB2BD8">
              <w:rPr>
                <w:spacing w:val="-8"/>
                <w:sz w:val="16"/>
              </w:rPr>
              <w:t xml:space="preserve"> </w:t>
            </w:r>
            <w:r w:rsidRPr="00EB2BD8">
              <w:rPr>
                <w:sz w:val="16"/>
              </w:rPr>
              <w:t>customer</w:t>
            </w:r>
            <w:r w:rsidRPr="00EB2BD8">
              <w:rPr>
                <w:spacing w:val="-8"/>
                <w:sz w:val="16"/>
              </w:rPr>
              <w:t xml:space="preserve"> </w:t>
            </w:r>
            <w:r w:rsidRPr="00EB2BD8">
              <w:rPr>
                <w:sz w:val="16"/>
              </w:rPr>
              <w:t>online</w:t>
            </w:r>
            <w:r w:rsidRPr="00EB2BD8">
              <w:rPr>
                <w:spacing w:val="-8"/>
                <w:sz w:val="16"/>
              </w:rPr>
              <w:t xml:space="preserve"> </w:t>
            </w:r>
            <w:r w:rsidRPr="00EB2BD8">
              <w:rPr>
                <w:sz w:val="16"/>
              </w:rPr>
              <w:t>interactions</w:t>
            </w:r>
            <w:r w:rsidRPr="00EB2BD8">
              <w:rPr>
                <w:spacing w:val="-8"/>
                <w:sz w:val="16"/>
              </w:rPr>
              <w:t xml:space="preserve"> </w:t>
            </w:r>
            <w:r w:rsidRPr="00EB2BD8">
              <w:rPr>
                <w:sz w:val="16"/>
              </w:rPr>
              <w:t>increasing</w:t>
            </w:r>
            <w:r w:rsidRPr="00EB2BD8">
              <w:rPr>
                <w:spacing w:val="-8"/>
                <w:sz w:val="16"/>
              </w:rPr>
              <w:t xml:space="preserve"> </w:t>
            </w:r>
            <w:r w:rsidRPr="00EB2BD8">
              <w:rPr>
                <w:sz w:val="16"/>
              </w:rPr>
              <w:t>10</w:t>
            </w:r>
            <w:r w:rsidRPr="00EB2BD8">
              <w:rPr>
                <w:spacing w:val="-8"/>
                <w:sz w:val="16"/>
              </w:rPr>
              <w:t xml:space="preserve"> </w:t>
            </w:r>
            <w:r w:rsidRPr="00EB2BD8">
              <w:rPr>
                <w:sz w:val="16"/>
              </w:rPr>
              <w:t>per</w:t>
            </w:r>
            <w:r w:rsidRPr="00EB2BD8">
              <w:rPr>
                <w:spacing w:val="-8"/>
                <w:sz w:val="16"/>
              </w:rPr>
              <w:t xml:space="preserve"> </w:t>
            </w:r>
            <w:r w:rsidRPr="00EB2BD8">
              <w:rPr>
                <w:sz w:val="16"/>
              </w:rPr>
              <w:t>cent</w:t>
            </w:r>
            <w:r w:rsidRPr="00EB2BD8">
              <w:rPr>
                <w:spacing w:val="-9"/>
                <w:sz w:val="16"/>
              </w:rPr>
              <w:t xml:space="preserve"> </w:t>
            </w:r>
            <w:r w:rsidRPr="00EB2BD8">
              <w:rPr>
                <w:sz w:val="16"/>
              </w:rPr>
              <w:t>annually,</w:t>
            </w:r>
            <w:r w:rsidRPr="00EB2BD8">
              <w:rPr>
                <w:spacing w:val="-8"/>
                <w:sz w:val="16"/>
              </w:rPr>
              <w:t xml:space="preserve"> </w:t>
            </w:r>
            <w:r w:rsidRPr="00EB2BD8">
              <w:rPr>
                <w:sz w:val="16"/>
              </w:rPr>
              <w:t>with</w:t>
            </w:r>
            <w:r w:rsidRPr="00EB2BD8">
              <w:rPr>
                <w:spacing w:val="-8"/>
                <w:sz w:val="16"/>
              </w:rPr>
              <w:t xml:space="preserve"> </w:t>
            </w:r>
            <w:r w:rsidRPr="00EB2BD8">
              <w:rPr>
                <w:spacing w:val="-10"/>
                <w:sz w:val="16"/>
              </w:rPr>
              <w:t>a</w:t>
            </w:r>
          </w:p>
        </w:tc>
        <w:tc>
          <w:tcPr>
            <w:tcW w:w="982" w:type="dxa"/>
          </w:tcPr>
          <w:p w14:paraId="6A5DB707" w14:textId="77777777" w:rsidR="00084F36" w:rsidRPr="00EB2BD8" w:rsidRDefault="00084F36">
            <w:pPr>
              <w:pStyle w:val="TableParagraph"/>
              <w:rPr>
                <w:rFonts w:ascii="Times New Roman"/>
                <w:sz w:val="12"/>
              </w:rPr>
            </w:pPr>
          </w:p>
        </w:tc>
        <w:tc>
          <w:tcPr>
            <w:tcW w:w="1416" w:type="dxa"/>
          </w:tcPr>
          <w:p w14:paraId="28437F95" w14:textId="77777777" w:rsidR="00084F36" w:rsidRPr="00EB2BD8" w:rsidRDefault="00084F36">
            <w:pPr>
              <w:pStyle w:val="TableParagraph"/>
              <w:rPr>
                <w:rFonts w:ascii="Times New Roman"/>
                <w:sz w:val="12"/>
              </w:rPr>
            </w:pPr>
          </w:p>
        </w:tc>
      </w:tr>
    </w:tbl>
    <w:p w14:paraId="600A870D" w14:textId="77777777" w:rsidR="00084F36" w:rsidRPr="00EB2BD8" w:rsidRDefault="00EB2BD8">
      <w:pPr>
        <w:spacing w:before="17"/>
        <w:ind w:left="2286"/>
        <w:rPr>
          <w:sz w:val="16"/>
        </w:rPr>
      </w:pPr>
      <w:r w:rsidRPr="00EB2BD8">
        <w:rPr>
          <w:sz w:val="16"/>
        </w:rPr>
        <w:t>baseline</w:t>
      </w:r>
      <w:r w:rsidRPr="00EB2BD8">
        <w:rPr>
          <w:spacing w:val="8"/>
          <w:sz w:val="16"/>
        </w:rPr>
        <w:t xml:space="preserve"> </w:t>
      </w:r>
      <w:r w:rsidRPr="00EB2BD8">
        <w:rPr>
          <w:sz w:val="16"/>
        </w:rPr>
        <w:t>established</w:t>
      </w:r>
      <w:r w:rsidRPr="00EB2BD8">
        <w:rPr>
          <w:spacing w:val="10"/>
          <w:sz w:val="16"/>
        </w:rPr>
        <w:t xml:space="preserve"> </w:t>
      </w:r>
      <w:r w:rsidRPr="00EB2BD8">
        <w:rPr>
          <w:sz w:val="16"/>
        </w:rPr>
        <w:t>by</w:t>
      </w:r>
      <w:r w:rsidRPr="00EB2BD8">
        <w:rPr>
          <w:spacing w:val="10"/>
          <w:sz w:val="16"/>
        </w:rPr>
        <w:t xml:space="preserve"> </w:t>
      </w:r>
      <w:r w:rsidRPr="00EB2BD8">
        <w:rPr>
          <w:sz w:val="16"/>
        </w:rPr>
        <w:t>June</w:t>
      </w:r>
      <w:r w:rsidRPr="00EB2BD8">
        <w:rPr>
          <w:spacing w:val="10"/>
          <w:sz w:val="16"/>
        </w:rPr>
        <w:t xml:space="preserve"> </w:t>
      </w:r>
      <w:r w:rsidRPr="00EB2BD8">
        <w:rPr>
          <w:spacing w:val="-2"/>
          <w:sz w:val="16"/>
        </w:rPr>
        <w:t>2022.</w:t>
      </w:r>
    </w:p>
    <w:p w14:paraId="0EEBF0AA" w14:textId="77777777" w:rsidR="00084F36" w:rsidRPr="00EB2BD8" w:rsidRDefault="00EB2BD8">
      <w:pPr>
        <w:pStyle w:val="ListParagraph"/>
        <w:numPr>
          <w:ilvl w:val="0"/>
          <w:numId w:val="20"/>
        </w:numPr>
        <w:tabs>
          <w:tab w:val="left" w:pos="2286"/>
        </w:tabs>
        <w:spacing w:before="31" w:line="254" w:lineRule="auto"/>
        <w:ind w:right="3214"/>
        <w:rPr>
          <w:sz w:val="16"/>
        </w:rPr>
      </w:pPr>
      <w:r w:rsidRPr="00EB2BD8">
        <w:rPr>
          <w:sz w:val="16"/>
        </w:rPr>
        <w:t>User</w:t>
      </w:r>
      <w:r w:rsidRPr="00EB2BD8">
        <w:rPr>
          <w:spacing w:val="-4"/>
          <w:sz w:val="16"/>
        </w:rPr>
        <w:t xml:space="preserve"> </w:t>
      </w:r>
      <w:r w:rsidRPr="00EB2BD8">
        <w:rPr>
          <w:sz w:val="16"/>
        </w:rPr>
        <w:t>experience</w:t>
      </w:r>
      <w:r w:rsidRPr="00EB2BD8">
        <w:rPr>
          <w:spacing w:val="-4"/>
          <w:sz w:val="16"/>
        </w:rPr>
        <w:t xml:space="preserve"> </w:t>
      </w:r>
      <w:r w:rsidRPr="00EB2BD8">
        <w:rPr>
          <w:sz w:val="16"/>
        </w:rPr>
        <w:t>with</w:t>
      </w:r>
      <w:r w:rsidRPr="00EB2BD8">
        <w:rPr>
          <w:spacing w:val="-4"/>
          <w:sz w:val="16"/>
        </w:rPr>
        <w:t xml:space="preserve"> </w:t>
      </w:r>
      <w:r w:rsidRPr="00EB2BD8">
        <w:rPr>
          <w:sz w:val="16"/>
        </w:rPr>
        <w:t>digital</w:t>
      </w:r>
      <w:r w:rsidRPr="00EB2BD8">
        <w:rPr>
          <w:spacing w:val="-4"/>
          <w:sz w:val="16"/>
        </w:rPr>
        <w:t xml:space="preserve"> </w:t>
      </w:r>
      <w:r w:rsidRPr="00EB2BD8">
        <w:rPr>
          <w:sz w:val="16"/>
        </w:rPr>
        <w:t>technology</w:t>
      </w:r>
      <w:r w:rsidRPr="00EB2BD8">
        <w:rPr>
          <w:spacing w:val="-4"/>
          <w:sz w:val="16"/>
        </w:rPr>
        <w:t xml:space="preserve"> </w:t>
      </w:r>
      <w:r w:rsidRPr="00EB2BD8">
        <w:rPr>
          <w:sz w:val="16"/>
        </w:rPr>
        <w:t>improved</w:t>
      </w:r>
      <w:r w:rsidRPr="00EB2BD8">
        <w:rPr>
          <w:spacing w:val="-4"/>
          <w:sz w:val="16"/>
        </w:rPr>
        <w:t xml:space="preserve"> </w:t>
      </w:r>
      <w:r w:rsidRPr="00EB2BD8">
        <w:rPr>
          <w:sz w:val="16"/>
        </w:rPr>
        <w:t>because</w:t>
      </w:r>
      <w:r w:rsidRPr="00EB2BD8">
        <w:rPr>
          <w:spacing w:val="-4"/>
          <w:sz w:val="16"/>
        </w:rPr>
        <w:t xml:space="preserve"> </w:t>
      </w:r>
      <w:r w:rsidRPr="00EB2BD8">
        <w:rPr>
          <w:sz w:val="16"/>
        </w:rPr>
        <w:t>of</w:t>
      </w:r>
      <w:r w:rsidRPr="00EB2BD8">
        <w:rPr>
          <w:spacing w:val="-4"/>
          <w:sz w:val="16"/>
        </w:rPr>
        <w:t xml:space="preserve"> </w:t>
      </w:r>
      <w:r w:rsidRPr="00EB2BD8">
        <w:rPr>
          <w:sz w:val="16"/>
        </w:rPr>
        <w:t>the</w:t>
      </w:r>
      <w:r w:rsidRPr="00EB2BD8">
        <w:rPr>
          <w:spacing w:val="-4"/>
          <w:sz w:val="16"/>
        </w:rPr>
        <w:t xml:space="preserve"> </w:t>
      </w:r>
      <w:r w:rsidRPr="00EB2BD8">
        <w:rPr>
          <w:sz w:val="16"/>
        </w:rPr>
        <w:t>Building</w:t>
      </w:r>
      <w:r w:rsidRPr="00EB2BD8">
        <w:rPr>
          <w:spacing w:val="-4"/>
          <w:sz w:val="16"/>
        </w:rPr>
        <w:t xml:space="preserve"> </w:t>
      </w:r>
      <w:r w:rsidRPr="00EB2BD8">
        <w:rPr>
          <w:sz w:val="16"/>
        </w:rPr>
        <w:t>Systems Technology Roadmap delivery.</w:t>
      </w:r>
    </w:p>
    <w:p w14:paraId="0C7C75AA" w14:textId="77777777" w:rsidR="00084F36" w:rsidRPr="00EB2BD8" w:rsidRDefault="00084F36">
      <w:pPr>
        <w:pStyle w:val="BodyText"/>
        <w:spacing w:before="10"/>
        <w:rPr>
          <w:sz w:val="5"/>
        </w:rPr>
      </w:pPr>
    </w:p>
    <w:tbl>
      <w:tblPr>
        <w:tblW w:w="0" w:type="auto"/>
        <w:tblInd w:w="857" w:type="dxa"/>
        <w:tblLayout w:type="fixed"/>
        <w:tblCellMar>
          <w:left w:w="0" w:type="dxa"/>
          <w:right w:w="0" w:type="dxa"/>
        </w:tblCellMar>
        <w:tblLook w:val="01E0" w:firstRow="1" w:lastRow="1" w:firstColumn="1" w:lastColumn="1" w:noHBand="0" w:noVBand="0"/>
      </w:tblPr>
      <w:tblGrid>
        <w:gridCol w:w="8072"/>
        <w:gridCol w:w="1020"/>
        <w:gridCol w:w="1379"/>
      </w:tblGrid>
      <w:tr w:rsidR="00EB2BD8" w:rsidRPr="00EB2BD8" w14:paraId="0DF7890E" w14:textId="77777777">
        <w:trPr>
          <w:trHeight w:val="601"/>
        </w:trPr>
        <w:tc>
          <w:tcPr>
            <w:tcW w:w="8072" w:type="dxa"/>
            <w:tcBorders>
              <w:top w:val="single" w:sz="2" w:space="0" w:color="000000"/>
              <w:bottom w:val="single" w:sz="2" w:space="0" w:color="000000"/>
            </w:tcBorders>
          </w:tcPr>
          <w:p w14:paraId="1DBAAE50" w14:textId="77777777" w:rsidR="00084F36" w:rsidRPr="00EB2BD8" w:rsidRDefault="00EB2BD8">
            <w:pPr>
              <w:pStyle w:val="TableParagraph"/>
              <w:tabs>
                <w:tab w:val="left" w:pos="1152"/>
              </w:tabs>
              <w:spacing w:before="116"/>
              <w:ind w:left="113"/>
              <w:rPr>
                <w:sz w:val="16"/>
              </w:rPr>
            </w:pPr>
            <w:r w:rsidRPr="00EB2BD8">
              <w:rPr>
                <w:spacing w:val="-10"/>
                <w:sz w:val="16"/>
              </w:rPr>
              <w:t>4</w:t>
            </w:r>
            <w:r w:rsidRPr="00EB2BD8">
              <w:rPr>
                <w:sz w:val="16"/>
              </w:rPr>
              <w:tab/>
            </w:r>
            <w:r w:rsidRPr="00EB2BD8">
              <w:rPr>
                <w:spacing w:val="-2"/>
                <w:sz w:val="16"/>
              </w:rPr>
              <w:t>By</w:t>
            </w:r>
            <w:r w:rsidRPr="00EB2BD8">
              <w:rPr>
                <w:spacing w:val="-4"/>
                <w:sz w:val="16"/>
              </w:rPr>
              <w:t xml:space="preserve"> </w:t>
            </w:r>
            <w:r w:rsidRPr="00EB2BD8">
              <w:rPr>
                <w:spacing w:val="-2"/>
                <w:sz w:val="16"/>
              </w:rPr>
              <w:t>June</w:t>
            </w:r>
            <w:r w:rsidRPr="00EB2BD8">
              <w:rPr>
                <w:spacing w:val="-4"/>
                <w:sz w:val="16"/>
              </w:rPr>
              <w:t xml:space="preserve"> </w:t>
            </w:r>
            <w:r w:rsidRPr="00EB2BD8">
              <w:rPr>
                <w:spacing w:val="-2"/>
                <w:sz w:val="16"/>
              </w:rPr>
              <w:t>2023,</w:t>
            </w:r>
            <w:r w:rsidRPr="00EB2BD8">
              <w:rPr>
                <w:spacing w:val="-3"/>
                <w:sz w:val="16"/>
              </w:rPr>
              <w:t xml:space="preserve"> </w:t>
            </w:r>
            <w:r w:rsidRPr="00EB2BD8">
              <w:rPr>
                <w:spacing w:val="-2"/>
                <w:sz w:val="16"/>
              </w:rPr>
              <w:t>proactively</w:t>
            </w:r>
            <w:r w:rsidRPr="00EB2BD8">
              <w:rPr>
                <w:spacing w:val="-4"/>
                <w:sz w:val="16"/>
              </w:rPr>
              <w:t xml:space="preserve"> </w:t>
            </w:r>
            <w:r w:rsidRPr="00EB2BD8">
              <w:rPr>
                <w:spacing w:val="-2"/>
                <w:sz w:val="16"/>
              </w:rPr>
              <w:t>inspect</w:t>
            </w:r>
            <w:r w:rsidRPr="00EB2BD8">
              <w:rPr>
                <w:spacing w:val="-4"/>
                <w:sz w:val="16"/>
              </w:rPr>
              <w:t xml:space="preserve"> </w:t>
            </w:r>
            <w:r w:rsidRPr="00EB2BD8">
              <w:rPr>
                <w:spacing w:val="-2"/>
                <w:sz w:val="16"/>
              </w:rPr>
              <w:t>and</w:t>
            </w:r>
            <w:r w:rsidRPr="00EB2BD8">
              <w:rPr>
                <w:spacing w:val="-3"/>
                <w:sz w:val="16"/>
              </w:rPr>
              <w:t xml:space="preserve"> </w:t>
            </w:r>
            <w:r w:rsidRPr="00EB2BD8">
              <w:rPr>
                <w:spacing w:val="-2"/>
                <w:sz w:val="16"/>
              </w:rPr>
              <w:t>monitor</w:t>
            </w:r>
            <w:r w:rsidRPr="00EB2BD8">
              <w:rPr>
                <w:spacing w:val="-4"/>
                <w:sz w:val="16"/>
              </w:rPr>
              <w:t xml:space="preserve"> </w:t>
            </w:r>
            <w:r w:rsidRPr="00EB2BD8">
              <w:rPr>
                <w:spacing w:val="-2"/>
                <w:sz w:val="16"/>
              </w:rPr>
              <w:t>building</w:t>
            </w:r>
            <w:r w:rsidRPr="00EB2BD8">
              <w:rPr>
                <w:spacing w:val="-4"/>
                <w:sz w:val="16"/>
              </w:rPr>
              <w:t xml:space="preserve"> </w:t>
            </w:r>
            <w:r w:rsidRPr="00EB2BD8">
              <w:rPr>
                <w:spacing w:val="-2"/>
                <w:sz w:val="16"/>
              </w:rPr>
              <w:t>works</w:t>
            </w:r>
            <w:r w:rsidRPr="00EB2BD8">
              <w:rPr>
                <w:spacing w:val="-3"/>
                <w:sz w:val="16"/>
              </w:rPr>
              <w:t xml:space="preserve"> </w:t>
            </w:r>
            <w:r w:rsidRPr="00EB2BD8">
              <w:rPr>
                <w:spacing w:val="-2"/>
                <w:sz w:val="16"/>
              </w:rPr>
              <w:t>underway.</w:t>
            </w:r>
            <w:r w:rsidRPr="00EB2BD8">
              <w:rPr>
                <w:spacing w:val="-4"/>
                <w:sz w:val="16"/>
              </w:rPr>
              <w:t xml:space="preserve"> </w:t>
            </w:r>
            <w:r w:rsidRPr="00EB2BD8">
              <w:rPr>
                <w:spacing w:val="-2"/>
                <w:sz w:val="16"/>
              </w:rPr>
              <w:t>Target:</w:t>
            </w:r>
          </w:p>
          <w:p w14:paraId="1DBDE558" w14:textId="77777777" w:rsidR="00084F36" w:rsidRPr="00EB2BD8" w:rsidRDefault="00EB2BD8">
            <w:pPr>
              <w:pStyle w:val="TableParagraph"/>
              <w:numPr>
                <w:ilvl w:val="0"/>
                <w:numId w:val="2"/>
              </w:numPr>
              <w:tabs>
                <w:tab w:val="left" w:pos="1435"/>
              </w:tabs>
              <w:spacing w:before="31"/>
              <w:ind w:hanging="283"/>
              <w:rPr>
                <w:sz w:val="16"/>
              </w:rPr>
            </w:pPr>
            <w:r w:rsidRPr="00EB2BD8">
              <w:rPr>
                <w:sz w:val="16"/>
              </w:rPr>
              <w:t>inspect</w:t>
            </w:r>
            <w:r w:rsidRPr="00EB2BD8">
              <w:rPr>
                <w:spacing w:val="-10"/>
                <w:sz w:val="16"/>
              </w:rPr>
              <w:t xml:space="preserve"> </w:t>
            </w:r>
            <w:r w:rsidRPr="00EB2BD8">
              <w:rPr>
                <w:sz w:val="16"/>
              </w:rPr>
              <w:t>at</w:t>
            </w:r>
            <w:r w:rsidRPr="00EB2BD8">
              <w:rPr>
                <w:spacing w:val="-10"/>
                <w:sz w:val="16"/>
              </w:rPr>
              <w:t xml:space="preserve"> </w:t>
            </w:r>
            <w:r w:rsidRPr="00EB2BD8">
              <w:rPr>
                <w:sz w:val="16"/>
              </w:rPr>
              <w:t>least</w:t>
            </w:r>
            <w:r w:rsidRPr="00EB2BD8">
              <w:rPr>
                <w:spacing w:val="-9"/>
                <w:sz w:val="16"/>
              </w:rPr>
              <w:t xml:space="preserve"> </w:t>
            </w:r>
            <w:r w:rsidRPr="00EB2BD8">
              <w:rPr>
                <w:sz w:val="16"/>
              </w:rPr>
              <w:t>10</w:t>
            </w:r>
            <w:r w:rsidRPr="00EB2BD8">
              <w:rPr>
                <w:spacing w:val="-10"/>
                <w:sz w:val="16"/>
              </w:rPr>
              <w:t xml:space="preserve"> </w:t>
            </w:r>
            <w:r w:rsidRPr="00EB2BD8">
              <w:rPr>
                <w:sz w:val="16"/>
              </w:rPr>
              <w:t>per</w:t>
            </w:r>
            <w:r w:rsidRPr="00EB2BD8">
              <w:rPr>
                <w:spacing w:val="-9"/>
                <w:sz w:val="16"/>
              </w:rPr>
              <w:t xml:space="preserve"> </w:t>
            </w:r>
            <w:r w:rsidRPr="00EB2BD8">
              <w:rPr>
                <w:sz w:val="16"/>
              </w:rPr>
              <w:t>cent</w:t>
            </w:r>
            <w:r w:rsidRPr="00EB2BD8">
              <w:rPr>
                <w:spacing w:val="-10"/>
                <w:sz w:val="16"/>
              </w:rPr>
              <w:t xml:space="preserve"> </w:t>
            </w:r>
            <w:r w:rsidRPr="00EB2BD8">
              <w:rPr>
                <w:sz w:val="16"/>
              </w:rPr>
              <w:t>of</w:t>
            </w:r>
            <w:r w:rsidRPr="00EB2BD8">
              <w:rPr>
                <w:spacing w:val="-9"/>
                <w:sz w:val="16"/>
              </w:rPr>
              <w:t xml:space="preserve"> </w:t>
            </w:r>
            <w:r w:rsidRPr="00EB2BD8">
              <w:rPr>
                <w:sz w:val="16"/>
              </w:rPr>
              <w:t>new</w:t>
            </w:r>
            <w:r w:rsidRPr="00EB2BD8">
              <w:rPr>
                <w:spacing w:val="-10"/>
                <w:sz w:val="16"/>
              </w:rPr>
              <w:t xml:space="preserve"> </w:t>
            </w:r>
            <w:r w:rsidRPr="00EB2BD8">
              <w:rPr>
                <w:sz w:val="16"/>
              </w:rPr>
              <w:t>building</w:t>
            </w:r>
            <w:r w:rsidRPr="00EB2BD8">
              <w:rPr>
                <w:spacing w:val="-9"/>
                <w:sz w:val="16"/>
              </w:rPr>
              <w:t xml:space="preserve"> </w:t>
            </w:r>
            <w:r w:rsidRPr="00EB2BD8">
              <w:rPr>
                <w:spacing w:val="-2"/>
                <w:sz w:val="16"/>
              </w:rPr>
              <w:t>permits.</w:t>
            </w:r>
          </w:p>
        </w:tc>
        <w:tc>
          <w:tcPr>
            <w:tcW w:w="1020" w:type="dxa"/>
            <w:tcBorders>
              <w:top w:val="single" w:sz="2" w:space="0" w:color="000000"/>
              <w:bottom w:val="single" w:sz="2" w:space="0" w:color="000000"/>
            </w:tcBorders>
          </w:tcPr>
          <w:p w14:paraId="19140FE0" w14:textId="77777777" w:rsidR="00084F36" w:rsidRPr="00EB2BD8" w:rsidRDefault="00EB2BD8">
            <w:pPr>
              <w:pStyle w:val="TableParagraph"/>
              <w:spacing w:before="116" w:line="254" w:lineRule="auto"/>
              <w:ind w:left="145" w:firstLine="86"/>
              <w:rPr>
                <w:sz w:val="16"/>
              </w:rPr>
            </w:pPr>
            <w:r w:rsidRPr="00EB2BD8">
              <w:rPr>
                <w:spacing w:val="-2"/>
                <w:sz w:val="16"/>
              </w:rPr>
              <w:t>Partially complete</w:t>
            </w:r>
          </w:p>
        </w:tc>
        <w:tc>
          <w:tcPr>
            <w:tcW w:w="1379" w:type="dxa"/>
            <w:tcBorders>
              <w:top w:val="single" w:sz="2" w:space="0" w:color="000000"/>
              <w:bottom w:val="single" w:sz="2" w:space="0" w:color="000000"/>
            </w:tcBorders>
          </w:tcPr>
          <w:p w14:paraId="31B1D2FA" w14:textId="77777777" w:rsidR="00084F36" w:rsidRPr="00EB2BD8" w:rsidRDefault="00EB2BD8">
            <w:pPr>
              <w:pStyle w:val="TableParagraph"/>
              <w:spacing w:before="116"/>
              <w:ind w:right="114"/>
              <w:jc w:val="right"/>
              <w:rPr>
                <w:sz w:val="16"/>
              </w:rPr>
            </w:pPr>
            <w:r w:rsidRPr="00EB2BD8">
              <w:rPr>
                <w:spacing w:val="-2"/>
                <w:w w:val="80"/>
                <w:sz w:val="16"/>
              </w:rPr>
              <w:t>23,</w:t>
            </w:r>
            <w:r w:rsidRPr="00EB2BD8">
              <w:rPr>
                <w:spacing w:val="-3"/>
                <w:w w:val="90"/>
                <w:sz w:val="16"/>
              </w:rPr>
              <w:t xml:space="preserve"> </w:t>
            </w:r>
            <w:r w:rsidRPr="00EB2BD8">
              <w:rPr>
                <w:spacing w:val="-5"/>
                <w:w w:val="90"/>
                <w:sz w:val="16"/>
              </w:rPr>
              <w:t>35</w:t>
            </w:r>
          </w:p>
        </w:tc>
      </w:tr>
      <w:tr w:rsidR="00EB2BD8" w:rsidRPr="00EB2BD8" w14:paraId="0FB5A862" w14:textId="77777777">
        <w:trPr>
          <w:trHeight w:val="781"/>
        </w:trPr>
        <w:tc>
          <w:tcPr>
            <w:tcW w:w="8072" w:type="dxa"/>
            <w:tcBorders>
              <w:top w:val="single" w:sz="2" w:space="0" w:color="000000"/>
              <w:bottom w:val="single" w:sz="2" w:space="0" w:color="000000"/>
            </w:tcBorders>
          </w:tcPr>
          <w:p w14:paraId="6C519575" w14:textId="77777777" w:rsidR="00084F36" w:rsidRPr="00EB2BD8" w:rsidRDefault="00EB2BD8">
            <w:pPr>
              <w:pStyle w:val="TableParagraph"/>
              <w:tabs>
                <w:tab w:val="left" w:pos="1152"/>
              </w:tabs>
              <w:spacing w:before="116" w:line="254" w:lineRule="auto"/>
              <w:ind w:left="1152" w:right="315" w:hanging="1040"/>
              <w:rPr>
                <w:sz w:val="16"/>
              </w:rPr>
            </w:pPr>
            <w:r w:rsidRPr="00EB2BD8">
              <w:rPr>
                <w:spacing w:val="-10"/>
                <w:sz w:val="16"/>
              </w:rPr>
              <w:t>5</w:t>
            </w:r>
            <w:r w:rsidRPr="00EB2BD8">
              <w:rPr>
                <w:sz w:val="16"/>
              </w:rPr>
              <w:tab/>
              <w:t>By</w:t>
            </w:r>
            <w:r w:rsidRPr="00EB2BD8">
              <w:rPr>
                <w:spacing w:val="-13"/>
                <w:sz w:val="16"/>
              </w:rPr>
              <w:t xml:space="preserve"> </w:t>
            </w:r>
            <w:r w:rsidRPr="00EB2BD8">
              <w:rPr>
                <w:sz w:val="16"/>
              </w:rPr>
              <w:t>June</w:t>
            </w:r>
            <w:r w:rsidRPr="00EB2BD8">
              <w:rPr>
                <w:spacing w:val="-12"/>
                <w:sz w:val="16"/>
              </w:rPr>
              <w:t xml:space="preserve"> </w:t>
            </w:r>
            <w:r w:rsidRPr="00EB2BD8">
              <w:rPr>
                <w:sz w:val="16"/>
              </w:rPr>
              <w:t>2023,</w:t>
            </w:r>
            <w:r w:rsidRPr="00EB2BD8">
              <w:rPr>
                <w:spacing w:val="-13"/>
                <w:sz w:val="16"/>
              </w:rPr>
              <w:t xml:space="preserve"> </w:t>
            </w:r>
            <w:r w:rsidRPr="00EB2BD8">
              <w:rPr>
                <w:sz w:val="16"/>
              </w:rPr>
              <w:t>develop</w:t>
            </w:r>
            <w:r w:rsidRPr="00EB2BD8">
              <w:rPr>
                <w:spacing w:val="-12"/>
                <w:sz w:val="16"/>
              </w:rPr>
              <w:t xml:space="preserve"> </w:t>
            </w:r>
            <w:r w:rsidRPr="00EB2BD8">
              <w:rPr>
                <w:sz w:val="16"/>
              </w:rPr>
              <w:t>and</w:t>
            </w:r>
            <w:r w:rsidRPr="00EB2BD8">
              <w:rPr>
                <w:spacing w:val="-13"/>
                <w:sz w:val="16"/>
              </w:rPr>
              <w:t xml:space="preserve"> </w:t>
            </w:r>
            <w:r w:rsidRPr="00EB2BD8">
              <w:rPr>
                <w:sz w:val="16"/>
              </w:rPr>
              <w:t>implement</w:t>
            </w:r>
            <w:r w:rsidRPr="00EB2BD8">
              <w:rPr>
                <w:spacing w:val="-12"/>
                <w:sz w:val="16"/>
              </w:rPr>
              <w:t xml:space="preserve"> </w:t>
            </w:r>
            <w:r w:rsidRPr="00EB2BD8">
              <w:rPr>
                <w:sz w:val="16"/>
              </w:rPr>
              <w:t>a</w:t>
            </w:r>
            <w:r w:rsidRPr="00EB2BD8">
              <w:rPr>
                <w:spacing w:val="-13"/>
                <w:sz w:val="16"/>
              </w:rPr>
              <w:t xml:space="preserve"> </w:t>
            </w:r>
            <w:r w:rsidRPr="00EB2BD8">
              <w:rPr>
                <w:sz w:val="16"/>
              </w:rPr>
              <w:t>program</w:t>
            </w:r>
            <w:r w:rsidRPr="00EB2BD8">
              <w:rPr>
                <w:spacing w:val="-12"/>
                <w:sz w:val="16"/>
              </w:rPr>
              <w:t xml:space="preserve"> </w:t>
            </w:r>
            <w:r w:rsidRPr="00EB2BD8">
              <w:rPr>
                <w:sz w:val="16"/>
              </w:rPr>
              <w:t>to</w:t>
            </w:r>
            <w:r w:rsidRPr="00EB2BD8">
              <w:rPr>
                <w:spacing w:val="-13"/>
                <w:sz w:val="16"/>
              </w:rPr>
              <w:t xml:space="preserve"> </w:t>
            </w:r>
            <w:r w:rsidRPr="00EB2BD8">
              <w:rPr>
                <w:sz w:val="16"/>
              </w:rPr>
              <w:t>identify</w:t>
            </w:r>
            <w:r w:rsidRPr="00EB2BD8">
              <w:rPr>
                <w:spacing w:val="-12"/>
                <w:sz w:val="16"/>
              </w:rPr>
              <w:t xml:space="preserve"> </w:t>
            </w:r>
            <w:r w:rsidRPr="00EB2BD8">
              <w:rPr>
                <w:sz w:val="16"/>
              </w:rPr>
              <w:t>emerging</w:t>
            </w:r>
            <w:r w:rsidRPr="00EB2BD8">
              <w:rPr>
                <w:spacing w:val="-13"/>
                <w:sz w:val="16"/>
              </w:rPr>
              <w:t xml:space="preserve"> </w:t>
            </w:r>
            <w:r w:rsidRPr="00EB2BD8">
              <w:rPr>
                <w:sz w:val="16"/>
              </w:rPr>
              <w:t>risks</w:t>
            </w:r>
            <w:r w:rsidRPr="00EB2BD8">
              <w:rPr>
                <w:spacing w:val="-12"/>
                <w:sz w:val="16"/>
              </w:rPr>
              <w:t xml:space="preserve"> </w:t>
            </w:r>
            <w:r w:rsidRPr="00EB2BD8">
              <w:rPr>
                <w:sz w:val="16"/>
              </w:rPr>
              <w:t>and</w:t>
            </w:r>
            <w:r w:rsidRPr="00EB2BD8">
              <w:rPr>
                <w:spacing w:val="-13"/>
                <w:sz w:val="16"/>
              </w:rPr>
              <w:t xml:space="preserve"> </w:t>
            </w:r>
            <w:r w:rsidRPr="00EB2BD8">
              <w:rPr>
                <w:sz w:val="16"/>
              </w:rPr>
              <w:t>issues within</w:t>
            </w:r>
            <w:r w:rsidRPr="00EB2BD8">
              <w:rPr>
                <w:spacing w:val="-1"/>
                <w:sz w:val="16"/>
              </w:rPr>
              <w:t xml:space="preserve"> </w:t>
            </w:r>
            <w:r w:rsidRPr="00EB2BD8">
              <w:rPr>
                <w:sz w:val="16"/>
              </w:rPr>
              <w:t>the</w:t>
            </w:r>
            <w:r w:rsidRPr="00EB2BD8">
              <w:rPr>
                <w:spacing w:val="-1"/>
                <w:sz w:val="16"/>
              </w:rPr>
              <w:t xml:space="preserve"> </w:t>
            </w:r>
            <w:r w:rsidRPr="00EB2BD8">
              <w:rPr>
                <w:sz w:val="16"/>
              </w:rPr>
              <w:t>industry,</w:t>
            </w:r>
            <w:r w:rsidRPr="00EB2BD8">
              <w:rPr>
                <w:spacing w:val="-1"/>
                <w:sz w:val="16"/>
              </w:rPr>
              <w:t xml:space="preserve"> </w:t>
            </w:r>
            <w:r w:rsidRPr="00EB2BD8">
              <w:rPr>
                <w:sz w:val="16"/>
              </w:rPr>
              <w:t>determine</w:t>
            </w:r>
            <w:r w:rsidRPr="00EB2BD8">
              <w:rPr>
                <w:spacing w:val="-1"/>
                <w:sz w:val="16"/>
              </w:rPr>
              <w:t xml:space="preserve"> </w:t>
            </w:r>
            <w:r w:rsidRPr="00EB2BD8">
              <w:rPr>
                <w:sz w:val="16"/>
              </w:rPr>
              <w:t>impact</w:t>
            </w:r>
            <w:r w:rsidRPr="00EB2BD8">
              <w:rPr>
                <w:spacing w:val="-1"/>
                <w:sz w:val="16"/>
              </w:rPr>
              <w:t xml:space="preserve"> </w:t>
            </w:r>
            <w:r w:rsidRPr="00EB2BD8">
              <w:rPr>
                <w:sz w:val="16"/>
              </w:rPr>
              <w:t>and</w:t>
            </w:r>
            <w:r w:rsidRPr="00EB2BD8">
              <w:rPr>
                <w:spacing w:val="-1"/>
                <w:sz w:val="16"/>
              </w:rPr>
              <w:t xml:space="preserve"> </w:t>
            </w:r>
            <w:r w:rsidRPr="00EB2BD8">
              <w:rPr>
                <w:sz w:val="16"/>
              </w:rPr>
              <w:t>assess</w:t>
            </w:r>
            <w:r w:rsidRPr="00EB2BD8">
              <w:rPr>
                <w:spacing w:val="-1"/>
                <w:sz w:val="16"/>
              </w:rPr>
              <w:t xml:space="preserve"> </w:t>
            </w:r>
            <w:r w:rsidRPr="00EB2BD8">
              <w:rPr>
                <w:sz w:val="16"/>
              </w:rPr>
              <w:t>solutions.</w:t>
            </w:r>
            <w:r w:rsidRPr="00EB2BD8">
              <w:rPr>
                <w:spacing w:val="-1"/>
                <w:sz w:val="16"/>
              </w:rPr>
              <w:t xml:space="preserve"> </w:t>
            </w:r>
            <w:r w:rsidRPr="00EB2BD8">
              <w:rPr>
                <w:sz w:val="16"/>
              </w:rPr>
              <w:t>Target:</w:t>
            </w:r>
          </w:p>
          <w:p w14:paraId="10DF8C43" w14:textId="77777777" w:rsidR="00084F36" w:rsidRPr="00EB2BD8" w:rsidRDefault="00EB2BD8">
            <w:pPr>
              <w:pStyle w:val="TableParagraph"/>
              <w:numPr>
                <w:ilvl w:val="0"/>
                <w:numId w:val="2"/>
              </w:numPr>
              <w:tabs>
                <w:tab w:val="left" w:pos="1435"/>
              </w:tabs>
              <w:ind w:hanging="283"/>
              <w:rPr>
                <w:sz w:val="16"/>
              </w:rPr>
            </w:pPr>
            <w:r w:rsidRPr="00EB2BD8">
              <w:rPr>
                <w:sz w:val="16"/>
              </w:rPr>
              <w:t>pilot</w:t>
            </w:r>
            <w:r w:rsidRPr="00EB2BD8">
              <w:rPr>
                <w:spacing w:val="-6"/>
                <w:sz w:val="16"/>
              </w:rPr>
              <w:t xml:space="preserve"> </w:t>
            </w:r>
            <w:r w:rsidRPr="00EB2BD8">
              <w:rPr>
                <w:sz w:val="16"/>
              </w:rPr>
              <w:t>of</w:t>
            </w:r>
            <w:r w:rsidRPr="00EB2BD8">
              <w:rPr>
                <w:spacing w:val="-5"/>
                <w:sz w:val="16"/>
              </w:rPr>
              <w:t xml:space="preserve"> </w:t>
            </w:r>
            <w:r w:rsidRPr="00EB2BD8">
              <w:rPr>
                <w:sz w:val="16"/>
              </w:rPr>
              <w:t>practitioner</w:t>
            </w:r>
            <w:r w:rsidRPr="00EB2BD8">
              <w:rPr>
                <w:spacing w:val="-5"/>
                <w:sz w:val="16"/>
              </w:rPr>
              <w:t xml:space="preserve"> </w:t>
            </w:r>
            <w:r w:rsidRPr="00EB2BD8">
              <w:rPr>
                <w:sz w:val="16"/>
              </w:rPr>
              <w:t>profiles</w:t>
            </w:r>
            <w:r w:rsidRPr="00EB2BD8">
              <w:rPr>
                <w:spacing w:val="-5"/>
                <w:sz w:val="16"/>
              </w:rPr>
              <w:t xml:space="preserve"> </w:t>
            </w:r>
            <w:r w:rsidRPr="00EB2BD8">
              <w:rPr>
                <w:sz w:val="16"/>
              </w:rPr>
              <w:t>by</w:t>
            </w:r>
            <w:r w:rsidRPr="00EB2BD8">
              <w:rPr>
                <w:spacing w:val="-5"/>
                <w:sz w:val="16"/>
              </w:rPr>
              <w:t xml:space="preserve"> </w:t>
            </w:r>
            <w:r w:rsidRPr="00EB2BD8">
              <w:rPr>
                <w:sz w:val="16"/>
              </w:rPr>
              <w:t>30</w:t>
            </w:r>
            <w:r w:rsidRPr="00EB2BD8">
              <w:rPr>
                <w:spacing w:val="-5"/>
                <w:sz w:val="16"/>
              </w:rPr>
              <w:t xml:space="preserve"> </w:t>
            </w:r>
            <w:r w:rsidRPr="00EB2BD8">
              <w:rPr>
                <w:sz w:val="16"/>
              </w:rPr>
              <w:t>June</w:t>
            </w:r>
            <w:r w:rsidRPr="00EB2BD8">
              <w:rPr>
                <w:spacing w:val="-5"/>
                <w:sz w:val="16"/>
              </w:rPr>
              <w:t xml:space="preserve"> </w:t>
            </w:r>
            <w:r w:rsidRPr="00EB2BD8">
              <w:rPr>
                <w:spacing w:val="-4"/>
                <w:sz w:val="16"/>
              </w:rPr>
              <w:t>2022.</w:t>
            </w:r>
          </w:p>
        </w:tc>
        <w:tc>
          <w:tcPr>
            <w:tcW w:w="1020" w:type="dxa"/>
            <w:tcBorders>
              <w:top w:val="single" w:sz="2" w:space="0" w:color="000000"/>
              <w:bottom w:val="single" w:sz="2" w:space="0" w:color="000000"/>
            </w:tcBorders>
          </w:tcPr>
          <w:p w14:paraId="6B14A966" w14:textId="77777777" w:rsidR="00084F36" w:rsidRPr="00EB2BD8" w:rsidRDefault="00EB2BD8">
            <w:pPr>
              <w:pStyle w:val="TableParagraph"/>
              <w:spacing w:before="116"/>
              <w:ind w:right="151"/>
              <w:jc w:val="right"/>
              <w:rPr>
                <w:sz w:val="16"/>
              </w:rPr>
            </w:pPr>
            <w:r w:rsidRPr="00EB2BD8">
              <w:rPr>
                <w:spacing w:val="-2"/>
                <w:sz w:val="16"/>
              </w:rPr>
              <w:t>Complete</w:t>
            </w:r>
          </w:p>
        </w:tc>
        <w:tc>
          <w:tcPr>
            <w:tcW w:w="1379" w:type="dxa"/>
            <w:tcBorders>
              <w:top w:val="single" w:sz="2" w:space="0" w:color="000000"/>
              <w:bottom w:val="single" w:sz="2" w:space="0" w:color="000000"/>
            </w:tcBorders>
          </w:tcPr>
          <w:p w14:paraId="12B39DB3" w14:textId="77777777" w:rsidR="00084F36" w:rsidRPr="00EB2BD8" w:rsidRDefault="00EB2BD8">
            <w:pPr>
              <w:pStyle w:val="TableParagraph"/>
              <w:spacing w:before="116"/>
              <w:ind w:right="116"/>
              <w:jc w:val="right"/>
              <w:rPr>
                <w:sz w:val="16"/>
              </w:rPr>
            </w:pPr>
            <w:r w:rsidRPr="00EB2BD8">
              <w:rPr>
                <w:spacing w:val="-5"/>
                <w:sz w:val="16"/>
              </w:rPr>
              <w:t>24</w:t>
            </w:r>
          </w:p>
        </w:tc>
      </w:tr>
      <w:tr w:rsidR="00EB2BD8" w:rsidRPr="00EB2BD8" w14:paraId="6D21505E" w14:textId="77777777">
        <w:trPr>
          <w:trHeight w:val="781"/>
        </w:trPr>
        <w:tc>
          <w:tcPr>
            <w:tcW w:w="8072" w:type="dxa"/>
            <w:tcBorders>
              <w:top w:val="single" w:sz="2" w:space="0" w:color="000000"/>
              <w:bottom w:val="single" w:sz="2" w:space="0" w:color="000000"/>
            </w:tcBorders>
          </w:tcPr>
          <w:p w14:paraId="47096E99" w14:textId="77777777" w:rsidR="00084F36" w:rsidRPr="00EB2BD8" w:rsidRDefault="00EB2BD8">
            <w:pPr>
              <w:pStyle w:val="TableParagraph"/>
              <w:tabs>
                <w:tab w:val="left" w:pos="1152"/>
              </w:tabs>
              <w:spacing w:before="116" w:line="254" w:lineRule="auto"/>
              <w:ind w:left="1152" w:right="441" w:hanging="1040"/>
              <w:rPr>
                <w:sz w:val="16"/>
              </w:rPr>
            </w:pPr>
            <w:r w:rsidRPr="00EB2BD8">
              <w:rPr>
                <w:spacing w:val="-10"/>
                <w:sz w:val="16"/>
              </w:rPr>
              <w:t>6</w:t>
            </w:r>
            <w:r w:rsidRPr="00EB2BD8">
              <w:rPr>
                <w:sz w:val="16"/>
              </w:rPr>
              <w:tab/>
              <w:t>By</w:t>
            </w:r>
            <w:r w:rsidRPr="00EB2BD8">
              <w:rPr>
                <w:spacing w:val="-13"/>
                <w:sz w:val="16"/>
              </w:rPr>
              <w:t xml:space="preserve"> </w:t>
            </w:r>
            <w:r w:rsidRPr="00EB2BD8">
              <w:rPr>
                <w:sz w:val="16"/>
              </w:rPr>
              <w:t>June</w:t>
            </w:r>
            <w:r w:rsidRPr="00EB2BD8">
              <w:rPr>
                <w:spacing w:val="-13"/>
                <w:sz w:val="16"/>
              </w:rPr>
              <w:t xml:space="preserve"> </w:t>
            </w:r>
            <w:r w:rsidRPr="00EB2BD8">
              <w:rPr>
                <w:sz w:val="16"/>
              </w:rPr>
              <w:t>2023,</w:t>
            </w:r>
            <w:r w:rsidRPr="00EB2BD8">
              <w:rPr>
                <w:spacing w:val="-12"/>
                <w:sz w:val="16"/>
              </w:rPr>
              <w:t xml:space="preserve"> </w:t>
            </w:r>
            <w:r w:rsidRPr="00EB2BD8">
              <w:rPr>
                <w:sz w:val="16"/>
              </w:rPr>
              <w:t>continue</w:t>
            </w:r>
            <w:r w:rsidRPr="00EB2BD8">
              <w:rPr>
                <w:spacing w:val="-13"/>
                <w:sz w:val="16"/>
              </w:rPr>
              <w:t xml:space="preserve"> </w:t>
            </w:r>
            <w:r w:rsidRPr="00EB2BD8">
              <w:rPr>
                <w:sz w:val="16"/>
              </w:rPr>
              <w:t>to</w:t>
            </w:r>
            <w:r w:rsidRPr="00EB2BD8">
              <w:rPr>
                <w:spacing w:val="-13"/>
                <w:sz w:val="16"/>
              </w:rPr>
              <w:t xml:space="preserve"> </w:t>
            </w:r>
            <w:r w:rsidRPr="00EB2BD8">
              <w:rPr>
                <w:sz w:val="16"/>
              </w:rPr>
              <w:t>mature</w:t>
            </w:r>
            <w:r w:rsidRPr="00EB2BD8">
              <w:rPr>
                <w:spacing w:val="-12"/>
                <w:sz w:val="16"/>
              </w:rPr>
              <w:t xml:space="preserve"> </w:t>
            </w:r>
            <w:r w:rsidRPr="00EB2BD8">
              <w:rPr>
                <w:sz w:val="16"/>
              </w:rPr>
              <w:t>VBA's</w:t>
            </w:r>
            <w:r w:rsidRPr="00EB2BD8">
              <w:rPr>
                <w:spacing w:val="-13"/>
                <w:sz w:val="16"/>
              </w:rPr>
              <w:t xml:space="preserve"> </w:t>
            </w:r>
            <w:r w:rsidRPr="00EB2BD8">
              <w:rPr>
                <w:sz w:val="16"/>
              </w:rPr>
              <w:t>risk</w:t>
            </w:r>
            <w:r w:rsidRPr="00EB2BD8">
              <w:rPr>
                <w:spacing w:val="-13"/>
                <w:sz w:val="16"/>
              </w:rPr>
              <w:t xml:space="preserve"> </w:t>
            </w:r>
            <w:r w:rsidRPr="00EB2BD8">
              <w:rPr>
                <w:sz w:val="16"/>
              </w:rPr>
              <w:t>leadership,</w:t>
            </w:r>
            <w:r w:rsidRPr="00EB2BD8">
              <w:rPr>
                <w:spacing w:val="-12"/>
                <w:sz w:val="16"/>
              </w:rPr>
              <w:t xml:space="preserve"> </w:t>
            </w:r>
            <w:r w:rsidRPr="00EB2BD8">
              <w:rPr>
                <w:sz w:val="16"/>
              </w:rPr>
              <w:t>capability,</w:t>
            </w:r>
            <w:r w:rsidRPr="00EB2BD8">
              <w:rPr>
                <w:spacing w:val="-13"/>
                <w:sz w:val="16"/>
              </w:rPr>
              <w:t xml:space="preserve"> </w:t>
            </w:r>
            <w:r w:rsidRPr="00EB2BD8">
              <w:rPr>
                <w:sz w:val="16"/>
              </w:rPr>
              <w:t>and</w:t>
            </w:r>
            <w:r w:rsidRPr="00EB2BD8">
              <w:rPr>
                <w:spacing w:val="-13"/>
                <w:sz w:val="16"/>
              </w:rPr>
              <w:t xml:space="preserve"> </w:t>
            </w:r>
            <w:r w:rsidRPr="00EB2BD8">
              <w:rPr>
                <w:sz w:val="16"/>
              </w:rPr>
              <w:t>capacity.</w:t>
            </w:r>
            <w:r w:rsidRPr="00EB2BD8">
              <w:rPr>
                <w:spacing w:val="-12"/>
                <w:sz w:val="16"/>
              </w:rPr>
              <w:t xml:space="preserve"> </w:t>
            </w:r>
            <w:r w:rsidRPr="00EB2BD8">
              <w:rPr>
                <w:sz w:val="16"/>
              </w:rPr>
              <w:t>VBA Risk Maturity score to increase year on year. Target:</w:t>
            </w:r>
          </w:p>
          <w:p w14:paraId="4FE4C9DC" w14:textId="77777777" w:rsidR="00084F36" w:rsidRPr="00EB2BD8" w:rsidRDefault="00EB2BD8">
            <w:pPr>
              <w:pStyle w:val="TableParagraph"/>
              <w:numPr>
                <w:ilvl w:val="0"/>
                <w:numId w:val="2"/>
              </w:numPr>
              <w:tabs>
                <w:tab w:val="left" w:pos="1435"/>
              </w:tabs>
              <w:ind w:hanging="283"/>
              <w:rPr>
                <w:sz w:val="16"/>
              </w:rPr>
            </w:pPr>
            <w:r w:rsidRPr="00EB2BD8">
              <w:rPr>
                <w:spacing w:val="-2"/>
                <w:sz w:val="16"/>
              </w:rPr>
              <w:t>70</w:t>
            </w:r>
            <w:r w:rsidRPr="00EB2BD8">
              <w:rPr>
                <w:spacing w:val="-8"/>
                <w:sz w:val="16"/>
              </w:rPr>
              <w:t xml:space="preserve"> </w:t>
            </w:r>
            <w:r w:rsidRPr="00EB2BD8">
              <w:rPr>
                <w:spacing w:val="-2"/>
                <w:sz w:val="16"/>
              </w:rPr>
              <w:t>per</w:t>
            </w:r>
            <w:r w:rsidRPr="00EB2BD8">
              <w:rPr>
                <w:spacing w:val="-8"/>
                <w:sz w:val="16"/>
              </w:rPr>
              <w:t xml:space="preserve"> </w:t>
            </w:r>
            <w:r w:rsidRPr="00EB2BD8">
              <w:rPr>
                <w:spacing w:val="-2"/>
                <w:sz w:val="16"/>
              </w:rPr>
              <w:t>cent</w:t>
            </w:r>
            <w:r w:rsidRPr="00EB2BD8">
              <w:rPr>
                <w:spacing w:val="-8"/>
                <w:sz w:val="16"/>
              </w:rPr>
              <w:t xml:space="preserve"> </w:t>
            </w:r>
            <w:r w:rsidRPr="00EB2BD8">
              <w:rPr>
                <w:spacing w:val="-2"/>
                <w:sz w:val="16"/>
              </w:rPr>
              <w:t>for</w:t>
            </w:r>
            <w:r w:rsidRPr="00EB2BD8">
              <w:rPr>
                <w:spacing w:val="-8"/>
                <w:sz w:val="16"/>
              </w:rPr>
              <w:t xml:space="preserve"> </w:t>
            </w:r>
            <w:r w:rsidRPr="00EB2BD8">
              <w:rPr>
                <w:spacing w:val="-2"/>
                <w:sz w:val="16"/>
              </w:rPr>
              <w:t>2022</w:t>
            </w:r>
            <w:r w:rsidRPr="00EB2BD8">
              <w:rPr>
                <w:spacing w:val="-8"/>
                <w:sz w:val="16"/>
              </w:rPr>
              <w:t xml:space="preserve"> </w:t>
            </w:r>
            <w:r w:rsidRPr="00EB2BD8">
              <w:rPr>
                <w:spacing w:val="-2"/>
                <w:sz w:val="16"/>
              </w:rPr>
              <w:t>and</w:t>
            </w:r>
            <w:r w:rsidRPr="00EB2BD8">
              <w:rPr>
                <w:spacing w:val="-7"/>
                <w:sz w:val="16"/>
              </w:rPr>
              <w:t xml:space="preserve"> </w:t>
            </w:r>
            <w:r w:rsidRPr="00EB2BD8">
              <w:rPr>
                <w:spacing w:val="-2"/>
                <w:sz w:val="16"/>
              </w:rPr>
              <w:t>80</w:t>
            </w:r>
            <w:r w:rsidRPr="00EB2BD8">
              <w:rPr>
                <w:spacing w:val="-8"/>
                <w:sz w:val="16"/>
              </w:rPr>
              <w:t xml:space="preserve"> </w:t>
            </w:r>
            <w:r w:rsidRPr="00EB2BD8">
              <w:rPr>
                <w:spacing w:val="-2"/>
                <w:sz w:val="16"/>
              </w:rPr>
              <w:t>per</w:t>
            </w:r>
            <w:r w:rsidRPr="00EB2BD8">
              <w:rPr>
                <w:spacing w:val="-8"/>
                <w:sz w:val="16"/>
              </w:rPr>
              <w:t xml:space="preserve"> </w:t>
            </w:r>
            <w:r w:rsidRPr="00EB2BD8">
              <w:rPr>
                <w:spacing w:val="-2"/>
                <w:sz w:val="16"/>
              </w:rPr>
              <w:t>cent</w:t>
            </w:r>
            <w:r w:rsidRPr="00EB2BD8">
              <w:rPr>
                <w:spacing w:val="-8"/>
                <w:sz w:val="16"/>
              </w:rPr>
              <w:t xml:space="preserve"> </w:t>
            </w:r>
            <w:r w:rsidRPr="00EB2BD8">
              <w:rPr>
                <w:spacing w:val="-2"/>
                <w:sz w:val="16"/>
              </w:rPr>
              <w:t>for</w:t>
            </w:r>
            <w:r w:rsidRPr="00EB2BD8">
              <w:rPr>
                <w:spacing w:val="-8"/>
                <w:sz w:val="16"/>
              </w:rPr>
              <w:t xml:space="preserve"> </w:t>
            </w:r>
            <w:r w:rsidRPr="00EB2BD8">
              <w:rPr>
                <w:spacing w:val="-4"/>
                <w:sz w:val="16"/>
              </w:rPr>
              <w:t>2023.</w:t>
            </w:r>
          </w:p>
        </w:tc>
        <w:tc>
          <w:tcPr>
            <w:tcW w:w="1020" w:type="dxa"/>
            <w:tcBorders>
              <w:top w:val="single" w:sz="2" w:space="0" w:color="000000"/>
              <w:bottom w:val="single" w:sz="2" w:space="0" w:color="000000"/>
            </w:tcBorders>
          </w:tcPr>
          <w:p w14:paraId="1720D471" w14:textId="77777777" w:rsidR="00084F36" w:rsidRPr="00EB2BD8" w:rsidRDefault="00EB2BD8">
            <w:pPr>
              <w:pStyle w:val="TableParagraph"/>
              <w:spacing w:before="116"/>
              <w:ind w:right="151"/>
              <w:jc w:val="right"/>
              <w:rPr>
                <w:sz w:val="16"/>
              </w:rPr>
            </w:pPr>
            <w:r w:rsidRPr="00EB2BD8">
              <w:rPr>
                <w:spacing w:val="-2"/>
                <w:sz w:val="16"/>
              </w:rPr>
              <w:t>Complete</w:t>
            </w:r>
          </w:p>
        </w:tc>
        <w:tc>
          <w:tcPr>
            <w:tcW w:w="1379" w:type="dxa"/>
            <w:tcBorders>
              <w:top w:val="single" w:sz="2" w:space="0" w:color="000000"/>
              <w:bottom w:val="single" w:sz="2" w:space="0" w:color="000000"/>
            </w:tcBorders>
          </w:tcPr>
          <w:p w14:paraId="6182AC85" w14:textId="77777777" w:rsidR="00084F36" w:rsidRPr="00EB2BD8" w:rsidRDefault="00EB2BD8">
            <w:pPr>
              <w:pStyle w:val="TableParagraph"/>
              <w:spacing w:before="116"/>
              <w:ind w:right="114"/>
              <w:jc w:val="right"/>
              <w:rPr>
                <w:sz w:val="16"/>
              </w:rPr>
            </w:pPr>
            <w:r w:rsidRPr="00EB2BD8">
              <w:rPr>
                <w:spacing w:val="-5"/>
                <w:sz w:val="16"/>
              </w:rPr>
              <w:t>55</w:t>
            </w:r>
          </w:p>
        </w:tc>
      </w:tr>
      <w:tr w:rsidR="00EB2BD8" w:rsidRPr="00EB2BD8" w14:paraId="1A989665" w14:textId="77777777">
        <w:trPr>
          <w:trHeight w:val="581"/>
        </w:trPr>
        <w:tc>
          <w:tcPr>
            <w:tcW w:w="8072" w:type="dxa"/>
            <w:tcBorders>
              <w:top w:val="single" w:sz="2" w:space="0" w:color="000000"/>
              <w:bottom w:val="single" w:sz="2" w:space="0" w:color="000000"/>
            </w:tcBorders>
          </w:tcPr>
          <w:p w14:paraId="32150F20" w14:textId="77777777" w:rsidR="00084F36" w:rsidRPr="00EB2BD8" w:rsidRDefault="00EB2BD8">
            <w:pPr>
              <w:pStyle w:val="TableParagraph"/>
              <w:tabs>
                <w:tab w:val="left" w:pos="1152"/>
              </w:tabs>
              <w:spacing w:before="116" w:line="254" w:lineRule="auto"/>
              <w:ind w:left="1152" w:right="656" w:hanging="1040"/>
              <w:rPr>
                <w:sz w:val="16"/>
              </w:rPr>
            </w:pPr>
            <w:r w:rsidRPr="00EB2BD8">
              <w:rPr>
                <w:spacing w:val="-10"/>
                <w:sz w:val="16"/>
              </w:rPr>
              <w:t>7</w:t>
            </w:r>
            <w:r w:rsidRPr="00EB2BD8">
              <w:rPr>
                <w:sz w:val="16"/>
              </w:rPr>
              <w:tab/>
              <w:t>By</w:t>
            </w:r>
            <w:r w:rsidRPr="00EB2BD8">
              <w:rPr>
                <w:spacing w:val="-3"/>
                <w:sz w:val="16"/>
              </w:rPr>
              <w:t xml:space="preserve"> </w:t>
            </w:r>
            <w:r w:rsidRPr="00EB2BD8">
              <w:rPr>
                <w:sz w:val="16"/>
              </w:rPr>
              <w:t>June</w:t>
            </w:r>
            <w:r w:rsidRPr="00EB2BD8">
              <w:rPr>
                <w:spacing w:val="-3"/>
                <w:sz w:val="16"/>
              </w:rPr>
              <w:t xml:space="preserve"> </w:t>
            </w:r>
            <w:r w:rsidRPr="00EB2BD8">
              <w:rPr>
                <w:sz w:val="16"/>
              </w:rPr>
              <w:t>2023,</w:t>
            </w:r>
            <w:r w:rsidRPr="00EB2BD8">
              <w:rPr>
                <w:spacing w:val="-3"/>
                <w:sz w:val="16"/>
              </w:rPr>
              <w:t xml:space="preserve"> </w:t>
            </w:r>
            <w:r w:rsidRPr="00EB2BD8">
              <w:rPr>
                <w:sz w:val="16"/>
              </w:rPr>
              <w:t>automate</w:t>
            </w:r>
            <w:r w:rsidRPr="00EB2BD8">
              <w:rPr>
                <w:spacing w:val="-3"/>
                <w:sz w:val="16"/>
              </w:rPr>
              <w:t xml:space="preserve"> </w:t>
            </w:r>
            <w:r w:rsidRPr="00EB2BD8">
              <w:rPr>
                <w:sz w:val="16"/>
              </w:rPr>
              <w:t>data</w:t>
            </w:r>
            <w:r w:rsidRPr="00EB2BD8">
              <w:rPr>
                <w:spacing w:val="-3"/>
                <w:sz w:val="16"/>
              </w:rPr>
              <w:t xml:space="preserve"> </w:t>
            </w:r>
            <w:r w:rsidRPr="00EB2BD8">
              <w:rPr>
                <w:sz w:val="16"/>
              </w:rPr>
              <w:t>analytics</w:t>
            </w:r>
            <w:r w:rsidRPr="00EB2BD8">
              <w:rPr>
                <w:spacing w:val="-3"/>
                <w:sz w:val="16"/>
              </w:rPr>
              <w:t xml:space="preserve"> </w:t>
            </w:r>
            <w:r w:rsidRPr="00EB2BD8">
              <w:rPr>
                <w:sz w:val="16"/>
              </w:rPr>
              <w:t>to</w:t>
            </w:r>
            <w:r w:rsidRPr="00EB2BD8">
              <w:rPr>
                <w:spacing w:val="-3"/>
                <w:sz w:val="16"/>
              </w:rPr>
              <w:t xml:space="preserve"> </w:t>
            </w:r>
            <w:r w:rsidRPr="00EB2BD8">
              <w:rPr>
                <w:sz w:val="16"/>
              </w:rPr>
              <w:t>enhance</w:t>
            </w:r>
            <w:r w:rsidRPr="00EB2BD8">
              <w:rPr>
                <w:spacing w:val="-3"/>
                <w:sz w:val="16"/>
              </w:rPr>
              <w:t xml:space="preserve"> </w:t>
            </w:r>
            <w:r w:rsidRPr="00EB2BD8">
              <w:rPr>
                <w:sz w:val="16"/>
              </w:rPr>
              <w:t>oversight</w:t>
            </w:r>
            <w:r w:rsidRPr="00EB2BD8">
              <w:rPr>
                <w:spacing w:val="-3"/>
                <w:sz w:val="16"/>
              </w:rPr>
              <w:t xml:space="preserve"> </w:t>
            </w:r>
            <w:r w:rsidRPr="00EB2BD8">
              <w:rPr>
                <w:sz w:val="16"/>
              </w:rPr>
              <w:t>and</w:t>
            </w:r>
            <w:r w:rsidRPr="00EB2BD8">
              <w:rPr>
                <w:spacing w:val="-3"/>
                <w:sz w:val="16"/>
              </w:rPr>
              <w:t xml:space="preserve"> </w:t>
            </w:r>
            <w:r w:rsidRPr="00EB2BD8">
              <w:rPr>
                <w:sz w:val="16"/>
              </w:rPr>
              <w:t>transparency</w:t>
            </w:r>
            <w:r w:rsidRPr="00EB2BD8">
              <w:rPr>
                <w:spacing w:val="-3"/>
                <w:sz w:val="16"/>
              </w:rPr>
              <w:t xml:space="preserve"> </w:t>
            </w:r>
            <w:r w:rsidRPr="00EB2BD8">
              <w:rPr>
                <w:sz w:val="16"/>
              </w:rPr>
              <w:t>of regulated</w:t>
            </w:r>
            <w:r w:rsidRPr="00EB2BD8">
              <w:rPr>
                <w:spacing w:val="-13"/>
                <w:sz w:val="16"/>
              </w:rPr>
              <w:t xml:space="preserve"> </w:t>
            </w:r>
            <w:r w:rsidRPr="00EB2BD8">
              <w:rPr>
                <w:sz w:val="16"/>
              </w:rPr>
              <w:t>activities.</w:t>
            </w:r>
          </w:p>
        </w:tc>
        <w:tc>
          <w:tcPr>
            <w:tcW w:w="1020" w:type="dxa"/>
            <w:tcBorders>
              <w:top w:val="single" w:sz="2" w:space="0" w:color="000000"/>
              <w:bottom w:val="single" w:sz="2" w:space="0" w:color="000000"/>
            </w:tcBorders>
          </w:tcPr>
          <w:p w14:paraId="6CF20488" w14:textId="77777777" w:rsidR="00084F36" w:rsidRPr="00EB2BD8" w:rsidRDefault="00EB2BD8">
            <w:pPr>
              <w:pStyle w:val="TableParagraph"/>
              <w:spacing w:before="116"/>
              <w:ind w:right="151"/>
              <w:jc w:val="right"/>
              <w:rPr>
                <w:sz w:val="16"/>
              </w:rPr>
            </w:pPr>
            <w:r w:rsidRPr="00EB2BD8">
              <w:rPr>
                <w:spacing w:val="-2"/>
                <w:sz w:val="16"/>
              </w:rPr>
              <w:t>Complete</w:t>
            </w:r>
          </w:p>
        </w:tc>
        <w:tc>
          <w:tcPr>
            <w:tcW w:w="1379" w:type="dxa"/>
            <w:tcBorders>
              <w:top w:val="single" w:sz="2" w:space="0" w:color="000000"/>
              <w:bottom w:val="single" w:sz="2" w:space="0" w:color="000000"/>
            </w:tcBorders>
          </w:tcPr>
          <w:p w14:paraId="1BA4C14E" w14:textId="77777777" w:rsidR="00084F36" w:rsidRPr="00EB2BD8" w:rsidRDefault="00EB2BD8">
            <w:pPr>
              <w:pStyle w:val="TableParagraph"/>
              <w:spacing w:before="116"/>
              <w:ind w:right="114"/>
              <w:jc w:val="right"/>
              <w:rPr>
                <w:sz w:val="16"/>
              </w:rPr>
            </w:pPr>
            <w:r w:rsidRPr="00EB2BD8">
              <w:rPr>
                <w:spacing w:val="-5"/>
                <w:sz w:val="16"/>
              </w:rPr>
              <w:t>42</w:t>
            </w:r>
          </w:p>
        </w:tc>
      </w:tr>
      <w:tr w:rsidR="00EB2BD8" w:rsidRPr="00EB2BD8" w14:paraId="299E52A7" w14:textId="77777777">
        <w:trPr>
          <w:trHeight w:val="781"/>
        </w:trPr>
        <w:tc>
          <w:tcPr>
            <w:tcW w:w="8072" w:type="dxa"/>
            <w:tcBorders>
              <w:top w:val="single" w:sz="2" w:space="0" w:color="000000"/>
              <w:bottom w:val="single" w:sz="2" w:space="0" w:color="000000"/>
            </w:tcBorders>
          </w:tcPr>
          <w:p w14:paraId="6ACE57FC" w14:textId="77777777" w:rsidR="00084F36" w:rsidRPr="00EB2BD8" w:rsidRDefault="00EB2BD8">
            <w:pPr>
              <w:pStyle w:val="TableParagraph"/>
              <w:tabs>
                <w:tab w:val="left" w:pos="1152"/>
              </w:tabs>
              <w:spacing w:before="115" w:line="254" w:lineRule="auto"/>
              <w:ind w:left="1152" w:right="434" w:hanging="1040"/>
              <w:rPr>
                <w:sz w:val="16"/>
              </w:rPr>
            </w:pPr>
            <w:r w:rsidRPr="00EB2BD8">
              <w:rPr>
                <w:spacing w:val="-10"/>
                <w:sz w:val="16"/>
              </w:rPr>
              <w:t>8</w:t>
            </w:r>
            <w:r w:rsidRPr="00EB2BD8">
              <w:rPr>
                <w:sz w:val="16"/>
              </w:rPr>
              <w:tab/>
              <w:t>By</w:t>
            </w:r>
            <w:r w:rsidRPr="00EB2BD8">
              <w:rPr>
                <w:spacing w:val="-4"/>
                <w:sz w:val="16"/>
              </w:rPr>
              <w:t xml:space="preserve"> </w:t>
            </w:r>
            <w:r w:rsidRPr="00EB2BD8">
              <w:rPr>
                <w:sz w:val="16"/>
              </w:rPr>
              <w:t>June</w:t>
            </w:r>
            <w:r w:rsidRPr="00EB2BD8">
              <w:rPr>
                <w:spacing w:val="-4"/>
                <w:sz w:val="16"/>
              </w:rPr>
              <w:t xml:space="preserve"> </w:t>
            </w:r>
            <w:r w:rsidRPr="00EB2BD8">
              <w:rPr>
                <w:sz w:val="16"/>
              </w:rPr>
              <w:t>2023,</w:t>
            </w:r>
            <w:r w:rsidRPr="00EB2BD8">
              <w:rPr>
                <w:spacing w:val="-4"/>
                <w:sz w:val="16"/>
              </w:rPr>
              <w:t xml:space="preserve"> </w:t>
            </w:r>
            <w:r w:rsidRPr="00EB2BD8">
              <w:rPr>
                <w:sz w:val="16"/>
              </w:rPr>
              <w:t>Building</w:t>
            </w:r>
            <w:r w:rsidRPr="00EB2BD8">
              <w:rPr>
                <w:spacing w:val="-4"/>
                <w:sz w:val="16"/>
              </w:rPr>
              <w:t xml:space="preserve"> </w:t>
            </w:r>
            <w:r w:rsidRPr="00EB2BD8">
              <w:rPr>
                <w:sz w:val="16"/>
              </w:rPr>
              <w:t>Surveyor</w:t>
            </w:r>
            <w:r w:rsidRPr="00EB2BD8">
              <w:rPr>
                <w:spacing w:val="-4"/>
                <w:sz w:val="16"/>
              </w:rPr>
              <w:t xml:space="preserve"> </w:t>
            </w:r>
            <w:r w:rsidRPr="00EB2BD8">
              <w:rPr>
                <w:sz w:val="16"/>
              </w:rPr>
              <w:t>Audit</w:t>
            </w:r>
            <w:r w:rsidRPr="00EB2BD8">
              <w:rPr>
                <w:spacing w:val="-4"/>
                <w:sz w:val="16"/>
              </w:rPr>
              <w:t xml:space="preserve"> </w:t>
            </w:r>
            <w:r w:rsidRPr="00EB2BD8">
              <w:rPr>
                <w:sz w:val="16"/>
              </w:rPr>
              <w:t>Program</w:t>
            </w:r>
            <w:r w:rsidRPr="00EB2BD8">
              <w:rPr>
                <w:spacing w:val="-4"/>
                <w:sz w:val="16"/>
              </w:rPr>
              <w:t xml:space="preserve"> </w:t>
            </w:r>
            <w:r w:rsidRPr="00EB2BD8">
              <w:rPr>
                <w:sz w:val="16"/>
              </w:rPr>
              <w:t>and</w:t>
            </w:r>
            <w:r w:rsidRPr="00EB2BD8">
              <w:rPr>
                <w:spacing w:val="-4"/>
                <w:sz w:val="16"/>
              </w:rPr>
              <w:t xml:space="preserve"> </w:t>
            </w:r>
            <w:r w:rsidRPr="00EB2BD8">
              <w:rPr>
                <w:sz w:val="16"/>
              </w:rPr>
              <w:t>provision</w:t>
            </w:r>
            <w:r w:rsidRPr="00EB2BD8">
              <w:rPr>
                <w:spacing w:val="-4"/>
                <w:sz w:val="16"/>
              </w:rPr>
              <w:t xml:space="preserve"> </w:t>
            </w:r>
            <w:r w:rsidRPr="00EB2BD8">
              <w:rPr>
                <w:sz w:val="16"/>
              </w:rPr>
              <w:t>of</w:t>
            </w:r>
            <w:r w:rsidRPr="00EB2BD8">
              <w:rPr>
                <w:spacing w:val="-4"/>
                <w:sz w:val="16"/>
              </w:rPr>
              <w:t xml:space="preserve"> </w:t>
            </w:r>
            <w:r w:rsidRPr="00EB2BD8">
              <w:rPr>
                <w:sz w:val="16"/>
              </w:rPr>
              <w:t>guidance</w:t>
            </w:r>
            <w:r w:rsidRPr="00EB2BD8">
              <w:rPr>
                <w:spacing w:val="-4"/>
                <w:sz w:val="16"/>
              </w:rPr>
              <w:t xml:space="preserve"> </w:t>
            </w:r>
            <w:r w:rsidRPr="00EB2BD8">
              <w:rPr>
                <w:sz w:val="16"/>
              </w:rPr>
              <w:t>materials established to focus on identified compliance risks. Indicators to show compliance improvements in targeted risk areas in comparison to year 2021.</w:t>
            </w:r>
          </w:p>
        </w:tc>
        <w:tc>
          <w:tcPr>
            <w:tcW w:w="1020" w:type="dxa"/>
            <w:tcBorders>
              <w:top w:val="single" w:sz="2" w:space="0" w:color="000000"/>
              <w:bottom w:val="single" w:sz="2" w:space="0" w:color="000000"/>
            </w:tcBorders>
          </w:tcPr>
          <w:p w14:paraId="091260B3" w14:textId="77777777" w:rsidR="00084F36" w:rsidRPr="00EB2BD8" w:rsidRDefault="00EB2BD8">
            <w:pPr>
              <w:pStyle w:val="TableParagraph"/>
              <w:spacing w:before="115" w:line="254" w:lineRule="auto"/>
              <w:ind w:left="145" w:firstLine="86"/>
              <w:rPr>
                <w:sz w:val="16"/>
              </w:rPr>
            </w:pPr>
            <w:r w:rsidRPr="00EB2BD8">
              <w:rPr>
                <w:spacing w:val="-2"/>
                <w:sz w:val="16"/>
              </w:rPr>
              <w:t>Partially complete</w:t>
            </w:r>
          </w:p>
        </w:tc>
        <w:tc>
          <w:tcPr>
            <w:tcW w:w="1379" w:type="dxa"/>
            <w:tcBorders>
              <w:top w:val="single" w:sz="2" w:space="0" w:color="000000"/>
              <w:bottom w:val="single" w:sz="2" w:space="0" w:color="000000"/>
            </w:tcBorders>
          </w:tcPr>
          <w:p w14:paraId="21147A23" w14:textId="77777777" w:rsidR="00084F36" w:rsidRPr="00EB2BD8" w:rsidRDefault="00EB2BD8">
            <w:pPr>
              <w:pStyle w:val="TableParagraph"/>
              <w:spacing w:before="115"/>
              <w:ind w:right="114"/>
              <w:jc w:val="right"/>
              <w:rPr>
                <w:sz w:val="16"/>
              </w:rPr>
            </w:pPr>
            <w:r w:rsidRPr="00EB2BD8">
              <w:rPr>
                <w:spacing w:val="-2"/>
                <w:w w:val="80"/>
                <w:sz w:val="16"/>
              </w:rPr>
              <w:t>23,</w:t>
            </w:r>
            <w:r w:rsidRPr="00EB2BD8">
              <w:rPr>
                <w:spacing w:val="-3"/>
                <w:w w:val="90"/>
                <w:sz w:val="16"/>
              </w:rPr>
              <w:t xml:space="preserve"> </w:t>
            </w:r>
            <w:r w:rsidRPr="00EB2BD8">
              <w:rPr>
                <w:spacing w:val="-5"/>
                <w:w w:val="90"/>
                <w:sz w:val="16"/>
              </w:rPr>
              <w:t>59</w:t>
            </w:r>
          </w:p>
        </w:tc>
      </w:tr>
      <w:tr w:rsidR="00EB2BD8" w:rsidRPr="00EB2BD8" w14:paraId="7DDC0FEA" w14:textId="77777777">
        <w:trPr>
          <w:trHeight w:val="581"/>
        </w:trPr>
        <w:tc>
          <w:tcPr>
            <w:tcW w:w="8072" w:type="dxa"/>
            <w:tcBorders>
              <w:top w:val="single" w:sz="2" w:space="0" w:color="000000"/>
              <w:bottom w:val="single" w:sz="2" w:space="0" w:color="000000"/>
            </w:tcBorders>
          </w:tcPr>
          <w:p w14:paraId="39D5A483" w14:textId="77777777" w:rsidR="00084F36" w:rsidRPr="00EB2BD8" w:rsidRDefault="00EB2BD8">
            <w:pPr>
              <w:pStyle w:val="TableParagraph"/>
              <w:tabs>
                <w:tab w:val="left" w:pos="1152"/>
              </w:tabs>
              <w:spacing w:before="115" w:line="254" w:lineRule="auto"/>
              <w:ind w:left="1152" w:right="536" w:hanging="1040"/>
              <w:rPr>
                <w:sz w:val="16"/>
              </w:rPr>
            </w:pPr>
            <w:r w:rsidRPr="00EB2BD8">
              <w:rPr>
                <w:spacing w:val="-10"/>
                <w:sz w:val="16"/>
              </w:rPr>
              <w:t>9</w:t>
            </w:r>
            <w:r w:rsidRPr="00EB2BD8">
              <w:rPr>
                <w:sz w:val="16"/>
              </w:rPr>
              <w:tab/>
              <w:t>By</w:t>
            </w:r>
            <w:r w:rsidRPr="00EB2BD8">
              <w:rPr>
                <w:spacing w:val="-12"/>
                <w:sz w:val="16"/>
              </w:rPr>
              <w:t xml:space="preserve"> </w:t>
            </w:r>
            <w:r w:rsidRPr="00EB2BD8">
              <w:rPr>
                <w:sz w:val="16"/>
              </w:rPr>
              <w:t>June</w:t>
            </w:r>
            <w:r w:rsidRPr="00EB2BD8">
              <w:rPr>
                <w:spacing w:val="-12"/>
                <w:sz w:val="16"/>
              </w:rPr>
              <w:t xml:space="preserve"> </w:t>
            </w:r>
            <w:r w:rsidRPr="00EB2BD8">
              <w:rPr>
                <w:sz w:val="16"/>
              </w:rPr>
              <w:t>2023,</w:t>
            </w:r>
            <w:r w:rsidRPr="00EB2BD8">
              <w:rPr>
                <w:spacing w:val="-12"/>
                <w:sz w:val="16"/>
              </w:rPr>
              <w:t xml:space="preserve"> </w:t>
            </w:r>
            <w:r w:rsidRPr="00EB2BD8">
              <w:rPr>
                <w:sz w:val="16"/>
              </w:rPr>
              <w:t>work</w:t>
            </w:r>
            <w:r w:rsidRPr="00EB2BD8">
              <w:rPr>
                <w:spacing w:val="-12"/>
                <w:sz w:val="16"/>
              </w:rPr>
              <w:t xml:space="preserve"> </w:t>
            </w:r>
            <w:r w:rsidRPr="00EB2BD8">
              <w:rPr>
                <w:sz w:val="16"/>
              </w:rPr>
              <w:t>with</w:t>
            </w:r>
            <w:r w:rsidRPr="00EB2BD8">
              <w:rPr>
                <w:spacing w:val="-12"/>
                <w:sz w:val="16"/>
              </w:rPr>
              <w:t xml:space="preserve"> </w:t>
            </w:r>
            <w:r w:rsidRPr="00EB2BD8">
              <w:rPr>
                <w:sz w:val="16"/>
              </w:rPr>
              <w:t>regulatory</w:t>
            </w:r>
            <w:r w:rsidRPr="00EB2BD8">
              <w:rPr>
                <w:spacing w:val="-12"/>
                <w:sz w:val="16"/>
              </w:rPr>
              <w:t xml:space="preserve"> </w:t>
            </w:r>
            <w:r w:rsidRPr="00EB2BD8">
              <w:rPr>
                <w:sz w:val="16"/>
              </w:rPr>
              <w:t>partners</w:t>
            </w:r>
            <w:r w:rsidRPr="00EB2BD8">
              <w:rPr>
                <w:spacing w:val="-12"/>
                <w:sz w:val="16"/>
              </w:rPr>
              <w:t xml:space="preserve"> </w:t>
            </w:r>
            <w:r w:rsidRPr="00EB2BD8">
              <w:rPr>
                <w:sz w:val="16"/>
              </w:rPr>
              <w:t>to</w:t>
            </w:r>
            <w:r w:rsidRPr="00EB2BD8">
              <w:rPr>
                <w:spacing w:val="-12"/>
                <w:sz w:val="16"/>
              </w:rPr>
              <w:t xml:space="preserve"> </w:t>
            </w:r>
            <w:r w:rsidRPr="00EB2BD8">
              <w:rPr>
                <w:sz w:val="16"/>
              </w:rPr>
              <w:t>address</w:t>
            </w:r>
            <w:r w:rsidRPr="00EB2BD8">
              <w:rPr>
                <w:spacing w:val="-12"/>
                <w:sz w:val="16"/>
              </w:rPr>
              <w:t xml:space="preserve"> </w:t>
            </w:r>
            <w:r w:rsidRPr="00EB2BD8">
              <w:rPr>
                <w:sz w:val="16"/>
              </w:rPr>
              <w:t>complex</w:t>
            </w:r>
            <w:r w:rsidRPr="00EB2BD8">
              <w:rPr>
                <w:spacing w:val="-12"/>
                <w:sz w:val="16"/>
              </w:rPr>
              <w:t xml:space="preserve"> </w:t>
            </w:r>
            <w:r w:rsidRPr="00EB2BD8">
              <w:rPr>
                <w:sz w:val="16"/>
              </w:rPr>
              <w:t>and</w:t>
            </w:r>
            <w:r w:rsidRPr="00EB2BD8">
              <w:rPr>
                <w:spacing w:val="-12"/>
                <w:sz w:val="16"/>
              </w:rPr>
              <w:t xml:space="preserve"> </w:t>
            </w:r>
            <w:r w:rsidRPr="00EB2BD8">
              <w:rPr>
                <w:sz w:val="16"/>
              </w:rPr>
              <w:t>long-standing building</w:t>
            </w:r>
            <w:r w:rsidRPr="00EB2BD8">
              <w:rPr>
                <w:spacing w:val="-4"/>
                <w:sz w:val="16"/>
              </w:rPr>
              <w:t xml:space="preserve"> </w:t>
            </w:r>
            <w:r w:rsidRPr="00EB2BD8">
              <w:rPr>
                <w:sz w:val="16"/>
              </w:rPr>
              <w:t>permit</w:t>
            </w:r>
            <w:r w:rsidRPr="00EB2BD8">
              <w:rPr>
                <w:spacing w:val="-4"/>
                <w:sz w:val="16"/>
              </w:rPr>
              <w:t xml:space="preserve"> </w:t>
            </w:r>
            <w:r w:rsidRPr="00EB2BD8">
              <w:rPr>
                <w:sz w:val="16"/>
              </w:rPr>
              <w:t>and</w:t>
            </w:r>
            <w:r w:rsidRPr="00EB2BD8">
              <w:rPr>
                <w:spacing w:val="-4"/>
                <w:sz w:val="16"/>
              </w:rPr>
              <w:t xml:space="preserve"> </w:t>
            </w:r>
            <w:r w:rsidRPr="00EB2BD8">
              <w:rPr>
                <w:sz w:val="16"/>
              </w:rPr>
              <w:t>enforcement</w:t>
            </w:r>
            <w:r w:rsidRPr="00EB2BD8">
              <w:rPr>
                <w:spacing w:val="-4"/>
                <w:sz w:val="16"/>
              </w:rPr>
              <w:t xml:space="preserve"> </w:t>
            </w:r>
            <w:r w:rsidRPr="00EB2BD8">
              <w:rPr>
                <w:sz w:val="16"/>
              </w:rPr>
              <w:t>matters</w:t>
            </w:r>
            <w:r w:rsidRPr="00EB2BD8">
              <w:rPr>
                <w:spacing w:val="-4"/>
                <w:sz w:val="16"/>
              </w:rPr>
              <w:t xml:space="preserve"> </w:t>
            </w:r>
            <w:r w:rsidRPr="00EB2BD8">
              <w:rPr>
                <w:sz w:val="16"/>
              </w:rPr>
              <w:t>to</w:t>
            </w:r>
            <w:r w:rsidRPr="00EB2BD8">
              <w:rPr>
                <w:spacing w:val="-4"/>
                <w:sz w:val="16"/>
              </w:rPr>
              <w:t xml:space="preserve"> </w:t>
            </w:r>
            <w:r w:rsidRPr="00EB2BD8">
              <w:rPr>
                <w:sz w:val="16"/>
              </w:rPr>
              <w:t>ensure</w:t>
            </w:r>
            <w:r w:rsidRPr="00EB2BD8">
              <w:rPr>
                <w:spacing w:val="-4"/>
                <w:sz w:val="16"/>
              </w:rPr>
              <w:t xml:space="preserve"> </w:t>
            </w:r>
            <w:r w:rsidRPr="00EB2BD8">
              <w:rPr>
                <w:sz w:val="16"/>
              </w:rPr>
              <w:t>effective</w:t>
            </w:r>
            <w:r w:rsidRPr="00EB2BD8">
              <w:rPr>
                <w:spacing w:val="-4"/>
                <w:sz w:val="16"/>
              </w:rPr>
              <w:t xml:space="preserve"> </w:t>
            </w:r>
            <w:r w:rsidRPr="00EB2BD8">
              <w:rPr>
                <w:sz w:val="16"/>
              </w:rPr>
              <w:t>consumer</w:t>
            </w:r>
            <w:r w:rsidRPr="00EB2BD8">
              <w:rPr>
                <w:spacing w:val="-4"/>
                <w:sz w:val="16"/>
              </w:rPr>
              <w:t xml:space="preserve"> </w:t>
            </w:r>
            <w:r w:rsidRPr="00EB2BD8">
              <w:rPr>
                <w:sz w:val="16"/>
              </w:rPr>
              <w:t>outcomes.</w:t>
            </w:r>
          </w:p>
        </w:tc>
        <w:tc>
          <w:tcPr>
            <w:tcW w:w="1020" w:type="dxa"/>
            <w:tcBorders>
              <w:top w:val="single" w:sz="2" w:space="0" w:color="000000"/>
              <w:bottom w:val="single" w:sz="2" w:space="0" w:color="000000"/>
            </w:tcBorders>
          </w:tcPr>
          <w:p w14:paraId="5415193E" w14:textId="77777777" w:rsidR="00084F36" w:rsidRPr="00EB2BD8" w:rsidRDefault="00EB2BD8">
            <w:pPr>
              <w:pStyle w:val="TableParagraph"/>
              <w:spacing w:before="115"/>
              <w:ind w:right="153"/>
              <w:jc w:val="right"/>
              <w:rPr>
                <w:sz w:val="16"/>
              </w:rPr>
            </w:pPr>
            <w:r w:rsidRPr="00EB2BD8">
              <w:rPr>
                <w:spacing w:val="-2"/>
                <w:sz w:val="16"/>
              </w:rPr>
              <w:t>Ongoing</w:t>
            </w:r>
          </w:p>
        </w:tc>
        <w:tc>
          <w:tcPr>
            <w:tcW w:w="1379" w:type="dxa"/>
            <w:tcBorders>
              <w:top w:val="single" w:sz="2" w:space="0" w:color="000000"/>
              <w:bottom w:val="single" w:sz="2" w:space="0" w:color="000000"/>
            </w:tcBorders>
          </w:tcPr>
          <w:p w14:paraId="48764FB1" w14:textId="77777777" w:rsidR="00084F36" w:rsidRPr="00EB2BD8" w:rsidRDefault="00EB2BD8">
            <w:pPr>
              <w:pStyle w:val="TableParagraph"/>
              <w:spacing w:before="115"/>
              <w:ind w:right="114"/>
              <w:jc w:val="right"/>
              <w:rPr>
                <w:sz w:val="16"/>
              </w:rPr>
            </w:pPr>
            <w:r w:rsidRPr="00EB2BD8">
              <w:rPr>
                <w:w w:val="80"/>
                <w:sz w:val="16"/>
              </w:rPr>
              <w:t>15,</w:t>
            </w:r>
            <w:r w:rsidRPr="00EB2BD8">
              <w:rPr>
                <w:spacing w:val="-10"/>
                <w:sz w:val="16"/>
              </w:rPr>
              <w:t xml:space="preserve"> </w:t>
            </w:r>
            <w:r w:rsidRPr="00EB2BD8">
              <w:rPr>
                <w:w w:val="80"/>
                <w:sz w:val="16"/>
              </w:rPr>
              <w:t>26-</w:t>
            </w:r>
            <w:r w:rsidRPr="00EB2BD8">
              <w:rPr>
                <w:spacing w:val="-5"/>
                <w:w w:val="80"/>
                <w:sz w:val="16"/>
              </w:rPr>
              <w:t>27</w:t>
            </w:r>
          </w:p>
        </w:tc>
      </w:tr>
      <w:tr w:rsidR="00EB2BD8" w:rsidRPr="00EB2BD8" w14:paraId="147887FC" w14:textId="77777777">
        <w:trPr>
          <w:trHeight w:val="781"/>
        </w:trPr>
        <w:tc>
          <w:tcPr>
            <w:tcW w:w="8072" w:type="dxa"/>
            <w:tcBorders>
              <w:top w:val="single" w:sz="2" w:space="0" w:color="000000"/>
              <w:bottom w:val="single" w:sz="2" w:space="0" w:color="000000"/>
            </w:tcBorders>
          </w:tcPr>
          <w:p w14:paraId="7E5B834F" w14:textId="77777777" w:rsidR="00084F36" w:rsidRPr="00EB2BD8" w:rsidRDefault="00EB2BD8">
            <w:pPr>
              <w:pStyle w:val="TableParagraph"/>
              <w:tabs>
                <w:tab w:val="left" w:pos="1151"/>
              </w:tabs>
              <w:spacing w:before="115" w:line="254" w:lineRule="auto"/>
              <w:ind w:left="1151" w:right="114" w:hanging="1040"/>
              <w:rPr>
                <w:sz w:val="16"/>
              </w:rPr>
            </w:pPr>
            <w:r w:rsidRPr="00EB2BD8">
              <w:rPr>
                <w:spacing w:val="-6"/>
                <w:sz w:val="16"/>
              </w:rPr>
              <w:t>10</w:t>
            </w:r>
            <w:r w:rsidRPr="00EB2BD8">
              <w:rPr>
                <w:sz w:val="16"/>
              </w:rPr>
              <w:tab/>
              <w:t>By June 2023, strengthen consumer information by supporting the DELWP [Department of Environment, Land, Water and Planning] building consumer information service and aligning consumer communications with Consumer Affairs Victoria (CAV).</w:t>
            </w:r>
          </w:p>
        </w:tc>
        <w:tc>
          <w:tcPr>
            <w:tcW w:w="1020" w:type="dxa"/>
            <w:tcBorders>
              <w:top w:val="single" w:sz="2" w:space="0" w:color="000000"/>
              <w:bottom w:val="single" w:sz="2" w:space="0" w:color="000000"/>
            </w:tcBorders>
          </w:tcPr>
          <w:p w14:paraId="17C95EEB" w14:textId="77777777" w:rsidR="00084F36" w:rsidRPr="00EB2BD8" w:rsidRDefault="00EB2BD8">
            <w:pPr>
              <w:pStyle w:val="TableParagraph"/>
              <w:spacing w:before="115"/>
              <w:ind w:right="152"/>
              <w:jc w:val="right"/>
              <w:rPr>
                <w:sz w:val="16"/>
              </w:rPr>
            </w:pPr>
            <w:r w:rsidRPr="00EB2BD8">
              <w:rPr>
                <w:spacing w:val="-2"/>
                <w:sz w:val="16"/>
              </w:rPr>
              <w:t>Complete</w:t>
            </w:r>
          </w:p>
        </w:tc>
        <w:tc>
          <w:tcPr>
            <w:tcW w:w="1379" w:type="dxa"/>
            <w:tcBorders>
              <w:top w:val="single" w:sz="2" w:space="0" w:color="000000"/>
              <w:bottom w:val="single" w:sz="2" w:space="0" w:color="000000"/>
            </w:tcBorders>
          </w:tcPr>
          <w:p w14:paraId="234B2288" w14:textId="77777777" w:rsidR="00084F36" w:rsidRPr="00EB2BD8" w:rsidRDefault="00EB2BD8">
            <w:pPr>
              <w:pStyle w:val="TableParagraph"/>
              <w:spacing w:before="115"/>
              <w:ind w:right="115"/>
              <w:jc w:val="right"/>
              <w:rPr>
                <w:sz w:val="16"/>
              </w:rPr>
            </w:pPr>
            <w:r w:rsidRPr="00EB2BD8">
              <w:rPr>
                <w:spacing w:val="-5"/>
                <w:sz w:val="16"/>
              </w:rPr>
              <w:t>20</w:t>
            </w:r>
          </w:p>
        </w:tc>
      </w:tr>
      <w:tr w:rsidR="00EB2BD8" w:rsidRPr="00EB2BD8" w14:paraId="74FD97D1" w14:textId="77777777">
        <w:trPr>
          <w:trHeight w:val="311"/>
        </w:trPr>
        <w:tc>
          <w:tcPr>
            <w:tcW w:w="8072" w:type="dxa"/>
            <w:tcBorders>
              <w:top w:val="single" w:sz="2" w:space="0" w:color="000000"/>
            </w:tcBorders>
          </w:tcPr>
          <w:p w14:paraId="6F059A72" w14:textId="77777777" w:rsidR="00084F36" w:rsidRPr="00EB2BD8" w:rsidRDefault="00EB2BD8">
            <w:pPr>
              <w:pStyle w:val="TableParagraph"/>
              <w:tabs>
                <w:tab w:val="left" w:pos="1151"/>
              </w:tabs>
              <w:spacing w:before="115" w:line="175" w:lineRule="exact"/>
              <w:ind w:left="112"/>
              <w:rPr>
                <w:sz w:val="16"/>
              </w:rPr>
            </w:pPr>
            <w:r w:rsidRPr="00EB2BD8">
              <w:rPr>
                <w:spacing w:val="-5"/>
                <w:w w:val="95"/>
                <w:sz w:val="16"/>
              </w:rPr>
              <w:t>11</w:t>
            </w:r>
            <w:r w:rsidRPr="00EB2BD8">
              <w:rPr>
                <w:sz w:val="16"/>
              </w:rPr>
              <w:tab/>
              <w:t>By</w:t>
            </w:r>
            <w:r w:rsidRPr="00EB2BD8">
              <w:rPr>
                <w:spacing w:val="-6"/>
                <w:sz w:val="16"/>
              </w:rPr>
              <w:t xml:space="preserve"> </w:t>
            </w:r>
            <w:r w:rsidRPr="00EB2BD8">
              <w:rPr>
                <w:sz w:val="16"/>
              </w:rPr>
              <w:t>June</w:t>
            </w:r>
            <w:r w:rsidRPr="00EB2BD8">
              <w:rPr>
                <w:spacing w:val="-6"/>
                <w:sz w:val="16"/>
              </w:rPr>
              <w:t xml:space="preserve"> </w:t>
            </w:r>
            <w:r w:rsidRPr="00EB2BD8">
              <w:rPr>
                <w:sz w:val="16"/>
              </w:rPr>
              <w:t>2023,</w:t>
            </w:r>
            <w:r w:rsidRPr="00EB2BD8">
              <w:rPr>
                <w:spacing w:val="-5"/>
                <w:sz w:val="16"/>
              </w:rPr>
              <w:t xml:space="preserve"> </w:t>
            </w:r>
            <w:r w:rsidRPr="00EB2BD8">
              <w:rPr>
                <w:sz w:val="16"/>
              </w:rPr>
              <w:t>increase</w:t>
            </w:r>
            <w:r w:rsidRPr="00EB2BD8">
              <w:rPr>
                <w:spacing w:val="-6"/>
                <w:sz w:val="16"/>
              </w:rPr>
              <w:t xml:space="preserve"> </w:t>
            </w:r>
            <w:r w:rsidRPr="00EB2BD8">
              <w:rPr>
                <w:sz w:val="16"/>
              </w:rPr>
              <w:t>the</w:t>
            </w:r>
            <w:r w:rsidRPr="00EB2BD8">
              <w:rPr>
                <w:spacing w:val="-6"/>
                <w:sz w:val="16"/>
              </w:rPr>
              <w:t xml:space="preserve"> </w:t>
            </w:r>
            <w:r w:rsidRPr="00EB2BD8">
              <w:rPr>
                <w:sz w:val="16"/>
              </w:rPr>
              <w:t>awareness</w:t>
            </w:r>
            <w:r w:rsidRPr="00EB2BD8">
              <w:rPr>
                <w:spacing w:val="-5"/>
                <w:sz w:val="16"/>
              </w:rPr>
              <w:t xml:space="preserve"> </w:t>
            </w:r>
            <w:r w:rsidRPr="00EB2BD8">
              <w:rPr>
                <w:sz w:val="16"/>
              </w:rPr>
              <w:t>and</w:t>
            </w:r>
            <w:r w:rsidRPr="00EB2BD8">
              <w:rPr>
                <w:spacing w:val="-6"/>
                <w:sz w:val="16"/>
              </w:rPr>
              <w:t xml:space="preserve"> </w:t>
            </w:r>
            <w:r w:rsidRPr="00EB2BD8">
              <w:rPr>
                <w:sz w:val="16"/>
              </w:rPr>
              <w:t>compliance</w:t>
            </w:r>
            <w:r w:rsidRPr="00EB2BD8">
              <w:rPr>
                <w:spacing w:val="-5"/>
                <w:sz w:val="16"/>
              </w:rPr>
              <w:t xml:space="preserve"> </w:t>
            </w:r>
            <w:r w:rsidRPr="00EB2BD8">
              <w:rPr>
                <w:sz w:val="16"/>
              </w:rPr>
              <w:t>of</w:t>
            </w:r>
            <w:r w:rsidRPr="00EB2BD8">
              <w:rPr>
                <w:spacing w:val="-6"/>
                <w:sz w:val="16"/>
              </w:rPr>
              <w:t xml:space="preserve"> </w:t>
            </w:r>
            <w:r w:rsidRPr="00EB2BD8">
              <w:rPr>
                <w:sz w:val="16"/>
              </w:rPr>
              <w:t>industry,</w:t>
            </w:r>
            <w:r w:rsidRPr="00EB2BD8">
              <w:rPr>
                <w:spacing w:val="-6"/>
                <w:sz w:val="16"/>
              </w:rPr>
              <w:t xml:space="preserve"> </w:t>
            </w:r>
            <w:r w:rsidRPr="00EB2BD8">
              <w:rPr>
                <w:sz w:val="16"/>
              </w:rPr>
              <w:t>building</w:t>
            </w:r>
            <w:r w:rsidRPr="00EB2BD8">
              <w:rPr>
                <w:spacing w:val="-5"/>
                <w:sz w:val="16"/>
              </w:rPr>
              <w:t xml:space="preserve"> </w:t>
            </w:r>
            <w:r w:rsidRPr="00EB2BD8">
              <w:rPr>
                <w:sz w:val="16"/>
              </w:rPr>
              <w:t>owners</w:t>
            </w:r>
            <w:r w:rsidRPr="00EB2BD8">
              <w:rPr>
                <w:spacing w:val="-6"/>
                <w:sz w:val="16"/>
              </w:rPr>
              <w:t xml:space="preserve"> </w:t>
            </w:r>
            <w:r w:rsidRPr="00EB2BD8">
              <w:rPr>
                <w:spacing w:val="-5"/>
                <w:sz w:val="16"/>
              </w:rPr>
              <w:t>and</w:t>
            </w:r>
          </w:p>
        </w:tc>
        <w:tc>
          <w:tcPr>
            <w:tcW w:w="1020" w:type="dxa"/>
            <w:tcBorders>
              <w:top w:val="single" w:sz="2" w:space="0" w:color="000000"/>
            </w:tcBorders>
          </w:tcPr>
          <w:p w14:paraId="450307B1" w14:textId="77777777" w:rsidR="00084F36" w:rsidRPr="00EB2BD8" w:rsidRDefault="00EB2BD8">
            <w:pPr>
              <w:pStyle w:val="TableParagraph"/>
              <w:spacing w:before="115" w:line="175" w:lineRule="exact"/>
              <w:ind w:right="153"/>
              <w:jc w:val="right"/>
              <w:rPr>
                <w:sz w:val="16"/>
              </w:rPr>
            </w:pPr>
            <w:r w:rsidRPr="00EB2BD8">
              <w:rPr>
                <w:spacing w:val="-2"/>
                <w:w w:val="105"/>
                <w:sz w:val="16"/>
              </w:rPr>
              <w:t>Partially</w:t>
            </w:r>
          </w:p>
        </w:tc>
        <w:tc>
          <w:tcPr>
            <w:tcW w:w="1379" w:type="dxa"/>
            <w:tcBorders>
              <w:top w:val="single" w:sz="2" w:space="0" w:color="000000"/>
            </w:tcBorders>
          </w:tcPr>
          <w:p w14:paraId="204AE9F1" w14:textId="77777777" w:rsidR="00084F36" w:rsidRPr="00EB2BD8" w:rsidRDefault="00EB2BD8">
            <w:pPr>
              <w:pStyle w:val="TableParagraph"/>
              <w:spacing w:before="115" w:line="175" w:lineRule="exact"/>
              <w:ind w:right="114"/>
              <w:jc w:val="right"/>
              <w:rPr>
                <w:sz w:val="16"/>
              </w:rPr>
            </w:pPr>
            <w:r w:rsidRPr="00EB2BD8">
              <w:rPr>
                <w:spacing w:val="-2"/>
                <w:w w:val="85"/>
                <w:sz w:val="16"/>
              </w:rPr>
              <w:t>6,</w:t>
            </w:r>
            <w:r w:rsidRPr="00EB2BD8">
              <w:rPr>
                <w:spacing w:val="-4"/>
                <w:w w:val="85"/>
                <w:sz w:val="16"/>
              </w:rPr>
              <w:t xml:space="preserve"> </w:t>
            </w:r>
            <w:r w:rsidRPr="00EB2BD8">
              <w:rPr>
                <w:spacing w:val="-2"/>
                <w:w w:val="85"/>
                <w:sz w:val="16"/>
              </w:rPr>
              <w:t>29,</w:t>
            </w:r>
            <w:r w:rsidRPr="00EB2BD8">
              <w:rPr>
                <w:spacing w:val="-4"/>
                <w:w w:val="85"/>
                <w:sz w:val="16"/>
              </w:rPr>
              <w:t xml:space="preserve"> </w:t>
            </w:r>
            <w:r w:rsidRPr="00EB2BD8">
              <w:rPr>
                <w:spacing w:val="-2"/>
                <w:w w:val="85"/>
                <w:sz w:val="16"/>
              </w:rPr>
              <w:t>30,</w:t>
            </w:r>
            <w:r w:rsidRPr="00EB2BD8">
              <w:rPr>
                <w:spacing w:val="-4"/>
                <w:w w:val="85"/>
                <w:sz w:val="16"/>
              </w:rPr>
              <w:t xml:space="preserve"> </w:t>
            </w:r>
            <w:r w:rsidRPr="00EB2BD8">
              <w:rPr>
                <w:spacing w:val="-2"/>
                <w:w w:val="85"/>
                <w:sz w:val="16"/>
              </w:rPr>
              <w:t>34,</w:t>
            </w:r>
            <w:r w:rsidRPr="00EB2BD8">
              <w:rPr>
                <w:spacing w:val="-4"/>
                <w:w w:val="85"/>
                <w:sz w:val="16"/>
              </w:rPr>
              <w:t xml:space="preserve"> </w:t>
            </w:r>
            <w:r w:rsidRPr="00EB2BD8">
              <w:rPr>
                <w:spacing w:val="-5"/>
                <w:w w:val="85"/>
                <w:sz w:val="16"/>
              </w:rPr>
              <w:t>47,</w:t>
            </w:r>
          </w:p>
        </w:tc>
      </w:tr>
      <w:tr w:rsidR="00EB2BD8" w:rsidRPr="00EB2BD8" w14:paraId="4A4B9BF5" w14:textId="77777777">
        <w:trPr>
          <w:trHeight w:val="1010"/>
        </w:trPr>
        <w:tc>
          <w:tcPr>
            <w:tcW w:w="8072" w:type="dxa"/>
          </w:tcPr>
          <w:p w14:paraId="3FB621E4" w14:textId="77777777" w:rsidR="00084F36" w:rsidRPr="00EB2BD8" w:rsidRDefault="00EB2BD8">
            <w:pPr>
              <w:pStyle w:val="TableParagraph"/>
              <w:spacing w:before="4" w:line="254" w:lineRule="auto"/>
              <w:ind w:left="1151"/>
              <w:rPr>
                <w:sz w:val="16"/>
              </w:rPr>
            </w:pPr>
            <w:r w:rsidRPr="00EB2BD8">
              <w:rPr>
                <w:sz w:val="16"/>
              </w:rPr>
              <w:t>the</w:t>
            </w:r>
            <w:r w:rsidRPr="00EB2BD8">
              <w:rPr>
                <w:spacing w:val="-1"/>
                <w:sz w:val="16"/>
              </w:rPr>
              <w:t xml:space="preserve"> </w:t>
            </w:r>
            <w:r w:rsidRPr="00EB2BD8">
              <w:rPr>
                <w:sz w:val="16"/>
              </w:rPr>
              <w:t>community</w:t>
            </w:r>
            <w:r w:rsidRPr="00EB2BD8">
              <w:rPr>
                <w:spacing w:val="-1"/>
                <w:sz w:val="16"/>
              </w:rPr>
              <w:t xml:space="preserve"> </w:t>
            </w:r>
            <w:r w:rsidRPr="00EB2BD8">
              <w:rPr>
                <w:sz w:val="16"/>
              </w:rPr>
              <w:t>in</w:t>
            </w:r>
            <w:r w:rsidRPr="00EB2BD8">
              <w:rPr>
                <w:spacing w:val="-1"/>
                <w:sz w:val="16"/>
              </w:rPr>
              <w:t xml:space="preserve"> </w:t>
            </w:r>
            <w:r w:rsidRPr="00EB2BD8">
              <w:rPr>
                <w:sz w:val="16"/>
              </w:rPr>
              <w:t>maintaining</w:t>
            </w:r>
            <w:r w:rsidRPr="00EB2BD8">
              <w:rPr>
                <w:spacing w:val="-1"/>
                <w:sz w:val="16"/>
              </w:rPr>
              <w:t xml:space="preserve"> </w:t>
            </w:r>
            <w:r w:rsidRPr="00EB2BD8">
              <w:rPr>
                <w:sz w:val="16"/>
              </w:rPr>
              <w:t>essential</w:t>
            </w:r>
            <w:r w:rsidRPr="00EB2BD8">
              <w:rPr>
                <w:spacing w:val="-1"/>
                <w:sz w:val="16"/>
              </w:rPr>
              <w:t xml:space="preserve"> </w:t>
            </w:r>
            <w:r w:rsidRPr="00EB2BD8">
              <w:rPr>
                <w:sz w:val="16"/>
              </w:rPr>
              <w:t>safety</w:t>
            </w:r>
            <w:r w:rsidRPr="00EB2BD8">
              <w:rPr>
                <w:spacing w:val="-1"/>
                <w:sz w:val="16"/>
              </w:rPr>
              <w:t xml:space="preserve"> </w:t>
            </w:r>
            <w:r w:rsidRPr="00EB2BD8">
              <w:rPr>
                <w:sz w:val="16"/>
              </w:rPr>
              <w:t>measures</w:t>
            </w:r>
            <w:r w:rsidRPr="00EB2BD8">
              <w:rPr>
                <w:spacing w:val="-1"/>
                <w:sz w:val="16"/>
              </w:rPr>
              <w:t xml:space="preserve"> </w:t>
            </w:r>
            <w:r w:rsidRPr="00EB2BD8">
              <w:rPr>
                <w:sz w:val="16"/>
              </w:rPr>
              <w:t>(ESM)</w:t>
            </w:r>
            <w:r w:rsidRPr="00EB2BD8">
              <w:rPr>
                <w:spacing w:val="-1"/>
                <w:sz w:val="16"/>
              </w:rPr>
              <w:t xml:space="preserve"> </w:t>
            </w:r>
            <w:r w:rsidRPr="00EB2BD8">
              <w:rPr>
                <w:sz w:val="16"/>
              </w:rPr>
              <w:t>to</w:t>
            </w:r>
            <w:r w:rsidRPr="00EB2BD8">
              <w:rPr>
                <w:spacing w:val="-1"/>
                <w:sz w:val="16"/>
              </w:rPr>
              <w:t xml:space="preserve"> </w:t>
            </w:r>
            <w:r w:rsidRPr="00EB2BD8">
              <w:rPr>
                <w:sz w:val="16"/>
              </w:rPr>
              <w:t>protect</w:t>
            </w:r>
            <w:r w:rsidRPr="00EB2BD8">
              <w:rPr>
                <w:spacing w:val="-1"/>
                <w:sz w:val="16"/>
              </w:rPr>
              <w:t xml:space="preserve"> </w:t>
            </w:r>
            <w:r w:rsidRPr="00EB2BD8">
              <w:rPr>
                <w:sz w:val="16"/>
              </w:rPr>
              <w:t>the</w:t>
            </w:r>
            <w:r w:rsidRPr="00EB2BD8">
              <w:rPr>
                <w:spacing w:val="-1"/>
                <w:sz w:val="16"/>
              </w:rPr>
              <w:t xml:space="preserve"> </w:t>
            </w:r>
            <w:r w:rsidRPr="00EB2BD8">
              <w:rPr>
                <w:sz w:val="16"/>
              </w:rPr>
              <w:t>safety</w:t>
            </w:r>
            <w:r w:rsidRPr="00EB2BD8">
              <w:rPr>
                <w:spacing w:val="-1"/>
                <w:sz w:val="16"/>
              </w:rPr>
              <w:t xml:space="preserve"> </w:t>
            </w:r>
            <w:r w:rsidRPr="00EB2BD8">
              <w:rPr>
                <w:sz w:val="16"/>
              </w:rPr>
              <w:t>of building occupants through the provision of information and education. The progress indicators</w:t>
            </w:r>
            <w:r w:rsidRPr="00EB2BD8">
              <w:rPr>
                <w:spacing w:val="-10"/>
                <w:sz w:val="16"/>
              </w:rPr>
              <w:t xml:space="preserve"> </w:t>
            </w:r>
            <w:r w:rsidRPr="00EB2BD8">
              <w:rPr>
                <w:sz w:val="16"/>
              </w:rPr>
              <w:t>are:</w:t>
            </w:r>
          </w:p>
          <w:p w14:paraId="493EF022" w14:textId="77777777" w:rsidR="00084F36" w:rsidRPr="00EB2BD8" w:rsidRDefault="00EB2BD8">
            <w:pPr>
              <w:pStyle w:val="TableParagraph"/>
              <w:numPr>
                <w:ilvl w:val="0"/>
                <w:numId w:val="19"/>
              </w:numPr>
              <w:tabs>
                <w:tab w:val="left" w:pos="1435"/>
              </w:tabs>
              <w:spacing w:before="1"/>
              <w:rPr>
                <w:sz w:val="16"/>
              </w:rPr>
            </w:pPr>
            <w:r w:rsidRPr="00EB2BD8">
              <w:rPr>
                <w:sz w:val="16"/>
              </w:rPr>
              <w:t>number</w:t>
            </w:r>
            <w:r w:rsidRPr="00EB2BD8">
              <w:rPr>
                <w:spacing w:val="-8"/>
                <w:sz w:val="16"/>
              </w:rPr>
              <w:t xml:space="preserve"> </w:t>
            </w:r>
            <w:r w:rsidRPr="00EB2BD8">
              <w:rPr>
                <w:sz w:val="16"/>
              </w:rPr>
              <w:t>of</w:t>
            </w:r>
            <w:r w:rsidRPr="00EB2BD8">
              <w:rPr>
                <w:spacing w:val="-8"/>
                <w:sz w:val="16"/>
              </w:rPr>
              <w:t xml:space="preserve"> </w:t>
            </w:r>
            <w:r w:rsidRPr="00EB2BD8">
              <w:rPr>
                <w:sz w:val="16"/>
              </w:rPr>
              <w:t>revised/updated</w:t>
            </w:r>
            <w:r w:rsidRPr="00EB2BD8">
              <w:rPr>
                <w:spacing w:val="-8"/>
                <w:sz w:val="16"/>
              </w:rPr>
              <w:t xml:space="preserve"> </w:t>
            </w:r>
            <w:r w:rsidRPr="00EB2BD8">
              <w:rPr>
                <w:sz w:val="16"/>
              </w:rPr>
              <w:t>and</w:t>
            </w:r>
            <w:r w:rsidRPr="00EB2BD8">
              <w:rPr>
                <w:spacing w:val="-7"/>
                <w:sz w:val="16"/>
              </w:rPr>
              <w:t xml:space="preserve"> </w:t>
            </w:r>
            <w:r w:rsidRPr="00EB2BD8">
              <w:rPr>
                <w:sz w:val="16"/>
              </w:rPr>
              <w:t>new</w:t>
            </w:r>
            <w:r w:rsidRPr="00EB2BD8">
              <w:rPr>
                <w:spacing w:val="-8"/>
                <w:sz w:val="16"/>
              </w:rPr>
              <w:t xml:space="preserve"> </w:t>
            </w:r>
            <w:r w:rsidRPr="00EB2BD8">
              <w:rPr>
                <w:sz w:val="16"/>
              </w:rPr>
              <w:t>resources</w:t>
            </w:r>
            <w:r w:rsidRPr="00EB2BD8">
              <w:rPr>
                <w:spacing w:val="-8"/>
                <w:sz w:val="16"/>
              </w:rPr>
              <w:t xml:space="preserve"> </w:t>
            </w:r>
            <w:r w:rsidRPr="00EB2BD8">
              <w:rPr>
                <w:sz w:val="16"/>
              </w:rPr>
              <w:t>related</w:t>
            </w:r>
            <w:r w:rsidRPr="00EB2BD8">
              <w:rPr>
                <w:spacing w:val="-8"/>
                <w:sz w:val="16"/>
              </w:rPr>
              <w:t xml:space="preserve"> </w:t>
            </w:r>
            <w:r w:rsidRPr="00EB2BD8">
              <w:rPr>
                <w:sz w:val="16"/>
              </w:rPr>
              <w:t>to</w:t>
            </w:r>
            <w:r w:rsidRPr="00EB2BD8">
              <w:rPr>
                <w:spacing w:val="-7"/>
                <w:sz w:val="16"/>
              </w:rPr>
              <w:t xml:space="preserve"> </w:t>
            </w:r>
            <w:r w:rsidRPr="00EB2BD8">
              <w:rPr>
                <w:sz w:val="16"/>
              </w:rPr>
              <w:t>ESMs</w:t>
            </w:r>
            <w:r w:rsidRPr="00EB2BD8">
              <w:rPr>
                <w:spacing w:val="-8"/>
                <w:sz w:val="16"/>
              </w:rPr>
              <w:t xml:space="preserve"> </w:t>
            </w:r>
            <w:r w:rsidRPr="00EB2BD8">
              <w:rPr>
                <w:sz w:val="16"/>
              </w:rPr>
              <w:t>for</w:t>
            </w:r>
            <w:r w:rsidRPr="00EB2BD8">
              <w:rPr>
                <w:spacing w:val="-8"/>
                <w:sz w:val="16"/>
              </w:rPr>
              <w:t xml:space="preserve"> </w:t>
            </w:r>
            <w:r w:rsidRPr="00EB2BD8">
              <w:rPr>
                <w:sz w:val="16"/>
              </w:rPr>
              <w:t>industry,</w:t>
            </w:r>
            <w:r w:rsidRPr="00EB2BD8">
              <w:rPr>
                <w:spacing w:val="-7"/>
                <w:sz w:val="16"/>
              </w:rPr>
              <w:t xml:space="preserve"> </w:t>
            </w:r>
            <w:r w:rsidRPr="00EB2BD8">
              <w:rPr>
                <w:spacing w:val="-2"/>
                <w:sz w:val="16"/>
              </w:rPr>
              <w:t>owners,</w:t>
            </w:r>
          </w:p>
          <w:p w14:paraId="0E8F2D0F" w14:textId="77777777" w:rsidR="00084F36" w:rsidRPr="00EB2BD8" w:rsidRDefault="00EB2BD8">
            <w:pPr>
              <w:pStyle w:val="TableParagraph"/>
              <w:spacing w:before="12" w:line="185" w:lineRule="exact"/>
              <w:ind w:left="1435"/>
              <w:rPr>
                <w:sz w:val="16"/>
              </w:rPr>
            </w:pPr>
            <w:r w:rsidRPr="00EB2BD8">
              <w:rPr>
                <w:sz w:val="16"/>
              </w:rPr>
              <w:t>building</w:t>
            </w:r>
            <w:r w:rsidRPr="00EB2BD8">
              <w:rPr>
                <w:spacing w:val="4"/>
                <w:sz w:val="16"/>
              </w:rPr>
              <w:t xml:space="preserve"> </w:t>
            </w:r>
            <w:r w:rsidRPr="00EB2BD8">
              <w:rPr>
                <w:sz w:val="16"/>
              </w:rPr>
              <w:t>managers</w:t>
            </w:r>
            <w:r w:rsidRPr="00EB2BD8">
              <w:rPr>
                <w:spacing w:val="4"/>
                <w:sz w:val="16"/>
              </w:rPr>
              <w:t xml:space="preserve"> </w:t>
            </w:r>
            <w:r w:rsidRPr="00EB2BD8">
              <w:rPr>
                <w:sz w:val="16"/>
              </w:rPr>
              <w:t>and</w:t>
            </w:r>
            <w:r w:rsidRPr="00EB2BD8">
              <w:rPr>
                <w:spacing w:val="4"/>
                <w:sz w:val="16"/>
              </w:rPr>
              <w:t xml:space="preserve"> </w:t>
            </w:r>
            <w:r w:rsidRPr="00EB2BD8">
              <w:rPr>
                <w:spacing w:val="-2"/>
                <w:sz w:val="16"/>
              </w:rPr>
              <w:t>consumers.</w:t>
            </w:r>
          </w:p>
        </w:tc>
        <w:tc>
          <w:tcPr>
            <w:tcW w:w="1020" w:type="dxa"/>
          </w:tcPr>
          <w:p w14:paraId="25C050B9" w14:textId="77777777" w:rsidR="00084F36" w:rsidRPr="00EB2BD8" w:rsidRDefault="00EB2BD8">
            <w:pPr>
              <w:pStyle w:val="TableParagraph"/>
              <w:spacing w:before="4"/>
              <w:ind w:right="152"/>
              <w:jc w:val="right"/>
              <w:rPr>
                <w:sz w:val="16"/>
              </w:rPr>
            </w:pPr>
            <w:r w:rsidRPr="00EB2BD8">
              <w:rPr>
                <w:spacing w:val="-2"/>
                <w:sz w:val="16"/>
              </w:rPr>
              <w:t>complete</w:t>
            </w:r>
          </w:p>
        </w:tc>
        <w:tc>
          <w:tcPr>
            <w:tcW w:w="1379" w:type="dxa"/>
          </w:tcPr>
          <w:p w14:paraId="5DE58C7E" w14:textId="77777777" w:rsidR="00084F36" w:rsidRPr="00EB2BD8" w:rsidRDefault="00EB2BD8">
            <w:pPr>
              <w:pStyle w:val="TableParagraph"/>
              <w:spacing w:before="4"/>
              <w:ind w:right="114"/>
              <w:jc w:val="right"/>
              <w:rPr>
                <w:sz w:val="16"/>
              </w:rPr>
            </w:pPr>
            <w:r w:rsidRPr="00EB2BD8">
              <w:rPr>
                <w:spacing w:val="-2"/>
                <w:w w:val="90"/>
                <w:sz w:val="16"/>
              </w:rPr>
              <w:t>60,</w:t>
            </w:r>
            <w:r w:rsidRPr="00EB2BD8">
              <w:rPr>
                <w:spacing w:val="-7"/>
                <w:w w:val="90"/>
                <w:sz w:val="16"/>
              </w:rPr>
              <w:t xml:space="preserve"> </w:t>
            </w:r>
            <w:r w:rsidRPr="00EB2BD8">
              <w:rPr>
                <w:spacing w:val="-5"/>
                <w:w w:val="90"/>
                <w:sz w:val="16"/>
              </w:rPr>
              <w:t>62</w:t>
            </w:r>
          </w:p>
        </w:tc>
      </w:tr>
      <w:tr w:rsidR="00EB2BD8" w:rsidRPr="00EB2BD8" w14:paraId="2C9C0C47" w14:textId="77777777">
        <w:trPr>
          <w:trHeight w:val="220"/>
        </w:trPr>
        <w:tc>
          <w:tcPr>
            <w:tcW w:w="8072" w:type="dxa"/>
          </w:tcPr>
          <w:p w14:paraId="51AAEC35" w14:textId="77777777" w:rsidR="00084F36" w:rsidRPr="00EB2BD8" w:rsidRDefault="00EB2BD8">
            <w:pPr>
              <w:pStyle w:val="TableParagraph"/>
              <w:numPr>
                <w:ilvl w:val="0"/>
                <w:numId w:val="18"/>
              </w:numPr>
              <w:tabs>
                <w:tab w:val="left" w:pos="1435"/>
              </w:tabs>
              <w:spacing w:before="14" w:line="185" w:lineRule="exact"/>
              <w:rPr>
                <w:sz w:val="16"/>
              </w:rPr>
            </w:pPr>
            <w:r w:rsidRPr="00EB2BD8">
              <w:rPr>
                <w:sz w:val="16"/>
              </w:rPr>
              <w:t>number</w:t>
            </w:r>
            <w:r w:rsidRPr="00EB2BD8">
              <w:rPr>
                <w:spacing w:val="-12"/>
                <w:sz w:val="16"/>
              </w:rPr>
              <w:t xml:space="preserve"> </w:t>
            </w:r>
            <w:r w:rsidRPr="00EB2BD8">
              <w:rPr>
                <w:sz w:val="16"/>
              </w:rPr>
              <w:t>of</w:t>
            </w:r>
            <w:r w:rsidRPr="00EB2BD8">
              <w:rPr>
                <w:spacing w:val="-12"/>
                <w:sz w:val="16"/>
              </w:rPr>
              <w:t xml:space="preserve"> </w:t>
            </w:r>
            <w:r w:rsidRPr="00EB2BD8">
              <w:rPr>
                <w:sz w:val="16"/>
              </w:rPr>
              <w:t>downloads/views</w:t>
            </w:r>
            <w:r w:rsidRPr="00EB2BD8">
              <w:rPr>
                <w:spacing w:val="-12"/>
                <w:sz w:val="16"/>
              </w:rPr>
              <w:t xml:space="preserve"> </w:t>
            </w:r>
            <w:r w:rsidRPr="00EB2BD8">
              <w:rPr>
                <w:sz w:val="16"/>
              </w:rPr>
              <w:t>of</w:t>
            </w:r>
            <w:r w:rsidRPr="00EB2BD8">
              <w:rPr>
                <w:spacing w:val="-12"/>
                <w:sz w:val="16"/>
              </w:rPr>
              <w:t xml:space="preserve"> </w:t>
            </w:r>
            <w:r w:rsidRPr="00EB2BD8">
              <w:rPr>
                <w:sz w:val="16"/>
              </w:rPr>
              <w:t>resources</w:t>
            </w:r>
            <w:r w:rsidRPr="00EB2BD8">
              <w:rPr>
                <w:spacing w:val="-11"/>
                <w:sz w:val="16"/>
              </w:rPr>
              <w:t xml:space="preserve"> </w:t>
            </w:r>
            <w:r w:rsidRPr="00EB2BD8">
              <w:rPr>
                <w:sz w:val="16"/>
              </w:rPr>
              <w:t>related</w:t>
            </w:r>
            <w:r w:rsidRPr="00EB2BD8">
              <w:rPr>
                <w:spacing w:val="-12"/>
                <w:sz w:val="16"/>
              </w:rPr>
              <w:t xml:space="preserve"> </w:t>
            </w:r>
            <w:r w:rsidRPr="00EB2BD8">
              <w:rPr>
                <w:sz w:val="16"/>
              </w:rPr>
              <w:t>to</w:t>
            </w:r>
            <w:r w:rsidRPr="00EB2BD8">
              <w:rPr>
                <w:spacing w:val="-12"/>
                <w:sz w:val="16"/>
              </w:rPr>
              <w:t xml:space="preserve"> </w:t>
            </w:r>
            <w:r w:rsidRPr="00EB2BD8">
              <w:rPr>
                <w:spacing w:val="-2"/>
                <w:sz w:val="16"/>
              </w:rPr>
              <w:t>ESMs.</w:t>
            </w:r>
          </w:p>
        </w:tc>
        <w:tc>
          <w:tcPr>
            <w:tcW w:w="1020" w:type="dxa"/>
          </w:tcPr>
          <w:p w14:paraId="25347DCE" w14:textId="77777777" w:rsidR="00084F36" w:rsidRPr="00EB2BD8" w:rsidRDefault="00084F36">
            <w:pPr>
              <w:pStyle w:val="TableParagraph"/>
              <w:rPr>
                <w:rFonts w:ascii="Times New Roman"/>
                <w:sz w:val="14"/>
              </w:rPr>
            </w:pPr>
          </w:p>
        </w:tc>
        <w:tc>
          <w:tcPr>
            <w:tcW w:w="1379" w:type="dxa"/>
          </w:tcPr>
          <w:p w14:paraId="69CB056D" w14:textId="77777777" w:rsidR="00084F36" w:rsidRPr="00EB2BD8" w:rsidRDefault="00084F36">
            <w:pPr>
              <w:pStyle w:val="TableParagraph"/>
              <w:rPr>
                <w:rFonts w:ascii="Times New Roman"/>
                <w:sz w:val="14"/>
              </w:rPr>
            </w:pPr>
          </w:p>
        </w:tc>
      </w:tr>
      <w:tr w:rsidR="00EB2BD8" w:rsidRPr="00EB2BD8" w14:paraId="2D25864F" w14:textId="77777777">
        <w:trPr>
          <w:trHeight w:val="480"/>
        </w:trPr>
        <w:tc>
          <w:tcPr>
            <w:tcW w:w="8072" w:type="dxa"/>
            <w:tcBorders>
              <w:bottom w:val="single" w:sz="2" w:space="0" w:color="000000"/>
            </w:tcBorders>
          </w:tcPr>
          <w:p w14:paraId="798FC5EC" w14:textId="77777777" w:rsidR="00084F36" w:rsidRPr="00EB2BD8" w:rsidRDefault="00EB2BD8">
            <w:pPr>
              <w:pStyle w:val="TableParagraph"/>
              <w:numPr>
                <w:ilvl w:val="0"/>
                <w:numId w:val="17"/>
              </w:numPr>
              <w:tabs>
                <w:tab w:val="left" w:pos="1435"/>
              </w:tabs>
              <w:spacing w:before="14" w:line="254" w:lineRule="auto"/>
              <w:ind w:right="412"/>
              <w:rPr>
                <w:sz w:val="16"/>
              </w:rPr>
            </w:pPr>
            <w:r w:rsidRPr="00EB2BD8">
              <w:rPr>
                <w:sz w:val="16"/>
              </w:rPr>
              <w:t>target</w:t>
            </w:r>
            <w:r w:rsidRPr="00EB2BD8">
              <w:rPr>
                <w:spacing w:val="-5"/>
                <w:sz w:val="16"/>
              </w:rPr>
              <w:t xml:space="preserve"> </w:t>
            </w:r>
            <w:r w:rsidRPr="00EB2BD8">
              <w:rPr>
                <w:sz w:val="16"/>
              </w:rPr>
              <w:t>groups</w:t>
            </w:r>
            <w:r w:rsidRPr="00EB2BD8">
              <w:rPr>
                <w:spacing w:val="-5"/>
                <w:sz w:val="16"/>
              </w:rPr>
              <w:t xml:space="preserve"> </w:t>
            </w:r>
            <w:r w:rsidRPr="00EB2BD8">
              <w:rPr>
                <w:sz w:val="16"/>
              </w:rPr>
              <w:t>of</w:t>
            </w:r>
            <w:r w:rsidRPr="00EB2BD8">
              <w:rPr>
                <w:spacing w:val="-5"/>
                <w:sz w:val="16"/>
              </w:rPr>
              <w:t xml:space="preserve"> </w:t>
            </w:r>
            <w:r w:rsidRPr="00EB2BD8">
              <w:rPr>
                <w:sz w:val="16"/>
              </w:rPr>
              <w:t>stakeholders</w:t>
            </w:r>
            <w:r w:rsidRPr="00EB2BD8">
              <w:rPr>
                <w:spacing w:val="-5"/>
                <w:sz w:val="16"/>
              </w:rPr>
              <w:t xml:space="preserve"> </w:t>
            </w:r>
            <w:r w:rsidRPr="00EB2BD8">
              <w:rPr>
                <w:sz w:val="16"/>
              </w:rPr>
              <w:t>satisfied</w:t>
            </w:r>
            <w:r w:rsidRPr="00EB2BD8">
              <w:rPr>
                <w:spacing w:val="-5"/>
                <w:sz w:val="16"/>
              </w:rPr>
              <w:t xml:space="preserve"> </w:t>
            </w:r>
            <w:r w:rsidRPr="00EB2BD8">
              <w:rPr>
                <w:sz w:val="16"/>
              </w:rPr>
              <w:t>that</w:t>
            </w:r>
            <w:r w:rsidRPr="00EB2BD8">
              <w:rPr>
                <w:spacing w:val="-5"/>
                <w:sz w:val="16"/>
              </w:rPr>
              <w:t xml:space="preserve"> </w:t>
            </w:r>
            <w:r w:rsidRPr="00EB2BD8">
              <w:rPr>
                <w:sz w:val="16"/>
              </w:rPr>
              <w:t>resources</w:t>
            </w:r>
            <w:r w:rsidRPr="00EB2BD8">
              <w:rPr>
                <w:spacing w:val="-5"/>
                <w:sz w:val="16"/>
              </w:rPr>
              <w:t xml:space="preserve"> </w:t>
            </w:r>
            <w:r w:rsidRPr="00EB2BD8">
              <w:rPr>
                <w:sz w:val="16"/>
              </w:rPr>
              <w:t>and</w:t>
            </w:r>
            <w:r w:rsidRPr="00EB2BD8">
              <w:rPr>
                <w:spacing w:val="-5"/>
                <w:sz w:val="16"/>
              </w:rPr>
              <w:t xml:space="preserve"> </w:t>
            </w:r>
            <w:r w:rsidRPr="00EB2BD8">
              <w:rPr>
                <w:sz w:val="16"/>
              </w:rPr>
              <w:t>information</w:t>
            </w:r>
            <w:r w:rsidRPr="00EB2BD8">
              <w:rPr>
                <w:spacing w:val="-5"/>
                <w:sz w:val="16"/>
              </w:rPr>
              <w:t xml:space="preserve"> </w:t>
            </w:r>
            <w:r w:rsidRPr="00EB2BD8">
              <w:rPr>
                <w:sz w:val="16"/>
              </w:rPr>
              <w:t>met</w:t>
            </w:r>
            <w:r w:rsidRPr="00EB2BD8">
              <w:rPr>
                <w:spacing w:val="-5"/>
                <w:sz w:val="16"/>
              </w:rPr>
              <w:t xml:space="preserve"> </w:t>
            </w:r>
            <w:r w:rsidRPr="00EB2BD8">
              <w:rPr>
                <w:sz w:val="16"/>
              </w:rPr>
              <w:t xml:space="preserve">their </w:t>
            </w:r>
            <w:r w:rsidRPr="00EB2BD8">
              <w:rPr>
                <w:spacing w:val="-2"/>
                <w:sz w:val="16"/>
              </w:rPr>
              <w:t>needs.</w:t>
            </w:r>
          </w:p>
        </w:tc>
        <w:tc>
          <w:tcPr>
            <w:tcW w:w="1020" w:type="dxa"/>
            <w:tcBorders>
              <w:bottom w:val="single" w:sz="2" w:space="0" w:color="000000"/>
            </w:tcBorders>
          </w:tcPr>
          <w:p w14:paraId="1BA8EF8A" w14:textId="77777777" w:rsidR="00084F36" w:rsidRPr="00EB2BD8" w:rsidRDefault="00084F36">
            <w:pPr>
              <w:pStyle w:val="TableParagraph"/>
              <w:rPr>
                <w:rFonts w:ascii="Times New Roman"/>
                <w:sz w:val="16"/>
              </w:rPr>
            </w:pPr>
          </w:p>
        </w:tc>
        <w:tc>
          <w:tcPr>
            <w:tcW w:w="1379" w:type="dxa"/>
            <w:tcBorders>
              <w:bottom w:val="single" w:sz="2" w:space="0" w:color="000000"/>
            </w:tcBorders>
          </w:tcPr>
          <w:p w14:paraId="3AFA3DE6" w14:textId="77777777" w:rsidR="00084F36" w:rsidRPr="00EB2BD8" w:rsidRDefault="00084F36">
            <w:pPr>
              <w:pStyle w:val="TableParagraph"/>
              <w:rPr>
                <w:rFonts w:ascii="Times New Roman"/>
                <w:sz w:val="16"/>
              </w:rPr>
            </w:pPr>
          </w:p>
        </w:tc>
      </w:tr>
      <w:tr w:rsidR="00EB2BD8" w:rsidRPr="00EB2BD8" w14:paraId="7C19FEA1" w14:textId="77777777">
        <w:trPr>
          <w:trHeight w:val="721"/>
        </w:trPr>
        <w:tc>
          <w:tcPr>
            <w:tcW w:w="8072" w:type="dxa"/>
            <w:tcBorders>
              <w:top w:val="single" w:sz="2" w:space="0" w:color="000000"/>
            </w:tcBorders>
          </w:tcPr>
          <w:p w14:paraId="139E51CE" w14:textId="77777777" w:rsidR="00084F36" w:rsidRPr="00EB2BD8" w:rsidRDefault="00EB2BD8">
            <w:pPr>
              <w:pStyle w:val="TableParagraph"/>
              <w:tabs>
                <w:tab w:val="left" w:pos="1151"/>
              </w:tabs>
              <w:spacing w:before="115" w:line="254" w:lineRule="auto"/>
              <w:ind w:left="1151" w:right="326" w:hanging="1040"/>
              <w:rPr>
                <w:sz w:val="16"/>
              </w:rPr>
            </w:pPr>
            <w:r w:rsidRPr="00EB2BD8">
              <w:rPr>
                <w:spacing w:val="-6"/>
                <w:sz w:val="16"/>
              </w:rPr>
              <w:t>12</w:t>
            </w:r>
            <w:r w:rsidRPr="00EB2BD8">
              <w:rPr>
                <w:sz w:val="16"/>
              </w:rPr>
              <w:tab/>
              <w:t>By</w:t>
            </w:r>
            <w:r w:rsidRPr="00EB2BD8">
              <w:rPr>
                <w:spacing w:val="-10"/>
                <w:sz w:val="16"/>
              </w:rPr>
              <w:t xml:space="preserve"> </w:t>
            </w:r>
            <w:r w:rsidRPr="00EB2BD8">
              <w:rPr>
                <w:sz w:val="16"/>
              </w:rPr>
              <w:t>June</w:t>
            </w:r>
            <w:r w:rsidRPr="00EB2BD8">
              <w:rPr>
                <w:spacing w:val="-10"/>
                <w:sz w:val="16"/>
              </w:rPr>
              <w:t xml:space="preserve"> </w:t>
            </w:r>
            <w:r w:rsidRPr="00EB2BD8">
              <w:rPr>
                <w:sz w:val="16"/>
              </w:rPr>
              <w:t>2023,</w:t>
            </w:r>
            <w:r w:rsidRPr="00EB2BD8">
              <w:rPr>
                <w:spacing w:val="-10"/>
                <w:sz w:val="16"/>
              </w:rPr>
              <w:t xml:space="preserve"> </w:t>
            </w:r>
            <w:r w:rsidRPr="00EB2BD8">
              <w:rPr>
                <w:sz w:val="16"/>
              </w:rPr>
              <w:t>improve</w:t>
            </w:r>
            <w:r w:rsidRPr="00EB2BD8">
              <w:rPr>
                <w:spacing w:val="-10"/>
                <w:sz w:val="16"/>
              </w:rPr>
              <w:t xml:space="preserve"> </w:t>
            </w:r>
            <w:r w:rsidRPr="00EB2BD8">
              <w:rPr>
                <w:sz w:val="16"/>
              </w:rPr>
              <w:t>VBA's</w:t>
            </w:r>
            <w:r w:rsidRPr="00EB2BD8">
              <w:rPr>
                <w:spacing w:val="-10"/>
                <w:sz w:val="16"/>
              </w:rPr>
              <w:t xml:space="preserve"> </w:t>
            </w:r>
            <w:r w:rsidRPr="00EB2BD8">
              <w:rPr>
                <w:sz w:val="16"/>
              </w:rPr>
              <w:t>ongoing</w:t>
            </w:r>
            <w:r w:rsidRPr="00EB2BD8">
              <w:rPr>
                <w:spacing w:val="-10"/>
                <w:sz w:val="16"/>
              </w:rPr>
              <w:t xml:space="preserve"> </w:t>
            </w:r>
            <w:r w:rsidRPr="00EB2BD8">
              <w:rPr>
                <w:sz w:val="16"/>
              </w:rPr>
              <w:t>financial</w:t>
            </w:r>
            <w:r w:rsidRPr="00EB2BD8">
              <w:rPr>
                <w:spacing w:val="-10"/>
                <w:sz w:val="16"/>
              </w:rPr>
              <w:t xml:space="preserve"> </w:t>
            </w:r>
            <w:r w:rsidRPr="00EB2BD8">
              <w:rPr>
                <w:sz w:val="16"/>
              </w:rPr>
              <w:t>sustainability</w:t>
            </w:r>
            <w:r w:rsidRPr="00EB2BD8">
              <w:rPr>
                <w:spacing w:val="-10"/>
                <w:sz w:val="16"/>
              </w:rPr>
              <w:t xml:space="preserve"> </w:t>
            </w:r>
            <w:r w:rsidRPr="00EB2BD8">
              <w:rPr>
                <w:sz w:val="16"/>
              </w:rPr>
              <w:t>through</w:t>
            </w:r>
            <w:r w:rsidRPr="00EB2BD8">
              <w:rPr>
                <w:spacing w:val="-10"/>
                <w:sz w:val="16"/>
              </w:rPr>
              <w:t xml:space="preserve"> </w:t>
            </w:r>
            <w:r w:rsidRPr="00EB2BD8">
              <w:rPr>
                <w:sz w:val="16"/>
              </w:rPr>
              <w:t>the</w:t>
            </w:r>
            <w:r w:rsidRPr="00EB2BD8">
              <w:rPr>
                <w:spacing w:val="-10"/>
                <w:sz w:val="16"/>
              </w:rPr>
              <w:t xml:space="preserve"> </w:t>
            </w:r>
            <w:r w:rsidRPr="00EB2BD8">
              <w:rPr>
                <w:sz w:val="16"/>
              </w:rPr>
              <w:t>review</w:t>
            </w:r>
            <w:r w:rsidRPr="00EB2BD8">
              <w:rPr>
                <w:spacing w:val="-10"/>
                <w:sz w:val="16"/>
              </w:rPr>
              <w:t xml:space="preserve"> </w:t>
            </w:r>
            <w:r w:rsidRPr="00EB2BD8">
              <w:rPr>
                <w:sz w:val="16"/>
              </w:rPr>
              <w:t>of</w:t>
            </w:r>
            <w:r w:rsidRPr="00EB2BD8">
              <w:rPr>
                <w:spacing w:val="-10"/>
                <w:sz w:val="16"/>
              </w:rPr>
              <w:t xml:space="preserve"> </w:t>
            </w:r>
            <w:r w:rsidRPr="00EB2BD8">
              <w:rPr>
                <w:sz w:val="16"/>
              </w:rPr>
              <w:t>its operations and ensure financial self-sufficiency. VBA will:</w:t>
            </w:r>
          </w:p>
          <w:p w14:paraId="3BB4FBCA" w14:textId="77777777" w:rsidR="00084F36" w:rsidRPr="00EB2BD8" w:rsidRDefault="00EB2BD8">
            <w:pPr>
              <w:pStyle w:val="TableParagraph"/>
              <w:numPr>
                <w:ilvl w:val="0"/>
                <w:numId w:val="17"/>
              </w:numPr>
              <w:tabs>
                <w:tab w:val="left" w:pos="1435"/>
              </w:tabs>
              <w:spacing w:before="1" w:line="185" w:lineRule="exact"/>
              <w:rPr>
                <w:sz w:val="16"/>
              </w:rPr>
            </w:pPr>
            <w:r w:rsidRPr="00EB2BD8">
              <w:rPr>
                <w:spacing w:val="-2"/>
                <w:sz w:val="16"/>
              </w:rPr>
              <w:t>complete</w:t>
            </w:r>
            <w:r w:rsidRPr="00EB2BD8">
              <w:rPr>
                <w:spacing w:val="-5"/>
                <w:sz w:val="16"/>
              </w:rPr>
              <w:t xml:space="preserve"> </w:t>
            </w:r>
            <w:r w:rsidRPr="00EB2BD8">
              <w:rPr>
                <w:spacing w:val="-2"/>
                <w:sz w:val="16"/>
              </w:rPr>
              <w:t>fee</w:t>
            </w:r>
            <w:r w:rsidRPr="00EB2BD8">
              <w:rPr>
                <w:spacing w:val="-5"/>
                <w:sz w:val="16"/>
              </w:rPr>
              <w:t xml:space="preserve"> </w:t>
            </w:r>
            <w:r w:rsidRPr="00EB2BD8">
              <w:rPr>
                <w:spacing w:val="-2"/>
                <w:sz w:val="16"/>
              </w:rPr>
              <w:t>model</w:t>
            </w:r>
            <w:r w:rsidRPr="00EB2BD8">
              <w:rPr>
                <w:spacing w:val="-4"/>
                <w:sz w:val="16"/>
              </w:rPr>
              <w:t xml:space="preserve"> </w:t>
            </w:r>
            <w:r w:rsidRPr="00EB2BD8">
              <w:rPr>
                <w:spacing w:val="-2"/>
                <w:sz w:val="16"/>
              </w:rPr>
              <w:t>review</w:t>
            </w:r>
            <w:r w:rsidRPr="00EB2BD8">
              <w:rPr>
                <w:spacing w:val="-5"/>
                <w:sz w:val="16"/>
              </w:rPr>
              <w:t xml:space="preserve"> </w:t>
            </w:r>
            <w:r w:rsidRPr="00EB2BD8">
              <w:rPr>
                <w:spacing w:val="-2"/>
                <w:sz w:val="16"/>
              </w:rPr>
              <w:t>by</w:t>
            </w:r>
            <w:r w:rsidRPr="00EB2BD8">
              <w:rPr>
                <w:spacing w:val="-4"/>
                <w:sz w:val="16"/>
              </w:rPr>
              <w:t xml:space="preserve"> </w:t>
            </w:r>
            <w:r w:rsidRPr="00EB2BD8">
              <w:rPr>
                <w:spacing w:val="-2"/>
                <w:sz w:val="16"/>
              </w:rPr>
              <w:t>31</w:t>
            </w:r>
            <w:r w:rsidRPr="00EB2BD8">
              <w:rPr>
                <w:spacing w:val="-5"/>
                <w:sz w:val="16"/>
              </w:rPr>
              <w:t xml:space="preserve"> </w:t>
            </w:r>
            <w:r w:rsidRPr="00EB2BD8">
              <w:rPr>
                <w:spacing w:val="-2"/>
                <w:sz w:val="16"/>
              </w:rPr>
              <w:t>March</w:t>
            </w:r>
            <w:r w:rsidRPr="00EB2BD8">
              <w:rPr>
                <w:spacing w:val="-4"/>
                <w:sz w:val="16"/>
              </w:rPr>
              <w:t xml:space="preserve"> 2022</w:t>
            </w:r>
          </w:p>
        </w:tc>
        <w:tc>
          <w:tcPr>
            <w:tcW w:w="1020" w:type="dxa"/>
            <w:tcBorders>
              <w:top w:val="single" w:sz="2" w:space="0" w:color="000000"/>
            </w:tcBorders>
          </w:tcPr>
          <w:p w14:paraId="292C57D0" w14:textId="77777777" w:rsidR="00084F36" w:rsidRPr="00EB2BD8" w:rsidRDefault="00EB2BD8">
            <w:pPr>
              <w:pStyle w:val="TableParagraph"/>
              <w:spacing w:before="115" w:line="254" w:lineRule="auto"/>
              <w:ind w:left="145" w:firstLine="86"/>
              <w:rPr>
                <w:sz w:val="16"/>
              </w:rPr>
            </w:pPr>
            <w:r w:rsidRPr="00EB2BD8">
              <w:rPr>
                <w:spacing w:val="-2"/>
                <w:sz w:val="16"/>
              </w:rPr>
              <w:t>Partially complete</w:t>
            </w:r>
          </w:p>
        </w:tc>
        <w:tc>
          <w:tcPr>
            <w:tcW w:w="1379" w:type="dxa"/>
            <w:tcBorders>
              <w:top w:val="single" w:sz="2" w:space="0" w:color="000000"/>
            </w:tcBorders>
          </w:tcPr>
          <w:p w14:paraId="2531A1D4" w14:textId="77777777" w:rsidR="00084F36" w:rsidRPr="00EB2BD8" w:rsidRDefault="00EB2BD8">
            <w:pPr>
              <w:pStyle w:val="TableParagraph"/>
              <w:spacing w:before="115"/>
              <w:ind w:right="114"/>
              <w:jc w:val="right"/>
              <w:rPr>
                <w:sz w:val="16"/>
              </w:rPr>
            </w:pPr>
            <w:r w:rsidRPr="00EB2BD8">
              <w:rPr>
                <w:w w:val="70"/>
                <w:sz w:val="16"/>
              </w:rPr>
              <w:t>2,</w:t>
            </w:r>
            <w:r w:rsidRPr="00EB2BD8">
              <w:rPr>
                <w:spacing w:val="-5"/>
                <w:sz w:val="16"/>
              </w:rPr>
              <w:t xml:space="preserve"> </w:t>
            </w:r>
            <w:r w:rsidRPr="00EB2BD8">
              <w:rPr>
                <w:spacing w:val="-5"/>
                <w:w w:val="90"/>
                <w:sz w:val="16"/>
              </w:rPr>
              <w:t>55</w:t>
            </w:r>
          </w:p>
        </w:tc>
      </w:tr>
      <w:tr w:rsidR="00EB2BD8" w:rsidRPr="00EB2BD8" w14:paraId="4AB20F95" w14:textId="77777777">
        <w:trPr>
          <w:trHeight w:val="220"/>
        </w:trPr>
        <w:tc>
          <w:tcPr>
            <w:tcW w:w="8072" w:type="dxa"/>
          </w:tcPr>
          <w:p w14:paraId="0C4A64AC" w14:textId="77777777" w:rsidR="00084F36" w:rsidRPr="00EB2BD8" w:rsidRDefault="00EB2BD8">
            <w:pPr>
              <w:pStyle w:val="TableParagraph"/>
              <w:numPr>
                <w:ilvl w:val="0"/>
                <w:numId w:val="16"/>
              </w:numPr>
              <w:tabs>
                <w:tab w:val="left" w:pos="1435"/>
              </w:tabs>
              <w:spacing w:before="14" w:line="185" w:lineRule="exact"/>
              <w:rPr>
                <w:sz w:val="16"/>
              </w:rPr>
            </w:pPr>
            <w:r w:rsidRPr="00EB2BD8">
              <w:rPr>
                <w:sz w:val="16"/>
              </w:rPr>
              <w:t>implement</w:t>
            </w:r>
            <w:r w:rsidRPr="00EB2BD8">
              <w:rPr>
                <w:spacing w:val="3"/>
                <w:sz w:val="16"/>
              </w:rPr>
              <w:t xml:space="preserve"> </w:t>
            </w:r>
            <w:r w:rsidRPr="00EB2BD8">
              <w:rPr>
                <w:sz w:val="16"/>
              </w:rPr>
              <w:t>Activity</w:t>
            </w:r>
            <w:r w:rsidRPr="00EB2BD8">
              <w:rPr>
                <w:spacing w:val="3"/>
                <w:sz w:val="16"/>
              </w:rPr>
              <w:t xml:space="preserve"> </w:t>
            </w:r>
            <w:r w:rsidRPr="00EB2BD8">
              <w:rPr>
                <w:sz w:val="16"/>
              </w:rPr>
              <w:t>Based</w:t>
            </w:r>
            <w:r w:rsidRPr="00EB2BD8">
              <w:rPr>
                <w:spacing w:val="4"/>
                <w:sz w:val="16"/>
              </w:rPr>
              <w:t xml:space="preserve"> </w:t>
            </w:r>
            <w:r w:rsidRPr="00EB2BD8">
              <w:rPr>
                <w:sz w:val="16"/>
              </w:rPr>
              <w:t>Costing</w:t>
            </w:r>
            <w:r w:rsidRPr="00EB2BD8">
              <w:rPr>
                <w:spacing w:val="3"/>
                <w:sz w:val="16"/>
              </w:rPr>
              <w:t xml:space="preserve"> </w:t>
            </w:r>
            <w:r w:rsidRPr="00EB2BD8">
              <w:rPr>
                <w:sz w:val="16"/>
              </w:rPr>
              <w:t>by</w:t>
            </w:r>
            <w:r w:rsidRPr="00EB2BD8">
              <w:rPr>
                <w:spacing w:val="3"/>
                <w:sz w:val="16"/>
              </w:rPr>
              <w:t xml:space="preserve"> </w:t>
            </w:r>
            <w:r w:rsidRPr="00EB2BD8">
              <w:rPr>
                <w:sz w:val="16"/>
              </w:rPr>
              <w:t>30</w:t>
            </w:r>
            <w:r w:rsidRPr="00EB2BD8">
              <w:rPr>
                <w:spacing w:val="4"/>
                <w:sz w:val="16"/>
              </w:rPr>
              <w:t xml:space="preserve"> </w:t>
            </w:r>
            <w:r w:rsidRPr="00EB2BD8">
              <w:rPr>
                <w:sz w:val="16"/>
              </w:rPr>
              <w:t>June</w:t>
            </w:r>
            <w:r w:rsidRPr="00EB2BD8">
              <w:rPr>
                <w:spacing w:val="3"/>
                <w:sz w:val="16"/>
              </w:rPr>
              <w:t xml:space="preserve"> </w:t>
            </w:r>
            <w:r w:rsidRPr="00EB2BD8">
              <w:rPr>
                <w:spacing w:val="-4"/>
                <w:sz w:val="16"/>
              </w:rPr>
              <w:t>2022</w:t>
            </w:r>
          </w:p>
        </w:tc>
        <w:tc>
          <w:tcPr>
            <w:tcW w:w="1020" w:type="dxa"/>
          </w:tcPr>
          <w:p w14:paraId="1D04C978" w14:textId="77777777" w:rsidR="00084F36" w:rsidRPr="00EB2BD8" w:rsidRDefault="00084F36">
            <w:pPr>
              <w:pStyle w:val="TableParagraph"/>
              <w:rPr>
                <w:rFonts w:ascii="Times New Roman"/>
                <w:sz w:val="14"/>
              </w:rPr>
            </w:pPr>
          </w:p>
        </w:tc>
        <w:tc>
          <w:tcPr>
            <w:tcW w:w="1379" w:type="dxa"/>
          </w:tcPr>
          <w:p w14:paraId="5BB1AFCC" w14:textId="77777777" w:rsidR="00084F36" w:rsidRPr="00EB2BD8" w:rsidRDefault="00084F36">
            <w:pPr>
              <w:pStyle w:val="TableParagraph"/>
              <w:rPr>
                <w:rFonts w:ascii="Times New Roman"/>
                <w:sz w:val="14"/>
              </w:rPr>
            </w:pPr>
          </w:p>
        </w:tc>
      </w:tr>
      <w:tr w:rsidR="00EB2BD8" w:rsidRPr="00EB2BD8" w14:paraId="1893FC27" w14:textId="77777777">
        <w:trPr>
          <w:trHeight w:val="317"/>
        </w:trPr>
        <w:tc>
          <w:tcPr>
            <w:tcW w:w="8072" w:type="dxa"/>
            <w:tcBorders>
              <w:bottom w:val="single" w:sz="2" w:space="0" w:color="000000"/>
            </w:tcBorders>
          </w:tcPr>
          <w:p w14:paraId="2C0CA53E" w14:textId="77777777" w:rsidR="00084F36" w:rsidRPr="00EB2BD8" w:rsidRDefault="00EB2BD8">
            <w:pPr>
              <w:pStyle w:val="TableParagraph"/>
              <w:numPr>
                <w:ilvl w:val="0"/>
                <w:numId w:val="15"/>
              </w:numPr>
              <w:tabs>
                <w:tab w:val="left" w:pos="1435"/>
              </w:tabs>
              <w:spacing w:before="14"/>
              <w:rPr>
                <w:sz w:val="16"/>
              </w:rPr>
            </w:pPr>
            <w:r w:rsidRPr="00EB2BD8">
              <w:rPr>
                <w:sz w:val="16"/>
              </w:rPr>
              <w:t>comply</w:t>
            </w:r>
            <w:r w:rsidRPr="00EB2BD8">
              <w:rPr>
                <w:spacing w:val="3"/>
                <w:sz w:val="16"/>
              </w:rPr>
              <w:t xml:space="preserve"> </w:t>
            </w:r>
            <w:r w:rsidRPr="00EB2BD8">
              <w:rPr>
                <w:sz w:val="16"/>
              </w:rPr>
              <w:t>with</w:t>
            </w:r>
            <w:r w:rsidRPr="00EB2BD8">
              <w:rPr>
                <w:spacing w:val="4"/>
                <w:sz w:val="16"/>
              </w:rPr>
              <w:t xml:space="preserve"> </w:t>
            </w:r>
            <w:r w:rsidRPr="00EB2BD8">
              <w:rPr>
                <w:sz w:val="16"/>
              </w:rPr>
              <w:t>Victorian</w:t>
            </w:r>
            <w:r w:rsidRPr="00EB2BD8">
              <w:rPr>
                <w:spacing w:val="3"/>
                <w:sz w:val="16"/>
              </w:rPr>
              <w:t xml:space="preserve"> </w:t>
            </w:r>
            <w:r w:rsidRPr="00EB2BD8">
              <w:rPr>
                <w:sz w:val="16"/>
              </w:rPr>
              <w:t>Government</w:t>
            </w:r>
            <w:r w:rsidRPr="00EB2BD8">
              <w:rPr>
                <w:spacing w:val="4"/>
                <w:sz w:val="16"/>
              </w:rPr>
              <w:t xml:space="preserve"> </w:t>
            </w:r>
            <w:r w:rsidRPr="00EB2BD8">
              <w:rPr>
                <w:sz w:val="16"/>
              </w:rPr>
              <w:t>Purchasing</w:t>
            </w:r>
            <w:r w:rsidRPr="00EB2BD8">
              <w:rPr>
                <w:spacing w:val="4"/>
                <w:sz w:val="16"/>
              </w:rPr>
              <w:t xml:space="preserve"> </w:t>
            </w:r>
            <w:r w:rsidRPr="00EB2BD8">
              <w:rPr>
                <w:sz w:val="16"/>
              </w:rPr>
              <w:t>Board</w:t>
            </w:r>
            <w:r w:rsidRPr="00EB2BD8">
              <w:rPr>
                <w:spacing w:val="3"/>
                <w:sz w:val="16"/>
              </w:rPr>
              <w:t xml:space="preserve"> </w:t>
            </w:r>
            <w:r w:rsidRPr="00EB2BD8">
              <w:rPr>
                <w:sz w:val="16"/>
              </w:rPr>
              <w:t>requirements</w:t>
            </w:r>
            <w:r w:rsidRPr="00EB2BD8">
              <w:rPr>
                <w:spacing w:val="4"/>
                <w:sz w:val="16"/>
              </w:rPr>
              <w:t xml:space="preserve"> </w:t>
            </w:r>
            <w:r w:rsidRPr="00EB2BD8">
              <w:rPr>
                <w:sz w:val="16"/>
              </w:rPr>
              <w:t>by</w:t>
            </w:r>
            <w:r w:rsidRPr="00EB2BD8">
              <w:rPr>
                <w:spacing w:val="3"/>
                <w:sz w:val="16"/>
              </w:rPr>
              <w:t xml:space="preserve"> </w:t>
            </w:r>
            <w:r w:rsidRPr="00EB2BD8">
              <w:rPr>
                <w:sz w:val="16"/>
              </w:rPr>
              <w:t>30</w:t>
            </w:r>
            <w:r w:rsidRPr="00EB2BD8">
              <w:rPr>
                <w:spacing w:val="4"/>
                <w:sz w:val="16"/>
              </w:rPr>
              <w:t xml:space="preserve"> </w:t>
            </w:r>
            <w:r w:rsidRPr="00EB2BD8">
              <w:rPr>
                <w:sz w:val="16"/>
              </w:rPr>
              <w:t>June</w:t>
            </w:r>
            <w:r w:rsidRPr="00EB2BD8">
              <w:rPr>
                <w:spacing w:val="4"/>
                <w:sz w:val="16"/>
              </w:rPr>
              <w:t xml:space="preserve"> </w:t>
            </w:r>
            <w:r w:rsidRPr="00EB2BD8">
              <w:rPr>
                <w:spacing w:val="-4"/>
                <w:sz w:val="16"/>
              </w:rPr>
              <w:t>2022</w:t>
            </w:r>
          </w:p>
        </w:tc>
        <w:tc>
          <w:tcPr>
            <w:tcW w:w="1020" w:type="dxa"/>
            <w:tcBorders>
              <w:bottom w:val="single" w:sz="2" w:space="0" w:color="000000"/>
            </w:tcBorders>
          </w:tcPr>
          <w:p w14:paraId="7C2BF464" w14:textId="77777777" w:rsidR="00084F36" w:rsidRPr="00EB2BD8" w:rsidRDefault="00084F36">
            <w:pPr>
              <w:pStyle w:val="TableParagraph"/>
              <w:rPr>
                <w:rFonts w:ascii="Times New Roman"/>
                <w:sz w:val="16"/>
              </w:rPr>
            </w:pPr>
          </w:p>
        </w:tc>
        <w:tc>
          <w:tcPr>
            <w:tcW w:w="1379" w:type="dxa"/>
            <w:tcBorders>
              <w:bottom w:val="single" w:sz="2" w:space="0" w:color="000000"/>
            </w:tcBorders>
          </w:tcPr>
          <w:p w14:paraId="3D4B9B5C" w14:textId="77777777" w:rsidR="00084F36" w:rsidRPr="00EB2BD8" w:rsidRDefault="00084F36">
            <w:pPr>
              <w:pStyle w:val="TableParagraph"/>
              <w:rPr>
                <w:rFonts w:ascii="Times New Roman"/>
                <w:sz w:val="16"/>
              </w:rPr>
            </w:pPr>
          </w:p>
        </w:tc>
      </w:tr>
      <w:tr w:rsidR="00EB2BD8" w:rsidRPr="00EB2BD8" w14:paraId="5465277D" w14:textId="77777777">
        <w:trPr>
          <w:trHeight w:val="311"/>
        </w:trPr>
        <w:tc>
          <w:tcPr>
            <w:tcW w:w="8072" w:type="dxa"/>
            <w:tcBorders>
              <w:top w:val="single" w:sz="2" w:space="0" w:color="000000"/>
            </w:tcBorders>
          </w:tcPr>
          <w:p w14:paraId="003D34F2" w14:textId="77777777" w:rsidR="00084F36" w:rsidRPr="00EB2BD8" w:rsidRDefault="00EB2BD8">
            <w:pPr>
              <w:pStyle w:val="TableParagraph"/>
              <w:tabs>
                <w:tab w:val="left" w:pos="1151"/>
              </w:tabs>
              <w:spacing w:before="115" w:line="175" w:lineRule="exact"/>
              <w:ind w:left="112"/>
              <w:rPr>
                <w:sz w:val="16"/>
              </w:rPr>
            </w:pPr>
            <w:r w:rsidRPr="00EB2BD8">
              <w:rPr>
                <w:spacing w:val="-5"/>
                <w:sz w:val="16"/>
              </w:rPr>
              <w:t>13</w:t>
            </w:r>
            <w:r w:rsidRPr="00EB2BD8">
              <w:rPr>
                <w:sz w:val="16"/>
              </w:rPr>
              <w:tab/>
              <w:t>By</w:t>
            </w:r>
            <w:r w:rsidRPr="00EB2BD8">
              <w:rPr>
                <w:spacing w:val="-3"/>
                <w:sz w:val="16"/>
              </w:rPr>
              <w:t xml:space="preserve"> </w:t>
            </w:r>
            <w:r w:rsidRPr="00EB2BD8">
              <w:rPr>
                <w:sz w:val="16"/>
              </w:rPr>
              <w:t>June</w:t>
            </w:r>
            <w:r w:rsidRPr="00EB2BD8">
              <w:rPr>
                <w:spacing w:val="-3"/>
                <w:sz w:val="16"/>
              </w:rPr>
              <w:t xml:space="preserve"> </w:t>
            </w:r>
            <w:r w:rsidRPr="00EB2BD8">
              <w:rPr>
                <w:sz w:val="16"/>
              </w:rPr>
              <w:t>2023,</w:t>
            </w:r>
            <w:r w:rsidRPr="00EB2BD8">
              <w:rPr>
                <w:spacing w:val="-3"/>
                <w:sz w:val="16"/>
              </w:rPr>
              <w:t xml:space="preserve"> </w:t>
            </w:r>
            <w:r w:rsidRPr="00EB2BD8">
              <w:rPr>
                <w:sz w:val="16"/>
              </w:rPr>
              <w:t>deliver</w:t>
            </w:r>
            <w:r w:rsidRPr="00EB2BD8">
              <w:rPr>
                <w:spacing w:val="-3"/>
                <w:sz w:val="16"/>
              </w:rPr>
              <w:t xml:space="preserve"> </w:t>
            </w:r>
            <w:r w:rsidRPr="00EB2BD8">
              <w:rPr>
                <w:sz w:val="16"/>
              </w:rPr>
              <w:t>education</w:t>
            </w:r>
            <w:r w:rsidRPr="00EB2BD8">
              <w:rPr>
                <w:spacing w:val="-3"/>
                <w:sz w:val="16"/>
              </w:rPr>
              <w:t xml:space="preserve"> </w:t>
            </w:r>
            <w:r w:rsidRPr="00EB2BD8">
              <w:rPr>
                <w:sz w:val="16"/>
              </w:rPr>
              <w:t>and</w:t>
            </w:r>
            <w:r w:rsidRPr="00EB2BD8">
              <w:rPr>
                <w:spacing w:val="-3"/>
                <w:sz w:val="16"/>
              </w:rPr>
              <w:t xml:space="preserve"> </w:t>
            </w:r>
            <w:r w:rsidRPr="00EB2BD8">
              <w:rPr>
                <w:sz w:val="16"/>
              </w:rPr>
              <w:t>training</w:t>
            </w:r>
            <w:r w:rsidRPr="00EB2BD8">
              <w:rPr>
                <w:spacing w:val="-3"/>
                <w:sz w:val="16"/>
              </w:rPr>
              <w:t xml:space="preserve"> </w:t>
            </w:r>
            <w:r w:rsidRPr="00EB2BD8">
              <w:rPr>
                <w:sz w:val="16"/>
              </w:rPr>
              <w:t>programs,</w:t>
            </w:r>
            <w:r w:rsidRPr="00EB2BD8">
              <w:rPr>
                <w:spacing w:val="-3"/>
                <w:sz w:val="16"/>
              </w:rPr>
              <w:t xml:space="preserve"> </w:t>
            </w:r>
            <w:r w:rsidRPr="00EB2BD8">
              <w:rPr>
                <w:sz w:val="16"/>
              </w:rPr>
              <w:t>guidance</w:t>
            </w:r>
            <w:r w:rsidRPr="00EB2BD8">
              <w:rPr>
                <w:spacing w:val="-3"/>
                <w:sz w:val="16"/>
              </w:rPr>
              <w:t xml:space="preserve"> </w:t>
            </w:r>
            <w:r w:rsidRPr="00EB2BD8">
              <w:rPr>
                <w:sz w:val="16"/>
              </w:rPr>
              <w:t>materials</w:t>
            </w:r>
            <w:r w:rsidRPr="00EB2BD8">
              <w:rPr>
                <w:spacing w:val="-3"/>
                <w:sz w:val="16"/>
              </w:rPr>
              <w:t xml:space="preserve"> </w:t>
            </w:r>
            <w:r w:rsidRPr="00EB2BD8">
              <w:rPr>
                <w:sz w:val="16"/>
              </w:rPr>
              <w:t>to</w:t>
            </w:r>
            <w:r w:rsidRPr="00EB2BD8">
              <w:rPr>
                <w:spacing w:val="-3"/>
                <w:sz w:val="16"/>
              </w:rPr>
              <w:t xml:space="preserve"> </w:t>
            </w:r>
            <w:r w:rsidRPr="00EB2BD8">
              <w:rPr>
                <w:spacing w:val="-2"/>
                <w:sz w:val="16"/>
              </w:rPr>
              <w:t>improve</w:t>
            </w:r>
          </w:p>
        </w:tc>
        <w:tc>
          <w:tcPr>
            <w:tcW w:w="1020" w:type="dxa"/>
            <w:tcBorders>
              <w:top w:val="single" w:sz="2" w:space="0" w:color="000000"/>
            </w:tcBorders>
          </w:tcPr>
          <w:p w14:paraId="4724D40C" w14:textId="77777777" w:rsidR="00084F36" w:rsidRPr="00EB2BD8" w:rsidRDefault="00EB2BD8">
            <w:pPr>
              <w:pStyle w:val="TableParagraph"/>
              <w:spacing w:before="115" w:line="175" w:lineRule="exact"/>
              <w:ind w:right="152"/>
              <w:jc w:val="right"/>
              <w:rPr>
                <w:sz w:val="16"/>
              </w:rPr>
            </w:pPr>
            <w:r w:rsidRPr="00EB2BD8">
              <w:rPr>
                <w:spacing w:val="-2"/>
                <w:sz w:val="16"/>
              </w:rPr>
              <w:t>Complete</w:t>
            </w:r>
          </w:p>
        </w:tc>
        <w:tc>
          <w:tcPr>
            <w:tcW w:w="1379" w:type="dxa"/>
            <w:tcBorders>
              <w:top w:val="single" w:sz="2" w:space="0" w:color="000000"/>
            </w:tcBorders>
          </w:tcPr>
          <w:p w14:paraId="6AE7A9AC" w14:textId="77777777" w:rsidR="00084F36" w:rsidRPr="00EB2BD8" w:rsidRDefault="00EB2BD8">
            <w:pPr>
              <w:pStyle w:val="TableParagraph"/>
              <w:spacing w:before="115" w:line="175" w:lineRule="exact"/>
              <w:ind w:right="114"/>
              <w:jc w:val="right"/>
              <w:rPr>
                <w:sz w:val="16"/>
              </w:rPr>
            </w:pPr>
            <w:r w:rsidRPr="00EB2BD8">
              <w:rPr>
                <w:spacing w:val="-4"/>
                <w:w w:val="85"/>
                <w:sz w:val="16"/>
              </w:rPr>
              <w:t>6,</w:t>
            </w:r>
            <w:r w:rsidRPr="00EB2BD8">
              <w:rPr>
                <w:spacing w:val="-10"/>
                <w:sz w:val="16"/>
              </w:rPr>
              <w:t xml:space="preserve"> </w:t>
            </w:r>
            <w:r w:rsidRPr="00EB2BD8">
              <w:rPr>
                <w:spacing w:val="-4"/>
                <w:w w:val="85"/>
                <w:sz w:val="16"/>
              </w:rPr>
              <w:t>29,</w:t>
            </w:r>
            <w:r w:rsidRPr="00EB2BD8">
              <w:rPr>
                <w:spacing w:val="-9"/>
                <w:sz w:val="16"/>
              </w:rPr>
              <w:t xml:space="preserve"> </w:t>
            </w:r>
            <w:r w:rsidRPr="00EB2BD8">
              <w:rPr>
                <w:spacing w:val="-4"/>
                <w:w w:val="85"/>
                <w:sz w:val="16"/>
              </w:rPr>
              <w:t>30,</w:t>
            </w:r>
            <w:r w:rsidRPr="00EB2BD8">
              <w:rPr>
                <w:spacing w:val="-9"/>
                <w:sz w:val="16"/>
              </w:rPr>
              <w:t xml:space="preserve"> </w:t>
            </w:r>
            <w:r w:rsidRPr="00EB2BD8">
              <w:rPr>
                <w:spacing w:val="-5"/>
                <w:w w:val="85"/>
                <w:sz w:val="16"/>
              </w:rPr>
              <w:t>34,</w:t>
            </w:r>
          </w:p>
        </w:tc>
      </w:tr>
      <w:tr w:rsidR="00EB2BD8" w:rsidRPr="00EB2BD8" w14:paraId="199DFCED" w14:textId="77777777">
        <w:trPr>
          <w:trHeight w:val="324"/>
        </w:trPr>
        <w:tc>
          <w:tcPr>
            <w:tcW w:w="8072" w:type="dxa"/>
            <w:tcBorders>
              <w:bottom w:val="single" w:sz="2" w:space="0" w:color="000000"/>
            </w:tcBorders>
          </w:tcPr>
          <w:p w14:paraId="47A8D7ED" w14:textId="77777777" w:rsidR="00084F36" w:rsidRPr="00EB2BD8" w:rsidRDefault="00EB2BD8">
            <w:pPr>
              <w:pStyle w:val="TableParagraph"/>
              <w:spacing w:before="4"/>
              <w:ind w:left="1155" w:right="1349"/>
              <w:jc w:val="center"/>
              <w:rPr>
                <w:sz w:val="16"/>
              </w:rPr>
            </w:pPr>
            <w:r w:rsidRPr="00EB2BD8">
              <w:rPr>
                <w:sz w:val="16"/>
              </w:rPr>
              <w:t>industry</w:t>
            </w:r>
            <w:r w:rsidRPr="00EB2BD8">
              <w:rPr>
                <w:spacing w:val="5"/>
                <w:sz w:val="16"/>
              </w:rPr>
              <w:t xml:space="preserve"> </w:t>
            </w:r>
            <w:r w:rsidRPr="00EB2BD8">
              <w:rPr>
                <w:sz w:val="16"/>
              </w:rPr>
              <w:t>competence</w:t>
            </w:r>
            <w:r w:rsidRPr="00EB2BD8">
              <w:rPr>
                <w:spacing w:val="5"/>
                <w:sz w:val="16"/>
              </w:rPr>
              <w:t xml:space="preserve"> </w:t>
            </w:r>
            <w:r w:rsidRPr="00EB2BD8">
              <w:rPr>
                <w:sz w:val="16"/>
              </w:rPr>
              <w:t>measures</w:t>
            </w:r>
            <w:r w:rsidRPr="00EB2BD8">
              <w:rPr>
                <w:spacing w:val="5"/>
                <w:sz w:val="16"/>
              </w:rPr>
              <w:t xml:space="preserve"> </w:t>
            </w:r>
            <w:r w:rsidRPr="00EB2BD8">
              <w:rPr>
                <w:sz w:val="16"/>
              </w:rPr>
              <w:t>by</w:t>
            </w:r>
            <w:r w:rsidRPr="00EB2BD8">
              <w:rPr>
                <w:spacing w:val="5"/>
                <w:sz w:val="16"/>
              </w:rPr>
              <w:t xml:space="preserve"> </w:t>
            </w:r>
            <w:r w:rsidRPr="00EB2BD8">
              <w:rPr>
                <w:sz w:val="16"/>
              </w:rPr>
              <w:t>reach</w:t>
            </w:r>
            <w:r w:rsidRPr="00EB2BD8">
              <w:rPr>
                <w:spacing w:val="6"/>
                <w:sz w:val="16"/>
              </w:rPr>
              <w:t xml:space="preserve"> </w:t>
            </w:r>
            <w:r w:rsidRPr="00EB2BD8">
              <w:rPr>
                <w:sz w:val="16"/>
              </w:rPr>
              <w:t>and</w:t>
            </w:r>
            <w:r w:rsidRPr="00EB2BD8">
              <w:rPr>
                <w:spacing w:val="5"/>
                <w:sz w:val="16"/>
              </w:rPr>
              <w:t xml:space="preserve"> </w:t>
            </w:r>
            <w:r w:rsidRPr="00EB2BD8">
              <w:rPr>
                <w:sz w:val="16"/>
              </w:rPr>
              <w:t>engagement</w:t>
            </w:r>
            <w:r w:rsidRPr="00EB2BD8">
              <w:rPr>
                <w:spacing w:val="5"/>
                <w:sz w:val="16"/>
              </w:rPr>
              <w:t xml:space="preserve"> </w:t>
            </w:r>
            <w:r w:rsidRPr="00EB2BD8">
              <w:rPr>
                <w:sz w:val="16"/>
              </w:rPr>
              <w:t>of</w:t>
            </w:r>
            <w:r w:rsidRPr="00EB2BD8">
              <w:rPr>
                <w:spacing w:val="5"/>
                <w:sz w:val="16"/>
              </w:rPr>
              <w:t xml:space="preserve"> </w:t>
            </w:r>
            <w:r w:rsidRPr="00EB2BD8">
              <w:rPr>
                <w:spacing w:val="-2"/>
                <w:sz w:val="16"/>
              </w:rPr>
              <w:t>materials.</w:t>
            </w:r>
          </w:p>
        </w:tc>
        <w:tc>
          <w:tcPr>
            <w:tcW w:w="1020" w:type="dxa"/>
            <w:tcBorders>
              <w:bottom w:val="single" w:sz="2" w:space="0" w:color="000000"/>
            </w:tcBorders>
          </w:tcPr>
          <w:p w14:paraId="3370800E" w14:textId="77777777" w:rsidR="00084F36" w:rsidRPr="00EB2BD8" w:rsidRDefault="00084F36">
            <w:pPr>
              <w:pStyle w:val="TableParagraph"/>
              <w:rPr>
                <w:rFonts w:ascii="Times New Roman"/>
                <w:sz w:val="16"/>
              </w:rPr>
            </w:pPr>
          </w:p>
        </w:tc>
        <w:tc>
          <w:tcPr>
            <w:tcW w:w="1379" w:type="dxa"/>
            <w:tcBorders>
              <w:bottom w:val="single" w:sz="2" w:space="0" w:color="000000"/>
            </w:tcBorders>
          </w:tcPr>
          <w:p w14:paraId="7DED7492" w14:textId="77777777" w:rsidR="00084F36" w:rsidRPr="00EB2BD8" w:rsidRDefault="00EB2BD8">
            <w:pPr>
              <w:pStyle w:val="TableParagraph"/>
              <w:spacing w:before="4"/>
              <w:ind w:right="115"/>
              <w:jc w:val="right"/>
              <w:rPr>
                <w:sz w:val="16"/>
              </w:rPr>
            </w:pPr>
            <w:r w:rsidRPr="00EB2BD8">
              <w:rPr>
                <w:spacing w:val="-2"/>
                <w:w w:val="85"/>
                <w:sz w:val="16"/>
              </w:rPr>
              <w:t>43-51,</w:t>
            </w:r>
            <w:r w:rsidRPr="00EB2BD8">
              <w:rPr>
                <w:spacing w:val="-8"/>
                <w:sz w:val="16"/>
              </w:rPr>
              <w:t xml:space="preserve"> </w:t>
            </w:r>
            <w:r w:rsidRPr="00EB2BD8">
              <w:rPr>
                <w:spacing w:val="-2"/>
                <w:w w:val="85"/>
                <w:sz w:val="16"/>
              </w:rPr>
              <w:t>59,</w:t>
            </w:r>
            <w:r w:rsidRPr="00EB2BD8">
              <w:rPr>
                <w:spacing w:val="-7"/>
                <w:sz w:val="16"/>
              </w:rPr>
              <w:t xml:space="preserve"> </w:t>
            </w:r>
            <w:r w:rsidRPr="00EB2BD8">
              <w:rPr>
                <w:spacing w:val="-5"/>
                <w:w w:val="85"/>
                <w:sz w:val="16"/>
              </w:rPr>
              <w:t>62</w:t>
            </w:r>
          </w:p>
        </w:tc>
      </w:tr>
      <w:tr w:rsidR="00084F36" w:rsidRPr="00EB2BD8" w14:paraId="5575266E" w14:textId="77777777">
        <w:trPr>
          <w:trHeight w:val="636"/>
        </w:trPr>
        <w:tc>
          <w:tcPr>
            <w:tcW w:w="8072" w:type="dxa"/>
            <w:tcBorders>
              <w:top w:val="single" w:sz="2" w:space="0" w:color="000000"/>
              <w:bottom w:val="single" w:sz="2" w:space="0" w:color="000000"/>
            </w:tcBorders>
          </w:tcPr>
          <w:p w14:paraId="5CFCDB8D" w14:textId="77777777" w:rsidR="00084F36" w:rsidRPr="00EB2BD8" w:rsidRDefault="00EB2BD8">
            <w:pPr>
              <w:pStyle w:val="TableParagraph"/>
              <w:tabs>
                <w:tab w:val="left" w:pos="1151"/>
              </w:tabs>
              <w:spacing w:before="115" w:line="254" w:lineRule="auto"/>
              <w:ind w:left="1151" w:right="198" w:hanging="1040"/>
              <w:rPr>
                <w:sz w:val="16"/>
              </w:rPr>
            </w:pPr>
            <w:r w:rsidRPr="00EB2BD8">
              <w:rPr>
                <w:spacing w:val="-6"/>
                <w:sz w:val="16"/>
              </w:rPr>
              <w:t>14</w:t>
            </w:r>
            <w:r w:rsidRPr="00EB2BD8">
              <w:rPr>
                <w:sz w:val="16"/>
              </w:rPr>
              <w:tab/>
              <w:t>By</w:t>
            </w:r>
            <w:r w:rsidRPr="00EB2BD8">
              <w:rPr>
                <w:spacing w:val="-9"/>
                <w:sz w:val="16"/>
              </w:rPr>
              <w:t xml:space="preserve"> </w:t>
            </w:r>
            <w:r w:rsidRPr="00EB2BD8">
              <w:rPr>
                <w:sz w:val="16"/>
              </w:rPr>
              <w:t>June</w:t>
            </w:r>
            <w:r w:rsidRPr="00EB2BD8">
              <w:rPr>
                <w:spacing w:val="-9"/>
                <w:sz w:val="16"/>
              </w:rPr>
              <w:t xml:space="preserve"> </w:t>
            </w:r>
            <w:r w:rsidRPr="00EB2BD8">
              <w:rPr>
                <w:sz w:val="16"/>
              </w:rPr>
              <w:t>2023,</w:t>
            </w:r>
            <w:r w:rsidRPr="00EB2BD8">
              <w:rPr>
                <w:spacing w:val="-9"/>
                <w:sz w:val="16"/>
              </w:rPr>
              <w:t xml:space="preserve"> </w:t>
            </w:r>
            <w:r w:rsidRPr="00EB2BD8">
              <w:rPr>
                <w:sz w:val="16"/>
              </w:rPr>
              <w:t>the</w:t>
            </w:r>
            <w:r w:rsidRPr="00EB2BD8">
              <w:rPr>
                <w:spacing w:val="-9"/>
                <w:sz w:val="16"/>
              </w:rPr>
              <w:t xml:space="preserve"> </w:t>
            </w:r>
            <w:r w:rsidRPr="00EB2BD8">
              <w:rPr>
                <w:sz w:val="16"/>
              </w:rPr>
              <w:t>VBA</w:t>
            </w:r>
            <w:r w:rsidRPr="00EB2BD8">
              <w:rPr>
                <w:spacing w:val="-9"/>
                <w:sz w:val="16"/>
              </w:rPr>
              <w:t xml:space="preserve"> </w:t>
            </w:r>
            <w:r w:rsidRPr="00EB2BD8">
              <w:rPr>
                <w:sz w:val="16"/>
              </w:rPr>
              <w:t>is</w:t>
            </w:r>
            <w:r w:rsidRPr="00EB2BD8">
              <w:rPr>
                <w:spacing w:val="-9"/>
                <w:sz w:val="16"/>
              </w:rPr>
              <w:t xml:space="preserve"> </w:t>
            </w:r>
            <w:r w:rsidRPr="00EB2BD8">
              <w:rPr>
                <w:sz w:val="16"/>
              </w:rPr>
              <w:t>to</w:t>
            </w:r>
            <w:r w:rsidRPr="00EB2BD8">
              <w:rPr>
                <w:spacing w:val="-9"/>
                <w:sz w:val="16"/>
              </w:rPr>
              <w:t xml:space="preserve"> </w:t>
            </w:r>
            <w:r w:rsidRPr="00EB2BD8">
              <w:rPr>
                <w:sz w:val="16"/>
              </w:rPr>
              <w:t>host</w:t>
            </w:r>
            <w:r w:rsidRPr="00EB2BD8">
              <w:rPr>
                <w:spacing w:val="-9"/>
                <w:sz w:val="16"/>
              </w:rPr>
              <w:t xml:space="preserve"> </w:t>
            </w:r>
            <w:r w:rsidRPr="00EB2BD8">
              <w:rPr>
                <w:sz w:val="16"/>
              </w:rPr>
              <w:t>the</w:t>
            </w:r>
            <w:r w:rsidRPr="00EB2BD8">
              <w:rPr>
                <w:spacing w:val="-9"/>
                <w:sz w:val="16"/>
              </w:rPr>
              <w:t xml:space="preserve"> </w:t>
            </w:r>
            <w:r w:rsidRPr="00EB2BD8">
              <w:rPr>
                <w:sz w:val="16"/>
              </w:rPr>
              <w:t>annual</w:t>
            </w:r>
            <w:r w:rsidRPr="00EB2BD8">
              <w:rPr>
                <w:spacing w:val="-9"/>
                <w:sz w:val="16"/>
              </w:rPr>
              <w:t xml:space="preserve"> </w:t>
            </w:r>
            <w:r w:rsidRPr="00EB2BD8">
              <w:rPr>
                <w:sz w:val="16"/>
              </w:rPr>
              <w:t>Building</w:t>
            </w:r>
            <w:r w:rsidRPr="00EB2BD8">
              <w:rPr>
                <w:spacing w:val="-9"/>
                <w:sz w:val="16"/>
              </w:rPr>
              <w:t xml:space="preserve"> </w:t>
            </w:r>
            <w:r w:rsidRPr="00EB2BD8">
              <w:rPr>
                <w:sz w:val="16"/>
              </w:rPr>
              <w:t>Surveyors'</w:t>
            </w:r>
            <w:r w:rsidRPr="00EB2BD8">
              <w:rPr>
                <w:spacing w:val="-9"/>
                <w:sz w:val="16"/>
              </w:rPr>
              <w:t xml:space="preserve"> </w:t>
            </w:r>
            <w:r w:rsidRPr="00EB2BD8">
              <w:rPr>
                <w:sz w:val="16"/>
              </w:rPr>
              <w:t>Conference</w:t>
            </w:r>
            <w:r w:rsidRPr="00EB2BD8">
              <w:rPr>
                <w:spacing w:val="-9"/>
                <w:sz w:val="16"/>
              </w:rPr>
              <w:t xml:space="preserve"> </w:t>
            </w:r>
            <w:r w:rsidRPr="00EB2BD8">
              <w:rPr>
                <w:sz w:val="16"/>
              </w:rPr>
              <w:t>in</w:t>
            </w:r>
            <w:r w:rsidRPr="00EB2BD8">
              <w:rPr>
                <w:spacing w:val="-9"/>
                <w:sz w:val="16"/>
              </w:rPr>
              <w:t xml:space="preserve"> </w:t>
            </w:r>
            <w:r w:rsidRPr="00EB2BD8">
              <w:rPr>
                <w:sz w:val="16"/>
              </w:rPr>
              <w:t>2022</w:t>
            </w:r>
            <w:r w:rsidRPr="00EB2BD8">
              <w:rPr>
                <w:spacing w:val="-9"/>
                <w:sz w:val="16"/>
              </w:rPr>
              <w:t xml:space="preserve"> </w:t>
            </w:r>
            <w:r w:rsidRPr="00EB2BD8">
              <w:rPr>
                <w:sz w:val="16"/>
              </w:rPr>
              <w:t xml:space="preserve">and </w:t>
            </w:r>
            <w:r w:rsidRPr="00EB2BD8">
              <w:rPr>
                <w:spacing w:val="-4"/>
                <w:sz w:val="16"/>
              </w:rPr>
              <w:t>2023.</w:t>
            </w:r>
          </w:p>
        </w:tc>
        <w:tc>
          <w:tcPr>
            <w:tcW w:w="1020" w:type="dxa"/>
            <w:tcBorders>
              <w:top w:val="single" w:sz="2" w:space="0" w:color="000000"/>
              <w:bottom w:val="single" w:sz="2" w:space="0" w:color="000000"/>
            </w:tcBorders>
          </w:tcPr>
          <w:p w14:paraId="6B7F86B0" w14:textId="77777777" w:rsidR="00084F36" w:rsidRPr="00EB2BD8" w:rsidRDefault="00EB2BD8">
            <w:pPr>
              <w:pStyle w:val="TableParagraph"/>
              <w:spacing w:before="115"/>
              <w:ind w:right="152"/>
              <w:jc w:val="right"/>
              <w:rPr>
                <w:sz w:val="16"/>
              </w:rPr>
            </w:pPr>
            <w:r w:rsidRPr="00EB2BD8">
              <w:rPr>
                <w:spacing w:val="-2"/>
                <w:sz w:val="16"/>
              </w:rPr>
              <w:t>Complete</w:t>
            </w:r>
          </w:p>
        </w:tc>
        <w:tc>
          <w:tcPr>
            <w:tcW w:w="1379" w:type="dxa"/>
            <w:tcBorders>
              <w:top w:val="single" w:sz="2" w:space="0" w:color="000000"/>
              <w:bottom w:val="single" w:sz="2" w:space="0" w:color="000000"/>
            </w:tcBorders>
          </w:tcPr>
          <w:p w14:paraId="165EFF4F" w14:textId="77777777" w:rsidR="00084F36" w:rsidRPr="00EB2BD8" w:rsidRDefault="00EB2BD8">
            <w:pPr>
              <w:pStyle w:val="TableParagraph"/>
              <w:spacing w:before="115"/>
              <w:ind w:right="113"/>
              <w:jc w:val="right"/>
              <w:rPr>
                <w:sz w:val="16"/>
              </w:rPr>
            </w:pPr>
            <w:r w:rsidRPr="00EB2BD8">
              <w:rPr>
                <w:spacing w:val="-5"/>
                <w:sz w:val="16"/>
              </w:rPr>
              <w:t>33</w:t>
            </w:r>
          </w:p>
        </w:tc>
      </w:tr>
    </w:tbl>
    <w:p w14:paraId="0A5034AA" w14:textId="77777777" w:rsidR="00084F36" w:rsidRPr="00EB2BD8" w:rsidRDefault="00084F36">
      <w:pPr>
        <w:jc w:val="right"/>
        <w:rPr>
          <w:sz w:val="16"/>
        </w:rPr>
        <w:sectPr w:rsidR="00084F36" w:rsidRPr="00EB2BD8" w:rsidSect="006D75B2">
          <w:footerReference w:type="default" r:id="rId395"/>
          <w:pgSz w:w="11910" w:h="16840"/>
          <w:pgMar w:top="1080" w:right="0" w:bottom="700" w:left="0" w:header="0" w:footer="515" w:gutter="0"/>
          <w:cols w:space="720"/>
        </w:sectPr>
      </w:pPr>
    </w:p>
    <w:p w14:paraId="4201040C" w14:textId="77777777" w:rsidR="00084F36" w:rsidRPr="00EB2BD8" w:rsidRDefault="00EB2BD8" w:rsidP="003B3D54">
      <w:pPr>
        <w:pStyle w:val="Heading1"/>
      </w:pPr>
      <w:bookmarkStart w:id="421" w:name="_Toc150762723"/>
      <w:r w:rsidRPr="00EB2BD8">
        <w:lastRenderedPageBreak/>
        <w:t>Appendix</w:t>
      </w:r>
      <w:r w:rsidRPr="00EB2BD8">
        <w:rPr>
          <w:spacing w:val="-32"/>
        </w:rPr>
        <w:t xml:space="preserve"> </w:t>
      </w:r>
      <w:r w:rsidRPr="00EB2BD8">
        <w:rPr>
          <w:spacing w:val="-10"/>
        </w:rPr>
        <w:t>C</w:t>
      </w:r>
      <w:bookmarkEnd w:id="421"/>
    </w:p>
    <w:p w14:paraId="3C05133B" w14:textId="77777777" w:rsidR="00084F36" w:rsidRPr="00EB2BD8" w:rsidRDefault="00EB2BD8" w:rsidP="0004531F">
      <w:pPr>
        <w:pStyle w:val="Heading2"/>
      </w:pPr>
      <w:bookmarkStart w:id="422" w:name="_Toc150762724"/>
      <w:r w:rsidRPr="00EB2BD8">
        <w:t>OHS</w:t>
      </w:r>
      <w:r w:rsidRPr="00EB2BD8">
        <w:rPr>
          <w:spacing w:val="-23"/>
        </w:rPr>
        <w:t xml:space="preserve"> </w:t>
      </w:r>
      <w:r w:rsidRPr="00EB2BD8">
        <w:t>at</w:t>
      </w:r>
      <w:r w:rsidRPr="00EB2BD8">
        <w:rPr>
          <w:spacing w:val="-22"/>
        </w:rPr>
        <w:t xml:space="preserve"> </w:t>
      </w:r>
      <w:r w:rsidRPr="00EB2BD8">
        <w:t>the</w:t>
      </w:r>
      <w:r w:rsidRPr="00EB2BD8">
        <w:rPr>
          <w:spacing w:val="-23"/>
        </w:rPr>
        <w:t xml:space="preserve"> </w:t>
      </w:r>
      <w:r w:rsidRPr="00EB2BD8">
        <w:rPr>
          <w:spacing w:val="-5"/>
        </w:rPr>
        <w:t>VBA</w:t>
      </w:r>
      <w:bookmarkEnd w:id="422"/>
    </w:p>
    <w:p w14:paraId="29BF943A" w14:textId="77777777" w:rsidR="00084F36" w:rsidRPr="00EB2BD8" w:rsidRDefault="00084F36">
      <w:pPr>
        <w:pStyle w:val="BodyText"/>
        <w:spacing w:before="5"/>
        <w:rPr>
          <w:b/>
          <w:sz w:val="33"/>
        </w:rPr>
      </w:pPr>
    </w:p>
    <w:p w14:paraId="35A64E16" w14:textId="77777777" w:rsidR="00084F36" w:rsidRPr="00EB2BD8" w:rsidRDefault="00EB2BD8" w:rsidP="0004531F">
      <w:pPr>
        <w:pStyle w:val="Heading3"/>
      </w:pPr>
      <w:bookmarkStart w:id="423" w:name="_Toc150762725"/>
      <w:r w:rsidRPr="00EB2BD8">
        <w:t>Table</w:t>
      </w:r>
      <w:r w:rsidRPr="00EB2BD8">
        <w:rPr>
          <w:spacing w:val="1"/>
        </w:rPr>
        <w:t xml:space="preserve"> </w:t>
      </w:r>
      <w:r w:rsidRPr="00EB2BD8">
        <w:t>17:</w:t>
      </w:r>
      <w:r w:rsidRPr="00EB2BD8">
        <w:rPr>
          <w:spacing w:val="67"/>
        </w:rPr>
        <w:t xml:space="preserve"> </w:t>
      </w:r>
      <w:r w:rsidRPr="00EB2BD8">
        <w:t>Performance</w:t>
      </w:r>
      <w:r w:rsidRPr="00EB2BD8">
        <w:rPr>
          <w:spacing w:val="2"/>
        </w:rPr>
        <w:t xml:space="preserve"> </w:t>
      </w:r>
      <w:r w:rsidRPr="00EB2BD8">
        <w:t>against</w:t>
      </w:r>
      <w:r w:rsidRPr="00EB2BD8">
        <w:rPr>
          <w:spacing w:val="2"/>
        </w:rPr>
        <w:t xml:space="preserve"> </w:t>
      </w:r>
      <w:r w:rsidRPr="00EB2BD8">
        <w:t>occupational</w:t>
      </w:r>
      <w:r w:rsidRPr="00EB2BD8">
        <w:rPr>
          <w:spacing w:val="2"/>
        </w:rPr>
        <w:t xml:space="preserve"> </w:t>
      </w:r>
      <w:r w:rsidRPr="00EB2BD8">
        <w:t>health</w:t>
      </w:r>
      <w:r w:rsidRPr="00EB2BD8">
        <w:rPr>
          <w:spacing w:val="2"/>
        </w:rPr>
        <w:t xml:space="preserve"> </w:t>
      </w:r>
      <w:r w:rsidRPr="00EB2BD8">
        <w:t>and</w:t>
      </w:r>
      <w:r w:rsidRPr="00EB2BD8">
        <w:rPr>
          <w:spacing w:val="1"/>
        </w:rPr>
        <w:t xml:space="preserve"> </w:t>
      </w:r>
      <w:r w:rsidRPr="00EB2BD8">
        <w:t>safety</w:t>
      </w:r>
      <w:r w:rsidRPr="00EB2BD8">
        <w:rPr>
          <w:spacing w:val="2"/>
        </w:rPr>
        <w:t xml:space="preserve"> </w:t>
      </w:r>
      <w:r w:rsidRPr="00EB2BD8">
        <w:t>management</w:t>
      </w:r>
      <w:r w:rsidRPr="00EB2BD8">
        <w:rPr>
          <w:spacing w:val="2"/>
        </w:rPr>
        <w:t xml:space="preserve"> </w:t>
      </w:r>
      <w:r w:rsidRPr="00EB2BD8">
        <w:rPr>
          <w:spacing w:val="-2"/>
        </w:rPr>
        <w:t>measures</w:t>
      </w:r>
      <w:bookmarkEnd w:id="423"/>
    </w:p>
    <w:p w14:paraId="480E73BD" w14:textId="77777777" w:rsidR="00084F36" w:rsidRPr="00EB2BD8" w:rsidRDefault="00084F36">
      <w:pPr>
        <w:pStyle w:val="BodyText"/>
        <w:spacing w:before="6"/>
        <w:rPr>
          <w:sz w:val="20"/>
        </w:rPr>
      </w:pPr>
    </w:p>
    <w:tbl>
      <w:tblPr>
        <w:tblW w:w="0" w:type="auto"/>
        <w:tblInd w:w="857" w:type="dxa"/>
        <w:tblLayout w:type="fixed"/>
        <w:tblCellMar>
          <w:left w:w="0" w:type="dxa"/>
          <w:right w:w="0" w:type="dxa"/>
        </w:tblCellMar>
        <w:tblLook w:val="01E0" w:firstRow="1" w:lastRow="1" w:firstColumn="1" w:lastColumn="1" w:noHBand="0" w:noVBand="0"/>
      </w:tblPr>
      <w:tblGrid>
        <w:gridCol w:w="1984"/>
        <w:gridCol w:w="4875"/>
        <w:gridCol w:w="1705"/>
        <w:gridCol w:w="1640"/>
      </w:tblGrid>
      <w:tr w:rsidR="0004531F" w:rsidRPr="0004531F" w14:paraId="589D3531" w14:textId="77777777">
        <w:trPr>
          <w:trHeight w:val="386"/>
        </w:trPr>
        <w:tc>
          <w:tcPr>
            <w:tcW w:w="1984" w:type="dxa"/>
            <w:shd w:val="clear" w:color="auto" w:fill="005F83"/>
          </w:tcPr>
          <w:p w14:paraId="6D7AFA04" w14:textId="77777777" w:rsidR="00084F36" w:rsidRPr="0004531F" w:rsidRDefault="00EB2BD8">
            <w:pPr>
              <w:pStyle w:val="TableParagraph"/>
              <w:spacing w:before="118"/>
              <w:ind w:left="113"/>
              <w:rPr>
                <w:color w:val="FFFFFF" w:themeColor="background1"/>
                <w:sz w:val="16"/>
              </w:rPr>
            </w:pPr>
            <w:r w:rsidRPr="0004531F">
              <w:rPr>
                <w:color w:val="FFFFFF" w:themeColor="background1"/>
                <w:spacing w:val="-2"/>
                <w:sz w:val="16"/>
              </w:rPr>
              <w:t>Measure</w:t>
            </w:r>
          </w:p>
        </w:tc>
        <w:tc>
          <w:tcPr>
            <w:tcW w:w="4875" w:type="dxa"/>
            <w:shd w:val="clear" w:color="auto" w:fill="005F83"/>
          </w:tcPr>
          <w:p w14:paraId="21D65BEC" w14:textId="77777777" w:rsidR="00084F36" w:rsidRPr="0004531F" w:rsidRDefault="00EB2BD8">
            <w:pPr>
              <w:pStyle w:val="TableParagraph"/>
              <w:spacing w:before="118"/>
              <w:ind w:left="113"/>
              <w:rPr>
                <w:color w:val="FFFFFF" w:themeColor="background1"/>
                <w:sz w:val="16"/>
              </w:rPr>
            </w:pPr>
            <w:r w:rsidRPr="0004531F">
              <w:rPr>
                <w:color w:val="FFFFFF" w:themeColor="background1"/>
                <w:sz w:val="16"/>
              </w:rPr>
              <w:t>Key</w:t>
            </w:r>
            <w:r w:rsidRPr="0004531F">
              <w:rPr>
                <w:color w:val="FFFFFF" w:themeColor="background1"/>
                <w:spacing w:val="2"/>
                <w:sz w:val="16"/>
              </w:rPr>
              <w:t xml:space="preserve"> </w:t>
            </w:r>
            <w:r w:rsidRPr="0004531F">
              <w:rPr>
                <w:color w:val="FFFFFF" w:themeColor="background1"/>
                <w:sz w:val="16"/>
              </w:rPr>
              <w:t>performance</w:t>
            </w:r>
            <w:r w:rsidRPr="0004531F">
              <w:rPr>
                <w:color w:val="FFFFFF" w:themeColor="background1"/>
                <w:spacing w:val="3"/>
                <w:sz w:val="16"/>
              </w:rPr>
              <w:t xml:space="preserve"> </w:t>
            </w:r>
            <w:r w:rsidRPr="0004531F">
              <w:rPr>
                <w:color w:val="FFFFFF" w:themeColor="background1"/>
                <w:spacing w:val="-2"/>
                <w:sz w:val="16"/>
              </w:rPr>
              <w:t>indicator</w:t>
            </w:r>
          </w:p>
        </w:tc>
        <w:tc>
          <w:tcPr>
            <w:tcW w:w="1705" w:type="dxa"/>
            <w:shd w:val="clear" w:color="auto" w:fill="005F83"/>
          </w:tcPr>
          <w:p w14:paraId="379138F0" w14:textId="77777777" w:rsidR="00084F36" w:rsidRPr="0004531F" w:rsidRDefault="00EB2BD8">
            <w:pPr>
              <w:pStyle w:val="TableParagraph"/>
              <w:spacing w:before="118"/>
              <w:ind w:right="171"/>
              <w:jc w:val="right"/>
              <w:rPr>
                <w:color w:val="FFFFFF" w:themeColor="background1"/>
                <w:sz w:val="16"/>
              </w:rPr>
            </w:pPr>
            <w:r w:rsidRPr="0004531F">
              <w:rPr>
                <w:color w:val="FFFFFF" w:themeColor="background1"/>
                <w:w w:val="90"/>
                <w:sz w:val="16"/>
              </w:rPr>
              <w:t>2022-</w:t>
            </w:r>
            <w:r w:rsidRPr="0004531F">
              <w:rPr>
                <w:color w:val="FFFFFF" w:themeColor="background1"/>
                <w:spacing w:val="-5"/>
                <w:sz w:val="16"/>
              </w:rPr>
              <w:t>23</w:t>
            </w:r>
          </w:p>
        </w:tc>
        <w:tc>
          <w:tcPr>
            <w:tcW w:w="1640" w:type="dxa"/>
            <w:shd w:val="clear" w:color="auto" w:fill="005F83"/>
          </w:tcPr>
          <w:p w14:paraId="59421E9C" w14:textId="77777777" w:rsidR="00084F36" w:rsidRPr="0004531F" w:rsidRDefault="00EB2BD8">
            <w:pPr>
              <w:pStyle w:val="TableParagraph"/>
              <w:spacing w:before="118"/>
              <w:ind w:right="110"/>
              <w:jc w:val="right"/>
              <w:rPr>
                <w:color w:val="FFFFFF" w:themeColor="background1"/>
                <w:sz w:val="16"/>
              </w:rPr>
            </w:pPr>
            <w:r w:rsidRPr="0004531F">
              <w:rPr>
                <w:color w:val="FFFFFF" w:themeColor="background1"/>
                <w:w w:val="85"/>
                <w:sz w:val="16"/>
              </w:rPr>
              <w:t>2021-</w:t>
            </w:r>
            <w:r w:rsidRPr="0004531F">
              <w:rPr>
                <w:color w:val="FFFFFF" w:themeColor="background1"/>
                <w:spacing w:val="-5"/>
                <w:w w:val="95"/>
                <w:sz w:val="16"/>
              </w:rPr>
              <w:t>22</w:t>
            </w:r>
          </w:p>
        </w:tc>
      </w:tr>
      <w:tr w:rsidR="00EB2BD8" w:rsidRPr="00EB2BD8" w14:paraId="34FD6476" w14:textId="77777777">
        <w:trPr>
          <w:trHeight w:val="384"/>
        </w:trPr>
        <w:tc>
          <w:tcPr>
            <w:tcW w:w="1984" w:type="dxa"/>
          </w:tcPr>
          <w:p w14:paraId="220E6F92" w14:textId="77777777" w:rsidR="00084F36" w:rsidRPr="00EB2BD8" w:rsidRDefault="00EB2BD8">
            <w:pPr>
              <w:pStyle w:val="TableParagraph"/>
              <w:spacing w:before="118"/>
              <w:ind w:left="113"/>
              <w:rPr>
                <w:sz w:val="9"/>
              </w:rPr>
            </w:pPr>
            <w:r w:rsidRPr="00EB2BD8">
              <w:rPr>
                <w:sz w:val="16"/>
              </w:rPr>
              <w:t>Incidents</w:t>
            </w:r>
            <w:r w:rsidRPr="00EB2BD8">
              <w:rPr>
                <w:spacing w:val="-9"/>
                <w:sz w:val="16"/>
              </w:rPr>
              <w:t xml:space="preserve"> </w:t>
            </w:r>
            <w:r w:rsidRPr="00EB2BD8">
              <w:rPr>
                <w:sz w:val="16"/>
              </w:rPr>
              <w:t>and</w:t>
            </w:r>
            <w:r w:rsidRPr="00EB2BD8">
              <w:rPr>
                <w:spacing w:val="-8"/>
                <w:sz w:val="16"/>
              </w:rPr>
              <w:t xml:space="preserve"> </w:t>
            </w:r>
            <w:r w:rsidRPr="00EB2BD8">
              <w:rPr>
                <w:spacing w:val="-2"/>
                <w:sz w:val="16"/>
              </w:rPr>
              <w:t>injuries</w:t>
            </w:r>
            <w:r w:rsidRPr="00EB2BD8">
              <w:rPr>
                <w:spacing w:val="-2"/>
                <w:position w:val="5"/>
                <w:sz w:val="9"/>
              </w:rPr>
              <w:t>25</w:t>
            </w:r>
          </w:p>
        </w:tc>
        <w:tc>
          <w:tcPr>
            <w:tcW w:w="4875" w:type="dxa"/>
            <w:tcBorders>
              <w:bottom w:val="single" w:sz="2" w:space="0" w:color="000000"/>
            </w:tcBorders>
          </w:tcPr>
          <w:p w14:paraId="1EDAF48E" w14:textId="77777777" w:rsidR="00084F36" w:rsidRPr="00EB2BD8" w:rsidRDefault="00EB2BD8">
            <w:pPr>
              <w:pStyle w:val="TableParagraph"/>
              <w:spacing w:before="118"/>
              <w:ind w:left="113"/>
              <w:rPr>
                <w:sz w:val="16"/>
              </w:rPr>
            </w:pPr>
            <w:r w:rsidRPr="00EB2BD8">
              <w:rPr>
                <w:sz w:val="16"/>
              </w:rPr>
              <w:t>Number</w:t>
            </w:r>
            <w:r w:rsidRPr="00EB2BD8">
              <w:rPr>
                <w:spacing w:val="-12"/>
                <w:sz w:val="16"/>
              </w:rPr>
              <w:t xml:space="preserve"> </w:t>
            </w:r>
            <w:r w:rsidRPr="00EB2BD8">
              <w:rPr>
                <w:sz w:val="16"/>
              </w:rPr>
              <w:t>of</w:t>
            </w:r>
            <w:r w:rsidRPr="00EB2BD8">
              <w:rPr>
                <w:spacing w:val="-11"/>
                <w:sz w:val="16"/>
              </w:rPr>
              <w:t xml:space="preserve"> </w:t>
            </w:r>
            <w:r w:rsidRPr="00EB2BD8">
              <w:rPr>
                <w:spacing w:val="-2"/>
                <w:sz w:val="16"/>
              </w:rPr>
              <w:t>incidents</w:t>
            </w:r>
          </w:p>
        </w:tc>
        <w:tc>
          <w:tcPr>
            <w:tcW w:w="1705" w:type="dxa"/>
            <w:tcBorders>
              <w:bottom w:val="single" w:sz="2" w:space="0" w:color="000000"/>
            </w:tcBorders>
          </w:tcPr>
          <w:p w14:paraId="50E4AE1F" w14:textId="77777777" w:rsidR="00084F36" w:rsidRPr="00EB2BD8" w:rsidRDefault="00EB2BD8">
            <w:pPr>
              <w:pStyle w:val="TableParagraph"/>
              <w:spacing w:before="118"/>
              <w:ind w:right="172"/>
              <w:jc w:val="right"/>
              <w:rPr>
                <w:sz w:val="16"/>
              </w:rPr>
            </w:pPr>
            <w:r w:rsidRPr="00EB2BD8">
              <w:rPr>
                <w:spacing w:val="-5"/>
                <w:w w:val="75"/>
                <w:sz w:val="16"/>
              </w:rPr>
              <w:t>71</w:t>
            </w:r>
          </w:p>
        </w:tc>
        <w:tc>
          <w:tcPr>
            <w:tcW w:w="1640" w:type="dxa"/>
            <w:tcBorders>
              <w:bottom w:val="single" w:sz="2" w:space="0" w:color="000000"/>
            </w:tcBorders>
          </w:tcPr>
          <w:p w14:paraId="6FF8C07D" w14:textId="77777777" w:rsidR="00084F36" w:rsidRPr="00EB2BD8" w:rsidRDefault="00EB2BD8">
            <w:pPr>
              <w:pStyle w:val="TableParagraph"/>
              <w:spacing w:before="118"/>
              <w:ind w:right="111"/>
              <w:jc w:val="right"/>
              <w:rPr>
                <w:sz w:val="16"/>
              </w:rPr>
            </w:pPr>
            <w:r w:rsidRPr="00EB2BD8">
              <w:rPr>
                <w:spacing w:val="-5"/>
                <w:sz w:val="16"/>
              </w:rPr>
              <w:t>43</w:t>
            </w:r>
          </w:p>
        </w:tc>
      </w:tr>
      <w:tr w:rsidR="00EB2BD8" w:rsidRPr="00EB2BD8" w14:paraId="7AE471C7" w14:textId="77777777">
        <w:trPr>
          <w:trHeight w:val="381"/>
        </w:trPr>
        <w:tc>
          <w:tcPr>
            <w:tcW w:w="1984" w:type="dxa"/>
          </w:tcPr>
          <w:p w14:paraId="7803CFD1" w14:textId="77777777" w:rsidR="00084F36" w:rsidRPr="00EB2BD8" w:rsidRDefault="00084F36">
            <w:pPr>
              <w:pStyle w:val="TableParagraph"/>
              <w:rPr>
                <w:rFonts w:ascii="Times New Roman"/>
                <w:sz w:val="14"/>
              </w:rPr>
            </w:pPr>
          </w:p>
        </w:tc>
        <w:tc>
          <w:tcPr>
            <w:tcW w:w="4875" w:type="dxa"/>
            <w:tcBorders>
              <w:top w:val="single" w:sz="2" w:space="0" w:color="000000"/>
              <w:bottom w:val="single" w:sz="2" w:space="0" w:color="000000"/>
            </w:tcBorders>
          </w:tcPr>
          <w:p w14:paraId="454873AB" w14:textId="77777777" w:rsidR="00084F36" w:rsidRPr="00EB2BD8" w:rsidRDefault="00EB2BD8">
            <w:pPr>
              <w:pStyle w:val="TableParagraph"/>
              <w:spacing w:before="116"/>
              <w:ind w:left="113"/>
              <w:rPr>
                <w:sz w:val="16"/>
              </w:rPr>
            </w:pPr>
            <w:r w:rsidRPr="00EB2BD8">
              <w:rPr>
                <w:spacing w:val="-2"/>
                <w:sz w:val="16"/>
              </w:rPr>
              <w:t>Incident</w:t>
            </w:r>
            <w:r w:rsidRPr="00EB2BD8">
              <w:rPr>
                <w:spacing w:val="-6"/>
                <w:sz w:val="16"/>
              </w:rPr>
              <w:t xml:space="preserve"> </w:t>
            </w:r>
            <w:r w:rsidRPr="00EB2BD8">
              <w:rPr>
                <w:spacing w:val="-2"/>
                <w:sz w:val="16"/>
              </w:rPr>
              <w:t>rate</w:t>
            </w:r>
            <w:r w:rsidRPr="00EB2BD8">
              <w:rPr>
                <w:spacing w:val="-5"/>
                <w:sz w:val="16"/>
              </w:rPr>
              <w:t xml:space="preserve"> </w:t>
            </w:r>
            <w:r w:rsidRPr="00EB2BD8">
              <w:rPr>
                <w:spacing w:val="-2"/>
                <w:sz w:val="16"/>
              </w:rPr>
              <w:t>per</w:t>
            </w:r>
            <w:r w:rsidRPr="00EB2BD8">
              <w:rPr>
                <w:spacing w:val="-6"/>
                <w:sz w:val="16"/>
              </w:rPr>
              <w:t xml:space="preserve"> </w:t>
            </w:r>
            <w:r w:rsidRPr="00EB2BD8">
              <w:rPr>
                <w:spacing w:val="-2"/>
                <w:sz w:val="16"/>
              </w:rPr>
              <w:t>100</w:t>
            </w:r>
            <w:r w:rsidRPr="00EB2BD8">
              <w:rPr>
                <w:spacing w:val="-5"/>
                <w:sz w:val="16"/>
              </w:rPr>
              <w:t xml:space="preserve"> </w:t>
            </w:r>
            <w:r w:rsidRPr="00EB2BD8">
              <w:rPr>
                <w:spacing w:val="-2"/>
                <w:sz w:val="16"/>
              </w:rPr>
              <w:t>FTE</w:t>
            </w:r>
            <w:r w:rsidRPr="00EB2BD8">
              <w:rPr>
                <w:spacing w:val="-5"/>
                <w:sz w:val="16"/>
              </w:rPr>
              <w:t xml:space="preserve"> (%)</w:t>
            </w:r>
          </w:p>
        </w:tc>
        <w:tc>
          <w:tcPr>
            <w:tcW w:w="1705" w:type="dxa"/>
            <w:tcBorders>
              <w:top w:val="single" w:sz="2" w:space="0" w:color="000000"/>
              <w:bottom w:val="single" w:sz="2" w:space="0" w:color="000000"/>
            </w:tcBorders>
          </w:tcPr>
          <w:p w14:paraId="078A52F2" w14:textId="77777777" w:rsidR="00084F36" w:rsidRPr="00EB2BD8" w:rsidRDefault="00EB2BD8">
            <w:pPr>
              <w:pStyle w:val="TableParagraph"/>
              <w:spacing w:before="116"/>
              <w:ind w:right="172"/>
              <w:jc w:val="right"/>
              <w:rPr>
                <w:sz w:val="16"/>
              </w:rPr>
            </w:pPr>
            <w:r w:rsidRPr="00EB2BD8">
              <w:rPr>
                <w:spacing w:val="-4"/>
                <w:w w:val="85"/>
                <w:sz w:val="16"/>
              </w:rPr>
              <w:t>15.3</w:t>
            </w:r>
          </w:p>
        </w:tc>
        <w:tc>
          <w:tcPr>
            <w:tcW w:w="1640" w:type="dxa"/>
            <w:tcBorders>
              <w:top w:val="single" w:sz="2" w:space="0" w:color="000000"/>
              <w:bottom w:val="single" w:sz="2" w:space="0" w:color="000000"/>
            </w:tcBorders>
          </w:tcPr>
          <w:p w14:paraId="609CD000" w14:textId="77777777" w:rsidR="00084F36" w:rsidRPr="00EB2BD8" w:rsidRDefault="00EB2BD8">
            <w:pPr>
              <w:pStyle w:val="TableParagraph"/>
              <w:spacing w:before="116"/>
              <w:ind w:right="113"/>
              <w:jc w:val="right"/>
              <w:rPr>
                <w:sz w:val="16"/>
              </w:rPr>
            </w:pPr>
            <w:r w:rsidRPr="00EB2BD8">
              <w:rPr>
                <w:spacing w:val="-5"/>
                <w:w w:val="95"/>
                <w:sz w:val="16"/>
              </w:rPr>
              <w:t>8.6</w:t>
            </w:r>
          </w:p>
        </w:tc>
      </w:tr>
      <w:tr w:rsidR="00EB2BD8" w:rsidRPr="00EB2BD8" w14:paraId="62058921" w14:textId="77777777">
        <w:trPr>
          <w:trHeight w:val="326"/>
        </w:trPr>
        <w:tc>
          <w:tcPr>
            <w:tcW w:w="1984" w:type="dxa"/>
          </w:tcPr>
          <w:p w14:paraId="28EDE112" w14:textId="77777777" w:rsidR="00084F36" w:rsidRPr="00EB2BD8" w:rsidRDefault="00084F36">
            <w:pPr>
              <w:pStyle w:val="TableParagraph"/>
              <w:rPr>
                <w:rFonts w:ascii="Times New Roman"/>
                <w:sz w:val="14"/>
              </w:rPr>
            </w:pPr>
          </w:p>
        </w:tc>
        <w:tc>
          <w:tcPr>
            <w:tcW w:w="4875" w:type="dxa"/>
            <w:tcBorders>
              <w:top w:val="single" w:sz="2" w:space="0" w:color="000000"/>
            </w:tcBorders>
          </w:tcPr>
          <w:p w14:paraId="48E03A18" w14:textId="77777777" w:rsidR="00084F36" w:rsidRPr="00EB2BD8" w:rsidRDefault="00EB2BD8">
            <w:pPr>
              <w:pStyle w:val="TableParagraph"/>
              <w:spacing w:before="116"/>
              <w:ind w:left="113"/>
              <w:rPr>
                <w:sz w:val="16"/>
              </w:rPr>
            </w:pPr>
            <w:r w:rsidRPr="00EB2BD8">
              <w:rPr>
                <w:spacing w:val="-2"/>
                <w:sz w:val="16"/>
              </w:rPr>
              <w:t>Number</w:t>
            </w:r>
            <w:r w:rsidRPr="00EB2BD8">
              <w:rPr>
                <w:spacing w:val="-8"/>
                <w:sz w:val="16"/>
              </w:rPr>
              <w:t xml:space="preserve"> </w:t>
            </w:r>
            <w:r w:rsidRPr="00EB2BD8">
              <w:rPr>
                <w:spacing w:val="-2"/>
                <w:sz w:val="16"/>
              </w:rPr>
              <w:t>of</w:t>
            </w:r>
            <w:r w:rsidRPr="00EB2BD8">
              <w:rPr>
                <w:spacing w:val="-7"/>
                <w:sz w:val="16"/>
              </w:rPr>
              <w:t xml:space="preserve"> </w:t>
            </w:r>
            <w:r w:rsidRPr="00EB2BD8">
              <w:rPr>
                <w:spacing w:val="-2"/>
                <w:sz w:val="16"/>
              </w:rPr>
              <w:t>incidents</w:t>
            </w:r>
            <w:r w:rsidRPr="00EB2BD8">
              <w:rPr>
                <w:spacing w:val="-7"/>
                <w:sz w:val="16"/>
              </w:rPr>
              <w:t xml:space="preserve"> </w:t>
            </w:r>
            <w:r w:rsidRPr="00EB2BD8">
              <w:rPr>
                <w:spacing w:val="-2"/>
                <w:sz w:val="16"/>
              </w:rPr>
              <w:t>requiring</w:t>
            </w:r>
            <w:r w:rsidRPr="00EB2BD8">
              <w:rPr>
                <w:spacing w:val="-7"/>
                <w:sz w:val="16"/>
              </w:rPr>
              <w:t xml:space="preserve"> </w:t>
            </w:r>
            <w:r w:rsidRPr="00EB2BD8">
              <w:rPr>
                <w:spacing w:val="-2"/>
                <w:sz w:val="16"/>
              </w:rPr>
              <w:t>first</w:t>
            </w:r>
            <w:r w:rsidRPr="00EB2BD8">
              <w:rPr>
                <w:spacing w:val="-7"/>
                <w:sz w:val="16"/>
              </w:rPr>
              <w:t xml:space="preserve"> </w:t>
            </w:r>
            <w:r w:rsidRPr="00EB2BD8">
              <w:rPr>
                <w:spacing w:val="-2"/>
                <w:sz w:val="16"/>
              </w:rPr>
              <w:t>aid</w:t>
            </w:r>
            <w:r w:rsidRPr="00EB2BD8">
              <w:rPr>
                <w:spacing w:val="-7"/>
                <w:sz w:val="16"/>
              </w:rPr>
              <w:t xml:space="preserve"> </w:t>
            </w:r>
            <w:r w:rsidRPr="00EB2BD8">
              <w:rPr>
                <w:spacing w:val="-2"/>
                <w:sz w:val="16"/>
              </w:rPr>
              <w:t>and/or</w:t>
            </w:r>
            <w:r w:rsidRPr="00EB2BD8">
              <w:rPr>
                <w:spacing w:val="-8"/>
                <w:sz w:val="16"/>
              </w:rPr>
              <w:t xml:space="preserve"> </w:t>
            </w:r>
            <w:r w:rsidRPr="00EB2BD8">
              <w:rPr>
                <w:spacing w:val="-2"/>
                <w:sz w:val="16"/>
              </w:rPr>
              <w:t>further</w:t>
            </w:r>
          </w:p>
        </w:tc>
        <w:tc>
          <w:tcPr>
            <w:tcW w:w="1705" w:type="dxa"/>
            <w:tcBorders>
              <w:top w:val="single" w:sz="2" w:space="0" w:color="000000"/>
            </w:tcBorders>
          </w:tcPr>
          <w:p w14:paraId="5D217A4B" w14:textId="77777777" w:rsidR="00084F36" w:rsidRPr="00EB2BD8" w:rsidRDefault="00EB2BD8">
            <w:pPr>
              <w:pStyle w:val="TableParagraph"/>
              <w:spacing w:before="116"/>
              <w:ind w:right="171"/>
              <w:jc w:val="right"/>
              <w:rPr>
                <w:sz w:val="16"/>
              </w:rPr>
            </w:pPr>
            <w:r w:rsidRPr="00EB2BD8">
              <w:rPr>
                <w:w w:val="92"/>
                <w:sz w:val="16"/>
              </w:rPr>
              <w:t>8</w:t>
            </w:r>
          </w:p>
        </w:tc>
        <w:tc>
          <w:tcPr>
            <w:tcW w:w="1640" w:type="dxa"/>
            <w:tcBorders>
              <w:top w:val="single" w:sz="2" w:space="0" w:color="000000"/>
            </w:tcBorders>
          </w:tcPr>
          <w:p w14:paraId="685D6556" w14:textId="77777777" w:rsidR="00084F36" w:rsidRPr="00EB2BD8" w:rsidRDefault="00EB2BD8">
            <w:pPr>
              <w:pStyle w:val="TableParagraph"/>
              <w:spacing w:before="116"/>
              <w:ind w:right="110"/>
              <w:jc w:val="right"/>
              <w:rPr>
                <w:sz w:val="16"/>
              </w:rPr>
            </w:pPr>
            <w:r w:rsidRPr="00EB2BD8">
              <w:rPr>
                <w:w w:val="88"/>
                <w:sz w:val="16"/>
              </w:rPr>
              <w:t>5</w:t>
            </w:r>
          </w:p>
        </w:tc>
      </w:tr>
      <w:tr w:rsidR="00EB2BD8" w:rsidRPr="00EB2BD8" w14:paraId="58B4A3AC" w14:textId="77777777">
        <w:trPr>
          <w:trHeight w:val="285"/>
        </w:trPr>
        <w:tc>
          <w:tcPr>
            <w:tcW w:w="1984" w:type="dxa"/>
          </w:tcPr>
          <w:p w14:paraId="096A9E9E" w14:textId="77777777" w:rsidR="00084F36" w:rsidRPr="00EB2BD8" w:rsidRDefault="00084F36">
            <w:pPr>
              <w:pStyle w:val="TableParagraph"/>
              <w:rPr>
                <w:rFonts w:ascii="Times New Roman"/>
                <w:sz w:val="14"/>
              </w:rPr>
            </w:pPr>
          </w:p>
        </w:tc>
        <w:tc>
          <w:tcPr>
            <w:tcW w:w="4875" w:type="dxa"/>
            <w:tcBorders>
              <w:bottom w:val="single" w:sz="2" w:space="0" w:color="000000"/>
            </w:tcBorders>
          </w:tcPr>
          <w:p w14:paraId="5A53CEE4" w14:textId="77777777" w:rsidR="00084F36" w:rsidRPr="00EB2BD8" w:rsidRDefault="00EB2BD8">
            <w:pPr>
              <w:pStyle w:val="TableParagraph"/>
              <w:spacing w:before="19"/>
              <w:ind w:left="113"/>
              <w:rPr>
                <w:sz w:val="16"/>
              </w:rPr>
            </w:pPr>
            <w:r w:rsidRPr="00EB2BD8">
              <w:rPr>
                <w:sz w:val="16"/>
              </w:rPr>
              <w:t xml:space="preserve">medical </w:t>
            </w:r>
            <w:r w:rsidRPr="00EB2BD8">
              <w:rPr>
                <w:spacing w:val="-2"/>
                <w:sz w:val="16"/>
              </w:rPr>
              <w:t>treatment</w:t>
            </w:r>
          </w:p>
        </w:tc>
        <w:tc>
          <w:tcPr>
            <w:tcW w:w="1705" w:type="dxa"/>
            <w:tcBorders>
              <w:bottom w:val="single" w:sz="2" w:space="0" w:color="000000"/>
            </w:tcBorders>
          </w:tcPr>
          <w:p w14:paraId="5C34E335" w14:textId="77777777" w:rsidR="00084F36" w:rsidRPr="00EB2BD8" w:rsidRDefault="00084F36">
            <w:pPr>
              <w:pStyle w:val="TableParagraph"/>
              <w:rPr>
                <w:rFonts w:ascii="Times New Roman"/>
                <w:sz w:val="14"/>
              </w:rPr>
            </w:pPr>
          </w:p>
        </w:tc>
        <w:tc>
          <w:tcPr>
            <w:tcW w:w="1640" w:type="dxa"/>
            <w:tcBorders>
              <w:bottom w:val="single" w:sz="2" w:space="0" w:color="000000"/>
            </w:tcBorders>
          </w:tcPr>
          <w:p w14:paraId="73FD550C" w14:textId="77777777" w:rsidR="00084F36" w:rsidRPr="00EB2BD8" w:rsidRDefault="00084F36">
            <w:pPr>
              <w:pStyle w:val="TableParagraph"/>
              <w:rPr>
                <w:rFonts w:ascii="Times New Roman"/>
                <w:sz w:val="14"/>
              </w:rPr>
            </w:pPr>
          </w:p>
        </w:tc>
      </w:tr>
      <w:tr w:rsidR="00EB2BD8" w:rsidRPr="00EB2BD8" w14:paraId="65DCBB09" w14:textId="77777777">
        <w:trPr>
          <w:trHeight w:val="381"/>
        </w:trPr>
        <w:tc>
          <w:tcPr>
            <w:tcW w:w="1984" w:type="dxa"/>
          </w:tcPr>
          <w:p w14:paraId="24F7D022" w14:textId="77777777" w:rsidR="00084F36" w:rsidRPr="00EB2BD8" w:rsidRDefault="00084F36">
            <w:pPr>
              <w:pStyle w:val="TableParagraph"/>
              <w:rPr>
                <w:rFonts w:ascii="Times New Roman"/>
                <w:sz w:val="14"/>
              </w:rPr>
            </w:pPr>
          </w:p>
        </w:tc>
        <w:tc>
          <w:tcPr>
            <w:tcW w:w="4875" w:type="dxa"/>
            <w:tcBorders>
              <w:top w:val="single" w:sz="2" w:space="0" w:color="000000"/>
              <w:bottom w:val="single" w:sz="2" w:space="0" w:color="000000"/>
            </w:tcBorders>
          </w:tcPr>
          <w:p w14:paraId="51F8693D" w14:textId="77777777" w:rsidR="00084F36" w:rsidRPr="00EB2BD8" w:rsidRDefault="00EB2BD8">
            <w:pPr>
              <w:pStyle w:val="TableParagraph"/>
              <w:spacing w:before="116"/>
              <w:ind w:left="113"/>
              <w:rPr>
                <w:sz w:val="9"/>
              </w:rPr>
            </w:pPr>
            <w:r w:rsidRPr="00EB2BD8">
              <w:rPr>
                <w:sz w:val="16"/>
              </w:rPr>
              <w:t>Number</w:t>
            </w:r>
            <w:r w:rsidRPr="00EB2BD8">
              <w:rPr>
                <w:spacing w:val="-12"/>
                <w:sz w:val="16"/>
              </w:rPr>
              <w:t xml:space="preserve"> </w:t>
            </w:r>
            <w:r w:rsidRPr="00EB2BD8">
              <w:rPr>
                <w:sz w:val="16"/>
              </w:rPr>
              <w:t>of</w:t>
            </w:r>
            <w:r w:rsidRPr="00EB2BD8">
              <w:rPr>
                <w:spacing w:val="-11"/>
                <w:sz w:val="16"/>
              </w:rPr>
              <w:t xml:space="preserve"> </w:t>
            </w:r>
            <w:r w:rsidRPr="00EB2BD8">
              <w:rPr>
                <w:spacing w:val="-2"/>
                <w:sz w:val="16"/>
              </w:rPr>
              <w:t>injuries</w:t>
            </w:r>
            <w:r w:rsidRPr="00EB2BD8">
              <w:rPr>
                <w:spacing w:val="-2"/>
                <w:position w:val="5"/>
                <w:sz w:val="9"/>
              </w:rPr>
              <w:t>26</w:t>
            </w:r>
          </w:p>
        </w:tc>
        <w:tc>
          <w:tcPr>
            <w:tcW w:w="1705" w:type="dxa"/>
            <w:tcBorders>
              <w:top w:val="single" w:sz="2" w:space="0" w:color="000000"/>
              <w:bottom w:val="single" w:sz="2" w:space="0" w:color="000000"/>
            </w:tcBorders>
          </w:tcPr>
          <w:p w14:paraId="41EA2E8A" w14:textId="77777777" w:rsidR="00084F36" w:rsidRPr="00EB2BD8" w:rsidRDefault="00EB2BD8">
            <w:pPr>
              <w:pStyle w:val="TableParagraph"/>
              <w:spacing w:before="116"/>
              <w:ind w:right="172"/>
              <w:jc w:val="right"/>
              <w:rPr>
                <w:sz w:val="16"/>
              </w:rPr>
            </w:pPr>
            <w:r w:rsidRPr="00EB2BD8">
              <w:rPr>
                <w:spacing w:val="-5"/>
                <w:w w:val="85"/>
                <w:sz w:val="16"/>
              </w:rPr>
              <w:t>31</w:t>
            </w:r>
          </w:p>
        </w:tc>
        <w:tc>
          <w:tcPr>
            <w:tcW w:w="1640" w:type="dxa"/>
            <w:tcBorders>
              <w:top w:val="single" w:sz="2" w:space="0" w:color="000000"/>
              <w:bottom w:val="single" w:sz="2" w:space="0" w:color="000000"/>
            </w:tcBorders>
          </w:tcPr>
          <w:p w14:paraId="500834C1" w14:textId="77777777" w:rsidR="00084F36" w:rsidRPr="00EB2BD8" w:rsidRDefault="00EB2BD8">
            <w:pPr>
              <w:pStyle w:val="TableParagraph"/>
              <w:spacing w:before="116"/>
              <w:ind w:right="110"/>
              <w:jc w:val="right"/>
              <w:rPr>
                <w:sz w:val="16"/>
              </w:rPr>
            </w:pPr>
            <w:r w:rsidRPr="00EB2BD8">
              <w:rPr>
                <w:w w:val="88"/>
                <w:sz w:val="16"/>
              </w:rPr>
              <w:t>5</w:t>
            </w:r>
          </w:p>
        </w:tc>
      </w:tr>
      <w:tr w:rsidR="00EB2BD8" w:rsidRPr="00EB2BD8" w14:paraId="2A601E11" w14:textId="77777777">
        <w:trPr>
          <w:trHeight w:val="381"/>
        </w:trPr>
        <w:tc>
          <w:tcPr>
            <w:tcW w:w="1984" w:type="dxa"/>
          </w:tcPr>
          <w:p w14:paraId="600029D3" w14:textId="77777777" w:rsidR="00084F36" w:rsidRPr="00EB2BD8" w:rsidRDefault="00084F36">
            <w:pPr>
              <w:pStyle w:val="TableParagraph"/>
              <w:rPr>
                <w:rFonts w:ascii="Times New Roman"/>
                <w:sz w:val="14"/>
              </w:rPr>
            </w:pPr>
          </w:p>
        </w:tc>
        <w:tc>
          <w:tcPr>
            <w:tcW w:w="4875" w:type="dxa"/>
            <w:tcBorders>
              <w:top w:val="single" w:sz="2" w:space="0" w:color="000000"/>
              <w:bottom w:val="single" w:sz="2" w:space="0" w:color="000000"/>
            </w:tcBorders>
          </w:tcPr>
          <w:p w14:paraId="01517087" w14:textId="77777777" w:rsidR="00084F36" w:rsidRPr="00EB2BD8" w:rsidRDefault="00EB2BD8">
            <w:pPr>
              <w:pStyle w:val="TableParagraph"/>
              <w:spacing w:before="116"/>
              <w:ind w:left="113"/>
              <w:rPr>
                <w:sz w:val="16"/>
              </w:rPr>
            </w:pPr>
            <w:r w:rsidRPr="00EB2BD8">
              <w:rPr>
                <w:spacing w:val="-2"/>
                <w:sz w:val="16"/>
              </w:rPr>
              <w:t>Injury</w:t>
            </w:r>
            <w:r w:rsidRPr="00EB2BD8">
              <w:rPr>
                <w:spacing w:val="-9"/>
                <w:sz w:val="16"/>
              </w:rPr>
              <w:t xml:space="preserve"> </w:t>
            </w:r>
            <w:r w:rsidRPr="00EB2BD8">
              <w:rPr>
                <w:spacing w:val="-2"/>
                <w:sz w:val="16"/>
              </w:rPr>
              <w:t>rate</w:t>
            </w:r>
            <w:r w:rsidRPr="00EB2BD8">
              <w:rPr>
                <w:spacing w:val="-9"/>
                <w:sz w:val="16"/>
              </w:rPr>
              <w:t xml:space="preserve"> </w:t>
            </w:r>
            <w:r w:rsidRPr="00EB2BD8">
              <w:rPr>
                <w:spacing w:val="-2"/>
                <w:sz w:val="16"/>
              </w:rPr>
              <w:t>per</w:t>
            </w:r>
            <w:r w:rsidRPr="00EB2BD8">
              <w:rPr>
                <w:spacing w:val="-9"/>
                <w:sz w:val="16"/>
              </w:rPr>
              <w:t xml:space="preserve"> </w:t>
            </w:r>
            <w:r w:rsidRPr="00EB2BD8">
              <w:rPr>
                <w:spacing w:val="-2"/>
                <w:sz w:val="16"/>
              </w:rPr>
              <w:t>100</w:t>
            </w:r>
            <w:r w:rsidRPr="00EB2BD8">
              <w:rPr>
                <w:spacing w:val="-9"/>
                <w:sz w:val="16"/>
              </w:rPr>
              <w:t xml:space="preserve"> </w:t>
            </w:r>
            <w:r w:rsidRPr="00EB2BD8">
              <w:rPr>
                <w:spacing w:val="-2"/>
                <w:sz w:val="16"/>
              </w:rPr>
              <w:t>FTE</w:t>
            </w:r>
            <w:r w:rsidRPr="00EB2BD8">
              <w:rPr>
                <w:spacing w:val="-8"/>
                <w:sz w:val="16"/>
              </w:rPr>
              <w:t xml:space="preserve"> </w:t>
            </w:r>
            <w:r w:rsidRPr="00EB2BD8">
              <w:rPr>
                <w:spacing w:val="-5"/>
                <w:sz w:val="16"/>
              </w:rPr>
              <w:t>(%)</w:t>
            </w:r>
          </w:p>
        </w:tc>
        <w:tc>
          <w:tcPr>
            <w:tcW w:w="1705" w:type="dxa"/>
            <w:tcBorders>
              <w:top w:val="single" w:sz="2" w:space="0" w:color="000000"/>
              <w:bottom w:val="single" w:sz="2" w:space="0" w:color="000000"/>
            </w:tcBorders>
          </w:tcPr>
          <w:p w14:paraId="2C569B99" w14:textId="77777777" w:rsidR="00084F36" w:rsidRPr="00EB2BD8" w:rsidRDefault="00EB2BD8">
            <w:pPr>
              <w:pStyle w:val="TableParagraph"/>
              <w:spacing w:before="116"/>
              <w:ind w:right="172"/>
              <w:jc w:val="right"/>
              <w:rPr>
                <w:sz w:val="16"/>
              </w:rPr>
            </w:pPr>
            <w:r w:rsidRPr="00EB2BD8">
              <w:rPr>
                <w:spacing w:val="-5"/>
                <w:w w:val="90"/>
                <w:sz w:val="16"/>
              </w:rPr>
              <w:t>6.7</w:t>
            </w:r>
          </w:p>
        </w:tc>
        <w:tc>
          <w:tcPr>
            <w:tcW w:w="1640" w:type="dxa"/>
            <w:tcBorders>
              <w:top w:val="single" w:sz="2" w:space="0" w:color="000000"/>
              <w:bottom w:val="single" w:sz="2" w:space="0" w:color="000000"/>
            </w:tcBorders>
          </w:tcPr>
          <w:p w14:paraId="119C0B09" w14:textId="77777777" w:rsidR="00084F36" w:rsidRPr="00EB2BD8" w:rsidRDefault="00EB2BD8">
            <w:pPr>
              <w:pStyle w:val="TableParagraph"/>
              <w:spacing w:before="116"/>
              <w:ind w:right="110"/>
              <w:jc w:val="right"/>
              <w:rPr>
                <w:sz w:val="16"/>
              </w:rPr>
            </w:pPr>
            <w:r w:rsidRPr="00EB2BD8">
              <w:rPr>
                <w:w w:val="55"/>
                <w:sz w:val="16"/>
              </w:rPr>
              <w:t>1</w:t>
            </w:r>
          </w:p>
        </w:tc>
      </w:tr>
      <w:tr w:rsidR="00EB2BD8" w:rsidRPr="00EB2BD8" w14:paraId="0A40CA83" w14:textId="77777777">
        <w:trPr>
          <w:trHeight w:val="381"/>
        </w:trPr>
        <w:tc>
          <w:tcPr>
            <w:tcW w:w="1984" w:type="dxa"/>
          </w:tcPr>
          <w:p w14:paraId="446E4070" w14:textId="77777777" w:rsidR="00084F36" w:rsidRPr="00EB2BD8" w:rsidRDefault="00084F36">
            <w:pPr>
              <w:pStyle w:val="TableParagraph"/>
              <w:rPr>
                <w:rFonts w:ascii="Times New Roman"/>
                <w:sz w:val="14"/>
              </w:rPr>
            </w:pPr>
          </w:p>
        </w:tc>
        <w:tc>
          <w:tcPr>
            <w:tcW w:w="4875" w:type="dxa"/>
            <w:tcBorders>
              <w:top w:val="single" w:sz="2" w:space="0" w:color="000000"/>
              <w:bottom w:val="single" w:sz="2" w:space="0" w:color="000000"/>
            </w:tcBorders>
          </w:tcPr>
          <w:p w14:paraId="54AAEB1B" w14:textId="77777777" w:rsidR="00084F36" w:rsidRPr="00EB2BD8" w:rsidRDefault="00EB2BD8">
            <w:pPr>
              <w:pStyle w:val="TableParagraph"/>
              <w:spacing w:before="116"/>
              <w:ind w:left="113"/>
              <w:rPr>
                <w:sz w:val="16"/>
              </w:rPr>
            </w:pPr>
            <w:r w:rsidRPr="00EB2BD8">
              <w:rPr>
                <w:sz w:val="16"/>
              </w:rPr>
              <w:t>Total</w:t>
            </w:r>
            <w:r w:rsidRPr="00EB2BD8">
              <w:rPr>
                <w:spacing w:val="-13"/>
                <w:sz w:val="16"/>
              </w:rPr>
              <w:t xml:space="preserve"> </w:t>
            </w:r>
            <w:r w:rsidRPr="00EB2BD8">
              <w:rPr>
                <w:sz w:val="16"/>
              </w:rPr>
              <w:t>recordable</w:t>
            </w:r>
            <w:r w:rsidRPr="00EB2BD8">
              <w:rPr>
                <w:spacing w:val="-12"/>
                <w:sz w:val="16"/>
              </w:rPr>
              <w:t xml:space="preserve"> </w:t>
            </w:r>
            <w:r w:rsidRPr="00EB2BD8">
              <w:rPr>
                <w:sz w:val="16"/>
              </w:rPr>
              <w:t>injury</w:t>
            </w:r>
            <w:r w:rsidRPr="00EB2BD8">
              <w:rPr>
                <w:spacing w:val="-13"/>
                <w:sz w:val="16"/>
              </w:rPr>
              <w:t xml:space="preserve"> </w:t>
            </w:r>
            <w:r w:rsidRPr="00EB2BD8">
              <w:rPr>
                <w:sz w:val="16"/>
              </w:rPr>
              <w:t>frequency</w:t>
            </w:r>
            <w:r w:rsidRPr="00EB2BD8">
              <w:rPr>
                <w:spacing w:val="-12"/>
                <w:sz w:val="16"/>
              </w:rPr>
              <w:t xml:space="preserve"> </w:t>
            </w:r>
            <w:r w:rsidRPr="00EB2BD8">
              <w:rPr>
                <w:sz w:val="16"/>
              </w:rPr>
              <w:t>rate</w:t>
            </w:r>
            <w:r w:rsidRPr="00EB2BD8">
              <w:rPr>
                <w:spacing w:val="-13"/>
                <w:sz w:val="16"/>
              </w:rPr>
              <w:t xml:space="preserve"> </w:t>
            </w:r>
            <w:r w:rsidRPr="00EB2BD8">
              <w:rPr>
                <w:spacing w:val="-2"/>
                <w:sz w:val="16"/>
              </w:rPr>
              <w:t>(TRIFR)</w:t>
            </w:r>
          </w:p>
        </w:tc>
        <w:tc>
          <w:tcPr>
            <w:tcW w:w="1705" w:type="dxa"/>
            <w:tcBorders>
              <w:top w:val="single" w:sz="2" w:space="0" w:color="000000"/>
              <w:bottom w:val="single" w:sz="2" w:space="0" w:color="000000"/>
            </w:tcBorders>
          </w:tcPr>
          <w:p w14:paraId="3C0A47DF" w14:textId="77777777" w:rsidR="00084F36" w:rsidRPr="00EB2BD8" w:rsidRDefault="00EB2BD8">
            <w:pPr>
              <w:pStyle w:val="TableParagraph"/>
              <w:spacing w:before="116"/>
              <w:ind w:right="172"/>
              <w:jc w:val="right"/>
              <w:rPr>
                <w:sz w:val="16"/>
              </w:rPr>
            </w:pPr>
            <w:r w:rsidRPr="00EB2BD8">
              <w:rPr>
                <w:spacing w:val="-4"/>
                <w:sz w:val="16"/>
              </w:rPr>
              <w:t>4.54</w:t>
            </w:r>
          </w:p>
        </w:tc>
        <w:tc>
          <w:tcPr>
            <w:tcW w:w="1640" w:type="dxa"/>
            <w:tcBorders>
              <w:top w:val="single" w:sz="2" w:space="0" w:color="000000"/>
              <w:bottom w:val="single" w:sz="2" w:space="0" w:color="000000"/>
            </w:tcBorders>
          </w:tcPr>
          <w:p w14:paraId="7174006A" w14:textId="77777777" w:rsidR="00084F36" w:rsidRPr="00EB2BD8" w:rsidRDefault="00EB2BD8">
            <w:pPr>
              <w:pStyle w:val="TableParagraph"/>
              <w:spacing w:before="116"/>
              <w:ind w:right="110"/>
              <w:jc w:val="right"/>
              <w:rPr>
                <w:sz w:val="16"/>
              </w:rPr>
            </w:pPr>
            <w:r w:rsidRPr="00EB2BD8">
              <w:rPr>
                <w:spacing w:val="-4"/>
                <w:w w:val="95"/>
                <w:sz w:val="16"/>
              </w:rPr>
              <w:t>4.70</w:t>
            </w:r>
          </w:p>
        </w:tc>
      </w:tr>
      <w:tr w:rsidR="00EB2BD8" w:rsidRPr="00EB2BD8" w14:paraId="5325E8A6" w14:textId="77777777">
        <w:trPr>
          <w:trHeight w:val="381"/>
        </w:trPr>
        <w:tc>
          <w:tcPr>
            <w:tcW w:w="1984" w:type="dxa"/>
          </w:tcPr>
          <w:p w14:paraId="72A5BB8F" w14:textId="77777777" w:rsidR="00084F36" w:rsidRPr="00EB2BD8" w:rsidRDefault="00084F36">
            <w:pPr>
              <w:pStyle w:val="TableParagraph"/>
              <w:rPr>
                <w:rFonts w:ascii="Times New Roman"/>
                <w:sz w:val="14"/>
              </w:rPr>
            </w:pPr>
          </w:p>
        </w:tc>
        <w:tc>
          <w:tcPr>
            <w:tcW w:w="4875" w:type="dxa"/>
            <w:tcBorders>
              <w:top w:val="single" w:sz="2" w:space="0" w:color="000000"/>
              <w:bottom w:val="single" w:sz="2" w:space="0" w:color="000000"/>
            </w:tcBorders>
          </w:tcPr>
          <w:p w14:paraId="5B195116" w14:textId="77777777" w:rsidR="00084F36" w:rsidRPr="00EB2BD8" w:rsidRDefault="00EB2BD8">
            <w:pPr>
              <w:pStyle w:val="TableParagraph"/>
              <w:spacing w:before="116"/>
              <w:ind w:left="113"/>
              <w:rPr>
                <w:sz w:val="16"/>
              </w:rPr>
            </w:pPr>
            <w:r w:rsidRPr="00EB2BD8">
              <w:rPr>
                <w:sz w:val="16"/>
              </w:rPr>
              <w:t>Medical</w:t>
            </w:r>
            <w:r w:rsidRPr="00EB2BD8">
              <w:rPr>
                <w:spacing w:val="-8"/>
                <w:sz w:val="16"/>
              </w:rPr>
              <w:t xml:space="preserve"> </w:t>
            </w:r>
            <w:r w:rsidRPr="00EB2BD8">
              <w:rPr>
                <w:sz w:val="16"/>
              </w:rPr>
              <w:t>treated</w:t>
            </w:r>
            <w:r w:rsidRPr="00EB2BD8">
              <w:rPr>
                <w:spacing w:val="-7"/>
                <w:sz w:val="16"/>
              </w:rPr>
              <w:t xml:space="preserve"> </w:t>
            </w:r>
            <w:r w:rsidRPr="00EB2BD8">
              <w:rPr>
                <w:sz w:val="16"/>
              </w:rPr>
              <w:t>injury</w:t>
            </w:r>
            <w:r w:rsidRPr="00EB2BD8">
              <w:rPr>
                <w:spacing w:val="-7"/>
                <w:sz w:val="16"/>
              </w:rPr>
              <w:t xml:space="preserve"> </w:t>
            </w:r>
            <w:r w:rsidRPr="00EB2BD8">
              <w:rPr>
                <w:sz w:val="16"/>
              </w:rPr>
              <w:t>frequency</w:t>
            </w:r>
            <w:r w:rsidRPr="00EB2BD8">
              <w:rPr>
                <w:spacing w:val="-7"/>
                <w:sz w:val="16"/>
              </w:rPr>
              <w:t xml:space="preserve"> </w:t>
            </w:r>
            <w:r w:rsidRPr="00EB2BD8">
              <w:rPr>
                <w:sz w:val="16"/>
              </w:rPr>
              <w:t>rate</w:t>
            </w:r>
            <w:r w:rsidRPr="00EB2BD8">
              <w:rPr>
                <w:spacing w:val="-7"/>
                <w:sz w:val="16"/>
              </w:rPr>
              <w:t xml:space="preserve"> </w:t>
            </w:r>
            <w:r w:rsidRPr="00EB2BD8">
              <w:rPr>
                <w:spacing w:val="-2"/>
                <w:sz w:val="16"/>
              </w:rPr>
              <w:t>(MTIFR)</w:t>
            </w:r>
          </w:p>
        </w:tc>
        <w:tc>
          <w:tcPr>
            <w:tcW w:w="1705" w:type="dxa"/>
            <w:tcBorders>
              <w:top w:val="single" w:sz="2" w:space="0" w:color="000000"/>
              <w:bottom w:val="single" w:sz="2" w:space="0" w:color="000000"/>
            </w:tcBorders>
          </w:tcPr>
          <w:p w14:paraId="7548A7CF" w14:textId="77777777" w:rsidR="00084F36" w:rsidRPr="00EB2BD8" w:rsidRDefault="00EB2BD8">
            <w:pPr>
              <w:pStyle w:val="TableParagraph"/>
              <w:spacing w:before="116"/>
              <w:ind w:right="171"/>
              <w:jc w:val="right"/>
              <w:rPr>
                <w:sz w:val="16"/>
              </w:rPr>
            </w:pPr>
            <w:r w:rsidRPr="00EB2BD8">
              <w:rPr>
                <w:spacing w:val="-4"/>
                <w:w w:val="90"/>
                <w:sz w:val="16"/>
              </w:rPr>
              <w:t>0.91</w:t>
            </w:r>
          </w:p>
        </w:tc>
        <w:tc>
          <w:tcPr>
            <w:tcW w:w="1640" w:type="dxa"/>
            <w:tcBorders>
              <w:top w:val="single" w:sz="2" w:space="0" w:color="000000"/>
              <w:bottom w:val="single" w:sz="2" w:space="0" w:color="000000"/>
            </w:tcBorders>
          </w:tcPr>
          <w:p w14:paraId="7F5AA2D6" w14:textId="77777777" w:rsidR="00084F36" w:rsidRPr="00EB2BD8" w:rsidRDefault="00EB2BD8">
            <w:pPr>
              <w:pStyle w:val="TableParagraph"/>
              <w:spacing w:before="116"/>
              <w:ind w:right="111"/>
              <w:jc w:val="right"/>
              <w:rPr>
                <w:sz w:val="16"/>
              </w:rPr>
            </w:pPr>
            <w:r w:rsidRPr="00EB2BD8">
              <w:rPr>
                <w:spacing w:val="-4"/>
                <w:w w:val="85"/>
                <w:sz w:val="16"/>
              </w:rPr>
              <w:t>1.88</w:t>
            </w:r>
          </w:p>
        </w:tc>
      </w:tr>
      <w:tr w:rsidR="00EB2BD8" w:rsidRPr="00EB2BD8" w14:paraId="72D6272E" w14:textId="77777777">
        <w:trPr>
          <w:trHeight w:val="381"/>
        </w:trPr>
        <w:tc>
          <w:tcPr>
            <w:tcW w:w="1984" w:type="dxa"/>
            <w:tcBorders>
              <w:bottom w:val="single" w:sz="2" w:space="0" w:color="000000"/>
            </w:tcBorders>
          </w:tcPr>
          <w:p w14:paraId="705AFA59" w14:textId="77777777" w:rsidR="00084F36" w:rsidRPr="00EB2BD8" w:rsidRDefault="00084F36">
            <w:pPr>
              <w:pStyle w:val="TableParagraph"/>
              <w:rPr>
                <w:rFonts w:ascii="Times New Roman"/>
                <w:sz w:val="14"/>
              </w:rPr>
            </w:pPr>
          </w:p>
        </w:tc>
        <w:tc>
          <w:tcPr>
            <w:tcW w:w="4875" w:type="dxa"/>
            <w:tcBorders>
              <w:top w:val="single" w:sz="2" w:space="0" w:color="000000"/>
              <w:bottom w:val="single" w:sz="2" w:space="0" w:color="000000"/>
            </w:tcBorders>
          </w:tcPr>
          <w:p w14:paraId="6D432490" w14:textId="77777777" w:rsidR="00084F36" w:rsidRPr="00EB2BD8" w:rsidRDefault="00EB2BD8">
            <w:pPr>
              <w:pStyle w:val="TableParagraph"/>
              <w:spacing w:before="116"/>
              <w:ind w:left="113"/>
              <w:rPr>
                <w:sz w:val="16"/>
              </w:rPr>
            </w:pPr>
            <w:r w:rsidRPr="00EB2BD8">
              <w:rPr>
                <w:sz w:val="16"/>
              </w:rPr>
              <w:t>Lost</w:t>
            </w:r>
            <w:r w:rsidRPr="00EB2BD8">
              <w:rPr>
                <w:spacing w:val="-11"/>
                <w:sz w:val="16"/>
              </w:rPr>
              <w:t xml:space="preserve"> </w:t>
            </w:r>
            <w:r w:rsidRPr="00EB2BD8">
              <w:rPr>
                <w:sz w:val="16"/>
              </w:rPr>
              <w:t>time</w:t>
            </w:r>
            <w:r w:rsidRPr="00EB2BD8">
              <w:rPr>
                <w:spacing w:val="-11"/>
                <w:sz w:val="16"/>
              </w:rPr>
              <w:t xml:space="preserve"> </w:t>
            </w:r>
            <w:r w:rsidRPr="00EB2BD8">
              <w:rPr>
                <w:sz w:val="16"/>
              </w:rPr>
              <w:t>injury</w:t>
            </w:r>
            <w:r w:rsidRPr="00EB2BD8">
              <w:rPr>
                <w:spacing w:val="-11"/>
                <w:sz w:val="16"/>
              </w:rPr>
              <w:t xml:space="preserve"> </w:t>
            </w:r>
            <w:r w:rsidRPr="00EB2BD8">
              <w:rPr>
                <w:sz w:val="16"/>
              </w:rPr>
              <w:t>frequency</w:t>
            </w:r>
            <w:r w:rsidRPr="00EB2BD8">
              <w:rPr>
                <w:spacing w:val="-11"/>
                <w:sz w:val="16"/>
              </w:rPr>
              <w:t xml:space="preserve"> </w:t>
            </w:r>
            <w:r w:rsidRPr="00EB2BD8">
              <w:rPr>
                <w:sz w:val="16"/>
              </w:rPr>
              <w:t>rate</w:t>
            </w:r>
            <w:r w:rsidRPr="00EB2BD8">
              <w:rPr>
                <w:spacing w:val="-10"/>
                <w:sz w:val="16"/>
              </w:rPr>
              <w:t xml:space="preserve"> </w:t>
            </w:r>
            <w:r w:rsidRPr="00EB2BD8">
              <w:rPr>
                <w:spacing w:val="-2"/>
                <w:sz w:val="16"/>
              </w:rPr>
              <w:t>(LTIFR)</w:t>
            </w:r>
          </w:p>
        </w:tc>
        <w:tc>
          <w:tcPr>
            <w:tcW w:w="1705" w:type="dxa"/>
            <w:tcBorders>
              <w:top w:val="single" w:sz="2" w:space="0" w:color="000000"/>
              <w:bottom w:val="single" w:sz="2" w:space="0" w:color="000000"/>
            </w:tcBorders>
          </w:tcPr>
          <w:p w14:paraId="43DE8872" w14:textId="77777777" w:rsidR="00084F36" w:rsidRPr="00EB2BD8" w:rsidRDefault="00EB2BD8">
            <w:pPr>
              <w:pStyle w:val="TableParagraph"/>
              <w:spacing w:before="116"/>
              <w:ind w:right="171"/>
              <w:jc w:val="right"/>
              <w:rPr>
                <w:sz w:val="16"/>
              </w:rPr>
            </w:pPr>
            <w:r w:rsidRPr="00EB2BD8">
              <w:rPr>
                <w:spacing w:val="-4"/>
                <w:sz w:val="16"/>
              </w:rPr>
              <w:t>3.63</w:t>
            </w:r>
          </w:p>
        </w:tc>
        <w:tc>
          <w:tcPr>
            <w:tcW w:w="1640" w:type="dxa"/>
            <w:tcBorders>
              <w:top w:val="single" w:sz="2" w:space="0" w:color="000000"/>
              <w:bottom w:val="single" w:sz="2" w:space="0" w:color="000000"/>
            </w:tcBorders>
          </w:tcPr>
          <w:p w14:paraId="4B25590D" w14:textId="77777777" w:rsidR="00084F36" w:rsidRPr="00EB2BD8" w:rsidRDefault="00EB2BD8">
            <w:pPr>
              <w:pStyle w:val="TableParagraph"/>
              <w:spacing w:before="116"/>
              <w:ind w:right="111"/>
              <w:jc w:val="right"/>
              <w:rPr>
                <w:sz w:val="16"/>
              </w:rPr>
            </w:pPr>
            <w:r w:rsidRPr="00EB2BD8">
              <w:rPr>
                <w:spacing w:val="-4"/>
                <w:w w:val="90"/>
                <w:sz w:val="16"/>
              </w:rPr>
              <w:t>2.82</w:t>
            </w:r>
          </w:p>
        </w:tc>
      </w:tr>
      <w:tr w:rsidR="00EB2BD8" w:rsidRPr="00EB2BD8" w14:paraId="0760B182" w14:textId="77777777">
        <w:trPr>
          <w:trHeight w:val="381"/>
        </w:trPr>
        <w:tc>
          <w:tcPr>
            <w:tcW w:w="1984" w:type="dxa"/>
            <w:tcBorders>
              <w:top w:val="single" w:sz="2" w:space="0" w:color="000000"/>
            </w:tcBorders>
          </w:tcPr>
          <w:p w14:paraId="1CA9F94A" w14:textId="77777777" w:rsidR="00084F36" w:rsidRPr="00EB2BD8" w:rsidRDefault="00EB2BD8">
            <w:pPr>
              <w:pStyle w:val="TableParagraph"/>
              <w:spacing w:before="116"/>
              <w:ind w:left="113"/>
              <w:rPr>
                <w:sz w:val="16"/>
              </w:rPr>
            </w:pPr>
            <w:r w:rsidRPr="00EB2BD8">
              <w:rPr>
                <w:spacing w:val="-2"/>
                <w:sz w:val="16"/>
              </w:rPr>
              <w:t>Claims</w:t>
            </w:r>
          </w:p>
        </w:tc>
        <w:tc>
          <w:tcPr>
            <w:tcW w:w="4875" w:type="dxa"/>
            <w:tcBorders>
              <w:top w:val="single" w:sz="2" w:space="0" w:color="000000"/>
              <w:bottom w:val="single" w:sz="2" w:space="0" w:color="000000"/>
            </w:tcBorders>
          </w:tcPr>
          <w:p w14:paraId="3FCD3CD0" w14:textId="77777777" w:rsidR="00084F36" w:rsidRPr="00EB2BD8" w:rsidRDefault="00EB2BD8">
            <w:pPr>
              <w:pStyle w:val="TableParagraph"/>
              <w:spacing w:before="116"/>
              <w:ind w:left="113"/>
              <w:rPr>
                <w:sz w:val="9"/>
              </w:rPr>
            </w:pPr>
            <w:r w:rsidRPr="00EB2BD8">
              <w:rPr>
                <w:sz w:val="16"/>
              </w:rPr>
              <w:t>Number</w:t>
            </w:r>
            <w:r w:rsidRPr="00EB2BD8">
              <w:rPr>
                <w:spacing w:val="-6"/>
                <w:sz w:val="16"/>
              </w:rPr>
              <w:t xml:space="preserve"> </w:t>
            </w:r>
            <w:r w:rsidRPr="00EB2BD8">
              <w:rPr>
                <w:sz w:val="16"/>
              </w:rPr>
              <w:t>of</w:t>
            </w:r>
            <w:r w:rsidRPr="00EB2BD8">
              <w:rPr>
                <w:spacing w:val="-5"/>
                <w:sz w:val="16"/>
              </w:rPr>
              <w:t xml:space="preserve"> </w:t>
            </w:r>
            <w:r w:rsidRPr="00EB2BD8">
              <w:rPr>
                <w:sz w:val="16"/>
              </w:rPr>
              <w:t>standard</w:t>
            </w:r>
            <w:r w:rsidRPr="00EB2BD8">
              <w:rPr>
                <w:spacing w:val="-5"/>
                <w:sz w:val="16"/>
              </w:rPr>
              <w:t xml:space="preserve"> </w:t>
            </w:r>
            <w:r w:rsidRPr="00EB2BD8">
              <w:rPr>
                <w:spacing w:val="-2"/>
                <w:sz w:val="16"/>
              </w:rPr>
              <w:t>claims</w:t>
            </w:r>
            <w:r w:rsidRPr="00EB2BD8">
              <w:rPr>
                <w:spacing w:val="-2"/>
                <w:position w:val="5"/>
                <w:sz w:val="9"/>
              </w:rPr>
              <w:t>28</w:t>
            </w:r>
          </w:p>
        </w:tc>
        <w:tc>
          <w:tcPr>
            <w:tcW w:w="1705" w:type="dxa"/>
            <w:tcBorders>
              <w:top w:val="single" w:sz="2" w:space="0" w:color="000000"/>
              <w:bottom w:val="single" w:sz="2" w:space="0" w:color="000000"/>
            </w:tcBorders>
          </w:tcPr>
          <w:p w14:paraId="3FA2C27E" w14:textId="77777777" w:rsidR="00084F36" w:rsidRPr="00EB2BD8" w:rsidRDefault="00EB2BD8">
            <w:pPr>
              <w:pStyle w:val="TableParagraph"/>
              <w:spacing w:before="116"/>
              <w:ind w:right="171"/>
              <w:jc w:val="right"/>
              <w:rPr>
                <w:sz w:val="16"/>
              </w:rPr>
            </w:pPr>
            <w:r w:rsidRPr="00EB2BD8">
              <w:rPr>
                <w:w w:val="88"/>
                <w:sz w:val="16"/>
              </w:rPr>
              <w:t>5</w:t>
            </w:r>
          </w:p>
        </w:tc>
        <w:tc>
          <w:tcPr>
            <w:tcW w:w="1640" w:type="dxa"/>
            <w:tcBorders>
              <w:top w:val="single" w:sz="2" w:space="0" w:color="000000"/>
              <w:bottom w:val="single" w:sz="2" w:space="0" w:color="000000"/>
            </w:tcBorders>
          </w:tcPr>
          <w:p w14:paraId="620C27D3" w14:textId="77777777" w:rsidR="00084F36" w:rsidRPr="00EB2BD8" w:rsidRDefault="00EB2BD8">
            <w:pPr>
              <w:pStyle w:val="TableParagraph"/>
              <w:spacing w:before="116"/>
              <w:ind w:right="110"/>
              <w:jc w:val="right"/>
              <w:rPr>
                <w:sz w:val="16"/>
              </w:rPr>
            </w:pPr>
            <w:r w:rsidRPr="00EB2BD8">
              <w:rPr>
                <w:w w:val="80"/>
                <w:sz w:val="16"/>
              </w:rPr>
              <w:t>2</w:t>
            </w:r>
          </w:p>
        </w:tc>
      </w:tr>
      <w:tr w:rsidR="00EB2BD8" w:rsidRPr="00EB2BD8" w14:paraId="2A3D9808" w14:textId="77777777">
        <w:trPr>
          <w:trHeight w:val="381"/>
        </w:trPr>
        <w:tc>
          <w:tcPr>
            <w:tcW w:w="1984" w:type="dxa"/>
          </w:tcPr>
          <w:p w14:paraId="23867243" w14:textId="77777777" w:rsidR="00084F36" w:rsidRPr="00EB2BD8" w:rsidRDefault="00084F36">
            <w:pPr>
              <w:pStyle w:val="TableParagraph"/>
              <w:rPr>
                <w:rFonts w:ascii="Times New Roman"/>
                <w:sz w:val="14"/>
              </w:rPr>
            </w:pPr>
          </w:p>
        </w:tc>
        <w:tc>
          <w:tcPr>
            <w:tcW w:w="4875" w:type="dxa"/>
            <w:tcBorders>
              <w:top w:val="single" w:sz="2" w:space="0" w:color="000000"/>
              <w:bottom w:val="single" w:sz="2" w:space="0" w:color="000000"/>
            </w:tcBorders>
          </w:tcPr>
          <w:p w14:paraId="77DA4A5B" w14:textId="77777777" w:rsidR="00084F36" w:rsidRPr="00EB2BD8" w:rsidRDefault="00EB2BD8">
            <w:pPr>
              <w:pStyle w:val="TableParagraph"/>
              <w:spacing w:before="116"/>
              <w:ind w:left="113"/>
              <w:rPr>
                <w:sz w:val="16"/>
              </w:rPr>
            </w:pPr>
            <w:r w:rsidRPr="00EB2BD8">
              <w:rPr>
                <w:sz w:val="16"/>
              </w:rPr>
              <w:t>Rate</w:t>
            </w:r>
            <w:r w:rsidRPr="00EB2BD8">
              <w:rPr>
                <w:spacing w:val="-13"/>
                <w:sz w:val="16"/>
              </w:rPr>
              <w:t xml:space="preserve"> </w:t>
            </w:r>
            <w:r w:rsidRPr="00EB2BD8">
              <w:rPr>
                <w:sz w:val="16"/>
              </w:rPr>
              <w:t>per</w:t>
            </w:r>
            <w:r w:rsidRPr="00EB2BD8">
              <w:rPr>
                <w:spacing w:val="-12"/>
                <w:sz w:val="16"/>
              </w:rPr>
              <w:t xml:space="preserve"> </w:t>
            </w:r>
            <w:r w:rsidRPr="00EB2BD8">
              <w:rPr>
                <w:sz w:val="16"/>
              </w:rPr>
              <w:t>100</w:t>
            </w:r>
            <w:r w:rsidRPr="00EB2BD8">
              <w:rPr>
                <w:spacing w:val="-12"/>
                <w:sz w:val="16"/>
              </w:rPr>
              <w:t xml:space="preserve"> </w:t>
            </w:r>
            <w:r w:rsidRPr="00EB2BD8">
              <w:rPr>
                <w:sz w:val="16"/>
              </w:rPr>
              <w:t>FTE</w:t>
            </w:r>
            <w:r w:rsidRPr="00EB2BD8">
              <w:rPr>
                <w:spacing w:val="-12"/>
                <w:sz w:val="16"/>
              </w:rPr>
              <w:t xml:space="preserve"> </w:t>
            </w:r>
            <w:r w:rsidRPr="00EB2BD8">
              <w:rPr>
                <w:spacing w:val="-5"/>
                <w:sz w:val="16"/>
              </w:rPr>
              <w:t>(%)</w:t>
            </w:r>
          </w:p>
        </w:tc>
        <w:tc>
          <w:tcPr>
            <w:tcW w:w="1705" w:type="dxa"/>
            <w:tcBorders>
              <w:top w:val="single" w:sz="2" w:space="0" w:color="000000"/>
              <w:bottom w:val="single" w:sz="2" w:space="0" w:color="000000"/>
            </w:tcBorders>
          </w:tcPr>
          <w:p w14:paraId="0C6372FB" w14:textId="77777777" w:rsidR="00084F36" w:rsidRPr="00EB2BD8" w:rsidRDefault="00EB2BD8">
            <w:pPr>
              <w:pStyle w:val="TableParagraph"/>
              <w:spacing w:before="116"/>
              <w:ind w:right="171"/>
              <w:jc w:val="right"/>
              <w:rPr>
                <w:sz w:val="16"/>
              </w:rPr>
            </w:pPr>
            <w:r w:rsidRPr="00EB2BD8">
              <w:rPr>
                <w:w w:val="55"/>
                <w:sz w:val="16"/>
              </w:rPr>
              <w:t>1</w:t>
            </w:r>
          </w:p>
        </w:tc>
        <w:tc>
          <w:tcPr>
            <w:tcW w:w="1640" w:type="dxa"/>
            <w:tcBorders>
              <w:top w:val="single" w:sz="2" w:space="0" w:color="000000"/>
              <w:bottom w:val="single" w:sz="2" w:space="0" w:color="000000"/>
            </w:tcBorders>
          </w:tcPr>
          <w:p w14:paraId="5E3ECCA4" w14:textId="77777777" w:rsidR="00084F36" w:rsidRPr="00EB2BD8" w:rsidRDefault="00EB2BD8">
            <w:pPr>
              <w:pStyle w:val="TableParagraph"/>
              <w:spacing w:before="116"/>
              <w:ind w:right="111"/>
              <w:jc w:val="right"/>
              <w:rPr>
                <w:sz w:val="16"/>
              </w:rPr>
            </w:pPr>
            <w:r w:rsidRPr="00EB2BD8">
              <w:rPr>
                <w:spacing w:val="-2"/>
                <w:w w:val="85"/>
                <w:sz w:val="16"/>
              </w:rPr>
              <w:t>0.427</w:t>
            </w:r>
          </w:p>
        </w:tc>
      </w:tr>
      <w:tr w:rsidR="00EB2BD8" w:rsidRPr="00EB2BD8" w14:paraId="60DDB7D1" w14:textId="77777777">
        <w:trPr>
          <w:trHeight w:val="381"/>
        </w:trPr>
        <w:tc>
          <w:tcPr>
            <w:tcW w:w="1984" w:type="dxa"/>
          </w:tcPr>
          <w:p w14:paraId="17FE2654" w14:textId="77777777" w:rsidR="00084F36" w:rsidRPr="00EB2BD8" w:rsidRDefault="00084F36">
            <w:pPr>
              <w:pStyle w:val="TableParagraph"/>
              <w:rPr>
                <w:rFonts w:ascii="Times New Roman"/>
                <w:sz w:val="14"/>
              </w:rPr>
            </w:pPr>
          </w:p>
        </w:tc>
        <w:tc>
          <w:tcPr>
            <w:tcW w:w="4875" w:type="dxa"/>
            <w:tcBorders>
              <w:top w:val="single" w:sz="2" w:space="0" w:color="000000"/>
              <w:bottom w:val="single" w:sz="2" w:space="0" w:color="000000"/>
            </w:tcBorders>
          </w:tcPr>
          <w:p w14:paraId="0C111991" w14:textId="77777777" w:rsidR="00084F36" w:rsidRPr="00EB2BD8" w:rsidRDefault="00EB2BD8">
            <w:pPr>
              <w:pStyle w:val="TableParagraph"/>
              <w:spacing w:before="116"/>
              <w:ind w:left="113"/>
              <w:rPr>
                <w:sz w:val="16"/>
              </w:rPr>
            </w:pPr>
            <w:r w:rsidRPr="00EB2BD8">
              <w:rPr>
                <w:spacing w:val="-2"/>
                <w:sz w:val="16"/>
              </w:rPr>
              <w:t>Number</w:t>
            </w:r>
            <w:r w:rsidRPr="00EB2BD8">
              <w:rPr>
                <w:spacing w:val="-8"/>
                <w:sz w:val="16"/>
              </w:rPr>
              <w:t xml:space="preserve"> </w:t>
            </w:r>
            <w:r w:rsidRPr="00EB2BD8">
              <w:rPr>
                <w:spacing w:val="-2"/>
                <w:sz w:val="16"/>
              </w:rPr>
              <w:t>of</w:t>
            </w:r>
            <w:r w:rsidRPr="00EB2BD8">
              <w:rPr>
                <w:spacing w:val="-8"/>
                <w:sz w:val="16"/>
              </w:rPr>
              <w:t xml:space="preserve"> </w:t>
            </w:r>
            <w:r w:rsidRPr="00EB2BD8">
              <w:rPr>
                <w:spacing w:val="-2"/>
                <w:sz w:val="16"/>
              </w:rPr>
              <w:t>lost</w:t>
            </w:r>
            <w:r w:rsidRPr="00EB2BD8">
              <w:rPr>
                <w:spacing w:val="-8"/>
                <w:sz w:val="16"/>
              </w:rPr>
              <w:t xml:space="preserve"> </w:t>
            </w:r>
            <w:r w:rsidRPr="00EB2BD8">
              <w:rPr>
                <w:spacing w:val="-2"/>
                <w:sz w:val="16"/>
              </w:rPr>
              <w:t>time</w:t>
            </w:r>
            <w:r w:rsidRPr="00EB2BD8">
              <w:rPr>
                <w:spacing w:val="-8"/>
                <w:sz w:val="16"/>
              </w:rPr>
              <w:t xml:space="preserve"> </w:t>
            </w:r>
            <w:r w:rsidRPr="00EB2BD8">
              <w:rPr>
                <w:spacing w:val="-2"/>
                <w:sz w:val="16"/>
              </w:rPr>
              <w:t>claims</w:t>
            </w:r>
          </w:p>
        </w:tc>
        <w:tc>
          <w:tcPr>
            <w:tcW w:w="1705" w:type="dxa"/>
            <w:tcBorders>
              <w:top w:val="single" w:sz="2" w:space="0" w:color="000000"/>
              <w:bottom w:val="single" w:sz="2" w:space="0" w:color="000000"/>
            </w:tcBorders>
          </w:tcPr>
          <w:p w14:paraId="070E9A3C" w14:textId="77777777" w:rsidR="00084F36" w:rsidRPr="00EB2BD8" w:rsidRDefault="00EB2BD8">
            <w:pPr>
              <w:pStyle w:val="TableParagraph"/>
              <w:spacing w:before="116"/>
              <w:ind w:right="171"/>
              <w:jc w:val="right"/>
              <w:rPr>
                <w:sz w:val="16"/>
              </w:rPr>
            </w:pPr>
            <w:r w:rsidRPr="00EB2BD8">
              <w:rPr>
                <w:w w:val="88"/>
                <w:sz w:val="16"/>
              </w:rPr>
              <w:t>5</w:t>
            </w:r>
          </w:p>
        </w:tc>
        <w:tc>
          <w:tcPr>
            <w:tcW w:w="1640" w:type="dxa"/>
            <w:tcBorders>
              <w:top w:val="single" w:sz="2" w:space="0" w:color="000000"/>
              <w:bottom w:val="single" w:sz="2" w:space="0" w:color="000000"/>
            </w:tcBorders>
          </w:tcPr>
          <w:p w14:paraId="563F9902" w14:textId="77777777" w:rsidR="00084F36" w:rsidRPr="00EB2BD8" w:rsidRDefault="00EB2BD8">
            <w:pPr>
              <w:pStyle w:val="TableParagraph"/>
              <w:spacing w:before="116"/>
              <w:ind w:right="110"/>
              <w:jc w:val="right"/>
              <w:rPr>
                <w:sz w:val="16"/>
              </w:rPr>
            </w:pPr>
            <w:r w:rsidRPr="00EB2BD8">
              <w:rPr>
                <w:w w:val="80"/>
                <w:sz w:val="16"/>
              </w:rPr>
              <w:t>2</w:t>
            </w:r>
          </w:p>
        </w:tc>
      </w:tr>
      <w:tr w:rsidR="00EB2BD8" w:rsidRPr="00EB2BD8" w14:paraId="09F604ED" w14:textId="77777777">
        <w:trPr>
          <w:trHeight w:val="381"/>
        </w:trPr>
        <w:tc>
          <w:tcPr>
            <w:tcW w:w="1984" w:type="dxa"/>
          </w:tcPr>
          <w:p w14:paraId="34E1C1D1" w14:textId="77777777" w:rsidR="00084F36" w:rsidRPr="00EB2BD8" w:rsidRDefault="00084F36">
            <w:pPr>
              <w:pStyle w:val="TableParagraph"/>
              <w:rPr>
                <w:rFonts w:ascii="Times New Roman"/>
                <w:sz w:val="14"/>
              </w:rPr>
            </w:pPr>
          </w:p>
        </w:tc>
        <w:tc>
          <w:tcPr>
            <w:tcW w:w="4875" w:type="dxa"/>
            <w:tcBorders>
              <w:top w:val="single" w:sz="2" w:space="0" w:color="000000"/>
              <w:bottom w:val="single" w:sz="2" w:space="0" w:color="000000"/>
            </w:tcBorders>
          </w:tcPr>
          <w:p w14:paraId="53D53030" w14:textId="77777777" w:rsidR="00084F36" w:rsidRPr="00EB2BD8" w:rsidRDefault="00EB2BD8">
            <w:pPr>
              <w:pStyle w:val="TableParagraph"/>
              <w:spacing w:before="116"/>
              <w:ind w:left="113"/>
              <w:rPr>
                <w:sz w:val="16"/>
              </w:rPr>
            </w:pPr>
            <w:r w:rsidRPr="00EB2BD8">
              <w:rPr>
                <w:sz w:val="16"/>
              </w:rPr>
              <w:t>Rate</w:t>
            </w:r>
            <w:r w:rsidRPr="00EB2BD8">
              <w:rPr>
                <w:spacing w:val="-13"/>
                <w:sz w:val="16"/>
              </w:rPr>
              <w:t xml:space="preserve"> </w:t>
            </w:r>
            <w:r w:rsidRPr="00EB2BD8">
              <w:rPr>
                <w:sz w:val="16"/>
              </w:rPr>
              <w:t>per</w:t>
            </w:r>
            <w:r w:rsidRPr="00EB2BD8">
              <w:rPr>
                <w:spacing w:val="-12"/>
                <w:sz w:val="16"/>
              </w:rPr>
              <w:t xml:space="preserve"> </w:t>
            </w:r>
            <w:r w:rsidRPr="00EB2BD8">
              <w:rPr>
                <w:sz w:val="16"/>
              </w:rPr>
              <w:t>100</w:t>
            </w:r>
            <w:r w:rsidRPr="00EB2BD8">
              <w:rPr>
                <w:spacing w:val="-12"/>
                <w:sz w:val="16"/>
              </w:rPr>
              <w:t xml:space="preserve"> </w:t>
            </w:r>
            <w:r w:rsidRPr="00EB2BD8">
              <w:rPr>
                <w:sz w:val="16"/>
              </w:rPr>
              <w:t>FTE</w:t>
            </w:r>
            <w:r w:rsidRPr="00EB2BD8">
              <w:rPr>
                <w:spacing w:val="-12"/>
                <w:sz w:val="16"/>
              </w:rPr>
              <w:t xml:space="preserve"> </w:t>
            </w:r>
            <w:r w:rsidRPr="00EB2BD8">
              <w:rPr>
                <w:spacing w:val="-5"/>
                <w:sz w:val="16"/>
              </w:rPr>
              <w:t>(%)</w:t>
            </w:r>
          </w:p>
        </w:tc>
        <w:tc>
          <w:tcPr>
            <w:tcW w:w="1705" w:type="dxa"/>
            <w:tcBorders>
              <w:top w:val="single" w:sz="2" w:space="0" w:color="000000"/>
              <w:bottom w:val="single" w:sz="2" w:space="0" w:color="000000"/>
            </w:tcBorders>
          </w:tcPr>
          <w:p w14:paraId="34A6834B" w14:textId="77777777" w:rsidR="00084F36" w:rsidRPr="00EB2BD8" w:rsidRDefault="00EB2BD8">
            <w:pPr>
              <w:pStyle w:val="TableParagraph"/>
              <w:spacing w:before="116"/>
              <w:ind w:right="171"/>
              <w:jc w:val="right"/>
              <w:rPr>
                <w:sz w:val="16"/>
              </w:rPr>
            </w:pPr>
            <w:r w:rsidRPr="00EB2BD8">
              <w:rPr>
                <w:w w:val="55"/>
                <w:sz w:val="16"/>
              </w:rPr>
              <w:t>1</w:t>
            </w:r>
          </w:p>
        </w:tc>
        <w:tc>
          <w:tcPr>
            <w:tcW w:w="1640" w:type="dxa"/>
            <w:tcBorders>
              <w:top w:val="single" w:sz="2" w:space="0" w:color="000000"/>
              <w:bottom w:val="single" w:sz="2" w:space="0" w:color="000000"/>
            </w:tcBorders>
          </w:tcPr>
          <w:p w14:paraId="7307B6A0" w14:textId="77777777" w:rsidR="00084F36" w:rsidRPr="00EB2BD8" w:rsidRDefault="00EB2BD8">
            <w:pPr>
              <w:pStyle w:val="TableParagraph"/>
              <w:spacing w:before="116"/>
              <w:ind w:right="111"/>
              <w:jc w:val="right"/>
              <w:rPr>
                <w:sz w:val="16"/>
              </w:rPr>
            </w:pPr>
            <w:r w:rsidRPr="00EB2BD8">
              <w:rPr>
                <w:spacing w:val="-2"/>
                <w:w w:val="85"/>
                <w:sz w:val="16"/>
              </w:rPr>
              <w:t>0.427</w:t>
            </w:r>
          </w:p>
        </w:tc>
      </w:tr>
      <w:tr w:rsidR="00EB2BD8" w:rsidRPr="00EB2BD8" w14:paraId="6DB07A00" w14:textId="77777777">
        <w:trPr>
          <w:trHeight w:val="381"/>
        </w:trPr>
        <w:tc>
          <w:tcPr>
            <w:tcW w:w="1984" w:type="dxa"/>
          </w:tcPr>
          <w:p w14:paraId="3E27A1AF" w14:textId="77777777" w:rsidR="00084F36" w:rsidRPr="00EB2BD8" w:rsidRDefault="00084F36">
            <w:pPr>
              <w:pStyle w:val="TableParagraph"/>
              <w:rPr>
                <w:rFonts w:ascii="Times New Roman"/>
                <w:sz w:val="14"/>
              </w:rPr>
            </w:pPr>
          </w:p>
        </w:tc>
        <w:tc>
          <w:tcPr>
            <w:tcW w:w="4875" w:type="dxa"/>
            <w:tcBorders>
              <w:top w:val="single" w:sz="2" w:space="0" w:color="000000"/>
              <w:bottom w:val="single" w:sz="2" w:space="0" w:color="000000"/>
            </w:tcBorders>
          </w:tcPr>
          <w:p w14:paraId="11728926" w14:textId="77777777" w:rsidR="00084F36" w:rsidRPr="00EB2BD8" w:rsidRDefault="00EB2BD8">
            <w:pPr>
              <w:pStyle w:val="TableParagraph"/>
              <w:spacing w:before="116"/>
              <w:ind w:left="113"/>
              <w:rPr>
                <w:sz w:val="16"/>
              </w:rPr>
            </w:pPr>
            <w:r w:rsidRPr="00EB2BD8">
              <w:rPr>
                <w:spacing w:val="-2"/>
                <w:sz w:val="16"/>
              </w:rPr>
              <w:t>Number</w:t>
            </w:r>
            <w:r w:rsidRPr="00EB2BD8">
              <w:rPr>
                <w:spacing w:val="-12"/>
                <w:sz w:val="16"/>
              </w:rPr>
              <w:t xml:space="preserve"> </w:t>
            </w:r>
            <w:r w:rsidRPr="00EB2BD8">
              <w:rPr>
                <w:spacing w:val="-2"/>
                <w:sz w:val="16"/>
              </w:rPr>
              <w:t>of</w:t>
            </w:r>
            <w:r w:rsidRPr="00EB2BD8">
              <w:rPr>
                <w:spacing w:val="-11"/>
                <w:sz w:val="16"/>
              </w:rPr>
              <w:t xml:space="preserve"> </w:t>
            </w:r>
            <w:r w:rsidRPr="00EB2BD8">
              <w:rPr>
                <w:spacing w:val="-2"/>
                <w:sz w:val="16"/>
              </w:rPr>
              <w:t>claims</w:t>
            </w:r>
            <w:r w:rsidRPr="00EB2BD8">
              <w:rPr>
                <w:spacing w:val="-12"/>
                <w:sz w:val="16"/>
              </w:rPr>
              <w:t xml:space="preserve"> </w:t>
            </w:r>
            <w:r w:rsidRPr="00EB2BD8">
              <w:rPr>
                <w:spacing w:val="-2"/>
                <w:sz w:val="16"/>
              </w:rPr>
              <w:t>exceeding</w:t>
            </w:r>
            <w:r w:rsidRPr="00EB2BD8">
              <w:rPr>
                <w:spacing w:val="-11"/>
                <w:sz w:val="16"/>
              </w:rPr>
              <w:t xml:space="preserve"> </w:t>
            </w:r>
            <w:r w:rsidRPr="00EB2BD8">
              <w:rPr>
                <w:spacing w:val="-2"/>
                <w:sz w:val="16"/>
              </w:rPr>
              <w:t>13</w:t>
            </w:r>
            <w:r w:rsidRPr="00EB2BD8">
              <w:rPr>
                <w:spacing w:val="-12"/>
                <w:sz w:val="16"/>
              </w:rPr>
              <w:t xml:space="preserve"> </w:t>
            </w:r>
            <w:r w:rsidRPr="00EB2BD8">
              <w:rPr>
                <w:spacing w:val="-4"/>
                <w:sz w:val="16"/>
              </w:rPr>
              <w:t>weeks</w:t>
            </w:r>
          </w:p>
        </w:tc>
        <w:tc>
          <w:tcPr>
            <w:tcW w:w="1705" w:type="dxa"/>
            <w:tcBorders>
              <w:top w:val="single" w:sz="2" w:space="0" w:color="000000"/>
              <w:bottom w:val="single" w:sz="2" w:space="0" w:color="000000"/>
            </w:tcBorders>
          </w:tcPr>
          <w:p w14:paraId="720430B9" w14:textId="77777777" w:rsidR="00084F36" w:rsidRPr="00EB2BD8" w:rsidRDefault="00EB2BD8">
            <w:pPr>
              <w:pStyle w:val="TableParagraph"/>
              <w:spacing w:before="116"/>
              <w:ind w:right="171"/>
              <w:jc w:val="right"/>
              <w:rPr>
                <w:sz w:val="16"/>
              </w:rPr>
            </w:pPr>
            <w:r w:rsidRPr="00EB2BD8">
              <w:rPr>
                <w:w w:val="93"/>
                <w:sz w:val="16"/>
              </w:rPr>
              <w:t>3</w:t>
            </w:r>
          </w:p>
        </w:tc>
        <w:tc>
          <w:tcPr>
            <w:tcW w:w="1640" w:type="dxa"/>
            <w:tcBorders>
              <w:top w:val="single" w:sz="2" w:space="0" w:color="000000"/>
              <w:bottom w:val="single" w:sz="2" w:space="0" w:color="000000"/>
            </w:tcBorders>
          </w:tcPr>
          <w:p w14:paraId="25CE12B5" w14:textId="77777777" w:rsidR="00084F36" w:rsidRPr="00EB2BD8" w:rsidRDefault="00EB2BD8">
            <w:pPr>
              <w:pStyle w:val="TableParagraph"/>
              <w:spacing w:before="116"/>
              <w:ind w:right="110"/>
              <w:jc w:val="right"/>
              <w:rPr>
                <w:sz w:val="16"/>
              </w:rPr>
            </w:pPr>
            <w:r w:rsidRPr="00EB2BD8">
              <w:rPr>
                <w:w w:val="105"/>
                <w:sz w:val="16"/>
              </w:rPr>
              <w:t>0</w:t>
            </w:r>
          </w:p>
        </w:tc>
      </w:tr>
      <w:tr w:rsidR="00EB2BD8" w:rsidRPr="00EB2BD8" w14:paraId="6730951A" w14:textId="77777777">
        <w:trPr>
          <w:trHeight w:val="381"/>
        </w:trPr>
        <w:tc>
          <w:tcPr>
            <w:tcW w:w="1984" w:type="dxa"/>
            <w:tcBorders>
              <w:bottom w:val="single" w:sz="2" w:space="0" w:color="003963"/>
            </w:tcBorders>
          </w:tcPr>
          <w:p w14:paraId="26454072" w14:textId="77777777" w:rsidR="00084F36" w:rsidRPr="00EB2BD8" w:rsidRDefault="00084F36">
            <w:pPr>
              <w:pStyle w:val="TableParagraph"/>
              <w:rPr>
                <w:rFonts w:ascii="Times New Roman"/>
                <w:sz w:val="14"/>
              </w:rPr>
            </w:pPr>
          </w:p>
        </w:tc>
        <w:tc>
          <w:tcPr>
            <w:tcW w:w="4875" w:type="dxa"/>
            <w:tcBorders>
              <w:top w:val="single" w:sz="2" w:space="0" w:color="000000"/>
              <w:bottom w:val="single" w:sz="2" w:space="0" w:color="000000"/>
            </w:tcBorders>
          </w:tcPr>
          <w:p w14:paraId="49C6255D" w14:textId="77777777" w:rsidR="00084F36" w:rsidRPr="00EB2BD8" w:rsidRDefault="00EB2BD8">
            <w:pPr>
              <w:pStyle w:val="TableParagraph"/>
              <w:spacing w:before="116"/>
              <w:ind w:left="113"/>
              <w:rPr>
                <w:sz w:val="16"/>
              </w:rPr>
            </w:pPr>
            <w:r w:rsidRPr="00EB2BD8">
              <w:rPr>
                <w:sz w:val="16"/>
              </w:rPr>
              <w:t>Rate</w:t>
            </w:r>
            <w:r w:rsidRPr="00EB2BD8">
              <w:rPr>
                <w:spacing w:val="-13"/>
                <w:sz w:val="16"/>
              </w:rPr>
              <w:t xml:space="preserve"> </w:t>
            </w:r>
            <w:r w:rsidRPr="00EB2BD8">
              <w:rPr>
                <w:sz w:val="16"/>
              </w:rPr>
              <w:t>per</w:t>
            </w:r>
            <w:r w:rsidRPr="00EB2BD8">
              <w:rPr>
                <w:spacing w:val="-12"/>
                <w:sz w:val="16"/>
              </w:rPr>
              <w:t xml:space="preserve"> </w:t>
            </w:r>
            <w:r w:rsidRPr="00EB2BD8">
              <w:rPr>
                <w:sz w:val="16"/>
              </w:rPr>
              <w:t>100</w:t>
            </w:r>
            <w:r w:rsidRPr="00EB2BD8">
              <w:rPr>
                <w:spacing w:val="-12"/>
                <w:sz w:val="16"/>
              </w:rPr>
              <w:t xml:space="preserve"> </w:t>
            </w:r>
            <w:r w:rsidRPr="00EB2BD8">
              <w:rPr>
                <w:sz w:val="16"/>
              </w:rPr>
              <w:t>FTE</w:t>
            </w:r>
            <w:r w:rsidRPr="00EB2BD8">
              <w:rPr>
                <w:spacing w:val="-12"/>
                <w:sz w:val="16"/>
              </w:rPr>
              <w:t xml:space="preserve"> </w:t>
            </w:r>
            <w:r w:rsidRPr="00EB2BD8">
              <w:rPr>
                <w:spacing w:val="-5"/>
                <w:sz w:val="16"/>
              </w:rPr>
              <w:t>(%)</w:t>
            </w:r>
          </w:p>
        </w:tc>
        <w:tc>
          <w:tcPr>
            <w:tcW w:w="1705" w:type="dxa"/>
            <w:tcBorders>
              <w:top w:val="single" w:sz="2" w:space="0" w:color="000000"/>
              <w:bottom w:val="single" w:sz="2" w:space="0" w:color="000000"/>
            </w:tcBorders>
          </w:tcPr>
          <w:p w14:paraId="5194335B" w14:textId="77777777" w:rsidR="00084F36" w:rsidRPr="00EB2BD8" w:rsidRDefault="00EB2BD8">
            <w:pPr>
              <w:pStyle w:val="TableParagraph"/>
              <w:spacing w:before="116"/>
              <w:ind w:right="172"/>
              <w:jc w:val="right"/>
              <w:rPr>
                <w:sz w:val="16"/>
              </w:rPr>
            </w:pPr>
            <w:r w:rsidRPr="00EB2BD8">
              <w:rPr>
                <w:spacing w:val="-4"/>
                <w:sz w:val="16"/>
              </w:rPr>
              <w:t>0.65</w:t>
            </w:r>
          </w:p>
        </w:tc>
        <w:tc>
          <w:tcPr>
            <w:tcW w:w="1640" w:type="dxa"/>
            <w:tcBorders>
              <w:top w:val="single" w:sz="2" w:space="0" w:color="000000"/>
              <w:bottom w:val="single" w:sz="2" w:space="0" w:color="000000"/>
            </w:tcBorders>
          </w:tcPr>
          <w:p w14:paraId="3D830A58" w14:textId="77777777" w:rsidR="00084F36" w:rsidRPr="00EB2BD8" w:rsidRDefault="00EB2BD8">
            <w:pPr>
              <w:pStyle w:val="TableParagraph"/>
              <w:spacing w:before="116"/>
              <w:ind w:right="110"/>
              <w:jc w:val="right"/>
              <w:rPr>
                <w:sz w:val="16"/>
              </w:rPr>
            </w:pPr>
            <w:r w:rsidRPr="00EB2BD8">
              <w:rPr>
                <w:w w:val="105"/>
                <w:sz w:val="16"/>
              </w:rPr>
              <w:t>0</w:t>
            </w:r>
          </w:p>
        </w:tc>
      </w:tr>
      <w:tr w:rsidR="00EB2BD8" w:rsidRPr="00EB2BD8" w14:paraId="4842B6DC" w14:textId="77777777">
        <w:trPr>
          <w:trHeight w:val="381"/>
        </w:trPr>
        <w:tc>
          <w:tcPr>
            <w:tcW w:w="1984" w:type="dxa"/>
            <w:tcBorders>
              <w:top w:val="single" w:sz="2" w:space="0" w:color="003963"/>
              <w:bottom w:val="single" w:sz="2" w:space="0" w:color="003963"/>
            </w:tcBorders>
          </w:tcPr>
          <w:p w14:paraId="4DD4FD0E" w14:textId="77777777" w:rsidR="00084F36" w:rsidRPr="00EB2BD8" w:rsidRDefault="00EB2BD8">
            <w:pPr>
              <w:pStyle w:val="TableParagraph"/>
              <w:spacing w:before="116"/>
              <w:ind w:left="113"/>
              <w:rPr>
                <w:sz w:val="16"/>
              </w:rPr>
            </w:pPr>
            <w:r w:rsidRPr="00EB2BD8">
              <w:rPr>
                <w:spacing w:val="-2"/>
                <w:w w:val="105"/>
                <w:sz w:val="16"/>
              </w:rPr>
              <w:t>Fatalities</w:t>
            </w:r>
          </w:p>
        </w:tc>
        <w:tc>
          <w:tcPr>
            <w:tcW w:w="4875" w:type="dxa"/>
            <w:tcBorders>
              <w:top w:val="single" w:sz="2" w:space="0" w:color="000000"/>
              <w:bottom w:val="single" w:sz="2" w:space="0" w:color="000000"/>
            </w:tcBorders>
          </w:tcPr>
          <w:p w14:paraId="7EFCF087" w14:textId="77777777" w:rsidR="00084F36" w:rsidRPr="00EB2BD8" w:rsidRDefault="00EB2BD8">
            <w:pPr>
              <w:pStyle w:val="TableParagraph"/>
              <w:spacing w:before="116"/>
              <w:ind w:left="113"/>
              <w:rPr>
                <w:sz w:val="9"/>
              </w:rPr>
            </w:pPr>
            <w:r w:rsidRPr="00EB2BD8">
              <w:rPr>
                <w:sz w:val="16"/>
              </w:rPr>
              <w:t>Fatality</w:t>
            </w:r>
            <w:r w:rsidRPr="00EB2BD8">
              <w:rPr>
                <w:spacing w:val="1"/>
                <w:sz w:val="16"/>
              </w:rPr>
              <w:t xml:space="preserve"> </w:t>
            </w:r>
            <w:r w:rsidRPr="00EB2BD8">
              <w:rPr>
                <w:spacing w:val="-2"/>
                <w:sz w:val="16"/>
              </w:rPr>
              <w:t>claims</w:t>
            </w:r>
            <w:r w:rsidRPr="00EB2BD8">
              <w:rPr>
                <w:spacing w:val="-2"/>
                <w:position w:val="5"/>
                <w:sz w:val="9"/>
              </w:rPr>
              <w:t>29</w:t>
            </w:r>
          </w:p>
        </w:tc>
        <w:tc>
          <w:tcPr>
            <w:tcW w:w="1705" w:type="dxa"/>
            <w:tcBorders>
              <w:top w:val="single" w:sz="2" w:space="0" w:color="000000"/>
              <w:bottom w:val="single" w:sz="2" w:space="0" w:color="000000"/>
            </w:tcBorders>
          </w:tcPr>
          <w:p w14:paraId="48A46134" w14:textId="77777777" w:rsidR="00084F36" w:rsidRPr="00EB2BD8" w:rsidRDefault="00EB2BD8">
            <w:pPr>
              <w:pStyle w:val="TableParagraph"/>
              <w:spacing w:before="116"/>
              <w:ind w:right="171"/>
              <w:jc w:val="right"/>
              <w:rPr>
                <w:sz w:val="16"/>
              </w:rPr>
            </w:pPr>
            <w:r w:rsidRPr="00EB2BD8">
              <w:rPr>
                <w:w w:val="105"/>
                <w:sz w:val="16"/>
              </w:rPr>
              <w:t>0</w:t>
            </w:r>
          </w:p>
        </w:tc>
        <w:tc>
          <w:tcPr>
            <w:tcW w:w="1640" w:type="dxa"/>
            <w:tcBorders>
              <w:top w:val="single" w:sz="2" w:space="0" w:color="000000"/>
              <w:bottom w:val="single" w:sz="2" w:space="0" w:color="000000"/>
            </w:tcBorders>
          </w:tcPr>
          <w:p w14:paraId="6531F2F6" w14:textId="77777777" w:rsidR="00084F36" w:rsidRPr="00EB2BD8" w:rsidRDefault="00EB2BD8">
            <w:pPr>
              <w:pStyle w:val="TableParagraph"/>
              <w:spacing w:before="116"/>
              <w:ind w:right="110"/>
              <w:jc w:val="right"/>
              <w:rPr>
                <w:sz w:val="16"/>
              </w:rPr>
            </w:pPr>
            <w:r w:rsidRPr="00EB2BD8">
              <w:rPr>
                <w:w w:val="105"/>
                <w:sz w:val="16"/>
              </w:rPr>
              <w:t>0</w:t>
            </w:r>
          </w:p>
        </w:tc>
      </w:tr>
      <w:tr w:rsidR="00EB2BD8" w:rsidRPr="00EB2BD8" w14:paraId="73E5A708" w14:textId="77777777">
        <w:trPr>
          <w:trHeight w:val="381"/>
        </w:trPr>
        <w:tc>
          <w:tcPr>
            <w:tcW w:w="1984" w:type="dxa"/>
            <w:tcBorders>
              <w:top w:val="single" w:sz="2" w:space="0" w:color="003963"/>
              <w:bottom w:val="single" w:sz="2" w:space="0" w:color="000000"/>
            </w:tcBorders>
          </w:tcPr>
          <w:p w14:paraId="426DFA8D" w14:textId="77777777" w:rsidR="00084F36" w:rsidRPr="00EB2BD8" w:rsidRDefault="00EB2BD8">
            <w:pPr>
              <w:pStyle w:val="TableParagraph"/>
              <w:spacing w:before="116"/>
              <w:ind w:left="113"/>
              <w:rPr>
                <w:sz w:val="16"/>
              </w:rPr>
            </w:pPr>
            <w:r w:rsidRPr="00EB2BD8">
              <w:rPr>
                <w:sz w:val="16"/>
              </w:rPr>
              <w:t>Claim</w:t>
            </w:r>
            <w:r w:rsidRPr="00EB2BD8">
              <w:rPr>
                <w:spacing w:val="-8"/>
                <w:sz w:val="16"/>
              </w:rPr>
              <w:t xml:space="preserve"> </w:t>
            </w:r>
            <w:r w:rsidRPr="00EB2BD8">
              <w:rPr>
                <w:spacing w:val="-4"/>
                <w:sz w:val="16"/>
              </w:rPr>
              <w:t>costs</w:t>
            </w:r>
          </w:p>
        </w:tc>
        <w:tc>
          <w:tcPr>
            <w:tcW w:w="4875" w:type="dxa"/>
            <w:tcBorders>
              <w:top w:val="single" w:sz="2" w:space="0" w:color="000000"/>
              <w:bottom w:val="single" w:sz="2" w:space="0" w:color="000000"/>
            </w:tcBorders>
          </w:tcPr>
          <w:p w14:paraId="1031CAE4" w14:textId="77777777" w:rsidR="00084F36" w:rsidRPr="00EB2BD8" w:rsidRDefault="00EB2BD8">
            <w:pPr>
              <w:pStyle w:val="TableParagraph"/>
              <w:spacing w:before="116"/>
              <w:ind w:left="113"/>
              <w:rPr>
                <w:sz w:val="16"/>
              </w:rPr>
            </w:pPr>
            <w:r w:rsidRPr="00EB2BD8">
              <w:rPr>
                <w:sz w:val="16"/>
              </w:rPr>
              <w:t>Average</w:t>
            </w:r>
            <w:r w:rsidRPr="00EB2BD8">
              <w:rPr>
                <w:spacing w:val="-5"/>
                <w:sz w:val="16"/>
              </w:rPr>
              <w:t xml:space="preserve"> </w:t>
            </w:r>
            <w:r w:rsidRPr="00EB2BD8">
              <w:rPr>
                <w:sz w:val="16"/>
              </w:rPr>
              <w:t>cost</w:t>
            </w:r>
            <w:r w:rsidRPr="00EB2BD8">
              <w:rPr>
                <w:spacing w:val="-5"/>
                <w:sz w:val="16"/>
              </w:rPr>
              <w:t xml:space="preserve"> </w:t>
            </w:r>
            <w:r w:rsidRPr="00EB2BD8">
              <w:rPr>
                <w:sz w:val="16"/>
              </w:rPr>
              <w:t>per</w:t>
            </w:r>
            <w:r w:rsidRPr="00EB2BD8">
              <w:rPr>
                <w:spacing w:val="-5"/>
                <w:sz w:val="16"/>
              </w:rPr>
              <w:t xml:space="preserve"> </w:t>
            </w:r>
            <w:r w:rsidRPr="00EB2BD8">
              <w:rPr>
                <w:sz w:val="16"/>
              </w:rPr>
              <w:t>standard</w:t>
            </w:r>
            <w:r w:rsidRPr="00EB2BD8">
              <w:rPr>
                <w:spacing w:val="-5"/>
                <w:sz w:val="16"/>
              </w:rPr>
              <w:t xml:space="preserve"> </w:t>
            </w:r>
            <w:r w:rsidRPr="00EB2BD8">
              <w:rPr>
                <w:sz w:val="16"/>
              </w:rPr>
              <w:t>claim</w:t>
            </w:r>
            <w:r w:rsidRPr="00EB2BD8">
              <w:rPr>
                <w:spacing w:val="-5"/>
                <w:sz w:val="16"/>
              </w:rPr>
              <w:t xml:space="preserve"> ($)</w:t>
            </w:r>
          </w:p>
        </w:tc>
        <w:tc>
          <w:tcPr>
            <w:tcW w:w="1705" w:type="dxa"/>
            <w:tcBorders>
              <w:top w:val="single" w:sz="2" w:space="0" w:color="000000"/>
              <w:bottom w:val="single" w:sz="2" w:space="0" w:color="000000"/>
            </w:tcBorders>
          </w:tcPr>
          <w:p w14:paraId="6141543C" w14:textId="77777777" w:rsidR="00084F36" w:rsidRPr="00EB2BD8" w:rsidRDefault="00EB2BD8">
            <w:pPr>
              <w:pStyle w:val="TableParagraph"/>
              <w:spacing w:before="116"/>
              <w:ind w:right="171"/>
              <w:jc w:val="right"/>
              <w:rPr>
                <w:sz w:val="16"/>
              </w:rPr>
            </w:pPr>
            <w:r w:rsidRPr="00EB2BD8">
              <w:rPr>
                <w:spacing w:val="-2"/>
                <w:sz w:val="16"/>
              </w:rPr>
              <w:t>$48,624</w:t>
            </w:r>
          </w:p>
        </w:tc>
        <w:tc>
          <w:tcPr>
            <w:tcW w:w="1640" w:type="dxa"/>
            <w:tcBorders>
              <w:top w:val="single" w:sz="2" w:space="0" w:color="000000"/>
              <w:bottom w:val="single" w:sz="2" w:space="0" w:color="000000"/>
            </w:tcBorders>
          </w:tcPr>
          <w:p w14:paraId="22495F9C" w14:textId="77777777" w:rsidR="00084F36" w:rsidRPr="00EB2BD8" w:rsidRDefault="00EB2BD8">
            <w:pPr>
              <w:pStyle w:val="TableParagraph"/>
              <w:spacing w:before="116"/>
              <w:ind w:right="111"/>
              <w:jc w:val="right"/>
              <w:rPr>
                <w:sz w:val="16"/>
              </w:rPr>
            </w:pPr>
            <w:r w:rsidRPr="00EB2BD8">
              <w:rPr>
                <w:spacing w:val="-2"/>
                <w:w w:val="85"/>
                <w:sz w:val="16"/>
              </w:rPr>
              <w:t>$7,93827</w:t>
            </w:r>
          </w:p>
        </w:tc>
      </w:tr>
      <w:tr w:rsidR="00EB2BD8" w:rsidRPr="00EB2BD8" w14:paraId="2104D3C2" w14:textId="77777777">
        <w:trPr>
          <w:trHeight w:val="381"/>
        </w:trPr>
        <w:tc>
          <w:tcPr>
            <w:tcW w:w="1984" w:type="dxa"/>
            <w:tcBorders>
              <w:top w:val="single" w:sz="2" w:space="0" w:color="000000"/>
              <w:bottom w:val="single" w:sz="2" w:space="0" w:color="000000"/>
            </w:tcBorders>
          </w:tcPr>
          <w:p w14:paraId="4C45C30F" w14:textId="77777777" w:rsidR="00084F36" w:rsidRPr="00EB2BD8" w:rsidRDefault="00EB2BD8">
            <w:pPr>
              <w:pStyle w:val="TableParagraph"/>
              <w:spacing w:before="116"/>
              <w:ind w:left="113"/>
              <w:rPr>
                <w:sz w:val="16"/>
              </w:rPr>
            </w:pPr>
            <w:r w:rsidRPr="00EB2BD8">
              <w:rPr>
                <w:spacing w:val="-2"/>
                <w:sz w:val="16"/>
              </w:rPr>
              <w:t>Return</w:t>
            </w:r>
            <w:r w:rsidRPr="00EB2BD8">
              <w:rPr>
                <w:spacing w:val="-11"/>
                <w:sz w:val="16"/>
              </w:rPr>
              <w:t xml:space="preserve"> </w:t>
            </w:r>
            <w:r w:rsidRPr="00EB2BD8">
              <w:rPr>
                <w:spacing w:val="-2"/>
                <w:sz w:val="16"/>
              </w:rPr>
              <w:t>to</w:t>
            </w:r>
            <w:r w:rsidRPr="00EB2BD8">
              <w:rPr>
                <w:spacing w:val="-10"/>
                <w:sz w:val="16"/>
              </w:rPr>
              <w:t xml:space="preserve"> </w:t>
            </w:r>
            <w:r w:rsidRPr="00EB2BD8">
              <w:rPr>
                <w:spacing w:val="-2"/>
                <w:sz w:val="16"/>
              </w:rPr>
              <w:t>work</w:t>
            </w:r>
            <w:r w:rsidRPr="00EB2BD8">
              <w:rPr>
                <w:spacing w:val="-11"/>
                <w:sz w:val="16"/>
              </w:rPr>
              <w:t xml:space="preserve"> </w:t>
            </w:r>
            <w:r w:rsidRPr="00EB2BD8">
              <w:rPr>
                <w:spacing w:val="-2"/>
                <w:sz w:val="16"/>
              </w:rPr>
              <w:t>(RTW)</w:t>
            </w:r>
          </w:p>
        </w:tc>
        <w:tc>
          <w:tcPr>
            <w:tcW w:w="4875" w:type="dxa"/>
            <w:tcBorders>
              <w:top w:val="single" w:sz="2" w:space="0" w:color="000000"/>
              <w:bottom w:val="single" w:sz="2" w:space="0" w:color="000000"/>
            </w:tcBorders>
          </w:tcPr>
          <w:p w14:paraId="2B58F8AF" w14:textId="77777777" w:rsidR="00084F36" w:rsidRPr="00EB2BD8" w:rsidRDefault="00EB2BD8">
            <w:pPr>
              <w:pStyle w:val="TableParagraph"/>
              <w:spacing w:before="116"/>
              <w:ind w:left="113"/>
              <w:rPr>
                <w:sz w:val="16"/>
              </w:rPr>
            </w:pPr>
            <w:r w:rsidRPr="00EB2BD8">
              <w:rPr>
                <w:sz w:val="16"/>
              </w:rPr>
              <w:t>Percentage</w:t>
            </w:r>
            <w:r w:rsidRPr="00EB2BD8">
              <w:rPr>
                <w:spacing w:val="-12"/>
                <w:sz w:val="16"/>
              </w:rPr>
              <w:t xml:space="preserve"> </w:t>
            </w:r>
            <w:r w:rsidRPr="00EB2BD8">
              <w:rPr>
                <w:sz w:val="16"/>
              </w:rPr>
              <w:t>of</w:t>
            </w:r>
            <w:r w:rsidRPr="00EB2BD8">
              <w:rPr>
                <w:spacing w:val="-11"/>
                <w:sz w:val="16"/>
              </w:rPr>
              <w:t xml:space="preserve"> </w:t>
            </w:r>
            <w:r w:rsidRPr="00EB2BD8">
              <w:rPr>
                <w:sz w:val="16"/>
              </w:rPr>
              <w:t>claims</w:t>
            </w:r>
            <w:r w:rsidRPr="00EB2BD8">
              <w:rPr>
                <w:spacing w:val="-11"/>
                <w:sz w:val="16"/>
              </w:rPr>
              <w:t xml:space="preserve"> </w:t>
            </w:r>
            <w:r w:rsidRPr="00EB2BD8">
              <w:rPr>
                <w:sz w:val="16"/>
              </w:rPr>
              <w:t>with</w:t>
            </w:r>
            <w:r w:rsidRPr="00EB2BD8">
              <w:rPr>
                <w:spacing w:val="-12"/>
                <w:sz w:val="16"/>
              </w:rPr>
              <w:t xml:space="preserve"> </w:t>
            </w:r>
            <w:r w:rsidRPr="00EB2BD8">
              <w:rPr>
                <w:sz w:val="16"/>
              </w:rPr>
              <w:t>RTW</w:t>
            </w:r>
            <w:r w:rsidRPr="00EB2BD8">
              <w:rPr>
                <w:spacing w:val="-11"/>
                <w:sz w:val="16"/>
              </w:rPr>
              <w:t xml:space="preserve"> </w:t>
            </w:r>
            <w:r w:rsidRPr="00EB2BD8">
              <w:rPr>
                <w:sz w:val="16"/>
              </w:rPr>
              <w:t>plan</w:t>
            </w:r>
            <w:r w:rsidRPr="00EB2BD8">
              <w:rPr>
                <w:spacing w:val="-11"/>
                <w:sz w:val="16"/>
              </w:rPr>
              <w:t xml:space="preserve"> </w:t>
            </w:r>
            <w:r w:rsidRPr="00EB2BD8">
              <w:rPr>
                <w:sz w:val="16"/>
              </w:rPr>
              <w:t>&lt;30</w:t>
            </w:r>
            <w:r w:rsidRPr="00EB2BD8">
              <w:rPr>
                <w:spacing w:val="-12"/>
                <w:sz w:val="16"/>
              </w:rPr>
              <w:t xml:space="preserve"> </w:t>
            </w:r>
            <w:r w:rsidRPr="00EB2BD8">
              <w:rPr>
                <w:spacing w:val="-4"/>
                <w:sz w:val="16"/>
              </w:rPr>
              <w:t>days</w:t>
            </w:r>
          </w:p>
        </w:tc>
        <w:tc>
          <w:tcPr>
            <w:tcW w:w="1705" w:type="dxa"/>
            <w:tcBorders>
              <w:top w:val="single" w:sz="2" w:space="0" w:color="000000"/>
              <w:bottom w:val="single" w:sz="2" w:space="0" w:color="000000"/>
            </w:tcBorders>
          </w:tcPr>
          <w:p w14:paraId="0F490A13" w14:textId="77777777" w:rsidR="00084F36" w:rsidRPr="00EB2BD8" w:rsidRDefault="00EB2BD8">
            <w:pPr>
              <w:pStyle w:val="TableParagraph"/>
              <w:spacing w:before="116"/>
              <w:ind w:right="171"/>
              <w:jc w:val="right"/>
              <w:rPr>
                <w:sz w:val="16"/>
              </w:rPr>
            </w:pPr>
            <w:r w:rsidRPr="00EB2BD8">
              <w:rPr>
                <w:w w:val="105"/>
                <w:sz w:val="16"/>
              </w:rPr>
              <w:t>0</w:t>
            </w:r>
          </w:p>
        </w:tc>
        <w:tc>
          <w:tcPr>
            <w:tcW w:w="1640" w:type="dxa"/>
            <w:tcBorders>
              <w:top w:val="single" w:sz="2" w:space="0" w:color="000000"/>
              <w:bottom w:val="single" w:sz="2" w:space="0" w:color="000000"/>
            </w:tcBorders>
          </w:tcPr>
          <w:p w14:paraId="00142CBC" w14:textId="77777777" w:rsidR="00084F36" w:rsidRPr="00EB2BD8" w:rsidRDefault="00EB2BD8">
            <w:pPr>
              <w:pStyle w:val="TableParagraph"/>
              <w:spacing w:before="116"/>
              <w:ind w:right="111"/>
              <w:jc w:val="right"/>
              <w:rPr>
                <w:sz w:val="16"/>
              </w:rPr>
            </w:pPr>
            <w:r w:rsidRPr="00EB2BD8">
              <w:rPr>
                <w:spacing w:val="-5"/>
                <w:sz w:val="16"/>
              </w:rPr>
              <w:t>50</w:t>
            </w:r>
          </w:p>
        </w:tc>
      </w:tr>
      <w:tr w:rsidR="00EB2BD8" w:rsidRPr="00EB2BD8" w14:paraId="3C57E139" w14:textId="77777777">
        <w:trPr>
          <w:trHeight w:val="326"/>
        </w:trPr>
        <w:tc>
          <w:tcPr>
            <w:tcW w:w="1984" w:type="dxa"/>
            <w:tcBorders>
              <w:top w:val="single" w:sz="2" w:space="0" w:color="000000"/>
            </w:tcBorders>
          </w:tcPr>
          <w:p w14:paraId="513C7A71" w14:textId="77777777" w:rsidR="00084F36" w:rsidRPr="00EB2BD8" w:rsidRDefault="00EB2BD8">
            <w:pPr>
              <w:pStyle w:val="TableParagraph"/>
              <w:spacing w:before="116"/>
              <w:ind w:left="113"/>
              <w:rPr>
                <w:sz w:val="16"/>
              </w:rPr>
            </w:pPr>
            <w:r w:rsidRPr="00EB2BD8">
              <w:rPr>
                <w:spacing w:val="-2"/>
                <w:w w:val="105"/>
                <w:sz w:val="16"/>
              </w:rPr>
              <w:t>Management</w:t>
            </w:r>
          </w:p>
        </w:tc>
        <w:tc>
          <w:tcPr>
            <w:tcW w:w="4875" w:type="dxa"/>
            <w:tcBorders>
              <w:top w:val="single" w:sz="2" w:space="0" w:color="000000"/>
            </w:tcBorders>
          </w:tcPr>
          <w:p w14:paraId="183214AC" w14:textId="77777777" w:rsidR="00084F36" w:rsidRPr="00EB2BD8" w:rsidRDefault="00EB2BD8">
            <w:pPr>
              <w:pStyle w:val="TableParagraph"/>
              <w:spacing w:before="116"/>
              <w:ind w:left="114"/>
              <w:rPr>
                <w:sz w:val="16"/>
              </w:rPr>
            </w:pPr>
            <w:r w:rsidRPr="00EB2BD8">
              <w:rPr>
                <w:sz w:val="16"/>
              </w:rPr>
              <w:t>Evidence</w:t>
            </w:r>
            <w:r w:rsidRPr="00EB2BD8">
              <w:rPr>
                <w:spacing w:val="-11"/>
                <w:sz w:val="16"/>
              </w:rPr>
              <w:t xml:space="preserve"> </w:t>
            </w:r>
            <w:r w:rsidRPr="00EB2BD8">
              <w:rPr>
                <w:sz w:val="16"/>
              </w:rPr>
              <w:t>of</w:t>
            </w:r>
            <w:r w:rsidRPr="00EB2BD8">
              <w:rPr>
                <w:spacing w:val="-11"/>
                <w:sz w:val="16"/>
              </w:rPr>
              <w:t xml:space="preserve"> </w:t>
            </w:r>
            <w:r w:rsidRPr="00EB2BD8">
              <w:rPr>
                <w:sz w:val="16"/>
              </w:rPr>
              <w:t>OHS</w:t>
            </w:r>
            <w:r w:rsidRPr="00EB2BD8">
              <w:rPr>
                <w:spacing w:val="-11"/>
                <w:sz w:val="16"/>
              </w:rPr>
              <w:t xml:space="preserve"> </w:t>
            </w:r>
            <w:r w:rsidRPr="00EB2BD8">
              <w:rPr>
                <w:sz w:val="16"/>
              </w:rPr>
              <w:t>policy</w:t>
            </w:r>
            <w:r w:rsidRPr="00EB2BD8">
              <w:rPr>
                <w:spacing w:val="-10"/>
                <w:sz w:val="16"/>
              </w:rPr>
              <w:t xml:space="preserve"> </w:t>
            </w:r>
            <w:r w:rsidRPr="00EB2BD8">
              <w:rPr>
                <w:sz w:val="16"/>
              </w:rPr>
              <w:t>statement,</w:t>
            </w:r>
            <w:r w:rsidRPr="00EB2BD8">
              <w:rPr>
                <w:spacing w:val="-11"/>
                <w:sz w:val="16"/>
              </w:rPr>
              <w:t xml:space="preserve"> </w:t>
            </w:r>
            <w:r w:rsidRPr="00EB2BD8">
              <w:rPr>
                <w:sz w:val="16"/>
              </w:rPr>
              <w:t>OHS</w:t>
            </w:r>
            <w:r w:rsidRPr="00EB2BD8">
              <w:rPr>
                <w:spacing w:val="-11"/>
                <w:sz w:val="16"/>
              </w:rPr>
              <w:t xml:space="preserve"> </w:t>
            </w:r>
            <w:r w:rsidRPr="00EB2BD8">
              <w:rPr>
                <w:sz w:val="16"/>
              </w:rPr>
              <w:t>objectives,</w:t>
            </w:r>
            <w:r w:rsidRPr="00EB2BD8">
              <w:rPr>
                <w:spacing w:val="-11"/>
                <w:sz w:val="16"/>
              </w:rPr>
              <w:t xml:space="preserve"> </w:t>
            </w:r>
            <w:r w:rsidRPr="00EB2BD8">
              <w:rPr>
                <w:spacing w:val="-2"/>
                <w:sz w:val="16"/>
              </w:rPr>
              <w:t>regular</w:t>
            </w:r>
          </w:p>
        </w:tc>
        <w:tc>
          <w:tcPr>
            <w:tcW w:w="1705" w:type="dxa"/>
            <w:tcBorders>
              <w:top w:val="single" w:sz="2" w:space="0" w:color="000000"/>
            </w:tcBorders>
          </w:tcPr>
          <w:p w14:paraId="544FD93C" w14:textId="77777777" w:rsidR="00084F36" w:rsidRPr="00EB2BD8" w:rsidRDefault="00EB2BD8">
            <w:pPr>
              <w:pStyle w:val="TableParagraph"/>
              <w:spacing w:before="116"/>
              <w:ind w:right="171"/>
              <w:jc w:val="right"/>
              <w:rPr>
                <w:sz w:val="16"/>
              </w:rPr>
            </w:pPr>
            <w:r w:rsidRPr="00EB2BD8">
              <w:rPr>
                <w:sz w:val="16"/>
              </w:rPr>
              <w:t>Evidence</w:t>
            </w:r>
            <w:r w:rsidRPr="00EB2BD8">
              <w:rPr>
                <w:spacing w:val="-2"/>
                <w:sz w:val="16"/>
              </w:rPr>
              <w:t xml:space="preserve"> </w:t>
            </w:r>
            <w:r w:rsidRPr="00EB2BD8">
              <w:rPr>
                <w:sz w:val="16"/>
              </w:rPr>
              <w:t>in</w:t>
            </w:r>
            <w:r w:rsidRPr="00EB2BD8">
              <w:rPr>
                <w:spacing w:val="-1"/>
                <w:sz w:val="16"/>
              </w:rPr>
              <w:t xml:space="preserve"> </w:t>
            </w:r>
            <w:r w:rsidRPr="00EB2BD8">
              <w:rPr>
                <w:spacing w:val="-2"/>
                <w:sz w:val="16"/>
              </w:rPr>
              <w:t>place</w:t>
            </w:r>
          </w:p>
        </w:tc>
        <w:tc>
          <w:tcPr>
            <w:tcW w:w="1640" w:type="dxa"/>
            <w:tcBorders>
              <w:top w:val="single" w:sz="2" w:space="0" w:color="000000"/>
            </w:tcBorders>
          </w:tcPr>
          <w:p w14:paraId="164DA8F8" w14:textId="77777777" w:rsidR="00084F36" w:rsidRPr="00EB2BD8" w:rsidRDefault="00EB2BD8">
            <w:pPr>
              <w:pStyle w:val="TableParagraph"/>
              <w:spacing w:before="116"/>
              <w:ind w:right="111"/>
              <w:jc w:val="right"/>
              <w:rPr>
                <w:sz w:val="16"/>
              </w:rPr>
            </w:pPr>
            <w:r w:rsidRPr="00EB2BD8">
              <w:rPr>
                <w:sz w:val="16"/>
              </w:rPr>
              <w:t>Evidence</w:t>
            </w:r>
            <w:r w:rsidRPr="00EB2BD8">
              <w:rPr>
                <w:spacing w:val="-2"/>
                <w:sz w:val="16"/>
              </w:rPr>
              <w:t xml:space="preserve"> </w:t>
            </w:r>
            <w:r w:rsidRPr="00EB2BD8">
              <w:rPr>
                <w:sz w:val="16"/>
              </w:rPr>
              <w:t>in</w:t>
            </w:r>
            <w:r w:rsidRPr="00EB2BD8">
              <w:rPr>
                <w:spacing w:val="-1"/>
                <w:sz w:val="16"/>
              </w:rPr>
              <w:t xml:space="preserve"> </w:t>
            </w:r>
            <w:r w:rsidRPr="00EB2BD8">
              <w:rPr>
                <w:spacing w:val="-2"/>
                <w:sz w:val="16"/>
              </w:rPr>
              <w:t>place</w:t>
            </w:r>
          </w:p>
        </w:tc>
      </w:tr>
      <w:tr w:rsidR="00EB2BD8" w:rsidRPr="00EB2BD8" w14:paraId="7B638CAB" w14:textId="77777777">
        <w:trPr>
          <w:trHeight w:val="229"/>
        </w:trPr>
        <w:tc>
          <w:tcPr>
            <w:tcW w:w="1984" w:type="dxa"/>
          </w:tcPr>
          <w:p w14:paraId="12682B37" w14:textId="77777777" w:rsidR="00084F36" w:rsidRPr="00EB2BD8" w:rsidRDefault="00EB2BD8">
            <w:pPr>
              <w:pStyle w:val="TableParagraph"/>
              <w:spacing w:before="19"/>
              <w:ind w:left="113"/>
              <w:rPr>
                <w:sz w:val="16"/>
              </w:rPr>
            </w:pPr>
            <w:r w:rsidRPr="00EB2BD8">
              <w:rPr>
                <w:spacing w:val="-2"/>
                <w:sz w:val="16"/>
              </w:rPr>
              <w:t>commitment</w:t>
            </w:r>
          </w:p>
        </w:tc>
        <w:tc>
          <w:tcPr>
            <w:tcW w:w="4875" w:type="dxa"/>
          </w:tcPr>
          <w:p w14:paraId="414E98D9" w14:textId="77777777" w:rsidR="00084F36" w:rsidRPr="00EB2BD8" w:rsidRDefault="00EB2BD8">
            <w:pPr>
              <w:pStyle w:val="TableParagraph"/>
              <w:spacing w:before="19"/>
              <w:ind w:left="114"/>
              <w:rPr>
                <w:sz w:val="16"/>
              </w:rPr>
            </w:pPr>
            <w:r w:rsidRPr="00EB2BD8">
              <w:rPr>
                <w:sz w:val="16"/>
              </w:rPr>
              <w:t>reporting</w:t>
            </w:r>
            <w:r w:rsidRPr="00EB2BD8">
              <w:rPr>
                <w:spacing w:val="-10"/>
                <w:sz w:val="16"/>
              </w:rPr>
              <w:t xml:space="preserve"> </w:t>
            </w:r>
            <w:r w:rsidRPr="00EB2BD8">
              <w:rPr>
                <w:sz w:val="16"/>
              </w:rPr>
              <w:t>to</w:t>
            </w:r>
            <w:r w:rsidRPr="00EB2BD8">
              <w:rPr>
                <w:spacing w:val="-9"/>
                <w:sz w:val="16"/>
              </w:rPr>
              <w:t xml:space="preserve"> </w:t>
            </w:r>
            <w:r w:rsidRPr="00EB2BD8">
              <w:rPr>
                <w:sz w:val="16"/>
              </w:rPr>
              <w:t>senior</w:t>
            </w:r>
            <w:r w:rsidRPr="00EB2BD8">
              <w:rPr>
                <w:spacing w:val="-10"/>
                <w:sz w:val="16"/>
              </w:rPr>
              <w:t xml:space="preserve"> </w:t>
            </w:r>
            <w:r w:rsidRPr="00EB2BD8">
              <w:rPr>
                <w:sz w:val="16"/>
              </w:rPr>
              <w:t>management</w:t>
            </w:r>
            <w:r w:rsidRPr="00EB2BD8">
              <w:rPr>
                <w:spacing w:val="-9"/>
                <w:sz w:val="16"/>
              </w:rPr>
              <w:t xml:space="preserve"> </w:t>
            </w:r>
            <w:r w:rsidRPr="00EB2BD8">
              <w:rPr>
                <w:sz w:val="16"/>
              </w:rPr>
              <w:t>of</w:t>
            </w:r>
            <w:r w:rsidRPr="00EB2BD8">
              <w:rPr>
                <w:spacing w:val="-9"/>
                <w:sz w:val="16"/>
              </w:rPr>
              <w:t xml:space="preserve"> </w:t>
            </w:r>
            <w:r w:rsidRPr="00EB2BD8">
              <w:rPr>
                <w:sz w:val="16"/>
              </w:rPr>
              <w:t>OHS,</w:t>
            </w:r>
            <w:r w:rsidRPr="00EB2BD8">
              <w:rPr>
                <w:spacing w:val="-10"/>
                <w:sz w:val="16"/>
              </w:rPr>
              <w:t xml:space="preserve"> </w:t>
            </w:r>
            <w:r w:rsidRPr="00EB2BD8">
              <w:rPr>
                <w:sz w:val="16"/>
              </w:rPr>
              <w:t>and</w:t>
            </w:r>
            <w:r w:rsidRPr="00EB2BD8">
              <w:rPr>
                <w:spacing w:val="-9"/>
                <w:sz w:val="16"/>
              </w:rPr>
              <w:t xml:space="preserve"> </w:t>
            </w:r>
            <w:r w:rsidRPr="00EB2BD8">
              <w:rPr>
                <w:sz w:val="16"/>
              </w:rPr>
              <w:t>OHS</w:t>
            </w:r>
            <w:r w:rsidRPr="00EB2BD8">
              <w:rPr>
                <w:spacing w:val="-9"/>
                <w:sz w:val="16"/>
              </w:rPr>
              <w:t xml:space="preserve"> </w:t>
            </w:r>
            <w:r w:rsidRPr="00EB2BD8">
              <w:rPr>
                <w:spacing w:val="-2"/>
                <w:sz w:val="16"/>
              </w:rPr>
              <w:t>plans</w:t>
            </w:r>
          </w:p>
        </w:tc>
        <w:tc>
          <w:tcPr>
            <w:tcW w:w="1705" w:type="dxa"/>
          </w:tcPr>
          <w:p w14:paraId="7F4A9BB0" w14:textId="77777777" w:rsidR="00084F36" w:rsidRPr="00EB2BD8" w:rsidRDefault="00084F36">
            <w:pPr>
              <w:pStyle w:val="TableParagraph"/>
              <w:rPr>
                <w:rFonts w:ascii="Times New Roman"/>
                <w:sz w:val="14"/>
              </w:rPr>
            </w:pPr>
          </w:p>
        </w:tc>
        <w:tc>
          <w:tcPr>
            <w:tcW w:w="1640" w:type="dxa"/>
          </w:tcPr>
          <w:p w14:paraId="6C43AD7D" w14:textId="77777777" w:rsidR="00084F36" w:rsidRPr="00EB2BD8" w:rsidRDefault="00084F36">
            <w:pPr>
              <w:pStyle w:val="TableParagraph"/>
              <w:rPr>
                <w:rFonts w:ascii="Times New Roman"/>
                <w:sz w:val="14"/>
              </w:rPr>
            </w:pPr>
          </w:p>
        </w:tc>
      </w:tr>
      <w:tr w:rsidR="00EB2BD8" w:rsidRPr="00EB2BD8" w14:paraId="28FB49EB" w14:textId="77777777">
        <w:trPr>
          <w:trHeight w:val="285"/>
        </w:trPr>
        <w:tc>
          <w:tcPr>
            <w:tcW w:w="1984" w:type="dxa"/>
          </w:tcPr>
          <w:p w14:paraId="35186A7E" w14:textId="77777777" w:rsidR="00084F36" w:rsidRPr="00EB2BD8" w:rsidRDefault="00084F36">
            <w:pPr>
              <w:pStyle w:val="TableParagraph"/>
              <w:rPr>
                <w:rFonts w:ascii="Times New Roman"/>
                <w:sz w:val="14"/>
              </w:rPr>
            </w:pPr>
          </w:p>
        </w:tc>
        <w:tc>
          <w:tcPr>
            <w:tcW w:w="4875" w:type="dxa"/>
            <w:tcBorders>
              <w:bottom w:val="single" w:sz="2" w:space="0" w:color="000000"/>
            </w:tcBorders>
          </w:tcPr>
          <w:p w14:paraId="04BA2CAF" w14:textId="77777777" w:rsidR="00084F36" w:rsidRPr="00EB2BD8" w:rsidRDefault="00EB2BD8">
            <w:pPr>
              <w:pStyle w:val="TableParagraph"/>
              <w:spacing w:before="19"/>
              <w:ind w:left="114"/>
              <w:rPr>
                <w:sz w:val="16"/>
              </w:rPr>
            </w:pPr>
            <w:r w:rsidRPr="00EB2BD8">
              <w:rPr>
                <w:sz w:val="16"/>
              </w:rPr>
              <w:t>(signed</w:t>
            </w:r>
            <w:r w:rsidRPr="00EB2BD8">
              <w:rPr>
                <w:spacing w:val="-6"/>
                <w:sz w:val="16"/>
              </w:rPr>
              <w:t xml:space="preserve"> </w:t>
            </w:r>
            <w:r w:rsidRPr="00EB2BD8">
              <w:rPr>
                <w:sz w:val="16"/>
              </w:rPr>
              <w:t>by</w:t>
            </w:r>
            <w:r w:rsidRPr="00EB2BD8">
              <w:rPr>
                <w:spacing w:val="-6"/>
                <w:sz w:val="16"/>
              </w:rPr>
              <w:t xml:space="preserve"> </w:t>
            </w:r>
            <w:r w:rsidRPr="00EB2BD8">
              <w:rPr>
                <w:sz w:val="16"/>
              </w:rPr>
              <w:t>CEO</w:t>
            </w:r>
            <w:r w:rsidRPr="00EB2BD8">
              <w:rPr>
                <w:spacing w:val="-6"/>
                <w:sz w:val="16"/>
              </w:rPr>
              <w:t xml:space="preserve"> </w:t>
            </w:r>
            <w:r w:rsidRPr="00EB2BD8">
              <w:rPr>
                <w:sz w:val="16"/>
              </w:rPr>
              <w:t>or</w:t>
            </w:r>
            <w:r w:rsidRPr="00EB2BD8">
              <w:rPr>
                <w:spacing w:val="-6"/>
                <w:sz w:val="16"/>
              </w:rPr>
              <w:t xml:space="preserve"> </w:t>
            </w:r>
            <w:r w:rsidRPr="00EB2BD8">
              <w:rPr>
                <w:spacing w:val="-2"/>
                <w:sz w:val="16"/>
              </w:rPr>
              <w:t>equivalent).30</w:t>
            </w:r>
          </w:p>
        </w:tc>
        <w:tc>
          <w:tcPr>
            <w:tcW w:w="1705" w:type="dxa"/>
            <w:tcBorders>
              <w:bottom w:val="single" w:sz="2" w:space="0" w:color="000000"/>
            </w:tcBorders>
          </w:tcPr>
          <w:p w14:paraId="7550DEEF" w14:textId="77777777" w:rsidR="00084F36" w:rsidRPr="00EB2BD8" w:rsidRDefault="00084F36">
            <w:pPr>
              <w:pStyle w:val="TableParagraph"/>
              <w:rPr>
                <w:rFonts w:ascii="Times New Roman"/>
                <w:sz w:val="14"/>
              </w:rPr>
            </w:pPr>
          </w:p>
        </w:tc>
        <w:tc>
          <w:tcPr>
            <w:tcW w:w="1640" w:type="dxa"/>
            <w:tcBorders>
              <w:bottom w:val="single" w:sz="2" w:space="0" w:color="000000"/>
            </w:tcBorders>
          </w:tcPr>
          <w:p w14:paraId="3A855ADB" w14:textId="77777777" w:rsidR="00084F36" w:rsidRPr="00EB2BD8" w:rsidRDefault="00084F36">
            <w:pPr>
              <w:pStyle w:val="TableParagraph"/>
              <w:rPr>
                <w:rFonts w:ascii="Times New Roman"/>
                <w:sz w:val="14"/>
              </w:rPr>
            </w:pPr>
          </w:p>
        </w:tc>
      </w:tr>
      <w:tr w:rsidR="00EB2BD8" w:rsidRPr="00EB2BD8" w14:paraId="402060D6" w14:textId="77777777">
        <w:trPr>
          <w:trHeight w:val="326"/>
        </w:trPr>
        <w:tc>
          <w:tcPr>
            <w:tcW w:w="1984" w:type="dxa"/>
          </w:tcPr>
          <w:p w14:paraId="4B4F855A" w14:textId="77777777" w:rsidR="00084F36" w:rsidRPr="00EB2BD8" w:rsidRDefault="00084F36">
            <w:pPr>
              <w:pStyle w:val="TableParagraph"/>
              <w:rPr>
                <w:rFonts w:ascii="Times New Roman"/>
                <w:sz w:val="14"/>
              </w:rPr>
            </w:pPr>
          </w:p>
        </w:tc>
        <w:tc>
          <w:tcPr>
            <w:tcW w:w="4875" w:type="dxa"/>
            <w:tcBorders>
              <w:top w:val="single" w:sz="2" w:space="0" w:color="000000"/>
            </w:tcBorders>
          </w:tcPr>
          <w:p w14:paraId="44BBA463" w14:textId="77777777" w:rsidR="00084F36" w:rsidRPr="00EB2BD8" w:rsidRDefault="00EB2BD8">
            <w:pPr>
              <w:pStyle w:val="TableParagraph"/>
              <w:spacing w:before="116"/>
              <w:ind w:left="114"/>
              <w:rPr>
                <w:sz w:val="16"/>
              </w:rPr>
            </w:pPr>
            <w:r w:rsidRPr="00EB2BD8">
              <w:rPr>
                <w:sz w:val="16"/>
              </w:rPr>
              <w:t>Evidence</w:t>
            </w:r>
            <w:r w:rsidRPr="00EB2BD8">
              <w:rPr>
                <w:spacing w:val="-5"/>
                <w:sz w:val="16"/>
              </w:rPr>
              <w:t xml:space="preserve"> </w:t>
            </w:r>
            <w:r w:rsidRPr="00EB2BD8">
              <w:rPr>
                <w:sz w:val="16"/>
              </w:rPr>
              <w:t>of</w:t>
            </w:r>
            <w:r w:rsidRPr="00EB2BD8">
              <w:rPr>
                <w:spacing w:val="-5"/>
                <w:sz w:val="16"/>
              </w:rPr>
              <w:t xml:space="preserve"> </w:t>
            </w:r>
            <w:r w:rsidRPr="00EB2BD8">
              <w:rPr>
                <w:sz w:val="16"/>
              </w:rPr>
              <w:t>OHS</w:t>
            </w:r>
            <w:r w:rsidRPr="00EB2BD8">
              <w:rPr>
                <w:spacing w:val="-5"/>
                <w:sz w:val="16"/>
              </w:rPr>
              <w:t xml:space="preserve"> </w:t>
            </w:r>
            <w:r w:rsidRPr="00EB2BD8">
              <w:rPr>
                <w:sz w:val="16"/>
              </w:rPr>
              <w:t>criteria</w:t>
            </w:r>
            <w:r w:rsidRPr="00EB2BD8">
              <w:rPr>
                <w:spacing w:val="-5"/>
                <w:sz w:val="16"/>
              </w:rPr>
              <w:t xml:space="preserve"> </w:t>
            </w:r>
            <w:r w:rsidRPr="00EB2BD8">
              <w:rPr>
                <w:sz w:val="16"/>
              </w:rPr>
              <w:t>in</w:t>
            </w:r>
            <w:r w:rsidRPr="00EB2BD8">
              <w:rPr>
                <w:spacing w:val="-5"/>
                <w:sz w:val="16"/>
              </w:rPr>
              <w:t xml:space="preserve"> </w:t>
            </w:r>
            <w:r w:rsidRPr="00EB2BD8">
              <w:rPr>
                <w:sz w:val="16"/>
              </w:rPr>
              <w:t>purchasing</w:t>
            </w:r>
            <w:r w:rsidRPr="00EB2BD8">
              <w:rPr>
                <w:spacing w:val="-5"/>
                <w:sz w:val="16"/>
              </w:rPr>
              <w:t xml:space="preserve"> </w:t>
            </w:r>
            <w:r w:rsidRPr="00EB2BD8">
              <w:rPr>
                <w:spacing w:val="-2"/>
                <w:sz w:val="16"/>
              </w:rPr>
              <w:t>guidelines</w:t>
            </w:r>
          </w:p>
        </w:tc>
        <w:tc>
          <w:tcPr>
            <w:tcW w:w="1705" w:type="dxa"/>
            <w:tcBorders>
              <w:top w:val="single" w:sz="2" w:space="0" w:color="000000"/>
            </w:tcBorders>
          </w:tcPr>
          <w:p w14:paraId="6D9E49DF" w14:textId="77777777" w:rsidR="00084F36" w:rsidRPr="00EB2BD8" w:rsidRDefault="00EB2BD8">
            <w:pPr>
              <w:pStyle w:val="TableParagraph"/>
              <w:spacing w:before="116"/>
              <w:ind w:right="171"/>
              <w:jc w:val="right"/>
              <w:rPr>
                <w:sz w:val="16"/>
              </w:rPr>
            </w:pPr>
            <w:r w:rsidRPr="00EB2BD8">
              <w:rPr>
                <w:sz w:val="16"/>
              </w:rPr>
              <w:t>Evidence</w:t>
            </w:r>
            <w:r w:rsidRPr="00EB2BD8">
              <w:rPr>
                <w:spacing w:val="-2"/>
                <w:sz w:val="16"/>
              </w:rPr>
              <w:t xml:space="preserve"> </w:t>
            </w:r>
            <w:r w:rsidRPr="00EB2BD8">
              <w:rPr>
                <w:sz w:val="16"/>
              </w:rPr>
              <w:t>in</w:t>
            </w:r>
            <w:r w:rsidRPr="00EB2BD8">
              <w:rPr>
                <w:spacing w:val="-1"/>
                <w:sz w:val="16"/>
              </w:rPr>
              <w:t xml:space="preserve"> </w:t>
            </w:r>
            <w:r w:rsidRPr="00EB2BD8">
              <w:rPr>
                <w:spacing w:val="-2"/>
                <w:sz w:val="16"/>
              </w:rPr>
              <w:t>place</w:t>
            </w:r>
          </w:p>
        </w:tc>
        <w:tc>
          <w:tcPr>
            <w:tcW w:w="1640" w:type="dxa"/>
            <w:tcBorders>
              <w:top w:val="single" w:sz="2" w:space="0" w:color="000000"/>
            </w:tcBorders>
          </w:tcPr>
          <w:p w14:paraId="6C84DD08" w14:textId="77777777" w:rsidR="00084F36" w:rsidRPr="00EB2BD8" w:rsidRDefault="00EB2BD8">
            <w:pPr>
              <w:pStyle w:val="TableParagraph"/>
              <w:spacing w:before="116"/>
              <w:ind w:right="111"/>
              <w:jc w:val="right"/>
              <w:rPr>
                <w:sz w:val="16"/>
              </w:rPr>
            </w:pPr>
            <w:r w:rsidRPr="00EB2BD8">
              <w:rPr>
                <w:sz w:val="16"/>
              </w:rPr>
              <w:t>Evidence</w:t>
            </w:r>
            <w:r w:rsidRPr="00EB2BD8">
              <w:rPr>
                <w:spacing w:val="-2"/>
                <w:sz w:val="16"/>
              </w:rPr>
              <w:t xml:space="preserve"> </w:t>
            </w:r>
            <w:r w:rsidRPr="00EB2BD8">
              <w:rPr>
                <w:sz w:val="16"/>
              </w:rPr>
              <w:t>in</w:t>
            </w:r>
            <w:r w:rsidRPr="00EB2BD8">
              <w:rPr>
                <w:spacing w:val="-1"/>
                <w:sz w:val="16"/>
              </w:rPr>
              <w:t xml:space="preserve"> </w:t>
            </w:r>
            <w:r w:rsidRPr="00EB2BD8">
              <w:rPr>
                <w:spacing w:val="-2"/>
                <w:sz w:val="16"/>
              </w:rPr>
              <w:t>place</w:t>
            </w:r>
          </w:p>
        </w:tc>
      </w:tr>
      <w:tr w:rsidR="00EB2BD8" w:rsidRPr="00EB2BD8" w14:paraId="22D5205A" w14:textId="77777777">
        <w:trPr>
          <w:trHeight w:val="285"/>
        </w:trPr>
        <w:tc>
          <w:tcPr>
            <w:tcW w:w="1984" w:type="dxa"/>
            <w:tcBorders>
              <w:bottom w:val="single" w:sz="2" w:space="0" w:color="000000"/>
            </w:tcBorders>
          </w:tcPr>
          <w:p w14:paraId="352FBEFF" w14:textId="77777777" w:rsidR="00084F36" w:rsidRPr="00EB2BD8" w:rsidRDefault="00084F36">
            <w:pPr>
              <w:pStyle w:val="TableParagraph"/>
              <w:rPr>
                <w:rFonts w:ascii="Times New Roman"/>
                <w:sz w:val="14"/>
              </w:rPr>
            </w:pPr>
          </w:p>
        </w:tc>
        <w:tc>
          <w:tcPr>
            <w:tcW w:w="4875" w:type="dxa"/>
            <w:tcBorders>
              <w:bottom w:val="single" w:sz="2" w:space="0" w:color="000000"/>
            </w:tcBorders>
          </w:tcPr>
          <w:p w14:paraId="03BEFA88" w14:textId="77777777" w:rsidR="00084F36" w:rsidRPr="00EB2BD8" w:rsidRDefault="00EB2BD8">
            <w:pPr>
              <w:pStyle w:val="TableParagraph"/>
              <w:spacing w:before="19"/>
              <w:ind w:left="114"/>
              <w:rPr>
                <w:sz w:val="16"/>
              </w:rPr>
            </w:pPr>
            <w:r w:rsidRPr="00EB2BD8">
              <w:rPr>
                <w:spacing w:val="-2"/>
                <w:sz w:val="16"/>
              </w:rPr>
              <w:t>(including</w:t>
            </w:r>
            <w:r w:rsidRPr="00EB2BD8">
              <w:rPr>
                <w:spacing w:val="-3"/>
                <w:sz w:val="16"/>
              </w:rPr>
              <w:t xml:space="preserve"> </w:t>
            </w:r>
            <w:r w:rsidRPr="00EB2BD8">
              <w:rPr>
                <w:spacing w:val="-2"/>
                <w:sz w:val="16"/>
              </w:rPr>
              <w:t>goods,</w:t>
            </w:r>
            <w:r w:rsidRPr="00EB2BD8">
              <w:rPr>
                <w:spacing w:val="-3"/>
                <w:sz w:val="16"/>
              </w:rPr>
              <w:t xml:space="preserve"> </w:t>
            </w:r>
            <w:r w:rsidRPr="00EB2BD8">
              <w:rPr>
                <w:spacing w:val="-2"/>
                <w:sz w:val="16"/>
              </w:rPr>
              <w:t>services and</w:t>
            </w:r>
            <w:r w:rsidRPr="00EB2BD8">
              <w:rPr>
                <w:spacing w:val="-3"/>
                <w:sz w:val="16"/>
              </w:rPr>
              <w:t xml:space="preserve"> </w:t>
            </w:r>
            <w:r w:rsidRPr="00EB2BD8">
              <w:rPr>
                <w:spacing w:val="-2"/>
                <w:sz w:val="16"/>
              </w:rPr>
              <w:t>personnel)</w:t>
            </w:r>
          </w:p>
        </w:tc>
        <w:tc>
          <w:tcPr>
            <w:tcW w:w="1705" w:type="dxa"/>
            <w:tcBorders>
              <w:bottom w:val="single" w:sz="2" w:space="0" w:color="000000"/>
            </w:tcBorders>
          </w:tcPr>
          <w:p w14:paraId="509DE83B" w14:textId="77777777" w:rsidR="00084F36" w:rsidRPr="00EB2BD8" w:rsidRDefault="00084F36">
            <w:pPr>
              <w:pStyle w:val="TableParagraph"/>
              <w:rPr>
                <w:rFonts w:ascii="Times New Roman"/>
                <w:sz w:val="14"/>
              </w:rPr>
            </w:pPr>
          </w:p>
        </w:tc>
        <w:tc>
          <w:tcPr>
            <w:tcW w:w="1640" w:type="dxa"/>
            <w:tcBorders>
              <w:bottom w:val="single" w:sz="2" w:space="0" w:color="000000"/>
            </w:tcBorders>
          </w:tcPr>
          <w:p w14:paraId="54E2FB72" w14:textId="77777777" w:rsidR="00084F36" w:rsidRPr="00EB2BD8" w:rsidRDefault="00084F36">
            <w:pPr>
              <w:pStyle w:val="TableParagraph"/>
              <w:rPr>
                <w:rFonts w:ascii="Times New Roman"/>
                <w:sz w:val="14"/>
              </w:rPr>
            </w:pPr>
          </w:p>
        </w:tc>
      </w:tr>
      <w:tr w:rsidR="00EB2BD8" w:rsidRPr="00EB2BD8" w14:paraId="1B3E0490" w14:textId="77777777">
        <w:trPr>
          <w:trHeight w:val="326"/>
        </w:trPr>
        <w:tc>
          <w:tcPr>
            <w:tcW w:w="1984" w:type="dxa"/>
            <w:tcBorders>
              <w:top w:val="single" w:sz="2" w:space="0" w:color="000000"/>
            </w:tcBorders>
          </w:tcPr>
          <w:p w14:paraId="6546F1A9" w14:textId="77777777" w:rsidR="00084F36" w:rsidRPr="00EB2BD8" w:rsidRDefault="00EB2BD8">
            <w:pPr>
              <w:pStyle w:val="TableParagraph"/>
              <w:spacing w:before="116"/>
              <w:ind w:left="113"/>
              <w:rPr>
                <w:sz w:val="16"/>
              </w:rPr>
            </w:pPr>
            <w:r w:rsidRPr="00EB2BD8">
              <w:rPr>
                <w:spacing w:val="-2"/>
                <w:sz w:val="16"/>
              </w:rPr>
              <w:t>Consultation</w:t>
            </w:r>
            <w:r w:rsidRPr="00EB2BD8">
              <w:rPr>
                <w:spacing w:val="3"/>
                <w:sz w:val="16"/>
              </w:rPr>
              <w:t xml:space="preserve"> </w:t>
            </w:r>
            <w:r w:rsidRPr="00EB2BD8">
              <w:rPr>
                <w:spacing w:val="-5"/>
                <w:sz w:val="16"/>
              </w:rPr>
              <w:t>and</w:t>
            </w:r>
          </w:p>
        </w:tc>
        <w:tc>
          <w:tcPr>
            <w:tcW w:w="4875" w:type="dxa"/>
            <w:tcBorders>
              <w:top w:val="single" w:sz="2" w:space="0" w:color="000000"/>
            </w:tcBorders>
          </w:tcPr>
          <w:p w14:paraId="6DB1DFD8" w14:textId="77777777" w:rsidR="00084F36" w:rsidRPr="00EB2BD8" w:rsidRDefault="00EB2BD8">
            <w:pPr>
              <w:pStyle w:val="TableParagraph"/>
              <w:spacing w:before="116"/>
              <w:ind w:left="114"/>
              <w:rPr>
                <w:sz w:val="16"/>
              </w:rPr>
            </w:pPr>
            <w:r w:rsidRPr="00EB2BD8">
              <w:rPr>
                <w:sz w:val="16"/>
              </w:rPr>
              <w:t>Evidence</w:t>
            </w:r>
            <w:r w:rsidRPr="00EB2BD8">
              <w:rPr>
                <w:spacing w:val="-4"/>
                <w:sz w:val="16"/>
              </w:rPr>
              <w:t xml:space="preserve"> </w:t>
            </w:r>
            <w:r w:rsidRPr="00EB2BD8">
              <w:rPr>
                <w:sz w:val="16"/>
              </w:rPr>
              <w:t>of</w:t>
            </w:r>
            <w:r w:rsidRPr="00EB2BD8">
              <w:rPr>
                <w:spacing w:val="-3"/>
                <w:sz w:val="16"/>
              </w:rPr>
              <w:t xml:space="preserve"> </w:t>
            </w:r>
            <w:r w:rsidRPr="00EB2BD8">
              <w:rPr>
                <w:sz w:val="16"/>
              </w:rPr>
              <w:t>agreed</w:t>
            </w:r>
            <w:r w:rsidRPr="00EB2BD8">
              <w:rPr>
                <w:spacing w:val="-3"/>
                <w:sz w:val="16"/>
              </w:rPr>
              <w:t xml:space="preserve"> </w:t>
            </w:r>
            <w:r w:rsidRPr="00EB2BD8">
              <w:rPr>
                <w:sz w:val="16"/>
              </w:rPr>
              <w:t>structure</w:t>
            </w:r>
            <w:r w:rsidRPr="00EB2BD8">
              <w:rPr>
                <w:spacing w:val="-3"/>
                <w:sz w:val="16"/>
              </w:rPr>
              <w:t xml:space="preserve"> </w:t>
            </w:r>
            <w:r w:rsidRPr="00EB2BD8">
              <w:rPr>
                <w:spacing w:val="-5"/>
                <w:sz w:val="16"/>
              </w:rPr>
              <w:t>of:</w:t>
            </w:r>
          </w:p>
        </w:tc>
        <w:tc>
          <w:tcPr>
            <w:tcW w:w="1705" w:type="dxa"/>
            <w:tcBorders>
              <w:top w:val="single" w:sz="2" w:space="0" w:color="000000"/>
            </w:tcBorders>
          </w:tcPr>
          <w:p w14:paraId="5BE5608C" w14:textId="77777777" w:rsidR="00084F36" w:rsidRPr="00EB2BD8" w:rsidRDefault="00084F36">
            <w:pPr>
              <w:pStyle w:val="TableParagraph"/>
              <w:rPr>
                <w:rFonts w:ascii="Times New Roman"/>
                <w:sz w:val="14"/>
              </w:rPr>
            </w:pPr>
          </w:p>
        </w:tc>
        <w:tc>
          <w:tcPr>
            <w:tcW w:w="1640" w:type="dxa"/>
            <w:tcBorders>
              <w:top w:val="single" w:sz="2" w:space="0" w:color="000000"/>
            </w:tcBorders>
          </w:tcPr>
          <w:p w14:paraId="09B5B71A" w14:textId="77777777" w:rsidR="00084F36" w:rsidRPr="00EB2BD8" w:rsidRDefault="00084F36">
            <w:pPr>
              <w:pStyle w:val="TableParagraph"/>
              <w:rPr>
                <w:rFonts w:ascii="Times New Roman"/>
                <w:sz w:val="14"/>
              </w:rPr>
            </w:pPr>
          </w:p>
        </w:tc>
      </w:tr>
      <w:tr w:rsidR="00EB2BD8" w:rsidRPr="00EB2BD8" w14:paraId="6F8C674A" w14:textId="77777777">
        <w:trPr>
          <w:trHeight w:val="465"/>
        </w:trPr>
        <w:tc>
          <w:tcPr>
            <w:tcW w:w="1984" w:type="dxa"/>
          </w:tcPr>
          <w:p w14:paraId="3541D0EB" w14:textId="77777777" w:rsidR="00084F36" w:rsidRPr="00EB2BD8" w:rsidRDefault="00EB2BD8">
            <w:pPr>
              <w:pStyle w:val="TableParagraph"/>
              <w:spacing w:before="19"/>
              <w:ind w:left="113"/>
              <w:rPr>
                <w:sz w:val="16"/>
              </w:rPr>
            </w:pPr>
            <w:r w:rsidRPr="00EB2BD8">
              <w:rPr>
                <w:spacing w:val="-2"/>
                <w:sz w:val="16"/>
              </w:rPr>
              <w:t>participation</w:t>
            </w:r>
          </w:p>
        </w:tc>
        <w:tc>
          <w:tcPr>
            <w:tcW w:w="4875" w:type="dxa"/>
          </w:tcPr>
          <w:p w14:paraId="38F8A196" w14:textId="77777777" w:rsidR="00084F36" w:rsidRPr="00EB2BD8" w:rsidRDefault="00084F36">
            <w:pPr>
              <w:pStyle w:val="TableParagraph"/>
              <w:spacing w:before="11"/>
              <w:rPr>
                <w:sz w:val="14"/>
              </w:rPr>
            </w:pPr>
          </w:p>
          <w:p w14:paraId="355BC5A5" w14:textId="77777777" w:rsidR="00084F36" w:rsidRPr="00EB2BD8" w:rsidRDefault="00EB2BD8">
            <w:pPr>
              <w:pStyle w:val="TableParagraph"/>
              <w:numPr>
                <w:ilvl w:val="0"/>
                <w:numId w:val="14"/>
              </w:numPr>
              <w:tabs>
                <w:tab w:val="left" w:pos="474"/>
              </w:tabs>
              <w:rPr>
                <w:sz w:val="16"/>
              </w:rPr>
            </w:pPr>
            <w:r w:rsidRPr="00EB2BD8">
              <w:rPr>
                <w:spacing w:val="-2"/>
                <w:sz w:val="16"/>
              </w:rPr>
              <w:t>designated</w:t>
            </w:r>
            <w:r w:rsidRPr="00EB2BD8">
              <w:rPr>
                <w:spacing w:val="4"/>
                <w:sz w:val="16"/>
              </w:rPr>
              <w:t xml:space="preserve"> </w:t>
            </w:r>
            <w:r w:rsidRPr="00EB2BD8">
              <w:rPr>
                <w:spacing w:val="-2"/>
                <w:sz w:val="16"/>
              </w:rPr>
              <w:t>workgroups</w:t>
            </w:r>
            <w:r w:rsidRPr="00EB2BD8">
              <w:rPr>
                <w:spacing w:val="4"/>
                <w:sz w:val="16"/>
              </w:rPr>
              <w:t xml:space="preserve"> </w:t>
            </w:r>
            <w:r w:rsidRPr="00EB2BD8">
              <w:rPr>
                <w:spacing w:val="-2"/>
                <w:sz w:val="16"/>
              </w:rPr>
              <w:t>(DWGs)</w:t>
            </w:r>
          </w:p>
        </w:tc>
        <w:tc>
          <w:tcPr>
            <w:tcW w:w="1705" w:type="dxa"/>
          </w:tcPr>
          <w:p w14:paraId="1CBA0FBA" w14:textId="77777777" w:rsidR="00084F36" w:rsidRPr="00EB2BD8" w:rsidRDefault="00084F36">
            <w:pPr>
              <w:pStyle w:val="TableParagraph"/>
              <w:spacing w:before="11"/>
              <w:rPr>
                <w:sz w:val="14"/>
              </w:rPr>
            </w:pPr>
          </w:p>
          <w:p w14:paraId="28FA22AC" w14:textId="77777777" w:rsidR="00084F36" w:rsidRPr="00EB2BD8" w:rsidRDefault="00EB2BD8">
            <w:pPr>
              <w:pStyle w:val="TableParagraph"/>
              <w:ind w:right="171"/>
              <w:jc w:val="right"/>
              <w:rPr>
                <w:sz w:val="16"/>
              </w:rPr>
            </w:pPr>
            <w:r w:rsidRPr="00EB2BD8">
              <w:rPr>
                <w:sz w:val="16"/>
              </w:rPr>
              <w:t>Evidence</w:t>
            </w:r>
            <w:r w:rsidRPr="00EB2BD8">
              <w:rPr>
                <w:spacing w:val="-2"/>
                <w:sz w:val="16"/>
              </w:rPr>
              <w:t xml:space="preserve"> </w:t>
            </w:r>
            <w:r w:rsidRPr="00EB2BD8">
              <w:rPr>
                <w:sz w:val="16"/>
              </w:rPr>
              <w:t>in</w:t>
            </w:r>
            <w:r w:rsidRPr="00EB2BD8">
              <w:rPr>
                <w:spacing w:val="-1"/>
                <w:sz w:val="16"/>
              </w:rPr>
              <w:t xml:space="preserve"> </w:t>
            </w:r>
            <w:r w:rsidRPr="00EB2BD8">
              <w:rPr>
                <w:spacing w:val="-2"/>
                <w:sz w:val="16"/>
              </w:rPr>
              <w:t>place</w:t>
            </w:r>
          </w:p>
        </w:tc>
        <w:tc>
          <w:tcPr>
            <w:tcW w:w="1640" w:type="dxa"/>
          </w:tcPr>
          <w:p w14:paraId="1F10DAA2" w14:textId="77777777" w:rsidR="00084F36" w:rsidRPr="00EB2BD8" w:rsidRDefault="00084F36">
            <w:pPr>
              <w:pStyle w:val="TableParagraph"/>
              <w:spacing w:before="11"/>
              <w:rPr>
                <w:sz w:val="14"/>
              </w:rPr>
            </w:pPr>
          </w:p>
          <w:p w14:paraId="64A02A87" w14:textId="77777777" w:rsidR="00084F36" w:rsidRPr="00EB2BD8" w:rsidRDefault="00EB2BD8">
            <w:pPr>
              <w:pStyle w:val="TableParagraph"/>
              <w:ind w:right="110"/>
              <w:jc w:val="right"/>
              <w:rPr>
                <w:sz w:val="16"/>
              </w:rPr>
            </w:pPr>
            <w:r w:rsidRPr="00EB2BD8">
              <w:rPr>
                <w:sz w:val="16"/>
              </w:rPr>
              <w:t>Evidence</w:t>
            </w:r>
            <w:r w:rsidRPr="00EB2BD8">
              <w:rPr>
                <w:spacing w:val="-2"/>
                <w:sz w:val="16"/>
              </w:rPr>
              <w:t xml:space="preserve"> </w:t>
            </w:r>
            <w:r w:rsidRPr="00EB2BD8">
              <w:rPr>
                <w:sz w:val="16"/>
              </w:rPr>
              <w:t>in</w:t>
            </w:r>
            <w:r w:rsidRPr="00EB2BD8">
              <w:rPr>
                <w:spacing w:val="-1"/>
                <w:sz w:val="16"/>
              </w:rPr>
              <w:t xml:space="preserve"> </w:t>
            </w:r>
            <w:r w:rsidRPr="00EB2BD8">
              <w:rPr>
                <w:spacing w:val="-2"/>
                <w:sz w:val="16"/>
              </w:rPr>
              <w:t>place</w:t>
            </w:r>
          </w:p>
        </w:tc>
      </w:tr>
      <w:tr w:rsidR="00EB2BD8" w:rsidRPr="00EB2BD8" w14:paraId="02C052D7" w14:textId="77777777">
        <w:trPr>
          <w:trHeight w:val="386"/>
        </w:trPr>
        <w:tc>
          <w:tcPr>
            <w:tcW w:w="1984" w:type="dxa"/>
          </w:tcPr>
          <w:p w14:paraId="78637173" w14:textId="77777777" w:rsidR="00084F36" w:rsidRPr="00EB2BD8" w:rsidRDefault="00084F36">
            <w:pPr>
              <w:pStyle w:val="TableParagraph"/>
              <w:rPr>
                <w:rFonts w:ascii="Times New Roman"/>
                <w:sz w:val="14"/>
              </w:rPr>
            </w:pPr>
          </w:p>
        </w:tc>
        <w:tc>
          <w:tcPr>
            <w:tcW w:w="4875" w:type="dxa"/>
          </w:tcPr>
          <w:p w14:paraId="1A043474" w14:textId="77777777" w:rsidR="00084F36" w:rsidRPr="00EB2BD8" w:rsidRDefault="00EB2BD8">
            <w:pPr>
              <w:pStyle w:val="TableParagraph"/>
              <w:numPr>
                <w:ilvl w:val="0"/>
                <w:numId w:val="13"/>
              </w:numPr>
              <w:tabs>
                <w:tab w:val="left" w:pos="474"/>
              </w:tabs>
              <w:spacing w:before="98"/>
              <w:rPr>
                <w:sz w:val="16"/>
              </w:rPr>
            </w:pPr>
            <w:r w:rsidRPr="00EB2BD8">
              <w:rPr>
                <w:sz w:val="16"/>
              </w:rPr>
              <w:t>health</w:t>
            </w:r>
            <w:r w:rsidRPr="00EB2BD8">
              <w:rPr>
                <w:spacing w:val="-4"/>
                <w:sz w:val="16"/>
              </w:rPr>
              <w:t xml:space="preserve"> </w:t>
            </w:r>
            <w:r w:rsidRPr="00EB2BD8">
              <w:rPr>
                <w:sz w:val="16"/>
              </w:rPr>
              <w:t>and</w:t>
            </w:r>
            <w:r w:rsidRPr="00EB2BD8">
              <w:rPr>
                <w:spacing w:val="-3"/>
                <w:sz w:val="16"/>
              </w:rPr>
              <w:t xml:space="preserve"> </w:t>
            </w:r>
            <w:r w:rsidRPr="00EB2BD8">
              <w:rPr>
                <w:sz w:val="16"/>
              </w:rPr>
              <w:t>safety</w:t>
            </w:r>
            <w:r w:rsidRPr="00EB2BD8">
              <w:rPr>
                <w:spacing w:val="-3"/>
                <w:sz w:val="16"/>
              </w:rPr>
              <w:t xml:space="preserve"> </w:t>
            </w:r>
            <w:r w:rsidRPr="00EB2BD8">
              <w:rPr>
                <w:sz w:val="16"/>
              </w:rPr>
              <w:t>representatives</w:t>
            </w:r>
            <w:r w:rsidRPr="00EB2BD8">
              <w:rPr>
                <w:spacing w:val="-4"/>
                <w:sz w:val="16"/>
              </w:rPr>
              <w:t xml:space="preserve"> </w:t>
            </w:r>
            <w:r w:rsidRPr="00EB2BD8">
              <w:rPr>
                <w:spacing w:val="-2"/>
                <w:sz w:val="16"/>
              </w:rPr>
              <w:t>(HSRs)</w:t>
            </w:r>
          </w:p>
        </w:tc>
        <w:tc>
          <w:tcPr>
            <w:tcW w:w="1705" w:type="dxa"/>
          </w:tcPr>
          <w:p w14:paraId="2E5CFA5E" w14:textId="77777777" w:rsidR="00084F36" w:rsidRPr="00EB2BD8" w:rsidRDefault="00EB2BD8">
            <w:pPr>
              <w:pStyle w:val="TableParagraph"/>
              <w:spacing w:before="98"/>
              <w:ind w:right="171"/>
              <w:jc w:val="right"/>
              <w:rPr>
                <w:sz w:val="16"/>
              </w:rPr>
            </w:pPr>
            <w:r w:rsidRPr="00EB2BD8">
              <w:rPr>
                <w:sz w:val="16"/>
              </w:rPr>
              <w:t>Evidence</w:t>
            </w:r>
            <w:r w:rsidRPr="00EB2BD8">
              <w:rPr>
                <w:spacing w:val="-2"/>
                <w:sz w:val="16"/>
              </w:rPr>
              <w:t xml:space="preserve"> </w:t>
            </w:r>
            <w:r w:rsidRPr="00EB2BD8">
              <w:rPr>
                <w:sz w:val="16"/>
              </w:rPr>
              <w:t>in</w:t>
            </w:r>
            <w:r w:rsidRPr="00EB2BD8">
              <w:rPr>
                <w:spacing w:val="-1"/>
                <w:sz w:val="16"/>
              </w:rPr>
              <w:t xml:space="preserve"> </w:t>
            </w:r>
            <w:r w:rsidRPr="00EB2BD8">
              <w:rPr>
                <w:spacing w:val="-2"/>
                <w:sz w:val="16"/>
              </w:rPr>
              <w:t>place</w:t>
            </w:r>
          </w:p>
        </w:tc>
        <w:tc>
          <w:tcPr>
            <w:tcW w:w="1640" w:type="dxa"/>
          </w:tcPr>
          <w:p w14:paraId="3FFDB2C7" w14:textId="77777777" w:rsidR="00084F36" w:rsidRPr="00EB2BD8" w:rsidRDefault="00EB2BD8">
            <w:pPr>
              <w:pStyle w:val="TableParagraph"/>
              <w:spacing w:before="98"/>
              <w:ind w:right="110"/>
              <w:jc w:val="right"/>
              <w:rPr>
                <w:sz w:val="16"/>
              </w:rPr>
            </w:pPr>
            <w:r w:rsidRPr="00EB2BD8">
              <w:rPr>
                <w:sz w:val="16"/>
              </w:rPr>
              <w:t>Evidence</w:t>
            </w:r>
            <w:r w:rsidRPr="00EB2BD8">
              <w:rPr>
                <w:spacing w:val="-2"/>
                <w:sz w:val="16"/>
              </w:rPr>
              <w:t xml:space="preserve"> </w:t>
            </w:r>
            <w:r w:rsidRPr="00EB2BD8">
              <w:rPr>
                <w:sz w:val="16"/>
              </w:rPr>
              <w:t>in</w:t>
            </w:r>
            <w:r w:rsidRPr="00EB2BD8">
              <w:rPr>
                <w:spacing w:val="-1"/>
                <w:sz w:val="16"/>
              </w:rPr>
              <w:t xml:space="preserve"> </w:t>
            </w:r>
            <w:r w:rsidRPr="00EB2BD8">
              <w:rPr>
                <w:spacing w:val="-2"/>
                <w:sz w:val="16"/>
              </w:rPr>
              <w:t>place</w:t>
            </w:r>
          </w:p>
        </w:tc>
      </w:tr>
      <w:tr w:rsidR="00EB2BD8" w:rsidRPr="00EB2BD8" w14:paraId="22A906E7" w14:textId="77777777">
        <w:trPr>
          <w:trHeight w:val="363"/>
        </w:trPr>
        <w:tc>
          <w:tcPr>
            <w:tcW w:w="1984" w:type="dxa"/>
          </w:tcPr>
          <w:p w14:paraId="2736ADB7" w14:textId="77777777" w:rsidR="00084F36" w:rsidRPr="00EB2BD8" w:rsidRDefault="00084F36">
            <w:pPr>
              <w:pStyle w:val="TableParagraph"/>
              <w:rPr>
                <w:rFonts w:ascii="Times New Roman"/>
                <w:sz w:val="14"/>
              </w:rPr>
            </w:pPr>
          </w:p>
        </w:tc>
        <w:tc>
          <w:tcPr>
            <w:tcW w:w="4875" w:type="dxa"/>
            <w:tcBorders>
              <w:bottom w:val="single" w:sz="2" w:space="0" w:color="000000"/>
            </w:tcBorders>
          </w:tcPr>
          <w:p w14:paraId="77B31461" w14:textId="77777777" w:rsidR="00084F36" w:rsidRPr="00EB2BD8" w:rsidRDefault="00EB2BD8">
            <w:pPr>
              <w:pStyle w:val="TableParagraph"/>
              <w:numPr>
                <w:ilvl w:val="0"/>
                <w:numId w:val="12"/>
              </w:numPr>
              <w:tabs>
                <w:tab w:val="left" w:pos="474"/>
              </w:tabs>
              <w:spacing w:before="98"/>
              <w:rPr>
                <w:sz w:val="16"/>
              </w:rPr>
            </w:pPr>
            <w:r w:rsidRPr="00EB2BD8">
              <w:rPr>
                <w:spacing w:val="-2"/>
                <w:sz w:val="16"/>
              </w:rPr>
              <w:t>issue</w:t>
            </w:r>
            <w:r w:rsidRPr="00EB2BD8">
              <w:rPr>
                <w:spacing w:val="-3"/>
                <w:sz w:val="16"/>
              </w:rPr>
              <w:t xml:space="preserve"> </w:t>
            </w:r>
            <w:r w:rsidRPr="00EB2BD8">
              <w:rPr>
                <w:spacing w:val="-2"/>
                <w:sz w:val="16"/>
              </w:rPr>
              <w:t>resolution</w:t>
            </w:r>
            <w:r w:rsidRPr="00EB2BD8">
              <w:rPr>
                <w:spacing w:val="-3"/>
                <w:sz w:val="16"/>
              </w:rPr>
              <w:t xml:space="preserve"> </w:t>
            </w:r>
            <w:r w:rsidRPr="00EB2BD8">
              <w:rPr>
                <w:spacing w:val="-2"/>
                <w:sz w:val="16"/>
              </w:rPr>
              <w:t>procedures</w:t>
            </w:r>
            <w:r w:rsidRPr="00EB2BD8">
              <w:rPr>
                <w:spacing w:val="-3"/>
                <w:sz w:val="16"/>
              </w:rPr>
              <w:t xml:space="preserve"> </w:t>
            </w:r>
            <w:r w:rsidRPr="00EB2BD8">
              <w:rPr>
                <w:spacing w:val="-2"/>
                <w:sz w:val="16"/>
              </w:rPr>
              <w:t>(IRPs)</w:t>
            </w:r>
          </w:p>
        </w:tc>
        <w:tc>
          <w:tcPr>
            <w:tcW w:w="1705" w:type="dxa"/>
            <w:tcBorders>
              <w:bottom w:val="single" w:sz="2" w:space="0" w:color="000000"/>
            </w:tcBorders>
          </w:tcPr>
          <w:p w14:paraId="2C21C859" w14:textId="77777777" w:rsidR="00084F36" w:rsidRPr="00EB2BD8" w:rsidRDefault="00EB2BD8">
            <w:pPr>
              <w:pStyle w:val="TableParagraph"/>
              <w:spacing w:before="98"/>
              <w:ind w:right="171"/>
              <w:jc w:val="right"/>
              <w:rPr>
                <w:sz w:val="16"/>
              </w:rPr>
            </w:pPr>
            <w:r w:rsidRPr="00EB2BD8">
              <w:rPr>
                <w:sz w:val="16"/>
              </w:rPr>
              <w:t>Evidence</w:t>
            </w:r>
            <w:r w:rsidRPr="00EB2BD8">
              <w:rPr>
                <w:spacing w:val="-2"/>
                <w:sz w:val="16"/>
              </w:rPr>
              <w:t xml:space="preserve"> </w:t>
            </w:r>
            <w:r w:rsidRPr="00EB2BD8">
              <w:rPr>
                <w:sz w:val="16"/>
              </w:rPr>
              <w:t>in</w:t>
            </w:r>
            <w:r w:rsidRPr="00EB2BD8">
              <w:rPr>
                <w:spacing w:val="-1"/>
                <w:sz w:val="16"/>
              </w:rPr>
              <w:t xml:space="preserve"> </w:t>
            </w:r>
            <w:r w:rsidRPr="00EB2BD8">
              <w:rPr>
                <w:spacing w:val="-2"/>
                <w:sz w:val="16"/>
              </w:rPr>
              <w:t>place</w:t>
            </w:r>
          </w:p>
        </w:tc>
        <w:tc>
          <w:tcPr>
            <w:tcW w:w="1640" w:type="dxa"/>
            <w:tcBorders>
              <w:bottom w:val="single" w:sz="2" w:space="0" w:color="000000"/>
            </w:tcBorders>
          </w:tcPr>
          <w:p w14:paraId="270FC298" w14:textId="77777777" w:rsidR="00084F36" w:rsidRPr="00EB2BD8" w:rsidRDefault="00EB2BD8">
            <w:pPr>
              <w:pStyle w:val="TableParagraph"/>
              <w:spacing w:before="98"/>
              <w:ind w:right="110"/>
              <w:jc w:val="right"/>
              <w:rPr>
                <w:sz w:val="16"/>
              </w:rPr>
            </w:pPr>
            <w:r w:rsidRPr="00EB2BD8">
              <w:rPr>
                <w:sz w:val="16"/>
              </w:rPr>
              <w:t>Evidence</w:t>
            </w:r>
            <w:r w:rsidRPr="00EB2BD8">
              <w:rPr>
                <w:spacing w:val="-2"/>
                <w:sz w:val="16"/>
              </w:rPr>
              <w:t xml:space="preserve"> </w:t>
            </w:r>
            <w:r w:rsidRPr="00EB2BD8">
              <w:rPr>
                <w:sz w:val="16"/>
              </w:rPr>
              <w:t>in</w:t>
            </w:r>
            <w:r w:rsidRPr="00EB2BD8">
              <w:rPr>
                <w:spacing w:val="-1"/>
                <w:sz w:val="16"/>
              </w:rPr>
              <w:t xml:space="preserve"> </w:t>
            </w:r>
            <w:r w:rsidRPr="00EB2BD8">
              <w:rPr>
                <w:spacing w:val="-2"/>
                <w:sz w:val="16"/>
              </w:rPr>
              <w:t>place</w:t>
            </w:r>
          </w:p>
        </w:tc>
      </w:tr>
      <w:tr w:rsidR="00EB2BD8" w:rsidRPr="00EB2BD8" w14:paraId="4386C38F" w14:textId="77777777">
        <w:trPr>
          <w:trHeight w:val="381"/>
        </w:trPr>
        <w:tc>
          <w:tcPr>
            <w:tcW w:w="1984" w:type="dxa"/>
          </w:tcPr>
          <w:p w14:paraId="497AA2E9" w14:textId="77777777" w:rsidR="00084F36" w:rsidRPr="00EB2BD8" w:rsidRDefault="00084F36">
            <w:pPr>
              <w:pStyle w:val="TableParagraph"/>
              <w:rPr>
                <w:rFonts w:ascii="Times New Roman"/>
                <w:sz w:val="14"/>
              </w:rPr>
            </w:pPr>
          </w:p>
        </w:tc>
        <w:tc>
          <w:tcPr>
            <w:tcW w:w="4875" w:type="dxa"/>
            <w:tcBorders>
              <w:top w:val="single" w:sz="2" w:space="0" w:color="000000"/>
              <w:bottom w:val="single" w:sz="2" w:space="0" w:color="000000"/>
            </w:tcBorders>
          </w:tcPr>
          <w:p w14:paraId="00C89A11" w14:textId="77777777" w:rsidR="00084F36" w:rsidRPr="00EB2BD8" w:rsidRDefault="00EB2BD8">
            <w:pPr>
              <w:pStyle w:val="TableParagraph"/>
              <w:spacing w:before="115"/>
              <w:ind w:left="114"/>
              <w:rPr>
                <w:sz w:val="16"/>
              </w:rPr>
            </w:pPr>
            <w:r w:rsidRPr="00EB2BD8">
              <w:rPr>
                <w:sz w:val="16"/>
              </w:rPr>
              <w:t>Compliance</w:t>
            </w:r>
            <w:r w:rsidRPr="00EB2BD8">
              <w:rPr>
                <w:spacing w:val="-10"/>
                <w:sz w:val="16"/>
              </w:rPr>
              <w:t xml:space="preserve"> </w:t>
            </w:r>
            <w:r w:rsidRPr="00EB2BD8">
              <w:rPr>
                <w:sz w:val="16"/>
              </w:rPr>
              <w:t>with</w:t>
            </w:r>
            <w:r w:rsidRPr="00EB2BD8">
              <w:rPr>
                <w:spacing w:val="-9"/>
                <w:sz w:val="16"/>
              </w:rPr>
              <w:t xml:space="preserve"> </w:t>
            </w:r>
            <w:r w:rsidRPr="00EB2BD8">
              <w:rPr>
                <w:sz w:val="16"/>
              </w:rPr>
              <w:t>agreed</w:t>
            </w:r>
            <w:r w:rsidRPr="00EB2BD8">
              <w:rPr>
                <w:spacing w:val="-9"/>
                <w:sz w:val="16"/>
              </w:rPr>
              <w:t xml:space="preserve"> </w:t>
            </w:r>
            <w:r w:rsidRPr="00EB2BD8">
              <w:rPr>
                <w:sz w:val="16"/>
              </w:rPr>
              <w:t>structure</w:t>
            </w:r>
            <w:r w:rsidRPr="00EB2BD8">
              <w:rPr>
                <w:spacing w:val="-9"/>
                <w:sz w:val="16"/>
              </w:rPr>
              <w:t xml:space="preserve"> </w:t>
            </w:r>
            <w:r w:rsidRPr="00EB2BD8">
              <w:rPr>
                <w:sz w:val="16"/>
              </w:rPr>
              <w:t>on</w:t>
            </w:r>
            <w:r w:rsidRPr="00EB2BD8">
              <w:rPr>
                <w:spacing w:val="-9"/>
                <w:sz w:val="16"/>
              </w:rPr>
              <w:t xml:space="preserve"> </w:t>
            </w:r>
            <w:r w:rsidRPr="00EB2BD8">
              <w:rPr>
                <w:sz w:val="16"/>
              </w:rPr>
              <w:t>DWGs,</w:t>
            </w:r>
            <w:r w:rsidRPr="00EB2BD8">
              <w:rPr>
                <w:spacing w:val="-10"/>
                <w:sz w:val="16"/>
              </w:rPr>
              <w:t xml:space="preserve"> </w:t>
            </w:r>
            <w:r w:rsidRPr="00EB2BD8">
              <w:rPr>
                <w:sz w:val="16"/>
              </w:rPr>
              <w:t>HSRs,</w:t>
            </w:r>
            <w:r w:rsidRPr="00EB2BD8">
              <w:rPr>
                <w:spacing w:val="-9"/>
                <w:sz w:val="16"/>
              </w:rPr>
              <w:t xml:space="preserve"> </w:t>
            </w:r>
            <w:r w:rsidRPr="00EB2BD8">
              <w:rPr>
                <w:sz w:val="16"/>
              </w:rPr>
              <w:t>and</w:t>
            </w:r>
            <w:r w:rsidRPr="00EB2BD8">
              <w:rPr>
                <w:spacing w:val="-9"/>
                <w:sz w:val="16"/>
              </w:rPr>
              <w:t xml:space="preserve"> </w:t>
            </w:r>
            <w:r w:rsidRPr="00EB2BD8">
              <w:rPr>
                <w:spacing w:val="-4"/>
                <w:sz w:val="16"/>
              </w:rPr>
              <w:t>IRPs</w:t>
            </w:r>
          </w:p>
        </w:tc>
        <w:tc>
          <w:tcPr>
            <w:tcW w:w="1705" w:type="dxa"/>
            <w:tcBorders>
              <w:top w:val="single" w:sz="2" w:space="0" w:color="000000"/>
              <w:bottom w:val="single" w:sz="2" w:space="0" w:color="000000"/>
            </w:tcBorders>
          </w:tcPr>
          <w:p w14:paraId="2ACB345A" w14:textId="77777777" w:rsidR="00084F36" w:rsidRPr="00EB2BD8" w:rsidRDefault="00EB2BD8">
            <w:pPr>
              <w:pStyle w:val="TableParagraph"/>
              <w:spacing w:before="115"/>
              <w:ind w:right="171"/>
              <w:jc w:val="right"/>
              <w:rPr>
                <w:sz w:val="16"/>
              </w:rPr>
            </w:pPr>
            <w:r w:rsidRPr="00EB2BD8">
              <w:rPr>
                <w:sz w:val="16"/>
              </w:rPr>
              <w:t>Evidence</w:t>
            </w:r>
            <w:r w:rsidRPr="00EB2BD8">
              <w:rPr>
                <w:spacing w:val="-2"/>
                <w:sz w:val="16"/>
              </w:rPr>
              <w:t xml:space="preserve"> </w:t>
            </w:r>
            <w:r w:rsidRPr="00EB2BD8">
              <w:rPr>
                <w:sz w:val="16"/>
              </w:rPr>
              <w:t>in</w:t>
            </w:r>
            <w:r w:rsidRPr="00EB2BD8">
              <w:rPr>
                <w:spacing w:val="-1"/>
                <w:sz w:val="16"/>
              </w:rPr>
              <w:t xml:space="preserve"> </w:t>
            </w:r>
            <w:r w:rsidRPr="00EB2BD8">
              <w:rPr>
                <w:spacing w:val="-2"/>
                <w:sz w:val="16"/>
              </w:rPr>
              <w:t>place</w:t>
            </w:r>
          </w:p>
        </w:tc>
        <w:tc>
          <w:tcPr>
            <w:tcW w:w="1640" w:type="dxa"/>
            <w:tcBorders>
              <w:top w:val="single" w:sz="2" w:space="0" w:color="000000"/>
              <w:bottom w:val="single" w:sz="2" w:space="0" w:color="000000"/>
            </w:tcBorders>
          </w:tcPr>
          <w:p w14:paraId="50A420AF" w14:textId="77777777" w:rsidR="00084F36" w:rsidRPr="00EB2BD8" w:rsidRDefault="00EB2BD8">
            <w:pPr>
              <w:pStyle w:val="TableParagraph"/>
              <w:spacing w:before="115"/>
              <w:ind w:right="110"/>
              <w:jc w:val="right"/>
              <w:rPr>
                <w:sz w:val="16"/>
              </w:rPr>
            </w:pPr>
            <w:r w:rsidRPr="00EB2BD8">
              <w:rPr>
                <w:sz w:val="16"/>
              </w:rPr>
              <w:t>Evidence</w:t>
            </w:r>
            <w:r w:rsidRPr="00EB2BD8">
              <w:rPr>
                <w:spacing w:val="-2"/>
                <w:sz w:val="16"/>
              </w:rPr>
              <w:t xml:space="preserve"> </w:t>
            </w:r>
            <w:r w:rsidRPr="00EB2BD8">
              <w:rPr>
                <w:sz w:val="16"/>
              </w:rPr>
              <w:t>in</w:t>
            </w:r>
            <w:r w:rsidRPr="00EB2BD8">
              <w:rPr>
                <w:spacing w:val="-1"/>
                <w:sz w:val="16"/>
              </w:rPr>
              <w:t xml:space="preserve"> </w:t>
            </w:r>
            <w:r w:rsidRPr="00EB2BD8">
              <w:rPr>
                <w:spacing w:val="-2"/>
                <w:sz w:val="16"/>
              </w:rPr>
              <w:t>place</w:t>
            </w:r>
          </w:p>
        </w:tc>
      </w:tr>
      <w:tr w:rsidR="00084F36" w:rsidRPr="00EB2BD8" w14:paraId="1E43A43D" w14:textId="77777777">
        <w:trPr>
          <w:trHeight w:val="381"/>
        </w:trPr>
        <w:tc>
          <w:tcPr>
            <w:tcW w:w="1984" w:type="dxa"/>
            <w:tcBorders>
              <w:bottom w:val="single" w:sz="2" w:space="0" w:color="000000"/>
            </w:tcBorders>
          </w:tcPr>
          <w:p w14:paraId="24092F59" w14:textId="77777777" w:rsidR="00084F36" w:rsidRPr="00EB2BD8" w:rsidRDefault="00084F36">
            <w:pPr>
              <w:pStyle w:val="TableParagraph"/>
              <w:rPr>
                <w:rFonts w:ascii="Times New Roman"/>
                <w:sz w:val="14"/>
              </w:rPr>
            </w:pPr>
          </w:p>
        </w:tc>
        <w:tc>
          <w:tcPr>
            <w:tcW w:w="4875" w:type="dxa"/>
            <w:tcBorders>
              <w:top w:val="single" w:sz="2" w:space="0" w:color="000000"/>
              <w:bottom w:val="single" w:sz="2" w:space="0" w:color="000000"/>
            </w:tcBorders>
          </w:tcPr>
          <w:p w14:paraId="0F6A407A" w14:textId="77777777" w:rsidR="00084F36" w:rsidRPr="00EB2BD8" w:rsidRDefault="00EB2BD8">
            <w:pPr>
              <w:pStyle w:val="TableParagraph"/>
              <w:spacing w:before="115"/>
              <w:ind w:left="114"/>
              <w:rPr>
                <w:sz w:val="16"/>
              </w:rPr>
            </w:pPr>
            <w:r w:rsidRPr="00EB2BD8">
              <w:rPr>
                <w:sz w:val="16"/>
              </w:rPr>
              <w:t>Number</w:t>
            </w:r>
            <w:r w:rsidRPr="00EB2BD8">
              <w:rPr>
                <w:spacing w:val="-7"/>
                <w:sz w:val="16"/>
              </w:rPr>
              <w:t xml:space="preserve"> </w:t>
            </w:r>
            <w:r w:rsidRPr="00EB2BD8">
              <w:rPr>
                <w:sz w:val="16"/>
              </w:rPr>
              <w:t>of</w:t>
            </w:r>
            <w:r w:rsidRPr="00EB2BD8">
              <w:rPr>
                <w:spacing w:val="-7"/>
                <w:sz w:val="16"/>
              </w:rPr>
              <w:t xml:space="preserve"> </w:t>
            </w:r>
            <w:r w:rsidRPr="00EB2BD8">
              <w:rPr>
                <w:sz w:val="16"/>
              </w:rPr>
              <w:t>OHS</w:t>
            </w:r>
            <w:r w:rsidRPr="00EB2BD8">
              <w:rPr>
                <w:spacing w:val="-7"/>
                <w:sz w:val="16"/>
              </w:rPr>
              <w:t xml:space="preserve"> </w:t>
            </w:r>
            <w:r w:rsidRPr="00EB2BD8">
              <w:rPr>
                <w:sz w:val="16"/>
              </w:rPr>
              <w:t>Committee</w:t>
            </w:r>
            <w:r w:rsidRPr="00EB2BD8">
              <w:rPr>
                <w:spacing w:val="-7"/>
                <w:sz w:val="16"/>
              </w:rPr>
              <w:t xml:space="preserve"> </w:t>
            </w:r>
            <w:r w:rsidRPr="00EB2BD8">
              <w:rPr>
                <w:spacing w:val="-2"/>
                <w:sz w:val="16"/>
              </w:rPr>
              <w:t>meetings</w:t>
            </w:r>
          </w:p>
        </w:tc>
        <w:tc>
          <w:tcPr>
            <w:tcW w:w="1705" w:type="dxa"/>
            <w:tcBorders>
              <w:top w:val="single" w:sz="2" w:space="0" w:color="000000"/>
              <w:bottom w:val="single" w:sz="2" w:space="0" w:color="000000"/>
            </w:tcBorders>
          </w:tcPr>
          <w:p w14:paraId="7A38454F" w14:textId="77777777" w:rsidR="00084F36" w:rsidRPr="00EB2BD8" w:rsidRDefault="00EB2BD8">
            <w:pPr>
              <w:pStyle w:val="TableParagraph"/>
              <w:spacing w:before="115"/>
              <w:ind w:right="170"/>
              <w:jc w:val="right"/>
              <w:rPr>
                <w:sz w:val="16"/>
              </w:rPr>
            </w:pPr>
            <w:r w:rsidRPr="00EB2BD8">
              <w:rPr>
                <w:w w:val="92"/>
                <w:sz w:val="16"/>
              </w:rPr>
              <w:t>8</w:t>
            </w:r>
          </w:p>
        </w:tc>
        <w:tc>
          <w:tcPr>
            <w:tcW w:w="1640" w:type="dxa"/>
            <w:tcBorders>
              <w:top w:val="single" w:sz="2" w:space="0" w:color="000000"/>
              <w:bottom w:val="single" w:sz="2" w:space="0" w:color="000000"/>
            </w:tcBorders>
          </w:tcPr>
          <w:p w14:paraId="5BC7E25B" w14:textId="77777777" w:rsidR="00084F36" w:rsidRPr="00EB2BD8" w:rsidRDefault="00EB2BD8">
            <w:pPr>
              <w:pStyle w:val="TableParagraph"/>
              <w:spacing w:before="115"/>
              <w:ind w:right="110"/>
              <w:jc w:val="right"/>
              <w:rPr>
                <w:sz w:val="16"/>
              </w:rPr>
            </w:pPr>
            <w:r w:rsidRPr="00EB2BD8">
              <w:rPr>
                <w:w w:val="98"/>
                <w:sz w:val="16"/>
              </w:rPr>
              <w:t>4</w:t>
            </w:r>
          </w:p>
        </w:tc>
      </w:tr>
    </w:tbl>
    <w:p w14:paraId="24007035" w14:textId="77777777" w:rsidR="00084F36" w:rsidRPr="00EB2BD8" w:rsidRDefault="00084F36">
      <w:pPr>
        <w:pStyle w:val="BodyText"/>
        <w:rPr>
          <w:sz w:val="22"/>
        </w:rPr>
      </w:pPr>
    </w:p>
    <w:p w14:paraId="3FDD7600" w14:textId="590BF085" w:rsidR="00084F36" w:rsidRPr="00EB2BD8" w:rsidRDefault="00EB2BD8">
      <w:pPr>
        <w:spacing w:before="145" w:line="261" w:lineRule="auto"/>
        <w:ind w:left="850" w:right="1428"/>
        <w:rPr>
          <w:i/>
          <w:sz w:val="14"/>
        </w:rPr>
      </w:pPr>
      <w:r w:rsidRPr="00EB2BD8">
        <w:rPr>
          <w:i/>
          <w:sz w:val="14"/>
        </w:rPr>
        <w:t>25</w:t>
      </w:r>
      <w:r w:rsidR="00D0600F">
        <w:rPr>
          <w:i/>
          <w:sz w:val="14"/>
        </w:rPr>
        <w:t xml:space="preserve">- </w:t>
      </w:r>
      <w:r w:rsidRPr="00EB2BD8">
        <w:rPr>
          <w:i/>
          <w:sz w:val="14"/>
        </w:rPr>
        <w:t>Data</w:t>
      </w:r>
      <w:r w:rsidRPr="00EB2BD8">
        <w:rPr>
          <w:i/>
          <w:spacing w:val="-12"/>
          <w:sz w:val="14"/>
        </w:rPr>
        <w:t xml:space="preserve"> </w:t>
      </w:r>
      <w:r w:rsidRPr="00EB2BD8">
        <w:rPr>
          <w:i/>
          <w:sz w:val="14"/>
        </w:rPr>
        <w:t>sourced</w:t>
      </w:r>
      <w:r w:rsidRPr="00EB2BD8">
        <w:rPr>
          <w:i/>
          <w:spacing w:val="-11"/>
          <w:sz w:val="14"/>
        </w:rPr>
        <w:t xml:space="preserve"> </w:t>
      </w:r>
      <w:r w:rsidRPr="00EB2BD8">
        <w:rPr>
          <w:i/>
          <w:sz w:val="14"/>
        </w:rPr>
        <w:t>from</w:t>
      </w:r>
      <w:r w:rsidRPr="00EB2BD8">
        <w:rPr>
          <w:i/>
          <w:spacing w:val="-11"/>
          <w:sz w:val="14"/>
        </w:rPr>
        <w:t xml:space="preserve"> </w:t>
      </w:r>
      <w:r w:rsidRPr="00EB2BD8">
        <w:rPr>
          <w:i/>
          <w:sz w:val="14"/>
        </w:rPr>
        <w:t>the</w:t>
      </w:r>
      <w:r w:rsidRPr="00EB2BD8">
        <w:rPr>
          <w:i/>
          <w:spacing w:val="-11"/>
          <w:sz w:val="14"/>
        </w:rPr>
        <w:t xml:space="preserve"> </w:t>
      </w:r>
      <w:r w:rsidRPr="00EB2BD8">
        <w:rPr>
          <w:i/>
          <w:sz w:val="14"/>
        </w:rPr>
        <w:t>VBA's</w:t>
      </w:r>
      <w:r w:rsidRPr="00EB2BD8">
        <w:rPr>
          <w:i/>
          <w:spacing w:val="-11"/>
          <w:sz w:val="14"/>
        </w:rPr>
        <w:t xml:space="preserve"> </w:t>
      </w:r>
      <w:r w:rsidRPr="00EB2BD8">
        <w:rPr>
          <w:i/>
          <w:sz w:val="14"/>
        </w:rPr>
        <w:t>WorkCover</w:t>
      </w:r>
      <w:r w:rsidRPr="00EB2BD8">
        <w:rPr>
          <w:i/>
          <w:spacing w:val="-11"/>
          <w:sz w:val="14"/>
        </w:rPr>
        <w:t xml:space="preserve"> </w:t>
      </w:r>
      <w:r w:rsidRPr="00EB2BD8">
        <w:rPr>
          <w:i/>
          <w:sz w:val="14"/>
        </w:rPr>
        <w:t>insurer,</w:t>
      </w:r>
      <w:r w:rsidRPr="00EB2BD8">
        <w:rPr>
          <w:i/>
          <w:spacing w:val="-11"/>
          <w:sz w:val="14"/>
        </w:rPr>
        <w:t xml:space="preserve"> </w:t>
      </w:r>
      <w:r w:rsidRPr="00EB2BD8">
        <w:rPr>
          <w:i/>
          <w:sz w:val="14"/>
        </w:rPr>
        <w:t>Allianz,</w:t>
      </w:r>
      <w:r w:rsidRPr="00EB2BD8">
        <w:rPr>
          <w:i/>
          <w:spacing w:val="-11"/>
          <w:sz w:val="14"/>
        </w:rPr>
        <w:t xml:space="preserve"> </w:t>
      </w:r>
      <w:r w:rsidRPr="00EB2BD8">
        <w:rPr>
          <w:i/>
          <w:sz w:val="14"/>
        </w:rPr>
        <w:t>on</w:t>
      </w:r>
      <w:r w:rsidRPr="00EB2BD8">
        <w:rPr>
          <w:i/>
          <w:spacing w:val="-11"/>
          <w:sz w:val="14"/>
        </w:rPr>
        <w:t xml:space="preserve"> </w:t>
      </w:r>
      <w:r w:rsidRPr="00EB2BD8">
        <w:rPr>
          <w:i/>
          <w:sz w:val="14"/>
        </w:rPr>
        <w:t>behalf</w:t>
      </w:r>
      <w:r w:rsidRPr="00EB2BD8">
        <w:rPr>
          <w:i/>
          <w:spacing w:val="-11"/>
          <w:sz w:val="14"/>
        </w:rPr>
        <w:t xml:space="preserve"> </w:t>
      </w:r>
      <w:r w:rsidRPr="00EB2BD8">
        <w:rPr>
          <w:i/>
          <w:sz w:val="14"/>
        </w:rPr>
        <w:t>of</w:t>
      </w:r>
      <w:r w:rsidRPr="00EB2BD8">
        <w:rPr>
          <w:i/>
          <w:spacing w:val="-11"/>
          <w:sz w:val="14"/>
        </w:rPr>
        <w:t xml:space="preserve"> </w:t>
      </w:r>
      <w:r w:rsidRPr="00EB2BD8">
        <w:rPr>
          <w:i/>
          <w:sz w:val="14"/>
        </w:rPr>
        <w:t>the</w:t>
      </w:r>
      <w:r w:rsidRPr="00EB2BD8">
        <w:rPr>
          <w:i/>
          <w:spacing w:val="-11"/>
          <w:sz w:val="14"/>
        </w:rPr>
        <w:t xml:space="preserve"> </w:t>
      </w:r>
      <w:r w:rsidRPr="00EB2BD8">
        <w:rPr>
          <w:i/>
          <w:sz w:val="14"/>
        </w:rPr>
        <w:t>Victorian</w:t>
      </w:r>
      <w:r w:rsidRPr="00EB2BD8">
        <w:rPr>
          <w:i/>
          <w:spacing w:val="-11"/>
          <w:sz w:val="14"/>
        </w:rPr>
        <w:t xml:space="preserve"> </w:t>
      </w:r>
      <w:r w:rsidRPr="00EB2BD8">
        <w:rPr>
          <w:i/>
          <w:sz w:val="14"/>
        </w:rPr>
        <w:t>WorkCover</w:t>
      </w:r>
      <w:r w:rsidRPr="00EB2BD8">
        <w:rPr>
          <w:i/>
          <w:spacing w:val="-12"/>
          <w:sz w:val="14"/>
        </w:rPr>
        <w:t xml:space="preserve"> </w:t>
      </w:r>
      <w:r w:rsidRPr="00EB2BD8">
        <w:rPr>
          <w:i/>
          <w:sz w:val="14"/>
        </w:rPr>
        <w:t>Authority</w:t>
      </w:r>
      <w:r w:rsidRPr="00EB2BD8">
        <w:rPr>
          <w:i/>
          <w:spacing w:val="-11"/>
          <w:sz w:val="14"/>
        </w:rPr>
        <w:t xml:space="preserve"> </w:t>
      </w:r>
      <w:r w:rsidRPr="00EB2BD8">
        <w:rPr>
          <w:i/>
          <w:sz w:val="14"/>
        </w:rPr>
        <w:t>and</w:t>
      </w:r>
      <w:r w:rsidRPr="00EB2BD8">
        <w:rPr>
          <w:i/>
          <w:spacing w:val="-11"/>
          <w:sz w:val="14"/>
        </w:rPr>
        <w:t xml:space="preserve"> </w:t>
      </w:r>
      <w:r w:rsidRPr="00EB2BD8">
        <w:rPr>
          <w:i/>
          <w:sz w:val="14"/>
        </w:rPr>
        <w:t>refers</w:t>
      </w:r>
      <w:r w:rsidRPr="00EB2BD8">
        <w:rPr>
          <w:i/>
          <w:spacing w:val="-11"/>
          <w:sz w:val="14"/>
        </w:rPr>
        <w:t xml:space="preserve"> </w:t>
      </w:r>
      <w:r w:rsidRPr="00EB2BD8">
        <w:rPr>
          <w:i/>
          <w:sz w:val="14"/>
        </w:rPr>
        <w:t>to</w:t>
      </w:r>
      <w:r w:rsidRPr="00EB2BD8">
        <w:rPr>
          <w:i/>
          <w:spacing w:val="-11"/>
          <w:sz w:val="14"/>
        </w:rPr>
        <w:t xml:space="preserve"> </w:t>
      </w:r>
      <w:r w:rsidRPr="00EB2BD8">
        <w:rPr>
          <w:i/>
          <w:sz w:val="14"/>
        </w:rPr>
        <w:t>accepted</w:t>
      </w:r>
      <w:r w:rsidRPr="00EB2BD8">
        <w:rPr>
          <w:i/>
          <w:spacing w:val="-11"/>
          <w:sz w:val="14"/>
        </w:rPr>
        <w:t xml:space="preserve"> </w:t>
      </w:r>
      <w:r w:rsidRPr="00EB2BD8">
        <w:rPr>
          <w:i/>
          <w:sz w:val="14"/>
        </w:rPr>
        <w:t>claims</w:t>
      </w:r>
      <w:r w:rsidRPr="00EB2BD8">
        <w:rPr>
          <w:i/>
          <w:spacing w:val="-11"/>
          <w:sz w:val="14"/>
        </w:rPr>
        <w:t xml:space="preserve"> </w:t>
      </w:r>
      <w:r w:rsidRPr="00EB2BD8">
        <w:rPr>
          <w:i/>
          <w:sz w:val="14"/>
        </w:rPr>
        <w:t>only. 26</w:t>
      </w:r>
      <w:r w:rsidR="00D0600F">
        <w:rPr>
          <w:i/>
          <w:sz w:val="14"/>
        </w:rPr>
        <w:t xml:space="preserve">- </w:t>
      </w:r>
      <w:r w:rsidRPr="00EB2BD8">
        <w:rPr>
          <w:i/>
          <w:sz w:val="14"/>
        </w:rPr>
        <w:t>An</w:t>
      </w:r>
      <w:r w:rsidRPr="00EB2BD8">
        <w:rPr>
          <w:i/>
          <w:spacing w:val="-7"/>
          <w:sz w:val="14"/>
        </w:rPr>
        <w:t xml:space="preserve"> </w:t>
      </w:r>
      <w:r w:rsidRPr="00EB2BD8">
        <w:rPr>
          <w:i/>
          <w:sz w:val="14"/>
        </w:rPr>
        <w:t>increase</w:t>
      </w:r>
      <w:r w:rsidRPr="00EB2BD8">
        <w:rPr>
          <w:i/>
          <w:spacing w:val="-7"/>
          <w:sz w:val="14"/>
        </w:rPr>
        <w:t xml:space="preserve"> </w:t>
      </w:r>
      <w:r w:rsidRPr="00EB2BD8">
        <w:rPr>
          <w:i/>
          <w:sz w:val="14"/>
        </w:rPr>
        <w:t>in</w:t>
      </w:r>
      <w:r w:rsidRPr="00EB2BD8">
        <w:rPr>
          <w:i/>
          <w:spacing w:val="-7"/>
          <w:sz w:val="14"/>
        </w:rPr>
        <w:t xml:space="preserve"> </w:t>
      </w:r>
      <w:r w:rsidRPr="00EB2BD8">
        <w:rPr>
          <w:i/>
          <w:sz w:val="14"/>
        </w:rPr>
        <w:t>the</w:t>
      </w:r>
      <w:r w:rsidRPr="00EB2BD8">
        <w:rPr>
          <w:i/>
          <w:spacing w:val="-7"/>
          <w:sz w:val="14"/>
        </w:rPr>
        <w:t xml:space="preserve"> </w:t>
      </w:r>
      <w:r w:rsidRPr="00EB2BD8">
        <w:rPr>
          <w:i/>
          <w:sz w:val="14"/>
        </w:rPr>
        <w:t>number</w:t>
      </w:r>
      <w:r w:rsidRPr="00EB2BD8">
        <w:rPr>
          <w:i/>
          <w:spacing w:val="-7"/>
          <w:sz w:val="14"/>
        </w:rPr>
        <w:t xml:space="preserve"> </w:t>
      </w:r>
      <w:r w:rsidRPr="00EB2BD8">
        <w:rPr>
          <w:i/>
          <w:sz w:val="14"/>
        </w:rPr>
        <w:t>of</w:t>
      </w:r>
      <w:r w:rsidRPr="00EB2BD8">
        <w:rPr>
          <w:i/>
          <w:spacing w:val="-7"/>
          <w:sz w:val="14"/>
        </w:rPr>
        <w:t xml:space="preserve"> </w:t>
      </w:r>
      <w:r w:rsidRPr="00EB2BD8">
        <w:rPr>
          <w:i/>
          <w:sz w:val="14"/>
        </w:rPr>
        <w:t>incidents</w:t>
      </w:r>
      <w:r w:rsidRPr="00EB2BD8">
        <w:rPr>
          <w:i/>
          <w:spacing w:val="-7"/>
          <w:sz w:val="14"/>
        </w:rPr>
        <w:t xml:space="preserve"> </w:t>
      </w:r>
      <w:r w:rsidRPr="00EB2BD8">
        <w:rPr>
          <w:i/>
          <w:sz w:val="14"/>
        </w:rPr>
        <w:t>recorded</w:t>
      </w:r>
      <w:r w:rsidRPr="00EB2BD8">
        <w:rPr>
          <w:i/>
          <w:spacing w:val="-7"/>
          <w:sz w:val="14"/>
        </w:rPr>
        <w:t xml:space="preserve"> </w:t>
      </w:r>
      <w:r w:rsidRPr="00EB2BD8">
        <w:rPr>
          <w:i/>
          <w:sz w:val="14"/>
        </w:rPr>
        <w:t>can</w:t>
      </w:r>
      <w:r w:rsidRPr="00EB2BD8">
        <w:rPr>
          <w:i/>
          <w:spacing w:val="-7"/>
          <w:sz w:val="14"/>
        </w:rPr>
        <w:t xml:space="preserve"> </w:t>
      </w:r>
      <w:r w:rsidRPr="00EB2BD8">
        <w:rPr>
          <w:i/>
          <w:sz w:val="14"/>
        </w:rPr>
        <w:t>be</w:t>
      </w:r>
      <w:r w:rsidRPr="00EB2BD8">
        <w:rPr>
          <w:i/>
          <w:spacing w:val="-7"/>
          <w:sz w:val="14"/>
        </w:rPr>
        <w:t xml:space="preserve"> </w:t>
      </w:r>
      <w:r w:rsidRPr="00EB2BD8">
        <w:rPr>
          <w:i/>
          <w:sz w:val="14"/>
        </w:rPr>
        <w:t>attributed</w:t>
      </w:r>
      <w:r w:rsidRPr="00EB2BD8">
        <w:rPr>
          <w:i/>
          <w:spacing w:val="-7"/>
          <w:sz w:val="14"/>
        </w:rPr>
        <w:t xml:space="preserve"> </w:t>
      </w:r>
      <w:r w:rsidRPr="00EB2BD8">
        <w:rPr>
          <w:i/>
          <w:sz w:val="14"/>
        </w:rPr>
        <w:t>to</w:t>
      </w:r>
      <w:r w:rsidRPr="00EB2BD8">
        <w:rPr>
          <w:i/>
          <w:spacing w:val="-7"/>
          <w:sz w:val="14"/>
        </w:rPr>
        <w:t xml:space="preserve"> </w:t>
      </w:r>
      <w:r w:rsidRPr="00EB2BD8">
        <w:rPr>
          <w:i/>
          <w:sz w:val="14"/>
        </w:rPr>
        <w:t>the</w:t>
      </w:r>
      <w:r w:rsidRPr="00EB2BD8">
        <w:rPr>
          <w:i/>
          <w:spacing w:val="-7"/>
          <w:sz w:val="14"/>
        </w:rPr>
        <w:t xml:space="preserve"> </w:t>
      </w:r>
      <w:r w:rsidRPr="00EB2BD8">
        <w:rPr>
          <w:i/>
          <w:sz w:val="14"/>
        </w:rPr>
        <w:t>introduction</w:t>
      </w:r>
      <w:r w:rsidRPr="00EB2BD8">
        <w:rPr>
          <w:i/>
          <w:spacing w:val="-7"/>
          <w:sz w:val="14"/>
        </w:rPr>
        <w:t xml:space="preserve"> </w:t>
      </w:r>
      <w:r w:rsidRPr="00EB2BD8">
        <w:rPr>
          <w:i/>
          <w:sz w:val="14"/>
        </w:rPr>
        <w:t>of</w:t>
      </w:r>
      <w:r w:rsidRPr="00EB2BD8">
        <w:rPr>
          <w:i/>
          <w:spacing w:val="-7"/>
          <w:sz w:val="14"/>
        </w:rPr>
        <w:t xml:space="preserve"> </w:t>
      </w:r>
      <w:r w:rsidRPr="00EB2BD8">
        <w:rPr>
          <w:i/>
          <w:sz w:val="14"/>
        </w:rPr>
        <w:t>report</w:t>
      </w:r>
      <w:r w:rsidRPr="00EB2BD8">
        <w:rPr>
          <w:i/>
          <w:spacing w:val="-7"/>
          <w:sz w:val="14"/>
        </w:rPr>
        <w:t xml:space="preserve"> </w:t>
      </w:r>
      <w:r w:rsidRPr="00EB2BD8">
        <w:rPr>
          <w:i/>
          <w:sz w:val="14"/>
        </w:rPr>
        <w:t>mechanisms</w:t>
      </w:r>
      <w:r w:rsidRPr="00EB2BD8">
        <w:rPr>
          <w:i/>
          <w:spacing w:val="-7"/>
          <w:sz w:val="14"/>
        </w:rPr>
        <w:t xml:space="preserve"> </w:t>
      </w:r>
      <w:r w:rsidRPr="00EB2BD8">
        <w:rPr>
          <w:i/>
          <w:sz w:val="14"/>
        </w:rPr>
        <w:t>for</w:t>
      </w:r>
      <w:r w:rsidRPr="00EB2BD8">
        <w:rPr>
          <w:i/>
          <w:spacing w:val="-7"/>
          <w:sz w:val="14"/>
        </w:rPr>
        <w:t xml:space="preserve"> </w:t>
      </w:r>
      <w:r w:rsidRPr="00EB2BD8">
        <w:rPr>
          <w:i/>
          <w:sz w:val="14"/>
        </w:rPr>
        <w:t>injuries</w:t>
      </w:r>
      <w:r w:rsidRPr="00EB2BD8">
        <w:rPr>
          <w:i/>
          <w:spacing w:val="-7"/>
          <w:sz w:val="14"/>
        </w:rPr>
        <w:t xml:space="preserve"> </w:t>
      </w:r>
      <w:r w:rsidRPr="00EB2BD8">
        <w:rPr>
          <w:i/>
          <w:sz w:val="14"/>
        </w:rPr>
        <w:t>in</w:t>
      </w:r>
      <w:r w:rsidRPr="00EB2BD8">
        <w:rPr>
          <w:i/>
          <w:spacing w:val="-7"/>
          <w:sz w:val="14"/>
        </w:rPr>
        <w:t xml:space="preserve"> </w:t>
      </w:r>
      <w:r w:rsidRPr="00EB2BD8">
        <w:rPr>
          <w:i/>
          <w:sz w:val="14"/>
        </w:rPr>
        <w:t>2021–22.</w:t>
      </w:r>
    </w:p>
    <w:p w14:paraId="2E04A230" w14:textId="1FADB786" w:rsidR="00084F36" w:rsidRPr="00EB2BD8" w:rsidRDefault="00EB2BD8">
      <w:pPr>
        <w:spacing w:before="1"/>
        <w:ind w:left="850"/>
        <w:rPr>
          <w:i/>
          <w:sz w:val="14"/>
        </w:rPr>
      </w:pPr>
      <w:r w:rsidRPr="00EB2BD8">
        <w:rPr>
          <w:i/>
          <w:w w:val="80"/>
          <w:sz w:val="14"/>
        </w:rPr>
        <w:t>27</w:t>
      </w:r>
      <w:r w:rsidR="00D0600F">
        <w:rPr>
          <w:i/>
          <w:w w:val="80"/>
          <w:sz w:val="14"/>
        </w:rPr>
        <w:t xml:space="preserve">- </w:t>
      </w:r>
      <w:r w:rsidRPr="00EB2BD8">
        <w:rPr>
          <w:i/>
          <w:w w:val="80"/>
          <w:sz w:val="14"/>
        </w:rPr>
        <w:t>Data</w:t>
      </w:r>
      <w:r w:rsidRPr="00EB2BD8">
        <w:rPr>
          <w:i/>
          <w:spacing w:val="9"/>
          <w:sz w:val="14"/>
        </w:rPr>
        <w:t xml:space="preserve"> </w:t>
      </w:r>
      <w:r w:rsidRPr="00EB2BD8">
        <w:rPr>
          <w:i/>
          <w:spacing w:val="-2"/>
          <w:sz w:val="14"/>
        </w:rPr>
        <w:t>correction.</w:t>
      </w:r>
    </w:p>
    <w:p w14:paraId="02CECA28" w14:textId="53EE9827" w:rsidR="00084F36" w:rsidRPr="00EB2BD8" w:rsidRDefault="00EB2BD8">
      <w:pPr>
        <w:spacing w:before="15" w:line="261" w:lineRule="auto"/>
        <w:ind w:left="850" w:right="2121"/>
        <w:rPr>
          <w:i/>
          <w:sz w:val="14"/>
        </w:rPr>
      </w:pPr>
      <w:r w:rsidRPr="00EB2BD8">
        <w:rPr>
          <w:i/>
          <w:sz w:val="14"/>
        </w:rPr>
        <w:t>28</w:t>
      </w:r>
      <w:r w:rsidR="00D0600F">
        <w:rPr>
          <w:i/>
          <w:sz w:val="14"/>
        </w:rPr>
        <w:t xml:space="preserve">- </w:t>
      </w:r>
      <w:r w:rsidRPr="00EB2BD8">
        <w:rPr>
          <w:i/>
          <w:sz w:val="14"/>
        </w:rPr>
        <w:t>Incidents</w:t>
      </w:r>
      <w:r w:rsidRPr="00EB2BD8">
        <w:rPr>
          <w:i/>
          <w:spacing w:val="-6"/>
          <w:sz w:val="14"/>
        </w:rPr>
        <w:t xml:space="preserve"> </w:t>
      </w:r>
      <w:r w:rsidRPr="00EB2BD8">
        <w:rPr>
          <w:i/>
          <w:sz w:val="14"/>
        </w:rPr>
        <w:t>and</w:t>
      </w:r>
      <w:r w:rsidRPr="00EB2BD8">
        <w:rPr>
          <w:i/>
          <w:spacing w:val="-6"/>
          <w:sz w:val="14"/>
        </w:rPr>
        <w:t xml:space="preserve"> </w:t>
      </w:r>
      <w:r w:rsidRPr="00EB2BD8">
        <w:rPr>
          <w:i/>
          <w:sz w:val="14"/>
        </w:rPr>
        <w:t>injuries</w:t>
      </w:r>
      <w:r w:rsidRPr="00EB2BD8">
        <w:rPr>
          <w:i/>
          <w:spacing w:val="-6"/>
          <w:sz w:val="14"/>
        </w:rPr>
        <w:t xml:space="preserve"> </w:t>
      </w:r>
      <w:r w:rsidRPr="00EB2BD8">
        <w:rPr>
          <w:i/>
          <w:sz w:val="14"/>
        </w:rPr>
        <w:t>include</w:t>
      </w:r>
      <w:r w:rsidRPr="00EB2BD8">
        <w:rPr>
          <w:i/>
          <w:spacing w:val="-6"/>
          <w:sz w:val="14"/>
        </w:rPr>
        <w:t xml:space="preserve"> </w:t>
      </w:r>
      <w:r w:rsidRPr="00EB2BD8">
        <w:rPr>
          <w:i/>
          <w:sz w:val="14"/>
        </w:rPr>
        <w:t>all</w:t>
      </w:r>
      <w:r w:rsidRPr="00EB2BD8">
        <w:rPr>
          <w:i/>
          <w:spacing w:val="-6"/>
          <w:sz w:val="14"/>
        </w:rPr>
        <w:t xml:space="preserve"> </w:t>
      </w:r>
      <w:r w:rsidRPr="00EB2BD8">
        <w:rPr>
          <w:i/>
          <w:sz w:val="14"/>
        </w:rPr>
        <w:t>recordable</w:t>
      </w:r>
      <w:r w:rsidRPr="00EB2BD8">
        <w:rPr>
          <w:i/>
          <w:spacing w:val="-6"/>
          <w:sz w:val="14"/>
        </w:rPr>
        <w:t xml:space="preserve"> </w:t>
      </w:r>
      <w:r w:rsidRPr="00EB2BD8">
        <w:rPr>
          <w:i/>
          <w:sz w:val="14"/>
        </w:rPr>
        <w:t>work-related</w:t>
      </w:r>
      <w:r w:rsidRPr="00EB2BD8">
        <w:rPr>
          <w:i/>
          <w:spacing w:val="-6"/>
          <w:sz w:val="14"/>
        </w:rPr>
        <w:t xml:space="preserve"> </w:t>
      </w:r>
      <w:r w:rsidRPr="00EB2BD8">
        <w:rPr>
          <w:i/>
          <w:sz w:val="14"/>
        </w:rPr>
        <w:t>incidents</w:t>
      </w:r>
      <w:r w:rsidRPr="00EB2BD8">
        <w:rPr>
          <w:i/>
          <w:spacing w:val="-6"/>
          <w:sz w:val="14"/>
        </w:rPr>
        <w:t xml:space="preserve"> </w:t>
      </w:r>
      <w:r w:rsidRPr="00EB2BD8">
        <w:rPr>
          <w:i/>
          <w:sz w:val="14"/>
        </w:rPr>
        <w:t>and</w:t>
      </w:r>
      <w:r w:rsidRPr="00EB2BD8">
        <w:rPr>
          <w:i/>
          <w:spacing w:val="-6"/>
          <w:sz w:val="14"/>
        </w:rPr>
        <w:t xml:space="preserve"> </w:t>
      </w:r>
      <w:r w:rsidRPr="00EB2BD8">
        <w:rPr>
          <w:i/>
          <w:sz w:val="14"/>
        </w:rPr>
        <w:t>near</w:t>
      </w:r>
      <w:r w:rsidRPr="00EB2BD8">
        <w:rPr>
          <w:i/>
          <w:spacing w:val="-6"/>
          <w:sz w:val="14"/>
        </w:rPr>
        <w:t xml:space="preserve"> </w:t>
      </w:r>
      <w:r w:rsidRPr="00EB2BD8">
        <w:rPr>
          <w:i/>
          <w:sz w:val="14"/>
        </w:rPr>
        <w:t>misses,</w:t>
      </w:r>
      <w:r w:rsidRPr="00EB2BD8">
        <w:rPr>
          <w:i/>
          <w:spacing w:val="-6"/>
          <w:sz w:val="14"/>
        </w:rPr>
        <w:t xml:space="preserve"> </w:t>
      </w:r>
      <w:r w:rsidRPr="00EB2BD8">
        <w:rPr>
          <w:i/>
          <w:sz w:val="14"/>
        </w:rPr>
        <w:t>reported</w:t>
      </w:r>
      <w:r w:rsidRPr="00EB2BD8">
        <w:rPr>
          <w:i/>
          <w:spacing w:val="-6"/>
          <w:sz w:val="14"/>
        </w:rPr>
        <w:t xml:space="preserve"> </w:t>
      </w:r>
      <w:r w:rsidRPr="00EB2BD8">
        <w:rPr>
          <w:i/>
          <w:sz w:val="14"/>
        </w:rPr>
        <w:t>by</w:t>
      </w:r>
      <w:r w:rsidRPr="00EB2BD8">
        <w:rPr>
          <w:i/>
          <w:spacing w:val="-6"/>
          <w:sz w:val="14"/>
        </w:rPr>
        <w:t xml:space="preserve"> </w:t>
      </w:r>
      <w:r w:rsidRPr="00EB2BD8">
        <w:rPr>
          <w:i/>
          <w:sz w:val="14"/>
        </w:rPr>
        <w:t>VBA</w:t>
      </w:r>
      <w:r w:rsidRPr="00EB2BD8">
        <w:rPr>
          <w:i/>
          <w:spacing w:val="-6"/>
          <w:sz w:val="14"/>
        </w:rPr>
        <w:t xml:space="preserve"> </w:t>
      </w:r>
      <w:r w:rsidRPr="00EB2BD8">
        <w:rPr>
          <w:i/>
          <w:sz w:val="14"/>
        </w:rPr>
        <w:t>employees</w:t>
      </w:r>
      <w:r w:rsidRPr="00EB2BD8">
        <w:rPr>
          <w:i/>
          <w:spacing w:val="-6"/>
          <w:sz w:val="14"/>
        </w:rPr>
        <w:t xml:space="preserve"> </w:t>
      </w:r>
      <w:r w:rsidRPr="00EB2BD8">
        <w:rPr>
          <w:i/>
          <w:sz w:val="14"/>
        </w:rPr>
        <w:t>and</w:t>
      </w:r>
      <w:r w:rsidRPr="00EB2BD8">
        <w:rPr>
          <w:i/>
          <w:spacing w:val="-6"/>
          <w:sz w:val="14"/>
        </w:rPr>
        <w:t xml:space="preserve"> </w:t>
      </w:r>
      <w:r w:rsidRPr="00EB2BD8">
        <w:rPr>
          <w:i/>
          <w:sz w:val="14"/>
        </w:rPr>
        <w:t xml:space="preserve">contractors. </w:t>
      </w:r>
      <w:r w:rsidR="00D0600F">
        <w:rPr>
          <w:i/>
          <w:sz w:val="14"/>
        </w:rPr>
        <w:br/>
      </w:r>
      <w:r w:rsidRPr="00EB2BD8">
        <w:rPr>
          <w:i/>
          <w:sz w:val="14"/>
        </w:rPr>
        <w:t>29</w:t>
      </w:r>
      <w:r w:rsidR="00D0600F">
        <w:rPr>
          <w:i/>
          <w:sz w:val="14"/>
        </w:rPr>
        <w:t xml:space="preserve">- </w:t>
      </w:r>
      <w:r w:rsidRPr="00EB2BD8">
        <w:rPr>
          <w:i/>
          <w:sz w:val="14"/>
        </w:rPr>
        <w:t>A</w:t>
      </w:r>
      <w:r w:rsidRPr="00EB2BD8">
        <w:rPr>
          <w:i/>
          <w:spacing w:val="-8"/>
          <w:sz w:val="14"/>
        </w:rPr>
        <w:t xml:space="preserve"> </w:t>
      </w:r>
      <w:r w:rsidRPr="00EB2BD8">
        <w:rPr>
          <w:i/>
          <w:sz w:val="14"/>
        </w:rPr>
        <w:t>Dependency</w:t>
      </w:r>
      <w:r w:rsidRPr="00EB2BD8">
        <w:rPr>
          <w:i/>
          <w:spacing w:val="-8"/>
          <w:sz w:val="14"/>
        </w:rPr>
        <w:t xml:space="preserve"> </w:t>
      </w:r>
      <w:r w:rsidRPr="00EB2BD8">
        <w:rPr>
          <w:i/>
          <w:sz w:val="14"/>
        </w:rPr>
        <w:t>Claim</w:t>
      </w:r>
      <w:r w:rsidRPr="00EB2BD8">
        <w:rPr>
          <w:i/>
          <w:spacing w:val="-8"/>
          <w:sz w:val="14"/>
        </w:rPr>
        <w:t xml:space="preserve"> </w:t>
      </w:r>
      <w:r w:rsidRPr="00EB2BD8">
        <w:rPr>
          <w:i/>
          <w:sz w:val="14"/>
        </w:rPr>
        <w:t>was</w:t>
      </w:r>
      <w:r w:rsidRPr="00EB2BD8">
        <w:rPr>
          <w:i/>
          <w:spacing w:val="-8"/>
          <w:sz w:val="14"/>
        </w:rPr>
        <w:t xml:space="preserve"> </w:t>
      </w:r>
      <w:r w:rsidRPr="00EB2BD8">
        <w:rPr>
          <w:i/>
          <w:sz w:val="14"/>
        </w:rPr>
        <w:t>received</w:t>
      </w:r>
      <w:r w:rsidRPr="00EB2BD8">
        <w:rPr>
          <w:i/>
          <w:spacing w:val="-8"/>
          <w:sz w:val="14"/>
        </w:rPr>
        <w:t xml:space="preserve"> </w:t>
      </w:r>
      <w:r w:rsidRPr="00EB2BD8">
        <w:rPr>
          <w:i/>
          <w:sz w:val="14"/>
        </w:rPr>
        <w:t>in</w:t>
      </w:r>
      <w:r w:rsidRPr="00EB2BD8">
        <w:rPr>
          <w:i/>
          <w:spacing w:val="-8"/>
          <w:sz w:val="14"/>
        </w:rPr>
        <w:t xml:space="preserve"> </w:t>
      </w:r>
      <w:r w:rsidRPr="00EB2BD8">
        <w:rPr>
          <w:i/>
          <w:sz w:val="14"/>
        </w:rPr>
        <w:t>2021–22</w:t>
      </w:r>
      <w:r w:rsidRPr="00EB2BD8">
        <w:rPr>
          <w:i/>
          <w:spacing w:val="-8"/>
          <w:sz w:val="14"/>
        </w:rPr>
        <w:t xml:space="preserve"> </w:t>
      </w:r>
      <w:r w:rsidRPr="00EB2BD8">
        <w:rPr>
          <w:i/>
          <w:sz w:val="14"/>
        </w:rPr>
        <w:t>Financial</w:t>
      </w:r>
      <w:r w:rsidRPr="00EB2BD8">
        <w:rPr>
          <w:i/>
          <w:spacing w:val="-8"/>
          <w:sz w:val="14"/>
        </w:rPr>
        <w:t xml:space="preserve"> </w:t>
      </w:r>
      <w:r w:rsidRPr="00EB2BD8">
        <w:rPr>
          <w:i/>
          <w:sz w:val="14"/>
        </w:rPr>
        <w:t>Year.</w:t>
      </w:r>
    </w:p>
    <w:p w14:paraId="522E1548" w14:textId="77777777" w:rsidR="00084F36" w:rsidRPr="00EB2BD8" w:rsidRDefault="00084F36">
      <w:pPr>
        <w:spacing w:line="261" w:lineRule="auto"/>
        <w:rPr>
          <w:sz w:val="14"/>
        </w:rPr>
        <w:sectPr w:rsidR="00084F36" w:rsidRPr="00EB2BD8" w:rsidSect="006D75B2">
          <w:footerReference w:type="default" r:id="rId396"/>
          <w:pgSz w:w="11910" w:h="16840"/>
          <w:pgMar w:top="1100" w:right="0" w:bottom="700" w:left="0" w:header="0" w:footer="505" w:gutter="0"/>
          <w:cols w:space="720"/>
        </w:sectPr>
      </w:pPr>
    </w:p>
    <w:p w14:paraId="4CF34034" w14:textId="77777777" w:rsidR="00084F36" w:rsidRPr="00EB2BD8" w:rsidRDefault="00084F36">
      <w:pPr>
        <w:pStyle w:val="BodyText"/>
        <w:rPr>
          <w:i/>
          <w:sz w:val="20"/>
        </w:rPr>
      </w:pPr>
    </w:p>
    <w:p w14:paraId="2AF2DB97" w14:textId="77777777" w:rsidR="00084F36" w:rsidRPr="00EB2BD8" w:rsidRDefault="00084F36">
      <w:pPr>
        <w:pStyle w:val="BodyText"/>
        <w:rPr>
          <w:i/>
          <w:sz w:val="20"/>
        </w:rPr>
      </w:pPr>
    </w:p>
    <w:p w14:paraId="41DEFB62" w14:textId="77777777" w:rsidR="00084F36" w:rsidRPr="00EB2BD8" w:rsidRDefault="00084F36">
      <w:pPr>
        <w:pStyle w:val="BodyText"/>
        <w:rPr>
          <w:i/>
          <w:sz w:val="20"/>
        </w:rPr>
      </w:pPr>
    </w:p>
    <w:p w14:paraId="225EBC0A" w14:textId="77777777" w:rsidR="00084F36" w:rsidRPr="00EB2BD8" w:rsidRDefault="00084F36">
      <w:pPr>
        <w:pStyle w:val="BodyText"/>
        <w:rPr>
          <w:i/>
          <w:sz w:val="20"/>
        </w:rPr>
      </w:pPr>
    </w:p>
    <w:p w14:paraId="27609284" w14:textId="77777777" w:rsidR="00084F36" w:rsidRPr="00EB2BD8" w:rsidRDefault="00084F36">
      <w:pPr>
        <w:pStyle w:val="BodyText"/>
        <w:spacing w:before="4"/>
        <w:rPr>
          <w:i/>
          <w:sz w:val="17"/>
        </w:rPr>
      </w:pPr>
    </w:p>
    <w:p w14:paraId="3EE1A559" w14:textId="77777777" w:rsidR="00084F36" w:rsidRPr="00EB2BD8" w:rsidRDefault="00EB2BD8" w:rsidP="0004531F">
      <w:pPr>
        <w:pStyle w:val="Heading3"/>
      </w:pPr>
      <w:bookmarkStart w:id="424" w:name="_Toc150762726"/>
      <w:r w:rsidRPr="00EB2BD8">
        <w:t>Table</w:t>
      </w:r>
      <w:r w:rsidRPr="00EB2BD8">
        <w:rPr>
          <w:spacing w:val="-13"/>
        </w:rPr>
        <w:t xml:space="preserve"> </w:t>
      </w:r>
      <w:r w:rsidRPr="00EB2BD8">
        <w:t>18:</w:t>
      </w:r>
      <w:r w:rsidRPr="00EB2BD8">
        <w:rPr>
          <w:spacing w:val="38"/>
        </w:rPr>
        <w:t xml:space="preserve"> </w:t>
      </w:r>
      <w:r w:rsidRPr="00EB2BD8">
        <w:t>Learning</w:t>
      </w:r>
      <w:r w:rsidRPr="00EB2BD8">
        <w:rPr>
          <w:spacing w:val="-13"/>
        </w:rPr>
        <w:t xml:space="preserve"> </w:t>
      </w:r>
      <w:r w:rsidRPr="00EB2BD8">
        <w:t>and</w:t>
      </w:r>
      <w:r w:rsidRPr="00EB2BD8">
        <w:rPr>
          <w:spacing w:val="-12"/>
        </w:rPr>
        <w:t xml:space="preserve"> </w:t>
      </w:r>
      <w:r w:rsidRPr="00EB2BD8">
        <w:t>development</w:t>
      </w:r>
      <w:r w:rsidRPr="00EB2BD8">
        <w:rPr>
          <w:spacing w:val="-13"/>
        </w:rPr>
        <w:t xml:space="preserve"> </w:t>
      </w:r>
      <w:r w:rsidRPr="00EB2BD8">
        <w:t>programs</w:t>
      </w:r>
      <w:r w:rsidRPr="00EB2BD8">
        <w:rPr>
          <w:spacing w:val="-13"/>
        </w:rPr>
        <w:t xml:space="preserve"> </w:t>
      </w:r>
      <w:r w:rsidRPr="00EB2BD8">
        <w:t>and</w:t>
      </w:r>
      <w:r w:rsidRPr="00EB2BD8">
        <w:rPr>
          <w:spacing w:val="-12"/>
        </w:rPr>
        <w:t xml:space="preserve"> </w:t>
      </w:r>
      <w:r w:rsidRPr="00EB2BD8">
        <w:rPr>
          <w:spacing w:val="-2"/>
        </w:rPr>
        <w:t>participants</w:t>
      </w:r>
      <w:bookmarkEnd w:id="424"/>
    </w:p>
    <w:p w14:paraId="7191278A" w14:textId="77777777" w:rsidR="00084F36" w:rsidRPr="00EB2BD8" w:rsidRDefault="00084F36">
      <w:pPr>
        <w:pStyle w:val="BodyText"/>
        <w:spacing w:before="5"/>
        <w:rPr>
          <w:sz w:val="20"/>
        </w:rPr>
      </w:pPr>
    </w:p>
    <w:tbl>
      <w:tblPr>
        <w:tblW w:w="0" w:type="auto"/>
        <w:tblInd w:w="857" w:type="dxa"/>
        <w:tblLayout w:type="fixed"/>
        <w:tblCellMar>
          <w:left w:w="0" w:type="dxa"/>
          <w:right w:w="0" w:type="dxa"/>
        </w:tblCellMar>
        <w:tblLook w:val="01E0" w:firstRow="1" w:lastRow="1" w:firstColumn="1" w:lastColumn="1" w:noHBand="0" w:noVBand="0"/>
      </w:tblPr>
      <w:tblGrid>
        <w:gridCol w:w="7157"/>
        <w:gridCol w:w="3048"/>
      </w:tblGrid>
      <w:tr w:rsidR="00EB2BD8" w:rsidRPr="00EB2BD8" w14:paraId="6F8AC290" w14:textId="77777777">
        <w:trPr>
          <w:trHeight w:val="342"/>
        </w:trPr>
        <w:tc>
          <w:tcPr>
            <w:tcW w:w="7157" w:type="dxa"/>
            <w:shd w:val="clear" w:color="auto" w:fill="005F83"/>
          </w:tcPr>
          <w:p w14:paraId="68A6BBA9" w14:textId="77777777" w:rsidR="00084F36" w:rsidRPr="0004531F" w:rsidRDefault="00EB2BD8">
            <w:pPr>
              <w:pStyle w:val="TableParagraph"/>
              <w:spacing w:before="119" w:line="203" w:lineRule="exact"/>
              <w:ind w:left="113"/>
              <w:rPr>
                <w:color w:val="FFFFFF" w:themeColor="background1"/>
                <w:sz w:val="18"/>
              </w:rPr>
            </w:pPr>
            <w:r w:rsidRPr="0004531F">
              <w:rPr>
                <w:color w:val="FFFFFF" w:themeColor="background1"/>
                <w:sz w:val="18"/>
              </w:rPr>
              <w:t>VBA</w:t>
            </w:r>
            <w:r w:rsidRPr="0004531F">
              <w:rPr>
                <w:color w:val="FFFFFF" w:themeColor="background1"/>
                <w:spacing w:val="3"/>
                <w:sz w:val="18"/>
              </w:rPr>
              <w:t xml:space="preserve"> </w:t>
            </w:r>
            <w:r w:rsidRPr="0004531F">
              <w:rPr>
                <w:color w:val="FFFFFF" w:themeColor="background1"/>
                <w:sz w:val="18"/>
              </w:rPr>
              <w:t>learning</w:t>
            </w:r>
            <w:r w:rsidRPr="0004531F">
              <w:rPr>
                <w:color w:val="FFFFFF" w:themeColor="background1"/>
                <w:spacing w:val="4"/>
                <w:sz w:val="18"/>
              </w:rPr>
              <w:t xml:space="preserve"> </w:t>
            </w:r>
            <w:r w:rsidRPr="0004531F">
              <w:rPr>
                <w:color w:val="FFFFFF" w:themeColor="background1"/>
                <w:sz w:val="18"/>
              </w:rPr>
              <w:t>and</w:t>
            </w:r>
            <w:r w:rsidRPr="0004531F">
              <w:rPr>
                <w:color w:val="FFFFFF" w:themeColor="background1"/>
                <w:spacing w:val="3"/>
                <w:sz w:val="18"/>
              </w:rPr>
              <w:t xml:space="preserve"> </w:t>
            </w:r>
            <w:r w:rsidRPr="0004531F">
              <w:rPr>
                <w:color w:val="FFFFFF" w:themeColor="background1"/>
                <w:sz w:val="18"/>
              </w:rPr>
              <w:t>development</w:t>
            </w:r>
            <w:r w:rsidRPr="0004531F">
              <w:rPr>
                <w:color w:val="FFFFFF" w:themeColor="background1"/>
                <w:spacing w:val="4"/>
                <w:sz w:val="18"/>
              </w:rPr>
              <w:t xml:space="preserve"> </w:t>
            </w:r>
            <w:r w:rsidRPr="0004531F">
              <w:rPr>
                <w:color w:val="FFFFFF" w:themeColor="background1"/>
                <w:spacing w:val="-2"/>
                <w:sz w:val="18"/>
              </w:rPr>
              <w:t>programs</w:t>
            </w:r>
          </w:p>
        </w:tc>
        <w:tc>
          <w:tcPr>
            <w:tcW w:w="3048" w:type="dxa"/>
            <w:shd w:val="clear" w:color="auto" w:fill="005F83"/>
          </w:tcPr>
          <w:p w14:paraId="5F7A3D33" w14:textId="77777777" w:rsidR="00084F36" w:rsidRPr="0004531F" w:rsidRDefault="00EB2BD8">
            <w:pPr>
              <w:pStyle w:val="TableParagraph"/>
              <w:spacing w:before="119" w:line="203" w:lineRule="exact"/>
              <w:ind w:right="111"/>
              <w:jc w:val="right"/>
              <w:rPr>
                <w:color w:val="FFFFFF" w:themeColor="background1"/>
                <w:sz w:val="18"/>
              </w:rPr>
            </w:pPr>
            <w:r w:rsidRPr="0004531F">
              <w:rPr>
                <w:color w:val="FFFFFF" w:themeColor="background1"/>
                <w:spacing w:val="-2"/>
                <w:w w:val="105"/>
                <w:sz w:val="18"/>
              </w:rPr>
              <w:t>Participation</w:t>
            </w:r>
          </w:p>
        </w:tc>
      </w:tr>
      <w:tr w:rsidR="00EB2BD8" w:rsidRPr="00EB2BD8" w14:paraId="5E5689E9" w14:textId="77777777">
        <w:trPr>
          <w:trHeight w:val="394"/>
        </w:trPr>
        <w:tc>
          <w:tcPr>
            <w:tcW w:w="7157" w:type="dxa"/>
            <w:shd w:val="clear" w:color="auto" w:fill="005F83"/>
          </w:tcPr>
          <w:p w14:paraId="395703E0" w14:textId="77777777" w:rsidR="00084F36" w:rsidRPr="0004531F" w:rsidRDefault="00084F36">
            <w:pPr>
              <w:pStyle w:val="TableParagraph"/>
              <w:rPr>
                <w:rFonts w:ascii="Times New Roman"/>
                <w:color w:val="FFFFFF" w:themeColor="background1"/>
                <w:sz w:val="16"/>
              </w:rPr>
            </w:pPr>
          </w:p>
        </w:tc>
        <w:tc>
          <w:tcPr>
            <w:tcW w:w="3048" w:type="dxa"/>
            <w:shd w:val="clear" w:color="auto" w:fill="005F83"/>
          </w:tcPr>
          <w:p w14:paraId="5A3C8210" w14:textId="77777777" w:rsidR="00084F36" w:rsidRPr="0004531F" w:rsidRDefault="00EB2BD8">
            <w:pPr>
              <w:pStyle w:val="TableParagraph"/>
              <w:spacing w:before="6"/>
              <w:ind w:right="111"/>
              <w:jc w:val="right"/>
              <w:rPr>
                <w:color w:val="FFFFFF" w:themeColor="background1"/>
                <w:sz w:val="18"/>
              </w:rPr>
            </w:pPr>
            <w:r w:rsidRPr="0004531F">
              <w:rPr>
                <w:color w:val="FFFFFF" w:themeColor="background1"/>
                <w:w w:val="90"/>
                <w:sz w:val="18"/>
              </w:rPr>
              <w:t>2022-</w:t>
            </w:r>
            <w:r w:rsidRPr="0004531F">
              <w:rPr>
                <w:color w:val="FFFFFF" w:themeColor="background1"/>
                <w:spacing w:val="-5"/>
                <w:sz w:val="18"/>
              </w:rPr>
              <w:t>23</w:t>
            </w:r>
          </w:p>
        </w:tc>
      </w:tr>
      <w:tr w:rsidR="00EB2BD8" w:rsidRPr="00EB2BD8" w14:paraId="213D0FDD" w14:textId="77777777">
        <w:trPr>
          <w:trHeight w:val="384"/>
        </w:trPr>
        <w:tc>
          <w:tcPr>
            <w:tcW w:w="7157" w:type="dxa"/>
            <w:tcBorders>
              <w:bottom w:val="single" w:sz="2" w:space="0" w:color="000000"/>
            </w:tcBorders>
          </w:tcPr>
          <w:p w14:paraId="38F59147" w14:textId="77777777" w:rsidR="00084F36" w:rsidRPr="00EB2BD8" w:rsidRDefault="00EB2BD8">
            <w:pPr>
              <w:pStyle w:val="TableParagraph"/>
              <w:spacing w:before="118"/>
              <w:ind w:left="113"/>
              <w:rPr>
                <w:sz w:val="16"/>
              </w:rPr>
            </w:pPr>
            <w:r w:rsidRPr="00EB2BD8">
              <w:rPr>
                <w:sz w:val="16"/>
              </w:rPr>
              <w:t>VBA</w:t>
            </w:r>
            <w:r w:rsidRPr="00EB2BD8">
              <w:rPr>
                <w:spacing w:val="-1"/>
                <w:sz w:val="16"/>
              </w:rPr>
              <w:t xml:space="preserve"> </w:t>
            </w:r>
            <w:r w:rsidRPr="00EB2BD8">
              <w:rPr>
                <w:sz w:val="16"/>
              </w:rPr>
              <w:t>–</w:t>
            </w:r>
            <w:r w:rsidRPr="00EB2BD8">
              <w:rPr>
                <w:spacing w:val="-1"/>
                <w:sz w:val="16"/>
              </w:rPr>
              <w:t xml:space="preserve"> </w:t>
            </w:r>
            <w:r w:rsidRPr="00EB2BD8">
              <w:rPr>
                <w:sz w:val="16"/>
              </w:rPr>
              <w:t>Anti-discrimination and</w:t>
            </w:r>
            <w:r w:rsidRPr="00EB2BD8">
              <w:rPr>
                <w:spacing w:val="-1"/>
                <w:sz w:val="16"/>
              </w:rPr>
              <w:t xml:space="preserve"> </w:t>
            </w:r>
            <w:r w:rsidRPr="00EB2BD8">
              <w:rPr>
                <w:sz w:val="16"/>
              </w:rPr>
              <w:t>Equal</w:t>
            </w:r>
            <w:r w:rsidRPr="00EB2BD8">
              <w:rPr>
                <w:spacing w:val="-1"/>
                <w:sz w:val="16"/>
              </w:rPr>
              <w:t xml:space="preserve"> </w:t>
            </w:r>
            <w:r w:rsidRPr="00EB2BD8">
              <w:rPr>
                <w:spacing w:val="-2"/>
                <w:sz w:val="16"/>
              </w:rPr>
              <w:t>Opportunity</w:t>
            </w:r>
          </w:p>
        </w:tc>
        <w:tc>
          <w:tcPr>
            <w:tcW w:w="3048" w:type="dxa"/>
            <w:tcBorders>
              <w:bottom w:val="single" w:sz="2" w:space="0" w:color="000000"/>
            </w:tcBorders>
          </w:tcPr>
          <w:p w14:paraId="3FD31E45" w14:textId="77777777" w:rsidR="00084F36" w:rsidRPr="00EB2BD8" w:rsidRDefault="00EB2BD8">
            <w:pPr>
              <w:pStyle w:val="TableParagraph"/>
              <w:spacing w:before="118"/>
              <w:ind w:right="111"/>
              <w:jc w:val="right"/>
              <w:rPr>
                <w:sz w:val="16"/>
              </w:rPr>
            </w:pPr>
            <w:r w:rsidRPr="00EB2BD8">
              <w:rPr>
                <w:spacing w:val="-5"/>
                <w:sz w:val="16"/>
              </w:rPr>
              <w:t>534</w:t>
            </w:r>
          </w:p>
        </w:tc>
      </w:tr>
      <w:tr w:rsidR="00EB2BD8" w:rsidRPr="00EB2BD8" w14:paraId="41767B12" w14:textId="77777777">
        <w:trPr>
          <w:trHeight w:val="381"/>
        </w:trPr>
        <w:tc>
          <w:tcPr>
            <w:tcW w:w="7157" w:type="dxa"/>
            <w:tcBorders>
              <w:top w:val="single" w:sz="2" w:space="0" w:color="000000"/>
              <w:bottom w:val="single" w:sz="2" w:space="0" w:color="000000"/>
            </w:tcBorders>
          </w:tcPr>
          <w:p w14:paraId="3E96601C" w14:textId="77777777" w:rsidR="00084F36" w:rsidRPr="00EB2BD8" w:rsidRDefault="00EB2BD8">
            <w:pPr>
              <w:pStyle w:val="TableParagraph"/>
              <w:spacing w:before="116"/>
              <w:ind w:left="113"/>
              <w:rPr>
                <w:sz w:val="16"/>
              </w:rPr>
            </w:pPr>
            <w:r w:rsidRPr="00EB2BD8">
              <w:rPr>
                <w:sz w:val="16"/>
              </w:rPr>
              <w:t>VBA</w:t>
            </w:r>
            <w:r w:rsidRPr="00EB2BD8">
              <w:rPr>
                <w:spacing w:val="-9"/>
                <w:sz w:val="16"/>
              </w:rPr>
              <w:t xml:space="preserve"> </w:t>
            </w:r>
            <w:r w:rsidRPr="00EB2BD8">
              <w:rPr>
                <w:sz w:val="16"/>
              </w:rPr>
              <w:t>–</w:t>
            </w:r>
            <w:r w:rsidRPr="00EB2BD8">
              <w:rPr>
                <w:spacing w:val="-9"/>
                <w:sz w:val="16"/>
              </w:rPr>
              <w:t xml:space="preserve"> </w:t>
            </w:r>
            <w:r w:rsidRPr="00EB2BD8">
              <w:rPr>
                <w:sz w:val="16"/>
              </w:rPr>
              <w:t>Integrity</w:t>
            </w:r>
            <w:r w:rsidRPr="00EB2BD8">
              <w:rPr>
                <w:spacing w:val="-9"/>
                <w:sz w:val="16"/>
              </w:rPr>
              <w:t xml:space="preserve"> </w:t>
            </w:r>
            <w:r w:rsidRPr="00EB2BD8">
              <w:rPr>
                <w:sz w:val="16"/>
              </w:rPr>
              <w:t>Training</w:t>
            </w:r>
            <w:r w:rsidRPr="00EB2BD8">
              <w:rPr>
                <w:spacing w:val="-8"/>
                <w:sz w:val="16"/>
              </w:rPr>
              <w:t xml:space="preserve"> </w:t>
            </w:r>
            <w:r w:rsidRPr="00EB2BD8">
              <w:rPr>
                <w:sz w:val="16"/>
              </w:rPr>
              <w:t>and</w:t>
            </w:r>
            <w:r w:rsidRPr="00EB2BD8">
              <w:rPr>
                <w:spacing w:val="-9"/>
                <w:sz w:val="16"/>
              </w:rPr>
              <w:t xml:space="preserve"> </w:t>
            </w:r>
            <w:r w:rsidRPr="00EB2BD8">
              <w:rPr>
                <w:spacing w:val="-2"/>
                <w:sz w:val="16"/>
              </w:rPr>
              <w:t>attestation</w:t>
            </w:r>
          </w:p>
        </w:tc>
        <w:tc>
          <w:tcPr>
            <w:tcW w:w="3048" w:type="dxa"/>
            <w:tcBorders>
              <w:top w:val="single" w:sz="2" w:space="0" w:color="000000"/>
              <w:bottom w:val="single" w:sz="2" w:space="0" w:color="000000"/>
            </w:tcBorders>
          </w:tcPr>
          <w:p w14:paraId="29F1EF4F" w14:textId="77777777" w:rsidR="00084F36" w:rsidRPr="00EB2BD8" w:rsidRDefault="00EB2BD8">
            <w:pPr>
              <w:pStyle w:val="TableParagraph"/>
              <w:spacing w:before="116"/>
              <w:ind w:right="112"/>
              <w:jc w:val="right"/>
              <w:rPr>
                <w:sz w:val="16"/>
              </w:rPr>
            </w:pPr>
            <w:r w:rsidRPr="00EB2BD8">
              <w:rPr>
                <w:spacing w:val="-5"/>
                <w:w w:val="95"/>
                <w:sz w:val="16"/>
              </w:rPr>
              <w:t>523</w:t>
            </w:r>
          </w:p>
        </w:tc>
      </w:tr>
      <w:tr w:rsidR="00EB2BD8" w:rsidRPr="00EB2BD8" w14:paraId="22503663" w14:textId="77777777">
        <w:trPr>
          <w:trHeight w:val="381"/>
        </w:trPr>
        <w:tc>
          <w:tcPr>
            <w:tcW w:w="7157" w:type="dxa"/>
            <w:tcBorders>
              <w:top w:val="single" w:sz="2" w:space="0" w:color="000000"/>
              <w:bottom w:val="single" w:sz="2" w:space="0" w:color="000000"/>
            </w:tcBorders>
          </w:tcPr>
          <w:p w14:paraId="795C456A" w14:textId="77777777" w:rsidR="00084F36" w:rsidRPr="00EB2BD8" w:rsidRDefault="00EB2BD8">
            <w:pPr>
              <w:pStyle w:val="TableParagraph"/>
              <w:spacing w:before="116"/>
              <w:ind w:left="113"/>
              <w:rPr>
                <w:sz w:val="16"/>
              </w:rPr>
            </w:pPr>
            <w:r w:rsidRPr="00EB2BD8">
              <w:rPr>
                <w:sz w:val="16"/>
              </w:rPr>
              <w:t>VBA</w:t>
            </w:r>
            <w:r w:rsidRPr="00EB2BD8">
              <w:rPr>
                <w:spacing w:val="1"/>
                <w:sz w:val="16"/>
              </w:rPr>
              <w:t xml:space="preserve"> </w:t>
            </w:r>
            <w:r w:rsidRPr="00EB2BD8">
              <w:rPr>
                <w:sz w:val="16"/>
              </w:rPr>
              <w:t>–</w:t>
            </w:r>
            <w:r w:rsidRPr="00EB2BD8">
              <w:rPr>
                <w:spacing w:val="1"/>
                <w:sz w:val="16"/>
              </w:rPr>
              <w:t xml:space="preserve"> </w:t>
            </w:r>
            <w:r w:rsidRPr="00EB2BD8">
              <w:rPr>
                <w:sz w:val="16"/>
              </w:rPr>
              <w:t>Being</w:t>
            </w:r>
            <w:r w:rsidRPr="00EB2BD8">
              <w:rPr>
                <w:spacing w:val="2"/>
                <w:sz w:val="16"/>
              </w:rPr>
              <w:t xml:space="preserve"> </w:t>
            </w:r>
            <w:r w:rsidRPr="00EB2BD8">
              <w:rPr>
                <w:sz w:val="16"/>
              </w:rPr>
              <w:t>Cybersafe</w:t>
            </w:r>
            <w:r w:rsidRPr="00EB2BD8">
              <w:rPr>
                <w:spacing w:val="1"/>
                <w:sz w:val="16"/>
              </w:rPr>
              <w:t xml:space="preserve"> </w:t>
            </w:r>
            <w:r w:rsidRPr="00EB2BD8">
              <w:rPr>
                <w:sz w:val="16"/>
              </w:rPr>
              <w:t>–</w:t>
            </w:r>
            <w:r w:rsidRPr="00EB2BD8">
              <w:rPr>
                <w:spacing w:val="2"/>
                <w:sz w:val="16"/>
              </w:rPr>
              <w:t xml:space="preserve"> </w:t>
            </w:r>
            <w:r w:rsidRPr="00EB2BD8">
              <w:rPr>
                <w:sz w:val="16"/>
              </w:rPr>
              <w:t>Phishing</w:t>
            </w:r>
            <w:r w:rsidRPr="00EB2BD8">
              <w:rPr>
                <w:spacing w:val="1"/>
                <w:sz w:val="16"/>
              </w:rPr>
              <w:t xml:space="preserve"> </w:t>
            </w:r>
            <w:r w:rsidRPr="00EB2BD8">
              <w:rPr>
                <w:spacing w:val="-2"/>
                <w:sz w:val="16"/>
              </w:rPr>
              <w:t>scams</w:t>
            </w:r>
          </w:p>
        </w:tc>
        <w:tc>
          <w:tcPr>
            <w:tcW w:w="3048" w:type="dxa"/>
            <w:tcBorders>
              <w:top w:val="single" w:sz="2" w:space="0" w:color="000000"/>
              <w:bottom w:val="single" w:sz="2" w:space="0" w:color="000000"/>
            </w:tcBorders>
          </w:tcPr>
          <w:p w14:paraId="63DFF894" w14:textId="77777777" w:rsidR="00084F36" w:rsidRPr="00EB2BD8" w:rsidRDefault="00EB2BD8">
            <w:pPr>
              <w:pStyle w:val="TableParagraph"/>
              <w:spacing w:before="116"/>
              <w:ind w:right="112"/>
              <w:jc w:val="right"/>
              <w:rPr>
                <w:sz w:val="16"/>
              </w:rPr>
            </w:pPr>
            <w:r w:rsidRPr="00EB2BD8">
              <w:rPr>
                <w:spacing w:val="-5"/>
                <w:sz w:val="16"/>
              </w:rPr>
              <w:t>505</w:t>
            </w:r>
          </w:p>
        </w:tc>
      </w:tr>
      <w:tr w:rsidR="00EB2BD8" w:rsidRPr="00EB2BD8" w14:paraId="55CF2F58" w14:textId="77777777">
        <w:trPr>
          <w:trHeight w:val="381"/>
        </w:trPr>
        <w:tc>
          <w:tcPr>
            <w:tcW w:w="7157" w:type="dxa"/>
            <w:tcBorders>
              <w:top w:val="single" w:sz="2" w:space="0" w:color="000000"/>
              <w:bottom w:val="single" w:sz="2" w:space="0" w:color="000000"/>
            </w:tcBorders>
          </w:tcPr>
          <w:p w14:paraId="7A4327AA" w14:textId="77777777" w:rsidR="00084F36" w:rsidRPr="00EB2BD8" w:rsidRDefault="00EB2BD8">
            <w:pPr>
              <w:pStyle w:val="TableParagraph"/>
              <w:spacing w:before="116"/>
              <w:ind w:left="113"/>
              <w:rPr>
                <w:sz w:val="16"/>
              </w:rPr>
            </w:pPr>
            <w:r w:rsidRPr="00EB2BD8">
              <w:rPr>
                <w:sz w:val="16"/>
              </w:rPr>
              <w:t>VBA</w:t>
            </w:r>
            <w:r w:rsidRPr="00EB2BD8">
              <w:rPr>
                <w:spacing w:val="4"/>
                <w:sz w:val="16"/>
              </w:rPr>
              <w:t xml:space="preserve"> </w:t>
            </w:r>
            <w:r w:rsidRPr="00EB2BD8">
              <w:rPr>
                <w:sz w:val="16"/>
              </w:rPr>
              <w:t>–</w:t>
            </w:r>
            <w:r w:rsidRPr="00EB2BD8">
              <w:rPr>
                <w:spacing w:val="4"/>
                <w:sz w:val="16"/>
              </w:rPr>
              <w:t xml:space="preserve"> </w:t>
            </w:r>
            <w:r w:rsidRPr="00EB2BD8">
              <w:rPr>
                <w:sz w:val="16"/>
              </w:rPr>
              <w:t>Being</w:t>
            </w:r>
            <w:r w:rsidRPr="00EB2BD8">
              <w:rPr>
                <w:spacing w:val="5"/>
                <w:sz w:val="16"/>
              </w:rPr>
              <w:t xml:space="preserve"> </w:t>
            </w:r>
            <w:r w:rsidRPr="00EB2BD8">
              <w:rPr>
                <w:sz w:val="16"/>
              </w:rPr>
              <w:t>Cybersafe</w:t>
            </w:r>
            <w:r w:rsidRPr="00EB2BD8">
              <w:rPr>
                <w:spacing w:val="4"/>
                <w:sz w:val="16"/>
              </w:rPr>
              <w:t xml:space="preserve"> </w:t>
            </w:r>
            <w:r w:rsidRPr="00EB2BD8">
              <w:rPr>
                <w:sz w:val="16"/>
              </w:rPr>
              <w:t>–</w:t>
            </w:r>
            <w:r w:rsidRPr="00EB2BD8">
              <w:rPr>
                <w:spacing w:val="5"/>
                <w:sz w:val="16"/>
              </w:rPr>
              <w:t xml:space="preserve"> </w:t>
            </w:r>
            <w:r w:rsidRPr="00EB2BD8">
              <w:rPr>
                <w:sz w:val="16"/>
              </w:rPr>
              <w:t>Social</w:t>
            </w:r>
            <w:r w:rsidRPr="00EB2BD8">
              <w:rPr>
                <w:spacing w:val="4"/>
                <w:sz w:val="16"/>
              </w:rPr>
              <w:t xml:space="preserve"> </w:t>
            </w:r>
            <w:r w:rsidRPr="00EB2BD8">
              <w:rPr>
                <w:spacing w:val="-2"/>
                <w:sz w:val="16"/>
              </w:rPr>
              <w:t>Engineering</w:t>
            </w:r>
          </w:p>
        </w:tc>
        <w:tc>
          <w:tcPr>
            <w:tcW w:w="3048" w:type="dxa"/>
            <w:tcBorders>
              <w:top w:val="single" w:sz="2" w:space="0" w:color="000000"/>
              <w:bottom w:val="single" w:sz="2" w:space="0" w:color="000000"/>
            </w:tcBorders>
          </w:tcPr>
          <w:p w14:paraId="7D558B55" w14:textId="77777777" w:rsidR="00084F36" w:rsidRPr="00EB2BD8" w:rsidRDefault="00EB2BD8">
            <w:pPr>
              <w:pStyle w:val="TableParagraph"/>
              <w:spacing w:before="116"/>
              <w:ind w:right="112"/>
              <w:jc w:val="right"/>
              <w:rPr>
                <w:sz w:val="16"/>
              </w:rPr>
            </w:pPr>
            <w:r w:rsidRPr="00EB2BD8">
              <w:rPr>
                <w:spacing w:val="-5"/>
                <w:sz w:val="16"/>
              </w:rPr>
              <w:t>484</w:t>
            </w:r>
          </w:p>
        </w:tc>
      </w:tr>
      <w:tr w:rsidR="00EB2BD8" w:rsidRPr="00EB2BD8" w14:paraId="2911F76F" w14:textId="77777777">
        <w:trPr>
          <w:trHeight w:val="381"/>
        </w:trPr>
        <w:tc>
          <w:tcPr>
            <w:tcW w:w="7157" w:type="dxa"/>
            <w:tcBorders>
              <w:top w:val="single" w:sz="2" w:space="0" w:color="000000"/>
              <w:bottom w:val="single" w:sz="2" w:space="0" w:color="000000"/>
            </w:tcBorders>
          </w:tcPr>
          <w:p w14:paraId="0858195D" w14:textId="77777777" w:rsidR="00084F36" w:rsidRPr="00EB2BD8" w:rsidRDefault="00EB2BD8">
            <w:pPr>
              <w:pStyle w:val="TableParagraph"/>
              <w:spacing w:before="116"/>
              <w:ind w:left="113"/>
              <w:rPr>
                <w:sz w:val="16"/>
              </w:rPr>
            </w:pPr>
            <w:r w:rsidRPr="00EB2BD8">
              <w:rPr>
                <w:w w:val="105"/>
                <w:sz w:val="16"/>
              </w:rPr>
              <w:t>VBA</w:t>
            </w:r>
            <w:r w:rsidRPr="00EB2BD8">
              <w:rPr>
                <w:spacing w:val="-10"/>
                <w:w w:val="105"/>
                <w:sz w:val="16"/>
              </w:rPr>
              <w:t xml:space="preserve"> </w:t>
            </w:r>
            <w:r w:rsidRPr="00EB2BD8">
              <w:rPr>
                <w:w w:val="105"/>
                <w:sz w:val="16"/>
              </w:rPr>
              <w:t>–</w:t>
            </w:r>
            <w:r w:rsidRPr="00EB2BD8">
              <w:rPr>
                <w:spacing w:val="-9"/>
                <w:w w:val="105"/>
                <w:sz w:val="16"/>
              </w:rPr>
              <w:t xml:space="preserve"> </w:t>
            </w:r>
            <w:r w:rsidRPr="00EB2BD8">
              <w:rPr>
                <w:spacing w:val="-2"/>
                <w:w w:val="105"/>
                <w:sz w:val="16"/>
              </w:rPr>
              <w:t>Induction</w:t>
            </w:r>
          </w:p>
        </w:tc>
        <w:tc>
          <w:tcPr>
            <w:tcW w:w="3048" w:type="dxa"/>
            <w:tcBorders>
              <w:top w:val="single" w:sz="2" w:space="0" w:color="000000"/>
              <w:bottom w:val="single" w:sz="2" w:space="0" w:color="000000"/>
            </w:tcBorders>
          </w:tcPr>
          <w:p w14:paraId="36D1C8D2" w14:textId="77777777" w:rsidR="00084F36" w:rsidRPr="00EB2BD8" w:rsidRDefault="00EB2BD8">
            <w:pPr>
              <w:pStyle w:val="TableParagraph"/>
              <w:spacing w:before="116"/>
              <w:ind w:right="112"/>
              <w:jc w:val="right"/>
              <w:rPr>
                <w:sz w:val="16"/>
              </w:rPr>
            </w:pPr>
            <w:r w:rsidRPr="00EB2BD8">
              <w:rPr>
                <w:spacing w:val="-5"/>
                <w:w w:val="90"/>
                <w:sz w:val="16"/>
              </w:rPr>
              <w:t>158</w:t>
            </w:r>
          </w:p>
        </w:tc>
      </w:tr>
      <w:tr w:rsidR="00EB2BD8" w:rsidRPr="00EB2BD8" w14:paraId="6D689EF1" w14:textId="77777777">
        <w:trPr>
          <w:trHeight w:val="381"/>
        </w:trPr>
        <w:tc>
          <w:tcPr>
            <w:tcW w:w="7157" w:type="dxa"/>
            <w:tcBorders>
              <w:top w:val="single" w:sz="2" w:space="0" w:color="000000"/>
              <w:bottom w:val="single" w:sz="2" w:space="0" w:color="000000"/>
            </w:tcBorders>
          </w:tcPr>
          <w:p w14:paraId="314E1A51" w14:textId="77777777" w:rsidR="00084F36" w:rsidRPr="00EB2BD8" w:rsidRDefault="00EB2BD8">
            <w:pPr>
              <w:pStyle w:val="TableParagraph"/>
              <w:spacing w:before="116"/>
              <w:ind w:left="113"/>
              <w:rPr>
                <w:sz w:val="16"/>
              </w:rPr>
            </w:pPr>
            <w:r w:rsidRPr="00EB2BD8">
              <w:rPr>
                <w:sz w:val="16"/>
              </w:rPr>
              <w:t>VBA</w:t>
            </w:r>
            <w:r w:rsidRPr="00EB2BD8">
              <w:rPr>
                <w:spacing w:val="1"/>
                <w:sz w:val="16"/>
              </w:rPr>
              <w:t xml:space="preserve"> </w:t>
            </w:r>
            <w:r w:rsidRPr="00EB2BD8">
              <w:rPr>
                <w:sz w:val="16"/>
              </w:rPr>
              <w:t>–</w:t>
            </w:r>
            <w:r w:rsidRPr="00EB2BD8">
              <w:rPr>
                <w:spacing w:val="1"/>
                <w:sz w:val="16"/>
              </w:rPr>
              <w:t xml:space="preserve"> </w:t>
            </w:r>
            <w:r w:rsidRPr="00EB2BD8">
              <w:rPr>
                <w:sz w:val="16"/>
              </w:rPr>
              <w:t>Onboarding</w:t>
            </w:r>
            <w:r w:rsidRPr="00EB2BD8">
              <w:rPr>
                <w:spacing w:val="1"/>
                <w:sz w:val="16"/>
              </w:rPr>
              <w:t xml:space="preserve"> </w:t>
            </w:r>
            <w:r w:rsidRPr="00EB2BD8">
              <w:rPr>
                <w:spacing w:val="-2"/>
                <w:sz w:val="16"/>
              </w:rPr>
              <w:t>workshop</w:t>
            </w:r>
          </w:p>
        </w:tc>
        <w:tc>
          <w:tcPr>
            <w:tcW w:w="3048" w:type="dxa"/>
            <w:tcBorders>
              <w:top w:val="single" w:sz="2" w:space="0" w:color="000000"/>
              <w:bottom w:val="single" w:sz="2" w:space="0" w:color="000000"/>
            </w:tcBorders>
          </w:tcPr>
          <w:p w14:paraId="1C5469B9" w14:textId="77777777" w:rsidR="00084F36" w:rsidRPr="00EB2BD8" w:rsidRDefault="00EB2BD8">
            <w:pPr>
              <w:pStyle w:val="TableParagraph"/>
              <w:spacing w:before="116"/>
              <w:ind w:right="112"/>
              <w:jc w:val="right"/>
              <w:rPr>
                <w:sz w:val="16"/>
              </w:rPr>
            </w:pPr>
            <w:r w:rsidRPr="00EB2BD8">
              <w:rPr>
                <w:spacing w:val="-5"/>
                <w:w w:val="85"/>
                <w:sz w:val="16"/>
              </w:rPr>
              <w:t>129</w:t>
            </w:r>
          </w:p>
        </w:tc>
      </w:tr>
      <w:tr w:rsidR="00EB2BD8" w:rsidRPr="00EB2BD8" w14:paraId="3A0C1FC7" w14:textId="77777777">
        <w:trPr>
          <w:trHeight w:val="381"/>
        </w:trPr>
        <w:tc>
          <w:tcPr>
            <w:tcW w:w="7157" w:type="dxa"/>
            <w:tcBorders>
              <w:top w:val="single" w:sz="2" w:space="0" w:color="000000"/>
              <w:bottom w:val="single" w:sz="2" w:space="0" w:color="000000"/>
            </w:tcBorders>
          </w:tcPr>
          <w:p w14:paraId="61A6815B" w14:textId="77777777" w:rsidR="00084F36" w:rsidRPr="00EB2BD8" w:rsidRDefault="00EB2BD8">
            <w:pPr>
              <w:pStyle w:val="TableParagraph"/>
              <w:spacing w:before="116"/>
              <w:ind w:left="113"/>
              <w:rPr>
                <w:sz w:val="16"/>
              </w:rPr>
            </w:pPr>
            <w:r w:rsidRPr="00EB2BD8">
              <w:rPr>
                <w:sz w:val="16"/>
              </w:rPr>
              <w:t>VBA</w:t>
            </w:r>
            <w:r w:rsidRPr="00EB2BD8">
              <w:rPr>
                <w:spacing w:val="-5"/>
                <w:sz w:val="16"/>
              </w:rPr>
              <w:t xml:space="preserve"> </w:t>
            </w:r>
            <w:r w:rsidRPr="00EB2BD8">
              <w:rPr>
                <w:sz w:val="16"/>
              </w:rPr>
              <w:t>–</w:t>
            </w:r>
            <w:r w:rsidRPr="00EB2BD8">
              <w:rPr>
                <w:spacing w:val="-5"/>
                <w:sz w:val="16"/>
              </w:rPr>
              <w:t xml:space="preserve"> </w:t>
            </w:r>
            <w:r w:rsidRPr="00EB2BD8">
              <w:rPr>
                <w:sz w:val="16"/>
              </w:rPr>
              <w:t>Anti-discrimination</w:t>
            </w:r>
            <w:r w:rsidRPr="00EB2BD8">
              <w:rPr>
                <w:spacing w:val="-5"/>
                <w:sz w:val="16"/>
              </w:rPr>
              <w:t xml:space="preserve"> </w:t>
            </w:r>
            <w:r w:rsidRPr="00EB2BD8">
              <w:rPr>
                <w:sz w:val="16"/>
              </w:rPr>
              <w:t>and</w:t>
            </w:r>
            <w:r w:rsidRPr="00EB2BD8">
              <w:rPr>
                <w:spacing w:val="-5"/>
                <w:sz w:val="16"/>
              </w:rPr>
              <w:t xml:space="preserve"> </w:t>
            </w:r>
            <w:r w:rsidRPr="00EB2BD8">
              <w:rPr>
                <w:sz w:val="16"/>
              </w:rPr>
              <w:t>Equal</w:t>
            </w:r>
            <w:r w:rsidRPr="00EB2BD8">
              <w:rPr>
                <w:spacing w:val="-5"/>
                <w:sz w:val="16"/>
              </w:rPr>
              <w:t xml:space="preserve"> </w:t>
            </w:r>
            <w:r w:rsidRPr="00EB2BD8">
              <w:rPr>
                <w:sz w:val="16"/>
              </w:rPr>
              <w:t>Opportunity</w:t>
            </w:r>
            <w:r w:rsidRPr="00EB2BD8">
              <w:rPr>
                <w:spacing w:val="-5"/>
                <w:sz w:val="16"/>
              </w:rPr>
              <w:t xml:space="preserve"> </w:t>
            </w:r>
            <w:r w:rsidRPr="00EB2BD8">
              <w:rPr>
                <w:sz w:val="16"/>
              </w:rPr>
              <w:t>for</w:t>
            </w:r>
            <w:r w:rsidRPr="00EB2BD8">
              <w:rPr>
                <w:spacing w:val="-5"/>
                <w:sz w:val="16"/>
              </w:rPr>
              <w:t xml:space="preserve"> </w:t>
            </w:r>
            <w:r w:rsidRPr="00EB2BD8">
              <w:rPr>
                <w:sz w:val="16"/>
              </w:rPr>
              <w:t>People</w:t>
            </w:r>
            <w:r w:rsidRPr="00EB2BD8">
              <w:rPr>
                <w:spacing w:val="-5"/>
                <w:sz w:val="16"/>
              </w:rPr>
              <w:t xml:space="preserve"> </w:t>
            </w:r>
            <w:r w:rsidRPr="00EB2BD8">
              <w:rPr>
                <w:spacing w:val="-2"/>
                <w:sz w:val="16"/>
              </w:rPr>
              <w:t>Leaders</w:t>
            </w:r>
          </w:p>
        </w:tc>
        <w:tc>
          <w:tcPr>
            <w:tcW w:w="3048" w:type="dxa"/>
            <w:tcBorders>
              <w:top w:val="single" w:sz="2" w:space="0" w:color="000000"/>
              <w:bottom w:val="single" w:sz="2" w:space="0" w:color="000000"/>
            </w:tcBorders>
          </w:tcPr>
          <w:p w14:paraId="4BBD5900" w14:textId="77777777" w:rsidR="00084F36" w:rsidRPr="00EB2BD8" w:rsidRDefault="00EB2BD8">
            <w:pPr>
              <w:pStyle w:val="TableParagraph"/>
              <w:spacing w:before="116"/>
              <w:ind w:right="112"/>
              <w:jc w:val="right"/>
              <w:rPr>
                <w:sz w:val="16"/>
              </w:rPr>
            </w:pPr>
            <w:r w:rsidRPr="00EB2BD8">
              <w:rPr>
                <w:spacing w:val="-5"/>
                <w:w w:val="80"/>
                <w:sz w:val="16"/>
              </w:rPr>
              <w:t>114</w:t>
            </w:r>
          </w:p>
        </w:tc>
      </w:tr>
      <w:tr w:rsidR="00EB2BD8" w:rsidRPr="00EB2BD8" w14:paraId="154C250C" w14:textId="77777777">
        <w:trPr>
          <w:trHeight w:val="381"/>
        </w:trPr>
        <w:tc>
          <w:tcPr>
            <w:tcW w:w="7157" w:type="dxa"/>
            <w:tcBorders>
              <w:top w:val="single" w:sz="2" w:space="0" w:color="000000"/>
              <w:bottom w:val="single" w:sz="2" w:space="0" w:color="000000"/>
            </w:tcBorders>
          </w:tcPr>
          <w:p w14:paraId="7E2BF9C5" w14:textId="77777777" w:rsidR="00084F36" w:rsidRPr="00EB2BD8" w:rsidRDefault="00EB2BD8">
            <w:pPr>
              <w:pStyle w:val="TableParagraph"/>
              <w:spacing w:before="116"/>
              <w:ind w:left="113"/>
              <w:rPr>
                <w:sz w:val="16"/>
              </w:rPr>
            </w:pPr>
            <w:r w:rsidRPr="00EB2BD8">
              <w:rPr>
                <w:sz w:val="16"/>
              </w:rPr>
              <w:t>VBA – Safety Leadership</w:t>
            </w:r>
            <w:r w:rsidRPr="00EB2BD8">
              <w:rPr>
                <w:spacing w:val="1"/>
                <w:sz w:val="16"/>
              </w:rPr>
              <w:t xml:space="preserve"> </w:t>
            </w:r>
            <w:r w:rsidRPr="00EB2BD8">
              <w:rPr>
                <w:sz w:val="16"/>
              </w:rPr>
              <w:t xml:space="preserve">for People </w:t>
            </w:r>
            <w:r w:rsidRPr="00EB2BD8">
              <w:rPr>
                <w:spacing w:val="-2"/>
                <w:sz w:val="16"/>
              </w:rPr>
              <w:t>Leaders</w:t>
            </w:r>
          </w:p>
        </w:tc>
        <w:tc>
          <w:tcPr>
            <w:tcW w:w="3048" w:type="dxa"/>
            <w:tcBorders>
              <w:top w:val="single" w:sz="2" w:space="0" w:color="000000"/>
              <w:bottom w:val="single" w:sz="2" w:space="0" w:color="000000"/>
            </w:tcBorders>
          </w:tcPr>
          <w:p w14:paraId="7819EAA8" w14:textId="77777777" w:rsidR="00084F36" w:rsidRPr="00EB2BD8" w:rsidRDefault="00EB2BD8">
            <w:pPr>
              <w:pStyle w:val="TableParagraph"/>
              <w:spacing w:before="116"/>
              <w:ind w:right="112"/>
              <w:jc w:val="right"/>
              <w:rPr>
                <w:sz w:val="16"/>
              </w:rPr>
            </w:pPr>
            <w:r w:rsidRPr="00EB2BD8">
              <w:rPr>
                <w:spacing w:val="-5"/>
                <w:sz w:val="16"/>
              </w:rPr>
              <w:t>84</w:t>
            </w:r>
          </w:p>
        </w:tc>
      </w:tr>
      <w:tr w:rsidR="00EB2BD8" w:rsidRPr="00EB2BD8" w14:paraId="31C0D616" w14:textId="77777777">
        <w:trPr>
          <w:trHeight w:val="381"/>
        </w:trPr>
        <w:tc>
          <w:tcPr>
            <w:tcW w:w="7157" w:type="dxa"/>
            <w:tcBorders>
              <w:top w:val="single" w:sz="2" w:space="0" w:color="000000"/>
              <w:bottom w:val="single" w:sz="2" w:space="0" w:color="000000"/>
            </w:tcBorders>
          </w:tcPr>
          <w:p w14:paraId="2535F422" w14:textId="77777777" w:rsidR="00084F36" w:rsidRPr="00EB2BD8" w:rsidRDefault="00EB2BD8">
            <w:pPr>
              <w:pStyle w:val="TableParagraph"/>
              <w:spacing w:before="115"/>
              <w:ind w:left="113"/>
              <w:rPr>
                <w:sz w:val="16"/>
              </w:rPr>
            </w:pPr>
            <w:r w:rsidRPr="00EB2BD8">
              <w:rPr>
                <w:sz w:val="16"/>
              </w:rPr>
              <w:t>VBA</w:t>
            </w:r>
            <w:r w:rsidRPr="00EB2BD8">
              <w:rPr>
                <w:spacing w:val="-11"/>
                <w:sz w:val="16"/>
              </w:rPr>
              <w:t xml:space="preserve"> </w:t>
            </w:r>
            <w:r w:rsidRPr="00EB2BD8">
              <w:rPr>
                <w:sz w:val="16"/>
              </w:rPr>
              <w:t>–</w:t>
            </w:r>
            <w:r w:rsidRPr="00EB2BD8">
              <w:rPr>
                <w:spacing w:val="-10"/>
                <w:sz w:val="16"/>
              </w:rPr>
              <w:t xml:space="preserve"> </w:t>
            </w:r>
            <w:r w:rsidRPr="00EB2BD8">
              <w:rPr>
                <w:sz w:val="16"/>
              </w:rPr>
              <w:t>Return</w:t>
            </w:r>
            <w:r w:rsidRPr="00EB2BD8">
              <w:rPr>
                <w:spacing w:val="-10"/>
                <w:sz w:val="16"/>
              </w:rPr>
              <w:t xml:space="preserve"> </w:t>
            </w:r>
            <w:r w:rsidRPr="00EB2BD8">
              <w:rPr>
                <w:sz w:val="16"/>
              </w:rPr>
              <w:t>to</w:t>
            </w:r>
            <w:r w:rsidRPr="00EB2BD8">
              <w:rPr>
                <w:spacing w:val="-11"/>
                <w:sz w:val="16"/>
              </w:rPr>
              <w:t xml:space="preserve"> </w:t>
            </w:r>
            <w:r w:rsidRPr="00EB2BD8">
              <w:rPr>
                <w:sz w:val="16"/>
              </w:rPr>
              <w:t>work</w:t>
            </w:r>
            <w:r w:rsidRPr="00EB2BD8">
              <w:rPr>
                <w:spacing w:val="-10"/>
                <w:sz w:val="16"/>
              </w:rPr>
              <w:t xml:space="preserve"> </w:t>
            </w:r>
            <w:r w:rsidRPr="00EB2BD8">
              <w:rPr>
                <w:sz w:val="16"/>
              </w:rPr>
              <w:t>for</w:t>
            </w:r>
            <w:r w:rsidRPr="00EB2BD8">
              <w:rPr>
                <w:spacing w:val="-10"/>
                <w:sz w:val="16"/>
              </w:rPr>
              <w:t xml:space="preserve"> </w:t>
            </w:r>
            <w:r w:rsidRPr="00EB2BD8">
              <w:rPr>
                <w:sz w:val="16"/>
              </w:rPr>
              <w:t>People</w:t>
            </w:r>
            <w:r w:rsidRPr="00EB2BD8">
              <w:rPr>
                <w:spacing w:val="-10"/>
                <w:sz w:val="16"/>
              </w:rPr>
              <w:t xml:space="preserve"> </w:t>
            </w:r>
            <w:r w:rsidRPr="00EB2BD8">
              <w:rPr>
                <w:spacing w:val="-2"/>
                <w:sz w:val="16"/>
              </w:rPr>
              <w:t>Leaders</w:t>
            </w:r>
          </w:p>
        </w:tc>
        <w:tc>
          <w:tcPr>
            <w:tcW w:w="3048" w:type="dxa"/>
            <w:tcBorders>
              <w:top w:val="single" w:sz="2" w:space="0" w:color="000000"/>
              <w:bottom w:val="single" w:sz="2" w:space="0" w:color="000000"/>
            </w:tcBorders>
          </w:tcPr>
          <w:p w14:paraId="21E38DBA" w14:textId="77777777" w:rsidR="00084F36" w:rsidRPr="00EB2BD8" w:rsidRDefault="00EB2BD8">
            <w:pPr>
              <w:pStyle w:val="TableParagraph"/>
              <w:spacing w:before="115"/>
              <w:ind w:right="112"/>
              <w:jc w:val="right"/>
              <w:rPr>
                <w:sz w:val="16"/>
              </w:rPr>
            </w:pPr>
            <w:r w:rsidRPr="00EB2BD8">
              <w:rPr>
                <w:spacing w:val="-5"/>
                <w:w w:val="85"/>
                <w:sz w:val="16"/>
              </w:rPr>
              <w:t>81</w:t>
            </w:r>
          </w:p>
        </w:tc>
      </w:tr>
      <w:tr w:rsidR="00EB2BD8" w:rsidRPr="00EB2BD8" w14:paraId="66309301" w14:textId="77777777">
        <w:trPr>
          <w:trHeight w:val="381"/>
        </w:trPr>
        <w:tc>
          <w:tcPr>
            <w:tcW w:w="7157" w:type="dxa"/>
            <w:tcBorders>
              <w:top w:val="single" w:sz="2" w:space="0" w:color="000000"/>
              <w:bottom w:val="single" w:sz="2" w:space="0" w:color="000000"/>
            </w:tcBorders>
          </w:tcPr>
          <w:p w14:paraId="4DE1E8B3" w14:textId="77777777" w:rsidR="00084F36" w:rsidRPr="00EB2BD8" w:rsidRDefault="00EB2BD8">
            <w:pPr>
              <w:pStyle w:val="TableParagraph"/>
              <w:spacing w:before="115"/>
              <w:ind w:left="113"/>
              <w:rPr>
                <w:sz w:val="16"/>
              </w:rPr>
            </w:pPr>
            <w:r w:rsidRPr="00EB2BD8">
              <w:rPr>
                <w:sz w:val="16"/>
              </w:rPr>
              <w:t>Situational</w:t>
            </w:r>
            <w:r w:rsidRPr="00EB2BD8">
              <w:rPr>
                <w:spacing w:val="3"/>
                <w:sz w:val="16"/>
              </w:rPr>
              <w:t xml:space="preserve"> </w:t>
            </w:r>
            <w:r w:rsidRPr="00EB2BD8">
              <w:rPr>
                <w:sz w:val="16"/>
              </w:rPr>
              <w:t>Safety</w:t>
            </w:r>
            <w:r w:rsidRPr="00EB2BD8">
              <w:rPr>
                <w:spacing w:val="3"/>
                <w:sz w:val="16"/>
              </w:rPr>
              <w:t xml:space="preserve"> </w:t>
            </w:r>
            <w:r w:rsidRPr="00EB2BD8">
              <w:rPr>
                <w:sz w:val="16"/>
              </w:rPr>
              <w:t>and</w:t>
            </w:r>
            <w:r w:rsidRPr="00EB2BD8">
              <w:rPr>
                <w:spacing w:val="4"/>
                <w:sz w:val="16"/>
              </w:rPr>
              <w:t xml:space="preserve"> </w:t>
            </w:r>
            <w:r w:rsidRPr="00EB2BD8">
              <w:rPr>
                <w:sz w:val="16"/>
              </w:rPr>
              <w:t>Tactical</w:t>
            </w:r>
            <w:r w:rsidRPr="00EB2BD8">
              <w:rPr>
                <w:spacing w:val="3"/>
                <w:sz w:val="16"/>
              </w:rPr>
              <w:t xml:space="preserve"> </w:t>
            </w:r>
            <w:r w:rsidRPr="00EB2BD8">
              <w:rPr>
                <w:spacing w:val="-2"/>
                <w:sz w:val="16"/>
              </w:rPr>
              <w:t>Communications</w:t>
            </w:r>
          </w:p>
        </w:tc>
        <w:tc>
          <w:tcPr>
            <w:tcW w:w="3048" w:type="dxa"/>
            <w:tcBorders>
              <w:top w:val="single" w:sz="2" w:space="0" w:color="000000"/>
              <w:bottom w:val="single" w:sz="2" w:space="0" w:color="000000"/>
            </w:tcBorders>
          </w:tcPr>
          <w:p w14:paraId="6EA90BA4" w14:textId="77777777" w:rsidR="00084F36" w:rsidRPr="00EB2BD8" w:rsidRDefault="00EB2BD8">
            <w:pPr>
              <w:pStyle w:val="TableParagraph"/>
              <w:spacing w:before="115"/>
              <w:ind w:right="112"/>
              <w:jc w:val="right"/>
              <w:rPr>
                <w:sz w:val="16"/>
              </w:rPr>
            </w:pPr>
            <w:r w:rsidRPr="00EB2BD8">
              <w:rPr>
                <w:spacing w:val="-5"/>
                <w:sz w:val="16"/>
              </w:rPr>
              <w:t>70</w:t>
            </w:r>
          </w:p>
        </w:tc>
      </w:tr>
      <w:tr w:rsidR="00EB2BD8" w:rsidRPr="00EB2BD8" w14:paraId="09161E0D" w14:textId="77777777">
        <w:trPr>
          <w:trHeight w:val="381"/>
        </w:trPr>
        <w:tc>
          <w:tcPr>
            <w:tcW w:w="7157" w:type="dxa"/>
            <w:tcBorders>
              <w:top w:val="single" w:sz="2" w:space="0" w:color="000000"/>
              <w:bottom w:val="single" w:sz="2" w:space="0" w:color="000000"/>
            </w:tcBorders>
          </w:tcPr>
          <w:p w14:paraId="70847416" w14:textId="77777777" w:rsidR="00084F36" w:rsidRPr="00EB2BD8" w:rsidRDefault="00EB2BD8">
            <w:pPr>
              <w:pStyle w:val="TableParagraph"/>
              <w:spacing w:before="115"/>
              <w:ind w:left="113"/>
              <w:rPr>
                <w:sz w:val="16"/>
              </w:rPr>
            </w:pPr>
            <w:r w:rsidRPr="00EB2BD8">
              <w:rPr>
                <w:sz w:val="16"/>
              </w:rPr>
              <w:t>VBA</w:t>
            </w:r>
            <w:r w:rsidRPr="00EB2BD8">
              <w:rPr>
                <w:spacing w:val="-3"/>
                <w:sz w:val="16"/>
              </w:rPr>
              <w:t xml:space="preserve"> </w:t>
            </w:r>
            <w:r w:rsidRPr="00EB2BD8">
              <w:rPr>
                <w:sz w:val="16"/>
              </w:rPr>
              <w:t>–</w:t>
            </w:r>
            <w:r w:rsidRPr="00EB2BD8">
              <w:rPr>
                <w:spacing w:val="-2"/>
                <w:sz w:val="16"/>
              </w:rPr>
              <w:t xml:space="preserve"> </w:t>
            </w:r>
            <w:r w:rsidRPr="00EB2BD8">
              <w:rPr>
                <w:sz w:val="16"/>
              </w:rPr>
              <w:t>Privacy</w:t>
            </w:r>
            <w:r w:rsidRPr="00EB2BD8">
              <w:rPr>
                <w:spacing w:val="-3"/>
                <w:sz w:val="16"/>
              </w:rPr>
              <w:t xml:space="preserve"> </w:t>
            </w:r>
            <w:r w:rsidRPr="00EB2BD8">
              <w:rPr>
                <w:sz w:val="16"/>
              </w:rPr>
              <w:t>for</w:t>
            </w:r>
            <w:r w:rsidRPr="00EB2BD8">
              <w:rPr>
                <w:spacing w:val="-2"/>
                <w:sz w:val="16"/>
              </w:rPr>
              <w:t xml:space="preserve"> </w:t>
            </w:r>
            <w:r w:rsidRPr="00EB2BD8">
              <w:rPr>
                <w:sz w:val="16"/>
              </w:rPr>
              <w:t>the</w:t>
            </w:r>
            <w:r w:rsidRPr="00EB2BD8">
              <w:rPr>
                <w:spacing w:val="-3"/>
                <w:sz w:val="16"/>
              </w:rPr>
              <w:t xml:space="preserve"> </w:t>
            </w:r>
            <w:r w:rsidRPr="00EB2BD8">
              <w:rPr>
                <w:sz w:val="16"/>
              </w:rPr>
              <w:t>private</w:t>
            </w:r>
            <w:r w:rsidRPr="00EB2BD8">
              <w:rPr>
                <w:spacing w:val="-2"/>
                <w:sz w:val="16"/>
              </w:rPr>
              <w:t xml:space="preserve"> sector</w:t>
            </w:r>
          </w:p>
        </w:tc>
        <w:tc>
          <w:tcPr>
            <w:tcW w:w="3048" w:type="dxa"/>
            <w:tcBorders>
              <w:top w:val="single" w:sz="2" w:space="0" w:color="000000"/>
              <w:bottom w:val="single" w:sz="2" w:space="0" w:color="000000"/>
            </w:tcBorders>
          </w:tcPr>
          <w:p w14:paraId="24667152" w14:textId="77777777" w:rsidR="00084F36" w:rsidRPr="00EB2BD8" w:rsidRDefault="00EB2BD8">
            <w:pPr>
              <w:pStyle w:val="TableParagraph"/>
              <w:spacing w:before="115"/>
              <w:ind w:right="112"/>
              <w:jc w:val="right"/>
              <w:rPr>
                <w:sz w:val="16"/>
              </w:rPr>
            </w:pPr>
            <w:r w:rsidRPr="00EB2BD8">
              <w:rPr>
                <w:spacing w:val="-5"/>
                <w:sz w:val="16"/>
              </w:rPr>
              <w:t>50</w:t>
            </w:r>
          </w:p>
        </w:tc>
      </w:tr>
      <w:tr w:rsidR="00EB2BD8" w:rsidRPr="00EB2BD8" w14:paraId="485F4475" w14:textId="77777777">
        <w:trPr>
          <w:trHeight w:val="381"/>
        </w:trPr>
        <w:tc>
          <w:tcPr>
            <w:tcW w:w="7157" w:type="dxa"/>
            <w:tcBorders>
              <w:top w:val="single" w:sz="2" w:space="0" w:color="000000"/>
              <w:bottom w:val="single" w:sz="2" w:space="0" w:color="000000"/>
            </w:tcBorders>
          </w:tcPr>
          <w:p w14:paraId="308B823C" w14:textId="77777777" w:rsidR="00084F36" w:rsidRPr="00EB2BD8" w:rsidRDefault="00EB2BD8">
            <w:pPr>
              <w:pStyle w:val="TableParagraph"/>
              <w:spacing w:before="115"/>
              <w:ind w:left="113"/>
              <w:rPr>
                <w:sz w:val="16"/>
              </w:rPr>
            </w:pPr>
            <w:r w:rsidRPr="00EB2BD8">
              <w:rPr>
                <w:sz w:val="16"/>
              </w:rPr>
              <w:t>VBA</w:t>
            </w:r>
            <w:r w:rsidRPr="00EB2BD8">
              <w:rPr>
                <w:spacing w:val="-3"/>
                <w:sz w:val="16"/>
              </w:rPr>
              <w:t xml:space="preserve"> </w:t>
            </w:r>
            <w:r w:rsidRPr="00EB2BD8">
              <w:rPr>
                <w:sz w:val="16"/>
              </w:rPr>
              <w:t>–</w:t>
            </w:r>
            <w:r w:rsidRPr="00EB2BD8">
              <w:rPr>
                <w:spacing w:val="-2"/>
                <w:sz w:val="16"/>
              </w:rPr>
              <w:t xml:space="preserve"> </w:t>
            </w:r>
            <w:r w:rsidRPr="00EB2BD8">
              <w:rPr>
                <w:sz w:val="16"/>
              </w:rPr>
              <w:t>Integrity</w:t>
            </w:r>
            <w:r w:rsidRPr="00EB2BD8">
              <w:rPr>
                <w:spacing w:val="-2"/>
                <w:sz w:val="16"/>
              </w:rPr>
              <w:t xml:space="preserve"> </w:t>
            </w:r>
            <w:r w:rsidRPr="00EB2BD8">
              <w:rPr>
                <w:sz w:val="16"/>
              </w:rPr>
              <w:t>–</w:t>
            </w:r>
            <w:r w:rsidRPr="00EB2BD8">
              <w:rPr>
                <w:spacing w:val="-2"/>
                <w:sz w:val="16"/>
              </w:rPr>
              <w:t xml:space="preserve"> </w:t>
            </w:r>
            <w:r w:rsidRPr="00EB2BD8">
              <w:rPr>
                <w:sz w:val="16"/>
              </w:rPr>
              <w:t>managing</w:t>
            </w:r>
            <w:r w:rsidRPr="00EB2BD8">
              <w:rPr>
                <w:spacing w:val="-3"/>
                <w:sz w:val="16"/>
              </w:rPr>
              <w:t xml:space="preserve"> </w:t>
            </w:r>
            <w:r w:rsidRPr="00EB2BD8">
              <w:rPr>
                <w:sz w:val="16"/>
              </w:rPr>
              <w:t>declarations</w:t>
            </w:r>
            <w:r w:rsidRPr="00EB2BD8">
              <w:rPr>
                <w:spacing w:val="-2"/>
                <w:sz w:val="16"/>
              </w:rPr>
              <w:t xml:space="preserve"> </w:t>
            </w:r>
            <w:r w:rsidRPr="00EB2BD8">
              <w:rPr>
                <w:sz w:val="16"/>
              </w:rPr>
              <w:t>and</w:t>
            </w:r>
            <w:r w:rsidRPr="00EB2BD8">
              <w:rPr>
                <w:spacing w:val="-2"/>
                <w:sz w:val="16"/>
              </w:rPr>
              <w:t xml:space="preserve"> </w:t>
            </w:r>
            <w:r w:rsidRPr="00EB2BD8">
              <w:rPr>
                <w:sz w:val="16"/>
              </w:rPr>
              <w:t>supporting</w:t>
            </w:r>
            <w:r w:rsidRPr="00EB2BD8">
              <w:rPr>
                <w:spacing w:val="-2"/>
                <w:sz w:val="16"/>
              </w:rPr>
              <w:t xml:space="preserve"> reporters</w:t>
            </w:r>
          </w:p>
        </w:tc>
        <w:tc>
          <w:tcPr>
            <w:tcW w:w="3048" w:type="dxa"/>
            <w:tcBorders>
              <w:top w:val="single" w:sz="2" w:space="0" w:color="000000"/>
              <w:bottom w:val="single" w:sz="2" w:space="0" w:color="000000"/>
            </w:tcBorders>
          </w:tcPr>
          <w:p w14:paraId="73100366" w14:textId="77777777" w:rsidR="00084F36" w:rsidRPr="00EB2BD8" w:rsidRDefault="00EB2BD8">
            <w:pPr>
              <w:pStyle w:val="TableParagraph"/>
              <w:spacing w:before="115"/>
              <w:ind w:right="112"/>
              <w:jc w:val="right"/>
              <w:rPr>
                <w:sz w:val="16"/>
              </w:rPr>
            </w:pPr>
            <w:r w:rsidRPr="00EB2BD8">
              <w:rPr>
                <w:spacing w:val="-5"/>
                <w:sz w:val="16"/>
              </w:rPr>
              <w:t>42</w:t>
            </w:r>
          </w:p>
        </w:tc>
      </w:tr>
      <w:tr w:rsidR="00EB2BD8" w:rsidRPr="00EB2BD8" w14:paraId="6A0B71A9" w14:textId="77777777">
        <w:trPr>
          <w:trHeight w:val="381"/>
        </w:trPr>
        <w:tc>
          <w:tcPr>
            <w:tcW w:w="7157" w:type="dxa"/>
            <w:tcBorders>
              <w:top w:val="single" w:sz="2" w:space="0" w:color="000000"/>
              <w:bottom w:val="single" w:sz="2" w:space="0" w:color="000000"/>
            </w:tcBorders>
          </w:tcPr>
          <w:p w14:paraId="09D225A2" w14:textId="77777777" w:rsidR="00084F36" w:rsidRPr="00EB2BD8" w:rsidRDefault="00EB2BD8">
            <w:pPr>
              <w:pStyle w:val="TableParagraph"/>
              <w:spacing w:before="115"/>
              <w:ind w:left="113"/>
              <w:rPr>
                <w:sz w:val="16"/>
              </w:rPr>
            </w:pPr>
            <w:r w:rsidRPr="00EB2BD8">
              <w:rPr>
                <w:sz w:val="16"/>
              </w:rPr>
              <w:t>VBA</w:t>
            </w:r>
            <w:r w:rsidRPr="00EB2BD8">
              <w:rPr>
                <w:spacing w:val="-7"/>
                <w:sz w:val="16"/>
              </w:rPr>
              <w:t xml:space="preserve"> </w:t>
            </w:r>
            <w:r w:rsidRPr="00EB2BD8">
              <w:rPr>
                <w:sz w:val="16"/>
              </w:rPr>
              <w:t>–</w:t>
            </w:r>
            <w:r w:rsidRPr="00EB2BD8">
              <w:rPr>
                <w:spacing w:val="-7"/>
                <w:sz w:val="16"/>
              </w:rPr>
              <w:t xml:space="preserve"> </w:t>
            </w:r>
            <w:r w:rsidRPr="00EB2BD8">
              <w:rPr>
                <w:sz w:val="16"/>
              </w:rPr>
              <w:t>Responding</w:t>
            </w:r>
            <w:r w:rsidRPr="00EB2BD8">
              <w:rPr>
                <w:spacing w:val="-7"/>
                <w:sz w:val="16"/>
              </w:rPr>
              <w:t xml:space="preserve"> </w:t>
            </w:r>
            <w:r w:rsidRPr="00EB2BD8">
              <w:rPr>
                <w:sz w:val="16"/>
              </w:rPr>
              <w:t>to</w:t>
            </w:r>
            <w:r w:rsidRPr="00EB2BD8">
              <w:rPr>
                <w:spacing w:val="-6"/>
                <w:sz w:val="16"/>
              </w:rPr>
              <w:t xml:space="preserve"> </w:t>
            </w:r>
            <w:r w:rsidRPr="00EB2BD8">
              <w:rPr>
                <w:sz w:val="16"/>
              </w:rPr>
              <w:t>threats</w:t>
            </w:r>
            <w:r w:rsidRPr="00EB2BD8">
              <w:rPr>
                <w:spacing w:val="-7"/>
                <w:sz w:val="16"/>
              </w:rPr>
              <w:t xml:space="preserve"> </w:t>
            </w:r>
            <w:r w:rsidRPr="00EB2BD8">
              <w:rPr>
                <w:sz w:val="16"/>
              </w:rPr>
              <w:t>of</w:t>
            </w:r>
            <w:r w:rsidRPr="00EB2BD8">
              <w:rPr>
                <w:spacing w:val="-7"/>
                <w:sz w:val="16"/>
              </w:rPr>
              <w:t xml:space="preserve"> </w:t>
            </w:r>
            <w:r w:rsidRPr="00EB2BD8">
              <w:rPr>
                <w:sz w:val="16"/>
              </w:rPr>
              <w:t>self-</w:t>
            </w:r>
            <w:r w:rsidRPr="00EB2BD8">
              <w:rPr>
                <w:spacing w:val="-4"/>
                <w:sz w:val="16"/>
              </w:rPr>
              <w:t>harm</w:t>
            </w:r>
          </w:p>
        </w:tc>
        <w:tc>
          <w:tcPr>
            <w:tcW w:w="3048" w:type="dxa"/>
            <w:tcBorders>
              <w:top w:val="single" w:sz="2" w:space="0" w:color="000000"/>
              <w:bottom w:val="single" w:sz="2" w:space="0" w:color="000000"/>
            </w:tcBorders>
          </w:tcPr>
          <w:p w14:paraId="5DFA6542" w14:textId="77777777" w:rsidR="00084F36" w:rsidRPr="00EB2BD8" w:rsidRDefault="00EB2BD8">
            <w:pPr>
              <w:pStyle w:val="TableParagraph"/>
              <w:spacing w:before="115"/>
              <w:ind w:right="112"/>
              <w:jc w:val="right"/>
              <w:rPr>
                <w:sz w:val="16"/>
              </w:rPr>
            </w:pPr>
            <w:r w:rsidRPr="00EB2BD8">
              <w:rPr>
                <w:spacing w:val="-5"/>
                <w:sz w:val="16"/>
              </w:rPr>
              <w:t>39</w:t>
            </w:r>
          </w:p>
        </w:tc>
      </w:tr>
      <w:tr w:rsidR="00EB2BD8" w:rsidRPr="00EB2BD8" w14:paraId="76909562" w14:textId="77777777">
        <w:trPr>
          <w:trHeight w:val="381"/>
        </w:trPr>
        <w:tc>
          <w:tcPr>
            <w:tcW w:w="7157" w:type="dxa"/>
            <w:tcBorders>
              <w:top w:val="single" w:sz="2" w:space="0" w:color="000000"/>
              <w:bottom w:val="single" w:sz="2" w:space="0" w:color="000000"/>
            </w:tcBorders>
          </w:tcPr>
          <w:p w14:paraId="541454AF" w14:textId="77777777" w:rsidR="00084F36" w:rsidRPr="00EB2BD8" w:rsidRDefault="00EB2BD8">
            <w:pPr>
              <w:pStyle w:val="TableParagraph"/>
              <w:spacing w:before="115"/>
              <w:ind w:left="113"/>
              <w:rPr>
                <w:sz w:val="16"/>
              </w:rPr>
            </w:pPr>
            <w:r w:rsidRPr="00EB2BD8">
              <w:rPr>
                <w:sz w:val="16"/>
              </w:rPr>
              <w:t>Working</w:t>
            </w:r>
            <w:r w:rsidRPr="00EB2BD8">
              <w:rPr>
                <w:spacing w:val="-10"/>
                <w:sz w:val="16"/>
              </w:rPr>
              <w:t xml:space="preserve"> </w:t>
            </w:r>
            <w:r w:rsidRPr="00EB2BD8">
              <w:rPr>
                <w:sz w:val="16"/>
              </w:rPr>
              <w:t>safely</w:t>
            </w:r>
            <w:r w:rsidRPr="00EB2BD8">
              <w:rPr>
                <w:spacing w:val="-10"/>
                <w:sz w:val="16"/>
              </w:rPr>
              <w:t xml:space="preserve"> </w:t>
            </w:r>
            <w:r w:rsidRPr="00EB2BD8">
              <w:rPr>
                <w:sz w:val="16"/>
              </w:rPr>
              <w:t>at</w:t>
            </w:r>
            <w:r w:rsidRPr="00EB2BD8">
              <w:rPr>
                <w:spacing w:val="-10"/>
                <w:sz w:val="16"/>
              </w:rPr>
              <w:t xml:space="preserve"> </w:t>
            </w:r>
            <w:r w:rsidRPr="00EB2BD8">
              <w:rPr>
                <w:spacing w:val="-2"/>
                <w:sz w:val="16"/>
              </w:rPr>
              <w:t>heights</w:t>
            </w:r>
          </w:p>
        </w:tc>
        <w:tc>
          <w:tcPr>
            <w:tcW w:w="3048" w:type="dxa"/>
            <w:tcBorders>
              <w:top w:val="single" w:sz="2" w:space="0" w:color="000000"/>
              <w:bottom w:val="single" w:sz="2" w:space="0" w:color="000000"/>
            </w:tcBorders>
          </w:tcPr>
          <w:p w14:paraId="2B0193D1" w14:textId="77777777" w:rsidR="00084F36" w:rsidRPr="00EB2BD8" w:rsidRDefault="00EB2BD8">
            <w:pPr>
              <w:pStyle w:val="TableParagraph"/>
              <w:spacing w:before="115"/>
              <w:ind w:right="115"/>
              <w:jc w:val="right"/>
              <w:rPr>
                <w:sz w:val="16"/>
              </w:rPr>
            </w:pPr>
            <w:r w:rsidRPr="00EB2BD8">
              <w:rPr>
                <w:spacing w:val="-5"/>
                <w:sz w:val="16"/>
              </w:rPr>
              <w:t>24</w:t>
            </w:r>
          </w:p>
        </w:tc>
      </w:tr>
      <w:tr w:rsidR="00EB2BD8" w:rsidRPr="00EB2BD8" w14:paraId="34A71066" w14:textId="77777777">
        <w:trPr>
          <w:trHeight w:val="381"/>
        </w:trPr>
        <w:tc>
          <w:tcPr>
            <w:tcW w:w="7157" w:type="dxa"/>
            <w:tcBorders>
              <w:top w:val="single" w:sz="2" w:space="0" w:color="000000"/>
              <w:bottom w:val="single" w:sz="2" w:space="0" w:color="000000"/>
            </w:tcBorders>
          </w:tcPr>
          <w:p w14:paraId="23BFD65A" w14:textId="77777777" w:rsidR="00084F36" w:rsidRPr="00EB2BD8" w:rsidRDefault="00EB2BD8">
            <w:pPr>
              <w:pStyle w:val="TableParagraph"/>
              <w:spacing w:before="115"/>
              <w:ind w:left="113"/>
              <w:rPr>
                <w:sz w:val="16"/>
              </w:rPr>
            </w:pPr>
            <w:r w:rsidRPr="00EB2BD8">
              <w:rPr>
                <w:sz w:val="16"/>
              </w:rPr>
              <w:t>Cert</w:t>
            </w:r>
            <w:r w:rsidRPr="00EB2BD8">
              <w:rPr>
                <w:spacing w:val="-12"/>
                <w:sz w:val="16"/>
              </w:rPr>
              <w:t xml:space="preserve"> </w:t>
            </w:r>
            <w:r w:rsidRPr="00EB2BD8">
              <w:rPr>
                <w:sz w:val="16"/>
              </w:rPr>
              <w:t>IV</w:t>
            </w:r>
            <w:r w:rsidRPr="00EB2BD8">
              <w:rPr>
                <w:spacing w:val="-11"/>
                <w:sz w:val="16"/>
              </w:rPr>
              <w:t xml:space="preserve"> </w:t>
            </w:r>
            <w:r w:rsidRPr="00EB2BD8">
              <w:rPr>
                <w:sz w:val="16"/>
              </w:rPr>
              <w:t>in</w:t>
            </w:r>
            <w:r w:rsidRPr="00EB2BD8">
              <w:rPr>
                <w:spacing w:val="-11"/>
                <w:sz w:val="16"/>
              </w:rPr>
              <w:t xml:space="preserve"> </w:t>
            </w:r>
            <w:r w:rsidRPr="00EB2BD8">
              <w:rPr>
                <w:sz w:val="16"/>
              </w:rPr>
              <w:t>Government</w:t>
            </w:r>
            <w:r w:rsidRPr="00EB2BD8">
              <w:rPr>
                <w:spacing w:val="-11"/>
                <w:sz w:val="16"/>
              </w:rPr>
              <w:t xml:space="preserve"> </w:t>
            </w:r>
            <w:r w:rsidRPr="00EB2BD8">
              <w:rPr>
                <w:spacing w:val="-2"/>
                <w:sz w:val="16"/>
              </w:rPr>
              <w:t>Investigations</w:t>
            </w:r>
          </w:p>
        </w:tc>
        <w:tc>
          <w:tcPr>
            <w:tcW w:w="3048" w:type="dxa"/>
            <w:tcBorders>
              <w:top w:val="single" w:sz="2" w:space="0" w:color="000000"/>
              <w:bottom w:val="single" w:sz="2" w:space="0" w:color="000000"/>
            </w:tcBorders>
          </w:tcPr>
          <w:p w14:paraId="118EF704" w14:textId="77777777" w:rsidR="00084F36" w:rsidRPr="00EB2BD8" w:rsidRDefault="00EB2BD8">
            <w:pPr>
              <w:pStyle w:val="TableParagraph"/>
              <w:spacing w:before="115"/>
              <w:ind w:right="112"/>
              <w:jc w:val="right"/>
              <w:rPr>
                <w:sz w:val="16"/>
              </w:rPr>
            </w:pPr>
            <w:r w:rsidRPr="00EB2BD8">
              <w:rPr>
                <w:spacing w:val="-5"/>
                <w:w w:val="85"/>
                <w:sz w:val="16"/>
              </w:rPr>
              <w:t>19</w:t>
            </w:r>
          </w:p>
        </w:tc>
      </w:tr>
      <w:tr w:rsidR="00EB2BD8" w:rsidRPr="00EB2BD8" w14:paraId="017BBA2A" w14:textId="77777777">
        <w:trPr>
          <w:trHeight w:val="381"/>
        </w:trPr>
        <w:tc>
          <w:tcPr>
            <w:tcW w:w="7157" w:type="dxa"/>
            <w:tcBorders>
              <w:top w:val="single" w:sz="2" w:space="0" w:color="000000"/>
              <w:bottom w:val="single" w:sz="2" w:space="0" w:color="000000"/>
            </w:tcBorders>
          </w:tcPr>
          <w:p w14:paraId="082CD886" w14:textId="77777777" w:rsidR="00084F36" w:rsidRPr="00EB2BD8" w:rsidRDefault="00EB2BD8">
            <w:pPr>
              <w:pStyle w:val="TableParagraph"/>
              <w:spacing w:before="115"/>
              <w:ind w:left="113"/>
              <w:rPr>
                <w:sz w:val="16"/>
              </w:rPr>
            </w:pPr>
            <w:r w:rsidRPr="00EB2BD8">
              <w:rPr>
                <w:sz w:val="16"/>
              </w:rPr>
              <w:t>VPS</w:t>
            </w:r>
            <w:r w:rsidRPr="00EB2BD8">
              <w:rPr>
                <w:spacing w:val="1"/>
                <w:sz w:val="16"/>
              </w:rPr>
              <w:t xml:space="preserve"> </w:t>
            </w:r>
            <w:r w:rsidRPr="00EB2BD8">
              <w:rPr>
                <w:sz w:val="16"/>
              </w:rPr>
              <w:t>5-6</w:t>
            </w:r>
            <w:r w:rsidRPr="00EB2BD8">
              <w:rPr>
                <w:spacing w:val="1"/>
                <w:sz w:val="16"/>
              </w:rPr>
              <w:t xml:space="preserve"> </w:t>
            </w:r>
            <w:r w:rsidRPr="00EB2BD8">
              <w:rPr>
                <w:sz w:val="16"/>
              </w:rPr>
              <w:t>High</w:t>
            </w:r>
            <w:r w:rsidRPr="00EB2BD8">
              <w:rPr>
                <w:spacing w:val="1"/>
                <w:sz w:val="16"/>
              </w:rPr>
              <w:t xml:space="preserve"> </w:t>
            </w:r>
            <w:r w:rsidRPr="00EB2BD8">
              <w:rPr>
                <w:sz w:val="16"/>
              </w:rPr>
              <w:t>Performance</w:t>
            </w:r>
            <w:r w:rsidRPr="00EB2BD8">
              <w:rPr>
                <w:spacing w:val="1"/>
                <w:sz w:val="16"/>
              </w:rPr>
              <w:t xml:space="preserve"> </w:t>
            </w:r>
            <w:r w:rsidRPr="00EB2BD8">
              <w:rPr>
                <w:spacing w:val="-2"/>
                <w:sz w:val="16"/>
              </w:rPr>
              <w:t>workshop</w:t>
            </w:r>
          </w:p>
        </w:tc>
        <w:tc>
          <w:tcPr>
            <w:tcW w:w="3048" w:type="dxa"/>
            <w:tcBorders>
              <w:top w:val="single" w:sz="2" w:space="0" w:color="000000"/>
              <w:bottom w:val="single" w:sz="2" w:space="0" w:color="000000"/>
            </w:tcBorders>
          </w:tcPr>
          <w:p w14:paraId="3B7B3A63" w14:textId="77777777" w:rsidR="00084F36" w:rsidRPr="00EB2BD8" w:rsidRDefault="00EB2BD8">
            <w:pPr>
              <w:pStyle w:val="TableParagraph"/>
              <w:spacing w:before="115"/>
              <w:ind w:right="112"/>
              <w:jc w:val="right"/>
              <w:rPr>
                <w:sz w:val="16"/>
              </w:rPr>
            </w:pPr>
            <w:r w:rsidRPr="00EB2BD8">
              <w:rPr>
                <w:spacing w:val="-5"/>
                <w:w w:val="90"/>
                <w:sz w:val="16"/>
              </w:rPr>
              <w:t>10</w:t>
            </w:r>
          </w:p>
        </w:tc>
      </w:tr>
      <w:tr w:rsidR="00EB2BD8" w:rsidRPr="00EB2BD8" w14:paraId="21630B71" w14:textId="77777777">
        <w:trPr>
          <w:trHeight w:val="381"/>
        </w:trPr>
        <w:tc>
          <w:tcPr>
            <w:tcW w:w="7157" w:type="dxa"/>
            <w:tcBorders>
              <w:top w:val="single" w:sz="2" w:space="0" w:color="000000"/>
              <w:bottom w:val="single" w:sz="2" w:space="0" w:color="000000"/>
            </w:tcBorders>
          </w:tcPr>
          <w:p w14:paraId="02A19AB4" w14:textId="77777777" w:rsidR="00084F36" w:rsidRPr="00EB2BD8" w:rsidRDefault="00EB2BD8">
            <w:pPr>
              <w:pStyle w:val="TableParagraph"/>
              <w:spacing w:before="115"/>
              <w:ind w:left="113"/>
              <w:rPr>
                <w:sz w:val="16"/>
              </w:rPr>
            </w:pPr>
            <w:r w:rsidRPr="00EB2BD8">
              <w:rPr>
                <w:sz w:val="16"/>
              </w:rPr>
              <w:t>Analytical</w:t>
            </w:r>
            <w:r w:rsidRPr="00EB2BD8">
              <w:rPr>
                <w:spacing w:val="-6"/>
                <w:sz w:val="16"/>
              </w:rPr>
              <w:t xml:space="preserve"> </w:t>
            </w:r>
            <w:r w:rsidRPr="00EB2BD8">
              <w:rPr>
                <w:spacing w:val="-2"/>
                <w:sz w:val="16"/>
              </w:rPr>
              <w:t>Writing</w:t>
            </w:r>
          </w:p>
        </w:tc>
        <w:tc>
          <w:tcPr>
            <w:tcW w:w="3048" w:type="dxa"/>
            <w:tcBorders>
              <w:top w:val="single" w:sz="2" w:space="0" w:color="000000"/>
              <w:bottom w:val="single" w:sz="2" w:space="0" w:color="000000"/>
            </w:tcBorders>
          </w:tcPr>
          <w:p w14:paraId="0CB89CC6" w14:textId="77777777" w:rsidR="00084F36" w:rsidRPr="00EB2BD8" w:rsidRDefault="00EB2BD8">
            <w:pPr>
              <w:pStyle w:val="TableParagraph"/>
              <w:spacing w:before="115"/>
              <w:ind w:right="111"/>
              <w:jc w:val="right"/>
              <w:rPr>
                <w:sz w:val="16"/>
              </w:rPr>
            </w:pPr>
            <w:r w:rsidRPr="00EB2BD8">
              <w:rPr>
                <w:w w:val="96"/>
                <w:sz w:val="16"/>
              </w:rPr>
              <w:t>6</w:t>
            </w:r>
          </w:p>
        </w:tc>
      </w:tr>
      <w:tr w:rsidR="00EB2BD8" w:rsidRPr="00EB2BD8" w14:paraId="35BB51B4" w14:textId="77777777">
        <w:trPr>
          <w:trHeight w:val="381"/>
        </w:trPr>
        <w:tc>
          <w:tcPr>
            <w:tcW w:w="7157" w:type="dxa"/>
            <w:tcBorders>
              <w:top w:val="single" w:sz="2" w:space="0" w:color="000000"/>
              <w:bottom w:val="single" w:sz="2" w:space="0" w:color="000000"/>
            </w:tcBorders>
          </w:tcPr>
          <w:p w14:paraId="6FBABF64" w14:textId="77777777" w:rsidR="00084F36" w:rsidRPr="00EB2BD8" w:rsidRDefault="00EB2BD8">
            <w:pPr>
              <w:pStyle w:val="TableParagraph"/>
              <w:spacing w:before="115"/>
              <w:ind w:left="113"/>
              <w:rPr>
                <w:sz w:val="16"/>
              </w:rPr>
            </w:pPr>
            <w:r w:rsidRPr="00EB2BD8">
              <w:rPr>
                <w:spacing w:val="-2"/>
                <w:sz w:val="16"/>
              </w:rPr>
              <w:t>Thermostatic</w:t>
            </w:r>
            <w:r w:rsidRPr="00EB2BD8">
              <w:rPr>
                <w:spacing w:val="-4"/>
                <w:sz w:val="16"/>
              </w:rPr>
              <w:t xml:space="preserve"> </w:t>
            </w:r>
            <w:r w:rsidRPr="00EB2BD8">
              <w:rPr>
                <w:spacing w:val="-2"/>
                <w:sz w:val="16"/>
              </w:rPr>
              <w:t>Mixing</w:t>
            </w:r>
            <w:r w:rsidRPr="00EB2BD8">
              <w:rPr>
                <w:spacing w:val="-3"/>
                <w:sz w:val="16"/>
              </w:rPr>
              <w:t xml:space="preserve"> </w:t>
            </w:r>
            <w:r w:rsidRPr="00EB2BD8">
              <w:rPr>
                <w:spacing w:val="-4"/>
                <w:sz w:val="16"/>
              </w:rPr>
              <w:t>Valve</w:t>
            </w:r>
          </w:p>
        </w:tc>
        <w:tc>
          <w:tcPr>
            <w:tcW w:w="3048" w:type="dxa"/>
            <w:tcBorders>
              <w:top w:val="single" w:sz="2" w:space="0" w:color="000000"/>
              <w:bottom w:val="single" w:sz="2" w:space="0" w:color="000000"/>
            </w:tcBorders>
          </w:tcPr>
          <w:p w14:paraId="6A4D6227" w14:textId="77777777" w:rsidR="00084F36" w:rsidRPr="00EB2BD8" w:rsidRDefault="00EB2BD8">
            <w:pPr>
              <w:pStyle w:val="TableParagraph"/>
              <w:spacing w:before="115"/>
              <w:ind w:right="111"/>
              <w:jc w:val="right"/>
              <w:rPr>
                <w:sz w:val="16"/>
              </w:rPr>
            </w:pPr>
            <w:r w:rsidRPr="00EB2BD8">
              <w:rPr>
                <w:w w:val="96"/>
                <w:sz w:val="16"/>
              </w:rPr>
              <w:t>6</w:t>
            </w:r>
          </w:p>
        </w:tc>
      </w:tr>
      <w:tr w:rsidR="00EB2BD8" w:rsidRPr="00EB2BD8" w14:paraId="6E85171F" w14:textId="77777777">
        <w:trPr>
          <w:trHeight w:val="381"/>
        </w:trPr>
        <w:tc>
          <w:tcPr>
            <w:tcW w:w="7157" w:type="dxa"/>
            <w:tcBorders>
              <w:top w:val="single" w:sz="2" w:space="0" w:color="000000"/>
              <w:bottom w:val="single" w:sz="2" w:space="0" w:color="000000"/>
            </w:tcBorders>
          </w:tcPr>
          <w:p w14:paraId="6E3A3091" w14:textId="77777777" w:rsidR="00084F36" w:rsidRPr="00EB2BD8" w:rsidRDefault="00EB2BD8">
            <w:pPr>
              <w:pStyle w:val="TableParagraph"/>
              <w:spacing w:before="115"/>
              <w:ind w:left="113"/>
              <w:rPr>
                <w:sz w:val="16"/>
              </w:rPr>
            </w:pPr>
            <w:r w:rsidRPr="00EB2BD8">
              <w:rPr>
                <w:sz w:val="16"/>
              </w:rPr>
              <w:t>Commission</w:t>
            </w:r>
            <w:r w:rsidRPr="00EB2BD8">
              <w:rPr>
                <w:spacing w:val="-13"/>
                <w:sz w:val="16"/>
              </w:rPr>
              <w:t xml:space="preserve"> </w:t>
            </w:r>
            <w:r w:rsidRPr="00EB2BD8">
              <w:rPr>
                <w:sz w:val="16"/>
              </w:rPr>
              <w:t>and</w:t>
            </w:r>
            <w:r w:rsidRPr="00EB2BD8">
              <w:rPr>
                <w:spacing w:val="-12"/>
                <w:sz w:val="16"/>
              </w:rPr>
              <w:t xml:space="preserve"> </w:t>
            </w:r>
            <w:r w:rsidRPr="00EB2BD8">
              <w:rPr>
                <w:sz w:val="16"/>
              </w:rPr>
              <w:t>maintain</w:t>
            </w:r>
            <w:r w:rsidRPr="00EB2BD8">
              <w:rPr>
                <w:spacing w:val="-12"/>
                <w:sz w:val="16"/>
              </w:rPr>
              <w:t xml:space="preserve"> </w:t>
            </w:r>
            <w:r w:rsidRPr="00EB2BD8">
              <w:rPr>
                <w:sz w:val="16"/>
              </w:rPr>
              <w:t>backflow</w:t>
            </w:r>
            <w:r w:rsidRPr="00EB2BD8">
              <w:rPr>
                <w:spacing w:val="-12"/>
                <w:sz w:val="16"/>
              </w:rPr>
              <w:t xml:space="preserve"> </w:t>
            </w:r>
            <w:r w:rsidRPr="00EB2BD8">
              <w:rPr>
                <w:sz w:val="16"/>
              </w:rPr>
              <w:t>prevention</w:t>
            </w:r>
            <w:r w:rsidRPr="00EB2BD8">
              <w:rPr>
                <w:spacing w:val="-12"/>
                <w:sz w:val="16"/>
              </w:rPr>
              <w:t xml:space="preserve"> </w:t>
            </w:r>
            <w:r w:rsidRPr="00EB2BD8">
              <w:rPr>
                <w:spacing w:val="-2"/>
                <w:sz w:val="16"/>
              </w:rPr>
              <w:t>devices</w:t>
            </w:r>
          </w:p>
        </w:tc>
        <w:tc>
          <w:tcPr>
            <w:tcW w:w="3048" w:type="dxa"/>
            <w:tcBorders>
              <w:top w:val="single" w:sz="2" w:space="0" w:color="000000"/>
              <w:bottom w:val="single" w:sz="2" w:space="0" w:color="000000"/>
            </w:tcBorders>
          </w:tcPr>
          <w:p w14:paraId="49662422" w14:textId="77777777" w:rsidR="00084F36" w:rsidRPr="00EB2BD8" w:rsidRDefault="00EB2BD8">
            <w:pPr>
              <w:pStyle w:val="TableParagraph"/>
              <w:spacing w:before="115"/>
              <w:ind w:right="111"/>
              <w:jc w:val="right"/>
              <w:rPr>
                <w:sz w:val="16"/>
              </w:rPr>
            </w:pPr>
            <w:r w:rsidRPr="00EB2BD8">
              <w:rPr>
                <w:w w:val="88"/>
                <w:sz w:val="16"/>
              </w:rPr>
              <w:t>5</w:t>
            </w:r>
          </w:p>
        </w:tc>
      </w:tr>
      <w:tr w:rsidR="00EB2BD8" w:rsidRPr="00EB2BD8" w14:paraId="3B5E7063" w14:textId="77777777">
        <w:trPr>
          <w:trHeight w:val="381"/>
        </w:trPr>
        <w:tc>
          <w:tcPr>
            <w:tcW w:w="7157" w:type="dxa"/>
            <w:tcBorders>
              <w:top w:val="single" w:sz="2" w:space="0" w:color="000000"/>
              <w:bottom w:val="single" w:sz="2" w:space="0" w:color="000000"/>
            </w:tcBorders>
          </w:tcPr>
          <w:p w14:paraId="02D4FA40" w14:textId="77777777" w:rsidR="00084F36" w:rsidRPr="00EB2BD8" w:rsidRDefault="00EB2BD8">
            <w:pPr>
              <w:pStyle w:val="TableParagraph"/>
              <w:spacing w:before="115"/>
              <w:ind w:left="113"/>
              <w:rPr>
                <w:sz w:val="16"/>
              </w:rPr>
            </w:pPr>
            <w:r w:rsidRPr="00EB2BD8">
              <w:rPr>
                <w:sz w:val="16"/>
              </w:rPr>
              <w:t>Women</w:t>
            </w:r>
            <w:r w:rsidRPr="00EB2BD8">
              <w:rPr>
                <w:spacing w:val="-3"/>
                <w:sz w:val="16"/>
              </w:rPr>
              <w:t xml:space="preserve"> </w:t>
            </w:r>
            <w:r w:rsidRPr="00EB2BD8">
              <w:rPr>
                <w:sz w:val="16"/>
              </w:rPr>
              <w:t>in</w:t>
            </w:r>
            <w:r w:rsidRPr="00EB2BD8">
              <w:rPr>
                <w:spacing w:val="-2"/>
                <w:sz w:val="16"/>
              </w:rPr>
              <w:t xml:space="preserve"> </w:t>
            </w:r>
            <w:r w:rsidRPr="00EB2BD8">
              <w:rPr>
                <w:sz w:val="16"/>
              </w:rPr>
              <w:t>Leadership</w:t>
            </w:r>
            <w:r w:rsidRPr="00EB2BD8">
              <w:rPr>
                <w:spacing w:val="-2"/>
                <w:sz w:val="16"/>
              </w:rPr>
              <w:t xml:space="preserve"> </w:t>
            </w:r>
            <w:r w:rsidRPr="00EB2BD8">
              <w:rPr>
                <w:sz w:val="16"/>
              </w:rPr>
              <w:t>–</w:t>
            </w:r>
            <w:r w:rsidRPr="00EB2BD8">
              <w:rPr>
                <w:spacing w:val="-2"/>
                <w:sz w:val="16"/>
              </w:rPr>
              <w:t xml:space="preserve"> </w:t>
            </w:r>
            <w:r w:rsidRPr="00EB2BD8">
              <w:rPr>
                <w:sz w:val="16"/>
              </w:rPr>
              <w:t>Executive</w:t>
            </w:r>
            <w:r w:rsidRPr="00EB2BD8">
              <w:rPr>
                <w:spacing w:val="-2"/>
                <w:sz w:val="16"/>
              </w:rPr>
              <w:t xml:space="preserve"> Ready</w:t>
            </w:r>
          </w:p>
        </w:tc>
        <w:tc>
          <w:tcPr>
            <w:tcW w:w="3048" w:type="dxa"/>
            <w:tcBorders>
              <w:top w:val="single" w:sz="2" w:space="0" w:color="000000"/>
              <w:bottom w:val="single" w:sz="2" w:space="0" w:color="000000"/>
            </w:tcBorders>
          </w:tcPr>
          <w:p w14:paraId="3F9111A3" w14:textId="77777777" w:rsidR="00084F36" w:rsidRPr="00EB2BD8" w:rsidRDefault="00EB2BD8">
            <w:pPr>
              <w:pStyle w:val="TableParagraph"/>
              <w:spacing w:before="115"/>
              <w:ind w:right="111"/>
              <w:jc w:val="right"/>
              <w:rPr>
                <w:sz w:val="16"/>
              </w:rPr>
            </w:pPr>
            <w:r w:rsidRPr="00EB2BD8">
              <w:rPr>
                <w:w w:val="88"/>
                <w:sz w:val="16"/>
              </w:rPr>
              <w:t>5</w:t>
            </w:r>
          </w:p>
        </w:tc>
      </w:tr>
      <w:tr w:rsidR="00EB2BD8" w:rsidRPr="00EB2BD8" w14:paraId="3610125F" w14:textId="77777777">
        <w:trPr>
          <w:trHeight w:val="381"/>
        </w:trPr>
        <w:tc>
          <w:tcPr>
            <w:tcW w:w="7157" w:type="dxa"/>
            <w:tcBorders>
              <w:top w:val="single" w:sz="2" w:space="0" w:color="000000"/>
              <w:bottom w:val="single" w:sz="2" w:space="0" w:color="000000"/>
            </w:tcBorders>
          </w:tcPr>
          <w:p w14:paraId="310A4C19" w14:textId="77777777" w:rsidR="00084F36" w:rsidRPr="00EB2BD8" w:rsidRDefault="00EB2BD8">
            <w:pPr>
              <w:pStyle w:val="TableParagraph"/>
              <w:spacing w:before="115"/>
              <w:ind w:left="113"/>
              <w:rPr>
                <w:sz w:val="16"/>
              </w:rPr>
            </w:pPr>
            <w:r w:rsidRPr="00EB2BD8">
              <w:rPr>
                <w:sz w:val="16"/>
              </w:rPr>
              <w:t>Women</w:t>
            </w:r>
            <w:r w:rsidRPr="00EB2BD8">
              <w:rPr>
                <w:spacing w:val="-1"/>
                <w:sz w:val="16"/>
              </w:rPr>
              <w:t xml:space="preserve"> </w:t>
            </w:r>
            <w:r w:rsidRPr="00EB2BD8">
              <w:rPr>
                <w:sz w:val="16"/>
              </w:rPr>
              <w:t>in</w:t>
            </w:r>
            <w:r w:rsidRPr="00EB2BD8">
              <w:rPr>
                <w:spacing w:val="-1"/>
                <w:sz w:val="16"/>
              </w:rPr>
              <w:t xml:space="preserve"> </w:t>
            </w:r>
            <w:r w:rsidRPr="00EB2BD8">
              <w:rPr>
                <w:sz w:val="16"/>
              </w:rPr>
              <w:t>Leadership –</w:t>
            </w:r>
            <w:r w:rsidRPr="00EB2BD8">
              <w:rPr>
                <w:spacing w:val="-1"/>
                <w:sz w:val="16"/>
              </w:rPr>
              <w:t xml:space="preserve"> </w:t>
            </w:r>
            <w:r w:rsidRPr="00EB2BD8">
              <w:rPr>
                <w:sz w:val="16"/>
              </w:rPr>
              <w:t xml:space="preserve">Leading </w:t>
            </w:r>
            <w:r w:rsidRPr="00EB2BD8">
              <w:rPr>
                <w:spacing w:val="-4"/>
                <w:sz w:val="16"/>
              </w:rPr>
              <w:t>Edge</w:t>
            </w:r>
          </w:p>
        </w:tc>
        <w:tc>
          <w:tcPr>
            <w:tcW w:w="3048" w:type="dxa"/>
            <w:tcBorders>
              <w:top w:val="single" w:sz="2" w:space="0" w:color="000000"/>
              <w:bottom w:val="single" w:sz="2" w:space="0" w:color="000000"/>
            </w:tcBorders>
          </w:tcPr>
          <w:p w14:paraId="73163585" w14:textId="77777777" w:rsidR="00084F36" w:rsidRPr="00EB2BD8" w:rsidRDefault="00EB2BD8">
            <w:pPr>
              <w:pStyle w:val="TableParagraph"/>
              <w:spacing w:before="115"/>
              <w:ind w:right="111"/>
              <w:jc w:val="right"/>
              <w:rPr>
                <w:sz w:val="16"/>
              </w:rPr>
            </w:pPr>
            <w:r w:rsidRPr="00EB2BD8">
              <w:rPr>
                <w:w w:val="98"/>
                <w:sz w:val="16"/>
              </w:rPr>
              <w:t>4</w:t>
            </w:r>
          </w:p>
        </w:tc>
      </w:tr>
      <w:tr w:rsidR="00EB2BD8" w:rsidRPr="00EB2BD8" w14:paraId="49D4061A" w14:textId="77777777">
        <w:trPr>
          <w:trHeight w:val="381"/>
        </w:trPr>
        <w:tc>
          <w:tcPr>
            <w:tcW w:w="7157" w:type="dxa"/>
            <w:tcBorders>
              <w:top w:val="single" w:sz="2" w:space="0" w:color="000000"/>
              <w:bottom w:val="single" w:sz="2" w:space="0" w:color="000000"/>
            </w:tcBorders>
          </w:tcPr>
          <w:p w14:paraId="219DA573" w14:textId="77777777" w:rsidR="00084F36" w:rsidRPr="00EB2BD8" w:rsidRDefault="00EB2BD8">
            <w:pPr>
              <w:pStyle w:val="TableParagraph"/>
              <w:spacing w:before="115"/>
              <w:ind w:left="113"/>
              <w:rPr>
                <w:sz w:val="16"/>
              </w:rPr>
            </w:pPr>
            <w:r w:rsidRPr="00EB2BD8">
              <w:rPr>
                <w:spacing w:val="-2"/>
                <w:sz w:val="16"/>
              </w:rPr>
              <w:t>First</w:t>
            </w:r>
            <w:r w:rsidRPr="00EB2BD8">
              <w:rPr>
                <w:spacing w:val="-8"/>
                <w:sz w:val="16"/>
              </w:rPr>
              <w:t xml:space="preserve"> </w:t>
            </w:r>
            <w:r w:rsidRPr="00EB2BD8">
              <w:rPr>
                <w:spacing w:val="-5"/>
                <w:sz w:val="16"/>
              </w:rPr>
              <w:t>Aid</w:t>
            </w:r>
          </w:p>
        </w:tc>
        <w:tc>
          <w:tcPr>
            <w:tcW w:w="3048" w:type="dxa"/>
            <w:tcBorders>
              <w:top w:val="single" w:sz="2" w:space="0" w:color="000000"/>
              <w:bottom w:val="single" w:sz="2" w:space="0" w:color="000000"/>
            </w:tcBorders>
          </w:tcPr>
          <w:p w14:paraId="37E0E593" w14:textId="77777777" w:rsidR="00084F36" w:rsidRPr="00EB2BD8" w:rsidRDefault="00EB2BD8">
            <w:pPr>
              <w:pStyle w:val="TableParagraph"/>
              <w:spacing w:before="115"/>
              <w:ind w:right="111"/>
              <w:jc w:val="right"/>
              <w:rPr>
                <w:sz w:val="16"/>
              </w:rPr>
            </w:pPr>
            <w:r w:rsidRPr="00EB2BD8">
              <w:rPr>
                <w:w w:val="98"/>
                <w:sz w:val="16"/>
              </w:rPr>
              <w:t>4</w:t>
            </w:r>
          </w:p>
        </w:tc>
      </w:tr>
      <w:tr w:rsidR="00EB2BD8" w:rsidRPr="00EB2BD8" w14:paraId="506145F6" w14:textId="77777777">
        <w:trPr>
          <w:trHeight w:val="381"/>
        </w:trPr>
        <w:tc>
          <w:tcPr>
            <w:tcW w:w="7157" w:type="dxa"/>
            <w:tcBorders>
              <w:top w:val="single" w:sz="2" w:space="0" w:color="000000"/>
              <w:bottom w:val="single" w:sz="2" w:space="0" w:color="000000"/>
            </w:tcBorders>
          </w:tcPr>
          <w:p w14:paraId="65FAFB25" w14:textId="77777777" w:rsidR="00084F36" w:rsidRPr="00EB2BD8" w:rsidRDefault="00EB2BD8">
            <w:pPr>
              <w:pStyle w:val="TableParagraph"/>
              <w:spacing w:before="115"/>
              <w:ind w:left="113"/>
              <w:rPr>
                <w:sz w:val="16"/>
              </w:rPr>
            </w:pPr>
            <w:r w:rsidRPr="00EB2BD8">
              <w:rPr>
                <w:sz w:val="16"/>
              </w:rPr>
              <w:t>Cert</w:t>
            </w:r>
            <w:r w:rsidRPr="00EB2BD8">
              <w:rPr>
                <w:spacing w:val="-13"/>
                <w:sz w:val="16"/>
              </w:rPr>
              <w:t xml:space="preserve"> </w:t>
            </w:r>
            <w:r w:rsidRPr="00EB2BD8">
              <w:rPr>
                <w:sz w:val="16"/>
              </w:rPr>
              <w:t>IV</w:t>
            </w:r>
            <w:r w:rsidRPr="00EB2BD8">
              <w:rPr>
                <w:spacing w:val="-12"/>
                <w:sz w:val="16"/>
              </w:rPr>
              <w:t xml:space="preserve"> </w:t>
            </w:r>
            <w:r w:rsidRPr="00EB2BD8">
              <w:rPr>
                <w:sz w:val="16"/>
              </w:rPr>
              <w:t>in</w:t>
            </w:r>
            <w:r w:rsidRPr="00EB2BD8">
              <w:rPr>
                <w:spacing w:val="-12"/>
                <w:sz w:val="16"/>
              </w:rPr>
              <w:t xml:space="preserve"> </w:t>
            </w:r>
            <w:r w:rsidRPr="00EB2BD8">
              <w:rPr>
                <w:sz w:val="16"/>
              </w:rPr>
              <w:t>Training</w:t>
            </w:r>
            <w:r w:rsidRPr="00EB2BD8">
              <w:rPr>
                <w:spacing w:val="-13"/>
                <w:sz w:val="16"/>
              </w:rPr>
              <w:t xml:space="preserve"> </w:t>
            </w:r>
            <w:r w:rsidRPr="00EB2BD8">
              <w:rPr>
                <w:sz w:val="16"/>
              </w:rPr>
              <w:t>and</w:t>
            </w:r>
            <w:r w:rsidRPr="00EB2BD8">
              <w:rPr>
                <w:spacing w:val="-12"/>
                <w:sz w:val="16"/>
              </w:rPr>
              <w:t xml:space="preserve"> </w:t>
            </w:r>
            <w:r w:rsidRPr="00EB2BD8">
              <w:rPr>
                <w:spacing w:val="-2"/>
                <w:sz w:val="16"/>
              </w:rPr>
              <w:t>Assessment</w:t>
            </w:r>
          </w:p>
        </w:tc>
        <w:tc>
          <w:tcPr>
            <w:tcW w:w="3048" w:type="dxa"/>
            <w:tcBorders>
              <w:top w:val="single" w:sz="2" w:space="0" w:color="000000"/>
              <w:bottom w:val="single" w:sz="2" w:space="0" w:color="000000"/>
            </w:tcBorders>
          </w:tcPr>
          <w:p w14:paraId="6881A344" w14:textId="77777777" w:rsidR="00084F36" w:rsidRPr="00EB2BD8" w:rsidRDefault="00EB2BD8">
            <w:pPr>
              <w:pStyle w:val="TableParagraph"/>
              <w:spacing w:before="115"/>
              <w:ind w:right="111"/>
              <w:jc w:val="right"/>
              <w:rPr>
                <w:sz w:val="16"/>
              </w:rPr>
            </w:pPr>
            <w:r w:rsidRPr="00EB2BD8">
              <w:rPr>
                <w:w w:val="55"/>
                <w:sz w:val="16"/>
              </w:rPr>
              <w:t>1</w:t>
            </w:r>
          </w:p>
        </w:tc>
      </w:tr>
      <w:tr w:rsidR="00EB2BD8" w:rsidRPr="00EB2BD8" w14:paraId="2F6F9748" w14:textId="77777777">
        <w:trPr>
          <w:trHeight w:val="381"/>
        </w:trPr>
        <w:tc>
          <w:tcPr>
            <w:tcW w:w="7157" w:type="dxa"/>
            <w:tcBorders>
              <w:top w:val="single" w:sz="2" w:space="0" w:color="000000"/>
              <w:bottom w:val="single" w:sz="2" w:space="0" w:color="000000"/>
            </w:tcBorders>
          </w:tcPr>
          <w:p w14:paraId="3EC5DB8A" w14:textId="77777777" w:rsidR="00084F36" w:rsidRPr="00EB2BD8" w:rsidRDefault="00EB2BD8">
            <w:pPr>
              <w:pStyle w:val="TableParagraph"/>
              <w:spacing w:before="115"/>
              <w:ind w:left="113"/>
              <w:rPr>
                <w:sz w:val="16"/>
              </w:rPr>
            </w:pPr>
            <w:r w:rsidRPr="00EB2BD8">
              <w:rPr>
                <w:sz w:val="16"/>
              </w:rPr>
              <w:t>Leadership</w:t>
            </w:r>
            <w:r w:rsidRPr="00EB2BD8">
              <w:rPr>
                <w:spacing w:val="-8"/>
                <w:sz w:val="16"/>
              </w:rPr>
              <w:t xml:space="preserve"> </w:t>
            </w:r>
            <w:r w:rsidRPr="00EB2BD8">
              <w:rPr>
                <w:sz w:val="16"/>
              </w:rPr>
              <w:t>for</w:t>
            </w:r>
            <w:r w:rsidRPr="00EB2BD8">
              <w:rPr>
                <w:spacing w:val="-8"/>
                <w:sz w:val="16"/>
              </w:rPr>
              <w:t xml:space="preserve"> </w:t>
            </w:r>
            <w:r w:rsidRPr="00EB2BD8">
              <w:rPr>
                <w:spacing w:val="-2"/>
                <w:sz w:val="16"/>
              </w:rPr>
              <w:t>Regulators</w:t>
            </w:r>
          </w:p>
        </w:tc>
        <w:tc>
          <w:tcPr>
            <w:tcW w:w="3048" w:type="dxa"/>
            <w:tcBorders>
              <w:top w:val="single" w:sz="2" w:space="0" w:color="000000"/>
              <w:bottom w:val="single" w:sz="2" w:space="0" w:color="000000"/>
            </w:tcBorders>
          </w:tcPr>
          <w:p w14:paraId="4784098F" w14:textId="77777777" w:rsidR="00084F36" w:rsidRPr="00EB2BD8" w:rsidRDefault="00EB2BD8">
            <w:pPr>
              <w:pStyle w:val="TableParagraph"/>
              <w:spacing w:before="115"/>
              <w:ind w:right="111"/>
              <w:jc w:val="right"/>
              <w:rPr>
                <w:sz w:val="16"/>
              </w:rPr>
            </w:pPr>
            <w:r w:rsidRPr="00EB2BD8">
              <w:rPr>
                <w:w w:val="55"/>
                <w:sz w:val="16"/>
              </w:rPr>
              <w:t>1</w:t>
            </w:r>
          </w:p>
        </w:tc>
      </w:tr>
      <w:tr w:rsidR="00084F36" w:rsidRPr="00EB2BD8" w14:paraId="3992A7EF" w14:textId="77777777">
        <w:trPr>
          <w:trHeight w:val="381"/>
        </w:trPr>
        <w:tc>
          <w:tcPr>
            <w:tcW w:w="7157" w:type="dxa"/>
            <w:tcBorders>
              <w:top w:val="single" w:sz="2" w:space="0" w:color="000000"/>
              <w:bottom w:val="single" w:sz="2" w:space="0" w:color="000000"/>
            </w:tcBorders>
          </w:tcPr>
          <w:p w14:paraId="670B60F2" w14:textId="77777777" w:rsidR="00084F36" w:rsidRPr="00EB2BD8" w:rsidRDefault="00EB2BD8">
            <w:pPr>
              <w:pStyle w:val="TableParagraph"/>
              <w:spacing w:before="115"/>
              <w:ind w:left="113"/>
              <w:rPr>
                <w:sz w:val="16"/>
              </w:rPr>
            </w:pPr>
            <w:r w:rsidRPr="00EB2BD8">
              <w:rPr>
                <w:spacing w:val="-2"/>
                <w:sz w:val="16"/>
              </w:rPr>
              <w:t>Directors</w:t>
            </w:r>
            <w:r w:rsidRPr="00EB2BD8">
              <w:rPr>
                <w:spacing w:val="-8"/>
                <w:sz w:val="16"/>
              </w:rPr>
              <w:t xml:space="preserve"> </w:t>
            </w:r>
            <w:r w:rsidRPr="00EB2BD8">
              <w:rPr>
                <w:spacing w:val="-2"/>
                <w:sz w:val="16"/>
              </w:rPr>
              <w:t>Course</w:t>
            </w:r>
          </w:p>
        </w:tc>
        <w:tc>
          <w:tcPr>
            <w:tcW w:w="3048" w:type="dxa"/>
            <w:tcBorders>
              <w:top w:val="single" w:sz="2" w:space="0" w:color="000000"/>
              <w:bottom w:val="single" w:sz="2" w:space="0" w:color="000000"/>
            </w:tcBorders>
          </w:tcPr>
          <w:p w14:paraId="3A93222B" w14:textId="77777777" w:rsidR="00084F36" w:rsidRPr="00EB2BD8" w:rsidRDefault="00EB2BD8">
            <w:pPr>
              <w:pStyle w:val="TableParagraph"/>
              <w:spacing w:before="115"/>
              <w:ind w:right="111"/>
              <w:jc w:val="right"/>
              <w:rPr>
                <w:sz w:val="16"/>
              </w:rPr>
            </w:pPr>
            <w:r w:rsidRPr="00EB2BD8">
              <w:rPr>
                <w:w w:val="55"/>
                <w:sz w:val="16"/>
              </w:rPr>
              <w:t>1</w:t>
            </w:r>
          </w:p>
        </w:tc>
      </w:tr>
    </w:tbl>
    <w:p w14:paraId="4A414D45" w14:textId="77777777" w:rsidR="00084F36" w:rsidRPr="00EB2BD8" w:rsidRDefault="00084F36">
      <w:pPr>
        <w:jc w:val="right"/>
        <w:rPr>
          <w:sz w:val="16"/>
        </w:rPr>
        <w:sectPr w:rsidR="00084F36" w:rsidRPr="00EB2BD8" w:rsidSect="006D75B2">
          <w:footerReference w:type="default" r:id="rId397"/>
          <w:pgSz w:w="11910" w:h="16840"/>
          <w:pgMar w:top="1080" w:right="0" w:bottom="720" w:left="0" w:header="0" w:footer="515" w:gutter="0"/>
          <w:cols w:space="720"/>
        </w:sectPr>
      </w:pPr>
    </w:p>
    <w:p w14:paraId="463E3AEA" w14:textId="77777777" w:rsidR="00084F36" w:rsidRPr="00EB2BD8" w:rsidRDefault="00084F36">
      <w:pPr>
        <w:pStyle w:val="BodyText"/>
        <w:rPr>
          <w:sz w:val="20"/>
        </w:rPr>
      </w:pPr>
    </w:p>
    <w:p w14:paraId="5C66FD98" w14:textId="77777777" w:rsidR="00084F36" w:rsidRPr="00EB2BD8" w:rsidRDefault="00084F36">
      <w:pPr>
        <w:pStyle w:val="BodyText"/>
        <w:rPr>
          <w:sz w:val="20"/>
        </w:rPr>
      </w:pPr>
    </w:p>
    <w:p w14:paraId="761BA135" w14:textId="77777777" w:rsidR="00084F36" w:rsidRPr="00EB2BD8" w:rsidRDefault="00084F36">
      <w:pPr>
        <w:pStyle w:val="BodyText"/>
        <w:rPr>
          <w:sz w:val="20"/>
        </w:rPr>
      </w:pPr>
    </w:p>
    <w:p w14:paraId="1D046B29" w14:textId="77777777" w:rsidR="00084F36" w:rsidRPr="00EB2BD8" w:rsidRDefault="00084F36">
      <w:pPr>
        <w:pStyle w:val="BodyText"/>
        <w:rPr>
          <w:sz w:val="20"/>
        </w:rPr>
      </w:pPr>
    </w:p>
    <w:p w14:paraId="4D8FD5F1" w14:textId="77777777" w:rsidR="00084F36" w:rsidRPr="00EB2BD8" w:rsidRDefault="00084F36">
      <w:pPr>
        <w:pStyle w:val="BodyText"/>
        <w:spacing w:before="4"/>
        <w:rPr>
          <w:sz w:val="16"/>
        </w:rPr>
      </w:pPr>
    </w:p>
    <w:p w14:paraId="220F546C" w14:textId="77777777" w:rsidR="00084F36" w:rsidRPr="00EB2BD8" w:rsidRDefault="00084F36">
      <w:pPr>
        <w:rPr>
          <w:sz w:val="16"/>
        </w:rPr>
        <w:sectPr w:rsidR="00084F36" w:rsidRPr="00EB2BD8" w:rsidSect="006D75B2">
          <w:footerReference w:type="default" r:id="rId398"/>
          <w:pgSz w:w="11910" w:h="16840"/>
          <w:pgMar w:top="1100" w:right="0" w:bottom="700" w:left="0" w:header="0" w:footer="505" w:gutter="0"/>
          <w:cols w:space="720"/>
        </w:sectPr>
      </w:pPr>
    </w:p>
    <w:p w14:paraId="41266CDB" w14:textId="77777777" w:rsidR="00084F36" w:rsidRPr="00EB2BD8" w:rsidRDefault="00EB2BD8" w:rsidP="00697E0C">
      <w:pPr>
        <w:pStyle w:val="Heading2"/>
      </w:pPr>
      <w:bookmarkStart w:id="425" w:name="_Toc150762727"/>
      <w:r w:rsidRPr="00EB2BD8">
        <w:t>Public</w:t>
      </w:r>
      <w:r w:rsidRPr="00EB2BD8">
        <w:rPr>
          <w:spacing w:val="-24"/>
        </w:rPr>
        <w:t xml:space="preserve"> </w:t>
      </w:r>
      <w:r w:rsidRPr="00EB2BD8">
        <w:t>sector</w:t>
      </w:r>
      <w:r w:rsidRPr="00EB2BD8">
        <w:rPr>
          <w:spacing w:val="-22"/>
        </w:rPr>
        <w:t xml:space="preserve"> </w:t>
      </w:r>
      <w:r w:rsidRPr="00EB2BD8">
        <w:t>values,</w:t>
      </w:r>
      <w:r w:rsidRPr="00EB2BD8">
        <w:rPr>
          <w:spacing w:val="-22"/>
        </w:rPr>
        <w:t xml:space="preserve"> </w:t>
      </w:r>
      <w:r w:rsidRPr="00EB2BD8">
        <w:t>employment and conduct principles</w:t>
      </w:r>
      <w:bookmarkEnd w:id="425"/>
    </w:p>
    <w:p w14:paraId="7A2ADB2E" w14:textId="77777777" w:rsidR="00084F36" w:rsidRPr="00EB2BD8" w:rsidRDefault="00EB2BD8">
      <w:pPr>
        <w:pStyle w:val="BodyText"/>
        <w:spacing w:before="174" w:line="261" w:lineRule="auto"/>
        <w:ind w:left="850"/>
      </w:pPr>
      <w:r w:rsidRPr="00EB2BD8">
        <w:t>The</w:t>
      </w:r>
      <w:r w:rsidRPr="00EB2BD8">
        <w:rPr>
          <w:spacing w:val="-6"/>
        </w:rPr>
        <w:t xml:space="preserve"> </w:t>
      </w:r>
      <w:r w:rsidRPr="00EB2BD8">
        <w:t>VBA</w:t>
      </w:r>
      <w:r w:rsidRPr="00EB2BD8">
        <w:rPr>
          <w:spacing w:val="-6"/>
        </w:rPr>
        <w:t xml:space="preserve"> </w:t>
      </w:r>
      <w:r w:rsidRPr="00EB2BD8">
        <w:t>is</w:t>
      </w:r>
      <w:r w:rsidRPr="00EB2BD8">
        <w:rPr>
          <w:spacing w:val="-6"/>
        </w:rPr>
        <w:t xml:space="preserve"> </w:t>
      </w:r>
      <w:r w:rsidRPr="00EB2BD8">
        <w:t>committed</w:t>
      </w:r>
      <w:r w:rsidRPr="00EB2BD8">
        <w:rPr>
          <w:spacing w:val="-6"/>
        </w:rPr>
        <w:t xml:space="preserve"> </w:t>
      </w:r>
      <w:r w:rsidRPr="00EB2BD8">
        <w:t>to</w:t>
      </w:r>
      <w:r w:rsidRPr="00EB2BD8">
        <w:rPr>
          <w:spacing w:val="-6"/>
        </w:rPr>
        <w:t xml:space="preserve"> </w:t>
      </w:r>
      <w:r w:rsidRPr="00EB2BD8">
        <w:t>applying</w:t>
      </w:r>
      <w:r w:rsidRPr="00EB2BD8">
        <w:rPr>
          <w:spacing w:val="-6"/>
        </w:rPr>
        <w:t xml:space="preserve"> </w:t>
      </w:r>
      <w:r w:rsidRPr="00EB2BD8">
        <w:t>merit</w:t>
      </w:r>
      <w:r w:rsidRPr="00EB2BD8">
        <w:rPr>
          <w:spacing w:val="-6"/>
        </w:rPr>
        <w:t xml:space="preserve"> </w:t>
      </w:r>
      <w:r w:rsidRPr="00EB2BD8">
        <w:t>and</w:t>
      </w:r>
      <w:r w:rsidRPr="00EB2BD8">
        <w:rPr>
          <w:spacing w:val="-6"/>
        </w:rPr>
        <w:t xml:space="preserve"> </w:t>
      </w:r>
      <w:r w:rsidRPr="00EB2BD8">
        <w:t xml:space="preserve">equity principles when appointing staff. The selection processes ensure applicants are assessed and evaluated fairly and equitably based on the key selection criteria and accountabilities without </w:t>
      </w:r>
      <w:r w:rsidRPr="00EB2BD8">
        <w:rPr>
          <w:spacing w:val="-2"/>
        </w:rPr>
        <w:t>discrimination.</w:t>
      </w:r>
    </w:p>
    <w:p w14:paraId="59277ACE" w14:textId="77777777" w:rsidR="00084F36" w:rsidRPr="00EB2BD8" w:rsidRDefault="00EB2BD8">
      <w:pPr>
        <w:pStyle w:val="BodyText"/>
        <w:spacing w:before="164" w:line="261" w:lineRule="auto"/>
        <w:ind w:left="850" w:right="1"/>
      </w:pPr>
      <w:r w:rsidRPr="00EB2BD8">
        <w:t>The VBA’s commitment to the public sector values is evident in the organisation’s Integrity Unit to maintain and develop the VBA Integrity Framework. The Unit also provides employees with the guidance, training and systems needed to avoid and declare conflicts of interest</w:t>
      </w:r>
      <w:r w:rsidRPr="00EB2BD8">
        <w:rPr>
          <w:spacing w:val="-3"/>
        </w:rPr>
        <w:t xml:space="preserve"> </w:t>
      </w:r>
      <w:r w:rsidRPr="00EB2BD8">
        <w:t>and</w:t>
      </w:r>
      <w:r w:rsidRPr="00EB2BD8">
        <w:rPr>
          <w:spacing w:val="-3"/>
        </w:rPr>
        <w:t xml:space="preserve"> </w:t>
      </w:r>
      <w:r w:rsidRPr="00EB2BD8">
        <w:t>meet</w:t>
      </w:r>
      <w:r w:rsidRPr="00EB2BD8">
        <w:rPr>
          <w:spacing w:val="-3"/>
        </w:rPr>
        <w:t xml:space="preserve"> </w:t>
      </w:r>
      <w:r w:rsidRPr="00EB2BD8">
        <w:t>public</w:t>
      </w:r>
      <w:r w:rsidRPr="00EB2BD8">
        <w:rPr>
          <w:spacing w:val="-3"/>
        </w:rPr>
        <w:t xml:space="preserve"> </w:t>
      </w:r>
      <w:r w:rsidRPr="00EB2BD8">
        <w:t>sector</w:t>
      </w:r>
      <w:r w:rsidRPr="00EB2BD8">
        <w:rPr>
          <w:spacing w:val="-3"/>
        </w:rPr>
        <w:t xml:space="preserve"> </w:t>
      </w:r>
      <w:r w:rsidRPr="00EB2BD8">
        <w:t>expectations</w:t>
      </w:r>
      <w:r w:rsidRPr="00EB2BD8">
        <w:rPr>
          <w:spacing w:val="-3"/>
        </w:rPr>
        <w:t xml:space="preserve"> </w:t>
      </w:r>
      <w:r w:rsidRPr="00EB2BD8">
        <w:t>regarding the declaration and management of offers of gifts, hospitality, or other benefits.</w:t>
      </w:r>
    </w:p>
    <w:p w14:paraId="5A9F1DDB" w14:textId="77777777" w:rsidR="00084F36" w:rsidRPr="00EB2BD8" w:rsidRDefault="00EB2BD8">
      <w:pPr>
        <w:pStyle w:val="BodyText"/>
        <w:spacing w:before="161" w:line="261" w:lineRule="auto"/>
        <w:ind w:left="850"/>
      </w:pPr>
      <w:r w:rsidRPr="00EB2BD8">
        <w:t>The Integrity Framework consists of a full suite of policy and procedure documents regarding employee integrity requirements such as conflict of interest</w:t>
      </w:r>
    </w:p>
    <w:p w14:paraId="25493F6A" w14:textId="77777777" w:rsidR="00084F36" w:rsidRPr="00EB2BD8" w:rsidRDefault="00EB2BD8">
      <w:pPr>
        <w:pStyle w:val="BodyText"/>
        <w:spacing w:line="261" w:lineRule="auto"/>
        <w:ind w:left="850"/>
      </w:pPr>
      <w:r w:rsidRPr="00EB2BD8">
        <w:t>or gifts, which are reinforced by regular webinars, animations and resource materials. Employees and executives were also required to undertake refresher training regarding their integrity obligations followed by</w:t>
      </w:r>
      <w:r w:rsidRPr="00EB2BD8">
        <w:rPr>
          <w:spacing w:val="-7"/>
        </w:rPr>
        <w:t xml:space="preserve"> </w:t>
      </w:r>
      <w:r w:rsidRPr="00EB2BD8">
        <w:t>attesting</w:t>
      </w:r>
      <w:r w:rsidRPr="00EB2BD8">
        <w:rPr>
          <w:spacing w:val="-7"/>
        </w:rPr>
        <w:t xml:space="preserve"> </w:t>
      </w:r>
      <w:r w:rsidRPr="00EB2BD8">
        <w:t>to</w:t>
      </w:r>
      <w:r w:rsidRPr="00EB2BD8">
        <w:rPr>
          <w:spacing w:val="-7"/>
        </w:rPr>
        <w:t xml:space="preserve"> </w:t>
      </w:r>
      <w:r w:rsidRPr="00EB2BD8">
        <w:t>their</w:t>
      </w:r>
      <w:r w:rsidRPr="00EB2BD8">
        <w:rPr>
          <w:spacing w:val="-7"/>
        </w:rPr>
        <w:t xml:space="preserve"> </w:t>
      </w:r>
      <w:r w:rsidRPr="00EB2BD8">
        <w:t>understanding</w:t>
      </w:r>
      <w:r w:rsidRPr="00EB2BD8">
        <w:rPr>
          <w:spacing w:val="-7"/>
        </w:rPr>
        <w:t xml:space="preserve"> </w:t>
      </w:r>
      <w:r w:rsidRPr="00EB2BD8">
        <w:t>of,</w:t>
      </w:r>
      <w:r w:rsidRPr="00EB2BD8">
        <w:rPr>
          <w:spacing w:val="-7"/>
        </w:rPr>
        <w:t xml:space="preserve"> </w:t>
      </w:r>
      <w:r w:rsidRPr="00EB2BD8">
        <w:t>and</w:t>
      </w:r>
      <w:r w:rsidRPr="00EB2BD8">
        <w:rPr>
          <w:spacing w:val="-7"/>
        </w:rPr>
        <w:t xml:space="preserve"> </w:t>
      </w:r>
      <w:r w:rsidRPr="00EB2BD8">
        <w:t>compliance with, these obligations.</w:t>
      </w:r>
    </w:p>
    <w:p w14:paraId="06128BB8" w14:textId="77777777" w:rsidR="00084F36" w:rsidRPr="00EB2BD8" w:rsidRDefault="00EB2BD8">
      <w:pPr>
        <w:pStyle w:val="BodyText"/>
        <w:spacing w:before="161" w:line="261" w:lineRule="auto"/>
        <w:ind w:left="850" w:right="259"/>
      </w:pPr>
      <w:r w:rsidRPr="00EB2BD8">
        <w:t>Employees regularly sought advice on conflict of interest or gifts, benefits and hospitality matters, with</w:t>
      </w:r>
      <w:r w:rsidRPr="00EB2BD8">
        <w:rPr>
          <w:spacing w:val="-15"/>
        </w:rPr>
        <w:t xml:space="preserve"> </w:t>
      </w:r>
      <w:r w:rsidRPr="00EB2BD8">
        <w:t>the</w:t>
      </w:r>
      <w:r w:rsidRPr="00EB2BD8">
        <w:rPr>
          <w:spacing w:val="-14"/>
        </w:rPr>
        <w:t xml:space="preserve"> </w:t>
      </w:r>
      <w:r w:rsidRPr="00EB2BD8">
        <w:t>Integrity</w:t>
      </w:r>
      <w:r w:rsidRPr="00EB2BD8">
        <w:rPr>
          <w:spacing w:val="-14"/>
        </w:rPr>
        <w:t xml:space="preserve"> </w:t>
      </w:r>
      <w:r w:rsidRPr="00EB2BD8">
        <w:t>Unit</w:t>
      </w:r>
      <w:r w:rsidRPr="00EB2BD8">
        <w:rPr>
          <w:spacing w:val="-14"/>
        </w:rPr>
        <w:t xml:space="preserve"> </w:t>
      </w:r>
      <w:r w:rsidRPr="00EB2BD8">
        <w:t>resolving</w:t>
      </w:r>
      <w:r w:rsidRPr="00EB2BD8">
        <w:rPr>
          <w:spacing w:val="-15"/>
        </w:rPr>
        <w:t xml:space="preserve"> </w:t>
      </w:r>
      <w:r w:rsidRPr="00EB2BD8">
        <w:t>89</w:t>
      </w:r>
      <w:r w:rsidRPr="00EB2BD8">
        <w:rPr>
          <w:spacing w:val="-14"/>
        </w:rPr>
        <w:t xml:space="preserve"> </w:t>
      </w:r>
      <w:r w:rsidRPr="00EB2BD8">
        <w:t>such</w:t>
      </w:r>
      <w:r w:rsidRPr="00EB2BD8">
        <w:rPr>
          <w:spacing w:val="-14"/>
        </w:rPr>
        <w:t xml:space="preserve"> </w:t>
      </w:r>
      <w:r w:rsidRPr="00EB2BD8">
        <w:t>enquiries</w:t>
      </w:r>
      <w:r w:rsidRPr="00EB2BD8">
        <w:rPr>
          <w:spacing w:val="-14"/>
        </w:rPr>
        <w:t xml:space="preserve"> </w:t>
      </w:r>
      <w:r w:rsidRPr="00EB2BD8">
        <w:t>or concerns during 2022-23.</w:t>
      </w:r>
    </w:p>
    <w:p w14:paraId="1086CCE4" w14:textId="77777777" w:rsidR="00084F36" w:rsidRPr="00EB2BD8" w:rsidRDefault="00EB2BD8">
      <w:pPr>
        <w:pStyle w:val="BodyText"/>
        <w:spacing w:before="166" w:line="261" w:lineRule="auto"/>
        <w:ind w:left="850"/>
      </w:pPr>
      <w:r w:rsidRPr="00EB2BD8">
        <w:t>The</w:t>
      </w:r>
      <w:r w:rsidRPr="00EB2BD8">
        <w:rPr>
          <w:spacing w:val="-7"/>
        </w:rPr>
        <w:t xml:space="preserve"> </w:t>
      </w:r>
      <w:r w:rsidRPr="00EB2BD8">
        <w:t>Risk,</w:t>
      </w:r>
      <w:r w:rsidRPr="00EB2BD8">
        <w:rPr>
          <w:spacing w:val="-7"/>
        </w:rPr>
        <w:t xml:space="preserve"> </w:t>
      </w:r>
      <w:r w:rsidRPr="00EB2BD8">
        <w:t>Audit</w:t>
      </w:r>
      <w:r w:rsidRPr="00EB2BD8">
        <w:rPr>
          <w:spacing w:val="-7"/>
        </w:rPr>
        <w:t xml:space="preserve"> </w:t>
      </w:r>
      <w:r w:rsidRPr="00EB2BD8">
        <w:t>and</w:t>
      </w:r>
      <w:r w:rsidRPr="00EB2BD8">
        <w:rPr>
          <w:spacing w:val="-7"/>
        </w:rPr>
        <w:t xml:space="preserve"> </w:t>
      </w:r>
      <w:r w:rsidRPr="00EB2BD8">
        <w:t>Finance</w:t>
      </w:r>
      <w:r w:rsidRPr="00EB2BD8">
        <w:rPr>
          <w:spacing w:val="-7"/>
        </w:rPr>
        <w:t xml:space="preserve"> </w:t>
      </w:r>
      <w:r w:rsidRPr="00EB2BD8">
        <w:t>Committee</w:t>
      </w:r>
      <w:r w:rsidRPr="00EB2BD8">
        <w:rPr>
          <w:spacing w:val="-7"/>
        </w:rPr>
        <w:t xml:space="preserve"> </w:t>
      </w:r>
      <w:r w:rsidRPr="00EB2BD8">
        <w:t>oversees</w:t>
      </w:r>
      <w:r w:rsidRPr="00EB2BD8">
        <w:rPr>
          <w:spacing w:val="-7"/>
        </w:rPr>
        <w:t xml:space="preserve"> </w:t>
      </w:r>
      <w:r w:rsidRPr="00EB2BD8">
        <w:t>the operation of the Conflict of Interest and the Gifts, Benefits and Hospitality policies.</w:t>
      </w:r>
    </w:p>
    <w:p w14:paraId="1E6EFF67" w14:textId="77777777" w:rsidR="00084F36" w:rsidRPr="00EB2BD8" w:rsidRDefault="00EB2BD8" w:rsidP="00697E0C">
      <w:pPr>
        <w:pStyle w:val="Heading2"/>
        <w:ind w:left="0" w:firstLine="464"/>
      </w:pPr>
      <w:r w:rsidRPr="00EB2BD8">
        <w:br w:type="column"/>
      </w:r>
      <w:bookmarkStart w:id="426" w:name="_Toc150762728"/>
      <w:r w:rsidRPr="00EB2BD8">
        <w:t>Workforce</w:t>
      </w:r>
      <w:r w:rsidRPr="00EB2BD8">
        <w:rPr>
          <w:spacing w:val="-10"/>
        </w:rPr>
        <w:t xml:space="preserve"> </w:t>
      </w:r>
      <w:r w:rsidRPr="00EB2BD8">
        <w:rPr>
          <w:spacing w:val="-2"/>
        </w:rPr>
        <w:t>inclusion</w:t>
      </w:r>
      <w:bookmarkEnd w:id="426"/>
    </w:p>
    <w:p w14:paraId="2348CB37" w14:textId="77777777" w:rsidR="00084F36" w:rsidRPr="00EB2BD8" w:rsidRDefault="00EB2BD8">
      <w:pPr>
        <w:pStyle w:val="BodyText"/>
        <w:spacing w:before="169" w:line="261" w:lineRule="auto"/>
        <w:ind w:left="464" w:right="858"/>
      </w:pPr>
      <w:r w:rsidRPr="00EB2BD8">
        <w:t>The VBA’s organisational values highlight the organisation is inclusive in all practices and continues to</w:t>
      </w:r>
      <w:r w:rsidRPr="00EB2BD8">
        <w:rPr>
          <w:spacing w:val="-7"/>
        </w:rPr>
        <w:t xml:space="preserve"> </w:t>
      </w:r>
      <w:r w:rsidRPr="00EB2BD8">
        <w:t>embed</w:t>
      </w:r>
      <w:r w:rsidRPr="00EB2BD8">
        <w:rPr>
          <w:spacing w:val="-7"/>
        </w:rPr>
        <w:t xml:space="preserve"> </w:t>
      </w:r>
      <w:r w:rsidRPr="00EB2BD8">
        <w:t>this</w:t>
      </w:r>
      <w:r w:rsidRPr="00EB2BD8">
        <w:rPr>
          <w:spacing w:val="-7"/>
        </w:rPr>
        <w:t xml:space="preserve"> </w:t>
      </w:r>
      <w:r w:rsidRPr="00EB2BD8">
        <w:t>in</w:t>
      </w:r>
      <w:r w:rsidRPr="00EB2BD8">
        <w:rPr>
          <w:spacing w:val="-7"/>
        </w:rPr>
        <w:t xml:space="preserve"> </w:t>
      </w:r>
      <w:r w:rsidRPr="00EB2BD8">
        <w:t>everything</w:t>
      </w:r>
      <w:r w:rsidRPr="00EB2BD8">
        <w:rPr>
          <w:spacing w:val="-7"/>
        </w:rPr>
        <w:t xml:space="preserve"> </w:t>
      </w:r>
      <w:r w:rsidRPr="00EB2BD8">
        <w:t>it</w:t>
      </w:r>
      <w:r w:rsidRPr="00EB2BD8">
        <w:rPr>
          <w:spacing w:val="-7"/>
        </w:rPr>
        <w:t xml:space="preserve"> </w:t>
      </w:r>
      <w:r w:rsidRPr="00EB2BD8">
        <w:t>does.</w:t>
      </w:r>
      <w:r w:rsidRPr="00EB2BD8">
        <w:rPr>
          <w:spacing w:val="-7"/>
        </w:rPr>
        <w:t xml:space="preserve"> </w:t>
      </w:r>
      <w:r w:rsidRPr="00EB2BD8">
        <w:t>The</w:t>
      </w:r>
      <w:r w:rsidRPr="00EB2BD8">
        <w:rPr>
          <w:spacing w:val="-7"/>
        </w:rPr>
        <w:t xml:space="preserve"> </w:t>
      </w:r>
      <w:r w:rsidRPr="00EB2BD8">
        <w:t>VBA</w:t>
      </w:r>
      <w:r w:rsidRPr="00EB2BD8">
        <w:rPr>
          <w:spacing w:val="-7"/>
        </w:rPr>
        <w:t xml:space="preserve"> </w:t>
      </w:r>
      <w:r w:rsidRPr="00EB2BD8">
        <w:t>fosters</w:t>
      </w:r>
      <w:r w:rsidRPr="00EB2BD8">
        <w:rPr>
          <w:spacing w:val="-7"/>
        </w:rPr>
        <w:t xml:space="preserve"> </w:t>
      </w:r>
      <w:r w:rsidRPr="00EB2BD8">
        <w:t>an inclusive</w:t>
      </w:r>
      <w:r w:rsidRPr="00EB2BD8">
        <w:rPr>
          <w:spacing w:val="-7"/>
        </w:rPr>
        <w:t xml:space="preserve"> </w:t>
      </w:r>
      <w:r w:rsidRPr="00EB2BD8">
        <w:t>culture</w:t>
      </w:r>
      <w:r w:rsidRPr="00EB2BD8">
        <w:rPr>
          <w:spacing w:val="-7"/>
        </w:rPr>
        <w:t xml:space="preserve"> </w:t>
      </w:r>
      <w:r w:rsidRPr="00EB2BD8">
        <w:t>where</w:t>
      </w:r>
      <w:r w:rsidRPr="00EB2BD8">
        <w:rPr>
          <w:spacing w:val="-7"/>
        </w:rPr>
        <w:t xml:space="preserve"> </w:t>
      </w:r>
      <w:r w:rsidRPr="00EB2BD8">
        <w:t>equal</w:t>
      </w:r>
      <w:r w:rsidRPr="00EB2BD8">
        <w:rPr>
          <w:spacing w:val="-7"/>
        </w:rPr>
        <w:t xml:space="preserve"> </w:t>
      </w:r>
      <w:r w:rsidRPr="00EB2BD8">
        <w:t>opportunity</w:t>
      </w:r>
      <w:r w:rsidRPr="00EB2BD8">
        <w:rPr>
          <w:spacing w:val="-7"/>
        </w:rPr>
        <w:t xml:space="preserve"> </w:t>
      </w:r>
      <w:r w:rsidRPr="00EB2BD8">
        <w:t>and</w:t>
      </w:r>
      <w:r w:rsidRPr="00EB2BD8">
        <w:rPr>
          <w:spacing w:val="-7"/>
        </w:rPr>
        <w:t xml:space="preserve"> </w:t>
      </w:r>
      <w:r w:rsidRPr="00EB2BD8">
        <w:t>diversity are</w:t>
      </w:r>
      <w:r w:rsidRPr="00EB2BD8">
        <w:rPr>
          <w:spacing w:val="-6"/>
        </w:rPr>
        <w:t xml:space="preserve"> </w:t>
      </w:r>
      <w:r w:rsidRPr="00EB2BD8">
        <w:t>valued.</w:t>
      </w:r>
    </w:p>
    <w:p w14:paraId="3AA8CAAF" w14:textId="77777777" w:rsidR="00084F36" w:rsidRPr="00EB2BD8" w:rsidRDefault="00EB2BD8">
      <w:pPr>
        <w:pStyle w:val="BodyText"/>
        <w:spacing w:before="165" w:line="261" w:lineRule="auto"/>
        <w:ind w:left="464" w:right="1051"/>
        <w:jc w:val="both"/>
      </w:pPr>
      <w:r w:rsidRPr="00EB2BD8">
        <w:t>As</w:t>
      </w:r>
      <w:r w:rsidRPr="00EB2BD8">
        <w:rPr>
          <w:spacing w:val="-15"/>
        </w:rPr>
        <w:t xml:space="preserve"> </w:t>
      </w:r>
      <w:r w:rsidRPr="00EB2BD8">
        <w:t>at</w:t>
      </w:r>
      <w:r w:rsidRPr="00EB2BD8">
        <w:rPr>
          <w:spacing w:val="-14"/>
        </w:rPr>
        <w:t xml:space="preserve"> </w:t>
      </w:r>
      <w:r w:rsidRPr="00EB2BD8">
        <w:t>30</w:t>
      </w:r>
      <w:r w:rsidRPr="00EB2BD8">
        <w:rPr>
          <w:spacing w:val="-14"/>
        </w:rPr>
        <w:t xml:space="preserve"> </w:t>
      </w:r>
      <w:r w:rsidRPr="00EB2BD8">
        <w:t>June</w:t>
      </w:r>
      <w:r w:rsidRPr="00EB2BD8">
        <w:rPr>
          <w:spacing w:val="-14"/>
        </w:rPr>
        <w:t xml:space="preserve"> </w:t>
      </w:r>
      <w:r w:rsidRPr="00EB2BD8">
        <w:t>2023,</w:t>
      </w:r>
      <w:r w:rsidRPr="00EB2BD8">
        <w:rPr>
          <w:spacing w:val="-15"/>
        </w:rPr>
        <w:t xml:space="preserve"> </w:t>
      </w:r>
      <w:r w:rsidRPr="00EB2BD8">
        <w:t>47.2</w:t>
      </w:r>
      <w:r w:rsidRPr="00EB2BD8">
        <w:rPr>
          <w:spacing w:val="-14"/>
        </w:rPr>
        <w:t xml:space="preserve"> </w:t>
      </w:r>
      <w:r w:rsidRPr="00EB2BD8">
        <w:t>per</w:t>
      </w:r>
      <w:r w:rsidRPr="00EB2BD8">
        <w:rPr>
          <w:spacing w:val="-14"/>
        </w:rPr>
        <w:t xml:space="preserve"> </w:t>
      </w:r>
      <w:r w:rsidRPr="00EB2BD8">
        <w:t>cent</w:t>
      </w:r>
      <w:r w:rsidRPr="00EB2BD8">
        <w:rPr>
          <w:spacing w:val="-14"/>
        </w:rPr>
        <w:t xml:space="preserve"> </w:t>
      </w:r>
      <w:r w:rsidRPr="00EB2BD8">
        <w:t>of</w:t>
      </w:r>
      <w:r w:rsidRPr="00EB2BD8">
        <w:rPr>
          <w:spacing w:val="-15"/>
        </w:rPr>
        <w:t xml:space="preserve"> </w:t>
      </w:r>
      <w:r w:rsidRPr="00EB2BD8">
        <w:t>the</w:t>
      </w:r>
      <w:r w:rsidRPr="00EB2BD8">
        <w:rPr>
          <w:spacing w:val="-14"/>
        </w:rPr>
        <w:t xml:space="preserve"> </w:t>
      </w:r>
      <w:r w:rsidRPr="00EB2BD8">
        <w:t>VBA</w:t>
      </w:r>
      <w:r w:rsidRPr="00EB2BD8">
        <w:rPr>
          <w:spacing w:val="-14"/>
        </w:rPr>
        <w:t xml:space="preserve"> </w:t>
      </w:r>
      <w:r w:rsidRPr="00EB2BD8">
        <w:t>identified as</w:t>
      </w:r>
      <w:r w:rsidRPr="00EB2BD8">
        <w:rPr>
          <w:spacing w:val="-15"/>
        </w:rPr>
        <w:t xml:space="preserve"> </w:t>
      </w:r>
      <w:r w:rsidRPr="00EB2BD8">
        <w:t>women,</w:t>
      </w:r>
      <w:r w:rsidRPr="00EB2BD8">
        <w:rPr>
          <w:spacing w:val="-14"/>
        </w:rPr>
        <w:t xml:space="preserve"> </w:t>
      </w:r>
      <w:r w:rsidRPr="00EB2BD8">
        <w:t>52.2</w:t>
      </w:r>
      <w:r w:rsidRPr="00EB2BD8">
        <w:rPr>
          <w:spacing w:val="-14"/>
        </w:rPr>
        <w:t xml:space="preserve"> </w:t>
      </w:r>
      <w:r w:rsidRPr="00EB2BD8">
        <w:t>per</w:t>
      </w:r>
      <w:r w:rsidRPr="00EB2BD8">
        <w:rPr>
          <w:spacing w:val="-14"/>
        </w:rPr>
        <w:t xml:space="preserve"> </w:t>
      </w:r>
      <w:r w:rsidRPr="00EB2BD8">
        <w:t>cent</w:t>
      </w:r>
      <w:r w:rsidRPr="00EB2BD8">
        <w:rPr>
          <w:spacing w:val="-15"/>
        </w:rPr>
        <w:t xml:space="preserve"> </w:t>
      </w:r>
      <w:r w:rsidRPr="00EB2BD8">
        <w:t>identified</w:t>
      </w:r>
      <w:r w:rsidRPr="00EB2BD8">
        <w:rPr>
          <w:spacing w:val="-14"/>
        </w:rPr>
        <w:t xml:space="preserve"> </w:t>
      </w:r>
      <w:r w:rsidRPr="00EB2BD8">
        <w:t>as</w:t>
      </w:r>
      <w:r w:rsidRPr="00EB2BD8">
        <w:rPr>
          <w:spacing w:val="-14"/>
        </w:rPr>
        <w:t xml:space="preserve"> </w:t>
      </w:r>
      <w:r w:rsidRPr="00EB2BD8">
        <w:t>men</w:t>
      </w:r>
      <w:r w:rsidRPr="00EB2BD8">
        <w:rPr>
          <w:spacing w:val="-14"/>
        </w:rPr>
        <w:t xml:space="preserve"> </w:t>
      </w:r>
      <w:r w:rsidRPr="00EB2BD8">
        <w:t>and</w:t>
      </w:r>
      <w:r w:rsidRPr="00EB2BD8">
        <w:rPr>
          <w:spacing w:val="-15"/>
        </w:rPr>
        <w:t xml:space="preserve"> </w:t>
      </w:r>
      <w:r w:rsidRPr="00EB2BD8">
        <w:t>0.6</w:t>
      </w:r>
      <w:r w:rsidRPr="00EB2BD8">
        <w:rPr>
          <w:spacing w:val="-14"/>
        </w:rPr>
        <w:t xml:space="preserve"> </w:t>
      </w:r>
      <w:r w:rsidRPr="00EB2BD8">
        <w:t>per cent self-describe or preferred not to say.</w:t>
      </w:r>
    </w:p>
    <w:p w14:paraId="78745CE9" w14:textId="77777777" w:rsidR="00084F36" w:rsidRPr="00EB2BD8" w:rsidRDefault="00EB2BD8">
      <w:pPr>
        <w:pStyle w:val="BodyText"/>
        <w:spacing w:before="167" w:line="261" w:lineRule="auto"/>
        <w:ind w:left="464" w:right="922"/>
      </w:pPr>
      <w:r w:rsidRPr="00EB2BD8">
        <w:t>The VBA Executive Leadership Team was comprised of 35 per cent women and 65 per cent men.</w:t>
      </w:r>
    </w:p>
    <w:p w14:paraId="231D3F79"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2" w:space="720" w:equalWidth="0">
            <w:col w:w="5675" w:space="40"/>
            <w:col w:w="6195"/>
          </w:cols>
        </w:sectPr>
      </w:pPr>
    </w:p>
    <w:p w14:paraId="3418BCEE" w14:textId="77777777" w:rsidR="00084F36" w:rsidRPr="00EB2BD8" w:rsidRDefault="00084F36">
      <w:pPr>
        <w:pStyle w:val="BodyText"/>
        <w:rPr>
          <w:sz w:val="20"/>
        </w:rPr>
      </w:pPr>
    </w:p>
    <w:p w14:paraId="3414C43D" w14:textId="77777777" w:rsidR="00084F36" w:rsidRPr="00EB2BD8" w:rsidRDefault="00084F36">
      <w:pPr>
        <w:pStyle w:val="BodyText"/>
        <w:rPr>
          <w:sz w:val="20"/>
        </w:rPr>
      </w:pPr>
    </w:p>
    <w:p w14:paraId="1BB92078" w14:textId="77777777" w:rsidR="00084F36" w:rsidRPr="00EB2BD8" w:rsidRDefault="00084F36">
      <w:pPr>
        <w:pStyle w:val="BodyText"/>
        <w:rPr>
          <w:sz w:val="20"/>
        </w:rPr>
      </w:pPr>
    </w:p>
    <w:p w14:paraId="281F59F0" w14:textId="77777777" w:rsidR="00084F36" w:rsidRPr="00EB2BD8" w:rsidRDefault="00084F36">
      <w:pPr>
        <w:pStyle w:val="BodyText"/>
        <w:rPr>
          <w:sz w:val="20"/>
        </w:rPr>
      </w:pPr>
    </w:p>
    <w:p w14:paraId="55CA0475" w14:textId="77777777" w:rsidR="00084F36" w:rsidRPr="00EB2BD8" w:rsidRDefault="00084F36" w:rsidP="0004531F">
      <w:pPr>
        <w:pStyle w:val="Heading3"/>
      </w:pPr>
    </w:p>
    <w:p w14:paraId="4219E627" w14:textId="77777777" w:rsidR="00084F36" w:rsidRPr="00EB2BD8" w:rsidRDefault="00EB2BD8" w:rsidP="0004531F">
      <w:pPr>
        <w:pStyle w:val="Heading3"/>
      </w:pPr>
      <w:bookmarkStart w:id="427" w:name="_Toc150762729"/>
      <w:r w:rsidRPr="00EB2BD8">
        <w:t>Table</w:t>
      </w:r>
      <w:r w:rsidRPr="00EB2BD8">
        <w:rPr>
          <w:spacing w:val="-15"/>
        </w:rPr>
        <w:t xml:space="preserve"> </w:t>
      </w:r>
      <w:r w:rsidRPr="00EB2BD8">
        <w:t>19:</w:t>
      </w:r>
      <w:r w:rsidRPr="00EB2BD8">
        <w:rPr>
          <w:spacing w:val="-15"/>
        </w:rPr>
        <w:t xml:space="preserve"> </w:t>
      </w:r>
      <w:r w:rsidRPr="00EB2BD8">
        <w:t>Details</w:t>
      </w:r>
      <w:r w:rsidRPr="00EB2BD8">
        <w:rPr>
          <w:spacing w:val="-15"/>
        </w:rPr>
        <w:t xml:space="preserve"> </w:t>
      </w:r>
      <w:r w:rsidRPr="00EB2BD8">
        <w:t>of</w:t>
      </w:r>
      <w:r w:rsidRPr="00EB2BD8">
        <w:rPr>
          <w:spacing w:val="-14"/>
        </w:rPr>
        <w:t xml:space="preserve"> </w:t>
      </w:r>
      <w:r w:rsidRPr="00EB2BD8">
        <w:t>employment</w:t>
      </w:r>
      <w:r w:rsidRPr="00EB2BD8">
        <w:rPr>
          <w:spacing w:val="-15"/>
        </w:rPr>
        <w:t xml:space="preserve"> </w:t>
      </w:r>
      <w:r w:rsidRPr="00EB2BD8">
        <w:t>levels</w:t>
      </w:r>
      <w:r w:rsidRPr="00EB2BD8">
        <w:rPr>
          <w:spacing w:val="-15"/>
        </w:rPr>
        <w:t xml:space="preserve"> </w:t>
      </w:r>
      <w:r w:rsidRPr="00EB2BD8">
        <w:t>in</w:t>
      </w:r>
      <w:r w:rsidRPr="00EB2BD8">
        <w:rPr>
          <w:spacing w:val="-14"/>
        </w:rPr>
        <w:t xml:space="preserve"> </w:t>
      </w:r>
      <w:r w:rsidRPr="00EB2BD8">
        <w:t>June</w:t>
      </w:r>
      <w:r w:rsidRPr="00EB2BD8">
        <w:rPr>
          <w:spacing w:val="-15"/>
        </w:rPr>
        <w:t xml:space="preserve"> </w:t>
      </w:r>
      <w:r w:rsidRPr="00EB2BD8">
        <w:rPr>
          <w:spacing w:val="-4"/>
        </w:rPr>
        <w:t>2023</w:t>
      </w:r>
      <w:bookmarkEnd w:id="427"/>
    </w:p>
    <w:p w14:paraId="769F445A" w14:textId="77777777" w:rsidR="00084F36" w:rsidRPr="00EB2BD8" w:rsidRDefault="00084F36">
      <w:pPr>
        <w:pStyle w:val="BodyText"/>
        <w:spacing w:before="4"/>
        <w:rPr>
          <w:sz w:val="20"/>
        </w:rPr>
      </w:pPr>
    </w:p>
    <w:p w14:paraId="570E16E5" w14:textId="77777777" w:rsidR="00084F36" w:rsidRPr="00EB2BD8" w:rsidRDefault="00EB2BD8">
      <w:pPr>
        <w:pStyle w:val="BodyText"/>
        <w:spacing w:before="1" w:line="261" w:lineRule="auto"/>
        <w:ind w:left="850" w:right="1155"/>
      </w:pPr>
      <w:r w:rsidRPr="00EB2BD8">
        <w:t>The</w:t>
      </w:r>
      <w:r w:rsidRPr="00EB2BD8">
        <w:rPr>
          <w:spacing w:val="-5"/>
        </w:rPr>
        <w:t xml:space="preserve"> </w:t>
      </w:r>
      <w:r w:rsidRPr="00EB2BD8">
        <w:t>following</w:t>
      </w:r>
      <w:r w:rsidRPr="00EB2BD8">
        <w:rPr>
          <w:spacing w:val="-5"/>
        </w:rPr>
        <w:t xml:space="preserve"> </w:t>
      </w:r>
      <w:r w:rsidRPr="00EB2BD8">
        <w:t>table</w:t>
      </w:r>
      <w:r w:rsidRPr="00EB2BD8">
        <w:rPr>
          <w:spacing w:val="-5"/>
        </w:rPr>
        <w:t xml:space="preserve"> </w:t>
      </w:r>
      <w:r w:rsidRPr="00EB2BD8">
        <w:t>discloses</w:t>
      </w:r>
      <w:r w:rsidRPr="00EB2BD8">
        <w:rPr>
          <w:spacing w:val="-5"/>
        </w:rPr>
        <w:t xml:space="preserve"> </w:t>
      </w:r>
      <w:r w:rsidRPr="00EB2BD8">
        <w:t>the</w:t>
      </w:r>
      <w:r w:rsidRPr="00EB2BD8">
        <w:rPr>
          <w:spacing w:val="-5"/>
        </w:rPr>
        <w:t xml:space="preserve"> </w:t>
      </w:r>
      <w:r w:rsidRPr="00EB2BD8">
        <w:t>headcount</w:t>
      </w:r>
      <w:r w:rsidRPr="00EB2BD8">
        <w:rPr>
          <w:spacing w:val="-5"/>
        </w:rPr>
        <w:t xml:space="preserve"> </w:t>
      </w:r>
      <w:r w:rsidRPr="00EB2BD8">
        <w:t>and</w:t>
      </w:r>
      <w:r w:rsidRPr="00EB2BD8">
        <w:rPr>
          <w:spacing w:val="-5"/>
        </w:rPr>
        <w:t xml:space="preserve"> </w:t>
      </w:r>
      <w:r w:rsidRPr="00EB2BD8">
        <w:t>FTE</w:t>
      </w:r>
      <w:r w:rsidRPr="00EB2BD8">
        <w:rPr>
          <w:spacing w:val="-5"/>
        </w:rPr>
        <w:t xml:space="preserve"> </w:t>
      </w:r>
      <w:r w:rsidRPr="00EB2BD8">
        <w:t>of</w:t>
      </w:r>
      <w:r w:rsidRPr="00EB2BD8">
        <w:rPr>
          <w:spacing w:val="-5"/>
        </w:rPr>
        <w:t xml:space="preserve"> </w:t>
      </w:r>
      <w:r w:rsidRPr="00EB2BD8">
        <w:t>ongoing,</w:t>
      </w:r>
      <w:r w:rsidRPr="00EB2BD8">
        <w:rPr>
          <w:spacing w:val="-5"/>
        </w:rPr>
        <w:t xml:space="preserve"> </w:t>
      </w:r>
      <w:r w:rsidRPr="00EB2BD8">
        <w:t>fixed</w:t>
      </w:r>
      <w:r w:rsidRPr="00EB2BD8">
        <w:rPr>
          <w:spacing w:val="-5"/>
        </w:rPr>
        <w:t xml:space="preserve"> </w:t>
      </w:r>
      <w:r w:rsidRPr="00EB2BD8">
        <w:t>term</w:t>
      </w:r>
      <w:r w:rsidRPr="00EB2BD8">
        <w:rPr>
          <w:spacing w:val="-5"/>
        </w:rPr>
        <w:t xml:space="preserve"> </w:t>
      </w:r>
      <w:r w:rsidRPr="00EB2BD8">
        <w:t>and</w:t>
      </w:r>
      <w:r w:rsidRPr="00EB2BD8">
        <w:rPr>
          <w:spacing w:val="-5"/>
        </w:rPr>
        <w:t xml:space="preserve"> </w:t>
      </w:r>
      <w:r w:rsidRPr="00EB2BD8">
        <w:t>casual</w:t>
      </w:r>
      <w:r w:rsidRPr="00EB2BD8">
        <w:rPr>
          <w:spacing w:val="-5"/>
        </w:rPr>
        <w:t xml:space="preserve"> </w:t>
      </w:r>
      <w:r w:rsidRPr="00EB2BD8">
        <w:t>employees</w:t>
      </w:r>
      <w:r w:rsidRPr="00EB2BD8">
        <w:rPr>
          <w:spacing w:val="-5"/>
        </w:rPr>
        <w:t xml:space="preserve"> </w:t>
      </w:r>
      <w:r w:rsidRPr="00EB2BD8">
        <w:t>of</w:t>
      </w:r>
      <w:r w:rsidRPr="00EB2BD8">
        <w:rPr>
          <w:spacing w:val="-5"/>
        </w:rPr>
        <w:t xml:space="preserve"> </w:t>
      </w:r>
      <w:r w:rsidRPr="00EB2BD8">
        <w:t>the</w:t>
      </w:r>
      <w:r w:rsidRPr="00EB2BD8">
        <w:rPr>
          <w:spacing w:val="-5"/>
        </w:rPr>
        <w:t xml:space="preserve"> </w:t>
      </w:r>
      <w:r w:rsidRPr="00EB2BD8">
        <w:t>VBA employed as at 30 June 2023.</w:t>
      </w:r>
    </w:p>
    <w:p w14:paraId="5291461A" w14:textId="77777777" w:rsidR="00084F36" w:rsidRPr="00EB2BD8" w:rsidRDefault="00EB2BD8">
      <w:pPr>
        <w:pStyle w:val="BodyText"/>
        <w:spacing w:before="3"/>
        <w:rPr>
          <w:sz w:val="14"/>
        </w:rPr>
      </w:pPr>
      <w:r w:rsidRPr="00EB2BD8">
        <w:rPr>
          <w:noProof/>
        </w:rPr>
        <mc:AlternateContent>
          <mc:Choice Requires="wpg">
            <w:drawing>
              <wp:anchor distT="0" distB="0" distL="0" distR="0" simplePos="0" relativeHeight="252114944" behindDoc="1" locked="0" layoutInCell="1" allowOverlap="1" wp14:anchorId="38F4A6F0" wp14:editId="29D24800">
                <wp:simplePos x="0" y="0"/>
                <wp:positionH relativeFrom="page">
                  <wp:posOffset>807338</wp:posOffset>
                </wp:positionH>
                <wp:positionV relativeFrom="paragraph">
                  <wp:posOffset>121846</wp:posOffset>
                </wp:positionV>
                <wp:extent cx="6192520" cy="404495"/>
                <wp:effectExtent l="0" t="0" r="0" b="0"/>
                <wp:wrapTopAndBottom/>
                <wp:docPr id="1217" name="Group 1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404495"/>
                          <a:chOff x="0" y="0"/>
                          <a:chExt cx="6192520" cy="404495"/>
                        </a:xfrm>
                      </wpg:grpSpPr>
                      <wps:wsp>
                        <wps:cNvPr id="1218" name="Graphic 1218"/>
                        <wps:cNvSpPr/>
                        <wps:spPr>
                          <a:xfrm>
                            <a:off x="0" y="0"/>
                            <a:ext cx="6192520" cy="404495"/>
                          </a:xfrm>
                          <a:custGeom>
                            <a:avLst/>
                            <a:gdLst/>
                            <a:ahLst/>
                            <a:cxnLst/>
                            <a:rect l="l" t="t" r="r" b="b"/>
                            <a:pathLst>
                              <a:path w="6192520" h="404495">
                                <a:moveTo>
                                  <a:pt x="3131985" y="0"/>
                                </a:moveTo>
                                <a:lnTo>
                                  <a:pt x="1980006" y="0"/>
                                </a:lnTo>
                                <a:lnTo>
                                  <a:pt x="0" y="0"/>
                                </a:lnTo>
                                <a:lnTo>
                                  <a:pt x="0" y="404355"/>
                                </a:lnTo>
                                <a:lnTo>
                                  <a:pt x="1979993" y="404355"/>
                                </a:lnTo>
                                <a:lnTo>
                                  <a:pt x="3131985" y="404355"/>
                                </a:lnTo>
                                <a:lnTo>
                                  <a:pt x="3131985" y="0"/>
                                </a:lnTo>
                                <a:close/>
                              </a:path>
                              <a:path w="6192520" h="404495">
                                <a:moveTo>
                                  <a:pt x="6191974" y="0"/>
                                </a:moveTo>
                                <a:lnTo>
                                  <a:pt x="5004003" y="0"/>
                                </a:lnTo>
                                <a:lnTo>
                                  <a:pt x="3131997" y="0"/>
                                </a:lnTo>
                                <a:lnTo>
                                  <a:pt x="3131997" y="404355"/>
                                </a:lnTo>
                                <a:lnTo>
                                  <a:pt x="5003990" y="404355"/>
                                </a:lnTo>
                                <a:lnTo>
                                  <a:pt x="6191974" y="404355"/>
                                </a:lnTo>
                                <a:lnTo>
                                  <a:pt x="6191974" y="0"/>
                                </a:lnTo>
                                <a:close/>
                              </a:path>
                            </a:pathLst>
                          </a:custGeom>
                          <a:solidFill>
                            <a:srgbClr val="005F83"/>
                          </a:solidFill>
                        </wps:spPr>
                        <wps:bodyPr wrap="square" lIns="0" tIns="0" rIns="0" bIns="0" rtlCol="0">
                          <a:prstTxWarp prst="textNoShape">
                            <a:avLst/>
                          </a:prstTxWarp>
                          <a:noAutofit/>
                        </wps:bodyPr>
                      </wps:wsp>
                      <wps:wsp>
                        <wps:cNvPr id="1219" name="Textbox 1219"/>
                        <wps:cNvSpPr txBox="1"/>
                        <wps:spPr>
                          <a:xfrm>
                            <a:off x="2132846" y="152228"/>
                            <a:ext cx="859155" cy="130810"/>
                          </a:xfrm>
                          <a:prstGeom prst="rect">
                            <a:avLst/>
                          </a:prstGeom>
                        </wps:spPr>
                        <wps:txbx>
                          <w:txbxContent>
                            <w:p w14:paraId="3F465520" w14:textId="77777777" w:rsidR="00084F36" w:rsidRDefault="00EB2BD8">
                              <w:pPr>
                                <w:spacing w:line="206" w:lineRule="exact"/>
                                <w:rPr>
                                  <w:sz w:val="10"/>
                                </w:rPr>
                              </w:pPr>
                              <w:r>
                                <w:rPr>
                                  <w:color w:val="FFFFFF"/>
                                  <w:w w:val="90"/>
                                  <w:sz w:val="18"/>
                                </w:rPr>
                                <w:t>All</w:t>
                              </w:r>
                              <w:r>
                                <w:rPr>
                                  <w:color w:val="FFFFFF"/>
                                  <w:spacing w:val="-4"/>
                                  <w:sz w:val="18"/>
                                </w:rPr>
                                <w:t xml:space="preserve"> </w:t>
                              </w:r>
                              <w:r>
                                <w:rPr>
                                  <w:color w:val="FFFFFF"/>
                                  <w:spacing w:val="-2"/>
                                  <w:sz w:val="18"/>
                                </w:rPr>
                                <w:t>employees</w:t>
                              </w:r>
                              <w:r>
                                <w:rPr>
                                  <w:color w:val="FFFFFF"/>
                                  <w:spacing w:val="-2"/>
                                  <w:position w:val="6"/>
                                  <w:sz w:val="10"/>
                                </w:rPr>
                                <w:t>30</w:t>
                              </w:r>
                            </w:p>
                          </w:txbxContent>
                        </wps:txbx>
                        <wps:bodyPr wrap="square" lIns="0" tIns="0" rIns="0" bIns="0" rtlCol="0">
                          <a:noAutofit/>
                        </wps:bodyPr>
                      </wps:wsp>
                      <wps:wsp>
                        <wps:cNvPr id="1220" name="Textbox 1220"/>
                        <wps:cNvSpPr txBox="1"/>
                        <wps:spPr>
                          <a:xfrm>
                            <a:off x="3797988" y="152228"/>
                            <a:ext cx="553085" cy="130810"/>
                          </a:xfrm>
                          <a:prstGeom prst="rect">
                            <a:avLst/>
                          </a:prstGeom>
                        </wps:spPr>
                        <wps:txbx>
                          <w:txbxContent>
                            <w:p w14:paraId="123F1497" w14:textId="77777777" w:rsidR="00084F36" w:rsidRDefault="00EB2BD8">
                              <w:pPr>
                                <w:spacing w:line="206" w:lineRule="exact"/>
                                <w:rPr>
                                  <w:sz w:val="10"/>
                                </w:rPr>
                              </w:pPr>
                              <w:r>
                                <w:rPr>
                                  <w:color w:val="FFFFFF"/>
                                  <w:spacing w:val="-2"/>
                                  <w:sz w:val="18"/>
                                </w:rPr>
                                <w:t>Ongoing</w:t>
                              </w:r>
                              <w:r>
                                <w:rPr>
                                  <w:color w:val="FFFFFF"/>
                                  <w:spacing w:val="-2"/>
                                  <w:position w:val="6"/>
                                  <w:sz w:val="10"/>
                                </w:rPr>
                                <w:t>31</w:t>
                              </w:r>
                            </w:p>
                          </w:txbxContent>
                        </wps:txbx>
                        <wps:bodyPr wrap="square" lIns="0" tIns="0" rIns="0" bIns="0" rtlCol="0">
                          <a:noAutofit/>
                        </wps:bodyPr>
                      </wps:wsp>
                      <wps:wsp>
                        <wps:cNvPr id="1221" name="Textbox 1221"/>
                        <wps:cNvSpPr txBox="1"/>
                        <wps:spPr>
                          <a:xfrm>
                            <a:off x="5163488" y="79203"/>
                            <a:ext cx="882015" cy="276860"/>
                          </a:xfrm>
                          <a:prstGeom prst="rect">
                            <a:avLst/>
                          </a:prstGeom>
                        </wps:spPr>
                        <wps:txbx>
                          <w:txbxContent>
                            <w:p w14:paraId="08751240" w14:textId="77777777" w:rsidR="00084F36" w:rsidRDefault="00EB2BD8">
                              <w:pPr>
                                <w:spacing w:line="261" w:lineRule="auto"/>
                                <w:ind w:left="393" w:hanging="394"/>
                                <w:rPr>
                                  <w:sz w:val="18"/>
                                </w:rPr>
                              </w:pPr>
                              <w:r>
                                <w:rPr>
                                  <w:color w:val="FFFFFF"/>
                                  <w:spacing w:val="-2"/>
                                  <w:w w:val="105"/>
                                  <w:sz w:val="18"/>
                                </w:rPr>
                                <w:t>Fixed-term</w:t>
                              </w:r>
                              <w:r>
                                <w:rPr>
                                  <w:color w:val="FFFFFF"/>
                                  <w:spacing w:val="-16"/>
                                  <w:w w:val="105"/>
                                  <w:sz w:val="18"/>
                                </w:rPr>
                                <w:t xml:space="preserve"> </w:t>
                              </w:r>
                              <w:r>
                                <w:rPr>
                                  <w:color w:val="FFFFFF"/>
                                  <w:spacing w:val="-2"/>
                                  <w:w w:val="105"/>
                                  <w:sz w:val="18"/>
                                </w:rPr>
                                <w:t>and casual</w:t>
                              </w:r>
                            </w:p>
                          </w:txbxContent>
                        </wps:txbx>
                        <wps:bodyPr wrap="square" lIns="0" tIns="0" rIns="0" bIns="0" rtlCol="0">
                          <a:noAutofit/>
                        </wps:bodyPr>
                      </wps:wsp>
                    </wpg:wgp>
                  </a:graphicData>
                </a:graphic>
              </wp:anchor>
            </w:drawing>
          </mc:Choice>
          <mc:Fallback>
            <w:pict>
              <v:group w14:anchorId="38F4A6F0" id="Group 1217" o:spid="_x0000_s1063" alt="&quot;&quot;" style="position:absolute;margin-left:63.55pt;margin-top:9.6pt;width:487.6pt;height:31.85pt;z-index:-251201536;mso-wrap-distance-left:0;mso-wrap-distance-right:0;mso-position-horizontal-relative:page;mso-position-vertical-relative:text" coordsize="6192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">
                <v:shape id="Graphic 1218" o:spid="_x0000_s1064" style="position:absolute;width:61925;height:4044;visibility:visible;mso-wrap-style:square;v-text-anchor:top" coordsize="619252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" path="m3131985,l1980006,,,,,404355r1979993,l3131985,404355,3131985,xem6191974,l5004003,,3131997,r,404355l5003990,404355r1187984,l6191974,xe" fillcolor="#005f83" stroked="f">
                  <v:path arrowok="t"/>
                </v:shape>
                <v:shape id="Textbox 1219" o:spid="_x0000_s1065" type="#_x0000_t202" style="position:absolute;left:21328;top:1522;width:8592;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3F465520" w14:textId="77777777" w:rsidR="00084F36" w:rsidRDefault="00EB2BD8">
                        <w:pPr>
                          <w:spacing w:line="206" w:lineRule="exact"/>
                          <w:rPr>
                            <w:sz w:val="10"/>
                          </w:rPr>
                        </w:pPr>
                        <w:r>
                          <w:rPr>
                            <w:color w:val="FFFFFF"/>
                            <w:w w:val="90"/>
                            <w:sz w:val="18"/>
                          </w:rPr>
                          <w:t>All</w:t>
                        </w:r>
                        <w:r>
                          <w:rPr>
                            <w:color w:val="FFFFFF"/>
                            <w:spacing w:val="-4"/>
                            <w:sz w:val="18"/>
                          </w:rPr>
                          <w:t xml:space="preserve"> </w:t>
                        </w:r>
                        <w:r>
                          <w:rPr>
                            <w:color w:val="FFFFFF"/>
                            <w:spacing w:val="-2"/>
                            <w:sz w:val="18"/>
                          </w:rPr>
                          <w:t>employees</w:t>
                        </w:r>
                        <w:r>
                          <w:rPr>
                            <w:color w:val="FFFFFF"/>
                            <w:spacing w:val="-2"/>
                            <w:position w:val="6"/>
                            <w:sz w:val="10"/>
                          </w:rPr>
                          <w:t>30</w:t>
                        </w:r>
                      </w:p>
                    </w:txbxContent>
                  </v:textbox>
                </v:shape>
                <v:shape id="Textbox 1220" o:spid="_x0000_s1066" type="#_x0000_t202" style="position:absolute;left:37979;top:1522;width:5531;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123F1497" w14:textId="77777777" w:rsidR="00084F36" w:rsidRDefault="00EB2BD8">
                        <w:pPr>
                          <w:spacing w:line="206" w:lineRule="exact"/>
                          <w:rPr>
                            <w:sz w:val="10"/>
                          </w:rPr>
                        </w:pPr>
                        <w:r>
                          <w:rPr>
                            <w:color w:val="FFFFFF"/>
                            <w:spacing w:val="-2"/>
                            <w:sz w:val="18"/>
                          </w:rPr>
                          <w:t>Ongoing</w:t>
                        </w:r>
                        <w:r>
                          <w:rPr>
                            <w:color w:val="FFFFFF"/>
                            <w:spacing w:val="-2"/>
                            <w:position w:val="6"/>
                            <w:sz w:val="10"/>
                          </w:rPr>
                          <w:t>31</w:t>
                        </w:r>
                      </w:p>
                    </w:txbxContent>
                  </v:textbox>
                </v:shape>
                <v:shape id="Textbox 1221" o:spid="_x0000_s1067" type="#_x0000_t202" style="position:absolute;left:51634;top:792;width:882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filled="f" stroked="f">
                  <v:textbox inset="0,0,0,0">
                    <w:txbxContent>
                      <w:p w14:paraId="08751240" w14:textId="77777777" w:rsidR="00084F36" w:rsidRDefault="00EB2BD8">
                        <w:pPr>
                          <w:spacing w:line="261" w:lineRule="auto"/>
                          <w:ind w:left="393" w:hanging="394"/>
                          <w:rPr>
                            <w:sz w:val="18"/>
                          </w:rPr>
                        </w:pPr>
                        <w:r>
                          <w:rPr>
                            <w:color w:val="FFFFFF"/>
                            <w:spacing w:val="-2"/>
                            <w:w w:val="105"/>
                            <w:sz w:val="18"/>
                          </w:rPr>
                          <w:t>Fixed-term</w:t>
                        </w:r>
                        <w:r>
                          <w:rPr>
                            <w:color w:val="FFFFFF"/>
                            <w:spacing w:val="-16"/>
                            <w:w w:val="105"/>
                            <w:sz w:val="18"/>
                          </w:rPr>
                          <w:t xml:space="preserve"> </w:t>
                        </w:r>
                        <w:r>
                          <w:rPr>
                            <w:color w:val="FFFFFF"/>
                            <w:spacing w:val="-2"/>
                            <w:w w:val="105"/>
                            <w:sz w:val="18"/>
                          </w:rPr>
                          <w:t>and casual</w:t>
                        </w:r>
                      </w:p>
                    </w:txbxContent>
                  </v:textbox>
                </v:shape>
                <w10:wrap type="topAndBottom" anchorx="page"/>
              </v:group>
            </w:pict>
          </mc:Fallback>
        </mc:AlternateContent>
      </w:r>
    </w:p>
    <w:p w14:paraId="2A3B3767" w14:textId="77777777" w:rsidR="00084F36" w:rsidRPr="00EB2BD8" w:rsidRDefault="00084F36">
      <w:pPr>
        <w:pStyle w:val="BodyText"/>
        <w:spacing w:before="1"/>
        <w:rPr>
          <w:sz w:val="6"/>
        </w:rPr>
      </w:pPr>
    </w:p>
    <w:tbl>
      <w:tblPr>
        <w:tblW w:w="0" w:type="auto"/>
        <w:tblInd w:w="4534" w:type="dxa"/>
        <w:tblLayout w:type="fixed"/>
        <w:tblCellMar>
          <w:left w:w="0" w:type="dxa"/>
          <w:right w:w="0" w:type="dxa"/>
        </w:tblCellMar>
        <w:tblLook w:val="01E0" w:firstRow="1" w:lastRow="1" w:firstColumn="1" w:lastColumn="1" w:noHBand="0" w:noVBand="0"/>
      </w:tblPr>
      <w:tblGrid>
        <w:gridCol w:w="1094"/>
        <w:gridCol w:w="620"/>
        <w:gridCol w:w="1134"/>
        <w:gridCol w:w="1195"/>
        <w:gridCol w:w="620"/>
        <w:gridCol w:w="1223"/>
        <w:gridCol w:w="547"/>
      </w:tblGrid>
      <w:tr w:rsidR="00EB2BD8" w:rsidRPr="00EB2BD8" w14:paraId="59D6061D" w14:textId="77777777">
        <w:trPr>
          <w:trHeight w:val="244"/>
        </w:trPr>
        <w:tc>
          <w:tcPr>
            <w:tcW w:w="1094" w:type="dxa"/>
          </w:tcPr>
          <w:p w14:paraId="3CC929BC" w14:textId="77777777" w:rsidR="00084F36" w:rsidRPr="00EB2BD8" w:rsidRDefault="00EB2BD8">
            <w:pPr>
              <w:pStyle w:val="TableParagraph"/>
              <w:spacing w:before="45"/>
              <w:ind w:right="209"/>
              <w:jc w:val="right"/>
              <w:rPr>
                <w:sz w:val="14"/>
              </w:rPr>
            </w:pPr>
            <w:r w:rsidRPr="00EB2BD8">
              <w:rPr>
                <w:spacing w:val="-2"/>
                <w:sz w:val="14"/>
              </w:rPr>
              <w:t>Number</w:t>
            </w:r>
          </w:p>
        </w:tc>
        <w:tc>
          <w:tcPr>
            <w:tcW w:w="620" w:type="dxa"/>
          </w:tcPr>
          <w:p w14:paraId="0C52D76F" w14:textId="77777777" w:rsidR="00084F36" w:rsidRPr="00EB2BD8" w:rsidRDefault="00EB2BD8">
            <w:pPr>
              <w:pStyle w:val="TableParagraph"/>
              <w:spacing w:before="45"/>
              <w:ind w:left="210"/>
              <w:rPr>
                <w:sz w:val="14"/>
              </w:rPr>
            </w:pPr>
            <w:r w:rsidRPr="00EB2BD8">
              <w:rPr>
                <w:spacing w:val="-5"/>
                <w:w w:val="110"/>
                <w:sz w:val="14"/>
              </w:rPr>
              <w:t>FTE</w:t>
            </w:r>
          </w:p>
        </w:tc>
        <w:tc>
          <w:tcPr>
            <w:tcW w:w="1134" w:type="dxa"/>
          </w:tcPr>
          <w:p w14:paraId="611F7166" w14:textId="77777777" w:rsidR="00084F36" w:rsidRPr="00EB2BD8" w:rsidRDefault="00EB2BD8">
            <w:pPr>
              <w:pStyle w:val="TableParagraph"/>
              <w:spacing w:before="45"/>
              <w:ind w:right="149"/>
              <w:jc w:val="right"/>
              <w:rPr>
                <w:sz w:val="14"/>
              </w:rPr>
            </w:pPr>
            <w:r w:rsidRPr="00EB2BD8">
              <w:rPr>
                <w:sz w:val="14"/>
              </w:rPr>
              <w:t>Full-</w:t>
            </w:r>
            <w:r w:rsidRPr="00EB2BD8">
              <w:rPr>
                <w:spacing w:val="-4"/>
                <w:sz w:val="14"/>
              </w:rPr>
              <w:t>time</w:t>
            </w:r>
          </w:p>
        </w:tc>
        <w:tc>
          <w:tcPr>
            <w:tcW w:w="1195" w:type="dxa"/>
          </w:tcPr>
          <w:p w14:paraId="0E4E391D" w14:textId="77777777" w:rsidR="00084F36" w:rsidRPr="00EB2BD8" w:rsidRDefault="00EB2BD8">
            <w:pPr>
              <w:pStyle w:val="TableParagraph"/>
              <w:spacing w:before="45"/>
              <w:ind w:right="210"/>
              <w:jc w:val="right"/>
              <w:rPr>
                <w:sz w:val="14"/>
              </w:rPr>
            </w:pPr>
            <w:r w:rsidRPr="00EB2BD8">
              <w:rPr>
                <w:w w:val="105"/>
                <w:sz w:val="14"/>
              </w:rPr>
              <w:t>Part-</w:t>
            </w:r>
            <w:r w:rsidRPr="00EB2BD8">
              <w:rPr>
                <w:spacing w:val="-4"/>
                <w:w w:val="105"/>
                <w:sz w:val="14"/>
              </w:rPr>
              <w:t>time</w:t>
            </w:r>
          </w:p>
        </w:tc>
        <w:tc>
          <w:tcPr>
            <w:tcW w:w="620" w:type="dxa"/>
          </w:tcPr>
          <w:p w14:paraId="69F1C5F4" w14:textId="77777777" w:rsidR="00084F36" w:rsidRPr="00EB2BD8" w:rsidRDefault="00EB2BD8">
            <w:pPr>
              <w:pStyle w:val="TableParagraph"/>
              <w:spacing w:before="45"/>
              <w:ind w:left="209"/>
              <w:rPr>
                <w:sz w:val="14"/>
              </w:rPr>
            </w:pPr>
            <w:r w:rsidRPr="00EB2BD8">
              <w:rPr>
                <w:spacing w:val="-5"/>
                <w:w w:val="110"/>
                <w:sz w:val="14"/>
              </w:rPr>
              <w:t>FTE</w:t>
            </w:r>
          </w:p>
        </w:tc>
        <w:tc>
          <w:tcPr>
            <w:tcW w:w="1223" w:type="dxa"/>
          </w:tcPr>
          <w:p w14:paraId="7B441939" w14:textId="77777777" w:rsidR="00084F36" w:rsidRPr="00EB2BD8" w:rsidRDefault="00EB2BD8">
            <w:pPr>
              <w:pStyle w:val="TableParagraph"/>
              <w:spacing w:before="45"/>
              <w:ind w:right="239"/>
              <w:jc w:val="right"/>
              <w:rPr>
                <w:sz w:val="14"/>
              </w:rPr>
            </w:pPr>
            <w:r w:rsidRPr="00EB2BD8">
              <w:rPr>
                <w:spacing w:val="-2"/>
                <w:sz w:val="14"/>
              </w:rPr>
              <w:t>Number</w:t>
            </w:r>
          </w:p>
        </w:tc>
        <w:tc>
          <w:tcPr>
            <w:tcW w:w="547" w:type="dxa"/>
          </w:tcPr>
          <w:p w14:paraId="7E889C02" w14:textId="77777777" w:rsidR="00084F36" w:rsidRPr="00EB2BD8" w:rsidRDefault="00EB2BD8">
            <w:pPr>
              <w:pStyle w:val="TableParagraph"/>
              <w:spacing w:before="45"/>
              <w:ind w:left="237"/>
              <w:rPr>
                <w:sz w:val="14"/>
              </w:rPr>
            </w:pPr>
            <w:r w:rsidRPr="00EB2BD8">
              <w:rPr>
                <w:spacing w:val="-5"/>
                <w:w w:val="110"/>
                <w:sz w:val="14"/>
              </w:rPr>
              <w:t>FTE</w:t>
            </w:r>
          </w:p>
        </w:tc>
      </w:tr>
      <w:tr w:rsidR="00084F36" w:rsidRPr="00EB2BD8" w14:paraId="002258BC" w14:textId="77777777">
        <w:trPr>
          <w:trHeight w:val="244"/>
        </w:trPr>
        <w:tc>
          <w:tcPr>
            <w:tcW w:w="1094" w:type="dxa"/>
          </w:tcPr>
          <w:p w14:paraId="02B57D73" w14:textId="77777777" w:rsidR="00084F36" w:rsidRPr="00EB2BD8" w:rsidRDefault="00EB2BD8">
            <w:pPr>
              <w:pStyle w:val="TableParagraph"/>
              <w:spacing w:before="31" w:line="163" w:lineRule="exact"/>
              <w:ind w:right="209"/>
              <w:jc w:val="right"/>
              <w:rPr>
                <w:sz w:val="14"/>
              </w:rPr>
            </w:pPr>
            <w:r w:rsidRPr="00EB2BD8">
              <w:rPr>
                <w:spacing w:val="-2"/>
                <w:w w:val="105"/>
                <w:sz w:val="14"/>
              </w:rPr>
              <w:t>(headcount)</w:t>
            </w:r>
          </w:p>
        </w:tc>
        <w:tc>
          <w:tcPr>
            <w:tcW w:w="620" w:type="dxa"/>
          </w:tcPr>
          <w:p w14:paraId="079A625F" w14:textId="77777777" w:rsidR="00084F36" w:rsidRPr="00EB2BD8" w:rsidRDefault="00084F36">
            <w:pPr>
              <w:pStyle w:val="TableParagraph"/>
              <w:rPr>
                <w:rFonts w:ascii="Times New Roman"/>
                <w:sz w:val="16"/>
              </w:rPr>
            </w:pPr>
          </w:p>
        </w:tc>
        <w:tc>
          <w:tcPr>
            <w:tcW w:w="1134" w:type="dxa"/>
          </w:tcPr>
          <w:p w14:paraId="48BC95D4" w14:textId="77777777" w:rsidR="00084F36" w:rsidRPr="00EB2BD8" w:rsidRDefault="00EB2BD8">
            <w:pPr>
              <w:pStyle w:val="TableParagraph"/>
              <w:spacing w:before="31" w:line="163" w:lineRule="exact"/>
              <w:ind w:right="149"/>
              <w:jc w:val="right"/>
              <w:rPr>
                <w:sz w:val="14"/>
              </w:rPr>
            </w:pPr>
            <w:r w:rsidRPr="00EB2BD8">
              <w:rPr>
                <w:spacing w:val="-2"/>
                <w:w w:val="105"/>
                <w:sz w:val="14"/>
              </w:rPr>
              <w:t>(headcount)</w:t>
            </w:r>
          </w:p>
        </w:tc>
        <w:tc>
          <w:tcPr>
            <w:tcW w:w="1195" w:type="dxa"/>
          </w:tcPr>
          <w:p w14:paraId="05CCC325" w14:textId="77777777" w:rsidR="00084F36" w:rsidRPr="00EB2BD8" w:rsidRDefault="00EB2BD8">
            <w:pPr>
              <w:pStyle w:val="TableParagraph"/>
              <w:spacing w:before="31" w:line="163" w:lineRule="exact"/>
              <w:ind w:right="210"/>
              <w:jc w:val="right"/>
              <w:rPr>
                <w:sz w:val="14"/>
              </w:rPr>
            </w:pPr>
            <w:r w:rsidRPr="00EB2BD8">
              <w:rPr>
                <w:spacing w:val="-2"/>
                <w:w w:val="105"/>
                <w:sz w:val="14"/>
              </w:rPr>
              <w:t>(headcount)</w:t>
            </w:r>
          </w:p>
        </w:tc>
        <w:tc>
          <w:tcPr>
            <w:tcW w:w="620" w:type="dxa"/>
          </w:tcPr>
          <w:p w14:paraId="1B672488" w14:textId="77777777" w:rsidR="00084F36" w:rsidRPr="00EB2BD8" w:rsidRDefault="00084F36">
            <w:pPr>
              <w:pStyle w:val="TableParagraph"/>
              <w:rPr>
                <w:rFonts w:ascii="Times New Roman"/>
                <w:sz w:val="16"/>
              </w:rPr>
            </w:pPr>
          </w:p>
        </w:tc>
        <w:tc>
          <w:tcPr>
            <w:tcW w:w="1223" w:type="dxa"/>
          </w:tcPr>
          <w:p w14:paraId="5EF130D3" w14:textId="77777777" w:rsidR="00084F36" w:rsidRPr="00EB2BD8" w:rsidRDefault="00EB2BD8">
            <w:pPr>
              <w:pStyle w:val="TableParagraph"/>
              <w:spacing w:before="31" w:line="163" w:lineRule="exact"/>
              <w:ind w:right="239"/>
              <w:jc w:val="right"/>
              <w:rPr>
                <w:sz w:val="14"/>
              </w:rPr>
            </w:pPr>
            <w:r w:rsidRPr="00EB2BD8">
              <w:rPr>
                <w:spacing w:val="-2"/>
                <w:w w:val="105"/>
                <w:sz w:val="14"/>
              </w:rPr>
              <w:t>(headcount)</w:t>
            </w:r>
          </w:p>
        </w:tc>
        <w:tc>
          <w:tcPr>
            <w:tcW w:w="547" w:type="dxa"/>
          </w:tcPr>
          <w:p w14:paraId="65EAEA10" w14:textId="77777777" w:rsidR="00084F36" w:rsidRPr="00EB2BD8" w:rsidRDefault="00084F36">
            <w:pPr>
              <w:pStyle w:val="TableParagraph"/>
              <w:rPr>
                <w:rFonts w:ascii="Times New Roman"/>
                <w:sz w:val="16"/>
              </w:rPr>
            </w:pPr>
          </w:p>
        </w:tc>
      </w:tr>
    </w:tbl>
    <w:p w14:paraId="40B2CD82" w14:textId="77777777" w:rsidR="00084F36" w:rsidRPr="00EB2BD8" w:rsidRDefault="00084F36">
      <w:pPr>
        <w:pStyle w:val="BodyText"/>
        <w:spacing w:before="10"/>
        <w:rPr>
          <w:sz w:val="2"/>
        </w:rPr>
      </w:pPr>
    </w:p>
    <w:p w14:paraId="2682CA53" w14:textId="77777777" w:rsidR="00084F36" w:rsidRPr="00EB2BD8" w:rsidRDefault="00084F36">
      <w:pPr>
        <w:pStyle w:val="BodyText"/>
        <w:spacing w:before="6"/>
        <w:rPr>
          <w:sz w:val="2"/>
        </w:rPr>
      </w:pPr>
    </w:p>
    <w:tbl>
      <w:tblPr>
        <w:tblW w:w="0" w:type="auto"/>
        <w:tblInd w:w="857" w:type="dxa"/>
        <w:tblLayout w:type="fixed"/>
        <w:tblCellMar>
          <w:left w:w="0" w:type="dxa"/>
          <w:right w:w="0" w:type="dxa"/>
        </w:tblCellMar>
        <w:tblLook w:val="01E0" w:firstRow="1" w:lastRow="1" w:firstColumn="1" w:lastColumn="1" w:noHBand="0" w:noVBand="0"/>
      </w:tblPr>
      <w:tblGrid>
        <w:gridCol w:w="421"/>
        <w:gridCol w:w="3277"/>
        <w:gridCol w:w="1002"/>
        <w:gridCol w:w="982"/>
        <w:gridCol w:w="1178"/>
        <w:gridCol w:w="801"/>
        <w:gridCol w:w="998"/>
        <w:gridCol w:w="879"/>
        <w:gridCol w:w="636"/>
      </w:tblGrid>
      <w:tr w:rsidR="00EB2BD8" w:rsidRPr="00EB2BD8" w14:paraId="7BA34ACD" w14:textId="77777777">
        <w:trPr>
          <w:trHeight w:val="364"/>
        </w:trPr>
        <w:tc>
          <w:tcPr>
            <w:tcW w:w="421" w:type="dxa"/>
            <w:vMerge w:val="restart"/>
            <w:tcBorders>
              <w:top w:val="single" w:sz="2" w:space="0" w:color="000000"/>
              <w:bottom w:val="single" w:sz="2" w:space="0" w:color="000000"/>
            </w:tcBorders>
            <w:shd w:val="clear" w:color="auto" w:fill="4CB7FF"/>
            <w:textDirection w:val="btLr"/>
          </w:tcPr>
          <w:p w14:paraId="029888B4" w14:textId="77777777" w:rsidR="00084F36" w:rsidRPr="00EB2BD8" w:rsidRDefault="00EB2BD8">
            <w:pPr>
              <w:pStyle w:val="TableParagraph"/>
              <w:tabs>
                <w:tab w:val="left" w:pos="4028"/>
              </w:tabs>
              <w:spacing w:before="86"/>
              <w:ind w:right="192"/>
              <w:jc w:val="center"/>
              <w:rPr>
                <w:sz w:val="18"/>
              </w:rPr>
            </w:pPr>
            <w:r w:rsidRPr="00EB2BD8">
              <w:rPr>
                <w:sz w:val="18"/>
              </w:rPr>
              <w:t>Classification</w:t>
            </w:r>
            <w:r w:rsidRPr="00EB2BD8">
              <w:rPr>
                <w:spacing w:val="-9"/>
                <w:sz w:val="18"/>
              </w:rPr>
              <w:t xml:space="preserve"> </w:t>
            </w:r>
            <w:r w:rsidRPr="00EB2BD8">
              <w:rPr>
                <w:spacing w:val="-4"/>
                <w:sz w:val="18"/>
              </w:rPr>
              <w:t>data</w:t>
            </w:r>
            <w:r w:rsidRPr="00EB2BD8">
              <w:rPr>
                <w:sz w:val="18"/>
              </w:rPr>
              <w:tab/>
              <w:t>Demographic</w:t>
            </w:r>
            <w:r w:rsidRPr="00EB2BD8">
              <w:rPr>
                <w:spacing w:val="-13"/>
                <w:sz w:val="18"/>
              </w:rPr>
              <w:t xml:space="preserve"> </w:t>
            </w:r>
            <w:r w:rsidRPr="00EB2BD8">
              <w:rPr>
                <w:spacing w:val="-4"/>
                <w:sz w:val="18"/>
              </w:rPr>
              <w:t>data</w:t>
            </w:r>
          </w:p>
        </w:tc>
        <w:tc>
          <w:tcPr>
            <w:tcW w:w="9753" w:type="dxa"/>
            <w:gridSpan w:val="8"/>
            <w:shd w:val="clear" w:color="auto" w:fill="E5F5FF"/>
          </w:tcPr>
          <w:p w14:paraId="30C11DDC" w14:textId="77777777" w:rsidR="00084F36" w:rsidRPr="00EB2BD8" w:rsidRDefault="00EB2BD8">
            <w:pPr>
              <w:pStyle w:val="TableParagraph"/>
              <w:spacing w:before="83"/>
              <w:ind w:left="79"/>
              <w:rPr>
                <w:sz w:val="16"/>
              </w:rPr>
            </w:pPr>
            <w:r w:rsidRPr="00EB2BD8">
              <w:rPr>
                <w:spacing w:val="-2"/>
                <w:w w:val="105"/>
                <w:sz w:val="16"/>
              </w:rPr>
              <w:t>Gender</w:t>
            </w:r>
          </w:p>
        </w:tc>
      </w:tr>
      <w:tr w:rsidR="00EB2BD8" w:rsidRPr="00EB2BD8" w14:paraId="29FC9965" w14:textId="77777777">
        <w:trPr>
          <w:trHeight w:val="381"/>
        </w:trPr>
        <w:tc>
          <w:tcPr>
            <w:tcW w:w="421" w:type="dxa"/>
            <w:vMerge/>
            <w:tcBorders>
              <w:top w:val="nil"/>
              <w:bottom w:val="single" w:sz="2" w:space="0" w:color="000000"/>
            </w:tcBorders>
            <w:shd w:val="clear" w:color="auto" w:fill="4CB7FF"/>
            <w:textDirection w:val="btLr"/>
          </w:tcPr>
          <w:p w14:paraId="42798F10" w14:textId="77777777" w:rsidR="00084F36" w:rsidRPr="00EB2BD8" w:rsidRDefault="00084F36">
            <w:pPr>
              <w:rPr>
                <w:sz w:val="2"/>
                <w:szCs w:val="2"/>
              </w:rPr>
            </w:pPr>
          </w:p>
        </w:tc>
        <w:tc>
          <w:tcPr>
            <w:tcW w:w="3277" w:type="dxa"/>
            <w:tcBorders>
              <w:bottom w:val="single" w:sz="2" w:space="0" w:color="000000"/>
            </w:tcBorders>
          </w:tcPr>
          <w:p w14:paraId="4C722491" w14:textId="77777777" w:rsidR="00084F36" w:rsidRPr="00EB2BD8" w:rsidRDefault="00EB2BD8">
            <w:pPr>
              <w:pStyle w:val="TableParagraph"/>
              <w:spacing w:before="116"/>
              <w:ind w:left="113"/>
              <w:rPr>
                <w:sz w:val="16"/>
              </w:rPr>
            </w:pPr>
            <w:r w:rsidRPr="00EB2BD8">
              <w:rPr>
                <w:spacing w:val="-2"/>
                <w:w w:val="105"/>
                <w:sz w:val="16"/>
              </w:rPr>
              <w:t>Women</w:t>
            </w:r>
          </w:p>
        </w:tc>
        <w:tc>
          <w:tcPr>
            <w:tcW w:w="1002" w:type="dxa"/>
            <w:tcBorders>
              <w:bottom w:val="single" w:sz="2" w:space="0" w:color="000000"/>
            </w:tcBorders>
          </w:tcPr>
          <w:p w14:paraId="51F19AA7" w14:textId="77777777" w:rsidR="00084F36" w:rsidRPr="00EB2BD8" w:rsidRDefault="00EB2BD8">
            <w:pPr>
              <w:pStyle w:val="TableParagraph"/>
              <w:spacing w:before="116"/>
              <w:ind w:right="138"/>
              <w:jc w:val="right"/>
              <w:rPr>
                <w:sz w:val="16"/>
              </w:rPr>
            </w:pPr>
            <w:r w:rsidRPr="00EB2BD8">
              <w:rPr>
                <w:spacing w:val="-5"/>
                <w:w w:val="95"/>
                <w:sz w:val="16"/>
              </w:rPr>
              <w:t>242</w:t>
            </w:r>
          </w:p>
        </w:tc>
        <w:tc>
          <w:tcPr>
            <w:tcW w:w="982" w:type="dxa"/>
            <w:tcBorders>
              <w:bottom w:val="single" w:sz="2" w:space="0" w:color="000000"/>
            </w:tcBorders>
          </w:tcPr>
          <w:p w14:paraId="3CC6D98D" w14:textId="77777777" w:rsidR="00084F36" w:rsidRPr="00EB2BD8" w:rsidRDefault="00EB2BD8">
            <w:pPr>
              <w:pStyle w:val="TableParagraph"/>
              <w:spacing w:before="116"/>
              <w:ind w:right="441"/>
              <w:jc w:val="right"/>
              <w:rPr>
                <w:sz w:val="16"/>
              </w:rPr>
            </w:pPr>
            <w:r w:rsidRPr="00EB2BD8">
              <w:rPr>
                <w:spacing w:val="-2"/>
                <w:sz w:val="16"/>
              </w:rPr>
              <w:t>234.3</w:t>
            </w:r>
          </w:p>
        </w:tc>
        <w:tc>
          <w:tcPr>
            <w:tcW w:w="1178" w:type="dxa"/>
            <w:tcBorders>
              <w:bottom w:val="single" w:sz="2" w:space="0" w:color="000000"/>
            </w:tcBorders>
          </w:tcPr>
          <w:p w14:paraId="3394CABE" w14:textId="77777777" w:rsidR="00084F36" w:rsidRPr="00EB2BD8" w:rsidRDefault="00EB2BD8">
            <w:pPr>
              <w:pStyle w:val="TableParagraph"/>
              <w:spacing w:before="116"/>
              <w:ind w:right="484"/>
              <w:jc w:val="right"/>
              <w:rPr>
                <w:sz w:val="16"/>
              </w:rPr>
            </w:pPr>
            <w:r w:rsidRPr="00EB2BD8">
              <w:rPr>
                <w:spacing w:val="-5"/>
                <w:w w:val="80"/>
                <w:sz w:val="16"/>
              </w:rPr>
              <w:t>172</w:t>
            </w:r>
          </w:p>
        </w:tc>
        <w:tc>
          <w:tcPr>
            <w:tcW w:w="801" w:type="dxa"/>
            <w:tcBorders>
              <w:bottom w:val="single" w:sz="2" w:space="0" w:color="000000"/>
            </w:tcBorders>
          </w:tcPr>
          <w:p w14:paraId="6E32B0AA" w14:textId="77777777" w:rsidR="00084F36" w:rsidRPr="00EB2BD8" w:rsidRDefault="00EB2BD8">
            <w:pPr>
              <w:pStyle w:val="TableParagraph"/>
              <w:spacing w:before="116"/>
              <w:ind w:right="152"/>
              <w:jc w:val="right"/>
              <w:rPr>
                <w:sz w:val="16"/>
              </w:rPr>
            </w:pPr>
            <w:r w:rsidRPr="00EB2BD8">
              <w:rPr>
                <w:spacing w:val="-5"/>
                <w:w w:val="90"/>
                <w:sz w:val="16"/>
              </w:rPr>
              <w:t>22</w:t>
            </w:r>
          </w:p>
        </w:tc>
        <w:tc>
          <w:tcPr>
            <w:tcW w:w="998" w:type="dxa"/>
            <w:tcBorders>
              <w:bottom w:val="single" w:sz="2" w:space="0" w:color="000000"/>
            </w:tcBorders>
          </w:tcPr>
          <w:p w14:paraId="29B05B33" w14:textId="77777777" w:rsidR="00084F36" w:rsidRPr="00EB2BD8" w:rsidRDefault="00EB2BD8">
            <w:pPr>
              <w:pStyle w:val="TableParagraph"/>
              <w:spacing w:before="116"/>
              <w:ind w:right="469"/>
              <w:jc w:val="right"/>
              <w:rPr>
                <w:sz w:val="16"/>
              </w:rPr>
            </w:pPr>
            <w:r w:rsidRPr="00EB2BD8">
              <w:rPr>
                <w:spacing w:val="-2"/>
                <w:w w:val="85"/>
                <w:sz w:val="16"/>
              </w:rPr>
              <w:t>187.3</w:t>
            </w:r>
          </w:p>
        </w:tc>
        <w:tc>
          <w:tcPr>
            <w:tcW w:w="879" w:type="dxa"/>
            <w:tcBorders>
              <w:bottom w:val="single" w:sz="2" w:space="0" w:color="000000"/>
            </w:tcBorders>
          </w:tcPr>
          <w:p w14:paraId="6DA78DAA" w14:textId="77777777" w:rsidR="00084F36" w:rsidRPr="00EB2BD8" w:rsidRDefault="00EB2BD8">
            <w:pPr>
              <w:pStyle w:val="TableParagraph"/>
              <w:spacing w:before="116"/>
              <w:ind w:right="215"/>
              <w:jc w:val="right"/>
              <w:rPr>
                <w:sz w:val="16"/>
              </w:rPr>
            </w:pPr>
            <w:r w:rsidRPr="00EB2BD8">
              <w:rPr>
                <w:spacing w:val="-5"/>
                <w:sz w:val="16"/>
              </w:rPr>
              <w:t>48</w:t>
            </w:r>
          </w:p>
        </w:tc>
        <w:tc>
          <w:tcPr>
            <w:tcW w:w="636" w:type="dxa"/>
            <w:tcBorders>
              <w:bottom w:val="single" w:sz="2" w:space="0" w:color="000000"/>
            </w:tcBorders>
          </w:tcPr>
          <w:p w14:paraId="4FF2A04D" w14:textId="77777777" w:rsidR="00084F36" w:rsidRPr="00EB2BD8" w:rsidRDefault="00EB2BD8">
            <w:pPr>
              <w:pStyle w:val="TableParagraph"/>
              <w:spacing w:before="116"/>
              <w:ind w:right="117"/>
              <w:jc w:val="right"/>
              <w:rPr>
                <w:sz w:val="16"/>
              </w:rPr>
            </w:pPr>
            <w:r w:rsidRPr="00EB2BD8">
              <w:rPr>
                <w:spacing w:val="-5"/>
                <w:w w:val="95"/>
                <w:sz w:val="16"/>
              </w:rPr>
              <w:t>47</w:t>
            </w:r>
          </w:p>
        </w:tc>
      </w:tr>
      <w:tr w:rsidR="00EB2BD8" w:rsidRPr="00EB2BD8" w14:paraId="5397ECEB" w14:textId="77777777">
        <w:trPr>
          <w:trHeight w:val="381"/>
        </w:trPr>
        <w:tc>
          <w:tcPr>
            <w:tcW w:w="421" w:type="dxa"/>
            <w:vMerge/>
            <w:tcBorders>
              <w:top w:val="nil"/>
              <w:bottom w:val="single" w:sz="2" w:space="0" w:color="000000"/>
            </w:tcBorders>
            <w:shd w:val="clear" w:color="auto" w:fill="4CB7FF"/>
            <w:textDirection w:val="btLr"/>
          </w:tcPr>
          <w:p w14:paraId="5A956EFD" w14:textId="77777777" w:rsidR="00084F36" w:rsidRPr="00EB2BD8" w:rsidRDefault="00084F36">
            <w:pPr>
              <w:rPr>
                <w:sz w:val="2"/>
                <w:szCs w:val="2"/>
              </w:rPr>
            </w:pPr>
          </w:p>
        </w:tc>
        <w:tc>
          <w:tcPr>
            <w:tcW w:w="3277" w:type="dxa"/>
            <w:tcBorders>
              <w:top w:val="single" w:sz="2" w:space="0" w:color="000000"/>
              <w:bottom w:val="single" w:sz="2" w:space="0" w:color="000000"/>
            </w:tcBorders>
          </w:tcPr>
          <w:p w14:paraId="31CFBBB3" w14:textId="77777777" w:rsidR="00084F36" w:rsidRPr="00EB2BD8" w:rsidRDefault="00EB2BD8">
            <w:pPr>
              <w:pStyle w:val="TableParagraph"/>
              <w:spacing w:before="116"/>
              <w:ind w:left="113"/>
              <w:rPr>
                <w:sz w:val="16"/>
              </w:rPr>
            </w:pPr>
            <w:r w:rsidRPr="00EB2BD8">
              <w:rPr>
                <w:spacing w:val="-5"/>
                <w:sz w:val="16"/>
              </w:rPr>
              <w:t>Men</w:t>
            </w:r>
          </w:p>
        </w:tc>
        <w:tc>
          <w:tcPr>
            <w:tcW w:w="1002" w:type="dxa"/>
            <w:tcBorders>
              <w:top w:val="single" w:sz="2" w:space="0" w:color="000000"/>
              <w:bottom w:val="single" w:sz="2" w:space="0" w:color="000000"/>
            </w:tcBorders>
          </w:tcPr>
          <w:p w14:paraId="09608910" w14:textId="77777777" w:rsidR="00084F36" w:rsidRPr="00EB2BD8" w:rsidRDefault="00EB2BD8">
            <w:pPr>
              <w:pStyle w:val="TableParagraph"/>
              <w:spacing w:before="116"/>
              <w:ind w:right="138"/>
              <w:jc w:val="right"/>
              <w:rPr>
                <w:sz w:val="16"/>
              </w:rPr>
            </w:pPr>
            <w:r w:rsidRPr="00EB2BD8">
              <w:rPr>
                <w:spacing w:val="-5"/>
                <w:sz w:val="16"/>
              </w:rPr>
              <w:t>268</w:t>
            </w:r>
          </w:p>
        </w:tc>
        <w:tc>
          <w:tcPr>
            <w:tcW w:w="982" w:type="dxa"/>
            <w:tcBorders>
              <w:top w:val="single" w:sz="2" w:space="0" w:color="000000"/>
              <w:bottom w:val="single" w:sz="2" w:space="0" w:color="000000"/>
            </w:tcBorders>
          </w:tcPr>
          <w:p w14:paraId="5776E5C8" w14:textId="77777777" w:rsidR="00084F36" w:rsidRPr="00EB2BD8" w:rsidRDefault="00EB2BD8">
            <w:pPr>
              <w:pStyle w:val="TableParagraph"/>
              <w:spacing w:before="116"/>
              <w:ind w:right="440"/>
              <w:jc w:val="right"/>
              <w:rPr>
                <w:sz w:val="16"/>
              </w:rPr>
            </w:pPr>
            <w:r w:rsidRPr="00EB2BD8">
              <w:rPr>
                <w:spacing w:val="-2"/>
                <w:sz w:val="16"/>
              </w:rPr>
              <w:t>264.9</w:t>
            </w:r>
          </w:p>
        </w:tc>
        <w:tc>
          <w:tcPr>
            <w:tcW w:w="1178" w:type="dxa"/>
            <w:tcBorders>
              <w:top w:val="single" w:sz="2" w:space="0" w:color="000000"/>
              <w:bottom w:val="single" w:sz="2" w:space="0" w:color="000000"/>
            </w:tcBorders>
          </w:tcPr>
          <w:p w14:paraId="075A01A0" w14:textId="77777777" w:rsidR="00084F36" w:rsidRPr="00EB2BD8" w:rsidRDefault="00EB2BD8">
            <w:pPr>
              <w:pStyle w:val="TableParagraph"/>
              <w:spacing w:before="116"/>
              <w:ind w:right="485"/>
              <w:jc w:val="right"/>
              <w:rPr>
                <w:sz w:val="16"/>
              </w:rPr>
            </w:pPr>
            <w:r w:rsidRPr="00EB2BD8">
              <w:rPr>
                <w:spacing w:val="-5"/>
                <w:w w:val="85"/>
                <w:sz w:val="16"/>
              </w:rPr>
              <w:t>213</w:t>
            </w:r>
          </w:p>
        </w:tc>
        <w:tc>
          <w:tcPr>
            <w:tcW w:w="801" w:type="dxa"/>
            <w:tcBorders>
              <w:top w:val="single" w:sz="2" w:space="0" w:color="000000"/>
              <w:bottom w:val="single" w:sz="2" w:space="0" w:color="000000"/>
            </w:tcBorders>
          </w:tcPr>
          <w:p w14:paraId="22FD140B" w14:textId="77777777" w:rsidR="00084F36" w:rsidRPr="00EB2BD8" w:rsidRDefault="00EB2BD8">
            <w:pPr>
              <w:pStyle w:val="TableParagraph"/>
              <w:spacing w:before="116"/>
              <w:ind w:right="151"/>
              <w:jc w:val="right"/>
              <w:rPr>
                <w:sz w:val="16"/>
              </w:rPr>
            </w:pPr>
            <w:r w:rsidRPr="00EB2BD8">
              <w:rPr>
                <w:w w:val="77"/>
                <w:sz w:val="16"/>
              </w:rPr>
              <w:t>7</w:t>
            </w:r>
          </w:p>
        </w:tc>
        <w:tc>
          <w:tcPr>
            <w:tcW w:w="998" w:type="dxa"/>
            <w:tcBorders>
              <w:top w:val="single" w:sz="2" w:space="0" w:color="000000"/>
              <w:bottom w:val="single" w:sz="2" w:space="0" w:color="000000"/>
            </w:tcBorders>
          </w:tcPr>
          <w:p w14:paraId="61F6B752" w14:textId="77777777" w:rsidR="00084F36" w:rsidRPr="00EB2BD8" w:rsidRDefault="00EB2BD8">
            <w:pPr>
              <w:pStyle w:val="TableParagraph"/>
              <w:spacing w:before="116"/>
              <w:ind w:right="468"/>
              <w:jc w:val="right"/>
              <w:rPr>
                <w:sz w:val="16"/>
              </w:rPr>
            </w:pPr>
            <w:r w:rsidRPr="00EB2BD8">
              <w:rPr>
                <w:spacing w:val="-2"/>
                <w:w w:val="75"/>
                <w:sz w:val="16"/>
              </w:rPr>
              <w:t>217.1</w:t>
            </w:r>
          </w:p>
        </w:tc>
        <w:tc>
          <w:tcPr>
            <w:tcW w:w="879" w:type="dxa"/>
            <w:tcBorders>
              <w:top w:val="single" w:sz="2" w:space="0" w:color="000000"/>
              <w:bottom w:val="single" w:sz="2" w:space="0" w:color="000000"/>
            </w:tcBorders>
          </w:tcPr>
          <w:p w14:paraId="50E3B003" w14:textId="77777777" w:rsidR="00084F36" w:rsidRPr="00EB2BD8" w:rsidRDefault="00EB2BD8">
            <w:pPr>
              <w:pStyle w:val="TableParagraph"/>
              <w:spacing w:before="116"/>
              <w:ind w:right="215"/>
              <w:jc w:val="right"/>
              <w:rPr>
                <w:sz w:val="16"/>
              </w:rPr>
            </w:pPr>
            <w:r w:rsidRPr="00EB2BD8">
              <w:rPr>
                <w:spacing w:val="-5"/>
                <w:sz w:val="16"/>
              </w:rPr>
              <w:t>48</w:t>
            </w:r>
          </w:p>
        </w:tc>
        <w:tc>
          <w:tcPr>
            <w:tcW w:w="636" w:type="dxa"/>
            <w:tcBorders>
              <w:top w:val="single" w:sz="2" w:space="0" w:color="000000"/>
              <w:bottom w:val="single" w:sz="2" w:space="0" w:color="000000"/>
            </w:tcBorders>
          </w:tcPr>
          <w:p w14:paraId="49E43A28" w14:textId="77777777" w:rsidR="00084F36" w:rsidRPr="00EB2BD8" w:rsidRDefault="00EB2BD8">
            <w:pPr>
              <w:pStyle w:val="TableParagraph"/>
              <w:spacing w:before="116"/>
              <w:ind w:right="113"/>
              <w:jc w:val="right"/>
              <w:rPr>
                <w:sz w:val="16"/>
              </w:rPr>
            </w:pPr>
            <w:r w:rsidRPr="00EB2BD8">
              <w:rPr>
                <w:spacing w:val="-4"/>
                <w:w w:val="95"/>
                <w:sz w:val="16"/>
              </w:rPr>
              <w:t>47.8</w:t>
            </w:r>
          </w:p>
        </w:tc>
      </w:tr>
      <w:tr w:rsidR="00EB2BD8" w:rsidRPr="00EB2BD8" w14:paraId="15D0CB45" w14:textId="77777777">
        <w:trPr>
          <w:trHeight w:val="381"/>
        </w:trPr>
        <w:tc>
          <w:tcPr>
            <w:tcW w:w="421" w:type="dxa"/>
            <w:vMerge/>
            <w:tcBorders>
              <w:top w:val="nil"/>
              <w:bottom w:val="single" w:sz="2" w:space="0" w:color="000000"/>
            </w:tcBorders>
            <w:shd w:val="clear" w:color="auto" w:fill="4CB7FF"/>
            <w:textDirection w:val="btLr"/>
          </w:tcPr>
          <w:p w14:paraId="0668CBCA" w14:textId="77777777" w:rsidR="00084F36" w:rsidRPr="00EB2BD8" w:rsidRDefault="00084F36">
            <w:pPr>
              <w:rPr>
                <w:sz w:val="2"/>
                <w:szCs w:val="2"/>
              </w:rPr>
            </w:pPr>
          </w:p>
        </w:tc>
        <w:tc>
          <w:tcPr>
            <w:tcW w:w="3277" w:type="dxa"/>
            <w:tcBorders>
              <w:top w:val="single" w:sz="2" w:space="0" w:color="000000"/>
              <w:bottom w:val="single" w:sz="2" w:space="0" w:color="000000"/>
            </w:tcBorders>
          </w:tcPr>
          <w:p w14:paraId="7D5EC4BE" w14:textId="77777777" w:rsidR="00084F36" w:rsidRPr="00EB2BD8" w:rsidRDefault="00EB2BD8">
            <w:pPr>
              <w:pStyle w:val="TableParagraph"/>
              <w:spacing w:before="116"/>
              <w:ind w:left="113"/>
              <w:rPr>
                <w:sz w:val="16"/>
              </w:rPr>
            </w:pPr>
            <w:r w:rsidRPr="00EB2BD8">
              <w:rPr>
                <w:w w:val="105"/>
                <w:sz w:val="16"/>
              </w:rPr>
              <w:t>Self-</w:t>
            </w:r>
            <w:r w:rsidRPr="00EB2BD8">
              <w:rPr>
                <w:spacing w:val="-2"/>
                <w:w w:val="105"/>
                <w:sz w:val="16"/>
              </w:rPr>
              <w:t>described</w:t>
            </w:r>
          </w:p>
        </w:tc>
        <w:tc>
          <w:tcPr>
            <w:tcW w:w="1002" w:type="dxa"/>
            <w:tcBorders>
              <w:top w:val="single" w:sz="2" w:space="0" w:color="000000"/>
              <w:bottom w:val="single" w:sz="2" w:space="0" w:color="000000"/>
            </w:tcBorders>
          </w:tcPr>
          <w:p w14:paraId="37AEAE5A" w14:textId="77777777" w:rsidR="00084F36" w:rsidRPr="00EB2BD8" w:rsidRDefault="00EB2BD8">
            <w:pPr>
              <w:pStyle w:val="TableParagraph"/>
              <w:spacing w:before="116"/>
              <w:ind w:right="138"/>
              <w:jc w:val="right"/>
              <w:rPr>
                <w:sz w:val="16"/>
              </w:rPr>
            </w:pPr>
            <w:r w:rsidRPr="00EB2BD8">
              <w:rPr>
                <w:w w:val="93"/>
                <w:sz w:val="16"/>
              </w:rPr>
              <w:t>3</w:t>
            </w:r>
          </w:p>
        </w:tc>
        <w:tc>
          <w:tcPr>
            <w:tcW w:w="982" w:type="dxa"/>
            <w:tcBorders>
              <w:top w:val="single" w:sz="2" w:space="0" w:color="000000"/>
              <w:bottom w:val="single" w:sz="2" w:space="0" w:color="000000"/>
            </w:tcBorders>
          </w:tcPr>
          <w:p w14:paraId="436379F4" w14:textId="77777777" w:rsidR="00084F36" w:rsidRPr="00EB2BD8" w:rsidRDefault="00EB2BD8">
            <w:pPr>
              <w:pStyle w:val="TableParagraph"/>
              <w:spacing w:before="116"/>
              <w:ind w:right="440"/>
              <w:jc w:val="right"/>
              <w:rPr>
                <w:sz w:val="16"/>
              </w:rPr>
            </w:pPr>
            <w:r w:rsidRPr="00EB2BD8">
              <w:rPr>
                <w:w w:val="93"/>
                <w:sz w:val="16"/>
              </w:rPr>
              <w:t>3</w:t>
            </w:r>
          </w:p>
        </w:tc>
        <w:tc>
          <w:tcPr>
            <w:tcW w:w="1178" w:type="dxa"/>
            <w:tcBorders>
              <w:top w:val="single" w:sz="2" w:space="0" w:color="000000"/>
              <w:bottom w:val="single" w:sz="2" w:space="0" w:color="000000"/>
            </w:tcBorders>
          </w:tcPr>
          <w:p w14:paraId="5A4A5583" w14:textId="77777777" w:rsidR="00084F36" w:rsidRPr="00EB2BD8" w:rsidRDefault="00EB2BD8">
            <w:pPr>
              <w:pStyle w:val="TableParagraph"/>
              <w:spacing w:before="116"/>
              <w:ind w:right="484"/>
              <w:jc w:val="right"/>
              <w:rPr>
                <w:sz w:val="16"/>
              </w:rPr>
            </w:pPr>
            <w:r w:rsidRPr="00EB2BD8">
              <w:rPr>
                <w:w w:val="93"/>
                <w:sz w:val="16"/>
              </w:rPr>
              <w:t>3</w:t>
            </w:r>
          </w:p>
        </w:tc>
        <w:tc>
          <w:tcPr>
            <w:tcW w:w="801" w:type="dxa"/>
            <w:tcBorders>
              <w:top w:val="single" w:sz="2" w:space="0" w:color="000000"/>
              <w:bottom w:val="single" w:sz="2" w:space="0" w:color="000000"/>
            </w:tcBorders>
          </w:tcPr>
          <w:p w14:paraId="70BF748E" w14:textId="77777777" w:rsidR="00084F36" w:rsidRPr="00EB2BD8" w:rsidRDefault="00EB2BD8">
            <w:pPr>
              <w:pStyle w:val="TableParagraph"/>
              <w:spacing w:before="116"/>
              <w:ind w:right="151"/>
              <w:jc w:val="right"/>
              <w:rPr>
                <w:sz w:val="16"/>
              </w:rPr>
            </w:pPr>
            <w:r w:rsidRPr="00EB2BD8">
              <w:rPr>
                <w:w w:val="105"/>
                <w:sz w:val="16"/>
              </w:rPr>
              <w:t>0</w:t>
            </w:r>
          </w:p>
        </w:tc>
        <w:tc>
          <w:tcPr>
            <w:tcW w:w="998" w:type="dxa"/>
            <w:tcBorders>
              <w:top w:val="single" w:sz="2" w:space="0" w:color="000000"/>
              <w:bottom w:val="single" w:sz="2" w:space="0" w:color="000000"/>
            </w:tcBorders>
          </w:tcPr>
          <w:p w14:paraId="7BE74FFD" w14:textId="77777777" w:rsidR="00084F36" w:rsidRPr="00EB2BD8" w:rsidRDefault="00EB2BD8">
            <w:pPr>
              <w:pStyle w:val="TableParagraph"/>
              <w:spacing w:before="116"/>
              <w:ind w:right="468"/>
              <w:jc w:val="right"/>
              <w:rPr>
                <w:sz w:val="16"/>
              </w:rPr>
            </w:pPr>
            <w:r w:rsidRPr="00EB2BD8">
              <w:rPr>
                <w:w w:val="93"/>
                <w:sz w:val="16"/>
              </w:rPr>
              <w:t>3</w:t>
            </w:r>
          </w:p>
        </w:tc>
        <w:tc>
          <w:tcPr>
            <w:tcW w:w="879" w:type="dxa"/>
            <w:tcBorders>
              <w:top w:val="single" w:sz="2" w:space="0" w:color="000000"/>
              <w:bottom w:val="single" w:sz="2" w:space="0" w:color="000000"/>
            </w:tcBorders>
          </w:tcPr>
          <w:p w14:paraId="73F48608" w14:textId="77777777" w:rsidR="00084F36" w:rsidRPr="00EB2BD8" w:rsidRDefault="00EB2BD8">
            <w:pPr>
              <w:pStyle w:val="TableParagraph"/>
              <w:spacing w:before="116"/>
              <w:ind w:right="214"/>
              <w:jc w:val="right"/>
              <w:rPr>
                <w:sz w:val="16"/>
              </w:rPr>
            </w:pPr>
            <w:r w:rsidRPr="00EB2BD8">
              <w:rPr>
                <w:w w:val="105"/>
                <w:sz w:val="16"/>
              </w:rPr>
              <w:t>0</w:t>
            </w:r>
          </w:p>
        </w:tc>
        <w:tc>
          <w:tcPr>
            <w:tcW w:w="636" w:type="dxa"/>
            <w:tcBorders>
              <w:top w:val="single" w:sz="2" w:space="0" w:color="000000"/>
              <w:bottom w:val="single" w:sz="2" w:space="0" w:color="000000"/>
            </w:tcBorders>
          </w:tcPr>
          <w:p w14:paraId="06C6DB1E" w14:textId="77777777" w:rsidR="00084F36" w:rsidRPr="00EB2BD8" w:rsidRDefault="00EB2BD8">
            <w:pPr>
              <w:pStyle w:val="TableParagraph"/>
              <w:spacing w:before="116"/>
              <w:ind w:right="113"/>
              <w:jc w:val="right"/>
              <w:rPr>
                <w:sz w:val="16"/>
              </w:rPr>
            </w:pPr>
            <w:r w:rsidRPr="00EB2BD8">
              <w:rPr>
                <w:w w:val="105"/>
                <w:sz w:val="16"/>
              </w:rPr>
              <w:t>0</w:t>
            </w:r>
          </w:p>
        </w:tc>
      </w:tr>
      <w:tr w:rsidR="00EB2BD8" w:rsidRPr="00EB2BD8" w14:paraId="6FCD5D3D" w14:textId="77777777">
        <w:trPr>
          <w:trHeight w:val="364"/>
        </w:trPr>
        <w:tc>
          <w:tcPr>
            <w:tcW w:w="421" w:type="dxa"/>
            <w:vMerge/>
            <w:tcBorders>
              <w:top w:val="nil"/>
              <w:bottom w:val="single" w:sz="2" w:space="0" w:color="000000"/>
            </w:tcBorders>
            <w:shd w:val="clear" w:color="auto" w:fill="4CB7FF"/>
            <w:textDirection w:val="btLr"/>
          </w:tcPr>
          <w:p w14:paraId="0612C07B" w14:textId="77777777" w:rsidR="00084F36" w:rsidRPr="00EB2BD8" w:rsidRDefault="00084F36">
            <w:pPr>
              <w:rPr>
                <w:sz w:val="2"/>
                <w:szCs w:val="2"/>
              </w:rPr>
            </w:pPr>
          </w:p>
        </w:tc>
        <w:tc>
          <w:tcPr>
            <w:tcW w:w="9753" w:type="dxa"/>
            <w:gridSpan w:val="8"/>
            <w:tcBorders>
              <w:top w:val="single" w:sz="2" w:space="0" w:color="000000"/>
            </w:tcBorders>
            <w:shd w:val="clear" w:color="auto" w:fill="E5F5FF"/>
          </w:tcPr>
          <w:p w14:paraId="186EDAD2" w14:textId="77777777" w:rsidR="00084F36" w:rsidRPr="00EB2BD8" w:rsidRDefault="00EB2BD8">
            <w:pPr>
              <w:pStyle w:val="TableParagraph"/>
              <w:spacing w:before="82"/>
              <w:ind w:left="80"/>
              <w:rPr>
                <w:sz w:val="16"/>
              </w:rPr>
            </w:pPr>
            <w:r w:rsidRPr="00EB2BD8">
              <w:rPr>
                <w:spacing w:val="-5"/>
                <w:sz w:val="16"/>
              </w:rPr>
              <w:t>Age</w:t>
            </w:r>
          </w:p>
        </w:tc>
      </w:tr>
      <w:tr w:rsidR="00EB2BD8" w:rsidRPr="00EB2BD8" w14:paraId="3B533FAB" w14:textId="77777777">
        <w:trPr>
          <w:trHeight w:val="381"/>
        </w:trPr>
        <w:tc>
          <w:tcPr>
            <w:tcW w:w="421" w:type="dxa"/>
            <w:vMerge/>
            <w:tcBorders>
              <w:top w:val="nil"/>
              <w:bottom w:val="single" w:sz="2" w:space="0" w:color="000000"/>
            </w:tcBorders>
            <w:shd w:val="clear" w:color="auto" w:fill="4CB7FF"/>
            <w:textDirection w:val="btLr"/>
          </w:tcPr>
          <w:p w14:paraId="347EDAC8" w14:textId="77777777" w:rsidR="00084F36" w:rsidRPr="00EB2BD8" w:rsidRDefault="00084F36">
            <w:pPr>
              <w:rPr>
                <w:sz w:val="2"/>
                <w:szCs w:val="2"/>
              </w:rPr>
            </w:pPr>
          </w:p>
        </w:tc>
        <w:tc>
          <w:tcPr>
            <w:tcW w:w="3277" w:type="dxa"/>
            <w:tcBorders>
              <w:bottom w:val="single" w:sz="2" w:space="0" w:color="000000"/>
            </w:tcBorders>
          </w:tcPr>
          <w:p w14:paraId="019BFA9C" w14:textId="77777777" w:rsidR="00084F36" w:rsidRPr="00EB2BD8" w:rsidRDefault="00EB2BD8">
            <w:pPr>
              <w:pStyle w:val="TableParagraph"/>
              <w:spacing w:before="116"/>
              <w:ind w:left="113"/>
              <w:rPr>
                <w:sz w:val="16"/>
              </w:rPr>
            </w:pPr>
            <w:r w:rsidRPr="00EB2BD8">
              <w:rPr>
                <w:spacing w:val="-2"/>
                <w:w w:val="95"/>
                <w:sz w:val="16"/>
              </w:rPr>
              <w:t>15–24</w:t>
            </w:r>
          </w:p>
        </w:tc>
        <w:tc>
          <w:tcPr>
            <w:tcW w:w="1002" w:type="dxa"/>
            <w:tcBorders>
              <w:bottom w:val="single" w:sz="2" w:space="0" w:color="000000"/>
            </w:tcBorders>
          </w:tcPr>
          <w:p w14:paraId="57E9DEE1" w14:textId="77777777" w:rsidR="00084F36" w:rsidRPr="00EB2BD8" w:rsidRDefault="00EB2BD8">
            <w:pPr>
              <w:pStyle w:val="TableParagraph"/>
              <w:spacing w:before="116"/>
              <w:ind w:right="139"/>
              <w:jc w:val="right"/>
              <w:rPr>
                <w:sz w:val="16"/>
              </w:rPr>
            </w:pPr>
            <w:r w:rsidRPr="00EB2BD8">
              <w:rPr>
                <w:spacing w:val="-5"/>
                <w:w w:val="75"/>
                <w:sz w:val="16"/>
              </w:rPr>
              <w:t>12</w:t>
            </w:r>
          </w:p>
        </w:tc>
        <w:tc>
          <w:tcPr>
            <w:tcW w:w="982" w:type="dxa"/>
            <w:tcBorders>
              <w:bottom w:val="single" w:sz="2" w:space="0" w:color="000000"/>
            </w:tcBorders>
          </w:tcPr>
          <w:p w14:paraId="42183E06" w14:textId="77777777" w:rsidR="00084F36" w:rsidRPr="00EB2BD8" w:rsidRDefault="00EB2BD8">
            <w:pPr>
              <w:pStyle w:val="TableParagraph"/>
              <w:spacing w:before="116"/>
              <w:ind w:right="440"/>
              <w:jc w:val="right"/>
              <w:rPr>
                <w:sz w:val="16"/>
              </w:rPr>
            </w:pPr>
            <w:r w:rsidRPr="00EB2BD8">
              <w:rPr>
                <w:spacing w:val="-4"/>
                <w:w w:val="90"/>
                <w:sz w:val="16"/>
              </w:rPr>
              <w:t>10.3</w:t>
            </w:r>
          </w:p>
        </w:tc>
        <w:tc>
          <w:tcPr>
            <w:tcW w:w="1178" w:type="dxa"/>
            <w:tcBorders>
              <w:bottom w:val="single" w:sz="2" w:space="0" w:color="000000"/>
            </w:tcBorders>
          </w:tcPr>
          <w:p w14:paraId="37103AC8" w14:textId="77777777" w:rsidR="00084F36" w:rsidRPr="00EB2BD8" w:rsidRDefault="00EB2BD8">
            <w:pPr>
              <w:pStyle w:val="TableParagraph"/>
              <w:spacing w:before="116"/>
              <w:ind w:right="484"/>
              <w:jc w:val="right"/>
              <w:rPr>
                <w:sz w:val="16"/>
              </w:rPr>
            </w:pPr>
            <w:r w:rsidRPr="00EB2BD8">
              <w:rPr>
                <w:w w:val="98"/>
                <w:sz w:val="16"/>
              </w:rPr>
              <w:t>4</w:t>
            </w:r>
          </w:p>
        </w:tc>
        <w:tc>
          <w:tcPr>
            <w:tcW w:w="801" w:type="dxa"/>
            <w:tcBorders>
              <w:bottom w:val="single" w:sz="2" w:space="0" w:color="000000"/>
            </w:tcBorders>
          </w:tcPr>
          <w:p w14:paraId="04ABD2E4" w14:textId="77777777" w:rsidR="00084F36" w:rsidRPr="00EB2BD8" w:rsidRDefault="00EB2BD8">
            <w:pPr>
              <w:pStyle w:val="TableParagraph"/>
              <w:spacing w:before="116"/>
              <w:ind w:right="151"/>
              <w:jc w:val="right"/>
              <w:rPr>
                <w:sz w:val="16"/>
              </w:rPr>
            </w:pPr>
            <w:r w:rsidRPr="00EB2BD8">
              <w:rPr>
                <w:w w:val="93"/>
                <w:sz w:val="16"/>
              </w:rPr>
              <w:t>3</w:t>
            </w:r>
          </w:p>
        </w:tc>
        <w:tc>
          <w:tcPr>
            <w:tcW w:w="998" w:type="dxa"/>
            <w:tcBorders>
              <w:bottom w:val="single" w:sz="2" w:space="0" w:color="000000"/>
            </w:tcBorders>
          </w:tcPr>
          <w:p w14:paraId="4EC62C33" w14:textId="77777777" w:rsidR="00084F36" w:rsidRPr="00EB2BD8" w:rsidRDefault="00EB2BD8">
            <w:pPr>
              <w:pStyle w:val="TableParagraph"/>
              <w:spacing w:before="116"/>
              <w:ind w:right="469"/>
              <w:jc w:val="right"/>
              <w:rPr>
                <w:sz w:val="16"/>
              </w:rPr>
            </w:pPr>
            <w:r w:rsidRPr="00EB2BD8">
              <w:rPr>
                <w:spacing w:val="-5"/>
                <w:w w:val="95"/>
                <w:sz w:val="16"/>
              </w:rPr>
              <w:t>5.3</w:t>
            </w:r>
          </w:p>
        </w:tc>
        <w:tc>
          <w:tcPr>
            <w:tcW w:w="879" w:type="dxa"/>
            <w:tcBorders>
              <w:bottom w:val="single" w:sz="2" w:space="0" w:color="000000"/>
            </w:tcBorders>
          </w:tcPr>
          <w:p w14:paraId="239A8349" w14:textId="77777777" w:rsidR="00084F36" w:rsidRPr="00EB2BD8" w:rsidRDefault="00EB2BD8">
            <w:pPr>
              <w:pStyle w:val="TableParagraph"/>
              <w:spacing w:before="116"/>
              <w:ind w:right="213"/>
              <w:jc w:val="right"/>
              <w:rPr>
                <w:sz w:val="16"/>
              </w:rPr>
            </w:pPr>
            <w:r w:rsidRPr="00EB2BD8">
              <w:rPr>
                <w:w w:val="88"/>
                <w:sz w:val="16"/>
              </w:rPr>
              <w:t>5</w:t>
            </w:r>
          </w:p>
        </w:tc>
        <w:tc>
          <w:tcPr>
            <w:tcW w:w="636" w:type="dxa"/>
            <w:tcBorders>
              <w:bottom w:val="single" w:sz="2" w:space="0" w:color="000000"/>
            </w:tcBorders>
          </w:tcPr>
          <w:p w14:paraId="79AB4A6D" w14:textId="77777777" w:rsidR="00084F36" w:rsidRPr="00EB2BD8" w:rsidRDefault="00EB2BD8">
            <w:pPr>
              <w:pStyle w:val="TableParagraph"/>
              <w:spacing w:before="116"/>
              <w:ind w:right="112"/>
              <w:jc w:val="right"/>
              <w:rPr>
                <w:sz w:val="16"/>
              </w:rPr>
            </w:pPr>
            <w:r w:rsidRPr="00EB2BD8">
              <w:rPr>
                <w:w w:val="88"/>
                <w:sz w:val="16"/>
              </w:rPr>
              <w:t>5</w:t>
            </w:r>
          </w:p>
        </w:tc>
      </w:tr>
      <w:tr w:rsidR="00EB2BD8" w:rsidRPr="00EB2BD8" w14:paraId="70844690" w14:textId="77777777">
        <w:trPr>
          <w:trHeight w:val="381"/>
        </w:trPr>
        <w:tc>
          <w:tcPr>
            <w:tcW w:w="421" w:type="dxa"/>
            <w:vMerge/>
            <w:tcBorders>
              <w:top w:val="nil"/>
              <w:bottom w:val="single" w:sz="2" w:space="0" w:color="000000"/>
            </w:tcBorders>
            <w:shd w:val="clear" w:color="auto" w:fill="4CB7FF"/>
            <w:textDirection w:val="btLr"/>
          </w:tcPr>
          <w:p w14:paraId="03BE5792" w14:textId="77777777" w:rsidR="00084F36" w:rsidRPr="00EB2BD8" w:rsidRDefault="00084F36">
            <w:pPr>
              <w:rPr>
                <w:sz w:val="2"/>
                <w:szCs w:val="2"/>
              </w:rPr>
            </w:pPr>
          </w:p>
        </w:tc>
        <w:tc>
          <w:tcPr>
            <w:tcW w:w="3277" w:type="dxa"/>
            <w:tcBorders>
              <w:top w:val="single" w:sz="2" w:space="0" w:color="000000"/>
              <w:bottom w:val="single" w:sz="2" w:space="0" w:color="000000"/>
            </w:tcBorders>
          </w:tcPr>
          <w:p w14:paraId="3832245A" w14:textId="77777777" w:rsidR="00084F36" w:rsidRPr="00EB2BD8" w:rsidRDefault="00EB2BD8">
            <w:pPr>
              <w:pStyle w:val="TableParagraph"/>
              <w:spacing w:before="116"/>
              <w:ind w:left="113"/>
              <w:rPr>
                <w:sz w:val="16"/>
              </w:rPr>
            </w:pPr>
            <w:r w:rsidRPr="00EB2BD8">
              <w:rPr>
                <w:spacing w:val="-2"/>
                <w:sz w:val="16"/>
              </w:rPr>
              <w:t>25–34</w:t>
            </w:r>
          </w:p>
        </w:tc>
        <w:tc>
          <w:tcPr>
            <w:tcW w:w="1002" w:type="dxa"/>
            <w:tcBorders>
              <w:top w:val="single" w:sz="2" w:space="0" w:color="000000"/>
              <w:bottom w:val="single" w:sz="2" w:space="0" w:color="000000"/>
            </w:tcBorders>
          </w:tcPr>
          <w:p w14:paraId="76A95FE4" w14:textId="77777777" w:rsidR="00084F36" w:rsidRPr="00EB2BD8" w:rsidRDefault="00EB2BD8">
            <w:pPr>
              <w:pStyle w:val="TableParagraph"/>
              <w:spacing w:before="116"/>
              <w:ind w:right="139"/>
              <w:jc w:val="right"/>
              <w:rPr>
                <w:sz w:val="16"/>
              </w:rPr>
            </w:pPr>
            <w:r w:rsidRPr="00EB2BD8">
              <w:rPr>
                <w:spacing w:val="-5"/>
                <w:w w:val="90"/>
                <w:sz w:val="16"/>
              </w:rPr>
              <w:t>102</w:t>
            </w:r>
          </w:p>
        </w:tc>
        <w:tc>
          <w:tcPr>
            <w:tcW w:w="982" w:type="dxa"/>
            <w:tcBorders>
              <w:top w:val="single" w:sz="2" w:space="0" w:color="000000"/>
              <w:bottom w:val="single" w:sz="2" w:space="0" w:color="000000"/>
            </w:tcBorders>
          </w:tcPr>
          <w:p w14:paraId="5AD0ADCE" w14:textId="77777777" w:rsidR="00084F36" w:rsidRPr="00EB2BD8" w:rsidRDefault="00EB2BD8">
            <w:pPr>
              <w:pStyle w:val="TableParagraph"/>
              <w:spacing w:before="116"/>
              <w:ind w:right="439"/>
              <w:jc w:val="right"/>
              <w:rPr>
                <w:sz w:val="16"/>
              </w:rPr>
            </w:pPr>
            <w:r w:rsidRPr="00EB2BD8">
              <w:rPr>
                <w:spacing w:val="-2"/>
                <w:w w:val="75"/>
                <w:sz w:val="16"/>
              </w:rPr>
              <w:t>101.1</w:t>
            </w:r>
          </w:p>
        </w:tc>
        <w:tc>
          <w:tcPr>
            <w:tcW w:w="1178" w:type="dxa"/>
            <w:tcBorders>
              <w:top w:val="single" w:sz="2" w:space="0" w:color="000000"/>
              <w:bottom w:val="single" w:sz="2" w:space="0" w:color="000000"/>
            </w:tcBorders>
          </w:tcPr>
          <w:p w14:paraId="12A89AF8" w14:textId="77777777" w:rsidR="00084F36" w:rsidRPr="00EB2BD8" w:rsidRDefault="00EB2BD8">
            <w:pPr>
              <w:pStyle w:val="TableParagraph"/>
              <w:spacing w:before="116"/>
              <w:ind w:right="485"/>
              <w:jc w:val="right"/>
              <w:rPr>
                <w:sz w:val="16"/>
              </w:rPr>
            </w:pPr>
            <w:r w:rsidRPr="00EB2BD8">
              <w:rPr>
                <w:spacing w:val="-5"/>
                <w:w w:val="95"/>
                <w:sz w:val="16"/>
              </w:rPr>
              <w:t>76</w:t>
            </w:r>
          </w:p>
        </w:tc>
        <w:tc>
          <w:tcPr>
            <w:tcW w:w="801" w:type="dxa"/>
            <w:tcBorders>
              <w:top w:val="single" w:sz="2" w:space="0" w:color="000000"/>
              <w:bottom w:val="single" w:sz="2" w:space="0" w:color="000000"/>
            </w:tcBorders>
          </w:tcPr>
          <w:p w14:paraId="694DDB7B" w14:textId="77777777" w:rsidR="00084F36" w:rsidRPr="00EB2BD8" w:rsidRDefault="00EB2BD8">
            <w:pPr>
              <w:pStyle w:val="TableParagraph"/>
              <w:spacing w:before="116"/>
              <w:ind w:right="151"/>
              <w:jc w:val="right"/>
              <w:rPr>
                <w:sz w:val="16"/>
              </w:rPr>
            </w:pPr>
            <w:r w:rsidRPr="00EB2BD8">
              <w:rPr>
                <w:w w:val="98"/>
                <w:sz w:val="16"/>
              </w:rPr>
              <w:t>4</w:t>
            </w:r>
          </w:p>
        </w:tc>
        <w:tc>
          <w:tcPr>
            <w:tcW w:w="998" w:type="dxa"/>
            <w:tcBorders>
              <w:top w:val="single" w:sz="2" w:space="0" w:color="000000"/>
              <w:bottom w:val="single" w:sz="2" w:space="0" w:color="000000"/>
            </w:tcBorders>
          </w:tcPr>
          <w:p w14:paraId="6AE9F125" w14:textId="77777777" w:rsidR="00084F36" w:rsidRPr="00EB2BD8" w:rsidRDefault="00EB2BD8">
            <w:pPr>
              <w:pStyle w:val="TableParagraph"/>
              <w:spacing w:before="116"/>
              <w:ind w:right="479"/>
              <w:jc w:val="right"/>
              <w:rPr>
                <w:sz w:val="16"/>
              </w:rPr>
            </w:pPr>
            <w:r w:rsidRPr="00EB2BD8">
              <w:rPr>
                <w:spacing w:val="-4"/>
                <w:w w:val="80"/>
                <w:sz w:val="16"/>
              </w:rPr>
              <w:t>79.1</w:t>
            </w:r>
          </w:p>
        </w:tc>
        <w:tc>
          <w:tcPr>
            <w:tcW w:w="879" w:type="dxa"/>
            <w:tcBorders>
              <w:top w:val="single" w:sz="2" w:space="0" w:color="000000"/>
              <w:bottom w:val="single" w:sz="2" w:space="0" w:color="000000"/>
            </w:tcBorders>
          </w:tcPr>
          <w:p w14:paraId="2BD51520" w14:textId="77777777" w:rsidR="00084F36" w:rsidRPr="00EB2BD8" w:rsidRDefault="00EB2BD8">
            <w:pPr>
              <w:pStyle w:val="TableParagraph"/>
              <w:spacing w:before="116"/>
              <w:ind w:right="214"/>
              <w:jc w:val="right"/>
              <w:rPr>
                <w:sz w:val="16"/>
              </w:rPr>
            </w:pPr>
            <w:r w:rsidRPr="00EB2BD8">
              <w:rPr>
                <w:spacing w:val="-5"/>
                <w:w w:val="90"/>
                <w:sz w:val="16"/>
              </w:rPr>
              <w:t>22</w:t>
            </w:r>
          </w:p>
        </w:tc>
        <w:tc>
          <w:tcPr>
            <w:tcW w:w="636" w:type="dxa"/>
            <w:tcBorders>
              <w:top w:val="single" w:sz="2" w:space="0" w:color="000000"/>
              <w:bottom w:val="single" w:sz="2" w:space="0" w:color="000000"/>
            </w:tcBorders>
          </w:tcPr>
          <w:p w14:paraId="289829B1" w14:textId="77777777" w:rsidR="00084F36" w:rsidRPr="00EB2BD8" w:rsidRDefault="00EB2BD8">
            <w:pPr>
              <w:pStyle w:val="TableParagraph"/>
              <w:spacing w:before="116"/>
              <w:ind w:right="113"/>
              <w:jc w:val="right"/>
              <w:rPr>
                <w:sz w:val="16"/>
              </w:rPr>
            </w:pPr>
            <w:r w:rsidRPr="00EB2BD8">
              <w:rPr>
                <w:spacing w:val="-5"/>
                <w:w w:val="90"/>
                <w:sz w:val="16"/>
              </w:rPr>
              <w:t>22</w:t>
            </w:r>
          </w:p>
        </w:tc>
      </w:tr>
      <w:tr w:rsidR="00EB2BD8" w:rsidRPr="00EB2BD8" w14:paraId="5B1153AA" w14:textId="77777777">
        <w:trPr>
          <w:trHeight w:val="381"/>
        </w:trPr>
        <w:tc>
          <w:tcPr>
            <w:tcW w:w="421" w:type="dxa"/>
            <w:vMerge/>
            <w:tcBorders>
              <w:top w:val="nil"/>
              <w:bottom w:val="single" w:sz="2" w:space="0" w:color="000000"/>
            </w:tcBorders>
            <w:shd w:val="clear" w:color="auto" w:fill="4CB7FF"/>
            <w:textDirection w:val="btLr"/>
          </w:tcPr>
          <w:p w14:paraId="1D93E54C" w14:textId="77777777" w:rsidR="00084F36" w:rsidRPr="00EB2BD8" w:rsidRDefault="00084F36">
            <w:pPr>
              <w:rPr>
                <w:sz w:val="2"/>
                <w:szCs w:val="2"/>
              </w:rPr>
            </w:pPr>
          </w:p>
        </w:tc>
        <w:tc>
          <w:tcPr>
            <w:tcW w:w="3277" w:type="dxa"/>
            <w:tcBorders>
              <w:top w:val="single" w:sz="2" w:space="0" w:color="000000"/>
              <w:bottom w:val="single" w:sz="2" w:space="0" w:color="000000"/>
            </w:tcBorders>
          </w:tcPr>
          <w:p w14:paraId="4DD04623" w14:textId="77777777" w:rsidR="00084F36" w:rsidRPr="00EB2BD8" w:rsidRDefault="00EB2BD8">
            <w:pPr>
              <w:pStyle w:val="TableParagraph"/>
              <w:spacing w:before="116"/>
              <w:ind w:left="113"/>
              <w:rPr>
                <w:sz w:val="16"/>
              </w:rPr>
            </w:pPr>
            <w:r w:rsidRPr="00EB2BD8">
              <w:rPr>
                <w:spacing w:val="-2"/>
                <w:sz w:val="16"/>
              </w:rPr>
              <w:t>35–44</w:t>
            </w:r>
          </w:p>
        </w:tc>
        <w:tc>
          <w:tcPr>
            <w:tcW w:w="1002" w:type="dxa"/>
            <w:tcBorders>
              <w:top w:val="single" w:sz="2" w:space="0" w:color="000000"/>
              <w:bottom w:val="single" w:sz="2" w:space="0" w:color="000000"/>
            </w:tcBorders>
          </w:tcPr>
          <w:p w14:paraId="4A1F8907" w14:textId="77777777" w:rsidR="00084F36" w:rsidRPr="00EB2BD8" w:rsidRDefault="00EB2BD8">
            <w:pPr>
              <w:pStyle w:val="TableParagraph"/>
              <w:spacing w:before="116"/>
              <w:ind w:right="139"/>
              <w:jc w:val="right"/>
              <w:rPr>
                <w:sz w:val="16"/>
              </w:rPr>
            </w:pPr>
            <w:r w:rsidRPr="00EB2BD8">
              <w:rPr>
                <w:spacing w:val="-5"/>
                <w:w w:val="90"/>
                <w:sz w:val="16"/>
              </w:rPr>
              <w:t>143</w:t>
            </w:r>
          </w:p>
        </w:tc>
        <w:tc>
          <w:tcPr>
            <w:tcW w:w="982" w:type="dxa"/>
            <w:tcBorders>
              <w:top w:val="single" w:sz="2" w:space="0" w:color="000000"/>
              <w:bottom w:val="single" w:sz="2" w:space="0" w:color="000000"/>
            </w:tcBorders>
          </w:tcPr>
          <w:p w14:paraId="36D8A2FE" w14:textId="77777777" w:rsidR="00084F36" w:rsidRPr="00EB2BD8" w:rsidRDefault="00EB2BD8">
            <w:pPr>
              <w:pStyle w:val="TableParagraph"/>
              <w:spacing w:before="116"/>
              <w:ind w:right="439"/>
              <w:jc w:val="right"/>
              <w:rPr>
                <w:sz w:val="16"/>
              </w:rPr>
            </w:pPr>
            <w:r w:rsidRPr="00EB2BD8">
              <w:rPr>
                <w:spacing w:val="-2"/>
                <w:w w:val="80"/>
                <w:sz w:val="16"/>
              </w:rPr>
              <w:t>137.7</w:t>
            </w:r>
          </w:p>
        </w:tc>
        <w:tc>
          <w:tcPr>
            <w:tcW w:w="1178" w:type="dxa"/>
            <w:tcBorders>
              <w:top w:val="single" w:sz="2" w:space="0" w:color="000000"/>
              <w:bottom w:val="single" w:sz="2" w:space="0" w:color="000000"/>
            </w:tcBorders>
          </w:tcPr>
          <w:p w14:paraId="2FF1AEC2" w14:textId="77777777" w:rsidR="00084F36" w:rsidRPr="00EB2BD8" w:rsidRDefault="00EB2BD8">
            <w:pPr>
              <w:pStyle w:val="TableParagraph"/>
              <w:spacing w:before="116"/>
              <w:ind w:right="484"/>
              <w:jc w:val="right"/>
              <w:rPr>
                <w:sz w:val="16"/>
              </w:rPr>
            </w:pPr>
            <w:r w:rsidRPr="00EB2BD8">
              <w:rPr>
                <w:spacing w:val="-5"/>
                <w:w w:val="75"/>
                <w:sz w:val="16"/>
              </w:rPr>
              <w:t>113</w:t>
            </w:r>
          </w:p>
        </w:tc>
        <w:tc>
          <w:tcPr>
            <w:tcW w:w="801" w:type="dxa"/>
            <w:tcBorders>
              <w:top w:val="single" w:sz="2" w:space="0" w:color="000000"/>
              <w:bottom w:val="single" w:sz="2" w:space="0" w:color="000000"/>
            </w:tcBorders>
          </w:tcPr>
          <w:p w14:paraId="65CA2310" w14:textId="77777777" w:rsidR="00084F36" w:rsidRPr="00EB2BD8" w:rsidRDefault="00EB2BD8">
            <w:pPr>
              <w:pStyle w:val="TableParagraph"/>
              <w:spacing w:before="116"/>
              <w:ind w:right="151"/>
              <w:jc w:val="right"/>
              <w:rPr>
                <w:sz w:val="16"/>
              </w:rPr>
            </w:pPr>
            <w:r w:rsidRPr="00EB2BD8">
              <w:rPr>
                <w:spacing w:val="-5"/>
                <w:w w:val="75"/>
                <w:sz w:val="16"/>
              </w:rPr>
              <w:t>12</w:t>
            </w:r>
          </w:p>
        </w:tc>
        <w:tc>
          <w:tcPr>
            <w:tcW w:w="998" w:type="dxa"/>
            <w:tcBorders>
              <w:top w:val="single" w:sz="2" w:space="0" w:color="000000"/>
              <w:bottom w:val="single" w:sz="2" w:space="0" w:color="000000"/>
            </w:tcBorders>
          </w:tcPr>
          <w:p w14:paraId="16B00DCF" w14:textId="77777777" w:rsidR="00084F36" w:rsidRPr="00EB2BD8" w:rsidRDefault="00EB2BD8">
            <w:pPr>
              <w:pStyle w:val="TableParagraph"/>
              <w:spacing w:before="116"/>
              <w:ind w:right="468"/>
              <w:jc w:val="right"/>
              <w:rPr>
                <w:sz w:val="16"/>
              </w:rPr>
            </w:pPr>
            <w:r w:rsidRPr="00EB2BD8">
              <w:rPr>
                <w:spacing w:val="-4"/>
                <w:w w:val="90"/>
                <w:sz w:val="16"/>
              </w:rPr>
              <w:t>120.7</w:t>
            </w:r>
          </w:p>
        </w:tc>
        <w:tc>
          <w:tcPr>
            <w:tcW w:w="879" w:type="dxa"/>
            <w:tcBorders>
              <w:top w:val="single" w:sz="2" w:space="0" w:color="000000"/>
              <w:bottom w:val="single" w:sz="2" w:space="0" w:color="000000"/>
            </w:tcBorders>
          </w:tcPr>
          <w:p w14:paraId="7B0E6E60" w14:textId="77777777" w:rsidR="00084F36" w:rsidRPr="00EB2BD8" w:rsidRDefault="00EB2BD8">
            <w:pPr>
              <w:pStyle w:val="TableParagraph"/>
              <w:spacing w:before="116"/>
              <w:ind w:right="214"/>
              <w:jc w:val="right"/>
              <w:rPr>
                <w:sz w:val="16"/>
              </w:rPr>
            </w:pPr>
            <w:r w:rsidRPr="00EB2BD8">
              <w:rPr>
                <w:spacing w:val="-5"/>
                <w:w w:val="85"/>
                <w:sz w:val="16"/>
              </w:rPr>
              <w:t>18</w:t>
            </w:r>
          </w:p>
        </w:tc>
        <w:tc>
          <w:tcPr>
            <w:tcW w:w="636" w:type="dxa"/>
            <w:tcBorders>
              <w:top w:val="single" w:sz="2" w:space="0" w:color="000000"/>
              <w:bottom w:val="single" w:sz="2" w:space="0" w:color="000000"/>
            </w:tcBorders>
          </w:tcPr>
          <w:p w14:paraId="73AD5135" w14:textId="77777777" w:rsidR="00084F36" w:rsidRPr="00EB2BD8" w:rsidRDefault="00EB2BD8">
            <w:pPr>
              <w:pStyle w:val="TableParagraph"/>
              <w:spacing w:before="116"/>
              <w:ind w:right="113"/>
              <w:jc w:val="right"/>
              <w:rPr>
                <w:sz w:val="16"/>
              </w:rPr>
            </w:pPr>
            <w:r w:rsidRPr="00EB2BD8">
              <w:rPr>
                <w:spacing w:val="-5"/>
                <w:w w:val="75"/>
                <w:sz w:val="16"/>
              </w:rPr>
              <w:t>17</w:t>
            </w:r>
          </w:p>
        </w:tc>
      </w:tr>
      <w:tr w:rsidR="00EB2BD8" w:rsidRPr="00EB2BD8" w14:paraId="02DDD37F" w14:textId="77777777">
        <w:trPr>
          <w:trHeight w:val="381"/>
        </w:trPr>
        <w:tc>
          <w:tcPr>
            <w:tcW w:w="421" w:type="dxa"/>
            <w:vMerge/>
            <w:tcBorders>
              <w:top w:val="nil"/>
              <w:bottom w:val="single" w:sz="2" w:space="0" w:color="000000"/>
            </w:tcBorders>
            <w:shd w:val="clear" w:color="auto" w:fill="4CB7FF"/>
            <w:textDirection w:val="btLr"/>
          </w:tcPr>
          <w:p w14:paraId="42C392E0" w14:textId="77777777" w:rsidR="00084F36" w:rsidRPr="00EB2BD8" w:rsidRDefault="00084F36">
            <w:pPr>
              <w:rPr>
                <w:sz w:val="2"/>
                <w:szCs w:val="2"/>
              </w:rPr>
            </w:pPr>
          </w:p>
        </w:tc>
        <w:tc>
          <w:tcPr>
            <w:tcW w:w="3277" w:type="dxa"/>
            <w:tcBorders>
              <w:top w:val="single" w:sz="2" w:space="0" w:color="000000"/>
              <w:bottom w:val="single" w:sz="2" w:space="0" w:color="000000"/>
            </w:tcBorders>
          </w:tcPr>
          <w:p w14:paraId="63E6675A" w14:textId="77777777" w:rsidR="00084F36" w:rsidRPr="00EB2BD8" w:rsidRDefault="00EB2BD8">
            <w:pPr>
              <w:pStyle w:val="TableParagraph"/>
              <w:spacing w:before="116"/>
              <w:ind w:left="113"/>
              <w:rPr>
                <w:sz w:val="16"/>
              </w:rPr>
            </w:pPr>
            <w:r w:rsidRPr="00EB2BD8">
              <w:rPr>
                <w:spacing w:val="-2"/>
                <w:sz w:val="16"/>
              </w:rPr>
              <w:t>45–54</w:t>
            </w:r>
          </w:p>
        </w:tc>
        <w:tc>
          <w:tcPr>
            <w:tcW w:w="1002" w:type="dxa"/>
            <w:tcBorders>
              <w:top w:val="single" w:sz="2" w:space="0" w:color="000000"/>
              <w:bottom w:val="single" w:sz="2" w:space="0" w:color="000000"/>
            </w:tcBorders>
          </w:tcPr>
          <w:p w14:paraId="1917C895" w14:textId="77777777" w:rsidR="00084F36" w:rsidRPr="00EB2BD8" w:rsidRDefault="00EB2BD8">
            <w:pPr>
              <w:pStyle w:val="TableParagraph"/>
              <w:spacing w:before="116"/>
              <w:ind w:right="138"/>
              <w:jc w:val="right"/>
              <w:rPr>
                <w:sz w:val="16"/>
              </w:rPr>
            </w:pPr>
            <w:r w:rsidRPr="00EB2BD8">
              <w:rPr>
                <w:spacing w:val="-5"/>
                <w:w w:val="85"/>
                <w:sz w:val="16"/>
              </w:rPr>
              <w:t>132</w:t>
            </w:r>
          </w:p>
        </w:tc>
        <w:tc>
          <w:tcPr>
            <w:tcW w:w="982" w:type="dxa"/>
            <w:tcBorders>
              <w:top w:val="single" w:sz="2" w:space="0" w:color="000000"/>
              <w:bottom w:val="single" w:sz="2" w:space="0" w:color="000000"/>
            </w:tcBorders>
          </w:tcPr>
          <w:p w14:paraId="4076AA49" w14:textId="77777777" w:rsidR="00084F36" w:rsidRPr="00EB2BD8" w:rsidRDefault="00EB2BD8">
            <w:pPr>
              <w:pStyle w:val="TableParagraph"/>
              <w:spacing w:before="116"/>
              <w:ind w:right="440"/>
              <w:jc w:val="right"/>
              <w:rPr>
                <w:sz w:val="16"/>
              </w:rPr>
            </w:pPr>
            <w:r w:rsidRPr="00EB2BD8">
              <w:rPr>
                <w:spacing w:val="-2"/>
                <w:w w:val="95"/>
                <w:sz w:val="16"/>
              </w:rPr>
              <w:t>130.3</w:t>
            </w:r>
          </w:p>
        </w:tc>
        <w:tc>
          <w:tcPr>
            <w:tcW w:w="1178" w:type="dxa"/>
            <w:tcBorders>
              <w:top w:val="single" w:sz="2" w:space="0" w:color="000000"/>
              <w:bottom w:val="single" w:sz="2" w:space="0" w:color="000000"/>
            </w:tcBorders>
          </w:tcPr>
          <w:p w14:paraId="236F882A" w14:textId="77777777" w:rsidR="00084F36" w:rsidRPr="00EB2BD8" w:rsidRDefault="00EB2BD8">
            <w:pPr>
              <w:pStyle w:val="TableParagraph"/>
              <w:spacing w:before="116"/>
              <w:ind w:right="484"/>
              <w:jc w:val="right"/>
              <w:rPr>
                <w:sz w:val="16"/>
              </w:rPr>
            </w:pPr>
            <w:r w:rsidRPr="00EB2BD8">
              <w:rPr>
                <w:spacing w:val="-5"/>
                <w:w w:val="95"/>
                <w:sz w:val="16"/>
              </w:rPr>
              <w:t>105</w:t>
            </w:r>
          </w:p>
        </w:tc>
        <w:tc>
          <w:tcPr>
            <w:tcW w:w="801" w:type="dxa"/>
            <w:tcBorders>
              <w:top w:val="single" w:sz="2" w:space="0" w:color="000000"/>
              <w:bottom w:val="single" w:sz="2" w:space="0" w:color="000000"/>
            </w:tcBorders>
          </w:tcPr>
          <w:p w14:paraId="08C77E57" w14:textId="77777777" w:rsidR="00084F36" w:rsidRPr="00EB2BD8" w:rsidRDefault="00EB2BD8">
            <w:pPr>
              <w:pStyle w:val="TableParagraph"/>
              <w:spacing w:before="116"/>
              <w:ind w:right="150"/>
              <w:jc w:val="right"/>
              <w:rPr>
                <w:sz w:val="16"/>
              </w:rPr>
            </w:pPr>
            <w:r w:rsidRPr="00EB2BD8">
              <w:rPr>
                <w:w w:val="96"/>
                <w:sz w:val="16"/>
              </w:rPr>
              <w:t>6</w:t>
            </w:r>
          </w:p>
        </w:tc>
        <w:tc>
          <w:tcPr>
            <w:tcW w:w="998" w:type="dxa"/>
            <w:tcBorders>
              <w:top w:val="single" w:sz="2" w:space="0" w:color="000000"/>
              <w:bottom w:val="single" w:sz="2" w:space="0" w:color="000000"/>
            </w:tcBorders>
          </w:tcPr>
          <w:p w14:paraId="6846833B" w14:textId="77777777" w:rsidR="00084F36" w:rsidRPr="00EB2BD8" w:rsidRDefault="00EB2BD8">
            <w:pPr>
              <w:pStyle w:val="TableParagraph"/>
              <w:spacing w:before="116"/>
              <w:ind w:right="469"/>
              <w:jc w:val="right"/>
              <w:rPr>
                <w:sz w:val="16"/>
              </w:rPr>
            </w:pPr>
            <w:r w:rsidRPr="00EB2BD8">
              <w:rPr>
                <w:spacing w:val="-2"/>
                <w:w w:val="95"/>
                <w:sz w:val="16"/>
              </w:rPr>
              <w:t>109.5</w:t>
            </w:r>
          </w:p>
        </w:tc>
        <w:tc>
          <w:tcPr>
            <w:tcW w:w="879" w:type="dxa"/>
            <w:tcBorders>
              <w:top w:val="single" w:sz="2" w:space="0" w:color="000000"/>
              <w:bottom w:val="single" w:sz="2" w:space="0" w:color="000000"/>
            </w:tcBorders>
          </w:tcPr>
          <w:p w14:paraId="74254E0A" w14:textId="77777777" w:rsidR="00084F36" w:rsidRPr="00EB2BD8" w:rsidRDefault="00EB2BD8">
            <w:pPr>
              <w:pStyle w:val="TableParagraph"/>
              <w:spacing w:before="116"/>
              <w:ind w:right="214"/>
              <w:jc w:val="right"/>
              <w:rPr>
                <w:sz w:val="16"/>
              </w:rPr>
            </w:pPr>
            <w:r w:rsidRPr="00EB2BD8">
              <w:rPr>
                <w:spacing w:val="-5"/>
                <w:w w:val="75"/>
                <w:sz w:val="16"/>
              </w:rPr>
              <w:t>21</w:t>
            </w:r>
          </w:p>
        </w:tc>
        <w:tc>
          <w:tcPr>
            <w:tcW w:w="636" w:type="dxa"/>
            <w:tcBorders>
              <w:top w:val="single" w:sz="2" w:space="0" w:color="000000"/>
              <w:bottom w:val="single" w:sz="2" w:space="0" w:color="000000"/>
            </w:tcBorders>
          </w:tcPr>
          <w:p w14:paraId="562FCD24" w14:textId="77777777" w:rsidR="00084F36" w:rsidRPr="00EB2BD8" w:rsidRDefault="00EB2BD8">
            <w:pPr>
              <w:pStyle w:val="TableParagraph"/>
              <w:spacing w:before="116"/>
              <w:ind w:right="113"/>
              <w:jc w:val="right"/>
              <w:rPr>
                <w:sz w:val="16"/>
              </w:rPr>
            </w:pPr>
            <w:r w:rsidRPr="00EB2BD8">
              <w:rPr>
                <w:spacing w:val="-4"/>
                <w:sz w:val="16"/>
              </w:rPr>
              <w:t>20.8</w:t>
            </w:r>
          </w:p>
        </w:tc>
      </w:tr>
      <w:tr w:rsidR="00EB2BD8" w:rsidRPr="00EB2BD8" w14:paraId="1E18A2B1" w14:textId="77777777">
        <w:trPr>
          <w:trHeight w:val="381"/>
        </w:trPr>
        <w:tc>
          <w:tcPr>
            <w:tcW w:w="421" w:type="dxa"/>
            <w:vMerge/>
            <w:tcBorders>
              <w:top w:val="nil"/>
              <w:bottom w:val="single" w:sz="2" w:space="0" w:color="000000"/>
            </w:tcBorders>
            <w:shd w:val="clear" w:color="auto" w:fill="4CB7FF"/>
            <w:textDirection w:val="btLr"/>
          </w:tcPr>
          <w:p w14:paraId="13075474" w14:textId="77777777" w:rsidR="00084F36" w:rsidRPr="00EB2BD8" w:rsidRDefault="00084F36">
            <w:pPr>
              <w:rPr>
                <w:sz w:val="2"/>
                <w:szCs w:val="2"/>
              </w:rPr>
            </w:pPr>
          </w:p>
        </w:tc>
        <w:tc>
          <w:tcPr>
            <w:tcW w:w="3277" w:type="dxa"/>
            <w:tcBorders>
              <w:top w:val="single" w:sz="2" w:space="0" w:color="000000"/>
              <w:bottom w:val="single" w:sz="2" w:space="0" w:color="000000"/>
            </w:tcBorders>
          </w:tcPr>
          <w:p w14:paraId="1B3FAB28" w14:textId="77777777" w:rsidR="00084F36" w:rsidRPr="00EB2BD8" w:rsidRDefault="00EB2BD8">
            <w:pPr>
              <w:pStyle w:val="TableParagraph"/>
              <w:spacing w:before="116"/>
              <w:ind w:left="113"/>
              <w:rPr>
                <w:sz w:val="16"/>
              </w:rPr>
            </w:pPr>
            <w:r w:rsidRPr="00EB2BD8">
              <w:rPr>
                <w:spacing w:val="-2"/>
                <w:sz w:val="16"/>
              </w:rPr>
              <w:t>55–64</w:t>
            </w:r>
          </w:p>
        </w:tc>
        <w:tc>
          <w:tcPr>
            <w:tcW w:w="1002" w:type="dxa"/>
            <w:tcBorders>
              <w:top w:val="single" w:sz="2" w:space="0" w:color="000000"/>
              <w:bottom w:val="single" w:sz="2" w:space="0" w:color="000000"/>
            </w:tcBorders>
          </w:tcPr>
          <w:p w14:paraId="7495CCCF" w14:textId="77777777" w:rsidR="00084F36" w:rsidRPr="00EB2BD8" w:rsidRDefault="00EB2BD8">
            <w:pPr>
              <w:pStyle w:val="TableParagraph"/>
              <w:spacing w:before="116"/>
              <w:ind w:right="138"/>
              <w:jc w:val="right"/>
              <w:rPr>
                <w:sz w:val="16"/>
              </w:rPr>
            </w:pPr>
            <w:r w:rsidRPr="00EB2BD8">
              <w:rPr>
                <w:spacing w:val="-5"/>
                <w:w w:val="90"/>
                <w:sz w:val="16"/>
              </w:rPr>
              <w:t>102</w:t>
            </w:r>
          </w:p>
        </w:tc>
        <w:tc>
          <w:tcPr>
            <w:tcW w:w="982" w:type="dxa"/>
            <w:tcBorders>
              <w:top w:val="single" w:sz="2" w:space="0" w:color="000000"/>
              <w:bottom w:val="single" w:sz="2" w:space="0" w:color="000000"/>
            </w:tcBorders>
          </w:tcPr>
          <w:p w14:paraId="31DF12A4" w14:textId="77777777" w:rsidR="00084F36" w:rsidRPr="00EB2BD8" w:rsidRDefault="00EB2BD8">
            <w:pPr>
              <w:pStyle w:val="TableParagraph"/>
              <w:spacing w:before="116"/>
              <w:ind w:right="439"/>
              <w:jc w:val="right"/>
              <w:rPr>
                <w:sz w:val="16"/>
              </w:rPr>
            </w:pPr>
            <w:r w:rsidRPr="00EB2BD8">
              <w:rPr>
                <w:spacing w:val="-4"/>
                <w:w w:val="85"/>
                <w:sz w:val="16"/>
              </w:rPr>
              <w:t>101.6</w:t>
            </w:r>
          </w:p>
        </w:tc>
        <w:tc>
          <w:tcPr>
            <w:tcW w:w="1178" w:type="dxa"/>
            <w:tcBorders>
              <w:top w:val="single" w:sz="2" w:space="0" w:color="000000"/>
              <w:bottom w:val="single" w:sz="2" w:space="0" w:color="000000"/>
            </w:tcBorders>
          </w:tcPr>
          <w:p w14:paraId="55DAF7B7" w14:textId="77777777" w:rsidR="00084F36" w:rsidRPr="00EB2BD8" w:rsidRDefault="00EB2BD8">
            <w:pPr>
              <w:pStyle w:val="TableParagraph"/>
              <w:spacing w:before="116"/>
              <w:ind w:right="491"/>
              <w:jc w:val="right"/>
              <w:rPr>
                <w:sz w:val="16"/>
              </w:rPr>
            </w:pPr>
            <w:r w:rsidRPr="00EB2BD8">
              <w:rPr>
                <w:spacing w:val="-5"/>
                <w:w w:val="95"/>
                <w:sz w:val="16"/>
              </w:rPr>
              <w:t>74</w:t>
            </w:r>
          </w:p>
        </w:tc>
        <w:tc>
          <w:tcPr>
            <w:tcW w:w="801" w:type="dxa"/>
            <w:tcBorders>
              <w:top w:val="single" w:sz="2" w:space="0" w:color="000000"/>
              <w:bottom w:val="single" w:sz="2" w:space="0" w:color="000000"/>
            </w:tcBorders>
          </w:tcPr>
          <w:p w14:paraId="4C5E1506" w14:textId="77777777" w:rsidR="00084F36" w:rsidRPr="00EB2BD8" w:rsidRDefault="00EB2BD8">
            <w:pPr>
              <w:pStyle w:val="TableParagraph"/>
              <w:spacing w:before="116"/>
              <w:ind w:right="150"/>
              <w:jc w:val="right"/>
              <w:rPr>
                <w:sz w:val="16"/>
              </w:rPr>
            </w:pPr>
            <w:r w:rsidRPr="00EB2BD8">
              <w:rPr>
                <w:w w:val="80"/>
                <w:sz w:val="16"/>
              </w:rPr>
              <w:t>2</w:t>
            </w:r>
          </w:p>
        </w:tc>
        <w:tc>
          <w:tcPr>
            <w:tcW w:w="998" w:type="dxa"/>
            <w:tcBorders>
              <w:top w:val="single" w:sz="2" w:space="0" w:color="000000"/>
              <w:bottom w:val="single" w:sz="2" w:space="0" w:color="000000"/>
            </w:tcBorders>
          </w:tcPr>
          <w:p w14:paraId="50597673" w14:textId="77777777" w:rsidR="00084F36" w:rsidRPr="00EB2BD8" w:rsidRDefault="00EB2BD8">
            <w:pPr>
              <w:pStyle w:val="TableParagraph"/>
              <w:spacing w:before="116"/>
              <w:ind w:right="471"/>
              <w:jc w:val="right"/>
              <w:rPr>
                <w:sz w:val="16"/>
              </w:rPr>
            </w:pPr>
            <w:r w:rsidRPr="00EB2BD8">
              <w:rPr>
                <w:spacing w:val="-4"/>
                <w:w w:val="95"/>
                <w:sz w:val="16"/>
              </w:rPr>
              <w:t>75.6</w:t>
            </w:r>
          </w:p>
        </w:tc>
        <w:tc>
          <w:tcPr>
            <w:tcW w:w="879" w:type="dxa"/>
            <w:tcBorders>
              <w:top w:val="single" w:sz="2" w:space="0" w:color="000000"/>
              <w:bottom w:val="single" w:sz="2" w:space="0" w:color="000000"/>
            </w:tcBorders>
          </w:tcPr>
          <w:p w14:paraId="1321E981" w14:textId="77777777" w:rsidR="00084F36" w:rsidRPr="00EB2BD8" w:rsidRDefault="00EB2BD8">
            <w:pPr>
              <w:pStyle w:val="TableParagraph"/>
              <w:spacing w:before="116"/>
              <w:ind w:right="214"/>
              <w:jc w:val="right"/>
              <w:rPr>
                <w:sz w:val="16"/>
              </w:rPr>
            </w:pPr>
            <w:r w:rsidRPr="00EB2BD8">
              <w:rPr>
                <w:spacing w:val="-5"/>
                <w:sz w:val="16"/>
              </w:rPr>
              <w:t>26</w:t>
            </w:r>
          </w:p>
        </w:tc>
        <w:tc>
          <w:tcPr>
            <w:tcW w:w="636" w:type="dxa"/>
            <w:tcBorders>
              <w:top w:val="single" w:sz="2" w:space="0" w:color="000000"/>
              <w:bottom w:val="single" w:sz="2" w:space="0" w:color="000000"/>
            </w:tcBorders>
          </w:tcPr>
          <w:p w14:paraId="1707B788" w14:textId="77777777" w:rsidR="00084F36" w:rsidRPr="00EB2BD8" w:rsidRDefault="00EB2BD8">
            <w:pPr>
              <w:pStyle w:val="TableParagraph"/>
              <w:spacing w:before="116"/>
              <w:ind w:right="113"/>
              <w:jc w:val="right"/>
              <w:rPr>
                <w:sz w:val="16"/>
              </w:rPr>
            </w:pPr>
            <w:r w:rsidRPr="00EB2BD8">
              <w:rPr>
                <w:spacing w:val="-5"/>
                <w:sz w:val="16"/>
              </w:rPr>
              <w:t>26</w:t>
            </w:r>
          </w:p>
        </w:tc>
      </w:tr>
      <w:tr w:rsidR="00EB2BD8" w:rsidRPr="00EB2BD8" w14:paraId="6F33296E" w14:textId="77777777">
        <w:trPr>
          <w:trHeight w:val="381"/>
        </w:trPr>
        <w:tc>
          <w:tcPr>
            <w:tcW w:w="421" w:type="dxa"/>
            <w:vMerge/>
            <w:tcBorders>
              <w:top w:val="nil"/>
              <w:bottom w:val="single" w:sz="2" w:space="0" w:color="000000"/>
            </w:tcBorders>
            <w:shd w:val="clear" w:color="auto" w:fill="4CB7FF"/>
            <w:textDirection w:val="btLr"/>
          </w:tcPr>
          <w:p w14:paraId="32262250" w14:textId="77777777" w:rsidR="00084F36" w:rsidRPr="00EB2BD8" w:rsidRDefault="00084F36">
            <w:pPr>
              <w:rPr>
                <w:sz w:val="2"/>
                <w:szCs w:val="2"/>
              </w:rPr>
            </w:pPr>
          </w:p>
        </w:tc>
        <w:tc>
          <w:tcPr>
            <w:tcW w:w="3277" w:type="dxa"/>
            <w:tcBorders>
              <w:top w:val="single" w:sz="2" w:space="0" w:color="000000"/>
              <w:bottom w:val="single" w:sz="2" w:space="0" w:color="000000"/>
            </w:tcBorders>
          </w:tcPr>
          <w:p w14:paraId="7BFF31DF" w14:textId="77777777" w:rsidR="00084F36" w:rsidRPr="00EB2BD8" w:rsidRDefault="00EB2BD8">
            <w:pPr>
              <w:pStyle w:val="TableParagraph"/>
              <w:spacing w:before="116"/>
              <w:ind w:left="113"/>
              <w:rPr>
                <w:sz w:val="16"/>
              </w:rPr>
            </w:pPr>
            <w:r w:rsidRPr="00EB2BD8">
              <w:rPr>
                <w:spacing w:val="-5"/>
                <w:sz w:val="16"/>
              </w:rPr>
              <w:t>65+</w:t>
            </w:r>
          </w:p>
        </w:tc>
        <w:tc>
          <w:tcPr>
            <w:tcW w:w="1002" w:type="dxa"/>
            <w:tcBorders>
              <w:top w:val="single" w:sz="2" w:space="0" w:color="000000"/>
              <w:bottom w:val="single" w:sz="2" w:space="0" w:color="000000"/>
            </w:tcBorders>
          </w:tcPr>
          <w:p w14:paraId="08293DEA" w14:textId="77777777" w:rsidR="00084F36" w:rsidRPr="00EB2BD8" w:rsidRDefault="00EB2BD8">
            <w:pPr>
              <w:pStyle w:val="TableParagraph"/>
              <w:spacing w:before="116"/>
              <w:ind w:right="138"/>
              <w:jc w:val="right"/>
              <w:rPr>
                <w:sz w:val="16"/>
              </w:rPr>
            </w:pPr>
            <w:r w:rsidRPr="00EB2BD8">
              <w:rPr>
                <w:spacing w:val="-5"/>
                <w:w w:val="90"/>
                <w:sz w:val="16"/>
              </w:rPr>
              <w:t>22</w:t>
            </w:r>
          </w:p>
        </w:tc>
        <w:tc>
          <w:tcPr>
            <w:tcW w:w="982" w:type="dxa"/>
            <w:tcBorders>
              <w:top w:val="single" w:sz="2" w:space="0" w:color="000000"/>
              <w:bottom w:val="single" w:sz="2" w:space="0" w:color="000000"/>
            </w:tcBorders>
          </w:tcPr>
          <w:p w14:paraId="3138DDE6" w14:textId="77777777" w:rsidR="00084F36" w:rsidRPr="00EB2BD8" w:rsidRDefault="00EB2BD8">
            <w:pPr>
              <w:pStyle w:val="TableParagraph"/>
              <w:spacing w:before="116"/>
              <w:ind w:right="440"/>
              <w:jc w:val="right"/>
              <w:rPr>
                <w:sz w:val="16"/>
              </w:rPr>
            </w:pPr>
            <w:r w:rsidRPr="00EB2BD8">
              <w:rPr>
                <w:spacing w:val="-4"/>
                <w:w w:val="80"/>
                <w:sz w:val="16"/>
              </w:rPr>
              <w:t>21.2</w:t>
            </w:r>
          </w:p>
        </w:tc>
        <w:tc>
          <w:tcPr>
            <w:tcW w:w="1178" w:type="dxa"/>
            <w:tcBorders>
              <w:top w:val="single" w:sz="2" w:space="0" w:color="000000"/>
              <w:bottom w:val="single" w:sz="2" w:space="0" w:color="000000"/>
            </w:tcBorders>
          </w:tcPr>
          <w:p w14:paraId="6DA59A9E" w14:textId="77777777" w:rsidR="00084F36" w:rsidRPr="00EB2BD8" w:rsidRDefault="00EB2BD8">
            <w:pPr>
              <w:pStyle w:val="TableParagraph"/>
              <w:spacing w:before="116"/>
              <w:ind w:right="484"/>
              <w:jc w:val="right"/>
              <w:rPr>
                <w:sz w:val="16"/>
              </w:rPr>
            </w:pPr>
            <w:r w:rsidRPr="00EB2BD8">
              <w:rPr>
                <w:spacing w:val="-5"/>
                <w:w w:val="85"/>
                <w:sz w:val="16"/>
              </w:rPr>
              <w:t>16</w:t>
            </w:r>
          </w:p>
        </w:tc>
        <w:tc>
          <w:tcPr>
            <w:tcW w:w="801" w:type="dxa"/>
            <w:tcBorders>
              <w:top w:val="single" w:sz="2" w:space="0" w:color="000000"/>
              <w:bottom w:val="single" w:sz="2" w:space="0" w:color="000000"/>
            </w:tcBorders>
          </w:tcPr>
          <w:p w14:paraId="052985FB" w14:textId="77777777" w:rsidR="00084F36" w:rsidRPr="00EB2BD8" w:rsidRDefault="00EB2BD8">
            <w:pPr>
              <w:pStyle w:val="TableParagraph"/>
              <w:spacing w:before="116"/>
              <w:ind w:right="150"/>
              <w:jc w:val="right"/>
              <w:rPr>
                <w:sz w:val="16"/>
              </w:rPr>
            </w:pPr>
            <w:r w:rsidRPr="00EB2BD8">
              <w:rPr>
                <w:w w:val="80"/>
                <w:sz w:val="16"/>
              </w:rPr>
              <w:t>2</w:t>
            </w:r>
          </w:p>
        </w:tc>
        <w:tc>
          <w:tcPr>
            <w:tcW w:w="998" w:type="dxa"/>
            <w:tcBorders>
              <w:top w:val="single" w:sz="2" w:space="0" w:color="000000"/>
              <w:bottom w:val="single" w:sz="2" w:space="0" w:color="000000"/>
            </w:tcBorders>
          </w:tcPr>
          <w:p w14:paraId="250594EC" w14:textId="77777777" w:rsidR="00084F36" w:rsidRPr="00EB2BD8" w:rsidRDefault="00EB2BD8">
            <w:pPr>
              <w:pStyle w:val="TableParagraph"/>
              <w:spacing w:before="116"/>
              <w:ind w:right="469"/>
              <w:jc w:val="right"/>
              <w:rPr>
                <w:sz w:val="16"/>
              </w:rPr>
            </w:pPr>
            <w:r w:rsidRPr="00EB2BD8">
              <w:rPr>
                <w:spacing w:val="-4"/>
                <w:w w:val="80"/>
                <w:sz w:val="16"/>
              </w:rPr>
              <w:t>17.2</w:t>
            </w:r>
          </w:p>
        </w:tc>
        <w:tc>
          <w:tcPr>
            <w:tcW w:w="879" w:type="dxa"/>
            <w:tcBorders>
              <w:top w:val="single" w:sz="2" w:space="0" w:color="000000"/>
              <w:bottom w:val="single" w:sz="2" w:space="0" w:color="000000"/>
            </w:tcBorders>
          </w:tcPr>
          <w:p w14:paraId="622EF80D" w14:textId="77777777" w:rsidR="00084F36" w:rsidRPr="00EB2BD8" w:rsidRDefault="00EB2BD8">
            <w:pPr>
              <w:pStyle w:val="TableParagraph"/>
              <w:spacing w:before="116"/>
              <w:ind w:right="213"/>
              <w:jc w:val="right"/>
              <w:rPr>
                <w:sz w:val="16"/>
              </w:rPr>
            </w:pPr>
            <w:r w:rsidRPr="00EB2BD8">
              <w:rPr>
                <w:w w:val="98"/>
                <w:sz w:val="16"/>
              </w:rPr>
              <w:t>4</w:t>
            </w:r>
          </w:p>
        </w:tc>
        <w:tc>
          <w:tcPr>
            <w:tcW w:w="636" w:type="dxa"/>
            <w:tcBorders>
              <w:top w:val="single" w:sz="2" w:space="0" w:color="000000"/>
              <w:bottom w:val="single" w:sz="2" w:space="0" w:color="000000"/>
            </w:tcBorders>
          </w:tcPr>
          <w:p w14:paraId="3EEEEE27" w14:textId="77777777" w:rsidR="00084F36" w:rsidRPr="00EB2BD8" w:rsidRDefault="00EB2BD8">
            <w:pPr>
              <w:pStyle w:val="TableParagraph"/>
              <w:spacing w:before="116"/>
              <w:ind w:right="112"/>
              <w:jc w:val="right"/>
              <w:rPr>
                <w:sz w:val="16"/>
              </w:rPr>
            </w:pPr>
            <w:r w:rsidRPr="00EB2BD8">
              <w:rPr>
                <w:w w:val="98"/>
                <w:sz w:val="16"/>
              </w:rPr>
              <w:t>4</w:t>
            </w:r>
          </w:p>
        </w:tc>
      </w:tr>
      <w:tr w:rsidR="00EB2BD8" w:rsidRPr="00EB2BD8" w14:paraId="49C1675D" w14:textId="77777777">
        <w:trPr>
          <w:trHeight w:val="365"/>
        </w:trPr>
        <w:tc>
          <w:tcPr>
            <w:tcW w:w="421" w:type="dxa"/>
            <w:vMerge/>
            <w:tcBorders>
              <w:top w:val="nil"/>
              <w:bottom w:val="single" w:sz="2" w:space="0" w:color="000000"/>
            </w:tcBorders>
            <w:shd w:val="clear" w:color="auto" w:fill="4CB7FF"/>
            <w:textDirection w:val="btLr"/>
          </w:tcPr>
          <w:p w14:paraId="18C943F2" w14:textId="77777777" w:rsidR="00084F36" w:rsidRPr="00EB2BD8" w:rsidRDefault="00084F36">
            <w:pPr>
              <w:rPr>
                <w:sz w:val="2"/>
                <w:szCs w:val="2"/>
              </w:rPr>
            </w:pPr>
          </w:p>
        </w:tc>
        <w:tc>
          <w:tcPr>
            <w:tcW w:w="9753" w:type="dxa"/>
            <w:gridSpan w:val="8"/>
            <w:tcBorders>
              <w:top w:val="single" w:sz="2" w:space="0" w:color="000000"/>
            </w:tcBorders>
            <w:shd w:val="clear" w:color="auto" w:fill="E5F5FF"/>
          </w:tcPr>
          <w:p w14:paraId="7C404C70" w14:textId="77777777" w:rsidR="00084F36" w:rsidRPr="00EB2BD8" w:rsidRDefault="00EB2BD8">
            <w:pPr>
              <w:pStyle w:val="TableParagraph"/>
              <w:spacing w:before="83"/>
              <w:ind w:left="79"/>
              <w:rPr>
                <w:sz w:val="16"/>
              </w:rPr>
            </w:pPr>
            <w:r w:rsidRPr="00EB2BD8">
              <w:rPr>
                <w:sz w:val="16"/>
              </w:rPr>
              <w:t>VPS</w:t>
            </w:r>
            <w:r w:rsidRPr="00EB2BD8">
              <w:rPr>
                <w:spacing w:val="-11"/>
                <w:sz w:val="16"/>
              </w:rPr>
              <w:t xml:space="preserve"> </w:t>
            </w:r>
            <w:r w:rsidRPr="00EB2BD8">
              <w:rPr>
                <w:sz w:val="16"/>
              </w:rPr>
              <w:t>1–6</w:t>
            </w:r>
            <w:r w:rsidRPr="00EB2BD8">
              <w:rPr>
                <w:spacing w:val="-11"/>
                <w:sz w:val="16"/>
              </w:rPr>
              <w:t xml:space="preserve"> </w:t>
            </w:r>
            <w:r w:rsidRPr="00EB2BD8">
              <w:rPr>
                <w:spacing w:val="-2"/>
                <w:sz w:val="16"/>
              </w:rPr>
              <w:t>grades</w:t>
            </w:r>
          </w:p>
        </w:tc>
      </w:tr>
      <w:tr w:rsidR="00EB2BD8" w:rsidRPr="00EB2BD8" w14:paraId="1F19A1EA" w14:textId="77777777">
        <w:trPr>
          <w:trHeight w:val="381"/>
        </w:trPr>
        <w:tc>
          <w:tcPr>
            <w:tcW w:w="421" w:type="dxa"/>
            <w:vMerge/>
            <w:tcBorders>
              <w:top w:val="nil"/>
              <w:bottom w:val="single" w:sz="2" w:space="0" w:color="000000"/>
            </w:tcBorders>
            <w:shd w:val="clear" w:color="auto" w:fill="4CB7FF"/>
            <w:textDirection w:val="btLr"/>
          </w:tcPr>
          <w:p w14:paraId="1BA72C3C" w14:textId="77777777" w:rsidR="00084F36" w:rsidRPr="00EB2BD8" w:rsidRDefault="00084F36">
            <w:pPr>
              <w:rPr>
                <w:sz w:val="2"/>
                <w:szCs w:val="2"/>
              </w:rPr>
            </w:pPr>
          </w:p>
        </w:tc>
        <w:tc>
          <w:tcPr>
            <w:tcW w:w="3277" w:type="dxa"/>
            <w:tcBorders>
              <w:bottom w:val="single" w:sz="2" w:space="0" w:color="000000"/>
            </w:tcBorders>
          </w:tcPr>
          <w:p w14:paraId="7758BE47" w14:textId="77777777" w:rsidR="00084F36" w:rsidRPr="00EB2BD8" w:rsidRDefault="00EB2BD8">
            <w:pPr>
              <w:pStyle w:val="TableParagraph"/>
              <w:spacing w:before="116"/>
              <w:ind w:left="113"/>
              <w:rPr>
                <w:sz w:val="16"/>
              </w:rPr>
            </w:pPr>
            <w:r w:rsidRPr="00EB2BD8">
              <w:rPr>
                <w:sz w:val="16"/>
              </w:rPr>
              <w:t>VPS</w:t>
            </w:r>
            <w:r w:rsidRPr="00EB2BD8">
              <w:rPr>
                <w:spacing w:val="16"/>
                <w:sz w:val="16"/>
              </w:rPr>
              <w:t xml:space="preserve"> </w:t>
            </w:r>
            <w:r w:rsidRPr="00EB2BD8">
              <w:rPr>
                <w:spacing w:val="-10"/>
                <w:w w:val="95"/>
                <w:sz w:val="16"/>
              </w:rPr>
              <w:t>1</w:t>
            </w:r>
          </w:p>
        </w:tc>
        <w:tc>
          <w:tcPr>
            <w:tcW w:w="1002" w:type="dxa"/>
            <w:tcBorders>
              <w:bottom w:val="single" w:sz="2" w:space="0" w:color="000000"/>
            </w:tcBorders>
          </w:tcPr>
          <w:p w14:paraId="2288AABF" w14:textId="77777777" w:rsidR="00084F36" w:rsidRPr="00EB2BD8" w:rsidRDefault="00EB2BD8">
            <w:pPr>
              <w:pStyle w:val="TableParagraph"/>
              <w:spacing w:before="116"/>
              <w:ind w:right="138"/>
              <w:jc w:val="right"/>
              <w:rPr>
                <w:sz w:val="16"/>
              </w:rPr>
            </w:pPr>
            <w:r w:rsidRPr="00EB2BD8">
              <w:rPr>
                <w:w w:val="105"/>
                <w:sz w:val="16"/>
              </w:rPr>
              <w:t>0</w:t>
            </w:r>
          </w:p>
        </w:tc>
        <w:tc>
          <w:tcPr>
            <w:tcW w:w="982" w:type="dxa"/>
            <w:tcBorders>
              <w:bottom w:val="single" w:sz="2" w:space="0" w:color="000000"/>
            </w:tcBorders>
          </w:tcPr>
          <w:p w14:paraId="700B2C16" w14:textId="77777777" w:rsidR="00084F36" w:rsidRPr="00EB2BD8" w:rsidRDefault="00EB2BD8">
            <w:pPr>
              <w:pStyle w:val="TableParagraph"/>
              <w:spacing w:before="116"/>
              <w:ind w:right="440"/>
              <w:jc w:val="right"/>
              <w:rPr>
                <w:sz w:val="16"/>
              </w:rPr>
            </w:pPr>
            <w:r w:rsidRPr="00EB2BD8">
              <w:rPr>
                <w:w w:val="105"/>
                <w:sz w:val="16"/>
              </w:rPr>
              <w:t>0</w:t>
            </w:r>
          </w:p>
        </w:tc>
        <w:tc>
          <w:tcPr>
            <w:tcW w:w="1178" w:type="dxa"/>
            <w:tcBorders>
              <w:bottom w:val="single" w:sz="2" w:space="0" w:color="000000"/>
            </w:tcBorders>
          </w:tcPr>
          <w:p w14:paraId="77A74BDD" w14:textId="77777777" w:rsidR="00084F36" w:rsidRPr="00EB2BD8" w:rsidRDefault="00EB2BD8">
            <w:pPr>
              <w:pStyle w:val="TableParagraph"/>
              <w:spacing w:before="116"/>
              <w:ind w:right="484"/>
              <w:jc w:val="right"/>
              <w:rPr>
                <w:sz w:val="16"/>
              </w:rPr>
            </w:pPr>
            <w:r w:rsidRPr="00EB2BD8">
              <w:rPr>
                <w:w w:val="105"/>
                <w:sz w:val="16"/>
              </w:rPr>
              <w:t>0</w:t>
            </w:r>
          </w:p>
        </w:tc>
        <w:tc>
          <w:tcPr>
            <w:tcW w:w="801" w:type="dxa"/>
            <w:tcBorders>
              <w:bottom w:val="single" w:sz="2" w:space="0" w:color="000000"/>
            </w:tcBorders>
          </w:tcPr>
          <w:p w14:paraId="6816517F" w14:textId="77777777" w:rsidR="00084F36" w:rsidRPr="00EB2BD8" w:rsidRDefault="00EB2BD8">
            <w:pPr>
              <w:pStyle w:val="TableParagraph"/>
              <w:spacing w:before="116"/>
              <w:ind w:right="151"/>
              <w:jc w:val="right"/>
              <w:rPr>
                <w:sz w:val="16"/>
              </w:rPr>
            </w:pPr>
            <w:r w:rsidRPr="00EB2BD8">
              <w:rPr>
                <w:w w:val="105"/>
                <w:sz w:val="16"/>
              </w:rPr>
              <w:t>0</w:t>
            </w:r>
          </w:p>
        </w:tc>
        <w:tc>
          <w:tcPr>
            <w:tcW w:w="998" w:type="dxa"/>
            <w:tcBorders>
              <w:bottom w:val="single" w:sz="2" w:space="0" w:color="000000"/>
            </w:tcBorders>
          </w:tcPr>
          <w:p w14:paraId="3B416ADA" w14:textId="77777777" w:rsidR="00084F36" w:rsidRPr="00EB2BD8" w:rsidRDefault="00EB2BD8">
            <w:pPr>
              <w:pStyle w:val="TableParagraph"/>
              <w:spacing w:before="116"/>
              <w:ind w:right="468"/>
              <w:jc w:val="right"/>
              <w:rPr>
                <w:sz w:val="16"/>
              </w:rPr>
            </w:pPr>
            <w:r w:rsidRPr="00EB2BD8">
              <w:rPr>
                <w:w w:val="105"/>
                <w:sz w:val="16"/>
              </w:rPr>
              <w:t>0</w:t>
            </w:r>
          </w:p>
        </w:tc>
        <w:tc>
          <w:tcPr>
            <w:tcW w:w="879" w:type="dxa"/>
            <w:tcBorders>
              <w:bottom w:val="single" w:sz="2" w:space="0" w:color="000000"/>
            </w:tcBorders>
          </w:tcPr>
          <w:p w14:paraId="57ACEE62" w14:textId="77777777" w:rsidR="00084F36" w:rsidRPr="00EB2BD8" w:rsidRDefault="00EB2BD8">
            <w:pPr>
              <w:pStyle w:val="TableParagraph"/>
              <w:spacing w:before="116"/>
              <w:ind w:right="214"/>
              <w:jc w:val="right"/>
              <w:rPr>
                <w:sz w:val="16"/>
              </w:rPr>
            </w:pPr>
            <w:r w:rsidRPr="00EB2BD8">
              <w:rPr>
                <w:w w:val="105"/>
                <w:sz w:val="16"/>
              </w:rPr>
              <w:t>0</w:t>
            </w:r>
          </w:p>
        </w:tc>
        <w:tc>
          <w:tcPr>
            <w:tcW w:w="636" w:type="dxa"/>
            <w:tcBorders>
              <w:bottom w:val="single" w:sz="2" w:space="0" w:color="000000"/>
            </w:tcBorders>
          </w:tcPr>
          <w:p w14:paraId="2042007E" w14:textId="77777777" w:rsidR="00084F36" w:rsidRPr="00EB2BD8" w:rsidRDefault="00EB2BD8">
            <w:pPr>
              <w:pStyle w:val="TableParagraph"/>
              <w:spacing w:before="116"/>
              <w:ind w:right="113"/>
              <w:jc w:val="right"/>
              <w:rPr>
                <w:sz w:val="16"/>
              </w:rPr>
            </w:pPr>
            <w:r w:rsidRPr="00EB2BD8">
              <w:rPr>
                <w:w w:val="105"/>
                <w:sz w:val="16"/>
              </w:rPr>
              <w:t>0</w:t>
            </w:r>
          </w:p>
        </w:tc>
      </w:tr>
      <w:tr w:rsidR="00EB2BD8" w:rsidRPr="00EB2BD8" w14:paraId="2FA02BB3" w14:textId="77777777">
        <w:trPr>
          <w:trHeight w:val="381"/>
        </w:trPr>
        <w:tc>
          <w:tcPr>
            <w:tcW w:w="421" w:type="dxa"/>
            <w:vMerge/>
            <w:tcBorders>
              <w:top w:val="nil"/>
              <w:bottom w:val="single" w:sz="2" w:space="0" w:color="000000"/>
            </w:tcBorders>
            <w:shd w:val="clear" w:color="auto" w:fill="4CB7FF"/>
            <w:textDirection w:val="btLr"/>
          </w:tcPr>
          <w:p w14:paraId="35655411" w14:textId="77777777" w:rsidR="00084F36" w:rsidRPr="00EB2BD8" w:rsidRDefault="00084F36">
            <w:pPr>
              <w:rPr>
                <w:sz w:val="2"/>
                <w:szCs w:val="2"/>
              </w:rPr>
            </w:pPr>
          </w:p>
        </w:tc>
        <w:tc>
          <w:tcPr>
            <w:tcW w:w="3277" w:type="dxa"/>
            <w:tcBorders>
              <w:top w:val="single" w:sz="2" w:space="0" w:color="000000"/>
              <w:bottom w:val="single" w:sz="2" w:space="0" w:color="000000"/>
            </w:tcBorders>
          </w:tcPr>
          <w:p w14:paraId="0B56E3A6" w14:textId="77777777" w:rsidR="00084F36" w:rsidRPr="00EB2BD8" w:rsidRDefault="00EB2BD8">
            <w:pPr>
              <w:pStyle w:val="TableParagraph"/>
              <w:spacing w:before="116"/>
              <w:ind w:left="113"/>
              <w:rPr>
                <w:sz w:val="16"/>
              </w:rPr>
            </w:pPr>
            <w:r w:rsidRPr="00EB2BD8">
              <w:rPr>
                <w:sz w:val="16"/>
              </w:rPr>
              <w:t>VPS</w:t>
            </w:r>
            <w:r w:rsidRPr="00EB2BD8">
              <w:rPr>
                <w:spacing w:val="16"/>
                <w:sz w:val="16"/>
              </w:rPr>
              <w:t xml:space="preserve"> </w:t>
            </w:r>
            <w:r w:rsidRPr="00EB2BD8">
              <w:rPr>
                <w:spacing w:val="-10"/>
                <w:sz w:val="16"/>
              </w:rPr>
              <w:t>2</w:t>
            </w:r>
          </w:p>
        </w:tc>
        <w:tc>
          <w:tcPr>
            <w:tcW w:w="1002" w:type="dxa"/>
            <w:tcBorders>
              <w:top w:val="single" w:sz="2" w:space="0" w:color="000000"/>
              <w:bottom w:val="single" w:sz="2" w:space="0" w:color="000000"/>
            </w:tcBorders>
          </w:tcPr>
          <w:p w14:paraId="1F68181F" w14:textId="77777777" w:rsidR="00084F36" w:rsidRPr="00EB2BD8" w:rsidRDefault="00EB2BD8">
            <w:pPr>
              <w:pStyle w:val="TableParagraph"/>
              <w:spacing w:before="116"/>
              <w:ind w:right="140"/>
              <w:jc w:val="right"/>
              <w:rPr>
                <w:sz w:val="16"/>
              </w:rPr>
            </w:pPr>
            <w:r w:rsidRPr="00EB2BD8">
              <w:rPr>
                <w:spacing w:val="-5"/>
                <w:w w:val="80"/>
                <w:sz w:val="16"/>
              </w:rPr>
              <w:t>101</w:t>
            </w:r>
          </w:p>
        </w:tc>
        <w:tc>
          <w:tcPr>
            <w:tcW w:w="982" w:type="dxa"/>
            <w:tcBorders>
              <w:top w:val="single" w:sz="2" w:space="0" w:color="000000"/>
              <w:bottom w:val="single" w:sz="2" w:space="0" w:color="000000"/>
            </w:tcBorders>
          </w:tcPr>
          <w:p w14:paraId="7772154E" w14:textId="77777777" w:rsidR="00084F36" w:rsidRPr="00EB2BD8" w:rsidRDefault="00EB2BD8">
            <w:pPr>
              <w:pStyle w:val="TableParagraph"/>
              <w:spacing w:before="116"/>
              <w:ind w:right="440"/>
              <w:jc w:val="right"/>
              <w:rPr>
                <w:sz w:val="16"/>
              </w:rPr>
            </w:pPr>
            <w:r w:rsidRPr="00EB2BD8">
              <w:rPr>
                <w:spacing w:val="-4"/>
                <w:w w:val="95"/>
                <w:sz w:val="16"/>
              </w:rPr>
              <w:t>97.3</w:t>
            </w:r>
          </w:p>
        </w:tc>
        <w:tc>
          <w:tcPr>
            <w:tcW w:w="1178" w:type="dxa"/>
            <w:tcBorders>
              <w:top w:val="single" w:sz="2" w:space="0" w:color="000000"/>
              <w:bottom w:val="single" w:sz="2" w:space="0" w:color="000000"/>
            </w:tcBorders>
          </w:tcPr>
          <w:p w14:paraId="6EA84C71" w14:textId="77777777" w:rsidR="00084F36" w:rsidRPr="00EB2BD8" w:rsidRDefault="00EB2BD8">
            <w:pPr>
              <w:pStyle w:val="TableParagraph"/>
              <w:spacing w:before="116"/>
              <w:ind w:right="485"/>
              <w:jc w:val="right"/>
              <w:rPr>
                <w:sz w:val="16"/>
              </w:rPr>
            </w:pPr>
            <w:r w:rsidRPr="00EB2BD8">
              <w:rPr>
                <w:spacing w:val="-5"/>
                <w:sz w:val="16"/>
              </w:rPr>
              <w:t>59</w:t>
            </w:r>
          </w:p>
        </w:tc>
        <w:tc>
          <w:tcPr>
            <w:tcW w:w="801" w:type="dxa"/>
            <w:tcBorders>
              <w:top w:val="single" w:sz="2" w:space="0" w:color="000000"/>
              <w:bottom w:val="single" w:sz="2" w:space="0" w:color="000000"/>
            </w:tcBorders>
          </w:tcPr>
          <w:p w14:paraId="498975AC" w14:textId="77777777" w:rsidR="00084F36" w:rsidRPr="00EB2BD8" w:rsidRDefault="00EB2BD8">
            <w:pPr>
              <w:pStyle w:val="TableParagraph"/>
              <w:spacing w:before="116"/>
              <w:ind w:right="151"/>
              <w:jc w:val="right"/>
              <w:rPr>
                <w:sz w:val="16"/>
              </w:rPr>
            </w:pPr>
            <w:r w:rsidRPr="00EB2BD8">
              <w:rPr>
                <w:w w:val="92"/>
                <w:sz w:val="16"/>
              </w:rPr>
              <w:t>8</w:t>
            </w:r>
          </w:p>
        </w:tc>
        <w:tc>
          <w:tcPr>
            <w:tcW w:w="998" w:type="dxa"/>
            <w:tcBorders>
              <w:top w:val="single" w:sz="2" w:space="0" w:color="000000"/>
              <w:bottom w:val="single" w:sz="2" w:space="0" w:color="000000"/>
            </w:tcBorders>
          </w:tcPr>
          <w:p w14:paraId="3974339B" w14:textId="77777777" w:rsidR="00084F36" w:rsidRPr="00EB2BD8" w:rsidRDefault="00EB2BD8">
            <w:pPr>
              <w:pStyle w:val="TableParagraph"/>
              <w:spacing w:before="116"/>
              <w:ind w:right="469"/>
              <w:jc w:val="right"/>
              <w:rPr>
                <w:sz w:val="16"/>
              </w:rPr>
            </w:pPr>
            <w:r w:rsidRPr="00EB2BD8">
              <w:rPr>
                <w:spacing w:val="-4"/>
                <w:w w:val="95"/>
                <w:sz w:val="16"/>
              </w:rPr>
              <w:t>64.2</w:t>
            </w:r>
          </w:p>
        </w:tc>
        <w:tc>
          <w:tcPr>
            <w:tcW w:w="879" w:type="dxa"/>
            <w:tcBorders>
              <w:top w:val="single" w:sz="2" w:space="0" w:color="000000"/>
              <w:bottom w:val="single" w:sz="2" w:space="0" w:color="000000"/>
            </w:tcBorders>
          </w:tcPr>
          <w:p w14:paraId="39EC9F45" w14:textId="77777777" w:rsidR="00084F36" w:rsidRPr="00EB2BD8" w:rsidRDefault="00EB2BD8">
            <w:pPr>
              <w:pStyle w:val="TableParagraph"/>
              <w:spacing w:before="116"/>
              <w:ind w:right="214"/>
              <w:jc w:val="right"/>
              <w:rPr>
                <w:sz w:val="16"/>
              </w:rPr>
            </w:pPr>
            <w:r w:rsidRPr="00EB2BD8">
              <w:rPr>
                <w:spacing w:val="-5"/>
                <w:sz w:val="16"/>
              </w:rPr>
              <w:t>34</w:t>
            </w:r>
          </w:p>
        </w:tc>
        <w:tc>
          <w:tcPr>
            <w:tcW w:w="636" w:type="dxa"/>
            <w:tcBorders>
              <w:top w:val="single" w:sz="2" w:space="0" w:color="000000"/>
              <w:bottom w:val="single" w:sz="2" w:space="0" w:color="000000"/>
            </w:tcBorders>
          </w:tcPr>
          <w:p w14:paraId="45A6EB5D" w14:textId="77777777" w:rsidR="00084F36" w:rsidRPr="00EB2BD8" w:rsidRDefault="00EB2BD8">
            <w:pPr>
              <w:pStyle w:val="TableParagraph"/>
              <w:spacing w:before="116"/>
              <w:ind w:right="123"/>
              <w:jc w:val="right"/>
              <w:rPr>
                <w:sz w:val="16"/>
              </w:rPr>
            </w:pPr>
            <w:r w:rsidRPr="00EB2BD8">
              <w:rPr>
                <w:spacing w:val="-4"/>
                <w:w w:val="85"/>
                <w:sz w:val="16"/>
              </w:rPr>
              <w:t>33.1</w:t>
            </w:r>
          </w:p>
        </w:tc>
      </w:tr>
      <w:tr w:rsidR="00EB2BD8" w:rsidRPr="00EB2BD8" w14:paraId="321D15B7" w14:textId="77777777">
        <w:trPr>
          <w:trHeight w:val="381"/>
        </w:trPr>
        <w:tc>
          <w:tcPr>
            <w:tcW w:w="421" w:type="dxa"/>
            <w:vMerge/>
            <w:tcBorders>
              <w:top w:val="nil"/>
              <w:bottom w:val="single" w:sz="2" w:space="0" w:color="000000"/>
            </w:tcBorders>
            <w:shd w:val="clear" w:color="auto" w:fill="4CB7FF"/>
            <w:textDirection w:val="btLr"/>
          </w:tcPr>
          <w:p w14:paraId="2EB92E7F" w14:textId="77777777" w:rsidR="00084F36" w:rsidRPr="00EB2BD8" w:rsidRDefault="00084F36">
            <w:pPr>
              <w:rPr>
                <w:sz w:val="2"/>
                <w:szCs w:val="2"/>
              </w:rPr>
            </w:pPr>
          </w:p>
        </w:tc>
        <w:tc>
          <w:tcPr>
            <w:tcW w:w="3277" w:type="dxa"/>
            <w:tcBorders>
              <w:top w:val="single" w:sz="2" w:space="0" w:color="000000"/>
              <w:bottom w:val="single" w:sz="2" w:space="0" w:color="000000"/>
            </w:tcBorders>
          </w:tcPr>
          <w:p w14:paraId="11398805" w14:textId="77777777" w:rsidR="00084F36" w:rsidRPr="00EB2BD8" w:rsidRDefault="00EB2BD8">
            <w:pPr>
              <w:pStyle w:val="TableParagraph"/>
              <w:spacing w:before="116"/>
              <w:ind w:left="113"/>
              <w:rPr>
                <w:sz w:val="16"/>
              </w:rPr>
            </w:pPr>
            <w:r w:rsidRPr="00EB2BD8">
              <w:rPr>
                <w:w w:val="105"/>
                <w:sz w:val="16"/>
              </w:rPr>
              <w:t xml:space="preserve">VPS </w:t>
            </w:r>
            <w:r w:rsidRPr="00EB2BD8">
              <w:rPr>
                <w:spacing w:val="-10"/>
                <w:w w:val="105"/>
                <w:sz w:val="16"/>
              </w:rPr>
              <w:t>3</w:t>
            </w:r>
          </w:p>
        </w:tc>
        <w:tc>
          <w:tcPr>
            <w:tcW w:w="1002" w:type="dxa"/>
            <w:tcBorders>
              <w:top w:val="single" w:sz="2" w:space="0" w:color="000000"/>
              <w:bottom w:val="single" w:sz="2" w:space="0" w:color="000000"/>
            </w:tcBorders>
          </w:tcPr>
          <w:p w14:paraId="6723DF09" w14:textId="77777777" w:rsidR="00084F36" w:rsidRPr="00EB2BD8" w:rsidRDefault="00EB2BD8">
            <w:pPr>
              <w:pStyle w:val="TableParagraph"/>
              <w:spacing w:before="116"/>
              <w:ind w:right="139"/>
              <w:jc w:val="right"/>
              <w:rPr>
                <w:sz w:val="16"/>
              </w:rPr>
            </w:pPr>
            <w:r w:rsidRPr="00EB2BD8">
              <w:rPr>
                <w:spacing w:val="-5"/>
                <w:sz w:val="16"/>
              </w:rPr>
              <w:t>58</w:t>
            </w:r>
          </w:p>
        </w:tc>
        <w:tc>
          <w:tcPr>
            <w:tcW w:w="982" w:type="dxa"/>
            <w:tcBorders>
              <w:top w:val="single" w:sz="2" w:space="0" w:color="000000"/>
              <w:bottom w:val="single" w:sz="2" w:space="0" w:color="000000"/>
            </w:tcBorders>
          </w:tcPr>
          <w:p w14:paraId="66305773" w14:textId="77777777" w:rsidR="00084F36" w:rsidRPr="00EB2BD8" w:rsidRDefault="00EB2BD8">
            <w:pPr>
              <w:pStyle w:val="TableParagraph"/>
              <w:spacing w:before="116"/>
              <w:ind w:right="441"/>
              <w:jc w:val="right"/>
              <w:rPr>
                <w:sz w:val="16"/>
              </w:rPr>
            </w:pPr>
            <w:r w:rsidRPr="00EB2BD8">
              <w:rPr>
                <w:spacing w:val="-4"/>
                <w:sz w:val="16"/>
              </w:rPr>
              <w:t>56.4</w:t>
            </w:r>
          </w:p>
        </w:tc>
        <w:tc>
          <w:tcPr>
            <w:tcW w:w="1178" w:type="dxa"/>
            <w:tcBorders>
              <w:top w:val="single" w:sz="2" w:space="0" w:color="000000"/>
              <w:bottom w:val="single" w:sz="2" w:space="0" w:color="000000"/>
            </w:tcBorders>
          </w:tcPr>
          <w:p w14:paraId="6797C84B" w14:textId="77777777" w:rsidR="00084F36" w:rsidRPr="00EB2BD8" w:rsidRDefault="00EB2BD8">
            <w:pPr>
              <w:pStyle w:val="TableParagraph"/>
              <w:spacing w:before="116"/>
              <w:ind w:right="485"/>
              <w:jc w:val="right"/>
              <w:rPr>
                <w:sz w:val="16"/>
              </w:rPr>
            </w:pPr>
            <w:r w:rsidRPr="00EB2BD8">
              <w:rPr>
                <w:spacing w:val="-5"/>
                <w:sz w:val="16"/>
              </w:rPr>
              <w:t>42</w:t>
            </w:r>
          </w:p>
        </w:tc>
        <w:tc>
          <w:tcPr>
            <w:tcW w:w="801" w:type="dxa"/>
            <w:tcBorders>
              <w:top w:val="single" w:sz="2" w:space="0" w:color="000000"/>
              <w:bottom w:val="single" w:sz="2" w:space="0" w:color="000000"/>
            </w:tcBorders>
          </w:tcPr>
          <w:p w14:paraId="44EBC634" w14:textId="77777777" w:rsidR="00084F36" w:rsidRPr="00EB2BD8" w:rsidRDefault="00EB2BD8">
            <w:pPr>
              <w:pStyle w:val="TableParagraph"/>
              <w:spacing w:before="116"/>
              <w:ind w:right="151"/>
              <w:jc w:val="right"/>
              <w:rPr>
                <w:sz w:val="16"/>
              </w:rPr>
            </w:pPr>
            <w:r w:rsidRPr="00EB2BD8">
              <w:rPr>
                <w:w w:val="88"/>
                <w:sz w:val="16"/>
              </w:rPr>
              <w:t>5</w:t>
            </w:r>
          </w:p>
        </w:tc>
        <w:tc>
          <w:tcPr>
            <w:tcW w:w="998" w:type="dxa"/>
            <w:tcBorders>
              <w:top w:val="single" w:sz="2" w:space="0" w:color="000000"/>
              <w:bottom w:val="single" w:sz="2" w:space="0" w:color="000000"/>
            </w:tcBorders>
          </w:tcPr>
          <w:p w14:paraId="241F9461" w14:textId="77777777" w:rsidR="00084F36" w:rsidRPr="00EB2BD8" w:rsidRDefault="00EB2BD8">
            <w:pPr>
              <w:pStyle w:val="TableParagraph"/>
              <w:spacing w:before="116"/>
              <w:ind w:right="469"/>
              <w:jc w:val="right"/>
              <w:rPr>
                <w:sz w:val="16"/>
              </w:rPr>
            </w:pPr>
            <w:r w:rsidRPr="00EB2BD8">
              <w:rPr>
                <w:spacing w:val="-4"/>
                <w:sz w:val="16"/>
              </w:rPr>
              <w:t>45.4</w:t>
            </w:r>
          </w:p>
        </w:tc>
        <w:tc>
          <w:tcPr>
            <w:tcW w:w="879" w:type="dxa"/>
            <w:tcBorders>
              <w:top w:val="single" w:sz="2" w:space="0" w:color="000000"/>
              <w:bottom w:val="single" w:sz="2" w:space="0" w:color="000000"/>
            </w:tcBorders>
          </w:tcPr>
          <w:p w14:paraId="6A8C1EC2" w14:textId="77777777" w:rsidR="00084F36" w:rsidRPr="00EB2BD8" w:rsidRDefault="00EB2BD8">
            <w:pPr>
              <w:pStyle w:val="TableParagraph"/>
              <w:spacing w:before="116"/>
              <w:ind w:right="215"/>
              <w:jc w:val="right"/>
              <w:rPr>
                <w:sz w:val="16"/>
              </w:rPr>
            </w:pPr>
            <w:r w:rsidRPr="00EB2BD8">
              <w:rPr>
                <w:spacing w:val="-5"/>
                <w:w w:val="65"/>
                <w:sz w:val="16"/>
              </w:rPr>
              <w:t>11</w:t>
            </w:r>
          </w:p>
        </w:tc>
        <w:tc>
          <w:tcPr>
            <w:tcW w:w="636" w:type="dxa"/>
            <w:tcBorders>
              <w:top w:val="single" w:sz="2" w:space="0" w:color="000000"/>
              <w:bottom w:val="single" w:sz="2" w:space="0" w:color="000000"/>
            </w:tcBorders>
          </w:tcPr>
          <w:p w14:paraId="1C84EA4C" w14:textId="77777777" w:rsidR="00084F36" w:rsidRPr="00EB2BD8" w:rsidRDefault="00EB2BD8">
            <w:pPr>
              <w:pStyle w:val="TableParagraph"/>
              <w:spacing w:before="116"/>
              <w:ind w:right="114"/>
              <w:jc w:val="right"/>
              <w:rPr>
                <w:sz w:val="16"/>
              </w:rPr>
            </w:pPr>
            <w:r w:rsidRPr="00EB2BD8">
              <w:rPr>
                <w:spacing w:val="-5"/>
                <w:w w:val="65"/>
                <w:sz w:val="16"/>
              </w:rPr>
              <w:t>11</w:t>
            </w:r>
          </w:p>
        </w:tc>
      </w:tr>
      <w:tr w:rsidR="00EB2BD8" w:rsidRPr="00EB2BD8" w14:paraId="3F8091BD" w14:textId="77777777">
        <w:trPr>
          <w:trHeight w:val="381"/>
        </w:trPr>
        <w:tc>
          <w:tcPr>
            <w:tcW w:w="421" w:type="dxa"/>
            <w:vMerge/>
            <w:tcBorders>
              <w:top w:val="nil"/>
              <w:bottom w:val="single" w:sz="2" w:space="0" w:color="000000"/>
            </w:tcBorders>
            <w:shd w:val="clear" w:color="auto" w:fill="4CB7FF"/>
            <w:textDirection w:val="btLr"/>
          </w:tcPr>
          <w:p w14:paraId="20D6D87C" w14:textId="77777777" w:rsidR="00084F36" w:rsidRPr="00EB2BD8" w:rsidRDefault="00084F36">
            <w:pPr>
              <w:rPr>
                <w:sz w:val="2"/>
                <w:szCs w:val="2"/>
              </w:rPr>
            </w:pPr>
          </w:p>
        </w:tc>
        <w:tc>
          <w:tcPr>
            <w:tcW w:w="3277" w:type="dxa"/>
            <w:tcBorders>
              <w:top w:val="single" w:sz="2" w:space="0" w:color="000000"/>
              <w:bottom w:val="single" w:sz="2" w:space="0" w:color="000000"/>
            </w:tcBorders>
          </w:tcPr>
          <w:p w14:paraId="6D3BE011" w14:textId="77777777" w:rsidR="00084F36" w:rsidRPr="00EB2BD8" w:rsidRDefault="00EB2BD8">
            <w:pPr>
              <w:pStyle w:val="TableParagraph"/>
              <w:spacing w:before="116"/>
              <w:ind w:left="113"/>
              <w:rPr>
                <w:sz w:val="16"/>
              </w:rPr>
            </w:pPr>
            <w:r w:rsidRPr="00EB2BD8">
              <w:rPr>
                <w:w w:val="110"/>
                <w:sz w:val="16"/>
              </w:rPr>
              <w:t>VPS</w:t>
            </w:r>
            <w:r w:rsidRPr="00EB2BD8">
              <w:rPr>
                <w:spacing w:val="-17"/>
                <w:w w:val="110"/>
                <w:sz w:val="16"/>
              </w:rPr>
              <w:t xml:space="preserve"> </w:t>
            </w:r>
            <w:r w:rsidRPr="00EB2BD8">
              <w:rPr>
                <w:spacing w:val="-10"/>
                <w:w w:val="110"/>
                <w:sz w:val="16"/>
              </w:rPr>
              <w:t>4</w:t>
            </w:r>
          </w:p>
        </w:tc>
        <w:tc>
          <w:tcPr>
            <w:tcW w:w="1002" w:type="dxa"/>
            <w:tcBorders>
              <w:top w:val="single" w:sz="2" w:space="0" w:color="000000"/>
              <w:bottom w:val="single" w:sz="2" w:space="0" w:color="000000"/>
            </w:tcBorders>
          </w:tcPr>
          <w:p w14:paraId="2D0FCFE8" w14:textId="77777777" w:rsidR="00084F36" w:rsidRPr="00EB2BD8" w:rsidRDefault="00EB2BD8">
            <w:pPr>
              <w:pStyle w:val="TableParagraph"/>
              <w:spacing w:before="116"/>
              <w:ind w:right="138"/>
              <w:jc w:val="right"/>
              <w:rPr>
                <w:sz w:val="16"/>
              </w:rPr>
            </w:pPr>
            <w:r w:rsidRPr="00EB2BD8">
              <w:rPr>
                <w:spacing w:val="-5"/>
                <w:w w:val="90"/>
                <w:sz w:val="16"/>
              </w:rPr>
              <w:t>72</w:t>
            </w:r>
          </w:p>
        </w:tc>
        <w:tc>
          <w:tcPr>
            <w:tcW w:w="982" w:type="dxa"/>
            <w:tcBorders>
              <w:top w:val="single" w:sz="2" w:space="0" w:color="000000"/>
              <w:bottom w:val="single" w:sz="2" w:space="0" w:color="000000"/>
            </w:tcBorders>
          </w:tcPr>
          <w:p w14:paraId="52A7C821" w14:textId="77777777" w:rsidR="00084F36" w:rsidRPr="00EB2BD8" w:rsidRDefault="00EB2BD8">
            <w:pPr>
              <w:pStyle w:val="TableParagraph"/>
              <w:spacing w:before="116"/>
              <w:ind w:right="441"/>
              <w:jc w:val="right"/>
              <w:rPr>
                <w:sz w:val="16"/>
              </w:rPr>
            </w:pPr>
            <w:r w:rsidRPr="00EB2BD8">
              <w:rPr>
                <w:spacing w:val="-4"/>
                <w:w w:val="95"/>
                <w:sz w:val="16"/>
              </w:rPr>
              <w:t>70.2</w:t>
            </w:r>
          </w:p>
        </w:tc>
        <w:tc>
          <w:tcPr>
            <w:tcW w:w="1178" w:type="dxa"/>
            <w:tcBorders>
              <w:top w:val="single" w:sz="2" w:space="0" w:color="000000"/>
              <w:bottom w:val="single" w:sz="2" w:space="0" w:color="000000"/>
            </w:tcBorders>
          </w:tcPr>
          <w:p w14:paraId="09B57375" w14:textId="77777777" w:rsidR="00084F36" w:rsidRPr="00EB2BD8" w:rsidRDefault="00EB2BD8">
            <w:pPr>
              <w:pStyle w:val="TableParagraph"/>
              <w:spacing w:before="116"/>
              <w:ind w:right="486"/>
              <w:jc w:val="right"/>
              <w:rPr>
                <w:sz w:val="16"/>
              </w:rPr>
            </w:pPr>
            <w:r w:rsidRPr="00EB2BD8">
              <w:rPr>
                <w:spacing w:val="-5"/>
                <w:w w:val="85"/>
                <w:sz w:val="16"/>
              </w:rPr>
              <w:t>61</w:t>
            </w:r>
          </w:p>
        </w:tc>
        <w:tc>
          <w:tcPr>
            <w:tcW w:w="801" w:type="dxa"/>
            <w:tcBorders>
              <w:top w:val="single" w:sz="2" w:space="0" w:color="000000"/>
              <w:bottom w:val="single" w:sz="2" w:space="0" w:color="000000"/>
            </w:tcBorders>
          </w:tcPr>
          <w:p w14:paraId="111AFE56" w14:textId="77777777" w:rsidR="00084F36" w:rsidRPr="00EB2BD8" w:rsidRDefault="00EB2BD8">
            <w:pPr>
              <w:pStyle w:val="TableParagraph"/>
              <w:spacing w:before="116"/>
              <w:ind w:right="151"/>
              <w:jc w:val="right"/>
              <w:rPr>
                <w:sz w:val="16"/>
              </w:rPr>
            </w:pPr>
            <w:r w:rsidRPr="00EB2BD8">
              <w:rPr>
                <w:w w:val="88"/>
                <w:sz w:val="16"/>
              </w:rPr>
              <w:t>5</w:t>
            </w:r>
          </w:p>
        </w:tc>
        <w:tc>
          <w:tcPr>
            <w:tcW w:w="998" w:type="dxa"/>
            <w:tcBorders>
              <w:top w:val="single" w:sz="2" w:space="0" w:color="000000"/>
              <w:bottom w:val="single" w:sz="2" w:space="0" w:color="000000"/>
            </w:tcBorders>
          </w:tcPr>
          <w:p w14:paraId="539BF0DF" w14:textId="77777777" w:rsidR="00084F36" w:rsidRPr="00EB2BD8" w:rsidRDefault="00EB2BD8">
            <w:pPr>
              <w:pStyle w:val="TableParagraph"/>
              <w:spacing w:before="116"/>
              <w:ind w:right="469"/>
              <w:jc w:val="right"/>
              <w:rPr>
                <w:sz w:val="16"/>
              </w:rPr>
            </w:pPr>
            <w:r w:rsidRPr="00EB2BD8">
              <w:rPr>
                <w:spacing w:val="-4"/>
                <w:w w:val="95"/>
                <w:sz w:val="16"/>
              </w:rPr>
              <w:t>64.2</w:t>
            </w:r>
          </w:p>
        </w:tc>
        <w:tc>
          <w:tcPr>
            <w:tcW w:w="879" w:type="dxa"/>
            <w:tcBorders>
              <w:top w:val="single" w:sz="2" w:space="0" w:color="000000"/>
              <w:bottom w:val="single" w:sz="2" w:space="0" w:color="000000"/>
            </w:tcBorders>
          </w:tcPr>
          <w:p w14:paraId="20748DBB" w14:textId="77777777" w:rsidR="00084F36" w:rsidRPr="00EB2BD8" w:rsidRDefault="00EB2BD8">
            <w:pPr>
              <w:pStyle w:val="TableParagraph"/>
              <w:spacing w:before="116"/>
              <w:ind w:right="214"/>
              <w:jc w:val="right"/>
              <w:rPr>
                <w:sz w:val="16"/>
              </w:rPr>
            </w:pPr>
            <w:r w:rsidRPr="00EB2BD8">
              <w:rPr>
                <w:w w:val="96"/>
                <w:sz w:val="16"/>
              </w:rPr>
              <w:t>6</w:t>
            </w:r>
          </w:p>
        </w:tc>
        <w:tc>
          <w:tcPr>
            <w:tcW w:w="636" w:type="dxa"/>
            <w:tcBorders>
              <w:top w:val="single" w:sz="2" w:space="0" w:color="000000"/>
              <w:bottom w:val="single" w:sz="2" w:space="0" w:color="000000"/>
            </w:tcBorders>
          </w:tcPr>
          <w:p w14:paraId="326DF5EF" w14:textId="77777777" w:rsidR="00084F36" w:rsidRPr="00EB2BD8" w:rsidRDefault="00EB2BD8">
            <w:pPr>
              <w:pStyle w:val="TableParagraph"/>
              <w:spacing w:before="116"/>
              <w:ind w:right="113"/>
              <w:jc w:val="right"/>
              <w:rPr>
                <w:sz w:val="16"/>
              </w:rPr>
            </w:pPr>
            <w:r w:rsidRPr="00EB2BD8">
              <w:rPr>
                <w:w w:val="96"/>
                <w:sz w:val="16"/>
              </w:rPr>
              <w:t>6</w:t>
            </w:r>
          </w:p>
        </w:tc>
      </w:tr>
      <w:tr w:rsidR="00EB2BD8" w:rsidRPr="00EB2BD8" w14:paraId="7769F3AF" w14:textId="77777777">
        <w:trPr>
          <w:trHeight w:val="381"/>
        </w:trPr>
        <w:tc>
          <w:tcPr>
            <w:tcW w:w="421" w:type="dxa"/>
            <w:vMerge/>
            <w:tcBorders>
              <w:top w:val="nil"/>
              <w:bottom w:val="single" w:sz="2" w:space="0" w:color="000000"/>
            </w:tcBorders>
            <w:shd w:val="clear" w:color="auto" w:fill="4CB7FF"/>
            <w:textDirection w:val="btLr"/>
          </w:tcPr>
          <w:p w14:paraId="4263D72D" w14:textId="77777777" w:rsidR="00084F36" w:rsidRPr="00EB2BD8" w:rsidRDefault="00084F36">
            <w:pPr>
              <w:rPr>
                <w:sz w:val="2"/>
                <w:szCs w:val="2"/>
              </w:rPr>
            </w:pPr>
          </w:p>
        </w:tc>
        <w:tc>
          <w:tcPr>
            <w:tcW w:w="3277" w:type="dxa"/>
            <w:tcBorders>
              <w:top w:val="single" w:sz="2" w:space="0" w:color="000000"/>
              <w:bottom w:val="single" w:sz="2" w:space="0" w:color="000000"/>
            </w:tcBorders>
          </w:tcPr>
          <w:p w14:paraId="0B42B92F" w14:textId="77777777" w:rsidR="00084F36" w:rsidRPr="00EB2BD8" w:rsidRDefault="00EB2BD8">
            <w:pPr>
              <w:pStyle w:val="TableParagraph"/>
              <w:spacing w:before="116"/>
              <w:ind w:left="113"/>
              <w:rPr>
                <w:sz w:val="16"/>
              </w:rPr>
            </w:pPr>
            <w:r w:rsidRPr="00EB2BD8">
              <w:rPr>
                <w:w w:val="105"/>
                <w:sz w:val="16"/>
              </w:rPr>
              <w:t xml:space="preserve">VPS </w:t>
            </w:r>
            <w:r w:rsidRPr="00EB2BD8">
              <w:rPr>
                <w:spacing w:val="-10"/>
                <w:w w:val="105"/>
                <w:sz w:val="16"/>
              </w:rPr>
              <w:t>5</w:t>
            </w:r>
          </w:p>
        </w:tc>
        <w:tc>
          <w:tcPr>
            <w:tcW w:w="1002" w:type="dxa"/>
            <w:tcBorders>
              <w:top w:val="single" w:sz="2" w:space="0" w:color="000000"/>
              <w:bottom w:val="single" w:sz="2" w:space="0" w:color="000000"/>
            </w:tcBorders>
          </w:tcPr>
          <w:p w14:paraId="19C6FFC4" w14:textId="77777777" w:rsidR="00084F36" w:rsidRPr="00EB2BD8" w:rsidRDefault="00EB2BD8">
            <w:pPr>
              <w:pStyle w:val="TableParagraph"/>
              <w:spacing w:before="116"/>
              <w:ind w:right="139"/>
              <w:jc w:val="right"/>
              <w:rPr>
                <w:sz w:val="16"/>
              </w:rPr>
            </w:pPr>
            <w:r w:rsidRPr="00EB2BD8">
              <w:rPr>
                <w:spacing w:val="-5"/>
                <w:w w:val="90"/>
                <w:sz w:val="16"/>
              </w:rPr>
              <w:t>170</w:t>
            </w:r>
          </w:p>
        </w:tc>
        <w:tc>
          <w:tcPr>
            <w:tcW w:w="982" w:type="dxa"/>
            <w:tcBorders>
              <w:top w:val="single" w:sz="2" w:space="0" w:color="000000"/>
              <w:bottom w:val="single" w:sz="2" w:space="0" w:color="000000"/>
            </w:tcBorders>
          </w:tcPr>
          <w:p w14:paraId="024EC4D2" w14:textId="77777777" w:rsidR="00084F36" w:rsidRPr="00EB2BD8" w:rsidRDefault="00EB2BD8">
            <w:pPr>
              <w:pStyle w:val="TableParagraph"/>
              <w:spacing w:before="116"/>
              <w:ind w:right="441"/>
              <w:jc w:val="right"/>
              <w:rPr>
                <w:sz w:val="16"/>
              </w:rPr>
            </w:pPr>
            <w:r w:rsidRPr="00EB2BD8">
              <w:rPr>
                <w:spacing w:val="-4"/>
                <w:w w:val="90"/>
                <w:sz w:val="16"/>
              </w:rPr>
              <w:t>167.4</w:t>
            </w:r>
          </w:p>
        </w:tc>
        <w:tc>
          <w:tcPr>
            <w:tcW w:w="1178" w:type="dxa"/>
            <w:tcBorders>
              <w:top w:val="single" w:sz="2" w:space="0" w:color="000000"/>
              <w:bottom w:val="single" w:sz="2" w:space="0" w:color="000000"/>
            </w:tcBorders>
          </w:tcPr>
          <w:p w14:paraId="22E14BC3" w14:textId="77777777" w:rsidR="00084F36" w:rsidRPr="00EB2BD8" w:rsidRDefault="00EB2BD8">
            <w:pPr>
              <w:pStyle w:val="TableParagraph"/>
              <w:spacing w:before="116"/>
              <w:ind w:right="485"/>
              <w:jc w:val="right"/>
              <w:rPr>
                <w:sz w:val="16"/>
              </w:rPr>
            </w:pPr>
            <w:r w:rsidRPr="00EB2BD8">
              <w:rPr>
                <w:spacing w:val="-5"/>
                <w:w w:val="85"/>
                <w:sz w:val="16"/>
              </w:rPr>
              <w:t>152</w:t>
            </w:r>
          </w:p>
        </w:tc>
        <w:tc>
          <w:tcPr>
            <w:tcW w:w="801" w:type="dxa"/>
            <w:tcBorders>
              <w:top w:val="single" w:sz="2" w:space="0" w:color="000000"/>
              <w:bottom w:val="single" w:sz="2" w:space="0" w:color="000000"/>
            </w:tcBorders>
          </w:tcPr>
          <w:p w14:paraId="38243668" w14:textId="77777777" w:rsidR="00084F36" w:rsidRPr="00EB2BD8" w:rsidRDefault="00EB2BD8">
            <w:pPr>
              <w:pStyle w:val="TableParagraph"/>
              <w:spacing w:before="116"/>
              <w:ind w:right="151"/>
              <w:jc w:val="right"/>
              <w:rPr>
                <w:sz w:val="16"/>
              </w:rPr>
            </w:pPr>
            <w:r w:rsidRPr="00EB2BD8">
              <w:rPr>
                <w:w w:val="96"/>
                <w:sz w:val="16"/>
              </w:rPr>
              <w:t>6</w:t>
            </w:r>
          </w:p>
        </w:tc>
        <w:tc>
          <w:tcPr>
            <w:tcW w:w="998" w:type="dxa"/>
            <w:tcBorders>
              <w:top w:val="single" w:sz="2" w:space="0" w:color="000000"/>
              <w:bottom w:val="single" w:sz="2" w:space="0" w:color="000000"/>
            </w:tcBorders>
          </w:tcPr>
          <w:p w14:paraId="604817F5" w14:textId="77777777" w:rsidR="00084F36" w:rsidRPr="00EB2BD8" w:rsidRDefault="00EB2BD8">
            <w:pPr>
              <w:pStyle w:val="TableParagraph"/>
              <w:spacing w:before="116"/>
              <w:ind w:right="468"/>
              <w:jc w:val="right"/>
              <w:rPr>
                <w:sz w:val="16"/>
              </w:rPr>
            </w:pPr>
            <w:r w:rsidRPr="00EB2BD8">
              <w:rPr>
                <w:spacing w:val="-4"/>
                <w:w w:val="85"/>
                <w:sz w:val="16"/>
              </w:rPr>
              <w:t>155.7</w:t>
            </w:r>
          </w:p>
        </w:tc>
        <w:tc>
          <w:tcPr>
            <w:tcW w:w="879" w:type="dxa"/>
            <w:tcBorders>
              <w:top w:val="single" w:sz="2" w:space="0" w:color="000000"/>
              <w:bottom w:val="single" w:sz="2" w:space="0" w:color="000000"/>
            </w:tcBorders>
          </w:tcPr>
          <w:p w14:paraId="48CC0C96" w14:textId="77777777" w:rsidR="00084F36" w:rsidRPr="00EB2BD8" w:rsidRDefault="00EB2BD8">
            <w:pPr>
              <w:pStyle w:val="TableParagraph"/>
              <w:spacing w:before="116"/>
              <w:ind w:right="215"/>
              <w:jc w:val="right"/>
              <w:rPr>
                <w:sz w:val="16"/>
              </w:rPr>
            </w:pPr>
            <w:r w:rsidRPr="00EB2BD8">
              <w:rPr>
                <w:spacing w:val="-5"/>
                <w:w w:val="75"/>
                <w:sz w:val="16"/>
              </w:rPr>
              <w:t>12</w:t>
            </w:r>
          </w:p>
        </w:tc>
        <w:tc>
          <w:tcPr>
            <w:tcW w:w="636" w:type="dxa"/>
            <w:tcBorders>
              <w:top w:val="single" w:sz="2" w:space="0" w:color="000000"/>
              <w:bottom w:val="single" w:sz="2" w:space="0" w:color="000000"/>
            </w:tcBorders>
          </w:tcPr>
          <w:p w14:paraId="570BB6A0" w14:textId="77777777" w:rsidR="00084F36" w:rsidRPr="00EB2BD8" w:rsidRDefault="00EB2BD8">
            <w:pPr>
              <w:pStyle w:val="TableParagraph"/>
              <w:spacing w:before="116"/>
              <w:ind w:right="113"/>
              <w:jc w:val="right"/>
              <w:rPr>
                <w:sz w:val="16"/>
              </w:rPr>
            </w:pPr>
            <w:r w:rsidRPr="00EB2BD8">
              <w:rPr>
                <w:spacing w:val="-4"/>
                <w:w w:val="70"/>
                <w:sz w:val="16"/>
              </w:rPr>
              <w:t>11.7</w:t>
            </w:r>
          </w:p>
        </w:tc>
      </w:tr>
      <w:tr w:rsidR="00EB2BD8" w:rsidRPr="00EB2BD8" w14:paraId="4166E316" w14:textId="77777777">
        <w:trPr>
          <w:trHeight w:val="381"/>
        </w:trPr>
        <w:tc>
          <w:tcPr>
            <w:tcW w:w="421" w:type="dxa"/>
            <w:vMerge/>
            <w:tcBorders>
              <w:top w:val="nil"/>
              <w:bottom w:val="single" w:sz="2" w:space="0" w:color="000000"/>
            </w:tcBorders>
            <w:shd w:val="clear" w:color="auto" w:fill="4CB7FF"/>
            <w:textDirection w:val="btLr"/>
          </w:tcPr>
          <w:p w14:paraId="36B67F6E" w14:textId="77777777" w:rsidR="00084F36" w:rsidRPr="00EB2BD8" w:rsidRDefault="00084F36">
            <w:pPr>
              <w:rPr>
                <w:sz w:val="2"/>
                <w:szCs w:val="2"/>
              </w:rPr>
            </w:pPr>
          </w:p>
        </w:tc>
        <w:tc>
          <w:tcPr>
            <w:tcW w:w="3277" w:type="dxa"/>
            <w:tcBorders>
              <w:top w:val="single" w:sz="2" w:space="0" w:color="000000"/>
              <w:bottom w:val="single" w:sz="2" w:space="0" w:color="000000"/>
            </w:tcBorders>
          </w:tcPr>
          <w:p w14:paraId="1243665F" w14:textId="77777777" w:rsidR="00084F36" w:rsidRPr="00EB2BD8" w:rsidRDefault="00EB2BD8">
            <w:pPr>
              <w:pStyle w:val="TableParagraph"/>
              <w:spacing w:before="116"/>
              <w:ind w:left="113"/>
              <w:rPr>
                <w:sz w:val="16"/>
              </w:rPr>
            </w:pPr>
            <w:r w:rsidRPr="00EB2BD8">
              <w:rPr>
                <w:w w:val="110"/>
                <w:sz w:val="16"/>
              </w:rPr>
              <w:t>VPS</w:t>
            </w:r>
            <w:r w:rsidRPr="00EB2BD8">
              <w:rPr>
                <w:spacing w:val="-17"/>
                <w:w w:val="110"/>
                <w:sz w:val="16"/>
              </w:rPr>
              <w:t xml:space="preserve"> </w:t>
            </w:r>
            <w:r w:rsidRPr="00EB2BD8">
              <w:rPr>
                <w:spacing w:val="-10"/>
                <w:w w:val="110"/>
                <w:sz w:val="16"/>
              </w:rPr>
              <w:t>6</w:t>
            </w:r>
          </w:p>
        </w:tc>
        <w:tc>
          <w:tcPr>
            <w:tcW w:w="1002" w:type="dxa"/>
            <w:tcBorders>
              <w:top w:val="single" w:sz="2" w:space="0" w:color="000000"/>
              <w:bottom w:val="single" w:sz="2" w:space="0" w:color="000000"/>
            </w:tcBorders>
          </w:tcPr>
          <w:p w14:paraId="3EBB01F6" w14:textId="77777777" w:rsidR="00084F36" w:rsidRPr="00EB2BD8" w:rsidRDefault="00EB2BD8">
            <w:pPr>
              <w:pStyle w:val="TableParagraph"/>
              <w:spacing w:before="116"/>
              <w:ind w:right="139"/>
              <w:jc w:val="right"/>
              <w:rPr>
                <w:sz w:val="16"/>
              </w:rPr>
            </w:pPr>
            <w:r w:rsidRPr="00EB2BD8">
              <w:rPr>
                <w:spacing w:val="-5"/>
                <w:sz w:val="16"/>
              </w:rPr>
              <w:t>68</w:t>
            </w:r>
          </w:p>
        </w:tc>
        <w:tc>
          <w:tcPr>
            <w:tcW w:w="982" w:type="dxa"/>
            <w:tcBorders>
              <w:top w:val="single" w:sz="2" w:space="0" w:color="000000"/>
              <w:bottom w:val="single" w:sz="2" w:space="0" w:color="000000"/>
            </w:tcBorders>
          </w:tcPr>
          <w:p w14:paraId="2746FDBB" w14:textId="77777777" w:rsidR="00084F36" w:rsidRPr="00EB2BD8" w:rsidRDefault="00EB2BD8">
            <w:pPr>
              <w:pStyle w:val="TableParagraph"/>
              <w:spacing w:before="116"/>
              <w:ind w:right="440"/>
              <w:jc w:val="right"/>
              <w:rPr>
                <w:sz w:val="16"/>
              </w:rPr>
            </w:pPr>
            <w:r w:rsidRPr="00EB2BD8">
              <w:rPr>
                <w:spacing w:val="-4"/>
                <w:sz w:val="16"/>
              </w:rPr>
              <w:t>66.9</w:t>
            </w:r>
          </w:p>
        </w:tc>
        <w:tc>
          <w:tcPr>
            <w:tcW w:w="1178" w:type="dxa"/>
            <w:tcBorders>
              <w:top w:val="single" w:sz="2" w:space="0" w:color="000000"/>
              <w:bottom w:val="single" w:sz="2" w:space="0" w:color="000000"/>
            </w:tcBorders>
          </w:tcPr>
          <w:p w14:paraId="6980ADB9" w14:textId="77777777" w:rsidR="00084F36" w:rsidRPr="00EB2BD8" w:rsidRDefault="00EB2BD8">
            <w:pPr>
              <w:pStyle w:val="TableParagraph"/>
              <w:spacing w:before="116"/>
              <w:ind w:right="485"/>
              <w:jc w:val="right"/>
              <w:rPr>
                <w:sz w:val="16"/>
              </w:rPr>
            </w:pPr>
            <w:r w:rsidRPr="00EB2BD8">
              <w:rPr>
                <w:spacing w:val="-5"/>
                <w:sz w:val="16"/>
              </w:rPr>
              <w:t>54</w:t>
            </w:r>
          </w:p>
        </w:tc>
        <w:tc>
          <w:tcPr>
            <w:tcW w:w="801" w:type="dxa"/>
            <w:tcBorders>
              <w:top w:val="single" w:sz="2" w:space="0" w:color="000000"/>
              <w:bottom w:val="single" w:sz="2" w:space="0" w:color="000000"/>
            </w:tcBorders>
          </w:tcPr>
          <w:p w14:paraId="0895744B" w14:textId="77777777" w:rsidR="00084F36" w:rsidRPr="00EB2BD8" w:rsidRDefault="00EB2BD8">
            <w:pPr>
              <w:pStyle w:val="TableParagraph"/>
              <w:spacing w:before="116"/>
              <w:ind w:right="151"/>
              <w:jc w:val="right"/>
              <w:rPr>
                <w:sz w:val="16"/>
              </w:rPr>
            </w:pPr>
            <w:r w:rsidRPr="00EB2BD8">
              <w:rPr>
                <w:w w:val="88"/>
                <w:sz w:val="16"/>
              </w:rPr>
              <w:t>5</w:t>
            </w:r>
          </w:p>
        </w:tc>
        <w:tc>
          <w:tcPr>
            <w:tcW w:w="998" w:type="dxa"/>
            <w:tcBorders>
              <w:top w:val="single" w:sz="2" w:space="0" w:color="000000"/>
              <w:bottom w:val="single" w:sz="2" w:space="0" w:color="000000"/>
            </w:tcBorders>
          </w:tcPr>
          <w:p w14:paraId="689B0BCE" w14:textId="77777777" w:rsidR="00084F36" w:rsidRPr="00EB2BD8" w:rsidRDefault="00EB2BD8">
            <w:pPr>
              <w:pStyle w:val="TableParagraph"/>
              <w:spacing w:before="116"/>
              <w:ind w:right="468"/>
              <w:jc w:val="right"/>
              <w:rPr>
                <w:sz w:val="16"/>
              </w:rPr>
            </w:pPr>
            <w:r w:rsidRPr="00EB2BD8">
              <w:rPr>
                <w:spacing w:val="-4"/>
                <w:w w:val="90"/>
                <w:sz w:val="16"/>
              </w:rPr>
              <w:t>57.9</w:t>
            </w:r>
          </w:p>
        </w:tc>
        <w:tc>
          <w:tcPr>
            <w:tcW w:w="879" w:type="dxa"/>
            <w:tcBorders>
              <w:top w:val="single" w:sz="2" w:space="0" w:color="000000"/>
              <w:bottom w:val="single" w:sz="2" w:space="0" w:color="000000"/>
            </w:tcBorders>
          </w:tcPr>
          <w:p w14:paraId="1F20BE45" w14:textId="77777777" w:rsidR="00084F36" w:rsidRPr="00EB2BD8" w:rsidRDefault="00EB2BD8">
            <w:pPr>
              <w:pStyle w:val="TableParagraph"/>
              <w:spacing w:before="116"/>
              <w:ind w:right="214"/>
              <w:jc w:val="right"/>
              <w:rPr>
                <w:sz w:val="16"/>
              </w:rPr>
            </w:pPr>
            <w:r w:rsidRPr="00EB2BD8">
              <w:rPr>
                <w:w w:val="96"/>
                <w:sz w:val="16"/>
              </w:rPr>
              <w:t>9</w:t>
            </w:r>
          </w:p>
        </w:tc>
        <w:tc>
          <w:tcPr>
            <w:tcW w:w="636" w:type="dxa"/>
            <w:tcBorders>
              <w:top w:val="single" w:sz="2" w:space="0" w:color="000000"/>
              <w:bottom w:val="single" w:sz="2" w:space="0" w:color="000000"/>
            </w:tcBorders>
          </w:tcPr>
          <w:p w14:paraId="46302E24" w14:textId="77777777" w:rsidR="00084F36" w:rsidRPr="00EB2BD8" w:rsidRDefault="00EB2BD8">
            <w:pPr>
              <w:pStyle w:val="TableParagraph"/>
              <w:spacing w:before="116"/>
              <w:ind w:right="113"/>
              <w:jc w:val="right"/>
              <w:rPr>
                <w:sz w:val="16"/>
              </w:rPr>
            </w:pPr>
            <w:r w:rsidRPr="00EB2BD8">
              <w:rPr>
                <w:w w:val="96"/>
                <w:sz w:val="16"/>
              </w:rPr>
              <w:t>9</w:t>
            </w:r>
          </w:p>
        </w:tc>
      </w:tr>
      <w:tr w:rsidR="00EB2BD8" w:rsidRPr="00EB2BD8" w14:paraId="5D460BEE" w14:textId="77777777">
        <w:trPr>
          <w:trHeight w:val="364"/>
        </w:trPr>
        <w:tc>
          <w:tcPr>
            <w:tcW w:w="421" w:type="dxa"/>
            <w:vMerge/>
            <w:tcBorders>
              <w:top w:val="nil"/>
              <w:bottom w:val="single" w:sz="2" w:space="0" w:color="000000"/>
            </w:tcBorders>
            <w:shd w:val="clear" w:color="auto" w:fill="4CB7FF"/>
            <w:textDirection w:val="btLr"/>
          </w:tcPr>
          <w:p w14:paraId="23228BD3" w14:textId="77777777" w:rsidR="00084F36" w:rsidRPr="00EB2BD8" w:rsidRDefault="00084F36">
            <w:pPr>
              <w:rPr>
                <w:sz w:val="2"/>
                <w:szCs w:val="2"/>
              </w:rPr>
            </w:pPr>
          </w:p>
        </w:tc>
        <w:tc>
          <w:tcPr>
            <w:tcW w:w="9753" w:type="dxa"/>
            <w:gridSpan w:val="8"/>
            <w:tcBorders>
              <w:top w:val="single" w:sz="2" w:space="0" w:color="000000"/>
            </w:tcBorders>
            <w:shd w:val="clear" w:color="auto" w:fill="E5F5FF"/>
          </w:tcPr>
          <w:p w14:paraId="7F5AE667" w14:textId="77777777" w:rsidR="00084F36" w:rsidRPr="00EB2BD8" w:rsidRDefault="00EB2BD8">
            <w:pPr>
              <w:pStyle w:val="TableParagraph"/>
              <w:spacing w:before="82"/>
              <w:ind w:left="80"/>
              <w:rPr>
                <w:sz w:val="16"/>
              </w:rPr>
            </w:pPr>
            <w:r w:rsidRPr="00EB2BD8">
              <w:rPr>
                <w:sz w:val="16"/>
              </w:rPr>
              <w:t>Senior</w:t>
            </w:r>
            <w:r w:rsidRPr="00EB2BD8">
              <w:rPr>
                <w:spacing w:val="-5"/>
                <w:sz w:val="16"/>
              </w:rPr>
              <w:t xml:space="preserve"> </w:t>
            </w:r>
            <w:r w:rsidRPr="00EB2BD8">
              <w:rPr>
                <w:spacing w:val="-2"/>
                <w:sz w:val="16"/>
              </w:rPr>
              <w:t>employees</w:t>
            </w:r>
          </w:p>
        </w:tc>
      </w:tr>
      <w:tr w:rsidR="00EB2BD8" w:rsidRPr="00EB2BD8" w14:paraId="5E9057E0" w14:textId="77777777">
        <w:trPr>
          <w:trHeight w:val="381"/>
        </w:trPr>
        <w:tc>
          <w:tcPr>
            <w:tcW w:w="421" w:type="dxa"/>
            <w:vMerge/>
            <w:tcBorders>
              <w:top w:val="nil"/>
              <w:bottom w:val="single" w:sz="2" w:space="0" w:color="000000"/>
            </w:tcBorders>
            <w:shd w:val="clear" w:color="auto" w:fill="4CB7FF"/>
            <w:textDirection w:val="btLr"/>
          </w:tcPr>
          <w:p w14:paraId="634495E1" w14:textId="77777777" w:rsidR="00084F36" w:rsidRPr="00EB2BD8" w:rsidRDefault="00084F36">
            <w:pPr>
              <w:rPr>
                <w:sz w:val="2"/>
                <w:szCs w:val="2"/>
              </w:rPr>
            </w:pPr>
          </w:p>
        </w:tc>
        <w:tc>
          <w:tcPr>
            <w:tcW w:w="3277" w:type="dxa"/>
            <w:tcBorders>
              <w:bottom w:val="single" w:sz="2" w:space="0" w:color="000000"/>
            </w:tcBorders>
          </w:tcPr>
          <w:p w14:paraId="5936D292" w14:textId="77777777" w:rsidR="00084F36" w:rsidRPr="00EB2BD8" w:rsidRDefault="00EB2BD8">
            <w:pPr>
              <w:pStyle w:val="TableParagraph"/>
              <w:spacing w:before="116"/>
              <w:ind w:left="113"/>
              <w:rPr>
                <w:sz w:val="16"/>
              </w:rPr>
            </w:pPr>
            <w:r w:rsidRPr="00EB2BD8">
              <w:rPr>
                <w:sz w:val="16"/>
              </w:rPr>
              <w:t>Senior</w:t>
            </w:r>
            <w:r w:rsidRPr="00EB2BD8">
              <w:rPr>
                <w:spacing w:val="-6"/>
                <w:sz w:val="16"/>
              </w:rPr>
              <w:t xml:space="preserve"> </w:t>
            </w:r>
            <w:r w:rsidRPr="00EB2BD8">
              <w:rPr>
                <w:sz w:val="16"/>
              </w:rPr>
              <w:t>Technical</w:t>
            </w:r>
            <w:r w:rsidRPr="00EB2BD8">
              <w:rPr>
                <w:spacing w:val="-5"/>
                <w:sz w:val="16"/>
              </w:rPr>
              <w:t xml:space="preserve"> </w:t>
            </w:r>
            <w:r w:rsidRPr="00EB2BD8">
              <w:rPr>
                <w:sz w:val="16"/>
              </w:rPr>
              <w:t>Specialists</w:t>
            </w:r>
            <w:r w:rsidRPr="00EB2BD8">
              <w:rPr>
                <w:spacing w:val="-5"/>
                <w:sz w:val="16"/>
              </w:rPr>
              <w:t xml:space="preserve"> </w:t>
            </w:r>
            <w:r w:rsidRPr="00EB2BD8">
              <w:rPr>
                <w:spacing w:val="-4"/>
                <w:sz w:val="16"/>
              </w:rPr>
              <w:t>(STS)</w:t>
            </w:r>
          </w:p>
        </w:tc>
        <w:tc>
          <w:tcPr>
            <w:tcW w:w="1002" w:type="dxa"/>
            <w:tcBorders>
              <w:bottom w:val="single" w:sz="2" w:space="0" w:color="000000"/>
            </w:tcBorders>
          </w:tcPr>
          <w:p w14:paraId="27391238" w14:textId="77777777" w:rsidR="00084F36" w:rsidRPr="00EB2BD8" w:rsidRDefault="00EB2BD8">
            <w:pPr>
              <w:pStyle w:val="TableParagraph"/>
              <w:spacing w:before="116"/>
              <w:ind w:right="139"/>
              <w:jc w:val="right"/>
              <w:rPr>
                <w:sz w:val="16"/>
              </w:rPr>
            </w:pPr>
            <w:r w:rsidRPr="00EB2BD8">
              <w:rPr>
                <w:spacing w:val="-5"/>
                <w:w w:val="90"/>
                <w:sz w:val="16"/>
              </w:rPr>
              <w:t>27</w:t>
            </w:r>
          </w:p>
        </w:tc>
        <w:tc>
          <w:tcPr>
            <w:tcW w:w="982" w:type="dxa"/>
            <w:tcBorders>
              <w:bottom w:val="single" w:sz="2" w:space="0" w:color="000000"/>
            </w:tcBorders>
          </w:tcPr>
          <w:p w14:paraId="537CA664" w14:textId="77777777" w:rsidR="00084F36" w:rsidRPr="00EB2BD8" w:rsidRDefault="00EB2BD8">
            <w:pPr>
              <w:pStyle w:val="TableParagraph"/>
              <w:spacing w:before="116"/>
              <w:ind w:right="440"/>
              <w:jc w:val="right"/>
              <w:rPr>
                <w:sz w:val="16"/>
              </w:rPr>
            </w:pPr>
            <w:r w:rsidRPr="00EB2BD8">
              <w:rPr>
                <w:spacing w:val="-5"/>
                <w:w w:val="90"/>
                <w:sz w:val="16"/>
              </w:rPr>
              <w:t>27</w:t>
            </w:r>
          </w:p>
        </w:tc>
        <w:tc>
          <w:tcPr>
            <w:tcW w:w="1178" w:type="dxa"/>
            <w:tcBorders>
              <w:bottom w:val="single" w:sz="2" w:space="0" w:color="000000"/>
            </w:tcBorders>
          </w:tcPr>
          <w:p w14:paraId="70081F12" w14:textId="77777777" w:rsidR="00084F36" w:rsidRPr="00EB2BD8" w:rsidRDefault="00EB2BD8">
            <w:pPr>
              <w:pStyle w:val="TableParagraph"/>
              <w:spacing w:before="116"/>
              <w:ind w:right="485"/>
              <w:jc w:val="right"/>
              <w:rPr>
                <w:sz w:val="16"/>
              </w:rPr>
            </w:pPr>
            <w:r w:rsidRPr="00EB2BD8">
              <w:rPr>
                <w:spacing w:val="-5"/>
                <w:sz w:val="16"/>
              </w:rPr>
              <w:t>20</w:t>
            </w:r>
          </w:p>
        </w:tc>
        <w:tc>
          <w:tcPr>
            <w:tcW w:w="801" w:type="dxa"/>
            <w:tcBorders>
              <w:bottom w:val="single" w:sz="2" w:space="0" w:color="000000"/>
            </w:tcBorders>
          </w:tcPr>
          <w:p w14:paraId="029CE017" w14:textId="77777777" w:rsidR="00084F36" w:rsidRPr="00EB2BD8" w:rsidRDefault="00EB2BD8">
            <w:pPr>
              <w:pStyle w:val="TableParagraph"/>
              <w:spacing w:before="116"/>
              <w:ind w:right="151"/>
              <w:jc w:val="right"/>
              <w:rPr>
                <w:sz w:val="16"/>
              </w:rPr>
            </w:pPr>
            <w:r w:rsidRPr="00EB2BD8">
              <w:rPr>
                <w:w w:val="105"/>
                <w:sz w:val="16"/>
              </w:rPr>
              <w:t>0</w:t>
            </w:r>
          </w:p>
        </w:tc>
        <w:tc>
          <w:tcPr>
            <w:tcW w:w="998" w:type="dxa"/>
            <w:tcBorders>
              <w:bottom w:val="single" w:sz="2" w:space="0" w:color="000000"/>
            </w:tcBorders>
          </w:tcPr>
          <w:p w14:paraId="574D9138" w14:textId="77777777" w:rsidR="00084F36" w:rsidRPr="00EB2BD8" w:rsidRDefault="00EB2BD8">
            <w:pPr>
              <w:pStyle w:val="TableParagraph"/>
              <w:spacing w:before="116"/>
              <w:ind w:right="469"/>
              <w:jc w:val="right"/>
              <w:rPr>
                <w:sz w:val="16"/>
              </w:rPr>
            </w:pPr>
            <w:r w:rsidRPr="00EB2BD8">
              <w:rPr>
                <w:spacing w:val="-5"/>
                <w:sz w:val="16"/>
              </w:rPr>
              <w:t>20</w:t>
            </w:r>
          </w:p>
        </w:tc>
        <w:tc>
          <w:tcPr>
            <w:tcW w:w="879" w:type="dxa"/>
            <w:tcBorders>
              <w:bottom w:val="single" w:sz="2" w:space="0" w:color="000000"/>
            </w:tcBorders>
          </w:tcPr>
          <w:p w14:paraId="55C8FA65" w14:textId="77777777" w:rsidR="00084F36" w:rsidRPr="00EB2BD8" w:rsidRDefault="00EB2BD8">
            <w:pPr>
              <w:pStyle w:val="TableParagraph"/>
              <w:spacing w:before="116"/>
              <w:ind w:right="213"/>
              <w:jc w:val="right"/>
              <w:rPr>
                <w:sz w:val="16"/>
              </w:rPr>
            </w:pPr>
            <w:r w:rsidRPr="00EB2BD8">
              <w:rPr>
                <w:w w:val="77"/>
                <w:sz w:val="16"/>
              </w:rPr>
              <w:t>7</w:t>
            </w:r>
          </w:p>
        </w:tc>
        <w:tc>
          <w:tcPr>
            <w:tcW w:w="636" w:type="dxa"/>
            <w:tcBorders>
              <w:bottom w:val="single" w:sz="2" w:space="0" w:color="000000"/>
            </w:tcBorders>
          </w:tcPr>
          <w:p w14:paraId="1A3AD880" w14:textId="77777777" w:rsidR="00084F36" w:rsidRPr="00EB2BD8" w:rsidRDefault="00EB2BD8">
            <w:pPr>
              <w:pStyle w:val="TableParagraph"/>
              <w:spacing w:before="116"/>
              <w:ind w:right="112"/>
              <w:jc w:val="right"/>
              <w:rPr>
                <w:sz w:val="16"/>
              </w:rPr>
            </w:pPr>
            <w:r w:rsidRPr="00EB2BD8">
              <w:rPr>
                <w:w w:val="77"/>
                <w:sz w:val="16"/>
              </w:rPr>
              <w:t>7</w:t>
            </w:r>
          </w:p>
        </w:tc>
      </w:tr>
      <w:tr w:rsidR="00EB2BD8" w:rsidRPr="00EB2BD8" w14:paraId="4C79071C" w14:textId="77777777">
        <w:trPr>
          <w:trHeight w:val="381"/>
        </w:trPr>
        <w:tc>
          <w:tcPr>
            <w:tcW w:w="421" w:type="dxa"/>
            <w:vMerge/>
            <w:tcBorders>
              <w:top w:val="nil"/>
              <w:bottom w:val="single" w:sz="2" w:space="0" w:color="000000"/>
            </w:tcBorders>
            <w:shd w:val="clear" w:color="auto" w:fill="4CB7FF"/>
            <w:textDirection w:val="btLr"/>
          </w:tcPr>
          <w:p w14:paraId="6288211D" w14:textId="77777777" w:rsidR="00084F36" w:rsidRPr="00EB2BD8" w:rsidRDefault="00084F36">
            <w:pPr>
              <w:rPr>
                <w:sz w:val="2"/>
                <w:szCs w:val="2"/>
              </w:rPr>
            </w:pPr>
          </w:p>
        </w:tc>
        <w:tc>
          <w:tcPr>
            <w:tcW w:w="3277" w:type="dxa"/>
            <w:tcBorders>
              <w:top w:val="single" w:sz="2" w:space="0" w:color="000000"/>
              <w:bottom w:val="single" w:sz="2" w:space="0" w:color="000000"/>
            </w:tcBorders>
          </w:tcPr>
          <w:p w14:paraId="1B6B2F3A" w14:textId="77777777" w:rsidR="00084F36" w:rsidRPr="00EB2BD8" w:rsidRDefault="00EB2BD8">
            <w:pPr>
              <w:pStyle w:val="TableParagraph"/>
              <w:spacing w:before="116"/>
              <w:ind w:left="113"/>
              <w:rPr>
                <w:sz w:val="16"/>
              </w:rPr>
            </w:pPr>
            <w:r w:rsidRPr="00EB2BD8">
              <w:rPr>
                <w:spacing w:val="-2"/>
                <w:w w:val="105"/>
                <w:sz w:val="16"/>
              </w:rPr>
              <w:t>Executives</w:t>
            </w:r>
          </w:p>
        </w:tc>
        <w:tc>
          <w:tcPr>
            <w:tcW w:w="1002" w:type="dxa"/>
            <w:tcBorders>
              <w:top w:val="single" w:sz="2" w:space="0" w:color="000000"/>
              <w:bottom w:val="single" w:sz="2" w:space="0" w:color="000000"/>
            </w:tcBorders>
          </w:tcPr>
          <w:p w14:paraId="79FF87CD" w14:textId="77777777" w:rsidR="00084F36" w:rsidRPr="00EB2BD8" w:rsidRDefault="00EB2BD8">
            <w:pPr>
              <w:pStyle w:val="TableParagraph"/>
              <w:spacing w:before="116"/>
              <w:ind w:right="139"/>
              <w:jc w:val="right"/>
              <w:rPr>
                <w:sz w:val="16"/>
              </w:rPr>
            </w:pPr>
            <w:r w:rsidRPr="00EB2BD8">
              <w:rPr>
                <w:spacing w:val="-5"/>
                <w:w w:val="75"/>
                <w:sz w:val="16"/>
              </w:rPr>
              <w:t>17</w:t>
            </w:r>
          </w:p>
        </w:tc>
        <w:tc>
          <w:tcPr>
            <w:tcW w:w="982" w:type="dxa"/>
            <w:tcBorders>
              <w:top w:val="single" w:sz="2" w:space="0" w:color="000000"/>
              <w:bottom w:val="single" w:sz="2" w:space="0" w:color="000000"/>
            </w:tcBorders>
          </w:tcPr>
          <w:p w14:paraId="5B09CB77" w14:textId="77777777" w:rsidR="00084F36" w:rsidRPr="00EB2BD8" w:rsidRDefault="00EB2BD8">
            <w:pPr>
              <w:pStyle w:val="TableParagraph"/>
              <w:spacing w:before="116"/>
              <w:ind w:right="440"/>
              <w:jc w:val="right"/>
              <w:rPr>
                <w:sz w:val="16"/>
              </w:rPr>
            </w:pPr>
            <w:r w:rsidRPr="00EB2BD8">
              <w:rPr>
                <w:spacing w:val="-5"/>
                <w:w w:val="75"/>
                <w:sz w:val="16"/>
              </w:rPr>
              <w:t>17</w:t>
            </w:r>
          </w:p>
        </w:tc>
        <w:tc>
          <w:tcPr>
            <w:tcW w:w="1178" w:type="dxa"/>
            <w:tcBorders>
              <w:top w:val="single" w:sz="2" w:space="0" w:color="000000"/>
              <w:bottom w:val="single" w:sz="2" w:space="0" w:color="000000"/>
            </w:tcBorders>
          </w:tcPr>
          <w:p w14:paraId="21CF8826" w14:textId="77777777" w:rsidR="00084F36" w:rsidRPr="00EB2BD8" w:rsidRDefault="00EB2BD8">
            <w:pPr>
              <w:pStyle w:val="TableParagraph"/>
              <w:spacing w:before="116"/>
              <w:ind w:right="484"/>
              <w:jc w:val="right"/>
              <w:rPr>
                <w:sz w:val="16"/>
              </w:rPr>
            </w:pPr>
            <w:r w:rsidRPr="00EB2BD8">
              <w:rPr>
                <w:w w:val="105"/>
                <w:sz w:val="16"/>
              </w:rPr>
              <w:t>0</w:t>
            </w:r>
          </w:p>
        </w:tc>
        <w:tc>
          <w:tcPr>
            <w:tcW w:w="801" w:type="dxa"/>
            <w:tcBorders>
              <w:top w:val="single" w:sz="2" w:space="0" w:color="000000"/>
              <w:bottom w:val="single" w:sz="2" w:space="0" w:color="000000"/>
            </w:tcBorders>
          </w:tcPr>
          <w:p w14:paraId="31A6CD35" w14:textId="77777777" w:rsidR="00084F36" w:rsidRPr="00EB2BD8" w:rsidRDefault="00EB2BD8">
            <w:pPr>
              <w:pStyle w:val="TableParagraph"/>
              <w:spacing w:before="116"/>
              <w:ind w:right="151"/>
              <w:jc w:val="right"/>
              <w:rPr>
                <w:sz w:val="16"/>
              </w:rPr>
            </w:pPr>
            <w:r w:rsidRPr="00EB2BD8">
              <w:rPr>
                <w:w w:val="105"/>
                <w:sz w:val="16"/>
              </w:rPr>
              <w:t>0</w:t>
            </w:r>
          </w:p>
        </w:tc>
        <w:tc>
          <w:tcPr>
            <w:tcW w:w="998" w:type="dxa"/>
            <w:tcBorders>
              <w:top w:val="single" w:sz="2" w:space="0" w:color="000000"/>
              <w:bottom w:val="single" w:sz="2" w:space="0" w:color="000000"/>
            </w:tcBorders>
          </w:tcPr>
          <w:p w14:paraId="671B34F5" w14:textId="77777777" w:rsidR="00084F36" w:rsidRPr="00EB2BD8" w:rsidRDefault="00EB2BD8">
            <w:pPr>
              <w:pStyle w:val="TableParagraph"/>
              <w:spacing w:before="116"/>
              <w:ind w:right="468"/>
              <w:jc w:val="right"/>
              <w:rPr>
                <w:sz w:val="16"/>
              </w:rPr>
            </w:pPr>
            <w:r w:rsidRPr="00EB2BD8">
              <w:rPr>
                <w:w w:val="105"/>
                <w:sz w:val="16"/>
              </w:rPr>
              <w:t>0</w:t>
            </w:r>
          </w:p>
        </w:tc>
        <w:tc>
          <w:tcPr>
            <w:tcW w:w="879" w:type="dxa"/>
            <w:tcBorders>
              <w:top w:val="single" w:sz="2" w:space="0" w:color="000000"/>
              <w:bottom w:val="single" w:sz="2" w:space="0" w:color="000000"/>
            </w:tcBorders>
          </w:tcPr>
          <w:p w14:paraId="19CB7884" w14:textId="77777777" w:rsidR="00084F36" w:rsidRPr="00EB2BD8" w:rsidRDefault="00EB2BD8">
            <w:pPr>
              <w:pStyle w:val="TableParagraph"/>
              <w:spacing w:before="116"/>
              <w:ind w:right="214"/>
              <w:jc w:val="right"/>
              <w:rPr>
                <w:sz w:val="16"/>
              </w:rPr>
            </w:pPr>
            <w:r w:rsidRPr="00EB2BD8">
              <w:rPr>
                <w:spacing w:val="-5"/>
                <w:w w:val="75"/>
                <w:sz w:val="16"/>
              </w:rPr>
              <w:t>17</w:t>
            </w:r>
          </w:p>
        </w:tc>
        <w:tc>
          <w:tcPr>
            <w:tcW w:w="636" w:type="dxa"/>
            <w:tcBorders>
              <w:top w:val="single" w:sz="2" w:space="0" w:color="000000"/>
              <w:bottom w:val="single" w:sz="2" w:space="0" w:color="000000"/>
            </w:tcBorders>
          </w:tcPr>
          <w:p w14:paraId="2DDB2DCE" w14:textId="77777777" w:rsidR="00084F36" w:rsidRPr="00EB2BD8" w:rsidRDefault="00EB2BD8">
            <w:pPr>
              <w:pStyle w:val="TableParagraph"/>
              <w:spacing w:before="116"/>
              <w:ind w:right="113"/>
              <w:jc w:val="right"/>
              <w:rPr>
                <w:sz w:val="16"/>
              </w:rPr>
            </w:pPr>
            <w:r w:rsidRPr="00EB2BD8">
              <w:rPr>
                <w:spacing w:val="-5"/>
                <w:w w:val="75"/>
                <w:sz w:val="16"/>
              </w:rPr>
              <w:t>17</w:t>
            </w:r>
          </w:p>
        </w:tc>
      </w:tr>
    </w:tbl>
    <w:p w14:paraId="5A129DC1" w14:textId="0320E200" w:rsidR="00084F36" w:rsidRPr="00EB2BD8" w:rsidRDefault="00EB2BD8">
      <w:pPr>
        <w:tabs>
          <w:tab w:val="left" w:pos="5223"/>
          <w:tab w:val="left" w:pos="5736"/>
          <w:tab w:val="left" w:pos="7007"/>
          <w:tab w:val="left" w:pos="8231"/>
          <w:tab w:val="left" w:pos="8687"/>
          <w:tab w:val="left" w:pos="10034"/>
          <w:tab w:val="right" w:pos="10965"/>
        </w:tabs>
        <w:spacing w:before="127"/>
        <w:ind w:left="1328"/>
        <w:rPr>
          <w:rFonts w:ascii="Tahoma"/>
          <w:b/>
          <w:sz w:val="16"/>
        </w:rPr>
      </w:pPr>
      <w:r w:rsidRPr="00EB2BD8">
        <w:rPr>
          <w:rFonts w:ascii="Tahoma"/>
          <w:b/>
          <w:spacing w:val="-4"/>
          <w:sz w:val="16"/>
        </w:rPr>
        <w:t>Total</w:t>
      </w:r>
      <w:r w:rsidRPr="00EB2BD8">
        <w:rPr>
          <w:rFonts w:ascii="Tahoma"/>
          <w:b/>
          <w:spacing w:val="-5"/>
          <w:sz w:val="16"/>
        </w:rPr>
        <w:t xml:space="preserve"> </w:t>
      </w:r>
      <w:r w:rsidRPr="00EB2BD8">
        <w:rPr>
          <w:rFonts w:ascii="Tahoma"/>
          <w:b/>
          <w:spacing w:val="-2"/>
          <w:sz w:val="16"/>
        </w:rPr>
        <w:t>employees</w:t>
      </w:r>
      <w:r w:rsidRPr="00EB2BD8">
        <w:rPr>
          <w:rFonts w:ascii="Tahoma"/>
          <w:b/>
          <w:sz w:val="16"/>
        </w:rPr>
        <w:tab/>
      </w:r>
      <w:r w:rsidRPr="00EB2BD8">
        <w:rPr>
          <w:rFonts w:ascii="Tahoma"/>
          <w:b/>
          <w:spacing w:val="-5"/>
          <w:sz w:val="16"/>
        </w:rPr>
        <w:t>513</w:t>
      </w:r>
      <w:r w:rsidRPr="00EB2BD8">
        <w:rPr>
          <w:rFonts w:ascii="Tahoma"/>
          <w:b/>
          <w:sz w:val="16"/>
        </w:rPr>
        <w:tab/>
      </w:r>
      <w:r w:rsidRPr="00EB2BD8">
        <w:rPr>
          <w:rFonts w:ascii="Tahoma"/>
          <w:b/>
          <w:spacing w:val="-4"/>
          <w:sz w:val="16"/>
        </w:rPr>
        <w:t>502.2</w:t>
      </w:r>
      <w:r w:rsidRPr="00EB2BD8">
        <w:rPr>
          <w:rFonts w:ascii="Tahoma"/>
          <w:b/>
          <w:sz w:val="16"/>
        </w:rPr>
        <w:tab/>
      </w:r>
      <w:r w:rsidRPr="00EB2BD8">
        <w:rPr>
          <w:rFonts w:ascii="Tahoma"/>
          <w:b/>
          <w:spacing w:val="-5"/>
          <w:sz w:val="16"/>
        </w:rPr>
        <w:t>388</w:t>
      </w:r>
      <w:r w:rsidRPr="00EB2BD8">
        <w:rPr>
          <w:rFonts w:ascii="Tahoma"/>
          <w:b/>
          <w:sz w:val="16"/>
        </w:rPr>
        <w:tab/>
      </w:r>
      <w:r w:rsidRPr="00EB2BD8">
        <w:rPr>
          <w:rFonts w:ascii="Tahoma"/>
          <w:b/>
          <w:spacing w:val="-5"/>
          <w:sz w:val="16"/>
        </w:rPr>
        <w:t>29</w:t>
      </w:r>
      <w:r w:rsidRPr="00EB2BD8">
        <w:rPr>
          <w:rFonts w:ascii="Tahoma"/>
          <w:b/>
          <w:sz w:val="16"/>
        </w:rPr>
        <w:tab/>
      </w:r>
      <w:r w:rsidRPr="00EB2BD8">
        <w:rPr>
          <w:rFonts w:ascii="Tahoma"/>
          <w:b/>
          <w:spacing w:val="-2"/>
          <w:sz w:val="16"/>
        </w:rPr>
        <w:t>407.4</w:t>
      </w:r>
      <w:r w:rsidRPr="00EB2BD8">
        <w:rPr>
          <w:rFonts w:ascii="Tahoma"/>
          <w:b/>
          <w:sz w:val="16"/>
        </w:rPr>
        <w:tab/>
      </w:r>
      <w:r w:rsidRPr="00EB2BD8">
        <w:rPr>
          <w:rFonts w:ascii="Tahoma"/>
          <w:b/>
          <w:spacing w:val="-5"/>
          <w:sz w:val="16"/>
        </w:rPr>
        <w:t>96</w:t>
      </w:r>
      <w:r w:rsidRPr="00EB2BD8">
        <w:rPr>
          <w:rFonts w:ascii="Tahoma"/>
          <w:b/>
          <w:sz w:val="16"/>
        </w:rPr>
        <w:tab/>
      </w:r>
      <w:r w:rsidRPr="00EB2BD8">
        <w:rPr>
          <w:rFonts w:ascii="Tahoma"/>
          <w:b/>
          <w:spacing w:val="-4"/>
          <w:sz w:val="16"/>
        </w:rPr>
        <w:t>94.8</w:t>
      </w:r>
    </w:p>
    <w:p w14:paraId="173AD420" w14:textId="2ADCCB65" w:rsidR="00084F36" w:rsidRPr="00EB2BD8" w:rsidRDefault="00EB2BD8">
      <w:pPr>
        <w:spacing w:before="331"/>
        <w:ind w:left="850"/>
        <w:rPr>
          <w:i/>
          <w:sz w:val="14"/>
        </w:rPr>
      </w:pPr>
      <w:r w:rsidRPr="00EB2BD8">
        <w:rPr>
          <w:i/>
          <w:sz w:val="14"/>
        </w:rPr>
        <w:t>30</w:t>
      </w:r>
      <w:r w:rsidR="00D0600F">
        <w:rPr>
          <w:i/>
          <w:sz w:val="14"/>
        </w:rPr>
        <w:t xml:space="preserve">- </w:t>
      </w:r>
      <w:r w:rsidRPr="00EB2BD8">
        <w:rPr>
          <w:i/>
          <w:sz w:val="14"/>
        </w:rPr>
        <w:t>This</w:t>
      </w:r>
      <w:r w:rsidRPr="00EB2BD8">
        <w:rPr>
          <w:i/>
          <w:spacing w:val="-6"/>
          <w:sz w:val="14"/>
        </w:rPr>
        <w:t xml:space="preserve"> </w:t>
      </w:r>
      <w:r w:rsidRPr="00EB2BD8">
        <w:rPr>
          <w:i/>
          <w:sz w:val="14"/>
        </w:rPr>
        <w:t>table</w:t>
      </w:r>
      <w:r w:rsidRPr="00EB2BD8">
        <w:rPr>
          <w:i/>
          <w:spacing w:val="-5"/>
          <w:sz w:val="14"/>
        </w:rPr>
        <w:t xml:space="preserve"> </w:t>
      </w:r>
      <w:r w:rsidRPr="00EB2BD8">
        <w:rPr>
          <w:i/>
          <w:sz w:val="14"/>
        </w:rPr>
        <w:t>excludes</w:t>
      </w:r>
      <w:r w:rsidRPr="00EB2BD8">
        <w:rPr>
          <w:i/>
          <w:spacing w:val="-5"/>
          <w:sz w:val="14"/>
        </w:rPr>
        <w:t xml:space="preserve"> </w:t>
      </w:r>
      <w:r w:rsidRPr="00EB2BD8">
        <w:rPr>
          <w:i/>
          <w:sz w:val="14"/>
        </w:rPr>
        <w:t>people</w:t>
      </w:r>
      <w:r w:rsidRPr="00EB2BD8">
        <w:rPr>
          <w:i/>
          <w:spacing w:val="-5"/>
          <w:sz w:val="14"/>
        </w:rPr>
        <w:t xml:space="preserve"> </w:t>
      </w:r>
      <w:r w:rsidRPr="00EB2BD8">
        <w:rPr>
          <w:i/>
          <w:sz w:val="14"/>
        </w:rPr>
        <w:t>engaged</w:t>
      </w:r>
      <w:r w:rsidRPr="00EB2BD8">
        <w:rPr>
          <w:i/>
          <w:spacing w:val="-5"/>
          <w:sz w:val="14"/>
        </w:rPr>
        <w:t xml:space="preserve"> </w:t>
      </w:r>
      <w:r w:rsidRPr="00EB2BD8">
        <w:rPr>
          <w:i/>
          <w:sz w:val="14"/>
        </w:rPr>
        <w:t>as</w:t>
      </w:r>
      <w:r w:rsidRPr="00EB2BD8">
        <w:rPr>
          <w:i/>
          <w:spacing w:val="-5"/>
          <w:sz w:val="14"/>
        </w:rPr>
        <w:t xml:space="preserve"> </w:t>
      </w:r>
      <w:r w:rsidRPr="00EB2BD8">
        <w:rPr>
          <w:i/>
          <w:spacing w:val="-2"/>
          <w:sz w:val="14"/>
        </w:rPr>
        <w:t>contractors.</w:t>
      </w:r>
    </w:p>
    <w:p w14:paraId="46E88F64" w14:textId="620F95FB" w:rsidR="00084F36" w:rsidRPr="00EB2BD8" w:rsidRDefault="00EB2BD8">
      <w:pPr>
        <w:spacing w:before="15"/>
        <w:ind w:left="850"/>
        <w:rPr>
          <w:i/>
          <w:sz w:val="14"/>
        </w:rPr>
      </w:pPr>
      <w:r w:rsidRPr="00EB2BD8">
        <w:rPr>
          <w:i/>
          <w:sz w:val="14"/>
        </w:rPr>
        <w:t>3</w:t>
      </w:r>
      <w:r w:rsidR="00D0600F">
        <w:rPr>
          <w:i/>
          <w:sz w:val="14"/>
        </w:rPr>
        <w:t xml:space="preserve">1- </w:t>
      </w:r>
      <w:r w:rsidRPr="00EB2BD8">
        <w:rPr>
          <w:i/>
          <w:sz w:val="14"/>
        </w:rPr>
        <w:t>Ongoing employees - people engaged on an open-ended contract of</w:t>
      </w:r>
      <w:r w:rsidRPr="00EB2BD8">
        <w:rPr>
          <w:i/>
          <w:spacing w:val="1"/>
          <w:sz w:val="14"/>
        </w:rPr>
        <w:t xml:space="preserve"> </w:t>
      </w:r>
      <w:r w:rsidRPr="00EB2BD8">
        <w:rPr>
          <w:i/>
          <w:sz w:val="14"/>
        </w:rPr>
        <w:t xml:space="preserve">employment as at 30 </w:t>
      </w:r>
      <w:r w:rsidRPr="00EB2BD8">
        <w:rPr>
          <w:i/>
          <w:spacing w:val="-2"/>
          <w:sz w:val="14"/>
        </w:rPr>
        <w:t>June.</w:t>
      </w:r>
    </w:p>
    <w:p w14:paraId="62D1B8E8" w14:textId="77777777" w:rsidR="00084F36" w:rsidRPr="00EB2BD8" w:rsidRDefault="00084F36">
      <w:pPr>
        <w:rPr>
          <w:sz w:val="14"/>
        </w:rPr>
        <w:sectPr w:rsidR="00084F36" w:rsidRPr="00EB2BD8" w:rsidSect="006D75B2">
          <w:footerReference w:type="default" r:id="rId399"/>
          <w:pgSz w:w="11910" w:h="16840"/>
          <w:pgMar w:top="1080" w:right="0" w:bottom="720" w:left="0" w:header="0" w:footer="515" w:gutter="0"/>
          <w:cols w:space="720"/>
        </w:sectPr>
      </w:pPr>
    </w:p>
    <w:p w14:paraId="22AF845C" w14:textId="77777777" w:rsidR="00084F36" w:rsidRPr="00EB2BD8" w:rsidRDefault="00084F36">
      <w:pPr>
        <w:pStyle w:val="BodyText"/>
        <w:rPr>
          <w:i/>
          <w:sz w:val="22"/>
        </w:rPr>
      </w:pPr>
    </w:p>
    <w:p w14:paraId="42757C5D" w14:textId="77777777" w:rsidR="00084F36" w:rsidRPr="00EB2BD8" w:rsidRDefault="00084F36">
      <w:pPr>
        <w:pStyle w:val="BodyText"/>
        <w:rPr>
          <w:i/>
          <w:sz w:val="22"/>
        </w:rPr>
      </w:pPr>
    </w:p>
    <w:p w14:paraId="3030C571" w14:textId="77777777" w:rsidR="00084F36" w:rsidRPr="00EB2BD8" w:rsidRDefault="00084F36">
      <w:pPr>
        <w:pStyle w:val="BodyText"/>
        <w:rPr>
          <w:i/>
          <w:sz w:val="22"/>
        </w:rPr>
      </w:pPr>
    </w:p>
    <w:p w14:paraId="5A1348BB" w14:textId="77777777" w:rsidR="00084F36" w:rsidRPr="00EB2BD8" w:rsidRDefault="00084F36">
      <w:pPr>
        <w:pStyle w:val="BodyText"/>
        <w:rPr>
          <w:i/>
          <w:sz w:val="22"/>
        </w:rPr>
      </w:pPr>
    </w:p>
    <w:p w14:paraId="30DA0F1E" w14:textId="77777777" w:rsidR="00084F36" w:rsidRPr="00EB2BD8" w:rsidRDefault="00084F36">
      <w:pPr>
        <w:pStyle w:val="BodyText"/>
        <w:spacing w:before="9"/>
        <w:rPr>
          <w:i/>
        </w:rPr>
      </w:pPr>
    </w:p>
    <w:p w14:paraId="3882BBEE" w14:textId="77777777" w:rsidR="00084F36" w:rsidRPr="00EB2BD8" w:rsidRDefault="00EB2BD8" w:rsidP="00697E0C">
      <w:pPr>
        <w:pStyle w:val="Heading3"/>
      </w:pPr>
      <w:bookmarkStart w:id="428" w:name="_Toc150762730"/>
      <w:r w:rsidRPr="00EB2BD8">
        <w:t>Table</w:t>
      </w:r>
      <w:r w:rsidRPr="00EB2BD8">
        <w:rPr>
          <w:spacing w:val="-10"/>
        </w:rPr>
        <w:t xml:space="preserve"> </w:t>
      </w:r>
      <w:r w:rsidRPr="00EB2BD8">
        <w:t>20:</w:t>
      </w:r>
      <w:r w:rsidRPr="00EB2BD8">
        <w:rPr>
          <w:spacing w:val="43"/>
        </w:rPr>
        <w:t xml:space="preserve"> </w:t>
      </w:r>
      <w:r w:rsidRPr="00EB2BD8">
        <w:t>Details</w:t>
      </w:r>
      <w:r w:rsidRPr="00EB2BD8">
        <w:rPr>
          <w:spacing w:val="-10"/>
        </w:rPr>
        <w:t xml:space="preserve"> </w:t>
      </w:r>
      <w:r w:rsidRPr="00EB2BD8">
        <w:t>of</w:t>
      </w:r>
      <w:r w:rsidRPr="00EB2BD8">
        <w:rPr>
          <w:spacing w:val="-10"/>
        </w:rPr>
        <w:t xml:space="preserve"> </w:t>
      </w:r>
      <w:r w:rsidRPr="00EB2BD8">
        <w:t>employment</w:t>
      </w:r>
      <w:r w:rsidRPr="00EB2BD8">
        <w:rPr>
          <w:spacing w:val="-10"/>
        </w:rPr>
        <w:t xml:space="preserve"> </w:t>
      </w:r>
      <w:r w:rsidRPr="00EB2BD8">
        <w:t>levels</w:t>
      </w:r>
      <w:r w:rsidRPr="00EB2BD8">
        <w:rPr>
          <w:spacing w:val="-10"/>
        </w:rPr>
        <w:t xml:space="preserve"> </w:t>
      </w:r>
      <w:r w:rsidRPr="00EB2BD8">
        <w:t>in</w:t>
      </w:r>
      <w:r w:rsidRPr="00EB2BD8">
        <w:rPr>
          <w:spacing w:val="-10"/>
        </w:rPr>
        <w:t xml:space="preserve"> </w:t>
      </w:r>
      <w:r w:rsidRPr="00EB2BD8">
        <w:t>June</w:t>
      </w:r>
      <w:r w:rsidRPr="00EB2BD8">
        <w:rPr>
          <w:spacing w:val="-10"/>
        </w:rPr>
        <w:t xml:space="preserve"> </w:t>
      </w:r>
      <w:r w:rsidRPr="00EB2BD8">
        <w:rPr>
          <w:spacing w:val="-4"/>
        </w:rPr>
        <w:t>2022</w:t>
      </w:r>
      <w:bookmarkEnd w:id="428"/>
    </w:p>
    <w:p w14:paraId="0A705EA0" w14:textId="77777777" w:rsidR="00084F36" w:rsidRPr="00EB2BD8" w:rsidRDefault="00084F36">
      <w:pPr>
        <w:pStyle w:val="BodyText"/>
        <w:spacing w:before="4"/>
        <w:rPr>
          <w:sz w:val="20"/>
        </w:rPr>
      </w:pPr>
    </w:p>
    <w:p w14:paraId="13EAC657" w14:textId="77777777" w:rsidR="00084F36" w:rsidRPr="00EB2BD8" w:rsidRDefault="00EB2BD8">
      <w:pPr>
        <w:pStyle w:val="BodyText"/>
        <w:spacing w:line="261" w:lineRule="auto"/>
        <w:ind w:left="870" w:right="979"/>
      </w:pPr>
      <w:r w:rsidRPr="00EB2BD8">
        <w:t>The</w:t>
      </w:r>
      <w:r w:rsidRPr="00EB2BD8">
        <w:rPr>
          <w:spacing w:val="-4"/>
        </w:rPr>
        <w:t xml:space="preserve"> </w:t>
      </w:r>
      <w:r w:rsidRPr="00EB2BD8">
        <w:t>following</w:t>
      </w:r>
      <w:r w:rsidRPr="00EB2BD8">
        <w:rPr>
          <w:spacing w:val="-4"/>
        </w:rPr>
        <w:t xml:space="preserve"> </w:t>
      </w:r>
      <w:r w:rsidRPr="00EB2BD8">
        <w:t>table</w:t>
      </w:r>
      <w:r w:rsidRPr="00EB2BD8">
        <w:rPr>
          <w:spacing w:val="-4"/>
        </w:rPr>
        <w:t xml:space="preserve"> </w:t>
      </w:r>
      <w:r w:rsidRPr="00EB2BD8">
        <w:t>discloses</w:t>
      </w:r>
      <w:r w:rsidRPr="00EB2BD8">
        <w:rPr>
          <w:spacing w:val="-4"/>
        </w:rPr>
        <w:t xml:space="preserve"> </w:t>
      </w:r>
      <w:r w:rsidRPr="00EB2BD8">
        <w:t>the</w:t>
      </w:r>
      <w:r w:rsidRPr="00EB2BD8">
        <w:rPr>
          <w:spacing w:val="-4"/>
        </w:rPr>
        <w:t xml:space="preserve"> </w:t>
      </w:r>
      <w:r w:rsidRPr="00EB2BD8">
        <w:t>headcount</w:t>
      </w:r>
      <w:r w:rsidRPr="00EB2BD8">
        <w:rPr>
          <w:spacing w:val="-4"/>
        </w:rPr>
        <w:t xml:space="preserve"> </w:t>
      </w:r>
      <w:r w:rsidRPr="00EB2BD8">
        <w:t>and</w:t>
      </w:r>
      <w:r w:rsidRPr="00EB2BD8">
        <w:rPr>
          <w:spacing w:val="-4"/>
        </w:rPr>
        <w:t xml:space="preserve"> </w:t>
      </w:r>
      <w:r w:rsidRPr="00EB2BD8">
        <w:t>FTE</w:t>
      </w:r>
      <w:r w:rsidRPr="00EB2BD8">
        <w:rPr>
          <w:spacing w:val="-4"/>
        </w:rPr>
        <w:t xml:space="preserve"> </w:t>
      </w:r>
      <w:r w:rsidRPr="00EB2BD8">
        <w:t>of</w:t>
      </w:r>
      <w:r w:rsidRPr="00EB2BD8">
        <w:rPr>
          <w:spacing w:val="-4"/>
        </w:rPr>
        <w:t xml:space="preserve"> </w:t>
      </w:r>
      <w:r w:rsidRPr="00EB2BD8">
        <w:t>ongoing</w:t>
      </w:r>
      <w:r w:rsidRPr="00EB2BD8">
        <w:rPr>
          <w:spacing w:val="-4"/>
        </w:rPr>
        <w:t xml:space="preserve"> </w:t>
      </w:r>
      <w:r w:rsidRPr="00EB2BD8">
        <w:t>and</w:t>
      </w:r>
      <w:r w:rsidRPr="00EB2BD8">
        <w:rPr>
          <w:spacing w:val="-4"/>
        </w:rPr>
        <w:t xml:space="preserve"> </w:t>
      </w:r>
      <w:r w:rsidRPr="00EB2BD8">
        <w:t>fixed</w:t>
      </w:r>
      <w:r w:rsidRPr="00EB2BD8">
        <w:rPr>
          <w:spacing w:val="-4"/>
        </w:rPr>
        <w:t xml:space="preserve"> </w:t>
      </w:r>
      <w:r w:rsidRPr="00EB2BD8">
        <w:t>term</w:t>
      </w:r>
      <w:r w:rsidRPr="00EB2BD8">
        <w:rPr>
          <w:spacing w:val="-4"/>
        </w:rPr>
        <w:t xml:space="preserve"> </w:t>
      </w:r>
      <w:r w:rsidRPr="00EB2BD8">
        <w:t>employees</w:t>
      </w:r>
      <w:r w:rsidRPr="00EB2BD8">
        <w:rPr>
          <w:spacing w:val="-4"/>
        </w:rPr>
        <w:t xml:space="preserve"> </w:t>
      </w:r>
      <w:r w:rsidRPr="00EB2BD8">
        <w:t>of</w:t>
      </w:r>
      <w:r w:rsidRPr="00EB2BD8">
        <w:rPr>
          <w:spacing w:val="-4"/>
        </w:rPr>
        <w:t xml:space="preserve"> </w:t>
      </w:r>
      <w:r w:rsidRPr="00EB2BD8">
        <w:t>the</w:t>
      </w:r>
      <w:r w:rsidRPr="00EB2BD8">
        <w:rPr>
          <w:spacing w:val="-4"/>
        </w:rPr>
        <w:t xml:space="preserve"> </w:t>
      </w:r>
      <w:r w:rsidRPr="00EB2BD8">
        <w:t>VBA</w:t>
      </w:r>
      <w:r w:rsidRPr="00EB2BD8">
        <w:rPr>
          <w:spacing w:val="-4"/>
        </w:rPr>
        <w:t xml:space="preserve"> </w:t>
      </w:r>
      <w:r w:rsidRPr="00EB2BD8">
        <w:t>employed</w:t>
      </w:r>
      <w:r w:rsidRPr="00EB2BD8">
        <w:rPr>
          <w:spacing w:val="-4"/>
        </w:rPr>
        <w:t xml:space="preserve"> </w:t>
      </w:r>
      <w:r w:rsidRPr="00EB2BD8">
        <w:t>as at 30 June 2022.</w:t>
      </w:r>
    </w:p>
    <w:p w14:paraId="30C7C382" w14:textId="77777777" w:rsidR="00084F36" w:rsidRPr="00EB2BD8" w:rsidRDefault="00EB2BD8">
      <w:pPr>
        <w:pStyle w:val="BodyText"/>
        <w:spacing w:before="3"/>
        <w:rPr>
          <w:sz w:val="14"/>
        </w:rPr>
      </w:pPr>
      <w:r w:rsidRPr="00EB2BD8">
        <w:rPr>
          <w:noProof/>
        </w:rPr>
        <mc:AlternateContent>
          <mc:Choice Requires="wpg">
            <w:drawing>
              <wp:anchor distT="0" distB="0" distL="0" distR="0" simplePos="0" relativeHeight="252116992" behindDoc="1" locked="0" layoutInCell="1" allowOverlap="1" wp14:anchorId="4440069C" wp14:editId="1F8ABDBE">
                <wp:simplePos x="0" y="0"/>
                <wp:positionH relativeFrom="page">
                  <wp:posOffset>820254</wp:posOffset>
                </wp:positionH>
                <wp:positionV relativeFrom="paragraph">
                  <wp:posOffset>122395</wp:posOffset>
                </wp:positionV>
                <wp:extent cx="6192520" cy="404495"/>
                <wp:effectExtent l="0" t="0" r="0" b="0"/>
                <wp:wrapTopAndBottom/>
                <wp:docPr id="1232" name="Group 1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404495"/>
                          <a:chOff x="0" y="0"/>
                          <a:chExt cx="6192520" cy="404495"/>
                        </a:xfrm>
                      </wpg:grpSpPr>
                      <wps:wsp>
                        <wps:cNvPr id="1233" name="Graphic 1233"/>
                        <wps:cNvSpPr/>
                        <wps:spPr>
                          <a:xfrm>
                            <a:off x="0" y="0"/>
                            <a:ext cx="6192520" cy="404495"/>
                          </a:xfrm>
                          <a:custGeom>
                            <a:avLst/>
                            <a:gdLst/>
                            <a:ahLst/>
                            <a:cxnLst/>
                            <a:rect l="l" t="t" r="r" b="b"/>
                            <a:pathLst>
                              <a:path w="6192520" h="404495">
                                <a:moveTo>
                                  <a:pt x="6191999" y="0"/>
                                </a:moveTo>
                                <a:lnTo>
                                  <a:pt x="6191999" y="0"/>
                                </a:lnTo>
                                <a:lnTo>
                                  <a:pt x="0" y="0"/>
                                </a:lnTo>
                                <a:lnTo>
                                  <a:pt x="0" y="404368"/>
                                </a:lnTo>
                                <a:lnTo>
                                  <a:pt x="6191999" y="404368"/>
                                </a:lnTo>
                                <a:lnTo>
                                  <a:pt x="6191999" y="0"/>
                                </a:lnTo>
                                <a:close/>
                              </a:path>
                            </a:pathLst>
                          </a:custGeom>
                          <a:solidFill>
                            <a:srgbClr val="005F83"/>
                          </a:solidFill>
                        </wps:spPr>
                        <wps:bodyPr wrap="square" lIns="0" tIns="0" rIns="0" bIns="0" rtlCol="0">
                          <a:prstTxWarp prst="textNoShape">
                            <a:avLst/>
                          </a:prstTxWarp>
                          <a:noAutofit/>
                        </wps:bodyPr>
                      </wps:wsp>
                      <wps:wsp>
                        <wps:cNvPr id="1234" name="Textbox 1234"/>
                        <wps:cNvSpPr txBox="1"/>
                        <wps:spPr>
                          <a:xfrm>
                            <a:off x="2137754" y="152223"/>
                            <a:ext cx="849630" cy="130810"/>
                          </a:xfrm>
                          <a:prstGeom prst="rect">
                            <a:avLst/>
                          </a:prstGeom>
                        </wps:spPr>
                        <wps:txbx>
                          <w:txbxContent>
                            <w:p w14:paraId="4227CD18" w14:textId="77777777" w:rsidR="00084F36" w:rsidRDefault="00EB2BD8">
                              <w:pPr>
                                <w:spacing w:line="206" w:lineRule="exact"/>
                                <w:rPr>
                                  <w:sz w:val="10"/>
                                </w:rPr>
                              </w:pPr>
                              <w:r>
                                <w:rPr>
                                  <w:color w:val="FFFFFF"/>
                                  <w:w w:val="90"/>
                                  <w:sz w:val="18"/>
                                </w:rPr>
                                <w:t>All</w:t>
                              </w:r>
                              <w:r>
                                <w:rPr>
                                  <w:color w:val="FFFFFF"/>
                                  <w:spacing w:val="-4"/>
                                  <w:sz w:val="18"/>
                                </w:rPr>
                                <w:t xml:space="preserve"> </w:t>
                              </w:r>
                              <w:r>
                                <w:rPr>
                                  <w:color w:val="FFFFFF"/>
                                  <w:spacing w:val="-2"/>
                                  <w:sz w:val="18"/>
                                </w:rPr>
                                <w:t>employees</w:t>
                              </w:r>
                              <w:r>
                                <w:rPr>
                                  <w:color w:val="FFFFFF"/>
                                  <w:spacing w:val="-2"/>
                                  <w:position w:val="6"/>
                                  <w:sz w:val="10"/>
                                </w:rPr>
                                <w:t>32</w:t>
                              </w:r>
                            </w:p>
                          </w:txbxContent>
                        </wps:txbx>
                        <wps:bodyPr wrap="square" lIns="0" tIns="0" rIns="0" bIns="0" rtlCol="0">
                          <a:noAutofit/>
                        </wps:bodyPr>
                      </wps:wsp>
                      <wps:wsp>
                        <wps:cNvPr id="1235" name="Textbox 1235"/>
                        <wps:cNvSpPr txBox="1"/>
                        <wps:spPr>
                          <a:xfrm>
                            <a:off x="3790534" y="152223"/>
                            <a:ext cx="568325" cy="130810"/>
                          </a:xfrm>
                          <a:prstGeom prst="rect">
                            <a:avLst/>
                          </a:prstGeom>
                        </wps:spPr>
                        <wps:txbx>
                          <w:txbxContent>
                            <w:p w14:paraId="28E57002" w14:textId="77777777" w:rsidR="00084F36" w:rsidRDefault="00EB2BD8">
                              <w:pPr>
                                <w:spacing w:line="206" w:lineRule="exact"/>
                                <w:rPr>
                                  <w:sz w:val="10"/>
                                </w:rPr>
                              </w:pPr>
                              <w:r>
                                <w:rPr>
                                  <w:color w:val="FFFFFF"/>
                                  <w:spacing w:val="-2"/>
                                  <w:sz w:val="18"/>
                                </w:rPr>
                                <w:t>Ongoing</w:t>
                              </w:r>
                              <w:r>
                                <w:rPr>
                                  <w:color w:val="FFFFFF"/>
                                  <w:spacing w:val="-2"/>
                                  <w:position w:val="6"/>
                                  <w:sz w:val="10"/>
                                </w:rPr>
                                <w:t>33</w:t>
                              </w:r>
                            </w:p>
                          </w:txbxContent>
                        </wps:txbx>
                        <wps:bodyPr wrap="square" lIns="0" tIns="0" rIns="0" bIns="0" rtlCol="0">
                          <a:noAutofit/>
                        </wps:bodyPr>
                      </wps:wsp>
                      <wps:wsp>
                        <wps:cNvPr id="1236" name="Textbox 1236"/>
                        <wps:cNvSpPr txBox="1"/>
                        <wps:spPr>
                          <a:xfrm>
                            <a:off x="5163497" y="79198"/>
                            <a:ext cx="882015" cy="276860"/>
                          </a:xfrm>
                          <a:prstGeom prst="rect">
                            <a:avLst/>
                          </a:prstGeom>
                        </wps:spPr>
                        <wps:txbx>
                          <w:txbxContent>
                            <w:p w14:paraId="7184F44E" w14:textId="77777777" w:rsidR="00084F36" w:rsidRDefault="00EB2BD8">
                              <w:pPr>
                                <w:spacing w:line="261" w:lineRule="auto"/>
                                <w:ind w:left="393" w:hanging="394"/>
                                <w:rPr>
                                  <w:sz w:val="18"/>
                                </w:rPr>
                              </w:pPr>
                              <w:r>
                                <w:rPr>
                                  <w:color w:val="FFFFFF"/>
                                  <w:spacing w:val="-2"/>
                                  <w:w w:val="105"/>
                                  <w:sz w:val="18"/>
                                </w:rPr>
                                <w:t>Fixed-term</w:t>
                              </w:r>
                              <w:r>
                                <w:rPr>
                                  <w:color w:val="FFFFFF"/>
                                  <w:spacing w:val="-16"/>
                                  <w:w w:val="105"/>
                                  <w:sz w:val="18"/>
                                </w:rPr>
                                <w:t xml:space="preserve"> </w:t>
                              </w:r>
                              <w:r>
                                <w:rPr>
                                  <w:color w:val="FFFFFF"/>
                                  <w:spacing w:val="-2"/>
                                  <w:w w:val="105"/>
                                  <w:sz w:val="18"/>
                                </w:rPr>
                                <w:t>and casual</w:t>
                              </w:r>
                            </w:p>
                          </w:txbxContent>
                        </wps:txbx>
                        <wps:bodyPr wrap="square" lIns="0" tIns="0" rIns="0" bIns="0" rtlCol="0">
                          <a:noAutofit/>
                        </wps:bodyPr>
                      </wps:wsp>
                    </wpg:wgp>
                  </a:graphicData>
                </a:graphic>
              </wp:anchor>
            </w:drawing>
          </mc:Choice>
          <mc:Fallback>
            <w:pict>
              <v:group w14:anchorId="4440069C" id="Group 1232" o:spid="_x0000_s1068" alt="&quot;&quot;" style="position:absolute;margin-left:64.6pt;margin-top:9.65pt;width:487.6pt;height:31.85pt;z-index:-251199488;mso-wrap-distance-left:0;mso-wrap-distance-right:0;mso-position-horizontal-relative:page;mso-position-vertical-relative:text" coordsize="6192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">
                <v:shape id="Graphic 1233" o:spid="_x0000_s1069" style="position:absolute;width:61925;height:4044;visibility:visible;mso-wrap-style:square;v-text-anchor:top" coordsize="619252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" path="m6191999,r,l,,,404368r6191999,l6191999,xe" fillcolor="#005f83" stroked="f">
                  <v:path arrowok="t"/>
                </v:shape>
                <v:shape id="Textbox 1234" o:spid="_x0000_s1070" type="#_x0000_t202" style="position:absolute;left:21377;top:1522;width:849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4227CD18" w14:textId="77777777" w:rsidR="00084F36" w:rsidRDefault="00EB2BD8">
                        <w:pPr>
                          <w:spacing w:line="206" w:lineRule="exact"/>
                          <w:rPr>
                            <w:sz w:val="10"/>
                          </w:rPr>
                        </w:pPr>
                        <w:r>
                          <w:rPr>
                            <w:color w:val="FFFFFF"/>
                            <w:w w:val="90"/>
                            <w:sz w:val="18"/>
                          </w:rPr>
                          <w:t>All</w:t>
                        </w:r>
                        <w:r>
                          <w:rPr>
                            <w:color w:val="FFFFFF"/>
                            <w:spacing w:val="-4"/>
                            <w:sz w:val="18"/>
                          </w:rPr>
                          <w:t xml:space="preserve"> </w:t>
                        </w:r>
                        <w:r>
                          <w:rPr>
                            <w:color w:val="FFFFFF"/>
                            <w:spacing w:val="-2"/>
                            <w:sz w:val="18"/>
                          </w:rPr>
                          <w:t>employees</w:t>
                        </w:r>
                        <w:r>
                          <w:rPr>
                            <w:color w:val="FFFFFF"/>
                            <w:spacing w:val="-2"/>
                            <w:position w:val="6"/>
                            <w:sz w:val="10"/>
                          </w:rPr>
                          <w:t>32</w:t>
                        </w:r>
                      </w:p>
                    </w:txbxContent>
                  </v:textbox>
                </v:shape>
                <v:shape id="Textbox 1235" o:spid="_x0000_s1071" type="#_x0000_t202" style="position:absolute;left:37905;top:1522;width:5683;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28E57002" w14:textId="77777777" w:rsidR="00084F36" w:rsidRDefault="00EB2BD8">
                        <w:pPr>
                          <w:spacing w:line="206" w:lineRule="exact"/>
                          <w:rPr>
                            <w:sz w:val="10"/>
                          </w:rPr>
                        </w:pPr>
                        <w:r>
                          <w:rPr>
                            <w:color w:val="FFFFFF"/>
                            <w:spacing w:val="-2"/>
                            <w:sz w:val="18"/>
                          </w:rPr>
                          <w:t>Ongoing</w:t>
                        </w:r>
                        <w:r>
                          <w:rPr>
                            <w:color w:val="FFFFFF"/>
                            <w:spacing w:val="-2"/>
                            <w:position w:val="6"/>
                            <w:sz w:val="10"/>
                          </w:rPr>
                          <w:t>33</w:t>
                        </w:r>
                      </w:p>
                    </w:txbxContent>
                  </v:textbox>
                </v:shape>
                <v:shape id="Textbox 1236" o:spid="_x0000_s1072" type="#_x0000_t202" style="position:absolute;left:51634;top:791;width:8821;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7184F44E" w14:textId="77777777" w:rsidR="00084F36" w:rsidRDefault="00EB2BD8">
                        <w:pPr>
                          <w:spacing w:line="261" w:lineRule="auto"/>
                          <w:ind w:left="393" w:hanging="394"/>
                          <w:rPr>
                            <w:sz w:val="18"/>
                          </w:rPr>
                        </w:pPr>
                        <w:r>
                          <w:rPr>
                            <w:color w:val="FFFFFF"/>
                            <w:spacing w:val="-2"/>
                            <w:w w:val="105"/>
                            <w:sz w:val="18"/>
                          </w:rPr>
                          <w:t>Fixed-term</w:t>
                        </w:r>
                        <w:r>
                          <w:rPr>
                            <w:color w:val="FFFFFF"/>
                            <w:spacing w:val="-16"/>
                            <w:w w:val="105"/>
                            <w:sz w:val="18"/>
                          </w:rPr>
                          <w:t xml:space="preserve"> </w:t>
                        </w:r>
                        <w:r>
                          <w:rPr>
                            <w:color w:val="FFFFFF"/>
                            <w:spacing w:val="-2"/>
                            <w:w w:val="105"/>
                            <w:sz w:val="18"/>
                          </w:rPr>
                          <w:t>and casual</w:t>
                        </w:r>
                      </w:p>
                    </w:txbxContent>
                  </v:textbox>
                </v:shape>
                <w10:wrap type="topAndBottom" anchorx="page"/>
              </v:group>
            </w:pict>
          </mc:Fallback>
        </mc:AlternateContent>
      </w:r>
    </w:p>
    <w:p w14:paraId="7AA42C23" w14:textId="77777777" w:rsidR="00084F36" w:rsidRPr="00EB2BD8" w:rsidRDefault="00084F36">
      <w:pPr>
        <w:pStyle w:val="BodyText"/>
        <w:spacing w:before="1"/>
        <w:rPr>
          <w:sz w:val="6"/>
        </w:rPr>
      </w:pPr>
    </w:p>
    <w:tbl>
      <w:tblPr>
        <w:tblW w:w="0" w:type="auto"/>
        <w:tblInd w:w="4554" w:type="dxa"/>
        <w:tblLayout w:type="fixed"/>
        <w:tblCellMar>
          <w:left w:w="0" w:type="dxa"/>
          <w:right w:w="0" w:type="dxa"/>
        </w:tblCellMar>
        <w:tblLook w:val="01E0" w:firstRow="1" w:lastRow="1" w:firstColumn="1" w:lastColumn="1" w:noHBand="0" w:noVBand="0"/>
      </w:tblPr>
      <w:tblGrid>
        <w:gridCol w:w="1094"/>
        <w:gridCol w:w="620"/>
        <w:gridCol w:w="1134"/>
        <w:gridCol w:w="1195"/>
        <w:gridCol w:w="620"/>
        <w:gridCol w:w="1223"/>
        <w:gridCol w:w="547"/>
      </w:tblGrid>
      <w:tr w:rsidR="00EB2BD8" w:rsidRPr="00EB2BD8" w14:paraId="161527CF" w14:textId="77777777">
        <w:trPr>
          <w:trHeight w:val="244"/>
        </w:trPr>
        <w:tc>
          <w:tcPr>
            <w:tcW w:w="1094" w:type="dxa"/>
          </w:tcPr>
          <w:p w14:paraId="073E39B9" w14:textId="77777777" w:rsidR="00084F36" w:rsidRPr="00EB2BD8" w:rsidRDefault="00EB2BD8">
            <w:pPr>
              <w:pStyle w:val="TableParagraph"/>
              <w:spacing w:before="45"/>
              <w:ind w:right="209"/>
              <w:jc w:val="right"/>
              <w:rPr>
                <w:sz w:val="14"/>
              </w:rPr>
            </w:pPr>
            <w:r w:rsidRPr="00EB2BD8">
              <w:rPr>
                <w:spacing w:val="-2"/>
                <w:sz w:val="14"/>
              </w:rPr>
              <w:t>Number</w:t>
            </w:r>
          </w:p>
        </w:tc>
        <w:tc>
          <w:tcPr>
            <w:tcW w:w="620" w:type="dxa"/>
          </w:tcPr>
          <w:p w14:paraId="79391D2F" w14:textId="77777777" w:rsidR="00084F36" w:rsidRPr="00EB2BD8" w:rsidRDefault="00EB2BD8">
            <w:pPr>
              <w:pStyle w:val="TableParagraph"/>
              <w:spacing w:before="45"/>
              <w:ind w:left="210"/>
              <w:rPr>
                <w:sz w:val="14"/>
              </w:rPr>
            </w:pPr>
            <w:r w:rsidRPr="00EB2BD8">
              <w:rPr>
                <w:spacing w:val="-5"/>
                <w:w w:val="110"/>
                <w:sz w:val="14"/>
              </w:rPr>
              <w:t>FTE</w:t>
            </w:r>
          </w:p>
        </w:tc>
        <w:tc>
          <w:tcPr>
            <w:tcW w:w="1134" w:type="dxa"/>
          </w:tcPr>
          <w:p w14:paraId="1F219002" w14:textId="77777777" w:rsidR="00084F36" w:rsidRPr="00EB2BD8" w:rsidRDefault="00EB2BD8">
            <w:pPr>
              <w:pStyle w:val="TableParagraph"/>
              <w:spacing w:before="45"/>
              <w:ind w:right="149"/>
              <w:jc w:val="right"/>
              <w:rPr>
                <w:sz w:val="14"/>
              </w:rPr>
            </w:pPr>
            <w:r w:rsidRPr="00EB2BD8">
              <w:rPr>
                <w:sz w:val="14"/>
              </w:rPr>
              <w:t>Full-</w:t>
            </w:r>
            <w:r w:rsidRPr="00EB2BD8">
              <w:rPr>
                <w:spacing w:val="-4"/>
                <w:sz w:val="14"/>
              </w:rPr>
              <w:t>time</w:t>
            </w:r>
          </w:p>
        </w:tc>
        <w:tc>
          <w:tcPr>
            <w:tcW w:w="1195" w:type="dxa"/>
          </w:tcPr>
          <w:p w14:paraId="659E60FC" w14:textId="77777777" w:rsidR="00084F36" w:rsidRPr="00EB2BD8" w:rsidRDefault="00EB2BD8">
            <w:pPr>
              <w:pStyle w:val="TableParagraph"/>
              <w:spacing w:before="45"/>
              <w:ind w:right="210"/>
              <w:jc w:val="right"/>
              <w:rPr>
                <w:sz w:val="14"/>
              </w:rPr>
            </w:pPr>
            <w:r w:rsidRPr="00EB2BD8">
              <w:rPr>
                <w:w w:val="105"/>
                <w:sz w:val="14"/>
              </w:rPr>
              <w:t>Part-</w:t>
            </w:r>
            <w:r w:rsidRPr="00EB2BD8">
              <w:rPr>
                <w:spacing w:val="-4"/>
                <w:w w:val="105"/>
                <w:sz w:val="14"/>
              </w:rPr>
              <w:t>time</w:t>
            </w:r>
          </w:p>
        </w:tc>
        <w:tc>
          <w:tcPr>
            <w:tcW w:w="620" w:type="dxa"/>
          </w:tcPr>
          <w:p w14:paraId="07FB8F99" w14:textId="77777777" w:rsidR="00084F36" w:rsidRPr="00EB2BD8" w:rsidRDefault="00EB2BD8">
            <w:pPr>
              <w:pStyle w:val="TableParagraph"/>
              <w:spacing w:before="45"/>
              <w:ind w:left="209"/>
              <w:rPr>
                <w:sz w:val="14"/>
              </w:rPr>
            </w:pPr>
            <w:r w:rsidRPr="00EB2BD8">
              <w:rPr>
                <w:spacing w:val="-5"/>
                <w:w w:val="110"/>
                <w:sz w:val="14"/>
              </w:rPr>
              <w:t>FTE</w:t>
            </w:r>
          </w:p>
        </w:tc>
        <w:tc>
          <w:tcPr>
            <w:tcW w:w="1223" w:type="dxa"/>
          </w:tcPr>
          <w:p w14:paraId="58C09136" w14:textId="77777777" w:rsidR="00084F36" w:rsidRPr="00EB2BD8" w:rsidRDefault="00EB2BD8">
            <w:pPr>
              <w:pStyle w:val="TableParagraph"/>
              <w:spacing w:before="45"/>
              <w:ind w:right="239"/>
              <w:jc w:val="right"/>
              <w:rPr>
                <w:sz w:val="14"/>
              </w:rPr>
            </w:pPr>
            <w:r w:rsidRPr="00EB2BD8">
              <w:rPr>
                <w:spacing w:val="-2"/>
                <w:sz w:val="14"/>
              </w:rPr>
              <w:t>Number</w:t>
            </w:r>
          </w:p>
        </w:tc>
        <w:tc>
          <w:tcPr>
            <w:tcW w:w="547" w:type="dxa"/>
          </w:tcPr>
          <w:p w14:paraId="6E8F9A08" w14:textId="77777777" w:rsidR="00084F36" w:rsidRPr="00EB2BD8" w:rsidRDefault="00EB2BD8">
            <w:pPr>
              <w:pStyle w:val="TableParagraph"/>
              <w:spacing w:before="45"/>
              <w:ind w:left="237"/>
              <w:rPr>
                <w:sz w:val="14"/>
              </w:rPr>
            </w:pPr>
            <w:r w:rsidRPr="00EB2BD8">
              <w:rPr>
                <w:spacing w:val="-5"/>
                <w:w w:val="110"/>
                <w:sz w:val="14"/>
              </w:rPr>
              <w:t>FTE</w:t>
            </w:r>
          </w:p>
        </w:tc>
      </w:tr>
      <w:tr w:rsidR="00084F36" w:rsidRPr="00EB2BD8" w14:paraId="19C92292" w14:textId="77777777">
        <w:trPr>
          <w:trHeight w:val="244"/>
        </w:trPr>
        <w:tc>
          <w:tcPr>
            <w:tcW w:w="1094" w:type="dxa"/>
          </w:tcPr>
          <w:p w14:paraId="44A4F043" w14:textId="77777777" w:rsidR="00084F36" w:rsidRPr="00EB2BD8" w:rsidRDefault="00EB2BD8">
            <w:pPr>
              <w:pStyle w:val="TableParagraph"/>
              <w:spacing w:before="31" w:line="163" w:lineRule="exact"/>
              <w:ind w:right="209"/>
              <w:jc w:val="right"/>
              <w:rPr>
                <w:sz w:val="14"/>
              </w:rPr>
            </w:pPr>
            <w:r w:rsidRPr="00EB2BD8">
              <w:rPr>
                <w:spacing w:val="-2"/>
                <w:w w:val="105"/>
                <w:sz w:val="14"/>
              </w:rPr>
              <w:t>(headcount)</w:t>
            </w:r>
          </w:p>
        </w:tc>
        <w:tc>
          <w:tcPr>
            <w:tcW w:w="620" w:type="dxa"/>
          </w:tcPr>
          <w:p w14:paraId="06A21FCC" w14:textId="77777777" w:rsidR="00084F36" w:rsidRPr="00EB2BD8" w:rsidRDefault="00084F36">
            <w:pPr>
              <w:pStyle w:val="TableParagraph"/>
              <w:rPr>
                <w:rFonts w:ascii="Times New Roman"/>
                <w:sz w:val="16"/>
              </w:rPr>
            </w:pPr>
          </w:p>
        </w:tc>
        <w:tc>
          <w:tcPr>
            <w:tcW w:w="1134" w:type="dxa"/>
          </w:tcPr>
          <w:p w14:paraId="14AA8657" w14:textId="77777777" w:rsidR="00084F36" w:rsidRPr="00EB2BD8" w:rsidRDefault="00EB2BD8">
            <w:pPr>
              <w:pStyle w:val="TableParagraph"/>
              <w:spacing w:before="31" w:line="163" w:lineRule="exact"/>
              <w:ind w:right="149"/>
              <w:jc w:val="right"/>
              <w:rPr>
                <w:sz w:val="14"/>
              </w:rPr>
            </w:pPr>
            <w:r w:rsidRPr="00EB2BD8">
              <w:rPr>
                <w:spacing w:val="-2"/>
                <w:w w:val="105"/>
                <w:sz w:val="14"/>
              </w:rPr>
              <w:t>(headcount)</w:t>
            </w:r>
          </w:p>
        </w:tc>
        <w:tc>
          <w:tcPr>
            <w:tcW w:w="1195" w:type="dxa"/>
          </w:tcPr>
          <w:p w14:paraId="6CF0780B" w14:textId="77777777" w:rsidR="00084F36" w:rsidRPr="00EB2BD8" w:rsidRDefault="00EB2BD8">
            <w:pPr>
              <w:pStyle w:val="TableParagraph"/>
              <w:spacing w:before="31" w:line="163" w:lineRule="exact"/>
              <w:ind w:right="210"/>
              <w:jc w:val="right"/>
              <w:rPr>
                <w:sz w:val="14"/>
              </w:rPr>
            </w:pPr>
            <w:r w:rsidRPr="00EB2BD8">
              <w:rPr>
                <w:spacing w:val="-2"/>
                <w:w w:val="105"/>
                <w:sz w:val="14"/>
              </w:rPr>
              <w:t>(headcount)</w:t>
            </w:r>
          </w:p>
        </w:tc>
        <w:tc>
          <w:tcPr>
            <w:tcW w:w="620" w:type="dxa"/>
          </w:tcPr>
          <w:p w14:paraId="603A1FED" w14:textId="77777777" w:rsidR="00084F36" w:rsidRPr="00EB2BD8" w:rsidRDefault="00084F36">
            <w:pPr>
              <w:pStyle w:val="TableParagraph"/>
              <w:rPr>
                <w:rFonts w:ascii="Times New Roman"/>
                <w:sz w:val="16"/>
              </w:rPr>
            </w:pPr>
          </w:p>
        </w:tc>
        <w:tc>
          <w:tcPr>
            <w:tcW w:w="1223" w:type="dxa"/>
          </w:tcPr>
          <w:p w14:paraId="30E7B086" w14:textId="77777777" w:rsidR="00084F36" w:rsidRPr="00EB2BD8" w:rsidRDefault="00EB2BD8">
            <w:pPr>
              <w:pStyle w:val="TableParagraph"/>
              <w:spacing w:before="31" w:line="163" w:lineRule="exact"/>
              <w:ind w:right="239"/>
              <w:jc w:val="right"/>
              <w:rPr>
                <w:sz w:val="14"/>
              </w:rPr>
            </w:pPr>
            <w:r w:rsidRPr="00EB2BD8">
              <w:rPr>
                <w:spacing w:val="-2"/>
                <w:w w:val="105"/>
                <w:sz w:val="14"/>
              </w:rPr>
              <w:t>(headcount)</w:t>
            </w:r>
          </w:p>
        </w:tc>
        <w:tc>
          <w:tcPr>
            <w:tcW w:w="547" w:type="dxa"/>
          </w:tcPr>
          <w:p w14:paraId="436BCDF6" w14:textId="77777777" w:rsidR="00084F36" w:rsidRPr="00EB2BD8" w:rsidRDefault="00084F36">
            <w:pPr>
              <w:pStyle w:val="TableParagraph"/>
              <w:rPr>
                <w:rFonts w:ascii="Times New Roman"/>
                <w:sz w:val="16"/>
              </w:rPr>
            </w:pPr>
          </w:p>
        </w:tc>
      </w:tr>
    </w:tbl>
    <w:p w14:paraId="54400A76" w14:textId="77777777" w:rsidR="00084F36" w:rsidRPr="00EB2BD8" w:rsidRDefault="00084F36">
      <w:pPr>
        <w:pStyle w:val="BodyText"/>
        <w:spacing w:before="10"/>
        <w:rPr>
          <w:sz w:val="4"/>
        </w:rPr>
      </w:pPr>
    </w:p>
    <w:p w14:paraId="37DE3F63" w14:textId="77777777" w:rsidR="00084F36" w:rsidRPr="00EB2BD8" w:rsidRDefault="00084F36">
      <w:pPr>
        <w:pStyle w:val="BodyText"/>
        <w:spacing w:before="6"/>
        <w:rPr>
          <w:sz w:val="2"/>
        </w:rPr>
      </w:pPr>
    </w:p>
    <w:tbl>
      <w:tblPr>
        <w:tblW w:w="0" w:type="auto"/>
        <w:tblInd w:w="878" w:type="dxa"/>
        <w:tblLayout w:type="fixed"/>
        <w:tblCellMar>
          <w:left w:w="0" w:type="dxa"/>
          <w:right w:w="0" w:type="dxa"/>
        </w:tblCellMar>
        <w:tblLook w:val="01E0" w:firstRow="1" w:lastRow="1" w:firstColumn="1" w:lastColumn="1" w:noHBand="0" w:noVBand="0"/>
      </w:tblPr>
      <w:tblGrid>
        <w:gridCol w:w="421"/>
        <w:gridCol w:w="3283"/>
        <w:gridCol w:w="998"/>
        <w:gridCol w:w="974"/>
        <w:gridCol w:w="1189"/>
        <w:gridCol w:w="799"/>
        <w:gridCol w:w="986"/>
        <w:gridCol w:w="886"/>
        <w:gridCol w:w="632"/>
      </w:tblGrid>
      <w:tr w:rsidR="00EB2BD8" w:rsidRPr="00EB2BD8" w14:paraId="3C56F119" w14:textId="77777777">
        <w:trPr>
          <w:trHeight w:val="364"/>
        </w:trPr>
        <w:tc>
          <w:tcPr>
            <w:tcW w:w="421" w:type="dxa"/>
            <w:vMerge w:val="restart"/>
            <w:tcBorders>
              <w:top w:val="single" w:sz="2" w:space="0" w:color="000000"/>
              <w:bottom w:val="single" w:sz="2" w:space="0" w:color="000000"/>
            </w:tcBorders>
            <w:shd w:val="clear" w:color="auto" w:fill="4CB7FF"/>
            <w:textDirection w:val="btLr"/>
          </w:tcPr>
          <w:p w14:paraId="64328FBB" w14:textId="77777777" w:rsidR="00084F36" w:rsidRPr="00EB2BD8" w:rsidRDefault="00EB2BD8">
            <w:pPr>
              <w:pStyle w:val="TableParagraph"/>
              <w:tabs>
                <w:tab w:val="left" w:pos="4028"/>
              </w:tabs>
              <w:spacing w:before="86"/>
              <w:ind w:right="192"/>
              <w:jc w:val="center"/>
              <w:rPr>
                <w:sz w:val="18"/>
              </w:rPr>
            </w:pPr>
            <w:r w:rsidRPr="00EB2BD8">
              <w:rPr>
                <w:sz w:val="18"/>
              </w:rPr>
              <w:t>Classification</w:t>
            </w:r>
            <w:r w:rsidRPr="00EB2BD8">
              <w:rPr>
                <w:spacing w:val="-9"/>
                <w:sz w:val="18"/>
              </w:rPr>
              <w:t xml:space="preserve"> </w:t>
            </w:r>
            <w:r w:rsidRPr="00EB2BD8">
              <w:rPr>
                <w:spacing w:val="-4"/>
                <w:sz w:val="18"/>
              </w:rPr>
              <w:t>data</w:t>
            </w:r>
            <w:r w:rsidRPr="00EB2BD8">
              <w:rPr>
                <w:sz w:val="18"/>
              </w:rPr>
              <w:tab/>
              <w:t>Demographic</w:t>
            </w:r>
            <w:r w:rsidRPr="00EB2BD8">
              <w:rPr>
                <w:spacing w:val="-13"/>
                <w:sz w:val="18"/>
              </w:rPr>
              <w:t xml:space="preserve"> </w:t>
            </w:r>
            <w:r w:rsidRPr="00EB2BD8">
              <w:rPr>
                <w:spacing w:val="-4"/>
                <w:sz w:val="18"/>
              </w:rPr>
              <w:t>data</w:t>
            </w:r>
          </w:p>
        </w:tc>
        <w:tc>
          <w:tcPr>
            <w:tcW w:w="9747" w:type="dxa"/>
            <w:gridSpan w:val="8"/>
            <w:tcBorders>
              <w:top w:val="single" w:sz="2" w:space="0" w:color="000000"/>
            </w:tcBorders>
            <w:shd w:val="clear" w:color="auto" w:fill="E5F5FF"/>
          </w:tcPr>
          <w:p w14:paraId="02C0DFD0" w14:textId="77777777" w:rsidR="00084F36" w:rsidRPr="00EB2BD8" w:rsidRDefault="00EB2BD8">
            <w:pPr>
              <w:pStyle w:val="TableParagraph"/>
              <w:spacing w:before="83"/>
              <w:ind w:left="80"/>
              <w:rPr>
                <w:sz w:val="16"/>
              </w:rPr>
            </w:pPr>
            <w:r w:rsidRPr="00EB2BD8">
              <w:rPr>
                <w:spacing w:val="-2"/>
                <w:w w:val="105"/>
                <w:sz w:val="16"/>
              </w:rPr>
              <w:t>Gender</w:t>
            </w:r>
          </w:p>
        </w:tc>
      </w:tr>
      <w:tr w:rsidR="00EB2BD8" w:rsidRPr="00EB2BD8" w14:paraId="3675E155" w14:textId="77777777">
        <w:trPr>
          <w:trHeight w:val="381"/>
        </w:trPr>
        <w:tc>
          <w:tcPr>
            <w:tcW w:w="421" w:type="dxa"/>
            <w:vMerge/>
            <w:tcBorders>
              <w:top w:val="nil"/>
              <w:bottom w:val="single" w:sz="2" w:space="0" w:color="000000"/>
            </w:tcBorders>
            <w:shd w:val="clear" w:color="auto" w:fill="4CB7FF"/>
            <w:textDirection w:val="btLr"/>
          </w:tcPr>
          <w:p w14:paraId="6E6C314F" w14:textId="77777777" w:rsidR="00084F36" w:rsidRPr="00EB2BD8" w:rsidRDefault="00084F36">
            <w:pPr>
              <w:rPr>
                <w:sz w:val="2"/>
                <w:szCs w:val="2"/>
              </w:rPr>
            </w:pPr>
          </w:p>
        </w:tc>
        <w:tc>
          <w:tcPr>
            <w:tcW w:w="3283" w:type="dxa"/>
            <w:tcBorders>
              <w:bottom w:val="single" w:sz="2" w:space="0" w:color="000000"/>
            </w:tcBorders>
          </w:tcPr>
          <w:p w14:paraId="47ACA3C0" w14:textId="77777777" w:rsidR="00084F36" w:rsidRPr="00EB2BD8" w:rsidRDefault="00EB2BD8">
            <w:pPr>
              <w:pStyle w:val="TableParagraph"/>
              <w:spacing w:before="116"/>
              <w:ind w:left="113"/>
              <w:rPr>
                <w:sz w:val="16"/>
              </w:rPr>
            </w:pPr>
            <w:r w:rsidRPr="00EB2BD8">
              <w:rPr>
                <w:spacing w:val="-2"/>
                <w:w w:val="105"/>
                <w:sz w:val="16"/>
              </w:rPr>
              <w:t>Women</w:t>
            </w:r>
          </w:p>
        </w:tc>
        <w:tc>
          <w:tcPr>
            <w:tcW w:w="998" w:type="dxa"/>
            <w:tcBorders>
              <w:bottom w:val="single" w:sz="2" w:space="0" w:color="000000"/>
            </w:tcBorders>
          </w:tcPr>
          <w:p w14:paraId="4512E6EC" w14:textId="77777777" w:rsidR="00084F36" w:rsidRPr="00EB2BD8" w:rsidRDefault="00EB2BD8">
            <w:pPr>
              <w:pStyle w:val="TableParagraph"/>
              <w:spacing w:before="116"/>
              <w:ind w:right="141"/>
              <w:jc w:val="right"/>
              <w:rPr>
                <w:sz w:val="16"/>
              </w:rPr>
            </w:pPr>
            <w:r w:rsidRPr="00EB2BD8">
              <w:rPr>
                <w:spacing w:val="-5"/>
                <w:w w:val="95"/>
                <w:sz w:val="16"/>
              </w:rPr>
              <w:t>228</w:t>
            </w:r>
          </w:p>
        </w:tc>
        <w:tc>
          <w:tcPr>
            <w:tcW w:w="974" w:type="dxa"/>
            <w:tcBorders>
              <w:bottom w:val="single" w:sz="2" w:space="0" w:color="000000"/>
            </w:tcBorders>
          </w:tcPr>
          <w:p w14:paraId="0131D457" w14:textId="77777777" w:rsidR="00084F36" w:rsidRPr="00EB2BD8" w:rsidRDefault="00EB2BD8">
            <w:pPr>
              <w:pStyle w:val="TableParagraph"/>
              <w:spacing w:before="116"/>
              <w:ind w:right="434"/>
              <w:jc w:val="right"/>
              <w:rPr>
                <w:sz w:val="16"/>
              </w:rPr>
            </w:pPr>
            <w:r w:rsidRPr="00EB2BD8">
              <w:rPr>
                <w:spacing w:val="-4"/>
                <w:w w:val="90"/>
                <w:sz w:val="16"/>
              </w:rPr>
              <w:t>222.4</w:t>
            </w:r>
          </w:p>
        </w:tc>
        <w:tc>
          <w:tcPr>
            <w:tcW w:w="1189" w:type="dxa"/>
            <w:tcBorders>
              <w:bottom w:val="single" w:sz="2" w:space="0" w:color="000000"/>
            </w:tcBorders>
          </w:tcPr>
          <w:p w14:paraId="6FABB098" w14:textId="77777777" w:rsidR="00084F36" w:rsidRPr="00EB2BD8" w:rsidRDefault="00EB2BD8">
            <w:pPr>
              <w:pStyle w:val="TableParagraph"/>
              <w:spacing w:before="116"/>
              <w:ind w:right="490"/>
              <w:jc w:val="right"/>
              <w:rPr>
                <w:sz w:val="16"/>
              </w:rPr>
            </w:pPr>
            <w:r w:rsidRPr="00EB2BD8">
              <w:rPr>
                <w:spacing w:val="-5"/>
                <w:w w:val="90"/>
                <w:sz w:val="16"/>
              </w:rPr>
              <w:t>170</w:t>
            </w:r>
          </w:p>
        </w:tc>
        <w:tc>
          <w:tcPr>
            <w:tcW w:w="799" w:type="dxa"/>
            <w:tcBorders>
              <w:bottom w:val="single" w:sz="2" w:space="0" w:color="000000"/>
            </w:tcBorders>
          </w:tcPr>
          <w:p w14:paraId="28A2B0C1" w14:textId="77777777" w:rsidR="00084F36" w:rsidRPr="00EB2BD8" w:rsidRDefault="00EB2BD8">
            <w:pPr>
              <w:pStyle w:val="TableParagraph"/>
              <w:spacing w:before="116"/>
              <w:ind w:right="155"/>
              <w:jc w:val="right"/>
              <w:rPr>
                <w:sz w:val="16"/>
              </w:rPr>
            </w:pPr>
            <w:r w:rsidRPr="00EB2BD8">
              <w:rPr>
                <w:spacing w:val="-5"/>
                <w:w w:val="85"/>
                <w:sz w:val="16"/>
              </w:rPr>
              <w:t>18</w:t>
            </w:r>
          </w:p>
        </w:tc>
        <w:tc>
          <w:tcPr>
            <w:tcW w:w="986" w:type="dxa"/>
            <w:tcBorders>
              <w:bottom w:val="single" w:sz="2" w:space="0" w:color="000000"/>
            </w:tcBorders>
          </w:tcPr>
          <w:p w14:paraId="0463B2F6" w14:textId="77777777" w:rsidR="00084F36" w:rsidRPr="00EB2BD8" w:rsidRDefault="00EB2BD8">
            <w:pPr>
              <w:pStyle w:val="TableParagraph"/>
              <w:spacing w:before="116"/>
              <w:ind w:right="460"/>
              <w:jc w:val="right"/>
              <w:rPr>
                <w:sz w:val="16"/>
              </w:rPr>
            </w:pPr>
            <w:r w:rsidRPr="00EB2BD8">
              <w:rPr>
                <w:spacing w:val="-4"/>
                <w:w w:val="90"/>
                <w:sz w:val="16"/>
              </w:rPr>
              <w:t>183.3</w:t>
            </w:r>
          </w:p>
        </w:tc>
        <w:tc>
          <w:tcPr>
            <w:tcW w:w="886" w:type="dxa"/>
            <w:tcBorders>
              <w:bottom w:val="single" w:sz="2" w:space="0" w:color="000000"/>
            </w:tcBorders>
          </w:tcPr>
          <w:p w14:paraId="7FD5287B" w14:textId="77777777" w:rsidR="00084F36" w:rsidRPr="00EB2BD8" w:rsidRDefault="00EB2BD8">
            <w:pPr>
              <w:pStyle w:val="TableParagraph"/>
              <w:spacing w:before="116"/>
              <w:ind w:right="212"/>
              <w:jc w:val="right"/>
              <w:rPr>
                <w:sz w:val="16"/>
              </w:rPr>
            </w:pPr>
            <w:r w:rsidRPr="00EB2BD8">
              <w:rPr>
                <w:spacing w:val="-5"/>
                <w:sz w:val="16"/>
              </w:rPr>
              <w:t>40</w:t>
            </w:r>
          </w:p>
        </w:tc>
        <w:tc>
          <w:tcPr>
            <w:tcW w:w="632" w:type="dxa"/>
            <w:tcBorders>
              <w:bottom w:val="single" w:sz="2" w:space="0" w:color="000000"/>
            </w:tcBorders>
          </w:tcPr>
          <w:p w14:paraId="2F7F01D4" w14:textId="77777777" w:rsidR="00084F36" w:rsidRPr="00EB2BD8" w:rsidRDefault="00EB2BD8">
            <w:pPr>
              <w:pStyle w:val="TableParagraph"/>
              <w:spacing w:before="116"/>
              <w:ind w:right="106"/>
              <w:jc w:val="right"/>
              <w:rPr>
                <w:sz w:val="16"/>
              </w:rPr>
            </w:pPr>
            <w:r w:rsidRPr="00EB2BD8">
              <w:rPr>
                <w:spacing w:val="-4"/>
                <w:w w:val="90"/>
                <w:sz w:val="16"/>
              </w:rPr>
              <w:t>39.1</w:t>
            </w:r>
          </w:p>
        </w:tc>
      </w:tr>
      <w:tr w:rsidR="00EB2BD8" w:rsidRPr="00EB2BD8" w14:paraId="1322445C" w14:textId="77777777">
        <w:trPr>
          <w:trHeight w:val="381"/>
        </w:trPr>
        <w:tc>
          <w:tcPr>
            <w:tcW w:w="421" w:type="dxa"/>
            <w:vMerge/>
            <w:tcBorders>
              <w:top w:val="nil"/>
              <w:bottom w:val="single" w:sz="2" w:space="0" w:color="000000"/>
            </w:tcBorders>
            <w:shd w:val="clear" w:color="auto" w:fill="4CB7FF"/>
            <w:textDirection w:val="btLr"/>
          </w:tcPr>
          <w:p w14:paraId="63524003" w14:textId="77777777" w:rsidR="00084F36" w:rsidRPr="00EB2BD8" w:rsidRDefault="00084F36">
            <w:pPr>
              <w:rPr>
                <w:sz w:val="2"/>
                <w:szCs w:val="2"/>
              </w:rPr>
            </w:pPr>
          </w:p>
        </w:tc>
        <w:tc>
          <w:tcPr>
            <w:tcW w:w="3283" w:type="dxa"/>
            <w:tcBorders>
              <w:top w:val="single" w:sz="2" w:space="0" w:color="000000"/>
              <w:bottom w:val="single" w:sz="2" w:space="0" w:color="000000"/>
            </w:tcBorders>
          </w:tcPr>
          <w:p w14:paraId="656E8D87" w14:textId="77777777" w:rsidR="00084F36" w:rsidRPr="00EB2BD8" w:rsidRDefault="00EB2BD8">
            <w:pPr>
              <w:pStyle w:val="TableParagraph"/>
              <w:spacing w:before="116"/>
              <w:ind w:left="113"/>
              <w:rPr>
                <w:sz w:val="16"/>
              </w:rPr>
            </w:pPr>
            <w:r w:rsidRPr="00EB2BD8">
              <w:rPr>
                <w:spacing w:val="-5"/>
                <w:sz w:val="16"/>
              </w:rPr>
              <w:t>Men</w:t>
            </w:r>
          </w:p>
        </w:tc>
        <w:tc>
          <w:tcPr>
            <w:tcW w:w="998" w:type="dxa"/>
            <w:tcBorders>
              <w:top w:val="single" w:sz="2" w:space="0" w:color="000000"/>
              <w:bottom w:val="single" w:sz="2" w:space="0" w:color="000000"/>
            </w:tcBorders>
          </w:tcPr>
          <w:p w14:paraId="5D385719" w14:textId="77777777" w:rsidR="00084F36" w:rsidRPr="00EB2BD8" w:rsidRDefault="00EB2BD8">
            <w:pPr>
              <w:pStyle w:val="TableParagraph"/>
              <w:spacing w:before="116"/>
              <w:ind w:right="140"/>
              <w:jc w:val="right"/>
              <w:rPr>
                <w:sz w:val="16"/>
              </w:rPr>
            </w:pPr>
            <w:r w:rsidRPr="00EB2BD8">
              <w:rPr>
                <w:spacing w:val="-5"/>
                <w:w w:val="95"/>
                <w:sz w:val="16"/>
              </w:rPr>
              <w:t>242</w:t>
            </w:r>
          </w:p>
        </w:tc>
        <w:tc>
          <w:tcPr>
            <w:tcW w:w="974" w:type="dxa"/>
            <w:tcBorders>
              <w:top w:val="single" w:sz="2" w:space="0" w:color="000000"/>
              <w:bottom w:val="single" w:sz="2" w:space="0" w:color="000000"/>
            </w:tcBorders>
          </w:tcPr>
          <w:p w14:paraId="557238DE" w14:textId="77777777" w:rsidR="00084F36" w:rsidRPr="00EB2BD8" w:rsidRDefault="00EB2BD8">
            <w:pPr>
              <w:pStyle w:val="TableParagraph"/>
              <w:spacing w:before="116"/>
              <w:ind w:right="434"/>
              <w:jc w:val="right"/>
              <w:rPr>
                <w:sz w:val="16"/>
              </w:rPr>
            </w:pPr>
            <w:r w:rsidRPr="00EB2BD8">
              <w:rPr>
                <w:spacing w:val="-2"/>
                <w:w w:val="95"/>
                <w:sz w:val="16"/>
              </w:rPr>
              <w:t>239.3</w:t>
            </w:r>
          </w:p>
        </w:tc>
        <w:tc>
          <w:tcPr>
            <w:tcW w:w="1189" w:type="dxa"/>
            <w:tcBorders>
              <w:top w:val="single" w:sz="2" w:space="0" w:color="000000"/>
              <w:bottom w:val="single" w:sz="2" w:space="0" w:color="000000"/>
            </w:tcBorders>
          </w:tcPr>
          <w:p w14:paraId="19FC6DE0" w14:textId="77777777" w:rsidR="00084F36" w:rsidRPr="00EB2BD8" w:rsidRDefault="00EB2BD8">
            <w:pPr>
              <w:pStyle w:val="TableParagraph"/>
              <w:spacing w:before="116"/>
              <w:ind w:right="491"/>
              <w:jc w:val="right"/>
              <w:rPr>
                <w:sz w:val="16"/>
              </w:rPr>
            </w:pPr>
            <w:r w:rsidRPr="00EB2BD8">
              <w:rPr>
                <w:spacing w:val="-5"/>
                <w:w w:val="95"/>
                <w:sz w:val="16"/>
              </w:rPr>
              <w:t>194</w:t>
            </w:r>
          </w:p>
        </w:tc>
        <w:tc>
          <w:tcPr>
            <w:tcW w:w="799" w:type="dxa"/>
            <w:tcBorders>
              <w:top w:val="single" w:sz="2" w:space="0" w:color="000000"/>
              <w:bottom w:val="single" w:sz="2" w:space="0" w:color="000000"/>
            </w:tcBorders>
          </w:tcPr>
          <w:p w14:paraId="040FD9F5" w14:textId="77777777" w:rsidR="00084F36" w:rsidRPr="00EB2BD8" w:rsidRDefault="00EB2BD8">
            <w:pPr>
              <w:pStyle w:val="TableParagraph"/>
              <w:spacing w:before="116"/>
              <w:ind w:right="154"/>
              <w:jc w:val="right"/>
              <w:rPr>
                <w:sz w:val="16"/>
              </w:rPr>
            </w:pPr>
            <w:r w:rsidRPr="00EB2BD8">
              <w:rPr>
                <w:w w:val="96"/>
                <w:sz w:val="16"/>
              </w:rPr>
              <w:t>6</w:t>
            </w:r>
          </w:p>
        </w:tc>
        <w:tc>
          <w:tcPr>
            <w:tcW w:w="986" w:type="dxa"/>
            <w:tcBorders>
              <w:top w:val="single" w:sz="2" w:space="0" w:color="000000"/>
              <w:bottom w:val="single" w:sz="2" w:space="0" w:color="000000"/>
            </w:tcBorders>
          </w:tcPr>
          <w:p w14:paraId="6F294C97" w14:textId="77777777" w:rsidR="00084F36" w:rsidRPr="00EB2BD8" w:rsidRDefault="00EB2BD8">
            <w:pPr>
              <w:pStyle w:val="TableParagraph"/>
              <w:spacing w:before="116"/>
              <w:ind w:right="459"/>
              <w:jc w:val="right"/>
              <w:rPr>
                <w:sz w:val="16"/>
              </w:rPr>
            </w:pPr>
            <w:r w:rsidRPr="00EB2BD8">
              <w:rPr>
                <w:spacing w:val="-4"/>
                <w:w w:val="85"/>
                <w:sz w:val="16"/>
              </w:rPr>
              <w:t>197.7</w:t>
            </w:r>
          </w:p>
        </w:tc>
        <w:tc>
          <w:tcPr>
            <w:tcW w:w="886" w:type="dxa"/>
            <w:tcBorders>
              <w:top w:val="single" w:sz="2" w:space="0" w:color="000000"/>
              <w:bottom w:val="single" w:sz="2" w:space="0" w:color="000000"/>
            </w:tcBorders>
          </w:tcPr>
          <w:p w14:paraId="1E6C2CBA" w14:textId="77777777" w:rsidR="00084F36" w:rsidRPr="00EB2BD8" w:rsidRDefault="00EB2BD8">
            <w:pPr>
              <w:pStyle w:val="TableParagraph"/>
              <w:spacing w:before="116"/>
              <w:ind w:right="212"/>
              <w:jc w:val="right"/>
              <w:rPr>
                <w:sz w:val="16"/>
              </w:rPr>
            </w:pPr>
            <w:r w:rsidRPr="00EB2BD8">
              <w:rPr>
                <w:spacing w:val="-5"/>
                <w:sz w:val="16"/>
              </w:rPr>
              <w:t>42</w:t>
            </w:r>
          </w:p>
        </w:tc>
        <w:tc>
          <w:tcPr>
            <w:tcW w:w="632" w:type="dxa"/>
            <w:tcBorders>
              <w:top w:val="single" w:sz="2" w:space="0" w:color="000000"/>
              <w:bottom w:val="single" w:sz="2" w:space="0" w:color="000000"/>
            </w:tcBorders>
          </w:tcPr>
          <w:p w14:paraId="36FC9664" w14:textId="77777777" w:rsidR="00084F36" w:rsidRPr="00EB2BD8" w:rsidRDefault="00EB2BD8">
            <w:pPr>
              <w:pStyle w:val="TableParagraph"/>
              <w:spacing w:before="116"/>
              <w:ind w:right="106"/>
              <w:jc w:val="right"/>
              <w:rPr>
                <w:sz w:val="16"/>
              </w:rPr>
            </w:pPr>
            <w:r w:rsidRPr="00EB2BD8">
              <w:rPr>
                <w:spacing w:val="-4"/>
                <w:w w:val="85"/>
                <w:sz w:val="16"/>
              </w:rPr>
              <w:t>41.6</w:t>
            </w:r>
          </w:p>
        </w:tc>
      </w:tr>
      <w:tr w:rsidR="00EB2BD8" w:rsidRPr="00EB2BD8" w14:paraId="2DE70555" w14:textId="77777777">
        <w:trPr>
          <w:trHeight w:val="381"/>
        </w:trPr>
        <w:tc>
          <w:tcPr>
            <w:tcW w:w="421" w:type="dxa"/>
            <w:vMerge/>
            <w:tcBorders>
              <w:top w:val="nil"/>
              <w:bottom w:val="single" w:sz="2" w:space="0" w:color="000000"/>
            </w:tcBorders>
            <w:shd w:val="clear" w:color="auto" w:fill="4CB7FF"/>
            <w:textDirection w:val="btLr"/>
          </w:tcPr>
          <w:p w14:paraId="24A54295" w14:textId="77777777" w:rsidR="00084F36" w:rsidRPr="00EB2BD8" w:rsidRDefault="00084F36">
            <w:pPr>
              <w:rPr>
                <w:sz w:val="2"/>
                <w:szCs w:val="2"/>
              </w:rPr>
            </w:pPr>
          </w:p>
        </w:tc>
        <w:tc>
          <w:tcPr>
            <w:tcW w:w="3283" w:type="dxa"/>
            <w:tcBorders>
              <w:top w:val="single" w:sz="2" w:space="0" w:color="000000"/>
              <w:bottom w:val="single" w:sz="2" w:space="0" w:color="000000"/>
            </w:tcBorders>
          </w:tcPr>
          <w:p w14:paraId="72F81AB4" w14:textId="77777777" w:rsidR="00084F36" w:rsidRPr="00EB2BD8" w:rsidRDefault="00EB2BD8">
            <w:pPr>
              <w:pStyle w:val="TableParagraph"/>
              <w:spacing w:before="116"/>
              <w:ind w:left="113"/>
              <w:rPr>
                <w:sz w:val="16"/>
              </w:rPr>
            </w:pPr>
            <w:r w:rsidRPr="00EB2BD8">
              <w:rPr>
                <w:w w:val="105"/>
                <w:sz w:val="16"/>
              </w:rPr>
              <w:t>Self-</w:t>
            </w:r>
            <w:r w:rsidRPr="00EB2BD8">
              <w:rPr>
                <w:spacing w:val="-2"/>
                <w:w w:val="105"/>
                <w:sz w:val="16"/>
              </w:rPr>
              <w:t>described</w:t>
            </w:r>
          </w:p>
        </w:tc>
        <w:tc>
          <w:tcPr>
            <w:tcW w:w="998" w:type="dxa"/>
            <w:tcBorders>
              <w:top w:val="single" w:sz="2" w:space="0" w:color="000000"/>
              <w:bottom w:val="single" w:sz="2" w:space="0" w:color="000000"/>
            </w:tcBorders>
          </w:tcPr>
          <w:p w14:paraId="33255DA8" w14:textId="77777777" w:rsidR="00084F36" w:rsidRPr="00EB2BD8" w:rsidRDefault="00EB2BD8">
            <w:pPr>
              <w:pStyle w:val="TableParagraph"/>
              <w:spacing w:before="116"/>
              <w:ind w:right="140"/>
              <w:jc w:val="right"/>
              <w:rPr>
                <w:sz w:val="16"/>
              </w:rPr>
            </w:pPr>
            <w:r w:rsidRPr="00EB2BD8">
              <w:rPr>
                <w:w w:val="80"/>
                <w:sz w:val="16"/>
              </w:rPr>
              <w:t>2</w:t>
            </w:r>
          </w:p>
        </w:tc>
        <w:tc>
          <w:tcPr>
            <w:tcW w:w="974" w:type="dxa"/>
            <w:tcBorders>
              <w:top w:val="single" w:sz="2" w:space="0" w:color="000000"/>
              <w:bottom w:val="single" w:sz="2" w:space="0" w:color="000000"/>
            </w:tcBorders>
          </w:tcPr>
          <w:p w14:paraId="3B86D005" w14:textId="77777777" w:rsidR="00084F36" w:rsidRPr="00EB2BD8" w:rsidRDefault="00EB2BD8">
            <w:pPr>
              <w:pStyle w:val="TableParagraph"/>
              <w:spacing w:before="116"/>
              <w:ind w:right="433"/>
              <w:jc w:val="right"/>
              <w:rPr>
                <w:sz w:val="16"/>
              </w:rPr>
            </w:pPr>
            <w:r w:rsidRPr="00EB2BD8">
              <w:rPr>
                <w:w w:val="80"/>
                <w:sz w:val="16"/>
              </w:rPr>
              <w:t>2</w:t>
            </w:r>
          </w:p>
        </w:tc>
        <w:tc>
          <w:tcPr>
            <w:tcW w:w="1189" w:type="dxa"/>
            <w:tcBorders>
              <w:top w:val="single" w:sz="2" w:space="0" w:color="000000"/>
              <w:bottom w:val="single" w:sz="2" w:space="0" w:color="000000"/>
            </w:tcBorders>
          </w:tcPr>
          <w:p w14:paraId="3DE72F6D" w14:textId="77777777" w:rsidR="00084F36" w:rsidRPr="00EB2BD8" w:rsidRDefault="00EB2BD8">
            <w:pPr>
              <w:pStyle w:val="TableParagraph"/>
              <w:spacing w:before="116"/>
              <w:ind w:right="489"/>
              <w:jc w:val="right"/>
              <w:rPr>
                <w:sz w:val="16"/>
              </w:rPr>
            </w:pPr>
            <w:r w:rsidRPr="00EB2BD8">
              <w:rPr>
                <w:w w:val="80"/>
                <w:sz w:val="16"/>
              </w:rPr>
              <w:t>2</w:t>
            </w:r>
          </w:p>
        </w:tc>
        <w:tc>
          <w:tcPr>
            <w:tcW w:w="799" w:type="dxa"/>
            <w:tcBorders>
              <w:top w:val="single" w:sz="2" w:space="0" w:color="000000"/>
              <w:bottom w:val="single" w:sz="2" w:space="0" w:color="000000"/>
            </w:tcBorders>
          </w:tcPr>
          <w:p w14:paraId="691339BE" w14:textId="77777777" w:rsidR="00084F36" w:rsidRPr="00EB2BD8" w:rsidRDefault="00EB2BD8">
            <w:pPr>
              <w:pStyle w:val="TableParagraph"/>
              <w:spacing w:before="116"/>
              <w:ind w:right="154"/>
              <w:jc w:val="right"/>
              <w:rPr>
                <w:sz w:val="16"/>
              </w:rPr>
            </w:pPr>
            <w:r w:rsidRPr="00EB2BD8">
              <w:rPr>
                <w:w w:val="135"/>
                <w:sz w:val="16"/>
              </w:rPr>
              <w:t>-</w:t>
            </w:r>
          </w:p>
        </w:tc>
        <w:tc>
          <w:tcPr>
            <w:tcW w:w="986" w:type="dxa"/>
            <w:tcBorders>
              <w:top w:val="single" w:sz="2" w:space="0" w:color="000000"/>
              <w:bottom w:val="single" w:sz="2" w:space="0" w:color="000000"/>
            </w:tcBorders>
          </w:tcPr>
          <w:p w14:paraId="219B235D" w14:textId="77777777" w:rsidR="00084F36" w:rsidRPr="00EB2BD8" w:rsidRDefault="00EB2BD8">
            <w:pPr>
              <w:pStyle w:val="TableParagraph"/>
              <w:spacing w:before="116"/>
              <w:ind w:right="459"/>
              <w:jc w:val="right"/>
              <w:rPr>
                <w:sz w:val="16"/>
              </w:rPr>
            </w:pPr>
            <w:r w:rsidRPr="00EB2BD8">
              <w:rPr>
                <w:w w:val="80"/>
                <w:sz w:val="16"/>
              </w:rPr>
              <w:t>2</w:t>
            </w:r>
          </w:p>
        </w:tc>
        <w:tc>
          <w:tcPr>
            <w:tcW w:w="886" w:type="dxa"/>
            <w:tcBorders>
              <w:top w:val="single" w:sz="2" w:space="0" w:color="000000"/>
              <w:bottom w:val="single" w:sz="2" w:space="0" w:color="000000"/>
            </w:tcBorders>
          </w:tcPr>
          <w:p w14:paraId="57A86B7E" w14:textId="77777777" w:rsidR="00084F36" w:rsidRPr="00EB2BD8" w:rsidRDefault="00EB2BD8">
            <w:pPr>
              <w:pStyle w:val="TableParagraph"/>
              <w:spacing w:before="116"/>
              <w:ind w:right="211"/>
              <w:jc w:val="right"/>
              <w:rPr>
                <w:sz w:val="16"/>
              </w:rPr>
            </w:pPr>
            <w:r w:rsidRPr="00EB2BD8">
              <w:rPr>
                <w:w w:val="135"/>
                <w:sz w:val="16"/>
              </w:rPr>
              <w:t>-</w:t>
            </w:r>
          </w:p>
        </w:tc>
        <w:tc>
          <w:tcPr>
            <w:tcW w:w="632" w:type="dxa"/>
            <w:tcBorders>
              <w:top w:val="single" w:sz="2" w:space="0" w:color="000000"/>
              <w:bottom w:val="single" w:sz="2" w:space="0" w:color="000000"/>
            </w:tcBorders>
          </w:tcPr>
          <w:p w14:paraId="7330B044" w14:textId="77777777" w:rsidR="00084F36" w:rsidRPr="00EB2BD8" w:rsidRDefault="00EB2BD8">
            <w:pPr>
              <w:pStyle w:val="TableParagraph"/>
              <w:spacing w:before="116"/>
              <w:ind w:right="106"/>
              <w:jc w:val="right"/>
              <w:rPr>
                <w:sz w:val="16"/>
              </w:rPr>
            </w:pPr>
            <w:r w:rsidRPr="00EB2BD8">
              <w:rPr>
                <w:w w:val="135"/>
                <w:sz w:val="16"/>
              </w:rPr>
              <w:t>-</w:t>
            </w:r>
          </w:p>
        </w:tc>
      </w:tr>
      <w:tr w:rsidR="00EB2BD8" w:rsidRPr="00EB2BD8" w14:paraId="7D313F67" w14:textId="77777777">
        <w:trPr>
          <w:trHeight w:val="365"/>
        </w:trPr>
        <w:tc>
          <w:tcPr>
            <w:tcW w:w="421" w:type="dxa"/>
            <w:vMerge/>
            <w:tcBorders>
              <w:top w:val="nil"/>
              <w:bottom w:val="single" w:sz="2" w:space="0" w:color="000000"/>
            </w:tcBorders>
            <w:shd w:val="clear" w:color="auto" w:fill="4CB7FF"/>
            <w:textDirection w:val="btLr"/>
          </w:tcPr>
          <w:p w14:paraId="12C4659F" w14:textId="77777777" w:rsidR="00084F36" w:rsidRPr="00EB2BD8" w:rsidRDefault="00084F36">
            <w:pPr>
              <w:rPr>
                <w:sz w:val="2"/>
                <w:szCs w:val="2"/>
              </w:rPr>
            </w:pPr>
          </w:p>
        </w:tc>
        <w:tc>
          <w:tcPr>
            <w:tcW w:w="9747" w:type="dxa"/>
            <w:gridSpan w:val="8"/>
            <w:tcBorders>
              <w:top w:val="single" w:sz="2" w:space="0" w:color="000000"/>
            </w:tcBorders>
            <w:shd w:val="clear" w:color="auto" w:fill="E5F5FF"/>
          </w:tcPr>
          <w:p w14:paraId="137B5324" w14:textId="77777777" w:rsidR="00084F36" w:rsidRPr="00EB2BD8" w:rsidRDefault="00EB2BD8">
            <w:pPr>
              <w:pStyle w:val="TableParagraph"/>
              <w:spacing w:before="82"/>
              <w:ind w:left="80"/>
              <w:rPr>
                <w:sz w:val="16"/>
              </w:rPr>
            </w:pPr>
            <w:r w:rsidRPr="00EB2BD8">
              <w:rPr>
                <w:spacing w:val="-5"/>
                <w:sz w:val="16"/>
              </w:rPr>
              <w:t>Age</w:t>
            </w:r>
          </w:p>
        </w:tc>
      </w:tr>
      <w:tr w:rsidR="00EB2BD8" w:rsidRPr="00EB2BD8" w14:paraId="65137411" w14:textId="77777777">
        <w:trPr>
          <w:trHeight w:val="381"/>
        </w:trPr>
        <w:tc>
          <w:tcPr>
            <w:tcW w:w="421" w:type="dxa"/>
            <w:vMerge/>
            <w:tcBorders>
              <w:top w:val="nil"/>
              <w:bottom w:val="single" w:sz="2" w:space="0" w:color="000000"/>
            </w:tcBorders>
            <w:shd w:val="clear" w:color="auto" w:fill="4CB7FF"/>
            <w:textDirection w:val="btLr"/>
          </w:tcPr>
          <w:p w14:paraId="655A3C84" w14:textId="77777777" w:rsidR="00084F36" w:rsidRPr="00EB2BD8" w:rsidRDefault="00084F36">
            <w:pPr>
              <w:rPr>
                <w:sz w:val="2"/>
                <w:szCs w:val="2"/>
              </w:rPr>
            </w:pPr>
          </w:p>
        </w:tc>
        <w:tc>
          <w:tcPr>
            <w:tcW w:w="3283" w:type="dxa"/>
            <w:tcBorders>
              <w:bottom w:val="single" w:sz="2" w:space="0" w:color="000000"/>
            </w:tcBorders>
          </w:tcPr>
          <w:p w14:paraId="51D07595" w14:textId="77777777" w:rsidR="00084F36" w:rsidRPr="00EB2BD8" w:rsidRDefault="00EB2BD8">
            <w:pPr>
              <w:pStyle w:val="TableParagraph"/>
              <w:spacing w:before="116"/>
              <w:ind w:left="113"/>
              <w:rPr>
                <w:sz w:val="16"/>
              </w:rPr>
            </w:pPr>
            <w:r w:rsidRPr="00EB2BD8">
              <w:rPr>
                <w:spacing w:val="-2"/>
                <w:w w:val="95"/>
                <w:sz w:val="16"/>
              </w:rPr>
              <w:t>15–24</w:t>
            </w:r>
          </w:p>
        </w:tc>
        <w:tc>
          <w:tcPr>
            <w:tcW w:w="998" w:type="dxa"/>
            <w:tcBorders>
              <w:bottom w:val="single" w:sz="2" w:space="0" w:color="000000"/>
            </w:tcBorders>
          </w:tcPr>
          <w:p w14:paraId="453BC8F8" w14:textId="77777777" w:rsidR="00084F36" w:rsidRPr="00EB2BD8" w:rsidRDefault="00EB2BD8">
            <w:pPr>
              <w:pStyle w:val="TableParagraph"/>
              <w:spacing w:before="116"/>
              <w:ind w:right="140"/>
              <w:jc w:val="right"/>
              <w:rPr>
                <w:sz w:val="16"/>
              </w:rPr>
            </w:pPr>
            <w:r w:rsidRPr="00EB2BD8">
              <w:rPr>
                <w:w w:val="96"/>
                <w:sz w:val="16"/>
              </w:rPr>
              <w:t>6</w:t>
            </w:r>
          </w:p>
        </w:tc>
        <w:tc>
          <w:tcPr>
            <w:tcW w:w="974" w:type="dxa"/>
            <w:tcBorders>
              <w:bottom w:val="single" w:sz="2" w:space="0" w:color="000000"/>
            </w:tcBorders>
          </w:tcPr>
          <w:p w14:paraId="2199A4E4" w14:textId="77777777" w:rsidR="00084F36" w:rsidRPr="00EB2BD8" w:rsidRDefault="00EB2BD8">
            <w:pPr>
              <w:pStyle w:val="TableParagraph"/>
              <w:spacing w:before="116"/>
              <w:ind w:right="436"/>
              <w:jc w:val="right"/>
              <w:rPr>
                <w:sz w:val="16"/>
              </w:rPr>
            </w:pPr>
            <w:r w:rsidRPr="00EB2BD8">
              <w:rPr>
                <w:spacing w:val="-5"/>
                <w:w w:val="95"/>
                <w:sz w:val="16"/>
              </w:rPr>
              <w:t>5.6</w:t>
            </w:r>
          </w:p>
        </w:tc>
        <w:tc>
          <w:tcPr>
            <w:tcW w:w="1189" w:type="dxa"/>
            <w:tcBorders>
              <w:bottom w:val="single" w:sz="2" w:space="0" w:color="000000"/>
            </w:tcBorders>
          </w:tcPr>
          <w:p w14:paraId="1E578DA8" w14:textId="77777777" w:rsidR="00084F36" w:rsidRPr="00EB2BD8" w:rsidRDefault="00EB2BD8">
            <w:pPr>
              <w:pStyle w:val="TableParagraph"/>
              <w:spacing w:before="116"/>
              <w:ind w:right="488"/>
              <w:jc w:val="right"/>
              <w:rPr>
                <w:sz w:val="16"/>
              </w:rPr>
            </w:pPr>
            <w:r w:rsidRPr="00EB2BD8">
              <w:rPr>
                <w:w w:val="88"/>
                <w:sz w:val="16"/>
              </w:rPr>
              <w:t>5</w:t>
            </w:r>
          </w:p>
        </w:tc>
        <w:tc>
          <w:tcPr>
            <w:tcW w:w="799" w:type="dxa"/>
            <w:tcBorders>
              <w:bottom w:val="single" w:sz="2" w:space="0" w:color="000000"/>
            </w:tcBorders>
          </w:tcPr>
          <w:p w14:paraId="1FE21CCE" w14:textId="77777777" w:rsidR="00084F36" w:rsidRPr="00EB2BD8" w:rsidRDefault="00EB2BD8">
            <w:pPr>
              <w:pStyle w:val="TableParagraph"/>
              <w:spacing w:before="116"/>
              <w:ind w:right="153"/>
              <w:jc w:val="right"/>
              <w:rPr>
                <w:sz w:val="16"/>
              </w:rPr>
            </w:pPr>
            <w:r w:rsidRPr="00EB2BD8">
              <w:rPr>
                <w:w w:val="55"/>
                <w:sz w:val="16"/>
              </w:rPr>
              <w:t>1</w:t>
            </w:r>
          </w:p>
        </w:tc>
        <w:tc>
          <w:tcPr>
            <w:tcW w:w="986" w:type="dxa"/>
            <w:tcBorders>
              <w:bottom w:val="single" w:sz="2" w:space="0" w:color="000000"/>
            </w:tcBorders>
          </w:tcPr>
          <w:p w14:paraId="4077DC35" w14:textId="77777777" w:rsidR="00084F36" w:rsidRPr="00EB2BD8" w:rsidRDefault="00EB2BD8">
            <w:pPr>
              <w:pStyle w:val="TableParagraph"/>
              <w:spacing w:before="116"/>
              <w:ind w:right="462"/>
              <w:jc w:val="right"/>
              <w:rPr>
                <w:sz w:val="16"/>
              </w:rPr>
            </w:pPr>
            <w:r w:rsidRPr="00EB2BD8">
              <w:rPr>
                <w:spacing w:val="-5"/>
                <w:w w:val="95"/>
                <w:sz w:val="16"/>
              </w:rPr>
              <w:t>5.6</w:t>
            </w:r>
          </w:p>
        </w:tc>
        <w:tc>
          <w:tcPr>
            <w:tcW w:w="886" w:type="dxa"/>
            <w:tcBorders>
              <w:bottom w:val="single" w:sz="2" w:space="0" w:color="000000"/>
            </w:tcBorders>
          </w:tcPr>
          <w:p w14:paraId="5147C122" w14:textId="77777777" w:rsidR="00084F36" w:rsidRPr="00EB2BD8" w:rsidRDefault="00EB2BD8">
            <w:pPr>
              <w:pStyle w:val="TableParagraph"/>
              <w:spacing w:before="116"/>
              <w:ind w:right="211"/>
              <w:jc w:val="right"/>
              <w:rPr>
                <w:sz w:val="16"/>
              </w:rPr>
            </w:pPr>
            <w:r w:rsidRPr="00EB2BD8">
              <w:rPr>
                <w:w w:val="135"/>
                <w:sz w:val="16"/>
              </w:rPr>
              <w:t>-</w:t>
            </w:r>
          </w:p>
        </w:tc>
        <w:tc>
          <w:tcPr>
            <w:tcW w:w="632" w:type="dxa"/>
            <w:tcBorders>
              <w:bottom w:val="single" w:sz="2" w:space="0" w:color="000000"/>
            </w:tcBorders>
          </w:tcPr>
          <w:p w14:paraId="48C91410" w14:textId="77777777" w:rsidR="00084F36" w:rsidRPr="00EB2BD8" w:rsidRDefault="00EB2BD8">
            <w:pPr>
              <w:pStyle w:val="TableParagraph"/>
              <w:spacing w:before="116"/>
              <w:ind w:right="106"/>
              <w:jc w:val="right"/>
              <w:rPr>
                <w:sz w:val="16"/>
              </w:rPr>
            </w:pPr>
            <w:r w:rsidRPr="00EB2BD8">
              <w:rPr>
                <w:w w:val="135"/>
                <w:sz w:val="16"/>
              </w:rPr>
              <w:t>-</w:t>
            </w:r>
          </w:p>
        </w:tc>
      </w:tr>
      <w:tr w:rsidR="00EB2BD8" w:rsidRPr="00EB2BD8" w14:paraId="0A0B7E0F" w14:textId="77777777">
        <w:trPr>
          <w:trHeight w:val="381"/>
        </w:trPr>
        <w:tc>
          <w:tcPr>
            <w:tcW w:w="421" w:type="dxa"/>
            <w:vMerge/>
            <w:tcBorders>
              <w:top w:val="nil"/>
              <w:bottom w:val="single" w:sz="2" w:space="0" w:color="000000"/>
            </w:tcBorders>
            <w:shd w:val="clear" w:color="auto" w:fill="4CB7FF"/>
            <w:textDirection w:val="btLr"/>
          </w:tcPr>
          <w:p w14:paraId="36588A3E" w14:textId="77777777" w:rsidR="00084F36" w:rsidRPr="00EB2BD8" w:rsidRDefault="00084F36">
            <w:pPr>
              <w:rPr>
                <w:sz w:val="2"/>
                <w:szCs w:val="2"/>
              </w:rPr>
            </w:pPr>
          </w:p>
        </w:tc>
        <w:tc>
          <w:tcPr>
            <w:tcW w:w="3283" w:type="dxa"/>
            <w:tcBorders>
              <w:top w:val="single" w:sz="2" w:space="0" w:color="000000"/>
              <w:bottom w:val="single" w:sz="2" w:space="0" w:color="000000"/>
            </w:tcBorders>
          </w:tcPr>
          <w:p w14:paraId="7DBC2CBC" w14:textId="77777777" w:rsidR="00084F36" w:rsidRPr="00EB2BD8" w:rsidRDefault="00EB2BD8">
            <w:pPr>
              <w:pStyle w:val="TableParagraph"/>
              <w:spacing w:before="116"/>
              <w:ind w:left="113"/>
              <w:rPr>
                <w:sz w:val="16"/>
              </w:rPr>
            </w:pPr>
            <w:r w:rsidRPr="00EB2BD8">
              <w:rPr>
                <w:spacing w:val="-2"/>
                <w:sz w:val="16"/>
              </w:rPr>
              <w:t>25–34</w:t>
            </w:r>
          </w:p>
        </w:tc>
        <w:tc>
          <w:tcPr>
            <w:tcW w:w="998" w:type="dxa"/>
            <w:tcBorders>
              <w:top w:val="single" w:sz="2" w:space="0" w:color="000000"/>
              <w:bottom w:val="single" w:sz="2" w:space="0" w:color="000000"/>
            </w:tcBorders>
          </w:tcPr>
          <w:p w14:paraId="370D1BB0" w14:textId="77777777" w:rsidR="00084F36" w:rsidRPr="00EB2BD8" w:rsidRDefault="00EB2BD8">
            <w:pPr>
              <w:pStyle w:val="TableParagraph"/>
              <w:spacing w:before="116"/>
              <w:ind w:right="141"/>
              <w:jc w:val="right"/>
              <w:rPr>
                <w:sz w:val="16"/>
              </w:rPr>
            </w:pPr>
            <w:r w:rsidRPr="00EB2BD8">
              <w:rPr>
                <w:spacing w:val="-5"/>
                <w:w w:val="95"/>
                <w:sz w:val="16"/>
              </w:rPr>
              <w:t>105</w:t>
            </w:r>
          </w:p>
        </w:tc>
        <w:tc>
          <w:tcPr>
            <w:tcW w:w="974" w:type="dxa"/>
            <w:tcBorders>
              <w:top w:val="single" w:sz="2" w:space="0" w:color="000000"/>
              <w:bottom w:val="single" w:sz="2" w:space="0" w:color="000000"/>
            </w:tcBorders>
          </w:tcPr>
          <w:p w14:paraId="0CEBFE4A" w14:textId="77777777" w:rsidR="00084F36" w:rsidRPr="00EB2BD8" w:rsidRDefault="00EB2BD8">
            <w:pPr>
              <w:pStyle w:val="TableParagraph"/>
              <w:spacing w:before="116"/>
              <w:ind w:right="434"/>
              <w:jc w:val="right"/>
              <w:rPr>
                <w:sz w:val="16"/>
              </w:rPr>
            </w:pPr>
            <w:r w:rsidRPr="00EB2BD8">
              <w:rPr>
                <w:spacing w:val="-2"/>
                <w:w w:val="95"/>
                <w:sz w:val="16"/>
              </w:rPr>
              <w:t>103.8</w:t>
            </w:r>
          </w:p>
        </w:tc>
        <w:tc>
          <w:tcPr>
            <w:tcW w:w="1189" w:type="dxa"/>
            <w:tcBorders>
              <w:top w:val="single" w:sz="2" w:space="0" w:color="000000"/>
              <w:bottom w:val="single" w:sz="2" w:space="0" w:color="000000"/>
            </w:tcBorders>
          </w:tcPr>
          <w:p w14:paraId="54871E12" w14:textId="77777777" w:rsidR="00084F36" w:rsidRPr="00EB2BD8" w:rsidRDefault="00EB2BD8">
            <w:pPr>
              <w:pStyle w:val="TableParagraph"/>
              <w:spacing w:before="116"/>
              <w:ind w:right="490"/>
              <w:jc w:val="right"/>
              <w:rPr>
                <w:sz w:val="16"/>
              </w:rPr>
            </w:pPr>
            <w:r w:rsidRPr="00EB2BD8">
              <w:rPr>
                <w:spacing w:val="-5"/>
                <w:sz w:val="16"/>
              </w:rPr>
              <w:t>83</w:t>
            </w:r>
          </w:p>
        </w:tc>
        <w:tc>
          <w:tcPr>
            <w:tcW w:w="799" w:type="dxa"/>
            <w:tcBorders>
              <w:top w:val="single" w:sz="2" w:space="0" w:color="000000"/>
              <w:bottom w:val="single" w:sz="2" w:space="0" w:color="000000"/>
            </w:tcBorders>
          </w:tcPr>
          <w:p w14:paraId="5E99736D" w14:textId="77777777" w:rsidR="00084F36" w:rsidRPr="00EB2BD8" w:rsidRDefault="00EB2BD8">
            <w:pPr>
              <w:pStyle w:val="TableParagraph"/>
              <w:spacing w:before="116"/>
              <w:ind w:right="153"/>
              <w:jc w:val="right"/>
              <w:rPr>
                <w:sz w:val="16"/>
              </w:rPr>
            </w:pPr>
            <w:r w:rsidRPr="00EB2BD8">
              <w:rPr>
                <w:w w:val="98"/>
                <w:sz w:val="16"/>
              </w:rPr>
              <w:t>4</w:t>
            </w:r>
          </w:p>
        </w:tc>
        <w:tc>
          <w:tcPr>
            <w:tcW w:w="986" w:type="dxa"/>
            <w:tcBorders>
              <w:top w:val="single" w:sz="2" w:space="0" w:color="000000"/>
              <w:bottom w:val="single" w:sz="2" w:space="0" w:color="000000"/>
            </w:tcBorders>
          </w:tcPr>
          <w:p w14:paraId="3FEE031A" w14:textId="77777777" w:rsidR="00084F36" w:rsidRPr="00EB2BD8" w:rsidRDefault="00EB2BD8">
            <w:pPr>
              <w:pStyle w:val="TableParagraph"/>
              <w:spacing w:before="116"/>
              <w:ind w:right="460"/>
              <w:jc w:val="right"/>
              <w:rPr>
                <w:sz w:val="16"/>
              </w:rPr>
            </w:pPr>
            <w:r w:rsidRPr="00EB2BD8">
              <w:rPr>
                <w:spacing w:val="-4"/>
                <w:w w:val="95"/>
                <w:sz w:val="16"/>
              </w:rPr>
              <w:t>85.8</w:t>
            </w:r>
          </w:p>
        </w:tc>
        <w:tc>
          <w:tcPr>
            <w:tcW w:w="886" w:type="dxa"/>
            <w:tcBorders>
              <w:top w:val="single" w:sz="2" w:space="0" w:color="000000"/>
              <w:bottom w:val="single" w:sz="2" w:space="0" w:color="000000"/>
            </w:tcBorders>
          </w:tcPr>
          <w:p w14:paraId="28F9C281" w14:textId="77777777" w:rsidR="00084F36" w:rsidRPr="00EB2BD8" w:rsidRDefault="00EB2BD8">
            <w:pPr>
              <w:pStyle w:val="TableParagraph"/>
              <w:spacing w:before="116"/>
              <w:ind w:right="212"/>
              <w:jc w:val="right"/>
              <w:rPr>
                <w:sz w:val="16"/>
              </w:rPr>
            </w:pPr>
            <w:r w:rsidRPr="00EB2BD8">
              <w:rPr>
                <w:spacing w:val="-5"/>
                <w:w w:val="85"/>
                <w:sz w:val="16"/>
              </w:rPr>
              <w:t>18</w:t>
            </w:r>
          </w:p>
        </w:tc>
        <w:tc>
          <w:tcPr>
            <w:tcW w:w="632" w:type="dxa"/>
            <w:tcBorders>
              <w:top w:val="single" w:sz="2" w:space="0" w:color="000000"/>
              <w:bottom w:val="single" w:sz="2" w:space="0" w:color="000000"/>
            </w:tcBorders>
          </w:tcPr>
          <w:p w14:paraId="10A7A256" w14:textId="77777777" w:rsidR="00084F36" w:rsidRPr="00EB2BD8" w:rsidRDefault="00EB2BD8">
            <w:pPr>
              <w:pStyle w:val="TableParagraph"/>
              <w:spacing w:before="116"/>
              <w:ind w:right="107"/>
              <w:jc w:val="right"/>
              <w:rPr>
                <w:sz w:val="16"/>
              </w:rPr>
            </w:pPr>
            <w:r w:rsidRPr="00EB2BD8">
              <w:rPr>
                <w:spacing w:val="-5"/>
                <w:w w:val="85"/>
                <w:sz w:val="16"/>
              </w:rPr>
              <w:t>18</w:t>
            </w:r>
          </w:p>
        </w:tc>
      </w:tr>
      <w:tr w:rsidR="00EB2BD8" w:rsidRPr="00EB2BD8" w14:paraId="5956BE52" w14:textId="77777777">
        <w:trPr>
          <w:trHeight w:val="381"/>
        </w:trPr>
        <w:tc>
          <w:tcPr>
            <w:tcW w:w="421" w:type="dxa"/>
            <w:vMerge/>
            <w:tcBorders>
              <w:top w:val="nil"/>
              <w:bottom w:val="single" w:sz="2" w:space="0" w:color="000000"/>
            </w:tcBorders>
            <w:shd w:val="clear" w:color="auto" w:fill="4CB7FF"/>
            <w:textDirection w:val="btLr"/>
          </w:tcPr>
          <w:p w14:paraId="75EFBD7E" w14:textId="77777777" w:rsidR="00084F36" w:rsidRPr="00EB2BD8" w:rsidRDefault="00084F36">
            <w:pPr>
              <w:rPr>
                <w:sz w:val="2"/>
                <w:szCs w:val="2"/>
              </w:rPr>
            </w:pPr>
          </w:p>
        </w:tc>
        <w:tc>
          <w:tcPr>
            <w:tcW w:w="3283" w:type="dxa"/>
            <w:tcBorders>
              <w:top w:val="single" w:sz="2" w:space="0" w:color="000000"/>
              <w:bottom w:val="single" w:sz="2" w:space="0" w:color="000000"/>
            </w:tcBorders>
          </w:tcPr>
          <w:p w14:paraId="094585E2" w14:textId="77777777" w:rsidR="00084F36" w:rsidRPr="00EB2BD8" w:rsidRDefault="00EB2BD8">
            <w:pPr>
              <w:pStyle w:val="TableParagraph"/>
              <w:spacing w:before="116"/>
              <w:ind w:left="113"/>
              <w:rPr>
                <w:sz w:val="16"/>
              </w:rPr>
            </w:pPr>
            <w:r w:rsidRPr="00EB2BD8">
              <w:rPr>
                <w:spacing w:val="-2"/>
                <w:sz w:val="16"/>
              </w:rPr>
              <w:t>35–44</w:t>
            </w:r>
          </w:p>
        </w:tc>
        <w:tc>
          <w:tcPr>
            <w:tcW w:w="998" w:type="dxa"/>
            <w:tcBorders>
              <w:top w:val="single" w:sz="2" w:space="0" w:color="000000"/>
              <w:bottom w:val="single" w:sz="2" w:space="0" w:color="000000"/>
            </w:tcBorders>
          </w:tcPr>
          <w:p w14:paraId="4B2DF35C" w14:textId="77777777" w:rsidR="00084F36" w:rsidRPr="00EB2BD8" w:rsidRDefault="00EB2BD8">
            <w:pPr>
              <w:pStyle w:val="TableParagraph"/>
              <w:spacing w:before="116"/>
              <w:ind w:right="141"/>
              <w:jc w:val="right"/>
              <w:rPr>
                <w:sz w:val="16"/>
              </w:rPr>
            </w:pPr>
            <w:r w:rsidRPr="00EB2BD8">
              <w:rPr>
                <w:spacing w:val="-5"/>
                <w:w w:val="85"/>
                <w:sz w:val="16"/>
              </w:rPr>
              <w:t>132</w:t>
            </w:r>
          </w:p>
        </w:tc>
        <w:tc>
          <w:tcPr>
            <w:tcW w:w="974" w:type="dxa"/>
            <w:tcBorders>
              <w:top w:val="single" w:sz="2" w:space="0" w:color="000000"/>
              <w:bottom w:val="single" w:sz="2" w:space="0" w:color="000000"/>
            </w:tcBorders>
          </w:tcPr>
          <w:p w14:paraId="3CDDFC78" w14:textId="77777777" w:rsidR="00084F36" w:rsidRPr="00EB2BD8" w:rsidRDefault="00EB2BD8">
            <w:pPr>
              <w:pStyle w:val="TableParagraph"/>
              <w:spacing w:before="116"/>
              <w:ind w:right="434"/>
              <w:jc w:val="right"/>
              <w:rPr>
                <w:sz w:val="16"/>
              </w:rPr>
            </w:pPr>
            <w:r w:rsidRPr="00EB2BD8">
              <w:rPr>
                <w:spacing w:val="-4"/>
                <w:w w:val="85"/>
                <w:sz w:val="16"/>
              </w:rPr>
              <w:t>128.5</w:t>
            </w:r>
          </w:p>
        </w:tc>
        <w:tc>
          <w:tcPr>
            <w:tcW w:w="1189" w:type="dxa"/>
            <w:tcBorders>
              <w:top w:val="single" w:sz="2" w:space="0" w:color="000000"/>
              <w:bottom w:val="single" w:sz="2" w:space="0" w:color="000000"/>
            </w:tcBorders>
          </w:tcPr>
          <w:p w14:paraId="2B2B5E96" w14:textId="77777777" w:rsidR="00084F36" w:rsidRPr="00EB2BD8" w:rsidRDefault="00EB2BD8">
            <w:pPr>
              <w:pStyle w:val="TableParagraph"/>
              <w:spacing w:before="116"/>
              <w:ind w:right="489"/>
              <w:jc w:val="right"/>
              <w:rPr>
                <w:sz w:val="16"/>
              </w:rPr>
            </w:pPr>
            <w:r w:rsidRPr="00EB2BD8">
              <w:rPr>
                <w:spacing w:val="-5"/>
                <w:w w:val="95"/>
                <w:sz w:val="16"/>
              </w:rPr>
              <w:t>103</w:t>
            </w:r>
          </w:p>
        </w:tc>
        <w:tc>
          <w:tcPr>
            <w:tcW w:w="799" w:type="dxa"/>
            <w:tcBorders>
              <w:top w:val="single" w:sz="2" w:space="0" w:color="000000"/>
              <w:bottom w:val="single" w:sz="2" w:space="0" w:color="000000"/>
            </w:tcBorders>
          </w:tcPr>
          <w:p w14:paraId="39D875E9" w14:textId="77777777" w:rsidR="00084F36" w:rsidRPr="00EB2BD8" w:rsidRDefault="00EB2BD8">
            <w:pPr>
              <w:pStyle w:val="TableParagraph"/>
              <w:spacing w:before="116"/>
              <w:ind w:right="153"/>
              <w:jc w:val="right"/>
              <w:rPr>
                <w:sz w:val="16"/>
              </w:rPr>
            </w:pPr>
            <w:r w:rsidRPr="00EB2BD8">
              <w:rPr>
                <w:w w:val="96"/>
                <w:sz w:val="16"/>
              </w:rPr>
              <w:t>9</w:t>
            </w:r>
          </w:p>
        </w:tc>
        <w:tc>
          <w:tcPr>
            <w:tcW w:w="986" w:type="dxa"/>
            <w:tcBorders>
              <w:top w:val="single" w:sz="2" w:space="0" w:color="000000"/>
              <w:bottom w:val="single" w:sz="2" w:space="0" w:color="000000"/>
            </w:tcBorders>
          </w:tcPr>
          <w:p w14:paraId="4030482E" w14:textId="77777777" w:rsidR="00084F36" w:rsidRPr="00EB2BD8" w:rsidRDefault="00EB2BD8">
            <w:pPr>
              <w:pStyle w:val="TableParagraph"/>
              <w:spacing w:before="116"/>
              <w:ind w:right="460"/>
              <w:jc w:val="right"/>
              <w:rPr>
                <w:sz w:val="16"/>
              </w:rPr>
            </w:pPr>
            <w:r w:rsidRPr="00EB2BD8">
              <w:rPr>
                <w:spacing w:val="-5"/>
                <w:w w:val="95"/>
                <w:sz w:val="16"/>
              </w:rPr>
              <w:t>109</w:t>
            </w:r>
          </w:p>
        </w:tc>
        <w:tc>
          <w:tcPr>
            <w:tcW w:w="886" w:type="dxa"/>
            <w:tcBorders>
              <w:top w:val="single" w:sz="2" w:space="0" w:color="000000"/>
              <w:bottom w:val="single" w:sz="2" w:space="0" w:color="000000"/>
            </w:tcBorders>
          </w:tcPr>
          <w:p w14:paraId="174DF311" w14:textId="77777777" w:rsidR="00084F36" w:rsidRPr="00EB2BD8" w:rsidRDefault="00EB2BD8">
            <w:pPr>
              <w:pStyle w:val="TableParagraph"/>
              <w:spacing w:before="116"/>
              <w:ind w:right="212"/>
              <w:jc w:val="right"/>
              <w:rPr>
                <w:sz w:val="16"/>
              </w:rPr>
            </w:pPr>
            <w:r w:rsidRPr="00EB2BD8">
              <w:rPr>
                <w:spacing w:val="-5"/>
                <w:sz w:val="16"/>
              </w:rPr>
              <w:t>20</w:t>
            </w:r>
          </w:p>
        </w:tc>
        <w:tc>
          <w:tcPr>
            <w:tcW w:w="632" w:type="dxa"/>
            <w:tcBorders>
              <w:top w:val="single" w:sz="2" w:space="0" w:color="000000"/>
              <w:bottom w:val="single" w:sz="2" w:space="0" w:color="000000"/>
            </w:tcBorders>
          </w:tcPr>
          <w:p w14:paraId="24728B4D" w14:textId="77777777" w:rsidR="00084F36" w:rsidRPr="00EB2BD8" w:rsidRDefault="00EB2BD8">
            <w:pPr>
              <w:pStyle w:val="TableParagraph"/>
              <w:spacing w:before="116"/>
              <w:ind w:right="107"/>
              <w:jc w:val="right"/>
              <w:rPr>
                <w:sz w:val="16"/>
              </w:rPr>
            </w:pPr>
            <w:r w:rsidRPr="00EB2BD8">
              <w:rPr>
                <w:spacing w:val="-4"/>
                <w:w w:val="90"/>
                <w:sz w:val="16"/>
              </w:rPr>
              <w:t>19.4</w:t>
            </w:r>
          </w:p>
        </w:tc>
      </w:tr>
      <w:tr w:rsidR="00EB2BD8" w:rsidRPr="00EB2BD8" w14:paraId="47CC13C4" w14:textId="77777777">
        <w:trPr>
          <w:trHeight w:val="381"/>
        </w:trPr>
        <w:tc>
          <w:tcPr>
            <w:tcW w:w="421" w:type="dxa"/>
            <w:vMerge/>
            <w:tcBorders>
              <w:top w:val="nil"/>
              <w:bottom w:val="single" w:sz="2" w:space="0" w:color="000000"/>
            </w:tcBorders>
            <w:shd w:val="clear" w:color="auto" w:fill="4CB7FF"/>
            <w:textDirection w:val="btLr"/>
          </w:tcPr>
          <w:p w14:paraId="6FD03637" w14:textId="77777777" w:rsidR="00084F36" w:rsidRPr="00EB2BD8" w:rsidRDefault="00084F36">
            <w:pPr>
              <w:rPr>
                <w:sz w:val="2"/>
                <w:szCs w:val="2"/>
              </w:rPr>
            </w:pPr>
          </w:p>
        </w:tc>
        <w:tc>
          <w:tcPr>
            <w:tcW w:w="3283" w:type="dxa"/>
            <w:tcBorders>
              <w:top w:val="single" w:sz="2" w:space="0" w:color="000000"/>
              <w:bottom w:val="single" w:sz="2" w:space="0" w:color="000000"/>
            </w:tcBorders>
          </w:tcPr>
          <w:p w14:paraId="21BCC170" w14:textId="77777777" w:rsidR="00084F36" w:rsidRPr="00EB2BD8" w:rsidRDefault="00EB2BD8">
            <w:pPr>
              <w:pStyle w:val="TableParagraph"/>
              <w:spacing w:before="116"/>
              <w:ind w:left="113"/>
              <w:rPr>
                <w:sz w:val="16"/>
              </w:rPr>
            </w:pPr>
            <w:r w:rsidRPr="00EB2BD8">
              <w:rPr>
                <w:spacing w:val="-2"/>
                <w:sz w:val="16"/>
              </w:rPr>
              <w:t>45–54</w:t>
            </w:r>
          </w:p>
        </w:tc>
        <w:tc>
          <w:tcPr>
            <w:tcW w:w="998" w:type="dxa"/>
            <w:tcBorders>
              <w:top w:val="single" w:sz="2" w:space="0" w:color="000000"/>
              <w:bottom w:val="single" w:sz="2" w:space="0" w:color="000000"/>
            </w:tcBorders>
          </w:tcPr>
          <w:p w14:paraId="61559710" w14:textId="77777777" w:rsidR="00084F36" w:rsidRPr="00EB2BD8" w:rsidRDefault="00EB2BD8">
            <w:pPr>
              <w:pStyle w:val="TableParagraph"/>
              <w:spacing w:before="116"/>
              <w:ind w:right="141"/>
              <w:jc w:val="right"/>
              <w:rPr>
                <w:sz w:val="16"/>
              </w:rPr>
            </w:pPr>
            <w:r w:rsidRPr="00EB2BD8">
              <w:rPr>
                <w:spacing w:val="-5"/>
                <w:w w:val="85"/>
                <w:sz w:val="16"/>
              </w:rPr>
              <w:t>129</w:t>
            </w:r>
          </w:p>
        </w:tc>
        <w:tc>
          <w:tcPr>
            <w:tcW w:w="974" w:type="dxa"/>
            <w:tcBorders>
              <w:top w:val="single" w:sz="2" w:space="0" w:color="000000"/>
              <w:bottom w:val="single" w:sz="2" w:space="0" w:color="000000"/>
            </w:tcBorders>
          </w:tcPr>
          <w:p w14:paraId="2B91358D" w14:textId="77777777" w:rsidR="00084F36" w:rsidRPr="00EB2BD8" w:rsidRDefault="00EB2BD8">
            <w:pPr>
              <w:pStyle w:val="TableParagraph"/>
              <w:spacing w:before="116"/>
              <w:ind w:right="434"/>
              <w:jc w:val="right"/>
              <w:rPr>
                <w:sz w:val="16"/>
              </w:rPr>
            </w:pPr>
            <w:r w:rsidRPr="00EB2BD8">
              <w:rPr>
                <w:spacing w:val="-5"/>
                <w:w w:val="80"/>
                <w:sz w:val="16"/>
              </w:rPr>
              <w:t>127</w:t>
            </w:r>
          </w:p>
        </w:tc>
        <w:tc>
          <w:tcPr>
            <w:tcW w:w="1189" w:type="dxa"/>
            <w:tcBorders>
              <w:top w:val="single" w:sz="2" w:space="0" w:color="000000"/>
              <w:bottom w:val="single" w:sz="2" w:space="0" w:color="000000"/>
            </w:tcBorders>
          </w:tcPr>
          <w:p w14:paraId="7CC03BE9" w14:textId="77777777" w:rsidR="00084F36" w:rsidRPr="00EB2BD8" w:rsidRDefault="00EB2BD8">
            <w:pPr>
              <w:pStyle w:val="TableParagraph"/>
              <w:spacing w:before="116"/>
              <w:ind w:right="489"/>
              <w:jc w:val="right"/>
              <w:rPr>
                <w:sz w:val="16"/>
              </w:rPr>
            </w:pPr>
            <w:r w:rsidRPr="00EB2BD8">
              <w:rPr>
                <w:spacing w:val="-5"/>
                <w:w w:val="95"/>
                <w:sz w:val="16"/>
              </w:rPr>
              <w:t>103</w:t>
            </w:r>
          </w:p>
        </w:tc>
        <w:tc>
          <w:tcPr>
            <w:tcW w:w="799" w:type="dxa"/>
            <w:tcBorders>
              <w:top w:val="single" w:sz="2" w:space="0" w:color="000000"/>
              <w:bottom w:val="single" w:sz="2" w:space="0" w:color="000000"/>
            </w:tcBorders>
          </w:tcPr>
          <w:p w14:paraId="75C743BD" w14:textId="77777777" w:rsidR="00084F36" w:rsidRPr="00EB2BD8" w:rsidRDefault="00EB2BD8">
            <w:pPr>
              <w:pStyle w:val="TableParagraph"/>
              <w:spacing w:before="116"/>
              <w:ind w:right="153"/>
              <w:jc w:val="right"/>
              <w:rPr>
                <w:sz w:val="16"/>
              </w:rPr>
            </w:pPr>
            <w:r w:rsidRPr="00EB2BD8">
              <w:rPr>
                <w:w w:val="77"/>
                <w:sz w:val="16"/>
              </w:rPr>
              <w:t>7</w:t>
            </w:r>
          </w:p>
        </w:tc>
        <w:tc>
          <w:tcPr>
            <w:tcW w:w="986" w:type="dxa"/>
            <w:tcBorders>
              <w:top w:val="single" w:sz="2" w:space="0" w:color="000000"/>
              <w:bottom w:val="single" w:sz="2" w:space="0" w:color="000000"/>
            </w:tcBorders>
          </w:tcPr>
          <w:p w14:paraId="787EB1A7" w14:textId="77777777" w:rsidR="00084F36" w:rsidRPr="00EB2BD8" w:rsidRDefault="00EB2BD8">
            <w:pPr>
              <w:pStyle w:val="TableParagraph"/>
              <w:spacing w:before="116"/>
              <w:ind w:right="460"/>
              <w:jc w:val="right"/>
              <w:rPr>
                <w:sz w:val="16"/>
              </w:rPr>
            </w:pPr>
            <w:r w:rsidRPr="00EB2BD8">
              <w:rPr>
                <w:spacing w:val="-4"/>
                <w:w w:val="90"/>
                <w:sz w:val="16"/>
              </w:rPr>
              <w:t>108.2</w:t>
            </w:r>
          </w:p>
        </w:tc>
        <w:tc>
          <w:tcPr>
            <w:tcW w:w="886" w:type="dxa"/>
            <w:tcBorders>
              <w:top w:val="single" w:sz="2" w:space="0" w:color="000000"/>
              <w:bottom w:val="single" w:sz="2" w:space="0" w:color="000000"/>
            </w:tcBorders>
          </w:tcPr>
          <w:p w14:paraId="2F724795" w14:textId="77777777" w:rsidR="00084F36" w:rsidRPr="00EB2BD8" w:rsidRDefault="00EB2BD8">
            <w:pPr>
              <w:pStyle w:val="TableParagraph"/>
              <w:spacing w:before="116"/>
              <w:ind w:right="212"/>
              <w:jc w:val="right"/>
              <w:rPr>
                <w:sz w:val="16"/>
              </w:rPr>
            </w:pPr>
            <w:r w:rsidRPr="00EB2BD8">
              <w:rPr>
                <w:spacing w:val="-5"/>
                <w:w w:val="85"/>
                <w:sz w:val="16"/>
              </w:rPr>
              <w:t>19</w:t>
            </w:r>
          </w:p>
        </w:tc>
        <w:tc>
          <w:tcPr>
            <w:tcW w:w="632" w:type="dxa"/>
            <w:tcBorders>
              <w:top w:val="single" w:sz="2" w:space="0" w:color="000000"/>
              <w:bottom w:val="single" w:sz="2" w:space="0" w:color="000000"/>
            </w:tcBorders>
          </w:tcPr>
          <w:p w14:paraId="4E30F8F8" w14:textId="77777777" w:rsidR="00084F36" w:rsidRPr="00EB2BD8" w:rsidRDefault="00EB2BD8">
            <w:pPr>
              <w:pStyle w:val="TableParagraph"/>
              <w:spacing w:before="116"/>
              <w:ind w:right="107"/>
              <w:jc w:val="right"/>
              <w:rPr>
                <w:sz w:val="16"/>
              </w:rPr>
            </w:pPr>
            <w:r w:rsidRPr="00EB2BD8">
              <w:rPr>
                <w:spacing w:val="-4"/>
                <w:w w:val="85"/>
                <w:sz w:val="16"/>
              </w:rPr>
              <w:t>18.8</w:t>
            </w:r>
          </w:p>
        </w:tc>
      </w:tr>
      <w:tr w:rsidR="00EB2BD8" w:rsidRPr="00EB2BD8" w14:paraId="4A7093AC" w14:textId="77777777">
        <w:trPr>
          <w:trHeight w:val="381"/>
        </w:trPr>
        <w:tc>
          <w:tcPr>
            <w:tcW w:w="421" w:type="dxa"/>
            <w:vMerge/>
            <w:tcBorders>
              <w:top w:val="nil"/>
              <w:bottom w:val="single" w:sz="2" w:space="0" w:color="000000"/>
            </w:tcBorders>
            <w:shd w:val="clear" w:color="auto" w:fill="4CB7FF"/>
            <w:textDirection w:val="btLr"/>
          </w:tcPr>
          <w:p w14:paraId="7B1F1F97" w14:textId="77777777" w:rsidR="00084F36" w:rsidRPr="00EB2BD8" w:rsidRDefault="00084F36">
            <w:pPr>
              <w:rPr>
                <w:sz w:val="2"/>
                <w:szCs w:val="2"/>
              </w:rPr>
            </w:pPr>
          </w:p>
        </w:tc>
        <w:tc>
          <w:tcPr>
            <w:tcW w:w="3283" w:type="dxa"/>
            <w:tcBorders>
              <w:top w:val="single" w:sz="2" w:space="0" w:color="000000"/>
              <w:bottom w:val="single" w:sz="2" w:space="0" w:color="000000"/>
            </w:tcBorders>
          </w:tcPr>
          <w:p w14:paraId="740BD871" w14:textId="77777777" w:rsidR="00084F36" w:rsidRPr="00EB2BD8" w:rsidRDefault="00EB2BD8">
            <w:pPr>
              <w:pStyle w:val="TableParagraph"/>
              <w:spacing w:before="116"/>
              <w:ind w:left="113"/>
              <w:rPr>
                <w:sz w:val="16"/>
              </w:rPr>
            </w:pPr>
            <w:r w:rsidRPr="00EB2BD8">
              <w:rPr>
                <w:spacing w:val="-2"/>
                <w:sz w:val="16"/>
              </w:rPr>
              <w:t>55–64</w:t>
            </w:r>
          </w:p>
        </w:tc>
        <w:tc>
          <w:tcPr>
            <w:tcW w:w="998" w:type="dxa"/>
            <w:tcBorders>
              <w:top w:val="single" w:sz="2" w:space="0" w:color="000000"/>
              <w:bottom w:val="single" w:sz="2" w:space="0" w:color="000000"/>
            </w:tcBorders>
          </w:tcPr>
          <w:p w14:paraId="057B592C" w14:textId="77777777" w:rsidR="00084F36" w:rsidRPr="00EB2BD8" w:rsidRDefault="00EB2BD8">
            <w:pPr>
              <w:pStyle w:val="TableParagraph"/>
              <w:spacing w:before="116"/>
              <w:ind w:right="141"/>
              <w:jc w:val="right"/>
              <w:rPr>
                <w:sz w:val="16"/>
              </w:rPr>
            </w:pPr>
            <w:r w:rsidRPr="00EB2BD8">
              <w:rPr>
                <w:spacing w:val="-5"/>
                <w:sz w:val="16"/>
              </w:rPr>
              <w:t>88</w:t>
            </w:r>
          </w:p>
        </w:tc>
        <w:tc>
          <w:tcPr>
            <w:tcW w:w="974" w:type="dxa"/>
            <w:tcBorders>
              <w:top w:val="single" w:sz="2" w:space="0" w:color="000000"/>
              <w:bottom w:val="single" w:sz="2" w:space="0" w:color="000000"/>
            </w:tcBorders>
          </w:tcPr>
          <w:p w14:paraId="681892AC" w14:textId="77777777" w:rsidR="00084F36" w:rsidRPr="00EB2BD8" w:rsidRDefault="00EB2BD8">
            <w:pPr>
              <w:pStyle w:val="TableParagraph"/>
              <w:spacing w:before="116"/>
              <w:ind w:right="434"/>
              <w:jc w:val="right"/>
              <w:rPr>
                <w:sz w:val="16"/>
              </w:rPr>
            </w:pPr>
            <w:r w:rsidRPr="00EB2BD8">
              <w:rPr>
                <w:spacing w:val="-4"/>
                <w:w w:val="90"/>
                <w:sz w:val="16"/>
              </w:rPr>
              <w:t>87.2</w:t>
            </w:r>
          </w:p>
        </w:tc>
        <w:tc>
          <w:tcPr>
            <w:tcW w:w="1189" w:type="dxa"/>
            <w:tcBorders>
              <w:top w:val="single" w:sz="2" w:space="0" w:color="000000"/>
              <w:bottom w:val="single" w:sz="2" w:space="0" w:color="000000"/>
            </w:tcBorders>
          </w:tcPr>
          <w:p w14:paraId="11BFB857" w14:textId="77777777" w:rsidR="00084F36" w:rsidRPr="00EB2BD8" w:rsidRDefault="00EB2BD8">
            <w:pPr>
              <w:pStyle w:val="TableParagraph"/>
              <w:spacing w:before="116"/>
              <w:ind w:right="489"/>
              <w:jc w:val="right"/>
              <w:rPr>
                <w:sz w:val="16"/>
              </w:rPr>
            </w:pPr>
            <w:r w:rsidRPr="00EB2BD8">
              <w:rPr>
                <w:spacing w:val="-5"/>
                <w:sz w:val="16"/>
              </w:rPr>
              <w:t>63</w:t>
            </w:r>
          </w:p>
        </w:tc>
        <w:tc>
          <w:tcPr>
            <w:tcW w:w="799" w:type="dxa"/>
            <w:tcBorders>
              <w:top w:val="single" w:sz="2" w:space="0" w:color="000000"/>
              <w:bottom w:val="single" w:sz="2" w:space="0" w:color="000000"/>
            </w:tcBorders>
          </w:tcPr>
          <w:p w14:paraId="030F8BA5" w14:textId="77777777" w:rsidR="00084F36" w:rsidRPr="00EB2BD8" w:rsidRDefault="00EB2BD8">
            <w:pPr>
              <w:pStyle w:val="TableParagraph"/>
              <w:spacing w:before="116"/>
              <w:ind w:right="153"/>
              <w:jc w:val="right"/>
              <w:rPr>
                <w:sz w:val="16"/>
              </w:rPr>
            </w:pPr>
            <w:r w:rsidRPr="00EB2BD8">
              <w:rPr>
                <w:w w:val="55"/>
                <w:sz w:val="16"/>
              </w:rPr>
              <w:t>1</w:t>
            </w:r>
          </w:p>
        </w:tc>
        <w:tc>
          <w:tcPr>
            <w:tcW w:w="986" w:type="dxa"/>
            <w:tcBorders>
              <w:top w:val="single" w:sz="2" w:space="0" w:color="000000"/>
              <w:bottom w:val="single" w:sz="2" w:space="0" w:color="000000"/>
            </w:tcBorders>
          </w:tcPr>
          <w:p w14:paraId="066CE89A" w14:textId="77777777" w:rsidR="00084F36" w:rsidRPr="00EB2BD8" w:rsidRDefault="00EB2BD8">
            <w:pPr>
              <w:pStyle w:val="TableParagraph"/>
              <w:spacing w:before="116"/>
              <w:ind w:right="460"/>
              <w:jc w:val="right"/>
              <w:rPr>
                <w:sz w:val="16"/>
              </w:rPr>
            </w:pPr>
            <w:r w:rsidRPr="00EB2BD8">
              <w:rPr>
                <w:spacing w:val="-4"/>
                <w:sz w:val="16"/>
              </w:rPr>
              <w:t>63.8</w:t>
            </w:r>
          </w:p>
        </w:tc>
        <w:tc>
          <w:tcPr>
            <w:tcW w:w="886" w:type="dxa"/>
            <w:tcBorders>
              <w:top w:val="single" w:sz="2" w:space="0" w:color="000000"/>
              <w:bottom w:val="single" w:sz="2" w:space="0" w:color="000000"/>
            </w:tcBorders>
          </w:tcPr>
          <w:p w14:paraId="1B23FD25" w14:textId="77777777" w:rsidR="00084F36" w:rsidRPr="00EB2BD8" w:rsidRDefault="00EB2BD8">
            <w:pPr>
              <w:pStyle w:val="TableParagraph"/>
              <w:spacing w:before="116"/>
              <w:ind w:right="215"/>
              <w:jc w:val="right"/>
              <w:rPr>
                <w:sz w:val="16"/>
              </w:rPr>
            </w:pPr>
            <w:r w:rsidRPr="00EB2BD8">
              <w:rPr>
                <w:spacing w:val="-5"/>
                <w:sz w:val="16"/>
              </w:rPr>
              <w:t>24</w:t>
            </w:r>
          </w:p>
        </w:tc>
        <w:tc>
          <w:tcPr>
            <w:tcW w:w="632" w:type="dxa"/>
            <w:tcBorders>
              <w:top w:val="single" w:sz="2" w:space="0" w:color="000000"/>
              <w:bottom w:val="single" w:sz="2" w:space="0" w:color="000000"/>
            </w:tcBorders>
          </w:tcPr>
          <w:p w14:paraId="4EB32A74" w14:textId="77777777" w:rsidR="00084F36" w:rsidRPr="00EB2BD8" w:rsidRDefault="00EB2BD8">
            <w:pPr>
              <w:pStyle w:val="TableParagraph"/>
              <w:spacing w:before="116"/>
              <w:ind w:right="107"/>
              <w:jc w:val="right"/>
              <w:rPr>
                <w:sz w:val="16"/>
              </w:rPr>
            </w:pPr>
            <w:r w:rsidRPr="00EB2BD8">
              <w:rPr>
                <w:spacing w:val="-4"/>
                <w:w w:val="95"/>
                <w:sz w:val="16"/>
              </w:rPr>
              <w:t>23.4</w:t>
            </w:r>
          </w:p>
        </w:tc>
      </w:tr>
      <w:tr w:rsidR="00EB2BD8" w:rsidRPr="00EB2BD8" w14:paraId="55498835" w14:textId="77777777">
        <w:trPr>
          <w:trHeight w:val="381"/>
        </w:trPr>
        <w:tc>
          <w:tcPr>
            <w:tcW w:w="421" w:type="dxa"/>
            <w:vMerge/>
            <w:tcBorders>
              <w:top w:val="nil"/>
              <w:bottom w:val="single" w:sz="2" w:space="0" w:color="000000"/>
            </w:tcBorders>
            <w:shd w:val="clear" w:color="auto" w:fill="4CB7FF"/>
            <w:textDirection w:val="btLr"/>
          </w:tcPr>
          <w:p w14:paraId="5BDE0274" w14:textId="77777777" w:rsidR="00084F36" w:rsidRPr="00EB2BD8" w:rsidRDefault="00084F36">
            <w:pPr>
              <w:rPr>
                <w:sz w:val="2"/>
                <w:szCs w:val="2"/>
              </w:rPr>
            </w:pPr>
          </w:p>
        </w:tc>
        <w:tc>
          <w:tcPr>
            <w:tcW w:w="3283" w:type="dxa"/>
            <w:tcBorders>
              <w:top w:val="single" w:sz="2" w:space="0" w:color="000000"/>
              <w:bottom w:val="single" w:sz="2" w:space="0" w:color="000000"/>
            </w:tcBorders>
          </w:tcPr>
          <w:p w14:paraId="6F10F53A" w14:textId="77777777" w:rsidR="00084F36" w:rsidRPr="00EB2BD8" w:rsidRDefault="00EB2BD8">
            <w:pPr>
              <w:pStyle w:val="TableParagraph"/>
              <w:spacing w:before="116"/>
              <w:ind w:left="113"/>
              <w:rPr>
                <w:sz w:val="16"/>
              </w:rPr>
            </w:pPr>
            <w:r w:rsidRPr="00EB2BD8">
              <w:rPr>
                <w:spacing w:val="-5"/>
                <w:sz w:val="16"/>
              </w:rPr>
              <w:t>65+</w:t>
            </w:r>
          </w:p>
        </w:tc>
        <w:tc>
          <w:tcPr>
            <w:tcW w:w="998" w:type="dxa"/>
            <w:tcBorders>
              <w:top w:val="single" w:sz="2" w:space="0" w:color="000000"/>
              <w:bottom w:val="single" w:sz="2" w:space="0" w:color="000000"/>
            </w:tcBorders>
          </w:tcPr>
          <w:p w14:paraId="789CB125" w14:textId="77777777" w:rsidR="00084F36" w:rsidRPr="00EB2BD8" w:rsidRDefault="00EB2BD8">
            <w:pPr>
              <w:pStyle w:val="TableParagraph"/>
              <w:spacing w:before="116"/>
              <w:ind w:right="141"/>
              <w:jc w:val="right"/>
              <w:rPr>
                <w:sz w:val="16"/>
              </w:rPr>
            </w:pPr>
            <w:r w:rsidRPr="00EB2BD8">
              <w:rPr>
                <w:spacing w:val="-5"/>
                <w:w w:val="75"/>
                <w:sz w:val="16"/>
              </w:rPr>
              <w:t>12</w:t>
            </w:r>
          </w:p>
        </w:tc>
        <w:tc>
          <w:tcPr>
            <w:tcW w:w="974" w:type="dxa"/>
            <w:tcBorders>
              <w:top w:val="single" w:sz="2" w:space="0" w:color="000000"/>
              <w:bottom w:val="single" w:sz="2" w:space="0" w:color="000000"/>
            </w:tcBorders>
          </w:tcPr>
          <w:p w14:paraId="2E44DB0B" w14:textId="77777777" w:rsidR="00084F36" w:rsidRPr="00EB2BD8" w:rsidRDefault="00EB2BD8">
            <w:pPr>
              <w:pStyle w:val="TableParagraph"/>
              <w:spacing w:before="116"/>
              <w:ind w:right="433"/>
              <w:jc w:val="right"/>
              <w:rPr>
                <w:sz w:val="16"/>
              </w:rPr>
            </w:pPr>
            <w:r w:rsidRPr="00EB2BD8">
              <w:rPr>
                <w:spacing w:val="-4"/>
                <w:w w:val="75"/>
                <w:sz w:val="16"/>
              </w:rPr>
              <w:t>11.6</w:t>
            </w:r>
          </w:p>
        </w:tc>
        <w:tc>
          <w:tcPr>
            <w:tcW w:w="1189" w:type="dxa"/>
            <w:tcBorders>
              <w:top w:val="single" w:sz="2" w:space="0" w:color="000000"/>
              <w:bottom w:val="single" w:sz="2" w:space="0" w:color="000000"/>
            </w:tcBorders>
          </w:tcPr>
          <w:p w14:paraId="2293FF8D" w14:textId="77777777" w:rsidR="00084F36" w:rsidRPr="00EB2BD8" w:rsidRDefault="00EB2BD8">
            <w:pPr>
              <w:pStyle w:val="TableParagraph"/>
              <w:spacing w:before="116"/>
              <w:ind w:right="488"/>
              <w:jc w:val="right"/>
              <w:rPr>
                <w:sz w:val="16"/>
              </w:rPr>
            </w:pPr>
            <w:r w:rsidRPr="00EB2BD8">
              <w:rPr>
                <w:w w:val="96"/>
                <w:sz w:val="16"/>
              </w:rPr>
              <w:t>9</w:t>
            </w:r>
          </w:p>
        </w:tc>
        <w:tc>
          <w:tcPr>
            <w:tcW w:w="799" w:type="dxa"/>
            <w:tcBorders>
              <w:top w:val="single" w:sz="2" w:space="0" w:color="000000"/>
              <w:bottom w:val="single" w:sz="2" w:space="0" w:color="000000"/>
            </w:tcBorders>
          </w:tcPr>
          <w:p w14:paraId="22BF93CC" w14:textId="77777777" w:rsidR="00084F36" w:rsidRPr="00EB2BD8" w:rsidRDefault="00EB2BD8">
            <w:pPr>
              <w:pStyle w:val="TableParagraph"/>
              <w:spacing w:before="116"/>
              <w:ind w:right="153"/>
              <w:jc w:val="right"/>
              <w:rPr>
                <w:sz w:val="16"/>
              </w:rPr>
            </w:pPr>
            <w:r w:rsidRPr="00EB2BD8">
              <w:rPr>
                <w:w w:val="80"/>
                <w:sz w:val="16"/>
              </w:rPr>
              <w:t>2</w:t>
            </w:r>
          </w:p>
        </w:tc>
        <w:tc>
          <w:tcPr>
            <w:tcW w:w="986" w:type="dxa"/>
            <w:tcBorders>
              <w:top w:val="single" w:sz="2" w:space="0" w:color="000000"/>
              <w:bottom w:val="single" w:sz="2" w:space="0" w:color="000000"/>
            </w:tcBorders>
          </w:tcPr>
          <w:p w14:paraId="2A95CF34" w14:textId="77777777" w:rsidR="00084F36" w:rsidRPr="00EB2BD8" w:rsidRDefault="00EB2BD8">
            <w:pPr>
              <w:pStyle w:val="TableParagraph"/>
              <w:spacing w:before="116"/>
              <w:ind w:right="459"/>
              <w:jc w:val="right"/>
              <w:rPr>
                <w:sz w:val="16"/>
              </w:rPr>
            </w:pPr>
            <w:r w:rsidRPr="00EB2BD8">
              <w:rPr>
                <w:spacing w:val="-4"/>
                <w:w w:val="90"/>
                <w:sz w:val="16"/>
              </w:rPr>
              <w:t>10.6</w:t>
            </w:r>
          </w:p>
        </w:tc>
        <w:tc>
          <w:tcPr>
            <w:tcW w:w="886" w:type="dxa"/>
            <w:tcBorders>
              <w:top w:val="single" w:sz="2" w:space="0" w:color="000000"/>
              <w:bottom w:val="single" w:sz="2" w:space="0" w:color="000000"/>
            </w:tcBorders>
          </w:tcPr>
          <w:p w14:paraId="503ACC6A" w14:textId="77777777" w:rsidR="00084F36" w:rsidRPr="00EB2BD8" w:rsidRDefault="00EB2BD8">
            <w:pPr>
              <w:pStyle w:val="TableParagraph"/>
              <w:spacing w:before="116"/>
              <w:ind w:right="211"/>
              <w:jc w:val="right"/>
              <w:rPr>
                <w:sz w:val="16"/>
              </w:rPr>
            </w:pPr>
            <w:r w:rsidRPr="00EB2BD8">
              <w:rPr>
                <w:w w:val="55"/>
                <w:sz w:val="16"/>
              </w:rPr>
              <w:t>1</w:t>
            </w:r>
          </w:p>
        </w:tc>
        <w:tc>
          <w:tcPr>
            <w:tcW w:w="632" w:type="dxa"/>
            <w:tcBorders>
              <w:top w:val="single" w:sz="2" w:space="0" w:color="000000"/>
              <w:bottom w:val="single" w:sz="2" w:space="0" w:color="000000"/>
            </w:tcBorders>
          </w:tcPr>
          <w:p w14:paraId="7AC0E621" w14:textId="77777777" w:rsidR="00084F36" w:rsidRPr="00EB2BD8" w:rsidRDefault="00EB2BD8">
            <w:pPr>
              <w:pStyle w:val="TableParagraph"/>
              <w:spacing w:before="116"/>
              <w:ind w:right="106"/>
              <w:jc w:val="right"/>
              <w:rPr>
                <w:sz w:val="16"/>
              </w:rPr>
            </w:pPr>
            <w:r w:rsidRPr="00EB2BD8">
              <w:rPr>
                <w:w w:val="55"/>
                <w:sz w:val="16"/>
              </w:rPr>
              <w:t>1</w:t>
            </w:r>
          </w:p>
        </w:tc>
      </w:tr>
      <w:tr w:rsidR="00EB2BD8" w:rsidRPr="00EB2BD8" w14:paraId="1E985E0A" w14:textId="77777777">
        <w:trPr>
          <w:trHeight w:val="364"/>
        </w:trPr>
        <w:tc>
          <w:tcPr>
            <w:tcW w:w="421" w:type="dxa"/>
            <w:vMerge/>
            <w:tcBorders>
              <w:top w:val="nil"/>
              <w:bottom w:val="single" w:sz="2" w:space="0" w:color="000000"/>
            </w:tcBorders>
            <w:shd w:val="clear" w:color="auto" w:fill="4CB7FF"/>
            <w:textDirection w:val="btLr"/>
          </w:tcPr>
          <w:p w14:paraId="00FB3BCA" w14:textId="77777777" w:rsidR="00084F36" w:rsidRPr="00EB2BD8" w:rsidRDefault="00084F36">
            <w:pPr>
              <w:rPr>
                <w:sz w:val="2"/>
                <w:szCs w:val="2"/>
              </w:rPr>
            </w:pPr>
          </w:p>
        </w:tc>
        <w:tc>
          <w:tcPr>
            <w:tcW w:w="9747" w:type="dxa"/>
            <w:gridSpan w:val="8"/>
            <w:tcBorders>
              <w:top w:val="single" w:sz="2" w:space="0" w:color="000000"/>
            </w:tcBorders>
            <w:shd w:val="clear" w:color="auto" w:fill="E5F5FF"/>
          </w:tcPr>
          <w:p w14:paraId="41316264" w14:textId="77777777" w:rsidR="00084F36" w:rsidRPr="00EB2BD8" w:rsidRDefault="00EB2BD8">
            <w:pPr>
              <w:pStyle w:val="TableParagraph"/>
              <w:spacing w:before="83"/>
              <w:ind w:left="80"/>
              <w:rPr>
                <w:sz w:val="16"/>
              </w:rPr>
            </w:pPr>
            <w:r w:rsidRPr="00EB2BD8">
              <w:rPr>
                <w:sz w:val="16"/>
              </w:rPr>
              <w:t>VPS</w:t>
            </w:r>
            <w:r w:rsidRPr="00EB2BD8">
              <w:rPr>
                <w:spacing w:val="-11"/>
                <w:sz w:val="16"/>
              </w:rPr>
              <w:t xml:space="preserve"> </w:t>
            </w:r>
            <w:r w:rsidRPr="00EB2BD8">
              <w:rPr>
                <w:sz w:val="16"/>
              </w:rPr>
              <w:t>1–6</w:t>
            </w:r>
            <w:r w:rsidRPr="00EB2BD8">
              <w:rPr>
                <w:spacing w:val="-11"/>
                <w:sz w:val="16"/>
              </w:rPr>
              <w:t xml:space="preserve"> </w:t>
            </w:r>
            <w:r w:rsidRPr="00EB2BD8">
              <w:rPr>
                <w:spacing w:val="-2"/>
                <w:sz w:val="16"/>
              </w:rPr>
              <w:t>grades</w:t>
            </w:r>
          </w:p>
        </w:tc>
      </w:tr>
      <w:tr w:rsidR="00EB2BD8" w:rsidRPr="00EB2BD8" w14:paraId="4046787D" w14:textId="77777777">
        <w:trPr>
          <w:trHeight w:val="381"/>
        </w:trPr>
        <w:tc>
          <w:tcPr>
            <w:tcW w:w="421" w:type="dxa"/>
            <w:vMerge/>
            <w:tcBorders>
              <w:top w:val="nil"/>
              <w:bottom w:val="single" w:sz="2" w:space="0" w:color="000000"/>
            </w:tcBorders>
            <w:shd w:val="clear" w:color="auto" w:fill="4CB7FF"/>
            <w:textDirection w:val="btLr"/>
          </w:tcPr>
          <w:p w14:paraId="565C5E0E" w14:textId="77777777" w:rsidR="00084F36" w:rsidRPr="00EB2BD8" w:rsidRDefault="00084F36">
            <w:pPr>
              <w:rPr>
                <w:sz w:val="2"/>
                <w:szCs w:val="2"/>
              </w:rPr>
            </w:pPr>
          </w:p>
        </w:tc>
        <w:tc>
          <w:tcPr>
            <w:tcW w:w="3283" w:type="dxa"/>
            <w:tcBorders>
              <w:bottom w:val="single" w:sz="2" w:space="0" w:color="000000"/>
            </w:tcBorders>
          </w:tcPr>
          <w:p w14:paraId="3091104F" w14:textId="77777777" w:rsidR="00084F36" w:rsidRPr="00EB2BD8" w:rsidRDefault="00EB2BD8">
            <w:pPr>
              <w:pStyle w:val="TableParagraph"/>
              <w:spacing w:before="116"/>
              <w:ind w:left="113"/>
              <w:rPr>
                <w:sz w:val="16"/>
              </w:rPr>
            </w:pPr>
            <w:r w:rsidRPr="00EB2BD8">
              <w:rPr>
                <w:sz w:val="16"/>
              </w:rPr>
              <w:t>VPS</w:t>
            </w:r>
            <w:r w:rsidRPr="00EB2BD8">
              <w:rPr>
                <w:spacing w:val="16"/>
                <w:sz w:val="16"/>
              </w:rPr>
              <w:t xml:space="preserve"> </w:t>
            </w:r>
            <w:r w:rsidRPr="00EB2BD8">
              <w:rPr>
                <w:spacing w:val="-10"/>
                <w:w w:val="95"/>
                <w:sz w:val="16"/>
              </w:rPr>
              <w:t>1</w:t>
            </w:r>
          </w:p>
        </w:tc>
        <w:tc>
          <w:tcPr>
            <w:tcW w:w="998" w:type="dxa"/>
            <w:tcBorders>
              <w:bottom w:val="single" w:sz="2" w:space="0" w:color="000000"/>
            </w:tcBorders>
          </w:tcPr>
          <w:p w14:paraId="482B7CA4" w14:textId="77777777" w:rsidR="00084F36" w:rsidRPr="00EB2BD8" w:rsidRDefault="00EB2BD8">
            <w:pPr>
              <w:pStyle w:val="TableParagraph"/>
              <w:spacing w:before="116"/>
              <w:ind w:right="140"/>
              <w:jc w:val="right"/>
              <w:rPr>
                <w:sz w:val="16"/>
              </w:rPr>
            </w:pPr>
            <w:r w:rsidRPr="00EB2BD8">
              <w:rPr>
                <w:w w:val="55"/>
                <w:sz w:val="16"/>
              </w:rPr>
              <w:t>1</w:t>
            </w:r>
          </w:p>
        </w:tc>
        <w:tc>
          <w:tcPr>
            <w:tcW w:w="974" w:type="dxa"/>
            <w:tcBorders>
              <w:bottom w:val="single" w:sz="2" w:space="0" w:color="000000"/>
            </w:tcBorders>
          </w:tcPr>
          <w:p w14:paraId="47598688" w14:textId="77777777" w:rsidR="00084F36" w:rsidRPr="00EB2BD8" w:rsidRDefault="00EB2BD8">
            <w:pPr>
              <w:pStyle w:val="TableParagraph"/>
              <w:spacing w:before="116"/>
              <w:ind w:right="434"/>
              <w:jc w:val="right"/>
              <w:rPr>
                <w:sz w:val="16"/>
              </w:rPr>
            </w:pPr>
            <w:r w:rsidRPr="00EB2BD8">
              <w:rPr>
                <w:w w:val="55"/>
                <w:sz w:val="16"/>
              </w:rPr>
              <w:t>1</w:t>
            </w:r>
          </w:p>
        </w:tc>
        <w:tc>
          <w:tcPr>
            <w:tcW w:w="1189" w:type="dxa"/>
            <w:tcBorders>
              <w:bottom w:val="single" w:sz="2" w:space="0" w:color="000000"/>
            </w:tcBorders>
          </w:tcPr>
          <w:p w14:paraId="508AD8E9" w14:textId="77777777" w:rsidR="00084F36" w:rsidRPr="00EB2BD8" w:rsidRDefault="00EB2BD8">
            <w:pPr>
              <w:pStyle w:val="TableParagraph"/>
              <w:spacing w:before="116"/>
              <w:ind w:right="489"/>
              <w:jc w:val="right"/>
              <w:rPr>
                <w:sz w:val="16"/>
              </w:rPr>
            </w:pPr>
            <w:r w:rsidRPr="00EB2BD8">
              <w:rPr>
                <w:w w:val="135"/>
                <w:sz w:val="16"/>
              </w:rPr>
              <w:t>-</w:t>
            </w:r>
          </w:p>
        </w:tc>
        <w:tc>
          <w:tcPr>
            <w:tcW w:w="799" w:type="dxa"/>
            <w:tcBorders>
              <w:bottom w:val="single" w:sz="2" w:space="0" w:color="000000"/>
            </w:tcBorders>
          </w:tcPr>
          <w:p w14:paraId="79B043C0" w14:textId="77777777" w:rsidR="00084F36" w:rsidRPr="00EB2BD8" w:rsidRDefault="00EB2BD8">
            <w:pPr>
              <w:pStyle w:val="TableParagraph"/>
              <w:spacing w:before="116"/>
              <w:ind w:right="154"/>
              <w:jc w:val="right"/>
              <w:rPr>
                <w:sz w:val="16"/>
              </w:rPr>
            </w:pPr>
            <w:r w:rsidRPr="00EB2BD8">
              <w:rPr>
                <w:w w:val="135"/>
                <w:sz w:val="16"/>
              </w:rPr>
              <w:t>-</w:t>
            </w:r>
          </w:p>
        </w:tc>
        <w:tc>
          <w:tcPr>
            <w:tcW w:w="986" w:type="dxa"/>
            <w:tcBorders>
              <w:bottom w:val="single" w:sz="2" w:space="0" w:color="000000"/>
            </w:tcBorders>
          </w:tcPr>
          <w:p w14:paraId="7A24062C" w14:textId="77777777" w:rsidR="00084F36" w:rsidRPr="00EB2BD8" w:rsidRDefault="00EB2BD8">
            <w:pPr>
              <w:pStyle w:val="TableParagraph"/>
              <w:spacing w:before="116"/>
              <w:ind w:right="459"/>
              <w:jc w:val="right"/>
              <w:rPr>
                <w:sz w:val="16"/>
              </w:rPr>
            </w:pPr>
            <w:r w:rsidRPr="00EB2BD8">
              <w:rPr>
                <w:w w:val="135"/>
                <w:sz w:val="16"/>
              </w:rPr>
              <w:t>-</w:t>
            </w:r>
          </w:p>
        </w:tc>
        <w:tc>
          <w:tcPr>
            <w:tcW w:w="886" w:type="dxa"/>
            <w:tcBorders>
              <w:bottom w:val="single" w:sz="2" w:space="0" w:color="000000"/>
            </w:tcBorders>
          </w:tcPr>
          <w:p w14:paraId="530DB5B4" w14:textId="77777777" w:rsidR="00084F36" w:rsidRPr="00EB2BD8" w:rsidRDefault="00EB2BD8">
            <w:pPr>
              <w:pStyle w:val="TableParagraph"/>
              <w:spacing w:before="116"/>
              <w:ind w:right="212"/>
              <w:jc w:val="right"/>
              <w:rPr>
                <w:sz w:val="16"/>
              </w:rPr>
            </w:pPr>
            <w:r w:rsidRPr="00EB2BD8">
              <w:rPr>
                <w:w w:val="55"/>
                <w:sz w:val="16"/>
              </w:rPr>
              <w:t>1</w:t>
            </w:r>
          </w:p>
        </w:tc>
        <w:tc>
          <w:tcPr>
            <w:tcW w:w="632" w:type="dxa"/>
            <w:tcBorders>
              <w:bottom w:val="single" w:sz="2" w:space="0" w:color="000000"/>
            </w:tcBorders>
          </w:tcPr>
          <w:p w14:paraId="50008DA3" w14:textId="77777777" w:rsidR="00084F36" w:rsidRPr="00EB2BD8" w:rsidRDefault="00EB2BD8">
            <w:pPr>
              <w:pStyle w:val="TableParagraph"/>
              <w:spacing w:before="116"/>
              <w:ind w:right="107"/>
              <w:jc w:val="right"/>
              <w:rPr>
                <w:sz w:val="16"/>
              </w:rPr>
            </w:pPr>
            <w:r w:rsidRPr="00EB2BD8">
              <w:rPr>
                <w:w w:val="55"/>
                <w:sz w:val="16"/>
              </w:rPr>
              <w:t>1</w:t>
            </w:r>
          </w:p>
        </w:tc>
      </w:tr>
      <w:tr w:rsidR="00EB2BD8" w:rsidRPr="00EB2BD8" w14:paraId="3828FD09" w14:textId="77777777">
        <w:trPr>
          <w:trHeight w:val="381"/>
        </w:trPr>
        <w:tc>
          <w:tcPr>
            <w:tcW w:w="421" w:type="dxa"/>
            <w:vMerge/>
            <w:tcBorders>
              <w:top w:val="nil"/>
              <w:bottom w:val="single" w:sz="2" w:space="0" w:color="000000"/>
            </w:tcBorders>
            <w:shd w:val="clear" w:color="auto" w:fill="4CB7FF"/>
            <w:textDirection w:val="btLr"/>
          </w:tcPr>
          <w:p w14:paraId="6A8917D1" w14:textId="77777777" w:rsidR="00084F36" w:rsidRPr="00EB2BD8" w:rsidRDefault="00084F36">
            <w:pPr>
              <w:rPr>
                <w:sz w:val="2"/>
                <w:szCs w:val="2"/>
              </w:rPr>
            </w:pPr>
          </w:p>
        </w:tc>
        <w:tc>
          <w:tcPr>
            <w:tcW w:w="3283" w:type="dxa"/>
            <w:tcBorders>
              <w:top w:val="single" w:sz="2" w:space="0" w:color="000000"/>
              <w:bottom w:val="single" w:sz="2" w:space="0" w:color="000000"/>
            </w:tcBorders>
          </w:tcPr>
          <w:p w14:paraId="2863A6E9" w14:textId="77777777" w:rsidR="00084F36" w:rsidRPr="00EB2BD8" w:rsidRDefault="00EB2BD8">
            <w:pPr>
              <w:pStyle w:val="TableParagraph"/>
              <w:spacing w:before="116"/>
              <w:ind w:left="113"/>
              <w:rPr>
                <w:sz w:val="16"/>
              </w:rPr>
            </w:pPr>
            <w:r w:rsidRPr="00EB2BD8">
              <w:rPr>
                <w:sz w:val="16"/>
              </w:rPr>
              <w:t>VPS</w:t>
            </w:r>
            <w:r w:rsidRPr="00EB2BD8">
              <w:rPr>
                <w:spacing w:val="16"/>
                <w:sz w:val="16"/>
              </w:rPr>
              <w:t xml:space="preserve"> </w:t>
            </w:r>
            <w:r w:rsidRPr="00EB2BD8">
              <w:rPr>
                <w:spacing w:val="-10"/>
                <w:sz w:val="16"/>
              </w:rPr>
              <w:t>2</w:t>
            </w:r>
          </w:p>
        </w:tc>
        <w:tc>
          <w:tcPr>
            <w:tcW w:w="998" w:type="dxa"/>
            <w:tcBorders>
              <w:top w:val="single" w:sz="2" w:space="0" w:color="000000"/>
              <w:bottom w:val="single" w:sz="2" w:space="0" w:color="000000"/>
            </w:tcBorders>
          </w:tcPr>
          <w:p w14:paraId="12070766" w14:textId="77777777" w:rsidR="00084F36" w:rsidRPr="00EB2BD8" w:rsidRDefault="00EB2BD8">
            <w:pPr>
              <w:pStyle w:val="TableParagraph"/>
              <w:spacing w:before="116"/>
              <w:ind w:right="141"/>
              <w:jc w:val="right"/>
              <w:rPr>
                <w:sz w:val="16"/>
              </w:rPr>
            </w:pPr>
            <w:r w:rsidRPr="00EB2BD8">
              <w:rPr>
                <w:spacing w:val="-5"/>
                <w:w w:val="95"/>
                <w:sz w:val="16"/>
              </w:rPr>
              <w:t>82</w:t>
            </w:r>
          </w:p>
        </w:tc>
        <w:tc>
          <w:tcPr>
            <w:tcW w:w="974" w:type="dxa"/>
            <w:tcBorders>
              <w:top w:val="single" w:sz="2" w:space="0" w:color="000000"/>
              <w:bottom w:val="single" w:sz="2" w:space="0" w:color="000000"/>
            </w:tcBorders>
          </w:tcPr>
          <w:p w14:paraId="32B383DC" w14:textId="77777777" w:rsidR="00084F36" w:rsidRPr="00EB2BD8" w:rsidRDefault="00EB2BD8">
            <w:pPr>
              <w:pStyle w:val="TableParagraph"/>
              <w:spacing w:before="116"/>
              <w:ind w:right="435"/>
              <w:jc w:val="right"/>
              <w:rPr>
                <w:sz w:val="16"/>
              </w:rPr>
            </w:pPr>
            <w:r w:rsidRPr="00EB2BD8">
              <w:rPr>
                <w:spacing w:val="-4"/>
                <w:w w:val="95"/>
                <w:sz w:val="16"/>
              </w:rPr>
              <w:t>79.8</w:t>
            </w:r>
          </w:p>
        </w:tc>
        <w:tc>
          <w:tcPr>
            <w:tcW w:w="1189" w:type="dxa"/>
            <w:tcBorders>
              <w:top w:val="single" w:sz="2" w:space="0" w:color="000000"/>
              <w:bottom w:val="single" w:sz="2" w:space="0" w:color="000000"/>
            </w:tcBorders>
          </w:tcPr>
          <w:p w14:paraId="2BD6646B" w14:textId="77777777" w:rsidR="00084F36" w:rsidRPr="00EB2BD8" w:rsidRDefault="00EB2BD8">
            <w:pPr>
              <w:pStyle w:val="TableParagraph"/>
              <w:spacing w:before="116"/>
              <w:ind w:right="490"/>
              <w:jc w:val="right"/>
              <w:rPr>
                <w:sz w:val="16"/>
              </w:rPr>
            </w:pPr>
            <w:r w:rsidRPr="00EB2BD8">
              <w:rPr>
                <w:spacing w:val="-5"/>
                <w:sz w:val="16"/>
              </w:rPr>
              <w:t>64</w:t>
            </w:r>
          </w:p>
        </w:tc>
        <w:tc>
          <w:tcPr>
            <w:tcW w:w="799" w:type="dxa"/>
            <w:tcBorders>
              <w:top w:val="single" w:sz="2" w:space="0" w:color="000000"/>
              <w:bottom w:val="single" w:sz="2" w:space="0" w:color="000000"/>
            </w:tcBorders>
          </w:tcPr>
          <w:p w14:paraId="5AD71A03" w14:textId="77777777" w:rsidR="00084F36" w:rsidRPr="00EB2BD8" w:rsidRDefault="00EB2BD8">
            <w:pPr>
              <w:pStyle w:val="TableParagraph"/>
              <w:spacing w:before="116"/>
              <w:ind w:right="154"/>
              <w:jc w:val="right"/>
              <w:rPr>
                <w:sz w:val="16"/>
              </w:rPr>
            </w:pPr>
            <w:r w:rsidRPr="00EB2BD8">
              <w:rPr>
                <w:w w:val="88"/>
                <w:sz w:val="16"/>
              </w:rPr>
              <w:t>5</w:t>
            </w:r>
          </w:p>
        </w:tc>
        <w:tc>
          <w:tcPr>
            <w:tcW w:w="986" w:type="dxa"/>
            <w:tcBorders>
              <w:top w:val="single" w:sz="2" w:space="0" w:color="000000"/>
              <w:bottom w:val="single" w:sz="2" w:space="0" w:color="000000"/>
            </w:tcBorders>
          </w:tcPr>
          <w:p w14:paraId="090DC753" w14:textId="77777777" w:rsidR="00084F36" w:rsidRPr="00EB2BD8" w:rsidRDefault="00EB2BD8">
            <w:pPr>
              <w:pStyle w:val="TableParagraph"/>
              <w:spacing w:before="116"/>
              <w:ind w:right="459"/>
              <w:jc w:val="right"/>
              <w:rPr>
                <w:sz w:val="16"/>
              </w:rPr>
            </w:pPr>
            <w:r w:rsidRPr="00EB2BD8">
              <w:rPr>
                <w:spacing w:val="-4"/>
                <w:w w:val="95"/>
                <w:sz w:val="16"/>
              </w:rPr>
              <w:t>67.4</w:t>
            </w:r>
          </w:p>
        </w:tc>
        <w:tc>
          <w:tcPr>
            <w:tcW w:w="886" w:type="dxa"/>
            <w:tcBorders>
              <w:top w:val="single" w:sz="2" w:space="0" w:color="000000"/>
              <w:bottom w:val="single" w:sz="2" w:space="0" w:color="000000"/>
            </w:tcBorders>
          </w:tcPr>
          <w:p w14:paraId="70A473A5" w14:textId="77777777" w:rsidR="00084F36" w:rsidRPr="00EB2BD8" w:rsidRDefault="00EB2BD8">
            <w:pPr>
              <w:pStyle w:val="TableParagraph"/>
              <w:spacing w:before="116"/>
              <w:ind w:right="214"/>
              <w:jc w:val="right"/>
              <w:rPr>
                <w:sz w:val="16"/>
              </w:rPr>
            </w:pPr>
            <w:r w:rsidRPr="00EB2BD8">
              <w:rPr>
                <w:spacing w:val="-5"/>
                <w:w w:val="85"/>
                <w:sz w:val="16"/>
              </w:rPr>
              <w:t>13</w:t>
            </w:r>
          </w:p>
        </w:tc>
        <w:tc>
          <w:tcPr>
            <w:tcW w:w="632" w:type="dxa"/>
            <w:tcBorders>
              <w:top w:val="single" w:sz="2" w:space="0" w:color="000000"/>
              <w:bottom w:val="single" w:sz="2" w:space="0" w:color="000000"/>
            </w:tcBorders>
          </w:tcPr>
          <w:p w14:paraId="6FF57F7E" w14:textId="77777777" w:rsidR="00084F36" w:rsidRPr="00EB2BD8" w:rsidRDefault="00EB2BD8">
            <w:pPr>
              <w:pStyle w:val="TableParagraph"/>
              <w:spacing w:before="116"/>
              <w:ind w:right="108"/>
              <w:jc w:val="right"/>
              <w:rPr>
                <w:sz w:val="16"/>
              </w:rPr>
            </w:pPr>
            <w:r w:rsidRPr="00EB2BD8">
              <w:rPr>
                <w:spacing w:val="-4"/>
                <w:w w:val="85"/>
                <w:sz w:val="16"/>
              </w:rPr>
              <w:t>12.5</w:t>
            </w:r>
          </w:p>
        </w:tc>
      </w:tr>
      <w:tr w:rsidR="00EB2BD8" w:rsidRPr="00EB2BD8" w14:paraId="68389533" w14:textId="77777777">
        <w:trPr>
          <w:trHeight w:val="381"/>
        </w:trPr>
        <w:tc>
          <w:tcPr>
            <w:tcW w:w="421" w:type="dxa"/>
            <w:vMerge/>
            <w:tcBorders>
              <w:top w:val="nil"/>
              <w:bottom w:val="single" w:sz="2" w:space="0" w:color="000000"/>
            </w:tcBorders>
            <w:shd w:val="clear" w:color="auto" w:fill="4CB7FF"/>
            <w:textDirection w:val="btLr"/>
          </w:tcPr>
          <w:p w14:paraId="17800A47" w14:textId="77777777" w:rsidR="00084F36" w:rsidRPr="00EB2BD8" w:rsidRDefault="00084F36">
            <w:pPr>
              <w:rPr>
                <w:sz w:val="2"/>
                <w:szCs w:val="2"/>
              </w:rPr>
            </w:pPr>
          </w:p>
        </w:tc>
        <w:tc>
          <w:tcPr>
            <w:tcW w:w="3283" w:type="dxa"/>
            <w:tcBorders>
              <w:top w:val="single" w:sz="2" w:space="0" w:color="000000"/>
              <w:bottom w:val="single" w:sz="2" w:space="0" w:color="000000"/>
            </w:tcBorders>
          </w:tcPr>
          <w:p w14:paraId="26170EA0" w14:textId="77777777" w:rsidR="00084F36" w:rsidRPr="00EB2BD8" w:rsidRDefault="00EB2BD8">
            <w:pPr>
              <w:pStyle w:val="TableParagraph"/>
              <w:spacing w:before="116"/>
              <w:ind w:left="113"/>
              <w:rPr>
                <w:sz w:val="16"/>
              </w:rPr>
            </w:pPr>
            <w:r w:rsidRPr="00EB2BD8">
              <w:rPr>
                <w:w w:val="105"/>
                <w:sz w:val="16"/>
              </w:rPr>
              <w:t xml:space="preserve">VPS </w:t>
            </w:r>
            <w:r w:rsidRPr="00EB2BD8">
              <w:rPr>
                <w:spacing w:val="-10"/>
                <w:w w:val="105"/>
                <w:sz w:val="16"/>
              </w:rPr>
              <w:t>3</w:t>
            </w:r>
          </w:p>
        </w:tc>
        <w:tc>
          <w:tcPr>
            <w:tcW w:w="998" w:type="dxa"/>
            <w:tcBorders>
              <w:top w:val="single" w:sz="2" w:space="0" w:color="000000"/>
              <w:bottom w:val="single" w:sz="2" w:space="0" w:color="000000"/>
            </w:tcBorders>
          </w:tcPr>
          <w:p w14:paraId="5D98D8E1" w14:textId="77777777" w:rsidR="00084F36" w:rsidRPr="00EB2BD8" w:rsidRDefault="00EB2BD8">
            <w:pPr>
              <w:pStyle w:val="TableParagraph"/>
              <w:spacing w:before="116"/>
              <w:ind w:right="141"/>
              <w:jc w:val="right"/>
              <w:rPr>
                <w:sz w:val="16"/>
              </w:rPr>
            </w:pPr>
            <w:r w:rsidRPr="00EB2BD8">
              <w:rPr>
                <w:spacing w:val="-5"/>
                <w:sz w:val="16"/>
              </w:rPr>
              <w:t>54</w:t>
            </w:r>
          </w:p>
        </w:tc>
        <w:tc>
          <w:tcPr>
            <w:tcW w:w="974" w:type="dxa"/>
            <w:tcBorders>
              <w:top w:val="single" w:sz="2" w:space="0" w:color="000000"/>
              <w:bottom w:val="single" w:sz="2" w:space="0" w:color="000000"/>
            </w:tcBorders>
          </w:tcPr>
          <w:p w14:paraId="4BC517E3" w14:textId="77777777" w:rsidR="00084F36" w:rsidRPr="00EB2BD8" w:rsidRDefault="00EB2BD8">
            <w:pPr>
              <w:pStyle w:val="TableParagraph"/>
              <w:spacing w:before="116"/>
              <w:ind w:right="435"/>
              <w:jc w:val="right"/>
              <w:rPr>
                <w:sz w:val="16"/>
              </w:rPr>
            </w:pPr>
            <w:r w:rsidRPr="00EB2BD8">
              <w:rPr>
                <w:spacing w:val="-4"/>
                <w:w w:val="95"/>
                <w:sz w:val="16"/>
              </w:rPr>
              <w:t>52.8</w:t>
            </w:r>
          </w:p>
        </w:tc>
        <w:tc>
          <w:tcPr>
            <w:tcW w:w="1189" w:type="dxa"/>
            <w:tcBorders>
              <w:top w:val="single" w:sz="2" w:space="0" w:color="000000"/>
              <w:bottom w:val="single" w:sz="2" w:space="0" w:color="000000"/>
            </w:tcBorders>
          </w:tcPr>
          <w:p w14:paraId="63324BBC" w14:textId="77777777" w:rsidR="00084F36" w:rsidRPr="00EB2BD8" w:rsidRDefault="00EB2BD8">
            <w:pPr>
              <w:pStyle w:val="TableParagraph"/>
              <w:spacing w:before="116"/>
              <w:ind w:right="494"/>
              <w:jc w:val="right"/>
              <w:rPr>
                <w:sz w:val="16"/>
              </w:rPr>
            </w:pPr>
            <w:r w:rsidRPr="00EB2BD8">
              <w:rPr>
                <w:spacing w:val="-5"/>
                <w:w w:val="85"/>
                <w:sz w:val="16"/>
              </w:rPr>
              <w:t>41</w:t>
            </w:r>
          </w:p>
        </w:tc>
        <w:tc>
          <w:tcPr>
            <w:tcW w:w="799" w:type="dxa"/>
            <w:tcBorders>
              <w:top w:val="single" w:sz="2" w:space="0" w:color="000000"/>
              <w:bottom w:val="single" w:sz="2" w:space="0" w:color="000000"/>
            </w:tcBorders>
          </w:tcPr>
          <w:p w14:paraId="1B905732" w14:textId="77777777" w:rsidR="00084F36" w:rsidRPr="00EB2BD8" w:rsidRDefault="00EB2BD8">
            <w:pPr>
              <w:pStyle w:val="TableParagraph"/>
              <w:spacing w:before="116"/>
              <w:ind w:right="154"/>
              <w:jc w:val="right"/>
              <w:rPr>
                <w:sz w:val="16"/>
              </w:rPr>
            </w:pPr>
            <w:r w:rsidRPr="00EB2BD8">
              <w:rPr>
                <w:w w:val="98"/>
                <w:sz w:val="16"/>
              </w:rPr>
              <w:t>4</w:t>
            </w:r>
          </w:p>
        </w:tc>
        <w:tc>
          <w:tcPr>
            <w:tcW w:w="986" w:type="dxa"/>
            <w:tcBorders>
              <w:top w:val="single" w:sz="2" w:space="0" w:color="000000"/>
              <w:bottom w:val="single" w:sz="2" w:space="0" w:color="000000"/>
            </w:tcBorders>
          </w:tcPr>
          <w:p w14:paraId="0B6DE239" w14:textId="77777777" w:rsidR="00084F36" w:rsidRPr="00EB2BD8" w:rsidRDefault="00EB2BD8">
            <w:pPr>
              <w:pStyle w:val="TableParagraph"/>
              <w:spacing w:before="116"/>
              <w:ind w:right="460"/>
              <w:jc w:val="right"/>
              <w:rPr>
                <w:sz w:val="16"/>
              </w:rPr>
            </w:pPr>
            <w:r w:rsidRPr="00EB2BD8">
              <w:rPr>
                <w:spacing w:val="-5"/>
                <w:sz w:val="16"/>
              </w:rPr>
              <w:t>44</w:t>
            </w:r>
          </w:p>
        </w:tc>
        <w:tc>
          <w:tcPr>
            <w:tcW w:w="886" w:type="dxa"/>
            <w:tcBorders>
              <w:top w:val="single" w:sz="2" w:space="0" w:color="000000"/>
              <w:bottom w:val="single" w:sz="2" w:space="0" w:color="000000"/>
            </w:tcBorders>
          </w:tcPr>
          <w:p w14:paraId="118C5C02" w14:textId="77777777" w:rsidR="00084F36" w:rsidRPr="00EB2BD8" w:rsidRDefault="00EB2BD8">
            <w:pPr>
              <w:pStyle w:val="TableParagraph"/>
              <w:spacing w:before="116"/>
              <w:ind w:right="212"/>
              <w:jc w:val="right"/>
              <w:rPr>
                <w:sz w:val="16"/>
              </w:rPr>
            </w:pPr>
            <w:r w:rsidRPr="00EB2BD8">
              <w:rPr>
                <w:w w:val="96"/>
                <w:sz w:val="16"/>
              </w:rPr>
              <w:t>9</w:t>
            </w:r>
          </w:p>
        </w:tc>
        <w:tc>
          <w:tcPr>
            <w:tcW w:w="632" w:type="dxa"/>
            <w:tcBorders>
              <w:top w:val="single" w:sz="2" w:space="0" w:color="000000"/>
              <w:bottom w:val="single" w:sz="2" w:space="0" w:color="000000"/>
            </w:tcBorders>
          </w:tcPr>
          <w:p w14:paraId="50B26E26" w14:textId="77777777" w:rsidR="00084F36" w:rsidRPr="00EB2BD8" w:rsidRDefault="00EB2BD8">
            <w:pPr>
              <w:pStyle w:val="TableParagraph"/>
              <w:spacing w:before="116"/>
              <w:ind w:right="108"/>
              <w:jc w:val="right"/>
              <w:rPr>
                <w:sz w:val="16"/>
              </w:rPr>
            </w:pPr>
            <w:r w:rsidRPr="00EB2BD8">
              <w:rPr>
                <w:spacing w:val="-5"/>
                <w:w w:val="95"/>
                <w:sz w:val="16"/>
              </w:rPr>
              <w:t>8.8</w:t>
            </w:r>
          </w:p>
        </w:tc>
      </w:tr>
      <w:tr w:rsidR="00EB2BD8" w:rsidRPr="00EB2BD8" w14:paraId="2331D51E" w14:textId="77777777">
        <w:trPr>
          <w:trHeight w:val="381"/>
        </w:trPr>
        <w:tc>
          <w:tcPr>
            <w:tcW w:w="421" w:type="dxa"/>
            <w:vMerge/>
            <w:tcBorders>
              <w:top w:val="nil"/>
              <w:bottom w:val="single" w:sz="2" w:space="0" w:color="000000"/>
            </w:tcBorders>
            <w:shd w:val="clear" w:color="auto" w:fill="4CB7FF"/>
            <w:textDirection w:val="btLr"/>
          </w:tcPr>
          <w:p w14:paraId="5DC0A6DC" w14:textId="77777777" w:rsidR="00084F36" w:rsidRPr="00EB2BD8" w:rsidRDefault="00084F36">
            <w:pPr>
              <w:rPr>
                <w:sz w:val="2"/>
                <w:szCs w:val="2"/>
              </w:rPr>
            </w:pPr>
          </w:p>
        </w:tc>
        <w:tc>
          <w:tcPr>
            <w:tcW w:w="3283" w:type="dxa"/>
            <w:tcBorders>
              <w:top w:val="single" w:sz="2" w:space="0" w:color="000000"/>
              <w:bottom w:val="single" w:sz="2" w:space="0" w:color="000000"/>
            </w:tcBorders>
          </w:tcPr>
          <w:p w14:paraId="42CE1DE3" w14:textId="77777777" w:rsidR="00084F36" w:rsidRPr="00EB2BD8" w:rsidRDefault="00EB2BD8">
            <w:pPr>
              <w:pStyle w:val="TableParagraph"/>
              <w:spacing w:before="116"/>
              <w:ind w:left="113"/>
              <w:rPr>
                <w:sz w:val="16"/>
              </w:rPr>
            </w:pPr>
            <w:r w:rsidRPr="00EB2BD8">
              <w:rPr>
                <w:w w:val="110"/>
                <w:sz w:val="16"/>
              </w:rPr>
              <w:t>VPS</w:t>
            </w:r>
            <w:r w:rsidRPr="00EB2BD8">
              <w:rPr>
                <w:spacing w:val="-17"/>
                <w:w w:val="110"/>
                <w:sz w:val="16"/>
              </w:rPr>
              <w:t xml:space="preserve"> </w:t>
            </w:r>
            <w:r w:rsidRPr="00EB2BD8">
              <w:rPr>
                <w:spacing w:val="-10"/>
                <w:w w:val="110"/>
                <w:sz w:val="16"/>
              </w:rPr>
              <w:t>4</w:t>
            </w:r>
          </w:p>
        </w:tc>
        <w:tc>
          <w:tcPr>
            <w:tcW w:w="998" w:type="dxa"/>
            <w:tcBorders>
              <w:top w:val="single" w:sz="2" w:space="0" w:color="000000"/>
              <w:bottom w:val="single" w:sz="2" w:space="0" w:color="000000"/>
            </w:tcBorders>
          </w:tcPr>
          <w:p w14:paraId="785D70BE" w14:textId="77777777" w:rsidR="00084F36" w:rsidRPr="00EB2BD8" w:rsidRDefault="00EB2BD8">
            <w:pPr>
              <w:pStyle w:val="TableParagraph"/>
              <w:spacing w:before="116"/>
              <w:ind w:right="141"/>
              <w:jc w:val="right"/>
              <w:rPr>
                <w:sz w:val="16"/>
              </w:rPr>
            </w:pPr>
            <w:r w:rsidRPr="00EB2BD8">
              <w:rPr>
                <w:spacing w:val="-5"/>
                <w:sz w:val="16"/>
              </w:rPr>
              <w:t>69</w:t>
            </w:r>
          </w:p>
        </w:tc>
        <w:tc>
          <w:tcPr>
            <w:tcW w:w="974" w:type="dxa"/>
            <w:tcBorders>
              <w:top w:val="single" w:sz="2" w:space="0" w:color="000000"/>
              <w:bottom w:val="single" w:sz="2" w:space="0" w:color="000000"/>
            </w:tcBorders>
          </w:tcPr>
          <w:p w14:paraId="33BB1CB7" w14:textId="77777777" w:rsidR="00084F36" w:rsidRPr="00EB2BD8" w:rsidRDefault="00EB2BD8">
            <w:pPr>
              <w:pStyle w:val="TableParagraph"/>
              <w:spacing w:before="116"/>
              <w:ind w:right="433"/>
              <w:jc w:val="right"/>
              <w:rPr>
                <w:sz w:val="16"/>
              </w:rPr>
            </w:pPr>
            <w:r w:rsidRPr="00EB2BD8">
              <w:rPr>
                <w:spacing w:val="-4"/>
                <w:w w:val="95"/>
                <w:sz w:val="16"/>
              </w:rPr>
              <w:t>67.3</w:t>
            </w:r>
          </w:p>
        </w:tc>
        <w:tc>
          <w:tcPr>
            <w:tcW w:w="1189" w:type="dxa"/>
            <w:tcBorders>
              <w:top w:val="single" w:sz="2" w:space="0" w:color="000000"/>
              <w:bottom w:val="single" w:sz="2" w:space="0" w:color="000000"/>
            </w:tcBorders>
          </w:tcPr>
          <w:p w14:paraId="2C495D57" w14:textId="77777777" w:rsidR="00084F36" w:rsidRPr="00EB2BD8" w:rsidRDefault="00EB2BD8">
            <w:pPr>
              <w:pStyle w:val="TableParagraph"/>
              <w:spacing w:before="116"/>
              <w:ind w:right="491"/>
              <w:jc w:val="right"/>
              <w:rPr>
                <w:sz w:val="16"/>
              </w:rPr>
            </w:pPr>
            <w:r w:rsidRPr="00EB2BD8">
              <w:rPr>
                <w:spacing w:val="-5"/>
                <w:sz w:val="16"/>
              </w:rPr>
              <w:t>55</w:t>
            </w:r>
          </w:p>
        </w:tc>
        <w:tc>
          <w:tcPr>
            <w:tcW w:w="799" w:type="dxa"/>
            <w:tcBorders>
              <w:top w:val="single" w:sz="2" w:space="0" w:color="000000"/>
              <w:bottom w:val="single" w:sz="2" w:space="0" w:color="000000"/>
            </w:tcBorders>
          </w:tcPr>
          <w:p w14:paraId="158EA9AD" w14:textId="77777777" w:rsidR="00084F36" w:rsidRPr="00EB2BD8" w:rsidRDefault="00EB2BD8">
            <w:pPr>
              <w:pStyle w:val="TableParagraph"/>
              <w:spacing w:before="116"/>
              <w:ind w:right="154"/>
              <w:jc w:val="right"/>
              <w:rPr>
                <w:sz w:val="16"/>
              </w:rPr>
            </w:pPr>
            <w:r w:rsidRPr="00EB2BD8">
              <w:rPr>
                <w:w w:val="98"/>
                <w:sz w:val="16"/>
              </w:rPr>
              <w:t>4</w:t>
            </w:r>
          </w:p>
        </w:tc>
        <w:tc>
          <w:tcPr>
            <w:tcW w:w="986" w:type="dxa"/>
            <w:tcBorders>
              <w:top w:val="single" w:sz="2" w:space="0" w:color="000000"/>
              <w:bottom w:val="single" w:sz="2" w:space="0" w:color="000000"/>
            </w:tcBorders>
          </w:tcPr>
          <w:p w14:paraId="1D1007E0" w14:textId="77777777" w:rsidR="00084F36" w:rsidRPr="00EB2BD8" w:rsidRDefault="00EB2BD8">
            <w:pPr>
              <w:pStyle w:val="TableParagraph"/>
              <w:spacing w:before="116"/>
              <w:ind w:right="459"/>
              <w:jc w:val="right"/>
              <w:rPr>
                <w:sz w:val="16"/>
              </w:rPr>
            </w:pPr>
            <w:r w:rsidRPr="00EB2BD8">
              <w:rPr>
                <w:spacing w:val="-4"/>
                <w:w w:val="90"/>
                <w:sz w:val="16"/>
              </w:rPr>
              <w:t>57.4</w:t>
            </w:r>
          </w:p>
        </w:tc>
        <w:tc>
          <w:tcPr>
            <w:tcW w:w="886" w:type="dxa"/>
            <w:tcBorders>
              <w:top w:val="single" w:sz="2" w:space="0" w:color="000000"/>
              <w:bottom w:val="single" w:sz="2" w:space="0" w:color="000000"/>
            </w:tcBorders>
          </w:tcPr>
          <w:p w14:paraId="0B0ACE6E" w14:textId="77777777" w:rsidR="00084F36" w:rsidRPr="00EB2BD8" w:rsidRDefault="00EB2BD8">
            <w:pPr>
              <w:pStyle w:val="TableParagraph"/>
              <w:spacing w:before="116"/>
              <w:ind w:right="212"/>
              <w:jc w:val="right"/>
              <w:rPr>
                <w:sz w:val="16"/>
              </w:rPr>
            </w:pPr>
            <w:r w:rsidRPr="00EB2BD8">
              <w:rPr>
                <w:spacing w:val="-5"/>
                <w:w w:val="90"/>
                <w:sz w:val="16"/>
              </w:rPr>
              <w:t>10</w:t>
            </w:r>
          </w:p>
        </w:tc>
        <w:tc>
          <w:tcPr>
            <w:tcW w:w="632" w:type="dxa"/>
            <w:tcBorders>
              <w:top w:val="single" w:sz="2" w:space="0" w:color="000000"/>
              <w:bottom w:val="single" w:sz="2" w:space="0" w:color="000000"/>
            </w:tcBorders>
          </w:tcPr>
          <w:p w14:paraId="389E1253" w14:textId="77777777" w:rsidR="00084F36" w:rsidRPr="00EB2BD8" w:rsidRDefault="00EB2BD8">
            <w:pPr>
              <w:pStyle w:val="TableParagraph"/>
              <w:spacing w:before="116"/>
              <w:ind w:right="109"/>
              <w:jc w:val="right"/>
              <w:rPr>
                <w:sz w:val="16"/>
              </w:rPr>
            </w:pPr>
            <w:r w:rsidRPr="00EB2BD8">
              <w:rPr>
                <w:spacing w:val="-5"/>
                <w:w w:val="95"/>
                <w:sz w:val="16"/>
              </w:rPr>
              <w:t>9.9</w:t>
            </w:r>
          </w:p>
        </w:tc>
      </w:tr>
      <w:tr w:rsidR="00EB2BD8" w:rsidRPr="00EB2BD8" w14:paraId="551F8F2F" w14:textId="77777777">
        <w:trPr>
          <w:trHeight w:val="381"/>
        </w:trPr>
        <w:tc>
          <w:tcPr>
            <w:tcW w:w="421" w:type="dxa"/>
            <w:vMerge/>
            <w:tcBorders>
              <w:top w:val="nil"/>
              <w:bottom w:val="single" w:sz="2" w:space="0" w:color="000000"/>
            </w:tcBorders>
            <w:shd w:val="clear" w:color="auto" w:fill="4CB7FF"/>
            <w:textDirection w:val="btLr"/>
          </w:tcPr>
          <w:p w14:paraId="49C9A701" w14:textId="77777777" w:rsidR="00084F36" w:rsidRPr="00EB2BD8" w:rsidRDefault="00084F36">
            <w:pPr>
              <w:rPr>
                <w:sz w:val="2"/>
                <w:szCs w:val="2"/>
              </w:rPr>
            </w:pPr>
          </w:p>
        </w:tc>
        <w:tc>
          <w:tcPr>
            <w:tcW w:w="3283" w:type="dxa"/>
            <w:tcBorders>
              <w:top w:val="single" w:sz="2" w:space="0" w:color="000000"/>
              <w:bottom w:val="single" w:sz="2" w:space="0" w:color="000000"/>
            </w:tcBorders>
          </w:tcPr>
          <w:p w14:paraId="5818B9AA" w14:textId="77777777" w:rsidR="00084F36" w:rsidRPr="00EB2BD8" w:rsidRDefault="00EB2BD8">
            <w:pPr>
              <w:pStyle w:val="TableParagraph"/>
              <w:spacing w:before="116"/>
              <w:ind w:left="113"/>
              <w:rPr>
                <w:sz w:val="16"/>
              </w:rPr>
            </w:pPr>
            <w:r w:rsidRPr="00EB2BD8">
              <w:rPr>
                <w:w w:val="105"/>
                <w:sz w:val="16"/>
              </w:rPr>
              <w:t xml:space="preserve">VPS </w:t>
            </w:r>
            <w:r w:rsidRPr="00EB2BD8">
              <w:rPr>
                <w:spacing w:val="-10"/>
                <w:w w:val="105"/>
                <w:sz w:val="16"/>
              </w:rPr>
              <w:t>5</w:t>
            </w:r>
          </w:p>
        </w:tc>
        <w:tc>
          <w:tcPr>
            <w:tcW w:w="998" w:type="dxa"/>
            <w:tcBorders>
              <w:top w:val="single" w:sz="2" w:space="0" w:color="000000"/>
              <w:bottom w:val="single" w:sz="2" w:space="0" w:color="000000"/>
            </w:tcBorders>
          </w:tcPr>
          <w:p w14:paraId="4797829A" w14:textId="77777777" w:rsidR="00084F36" w:rsidRPr="00EB2BD8" w:rsidRDefault="00EB2BD8">
            <w:pPr>
              <w:pStyle w:val="TableParagraph"/>
              <w:spacing w:before="116"/>
              <w:ind w:right="141"/>
              <w:jc w:val="right"/>
              <w:rPr>
                <w:sz w:val="16"/>
              </w:rPr>
            </w:pPr>
            <w:r w:rsidRPr="00EB2BD8">
              <w:rPr>
                <w:spacing w:val="-5"/>
                <w:w w:val="90"/>
                <w:sz w:val="16"/>
              </w:rPr>
              <w:t>159</w:t>
            </w:r>
          </w:p>
        </w:tc>
        <w:tc>
          <w:tcPr>
            <w:tcW w:w="974" w:type="dxa"/>
            <w:tcBorders>
              <w:top w:val="single" w:sz="2" w:space="0" w:color="000000"/>
              <w:bottom w:val="single" w:sz="2" w:space="0" w:color="000000"/>
            </w:tcBorders>
          </w:tcPr>
          <w:p w14:paraId="1A7A319A" w14:textId="77777777" w:rsidR="00084F36" w:rsidRPr="00EB2BD8" w:rsidRDefault="00EB2BD8">
            <w:pPr>
              <w:pStyle w:val="TableParagraph"/>
              <w:spacing w:before="116"/>
              <w:ind w:right="433"/>
              <w:jc w:val="right"/>
              <w:rPr>
                <w:sz w:val="16"/>
              </w:rPr>
            </w:pPr>
            <w:r w:rsidRPr="00EB2BD8">
              <w:rPr>
                <w:spacing w:val="-4"/>
                <w:w w:val="90"/>
                <w:sz w:val="16"/>
              </w:rPr>
              <w:t>156.9</w:t>
            </w:r>
          </w:p>
        </w:tc>
        <w:tc>
          <w:tcPr>
            <w:tcW w:w="1189" w:type="dxa"/>
            <w:tcBorders>
              <w:top w:val="single" w:sz="2" w:space="0" w:color="000000"/>
              <w:bottom w:val="single" w:sz="2" w:space="0" w:color="000000"/>
            </w:tcBorders>
          </w:tcPr>
          <w:p w14:paraId="5CCDAAC0" w14:textId="77777777" w:rsidR="00084F36" w:rsidRPr="00EB2BD8" w:rsidRDefault="00EB2BD8">
            <w:pPr>
              <w:pStyle w:val="TableParagraph"/>
              <w:spacing w:before="116"/>
              <w:ind w:right="491"/>
              <w:jc w:val="right"/>
              <w:rPr>
                <w:sz w:val="16"/>
              </w:rPr>
            </w:pPr>
            <w:r w:rsidRPr="00EB2BD8">
              <w:rPr>
                <w:spacing w:val="-5"/>
                <w:w w:val="95"/>
                <w:sz w:val="16"/>
              </w:rPr>
              <w:t>140</w:t>
            </w:r>
          </w:p>
        </w:tc>
        <w:tc>
          <w:tcPr>
            <w:tcW w:w="799" w:type="dxa"/>
            <w:tcBorders>
              <w:top w:val="single" w:sz="2" w:space="0" w:color="000000"/>
              <w:bottom w:val="single" w:sz="2" w:space="0" w:color="000000"/>
            </w:tcBorders>
          </w:tcPr>
          <w:p w14:paraId="591C5E5E" w14:textId="77777777" w:rsidR="00084F36" w:rsidRPr="00EB2BD8" w:rsidRDefault="00EB2BD8">
            <w:pPr>
              <w:pStyle w:val="TableParagraph"/>
              <w:spacing w:before="116"/>
              <w:ind w:right="154"/>
              <w:jc w:val="right"/>
              <w:rPr>
                <w:sz w:val="16"/>
              </w:rPr>
            </w:pPr>
            <w:r w:rsidRPr="00EB2BD8">
              <w:rPr>
                <w:w w:val="92"/>
                <w:sz w:val="16"/>
              </w:rPr>
              <w:t>8</w:t>
            </w:r>
          </w:p>
        </w:tc>
        <w:tc>
          <w:tcPr>
            <w:tcW w:w="986" w:type="dxa"/>
            <w:tcBorders>
              <w:top w:val="single" w:sz="2" w:space="0" w:color="000000"/>
              <w:bottom w:val="single" w:sz="2" w:space="0" w:color="000000"/>
            </w:tcBorders>
          </w:tcPr>
          <w:p w14:paraId="305D1517" w14:textId="77777777" w:rsidR="00084F36" w:rsidRPr="00EB2BD8" w:rsidRDefault="00EB2BD8">
            <w:pPr>
              <w:pStyle w:val="TableParagraph"/>
              <w:spacing w:before="116"/>
              <w:ind w:right="460"/>
              <w:jc w:val="right"/>
              <w:rPr>
                <w:sz w:val="16"/>
              </w:rPr>
            </w:pPr>
            <w:r w:rsidRPr="00EB2BD8">
              <w:rPr>
                <w:spacing w:val="-5"/>
                <w:w w:val="95"/>
                <w:sz w:val="16"/>
              </w:rPr>
              <w:t>146</w:t>
            </w:r>
          </w:p>
        </w:tc>
        <w:tc>
          <w:tcPr>
            <w:tcW w:w="886" w:type="dxa"/>
            <w:tcBorders>
              <w:top w:val="single" w:sz="2" w:space="0" w:color="000000"/>
              <w:bottom w:val="single" w:sz="2" w:space="0" w:color="000000"/>
            </w:tcBorders>
          </w:tcPr>
          <w:p w14:paraId="7DFEDE21" w14:textId="77777777" w:rsidR="00084F36" w:rsidRPr="00EB2BD8" w:rsidRDefault="00EB2BD8">
            <w:pPr>
              <w:pStyle w:val="TableParagraph"/>
              <w:spacing w:before="116"/>
              <w:ind w:right="212"/>
              <w:jc w:val="right"/>
              <w:rPr>
                <w:sz w:val="16"/>
              </w:rPr>
            </w:pPr>
            <w:r w:rsidRPr="00EB2BD8">
              <w:rPr>
                <w:spacing w:val="-5"/>
                <w:w w:val="65"/>
                <w:sz w:val="16"/>
              </w:rPr>
              <w:t>11</w:t>
            </w:r>
          </w:p>
        </w:tc>
        <w:tc>
          <w:tcPr>
            <w:tcW w:w="632" w:type="dxa"/>
            <w:tcBorders>
              <w:top w:val="single" w:sz="2" w:space="0" w:color="000000"/>
              <w:bottom w:val="single" w:sz="2" w:space="0" w:color="000000"/>
            </w:tcBorders>
          </w:tcPr>
          <w:p w14:paraId="359CA2D5" w14:textId="77777777" w:rsidR="00084F36" w:rsidRPr="00EB2BD8" w:rsidRDefault="00EB2BD8">
            <w:pPr>
              <w:pStyle w:val="TableParagraph"/>
              <w:spacing w:before="116"/>
              <w:ind w:right="106"/>
              <w:jc w:val="right"/>
              <w:rPr>
                <w:sz w:val="16"/>
              </w:rPr>
            </w:pPr>
            <w:r w:rsidRPr="00EB2BD8">
              <w:rPr>
                <w:spacing w:val="-4"/>
                <w:w w:val="90"/>
                <w:sz w:val="16"/>
              </w:rPr>
              <w:t>10.9</w:t>
            </w:r>
          </w:p>
        </w:tc>
      </w:tr>
      <w:tr w:rsidR="00EB2BD8" w:rsidRPr="00EB2BD8" w14:paraId="1714395D" w14:textId="77777777">
        <w:trPr>
          <w:trHeight w:val="381"/>
        </w:trPr>
        <w:tc>
          <w:tcPr>
            <w:tcW w:w="421" w:type="dxa"/>
            <w:vMerge/>
            <w:tcBorders>
              <w:top w:val="nil"/>
              <w:bottom w:val="single" w:sz="2" w:space="0" w:color="000000"/>
            </w:tcBorders>
            <w:shd w:val="clear" w:color="auto" w:fill="4CB7FF"/>
            <w:textDirection w:val="btLr"/>
          </w:tcPr>
          <w:p w14:paraId="36C4D4B1" w14:textId="77777777" w:rsidR="00084F36" w:rsidRPr="00EB2BD8" w:rsidRDefault="00084F36">
            <w:pPr>
              <w:rPr>
                <w:sz w:val="2"/>
                <w:szCs w:val="2"/>
              </w:rPr>
            </w:pPr>
          </w:p>
        </w:tc>
        <w:tc>
          <w:tcPr>
            <w:tcW w:w="3283" w:type="dxa"/>
            <w:tcBorders>
              <w:top w:val="single" w:sz="2" w:space="0" w:color="000000"/>
              <w:bottom w:val="single" w:sz="2" w:space="0" w:color="000000"/>
            </w:tcBorders>
          </w:tcPr>
          <w:p w14:paraId="3820633E" w14:textId="77777777" w:rsidR="00084F36" w:rsidRPr="00EB2BD8" w:rsidRDefault="00EB2BD8">
            <w:pPr>
              <w:pStyle w:val="TableParagraph"/>
              <w:spacing w:before="116"/>
              <w:ind w:left="113"/>
              <w:rPr>
                <w:sz w:val="16"/>
              </w:rPr>
            </w:pPr>
            <w:r w:rsidRPr="00EB2BD8">
              <w:rPr>
                <w:w w:val="110"/>
                <w:sz w:val="16"/>
              </w:rPr>
              <w:t>VPS</w:t>
            </w:r>
            <w:r w:rsidRPr="00EB2BD8">
              <w:rPr>
                <w:spacing w:val="-17"/>
                <w:w w:val="110"/>
                <w:sz w:val="16"/>
              </w:rPr>
              <w:t xml:space="preserve"> </w:t>
            </w:r>
            <w:r w:rsidRPr="00EB2BD8">
              <w:rPr>
                <w:spacing w:val="-10"/>
                <w:w w:val="110"/>
                <w:sz w:val="16"/>
              </w:rPr>
              <w:t>6</w:t>
            </w:r>
          </w:p>
        </w:tc>
        <w:tc>
          <w:tcPr>
            <w:tcW w:w="998" w:type="dxa"/>
            <w:tcBorders>
              <w:top w:val="single" w:sz="2" w:space="0" w:color="000000"/>
              <w:bottom w:val="single" w:sz="2" w:space="0" w:color="000000"/>
            </w:tcBorders>
          </w:tcPr>
          <w:p w14:paraId="4D8C0C4D" w14:textId="77777777" w:rsidR="00084F36" w:rsidRPr="00EB2BD8" w:rsidRDefault="00EB2BD8">
            <w:pPr>
              <w:pStyle w:val="TableParagraph"/>
              <w:spacing w:before="116"/>
              <w:ind w:right="141"/>
              <w:jc w:val="right"/>
              <w:rPr>
                <w:sz w:val="16"/>
              </w:rPr>
            </w:pPr>
            <w:r w:rsidRPr="00EB2BD8">
              <w:rPr>
                <w:spacing w:val="-5"/>
                <w:sz w:val="16"/>
              </w:rPr>
              <w:t>64</w:t>
            </w:r>
          </w:p>
        </w:tc>
        <w:tc>
          <w:tcPr>
            <w:tcW w:w="974" w:type="dxa"/>
            <w:tcBorders>
              <w:top w:val="single" w:sz="2" w:space="0" w:color="000000"/>
              <w:bottom w:val="single" w:sz="2" w:space="0" w:color="000000"/>
            </w:tcBorders>
          </w:tcPr>
          <w:p w14:paraId="10C0CA74" w14:textId="77777777" w:rsidR="00084F36" w:rsidRPr="00EB2BD8" w:rsidRDefault="00EB2BD8">
            <w:pPr>
              <w:pStyle w:val="TableParagraph"/>
              <w:spacing w:before="116"/>
              <w:ind w:right="434"/>
              <w:jc w:val="right"/>
              <w:rPr>
                <w:sz w:val="16"/>
              </w:rPr>
            </w:pPr>
            <w:r w:rsidRPr="00EB2BD8">
              <w:rPr>
                <w:spacing w:val="-4"/>
                <w:w w:val="95"/>
                <w:sz w:val="16"/>
              </w:rPr>
              <w:t>63.5</w:t>
            </w:r>
          </w:p>
        </w:tc>
        <w:tc>
          <w:tcPr>
            <w:tcW w:w="1189" w:type="dxa"/>
            <w:tcBorders>
              <w:top w:val="single" w:sz="2" w:space="0" w:color="000000"/>
              <w:bottom w:val="single" w:sz="2" w:space="0" w:color="000000"/>
            </w:tcBorders>
          </w:tcPr>
          <w:p w14:paraId="4F238DDF" w14:textId="77777777" w:rsidR="00084F36" w:rsidRPr="00EB2BD8" w:rsidRDefault="00EB2BD8">
            <w:pPr>
              <w:pStyle w:val="TableParagraph"/>
              <w:spacing w:before="116"/>
              <w:ind w:right="491"/>
              <w:jc w:val="right"/>
              <w:rPr>
                <w:sz w:val="16"/>
              </w:rPr>
            </w:pPr>
            <w:r w:rsidRPr="00EB2BD8">
              <w:rPr>
                <w:spacing w:val="-5"/>
                <w:sz w:val="16"/>
              </w:rPr>
              <w:t>50</w:t>
            </w:r>
          </w:p>
        </w:tc>
        <w:tc>
          <w:tcPr>
            <w:tcW w:w="799" w:type="dxa"/>
            <w:tcBorders>
              <w:top w:val="single" w:sz="2" w:space="0" w:color="000000"/>
              <w:bottom w:val="single" w:sz="2" w:space="0" w:color="000000"/>
            </w:tcBorders>
          </w:tcPr>
          <w:p w14:paraId="220673AA" w14:textId="77777777" w:rsidR="00084F36" w:rsidRPr="00EB2BD8" w:rsidRDefault="00EB2BD8">
            <w:pPr>
              <w:pStyle w:val="TableParagraph"/>
              <w:spacing w:before="116"/>
              <w:ind w:right="154"/>
              <w:jc w:val="right"/>
              <w:rPr>
                <w:sz w:val="16"/>
              </w:rPr>
            </w:pPr>
            <w:r w:rsidRPr="00EB2BD8">
              <w:rPr>
                <w:w w:val="80"/>
                <w:sz w:val="16"/>
              </w:rPr>
              <w:t>2</w:t>
            </w:r>
          </w:p>
        </w:tc>
        <w:tc>
          <w:tcPr>
            <w:tcW w:w="986" w:type="dxa"/>
            <w:tcBorders>
              <w:top w:val="single" w:sz="2" w:space="0" w:color="000000"/>
              <w:bottom w:val="single" w:sz="2" w:space="0" w:color="000000"/>
            </w:tcBorders>
          </w:tcPr>
          <w:p w14:paraId="6C8FF774" w14:textId="77777777" w:rsidR="00084F36" w:rsidRPr="00EB2BD8" w:rsidRDefault="00EB2BD8">
            <w:pPr>
              <w:pStyle w:val="TableParagraph"/>
              <w:spacing w:before="116"/>
              <w:ind w:right="459"/>
              <w:jc w:val="right"/>
              <w:rPr>
                <w:sz w:val="16"/>
              </w:rPr>
            </w:pPr>
            <w:r w:rsidRPr="00EB2BD8">
              <w:rPr>
                <w:spacing w:val="-4"/>
                <w:w w:val="80"/>
                <w:sz w:val="16"/>
              </w:rPr>
              <w:t>51.7</w:t>
            </w:r>
          </w:p>
        </w:tc>
        <w:tc>
          <w:tcPr>
            <w:tcW w:w="886" w:type="dxa"/>
            <w:tcBorders>
              <w:top w:val="single" w:sz="2" w:space="0" w:color="000000"/>
              <w:bottom w:val="single" w:sz="2" w:space="0" w:color="000000"/>
            </w:tcBorders>
          </w:tcPr>
          <w:p w14:paraId="6A150DE8" w14:textId="77777777" w:rsidR="00084F36" w:rsidRPr="00EB2BD8" w:rsidRDefault="00EB2BD8">
            <w:pPr>
              <w:pStyle w:val="TableParagraph"/>
              <w:spacing w:before="116"/>
              <w:ind w:right="212"/>
              <w:jc w:val="right"/>
              <w:rPr>
                <w:sz w:val="16"/>
              </w:rPr>
            </w:pPr>
            <w:r w:rsidRPr="00EB2BD8">
              <w:rPr>
                <w:spacing w:val="-5"/>
                <w:w w:val="75"/>
                <w:sz w:val="16"/>
              </w:rPr>
              <w:t>12</w:t>
            </w:r>
          </w:p>
        </w:tc>
        <w:tc>
          <w:tcPr>
            <w:tcW w:w="632" w:type="dxa"/>
            <w:tcBorders>
              <w:top w:val="single" w:sz="2" w:space="0" w:color="000000"/>
              <w:bottom w:val="single" w:sz="2" w:space="0" w:color="000000"/>
            </w:tcBorders>
          </w:tcPr>
          <w:p w14:paraId="44C3655B" w14:textId="77777777" w:rsidR="00084F36" w:rsidRPr="00EB2BD8" w:rsidRDefault="00EB2BD8">
            <w:pPr>
              <w:pStyle w:val="TableParagraph"/>
              <w:spacing w:before="116"/>
              <w:ind w:right="107"/>
              <w:jc w:val="right"/>
              <w:rPr>
                <w:sz w:val="16"/>
              </w:rPr>
            </w:pPr>
            <w:r w:rsidRPr="00EB2BD8">
              <w:rPr>
                <w:spacing w:val="-4"/>
                <w:w w:val="75"/>
                <w:sz w:val="16"/>
              </w:rPr>
              <w:t>11.8</w:t>
            </w:r>
          </w:p>
        </w:tc>
      </w:tr>
      <w:tr w:rsidR="00EB2BD8" w:rsidRPr="00EB2BD8" w14:paraId="229BC044" w14:textId="77777777">
        <w:trPr>
          <w:trHeight w:val="365"/>
        </w:trPr>
        <w:tc>
          <w:tcPr>
            <w:tcW w:w="421" w:type="dxa"/>
            <w:vMerge/>
            <w:tcBorders>
              <w:top w:val="nil"/>
              <w:bottom w:val="single" w:sz="2" w:space="0" w:color="000000"/>
            </w:tcBorders>
            <w:shd w:val="clear" w:color="auto" w:fill="4CB7FF"/>
            <w:textDirection w:val="btLr"/>
          </w:tcPr>
          <w:p w14:paraId="7DE96E70" w14:textId="77777777" w:rsidR="00084F36" w:rsidRPr="00EB2BD8" w:rsidRDefault="00084F36">
            <w:pPr>
              <w:rPr>
                <w:sz w:val="2"/>
                <w:szCs w:val="2"/>
              </w:rPr>
            </w:pPr>
          </w:p>
        </w:tc>
        <w:tc>
          <w:tcPr>
            <w:tcW w:w="9747" w:type="dxa"/>
            <w:gridSpan w:val="8"/>
            <w:tcBorders>
              <w:top w:val="single" w:sz="2" w:space="0" w:color="000000"/>
            </w:tcBorders>
            <w:shd w:val="clear" w:color="auto" w:fill="E5F5FF"/>
          </w:tcPr>
          <w:p w14:paraId="7F3EADBA" w14:textId="77777777" w:rsidR="00084F36" w:rsidRPr="00EB2BD8" w:rsidRDefault="00EB2BD8">
            <w:pPr>
              <w:pStyle w:val="TableParagraph"/>
              <w:spacing w:before="82"/>
              <w:ind w:left="80"/>
              <w:rPr>
                <w:sz w:val="16"/>
              </w:rPr>
            </w:pPr>
            <w:r w:rsidRPr="00EB2BD8">
              <w:rPr>
                <w:sz w:val="16"/>
              </w:rPr>
              <w:t>Senior</w:t>
            </w:r>
            <w:r w:rsidRPr="00EB2BD8">
              <w:rPr>
                <w:spacing w:val="-5"/>
                <w:sz w:val="16"/>
              </w:rPr>
              <w:t xml:space="preserve"> </w:t>
            </w:r>
            <w:r w:rsidRPr="00EB2BD8">
              <w:rPr>
                <w:spacing w:val="-2"/>
                <w:sz w:val="16"/>
              </w:rPr>
              <w:t>employees</w:t>
            </w:r>
          </w:p>
        </w:tc>
      </w:tr>
      <w:tr w:rsidR="00EB2BD8" w:rsidRPr="00EB2BD8" w14:paraId="18F9378C" w14:textId="77777777">
        <w:trPr>
          <w:trHeight w:val="381"/>
        </w:trPr>
        <w:tc>
          <w:tcPr>
            <w:tcW w:w="421" w:type="dxa"/>
            <w:vMerge/>
            <w:tcBorders>
              <w:top w:val="nil"/>
              <w:bottom w:val="single" w:sz="2" w:space="0" w:color="000000"/>
            </w:tcBorders>
            <w:shd w:val="clear" w:color="auto" w:fill="4CB7FF"/>
            <w:textDirection w:val="btLr"/>
          </w:tcPr>
          <w:p w14:paraId="4C2BC8BE" w14:textId="77777777" w:rsidR="00084F36" w:rsidRPr="00EB2BD8" w:rsidRDefault="00084F36">
            <w:pPr>
              <w:rPr>
                <w:sz w:val="2"/>
                <w:szCs w:val="2"/>
              </w:rPr>
            </w:pPr>
          </w:p>
        </w:tc>
        <w:tc>
          <w:tcPr>
            <w:tcW w:w="3283" w:type="dxa"/>
            <w:tcBorders>
              <w:bottom w:val="single" w:sz="2" w:space="0" w:color="000000"/>
            </w:tcBorders>
          </w:tcPr>
          <w:p w14:paraId="46C10B46" w14:textId="77777777" w:rsidR="00084F36" w:rsidRPr="00EB2BD8" w:rsidRDefault="00EB2BD8">
            <w:pPr>
              <w:pStyle w:val="TableParagraph"/>
              <w:spacing w:before="116"/>
              <w:ind w:left="113"/>
              <w:rPr>
                <w:sz w:val="16"/>
              </w:rPr>
            </w:pPr>
            <w:r w:rsidRPr="00EB2BD8">
              <w:rPr>
                <w:sz w:val="16"/>
              </w:rPr>
              <w:t>Senior</w:t>
            </w:r>
            <w:r w:rsidRPr="00EB2BD8">
              <w:rPr>
                <w:spacing w:val="-6"/>
                <w:sz w:val="16"/>
              </w:rPr>
              <w:t xml:space="preserve"> </w:t>
            </w:r>
            <w:r w:rsidRPr="00EB2BD8">
              <w:rPr>
                <w:sz w:val="16"/>
              </w:rPr>
              <w:t>Technical</w:t>
            </w:r>
            <w:r w:rsidRPr="00EB2BD8">
              <w:rPr>
                <w:spacing w:val="-5"/>
                <w:sz w:val="16"/>
              </w:rPr>
              <w:t xml:space="preserve"> </w:t>
            </w:r>
            <w:r w:rsidRPr="00EB2BD8">
              <w:rPr>
                <w:sz w:val="16"/>
              </w:rPr>
              <w:t>Specialists</w:t>
            </w:r>
            <w:r w:rsidRPr="00EB2BD8">
              <w:rPr>
                <w:spacing w:val="-5"/>
                <w:sz w:val="16"/>
              </w:rPr>
              <w:t xml:space="preserve"> </w:t>
            </w:r>
            <w:r w:rsidRPr="00EB2BD8">
              <w:rPr>
                <w:spacing w:val="-4"/>
                <w:sz w:val="16"/>
              </w:rPr>
              <w:t>(STS)</w:t>
            </w:r>
          </w:p>
        </w:tc>
        <w:tc>
          <w:tcPr>
            <w:tcW w:w="998" w:type="dxa"/>
            <w:tcBorders>
              <w:bottom w:val="single" w:sz="2" w:space="0" w:color="000000"/>
            </w:tcBorders>
          </w:tcPr>
          <w:p w14:paraId="76DA45A2" w14:textId="77777777" w:rsidR="00084F36" w:rsidRPr="00EB2BD8" w:rsidRDefault="00EB2BD8">
            <w:pPr>
              <w:pStyle w:val="TableParagraph"/>
              <w:spacing w:before="116"/>
              <w:ind w:right="141"/>
              <w:jc w:val="right"/>
              <w:rPr>
                <w:sz w:val="16"/>
              </w:rPr>
            </w:pPr>
            <w:r w:rsidRPr="00EB2BD8">
              <w:rPr>
                <w:spacing w:val="-5"/>
                <w:w w:val="90"/>
                <w:sz w:val="16"/>
              </w:rPr>
              <w:t>27</w:t>
            </w:r>
          </w:p>
        </w:tc>
        <w:tc>
          <w:tcPr>
            <w:tcW w:w="974" w:type="dxa"/>
            <w:tcBorders>
              <w:bottom w:val="single" w:sz="2" w:space="0" w:color="000000"/>
            </w:tcBorders>
          </w:tcPr>
          <w:p w14:paraId="2EAE4373" w14:textId="77777777" w:rsidR="00084F36" w:rsidRPr="00EB2BD8" w:rsidRDefault="00EB2BD8">
            <w:pPr>
              <w:pStyle w:val="TableParagraph"/>
              <w:spacing w:before="116"/>
              <w:ind w:right="434"/>
              <w:jc w:val="right"/>
              <w:rPr>
                <w:sz w:val="16"/>
              </w:rPr>
            </w:pPr>
            <w:r w:rsidRPr="00EB2BD8">
              <w:rPr>
                <w:spacing w:val="-4"/>
                <w:w w:val="95"/>
                <w:sz w:val="16"/>
              </w:rPr>
              <w:t>26.5</w:t>
            </w:r>
          </w:p>
        </w:tc>
        <w:tc>
          <w:tcPr>
            <w:tcW w:w="1189" w:type="dxa"/>
            <w:tcBorders>
              <w:bottom w:val="single" w:sz="2" w:space="0" w:color="000000"/>
            </w:tcBorders>
          </w:tcPr>
          <w:p w14:paraId="6E5E6652" w14:textId="77777777" w:rsidR="00084F36" w:rsidRPr="00EB2BD8" w:rsidRDefault="00EB2BD8">
            <w:pPr>
              <w:pStyle w:val="TableParagraph"/>
              <w:spacing w:before="116"/>
              <w:ind w:right="489"/>
              <w:jc w:val="right"/>
              <w:rPr>
                <w:sz w:val="16"/>
              </w:rPr>
            </w:pPr>
            <w:r w:rsidRPr="00EB2BD8">
              <w:rPr>
                <w:spacing w:val="-5"/>
                <w:w w:val="85"/>
                <w:sz w:val="16"/>
              </w:rPr>
              <w:t>16</w:t>
            </w:r>
          </w:p>
        </w:tc>
        <w:tc>
          <w:tcPr>
            <w:tcW w:w="799" w:type="dxa"/>
            <w:tcBorders>
              <w:bottom w:val="single" w:sz="2" w:space="0" w:color="000000"/>
            </w:tcBorders>
          </w:tcPr>
          <w:p w14:paraId="368845EF" w14:textId="77777777" w:rsidR="00084F36" w:rsidRPr="00EB2BD8" w:rsidRDefault="00EB2BD8">
            <w:pPr>
              <w:pStyle w:val="TableParagraph"/>
              <w:spacing w:before="116"/>
              <w:ind w:right="153"/>
              <w:jc w:val="right"/>
              <w:rPr>
                <w:sz w:val="16"/>
              </w:rPr>
            </w:pPr>
            <w:r w:rsidRPr="00EB2BD8">
              <w:rPr>
                <w:w w:val="55"/>
                <w:sz w:val="16"/>
              </w:rPr>
              <w:t>1</w:t>
            </w:r>
          </w:p>
        </w:tc>
        <w:tc>
          <w:tcPr>
            <w:tcW w:w="986" w:type="dxa"/>
            <w:tcBorders>
              <w:bottom w:val="single" w:sz="2" w:space="0" w:color="000000"/>
            </w:tcBorders>
          </w:tcPr>
          <w:p w14:paraId="24EFBC44" w14:textId="77777777" w:rsidR="00084F36" w:rsidRPr="00EB2BD8" w:rsidRDefault="00EB2BD8">
            <w:pPr>
              <w:pStyle w:val="TableParagraph"/>
              <w:spacing w:before="116"/>
              <w:ind w:right="460"/>
              <w:jc w:val="right"/>
              <w:rPr>
                <w:sz w:val="16"/>
              </w:rPr>
            </w:pPr>
            <w:r w:rsidRPr="00EB2BD8">
              <w:rPr>
                <w:spacing w:val="-4"/>
                <w:w w:val="85"/>
                <w:sz w:val="16"/>
              </w:rPr>
              <w:t>16.5</w:t>
            </w:r>
          </w:p>
        </w:tc>
        <w:tc>
          <w:tcPr>
            <w:tcW w:w="886" w:type="dxa"/>
            <w:tcBorders>
              <w:bottom w:val="single" w:sz="2" w:space="0" w:color="000000"/>
            </w:tcBorders>
          </w:tcPr>
          <w:p w14:paraId="1C163966" w14:textId="77777777" w:rsidR="00084F36" w:rsidRPr="00EB2BD8" w:rsidRDefault="00EB2BD8">
            <w:pPr>
              <w:pStyle w:val="TableParagraph"/>
              <w:spacing w:before="116"/>
              <w:ind w:right="212"/>
              <w:jc w:val="right"/>
              <w:rPr>
                <w:sz w:val="16"/>
              </w:rPr>
            </w:pPr>
            <w:r w:rsidRPr="00EB2BD8">
              <w:rPr>
                <w:spacing w:val="-5"/>
                <w:w w:val="90"/>
                <w:sz w:val="16"/>
              </w:rPr>
              <w:t>10</w:t>
            </w:r>
          </w:p>
        </w:tc>
        <w:tc>
          <w:tcPr>
            <w:tcW w:w="632" w:type="dxa"/>
            <w:tcBorders>
              <w:bottom w:val="single" w:sz="2" w:space="0" w:color="000000"/>
            </w:tcBorders>
          </w:tcPr>
          <w:p w14:paraId="1BA4B67A" w14:textId="77777777" w:rsidR="00084F36" w:rsidRPr="00EB2BD8" w:rsidRDefault="00EB2BD8">
            <w:pPr>
              <w:pStyle w:val="TableParagraph"/>
              <w:spacing w:before="116"/>
              <w:ind w:right="107"/>
              <w:jc w:val="right"/>
              <w:rPr>
                <w:sz w:val="16"/>
              </w:rPr>
            </w:pPr>
            <w:r w:rsidRPr="00EB2BD8">
              <w:rPr>
                <w:spacing w:val="-5"/>
                <w:w w:val="90"/>
                <w:sz w:val="16"/>
              </w:rPr>
              <w:t>10</w:t>
            </w:r>
          </w:p>
        </w:tc>
      </w:tr>
      <w:tr w:rsidR="00EB2BD8" w:rsidRPr="00EB2BD8" w14:paraId="7E0C8AF1" w14:textId="77777777">
        <w:trPr>
          <w:trHeight w:val="381"/>
        </w:trPr>
        <w:tc>
          <w:tcPr>
            <w:tcW w:w="421" w:type="dxa"/>
            <w:vMerge/>
            <w:tcBorders>
              <w:top w:val="nil"/>
              <w:bottom w:val="single" w:sz="2" w:space="0" w:color="000000"/>
            </w:tcBorders>
            <w:shd w:val="clear" w:color="auto" w:fill="4CB7FF"/>
            <w:textDirection w:val="btLr"/>
          </w:tcPr>
          <w:p w14:paraId="2BD4A571" w14:textId="77777777" w:rsidR="00084F36" w:rsidRPr="00EB2BD8" w:rsidRDefault="00084F36">
            <w:pPr>
              <w:rPr>
                <w:sz w:val="2"/>
                <w:szCs w:val="2"/>
              </w:rPr>
            </w:pPr>
          </w:p>
        </w:tc>
        <w:tc>
          <w:tcPr>
            <w:tcW w:w="3283" w:type="dxa"/>
            <w:tcBorders>
              <w:top w:val="single" w:sz="2" w:space="0" w:color="000000"/>
              <w:bottom w:val="single" w:sz="2" w:space="0" w:color="000000"/>
            </w:tcBorders>
          </w:tcPr>
          <w:p w14:paraId="17DBA0A4" w14:textId="77777777" w:rsidR="00084F36" w:rsidRPr="00EB2BD8" w:rsidRDefault="00EB2BD8">
            <w:pPr>
              <w:pStyle w:val="TableParagraph"/>
              <w:spacing w:before="116"/>
              <w:ind w:left="113"/>
              <w:rPr>
                <w:sz w:val="16"/>
              </w:rPr>
            </w:pPr>
            <w:r w:rsidRPr="00EB2BD8">
              <w:rPr>
                <w:spacing w:val="-2"/>
                <w:w w:val="105"/>
                <w:sz w:val="16"/>
              </w:rPr>
              <w:t>Executives</w:t>
            </w:r>
          </w:p>
        </w:tc>
        <w:tc>
          <w:tcPr>
            <w:tcW w:w="998" w:type="dxa"/>
            <w:tcBorders>
              <w:top w:val="single" w:sz="2" w:space="0" w:color="000000"/>
              <w:bottom w:val="single" w:sz="2" w:space="0" w:color="000000"/>
            </w:tcBorders>
          </w:tcPr>
          <w:p w14:paraId="5FAE7D15" w14:textId="77777777" w:rsidR="00084F36" w:rsidRPr="00EB2BD8" w:rsidRDefault="00EB2BD8">
            <w:pPr>
              <w:pStyle w:val="TableParagraph"/>
              <w:spacing w:before="116"/>
              <w:ind w:right="141"/>
              <w:jc w:val="right"/>
              <w:rPr>
                <w:sz w:val="16"/>
              </w:rPr>
            </w:pPr>
            <w:r w:rsidRPr="00EB2BD8">
              <w:rPr>
                <w:spacing w:val="-5"/>
                <w:w w:val="85"/>
                <w:sz w:val="16"/>
              </w:rPr>
              <w:t>16</w:t>
            </w:r>
          </w:p>
        </w:tc>
        <w:tc>
          <w:tcPr>
            <w:tcW w:w="974" w:type="dxa"/>
            <w:tcBorders>
              <w:top w:val="single" w:sz="2" w:space="0" w:color="000000"/>
              <w:bottom w:val="single" w:sz="2" w:space="0" w:color="000000"/>
            </w:tcBorders>
          </w:tcPr>
          <w:p w14:paraId="44016FBC" w14:textId="77777777" w:rsidR="00084F36" w:rsidRPr="00EB2BD8" w:rsidRDefault="00EB2BD8">
            <w:pPr>
              <w:pStyle w:val="TableParagraph"/>
              <w:spacing w:before="116"/>
              <w:ind w:right="434"/>
              <w:jc w:val="right"/>
              <w:rPr>
                <w:sz w:val="16"/>
              </w:rPr>
            </w:pPr>
            <w:r w:rsidRPr="00EB2BD8">
              <w:rPr>
                <w:spacing w:val="-4"/>
                <w:w w:val="85"/>
                <w:sz w:val="16"/>
              </w:rPr>
              <w:t>15.8</w:t>
            </w:r>
          </w:p>
        </w:tc>
        <w:tc>
          <w:tcPr>
            <w:tcW w:w="1189" w:type="dxa"/>
            <w:tcBorders>
              <w:top w:val="single" w:sz="2" w:space="0" w:color="000000"/>
              <w:bottom w:val="single" w:sz="2" w:space="0" w:color="000000"/>
            </w:tcBorders>
          </w:tcPr>
          <w:p w14:paraId="062868BA" w14:textId="77777777" w:rsidR="00084F36" w:rsidRPr="00EB2BD8" w:rsidRDefault="00EB2BD8">
            <w:pPr>
              <w:pStyle w:val="TableParagraph"/>
              <w:spacing w:before="116"/>
              <w:ind w:right="488"/>
              <w:jc w:val="right"/>
              <w:rPr>
                <w:sz w:val="16"/>
              </w:rPr>
            </w:pPr>
            <w:r w:rsidRPr="00EB2BD8">
              <w:rPr>
                <w:w w:val="135"/>
                <w:sz w:val="16"/>
              </w:rPr>
              <w:t>-</w:t>
            </w:r>
          </w:p>
        </w:tc>
        <w:tc>
          <w:tcPr>
            <w:tcW w:w="799" w:type="dxa"/>
            <w:tcBorders>
              <w:top w:val="single" w:sz="2" w:space="0" w:color="000000"/>
              <w:bottom w:val="single" w:sz="2" w:space="0" w:color="000000"/>
            </w:tcBorders>
          </w:tcPr>
          <w:p w14:paraId="57464A7C" w14:textId="77777777" w:rsidR="00084F36" w:rsidRPr="00EB2BD8" w:rsidRDefault="00EB2BD8">
            <w:pPr>
              <w:pStyle w:val="TableParagraph"/>
              <w:spacing w:before="116"/>
              <w:ind w:right="153"/>
              <w:jc w:val="right"/>
              <w:rPr>
                <w:sz w:val="16"/>
              </w:rPr>
            </w:pPr>
            <w:r w:rsidRPr="00EB2BD8">
              <w:rPr>
                <w:w w:val="135"/>
                <w:sz w:val="16"/>
              </w:rPr>
              <w:t>-</w:t>
            </w:r>
          </w:p>
        </w:tc>
        <w:tc>
          <w:tcPr>
            <w:tcW w:w="986" w:type="dxa"/>
            <w:tcBorders>
              <w:top w:val="single" w:sz="2" w:space="0" w:color="000000"/>
              <w:bottom w:val="single" w:sz="2" w:space="0" w:color="000000"/>
            </w:tcBorders>
          </w:tcPr>
          <w:p w14:paraId="3EA4699D" w14:textId="77777777" w:rsidR="00084F36" w:rsidRPr="00EB2BD8" w:rsidRDefault="00EB2BD8">
            <w:pPr>
              <w:pStyle w:val="TableParagraph"/>
              <w:spacing w:before="116"/>
              <w:ind w:right="459"/>
              <w:jc w:val="right"/>
              <w:rPr>
                <w:sz w:val="16"/>
              </w:rPr>
            </w:pPr>
            <w:r w:rsidRPr="00EB2BD8">
              <w:rPr>
                <w:w w:val="135"/>
                <w:sz w:val="16"/>
              </w:rPr>
              <w:t>-</w:t>
            </w:r>
          </w:p>
        </w:tc>
        <w:tc>
          <w:tcPr>
            <w:tcW w:w="886" w:type="dxa"/>
            <w:tcBorders>
              <w:top w:val="single" w:sz="2" w:space="0" w:color="000000"/>
              <w:bottom w:val="single" w:sz="2" w:space="0" w:color="000000"/>
            </w:tcBorders>
          </w:tcPr>
          <w:p w14:paraId="44747B76" w14:textId="77777777" w:rsidR="00084F36" w:rsidRPr="00EB2BD8" w:rsidRDefault="00EB2BD8">
            <w:pPr>
              <w:pStyle w:val="TableParagraph"/>
              <w:spacing w:before="116"/>
              <w:ind w:right="212"/>
              <w:jc w:val="right"/>
              <w:rPr>
                <w:sz w:val="16"/>
              </w:rPr>
            </w:pPr>
            <w:r w:rsidRPr="00EB2BD8">
              <w:rPr>
                <w:spacing w:val="-5"/>
                <w:w w:val="85"/>
                <w:sz w:val="16"/>
              </w:rPr>
              <w:t>16</w:t>
            </w:r>
          </w:p>
        </w:tc>
        <w:tc>
          <w:tcPr>
            <w:tcW w:w="632" w:type="dxa"/>
            <w:tcBorders>
              <w:top w:val="single" w:sz="2" w:space="0" w:color="000000"/>
              <w:bottom w:val="single" w:sz="2" w:space="0" w:color="000000"/>
            </w:tcBorders>
          </w:tcPr>
          <w:p w14:paraId="43B12606" w14:textId="77777777" w:rsidR="00084F36" w:rsidRPr="00EB2BD8" w:rsidRDefault="00EB2BD8">
            <w:pPr>
              <w:pStyle w:val="TableParagraph"/>
              <w:spacing w:before="116"/>
              <w:ind w:right="107"/>
              <w:jc w:val="right"/>
              <w:rPr>
                <w:sz w:val="16"/>
              </w:rPr>
            </w:pPr>
            <w:r w:rsidRPr="00EB2BD8">
              <w:rPr>
                <w:spacing w:val="-4"/>
                <w:w w:val="85"/>
                <w:sz w:val="16"/>
              </w:rPr>
              <w:t>15.8</w:t>
            </w:r>
          </w:p>
        </w:tc>
      </w:tr>
    </w:tbl>
    <w:p w14:paraId="423B4CCA" w14:textId="289DEE28" w:rsidR="00084F36" w:rsidRPr="00EB2BD8" w:rsidRDefault="00EB2BD8">
      <w:pPr>
        <w:tabs>
          <w:tab w:val="left" w:pos="5221"/>
          <w:tab w:val="left" w:pos="5761"/>
          <w:tab w:val="left" w:pos="7015"/>
          <w:tab w:val="left" w:pos="8248"/>
          <w:tab w:val="left" w:pos="8842"/>
          <w:tab w:val="left" w:pos="10071"/>
          <w:tab w:val="right" w:pos="10986"/>
        </w:tabs>
        <w:spacing w:before="126"/>
        <w:ind w:left="1348"/>
        <w:rPr>
          <w:rFonts w:ascii="Tahoma"/>
          <w:b/>
          <w:sz w:val="16"/>
        </w:rPr>
      </w:pPr>
      <w:r w:rsidRPr="00EB2BD8">
        <w:rPr>
          <w:rFonts w:ascii="Tahoma"/>
          <w:b/>
          <w:spacing w:val="-4"/>
          <w:sz w:val="16"/>
        </w:rPr>
        <w:t>Total</w:t>
      </w:r>
      <w:r w:rsidRPr="00EB2BD8">
        <w:rPr>
          <w:rFonts w:ascii="Tahoma"/>
          <w:b/>
          <w:spacing w:val="-5"/>
          <w:sz w:val="16"/>
        </w:rPr>
        <w:t xml:space="preserve"> </w:t>
      </w:r>
      <w:r w:rsidRPr="00EB2BD8">
        <w:rPr>
          <w:rFonts w:ascii="Tahoma"/>
          <w:b/>
          <w:spacing w:val="-2"/>
          <w:sz w:val="16"/>
        </w:rPr>
        <w:t>employees</w:t>
      </w:r>
      <w:r w:rsidRPr="00EB2BD8">
        <w:rPr>
          <w:rFonts w:ascii="Tahoma"/>
          <w:b/>
          <w:sz w:val="16"/>
        </w:rPr>
        <w:tab/>
      </w:r>
      <w:r w:rsidRPr="00EB2BD8">
        <w:rPr>
          <w:rFonts w:ascii="Tahoma"/>
          <w:b/>
          <w:spacing w:val="-5"/>
          <w:sz w:val="16"/>
        </w:rPr>
        <w:t>472</w:t>
      </w:r>
      <w:r w:rsidRPr="00EB2BD8">
        <w:rPr>
          <w:rFonts w:ascii="Tahoma"/>
          <w:b/>
          <w:sz w:val="16"/>
        </w:rPr>
        <w:tab/>
      </w:r>
      <w:r w:rsidRPr="00EB2BD8">
        <w:rPr>
          <w:rFonts w:ascii="Tahoma"/>
          <w:b/>
          <w:spacing w:val="-4"/>
          <w:sz w:val="16"/>
        </w:rPr>
        <w:t>463.7</w:t>
      </w:r>
      <w:r w:rsidRPr="00EB2BD8">
        <w:rPr>
          <w:rFonts w:ascii="Tahoma"/>
          <w:b/>
          <w:sz w:val="16"/>
        </w:rPr>
        <w:tab/>
      </w:r>
      <w:r w:rsidRPr="00EB2BD8">
        <w:rPr>
          <w:rFonts w:ascii="Tahoma"/>
          <w:b/>
          <w:spacing w:val="-5"/>
          <w:sz w:val="16"/>
        </w:rPr>
        <w:t>366</w:t>
      </w:r>
      <w:r w:rsidRPr="00EB2BD8">
        <w:rPr>
          <w:rFonts w:ascii="Tahoma"/>
          <w:b/>
          <w:sz w:val="16"/>
        </w:rPr>
        <w:tab/>
      </w:r>
      <w:r w:rsidRPr="00EB2BD8">
        <w:rPr>
          <w:rFonts w:ascii="Tahoma"/>
          <w:b/>
          <w:spacing w:val="-5"/>
          <w:sz w:val="16"/>
        </w:rPr>
        <w:t>24</w:t>
      </w:r>
      <w:r w:rsidRPr="00EB2BD8">
        <w:rPr>
          <w:rFonts w:ascii="Tahoma"/>
          <w:b/>
          <w:sz w:val="16"/>
        </w:rPr>
        <w:tab/>
      </w:r>
      <w:r w:rsidRPr="00EB2BD8">
        <w:rPr>
          <w:rFonts w:ascii="Tahoma"/>
          <w:b/>
          <w:spacing w:val="-5"/>
          <w:sz w:val="16"/>
        </w:rPr>
        <w:t>383</w:t>
      </w:r>
      <w:r w:rsidRPr="00EB2BD8">
        <w:rPr>
          <w:rFonts w:ascii="Tahoma"/>
          <w:b/>
          <w:sz w:val="16"/>
        </w:rPr>
        <w:tab/>
      </w:r>
      <w:r w:rsidRPr="00EB2BD8">
        <w:rPr>
          <w:rFonts w:ascii="Tahoma"/>
          <w:b/>
          <w:spacing w:val="-5"/>
          <w:sz w:val="16"/>
        </w:rPr>
        <w:t>82</w:t>
      </w:r>
      <w:r w:rsidRPr="00EB2BD8">
        <w:rPr>
          <w:rFonts w:ascii="Tahoma"/>
          <w:b/>
          <w:sz w:val="16"/>
        </w:rPr>
        <w:tab/>
      </w:r>
      <w:r w:rsidRPr="00EB2BD8">
        <w:rPr>
          <w:rFonts w:ascii="Tahoma"/>
          <w:b/>
          <w:spacing w:val="-4"/>
          <w:sz w:val="16"/>
        </w:rPr>
        <w:t>80.6</w:t>
      </w:r>
    </w:p>
    <w:p w14:paraId="77FDCA5B" w14:textId="28FB79CC" w:rsidR="00084F36" w:rsidRPr="00EB2BD8" w:rsidRDefault="00EB2BD8">
      <w:pPr>
        <w:spacing w:before="331"/>
        <w:ind w:left="870"/>
        <w:rPr>
          <w:i/>
          <w:sz w:val="14"/>
        </w:rPr>
      </w:pPr>
      <w:r w:rsidRPr="00EB2BD8">
        <w:rPr>
          <w:i/>
          <w:sz w:val="14"/>
        </w:rPr>
        <w:t>32</w:t>
      </w:r>
      <w:r w:rsidR="00D0600F">
        <w:rPr>
          <w:i/>
          <w:sz w:val="14"/>
        </w:rPr>
        <w:t xml:space="preserve">- </w:t>
      </w:r>
      <w:r w:rsidRPr="00EB2BD8">
        <w:rPr>
          <w:i/>
          <w:sz w:val="14"/>
        </w:rPr>
        <w:t>This</w:t>
      </w:r>
      <w:r w:rsidRPr="00EB2BD8">
        <w:rPr>
          <w:i/>
          <w:spacing w:val="-7"/>
          <w:sz w:val="14"/>
        </w:rPr>
        <w:t xml:space="preserve"> </w:t>
      </w:r>
      <w:r w:rsidRPr="00EB2BD8">
        <w:rPr>
          <w:i/>
          <w:sz w:val="14"/>
        </w:rPr>
        <w:t>table</w:t>
      </w:r>
      <w:r w:rsidRPr="00EB2BD8">
        <w:rPr>
          <w:i/>
          <w:spacing w:val="-7"/>
          <w:sz w:val="14"/>
        </w:rPr>
        <w:t xml:space="preserve"> </w:t>
      </w:r>
      <w:r w:rsidRPr="00EB2BD8">
        <w:rPr>
          <w:i/>
          <w:sz w:val="14"/>
        </w:rPr>
        <w:t>excludes</w:t>
      </w:r>
      <w:r w:rsidRPr="00EB2BD8">
        <w:rPr>
          <w:i/>
          <w:spacing w:val="-6"/>
          <w:sz w:val="14"/>
        </w:rPr>
        <w:t xml:space="preserve"> </w:t>
      </w:r>
      <w:r w:rsidRPr="00EB2BD8">
        <w:rPr>
          <w:i/>
          <w:sz w:val="14"/>
        </w:rPr>
        <w:t>people</w:t>
      </w:r>
      <w:r w:rsidRPr="00EB2BD8">
        <w:rPr>
          <w:i/>
          <w:spacing w:val="-7"/>
          <w:sz w:val="14"/>
        </w:rPr>
        <w:t xml:space="preserve"> </w:t>
      </w:r>
      <w:r w:rsidRPr="00EB2BD8">
        <w:rPr>
          <w:i/>
          <w:sz w:val="14"/>
        </w:rPr>
        <w:t>engaged</w:t>
      </w:r>
      <w:r w:rsidRPr="00EB2BD8">
        <w:rPr>
          <w:i/>
          <w:spacing w:val="-6"/>
          <w:sz w:val="14"/>
        </w:rPr>
        <w:t xml:space="preserve"> </w:t>
      </w:r>
      <w:r w:rsidRPr="00EB2BD8">
        <w:rPr>
          <w:i/>
          <w:sz w:val="14"/>
        </w:rPr>
        <w:t>as</w:t>
      </w:r>
      <w:r w:rsidRPr="00EB2BD8">
        <w:rPr>
          <w:i/>
          <w:spacing w:val="-7"/>
          <w:sz w:val="14"/>
        </w:rPr>
        <w:t xml:space="preserve"> </w:t>
      </w:r>
      <w:r w:rsidRPr="00EB2BD8">
        <w:rPr>
          <w:i/>
          <w:spacing w:val="-2"/>
          <w:sz w:val="14"/>
        </w:rPr>
        <w:t>contractors.</w:t>
      </w:r>
    </w:p>
    <w:p w14:paraId="5E48F141" w14:textId="035ED87A" w:rsidR="00084F36" w:rsidRPr="00EB2BD8" w:rsidRDefault="00EB2BD8">
      <w:pPr>
        <w:spacing w:before="15"/>
        <w:ind w:left="870"/>
        <w:rPr>
          <w:i/>
          <w:sz w:val="14"/>
        </w:rPr>
      </w:pPr>
      <w:r w:rsidRPr="00EB2BD8">
        <w:rPr>
          <w:i/>
          <w:sz w:val="14"/>
        </w:rPr>
        <w:t>33</w:t>
      </w:r>
      <w:r w:rsidR="00D0600F">
        <w:rPr>
          <w:i/>
          <w:sz w:val="14"/>
        </w:rPr>
        <w:t xml:space="preserve">- </w:t>
      </w:r>
      <w:r w:rsidRPr="00EB2BD8">
        <w:rPr>
          <w:i/>
          <w:sz w:val="14"/>
        </w:rPr>
        <w:t>Ongoing employees</w:t>
      </w:r>
      <w:r w:rsidRPr="00EB2BD8">
        <w:rPr>
          <w:i/>
          <w:spacing w:val="1"/>
          <w:sz w:val="14"/>
        </w:rPr>
        <w:t xml:space="preserve"> </w:t>
      </w:r>
      <w:r w:rsidRPr="00EB2BD8">
        <w:rPr>
          <w:i/>
          <w:sz w:val="14"/>
        </w:rPr>
        <w:t>include people</w:t>
      </w:r>
      <w:r w:rsidRPr="00EB2BD8">
        <w:rPr>
          <w:i/>
          <w:spacing w:val="1"/>
          <w:sz w:val="14"/>
        </w:rPr>
        <w:t xml:space="preserve"> </w:t>
      </w:r>
      <w:r w:rsidRPr="00EB2BD8">
        <w:rPr>
          <w:i/>
          <w:sz w:val="14"/>
        </w:rPr>
        <w:t>engaged</w:t>
      </w:r>
      <w:r w:rsidRPr="00EB2BD8">
        <w:rPr>
          <w:i/>
          <w:spacing w:val="1"/>
          <w:sz w:val="14"/>
        </w:rPr>
        <w:t xml:space="preserve"> </w:t>
      </w:r>
      <w:r w:rsidRPr="00EB2BD8">
        <w:rPr>
          <w:i/>
          <w:sz w:val="14"/>
        </w:rPr>
        <w:t>on an</w:t>
      </w:r>
      <w:r w:rsidRPr="00EB2BD8">
        <w:rPr>
          <w:i/>
          <w:spacing w:val="1"/>
          <w:sz w:val="14"/>
        </w:rPr>
        <w:t xml:space="preserve"> </w:t>
      </w:r>
      <w:r w:rsidRPr="00EB2BD8">
        <w:rPr>
          <w:i/>
          <w:sz w:val="14"/>
        </w:rPr>
        <w:t>open-ended</w:t>
      </w:r>
      <w:r w:rsidRPr="00EB2BD8">
        <w:rPr>
          <w:i/>
          <w:spacing w:val="1"/>
          <w:sz w:val="14"/>
        </w:rPr>
        <w:t xml:space="preserve"> </w:t>
      </w:r>
      <w:r w:rsidRPr="00EB2BD8">
        <w:rPr>
          <w:i/>
          <w:sz w:val="14"/>
        </w:rPr>
        <w:t>contract of</w:t>
      </w:r>
      <w:r w:rsidRPr="00EB2BD8">
        <w:rPr>
          <w:i/>
          <w:spacing w:val="1"/>
          <w:sz w:val="14"/>
        </w:rPr>
        <w:t xml:space="preserve"> </w:t>
      </w:r>
      <w:r w:rsidRPr="00EB2BD8">
        <w:rPr>
          <w:i/>
          <w:sz w:val="14"/>
        </w:rPr>
        <w:t>employment</w:t>
      </w:r>
      <w:r w:rsidRPr="00EB2BD8">
        <w:rPr>
          <w:i/>
          <w:spacing w:val="1"/>
          <w:sz w:val="14"/>
        </w:rPr>
        <w:t xml:space="preserve"> </w:t>
      </w:r>
      <w:r w:rsidRPr="00EB2BD8">
        <w:rPr>
          <w:i/>
          <w:sz w:val="14"/>
        </w:rPr>
        <w:t>as of</w:t>
      </w:r>
      <w:r w:rsidRPr="00EB2BD8">
        <w:rPr>
          <w:i/>
          <w:spacing w:val="1"/>
          <w:sz w:val="14"/>
        </w:rPr>
        <w:t xml:space="preserve"> </w:t>
      </w:r>
      <w:r w:rsidRPr="00EB2BD8">
        <w:rPr>
          <w:i/>
          <w:sz w:val="14"/>
        </w:rPr>
        <w:t>30</w:t>
      </w:r>
      <w:r w:rsidRPr="00EB2BD8">
        <w:rPr>
          <w:i/>
          <w:spacing w:val="1"/>
          <w:sz w:val="14"/>
        </w:rPr>
        <w:t xml:space="preserve"> </w:t>
      </w:r>
      <w:r w:rsidRPr="00EB2BD8">
        <w:rPr>
          <w:i/>
          <w:spacing w:val="-2"/>
          <w:sz w:val="14"/>
        </w:rPr>
        <w:t>June.</w:t>
      </w:r>
    </w:p>
    <w:p w14:paraId="2F5C2F8B" w14:textId="77777777" w:rsidR="00084F36" w:rsidRPr="00EB2BD8" w:rsidRDefault="00084F36">
      <w:pPr>
        <w:rPr>
          <w:sz w:val="14"/>
        </w:rPr>
        <w:sectPr w:rsidR="00084F36" w:rsidRPr="00EB2BD8" w:rsidSect="006D75B2">
          <w:footerReference w:type="default" r:id="rId400"/>
          <w:pgSz w:w="11910" w:h="16840"/>
          <w:pgMar w:top="1100" w:right="0" w:bottom="700" w:left="0" w:header="0" w:footer="505" w:gutter="0"/>
          <w:cols w:space="720"/>
        </w:sectPr>
      </w:pPr>
    </w:p>
    <w:p w14:paraId="7E98B4AB" w14:textId="77777777" w:rsidR="00084F36" w:rsidRPr="00EB2BD8" w:rsidRDefault="00084F36">
      <w:pPr>
        <w:pStyle w:val="BodyText"/>
        <w:rPr>
          <w:i/>
          <w:sz w:val="22"/>
        </w:rPr>
      </w:pPr>
    </w:p>
    <w:p w14:paraId="435807C5" w14:textId="77777777" w:rsidR="00084F36" w:rsidRPr="00EB2BD8" w:rsidRDefault="00084F36">
      <w:pPr>
        <w:pStyle w:val="BodyText"/>
        <w:rPr>
          <w:i/>
          <w:sz w:val="22"/>
        </w:rPr>
      </w:pPr>
    </w:p>
    <w:p w14:paraId="232EEFF4" w14:textId="77777777" w:rsidR="00084F36" w:rsidRPr="00EB2BD8" w:rsidRDefault="00084F36">
      <w:pPr>
        <w:pStyle w:val="BodyText"/>
        <w:rPr>
          <w:i/>
          <w:sz w:val="22"/>
        </w:rPr>
      </w:pPr>
    </w:p>
    <w:p w14:paraId="5AB81FE2" w14:textId="77777777" w:rsidR="00084F36" w:rsidRPr="00EB2BD8" w:rsidRDefault="00084F36">
      <w:pPr>
        <w:pStyle w:val="BodyText"/>
        <w:rPr>
          <w:i/>
          <w:sz w:val="22"/>
        </w:rPr>
      </w:pPr>
    </w:p>
    <w:p w14:paraId="64ABFC70" w14:textId="77777777" w:rsidR="00084F36" w:rsidRPr="00EB2BD8" w:rsidRDefault="00084F36">
      <w:pPr>
        <w:pStyle w:val="BodyText"/>
        <w:spacing w:before="10"/>
        <w:rPr>
          <w:i/>
          <w:sz w:val="19"/>
        </w:rPr>
      </w:pPr>
    </w:p>
    <w:p w14:paraId="35003EA3" w14:textId="77777777" w:rsidR="00084F36" w:rsidRPr="00EB2BD8" w:rsidRDefault="00EB2BD8" w:rsidP="00697E0C">
      <w:pPr>
        <w:pStyle w:val="Heading3"/>
      </w:pPr>
      <w:bookmarkStart w:id="429" w:name="_Toc150762731"/>
      <w:r w:rsidRPr="00EB2BD8">
        <w:t>Table</w:t>
      </w:r>
      <w:r w:rsidRPr="00EB2BD8">
        <w:rPr>
          <w:spacing w:val="-16"/>
        </w:rPr>
        <w:t xml:space="preserve"> </w:t>
      </w:r>
      <w:r w:rsidRPr="00EB2BD8">
        <w:t>21:</w:t>
      </w:r>
      <w:r w:rsidRPr="00EB2BD8">
        <w:rPr>
          <w:spacing w:val="-16"/>
        </w:rPr>
        <w:t xml:space="preserve"> </w:t>
      </w:r>
      <w:r w:rsidRPr="00EB2BD8">
        <w:t>Annualised</w:t>
      </w:r>
      <w:r w:rsidRPr="00EB2BD8">
        <w:rPr>
          <w:spacing w:val="-16"/>
        </w:rPr>
        <w:t xml:space="preserve"> </w:t>
      </w:r>
      <w:r w:rsidRPr="00EB2BD8">
        <w:t>TRP,</w:t>
      </w:r>
      <w:r w:rsidRPr="00EB2BD8">
        <w:rPr>
          <w:spacing w:val="-16"/>
        </w:rPr>
        <w:t xml:space="preserve"> </w:t>
      </w:r>
      <w:r w:rsidRPr="00EB2BD8">
        <w:t>by</w:t>
      </w:r>
      <w:r w:rsidRPr="00EB2BD8">
        <w:rPr>
          <w:spacing w:val="-16"/>
        </w:rPr>
        <w:t xml:space="preserve"> </w:t>
      </w:r>
      <w:r w:rsidRPr="00EB2BD8">
        <w:t>$20,000</w:t>
      </w:r>
      <w:r w:rsidRPr="00EB2BD8">
        <w:rPr>
          <w:spacing w:val="-15"/>
        </w:rPr>
        <w:t xml:space="preserve"> </w:t>
      </w:r>
      <w:r w:rsidRPr="00EB2BD8">
        <w:t>bands,</w:t>
      </w:r>
      <w:r w:rsidRPr="00EB2BD8">
        <w:rPr>
          <w:spacing w:val="-16"/>
        </w:rPr>
        <w:t xml:space="preserve"> </w:t>
      </w:r>
      <w:r w:rsidRPr="00EB2BD8">
        <w:t>for</w:t>
      </w:r>
      <w:r w:rsidRPr="00EB2BD8">
        <w:rPr>
          <w:spacing w:val="-16"/>
        </w:rPr>
        <w:t xml:space="preserve"> </w:t>
      </w:r>
      <w:r w:rsidRPr="00EB2BD8">
        <w:t>executives</w:t>
      </w:r>
      <w:r w:rsidRPr="00EB2BD8">
        <w:rPr>
          <w:spacing w:val="-16"/>
        </w:rPr>
        <w:t xml:space="preserve"> </w:t>
      </w:r>
      <w:r w:rsidRPr="00EB2BD8">
        <w:t>and</w:t>
      </w:r>
      <w:r w:rsidRPr="00EB2BD8">
        <w:rPr>
          <w:spacing w:val="-16"/>
        </w:rPr>
        <w:t xml:space="preserve"> </w:t>
      </w:r>
      <w:r w:rsidRPr="00EB2BD8">
        <w:t>other</w:t>
      </w:r>
      <w:r w:rsidRPr="00EB2BD8">
        <w:rPr>
          <w:spacing w:val="-16"/>
        </w:rPr>
        <w:t xml:space="preserve"> </w:t>
      </w:r>
      <w:r w:rsidRPr="00EB2BD8">
        <w:t>senior</w:t>
      </w:r>
      <w:r w:rsidRPr="00EB2BD8">
        <w:rPr>
          <w:spacing w:val="-15"/>
        </w:rPr>
        <w:t xml:space="preserve"> </w:t>
      </w:r>
      <w:r w:rsidRPr="00EB2BD8">
        <w:t>non-executive</w:t>
      </w:r>
      <w:r w:rsidRPr="00EB2BD8">
        <w:rPr>
          <w:spacing w:val="-16"/>
        </w:rPr>
        <w:t xml:space="preserve"> </w:t>
      </w:r>
      <w:r w:rsidRPr="00EB2BD8">
        <w:t>staff (30 June 2023)</w:t>
      </w:r>
      <w:bookmarkEnd w:id="429"/>
    </w:p>
    <w:p w14:paraId="656FC6E8" w14:textId="77777777" w:rsidR="00084F36" w:rsidRPr="00EB2BD8" w:rsidRDefault="00084F36">
      <w:pPr>
        <w:pStyle w:val="BodyText"/>
        <w:spacing w:before="11"/>
        <w:rPr>
          <w:sz w:val="20"/>
        </w:rPr>
      </w:pPr>
    </w:p>
    <w:p w14:paraId="0C2EAE5E" w14:textId="77777777" w:rsidR="00084F36" w:rsidRPr="00EB2BD8" w:rsidRDefault="00EB2BD8">
      <w:pPr>
        <w:pStyle w:val="BodyText"/>
        <w:spacing w:line="261" w:lineRule="auto"/>
        <w:ind w:left="850" w:right="1155"/>
      </w:pPr>
      <w:r w:rsidRPr="00EB2BD8">
        <w:t>The</w:t>
      </w:r>
      <w:r w:rsidRPr="00EB2BD8">
        <w:rPr>
          <w:spacing w:val="-8"/>
        </w:rPr>
        <w:t xml:space="preserve"> </w:t>
      </w:r>
      <w:r w:rsidRPr="00EB2BD8">
        <w:t>following</w:t>
      </w:r>
      <w:r w:rsidRPr="00EB2BD8">
        <w:rPr>
          <w:spacing w:val="-8"/>
        </w:rPr>
        <w:t xml:space="preserve"> </w:t>
      </w:r>
      <w:r w:rsidRPr="00EB2BD8">
        <w:t>table</w:t>
      </w:r>
      <w:r w:rsidRPr="00EB2BD8">
        <w:rPr>
          <w:spacing w:val="-8"/>
        </w:rPr>
        <w:t xml:space="preserve"> </w:t>
      </w:r>
      <w:r w:rsidRPr="00EB2BD8">
        <w:t>discloses</w:t>
      </w:r>
      <w:r w:rsidRPr="00EB2BD8">
        <w:rPr>
          <w:spacing w:val="-8"/>
        </w:rPr>
        <w:t xml:space="preserve"> </w:t>
      </w:r>
      <w:r w:rsidRPr="00EB2BD8">
        <w:t>the</w:t>
      </w:r>
      <w:r w:rsidRPr="00EB2BD8">
        <w:rPr>
          <w:spacing w:val="-8"/>
        </w:rPr>
        <w:t xml:space="preserve"> </w:t>
      </w:r>
      <w:r w:rsidRPr="00EB2BD8">
        <w:t>annualised</w:t>
      </w:r>
      <w:r w:rsidRPr="00EB2BD8">
        <w:rPr>
          <w:spacing w:val="-8"/>
        </w:rPr>
        <w:t xml:space="preserve"> </w:t>
      </w:r>
      <w:r w:rsidRPr="00EB2BD8">
        <w:t>total</w:t>
      </w:r>
      <w:r w:rsidRPr="00EB2BD8">
        <w:rPr>
          <w:spacing w:val="-8"/>
        </w:rPr>
        <w:t xml:space="preserve"> </w:t>
      </w:r>
      <w:r w:rsidRPr="00EB2BD8">
        <w:t>salary</w:t>
      </w:r>
      <w:r w:rsidRPr="00EB2BD8">
        <w:rPr>
          <w:spacing w:val="-8"/>
        </w:rPr>
        <w:t xml:space="preserve"> </w:t>
      </w:r>
      <w:r w:rsidRPr="00EB2BD8">
        <w:t>for</w:t>
      </w:r>
      <w:r w:rsidRPr="00EB2BD8">
        <w:rPr>
          <w:spacing w:val="-8"/>
        </w:rPr>
        <w:t xml:space="preserve"> </w:t>
      </w:r>
      <w:r w:rsidRPr="00EB2BD8">
        <w:t>senior</w:t>
      </w:r>
      <w:r w:rsidRPr="00EB2BD8">
        <w:rPr>
          <w:spacing w:val="-8"/>
        </w:rPr>
        <w:t xml:space="preserve"> </w:t>
      </w:r>
      <w:r w:rsidRPr="00EB2BD8">
        <w:t>employees</w:t>
      </w:r>
      <w:r w:rsidRPr="00EB2BD8">
        <w:rPr>
          <w:spacing w:val="-8"/>
        </w:rPr>
        <w:t xml:space="preserve"> </w:t>
      </w:r>
      <w:r w:rsidRPr="00EB2BD8">
        <w:t>of</w:t>
      </w:r>
      <w:r w:rsidRPr="00EB2BD8">
        <w:rPr>
          <w:spacing w:val="-8"/>
        </w:rPr>
        <w:t xml:space="preserve"> </w:t>
      </w:r>
      <w:r w:rsidRPr="00EB2BD8">
        <w:t>the</w:t>
      </w:r>
      <w:r w:rsidRPr="00EB2BD8">
        <w:rPr>
          <w:spacing w:val="-8"/>
        </w:rPr>
        <w:t xml:space="preserve"> </w:t>
      </w:r>
      <w:r w:rsidRPr="00EB2BD8">
        <w:t>VBA</w:t>
      </w:r>
      <w:r w:rsidRPr="00EB2BD8">
        <w:rPr>
          <w:spacing w:val="-8"/>
        </w:rPr>
        <w:t xml:space="preserve"> </w:t>
      </w:r>
      <w:r w:rsidRPr="00EB2BD8">
        <w:t>(excluding</w:t>
      </w:r>
      <w:r w:rsidRPr="00EB2BD8">
        <w:rPr>
          <w:spacing w:val="-8"/>
        </w:rPr>
        <w:t xml:space="preserve"> </w:t>
      </w:r>
      <w:r w:rsidRPr="00EB2BD8">
        <w:t>CSV), categorised by classification. The salary amount is reported as the full-time annualised salary.</w:t>
      </w:r>
    </w:p>
    <w:p w14:paraId="75E3F7D4" w14:textId="77777777" w:rsidR="00084F36" w:rsidRPr="00EB2BD8" w:rsidRDefault="00084F36">
      <w:pPr>
        <w:pStyle w:val="BodyText"/>
        <w:spacing w:before="11"/>
        <w:rPr>
          <w:sz w:val="23"/>
        </w:rPr>
      </w:pPr>
    </w:p>
    <w:tbl>
      <w:tblPr>
        <w:tblW w:w="0" w:type="auto"/>
        <w:tblInd w:w="857" w:type="dxa"/>
        <w:tblLayout w:type="fixed"/>
        <w:tblCellMar>
          <w:left w:w="0" w:type="dxa"/>
          <w:right w:w="0" w:type="dxa"/>
        </w:tblCellMar>
        <w:tblLook w:val="01E0" w:firstRow="1" w:lastRow="1" w:firstColumn="1" w:lastColumn="1" w:noHBand="0" w:noVBand="0"/>
      </w:tblPr>
      <w:tblGrid>
        <w:gridCol w:w="4163"/>
        <w:gridCol w:w="3864"/>
        <w:gridCol w:w="2177"/>
      </w:tblGrid>
      <w:tr w:rsidR="00697E0C" w:rsidRPr="00697E0C" w14:paraId="6CF68E43" w14:textId="77777777">
        <w:trPr>
          <w:trHeight w:val="636"/>
        </w:trPr>
        <w:tc>
          <w:tcPr>
            <w:tcW w:w="4163" w:type="dxa"/>
            <w:shd w:val="clear" w:color="auto" w:fill="005F83"/>
          </w:tcPr>
          <w:p w14:paraId="45A77C3F" w14:textId="77777777" w:rsidR="00084F36" w:rsidRPr="00697E0C" w:rsidRDefault="00EB2BD8">
            <w:pPr>
              <w:pStyle w:val="TableParagraph"/>
              <w:spacing w:before="119"/>
              <w:ind w:left="113"/>
              <w:rPr>
                <w:color w:val="FFFFFF" w:themeColor="background1"/>
                <w:sz w:val="18"/>
              </w:rPr>
            </w:pPr>
            <w:r w:rsidRPr="00697E0C">
              <w:rPr>
                <w:color w:val="FFFFFF" w:themeColor="background1"/>
                <w:sz w:val="18"/>
              </w:rPr>
              <w:t>Income</w:t>
            </w:r>
            <w:r w:rsidRPr="00697E0C">
              <w:rPr>
                <w:color w:val="FFFFFF" w:themeColor="background1"/>
                <w:spacing w:val="-2"/>
                <w:sz w:val="18"/>
              </w:rPr>
              <w:t xml:space="preserve"> </w:t>
            </w:r>
            <w:r w:rsidRPr="00697E0C">
              <w:rPr>
                <w:color w:val="FFFFFF" w:themeColor="background1"/>
                <w:sz w:val="18"/>
              </w:rPr>
              <w:t>band</w:t>
            </w:r>
            <w:r w:rsidRPr="00697E0C">
              <w:rPr>
                <w:color w:val="FFFFFF" w:themeColor="background1"/>
                <w:spacing w:val="-1"/>
                <w:sz w:val="18"/>
              </w:rPr>
              <w:t xml:space="preserve"> </w:t>
            </w:r>
            <w:r w:rsidRPr="00697E0C">
              <w:rPr>
                <w:color w:val="FFFFFF" w:themeColor="background1"/>
                <w:spacing w:val="-2"/>
                <w:sz w:val="18"/>
              </w:rPr>
              <w:t>(salary)</w:t>
            </w:r>
          </w:p>
        </w:tc>
        <w:tc>
          <w:tcPr>
            <w:tcW w:w="3864" w:type="dxa"/>
            <w:shd w:val="clear" w:color="auto" w:fill="005F83"/>
          </w:tcPr>
          <w:p w14:paraId="45565D05" w14:textId="77777777" w:rsidR="00084F36" w:rsidRPr="00697E0C" w:rsidRDefault="00EB2BD8">
            <w:pPr>
              <w:pStyle w:val="TableParagraph"/>
              <w:spacing w:before="119"/>
              <w:ind w:right="201"/>
              <w:jc w:val="right"/>
              <w:rPr>
                <w:color w:val="FFFFFF" w:themeColor="background1"/>
                <w:sz w:val="18"/>
              </w:rPr>
            </w:pPr>
            <w:r w:rsidRPr="00697E0C">
              <w:rPr>
                <w:color w:val="FFFFFF" w:themeColor="background1"/>
                <w:sz w:val="18"/>
              </w:rPr>
              <w:t>Executives</w:t>
            </w:r>
            <w:r w:rsidRPr="00697E0C">
              <w:rPr>
                <w:color w:val="FFFFFF" w:themeColor="background1"/>
                <w:spacing w:val="18"/>
                <w:sz w:val="18"/>
              </w:rPr>
              <w:t xml:space="preserve"> </w:t>
            </w:r>
            <w:r w:rsidRPr="00697E0C">
              <w:rPr>
                <w:color w:val="FFFFFF" w:themeColor="background1"/>
                <w:spacing w:val="-2"/>
                <w:sz w:val="18"/>
              </w:rPr>
              <w:t>(TRP)</w:t>
            </w:r>
          </w:p>
        </w:tc>
        <w:tc>
          <w:tcPr>
            <w:tcW w:w="2177" w:type="dxa"/>
            <w:shd w:val="clear" w:color="auto" w:fill="005F83"/>
          </w:tcPr>
          <w:p w14:paraId="1D3B6462" w14:textId="77777777" w:rsidR="00084F36" w:rsidRPr="00697E0C" w:rsidRDefault="00EB2BD8">
            <w:pPr>
              <w:pStyle w:val="TableParagraph"/>
              <w:spacing w:before="119"/>
              <w:ind w:right="110"/>
              <w:jc w:val="right"/>
              <w:rPr>
                <w:color w:val="FFFFFF" w:themeColor="background1"/>
                <w:sz w:val="18"/>
              </w:rPr>
            </w:pPr>
            <w:r w:rsidRPr="00697E0C">
              <w:rPr>
                <w:color w:val="FFFFFF" w:themeColor="background1"/>
                <w:w w:val="105"/>
                <w:sz w:val="18"/>
              </w:rPr>
              <w:t>STS</w:t>
            </w:r>
            <w:r w:rsidRPr="00697E0C">
              <w:rPr>
                <w:color w:val="FFFFFF" w:themeColor="background1"/>
                <w:spacing w:val="-11"/>
                <w:w w:val="105"/>
                <w:sz w:val="18"/>
              </w:rPr>
              <w:t xml:space="preserve"> </w:t>
            </w:r>
            <w:r w:rsidRPr="00697E0C">
              <w:rPr>
                <w:color w:val="FFFFFF" w:themeColor="background1"/>
                <w:w w:val="105"/>
                <w:sz w:val="18"/>
              </w:rPr>
              <w:t>(base</w:t>
            </w:r>
            <w:r w:rsidRPr="00697E0C">
              <w:rPr>
                <w:color w:val="FFFFFF" w:themeColor="background1"/>
                <w:spacing w:val="-10"/>
                <w:w w:val="105"/>
                <w:sz w:val="18"/>
              </w:rPr>
              <w:t xml:space="preserve"> </w:t>
            </w:r>
            <w:r w:rsidRPr="00697E0C">
              <w:rPr>
                <w:color w:val="FFFFFF" w:themeColor="background1"/>
                <w:w w:val="105"/>
                <w:sz w:val="18"/>
              </w:rPr>
              <w:t>salary</w:t>
            </w:r>
            <w:r w:rsidRPr="00697E0C">
              <w:rPr>
                <w:color w:val="FFFFFF" w:themeColor="background1"/>
                <w:spacing w:val="-10"/>
                <w:w w:val="105"/>
                <w:sz w:val="18"/>
              </w:rPr>
              <w:t xml:space="preserve"> </w:t>
            </w:r>
            <w:r w:rsidRPr="00697E0C">
              <w:rPr>
                <w:color w:val="FFFFFF" w:themeColor="background1"/>
                <w:spacing w:val="-4"/>
                <w:w w:val="105"/>
                <w:sz w:val="18"/>
              </w:rPr>
              <w:t>plus</w:t>
            </w:r>
          </w:p>
          <w:p w14:paraId="0A86B5BB" w14:textId="77777777" w:rsidR="00084F36" w:rsidRPr="00697E0C" w:rsidRDefault="00EB2BD8">
            <w:pPr>
              <w:pStyle w:val="TableParagraph"/>
              <w:spacing w:before="18"/>
              <w:ind w:right="110"/>
              <w:jc w:val="right"/>
              <w:rPr>
                <w:color w:val="FFFFFF" w:themeColor="background1"/>
                <w:sz w:val="18"/>
              </w:rPr>
            </w:pPr>
            <w:r w:rsidRPr="00697E0C">
              <w:rPr>
                <w:color w:val="FFFFFF" w:themeColor="background1"/>
                <w:spacing w:val="-2"/>
                <w:w w:val="105"/>
                <w:sz w:val="18"/>
              </w:rPr>
              <w:t>super)</w:t>
            </w:r>
          </w:p>
        </w:tc>
      </w:tr>
      <w:tr w:rsidR="00EB2BD8" w:rsidRPr="00EB2BD8" w14:paraId="6533D818" w14:textId="77777777">
        <w:trPr>
          <w:trHeight w:val="384"/>
        </w:trPr>
        <w:tc>
          <w:tcPr>
            <w:tcW w:w="4163" w:type="dxa"/>
            <w:tcBorders>
              <w:bottom w:val="single" w:sz="2" w:space="0" w:color="000000"/>
            </w:tcBorders>
          </w:tcPr>
          <w:p w14:paraId="49BC9D8B" w14:textId="77777777" w:rsidR="00084F36" w:rsidRPr="00EB2BD8" w:rsidRDefault="00EB2BD8">
            <w:pPr>
              <w:pStyle w:val="TableParagraph"/>
              <w:spacing w:before="118"/>
              <w:ind w:left="113"/>
              <w:rPr>
                <w:sz w:val="16"/>
              </w:rPr>
            </w:pPr>
            <w:r w:rsidRPr="00EB2BD8">
              <w:rPr>
                <w:w w:val="70"/>
                <w:sz w:val="16"/>
              </w:rPr>
              <w:t>&lt;</w:t>
            </w:r>
            <w:r w:rsidRPr="00EB2BD8">
              <w:rPr>
                <w:spacing w:val="-12"/>
                <w:w w:val="95"/>
                <w:sz w:val="16"/>
              </w:rPr>
              <w:t xml:space="preserve"> </w:t>
            </w:r>
            <w:r w:rsidRPr="00EB2BD8">
              <w:rPr>
                <w:spacing w:val="-2"/>
                <w:w w:val="95"/>
                <w:sz w:val="16"/>
              </w:rPr>
              <w:t>$160,000</w:t>
            </w:r>
          </w:p>
        </w:tc>
        <w:tc>
          <w:tcPr>
            <w:tcW w:w="3864" w:type="dxa"/>
            <w:tcBorders>
              <w:bottom w:val="single" w:sz="2" w:space="0" w:color="000000"/>
            </w:tcBorders>
          </w:tcPr>
          <w:p w14:paraId="63F4CB6A" w14:textId="77777777" w:rsidR="00084F36" w:rsidRPr="00EB2BD8" w:rsidRDefault="00084F36">
            <w:pPr>
              <w:pStyle w:val="TableParagraph"/>
              <w:rPr>
                <w:rFonts w:ascii="Times New Roman"/>
                <w:sz w:val="16"/>
              </w:rPr>
            </w:pPr>
          </w:p>
        </w:tc>
        <w:tc>
          <w:tcPr>
            <w:tcW w:w="2177" w:type="dxa"/>
            <w:tcBorders>
              <w:bottom w:val="single" w:sz="2" w:space="0" w:color="000000"/>
            </w:tcBorders>
          </w:tcPr>
          <w:p w14:paraId="412C8D41" w14:textId="77777777" w:rsidR="00084F36" w:rsidRPr="00EB2BD8" w:rsidRDefault="00084F36">
            <w:pPr>
              <w:pStyle w:val="TableParagraph"/>
              <w:rPr>
                <w:rFonts w:ascii="Times New Roman"/>
                <w:sz w:val="16"/>
              </w:rPr>
            </w:pPr>
          </w:p>
        </w:tc>
      </w:tr>
      <w:tr w:rsidR="00EB2BD8" w:rsidRPr="00EB2BD8" w14:paraId="6515F909" w14:textId="77777777">
        <w:trPr>
          <w:trHeight w:val="381"/>
        </w:trPr>
        <w:tc>
          <w:tcPr>
            <w:tcW w:w="4163" w:type="dxa"/>
            <w:tcBorders>
              <w:top w:val="single" w:sz="2" w:space="0" w:color="000000"/>
              <w:bottom w:val="single" w:sz="2" w:space="0" w:color="000000"/>
            </w:tcBorders>
          </w:tcPr>
          <w:p w14:paraId="10F5F6A0" w14:textId="77777777" w:rsidR="00084F36" w:rsidRPr="00EB2BD8" w:rsidRDefault="00EB2BD8">
            <w:pPr>
              <w:pStyle w:val="TableParagraph"/>
              <w:spacing w:before="116"/>
              <w:ind w:left="113"/>
              <w:rPr>
                <w:sz w:val="16"/>
              </w:rPr>
            </w:pPr>
            <w:r w:rsidRPr="00EB2BD8">
              <w:rPr>
                <w:spacing w:val="-2"/>
                <w:sz w:val="16"/>
              </w:rPr>
              <w:t>$160,000–$179,999</w:t>
            </w:r>
          </w:p>
        </w:tc>
        <w:tc>
          <w:tcPr>
            <w:tcW w:w="3864" w:type="dxa"/>
            <w:tcBorders>
              <w:top w:val="single" w:sz="2" w:space="0" w:color="000000"/>
              <w:bottom w:val="single" w:sz="2" w:space="0" w:color="000000"/>
            </w:tcBorders>
          </w:tcPr>
          <w:p w14:paraId="47030CCD" w14:textId="77777777" w:rsidR="00084F36" w:rsidRPr="00EB2BD8" w:rsidRDefault="00084F36">
            <w:pPr>
              <w:pStyle w:val="TableParagraph"/>
              <w:rPr>
                <w:rFonts w:ascii="Times New Roman"/>
                <w:sz w:val="16"/>
              </w:rPr>
            </w:pPr>
          </w:p>
        </w:tc>
        <w:tc>
          <w:tcPr>
            <w:tcW w:w="2177" w:type="dxa"/>
            <w:tcBorders>
              <w:top w:val="single" w:sz="2" w:space="0" w:color="000000"/>
              <w:bottom w:val="single" w:sz="2" w:space="0" w:color="000000"/>
            </w:tcBorders>
          </w:tcPr>
          <w:p w14:paraId="5B0EE28C" w14:textId="77777777" w:rsidR="00084F36" w:rsidRPr="00EB2BD8" w:rsidRDefault="00084F36">
            <w:pPr>
              <w:pStyle w:val="TableParagraph"/>
              <w:rPr>
                <w:rFonts w:ascii="Times New Roman"/>
                <w:sz w:val="16"/>
              </w:rPr>
            </w:pPr>
          </w:p>
        </w:tc>
      </w:tr>
      <w:tr w:rsidR="00EB2BD8" w:rsidRPr="00EB2BD8" w14:paraId="04DA4CE9" w14:textId="77777777">
        <w:trPr>
          <w:trHeight w:val="381"/>
        </w:trPr>
        <w:tc>
          <w:tcPr>
            <w:tcW w:w="4163" w:type="dxa"/>
            <w:tcBorders>
              <w:top w:val="single" w:sz="2" w:space="0" w:color="000000"/>
              <w:bottom w:val="single" w:sz="2" w:space="0" w:color="000000"/>
            </w:tcBorders>
          </w:tcPr>
          <w:p w14:paraId="16FFC8DB" w14:textId="77777777" w:rsidR="00084F36" w:rsidRPr="00EB2BD8" w:rsidRDefault="00EB2BD8">
            <w:pPr>
              <w:pStyle w:val="TableParagraph"/>
              <w:spacing w:before="116"/>
              <w:ind w:left="113"/>
              <w:rPr>
                <w:sz w:val="16"/>
              </w:rPr>
            </w:pPr>
            <w:r w:rsidRPr="00EB2BD8">
              <w:rPr>
                <w:spacing w:val="-2"/>
                <w:sz w:val="16"/>
              </w:rPr>
              <w:t>$180,000–$199,999</w:t>
            </w:r>
          </w:p>
        </w:tc>
        <w:tc>
          <w:tcPr>
            <w:tcW w:w="3864" w:type="dxa"/>
            <w:tcBorders>
              <w:top w:val="single" w:sz="2" w:space="0" w:color="000000"/>
              <w:bottom w:val="single" w:sz="2" w:space="0" w:color="000000"/>
            </w:tcBorders>
          </w:tcPr>
          <w:p w14:paraId="6DC93353" w14:textId="77777777" w:rsidR="00084F36" w:rsidRPr="00EB2BD8" w:rsidRDefault="00084F36">
            <w:pPr>
              <w:pStyle w:val="TableParagraph"/>
              <w:rPr>
                <w:rFonts w:ascii="Times New Roman"/>
                <w:sz w:val="16"/>
              </w:rPr>
            </w:pPr>
          </w:p>
        </w:tc>
        <w:tc>
          <w:tcPr>
            <w:tcW w:w="2177" w:type="dxa"/>
            <w:tcBorders>
              <w:top w:val="single" w:sz="2" w:space="0" w:color="000000"/>
              <w:bottom w:val="single" w:sz="2" w:space="0" w:color="000000"/>
            </w:tcBorders>
          </w:tcPr>
          <w:p w14:paraId="5AC2F914" w14:textId="77777777" w:rsidR="00084F36" w:rsidRPr="00EB2BD8" w:rsidRDefault="00EB2BD8">
            <w:pPr>
              <w:pStyle w:val="TableParagraph"/>
              <w:spacing w:before="116"/>
              <w:ind w:right="110"/>
              <w:jc w:val="right"/>
              <w:rPr>
                <w:sz w:val="16"/>
              </w:rPr>
            </w:pPr>
            <w:r w:rsidRPr="00EB2BD8">
              <w:rPr>
                <w:w w:val="80"/>
                <w:sz w:val="16"/>
              </w:rPr>
              <w:t>2</w:t>
            </w:r>
          </w:p>
        </w:tc>
      </w:tr>
      <w:tr w:rsidR="00EB2BD8" w:rsidRPr="00EB2BD8" w14:paraId="5ACD79D6" w14:textId="77777777">
        <w:trPr>
          <w:trHeight w:val="381"/>
        </w:trPr>
        <w:tc>
          <w:tcPr>
            <w:tcW w:w="4163" w:type="dxa"/>
            <w:tcBorders>
              <w:top w:val="single" w:sz="2" w:space="0" w:color="000000"/>
              <w:bottom w:val="single" w:sz="2" w:space="0" w:color="000000"/>
            </w:tcBorders>
          </w:tcPr>
          <w:p w14:paraId="45C5358D" w14:textId="77777777" w:rsidR="00084F36" w:rsidRPr="00EB2BD8" w:rsidRDefault="00EB2BD8">
            <w:pPr>
              <w:pStyle w:val="TableParagraph"/>
              <w:spacing w:before="116"/>
              <w:ind w:left="113"/>
              <w:rPr>
                <w:sz w:val="16"/>
              </w:rPr>
            </w:pPr>
            <w:r w:rsidRPr="00EB2BD8">
              <w:rPr>
                <w:spacing w:val="-2"/>
                <w:sz w:val="16"/>
              </w:rPr>
              <w:t>$200,000–$219,999</w:t>
            </w:r>
          </w:p>
        </w:tc>
        <w:tc>
          <w:tcPr>
            <w:tcW w:w="3864" w:type="dxa"/>
            <w:tcBorders>
              <w:top w:val="single" w:sz="2" w:space="0" w:color="000000"/>
              <w:bottom w:val="single" w:sz="2" w:space="0" w:color="000000"/>
            </w:tcBorders>
          </w:tcPr>
          <w:p w14:paraId="39A430D3" w14:textId="77777777" w:rsidR="00084F36" w:rsidRPr="00EB2BD8" w:rsidRDefault="00084F36">
            <w:pPr>
              <w:pStyle w:val="TableParagraph"/>
              <w:rPr>
                <w:rFonts w:ascii="Times New Roman"/>
                <w:sz w:val="16"/>
              </w:rPr>
            </w:pPr>
          </w:p>
        </w:tc>
        <w:tc>
          <w:tcPr>
            <w:tcW w:w="2177" w:type="dxa"/>
            <w:tcBorders>
              <w:top w:val="single" w:sz="2" w:space="0" w:color="000000"/>
              <w:bottom w:val="single" w:sz="2" w:space="0" w:color="000000"/>
            </w:tcBorders>
          </w:tcPr>
          <w:p w14:paraId="6AF1D6E2" w14:textId="77777777" w:rsidR="00084F36" w:rsidRPr="00EB2BD8" w:rsidRDefault="00EB2BD8">
            <w:pPr>
              <w:pStyle w:val="TableParagraph"/>
              <w:spacing w:before="116"/>
              <w:ind w:right="111"/>
              <w:jc w:val="right"/>
              <w:rPr>
                <w:sz w:val="16"/>
              </w:rPr>
            </w:pPr>
            <w:r w:rsidRPr="00EB2BD8">
              <w:rPr>
                <w:spacing w:val="-5"/>
                <w:w w:val="80"/>
                <w:sz w:val="16"/>
              </w:rPr>
              <w:t>15</w:t>
            </w:r>
          </w:p>
        </w:tc>
      </w:tr>
      <w:tr w:rsidR="00EB2BD8" w:rsidRPr="00EB2BD8" w14:paraId="171D9EEC" w14:textId="77777777">
        <w:trPr>
          <w:trHeight w:val="381"/>
        </w:trPr>
        <w:tc>
          <w:tcPr>
            <w:tcW w:w="4163" w:type="dxa"/>
            <w:tcBorders>
              <w:top w:val="single" w:sz="2" w:space="0" w:color="000000"/>
              <w:bottom w:val="single" w:sz="2" w:space="0" w:color="000000"/>
            </w:tcBorders>
          </w:tcPr>
          <w:p w14:paraId="17C7E993" w14:textId="77777777" w:rsidR="00084F36" w:rsidRPr="00EB2BD8" w:rsidRDefault="00EB2BD8">
            <w:pPr>
              <w:pStyle w:val="TableParagraph"/>
              <w:spacing w:before="116"/>
              <w:ind w:left="113"/>
              <w:rPr>
                <w:sz w:val="16"/>
              </w:rPr>
            </w:pPr>
            <w:r w:rsidRPr="00EB2BD8">
              <w:rPr>
                <w:spacing w:val="-2"/>
                <w:sz w:val="16"/>
              </w:rPr>
              <w:t>$220,000–$239,999</w:t>
            </w:r>
          </w:p>
        </w:tc>
        <w:tc>
          <w:tcPr>
            <w:tcW w:w="3864" w:type="dxa"/>
            <w:tcBorders>
              <w:top w:val="single" w:sz="2" w:space="0" w:color="000000"/>
              <w:bottom w:val="single" w:sz="2" w:space="0" w:color="000000"/>
            </w:tcBorders>
          </w:tcPr>
          <w:p w14:paraId="6B587648" w14:textId="77777777" w:rsidR="00084F36" w:rsidRPr="00EB2BD8" w:rsidRDefault="00EB2BD8">
            <w:pPr>
              <w:pStyle w:val="TableParagraph"/>
              <w:spacing w:before="116"/>
              <w:ind w:right="201"/>
              <w:jc w:val="right"/>
              <w:rPr>
                <w:sz w:val="16"/>
              </w:rPr>
            </w:pPr>
            <w:r w:rsidRPr="00EB2BD8">
              <w:rPr>
                <w:w w:val="55"/>
                <w:sz w:val="16"/>
              </w:rPr>
              <w:t>1</w:t>
            </w:r>
          </w:p>
        </w:tc>
        <w:tc>
          <w:tcPr>
            <w:tcW w:w="2177" w:type="dxa"/>
            <w:tcBorders>
              <w:top w:val="single" w:sz="2" w:space="0" w:color="000000"/>
              <w:bottom w:val="single" w:sz="2" w:space="0" w:color="000000"/>
            </w:tcBorders>
          </w:tcPr>
          <w:p w14:paraId="3BBE85BE" w14:textId="77777777" w:rsidR="00084F36" w:rsidRPr="00EB2BD8" w:rsidRDefault="00EB2BD8">
            <w:pPr>
              <w:pStyle w:val="TableParagraph"/>
              <w:spacing w:before="116"/>
              <w:ind w:right="110"/>
              <w:jc w:val="right"/>
              <w:rPr>
                <w:sz w:val="16"/>
              </w:rPr>
            </w:pPr>
            <w:r w:rsidRPr="00EB2BD8">
              <w:rPr>
                <w:w w:val="93"/>
                <w:sz w:val="16"/>
              </w:rPr>
              <w:t>3</w:t>
            </w:r>
          </w:p>
        </w:tc>
      </w:tr>
      <w:tr w:rsidR="00EB2BD8" w:rsidRPr="00EB2BD8" w14:paraId="591D7AC5" w14:textId="77777777">
        <w:trPr>
          <w:trHeight w:val="381"/>
        </w:trPr>
        <w:tc>
          <w:tcPr>
            <w:tcW w:w="4163" w:type="dxa"/>
            <w:tcBorders>
              <w:top w:val="single" w:sz="2" w:space="0" w:color="000000"/>
              <w:bottom w:val="single" w:sz="2" w:space="0" w:color="000000"/>
            </w:tcBorders>
          </w:tcPr>
          <w:p w14:paraId="66666F7E" w14:textId="77777777" w:rsidR="00084F36" w:rsidRPr="00EB2BD8" w:rsidRDefault="00EB2BD8">
            <w:pPr>
              <w:pStyle w:val="TableParagraph"/>
              <w:spacing w:before="116"/>
              <w:ind w:left="113"/>
              <w:rPr>
                <w:sz w:val="16"/>
              </w:rPr>
            </w:pPr>
            <w:r w:rsidRPr="00EB2BD8">
              <w:rPr>
                <w:spacing w:val="-2"/>
                <w:sz w:val="16"/>
              </w:rPr>
              <w:t>$240,000–$259,999</w:t>
            </w:r>
          </w:p>
        </w:tc>
        <w:tc>
          <w:tcPr>
            <w:tcW w:w="3864" w:type="dxa"/>
            <w:tcBorders>
              <w:top w:val="single" w:sz="2" w:space="0" w:color="000000"/>
              <w:bottom w:val="single" w:sz="2" w:space="0" w:color="000000"/>
            </w:tcBorders>
          </w:tcPr>
          <w:p w14:paraId="02D0119D" w14:textId="77777777" w:rsidR="00084F36" w:rsidRPr="00EB2BD8" w:rsidRDefault="00EB2BD8">
            <w:pPr>
              <w:pStyle w:val="TableParagraph"/>
              <w:spacing w:before="116"/>
              <w:ind w:right="201"/>
              <w:jc w:val="right"/>
              <w:rPr>
                <w:sz w:val="16"/>
              </w:rPr>
            </w:pPr>
            <w:r w:rsidRPr="00EB2BD8">
              <w:rPr>
                <w:w w:val="80"/>
                <w:sz w:val="16"/>
              </w:rPr>
              <w:t>2</w:t>
            </w:r>
          </w:p>
        </w:tc>
        <w:tc>
          <w:tcPr>
            <w:tcW w:w="2177" w:type="dxa"/>
            <w:tcBorders>
              <w:top w:val="single" w:sz="2" w:space="0" w:color="000000"/>
              <w:bottom w:val="single" w:sz="2" w:space="0" w:color="000000"/>
            </w:tcBorders>
          </w:tcPr>
          <w:p w14:paraId="0340698A" w14:textId="77777777" w:rsidR="00084F36" w:rsidRPr="00EB2BD8" w:rsidRDefault="00EB2BD8">
            <w:pPr>
              <w:pStyle w:val="TableParagraph"/>
              <w:spacing w:before="116"/>
              <w:ind w:right="110"/>
              <w:jc w:val="right"/>
              <w:rPr>
                <w:sz w:val="16"/>
              </w:rPr>
            </w:pPr>
            <w:r w:rsidRPr="00EB2BD8">
              <w:rPr>
                <w:w w:val="98"/>
                <w:sz w:val="16"/>
              </w:rPr>
              <w:t>4</w:t>
            </w:r>
          </w:p>
        </w:tc>
      </w:tr>
      <w:tr w:rsidR="00EB2BD8" w:rsidRPr="00EB2BD8" w14:paraId="64754123" w14:textId="77777777">
        <w:trPr>
          <w:trHeight w:val="381"/>
        </w:trPr>
        <w:tc>
          <w:tcPr>
            <w:tcW w:w="4163" w:type="dxa"/>
            <w:tcBorders>
              <w:top w:val="single" w:sz="2" w:space="0" w:color="000000"/>
              <w:bottom w:val="single" w:sz="2" w:space="0" w:color="000000"/>
            </w:tcBorders>
          </w:tcPr>
          <w:p w14:paraId="5AFBCBC6" w14:textId="77777777" w:rsidR="00084F36" w:rsidRPr="00EB2BD8" w:rsidRDefault="00EB2BD8">
            <w:pPr>
              <w:pStyle w:val="TableParagraph"/>
              <w:spacing w:before="116"/>
              <w:ind w:left="113"/>
              <w:rPr>
                <w:sz w:val="16"/>
              </w:rPr>
            </w:pPr>
            <w:r w:rsidRPr="00EB2BD8">
              <w:rPr>
                <w:spacing w:val="-2"/>
                <w:sz w:val="16"/>
              </w:rPr>
              <w:t>$260,000–$279,999</w:t>
            </w:r>
          </w:p>
        </w:tc>
        <w:tc>
          <w:tcPr>
            <w:tcW w:w="3864" w:type="dxa"/>
            <w:tcBorders>
              <w:top w:val="single" w:sz="2" w:space="0" w:color="000000"/>
              <w:bottom w:val="single" w:sz="2" w:space="0" w:color="000000"/>
            </w:tcBorders>
          </w:tcPr>
          <w:p w14:paraId="08C558EE" w14:textId="77777777" w:rsidR="00084F36" w:rsidRPr="00EB2BD8" w:rsidRDefault="00EB2BD8">
            <w:pPr>
              <w:pStyle w:val="TableParagraph"/>
              <w:spacing w:before="116"/>
              <w:ind w:right="201"/>
              <w:jc w:val="right"/>
              <w:rPr>
                <w:sz w:val="16"/>
              </w:rPr>
            </w:pPr>
            <w:r w:rsidRPr="00EB2BD8">
              <w:rPr>
                <w:w w:val="98"/>
                <w:sz w:val="16"/>
              </w:rPr>
              <w:t>4</w:t>
            </w:r>
          </w:p>
        </w:tc>
        <w:tc>
          <w:tcPr>
            <w:tcW w:w="2177" w:type="dxa"/>
            <w:tcBorders>
              <w:top w:val="single" w:sz="2" w:space="0" w:color="000000"/>
              <w:bottom w:val="single" w:sz="2" w:space="0" w:color="000000"/>
            </w:tcBorders>
          </w:tcPr>
          <w:p w14:paraId="15F14874" w14:textId="77777777" w:rsidR="00084F36" w:rsidRPr="00EB2BD8" w:rsidRDefault="00EB2BD8">
            <w:pPr>
              <w:pStyle w:val="TableParagraph"/>
              <w:spacing w:before="116"/>
              <w:ind w:right="110"/>
              <w:jc w:val="right"/>
              <w:rPr>
                <w:sz w:val="16"/>
              </w:rPr>
            </w:pPr>
            <w:r w:rsidRPr="00EB2BD8">
              <w:rPr>
                <w:w w:val="93"/>
                <w:sz w:val="16"/>
              </w:rPr>
              <w:t>3</w:t>
            </w:r>
          </w:p>
        </w:tc>
      </w:tr>
      <w:tr w:rsidR="00EB2BD8" w:rsidRPr="00EB2BD8" w14:paraId="5A1DC488" w14:textId="77777777">
        <w:trPr>
          <w:trHeight w:val="381"/>
        </w:trPr>
        <w:tc>
          <w:tcPr>
            <w:tcW w:w="4163" w:type="dxa"/>
            <w:tcBorders>
              <w:top w:val="single" w:sz="2" w:space="0" w:color="000000"/>
              <w:bottom w:val="single" w:sz="2" w:space="0" w:color="000000"/>
            </w:tcBorders>
          </w:tcPr>
          <w:p w14:paraId="0150C1FF" w14:textId="77777777" w:rsidR="00084F36" w:rsidRPr="00EB2BD8" w:rsidRDefault="00EB2BD8">
            <w:pPr>
              <w:pStyle w:val="TableParagraph"/>
              <w:spacing w:before="116"/>
              <w:ind w:left="113"/>
              <w:rPr>
                <w:sz w:val="16"/>
              </w:rPr>
            </w:pPr>
            <w:r w:rsidRPr="00EB2BD8">
              <w:rPr>
                <w:spacing w:val="-2"/>
                <w:sz w:val="16"/>
              </w:rPr>
              <w:t>$280,000–$299,999</w:t>
            </w:r>
          </w:p>
        </w:tc>
        <w:tc>
          <w:tcPr>
            <w:tcW w:w="3864" w:type="dxa"/>
            <w:tcBorders>
              <w:top w:val="single" w:sz="2" w:space="0" w:color="000000"/>
              <w:bottom w:val="single" w:sz="2" w:space="0" w:color="000000"/>
            </w:tcBorders>
          </w:tcPr>
          <w:p w14:paraId="122F04CB" w14:textId="77777777" w:rsidR="00084F36" w:rsidRPr="00EB2BD8" w:rsidRDefault="00EB2BD8">
            <w:pPr>
              <w:pStyle w:val="TableParagraph"/>
              <w:spacing w:before="116"/>
              <w:ind w:right="201"/>
              <w:jc w:val="right"/>
              <w:rPr>
                <w:sz w:val="16"/>
              </w:rPr>
            </w:pPr>
            <w:r w:rsidRPr="00EB2BD8">
              <w:rPr>
                <w:w w:val="55"/>
                <w:sz w:val="16"/>
              </w:rPr>
              <w:t>1</w:t>
            </w:r>
          </w:p>
        </w:tc>
        <w:tc>
          <w:tcPr>
            <w:tcW w:w="2177" w:type="dxa"/>
            <w:tcBorders>
              <w:top w:val="single" w:sz="2" w:space="0" w:color="000000"/>
              <w:bottom w:val="single" w:sz="2" w:space="0" w:color="000000"/>
            </w:tcBorders>
          </w:tcPr>
          <w:p w14:paraId="30D79938" w14:textId="77777777" w:rsidR="00084F36" w:rsidRPr="00EB2BD8" w:rsidRDefault="00084F36">
            <w:pPr>
              <w:pStyle w:val="TableParagraph"/>
              <w:rPr>
                <w:rFonts w:ascii="Times New Roman"/>
                <w:sz w:val="16"/>
              </w:rPr>
            </w:pPr>
          </w:p>
        </w:tc>
      </w:tr>
      <w:tr w:rsidR="00EB2BD8" w:rsidRPr="00EB2BD8" w14:paraId="3F545D60" w14:textId="77777777">
        <w:trPr>
          <w:trHeight w:val="381"/>
        </w:trPr>
        <w:tc>
          <w:tcPr>
            <w:tcW w:w="4163" w:type="dxa"/>
            <w:tcBorders>
              <w:top w:val="single" w:sz="2" w:space="0" w:color="000000"/>
              <w:bottom w:val="single" w:sz="2" w:space="0" w:color="000000"/>
            </w:tcBorders>
          </w:tcPr>
          <w:p w14:paraId="43098D08" w14:textId="77777777" w:rsidR="00084F36" w:rsidRPr="00EB2BD8" w:rsidRDefault="00EB2BD8">
            <w:pPr>
              <w:pStyle w:val="TableParagraph"/>
              <w:spacing w:before="115"/>
              <w:ind w:left="113"/>
              <w:rPr>
                <w:sz w:val="16"/>
              </w:rPr>
            </w:pPr>
            <w:r w:rsidRPr="00EB2BD8">
              <w:rPr>
                <w:spacing w:val="-2"/>
                <w:sz w:val="16"/>
              </w:rPr>
              <w:t>$300,000–$319,999</w:t>
            </w:r>
          </w:p>
        </w:tc>
        <w:tc>
          <w:tcPr>
            <w:tcW w:w="3864" w:type="dxa"/>
            <w:tcBorders>
              <w:top w:val="single" w:sz="2" w:space="0" w:color="000000"/>
              <w:bottom w:val="single" w:sz="2" w:space="0" w:color="000000"/>
            </w:tcBorders>
          </w:tcPr>
          <w:p w14:paraId="60743230" w14:textId="77777777" w:rsidR="00084F36" w:rsidRPr="00EB2BD8" w:rsidRDefault="00EB2BD8">
            <w:pPr>
              <w:pStyle w:val="TableParagraph"/>
              <w:spacing w:before="115"/>
              <w:ind w:right="201"/>
              <w:jc w:val="right"/>
              <w:rPr>
                <w:sz w:val="16"/>
              </w:rPr>
            </w:pPr>
            <w:r w:rsidRPr="00EB2BD8">
              <w:rPr>
                <w:w w:val="80"/>
                <w:sz w:val="16"/>
              </w:rPr>
              <w:t>2</w:t>
            </w:r>
          </w:p>
        </w:tc>
        <w:tc>
          <w:tcPr>
            <w:tcW w:w="2177" w:type="dxa"/>
            <w:tcBorders>
              <w:top w:val="single" w:sz="2" w:space="0" w:color="000000"/>
              <w:bottom w:val="single" w:sz="2" w:space="0" w:color="000000"/>
            </w:tcBorders>
          </w:tcPr>
          <w:p w14:paraId="64B643D0" w14:textId="77777777" w:rsidR="00084F36" w:rsidRPr="00EB2BD8" w:rsidRDefault="00084F36">
            <w:pPr>
              <w:pStyle w:val="TableParagraph"/>
              <w:rPr>
                <w:rFonts w:ascii="Times New Roman"/>
                <w:sz w:val="16"/>
              </w:rPr>
            </w:pPr>
          </w:p>
        </w:tc>
      </w:tr>
      <w:tr w:rsidR="00EB2BD8" w:rsidRPr="00EB2BD8" w14:paraId="03EC1F97" w14:textId="77777777">
        <w:trPr>
          <w:trHeight w:val="381"/>
        </w:trPr>
        <w:tc>
          <w:tcPr>
            <w:tcW w:w="4163" w:type="dxa"/>
            <w:tcBorders>
              <w:top w:val="single" w:sz="2" w:space="0" w:color="000000"/>
              <w:bottom w:val="single" w:sz="2" w:space="0" w:color="000000"/>
            </w:tcBorders>
          </w:tcPr>
          <w:p w14:paraId="228F0B69" w14:textId="77777777" w:rsidR="00084F36" w:rsidRPr="00EB2BD8" w:rsidRDefault="00EB2BD8">
            <w:pPr>
              <w:pStyle w:val="TableParagraph"/>
              <w:spacing w:before="115"/>
              <w:ind w:left="113"/>
              <w:rPr>
                <w:sz w:val="16"/>
              </w:rPr>
            </w:pPr>
            <w:r w:rsidRPr="00EB2BD8">
              <w:rPr>
                <w:spacing w:val="-2"/>
                <w:sz w:val="16"/>
              </w:rPr>
              <w:t>$320,000–$339,999</w:t>
            </w:r>
          </w:p>
        </w:tc>
        <w:tc>
          <w:tcPr>
            <w:tcW w:w="3864" w:type="dxa"/>
            <w:tcBorders>
              <w:top w:val="single" w:sz="2" w:space="0" w:color="000000"/>
              <w:bottom w:val="single" w:sz="2" w:space="0" w:color="000000"/>
            </w:tcBorders>
          </w:tcPr>
          <w:p w14:paraId="64B58552" w14:textId="77777777" w:rsidR="00084F36" w:rsidRPr="00EB2BD8" w:rsidRDefault="00EB2BD8">
            <w:pPr>
              <w:pStyle w:val="TableParagraph"/>
              <w:spacing w:before="115"/>
              <w:ind w:right="201"/>
              <w:jc w:val="right"/>
              <w:rPr>
                <w:sz w:val="16"/>
              </w:rPr>
            </w:pPr>
            <w:r w:rsidRPr="00EB2BD8">
              <w:rPr>
                <w:w w:val="55"/>
                <w:sz w:val="16"/>
              </w:rPr>
              <w:t>1</w:t>
            </w:r>
          </w:p>
        </w:tc>
        <w:tc>
          <w:tcPr>
            <w:tcW w:w="2177" w:type="dxa"/>
            <w:tcBorders>
              <w:top w:val="single" w:sz="2" w:space="0" w:color="000000"/>
              <w:bottom w:val="single" w:sz="2" w:space="0" w:color="000000"/>
            </w:tcBorders>
          </w:tcPr>
          <w:p w14:paraId="22C89440" w14:textId="77777777" w:rsidR="00084F36" w:rsidRPr="00EB2BD8" w:rsidRDefault="00084F36">
            <w:pPr>
              <w:pStyle w:val="TableParagraph"/>
              <w:rPr>
                <w:rFonts w:ascii="Times New Roman"/>
                <w:sz w:val="16"/>
              </w:rPr>
            </w:pPr>
          </w:p>
        </w:tc>
      </w:tr>
      <w:tr w:rsidR="00EB2BD8" w:rsidRPr="00EB2BD8" w14:paraId="45967493" w14:textId="77777777">
        <w:trPr>
          <w:trHeight w:val="381"/>
        </w:trPr>
        <w:tc>
          <w:tcPr>
            <w:tcW w:w="4163" w:type="dxa"/>
            <w:tcBorders>
              <w:top w:val="single" w:sz="2" w:space="0" w:color="000000"/>
              <w:bottom w:val="single" w:sz="2" w:space="0" w:color="000000"/>
            </w:tcBorders>
          </w:tcPr>
          <w:p w14:paraId="14848A26" w14:textId="77777777" w:rsidR="00084F36" w:rsidRPr="00EB2BD8" w:rsidRDefault="00EB2BD8">
            <w:pPr>
              <w:pStyle w:val="TableParagraph"/>
              <w:spacing w:before="115"/>
              <w:ind w:left="113"/>
              <w:rPr>
                <w:sz w:val="16"/>
              </w:rPr>
            </w:pPr>
            <w:r w:rsidRPr="00EB2BD8">
              <w:rPr>
                <w:spacing w:val="-2"/>
                <w:sz w:val="16"/>
              </w:rPr>
              <w:t>$340,000–$359,999</w:t>
            </w:r>
          </w:p>
        </w:tc>
        <w:tc>
          <w:tcPr>
            <w:tcW w:w="3864" w:type="dxa"/>
            <w:tcBorders>
              <w:top w:val="single" w:sz="2" w:space="0" w:color="000000"/>
              <w:bottom w:val="single" w:sz="2" w:space="0" w:color="000000"/>
            </w:tcBorders>
          </w:tcPr>
          <w:p w14:paraId="3BB48050" w14:textId="77777777" w:rsidR="00084F36" w:rsidRPr="00EB2BD8" w:rsidRDefault="00EB2BD8">
            <w:pPr>
              <w:pStyle w:val="TableParagraph"/>
              <w:spacing w:before="115"/>
              <w:ind w:right="201"/>
              <w:jc w:val="right"/>
              <w:rPr>
                <w:sz w:val="16"/>
              </w:rPr>
            </w:pPr>
            <w:r w:rsidRPr="00EB2BD8">
              <w:rPr>
                <w:w w:val="135"/>
                <w:sz w:val="16"/>
              </w:rPr>
              <w:t>-</w:t>
            </w:r>
          </w:p>
        </w:tc>
        <w:tc>
          <w:tcPr>
            <w:tcW w:w="2177" w:type="dxa"/>
            <w:tcBorders>
              <w:top w:val="single" w:sz="2" w:space="0" w:color="000000"/>
              <w:bottom w:val="single" w:sz="2" w:space="0" w:color="000000"/>
            </w:tcBorders>
          </w:tcPr>
          <w:p w14:paraId="16AB52DC" w14:textId="77777777" w:rsidR="00084F36" w:rsidRPr="00EB2BD8" w:rsidRDefault="00084F36">
            <w:pPr>
              <w:pStyle w:val="TableParagraph"/>
              <w:rPr>
                <w:rFonts w:ascii="Times New Roman"/>
                <w:sz w:val="16"/>
              </w:rPr>
            </w:pPr>
          </w:p>
        </w:tc>
      </w:tr>
      <w:tr w:rsidR="00EB2BD8" w:rsidRPr="00EB2BD8" w14:paraId="203CEFEA" w14:textId="77777777">
        <w:trPr>
          <w:trHeight w:val="381"/>
        </w:trPr>
        <w:tc>
          <w:tcPr>
            <w:tcW w:w="4163" w:type="dxa"/>
            <w:tcBorders>
              <w:top w:val="single" w:sz="2" w:space="0" w:color="000000"/>
              <w:bottom w:val="single" w:sz="2" w:space="0" w:color="000000"/>
            </w:tcBorders>
          </w:tcPr>
          <w:p w14:paraId="3802FD26" w14:textId="77777777" w:rsidR="00084F36" w:rsidRPr="00EB2BD8" w:rsidRDefault="00EB2BD8">
            <w:pPr>
              <w:pStyle w:val="TableParagraph"/>
              <w:spacing w:before="115"/>
              <w:ind w:left="113"/>
              <w:rPr>
                <w:sz w:val="16"/>
              </w:rPr>
            </w:pPr>
            <w:r w:rsidRPr="00EB2BD8">
              <w:rPr>
                <w:spacing w:val="-2"/>
                <w:sz w:val="16"/>
              </w:rPr>
              <w:t>$360,000–$379,999</w:t>
            </w:r>
          </w:p>
        </w:tc>
        <w:tc>
          <w:tcPr>
            <w:tcW w:w="3864" w:type="dxa"/>
            <w:tcBorders>
              <w:top w:val="single" w:sz="2" w:space="0" w:color="000000"/>
              <w:bottom w:val="single" w:sz="2" w:space="0" w:color="000000"/>
            </w:tcBorders>
          </w:tcPr>
          <w:p w14:paraId="65B67B29" w14:textId="77777777" w:rsidR="00084F36" w:rsidRPr="00EB2BD8" w:rsidRDefault="00EB2BD8">
            <w:pPr>
              <w:pStyle w:val="TableParagraph"/>
              <w:spacing w:before="115"/>
              <w:ind w:right="201"/>
              <w:jc w:val="right"/>
              <w:rPr>
                <w:sz w:val="16"/>
              </w:rPr>
            </w:pPr>
            <w:r w:rsidRPr="00EB2BD8">
              <w:rPr>
                <w:w w:val="80"/>
                <w:sz w:val="16"/>
              </w:rPr>
              <w:t>2</w:t>
            </w:r>
          </w:p>
        </w:tc>
        <w:tc>
          <w:tcPr>
            <w:tcW w:w="2177" w:type="dxa"/>
            <w:tcBorders>
              <w:top w:val="single" w:sz="2" w:space="0" w:color="000000"/>
              <w:bottom w:val="single" w:sz="2" w:space="0" w:color="000000"/>
            </w:tcBorders>
          </w:tcPr>
          <w:p w14:paraId="249FC45D" w14:textId="77777777" w:rsidR="00084F36" w:rsidRPr="00EB2BD8" w:rsidRDefault="00084F36">
            <w:pPr>
              <w:pStyle w:val="TableParagraph"/>
              <w:rPr>
                <w:rFonts w:ascii="Times New Roman"/>
                <w:sz w:val="16"/>
              </w:rPr>
            </w:pPr>
          </w:p>
        </w:tc>
      </w:tr>
      <w:tr w:rsidR="00EB2BD8" w:rsidRPr="00EB2BD8" w14:paraId="4330C9CC" w14:textId="77777777">
        <w:trPr>
          <w:trHeight w:val="381"/>
        </w:trPr>
        <w:tc>
          <w:tcPr>
            <w:tcW w:w="4163" w:type="dxa"/>
            <w:tcBorders>
              <w:top w:val="single" w:sz="2" w:space="0" w:color="000000"/>
              <w:bottom w:val="single" w:sz="2" w:space="0" w:color="000000"/>
            </w:tcBorders>
          </w:tcPr>
          <w:p w14:paraId="5CCCAC76" w14:textId="77777777" w:rsidR="00084F36" w:rsidRPr="00EB2BD8" w:rsidRDefault="00EB2BD8">
            <w:pPr>
              <w:pStyle w:val="TableParagraph"/>
              <w:spacing w:before="115"/>
              <w:ind w:left="113"/>
              <w:rPr>
                <w:sz w:val="16"/>
              </w:rPr>
            </w:pPr>
            <w:r w:rsidRPr="00EB2BD8">
              <w:rPr>
                <w:spacing w:val="-2"/>
                <w:sz w:val="16"/>
              </w:rPr>
              <w:t>$380,000–$399,999</w:t>
            </w:r>
          </w:p>
        </w:tc>
        <w:tc>
          <w:tcPr>
            <w:tcW w:w="3864" w:type="dxa"/>
            <w:tcBorders>
              <w:top w:val="single" w:sz="2" w:space="0" w:color="000000"/>
              <w:bottom w:val="single" w:sz="2" w:space="0" w:color="000000"/>
            </w:tcBorders>
          </w:tcPr>
          <w:p w14:paraId="33011D82" w14:textId="77777777" w:rsidR="00084F36" w:rsidRPr="00EB2BD8" w:rsidRDefault="00EB2BD8">
            <w:pPr>
              <w:pStyle w:val="TableParagraph"/>
              <w:spacing w:before="115"/>
              <w:ind w:right="201"/>
              <w:jc w:val="right"/>
              <w:rPr>
                <w:sz w:val="16"/>
              </w:rPr>
            </w:pPr>
            <w:r w:rsidRPr="00EB2BD8">
              <w:rPr>
                <w:w w:val="55"/>
                <w:sz w:val="16"/>
              </w:rPr>
              <w:t>1</w:t>
            </w:r>
          </w:p>
        </w:tc>
        <w:tc>
          <w:tcPr>
            <w:tcW w:w="2177" w:type="dxa"/>
            <w:tcBorders>
              <w:top w:val="single" w:sz="2" w:space="0" w:color="000000"/>
              <w:bottom w:val="single" w:sz="2" w:space="0" w:color="000000"/>
            </w:tcBorders>
          </w:tcPr>
          <w:p w14:paraId="4CD5DA9E" w14:textId="77777777" w:rsidR="00084F36" w:rsidRPr="00EB2BD8" w:rsidRDefault="00084F36">
            <w:pPr>
              <w:pStyle w:val="TableParagraph"/>
              <w:rPr>
                <w:rFonts w:ascii="Times New Roman"/>
                <w:sz w:val="16"/>
              </w:rPr>
            </w:pPr>
          </w:p>
        </w:tc>
      </w:tr>
      <w:tr w:rsidR="00EB2BD8" w:rsidRPr="00EB2BD8" w14:paraId="4C9D010C" w14:textId="77777777">
        <w:trPr>
          <w:trHeight w:val="381"/>
        </w:trPr>
        <w:tc>
          <w:tcPr>
            <w:tcW w:w="4163" w:type="dxa"/>
            <w:tcBorders>
              <w:top w:val="single" w:sz="2" w:space="0" w:color="000000"/>
              <w:bottom w:val="single" w:sz="2" w:space="0" w:color="000000"/>
            </w:tcBorders>
          </w:tcPr>
          <w:p w14:paraId="41BA6E40" w14:textId="77777777" w:rsidR="00084F36" w:rsidRPr="00EB2BD8" w:rsidRDefault="00EB2BD8">
            <w:pPr>
              <w:pStyle w:val="TableParagraph"/>
              <w:spacing w:before="115"/>
              <w:ind w:left="113"/>
              <w:rPr>
                <w:sz w:val="16"/>
              </w:rPr>
            </w:pPr>
            <w:r w:rsidRPr="00EB2BD8">
              <w:rPr>
                <w:spacing w:val="-2"/>
                <w:sz w:val="16"/>
              </w:rPr>
              <w:t>$400,000–$419,999</w:t>
            </w:r>
          </w:p>
        </w:tc>
        <w:tc>
          <w:tcPr>
            <w:tcW w:w="3864" w:type="dxa"/>
            <w:tcBorders>
              <w:top w:val="single" w:sz="2" w:space="0" w:color="000000"/>
              <w:bottom w:val="single" w:sz="2" w:space="0" w:color="000000"/>
            </w:tcBorders>
          </w:tcPr>
          <w:p w14:paraId="2824709B" w14:textId="77777777" w:rsidR="00084F36" w:rsidRPr="00EB2BD8" w:rsidRDefault="00EB2BD8">
            <w:pPr>
              <w:pStyle w:val="TableParagraph"/>
              <w:spacing w:before="115"/>
              <w:ind w:right="201"/>
              <w:jc w:val="right"/>
              <w:rPr>
                <w:sz w:val="16"/>
              </w:rPr>
            </w:pPr>
            <w:r w:rsidRPr="00EB2BD8">
              <w:rPr>
                <w:w w:val="55"/>
                <w:sz w:val="16"/>
              </w:rPr>
              <w:t>1</w:t>
            </w:r>
          </w:p>
        </w:tc>
        <w:tc>
          <w:tcPr>
            <w:tcW w:w="2177" w:type="dxa"/>
            <w:tcBorders>
              <w:top w:val="single" w:sz="2" w:space="0" w:color="000000"/>
              <w:bottom w:val="single" w:sz="2" w:space="0" w:color="000000"/>
            </w:tcBorders>
          </w:tcPr>
          <w:p w14:paraId="1900BE9B" w14:textId="77777777" w:rsidR="00084F36" w:rsidRPr="00EB2BD8" w:rsidRDefault="00084F36">
            <w:pPr>
              <w:pStyle w:val="TableParagraph"/>
              <w:rPr>
                <w:rFonts w:ascii="Times New Roman"/>
                <w:sz w:val="16"/>
              </w:rPr>
            </w:pPr>
          </w:p>
        </w:tc>
      </w:tr>
      <w:tr w:rsidR="00EB2BD8" w:rsidRPr="00EB2BD8" w14:paraId="1D621D2F" w14:textId="77777777">
        <w:trPr>
          <w:trHeight w:val="381"/>
        </w:trPr>
        <w:tc>
          <w:tcPr>
            <w:tcW w:w="4163" w:type="dxa"/>
            <w:tcBorders>
              <w:top w:val="single" w:sz="2" w:space="0" w:color="000000"/>
              <w:bottom w:val="single" w:sz="2" w:space="0" w:color="000000"/>
            </w:tcBorders>
          </w:tcPr>
          <w:p w14:paraId="3E3E00CD" w14:textId="77777777" w:rsidR="00084F36" w:rsidRPr="00EB2BD8" w:rsidRDefault="00EB2BD8">
            <w:pPr>
              <w:pStyle w:val="TableParagraph"/>
              <w:spacing w:before="115"/>
              <w:ind w:left="113"/>
              <w:rPr>
                <w:sz w:val="16"/>
              </w:rPr>
            </w:pPr>
            <w:r w:rsidRPr="00EB2BD8">
              <w:rPr>
                <w:spacing w:val="-2"/>
                <w:sz w:val="16"/>
              </w:rPr>
              <w:t>$420,000–$439,999</w:t>
            </w:r>
          </w:p>
        </w:tc>
        <w:tc>
          <w:tcPr>
            <w:tcW w:w="3864" w:type="dxa"/>
            <w:tcBorders>
              <w:top w:val="single" w:sz="2" w:space="0" w:color="000000"/>
              <w:bottom w:val="single" w:sz="2" w:space="0" w:color="000000"/>
            </w:tcBorders>
          </w:tcPr>
          <w:p w14:paraId="6BB19156" w14:textId="77777777" w:rsidR="00084F36" w:rsidRPr="00EB2BD8" w:rsidRDefault="00EB2BD8">
            <w:pPr>
              <w:pStyle w:val="TableParagraph"/>
              <w:spacing w:before="115"/>
              <w:ind w:right="201"/>
              <w:jc w:val="right"/>
              <w:rPr>
                <w:sz w:val="16"/>
              </w:rPr>
            </w:pPr>
            <w:r w:rsidRPr="00EB2BD8">
              <w:rPr>
                <w:w w:val="55"/>
                <w:sz w:val="16"/>
              </w:rPr>
              <w:t>1</w:t>
            </w:r>
          </w:p>
        </w:tc>
        <w:tc>
          <w:tcPr>
            <w:tcW w:w="2177" w:type="dxa"/>
            <w:tcBorders>
              <w:top w:val="single" w:sz="2" w:space="0" w:color="000000"/>
              <w:bottom w:val="single" w:sz="2" w:space="0" w:color="000000"/>
            </w:tcBorders>
          </w:tcPr>
          <w:p w14:paraId="16217A6B" w14:textId="77777777" w:rsidR="00084F36" w:rsidRPr="00EB2BD8" w:rsidRDefault="00084F36">
            <w:pPr>
              <w:pStyle w:val="TableParagraph"/>
              <w:rPr>
                <w:rFonts w:ascii="Times New Roman"/>
                <w:sz w:val="16"/>
              </w:rPr>
            </w:pPr>
          </w:p>
        </w:tc>
      </w:tr>
      <w:tr w:rsidR="00EB2BD8" w:rsidRPr="00EB2BD8" w14:paraId="012E676C" w14:textId="77777777">
        <w:trPr>
          <w:trHeight w:val="381"/>
        </w:trPr>
        <w:tc>
          <w:tcPr>
            <w:tcW w:w="4163" w:type="dxa"/>
            <w:tcBorders>
              <w:top w:val="single" w:sz="2" w:space="0" w:color="000000"/>
              <w:bottom w:val="single" w:sz="2" w:space="0" w:color="000000"/>
            </w:tcBorders>
          </w:tcPr>
          <w:p w14:paraId="58066465" w14:textId="77777777" w:rsidR="00084F36" w:rsidRPr="00EB2BD8" w:rsidRDefault="00EB2BD8">
            <w:pPr>
              <w:pStyle w:val="TableParagraph"/>
              <w:spacing w:before="115"/>
              <w:ind w:left="113"/>
              <w:rPr>
                <w:sz w:val="16"/>
              </w:rPr>
            </w:pPr>
            <w:r w:rsidRPr="00EB2BD8">
              <w:rPr>
                <w:spacing w:val="-2"/>
                <w:sz w:val="16"/>
              </w:rPr>
              <w:t>$440,000–$459,999</w:t>
            </w:r>
          </w:p>
        </w:tc>
        <w:tc>
          <w:tcPr>
            <w:tcW w:w="3864" w:type="dxa"/>
            <w:tcBorders>
              <w:top w:val="single" w:sz="2" w:space="0" w:color="000000"/>
              <w:bottom w:val="single" w:sz="2" w:space="0" w:color="000000"/>
            </w:tcBorders>
          </w:tcPr>
          <w:p w14:paraId="08466C1C" w14:textId="77777777" w:rsidR="00084F36" w:rsidRPr="00EB2BD8" w:rsidRDefault="00EB2BD8">
            <w:pPr>
              <w:pStyle w:val="TableParagraph"/>
              <w:spacing w:before="115"/>
              <w:ind w:right="201"/>
              <w:jc w:val="right"/>
              <w:rPr>
                <w:sz w:val="16"/>
              </w:rPr>
            </w:pPr>
            <w:r w:rsidRPr="00EB2BD8">
              <w:rPr>
                <w:w w:val="55"/>
                <w:sz w:val="16"/>
              </w:rPr>
              <w:t>1</w:t>
            </w:r>
          </w:p>
        </w:tc>
        <w:tc>
          <w:tcPr>
            <w:tcW w:w="2177" w:type="dxa"/>
            <w:tcBorders>
              <w:top w:val="single" w:sz="2" w:space="0" w:color="000000"/>
              <w:bottom w:val="single" w:sz="2" w:space="0" w:color="000000"/>
            </w:tcBorders>
          </w:tcPr>
          <w:p w14:paraId="10AE137D" w14:textId="77777777" w:rsidR="00084F36" w:rsidRPr="00EB2BD8" w:rsidRDefault="00084F36">
            <w:pPr>
              <w:pStyle w:val="TableParagraph"/>
              <w:rPr>
                <w:rFonts w:ascii="Times New Roman"/>
                <w:sz w:val="16"/>
              </w:rPr>
            </w:pPr>
          </w:p>
        </w:tc>
      </w:tr>
      <w:tr w:rsidR="00084F36" w:rsidRPr="00EB2BD8" w14:paraId="42592A52" w14:textId="77777777">
        <w:trPr>
          <w:trHeight w:val="401"/>
        </w:trPr>
        <w:tc>
          <w:tcPr>
            <w:tcW w:w="4163" w:type="dxa"/>
            <w:tcBorders>
              <w:top w:val="single" w:sz="2" w:space="0" w:color="000000"/>
              <w:bottom w:val="single" w:sz="2" w:space="0" w:color="000000"/>
            </w:tcBorders>
          </w:tcPr>
          <w:p w14:paraId="6C4258DF" w14:textId="77777777" w:rsidR="00084F36" w:rsidRPr="00EB2BD8" w:rsidRDefault="00EB2BD8">
            <w:pPr>
              <w:pStyle w:val="TableParagraph"/>
              <w:spacing w:before="116"/>
              <w:ind w:left="102"/>
              <w:rPr>
                <w:b/>
                <w:sz w:val="18"/>
              </w:rPr>
            </w:pPr>
            <w:r w:rsidRPr="00EB2BD8">
              <w:rPr>
                <w:b/>
                <w:spacing w:val="-2"/>
                <w:sz w:val="18"/>
              </w:rPr>
              <w:t>Total</w:t>
            </w:r>
          </w:p>
        </w:tc>
        <w:tc>
          <w:tcPr>
            <w:tcW w:w="3864" w:type="dxa"/>
            <w:tcBorders>
              <w:top w:val="single" w:sz="2" w:space="0" w:color="000000"/>
              <w:bottom w:val="single" w:sz="2" w:space="0" w:color="000000"/>
            </w:tcBorders>
          </w:tcPr>
          <w:p w14:paraId="48585D85" w14:textId="77777777" w:rsidR="00084F36" w:rsidRPr="00EB2BD8" w:rsidRDefault="00EB2BD8">
            <w:pPr>
              <w:pStyle w:val="TableParagraph"/>
              <w:spacing w:before="116"/>
              <w:ind w:right="191"/>
              <w:jc w:val="right"/>
              <w:rPr>
                <w:b/>
                <w:sz w:val="18"/>
              </w:rPr>
            </w:pPr>
            <w:r w:rsidRPr="00EB2BD8">
              <w:rPr>
                <w:b/>
                <w:spacing w:val="-5"/>
                <w:w w:val="80"/>
                <w:sz w:val="18"/>
              </w:rPr>
              <w:t>17</w:t>
            </w:r>
          </w:p>
        </w:tc>
        <w:tc>
          <w:tcPr>
            <w:tcW w:w="2177" w:type="dxa"/>
            <w:tcBorders>
              <w:top w:val="single" w:sz="2" w:space="0" w:color="000000"/>
              <w:bottom w:val="single" w:sz="2" w:space="0" w:color="000000"/>
            </w:tcBorders>
          </w:tcPr>
          <w:p w14:paraId="01089C19" w14:textId="77777777" w:rsidR="00084F36" w:rsidRPr="00EB2BD8" w:rsidRDefault="00EB2BD8">
            <w:pPr>
              <w:pStyle w:val="TableParagraph"/>
              <w:spacing w:before="116"/>
              <w:ind w:right="100"/>
              <w:jc w:val="right"/>
              <w:rPr>
                <w:b/>
                <w:sz w:val="18"/>
              </w:rPr>
            </w:pPr>
            <w:r w:rsidRPr="00EB2BD8">
              <w:rPr>
                <w:b/>
                <w:spacing w:val="-5"/>
                <w:w w:val="90"/>
                <w:sz w:val="18"/>
              </w:rPr>
              <w:t>27</w:t>
            </w:r>
          </w:p>
        </w:tc>
      </w:tr>
    </w:tbl>
    <w:p w14:paraId="71B97151" w14:textId="77777777" w:rsidR="00084F36" w:rsidRPr="00EB2BD8" w:rsidRDefault="00084F36">
      <w:pPr>
        <w:jc w:val="right"/>
        <w:rPr>
          <w:sz w:val="18"/>
        </w:rPr>
        <w:sectPr w:rsidR="00084F36" w:rsidRPr="00EB2BD8" w:rsidSect="006D75B2">
          <w:footerReference w:type="default" r:id="rId401"/>
          <w:pgSz w:w="11910" w:h="16840"/>
          <w:pgMar w:top="1080" w:right="0" w:bottom="720" w:left="0" w:header="0" w:footer="515" w:gutter="0"/>
          <w:cols w:space="720"/>
        </w:sectPr>
      </w:pPr>
    </w:p>
    <w:p w14:paraId="723D1A72" w14:textId="77777777" w:rsidR="00084F36" w:rsidRPr="00EB2BD8" w:rsidRDefault="00084F36">
      <w:pPr>
        <w:pStyle w:val="BodyText"/>
        <w:rPr>
          <w:sz w:val="20"/>
        </w:rPr>
      </w:pPr>
    </w:p>
    <w:p w14:paraId="2D2C8884" w14:textId="77777777" w:rsidR="00084F36" w:rsidRPr="00EB2BD8" w:rsidRDefault="00084F36">
      <w:pPr>
        <w:pStyle w:val="BodyText"/>
        <w:rPr>
          <w:sz w:val="20"/>
        </w:rPr>
      </w:pPr>
    </w:p>
    <w:p w14:paraId="207E0898" w14:textId="77777777" w:rsidR="00084F36" w:rsidRPr="00EB2BD8" w:rsidRDefault="00084F36">
      <w:pPr>
        <w:pStyle w:val="BodyText"/>
        <w:rPr>
          <w:sz w:val="20"/>
        </w:rPr>
      </w:pPr>
    </w:p>
    <w:p w14:paraId="1E1C847D" w14:textId="77777777" w:rsidR="00084F36" w:rsidRPr="00EB2BD8" w:rsidRDefault="00084F36">
      <w:pPr>
        <w:pStyle w:val="BodyText"/>
        <w:rPr>
          <w:sz w:val="20"/>
        </w:rPr>
      </w:pPr>
    </w:p>
    <w:p w14:paraId="47137E03" w14:textId="77777777" w:rsidR="00084F36" w:rsidRPr="00EB2BD8" w:rsidRDefault="00084F36">
      <w:pPr>
        <w:pStyle w:val="BodyText"/>
        <w:spacing w:before="1"/>
        <w:rPr>
          <w:sz w:val="16"/>
        </w:rPr>
      </w:pPr>
    </w:p>
    <w:p w14:paraId="51D60152" w14:textId="77777777" w:rsidR="00084F36" w:rsidRPr="00EB2BD8" w:rsidRDefault="00EB2BD8" w:rsidP="00697E0C">
      <w:pPr>
        <w:pStyle w:val="Heading3"/>
        <w:rPr>
          <w:sz w:val="9"/>
        </w:rPr>
      </w:pPr>
      <w:bookmarkStart w:id="430" w:name="_Toc150762732"/>
      <w:r w:rsidRPr="00EB2BD8">
        <w:t>Table</w:t>
      </w:r>
      <w:r w:rsidRPr="00EB2BD8">
        <w:rPr>
          <w:spacing w:val="-16"/>
        </w:rPr>
        <w:t xml:space="preserve"> </w:t>
      </w:r>
      <w:r w:rsidRPr="00EB2BD8">
        <w:t>22:</w:t>
      </w:r>
      <w:r w:rsidRPr="00EB2BD8">
        <w:rPr>
          <w:spacing w:val="7"/>
        </w:rPr>
        <w:t xml:space="preserve"> </w:t>
      </w:r>
      <w:r w:rsidRPr="00EB2BD8">
        <w:t>Executive</w:t>
      </w:r>
      <w:r w:rsidRPr="00EB2BD8">
        <w:rPr>
          <w:spacing w:val="-15"/>
        </w:rPr>
        <w:t xml:space="preserve"> </w:t>
      </w:r>
      <w:r w:rsidRPr="00EB2BD8">
        <w:rPr>
          <w:spacing w:val="-2"/>
        </w:rPr>
        <w:t>profile</w:t>
      </w:r>
      <w:r w:rsidRPr="00EB2BD8">
        <w:rPr>
          <w:spacing w:val="-2"/>
          <w:position w:val="7"/>
          <w:sz w:val="9"/>
        </w:rPr>
        <w:t>34</w:t>
      </w:r>
      <w:bookmarkEnd w:id="430"/>
    </w:p>
    <w:p w14:paraId="19FD8487" w14:textId="77777777" w:rsidR="00084F36" w:rsidRPr="00EB2BD8" w:rsidRDefault="00084F36">
      <w:pPr>
        <w:pStyle w:val="BodyText"/>
        <w:spacing w:before="2" w:after="1"/>
        <w:rPr>
          <w:sz w:val="20"/>
        </w:rPr>
      </w:pPr>
    </w:p>
    <w:tbl>
      <w:tblPr>
        <w:tblW w:w="0" w:type="auto"/>
        <w:tblInd w:w="851" w:type="dxa"/>
        <w:tblLayout w:type="fixed"/>
        <w:tblCellMar>
          <w:left w:w="0" w:type="dxa"/>
          <w:right w:w="0" w:type="dxa"/>
        </w:tblCellMar>
        <w:tblLook w:val="01E0" w:firstRow="1" w:lastRow="1" w:firstColumn="1" w:lastColumn="1" w:noHBand="0" w:noVBand="0"/>
      </w:tblPr>
      <w:tblGrid>
        <w:gridCol w:w="2041"/>
        <w:gridCol w:w="597"/>
        <w:gridCol w:w="412"/>
        <w:gridCol w:w="706"/>
        <w:gridCol w:w="315"/>
        <w:gridCol w:w="1021"/>
        <w:gridCol w:w="1032"/>
        <w:gridCol w:w="1010"/>
        <w:gridCol w:w="714"/>
        <w:gridCol w:w="308"/>
        <w:gridCol w:w="1021"/>
        <w:gridCol w:w="1032"/>
      </w:tblGrid>
      <w:tr w:rsidR="00EB2BD8" w:rsidRPr="00EB2BD8" w14:paraId="54D82F2A" w14:textId="77777777">
        <w:trPr>
          <w:trHeight w:val="386"/>
        </w:trPr>
        <w:tc>
          <w:tcPr>
            <w:tcW w:w="2638" w:type="dxa"/>
            <w:gridSpan w:val="2"/>
            <w:shd w:val="clear" w:color="auto" w:fill="005F83"/>
          </w:tcPr>
          <w:p w14:paraId="2DD1EB70" w14:textId="77777777" w:rsidR="00084F36" w:rsidRPr="00D0600F" w:rsidRDefault="00EB2BD8">
            <w:pPr>
              <w:pStyle w:val="TableParagraph"/>
              <w:spacing w:before="118"/>
              <w:ind w:left="268"/>
              <w:rPr>
                <w:color w:val="FFFFFF" w:themeColor="background1"/>
                <w:sz w:val="16"/>
              </w:rPr>
            </w:pPr>
            <w:r w:rsidRPr="00D0600F">
              <w:rPr>
                <w:color w:val="FFFFFF" w:themeColor="background1"/>
                <w:sz w:val="16"/>
              </w:rPr>
              <w:t>Income</w:t>
            </w:r>
            <w:r w:rsidRPr="00D0600F">
              <w:rPr>
                <w:color w:val="FFFFFF" w:themeColor="background1"/>
                <w:spacing w:val="-2"/>
                <w:sz w:val="16"/>
              </w:rPr>
              <w:t xml:space="preserve"> </w:t>
            </w:r>
            <w:r w:rsidRPr="00D0600F">
              <w:rPr>
                <w:color w:val="FFFFFF" w:themeColor="background1"/>
                <w:sz w:val="16"/>
              </w:rPr>
              <w:t>band</w:t>
            </w:r>
            <w:r w:rsidRPr="00D0600F">
              <w:rPr>
                <w:color w:val="FFFFFF" w:themeColor="background1"/>
                <w:spacing w:val="-1"/>
                <w:sz w:val="16"/>
              </w:rPr>
              <w:t xml:space="preserve"> </w:t>
            </w:r>
            <w:r w:rsidRPr="00D0600F">
              <w:rPr>
                <w:color w:val="FFFFFF" w:themeColor="background1"/>
                <w:spacing w:val="-2"/>
                <w:sz w:val="16"/>
              </w:rPr>
              <w:t>(salary)</w:t>
            </w:r>
          </w:p>
        </w:tc>
        <w:tc>
          <w:tcPr>
            <w:tcW w:w="412" w:type="dxa"/>
            <w:shd w:val="clear" w:color="auto" w:fill="005F83"/>
          </w:tcPr>
          <w:p w14:paraId="6941EA99" w14:textId="77777777" w:rsidR="00084F36" w:rsidRPr="00D0600F" w:rsidRDefault="00084F36">
            <w:pPr>
              <w:pStyle w:val="TableParagraph"/>
              <w:rPr>
                <w:rFonts w:ascii="Times New Roman"/>
                <w:color w:val="FFFFFF" w:themeColor="background1"/>
                <w:sz w:val="16"/>
              </w:rPr>
            </w:pPr>
          </w:p>
        </w:tc>
        <w:tc>
          <w:tcPr>
            <w:tcW w:w="706" w:type="dxa"/>
            <w:shd w:val="clear" w:color="auto" w:fill="005F83"/>
          </w:tcPr>
          <w:p w14:paraId="20D1D14A" w14:textId="77777777" w:rsidR="00084F36" w:rsidRPr="00D0600F" w:rsidRDefault="00084F36">
            <w:pPr>
              <w:pStyle w:val="TableParagraph"/>
              <w:rPr>
                <w:rFonts w:ascii="Times New Roman"/>
                <w:color w:val="FFFFFF" w:themeColor="background1"/>
                <w:sz w:val="16"/>
              </w:rPr>
            </w:pPr>
          </w:p>
        </w:tc>
        <w:tc>
          <w:tcPr>
            <w:tcW w:w="1336" w:type="dxa"/>
            <w:gridSpan w:val="2"/>
            <w:shd w:val="clear" w:color="auto" w:fill="005F83"/>
          </w:tcPr>
          <w:p w14:paraId="2C56D854" w14:textId="77777777" w:rsidR="00084F36" w:rsidRPr="00D0600F" w:rsidRDefault="00EB2BD8">
            <w:pPr>
              <w:pStyle w:val="TableParagraph"/>
              <w:spacing w:before="118"/>
              <w:ind w:left="28"/>
              <w:rPr>
                <w:color w:val="FFFFFF" w:themeColor="background1"/>
                <w:sz w:val="16"/>
              </w:rPr>
            </w:pPr>
            <w:r w:rsidRPr="00D0600F">
              <w:rPr>
                <w:color w:val="FFFFFF" w:themeColor="background1"/>
                <w:w w:val="90"/>
                <w:sz w:val="16"/>
              </w:rPr>
              <w:t>2022-</w:t>
            </w:r>
            <w:r w:rsidRPr="00D0600F">
              <w:rPr>
                <w:color w:val="FFFFFF" w:themeColor="background1"/>
                <w:spacing w:val="-5"/>
                <w:sz w:val="16"/>
              </w:rPr>
              <w:t>23</w:t>
            </w:r>
          </w:p>
        </w:tc>
        <w:tc>
          <w:tcPr>
            <w:tcW w:w="2042" w:type="dxa"/>
            <w:gridSpan w:val="2"/>
            <w:shd w:val="clear" w:color="auto" w:fill="005F83"/>
          </w:tcPr>
          <w:p w14:paraId="1AB5DD31" w14:textId="77777777" w:rsidR="00084F36" w:rsidRPr="00D0600F" w:rsidRDefault="00084F36">
            <w:pPr>
              <w:pStyle w:val="TableParagraph"/>
              <w:rPr>
                <w:rFonts w:ascii="Times New Roman"/>
                <w:color w:val="FFFFFF" w:themeColor="background1"/>
                <w:sz w:val="16"/>
              </w:rPr>
            </w:pPr>
          </w:p>
        </w:tc>
        <w:tc>
          <w:tcPr>
            <w:tcW w:w="714" w:type="dxa"/>
            <w:shd w:val="clear" w:color="auto" w:fill="005F83"/>
          </w:tcPr>
          <w:p w14:paraId="4DF37000" w14:textId="77777777" w:rsidR="00084F36" w:rsidRPr="00D0600F" w:rsidRDefault="00084F36">
            <w:pPr>
              <w:pStyle w:val="TableParagraph"/>
              <w:rPr>
                <w:rFonts w:ascii="Times New Roman"/>
                <w:color w:val="FFFFFF" w:themeColor="background1"/>
                <w:sz w:val="16"/>
              </w:rPr>
            </w:pPr>
          </w:p>
        </w:tc>
        <w:tc>
          <w:tcPr>
            <w:tcW w:w="2361" w:type="dxa"/>
            <w:gridSpan w:val="3"/>
            <w:shd w:val="clear" w:color="auto" w:fill="005F83"/>
          </w:tcPr>
          <w:p w14:paraId="0F1C899E" w14:textId="77777777" w:rsidR="00084F36" w:rsidRPr="00D0600F" w:rsidRDefault="00EB2BD8">
            <w:pPr>
              <w:pStyle w:val="TableParagraph"/>
              <w:spacing w:before="118"/>
              <w:ind w:left="33"/>
              <w:rPr>
                <w:color w:val="FFFFFF" w:themeColor="background1"/>
                <w:sz w:val="16"/>
              </w:rPr>
            </w:pPr>
            <w:r w:rsidRPr="00D0600F">
              <w:rPr>
                <w:color w:val="FFFFFF" w:themeColor="background1"/>
                <w:w w:val="85"/>
                <w:sz w:val="16"/>
              </w:rPr>
              <w:t>2021-</w:t>
            </w:r>
            <w:r w:rsidRPr="00D0600F">
              <w:rPr>
                <w:color w:val="FFFFFF" w:themeColor="background1"/>
                <w:spacing w:val="-5"/>
                <w:w w:val="95"/>
                <w:sz w:val="16"/>
              </w:rPr>
              <w:t>22</w:t>
            </w:r>
          </w:p>
        </w:tc>
      </w:tr>
      <w:tr w:rsidR="00EB2BD8" w:rsidRPr="00EB2BD8" w14:paraId="5C033FD0" w14:textId="77777777">
        <w:trPr>
          <w:trHeight w:val="550"/>
        </w:trPr>
        <w:tc>
          <w:tcPr>
            <w:tcW w:w="2041" w:type="dxa"/>
            <w:tcBorders>
              <w:right w:val="single" w:sz="2" w:space="0" w:color="000000"/>
            </w:tcBorders>
            <w:shd w:val="clear" w:color="auto" w:fill="E5F5FF"/>
          </w:tcPr>
          <w:p w14:paraId="04964404" w14:textId="77777777" w:rsidR="00084F36" w:rsidRPr="00EB2BD8" w:rsidRDefault="00084F36">
            <w:pPr>
              <w:pStyle w:val="TableParagraph"/>
              <w:rPr>
                <w:rFonts w:ascii="Times New Roman"/>
                <w:sz w:val="16"/>
              </w:rPr>
            </w:pPr>
          </w:p>
        </w:tc>
        <w:tc>
          <w:tcPr>
            <w:tcW w:w="597" w:type="dxa"/>
            <w:tcBorders>
              <w:left w:val="single" w:sz="2" w:space="0" w:color="000000"/>
            </w:tcBorders>
            <w:shd w:val="clear" w:color="auto" w:fill="E5F5FF"/>
          </w:tcPr>
          <w:p w14:paraId="13BBF432" w14:textId="77777777" w:rsidR="00084F36" w:rsidRPr="00EB2BD8" w:rsidRDefault="00EB2BD8">
            <w:pPr>
              <w:pStyle w:val="TableParagraph"/>
              <w:spacing w:before="85"/>
              <w:ind w:left="77"/>
              <w:rPr>
                <w:sz w:val="16"/>
              </w:rPr>
            </w:pPr>
            <w:r w:rsidRPr="00EB2BD8">
              <w:rPr>
                <w:spacing w:val="-5"/>
                <w:sz w:val="16"/>
              </w:rPr>
              <w:t>Men</w:t>
            </w:r>
          </w:p>
        </w:tc>
        <w:tc>
          <w:tcPr>
            <w:tcW w:w="412" w:type="dxa"/>
            <w:shd w:val="clear" w:color="auto" w:fill="E5F5FF"/>
          </w:tcPr>
          <w:p w14:paraId="2C93D21F" w14:textId="77777777" w:rsidR="00084F36" w:rsidRPr="00EB2BD8" w:rsidRDefault="00084F36">
            <w:pPr>
              <w:pStyle w:val="TableParagraph"/>
              <w:rPr>
                <w:rFonts w:ascii="Times New Roman"/>
                <w:sz w:val="16"/>
              </w:rPr>
            </w:pPr>
          </w:p>
        </w:tc>
        <w:tc>
          <w:tcPr>
            <w:tcW w:w="706" w:type="dxa"/>
            <w:shd w:val="clear" w:color="auto" w:fill="E5F5FF"/>
          </w:tcPr>
          <w:p w14:paraId="3DF0AC54" w14:textId="77777777" w:rsidR="00084F36" w:rsidRPr="00EB2BD8" w:rsidRDefault="00EB2BD8">
            <w:pPr>
              <w:pStyle w:val="TableParagraph"/>
              <w:spacing w:before="85"/>
              <w:ind w:left="91"/>
              <w:rPr>
                <w:sz w:val="16"/>
              </w:rPr>
            </w:pPr>
            <w:r w:rsidRPr="00EB2BD8">
              <w:rPr>
                <w:spacing w:val="-2"/>
                <w:w w:val="105"/>
                <w:sz w:val="16"/>
              </w:rPr>
              <w:t>Women</w:t>
            </w:r>
          </w:p>
        </w:tc>
        <w:tc>
          <w:tcPr>
            <w:tcW w:w="315" w:type="dxa"/>
            <w:shd w:val="clear" w:color="auto" w:fill="E5F5FF"/>
          </w:tcPr>
          <w:p w14:paraId="550FEDC7" w14:textId="77777777" w:rsidR="00084F36" w:rsidRPr="00EB2BD8" w:rsidRDefault="00084F36">
            <w:pPr>
              <w:pStyle w:val="TableParagraph"/>
              <w:rPr>
                <w:rFonts w:ascii="Times New Roman"/>
                <w:sz w:val="16"/>
              </w:rPr>
            </w:pPr>
          </w:p>
        </w:tc>
        <w:tc>
          <w:tcPr>
            <w:tcW w:w="1021" w:type="dxa"/>
            <w:shd w:val="clear" w:color="auto" w:fill="E5F5FF"/>
          </w:tcPr>
          <w:p w14:paraId="5F21CE46" w14:textId="77777777" w:rsidR="00084F36" w:rsidRPr="00EB2BD8" w:rsidRDefault="00EB2BD8">
            <w:pPr>
              <w:pStyle w:val="TableParagraph"/>
              <w:spacing w:before="44" w:line="230" w:lineRule="atLeast"/>
              <w:ind w:left="90"/>
              <w:rPr>
                <w:sz w:val="16"/>
              </w:rPr>
            </w:pPr>
            <w:r w:rsidRPr="00EB2BD8">
              <w:rPr>
                <w:spacing w:val="-2"/>
                <w:w w:val="105"/>
                <w:sz w:val="16"/>
              </w:rPr>
              <w:t xml:space="preserve">Self- </w:t>
            </w:r>
            <w:r w:rsidRPr="00EB2BD8">
              <w:rPr>
                <w:spacing w:val="-2"/>
                <w:sz w:val="16"/>
              </w:rPr>
              <w:t>described</w:t>
            </w:r>
          </w:p>
        </w:tc>
        <w:tc>
          <w:tcPr>
            <w:tcW w:w="1032" w:type="dxa"/>
            <w:tcBorders>
              <w:right w:val="single" w:sz="2" w:space="0" w:color="000000"/>
            </w:tcBorders>
            <w:shd w:val="clear" w:color="auto" w:fill="E5F5FF"/>
          </w:tcPr>
          <w:p w14:paraId="2EF32B3F" w14:textId="77777777" w:rsidR="00084F36" w:rsidRPr="00EB2BD8" w:rsidRDefault="00EB2BD8">
            <w:pPr>
              <w:pStyle w:val="TableParagraph"/>
              <w:spacing w:before="85"/>
              <w:ind w:right="141"/>
              <w:jc w:val="right"/>
              <w:rPr>
                <w:sz w:val="16"/>
              </w:rPr>
            </w:pPr>
            <w:r w:rsidRPr="00EB2BD8">
              <w:rPr>
                <w:spacing w:val="-2"/>
                <w:w w:val="105"/>
                <w:sz w:val="16"/>
              </w:rPr>
              <w:t>Vacancies</w:t>
            </w:r>
          </w:p>
        </w:tc>
        <w:tc>
          <w:tcPr>
            <w:tcW w:w="1010" w:type="dxa"/>
            <w:tcBorders>
              <w:left w:val="single" w:sz="2" w:space="0" w:color="000000"/>
            </w:tcBorders>
            <w:shd w:val="clear" w:color="auto" w:fill="E5F5FF"/>
          </w:tcPr>
          <w:p w14:paraId="41CEE53B" w14:textId="77777777" w:rsidR="00084F36" w:rsidRPr="00EB2BD8" w:rsidRDefault="00EB2BD8">
            <w:pPr>
              <w:pStyle w:val="TableParagraph"/>
              <w:spacing w:before="85"/>
              <w:ind w:left="76"/>
              <w:rPr>
                <w:sz w:val="16"/>
              </w:rPr>
            </w:pPr>
            <w:r w:rsidRPr="00EB2BD8">
              <w:rPr>
                <w:spacing w:val="-5"/>
                <w:sz w:val="16"/>
              </w:rPr>
              <w:t>Men</w:t>
            </w:r>
          </w:p>
        </w:tc>
        <w:tc>
          <w:tcPr>
            <w:tcW w:w="714" w:type="dxa"/>
            <w:shd w:val="clear" w:color="auto" w:fill="E5F5FF"/>
          </w:tcPr>
          <w:p w14:paraId="393CDE01" w14:textId="77777777" w:rsidR="00084F36" w:rsidRPr="00EB2BD8" w:rsidRDefault="00EB2BD8">
            <w:pPr>
              <w:pStyle w:val="TableParagraph"/>
              <w:spacing w:before="85"/>
              <w:ind w:left="89"/>
              <w:rPr>
                <w:sz w:val="16"/>
              </w:rPr>
            </w:pPr>
            <w:r w:rsidRPr="00EB2BD8">
              <w:rPr>
                <w:spacing w:val="-2"/>
                <w:w w:val="105"/>
                <w:sz w:val="16"/>
              </w:rPr>
              <w:t>Women</w:t>
            </w:r>
          </w:p>
        </w:tc>
        <w:tc>
          <w:tcPr>
            <w:tcW w:w="308" w:type="dxa"/>
            <w:shd w:val="clear" w:color="auto" w:fill="E5F5FF"/>
          </w:tcPr>
          <w:p w14:paraId="6F1D9078" w14:textId="77777777" w:rsidR="00084F36" w:rsidRPr="00EB2BD8" w:rsidRDefault="00084F36">
            <w:pPr>
              <w:pStyle w:val="TableParagraph"/>
              <w:rPr>
                <w:rFonts w:ascii="Times New Roman"/>
                <w:sz w:val="16"/>
              </w:rPr>
            </w:pPr>
          </w:p>
        </w:tc>
        <w:tc>
          <w:tcPr>
            <w:tcW w:w="1021" w:type="dxa"/>
            <w:shd w:val="clear" w:color="auto" w:fill="E5F5FF"/>
          </w:tcPr>
          <w:p w14:paraId="5C3C5011" w14:textId="77777777" w:rsidR="00084F36" w:rsidRPr="00EB2BD8" w:rsidRDefault="00EB2BD8">
            <w:pPr>
              <w:pStyle w:val="TableParagraph"/>
              <w:spacing w:before="44" w:line="230" w:lineRule="atLeast"/>
              <w:ind w:left="87"/>
              <w:rPr>
                <w:sz w:val="16"/>
              </w:rPr>
            </w:pPr>
            <w:r w:rsidRPr="00EB2BD8">
              <w:rPr>
                <w:spacing w:val="-2"/>
                <w:w w:val="105"/>
                <w:sz w:val="16"/>
              </w:rPr>
              <w:t xml:space="preserve">Self- </w:t>
            </w:r>
            <w:r w:rsidRPr="00EB2BD8">
              <w:rPr>
                <w:spacing w:val="-2"/>
                <w:sz w:val="16"/>
              </w:rPr>
              <w:t>described</w:t>
            </w:r>
          </w:p>
        </w:tc>
        <w:tc>
          <w:tcPr>
            <w:tcW w:w="1032" w:type="dxa"/>
            <w:shd w:val="clear" w:color="auto" w:fill="E5F5FF"/>
          </w:tcPr>
          <w:p w14:paraId="10D87B6A" w14:textId="77777777" w:rsidR="00084F36" w:rsidRPr="00EB2BD8" w:rsidRDefault="00EB2BD8">
            <w:pPr>
              <w:pStyle w:val="TableParagraph"/>
              <w:spacing w:before="85"/>
              <w:ind w:right="147"/>
              <w:jc w:val="right"/>
              <w:rPr>
                <w:sz w:val="16"/>
              </w:rPr>
            </w:pPr>
            <w:r w:rsidRPr="00EB2BD8">
              <w:rPr>
                <w:spacing w:val="-2"/>
                <w:w w:val="105"/>
                <w:sz w:val="16"/>
              </w:rPr>
              <w:t>Vacancies</w:t>
            </w:r>
          </w:p>
        </w:tc>
      </w:tr>
      <w:tr w:rsidR="00EB2BD8" w:rsidRPr="00EB2BD8" w14:paraId="4E0B5296" w14:textId="77777777">
        <w:trPr>
          <w:trHeight w:val="384"/>
        </w:trPr>
        <w:tc>
          <w:tcPr>
            <w:tcW w:w="2041" w:type="dxa"/>
            <w:tcBorders>
              <w:bottom w:val="single" w:sz="2" w:space="0" w:color="000000"/>
              <w:right w:val="single" w:sz="2" w:space="0" w:color="000000"/>
            </w:tcBorders>
          </w:tcPr>
          <w:p w14:paraId="03B3F225" w14:textId="77777777" w:rsidR="00084F36" w:rsidRPr="00EB2BD8" w:rsidRDefault="00EB2BD8">
            <w:pPr>
              <w:pStyle w:val="TableParagraph"/>
              <w:spacing w:before="118"/>
              <w:ind w:left="113"/>
              <w:rPr>
                <w:sz w:val="16"/>
              </w:rPr>
            </w:pPr>
            <w:r w:rsidRPr="00EB2BD8">
              <w:rPr>
                <w:spacing w:val="-5"/>
                <w:w w:val="110"/>
                <w:sz w:val="16"/>
              </w:rPr>
              <w:t>CEO</w:t>
            </w:r>
          </w:p>
        </w:tc>
        <w:tc>
          <w:tcPr>
            <w:tcW w:w="1009" w:type="dxa"/>
            <w:gridSpan w:val="2"/>
            <w:tcBorders>
              <w:left w:val="single" w:sz="2" w:space="0" w:color="000000"/>
              <w:bottom w:val="single" w:sz="2" w:space="0" w:color="000000"/>
            </w:tcBorders>
          </w:tcPr>
          <w:p w14:paraId="295D3847" w14:textId="77777777" w:rsidR="00084F36" w:rsidRPr="00EB2BD8" w:rsidRDefault="00EB2BD8">
            <w:pPr>
              <w:pStyle w:val="TableParagraph"/>
              <w:spacing w:before="118"/>
              <w:ind w:right="99"/>
              <w:jc w:val="right"/>
              <w:rPr>
                <w:sz w:val="16"/>
              </w:rPr>
            </w:pPr>
            <w:r w:rsidRPr="00EB2BD8">
              <w:rPr>
                <w:w w:val="135"/>
                <w:sz w:val="16"/>
              </w:rPr>
              <w:t>-</w:t>
            </w:r>
          </w:p>
        </w:tc>
        <w:tc>
          <w:tcPr>
            <w:tcW w:w="1021" w:type="dxa"/>
            <w:gridSpan w:val="2"/>
            <w:tcBorders>
              <w:bottom w:val="single" w:sz="2" w:space="0" w:color="000000"/>
            </w:tcBorders>
          </w:tcPr>
          <w:p w14:paraId="7844D687" w14:textId="77777777" w:rsidR="00084F36" w:rsidRPr="00EB2BD8" w:rsidRDefault="00EB2BD8">
            <w:pPr>
              <w:pStyle w:val="TableParagraph"/>
              <w:spacing w:before="118"/>
              <w:ind w:right="100"/>
              <w:jc w:val="right"/>
              <w:rPr>
                <w:sz w:val="16"/>
              </w:rPr>
            </w:pPr>
            <w:r w:rsidRPr="00EB2BD8">
              <w:rPr>
                <w:w w:val="55"/>
                <w:sz w:val="16"/>
              </w:rPr>
              <w:t>1</w:t>
            </w:r>
          </w:p>
        </w:tc>
        <w:tc>
          <w:tcPr>
            <w:tcW w:w="1021" w:type="dxa"/>
            <w:tcBorders>
              <w:bottom w:val="single" w:sz="2" w:space="0" w:color="000000"/>
            </w:tcBorders>
          </w:tcPr>
          <w:p w14:paraId="03E6F7FA" w14:textId="77777777" w:rsidR="00084F36" w:rsidRPr="00EB2BD8" w:rsidRDefault="00EB2BD8">
            <w:pPr>
              <w:pStyle w:val="TableParagraph"/>
              <w:spacing w:before="118"/>
              <w:ind w:right="100"/>
              <w:jc w:val="right"/>
              <w:rPr>
                <w:sz w:val="16"/>
              </w:rPr>
            </w:pPr>
            <w:r w:rsidRPr="00EB2BD8">
              <w:rPr>
                <w:w w:val="135"/>
                <w:sz w:val="16"/>
              </w:rPr>
              <w:t>-</w:t>
            </w:r>
          </w:p>
        </w:tc>
        <w:tc>
          <w:tcPr>
            <w:tcW w:w="1032" w:type="dxa"/>
            <w:tcBorders>
              <w:bottom w:val="single" w:sz="2" w:space="0" w:color="000000"/>
              <w:right w:val="single" w:sz="2" w:space="0" w:color="000000"/>
            </w:tcBorders>
          </w:tcPr>
          <w:p w14:paraId="4EC3D9E8" w14:textId="77777777" w:rsidR="00084F36" w:rsidRPr="00EB2BD8" w:rsidRDefault="00EB2BD8">
            <w:pPr>
              <w:pStyle w:val="TableParagraph"/>
              <w:spacing w:before="118"/>
              <w:ind w:right="110"/>
              <w:jc w:val="right"/>
              <w:rPr>
                <w:sz w:val="16"/>
              </w:rPr>
            </w:pPr>
            <w:r w:rsidRPr="00EB2BD8">
              <w:rPr>
                <w:w w:val="135"/>
                <w:sz w:val="16"/>
              </w:rPr>
              <w:t>-</w:t>
            </w:r>
          </w:p>
        </w:tc>
        <w:tc>
          <w:tcPr>
            <w:tcW w:w="1010" w:type="dxa"/>
            <w:tcBorders>
              <w:left w:val="single" w:sz="2" w:space="0" w:color="000000"/>
              <w:bottom w:val="single" w:sz="2" w:space="0" w:color="000000"/>
            </w:tcBorders>
          </w:tcPr>
          <w:p w14:paraId="4A8B79F0" w14:textId="77777777" w:rsidR="00084F36" w:rsidRPr="00EB2BD8" w:rsidRDefault="00EB2BD8">
            <w:pPr>
              <w:pStyle w:val="TableParagraph"/>
              <w:spacing w:before="118"/>
              <w:ind w:right="102"/>
              <w:jc w:val="right"/>
              <w:rPr>
                <w:sz w:val="16"/>
              </w:rPr>
            </w:pPr>
            <w:r w:rsidRPr="00EB2BD8">
              <w:rPr>
                <w:w w:val="135"/>
                <w:sz w:val="16"/>
              </w:rPr>
              <w:t>-</w:t>
            </w:r>
          </w:p>
        </w:tc>
        <w:tc>
          <w:tcPr>
            <w:tcW w:w="1022" w:type="dxa"/>
            <w:gridSpan w:val="2"/>
            <w:tcBorders>
              <w:bottom w:val="single" w:sz="2" w:space="0" w:color="000000"/>
            </w:tcBorders>
          </w:tcPr>
          <w:p w14:paraId="63D1D22A" w14:textId="77777777" w:rsidR="00084F36" w:rsidRPr="00EB2BD8" w:rsidRDefault="00EB2BD8">
            <w:pPr>
              <w:pStyle w:val="TableParagraph"/>
              <w:spacing w:before="118"/>
              <w:ind w:right="103"/>
              <w:jc w:val="right"/>
              <w:rPr>
                <w:sz w:val="16"/>
              </w:rPr>
            </w:pPr>
            <w:r w:rsidRPr="00EB2BD8">
              <w:rPr>
                <w:w w:val="55"/>
                <w:sz w:val="16"/>
              </w:rPr>
              <w:t>1</w:t>
            </w:r>
          </w:p>
        </w:tc>
        <w:tc>
          <w:tcPr>
            <w:tcW w:w="1021" w:type="dxa"/>
            <w:tcBorders>
              <w:bottom w:val="single" w:sz="2" w:space="0" w:color="000000"/>
            </w:tcBorders>
          </w:tcPr>
          <w:p w14:paraId="03787745" w14:textId="77777777" w:rsidR="00084F36" w:rsidRPr="00EB2BD8" w:rsidRDefault="00EB2BD8">
            <w:pPr>
              <w:pStyle w:val="TableParagraph"/>
              <w:spacing w:before="118"/>
              <w:ind w:right="104"/>
              <w:jc w:val="right"/>
              <w:rPr>
                <w:sz w:val="16"/>
              </w:rPr>
            </w:pPr>
            <w:r w:rsidRPr="00EB2BD8">
              <w:rPr>
                <w:w w:val="135"/>
                <w:sz w:val="16"/>
              </w:rPr>
              <w:t>-</w:t>
            </w:r>
          </w:p>
        </w:tc>
        <w:tc>
          <w:tcPr>
            <w:tcW w:w="1032" w:type="dxa"/>
            <w:tcBorders>
              <w:bottom w:val="single" w:sz="2" w:space="0" w:color="000000"/>
            </w:tcBorders>
          </w:tcPr>
          <w:p w14:paraId="3F8435A8" w14:textId="77777777" w:rsidR="00084F36" w:rsidRPr="00EB2BD8" w:rsidRDefault="00EB2BD8">
            <w:pPr>
              <w:pStyle w:val="TableParagraph"/>
              <w:spacing w:before="118"/>
              <w:ind w:right="115"/>
              <w:jc w:val="right"/>
              <w:rPr>
                <w:sz w:val="16"/>
              </w:rPr>
            </w:pPr>
            <w:r w:rsidRPr="00EB2BD8">
              <w:rPr>
                <w:w w:val="135"/>
                <w:sz w:val="16"/>
              </w:rPr>
              <w:t>-</w:t>
            </w:r>
          </w:p>
        </w:tc>
      </w:tr>
      <w:tr w:rsidR="00EB2BD8" w:rsidRPr="00EB2BD8" w14:paraId="0F932A2F" w14:textId="77777777">
        <w:trPr>
          <w:trHeight w:val="381"/>
        </w:trPr>
        <w:tc>
          <w:tcPr>
            <w:tcW w:w="2041" w:type="dxa"/>
            <w:tcBorders>
              <w:top w:val="single" w:sz="2" w:space="0" w:color="000000"/>
              <w:bottom w:val="single" w:sz="2" w:space="0" w:color="000000"/>
              <w:right w:val="single" w:sz="2" w:space="0" w:color="000000"/>
            </w:tcBorders>
          </w:tcPr>
          <w:p w14:paraId="236C1531" w14:textId="77777777" w:rsidR="00084F36" w:rsidRPr="00EB2BD8" w:rsidRDefault="00EB2BD8">
            <w:pPr>
              <w:pStyle w:val="TableParagraph"/>
              <w:spacing w:before="116"/>
              <w:ind w:left="113"/>
              <w:rPr>
                <w:sz w:val="16"/>
              </w:rPr>
            </w:pPr>
            <w:r w:rsidRPr="00EB2BD8">
              <w:rPr>
                <w:sz w:val="16"/>
              </w:rPr>
              <w:t>Executive</w:t>
            </w:r>
            <w:r w:rsidRPr="00EB2BD8">
              <w:rPr>
                <w:spacing w:val="-2"/>
                <w:sz w:val="16"/>
              </w:rPr>
              <w:t xml:space="preserve"> officers</w:t>
            </w:r>
          </w:p>
        </w:tc>
        <w:tc>
          <w:tcPr>
            <w:tcW w:w="1009" w:type="dxa"/>
            <w:gridSpan w:val="2"/>
            <w:tcBorders>
              <w:top w:val="single" w:sz="2" w:space="0" w:color="000000"/>
              <w:left w:val="single" w:sz="2" w:space="0" w:color="000000"/>
              <w:bottom w:val="single" w:sz="2" w:space="0" w:color="000000"/>
            </w:tcBorders>
          </w:tcPr>
          <w:p w14:paraId="0475C455" w14:textId="77777777" w:rsidR="00084F36" w:rsidRPr="00EB2BD8" w:rsidRDefault="00EB2BD8">
            <w:pPr>
              <w:pStyle w:val="TableParagraph"/>
              <w:spacing w:before="116"/>
              <w:ind w:right="100"/>
              <w:jc w:val="right"/>
              <w:rPr>
                <w:sz w:val="16"/>
              </w:rPr>
            </w:pPr>
            <w:r w:rsidRPr="00EB2BD8">
              <w:rPr>
                <w:spacing w:val="-5"/>
                <w:w w:val="65"/>
                <w:sz w:val="16"/>
              </w:rPr>
              <w:t>11</w:t>
            </w:r>
          </w:p>
        </w:tc>
        <w:tc>
          <w:tcPr>
            <w:tcW w:w="1021" w:type="dxa"/>
            <w:gridSpan w:val="2"/>
            <w:tcBorders>
              <w:top w:val="single" w:sz="2" w:space="0" w:color="000000"/>
              <w:bottom w:val="single" w:sz="2" w:space="0" w:color="000000"/>
            </w:tcBorders>
          </w:tcPr>
          <w:p w14:paraId="34F9A7F4" w14:textId="77777777" w:rsidR="00084F36" w:rsidRPr="00EB2BD8" w:rsidRDefault="00EB2BD8">
            <w:pPr>
              <w:pStyle w:val="TableParagraph"/>
              <w:spacing w:before="116"/>
              <w:ind w:right="100"/>
              <w:jc w:val="right"/>
              <w:rPr>
                <w:sz w:val="16"/>
              </w:rPr>
            </w:pPr>
            <w:r w:rsidRPr="00EB2BD8">
              <w:rPr>
                <w:w w:val="88"/>
                <w:sz w:val="16"/>
              </w:rPr>
              <w:t>5</w:t>
            </w:r>
          </w:p>
        </w:tc>
        <w:tc>
          <w:tcPr>
            <w:tcW w:w="1021" w:type="dxa"/>
            <w:tcBorders>
              <w:top w:val="single" w:sz="2" w:space="0" w:color="000000"/>
              <w:bottom w:val="single" w:sz="2" w:space="0" w:color="000000"/>
            </w:tcBorders>
          </w:tcPr>
          <w:p w14:paraId="68AD0285" w14:textId="77777777" w:rsidR="00084F36" w:rsidRPr="00EB2BD8" w:rsidRDefault="00EB2BD8">
            <w:pPr>
              <w:pStyle w:val="TableParagraph"/>
              <w:spacing w:before="116"/>
              <w:ind w:right="100"/>
              <w:jc w:val="right"/>
              <w:rPr>
                <w:sz w:val="16"/>
              </w:rPr>
            </w:pPr>
            <w:r w:rsidRPr="00EB2BD8">
              <w:rPr>
                <w:w w:val="135"/>
                <w:sz w:val="16"/>
              </w:rPr>
              <w:t>-</w:t>
            </w:r>
          </w:p>
        </w:tc>
        <w:tc>
          <w:tcPr>
            <w:tcW w:w="1032" w:type="dxa"/>
            <w:tcBorders>
              <w:top w:val="single" w:sz="2" w:space="0" w:color="000000"/>
              <w:bottom w:val="single" w:sz="2" w:space="0" w:color="000000"/>
              <w:right w:val="single" w:sz="2" w:space="0" w:color="000000"/>
            </w:tcBorders>
          </w:tcPr>
          <w:p w14:paraId="5046A213" w14:textId="77777777" w:rsidR="00084F36" w:rsidRPr="00EB2BD8" w:rsidRDefault="00EB2BD8">
            <w:pPr>
              <w:pStyle w:val="TableParagraph"/>
              <w:spacing w:before="116"/>
              <w:ind w:right="109"/>
              <w:jc w:val="right"/>
              <w:rPr>
                <w:sz w:val="16"/>
              </w:rPr>
            </w:pPr>
            <w:r w:rsidRPr="00EB2BD8">
              <w:rPr>
                <w:w w:val="135"/>
                <w:sz w:val="16"/>
              </w:rPr>
              <w:t>-</w:t>
            </w:r>
          </w:p>
        </w:tc>
        <w:tc>
          <w:tcPr>
            <w:tcW w:w="1010" w:type="dxa"/>
            <w:tcBorders>
              <w:top w:val="single" w:sz="2" w:space="0" w:color="000000"/>
              <w:left w:val="single" w:sz="2" w:space="0" w:color="000000"/>
              <w:bottom w:val="single" w:sz="2" w:space="0" w:color="000000"/>
            </w:tcBorders>
          </w:tcPr>
          <w:p w14:paraId="40C4931C" w14:textId="77777777" w:rsidR="00084F36" w:rsidRPr="00EB2BD8" w:rsidRDefault="00EB2BD8">
            <w:pPr>
              <w:pStyle w:val="TableParagraph"/>
              <w:spacing w:before="116"/>
              <w:ind w:right="102"/>
              <w:jc w:val="right"/>
              <w:rPr>
                <w:sz w:val="16"/>
              </w:rPr>
            </w:pPr>
            <w:r w:rsidRPr="00EB2BD8">
              <w:rPr>
                <w:spacing w:val="-5"/>
                <w:w w:val="90"/>
                <w:sz w:val="16"/>
              </w:rPr>
              <w:t>10</w:t>
            </w:r>
          </w:p>
        </w:tc>
        <w:tc>
          <w:tcPr>
            <w:tcW w:w="1022" w:type="dxa"/>
            <w:gridSpan w:val="2"/>
            <w:tcBorders>
              <w:top w:val="single" w:sz="2" w:space="0" w:color="000000"/>
              <w:bottom w:val="single" w:sz="2" w:space="0" w:color="000000"/>
            </w:tcBorders>
          </w:tcPr>
          <w:p w14:paraId="504C7BB4" w14:textId="77777777" w:rsidR="00084F36" w:rsidRPr="00EB2BD8" w:rsidRDefault="00EB2BD8">
            <w:pPr>
              <w:pStyle w:val="TableParagraph"/>
              <w:spacing w:before="116"/>
              <w:ind w:right="103"/>
              <w:jc w:val="right"/>
              <w:rPr>
                <w:sz w:val="16"/>
              </w:rPr>
            </w:pPr>
            <w:r w:rsidRPr="00EB2BD8">
              <w:rPr>
                <w:w w:val="88"/>
                <w:sz w:val="16"/>
              </w:rPr>
              <w:t>5</w:t>
            </w:r>
          </w:p>
        </w:tc>
        <w:tc>
          <w:tcPr>
            <w:tcW w:w="1021" w:type="dxa"/>
            <w:tcBorders>
              <w:top w:val="single" w:sz="2" w:space="0" w:color="000000"/>
              <w:bottom w:val="single" w:sz="2" w:space="0" w:color="000000"/>
            </w:tcBorders>
          </w:tcPr>
          <w:p w14:paraId="21327CC3" w14:textId="77777777" w:rsidR="00084F36" w:rsidRPr="00EB2BD8" w:rsidRDefault="00EB2BD8">
            <w:pPr>
              <w:pStyle w:val="TableParagraph"/>
              <w:spacing w:before="116"/>
              <w:ind w:right="103"/>
              <w:jc w:val="right"/>
              <w:rPr>
                <w:sz w:val="16"/>
              </w:rPr>
            </w:pPr>
            <w:r w:rsidRPr="00EB2BD8">
              <w:rPr>
                <w:w w:val="135"/>
                <w:sz w:val="16"/>
              </w:rPr>
              <w:t>-</w:t>
            </w:r>
          </w:p>
        </w:tc>
        <w:tc>
          <w:tcPr>
            <w:tcW w:w="1032" w:type="dxa"/>
            <w:tcBorders>
              <w:top w:val="single" w:sz="2" w:space="0" w:color="000000"/>
              <w:bottom w:val="single" w:sz="2" w:space="0" w:color="000000"/>
            </w:tcBorders>
          </w:tcPr>
          <w:p w14:paraId="28E90C8C" w14:textId="77777777" w:rsidR="00084F36" w:rsidRPr="00EB2BD8" w:rsidRDefault="00EB2BD8">
            <w:pPr>
              <w:pStyle w:val="TableParagraph"/>
              <w:spacing w:before="116"/>
              <w:ind w:right="115"/>
              <w:jc w:val="right"/>
              <w:rPr>
                <w:sz w:val="16"/>
              </w:rPr>
            </w:pPr>
            <w:r w:rsidRPr="00EB2BD8">
              <w:rPr>
                <w:w w:val="55"/>
                <w:sz w:val="16"/>
              </w:rPr>
              <w:t>1</w:t>
            </w:r>
          </w:p>
        </w:tc>
      </w:tr>
      <w:tr w:rsidR="00EB2BD8" w:rsidRPr="00EB2BD8" w14:paraId="0410EDB9" w14:textId="77777777">
        <w:trPr>
          <w:trHeight w:val="401"/>
        </w:trPr>
        <w:tc>
          <w:tcPr>
            <w:tcW w:w="2041" w:type="dxa"/>
            <w:tcBorders>
              <w:top w:val="single" w:sz="2" w:space="0" w:color="000000"/>
              <w:bottom w:val="single" w:sz="2" w:space="0" w:color="000000"/>
              <w:right w:val="single" w:sz="2" w:space="0" w:color="000000"/>
            </w:tcBorders>
          </w:tcPr>
          <w:p w14:paraId="1BC5FFF4" w14:textId="77777777" w:rsidR="00084F36" w:rsidRPr="00EB2BD8" w:rsidRDefault="00EB2BD8">
            <w:pPr>
              <w:pStyle w:val="TableParagraph"/>
              <w:spacing w:before="116"/>
              <w:ind w:left="102"/>
              <w:rPr>
                <w:b/>
                <w:sz w:val="18"/>
              </w:rPr>
            </w:pPr>
            <w:r w:rsidRPr="00EB2BD8">
              <w:rPr>
                <w:b/>
                <w:spacing w:val="-2"/>
                <w:sz w:val="18"/>
              </w:rPr>
              <w:t>Total</w:t>
            </w:r>
          </w:p>
        </w:tc>
        <w:tc>
          <w:tcPr>
            <w:tcW w:w="1009" w:type="dxa"/>
            <w:gridSpan w:val="2"/>
            <w:tcBorders>
              <w:top w:val="single" w:sz="2" w:space="0" w:color="000000"/>
              <w:left w:val="single" w:sz="2" w:space="0" w:color="000000"/>
              <w:bottom w:val="single" w:sz="2" w:space="0" w:color="000000"/>
            </w:tcBorders>
          </w:tcPr>
          <w:p w14:paraId="15F8F3EF" w14:textId="77777777" w:rsidR="00084F36" w:rsidRPr="00EB2BD8" w:rsidRDefault="00EB2BD8">
            <w:pPr>
              <w:pStyle w:val="TableParagraph"/>
              <w:spacing w:before="116"/>
              <w:ind w:right="89"/>
              <w:jc w:val="right"/>
              <w:rPr>
                <w:b/>
                <w:sz w:val="18"/>
              </w:rPr>
            </w:pPr>
            <w:r w:rsidRPr="00EB2BD8">
              <w:rPr>
                <w:b/>
                <w:spacing w:val="-5"/>
                <w:w w:val="65"/>
                <w:sz w:val="18"/>
              </w:rPr>
              <w:t>11</w:t>
            </w:r>
          </w:p>
        </w:tc>
        <w:tc>
          <w:tcPr>
            <w:tcW w:w="1021" w:type="dxa"/>
            <w:gridSpan w:val="2"/>
            <w:tcBorders>
              <w:top w:val="single" w:sz="2" w:space="0" w:color="000000"/>
              <w:bottom w:val="single" w:sz="2" w:space="0" w:color="000000"/>
            </w:tcBorders>
          </w:tcPr>
          <w:p w14:paraId="0AB2C576" w14:textId="77777777" w:rsidR="00084F36" w:rsidRPr="00EB2BD8" w:rsidRDefault="00EB2BD8">
            <w:pPr>
              <w:pStyle w:val="TableParagraph"/>
              <w:spacing w:before="116"/>
              <w:ind w:right="89"/>
              <w:jc w:val="right"/>
              <w:rPr>
                <w:b/>
                <w:sz w:val="18"/>
              </w:rPr>
            </w:pPr>
            <w:r w:rsidRPr="00EB2BD8">
              <w:rPr>
                <w:b/>
                <w:w w:val="95"/>
                <w:sz w:val="18"/>
              </w:rPr>
              <w:t>6</w:t>
            </w:r>
          </w:p>
        </w:tc>
        <w:tc>
          <w:tcPr>
            <w:tcW w:w="1021" w:type="dxa"/>
            <w:tcBorders>
              <w:top w:val="single" w:sz="2" w:space="0" w:color="000000"/>
              <w:bottom w:val="single" w:sz="2" w:space="0" w:color="000000"/>
            </w:tcBorders>
          </w:tcPr>
          <w:p w14:paraId="074DE4BC" w14:textId="77777777" w:rsidR="00084F36" w:rsidRPr="00EB2BD8" w:rsidRDefault="00EB2BD8">
            <w:pPr>
              <w:pStyle w:val="TableParagraph"/>
              <w:spacing w:before="116"/>
              <w:ind w:right="89"/>
              <w:jc w:val="right"/>
              <w:rPr>
                <w:b/>
                <w:sz w:val="18"/>
              </w:rPr>
            </w:pPr>
            <w:r w:rsidRPr="00EB2BD8">
              <w:rPr>
                <w:b/>
                <w:w w:val="148"/>
                <w:sz w:val="18"/>
              </w:rPr>
              <w:t>-</w:t>
            </w:r>
          </w:p>
        </w:tc>
        <w:tc>
          <w:tcPr>
            <w:tcW w:w="1032" w:type="dxa"/>
            <w:tcBorders>
              <w:top w:val="single" w:sz="2" w:space="0" w:color="000000"/>
              <w:bottom w:val="single" w:sz="2" w:space="0" w:color="000000"/>
              <w:right w:val="single" w:sz="2" w:space="0" w:color="000000"/>
            </w:tcBorders>
          </w:tcPr>
          <w:p w14:paraId="524CC1DC" w14:textId="77777777" w:rsidR="00084F36" w:rsidRPr="00EB2BD8" w:rsidRDefault="00EB2BD8">
            <w:pPr>
              <w:pStyle w:val="TableParagraph"/>
              <w:spacing w:before="116"/>
              <w:ind w:right="98"/>
              <w:jc w:val="right"/>
              <w:rPr>
                <w:b/>
                <w:sz w:val="18"/>
              </w:rPr>
            </w:pPr>
            <w:r w:rsidRPr="00EB2BD8">
              <w:rPr>
                <w:b/>
                <w:w w:val="148"/>
                <w:sz w:val="18"/>
              </w:rPr>
              <w:t>-</w:t>
            </w:r>
          </w:p>
        </w:tc>
        <w:tc>
          <w:tcPr>
            <w:tcW w:w="1010" w:type="dxa"/>
            <w:tcBorders>
              <w:top w:val="single" w:sz="2" w:space="0" w:color="000000"/>
              <w:left w:val="single" w:sz="2" w:space="0" w:color="000000"/>
              <w:bottom w:val="single" w:sz="2" w:space="0" w:color="000000"/>
            </w:tcBorders>
          </w:tcPr>
          <w:p w14:paraId="65B5EC49" w14:textId="77777777" w:rsidR="00084F36" w:rsidRPr="00EB2BD8" w:rsidRDefault="00EB2BD8">
            <w:pPr>
              <w:pStyle w:val="TableParagraph"/>
              <w:spacing w:before="116"/>
              <w:ind w:right="92"/>
              <w:jc w:val="right"/>
              <w:rPr>
                <w:b/>
                <w:sz w:val="18"/>
              </w:rPr>
            </w:pPr>
            <w:r w:rsidRPr="00EB2BD8">
              <w:rPr>
                <w:b/>
                <w:spacing w:val="-5"/>
                <w:w w:val="90"/>
                <w:sz w:val="18"/>
              </w:rPr>
              <w:t>10</w:t>
            </w:r>
          </w:p>
        </w:tc>
        <w:tc>
          <w:tcPr>
            <w:tcW w:w="1022" w:type="dxa"/>
            <w:gridSpan w:val="2"/>
            <w:tcBorders>
              <w:top w:val="single" w:sz="2" w:space="0" w:color="000000"/>
              <w:bottom w:val="single" w:sz="2" w:space="0" w:color="000000"/>
            </w:tcBorders>
          </w:tcPr>
          <w:p w14:paraId="0F36A4C8" w14:textId="77777777" w:rsidR="00084F36" w:rsidRPr="00EB2BD8" w:rsidRDefault="00EB2BD8">
            <w:pPr>
              <w:pStyle w:val="TableParagraph"/>
              <w:spacing w:before="116"/>
              <w:ind w:right="92"/>
              <w:jc w:val="right"/>
              <w:rPr>
                <w:b/>
                <w:sz w:val="18"/>
              </w:rPr>
            </w:pPr>
            <w:r w:rsidRPr="00EB2BD8">
              <w:rPr>
                <w:b/>
                <w:w w:val="95"/>
                <w:sz w:val="18"/>
              </w:rPr>
              <w:t>6</w:t>
            </w:r>
          </w:p>
        </w:tc>
        <w:tc>
          <w:tcPr>
            <w:tcW w:w="1021" w:type="dxa"/>
            <w:tcBorders>
              <w:top w:val="single" w:sz="2" w:space="0" w:color="000000"/>
              <w:bottom w:val="single" w:sz="2" w:space="0" w:color="000000"/>
            </w:tcBorders>
          </w:tcPr>
          <w:p w14:paraId="3E5C5496" w14:textId="77777777" w:rsidR="00084F36" w:rsidRPr="00EB2BD8" w:rsidRDefault="00EB2BD8">
            <w:pPr>
              <w:pStyle w:val="TableParagraph"/>
              <w:spacing w:before="116"/>
              <w:ind w:right="93"/>
              <w:jc w:val="right"/>
              <w:rPr>
                <w:b/>
                <w:sz w:val="18"/>
              </w:rPr>
            </w:pPr>
            <w:r w:rsidRPr="00EB2BD8">
              <w:rPr>
                <w:b/>
                <w:w w:val="148"/>
                <w:sz w:val="18"/>
              </w:rPr>
              <w:t>-</w:t>
            </w:r>
          </w:p>
        </w:tc>
        <w:tc>
          <w:tcPr>
            <w:tcW w:w="1032" w:type="dxa"/>
            <w:tcBorders>
              <w:top w:val="single" w:sz="2" w:space="0" w:color="000000"/>
              <w:bottom w:val="single" w:sz="2" w:space="0" w:color="000000"/>
            </w:tcBorders>
          </w:tcPr>
          <w:p w14:paraId="7725E6B7" w14:textId="77777777" w:rsidR="00084F36" w:rsidRPr="00EB2BD8" w:rsidRDefault="00EB2BD8">
            <w:pPr>
              <w:pStyle w:val="TableParagraph"/>
              <w:spacing w:before="116"/>
              <w:ind w:right="104"/>
              <w:jc w:val="right"/>
              <w:rPr>
                <w:b/>
                <w:sz w:val="18"/>
              </w:rPr>
            </w:pPr>
            <w:r w:rsidRPr="00EB2BD8">
              <w:rPr>
                <w:b/>
                <w:w w:val="57"/>
                <w:sz w:val="18"/>
              </w:rPr>
              <w:t>1</w:t>
            </w:r>
          </w:p>
        </w:tc>
      </w:tr>
    </w:tbl>
    <w:p w14:paraId="187C93C6" w14:textId="44B78165" w:rsidR="00084F36" w:rsidRPr="00EB2BD8" w:rsidRDefault="00EB2BD8">
      <w:pPr>
        <w:spacing w:before="126"/>
        <w:ind w:left="843"/>
        <w:rPr>
          <w:i/>
          <w:sz w:val="14"/>
        </w:rPr>
      </w:pPr>
      <w:r w:rsidRPr="00EB2BD8">
        <w:rPr>
          <w:i/>
          <w:spacing w:val="-2"/>
          <w:sz w:val="14"/>
        </w:rPr>
        <w:t>34</w:t>
      </w:r>
      <w:r w:rsidR="00D0600F">
        <w:rPr>
          <w:i/>
          <w:spacing w:val="-2"/>
          <w:sz w:val="14"/>
        </w:rPr>
        <w:t>-</w:t>
      </w:r>
      <w:r w:rsidRPr="00EB2BD8">
        <w:rPr>
          <w:i/>
          <w:spacing w:val="-2"/>
          <w:sz w:val="14"/>
        </w:rPr>
        <w:t>All</w:t>
      </w:r>
      <w:r w:rsidRPr="00EB2BD8">
        <w:rPr>
          <w:i/>
          <w:spacing w:val="-8"/>
          <w:sz w:val="14"/>
        </w:rPr>
        <w:t xml:space="preserve"> </w:t>
      </w:r>
      <w:r w:rsidRPr="00EB2BD8">
        <w:rPr>
          <w:i/>
          <w:spacing w:val="-2"/>
          <w:sz w:val="14"/>
        </w:rPr>
        <w:t>figures</w:t>
      </w:r>
      <w:r w:rsidRPr="00EB2BD8">
        <w:rPr>
          <w:i/>
          <w:spacing w:val="-7"/>
          <w:sz w:val="14"/>
        </w:rPr>
        <w:t xml:space="preserve"> </w:t>
      </w:r>
      <w:r w:rsidRPr="00EB2BD8">
        <w:rPr>
          <w:i/>
          <w:spacing w:val="-2"/>
          <w:sz w:val="14"/>
        </w:rPr>
        <w:t>show</w:t>
      </w:r>
      <w:r w:rsidRPr="00EB2BD8">
        <w:rPr>
          <w:i/>
          <w:spacing w:val="-8"/>
          <w:sz w:val="14"/>
        </w:rPr>
        <w:t xml:space="preserve"> </w:t>
      </w:r>
      <w:r w:rsidRPr="00EB2BD8">
        <w:rPr>
          <w:i/>
          <w:spacing w:val="-2"/>
          <w:sz w:val="14"/>
        </w:rPr>
        <w:t>employment</w:t>
      </w:r>
      <w:r w:rsidRPr="00EB2BD8">
        <w:rPr>
          <w:i/>
          <w:spacing w:val="-7"/>
          <w:sz w:val="14"/>
        </w:rPr>
        <w:t xml:space="preserve"> </w:t>
      </w:r>
      <w:r w:rsidRPr="00EB2BD8">
        <w:rPr>
          <w:i/>
          <w:spacing w:val="-2"/>
          <w:sz w:val="14"/>
        </w:rPr>
        <w:t>levels</w:t>
      </w:r>
      <w:r w:rsidRPr="00EB2BD8">
        <w:rPr>
          <w:i/>
          <w:spacing w:val="-8"/>
          <w:sz w:val="14"/>
        </w:rPr>
        <w:t xml:space="preserve"> </w:t>
      </w:r>
      <w:r w:rsidRPr="00EB2BD8">
        <w:rPr>
          <w:i/>
          <w:spacing w:val="-2"/>
          <w:sz w:val="14"/>
        </w:rPr>
        <w:t>as</w:t>
      </w:r>
      <w:r w:rsidRPr="00EB2BD8">
        <w:rPr>
          <w:i/>
          <w:spacing w:val="-7"/>
          <w:sz w:val="14"/>
        </w:rPr>
        <w:t xml:space="preserve"> </w:t>
      </w:r>
      <w:r w:rsidRPr="00EB2BD8">
        <w:rPr>
          <w:i/>
          <w:spacing w:val="-2"/>
          <w:sz w:val="14"/>
        </w:rPr>
        <w:t>at</w:t>
      </w:r>
      <w:r w:rsidRPr="00EB2BD8">
        <w:rPr>
          <w:i/>
          <w:spacing w:val="-8"/>
          <w:sz w:val="14"/>
        </w:rPr>
        <w:t xml:space="preserve"> </w:t>
      </w:r>
      <w:r w:rsidRPr="00EB2BD8">
        <w:rPr>
          <w:i/>
          <w:spacing w:val="-2"/>
          <w:sz w:val="14"/>
        </w:rPr>
        <w:t>30</w:t>
      </w:r>
      <w:r w:rsidRPr="00EB2BD8">
        <w:rPr>
          <w:i/>
          <w:spacing w:val="-7"/>
          <w:sz w:val="14"/>
        </w:rPr>
        <w:t xml:space="preserve"> </w:t>
      </w:r>
      <w:r w:rsidRPr="00EB2BD8">
        <w:rPr>
          <w:i/>
          <w:spacing w:val="-2"/>
          <w:sz w:val="14"/>
        </w:rPr>
        <w:t>June</w:t>
      </w:r>
      <w:r w:rsidRPr="00EB2BD8">
        <w:rPr>
          <w:i/>
          <w:spacing w:val="-7"/>
          <w:sz w:val="14"/>
        </w:rPr>
        <w:t xml:space="preserve"> </w:t>
      </w:r>
      <w:r w:rsidRPr="00EB2BD8">
        <w:rPr>
          <w:i/>
          <w:spacing w:val="-2"/>
          <w:sz w:val="14"/>
        </w:rPr>
        <w:t>2023</w:t>
      </w:r>
      <w:r w:rsidRPr="00EB2BD8">
        <w:rPr>
          <w:i/>
          <w:spacing w:val="-8"/>
          <w:sz w:val="14"/>
        </w:rPr>
        <w:t xml:space="preserve"> </w:t>
      </w:r>
      <w:r w:rsidRPr="00EB2BD8">
        <w:rPr>
          <w:i/>
          <w:spacing w:val="-2"/>
          <w:sz w:val="14"/>
        </w:rPr>
        <w:t>and</w:t>
      </w:r>
      <w:r w:rsidRPr="00EB2BD8">
        <w:rPr>
          <w:i/>
          <w:spacing w:val="-7"/>
          <w:sz w:val="14"/>
        </w:rPr>
        <w:t xml:space="preserve"> </w:t>
      </w:r>
      <w:r w:rsidRPr="00EB2BD8">
        <w:rPr>
          <w:i/>
          <w:spacing w:val="-2"/>
          <w:sz w:val="14"/>
        </w:rPr>
        <w:t>2022.</w:t>
      </w:r>
    </w:p>
    <w:p w14:paraId="7E3DC3EE" w14:textId="77777777" w:rsidR="00084F36" w:rsidRPr="00EB2BD8" w:rsidRDefault="00084F36">
      <w:pPr>
        <w:pStyle w:val="BodyText"/>
        <w:rPr>
          <w:i/>
          <w:sz w:val="16"/>
        </w:rPr>
      </w:pPr>
    </w:p>
    <w:p w14:paraId="229279B9" w14:textId="77777777" w:rsidR="00084F36" w:rsidRPr="00EB2BD8" w:rsidRDefault="00084F36">
      <w:pPr>
        <w:pStyle w:val="BodyText"/>
        <w:rPr>
          <w:i/>
          <w:sz w:val="16"/>
        </w:rPr>
      </w:pPr>
    </w:p>
    <w:p w14:paraId="68547636" w14:textId="77777777" w:rsidR="00084F36" w:rsidRPr="00EB2BD8" w:rsidRDefault="00084F36">
      <w:pPr>
        <w:pStyle w:val="BodyText"/>
        <w:spacing w:before="2"/>
        <w:rPr>
          <w:i/>
          <w:sz w:val="14"/>
        </w:rPr>
      </w:pPr>
    </w:p>
    <w:p w14:paraId="0B47E4D0" w14:textId="77777777" w:rsidR="00084F36" w:rsidRPr="00EB2BD8" w:rsidRDefault="00EB2BD8" w:rsidP="00697E0C">
      <w:pPr>
        <w:pStyle w:val="Heading3"/>
      </w:pPr>
      <w:bookmarkStart w:id="431" w:name="_Toc150762733"/>
      <w:r w:rsidRPr="00EB2BD8">
        <w:t>Table</w:t>
      </w:r>
      <w:r w:rsidRPr="00EB2BD8">
        <w:rPr>
          <w:spacing w:val="-16"/>
        </w:rPr>
        <w:t xml:space="preserve"> </w:t>
      </w:r>
      <w:r w:rsidRPr="00EB2BD8">
        <w:t>23:</w:t>
      </w:r>
      <w:r w:rsidRPr="00EB2BD8">
        <w:rPr>
          <w:spacing w:val="23"/>
        </w:rPr>
        <w:t xml:space="preserve"> </w:t>
      </w:r>
      <w:r w:rsidRPr="00EB2BD8">
        <w:t>Reconciliation</w:t>
      </w:r>
      <w:r w:rsidRPr="00EB2BD8">
        <w:rPr>
          <w:spacing w:val="-15"/>
        </w:rPr>
        <w:t xml:space="preserve"> </w:t>
      </w:r>
      <w:r w:rsidRPr="00EB2BD8">
        <w:t>of</w:t>
      </w:r>
      <w:r w:rsidRPr="00EB2BD8">
        <w:rPr>
          <w:spacing w:val="-16"/>
        </w:rPr>
        <w:t xml:space="preserve"> </w:t>
      </w:r>
      <w:r w:rsidRPr="00EB2BD8">
        <w:t>executive</w:t>
      </w:r>
      <w:r w:rsidRPr="00EB2BD8">
        <w:rPr>
          <w:spacing w:val="-16"/>
        </w:rPr>
        <w:t xml:space="preserve"> </w:t>
      </w:r>
      <w:r w:rsidRPr="00EB2BD8">
        <w:rPr>
          <w:spacing w:val="-2"/>
        </w:rPr>
        <w:t>numbers</w:t>
      </w:r>
      <w:bookmarkEnd w:id="431"/>
    </w:p>
    <w:p w14:paraId="6021C851" w14:textId="77777777" w:rsidR="00084F36" w:rsidRPr="00EB2BD8" w:rsidRDefault="00084F36">
      <w:pPr>
        <w:pStyle w:val="BodyText"/>
        <w:spacing w:before="6"/>
        <w:rPr>
          <w:sz w:val="20"/>
        </w:rPr>
      </w:pPr>
    </w:p>
    <w:tbl>
      <w:tblPr>
        <w:tblW w:w="0" w:type="auto"/>
        <w:tblInd w:w="851" w:type="dxa"/>
        <w:tblLayout w:type="fixed"/>
        <w:tblCellMar>
          <w:left w:w="0" w:type="dxa"/>
          <w:right w:w="0" w:type="dxa"/>
        </w:tblCellMar>
        <w:tblLook w:val="01E0" w:firstRow="1" w:lastRow="1" w:firstColumn="1" w:lastColumn="1" w:noHBand="0" w:noVBand="0"/>
      </w:tblPr>
      <w:tblGrid>
        <w:gridCol w:w="2041"/>
        <w:gridCol w:w="5222"/>
        <w:gridCol w:w="2037"/>
        <w:gridCol w:w="907"/>
      </w:tblGrid>
      <w:tr w:rsidR="00EB2BD8" w:rsidRPr="00EB2BD8" w14:paraId="284846B2" w14:textId="77777777">
        <w:trPr>
          <w:trHeight w:val="386"/>
        </w:trPr>
        <w:tc>
          <w:tcPr>
            <w:tcW w:w="2041" w:type="dxa"/>
            <w:shd w:val="clear" w:color="auto" w:fill="005F83"/>
          </w:tcPr>
          <w:p w14:paraId="0B0EB394" w14:textId="77777777" w:rsidR="00084F36" w:rsidRPr="00D0600F" w:rsidRDefault="00EB2BD8">
            <w:pPr>
              <w:pStyle w:val="TableParagraph"/>
              <w:spacing w:before="118"/>
              <w:ind w:left="113"/>
              <w:rPr>
                <w:color w:val="FFFFFF" w:themeColor="background1"/>
                <w:sz w:val="16"/>
              </w:rPr>
            </w:pPr>
            <w:r w:rsidRPr="00D0600F">
              <w:rPr>
                <w:color w:val="FFFFFF" w:themeColor="background1"/>
                <w:sz w:val="16"/>
              </w:rPr>
              <w:t>Income</w:t>
            </w:r>
            <w:r w:rsidRPr="00D0600F">
              <w:rPr>
                <w:color w:val="FFFFFF" w:themeColor="background1"/>
                <w:spacing w:val="-2"/>
                <w:sz w:val="16"/>
              </w:rPr>
              <w:t xml:space="preserve"> </w:t>
            </w:r>
            <w:r w:rsidRPr="00D0600F">
              <w:rPr>
                <w:color w:val="FFFFFF" w:themeColor="background1"/>
                <w:sz w:val="16"/>
              </w:rPr>
              <w:t>band</w:t>
            </w:r>
            <w:r w:rsidRPr="00D0600F">
              <w:rPr>
                <w:color w:val="FFFFFF" w:themeColor="background1"/>
                <w:spacing w:val="-1"/>
                <w:sz w:val="16"/>
              </w:rPr>
              <w:t xml:space="preserve"> </w:t>
            </w:r>
            <w:r w:rsidRPr="00D0600F">
              <w:rPr>
                <w:color w:val="FFFFFF" w:themeColor="background1"/>
                <w:spacing w:val="-2"/>
                <w:sz w:val="16"/>
              </w:rPr>
              <w:t>(salary)</w:t>
            </w:r>
          </w:p>
        </w:tc>
        <w:tc>
          <w:tcPr>
            <w:tcW w:w="5222" w:type="dxa"/>
            <w:shd w:val="clear" w:color="auto" w:fill="005F83"/>
          </w:tcPr>
          <w:p w14:paraId="4E0BFAAC" w14:textId="77777777" w:rsidR="00084F36" w:rsidRPr="00D0600F" w:rsidRDefault="00084F36">
            <w:pPr>
              <w:pStyle w:val="TableParagraph"/>
              <w:rPr>
                <w:rFonts w:ascii="Times New Roman"/>
                <w:color w:val="FFFFFF" w:themeColor="background1"/>
                <w:sz w:val="16"/>
              </w:rPr>
            </w:pPr>
          </w:p>
        </w:tc>
        <w:tc>
          <w:tcPr>
            <w:tcW w:w="2037" w:type="dxa"/>
            <w:shd w:val="clear" w:color="auto" w:fill="005F83"/>
          </w:tcPr>
          <w:p w14:paraId="3C9C8462" w14:textId="77777777" w:rsidR="00084F36" w:rsidRPr="00D0600F" w:rsidRDefault="00EB2BD8">
            <w:pPr>
              <w:pStyle w:val="TableParagraph"/>
              <w:spacing w:before="118"/>
              <w:ind w:right="227"/>
              <w:jc w:val="right"/>
              <w:rPr>
                <w:color w:val="FFFFFF" w:themeColor="background1"/>
                <w:sz w:val="16"/>
              </w:rPr>
            </w:pPr>
            <w:r w:rsidRPr="00D0600F">
              <w:rPr>
                <w:color w:val="FFFFFF" w:themeColor="background1"/>
                <w:w w:val="90"/>
                <w:sz w:val="16"/>
              </w:rPr>
              <w:t>2022-</w:t>
            </w:r>
            <w:r w:rsidRPr="00D0600F">
              <w:rPr>
                <w:color w:val="FFFFFF" w:themeColor="background1"/>
                <w:spacing w:val="-5"/>
                <w:sz w:val="16"/>
              </w:rPr>
              <w:t>23</w:t>
            </w:r>
          </w:p>
        </w:tc>
        <w:tc>
          <w:tcPr>
            <w:tcW w:w="907" w:type="dxa"/>
            <w:shd w:val="clear" w:color="auto" w:fill="005F83"/>
          </w:tcPr>
          <w:p w14:paraId="5B8F6CA8" w14:textId="77777777" w:rsidR="00084F36" w:rsidRPr="00D0600F" w:rsidRDefault="00EB2BD8">
            <w:pPr>
              <w:pStyle w:val="TableParagraph"/>
              <w:spacing w:before="118"/>
              <w:ind w:right="113"/>
              <w:jc w:val="right"/>
              <w:rPr>
                <w:color w:val="FFFFFF" w:themeColor="background1"/>
                <w:sz w:val="16"/>
              </w:rPr>
            </w:pPr>
            <w:r w:rsidRPr="00D0600F">
              <w:rPr>
                <w:color w:val="FFFFFF" w:themeColor="background1"/>
                <w:w w:val="85"/>
                <w:sz w:val="16"/>
              </w:rPr>
              <w:t>2021-</w:t>
            </w:r>
            <w:r w:rsidRPr="00D0600F">
              <w:rPr>
                <w:color w:val="FFFFFF" w:themeColor="background1"/>
                <w:spacing w:val="-5"/>
                <w:w w:val="95"/>
                <w:sz w:val="16"/>
              </w:rPr>
              <w:t>22</w:t>
            </w:r>
          </w:p>
        </w:tc>
      </w:tr>
      <w:tr w:rsidR="00EB2BD8" w:rsidRPr="00EB2BD8" w14:paraId="384EF5AF" w14:textId="77777777">
        <w:trPr>
          <w:trHeight w:val="384"/>
        </w:trPr>
        <w:tc>
          <w:tcPr>
            <w:tcW w:w="2041" w:type="dxa"/>
          </w:tcPr>
          <w:p w14:paraId="77CCD016" w14:textId="77777777" w:rsidR="00084F36" w:rsidRPr="00EB2BD8" w:rsidRDefault="00EB2BD8">
            <w:pPr>
              <w:pStyle w:val="TableParagraph"/>
              <w:spacing w:before="118"/>
              <w:ind w:left="113"/>
              <w:rPr>
                <w:sz w:val="16"/>
              </w:rPr>
            </w:pPr>
            <w:r w:rsidRPr="00EB2BD8">
              <w:rPr>
                <w:spacing w:val="-5"/>
                <w:sz w:val="16"/>
              </w:rPr>
              <w:t>Add</w:t>
            </w:r>
          </w:p>
        </w:tc>
        <w:tc>
          <w:tcPr>
            <w:tcW w:w="5222" w:type="dxa"/>
            <w:tcBorders>
              <w:bottom w:val="single" w:sz="2" w:space="0" w:color="000000"/>
            </w:tcBorders>
          </w:tcPr>
          <w:p w14:paraId="0757C964" w14:textId="77777777" w:rsidR="00084F36" w:rsidRPr="00EB2BD8" w:rsidRDefault="00EB2BD8">
            <w:pPr>
              <w:pStyle w:val="TableParagraph"/>
              <w:spacing w:before="118"/>
              <w:ind w:left="113"/>
              <w:rPr>
                <w:sz w:val="16"/>
              </w:rPr>
            </w:pPr>
            <w:r w:rsidRPr="00EB2BD8">
              <w:rPr>
                <w:spacing w:val="-2"/>
                <w:sz w:val="16"/>
              </w:rPr>
              <w:t>Executives</w:t>
            </w:r>
            <w:r w:rsidRPr="00EB2BD8">
              <w:rPr>
                <w:spacing w:val="-1"/>
                <w:sz w:val="16"/>
              </w:rPr>
              <w:t xml:space="preserve"> </w:t>
            </w:r>
            <w:r w:rsidRPr="00EB2BD8">
              <w:rPr>
                <w:spacing w:val="-2"/>
                <w:sz w:val="16"/>
              </w:rPr>
              <w:t>with</w:t>
            </w:r>
            <w:r w:rsidRPr="00EB2BD8">
              <w:rPr>
                <w:sz w:val="16"/>
              </w:rPr>
              <w:t xml:space="preserve"> </w:t>
            </w:r>
            <w:r w:rsidRPr="00EB2BD8">
              <w:rPr>
                <w:spacing w:val="-2"/>
                <w:sz w:val="16"/>
              </w:rPr>
              <w:t>total</w:t>
            </w:r>
            <w:r w:rsidRPr="00EB2BD8">
              <w:rPr>
                <w:spacing w:val="-1"/>
                <w:sz w:val="16"/>
              </w:rPr>
              <w:t xml:space="preserve"> </w:t>
            </w:r>
            <w:r w:rsidRPr="00EB2BD8">
              <w:rPr>
                <w:spacing w:val="-2"/>
                <w:sz w:val="16"/>
              </w:rPr>
              <w:t>remuneration</w:t>
            </w:r>
            <w:r w:rsidRPr="00EB2BD8">
              <w:rPr>
                <w:sz w:val="16"/>
              </w:rPr>
              <w:t xml:space="preserve"> </w:t>
            </w:r>
            <w:r w:rsidRPr="00EB2BD8">
              <w:rPr>
                <w:spacing w:val="-2"/>
                <w:sz w:val="16"/>
              </w:rPr>
              <w:t>over</w:t>
            </w:r>
            <w:r w:rsidRPr="00EB2BD8">
              <w:rPr>
                <w:spacing w:val="-1"/>
                <w:sz w:val="16"/>
              </w:rPr>
              <w:t xml:space="preserve"> </w:t>
            </w:r>
            <w:r w:rsidRPr="00EB2BD8">
              <w:rPr>
                <w:spacing w:val="-2"/>
                <w:sz w:val="16"/>
              </w:rPr>
              <w:t>$100,000</w:t>
            </w:r>
          </w:p>
        </w:tc>
        <w:tc>
          <w:tcPr>
            <w:tcW w:w="2037" w:type="dxa"/>
            <w:tcBorders>
              <w:bottom w:val="single" w:sz="2" w:space="0" w:color="000000"/>
            </w:tcBorders>
          </w:tcPr>
          <w:p w14:paraId="4DD5BC4C" w14:textId="77777777" w:rsidR="00084F36" w:rsidRPr="00EB2BD8" w:rsidRDefault="00EB2BD8">
            <w:pPr>
              <w:pStyle w:val="TableParagraph"/>
              <w:spacing w:before="118"/>
              <w:ind w:right="228"/>
              <w:jc w:val="right"/>
              <w:rPr>
                <w:sz w:val="16"/>
              </w:rPr>
            </w:pPr>
            <w:r w:rsidRPr="00EB2BD8">
              <w:rPr>
                <w:spacing w:val="-5"/>
                <w:w w:val="85"/>
                <w:sz w:val="16"/>
              </w:rPr>
              <w:t>16</w:t>
            </w:r>
          </w:p>
        </w:tc>
        <w:tc>
          <w:tcPr>
            <w:tcW w:w="907" w:type="dxa"/>
            <w:tcBorders>
              <w:bottom w:val="single" w:sz="2" w:space="0" w:color="000000"/>
            </w:tcBorders>
          </w:tcPr>
          <w:p w14:paraId="1BA58794" w14:textId="77777777" w:rsidR="00084F36" w:rsidRPr="00EB2BD8" w:rsidRDefault="00EB2BD8">
            <w:pPr>
              <w:pStyle w:val="TableParagraph"/>
              <w:spacing w:before="118"/>
              <w:ind w:right="114"/>
              <w:jc w:val="right"/>
              <w:rPr>
                <w:sz w:val="16"/>
              </w:rPr>
            </w:pPr>
            <w:r w:rsidRPr="00EB2BD8">
              <w:rPr>
                <w:spacing w:val="-5"/>
                <w:w w:val="80"/>
                <w:sz w:val="16"/>
              </w:rPr>
              <w:t>15</w:t>
            </w:r>
          </w:p>
        </w:tc>
      </w:tr>
      <w:tr w:rsidR="00EB2BD8" w:rsidRPr="00EB2BD8" w14:paraId="6663209D" w14:textId="77777777">
        <w:trPr>
          <w:trHeight w:val="381"/>
        </w:trPr>
        <w:tc>
          <w:tcPr>
            <w:tcW w:w="2041" w:type="dxa"/>
          </w:tcPr>
          <w:p w14:paraId="483407E6" w14:textId="77777777" w:rsidR="00084F36" w:rsidRPr="00EB2BD8" w:rsidRDefault="00084F36">
            <w:pPr>
              <w:pStyle w:val="TableParagraph"/>
              <w:rPr>
                <w:rFonts w:ascii="Times New Roman"/>
                <w:sz w:val="16"/>
              </w:rPr>
            </w:pPr>
          </w:p>
        </w:tc>
        <w:tc>
          <w:tcPr>
            <w:tcW w:w="5222" w:type="dxa"/>
            <w:tcBorders>
              <w:top w:val="single" w:sz="2" w:space="0" w:color="000000"/>
              <w:bottom w:val="single" w:sz="2" w:space="0" w:color="000000"/>
            </w:tcBorders>
          </w:tcPr>
          <w:p w14:paraId="0F1FEDC8" w14:textId="77777777" w:rsidR="00084F36" w:rsidRPr="00EB2BD8" w:rsidRDefault="00EB2BD8">
            <w:pPr>
              <w:pStyle w:val="TableParagraph"/>
              <w:spacing w:before="116"/>
              <w:ind w:left="113"/>
              <w:rPr>
                <w:sz w:val="16"/>
              </w:rPr>
            </w:pPr>
            <w:r w:rsidRPr="00EB2BD8">
              <w:rPr>
                <w:spacing w:val="-2"/>
                <w:w w:val="105"/>
                <w:sz w:val="16"/>
              </w:rPr>
              <w:t>Vacancies</w:t>
            </w:r>
          </w:p>
        </w:tc>
        <w:tc>
          <w:tcPr>
            <w:tcW w:w="2037" w:type="dxa"/>
            <w:tcBorders>
              <w:top w:val="single" w:sz="2" w:space="0" w:color="000000"/>
              <w:bottom w:val="single" w:sz="2" w:space="0" w:color="000000"/>
            </w:tcBorders>
          </w:tcPr>
          <w:p w14:paraId="56F1C25C" w14:textId="77777777" w:rsidR="00084F36" w:rsidRPr="00EB2BD8" w:rsidRDefault="00EB2BD8">
            <w:pPr>
              <w:pStyle w:val="TableParagraph"/>
              <w:spacing w:before="116"/>
              <w:ind w:right="227"/>
              <w:jc w:val="right"/>
              <w:rPr>
                <w:sz w:val="16"/>
              </w:rPr>
            </w:pPr>
            <w:r w:rsidRPr="00EB2BD8">
              <w:rPr>
                <w:w w:val="135"/>
                <w:sz w:val="16"/>
              </w:rPr>
              <w:t>-</w:t>
            </w:r>
          </w:p>
        </w:tc>
        <w:tc>
          <w:tcPr>
            <w:tcW w:w="907" w:type="dxa"/>
            <w:tcBorders>
              <w:top w:val="single" w:sz="2" w:space="0" w:color="000000"/>
              <w:bottom w:val="single" w:sz="2" w:space="0" w:color="000000"/>
            </w:tcBorders>
          </w:tcPr>
          <w:p w14:paraId="13BA1FD0" w14:textId="77777777" w:rsidR="00084F36" w:rsidRPr="00EB2BD8" w:rsidRDefault="00EB2BD8">
            <w:pPr>
              <w:pStyle w:val="TableParagraph"/>
              <w:spacing w:before="116"/>
              <w:ind w:right="113"/>
              <w:jc w:val="right"/>
              <w:rPr>
                <w:sz w:val="16"/>
              </w:rPr>
            </w:pPr>
            <w:r w:rsidRPr="00EB2BD8">
              <w:rPr>
                <w:w w:val="55"/>
                <w:sz w:val="16"/>
              </w:rPr>
              <w:t>1</w:t>
            </w:r>
          </w:p>
        </w:tc>
      </w:tr>
      <w:tr w:rsidR="00EB2BD8" w:rsidRPr="00EB2BD8" w14:paraId="4156D90A" w14:textId="77777777">
        <w:trPr>
          <w:trHeight w:val="381"/>
        </w:trPr>
        <w:tc>
          <w:tcPr>
            <w:tcW w:w="2041" w:type="dxa"/>
          </w:tcPr>
          <w:p w14:paraId="03E70DC4" w14:textId="77777777" w:rsidR="00084F36" w:rsidRPr="00EB2BD8" w:rsidRDefault="00084F36">
            <w:pPr>
              <w:pStyle w:val="TableParagraph"/>
              <w:rPr>
                <w:rFonts w:ascii="Times New Roman"/>
                <w:sz w:val="16"/>
              </w:rPr>
            </w:pPr>
          </w:p>
        </w:tc>
        <w:tc>
          <w:tcPr>
            <w:tcW w:w="5222" w:type="dxa"/>
            <w:tcBorders>
              <w:top w:val="single" w:sz="2" w:space="0" w:color="000000"/>
              <w:bottom w:val="single" w:sz="2" w:space="0" w:color="000000"/>
            </w:tcBorders>
          </w:tcPr>
          <w:p w14:paraId="5207CCCD" w14:textId="77777777" w:rsidR="00084F36" w:rsidRPr="00EB2BD8" w:rsidRDefault="00EB2BD8">
            <w:pPr>
              <w:pStyle w:val="TableParagraph"/>
              <w:spacing w:before="116"/>
              <w:ind w:left="113"/>
              <w:rPr>
                <w:sz w:val="16"/>
              </w:rPr>
            </w:pPr>
            <w:r w:rsidRPr="00EB2BD8">
              <w:rPr>
                <w:spacing w:val="-2"/>
                <w:sz w:val="16"/>
              </w:rPr>
              <w:t>Executives with</w:t>
            </w:r>
            <w:r w:rsidRPr="00EB2BD8">
              <w:rPr>
                <w:spacing w:val="-1"/>
                <w:sz w:val="16"/>
              </w:rPr>
              <w:t xml:space="preserve"> </w:t>
            </w:r>
            <w:r w:rsidRPr="00EB2BD8">
              <w:rPr>
                <w:spacing w:val="-2"/>
                <w:sz w:val="16"/>
              </w:rPr>
              <w:t>total</w:t>
            </w:r>
            <w:r w:rsidRPr="00EB2BD8">
              <w:rPr>
                <w:spacing w:val="-1"/>
                <w:sz w:val="16"/>
              </w:rPr>
              <w:t xml:space="preserve"> </w:t>
            </w:r>
            <w:r w:rsidRPr="00EB2BD8">
              <w:rPr>
                <w:spacing w:val="-2"/>
                <w:sz w:val="16"/>
              </w:rPr>
              <w:t>remuneration</w:t>
            </w:r>
            <w:r w:rsidRPr="00EB2BD8">
              <w:rPr>
                <w:spacing w:val="-1"/>
                <w:sz w:val="16"/>
              </w:rPr>
              <w:t xml:space="preserve"> </w:t>
            </w:r>
            <w:r w:rsidRPr="00EB2BD8">
              <w:rPr>
                <w:spacing w:val="-2"/>
                <w:sz w:val="16"/>
              </w:rPr>
              <w:t>below</w:t>
            </w:r>
            <w:r w:rsidRPr="00EB2BD8">
              <w:rPr>
                <w:spacing w:val="-1"/>
                <w:sz w:val="16"/>
              </w:rPr>
              <w:t xml:space="preserve"> </w:t>
            </w:r>
            <w:r w:rsidRPr="00EB2BD8">
              <w:rPr>
                <w:spacing w:val="-2"/>
                <w:sz w:val="16"/>
              </w:rPr>
              <w:t>$100,000</w:t>
            </w:r>
          </w:p>
        </w:tc>
        <w:tc>
          <w:tcPr>
            <w:tcW w:w="2037" w:type="dxa"/>
            <w:tcBorders>
              <w:top w:val="single" w:sz="2" w:space="0" w:color="000000"/>
              <w:bottom w:val="single" w:sz="2" w:space="0" w:color="000000"/>
            </w:tcBorders>
          </w:tcPr>
          <w:p w14:paraId="1048C1F2" w14:textId="77777777" w:rsidR="00084F36" w:rsidRPr="00EB2BD8" w:rsidRDefault="00EB2BD8">
            <w:pPr>
              <w:pStyle w:val="TableParagraph"/>
              <w:spacing w:before="116"/>
              <w:ind w:right="227"/>
              <w:jc w:val="right"/>
              <w:rPr>
                <w:sz w:val="16"/>
              </w:rPr>
            </w:pPr>
            <w:r w:rsidRPr="00EB2BD8">
              <w:rPr>
                <w:w w:val="135"/>
                <w:sz w:val="16"/>
              </w:rPr>
              <w:t>-</w:t>
            </w:r>
          </w:p>
        </w:tc>
        <w:tc>
          <w:tcPr>
            <w:tcW w:w="907" w:type="dxa"/>
            <w:tcBorders>
              <w:top w:val="single" w:sz="2" w:space="0" w:color="000000"/>
              <w:bottom w:val="single" w:sz="2" w:space="0" w:color="000000"/>
            </w:tcBorders>
          </w:tcPr>
          <w:p w14:paraId="524522DA" w14:textId="77777777" w:rsidR="00084F36" w:rsidRPr="00EB2BD8" w:rsidRDefault="00EB2BD8">
            <w:pPr>
              <w:pStyle w:val="TableParagraph"/>
              <w:spacing w:before="116"/>
              <w:ind w:right="113"/>
              <w:jc w:val="right"/>
              <w:rPr>
                <w:sz w:val="16"/>
              </w:rPr>
            </w:pPr>
            <w:r w:rsidRPr="00EB2BD8">
              <w:rPr>
                <w:w w:val="135"/>
                <w:sz w:val="16"/>
              </w:rPr>
              <w:t>-</w:t>
            </w:r>
          </w:p>
        </w:tc>
      </w:tr>
      <w:tr w:rsidR="00EB2BD8" w:rsidRPr="00EB2BD8" w14:paraId="67BC23D2" w14:textId="77777777">
        <w:trPr>
          <w:trHeight w:val="381"/>
        </w:trPr>
        <w:tc>
          <w:tcPr>
            <w:tcW w:w="2041" w:type="dxa"/>
            <w:tcBorders>
              <w:bottom w:val="single" w:sz="2" w:space="0" w:color="000000"/>
            </w:tcBorders>
          </w:tcPr>
          <w:p w14:paraId="3BD1384A" w14:textId="77777777" w:rsidR="00084F36" w:rsidRPr="00EB2BD8" w:rsidRDefault="00084F36">
            <w:pPr>
              <w:pStyle w:val="TableParagraph"/>
              <w:rPr>
                <w:rFonts w:ascii="Times New Roman"/>
                <w:sz w:val="16"/>
              </w:rPr>
            </w:pPr>
          </w:p>
        </w:tc>
        <w:tc>
          <w:tcPr>
            <w:tcW w:w="5222" w:type="dxa"/>
            <w:tcBorders>
              <w:top w:val="single" w:sz="2" w:space="0" w:color="000000"/>
              <w:bottom w:val="single" w:sz="2" w:space="0" w:color="000000"/>
            </w:tcBorders>
          </w:tcPr>
          <w:p w14:paraId="646938AF" w14:textId="77777777" w:rsidR="00084F36" w:rsidRPr="00EB2BD8" w:rsidRDefault="00EB2BD8">
            <w:pPr>
              <w:pStyle w:val="TableParagraph"/>
              <w:spacing w:before="116"/>
              <w:ind w:left="113"/>
              <w:rPr>
                <w:sz w:val="16"/>
              </w:rPr>
            </w:pPr>
            <w:r w:rsidRPr="00EB2BD8">
              <w:rPr>
                <w:spacing w:val="-2"/>
                <w:sz w:val="16"/>
              </w:rPr>
              <w:t>Accountable</w:t>
            </w:r>
            <w:r w:rsidRPr="00EB2BD8">
              <w:rPr>
                <w:spacing w:val="3"/>
                <w:sz w:val="16"/>
              </w:rPr>
              <w:t xml:space="preserve"> </w:t>
            </w:r>
            <w:r w:rsidRPr="00EB2BD8">
              <w:rPr>
                <w:spacing w:val="-2"/>
                <w:sz w:val="16"/>
              </w:rPr>
              <w:t>officer</w:t>
            </w:r>
            <w:r w:rsidRPr="00EB2BD8">
              <w:rPr>
                <w:spacing w:val="4"/>
                <w:sz w:val="16"/>
              </w:rPr>
              <w:t xml:space="preserve"> </w:t>
            </w:r>
            <w:r w:rsidRPr="00EB2BD8">
              <w:rPr>
                <w:spacing w:val="-4"/>
                <w:sz w:val="16"/>
              </w:rPr>
              <w:t>(CEO)</w:t>
            </w:r>
          </w:p>
        </w:tc>
        <w:tc>
          <w:tcPr>
            <w:tcW w:w="2037" w:type="dxa"/>
            <w:tcBorders>
              <w:top w:val="single" w:sz="2" w:space="0" w:color="000000"/>
              <w:bottom w:val="single" w:sz="2" w:space="0" w:color="000000"/>
            </w:tcBorders>
          </w:tcPr>
          <w:p w14:paraId="33B08E8E" w14:textId="77777777" w:rsidR="00084F36" w:rsidRPr="00EB2BD8" w:rsidRDefault="00EB2BD8">
            <w:pPr>
              <w:pStyle w:val="TableParagraph"/>
              <w:spacing w:before="116"/>
              <w:ind w:right="227"/>
              <w:jc w:val="right"/>
              <w:rPr>
                <w:sz w:val="16"/>
              </w:rPr>
            </w:pPr>
            <w:r w:rsidRPr="00EB2BD8">
              <w:rPr>
                <w:w w:val="55"/>
                <w:sz w:val="16"/>
              </w:rPr>
              <w:t>1</w:t>
            </w:r>
          </w:p>
        </w:tc>
        <w:tc>
          <w:tcPr>
            <w:tcW w:w="907" w:type="dxa"/>
            <w:tcBorders>
              <w:top w:val="single" w:sz="2" w:space="0" w:color="000000"/>
              <w:bottom w:val="single" w:sz="2" w:space="0" w:color="000000"/>
            </w:tcBorders>
          </w:tcPr>
          <w:p w14:paraId="1759B687" w14:textId="77777777" w:rsidR="00084F36" w:rsidRPr="00EB2BD8" w:rsidRDefault="00EB2BD8">
            <w:pPr>
              <w:pStyle w:val="TableParagraph"/>
              <w:spacing w:before="116"/>
              <w:ind w:right="113"/>
              <w:jc w:val="right"/>
              <w:rPr>
                <w:sz w:val="16"/>
              </w:rPr>
            </w:pPr>
            <w:r w:rsidRPr="00EB2BD8">
              <w:rPr>
                <w:w w:val="55"/>
                <w:sz w:val="16"/>
              </w:rPr>
              <w:t>1</w:t>
            </w:r>
          </w:p>
        </w:tc>
      </w:tr>
    </w:tbl>
    <w:p w14:paraId="37B713C5" w14:textId="77777777" w:rsidR="00084F36" w:rsidRPr="00EB2BD8" w:rsidRDefault="00EB2BD8">
      <w:pPr>
        <w:pStyle w:val="BodyText"/>
        <w:tabs>
          <w:tab w:val="left" w:pos="9769"/>
          <w:tab w:val="right" w:pos="10945"/>
        </w:tabs>
        <w:spacing w:before="119"/>
        <w:ind w:left="945"/>
        <w:rPr>
          <w:b/>
        </w:rPr>
      </w:pPr>
      <w:r w:rsidRPr="00EB2BD8">
        <w:rPr>
          <w:b/>
          <w:spacing w:val="-6"/>
        </w:rPr>
        <w:t>Total</w:t>
      </w:r>
      <w:r w:rsidRPr="00EB2BD8">
        <w:rPr>
          <w:b/>
          <w:spacing w:val="-14"/>
        </w:rPr>
        <w:t xml:space="preserve"> </w:t>
      </w:r>
      <w:r w:rsidRPr="00EB2BD8">
        <w:rPr>
          <w:b/>
          <w:spacing w:val="-6"/>
        </w:rPr>
        <w:t>executive</w:t>
      </w:r>
      <w:r w:rsidRPr="00EB2BD8">
        <w:rPr>
          <w:b/>
          <w:spacing w:val="-13"/>
        </w:rPr>
        <w:t xml:space="preserve"> </w:t>
      </w:r>
      <w:r w:rsidRPr="00EB2BD8">
        <w:rPr>
          <w:b/>
          <w:spacing w:val="-6"/>
        </w:rPr>
        <w:t>numbers</w:t>
      </w:r>
      <w:r w:rsidRPr="00EB2BD8">
        <w:rPr>
          <w:b/>
          <w:spacing w:val="-13"/>
        </w:rPr>
        <w:t xml:space="preserve"> </w:t>
      </w:r>
      <w:r w:rsidRPr="00EB2BD8">
        <w:rPr>
          <w:b/>
          <w:spacing w:val="-6"/>
        </w:rPr>
        <w:t>at</w:t>
      </w:r>
      <w:r w:rsidRPr="00EB2BD8">
        <w:rPr>
          <w:b/>
          <w:spacing w:val="-13"/>
        </w:rPr>
        <w:t xml:space="preserve"> </w:t>
      </w:r>
      <w:r w:rsidRPr="00EB2BD8">
        <w:rPr>
          <w:b/>
          <w:spacing w:val="-6"/>
        </w:rPr>
        <w:t>30</w:t>
      </w:r>
      <w:r w:rsidRPr="00EB2BD8">
        <w:rPr>
          <w:b/>
          <w:spacing w:val="-14"/>
        </w:rPr>
        <w:t xml:space="preserve"> </w:t>
      </w:r>
      <w:r w:rsidRPr="00EB2BD8">
        <w:rPr>
          <w:b/>
          <w:spacing w:val="-6"/>
        </w:rPr>
        <w:t>June</w:t>
      </w:r>
      <w:r w:rsidRPr="00EB2BD8">
        <w:rPr>
          <w:b/>
        </w:rPr>
        <w:tab/>
      </w:r>
      <w:r w:rsidRPr="00EB2BD8">
        <w:rPr>
          <w:b/>
          <w:spacing w:val="-7"/>
        </w:rPr>
        <w:t>17</w:t>
      </w:r>
      <w:r w:rsidRPr="00EB2BD8">
        <w:rPr>
          <w:b/>
        </w:rPr>
        <w:tab/>
      </w:r>
      <w:r w:rsidRPr="00EB2BD8">
        <w:rPr>
          <w:b/>
          <w:spacing w:val="-5"/>
        </w:rPr>
        <w:t>17</w:t>
      </w:r>
    </w:p>
    <w:p w14:paraId="057E364D" w14:textId="4DC62DA0" w:rsidR="00084F36" w:rsidRPr="00EB2BD8" w:rsidRDefault="00084F36">
      <w:pPr>
        <w:pStyle w:val="BodyText"/>
        <w:spacing w:before="2"/>
        <w:rPr>
          <w:b/>
          <w:sz w:val="4"/>
        </w:rPr>
      </w:pPr>
    </w:p>
    <w:p w14:paraId="55F5D142" w14:textId="77777777" w:rsidR="00084F36" w:rsidRPr="00EB2BD8" w:rsidRDefault="00084F36">
      <w:pPr>
        <w:rPr>
          <w:sz w:val="4"/>
        </w:rPr>
        <w:sectPr w:rsidR="00084F36" w:rsidRPr="00EB2BD8" w:rsidSect="006D75B2">
          <w:footerReference w:type="default" r:id="rId402"/>
          <w:pgSz w:w="11910" w:h="16840"/>
          <w:pgMar w:top="1100" w:right="0" w:bottom="700" w:left="0" w:header="0" w:footer="505" w:gutter="0"/>
          <w:cols w:space="720"/>
        </w:sectPr>
      </w:pPr>
    </w:p>
    <w:p w14:paraId="5269AE09" w14:textId="77777777" w:rsidR="00084F36" w:rsidRPr="00EB2BD8" w:rsidRDefault="00084F36">
      <w:pPr>
        <w:pStyle w:val="BodyText"/>
        <w:spacing w:before="2"/>
        <w:rPr>
          <w:b/>
          <w:sz w:val="20"/>
        </w:rPr>
      </w:pPr>
    </w:p>
    <w:p w14:paraId="3B46800A" w14:textId="77777777" w:rsidR="00084F36" w:rsidRPr="00EB2BD8" w:rsidRDefault="00EB2BD8" w:rsidP="003B3D54">
      <w:pPr>
        <w:pStyle w:val="Heading1"/>
      </w:pPr>
      <w:bookmarkStart w:id="432" w:name="_Toc150762734"/>
      <w:r w:rsidRPr="00EB2BD8">
        <w:t>Appendix</w:t>
      </w:r>
      <w:r w:rsidRPr="00EB2BD8">
        <w:rPr>
          <w:spacing w:val="-32"/>
        </w:rPr>
        <w:t xml:space="preserve"> </w:t>
      </w:r>
      <w:r w:rsidRPr="00EB2BD8">
        <w:rPr>
          <w:spacing w:val="-10"/>
        </w:rPr>
        <w:t>D</w:t>
      </w:r>
      <w:bookmarkEnd w:id="432"/>
    </w:p>
    <w:p w14:paraId="0DF4C384" w14:textId="77777777" w:rsidR="00697E0C" w:rsidRDefault="00697E0C" w:rsidP="00697E0C">
      <w:pPr>
        <w:pStyle w:val="Heading2"/>
        <w:rPr>
          <w:spacing w:val="-8"/>
        </w:rPr>
      </w:pPr>
    </w:p>
    <w:p w14:paraId="1AAAC146" w14:textId="50D81D9C" w:rsidR="00084F36" w:rsidRPr="00D0600F" w:rsidRDefault="00EB2BD8" w:rsidP="00D0600F">
      <w:pPr>
        <w:pStyle w:val="Heading2"/>
      </w:pPr>
      <w:bookmarkStart w:id="433" w:name="_Toc150762735"/>
      <w:r w:rsidRPr="00D0600F">
        <w:t>Prosecution and practitioner discipline outcomes</w:t>
      </w:r>
      <w:bookmarkEnd w:id="433"/>
    </w:p>
    <w:p w14:paraId="23C55267" w14:textId="77777777" w:rsidR="00084F36" w:rsidRPr="00EB2BD8" w:rsidRDefault="00084F36">
      <w:pPr>
        <w:pStyle w:val="BodyText"/>
        <w:rPr>
          <w:b/>
          <w:sz w:val="20"/>
        </w:rPr>
      </w:pPr>
    </w:p>
    <w:p w14:paraId="63F70731" w14:textId="77777777" w:rsidR="00084F36" w:rsidRPr="00EB2BD8" w:rsidRDefault="00084F36">
      <w:pPr>
        <w:pStyle w:val="BodyText"/>
        <w:rPr>
          <w:b/>
          <w:sz w:val="20"/>
        </w:rPr>
      </w:pPr>
    </w:p>
    <w:p w14:paraId="16DBD179" w14:textId="77777777" w:rsidR="00084F36" w:rsidRPr="00EB2BD8" w:rsidRDefault="00084F36">
      <w:pPr>
        <w:pStyle w:val="BodyText"/>
        <w:spacing w:before="6"/>
        <w:rPr>
          <w:b/>
          <w:sz w:val="19"/>
        </w:rPr>
      </w:pPr>
    </w:p>
    <w:p w14:paraId="09FFCD4D" w14:textId="77777777" w:rsidR="00084F36" w:rsidRPr="00EB2BD8" w:rsidRDefault="00EB2BD8">
      <w:pPr>
        <w:pStyle w:val="BodyText"/>
        <w:spacing w:before="95" w:line="261" w:lineRule="auto"/>
        <w:ind w:left="850" w:right="1068"/>
      </w:pPr>
      <w:r w:rsidRPr="00EB2BD8">
        <w:t>Prosecution hearings are usually open to members of the public. As such, the outcomes of these proceedings are a</w:t>
      </w:r>
      <w:r w:rsidRPr="00EB2BD8">
        <w:rPr>
          <w:spacing w:val="-10"/>
        </w:rPr>
        <w:t xml:space="preserve"> </w:t>
      </w:r>
      <w:r w:rsidRPr="00EB2BD8">
        <w:t>matter</w:t>
      </w:r>
      <w:r w:rsidRPr="00EB2BD8">
        <w:rPr>
          <w:spacing w:val="-10"/>
        </w:rPr>
        <w:t xml:space="preserve"> </w:t>
      </w:r>
      <w:r w:rsidRPr="00EB2BD8">
        <w:t>of</w:t>
      </w:r>
      <w:r w:rsidRPr="00EB2BD8">
        <w:rPr>
          <w:spacing w:val="-10"/>
        </w:rPr>
        <w:t xml:space="preserve"> </w:t>
      </w:r>
      <w:r w:rsidRPr="00EB2BD8">
        <w:t>public</w:t>
      </w:r>
      <w:r w:rsidRPr="00EB2BD8">
        <w:rPr>
          <w:spacing w:val="-10"/>
        </w:rPr>
        <w:t xml:space="preserve"> </w:t>
      </w:r>
      <w:r w:rsidRPr="00EB2BD8">
        <w:t>record</w:t>
      </w:r>
      <w:r w:rsidRPr="00EB2BD8">
        <w:rPr>
          <w:spacing w:val="-10"/>
        </w:rPr>
        <w:t xml:space="preserve"> </w:t>
      </w:r>
      <w:r w:rsidRPr="00EB2BD8">
        <w:t>in</w:t>
      </w:r>
      <w:r w:rsidRPr="00EB2BD8">
        <w:rPr>
          <w:spacing w:val="-10"/>
        </w:rPr>
        <w:t xml:space="preserve"> </w:t>
      </w:r>
      <w:r w:rsidRPr="00EB2BD8">
        <w:t>the</w:t>
      </w:r>
      <w:r w:rsidRPr="00EB2BD8">
        <w:rPr>
          <w:spacing w:val="-10"/>
        </w:rPr>
        <w:t xml:space="preserve"> </w:t>
      </w:r>
      <w:r w:rsidRPr="00EB2BD8">
        <w:t>absence</w:t>
      </w:r>
      <w:r w:rsidRPr="00EB2BD8">
        <w:rPr>
          <w:spacing w:val="-10"/>
        </w:rPr>
        <w:t xml:space="preserve"> </w:t>
      </w:r>
      <w:r w:rsidRPr="00EB2BD8">
        <w:t>of</w:t>
      </w:r>
      <w:r w:rsidRPr="00EB2BD8">
        <w:rPr>
          <w:spacing w:val="-10"/>
        </w:rPr>
        <w:t xml:space="preserve"> </w:t>
      </w:r>
      <w:r w:rsidRPr="00EB2BD8">
        <w:t>an</w:t>
      </w:r>
      <w:r w:rsidRPr="00EB2BD8">
        <w:rPr>
          <w:spacing w:val="-10"/>
        </w:rPr>
        <w:t xml:space="preserve"> </w:t>
      </w:r>
      <w:r w:rsidRPr="00EB2BD8">
        <w:t>order</w:t>
      </w:r>
      <w:r w:rsidRPr="00EB2BD8">
        <w:rPr>
          <w:spacing w:val="-10"/>
        </w:rPr>
        <w:t xml:space="preserve"> </w:t>
      </w:r>
      <w:r w:rsidRPr="00EB2BD8">
        <w:t>to</w:t>
      </w:r>
      <w:r w:rsidRPr="00EB2BD8">
        <w:rPr>
          <w:spacing w:val="-10"/>
        </w:rPr>
        <w:t xml:space="preserve"> </w:t>
      </w:r>
      <w:r w:rsidRPr="00EB2BD8">
        <w:t>the</w:t>
      </w:r>
      <w:r w:rsidRPr="00EB2BD8">
        <w:rPr>
          <w:spacing w:val="-10"/>
        </w:rPr>
        <w:t xml:space="preserve"> </w:t>
      </w:r>
      <w:r w:rsidRPr="00EB2BD8">
        <w:t>contrary.</w:t>
      </w:r>
      <w:r w:rsidRPr="00EB2BD8">
        <w:rPr>
          <w:spacing w:val="-10"/>
        </w:rPr>
        <w:t xml:space="preserve"> </w:t>
      </w:r>
      <w:r w:rsidRPr="00EB2BD8">
        <w:t>In</w:t>
      </w:r>
      <w:r w:rsidRPr="00EB2BD8">
        <w:rPr>
          <w:spacing w:val="-10"/>
        </w:rPr>
        <w:t xml:space="preserve"> </w:t>
      </w:r>
      <w:r w:rsidRPr="00EB2BD8">
        <w:t>addition,</w:t>
      </w:r>
      <w:r w:rsidRPr="00EB2BD8">
        <w:rPr>
          <w:spacing w:val="-10"/>
        </w:rPr>
        <w:t xml:space="preserve"> </w:t>
      </w:r>
      <w:r w:rsidRPr="00EB2BD8">
        <w:t>under</w:t>
      </w:r>
      <w:r w:rsidRPr="00EB2BD8">
        <w:rPr>
          <w:spacing w:val="-10"/>
        </w:rPr>
        <w:t xml:space="preserve"> </w:t>
      </w:r>
      <w:r w:rsidRPr="00EB2BD8">
        <w:t>section</w:t>
      </w:r>
      <w:r w:rsidRPr="00EB2BD8">
        <w:rPr>
          <w:spacing w:val="-10"/>
        </w:rPr>
        <w:t xml:space="preserve"> </w:t>
      </w:r>
      <w:r w:rsidRPr="00EB2BD8">
        <w:t>197(f)</w:t>
      </w:r>
      <w:r w:rsidRPr="00EB2BD8">
        <w:rPr>
          <w:spacing w:val="-10"/>
        </w:rPr>
        <w:t xml:space="preserve"> </w:t>
      </w:r>
      <w:r w:rsidRPr="00EB2BD8">
        <w:t>of</w:t>
      </w:r>
      <w:r w:rsidRPr="00EB2BD8">
        <w:rPr>
          <w:spacing w:val="-10"/>
        </w:rPr>
        <w:t xml:space="preserve"> </w:t>
      </w:r>
      <w:r w:rsidRPr="00EB2BD8">
        <w:t>the</w:t>
      </w:r>
      <w:r w:rsidRPr="00EB2BD8">
        <w:rPr>
          <w:spacing w:val="-10"/>
        </w:rPr>
        <w:t xml:space="preserve"> </w:t>
      </w:r>
      <w:r w:rsidRPr="00EB2BD8">
        <w:rPr>
          <w:i/>
        </w:rPr>
        <w:t>Building Act</w:t>
      </w:r>
      <w:r w:rsidRPr="00EB2BD8">
        <w:rPr>
          <w:i/>
          <w:spacing w:val="-3"/>
        </w:rPr>
        <w:t xml:space="preserve"> </w:t>
      </w:r>
      <w:r w:rsidRPr="00EB2BD8">
        <w:rPr>
          <w:i/>
        </w:rPr>
        <w:t>1993</w:t>
      </w:r>
      <w:r w:rsidRPr="00EB2BD8">
        <w:t>,</w:t>
      </w:r>
      <w:r w:rsidRPr="00EB2BD8">
        <w:rPr>
          <w:spacing w:val="-3"/>
        </w:rPr>
        <w:t xml:space="preserve"> </w:t>
      </w:r>
      <w:r w:rsidRPr="00EB2BD8">
        <w:t>one</w:t>
      </w:r>
      <w:r w:rsidRPr="00EB2BD8">
        <w:rPr>
          <w:spacing w:val="-3"/>
        </w:rPr>
        <w:t xml:space="preserve"> </w:t>
      </w:r>
      <w:r w:rsidRPr="00EB2BD8">
        <w:t>of</w:t>
      </w:r>
      <w:r w:rsidRPr="00EB2BD8">
        <w:rPr>
          <w:spacing w:val="-3"/>
        </w:rPr>
        <w:t xml:space="preserve"> </w:t>
      </w:r>
      <w:r w:rsidRPr="00EB2BD8">
        <w:t>the</w:t>
      </w:r>
      <w:r w:rsidRPr="00EB2BD8">
        <w:rPr>
          <w:spacing w:val="-3"/>
        </w:rPr>
        <w:t xml:space="preserve"> </w:t>
      </w:r>
      <w:r w:rsidRPr="00EB2BD8">
        <w:t>functions</w:t>
      </w:r>
      <w:r w:rsidRPr="00EB2BD8">
        <w:rPr>
          <w:spacing w:val="-3"/>
        </w:rPr>
        <w:t xml:space="preserve"> </w:t>
      </w:r>
      <w:r w:rsidRPr="00EB2BD8">
        <w:t>of</w:t>
      </w:r>
      <w:r w:rsidRPr="00EB2BD8">
        <w:rPr>
          <w:spacing w:val="-3"/>
        </w:rPr>
        <w:t xml:space="preserve"> </w:t>
      </w:r>
      <w:r w:rsidRPr="00EB2BD8">
        <w:t>the</w:t>
      </w:r>
      <w:r w:rsidRPr="00EB2BD8">
        <w:rPr>
          <w:spacing w:val="-3"/>
        </w:rPr>
        <w:t xml:space="preserve"> </w:t>
      </w:r>
      <w:r w:rsidRPr="00EB2BD8">
        <w:t>VBA</w:t>
      </w:r>
      <w:r w:rsidRPr="00EB2BD8">
        <w:rPr>
          <w:spacing w:val="-3"/>
        </w:rPr>
        <w:t xml:space="preserve"> </w:t>
      </w:r>
      <w:r w:rsidRPr="00EB2BD8">
        <w:t>is</w:t>
      </w:r>
      <w:r w:rsidRPr="00EB2BD8">
        <w:rPr>
          <w:spacing w:val="-3"/>
        </w:rPr>
        <w:t xml:space="preserve"> </w:t>
      </w:r>
      <w:r w:rsidRPr="00EB2BD8">
        <w:t>to</w:t>
      </w:r>
      <w:r w:rsidRPr="00EB2BD8">
        <w:rPr>
          <w:spacing w:val="-3"/>
        </w:rPr>
        <w:t xml:space="preserve"> </w:t>
      </w:r>
      <w:r w:rsidRPr="00EB2BD8">
        <w:t>provide</w:t>
      </w:r>
      <w:r w:rsidRPr="00EB2BD8">
        <w:rPr>
          <w:spacing w:val="-3"/>
        </w:rPr>
        <w:t xml:space="preserve"> </w:t>
      </w:r>
      <w:r w:rsidRPr="00EB2BD8">
        <w:t>information</w:t>
      </w:r>
      <w:r w:rsidRPr="00EB2BD8">
        <w:rPr>
          <w:spacing w:val="-3"/>
        </w:rPr>
        <w:t xml:space="preserve"> </w:t>
      </w:r>
      <w:r w:rsidRPr="00EB2BD8">
        <w:t>to</w:t>
      </w:r>
      <w:r w:rsidRPr="00EB2BD8">
        <w:rPr>
          <w:spacing w:val="-3"/>
        </w:rPr>
        <w:t xml:space="preserve"> </w:t>
      </w:r>
      <w:r w:rsidRPr="00EB2BD8">
        <w:t>consumers</w:t>
      </w:r>
      <w:r w:rsidRPr="00EB2BD8">
        <w:rPr>
          <w:spacing w:val="-3"/>
        </w:rPr>
        <w:t xml:space="preserve"> </w:t>
      </w:r>
      <w:r w:rsidRPr="00EB2BD8">
        <w:t>on</w:t>
      </w:r>
      <w:r w:rsidRPr="00EB2BD8">
        <w:rPr>
          <w:spacing w:val="-3"/>
        </w:rPr>
        <w:t xml:space="preserve"> </w:t>
      </w:r>
      <w:r w:rsidRPr="00EB2BD8">
        <w:t>building</w:t>
      </w:r>
      <w:r w:rsidRPr="00EB2BD8">
        <w:rPr>
          <w:spacing w:val="-3"/>
        </w:rPr>
        <w:t xml:space="preserve"> </w:t>
      </w:r>
      <w:r w:rsidRPr="00EB2BD8">
        <w:t>practitioners</w:t>
      </w:r>
      <w:r w:rsidRPr="00EB2BD8">
        <w:rPr>
          <w:spacing w:val="-3"/>
        </w:rPr>
        <w:t xml:space="preserve"> </w:t>
      </w:r>
      <w:r w:rsidRPr="00EB2BD8">
        <w:t>and</w:t>
      </w:r>
    </w:p>
    <w:p w14:paraId="3573BB3F" w14:textId="77777777" w:rsidR="00084F36" w:rsidRPr="00EB2BD8" w:rsidRDefault="00EB2BD8">
      <w:pPr>
        <w:pStyle w:val="BodyText"/>
        <w:spacing w:line="261" w:lineRule="auto"/>
        <w:ind w:left="850" w:right="858"/>
      </w:pPr>
      <w:r w:rsidRPr="00EB2BD8">
        <w:t>plumbers.</w:t>
      </w:r>
      <w:r w:rsidRPr="00EB2BD8">
        <w:rPr>
          <w:spacing w:val="-3"/>
        </w:rPr>
        <w:t xml:space="preserve"> </w:t>
      </w:r>
      <w:r w:rsidRPr="00EB2BD8">
        <w:t>To</w:t>
      </w:r>
      <w:r w:rsidRPr="00EB2BD8">
        <w:rPr>
          <w:spacing w:val="-3"/>
        </w:rPr>
        <w:t xml:space="preserve"> </w:t>
      </w:r>
      <w:r w:rsidRPr="00EB2BD8">
        <w:t>enable</w:t>
      </w:r>
      <w:r w:rsidRPr="00EB2BD8">
        <w:rPr>
          <w:spacing w:val="-3"/>
        </w:rPr>
        <w:t xml:space="preserve"> </w:t>
      </w:r>
      <w:r w:rsidRPr="00EB2BD8">
        <w:t>consumers</w:t>
      </w:r>
      <w:r w:rsidRPr="00EB2BD8">
        <w:rPr>
          <w:spacing w:val="-3"/>
        </w:rPr>
        <w:t xml:space="preserve"> </w:t>
      </w:r>
      <w:r w:rsidRPr="00EB2BD8">
        <w:t>to</w:t>
      </w:r>
      <w:r w:rsidRPr="00EB2BD8">
        <w:rPr>
          <w:spacing w:val="-3"/>
        </w:rPr>
        <w:t xml:space="preserve"> </w:t>
      </w:r>
      <w:r w:rsidRPr="00EB2BD8">
        <w:t>make</w:t>
      </w:r>
      <w:r w:rsidRPr="00EB2BD8">
        <w:rPr>
          <w:spacing w:val="-3"/>
        </w:rPr>
        <w:t xml:space="preserve"> </w:t>
      </w:r>
      <w:r w:rsidRPr="00EB2BD8">
        <w:t>informed</w:t>
      </w:r>
      <w:r w:rsidRPr="00EB2BD8">
        <w:rPr>
          <w:spacing w:val="-3"/>
        </w:rPr>
        <w:t xml:space="preserve"> </w:t>
      </w:r>
      <w:r w:rsidRPr="00EB2BD8">
        <w:t>choices</w:t>
      </w:r>
      <w:r w:rsidRPr="00EB2BD8">
        <w:rPr>
          <w:spacing w:val="-3"/>
        </w:rPr>
        <w:t xml:space="preserve"> </w:t>
      </w:r>
      <w:r w:rsidRPr="00EB2BD8">
        <w:t>when</w:t>
      </w:r>
      <w:r w:rsidRPr="00EB2BD8">
        <w:rPr>
          <w:spacing w:val="-3"/>
        </w:rPr>
        <w:t xml:space="preserve"> </w:t>
      </w:r>
      <w:r w:rsidRPr="00EB2BD8">
        <w:t>engaging</w:t>
      </w:r>
      <w:r w:rsidRPr="00EB2BD8">
        <w:rPr>
          <w:spacing w:val="-3"/>
        </w:rPr>
        <w:t xml:space="preserve"> </w:t>
      </w:r>
      <w:r w:rsidRPr="00EB2BD8">
        <w:t>building</w:t>
      </w:r>
      <w:r w:rsidRPr="00EB2BD8">
        <w:rPr>
          <w:spacing w:val="-3"/>
        </w:rPr>
        <w:t xml:space="preserve"> </w:t>
      </w:r>
      <w:r w:rsidRPr="00EB2BD8">
        <w:t>and</w:t>
      </w:r>
      <w:r w:rsidRPr="00EB2BD8">
        <w:rPr>
          <w:spacing w:val="-3"/>
        </w:rPr>
        <w:t xml:space="preserve"> </w:t>
      </w:r>
      <w:r w:rsidRPr="00EB2BD8">
        <w:t>plumbing</w:t>
      </w:r>
      <w:r w:rsidRPr="00EB2BD8">
        <w:rPr>
          <w:spacing w:val="-3"/>
        </w:rPr>
        <w:t xml:space="preserve"> </w:t>
      </w:r>
      <w:r w:rsidRPr="00EB2BD8">
        <w:t>practitioners,</w:t>
      </w:r>
      <w:r w:rsidRPr="00EB2BD8">
        <w:rPr>
          <w:spacing w:val="-3"/>
        </w:rPr>
        <w:t xml:space="preserve"> </w:t>
      </w:r>
      <w:r w:rsidRPr="00EB2BD8">
        <w:t>the VBA</w:t>
      </w:r>
      <w:r w:rsidRPr="00EB2BD8">
        <w:rPr>
          <w:spacing w:val="-7"/>
        </w:rPr>
        <w:t xml:space="preserve"> </w:t>
      </w:r>
      <w:r w:rsidRPr="00EB2BD8">
        <w:t>publishes</w:t>
      </w:r>
      <w:r w:rsidRPr="00EB2BD8">
        <w:rPr>
          <w:spacing w:val="-7"/>
        </w:rPr>
        <w:t xml:space="preserve"> </w:t>
      </w:r>
      <w:r w:rsidRPr="00EB2BD8">
        <w:t>the</w:t>
      </w:r>
      <w:r w:rsidRPr="00EB2BD8">
        <w:rPr>
          <w:spacing w:val="-7"/>
        </w:rPr>
        <w:t xml:space="preserve"> </w:t>
      </w:r>
      <w:r w:rsidRPr="00EB2BD8">
        <w:t>outcomes</w:t>
      </w:r>
      <w:r w:rsidRPr="00EB2BD8">
        <w:rPr>
          <w:spacing w:val="-7"/>
        </w:rPr>
        <w:t xml:space="preserve"> </w:t>
      </w:r>
      <w:r w:rsidRPr="00EB2BD8">
        <w:t>of</w:t>
      </w:r>
      <w:r w:rsidRPr="00EB2BD8">
        <w:rPr>
          <w:spacing w:val="-7"/>
        </w:rPr>
        <w:t xml:space="preserve"> </w:t>
      </w:r>
      <w:r w:rsidRPr="00EB2BD8">
        <w:t>prosecutions</w:t>
      </w:r>
      <w:r w:rsidRPr="00EB2BD8">
        <w:rPr>
          <w:spacing w:val="-7"/>
        </w:rPr>
        <w:t xml:space="preserve"> </w:t>
      </w:r>
      <w:r w:rsidRPr="00EB2BD8">
        <w:t>and</w:t>
      </w:r>
      <w:r w:rsidRPr="00EB2BD8">
        <w:rPr>
          <w:spacing w:val="-7"/>
        </w:rPr>
        <w:t xml:space="preserve"> </w:t>
      </w:r>
      <w:r w:rsidRPr="00EB2BD8">
        <w:t>disciplinary</w:t>
      </w:r>
      <w:r w:rsidRPr="00EB2BD8">
        <w:rPr>
          <w:spacing w:val="-7"/>
        </w:rPr>
        <w:t xml:space="preserve"> </w:t>
      </w:r>
      <w:r w:rsidRPr="00EB2BD8">
        <w:t>proceedings</w:t>
      </w:r>
      <w:r w:rsidRPr="00EB2BD8">
        <w:rPr>
          <w:spacing w:val="-7"/>
        </w:rPr>
        <w:t xml:space="preserve"> </w:t>
      </w:r>
      <w:r w:rsidRPr="00EB2BD8">
        <w:t>on</w:t>
      </w:r>
      <w:r w:rsidRPr="00EB2BD8">
        <w:rPr>
          <w:spacing w:val="-7"/>
        </w:rPr>
        <w:t xml:space="preserve"> </w:t>
      </w:r>
      <w:r w:rsidRPr="00EB2BD8">
        <w:t>its</w:t>
      </w:r>
      <w:r w:rsidRPr="00EB2BD8">
        <w:rPr>
          <w:spacing w:val="-7"/>
        </w:rPr>
        <w:t xml:space="preserve"> </w:t>
      </w:r>
      <w:r w:rsidRPr="00EB2BD8">
        <w:t>website,</w:t>
      </w:r>
      <w:r w:rsidRPr="00EB2BD8">
        <w:rPr>
          <w:spacing w:val="-7"/>
        </w:rPr>
        <w:t xml:space="preserve"> </w:t>
      </w:r>
      <w:r w:rsidRPr="00EB2BD8">
        <w:t>including</w:t>
      </w:r>
      <w:r w:rsidRPr="00EB2BD8">
        <w:rPr>
          <w:spacing w:val="-7"/>
        </w:rPr>
        <w:t xml:space="preserve"> </w:t>
      </w:r>
      <w:r w:rsidRPr="00EB2BD8">
        <w:t>a</w:t>
      </w:r>
      <w:r w:rsidRPr="00EB2BD8">
        <w:rPr>
          <w:spacing w:val="-7"/>
        </w:rPr>
        <w:t xml:space="preserve"> </w:t>
      </w:r>
      <w:r w:rsidRPr="00EB2BD8">
        <w:t>summary</w:t>
      </w:r>
      <w:r w:rsidRPr="00EB2BD8">
        <w:rPr>
          <w:spacing w:val="-7"/>
        </w:rPr>
        <w:t xml:space="preserve"> </w:t>
      </w:r>
      <w:r w:rsidRPr="00EB2BD8">
        <w:t>of</w:t>
      </w:r>
      <w:r w:rsidRPr="00EB2BD8">
        <w:rPr>
          <w:spacing w:val="-7"/>
        </w:rPr>
        <w:t xml:space="preserve"> </w:t>
      </w:r>
      <w:r w:rsidRPr="00EB2BD8">
        <w:t>its prosecution and disciplinary outcomes for financial year 2021–22.</w:t>
      </w:r>
    </w:p>
    <w:p w14:paraId="33E3232C" w14:textId="77777777" w:rsidR="00084F36" w:rsidRPr="00EB2BD8" w:rsidRDefault="00EB2BD8">
      <w:pPr>
        <w:pStyle w:val="BodyText"/>
        <w:spacing w:before="107" w:line="261" w:lineRule="auto"/>
        <w:ind w:left="850" w:right="1155"/>
      </w:pPr>
      <w:r w:rsidRPr="00EB2BD8">
        <w:t>The</w:t>
      </w:r>
      <w:r w:rsidRPr="00EB2BD8">
        <w:rPr>
          <w:spacing w:val="-9"/>
        </w:rPr>
        <w:t xml:space="preserve"> </w:t>
      </w:r>
      <w:r w:rsidRPr="00EB2BD8">
        <w:t>information</w:t>
      </w:r>
      <w:r w:rsidRPr="00EB2BD8">
        <w:rPr>
          <w:spacing w:val="-9"/>
        </w:rPr>
        <w:t xml:space="preserve"> </w:t>
      </w:r>
      <w:r w:rsidRPr="00EB2BD8">
        <w:t>contained</w:t>
      </w:r>
      <w:r w:rsidRPr="00EB2BD8">
        <w:rPr>
          <w:spacing w:val="-9"/>
        </w:rPr>
        <w:t xml:space="preserve"> </w:t>
      </w:r>
      <w:r w:rsidRPr="00EB2BD8">
        <w:t>in</w:t>
      </w:r>
      <w:r w:rsidRPr="00EB2BD8">
        <w:rPr>
          <w:spacing w:val="-9"/>
        </w:rPr>
        <w:t xml:space="preserve"> </w:t>
      </w:r>
      <w:r w:rsidRPr="00EB2BD8">
        <w:t>this</w:t>
      </w:r>
      <w:r w:rsidRPr="00EB2BD8">
        <w:rPr>
          <w:spacing w:val="-9"/>
        </w:rPr>
        <w:t xml:space="preserve"> </w:t>
      </w:r>
      <w:r w:rsidRPr="00EB2BD8">
        <w:t>Appendix</w:t>
      </w:r>
      <w:r w:rsidRPr="00EB2BD8">
        <w:rPr>
          <w:spacing w:val="-9"/>
        </w:rPr>
        <w:t xml:space="preserve"> </w:t>
      </w:r>
      <w:r w:rsidRPr="00EB2BD8">
        <w:t>C</w:t>
      </w:r>
      <w:r w:rsidRPr="00EB2BD8">
        <w:rPr>
          <w:spacing w:val="-9"/>
        </w:rPr>
        <w:t xml:space="preserve"> </w:t>
      </w:r>
      <w:r w:rsidRPr="00EB2BD8">
        <w:t>is</w:t>
      </w:r>
      <w:r w:rsidRPr="00EB2BD8">
        <w:rPr>
          <w:spacing w:val="-9"/>
        </w:rPr>
        <w:t xml:space="preserve"> </w:t>
      </w:r>
      <w:r w:rsidRPr="00EB2BD8">
        <w:t>current</w:t>
      </w:r>
      <w:r w:rsidRPr="00EB2BD8">
        <w:rPr>
          <w:spacing w:val="-9"/>
        </w:rPr>
        <w:t xml:space="preserve"> </w:t>
      </w:r>
      <w:r w:rsidRPr="00EB2BD8">
        <w:t>as</w:t>
      </w:r>
      <w:r w:rsidRPr="00EB2BD8">
        <w:rPr>
          <w:spacing w:val="-9"/>
        </w:rPr>
        <w:t xml:space="preserve"> </w:t>
      </w:r>
      <w:r w:rsidRPr="00EB2BD8">
        <w:t>at</w:t>
      </w:r>
      <w:r w:rsidRPr="00EB2BD8">
        <w:rPr>
          <w:spacing w:val="-9"/>
        </w:rPr>
        <w:t xml:space="preserve"> </w:t>
      </w:r>
      <w:r w:rsidRPr="00EB2BD8">
        <w:t>30</w:t>
      </w:r>
      <w:r w:rsidRPr="00EB2BD8">
        <w:rPr>
          <w:spacing w:val="-9"/>
        </w:rPr>
        <w:t xml:space="preserve"> </w:t>
      </w:r>
      <w:r w:rsidRPr="00EB2BD8">
        <w:t>June</w:t>
      </w:r>
      <w:r w:rsidRPr="00EB2BD8">
        <w:rPr>
          <w:spacing w:val="-9"/>
        </w:rPr>
        <w:t xml:space="preserve"> </w:t>
      </w:r>
      <w:r w:rsidRPr="00EB2BD8">
        <w:t>2023.</w:t>
      </w:r>
      <w:r w:rsidRPr="00EB2BD8">
        <w:rPr>
          <w:spacing w:val="-7"/>
        </w:rPr>
        <w:t xml:space="preserve"> </w:t>
      </w:r>
      <w:r w:rsidRPr="00EB2BD8">
        <w:t>A</w:t>
      </w:r>
      <w:r w:rsidRPr="00EB2BD8">
        <w:rPr>
          <w:spacing w:val="-7"/>
        </w:rPr>
        <w:t xml:space="preserve"> </w:t>
      </w:r>
      <w:r w:rsidRPr="00EB2BD8">
        <w:t>sanction</w:t>
      </w:r>
      <w:r w:rsidRPr="00EB2BD8">
        <w:rPr>
          <w:spacing w:val="-7"/>
        </w:rPr>
        <w:t xml:space="preserve"> </w:t>
      </w:r>
      <w:r w:rsidRPr="00EB2BD8">
        <w:t>imposed</w:t>
      </w:r>
      <w:r w:rsidRPr="00EB2BD8">
        <w:rPr>
          <w:spacing w:val="-7"/>
        </w:rPr>
        <w:t xml:space="preserve"> </w:t>
      </w:r>
      <w:r w:rsidRPr="00EB2BD8">
        <w:t>following prosecution or disciplinary proceedings may be subject to review and conditions.</w:t>
      </w:r>
    </w:p>
    <w:p w14:paraId="2BC92D2C" w14:textId="77777777" w:rsidR="00084F36" w:rsidRPr="00EB2BD8" w:rsidRDefault="00EB2BD8">
      <w:pPr>
        <w:pStyle w:val="BodyText"/>
        <w:spacing w:before="111"/>
        <w:ind w:left="850"/>
      </w:pPr>
      <w:r w:rsidRPr="00EB2BD8">
        <w:t>For</w:t>
      </w:r>
      <w:r w:rsidRPr="00EB2BD8">
        <w:rPr>
          <w:spacing w:val="-5"/>
        </w:rPr>
        <w:t xml:space="preserve"> </w:t>
      </w:r>
      <w:r w:rsidRPr="00EB2BD8">
        <w:t>full</w:t>
      </w:r>
      <w:r w:rsidRPr="00EB2BD8">
        <w:rPr>
          <w:spacing w:val="-4"/>
        </w:rPr>
        <w:t xml:space="preserve"> </w:t>
      </w:r>
      <w:r w:rsidRPr="00EB2BD8">
        <w:t>details</w:t>
      </w:r>
      <w:r w:rsidRPr="00EB2BD8">
        <w:rPr>
          <w:spacing w:val="-5"/>
        </w:rPr>
        <w:t xml:space="preserve"> </w:t>
      </w:r>
      <w:r w:rsidRPr="00EB2BD8">
        <w:t>and</w:t>
      </w:r>
      <w:r w:rsidRPr="00EB2BD8">
        <w:rPr>
          <w:spacing w:val="-4"/>
        </w:rPr>
        <w:t xml:space="preserve"> </w:t>
      </w:r>
      <w:r w:rsidRPr="00EB2BD8">
        <w:t>the</w:t>
      </w:r>
      <w:r w:rsidRPr="00EB2BD8">
        <w:rPr>
          <w:spacing w:val="-4"/>
        </w:rPr>
        <w:t xml:space="preserve"> </w:t>
      </w:r>
      <w:r w:rsidRPr="00EB2BD8">
        <w:t>current</w:t>
      </w:r>
      <w:r w:rsidRPr="00EB2BD8">
        <w:rPr>
          <w:spacing w:val="-5"/>
        </w:rPr>
        <w:t xml:space="preserve"> </w:t>
      </w:r>
      <w:r w:rsidRPr="00EB2BD8">
        <w:t>status</w:t>
      </w:r>
      <w:r w:rsidRPr="00EB2BD8">
        <w:rPr>
          <w:spacing w:val="-4"/>
        </w:rPr>
        <w:t xml:space="preserve"> </w:t>
      </w:r>
      <w:r w:rsidRPr="00EB2BD8">
        <w:t>of</w:t>
      </w:r>
      <w:r w:rsidRPr="00EB2BD8">
        <w:rPr>
          <w:spacing w:val="-4"/>
        </w:rPr>
        <w:t xml:space="preserve"> </w:t>
      </w:r>
      <w:r w:rsidRPr="00EB2BD8">
        <w:t>sanctions,</w:t>
      </w:r>
      <w:r w:rsidRPr="00EB2BD8">
        <w:rPr>
          <w:spacing w:val="-5"/>
        </w:rPr>
        <w:t xml:space="preserve"> </w:t>
      </w:r>
      <w:r w:rsidRPr="00EB2BD8">
        <w:t>please</w:t>
      </w:r>
      <w:r w:rsidRPr="00EB2BD8">
        <w:rPr>
          <w:spacing w:val="-4"/>
        </w:rPr>
        <w:t xml:space="preserve"> </w:t>
      </w:r>
      <w:r w:rsidRPr="00EB2BD8">
        <w:t>refer</w:t>
      </w:r>
      <w:r w:rsidRPr="00EB2BD8">
        <w:rPr>
          <w:spacing w:val="-4"/>
        </w:rPr>
        <w:t xml:space="preserve"> </w:t>
      </w:r>
      <w:r w:rsidRPr="00EB2BD8">
        <w:t>to</w:t>
      </w:r>
      <w:r w:rsidRPr="00EB2BD8">
        <w:rPr>
          <w:spacing w:val="-5"/>
        </w:rPr>
        <w:t xml:space="preserve"> </w:t>
      </w:r>
      <w:r w:rsidRPr="00EB2BD8">
        <w:t>the</w:t>
      </w:r>
      <w:r w:rsidRPr="00EB2BD8">
        <w:rPr>
          <w:spacing w:val="-4"/>
        </w:rPr>
        <w:t xml:space="preserve"> </w:t>
      </w:r>
      <w:r w:rsidRPr="00EB2BD8">
        <w:t>VBA</w:t>
      </w:r>
      <w:r w:rsidRPr="00EB2BD8">
        <w:rPr>
          <w:spacing w:val="-4"/>
        </w:rPr>
        <w:t xml:space="preserve"> </w:t>
      </w:r>
      <w:r w:rsidRPr="00EB2BD8">
        <w:rPr>
          <w:spacing w:val="-2"/>
        </w:rPr>
        <w:t>website</w:t>
      </w:r>
    </w:p>
    <w:p w14:paraId="5FD6B0D2" w14:textId="77777777" w:rsidR="00084F36" w:rsidRPr="00EB2BD8" w:rsidRDefault="00084F36">
      <w:pPr>
        <w:sectPr w:rsidR="00084F36" w:rsidRPr="00EB2BD8" w:rsidSect="006D75B2">
          <w:footerReference w:type="default" r:id="rId403"/>
          <w:pgSz w:w="11910" w:h="16840"/>
          <w:pgMar w:top="1080" w:right="0" w:bottom="720" w:left="0" w:header="0" w:footer="515" w:gutter="0"/>
          <w:cols w:space="720"/>
        </w:sectPr>
      </w:pPr>
    </w:p>
    <w:p w14:paraId="4A4A5F33" w14:textId="77777777" w:rsidR="00084F36" w:rsidRPr="00EB2BD8" w:rsidRDefault="00084F36">
      <w:pPr>
        <w:pStyle w:val="BodyText"/>
        <w:rPr>
          <w:sz w:val="20"/>
        </w:rPr>
      </w:pPr>
    </w:p>
    <w:p w14:paraId="1B4C535D" w14:textId="77777777" w:rsidR="00084F36" w:rsidRPr="00EB2BD8" w:rsidRDefault="00084F36">
      <w:pPr>
        <w:pStyle w:val="BodyText"/>
        <w:rPr>
          <w:sz w:val="20"/>
        </w:rPr>
      </w:pPr>
    </w:p>
    <w:p w14:paraId="5A26DCEB" w14:textId="77777777" w:rsidR="00084F36" w:rsidRPr="00EB2BD8" w:rsidRDefault="00084F36">
      <w:pPr>
        <w:pStyle w:val="BodyText"/>
        <w:rPr>
          <w:sz w:val="20"/>
        </w:rPr>
      </w:pPr>
    </w:p>
    <w:p w14:paraId="1FF5FDD0" w14:textId="77777777" w:rsidR="00084F36" w:rsidRPr="00EB2BD8" w:rsidRDefault="00084F36">
      <w:pPr>
        <w:pStyle w:val="BodyText"/>
        <w:rPr>
          <w:sz w:val="19"/>
        </w:rPr>
      </w:pPr>
    </w:p>
    <w:p w14:paraId="3B16D141" w14:textId="77777777" w:rsidR="00084F36" w:rsidRPr="00EB2BD8" w:rsidRDefault="00EB2BD8" w:rsidP="00697E0C">
      <w:pPr>
        <w:pStyle w:val="Heading3"/>
      </w:pPr>
      <w:bookmarkStart w:id="434" w:name="_Toc150762736"/>
      <w:r w:rsidRPr="00EB2BD8">
        <w:t>Table</w:t>
      </w:r>
      <w:r w:rsidRPr="00EB2BD8">
        <w:rPr>
          <w:spacing w:val="-10"/>
        </w:rPr>
        <w:t xml:space="preserve"> </w:t>
      </w:r>
      <w:r w:rsidRPr="00EB2BD8">
        <w:t>24:</w:t>
      </w:r>
      <w:r w:rsidRPr="00EB2BD8">
        <w:rPr>
          <w:spacing w:val="-10"/>
        </w:rPr>
        <w:t xml:space="preserve"> </w:t>
      </w:r>
      <w:r w:rsidRPr="00EB2BD8">
        <w:t>Building</w:t>
      </w:r>
      <w:r w:rsidRPr="00EB2BD8">
        <w:rPr>
          <w:spacing w:val="-10"/>
        </w:rPr>
        <w:t xml:space="preserve"> </w:t>
      </w:r>
      <w:r w:rsidRPr="00EB2BD8">
        <w:t>Practitioner</w:t>
      </w:r>
      <w:r w:rsidRPr="00EB2BD8">
        <w:rPr>
          <w:spacing w:val="-10"/>
        </w:rPr>
        <w:t xml:space="preserve"> </w:t>
      </w:r>
      <w:r w:rsidRPr="00EB2BD8">
        <w:t>Discipline</w:t>
      </w:r>
      <w:r w:rsidRPr="00EB2BD8">
        <w:rPr>
          <w:spacing w:val="-9"/>
        </w:rPr>
        <w:t xml:space="preserve"> </w:t>
      </w:r>
      <w:r w:rsidRPr="00EB2BD8">
        <w:t>outcomes</w:t>
      </w:r>
      <w:r w:rsidRPr="00EB2BD8">
        <w:rPr>
          <w:spacing w:val="-10"/>
        </w:rPr>
        <w:t xml:space="preserve"> </w:t>
      </w:r>
      <w:r w:rsidRPr="00EB2BD8">
        <w:rPr>
          <w:spacing w:val="-2"/>
        </w:rPr>
        <w:t>(Individuals)</w:t>
      </w:r>
      <w:bookmarkEnd w:id="434"/>
    </w:p>
    <w:p w14:paraId="75668965" w14:textId="77777777" w:rsidR="00084F36" w:rsidRPr="00EB2BD8" w:rsidRDefault="00084F36">
      <w:pPr>
        <w:pStyle w:val="BodyText"/>
        <w:spacing w:before="6"/>
        <w:rPr>
          <w:sz w:val="20"/>
        </w:rPr>
      </w:pPr>
    </w:p>
    <w:tbl>
      <w:tblPr>
        <w:tblW w:w="0" w:type="auto"/>
        <w:tblInd w:w="857" w:type="dxa"/>
        <w:tblLayout w:type="fixed"/>
        <w:tblCellMar>
          <w:left w:w="0" w:type="dxa"/>
          <w:right w:w="0" w:type="dxa"/>
        </w:tblCellMar>
        <w:tblLook w:val="01E0" w:firstRow="1" w:lastRow="1" w:firstColumn="1" w:lastColumn="1" w:noHBand="0" w:noVBand="0"/>
      </w:tblPr>
      <w:tblGrid>
        <w:gridCol w:w="1705"/>
        <w:gridCol w:w="1464"/>
        <w:gridCol w:w="2498"/>
        <w:gridCol w:w="2277"/>
        <w:gridCol w:w="1079"/>
        <w:gridCol w:w="1175"/>
      </w:tblGrid>
      <w:tr w:rsidR="00EB2BD8" w:rsidRPr="00EB2BD8" w14:paraId="4CE44337" w14:textId="77777777">
        <w:trPr>
          <w:trHeight w:val="616"/>
        </w:trPr>
        <w:tc>
          <w:tcPr>
            <w:tcW w:w="1705" w:type="dxa"/>
            <w:shd w:val="clear" w:color="auto" w:fill="005F83"/>
          </w:tcPr>
          <w:p w14:paraId="79B1DF46" w14:textId="77777777" w:rsidR="00084F36" w:rsidRPr="00697E0C" w:rsidRDefault="00EB2BD8">
            <w:pPr>
              <w:pStyle w:val="TableParagraph"/>
              <w:spacing w:before="118"/>
              <w:ind w:left="113"/>
              <w:rPr>
                <w:color w:val="FFFFFF" w:themeColor="background1"/>
                <w:sz w:val="16"/>
              </w:rPr>
            </w:pPr>
            <w:r w:rsidRPr="00697E0C">
              <w:rPr>
                <w:color w:val="FFFFFF" w:themeColor="background1"/>
                <w:w w:val="105"/>
                <w:sz w:val="16"/>
              </w:rPr>
              <w:t>Practitioner</w:t>
            </w:r>
            <w:r w:rsidRPr="00697E0C">
              <w:rPr>
                <w:color w:val="FFFFFF" w:themeColor="background1"/>
                <w:spacing w:val="-14"/>
                <w:w w:val="105"/>
                <w:sz w:val="16"/>
              </w:rPr>
              <w:t xml:space="preserve"> </w:t>
            </w:r>
            <w:r w:rsidRPr="00697E0C">
              <w:rPr>
                <w:color w:val="FFFFFF" w:themeColor="background1"/>
                <w:spacing w:val="-4"/>
                <w:w w:val="105"/>
                <w:sz w:val="16"/>
              </w:rPr>
              <w:t>name</w:t>
            </w:r>
          </w:p>
        </w:tc>
        <w:tc>
          <w:tcPr>
            <w:tcW w:w="1464" w:type="dxa"/>
            <w:shd w:val="clear" w:color="auto" w:fill="005F83"/>
          </w:tcPr>
          <w:p w14:paraId="37CF7CBD" w14:textId="77777777" w:rsidR="00084F36" w:rsidRPr="00697E0C" w:rsidRDefault="00EB2BD8">
            <w:pPr>
              <w:pStyle w:val="TableParagraph"/>
              <w:spacing w:before="118" w:line="292" w:lineRule="auto"/>
              <w:ind w:left="165"/>
              <w:rPr>
                <w:color w:val="FFFFFF" w:themeColor="background1"/>
                <w:sz w:val="16"/>
              </w:rPr>
            </w:pPr>
            <w:r w:rsidRPr="00697E0C">
              <w:rPr>
                <w:color w:val="FFFFFF" w:themeColor="background1"/>
                <w:spacing w:val="-2"/>
                <w:sz w:val="16"/>
              </w:rPr>
              <w:t xml:space="preserve">Registration </w:t>
            </w:r>
            <w:r w:rsidRPr="00697E0C">
              <w:rPr>
                <w:color w:val="FFFFFF" w:themeColor="background1"/>
                <w:spacing w:val="-2"/>
                <w:w w:val="105"/>
                <w:sz w:val="16"/>
              </w:rPr>
              <w:t>Number</w:t>
            </w:r>
          </w:p>
        </w:tc>
        <w:tc>
          <w:tcPr>
            <w:tcW w:w="2498" w:type="dxa"/>
            <w:shd w:val="clear" w:color="auto" w:fill="005F83"/>
          </w:tcPr>
          <w:p w14:paraId="2DF11F53" w14:textId="77777777" w:rsidR="00084F36" w:rsidRPr="00697E0C" w:rsidRDefault="00EB2BD8">
            <w:pPr>
              <w:pStyle w:val="TableParagraph"/>
              <w:spacing w:before="118"/>
              <w:ind w:left="334"/>
              <w:rPr>
                <w:color w:val="FFFFFF" w:themeColor="background1"/>
                <w:sz w:val="16"/>
              </w:rPr>
            </w:pPr>
            <w:r w:rsidRPr="00697E0C">
              <w:rPr>
                <w:color w:val="FFFFFF" w:themeColor="background1"/>
                <w:spacing w:val="-2"/>
                <w:w w:val="105"/>
                <w:sz w:val="16"/>
              </w:rPr>
              <w:t>Conduct</w:t>
            </w:r>
          </w:p>
        </w:tc>
        <w:tc>
          <w:tcPr>
            <w:tcW w:w="2277" w:type="dxa"/>
            <w:shd w:val="clear" w:color="auto" w:fill="005F83"/>
          </w:tcPr>
          <w:p w14:paraId="164B83A1" w14:textId="77777777" w:rsidR="00084F36" w:rsidRPr="00697E0C" w:rsidRDefault="00EB2BD8">
            <w:pPr>
              <w:pStyle w:val="TableParagraph"/>
              <w:spacing w:before="118"/>
              <w:ind w:left="115"/>
              <w:rPr>
                <w:color w:val="FFFFFF" w:themeColor="background1"/>
                <w:sz w:val="16"/>
              </w:rPr>
            </w:pPr>
            <w:r w:rsidRPr="00697E0C">
              <w:rPr>
                <w:color w:val="FFFFFF" w:themeColor="background1"/>
                <w:spacing w:val="-2"/>
                <w:sz w:val="16"/>
              </w:rPr>
              <w:t>Result</w:t>
            </w:r>
          </w:p>
        </w:tc>
        <w:tc>
          <w:tcPr>
            <w:tcW w:w="1079" w:type="dxa"/>
            <w:shd w:val="clear" w:color="auto" w:fill="005F83"/>
          </w:tcPr>
          <w:p w14:paraId="6A056E1C" w14:textId="77777777" w:rsidR="00084F36" w:rsidRPr="00697E0C" w:rsidRDefault="00EB2BD8">
            <w:pPr>
              <w:pStyle w:val="TableParagraph"/>
              <w:spacing w:before="118" w:line="292" w:lineRule="auto"/>
              <w:ind w:left="117" w:right="92"/>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35</w:t>
            </w:r>
          </w:p>
        </w:tc>
        <w:tc>
          <w:tcPr>
            <w:tcW w:w="1175" w:type="dxa"/>
            <w:shd w:val="clear" w:color="auto" w:fill="005F83"/>
          </w:tcPr>
          <w:p w14:paraId="6D5E11F8" w14:textId="77777777" w:rsidR="00084F36" w:rsidRPr="00697E0C" w:rsidRDefault="00EB2BD8">
            <w:pPr>
              <w:pStyle w:val="TableParagraph"/>
              <w:spacing w:before="118"/>
              <w:ind w:left="115"/>
              <w:rPr>
                <w:color w:val="FFFFFF" w:themeColor="background1"/>
                <w:sz w:val="9"/>
              </w:rPr>
            </w:pPr>
            <w:r w:rsidRPr="00697E0C">
              <w:rPr>
                <w:color w:val="FFFFFF" w:themeColor="background1"/>
                <w:spacing w:val="-2"/>
                <w:w w:val="105"/>
                <w:sz w:val="16"/>
              </w:rPr>
              <w:t>Date</w:t>
            </w:r>
            <w:r w:rsidRPr="00697E0C">
              <w:rPr>
                <w:color w:val="FFFFFF" w:themeColor="background1"/>
                <w:spacing w:val="-2"/>
                <w:w w:val="105"/>
                <w:position w:val="5"/>
                <w:sz w:val="9"/>
              </w:rPr>
              <w:t>36</w:t>
            </w:r>
          </w:p>
        </w:tc>
      </w:tr>
      <w:tr w:rsidR="00EB2BD8" w:rsidRPr="00EB2BD8" w14:paraId="68D5826B" w14:textId="77777777">
        <w:trPr>
          <w:trHeight w:val="329"/>
        </w:trPr>
        <w:tc>
          <w:tcPr>
            <w:tcW w:w="1705" w:type="dxa"/>
          </w:tcPr>
          <w:p w14:paraId="6BF37303" w14:textId="77777777" w:rsidR="00084F36" w:rsidRPr="00EB2BD8" w:rsidRDefault="00EB2BD8">
            <w:pPr>
              <w:pStyle w:val="TableParagraph"/>
              <w:spacing w:before="118"/>
              <w:ind w:left="113"/>
              <w:rPr>
                <w:sz w:val="16"/>
              </w:rPr>
            </w:pPr>
            <w:r w:rsidRPr="00EB2BD8">
              <w:rPr>
                <w:spacing w:val="-4"/>
                <w:sz w:val="16"/>
              </w:rPr>
              <w:t>AIELLO,</w:t>
            </w:r>
            <w:r w:rsidRPr="00EB2BD8">
              <w:rPr>
                <w:spacing w:val="-3"/>
                <w:sz w:val="16"/>
              </w:rPr>
              <w:t xml:space="preserve"> </w:t>
            </w:r>
            <w:r w:rsidRPr="00EB2BD8">
              <w:rPr>
                <w:spacing w:val="-2"/>
                <w:sz w:val="16"/>
              </w:rPr>
              <w:t>Raffaele</w:t>
            </w:r>
          </w:p>
        </w:tc>
        <w:tc>
          <w:tcPr>
            <w:tcW w:w="1464" w:type="dxa"/>
          </w:tcPr>
          <w:p w14:paraId="759038B7" w14:textId="77777777" w:rsidR="00084F36" w:rsidRPr="00EB2BD8" w:rsidRDefault="00EB2BD8">
            <w:pPr>
              <w:pStyle w:val="TableParagraph"/>
              <w:spacing w:before="118"/>
              <w:ind w:left="165"/>
              <w:rPr>
                <w:sz w:val="16"/>
              </w:rPr>
            </w:pPr>
            <w:r w:rsidRPr="00EB2BD8">
              <w:rPr>
                <w:sz w:val="16"/>
              </w:rPr>
              <w:t>DB-U</w:t>
            </w:r>
            <w:r w:rsidRPr="00EB2BD8">
              <w:rPr>
                <w:spacing w:val="22"/>
                <w:sz w:val="16"/>
              </w:rPr>
              <w:t xml:space="preserve"> </w:t>
            </w:r>
            <w:r w:rsidRPr="00EB2BD8">
              <w:rPr>
                <w:spacing w:val="-2"/>
                <w:sz w:val="16"/>
              </w:rPr>
              <w:t>13475;</w:t>
            </w:r>
          </w:p>
        </w:tc>
        <w:tc>
          <w:tcPr>
            <w:tcW w:w="2498" w:type="dxa"/>
          </w:tcPr>
          <w:p w14:paraId="38DCC3C9" w14:textId="77777777" w:rsidR="00084F36" w:rsidRPr="00EB2BD8" w:rsidRDefault="00EB2BD8">
            <w:pPr>
              <w:pStyle w:val="TableParagraph"/>
              <w:spacing w:before="118"/>
              <w:ind w:left="334"/>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77" w:type="dxa"/>
          </w:tcPr>
          <w:p w14:paraId="084FC0E0" w14:textId="77777777" w:rsidR="00084F36" w:rsidRPr="00EB2BD8" w:rsidRDefault="00EB2BD8">
            <w:pPr>
              <w:pStyle w:val="TableParagraph"/>
              <w:spacing w:before="118"/>
              <w:ind w:left="115"/>
              <w:rPr>
                <w:sz w:val="16"/>
              </w:rPr>
            </w:pPr>
            <w:r w:rsidRPr="00EB2BD8">
              <w:rPr>
                <w:sz w:val="16"/>
              </w:rPr>
              <w:t>Cancellation</w:t>
            </w:r>
            <w:r w:rsidRPr="00EB2BD8">
              <w:rPr>
                <w:spacing w:val="5"/>
                <w:sz w:val="16"/>
              </w:rPr>
              <w:t xml:space="preserve"> </w:t>
            </w:r>
            <w:r w:rsidRPr="00EB2BD8">
              <w:rPr>
                <w:spacing w:val="-5"/>
                <w:sz w:val="16"/>
              </w:rPr>
              <w:t>of</w:t>
            </w:r>
          </w:p>
        </w:tc>
        <w:tc>
          <w:tcPr>
            <w:tcW w:w="1079" w:type="dxa"/>
          </w:tcPr>
          <w:p w14:paraId="76A71675" w14:textId="77777777" w:rsidR="00084F36" w:rsidRPr="00EB2BD8" w:rsidRDefault="00EB2BD8">
            <w:pPr>
              <w:pStyle w:val="TableParagraph"/>
              <w:spacing w:before="118"/>
              <w:ind w:right="108"/>
              <w:jc w:val="right"/>
              <w:rPr>
                <w:sz w:val="16"/>
              </w:rPr>
            </w:pPr>
            <w:r w:rsidRPr="00EB2BD8">
              <w:rPr>
                <w:w w:val="135"/>
                <w:sz w:val="16"/>
              </w:rPr>
              <w:t>-</w:t>
            </w:r>
          </w:p>
        </w:tc>
        <w:tc>
          <w:tcPr>
            <w:tcW w:w="1175" w:type="dxa"/>
          </w:tcPr>
          <w:p w14:paraId="0315727B" w14:textId="77777777" w:rsidR="00084F36" w:rsidRPr="00EB2BD8" w:rsidRDefault="00EB2BD8">
            <w:pPr>
              <w:pStyle w:val="TableParagraph"/>
              <w:spacing w:before="118"/>
              <w:ind w:left="115"/>
              <w:rPr>
                <w:sz w:val="16"/>
              </w:rPr>
            </w:pPr>
            <w:r w:rsidRPr="00EB2BD8">
              <w:rPr>
                <w:spacing w:val="-2"/>
                <w:sz w:val="16"/>
              </w:rPr>
              <w:t>24/03/2023</w:t>
            </w:r>
          </w:p>
        </w:tc>
      </w:tr>
      <w:tr w:rsidR="00EB2BD8" w:rsidRPr="00EB2BD8" w14:paraId="360C8716" w14:textId="77777777">
        <w:trPr>
          <w:trHeight w:val="230"/>
        </w:trPr>
        <w:tc>
          <w:tcPr>
            <w:tcW w:w="1705" w:type="dxa"/>
          </w:tcPr>
          <w:p w14:paraId="61F92361" w14:textId="77777777" w:rsidR="00084F36" w:rsidRPr="00EB2BD8" w:rsidRDefault="00084F36">
            <w:pPr>
              <w:pStyle w:val="TableParagraph"/>
              <w:rPr>
                <w:rFonts w:ascii="Times New Roman"/>
                <w:sz w:val="14"/>
              </w:rPr>
            </w:pPr>
          </w:p>
        </w:tc>
        <w:tc>
          <w:tcPr>
            <w:tcW w:w="1464" w:type="dxa"/>
          </w:tcPr>
          <w:p w14:paraId="2DCF2F49" w14:textId="77777777" w:rsidR="00084F36" w:rsidRPr="00EB2BD8" w:rsidRDefault="00EB2BD8">
            <w:pPr>
              <w:pStyle w:val="TableParagraph"/>
              <w:spacing w:before="19"/>
              <w:ind w:left="165"/>
              <w:rPr>
                <w:sz w:val="16"/>
              </w:rPr>
            </w:pPr>
            <w:r w:rsidRPr="00EB2BD8">
              <w:rPr>
                <w:spacing w:val="2"/>
                <w:sz w:val="16"/>
              </w:rPr>
              <w:t>CB-L</w:t>
            </w:r>
            <w:r w:rsidRPr="00EB2BD8">
              <w:rPr>
                <w:spacing w:val="24"/>
                <w:sz w:val="16"/>
              </w:rPr>
              <w:t xml:space="preserve"> </w:t>
            </w:r>
            <w:r w:rsidRPr="00EB2BD8">
              <w:rPr>
                <w:spacing w:val="-4"/>
                <w:sz w:val="16"/>
              </w:rPr>
              <w:t>19255</w:t>
            </w:r>
          </w:p>
        </w:tc>
        <w:tc>
          <w:tcPr>
            <w:tcW w:w="2498" w:type="dxa"/>
          </w:tcPr>
          <w:p w14:paraId="0055BE58" w14:textId="77777777" w:rsidR="00084F36" w:rsidRPr="00EB2BD8" w:rsidRDefault="00EB2BD8">
            <w:pPr>
              <w:pStyle w:val="TableParagraph"/>
              <w:spacing w:before="19"/>
              <w:ind w:left="334"/>
              <w:rPr>
                <w:sz w:val="16"/>
              </w:rPr>
            </w:pPr>
            <w:r w:rsidRPr="00EB2BD8">
              <w:rPr>
                <w:sz w:val="16"/>
              </w:rPr>
              <w:t xml:space="preserve">company under </w:t>
            </w:r>
            <w:r w:rsidRPr="00EB2BD8">
              <w:rPr>
                <w:spacing w:val="-2"/>
                <w:sz w:val="16"/>
              </w:rPr>
              <w:t>external</w:t>
            </w:r>
          </w:p>
        </w:tc>
        <w:tc>
          <w:tcPr>
            <w:tcW w:w="2277" w:type="dxa"/>
          </w:tcPr>
          <w:p w14:paraId="7473D9A2" w14:textId="77777777" w:rsidR="00084F36" w:rsidRPr="00EB2BD8" w:rsidRDefault="00EB2BD8">
            <w:pPr>
              <w:pStyle w:val="TableParagraph"/>
              <w:spacing w:before="19"/>
              <w:ind w:left="115"/>
              <w:rPr>
                <w:sz w:val="16"/>
              </w:rPr>
            </w:pPr>
            <w:r w:rsidRPr="00EB2BD8">
              <w:rPr>
                <w:spacing w:val="-2"/>
                <w:sz w:val="16"/>
              </w:rPr>
              <w:t>registration.</w:t>
            </w:r>
          </w:p>
        </w:tc>
        <w:tc>
          <w:tcPr>
            <w:tcW w:w="1079" w:type="dxa"/>
          </w:tcPr>
          <w:p w14:paraId="1B710761" w14:textId="77777777" w:rsidR="00084F36" w:rsidRPr="00EB2BD8" w:rsidRDefault="00084F36">
            <w:pPr>
              <w:pStyle w:val="TableParagraph"/>
              <w:rPr>
                <w:rFonts w:ascii="Times New Roman"/>
                <w:sz w:val="14"/>
              </w:rPr>
            </w:pPr>
          </w:p>
        </w:tc>
        <w:tc>
          <w:tcPr>
            <w:tcW w:w="1175" w:type="dxa"/>
          </w:tcPr>
          <w:p w14:paraId="5A34C8E9" w14:textId="77777777" w:rsidR="00084F36" w:rsidRPr="00EB2BD8" w:rsidRDefault="00084F36">
            <w:pPr>
              <w:pStyle w:val="TableParagraph"/>
              <w:rPr>
                <w:rFonts w:ascii="Times New Roman"/>
                <w:sz w:val="14"/>
              </w:rPr>
            </w:pPr>
          </w:p>
        </w:tc>
      </w:tr>
      <w:tr w:rsidR="00EB2BD8" w:rsidRPr="00EB2BD8" w14:paraId="4F2C2347" w14:textId="77777777">
        <w:trPr>
          <w:trHeight w:val="285"/>
        </w:trPr>
        <w:tc>
          <w:tcPr>
            <w:tcW w:w="1705" w:type="dxa"/>
            <w:tcBorders>
              <w:bottom w:val="single" w:sz="2" w:space="0" w:color="000000"/>
            </w:tcBorders>
          </w:tcPr>
          <w:p w14:paraId="19A714D0" w14:textId="77777777" w:rsidR="00084F36" w:rsidRPr="00EB2BD8" w:rsidRDefault="00084F36">
            <w:pPr>
              <w:pStyle w:val="TableParagraph"/>
              <w:rPr>
                <w:rFonts w:ascii="Times New Roman"/>
                <w:sz w:val="14"/>
              </w:rPr>
            </w:pPr>
          </w:p>
        </w:tc>
        <w:tc>
          <w:tcPr>
            <w:tcW w:w="1464" w:type="dxa"/>
            <w:tcBorders>
              <w:bottom w:val="single" w:sz="2" w:space="0" w:color="000000"/>
            </w:tcBorders>
          </w:tcPr>
          <w:p w14:paraId="39D61D6B" w14:textId="77777777" w:rsidR="00084F36" w:rsidRPr="00EB2BD8" w:rsidRDefault="00084F36">
            <w:pPr>
              <w:pStyle w:val="TableParagraph"/>
              <w:rPr>
                <w:rFonts w:ascii="Times New Roman"/>
                <w:sz w:val="14"/>
              </w:rPr>
            </w:pPr>
          </w:p>
        </w:tc>
        <w:tc>
          <w:tcPr>
            <w:tcW w:w="2498" w:type="dxa"/>
            <w:tcBorders>
              <w:bottom w:val="single" w:sz="2" w:space="0" w:color="000000"/>
            </w:tcBorders>
          </w:tcPr>
          <w:p w14:paraId="66337201" w14:textId="77777777" w:rsidR="00084F36" w:rsidRPr="00EB2BD8" w:rsidRDefault="00EB2BD8">
            <w:pPr>
              <w:pStyle w:val="TableParagraph"/>
              <w:spacing w:before="19"/>
              <w:ind w:left="334"/>
              <w:rPr>
                <w:sz w:val="16"/>
              </w:rPr>
            </w:pPr>
            <w:r w:rsidRPr="00EB2BD8">
              <w:rPr>
                <w:spacing w:val="-2"/>
                <w:sz w:val="16"/>
              </w:rPr>
              <w:t>administration.</w:t>
            </w:r>
          </w:p>
        </w:tc>
        <w:tc>
          <w:tcPr>
            <w:tcW w:w="2277" w:type="dxa"/>
            <w:tcBorders>
              <w:bottom w:val="single" w:sz="2" w:space="0" w:color="000000"/>
            </w:tcBorders>
          </w:tcPr>
          <w:p w14:paraId="5EA96BED" w14:textId="77777777" w:rsidR="00084F36" w:rsidRPr="00EB2BD8" w:rsidRDefault="00084F36">
            <w:pPr>
              <w:pStyle w:val="TableParagraph"/>
              <w:rPr>
                <w:rFonts w:ascii="Times New Roman"/>
                <w:sz w:val="14"/>
              </w:rPr>
            </w:pPr>
          </w:p>
        </w:tc>
        <w:tc>
          <w:tcPr>
            <w:tcW w:w="1079" w:type="dxa"/>
            <w:tcBorders>
              <w:bottom w:val="single" w:sz="2" w:space="0" w:color="000000"/>
            </w:tcBorders>
          </w:tcPr>
          <w:p w14:paraId="249E3B97" w14:textId="77777777" w:rsidR="00084F36" w:rsidRPr="00EB2BD8" w:rsidRDefault="00084F36">
            <w:pPr>
              <w:pStyle w:val="TableParagraph"/>
              <w:rPr>
                <w:rFonts w:ascii="Times New Roman"/>
                <w:sz w:val="14"/>
              </w:rPr>
            </w:pPr>
          </w:p>
        </w:tc>
        <w:tc>
          <w:tcPr>
            <w:tcW w:w="1175" w:type="dxa"/>
            <w:tcBorders>
              <w:bottom w:val="single" w:sz="2" w:space="0" w:color="000000"/>
            </w:tcBorders>
          </w:tcPr>
          <w:p w14:paraId="6560D72F" w14:textId="77777777" w:rsidR="00084F36" w:rsidRPr="00EB2BD8" w:rsidRDefault="00084F36">
            <w:pPr>
              <w:pStyle w:val="TableParagraph"/>
              <w:rPr>
                <w:rFonts w:ascii="Times New Roman"/>
                <w:sz w:val="14"/>
              </w:rPr>
            </w:pPr>
          </w:p>
        </w:tc>
      </w:tr>
      <w:tr w:rsidR="00EB2BD8" w:rsidRPr="00EB2BD8" w14:paraId="470D0CAD" w14:textId="77777777">
        <w:trPr>
          <w:trHeight w:val="326"/>
        </w:trPr>
        <w:tc>
          <w:tcPr>
            <w:tcW w:w="1705" w:type="dxa"/>
            <w:tcBorders>
              <w:top w:val="single" w:sz="2" w:space="0" w:color="000000"/>
            </w:tcBorders>
          </w:tcPr>
          <w:p w14:paraId="6B5248A3" w14:textId="77777777" w:rsidR="00084F36" w:rsidRPr="00EB2BD8" w:rsidRDefault="00EB2BD8">
            <w:pPr>
              <w:pStyle w:val="TableParagraph"/>
              <w:spacing w:before="116"/>
              <w:ind w:left="113"/>
              <w:rPr>
                <w:sz w:val="16"/>
              </w:rPr>
            </w:pPr>
            <w:r w:rsidRPr="00EB2BD8">
              <w:rPr>
                <w:spacing w:val="-7"/>
                <w:sz w:val="16"/>
              </w:rPr>
              <w:t>ALAN,</w:t>
            </w:r>
            <w:r w:rsidRPr="00EB2BD8">
              <w:rPr>
                <w:spacing w:val="-5"/>
                <w:sz w:val="16"/>
              </w:rPr>
              <w:t xml:space="preserve"> </w:t>
            </w:r>
            <w:r w:rsidRPr="00EB2BD8">
              <w:rPr>
                <w:spacing w:val="-2"/>
                <w:sz w:val="16"/>
              </w:rPr>
              <w:t>Mutlu</w:t>
            </w:r>
          </w:p>
        </w:tc>
        <w:tc>
          <w:tcPr>
            <w:tcW w:w="1464" w:type="dxa"/>
            <w:tcBorders>
              <w:top w:val="single" w:sz="2" w:space="0" w:color="000000"/>
            </w:tcBorders>
          </w:tcPr>
          <w:p w14:paraId="4EB979FE" w14:textId="77777777" w:rsidR="00084F36" w:rsidRPr="00EB2BD8" w:rsidRDefault="00EB2BD8">
            <w:pPr>
              <w:pStyle w:val="TableParagraph"/>
              <w:spacing w:before="116"/>
              <w:ind w:left="165"/>
              <w:rPr>
                <w:sz w:val="16"/>
              </w:rPr>
            </w:pPr>
            <w:r w:rsidRPr="00EB2BD8">
              <w:rPr>
                <w:sz w:val="16"/>
              </w:rPr>
              <w:t>DB-U</w:t>
            </w:r>
            <w:r w:rsidRPr="00EB2BD8">
              <w:rPr>
                <w:spacing w:val="22"/>
                <w:sz w:val="16"/>
              </w:rPr>
              <w:t xml:space="preserve"> </w:t>
            </w:r>
            <w:r w:rsidRPr="00EB2BD8">
              <w:rPr>
                <w:spacing w:val="-2"/>
                <w:sz w:val="16"/>
              </w:rPr>
              <w:t>47148</w:t>
            </w:r>
          </w:p>
        </w:tc>
        <w:tc>
          <w:tcPr>
            <w:tcW w:w="2498" w:type="dxa"/>
            <w:tcBorders>
              <w:top w:val="single" w:sz="2" w:space="0" w:color="000000"/>
            </w:tcBorders>
          </w:tcPr>
          <w:p w14:paraId="3C89EAF4" w14:textId="77777777" w:rsidR="00084F36" w:rsidRPr="00EB2BD8" w:rsidRDefault="00EB2BD8">
            <w:pPr>
              <w:pStyle w:val="TableParagraph"/>
              <w:spacing w:before="116"/>
              <w:ind w:left="334"/>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277" w:type="dxa"/>
            <w:tcBorders>
              <w:top w:val="single" w:sz="2" w:space="0" w:color="000000"/>
            </w:tcBorders>
          </w:tcPr>
          <w:p w14:paraId="120758C7" w14:textId="77777777" w:rsidR="00084F36" w:rsidRPr="00EB2BD8" w:rsidRDefault="00EB2BD8">
            <w:pPr>
              <w:pStyle w:val="TableParagraph"/>
              <w:spacing w:before="115"/>
              <w:ind w:left="115"/>
              <w:rPr>
                <w:sz w:val="16"/>
              </w:rPr>
            </w:pPr>
            <w:r w:rsidRPr="00EB2BD8">
              <w:rPr>
                <w:sz w:val="16"/>
              </w:rPr>
              <w:t>Reprimand</w:t>
            </w:r>
            <w:r w:rsidRPr="00EB2BD8">
              <w:rPr>
                <w:spacing w:val="2"/>
                <w:sz w:val="16"/>
              </w:rPr>
              <w:t xml:space="preserve"> </w:t>
            </w:r>
            <w:r w:rsidRPr="00EB2BD8">
              <w:rPr>
                <w:sz w:val="16"/>
              </w:rPr>
              <w:t>and</w:t>
            </w:r>
            <w:r w:rsidRPr="00EB2BD8">
              <w:rPr>
                <w:spacing w:val="3"/>
                <w:sz w:val="16"/>
              </w:rPr>
              <w:t xml:space="preserve"> </w:t>
            </w:r>
            <w:r w:rsidRPr="00EB2BD8">
              <w:rPr>
                <w:sz w:val="16"/>
              </w:rPr>
              <w:t>penalty</w:t>
            </w:r>
            <w:r w:rsidRPr="00EB2BD8">
              <w:rPr>
                <w:spacing w:val="2"/>
                <w:sz w:val="16"/>
              </w:rPr>
              <w:t xml:space="preserve"> </w:t>
            </w:r>
            <w:r w:rsidRPr="00EB2BD8">
              <w:rPr>
                <w:spacing w:val="-5"/>
                <w:sz w:val="16"/>
              </w:rPr>
              <w:t>of</w:t>
            </w:r>
          </w:p>
        </w:tc>
        <w:tc>
          <w:tcPr>
            <w:tcW w:w="1079" w:type="dxa"/>
            <w:tcBorders>
              <w:top w:val="single" w:sz="2" w:space="0" w:color="000000"/>
            </w:tcBorders>
          </w:tcPr>
          <w:p w14:paraId="3EE57E5E" w14:textId="77777777" w:rsidR="00084F36" w:rsidRPr="00EB2BD8" w:rsidRDefault="00EB2BD8">
            <w:pPr>
              <w:pStyle w:val="TableParagraph"/>
              <w:spacing w:before="115"/>
              <w:ind w:right="109"/>
              <w:jc w:val="right"/>
              <w:rPr>
                <w:sz w:val="16"/>
              </w:rPr>
            </w:pPr>
            <w:r w:rsidRPr="00EB2BD8">
              <w:rPr>
                <w:spacing w:val="-2"/>
                <w:sz w:val="16"/>
              </w:rPr>
              <w:t>$2,000</w:t>
            </w:r>
          </w:p>
        </w:tc>
        <w:tc>
          <w:tcPr>
            <w:tcW w:w="1175" w:type="dxa"/>
            <w:tcBorders>
              <w:top w:val="single" w:sz="2" w:space="0" w:color="000000"/>
            </w:tcBorders>
          </w:tcPr>
          <w:p w14:paraId="052DBF35" w14:textId="77777777" w:rsidR="00084F36" w:rsidRPr="00EB2BD8" w:rsidRDefault="00EB2BD8">
            <w:pPr>
              <w:pStyle w:val="TableParagraph"/>
              <w:spacing w:before="115"/>
              <w:ind w:left="115"/>
              <w:rPr>
                <w:sz w:val="16"/>
              </w:rPr>
            </w:pPr>
            <w:r w:rsidRPr="00EB2BD8">
              <w:rPr>
                <w:spacing w:val="-2"/>
                <w:w w:val="95"/>
                <w:sz w:val="16"/>
              </w:rPr>
              <w:t>26/07/2022</w:t>
            </w:r>
          </w:p>
        </w:tc>
      </w:tr>
      <w:tr w:rsidR="00EB2BD8" w:rsidRPr="00EB2BD8" w14:paraId="5DEF19AB" w14:textId="77777777">
        <w:trPr>
          <w:trHeight w:val="230"/>
        </w:trPr>
        <w:tc>
          <w:tcPr>
            <w:tcW w:w="1705" w:type="dxa"/>
          </w:tcPr>
          <w:p w14:paraId="5AAC1A12" w14:textId="77777777" w:rsidR="00084F36" w:rsidRPr="00EB2BD8" w:rsidRDefault="00084F36">
            <w:pPr>
              <w:pStyle w:val="TableParagraph"/>
              <w:rPr>
                <w:rFonts w:ascii="Times New Roman"/>
                <w:sz w:val="14"/>
              </w:rPr>
            </w:pPr>
          </w:p>
        </w:tc>
        <w:tc>
          <w:tcPr>
            <w:tcW w:w="1464" w:type="dxa"/>
          </w:tcPr>
          <w:p w14:paraId="1770FA7C" w14:textId="77777777" w:rsidR="00084F36" w:rsidRPr="00EB2BD8" w:rsidRDefault="00084F36">
            <w:pPr>
              <w:pStyle w:val="TableParagraph"/>
              <w:rPr>
                <w:rFonts w:ascii="Times New Roman"/>
                <w:sz w:val="14"/>
              </w:rPr>
            </w:pPr>
          </w:p>
        </w:tc>
        <w:tc>
          <w:tcPr>
            <w:tcW w:w="2498" w:type="dxa"/>
          </w:tcPr>
          <w:p w14:paraId="644627A2" w14:textId="77777777" w:rsidR="00084F36" w:rsidRPr="00EB2BD8" w:rsidRDefault="00EB2BD8">
            <w:pPr>
              <w:pStyle w:val="TableParagraph"/>
              <w:spacing w:before="19"/>
              <w:ind w:left="334"/>
              <w:rPr>
                <w:sz w:val="16"/>
              </w:rPr>
            </w:pPr>
            <w:r w:rsidRPr="00EB2BD8">
              <w:rPr>
                <w:spacing w:val="-4"/>
                <w:sz w:val="16"/>
              </w:rPr>
              <w:t>direction</w:t>
            </w:r>
            <w:r w:rsidRPr="00EB2BD8">
              <w:rPr>
                <w:spacing w:val="-5"/>
                <w:sz w:val="16"/>
              </w:rPr>
              <w:t xml:space="preserve"> </w:t>
            </w:r>
            <w:r w:rsidRPr="00EB2BD8">
              <w:rPr>
                <w:spacing w:val="-4"/>
                <w:sz w:val="16"/>
              </w:rPr>
              <w:t>to fix building</w:t>
            </w:r>
          </w:p>
        </w:tc>
        <w:tc>
          <w:tcPr>
            <w:tcW w:w="2277" w:type="dxa"/>
          </w:tcPr>
          <w:p w14:paraId="726B61B7" w14:textId="77777777" w:rsidR="00084F36" w:rsidRPr="00EB2BD8" w:rsidRDefault="00EB2BD8">
            <w:pPr>
              <w:pStyle w:val="TableParagraph"/>
              <w:spacing w:before="19"/>
              <w:ind w:left="115"/>
              <w:rPr>
                <w:sz w:val="16"/>
              </w:rPr>
            </w:pPr>
            <w:r w:rsidRPr="00EB2BD8">
              <w:rPr>
                <w:spacing w:val="-2"/>
                <w:sz w:val="16"/>
              </w:rPr>
              <w:t>$2,000.</w:t>
            </w:r>
          </w:p>
        </w:tc>
        <w:tc>
          <w:tcPr>
            <w:tcW w:w="1079" w:type="dxa"/>
          </w:tcPr>
          <w:p w14:paraId="1C90B0F4" w14:textId="77777777" w:rsidR="00084F36" w:rsidRPr="00EB2BD8" w:rsidRDefault="00084F36">
            <w:pPr>
              <w:pStyle w:val="TableParagraph"/>
              <w:rPr>
                <w:rFonts w:ascii="Times New Roman"/>
                <w:sz w:val="14"/>
              </w:rPr>
            </w:pPr>
          </w:p>
        </w:tc>
        <w:tc>
          <w:tcPr>
            <w:tcW w:w="1175" w:type="dxa"/>
          </w:tcPr>
          <w:p w14:paraId="75E143B3" w14:textId="77777777" w:rsidR="00084F36" w:rsidRPr="00EB2BD8" w:rsidRDefault="00084F36">
            <w:pPr>
              <w:pStyle w:val="TableParagraph"/>
              <w:rPr>
                <w:rFonts w:ascii="Times New Roman"/>
                <w:sz w:val="14"/>
              </w:rPr>
            </w:pPr>
          </w:p>
        </w:tc>
      </w:tr>
      <w:tr w:rsidR="00EB2BD8" w:rsidRPr="00EB2BD8" w14:paraId="16B8118D" w14:textId="77777777">
        <w:trPr>
          <w:trHeight w:val="229"/>
        </w:trPr>
        <w:tc>
          <w:tcPr>
            <w:tcW w:w="1705" w:type="dxa"/>
          </w:tcPr>
          <w:p w14:paraId="38B8A7D6" w14:textId="77777777" w:rsidR="00084F36" w:rsidRPr="00EB2BD8" w:rsidRDefault="00084F36">
            <w:pPr>
              <w:pStyle w:val="TableParagraph"/>
              <w:rPr>
                <w:rFonts w:ascii="Times New Roman"/>
                <w:sz w:val="14"/>
              </w:rPr>
            </w:pPr>
          </w:p>
        </w:tc>
        <w:tc>
          <w:tcPr>
            <w:tcW w:w="1464" w:type="dxa"/>
          </w:tcPr>
          <w:p w14:paraId="1F0B9A1B" w14:textId="77777777" w:rsidR="00084F36" w:rsidRPr="00EB2BD8" w:rsidRDefault="00084F36">
            <w:pPr>
              <w:pStyle w:val="TableParagraph"/>
              <w:rPr>
                <w:rFonts w:ascii="Times New Roman"/>
                <w:sz w:val="14"/>
              </w:rPr>
            </w:pPr>
          </w:p>
        </w:tc>
        <w:tc>
          <w:tcPr>
            <w:tcW w:w="2498" w:type="dxa"/>
          </w:tcPr>
          <w:p w14:paraId="1B23BDBA" w14:textId="77777777" w:rsidR="00084F36" w:rsidRPr="00EB2BD8" w:rsidRDefault="00EB2BD8">
            <w:pPr>
              <w:pStyle w:val="TableParagraph"/>
              <w:spacing w:before="19"/>
              <w:ind w:left="334"/>
              <w:rPr>
                <w:sz w:val="16"/>
              </w:rPr>
            </w:pPr>
            <w:r w:rsidRPr="00EB2BD8">
              <w:rPr>
                <w:spacing w:val="-2"/>
                <w:sz w:val="16"/>
              </w:rPr>
              <w:t>work</w:t>
            </w:r>
            <w:r w:rsidRPr="00EB2BD8">
              <w:rPr>
                <w:spacing w:val="-12"/>
                <w:sz w:val="16"/>
              </w:rPr>
              <w:t xml:space="preserve"> </w:t>
            </w:r>
            <w:r w:rsidRPr="00EB2BD8">
              <w:rPr>
                <w:spacing w:val="-2"/>
                <w:sz w:val="16"/>
              </w:rPr>
              <w:t>within</w:t>
            </w:r>
            <w:r w:rsidRPr="00EB2BD8">
              <w:rPr>
                <w:spacing w:val="-12"/>
                <w:sz w:val="16"/>
              </w:rPr>
              <w:t xml:space="preserve"> </w:t>
            </w:r>
            <w:r w:rsidRPr="00EB2BD8">
              <w:rPr>
                <w:spacing w:val="-2"/>
                <w:sz w:val="16"/>
              </w:rPr>
              <w:t>the</w:t>
            </w:r>
            <w:r w:rsidRPr="00EB2BD8">
              <w:rPr>
                <w:spacing w:val="-12"/>
                <w:sz w:val="16"/>
              </w:rPr>
              <w:t xml:space="preserve"> </w:t>
            </w:r>
            <w:r w:rsidRPr="00EB2BD8">
              <w:rPr>
                <w:spacing w:val="-2"/>
                <w:sz w:val="16"/>
              </w:rPr>
              <w:t>specified</w:t>
            </w:r>
          </w:p>
        </w:tc>
        <w:tc>
          <w:tcPr>
            <w:tcW w:w="2277" w:type="dxa"/>
          </w:tcPr>
          <w:p w14:paraId="453239B9" w14:textId="77777777" w:rsidR="00084F36" w:rsidRPr="00EB2BD8" w:rsidRDefault="00084F36">
            <w:pPr>
              <w:pStyle w:val="TableParagraph"/>
              <w:rPr>
                <w:rFonts w:ascii="Times New Roman"/>
                <w:sz w:val="14"/>
              </w:rPr>
            </w:pPr>
          </w:p>
        </w:tc>
        <w:tc>
          <w:tcPr>
            <w:tcW w:w="1079" w:type="dxa"/>
          </w:tcPr>
          <w:p w14:paraId="32DD4E0B" w14:textId="77777777" w:rsidR="00084F36" w:rsidRPr="00EB2BD8" w:rsidRDefault="00084F36">
            <w:pPr>
              <w:pStyle w:val="TableParagraph"/>
              <w:rPr>
                <w:rFonts w:ascii="Times New Roman"/>
                <w:sz w:val="14"/>
              </w:rPr>
            </w:pPr>
          </w:p>
        </w:tc>
        <w:tc>
          <w:tcPr>
            <w:tcW w:w="1175" w:type="dxa"/>
          </w:tcPr>
          <w:p w14:paraId="6F07BBAF" w14:textId="77777777" w:rsidR="00084F36" w:rsidRPr="00EB2BD8" w:rsidRDefault="00084F36">
            <w:pPr>
              <w:pStyle w:val="TableParagraph"/>
              <w:rPr>
                <w:rFonts w:ascii="Times New Roman"/>
                <w:sz w:val="14"/>
              </w:rPr>
            </w:pPr>
          </w:p>
        </w:tc>
      </w:tr>
      <w:tr w:rsidR="00EB2BD8" w:rsidRPr="00EB2BD8" w14:paraId="643A48B8" w14:textId="77777777">
        <w:trPr>
          <w:trHeight w:val="229"/>
        </w:trPr>
        <w:tc>
          <w:tcPr>
            <w:tcW w:w="1705" w:type="dxa"/>
          </w:tcPr>
          <w:p w14:paraId="2E861422" w14:textId="77777777" w:rsidR="00084F36" w:rsidRPr="00EB2BD8" w:rsidRDefault="00084F36">
            <w:pPr>
              <w:pStyle w:val="TableParagraph"/>
              <w:rPr>
                <w:rFonts w:ascii="Times New Roman"/>
                <w:sz w:val="14"/>
              </w:rPr>
            </w:pPr>
          </w:p>
        </w:tc>
        <w:tc>
          <w:tcPr>
            <w:tcW w:w="1464" w:type="dxa"/>
          </w:tcPr>
          <w:p w14:paraId="68BF21E2" w14:textId="77777777" w:rsidR="00084F36" w:rsidRPr="00EB2BD8" w:rsidRDefault="00084F36">
            <w:pPr>
              <w:pStyle w:val="TableParagraph"/>
              <w:rPr>
                <w:rFonts w:ascii="Times New Roman"/>
                <w:sz w:val="14"/>
              </w:rPr>
            </w:pPr>
          </w:p>
        </w:tc>
        <w:tc>
          <w:tcPr>
            <w:tcW w:w="2498" w:type="dxa"/>
          </w:tcPr>
          <w:p w14:paraId="0783CA86" w14:textId="77777777" w:rsidR="00084F36" w:rsidRPr="00EB2BD8" w:rsidRDefault="00EB2BD8">
            <w:pPr>
              <w:pStyle w:val="TableParagraph"/>
              <w:spacing w:before="19"/>
              <w:ind w:left="334"/>
              <w:rPr>
                <w:sz w:val="16"/>
              </w:rPr>
            </w:pPr>
            <w:r w:rsidRPr="00EB2BD8">
              <w:rPr>
                <w:sz w:val="16"/>
              </w:rPr>
              <w:t>period</w:t>
            </w:r>
            <w:r w:rsidRPr="00EB2BD8">
              <w:rPr>
                <w:spacing w:val="-10"/>
                <w:sz w:val="16"/>
              </w:rPr>
              <w:t xml:space="preserve"> </w:t>
            </w:r>
            <w:r w:rsidRPr="00EB2BD8">
              <w:rPr>
                <w:sz w:val="16"/>
              </w:rPr>
              <w:t>in</w:t>
            </w:r>
            <w:r w:rsidRPr="00EB2BD8">
              <w:rPr>
                <w:spacing w:val="-9"/>
                <w:sz w:val="16"/>
              </w:rPr>
              <w:t xml:space="preserve"> </w:t>
            </w:r>
            <w:r w:rsidRPr="00EB2BD8">
              <w:rPr>
                <w:sz w:val="16"/>
              </w:rPr>
              <w:t>respect</w:t>
            </w:r>
            <w:r w:rsidRPr="00EB2BD8">
              <w:rPr>
                <w:spacing w:val="-10"/>
                <w:sz w:val="16"/>
              </w:rPr>
              <w:t xml:space="preserve"> </w:t>
            </w:r>
            <w:r w:rsidRPr="00EB2BD8">
              <w:rPr>
                <w:sz w:val="16"/>
              </w:rPr>
              <w:t>of</w:t>
            </w:r>
            <w:r w:rsidRPr="00EB2BD8">
              <w:rPr>
                <w:spacing w:val="-9"/>
                <w:sz w:val="16"/>
              </w:rPr>
              <w:t xml:space="preserve"> </w:t>
            </w:r>
            <w:r w:rsidRPr="00EB2BD8">
              <w:rPr>
                <w:sz w:val="16"/>
              </w:rPr>
              <w:t>a</w:t>
            </w:r>
            <w:r w:rsidRPr="00EB2BD8">
              <w:rPr>
                <w:spacing w:val="-10"/>
                <w:sz w:val="16"/>
              </w:rPr>
              <w:t xml:space="preserve"> </w:t>
            </w:r>
            <w:r w:rsidRPr="00EB2BD8">
              <w:rPr>
                <w:spacing w:val="-4"/>
                <w:sz w:val="16"/>
              </w:rPr>
              <w:t>site</w:t>
            </w:r>
          </w:p>
        </w:tc>
        <w:tc>
          <w:tcPr>
            <w:tcW w:w="2277" w:type="dxa"/>
          </w:tcPr>
          <w:p w14:paraId="65FD2DFA" w14:textId="77777777" w:rsidR="00084F36" w:rsidRPr="00EB2BD8" w:rsidRDefault="00084F36">
            <w:pPr>
              <w:pStyle w:val="TableParagraph"/>
              <w:rPr>
                <w:rFonts w:ascii="Times New Roman"/>
                <w:sz w:val="14"/>
              </w:rPr>
            </w:pPr>
          </w:p>
        </w:tc>
        <w:tc>
          <w:tcPr>
            <w:tcW w:w="1079" w:type="dxa"/>
          </w:tcPr>
          <w:p w14:paraId="3CD9AB9C" w14:textId="77777777" w:rsidR="00084F36" w:rsidRPr="00EB2BD8" w:rsidRDefault="00084F36">
            <w:pPr>
              <w:pStyle w:val="TableParagraph"/>
              <w:rPr>
                <w:rFonts w:ascii="Times New Roman"/>
                <w:sz w:val="14"/>
              </w:rPr>
            </w:pPr>
          </w:p>
        </w:tc>
        <w:tc>
          <w:tcPr>
            <w:tcW w:w="1175" w:type="dxa"/>
          </w:tcPr>
          <w:p w14:paraId="059946B5" w14:textId="77777777" w:rsidR="00084F36" w:rsidRPr="00EB2BD8" w:rsidRDefault="00084F36">
            <w:pPr>
              <w:pStyle w:val="TableParagraph"/>
              <w:rPr>
                <w:rFonts w:ascii="Times New Roman"/>
                <w:sz w:val="14"/>
              </w:rPr>
            </w:pPr>
          </w:p>
        </w:tc>
      </w:tr>
      <w:tr w:rsidR="00EB2BD8" w:rsidRPr="00EB2BD8" w14:paraId="6F78488E" w14:textId="77777777">
        <w:trPr>
          <w:trHeight w:val="285"/>
        </w:trPr>
        <w:tc>
          <w:tcPr>
            <w:tcW w:w="1705" w:type="dxa"/>
            <w:tcBorders>
              <w:bottom w:val="single" w:sz="2" w:space="0" w:color="000000"/>
            </w:tcBorders>
          </w:tcPr>
          <w:p w14:paraId="2B04B92D" w14:textId="77777777" w:rsidR="00084F36" w:rsidRPr="00EB2BD8" w:rsidRDefault="00084F36">
            <w:pPr>
              <w:pStyle w:val="TableParagraph"/>
              <w:rPr>
                <w:rFonts w:ascii="Times New Roman"/>
                <w:sz w:val="14"/>
              </w:rPr>
            </w:pPr>
          </w:p>
        </w:tc>
        <w:tc>
          <w:tcPr>
            <w:tcW w:w="1464" w:type="dxa"/>
            <w:tcBorders>
              <w:bottom w:val="single" w:sz="2" w:space="0" w:color="000000"/>
            </w:tcBorders>
          </w:tcPr>
          <w:p w14:paraId="6F40B043" w14:textId="77777777" w:rsidR="00084F36" w:rsidRPr="00EB2BD8" w:rsidRDefault="00084F36">
            <w:pPr>
              <w:pStyle w:val="TableParagraph"/>
              <w:rPr>
                <w:rFonts w:ascii="Times New Roman"/>
                <w:sz w:val="14"/>
              </w:rPr>
            </w:pPr>
          </w:p>
        </w:tc>
        <w:tc>
          <w:tcPr>
            <w:tcW w:w="2498" w:type="dxa"/>
            <w:tcBorders>
              <w:bottom w:val="single" w:sz="2" w:space="0" w:color="000000"/>
            </w:tcBorders>
          </w:tcPr>
          <w:p w14:paraId="1FB6EE08" w14:textId="77777777" w:rsidR="00084F36" w:rsidRPr="00EB2BD8" w:rsidRDefault="00EB2BD8">
            <w:pPr>
              <w:pStyle w:val="TableParagraph"/>
              <w:spacing w:before="19"/>
              <w:ind w:left="334"/>
              <w:rPr>
                <w:sz w:val="16"/>
              </w:rPr>
            </w:pPr>
            <w:r w:rsidRPr="00EB2BD8">
              <w:rPr>
                <w:w w:val="105"/>
                <w:sz w:val="16"/>
              </w:rPr>
              <w:t>at</w:t>
            </w:r>
            <w:r w:rsidRPr="00EB2BD8">
              <w:rPr>
                <w:spacing w:val="-10"/>
                <w:w w:val="105"/>
                <w:sz w:val="16"/>
              </w:rPr>
              <w:t xml:space="preserve"> </w:t>
            </w:r>
            <w:r w:rsidRPr="00EB2BD8">
              <w:rPr>
                <w:spacing w:val="-2"/>
                <w:w w:val="105"/>
                <w:sz w:val="16"/>
              </w:rPr>
              <w:t>Braybrook.</w:t>
            </w:r>
          </w:p>
        </w:tc>
        <w:tc>
          <w:tcPr>
            <w:tcW w:w="2277" w:type="dxa"/>
            <w:tcBorders>
              <w:bottom w:val="single" w:sz="2" w:space="0" w:color="000000"/>
            </w:tcBorders>
          </w:tcPr>
          <w:p w14:paraId="47D66DC4" w14:textId="77777777" w:rsidR="00084F36" w:rsidRPr="00EB2BD8" w:rsidRDefault="00084F36">
            <w:pPr>
              <w:pStyle w:val="TableParagraph"/>
              <w:rPr>
                <w:rFonts w:ascii="Times New Roman"/>
                <w:sz w:val="14"/>
              </w:rPr>
            </w:pPr>
          </w:p>
        </w:tc>
        <w:tc>
          <w:tcPr>
            <w:tcW w:w="1079" w:type="dxa"/>
            <w:tcBorders>
              <w:bottom w:val="single" w:sz="2" w:space="0" w:color="000000"/>
            </w:tcBorders>
          </w:tcPr>
          <w:p w14:paraId="083DCF46" w14:textId="77777777" w:rsidR="00084F36" w:rsidRPr="00EB2BD8" w:rsidRDefault="00084F36">
            <w:pPr>
              <w:pStyle w:val="TableParagraph"/>
              <w:rPr>
                <w:rFonts w:ascii="Times New Roman"/>
                <w:sz w:val="14"/>
              </w:rPr>
            </w:pPr>
          </w:p>
        </w:tc>
        <w:tc>
          <w:tcPr>
            <w:tcW w:w="1175" w:type="dxa"/>
            <w:tcBorders>
              <w:bottom w:val="single" w:sz="2" w:space="0" w:color="000000"/>
            </w:tcBorders>
          </w:tcPr>
          <w:p w14:paraId="46456674" w14:textId="77777777" w:rsidR="00084F36" w:rsidRPr="00EB2BD8" w:rsidRDefault="00084F36">
            <w:pPr>
              <w:pStyle w:val="TableParagraph"/>
              <w:rPr>
                <w:rFonts w:ascii="Times New Roman"/>
                <w:sz w:val="14"/>
              </w:rPr>
            </w:pPr>
          </w:p>
        </w:tc>
      </w:tr>
      <w:tr w:rsidR="00EB2BD8" w:rsidRPr="00EB2BD8" w14:paraId="678CCCA9" w14:textId="77777777">
        <w:trPr>
          <w:trHeight w:val="325"/>
        </w:trPr>
        <w:tc>
          <w:tcPr>
            <w:tcW w:w="1705" w:type="dxa"/>
            <w:tcBorders>
              <w:top w:val="single" w:sz="2" w:space="0" w:color="000000"/>
            </w:tcBorders>
          </w:tcPr>
          <w:p w14:paraId="7484564F" w14:textId="77777777" w:rsidR="00084F36" w:rsidRPr="00EB2BD8" w:rsidRDefault="00EB2BD8">
            <w:pPr>
              <w:pStyle w:val="TableParagraph"/>
              <w:spacing w:before="115"/>
              <w:ind w:left="113"/>
              <w:rPr>
                <w:sz w:val="16"/>
              </w:rPr>
            </w:pPr>
            <w:r w:rsidRPr="00EB2BD8">
              <w:rPr>
                <w:spacing w:val="-7"/>
                <w:sz w:val="16"/>
              </w:rPr>
              <w:t>ALAN,</w:t>
            </w:r>
            <w:r w:rsidRPr="00EB2BD8">
              <w:rPr>
                <w:spacing w:val="-5"/>
                <w:sz w:val="16"/>
              </w:rPr>
              <w:t xml:space="preserve"> </w:t>
            </w:r>
            <w:r w:rsidRPr="00EB2BD8">
              <w:rPr>
                <w:spacing w:val="-2"/>
                <w:sz w:val="16"/>
              </w:rPr>
              <w:t>Mutlu</w:t>
            </w:r>
          </w:p>
        </w:tc>
        <w:tc>
          <w:tcPr>
            <w:tcW w:w="1464" w:type="dxa"/>
            <w:tcBorders>
              <w:top w:val="single" w:sz="2" w:space="0" w:color="000000"/>
            </w:tcBorders>
          </w:tcPr>
          <w:p w14:paraId="13F0161A" w14:textId="77777777" w:rsidR="00084F36" w:rsidRPr="00EB2BD8" w:rsidRDefault="00EB2BD8">
            <w:pPr>
              <w:pStyle w:val="TableParagraph"/>
              <w:spacing w:before="115"/>
              <w:ind w:left="165"/>
              <w:rPr>
                <w:sz w:val="16"/>
              </w:rPr>
            </w:pPr>
            <w:r w:rsidRPr="00EB2BD8">
              <w:rPr>
                <w:sz w:val="16"/>
              </w:rPr>
              <w:t>DB-U</w:t>
            </w:r>
            <w:r w:rsidRPr="00EB2BD8">
              <w:rPr>
                <w:spacing w:val="22"/>
                <w:sz w:val="16"/>
              </w:rPr>
              <w:t xml:space="preserve"> </w:t>
            </w:r>
            <w:r w:rsidRPr="00EB2BD8">
              <w:rPr>
                <w:spacing w:val="-2"/>
                <w:sz w:val="16"/>
              </w:rPr>
              <w:t>47148</w:t>
            </w:r>
          </w:p>
        </w:tc>
        <w:tc>
          <w:tcPr>
            <w:tcW w:w="2498" w:type="dxa"/>
            <w:tcBorders>
              <w:top w:val="single" w:sz="2" w:space="0" w:color="000000"/>
            </w:tcBorders>
          </w:tcPr>
          <w:p w14:paraId="7C8CB198" w14:textId="77777777" w:rsidR="00084F36" w:rsidRPr="00EB2BD8" w:rsidRDefault="00EB2BD8">
            <w:pPr>
              <w:pStyle w:val="TableParagraph"/>
              <w:spacing w:before="115"/>
              <w:ind w:left="334"/>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277" w:type="dxa"/>
            <w:tcBorders>
              <w:top w:val="single" w:sz="2" w:space="0" w:color="000000"/>
            </w:tcBorders>
          </w:tcPr>
          <w:p w14:paraId="3C85FF5E" w14:textId="77777777" w:rsidR="00084F36" w:rsidRPr="00EB2BD8" w:rsidRDefault="00EB2BD8">
            <w:pPr>
              <w:pStyle w:val="TableParagraph"/>
              <w:spacing w:before="115"/>
              <w:ind w:left="115"/>
              <w:rPr>
                <w:sz w:val="16"/>
              </w:rPr>
            </w:pPr>
            <w:r w:rsidRPr="00EB2BD8">
              <w:rPr>
                <w:sz w:val="16"/>
              </w:rPr>
              <w:t>Reprimand</w:t>
            </w:r>
            <w:r w:rsidRPr="00EB2BD8">
              <w:rPr>
                <w:spacing w:val="2"/>
                <w:sz w:val="16"/>
              </w:rPr>
              <w:t xml:space="preserve"> </w:t>
            </w:r>
            <w:r w:rsidRPr="00EB2BD8">
              <w:rPr>
                <w:sz w:val="16"/>
              </w:rPr>
              <w:t>and</w:t>
            </w:r>
            <w:r w:rsidRPr="00EB2BD8">
              <w:rPr>
                <w:spacing w:val="3"/>
                <w:sz w:val="16"/>
              </w:rPr>
              <w:t xml:space="preserve"> </w:t>
            </w:r>
            <w:r w:rsidRPr="00EB2BD8">
              <w:rPr>
                <w:sz w:val="16"/>
              </w:rPr>
              <w:t>penalty</w:t>
            </w:r>
            <w:r w:rsidRPr="00EB2BD8">
              <w:rPr>
                <w:spacing w:val="2"/>
                <w:sz w:val="16"/>
              </w:rPr>
              <w:t xml:space="preserve"> </w:t>
            </w:r>
            <w:r w:rsidRPr="00EB2BD8">
              <w:rPr>
                <w:spacing w:val="-5"/>
                <w:sz w:val="16"/>
              </w:rPr>
              <w:t>of</w:t>
            </w:r>
          </w:p>
        </w:tc>
        <w:tc>
          <w:tcPr>
            <w:tcW w:w="1079" w:type="dxa"/>
            <w:tcBorders>
              <w:top w:val="single" w:sz="2" w:space="0" w:color="000000"/>
            </w:tcBorders>
          </w:tcPr>
          <w:p w14:paraId="7BA28965" w14:textId="77777777" w:rsidR="00084F36" w:rsidRPr="00EB2BD8" w:rsidRDefault="00EB2BD8">
            <w:pPr>
              <w:pStyle w:val="TableParagraph"/>
              <w:spacing w:before="115"/>
              <w:ind w:right="109"/>
              <w:jc w:val="right"/>
              <w:rPr>
                <w:sz w:val="16"/>
              </w:rPr>
            </w:pPr>
            <w:r w:rsidRPr="00EB2BD8">
              <w:rPr>
                <w:spacing w:val="-2"/>
                <w:sz w:val="16"/>
              </w:rPr>
              <w:t>$2,500</w:t>
            </w:r>
          </w:p>
        </w:tc>
        <w:tc>
          <w:tcPr>
            <w:tcW w:w="1175" w:type="dxa"/>
            <w:tcBorders>
              <w:top w:val="single" w:sz="2" w:space="0" w:color="000000"/>
            </w:tcBorders>
          </w:tcPr>
          <w:p w14:paraId="257DD623" w14:textId="77777777" w:rsidR="00084F36" w:rsidRPr="00EB2BD8" w:rsidRDefault="00EB2BD8">
            <w:pPr>
              <w:pStyle w:val="TableParagraph"/>
              <w:spacing w:before="115"/>
              <w:ind w:left="115"/>
              <w:rPr>
                <w:sz w:val="16"/>
              </w:rPr>
            </w:pPr>
            <w:r w:rsidRPr="00EB2BD8">
              <w:rPr>
                <w:spacing w:val="-2"/>
                <w:w w:val="95"/>
                <w:sz w:val="16"/>
              </w:rPr>
              <w:t>26/07/2022</w:t>
            </w:r>
          </w:p>
        </w:tc>
      </w:tr>
      <w:tr w:rsidR="00EB2BD8" w:rsidRPr="00EB2BD8" w14:paraId="1F9E6F35" w14:textId="77777777">
        <w:trPr>
          <w:trHeight w:val="230"/>
        </w:trPr>
        <w:tc>
          <w:tcPr>
            <w:tcW w:w="1705" w:type="dxa"/>
          </w:tcPr>
          <w:p w14:paraId="1F946855" w14:textId="77777777" w:rsidR="00084F36" w:rsidRPr="00EB2BD8" w:rsidRDefault="00084F36">
            <w:pPr>
              <w:pStyle w:val="TableParagraph"/>
              <w:rPr>
                <w:rFonts w:ascii="Times New Roman"/>
                <w:sz w:val="14"/>
              </w:rPr>
            </w:pPr>
          </w:p>
        </w:tc>
        <w:tc>
          <w:tcPr>
            <w:tcW w:w="1464" w:type="dxa"/>
          </w:tcPr>
          <w:p w14:paraId="1B733ECD" w14:textId="77777777" w:rsidR="00084F36" w:rsidRPr="00EB2BD8" w:rsidRDefault="00084F36">
            <w:pPr>
              <w:pStyle w:val="TableParagraph"/>
              <w:rPr>
                <w:rFonts w:ascii="Times New Roman"/>
                <w:sz w:val="14"/>
              </w:rPr>
            </w:pPr>
          </w:p>
        </w:tc>
        <w:tc>
          <w:tcPr>
            <w:tcW w:w="2498" w:type="dxa"/>
          </w:tcPr>
          <w:p w14:paraId="2F3D019C" w14:textId="77777777" w:rsidR="00084F36" w:rsidRPr="00EB2BD8" w:rsidRDefault="00EB2BD8">
            <w:pPr>
              <w:pStyle w:val="TableParagraph"/>
              <w:spacing w:before="19"/>
              <w:ind w:left="334"/>
              <w:rPr>
                <w:sz w:val="16"/>
              </w:rPr>
            </w:pPr>
            <w:r w:rsidRPr="00EB2BD8">
              <w:rPr>
                <w:spacing w:val="-4"/>
                <w:sz w:val="16"/>
              </w:rPr>
              <w:t>direction</w:t>
            </w:r>
            <w:r w:rsidRPr="00EB2BD8">
              <w:rPr>
                <w:spacing w:val="-5"/>
                <w:sz w:val="16"/>
              </w:rPr>
              <w:t xml:space="preserve"> </w:t>
            </w:r>
            <w:r w:rsidRPr="00EB2BD8">
              <w:rPr>
                <w:spacing w:val="-4"/>
                <w:sz w:val="16"/>
              </w:rPr>
              <w:t>to fix building</w:t>
            </w:r>
          </w:p>
        </w:tc>
        <w:tc>
          <w:tcPr>
            <w:tcW w:w="2277" w:type="dxa"/>
          </w:tcPr>
          <w:p w14:paraId="52738DEB" w14:textId="77777777" w:rsidR="00084F36" w:rsidRPr="00EB2BD8" w:rsidRDefault="00EB2BD8">
            <w:pPr>
              <w:pStyle w:val="TableParagraph"/>
              <w:spacing w:before="19"/>
              <w:ind w:left="115"/>
              <w:rPr>
                <w:sz w:val="16"/>
              </w:rPr>
            </w:pPr>
            <w:r w:rsidRPr="00EB2BD8">
              <w:rPr>
                <w:spacing w:val="-2"/>
                <w:sz w:val="16"/>
              </w:rPr>
              <w:t>$2,500.</w:t>
            </w:r>
          </w:p>
        </w:tc>
        <w:tc>
          <w:tcPr>
            <w:tcW w:w="1079" w:type="dxa"/>
          </w:tcPr>
          <w:p w14:paraId="36185ED1" w14:textId="77777777" w:rsidR="00084F36" w:rsidRPr="00EB2BD8" w:rsidRDefault="00084F36">
            <w:pPr>
              <w:pStyle w:val="TableParagraph"/>
              <w:rPr>
                <w:rFonts w:ascii="Times New Roman"/>
                <w:sz w:val="14"/>
              </w:rPr>
            </w:pPr>
          </w:p>
        </w:tc>
        <w:tc>
          <w:tcPr>
            <w:tcW w:w="1175" w:type="dxa"/>
          </w:tcPr>
          <w:p w14:paraId="5FFA47B9" w14:textId="77777777" w:rsidR="00084F36" w:rsidRPr="00EB2BD8" w:rsidRDefault="00084F36">
            <w:pPr>
              <w:pStyle w:val="TableParagraph"/>
              <w:rPr>
                <w:rFonts w:ascii="Times New Roman"/>
                <w:sz w:val="14"/>
              </w:rPr>
            </w:pPr>
          </w:p>
        </w:tc>
      </w:tr>
      <w:tr w:rsidR="00EB2BD8" w:rsidRPr="00EB2BD8" w14:paraId="67FC27A6" w14:textId="77777777">
        <w:trPr>
          <w:trHeight w:val="229"/>
        </w:trPr>
        <w:tc>
          <w:tcPr>
            <w:tcW w:w="1705" w:type="dxa"/>
          </w:tcPr>
          <w:p w14:paraId="1C1D066B" w14:textId="77777777" w:rsidR="00084F36" w:rsidRPr="00EB2BD8" w:rsidRDefault="00084F36">
            <w:pPr>
              <w:pStyle w:val="TableParagraph"/>
              <w:rPr>
                <w:rFonts w:ascii="Times New Roman"/>
                <w:sz w:val="14"/>
              </w:rPr>
            </w:pPr>
          </w:p>
        </w:tc>
        <w:tc>
          <w:tcPr>
            <w:tcW w:w="1464" w:type="dxa"/>
          </w:tcPr>
          <w:p w14:paraId="208BF943" w14:textId="77777777" w:rsidR="00084F36" w:rsidRPr="00EB2BD8" w:rsidRDefault="00084F36">
            <w:pPr>
              <w:pStyle w:val="TableParagraph"/>
              <w:rPr>
                <w:rFonts w:ascii="Times New Roman"/>
                <w:sz w:val="14"/>
              </w:rPr>
            </w:pPr>
          </w:p>
        </w:tc>
        <w:tc>
          <w:tcPr>
            <w:tcW w:w="2498" w:type="dxa"/>
          </w:tcPr>
          <w:p w14:paraId="34E63045" w14:textId="77777777" w:rsidR="00084F36" w:rsidRPr="00EB2BD8" w:rsidRDefault="00EB2BD8">
            <w:pPr>
              <w:pStyle w:val="TableParagraph"/>
              <w:spacing w:before="19"/>
              <w:ind w:left="334"/>
              <w:rPr>
                <w:sz w:val="16"/>
              </w:rPr>
            </w:pPr>
            <w:r w:rsidRPr="00EB2BD8">
              <w:rPr>
                <w:spacing w:val="-2"/>
                <w:sz w:val="16"/>
              </w:rPr>
              <w:t>work</w:t>
            </w:r>
            <w:r w:rsidRPr="00EB2BD8">
              <w:rPr>
                <w:spacing w:val="-12"/>
                <w:sz w:val="16"/>
              </w:rPr>
              <w:t xml:space="preserve"> </w:t>
            </w:r>
            <w:r w:rsidRPr="00EB2BD8">
              <w:rPr>
                <w:spacing w:val="-2"/>
                <w:sz w:val="16"/>
              </w:rPr>
              <w:t>within</w:t>
            </w:r>
            <w:r w:rsidRPr="00EB2BD8">
              <w:rPr>
                <w:spacing w:val="-12"/>
                <w:sz w:val="16"/>
              </w:rPr>
              <w:t xml:space="preserve"> </w:t>
            </w:r>
            <w:r w:rsidRPr="00EB2BD8">
              <w:rPr>
                <w:spacing w:val="-2"/>
                <w:sz w:val="16"/>
              </w:rPr>
              <w:t>the</w:t>
            </w:r>
            <w:r w:rsidRPr="00EB2BD8">
              <w:rPr>
                <w:spacing w:val="-12"/>
                <w:sz w:val="16"/>
              </w:rPr>
              <w:t xml:space="preserve"> </w:t>
            </w:r>
            <w:r w:rsidRPr="00EB2BD8">
              <w:rPr>
                <w:spacing w:val="-2"/>
                <w:sz w:val="16"/>
              </w:rPr>
              <w:t>specified</w:t>
            </w:r>
          </w:p>
        </w:tc>
        <w:tc>
          <w:tcPr>
            <w:tcW w:w="2277" w:type="dxa"/>
          </w:tcPr>
          <w:p w14:paraId="7DD691FE" w14:textId="77777777" w:rsidR="00084F36" w:rsidRPr="00EB2BD8" w:rsidRDefault="00084F36">
            <w:pPr>
              <w:pStyle w:val="TableParagraph"/>
              <w:rPr>
                <w:rFonts w:ascii="Times New Roman"/>
                <w:sz w:val="14"/>
              </w:rPr>
            </w:pPr>
          </w:p>
        </w:tc>
        <w:tc>
          <w:tcPr>
            <w:tcW w:w="1079" w:type="dxa"/>
          </w:tcPr>
          <w:p w14:paraId="2BABAFB1" w14:textId="77777777" w:rsidR="00084F36" w:rsidRPr="00EB2BD8" w:rsidRDefault="00084F36">
            <w:pPr>
              <w:pStyle w:val="TableParagraph"/>
              <w:rPr>
                <w:rFonts w:ascii="Times New Roman"/>
                <w:sz w:val="14"/>
              </w:rPr>
            </w:pPr>
          </w:p>
        </w:tc>
        <w:tc>
          <w:tcPr>
            <w:tcW w:w="1175" w:type="dxa"/>
          </w:tcPr>
          <w:p w14:paraId="747FDADC" w14:textId="77777777" w:rsidR="00084F36" w:rsidRPr="00EB2BD8" w:rsidRDefault="00084F36">
            <w:pPr>
              <w:pStyle w:val="TableParagraph"/>
              <w:rPr>
                <w:rFonts w:ascii="Times New Roman"/>
                <w:sz w:val="14"/>
              </w:rPr>
            </w:pPr>
          </w:p>
        </w:tc>
      </w:tr>
      <w:tr w:rsidR="00EB2BD8" w:rsidRPr="00EB2BD8" w14:paraId="2F100815" w14:textId="77777777">
        <w:trPr>
          <w:trHeight w:val="229"/>
        </w:trPr>
        <w:tc>
          <w:tcPr>
            <w:tcW w:w="1705" w:type="dxa"/>
          </w:tcPr>
          <w:p w14:paraId="4F8A03B7" w14:textId="77777777" w:rsidR="00084F36" w:rsidRPr="00EB2BD8" w:rsidRDefault="00084F36">
            <w:pPr>
              <w:pStyle w:val="TableParagraph"/>
              <w:rPr>
                <w:rFonts w:ascii="Times New Roman"/>
                <w:sz w:val="14"/>
              </w:rPr>
            </w:pPr>
          </w:p>
        </w:tc>
        <w:tc>
          <w:tcPr>
            <w:tcW w:w="1464" w:type="dxa"/>
          </w:tcPr>
          <w:p w14:paraId="7CBD5958" w14:textId="77777777" w:rsidR="00084F36" w:rsidRPr="00EB2BD8" w:rsidRDefault="00084F36">
            <w:pPr>
              <w:pStyle w:val="TableParagraph"/>
              <w:rPr>
                <w:rFonts w:ascii="Times New Roman"/>
                <w:sz w:val="14"/>
              </w:rPr>
            </w:pPr>
          </w:p>
        </w:tc>
        <w:tc>
          <w:tcPr>
            <w:tcW w:w="2498" w:type="dxa"/>
          </w:tcPr>
          <w:p w14:paraId="07198B52" w14:textId="77777777" w:rsidR="00084F36" w:rsidRPr="00EB2BD8" w:rsidRDefault="00EB2BD8">
            <w:pPr>
              <w:pStyle w:val="TableParagraph"/>
              <w:spacing w:before="19"/>
              <w:ind w:left="334"/>
              <w:rPr>
                <w:sz w:val="16"/>
              </w:rPr>
            </w:pPr>
            <w:r w:rsidRPr="00EB2BD8">
              <w:rPr>
                <w:sz w:val="16"/>
              </w:rPr>
              <w:t>period</w:t>
            </w:r>
            <w:r w:rsidRPr="00EB2BD8">
              <w:rPr>
                <w:spacing w:val="-10"/>
                <w:sz w:val="16"/>
              </w:rPr>
              <w:t xml:space="preserve"> </w:t>
            </w:r>
            <w:r w:rsidRPr="00EB2BD8">
              <w:rPr>
                <w:sz w:val="16"/>
              </w:rPr>
              <w:t>in</w:t>
            </w:r>
            <w:r w:rsidRPr="00EB2BD8">
              <w:rPr>
                <w:spacing w:val="-9"/>
                <w:sz w:val="16"/>
              </w:rPr>
              <w:t xml:space="preserve"> </w:t>
            </w:r>
            <w:r w:rsidRPr="00EB2BD8">
              <w:rPr>
                <w:sz w:val="16"/>
              </w:rPr>
              <w:t>respect</w:t>
            </w:r>
            <w:r w:rsidRPr="00EB2BD8">
              <w:rPr>
                <w:spacing w:val="-10"/>
                <w:sz w:val="16"/>
              </w:rPr>
              <w:t xml:space="preserve"> </w:t>
            </w:r>
            <w:r w:rsidRPr="00EB2BD8">
              <w:rPr>
                <w:sz w:val="16"/>
              </w:rPr>
              <w:t>of</w:t>
            </w:r>
            <w:r w:rsidRPr="00EB2BD8">
              <w:rPr>
                <w:spacing w:val="-9"/>
                <w:sz w:val="16"/>
              </w:rPr>
              <w:t xml:space="preserve"> </w:t>
            </w:r>
            <w:r w:rsidRPr="00EB2BD8">
              <w:rPr>
                <w:sz w:val="16"/>
              </w:rPr>
              <w:t>a</w:t>
            </w:r>
            <w:r w:rsidRPr="00EB2BD8">
              <w:rPr>
                <w:spacing w:val="-10"/>
                <w:sz w:val="16"/>
              </w:rPr>
              <w:t xml:space="preserve"> </w:t>
            </w:r>
            <w:r w:rsidRPr="00EB2BD8">
              <w:rPr>
                <w:spacing w:val="-4"/>
                <w:sz w:val="16"/>
              </w:rPr>
              <w:t>site</w:t>
            </w:r>
          </w:p>
        </w:tc>
        <w:tc>
          <w:tcPr>
            <w:tcW w:w="2277" w:type="dxa"/>
          </w:tcPr>
          <w:p w14:paraId="7A027020" w14:textId="77777777" w:rsidR="00084F36" w:rsidRPr="00EB2BD8" w:rsidRDefault="00084F36">
            <w:pPr>
              <w:pStyle w:val="TableParagraph"/>
              <w:rPr>
                <w:rFonts w:ascii="Times New Roman"/>
                <w:sz w:val="14"/>
              </w:rPr>
            </w:pPr>
          </w:p>
        </w:tc>
        <w:tc>
          <w:tcPr>
            <w:tcW w:w="1079" w:type="dxa"/>
          </w:tcPr>
          <w:p w14:paraId="4A946353" w14:textId="77777777" w:rsidR="00084F36" w:rsidRPr="00EB2BD8" w:rsidRDefault="00084F36">
            <w:pPr>
              <w:pStyle w:val="TableParagraph"/>
              <w:rPr>
                <w:rFonts w:ascii="Times New Roman"/>
                <w:sz w:val="14"/>
              </w:rPr>
            </w:pPr>
          </w:p>
        </w:tc>
        <w:tc>
          <w:tcPr>
            <w:tcW w:w="1175" w:type="dxa"/>
          </w:tcPr>
          <w:p w14:paraId="39B34FFA" w14:textId="77777777" w:rsidR="00084F36" w:rsidRPr="00EB2BD8" w:rsidRDefault="00084F36">
            <w:pPr>
              <w:pStyle w:val="TableParagraph"/>
              <w:rPr>
                <w:rFonts w:ascii="Times New Roman"/>
                <w:sz w:val="14"/>
              </w:rPr>
            </w:pPr>
          </w:p>
        </w:tc>
      </w:tr>
      <w:tr w:rsidR="00EB2BD8" w:rsidRPr="00EB2BD8" w14:paraId="360B4F84" w14:textId="77777777">
        <w:trPr>
          <w:trHeight w:val="285"/>
        </w:trPr>
        <w:tc>
          <w:tcPr>
            <w:tcW w:w="1705" w:type="dxa"/>
            <w:tcBorders>
              <w:bottom w:val="single" w:sz="2" w:space="0" w:color="000000"/>
            </w:tcBorders>
          </w:tcPr>
          <w:p w14:paraId="1512D470" w14:textId="77777777" w:rsidR="00084F36" w:rsidRPr="00EB2BD8" w:rsidRDefault="00084F36">
            <w:pPr>
              <w:pStyle w:val="TableParagraph"/>
              <w:rPr>
                <w:rFonts w:ascii="Times New Roman"/>
                <w:sz w:val="14"/>
              </w:rPr>
            </w:pPr>
          </w:p>
        </w:tc>
        <w:tc>
          <w:tcPr>
            <w:tcW w:w="1464" w:type="dxa"/>
            <w:tcBorders>
              <w:bottom w:val="single" w:sz="2" w:space="0" w:color="000000"/>
            </w:tcBorders>
          </w:tcPr>
          <w:p w14:paraId="0E6C991E" w14:textId="77777777" w:rsidR="00084F36" w:rsidRPr="00EB2BD8" w:rsidRDefault="00084F36">
            <w:pPr>
              <w:pStyle w:val="TableParagraph"/>
              <w:rPr>
                <w:rFonts w:ascii="Times New Roman"/>
                <w:sz w:val="14"/>
              </w:rPr>
            </w:pPr>
          </w:p>
        </w:tc>
        <w:tc>
          <w:tcPr>
            <w:tcW w:w="2498" w:type="dxa"/>
            <w:tcBorders>
              <w:bottom w:val="single" w:sz="2" w:space="0" w:color="000000"/>
            </w:tcBorders>
          </w:tcPr>
          <w:p w14:paraId="773AD1DC" w14:textId="77777777" w:rsidR="00084F36" w:rsidRPr="00EB2BD8" w:rsidRDefault="00EB2BD8">
            <w:pPr>
              <w:pStyle w:val="TableParagraph"/>
              <w:spacing w:before="19"/>
              <w:ind w:left="334"/>
              <w:rPr>
                <w:sz w:val="16"/>
              </w:rPr>
            </w:pPr>
            <w:r w:rsidRPr="00EB2BD8">
              <w:rPr>
                <w:w w:val="105"/>
                <w:sz w:val="16"/>
              </w:rPr>
              <w:t>at</w:t>
            </w:r>
            <w:r w:rsidRPr="00EB2BD8">
              <w:rPr>
                <w:spacing w:val="-10"/>
                <w:w w:val="105"/>
                <w:sz w:val="16"/>
              </w:rPr>
              <w:t xml:space="preserve"> </w:t>
            </w:r>
            <w:r w:rsidRPr="00EB2BD8">
              <w:rPr>
                <w:spacing w:val="-2"/>
                <w:w w:val="105"/>
                <w:sz w:val="16"/>
              </w:rPr>
              <w:t>Broadford.</w:t>
            </w:r>
          </w:p>
        </w:tc>
        <w:tc>
          <w:tcPr>
            <w:tcW w:w="2277" w:type="dxa"/>
            <w:tcBorders>
              <w:bottom w:val="single" w:sz="2" w:space="0" w:color="000000"/>
            </w:tcBorders>
          </w:tcPr>
          <w:p w14:paraId="2691ED71" w14:textId="77777777" w:rsidR="00084F36" w:rsidRPr="00EB2BD8" w:rsidRDefault="00084F36">
            <w:pPr>
              <w:pStyle w:val="TableParagraph"/>
              <w:rPr>
                <w:rFonts w:ascii="Times New Roman"/>
                <w:sz w:val="14"/>
              </w:rPr>
            </w:pPr>
          </w:p>
        </w:tc>
        <w:tc>
          <w:tcPr>
            <w:tcW w:w="1079" w:type="dxa"/>
            <w:tcBorders>
              <w:bottom w:val="single" w:sz="2" w:space="0" w:color="000000"/>
            </w:tcBorders>
          </w:tcPr>
          <w:p w14:paraId="474EE017" w14:textId="77777777" w:rsidR="00084F36" w:rsidRPr="00EB2BD8" w:rsidRDefault="00084F36">
            <w:pPr>
              <w:pStyle w:val="TableParagraph"/>
              <w:rPr>
                <w:rFonts w:ascii="Times New Roman"/>
                <w:sz w:val="14"/>
              </w:rPr>
            </w:pPr>
          </w:p>
        </w:tc>
        <w:tc>
          <w:tcPr>
            <w:tcW w:w="1175" w:type="dxa"/>
            <w:tcBorders>
              <w:bottom w:val="single" w:sz="2" w:space="0" w:color="000000"/>
            </w:tcBorders>
          </w:tcPr>
          <w:p w14:paraId="37F7BC9B" w14:textId="77777777" w:rsidR="00084F36" w:rsidRPr="00EB2BD8" w:rsidRDefault="00084F36">
            <w:pPr>
              <w:pStyle w:val="TableParagraph"/>
              <w:rPr>
                <w:rFonts w:ascii="Times New Roman"/>
                <w:sz w:val="14"/>
              </w:rPr>
            </w:pPr>
          </w:p>
        </w:tc>
      </w:tr>
      <w:tr w:rsidR="00EB2BD8" w:rsidRPr="00EB2BD8" w14:paraId="402080BF" w14:textId="77777777">
        <w:trPr>
          <w:trHeight w:val="325"/>
        </w:trPr>
        <w:tc>
          <w:tcPr>
            <w:tcW w:w="1705" w:type="dxa"/>
            <w:tcBorders>
              <w:top w:val="single" w:sz="2" w:space="0" w:color="000000"/>
            </w:tcBorders>
          </w:tcPr>
          <w:p w14:paraId="6AF6402F" w14:textId="77777777" w:rsidR="00084F36" w:rsidRPr="00EB2BD8" w:rsidRDefault="00EB2BD8">
            <w:pPr>
              <w:pStyle w:val="TableParagraph"/>
              <w:spacing w:before="115"/>
              <w:ind w:left="113"/>
              <w:rPr>
                <w:sz w:val="16"/>
              </w:rPr>
            </w:pPr>
            <w:r w:rsidRPr="00EB2BD8">
              <w:rPr>
                <w:spacing w:val="-7"/>
                <w:sz w:val="16"/>
              </w:rPr>
              <w:t>ALAN,</w:t>
            </w:r>
            <w:r w:rsidRPr="00EB2BD8">
              <w:rPr>
                <w:spacing w:val="-5"/>
                <w:sz w:val="16"/>
              </w:rPr>
              <w:t xml:space="preserve"> </w:t>
            </w:r>
            <w:r w:rsidRPr="00EB2BD8">
              <w:rPr>
                <w:spacing w:val="-2"/>
                <w:sz w:val="16"/>
              </w:rPr>
              <w:t>Mutlu</w:t>
            </w:r>
          </w:p>
        </w:tc>
        <w:tc>
          <w:tcPr>
            <w:tcW w:w="1464" w:type="dxa"/>
            <w:tcBorders>
              <w:top w:val="single" w:sz="2" w:space="0" w:color="000000"/>
            </w:tcBorders>
          </w:tcPr>
          <w:p w14:paraId="040944FD" w14:textId="77777777" w:rsidR="00084F36" w:rsidRPr="00EB2BD8" w:rsidRDefault="00EB2BD8">
            <w:pPr>
              <w:pStyle w:val="TableParagraph"/>
              <w:spacing w:before="115"/>
              <w:ind w:left="165"/>
              <w:rPr>
                <w:sz w:val="16"/>
              </w:rPr>
            </w:pPr>
            <w:r w:rsidRPr="00EB2BD8">
              <w:rPr>
                <w:sz w:val="16"/>
              </w:rPr>
              <w:t>DB-U</w:t>
            </w:r>
            <w:r w:rsidRPr="00EB2BD8">
              <w:rPr>
                <w:spacing w:val="22"/>
                <w:sz w:val="16"/>
              </w:rPr>
              <w:t xml:space="preserve"> </w:t>
            </w:r>
            <w:r w:rsidRPr="00EB2BD8">
              <w:rPr>
                <w:spacing w:val="-2"/>
                <w:sz w:val="16"/>
              </w:rPr>
              <w:t>47148</w:t>
            </w:r>
          </w:p>
        </w:tc>
        <w:tc>
          <w:tcPr>
            <w:tcW w:w="2498" w:type="dxa"/>
            <w:tcBorders>
              <w:top w:val="single" w:sz="2" w:space="0" w:color="000000"/>
            </w:tcBorders>
          </w:tcPr>
          <w:p w14:paraId="72A83F66" w14:textId="77777777" w:rsidR="00084F36" w:rsidRPr="00EB2BD8" w:rsidRDefault="00EB2BD8">
            <w:pPr>
              <w:pStyle w:val="TableParagraph"/>
              <w:spacing w:before="115"/>
              <w:ind w:left="334"/>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277" w:type="dxa"/>
            <w:tcBorders>
              <w:top w:val="single" w:sz="2" w:space="0" w:color="000000"/>
            </w:tcBorders>
          </w:tcPr>
          <w:p w14:paraId="3B9533AD" w14:textId="77777777" w:rsidR="00084F36" w:rsidRPr="00EB2BD8" w:rsidRDefault="00EB2BD8">
            <w:pPr>
              <w:pStyle w:val="TableParagraph"/>
              <w:spacing w:before="115"/>
              <w:ind w:left="115"/>
              <w:rPr>
                <w:sz w:val="16"/>
              </w:rPr>
            </w:pPr>
            <w:r w:rsidRPr="00EB2BD8">
              <w:rPr>
                <w:sz w:val="16"/>
              </w:rPr>
              <w:t>Reprimand</w:t>
            </w:r>
            <w:r w:rsidRPr="00EB2BD8">
              <w:rPr>
                <w:spacing w:val="2"/>
                <w:sz w:val="16"/>
              </w:rPr>
              <w:t xml:space="preserve"> </w:t>
            </w:r>
            <w:r w:rsidRPr="00EB2BD8">
              <w:rPr>
                <w:sz w:val="16"/>
              </w:rPr>
              <w:t>and</w:t>
            </w:r>
            <w:r w:rsidRPr="00EB2BD8">
              <w:rPr>
                <w:spacing w:val="3"/>
                <w:sz w:val="16"/>
              </w:rPr>
              <w:t xml:space="preserve"> </w:t>
            </w:r>
            <w:r w:rsidRPr="00EB2BD8">
              <w:rPr>
                <w:sz w:val="16"/>
              </w:rPr>
              <w:t>penalty</w:t>
            </w:r>
            <w:r w:rsidRPr="00EB2BD8">
              <w:rPr>
                <w:spacing w:val="2"/>
                <w:sz w:val="16"/>
              </w:rPr>
              <w:t xml:space="preserve"> </w:t>
            </w:r>
            <w:r w:rsidRPr="00EB2BD8">
              <w:rPr>
                <w:spacing w:val="-5"/>
                <w:sz w:val="16"/>
              </w:rPr>
              <w:t>of</w:t>
            </w:r>
          </w:p>
        </w:tc>
        <w:tc>
          <w:tcPr>
            <w:tcW w:w="1079" w:type="dxa"/>
            <w:tcBorders>
              <w:top w:val="single" w:sz="2" w:space="0" w:color="000000"/>
            </w:tcBorders>
          </w:tcPr>
          <w:p w14:paraId="65EC44FE" w14:textId="77777777" w:rsidR="00084F36" w:rsidRPr="00EB2BD8" w:rsidRDefault="00EB2BD8">
            <w:pPr>
              <w:pStyle w:val="TableParagraph"/>
              <w:spacing w:before="115"/>
              <w:ind w:right="109"/>
              <w:jc w:val="right"/>
              <w:rPr>
                <w:sz w:val="16"/>
              </w:rPr>
            </w:pPr>
            <w:r w:rsidRPr="00EB2BD8">
              <w:rPr>
                <w:spacing w:val="-2"/>
                <w:sz w:val="16"/>
              </w:rPr>
              <w:t>$2,500</w:t>
            </w:r>
          </w:p>
        </w:tc>
        <w:tc>
          <w:tcPr>
            <w:tcW w:w="1175" w:type="dxa"/>
            <w:tcBorders>
              <w:top w:val="single" w:sz="2" w:space="0" w:color="000000"/>
            </w:tcBorders>
          </w:tcPr>
          <w:p w14:paraId="341FB99D" w14:textId="77777777" w:rsidR="00084F36" w:rsidRPr="00EB2BD8" w:rsidRDefault="00EB2BD8">
            <w:pPr>
              <w:pStyle w:val="TableParagraph"/>
              <w:spacing w:before="115"/>
              <w:ind w:left="115"/>
              <w:rPr>
                <w:sz w:val="16"/>
              </w:rPr>
            </w:pPr>
            <w:r w:rsidRPr="00EB2BD8">
              <w:rPr>
                <w:spacing w:val="-2"/>
                <w:w w:val="95"/>
                <w:sz w:val="16"/>
              </w:rPr>
              <w:t>26/07/2022</w:t>
            </w:r>
          </w:p>
        </w:tc>
      </w:tr>
      <w:tr w:rsidR="00EB2BD8" w:rsidRPr="00EB2BD8" w14:paraId="407A06A2" w14:textId="77777777">
        <w:trPr>
          <w:trHeight w:val="230"/>
        </w:trPr>
        <w:tc>
          <w:tcPr>
            <w:tcW w:w="1705" w:type="dxa"/>
          </w:tcPr>
          <w:p w14:paraId="39F7E884" w14:textId="77777777" w:rsidR="00084F36" w:rsidRPr="00EB2BD8" w:rsidRDefault="00084F36">
            <w:pPr>
              <w:pStyle w:val="TableParagraph"/>
              <w:rPr>
                <w:rFonts w:ascii="Times New Roman"/>
                <w:sz w:val="14"/>
              </w:rPr>
            </w:pPr>
          </w:p>
        </w:tc>
        <w:tc>
          <w:tcPr>
            <w:tcW w:w="1464" w:type="dxa"/>
          </w:tcPr>
          <w:p w14:paraId="769FF494" w14:textId="77777777" w:rsidR="00084F36" w:rsidRPr="00EB2BD8" w:rsidRDefault="00084F36">
            <w:pPr>
              <w:pStyle w:val="TableParagraph"/>
              <w:rPr>
                <w:rFonts w:ascii="Times New Roman"/>
                <w:sz w:val="14"/>
              </w:rPr>
            </w:pPr>
          </w:p>
        </w:tc>
        <w:tc>
          <w:tcPr>
            <w:tcW w:w="2498" w:type="dxa"/>
          </w:tcPr>
          <w:p w14:paraId="7176CFCB" w14:textId="77777777" w:rsidR="00084F36" w:rsidRPr="00EB2BD8" w:rsidRDefault="00EB2BD8">
            <w:pPr>
              <w:pStyle w:val="TableParagraph"/>
              <w:spacing w:before="19"/>
              <w:ind w:left="334"/>
              <w:rPr>
                <w:sz w:val="16"/>
              </w:rPr>
            </w:pPr>
            <w:r w:rsidRPr="00EB2BD8">
              <w:rPr>
                <w:spacing w:val="-4"/>
                <w:sz w:val="16"/>
              </w:rPr>
              <w:t>direction</w:t>
            </w:r>
            <w:r w:rsidRPr="00EB2BD8">
              <w:rPr>
                <w:spacing w:val="-5"/>
                <w:sz w:val="16"/>
              </w:rPr>
              <w:t xml:space="preserve"> </w:t>
            </w:r>
            <w:r w:rsidRPr="00EB2BD8">
              <w:rPr>
                <w:spacing w:val="-4"/>
                <w:sz w:val="16"/>
              </w:rPr>
              <w:t>to fix building</w:t>
            </w:r>
          </w:p>
        </w:tc>
        <w:tc>
          <w:tcPr>
            <w:tcW w:w="2277" w:type="dxa"/>
          </w:tcPr>
          <w:p w14:paraId="760E8CAA" w14:textId="77777777" w:rsidR="00084F36" w:rsidRPr="00EB2BD8" w:rsidRDefault="00EB2BD8">
            <w:pPr>
              <w:pStyle w:val="TableParagraph"/>
              <w:spacing w:before="19"/>
              <w:ind w:left="115"/>
              <w:rPr>
                <w:sz w:val="16"/>
              </w:rPr>
            </w:pPr>
            <w:r w:rsidRPr="00EB2BD8">
              <w:rPr>
                <w:spacing w:val="-2"/>
                <w:sz w:val="16"/>
              </w:rPr>
              <w:t>$2,500.</w:t>
            </w:r>
          </w:p>
        </w:tc>
        <w:tc>
          <w:tcPr>
            <w:tcW w:w="1079" w:type="dxa"/>
          </w:tcPr>
          <w:p w14:paraId="27374195" w14:textId="77777777" w:rsidR="00084F36" w:rsidRPr="00EB2BD8" w:rsidRDefault="00084F36">
            <w:pPr>
              <w:pStyle w:val="TableParagraph"/>
              <w:rPr>
                <w:rFonts w:ascii="Times New Roman"/>
                <w:sz w:val="14"/>
              </w:rPr>
            </w:pPr>
          </w:p>
        </w:tc>
        <w:tc>
          <w:tcPr>
            <w:tcW w:w="1175" w:type="dxa"/>
          </w:tcPr>
          <w:p w14:paraId="0DDBB34B" w14:textId="77777777" w:rsidR="00084F36" w:rsidRPr="00EB2BD8" w:rsidRDefault="00084F36">
            <w:pPr>
              <w:pStyle w:val="TableParagraph"/>
              <w:rPr>
                <w:rFonts w:ascii="Times New Roman"/>
                <w:sz w:val="14"/>
              </w:rPr>
            </w:pPr>
          </w:p>
        </w:tc>
      </w:tr>
      <w:tr w:rsidR="00EB2BD8" w:rsidRPr="00EB2BD8" w14:paraId="1E130248" w14:textId="77777777">
        <w:trPr>
          <w:trHeight w:val="229"/>
        </w:trPr>
        <w:tc>
          <w:tcPr>
            <w:tcW w:w="1705" w:type="dxa"/>
          </w:tcPr>
          <w:p w14:paraId="245D4C25" w14:textId="77777777" w:rsidR="00084F36" w:rsidRPr="00EB2BD8" w:rsidRDefault="00084F36">
            <w:pPr>
              <w:pStyle w:val="TableParagraph"/>
              <w:rPr>
                <w:rFonts w:ascii="Times New Roman"/>
                <w:sz w:val="14"/>
              </w:rPr>
            </w:pPr>
          </w:p>
        </w:tc>
        <w:tc>
          <w:tcPr>
            <w:tcW w:w="1464" w:type="dxa"/>
          </w:tcPr>
          <w:p w14:paraId="2A3EF25F" w14:textId="77777777" w:rsidR="00084F36" w:rsidRPr="00EB2BD8" w:rsidRDefault="00084F36">
            <w:pPr>
              <w:pStyle w:val="TableParagraph"/>
              <w:rPr>
                <w:rFonts w:ascii="Times New Roman"/>
                <w:sz w:val="14"/>
              </w:rPr>
            </w:pPr>
          </w:p>
        </w:tc>
        <w:tc>
          <w:tcPr>
            <w:tcW w:w="2498" w:type="dxa"/>
          </w:tcPr>
          <w:p w14:paraId="4BE4F290" w14:textId="77777777" w:rsidR="00084F36" w:rsidRPr="00EB2BD8" w:rsidRDefault="00EB2BD8">
            <w:pPr>
              <w:pStyle w:val="TableParagraph"/>
              <w:spacing w:before="19"/>
              <w:ind w:left="334"/>
              <w:rPr>
                <w:sz w:val="16"/>
              </w:rPr>
            </w:pPr>
            <w:r w:rsidRPr="00EB2BD8">
              <w:rPr>
                <w:spacing w:val="-2"/>
                <w:sz w:val="16"/>
              </w:rPr>
              <w:t>work</w:t>
            </w:r>
            <w:r w:rsidRPr="00EB2BD8">
              <w:rPr>
                <w:spacing w:val="-12"/>
                <w:sz w:val="16"/>
              </w:rPr>
              <w:t xml:space="preserve"> </w:t>
            </w:r>
            <w:r w:rsidRPr="00EB2BD8">
              <w:rPr>
                <w:spacing w:val="-2"/>
                <w:sz w:val="16"/>
              </w:rPr>
              <w:t>within</w:t>
            </w:r>
            <w:r w:rsidRPr="00EB2BD8">
              <w:rPr>
                <w:spacing w:val="-12"/>
                <w:sz w:val="16"/>
              </w:rPr>
              <w:t xml:space="preserve"> </w:t>
            </w:r>
            <w:r w:rsidRPr="00EB2BD8">
              <w:rPr>
                <w:spacing w:val="-2"/>
                <w:sz w:val="16"/>
              </w:rPr>
              <w:t>the</w:t>
            </w:r>
            <w:r w:rsidRPr="00EB2BD8">
              <w:rPr>
                <w:spacing w:val="-12"/>
                <w:sz w:val="16"/>
              </w:rPr>
              <w:t xml:space="preserve"> </w:t>
            </w:r>
            <w:r w:rsidRPr="00EB2BD8">
              <w:rPr>
                <w:spacing w:val="-2"/>
                <w:sz w:val="16"/>
              </w:rPr>
              <w:t>specified</w:t>
            </w:r>
          </w:p>
        </w:tc>
        <w:tc>
          <w:tcPr>
            <w:tcW w:w="2277" w:type="dxa"/>
          </w:tcPr>
          <w:p w14:paraId="293A662A" w14:textId="77777777" w:rsidR="00084F36" w:rsidRPr="00EB2BD8" w:rsidRDefault="00084F36">
            <w:pPr>
              <w:pStyle w:val="TableParagraph"/>
              <w:rPr>
                <w:rFonts w:ascii="Times New Roman"/>
                <w:sz w:val="14"/>
              </w:rPr>
            </w:pPr>
          </w:p>
        </w:tc>
        <w:tc>
          <w:tcPr>
            <w:tcW w:w="1079" w:type="dxa"/>
          </w:tcPr>
          <w:p w14:paraId="406E29A8" w14:textId="77777777" w:rsidR="00084F36" w:rsidRPr="00EB2BD8" w:rsidRDefault="00084F36">
            <w:pPr>
              <w:pStyle w:val="TableParagraph"/>
              <w:rPr>
                <w:rFonts w:ascii="Times New Roman"/>
                <w:sz w:val="14"/>
              </w:rPr>
            </w:pPr>
          </w:p>
        </w:tc>
        <w:tc>
          <w:tcPr>
            <w:tcW w:w="1175" w:type="dxa"/>
          </w:tcPr>
          <w:p w14:paraId="5D40E80C" w14:textId="77777777" w:rsidR="00084F36" w:rsidRPr="00EB2BD8" w:rsidRDefault="00084F36">
            <w:pPr>
              <w:pStyle w:val="TableParagraph"/>
              <w:rPr>
                <w:rFonts w:ascii="Times New Roman"/>
                <w:sz w:val="14"/>
              </w:rPr>
            </w:pPr>
          </w:p>
        </w:tc>
      </w:tr>
      <w:tr w:rsidR="00EB2BD8" w:rsidRPr="00EB2BD8" w14:paraId="01E87BFC" w14:textId="77777777">
        <w:trPr>
          <w:trHeight w:val="229"/>
        </w:trPr>
        <w:tc>
          <w:tcPr>
            <w:tcW w:w="1705" w:type="dxa"/>
          </w:tcPr>
          <w:p w14:paraId="5A4B498A" w14:textId="77777777" w:rsidR="00084F36" w:rsidRPr="00EB2BD8" w:rsidRDefault="00084F36">
            <w:pPr>
              <w:pStyle w:val="TableParagraph"/>
              <w:rPr>
                <w:rFonts w:ascii="Times New Roman"/>
                <w:sz w:val="14"/>
              </w:rPr>
            </w:pPr>
          </w:p>
        </w:tc>
        <w:tc>
          <w:tcPr>
            <w:tcW w:w="1464" w:type="dxa"/>
          </w:tcPr>
          <w:p w14:paraId="1551149E" w14:textId="77777777" w:rsidR="00084F36" w:rsidRPr="00EB2BD8" w:rsidRDefault="00084F36">
            <w:pPr>
              <w:pStyle w:val="TableParagraph"/>
              <w:rPr>
                <w:rFonts w:ascii="Times New Roman"/>
                <w:sz w:val="14"/>
              </w:rPr>
            </w:pPr>
          </w:p>
        </w:tc>
        <w:tc>
          <w:tcPr>
            <w:tcW w:w="2498" w:type="dxa"/>
          </w:tcPr>
          <w:p w14:paraId="6290B0F0" w14:textId="77777777" w:rsidR="00084F36" w:rsidRPr="00EB2BD8" w:rsidRDefault="00EB2BD8">
            <w:pPr>
              <w:pStyle w:val="TableParagraph"/>
              <w:spacing w:before="19"/>
              <w:ind w:left="334"/>
              <w:rPr>
                <w:sz w:val="16"/>
              </w:rPr>
            </w:pPr>
            <w:r w:rsidRPr="00EB2BD8">
              <w:rPr>
                <w:sz w:val="16"/>
              </w:rPr>
              <w:t>period</w:t>
            </w:r>
            <w:r w:rsidRPr="00EB2BD8">
              <w:rPr>
                <w:spacing w:val="-10"/>
                <w:sz w:val="16"/>
              </w:rPr>
              <w:t xml:space="preserve"> </w:t>
            </w:r>
            <w:r w:rsidRPr="00EB2BD8">
              <w:rPr>
                <w:sz w:val="16"/>
              </w:rPr>
              <w:t>in</w:t>
            </w:r>
            <w:r w:rsidRPr="00EB2BD8">
              <w:rPr>
                <w:spacing w:val="-9"/>
                <w:sz w:val="16"/>
              </w:rPr>
              <w:t xml:space="preserve"> </w:t>
            </w:r>
            <w:r w:rsidRPr="00EB2BD8">
              <w:rPr>
                <w:sz w:val="16"/>
              </w:rPr>
              <w:t>respect</w:t>
            </w:r>
            <w:r w:rsidRPr="00EB2BD8">
              <w:rPr>
                <w:spacing w:val="-10"/>
                <w:sz w:val="16"/>
              </w:rPr>
              <w:t xml:space="preserve"> </w:t>
            </w:r>
            <w:r w:rsidRPr="00EB2BD8">
              <w:rPr>
                <w:sz w:val="16"/>
              </w:rPr>
              <w:t>of</w:t>
            </w:r>
            <w:r w:rsidRPr="00EB2BD8">
              <w:rPr>
                <w:spacing w:val="-9"/>
                <w:sz w:val="16"/>
              </w:rPr>
              <w:t xml:space="preserve"> </w:t>
            </w:r>
            <w:r w:rsidRPr="00EB2BD8">
              <w:rPr>
                <w:sz w:val="16"/>
              </w:rPr>
              <w:t>a</w:t>
            </w:r>
            <w:r w:rsidRPr="00EB2BD8">
              <w:rPr>
                <w:spacing w:val="-10"/>
                <w:sz w:val="16"/>
              </w:rPr>
              <w:t xml:space="preserve"> </w:t>
            </w:r>
            <w:r w:rsidRPr="00EB2BD8">
              <w:rPr>
                <w:spacing w:val="-4"/>
                <w:sz w:val="16"/>
              </w:rPr>
              <w:t>site</w:t>
            </w:r>
          </w:p>
        </w:tc>
        <w:tc>
          <w:tcPr>
            <w:tcW w:w="2277" w:type="dxa"/>
          </w:tcPr>
          <w:p w14:paraId="63E0C239" w14:textId="77777777" w:rsidR="00084F36" w:rsidRPr="00EB2BD8" w:rsidRDefault="00084F36">
            <w:pPr>
              <w:pStyle w:val="TableParagraph"/>
              <w:rPr>
                <w:rFonts w:ascii="Times New Roman"/>
                <w:sz w:val="14"/>
              </w:rPr>
            </w:pPr>
          </w:p>
        </w:tc>
        <w:tc>
          <w:tcPr>
            <w:tcW w:w="1079" w:type="dxa"/>
          </w:tcPr>
          <w:p w14:paraId="4087F925" w14:textId="77777777" w:rsidR="00084F36" w:rsidRPr="00EB2BD8" w:rsidRDefault="00084F36">
            <w:pPr>
              <w:pStyle w:val="TableParagraph"/>
              <w:rPr>
                <w:rFonts w:ascii="Times New Roman"/>
                <w:sz w:val="14"/>
              </w:rPr>
            </w:pPr>
          </w:p>
        </w:tc>
        <w:tc>
          <w:tcPr>
            <w:tcW w:w="1175" w:type="dxa"/>
          </w:tcPr>
          <w:p w14:paraId="3B6DE49F" w14:textId="77777777" w:rsidR="00084F36" w:rsidRPr="00EB2BD8" w:rsidRDefault="00084F36">
            <w:pPr>
              <w:pStyle w:val="TableParagraph"/>
              <w:rPr>
                <w:rFonts w:ascii="Times New Roman"/>
                <w:sz w:val="14"/>
              </w:rPr>
            </w:pPr>
          </w:p>
        </w:tc>
      </w:tr>
      <w:tr w:rsidR="00EB2BD8" w:rsidRPr="00EB2BD8" w14:paraId="2E4BF217" w14:textId="77777777">
        <w:trPr>
          <w:trHeight w:val="286"/>
        </w:trPr>
        <w:tc>
          <w:tcPr>
            <w:tcW w:w="1705" w:type="dxa"/>
            <w:tcBorders>
              <w:bottom w:val="single" w:sz="2" w:space="0" w:color="000000"/>
            </w:tcBorders>
          </w:tcPr>
          <w:p w14:paraId="4EE92C51" w14:textId="77777777" w:rsidR="00084F36" w:rsidRPr="00EB2BD8" w:rsidRDefault="00084F36">
            <w:pPr>
              <w:pStyle w:val="TableParagraph"/>
              <w:rPr>
                <w:rFonts w:ascii="Times New Roman"/>
                <w:sz w:val="14"/>
              </w:rPr>
            </w:pPr>
          </w:p>
        </w:tc>
        <w:tc>
          <w:tcPr>
            <w:tcW w:w="1464" w:type="dxa"/>
            <w:tcBorders>
              <w:bottom w:val="single" w:sz="2" w:space="0" w:color="000000"/>
            </w:tcBorders>
          </w:tcPr>
          <w:p w14:paraId="6255FAFD" w14:textId="77777777" w:rsidR="00084F36" w:rsidRPr="00EB2BD8" w:rsidRDefault="00084F36">
            <w:pPr>
              <w:pStyle w:val="TableParagraph"/>
              <w:rPr>
                <w:rFonts w:ascii="Times New Roman"/>
                <w:sz w:val="14"/>
              </w:rPr>
            </w:pPr>
          </w:p>
        </w:tc>
        <w:tc>
          <w:tcPr>
            <w:tcW w:w="2498" w:type="dxa"/>
            <w:tcBorders>
              <w:bottom w:val="single" w:sz="2" w:space="0" w:color="000000"/>
            </w:tcBorders>
          </w:tcPr>
          <w:p w14:paraId="178AAB68" w14:textId="77777777" w:rsidR="00084F36" w:rsidRPr="00EB2BD8" w:rsidRDefault="00EB2BD8">
            <w:pPr>
              <w:pStyle w:val="TableParagraph"/>
              <w:spacing w:before="19"/>
              <w:ind w:left="334"/>
              <w:rPr>
                <w:sz w:val="16"/>
              </w:rPr>
            </w:pPr>
            <w:r w:rsidRPr="00EB2BD8">
              <w:rPr>
                <w:w w:val="105"/>
                <w:sz w:val="16"/>
              </w:rPr>
              <w:t>at</w:t>
            </w:r>
            <w:r w:rsidRPr="00EB2BD8">
              <w:rPr>
                <w:spacing w:val="-10"/>
                <w:w w:val="105"/>
                <w:sz w:val="16"/>
              </w:rPr>
              <w:t xml:space="preserve"> </w:t>
            </w:r>
            <w:r w:rsidRPr="00EB2BD8">
              <w:rPr>
                <w:spacing w:val="-2"/>
                <w:w w:val="105"/>
                <w:sz w:val="16"/>
              </w:rPr>
              <w:t>Thornbury.</w:t>
            </w:r>
          </w:p>
        </w:tc>
        <w:tc>
          <w:tcPr>
            <w:tcW w:w="2277" w:type="dxa"/>
            <w:tcBorders>
              <w:bottom w:val="single" w:sz="2" w:space="0" w:color="000000"/>
            </w:tcBorders>
          </w:tcPr>
          <w:p w14:paraId="3DDE730C" w14:textId="77777777" w:rsidR="00084F36" w:rsidRPr="00EB2BD8" w:rsidRDefault="00084F36">
            <w:pPr>
              <w:pStyle w:val="TableParagraph"/>
              <w:rPr>
                <w:rFonts w:ascii="Times New Roman"/>
                <w:sz w:val="14"/>
              </w:rPr>
            </w:pPr>
          </w:p>
        </w:tc>
        <w:tc>
          <w:tcPr>
            <w:tcW w:w="1079" w:type="dxa"/>
            <w:tcBorders>
              <w:bottom w:val="single" w:sz="2" w:space="0" w:color="000000"/>
            </w:tcBorders>
          </w:tcPr>
          <w:p w14:paraId="19F06B07" w14:textId="77777777" w:rsidR="00084F36" w:rsidRPr="00EB2BD8" w:rsidRDefault="00084F36">
            <w:pPr>
              <w:pStyle w:val="TableParagraph"/>
              <w:rPr>
                <w:rFonts w:ascii="Times New Roman"/>
                <w:sz w:val="14"/>
              </w:rPr>
            </w:pPr>
          </w:p>
        </w:tc>
        <w:tc>
          <w:tcPr>
            <w:tcW w:w="1175" w:type="dxa"/>
            <w:tcBorders>
              <w:bottom w:val="single" w:sz="2" w:space="0" w:color="000000"/>
            </w:tcBorders>
          </w:tcPr>
          <w:p w14:paraId="3746B2F3" w14:textId="77777777" w:rsidR="00084F36" w:rsidRPr="00EB2BD8" w:rsidRDefault="00084F36">
            <w:pPr>
              <w:pStyle w:val="TableParagraph"/>
              <w:rPr>
                <w:rFonts w:ascii="Times New Roman"/>
                <w:sz w:val="14"/>
              </w:rPr>
            </w:pPr>
          </w:p>
        </w:tc>
      </w:tr>
      <w:tr w:rsidR="00EB2BD8" w:rsidRPr="00EB2BD8" w14:paraId="7BE7A4BC" w14:textId="77777777">
        <w:trPr>
          <w:trHeight w:val="325"/>
        </w:trPr>
        <w:tc>
          <w:tcPr>
            <w:tcW w:w="1705" w:type="dxa"/>
            <w:tcBorders>
              <w:top w:val="single" w:sz="2" w:space="0" w:color="000000"/>
            </w:tcBorders>
          </w:tcPr>
          <w:p w14:paraId="32931FB8" w14:textId="77777777" w:rsidR="00084F36" w:rsidRPr="00EB2BD8" w:rsidRDefault="00EB2BD8">
            <w:pPr>
              <w:pStyle w:val="TableParagraph"/>
              <w:spacing w:before="115"/>
              <w:ind w:left="113"/>
              <w:rPr>
                <w:sz w:val="16"/>
              </w:rPr>
            </w:pPr>
            <w:r w:rsidRPr="00EB2BD8">
              <w:rPr>
                <w:spacing w:val="-7"/>
                <w:sz w:val="16"/>
              </w:rPr>
              <w:t>ALAN,</w:t>
            </w:r>
            <w:r w:rsidRPr="00EB2BD8">
              <w:rPr>
                <w:spacing w:val="-5"/>
                <w:sz w:val="16"/>
              </w:rPr>
              <w:t xml:space="preserve"> </w:t>
            </w:r>
            <w:r w:rsidRPr="00EB2BD8">
              <w:rPr>
                <w:spacing w:val="-2"/>
                <w:sz w:val="16"/>
              </w:rPr>
              <w:t>Mutlu</w:t>
            </w:r>
          </w:p>
        </w:tc>
        <w:tc>
          <w:tcPr>
            <w:tcW w:w="1464" w:type="dxa"/>
            <w:tcBorders>
              <w:top w:val="single" w:sz="2" w:space="0" w:color="000000"/>
            </w:tcBorders>
          </w:tcPr>
          <w:p w14:paraId="513494A2" w14:textId="77777777" w:rsidR="00084F36" w:rsidRPr="00EB2BD8" w:rsidRDefault="00EB2BD8">
            <w:pPr>
              <w:pStyle w:val="TableParagraph"/>
              <w:spacing w:before="115"/>
              <w:ind w:left="165"/>
              <w:rPr>
                <w:sz w:val="16"/>
              </w:rPr>
            </w:pPr>
            <w:r w:rsidRPr="00EB2BD8">
              <w:rPr>
                <w:sz w:val="16"/>
              </w:rPr>
              <w:t>DB-U</w:t>
            </w:r>
            <w:r w:rsidRPr="00EB2BD8">
              <w:rPr>
                <w:spacing w:val="22"/>
                <w:sz w:val="16"/>
              </w:rPr>
              <w:t xml:space="preserve"> </w:t>
            </w:r>
            <w:r w:rsidRPr="00EB2BD8">
              <w:rPr>
                <w:spacing w:val="-2"/>
                <w:sz w:val="16"/>
              </w:rPr>
              <w:t>47148</w:t>
            </w:r>
          </w:p>
        </w:tc>
        <w:tc>
          <w:tcPr>
            <w:tcW w:w="2498" w:type="dxa"/>
            <w:tcBorders>
              <w:top w:val="single" w:sz="2" w:space="0" w:color="000000"/>
            </w:tcBorders>
          </w:tcPr>
          <w:p w14:paraId="6936ECEE" w14:textId="77777777" w:rsidR="00084F36" w:rsidRPr="00EB2BD8" w:rsidRDefault="00EB2BD8">
            <w:pPr>
              <w:pStyle w:val="TableParagraph"/>
              <w:spacing w:before="115"/>
              <w:ind w:left="334"/>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277" w:type="dxa"/>
            <w:tcBorders>
              <w:top w:val="single" w:sz="2" w:space="0" w:color="000000"/>
            </w:tcBorders>
          </w:tcPr>
          <w:p w14:paraId="7B2C5DBE" w14:textId="77777777" w:rsidR="00084F36" w:rsidRPr="00EB2BD8" w:rsidRDefault="00EB2BD8">
            <w:pPr>
              <w:pStyle w:val="TableParagraph"/>
              <w:spacing w:before="114"/>
              <w:ind w:left="115"/>
              <w:rPr>
                <w:sz w:val="16"/>
              </w:rPr>
            </w:pPr>
            <w:r w:rsidRPr="00EB2BD8">
              <w:rPr>
                <w:sz w:val="16"/>
              </w:rPr>
              <w:t>Reprimand</w:t>
            </w:r>
            <w:r w:rsidRPr="00EB2BD8">
              <w:rPr>
                <w:spacing w:val="2"/>
                <w:sz w:val="16"/>
              </w:rPr>
              <w:t xml:space="preserve"> </w:t>
            </w:r>
            <w:r w:rsidRPr="00EB2BD8">
              <w:rPr>
                <w:sz w:val="16"/>
              </w:rPr>
              <w:t>and</w:t>
            </w:r>
            <w:r w:rsidRPr="00EB2BD8">
              <w:rPr>
                <w:spacing w:val="3"/>
                <w:sz w:val="16"/>
              </w:rPr>
              <w:t xml:space="preserve"> </w:t>
            </w:r>
            <w:r w:rsidRPr="00EB2BD8">
              <w:rPr>
                <w:sz w:val="16"/>
              </w:rPr>
              <w:t>penalty</w:t>
            </w:r>
            <w:r w:rsidRPr="00EB2BD8">
              <w:rPr>
                <w:spacing w:val="2"/>
                <w:sz w:val="16"/>
              </w:rPr>
              <w:t xml:space="preserve"> </w:t>
            </w:r>
            <w:r w:rsidRPr="00EB2BD8">
              <w:rPr>
                <w:spacing w:val="-5"/>
                <w:sz w:val="16"/>
              </w:rPr>
              <w:t>of</w:t>
            </w:r>
          </w:p>
        </w:tc>
        <w:tc>
          <w:tcPr>
            <w:tcW w:w="1079" w:type="dxa"/>
            <w:tcBorders>
              <w:top w:val="single" w:sz="2" w:space="0" w:color="000000"/>
            </w:tcBorders>
          </w:tcPr>
          <w:p w14:paraId="701548D1" w14:textId="77777777" w:rsidR="00084F36" w:rsidRPr="00EB2BD8" w:rsidRDefault="00EB2BD8">
            <w:pPr>
              <w:pStyle w:val="TableParagraph"/>
              <w:spacing w:before="114"/>
              <w:ind w:right="109"/>
              <w:jc w:val="right"/>
              <w:rPr>
                <w:sz w:val="16"/>
              </w:rPr>
            </w:pPr>
            <w:r w:rsidRPr="00EB2BD8">
              <w:rPr>
                <w:spacing w:val="-2"/>
                <w:sz w:val="16"/>
              </w:rPr>
              <w:t>$4,000</w:t>
            </w:r>
          </w:p>
        </w:tc>
        <w:tc>
          <w:tcPr>
            <w:tcW w:w="1175" w:type="dxa"/>
            <w:tcBorders>
              <w:top w:val="single" w:sz="2" w:space="0" w:color="000000"/>
            </w:tcBorders>
          </w:tcPr>
          <w:p w14:paraId="7B97716F" w14:textId="77777777" w:rsidR="00084F36" w:rsidRPr="00EB2BD8" w:rsidRDefault="00EB2BD8">
            <w:pPr>
              <w:pStyle w:val="TableParagraph"/>
              <w:spacing w:before="114"/>
              <w:ind w:left="115"/>
              <w:rPr>
                <w:sz w:val="16"/>
              </w:rPr>
            </w:pPr>
            <w:r w:rsidRPr="00EB2BD8">
              <w:rPr>
                <w:spacing w:val="-2"/>
                <w:w w:val="95"/>
                <w:sz w:val="16"/>
              </w:rPr>
              <w:t>26/07/2022</w:t>
            </w:r>
          </w:p>
        </w:tc>
      </w:tr>
      <w:tr w:rsidR="00EB2BD8" w:rsidRPr="00EB2BD8" w14:paraId="68E1E9A3" w14:textId="77777777">
        <w:trPr>
          <w:trHeight w:val="230"/>
        </w:trPr>
        <w:tc>
          <w:tcPr>
            <w:tcW w:w="1705" w:type="dxa"/>
          </w:tcPr>
          <w:p w14:paraId="00A7B26B" w14:textId="77777777" w:rsidR="00084F36" w:rsidRPr="00EB2BD8" w:rsidRDefault="00084F36">
            <w:pPr>
              <w:pStyle w:val="TableParagraph"/>
              <w:rPr>
                <w:rFonts w:ascii="Times New Roman"/>
                <w:sz w:val="14"/>
              </w:rPr>
            </w:pPr>
          </w:p>
        </w:tc>
        <w:tc>
          <w:tcPr>
            <w:tcW w:w="1464" w:type="dxa"/>
          </w:tcPr>
          <w:p w14:paraId="3C745890" w14:textId="77777777" w:rsidR="00084F36" w:rsidRPr="00EB2BD8" w:rsidRDefault="00084F36">
            <w:pPr>
              <w:pStyle w:val="TableParagraph"/>
              <w:rPr>
                <w:rFonts w:ascii="Times New Roman"/>
                <w:sz w:val="14"/>
              </w:rPr>
            </w:pPr>
          </w:p>
        </w:tc>
        <w:tc>
          <w:tcPr>
            <w:tcW w:w="2498" w:type="dxa"/>
          </w:tcPr>
          <w:p w14:paraId="56764DCD" w14:textId="77777777" w:rsidR="00084F36" w:rsidRPr="00EB2BD8" w:rsidRDefault="00EB2BD8">
            <w:pPr>
              <w:pStyle w:val="TableParagraph"/>
              <w:spacing w:before="19"/>
              <w:ind w:left="334"/>
              <w:rPr>
                <w:sz w:val="16"/>
              </w:rPr>
            </w:pPr>
            <w:r w:rsidRPr="00EB2BD8">
              <w:rPr>
                <w:spacing w:val="-4"/>
                <w:sz w:val="16"/>
              </w:rPr>
              <w:t>direction</w:t>
            </w:r>
            <w:r w:rsidRPr="00EB2BD8">
              <w:rPr>
                <w:spacing w:val="-5"/>
                <w:sz w:val="16"/>
              </w:rPr>
              <w:t xml:space="preserve"> </w:t>
            </w:r>
            <w:r w:rsidRPr="00EB2BD8">
              <w:rPr>
                <w:spacing w:val="-4"/>
                <w:sz w:val="16"/>
              </w:rPr>
              <w:t>to fix building</w:t>
            </w:r>
          </w:p>
        </w:tc>
        <w:tc>
          <w:tcPr>
            <w:tcW w:w="2277" w:type="dxa"/>
          </w:tcPr>
          <w:p w14:paraId="13938D56" w14:textId="77777777" w:rsidR="00084F36" w:rsidRPr="00EB2BD8" w:rsidRDefault="00EB2BD8">
            <w:pPr>
              <w:pStyle w:val="TableParagraph"/>
              <w:spacing w:before="19"/>
              <w:ind w:left="115"/>
              <w:rPr>
                <w:sz w:val="16"/>
              </w:rPr>
            </w:pPr>
            <w:r w:rsidRPr="00EB2BD8">
              <w:rPr>
                <w:spacing w:val="-2"/>
                <w:sz w:val="16"/>
              </w:rPr>
              <w:t>$4,000.</w:t>
            </w:r>
          </w:p>
        </w:tc>
        <w:tc>
          <w:tcPr>
            <w:tcW w:w="1079" w:type="dxa"/>
          </w:tcPr>
          <w:p w14:paraId="1EA1EA3F" w14:textId="77777777" w:rsidR="00084F36" w:rsidRPr="00EB2BD8" w:rsidRDefault="00084F36">
            <w:pPr>
              <w:pStyle w:val="TableParagraph"/>
              <w:rPr>
                <w:rFonts w:ascii="Times New Roman"/>
                <w:sz w:val="14"/>
              </w:rPr>
            </w:pPr>
          </w:p>
        </w:tc>
        <w:tc>
          <w:tcPr>
            <w:tcW w:w="1175" w:type="dxa"/>
          </w:tcPr>
          <w:p w14:paraId="44A429BC" w14:textId="77777777" w:rsidR="00084F36" w:rsidRPr="00EB2BD8" w:rsidRDefault="00084F36">
            <w:pPr>
              <w:pStyle w:val="TableParagraph"/>
              <w:rPr>
                <w:rFonts w:ascii="Times New Roman"/>
                <w:sz w:val="14"/>
              </w:rPr>
            </w:pPr>
          </w:p>
        </w:tc>
      </w:tr>
      <w:tr w:rsidR="00EB2BD8" w:rsidRPr="00EB2BD8" w14:paraId="7B4EC1E3" w14:textId="77777777">
        <w:trPr>
          <w:trHeight w:val="229"/>
        </w:trPr>
        <w:tc>
          <w:tcPr>
            <w:tcW w:w="1705" w:type="dxa"/>
          </w:tcPr>
          <w:p w14:paraId="3DCCF1F9" w14:textId="77777777" w:rsidR="00084F36" w:rsidRPr="00EB2BD8" w:rsidRDefault="00084F36">
            <w:pPr>
              <w:pStyle w:val="TableParagraph"/>
              <w:rPr>
                <w:rFonts w:ascii="Times New Roman"/>
                <w:sz w:val="14"/>
              </w:rPr>
            </w:pPr>
          </w:p>
        </w:tc>
        <w:tc>
          <w:tcPr>
            <w:tcW w:w="1464" w:type="dxa"/>
          </w:tcPr>
          <w:p w14:paraId="7A6BBC8A" w14:textId="77777777" w:rsidR="00084F36" w:rsidRPr="00EB2BD8" w:rsidRDefault="00084F36">
            <w:pPr>
              <w:pStyle w:val="TableParagraph"/>
              <w:rPr>
                <w:rFonts w:ascii="Times New Roman"/>
                <w:sz w:val="14"/>
              </w:rPr>
            </w:pPr>
          </w:p>
        </w:tc>
        <w:tc>
          <w:tcPr>
            <w:tcW w:w="2498" w:type="dxa"/>
          </w:tcPr>
          <w:p w14:paraId="122CE73B" w14:textId="77777777" w:rsidR="00084F36" w:rsidRPr="00EB2BD8" w:rsidRDefault="00EB2BD8">
            <w:pPr>
              <w:pStyle w:val="TableParagraph"/>
              <w:spacing w:before="19"/>
              <w:ind w:left="334"/>
              <w:rPr>
                <w:sz w:val="16"/>
              </w:rPr>
            </w:pPr>
            <w:r w:rsidRPr="00EB2BD8">
              <w:rPr>
                <w:spacing w:val="-2"/>
                <w:sz w:val="16"/>
              </w:rPr>
              <w:t>work</w:t>
            </w:r>
            <w:r w:rsidRPr="00EB2BD8">
              <w:rPr>
                <w:spacing w:val="-12"/>
                <w:sz w:val="16"/>
              </w:rPr>
              <w:t xml:space="preserve"> </w:t>
            </w:r>
            <w:r w:rsidRPr="00EB2BD8">
              <w:rPr>
                <w:spacing w:val="-2"/>
                <w:sz w:val="16"/>
              </w:rPr>
              <w:t>within</w:t>
            </w:r>
            <w:r w:rsidRPr="00EB2BD8">
              <w:rPr>
                <w:spacing w:val="-12"/>
                <w:sz w:val="16"/>
              </w:rPr>
              <w:t xml:space="preserve"> </w:t>
            </w:r>
            <w:r w:rsidRPr="00EB2BD8">
              <w:rPr>
                <w:spacing w:val="-2"/>
                <w:sz w:val="16"/>
              </w:rPr>
              <w:t>the</w:t>
            </w:r>
            <w:r w:rsidRPr="00EB2BD8">
              <w:rPr>
                <w:spacing w:val="-12"/>
                <w:sz w:val="16"/>
              </w:rPr>
              <w:t xml:space="preserve"> </w:t>
            </w:r>
            <w:r w:rsidRPr="00EB2BD8">
              <w:rPr>
                <w:spacing w:val="-2"/>
                <w:sz w:val="16"/>
              </w:rPr>
              <w:t>specified</w:t>
            </w:r>
          </w:p>
        </w:tc>
        <w:tc>
          <w:tcPr>
            <w:tcW w:w="2277" w:type="dxa"/>
          </w:tcPr>
          <w:p w14:paraId="5FAF87E4" w14:textId="77777777" w:rsidR="00084F36" w:rsidRPr="00EB2BD8" w:rsidRDefault="00084F36">
            <w:pPr>
              <w:pStyle w:val="TableParagraph"/>
              <w:rPr>
                <w:rFonts w:ascii="Times New Roman"/>
                <w:sz w:val="14"/>
              </w:rPr>
            </w:pPr>
          </w:p>
        </w:tc>
        <w:tc>
          <w:tcPr>
            <w:tcW w:w="1079" w:type="dxa"/>
          </w:tcPr>
          <w:p w14:paraId="6BFD1E47" w14:textId="77777777" w:rsidR="00084F36" w:rsidRPr="00EB2BD8" w:rsidRDefault="00084F36">
            <w:pPr>
              <w:pStyle w:val="TableParagraph"/>
              <w:rPr>
                <w:rFonts w:ascii="Times New Roman"/>
                <w:sz w:val="14"/>
              </w:rPr>
            </w:pPr>
          </w:p>
        </w:tc>
        <w:tc>
          <w:tcPr>
            <w:tcW w:w="1175" w:type="dxa"/>
          </w:tcPr>
          <w:p w14:paraId="687F6B92" w14:textId="77777777" w:rsidR="00084F36" w:rsidRPr="00EB2BD8" w:rsidRDefault="00084F36">
            <w:pPr>
              <w:pStyle w:val="TableParagraph"/>
              <w:rPr>
                <w:rFonts w:ascii="Times New Roman"/>
                <w:sz w:val="14"/>
              </w:rPr>
            </w:pPr>
          </w:p>
        </w:tc>
      </w:tr>
      <w:tr w:rsidR="00EB2BD8" w:rsidRPr="00EB2BD8" w14:paraId="4511F0E0" w14:textId="77777777">
        <w:trPr>
          <w:trHeight w:val="229"/>
        </w:trPr>
        <w:tc>
          <w:tcPr>
            <w:tcW w:w="1705" w:type="dxa"/>
          </w:tcPr>
          <w:p w14:paraId="1771195A" w14:textId="77777777" w:rsidR="00084F36" w:rsidRPr="00EB2BD8" w:rsidRDefault="00084F36">
            <w:pPr>
              <w:pStyle w:val="TableParagraph"/>
              <w:rPr>
                <w:rFonts w:ascii="Times New Roman"/>
                <w:sz w:val="14"/>
              </w:rPr>
            </w:pPr>
          </w:p>
        </w:tc>
        <w:tc>
          <w:tcPr>
            <w:tcW w:w="1464" w:type="dxa"/>
          </w:tcPr>
          <w:p w14:paraId="68E65D25" w14:textId="77777777" w:rsidR="00084F36" w:rsidRPr="00EB2BD8" w:rsidRDefault="00084F36">
            <w:pPr>
              <w:pStyle w:val="TableParagraph"/>
              <w:rPr>
                <w:rFonts w:ascii="Times New Roman"/>
                <w:sz w:val="14"/>
              </w:rPr>
            </w:pPr>
          </w:p>
        </w:tc>
        <w:tc>
          <w:tcPr>
            <w:tcW w:w="2498" w:type="dxa"/>
          </w:tcPr>
          <w:p w14:paraId="68905145" w14:textId="77777777" w:rsidR="00084F36" w:rsidRPr="00EB2BD8" w:rsidRDefault="00EB2BD8">
            <w:pPr>
              <w:pStyle w:val="TableParagraph"/>
              <w:spacing w:before="19"/>
              <w:ind w:left="334"/>
              <w:rPr>
                <w:sz w:val="16"/>
              </w:rPr>
            </w:pPr>
            <w:r w:rsidRPr="00EB2BD8">
              <w:rPr>
                <w:sz w:val="16"/>
              </w:rPr>
              <w:t>period</w:t>
            </w:r>
            <w:r w:rsidRPr="00EB2BD8">
              <w:rPr>
                <w:spacing w:val="-10"/>
                <w:sz w:val="16"/>
              </w:rPr>
              <w:t xml:space="preserve"> </w:t>
            </w:r>
            <w:r w:rsidRPr="00EB2BD8">
              <w:rPr>
                <w:sz w:val="16"/>
              </w:rPr>
              <w:t>in</w:t>
            </w:r>
            <w:r w:rsidRPr="00EB2BD8">
              <w:rPr>
                <w:spacing w:val="-9"/>
                <w:sz w:val="16"/>
              </w:rPr>
              <w:t xml:space="preserve"> </w:t>
            </w:r>
            <w:r w:rsidRPr="00EB2BD8">
              <w:rPr>
                <w:sz w:val="16"/>
              </w:rPr>
              <w:t>respect</w:t>
            </w:r>
            <w:r w:rsidRPr="00EB2BD8">
              <w:rPr>
                <w:spacing w:val="-10"/>
                <w:sz w:val="16"/>
              </w:rPr>
              <w:t xml:space="preserve"> </w:t>
            </w:r>
            <w:r w:rsidRPr="00EB2BD8">
              <w:rPr>
                <w:sz w:val="16"/>
              </w:rPr>
              <w:t>of</w:t>
            </w:r>
            <w:r w:rsidRPr="00EB2BD8">
              <w:rPr>
                <w:spacing w:val="-9"/>
                <w:sz w:val="16"/>
              </w:rPr>
              <w:t xml:space="preserve"> </w:t>
            </w:r>
            <w:r w:rsidRPr="00EB2BD8">
              <w:rPr>
                <w:sz w:val="16"/>
              </w:rPr>
              <w:t>a</w:t>
            </w:r>
            <w:r w:rsidRPr="00EB2BD8">
              <w:rPr>
                <w:spacing w:val="-10"/>
                <w:sz w:val="16"/>
              </w:rPr>
              <w:t xml:space="preserve"> </w:t>
            </w:r>
            <w:r w:rsidRPr="00EB2BD8">
              <w:rPr>
                <w:spacing w:val="-4"/>
                <w:sz w:val="16"/>
              </w:rPr>
              <w:t>site</w:t>
            </w:r>
          </w:p>
        </w:tc>
        <w:tc>
          <w:tcPr>
            <w:tcW w:w="2277" w:type="dxa"/>
          </w:tcPr>
          <w:p w14:paraId="038AB570" w14:textId="77777777" w:rsidR="00084F36" w:rsidRPr="00EB2BD8" w:rsidRDefault="00084F36">
            <w:pPr>
              <w:pStyle w:val="TableParagraph"/>
              <w:rPr>
                <w:rFonts w:ascii="Times New Roman"/>
                <w:sz w:val="14"/>
              </w:rPr>
            </w:pPr>
          </w:p>
        </w:tc>
        <w:tc>
          <w:tcPr>
            <w:tcW w:w="1079" w:type="dxa"/>
          </w:tcPr>
          <w:p w14:paraId="7B5F3657" w14:textId="77777777" w:rsidR="00084F36" w:rsidRPr="00EB2BD8" w:rsidRDefault="00084F36">
            <w:pPr>
              <w:pStyle w:val="TableParagraph"/>
              <w:rPr>
                <w:rFonts w:ascii="Times New Roman"/>
                <w:sz w:val="14"/>
              </w:rPr>
            </w:pPr>
          </w:p>
        </w:tc>
        <w:tc>
          <w:tcPr>
            <w:tcW w:w="1175" w:type="dxa"/>
          </w:tcPr>
          <w:p w14:paraId="0EB4B1B4" w14:textId="77777777" w:rsidR="00084F36" w:rsidRPr="00EB2BD8" w:rsidRDefault="00084F36">
            <w:pPr>
              <w:pStyle w:val="TableParagraph"/>
              <w:rPr>
                <w:rFonts w:ascii="Times New Roman"/>
                <w:sz w:val="14"/>
              </w:rPr>
            </w:pPr>
          </w:p>
        </w:tc>
      </w:tr>
      <w:tr w:rsidR="00EB2BD8" w:rsidRPr="00EB2BD8" w14:paraId="5E2C1FD8" w14:textId="77777777">
        <w:trPr>
          <w:trHeight w:val="286"/>
        </w:trPr>
        <w:tc>
          <w:tcPr>
            <w:tcW w:w="1705" w:type="dxa"/>
            <w:tcBorders>
              <w:bottom w:val="single" w:sz="2" w:space="0" w:color="000000"/>
            </w:tcBorders>
          </w:tcPr>
          <w:p w14:paraId="5C529AD7" w14:textId="77777777" w:rsidR="00084F36" w:rsidRPr="00EB2BD8" w:rsidRDefault="00084F36">
            <w:pPr>
              <w:pStyle w:val="TableParagraph"/>
              <w:rPr>
                <w:rFonts w:ascii="Times New Roman"/>
                <w:sz w:val="14"/>
              </w:rPr>
            </w:pPr>
          </w:p>
        </w:tc>
        <w:tc>
          <w:tcPr>
            <w:tcW w:w="1464" w:type="dxa"/>
            <w:tcBorders>
              <w:bottom w:val="single" w:sz="2" w:space="0" w:color="000000"/>
            </w:tcBorders>
          </w:tcPr>
          <w:p w14:paraId="680AFF4C" w14:textId="77777777" w:rsidR="00084F36" w:rsidRPr="00EB2BD8" w:rsidRDefault="00084F36">
            <w:pPr>
              <w:pStyle w:val="TableParagraph"/>
              <w:rPr>
                <w:rFonts w:ascii="Times New Roman"/>
                <w:sz w:val="14"/>
              </w:rPr>
            </w:pPr>
          </w:p>
        </w:tc>
        <w:tc>
          <w:tcPr>
            <w:tcW w:w="2498" w:type="dxa"/>
            <w:tcBorders>
              <w:bottom w:val="single" w:sz="2" w:space="0" w:color="000000"/>
            </w:tcBorders>
          </w:tcPr>
          <w:p w14:paraId="08F0F49C" w14:textId="77777777" w:rsidR="00084F36" w:rsidRPr="00EB2BD8" w:rsidRDefault="00EB2BD8">
            <w:pPr>
              <w:pStyle w:val="TableParagraph"/>
              <w:spacing w:before="19"/>
              <w:ind w:left="334"/>
              <w:rPr>
                <w:sz w:val="16"/>
              </w:rPr>
            </w:pPr>
            <w:r w:rsidRPr="00EB2BD8">
              <w:rPr>
                <w:sz w:val="16"/>
              </w:rPr>
              <w:t xml:space="preserve">at </w:t>
            </w:r>
            <w:r w:rsidRPr="00EB2BD8">
              <w:rPr>
                <w:spacing w:val="-2"/>
                <w:sz w:val="16"/>
              </w:rPr>
              <w:t>Preston.</w:t>
            </w:r>
          </w:p>
        </w:tc>
        <w:tc>
          <w:tcPr>
            <w:tcW w:w="2277" w:type="dxa"/>
            <w:tcBorders>
              <w:bottom w:val="single" w:sz="2" w:space="0" w:color="000000"/>
            </w:tcBorders>
          </w:tcPr>
          <w:p w14:paraId="1EE4AAAA" w14:textId="77777777" w:rsidR="00084F36" w:rsidRPr="00EB2BD8" w:rsidRDefault="00084F36">
            <w:pPr>
              <w:pStyle w:val="TableParagraph"/>
              <w:rPr>
                <w:rFonts w:ascii="Times New Roman"/>
                <w:sz w:val="14"/>
              </w:rPr>
            </w:pPr>
          </w:p>
        </w:tc>
        <w:tc>
          <w:tcPr>
            <w:tcW w:w="1079" w:type="dxa"/>
            <w:tcBorders>
              <w:bottom w:val="single" w:sz="2" w:space="0" w:color="000000"/>
            </w:tcBorders>
          </w:tcPr>
          <w:p w14:paraId="4573F2C1" w14:textId="77777777" w:rsidR="00084F36" w:rsidRPr="00EB2BD8" w:rsidRDefault="00084F36">
            <w:pPr>
              <w:pStyle w:val="TableParagraph"/>
              <w:rPr>
                <w:rFonts w:ascii="Times New Roman"/>
                <w:sz w:val="14"/>
              </w:rPr>
            </w:pPr>
          </w:p>
        </w:tc>
        <w:tc>
          <w:tcPr>
            <w:tcW w:w="1175" w:type="dxa"/>
            <w:tcBorders>
              <w:bottom w:val="single" w:sz="2" w:space="0" w:color="000000"/>
            </w:tcBorders>
          </w:tcPr>
          <w:p w14:paraId="0C34BC65" w14:textId="77777777" w:rsidR="00084F36" w:rsidRPr="00EB2BD8" w:rsidRDefault="00084F36">
            <w:pPr>
              <w:pStyle w:val="TableParagraph"/>
              <w:rPr>
                <w:rFonts w:ascii="Times New Roman"/>
                <w:sz w:val="14"/>
              </w:rPr>
            </w:pPr>
          </w:p>
        </w:tc>
      </w:tr>
      <w:tr w:rsidR="00EB2BD8" w:rsidRPr="00EB2BD8" w14:paraId="13B44F52" w14:textId="77777777">
        <w:trPr>
          <w:trHeight w:val="324"/>
        </w:trPr>
        <w:tc>
          <w:tcPr>
            <w:tcW w:w="1705" w:type="dxa"/>
            <w:tcBorders>
              <w:top w:val="single" w:sz="2" w:space="0" w:color="000000"/>
            </w:tcBorders>
          </w:tcPr>
          <w:p w14:paraId="5DCE814D" w14:textId="77777777" w:rsidR="00084F36" w:rsidRPr="00EB2BD8" w:rsidRDefault="00EB2BD8">
            <w:pPr>
              <w:pStyle w:val="TableParagraph"/>
              <w:spacing w:before="114"/>
              <w:ind w:left="113"/>
              <w:rPr>
                <w:sz w:val="16"/>
              </w:rPr>
            </w:pPr>
            <w:r w:rsidRPr="00EB2BD8">
              <w:rPr>
                <w:spacing w:val="-7"/>
                <w:sz w:val="16"/>
              </w:rPr>
              <w:t>ALAN,</w:t>
            </w:r>
            <w:r w:rsidRPr="00EB2BD8">
              <w:rPr>
                <w:spacing w:val="-5"/>
                <w:sz w:val="16"/>
              </w:rPr>
              <w:t xml:space="preserve"> </w:t>
            </w:r>
            <w:r w:rsidRPr="00EB2BD8">
              <w:rPr>
                <w:spacing w:val="-2"/>
                <w:sz w:val="16"/>
              </w:rPr>
              <w:t>Mutlu</w:t>
            </w:r>
          </w:p>
        </w:tc>
        <w:tc>
          <w:tcPr>
            <w:tcW w:w="1464" w:type="dxa"/>
            <w:tcBorders>
              <w:top w:val="single" w:sz="2" w:space="0" w:color="000000"/>
            </w:tcBorders>
          </w:tcPr>
          <w:p w14:paraId="56434D06" w14:textId="77777777" w:rsidR="00084F36" w:rsidRPr="00EB2BD8" w:rsidRDefault="00EB2BD8">
            <w:pPr>
              <w:pStyle w:val="TableParagraph"/>
              <w:spacing w:before="114"/>
              <w:ind w:left="165"/>
              <w:rPr>
                <w:sz w:val="16"/>
              </w:rPr>
            </w:pPr>
            <w:r w:rsidRPr="00EB2BD8">
              <w:rPr>
                <w:sz w:val="16"/>
              </w:rPr>
              <w:t>DB-U</w:t>
            </w:r>
            <w:r w:rsidRPr="00EB2BD8">
              <w:rPr>
                <w:spacing w:val="22"/>
                <w:sz w:val="16"/>
              </w:rPr>
              <w:t xml:space="preserve"> </w:t>
            </w:r>
            <w:r w:rsidRPr="00EB2BD8">
              <w:rPr>
                <w:spacing w:val="-2"/>
                <w:sz w:val="16"/>
              </w:rPr>
              <w:t>47148</w:t>
            </w:r>
          </w:p>
        </w:tc>
        <w:tc>
          <w:tcPr>
            <w:tcW w:w="2498" w:type="dxa"/>
            <w:tcBorders>
              <w:top w:val="single" w:sz="2" w:space="0" w:color="000000"/>
            </w:tcBorders>
          </w:tcPr>
          <w:p w14:paraId="6EEEC827" w14:textId="77777777" w:rsidR="00084F36" w:rsidRPr="00EB2BD8" w:rsidRDefault="00EB2BD8">
            <w:pPr>
              <w:pStyle w:val="TableParagraph"/>
              <w:spacing w:before="114"/>
              <w:ind w:left="334"/>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277" w:type="dxa"/>
            <w:tcBorders>
              <w:top w:val="single" w:sz="2" w:space="0" w:color="000000"/>
            </w:tcBorders>
          </w:tcPr>
          <w:p w14:paraId="59816C5D" w14:textId="77777777" w:rsidR="00084F36" w:rsidRPr="00EB2BD8" w:rsidRDefault="00EB2BD8">
            <w:pPr>
              <w:pStyle w:val="TableParagraph"/>
              <w:spacing w:before="114"/>
              <w:ind w:left="115"/>
              <w:rPr>
                <w:sz w:val="16"/>
              </w:rPr>
            </w:pPr>
            <w:r w:rsidRPr="00EB2BD8">
              <w:rPr>
                <w:sz w:val="16"/>
              </w:rPr>
              <w:t>Reprimand</w:t>
            </w:r>
            <w:r w:rsidRPr="00EB2BD8">
              <w:rPr>
                <w:spacing w:val="3"/>
                <w:sz w:val="16"/>
              </w:rPr>
              <w:t xml:space="preserve"> </w:t>
            </w:r>
            <w:r w:rsidRPr="00EB2BD8">
              <w:rPr>
                <w:sz w:val="16"/>
              </w:rPr>
              <w:t>and</w:t>
            </w:r>
            <w:r w:rsidRPr="00EB2BD8">
              <w:rPr>
                <w:spacing w:val="4"/>
                <w:sz w:val="16"/>
              </w:rPr>
              <w:t xml:space="preserve"> </w:t>
            </w:r>
            <w:r w:rsidRPr="00EB2BD8">
              <w:rPr>
                <w:sz w:val="16"/>
              </w:rPr>
              <w:t>a</w:t>
            </w:r>
            <w:r w:rsidRPr="00EB2BD8">
              <w:rPr>
                <w:spacing w:val="3"/>
                <w:sz w:val="16"/>
              </w:rPr>
              <w:t xml:space="preserve"> </w:t>
            </w:r>
            <w:r w:rsidRPr="00EB2BD8">
              <w:rPr>
                <w:spacing w:val="-2"/>
                <w:sz w:val="16"/>
              </w:rPr>
              <w:t>penalty</w:t>
            </w:r>
          </w:p>
        </w:tc>
        <w:tc>
          <w:tcPr>
            <w:tcW w:w="1079" w:type="dxa"/>
            <w:tcBorders>
              <w:top w:val="single" w:sz="2" w:space="0" w:color="000000"/>
            </w:tcBorders>
          </w:tcPr>
          <w:p w14:paraId="552710B6" w14:textId="77777777" w:rsidR="00084F36" w:rsidRPr="00EB2BD8" w:rsidRDefault="00EB2BD8">
            <w:pPr>
              <w:pStyle w:val="TableParagraph"/>
              <w:spacing w:before="114"/>
              <w:ind w:right="109"/>
              <w:jc w:val="right"/>
              <w:rPr>
                <w:sz w:val="16"/>
              </w:rPr>
            </w:pPr>
            <w:r w:rsidRPr="00EB2BD8">
              <w:rPr>
                <w:spacing w:val="-2"/>
                <w:sz w:val="16"/>
              </w:rPr>
              <w:t>$4,000</w:t>
            </w:r>
          </w:p>
        </w:tc>
        <w:tc>
          <w:tcPr>
            <w:tcW w:w="1175" w:type="dxa"/>
            <w:tcBorders>
              <w:top w:val="single" w:sz="2" w:space="0" w:color="000000"/>
            </w:tcBorders>
          </w:tcPr>
          <w:p w14:paraId="56B909A8" w14:textId="77777777" w:rsidR="00084F36" w:rsidRPr="00EB2BD8" w:rsidRDefault="00EB2BD8">
            <w:pPr>
              <w:pStyle w:val="TableParagraph"/>
              <w:spacing w:before="114"/>
              <w:ind w:left="115"/>
              <w:rPr>
                <w:sz w:val="16"/>
              </w:rPr>
            </w:pPr>
            <w:r w:rsidRPr="00EB2BD8">
              <w:rPr>
                <w:spacing w:val="-2"/>
                <w:w w:val="95"/>
                <w:sz w:val="16"/>
              </w:rPr>
              <w:t>26/07/2022</w:t>
            </w:r>
          </w:p>
        </w:tc>
      </w:tr>
      <w:tr w:rsidR="00EB2BD8" w:rsidRPr="00EB2BD8" w14:paraId="3E754A29" w14:textId="77777777">
        <w:trPr>
          <w:trHeight w:val="230"/>
        </w:trPr>
        <w:tc>
          <w:tcPr>
            <w:tcW w:w="1705" w:type="dxa"/>
          </w:tcPr>
          <w:p w14:paraId="0753B5BD" w14:textId="77777777" w:rsidR="00084F36" w:rsidRPr="00EB2BD8" w:rsidRDefault="00084F36">
            <w:pPr>
              <w:pStyle w:val="TableParagraph"/>
              <w:rPr>
                <w:rFonts w:ascii="Times New Roman"/>
                <w:sz w:val="14"/>
              </w:rPr>
            </w:pPr>
          </w:p>
        </w:tc>
        <w:tc>
          <w:tcPr>
            <w:tcW w:w="1464" w:type="dxa"/>
          </w:tcPr>
          <w:p w14:paraId="316FC8EF" w14:textId="77777777" w:rsidR="00084F36" w:rsidRPr="00EB2BD8" w:rsidRDefault="00084F36">
            <w:pPr>
              <w:pStyle w:val="TableParagraph"/>
              <w:rPr>
                <w:rFonts w:ascii="Times New Roman"/>
                <w:sz w:val="14"/>
              </w:rPr>
            </w:pPr>
          </w:p>
        </w:tc>
        <w:tc>
          <w:tcPr>
            <w:tcW w:w="2498" w:type="dxa"/>
          </w:tcPr>
          <w:p w14:paraId="287C5849" w14:textId="77777777" w:rsidR="00084F36" w:rsidRPr="00EB2BD8" w:rsidRDefault="00EB2BD8">
            <w:pPr>
              <w:pStyle w:val="TableParagraph"/>
              <w:spacing w:before="19"/>
              <w:ind w:left="334"/>
              <w:rPr>
                <w:sz w:val="16"/>
              </w:rPr>
            </w:pPr>
            <w:r w:rsidRPr="00EB2BD8">
              <w:rPr>
                <w:spacing w:val="-4"/>
                <w:sz w:val="16"/>
              </w:rPr>
              <w:t>direction</w:t>
            </w:r>
            <w:r w:rsidRPr="00EB2BD8">
              <w:rPr>
                <w:spacing w:val="-5"/>
                <w:sz w:val="16"/>
              </w:rPr>
              <w:t xml:space="preserve"> </w:t>
            </w:r>
            <w:r w:rsidRPr="00EB2BD8">
              <w:rPr>
                <w:spacing w:val="-4"/>
                <w:sz w:val="16"/>
              </w:rPr>
              <w:t>to fix building</w:t>
            </w:r>
          </w:p>
        </w:tc>
        <w:tc>
          <w:tcPr>
            <w:tcW w:w="2277" w:type="dxa"/>
          </w:tcPr>
          <w:p w14:paraId="4553ABBB" w14:textId="77777777" w:rsidR="00084F36" w:rsidRPr="00EB2BD8" w:rsidRDefault="00EB2BD8">
            <w:pPr>
              <w:pStyle w:val="TableParagraph"/>
              <w:spacing w:before="19"/>
              <w:ind w:left="115"/>
              <w:rPr>
                <w:sz w:val="16"/>
              </w:rPr>
            </w:pPr>
            <w:r w:rsidRPr="00EB2BD8">
              <w:rPr>
                <w:spacing w:val="-4"/>
                <w:sz w:val="16"/>
              </w:rPr>
              <w:t>of</w:t>
            </w:r>
            <w:r w:rsidRPr="00EB2BD8">
              <w:rPr>
                <w:spacing w:val="-10"/>
                <w:sz w:val="16"/>
              </w:rPr>
              <w:t xml:space="preserve"> </w:t>
            </w:r>
            <w:r w:rsidRPr="00EB2BD8">
              <w:rPr>
                <w:spacing w:val="-2"/>
                <w:sz w:val="16"/>
              </w:rPr>
              <w:t>$4,000.</w:t>
            </w:r>
          </w:p>
        </w:tc>
        <w:tc>
          <w:tcPr>
            <w:tcW w:w="1079" w:type="dxa"/>
          </w:tcPr>
          <w:p w14:paraId="35EFFC27" w14:textId="77777777" w:rsidR="00084F36" w:rsidRPr="00EB2BD8" w:rsidRDefault="00084F36">
            <w:pPr>
              <w:pStyle w:val="TableParagraph"/>
              <w:rPr>
                <w:rFonts w:ascii="Times New Roman"/>
                <w:sz w:val="14"/>
              </w:rPr>
            </w:pPr>
          </w:p>
        </w:tc>
        <w:tc>
          <w:tcPr>
            <w:tcW w:w="1175" w:type="dxa"/>
          </w:tcPr>
          <w:p w14:paraId="52A92821" w14:textId="77777777" w:rsidR="00084F36" w:rsidRPr="00EB2BD8" w:rsidRDefault="00084F36">
            <w:pPr>
              <w:pStyle w:val="TableParagraph"/>
              <w:rPr>
                <w:rFonts w:ascii="Times New Roman"/>
                <w:sz w:val="14"/>
              </w:rPr>
            </w:pPr>
          </w:p>
        </w:tc>
      </w:tr>
      <w:tr w:rsidR="00EB2BD8" w:rsidRPr="00EB2BD8" w14:paraId="398856B8" w14:textId="77777777">
        <w:trPr>
          <w:trHeight w:val="229"/>
        </w:trPr>
        <w:tc>
          <w:tcPr>
            <w:tcW w:w="1705" w:type="dxa"/>
          </w:tcPr>
          <w:p w14:paraId="34AAEE5F" w14:textId="77777777" w:rsidR="00084F36" w:rsidRPr="00EB2BD8" w:rsidRDefault="00084F36">
            <w:pPr>
              <w:pStyle w:val="TableParagraph"/>
              <w:rPr>
                <w:rFonts w:ascii="Times New Roman"/>
                <w:sz w:val="14"/>
              </w:rPr>
            </w:pPr>
          </w:p>
        </w:tc>
        <w:tc>
          <w:tcPr>
            <w:tcW w:w="1464" w:type="dxa"/>
          </w:tcPr>
          <w:p w14:paraId="1C87866F" w14:textId="77777777" w:rsidR="00084F36" w:rsidRPr="00EB2BD8" w:rsidRDefault="00084F36">
            <w:pPr>
              <w:pStyle w:val="TableParagraph"/>
              <w:rPr>
                <w:rFonts w:ascii="Times New Roman"/>
                <w:sz w:val="14"/>
              </w:rPr>
            </w:pPr>
          </w:p>
        </w:tc>
        <w:tc>
          <w:tcPr>
            <w:tcW w:w="2498" w:type="dxa"/>
          </w:tcPr>
          <w:p w14:paraId="163D1496" w14:textId="77777777" w:rsidR="00084F36" w:rsidRPr="00EB2BD8" w:rsidRDefault="00EB2BD8">
            <w:pPr>
              <w:pStyle w:val="TableParagraph"/>
              <w:spacing w:before="19"/>
              <w:ind w:left="334"/>
              <w:rPr>
                <w:sz w:val="16"/>
              </w:rPr>
            </w:pPr>
            <w:r w:rsidRPr="00EB2BD8">
              <w:rPr>
                <w:spacing w:val="-2"/>
                <w:sz w:val="16"/>
              </w:rPr>
              <w:t>work</w:t>
            </w:r>
            <w:r w:rsidRPr="00EB2BD8">
              <w:rPr>
                <w:spacing w:val="-12"/>
                <w:sz w:val="16"/>
              </w:rPr>
              <w:t xml:space="preserve"> </w:t>
            </w:r>
            <w:r w:rsidRPr="00EB2BD8">
              <w:rPr>
                <w:spacing w:val="-2"/>
                <w:sz w:val="16"/>
              </w:rPr>
              <w:t>within</w:t>
            </w:r>
            <w:r w:rsidRPr="00EB2BD8">
              <w:rPr>
                <w:spacing w:val="-12"/>
                <w:sz w:val="16"/>
              </w:rPr>
              <w:t xml:space="preserve"> </w:t>
            </w:r>
            <w:r w:rsidRPr="00EB2BD8">
              <w:rPr>
                <w:spacing w:val="-2"/>
                <w:sz w:val="16"/>
              </w:rPr>
              <w:t>the</w:t>
            </w:r>
            <w:r w:rsidRPr="00EB2BD8">
              <w:rPr>
                <w:spacing w:val="-12"/>
                <w:sz w:val="16"/>
              </w:rPr>
              <w:t xml:space="preserve"> </w:t>
            </w:r>
            <w:r w:rsidRPr="00EB2BD8">
              <w:rPr>
                <w:spacing w:val="-2"/>
                <w:sz w:val="16"/>
              </w:rPr>
              <w:t>specified</w:t>
            </w:r>
          </w:p>
        </w:tc>
        <w:tc>
          <w:tcPr>
            <w:tcW w:w="2277" w:type="dxa"/>
          </w:tcPr>
          <w:p w14:paraId="404B842D" w14:textId="77777777" w:rsidR="00084F36" w:rsidRPr="00EB2BD8" w:rsidRDefault="00084F36">
            <w:pPr>
              <w:pStyle w:val="TableParagraph"/>
              <w:rPr>
                <w:rFonts w:ascii="Times New Roman"/>
                <w:sz w:val="14"/>
              </w:rPr>
            </w:pPr>
          </w:p>
        </w:tc>
        <w:tc>
          <w:tcPr>
            <w:tcW w:w="1079" w:type="dxa"/>
          </w:tcPr>
          <w:p w14:paraId="2C1A8957" w14:textId="77777777" w:rsidR="00084F36" w:rsidRPr="00EB2BD8" w:rsidRDefault="00084F36">
            <w:pPr>
              <w:pStyle w:val="TableParagraph"/>
              <w:rPr>
                <w:rFonts w:ascii="Times New Roman"/>
                <w:sz w:val="14"/>
              </w:rPr>
            </w:pPr>
          </w:p>
        </w:tc>
        <w:tc>
          <w:tcPr>
            <w:tcW w:w="1175" w:type="dxa"/>
          </w:tcPr>
          <w:p w14:paraId="1113A407" w14:textId="77777777" w:rsidR="00084F36" w:rsidRPr="00EB2BD8" w:rsidRDefault="00084F36">
            <w:pPr>
              <w:pStyle w:val="TableParagraph"/>
              <w:rPr>
                <w:rFonts w:ascii="Times New Roman"/>
                <w:sz w:val="14"/>
              </w:rPr>
            </w:pPr>
          </w:p>
        </w:tc>
      </w:tr>
      <w:tr w:rsidR="00EB2BD8" w:rsidRPr="00EB2BD8" w14:paraId="01C0EE0D" w14:textId="77777777">
        <w:trPr>
          <w:trHeight w:val="229"/>
        </w:trPr>
        <w:tc>
          <w:tcPr>
            <w:tcW w:w="1705" w:type="dxa"/>
          </w:tcPr>
          <w:p w14:paraId="3E7390D5" w14:textId="77777777" w:rsidR="00084F36" w:rsidRPr="00EB2BD8" w:rsidRDefault="00084F36">
            <w:pPr>
              <w:pStyle w:val="TableParagraph"/>
              <w:rPr>
                <w:rFonts w:ascii="Times New Roman"/>
                <w:sz w:val="14"/>
              </w:rPr>
            </w:pPr>
          </w:p>
        </w:tc>
        <w:tc>
          <w:tcPr>
            <w:tcW w:w="1464" w:type="dxa"/>
          </w:tcPr>
          <w:p w14:paraId="728819DC" w14:textId="77777777" w:rsidR="00084F36" w:rsidRPr="00EB2BD8" w:rsidRDefault="00084F36">
            <w:pPr>
              <w:pStyle w:val="TableParagraph"/>
              <w:rPr>
                <w:rFonts w:ascii="Times New Roman"/>
                <w:sz w:val="14"/>
              </w:rPr>
            </w:pPr>
          </w:p>
        </w:tc>
        <w:tc>
          <w:tcPr>
            <w:tcW w:w="2498" w:type="dxa"/>
          </w:tcPr>
          <w:p w14:paraId="6A550EFF" w14:textId="77777777" w:rsidR="00084F36" w:rsidRPr="00EB2BD8" w:rsidRDefault="00EB2BD8">
            <w:pPr>
              <w:pStyle w:val="TableParagraph"/>
              <w:spacing w:before="19"/>
              <w:ind w:left="334"/>
              <w:rPr>
                <w:sz w:val="16"/>
              </w:rPr>
            </w:pPr>
            <w:r w:rsidRPr="00EB2BD8">
              <w:rPr>
                <w:sz w:val="16"/>
              </w:rPr>
              <w:t>period</w:t>
            </w:r>
            <w:r w:rsidRPr="00EB2BD8">
              <w:rPr>
                <w:spacing w:val="-10"/>
                <w:sz w:val="16"/>
              </w:rPr>
              <w:t xml:space="preserve"> </w:t>
            </w:r>
            <w:r w:rsidRPr="00EB2BD8">
              <w:rPr>
                <w:sz w:val="16"/>
              </w:rPr>
              <w:t>in</w:t>
            </w:r>
            <w:r w:rsidRPr="00EB2BD8">
              <w:rPr>
                <w:spacing w:val="-9"/>
                <w:sz w:val="16"/>
              </w:rPr>
              <w:t xml:space="preserve"> </w:t>
            </w:r>
            <w:r w:rsidRPr="00EB2BD8">
              <w:rPr>
                <w:sz w:val="16"/>
              </w:rPr>
              <w:t>respect</w:t>
            </w:r>
            <w:r w:rsidRPr="00EB2BD8">
              <w:rPr>
                <w:spacing w:val="-10"/>
                <w:sz w:val="16"/>
              </w:rPr>
              <w:t xml:space="preserve"> </w:t>
            </w:r>
            <w:r w:rsidRPr="00EB2BD8">
              <w:rPr>
                <w:sz w:val="16"/>
              </w:rPr>
              <w:t>of</w:t>
            </w:r>
            <w:r w:rsidRPr="00EB2BD8">
              <w:rPr>
                <w:spacing w:val="-9"/>
                <w:sz w:val="16"/>
              </w:rPr>
              <w:t xml:space="preserve"> </w:t>
            </w:r>
            <w:r w:rsidRPr="00EB2BD8">
              <w:rPr>
                <w:sz w:val="16"/>
              </w:rPr>
              <w:t>a</w:t>
            </w:r>
            <w:r w:rsidRPr="00EB2BD8">
              <w:rPr>
                <w:spacing w:val="-10"/>
                <w:sz w:val="16"/>
              </w:rPr>
              <w:t xml:space="preserve"> </w:t>
            </w:r>
            <w:r w:rsidRPr="00EB2BD8">
              <w:rPr>
                <w:spacing w:val="-4"/>
                <w:sz w:val="16"/>
              </w:rPr>
              <w:t>site</w:t>
            </w:r>
          </w:p>
        </w:tc>
        <w:tc>
          <w:tcPr>
            <w:tcW w:w="2277" w:type="dxa"/>
          </w:tcPr>
          <w:p w14:paraId="5C2D3310" w14:textId="77777777" w:rsidR="00084F36" w:rsidRPr="00EB2BD8" w:rsidRDefault="00084F36">
            <w:pPr>
              <w:pStyle w:val="TableParagraph"/>
              <w:rPr>
                <w:rFonts w:ascii="Times New Roman"/>
                <w:sz w:val="14"/>
              </w:rPr>
            </w:pPr>
          </w:p>
        </w:tc>
        <w:tc>
          <w:tcPr>
            <w:tcW w:w="1079" w:type="dxa"/>
          </w:tcPr>
          <w:p w14:paraId="4D0CD244" w14:textId="77777777" w:rsidR="00084F36" w:rsidRPr="00EB2BD8" w:rsidRDefault="00084F36">
            <w:pPr>
              <w:pStyle w:val="TableParagraph"/>
              <w:rPr>
                <w:rFonts w:ascii="Times New Roman"/>
                <w:sz w:val="14"/>
              </w:rPr>
            </w:pPr>
          </w:p>
        </w:tc>
        <w:tc>
          <w:tcPr>
            <w:tcW w:w="1175" w:type="dxa"/>
          </w:tcPr>
          <w:p w14:paraId="7FEB524A" w14:textId="77777777" w:rsidR="00084F36" w:rsidRPr="00EB2BD8" w:rsidRDefault="00084F36">
            <w:pPr>
              <w:pStyle w:val="TableParagraph"/>
              <w:rPr>
                <w:rFonts w:ascii="Times New Roman"/>
                <w:sz w:val="14"/>
              </w:rPr>
            </w:pPr>
          </w:p>
        </w:tc>
      </w:tr>
      <w:tr w:rsidR="00EB2BD8" w:rsidRPr="00EB2BD8" w14:paraId="41B29030" w14:textId="77777777">
        <w:trPr>
          <w:trHeight w:val="287"/>
        </w:trPr>
        <w:tc>
          <w:tcPr>
            <w:tcW w:w="1705" w:type="dxa"/>
            <w:tcBorders>
              <w:bottom w:val="single" w:sz="2" w:space="0" w:color="000000"/>
            </w:tcBorders>
          </w:tcPr>
          <w:p w14:paraId="6179244A" w14:textId="77777777" w:rsidR="00084F36" w:rsidRPr="00EB2BD8" w:rsidRDefault="00084F36">
            <w:pPr>
              <w:pStyle w:val="TableParagraph"/>
              <w:rPr>
                <w:rFonts w:ascii="Times New Roman"/>
                <w:sz w:val="14"/>
              </w:rPr>
            </w:pPr>
          </w:p>
        </w:tc>
        <w:tc>
          <w:tcPr>
            <w:tcW w:w="1464" w:type="dxa"/>
            <w:tcBorders>
              <w:bottom w:val="single" w:sz="2" w:space="0" w:color="000000"/>
            </w:tcBorders>
          </w:tcPr>
          <w:p w14:paraId="7F72143B" w14:textId="77777777" w:rsidR="00084F36" w:rsidRPr="00EB2BD8" w:rsidRDefault="00084F36">
            <w:pPr>
              <w:pStyle w:val="TableParagraph"/>
              <w:rPr>
                <w:rFonts w:ascii="Times New Roman"/>
                <w:sz w:val="14"/>
              </w:rPr>
            </w:pPr>
          </w:p>
        </w:tc>
        <w:tc>
          <w:tcPr>
            <w:tcW w:w="2498" w:type="dxa"/>
            <w:tcBorders>
              <w:bottom w:val="single" w:sz="2" w:space="0" w:color="000000"/>
            </w:tcBorders>
          </w:tcPr>
          <w:p w14:paraId="567F1B1C" w14:textId="77777777" w:rsidR="00084F36" w:rsidRPr="00EB2BD8" w:rsidRDefault="00EB2BD8">
            <w:pPr>
              <w:pStyle w:val="TableParagraph"/>
              <w:spacing w:before="19"/>
              <w:ind w:left="334"/>
              <w:rPr>
                <w:sz w:val="16"/>
              </w:rPr>
            </w:pPr>
            <w:r w:rsidRPr="00EB2BD8">
              <w:rPr>
                <w:sz w:val="16"/>
              </w:rPr>
              <w:t>at</w:t>
            </w:r>
            <w:r w:rsidRPr="00EB2BD8">
              <w:rPr>
                <w:spacing w:val="35"/>
                <w:sz w:val="16"/>
              </w:rPr>
              <w:t xml:space="preserve"> </w:t>
            </w:r>
            <w:r w:rsidRPr="00EB2BD8">
              <w:rPr>
                <w:sz w:val="16"/>
              </w:rPr>
              <w:t>Moonee</w:t>
            </w:r>
            <w:r w:rsidRPr="00EB2BD8">
              <w:rPr>
                <w:spacing w:val="-7"/>
                <w:sz w:val="16"/>
              </w:rPr>
              <w:t xml:space="preserve"> </w:t>
            </w:r>
            <w:r w:rsidRPr="00EB2BD8">
              <w:rPr>
                <w:spacing w:val="-2"/>
                <w:sz w:val="16"/>
              </w:rPr>
              <w:t>Ponds.</w:t>
            </w:r>
          </w:p>
        </w:tc>
        <w:tc>
          <w:tcPr>
            <w:tcW w:w="2277" w:type="dxa"/>
            <w:tcBorders>
              <w:bottom w:val="single" w:sz="2" w:space="0" w:color="000000"/>
            </w:tcBorders>
          </w:tcPr>
          <w:p w14:paraId="653FEECA" w14:textId="77777777" w:rsidR="00084F36" w:rsidRPr="00EB2BD8" w:rsidRDefault="00084F36">
            <w:pPr>
              <w:pStyle w:val="TableParagraph"/>
              <w:rPr>
                <w:rFonts w:ascii="Times New Roman"/>
                <w:sz w:val="14"/>
              </w:rPr>
            </w:pPr>
          </w:p>
        </w:tc>
        <w:tc>
          <w:tcPr>
            <w:tcW w:w="1079" w:type="dxa"/>
            <w:tcBorders>
              <w:bottom w:val="single" w:sz="2" w:space="0" w:color="000000"/>
            </w:tcBorders>
          </w:tcPr>
          <w:p w14:paraId="60B8B19E" w14:textId="77777777" w:rsidR="00084F36" w:rsidRPr="00EB2BD8" w:rsidRDefault="00084F36">
            <w:pPr>
              <w:pStyle w:val="TableParagraph"/>
              <w:rPr>
                <w:rFonts w:ascii="Times New Roman"/>
                <w:sz w:val="14"/>
              </w:rPr>
            </w:pPr>
          </w:p>
        </w:tc>
        <w:tc>
          <w:tcPr>
            <w:tcW w:w="1175" w:type="dxa"/>
            <w:tcBorders>
              <w:bottom w:val="single" w:sz="2" w:space="0" w:color="000000"/>
            </w:tcBorders>
          </w:tcPr>
          <w:p w14:paraId="2882EC5E" w14:textId="77777777" w:rsidR="00084F36" w:rsidRPr="00EB2BD8" w:rsidRDefault="00084F36">
            <w:pPr>
              <w:pStyle w:val="TableParagraph"/>
              <w:rPr>
                <w:rFonts w:ascii="Times New Roman"/>
                <w:sz w:val="14"/>
              </w:rPr>
            </w:pPr>
          </w:p>
        </w:tc>
      </w:tr>
      <w:tr w:rsidR="00EB2BD8" w:rsidRPr="00EB2BD8" w14:paraId="29B5706E" w14:textId="77777777">
        <w:trPr>
          <w:trHeight w:val="324"/>
        </w:trPr>
        <w:tc>
          <w:tcPr>
            <w:tcW w:w="1705" w:type="dxa"/>
            <w:tcBorders>
              <w:top w:val="single" w:sz="2" w:space="0" w:color="000000"/>
            </w:tcBorders>
          </w:tcPr>
          <w:p w14:paraId="7A526A8F" w14:textId="77777777" w:rsidR="00084F36" w:rsidRPr="00EB2BD8" w:rsidRDefault="00EB2BD8">
            <w:pPr>
              <w:pStyle w:val="TableParagraph"/>
              <w:spacing w:before="114"/>
              <w:ind w:left="113"/>
              <w:rPr>
                <w:sz w:val="16"/>
              </w:rPr>
            </w:pPr>
            <w:r w:rsidRPr="00EB2BD8">
              <w:rPr>
                <w:spacing w:val="-2"/>
                <w:sz w:val="16"/>
              </w:rPr>
              <w:t>ALIFERIS,</w:t>
            </w:r>
          </w:p>
        </w:tc>
        <w:tc>
          <w:tcPr>
            <w:tcW w:w="1464" w:type="dxa"/>
            <w:tcBorders>
              <w:top w:val="single" w:sz="2" w:space="0" w:color="000000"/>
            </w:tcBorders>
          </w:tcPr>
          <w:p w14:paraId="46CEEA15" w14:textId="77777777" w:rsidR="00084F36" w:rsidRPr="00EB2BD8" w:rsidRDefault="00EB2BD8">
            <w:pPr>
              <w:pStyle w:val="TableParagraph"/>
              <w:spacing w:before="114"/>
              <w:ind w:left="165"/>
              <w:rPr>
                <w:sz w:val="16"/>
              </w:rPr>
            </w:pPr>
            <w:r w:rsidRPr="00EB2BD8">
              <w:rPr>
                <w:sz w:val="16"/>
              </w:rPr>
              <w:t>DB-U</w:t>
            </w:r>
            <w:r w:rsidRPr="00EB2BD8">
              <w:rPr>
                <w:spacing w:val="22"/>
                <w:sz w:val="16"/>
              </w:rPr>
              <w:t xml:space="preserve"> </w:t>
            </w:r>
            <w:r w:rsidRPr="00EB2BD8">
              <w:rPr>
                <w:spacing w:val="-2"/>
                <w:sz w:val="16"/>
              </w:rPr>
              <w:t>41160</w:t>
            </w:r>
          </w:p>
        </w:tc>
        <w:tc>
          <w:tcPr>
            <w:tcW w:w="2498" w:type="dxa"/>
            <w:tcBorders>
              <w:top w:val="single" w:sz="2" w:space="0" w:color="000000"/>
            </w:tcBorders>
          </w:tcPr>
          <w:p w14:paraId="0AF70478" w14:textId="77777777" w:rsidR="00084F36" w:rsidRPr="00EB2BD8" w:rsidRDefault="00EB2BD8">
            <w:pPr>
              <w:pStyle w:val="TableParagraph"/>
              <w:spacing w:before="114"/>
              <w:ind w:left="334"/>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277" w:type="dxa"/>
            <w:tcBorders>
              <w:top w:val="single" w:sz="2" w:space="0" w:color="000000"/>
            </w:tcBorders>
          </w:tcPr>
          <w:p w14:paraId="41732518" w14:textId="77777777" w:rsidR="00084F36" w:rsidRPr="00EB2BD8" w:rsidRDefault="00EB2BD8">
            <w:pPr>
              <w:pStyle w:val="TableParagraph"/>
              <w:spacing w:before="114"/>
              <w:ind w:left="115"/>
              <w:rPr>
                <w:sz w:val="16"/>
              </w:rPr>
            </w:pPr>
            <w:r w:rsidRPr="00EB2BD8">
              <w:rPr>
                <w:sz w:val="16"/>
              </w:rPr>
              <w:t>Reprimand</w:t>
            </w:r>
            <w:r w:rsidRPr="00EB2BD8">
              <w:rPr>
                <w:spacing w:val="4"/>
                <w:sz w:val="16"/>
              </w:rPr>
              <w:t xml:space="preserve"> </w:t>
            </w:r>
            <w:r w:rsidRPr="00EB2BD8">
              <w:rPr>
                <w:sz w:val="16"/>
              </w:rPr>
              <w:t>and</w:t>
            </w:r>
            <w:r w:rsidRPr="00EB2BD8">
              <w:rPr>
                <w:spacing w:val="4"/>
                <w:sz w:val="16"/>
              </w:rPr>
              <w:t xml:space="preserve"> </w:t>
            </w:r>
            <w:r w:rsidRPr="00EB2BD8">
              <w:rPr>
                <w:spacing w:val="-10"/>
                <w:sz w:val="16"/>
              </w:rPr>
              <w:t>a</w:t>
            </w:r>
          </w:p>
        </w:tc>
        <w:tc>
          <w:tcPr>
            <w:tcW w:w="1079" w:type="dxa"/>
            <w:tcBorders>
              <w:top w:val="single" w:sz="2" w:space="0" w:color="000000"/>
            </w:tcBorders>
          </w:tcPr>
          <w:p w14:paraId="7962D7B7" w14:textId="77777777" w:rsidR="00084F36" w:rsidRPr="00EB2BD8" w:rsidRDefault="00EB2BD8">
            <w:pPr>
              <w:pStyle w:val="TableParagraph"/>
              <w:spacing w:before="113"/>
              <w:ind w:right="108"/>
              <w:jc w:val="right"/>
              <w:rPr>
                <w:sz w:val="16"/>
              </w:rPr>
            </w:pPr>
            <w:r w:rsidRPr="00EB2BD8">
              <w:rPr>
                <w:w w:val="135"/>
                <w:sz w:val="16"/>
              </w:rPr>
              <w:t>-</w:t>
            </w:r>
          </w:p>
        </w:tc>
        <w:tc>
          <w:tcPr>
            <w:tcW w:w="1175" w:type="dxa"/>
            <w:tcBorders>
              <w:top w:val="single" w:sz="2" w:space="0" w:color="000000"/>
            </w:tcBorders>
          </w:tcPr>
          <w:p w14:paraId="5FFA8B0E" w14:textId="77777777" w:rsidR="00084F36" w:rsidRPr="00EB2BD8" w:rsidRDefault="00EB2BD8">
            <w:pPr>
              <w:pStyle w:val="TableParagraph"/>
              <w:spacing w:before="113"/>
              <w:ind w:left="115"/>
              <w:rPr>
                <w:sz w:val="16"/>
              </w:rPr>
            </w:pPr>
            <w:r w:rsidRPr="00EB2BD8">
              <w:rPr>
                <w:spacing w:val="-2"/>
                <w:w w:val="95"/>
                <w:sz w:val="16"/>
              </w:rPr>
              <w:t>20/02/2023</w:t>
            </w:r>
          </w:p>
        </w:tc>
      </w:tr>
      <w:tr w:rsidR="00EB2BD8" w:rsidRPr="00EB2BD8" w14:paraId="52412662" w14:textId="77777777">
        <w:trPr>
          <w:trHeight w:val="229"/>
        </w:trPr>
        <w:tc>
          <w:tcPr>
            <w:tcW w:w="1705" w:type="dxa"/>
          </w:tcPr>
          <w:p w14:paraId="30A6E55B" w14:textId="77777777" w:rsidR="00084F36" w:rsidRPr="00EB2BD8" w:rsidRDefault="00EB2BD8">
            <w:pPr>
              <w:pStyle w:val="TableParagraph"/>
              <w:spacing w:before="19"/>
              <w:ind w:left="113"/>
              <w:rPr>
                <w:sz w:val="16"/>
              </w:rPr>
            </w:pPr>
            <w:r w:rsidRPr="00EB2BD8">
              <w:rPr>
                <w:spacing w:val="-2"/>
                <w:sz w:val="16"/>
              </w:rPr>
              <w:t>Christopher</w:t>
            </w:r>
          </w:p>
        </w:tc>
        <w:tc>
          <w:tcPr>
            <w:tcW w:w="1464" w:type="dxa"/>
          </w:tcPr>
          <w:p w14:paraId="0DB9B325" w14:textId="77777777" w:rsidR="00084F36" w:rsidRPr="00EB2BD8" w:rsidRDefault="00084F36">
            <w:pPr>
              <w:pStyle w:val="TableParagraph"/>
              <w:rPr>
                <w:rFonts w:ascii="Times New Roman"/>
                <w:sz w:val="14"/>
              </w:rPr>
            </w:pPr>
          </w:p>
        </w:tc>
        <w:tc>
          <w:tcPr>
            <w:tcW w:w="2498" w:type="dxa"/>
          </w:tcPr>
          <w:p w14:paraId="281A592D" w14:textId="77777777" w:rsidR="00084F36" w:rsidRPr="00EB2BD8" w:rsidRDefault="00EB2BD8">
            <w:pPr>
              <w:pStyle w:val="TableParagraph"/>
              <w:spacing w:before="19"/>
              <w:ind w:left="334"/>
              <w:rPr>
                <w:sz w:val="16"/>
              </w:rPr>
            </w:pPr>
            <w:r w:rsidRPr="00EB2BD8">
              <w:rPr>
                <w:spacing w:val="-4"/>
                <w:sz w:val="16"/>
              </w:rPr>
              <w:t>direction</w:t>
            </w:r>
            <w:r w:rsidRPr="00EB2BD8">
              <w:rPr>
                <w:spacing w:val="-5"/>
                <w:sz w:val="16"/>
              </w:rPr>
              <w:t xml:space="preserve"> </w:t>
            </w:r>
            <w:r w:rsidRPr="00EB2BD8">
              <w:rPr>
                <w:spacing w:val="-4"/>
                <w:sz w:val="16"/>
              </w:rPr>
              <w:t>to fix building</w:t>
            </w:r>
          </w:p>
        </w:tc>
        <w:tc>
          <w:tcPr>
            <w:tcW w:w="2277" w:type="dxa"/>
          </w:tcPr>
          <w:p w14:paraId="15DBD8CF" w14:textId="77777777" w:rsidR="00084F36" w:rsidRPr="00EB2BD8" w:rsidRDefault="00EB2BD8">
            <w:pPr>
              <w:pStyle w:val="TableParagraph"/>
              <w:spacing w:before="19"/>
              <w:ind w:left="115"/>
              <w:rPr>
                <w:sz w:val="16"/>
              </w:rPr>
            </w:pPr>
            <w:r w:rsidRPr="00EB2BD8">
              <w:rPr>
                <w:spacing w:val="-2"/>
                <w:sz w:val="16"/>
              </w:rPr>
              <w:t>requirement</w:t>
            </w:r>
            <w:r w:rsidRPr="00EB2BD8">
              <w:rPr>
                <w:spacing w:val="-3"/>
                <w:sz w:val="16"/>
              </w:rPr>
              <w:t xml:space="preserve"> </w:t>
            </w:r>
            <w:r w:rsidRPr="00EB2BD8">
              <w:rPr>
                <w:spacing w:val="-2"/>
                <w:sz w:val="16"/>
              </w:rPr>
              <w:t>to complete</w:t>
            </w:r>
            <w:r w:rsidRPr="00EB2BD8">
              <w:rPr>
                <w:spacing w:val="-3"/>
                <w:sz w:val="16"/>
              </w:rPr>
              <w:t xml:space="preserve"> </w:t>
            </w:r>
            <w:r w:rsidRPr="00EB2BD8">
              <w:rPr>
                <w:spacing w:val="-10"/>
                <w:sz w:val="16"/>
              </w:rPr>
              <w:t>a</w:t>
            </w:r>
          </w:p>
        </w:tc>
        <w:tc>
          <w:tcPr>
            <w:tcW w:w="1079" w:type="dxa"/>
          </w:tcPr>
          <w:p w14:paraId="2E193F4A" w14:textId="77777777" w:rsidR="00084F36" w:rsidRPr="00EB2BD8" w:rsidRDefault="00084F36">
            <w:pPr>
              <w:pStyle w:val="TableParagraph"/>
              <w:rPr>
                <w:rFonts w:ascii="Times New Roman"/>
                <w:sz w:val="14"/>
              </w:rPr>
            </w:pPr>
          </w:p>
        </w:tc>
        <w:tc>
          <w:tcPr>
            <w:tcW w:w="1175" w:type="dxa"/>
          </w:tcPr>
          <w:p w14:paraId="199DB54E" w14:textId="77777777" w:rsidR="00084F36" w:rsidRPr="00EB2BD8" w:rsidRDefault="00084F36">
            <w:pPr>
              <w:pStyle w:val="TableParagraph"/>
              <w:rPr>
                <w:rFonts w:ascii="Times New Roman"/>
                <w:sz w:val="14"/>
              </w:rPr>
            </w:pPr>
          </w:p>
        </w:tc>
      </w:tr>
      <w:tr w:rsidR="00EB2BD8" w:rsidRPr="00EB2BD8" w14:paraId="13ED91DB" w14:textId="77777777">
        <w:trPr>
          <w:trHeight w:val="230"/>
        </w:trPr>
        <w:tc>
          <w:tcPr>
            <w:tcW w:w="1705" w:type="dxa"/>
          </w:tcPr>
          <w:p w14:paraId="286A6E85" w14:textId="77777777" w:rsidR="00084F36" w:rsidRPr="00EB2BD8" w:rsidRDefault="00084F36">
            <w:pPr>
              <w:pStyle w:val="TableParagraph"/>
              <w:rPr>
                <w:rFonts w:ascii="Times New Roman"/>
                <w:sz w:val="14"/>
              </w:rPr>
            </w:pPr>
          </w:p>
        </w:tc>
        <w:tc>
          <w:tcPr>
            <w:tcW w:w="1464" w:type="dxa"/>
          </w:tcPr>
          <w:p w14:paraId="161EB3E5" w14:textId="77777777" w:rsidR="00084F36" w:rsidRPr="00EB2BD8" w:rsidRDefault="00084F36">
            <w:pPr>
              <w:pStyle w:val="TableParagraph"/>
              <w:rPr>
                <w:rFonts w:ascii="Times New Roman"/>
                <w:sz w:val="14"/>
              </w:rPr>
            </w:pPr>
          </w:p>
        </w:tc>
        <w:tc>
          <w:tcPr>
            <w:tcW w:w="2498" w:type="dxa"/>
          </w:tcPr>
          <w:p w14:paraId="32E807EC" w14:textId="77777777" w:rsidR="00084F36" w:rsidRPr="00EB2BD8" w:rsidRDefault="00EB2BD8">
            <w:pPr>
              <w:pStyle w:val="TableParagraph"/>
              <w:spacing w:before="19"/>
              <w:ind w:left="334"/>
              <w:rPr>
                <w:sz w:val="16"/>
              </w:rPr>
            </w:pPr>
            <w:r w:rsidRPr="00EB2BD8">
              <w:rPr>
                <w:spacing w:val="-2"/>
                <w:sz w:val="16"/>
              </w:rPr>
              <w:t>work</w:t>
            </w:r>
            <w:r w:rsidRPr="00EB2BD8">
              <w:rPr>
                <w:spacing w:val="-12"/>
                <w:sz w:val="16"/>
              </w:rPr>
              <w:t xml:space="preserve"> </w:t>
            </w:r>
            <w:r w:rsidRPr="00EB2BD8">
              <w:rPr>
                <w:spacing w:val="-2"/>
                <w:sz w:val="16"/>
              </w:rPr>
              <w:t>within</w:t>
            </w:r>
            <w:r w:rsidRPr="00EB2BD8">
              <w:rPr>
                <w:spacing w:val="-12"/>
                <w:sz w:val="16"/>
              </w:rPr>
              <w:t xml:space="preserve"> </w:t>
            </w:r>
            <w:r w:rsidRPr="00EB2BD8">
              <w:rPr>
                <w:spacing w:val="-2"/>
                <w:sz w:val="16"/>
              </w:rPr>
              <w:t>the</w:t>
            </w:r>
            <w:r w:rsidRPr="00EB2BD8">
              <w:rPr>
                <w:spacing w:val="-12"/>
                <w:sz w:val="16"/>
              </w:rPr>
              <w:t xml:space="preserve"> </w:t>
            </w:r>
            <w:r w:rsidRPr="00EB2BD8">
              <w:rPr>
                <w:spacing w:val="-2"/>
                <w:sz w:val="16"/>
              </w:rPr>
              <w:t>specified</w:t>
            </w:r>
          </w:p>
        </w:tc>
        <w:tc>
          <w:tcPr>
            <w:tcW w:w="2277" w:type="dxa"/>
          </w:tcPr>
          <w:p w14:paraId="0A84B743" w14:textId="77777777" w:rsidR="00084F36" w:rsidRPr="00EB2BD8" w:rsidRDefault="00EB2BD8">
            <w:pPr>
              <w:pStyle w:val="TableParagraph"/>
              <w:spacing w:before="19"/>
              <w:ind w:left="115"/>
              <w:rPr>
                <w:sz w:val="16"/>
              </w:rPr>
            </w:pPr>
            <w:r w:rsidRPr="00EB2BD8">
              <w:rPr>
                <w:spacing w:val="-2"/>
                <w:sz w:val="16"/>
              </w:rPr>
              <w:t>course</w:t>
            </w:r>
            <w:r w:rsidRPr="00EB2BD8">
              <w:rPr>
                <w:spacing w:val="-6"/>
                <w:sz w:val="16"/>
              </w:rPr>
              <w:t xml:space="preserve"> </w:t>
            </w:r>
            <w:r w:rsidRPr="00EB2BD8">
              <w:rPr>
                <w:spacing w:val="-2"/>
                <w:sz w:val="16"/>
              </w:rPr>
              <w:t>of</w:t>
            </w:r>
            <w:r w:rsidRPr="00EB2BD8">
              <w:rPr>
                <w:spacing w:val="-5"/>
                <w:sz w:val="16"/>
              </w:rPr>
              <w:t xml:space="preserve"> </w:t>
            </w:r>
            <w:r w:rsidRPr="00EB2BD8">
              <w:rPr>
                <w:spacing w:val="-2"/>
                <w:sz w:val="16"/>
              </w:rPr>
              <w:t>training.</w:t>
            </w:r>
          </w:p>
        </w:tc>
        <w:tc>
          <w:tcPr>
            <w:tcW w:w="1079" w:type="dxa"/>
          </w:tcPr>
          <w:p w14:paraId="2077469B" w14:textId="77777777" w:rsidR="00084F36" w:rsidRPr="00EB2BD8" w:rsidRDefault="00084F36">
            <w:pPr>
              <w:pStyle w:val="TableParagraph"/>
              <w:rPr>
                <w:rFonts w:ascii="Times New Roman"/>
                <w:sz w:val="14"/>
              </w:rPr>
            </w:pPr>
          </w:p>
        </w:tc>
        <w:tc>
          <w:tcPr>
            <w:tcW w:w="1175" w:type="dxa"/>
          </w:tcPr>
          <w:p w14:paraId="1ADC63CE" w14:textId="77777777" w:rsidR="00084F36" w:rsidRPr="00EB2BD8" w:rsidRDefault="00084F36">
            <w:pPr>
              <w:pStyle w:val="TableParagraph"/>
              <w:rPr>
                <w:rFonts w:ascii="Times New Roman"/>
                <w:sz w:val="14"/>
              </w:rPr>
            </w:pPr>
          </w:p>
        </w:tc>
      </w:tr>
      <w:tr w:rsidR="00EB2BD8" w:rsidRPr="00EB2BD8" w14:paraId="355FC29C" w14:textId="77777777">
        <w:trPr>
          <w:trHeight w:val="229"/>
        </w:trPr>
        <w:tc>
          <w:tcPr>
            <w:tcW w:w="1705" w:type="dxa"/>
          </w:tcPr>
          <w:p w14:paraId="1C0144FE" w14:textId="77777777" w:rsidR="00084F36" w:rsidRPr="00EB2BD8" w:rsidRDefault="00084F36">
            <w:pPr>
              <w:pStyle w:val="TableParagraph"/>
              <w:rPr>
                <w:rFonts w:ascii="Times New Roman"/>
                <w:sz w:val="14"/>
              </w:rPr>
            </w:pPr>
          </w:p>
        </w:tc>
        <w:tc>
          <w:tcPr>
            <w:tcW w:w="1464" w:type="dxa"/>
          </w:tcPr>
          <w:p w14:paraId="77C09438" w14:textId="77777777" w:rsidR="00084F36" w:rsidRPr="00EB2BD8" w:rsidRDefault="00084F36">
            <w:pPr>
              <w:pStyle w:val="TableParagraph"/>
              <w:rPr>
                <w:rFonts w:ascii="Times New Roman"/>
                <w:sz w:val="14"/>
              </w:rPr>
            </w:pPr>
          </w:p>
        </w:tc>
        <w:tc>
          <w:tcPr>
            <w:tcW w:w="2498" w:type="dxa"/>
          </w:tcPr>
          <w:p w14:paraId="32032147" w14:textId="77777777" w:rsidR="00084F36" w:rsidRPr="00EB2BD8" w:rsidRDefault="00EB2BD8">
            <w:pPr>
              <w:pStyle w:val="TableParagraph"/>
              <w:spacing w:before="19"/>
              <w:ind w:left="334"/>
              <w:rPr>
                <w:sz w:val="16"/>
              </w:rPr>
            </w:pPr>
            <w:r w:rsidRPr="00EB2BD8">
              <w:rPr>
                <w:spacing w:val="-2"/>
                <w:sz w:val="16"/>
              </w:rPr>
              <w:t>period,</w:t>
            </w:r>
            <w:r w:rsidRPr="00EB2BD8">
              <w:rPr>
                <w:spacing w:val="-7"/>
                <w:sz w:val="16"/>
              </w:rPr>
              <w:t xml:space="preserve"> </w:t>
            </w:r>
            <w:r w:rsidRPr="00EB2BD8">
              <w:rPr>
                <w:spacing w:val="-2"/>
                <w:sz w:val="16"/>
              </w:rPr>
              <w:t>in</w:t>
            </w:r>
            <w:r w:rsidRPr="00EB2BD8">
              <w:rPr>
                <w:spacing w:val="-6"/>
                <w:sz w:val="16"/>
              </w:rPr>
              <w:t xml:space="preserve"> </w:t>
            </w:r>
            <w:r w:rsidRPr="00EB2BD8">
              <w:rPr>
                <w:spacing w:val="-2"/>
                <w:sz w:val="16"/>
              </w:rPr>
              <w:t>respect</w:t>
            </w:r>
            <w:r w:rsidRPr="00EB2BD8">
              <w:rPr>
                <w:spacing w:val="-7"/>
                <w:sz w:val="16"/>
              </w:rPr>
              <w:t xml:space="preserve"> </w:t>
            </w:r>
            <w:r w:rsidRPr="00EB2BD8">
              <w:rPr>
                <w:spacing w:val="-2"/>
                <w:sz w:val="16"/>
              </w:rPr>
              <w:t>of</w:t>
            </w:r>
            <w:r w:rsidRPr="00EB2BD8">
              <w:rPr>
                <w:spacing w:val="-6"/>
                <w:sz w:val="16"/>
              </w:rPr>
              <w:t xml:space="preserve"> </w:t>
            </w:r>
            <w:r w:rsidRPr="00EB2BD8">
              <w:rPr>
                <w:spacing w:val="-2"/>
                <w:sz w:val="16"/>
              </w:rPr>
              <w:t>a</w:t>
            </w:r>
            <w:r w:rsidRPr="00EB2BD8">
              <w:rPr>
                <w:spacing w:val="-6"/>
                <w:sz w:val="16"/>
              </w:rPr>
              <w:t xml:space="preserve"> </w:t>
            </w:r>
            <w:r w:rsidRPr="00EB2BD8">
              <w:rPr>
                <w:spacing w:val="-4"/>
                <w:sz w:val="16"/>
              </w:rPr>
              <w:t>site</w:t>
            </w:r>
          </w:p>
        </w:tc>
        <w:tc>
          <w:tcPr>
            <w:tcW w:w="2277" w:type="dxa"/>
          </w:tcPr>
          <w:p w14:paraId="3D20813A" w14:textId="77777777" w:rsidR="00084F36" w:rsidRPr="00EB2BD8" w:rsidRDefault="00084F36">
            <w:pPr>
              <w:pStyle w:val="TableParagraph"/>
              <w:rPr>
                <w:rFonts w:ascii="Times New Roman"/>
                <w:sz w:val="14"/>
              </w:rPr>
            </w:pPr>
          </w:p>
        </w:tc>
        <w:tc>
          <w:tcPr>
            <w:tcW w:w="1079" w:type="dxa"/>
          </w:tcPr>
          <w:p w14:paraId="230A5F25" w14:textId="77777777" w:rsidR="00084F36" w:rsidRPr="00EB2BD8" w:rsidRDefault="00084F36">
            <w:pPr>
              <w:pStyle w:val="TableParagraph"/>
              <w:rPr>
                <w:rFonts w:ascii="Times New Roman"/>
                <w:sz w:val="14"/>
              </w:rPr>
            </w:pPr>
          </w:p>
        </w:tc>
        <w:tc>
          <w:tcPr>
            <w:tcW w:w="1175" w:type="dxa"/>
          </w:tcPr>
          <w:p w14:paraId="5FF0D672" w14:textId="77777777" w:rsidR="00084F36" w:rsidRPr="00EB2BD8" w:rsidRDefault="00084F36">
            <w:pPr>
              <w:pStyle w:val="TableParagraph"/>
              <w:rPr>
                <w:rFonts w:ascii="Times New Roman"/>
                <w:sz w:val="14"/>
              </w:rPr>
            </w:pPr>
          </w:p>
        </w:tc>
      </w:tr>
      <w:tr w:rsidR="00EB2BD8" w:rsidRPr="00EB2BD8" w14:paraId="5B36D5B1" w14:textId="77777777">
        <w:trPr>
          <w:trHeight w:val="287"/>
        </w:trPr>
        <w:tc>
          <w:tcPr>
            <w:tcW w:w="1705" w:type="dxa"/>
            <w:tcBorders>
              <w:bottom w:val="single" w:sz="2" w:space="0" w:color="000000"/>
            </w:tcBorders>
          </w:tcPr>
          <w:p w14:paraId="35B9A36E" w14:textId="77777777" w:rsidR="00084F36" w:rsidRPr="00EB2BD8" w:rsidRDefault="00084F36">
            <w:pPr>
              <w:pStyle w:val="TableParagraph"/>
              <w:rPr>
                <w:rFonts w:ascii="Times New Roman"/>
                <w:sz w:val="14"/>
              </w:rPr>
            </w:pPr>
          </w:p>
        </w:tc>
        <w:tc>
          <w:tcPr>
            <w:tcW w:w="1464" w:type="dxa"/>
            <w:tcBorders>
              <w:bottom w:val="single" w:sz="2" w:space="0" w:color="000000"/>
            </w:tcBorders>
          </w:tcPr>
          <w:p w14:paraId="2DBF74C0" w14:textId="77777777" w:rsidR="00084F36" w:rsidRPr="00EB2BD8" w:rsidRDefault="00084F36">
            <w:pPr>
              <w:pStyle w:val="TableParagraph"/>
              <w:rPr>
                <w:rFonts w:ascii="Times New Roman"/>
                <w:sz w:val="14"/>
              </w:rPr>
            </w:pPr>
          </w:p>
        </w:tc>
        <w:tc>
          <w:tcPr>
            <w:tcW w:w="2498" w:type="dxa"/>
            <w:tcBorders>
              <w:bottom w:val="single" w:sz="2" w:space="0" w:color="000000"/>
            </w:tcBorders>
          </w:tcPr>
          <w:p w14:paraId="24EEAFA9" w14:textId="77777777" w:rsidR="00084F36" w:rsidRPr="00EB2BD8" w:rsidRDefault="00EB2BD8">
            <w:pPr>
              <w:pStyle w:val="TableParagraph"/>
              <w:spacing w:before="19"/>
              <w:ind w:left="334"/>
              <w:rPr>
                <w:sz w:val="16"/>
              </w:rPr>
            </w:pPr>
            <w:r w:rsidRPr="00EB2BD8">
              <w:rPr>
                <w:w w:val="105"/>
                <w:sz w:val="16"/>
              </w:rPr>
              <w:t>at</w:t>
            </w:r>
            <w:r w:rsidRPr="00EB2BD8">
              <w:rPr>
                <w:spacing w:val="-10"/>
                <w:w w:val="105"/>
                <w:sz w:val="16"/>
              </w:rPr>
              <w:t xml:space="preserve"> </w:t>
            </w:r>
            <w:r w:rsidRPr="00EB2BD8">
              <w:rPr>
                <w:spacing w:val="-2"/>
                <w:w w:val="105"/>
                <w:sz w:val="16"/>
              </w:rPr>
              <w:t>Watsonia.</w:t>
            </w:r>
          </w:p>
        </w:tc>
        <w:tc>
          <w:tcPr>
            <w:tcW w:w="2277" w:type="dxa"/>
            <w:tcBorders>
              <w:bottom w:val="single" w:sz="2" w:space="0" w:color="000000"/>
            </w:tcBorders>
          </w:tcPr>
          <w:p w14:paraId="73D5ABED" w14:textId="77777777" w:rsidR="00084F36" w:rsidRPr="00EB2BD8" w:rsidRDefault="00084F36">
            <w:pPr>
              <w:pStyle w:val="TableParagraph"/>
              <w:rPr>
                <w:rFonts w:ascii="Times New Roman"/>
                <w:sz w:val="14"/>
              </w:rPr>
            </w:pPr>
          </w:p>
        </w:tc>
        <w:tc>
          <w:tcPr>
            <w:tcW w:w="1079" w:type="dxa"/>
            <w:tcBorders>
              <w:bottom w:val="single" w:sz="2" w:space="0" w:color="000000"/>
            </w:tcBorders>
          </w:tcPr>
          <w:p w14:paraId="67319284" w14:textId="77777777" w:rsidR="00084F36" w:rsidRPr="00EB2BD8" w:rsidRDefault="00084F36">
            <w:pPr>
              <w:pStyle w:val="TableParagraph"/>
              <w:rPr>
                <w:rFonts w:ascii="Times New Roman"/>
                <w:sz w:val="14"/>
              </w:rPr>
            </w:pPr>
          </w:p>
        </w:tc>
        <w:tc>
          <w:tcPr>
            <w:tcW w:w="1175" w:type="dxa"/>
            <w:tcBorders>
              <w:bottom w:val="single" w:sz="2" w:space="0" w:color="000000"/>
            </w:tcBorders>
          </w:tcPr>
          <w:p w14:paraId="73CEAFB0" w14:textId="77777777" w:rsidR="00084F36" w:rsidRPr="00EB2BD8" w:rsidRDefault="00084F36">
            <w:pPr>
              <w:pStyle w:val="TableParagraph"/>
              <w:rPr>
                <w:rFonts w:ascii="Times New Roman"/>
                <w:sz w:val="14"/>
              </w:rPr>
            </w:pPr>
          </w:p>
        </w:tc>
      </w:tr>
      <w:tr w:rsidR="00EB2BD8" w:rsidRPr="00EB2BD8" w14:paraId="5B934509" w14:textId="77777777">
        <w:trPr>
          <w:trHeight w:val="323"/>
        </w:trPr>
        <w:tc>
          <w:tcPr>
            <w:tcW w:w="1705" w:type="dxa"/>
            <w:tcBorders>
              <w:top w:val="single" w:sz="2" w:space="0" w:color="000000"/>
            </w:tcBorders>
          </w:tcPr>
          <w:p w14:paraId="61B0D0B9" w14:textId="77777777" w:rsidR="00084F36" w:rsidRPr="00EB2BD8" w:rsidRDefault="00EB2BD8">
            <w:pPr>
              <w:pStyle w:val="TableParagraph"/>
              <w:spacing w:before="113"/>
              <w:ind w:left="113"/>
              <w:rPr>
                <w:sz w:val="16"/>
              </w:rPr>
            </w:pPr>
            <w:r w:rsidRPr="00EB2BD8">
              <w:rPr>
                <w:spacing w:val="-6"/>
                <w:sz w:val="16"/>
              </w:rPr>
              <w:t>ANTHONY,</w:t>
            </w:r>
            <w:r w:rsidRPr="00EB2BD8">
              <w:rPr>
                <w:spacing w:val="-1"/>
                <w:sz w:val="16"/>
              </w:rPr>
              <w:t xml:space="preserve"> </w:t>
            </w:r>
            <w:r w:rsidRPr="00EB2BD8">
              <w:rPr>
                <w:spacing w:val="-2"/>
                <w:sz w:val="16"/>
              </w:rPr>
              <w:t>Philip</w:t>
            </w:r>
          </w:p>
        </w:tc>
        <w:tc>
          <w:tcPr>
            <w:tcW w:w="1464" w:type="dxa"/>
            <w:tcBorders>
              <w:top w:val="single" w:sz="2" w:space="0" w:color="000000"/>
            </w:tcBorders>
          </w:tcPr>
          <w:p w14:paraId="574438D9" w14:textId="77777777" w:rsidR="00084F36" w:rsidRPr="00EB2BD8" w:rsidRDefault="00EB2BD8">
            <w:pPr>
              <w:pStyle w:val="TableParagraph"/>
              <w:spacing w:before="113"/>
              <w:ind w:left="165"/>
              <w:rPr>
                <w:sz w:val="16"/>
              </w:rPr>
            </w:pPr>
            <w:r w:rsidRPr="00EB2BD8">
              <w:rPr>
                <w:sz w:val="16"/>
              </w:rPr>
              <w:t>BD-L</w:t>
            </w:r>
            <w:r w:rsidRPr="00EB2BD8">
              <w:rPr>
                <w:spacing w:val="23"/>
                <w:sz w:val="16"/>
              </w:rPr>
              <w:t xml:space="preserve"> </w:t>
            </w:r>
            <w:r w:rsidRPr="00EB2BD8">
              <w:rPr>
                <w:spacing w:val="-4"/>
                <w:sz w:val="16"/>
              </w:rPr>
              <w:t>1031</w:t>
            </w:r>
          </w:p>
        </w:tc>
        <w:tc>
          <w:tcPr>
            <w:tcW w:w="2498" w:type="dxa"/>
            <w:tcBorders>
              <w:top w:val="single" w:sz="2" w:space="0" w:color="000000"/>
            </w:tcBorders>
          </w:tcPr>
          <w:p w14:paraId="6F45CF65" w14:textId="77777777" w:rsidR="00084F36" w:rsidRPr="00EB2BD8" w:rsidRDefault="00EB2BD8">
            <w:pPr>
              <w:pStyle w:val="TableParagraph"/>
              <w:spacing w:before="113"/>
              <w:ind w:left="334"/>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77" w:type="dxa"/>
            <w:tcBorders>
              <w:top w:val="single" w:sz="2" w:space="0" w:color="000000"/>
            </w:tcBorders>
          </w:tcPr>
          <w:p w14:paraId="64324B7A" w14:textId="77777777" w:rsidR="00084F36" w:rsidRPr="00EB2BD8" w:rsidRDefault="00EB2BD8">
            <w:pPr>
              <w:pStyle w:val="TableParagraph"/>
              <w:spacing w:before="113"/>
              <w:ind w:left="115"/>
              <w:rPr>
                <w:sz w:val="16"/>
              </w:rPr>
            </w:pPr>
            <w:r w:rsidRPr="00EB2BD8">
              <w:rPr>
                <w:sz w:val="16"/>
              </w:rPr>
              <w:t>Reprimand</w:t>
            </w:r>
            <w:r w:rsidRPr="00EB2BD8">
              <w:rPr>
                <w:spacing w:val="2"/>
                <w:sz w:val="16"/>
              </w:rPr>
              <w:t xml:space="preserve"> </w:t>
            </w:r>
            <w:r w:rsidRPr="00EB2BD8">
              <w:rPr>
                <w:sz w:val="16"/>
              </w:rPr>
              <w:t>and</w:t>
            </w:r>
            <w:r w:rsidRPr="00EB2BD8">
              <w:rPr>
                <w:spacing w:val="3"/>
                <w:sz w:val="16"/>
              </w:rPr>
              <w:t xml:space="preserve"> </w:t>
            </w:r>
            <w:r w:rsidRPr="00EB2BD8">
              <w:rPr>
                <w:sz w:val="16"/>
              </w:rPr>
              <w:t>penalty</w:t>
            </w:r>
            <w:r w:rsidRPr="00EB2BD8">
              <w:rPr>
                <w:spacing w:val="2"/>
                <w:sz w:val="16"/>
              </w:rPr>
              <w:t xml:space="preserve"> </w:t>
            </w:r>
            <w:r w:rsidRPr="00EB2BD8">
              <w:rPr>
                <w:spacing w:val="-5"/>
                <w:sz w:val="16"/>
              </w:rPr>
              <w:t>of</w:t>
            </w:r>
          </w:p>
        </w:tc>
        <w:tc>
          <w:tcPr>
            <w:tcW w:w="1079" w:type="dxa"/>
            <w:tcBorders>
              <w:top w:val="single" w:sz="2" w:space="0" w:color="000000"/>
            </w:tcBorders>
          </w:tcPr>
          <w:p w14:paraId="788675D6" w14:textId="77777777" w:rsidR="00084F36" w:rsidRPr="00EB2BD8" w:rsidRDefault="00EB2BD8">
            <w:pPr>
              <w:pStyle w:val="TableParagraph"/>
              <w:spacing w:before="113"/>
              <w:ind w:right="109"/>
              <w:jc w:val="right"/>
              <w:rPr>
                <w:sz w:val="16"/>
              </w:rPr>
            </w:pPr>
            <w:r w:rsidRPr="00EB2BD8">
              <w:rPr>
                <w:spacing w:val="-2"/>
                <w:sz w:val="16"/>
              </w:rPr>
              <w:t>$2,500</w:t>
            </w:r>
          </w:p>
        </w:tc>
        <w:tc>
          <w:tcPr>
            <w:tcW w:w="1175" w:type="dxa"/>
            <w:tcBorders>
              <w:top w:val="single" w:sz="2" w:space="0" w:color="000000"/>
            </w:tcBorders>
          </w:tcPr>
          <w:p w14:paraId="59638FDF" w14:textId="77777777" w:rsidR="00084F36" w:rsidRPr="00EB2BD8" w:rsidRDefault="00EB2BD8">
            <w:pPr>
              <w:pStyle w:val="TableParagraph"/>
              <w:spacing w:before="113"/>
              <w:ind w:left="115"/>
              <w:rPr>
                <w:sz w:val="16"/>
              </w:rPr>
            </w:pPr>
            <w:r w:rsidRPr="00EB2BD8">
              <w:rPr>
                <w:spacing w:val="-2"/>
                <w:sz w:val="16"/>
              </w:rPr>
              <w:t>09/05/2023</w:t>
            </w:r>
          </w:p>
        </w:tc>
      </w:tr>
      <w:tr w:rsidR="00EB2BD8" w:rsidRPr="00EB2BD8" w14:paraId="3D06EAC1" w14:textId="77777777">
        <w:trPr>
          <w:trHeight w:val="230"/>
        </w:trPr>
        <w:tc>
          <w:tcPr>
            <w:tcW w:w="1705" w:type="dxa"/>
          </w:tcPr>
          <w:p w14:paraId="3BCC611B" w14:textId="77777777" w:rsidR="00084F36" w:rsidRPr="00EB2BD8" w:rsidRDefault="00084F36">
            <w:pPr>
              <w:pStyle w:val="TableParagraph"/>
              <w:rPr>
                <w:rFonts w:ascii="Times New Roman"/>
                <w:sz w:val="14"/>
              </w:rPr>
            </w:pPr>
          </w:p>
        </w:tc>
        <w:tc>
          <w:tcPr>
            <w:tcW w:w="1464" w:type="dxa"/>
          </w:tcPr>
          <w:p w14:paraId="2AB625CC" w14:textId="77777777" w:rsidR="00084F36" w:rsidRPr="00EB2BD8" w:rsidRDefault="00084F36">
            <w:pPr>
              <w:pStyle w:val="TableParagraph"/>
              <w:rPr>
                <w:rFonts w:ascii="Times New Roman"/>
                <w:sz w:val="14"/>
              </w:rPr>
            </w:pPr>
          </w:p>
        </w:tc>
        <w:tc>
          <w:tcPr>
            <w:tcW w:w="2498" w:type="dxa"/>
          </w:tcPr>
          <w:p w14:paraId="28D4C68C" w14:textId="77777777" w:rsidR="00084F36" w:rsidRPr="00EB2BD8" w:rsidRDefault="00EB2BD8">
            <w:pPr>
              <w:pStyle w:val="TableParagraph"/>
              <w:spacing w:before="19"/>
              <w:ind w:left="334"/>
              <w:rPr>
                <w:sz w:val="16"/>
              </w:rPr>
            </w:pPr>
            <w:r w:rsidRPr="00EB2BD8">
              <w:rPr>
                <w:sz w:val="16"/>
              </w:rPr>
              <w:t>mandatory</w:t>
            </w:r>
            <w:r w:rsidRPr="00EB2BD8">
              <w:rPr>
                <w:spacing w:val="14"/>
                <w:sz w:val="16"/>
              </w:rPr>
              <w:t xml:space="preserve"> </w:t>
            </w:r>
            <w:r w:rsidRPr="00EB2BD8">
              <w:rPr>
                <w:spacing w:val="-2"/>
                <w:sz w:val="16"/>
              </w:rPr>
              <w:t>stage</w:t>
            </w:r>
          </w:p>
        </w:tc>
        <w:tc>
          <w:tcPr>
            <w:tcW w:w="2277" w:type="dxa"/>
          </w:tcPr>
          <w:p w14:paraId="05D1AE9F" w14:textId="77777777" w:rsidR="00084F36" w:rsidRPr="00EB2BD8" w:rsidRDefault="00EB2BD8">
            <w:pPr>
              <w:pStyle w:val="TableParagraph"/>
              <w:spacing w:before="19"/>
              <w:ind w:left="115"/>
              <w:rPr>
                <w:sz w:val="16"/>
              </w:rPr>
            </w:pPr>
            <w:r w:rsidRPr="00EB2BD8">
              <w:rPr>
                <w:spacing w:val="-2"/>
                <w:sz w:val="16"/>
              </w:rPr>
              <w:t>$2,500.</w:t>
            </w:r>
          </w:p>
        </w:tc>
        <w:tc>
          <w:tcPr>
            <w:tcW w:w="1079" w:type="dxa"/>
          </w:tcPr>
          <w:p w14:paraId="5824C15B" w14:textId="77777777" w:rsidR="00084F36" w:rsidRPr="00EB2BD8" w:rsidRDefault="00084F36">
            <w:pPr>
              <w:pStyle w:val="TableParagraph"/>
              <w:rPr>
                <w:rFonts w:ascii="Times New Roman"/>
                <w:sz w:val="14"/>
              </w:rPr>
            </w:pPr>
          </w:p>
        </w:tc>
        <w:tc>
          <w:tcPr>
            <w:tcW w:w="1175" w:type="dxa"/>
          </w:tcPr>
          <w:p w14:paraId="151AB7B9" w14:textId="77777777" w:rsidR="00084F36" w:rsidRPr="00EB2BD8" w:rsidRDefault="00084F36">
            <w:pPr>
              <w:pStyle w:val="TableParagraph"/>
              <w:rPr>
                <w:rFonts w:ascii="Times New Roman"/>
                <w:sz w:val="14"/>
              </w:rPr>
            </w:pPr>
          </w:p>
        </w:tc>
      </w:tr>
      <w:tr w:rsidR="00EB2BD8" w:rsidRPr="00EB2BD8" w14:paraId="6105C18D" w14:textId="77777777">
        <w:trPr>
          <w:trHeight w:val="229"/>
        </w:trPr>
        <w:tc>
          <w:tcPr>
            <w:tcW w:w="1705" w:type="dxa"/>
          </w:tcPr>
          <w:p w14:paraId="4D68D0F1" w14:textId="77777777" w:rsidR="00084F36" w:rsidRPr="00EB2BD8" w:rsidRDefault="00084F36">
            <w:pPr>
              <w:pStyle w:val="TableParagraph"/>
              <w:rPr>
                <w:rFonts w:ascii="Times New Roman"/>
                <w:sz w:val="14"/>
              </w:rPr>
            </w:pPr>
          </w:p>
        </w:tc>
        <w:tc>
          <w:tcPr>
            <w:tcW w:w="1464" w:type="dxa"/>
          </w:tcPr>
          <w:p w14:paraId="49249DCB" w14:textId="77777777" w:rsidR="00084F36" w:rsidRPr="00EB2BD8" w:rsidRDefault="00084F36">
            <w:pPr>
              <w:pStyle w:val="TableParagraph"/>
              <w:rPr>
                <w:rFonts w:ascii="Times New Roman"/>
                <w:sz w:val="14"/>
              </w:rPr>
            </w:pPr>
          </w:p>
        </w:tc>
        <w:tc>
          <w:tcPr>
            <w:tcW w:w="2498" w:type="dxa"/>
          </w:tcPr>
          <w:p w14:paraId="1CC65256" w14:textId="77777777" w:rsidR="00084F36" w:rsidRPr="00EB2BD8" w:rsidRDefault="00EB2BD8">
            <w:pPr>
              <w:pStyle w:val="TableParagraph"/>
              <w:spacing w:before="19"/>
              <w:ind w:left="334"/>
              <w:rPr>
                <w:sz w:val="16"/>
              </w:rPr>
            </w:pPr>
            <w:r w:rsidRPr="00EB2BD8">
              <w:rPr>
                <w:spacing w:val="-2"/>
                <w:sz w:val="16"/>
              </w:rPr>
              <w:t>inspection</w:t>
            </w:r>
            <w:r w:rsidRPr="00EB2BD8">
              <w:rPr>
                <w:spacing w:val="7"/>
                <w:sz w:val="16"/>
              </w:rPr>
              <w:t xml:space="preserve"> </w:t>
            </w:r>
            <w:r w:rsidRPr="00EB2BD8">
              <w:rPr>
                <w:spacing w:val="-2"/>
                <w:sz w:val="16"/>
              </w:rPr>
              <w:t>(precautions</w:t>
            </w:r>
          </w:p>
        </w:tc>
        <w:tc>
          <w:tcPr>
            <w:tcW w:w="2277" w:type="dxa"/>
          </w:tcPr>
          <w:p w14:paraId="7F515BB2" w14:textId="77777777" w:rsidR="00084F36" w:rsidRPr="00EB2BD8" w:rsidRDefault="00084F36">
            <w:pPr>
              <w:pStyle w:val="TableParagraph"/>
              <w:rPr>
                <w:rFonts w:ascii="Times New Roman"/>
                <w:sz w:val="14"/>
              </w:rPr>
            </w:pPr>
          </w:p>
        </w:tc>
        <w:tc>
          <w:tcPr>
            <w:tcW w:w="1079" w:type="dxa"/>
          </w:tcPr>
          <w:p w14:paraId="6F37AD2E" w14:textId="77777777" w:rsidR="00084F36" w:rsidRPr="00EB2BD8" w:rsidRDefault="00084F36">
            <w:pPr>
              <w:pStyle w:val="TableParagraph"/>
              <w:rPr>
                <w:rFonts w:ascii="Times New Roman"/>
                <w:sz w:val="14"/>
              </w:rPr>
            </w:pPr>
          </w:p>
        </w:tc>
        <w:tc>
          <w:tcPr>
            <w:tcW w:w="1175" w:type="dxa"/>
          </w:tcPr>
          <w:p w14:paraId="45FB9EBE" w14:textId="77777777" w:rsidR="00084F36" w:rsidRPr="00EB2BD8" w:rsidRDefault="00084F36">
            <w:pPr>
              <w:pStyle w:val="TableParagraph"/>
              <w:rPr>
                <w:rFonts w:ascii="Times New Roman"/>
                <w:sz w:val="14"/>
              </w:rPr>
            </w:pPr>
          </w:p>
        </w:tc>
      </w:tr>
      <w:tr w:rsidR="00EB2BD8" w:rsidRPr="00EB2BD8" w14:paraId="58554FA7" w14:textId="77777777">
        <w:trPr>
          <w:trHeight w:val="229"/>
        </w:trPr>
        <w:tc>
          <w:tcPr>
            <w:tcW w:w="1705" w:type="dxa"/>
          </w:tcPr>
          <w:p w14:paraId="34DF38F5" w14:textId="77777777" w:rsidR="00084F36" w:rsidRPr="00EB2BD8" w:rsidRDefault="00084F36">
            <w:pPr>
              <w:pStyle w:val="TableParagraph"/>
              <w:rPr>
                <w:rFonts w:ascii="Times New Roman"/>
                <w:sz w:val="14"/>
              </w:rPr>
            </w:pPr>
          </w:p>
        </w:tc>
        <w:tc>
          <w:tcPr>
            <w:tcW w:w="1464" w:type="dxa"/>
          </w:tcPr>
          <w:p w14:paraId="7298D6B5" w14:textId="77777777" w:rsidR="00084F36" w:rsidRPr="00EB2BD8" w:rsidRDefault="00084F36">
            <w:pPr>
              <w:pStyle w:val="TableParagraph"/>
              <w:rPr>
                <w:rFonts w:ascii="Times New Roman"/>
                <w:sz w:val="14"/>
              </w:rPr>
            </w:pPr>
          </w:p>
        </w:tc>
        <w:tc>
          <w:tcPr>
            <w:tcW w:w="2498" w:type="dxa"/>
          </w:tcPr>
          <w:p w14:paraId="6C71D76F" w14:textId="77777777" w:rsidR="00084F36" w:rsidRPr="00EB2BD8" w:rsidRDefault="00EB2BD8">
            <w:pPr>
              <w:pStyle w:val="TableParagraph"/>
              <w:spacing w:before="19"/>
              <w:ind w:left="334"/>
              <w:rPr>
                <w:sz w:val="16"/>
              </w:rPr>
            </w:pPr>
            <w:r w:rsidRPr="00EB2BD8">
              <w:rPr>
                <w:spacing w:val="-2"/>
                <w:sz w:val="16"/>
              </w:rPr>
              <w:t>prior</w:t>
            </w:r>
            <w:r w:rsidRPr="00EB2BD8">
              <w:rPr>
                <w:spacing w:val="-12"/>
                <w:sz w:val="16"/>
              </w:rPr>
              <w:t xml:space="preserve"> </w:t>
            </w:r>
            <w:r w:rsidRPr="00EB2BD8">
              <w:rPr>
                <w:spacing w:val="-2"/>
                <w:sz w:val="16"/>
              </w:rPr>
              <w:t>to</w:t>
            </w:r>
            <w:r w:rsidRPr="00EB2BD8">
              <w:rPr>
                <w:spacing w:val="-12"/>
                <w:sz w:val="16"/>
              </w:rPr>
              <w:t xml:space="preserve"> </w:t>
            </w:r>
            <w:r w:rsidRPr="00EB2BD8">
              <w:rPr>
                <w:spacing w:val="-2"/>
                <w:sz w:val="16"/>
              </w:rPr>
              <w:t>demolition)</w:t>
            </w:r>
          </w:p>
        </w:tc>
        <w:tc>
          <w:tcPr>
            <w:tcW w:w="2277" w:type="dxa"/>
          </w:tcPr>
          <w:p w14:paraId="6662BCED" w14:textId="77777777" w:rsidR="00084F36" w:rsidRPr="00EB2BD8" w:rsidRDefault="00084F36">
            <w:pPr>
              <w:pStyle w:val="TableParagraph"/>
              <w:rPr>
                <w:rFonts w:ascii="Times New Roman"/>
                <w:sz w:val="14"/>
              </w:rPr>
            </w:pPr>
          </w:p>
        </w:tc>
        <w:tc>
          <w:tcPr>
            <w:tcW w:w="1079" w:type="dxa"/>
          </w:tcPr>
          <w:p w14:paraId="74F6B6D2" w14:textId="77777777" w:rsidR="00084F36" w:rsidRPr="00EB2BD8" w:rsidRDefault="00084F36">
            <w:pPr>
              <w:pStyle w:val="TableParagraph"/>
              <w:rPr>
                <w:rFonts w:ascii="Times New Roman"/>
                <w:sz w:val="14"/>
              </w:rPr>
            </w:pPr>
          </w:p>
        </w:tc>
        <w:tc>
          <w:tcPr>
            <w:tcW w:w="1175" w:type="dxa"/>
          </w:tcPr>
          <w:p w14:paraId="37D0979E" w14:textId="77777777" w:rsidR="00084F36" w:rsidRPr="00EB2BD8" w:rsidRDefault="00084F36">
            <w:pPr>
              <w:pStyle w:val="TableParagraph"/>
              <w:rPr>
                <w:rFonts w:ascii="Times New Roman"/>
                <w:sz w:val="14"/>
              </w:rPr>
            </w:pPr>
          </w:p>
        </w:tc>
      </w:tr>
      <w:tr w:rsidR="00EB2BD8" w:rsidRPr="00EB2BD8" w14:paraId="1E928A8F" w14:textId="77777777">
        <w:trPr>
          <w:trHeight w:val="229"/>
        </w:trPr>
        <w:tc>
          <w:tcPr>
            <w:tcW w:w="1705" w:type="dxa"/>
          </w:tcPr>
          <w:p w14:paraId="5BDDAFE7" w14:textId="77777777" w:rsidR="00084F36" w:rsidRPr="00EB2BD8" w:rsidRDefault="00084F36">
            <w:pPr>
              <w:pStyle w:val="TableParagraph"/>
              <w:rPr>
                <w:rFonts w:ascii="Times New Roman"/>
                <w:sz w:val="14"/>
              </w:rPr>
            </w:pPr>
          </w:p>
        </w:tc>
        <w:tc>
          <w:tcPr>
            <w:tcW w:w="1464" w:type="dxa"/>
          </w:tcPr>
          <w:p w14:paraId="62B222E2" w14:textId="77777777" w:rsidR="00084F36" w:rsidRPr="00EB2BD8" w:rsidRDefault="00084F36">
            <w:pPr>
              <w:pStyle w:val="TableParagraph"/>
              <w:rPr>
                <w:rFonts w:ascii="Times New Roman"/>
                <w:sz w:val="14"/>
              </w:rPr>
            </w:pPr>
          </w:p>
        </w:tc>
        <w:tc>
          <w:tcPr>
            <w:tcW w:w="2498" w:type="dxa"/>
          </w:tcPr>
          <w:p w14:paraId="66F11C81" w14:textId="77777777" w:rsidR="00084F36" w:rsidRPr="00EB2BD8" w:rsidRDefault="00EB2BD8">
            <w:pPr>
              <w:pStyle w:val="TableParagraph"/>
              <w:spacing w:before="19"/>
              <w:ind w:left="334"/>
              <w:rPr>
                <w:sz w:val="16"/>
              </w:rPr>
            </w:pPr>
            <w:r w:rsidRPr="00EB2BD8">
              <w:rPr>
                <w:spacing w:val="-2"/>
                <w:sz w:val="16"/>
              </w:rPr>
              <w:t>without</w:t>
            </w:r>
            <w:r w:rsidRPr="00EB2BD8">
              <w:rPr>
                <w:spacing w:val="-8"/>
                <w:sz w:val="16"/>
              </w:rPr>
              <w:t xml:space="preserve"> </w:t>
            </w:r>
            <w:r w:rsidRPr="00EB2BD8">
              <w:rPr>
                <w:spacing w:val="-2"/>
                <w:sz w:val="16"/>
              </w:rPr>
              <w:t>delay,</w:t>
            </w:r>
            <w:r w:rsidRPr="00EB2BD8">
              <w:rPr>
                <w:spacing w:val="-8"/>
                <w:sz w:val="16"/>
              </w:rPr>
              <w:t xml:space="preserve"> </w:t>
            </w:r>
            <w:r w:rsidRPr="00EB2BD8">
              <w:rPr>
                <w:spacing w:val="-2"/>
                <w:sz w:val="16"/>
              </w:rPr>
              <w:t>in</w:t>
            </w:r>
            <w:r w:rsidRPr="00EB2BD8">
              <w:rPr>
                <w:spacing w:val="-8"/>
                <w:sz w:val="16"/>
              </w:rPr>
              <w:t xml:space="preserve"> </w:t>
            </w:r>
            <w:r w:rsidRPr="00EB2BD8">
              <w:rPr>
                <w:spacing w:val="-2"/>
                <w:sz w:val="16"/>
              </w:rPr>
              <w:t>respect</w:t>
            </w:r>
            <w:r w:rsidRPr="00EB2BD8">
              <w:rPr>
                <w:spacing w:val="-7"/>
                <w:sz w:val="16"/>
              </w:rPr>
              <w:t xml:space="preserve"> </w:t>
            </w:r>
            <w:r w:rsidRPr="00EB2BD8">
              <w:rPr>
                <w:spacing w:val="-5"/>
                <w:sz w:val="16"/>
              </w:rPr>
              <w:t>of</w:t>
            </w:r>
          </w:p>
        </w:tc>
        <w:tc>
          <w:tcPr>
            <w:tcW w:w="2277" w:type="dxa"/>
          </w:tcPr>
          <w:p w14:paraId="4ADF69FD" w14:textId="77777777" w:rsidR="00084F36" w:rsidRPr="00EB2BD8" w:rsidRDefault="00084F36">
            <w:pPr>
              <w:pStyle w:val="TableParagraph"/>
              <w:rPr>
                <w:rFonts w:ascii="Times New Roman"/>
                <w:sz w:val="14"/>
              </w:rPr>
            </w:pPr>
          </w:p>
        </w:tc>
        <w:tc>
          <w:tcPr>
            <w:tcW w:w="1079" w:type="dxa"/>
          </w:tcPr>
          <w:p w14:paraId="77F1E2AD" w14:textId="77777777" w:rsidR="00084F36" w:rsidRPr="00EB2BD8" w:rsidRDefault="00084F36">
            <w:pPr>
              <w:pStyle w:val="TableParagraph"/>
              <w:rPr>
                <w:rFonts w:ascii="Times New Roman"/>
                <w:sz w:val="14"/>
              </w:rPr>
            </w:pPr>
          </w:p>
        </w:tc>
        <w:tc>
          <w:tcPr>
            <w:tcW w:w="1175" w:type="dxa"/>
          </w:tcPr>
          <w:p w14:paraId="159209E6" w14:textId="77777777" w:rsidR="00084F36" w:rsidRPr="00EB2BD8" w:rsidRDefault="00084F36">
            <w:pPr>
              <w:pStyle w:val="TableParagraph"/>
              <w:rPr>
                <w:rFonts w:ascii="Times New Roman"/>
                <w:sz w:val="14"/>
              </w:rPr>
            </w:pPr>
          </w:p>
        </w:tc>
      </w:tr>
      <w:tr w:rsidR="00EB2BD8" w:rsidRPr="00EB2BD8" w14:paraId="2AD6AC28" w14:textId="77777777">
        <w:trPr>
          <w:trHeight w:val="288"/>
        </w:trPr>
        <w:tc>
          <w:tcPr>
            <w:tcW w:w="1705" w:type="dxa"/>
            <w:tcBorders>
              <w:bottom w:val="single" w:sz="2" w:space="0" w:color="000000"/>
            </w:tcBorders>
          </w:tcPr>
          <w:p w14:paraId="76DA46CB" w14:textId="77777777" w:rsidR="00084F36" w:rsidRPr="00EB2BD8" w:rsidRDefault="00084F36">
            <w:pPr>
              <w:pStyle w:val="TableParagraph"/>
              <w:rPr>
                <w:rFonts w:ascii="Times New Roman"/>
                <w:sz w:val="14"/>
              </w:rPr>
            </w:pPr>
          </w:p>
        </w:tc>
        <w:tc>
          <w:tcPr>
            <w:tcW w:w="1464" w:type="dxa"/>
            <w:tcBorders>
              <w:bottom w:val="single" w:sz="2" w:space="0" w:color="000000"/>
            </w:tcBorders>
          </w:tcPr>
          <w:p w14:paraId="2EDAD874" w14:textId="77777777" w:rsidR="00084F36" w:rsidRPr="00EB2BD8" w:rsidRDefault="00084F36">
            <w:pPr>
              <w:pStyle w:val="TableParagraph"/>
              <w:rPr>
                <w:rFonts w:ascii="Times New Roman"/>
                <w:sz w:val="14"/>
              </w:rPr>
            </w:pPr>
          </w:p>
        </w:tc>
        <w:tc>
          <w:tcPr>
            <w:tcW w:w="2498" w:type="dxa"/>
            <w:tcBorders>
              <w:bottom w:val="single" w:sz="2" w:space="0" w:color="000000"/>
            </w:tcBorders>
          </w:tcPr>
          <w:p w14:paraId="1CAE939D" w14:textId="77777777" w:rsidR="00084F36" w:rsidRPr="00EB2BD8" w:rsidRDefault="00EB2BD8">
            <w:pPr>
              <w:pStyle w:val="TableParagraph"/>
              <w:spacing w:before="19"/>
              <w:ind w:left="334"/>
              <w:rPr>
                <w:sz w:val="16"/>
              </w:rPr>
            </w:pPr>
            <w:r w:rsidRPr="00EB2BD8">
              <w:rPr>
                <w:spacing w:val="-2"/>
                <w:w w:val="105"/>
                <w:sz w:val="16"/>
              </w:rPr>
              <w:t>a</w:t>
            </w:r>
            <w:r w:rsidRPr="00EB2BD8">
              <w:rPr>
                <w:spacing w:val="-12"/>
                <w:w w:val="105"/>
                <w:sz w:val="16"/>
              </w:rPr>
              <w:t xml:space="preserve"> </w:t>
            </w:r>
            <w:r w:rsidRPr="00EB2BD8">
              <w:rPr>
                <w:spacing w:val="-2"/>
                <w:w w:val="105"/>
                <w:sz w:val="16"/>
              </w:rPr>
              <w:t>site</w:t>
            </w:r>
            <w:r w:rsidRPr="00EB2BD8">
              <w:rPr>
                <w:spacing w:val="-12"/>
                <w:w w:val="105"/>
                <w:sz w:val="16"/>
              </w:rPr>
              <w:t xml:space="preserve"> </w:t>
            </w:r>
            <w:r w:rsidRPr="00EB2BD8">
              <w:rPr>
                <w:spacing w:val="-2"/>
                <w:w w:val="105"/>
                <w:sz w:val="16"/>
              </w:rPr>
              <w:t>at</w:t>
            </w:r>
            <w:r w:rsidRPr="00EB2BD8">
              <w:rPr>
                <w:spacing w:val="-12"/>
                <w:w w:val="105"/>
                <w:sz w:val="16"/>
              </w:rPr>
              <w:t xml:space="preserve"> </w:t>
            </w:r>
            <w:r w:rsidRPr="00EB2BD8">
              <w:rPr>
                <w:spacing w:val="-2"/>
                <w:w w:val="105"/>
                <w:sz w:val="16"/>
              </w:rPr>
              <w:t>Numurkah.</w:t>
            </w:r>
          </w:p>
        </w:tc>
        <w:tc>
          <w:tcPr>
            <w:tcW w:w="2277" w:type="dxa"/>
            <w:tcBorders>
              <w:bottom w:val="single" w:sz="2" w:space="0" w:color="000000"/>
            </w:tcBorders>
          </w:tcPr>
          <w:p w14:paraId="7061ADB9" w14:textId="77777777" w:rsidR="00084F36" w:rsidRPr="00EB2BD8" w:rsidRDefault="00084F36">
            <w:pPr>
              <w:pStyle w:val="TableParagraph"/>
              <w:rPr>
                <w:rFonts w:ascii="Times New Roman"/>
                <w:sz w:val="14"/>
              </w:rPr>
            </w:pPr>
          </w:p>
        </w:tc>
        <w:tc>
          <w:tcPr>
            <w:tcW w:w="1079" w:type="dxa"/>
            <w:tcBorders>
              <w:bottom w:val="single" w:sz="2" w:space="0" w:color="000000"/>
            </w:tcBorders>
          </w:tcPr>
          <w:p w14:paraId="6E527B2E" w14:textId="77777777" w:rsidR="00084F36" w:rsidRPr="00EB2BD8" w:rsidRDefault="00084F36">
            <w:pPr>
              <w:pStyle w:val="TableParagraph"/>
              <w:rPr>
                <w:rFonts w:ascii="Times New Roman"/>
                <w:sz w:val="14"/>
              </w:rPr>
            </w:pPr>
          </w:p>
        </w:tc>
        <w:tc>
          <w:tcPr>
            <w:tcW w:w="1175" w:type="dxa"/>
            <w:tcBorders>
              <w:bottom w:val="single" w:sz="2" w:space="0" w:color="000000"/>
            </w:tcBorders>
          </w:tcPr>
          <w:p w14:paraId="6D4C7FFB" w14:textId="77777777" w:rsidR="00084F36" w:rsidRPr="00EB2BD8" w:rsidRDefault="00084F36">
            <w:pPr>
              <w:pStyle w:val="TableParagraph"/>
              <w:rPr>
                <w:rFonts w:ascii="Times New Roman"/>
                <w:sz w:val="14"/>
              </w:rPr>
            </w:pPr>
          </w:p>
        </w:tc>
      </w:tr>
      <w:tr w:rsidR="00EB2BD8" w:rsidRPr="00EB2BD8" w14:paraId="7FF8E171" w14:textId="77777777">
        <w:trPr>
          <w:trHeight w:val="323"/>
        </w:trPr>
        <w:tc>
          <w:tcPr>
            <w:tcW w:w="1705" w:type="dxa"/>
            <w:tcBorders>
              <w:top w:val="single" w:sz="2" w:space="0" w:color="000000"/>
            </w:tcBorders>
          </w:tcPr>
          <w:p w14:paraId="08974AA2" w14:textId="77777777" w:rsidR="00084F36" w:rsidRPr="00EB2BD8" w:rsidRDefault="00EB2BD8">
            <w:pPr>
              <w:pStyle w:val="TableParagraph"/>
              <w:spacing w:before="113"/>
              <w:ind w:left="113"/>
              <w:rPr>
                <w:sz w:val="16"/>
              </w:rPr>
            </w:pPr>
            <w:r w:rsidRPr="00EB2BD8">
              <w:rPr>
                <w:spacing w:val="-6"/>
                <w:sz w:val="16"/>
              </w:rPr>
              <w:t>ANTONIO,</w:t>
            </w:r>
            <w:r w:rsidRPr="00EB2BD8">
              <w:rPr>
                <w:spacing w:val="-4"/>
                <w:sz w:val="16"/>
              </w:rPr>
              <w:t xml:space="preserve"> Luke</w:t>
            </w:r>
          </w:p>
        </w:tc>
        <w:tc>
          <w:tcPr>
            <w:tcW w:w="1464" w:type="dxa"/>
            <w:tcBorders>
              <w:top w:val="single" w:sz="2" w:space="0" w:color="000000"/>
            </w:tcBorders>
          </w:tcPr>
          <w:p w14:paraId="2F16E2FF" w14:textId="77777777" w:rsidR="00084F36" w:rsidRPr="00EB2BD8" w:rsidRDefault="00EB2BD8">
            <w:pPr>
              <w:pStyle w:val="TableParagraph"/>
              <w:spacing w:before="113"/>
              <w:ind w:left="165"/>
              <w:rPr>
                <w:sz w:val="16"/>
              </w:rPr>
            </w:pPr>
            <w:r w:rsidRPr="00EB2BD8">
              <w:rPr>
                <w:sz w:val="16"/>
              </w:rPr>
              <w:t>DB-U</w:t>
            </w:r>
            <w:r w:rsidRPr="00EB2BD8">
              <w:rPr>
                <w:spacing w:val="22"/>
                <w:sz w:val="16"/>
              </w:rPr>
              <w:t xml:space="preserve"> </w:t>
            </w:r>
            <w:r w:rsidRPr="00EB2BD8">
              <w:rPr>
                <w:spacing w:val="-2"/>
                <w:sz w:val="16"/>
              </w:rPr>
              <w:t>26944</w:t>
            </w:r>
          </w:p>
        </w:tc>
        <w:tc>
          <w:tcPr>
            <w:tcW w:w="2498" w:type="dxa"/>
            <w:tcBorders>
              <w:top w:val="single" w:sz="2" w:space="0" w:color="000000"/>
            </w:tcBorders>
          </w:tcPr>
          <w:p w14:paraId="1C0F28AE" w14:textId="77777777" w:rsidR="00084F36" w:rsidRPr="00EB2BD8" w:rsidRDefault="00EB2BD8">
            <w:pPr>
              <w:pStyle w:val="TableParagraph"/>
              <w:spacing w:before="113"/>
              <w:ind w:left="334"/>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77" w:type="dxa"/>
            <w:tcBorders>
              <w:top w:val="single" w:sz="2" w:space="0" w:color="000000"/>
            </w:tcBorders>
          </w:tcPr>
          <w:p w14:paraId="0C985F19" w14:textId="77777777" w:rsidR="00084F36" w:rsidRPr="00EB2BD8" w:rsidRDefault="00EB2BD8">
            <w:pPr>
              <w:pStyle w:val="TableParagraph"/>
              <w:spacing w:before="113"/>
              <w:ind w:left="115"/>
              <w:rPr>
                <w:sz w:val="16"/>
              </w:rPr>
            </w:pPr>
            <w:r w:rsidRPr="00EB2BD8">
              <w:rPr>
                <w:sz w:val="16"/>
              </w:rPr>
              <w:t>Reprimand</w:t>
            </w:r>
            <w:r w:rsidRPr="00EB2BD8">
              <w:rPr>
                <w:spacing w:val="2"/>
                <w:sz w:val="16"/>
              </w:rPr>
              <w:t xml:space="preserve"> </w:t>
            </w:r>
            <w:r w:rsidRPr="00EB2BD8">
              <w:rPr>
                <w:sz w:val="16"/>
              </w:rPr>
              <w:t>and</w:t>
            </w:r>
            <w:r w:rsidRPr="00EB2BD8">
              <w:rPr>
                <w:spacing w:val="3"/>
                <w:sz w:val="16"/>
              </w:rPr>
              <w:t xml:space="preserve"> </w:t>
            </w:r>
            <w:r w:rsidRPr="00EB2BD8">
              <w:rPr>
                <w:sz w:val="16"/>
              </w:rPr>
              <w:t>penalty</w:t>
            </w:r>
            <w:r w:rsidRPr="00EB2BD8">
              <w:rPr>
                <w:spacing w:val="2"/>
                <w:sz w:val="16"/>
              </w:rPr>
              <w:t xml:space="preserve"> </w:t>
            </w:r>
            <w:r w:rsidRPr="00EB2BD8">
              <w:rPr>
                <w:spacing w:val="-5"/>
                <w:sz w:val="16"/>
              </w:rPr>
              <w:t>of</w:t>
            </w:r>
          </w:p>
        </w:tc>
        <w:tc>
          <w:tcPr>
            <w:tcW w:w="1079" w:type="dxa"/>
            <w:tcBorders>
              <w:top w:val="single" w:sz="2" w:space="0" w:color="000000"/>
            </w:tcBorders>
          </w:tcPr>
          <w:p w14:paraId="4C850B49" w14:textId="77777777" w:rsidR="00084F36" w:rsidRPr="00EB2BD8" w:rsidRDefault="00EB2BD8">
            <w:pPr>
              <w:pStyle w:val="TableParagraph"/>
              <w:spacing w:before="113"/>
              <w:ind w:right="109"/>
              <w:jc w:val="right"/>
              <w:rPr>
                <w:sz w:val="16"/>
              </w:rPr>
            </w:pPr>
            <w:r w:rsidRPr="00EB2BD8">
              <w:rPr>
                <w:spacing w:val="-2"/>
                <w:sz w:val="16"/>
              </w:rPr>
              <w:t>$2,500</w:t>
            </w:r>
          </w:p>
        </w:tc>
        <w:tc>
          <w:tcPr>
            <w:tcW w:w="1175" w:type="dxa"/>
            <w:tcBorders>
              <w:top w:val="single" w:sz="2" w:space="0" w:color="000000"/>
            </w:tcBorders>
          </w:tcPr>
          <w:p w14:paraId="270EDB1E" w14:textId="77777777" w:rsidR="00084F36" w:rsidRPr="00EB2BD8" w:rsidRDefault="00EB2BD8">
            <w:pPr>
              <w:pStyle w:val="TableParagraph"/>
              <w:spacing w:before="113"/>
              <w:ind w:left="115"/>
              <w:rPr>
                <w:sz w:val="16"/>
              </w:rPr>
            </w:pPr>
            <w:r w:rsidRPr="00EB2BD8">
              <w:rPr>
                <w:spacing w:val="-2"/>
                <w:sz w:val="16"/>
              </w:rPr>
              <w:t>09/05/2023</w:t>
            </w:r>
          </w:p>
        </w:tc>
      </w:tr>
      <w:tr w:rsidR="00EB2BD8" w:rsidRPr="00EB2BD8" w14:paraId="42A4AB54" w14:textId="77777777">
        <w:trPr>
          <w:trHeight w:val="230"/>
        </w:trPr>
        <w:tc>
          <w:tcPr>
            <w:tcW w:w="1705" w:type="dxa"/>
          </w:tcPr>
          <w:p w14:paraId="09ED9A33" w14:textId="77777777" w:rsidR="00084F36" w:rsidRPr="00EB2BD8" w:rsidRDefault="00084F36">
            <w:pPr>
              <w:pStyle w:val="TableParagraph"/>
              <w:rPr>
                <w:rFonts w:ascii="Times New Roman"/>
                <w:sz w:val="14"/>
              </w:rPr>
            </w:pPr>
          </w:p>
        </w:tc>
        <w:tc>
          <w:tcPr>
            <w:tcW w:w="1464" w:type="dxa"/>
          </w:tcPr>
          <w:p w14:paraId="7B414A99" w14:textId="77777777" w:rsidR="00084F36" w:rsidRPr="00EB2BD8" w:rsidRDefault="00084F36">
            <w:pPr>
              <w:pStyle w:val="TableParagraph"/>
              <w:rPr>
                <w:rFonts w:ascii="Times New Roman"/>
                <w:sz w:val="14"/>
              </w:rPr>
            </w:pPr>
          </w:p>
        </w:tc>
        <w:tc>
          <w:tcPr>
            <w:tcW w:w="2498" w:type="dxa"/>
          </w:tcPr>
          <w:p w14:paraId="12D7D901" w14:textId="77777777" w:rsidR="00084F36" w:rsidRPr="00EB2BD8" w:rsidRDefault="00EB2BD8">
            <w:pPr>
              <w:pStyle w:val="TableParagraph"/>
              <w:spacing w:before="19"/>
              <w:ind w:left="334"/>
              <w:rPr>
                <w:sz w:val="16"/>
              </w:rPr>
            </w:pPr>
            <w:r w:rsidRPr="00EB2BD8">
              <w:rPr>
                <w:sz w:val="16"/>
              </w:rPr>
              <w:t>mandatory</w:t>
            </w:r>
            <w:r w:rsidRPr="00EB2BD8">
              <w:rPr>
                <w:spacing w:val="14"/>
                <w:sz w:val="16"/>
              </w:rPr>
              <w:t xml:space="preserve"> </w:t>
            </w:r>
            <w:r w:rsidRPr="00EB2BD8">
              <w:rPr>
                <w:spacing w:val="-2"/>
                <w:sz w:val="16"/>
              </w:rPr>
              <w:t>stage</w:t>
            </w:r>
          </w:p>
        </w:tc>
        <w:tc>
          <w:tcPr>
            <w:tcW w:w="2277" w:type="dxa"/>
          </w:tcPr>
          <w:p w14:paraId="7DACB3EE" w14:textId="77777777" w:rsidR="00084F36" w:rsidRPr="00EB2BD8" w:rsidRDefault="00EB2BD8">
            <w:pPr>
              <w:pStyle w:val="TableParagraph"/>
              <w:spacing w:before="19"/>
              <w:ind w:left="115"/>
              <w:rPr>
                <w:sz w:val="16"/>
              </w:rPr>
            </w:pPr>
            <w:r w:rsidRPr="00EB2BD8">
              <w:rPr>
                <w:spacing w:val="-2"/>
                <w:sz w:val="16"/>
              </w:rPr>
              <w:t>$2,500.</w:t>
            </w:r>
          </w:p>
        </w:tc>
        <w:tc>
          <w:tcPr>
            <w:tcW w:w="1079" w:type="dxa"/>
          </w:tcPr>
          <w:p w14:paraId="657FB6FB" w14:textId="77777777" w:rsidR="00084F36" w:rsidRPr="00EB2BD8" w:rsidRDefault="00084F36">
            <w:pPr>
              <w:pStyle w:val="TableParagraph"/>
              <w:rPr>
                <w:rFonts w:ascii="Times New Roman"/>
                <w:sz w:val="14"/>
              </w:rPr>
            </w:pPr>
          </w:p>
        </w:tc>
        <w:tc>
          <w:tcPr>
            <w:tcW w:w="1175" w:type="dxa"/>
          </w:tcPr>
          <w:p w14:paraId="6F9BAF65" w14:textId="77777777" w:rsidR="00084F36" w:rsidRPr="00EB2BD8" w:rsidRDefault="00084F36">
            <w:pPr>
              <w:pStyle w:val="TableParagraph"/>
              <w:rPr>
                <w:rFonts w:ascii="Times New Roman"/>
                <w:sz w:val="14"/>
              </w:rPr>
            </w:pPr>
          </w:p>
        </w:tc>
      </w:tr>
      <w:tr w:rsidR="00EB2BD8" w:rsidRPr="00EB2BD8" w14:paraId="639C067E" w14:textId="77777777">
        <w:trPr>
          <w:trHeight w:val="229"/>
        </w:trPr>
        <w:tc>
          <w:tcPr>
            <w:tcW w:w="1705" w:type="dxa"/>
          </w:tcPr>
          <w:p w14:paraId="424D9640" w14:textId="77777777" w:rsidR="00084F36" w:rsidRPr="00EB2BD8" w:rsidRDefault="00084F36">
            <w:pPr>
              <w:pStyle w:val="TableParagraph"/>
              <w:rPr>
                <w:rFonts w:ascii="Times New Roman"/>
                <w:sz w:val="14"/>
              </w:rPr>
            </w:pPr>
          </w:p>
        </w:tc>
        <w:tc>
          <w:tcPr>
            <w:tcW w:w="1464" w:type="dxa"/>
          </w:tcPr>
          <w:p w14:paraId="3589DBD5" w14:textId="77777777" w:rsidR="00084F36" w:rsidRPr="00EB2BD8" w:rsidRDefault="00084F36">
            <w:pPr>
              <w:pStyle w:val="TableParagraph"/>
              <w:rPr>
                <w:rFonts w:ascii="Times New Roman"/>
                <w:sz w:val="14"/>
              </w:rPr>
            </w:pPr>
          </w:p>
        </w:tc>
        <w:tc>
          <w:tcPr>
            <w:tcW w:w="2498" w:type="dxa"/>
          </w:tcPr>
          <w:p w14:paraId="04C35845" w14:textId="77777777" w:rsidR="00084F36" w:rsidRPr="00EB2BD8" w:rsidRDefault="00EB2BD8">
            <w:pPr>
              <w:pStyle w:val="TableParagraph"/>
              <w:spacing w:before="19"/>
              <w:ind w:left="334"/>
              <w:rPr>
                <w:sz w:val="16"/>
              </w:rPr>
            </w:pPr>
            <w:r w:rsidRPr="00EB2BD8">
              <w:rPr>
                <w:spacing w:val="-2"/>
                <w:sz w:val="16"/>
              </w:rPr>
              <w:t>inspection</w:t>
            </w:r>
            <w:r w:rsidRPr="00EB2BD8">
              <w:rPr>
                <w:spacing w:val="7"/>
                <w:sz w:val="16"/>
              </w:rPr>
              <w:t xml:space="preserve"> </w:t>
            </w:r>
            <w:r w:rsidRPr="00EB2BD8">
              <w:rPr>
                <w:spacing w:val="-2"/>
                <w:sz w:val="16"/>
              </w:rPr>
              <w:t>(precautions</w:t>
            </w:r>
          </w:p>
        </w:tc>
        <w:tc>
          <w:tcPr>
            <w:tcW w:w="2277" w:type="dxa"/>
          </w:tcPr>
          <w:p w14:paraId="551DF308" w14:textId="77777777" w:rsidR="00084F36" w:rsidRPr="00EB2BD8" w:rsidRDefault="00084F36">
            <w:pPr>
              <w:pStyle w:val="TableParagraph"/>
              <w:rPr>
                <w:rFonts w:ascii="Times New Roman"/>
                <w:sz w:val="14"/>
              </w:rPr>
            </w:pPr>
          </w:p>
        </w:tc>
        <w:tc>
          <w:tcPr>
            <w:tcW w:w="1079" w:type="dxa"/>
          </w:tcPr>
          <w:p w14:paraId="79015AEF" w14:textId="77777777" w:rsidR="00084F36" w:rsidRPr="00EB2BD8" w:rsidRDefault="00084F36">
            <w:pPr>
              <w:pStyle w:val="TableParagraph"/>
              <w:rPr>
                <w:rFonts w:ascii="Times New Roman"/>
                <w:sz w:val="14"/>
              </w:rPr>
            </w:pPr>
          </w:p>
        </w:tc>
        <w:tc>
          <w:tcPr>
            <w:tcW w:w="1175" w:type="dxa"/>
          </w:tcPr>
          <w:p w14:paraId="440A8BA5" w14:textId="77777777" w:rsidR="00084F36" w:rsidRPr="00EB2BD8" w:rsidRDefault="00084F36">
            <w:pPr>
              <w:pStyle w:val="TableParagraph"/>
              <w:rPr>
                <w:rFonts w:ascii="Times New Roman"/>
                <w:sz w:val="14"/>
              </w:rPr>
            </w:pPr>
          </w:p>
        </w:tc>
      </w:tr>
      <w:tr w:rsidR="00EB2BD8" w:rsidRPr="00EB2BD8" w14:paraId="0C225FAB" w14:textId="77777777">
        <w:trPr>
          <w:trHeight w:val="229"/>
        </w:trPr>
        <w:tc>
          <w:tcPr>
            <w:tcW w:w="1705" w:type="dxa"/>
          </w:tcPr>
          <w:p w14:paraId="73B1E989" w14:textId="77777777" w:rsidR="00084F36" w:rsidRPr="00EB2BD8" w:rsidRDefault="00084F36">
            <w:pPr>
              <w:pStyle w:val="TableParagraph"/>
              <w:rPr>
                <w:rFonts w:ascii="Times New Roman"/>
                <w:sz w:val="14"/>
              </w:rPr>
            </w:pPr>
          </w:p>
        </w:tc>
        <w:tc>
          <w:tcPr>
            <w:tcW w:w="1464" w:type="dxa"/>
          </w:tcPr>
          <w:p w14:paraId="0B591DD7" w14:textId="77777777" w:rsidR="00084F36" w:rsidRPr="00EB2BD8" w:rsidRDefault="00084F36">
            <w:pPr>
              <w:pStyle w:val="TableParagraph"/>
              <w:rPr>
                <w:rFonts w:ascii="Times New Roman"/>
                <w:sz w:val="14"/>
              </w:rPr>
            </w:pPr>
          </w:p>
        </w:tc>
        <w:tc>
          <w:tcPr>
            <w:tcW w:w="2498" w:type="dxa"/>
          </w:tcPr>
          <w:p w14:paraId="74DA7853" w14:textId="77777777" w:rsidR="00084F36" w:rsidRPr="00EB2BD8" w:rsidRDefault="00EB2BD8">
            <w:pPr>
              <w:pStyle w:val="TableParagraph"/>
              <w:spacing w:before="19"/>
              <w:ind w:left="334"/>
              <w:rPr>
                <w:sz w:val="16"/>
              </w:rPr>
            </w:pPr>
            <w:r w:rsidRPr="00EB2BD8">
              <w:rPr>
                <w:spacing w:val="-2"/>
                <w:sz w:val="16"/>
              </w:rPr>
              <w:t>prior</w:t>
            </w:r>
            <w:r w:rsidRPr="00EB2BD8">
              <w:rPr>
                <w:spacing w:val="-12"/>
                <w:sz w:val="16"/>
              </w:rPr>
              <w:t xml:space="preserve"> </w:t>
            </w:r>
            <w:r w:rsidRPr="00EB2BD8">
              <w:rPr>
                <w:spacing w:val="-2"/>
                <w:sz w:val="16"/>
              </w:rPr>
              <w:t>to</w:t>
            </w:r>
            <w:r w:rsidRPr="00EB2BD8">
              <w:rPr>
                <w:spacing w:val="-12"/>
                <w:sz w:val="16"/>
              </w:rPr>
              <w:t xml:space="preserve"> </w:t>
            </w:r>
            <w:r w:rsidRPr="00EB2BD8">
              <w:rPr>
                <w:spacing w:val="-2"/>
                <w:sz w:val="16"/>
              </w:rPr>
              <w:t>demolition)</w:t>
            </w:r>
          </w:p>
        </w:tc>
        <w:tc>
          <w:tcPr>
            <w:tcW w:w="2277" w:type="dxa"/>
          </w:tcPr>
          <w:p w14:paraId="7C470355" w14:textId="77777777" w:rsidR="00084F36" w:rsidRPr="00EB2BD8" w:rsidRDefault="00084F36">
            <w:pPr>
              <w:pStyle w:val="TableParagraph"/>
              <w:rPr>
                <w:rFonts w:ascii="Times New Roman"/>
                <w:sz w:val="14"/>
              </w:rPr>
            </w:pPr>
          </w:p>
        </w:tc>
        <w:tc>
          <w:tcPr>
            <w:tcW w:w="1079" w:type="dxa"/>
          </w:tcPr>
          <w:p w14:paraId="4B57C565" w14:textId="77777777" w:rsidR="00084F36" w:rsidRPr="00EB2BD8" w:rsidRDefault="00084F36">
            <w:pPr>
              <w:pStyle w:val="TableParagraph"/>
              <w:rPr>
                <w:rFonts w:ascii="Times New Roman"/>
                <w:sz w:val="14"/>
              </w:rPr>
            </w:pPr>
          </w:p>
        </w:tc>
        <w:tc>
          <w:tcPr>
            <w:tcW w:w="1175" w:type="dxa"/>
          </w:tcPr>
          <w:p w14:paraId="013C94BA" w14:textId="77777777" w:rsidR="00084F36" w:rsidRPr="00EB2BD8" w:rsidRDefault="00084F36">
            <w:pPr>
              <w:pStyle w:val="TableParagraph"/>
              <w:rPr>
                <w:rFonts w:ascii="Times New Roman"/>
                <w:sz w:val="14"/>
              </w:rPr>
            </w:pPr>
          </w:p>
        </w:tc>
      </w:tr>
      <w:tr w:rsidR="00EB2BD8" w:rsidRPr="00EB2BD8" w14:paraId="49EC49FD" w14:textId="77777777">
        <w:trPr>
          <w:trHeight w:val="229"/>
        </w:trPr>
        <w:tc>
          <w:tcPr>
            <w:tcW w:w="1705" w:type="dxa"/>
          </w:tcPr>
          <w:p w14:paraId="1DBCCA2A" w14:textId="77777777" w:rsidR="00084F36" w:rsidRPr="00EB2BD8" w:rsidRDefault="00084F36">
            <w:pPr>
              <w:pStyle w:val="TableParagraph"/>
              <w:rPr>
                <w:rFonts w:ascii="Times New Roman"/>
                <w:sz w:val="14"/>
              </w:rPr>
            </w:pPr>
          </w:p>
        </w:tc>
        <w:tc>
          <w:tcPr>
            <w:tcW w:w="1464" w:type="dxa"/>
          </w:tcPr>
          <w:p w14:paraId="6EA45E39" w14:textId="77777777" w:rsidR="00084F36" w:rsidRPr="00EB2BD8" w:rsidRDefault="00084F36">
            <w:pPr>
              <w:pStyle w:val="TableParagraph"/>
              <w:rPr>
                <w:rFonts w:ascii="Times New Roman"/>
                <w:sz w:val="14"/>
              </w:rPr>
            </w:pPr>
          </w:p>
        </w:tc>
        <w:tc>
          <w:tcPr>
            <w:tcW w:w="2498" w:type="dxa"/>
          </w:tcPr>
          <w:p w14:paraId="32BF924D" w14:textId="77777777" w:rsidR="00084F36" w:rsidRPr="00EB2BD8" w:rsidRDefault="00EB2BD8">
            <w:pPr>
              <w:pStyle w:val="TableParagraph"/>
              <w:spacing w:before="19"/>
              <w:ind w:left="334"/>
              <w:rPr>
                <w:sz w:val="16"/>
              </w:rPr>
            </w:pPr>
            <w:r w:rsidRPr="00EB2BD8">
              <w:rPr>
                <w:spacing w:val="-2"/>
                <w:sz w:val="16"/>
              </w:rPr>
              <w:t>without</w:t>
            </w:r>
            <w:r w:rsidRPr="00EB2BD8">
              <w:rPr>
                <w:spacing w:val="-8"/>
                <w:sz w:val="16"/>
              </w:rPr>
              <w:t xml:space="preserve"> </w:t>
            </w:r>
            <w:r w:rsidRPr="00EB2BD8">
              <w:rPr>
                <w:spacing w:val="-2"/>
                <w:sz w:val="16"/>
              </w:rPr>
              <w:t>delay,</w:t>
            </w:r>
            <w:r w:rsidRPr="00EB2BD8">
              <w:rPr>
                <w:spacing w:val="-8"/>
                <w:sz w:val="16"/>
              </w:rPr>
              <w:t xml:space="preserve"> </w:t>
            </w:r>
            <w:r w:rsidRPr="00EB2BD8">
              <w:rPr>
                <w:spacing w:val="-2"/>
                <w:sz w:val="16"/>
              </w:rPr>
              <w:t>in</w:t>
            </w:r>
            <w:r w:rsidRPr="00EB2BD8">
              <w:rPr>
                <w:spacing w:val="-8"/>
                <w:sz w:val="16"/>
              </w:rPr>
              <w:t xml:space="preserve"> </w:t>
            </w:r>
            <w:r w:rsidRPr="00EB2BD8">
              <w:rPr>
                <w:spacing w:val="-2"/>
                <w:sz w:val="16"/>
              </w:rPr>
              <w:t>respect</w:t>
            </w:r>
            <w:r w:rsidRPr="00EB2BD8">
              <w:rPr>
                <w:spacing w:val="-7"/>
                <w:sz w:val="16"/>
              </w:rPr>
              <w:t xml:space="preserve"> </w:t>
            </w:r>
            <w:r w:rsidRPr="00EB2BD8">
              <w:rPr>
                <w:spacing w:val="-5"/>
                <w:sz w:val="16"/>
              </w:rPr>
              <w:t>of</w:t>
            </w:r>
          </w:p>
        </w:tc>
        <w:tc>
          <w:tcPr>
            <w:tcW w:w="2277" w:type="dxa"/>
          </w:tcPr>
          <w:p w14:paraId="7A5C7141" w14:textId="77777777" w:rsidR="00084F36" w:rsidRPr="00EB2BD8" w:rsidRDefault="00084F36">
            <w:pPr>
              <w:pStyle w:val="TableParagraph"/>
              <w:rPr>
                <w:rFonts w:ascii="Times New Roman"/>
                <w:sz w:val="14"/>
              </w:rPr>
            </w:pPr>
          </w:p>
        </w:tc>
        <w:tc>
          <w:tcPr>
            <w:tcW w:w="1079" w:type="dxa"/>
          </w:tcPr>
          <w:p w14:paraId="4771D049" w14:textId="77777777" w:rsidR="00084F36" w:rsidRPr="00EB2BD8" w:rsidRDefault="00084F36">
            <w:pPr>
              <w:pStyle w:val="TableParagraph"/>
              <w:rPr>
                <w:rFonts w:ascii="Times New Roman"/>
                <w:sz w:val="14"/>
              </w:rPr>
            </w:pPr>
          </w:p>
        </w:tc>
        <w:tc>
          <w:tcPr>
            <w:tcW w:w="1175" w:type="dxa"/>
          </w:tcPr>
          <w:p w14:paraId="74505C27" w14:textId="77777777" w:rsidR="00084F36" w:rsidRPr="00EB2BD8" w:rsidRDefault="00084F36">
            <w:pPr>
              <w:pStyle w:val="TableParagraph"/>
              <w:rPr>
                <w:rFonts w:ascii="Times New Roman"/>
                <w:sz w:val="14"/>
              </w:rPr>
            </w:pPr>
          </w:p>
        </w:tc>
      </w:tr>
      <w:tr w:rsidR="00EB2BD8" w:rsidRPr="00EB2BD8" w14:paraId="1F3EFDD6" w14:textId="77777777">
        <w:trPr>
          <w:trHeight w:val="288"/>
        </w:trPr>
        <w:tc>
          <w:tcPr>
            <w:tcW w:w="1705" w:type="dxa"/>
            <w:tcBorders>
              <w:bottom w:val="single" w:sz="2" w:space="0" w:color="000000"/>
            </w:tcBorders>
          </w:tcPr>
          <w:p w14:paraId="08DF58A3" w14:textId="77777777" w:rsidR="00084F36" w:rsidRPr="00EB2BD8" w:rsidRDefault="00084F36">
            <w:pPr>
              <w:pStyle w:val="TableParagraph"/>
              <w:rPr>
                <w:rFonts w:ascii="Times New Roman"/>
                <w:sz w:val="14"/>
              </w:rPr>
            </w:pPr>
          </w:p>
        </w:tc>
        <w:tc>
          <w:tcPr>
            <w:tcW w:w="1464" w:type="dxa"/>
            <w:tcBorders>
              <w:bottom w:val="single" w:sz="2" w:space="0" w:color="000000"/>
            </w:tcBorders>
          </w:tcPr>
          <w:p w14:paraId="7B582400" w14:textId="77777777" w:rsidR="00084F36" w:rsidRPr="00EB2BD8" w:rsidRDefault="00084F36">
            <w:pPr>
              <w:pStyle w:val="TableParagraph"/>
              <w:rPr>
                <w:rFonts w:ascii="Times New Roman"/>
                <w:sz w:val="14"/>
              </w:rPr>
            </w:pPr>
          </w:p>
        </w:tc>
        <w:tc>
          <w:tcPr>
            <w:tcW w:w="2498" w:type="dxa"/>
            <w:tcBorders>
              <w:bottom w:val="single" w:sz="2" w:space="0" w:color="000000"/>
            </w:tcBorders>
          </w:tcPr>
          <w:p w14:paraId="7F6A1C71" w14:textId="77777777" w:rsidR="00084F36" w:rsidRPr="00EB2BD8" w:rsidRDefault="00EB2BD8">
            <w:pPr>
              <w:pStyle w:val="TableParagraph"/>
              <w:spacing w:before="19"/>
              <w:ind w:left="334"/>
              <w:rPr>
                <w:sz w:val="16"/>
              </w:rPr>
            </w:pPr>
            <w:r w:rsidRPr="00EB2BD8">
              <w:rPr>
                <w:spacing w:val="-2"/>
                <w:w w:val="105"/>
                <w:sz w:val="16"/>
              </w:rPr>
              <w:t>a</w:t>
            </w:r>
            <w:r w:rsidRPr="00EB2BD8">
              <w:rPr>
                <w:spacing w:val="-9"/>
                <w:w w:val="105"/>
                <w:sz w:val="16"/>
              </w:rPr>
              <w:t xml:space="preserve"> </w:t>
            </w:r>
            <w:r w:rsidRPr="00EB2BD8">
              <w:rPr>
                <w:spacing w:val="-2"/>
                <w:w w:val="105"/>
                <w:sz w:val="16"/>
              </w:rPr>
              <w:t>site</w:t>
            </w:r>
            <w:r w:rsidRPr="00EB2BD8">
              <w:rPr>
                <w:spacing w:val="-9"/>
                <w:w w:val="105"/>
                <w:sz w:val="16"/>
              </w:rPr>
              <w:t xml:space="preserve"> </w:t>
            </w:r>
            <w:r w:rsidRPr="00EB2BD8">
              <w:rPr>
                <w:spacing w:val="-2"/>
                <w:w w:val="105"/>
                <w:sz w:val="16"/>
              </w:rPr>
              <w:t>at</w:t>
            </w:r>
            <w:r w:rsidRPr="00EB2BD8">
              <w:rPr>
                <w:spacing w:val="-8"/>
                <w:w w:val="105"/>
                <w:sz w:val="16"/>
              </w:rPr>
              <w:t xml:space="preserve"> </w:t>
            </w:r>
            <w:r w:rsidRPr="00EB2BD8">
              <w:rPr>
                <w:spacing w:val="-2"/>
                <w:w w:val="105"/>
                <w:sz w:val="16"/>
              </w:rPr>
              <w:t>Ballarat</w:t>
            </w:r>
            <w:r w:rsidRPr="00EB2BD8">
              <w:rPr>
                <w:spacing w:val="-9"/>
                <w:w w:val="105"/>
                <w:sz w:val="16"/>
              </w:rPr>
              <w:t xml:space="preserve"> </w:t>
            </w:r>
            <w:r w:rsidRPr="00EB2BD8">
              <w:rPr>
                <w:spacing w:val="-2"/>
                <w:w w:val="105"/>
                <w:sz w:val="16"/>
              </w:rPr>
              <w:t>East.</w:t>
            </w:r>
          </w:p>
        </w:tc>
        <w:tc>
          <w:tcPr>
            <w:tcW w:w="2277" w:type="dxa"/>
            <w:tcBorders>
              <w:bottom w:val="single" w:sz="2" w:space="0" w:color="000000"/>
            </w:tcBorders>
          </w:tcPr>
          <w:p w14:paraId="24D2126A" w14:textId="77777777" w:rsidR="00084F36" w:rsidRPr="00EB2BD8" w:rsidRDefault="00084F36">
            <w:pPr>
              <w:pStyle w:val="TableParagraph"/>
              <w:rPr>
                <w:rFonts w:ascii="Times New Roman"/>
                <w:sz w:val="14"/>
              </w:rPr>
            </w:pPr>
          </w:p>
        </w:tc>
        <w:tc>
          <w:tcPr>
            <w:tcW w:w="1079" w:type="dxa"/>
            <w:tcBorders>
              <w:bottom w:val="single" w:sz="2" w:space="0" w:color="000000"/>
            </w:tcBorders>
          </w:tcPr>
          <w:p w14:paraId="2A192D9F" w14:textId="77777777" w:rsidR="00084F36" w:rsidRPr="00EB2BD8" w:rsidRDefault="00084F36">
            <w:pPr>
              <w:pStyle w:val="TableParagraph"/>
              <w:rPr>
                <w:rFonts w:ascii="Times New Roman"/>
                <w:sz w:val="14"/>
              </w:rPr>
            </w:pPr>
          </w:p>
        </w:tc>
        <w:tc>
          <w:tcPr>
            <w:tcW w:w="1175" w:type="dxa"/>
            <w:tcBorders>
              <w:bottom w:val="single" w:sz="2" w:space="0" w:color="000000"/>
            </w:tcBorders>
          </w:tcPr>
          <w:p w14:paraId="22F800AF" w14:textId="77777777" w:rsidR="00084F36" w:rsidRPr="00EB2BD8" w:rsidRDefault="00084F36">
            <w:pPr>
              <w:pStyle w:val="TableParagraph"/>
              <w:rPr>
                <w:rFonts w:ascii="Times New Roman"/>
                <w:sz w:val="14"/>
              </w:rPr>
            </w:pPr>
          </w:p>
        </w:tc>
      </w:tr>
    </w:tbl>
    <w:p w14:paraId="4E9CC06D" w14:textId="66CD7A5C" w:rsidR="00084F36" w:rsidRPr="00EB2BD8" w:rsidRDefault="00EB2BD8">
      <w:pPr>
        <w:spacing w:before="127"/>
        <w:ind w:left="850"/>
        <w:rPr>
          <w:i/>
          <w:sz w:val="14"/>
        </w:rPr>
      </w:pPr>
      <w:r w:rsidRPr="00EB2BD8">
        <w:rPr>
          <w:i/>
          <w:sz w:val="14"/>
        </w:rPr>
        <w:t>35</w:t>
      </w:r>
      <w:r w:rsidR="00D0600F">
        <w:rPr>
          <w:i/>
          <w:sz w:val="14"/>
        </w:rPr>
        <w:t xml:space="preserve">- </w:t>
      </w:r>
      <w:r w:rsidRPr="00EB2BD8">
        <w:rPr>
          <w:i/>
          <w:sz w:val="14"/>
        </w:rPr>
        <w:t>Monetary</w:t>
      </w:r>
      <w:r w:rsidRPr="00EB2BD8">
        <w:rPr>
          <w:i/>
          <w:spacing w:val="-8"/>
          <w:sz w:val="14"/>
        </w:rPr>
        <w:t xml:space="preserve"> </w:t>
      </w:r>
      <w:r w:rsidRPr="00EB2BD8">
        <w:rPr>
          <w:i/>
          <w:sz w:val="14"/>
        </w:rPr>
        <w:t>penalties</w:t>
      </w:r>
      <w:r w:rsidRPr="00EB2BD8">
        <w:rPr>
          <w:i/>
          <w:spacing w:val="-8"/>
          <w:sz w:val="14"/>
        </w:rPr>
        <w:t xml:space="preserve"> </w:t>
      </w:r>
      <w:r w:rsidRPr="00EB2BD8">
        <w:rPr>
          <w:i/>
          <w:sz w:val="14"/>
        </w:rPr>
        <w:t>have</w:t>
      </w:r>
      <w:r w:rsidRPr="00EB2BD8">
        <w:rPr>
          <w:i/>
          <w:spacing w:val="-7"/>
          <w:sz w:val="14"/>
        </w:rPr>
        <w:t xml:space="preserve"> </w:t>
      </w:r>
      <w:r w:rsidRPr="00EB2BD8">
        <w:rPr>
          <w:i/>
          <w:sz w:val="14"/>
        </w:rPr>
        <w:t>been</w:t>
      </w:r>
      <w:r w:rsidRPr="00EB2BD8">
        <w:rPr>
          <w:i/>
          <w:spacing w:val="-8"/>
          <w:sz w:val="14"/>
        </w:rPr>
        <w:t xml:space="preserve"> </w:t>
      </w:r>
      <w:r w:rsidRPr="00EB2BD8">
        <w:rPr>
          <w:i/>
          <w:sz w:val="14"/>
        </w:rPr>
        <w:t>rounded</w:t>
      </w:r>
      <w:r w:rsidRPr="00EB2BD8">
        <w:rPr>
          <w:i/>
          <w:spacing w:val="-7"/>
          <w:sz w:val="14"/>
        </w:rPr>
        <w:t xml:space="preserve"> </w:t>
      </w:r>
      <w:r w:rsidRPr="00EB2BD8">
        <w:rPr>
          <w:i/>
          <w:sz w:val="14"/>
        </w:rPr>
        <w:t>to</w:t>
      </w:r>
      <w:r w:rsidRPr="00EB2BD8">
        <w:rPr>
          <w:i/>
          <w:spacing w:val="-8"/>
          <w:sz w:val="14"/>
        </w:rPr>
        <w:t xml:space="preserve"> </w:t>
      </w:r>
      <w:r w:rsidRPr="00EB2BD8">
        <w:rPr>
          <w:i/>
          <w:sz w:val="14"/>
        </w:rPr>
        <w:t>the</w:t>
      </w:r>
      <w:r w:rsidRPr="00EB2BD8">
        <w:rPr>
          <w:i/>
          <w:spacing w:val="-7"/>
          <w:sz w:val="14"/>
        </w:rPr>
        <w:t xml:space="preserve"> </w:t>
      </w:r>
      <w:r w:rsidRPr="00EB2BD8">
        <w:rPr>
          <w:i/>
          <w:sz w:val="14"/>
        </w:rPr>
        <w:t>nearest</w:t>
      </w:r>
      <w:r w:rsidRPr="00EB2BD8">
        <w:rPr>
          <w:i/>
          <w:spacing w:val="-8"/>
          <w:sz w:val="14"/>
        </w:rPr>
        <w:t xml:space="preserve"> </w:t>
      </w:r>
      <w:r w:rsidRPr="00EB2BD8">
        <w:rPr>
          <w:i/>
          <w:spacing w:val="-2"/>
          <w:sz w:val="14"/>
        </w:rPr>
        <w:t>dollar.</w:t>
      </w:r>
    </w:p>
    <w:p w14:paraId="6E8EEC96" w14:textId="3C23EBE2" w:rsidR="00084F36" w:rsidRPr="00EB2BD8" w:rsidRDefault="00EB2BD8">
      <w:pPr>
        <w:spacing w:before="35" w:line="261" w:lineRule="auto"/>
        <w:ind w:left="956" w:right="1155" w:hanging="106"/>
        <w:rPr>
          <w:i/>
          <w:sz w:val="14"/>
        </w:rPr>
      </w:pPr>
      <w:r w:rsidRPr="00EB2BD8">
        <w:rPr>
          <w:i/>
          <w:sz w:val="14"/>
        </w:rPr>
        <w:t>36</w:t>
      </w:r>
      <w:r w:rsidR="00D0600F">
        <w:rPr>
          <w:i/>
          <w:sz w:val="14"/>
        </w:rPr>
        <w:t xml:space="preserve">- </w:t>
      </w:r>
      <w:r w:rsidRPr="00EB2BD8">
        <w:rPr>
          <w:i/>
          <w:sz w:val="14"/>
        </w:rPr>
        <w:t>The</w:t>
      </w:r>
      <w:r w:rsidRPr="00EB2BD8">
        <w:rPr>
          <w:i/>
          <w:spacing w:val="-6"/>
          <w:sz w:val="14"/>
        </w:rPr>
        <w:t xml:space="preserve"> </w:t>
      </w:r>
      <w:r w:rsidRPr="00EB2BD8">
        <w:rPr>
          <w:i/>
          <w:sz w:val="14"/>
        </w:rPr>
        <w:t>date</w:t>
      </w:r>
      <w:r w:rsidRPr="00EB2BD8">
        <w:rPr>
          <w:i/>
          <w:spacing w:val="-6"/>
          <w:sz w:val="14"/>
        </w:rPr>
        <w:t xml:space="preserve"> </w:t>
      </w:r>
      <w:r w:rsidRPr="00EB2BD8">
        <w:rPr>
          <w:i/>
          <w:sz w:val="14"/>
        </w:rPr>
        <w:t>of</w:t>
      </w:r>
      <w:r w:rsidRPr="00EB2BD8">
        <w:rPr>
          <w:i/>
          <w:spacing w:val="-6"/>
          <w:sz w:val="14"/>
        </w:rPr>
        <w:t xml:space="preserve"> </w:t>
      </w:r>
      <w:r w:rsidRPr="00EB2BD8">
        <w:rPr>
          <w:i/>
          <w:sz w:val="14"/>
        </w:rPr>
        <w:t>decision</w:t>
      </w:r>
      <w:r w:rsidRPr="00EB2BD8">
        <w:rPr>
          <w:i/>
          <w:spacing w:val="-6"/>
          <w:sz w:val="14"/>
        </w:rPr>
        <w:t xml:space="preserve"> </w:t>
      </w:r>
      <w:r w:rsidRPr="00EB2BD8">
        <w:rPr>
          <w:i/>
          <w:sz w:val="14"/>
        </w:rPr>
        <w:t>shown</w:t>
      </w:r>
      <w:r w:rsidRPr="00EB2BD8">
        <w:rPr>
          <w:i/>
          <w:spacing w:val="-6"/>
          <w:sz w:val="14"/>
        </w:rPr>
        <w:t xml:space="preserve"> </w:t>
      </w:r>
      <w:r w:rsidRPr="00EB2BD8">
        <w:rPr>
          <w:i/>
          <w:sz w:val="14"/>
        </w:rPr>
        <w:t>is</w:t>
      </w:r>
      <w:r w:rsidRPr="00EB2BD8">
        <w:rPr>
          <w:i/>
          <w:spacing w:val="-6"/>
          <w:sz w:val="14"/>
        </w:rPr>
        <w:t xml:space="preserve"> </w:t>
      </w:r>
      <w:r w:rsidRPr="00EB2BD8">
        <w:rPr>
          <w:i/>
          <w:sz w:val="14"/>
        </w:rPr>
        <w:t>the</w:t>
      </w:r>
      <w:r w:rsidRPr="00EB2BD8">
        <w:rPr>
          <w:i/>
          <w:spacing w:val="-6"/>
          <w:sz w:val="14"/>
        </w:rPr>
        <w:t xml:space="preserve"> </w:t>
      </w:r>
      <w:r w:rsidRPr="00EB2BD8">
        <w:rPr>
          <w:i/>
          <w:sz w:val="14"/>
        </w:rPr>
        <w:t>date</w:t>
      </w:r>
      <w:r w:rsidRPr="00EB2BD8">
        <w:rPr>
          <w:i/>
          <w:spacing w:val="-6"/>
          <w:sz w:val="14"/>
        </w:rPr>
        <w:t xml:space="preserve"> </w:t>
      </w:r>
      <w:r w:rsidRPr="00EB2BD8">
        <w:rPr>
          <w:i/>
          <w:sz w:val="14"/>
        </w:rPr>
        <w:t>the</w:t>
      </w:r>
      <w:r w:rsidRPr="00EB2BD8">
        <w:rPr>
          <w:i/>
          <w:spacing w:val="-6"/>
          <w:sz w:val="14"/>
        </w:rPr>
        <w:t xml:space="preserve"> </w:t>
      </w:r>
      <w:r w:rsidRPr="00EB2BD8">
        <w:rPr>
          <w:i/>
          <w:sz w:val="14"/>
        </w:rPr>
        <w:t>decision</w:t>
      </w:r>
      <w:r w:rsidRPr="00EB2BD8">
        <w:rPr>
          <w:i/>
          <w:spacing w:val="-6"/>
          <w:sz w:val="14"/>
        </w:rPr>
        <w:t xml:space="preserve"> </w:t>
      </w:r>
      <w:r w:rsidRPr="00EB2BD8">
        <w:rPr>
          <w:i/>
          <w:sz w:val="14"/>
        </w:rPr>
        <w:t>was</w:t>
      </w:r>
      <w:r w:rsidRPr="00EB2BD8">
        <w:rPr>
          <w:i/>
          <w:spacing w:val="-6"/>
          <w:sz w:val="14"/>
        </w:rPr>
        <w:t xml:space="preserve"> </w:t>
      </w:r>
      <w:r w:rsidRPr="00EB2BD8">
        <w:rPr>
          <w:i/>
          <w:sz w:val="14"/>
        </w:rPr>
        <w:t>made</w:t>
      </w:r>
      <w:r w:rsidRPr="00EB2BD8">
        <w:rPr>
          <w:i/>
          <w:spacing w:val="-6"/>
          <w:sz w:val="14"/>
        </w:rPr>
        <w:t xml:space="preserve"> </w:t>
      </w:r>
      <w:r w:rsidRPr="00EB2BD8">
        <w:rPr>
          <w:i/>
          <w:sz w:val="14"/>
        </w:rPr>
        <w:t>by</w:t>
      </w:r>
      <w:r w:rsidRPr="00EB2BD8">
        <w:rPr>
          <w:i/>
          <w:spacing w:val="-6"/>
          <w:sz w:val="14"/>
        </w:rPr>
        <w:t xml:space="preserve"> </w:t>
      </w:r>
      <w:r w:rsidRPr="00EB2BD8">
        <w:rPr>
          <w:i/>
          <w:sz w:val="14"/>
        </w:rPr>
        <w:t>the</w:t>
      </w:r>
      <w:r w:rsidRPr="00EB2BD8">
        <w:rPr>
          <w:i/>
          <w:spacing w:val="-6"/>
          <w:sz w:val="14"/>
        </w:rPr>
        <w:t xml:space="preserve"> </w:t>
      </w:r>
      <w:r w:rsidRPr="00EB2BD8">
        <w:rPr>
          <w:i/>
          <w:sz w:val="14"/>
        </w:rPr>
        <w:t>VBA’s</w:t>
      </w:r>
      <w:r w:rsidRPr="00EB2BD8">
        <w:rPr>
          <w:i/>
          <w:spacing w:val="-6"/>
          <w:sz w:val="14"/>
        </w:rPr>
        <w:t xml:space="preserve"> </w:t>
      </w:r>
      <w:r w:rsidRPr="00EB2BD8">
        <w:rPr>
          <w:i/>
          <w:sz w:val="14"/>
        </w:rPr>
        <w:t>original</w:t>
      </w:r>
      <w:r w:rsidRPr="00EB2BD8">
        <w:rPr>
          <w:i/>
          <w:spacing w:val="-6"/>
          <w:sz w:val="14"/>
        </w:rPr>
        <w:t xml:space="preserve"> </w:t>
      </w:r>
      <w:r w:rsidRPr="00EB2BD8">
        <w:rPr>
          <w:i/>
          <w:sz w:val="14"/>
        </w:rPr>
        <w:t>decision</w:t>
      </w:r>
      <w:r w:rsidRPr="00EB2BD8">
        <w:rPr>
          <w:i/>
          <w:spacing w:val="-6"/>
          <w:sz w:val="14"/>
        </w:rPr>
        <w:t xml:space="preserve"> </w:t>
      </w:r>
      <w:r w:rsidRPr="00EB2BD8">
        <w:rPr>
          <w:i/>
          <w:sz w:val="14"/>
        </w:rPr>
        <w:t>maker</w:t>
      </w:r>
      <w:r w:rsidRPr="00EB2BD8">
        <w:rPr>
          <w:i/>
          <w:spacing w:val="-6"/>
          <w:sz w:val="14"/>
        </w:rPr>
        <w:t xml:space="preserve"> </w:t>
      </w:r>
      <w:r w:rsidRPr="00EB2BD8">
        <w:rPr>
          <w:i/>
          <w:sz w:val="14"/>
        </w:rPr>
        <w:t>or,</w:t>
      </w:r>
      <w:r w:rsidRPr="00EB2BD8">
        <w:rPr>
          <w:i/>
          <w:spacing w:val="-6"/>
          <w:sz w:val="14"/>
        </w:rPr>
        <w:t xml:space="preserve"> </w:t>
      </w:r>
      <w:r w:rsidRPr="00EB2BD8">
        <w:rPr>
          <w:i/>
          <w:sz w:val="14"/>
        </w:rPr>
        <w:t>where</w:t>
      </w:r>
      <w:r w:rsidRPr="00EB2BD8">
        <w:rPr>
          <w:i/>
          <w:spacing w:val="-6"/>
          <w:sz w:val="14"/>
        </w:rPr>
        <w:t xml:space="preserve"> </w:t>
      </w:r>
      <w:r w:rsidRPr="00EB2BD8">
        <w:rPr>
          <w:i/>
          <w:sz w:val="14"/>
        </w:rPr>
        <w:t>the</w:t>
      </w:r>
      <w:r w:rsidRPr="00EB2BD8">
        <w:rPr>
          <w:i/>
          <w:spacing w:val="-6"/>
          <w:sz w:val="14"/>
        </w:rPr>
        <w:t xml:space="preserve"> </w:t>
      </w:r>
      <w:r w:rsidRPr="00EB2BD8">
        <w:rPr>
          <w:i/>
          <w:sz w:val="14"/>
        </w:rPr>
        <w:t>Practitioner</w:t>
      </w:r>
      <w:r w:rsidRPr="00EB2BD8">
        <w:rPr>
          <w:i/>
          <w:spacing w:val="-6"/>
          <w:sz w:val="14"/>
        </w:rPr>
        <w:t xml:space="preserve"> </w:t>
      </w:r>
      <w:r w:rsidRPr="00EB2BD8">
        <w:rPr>
          <w:i/>
          <w:sz w:val="14"/>
        </w:rPr>
        <w:t>sought</w:t>
      </w:r>
      <w:r w:rsidRPr="00EB2BD8">
        <w:rPr>
          <w:i/>
          <w:spacing w:val="-6"/>
          <w:sz w:val="14"/>
        </w:rPr>
        <w:t xml:space="preserve"> </w:t>
      </w:r>
      <w:r w:rsidRPr="00EB2BD8">
        <w:rPr>
          <w:i/>
          <w:sz w:val="14"/>
        </w:rPr>
        <w:t>an</w:t>
      </w:r>
      <w:r w:rsidRPr="00EB2BD8">
        <w:rPr>
          <w:i/>
          <w:spacing w:val="-6"/>
          <w:sz w:val="14"/>
        </w:rPr>
        <w:t xml:space="preserve"> </w:t>
      </w:r>
      <w:r w:rsidR="00D0600F">
        <w:rPr>
          <w:i/>
          <w:spacing w:val="-6"/>
          <w:sz w:val="14"/>
        </w:rPr>
        <w:t xml:space="preserve"> </w:t>
      </w:r>
      <w:r w:rsidRPr="00EB2BD8">
        <w:rPr>
          <w:i/>
          <w:sz w:val="14"/>
        </w:rPr>
        <w:t>Internal Review, the date of any subsequent decision by the VBA’s internal reviewer.</w:t>
      </w:r>
    </w:p>
    <w:p w14:paraId="7C173245" w14:textId="77777777" w:rsidR="00084F36" w:rsidRPr="00EB2BD8" w:rsidRDefault="00084F36">
      <w:pPr>
        <w:spacing w:line="261" w:lineRule="auto"/>
        <w:rPr>
          <w:sz w:val="14"/>
        </w:rPr>
        <w:sectPr w:rsidR="00084F36" w:rsidRPr="00EB2BD8" w:rsidSect="006D75B2">
          <w:footerReference w:type="default" r:id="rId404"/>
          <w:pgSz w:w="11910" w:h="16840"/>
          <w:pgMar w:top="1100" w:right="0" w:bottom="700" w:left="0" w:header="0" w:footer="505" w:gutter="0"/>
          <w:cols w:space="720"/>
        </w:sectPr>
      </w:pPr>
    </w:p>
    <w:p w14:paraId="20F083F8" w14:textId="77777777" w:rsidR="00084F36" w:rsidRPr="00EB2BD8" w:rsidRDefault="00084F36">
      <w:pPr>
        <w:pStyle w:val="BodyText"/>
        <w:rPr>
          <w:i/>
          <w:sz w:val="20"/>
        </w:rPr>
      </w:pPr>
    </w:p>
    <w:p w14:paraId="46038128" w14:textId="77777777" w:rsidR="00084F36" w:rsidRPr="00EB2BD8" w:rsidRDefault="00084F36">
      <w:pPr>
        <w:pStyle w:val="BodyText"/>
        <w:rPr>
          <w:i/>
          <w:sz w:val="20"/>
        </w:rPr>
      </w:pPr>
    </w:p>
    <w:p w14:paraId="0F7EC0FD" w14:textId="77777777" w:rsidR="00084F36" w:rsidRPr="00EB2BD8" w:rsidRDefault="00084F36">
      <w:pPr>
        <w:pStyle w:val="BodyText"/>
        <w:rPr>
          <w:i/>
          <w:sz w:val="20"/>
        </w:rPr>
      </w:pPr>
    </w:p>
    <w:p w14:paraId="0CBE5B24" w14:textId="77777777" w:rsidR="00084F36" w:rsidRPr="00EB2BD8" w:rsidRDefault="00084F36">
      <w:pPr>
        <w:pStyle w:val="BodyText"/>
        <w:rPr>
          <w:i/>
          <w:sz w:val="20"/>
        </w:rPr>
      </w:pPr>
    </w:p>
    <w:p w14:paraId="7DBB3483" w14:textId="77777777" w:rsidR="00084F36" w:rsidRPr="00EB2BD8" w:rsidRDefault="00084F36">
      <w:pPr>
        <w:pStyle w:val="BodyText"/>
        <w:spacing w:before="9" w:after="1"/>
        <w:rPr>
          <w:i/>
          <w:sz w:val="24"/>
        </w:rPr>
      </w:pPr>
    </w:p>
    <w:tbl>
      <w:tblPr>
        <w:tblW w:w="0" w:type="auto"/>
        <w:tblInd w:w="857" w:type="dxa"/>
        <w:tblLayout w:type="fixed"/>
        <w:tblCellMar>
          <w:left w:w="0" w:type="dxa"/>
          <w:right w:w="0" w:type="dxa"/>
        </w:tblCellMar>
        <w:tblLook w:val="01E0" w:firstRow="1" w:lastRow="1" w:firstColumn="1" w:lastColumn="1" w:noHBand="0" w:noVBand="0"/>
      </w:tblPr>
      <w:tblGrid>
        <w:gridCol w:w="1705"/>
        <w:gridCol w:w="1464"/>
        <w:gridCol w:w="2499"/>
        <w:gridCol w:w="2279"/>
        <w:gridCol w:w="1076"/>
        <w:gridCol w:w="1175"/>
      </w:tblGrid>
      <w:tr w:rsidR="00EB2BD8" w:rsidRPr="00EB2BD8" w14:paraId="60C3C68C" w14:textId="77777777">
        <w:trPr>
          <w:trHeight w:val="614"/>
        </w:trPr>
        <w:tc>
          <w:tcPr>
            <w:tcW w:w="1705" w:type="dxa"/>
            <w:tcBorders>
              <w:bottom w:val="single" w:sz="2" w:space="0" w:color="000000"/>
            </w:tcBorders>
            <w:shd w:val="clear" w:color="auto" w:fill="005F83"/>
          </w:tcPr>
          <w:p w14:paraId="11DA8DE3" w14:textId="77777777" w:rsidR="00084F36" w:rsidRPr="00697E0C" w:rsidRDefault="00EB2BD8">
            <w:pPr>
              <w:pStyle w:val="TableParagraph"/>
              <w:spacing w:before="118"/>
              <w:ind w:left="113"/>
              <w:rPr>
                <w:color w:val="FFFFFF" w:themeColor="background1"/>
                <w:sz w:val="16"/>
              </w:rPr>
            </w:pPr>
            <w:r w:rsidRPr="00697E0C">
              <w:rPr>
                <w:color w:val="FFFFFF" w:themeColor="background1"/>
                <w:w w:val="105"/>
                <w:sz w:val="16"/>
              </w:rPr>
              <w:t>Practitioner</w:t>
            </w:r>
            <w:r w:rsidRPr="00697E0C">
              <w:rPr>
                <w:color w:val="FFFFFF" w:themeColor="background1"/>
                <w:spacing w:val="-14"/>
                <w:w w:val="105"/>
                <w:sz w:val="16"/>
              </w:rPr>
              <w:t xml:space="preserve"> </w:t>
            </w:r>
            <w:r w:rsidRPr="00697E0C">
              <w:rPr>
                <w:color w:val="FFFFFF" w:themeColor="background1"/>
                <w:spacing w:val="-4"/>
                <w:w w:val="105"/>
                <w:sz w:val="16"/>
              </w:rPr>
              <w:t>name</w:t>
            </w:r>
          </w:p>
        </w:tc>
        <w:tc>
          <w:tcPr>
            <w:tcW w:w="1464" w:type="dxa"/>
            <w:tcBorders>
              <w:bottom w:val="single" w:sz="2" w:space="0" w:color="000000"/>
            </w:tcBorders>
            <w:shd w:val="clear" w:color="auto" w:fill="005F83"/>
          </w:tcPr>
          <w:p w14:paraId="08820088" w14:textId="77777777" w:rsidR="00084F36" w:rsidRPr="00697E0C" w:rsidRDefault="00EB2BD8">
            <w:pPr>
              <w:pStyle w:val="TableParagraph"/>
              <w:spacing w:before="118" w:line="292" w:lineRule="auto"/>
              <w:ind w:left="165"/>
              <w:rPr>
                <w:color w:val="FFFFFF" w:themeColor="background1"/>
                <w:sz w:val="16"/>
              </w:rPr>
            </w:pPr>
            <w:r w:rsidRPr="00697E0C">
              <w:rPr>
                <w:color w:val="FFFFFF" w:themeColor="background1"/>
                <w:spacing w:val="-2"/>
                <w:sz w:val="16"/>
              </w:rPr>
              <w:t xml:space="preserve">Registration </w:t>
            </w:r>
            <w:r w:rsidRPr="00697E0C">
              <w:rPr>
                <w:color w:val="FFFFFF" w:themeColor="background1"/>
                <w:spacing w:val="-2"/>
                <w:w w:val="105"/>
                <w:sz w:val="16"/>
              </w:rPr>
              <w:t>Number</w:t>
            </w:r>
          </w:p>
        </w:tc>
        <w:tc>
          <w:tcPr>
            <w:tcW w:w="2499" w:type="dxa"/>
            <w:tcBorders>
              <w:bottom w:val="single" w:sz="2" w:space="0" w:color="000000"/>
            </w:tcBorders>
            <w:shd w:val="clear" w:color="auto" w:fill="005F83"/>
          </w:tcPr>
          <w:p w14:paraId="7E5B0452" w14:textId="77777777" w:rsidR="00084F36" w:rsidRPr="00697E0C" w:rsidRDefault="00EB2BD8">
            <w:pPr>
              <w:pStyle w:val="TableParagraph"/>
              <w:spacing w:before="118"/>
              <w:ind w:left="334"/>
              <w:rPr>
                <w:color w:val="FFFFFF" w:themeColor="background1"/>
                <w:sz w:val="16"/>
              </w:rPr>
            </w:pPr>
            <w:r w:rsidRPr="00697E0C">
              <w:rPr>
                <w:color w:val="FFFFFF" w:themeColor="background1"/>
                <w:spacing w:val="-2"/>
                <w:w w:val="105"/>
                <w:sz w:val="16"/>
              </w:rPr>
              <w:t>Conduct</w:t>
            </w:r>
          </w:p>
        </w:tc>
        <w:tc>
          <w:tcPr>
            <w:tcW w:w="2279" w:type="dxa"/>
            <w:tcBorders>
              <w:bottom w:val="single" w:sz="2" w:space="0" w:color="000000"/>
            </w:tcBorders>
            <w:shd w:val="clear" w:color="auto" w:fill="005F83"/>
          </w:tcPr>
          <w:p w14:paraId="04C1B05C" w14:textId="77777777" w:rsidR="00084F36" w:rsidRPr="00697E0C" w:rsidRDefault="00EB2BD8">
            <w:pPr>
              <w:pStyle w:val="TableParagraph"/>
              <w:spacing w:before="118"/>
              <w:ind w:left="114"/>
              <w:rPr>
                <w:color w:val="FFFFFF" w:themeColor="background1"/>
                <w:sz w:val="16"/>
              </w:rPr>
            </w:pPr>
            <w:r w:rsidRPr="00697E0C">
              <w:rPr>
                <w:color w:val="FFFFFF" w:themeColor="background1"/>
                <w:spacing w:val="-2"/>
                <w:sz w:val="16"/>
              </w:rPr>
              <w:t>Result</w:t>
            </w:r>
          </w:p>
        </w:tc>
        <w:tc>
          <w:tcPr>
            <w:tcW w:w="1076" w:type="dxa"/>
            <w:tcBorders>
              <w:bottom w:val="single" w:sz="2" w:space="0" w:color="000000"/>
            </w:tcBorders>
            <w:shd w:val="clear" w:color="auto" w:fill="005F83"/>
          </w:tcPr>
          <w:p w14:paraId="1597628F" w14:textId="77777777" w:rsidR="00084F36" w:rsidRPr="00697E0C" w:rsidRDefault="00EB2BD8">
            <w:pPr>
              <w:pStyle w:val="TableParagraph"/>
              <w:spacing w:before="118" w:line="292" w:lineRule="auto"/>
              <w:ind w:left="114" w:right="88"/>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35</w:t>
            </w:r>
          </w:p>
        </w:tc>
        <w:tc>
          <w:tcPr>
            <w:tcW w:w="1175" w:type="dxa"/>
            <w:tcBorders>
              <w:bottom w:val="single" w:sz="2" w:space="0" w:color="000000"/>
            </w:tcBorders>
            <w:shd w:val="clear" w:color="auto" w:fill="005F83"/>
          </w:tcPr>
          <w:p w14:paraId="6BACD712" w14:textId="77777777" w:rsidR="00084F36" w:rsidRPr="00697E0C" w:rsidRDefault="00EB2BD8">
            <w:pPr>
              <w:pStyle w:val="TableParagraph"/>
              <w:spacing w:before="118"/>
              <w:ind w:left="115"/>
              <w:rPr>
                <w:color w:val="FFFFFF" w:themeColor="background1"/>
                <w:sz w:val="9"/>
              </w:rPr>
            </w:pPr>
            <w:r w:rsidRPr="00697E0C">
              <w:rPr>
                <w:color w:val="FFFFFF" w:themeColor="background1"/>
                <w:spacing w:val="-2"/>
                <w:w w:val="105"/>
                <w:sz w:val="16"/>
              </w:rPr>
              <w:t>Date</w:t>
            </w:r>
            <w:r w:rsidRPr="00697E0C">
              <w:rPr>
                <w:color w:val="FFFFFF" w:themeColor="background1"/>
                <w:spacing w:val="-2"/>
                <w:w w:val="105"/>
                <w:position w:val="5"/>
                <w:sz w:val="9"/>
              </w:rPr>
              <w:t>36</w:t>
            </w:r>
          </w:p>
        </w:tc>
      </w:tr>
      <w:tr w:rsidR="00EB2BD8" w:rsidRPr="00EB2BD8" w14:paraId="58B19787" w14:textId="77777777">
        <w:trPr>
          <w:trHeight w:val="326"/>
        </w:trPr>
        <w:tc>
          <w:tcPr>
            <w:tcW w:w="1705" w:type="dxa"/>
            <w:tcBorders>
              <w:top w:val="single" w:sz="2" w:space="0" w:color="000000"/>
            </w:tcBorders>
          </w:tcPr>
          <w:p w14:paraId="51A4D02F" w14:textId="77777777" w:rsidR="00084F36" w:rsidRPr="00EB2BD8" w:rsidRDefault="00EB2BD8">
            <w:pPr>
              <w:pStyle w:val="TableParagraph"/>
              <w:spacing w:before="116"/>
              <w:ind w:left="113"/>
              <w:rPr>
                <w:sz w:val="16"/>
              </w:rPr>
            </w:pPr>
            <w:r w:rsidRPr="00EB2BD8">
              <w:rPr>
                <w:spacing w:val="-6"/>
                <w:sz w:val="16"/>
              </w:rPr>
              <w:t>FALK,</w:t>
            </w:r>
            <w:r w:rsidRPr="00EB2BD8">
              <w:rPr>
                <w:spacing w:val="-8"/>
                <w:sz w:val="16"/>
              </w:rPr>
              <w:t xml:space="preserve"> </w:t>
            </w:r>
            <w:r w:rsidRPr="00EB2BD8">
              <w:rPr>
                <w:spacing w:val="-4"/>
                <w:sz w:val="16"/>
              </w:rPr>
              <w:t>John</w:t>
            </w:r>
          </w:p>
        </w:tc>
        <w:tc>
          <w:tcPr>
            <w:tcW w:w="1464" w:type="dxa"/>
            <w:tcBorders>
              <w:top w:val="single" w:sz="2" w:space="0" w:color="000000"/>
            </w:tcBorders>
          </w:tcPr>
          <w:p w14:paraId="3AD3876C" w14:textId="77777777" w:rsidR="00084F36" w:rsidRPr="00EB2BD8" w:rsidRDefault="00EB2BD8">
            <w:pPr>
              <w:pStyle w:val="TableParagraph"/>
              <w:spacing w:before="116"/>
              <w:ind w:left="165"/>
              <w:rPr>
                <w:sz w:val="16"/>
              </w:rPr>
            </w:pPr>
            <w:r w:rsidRPr="00EB2BD8">
              <w:rPr>
                <w:w w:val="105"/>
                <w:sz w:val="16"/>
              </w:rPr>
              <w:t>DB-L</w:t>
            </w:r>
            <w:r w:rsidRPr="00EB2BD8">
              <w:rPr>
                <w:spacing w:val="3"/>
                <w:w w:val="105"/>
                <w:sz w:val="16"/>
              </w:rPr>
              <w:t xml:space="preserve"> </w:t>
            </w:r>
            <w:r w:rsidRPr="00EB2BD8">
              <w:rPr>
                <w:spacing w:val="-2"/>
                <w:w w:val="105"/>
                <w:sz w:val="16"/>
              </w:rPr>
              <w:t>20059</w:t>
            </w:r>
          </w:p>
        </w:tc>
        <w:tc>
          <w:tcPr>
            <w:tcW w:w="2499" w:type="dxa"/>
            <w:tcBorders>
              <w:top w:val="single" w:sz="2" w:space="0" w:color="000000"/>
            </w:tcBorders>
          </w:tcPr>
          <w:p w14:paraId="5FFF06BC" w14:textId="77777777" w:rsidR="00084F36" w:rsidRPr="00EB2BD8" w:rsidRDefault="00EB2BD8">
            <w:pPr>
              <w:pStyle w:val="TableParagraph"/>
              <w:spacing w:before="116"/>
              <w:ind w:left="334"/>
              <w:rPr>
                <w:sz w:val="16"/>
              </w:rPr>
            </w:pPr>
            <w:r w:rsidRPr="00EB2BD8">
              <w:rPr>
                <w:spacing w:val="-2"/>
                <w:sz w:val="16"/>
              </w:rPr>
              <w:t>Failure</w:t>
            </w:r>
            <w:r w:rsidRPr="00EB2BD8">
              <w:rPr>
                <w:spacing w:val="-5"/>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79" w:type="dxa"/>
            <w:tcBorders>
              <w:top w:val="single" w:sz="2" w:space="0" w:color="000000"/>
            </w:tcBorders>
          </w:tcPr>
          <w:p w14:paraId="55B24598" w14:textId="77777777" w:rsidR="00084F36" w:rsidRPr="00EB2BD8" w:rsidRDefault="00EB2BD8">
            <w:pPr>
              <w:pStyle w:val="TableParagraph"/>
              <w:spacing w:before="115"/>
              <w:ind w:left="114"/>
              <w:rPr>
                <w:sz w:val="16"/>
              </w:rPr>
            </w:pPr>
            <w:r w:rsidRPr="00EB2BD8">
              <w:rPr>
                <w:sz w:val="16"/>
              </w:rPr>
              <w:t>Reprimand</w:t>
            </w:r>
            <w:r w:rsidRPr="00EB2BD8">
              <w:rPr>
                <w:spacing w:val="2"/>
                <w:sz w:val="16"/>
              </w:rPr>
              <w:t xml:space="preserve"> </w:t>
            </w:r>
            <w:r w:rsidRPr="00EB2BD8">
              <w:rPr>
                <w:sz w:val="16"/>
              </w:rPr>
              <w:t>and</w:t>
            </w:r>
            <w:r w:rsidRPr="00EB2BD8">
              <w:rPr>
                <w:spacing w:val="3"/>
                <w:sz w:val="16"/>
              </w:rPr>
              <w:t xml:space="preserve"> </w:t>
            </w:r>
            <w:r w:rsidRPr="00EB2BD8">
              <w:rPr>
                <w:sz w:val="16"/>
              </w:rPr>
              <w:t>penalty</w:t>
            </w:r>
            <w:r w:rsidRPr="00EB2BD8">
              <w:rPr>
                <w:spacing w:val="2"/>
                <w:sz w:val="16"/>
              </w:rPr>
              <w:t xml:space="preserve"> </w:t>
            </w:r>
            <w:r w:rsidRPr="00EB2BD8">
              <w:rPr>
                <w:spacing w:val="-5"/>
                <w:sz w:val="16"/>
              </w:rPr>
              <w:t>of</w:t>
            </w:r>
          </w:p>
        </w:tc>
        <w:tc>
          <w:tcPr>
            <w:tcW w:w="1076" w:type="dxa"/>
            <w:tcBorders>
              <w:top w:val="single" w:sz="2" w:space="0" w:color="000000"/>
            </w:tcBorders>
          </w:tcPr>
          <w:p w14:paraId="3324B641" w14:textId="77777777" w:rsidR="00084F36" w:rsidRPr="00EB2BD8" w:rsidRDefault="00EB2BD8">
            <w:pPr>
              <w:pStyle w:val="TableParagraph"/>
              <w:spacing w:before="115"/>
              <w:ind w:right="109"/>
              <w:jc w:val="right"/>
              <w:rPr>
                <w:sz w:val="16"/>
              </w:rPr>
            </w:pPr>
            <w:r w:rsidRPr="00EB2BD8">
              <w:rPr>
                <w:spacing w:val="-2"/>
                <w:sz w:val="16"/>
              </w:rPr>
              <w:t>$4,000</w:t>
            </w:r>
          </w:p>
        </w:tc>
        <w:tc>
          <w:tcPr>
            <w:tcW w:w="1175" w:type="dxa"/>
            <w:tcBorders>
              <w:top w:val="single" w:sz="2" w:space="0" w:color="000000"/>
            </w:tcBorders>
          </w:tcPr>
          <w:p w14:paraId="2270B3E2" w14:textId="77777777" w:rsidR="00084F36" w:rsidRPr="00EB2BD8" w:rsidRDefault="00EB2BD8">
            <w:pPr>
              <w:pStyle w:val="TableParagraph"/>
              <w:spacing w:before="115"/>
              <w:ind w:left="115"/>
              <w:rPr>
                <w:sz w:val="16"/>
              </w:rPr>
            </w:pPr>
            <w:r w:rsidRPr="00EB2BD8">
              <w:rPr>
                <w:spacing w:val="-2"/>
                <w:sz w:val="16"/>
              </w:rPr>
              <w:t>09/06/2023</w:t>
            </w:r>
          </w:p>
        </w:tc>
      </w:tr>
      <w:tr w:rsidR="00EB2BD8" w:rsidRPr="00EB2BD8" w14:paraId="51BBE89F" w14:textId="77777777">
        <w:trPr>
          <w:trHeight w:val="230"/>
        </w:trPr>
        <w:tc>
          <w:tcPr>
            <w:tcW w:w="1705" w:type="dxa"/>
          </w:tcPr>
          <w:p w14:paraId="300EF940" w14:textId="77777777" w:rsidR="00084F36" w:rsidRPr="00EB2BD8" w:rsidRDefault="00084F36">
            <w:pPr>
              <w:pStyle w:val="TableParagraph"/>
              <w:rPr>
                <w:rFonts w:ascii="Times New Roman"/>
                <w:sz w:val="16"/>
              </w:rPr>
            </w:pPr>
          </w:p>
        </w:tc>
        <w:tc>
          <w:tcPr>
            <w:tcW w:w="1464" w:type="dxa"/>
          </w:tcPr>
          <w:p w14:paraId="497CD29B" w14:textId="77777777" w:rsidR="00084F36" w:rsidRPr="00EB2BD8" w:rsidRDefault="00084F36">
            <w:pPr>
              <w:pStyle w:val="TableParagraph"/>
              <w:rPr>
                <w:rFonts w:ascii="Times New Roman"/>
                <w:sz w:val="16"/>
              </w:rPr>
            </w:pPr>
          </w:p>
        </w:tc>
        <w:tc>
          <w:tcPr>
            <w:tcW w:w="2499" w:type="dxa"/>
          </w:tcPr>
          <w:p w14:paraId="54A873A7" w14:textId="77777777" w:rsidR="00084F36" w:rsidRPr="00EB2BD8" w:rsidRDefault="00EB2BD8">
            <w:pPr>
              <w:pStyle w:val="TableParagraph"/>
              <w:spacing w:before="19"/>
              <w:ind w:left="334"/>
              <w:rPr>
                <w:sz w:val="16"/>
              </w:rPr>
            </w:pPr>
            <w:r w:rsidRPr="00EB2BD8">
              <w:rPr>
                <w:sz w:val="16"/>
              </w:rPr>
              <w:t>mandatory</w:t>
            </w:r>
            <w:r w:rsidRPr="00EB2BD8">
              <w:rPr>
                <w:spacing w:val="14"/>
                <w:sz w:val="16"/>
              </w:rPr>
              <w:t xml:space="preserve"> </w:t>
            </w:r>
            <w:r w:rsidRPr="00EB2BD8">
              <w:rPr>
                <w:spacing w:val="-2"/>
                <w:sz w:val="16"/>
              </w:rPr>
              <w:t>stage</w:t>
            </w:r>
          </w:p>
        </w:tc>
        <w:tc>
          <w:tcPr>
            <w:tcW w:w="2279" w:type="dxa"/>
          </w:tcPr>
          <w:p w14:paraId="5D69A45C" w14:textId="77777777" w:rsidR="00084F36" w:rsidRPr="00EB2BD8" w:rsidRDefault="00EB2BD8">
            <w:pPr>
              <w:pStyle w:val="TableParagraph"/>
              <w:spacing w:before="19"/>
              <w:ind w:left="114"/>
              <w:rPr>
                <w:sz w:val="16"/>
              </w:rPr>
            </w:pPr>
            <w:r w:rsidRPr="00EB2BD8">
              <w:rPr>
                <w:spacing w:val="-2"/>
                <w:sz w:val="16"/>
              </w:rPr>
              <w:t>$4,000.</w:t>
            </w:r>
          </w:p>
        </w:tc>
        <w:tc>
          <w:tcPr>
            <w:tcW w:w="1076" w:type="dxa"/>
          </w:tcPr>
          <w:p w14:paraId="38D33D55" w14:textId="77777777" w:rsidR="00084F36" w:rsidRPr="00EB2BD8" w:rsidRDefault="00084F36">
            <w:pPr>
              <w:pStyle w:val="TableParagraph"/>
              <w:rPr>
                <w:rFonts w:ascii="Times New Roman"/>
                <w:sz w:val="16"/>
              </w:rPr>
            </w:pPr>
          </w:p>
        </w:tc>
        <w:tc>
          <w:tcPr>
            <w:tcW w:w="1175" w:type="dxa"/>
          </w:tcPr>
          <w:p w14:paraId="1AE4AC8A" w14:textId="77777777" w:rsidR="00084F36" w:rsidRPr="00EB2BD8" w:rsidRDefault="00084F36">
            <w:pPr>
              <w:pStyle w:val="TableParagraph"/>
              <w:rPr>
                <w:rFonts w:ascii="Times New Roman"/>
                <w:sz w:val="16"/>
              </w:rPr>
            </w:pPr>
          </w:p>
        </w:tc>
      </w:tr>
      <w:tr w:rsidR="00EB2BD8" w:rsidRPr="00EB2BD8" w14:paraId="6F091B19" w14:textId="77777777">
        <w:trPr>
          <w:trHeight w:val="229"/>
        </w:trPr>
        <w:tc>
          <w:tcPr>
            <w:tcW w:w="1705" w:type="dxa"/>
          </w:tcPr>
          <w:p w14:paraId="30D80856" w14:textId="77777777" w:rsidR="00084F36" w:rsidRPr="00EB2BD8" w:rsidRDefault="00084F36">
            <w:pPr>
              <w:pStyle w:val="TableParagraph"/>
              <w:rPr>
                <w:rFonts w:ascii="Times New Roman"/>
                <w:sz w:val="16"/>
              </w:rPr>
            </w:pPr>
          </w:p>
        </w:tc>
        <w:tc>
          <w:tcPr>
            <w:tcW w:w="1464" w:type="dxa"/>
          </w:tcPr>
          <w:p w14:paraId="6AC48649" w14:textId="77777777" w:rsidR="00084F36" w:rsidRPr="00EB2BD8" w:rsidRDefault="00084F36">
            <w:pPr>
              <w:pStyle w:val="TableParagraph"/>
              <w:rPr>
                <w:rFonts w:ascii="Times New Roman"/>
                <w:sz w:val="16"/>
              </w:rPr>
            </w:pPr>
          </w:p>
        </w:tc>
        <w:tc>
          <w:tcPr>
            <w:tcW w:w="2499" w:type="dxa"/>
          </w:tcPr>
          <w:p w14:paraId="10607D75" w14:textId="77777777" w:rsidR="00084F36" w:rsidRPr="00EB2BD8" w:rsidRDefault="00EB2BD8">
            <w:pPr>
              <w:pStyle w:val="TableParagraph"/>
              <w:spacing w:before="19"/>
              <w:ind w:left="334"/>
              <w:rPr>
                <w:sz w:val="16"/>
              </w:rPr>
            </w:pPr>
            <w:r w:rsidRPr="00EB2BD8">
              <w:rPr>
                <w:spacing w:val="-2"/>
                <w:sz w:val="16"/>
              </w:rPr>
              <w:t>inspections</w:t>
            </w:r>
            <w:r w:rsidRPr="00EB2BD8">
              <w:rPr>
                <w:spacing w:val="-5"/>
                <w:sz w:val="16"/>
              </w:rPr>
              <w:t xml:space="preserve"> </w:t>
            </w:r>
            <w:r w:rsidRPr="00EB2BD8">
              <w:rPr>
                <w:spacing w:val="-2"/>
                <w:sz w:val="16"/>
              </w:rPr>
              <w:t>(prior</w:t>
            </w:r>
            <w:r w:rsidRPr="00EB2BD8">
              <w:rPr>
                <w:spacing w:val="-5"/>
                <w:sz w:val="16"/>
              </w:rPr>
              <w:t xml:space="preserve"> to</w:t>
            </w:r>
          </w:p>
        </w:tc>
        <w:tc>
          <w:tcPr>
            <w:tcW w:w="2279" w:type="dxa"/>
          </w:tcPr>
          <w:p w14:paraId="60B9AA5F" w14:textId="77777777" w:rsidR="00084F36" w:rsidRPr="00EB2BD8" w:rsidRDefault="00084F36">
            <w:pPr>
              <w:pStyle w:val="TableParagraph"/>
              <w:rPr>
                <w:rFonts w:ascii="Times New Roman"/>
                <w:sz w:val="16"/>
              </w:rPr>
            </w:pPr>
          </w:p>
        </w:tc>
        <w:tc>
          <w:tcPr>
            <w:tcW w:w="1076" w:type="dxa"/>
          </w:tcPr>
          <w:p w14:paraId="4DC9F98B" w14:textId="77777777" w:rsidR="00084F36" w:rsidRPr="00EB2BD8" w:rsidRDefault="00084F36">
            <w:pPr>
              <w:pStyle w:val="TableParagraph"/>
              <w:rPr>
                <w:rFonts w:ascii="Times New Roman"/>
                <w:sz w:val="16"/>
              </w:rPr>
            </w:pPr>
          </w:p>
        </w:tc>
        <w:tc>
          <w:tcPr>
            <w:tcW w:w="1175" w:type="dxa"/>
          </w:tcPr>
          <w:p w14:paraId="58772D13" w14:textId="77777777" w:rsidR="00084F36" w:rsidRPr="00EB2BD8" w:rsidRDefault="00084F36">
            <w:pPr>
              <w:pStyle w:val="TableParagraph"/>
              <w:rPr>
                <w:rFonts w:ascii="Times New Roman"/>
                <w:sz w:val="16"/>
              </w:rPr>
            </w:pPr>
          </w:p>
        </w:tc>
      </w:tr>
      <w:tr w:rsidR="00EB2BD8" w:rsidRPr="00EB2BD8" w14:paraId="77DA2289" w14:textId="77777777">
        <w:trPr>
          <w:trHeight w:val="229"/>
        </w:trPr>
        <w:tc>
          <w:tcPr>
            <w:tcW w:w="1705" w:type="dxa"/>
          </w:tcPr>
          <w:p w14:paraId="4B618F2F" w14:textId="77777777" w:rsidR="00084F36" w:rsidRPr="00EB2BD8" w:rsidRDefault="00084F36">
            <w:pPr>
              <w:pStyle w:val="TableParagraph"/>
              <w:rPr>
                <w:rFonts w:ascii="Times New Roman"/>
                <w:sz w:val="16"/>
              </w:rPr>
            </w:pPr>
          </w:p>
        </w:tc>
        <w:tc>
          <w:tcPr>
            <w:tcW w:w="1464" w:type="dxa"/>
          </w:tcPr>
          <w:p w14:paraId="78BED6B6" w14:textId="77777777" w:rsidR="00084F36" w:rsidRPr="00EB2BD8" w:rsidRDefault="00084F36">
            <w:pPr>
              <w:pStyle w:val="TableParagraph"/>
              <w:rPr>
                <w:rFonts w:ascii="Times New Roman"/>
                <w:sz w:val="16"/>
              </w:rPr>
            </w:pPr>
          </w:p>
        </w:tc>
        <w:tc>
          <w:tcPr>
            <w:tcW w:w="2499" w:type="dxa"/>
          </w:tcPr>
          <w:p w14:paraId="4C3FFFC0" w14:textId="77777777" w:rsidR="00084F36" w:rsidRPr="00EB2BD8" w:rsidRDefault="00EB2BD8">
            <w:pPr>
              <w:pStyle w:val="TableParagraph"/>
              <w:spacing w:before="19"/>
              <w:ind w:left="334"/>
              <w:rPr>
                <w:sz w:val="16"/>
              </w:rPr>
            </w:pPr>
            <w:r w:rsidRPr="00EB2BD8">
              <w:rPr>
                <w:spacing w:val="-2"/>
                <w:sz w:val="16"/>
              </w:rPr>
              <w:t>pouring</w:t>
            </w:r>
            <w:r w:rsidRPr="00EB2BD8">
              <w:rPr>
                <w:sz w:val="16"/>
              </w:rPr>
              <w:t xml:space="preserve"> </w:t>
            </w:r>
            <w:r w:rsidRPr="00EB2BD8">
              <w:rPr>
                <w:spacing w:val="-2"/>
                <w:sz w:val="16"/>
              </w:rPr>
              <w:t>in-site</w:t>
            </w:r>
            <w:r w:rsidRPr="00EB2BD8">
              <w:rPr>
                <w:spacing w:val="1"/>
                <w:sz w:val="16"/>
              </w:rPr>
              <w:t xml:space="preserve"> </w:t>
            </w:r>
            <w:r w:rsidRPr="00EB2BD8">
              <w:rPr>
                <w:spacing w:val="-2"/>
                <w:sz w:val="16"/>
              </w:rPr>
              <w:t>concrete</w:t>
            </w:r>
          </w:p>
        </w:tc>
        <w:tc>
          <w:tcPr>
            <w:tcW w:w="2279" w:type="dxa"/>
          </w:tcPr>
          <w:p w14:paraId="4E433780" w14:textId="77777777" w:rsidR="00084F36" w:rsidRPr="00EB2BD8" w:rsidRDefault="00084F36">
            <w:pPr>
              <w:pStyle w:val="TableParagraph"/>
              <w:rPr>
                <w:rFonts w:ascii="Times New Roman"/>
                <w:sz w:val="16"/>
              </w:rPr>
            </w:pPr>
          </w:p>
        </w:tc>
        <w:tc>
          <w:tcPr>
            <w:tcW w:w="1076" w:type="dxa"/>
          </w:tcPr>
          <w:p w14:paraId="03B4FFAC" w14:textId="77777777" w:rsidR="00084F36" w:rsidRPr="00EB2BD8" w:rsidRDefault="00084F36">
            <w:pPr>
              <w:pStyle w:val="TableParagraph"/>
              <w:rPr>
                <w:rFonts w:ascii="Times New Roman"/>
                <w:sz w:val="16"/>
              </w:rPr>
            </w:pPr>
          </w:p>
        </w:tc>
        <w:tc>
          <w:tcPr>
            <w:tcW w:w="1175" w:type="dxa"/>
          </w:tcPr>
          <w:p w14:paraId="51C1189D" w14:textId="77777777" w:rsidR="00084F36" w:rsidRPr="00EB2BD8" w:rsidRDefault="00084F36">
            <w:pPr>
              <w:pStyle w:val="TableParagraph"/>
              <w:rPr>
                <w:rFonts w:ascii="Times New Roman"/>
                <w:sz w:val="16"/>
              </w:rPr>
            </w:pPr>
          </w:p>
        </w:tc>
      </w:tr>
      <w:tr w:rsidR="00EB2BD8" w:rsidRPr="00EB2BD8" w14:paraId="6E665E2C" w14:textId="77777777">
        <w:trPr>
          <w:trHeight w:val="229"/>
        </w:trPr>
        <w:tc>
          <w:tcPr>
            <w:tcW w:w="1705" w:type="dxa"/>
          </w:tcPr>
          <w:p w14:paraId="066BEA5E" w14:textId="77777777" w:rsidR="00084F36" w:rsidRPr="00EB2BD8" w:rsidRDefault="00084F36">
            <w:pPr>
              <w:pStyle w:val="TableParagraph"/>
              <w:rPr>
                <w:rFonts w:ascii="Times New Roman"/>
                <w:sz w:val="16"/>
              </w:rPr>
            </w:pPr>
          </w:p>
        </w:tc>
        <w:tc>
          <w:tcPr>
            <w:tcW w:w="1464" w:type="dxa"/>
          </w:tcPr>
          <w:p w14:paraId="750AD0B7" w14:textId="77777777" w:rsidR="00084F36" w:rsidRPr="00EB2BD8" w:rsidRDefault="00084F36">
            <w:pPr>
              <w:pStyle w:val="TableParagraph"/>
              <w:rPr>
                <w:rFonts w:ascii="Times New Roman"/>
                <w:sz w:val="16"/>
              </w:rPr>
            </w:pPr>
          </w:p>
        </w:tc>
        <w:tc>
          <w:tcPr>
            <w:tcW w:w="2499" w:type="dxa"/>
          </w:tcPr>
          <w:p w14:paraId="3AF60201" w14:textId="77777777" w:rsidR="00084F36" w:rsidRPr="00EB2BD8" w:rsidRDefault="00EB2BD8">
            <w:pPr>
              <w:pStyle w:val="TableParagraph"/>
              <w:spacing w:before="19"/>
              <w:ind w:left="334"/>
              <w:rPr>
                <w:sz w:val="16"/>
              </w:rPr>
            </w:pPr>
            <w:r w:rsidRPr="00EB2BD8">
              <w:rPr>
                <w:sz w:val="16"/>
              </w:rPr>
              <w:t>member—bond</w:t>
            </w:r>
            <w:r w:rsidRPr="00EB2BD8">
              <w:rPr>
                <w:spacing w:val="2"/>
                <w:sz w:val="16"/>
              </w:rPr>
              <w:t xml:space="preserve"> </w:t>
            </w:r>
            <w:r w:rsidRPr="00EB2BD8">
              <w:rPr>
                <w:spacing w:val="-4"/>
                <w:sz w:val="16"/>
              </w:rPr>
              <w:t>beam</w:t>
            </w:r>
          </w:p>
        </w:tc>
        <w:tc>
          <w:tcPr>
            <w:tcW w:w="2279" w:type="dxa"/>
          </w:tcPr>
          <w:p w14:paraId="0AB7AE38" w14:textId="77777777" w:rsidR="00084F36" w:rsidRPr="00EB2BD8" w:rsidRDefault="00084F36">
            <w:pPr>
              <w:pStyle w:val="TableParagraph"/>
              <w:rPr>
                <w:rFonts w:ascii="Times New Roman"/>
                <w:sz w:val="16"/>
              </w:rPr>
            </w:pPr>
          </w:p>
        </w:tc>
        <w:tc>
          <w:tcPr>
            <w:tcW w:w="1076" w:type="dxa"/>
          </w:tcPr>
          <w:p w14:paraId="43A34341" w14:textId="77777777" w:rsidR="00084F36" w:rsidRPr="00EB2BD8" w:rsidRDefault="00084F36">
            <w:pPr>
              <w:pStyle w:val="TableParagraph"/>
              <w:rPr>
                <w:rFonts w:ascii="Times New Roman"/>
                <w:sz w:val="16"/>
              </w:rPr>
            </w:pPr>
          </w:p>
        </w:tc>
        <w:tc>
          <w:tcPr>
            <w:tcW w:w="1175" w:type="dxa"/>
          </w:tcPr>
          <w:p w14:paraId="6957F532" w14:textId="77777777" w:rsidR="00084F36" w:rsidRPr="00EB2BD8" w:rsidRDefault="00084F36">
            <w:pPr>
              <w:pStyle w:val="TableParagraph"/>
              <w:rPr>
                <w:rFonts w:ascii="Times New Roman"/>
                <w:sz w:val="16"/>
              </w:rPr>
            </w:pPr>
          </w:p>
        </w:tc>
      </w:tr>
      <w:tr w:rsidR="00EB2BD8" w:rsidRPr="00EB2BD8" w14:paraId="2AECA818" w14:textId="77777777">
        <w:trPr>
          <w:trHeight w:val="229"/>
        </w:trPr>
        <w:tc>
          <w:tcPr>
            <w:tcW w:w="1705" w:type="dxa"/>
          </w:tcPr>
          <w:p w14:paraId="6837A41C" w14:textId="77777777" w:rsidR="00084F36" w:rsidRPr="00EB2BD8" w:rsidRDefault="00084F36">
            <w:pPr>
              <w:pStyle w:val="TableParagraph"/>
              <w:rPr>
                <w:rFonts w:ascii="Times New Roman"/>
                <w:sz w:val="16"/>
              </w:rPr>
            </w:pPr>
          </w:p>
        </w:tc>
        <w:tc>
          <w:tcPr>
            <w:tcW w:w="1464" w:type="dxa"/>
          </w:tcPr>
          <w:p w14:paraId="399FB631" w14:textId="77777777" w:rsidR="00084F36" w:rsidRPr="00EB2BD8" w:rsidRDefault="00084F36">
            <w:pPr>
              <w:pStyle w:val="TableParagraph"/>
              <w:rPr>
                <w:rFonts w:ascii="Times New Roman"/>
                <w:sz w:val="16"/>
              </w:rPr>
            </w:pPr>
          </w:p>
        </w:tc>
        <w:tc>
          <w:tcPr>
            <w:tcW w:w="2499" w:type="dxa"/>
          </w:tcPr>
          <w:p w14:paraId="3F1D3E7B" w14:textId="77777777" w:rsidR="00084F36" w:rsidRPr="00EB2BD8" w:rsidRDefault="00EB2BD8">
            <w:pPr>
              <w:pStyle w:val="TableParagraph"/>
              <w:spacing w:before="19"/>
              <w:ind w:left="334"/>
              <w:rPr>
                <w:sz w:val="16"/>
              </w:rPr>
            </w:pPr>
            <w:r w:rsidRPr="00EB2BD8">
              <w:rPr>
                <w:sz w:val="16"/>
              </w:rPr>
              <w:t>and</w:t>
            </w:r>
            <w:r w:rsidRPr="00EB2BD8">
              <w:rPr>
                <w:spacing w:val="-1"/>
                <w:sz w:val="16"/>
              </w:rPr>
              <w:t xml:space="preserve"> </w:t>
            </w:r>
            <w:r w:rsidRPr="00EB2BD8">
              <w:rPr>
                <w:sz w:val="16"/>
              </w:rPr>
              <w:t>temporary</w:t>
            </w:r>
            <w:r w:rsidRPr="00EB2BD8">
              <w:rPr>
                <w:spacing w:val="-1"/>
                <w:sz w:val="16"/>
              </w:rPr>
              <w:t xml:space="preserve"> </w:t>
            </w:r>
            <w:r w:rsidRPr="00EB2BD8">
              <w:rPr>
                <w:spacing w:val="-2"/>
                <w:sz w:val="16"/>
              </w:rPr>
              <w:t>barrier)</w:t>
            </w:r>
          </w:p>
        </w:tc>
        <w:tc>
          <w:tcPr>
            <w:tcW w:w="2279" w:type="dxa"/>
          </w:tcPr>
          <w:p w14:paraId="5FF2D5DD" w14:textId="77777777" w:rsidR="00084F36" w:rsidRPr="00EB2BD8" w:rsidRDefault="00084F36">
            <w:pPr>
              <w:pStyle w:val="TableParagraph"/>
              <w:rPr>
                <w:rFonts w:ascii="Times New Roman"/>
                <w:sz w:val="16"/>
              </w:rPr>
            </w:pPr>
          </w:p>
        </w:tc>
        <w:tc>
          <w:tcPr>
            <w:tcW w:w="1076" w:type="dxa"/>
          </w:tcPr>
          <w:p w14:paraId="02036FAF" w14:textId="77777777" w:rsidR="00084F36" w:rsidRPr="00EB2BD8" w:rsidRDefault="00084F36">
            <w:pPr>
              <w:pStyle w:val="TableParagraph"/>
              <w:rPr>
                <w:rFonts w:ascii="Times New Roman"/>
                <w:sz w:val="16"/>
              </w:rPr>
            </w:pPr>
          </w:p>
        </w:tc>
        <w:tc>
          <w:tcPr>
            <w:tcW w:w="1175" w:type="dxa"/>
          </w:tcPr>
          <w:p w14:paraId="58E02B5E" w14:textId="77777777" w:rsidR="00084F36" w:rsidRPr="00EB2BD8" w:rsidRDefault="00084F36">
            <w:pPr>
              <w:pStyle w:val="TableParagraph"/>
              <w:rPr>
                <w:rFonts w:ascii="Times New Roman"/>
                <w:sz w:val="16"/>
              </w:rPr>
            </w:pPr>
          </w:p>
        </w:tc>
      </w:tr>
      <w:tr w:rsidR="00EB2BD8" w:rsidRPr="00EB2BD8" w14:paraId="365DB3E5" w14:textId="77777777">
        <w:trPr>
          <w:trHeight w:val="229"/>
        </w:trPr>
        <w:tc>
          <w:tcPr>
            <w:tcW w:w="1705" w:type="dxa"/>
          </w:tcPr>
          <w:p w14:paraId="53F95D43" w14:textId="77777777" w:rsidR="00084F36" w:rsidRPr="00EB2BD8" w:rsidRDefault="00084F36">
            <w:pPr>
              <w:pStyle w:val="TableParagraph"/>
              <w:rPr>
                <w:rFonts w:ascii="Times New Roman"/>
                <w:sz w:val="16"/>
              </w:rPr>
            </w:pPr>
          </w:p>
        </w:tc>
        <w:tc>
          <w:tcPr>
            <w:tcW w:w="1464" w:type="dxa"/>
          </w:tcPr>
          <w:p w14:paraId="207BA431" w14:textId="77777777" w:rsidR="00084F36" w:rsidRPr="00EB2BD8" w:rsidRDefault="00084F36">
            <w:pPr>
              <w:pStyle w:val="TableParagraph"/>
              <w:rPr>
                <w:rFonts w:ascii="Times New Roman"/>
                <w:sz w:val="16"/>
              </w:rPr>
            </w:pPr>
          </w:p>
        </w:tc>
        <w:tc>
          <w:tcPr>
            <w:tcW w:w="2499" w:type="dxa"/>
          </w:tcPr>
          <w:p w14:paraId="42569EE7" w14:textId="77777777" w:rsidR="00084F36" w:rsidRPr="00EB2BD8" w:rsidRDefault="00EB2BD8">
            <w:pPr>
              <w:pStyle w:val="TableParagraph"/>
              <w:spacing w:before="19"/>
              <w:ind w:left="334"/>
              <w:rPr>
                <w:sz w:val="16"/>
              </w:rPr>
            </w:pPr>
            <w:r w:rsidRPr="00EB2BD8">
              <w:rPr>
                <w:spacing w:val="-2"/>
                <w:sz w:val="16"/>
              </w:rPr>
              <w:t>without</w:t>
            </w:r>
            <w:r w:rsidRPr="00EB2BD8">
              <w:rPr>
                <w:spacing w:val="-8"/>
                <w:sz w:val="16"/>
              </w:rPr>
              <w:t xml:space="preserve"> </w:t>
            </w:r>
            <w:r w:rsidRPr="00EB2BD8">
              <w:rPr>
                <w:spacing w:val="-2"/>
                <w:sz w:val="16"/>
              </w:rPr>
              <w:t>delay,</w:t>
            </w:r>
            <w:r w:rsidRPr="00EB2BD8">
              <w:rPr>
                <w:spacing w:val="-8"/>
                <w:sz w:val="16"/>
              </w:rPr>
              <w:t xml:space="preserve"> </w:t>
            </w:r>
            <w:r w:rsidRPr="00EB2BD8">
              <w:rPr>
                <w:spacing w:val="-2"/>
                <w:sz w:val="16"/>
              </w:rPr>
              <w:t>in</w:t>
            </w:r>
            <w:r w:rsidRPr="00EB2BD8">
              <w:rPr>
                <w:spacing w:val="-8"/>
                <w:sz w:val="16"/>
              </w:rPr>
              <w:t xml:space="preserve"> </w:t>
            </w:r>
            <w:r w:rsidRPr="00EB2BD8">
              <w:rPr>
                <w:spacing w:val="-2"/>
                <w:sz w:val="16"/>
              </w:rPr>
              <w:t>respect</w:t>
            </w:r>
            <w:r w:rsidRPr="00EB2BD8">
              <w:rPr>
                <w:spacing w:val="-7"/>
                <w:sz w:val="16"/>
              </w:rPr>
              <w:t xml:space="preserve"> </w:t>
            </w:r>
            <w:r w:rsidRPr="00EB2BD8">
              <w:rPr>
                <w:spacing w:val="-5"/>
                <w:sz w:val="16"/>
              </w:rPr>
              <w:t>of</w:t>
            </w:r>
          </w:p>
        </w:tc>
        <w:tc>
          <w:tcPr>
            <w:tcW w:w="2279" w:type="dxa"/>
          </w:tcPr>
          <w:p w14:paraId="101AD91D" w14:textId="77777777" w:rsidR="00084F36" w:rsidRPr="00EB2BD8" w:rsidRDefault="00084F36">
            <w:pPr>
              <w:pStyle w:val="TableParagraph"/>
              <w:rPr>
                <w:rFonts w:ascii="Times New Roman"/>
                <w:sz w:val="16"/>
              </w:rPr>
            </w:pPr>
          </w:p>
        </w:tc>
        <w:tc>
          <w:tcPr>
            <w:tcW w:w="1076" w:type="dxa"/>
          </w:tcPr>
          <w:p w14:paraId="7107F52A" w14:textId="77777777" w:rsidR="00084F36" w:rsidRPr="00EB2BD8" w:rsidRDefault="00084F36">
            <w:pPr>
              <w:pStyle w:val="TableParagraph"/>
              <w:rPr>
                <w:rFonts w:ascii="Times New Roman"/>
                <w:sz w:val="16"/>
              </w:rPr>
            </w:pPr>
          </w:p>
        </w:tc>
        <w:tc>
          <w:tcPr>
            <w:tcW w:w="1175" w:type="dxa"/>
          </w:tcPr>
          <w:p w14:paraId="59553EF9" w14:textId="77777777" w:rsidR="00084F36" w:rsidRPr="00EB2BD8" w:rsidRDefault="00084F36">
            <w:pPr>
              <w:pStyle w:val="TableParagraph"/>
              <w:rPr>
                <w:rFonts w:ascii="Times New Roman"/>
                <w:sz w:val="16"/>
              </w:rPr>
            </w:pPr>
          </w:p>
        </w:tc>
      </w:tr>
      <w:tr w:rsidR="00EB2BD8" w:rsidRPr="00EB2BD8" w14:paraId="1DF783F4" w14:textId="77777777">
        <w:trPr>
          <w:trHeight w:val="363"/>
        </w:trPr>
        <w:tc>
          <w:tcPr>
            <w:tcW w:w="1705" w:type="dxa"/>
            <w:tcBorders>
              <w:bottom w:val="single" w:sz="2" w:space="0" w:color="000000"/>
            </w:tcBorders>
          </w:tcPr>
          <w:p w14:paraId="43CB1F13"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6273EF4C" w14:textId="77777777" w:rsidR="00084F36" w:rsidRPr="00EB2BD8" w:rsidRDefault="00084F36">
            <w:pPr>
              <w:pStyle w:val="TableParagraph"/>
              <w:rPr>
                <w:rFonts w:ascii="Times New Roman"/>
                <w:sz w:val="16"/>
              </w:rPr>
            </w:pPr>
          </w:p>
        </w:tc>
        <w:tc>
          <w:tcPr>
            <w:tcW w:w="2499" w:type="dxa"/>
            <w:tcBorders>
              <w:bottom w:val="single" w:sz="2" w:space="0" w:color="000000"/>
            </w:tcBorders>
          </w:tcPr>
          <w:p w14:paraId="14B016D2" w14:textId="77777777" w:rsidR="00084F36" w:rsidRPr="00EB2BD8" w:rsidRDefault="00EB2BD8">
            <w:pPr>
              <w:pStyle w:val="TableParagraph"/>
              <w:spacing w:before="19"/>
              <w:ind w:left="334"/>
              <w:rPr>
                <w:sz w:val="16"/>
              </w:rPr>
            </w:pPr>
            <w:r w:rsidRPr="00EB2BD8">
              <w:rPr>
                <w:spacing w:val="-2"/>
                <w:w w:val="105"/>
                <w:sz w:val="16"/>
              </w:rPr>
              <w:t>a</w:t>
            </w:r>
            <w:r w:rsidRPr="00EB2BD8">
              <w:rPr>
                <w:spacing w:val="-12"/>
                <w:w w:val="105"/>
                <w:sz w:val="16"/>
              </w:rPr>
              <w:t xml:space="preserve"> </w:t>
            </w:r>
            <w:r w:rsidRPr="00EB2BD8">
              <w:rPr>
                <w:spacing w:val="-2"/>
                <w:w w:val="105"/>
                <w:sz w:val="16"/>
              </w:rPr>
              <w:t>site</w:t>
            </w:r>
            <w:r w:rsidRPr="00EB2BD8">
              <w:rPr>
                <w:spacing w:val="-12"/>
                <w:w w:val="105"/>
                <w:sz w:val="16"/>
              </w:rPr>
              <w:t xml:space="preserve"> </w:t>
            </w:r>
            <w:r w:rsidRPr="00EB2BD8">
              <w:rPr>
                <w:spacing w:val="-2"/>
                <w:w w:val="105"/>
                <w:sz w:val="16"/>
              </w:rPr>
              <w:t>at</w:t>
            </w:r>
            <w:r w:rsidRPr="00EB2BD8">
              <w:rPr>
                <w:spacing w:val="-12"/>
                <w:w w:val="105"/>
                <w:sz w:val="16"/>
              </w:rPr>
              <w:t xml:space="preserve"> </w:t>
            </w:r>
            <w:r w:rsidRPr="00EB2BD8">
              <w:rPr>
                <w:spacing w:val="-2"/>
                <w:w w:val="105"/>
                <w:sz w:val="16"/>
              </w:rPr>
              <w:t>Coburg.</w:t>
            </w:r>
          </w:p>
        </w:tc>
        <w:tc>
          <w:tcPr>
            <w:tcW w:w="2279" w:type="dxa"/>
            <w:tcBorders>
              <w:bottom w:val="single" w:sz="2" w:space="0" w:color="000000"/>
            </w:tcBorders>
          </w:tcPr>
          <w:p w14:paraId="42683275" w14:textId="77777777" w:rsidR="00084F36" w:rsidRPr="00EB2BD8" w:rsidRDefault="00084F36">
            <w:pPr>
              <w:pStyle w:val="TableParagraph"/>
              <w:rPr>
                <w:rFonts w:ascii="Times New Roman"/>
                <w:sz w:val="16"/>
              </w:rPr>
            </w:pPr>
          </w:p>
        </w:tc>
        <w:tc>
          <w:tcPr>
            <w:tcW w:w="1076" w:type="dxa"/>
            <w:tcBorders>
              <w:bottom w:val="single" w:sz="2" w:space="0" w:color="000000"/>
            </w:tcBorders>
          </w:tcPr>
          <w:p w14:paraId="326486E0"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55970715" w14:textId="77777777" w:rsidR="00084F36" w:rsidRPr="00EB2BD8" w:rsidRDefault="00084F36">
            <w:pPr>
              <w:pStyle w:val="TableParagraph"/>
              <w:rPr>
                <w:rFonts w:ascii="Times New Roman"/>
                <w:sz w:val="16"/>
              </w:rPr>
            </w:pPr>
          </w:p>
        </w:tc>
      </w:tr>
      <w:tr w:rsidR="00EB2BD8" w:rsidRPr="00EB2BD8" w14:paraId="24A5CCF1" w14:textId="77777777">
        <w:trPr>
          <w:trHeight w:val="325"/>
        </w:trPr>
        <w:tc>
          <w:tcPr>
            <w:tcW w:w="1705" w:type="dxa"/>
            <w:tcBorders>
              <w:top w:val="single" w:sz="2" w:space="0" w:color="000000"/>
            </w:tcBorders>
          </w:tcPr>
          <w:p w14:paraId="3B8DDA84" w14:textId="77777777" w:rsidR="00084F36" w:rsidRPr="00EB2BD8" w:rsidRDefault="00EB2BD8">
            <w:pPr>
              <w:pStyle w:val="TableParagraph"/>
              <w:spacing w:before="115"/>
              <w:ind w:left="113"/>
              <w:rPr>
                <w:sz w:val="16"/>
              </w:rPr>
            </w:pPr>
            <w:r w:rsidRPr="00EB2BD8">
              <w:rPr>
                <w:sz w:val="16"/>
              </w:rPr>
              <w:t>FOWKES,</w:t>
            </w:r>
            <w:r w:rsidRPr="00EB2BD8">
              <w:rPr>
                <w:spacing w:val="7"/>
                <w:sz w:val="16"/>
              </w:rPr>
              <w:t xml:space="preserve"> </w:t>
            </w:r>
            <w:r w:rsidRPr="00EB2BD8">
              <w:rPr>
                <w:spacing w:val="-4"/>
                <w:sz w:val="16"/>
              </w:rPr>
              <w:t>Mark</w:t>
            </w:r>
          </w:p>
        </w:tc>
        <w:tc>
          <w:tcPr>
            <w:tcW w:w="1464" w:type="dxa"/>
            <w:tcBorders>
              <w:top w:val="single" w:sz="2" w:space="0" w:color="000000"/>
            </w:tcBorders>
          </w:tcPr>
          <w:p w14:paraId="4C04E09B" w14:textId="77777777" w:rsidR="00084F36" w:rsidRPr="00EB2BD8" w:rsidRDefault="00EB2BD8">
            <w:pPr>
              <w:pStyle w:val="TableParagraph"/>
              <w:spacing w:before="115"/>
              <w:ind w:left="165"/>
              <w:rPr>
                <w:sz w:val="16"/>
              </w:rPr>
            </w:pPr>
            <w:r w:rsidRPr="00EB2BD8">
              <w:rPr>
                <w:sz w:val="16"/>
              </w:rPr>
              <w:t>BD-L</w:t>
            </w:r>
            <w:r w:rsidRPr="00EB2BD8">
              <w:rPr>
                <w:spacing w:val="23"/>
                <w:sz w:val="16"/>
              </w:rPr>
              <w:t xml:space="preserve"> </w:t>
            </w:r>
            <w:r w:rsidRPr="00EB2BD8">
              <w:rPr>
                <w:spacing w:val="-4"/>
                <w:sz w:val="16"/>
              </w:rPr>
              <w:t>23093</w:t>
            </w:r>
          </w:p>
        </w:tc>
        <w:tc>
          <w:tcPr>
            <w:tcW w:w="2499" w:type="dxa"/>
            <w:tcBorders>
              <w:top w:val="single" w:sz="2" w:space="0" w:color="000000"/>
            </w:tcBorders>
          </w:tcPr>
          <w:p w14:paraId="72296E4D" w14:textId="77777777" w:rsidR="00084F36" w:rsidRPr="00EB2BD8" w:rsidRDefault="00EB2BD8">
            <w:pPr>
              <w:pStyle w:val="TableParagraph"/>
              <w:spacing w:before="115"/>
              <w:ind w:left="334"/>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79" w:type="dxa"/>
            <w:tcBorders>
              <w:top w:val="single" w:sz="2" w:space="0" w:color="000000"/>
            </w:tcBorders>
          </w:tcPr>
          <w:p w14:paraId="3A797191" w14:textId="77777777" w:rsidR="00084F36" w:rsidRPr="00EB2BD8" w:rsidRDefault="00EB2BD8">
            <w:pPr>
              <w:pStyle w:val="TableParagraph"/>
              <w:spacing w:before="115"/>
              <w:ind w:left="114"/>
              <w:rPr>
                <w:sz w:val="16"/>
              </w:rPr>
            </w:pPr>
            <w:r w:rsidRPr="00EB2BD8">
              <w:rPr>
                <w:spacing w:val="-2"/>
                <w:sz w:val="16"/>
              </w:rPr>
              <w:t>Reprimands,</w:t>
            </w:r>
            <w:r w:rsidRPr="00EB2BD8">
              <w:rPr>
                <w:spacing w:val="-4"/>
                <w:sz w:val="16"/>
              </w:rPr>
              <w:t xml:space="preserve"> </w:t>
            </w:r>
            <w:r w:rsidRPr="00EB2BD8">
              <w:rPr>
                <w:spacing w:val="-2"/>
                <w:sz w:val="16"/>
              </w:rPr>
              <w:t>aggregate</w:t>
            </w:r>
          </w:p>
        </w:tc>
        <w:tc>
          <w:tcPr>
            <w:tcW w:w="1076" w:type="dxa"/>
            <w:tcBorders>
              <w:top w:val="single" w:sz="2" w:space="0" w:color="000000"/>
            </w:tcBorders>
          </w:tcPr>
          <w:p w14:paraId="6006893D" w14:textId="77777777" w:rsidR="00084F36" w:rsidRPr="00EB2BD8" w:rsidRDefault="00EB2BD8">
            <w:pPr>
              <w:pStyle w:val="TableParagraph"/>
              <w:spacing w:before="115"/>
              <w:ind w:right="109"/>
              <w:jc w:val="right"/>
              <w:rPr>
                <w:sz w:val="16"/>
              </w:rPr>
            </w:pPr>
            <w:r w:rsidRPr="00EB2BD8">
              <w:rPr>
                <w:spacing w:val="-2"/>
                <w:w w:val="95"/>
                <w:sz w:val="16"/>
              </w:rPr>
              <w:t>$12,000</w:t>
            </w:r>
          </w:p>
        </w:tc>
        <w:tc>
          <w:tcPr>
            <w:tcW w:w="1175" w:type="dxa"/>
            <w:tcBorders>
              <w:top w:val="single" w:sz="2" w:space="0" w:color="000000"/>
            </w:tcBorders>
          </w:tcPr>
          <w:p w14:paraId="75CBC086" w14:textId="77777777" w:rsidR="00084F36" w:rsidRPr="00EB2BD8" w:rsidRDefault="00EB2BD8">
            <w:pPr>
              <w:pStyle w:val="TableParagraph"/>
              <w:spacing w:before="115"/>
              <w:ind w:left="115"/>
              <w:rPr>
                <w:sz w:val="16"/>
              </w:rPr>
            </w:pPr>
            <w:r w:rsidRPr="00EB2BD8">
              <w:rPr>
                <w:spacing w:val="-2"/>
                <w:w w:val="90"/>
                <w:sz w:val="16"/>
              </w:rPr>
              <w:t>07/12/2022</w:t>
            </w:r>
          </w:p>
        </w:tc>
      </w:tr>
      <w:tr w:rsidR="00EB2BD8" w:rsidRPr="00EB2BD8" w14:paraId="11D38841" w14:textId="77777777">
        <w:trPr>
          <w:trHeight w:val="229"/>
        </w:trPr>
        <w:tc>
          <w:tcPr>
            <w:tcW w:w="1705" w:type="dxa"/>
          </w:tcPr>
          <w:p w14:paraId="07B40190" w14:textId="77777777" w:rsidR="00084F36" w:rsidRPr="00EB2BD8" w:rsidRDefault="00084F36">
            <w:pPr>
              <w:pStyle w:val="TableParagraph"/>
              <w:rPr>
                <w:rFonts w:ascii="Times New Roman"/>
                <w:sz w:val="16"/>
              </w:rPr>
            </w:pPr>
          </w:p>
        </w:tc>
        <w:tc>
          <w:tcPr>
            <w:tcW w:w="1464" w:type="dxa"/>
          </w:tcPr>
          <w:p w14:paraId="1FAC93C8" w14:textId="77777777" w:rsidR="00084F36" w:rsidRPr="00EB2BD8" w:rsidRDefault="00084F36">
            <w:pPr>
              <w:pStyle w:val="TableParagraph"/>
              <w:rPr>
                <w:rFonts w:ascii="Times New Roman"/>
                <w:sz w:val="16"/>
              </w:rPr>
            </w:pPr>
          </w:p>
        </w:tc>
        <w:tc>
          <w:tcPr>
            <w:tcW w:w="2499" w:type="dxa"/>
          </w:tcPr>
          <w:p w14:paraId="3AAE286A" w14:textId="77777777" w:rsidR="00084F36" w:rsidRPr="00EB2BD8" w:rsidRDefault="00EB2BD8">
            <w:pPr>
              <w:pStyle w:val="TableParagraph"/>
              <w:spacing w:before="19"/>
              <w:ind w:left="334"/>
              <w:rPr>
                <w:sz w:val="16"/>
              </w:rPr>
            </w:pPr>
            <w:r w:rsidRPr="00EB2BD8">
              <w:rPr>
                <w:sz w:val="16"/>
              </w:rPr>
              <w:t>mandatory</w:t>
            </w:r>
            <w:r w:rsidRPr="00EB2BD8">
              <w:rPr>
                <w:spacing w:val="14"/>
                <w:sz w:val="16"/>
              </w:rPr>
              <w:t xml:space="preserve"> </w:t>
            </w:r>
            <w:r w:rsidRPr="00EB2BD8">
              <w:rPr>
                <w:spacing w:val="-2"/>
                <w:sz w:val="16"/>
              </w:rPr>
              <w:t>stage</w:t>
            </w:r>
          </w:p>
        </w:tc>
        <w:tc>
          <w:tcPr>
            <w:tcW w:w="2279" w:type="dxa"/>
          </w:tcPr>
          <w:p w14:paraId="46512C4B" w14:textId="77777777" w:rsidR="00084F36" w:rsidRPr="00EB2BD8" w:rsidRDefault="00EB2BD8">
            <w:pPr>
              <w:pStyle w:val="TableParagraph"/>
              <w:spacing w:before="19"/>
              <w:ind w:left="114"/>
              <w:rPr>
                <w:sz w:val="16"/>
              </w:rPr>
            </w:pPr>
            <w:r w:rsidRPr="00EB2BD8">
              <w:rPr>
                <w:spacing w:val="-4"/>
                <w:sz w:val="16"/>
              </w:rPr>
              <w:t>penalties</w:t>
            </w:r>
            <w:r w:rsidRPr="00EB2BD8">
              <w:rPr>
                <w:spacing w:val="-9"/>
                <w:sz w:val="16"/>
              </w:rPr>
              <w:t xml:space="preserve"> </w:t>
            </w:r>
            <w:r w:rsidRPr="00EB2BD8">
              <w:rPr>
                <w:spacing w:val="-4"/>
                <w:sz w:val="16"/>
              </w:rPr>
              <w:t>of</w:t>
            </w:r>
            <w:r w:rsidRPr="00EB2BD8">
              <w:rPr>
                <w:spacing w:val="-9"/>
                <w:sz w:val="16"/>
              </w:rPr>
              <w:t xml:space="preserve"> </w:t>
            </w:r>
            <w:r w:rsidRPr="00EB2BD8">
              <w:rPr>
                <w:spacing w:val="-4"/>
                <w:sz w:val="16"/>
              </w:rPr>
              <w:t>$12,000</w:t>
            </w:r>
            <w:r w:rsidRPr="00EB2BD8">
              <w:rPr>
                <w:spacing w:val="-9"/>
                <w:sz w:val="16"/>
              </w:rPr>
              <w:t xml:space="preserve"> </w:t>
            </w:r>
            <w:r w:rsidRPr="00EB2BD8">
              <w:rPr>
                <w:spacing w:val="-4"/>
                <w:sz w:val="16"/>
              </w:rPr>
              <w:t>and</w:t>
            </w:r>
            <w:r w:rsidRPr="00EB2BD8">
              <w:rPr>
                <w:spacing w:val="-9"/>
                <w:sz w:val="16"/>
              </w:rPr>
              <w:t xml:space="preserve"> </w:t>
            </w:r>
            <w:r w:rsidRPr="00EB2BD8">
              <w:rPr>
                <w:spacing w:val="-10"/>
                <w:sz w:val="16"/>
              </w:rPr>
              <w:t>a</w:t>
            </w:r>
          </w:p>
        </w:tc>
        <w:tc>
          <w:tcPr>
            <w:tcW w:w="1076" w:type="dxa"/>
          </w:tcPr>
          <w:p w14:paraId="331D2585" w14:textId="77777777" w:rsidR="00084F36" w:rsidRPr="00EB2BD8" w:rsidRDefault="00084F36">
            <w:pPr>
              <w:pStyle w:val="TableParagraph"/>
              <w:rPr>
                <w:rFonts w:ascii="Times New Roman"/>
                <w:sz w:val="16"/>
              </w:rPr>
            </w:pPr>
          </w:p>
        </w:tc>
        <w:tc>
          <w:tcPr>
            <w:tcW w:w="1175" w:type="dxa"/>
          </w:tcPr>
          <w:p w14:paraId="003524DB" w14:textId="77777777" w:rsidR="00084F36" w:rsidRPr="00EB2BD8" w:rsidRDefault="00084F36">
            <w:pPr>
              <w:pStyle w:val="TableParagraph"/>
              <w:rPr>
                <w:rFonts w:ascii="Times New Roman"/>
                <w:sz w:val="16"/>
              </w:rPr>
            </w:pPr>
          </w:p>
        </w:tc>
      </w:tr>
      <w:tr w:rsidR="00EB2BD8" w:rsidRPr="00EB2BD8" w14:paraId="208F0686" w14:textId="77777777">
        <w:trPr>
          <w:trHeight w:val="229"/>
        </w:trPr>
        <w:tc>
          <w:tcPr>
            <w:tcW w:w="1705" w:type="dxa"/>
          </w:tcPr>
          <w:p w14:paraId="7B1EDCE9" w14:textId="77777777" w:rsidR="00084F36" w:rsidRPr="00EB2BD8" w:rsidRDefault="00084F36">
            <w:pPr>
              <w:pStyle w:val="TableParagraph"/>
              <w:rPr>
                <w:rFonts w:ascii="Times New Roman"/>
                <w:sz w:val="16"/>
              </w:rPr>
            </w:pPr>
          </w:p>
        </w:tc>
        <w:tc>
          <w:tcPr>
            <w:tcW w:w="1464" w:type="dxa"/>
          </w:tcPr>
          <w:p w14:paraId="6A0DC0CC" w14:textId="77777777" w:rsidR="00084F36" w:rsidRPr="00EB2BD8" w:rsidRDefault="00084F36">
            <w:pPr>
              <w:pStyle w:val="TableParagraph"/>
              <w:rPr>
                <w:rFonts w:ascii="Times New Roman"/>
                <w:sz w:val="16"/>
              </w:rPr>
            </w:pPr>
          </w:p>
        </w:tc>
        <w:tc>
          <w:tcPr>
            <w:tcW w:w="2499" w:type="dxa"/>
          </w:tcPr>
          <w:p w14:paraId="2CAA4294" w14:textId="77777777" w:rsidR="00084F36" w:rsidRPr="00EB2BD8" w:rsidRDefault="00EB2BD8">
            <w:pPr>
              <w:pStyle w:val="TableParagraph"/>
              <w:spacing w:before="19"/>
              <w:ind w:left="334"/>
              <w:rPr>
                <w:sz w:val="16"/>
              </w:rPr>
            </w:pPr>
            <w:r w:rsidRPr="00EB2BD8">
              <w:rPr>
                <w:spacing w:val="-2"/>
                <w:sz w:val="16"/>
              </w:rPr>
              <w:t>inspections</w:t>
            </w:r>
            <w:r w:rsidRPr="00EB2BD8">
              <w:rPr>
                <w:spacing w:val="-7"/>
                <w:sz w:val="16"/>
              </w:rPr>
              <w:t xml:space="preserve"> </w:t>
            </w:r>
            <w:r w:rsidRPr="00EB2BD8">
              <w:rPr>
                <w:spacing w:val="-2"/>
                <w:sz w:val="16"/>
              </w:rPr>
              <w:t>(2</w:t>
            </w:r>
            <w:r w:rsidRPr="00EB2BD8">
              <w:rPr>
                <w:spacing w:val="-6"/>
                <w:sz w:val="16"/>
              </w:rPr>
              <w:t xml:space="preserve"> </w:t>
            </w:r>
            <w:r w:rsidRPr="00EB2BD8">
              <w:rPr>
                <w:spacing w:val="-2"/>
                <w:sz w:val="16"/>
              </w:rPr>
              <w:t>stages)</w:t>
            </w:r>
            <w:r w:rsidRPr="00EB2BD8">
              <w:rPr>
                <w:spacing w:val="-7"/>
                <w:sz w:val="16"/>
              </w:rPr>
              <w:t xml:space="preserve"> </w:t>
            </w:r>
            <w:r w:rsidRPr="00EB2BD8">
              <w:rPr>
                <w:spacing w:val="-5"/>
                <w:sz w:val="16"/>
              </w:rPr>
              <w:t>in</w:t>
            </w:r>
          </w:p>
        </w:tc>
        <w:tc>
          <w:tcPr>
            <w:tcW w:w="2279" w:type="dxa"/>
          </w:tcPr>
          <w:p w14:paraId="1AC8F3E5" w14:textId="77777777" w:rsidR="00084F36" w:rsidRPr="00EB2BD8" w:rsidRDefault="00EB2BD8">
            <w:pPr>
              <w:pStyle w:val="TableParagraph"/>
              <w:spacing w:before="19"/>
              <w:ind w:left="114"/>
              <w:rPr>
                <w:sz w:val="16"/>
              </w:rPr>
            </w:pPr>
            <w:r w:rsidRPr="00EB2BD8">
              <w:rPr>
                <w:spacing w:val="-2"/>
                <w:sz w:val="16"/>
              </w:rPr>
              <w:t>requirement</w:t>
            </w:r>
            <w:r w:rsidRPr="00EB2BD8">
              <w:rPr>
                <w:spacing w:val="-3"/>
                <w:sz w:val="16"/>
              </w:rPr>
              <w:t xml:space="preserve"> </w:t>
            </w:r>
            <w:r w:rsidRPr="00EB2BD8">
              <w:rPr>
                <w:spacing w:val="-2"/>
                <w:sz w:val="16"/>
              </w:rPr>
              <w:t>to complete</w:t>
            </w:r>
            <w:r w:rsidRPr="00EB2BD8">
              <w:rPr>
                <w:spacing w:val="-3"/>
                <w:sz w:val="16"/>
              </w:rPr>
              <w:t xml:space="preserve"> </w:t>
            </w:r>
            <w:r w:rsidRPr="00EB2BD8">
              <w:rPr>
                <w:spacing w:val="-10"/>
                <w:sz w:val="16"/>
              </w:rPr>
              <w:t>a</w:t>
            </w:r>
          </w:p>
        </w:tc>
        <w:tc>
          <w:tcPr>
            <w:tcW w:w="1076" w:type="dxa"/>
          </w:tcPr>
          <w:p w14:paraId="2A4160A6" w14:textId="77777777" w:rsidR="00084F36" w:rsidRPr="00EB2BD8" w:rsidRDefault="00084F36">
            <w:pPr>
              <w:pStyle w:val="TableParagraph"/>
              <w:rPr>
                <w:rFonts w:ascii="Times New Roman"/>
                <w:sz w:val="16"/>
              </w:rPr>
            </w:pPr>
          </w:p>
        </w:tc>
        <w:tc>
          <w:tcPr>
            <w:tcW w:w="1175" w:type="dxa"/>
          </w:tcPr>
          <w:p w14:paraId="29258C95" w14:textId="77777777" w:rsidR="00084F36" w:rsidRPr="00EB2BD8" w:rsidRDefault="00084F36">
            <w:pPr>
              <w:pStyle w:val="TableParagraph"/>
              <w:rPr>
                <w:rFonts w:ascii="Times New Roman"/>
                <w:sz w:val="16"/>
              </w:rPr>
            </w:pPr>
          </w:p>
        </w:tc>
      </w:tr>
      <w:tr w:rsidR="00EB2BD8" w:rsidRPr="00EB2BD8" w14:paraId="55CD7E95" w14:textId="77777777">
        <w:trPr>
          <w:trHeight w:val="230"/>
        </w:trPr>
        <w:tc>
          <w:tcPr>
            <w:tcW w:w="1705" w:type="dxa"/>
          </w:tcPr>
          <w:p w14:paraId="29FA06B7" w14:textId="77777777" w:rsidR="00084F36" w:rsidRPr="00EB2BD8" w:rsidRDefault="00084F36">
            <w:pPr>
              <w:pStyle w:val="TableParagraph"/>
              <w:rPr>
                <w:rFonts w:ascii="Times New Roman"/>
                <w:sz w:val="16"/>
              </w:rPr>
            </w:pPr>
          </w:p>
        </w:tc>
        <w:tc>
          <w:tcPr>
            <w:tcW w:w="1464" w:type="dxa"/>
          </w:tcPr>
          <w:p w14:paraId="77E0719E" w14:textId="77777777" w:rsidR="00084F36" w:rsidRPr="00EB2BD8" w:rsidRDefault="00084F36">
            <w:pPr>
              <w:pStyle w:val="TableParagraph"/>
              <w:rPr>
                <w:rFonts w:ascii="Times New Roman"/>
                <w:sz w:val="16"/>
              </w:rPr>
            </w:pPr>
          </w:p>
        </w:tc>
        <w:tc>
          <w:tcPr>
            <w:tcW w:w="2499" w:type="dxa"/>
          </w:tcPr>
          <w:p w14:paraId="7873C41D" w14:textId="77777777" w:rsidR="00084F36" w:rsidRPr="00EB2BD8" w:rsidRDefault="00EB2BD8">
            <w:pPr>
              <w:pStyle w:val="TableParagraph"/>
              <w:spacing w:before="19"/>
              <w:ind w:left="334"/>
              <w:rPr>
                <w:sz w:val="16"/>
              </w:rPr>
            </w:pPr>
            <w:r w:rsidRPr="00EB2BD8">
              <w:rPr>
                <w:sz w:val="16"/>
              </w:rPr>
              <w:t>respect</w:t>
            </w:r>
            <w:r w:rsidRPr="00EB2BD8">
              <w:rPr>
                <w:spacing w:val="-13"/>
                <w:sz w:val="16"/>
              </w:rPr>
              <w:t xml:space="preserve"> </w:t>
            </w:r>
            <w:r w:rsidRPr="00EB2BD8">
              <w:rPr>
                <w:sz w:val="16"/>
              </w:rPr>
              <w:t>of</w:t>
            </w:r>
            <w:r w:rsidRPr="00EB2BD8">
              <w:rPr>
                <w:spacing w:val="-12"/>
                <w:sz w:val="16"/>
              </w:rPr>
              <w:t xml:space="preserve"> </w:t>
            </w:r>
            <w:r w:rsidRPr="00EB2BD8">
              <w:rPr>
                <w:sz w:val="16"/>
              </w:rPr>
              <w:t>demolition</w:t>
            </w:r>
            <w:r w:rsidRPr="00EB2BD8">
              <w:rPr>
                <w:spacing w:val="-12"/>
                <w:sz w:val="16"/>
              </w:rPr>
              <w:t xml:space="preserve"> </w:t>
            </w:r>
            <w:r w:rsidRPr="00EB2BD8">
              <w:rPr>
                <w:sz w:val="16"/>
              </w:rPr>
              <w:t>at</w:t>
            </w:r>
            <w:r w:rsidRPr="00EB2BD8">
              <w:rPr>
                <w:spacing w:val="-13"/>
                <w:sz w:val="16"/>
              </w:rPr>
              <w:t xml:space="preserve"> </w:t>
            </w:r>
            <w:r w:rsidRPr="00EB2BD8">
              <w:rPr>
                <w:spacing w:val="-10"/>
                <w:sz w:val="16"/>
              </w:rPr>
              <w:t>a</w:t>
            </w:r>
          </w:p>
        </w:tc>
        <w:tc>
          <w:tcPr>
            <w:tcW w:w="2279" w:type="dxa"/>
          </w:tcPr>
          <w:p w14:paraId="0C378759" w14:textId="77777777" w:rsidR="00084F36" w:rsidRPr="00EB2BD8" w:rsidRDefault="00EB2BD8">
            <w:pPr>
              <w:pStyle w:val="TableParagraph"/>
              <w:spacing w:before="19"/>
              <w:ind w:left="114"/>
              <w:rPr>
                <w:sz w:val="16"/>
              </w:rPr>
            </w:pPr>
            <w:r w:rsidRPr="00EB2BD8">
              <w:rPr>
                <w:spacing w:val="-2"/>
                <w:sz w:val="16"/>
              </w:rPr>
              <w:t>course</w:t>
            </w:r>
            <w:r w:rsidRPr="00EB2BD8">
              <w:rPr>
                <w:spacing w:val="-6"/>
                <w:sz w:val="16"/>
              </w:rPr>
              <w:t xml:space="preserve"> </w:t>
            </w:r>
            <w:r w:rsidRPr="00EB2BD8">
              <w:rPr>
                <w:spacing w:val="-2"/>
                <w:sz w:val="16"/>
              </w:rPr>
              <w:t>of</w:t>
            </w:r>
            <w:r w:rsidRPr="00EB2BD8">
              <w:rPr>
                <w:spacing w:val="-5"/>
                <w:sz w:val="16"/>
              </w:rPr>
              <w:t xml:space="preserve"> </w:t>
            </w:r>
            <w:r w:rsidRPr="00EB2BD8">
              <w:rPr>
                <w:spacing w:val="-2"/>
                <w:sz w:val="16"/>
              </w:rPr>
              <w:t>training.</w:t>
            </w:r>
          </w:p>
        </w:tc>
        <w:tc>
          <w:tcPr>
            <w:tcW w:w="1076" w:type="dxa"/>
          </w:tcPr>
          <w:p w14:paraId="495009B8" w14:textId="77777777" w:rsidR="00084F36" w:rsidRPr="00EB2BD8" w:rsidRDefault="00084F36">
            <w:pPr>
              <w:pStyle w:val="TableParagraph"/>
              <w:rPr>
                <w:rFonts w:ascii="Times New Roman"/>
                <w:sz w:val="16"/>
              </w:rPr>
            </w:pPr>
          </w:p>
        </w:tc>
        <w:tc>
          <w:tcPr>
            <w:tcW w:w="1175" w:type="dxa"/>
          </w:tcPr>
          <w:p w14:paraId="1E91AE03" w14:textId="77777777" w:rsidR="00084F36" w:rsidRPr="00EB2BD8" w:rsidRDefault="00084F36">
            <w:pPr>
              <w:pStyle w:val="TableParagraph"/>
              <w:rPr>
                <w:rFonts w:ascii="Times New Roman"/>
                <w:sz w:val="16"/>
              </w:rPr>
            </w:pPr>
          </w:p>
        </w:tc>
      </w:tr>
      <w:tr w:rsidR="00EB2BD8" w:rsidRPr="00EB2BD8" w14:paraId="62A63ADA" w14:textId="77777777">
        <w:trPr>
          <w:trHeight w:val="389"/>
        </w:trPr>
        <w:tc>
          <w:tcPr>
            <w:tcW w:w="1705" w:type="dxa"/>
            <w:tcBorders>
              <w:bottom w:val="single" w:sz="2" w:space="0" w:color="000000"/>
            </w:tcBorders>
          </w:tcPr>
          <w:p w14:paraId="477DFDA2"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47781215" w14:textId="77777777" w:rsidR="00084F36" w:rsidRPr="00EB2BD8" w:rsidRDefault="00084F36">
            <w:pPr>
              <w:pStyle w:val="TableParagraph"/>
              <w:rPr>
                <w:rFonts w:ascii="Times New Roman"/>
                <w:sz w:val="16"/>
              </w:rPr>
            </w:pPr>
          </w:p>
        </w:tc>
        <w:tc>
          <w:tcPr>
            <w:tcW w:w="2499" w:type="dxa"/>
            <w:tcBorders>
              <w:bottom w:val="single" w:sz="2" w:space="0" w:color="000000"/>
            </w:tcBorders>
          </w:tcPr>
          <w:p w14:paraId="645A8E7C" w14:textId="77777777" w:rsidR="00084F36" w:rsidRPr="00EB2BD8" w:rsidRDefault="00EB2BD8">
            <w:pPr>
              <w:pStyle w:val="TableParagraph"/>
              <w:spacing w:before="19"/>
              <w:ind w:left="334"/>
              <w:rPr>
                <w:sz w:val="16"/>
              </w:rPr>
            </w:pPr>
            <w:r w:rsidRPr="00EB2BD8">
              <w:rPr>
                <w:sz w:val="16"/>
              </w:rPr>
              <w:t>site</w:t>
            </w:r>
            <w:r w:rsidRPr="00EB2BD8">
              <w:rPr>
                <w:spacing w:val="-6"/>
                <w:sz w:val="16"/>
              </w:rPr>
              <w:t xml:space="preserve"> </w:t>
            </w:r>
            <w:r w:rsidRPr="00EB2BD8">
              <w:rPr>
                <w:sz w:val="16"/>
              </w:rPr>
              <w:t>at</w:t>
            </w:r>
            <w:r w:rsidRPr="00EB2BD8">
              <w:rPr>
                <w:spacing w:val="-6"/>
                <w:sz w:val="16"/>
              </w:rPr>
              <w:t xml:space="preserve"> </w:t>
            </w:r>
            <w:r w:rsidRPr="00EB2BD8">
              <w:rPr>
                <w:sz w:val="16"/>
              </w:rPr>
              <w:t>Lake</w:t>
            </w:r>
            <w:r w:rsidRPr="00EB2BD8">
              <w:rPr>
                <w:spacing w:val="-6"/>
                <w:sz w:val="16"/>
              </w:rPr>
              <w:t xml:space="preserve"> </w:t>
            </w:r>
            <w:r w:rsidRPr="00EB2BD8">
              <w:rPr>
                <w:spacing w:val="-2"/>
                <w:sz w:val="16"/>
              </w:rPr>
              <w:t>Wendouree.</w:t>
            </w:r>
          </w:p>
        </w:tc>
        <w:tc>
          <w:tcPr>
            <w:tcW w:w="2279" w:type="dxa"/>
            <w:tcBorders>
              <w:bottom w:val="single" w:sz="2" w:space="0" w:color="000000"/>
            </w:tcBorders>
          </w:tcPr>
          <w:p w14:paraId="0119299B" w14:textId="77777777" w:rsidR="00084F36" w:rsidRPr="00EB2BD8" w:rsidRDefault="00084F36">
            <w:pPr>
              <w:pStyle w:val="TableParagraph"/>
              <w:rPr>
                <w:rFonts w:ascii="Times New Roman"/>
                <w:sz w:val="16"/>
              </w:rPr>
            </w:pPr>
          </w:p>
        </w:tc>
        <w:tc>
          <w:tcPr>
            <w:tcW w:w="1076" w:type="dxa"/>
            <w:tcBorders>
              <w:bottom w:val="single" w:sz="2" w:space="0" w:color="000000"/>
            </w:tcBorders>
          </w:tcPr>
          <w:p w14:paraId="3D5DCAC4"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5238A888" w14:textId="77777777" w:rsidR="00084F36" w:rsidRPr="00EB2BD8" w:rsidRDefault="00084F36">
            <w:pPr>
              <w:pStyle w:val="TableParagraph"/>
              <w:rPr>
                <w:rFonts w:ascii="Times New Roman"/>
                <w:sz w:val="16"/>
              </w:rPr>
            </w:pPr>
          </w:p>
        </w:tc>
      </w:tr>
      <w:tr w:rsidR="00EB2BD8" w:rsidRPr="00EB2BD8" w14:paraId="1FF87B30" w14:textId="77777777">
        <w:trPr>
          <w:trHeight w:val="325"/>
        </w:trPr>
        <w:tc>
          <w:tcPr>
            <w:tcW w:w="1705" w:type="dxa"/>
            <w:tcBorders>
              <w:top w:val="single" w:sz="2" w:space="0" w:color="000000"/>
            </w:tcBorders>
          </w:tcPr>
          <w:p w14:paraId="1E2CA80C" w14:textId="77777777" w:rsidR="00084F36" w:rsidRPr="00EB2BD8" w:rsidRDefault="00EB2BD8">
            <w:pPr>
              <w:pStyle w:val="TableParagraph"/>
              <w:spacing w:before="115"/>
              <w:ind w:left="113"/>
              <w:rPr>
                <w:sz w:val="16"/>
              </w:rPr>
            </w:pPr>
            <w:r w:rsidRPr="00EB2BD8">
              <w:rPr>
                <w:spacing w:val="-4"/>
                <w:sz w:val="16"/>
              </w:rPr>
              <w:t>FRANKS,</w:t>
            </w:r>
            <w:r w:rsidRPr="00EB2BD8">
              <w:rPr>
                <w:spacing w:val="-2"/>
                <w:sz w:val="16"/>
              </w:rPr>
              <w:t xml:space="preserve"> William</w:t>
            </w:r>
          </w:p>
        </w:tc>
        <w:tc>
          <w:tcPr>
            <w:tcW w:w="1464" w:type="dxa"/>
            <w:tcBorders>
              <w:top w:val="single" w:sz="2" w:space="0" w:color="000000"/>
            </w:tcBorders>
          </w:tcPr>
          <w:p w14:paraId="32378896" w14:textId="77777777" w:rsidR="00084F36" w:rsidRPr="00EB2BD8" w:rsidRDefault="00EB2BD8">
            <w:pPr>
              <w:pStyle w:val="TableParagraph"/>
              <w:spacing w:before="115"/>
              <w:ind w:left="165"/>
              <w:rPr>
                <w:sz w:val="16"/>
              </w:rPr>
            </w:pPr>
            <w:r w:rsidRPr="00EB2BD8">
              <w:rPr>
                <w:sz w:val="16"/>
              </w:rPr>
              <w:t>DB-U</w:t>
            </w:r>
            <w:r w:rsidRPr="00EB2BD8">
              <w:rPr>
                <w:spacing w:val="22"/>
                <w:sz w:val="16"/>
              </w:rPr>
              <w:t xml:space="preserve"> </w:t>
            </w:r>
            <w:r w:rsidRPr="00EB2BD8">
              <w:rPr>
                <w:spacing w:val="-2"/>
                <w:sz w:val="16"/>
              </w:rPr>
              <w:t>17985;</w:t>
            </w:r>
          </w:p>
        </w:tc>
        <w:tc>
          <w:tcPr>
            <w:tcW w:w="2499" w:type="dxa"/>
            <w:tcBorders>
              <w:top w:val="single" w:sz="2" w:space="0" w:color="000000"/>
            </w:tcBorders>
          </w:tcPr>
          <w:p w14:paraId="177FAD20" w14:textId="77777777" w:rsidR="00084F36" w:rsidRPr="00EB2BD8" w:rsidRDefault="00EB2BD8">
            <w:pPr>
              <w:pStyle w:val="TableParagraph"/>
              <w:spacing w:before="115"/>
              <w:ind w:left="334"/>
              <w:rPr>
                <w:sz w:val="16"/>
              </w:rPr>
            </w:pPr>
            <w:r w:rsidRPr="00EB2BD8">
              <w:rPr>
                <w:spacing w:val="-2"/>
                <w:sz w:val="16"/>
              </w:rPr>
              <w:t>Performing</w:t>
            </w:r>
            <w:r w:rsidRPr="00EB2BD8">
              <w:rPr>
                <w:spacing w:val="6"/>
                <w:sz w:val="16"/>
              </w:rPr>
              <w:t xml:space="preserve"> </w:t>
            </w:r>
            <w:r w:rsidRPr="00EB2BD8">
              <w:rPr>
                <w:spacing w:val="-2"/>
                <w:sz w:val="16"/>
              </w:rPr>
              <w:t>building</w:t>
            </w:r>
          </w:p>
        </w:tc>
        <w:tc>
          <w:tcPr>
            <w:tcW w:w="2279" w:type="dxa"/>
            <w:tcBorders>
              <w:top w:val="single" w:sz="2" w:space="0" w:color="000000"/>
            </w:tcBorders>
          </w:tcPr>
          <w:p w14:paraId="182154CF" w14:textId="77777777" w:rsidR="00084F36" w:rsidRPr="00EB2BD8" w:rsidRDefault="00EB2BD8">
            <w:pPr>
              <w:pStyle w:val="TableParagraph"/>
              <w:spacing w:before="114"/>
              <w:ind w:left="114"/>
              <w:rPr>
                <w:sz w:val="16"/>
              </w:rPr>
            </w:pPr>
            <w:r w:rsidRPr="00EB2BD8">
              <w:rPr>
                <w:sz w:val="16"/>
              </w:rPr>
              <w:t>Penalty</w:t>
            </w:r>
            <w:r w:rsidRPr="00EB2BD8">
              <w:rPr>
                <w:spacing w:val="-5"/>
                <w:sz w:val="16"/>
              </w:rPr>
              <w:t xml:space="preserve"> </w:t>
            </w:r>
            <w:r w:rsidRPr="00EB2BD8">
              <w:rPr>
                <w:sz w:val="16"/>
              </w:rPr>
              <w:t>of</w:t>
            </w:r>
            <w:r w:rsidRPr="00EB2BD8">
              <w:rPr>
                <w:spacing w:val="-4"/>
                <w:sz w:val="16"/>
              </w:rPr>
              <w:t xml:space="preserve"> </w:t>
            </w:r>
            <w:r w:rsidRPr="00EB2BD8">
              <w:rPr>
                <w:spacing w:val="-2"/>
                <w:sz w:val="16"/>
              </w:rPr>
              <w:t>$2,773.</w:t>
            </w:r>
          </w:p>
        </w:tc>
        <w:tc>
          <w:tcPr>
            <w:tcW w:w="1076" w:type="dxa"/>
            <w:tcBorders>
              <w:top w:val="single" w:sz="2" w:space="0" w:color="000000"/>
            </w:tcBorders>
          </w:tcPr>
          <w:p w14:paraId="51BF34CF" w14:textId="77777777" w:rsidR="00084F36" w:rsidRPr="00EB2BD8" w:rsidRDefault="00EB2BD8">
            <w:pPr>
              <w:pStyle w:val="TableParagraph"/>
              <w:spacing w:before="114"/>
              <w:ind w:right="109"/>
              <w:jc w:val="right"/>
              <w:rPr>
                <w:sz w:val="16"/>
              </w:rPr>
            </w:pPr>
            <w:r w:rsidRPr="00EB2BD8">
              <w:rPr>
                <w:spacing w:val="-2"/>
                <w:w w:val="90"/>
                <w:sz w:val="16"/>
              </w:rPr>
              <w:t>$2,773</w:t>
            </w:r>
          </w:p>
        </w:tc>
        <w:tc>
          <w:tcPr>
            <w:tcW w:w="1175" w:type="dxa"/>
            <w:tcBorders>
              <w:top w:val="single" w:sz="2" w:space="0" w:color="000000"/>
            </w:tcBorders>
          </w:tcPr>
          <w:p w14:paraId="2F59B81A" w14:textId="77777777" w:rsidR="00084F36" w:rsidRPr="00EB2BD8" w:rsidRDefault="00EB2BD8">
            <w:pPr>
              <w:pStyle w:val="TableParagraph"/>
              <w:spacing w:before="114"/>
              <w:ind w:left="115"/>
              <w:rPr>
                <w:sz w:val="16"/>
              </w:rPr>
            </w:pPr>
            <w:r w:rsidRPr="00EB2BD8">
              <w:rPr>
                <w:spacing w:val="-2"/>
                <w:w w:val="95"/>
                <w:sz w:val="16"/>
              </w:rPr>
              <w:t>07/09/2022</w:t>
            </w:r>
          </w:p>
        </w:tc>
      </w:tr>
      <w:tr w:rsidR="00EB2BD8" w:rsidRPr="00EB2BD8" w14:paraId="1190AF1B" w14:textId="77777777">
        <w:trPr>
          <w:trHeight w:val="229"/>
        </w:trPr>
        <w:tc>
          <w:tcPr>
            <w:tcW w:w="1705" w:type="dxa"/>
          </w:tcPr>
          <w:p w14:paraId="1A9AADB1" w14:textId="77777777" w:rsidR="00084F36" w:rsidRPr="00EB2BD8" w:rsidRDefault="00084F36">
            <w:pPr>
              <w:pStyle w:val="TableParagraph"/>
              <w:rPr>
                <w:rFonts w:ascii="Times New Roman"/>
                <w:sz w:val="16"/>
              </w:rPr>
            </w:pPr>
          </w:p>
        </w:tc>
        <w:tc>
          <w:tcPr>
            <w:tcW w:w="1464" w:type="dxa"/>
          </w:tcPr>
          <w:p w14:paraId="3B061D31" w14:textId="77777777" w:rsidR="00084F36" w:rsidRPr="00EB2BD8" w:rsidRDefault="00EB2BD8">
            <w:pPr>
              <w:pStyle w:val="TableParagraph"/>
              <w:spacing w:before="19"/>
              <w:ind w:left="165"/>
              <w:rPr>
                <w:sz w:val="16"/>
              </w:rPr>
            </w:pPr>
            <w:r w:rsidRPr="00EB2BD8">
              <w:rPr>
                <w:spacing w:val="2"/>
                <w:sz w:val="16"/>
              </w:rPr>
              <w:t>CB-L</w:t>
            </w:r>
            <w:r w:rsidRPr="00EB2BD8">
              <w:rPr>
                <w:spacing w:val="24"/>
                <w:sz w:val="16"/>
              </w:rPr>
              <w:t xml:space="preserve"> </w:t>
            </w:r>
            <w:r w:rsidRPr="00EB2BD8">
              <w:rPr>
                <w:spacing w:val="-4"/>
                <w:sz w:val="16"/>
              </w:rPr>
              <w:t>18127</w:t>
            </w:r>
          </w:p>
        </w:tc>
        <w:tc>
          <w:tcPr>
            <w:tcW w:w="2499" w:type="dxa"/>
          </w:tcPr>
          <w:p w14:paraId="749ABBFC" w14:textId="77777777" w:rsidR="00084F36" w:rsidRPr="00EB2BD8" w:rsidRDefault="00EB2BD8">
            <w:pPr>
              <w:pStyle w:val="TableParagraph"/>
              <w:spacing w:before="19"/>
              <w:ind w:left="334"/>
              <w:rPr>
                <w:sz w:val="16"/>
              </w:rPr>
            </w:pPr>
            <w:r w:rsidRPr="00EB2BD8">
              <w:rPr>
                <w:spacing w:val="-2"/>
                <w:sz w:val="16"/>
              </w:rPr>
              <w:t>work</w:t>
            </w:r>
            <w:r w:rsidRPr="00EB2BD8">
              <w:rPr>
                <w:spacing w:val="-7"/>
                <w:sz w:val="16"/>
              </w:rPr>
              <w:t xml:space="preserve"> </w:t>
            </w:r>
            <w:r w:rsidRPr="00EB2BD8">
              <w:rPr>
                <w:spacing w:val="-2"/>
                <w:sz w:val="16"/>
              </w:rPr>
              <w:t>other</w:t>
            </w:r>
            <w:r w:rsidRPr="00EB2BD8">
              <w:rPr>
                <w:spacing w:val="-7"/>
                <w:sz w:val="16"/>
              </w:rPr>
              <w:t xml:space="preserve"> </w:t>
            </w:r>
            <w:r w:rsidRPr="00EB2BD8">
              <w:rPr>
                <w:spacing w:val="-2"/>
                <w:sz w:val="16"/>
              </w:rPr>
              <w:t>than</w:t>
            </w:r>
            <w:r w:rsidRPr="00EB2BD8">
              <w:rPr>
                <w:spacing w:val="-6"/>
                <w:sz w:val="16"/>
              </w:rPr>
              <w:t xml:space="preserve"> </w:t>
            </w:r>
            <w:r w:rsidRPr="00EB2BD8">
              <w:rPr>
                <w:spacing w:val="-2"/>
                <w:sz w:val="16"/>
              </w:rPr>
              <w:t>in</w:t>
            </w:r>
            <w:r w:rsidRPr="00EB2BD8">
              <w:rPr>
                <w:spacing w:val="-7"/>
                <w:sz w:val="16"/>
              </w:rPr>
              <w:t xml:space="preserve"> </w:t>
            </w:r>
            <w:r w:rsidRPr="00EB2BD8">
              <w:rPr>
                <w:spacing w:val="-10"/>
                <w:sz w:val="16"/>
              </w:rPr>
              <w:t>a</w:t>
            </w:r>
          </w:p>
        </w:tc>
        <w:tc>
          <w:tcPr>
            <w:tcW w:w="2279" w:type="dxa"/>
          </w:tcPr>
          <w:p w14:paraId="6F2AB4EB" w14:textId="77777777" w:rsidR="00084F36" w:rsidRPr="00EB2BD8" w:rsidRDefault="00084F36">
            <w:pPr>
              <w:pStyle w:val="TableParagraph"/>
              <w:rPr>
                <w:rFonts w:ascii="Times New Roman"/>
                <w:sz w:val="16"/>
              </w:rPr>
            </w:pPr>
          </w:p>
        </w:tc>
        <w:tc>
          <w:tcPr>
            <w:tcW w:w="1076" w:type="dxa"/>
          </w:tcPr>
          <w:p w14:paraId="546B9DAC" w14:textId="77777777" w:rsidR="00084F36" w:rsidRPr="00EB2BD8" w:rsidRDefault="00084F36">
            <w:pPr>
              <w:pStyle w:val="TableParagraph"/>
              <w:rPr>
                <w:rFonts w:ascii="Times New Roman"/>
                <w:sz w:val="16"/>
              </w:rPr>
            </w:pPr>
          </w:p>
        </w:tc>
        <w:tc>
          <w:tcPr>
            <w:tcW w:w="1175" w:type="dxa"/>
          </w:tcPr>
          <w:p w14:paraId="3F8CA487" w14:textId="77777777" w:rsidR="00084F36" w:rsidRPr="00EB2BD8" w:rsidRDefault="00084F36">
            <w:pPr>
              <w:pStyle w:val="TableParagraph"/>
              <w:rPr>
                <w:rFonts w:ascii="Times New Roman"/>
                <w:sz w:val="16"/>
              </w:rPr>
            </w:pPr>
          </w:p>
        </w:tc>
      </w:tr>
      <w:tr w:rsidR="00EB2BD8" w:rsidRPr="00EB2BD8" w14:paraId="6800D690" w14:textId="77777777">
        <w:trPr>
          <w:trHeight w:val="229"/>
        </w:trPr>
        <w:tc>
          <w:tcPr>
            <w:tcW w:w="1705" w:type="dxa"/>
          </w:tcPr>
          <w:p w14:paraId="769A4D09" w14:textId="77777777" w:rsidR="00084F36" w:rsidRPr="00EB2BD8" w:rsidRDefault="00084F36">
            <w:pPr>
              <w:pStyle w:val="TableParagraph"/>
              <w:rPr>
                <w:rFonts w:ascii="Times New Roman"/>
                <w:sz w:val="16"/>
              </w:rPr>
            </w:pPr>
          </w:p>
        </w:tc>
        <w:tc>
          <w:tcPr>
            <w:tcW w:w="1464" w:type="dxa"/>
          </w:tcPr>
          <w:p w14:paraId="188A553F" w14:textId="77777777" w:rsidR="00084F36" w:rsidRPr="00EB2BD8" w:rsidRDefault="00084F36">
            <w:pPr>
              <w:pStyle w:val="TableParagraph"/>
              <w:rPr>
                <w:rFonts w:ascii="Times New Roman"/>
                <w:sz w:val="16"/>
              </w:rPr>
            </w:pPr>
          </w:p>
        </w:tc>
        <w:tc>
          <w:tcPr>
            <w:tcW w:w="2499" w:type="dxa"/>
          </w:tcPr>
          <w:p w14:paraId="0DF518D9" w14:textId="77777777" w:rsidR="00084F36" w:rsidRPr="00EB2BD8" w:rsidRDefault="00EB2BD8">
            <w:pPr>
              <w:pStyle w:val="TableParagraph"/>
              <w:spacing w:before="19"/>
              <w:ind w:left="334"/>
              <w:rPr>
                <w:sz w:val="16"/>
              </w:rPr>
            </w:pPr>
            <w:r w:rsidRPr="00EB2BD8">
              <w:rPr>
                <w:sz w:val="16"/>
              </w:rPr>
              <w:t xml:space="preserve">competent manner </w:t>
            </w:r>
            <w:r w:rsidRPr="00EB2BD8">
              <w:rPr>
                <w:spacing w:val="-5"/>
                <w:sz w:val="16"/>
              </w:rPr>
              <w:t>and</w:t>
            </w:r>
          </w:p>
        </w:tc>
        <w:tc>
          <w:tcPr>
            <w:tcW w:w="2279" w:type="dxa"/>
          </w:tcPr>
          <w:p w14:paraId="0EC6F0D6" w14:textId="77777777" w:rsidR="00084F36" w:rsidRPr="00EB2BD8" w:rsidRDefault="00084F36">
            <w:pPr>
              <w:pStyle w:val="TableParagraph"/>
              <w:rPr>
                <w:rFonts w:ascii="Times New Roman"/>
                <w:sz w:val="16"/>
              </w:rPr>
            </w:pPr>
          </w:p>
        </w:tc>
        <w:tc>
          <w:tcPr>
            <w:tcW w:w="1076" w:type="dxa"/>
          </w:tcPr>
          <w:p w14:paraId="0111F778" w14:textId="77777777" w:rsidR="00084F36" w:rsidRPr="00EB2BD8" w:rsidRDefault="00084F36">
            <w:pPr>
              <w:pStyle w:val="TableParagraph"/>
              <w:rPr>
                <w:rFonts w:ascii="Times New Roman"/>
                <w:sz w:val="16"/>
              </w:rPr>
            </w:pPr>
          </w:p>
        </w:tc>
        <w:tc>
          <w:tcPr>
            <w:tcW w:w="1175" w:type="dxa"/>
          </w:tcPr>
          <w:p w14:paraId="294F7323" w14:textId="77777777" w:rsidR="00084F36" w:rsidRPr="00EB2BD8" w:rsidRDefault="00084F36">
            <w:pPr>
              <w:pStyle w:val="TableParagraph"/>
              <w:rPr>
                <w:rFonts w:ascii="Times New Roman"/>
                <w:sz w:val="16"/>
              </w:rPr>
            </w:pPr>
          </w:p>
        </w:tc>
      </w:tr>
      <w:tr w:rsidR="00EB2BD8" w:rsidRPr="00EB2BD8" w14:paraId="497F5DBF" w14:textId="77777777">
        <w:trPr>
          <w:trHeight w:val="229"/>
        </w:trPr>
        <w:tc>
          <w:tcPr>
            <w:tcW w:w="1705" w:type="dxa"/>
          </w:tcPr>
          <w:p w14:paraId="03343748" w14:textId="77777777" w:rsidR="00084F36" w:rsidRPr="00EB2BD8" w:rsidRDefault="00084F36">
            <w:pPr>
              <w:pStyle w:val="TableParagraph"/>
              <w:rPr>
                <w:rFonts w:ascii="Times New Roman"/>
                <w:sz w:val="16"/>
              </w:rPr>
            </w:pPr>
          </w:p>
        </w:tc>
        <w:tc>
          <w:tcPr>
            <w:tcW w:w="1464" w:type="dxa"/>
          </w:tcPr>
          <w:p w14:paraId="0539829A" w14:textId="77777777" w:rsidR="00084F36" w:rsidRPr="00EB2BD8" w:rsidRDefault="00084F36">
            <w:pPr>
              <w:pStyle w:val="TableParagraph"/>
              <w:rPr>
                <w:rFonts w:ascii="Times New Roman"/>
                <w:sz w:val="16"/>
              </w:rPr>
            </w:pPr>
          </w:p>
        </w:tc>
        <w:tc>
          <w:tcPr>
            <w:tcW w:w="2499" w:type="dxa"/>
          </w:tcPr>
          <w:p w14:paraId="0A53FF54" w14:textId="77777777" w:rsidR="00084F36" w:rsidRPr="00EB2BD8" w:rsidRDefault="00EB2BD8">
            <w:pPr>
              <w:pStyle w:val="TableParagraph"/>
              <w:spacing w:before="19"/>
              <w:ind w:left="334"/>
              <w:rPr>
                <w:sz w:val="16"/>
              </w:rPr>
            </w:pPr>
            <w:r w:rsidRPr="00EB2BD8">
              <w:rPr>
                <w:spacing w:val="-2"/>
                <w:sz w:val="16"/>
              </w:rPr>
              <w:t>to</w:t>
            </w:r>
            <w:r w:rsidRPr="00EB2BD8">
              <w:rPr>
                <w:spacing w:val="-6"/>
                <w:sz w:val="16"/>
              </w:rPr>
              <w:t xml:space="preserve"> </w:t>
            </w:r>
            <w:r w:rsidRPr="00EB2BD8">
              <w:rPr>
                <w:spacing w:val="-2"/>
                <w:sz w:val="16"/>
              </w:rPr>
              <w:t>a</w:t>
            </w:r>
            <w:r w:rsidRPr="00EB2BD8">
              <w:rPr>
                <w:spacing w:val="-5"/>
                <w:sz w:val="16"/>
              </w:rPr>
              <w:t xml:space="preserve"> </w:t>
            </w:r>
            <w:r w:rsidRPr="00EB2BD8">
              <w:rPr>
                <w:spacing w:val="-2"/>
                <w:sz w:val="16"/>
              </w:rPr>
              <w:t>professional</w:t>
            </w:r>
            <w:r w:rsidRPr="00EB2BD8">
              <w:rPr>
                <w:spacing w:val="-5"/>
                <w:sz w:val="16"/>
              </w:rPr>
              <w:t xml:space="preserve"> </w:t>
            </w:r>
            <w:r w:rsidRPr="00EB2BD8">
              <w:rPr>
                <w:spacing w:val="-2"/>
                <w:sz w:val="16"/>
              </w:rPr>
              <w:t>standard</w:t>
            </w:r>
          </w:p>
        </w:tc>
        <w:tc>
          <w:tcPr>
            <w:tcW w:w="2279" w:type="dxa"/>
          </w:tcPr>
          <w:p w14:paraId="5376F885" w14:textId="77777777" w:rsidR="00084F36" w:rsidRPr="00EB2BD8" w:rsidRDefault="00084F36">
            <w:pPr>
              <w:pStyle w:val="TableParagraph"/>
              <w:rPr>
                <w:rFonts w:ascii="Times New Roman"/>
                <w:sz w:val="16"/>
              </w:rPr>
            </w:pPr>
          </w:p>
        </w:tc>
        <w:tc>
          <w:tcPr>
            <w:tcW w:w="1076" w:type="dxa"/>
          </w:tcPr>
          <w:p w14:paraId="1628EE0C" w14:textId="77777777" w:rsidR="00084F36" w:rsidRPr="00EB2BD8" w:rsidRDefault="00084F36">
            <w:pPr>
              <w:pStyle w:val="TableParagraph"/>
              <w:rPr>
                <w:rFonts w:ascii="Times New Roman"/>
                <w:sz w:val="16"/>
              </w:rPr>
            </w:pPr>
          </w:p>
        </w:tc>
        <w:tc>
          <w:tcPr>
            <w:tcW w:w="1175" w:type="dxa"/>
          </w:tcPr>
          <w:p w14:paraId="3B410C3D" w14:textId="77777777" w:rsidR="00084F36" w:rsidRPr="00EB2BD8" w:rsidRDefault="00084F36">
            <w:pPr>
              <w:pStyle w:val="TableParagraph"/>
              <w:rPr>
                <w:rFonts w:ascii="Times New Roman"/>
                <w:sz w:val="16"/>
              </w:rPr>
            </w:pPr>
          </w:p>
        </w:tc>
      </w:tr>
      <w:tr w:rsidR="00EB2BD8" w:rsidRPr="00EB2BD8" w14:paraId="5738558F" w14:textId="77777777">
        <w:trPr>
          <w:trHeight w:val="229"/>
        </w:trPr>
        <w:tc>
          <w:tcPr>
            <w:tcW w:w="1705" w:type="dxa"/>
          </w:tcPr>
          <w:p w14:paraId="363C3D35" w14:textId="77777777" w:rsidR="00084F36" w:rsidRPr="00EB2BD8" w:rsidRDefault="00084F36">
            <w:pPr>
              <w:pStyle w:val="TableParagraph"/>
              <w:rPr>
                <w:rFonts w:ascii="Times New Roman"/>
                <w:sz w:val="16"/>
              </w:rPr>
            </w:pPr>
          </w:p>
        </w:tc>
        <w:tc>
          <w:tcPr>
            <w:tcW w:w="1464" w:type="dxa"/>
          </w:tcPr>
          <w:p w14:paraId="4004E568" w14:textId="77777777" w:rsidR="00084F36" w:rsidRPr="00EB2BD8" w:rsidRDefault="00084F36">
            <w:pPr>
              <w:pStyle w:val="TableParagraph"/>
              <w:rPr>
                <w:rFonts w:ascii="Times New Roman"/>
                <w:sz w:val="16"/>
              </w:rPr>
            </w:pPr>
          </w:p>
        </w:tc>
        <w:tc>
          <w:tcPr>
            <w:tcW w:w="2499" w:type="dxa"/>
          </w:tcPr>
          <w:p w14:paraId="16E1A7BE" w14:textId="77777777" w:rsidR="00084F36" w:rsidRPr="00EB2BD8" w:rsidRDefault="00EB2BD8">
            <w:pPr>
              <w:pStyle w:val="TableParagraph"/>
              <w:spacing w:before="19"/>
              <w:ind w:left="334"/>
              <w:rPr>
                <w:sz w:val="16"/>
              </w:rPr>
            </w:pPr>
            <w:r w:rsidRPr="00EB2BD8">
              <w:rPr>
                <w:spacing w:val="-2"/>
                <w:sz w:val="16"/>
              </w:rPr>
              <w:t>by</w:t>
            </w:r>
            <w:r w:rsidRPr="00EB2BD8">
              <w:rPr>
                <w:spacing w:val="-9"/>
                <w:sz w:val="16"/>
              </w:rPr>
              <w:t xml:space="preserve"> </w:t>
            </w:r>
            <w:r w:rsidRPr="00EB2BD8">
              <w:rPr>
                <w:spacing w:val="-2"/>
                <w:sz w:val="16"/>
              </w:rPr>
              <w:t>substituting</w:t>
            </w:r>
            <w:r w:rsidRPr="00EB2BD8">
              <w:rPr>
                <w:spacing w:val="-9"/>
                <w:sz w:val="16"/>
              </w:rPr>
              <w:t xml:space="preserve"> </w:t>
            </w:r>
            <w:r w:rsidRPr="00EB2BD8">
              <w:rPr>
                <w:spacing w:val="-2"/>
                <w:sz w:val="16"/>
              </w:rPr>
              <w:t>materials</w:t>
            </w:r>
          </w:p>
        </w:tc>
        <w:tc>
          <w:tcPr>
            <w:tcW w:w="2279" w:type="dxa"/>
          </w:tcPr>
          <w:p w14:paraId="69ECD925" w14:textId="77777777" w:rsidR="00084F36" w:rsidRPr="00EB2BD8" w:rsidRDefault="00084F36">
            <w:pPr>
              <w:pStyle w:val="TableParagraph"/>
              <w:rPr>
                <w:rFonts w:ascii="Times New Roman"/>
                <w:sz w:val="16"/>
              </w:rPr>
            </w:pPr>
          </w:p>
        </w:tc>
        <w:tc>
          <w:tcPr>
            <w:tcW w:w="1076" w:type="dxa"/>
          </w:tcPr>
          <w:p w14:paraId="3E535854" w14:textId="77777777" w:rsidR="00084F36" w:rsidRPr="00EB2BD8" w:rsidRDefault="00084F36">
            <w:pPr>
              <w:pStyle w:val="TableParagraph"/>
              <w:rPr>
                <w:rFonts w:ascii="Times New Roman"/>
                <w:sz w:val="16"/>
              </w:rPr>
            </w:pPr>
          </w:p>
        </w:tc>
        <w:tc>
          <w:tcPr>
            <w:tcW w:w="1175" w:type="dxa"/>
          </w:tcPr>
          <w:p w14:paraId="1E7059F9" w14:textId="77777777" w:rsidR="00084F36" w:rsidRPr="00EB2BD8" w:rsidRDefault="00084F36">
            <w:pPr>
              <w:pStyle w:val="TableParagraph"/>
              <w:rPr>
                <w:rFonts w:ascii="Times New Roman"/>
                <w:sz w:val="16"/>
              </w:rPr>
            </w:pPr>
          </w:p>
        </w:tc>
      </w:tr>
      <w:tr w:rsidR="00EB2BD8" w:rsidRPr="00EB2BD8" w14:paraId="4E4CA841" w14:textId="77777777">
        <w:trPr>
          <w:trHeight w:val="229"/>
        </w:trPr>
        <w:tc>
          <w:tcPr>
            <w:tcW w:w="1705" w:type="dxa"/>
          </w:tcPr>
          <w:p w14:paraId="27374051" w14:textId="77777777" w:rsidR="00084F36" w:rsidRPr="00EB2BD8" w:rsidRDefault="00084F36">
            <w:pPr>
              <w:pStyle w:val="TableParagraph"/>
              <w:rPr>
                <w:rFonts w:ascii="Times New Roman"/>
                <w:sz w:val="16"/>
              </w:rPr>
            </w:pPr>
          </w:p>
        </w:tc>
        <w:tc>
          <w:tcPr>
            <w:tcW w:w="1464" w:type="dxa"/>
          </w:tcPr>
          <w:p w14:paraId="0DAB3673" w14:textId="77777777" w:rsidR="00084F36" w:rsidRPr="00EB2BD8" w:rsidRDefault="00084F36">
            <w:pPr>
              <w:pStyle w:val="TableParagraph"/>
              <w:rPr>
                <w:rFonts w:ascii="Times New Roman"/>
                <w:sz w:val="16"/>
              </w:rPr>
            </w:pPr>
          </w:p>
        </w:tc>
        <w:tc>
          <w:tcPr>
            <w:tcW w:w="2499" w:type="dxa"/>
          </w:tcPr>
          <w:p w14:paraId="7C549724" w14:textId="77777777" w:rsidR="00084F36" w:rsidRPr="00EB2BD8" w:rsidRDefault="00EB2BD8">
            <w:pPr>
              <w:pStyle w:val="TableParagraph"/>
              <w:spacing w:before="19"/>
              <w:ind w:left="334"/>
              <w:rPr>
                <w:sz w:val="16"/>
              </w:rPr>
            </w:pPr>
            <w:r w:rsidRPr="00EB2BD8">
              <w:rPr>
                <w:spacing w:val="-2"/>
                <w:sz w:val="16"/>
              </w:rPr>
              <w:t>for</w:t>
            </w:r>
            <w:r w:rsidRPr="00EB2BD8">
              <w:rPr>
                <w:spacing w:val="-4"/>
                <w:sz w:val="16"/>
              </w:rPr>
              <w:t xml:space="preserve"> </w:t>
            </w:r>
            <w:r w:rsidRPr="00EB2BD8">
              <w:rPr>
                <w:spacing w:val="-2"/>
                <w:sz w:val="16"/>
              </w:rPr>
              <w:t>those</w:t>
            </w:r>
            <w:r w:rsidRPr="00EB2BD8">
              <w:rPr>
                <w:spacing w:val="-4"/>
                <w:sz w:val="16"/>
              </w:rPr>
              <w:t xml:space="preserve"> </w:t>
            </w:r>
            <w:r w:rsidRPr="00EB2BD8">
              <w:rPr>
                <w:spacing w:val="-2"/>
                <w:sz w:val="16"/>
              </w:rPr>
              <w:t>specified</w:t>
            </w:r>
            <w:r w:rsidRPr="00EB2BD8">
              <w:rPr>
                <w:spacing w:val="-4"/>
                <w:sz w:val="16"/>
              </w:rPr>
              <w:t xml:space="preserve"> </w:t>
            </w:r>
            <w:r w:rsidRPr="00EB2BD8">
              <w:rPr>
                <w:spacing w:val="-5"/>
                <w:sz w:val="16"/>
              </w:rPr>
              <w:t>in</w:t>
            </w:r>
          </w:p>
        </w:tc>
        <w:tc>
          <w:tcPr>
            <w:tcW w:w="2279" w:type="dxa"/>
          </w:tcPr>
          <w:p w14:paraId="54373737" w14:textId="77777777" w:rsidR="00084F36" w:rsidRPr="00EB2BD8" w:rsidRDefault="00084F36">
            <w:pPr>
              <w:pStyle w:val="TableParagraph"/>
              <w:rPr>
                <w:rFonts w:ascii="Times New Roman"/>
                <w:sz w:val="16"/>
              </w:rPr>
            </w:pPr>
          </w:p>
        </w:tc>
        <w:tc>
          <w:tcPr>
            <w:tcW w:w="1076" w:type="dxa"/>
          </w:tcPr>
          <w:p w14:paraId="654E0BA0" w14:textId="77777777" w:rsidR="00084F36" w:rsidRPr="00EB2BD8" w:rsidRDefault="00084F36">
            <w:pPr>
              <w:pStyle w:val="TableParagraph"/>
              <w:rPr>
                <w:rFonts w:ascii="Times New Roman"/>
                <w:sz w:val="16"/>
              </w:rPr>
            </w:pPr>
          </w:p>
        </w:tc>
        <w:tc>
          <w:tcPr>
            <w:tcW w:w="1175" w:type="dxa"/>
          </w:tcPr>
          <w:p w14:paraId="7E20E05F" w14:textId="77777777" w:rsidR="00084F36" w:rsidRPr="00EB2BD8" w:rsidRDefault="00084F36">
            <w:pPr>
              <w:pStyle w:val="TableParagraph"/>
              <w:rPr>
                <w:rFonts w:ascii="Times New Roman"/>
                <w:sz w:val="16"/>
              </w:rPr>
            </w:pPr>
          </w:p>
        </w:tc>
      </w:tr>
      <w:tr w:rsidR="00EB2BD8" w:rsidRPr="00EB2BD8" w14:paraId="379B279A" w14:textId="77777777">
        <w:trPr>
          <w:trHeight w:val="229"/>
        </w:trPr>
        <w:tc>
          <w:tcPr>
            <w:tcW w:w="1705" w:type="dxa"/>
          </w:tcPr>
          <w:p w14:paraId="6DDF964F" w14:textId="77777777" w:rsidR="00084F36" w:rsidRPr="00EB2BD8" w:rsidRDefault="00084F36">
            <w:pPr>
              <w:pStyle w:val="TableParagraph"/>
              <w:rPr>
                <w:rFonts w:ascii="Times New Roman"/>
                <w:sz w:val="16"/>
              </w:rPr>
            </w:pPr>
          </w:p>
        </w:tc>
        <w:tc>
          <w:tcPr>
            <w:tcW w:w="1464" w:type="dxa"/>
          </w:tcPr>
          <w:p w14:paraId="35964697" w14:textId="77777777" w:rsidR="00084F36" w:rsidRPr="00EB2BD8" w:rsidRDefault="00084F36">
            <w:pPr>
              <w:pStyle w:val="TableParagraph"/>
              <w:rPr>
                <w:rFonts w:ascii="Times New Roman"/>
                <w:sz w:val="16"/>
              </w:rPr>
            </w:pPr>
          </w:p>
        </w:tc>
        <w:tc>
          <w:tcPr>
            <w:tcW w:w="2499" w:type="dxa"/>
          </w:tcPr>
          <w:p w14:paraId="611EEC4A" w14:textId="77777777" w:rsidR="00084F36" w:rsidRPr="00EB2BD8" w:rsidRDefault="00EB2BD8">
            <w:pPr>
              <w:pStyle w:val="TableParagraph"/>
              <w:spacing w:before="19"/>
              <w:ind w:left="334"/>
              <w:rPr>
                <w:sz w:val="16"/>
              </w:rPr>
            </w:pPr>
            <w:r w:rsidRPr="00EB2BD8">
              <w:rPr>
                <w:spacing w:val="-2"/>
                <w:sz w:val="16"/>
              </w:rPr>
              <w:t>the</w:t>
            </w:r>
            <w:r w:rsidRPr="00EB2BD8">
              <w:rPr>
                <w:spacing w:val="-7"/>
                <w:sz w:val="16"/>
              </w:rPr>
              <w:t xml:space="preserve"> </w:t>
            </w:r>
            <w:r w:rsidRPr="00EB2BD8">
              <w:rPr>
                <w:spacing w:val="-2"/>
                <w:sz w:val="16"/>
              </w:rPr>
              <w:t>building</w:t>
            </w:r>
            <w:r w:rsidRPr="00EB2BD8">
              <w:rPr>
                <w:spacing w:val="-6"/>
                <w:sz w:val="16"/>
              </w:rPr>
              <w:t xml:space="preserve"> </w:t>
            </w:r>
            <w:r w:rsidRPr="00EB2BD8">
              <w:rPr>
                <w:spacing w:val="-2"/>
                <w:sz w:val="16"/>
              </w:rPr>
              <w:t>permit</w:t>
            </w:r>
          </w:p>
        </w:tc>
        <w:tc>
          <w:tcPr>
            <w:tcW w:w="2279" w:type="dxa"/>
          </w:tcPr>
          <w:p w14:paraId="7A5BC020" w14:textId="77777777" w:rsidR="00084F36" w:rsidRPr="00EB2BD8" w:rsidRDefault="00084F36">
            <w:pPr>
              <w:pStyle w:val="TableParagraph"/>
              <w:rPr>
                <w:rFonts w:ascii="Times New Roman"/>
                <w:sz w:val="16"/>
              </w:rPr>
            </w:pPr>
          </w:p>
        </w:tc>
        <w:tc>
          <w:tcPr>
            <w:tcW w:w="1076" w:type="dxa"/>
          </w:tcPr>
          <w:p w14:paraId="2CE68563" w14:textId="77777777" w:rsidR="00084F36" w:rsidRPr="00EB2BD8" w:rsidRDefault="00084F36">
            <w:pPr>
              <w:pStyle w:val="TableParagraph"/>
              <w:rPr>
                <w:rFonts w:ascii="Times New Roman"/>
                <w:sz w:val="16"/>
              </w:rPr>
            </w:pPr>
          </w:p>
        </w:tc>
        <w:tc>
          <w:tcPr>
            <w:tcW w:w="1175" w:type="dxa"/>
          </w:tcPr>
          <w:p w14:paraId="2297E0E3" w14:textId="77777777" w:rsidR="00084F36" w:rsidRPr="00EB2BD8" w:rsidRDefault="00084F36">
            <w:pPr>
              <w:pStyle w:val="TableParagraph"/>
              <w:rPr>
                <w:rFonts w:ascii="Times New Roman"/>
                <w:sz w:val="16"/>
              </w:rPr>
            </w:pPr>
          </w:p>
        </w:tc>
      </w:tr>
      <w:tr w:rsidR="00EB2BD8" w:rsidRPr="00EB2BD8" w14:paraId="1F58B01B" w14:textId="77777777">
        <w:trPr>
          <w:trHeight w:val="229"/>
        </w:trPr>
        <w:tc>
          <w:tcPr>
            <w:tcW w:w="1705" w:type="dxa"/>
          </w:tcPr>
          <w:p w14:paraId="564B0F31" w14:textId="77777777" w:rsidR="00084F36" w:rsidRPr="00EB2BD8" w:rsidRDefault="00084F36">
            <w:pPr>
              <w:pStyle w:val="TableParagraph"/>
              <w:rPr>
                <w:rFonts w:ascii="Times New Roman"/>
                <w:sz w:val="16"/>
              </w:rPr>
            </w:pPr>
          </w:p>
        </w:tc>
        <w:tc>
          <w:tcPr>
            <w:tcW w:w="1464" w:type="dxa"/>
          </w:tcPr>
          <w:p w14:paraId="1892B93F" w14:textId="77777777" w:rsidR="00084F36" w:rsidRPr="00EB2BD8" w:rsidRDefault="00084F36">
            <w:pPr>
              <w:pStyle w:val="TableParagraph"/>
              <w:rPr>
                <w:rFonts w:ascii="Times New Roman"/>
                <w:sz w:val="16"/>
              </w:rPr>
            </w:pPr>
          </w:p>
        </w:tc>
        <w:tc>
          <w:tcPr>
            <w:tcW w:w="2499" w:type="dxa"/>
          </w:tcPr>
          <w:p w14:paraId="4FD975AF" w14:textId="77777777" w:rsidR="00084F36" w:rsidRPr="00EB2BD8" w:rsidRDefault="00EB2BD8">
            <w:pPr>
              <w:pStyle w:val="TableParagraph"/>
              <w:spacing w:before="19"/>
              <w:ind w:left="334"/>
              <w:rPr>
                <w:sz w:val="16"/>
              </w:rPr>
            </w:pPr>
            <w:r w:rsidRPr="00EB2BD8">
              <w:rPr>
                <w:spacing w:val="-4"/>
                <w:sz w:val="16"/>
              </w:rPr>
              <w:t>without</w:t>
            </w:r>
            <w:r w:rsidRPr="00EB2BD8">
              <w:rPr>
                <w:spacing w:val="-3"/>
                <w:sz w:val="16"/>
              </w:rPr>
              <w:t xml:space="preserve"> </w:t>
            </w:r>
            <w:r w:rsidRPr="00EB2BD8">
              <w:rPr>
                <w:spacing w:val="-4"/>
                <w:sz w:val="16"/>
              </w:rPr>
              <w:t>first</w:t>
            </w:r>
            <w:r w:rsidRPr="00EB2BD8">
              <w:rPr>
                <w:spacing w:val="-3"/>
                <w:sz w:val="16"/>
              </w:rPr>
              <w:t xml:space="preserve"> </w:t>
            </w:r>
            <w:r w:rsidRPr="00EB2BD8">
              <w:rPr>
                <w:spacing w:val="-4"/>
                <w:sz w:val="16"/>
              </w:rPr>
              <w:t>confirming</w:t>
            </w:r>
          </w:p>
        </w:tc>
        <w:tc>
          <w:tcPr>
            <w:tcW w:w="2279" w:type="dxa"/>
          </w:tcPr>
          <w:p w14:paraId="6484A592" w14:textId="77777777" w:rsidR="00084F36" w:rsidRPr="00EB2BD8" w:rsidRDefault="00084F36">
            <w:pPr>
              <w:pStyle w:val="TableParagraph"/>
              <w:rPr>
                <w:rFonts w:ascii="Times New Roman"/>
                <w:sz w:val="16"/>
              </w:rPr>
            </w:pPr>
          </w:p>
        </w:tc>
        <w:tc>
          <w:tcPr>
            <w:tcW w:w="1076" w:type="dxa"/>
          </w:tcPr>
          <w:p w14:paraId="4FD0BA90" w14:textId="77777777" w:rsidR="00084F36" w:rsidRPr="00EB2BD8" w:rsidRDefault="00084F36">
            <w:pPr>
              <w:pStyle w:val="TableParagraph"/>
              <w:rPr>
                <w:rFonts w:ascii="Times New Roman"/>
                <w:sz w:val="16"/>
              </w:rPr>
            </w:pPr>
          </w:p>
        </w:tc>
        <w:tc>
          <w:tcPr>
            <w:tcW w:w="1175" w:type="dxa"/>
          </w:tcPr>
          <w:p w14:paraId="15920F11" w14:textId="77777777" w:rsidR="00084F36" w:rsidRPr="00EB2BD8" w:rsidRDefault="00084F36">
            <w:pPr>
              <w:pStyle w:val="TableParagraph"/>
              <w:rPr>
                <w:rFonts w:ascii="Times New Roman"/>
                <w:sz w:val="16"/>
              </w:rPr>
            </w:pPr>
          </w:p>
        </w:tc>
      </w:tr>
      <w:tr w:rsidR="00EB2BD8" w:rsidRPr="00EB2BD8" w14:paraId="65C366B8" w14:textId="77777777">
        <w:trPr>
          <w:trHeight w:val="229"/>
        </w:trPr>
        <w:tc>
          <w:tcPr>
            <w:tcW w:w="1705" w:type="dxa"/>
          </w:tcPr>
          <w:p w14:paraId="2868C6BD" w14:textId="77777777" w:rsidR="00084F36" w:rsidRPr="00EB2BD8" w:rsidRDefault="00084F36">
            <w:pPr>
              <w:pStyle w:val="TableParagraph"/>
              <w:rPr>
                <w:rFonts w:ascii="Times New Roman"/>
                <w:sz w:val="16"/>
              </w:rPr>
            </w:pPr>
          </w:p>
        </w:tc>
        <w:tc>
          <w:tcPr>
            <w:tcW w:w="1464" w:type="dxa"/>
          </w:tcPr>
          <w:p w14:paraId="569D0CB6" w14:textId="77777777" w:rsidR="00084F36" w:rsidRPr="00EB2BD8" w:rsidRDefault="00084F36">
            <w:pPr>
              <w:pStyle w:val="TableParagraph"/>
              <w:rPr>
                <w:rFonts w:ascii="Times New Roman"/>
                <w:sz w:val="16"/>
              </w:rPr>
            </w:pPr>
          </w:p>
        </w:tc>
        <w:tc>
          <w:tcPr>
            <w:tcW w:w="2499" w:type="dxa"/>
          </w:tcPr>
          <w:p w14:paraId="61FD89F7" w14:textId="77777777" w:rsidR="00084F36" w:rsidRPr="00EB2BD8" w:rsidRDefault="00EB2BD8">
            <w:pPr>
              <w:pStyle w:val="TableParagraph"/>
              <w:spacing w:before="19"/>
              <w:ind w:left="334"/>
              <w:rPr>
                <w:sz w:val="16"/>
              </w:rPr>
            </w:pPr>
            <w:r w:rsidRPr="00EB2BD8">
              <w:rPr>
                <w:sz w:val="16"/>
              </w:rPr>
              <w:t>that</w:t>
            </w:r>
            <w:r w:rsidRPr="00EB2BD8">
              <w:rPr>
                <w:spacing w:val="-4"/>
                <w:sz w:val="16"/>
              </w:rPr>
              <w:t xml:space="preserve"> </w:t>
            </w:r>
            <w:r w:rsidRPr="00EB2BD8">
              <w:rPr>
                <w:sz w:val="16"/>
              </w:rPr>
              <w:t>change</w:t>
            </w:r>
            <w:r w:rsidRPr="00EB2BD8">
              <w:rPr>
                <w:spacing w:val="-3"/>
                <w:sz w:val="16"/>
              </w:rPr>
              <w:t xml:space="preserve"> </w:t>
            </w:r>
            <w:r w:rsidRPr="00EB2BD8">
              <w:rPr>
                <w:sz w:val="16"/>
              </w:rPr>
              <w:t>with</w:t>
            </w:r>
            <w:r w:rsidRPr="00EB2BD8">
              <w:rPr>
                <w:spacing w:val="-4"/>
                <w:sz w:val="16"/>
              </w:rPr>
              <w:t xml:space="preserve"> </w:t>
            </w:r>
            <w:r w:rsidRPr="00EB2BD8">
              <w:rPr>
                <w:spacing w:val="-5"/>
                <w:sz w:val="16"/>
              </w:rPr>
              <w:t>the</w:t>
            </w:r>
          </w:p>
        </w:tc>
        <w:tc>
          <w:tcPr>
            <w:tcW w:w="2279" w:type="dxa"/>
          </w:tcPr>
          <w:p w14:paraId="56A2BF7E" w14:textId="77777777" w:rsidR="00084F36" w:rsidRPr="00EB2BD8" w:rsidRDefault="00084F36">
            <w:pPr>
              <w:pStyle w:val="TableParagraph"/>
              <w:rPr>
                <w:rFonts w:ascii="Times New Roman"/>
                <w:sz w:val="16"/>
              </w:rPr>
            </w:pPr>
          </w:p>
        </w:tc>
        <w:tc>
          <w:tcPr>
            <w:tcW w:w="1076" w:type="dxa"/>
          </w:tcPr>
          <w:p w14:paraId="3C991ACB" w14:textId="77777777" w:rsidR="00084F36" w:rsidRPr="00EB2BD8" w:rsidRDefault="00084F36">
            <w:pPr>
              <w:pStyle w:val="TableParagraph"/>
              <w:rPr>
                <w:rFonts w:ascii="Times New Roman"/>
                <w:sz w:val="16"/>
              </w:rPr>
            </w:pPr>
          </w:p>
        </w:tc>
        <w:tc>
          <w:tcPr>
            <w:tcW w:w="1175" w:type="dxa"/>
          </w:tcPr>
          <w:p w14:paraId="58A5A54D" w14:textId="77777777" w:rsidR="00084F36" w:rsidRPr="00EB2BD8" w:rsidRDefault="00084F36">
            <w:pPr>
              <w:pStyle w:val="TableParagraph"/>
              <w:rPr>
                <w:rFonts w:ascii="Times New Roman"/>
                <w:sz w:val="16"/>
              </w:rPr>
            </w:pPr>
          </w:p>
        </w:tc>
      </w:tr>
      <w:tr w:rsidR="00EB2BD8" w:rsidRPr="00EB2BD8" w14:paraId="45C7A2F6" w14:textId="77777777">
        <w:trPr>
          <w:trHeight w:val="229"/>
        </w:trPr>
        <w:tc>
          <w:tcPr>
            <w:tcW w:w="1705" w:type="dxa"/>
          </w:tcPr>
          <w:p w14:paraId="14488254" w14:textId="77777777" w:rsidR="00084F36" w:rsidRPr="00EB2BD8" w:rsidRDefault="00084F36">
            <w:pPr>
              <w:pStyle w:val="TableParagraph"/>
              <w:rPr>
                <w:rFonts w:ascii="Times New Roman"/>
                <w:sz w:val="16"/>
              </w:rPr>
            </w:pPr>
          </w:p>
        </w:tc>
        <w:tc>
          <w:tcPr>
            <w:tcW w:w="1464" w:type="dxa"/>
          </w:tcPr>
          <w:p w14:paraId="3CBC900E" w14:textId="77777777" w:rsidR="00084F36" w:rsidRPr="00EB2BD8" w:rsidRDefault="00084F36">
            <w:pPr>
              <w:pStyle w:val="TableParagraph"/>
              <w:rPr>
                <w:rFonts w:ascii="Times New Roman"/>
                <w:sz w:val="16"/>
              </w:rPr>
            </w:pPr>
          </w:p>
        </w:tc>
        <w:tc>
          <w:tcPr>
            <w:tcW w:w="2499" w:type="dxa"/>
          </w:tcPr>
          <w:p w14:paraId="28EF4420" w14:textId="77777777" w:rsidR="00084F36" w:rsidRPr="00EB2BD8" w:rsidRDefault="00EB2BD8">
            <w:pPr>
              <w:pStyle w:val="TableParagraph"/>
              <w:spacing w:before="19"/>
              <w:ind w:left="334"/>
              <w:rPr>
                <w:sz w:val="16"/>
              </w:rPr>
            </w:pPr>
            <w:r w:rsidRPr="00EB2BD8">
              <w:rPr>
                <w:spacing w:val="-2"/>
                <w:sz w:val="16"/>
              </w:rPr>
              <w:t>relevant building surveyor</w:t>
            </w:r>
          </w:p>
        </w:tc>
        <w:tc>
          <w:tcPr>
            <w:tcW w:w="2279" w:type="dxa"/>
          </w:tcPr>
          <w:p w14:paraId="7E154DB2" w14:textId="77777777" w:rsidR="00084F36" w:rsidRPr="00EB2BD8" w:rsidRDefault="00084F36">
            <w:pPr>
              <w:pStyle w:val="TableParagraph"/>
              <w:rPr>
                <w:rFonts w:ascii="Times New Roman"/>
                <w:sz w:val="16"/>
              </w:rPr>
            </w:pPr>
          </w:p>
        </w:tc>
        <w:tc>
          <w:tcPr>
            <w:tcW w:w="1076" w:type="dxa"/>
          </w:tcPr>
          <w:p w14:paraId="1252B036" w14:textId="77777777" w:rsidR="00084F36" w:rsidRPr="00EB2BD8" w:rsidRDefault="00084F36">
            <w:pPr>
              <w:pStyle w:val="TableParagraph"/>
              <w:rPr>
                <w:rFonts w:ascii="Times New Roman"/>
                <w:sz w:val="16"/>
              </w:rPr>
            </w:pPr>
          </w:p>
        </w:tc>
        <w:tc>
          <w:tcPr>
            <w:tcW w:w="1175" w:type="dxa"/>
          </w:tcPr>
          <w:p w14:paraId="093EB58D" w14:textId="77777777" w:rsidR="00084F36" w:rsidRPr="00EB2BD8" w:rsidRDefault="00084F36">
            <w:pPr>
              <w:pStyle w:val="TableParagraph"/>
              <w:rPr>
                <w:rFonts w:ascii="Times New Roman"/>
                <w:sz w:val="16"/>
              </w:rPr>
            </w:pPr>
          </w:p>
        </w:tc>
      </w:tr>
      <w:tr w:rsidR="00EB2BD8" w:rsidRPr="00EB2BD8" w14:paraId="14D8417B" w14:textId="77777777">
        <w:trPr>
          <w:trHeight w:val="229"/>
        </w:trPr>
        <w:tc>
          <w:tcPr>
            <w:tcW w:w="1705" w:type="dxa"/>
          </w:tcPr>
          <w:p w14:paraId="16C38ED0" w14:textId="77777777" w:rsidR="00084F36" w:rsidRPr="00EB2BD8" w:rsidRDefault="00084F36">
            <w:pPr>
              <w:pStyle w:val="TableParagraph"/>
              <w:rPr>
                <w:rFonts w:ascii="Times New Roman"/>
                <w:sz w:val="16"/>
              </w:rPr>
            </w:pPr>
          </w:p>
        </w:tc>
        <w:tc>
          <w:tcPr>
            <w:tcW w:w="1464" w:type="dxa"/>
          </w:tcPr>
          <w:p w14:paraId="674A7410" w14:textId="77777777" w:rsidR="00084F36" w:rsidRPr="00EB2BD8" w:rsidRDefault="00084F36">
            <w:pPr>
              <w:pStyle w:val="TableParagraph"/>
              <w:rPr>
                <w:rFonts w:ascii="Times New Roman"/>
                <w:sz w:val="16"/>
              </w:rPr>
            </w:pPr>
          </w:p>
        </w:tc>
        <w:tc>
          <w:tcPr>
            <w:tcW w:w="2499" w:type="dxa"/>
          </w:tcPr>
          <w:p w14:paraId="2E5373FD" w14:textId="77777777" w:rsidR="00084F36" w:rsidRPr="00EB2BD8" w:rsidRDefault="00EB2BD8">
            <w:pPr>
              <w:pStyle w:val="TableParagraph"/>
              <w:spacing w:before="19"/>
              <w:ind w:left="334"/>
              <w:rPr>
                <w:sz w:val="16"/>
              </w:rPr>
            </w:pPr>
            <w:r w:rsidRPr="00EB2BD8">
              <w:rPr>
                <w:sz w:val="16"/>
              </w:rPr>
              <w:t>in</w:t>
            </w:r>
            <w:r w:rsidRPr="00EB2BD8">
              <w:rPr>
                <w:spacing w:val="-11"/>
                <w:sz w:val="16"/>
              </w:rPr>
              <w:t xml:space="preserve"> </w:t>
            </w:r>
            <w:r w:rsidRPr="00EB2BD8">
              <w:rPr>
                <w:sz w:val="16"/>
              </w:rPr>
              <w:t>respect</w:t>
            </w:r>
            <w:r w:rsidRPr="00EB2BD8">
              <w:rPr>
                <w:spacing w:val="-11"/>
                <w:sz w:val="16"/>
              </w:rPr>
              <w:t xml:space="preserve"> </w:t>
            </w:r>
            <w:r w:rsidRPr="00EB2BD8">
              <w:rPr>
                <w:sz w:val="16"/>
              </w:rPr>
              <w:t>of</w:t>
            </w:r>
            <w:r w:rsidRPr="00EB2BD8">
              <w:rPr>
                <w:spacing w:val="-11"/>
                <w:sz w:val="16"/>
              </w:rPr>
              <w:t xml:space="preserve"> </w:t>
            </w:r>
            <w:r w:rsidRPr="00EB2BD8">
              <w:rPr>
                <w:sz w:val="16"/>
              </w:rPr>
              <w:t>a</w:t>
            </w:r>
            <w:r w:rsidRPr="00EB2BD8">
              <w:rPr>
                <w:spacing w:val="-11"/>
                <w:sz w:val="16"/>
              </w:rPr>
              <w:t xml:space="preserve"> </w:t>
            </w:r>
            <w:r w:rsidRPr="00EB2BD8">
              <w:rPr>
                <w:sz w:val="16"/>
              </w:rPr>
              <w:t>site</w:t>
            </w:r>
            <w:r w:rsidRPr="00EB2BD8">
              <w:rPr>
                <w:spacing w:val="-11"/>
                <w:sz w:val="16"/>
              </w:rPr>
              <w:t xml:space="preserve"> </w:t>
            </w:r>
            <w:r w:rsidRPr="00EB2BD8">
              <w:rPr>
                <w:spacing w:val="-5"/>
                <w:sz w:val="16"/>
              </w:rPr>
              <w:t>at</w:t>
            </w:r>
          </w:p>
        </w:tc>
        <w:tc>
          <w:tcPr>
            <w:tcW w:w="2279" w:type="dxa"/>
          </w:tcPr>
          <w:p w14:paraId="52957325" w14:textId="77777777" w:rsidR="00084F36" w:rsidRPr="00EB2BD8" w:rsidRDefault="00084F36">
            <w:pPr>
              <w:pStyle w:val="TableParagraph"/>
              <w:rPr>
                <w:rFonts w:ascii="Times New Roman"/>
                <w:sz w:val="16"/>
              </w:rPr>
            </w:pPr>
          </w:p>
        </w:tc>
        <w:tc>
          <w:tcPr>
            <w:tcW w:w="1076" w:type="dxa"/>
          </w:tcPr>
          <w:p w14:paraId="4A6F4229" w14:textId="77777777" w:rsidR="00084F36" w:rsidRPr="00EB2BD8" w:rsidRDefault="00084F36">
            <w:pPr>
              <w:pStyle w:val="TableParagraph"/>
              <w:rPr>
                <w:rFonts w:ascii="Times New Roman"/>
                <w:sz w:val="16"/>
              </w:rPr>
            </w:pPr>
          </w:p>
        </w:tc>
        <w:tc>
          <w:tcPr>
            <w:tcW w:w="1175" w:type="dxa"/>
          </w:tcPr>
          <w:p w14:paraId="2949F211" w14:textId="77777777" w:rsidR="00084F36" w:rsidRPr="00EB2BD8" w:rsidRDefault="00084F36">
            <w:pPr>
              <w:pStyle w:val="TableParagraph"/>
              <w:rPr>
                <w:rFonts w:ascii="Times New Roman"/>
                <w:sz w:val="16"/>
              </w:rPr>
            </w:pPr>
          </w:p>
        </w:tc>
      </w:tr>
      <w:tr w:rsidR="00EB2BD8" w:rsidRPr="00EB2BD8" w14:paraId="147EEEA8" w14:textId="77777777">
        <w:trPr>
          <w:trHeight w:val="287"/>
        </w:trPr>
        <w:tc>
          <w:tcPr>
            <w:tcW w:w="1705" w:type="dxa"/>
            <w:tcBorders>
              <w:bottom w:val="single" w:sz="2" w:space="0" w:color="000000"/>
            </w:tcBorders>
          </w:tcPr>
          <w:p w14:paraId="4754D437"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1C5E153A" w14:textId="77777777" w:rsidR="00084F36" w:rsidRPr="00EB2BD8" w:rsidRDefault="00084F36">
            <w:pPr>
              <w:pStyle w:val="TableParagraph"/>
              <w:rPr>
                <w:rFonts w:ascii="Times New Roman"/>
                <w:sz w:val="16"/>
              </w:rPr>
            </w:pPr>
          </w:p>
        </w:tc>
        <w:tc>
          <w:tcPr>
            <w:tcW w:w="2499" w:type="dxa"/>
            <w:tcBorders>
              <w:bottom w:val="single" w:sz="2" w:space="0" w:color="000000"/>
            </w:tcBorders>
          </w:tcPr>
          <w:p w14:paraId="60612457" w14:textId="77777777" w:rsidR="00084F36" w:rsidRPr="00EB2BD8" w:rsidRDefault="00EB2BD8">
            <w:pPr>
              <w:pStyle w:val="TableParagraph"/>
              <w:spacing w:before="19"/>
              <w:ind w:left="334"/>
              <w:rPr>
                <w:sz w:val="16"/>
              </w:rPr>
            </w:pPr>
            <w:r w:rsidRPr="00EB2BD8">
              <w:rPr>
                <w:spacing w:val="-2"/>
                <w:sz w:val="16"/>
              </w:rPr>
              <w:t>Bendigo.</w:t>
            </w:r>
          </w:p>
        </w:tc>
        <w:tc>
          <w:tcPr>
            <w:tcW w:w="2279" w:type="dxa"/>
            <w:tcBorders>
              <w:bottom w:val="single" w:sz="2" w:space="0" w:color="000000"/>
            </w:tcBorders>
          </w:tcPr>
          <w:p w14:paraId="09BC0862" w14:textId="77777777" w:rsidR="00084F36" w:rsidRPr="00EB2BD8" w:rsidRDefault="00084F36">
            <w:pPr>
              <w:pStyle w:val="TableParagraph"/>
              <w:rPr>
                <w:rFonts w:ascii="Times New Roman"/>
                <w:sz w:val="16"/>
              </w:rPr>
            </w:pPr>
          </w:p>
        </w:tc>
        <w:tc>
          <w:tcPr>
            <w:tcW w:w="1076" w:type="dxa"/>
            <w:tcBorders>
              <w:bottom w:val="single" w:sz="2" w:space="0" w:color="000000"/>
            </w:tcBorders>
          </w:tcPr>
          <w:p w14:paraId="0D9A44DD"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72507AAB" w14:textId="77777777" w:rsidR="00084F36" w:rsidRPr="00EB2BD8" w:rsidRDefault="00084F36">
            <w:pPr>
              <w:pStyle w:val="TableParagraph"/>
              <w:rPr>
                <w:rFonts w:ascii="Times New Roman"/>
                <w:sz w:val="16"/>
              </w:rPr>
            </w:pPr>
          </w:p>
        </w:tc>
      </w:tr>
      <w:tr w:rsidR="00EB2BD8" w:rsidRPr="00EB2BD8" w14:paraId="4517627E" w14:textId="77777777">
        <w:trPr>
          <w:trHeight w:val="324"/>
        </w:trPr>
        <w:tc>
          <w:tcPr>
            <w:tcW w:w="1705" w:type="dxa"/>
            <w:tcBorders>
              <w:top w:val="single" w:sz="2" w:space="0" w:color="000000"/>
            </w:tcBorders>
          </w:tcPr>
          <w:p w14:paraId="6496524F" w14:textId="77777777" w:rsidR="00084F36" w:rsidRPr="00EB2BD8" w:rsidRDefault="00EB2BD8">
            <w:pPr>
              <w:pStyle w:val="TableParagraph"/>
              <w:spacing w:before="114"/>
              <w:ind w:left="113"/>
              <w:rPr>
                <w:sz w:val="16"/>
              </w:rPr>
            </w:pPr>
            <w:r w:rsidRPr="00EB2BD8">
              <w:rPr>
                <w:spacing w:val="-2"/>
                <w:sz w:val="16"/>
              </w:rPr>
              <w:t>GALANOS,</w:t>
            </w:r>
          </w:p>
        </w:tc>
        <w:tc>
          <w:tcPr>
            <w:tcW w:w="1464" w:type="dxa"/>
            <w:tcBorders>
              <w:top w:val="single" w:sz="2" w:space="0" w:color="000000"/>
            </w:tcBorders>
          </w:tcPr>
          <w:p w14:paraId="75E09223" w14:textId="77777777" w:rsidR="00084F36" w:rsidRPr="00EB2BD8" w:rsidRDefault="00EB2BD8">
            <w:pPr>
              <w:pStyle w:val="TableParagraph"/>
              <w:spacing w:before="114"/>
              <w:ind w:left="165"/>
              <w:rPr>
                <w:sz w:val="16"/>
              </w:rPr>
            </w:pPr>
            <w:r w:rsidRPr="00EB2BD8">
              <w:rPr>
                <w:spacing w:val="2"/>
                <w:sz w:val="16"/>
              </w:rPr>
              <w:t>BS-U</w:t>
            </w:r>
            <w:r w:rsidRPr="00EB2BD8">
              <w:rPr>
                <w:spacing w:val="26"/>
                <w:sz w:val="16"/>
              </w:rPr>
              <w:t xml:space="preserve"> </w:t>
            </w:r>
            <w:r w:rsidRPr="00EB2BD8">
              <w:rPr>
                <w:spacing w:val="-4"/>
                <w:sz w:val="16"/>
              </w:rPr>
              <w:t>16541</w:t>
            </w:r>
          </w:p>
        </w:tc>
        <w:tc>
          <w:tcPr>
            <w:tcW w:w="2499" w:type="dxa"/>
            <w:tcBorders>
              <w:top w:val="single" w:sz="2" w:space="0" w:color="000000"/>
            </w:tcBorders>
          </w:tcPr>
          <w:p w14:paraId="43534911" w14:textId="77777777" w:rsidR="00084F36" w:rsidRPr="00EB2BD8" w:rsidRDefault="00EB2BD8">
            <w:pPr>
              <w:pStyle w:val="TableParagraph"/>
              <w:spacing w:before="114"/>
              <w:ind w:left="334"/>
              <w:rPr>
                <w:sz w:val="16"/>
              </w:rPr>
            </w:pPr>
            <w:r w:rsidRPr="00EB2BD8">
              <w:rPr>
                <w:spacing w:val="-4"/>
                <w:sz w:val="16"/>
              </w:rPr>
              <w:t>Issuing</w:t>
            </w:r>
            <w:r w:rsidRPr="00EB2BD8">
              <w:rPr>
                <w:sz w:val="16"/>
              </w:rPr>
              <w:t xml:space="preserve"> </w:t>
            </w:r>
            <w:r w:rsidRPr="00EB2BD8">
              <w:rPr>
                <w:spacing w:val="-4"/>
                <w:sz w:val="16"/>
              </w:rPr>
              <w:t>building</w:t>
            </w:r>
            <w:r w:rsidRPr="00EB2BD8">
              <w:rPr>
                <w:sz w:val="16"/>
              </w:rPr>
              <w:t xml:space="preserve"> </w:t>
            </w:r>
            <w:r w:rsidRPr="00EB2BD8">
              <w:rPr>
                <w:spacing w:val="-5"/>
                <w:sz w:val="16"/>
              </w:rPr>
              <w:t>and</w:t>
            </w:r>
          </w:p>
        </w:tc>
        <w:tc>
          <w:tcPr>
            <w:tcW w:w="2279" w:type="dxa"/>
            <w:tcBorders>
              <w:top w:val="single" w:sz="2" w:space="0" w:color="000000"/>
            </w:tcBorders>
          </w:tcPr>
          <w:p w14:paraId="6D26F0DB" w14:textId="77777777" w:rsidR="00084F36" w:rsidRPr="00EB2BD8" w:rsidRDefault="00EB2BD8">
            <w:pPr>
              <w:pStyle w:val="TableParagraph"/>
              <w:spacing w:before="113"/>
              <w:ind w:left="114"/>
              <w:rPr>
                <w:sz w:val="16"/>
              </w:rPr>
            </w:pPr>
            <w:r w:rsidRPr="00EB2BD8">
              <w:rPr>
                <w:sz w:val="16"/>
              </w:rPr>
              <w:t>Reprimands</w:t>
            </w:r>
            <w:r w:rsidRPr="00EB2BD8">
              <w:rPr>
                <w:spacing w:val="-2"/>
                <w:sz w:val="16"/>
              </w:rPr>
              <w:t xml:space="preserve"> </w:t>
            </w:r>
            <w:r w:rsidRPr="00EB2BD8">
              <w:rPr>
                <w:spacing w:val="-5"/>
                <w:sz w:val="16"/>
              </w:rPr>
              <w:t>and</w:t>
            </w:r>
          </w:p>
        </w:tc>
        <w:tc>
          <w:tcPr>
            <w:tcW w:w="1076" w:type="dxa"/>
            <w:tcBorders>
              <w:top w:val="single" w:sz="2" w:space="0" w:color="000000"/>
            </w:tcBorders>
          </w:tcPr>
          <w:p w14:paraId="09F3000B" w14:textId="77777777" w:rsidR="00084F36" w:rsidRPr="00EB2BD8" w:rsidRDefault="00EB2BD8">
            <w:pPr>
              <w:pStyle w:val="TableParagraph"/>
              <w:spacing w:before="113"/>
              <w:ind w:right="109"/>
              <w:jc w:val="right"/>
              <w:rPr>
                <w:sz w:val="16"/>
              </w:rPr>
            </w:pPr>
            <w:r w:rsidRPr="00EB2BD8">
              <w:rPr>
                <w:spacing w:val="-2"/>
                <w:w w:val="90"/>
                <w:sz w:val="16"/>
              </w:rPr>
              <w:t>$27,738</w:t>
            </w:r>
          </w:p>
        </w:tc>
        <w:tc>
          <w:tcPr>
            <w:tcW w:w="1175" w:type="dxa"/>
            <w:tcBorders>
              <w:top w:val="single" w:sz="2" w:space="0" w:color="000000"/>
            </w:tcBorders>
          </w:tcPr>
          <w:p w14:paraId="4A554A7C" w14:textId="77777777" w:rsidR="00084F36" w:rsidRPr="00EB2BD8" w:rsidRDefault="00EB2BD8">
            <w:pPr>
              <w:pStyle w:val="TableParagraph"/>
              <w:spacing w:before="113"/>
              <w:ind w:left="115"/>
              <w:rPr>
                <w:sz w:val="16"/>
              </w:rPr>
            </w:pPr>
            <w:r w:rsidRPr="00EB2BD8">
              <w:rPr>
                <w:spacing w:val="-2"/>
                <w:sz w:val="16"/>
              </w:rPr>
              <w:t>08/09/2022</w:t>
            </w:r>
          </w:p>
        </w:tc>
      </w:tr>
      <w:tr w:rsidR="00EB2BD8" w:rsidRPr="00EB2BD8" w14:paraId="6AB399F4" w14:textId="77777777">
        <w:trPr>
          <w:trHeight w:val="229"/>
        </w:trPr>
        <w:tc>
          <w:tcPr>
            <w:tcW w:w="1705" w:type="dxa"/>
          </w:tcPr>
          <w:p w14:paraId="2D2A67BF" w14:textId="77777777" w:rsidR="00084F36" w:rsidRPr="00EB2BD8" w:rsidRDefault="00EB2BD8">
            <w:pPr>
              <w:pStyle w:val="TableParagraph"/>
              <w:spacing w:before="20"/>
              <w:ind w:left="113"/>
              <w:rPr>
                <w:sz w:val="16"/>
              </w:rPr>
            </w:pPr>
            <w:r w:rsidRPr="00EB2BD8">
              <w:rPr>
                <w:spacing w:val="-2"/>
                <w:sz w:val="16"/>
              </w:rPr>
              <w:t>Anastasios</w:t>
            </w:r>
          </w:p>
        </w:tc>
        <w:tc>
          <w:tcPr>
            <w:tcW w:w="1464" w:type="dxa"/>
          </w:tcPr>
          <w:p w14:paraId="4EDADA69" w14:textId="77777777" w:rsidR="00084F36" w:rsidRPr="00EB2BD8" w:rsidRDefault="00084F36">
            <w:pPr>
              <w:pStyle w:val="TableParagraph"/>
              <w:rPr>
                <w:rFonts w:ascii="Times New Roman"/>
                <w:sz w:val="16"/>
              </w:rPr>
            </w:pPr>
          </w:p>
        </w:tc>
        <w:tc>
          <w:tcPr>
            <w:tcW w:w="2499" w:type="dxa"/>
          </w:tcPr>
          <w:p w14:paraId="3CF9C7AF" w14:textId="77777777" w:rsidR="00084F36" w:rsidRPr="00EB2BD8" w:rsidRDefault="00EB2BD8">
            <w:pPr>
              <w:pStyle w:val="TableParagraph"/>
              <w:spacing w:before="20"/>
              <w:ind w:left="334"/>
              <w:rPr>
                <w:sz w:val="16"/>
              </w:rPr>
            </w:pPr>
            <w:r w:rsidRPr="00EB2BD8">
              <w:rPr>
                <w:spacing w:val="-2"/>
                <w:w w:val="105"/>
                <w:sz w:val="16"/>
              </w:rPr>
              <w:t>occupancy</w:t>
            </w:r>
            <w:r w:rsidRPr="00EB2BD8">
              <w:rPr>
                <w:spacing w:val="1"/>
                <w:w w:val="105"/>
                <w:sz w:val="16"/>
              </w:rPr>
              <w:t xml:space="preserve"> </w:t>
            </w:r>
            <w:r w:rsidRPr="00EB2BD8">
              <w:rPr>
                <w:spacing w:val="-2"/>
                <w:w w:val="105"/>
                <w:sz w:val="16"/>
              </w:rPr>
              <w:t>permits</w:t>
            </w:r>
          </w:p>
        </w:tc>
        <w:tc>
          <w:tcPr>
            <w:tcW w:w="2279" w:type="dxa"/>
          </w:tcPr>
          <w:p w14:paraId="556E60BC" w14:textId="77777777" w:rsidR="00084F36" w:rsidRPr="00EB2BD8" w:rsidRDefault="00EB2BD8">
            <w:pPr>
              <w:pStyle w:val="TableParagraph"/>
              <w:spacing w:before="19"/>
              <w:ind w:left="114"/>
              <w:rPr>
                <w:sz w:val="16"/>
              </w:rPr>
            </w:pPr>
            <w:r w:rsidRPr="00EB2BD8">
              <w:rPr>
                <w:sz w:val="16"/>
              </w:rPr>
              <w:t>aggregate</w:t>
            </w:r>
            <w:r w:rsidRPr="00EB2BD8">
              <w:rPr>
                <w:spacing w:val="5"/>
                <w:sz w:val="16"/>
              </w:rPr>
              <w:t xml:space="preserve"> </w:t>
            </w:r>
            <w:r w:rsidRPr="00EB2BD8">
              <w:rPr>
                <w:sz w:val="16"/>
              </w:rPr>
              <w:t>penalties</w:t>
            </w:r>
            <w:r w:rsidRPr="00EB2BD8">
              <w:rPr>
                <w:spacing w:val="5"/>
                <w:sz w:val="16"/>
              </w:rPr>
              <w:t xml:space="preserve"> </w:t>
            </w:r>
            <w:r w:rsidRPr="00EB2BD8">
              <w:rPr>
                <w:spacing w:val="-5"/>
                <w:sz w:val="16"/>
              </w:rPr>
              <w:t>of</w:t>
            </w:r>
          </w:p>
        </w:tc>
        <w:tc>
          <w:tcPr>
            <w:tcW w:w="1076" w:type="dxa"/>
          </w:tcPr>
          <w:p w14:paraId="0681F62D" w14:textId="77777777" w:rsidR="00084F36" w:rsidRPr="00EB2BD8" w:rsidRDefault="00084F36">
            <w:pPr>
              <w:pStyle w:val="TableParagraph"/>
              <w:rPr>
                <w:rFonts w:ascii="Times New Roman"/>
                <w:sz w:val="16"/>
              </w:rPr>
            </w:pPr>
          </w:p>
        </w:tc>
        <w:tc>
          <w:tcPr>
            <w:tcW w:w="1175" w:type="dxa"/>
          </w:tcPr>
          <w:p w14:paraId="42CDC2B6" w14:textId="77777777" w:rsidR="00084F36" w:rsidRPr="00EB2BD8" w:rsidRDefault="00084F36">
            <w:pPr>
              <w:pStyle w:val="TableParagraph"/>
              <w:rPr>
                <w:rFonts w:ascii="Times New Roman"/>
                <w:sz w:val="16"/>
              </w:rPr>
            </w:pPr>
          </w:p>
        </w:tc>
      </w:tr>
      <w:tr w:rsidR="00EB2BD8" w:rsidRPr="00EB2BD8" w14:paraId="3EAE6981" w14:textId="77777777">
        <w:trPr>
          <w:trHeight w:val="230"/>
        </w:trPr>
        <w:tc>
          <w:tcPr>
            <w:tcW w:w="1705" w:type="dxa"/>
          </w:tcPr>
          <w:p w14:paraId="07261DAE" w14:textId="77777777" w:rsidR="00084F36" w:rsidRPr="00EB2BD8" w:rsidRDefault="00084F36">
            <w:pPr>
              <w:pStyle w:val="TableParagraph"/>
              <w:rPr>
                <w:rFonts w:ascii="Times New Roman"/>
                <w:sz w:val="16"/>
              </w:rPr>
            </w:pPr>
          </w:p>
        </w:tc>
        <w:tc>
          <w:tcPr>
            <w:tcW w:w="1464" w:type="dxa"/>
          </w:tcPr>
          <w:p w14:paraId="5C4D4F3C" w14:textId="77777777" w:rsidR="00084F36" w:rsidRPr="00EB2BD8" w:rsidRDefault="00084F36">
            <w:pPr>
              <w:pStyle w:val="TableParagraph"/>
              <w:rPr>
                <w:rFonts w:ascii="Times New Roman"/>
                <w:sz w:val="16"/>
              </w:rPr>
            </w:pPr>
          </w:p>
        </w:tc>
        <w:tc>
          <w:tcPr>
            <w:tcW w:w="2499" w:type="dxa"/>
          </w:tcPr>
          <w:p w14:paraId="1CE5A563" w14:textId="77777777" w:rsidR="00084F36" w:rsidRPr="00EB2BD8" w:rsidRDefault="00EB2BD8">
            <w:pPr>
              <w:pStyle w:val="TableParagraph"/>
              <w:spacing w:before="20"/>
              <w:ind w:left="334"/>
              <w:rPr>
                <w:sz w:val="16"/>
              </w:rPr>
            </w:pPr>
            <w:r w:rsidRPr="00EB2BD8">
              <w:rPr>
                <w:spacing w:val="-2"/>
                <w:sz w:val="16"/>
              </w:rPr>
              <w:t>without</w:t>
            </w:r>
            <w:r w:rsidRPr="00EB2BD8">
              <w:rPr>
                <w:spacing w:val="-10"/>
                <w:sz w:val="16"/>
              </w:rPr>
              <w:t xml:space="preserve"> </w:t>
            </w:r>
            <w:r w:rsidRPr="00EB2BD8">
              <w:rPr>
                <w:spacing w:val="-2"/>
                <w:sz w:val="16"/>
              </w:rPr>
              <w:t>justification,</w:t>
            </w:r>
          </w:p>
        </w:tc>
        <w:tc>
          <w:tcPr>
            <w:tcW w:w="2279" w:type="dxa"/>
          </w:tcPr>
          <w:p w14:paraId="310692B8" w14:textId="77777777" w:rsidR="00084F36" w:rsidRPr="00EB2BD8" w:rsidRDefault="00EB2BD8">
            <w:pPr>
              <w:pStyle w:val="TableParagraph"/>
              <w:spacing w:before="19"/>
              <w:ind w:left="114"/>
              <w:rPr>
                <w:sz w:val="16"/>
              </w:rPr>
            </w:pPr>
            <w:r w:rsidRPr="00EB2BD8">
              <w:rPr>
                <w:spacing w:val="-2"/>
                <w:w w:val="90"/>
                <w:sz w:val="16"/>
              </w:rPr>
              <w:t>$27,738.</w:t>
            </w:r>
          </w:p>
        </w:tc>
        <w:tc>
          <w:tcPr>
            <w:tcW w:w="1076" w:type="dxa"/>
          </w:tcPr>
          <w:p w14:paraId="643768D2" w14:textId="77777777" w:rsidR="00084F36" w:rsidRPr="00EB2BD8" w:rsidRDefault="00084F36">
            <w:pPr>
              <w:pStyle w:val="TableParagraph"/>
              <w:rPr>
                <w:rFonts w:ascii="Times New Roman"/>
                <w:sz w:val="16"/>
              </w:rPr>
            </w:pPr>
          </w:p>
        </w:tc>
        <w:tc>
          <w:tcPr>
            <w:tcW w:w="1175" w:type="dxa"/>
          </w:tcPr>
          <w:p w14:paraId="3CBD212C" w14:textId="77777777" w:rsidR="00084F36" w:rsidRPr="00EB2BD8" w:rsidRDefault="00084F36">
            <w:pPr>
              <w:pStyle w:val="TableParagraph"/>
              <w:rPr>
                <w:rFonts w:ascii="Times New Roman"/>
                <w:sz w:val="16"/>
              </w:rPr>
            </w:pPr>
          </w:p>
        </w:tc>
      </w:tr>
      <w:tr w:rsidR="00EB2BD8" w:rsidRPr="00EB2BD8" w14:paraId="35996C2D" w14:textId="77777777">
        <w:trPr>
          <w:trHeight w:val="229"/>
        </w:trPr>
        <w:tc>
          <w:tcPr>
            <w:tcW w:w="1705" w:type="dxa"/>
          </w:tcPr>
          <w:p w14:paraId="44124F82" w14:textId="77777777" w:rsidR="00084F36" w:rsidRPr="00EB2BD8" w:rsidRDefault="00084F36">
            <w:pPr>
              <w:pStyle w:val="TableParagraph"/>
              <w:rPr>
                <w:rFonts w:ascii="Times New Roman"/>
                <w:sz w:val="16"/>
              </w:rPr>
            </w:pPr>
          </w:p>
        </w:tc>
        <w:tc>
          <w:tcPr>
            <w:tcW w:w="1464" w:type="dxa"/>
          </w:tcPr>
          <w:p w14:paraId="0D80F94F" w14:textId="77777777" w:rsidR="00084F36" w:rsidRPr="00EB2BD8" w:rsidRDefault="00084F36">
            <w:pPr>
              <w:pStyle w:val="TableParagraph"/>
              <w:rPr>
                <w:rFonts w:ascii="Times New Roman"/>
                <w:sz w:val="16"/>
              </w:rPr>
            </w:pPr>
          </w:p>
        </w:tc>
        <w:tc>
          <w:tcPr>
            <w:tcW w:w="2499" w:type="dxa"/>
          </w:tcPr>
          <w:p w14:paraId="27E8FF54" w14:textId="77777777" w:rsidR="00084F36" w:rsidRPr="00EB2BD8" w:rsidRDefault="00EB2BD8">
            <w:pPr>
              <w:pStyle w:val="TableParagraph"/>
              <w:spacing w:before="19"/>
              <w:ind w:left="334"/>
              <w:rPr>
                <w:sz w:val="16"/>
              </w:rPr>
            </w:pPr>
            <w:r w:rsidRPr="00EB2BD8">
              <w:rPr>
                <w:spacing w:val="-2"/>
                <w:sz w:val="16"/>
              </w:rPr>
              <w:t>performing</w:t>
            </w:r>
            <w:r w:rsidRPr="00EB2BD8">
              <w:rPr>
                <w:spacing w:val="-8"/>
                <w:sz w:val="16"/>
              </w:rPr>
              <w:t xml:space="preserve"> </w:t>
            </w:r>
            <w:r w:rsidRPr="00EB2BD8">
              <w:rPr>
                <w:spacing w:val="-2"/>
                <w:sz w:val="16"/>
              </w:rPr>
              <w:t>building</w:t>
            </w:r>
            <w:r w:rsidRPr="00EB2BD8">
              <w:rPr>
                <w:spacing w:val="-7"/>
                <w:sz w:val="16"/>
              </w:rPr>
              <w:t xml:space="preserve"> </w:t>
            </w:r>
            <w:r w:rsidRPr="00EB2BD8">
              <w:rPr>
                <w:spacing w:val="-4"/>
                <w:sz w:val="16"/>
              </w:rPr>
              <w:t>work</w:t>
            </w:r>
          </w:p>
        </w:tc>
        <w:tc>
          <w:tcPr>
            <w:tcW w:w="2279" w:type="dxa"/>
          </w:tcPr>
          <w:p w14:paraId="3097F2C3" w14:textId="77777777" w:rsidR="00084F36" w:rsidRPr="00EB2BD8" w:rsidRDefault="00084F36">
            <w:pPr>
              <w:pStyle w:val="TableParagraph"/>
              <w:rPr>
                <w:rFonts w:ascii="Times New Roman"/>
                <w:sz w:val="16"/>
              </w:rPr>
            </w:pPr>
          </w:p>
        </w:tc>
        <w:tc>
          <w:tcPr>
            <w:tcW w:w="1076" w:type="dxa"/>
          </w:tcPr>
          <w:p w14:paraId="5048F3FD" w14:textId="77777777" w:rsidR="00084F36" w:rsidRPr="00EB2BD8" w:rsidRDefault="00084F36">
            <w:pPr>
              <w:pStyle w:val="TableParagraph"/>
              <w:rPr>
                <w:rFonts w:ascii="Times New Roman"/>
                <w:sz w:val="16"/>
              </w:rPr>
            </w:pPr>
          </w:p>
        </w:tc>
        <w:tc>
          <w:tcPr>
            <w:tcW w:w="1175" w:type="dxa"/>
          </w:tcPr>
          <w:p w14:paraId="19C4FFE3" w14:textId="77777777" w:rsidR="00084F36" w:rsidRPr="00EB2BD8" w:rsidRDefault="00084F36">
            <w:pPr>
              <w:pStyle w:val="TableParagraph"/>
              <w:rPr>
                <w:rFonts w:ascii="Times New Roman"/>
                <w:sz w:val="16"/>
              </w:rPr>
            </w:pPr>
          </w:p>
        </w:tc>
      </w:tr>
      <w:tr w:rsidR="00EB2BD8" w:rsidRPr="00EB2BD8" w14:paraId="142A5E7E" w14:textId="77777777">
        <w:trPr>
          <w:trHeight w:val="229"/>
        </w:trPr>
        <w:tc>
          <w:tcPr>
            <w:tcW w:w="1705" w:type="dxa"/>
          </w:tcPr>
          <w:p w14:paraId="59D7C37A" w14:textId="77777777" w:rsidR="00084F36" w:rsidRPr="00EB2BD8" w:rsidRDefault="00084F36">
            <w:pPr>
              <w:pStyle w:val="TableParagraph"/>
              <w:rPr>
                <w:rFonts w:ascii="Times New Roman"/>
                <w:sz w:val="16"/>
              </w:rPr>
            </w:pPr>
          </w:p>
        </w:tc>
        <w:tc>
          <w:tcPr>
            <w:tcW w:w="1464" w:type="dxa"/>
          </w:tcPr>
          <w:p w14:paraId="457303F3" w14:textId="77777777" w:rsidR="00084F36" w:rsidRPr="00EB2BD8" w:rsidRDefault="00084F36">
            <w:pPr>
              <w:pStyle w:val="TableParagraph"/>
              <w:rPr>
                <w:rFonts w:ascii="Times New Roman"/>
                <w:sz w:val="16"/>
              </w:rPr>
            </w:pPr>
          </w:p>
        </w:tc>
        <w:tc>
          <w:tcPr>
            <w:tcW w:w="2499" w:type="dxa"/>
          </w:tcPr>
          <w:p w14:paraId="686B58F1" w14:textId="77777777" w:rsidR="00084F36" w:rsidRPr="00EB2BD8" w:rsidRDefault="00EB2BD8">
            <w:pPr>
              <w:pStyle w:val="TableParagraph"/>
              <w:spacing w:before="19"/>
              <w:ind w:left="334"/>
              <w:rPr>
                <w:sz w:val="16"/>
              </w:rPr>
            </w:pPr>
            <w:r w:rsidRPr="00EB2BD8">
              <w:rPr>
                <w:sz w:val="16"/>
              </w:rPr>
              <w:t>other</w:t>
            </w:r>
            <w:r w:rsidRPr="00EB2BD8">
              <w:rPr>
                <w:spacing w:val="-8"/>
                <w:sz w:val="16"/>
              </w:rPr>
              <w:t xml:space="preserve"> </w:t>
            </w:r>
            <w:r w:rsidRPr="00EB2BD8">
              <w:rPr>
                <w:sz w:val="16"/>
              </w:rPr>
              <w:t>than</w:t>
            </w:r>
            <w:r w:rsidRPr="00EB2BD8">
              <w:rPr>
                <w:spacing w:val="-7"/>
                <w:sz w:val="16"/>
              </w:rPr>
              <w:t xml:space="preserve"> </w:t>
            </w:r>
            <w:r w:rsidRPr="00EB2BD8">
              <w:rPr>
                <w:sz w:val="16"/>
              </w:rPr>
              <w:t>in</w:t>
            </w:r>
            <w:r w:rsidRPr="00EB2BD8">
              <w:rPr>
                <w:spacing w:val="-7"/>
                <w:sz w:val="16"/>
              </w:rPr>
              <w:t xml:space="preserve"> </w:t>
            </w:r>
            <w:r w:rsidRPr="00EB2BD8">
              <w:rPr>
                <w:sz w:val="16"/>
              </w:rPr>
              <w:t>a</w:t>
            </w:r>
            <w:r w:rsidRPr="00EB2BD8">
              <w:rPr>
                <w:spacing w:val="-7"/>
                <w:sz w:val="16"/>
              </w:rPr>
              <w:t xml:space="preserve"> </w:t>
            </w:r>
            <w:r w:rsidRPr="00EB2BD8">
              <w:rPr>
                <w:spacing w:val="-2"/>
                <w:sz w:val="16"/>
              </w:rPr>
              <w:t>competent</w:t>
            </w:r>
          </w:p>
        </w:tc>
        <w:tc>
          <w:tcPr>
            <w:tcW w:w="2279" w:type="dxa"/>
          </w:tcPr>
          <w:p w14:paraId="79400351" w14:textId="77777777" w:rsidR="00084F36" w:rsidRPr="00EB2BD8" w:rsidRDefault="00084F36">
            <w:pPr>
              <w:pStyle w:val="TableParagraph"/>
              <w:rPr>
                <w:rFonts w:ascii="Times New Roman"/>
                <w:sz w:val="16"/>
              </w:rPr>
            </w:pPr>
          </w:p>
        </w:tc>
        <w:tc>
          <w:tcPr>
            <w:tcW w:w="1076" w:type="dxa"/>
          </w:tcPr>
          <w:p w14:paraId="27CC3E9A" w14:textId="77777777" w:rsidR="00084F36" w:rsidRPr="00EB2BD8" w:rsidRDefault="00084F36">
            <w:pPr>
              <w:pStyle w:val="TableParagraph"/>
              <w:rPr>
                <w:rFonts w:ascii="Times New Roman"/>
                <w:sz w:val="16"/>
              </w:rPr>
            </w:pPr>
          </w:p>
        </w:tc>
        <w:tc>
          <w:tcPr>
            <w:tcW w:w="1175" w:type="dxa"/>
          </w:tcPr>
          <w:p w14:paraId="618A5D4E" w14:textId="77777777" w:rsidR="00084F36" w:rsidRPr="00EB2BD8" w:rsidRDefault="00084F36">
            <w:pPr>
              <w:pStyle w:val="TableParagraph"/>
              <w:rPr>
                <w:rFonts w:ascii="Times New Roman"/>
                <w:sz w:val="16"/>
              </w:rPr>
            </w:pPr>
          </w:p>
        </w:tc>
      </w:tr>
      <w:tr w:rsidR="00EB2BD8" w:rsidRPr="00EB2BD8" w14:paraId="22D2E27D" w14:textId="77777777">
        <w:trPr>
          <w:trHeight w:val="229"/>
        </w:trPr>
        <w:tc>
          <w:tcPr>
            <w:tcW w:w="1705" w:type="dxa"/>
          </w:tcPr>
          <w:p w14:paraId="3877C37E" w14:textId="77777777" w:rsidR="00084F36" w:rsidRPr="00EB2BD8" w:rsidRDefault="00084F36">
            <w:pPr>
              <w:pStyle w:val="TableParagraph"/>
              <w:rPr>
                <w:rFonts w:ascii="Times New Roman"/>
                <w:sz w:val="16"/>
              </w:rPr>
            </w:pPr>
          </w:p>
        </w:tc>
        <w:tc>
          <w:tcPr>
            <w:tcW w:w="1464" w:type="dxa"/>
          </w:tcPr>
          <w:p w14:paraId="659389B2" w14:textId="77777777" w:rsidR="00084F36" w:rsidRPr="00EB2BD8" w:rsidRDefault="00084F36">
            <w:pPr>
              <w:pStyle w:val="TableParagraph"/>
              <w:rPr>
                <w:rFonts w:ascii="Times New Roman"/>
                <w:sz w:val="16"/>
              </w:rPr>
            </w:pPr>
          </w:p>
        </w:tc>
        <w:tc>
          <w:tcPr>
            <w:tcW w:w="2499" w:type="dxa"/>
          </w:tcPr>
          <w:p w14:paraId="68165218" w14:textId="77777777" w:rsidR="00084F36" w:rsidRPr="00EB2BD8" w:rsidRDefault="00EB2BD8">
            <w:pPr>
              <w:pStyle w:val="TableParagraph"/>
              <w:spacing w:before="19"/>
              <w:ind w:left="334"/>
              <w:rPr>
                <w:sz w:val="16"/>
              </w:rPr>
            </w:pPr>
            <w:r w:rsidRPr="00EB2BD8">
              <w:rPr>
                <w:sz w:val="16"/>
              </w:rPr>
              <w:t>manner</w:t>
            </w:r>
            <w:r w:rsidRPr="00EB2BD8">
              <w:rPr>
                <w:spacing w:val="-5"/>
                <w:sz w:val="16"/>
              </w:rPr>
              <w:t xml:space="preserve"> </w:t>
            </w:r>
            <w:r w:rsidRPr="00EB2BD8">
              <w:rPr>
                <w:sz w:val="16"/>
              </w:rPr>
              <w:t>and</w:t>
            </w:r>
            <w:r w:rsidRPr="00EB2BD8">
              <w:rPr>
                <w:spacing w:val="-5"/>
                <w:sz w:val="16"/>
              </w:rPr>
              <w:t xml:space="preserve"> </w:t>
            </w:r>
            <w:r w:rsidRPr="00EB2BD8">
              <w:rPr>
                <w:sz w:val="16"/>
              </w:rPr>
              <w:t>to</w:t>
            </w:r>
            <w:r w:rsidRPr="00EB2BD8">
              <w:rPr>
                <w:spacing w:val="-4"/>
                <w:sz w:val="16"/>
              </w:rPr>
              <w:t xml:space="preserve"> </w:t>
            </w:r>
            <w:r w:rsidRPr="00EB2BD8">
              <w:rPr>
                <w:spacing w:val="-10"/>
                <w:sz w:val="16"/>
              </w:rPr>
              <w:t>a</w:t>
            </w:r>
          </w:p>
        </w:tc>
        <w:tc>
          <w:tcPr>
            <w:tcW w:w="2279" w:type="dxa"/>
          </w:tcPr>
          <w:p w14:paraId="3B585A28" w14:textId="77777777" w:rsidR="00084F36" w:rsidRPr="00EB2BD8" w:rsidRDefault="00084F36">
            <w:pPr>
              <w:pStyle w:val="TableParagraph"/>
              <w:rPr>
                <w:rFonts w:ascii="Times New Roman"/>
                <w:sz w:val="16"/>
              </w:rPr>
            </w:pPr>
          </w:p>
        </w:tc>
        <w:tc>
          <w:tcPr>
            <w:tcW w:w="1076" w:type="dxa"/>
          </w:tcPr>
          <w:p w14:paraId="4787788A" w14:textId="77777777" w:rsidR="00084F36" w:rsidRPr="00EB2BD8" w:rsidRDefault="00084F36">
            <w:pPr>
              <w:pStyle w:val="TableParagraph"/>
              <w:rPr>
                <w:rFonts w:ascii="Times New Roman"/>
                <w:sz w:val="16"/>
              </w:rPr>
            </w:pPr>
          </w:p>
        </w:tc>
        <w:tc>
          <w:tcPr>
            <w:tcW w:w="1175" w:type="dxa"/>
          </w:tcPr>
          <w:p w14:paraId="33280EF7" w14:textId="77777777" w:rsidR="00084F36" w:rsidRPr="00EB2BD8" w:rsidRDefault="00084F36">
            <w:pPr>
              <w:pStyle w:val="TableParagraph"/>
              <w:rPr>
                <w:rFonts w:ascii="Times New Roman"/>
                <w:sz w:val="16"/>
              </w:rPr>
            </w:pPr>
          </w:p>
        </w:tc>
      </w:tr>
      <w:tr w:rsidR="00EB2BD8" w:rsidRPr="00EB2BD8" w14:paraId="0DBB7DAE" w14:textId="77777777">
        <w:trPr>
          <w:trHeight w:val="229"/>
        </w:trPr>
        <w:tc>
          <w:tcPr>
            <w:tcW w:w="1705" w:type="dxa"/>
          </w:tcPr>
          <w:p w14:paraId="0F479733" w14:textId="77777777" w:rsidR="00084F36" w:rsidRPr="00EB2BD8" w:rsidRDefault="00084F36">
            <w:pPr>
              <w:pStyle w:val="TableParagraph"/>
              <w:rPr>
                <w:rFonts w:ascii="Times New Roman"/>
                <w:sz w:val="16"/>
              </w:rPr>
            </w:pPr>
          </w:p>
        </w:tc>
        <w:tc>
          <w:tcPr>
            <w:tcW w:w="1464" w:type="dxa"/>
          </w:tcPr>
          <w:p w14:paraId="4880456F" w14:textId="77777777" w:rsidR="00084F36" w:rsidRPr="00EB2BD8" w:rsidRDefault="00084F36">
            <w:pPr>
              <w:pStyle w:val="TableParagraph"/>
              <w:rPr>
                <w:rFonts w:ascii="Times New Roman"/>
                <w:sz w:val="16"/>
              </w:rPr>
            </w:pPr>
          </w:p>
        </w:tc>
        <w:tc>
          <w:tcPr>
            <w:tcW w:w="2499" w:type="dxa"/>
          </w:tcPr>
          <w:p w14:paraId="7BF49F38" w14:textId="77777777" w:rsidR="00084F36" w:rsidRPr="00EB2BD8" w:rsidRDefault="00EB2BD8">
            <w:pPr>
              <w:pStyle w:val="TableParagraph"/>
              <w:spacing w:before="19"/>
              <w:ind w:left="334"/>
              <w:rPr>
                <w:sz w:val="16"/>
              </w:rPr>
            </w:pPr>
            <w:r w:rsidRPr="00EB2BD8">
              <w:rPr>
                <w:sz w:val="16"/>
              </w:rPr>
              <w:t>professional</w:t>
            </w:r>
            <w:r w:rsidRPr="00EB2BD8">
              <w:rPr>
                <w:spacing w:val="-12"/>
                <w:sz w:val="16"/>
              </w:rPr>
              <w:t xml:space="preserve"> </w:t>
            </w:r>
            <w:r w:rsidRPr="00EB2BD8">
              <w:rPr>
                <w:sz w:val="16"/>
              </w:rPr>
              <w:t>standard</w:t>
            </w:r>
            <w:r w:rsidRPr="00EB2BD8">
              <w:rPr>
                <w:spacing w:val="-12"/>
                <w:sz w:val="16"/>
              </w:rPr>
              <w:t xml:space="preserve"> </w:t>
            </w:r>
            <w:r w:rsidRPr="00EB2BD8">
              <w:rPr>
                <w:spacing w:val="-5"/>
                <w:sz w:val="16"/>
              </w:rPr>
              <w:t>and</w:t>
            </w:r>
          </w:p>
        </w:tc>
        <w:tc>
          <w:tcPr>
            <w:tcW w:w="2279" w:type="dxa"/>
          </w:tcPr>
          <w:p w14:paraId="728D16C2" w14:textId="77777777" w:rsidR="00084F36" w:rsidRPr="00EB2BD8" w:rsidRDefault="00084F36">
            <w:pPr>
              <w:pStyle w:val="TableParagraph"/>
              <w:rPr>
                <w:rFonts w:ascii="Times New Roman"/>
                <w:sz w:val="16"/>
              </w:rPr>
            </w:pPr>
          </w:p>
        </w:tc>
        <w:tc>
          <w:tcPr>
            <w:tcW w:w="1076" w:type="dxa"/>
          </w:tcPr>
          <w:p w14:paraId="29AF1494" w14:textId="77777777" w:rsidR="00084F36" w:rsidRPr="00EB2BD8" w:rsidRDefault="00084F36">
            <w:pPr>
              <w:pStyle w:val="TableParagraph"/>
              <w:rPr>
                <w:rFonts w:ascii="Times New Roman"/>
                <w:sz w:val="16"/>
              </w:rPr>
            </w:pPr>
          </w:p>
        </w:tc>
        <w:tc>
          <w:tcPr>
            <w:tcW w:w="1175" w:type="dxa"/>
          </w:tcPr>
          <w:p w14:paraId="3CB52E3C" w14:textId="77777777" w:rsidR="00084F36" w:rsidRPr="00EB2BD8" w:rsidRDefault="00084F36">
            <w:pPr>
              <w:pStyle w:val="TableParagraph"/>
              <w:rPr>
                <w:rFonts w:ascii="Times New Roman"/>
                <w:sz w:val="16"/>
              </w:rPr>
            </w:pPr>
          </w:p>
        </w:tc>
      </w:tr>
      <w:tr w:rsidR="00EB2BD8" w:rsidRPr="00EB2BD8" w14:paraId="537D3828" w14:textId="77777777">
        <w:trPr>
          <w:trHeight w:val="229"/>
        </w:trPr>
        <w:tc>
          <w:tcPr>
            <w:tcW w:w="1705" w:type="dxa"/>
          </w:tcPr>
          <w:p w14:paraId="6CD1336E" w14:textId="77777777" w:rsidR="00084F36" w:rsidRPr="00EB2BD8" w:rsidRDefault="00084F36">
            <w:pPr>
              <w:pStyle w:val="TableParagraph"/>
              <w:rPr>
                <w:rFonts w:ascii="Times New Roman"/>
                <w:sz w:val="16"/>
              </w:rPr>
            </w:pPr>
          </w:p>
        </w:tc>
        <w:tc>
          <w:tcPr>
            <w:tcW w:w="1464" w:type="dxa"/>
          </w:tcPr>
          <w:p w14:paraId="30AEFE25" w14:textId="77777777" w:rsidR="00084F36" w:rsidRPr="00EB2BD8" w:rsidRDefault="00084F36">
            <w:pPr>
              <w:pStyle w:val="TableParagraph"/>
              <w:rPr>
                <w:rFonts w:ascii="Times New Roman"/>
                <w:sz w:val="16"/>
              </w:rPr>
            </w:pPr>
          </w:p>
        </w:tc>
        <w:tc>
          <w:tcPr>
            <w:tcW w:w="2499" w:type="dxa"/>
          </w:tcPr>
          <w:p w14:paraId="44589C98" w14:textId="77777777" w:rsidR="00084F36" w:rsidRPr="00EB2BD8" w:rsidRDefault="00EB2BD8">
            <w:pPr>
              <w:pStyle w:val="TableParagraph"/>
              <w:spacing w:before="19"/>
              <w:ind w:left="334"/>
              <w:rPr>
                <w:sz w:val="16"/>
              </w:rPr>
            </w:pPr>
            <w:r w:rsidRPr="00EB2BD8">
              <w:rPr>
                <w:sz w:val="16"/>
              </w:rPr>
              <w:t>engaged</w:t>
            </w:r>
            <w:r w:rsidRPr="00EB2BD8">
              <w:rPr>
                <w:spacing w:val="-4"/>
                <w:sz w:val="16"/>
              </w:rPr>
              <w:t xml:space="preserve"> </w:t>
            </w:r>
            <w:r w:rsidRPr="00EB2BD8">
              <w:rPr>
                <w:sz w:val="16"/>
              </w:rPr>
              <w:t>in</w:t>
            </w:r>
            <w:r w:rsidRPr="00EB2BD8">
              <w:rPr>
                <w:spacing w:val="-3"/>
                <w:sz w:val="16"/>
              </w:rPr>
              <w:t xml:space="preserve"> </w:t>
            </w:r>
            <w:r w:rsidRPr="00EB2BD8">
              <w:rPr>
                <w:spacing w:val="-2"/>
                <w:sz w:val="16"/>
              </w:rPr>
              <w:t>unprofessional</w:t>
            </w:r>
          </w:p>
        </w:tc>
        <w:tc>
          <w:tcPr>
            <w:tcW w:w="2279" w:type="dxa"/>
          </w:tcPr>
          <w:p w14:paraId="167C542E" w14:textId="77777777" w:rsidR="00084F36" w:rsidRPr="00EB2BD8" w:rsidRDefault="00084F36">
            <w:pPr>
              <w:pStyle w:val="TableParagraph"/>
              <w:rPr>
                <w:rFonts w:ascii="Times New Roman"/>
                <w:sz w:val="16"/>
              </w:rPr>
            </w:pPr>
          </w:p>
        </w:tc>
        <w:tc>
          <w:tcPr>
            <w:tcW w:w="1076" w:type="dxa"/>
          </w:tcPr>
          <w:p w14:paraId="3AB61DD6" w14:textId="77777777" w:rsidR="00084F36" w:rsidRPr="00EB2BD8" w:rsidRDefault="00084F36">
            <w:pPr>
              <w:pStyle w:val="TableParagraph"/>
              <w:rPr>
                <w:rFonts w:ascii="Times New Roman"/>
                <w:sz w:val="16"/>
              </w:rPr>
            </w:pPr>
          </w:p>
        </w:tc>
        <w:tc>
          <w:tcPr>
            <w:tcW w:w="1175" w:type="dxa"/>
          </w:tcPr>
          <w:p w14:paraId="77A36C43" w14:textId="77777777" w:rsidR="00084F36" w:rsidRPr="00EB2BD8" w:rsidRDefault="00084F36">
            <w:pPr>
              <w:pStyle w:val="TableParagraph"/>
              <w:rPr>
                <w:rFonts w:ascii="Times New Roman"/>
                <w:sz w:val="16"/>
              </w:rPr>
            </w:pPr>
          </w:p>
        </w:tc>
      </w:tr>
      <w:tr w:rsidR="00EB2BD8" w:rsidRPr="00EB2BD8" w14:paraId="13CEEABB" w14:textId="77777777">
        <w:trPr>
          <w:trHeight w:val="229"/>
        </w:trPr>
        <w:tc>
          <w:tcPr>
            <w:tcW w:w="1705" w:type="dxa"/>
          </w:tcPr>
          <w:p w14:paraId="05E02D14" w14:textId="77777777" w:rsidR="00084F36" w:rsidRPr="00EB2BD8" w:rsidRDefault="00084F36">
            <w:pPr>
              <w:pStyle w:val="TableParagraph"/>
              <w:rPr>
                <w:rFonts w:ascii="Times New Roman"/>
                <w:sz w:val="16"/>
              </w:rPr>
            </w:pPr>
          </w:p>
        </w:tc>
        <w:tc>
          <w:tcPr>
            <w:tcW w:w="1464" w:type="dxa"/>
          </w:tcPr>
          <w:p w14:paraId="042E03E1" w14:textId="77777777" w:rsidR="00084F36" w:rsidRPr="00EB2BD8" w:rsidRDefault="00084F36">
            <w:pPr>
              <w:pStyle w:val="TableParagraph"/>
              <w:rPr>
                <w:rFonts w:ascii="Times New Roman"/>
                <w:sz w:val="16"/>
              </w:rPr>
            </w:pPr>
          </w:p>
        </w:tc>
        <w:tc>
          <w:tcPr>
            <w:tcW w:w="2499" w:type="dxa"/>
          </w:tcPr>
          <w:p w14:paraId="74577746" w14:textId="77777777" w:rsidR="00084F36" w:rsidRPr="00EB2BD8" w:rsidRDefault="00EB2BD8">
            <w:pPr>
              <w:pStyle w:val="TableParagraph"/>
              <w:spacing w:before="19"/>
              <w:ind w:left="334"/>
              <w:rPr>
                <w:sz w:val="16"/>
              </w:rPr>
            </w:pPr>
            <w:r w:rsidRPr="00EB2BD8">
              <w:rPr>
                <w:sz w:val="16"/>
              </w:rPr>
              <w:t>conduct</w:t>
            </w:r>
            <w:r w:rsidRPr="00EB2BD8">
              <w:rPr>
                <w:spacing w:val="-12"/>
                <w:sz w:val="16"/>
              </w:rPr>
              <w:t xml:space="preserve"> </w:t>
            </w:r>
            <w:r w:rsidRPr="00EB2BD8">
              <w:rPr>
                <w:sz w:val="16"/>
              </w:rPr>
              <w:t>in</w:t>
            </w:r>
            <w:r w:rsidRPr="00EB2BD8">
              <w:rPr>
                <w:spacing w:val="-12"/>
                <w:sz w:val="16"/>
              </w:rPr>
              <w:t xml:space="preserve"> </w:t>
            </w:r>
            <w:r w:rsidRPr="00EB2BD8">
              <w:rPr>
                <w:sz w:val="16"/>
              </w:rPr>
              <w:t>relation</w:t>
            </w:r>
            <w:r w:rsidRPr="00EB2BD8">
              <w:rPr>
                <w:spacing w:val="-11"/>
                <w:sz w:val="16"/>
              </w:rPr>
              <w:t xml:space="preserve"> </w:t>
            </w:r>
            <w:r w:rsidRPr="00EB2BD8">
              <w:rPr>
                <w:spacing w:val="-5"/>
                <w:sz w:val="16"/>
              </w:rPr>
              <w:t>to</w:t>
            </w:r>
          </w:p>
        </w:tc>
        <w:tc>
          <w:tcPr>
            <w:tcW w:w="2279" w:type="dxa"/>
          </w:tcPr>
          <w:p w14:paraId="5A879C88" w14:textId="77777777" w:rsidR="00084F36" w:rsidRPr="00EB2BD8" w:rsidRDefault="00084F36">
            <w:pPr>
              <w:pStyle w:val="TableParagraph"/>
              <w:rPr>
                <w:rFonts w:ascii="Times New Roman"/>
                <w:sz w:val="16"/>
              </w:rPr>
            </w:pPr>
          </w:p>
        </w:tc>
        <w:tc>
          <w:tcPr>
            <w:tcW w:w="1076" w:type="dxa"/>
          </w:tcPr>
          <w:p w14:paraId="1F8D0106" w14:textId="77777777" w:rsidR="00084F36" w:rsidRPr="00EB2BD8" w:rsidRDefault="00084F36">
            <w:pPr>
              <w:pStyle w:val="TableParagraph"/>
              <w:rPr>
                <w:rFonts w:ascii="Times New Roman"/>
                <w:sz w:val="16"/>
              </w:rPr>
            </w:pPr>
          </w:p>
        </w:tc>
        <w:tc>
          <w:tcPr>
            <w:tcW w:w="1175" w:type="dxa"/>
          </w:tcPr>
          <w:p w14:paraId="7F6D0111" w14:textId="77777777" w:rsidR="00084F36" w:rsidRPr="00EB2BD8" w:rsidRDefault="00084F36">
            <w:pPr>
              <w:pStyle w:val="TableParagraph"/>
              <w:rPr>
                <w:rFonts w:ascii="Times New Roman"/>
                <w:sz w:val="16"/>
              </w:rPr>
            </w:pPr>
          </w:p>
        </w:tc>
      </w:tr>
      <w:tr w:rsidR="00EB2BD8" w:rsidRPr="00EB2BD8" w14:paraId="4132C419" w14:textId="77777777">
        <w:trPr>
          <w:trHeight w:val="229"/>
        </w:trPr>
        <w:tc>
          <w:tcPr>
            <w:tcW w:w="1705" w:type="dxa"/>
          </w:tcPr>
          <w:p w14:paraId="040FBDA9" w14:textId="77777777" w:rsidR="00084F36" w:rsidRPr="00EB2BD8" w:rsidRDefault="00084F36">
            <w:pPr>
              <w:pStyle w:val="TableParagraph"/>
              <w:rPr>
                <w:rFonts w:ascii="Times New Roman"/>
                <w:sz w:val="16"/>
              </w:rPr>
            </w:pPr>
          </w:p>
        </w:tc>
        <w:tc>
          <w:tcPr>
            <w:tcW w:w="1464" w:type="dxa"/>
          </w:tcPr>
          <w:p w14:paraId="6AEBB8EF" w14:textId="77777777" w:rsidR="00084F36" w:rsidRPr="00EB2BD8" w:rsidRDefault="00084F36">
            <w:pPr>
              <w:pStyle w:val="TableParagraph"/>
              <w:rPr>
                <w:rFonts w:ascii="Times New Roman"/>
                <w:sz w:val="16"/>
              </w:rPr>
            </w:pPr>
          </w:p>
        </w:tc>
        <w:tc>
          <w:tcPr>
            <w:tcW w:w="2499" w:type="dxa"/>
          </w:tcPr>
          <w:p w14:paraId="7022A008" w14:textId="77777777" w:rsidR="00084F36" w:rsidRPr="00EB2BD8" w:rsidRDefault="00EB2BD8">
            <w:pPr>
              <w:pStyle w:val="TableParagraph"/>
              <w:spacing w:before="19"/>
              <w:ind w:left="334"/>
              <w:rPr>
                <w:sz w:val="16"/>
              </w:rPr>
            </w:pPr>
            <w:r w:rsidRPr="00EB2BD8">
              <w:rPr>
                <w:spacing w:val="-2"/>
                <w:sz w:val="16"/>
              </w:rPr>
              <w:t>the</w:t>
            </w:r>
            <w:r w:rsidRPr="00EB2BD8">
              <w:rPr>
                <w:spacing w:val="-8"/>
                <w:sz w:val="16"/>
              </w:rPr>
              <w:t xml:space="preserve"> </w:t>
            </w:r>
            <w:r w:rsidRPr="00EB2BD8">
              <w:rPr>
                <w:spacing w:val="-2"/>
                <w:sz w:val="16"/>
              </w:rPr>
              <w:t>use</w:t>
            </w:r>
            <w:r w:rsidRPr="00EB2BD8">
              <w:rPr>
                <w:spacing w:val="-8"/>
                <w:sz w:val="16"/>
              </w:rPr>
              <w:t xml:space="preserve"> </w:t>
            </w:r>
            <w:r w:rsidRPr="00EB2BD8">
              <w:rPr>
                <w:spacing w:val="-2"/>
                <w:sz w:val="16"/>
              </w:rPr>
              <w:t>of</w:t>
            </w:r>
            <w:r w:rsidRPr="00EB2BD8">
              <w:rPr>
                <w:spacing w:val="-7"/>
                <w:sz w:val="16"/>
              </w:rPr>
              <w:t xml:space="preserve"> </w:t>
            </w:r>
            <w:r w:rsidRPr="00EB2BD8">
              <w:rPr>
                <w:spacing w:val="-2"/>
                <w:sz w:val="16"/>
              </w:rPr>
              <w:t>combustible</w:t>
            </w:r>
          </w:p>
        </w:tc>
        <w:tc>
          <w:tcPr>
            <w:tcW w:w="2279" w:type="dxa"/>
          </w:tcPr>
          <w:p w14:paraId="7B6252CE" w14:textId="77777777" w:rsidR="00084F36" w:rsidRPr="00EB2BD8" w:rsidRDefault="00084F36">
            <w:pPr>
              <w:pStyle w:val="TableParagraph"/>
              <w:rPr>
                <w:rFonts w:ascii="Times New Roman"/>
                <w:sz w:val="16"/>
              </w:rPr>
            </w:pPr>
          </w:p>
        </w:tc>
        <w:tc>
          <w:tcPr>
            <w:tcW w:w="1076" w:type="dxa"/>
          </w:tcPr>
          <w:p w14:paraId="060FAB71" w14:textId="77777777" w:rsidR="00084F36" w:rsidRPr="00EB2BD8" w:rsidRDefault="00084F36">
            <w:pPr>
              <w:pStyle w:val="TableParagraph"/>
              <w:rPr>
                <w:rFonts w:ascii="Times New Roman"/>
                <w:sz w:val="16"/>
              </w:rPr>
            </w:pPr>
          </w:p>
        </w:tc>
        <w:tc>
          <w:tcPr>
            <w:tcW w:w="1175" w:type="dxa"/>
          </w:tcPr>
          <w:p w14:paraId="2230B23E" w14:textId="77777777" w:rsidR="00084F36" w:rsidRPr="00EB2BD8" w:rsidRDefault="00084F36">
            <w:pPr>
              <w:pStyle w:val="TableParagraph"/>
              <w:rPr>
                <w:rFonts w:ascii="Times New Roman"/>
                <w:sz w:val="16"/>
              </w:rPr>
            </w:pPr>
          </w:p>
        </w:tc>
      </w:tr>
      <w:tr w:rsidR="00EB2BD8" w:rsidRPr="00EB2BD8" w14:paraId="2575F739" w14:textId="77777777">
        <w:trPr>
          <w:trHeight w:val="229"/>
        </w:trPr>
        <w:tc>
          <w:tcPr>
            <w:tcW w:w="1705" w:type="dxa"/>
          </w:tcPr>
          <w:p w14:paraId="5399C92C" w14:textId="77777777" w:rsidR="00084F36" w:rsidRPr="00EB2BD8" w:rsidRDefault="00084F36">
            <w:pPr>
              <w:pStyle w:val="TableParagraph"/>
              <w:rPr>
                <w:rFonts w:ascii="Times New Roman"/>
                <w:sz w:val="16"/>
              </w:rPr>
            </w:pPr>
          </w:p>
        </w:tc>
        <w:tc>
          <w:tcPr>
            <w:tcW w:w="1464" w:type="dxa"/>
          </w:tcPr>
          <w:p w14:paraId="4DC791DF" w14:textId="77777777" w:rsidR="00084F36" w:rsidRPr="00EB2BD8" w:rsidRDefault="00084F36">
            <w:pPr>
              <w:pStyle w:val="TableParagraph"/>
              <w:rPr>
                <w:rFonts w:ascii="Times New Roman"/>
                <w:sz w:val="16"/>
              </w:rPr>
            </w:pPr>
          </w:p>
        </w:tc>
        <w:tc>
          <w:tcPr>
            <w:tcW w:w="2499" w:type="dxa"/>
          </w:tcPr>
          <w:p w14:paraId="7C33FFA2" w14:textId="77777777" w:rsidR="00084F36" w:rsidRPr="00EB2BD8" w:rsidRDefault="00EB2BD8">
            <w:pPr>
              <w:pStyle w:val="TableParagraph"/>
              <w:spacing w:before="19"/>
              <w:ind w:left="334"/>
              <w:rPr>
                <w:sz w:val="16"/>
              </w:rPr>
            </w:pPr>
            <w:r w:rsidRPr="00EB2BD8">
              <w:rPr>
                <w:sz w:val="16"/>
              </w:rPr>
              <w:t>cladding</w:t>
            </w:r>
            <w:r w:rsidRPr="00EB2BD8">
              <w:rPr>
                <w:spacing w:val="-7"/>
                <w:sz w:val="16"/>
              </w:rPr>
              <w:t xml:space="preserve"> </w:t>
            </w:r>
            <w:r w:rsidRPr="00EB2BD8">
              <w:rPr>
                <w:sz w:val="16"/>
              </w:rPr>
              <w:t>at</w:t>
            </w:r>
            <w:r w:rsidRPr="00EB2BD8">
              <w:rPr>
                <w:spacing w:val="-6"/>
                <w:sz w:val="16"/>
              </w:rPr>
              <w:t xml:space="preserve"> </w:t>
            </w:r>
            <w:r w:rsidRPr="00EB2BD8">
              <w:rPr>
                <w:sz w:val="16"/>
              </w:rPr>
              <w:t>two</w:t>
            </w:r>
            <w:r w:rsidRPr="00EB2BD8">
              <w:rPr>
                <w:spacing w:val="-6"/>
                <w:sz w:val="16"/>
              </w:rPr>
              <w:t xml:space="preserve"> </w:t>
            </w:r>
            <w:r w:rsidRPr="00EB2BD8">
              <w:rPr>
                <w:spacing w:val="-2"/>
                <w:sz w:val="16"/>
              </w:rPr>
              <w:t>sites</w:t>
            </w:r>
          </w:p>
        </w:tc>
        <w:tc>
          <w:tcPr>
            <w:tcW w:w="2279" w:type="dxa"/>
          </w:tcPr>
          <w:p w14:paraId="71E2F212" w14:textId="77777777" w:rsidR="00084F36" w:rsidRPr="00EB2BD8" w:rsidRDefault="00084F36">
            <w:pPr>
              <w:pStyle w:val="TableParagraph"/>
              <w:rPr>
                <w:rFonts w:ascii="Times New Roman"/>
                <w:sz w:val="16"/>
              </w:rPr>
            </w:pPr>
          </w:p>
        </w:tc>
        <w:tc>
          <w:tcPr>
            <w:tcW w:w="1076" w:type="dxa"/>
          </w:tcPr>
          <w:p w14:paraId="2A6D7F12" w14:textId="77777777" w:rsidR="00084F36" w:rsidRPr="00EB2BD8" w:rsidRDefault="00084F36">
            <w:pPr>
              <w:pStyle w:val="TableParagraph"/>
              <w:rPr>
                <w:rFonts w:ascii="Times New Roman"/>
                <w:sz w:val="16"/>
              </w:rPr>
            </w:pPr>
          </w:p>
        </w:tc>
        <w:tc>
          <w:tcPr>
            <w:tcW w:w="1175" w:type="dxa"/>
          </w:tcPr>
          <w:p w14:paraId="45B0A9FC" w14:textId="77777777" w:rsidR="00084F36" w:rsidRPr="00EB2BD8" w:rsidRDefault="00084F36">
            <w:pPr>
              <w:pStyle w:val="TableParagraph"/>
              <w:rPr>
                <w:rFonts w:ascii="Times New Roman"/>
                <w:sz w:val="16"/>
              </w:rPr>
            </w:pPr>
          </w:p>
        </w:tc>
      </w:tr>
      <w:tr w:rsidR="00EB2BD8" w:rsidRPr="00EB2BD8" w14:paraId="10481AC5" w14:textId="77777777">
        <w:trPr>
          <w:trHeight w:val="425"/>
        </w:trPr>
        <w:tc>
          <w:tcPr>
            <w:tcW w:w="1705" w:type="dxa"/>
            <w:tcBorders>
              <w:bottom w:val="single" w:sz="2" w:space="0" w:color="000000"/>
            </w:tcBorders>
          </w:tcPr>
          <w:p w14:paraId="399A14E8"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6720E1E5" w14:textId="77777777" w:rsidR="00084F36" w:rsidRPr="00EB2BD8" w:rsidRDefault="00084F36">
            <w:pPr>
              <w:pStyle w:val="TableParagraph"/>
              <w:rPr>
                <w:rFonts w:ascii="Times New Roman"/>
                <w:sz w:val="16"/>
              </w:rPr>
            </w:pPr>
          </w:p>
        </w:tc>
        <w:tc>
          <w:tcPr>
            <w:tcW w:w="2499" w:type="dxa"/>
            <w:tcBorders>
              <w:bottom w:val="single" w:sz="2" w:space="0" w:color="000000"/>
            </w:tcBorders>
          </w:tcPr>
          <w:p w14:paraId="7386F152" w14:textId="77777777" w:rsidR="00084F36" w:rsidRPr="00EB2BD8" w:rsidRDefault="00EB2BD8">
            <w:pPr>
              <w:pStyle w:val="TableParagraph"/>
              <w:spacing w:before="19"/>
              <w:ind w:left="334"/>
              <w:rPr>
                <w:sz w:val="16"/>
              </w:rPr>
            </w:pPr>
            <w:r w:rsidRPr="00EB2BD8">
              <w:rPr>
                <w:sz w:val="16"/>
              </w:rPr>
              <w:t>between</w:t>
            </w:r>
            <w:r w:rsidRPr="00EB2BD8">
              <w:rPr>
                <w:spacing w:val="-12"/>
                <w:sz w:val="16"/>
              </w:rPr>
              <w:t xml:space="preserve"> </w:t>
            </w:r>
            <w:r w:rsidRPr="00EB2BD8">
              <w:rPr>
                <w:sz w:val="16"/>
              </w:rPr>
              <w:t>2009</w:t>
            </w:r>
            <w:r w:rsidRPr="00EB2BD8">
              <w:rPr>
                <w:spacing w:val="-11"/>
                <w:sz w:val="16"/>
              </w:rPr>
              <w:t xml:space="preserve"> </w:t>
            </w:r>
            <w:r w:rsidRPr="00EB2BD8">
              <w:rPr>
                <w:sz w:val="16"/>
              </w:rPr>
              <w:t>and</w:t>
            </w:r>
            <w:r w:rsidRPr="00EB2BD8">
              <w:rPr>
                <w:spacing w:val="-11"/>
                <w:sz w:val="16"/>
              </w:rPr>
              <w:t xml:space="preserve"> </w:t>
            </w:r>
            <w:r w:rsidRPr="00EB2BD8">
              <w:rPr>
                <w:spacing w:val="-4"/>
                <w:sz w:val="16"/>
              </w:rPr>
              <w:t>2014.</w:t>
            </w:r>
          </w:p>
        </w:tc>
        <w:tc>
          <w:tcPr>
            <w:tcW w:w="2279" w:type="dxa"/>
            <w:tcBorders>
              <w:bottom w:val="single" w:sz="2" w:space="0" w:color="000000"/>
            </w:tcBorders>
          </w:tcPr>
          <w:p w14:paraId="1AE4BC8B" w14:textId="77777777" w:rsidR="00084F36" w:rsidRPr="00EB2BD8" w:rsidRDefault="00084F36">
            <w:pPr>
              <w:pStyle w:val="TableParagraph"/>
              <w:rPr>
                <w:rFonts w:ascii="Times New Roman"/>
                <w:sz w:val="16"/>
              </w:rPr>
            </w:pPr>
          </w:p>
        </w:tc>
        <w:tc>
          <w:tcPr>
            <w:tcW w:w="1076" w:type="dxa"/>
            <w:tcBorders>
              <w:bottom w:val="single" w:sz="2" w:space="0" w:color="000000"/>
            </w:tcBorders>
          </w:tcPr>
          <w:p w14:paraId="5421EDBF"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34AA9CA4" w14:textId="77777777" w:rsidR="00084F36" w:rsidRPr="00EB2BD8" w:rsidRDefault="00084F36">
            <w:pPr>
              <w:pStyle w:val="TableParagraph"/>
              <w:rPr>
                <w:rFonts w:ascii="Times New Roman"/>
                <w:sz w:val="16"/>
              </w:rPr>
            </w:pPr>
          </w:p>
        </w:tc>
      </w:tr>
      <w:tr w:rsidR="00EB2BD8" w:rsidRPr="00EB2BD8" w14:paraId="0F4C70E1" w14:textId="77777777">
        <w:trPr>
          <w:trHeight w:val="323"/>
        </w:trPr>
        <w:tc>
          <w:tcPr>
            <w:tcW w:w="1705" w:type="dxa"/>
            <w:tcBorders>
              <w:top w:val="single" w:sz="2" w:space="0" w:color="000000"/>
            </w:tcBorders>
          </w:tcPr>
          <w:p w14:paraId="3937AD37" w14:textId="77777777" w:rsidR="00084F36" w:rsidRPr="00EB2BD8" w:rsidRDefault="00EB2BD8">
            <w:pPr>
              <w:pStyle w:val="TableParagraph"/>
              <w:spacing w:before="113"/>
              <w:ind w:left="113"/>
              <w:rPr>
                <w:sz w:val="16"/>
              </w:rPr>
            </w:pPr>
            <w:r w:rsidRPr="00EB2BD8">
              <w:rPr>
                <w:w w:val="105"/>
                <w:sz w:val="16"/>
              </w:rPr>
              <w:t>GLEESON,</w:t>
            </w:r>
            <w:r w:rsidRPr="00EB2BD8">
              <w:rPr>
                <w:spacing w:val="-8"/>
                <w:w w:val="105"/>
                <w:sz w:val="16"/>
              </w:rPr>
              <w:t xml:space="preserve"> </w:t>
            </w:r>
            <w:r w:rsidRPr="00EB2BD8">
              <w:rPr>
                <w:spacing w:val="-2"/>
                <w:w w:val="105"/>
                <w:sz w:val="16"/>
              </w:rPr>
              <w:t>David</w:t>
            </w:r>
          </w:p>
        </w:tc>
        <w:tc>
          <w:tcPr>
            <w:tcW w:w="1464" w:type="dxa"/>
            <w:tcBorders>
              <w:top w:val="single" w:sz="2" w:space="0" w:color="000000"/>
            </w:tcBorders>
          </w:tcPr>
          <w:p w14:paraId="27FCF2EB" w14:textId="77777777" w:rsidR="00084F36" w:rsidRPr="00EB2BD8" w:rsidRDefault="00EB2BD8">
            <w:pPr>
              <w:pStyle w:val="TableParagraph"/>
              <w:spacing w:before="113"/>
              <w:ind w:left="165"/>
              <w:rPr>
                <w:sz w:val="16"/>
              </w:rPr>
            </w:pPr>
            <w:r w:rsidRPr="00EB2BD8">
              <w:rPr>
                <w:sz w:val="16"/>
              </w:rPr>
              <w:t>DB-U</w:t>
            </w:r>
            <w:r w:rsidRPr="00EB2BD8">
              <w:rPr>
                <w:spacing w:val="22"/>
                <w:sz w:val="16"/>
              </w:rPr>
              <w:t xml:space="preserve"> </w:t>
            </w:r>
            <w:r w:rsidRPr="00EB2BD8">
              <w:rPr>
                <w:spacing w:val="-2"/>
                <w:sz w:val="16"/>
              </w:rPr>
              <w:t>27382;</w:t>
            </w:r>
          </w:p>
        </w:tc>
        <w:tc>
          <w:tcPr>
            <w:tcW w:w="2499" w:type="dxa"/>
            <w:tcBorders>
              <w:top w:val="single" w:sz="2" w:space="0" w:color="000000"/>
            </w:tcBorders>
          </w:tcPr>
          <w:p w14:paraId="2DFFF657" w14:textId="77777777" w:rsidR="00084F36" w:rsidRPr="00EB2BD8" w:rsidRDefault="00EB2BD8">
            <w:pPr>
              <w:pStyle w:val="TableParagraph"/>
              <w:spacing w:before="113"/>
              <w:ind w:left="334"/>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79" w:type="dxa"/>
            <w:tcBorders>
              <w:top w:val="single" w:sz="2" w:space="0" w:color="000000"/>
            </w:tcBorders>
          </w:tcPr>
          <w:p w14:paraId="4F9A40B2" w14:textId="77777777" w:rsidR="00084F36" w:rsidRPr="00EB2BD8" w:rsidRDefault="00EB2BD8">
            <w:pPr>
              <w:pStyle w:val="TableParagraph"/>
              <w:spacing w:before="112"/>
              <w:ind w:left="114"/>
              <w:rPr>
                <w:sz w:val="16"/>
              </w:rPr>
            </w:pPr>
            <w:r w:rsidRPr="00EB2BD8">
              <w:rPr>
                <w:sz w:val="16"/>
              </w:rPr>
              <w:t>Reprimand</w:t>
            </w:r>
            <w:r w:rsidRPr="00EB2BD8">
              <w:rPr>
                <w:spacing w:val="2"/>
                <w:sz w:val="16"/>
              </w:rPr>
              <w:t xml:space="preserve"> </w:t>
            </w:r>
            <w:r w:rsidRPr="00EB2BD8">
              <w:rPr>
                <w:sz w:val="16"/>
              </w:rPr>
              <w:t>and</w:t>
            </w:r>
            <w:r w:rsidRPr="00EB2BD8">
              <w:rPr>
                <w:spacing w:val="2"/>
                <w:sz w:val="16"/>
              </w:rPr>
              <w:t xml:space="preserve"> </w:t>
            </w:r>
            <w:r w:rsidRPr="00EB2BD8">
              <w:rPr>
                <w:spacing w:val="-2"/>
                <w:sz w:val="16"/>
              </w:rPr>
              <w:t>aggregate</w:t>
            </w:r>
          </w:p>
        </w:tc>
        <w:tc>
          <w:tcPr>
            <w:tcW w:w="1076" w:type="dxa"/>
            <w:tcBorders>
              <w:top w:val="single" w:sz="2" w:space="0" w:color="000000"/>
            </w:tcBorders>
          </w:tcPr>
          <w:p w14:paraId="6BB0C560" w14:textId="77777777" w:rsidR="00084F36" w:rsidRPr="00EB2BD8" w:rsidRDefault="00EB2BD8">
            <w:pPr>
              <w:pStyle w:val="TableParagraph"/>
              <w:spacing w:before="112"/>
              <w:ind w:right="109"/>
              <w:jc w:val="right"/>
              <w:rPr>
                <w:sz w:val="16"/>
              </w:rPr>
            </w:pPr>
            <w:r w:rsidRPr="00EB2BD8">
              <w:rPr>
                <w:spacing w:val="-2"/>
                <w:w w:val="95"/>
                <w:sz w:val="16"/>
              </w:rPr>
              <w:t>$4,250</w:t>
            </w:r>
          </w:p>
        </w:tc>
        <w:tc>
          <w:tcPr>
            <w:tcW w:w="1175" w:type="dxa"/>
            <w:tcBorders>
              <w:top w:val="single" w:sz="2" w:space="0" w:color="000000"/>
            </w:tcBorders>
          </w:tcPr>
          <w:p w14:paraId="7790F679" w14:textId="77777777" w:rsidR="00084F36" w:rsidRPr="00EB2BD8" w:rsidRDefault="00EB2BD8">
            <w:pPr>
              <w:pStyle w:val="TableParagraph"/>
              <w:spacing w:before="112"/>
              <w:ind w:left="115"/>
              <w:rPr>
                <w:sz w:val="16"/>
              </w:rPr>
            </w:pPr>
            <w:r w:rsidRPr="00EB2BD8">
              <w:rPr>
                <w:spacing w:val="-2"/>
                <w:sz w:val="16"/>
              </w:rPr>
              <w:t>06/03/2023</w:t>
            </w:r>
          </w:p>
        </w:tc>
      </w:tr>
      <w:tr w:rsidR="00EB2BD8" w:rsidRPr="00EB2BD8" w14:paraId="7B5E79DB" w14:textId="77777777">
        <w:trPr>
          <w:trHeight w:val="230"/>
        </w:trPr>
        <w:tc>
          <w:tcPr>
            <w:tcW w:w="1705" w:type="dxa"/>
          </w:tcPr>
          <w:p w14:paraId="02931107" w14:textId="77777777" w:rsidR="00084F36" w:rsidRPr="00EB2BD8" w:rsidRDefault="00084F36">
            <w:pPr>
              <w:pStyle w:val="TableParagraph"/>
              <w:rPr>
                <w:rFonts w:ascii="Times New Roman"/>
                <w:sz w:val="16"/>
              </w:rPr>
            </w:pPr>
          </w:p>
        </w:tc>
        <w:tc>
          <w:tcPr>
            <w:tcW w:w="1464" w:type="dxa"/>
          </w:tcPr>
          <w:p w14:paraId="5F00F03D" w14:textId="77777777" w:rsidR="00084F36" w:rsidRPr="00EB2BD8" w:rsidRDefault="00EB2BD8">
            <w:pPr>
              <w:pStyle w:val="TableParagraph"/>
              <w:spacing w:before="19"/>
              <w:ind w:left="165"/>
              <w:rPr>
                <w:sz w:val="16"/>
              </w:rPr>
            </w:pPr>
            <w:r w:rsidRPr="00EB2BD8">
              <w:rPr>
                <w:sz w:val="16"/>
              </w:rPr>
              <w:t>CB</w:t>
            </w:r>
            <w:r w:rsidRPr="00EB2BD8">
              <w:rPr>
                <w:spacing w:val="3"/>
                <w:sz w:val="16"/>
              </w:rPr>
              <w:t xml:space="preserve"> </w:t>
            </w:r>
            <w:r w:rsidRPr="00EB2BD8">
              <w:rPr>
                <w:sz w:val="16"/>
              </w:rPr>
              <w:t>L</w:t>
            </w:r>
            <w:r w:rsidRPr="00EB2BD8">
              <w:rPr>
                <w:spacing w:val="4"/>
                <w:sz w:val="16"/>
              </w:rPr>
              <w:t xml:space="preserve"> </w:t>
            </w:r>
            <w:r w:rsidRPr="00EB2BD8">
              <w:rPr>
                <w:spacing w:val="-2"/>
                <w:sz w:val="16"/>
              </w:rPr>
              <w:t>67107</w:t>
            </w:r>
          </w:p>
        </w:tc>
        <w:tc>
          <w:tcPr>
            <w:tcW w:w="2499" w:type="dxa"/>
          </w:tcPr>
          <w:p w14:paraId="420D44EE" w14:textId="77777777" w:rsidR="00084F36" w:rsidRPr="00EB2BD8" w:rsidRDefault="00EB2BD8">
            <w:pPr>
              <w:pStyle w:val="TableParagraph"/>
              <w:spacing w:before="19"/>
              <w:ind w:left="334"/>
              <w:rPr>
                <w:sz w:val="16"/>
              </w:rPr>
            </w:pPr>
            <w:r w:rsidRPr="00EB2BD8">
              <w:rPr>
                <w:sz w:val="16"/>
              </w:rPr>
              <w:t>mandatory</w:t>
            </w:r>
            <w:r w:rsidRPr="00EB2BD8">
              <w:rPr>
                <w:spacing w:val="14"/>
                <w:sz w:val="16"/>
              </w:rPr>
              <w:t xml:space="preserve"> </w:t>
            </w:r>
            <w:r w:rsidRPr="00EB2BD8">
              <w:rPr>
                <w:spacing w:val="-2"/>
                <w:sz w:val="16"/>
              </w:rPr>
              <w:t>stage</w:t>
            </w:r>
          </w:p>
        </w:tc>
        <w:tc>
          <w:tcPr>
            <w:tcW w:w="2279" w:type="dxa"/>
          </w:tcPr>
          <w:p w14:paraId="121A371B" w14:textId="77777777" w:rsidR="00084F36" w:rsidRPr="00EB2BD8" w:rsidRDefault="00EB2BD8">
            <w:pPr>
              <w:pStyle w:val="TableParagraph"/>
              <w:spacing w:before="19"/>
              <w:ind w:left="114"/>
              <w:rPr>
                <w:sz w:val="16"/>
              </w:rPr>
            </w:pPr>
            <w:r w:rsidRPr="00EB2BD8">
              <w:rPr>
                <w:sz w:val="16"/>
              </w:rPr>
              <w:t>penalties</w:t>
            </w:r>
            <w:r w:rsidRPr="00EB2BD8">
              <w:rPr>
                <w:spacing w:val="-12"/>
                <w:sz w:val="16"/>
              </w:rPr>
              <w:t xml:space="preserve"> </w:t>
            </w:r>
            <w:r w:rsidRPr="00EB2BD8">
              <w:rPr>
                <w:sz w:val="16"/>
              </w:rPr>
              <w:t>of</w:t>
            </w:r>
            <w:r w:rsidRPr="00EB2BD8">
              <w:rPr>
                <w:spacing w:val="-12"/>
                <w:sz w:val="16"/>
              </w:rPr>
              <w:t xml:space="preserve"> </w:t>
            </w:r>
            <w:r w:rsidRPr="00EB2BD8">
              <w:rPr>
                <w:spacing w:val="-2"/>
                <w:sz w:val="16"/>
              </w:rPr>
              <w:t>$4,250.</w:t>
            </w:r>
          </w:p>
        </w:tc>
        <w:tc>
          <w:tcPr>
            <w:tcW w:w="1076" w:type="dxa"/>
          </w:tcPr>
          <w:p w14:paraId="12C0B5B7" w14:textId="77777777" w:rsidR="00084F36" w:rsidRPr="00EB2BD8" w:rsidRDefault="00084F36">
            <w:pPr>
              <w:pStyle w:val="TableParagraph"/>
              <w:rPr>
                <w:rFonts w:ascii="Times New Roman"/>
                <w:sz w:val="16"/>
              </w:rPr>
            </w:pPr>
          </w:p>
        </w:tc>
        <w:tc>
          <w:tcPr>
            <w:tcW w:w="1175" w:type="dxa"/>
          </w:tcPr>
          <w:p w14:paraId="0607FC16" w14:textId="77777777" w:rsidR="00084F36" w:rsidRPr="00EB2BD8" w:rsidRDefault="00084F36">
            <w:pPr>
              <w:pStyle w:val="TableParagraph"/>
              <w:rPr>
                <w:rFonts w:ascii="Times New Roman"/>
                <w:sz w:val="16"/>
              </w:rPr>
            </w:pPr>
          </w:p>
        </w:tc>
      </w:tr>
      <w:tr w:rsidR="00EB2BD8" w:rsidRPr="00EB2BD8" w14:paraId="015F039A" w14:textId="77777777">
        <w:trPr>
          <w:trHeight w:val="229"/>
        </w:trPr>
        <w:tc>
          <w:tcPr>
            <w:tcW w:w="1705" w:type="dxa"/>
          </w:tcPr>
          <w:p w14:paraId="7275CAA8" w14:textId="77777777" w:rsidR="00084F36" w:rsidRPr="00EB2BD8" w:rsidRDefault="00084F36">
            <w:pPr>
              <w:pStyle w:val="TableParagraph"/>
              <w:rPr>
                <w:rFonts w:ascii="Times New Roman"/>
                <w:sz w:val="16"/>
              </w:rPr>
            </w:pPr>
          </w:p>
        </w:tc>
        <w:tc>
          <w:tcPr>
            <w:tcW w:w="1464" w:type="dxa"/>
          </w:tcPr>
          <w:p w14:paraId="2BEC71DD" w14:textId="77777777" w:rsidR="00084F36" w:rsidRPr="00EB2BD8" w:rsidRDefault="00084F36">
            <w:pPr>
              <w:pStyle w:val="TableParagraph"/>
              <w:rPr>
                <w:rFonts w:ascii="Times New Roman"/>
                <w:sz w:val="16"/>
              </w:rPr>
            </w:pPr>
          </w:p>
        </w:tc>
        <w:tc>
          <w:tcPr>
            <w:tcW w:w="2499" w:type="dxa"/>
          </w:tcPr>
          <w:p w14:paraId="28D8F53E" w14:textId="77777777" w:rsidR="00084F36" w:rsidRPr="00EB2BD8" w:rsidRDefault="00EB2BD8">
            <w:pPr>
              <w:pStyle w:val="TableParagraph"/>
              <w:spacing w:before="19"/>
              <w:ind w:left="334"/>
              <w:rPr>
                <w:sz w:val="16"/>
              </w:rPr>
            </w:pPr>
            <w:r w:rsidRPr="00EB2BD8">
              <w:rPr>
                <w:spacing w:val="-2"/>
                <w:sz w:val="16"/>
              </w:rPr>
              <w:t>inspections</w:t>
            </w:r>
            <w:r w:rsidRPr="00EB2BD8">
              <w:rPr>
                <w:sz w:val="16"/>
              </w:rPr>
              <w:t xml:space="preserve"> </w:t>
            </w:r>
            <w:r w:rsidRPr="00EB2BD8">
              <w:rPr>
                <w:spacing w:val="-2"/>
                <w:sz w:val="16"/>
              </w:rPr>
              <w:t>(precautions</w:t>
            </w:r>
          </w:p>
        </w:tc>
        <w:tc>
          <w:tcPr>
            <w:tcW w:w="2279" w:type="dxa"/>
          </w:tcPr>
          <w:p w14:paraId="264509B7" w14:textId="77777777" w:rsidR="00084F36" w:rsidRPr="00EB2BD8" w:rsidRDefault="00084F36">
            <w:pPr>
              <w:pStyle w:val="TableParagraph"/>
              <w:rPr>
                <w:rFonts w:ascii="Times New Roman"/>
                <w:sz w:val="16"/>
              </w:rPr>
            </w:pPr>
          </w:p>
        </w:tc>
        <w:tc>
          <w:tcPr>
            <w:tcW w:w="1076" w:type="dxa"/>
          </w:tcPr>
          <w:p w14:paraId="4192822E" w14:textId="77777777" w:rsidR="00084F36" w:rsidRPr="00EB2BD8" w:rsidRDefault="00084F36">
            <w:pPr>
              <w:pStyle w:val="TableParagraph"/>
              <w:rPr>
                <w:rFonts w:ascii="Times New Roman"/>
                <w:sz w:val="16"/>
              </w:rPr>
            </w:pPr>
          </w:p>
        </w:tc>
        <w:tc>
          <w:tcPr>
            <w:tcW w:w="1175" w:type="dxa"/>
          </w:tcPr>
          <w:p w14:paraId="2C98EA3D" w14:textId="77777777" w:rsidR="00084F36" w:rsidRPr="00EB2BD8" w:rsidRDefault="00084F36">
            <w:pPr>
              <w:pStyle w:val="TableParagraph"/>
              <w:rPr>
                <w:rFonts w:ascii="Times New Roman"/>
                <w:sz w:val="16"/>
              </w:rPr>
            </w:pPr>
          </w:p>
        </w:tc>
      </w:tr>
      <w:tr w:rsidR="00EB2BD8" w:rsidRPr="00EB2BD8" w14:paraId="127694C2" w14:textId="77777777">
        <w:trPr>
          <w:trHeight w:val="229"/>
        </w:trPr>
        <w:tc>
          <w:tcPr>
            <w:tcW w:w="1705" w:type="dxa"/>
          </w:tcPr>
          <w:p w14:paraId="3519CB77" w14:textId="77777777" w:rsidR="00084F36" w:rsidRPr="00EB2BD8" w:rsidRDefault="00084F36">
            <w:pPr>
              <w:pStyle w:val="TableParagraph"/>
              <w:rPr>
                <w:rFonts w:ascii="Times New Roman"/>
                <w:sz w:val="16"/>
              </w:rPr>
            </w:pPr>
          </w:p>
        </w:tc>
        <w:tc>
          <w:tcPr>
            <w:tcW w:w="1464" w:type="dxa"/>
          </w:tcPr>
          <w:p w14:paraId="399F67A1" w14:textId="77777777" w:rsidR="00084F36" w:rsidRPr="00EB2BD8" w:rsidRDefault="00084F36">
            <w:pPr>
              <w:pStyle w:val="TableParagraph"/>
              <w:rPr>
                <w:rFonts w:ascii="Times New Roman"/>
                <w:sz w:val="16"/>
              </w:rPr>
            </w:pPr>
          </w:p>
        </w:tc>
        <w:tc>
          <w:tcPr>
            <w:tcW w:w="2499" w:type="dxa"/>
          </w:tcPr>
          <w:p w14:paraId="335750D6" w14:textId="77777777" w:rsidR="00084F36" w:rsidRPr="00EB2BD8" w:rsidRDefault="00EB2BD8">
            <w:pPr>
              <w:pStyle w:val="TableParagraph"/>
              <w:spacing w:before="19"/>
              <w:ind w:left="334"/>
              <w:rPr>
                <w:sz w:val="16"/>
              </w:rPr>
            </w:pPr>
            <w:r w:rsidRPr="00EB2BD8">
              <w:rPr>
                <w:spacing w:val="-2"/>
                <w:sz w:val="16"/>
              </w:rPr>
              <w:t>and</w:t>
            </w:r>
            <w:r w:rsidRPr="00EB2BD8">
              <w:rPr>
                <w:spacing w:val="-7"/>
                <w:sz w:val="16"/>
              </w:rPr>
              <w:t xml:space="preserve"> </w:t>
            </w:r>
            <w:r w:rsidRPr="00EB2BD8">
              <w:rPr>
                <w:spacing w:val="-2"/>
                <w:sz w:val="16"/>
              </w:rPr>
              <w:t>final)</w:t>
            </w:r>
            <w:r w:rsidRPr="00EB2BD8">
              <w:rPr>
                <w:spacing w:val="-6"/>
                <w:sz w:val="16"/>
              </w:rPr>
              <w:t xml:space="preserve"> </w:t>
            </w:r>
            <w:r w:rsidRPr="00EB2BD8">
              <w:rPr>
                <w:spacing w:val="-2"/>
                <w:sz w:val="16"/>
              </w:rPr>
              <w:t>without</w:t>
            </w:r>
            <w:r w:rsidRPr="00EB2BD8">
              <w:rPr>
                <w:spacing w:val="-6"/>
                <w:sz w:val="16"/>
              </w:rPr>
              <w:t xml:space="preserve"> </w:t>
            </w:r>
            <w:r w:rsidRPr="00EB2BD8">
              <w:rPr>
                <w:spacing w:val="-2"/>
                <w:sz w:val="16"/>
              </w:rPr>
              <w:t>delay,</w:t>
            </w:r>
            <w:r w:rsidRPr="00EB2BD8">
              <w:rPr>
                <w:spacing w:val="-6"/>
                <w:sz w:val="16"/>
              </w:rPr>
              <w:t xml:space="preserve"> </w:t>
            </w:r>
            <w:r w:rsidRPr="00EB2BD8">
              <w:rPr>
                <w:spacing w:val="-5"/>
                <w:sz w:val="16"/>
              </w:rPr>
              <w:t>in</w:t>
            </w:r>
          </w:p>
        </w:tc>
        <w:tc>
          <w:tcPr>
            <w:tcW w:w="2279" w:type="dxa"/>
          </w:tcPr>
          <w:p w14:paraId="37C4EC85" w14:textId="77777777" w:rsidR="00084F36" w:rsidRPr="00EB2BD8" w:rsidRDefault="00084F36">
            <w:pPr>
              <w:pStyle w:val="TableParagraph"/>
              <w:rPr>
                <w:rFonts w:ascii="Times New Roman"/>
                <w:sz w:val="16"/>
              </w:rPr>
            </w:pPr>
          </w:p>
        </w:tc>
        <w:tc>
          <w:tcPr>
            <w:tcW w:w="1076" w:type="dxa"/>
          </w:tcPr>
          <w:p w14:paraId="18B28ECC" w14:textId="77777777" w:rsidR="00084F36" w:rsidRPr="00EB2BD8" w:rsidRDefault="00084F36">
            <w:pPr>
              <w:pStyle w:val="TableParagraph"/>
              <w:rPr>
                <w:rFonts w:ascii="Times New Roman"/>
                <w:sz w:val="16"/>
              </w:rPr>
            </w:pPr>
          </w:p>
        </w:tc>
        <w:tc>
          <w:tcPr>
            <w:tcW w:w="1175" w:type="dxa"/>
          </w:tcPr>
          <w:p w14:paraId="151CF1D7" w14:textId="77777777" w:rsidR="00084F36" w:rsidRPr="00EB2BD8" w:rsidRDefault="00084F36">
            <w:pPr>
              <w:pStyle w:val="TableParagraph"/>
              <w:rPr>
                <w:rFonts w:ascii="Times New Roman"/>
                <w:sz w:val="16"/>
              </w:rPr>
            </w:pPr>
          </w:p>
        </w:tc>
      </w:tr>
      <w:tr w:rsidR="00084F36" w:rsidRPr="00EB2BD8" w14:paraId="41AD517A" w14:textId="77777777">
        <w:trPr>
          <w:trHeight w:val="392"/>
        </w:trPr>
        <w:tc>
          <w:tcPr>
            <w:tcW w:w="1705" w:type="dxa"/>
            <w:tcBorders>
              <w:bottom w:val="single" w:sz="2" w:space="0" w:color="000000"/>
            </w:tcBorders>
          </w:tcPr>
          <w:p w14:paraId="6A358D2C"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2375C1C1" w14:textId="77777777" w:rsidR="00084F36" w:rsidRPr="00EB2BD8" w:rsidRDefault="00084F36">
            <w:pPr>
              <w:pStyle w:val="TableParagraph"/>
              <w:rPr>
                <w:rFonts w:ascii="Times New Roman"/>
                <w:sz w:val="16"/>
              </w:rPr>
            </w:pPr>
          </w:p>
        </w:tc>
        <w:tc>
          <w:tcPr>
            <w:tcW w:w="2499" w:type="dxa"/>
            <w:tcBorders>
              <w:bottom w:val="single" w:sz="2" w:space="0" w:color="000000"/>
            </w:tcBorders>
          </w:tcPr>
          <w:p w14:paraId="7796CABF" w14:textId="77777777" w:rsidR="00084F36" w:rsidRPr="00EB2BD8" w:rsidRDefault="00EB2BD8">
            <w:pPr>
              <w:pStyle w:val="TableParagraph"/>
              <w:spacing w:before="19"/>
              <w:ind w:left="334"/>
              <w:rPr>
                <w:sz w:val="16"/>
              </w:rPr>
            </w:pPr>
            <w:r w:rsidRPr="00EB2BD8">
              <w:rPr>
                <w:sz w:val="16"/>
              </w:rPr>
              <w:t>respect</w:t>
            </w:r>
            <w:r w:rsidRPr="00EB2BD8">
              <w:rPr>
                <w:spacing w:val="-8"/>
                <w:sz w:val="16"/>
              </w:rPr>
              <w:t xml:space="preserve"> </w:t>
            </w:r>
            <w:r w:rsidRPr="00EB2BD8">
              <w:rPr>
                <w:sz w:val="16"/>
              </w:rPr>
              <w:t>of</w:t>
            </w:r>
            <w:r w:rsidRPr="00EB2BD8">
              <w:rPr>
                <w:spacing w:val="-7"/>
                <w:sz w:val="16"/>
              </w:rPr>
              <w:t xml:space="preserve"> </w:t>
            </w:r>
            <w:r w:rsidRPr="00EB2BD8">
              <w:rPr>
                <w:sz w:val="16"/>
              </w:rPr>
              <w:t>a</w:t>
            </w:r>
            <w:r w:rsidRPr="00EB2BD8">
              <w:rPr>
                <w:spacing w:val="-8"/>
                <w:sz w:val="16"/>
              </w:rPr>
              <w:t xml:space="preserve"> </w:t>
            </w:r>
            <w:r w:rsidRPr="00EB2BD8">
              <w:rPr>
                <w:sz w:val="16"/>
              </w:rPr>
              <w:t>site</w:t>
            </w:r>
            <w:r w:rsidRPr="00EB2BD8">
              <w:rPr>
                <w:spacing w:val="-7"/>
                <w:sz w:val="16"/>
              </w:rPr>
              <w:t xml:space="preserve"> </w:t>
            </w:r>
            <w:r w:rsidRPr="00EB2BD8">
              <w:rPr>
                <w:sz w:val="16"/>
              </w:rPr>
              <w:t>at</w:t>
            </w:r>
            <w:r w:rsidRPr="00EB2BD8">
              <w:rPr>
                <w:spacing w:val="-7"/>
                <w:sz w:val="16"/>
              </w:rPr>
              <w:t xml:space="preserve"> </w:t>
            </w:r>
            <w:r w:rsidRPr="00EB2BD8">
              <w:rPr>
                <w:spacing w:val="-2"/>
                <w:sz w:val="16"/>
              </w:rPr>
              <w:t>Redan.</w:t>
            </w:r>
          </w:p>
        </w:tc>
        <w:tc>
          <w:tcPr>
            <w:tcW w:w="2279" w:type="dxa"/>
            <w:tcBorders>
              <w:bottom w:val="single" w:sz="2" w:space="0" w:color="000000"/>
            </w:tcBorders>
          </w:tcPr>
          <w:p w14:paraId="6EED0615" w14:textId="77777777" w:rsidR="00084F36" w:rsidRPr="00EB2BD8" w:rsidRDefault="00084F36">
            <w:pPr>
              <w:pStyle w:val="TableParagraph"/>
              <w:rPr>
                <w:rFonts w:ascii="Times New Roman"/>
                <w:sz w:val="16"/>
              </w:rPr>
            </w:pPr>
          </w:p>
        </w:tc>
        <w:tc>
          <w:tcPr>
            <w:tcW w:w="1076" w:type="dxa"/>
            <w:tcBorders>
              <w:bottom w:val="single" w:sz="2" w:space="0" w:color="000000"/>
            </w:tcBorders>
          </w:tcPr>
          <w:p w14:paraId="160F47D8"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6343F8D1" w14:textId="77777777" w:rsidR="00084F36" w:rsidRPr="00EB2BD8" w:rsidRDefault="00084F36">
            <w:pPr>
              <w:pStyle w:val="TableParagraph"/>
              <w:rPr>
                <w:rFonts w:ascii="Times New Roman"/>
                <w:sz w:val="16"/>
              </w:rPr>
            </w:pPr>
          </w:p>
        </w:tc>
      </w:tr>
    </w:tbl>
    <w:p w14:paraId="311B9036" w14:textId="77777777" w:rsidR="00084F36" w:rsidRPr="00EB2BD8" w:rsidRDefault="00084F36">
      <w:pPr>
        <w:rPr>
          <w:rFonts w:ascii="Times New Roman"/>
          <w:sz w:val="16"/>
        </w:rPr>
        <w:sectPr w:rsidR="00084F36" w:rsidRPr="00EB2BD8" w:rsidSect="006D75B2">
          <w:footerReference w:type="default" r:id="rId405"/>
          <w:pgSz w:w="11910" w:h="16840"/>
          <w:pgMar w:top="1080" w:right="0" w:bottom="720" w:left="0" w:header="0" w:footer="515" w:gutter="0"/>
          <w:cols w:space="720"/>
        </w:sectPr>
      </w:pPr>
    </w:p>
    <w:p w14:paraId="097827C2" w14:textId="77777777" w:rsidR="00084F36" w:rsidRPr="00EB2BD8" w:rsidRDefault="00084F36">
      <w:pPr>
        <w:pStyle w:val="BodyText"/>
        <w:rPr>
          <w:i/>
          <w:sz w:val="20"/>
        </w:rPr>
      </w:pPr>
    </w:p>
    <w:p w14:paraId="619A0388" w14:textId="77777777" w:rsidR="00084F36" w:rsidRPr="00EB2BD8" w:rsidRDefault="00084F36">
      <w:pPr>
        <w:pStyle w:val="BodyText"/>
        <w:rPr>
          <w:i/>
          <w:sz w:val="20"/>
        </w:rPr>
      </w:pPr>
    </w:p>
    <w:p w14:paraId="6C86723D" w14:textId="77777777" w:rsidR="00084F36" w:rsidRPr="00EB2BD8" w:rsidRDefault="00084F36">
      <w:pPr>
        <w:pStyle w:val="BodyText"/>
        <w:rPr>
          <w:i/>
          <w:sz w:val="20"/>
        </w:rPr>
      </w:pPr>
    </w:p>
    <w:p w14:paraId="7CD97555" w14:textId="77777777" w:rsidR="00084F36" w:rsidRPr="00EB2BD8" w:rsidRDefault="00084F36">
      <w:pPr>
        <w:pStyle w:val="BodyText"/>
        <w:rPr>
          <w:i/>
          <w:sz w:val="20"/>
        </w:rPr>
      </w:pPr>
    </w:p>
    <w:p w14:paraId="3D7742BA" w14:textId="77777777" w:rsidR="00084F36" w:rsidRPr="00EB2BD8" w:rsidRDefault="00084F36">
      <w:pPr>
        <w:pStyle w:val="BodyText"/>
        <w:spacing w:before="6"/>
        <w:rPr>
          <w:i/>
          <w:sz w:val="23"/>
        </w:rPr>
      </w:pPr>
    </w:p>
    <w:tbl>
      <w:tblPr>
        <w:tblW w:w="0" w:type="auto"/>
        <w:tblInd w:w="857" w:type="dxa"/>
        <w:tblLayout w:type="fixed"/>
        <w:tblCellMar>
          <w:left w:w="0" w:type="dxa"/>
          <w:right w:w="0" w:type="dxa"/>
        </w:tblCellMar>
        <w:tblLook w:val="01E0" w:firstRow="1" w:lastRow="1" w:firstColumn="1" w:lastColumn="1" w:noHBand="0" w:noVBand="0"/>
      </w:tblPr>
      <w:tblGrid>
        <w:gridCol w:w="1742"/>
        <w:gridCol w:w="1427"/>
        <w:gridCol w:w="2464"/>
        <w:gridCol w:w="2313"/>
        <w:gridCol w:w="1078"/>
        <w:gridCol w:w="1175"/>
      </w:tblGrid>
      <w:tr w:rsidR="00EB2BD8" w:rsidRPr="00EB2BD8" w14:paraId="41416184" w14:textId="77777777">
        <w:trPr>
          <w:trHeight w:val="614"/>
        </w:trPr>
        <w:tc>
          <w:tcPr>
            <w:tcW w:w="1742" w:type="dxa"/>
            <w:tcBorders>
              <w:bottom w:val="single" w:sz="2" w:space="0" w:color="000000"/>
            </w:tcBorders>
            <w:shd w:val="clear" w:color="auto" w:fill="005F83"/>
          </w:tcPr>
          <w:p w14:paraId="2347B55C" w14:textId="77777777" w:rsidR="00084F36" w:rsidRPr="00697E0C" w:rsidRDefault="00EB2BD8">
            <w:pPr>
              <w:pStyle w:val="TableParagraph"/>
              <w:spacing w:before="118"/>
              <w:ind w:left="113"/>
              <w:rPr>
                <w:color w:val="FFFFFF" w:themeColor="background1"/>
                <w:sz w:val="16"/>
              </w:rPr>
            </w:pPr>
            <w:r w:rsidRPr="00697E0C">
              <w:rPr>
                <w:color w:val="FFFFFF" w:themeColor="background1"/>
                <w:w w:val="105"/>
                <w:sz w:val="16"/>
              </w:rPr>
              <w:t>Practitioner</w:t>
            </w:r>
            <w:r w:rsidRPr="00697E0C">
              <w:rPr>
                <w:color w:val="FFFFFF" w:themeColor="background1"/>
                <w:spacing w:val="-14"/>
                <w:w w:val="105"/>
                <w:sz w:val="16"/>
              </w:rPr>
              <w:t xml:space="preserve"> </w:t>
            </w:r>
            <w:r w:rsidRPr="00697E0C">
              <w:rPr>
                <w:color w:val="FFFFFF" w:themeColor="background1"/>
                <w:spacing w:val="-4"/>
                <w:w w:val="105"/>
                <w:sz w:val="16"/>
              </w:rPr>
              <w:t>name</w:t>
            </w:r>
          </w:p>
        </w:tc>
        <w:tc>
          <w:tcPr>
            <w:tcW w:w="1427" w:type="dxa"/>
            <w:tcBorders>
              <w:bottom w:val="single" w:sz="2" w:space="0" w:color="000000"/>
            </w:tcBorders>
            <w:shd w:val="clear" w:color="auto" w:fill="005F83"/>
          </w:tcPr>
          <w:p w14:paraId="11055175" w14:textId="77777777" w:rsidR="00084F36" w:rsidRPr="00697E0C" w:rsidRDefault="00EB2BD8">
            <w:pPr>
              <w:pStyle w:val="TableParagraph"/>
              <w:spacing w:before="118" w:line="292" w:lineRule="auto"/>
              <w:ind w:left="128"/>
              <w:rPr>
                <w:color w:val="FFFFFF" w:themeColor="background1"/>
                <w:sz w:val="16"/>
              </w:rPr>
            </w:pPr>
            <w:r w:rsidRPr="00697E0C">
              <w:rPr>
                <w:color w:val="FFFFFF" w:themeColor="background1"/>
                <w:spacing w:val="-2"/>
                <w:sz w:val="16"/>
              </w:rPr>
              <w:t xml:space="preserve">Registration </w:t>
            </w:r>
            <w:r w:rsidRPr="00697E0C">
              <w:rPr>
                <w:color w:val="FFFFFF" w:themeColor="background1"/>
                <w:spacing w:val="-2"/>
                <w:w w:val="105"/>
                <w:sz w:val="16"/>
              </w:rPr>
              <w:t>Number</w:t>
            </w:r>
          </w:p>
        </w:tc>
        <w:tc>
          <w:tcPr>
            <w:tcW w:w="2464" w:type="dxa"/>
            <w:tcBorders>
              <w:bottom w:val="single" w:sz="2" w:space="0" w:color="000000"/>
            </w:tcBorders>
            <w:shd w:val="clear" w:color="auto" w:fill="005F83"/>
          </w:tcPr>
          <w:p w14:paraId="1412B07A" w14:textId="77777777" w:rsidR="00084F36" w:rsidRPr="00697E0C" w:rsidRDefault="00EB2BD8">
            <w:pPr>
              <w:pStyle w:val="TableParagraph"/>
              <w:spacing w:before="118"/>
              <w:ind w:left="334"/>
              <w:rPr>
                <w:color w:val="FFFFFF" w:themeColor="background1"/>
                <w:sz w:val="16"/>
              </w:rPr>
            </w:pPr>
            <w:r w:rsidRPr="00697E0C">
              <w:rPr>
                <w:color w:val="FFFFFF" w:themeColor="background1"/>
                <w:spacing w:val="-2"/>
                <w:w w:val="105"/>
                <w:sz w:val="16"/>
              </w:rPr>
              <w:t>Conduct</w:t>
            </w:r>
          </w:p>
        </w:tc>
        <w:tc>
          <w:tcPr>
            <w:tcW w:w="2313" w:type="dxa"/>
            <w:tcBorders>
              <w:bottom w:val="single" w:sz="2" w:space="0" w:color="000000"/>
            </w:tcBorders>
            <w:shd w:val="clear" w:color="auto" w:fill="005F83"/>
          </w:tcPr>
          <w:p w14:paraId="2C08E9ED" w14:textId="77777777" w:rsidR="00084F36" w:rsidRPr="00697E0C" w:rsidRDefault="00EB2BD8">
            <w:pPr>
              <w:pStyle w:val="TableParagraph"/>
              <w:spacing w:before="118"/>
              <w:ind w:left="149"/>
              <w:rPr>
                <w:color w:val="FFFFFF" w:themeColor="background1"/>
                <w:sz w:val="16"/>
              </w:rPr>
            </w:pPr>
            <w:r w:rsidRPr="00697E0C">
              <w:rPr>
                <w:color w:val="FFFFFF" w:themeColor="background1"/>
                <w:spacing w:val="-2"/>
                <w:sz w:val="16"/>
              </w:rPr>
              <w:t>Result</w:t>
            </w:r>
          </w:p>
        </w:tc>
        <w:tc>
          <w:tcPr>
            <w:tcW w:w="1078" w:type="dxa"/>
            <w:tcBorders>
              <w:bottom w:val="single" w:sz="2" w:space="0" w:color="000000"/>
            </w:tcBorders>
            <w:shd w:val="clear" w:color="auto" w:fill="005F83"/>
          </w:tcPr>
          <w:p w14:paraId="6D02E603" w14:textId="77777777" w:rsidR="00084F36" w:rsidRPr="00697E0C" w:rsidRDefault="00EB2BD8">
            <w:pPr>
              <w:pStyle w:val="TableParagraph"/>
              <w:spacing w:before="118" w:line="292" w:lineRule="auto"/>
              <w:ind w:left="115" w:right="93"/>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35</w:t>
            </w:r>
          </w:p>
        </w:tc>
        <w:tc>
          <w:tcPr>
            <w:tcW w:w="1175" w:type="dxa"/>
            <w:tcBorders>
              <w:bottom w:val="single" w:sz="2" w:space="0" w:color="000000"/>
            </w:tcBorders>
            <w:shd w:val="clear" w:color="auto" w:fill="005F83"/>
          </w:tcPr>
          <w:p w14:paraId="233EF4C8" w14:textId="77777777" w:rsidR="00084F36" w:rsidRPr="00697E0C" w:rsidRDefault="00EB2BD8">
            <w:pPr>
              <w:pStyle w:val="TableParagraph"/>
              <w:spacing w:before="118"/>
              <w:ind w:left="114"/>
              <w:rPr>
                <w:color w:val="FFFFFF" w:themeColor="background1"/>
                <w:sz w:val="9"/>
              </w:rPr>
            </w:pPr>
            <w:r w:rsidRPr="00697E0C">
              <w:rPr>
                <w:color w:val="FFFFFF" w:themeColor="background1"/>
                <w:spacing w:val="-2"/>
                <w:w w:val="105"/>
                <w:sz w:val="16"/>
              </w:rPr>
              <w:t>Date</w:t>
            </w:r>
            <w:r w:rsidRPr="00697E0C">
              <w:rPr>
                <w:color w:val="FFFFFF" w:themeColor="background1"/>
                <w:spacing w:val="-2"/>
                <w:w w:val="105"/>
                <w:position w:val="5"/>
                <w:sz w:val="9"/>
              </w:rPr>
              <w:t>36</w:t>
            </w:r>
          </w:p>
        </w:tc>
      </w:tr>
      <w:tr w:rsidR="00EB2BD8" w:rsidRPr="00EB2BD8" w14:paraId="6540B42B" w14:textId="77777777">
        <w:trPr>
          <w:trHeight w:val="326"/>
        </w:trPr>
        <w:tc>
          <w:tcPr>
            <w:tcW w:w="1742" w:type="dxa"/>
            <w:tcBorders>
              <w:top w:val="single" w:sz="2" w:space="0" w:color="000000"/>
            </w:tcBorders>
          </w:tcPr>
          <w:p w14:paraId="0446DC06" w14:textId="77777777" w:rsidR="00084F36" w:rsidRPr="00EB2BD8" w:rsidRDefault="00EB2BD8">
            <w:pPr>
              <w:pStyle w:val="TableParagraph"/>
              <w:spacing w:before="116"/>
              <w:ind w:left="113"/>
              <w:rPr>
                <w:sz w:val="16"/>
              </w:rPr>
            </w:pPr>
            <w:r w:rsidRPr="00EB2BD8">
              <w:rPr>
                <w:sz w:val="16"/>
              </w:rPr>
              <w:t>GODLER,</w:t>
            </w:r>
            <w:r w:rsidRPr="00EB2BD8">
              <w:rPr>
                <w:spacing w:val="7"/>
                <w:sz w:val="16"/>
              </w:rPr>
              <w:t xml:space="preserve"> </w:t>
            </w:r>
            <w:r w:rsidRPr="00EB2BD8">
              <w:rPr>
                <w:spacing w:val="-2"/>
                <w:sz w:val="16"/>
              </w:rPr>
              <w:t>Arkadi</w:t>
            </w:r>
          </w:p>
        </w:tc>
        <w:tc>
          <w:tcPr>
            <w:tcW w:w="1427" w:type="dxa"/>
            <w:tcBorders>
              <w:top w:val="single" w:sz="2" w:space="0" w:color="000000"/>
            </w:tcBorders>
          </w:tcPr>
          <w:p w14:paraId="2D738834" w14:textId="77777777" w:rsidR="00084F36" w:rsidRPr="00EB2BD8" w:rsidRDefault="00EB2BD8">
            <w:pPr>
              <w:pStyle w:val="TableParagraph"/>
              <w:spacing w:before="116"/>
              <w:ind w:left="128"/>
              <w:rPr>
                <w:sz w:val="16"/>
              </w:rPr>
            </w:pPr>
            <w:r w:rsidRPr="00EB2BD8">
              <w:rPr>
                <w:sz w:val="16"/>
              </w:rPr>
              <w:t>DB-U</w:t>
            </w:r>
            <w:r w:rsidRPr="00EB2BD8">
              <w:rPr>
                <w:spacing w:val="22"/>
                <w:sz w:val="16"/>
              </w:rPr>
              <w:t xml:space="preserve"> </w:t>
            </w:r>
            <w:r w:rsidRPr="00EB2BD8">
              <w:rPr>
                <w:spacing w:val="-2"/>
                <w:sz w:val="16"/>
              </w:rPr>
              <w:t>9047;</w:t>
            </w:r>
          </w:p>
        </w:tc>
        <w:tc>
          <w:tcPr>
            <w:tcW w:w="2464" w:type="dxa"/>
            <w:tcBorders>
              <w:top w:val="single" w:sz="2" w:space="0" w:color="000000"/>
            </w:tcBorders>
          </w:tcPr>
          <w:p w14:paraId="443D0B4E" w14:textId="77777777" w:rsidR="00084F36" w:rsidRPr="00EB2BD8" w:rsidRDefault="00EB2BD8">
            <w:pPr>
              <w:pStyle w:val="TableParagraph"/>
              <w:spacing w:before="116"/>
              <w:ind w:left="334"/>
              <w:rPr>
                <w:sz w:val="16"/>
              </w:rPr>
            </w:pPr>
            <w:r w:rsidRPr="00EB2BD8">
              <w:rPr>
                <w:sz w:val="16"/>
              </w:rPr>
              <w:t>Building</w:t>
            </w:r>
            <w:r w:rsidRPr="00EB2BD8">
              <w:rPr>
                <w:spacing w:val="-7"/>
                <w:sz w:val="16"/>
              </w:rPr>
              <w:t xml:space="preserve"> </w:t>
            </w:r>
            <w:r w:rsidRPr="00EB2BD8">
              <w:rPr>
                <w:sz w:val="16"/>
              </w:rPr>
              <w:t>contrary</w:t>
            </w:r>
            <w:r w:rsidRPr="00EB2BD8">
              <w:rPr>
                <w:spacing w:val="-7"/>
                <w:sz w:val="16"/>
              </w:rPr>
              <w:t xml:space="preserve"> </w:t>
            </w:r>
            <w:r w:rsidRPr="00EB2BD8">
              <w:rPr>
                <w:spacing w:val="-5"/>
                <w:sz w:val="16"/>
              </w:rPr>
              <w:t>to</w:t>
            </w:r>
          </w:p>
        </w:tc>
        <w:tc>
          <w:tcPr>
            <w:tcW w:w="2313" w:type="dxa"/>
            <w:tcBorders>
              <w:top w:val="single" w:sz="2" w:space="0" w:color="000000"/>
            </w:tcBorders>
          </w:tcPr>
          <w:p w14:paraId="74E7960F" w14:textId="77777777" w:rsidR="00084F36" w:rsidRPr="00EB2BD8" w:rsidRDefault="00EB2BD8">
            <w:pPr>
              <w:pStyle w:val="TableParagraph"/>
              <w:spacing w:before="115"/>
              <w:ind w:left="149"/>
              <w:rPr>
                <w:sz w:val="16"/>
              </w:rPr>
            </w:pPr>
            <w:r w:rsidRPr="00EB2BD8">
              <w:rPr>
                <w:spacing w:val="-2"/>
                <w:sz w:val="16"/>
              </w:rPr>
              <w:t>Reprimand,</w:t>
            </w:r>
            <w:r w:rsidRPr="00EB2BD8">
              <w:rPr>
                <w:spacing w:val="2"/>
                <w:sz w:val="16"/>
              </w:rPr>
              <w:t xml:space="preserve"> </w:t>
            </w:r>
            <w:r w:rsidRPr="00EB2BD8">
              <w:rPr>
                <w:spacing w:val="-2"/>
                <w:sz w:val="16"/>
              </w:rPr>
              <w:t>aggregate</w:t>
            </w:r>
          </w:p>
        </w:tc>
        <w:tc>
          <w:tcPr>
            <w:tcW w:w="1078" w:type="dxa"/>
            <w:tcBorders>
              <w:top w:val="single" w:sz="2" w:space="0" w:color="000000"/>
            </w:tcBorders>
          </w:tcPr>
          <w:p w14:paraId="7374BEC6" w14:textId="77777777" w:rsidR="00084F36" w:rsidRPr="00EB2BD8" w:rsidRDefault="00EB2BD8">
            <w:pPr>
              <w:pStyle w:val="TableParagraph"/>
              <w:spacing w:before="115"/>
              <w:ind w:right="110"/>
              <w:jc w:val="right"/>
              <w:rPr>
                <w:sz w:val="16"/>
              </w:rPr>
            </w:pPr>
            <w:r w:rsidRPr="00EB2BD8">
              <w:rPr>
                <w:spacing w:val="-2"/>
                <w:w w:val="95"/>
                <w:sz w:val="16"/>
              </w:rPr>
              <w:t>$9,246</w:t>
            </w:r>
          </w:p>
        </w:tc>
        <w:tc>
          <w:tcPr>
            <w:tcW w:w="1175" w:type="dxa"/>
            <w:tcBorders>
              <w:top w:val="single" w:sz="2" w:space="0" w:color="000000"/>
            </w:tcBorders>
          </w:tcPr>
          <w:p w14:paraId="60C79F8C" w14:textId="77777777" w:rsidR="00084F36" w:rsidRPr="00EB2BD8" w:rsidRDefault="00EB2BD8">
            <w:pPr>
              <w:pStyle w:val="TableParagraph"/>
              <w:spacing w:before="115"/>
              <w:ind w:left="114"/>
              <w:rPr>
                <w:sz w:val="16"/>
              </w:rPr>
            </w:pPr>
            <w:r w:rsidRPr="00EB2BD8">
              <w:rPr>
                <w:spacing w:val="-2"/>
                <w:w w:val="95"/>
                <w:sz w:val="16"/>
              </w:rPr>
              <w:t>06/07/2022</w:t>
            </w:r>
          </w:p>
        </w:tc>
      </w:tr>
      <w:tr w:rsidR="00EB2BD8" w:rsidRPr="00EB2BD8" w14:paraId="0D726264" w14:textId="77777777">
        <w:trPr>
          <w:trHeight w:val="229"/>
        </w:trPr>
        <w:tc>
          <w:tcPr>
            <w:tcW w:w="1742" w:type="dxa"/>
          </w:tcPr>
          <w:p w14:paraId="7E4CCE8D" w14:textId="77777777" w:rsidR="00084F36" w:rsidRPr="00EB2BD8" w:rsidRDefault="00084F36">
            <w:pPr>
              <w:pStyle w:val="TableParagraph"/>
              <w:rPr>
                <w:rFonts w:ascii="Times New Roman"/>
                <w:sz w:val="16"/>
              </w:rPr>
            </w:pPr>
          </w:p>
        </w:tc>
        <w:tc>
          <w:tcPr>
            <w:tcW w:w="1427" w:type="dxa"/>
          </w:tcPr>
          <w:p w14:paraId="639CFDDE" w14:textId="77777777" w:rsidR="00084F36" w:rsidRPr="00EB2BD8" w:rsidRDefault="00EB2BD8">
            <w:pPr>
              <w:pStyle w:val="TableParagraph"/>
              <w:spacing w:before="20"/>
              <w:ind w:left="128"/>
              <w:rPr>
                <w:sz w:val="16"/>
              </w:rPr>
            </w:pPr>
            <w:r w:rsidRPr="00EB2BD8">
              <w:rPr>
                <w:w w:val="105"/>
                <w:sz w:val="16"/>
              </w:rPr>
              <w:t>CB-U</w:t>
            </w:r>
            <w:r w:rsidRPr="00EB2BD8">
              <w:rPr>
                <w:spacing w:val="11"/>
                <w:w w:val="105"/>
                <w:sz w:val="16"/>
              </w:rPr>
              <w:t xml:space="preserve"> </w:t>
            </w:r>
            <w:r w:rsidRPr="00EB2BD8">
              <w:rPr>
                <w:spacing w:val="-4"/>
                <w:w w:val="105"/>
                <w:sz w:val="16"/>
              </w:rPr>
              <w:t>2730</w:t>
            </w:r>
          </w:p>
        </w:tc>
        <w:tc>
          <w:tcPr>
            <w:tcW w:w="2464" w:type="dxa"/>
          </w:tcPr>
          <w:p w14:paraId="18C4173A" w14:textId="77777777" w:rsidR="00084F36" w:rsidRPr="00EB2BD8" w:rsidRDefault="00EB2BD8">
            <w:pPr>
              <w:pStyle w:val="TableParagraph"/>
              <w:spacing w:before="20"/>
              <w:ind w:left="334"/>
              <w:rPr>
                <w:sz w:val="16"/>
              </w:rPr>
            </w:pPr>
            <w:r w:rsidRPr="00EB2BD8">
              <w:rPr>
                <w:sz w:val="16"/>
              </w:rPr>
              <w:t>a</w:t>
            </w:r>
            <w:r w:rsidRPr="00EB2BD8">
              <w:rPr>
                <w:spacing w:val="-12"/>
                <w:sz w:val="16"/>
              </w:rPr>
              <w:t xml:space="preserve"> </w:t>
            </w:r>
            <w:r w:rsidRPr="00EB2BD8">
              <w:rPr>
                <w:sz w:val="16"/>
              </w:rPr>
              <w:t>building</w:t>
            </w:r>
            <w:r w:rsidRPr="00EB2BD8">
              <w:rPr>
                <w:spacing w:val="-12"/>
                <w:sz w:val="16"/>
              </w:rPr>
              <w:t xml:space="preserve"> </w:t>
            </w:r>
            <w:r w:rsidRPr="00EB2BD8">
              <w:rPr>
                <w:spacing w:val="-2"/>
                <w:sz w:val="16"/>
              </w:rPr>
              <w:t>permit,</w:t>
            </w:r>
          </w:p>
        </w:tc>
        <w:tc>
          <w:tcPr>
            <w:tcW w:w="2313" w:type="dxa"/>
          </w:tcPr>
          <w:p w14:paraId="35BBBCED" w14:textId="77777777" w:rsidR="00084F36" w:rsidRPr="00EB2BD8" w:rsidRDefault="00EB2BD8">
            <w:pPr>
              <w:pStyle w:val="TableParagraph"/>
              <w:spacing w:before="19"/>
              <w:ind w:left="149"/>
              <w:rPr>
                <w:sz w:val="16"/>
              </w:rPr>
            </w:pPr>
            <w:r w:rsidRPr="00EB2BD8">
              <w:rPr>
                <w:spacing w:val="-4"/>
                <w:sz w:val="16"/>
              </w:rPr>
              <w:t>penalties</w:t>
            </w:r>
            <w:r w:rsidRPr="00EB2BD8">
              <w:rPr>
                <w:spacing w:val="-7"/>
                <w:sz w:val="16"/>
              </w:rPr>
              <w:t xml:space="preserve"> </w:t>
            </w:r>
            <w:r w:rsidRPr="00EB2BD8">
              <w:rPr>
                <w:spacing w:val="-4"/>
                <w:sz w:val="16"/>
              </w:rPr>
              <w:t>of</w:t>
            </w:r>
            <w:r w:rsidRPr="00EB2BD8">
              <w:rPr>
                <w:spacing w:val="-7"/>
                <w:sz w:val="16"/>
              </w:rPr>
              <w:t xml:space="preserve"> </w:t>
            </w:r>
            <w:r w:rsidRPr="00EB2BD8">
              <w:rPr>
                <w:spacing w:val="-4"/>
                <w:sz w:val="16"/>
              </w:rPr>
              <w:t>$9,246</w:t>
            </w:r>
            <w:r w:rsidRPr="00EB2BD8">
              <w:rPr>
                <w:spacing w:val="-7"/>
                <w:sz w:val="16"/>
              </w:rPr>
              <w:t xml:space="preserve"> </w:t>
            </w:r>
            <w:r w:rsidRPr="00EB2BD8">
              <w:rPr>
                <w:spacing w:val="-4"/>
                <w:sz w:val="16"/>
              </w:rPr>
              <w:t>and</w:t>
            </w:r>
            <w:r w:rsidRPr="00EB2BD8">
              <w:rPr>
                <w:spacing w:val="-7"/>
                <w:sz w:val="16"/>
              </w:rPr>
              <w:t xml:space="preserve"> </w:t>
            </w:r>
            <w:r w:rsidRPr="00EB2BD8">
              <w:rPr>
                <w:spacing w:val="-10"/>
                <w:sz w:val="16"/>
              </w:rPr>
              <w:t>a</w:t>
            </w:r>
          </w:p>
        </w:tc>
        <w:tc>
          <w:tcPr>
            <w:tcW w:w="1078" w:type="dxa"/>
          </w:tcPr>
          <w:p w14:paraId="7E4B940E" w14:textId="77777777" w:rsidR="00084F36" w:rsidRPr="00EB2BD8" w:rsidRDefault="00084F36">
            <w:pPr>
              <w:pStyle w:val="TableParagraph"/>
              <w:rPr>
                <w:rFonts w:ascii="Times New Roman"/>
                <w:sz w:val="16"/>
              </w:rPr>
            </w:pPr>
          </w:p>
        </w:tc>
        <w:tc>
          <w:tcPr>
            <w:tcW w:w="1175" w:type="dxa"/>
          </w:tcPr>
          <w:p w14:paraId="347BD3A0" w14:textId="77777777" w:rsidR="00084F36" w:rsidRPr="00EB2BD8" w:rsidRDefault="00084F36">
            <w:pPr>
              <w:pStyle w:val="TableParagraph"/>
              <w:rPr>
                <w:rFonts w:ascii="Times New Roman"/>
                <w:sz w:val="16"/>
              </w:rPr>
            </w:pPr>
          </w:p>
        </w:tc>
      </w:tr>
      <w:tr w:rsidR="00EB2BD8" w:rsidRPr="00EB2BD8" w14:paraId="2D51C543" w14:textId="77777777">
        <w:trPr>
          <w:trHeight w:val="229"/>
        </w:trPr>
        <w:tc>
          <w:tcPr>
            <w:tcW w:w="1742" w:type="dxa"/>
          </w:tcPr>
          <w:p w14:paraId="783551D1" w14:textId="77777777" w:rsidR="00084F36" w:rsidRPr="00EB2BD8" w:rsidRDefault="00084F36">
            <w:pPr>
              <w:pStyle w:val="TableParagraph"/>
              <w:rPr>
                <w:rFonts w:ascii="Times New Roman"/>
                <w:sz w:val="16"/>
              </w:rPr>
            </w:pPr>
          </w:p>
        </w:tc>
        <w:tc>
          <w:tcPr>
            <w:tcW w:w="1427" w:type="dxa"/>
          </w:tcPr>
          <w:p w14:paraId="3090C7AC" w14:textId="77777777" w:rsidR="00084F36" w:rsidRPr="00EB2BD8" w:rsidRDefault="00084F36">
            <w:pPr>
              <w:pStyle w:val="TableParagraph"/>
              <w:rPr>
                <w:rFonts w:ascii="Times New Roman"/>
                <w:sz w:val="16"/>
              </w:rPr>
            </w:pPr>
          </w:p>
        </w:tc>
        <w:tc>
          <w:tcPr>
            <w:tcW w:w="2464" w:type="dxa"/>
          </w:tcPr>
          <w:p w14:paraId="3D48D7FE" w14:textId="77777777" w:rsidR="00084F36" w:rsidRPr="00EB2BD8" w:rsidRDefault="00EB2BD8">
            <w:pPr>
              <w:pStyle w:val="TableParagraph"/>
              <w:spacing w:before="20"/>
              <w:ind w:left="334"/>
              <w:rPr>
                <w:sz w:val="16"/>
              </w:rPr>
            </w:pPr>
            <w:r w:rsidRPr="00EB2BD8">
              <w:rPr>
                <w:spacing w:val="-2"/>
                <w:sz w:val="16"/>
              </w:rPr>
              <w:t>performing</w:t>
            </w:r>
            <w:r w:rsidRPr="00EB2BD8">
              <w:rPr>
                <w:spacing w:val="-6"/>
                <w:sz w:val="16"/>
              </w:rPr>
              <w:t xml:space="preserve"> </w:t>
            </w:r>
            <w:r w:rsidRPr="00EB2BD8">
              <w:rPr>
                <w:spacing w:val="-2"/>
                <w:sz w:val="16"/>
              </w:rPr>
              <w:t>building</w:t>
            </w:r>
          </w:p>
        </w:tc>
        <w:tc>
          <w:tcPr>
            <w:tcW w:w="2313" w:type="dxa"/>
          </w:tcPr>
          <w:p w14:paraId="2E930231" w14:textId="77777777" w:rsidR="00084F36" w:rsidRPr="00EB2BD8" w:rsidRDefault="00EB2BD8">
            <w:pPr>
              <w:pStyle w:val="TableParagraph"/>
              <w:spacing w:before="19"/>
              <w:ind w:left="149"/>
              <w:rPr>
                <w:sz w:val="16"/>
              </w:rPr>
            </w:pPr>
            <w:r w:rsidRPr="00EB2BD8">
              <w:rPr>
                <w:spacing w:val="-2"/>
                <w:sz w:val="16"/>
              </w:rPr>
              <w:t>requirement</w:t>
            </w:r>
            <w:r w:rsidRPr="00EB2BD8">
              <w:rPr>
                <w:spacing w:val="-3"/>
                <w:sz w:val="16"/>
              </w:rPr>
              <w:t xml:space="preserve"> </w:t>
            </w:r>
            <w:r w:rsidRPr="00EB2BD8">
              <w:rPr>
                <w:spacing w:val="-2"/>
                <w:sz w:val="16"/>
              </w:rPr>
              <w:t>to complete</w:t>
            </w:r>
            <w:r w:rsidRPr="00EB2BD8">
              <w:rPr>
                <w:spacing w:val="-3"/>
                <w:sz w:val="16"/>
              </w:rPr>
              <w:t xml:space="preserve"> </w:t>
            </w:r>
            <w:r w:rsidRPr="00EB2BD8">
              <w:rPr>
                <w:spacing w:val="-10"/>
                <w:sz w:val="16"/>
              </w:rPr>
              <w:t>a</w:t>
            </w:r>
          </w:p>
        </w:tc>
        <w:tc>
          <w:tcPr>
            <w:tcW w:w="1078" w:type="dxa"/>
          </w:tcPr>
          <w:p w14:paraId="58C7E040" w14:textId="77777777" w:rsidR="00084F36" w:rsidRPr="00EB2BD8" w:rsidRDefault="00084F36">
            <w:pPr>
              <w:pStyle w:val="TableParagraph"/>
              <w:rPr>
                <w:rFonts w:ascii="Times New Roman"/>
                <w:sz w:val="16"/>
              </w:rPr>
            </w:pPr>
          </w:p>
        </w:tc>
        <w:tc>
          <w:tcPr>
            <w:tcW w:w="1175" w:type="dxa"/>
          </w:tcPr>
          <w:p w14:paraId="06F2D7E9" w14:textId="77777777" w:rsidR="00084F36" w:rsidRPr="00EB2BD8" w:rsidRDefault="00084F36">
            <w:pPr>
              <w:pStyle w:val="TableParagraph"/>
              <w:rPr>
                <w:rFonts w:ascii="Times New Roman"/>
                <w:sz w:val="16"/>
              </w:rPr>
            </w:pPr>
          </w:p>
        </w:tc>
      </w:tr>
      <w:tr w:rsidR="00EB2BD8" w:rsidRPr="00EB2BD8" w14:paraId="50305B7E" w14:textId="77777777">
        <w:trPr>
          <w:trHeight w:val="230"/>
        </w:trPr>
        <w:tc>
          <w:tcPr>
            <w:tcW w:w="1742" w:type="dxa"/>
          </w:tcPr>
          <w:p w14:paraId="350956FC" w14:textId="77777777" w:rsidR="00084F36" w:rsidRPr="00EB2BD8" w:rsidRDefault="00084F36">
            <w:pPr>
              <w:pStyle w:val="TableParagraph"/>
              <w:rPr>
                <w:rFonts w:ascii="Times New Roman"/>
                <w:sz w:val="16"/>
              </w:rPr>
            </w:pPr>
          </w:p>
        </w:tc>
        <w:tc>
          <w:tcPr>
            <w:tcW w:w="1427" w:type="dxa"/>
          </w:tcPr>
          <w:p w14:paraId="425ACB80" w14:textId="77777777" w:rsidR="00084F36" w:rsidRPr="00EB2BD8" w:rsidRDefault="00084F36">
            <w:pPr>
              <w:pStyle w:val="TableParagraph"/>
              <w:rPr>
                <w:rFonts w:ascii="Times New Roman"/>
                <w:sz w:val="16"/>
              </w:rPr>
            </w:pPr>
          </w:p>
        </w:tc>
        <w:tc>
          <w:tcPr>
            <w:tcW w:w="2464" w:type="dxa"/>
          </w:tcPr>
          <w:p w14:paraId="303DD20E" w14:textId="77777777" w:rsidR="00084F36" w:rsidRPr="00EB2BD8" w:rsidRDefault="00EB2BD8">
            <w:pPr>
              <w:pStyle w:val="TableParagraph"/>
              <w:spacing w:before="20"/>
              <w:ind w:left="334"/>
              <w:rPr>
                <w:sz w:val="16"/>
              </w:rPr>
            </w:pPr>
            <w:r w:rsidRPr="00EB2BD8">
              <w:rPr>
                <w:spacing w:val="-2"/>
                <w:sz w:val="16"/>
              </w:rPr>
              <w:t>work</w:t>
            </w:r>
            <w:r w:rsidRPr="00EB2BD8">
              <w:rPr>
                <w:spacing w:val="-7"/>
                <w:sz w:val="16"/>
              </w:rPr>
              <w:t xml:space="preserve"> </w:t>
            </w:r>
            <w:r w:rsidRPr="00EB2BD8">
              <w:rPr>
                <w:spacing w:val="-2"/>
                <w:sz w:val="16"/>
              </w:rPr>
              <w:t>other</w:t>
            </w:r>
            <w:r w:rsidRPr="00EB2BD8">
              <w:rPr>
                <w:spacing w:val="-7"/>
                <w:sz w:val="16"/>
              </w:rPr>
              <w:t xml:space="preserve"> </w:t>
            </w:r>
            <w:r w:rsidRPr="00EB2BD8">
              <w:rPr>
                <w:spacing w:val="-2"/>
                <w:sz w:val="16"/>
              </w:rPr>
              <w:t>than</w:t>
            </w:r>
            <w:r w:rsidRPr="00EB2BD8">
              <w:rPr>
                <w:spacing w:val="-6"/>
                <w:sz w:val="16"/>
              </w:rPr>
              <w:t xml:space="preserve"> </w:t>
            </w:r>
            <w:r w:rsidRPr="00EB2BD8">
              <w:rPr>
                <w:spacing w:val="-2"/>
                <w:sz w:val="16"/>
              </w:rPr>
              <w:t>in</w:t>
            </w:r>
            <w:r w:rsidRPr="00EB2BD8">
              <w:rPr>
                <w:spacing w:val="-7"/>
                <w:sz w:val="16"/>
              </w:rPr>
              <w:t xml:space="preserve"> </w:t>
            </w:r>
            <w:r w:rsidRPr="00EB2BD8">
              <w:rPr>
                <w:spacing w:val="-10"/>
                <w:sz w:val="16"/>
              </w:rPr>
              <w:t>a</w:t>
            </w:r>
          </w:p>
        </w:tc>
        <w:tc>
          <w:tcPr>
            <w:tcW w:w="2313" w:type="dxa"/>
          </w:tcPr>
          <w:p w14:paraId="4EB033C8" w14:textId="77777777" w:rsidR="00084F36" w:rsidRPr="00EB2BD8" w:rsidRDefault="00EB2BD8">
            <w:pPr>
              <w:pStyle w:val="TableParagraph"/>
              <w:spacing w:before="19"/>
              <w:ind w:left="149"/>
              <w:rPr>
                <w:sz w:val="16"/>
              </w:rPr>
            </w:pPr>
            <w:r w:rsidRPr="00EB2BD8">
              <w:rPr>
                <w:spacing w:val="-2"/>
                <w:sz w:val="16"/>
              </w:rPr>
              <w:t>course</w:t>
            </w:r>
            <w:r w:rsidRPr="00EB2BD8">
              <w:rPr>
                <w:spacing w:val="-6"/>
                <w:sz w:val="16"/>
              </w:rPr>
              <w:t xml:space="preserve"> </w:t>
            </w:r>
            <w:r w:rsidRPr="00EB2BD8">
              <w:rPr>
                <w:spacing w:val="-2"/>
                <w:sz w:val="16"/>
              </w:rPr>
              <w:t>of</w:t>
            </w:r>
            <w:r w:rsidRPr="00EB2BD8">
              <w:rPr>
                <w:spacing w:val="-5"/>
                <w:sz w:val="16"/>
              </w:rPr>
              <w:t xml:space="preserve"> </w:t>
            </w:r>
            <w:r w:rsidRPr="00EB2BD8">
              <w:rPr>
                <w:spacing w:val="-2"/>
                <w:sz w:val="16"/>
              </w:rPr>
              <w:t>training.</w:t>
            </w:r>
          </w:p>
        </w:tc>
        <w:tc>
          <w:tcPr>
            <w:tcW w:w="1078" w:type="dxa"/>
          </w:tcPr>
          <w:p w14:paraId="58BF718C" w14:textId="77777777" w:rsidR="00084F36" w:rsidRPr="00EB2BD8" w:rsidRDefault="00084F36">
            <w:pPr>
              <w:pStyle w:val="TableParagraph"/>
              <w:rPr>
                <w:rFonts w:ascii="Times New Roman"/>
                <w:sz w:val="16"/>
              </w:rPr>
            </w:pPr>
          </w:p>
        </w:tc>
        <w:tc>
          <w:tcPr>
            <w:tcW w:w="1175" w:type="dxa"/>
          </w:tcPr>
          <w:p w14:paraId="4373E54C" w14:textId="77777777" w:rsidR="00084F36" w:rsidRPr="00EB2BD8" w:rsidRDefault="00084F36">
            <w:pPr>
              <w:pStyle w:val="TableParagraph"/>
              <w:rPr>
                <w:rFonts w:ascii="Times New Roman"/>
                <w:sz w:val="16"/>
              </w:rPr>
            </w:pPr>
          </w:p>
        </w:tc>
      </w:tr>
      <w:tr w:rsidR="00EB2BD8" w:rsidRPr="00EB2BD8" w14:paraId="5600D44B" w14:textId="77777777">
        <w:trPr>
          <w:trHeight w:val="229"/>
        </w:trPr>
        <w:tc>
          <w:tcPr>
            <w:tcW w:w="1742" w:type="dxa"/>
          </w:tcPr>
          <w:p w14:paraId="6A32C42B" w14:textId="77777777" w:rsidR="00084F36" w:rsidRPr="00EB2BD8" w:rsidRDefault="00084F36">
            <w:pPr>
              <w:pStyle w:val="TableParagraph"/>
              <w:rPr>
                <w:rFonts w:ascii="Times New Roman"/>
                <w:sz w:val="16"/>
              </w:rPr>
            </w:pPr>
          </w:p>
        </w:tc>
        <w:tc>
          <w:tcPr>
            <w:tcW w:w="1427" w:type="dxa"/>
          </w:tcPr>
          <w:p w14:paraId="389C85D4" w14:textId="77777777" w:rsidR="00084F36" w:rsidRPr="00EB2BD8" w:rsidRDefault="00084F36">
            <w:pPr>
              <w:pStyle w:val="TableParagraph"/>
              <w:rPr>
                <w:rFonts w:ascii="Times New Roman"/>
                <w:sz w:val="16"/>
              </w:rPr>
            </w:pPr>
          </w:p>
        </w:tc>
        <w:tc>
          <w:tcPr>
            <w:tcW w:w="2464" w:type="dxa"/>
          </w:tcPr>
          <w:p w14:paraId="67C6F88B" w14:textId="77777777" w:rsidR="00084F36" w:rsidRPr="00EB2BD8" w:rsidRDefault="00EB2BD8">
            <w:pPr>
              <w:pStyle w:val="TableParagraph"/>
              <w:spacing w:before="19"/>
              <w:ind w:left="334"/>
              <w:rPr>
                <w:sz w:val="16"/>
              </w:rPr>
            </w:pPr>
            <w:r w:rsidRPr="00EB2BD8">
              <w:rPr>
                <w:sz w:val="16"/>
              </w:rPr>
              <w:t>competent</w:t>
            </w:r>
            <w:r w:rsidRPr="00EB2BD8">
              <w:rPr>
                <w:spacing w:val="-1"/>
                <w:sz w:val="16"/>
              </w:rPr>
              <w:t xml:space="preserve"> </w:t>
            </w:r>
            <w:r w:rsidRPr="00EB2BD8">
              <w:rPr>
                <w:spacing w:val="-2"/>
                <w:sz w:val="16"/>
              </w:rPr>
              <w:t>manner</w:t>
            </w:r>
          </w:p>
        </w:tc>
        <w:tc>
          <w:tcPr>
            <w:tcW w:w="2313" w:type="dxa"/>
          </w:tcPr>
          <w:p w14:paraId="5739E73A" w14:textId="77777777" w:rsidR="00084F36" w:rsidRPr="00EB2BD8" w:rsidRDefault="00084F36">
            <w:pPr>
              <w:pStyle w:val="TableParagraph"/>
              <w:rPr>
                <w:rFonts w:ascii="Times New Roman"/>
                <w:sz w:val="16"/>
              </w:rPr>
            </w:pPr>
          </w:p>
        </w:tc>
        <w:tc>
          <w:tcPr>
            <w:tcW w:w="1078" w:type="dxa"/>
          </w:tcPr>
          <w:p w14:paraId="63688A23" w14:textId="77777777" w:rsidR="00084F36" w:rsidRPr="00EB2BD8" w:rsidRDefault="00084F36">
            <w:pPr>
              <w:pStyle w:val="TableParagraph"/>
              <w:rPr>
                <w:rFonts w:ascii="Times New Roman"/>
                <w:sz w:val="16"/>
              </w:rPr>
            </w:pPr>
          </w:p>
        </w:tc>
        <w:tc>
          <w:tcPr>
            <w:tcW w:w="1175" w:type="dxa"/>
          </w:tcPr>
          <w:p w14:paraId="3C885A66" w14:textId="77777777" w:rsidR="00084F36" w:rsidRPr="00EB2BD8" w:rsidRDefault="00084F36">
            <w:pPr>
              <w:pStyle w:val="TableParagraph"/>
              <w:rPr>
                <w:rFonts w:ascii="Times New Roman"/>
                <w:sz w:val="16"/>
              </w:rPr>
            </w:pPr>
          </w:p>
        </w:tc>
      </w:tr>
      <w:tr w:rsidR="00EB2BD8" w:rsidRPr="00EB2BD8" w14:paraId="775A9F0B" w14:textId="77777777">
        <w:trPr>
          <w:trHeight w:val="229"/>
        </w:trPr>
        <w:tc>
          <w:tcPr>
            <w:tcW w:w="1742" w:type="dxa"/>
          </w:tcPr>
          <w:p w14:paraId="78DD27E5" w14:textId="77777777" w:rsidR="00084F36" w:rsidRPr="00EB2BD8" w:rsidRDefault="00084F36">
            <w:pPr>
              <w:pStyle w:val="TableParagraph"/>
              <w:rPr>
                <w:rFonts w:ascii="Times New Roman"/>
                <w:sz w:val="16"/>
              </w:rPr>
            </w:pPr>
          </w:p>
        </w:tc>
        <w:tc>
          <w:tcPr>
            <w:tcW w:w="1427" w:type="dxa"/>
          </w:tcPr>
          <w:p w14:paraId="5750768C" w14:textId="77777777" w:rsidR="00084F36" w:rsidRPr="00EB2BD8" w:rsidRDefault="00084F36">
            <w:pPr>
              <w:pStyle w:val="TableParagraph"/>
              <w:rPr>
                <w:rFonts w:ascii="Times New Roman"/>
                <w:sz w:val="16"/>
              </w:rPr>
            </w:pPr>
          </w:p>
        </w:tc>
        <w:tc>
          <w:tcPr>
            <w:tcW w:w="2464" w:type="dxa"/>
          </w:tcPr>
          <w:p w14:paraId="44E0CA87" w14:textId="77777777" w:rsidR="00084F36" w:rsidRPr="00EB2BD8" w:rsidRDefault="00EB2BD8">
            <w:pPr>
              <w:pStyle w:val="TableParagraph"/>
              <w:spacing w:before="19"/>
              <w:ind w:left="334"/>
              <w:rPr>
                <w:sz w:val="16"/>
              </w:rPr>
            </w:pPr>
            <w:r w:rsidRPr="00EB2BD8">
              <w:rPr>
                <w:sz w:val="16"/>
              </w:rPr>
              <w:t>and</w:t>
            </w:r>
            <w:r w:rsidRPr="00EB2BD8">
              <w:rPr>
                <w:spacing w:val="-5"/>
                <w:sz w:val="16"/>
              </w:rPr>
              <w:t xml:space="preserve"> </w:t>
            </w:r>
            <w:r w:rsidRPr="00EB2BD8">
              <w:rPr>
                <w:sz w:val="16"/>
              </w:rPr>
              <w:t>to</w:t>
            </w:r>
            <w:r w:rsidRPr="00EB2BD8">
              <w:rPr>
                <w:spacing w:val="-4"/>
                <w:sz w:val="16"/>
              </w:rPr>
              <w:t xml:space="preserve"> </w:t>
            </w:r>
            <w:r w:rsidRPr="00EB2BD8">
              <w:rPr>
                <w:sz w:val="16"/>
              </w:rPr>
              <w:t>a</w:t>
            </w:r>
            <w:r w:rsidRPr="00EB2BD8">
              <w:rPr>
                <w:spacing w:val="-4"/>
                <w:sz w:val="16"/>
              </w:rPr>
              <w:t xml:space="preserve"> </w:t>
            </w:r>
            <w:r w:rsidRPr="00EB2BD8">
              <w:rPr>
                <w:spacing w:val="-2"/>
                <w:sz w:val="16"/>
              </w:rPr>
              <w:t>professional</w:t>
            </w:r>
          </w:p>
        </w:tc>
        <w:tc>
          <w:tcPr>
            <w:tcW w:w="2313" w:type="dxa"/>
          </w:tcPr>
          <w:p w14:paraId="7EC66592" w14:textId="77777777" w:rsidR="00084F36" w:rsidRPr="00EB2BD8" w:rsidRDefault="00084F36">
            <w:pPr>
              <w:pStyle w:val="TableParagraph"/>
              <w:rPr>
                <w:rFonts w:ascii="Times New Roman"/>
                <w:sz w:val="16"/>
              </w:rPr>
            </w:pPr>
          </w:p>
        </w:tc>
        <w:tc>
          <w:tcPr>
            <w:tcW w:w="1078" w:type="dxa"/>
          </w:tcPr>
          <w:p w14:paraId="1C338BA6" w14:textId="77777777" w:rsidR="00084F36" w:rsidRPr="00EB2BD8" w:rsidRDefault="00084F36">
            <w:pPr>
              <w:pStyle w:val="TableParagraph"/>
              <w:rPr>
                <w:rFonts w:ascii="Times New Roman"/>
                <w:sz w:val="16"/>
              </w:rPr>
            </w:pPr>
          </w:p>
        </w:tc>
        <w:tc>
          <w:tcPr>
            <w:tcW w:w="1175" w:type="dxa"/>
          </w:tcPr>
          <w:p w14:paraId="008131A8" w14:textId="77777777" w:rsidR="00084F36" w:rsidRPr="00EB2BD8" w:rsidRDefault="00084F36">
            <w:pPr>
              <w:pStyle w:val="TableParagraph"/>
              <w:rPr>
                <w:rFonts w:ascii="Times New Roman"/>
                <w:sz w:val="16"/>
              </w:rPr>
            </w:pPr>
          </w:p>
        </w:tc>
      </w:tr>
      <w:tr w:rsidR="00EB2BD8" w:rsidRPr="00EB2BD8" w14:paraId="7204AB68" w14:textId="77777777">
        <w:trPr>
          <w:trHeight w:val="229"/>
        </w:trPr>
        <w:tc>
          <w:tcPr>
            <w:tcW w:w="1742" w:type="dxa"/>
          </w:tcPr>
          <w:p w14:paraId="6A945EDB" w14:textId="77777777" w:rsidR="00084F36" w:rsidRPr="00EB2BD8" w:rsidRDefault="00084F36">
            <w:pPr>
              <w:pStyle w:val="TableParagraph"/>
              <w:rPr>
                <w:rFonts w:ascii="Times New Roman"/>
                <w:sz w:val="16"/>
              </w:rPr>
            </w:pPr>
          </w:p>
        </w:tc>
        <w:tc>
          <w:tcPr>
            <w:tcW w:w="1427" w:type="dxa"/>
          </w:tcPr>
          <w:p w14:paraId="5907F8A9" w14:textId="77777777" w:rsidR="00084F36" w:rsidRPr="00EB2BD8" w:rsidRDefault="00084F36">
            <w:pPr>
              <w:pStyle w:val="TableParagraph"/>
              <w:rPr>
                <w:rFonts w:ascii="Times New Roman"/>
                <w:sz w:val="16"/>
              </w:rPr>
            </w:pPr>
          </w:p>
        </w:tc>
        <w:tc>
          <w:tcPr>
            <w:tcW w:w="2464" w:type="dxa"/>
          </w:tcPr>
          <w:p w14:paraId="21DB43F6" w14:textId="77777777" w:rsidR="00084F36" w:rsidRPr="00EB2BD8" w:rsidRDefault="00EB2BD8">
            <w:pPr>
              <w:pStyle w:val="TableParagraph"/>
              <w:spacing w:before="19"/>
              <w:ind w:left="334"/>
              <w:rPr>
                <w:sz w:val="16"/>
              </w:rPr>
            </w:pPr>
            <w:r w:rsidRPr="00EB2BD8">
              <w:rPr>
                <w:spacing w:val="-2"/>
                <w:w w:val="105"/>
                <w:sz w:val="16"/>
              </w:rPr>
              <w:t>standard</w:t>
            </w:r>
            <w:r w:rsidRPr="00EB2BD8">
              <w:rPr>
                <w:spacing w:val="-11"/>
                <w:w w:val="105"/>
                <w:sz w:val="16"/>
              </w:rPr>
              <w:t xml:space="preserve"> </w:t>
            </w:r>
            <w:r w:rsidRPr="00EB2BD8">
              <w:rPr>
                <w:spacing w:val="-2"/>
                <w:w w:val="105"/>
                <w:sz w:val="16"/>
              </w:rPr>
              <w:t>and</w:t>
            </w:r>
            <w:r w:rsidRPr="00EB2BD8">
              <w:rPr>
                <w:spacing w:val="-11"/>
                <w:w w:val="105"/>
                <w:sz w:val="16"/>
              </w:rPr>
              <w:t xml:space="preserve"> </w:t>
            </w:r>
            <w:r w:rsidRPr="00EB2BD8">
              <w:rPr>
                <w:spacing w:val="-2"/>
                <w:w w:val="105"/>
                <w:sz w:val="16"/>
              </w:rPr>
              <w:t>engaging</w:t>
            </w:r>
          </w:p>
        </w:tc>
        <w:tc>
          <w:tcPr>
            <w:tcW w:w="2313" w:type="dxa"/>
          </w:tcPr>
          <w:p w14:paraId="73CB02AA" w14:textId="77777777" w:rsidR="00084F36" w:rsidRPr="00EB2BD8" w:rsidRDefault="00084F36">
            <w:pPr>
              <w:pStyle w:val="TableParagraph"/>
              <w:rPr>
                <w:rFonts w:ascii="Times New Roman"/>
                <w:sz w:val="16"/>
              </w:rPr>
            </w:pPr>
          </w:p>
        </w:tc>
        <w:tc>
          <w:tcPr>
            <w:tcW w:w="1078" w:type="dxa"/>
          </w:tcPr>
          <w:p w14:paraId="4E322CD7" w14:textId="77777777" w:rsidR="00084F36" w:rsidRPr="00EB2BD8" w:rsidRDefault="00084F36">
            <w:pPr>
              <w:pStyle w:val="TableParagraph"/>
              <w:rPr>
                <w:rFonts w:ascii="Times New Roman"/>
                <w:sz w:val="16"/>
              </w:rPr>
            </w:pPr>
          </w:p>
        </w:tc>
        <w:tc>
          <w:tcPr>
            <w:tcW w:w="1175" w:type="dxa"/>
          </w:tcPr>
          <w:p w14:paraId="75EF2252" w14:textId="77777777" w:rsidR="00084F36" w:rsidRPr="00EB2BD8" w:rsidRDefault="00084F36">
            <w:pPr>
              <w:pStyle w:val="TableParagraph"/>
              <w:rPr>
                <w:rFonts w:ascii="Times New Roman"/>
                <w:sz w:val="16"/>
              </w:rPr>
            </w:pPr>
          </w:p>
        </w:tc>
      </w:tr>
      <w:tr w:rsidR="00EB2BD8" w:rsidRPr="00EB2BD8" w14:paraId="158CA5D9" w14:textId="77777777">
        <w:trPr>
          <w:trHeight w:val="229"/>
        </w:trPr>
        <w:tc>
          <w:tcPr>
            <w:tcW w:w="1742" w:type="dxa"/>
          </w:tcPr>
          <w:p w14:paraId="3830AC4B" w14:textId="77777777" w:rsidR="00084F36" w:rsidRPr="00EB2BD8" w:rsidRDefault="00084F36">
            <w:pPr>
              <w:pStyle w:val="TableParagraph"/>
              <w:rPr>
                <w:rFonts w:ascii="Times New Roman"/>
                <w:sz w:val="16"/>
              </w:rPr>
            </w:pPr>
          </w:p>
        </w:tc>
        <w:tc>
          <w:tcPr>
            <w:tcW w:w="1427" w:type="dxa"/>
          </w:tcPr>
          <w:p w14:paraId="3E4E884C" w14:textId="77777777" w:rsidR="00084F36" w:rsidRPr="00EB2BD8" w:rsidRDefault="00084F36">
            <w:pPr>
              <w:pStyle w:val="TableParagraph"/>
              <w:rPr>
                <w:rFonts w:ascii="Times New Roman"/>
                <w:sz w:val="16"/>
              </w:rPr>
            </w:pPr>
          </w:p>
        </w:tc>
        <w:tc>
          <w:tcPr>
            <w:tcW w:w="2464" w:type="dxa"/>
          </w:tcPr>
          <w:p w14:paraId="65CF9749" w14:textId="77777777" w:rsidR="00084F36" w:rsidRPr="00EB2BD8" w:rsidRDefault="00EB2BD8">
            <w:pPr>
              <w:pStyle w:val="TableParagraph"/>
              <w:spacing w:before="19"/>
              <w:ind w:left="334"/>
              <w:rPr>
                <w:sz w:val="16"/>
              </w:rPr>
            </w:pPr>
            <w:r w:rsidRPr="00EB2BD8">
              <w:rPr>
                <w:spacing w:val="-4"/>
                <w:sz w:val="16"/>
              </w:rPr>
              <w:t>in</w:t>
            </w:r>
            <w:r w:rsidRPr="00EB2BD8">
              <w:rPr>
                <w:spacing w:val="-10"/>
                <w:sz w:val="16"/>
              </w:rPr>
              <w:t xml:space="preserve"> </w:t>
            </w:r>
            <w:r w:rsidRPr="00EB2BD8">
              <w:rPr>
                <w:spacing w:val="-2"/>
                <w:sz w:val="16"/>
              </w:rPr>
              <w:t>unprofessional</w:t>
            </w:r>
          </w:p>
        </w:tc>
        <w:tc>
          <w:tcPr>
            <w:tcW w:w="2313" w:type="dxa"/>
          </w:tcPr>
          <w:p w14:paraId="67EBB6E4" w14:textId="77777777" w:rsidR="00084F36" w:rsidRPr="00EB2BD8" w:rsidRDefault="00084F36">
            <w:pPr>
              <w:pStyle w:val="TableParagraph"/>
              <w:rPr>
                <w:rFonts w:ascii="Times New Roman"/>
                <w:sz w:val="16"/>
              </w:rPr>
            </w:pPr>
          </w:p>
        </w:tc>
        <w:tc>
          <w:tcPr>
            <w:tcW w:w="1078" w:type="dxa"/>
          </w:tcPr>
          <w:p w14:paraId="58D42DD5" w14:textId="77777777" w:rsidR="00084F36" w:rsidRPr="00EB2BD8" w:rsidRDefault="00084F36">
            <w:pPr>
              <w:pStyle w:val="TableParagraph"/>
              <w:rPr>
                <w:rFonts w:ascii="Times New Roman"/>
                <w:sz w:val="16"/>
              </w:rPr>
            </w:pPr>
          </w:p>
        </w:tc>
        <w:tc>
          <w:tcPr>
            <w:tcW w:w="1175" w:type="dxa"/>
          </w:tcPr>
          <w:p w14:paraId="5EEF1886" w14:textId="77777777" w:rsidR="00084F36" w:rsidRPr="00EB2BD8" w:rsidRDefault="00084F36">
            <w:pPr>
              <w:pStyle w:val="TableParagraph"/>
              <w:rPr>
                <w:rFonts w:ascii="Times New Roman"/>
                <w:sz w:val="16"/>
              </w:rPr>
            </w:pPr>
          </w:p>
        </w:tc>
      </w:tr>
      <w:tr w:rsidR="00EB2BD8" w:rsidRPr="00EB2BD8" w14:paraId="7542454E" w14:textId="77777777">
        <w:trPr>
          <w:trHeight w:val="229"/>
        </w:trPr>
        <w:tc>
          <w:tcPr>
            <w:tcW w:w="1742" w:type="dxa"/>
          </w:tcPr>
          <w:p w14:paraId="4FC32F27" w14:textId="77777777" w:rsidR="00084F36" w:rsidRPr="00EB2BD8" w:rsidRDefault="00084F36">
            <w:pPr>
              <w:pStyle w:val="TableParagraph"/>
              <w:rPr>
                <w:rFonts w:ascii="Times New Roman"/>
                <w:sz w:val="16"/>
              </w:rPr>
            </w:pPr>
          </w:p>
        </w:tc>
        <w:tc>
          <w:tcPr>
            <w:tcW w:w="1427" w:type="dxa"/>
          </w:tcPr>
          <w:p w14:paraId="0DF4C349" w14:textId="77777777" w:rsidR="00084F36" w:rsidRPr="00EB2BD8" w:rsidRDefault="00084F36">
            <w:pPr>
              <w:pStyle w:val="TableParagraph"/>
              <w:rPr>
                <w:rFonts w:ascii="Times New Roman"/>
                <w:sz w:val="16"/>
              </w:rPr>
            </w:pPr>
          </w:p>
        </w:tc>
        <w:tc>
          <w:tcPr>
            <w:tcW w:w="2464" w:type="dxa"/>
          </w:tcPr>
          <w:p w14:paraId="01F49261" w14:textId="77777777" w:rsidR="00084F36" w:rsidRPr="00EB2BD8" w:rsidRDefault="00EB2BD8">
            <w:pPr>
              <w:pStyle w:val="TableParagraph"/>
              <w:spacing w:before="19"/>
              <w:ind w:left="334"/>
              <w:rPr>
                <w:sz w:val="16"/>
              </w:rPr>
            </w:pPr>
            <w:r w:rsidRPr="00EB2BD8">
              <w:rPr>
                <w:sz w:val="16"/>
              </w:rPr>
              <w:t>conduct</w:t>
            </w:r>
            <w:r w:rsidRPr="00EB2BD8">
              <w:rPr>
                <w:spacing w:val="-6"/>
                <w:sz w:val="16"/>
              </w:rPr>
              <w:t xml:space="preserve"> </w:t>
            </w:r>
            <w:r w:rsidRPr="00EB2BD8">
              <w:rPr>
                <w:sz w:val="16"/>
              </w:rPr>
              <w:t>when</w:t>
            </w:r>
            <w:r w:rsidRPr="00EB2BD8">
              <w:rPr>
                <w:spacing w:val="-5"/>
                <w:sz w:val="16"/>
              </w:rPr>
              <w:t xml:space="preserve"> </w:t>
            </w:r>
            <w:r w:rsidRPr="00EB2BD8">
              <w:rPr>
                <w:spacing w:val="-2"/>
                <w:sz w:val="16"/>
              </w:rPr>
              <w:t>installing</w:t>
            </w:r>
          </w:p>
        </w:tc>
        <w:tc>
          <w:tcPr>
            <w:tcW w:w="2313" w:type="dxa"/>
          </w:tcPr>
          <w:p w14:paraId="1EA031F6" w14:textId="77777777" w:rsidR="00084F36" w:rsidRPr="00EB2BD8" w:rsidRDefault="00084F36">
            <w:pPr>
              <w:pStyle w:val="TableParagraph"/>
              <w:rPr>
                <w:rFonts w:ascii="Times New Roman"/>
                <w:sz w:val="16"/>
              </w:rPr>
            </w:pPr>
          </w:p>
        </w:tc>
        <w:tc>
          <w:tcPr>
            <w:tcW w:w="1078" w:type="dxa"/>
          </w:tcPr>
          <w:p w14:paraId="02A96FFB" w14:textId="77777777" w:rsidR="00084F36" w:rsidRPr="00EB2BD8" w:rsidRDefault="00084F36">
            <w:pPr>
              <w:pStyle w:val="TableParagraph"/>
              <w:rPr>
                <w:rFonts w:ascii="Times New Roman"/>
                <w:sz w:val="16"/>
              </w:rPr>
            </w:pPr>
          </w:p>
        </w:tc>
        <w:tc>
          <w:tcPr>
            <w:tcW w:w="1175" w:type="dxa"/>
          </w:tcPr>
          <w:p w14:paraId="3939B0D9" w14:textId="77777777" w:rsidR="00084F36" w:rsidRPr="00EB2BD8" w:rsidRDefault="00084F36">
            <w:pPr>
              <w:pStyle w:val="TableParagraph"/>
              <w:rPr>
                <w:rFonts w:ascii="Times New Roman"/>
                <w:sz w:val="16"/>
              </w:rPr>
            </w:pPr>
          </w:p>
        </w:tc>
      </w:tr>
      <w:tr w:rsidR="00EB2BD8" w:rsidRPr="00EB2BD8" w14:paraId="32291F70" w14:textId="77777777">
        <w:trPr>
          <w:trHeight w:val="229"/>
        </w:trPr>
        <w:tc>
          <w:tcPr>
            <w:tcW w:w="1742" w:type="dxa"/>
          </w:tcPr>
          <w:p w14:paraId="0A69B554" w14:textId="77777777" w:rsidR="00084F36" w:rsidRPr="00EB2BD8" w:rsidRDefault="00084F36">
            <w:pPr>
              <w:pStyle w:val="TableParagraph"/>
              <w:rPr>
                <w:rFonts w:ascii="Times New Roman"/>
                <w:sz w:val="16"/>
              </w:rPr>
            </w:pPr>
          </w:p>
        </w:tc>
        <w:tc>
          <w:tcPr>
            <w:tcW w:w="1427" w:type="dxa"/>
          </w:tcPr>
          <w:p w14:paraId="145E11E3" w14:textId="77777777" w:rsidR="00084F36" w:rsidRPr="00EB2BD8" w:rsidRDefault="00084F36">
            <w:pPr>
              <w:pStyle w:val="TableParagraph"/>
              <w:rPr>
                <w:rFonts w:ascii="Times New Roman"/>
                <w:sz w:val="16"/>
              </w:rPr>
            </w:pPr>
          </w:p>
        </w:tc>
        <w:tc>
          <w:tcPr>
            <w:tcW w:w="2464" w:type="dxa"/>
          </w:tcPr>
          <w:p w14:paraId="77E0F80B" w14:textId="77777777" w:rsidR="00084F36" w:rsidRPr="00EB2BD8" w:rsidRDefault="00EB2BD8">
            <w:pPr>
              <w:pStyle w:val="TableParagraph"/>
              <w:spacing w:before="19"/>
              <w:ind w:left="334"/>
              <w:rPr>
                <w:sz w:val="16"/>
              </w:rPr>
            </w:pPr>
            <w:r w:rsidRPr="00EB2BD8">
              <w:rPr>
                <w:spacing w:val="-2"/>
                <w:sz w:val="16"/>
              </w:rPr>
              <w:t>combustible</w:t>
            </w:r>
            <w:r w:rsidRPr="00EB2BD8">
              <w:rPr>
                <w:sz w:val="16"/>
              </w:rPr>
              <w:t xml:space="preserve"> </w:t>
            </w:r>
            <w:r w:rsidRPr="00EB2BD8">
              <w:rPr>
                <w:spacing w:val="-2"/>
                <w:sz w:val="16"/>
              </w:rPr>
              <w:t>cladding</w:t>
            </w:r>
          </w:p>
        </w:tc>
        <w:tc>
          <w:tcPr>
            <w:tcW w:w="2313" w:type="dxa"/>
          </w:tcPr>
          <w:p w14:paraId="0C98C23F" w14:textId="77777777" w:rsidR="00084F36" w:rsidRPr="00EB2BD8" w:rsidRDefault="00084F36">
            <w:pPr>
              <w:pStyle w:val="TableParagraph"/>
              <w:rPr>
                <w:rFonts w:ascii="Times New Roman"/>
                <w:sz w:val="16"/>
              </w:rPr>
            </w:pPr>
          </w:p>
        </w:tc>
        <w:tc>
          <w:tcPr>
            <w:tcW w:w="1078" w:type="dxa"/>
          </w:tcPr>
          <w:p w14:paraId="5B60B54A" w14:textId="77777777" w:rsidR="00084F36" w:rsidRPr="00EB2BD8" w:rsidRDefault="00084F36">
            <w:pPr>
              <w:pStyle w:val="TableParagraph"/>
              <w:rPr>
                <w:rFonts w:ascii="Times New Roman"/>
                <w:sz w:val="16"/>
              </w:rPr>
            </w:pPr>
          </w:p>
        </w:tc>
        <w:tc>
          <w:tcPr>
            <w:tcW w:w="1175" w:type="dxa"/>
          </w:tcPr>
          <w:p w14:paraId="2817BFE3" w14:textId="77777777" w:rsidR="00084F36" w:rsidRPr="00EB2BD8" w:rsidRDefault="00084F36">
            <w:pPr>
              <w:pStyle w:val="TableParagraph"/>
              <w:rPr>
                <w:rFonts w:ascii="Times New Roman"/>
                <w:sz w:val="16"/>
              </w:rPr>
            </w:pPr>
          </w:p>
        </w:tc>
      </w:tr>
      <w:tr w:rsidR="00EB2BD8" w:rsidRPr="00EB2BD8" w14:paraId="566D20EE" w14:textId="77777777">
        <w:trPr>
          <w:trHeight w:val="229"/>
        </w:trPr>
        <w:tc>
          <w:tcPr>
            <w:tcW w:w="1742" w:type="dxa"/>
          </w:tcPr>
          <w:p w14:paraId="6EA7D976" w14:textId="77777777" w:rsidR="00084F36" w:rsidRPr="00EB2BD8" w:rsidRDefault="00084F36">
            <w:pPr>
              <w:pStyle w:val="TableParagraph"/>
              <w:rPr>
                <w:rFonts w:ascii="Times New Roman"/>
                <w:sz w:val="16"/>
              </w:rPr>
            </w:pPr>
          </w:p>
        </w:tc>
        <w:tc>
          <w:tcPr>
            <w:tcW w:w="1427" w:type="dxa"/>
          </w:tcPr>
          <w:p w14:paraId="384E7289" w14:textId="77777777" w:rsidR="00084F36" w:rsidRPr="00EB2BD8" w:rsidRDefault="00084F36">
            <w:pPr>
              <w:pStyle w:val="TableParagraph"/>
              <w:rPr>
                <w:rFonts w:ascii="Times New Roman"/>
                <w:sz w:val="16"/>
              </w:rPr>
            </w:pPr>
          </w:p>
        </w:tc>
        <w:tc>
          <w:tcPr>
            <w:tcW w:w="2464" w:type="dxa"/>
          </w:tcPr>
          <w:p w14:paraId="348CD68D" w14:textId="77777777" w:rsidR="00084F36" w:rsidRPr="00EB2BD8" w:rsidRDefault="00EB2BD8">
            <w:pPr>
              <w:pStyle w:val="TableParagraph"/>
              <w:spacing w:before="19"/>
              <w:ind w:left="334"/>
              <w:rPr>
                <w:sz w:val="16"/>
              </w:rPr>
            </w:pPr>
            <w:r w:rsidRPr="00EB2BD8">
              <w:rPr>
                <w:sz w:val="16"/>
              </w:rPr>
              <w:t>without</w:t>
            </w:r>
            <w:r w:rsidRPr="00EB2BD8">
              <w:rPr>
                <w:spacing w:val="-13"/>
                <w:sz w:val="16"/>
              </w:rPr>
              <w:t xml:space="preserve"> </w:t>
            </w:r>
            <w:r w:rsidRPr="00EB2BD8">
              <w:rPr>
                <w:sz w:val="16"/>
              </w:rPr>
              <w:t>approval</w:t>
            </w:r>
            <w:r w:rsidRPr="00EB2BD8">
              <w:rPr>
                <w:spacing w:val="-12"/>
                <w:sz w:val="16"/>
              </w:rPr>
              <w:t xml:space="preserve"> </w:t>
            </w:r>
            <w:r w:rsidRPr="00EB2BD8">
              <w:rPr>
                <w:sz w:val="16"/>
              </w:rPr>
              <w:t>on</w:t>
            </w:r>
            <w:r w:rsidRPr="00EB2BD8">
              <w:rPr>
                <w:spacing w:val="-13"/>
                <w:sz w:val="16"/>
              </w:rPr>
              <w:t xml:space="preserve"> </w:t>
            </w:r>
            <w:r w:rsidRPr="00EB2BD8">
              <w:rPr>
                <w:spacing w:val="-5"/>
                <w:sz w:val="16"/>
              </w:rPr>
              <w:t>an</w:t>
            </w:r>
          </w:p>
        </w:tc>
        <w:tc>
          <w:tcPr>
            <w:tcW w:w="2313" w:type="dxa"/>
          </w:tcPr>
          <w:p w14:paraId="1A0F9E77" w14:textId="77777777" w:rsidR="00084F36" w:rsidRPr="00EB2BD8" w:rsidRDefault="00084F36">
            <w:pPr>
              <w:pStyle w:val="TableParagraph"/>
              <w:rPr>
                <w:rFonts w:ascii="Times New Roman"/>
                <w:sz w:val="16"/>
              </w:rPr>
            </w:pPr>
          </w:p>
        </w:tc>
        <w:tc>
          <w:tcPr>
            <w:tcW w:w="1078" w:type="dxa"/>
          </w:tcPr>
          <w:p w14:paraId="643EFA65" w14:textId="77777777" w:rsidR="00084F36" w:rsidRPr="00EB2BD8" w:rsidRDefault="00084F36">
            <w:pPr>
              <w:pStyle w:val="TableParagraph"/>
              <w:rPr>
                <w:rFonts w:ascii="Times New Roman"/>
                <w:sz w:val="16"/>
              </w:rPr>
            </w:pPr>
          </w:p>
        </w:tc>
        <w:tc>
          <w:tcPr>
            <w:tcW w:w="1175" w:type="dxa"/>
          </w:tcPr>
          <w:p w14:paraId="5F18D340" w14:textId="77777777" w:rsidR="00084F36" w:rsidRPr="00EB2BD8" w:rsidRDefault="00084F36">
            <w:pPr>
              <w:pStyle w:val="TableParagraph"/>
              <w:rPr>
                <w:rFonts w:ascii="Times New Roman"/>
                <w:sz w:val="16"/>
              </w:rPr>
            </w:pPr>
          </w:p>
        </w:tc>
      </w:tr>
      <w:tr w:rsidR="00EB2BD8" w:rsidRPr="00EB2BD8" w14:paraId="75A4959F" w14:textId="77777777">
        <w:trPr>
          <w:trHeight w:val="229"/>
        </w:trPr>
        <w:tc>
          <w:tcPr>
            <w:tcW w:w="1742" w:type="dxa"/>
          </w:tcPr>
          <w:p w14:paraId="33952CC5" w14:textId="77777777" w:rsidR="00084F36" w:rsidRPr="00EB2BD8" w:rsidRDefault="00084F36">
            <w:pPr>
              <w:pStyle w:val="TableParagraph"/>
              <w:rPr>
                <w:rFonts w:ascii="Times New Roman"/>
                <w:sz w:val="16"/>
              </w:rPr>
            </w:pPr>
          </w:p>
        </w:tc>
        <w:tc>
          <w:tcPr>
            <w:tcW w:w="1427" w:type="dxa"/>
          </w:tcPr>
          <w:p w14:paraId="7CE34107" w14:textId="77777777" w:rsidR="00084F36" w:rsidRPr="00EB2BD8" w:rsidRDefault="00084F36">
            <w:pPr>
              <w:pStyle w:val="TableParagraph"/>
              <w:rPr>
                <w:rFonts w:ascii="Times New Roman"/>
                <w:sz w:val="16"/>
              </w:rPr>
            </w:pPr>
          </w:p>
        </w:tc>
        <w:tc>
          <w:tcPr>
            <w:tcW w:w="2464" w:type="dxa"/>
          </w:tcPr>
          <w:p w14:paraId="3542A3FA" w14:textId="77777777" w:rsidR="00084F36" w:rsidRPr="00EB2BD8" w:rsidRDefault="00EB2BD8">
            <w:pPr>
              <w:pStyle w:val="TableParagraph"/>
              <w:spacing w:before="19"/>
              <w:ind w:left="334"/>
              <w:rPr>
                <w:sz w:val="16"/>
              </w:rPr>
            </w:pPr>
            <w:r w:rsidRPr="00EB2BD8">
              <w:rPr>
                <w:sz w:val="16"/>
              </w:rPr>
              <w:t>apartment</w:t>
            </w:r>
            <w:r w:rsidRPr="00EB2BD8">
              <w:rPr>
                <w:spacing w:val="-5"/>
                <w:sz w:val="16"/>
              </w:rPr>
              <w:t xml:space="preserve"> </w:t>
            </w:r>
            <w:r w:rsidRPr="00EB2BD8">
              <w:rPr>
                <w:sz w:val="16"/>
              </w:rPr>
              <w:t>building</w:t>
            </w:r>
            <w:r w:rsidRPr="00EB2BD8">
              <w:rPr>
                <w:spacing w:val="-4"/>
                <w:sz w:val="16"/>
              </w:rPr>
              <w:t xml:space="preserve"> </w:t>
            </w:r>
            <w:r w:rsidRPr="00EB2BD8">
              <w:rPr>
                <w:spacing w:val="-5"/>
                <w:sz w:val="16"/>
              </w:rPr>
              <w:t>at</w:t>
            </w:r>
          </w:p>
        </w:tc>
        <w:tc>
          <w:tcPr>
            <w:tcW w:w="2313" w:type="dxa"/>
          </w:tcPr>
          <w:p w14:paraId="5899802A" w14:textId="77777777" w:rsidR="00084F36" w:rsidRPr="00EB2BD8" w:rsidRDefault="00084F36">
            <w:pPr>
              <w:pStyle w:val="TableParagraph"/>
              <w:rPr>
                <w:rFonts w:ascii="Times New Roman"/>
                <w:sz w:val="16"/>
              </w:rPr>
            </w:pPr>
          </w:p>
        </w:tc>
        <w:tc>
          <w:tcPr>
            <w:tcW w:w="1078" w:type="dxa"/>
          </w:tcPr>
          <w:p w14:paraId="13D6BD01" w14:textId="77777777" w:rsidR="00084F36" w:rsidRPr="00EB2BD8" w:rsidRDefault="00084F36">
            <w:pPr>
              <w:pStyle w:val="TableParagraph"/>
              <w:rPr>
                <w:rFonts w:ascii="Times New Roman"/>
                <w:sz w:val="16"/>
              </w:rPr>
            </w:pPr>
          </w:p>
        </w:tc>
        <w:tc>
          <w:tcPr>
            <w:tcW w:w="1175" w:type="dxa"/>
          </w:tcPr>
          <w:p w14:paraId="301D7880" w14:textId="77777777" w:rsidR="00084F36" w:rsidRPr="00EB2BD8" w:rsidRDefault="00084F36">
            <w:pPr>
              <w:pStyle w:val="TableParagraph"/>
              <w:rPr>
                <w:rFonts w:ascii="Times New Roman"/>
                <w:sz w:val="16"/>
              </w:rPr>
            </w:pPr>
          </w:p>
        </w:tc>
      </w:tr>
      <w:tr w:rsidR="00EB2BD8" w:rsidRPr="00EB2BD8" w14:paraId="49A98451" w14:textId="77777777">
        <w:trPr>
          <w:trHeight w:val="376"/>
        </w:trPr>
        <w:tc>
          <w:tcPr>
            <w:tcW w:w="1742" w:type="dxa"/>
            <w:tcBorders>
              <w:bottom w:val="single" w:sz="2" w:space="0" w:color="000000"/>
            </w:tcBorders>
          </w:tcPr>
          <w:p w14:paraId="460CEDC5" w14:textId="77777777" w:rsidR="00084F36" w:rsidRPr="00EB2BD8" w:rsidRDefault="00084F36">
            <w:pPr>
              <w:pStyle w:val="TableParagraph"/>
              <w:rPr>
                <w:rFonts w:ascii="Times New Roman"/>
                <w:sz w:val="16"/>
              </w:rPr>
            </w:pPr>
          </w:p>
        </w:tc>
        <w:tc>
          <w:tcPr>
            <w:tcW w:w="1427" w:type="dxa"/>
            <w:tcBorders>
              <w:bottom w:val="single" w:sz="2" w:space="0" w:color="000000"/>
            </w:tcBorders>
          </w:tcPr>
          <w:p w14:paraId="790A85E4" w14:textId="77777777" w:rsidR="00084F36" w:rsidRPr="00EB2BD8" w:rsidRDefault="00084F36">
            <w:pPr>
              <w:pStyle w:val="TableParagraph"/>
              <w:rPr>
                <w:rFonts w:ascii="Times New Roman"/>
                <w:sz w:val="16"/>
              </w:rPr>
            </w:pPr>
          </w:p>
        </w:tc>
        <w:tc>
          <w:tcPr>
            <w:tcW w:w="2464" w:type="dxa"/>
            <w:tcBorders>
              <w:bottom w:val="single" w:sz="2" w:space="0" w:color="000000"/>
            </w:tcBorders>
          </w:tcPr>
          <w:p w14:paraId="23BF682D" w14:textId="77777777" w:rsidR="00084F36" w:rsidRPr="00EB2BD8" w:rsidRDefault="00EB2BD8">
            <w:pPr>
              <w:pStyle w:val="TableParagraph"/>
              <w:spacing w:before="19"/>
              <w:ind w:left="334"/>
              <w:rPr>
                <w:sz w:val="16"/>
              </w:rPr>
            </w:pPr>
            <w:r w:rsidRPr="00EB2BD8">
              <w:rPr>
                <w:spacing w:val="-2"/>
                <w:sz w:val="16"/>
              </w:rPr>
              <w:t>Ripponlea.</w:t>
            </w:r>
          </w:p>
        </w:tc>
        <w:tc>
          <w:tcPr>
            <w:tcW w:w="2313" w:type="dxa"/>
            <w:tcBorders>
              <w:bottom w:val="single" w:sz="2" w:space="0" w:color="000000"/>
            </w:tcBorders>
          </w:tcPr>
          <w:p w14:paraId="010C5301"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50D8F9DF"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2EF6B5CF" w14:textId="77777777" w:rsidR="00084F36" w:rsidRPr="00EB2BD8" w:rsidRDefault="00084F36">
            <w:pPr>
              <w:pStyle w:val="TableParagraph"/>
              <w:rPr>
                <w:rFonts w:ascii="Times New Roman"/>
                <w:sz w:val="16"/>
              </w:rPr>
            </w:pPr>
          </w:p>
        </w:tc>
      </w:tr>
      <w:tr w:rsidR="00EB2BD8" w:rsidRPr="00EB2BD8" w14:paraId="5F9576AD" w14:textId="77777777">
        <w:trPr>
          <w:trHeight w:val="325"/>
        </w:trPr>
        <w:tc>
          <w:tcPr>
            <w:tcW w:w="1742" w:type="dxa"/>
            <w:tcBorders>
              <w:top w:val="single" w:sz="2" w:space="0" w:color="000000"/>
            </w:tcBorders>
          </w:tcPr>
          <w:p w14:paraId="0745E129" w14:textId="77777777" w:rsidR="00084F36" w:rsidRPr="00EB2BD8" w:rsidRDefault="00EB2BD8">
            <w:pPr>
              <w:pStyle w:val="TableParagraph"/>
              <w:spacing w:before="115"/>
              <w:ind w:left="113"/>
              <w:rPr>
                <w:sz w:val="16"/>
              </w:rPr>
            </w:pPr>
            <w:r w:rsidRPr="00EB2BD8">
              <w:rPr>
                <w:spacing w:val="-5"/>
                <w:sz w:val="16"/>
              </w:rPr>
              <w:t xml:space="preserve">HALL, </w:t>
            </w:r>
            <w:r w:rsidRPr="00EB2BD8">
              <w:rPr>
                <w:spacing w:val="-2"/>
                <w:sz w:val="16"/>
              </w:rPr>
              <w:t>Alexander</w:t>
            </w:r>
          </w:p>
        </w:tc>
        <w:tc>
          <w:tcPr>
            <w:tcW w:w="1427" w:type="dxa"/>
            <w:tcBorders>
              <w:top w:val="single" w:sz="2" w:space="0" w:color="000000"/>
            </w:tcBorders>
          </w:tcPr>
          <w:p w14:paraId="1EDB8B2F" w14:textId="77777777" w:rsidR="00084F36" w:rsidRPr="00EB2BD8" w:rsidRDefault="00EB2BD8">
            <w:pPr>
              <w:pStyle w:val="TableParagraph"/>
              <w:spacing w:before="115"/>
              <w:ind w:left="128"/>
              <w:rPr>
                <w:sz w:val="16"/>
              </w:rPr>
            </w:pPr>
            <w:r w:rsidRPr="00EB2BD8">
              <w:rPr>
                <w:sz w:val="16"/>
              </w:rPr>
              <w:t>DB-U</w:t>
            </w:r>
            <w:r w:rsidRPr="00EB2BD8">
              <w:rPr>
                <w:spacing w:val="22"/>
                <w:sz w:val="16"/>
              </w:rPr>
              <w:t xml:space="preserve"> </w:t>
            </w:r>
            <w:r w:rsidRPr="00EB2BD8">
              <w:rPr>
                <w:spacing w:val="-2"/>
                <w:sz w:val="16"/>
              </w:rPr>
              <w:t>22118</w:t>
            </w:r>
          </w:p>
        </w:tc>
        <w:tc>
          <w:tcPr>
            <w:tcW w:w="2464" w:type="dxa"/>
            <w:tcBorders>
              <w:top w:val="single" w:sz="2" w:space="0" w:color="000000"/>
            </w:tcBorders>
          </w:tcPr>
          <w:p w14:paraId="677740C5" w14:textId="77777777" w:rsidR="00084F36" w:rsidRPr="00EB2BD8" w:rsidRDefault="00EB2BD8">
            <w:pPr>
              <w:pStyle w:val="TableParagraph"/>
              <w:spacing w:before="115"/>
              <w:ind w:left="334"/>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313" w:type="dxa"/>
            <w:tcBorders>
              <w:top w:val="single" w:sz="2" w:space="0" w:color="000000"/>
            </w:tcBorders>
          </w:tcPr>
          <w:p w14:paraId="64FCB655" w14:textId="77777777" w:rsidR="00084F36" w:rsidRPr="00EB2BD8" w:rsidRDefault="00EB2BD8">
            <w:pPr>
              <w:pStyle w:val="TableParagraph"/>
              <w:spacing w:before="115"/>
              <w:ind w:left="149"/>
              <w:rPr>
                <w:sz w:val="16"/>
              </w:rPr>
            </w:pPr>
            <w:r w:rsidRPr="00EB2BD8">
              <w:rPr>
                <w:sz w:val="16"/>
              </w:rPr>
              <w:t>Cancellation</w:t>
            </w:r>
            <w:r w:rsidRPr="00EB2BD8">
              <w:rPr>
                <w:spacing w:val="5"/>
                <w:sz w:val="16"/>
              </w:rPr>
              <w:t xml:space="preserve"> </w:t>
            </w:r>
            <w:r w:rsidRPr="00EB2BD8">
              <w:rPr>
                <w:spacing w:val="-5"/>
                <w:sz w:val="16"/>
              </w:rPr>
              <w:t>of</w:t>
            </w:r>
          </w:p>
        </w:tc>
        <w:tc>
          <w:tcPr>
            <w:tcW w:w="1078" w:type="dxa"/>
            <w:tcBorders>
              <w:top w:val="single" w:sz="2" w:space="0" w:color="000000"/>
            </w:tcBorders>
          </w:tcPr>
          <w:p w14:paraId="4DEBC2E1" w14:textId="77777777" w:rsidR="00084F36" w:rsidRPr="00EB2BD8" w:rsidRDefault="00EB2BD8">
            <w:pPr>
              <w:pStyle w:val="TableParagraph"/>
              <w:spacing w:before="115"/>
              <w:ind w:right="109"/>
              <w:jc w:val="right"/>
              <w:rPr>
                <w:sz w:val="16"/>
              </w:rPr>
            </w:pPr>
            <w:r w:rsidRPr="00EB2BD8">
              <w:rPr>
                <w:w w:val="124"/>
                <w:sz w:val="16"/>
              </w:rPr>
              <w:t>–</w:t>
            </w:r>
          </w:p>
        </w:tc>
        <w:tc>
          <w:tcPr>
            <w:tcW w:w="1175" w:type="dxa"/>
            <w:tcBorders>
              <w:top w:val="single" w:sz="2" w:space="0" w:color="000000"/>
            </w:tcBorders>
          </w:tcPr>
          <w:p w14:paraId="68A01012" w14:textId="77777777" w:rsidR="00084F36" w:rsidRPr="00EB2BD8" w:rsidRDefault="00EB2BD8">
            <w:pPr>
              <w:pStyle w:val="TableParagraph"/>
              <w:spacing w:before="115"/>
              <w:ind w:left="114"/>
              <w:rPr>
                <w:sz w:val="16"/>
              </w:rPr>
            </w:pPr>
            <w:r w:rsidRPr="00EB2BD8">
              <w:rPr>
                <w:spacing w:val="-2"/>
                <w:w w:val="95"/>
                <w:sz w:val="16"/>
              </w:rPr>
              <w:t>16/02/2023</w:t>
            </w:r>
          </w:p>
        </w:tc>
      </w:tr>
      <w:tr w:rsidR="00EB2BD8" w:rsidRPr="00EB2BD8" w14:paraId="6CB0C85F" w14:textId="77777777">
        <w:trPr>
          <w:trHeight w:val="230"/>
        </w:trPr>
        <w:tc>
          <w:tcPr>
            <w:tcW w:w="1742" w:type="dxa"/>
          </w:tcPr>
          <w:p w14:paraId="03F6B985" w14:textId="77777777" w:rsidR="00084F36" w:rsidRPr="00EB2BD8" w:rsidRDefault="00084F36">
            <w:pPr>
              <w:pStyle w:val="TableParagraph"/>
              <w:rPr>
                <w:rFonts w:ascii="Times New Roman"/>
                <w:sz w:val="16"/>
              </w:rPr>
            </w:pPr>
          </w:p>
        </w:tc>
        <w:tc>
          <w:tcPr>
            <w:tcW w:w="1427" w:type="dxa"/>
          </w:tcPr>
          <w:p w14:paraId="2B37E1A9" w14:textId="77777777" w:rsidR="00084F36" w:rsidRPr="00EB2BD8" w:rsidRDefault="00084F36">
            <w:pPr>
              <w:pStyle w:val="TableParagraph"/>
              <w:rPr>
                <w:rFonts w:ascii="Times New Roman"/>
                <w:sz w:val="16"/>
              </w:rPr>
            </w:pPr>
          </w:p>
        </w:tc>
        <w:tc>
          <w:tcPr>
            <w:tcW w:w="2464" w:type="dxa"/>
          </w:tcPr>
          <w:p w14:paraId="19D8C8AB" w14:textId="77777777" w:rsidR="00084F36" w:rsidRPr="00EB2BD8" w:rsidRDefault="00EB2BD8">
            <w:pPr>
              <w:pStyle w:val="TableParagraph"/>
              <w:spacing w:before="19"/>
              <w:ind w:left="334"/>
              <w:rPr>
                <w:sz w:val="16"/>
              </w:rPr>
            </w:pPr>
            <w:r w:rsidRPr="00EB2BD8">
              <w:rPr>
                <w:sz w:val="16"/>
              </w:rPr>
              <w:t xml:space="preserve">company under </w:t>
            </w:r>
            <w:r w:rsidRPr="00EB2BD8">
              <w:rPr>
                <w:spacing w:val="-2"/>
                <w:sz w:val="16"/>
              </w:rPr>
              <w:t>external</w:t>
            </w:r>
          </w:p>
        </w:tc>
        <w:tc>
          <w:tcPr>
            <w:tcW w:w="2313" w:type="dxa"/>
          </w:tcPr>
          <w:p w14:paraId="2C970B69" w14:textId="77777777" w:rsidR="00084F36" w:rsidRPr="00EB2BD8" w:rsidRDefault="00EB2BD8">
            <w:pPr>
              <w:pStyle w:val="TableParagraph"/>
              <w:spacing w:before="19"/>
              <w:ind w:left="149"/>
              <w:rPr>
                <w:sz w:val="16"/>
              </w:rPr>
            </w:pPr>
            <w:r w:rsidRPr="00EB2BD8">
              <w:rPr>
                <w:spacing w:val="-2"/>
                <w:sz w:val="16"/>
              </w:rPr>
              <w:t>registration.</w:t>
            </w:r>
          </w:p>
        </w:tc>
        <w:tc>
          <w:tcPr>
            <w:tcW w:w="1078" w:type="dxa"/>
          </w:tcPr>
          <w:p w14:paraId="399D72F8" w14:textId="77777777" w:rsidR="00084F36" w:rsidRPr="00EB2BD8" w:rsidRDefault="00084F36">
            <w:pPr>
              <w:pStyle w:val="TableParagraph"/>
              <w:rPr>
                <w:rFonts w:ascii="Times New Roman"/>
                <w:sz w:val="16"/>
              </w:rPr>
            </w:pPr>
          </w:p>
        </w:tc>
        <w:tc>
          <w:tcPr>
            <w:tcW w:w="1175" w:type="dxa"/>
          </w:tcPr>
          <w:p w14:paraId="685053EE" w14:textId="77777777" w:rsidR="00084F36" w:rsidRPr="00EB2BD8" w:rsidRDefault="00084F36">
            <w:pPr>
              <w:pStyle w:val="TableParagraph"/>
              <w:rPr>
                <w:rFonts w:ascii="Times New Roman"/>
                <w:sz w:val="16"/>
              </w:rPr>
            </w:pPr>
          </w:p>
        </w:tc>
      </w:tr>
      <w:tr w:rsidR="00EB2BD8" w:rsidRPr="00EB2BD8" w14:paraId="195999C7" w14:textId="77777777">
        <w:trPr>
          <w:trHeight w:val="408"/>
        </w:trPr>
        <w:tc>
          <w:tcPr>
            <w:tcW w:w="1742" w:type="dxa"/>
            <w:tcBorders>
              <w:bottom w:val="single" w:sz="2" w:space="0" w:color="000000"/>
            </w:tcBorders>
          </w:tcPr>
          <w:p w14:paraId="5503C877" w14:textId="77777777" w:rsidR="00084F36" w:rsidRPr="00EB2BD8" w:rsidRDefault="00084F36">
            <w:pPr>
              <w:pStyle w:val="TableParagraph"/>
              <w:rPr>
                <w:rFonts w:ascii="Times New Roman"/>
                <w:sz w:val="16"/>
              </w:rPr>
            </w:pPr>
          </w:p>
        </w:tc>
        <w:tc>
          <w:tcPr>
            <w:tcW w:w="1427" w:type="dxa"/>
            <w:tcBorders>
              <w:bottom w:val="single" w:sz="2" w:space="0" w:color="000000"/>
            </w:tcBorders>
          </w:tcPr>
          <w:p w14:paraId="0D2E6310" w14:textId="77777777" w:rsidR="00084F36" w:rsidRPr="00EB2BD8" w:rsidRDefault="00084F36">
            <w:pPr>
              <w:pStyle w:val="TableParagraph"/>
              <w:rPr>
                <w:rFonts w:ascii="Times New Roman"/>
                <w:sz w:val="16"/>
              </w:rPr>
            </w:pPr>
          </w:p>
        </w:tc>
        <w:tc>
          <w:tcPr>
            <w:tcW w:w="2464" w:type="dxa"/>
            <w:tcBorders>
              <w:bottom w:val="single" w:sz="2" w:space="0" w:color="000000"/>
            </w:tcBorders>
          </w:tcPr>
          <w:p w14:paraId="479B0A85" w14:textId="77777777" w:rsidR="00084F36" w:rsidRPr="00EB2BD8" w:rsidRDefault="00EB2BD8">
            <w:pPr>
              <w:pStyle w:val="TableParagraph"/>
              <w:spacing w:before="19"/>
              <w:ind w:left="334"/>
              <w:rPr>
                <w:sz w:val="16"/>
              </w:rPr>
            </w:pPr>
            <w:r w:rsidRPr="00EB2BD8">
              <w:rPr>
                <w:spacing w:val="-2"/>
                <w:sz w:val="16"/>
              </w:rPr>
              <w:t>administration.</w:t>
            </w:r>
          </w:p>
        </w:tc>
        <w:tc>
          <w:tcPr>
            <w:tcW w:w="2313" w:type="dxa"/>
            <w:tcBorders>
              <w:bottom w:val="single" w:sz="2" w:space="0" w:color="000000"/>
            </w:tcBorders>
          </w:tcPr>
          <w:p w14:paraId="21EF6284"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77A31F64"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47F83D6F" w14:textId="77777777" w:rsidR="00084F36" w:rsidRPr="00EB2BD8" w:rsidRDefault="00084F36">
            <w:pPr>
              <w:pStyle w:val="TableParagraph"/>
              <w:rPr>
                <w:rFonts w:ascii="Times New Roman"/>
                <w:sz w:val="16"/>
              </w:rPr>
            </w:pPr>
          </w:p>
        </w:tc>
      </w:tr>
      <w:tr w:rsidR="00EB2BD8" w:rsidRPr="00EB2BD8" w14:paraId="59667BD6" w14:textId="77777777">
        <w:trPr>
          <w:trHeight w:val="325"/>
        </w:trPr>
        <w:tc>
          <w:tcPr>
            <w:tcW w:w="1742" w:type="dxa"/>
            <w:tcBorders>
              <w:top w:val="single" w:sz="2" w:space="0" w:color="000000"/>
            </w:tcBorders>
          </w:tcPr>
          <w:p w14:paraId="1D6D2197" w14:textId="77777777" w:rsidR="00084F36" w:rsidRPr="00EB2BD8" w:rsidRDefault="00EB2BD8">
            <w:pPr>
              <w:pStyle w:val="TableParagraph"/>
              <w:spacing w:before="115"/>
              <w:ind w:left="113"/>
              <w:rPr>
                <w:sz w:val="16"/>
              </w:rPr>
            </w:pPr>
            <w:r w:rsidRPr="00EB2BD8">
              <w:rPr>
                <w:spacing w:val="-2"/>
                <w:sz w:val="16"/>
              </w:rPr>
              <w:t>HARRISON,</w:t>
            </w:r>
            <w:r w:rsidRPr="00EB2BD8">
              <w:rPr>
                <w:spacing w:val="-4"/>
                <w:sz w:val="16"/>
              </w:rPr>
              <w:t xml:space="preserve"> Marc</w:t>
            </w:r>
          </w:p>
        </w:tc>
        <w:tc>
          <w:tcPr>
            <w:tcW w:w="1427" w:type="dxa"/>
            <w:tcBorders>
              <w:top w:val="single" w:sz="2" w:space="0" w:color="000000"/>
            </w:tcBorders>
          </w:tcPr>
          <w:p w14:paraId="7EAE5D77" w14:textId="77777777" w:rsidR="00084F36" w:rsidRPr="00EB2BD8" w:rsidRDefault="00EB2BD8">
            <w:pPr>
              <w:pStyle w:val="TableParagraph"/>
              <w:spacing w:before="115"/>
              <w:ind w:left="128"/>
              <w:rPr>
                <w:sz w:val="16"/>
              </w:rPr>
            </w:pPr>
            <w:r w:rsidRPr="00EB2BD8">
              <w:rPr>
                <w:sz w:val="16"/>
              </w:rPr>
              <w:t>DB-U</w:t>
            </w:r>
            <w:r w:rsidRPr="00EB2BD8">
              <w:rPr>
                <w:spacing w:val="22"/>
                <w:sz w:val="16"/>
              </w:rPr>
              <w:t xml:space="preserve"> </w:t>
            </w:r>
            <w:r w:rsidRPr="00EB2BD8">
              <w:rPr>
                <w:spacing w:val="-2"/>
                <w:sz w:val="16"/>
              </w:rPr>
              <w:t>17331</w:t>
            </w:r>
          </w:p>
        </w:tc>
        <w:tc>
          <w:tcPr>
            <w:tcW w:w="2464" w:type="dxa"/>
            <w:tcBorders>
              <w:top w:val="single" w:sz="2" w:space="0" w:color="000000"/>
            </w:tcBorders>
          </w:tcPr>
          <w:p w14:paraId="0244A69B" w14:textId="77777777" w:rsidR="00084F36" w:rsidRPr="00EB2BD8" w:rsidRDefault="00EB2BD8">
            <w:pPr>
              <w:pStyle w:val="TableParagraph"/>
              <w:spacing w:before="115"/>
              <w:ind w:left="334"/>
              <w:rPr>
                <w:sz w:val="16"/>
              </w:rPr>
            </w:pPr>
            <w:r w:rsidRPr="00EB2BD8">
              <w:rPr>
                <w:spacing w:val="-2"/>
                <w:sz w:val="16"/>
              </w:rPr>
              <w:t>Failure</w:t>
            </w:r>
            <w:r w:rsidRPr="00EB2BD8">
              <w:rPr>
                <w:spacing w:val="-7"/>
                <w:sz w:val="16"/>
              </w:rPr>
              <w:t xml:space="preserve"> </w:t>
            </w:r>
            <w:r w:rsidRPr="00EB2BD8">
              <w:rPr>
                <w:spacing w:val="-2"/>
                <w:sz w:val="16"/>
              </w:rPr>
              <w:t>to</w:t>
            </w:r>
            <w:r w:rsidRPr="00EB2BD8">
              <w:rPr>
                <w:spacing w:val="-6"/>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313" w:type="dxa"/>
            <w:tcBorders>
              <w:top w:val="single" w:sz="2" w:space="0" w:color="000000"/>
            </w:tcBorders>
          </w:tcPr>
          <w:p w14:paraId="1EB82BE7" w14:textId="77777777" w:rsidR="00084F36" w:rsidRPr="00EB2BD8" w:rsidRDefault="00EB2BD8">
            <w:pPr>
              <w:pStyle w:val="TableParagraph"/>
              <w:spacing w:before="115"/>
              <w:ind w:left="149"/>
              <w:rPr>
                <w:sz w:val="16"/>
              </w:rPr>
            </w:pPr>
            <w:r w:rsidRPr="00EB2BD8">
              <w:rPr>
                <w:sz w:val="16"/>
              </w:rPr>
              <w:t>Reprimand</w:t>
            </w:r>
            <w:r w:rsidRPr="00EB2BD8">
              <w:rPr>
                <w:spacing w:val="4"/>
                <w:sz w:val="16"/>
              </w:rPr>
              <w:t xml:space="preserve"> </w:t>
            </w:r>
            <w:r w:rsidRPr="00EB2BD8">
              <w:rPr>
                <w:sz w:val="16"/>
              </w:rPr>
              <w:t>and</w:t>
            </w:r>
            <w:r w:rsidRPr="00EB2BD8">
              <w:rPr>
                <w:spacing w:val="4"/>
                <w:sz w:val="16"/>
              </w:rPr>
              <w:t xml:space="preserve"> </w:t>
            </w:r>
            <w:r w:rsidRPr="00EB2BD8">
              <w:rPr>
                <w:spacing w:val="-2"/>
                <w:sz w:val="16"/>
              </w:rPr>
              <w:t>partial</w:t>
            </w:r>
          </w:p>
        </w:tc>
        <w:tc>
          <w:tcPr>
            <w:tcW w:w="1078" w:type="dxa"/>
            <w:tcBorders>
              <w:top w:val="single" w:sz="2" w:space="0" w:color="000000"/>
            </w:tcBorders>
          </w:tcPr>
          <w:p w14:paraId="1A78FB1D" w14:textId="77777777" w:rsidR="00084F36" w:rsidRPr="00EB2BD8" w:rsidRDefault="00EB2BD8">
            <w:pPr>
              <w:pStyle w:val="TableParagraph"/>
              <w:spacing w:before="114"/>
              <w:ind w:right="109"/>
              <w:jc w:val="right"/>
              <w:rPr>
                <w:sz w:val="16"/>
              </w:rPr>
            </w:pPr>
            <w:r w:rsidRPr="00EB2BD8">
              <w:rPr>
                <w:w w:val="124"/>
                <w:sz w:val="16"/>
              </w:rPr>
              <w:t>–</w:t>
            </w:r>
          </w:p>
        </w:tc>
        <w:tc>
          <w:tcPr>
            <w:tcW w:w="1175" w:type="dxa"/>
            <w:tcBorders>
              <w:top w:val="single" w:sz="2" w:space="0" w:color="000000"/>
            </w:tcBorders>
          </w:tcPr>
          <w:p w14:paraId="2E4648E0" w14:textId="77777777" w:rsidR="00084F36" w:rsidRPr="00EB2BD8" w:rsidRDefault="00EB2BD8">
            <w:pPr>
              <w:pStyle w:val="TableParagraph"/>
              <w:spacing w:before="114"/>
              <w:ind w:left="114"/>
              <w:rPr>
                <w:sz w:val="16"/>
              </w:rPr>
            </w:pPr>
            <w:r w:rsidRPr="00EB2BD8">
              <w:rPr>
                <w:spacing w:val="-2"/>
                <w:w w:val="95"/>
                <w:sz w:val="16"/>
              </w:rPr>
              <w:t>07/10/2022</w:t>
            </w:r>
          </w:p>
        </w:tc>
      </w:tr>
      <w:tr w:rsidR="00EB2BD8" w:rsidRPr="00EB2BD8" w14:paraId="463339A7" w14:textId="77777777">
        <w:trPr>
          <w:trHeight w:val="229"/>
        </w:trPr>
        <w:tc>
          <w:tcPr>
            <w:tcW w:w="1742" w:type="dxa"/>
          </w:tcPr>
          <w:p w14:paraId="4BA99F00" w14:textId="77777777" w:rsidR="00084F36" w:rsidRPr="00EB2BD8" w:rsidRDefault="00084F36">
            <w:pPr>
              <w:pStyle w:val="TableParagraph"/>
              <w:rPr>
                <w:rFonts w:ascii="Times New Roman"/>
                <w:sz w:val="16"/>
              </w:rPr>
            </w:pPr>
          </w:p>
        </w:tc>
        <w:tc>
          <w:tcPr>
            <w:tcW w:w="1427" w:type="dxa"/>
          </w:tcPr>
          <w:p w14:paraId="4545B02C" w14:textId="77777777" w:rsidR="00084F36" w:rsidRPr="00EB2BD8" w:rsidRDefault="00084F36">
            <w:pPr>
              <w:pStyle w:val="TableParagraph"/>
              <w:rPr>
                <w:rFonts w:ascii="Times New Roman"/>
                <w:sz w:val="16"/>
              </w:rPr>
            </w:pPr>
          </w:p>
        </w:tc>
        <w:tc>
          <w:tcPr>
            <w:tcW w:w="2464" w:type="dxa"/>
          </w:tcPr>
          <w:p w14:paraId="1D84546A" w14:textId="77777777" w:rsidR="00084F36" w:rsidRPr="00EB2BD8" w:rsidRDefault="00EB2BD8">
            <w:pPr>
              <w:pStyle w:val="TableParagraph"/>
              <w:spacing w:before="19"/>
              <w:ind w:left="334"/>
              <w:rPr>
                <w:sz w:val="16"/>
              </w:rPr>
            </w:pPr>
            <w:r w:rsidRPr="00EB2BD8">
              <w:rPr>
                <w:spacing w:val="-2"/>
                <w:sz w:val="16"/>
              </w:rPr>
              <w:t>requirement</w:t>
            </w:r>
            <w:r w:rsidRPr="00EB2BD8">
              <w:rPr>
                <w:spacing w:val="-6"/>
                <w:sz w:val="16"/>
              </w:rPr>
              <w:t xml:space="preserve"> </w:t>
            </w:r>
            <w:r w:rsidRPr="00EB2BD8">
              <w:rPr>
                <w:spacing w:val="-2"/>
                <w:sz w:val="16"/>
              </w:rPr>
              <w:t>to</w:t>
            </w:r>
            <w:r w:rsidRPr="00EB2BD8">
              <w:rPr>
                <w:spacing w:val="-6"/>
                <w:sz w:val="16"/>
              </w:rPr>
              <w:t xml:space="preserve"> </w:t>
            </w:r>
            <w:r w:rsidRPr="00EB2BD8">
              <w:rPr>
                <w:spacing w:val="-2"/>
                <w:sz w:val="16"/>
              </w:rPr>
              <w:t>undertake</w:t>
            </w:r>
          </w:p>
        </w:tc>
        <w:tc>
          <w:tcPr>
            <w:tcW w:w="2313" w:type="dxa"/>
          </w:tcPr>
          <w:p w14:paraId="78A72478" w14:textId="77777777" w:rsidR="00084F36" w:rsidRPr="00EB2BD8" w:rsidRDefault="00EB2BD8">
            <w:pPr>
              <w:pStyle w:val="TableParagraph"/>
              <w:spacing w:before="19"/>
              <w:ind w:left="149"/>
              <w:rPr>
                <w:sz w:val="16"/>
              </w:rPr>
            </w:pPr>
            <w:r w:rsidRPr="00EB2BD8">
              <w:rPr>
                <w:spacing w:val="-2"/>
                <w:sz w:val="16"/>
              </w:rPr>
              <w:t>suspension</w:t>
            </w:r>
            <w:r w:rsidRPr="00EB2BD8">
              <w:rPr>
                <w:spacing w:val="-10"/>
                <w:sz w:val="16"/>
              </w:rPr>
              <w:t xml:space="preserve"> </w:t>
            </w:r>
            <w:r w:rsidRPr="00EB2BD8">
              <w:rPr>
                <w:spacing w:val="-2"/>
                <w:sz w:val="16"/>
              </w:rPr>
              <w:t>of</w:t>
            </w:r>
            <w:r w:rsidRPr="00EB2BD8">
              <w:rPr>
                <w:spacing w:val="-9"/>
                <w:sz w:val="16"/>
              </w:rPr>
              <w:t xml:space="preserve"> </w:t>
            </w:r>
            <w:r w:rsidRPr="00EB2BD8">
              <w:rPr>
                <w:spacing w:val="-2"/>
                <w:sz w:val="16"/>
              </w:rPr>
              <w:t>registration</w:t>
            </w:r>
          </w:p>
        </w:tc>
        <w:tc>
          <w:tcPr>
            <w:tcW w:w="1078" w:type="dxa"/>
          </w:tcPr>
          <w:p w14:paraId="3F2F181D" w14:textId="77777777" w:rsidR="00084F36" w:rsidRPr="00EB2BD8" w:rsidRDefault="00084F36">
            <w:pPr>
              <w:pStyle w:val="TableParagraph"/>
              <w:rPr>
                <w:rFonts w:ascii="Times New Roman"/>
                <w:sz w:val="16"/>
              </w:rPr>
            </w:pPr>
          </w:p>
        </w:tc>
        <w:tc>
          <w:tcPr>
            <w:tcW w:w="1175" w:type="dxa"/>
          </w:tcPr>
          <w:p w14:paraId="0CBCE894" w14:textId="77777777" w:rsidR="00084F36" w:rsidRPr="00EB2BD8" w:rsidRDefault="00084F36">
            <w:pPr>
              <w:pStyle w:val="TableParagraph"/>
              <w:rPr>
                <w:rFonts w:ascii="Times New Roman"/>
                <w:sz w:val="16"/>
              </w:rPr>
            </w:pPr>
          </w:p>
        </w:tc>
      </w:tr>
      <w:tr w:rsidR="00EB2BD8" w:rsidRPr="00EB2BD8" w14:paraId="29459FA7" w14:textId="77777777">
        <w:trPr>
          <w:trHeight w:val="230"/>
        </w:trPr>
        <w:tc>
          <w:tcPr>
            <w:tcW w:w="1742" w:type="dxa"/>
          </w:tcPr>
          <w:p w14:paraId="363784E0" w14:textId="77777777" w:rsidR="00084F36" w:rsidRPr="00EB2BD8" w:rsidRDefault="00084F36">
            <w:pPr>
              <w:pStyle w:val="TableParagraph"/>
              <w:rPr>
                <w:rFonts w:ascii="Times New Roman"/>
                <w:sz w:val="16"/>
              </w:rPr>
            </w:pPr>
          </w:p>
        </w:tc>
        <w:tc>
          <w:tcPr>
            <w:tcW w:w="1427" w:type="dxa"/>
          </w:tcPr>
          <w:p w14:paraId="0AF14A9D" w14:textId="77777777" w:rsidR="00084F36" w:rsidRPr="00EB2BD8" w:rsidRDefault="00084F36">
            <w:pPr>
              <w:pStyle w:val="TableParagraph"/>
              <w:rPr>
                <w:rFonts w:ascii="Times New Roman"/>
                <w:sz w:val="16"/>
              </w:rPr>
            </w:pPr>
          </w:p>
        </w:tc>
        <w:tc>
          <w:tcPr>
            <w:tcW w:w="2464" w:type="dxa"/>
          </w:tcPr>
          <w:p w14:paraId="65C81637" w14:textId="77777777" w:rsidR="00084F36" w:rsidRPr="00EB2BD8" w:rsidRDefault="00EB2BD8">
            <w:pPr>
              <w:pStyle w:val="TableParagraph"/>
              <w:spacing w:before="19"/>
              <w:ind w:left="334"/>
              <w:rPr>
                <w:sz w:val="16"/>
              </w:rPr>
            </w:pPr>
            <w:r w:rsidRPr="00EB2BD8">
              <w:rPr>
                <w:sz w:val="16"/>
              </w:rPr>
              <w:t>training</w:t>
            </w:r>
            <w:r w:rsidRPr="00EB2BD8">
              <w:rPr>
                <w:spacing w:val="-8"/>
                <w:sz w:val="16"/>
              </w:rPr>
              <w:t xml:space="preserve"> </w:t>
            </w:r>
            <w:r w:rsidRPr="00EB2BD8">
              <w:rPr>
                <w:sz w:val="16"/>
              </w:rPr>
              <w:t>imposed</w:t>
            </w:r>
            <w:r w:rsidRPr="00EB2BD8">
              <w:rPr>
                <w:spacing w:val="-8"/>
                <w:sz w:val="16"/>
              </w:rPr>
              <w:t xml:space="preserve"> </w:t>
            </w:r>
            <w:r w:rsidRPr="00EB2BD8">
              <w:rPr>
                <w:sz w:val="16"/>
              </w:rPr>
              <w:t>a</w:t>
            </w:r>
            <w:r w:rsidRPr="00EB2BD8">
              <w:rPr>
                <w:spacing w:val="-7"/>
                <w:sz w:val="16"/>
              </w:rPr>
              <w:t xml:space="preserve"> </w:t>
            </w:r>
            <w:r w:rsidRPr="00EB2BD8">
              <w:rPr>
                <w:spacing w:val="-2"/>
                <w:sz w:val="16"/>
              </w:rPr>
              <w:t>prior</w:t>
            </w:r>
          </w:p>
        </w:tc>
        <w:tc>
          <w:tcPr>
            <w:tcW w:w="2313" w:type="dxa"/>
          </w:tcPr>
          <w:p w14:paraId="48092A20" w14:textId="77777777" w:rsidR="00084F36" w:rsidRPr="00EB2BD8" w:rsidRDefault="00EB2BD8">
            <w:pPr>
              <w:pStyle w:val="TableParagraph"/>
              <w:spacing w:before="19"/>
              <w:ind w:left="149"/>
              <w:rPr>
                <w:sz w:val="16"/>
              </w:rPr>
            </w:pPr>
            <w:r w:rsidRPr="00EB2BD8">
              <w:rPr>
                <w:sz w:val="16"/>
              </w:rPr>
              <w:t>until</w:t>
            </w:r>
            <w:r w:rsidRPr="00EB2BD8">
              <w:rPr>
                <w:spacing w:val="-11"/>
                <w:sz w:val="16"/>
              </w:rPr>
              <w:t xml:space="preserve"> </w:t>
            </w:r>
            <w:r w:rsidRPr="00EB2BD8">
              <w:rPr>
                <w:sz w:val="16"/>
              </w:rPr>
              <w:t>compliance</w:t>
            </w:r>
            <w:r w:rsidRPr="00EB2BD8">
              <w:rPr>
                <w:spacing w:val="-11"/>
                <w:sz w:val="16"/>
              </w:rPr>
              <w:t xml:space="preserve"> </w:t>
            </w:r>
            <w:r w:rsidRPr="00EB2BD8">
              <w:rPr>
                <w:spacing w:val="-2"/>
                <w:sz w:val="16"/>
              </w:rPr>
              <w:t>achieved.</w:t>
            </w:r>
          </w:p>
        </w:tc>
        <w:tc>
          <w:tcPr>
            <w:tcW w:w="1078" w:type="dxa"/>
          </w:tcPr>
          <w:p w14:paraId="22A1E7EA" w14:textId="77777777" w:rsidR="00084F36" w:rsidRPr="00EB2BD8" w:rsidRDefault="00084F36">
            <w:pPr>
              <w:pStyle w:val="TableParagraph"/>
              <w:rPr>
                <w:rFonts w:ascii="Times New Roman"/>
                <w:sz w:val="16"/>
              </w:rPr>
            </w:pPr>
          </w:p>
        </w:tc>
        <w:tc>
          <w:tcPr>
            <w:tcW w:w="1175" w:type="dxa"/>
          </w:tcPr>
          <w:p w14:paraId="384AD121" w14:textId="77777777" w:rsidR="00084F36" w:rsidRPr="00EB2BD8" w:rsidRDefault="00084F36">
            <w:pPr>
              <w:pStyle w:val="TableParagraph"/>
              <w:rPr>
                <w:rFonts w:ascii="Times New Roman"/>
                <w:sz w:val="16"/>
              </w:rPr>
            </w:pPr>
          </w:p>
        </w:tc>
      </w:tr>
      <w:tr w:rsidR="00EB2BD8" w:rsidRPr="00EB2BD8" w14:paraId="20BFA401" w14:textId="77777777">
        <w:trPr>
          <w:trHeight w:val="366"/>
        </w:trPr>
        <w:tc>
          <w:tcPr>
            <w:tcW w:w="1742" w:type="dxa"/>
            <w:tcBorders>
              <w:bottom w:val="single" w:sz="2" w:space="0" w:color="000000"/>
            </w:tcBorders>
          </w:tcPr>
          <w:p w14:paraId="6F0A9A23" w14:textId="77777777" w:rsidR="00084F36" w:rsidRPr="00EB2BD8" w:rsidRDefault="00084F36">
            <w:pPr>
              <w:pStyle w:val="TableParagraph"/>
              <w:rPr>
                <w:rFonts w:ascii="Times New Roman"/>
                <w:sz w:val="16"/>
              </w:rPr>
            </w:pPr>
          </w:p>
        </w:tc>
        <w:tc>
          <w:tcPr>
            <w:tcW w:w="1427" w:type="dxa"/>
            <w:tcBorders>
              <w:bottom w:val="single" w:sz="2" w:space="0" w:color="000000"/>
            </w:tcBorders>
          </w:tcPr>
          <w:p w14:paraId="04C83411" w14:textId="77777777" w:rsidR="00084F36" w:rsidRPr="00EB2BD8" w:rsidRDefault="00084F36">
            <w:pPr>
              <w:pStyle w:val="TableParagraph"/>
              <w:rPr>
                <w:rFonts w:ascii="Times New Roman"/>
                <w:sz w:val="16"/>
              </w:rPr>
            </w:pPr>
          </w:p>
        </w:tc>
        <w:tc>
          <w:tcPr>
            <w:tcW w:w="2464" w:type="dxa"/>
            <w:tcBorders>
              <w:bottom w:val="single" w:sz="2" w:space="0" w:color="000000"/>
            </w:tcBorders>
          </w:tcPr>
          <w:p w14:paraId="0F8233B1" w14:textId="77777777" w:rsidR="00084F36" w:rsidRPr="00EB2BD8" w:rsidRDefault="00EB2BD8">
            <w:pPr>
              <w:pStyle w:val="TableParagraph"/>
              <w:spacing w:before="19"/>
              <w:ind w:left="334"/>
              <w:rPr>
                <w:sz w:val="16"/>
              </w:rPr>
            </w:pPr>
            <w:r w:rsidRPr="00EB2BD8">
              <w:rPr>
                <w:spacing w:val="-2"/>
                <w:sz w:val="16"/>
              </w:rPr>
              <w:t>disciplinary</w:t>
            </w:r>
            <w:r w:rsidRPr="00EB2BD8">
              <w:rPr>
                <w:spacing w:val="9"/>
                <w:sz w:val="16"/>
              </w:rPr>
              <w:t xml:space="preserve"> </w:t>
            </w:r>
            <w:r w:rsidRPr="00EB2BD8">
              <w:rPr>
                <w:spacing w:val="-2"/>
                <w:sz w:val="16"/>
              </w:rPr>
              <w:t>action.</w:t>
            </w:r>
          </w:p>
        </w:tc>
        <w:tc>
          <w:tcPr>
            <w:tcW w:w="2313" w:type="dxa"/>
            <w:tcBorders>
              <w:bottom w:val="single" w:sz="2" w:space="0" w:color="000000"/>
            </w:tcBorders>
          </w:tcPr>
          <w:p w14:paraId="1105B3AB"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22CA5A99"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48027141" w14:textId="77777777" w:rsidR="00084F36" w:rsidRPr="00EB2BD8" w:rsidRDefault="00084F36">
            <w:pPr>
              <w:pStyle w:val="TableParagraph"/>
              <w:rPr>
                <w:rFonts w:ascii="Times New Roman"/>
                <w:sz w:val="16"/>
              </w:rPr>
            </w:pPr>
          </w:p>
        </w:tc>
      </w:tr>
      <w:tr w:rsidR="00EB2BD8" w:rsidRPr="00EB2BD8" w14:paraId="3FAE209F" w14:textId="77777777">
        <w:trPr>
          <w:trHeight w:val="325"/>
        </w:trPr>
        <w:tc>
          <w:tcPr>
            <w:tcW w:w="1742" w:type="dxa"/>
            <w:tcBorders>
              <w:top w:val="single" w:sz="2" w:space="0" w:color="000000"/>
            </w:tcBorders>
          </w:tcPr>
          <w:p w14:paraId="73038896" w14:textId="77777777" w:rsidR="00084F36" w:rsidRPr="00EB2BD8" w:rsidRDefault="00EB2BD8">
            <w:pPr>
              <w:pStyle w:val="TableParagraph"/>
              <w:spacing w:before="114"/>
              <w:ind w:left="113"/>
              <w:rPr>
                <w:sz w:val="16"/>
              </w:rPr>
            </w:pPr>
            <w:r w:rsidRPr="00EB2BD8">
              <w:rPr>
                <w:spacing w:val="-7"/>
                <w:sz w:val="16"/>
              </w:rPr>
              <w:t>HASIM,</w:t>
            </w:r>
            <w:r w:rsidRPr="00EB2BD8">
              <w:rPr>
                <w:spacing w:val="-3"/>
                <w:sz w:val="16"/>
              </w:rPr>
              <w:t xml:space="preserve"> </w:t>
            </w:r>
            <w:r w:rsidRPr="00EB2BD8">
              <w:rPr>
                <w:spacing w:val="-2"/>
                <w:sz w:val="16"/>
              </w:rPr>
              <w:t>Mohammed</w:t>
            </w:r>
          </w:p>
        </w:tc>
        <w:tc>
          <w:tcPr>
            <w:tcW w:w="1427" w:type="dxa"/>
            <w:tcBorders>
              <w:top w:val="single" w:sz="2" w:space="0" w:color="000000"/>
            </w:tcBorders>
          </w:tcPr>
          <w:p w14:paraId="699BD49B" w14:textId="77777777" w:rsidR="00084F36" w:rsidRPr="00EB2BD8" w:rsidRDefault="00EB2BD8">
            <w:pPr>
              <w:pStyle w:val="TableParagraph"/>
              <w:spacing w:before="114"/>
              <w:ind w:left="128"/>
              <w:rPr>
                <w:sz w:val="16"/>
              </w:rPr>
            </w:pPr>
            <w:r w:rsidRPr="00EB2BD8">
              <w:rPr>
                <w:sz w:val="16"/>
              </w:rPr>
              <w:t>DB-U</w:t>
            </w:r>
            <w:r w:rsidRPr="00EB2BD8">
              <w:rPr>
                <w:spacing w:val="22"/>
                <w:sz w:val="16"/>
              </w:rPr>
              <w:t xml:space="preserve"> </w:t>
            </w:r>
            <w:r w:rsidRPr="00EB2BD8">
              <w:rPr>
                <w:spacing w:val="-2"/>
                <w:sz w:val="16"/>
              </w:rPr>
              <w:t>58907</w:t>
            </w:r>
          </w:p>
        </w:tc>
        <w:tc>
          <w:tcPr>
            <w:tcW w:w="2464" w:type="dxa"/>
            <w:tcBorders>
              <w:top w:val="single" w:sz="2" w:space="0" w:color="000000"/>
            </w:tcBorders>
          </w:tcPr>
          <w:p w14:paraId="1A3830BA" w14:textId="77777777" w:rsidR="00084F36" w:rsidRPr="00EB2BD8" w:rsidRDefault="00EB2BD8">
            <w:pPr>
              <w:pStyle w:val="TableParagraph"/>
              <w:spacing w:before="114"/>
              <w:ind w:left="334"/>
              <w:rPr>
                <w:sz w:val="16"/>
              </w:rPr>
            </w:pPr>
            <w:r w:rsidRPr="00EB2BD8">
              <w:rPr>
                <w:spacing w:val="-2"/>
                <w:sz w:val="16"/>
              </w:rPr>
              <w:t>Failing,</w:t>
            </w:r>
            <w:r w:rsidRPr="00EB2BD8">
              <w:rPr>
                <w:spacing w:val="-8"/>
                <w:sz w:val="16"/>
              </w:rPr>
              <w:t xml:space="preserve"> </w:t>
            </w:r>
            <w:r w:rsidRPr="00EB2BD8">
              <w:rPr>
                <w:spacing w:val="-2"/>
                <w:sz w:val="16"/>
              </w:rPr>
              <w:t>as</w:t>
            </w:r>
            <w:r w:rsidRPr="00EB2BD8">
              <w:rPr>
                <w:spacing w:val="-7"/>
                <w:sz w:val="16"/>
              </w:rPr>
              <w:t xml:space="preserve"> </w:t>
            </w:r>
            <w:r w:rsidRPr="00EB2BD8">
              <w:rPr>
                <w:spacing w:val="-2"/>
                <w:sz w:val="16"/>
              </w:rPr>
              <w:t>the</w:t>
            </w:r>
            <w:r w:rsidRPr="00EB2BD8">
              <w:rPr>
                <w:spacing w:val="-7"/>
                <w:sz w:val="16"/>
              </w:rPr>
              <w:t xml:space="preserve"> </w:t>
            </w:r>
            <w:r w:rsidRPr="00EB2BD8">
              <w:rPr>
                <w:spacing w:val="-2"/>
                <w:sz w:val="16"/>
              </w:rPr>
              <w:t>nominee</w:t>
            </w:r>
          </w:p>
        </w:tc>
        <w:tc>
          <w:tcPr>
            <w:tcW w:w="2313" w:type="dxa"/>
            <w:tcBorders>
              <w:top w:val="single" w:sz="2" w:space="0" w:color="000000"/>
            </w:tcBorders>
          </w:tcPr>
          <w:p w14:paraId="78B2110E" w14:textId="77777777" w:rsidR="00084F36" w:rsidRPr="00EB2BD8" w:rsidRDefault="00EB2BD8">
            <w:pPr>
              <w:pStyle w:val="TableParagraph"/>
              <w:spacing w:before="114"/>
              <w:ind w:left="149"/>
              <w:rPr>
                <w:sz w:val="16"/>
              </w:rPr>
            </w:pPr>
            <w:r w:rsidRPr="00EB2BD8">
              <w:rPr>
                <w:spacing w:val="-2"/>
                <w:sz w:val="16"/>
              </w:rPr>
              <w:t>Reprimand.</w:t>
            </w:r>
          </w:p>
        </w:tc>
        <w:tc>
          <w:tcPr>
            <w:tcW w:w="1078" w:type="dxa"/>
            <w:tcBorders>
              <w:top w:val="single" w:sz="2" w:space="0" w:color="000000"/>
            </w:tcBorders>
          </w:tcPr>
          <w:p w14:paraId="62453CD8" w14:textId="77777777" w:rsidR="00084F36" w:rsidRPr="00EB2BD8" w:rsidRDefault="00EB2BD8">
            <w:pPr>
              <w:pStyle w:val="TableParagraph"/>
              <w:spacing w:before="114"/>
              <w:ind w:right="109"/>
              <w:jc w:val="right"/>
              <w:rPr>
                <w:sz w:val="16"/>
              </w:rPr>
            </w:pPr>
            <w:r w:rsidRPr="00EB2BD8">
              <w:rPr>
                <w:w w:val="124"/>
                <w:sz w:val="16"/>
              </w:rPr>
              <w:t>–</w:t>
            </w:r>
          </w:p>
        </w:tc>
        <w:tc>
          <w:tcPr>
            <w:tcW w:w="1175" w:type="dxa"/>
            <w:tcBorders>
              <w:top w:val="single" w:sz="2" w:space="0" w:color="000000"/>
            </w:tcBorders>
          </w:tcPr>
          <w:p w14:paraId="153C26ED" w14:textId="77777777" w:rsidR="00084F36" w:rsidRPr="00EB2BD8" w:rsidRDefault="00EB2BD8">
            <w:pPr>
              <w:pStyle w:val="TableParagraph"/>
              <w:spacing w:before="114"/>
              <w:ind w:left="114"/>
              <w:rPr>
                <w:sz w:val="16"/>
              </w:rPr>
            </w:pPr>
            <w:r w:rsidRPr="00EB2BD8">
              <w:rPr>
                <w:spacing w:val="-2"/>
                <w:w w:val="95"/>
                <w:sz w:val="16"/>
              </w:rPr>
              <w:t>10/03/2023</w:t>
            </w:r>
          </w:p>
        </w:tc>
      </w:tr>
      <w:tr w:rsidR="00EB2BD8" w:rsidRPr="00EB2BD8" w14:paraId="7489D8B4" w14:textId="77777777">
        <w:trPr>
          <w:trHeight w:val="229"/>
        </w:trPr>
        <w:tc>
          <w:tcPr>
            <w:tcW w:w="1742" w:type="dxa"/>
          </w:tcPr>
          <w:p w14:paraId="16265B64" w14:textId="77777777" w:rsidR="00084F36" w:rsidRPr="00EB2BD8" w:rsidRDefault="00084F36">
            <w:pPr>
              <w:pStyle w:val="TableParagraph"/>
              <w:rPr>
                <w:rFonts w:ascii="Times New Roman"/>
                <w:sz w:val="16"/>
              </w:rPr>
            </w:pPr>
          </w:p>
        </w:tc>
        <w:tc>
          <w:tcPr>
            <w:tcW w:w="1427" w:type="dxa"/>
          </w:tcPr>
          <w:p w14:paraId="588CC6D2" w14:textId="77777777" w:rsidR="00084F36" w:rsidRPr="00EB2BD8" w:rsidRDefault="00084F36">
            <w:pPr>
              <w:pStyle w:val="TableParagraph"/>
              <w:rPr>
                <w:rFonts w:ascii="Times New Roman"/>
                <w:sz w:val="16"/>
              </w:rPr>
            </w:pPr>
          </w:p>
        </w:tc>
        <w:tc>
          <w:tcPr>
            <w:tcW w:w="2464" w:type="dxa"/>
          </w:tcPr>
          <w:p w14:paraId="2BB448AC" w14:textId="77777777" w:rsidR="00084F36" w:rsidRPr="00EB2BD8" w:rsidRDefault="00EB2BD8">
            <w:pPr>
              <w:pStyle w:val="TableParagraph"/>
              <w:spacing w:before="19"/>
              <w:ind w:left="334"/>
              <w:rPr>
                <w:sz w:val="16"/>
              </w:rPr>
            </w:pPr>
            <w:r w:rsidRPr="00EB2BD8">
              <w:rPr>
                <w:spacing w:val="-4"/>
                <w:sz w:val="16"/>
              </w:rPr>
              <w:t>director</w:t>
            </w:r>
            <w:r w:rsidRPr="00EB2BD8">
              <w:rPr>
                <w:spacing w:val="-8"/>
                <w:sz w:val="16"/>
              </w:rPr>
              <w:t xml:space="preserve"> </w:t>
            </w:r>
            <w:r w:rsidRPr="00EB2BD8">
              <w:rPr>
                <w:spacing w:val="-4"/>
                <w:sz w:val="16"/>
              </w:rPr>
              <w:t>of</w:t>
            </w:r>
            <w:r w:rsidRPr="00EB2BD8">
              <w:rPr>
                <w:spacing w:val="-6"/>
                <w:sz w:val="16"/>
              </w:rPr>
              <w:t xml:space="preserve"> </w:t>
            </w:r>
            <w:r w:rsidRPr="00EB2BD8">
              <w:rPr>
                <w:spacing w:val="-4"/>
                <w:sz w:val="16"/>
              </w:rPr>
              <w:t>AAA</w:t>
            </w:r>
            <w:r w:rsidRPr="00EB2BD8">
              <w:rPr>
                <w:spacing w:val="-5"/>
                <w:sz w:val="16"/>
              </w:rPr>
              <w:t xml:space="preserve"> </w:t>
            </w:r>
            <w:r w:rsidRPr="00EB2BD8">
              <w:rPr>
                <w:spacing w:val="-4"/>
                <w:sz w:val="16"/>
              </w:rPr>
              <w:t>Rapid</w:t>
            </w:r>
          </w:p>
        </w:tc>
        <w:tc>
          <w:tcPr>
            <w:tcW w:w="2313" w:type="dxa"/>
          </w:tcPr>
          <w:p w14:paraId="3E54B4EB" w14:textId="77777777" w:rsidR="00084F36" w:rsidRPr="00EB2BD8" w:rsidRDefault="00084F36">
            <w:pPr>
              <w:pStyle w:val="TableParagraph"/>
              <w:rPr>
                <w:rFonts w:ascii="Times New Roman"/>
                <w:sz w:val="16"/>
              </w:rPr>
            </w:pPr>
          </w:p>
        </w:tc>
        <w:tc>
          <w:tcPr>
            <w:tcW w:w="1078" w:type="dxa"/>
          </w:tcPr>
          <w:p w14:paraId="52AD6B52" w14:textId="77777777" w:rsidR="00084F36" w:rsidRPr="00EB2BD8" w:rsidRDefault="00084F36">
            <w:pPr>
              <w:pStyle w:val="TableParagraph"/>
              <w:rPr>
                <w:rFonts w:ascii="Times New Roman"/>
                <w:sz w:val="16"/>
              </w:rPr>
            </w:pPr>
          </w:p>
        </w:tc>
        <w:tc>
          <w:tcPr>
            <w:tcW w:w="1175" w:type="dxa"/>
          </w:tcPr>
          <w:p w14:paraId="61FAFB5C" w14:textId="77777777" w:rsidR="00084F36" w:rsidRPr="00EB2BD8" w:rsidRDefault="00084F36">
            <w:pPr>
              <w:pStyle w:val="TableParagraph"/>
              <w:rPr>
                <w:rFonts w:ascii="Times New Roman"/>
                <w:sz w:val="16"/>
              </w:rPr>
            </w:pPr>
          </w:p>
        </w:tc>
      </w:tr>
      <w:tr w:rsidR="00EB2BD8" w:rsidRPr="00EB2BD8" w14:paraId="04E5314B" w14:textId="77777777">
        <w:trPr>
          <w:trHeight w:val="229"/>
        </w:trPr>
        <w:tc>
          <w:tcPr>
            <w:tcW w:w="1742" w:type="dxa"/>
          </w:tcPr>
          <w:p w14:paraId="674B5AE3" w14:textId="77777777" w:rsidR="00084F36" w:rsidRPr="00EB2BD8" w:rsidRDefault="00084F36">
            <w:pPr>
              <w:pStyle w:val="TableParagraph"/>
              <w:rPr>
                <w:rFonts w:ascii="Times New Roman"/>
                <w:sz w:val="16"/>
              </w:rPr>
            </w:pPr>
          </w:p>
        </w:tc>
        <w:tc>
          <w:tcPr>
            <w:tcW w:w="1427" w:type="dxa"/>
          </w:tcPr>
          <w:p w14:paraId="50EAAD13" w14:textId="77777777" w:rsidR="00084F36" w:rsidRPr="00EB2BD8" w:rsidRDefault="00084F36">
            <w:pPr>
              <w:pStyle w:val="TableParagraph"/>
              <w:rPr>
                <w:rFonts w:ascii="Times New Roman"/>
                <w:sz w:val="16"/>
              </w:rPr>
            </w:pPr>
          </w:p>
        </w:tc>
        <w:tc>
          <w:tcPr>
            <w:tcW w:w="2464" w:type="dxa"/>
          </w:tcPr>
          <w:p w14:paraId="55FEA058" w14:textId="77777777" w:rsidR="00084F36" w:rsidRPr="00EB2BD8" w:rsidRDefault="00EB2BD8">
            <w:pPr>
              <w:pStyle w:val="TableParagraph"/>
              <w:spacing w:before="19"/>
              <w:ind w:left="334"/>
              <w:rPr>
                <w:sz w:val="16"/>
              </w:rPr>
            </w:pPr>
            <w:r w:rsidRPr="00EB2BD8">
              <w:rPr>
                <w:spacing w:val="-2"/>
                <w:sz w:val="16"/>
              </w:rPr>
              <w:t>Homes</w:t>
            </w:r>
            <w:r w:rsidRPr="00EB2BD8">
              <w:rPr>
                <w:spacing w:val="-7"/>
                <w:sz w:val="16"/>
              </w:rPr>
              <w:t xml:space="preserve"> </w:t>
            </w:r>
            <w:r w:rsidRPr="00EB2BD8">
              <w:rPr>
                <w:spacing w:val="-2"/>
                <w:sz w:val="16"/>
              </w:rPr>
              <w:t>Pty</w:t>
            </w:r>
            <w:r w:rsidRPr="00EB2BD8">
              <w:rPr>
                <w:spacing w:val="-6"/>
                <w:sz w:val="16"/>
              </w:rPr>
              <w:t xml:space="preserve"> </w:t>
            </w:r>
            <w:r w:rsidRPr="00EB2BD8">
              <w:rPr>
                <w:spacing w:val="-2"/>
                <w:sz w:val="16"/>
              </w:rPr>
              <w:t>Ltd,</w:t>
            </w:r>
            <w:r w:rsidRPr="00EB2BD8">
              <w:rPr>
                <w:spacing w:val="-7"/>
                <w:sz w:val="16"/>
              </w:rPr>
              <w:t xml:space="preserve"> </w:t>
            </w:r>
            <w:r w:rsidRPr="00EB2BD8">
              <w:rPr>
                <w:spacing w:val="-2"/>
                <w:sz w:val="16"/>
              </w:rPr>
              <w:t>to</w:t>
            </w:r>
            <w:r w:rsidRPr="00EB2BD8">
              <w:rPr>
                <w:spacing w:val="-6"/>
                <w:sz w:val="16"/>
              </w:rPr>
              <w:t xml:space="preserve"> </w:t>
            </w:r>
            <w:r w:rsidRPr="00EB2BD8">
              <w:rPr>
                <w:spacing w:val="-2"/>
                <w:sz w:val="16"/>
              </w:rPr>
              <w:t>ensure</w:t>
            </w:r>
          </w:p>
        </w:tc>
        <w:tc>
          <w:tcPr>
            <w:tcW w:w="2313" w:type="dxa"/>
          </w:tcPr>
          <w:p w14:paraId="245A4622" w14:textId="77777777" w:rsidR="00084F36" w:rsidRPr="00EB2BD8" w:rsidRDefault="00084F36">
            <w:pPr>
              <w:pStyle w:val="TableParagraph"/>
              <w:rPr>
                <w:rFonts w:ascii="Times New Roman"/>
                <w:sz w:val="16"/>
              </w:rPr>
            </w:pPr>
          </w:p>
        </w:tc>
        <w:tc>
          <w:tcPr>
            <w:tcW w:w="1078" w:type="dxa"/>
          </w:tcPr>
          <w:p w14:paraId="36414AFD" w14:textId="77777777" w:rsidR="00084F36" w:rsidRPr="00EB2BD8" w:rsidRDefault="00084F36">
            <w:pPr>
              <w:pStyle w:val="TableParagraph"/>
              <w:rPr>
                <w:rFonts w:ascii="Times New Roman"/>
                <w:sz w:val="16"/>
              </w:rPr>
            </w:pPr>
          </w:p>
        </w:tc>
        <w:tc>
          <w:tcPr>
            <w:tcW w:w="1175" w:type="dxa"/>
          </w:tcPr>
          <w:p w14:paraId="01E68E13" w14:textId="77777777" w:rsidR="00084F36" w:rsidRPr="00EB2BD8" w:rsidRDefault="00084F36">
            <w:pPr>
              <w:pStyle w:val="TableParagraph"/>
              <w:rPr>
                <w:rFonts w:ascii="Times New Roman"/>
                <w:sz w:val="16"/>
              </w:rPr>
            </w:pPr>
          </w:p>
        </w:tc>
      </w:tr>
      <w:tr w:rsidR="00EB2BD8" w:rsidRPr="00EB2BD8" w14:paraId="10207D4A" w14:textId="77777777">
        <w:trPr>
          <w:trHeight w:val="229"/>
        </w:trPr>
        <w:tc>
          <w:tcPr>
            <w:tcW w:w="1742" w:type="dxa"/>
          </w:tcPr>
          <w:p w14:paraId="67A0BB2D" w14:textId="77777777" w:rsidR="00084F36" w:rsidRPr="00EB2BD8" w:rsidRDefault="00084F36">
            <w:pPr>
              <w:pStyle w:val="TableParagraph"/>
              <w:rPr>
                <w:rFonts w:ascii="Times New Roman"/>
                <w:sz w:val="16"/>
              </w:rPr>
            </w:pPr>
          </w:p>
        </w:tc>
        <w:tc>
          <w:tcPr>
            <w:tcW w:w="1427" w:type="dxa"/>
          </w:tcPr>
          <w:p w14:paraId="1C398F46" w14:textId="77777777" w:rsidR="00084F36" w:rsidRPr="00EB2BD8" w:rsidRDefault="00084F36">
            <w:pPr>
              <w:pStyle w:val="TableParagraph"/>
              <w:rPr>
                <w:rFonts w:ascii="Times New Roman"/>
                <w:sz w:val="16"/>
              </w:rPr>
            </w:pPr>
          </w:p>
        </w:tc>
        <w:tc>
          <w:tcPr>
            <w:tcW w:w="2464" w:type="dxa"/>
          </w:tcPr>
          <w:p w14:paraId="673A2421" w14:textId="77777777" w:rsidR="00084F36" w:rsidRPr="00EB2BD8" w:rsidRDefault="00EB2BD8">
            <w:pPr>
              <w:pStyle w:val="TableParagraph"/>
              <w:spacing w:before="19"/>
              <w:ind w:left="334"/>
              <w:rPr>
                <w:sz w:val="16"/>
              </w:rPr>
            </w:pPr>
            <w:r w:rsidRPr="00EB2BD8">
              <w:rPr>
                <w:sz w:val="16"/>
              </w:rPr>
              <w:t>that</w:t>
            </w:r>
            <w:r w:rsidRPr="00EB2BD8">
              <w:rPr>
                <w:spacing w:val="-5"/>
                <w:sz w:val="16"/>
              </w:rPr>
              <w:t xml:space="preserve"> </w:t>
            </w:r>
            <w:r w:rsidRPr="00EB2BD8">
              <w:rPr>
                <w:sz w:val="16"/>
              </w:rPr>
              <w:t>the</w:t>
            </w:r>
            <w:r w:rsidRPr="00EB2BD8">
              <w:rPr>
                <w:spacing w:val="-4"/>
                <w:sz w:val="16"/>
              </w:rPr>
              <w:t xml:space="preserve"> </w:t>
            </w:r>
            <w:r w:rsidRPr="00EB2BD8">
              <w:rPr>
                <w:spacing w:val="-2"/>
                <w:sz w:val="16"/>
              </w:rPr>
              <w:t>company</w:t>
            </w:r>
          </w:p>
        </w:tc>
        <w:tc>
          <w:tcPr>
            <w:tcW w:w="2313" w:type="dxa"/>
          </w:tcPr>
          <w:p w14:paraId="3C88EC91" w14:textId="77777777" w:rsidR="00084F36" w:rsidRPr="00EB2BD8" w:rsidRDefault="00084F36">
            <w:pPr>
              <w:pStyle w:val="TableParagraph"/>
              <w:rPr>
                <w:rFonts w:ascii="Times New Roman"/>
                <w:sz w:val="16"/>
              </w:rPr>
            </w:pPr>
          </w:p>
        </w:tc>
        <w:tc>
          <w:tcPr>
            <w:tcW w:w="1078" w:type="dxa"/>
          </w:tcPr>
          <w:p w14:paraId="6BE843B3" w14:textId="77777777" w:rsidR="00084F36" w:rsidRPr="00EB2BD8" w:rsidRDefault="00084F36">
            <w:pPr>
              <w:pStyle w:val="TableParagraph"/>
              <w:rPr>
                <w:rFonts w:ascii="Times New Roman"/>
                <w:sz w:val="16"/>
              </w:rPr>
            </w:pPr>
          </w:p>
        </w:tc>
        <w:tc>
          <w:tcPr>
            <w:tcW w:w="1175" w:type="dxa"/>
          </w:tcPr>
          <w:p w14:paraId="487A1FBD" w14:textId="77777777" w:rsidR="00084F36" w:rsidRPr="00EB2BD8" w:rsidRDefault="00084F36">
            <w:pPr>
              <w:pStyle w:val="TableParagraph"/>
              <w:rPr>
                <w:rFonts w:ascii="Times New Roman"/>
                <w:sz w:val="16"/>
              </w:rPr>
            </w:pPr>
          </w:p>
        </w:tc>
      </w:tr>
      <w:tr w:rsidR="00EB2BD8" w:rsidRPr="00EB2BD8" w14:paraId="62461CD4" w14:textId="77777777">
        <w:trPr>
          <w:trHeight w:val="229"/>
        </w:trPr>
        <w:tc>
          <w:tcPr>
            <w:tcW w:w="1742" w:type="dxa"/>
          </w:tcPr>
          <w:p w14:paraId="49733B60" w14:textId="77777777" w:rsidR="00084F36" w:rsidRPr="00EB2BD8" w:rsidRDefault="00084F36">
            <w:pPr>
              <w:pStyle w:val="TableParagraph"/>
              <w:rPr>
                <w:rFonts w:ascii="Times New Roman"/>
                <w:sz w:val="16"/>
              </w:rPr>
            </w:pPr>
          </w:p>
        </w:tc>
        <w:tc>
          <w:tcPr>
            <w:tcW w:w="1427" w:type="dxa"/>
          </w:tcPr>
          <w:p w14:paraId="64B9B441" w14:textId="77777777" w:rsidR="00084F36" w:rsidRPr="00EB2BD8" w:rsidRDefault="00084F36">
            <w:pPr>
              <w:pStyle w:val="TableParagraph"/>
              <w:rPr>
                <w:rFonts w:ascii="Times New Roman"/>
                <w:sz w:val="16"/>
              </w:rPr>
            </w:pPr>
          </w:p>
        </w:tc>
        <w:tc>
          <w:tcPr>
            <w:tcW w:w="2464" w:type="dxa"/>
          </w:tcPr>
          <w:p w14:paraId="43450E69" w14:textId="77777777" w:rsidR="00084F36" w:rsidRPr="00EB2BD8" w:rsidRDefault="00EB2BD8">
            <w:pPr>
              <w:pStyle w:val="TableParagraph"/>
              <w:spacing w:before="19"/>
              <w:ind w:left="334"/>
              <w:rPr>
                <w:sz w:val="16"/>
              </w:rPr>
            </w:pPr>
            <w:r w:rsidRPr="00EB2BD8">
              <w:rPr>
                <w:sz w:val="16"/>
              </w:rPr>
              <w:t>complied</w:t>
            </w:r>
            <w:r w:rsidRPr="00EB2BD8">
              <w:rPr>
                <w:spacing w:val="-11"/>
                <w:sz w:val="16"/>
              </w:rPr>
              <w:t xml:space="preserve"> </w:t>
            </w:r>
            <w:r w:rsidRPr="00EB2BD8">
              <w:rPr>
                <w:sz w:val="16"/>
              </w:rPr>
              <w:t>with</w:t>
            </w:r>
            <w:r w:rsidRPr="00EB2BD8">
              <w:rPr>
                <w:spacing w:val="-10"/>
                <w:sz w:val="16"/>
              </w:rPr>
              <w:t xml:space="preserve"> </w:t>
            </w:r>
            <w:r w:rsidRPr="00EB2BD8">
              <w:rPr>
                <w:sz w:val="16"/>
              </w:rPr>
              <w:t>a</w:t>
            </w:r>
            <w:r w:rsidRPr="00EB2BD8">
              <w:rPr>
                <w:spacing w:val="-11"/>
                <w:sz w:val="16"/>
              </w:rPr>
              <w:t xml:space="preserve"> </w:t>
            </w:r>
            <w:r w:rsidRPr="00EB2BD8">
              <w:rPr>
                <w:spacing w:val="-2"/>
                <w:sz w:val="16"/>
              </w:rPr>
              <w:t>direction</w:t>
            </w:r>
          </w:p>
        </w:tc>
        <w:tc>
          <w:tcPr>
            <w:tcW w:w="2313" w:type="dxa"/>
          </w:tcPr>
          <w:p w14:paraId="4B46A218" w14:textId="77777777" w:rsidR="00084F36" w:rsidRPr="00EB2BD8" w:rsidRDefault="00084F36">
            <w:pPr>
              <w:pStyle w:val="TableParagraph"/>
              <w:rPr>
                <w:rFonts w:ascii="Times New Roman"/>
                <w:sz w:val="16"/>
              </w:rPr>
            </w:pPr>
          </w:p>
        </w:tc>
        <w:tc>
          <w:tcPr>
            <w:tcW w:w="1078" w:type="dxa"/>
          </w:tcPr>
          <w:p w14:paraId="6FC5454A" w14:textId="77777777" w:rsidR="00084F36" w:rsidRPr="00EB2BD8" w:rsidRDefault="00084F36">
            <w:pPr>
              <w:pStyle w:val="TableParagraph"/>
              <w:rPr>
                <w:rFonts w:ascii="Times New Roman"/>
                <w:sz w:val="16"/>
              </w:rPr>
            </w:pPr>
          </w:p>
        </w:tc>
        <w:tc>
          <w:tcPr>
            <w:tcW w:w="1175" w:type="dxa"/>
          </w:tcPr>
          <w:p w14:paraId="7E00082A" w14:textId="77777777" w:rsidR="00084F36" w:rsidRPr="00EB2BD8" w:rsidRDefault="00084F36">
            <w:pPr>
              <w:pStyle w:val="TableParagraph"/>
              <w:rPr>
                <w:rFonts w:ascii="Times New Roman"/>
                <w:sz w:val="16"/>
              </w:rPr>
            </w:pPr>
          </w:p>
        </w:tc>
      </w:tr>
      <w:tr w:rsidR="00EB2BD8" w:rsidRPr="00EB2BD8" w14:paraId="2676E1BE" w14:textId="77777777">
        <w:trPr>
          <w:trHeight w:val="229"/>
        </w:trPr>
        <w:tc>
          <w:tcPr>
            <w:tcW w:w="1742" w:type="dxa"/>
          </w:tcPr>
          <w:p w14:paraId="36CCEEAC" w14:textId="77777777" w:rsidR="00084F36" w:rsidRPr="00EB2BD8" w:rsidRDefault="00084F36">
            <w:pPr>
              <w:pStyle w:val="TableParagraph"/>
              <w:rPr>
                <w:rFonts w:ascii="Times New Roman"/>
                <w:sz w:val="16"/>
              </w:rPr>
            </w:pPr>
          </w:p>
        </w:tc>
        <w:tc>
          <w:tcPr>
            <w:tcW w:w="1427" w:type="dxa"/>
          </w:tcPr>
          <w:p w14:paraId="6EED0769" w14:textId="77777777" w:rsidR="00084F36" w:rsidRPr="00EB2BD8" w:rsidRDefault="00084F36">
            <w:pPr>
              <w:pStyle w:val="TableParagraph"/>
              <w:rPr>
                <w:rFonts w:ascii="Times New Roman"/>
                <w:sz w:val="16"/>
              </w:rPr>
            </w:pPr>
          </w:p>
        </w:tc>
        <w:tc>
          <w:tcPr>
            <w:tcW w:w="2464" w:type="dxa"/>
          </w:tcPr>
          <w:p w14:paraId="16423990" w14:textId="77777777" w:rsidR="00084F36" w:rsidRPr="00EB2BD8" w:rsidRDefault="00EB2BD8">
            <w:pPr>
              <w:pStyle w:val="TableParagraph"/>
              <w:spacing w:before="19"/>
              <w:ind w:left="334"/>
              <w:rPr>
                <w:sz w:val="16"/>
              </w:rPr>
            </w:pPr>
            <w:r w:rsidRPr="00EB2BD8">
              <w:rPr>
                <w:spacing w:val="-4"/>
                <w:sz w:val="16"/>
              </w:rPr>
              <w:t>to</w:t>
            </w:r>
            <w:r w:rsidRPr="00EB2BD8">
              <w:rPr>
                <w:spacing w:val="-8"/>
                <w:sz w:val="16"/>
              </w:rPr>
              <w:t xml:space="preserve"> </w:t>
            </w:r>
            <w:r w:rsidRPr="00EB2BD8">
              <w:rPr>
                <w:spacing w:val="-4"/>
                <w:sz w:val="16"/>
              </w:rPr>
              <w:t>fix</w:t>
            </w:r>
            <w:r w:rsidRPr="00EB2BD8">
              <w:rPr>
                <w:spacing w:val="-8"/>
                <w:sz w:val="16"/>
              </w:rPr>
              <w:t xml:space="preserve"> </w:t>
            </w:r>
            <w:r w:rsidRPr="00EB2BD8">
              <w:rPr>
                <w:spacing w:val="-4"/>
                <w:sz w:val="16"/>
              </w:rPr>
              <w:t>building</w:t>
            </w:r>
            <w:r w:rsidRPr="00EB2BD8">
              <w:rPr>
                <w:spacing w:val="-8"/>
                <w:sz w:val="16"/>
              </w:rPr>
              <w:t xml:space="preserve"> </w:t>
            </w:r>
            <w:r w:rsidRPr="00EB2BD8">
              <w:rPr>
                <w:spacing w:val="-4"/>
                <w:sz w:val="16"/>
              </w:rPr>
              <w:t>work</w:t>
            </w:r>
            <w:r w:rsidRPr="00EB2BD8">
              <w:rPr>
                <w:spacing w:val="-8"/>
                <w:sz w:val="16"/>
              </w:rPr>
              <w:t xml:space="preserve"> </w:t>
            </w:r>
            <w:r w:rsidRPr="00EB2BD8">
              <w:rPr>
                <w:spacing w:val="-4"/>
                <w:sz w:val="16"/>
              </w:rPr>
              <w:t>within</w:t>
            </w:r>
          </w:p>
        </w:tc>
        <w:tc>
          <w:tcPr>
            <w:tcW w:w="2313" w:type="dxa"/>
          </w:tcPr>
          <w:p w14:paraId="05A70AE1" w14:textId="77777777" w:rsidR="00084F36" w:rsidRPr="00EB2BD8" w:rsidRDefault="00084F36">
            <w:pPr>
              <w:pStyle w:val="TableParagraph"/>
              <w:rPr>
                <w:rFonts w:ascii="Times New Roman"/>
                <w:sz w:val="16"/>
              </w:rPr>
            </w:pPr>
          </w:p>
        </w:tc>
        <w:tc>
          <w:tcPr>
            <w:tcW w:w="1078" w:type="dxa"/>
          </w:tcPr>
          <w:p w14:paraId="74590ABD" w14:textId="77777777" w:rsidR="00084F36" w:rsidRPr="00EB2BD8" w:rsidRDefault="00084F36">
            <w:pPr>
              <w:pStyle w:val="TableParagraph"/>
              <w:rPr>
                <w:rFonts w:ascii="Times New Roman"/>
                <w:sz w:val="16"/>
              </w:rPr>
            </w:pPr>
          </w:p>
        </w:tc>
        <w:tc>
          <w:tcPr>
            <w:tcW w:w="1175" w:type="dxa"/>
          </w:tcPr>
          <w:p w14:paraId="16FDECEC" w14:textId="77777777" w:rsidR="00084F36" w:rsidRPr="00EB2BD8" w:rsidRDefault="00084F36">
            <w:pPr>
              <w:pStyle w:val="TableParagraph"/>
              <w:rPr>
                <w:rFonts w:ascii="Times New Roman"/>
                <w:sz w:val="16"/>
              </w:rPr>
            </w:pPr>
          </w:p>
        </w:tc>
      </w:tr>
      <w:tr w:rsidR="00EB2BD8" w:rsidRPr="00EB2BD8" w14:paraId="4962622C" w14:textId="77777777">
        <w:trPr>
          <w:trHeight w:val="229"/>
        </w:trPr>
        <w:tc>
          <w:tcPr>
            <w:tcW w:w="1742" w:type="dxa"/>
          </w:tcPr>
          <w:p w14:paraId="39BEFEDB" w14:textId="77777777" w:rsidR="00084F36" w:rsidRPr="00EB2BD8" w:rsidRDefault="00084F36">
            <w:pPr>
              <w:pStyle w:val="TableParagraph"/>
              <w:rPr>
                <w:rFonts w:ascii="Times New Roman"/>
                <w:sz w:val="16"/>
              </w:rPr>
            </w:pPr>
          </w:p>
        </w:tc>
        <w:tc>
          <w:tcPr>
            <w:tcW w:w="1427" w:type="dxa"/>
          </w:tcPr>
          <w:p w14:paraId="6F43E050" w14:textId="77777777" w:rsidR="00084F36" w:rsidRPr="00EB2BD8" w:rsidRDefault="00084F36">
            <w:pPr>
              <w:pStyle w:val="TableParagraph"/>
              <w:rPr>
                <w:rFonts w:ascii="Times New Roman"/>
                <w:sz w:val="16"/>
              </w:rPr>
            </w:pPr>
          </w:p>
        </w:tc>
        <w:tc>
          <w:tcPr>
            <w:tcW w:w="2464" w:type="dxa"/>
          </w:tcPr>
          <w:p w14:paraId="1A014537" w14:textId="77777777" w:rsidR="00084F36" w:rsidRPr="00EB2BD8" w:rsidRDefault="00EB2BD8">
            <w:pPr>
              <w:pStyle w:val="TableParagraph"/>
              <w:spacing w:before="19"/>
              <w:ind w:left="334"/>
              <w:rPr>
                <w:sz w:val="16"/>
              </w:rPr>
            </w:pPr>
            <w:r w:rsidRPr="00EB2BD8">
              <w:rPr>
                <w:spacing w:val="-2"/>
                <w:sz w:val="16"/>
              </w:rPr>
              <w:t>the</w:t>
            </w:r>
            <w:r w:rsidRPr="00EB2BD8">
              <w:rPr>
                <w:spacing w:val="-7"/>
                <w:sz w:val="16"/>
              </w:rPr>
              <w:t xml:space="preserve"> </w:t>
            </w:r>
            <w:r w:rsidRPr="00EB2BD8">
              <w:rPr>
                <w:spacing w:val="-2"/>
                <w:sz w:val="16"/>
              </w:rPr>
              <w:t>specified</w:t>
            </w:r>
            <w:r w:rsidRPr="00EB2BD8">
              <w:rPr>
                <w:spacing w:val="-6"/>
                <w:sz w:val="16"/>
              </w:rPr>
              <w:t xml:space="preserve"> </w:t>
            </w:r>
            <w:r w:rsidRPr="00EB2BD8">
              <w:rPr>
                <w:spacing w:val="-2"/>
                <w:sz w:val="16"/>
              </w:rPr>
              <w:t>period,</w:t>
            </w:r>
            <w:r w:rsidRPr="00EB2BD8">
              <w:rPr>
                <w:spacing w:val="-6"/>
                <w:sz w:val="16"/>
              </w:rPr>
              <w:t xml:space="preserve"> </w:t>
            </w:r>
            <w:r w:rsidRPr="00EB2BD8">
              <w:rPr>
                <w:spacing w:val="-5"/>
                <w:sz w:val="16"/>
              </w:rPr>
              <w:t>in</w:t>
            </w:r>
          </w:p>
        </w:tc>
        <w:tc>
          <w:tcPr>
            <w:tcW w:w="2313" w:type="dxa"/>
          </w:tcPr>
          <w:p w14:paraId="3DC9150A" w14:textId="77777777" w:rsidR="00084F36" w:rsidRPr="00EB2BD8" w:rsidRDefault="00084F36">
            <w:pPr>
              <w:pStyle w:val="TableParagraph"/>
              <w:rPr>
                <w:rFonts w:ascii="Times New Roman"/>
                <w:sz w:val="16"/>
              </w:rPr>
            </w:pPr>
          </w:p>
        </w:tc>
        <w:tc>
          <w:tcPr>
            <w:tcW w:w="1078" w:type="dxa"/>
          </w:tcPr>
          <w:p w14:paraId="6638F41A" w14:textId="77777777" w:rsidR="00084F36" w:rsidRPr="00EB2BD8" w:rsidRDefault="00084F36">
            <w:pPr>
              <w:pStyle w:val="TableParagraph"/>
              <w:rPr>
                <w:rFonts w:ascii="Times New Roman"/>
                <w:sz w:val="16"/>
              </w:rPr>
            </w:pPr>
          </w:p>
        </w:tc>
        <w:tc>
          <w:tcPr>
            <w:tcW w:w="1175" w:type="dxa"/>
          </w:tcPr>
          <w:p w14:paraId="31F9709F" w14:textId="77777777" w:rsidR="00084F36" w:rsidRPr="00EB2BD8" w:rsidRDefault="00084F36">
            <w:pPr>
              <w:pStyle w:val="TableParagraph"/>
              <w:rPr>
                <w:rFonts w:ascii="Times New Roman"/>
                <w:sz w:val="16"/>
              </w:rPr>
            </w:pPr>
          </w:p>
        </w:tc>
      </w:tr>
      <w:tr w:rsidR="00EB2BD8" w:rsidRPr="00EB2BD8" w14:paraId="13A0955A" w14:textId="77777777">
        <w:trPr>
          <w:trHeight w:val="229"/>
        </w:trPr>
        <w:tc>
          <w:tcPr>
            <w:tcW w:w="1742" w:type="dxa"/>
          </w:tcPr>
          <w:p w14:paraId="5E5D06BA" w14:textId="77777777" w:rsidR="00084F36" w:rsidRPr="00EB2BD8" w:rsidRDefault="00084F36">
            <w:pPr>
              <w:pStyle w:val="TableParagraph"/>
              <w:rPr>
                <w:rFonts w:ascii="Times New Roman"/>
                <w:sz w:val="16"/>
              </w:rPr>
            </w:pPr>
          </w:p>
        </w:tc>
        <w:tc>
          <w:tcPr>
            <w:tcW w:w="1427" w:type="dxa"/>
          </w:tcPr>
          <w:p w14:paraId="31D7F81F" w14:textId="77777777" w:rsidR="00084F36" w:rsidRPr="00EB2BD8" w:rsidRDefault="00084F36">
            <w:pPr>
              <w:pStyle w:val="TableParagraph"/>
              <w:rPr>
                <w:rFonts w:ascii="Times New Roman"/>
                <w:sz w:val="16"/>
              </w:rPr>
            </w:pPr>
          </w:p>
        </w:tc>
        <w:tc>
          <w:tcPr>
            <w:tcW w:w="2464" w:type="dxa"/>
          </w:tcPr>
          <w:p w14:paraId="45567BFA" w14:textId="77777777" w:rsidR="00084F36" w:rsidRPr="00EB2BD8" w:rsidRDefault="00EB2BD8">
            <w:pPr>
              <w:pStyle w:val="TableParagraph"/>
              <w:spacing w:before="19"/>
              <w:ind w:left="334"/>
              <w:rPr>
                <w:sz w:val="16"/>
              </w:rPr>
            </w:pPr>
            <w:r w:rsidRPr="00EB2BD8">
              <w:rPr>
                <w:sz w:val="16"/>
              </w:rPr>
              <w:t>respect</w:t>
            </w:r>
            <w:r w:rsidRPr="00EB2BD8">
              <w:rPr>
                <w:spacing w:val="-8"/>
                <w:sz w:val="16"/>
              </w:rPr>
              <w:t xml:space="preserve"> </w:t>
            </w:r>
            <w:r w:rsidRPr="00EB2BD8">
              <w:rPr>
                <w:sz w:val="16"/>
              </w:rPr>
              <w:t>of</w:t>
            </w:r>
            <w:r w:rsidRPr="00EB2BD8">
              <w:rPr>
                <w:spacing w:val="-7"/>
                <w:sz w:val="16"/>
              </w:rPr>
              <w:t xml:space="preserve"> </w:t>
            </w:r>
            <w:r w:rsidRPr="00EB2BD8">
              <w:rPr>
                <w:sz w:val="16"/>
              </w:rPr>
              <w:t>a</w:t>
            </w:r>
            <w:r w:rsidRPr="00EB2BD8">
              <w:rPr>
                <w:spacing w:val="-8"/>
                <w:sz w:val="16"/>
              </w:rPr>
              <w:t xml:space="preserve"> </w:t>
            </w:r>
            <w:r w:rsidRPr="00EB2BD8">
              <w:rPr>
                <w:sz w:val="16"/>
              </w:rPr>
              <w:t>site</w:t>
            </w:r>
            <w:r w:rsidRPr="00EB2BD8">
              <w:rPr>
                <w:spacing w:val="-7"/>
                <w:sz w:val="16"/>
              </w:rPr>
              <w:t xml:space="preserve"> </w:t>
            </w:r>
            <w:r w:rsidRPr="00EB2BD8">
              <w:rPr>
                <w:sz w:val="16"/>
              </w:rPr>
              <w:t>at</w:t>
            </w:r>
            <w:r w:rsidRPr="00EB2BD8">
              <w:rPr>
                <w:spacing w:val="-7"/>
                <w:sz w:val="16"/>
              </w:rPr>
              <w:t xml:space="preserve"> </w:t>
            </w:r>
            <w:r w:rsidRPr="00EB2BD8">
              <w:rPr>
                <w:spacing w:val="-2"/>
                <w:sz w:val="16"/>
              </w:rPr>
              <w:t>Winter</w:t>
            </w:r>
          </w:p>
        </w:tc>
        <w:tc>
          <w:tcPr>
            <w:tcW w:w="2313" w:type="dxa"/>
          </w:tcPr>
          <w:p w14:paraId="21DF00EF" w14:textId="77777777" w:rsidR="00084F36" w:rsidRPr="00EB2BD8" w:rsidRDefault="00084F36">
            <w:pPr>
              <w:pStyle w:val="TableParagraph"/>
              <w:rPr>
                <w:rFonts w:ascii="Times New Roman"/>
                <w:sz w:val="16"/>
              </w:rPr>
            </w:pPr>
          </w:p>
        </w:tc>
        <w:tc>
          <w:tcPr>
            <w:tcW w:w="1078" w:type="dxa"/>
          </w:tcPr>
          <w:p w14:paraId="0333A5DF" w14:textId="77777777" w:rsidR="00084F36" w:rsidRPr="00EB2BD8" w:rsidRDefault="00084F36">
            <w:pPr>
              <w:pStyle w:val="TableParagraph"/>
              <w:rPr>
                <w:rFonts w:ascii="Times New Roman"/>
                <w:sz w:val="16"/>
              </w:rPr>
            </w:pPr>
          </w:p>
        </w:tc>
        <w:tc>
          <w:tcPr>
            <w:tcW w:w="1175" w:type="dxa"/>
          </w:tcPr>
          <w:p w14:paraId="6F6F15B4" w14:textId="77777777" w:rsidR="00084F36" w:rsidRPr="00EB2BD8" w:rsidRDefault="00084F36">
            <w:pPr>
              <w:pStyle w:val="TableParagraph"/>
              <w:rPr>
                <w:rFonts w:ascii="Times New Roman"/>
                <w:sz w:val="16"/>
              </w:rPr>
            </w:pPr>
          </w:p>
        </w:tc>
      </w:tr>
      <w:tr w:rsidR="00EB2BD8" w:rsidRPr="00EB2BD8" w14:paraId="40B73AE1" w14:textId="77777777">
        <w:trPr>
          <w:trHeight w:val="465"/>
        </w:trPr>
        <w:tc>
          <w:tcPr>
            <w:tcW w:w="1742" w:type="dxa"/>
            <w:tcBorders>
              <w:bottom w:val="single" w:sz="2" w:space="0" w:color="000000"/>
            </w:tcBorders>
          </w:tcPr>
          <w:p w14:paraId="128E6AF3" w14:textId="77777777" w:rsidR="00084F36" w:rsidRPr="00EB2BD8" w:rsidRDefault="00084F36">
            <w:pPr>
              <w:pStyle w:val="TableParagraph"/>
              <w:rPr>
                <w:rFonts w:ascii="Times New Roman"/>
                <w:sz w:val="16"/>
              </w:rPr>
            </w:pPr>
          </w:p>
        </w:tc>
        <w:tc>
          <w:tcPr>
            <w:tcW w:w="1427" w:type="dxa"/>
            <w:tcBorders>
              <w:bottom w:val="single" w:sz="2" w:space="0" w:color="000000"/>
            </w:tcBorders>
          </w:tcPr>
          <w:p w14:paraId="7CA9AA2A" w14:textId="77777777" w:rsidR="00084F36" w:rsidRPr="00EB2BD8" w:rsidRDefault="00084F36">
            <w:pPr>
              <w:pStyle w:val="TableParagraph"/>
              <w:rPr>
                <w:rFonts w:ascii="Times New Roman"/>
                <w:sz w:val="16"/>
              </w:rPr>
            </w:pPr>
          </w:p>
        </w:tc>
        <w:tc>
          <w:tcPr>
            <w:tcW w:w="2464" w:type="dxa"/>
            <w:tcBorders>
              <w:bottom w:val="single" w:sz="2" w:space="0" w:color="000000"/>
            </w:tcBorders>
          </w:tcPr>
          <w:p w14:paraId="13F20ED0" w14:textId="77777777" w:rsidR="00084F36" w:rsidRPr="00EB2BD8" w:rsidRDefault="00EB2BD8">
            <w:pPr>
              <w:pStyle w:val="TableParagraph"/>
              <w:spacing w:before="19"/>
              <w:ind w:left="334"/>
              <w:rPr>
                <w:sz w:val="16"/>
              </w:rPr>
            </w:pPr>
            <w:r w:rsidRPr="00EB2BD8">
              <w:rPr>
                <w:spacing w:val="-2"/>
                <w:sz w:val="16"/>
              </w:rPr>
              <w:t>Valley.</w:t>
            </w:r>
          </w:p>
        </w:tc>
        <w:tc>
          <w:tcPr>
            <w:tcW w:w="2313" w:type="dxa"/>
            <w:tcBorders>
              <w:bottom w:val="single" w:sz="2" w:space="0" w:color="000000"/>
            </w:tcBorders>
          </w:tcPr>
          <w:p w14:paraId="482EF749"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4CD18E6D"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1E51BC73" w14:textId="77777777" w:rsidR="00084F36" w:rsidRPr="00EB2BD8" w:rsidRDefault="00084F36">
            <w:pPr>
              <w:pStyle w:val="TableParagraph"/>
              <w:rPr>
                <w:rFonts w:ascii="Times New Roman"/>
                <w:sz w:val="16"/>
              </w:rPr>
            </w:pPr>
          </w:p>
        </w:tc>
      </w:tr>
      <w:tr w:rsidR="00EB2BD8" w:rsidRPr="00EB2BD8" w14:paraId="4672B81F" w14:textId="77777777">
        <w:trPr>
          <w:trHeight w:val="324"/>
        </w:trPr>
        <w:tc>
          <w:tcPr>
            <w:tcW w:w="1742" w:type="dxa"/>
            <w:tcBorders>
              <w:top w:val="single" w:sz="2" w:space="0" w:color="000000"/>
            </w:tcBorders>
          </w:tcPr>
          <w:p w14:paraId="505A9EEE" w14:textId="77777777" w:rsidR="00084F36" w:rsidRPr="00EB2BD8" w:rsidRDefault="00EB2BD8">
            <w:pPr>
              <w:pStyle w:val="TableParagraph"/>
              <w:spacing w:before="114"/>
              <w:ind w:left="113"/>
              <w:rPr>
                <w:sz w:val="16"/>
              </w:rPr>
            </w:pPr>
            <w:r w:rsidRPr="00EB2BD8">
              <w:rPr>
                <w:spacing w:val="-8"/>
                <w:sz w:val="16"/>
              </w:rPr>
              <w:t>HATZIS,</w:t>
            </w:r>
            <w:r w:rsidRPr="00EB2BD8">
              <w:rPr>
                <w:spacing w:val="-1"/>
                <w:sz w:val="16"/>
              </w:rPr>
              <w:t xml:space="preserve"> </w:t>
            </w:r>
            <w:r w:rsidRPr="00EB2BD8">
              <w:rPr>
                <w:spacing w:val="-5"/>
                <w:sz w:val="16"/>
              </w:rPr>
              <w:t>Con</w:t>
            </w:r>
          </w:p>
        </w:tc>
        <w:tc>
          <w:tcPr>
            <w:tcW w:w="1427" w:type="dxa"/>
            <w:tcBorders>
              <w:top w:val="single" w:sz="2" w:space="0" w:color="000000"/>
            </w:tcBorders>
          </w:tcPr>
          <w:p w14:paraId="3F8FFE75" w14:textId="77777777" w:rsidR="00084F36" w:rsidRPr="00EB2BD8" w:rsidRDefault="00EB2BD8">
            <w:pPr>
              <w:pStyle w:val="TableParagraph"/>
              <w:spacing w:before="114"/>
              <w:ind w:left="128"/>
              <w:rPr>
                <w:sz w:val="16"/>
              </w:rPr>
            </w:pPr>
            <w:r w:rsidRPr="00EB2BD8">
              <w:rPr>
                <w:sz w:val="16"/>
              </w:rPr>
              <w:t>DB-U</w:t>
            </w:r>
            <w:r w:rsidRPr="00EB2BD8">
              <w:rPr>
                <w:spacing w:val="22"/>
                <w:sz w:val="16"/>
              </w:rPr>
              <w:t xml:space="preserve"> </w:t>
            </w:r>
            <w:r w:rsidRPr="00EB2BD8">
              <w:rPr>
                <w:spacing w:val="-2"/>
                <w:sz w:val="16"/>
              </w:rPr>
              <w:t>9580;</w:t>
            </w:r>
          </w:p>
        </w:tc>
        <w:tc>
          <w:tcPr>
            <w:tcW w:w="2464" w:type="dxa"/>
            <w:tcBorders>
              <w:top w:val="single" w:sz="2" w:space="0" w:color="000000"/>
            </w:tcBorders>
          </w:tcPr>
          <w:p w14:paraId="12219ADC" w14:textId="77777777" w:rsidR="00084F36" w:rsidRPr="00EB2BD8" w:rsidRDefault="00EB2BD8">
            <w:pPr>
              <w:pStyle w:val="TableParagraph"/>
              <w:spacing w:before="114"/>
              <w:ind w:left="334"/>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313" w:type="dxa"/>
            <w:tcBorders>
              <w:top w:val="single" w:sz="2" w:space="0" w:color="000000"/>
            </w:tcBorders>
          </w:tcPr>
          <w:p w14:paraId="2E3EA0EC" w14:textId="77777777" w:rsidR="00084F36" w:rsidRPr="00EB2BD8" w:rsidRDefault="00EB2BD8">
            <w:pPr>
              <w:pStyle w:val="TableParagraph"/>
              <w:spacing w:before="114"/>
              <w:ind w:left="149"/>
              <w:rPr>
                <w:sz w:val="16"/>
              </w:rPr>
            </w:pPr>
            <w:r w:rsidRPr="00EB2BD8">
              <w:rPr>
                <w:spacing w:val="-2"/>
                <w:sz w:val="16"/>
              </w:rPr>
              <w:t>Registration</w:t>
            </w:r>
            <w:r w:rsidRPr="00EB2BD8">
              <w:rPr>
                <w:spacing w:val="8"/>
                <w:sz w:val="16"/>
              </w:rPr>
              <w:t xml:space="preserve"> </w:t>
            </w:r>
            <w:r w:rsidRPr="00EB2BD8">
              <w:rPr>
                <w:spacing w:val="-2"/>
                <w:sz w:val="16"/>
              </w:rPr>
              <w:t>condition</w:t>
            </w:r>
          </w:p>
        </w:tc>
        <w:tc>
          <w:tcPr>
            <w:tcW w:w="1078" w:type="dxa"/>
            <w:tcBorders>
              <w:top w:val="single" w:sz="2" w:space="0" w:color="000000"/>
            </w:tcBorders>
          </w:tcPr>
          <w:p w14:paraId="33B03DA6" w14:textId="77777777" w:rsidR="00084F36" w:rsidRPr="00EB2BD8" w:rsidRDefault="00EB2BD8">
            <w:pPr>
              <w:pStyle w:val="TableParagraph"/>
              <w:spacing w:before="113"/>
              <w:ind w:right="109"/>
              <w:jc w:val="right"/>
              <w:rPr>
                <w:sz w:val="16"/>
              </w:rPr>
            </w:pPr>
            <w:r w:rsidRPr="00EB2BD8">
              <w:rPr>
                <w:w w:val="124"/>
                <w:sz w:val="16"/>
              </w:rPr>
              <w:t>–</w:t>
            </w:r>
          </w:p>
        </w:tc>
        <w:tc>
          <w:tcPr>
            <w:tcW w:w="1175" w:type="dxa"/>
            <w:tcBorders>
              <w:top w:val="single" w:sz="2" w:space="0" w:color="000000"/>
            </w:tcBorders>
          </w:tcPr>
          <w:p w14:paraId="0B39E0D3" w14:textId="77777777" w:rsidR="00084F36" w:rsidRPr="00EB2BD8" w:rsidRDefault="00EB2BD8">
            <w:pPr>
              <w:pStyle w:val="TableParagraph"/>
              <w:spacing w:before="113"/>
              <w:ind w:left="114"/>
              <w:rPr>
                <w:sz w:val="16"/>
              </w:rPr>
            </w:pPr>
            <w:r w:rsidRPr="00EB2BD8">
              <w:rPr>
                <w:spacing w:val="-2"/>
                <w:w w:val="95"/>
                <w:sz w:val="16"/>
              </w:rPr>
              <w:t>22/06/2023</w:t>
            </w:r>
          </w:p>
        </w:tc>
      </w:tr>
      <w:tr w:rsidR="00EB2BD8" w:rsidRPr="00EB2BD8" w14:paraId="54B702F6" w14:textId="77777777">
        <w:trPr>
          <w:trHeight w:val="229"/>
        </w:trPr>
        <w:tc>
          <w:tcPr>
            <w:tcW w:w="1742" w:type="dxa"/>
          </w:tcPr>
          <w:p w14:paraId="3A0E6351" w14:textId="77777777" w:rsidR="00084F36" w:rsidRPr="00EB2BD8" w:rsidRDefault="00084F36">
            <w:pPr>
              <w:pStyle w:val="TableParagraph"/>
              <w:rPr>
                <w:rFonts w:ascii="Times New Roman"/>
                <w:sz w:val="16"/>
              </w:rPr>
            </w:pPr>
          </w:p>
        </w:tc>
        <w:tc>
          <w:tcPr>
            <w:tcW w:w="1427" w:type="dxa"/>
          </w:tcPr>
          <w:p w14:paraId="5504DD09" w14:textId="77777777" w:rsidR="00084F36" w:rsidRPr="00EB2BD8" w:rsidRDefault="00EB2BD8">
            <w:pPr>
              <w:pStyle w:val="TableParagraph"/>
              <w:spacing w:before="19"/>
              <w:ind w:left="128"/>
              <w:rPr>
                <w:sz w:val="16"/>
              </w:rPr>
            </w:pPr>
            <w:r w:rsidRPr="00EB2BD8">
              <w:rPr>
                <w:w w:val="105"/>
                <w:sz w:val="16"/>
              </w:rPr>
              <w:t>CB-L</w:t>
            </w:r>
            <w:r w:rsidRPr="00EB2BD8">
              <w:rPr>
                <w:spacing w:val="13"/>
                <w:w w:val="105"/>
                <w:sz w:val="16"/>
              </w:rPr>
              <w:t xml:space="preserve"> </w:t>
            </w:r>
            <w:r w:rsidRPr="00EB2BD8">
              <w:rPr>
                <w:spacing w:val="-4"/>
                <w:w w:val="105"/>
                <w:sz w:val="16"/>
              </w:rPr>
              <w:t>41545</w:t>
            </w:r>
          </w:p>
        </w:tc>
        <w:tc>
          <w:tcPr>
            <w:tcW w:w="2464" w:type="dxa"/>
          </w:tcPr>
          <w:p w14:paraId="36A08E78" w14:textId="77777777" w:rsidR="00084F36" w:rsidRPr="00EB2BD8" w:rsidRDefault="00EB2BD8">
            <w:pPr>
              <w:pStyle w:val="TableParagraph"/>
              <w:spacing w:before="19"/>
              <w:ind w:left="334"/>
              <w:rPr>
                <w:sz w:val="16"/>
              </w:rPr>
            </w:pPr>
            <w:r w:rsidRPr="00EB2BD8">
              <w:rPr>
                <w:sz w:val="16"/>
              </w:rPr>
              <w:t xml:space="preserve">company under </w:t>
            </w:r>
            <w:r w:rsidRPr="00EB2BD8">
              <w:rPr>
                <w:spacing w:val="-2"/>
                <w:sz w:val="16"/>
              </w:rPr>
              <w:t>external</w:t>
            </w:r>
          </w:p>
        </w:tc>
        <w:tc>
          <w:tcPr>
            <w:tcW w:w="2313" w:type="dxa"/>
          </w:tcPr>
          <w:p w14:paraId="48865029" w14:textId="77777777" w:rsidR="00084F36" w:rsidRPr="00EB2BD8" w:rsidRDefault="00EB2BD8">
            <w:pPr>
              <w:pStyle w:val="TableParagraph"/>
              <w:spacing w:before="19"/>
              <w:ind w:left="149"/>
              <w:rPr>
                <w:sz w:val="16"/>
              </w:rPr>
            </w:pPr>
            <w:r w:rsidRPr="00EB2BD8">
              <w:rPr>
                <w:spacing w:val="-5"/>
                <w:sz w:val="16"/>
              </w:rPr>
              <w:t>limiting</w:t>
            </w:r>
            <w:r w:rsidRPr="00EB2BD8">
              <w:rPr>
                <w:spacing w:val="3"/>
                <w:sz w:val="16"/>
              </w:rPr>
              <w:t xml:space="preserve"> </w:t>
            </w:r>
            <w:r w:rsidRPr="00EB2BD8">
              <w:rPr>
                <w:spacing w:val="-2"/>
                <w:sz w:val="16"/>
              </w:rPr>
              <w:t>practitioner,</w:t>
            </w:r>
          </w:p>
        </w:tc>
        <w:tc>
          <w:tcPr>
            <w:tcW w:w="1078" w:type="dxa"/>
          </w:tcPr>
          <w:p w14:paraId="63BE0212" w14:textId="77777777" w:rsidR="00084F36" w:rsidRPr="00EB2BD8" w:rsidRDefault="00084F36">
            <w:pPr>
              <w:pStyle w:val="TableParagraph"/>
              <w:rPr>
                <w:rFonts w:ascii="Times New Roman"/>
                <w:sz w:val="16"/>
              </w:rPr>
            </w:pPr>
          </w:p>
        </w:tc>
        <w:tc>
          <w:tcPr>
            <w:tcW w:w="1175" w:type="dxa"/>
          </w:tcPr>
          <w:p w14:paraId="0B6249D4" w14:textId="77777777" w:rsidR="00084F36" w:rsidRPr="00EB2BD8" w:rsidRDefault="00084F36">
            <w:pPr>
              <w:pStyle w:val="TableParagraph"/>
              <w:rPr>
                <w:rFonts w:ascii="Times New Roman"/>
                <w:sz w:val="16"/>
              </w:rPr>
            </w:pPr>
          </w:p>
        </w:tc>
      </w:tr>
      <w:tr w:rsidR="00EB2BD8" w:rsidRPr="00EB2BD8" w14:paraId="1CF17A55" w14:textId="77777777">
        <w:trPr>
          <w:trHeight w:val="229"/>
        </w:trPr>
        <w:tc>
          <w:tcPr>
            <w:tcW w:w="1742" w:type="dxa"/>
          </w:tcPr>
          <w:p w14:paraId="0BF97302" w14:textId="77777777" w:rsidR="00084F36" w:rsidRPr="00EB2BD8" w:rsidRDefault="00084F36">
            <w:pPr>
              <w:pStyle w:val="TableParagraph"/>
              <w:rPr>
                <w:rFonts w:ascii="Times New Roman"/>
                <w:sz w:val="16"/>
              </w:rPr>
            </w:pPr>
          </w:p>
        </w:tc>
        <w:tc>
          <w:tcPr>
            <w:tcW w:w="1427" w:type="dxa"/>
          </w:tcPr>
          <w:p w14:paraId="7BBDCCD2" w14:textId="77777777" w:rsidR="00084F36" w:rsidRPr="00EB2BD8" w:rsidRDefault="00084F36">
            <w:pPr>
              <w:pStyle w:val="TableParagraph"/>
              <w:rPr>
                <w:rFonts w:ascii="Times New Roman"/>
                <w:sz w:val="16"/>
              </w:rPr>
            </w:pPr>
          </w:p>
        </w:tc>
        <w:tc>
          <w:tcPr>
            <w:tcW w:w="2464" w:type="dxa"/>
          </w:tcPr>
          <w:p w14:paraId="3B677DDD" w14:textId="77777777" w:rsidR="00084F36" w:rsidRPr="00EB2BD8" w:rsidRDefault="00EB2BD8">
            <w:pPr>
              <w:pStyle w:val="TableParagraph"/>
              <w:spacing w:before="19"/>
              <w:ind w:left="334"/>
              <w:rPr>
                <w:sz w:val="16"/>
              </w:rPr>
            </w:pPr>
            <w:r w:rsidRPr="00EB2BD8">
              <w:rPr>
                <w:spacing w:val="-2"/>
                <w:sz w:val="16"/>
              </w:rPr>
              <w:t>administration.</w:t>
            </w:r>
          </w:p>
        </w:tc>
        <w:tc>
          <w:tcPr>
            <w:tcW w:w="2313" w:type="dxa"/>
          </w:tcPr>
          <w:p w14:paraId="0C545E95" w14:textId="77777777" w:rsidR="00084F36" w:rsidRPr="00EB2BD8" w:rsidRDefault="00EB2BD8">
            <w:pPr>
              <w:pStyle w:val="TableParagraph"/>
              <w:spacing w:before="19"/>
              <w:ind w:left="149"/>
              <w:rPr>
                <w:sz w:val="16"/>
              </w:rPr>
            </w:pPr>
            <w:r w:rsidRPr="00EB2BD8">
              <w:rPr>
                <w:spacing w:val="-4"/>
                <w:sz w:val="16"/>
              </w:rPr>
              <w:t>for</w:t>
            </w:r>
            <w:r w:rsidRPr="00EB2BD8">
              <w:rPr>
                <w:spacing w:val="-8"/>
                <w:sz w:val="16"/>
              </w:rPr>
              <w:t xml:space="preserve"> </w:t>
            </w:r>
            <w:r w:rsidRPr="00EB2BD8">
              <w:rPr>
                <w:spacing w:val="-4"/>
                <w:sz w:val="16"/>
              </w:rPr>
              <w:t>2</w:t>
            </w:r>
            <w:r w:rsidRPr="00EB2BD8">
              <w:rPr>
                <w:spacing w:val="-7"/>
                <w:sz w:val="16"/>
              </w:rPr>
              <w:t xml:space="preserve"> </w:t>
            </w:r>
            <w:r w:rsidRPr="00EB2BD8">
              <w:rPr>
                <w:spacing w:val="-4"/>
                <w:sz w:val="16"/>
              </w:rPr>
              <w:t>years,</w:t>
            </w:r>
            <w:r w:rsidRPr="00EB2BD8">
              <w:rPr>
                <w:spacing w:val="-8"/>
                <w:sz w:val="16"/>
              </w:rPr>
              <w:t xml:space="preserve"> </w:t>
            </w:r>
            <w:r w:rsidRPr="00EB2BD8">
              <w:rPr>
                <w:spacing w:val="-4"/>
                <w:sz w:val="16"/>
              </w:rPr>
              <w:t>to</w:t>
            </w:r>
            <w:r w:rsidRPr="00EB2BD8">
              <w:rPr>
                <w:spacing w:val="-7"/>
                <w:sz w:val="16"/>
              </w:rPr>
              <w:t xml:space="preserve"> </w:t>
            </w:r>
            <w:r w:rsidRPr="00EB2BD8">
              <w:rPr>
                <w:spacing w:val="-4"/>
                <w:sz w:val="16"/>
              </w:rPr>
              <w:t>three</w:t>
            </w:r>
            <w:r w:rsidRPr="00EB2BD8">
              <w:rPr>
                <w:spacing w:val="-7"/>
                <w:sz w:val="16"/>
              </w:rPr>
              <w:t xml:space="preserve"> </w:t>
            </w:r>
            <w:r w:rsidRPr="00EB2BD8">
              <w:rPr>
                <w:spacing w:val="-4"/>
                <w:sz w:val="16"/>
              </w:rPr>
              <w:t>live</w:t>
            </w:r>
          </w:p>
        </w:tc>
        <w:tc>
          <w:tcPr>
            <w:tcW w:w="1078" w:type="dxa"/>
          </w:tcPr>
          <w:p w14:paraId="1BBD1EB2" w14:textId="77777777" w:rsidR="00084F36" w:rsidRPr="00EB2BD8" w:rsidRDefault="00084F36">
            <w:pPr>
              <w:pStyle w:val="TableParagraph"/>
              <w:rPr>
                <w:rFonts w:ascii="Times New Roman"/>
                <w:sz w:val="16"/>
              </w:rPr>
            </w:pPr>
          </w:p>
        </w:tc>
        <w:tc>
          <w:tcPr>
            <w:tcW w:w="1175" w:type="dxa"/>
          </w:tcPr>
          <w:p w14:paraId="414F5EB7" w14:textId="77777777" w:rsidR="00084F36" w:rsidRPr="00EB2BD8" w:rsidRDefault="00084F36">
            <w:pPr>
              <w:pStyle w:val="TableParagraph"/>
              <w:rPr>
                <w:rFonts w:ascii="Times New Roman"/>
                <w:sz w:val="16"/>
              </w:rPr>
            </w:pPr>
          </w:p>
        </w:tc>
      </w:tr>
      <w:tr w:rsidR="00EB2BD8" w:rsidRPr="00EB2BD8" w14:paraId="599EAEC0" w14:textId="77777777">
        <w:trPr>
          <w:trHeight w:val="229"/>
        </w:trPr>
        <w:tc>
          <w:tcPr>
            <w:tcW w:w="1742" w:type="dxa"/>
          </w:tcPr>
          <w:p w14:paraId="76EEDF46" w14:textId="77777777" w:rsidR="00084F36" w:rsidRPr="00EB2BD8" w:rsidRDefault="00084F36">
            <w:pPr>
              <w:pStyle w:val="TableParagraph"/>
              <w:rPr>
                <w:rFonts w:ascii="Times New Roman"/>
                <w:sz w:val="16"/>
              </w:rPr>
            </w:pPr>
          </w:p>
        </w:tc>
        <w:tc>
          <w:tcPr>
            <w:tcW w:w="1427" w:type="dxa"/>
          </w:tcPr>
          <w:p w14:paraId="44F87CD0" w14:textId="77777777" w:rsidR="00084F36" w:rsidRPr="00EB2BD8" w:rsidRDefault="00084F36">
            <w:pPr>
              <w:pStyle w:val="TableParagraph"/>
              <w:rPr>
                <w:rFonts w:ascii="Times New Roman"/>
                <w:sz w:val="16"/>
              </w:rPr>
            </w:pPr>
          </w:p>
        </w:tc>
        <w:tc>
          <w:tcPr>
            <w:tcW w:w="2464" w:type="dxa"/>
          </w:tcPr>
          <w:p w14:paraId="0BD8FF1F" w14:textId="77777777" w:rsidR="00084F36" w:rsidRPr="00EB2BD8" w:rsidRDefault="00084F36">
            <w:pPr>
              <w:pStyle w:val="TableParagraph"/>
              <w:rPr>
                <w:rFonts w:ascii="Times New Roman"/>
                <w:sz w:val="16"/>
              </w:rPr>
            </w:pPr>
          </w:p>
        </w:tc>
        <w:tc>
          <w:tcPr>
            <w:tcW w:w="2313" w:type="dxa"/>
          </w:tcPr>
          <w:p w14:paraId="1EC00DA6" w14:textId="77777777" w:rsidR="00084F36" w:rsidRPr="00EB2BD8" w:rsidRDefault="00EB2BD8">
            <w:pPr>
              <w:pStyle w:val="TableParagraph"/>
              <w:spacing w:before="19"/>
              <w:ind w:left="149"/>
              <w:rPr>
                <w:sz w:val="16"/>
              </w:rPr>
            </w:pPr>
            <w:r w:rsidRPr="00EB2BD8">
              <w:rPr>
                <w:sz w:val="16"/>
              </w:rPr>
              <w:t>concurrent</w:t>
            </w:r>
            <w:r w:rsidRPr="00EB2BD8">
              <w:rPr>
                <w:spacing w:val="-8"/>
                <w:sz w:val="16"/>
              </w:rPr>
              <w:t xml:space="preserve"> </w:t>
            </w:r>
            <w:r w:rsidRPr="00EB2BD8">
              <w:rPr>
                <w:spacing w:val="-2"/>
                <w:sz w:val="16"/>
              </w:rPr>
              <w:t>building</w:t>
            </w:r>
          </w:p>
        </w:tc>
        <w:tc>
          <w:tcPr>
            <w:tcW w:w="1078" w:type="dxa"/>
          </w:tcPr>
          <w:p w14:paraId="48D8546C" w14:textId="77777777" w:rsidR="00084F36" w:rsidRPr="00EB2BD8" w:rsidRDefault="00084F36">
            <w:pPr>
              <w:pStyle w:val="TableParagraph"/>
              <w:rPr>
                <w:rFonts w:ascii="Times New Roman"/>
                <w:sz w:val="16"/>
              </w:rPr>
            </w:pPr>
          </w:p>
        </w:tc>
        <w:tc>
          <w:tcPr>
            <w:tcW w:w="1175" w:type="dxa"/>
          </w:tcPr>
          <w:p w14:paraId="2E2B9923" w14:textId="77777777" w:rsidR="00084F36" w:rsidRPr="00EB2BD8" w:rsidRDefault="00084F36">
            <w:pPr>
              <w:pStyle w:val="TableParagraph"/>
              <w:rPr>
                <w:rFonts w:ascii="Times New Roman"/>
                <w:sz w:val="16"/>
              </w:rPr>
            </w:pPr>
          </w:p>
        </w:tc>
      </w:tr>
      <w:tr w:rsidR="00EB2BD8" w:rsidRPr="00EB2BD8" w14:paraId="262027E1" w14:textId="77777777">
        <w:trPr>
          <w:trHeight w:val="391"/>
        </w:trPr>
        <w:tc>
          <w:tcPr>
            <w:tcW w:w="1742" w:type="dxa"/>
            <w:tcBorders>
              <w:bottom w:val="single" w:sz="2" w:space="0" w:color="000000"/>
            </w:tcBorders>
          </w:tcPr>
          <w:p w14:paraId="37A2F030" w14:textId="77777777" w:rsidR="00084F36" w:rsidRPr="00EB2BD8" w:rsidRDefault="00084F36">
            <w:pPr>
              <w:pStyle w:val="TableParagraph"/>
              <w:rPr>
                <w:rFonts w:ascii="Times New Roman"/>
                <w:sz w:val="16"/>
              </w:rPr>
            </w:pPr>
          </w:p>
        </w:tc>
        <w:tc>
          <w:tcPr>
            <w:tcW w:w="1427" w:type="dxa"/>
            <w:tcBorders>
              <w:bottom w:val="single" w:sz="2" w:space="0" w:color="000000"/>
            </w:tcBorders>
          </w:tcPr>
          <w:p w14:paraId="00E5459F" w14:textId="77777777" w:rsidR="00084F36" w:rsidRPr="00EB2BD8" w:rsidRDefault="00084F36">
            <w:pPr>
              <w:pStyle w:val="TableParagraph"/>
              <w:rPr>
                <w:rFonts w:ascii="Times New Roman"/>
                <w:sz w:val="16"/>
              </w:rPr>
            </w:pPr>
          </w:p>
        </w:tc>
        <w:tc>
          <w:tcPr>
            <w:tcW w:w="2464" w:type="dxa"/>
            <w:tcBorders>
              <w:bottom w:val="single" w:sz="2" w:space="0" w:color="000000"/>
            </w:tcBorders>
          </w:tcPr>
          <w:p w14:paraId="76AC929D" w14:textId="77777777" w:rsidR="00084F36" w:rsidRPr="00EB2BD8" w:rsidRDefault="00084F36">
            <w:pPr>
              <w:pStyle w:val="TableParagraph"/>
              <w:rPr>
                <w:rFonts w:ascii="Times New Roman"/>
                <w:sz w:val="16"/>
              </w:rPr>
            </w:pPr>
          </w:p>
        </w:tc>
        <w:tc>
          <w:tcPr>
            <w:tcW w:w="2313" w:type="dxa"/>
            <w:tcBorders>
              <w:bottom w:val="single" w:sz="2" w:space="0" w:color="000000"/>
            </w:tcBorders>
          </w:tcPr>
          <w:p w14:paraId="55819788" w14:textId="77777777" w:rsidR="00084F36" w:rsidRPr="00EB2BD8" w:rsidRDefault="00EB2BD8">
            <w:pPr>
              <w:pStyle w:val="TableParagraph"/>
              <w:spacing w:before="19"/>
              <w:ind w:left="149"/>
              <w:rPr>
                <w:sz w:val="16"/>
              </w:rPr>
            </w:pPr>
            <w:r w:rsidRPr="00EB2BD8">
              <w:rPr>
                <w:spacing w:val="-2"/>
                <w:sz w:val="16"/>
              </w:rPr>
              <w:t>permits.</w:t>
            </w:r>
          </w:p>
        </w:tc>
        <w:tc>
          <w:tcPr>
            <w:tcW w:w="1078" w:type="dxa"/>
            <w:tcBorders>
              <w:bottom w:val="single" w:sz="2" w:space="0" w:color="000000"/>
            </w:tcBorders>
          </w:tcPr>
          <w:p w14:paraId="679F2395"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5F24E989" w14:textId="77777777" w:rsidR="00084F36" w:rsidRPr="00EB2BD8" w:rsidRDefault="00084F36">
            <w:pPr>
              <w:pStyle w:val="TableParagraph"/>
              <w:rPr>
                <w:rFonts w:ascii="Times New Roman"/>
                <w:sz w:val="16"/>
              </w:rPr>
            </w:pPr>
          </w:p>
        </w:tc>
      </w:tr>
      <w:tr w:rsidR="00EB2BD8" w:rsidRPr="00EB2BD8" w14:paraId="55CAC60F" w14:textId="77777777">
        <w:trPr>
          <w:trHeight w:val="324"/>
        </w:trPr>
        <w:tc>
          <w:tcPr>
            <w:tcW w:w="1742" w:type="dxa"/>
            <w:tcBorders>
              <w:top w:val="single" w:sz="2" w:space="0" w:color="000000"/>
            </w:tcBorders>
          </w:tcPr>
          <w:p w14:paraId="3AA6A6EC" w14:textId="77777777" w:rsidR="00084F36" w:rsidRPr="00EB2BD8" w:rsidRDefault="00EB2BD8">
            <w:pPr>
              <w:pStyle w:val="TableParagraph"/>
              <w:spacing w:before="113"/>
              <w:ind w:left="113"/>
              <w:rPr>
                <w:sz w:val="16"/>
              </w:rPr>
            </w:pPr>
            <w:r w:rsidRPr="00EB2BD8">
              <w:rPr>
                <w:sz w:val="16"/>
              </w:rPr>
              <w:t>HENNEMAN,</w:t>
            </w:r>
            <w:r w:rsidRPr="00EB2BD8">
              <w:rPr>
                <w:spacing w:val="-11"/>
                <w:sz w:val="16"/>
              </w:rPr>
              <w:t xml:space="preserve"> </w:t>
            </w:r>
            <w:r w:rsidRPr="00EB2BD8">
              <w:rPr>
                <w:spacing w:val="-2"/>
                <w:sz w:val="16"/>
              </w:rPr>
              <w:t>Adrian</w:t>
            </w:r>
          </w:p>
        </w:tc>
        <w:tc>
          <w:tcPr>
            <w:tcW w:w="1427" w:type="dxa"/>
            <w:tcBorders>
              <w:top w:val="single" w:sz="2" w:space="0" w:color="000000"/>
            </w:tcBorders>
          </w:tcPr>
          <w:p w14:paraId="265E90D1" w14:textId="77777777" w:rsidR="00084F36" w:rsidRPr="00EB2BD8" w:rsidRDefault="00EB2BD8">
            <w:pPr>
              <w:pStyle w:val="TableParagraph"/>
              <w:spacing w:before="113"/>
              <w:ind w:left="128"/>
              <w:rPr>
                <w:sz w:val="16"/>
              </w:rPr>
            </w:pPr>
            <w:r w:rsidRPr="00EB2BD8">
              <w:rPr>
                <w:sz w:val="16"/>
              </w:rPr>
              <w:t>DB-U</w:t>
            </w:r>
            <w:r w:rsidRPr="00EB2BD8">
              <w:rPr>
                <w:spacing w:val="22"/>
                <w:sz w:val="16"/>
              </w:rPr>
              <w:t xml:space="preserve"> </w:t>
            </w:r>
            <w:r w:rsidRPr="00EB2BD8">
              <w:rPr>
                <w:spacing w:val="-2"/>
                <w:sz w:val="16"/>
              </w:rPr>
              <w:t>3797;</w:t>
            </w:r>
          </w:p>
        </w:tc>
        <w:tc>
          <w:tcPr>
            <w:tcW w:w="2464" w:type="dxa"/>
            <w:tcBorders>
              <w:top w:val="single" w:sz="2" w:space="0" w:color="000000"/>
            </w:tcBorders>
          </w:tcPr>
          <w:p w14:paraId="14E656AE" w14:textId="77777777" w:rsidR="00084F36" w:rsidRPr="00EB2BD8" w:rsidRDefault="00EB2BD8">
            <w:pPr>
              <w:pStyle w:val="TableParagraph"/>
              <w:spacing w:before="113"/>
              <w:ind w:left="334"/>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313" w:type="dxa"/>
            <w:tcBorders>
              <w:top w:val="single" w:sz="2" w:space="0" w:color="000000"/>
            </w:tcBorders>
          </w:tcPr>
          <w:p w14:paraId="6397FFE4" w14:textId="77777777" w:rsidR="00084F36" w:rsidRPr="00EB2BD8" w:rsidRDefault="00EB2BD8">
            <w:pPr>
              <w:pStyle w:val="TableParagraph"/>
              <w:spacing w:before="113"/>
              <w:ind w:left="149"/>
              <w:rPr>
                <w:sz w:val="16"/>
              </w:rPr>
            </w:pPr>
            <w:r w:rsidRPr="00EB2BD8">
              <w:rPr>
                <w:sz w:val="16"/>
              </w:rPr>
              <w:t>Cancellation</w:t>
            </w:r>
            <w:r w:rsidRPr="00EB2BD8">
              <w:rPr>
                <w:spacing w:val="5"/>
                <w:sz w:val="16"/>
              </w:rPr>
              <w:t xml:space="preserve"> </w:t>
            </w:r>
            <w:r w:rsidRPr="00EB2BD8">
              <w:rPr>
                <w:spacing w:val="-5"/>
                <w:sz w:val="16"/>
              </w:rPr>
              <w:t>of</w:t>
            </w:r>
          </w:p>
        </w:tc>
        <w:tc>
          <w:tcPr>
            <w:tcW w:w="1078" w:type="dxa"/>
            <w:tcBorders>
              <w:top w:val="single" w:sz="2" w:space="0" w:color="000000"/>
            </w:tcBorders>
          </w:tcPr>
          <w:p w14:paraId="5940ADE3" w14:textId="77777777" w:rsidR="00084F36" w:rsidRPr="00EB2BD8" w:rsidRDefault="00EB2BD8">
            <w:pPr>
              <w:pStyle w:val="TableParagraph"/>
              <w:spacing w:before="113"/>
              <w:ind w:right="109"/>
              <w:jc w:val="right"/>
              <w:rPr>
                <w:sz w:val="16"/>
              </w:rPr>
            </w:pPr>
            <w:r w:rsidRPr="00EB2BD8">
              <w:rPr>
                <w:w w:val="124"/>
                <w:sz w:val="16"/>
              </w:rPr>
              <w:t>–</w:t>
            </w:r>
          </w:p>
        </w:tc>
        <w:tc>
          <w:tcPr>
            <w:tcW w:w="1175" w:type="dxa"/>
            <w:tcBorders>
              <w:top w:val="single" w:sz="2" w:space="0" w:color="000000"/>
            </w:tcBorders>
          </w:tcPr>
          <w:p w14:paraId="215BB210" w14:textId="77777777" w:rsidR="00084F36" w:rsidRPr="00EB2BD8" w:rsidRDefault="00EB2BD8">
            <w:pPr>
              <w:pStyle w:val="TableParagraph"/>
              <w:spacing w:before="113"/>
              <w:ind w:left="114"/>
              <w:rPr>
                <w:sz w:val="16"/>
              </w:rPr>
            </w:pPr>
            <w:r w:rsidRPr="00EB2BD8">
              <w:rPr>
                <w:spacing w:val="-2"/>
                <w:sz w:val="16"/>
              </w:rPr>
              <w:t>24/03/2023</w:t>
            </w:r>
          </w:p>
        </w:tc>
      </w:tr>
      <w:tr w:rsidR="00EB2BD8" w:rsidRPr="00EB2BD8" w14:paraId="516656D5" w14:textId="77777777">
        <w:trPr>
          <w:trHeight w:val="230"/>
        </w:trPr>
        <w:tc>
          <w:tcPr>
            <w:tcW w:w="1742" w:type="dxa"/>
          </w:tcPr>
          <w:p w14:paraId="5F1D1AC5" w14:textId="77777777" w:rsidR="00084F36" w:rsidRPr="00EB2BD8" w:rsidRDefault="00084F36">
            <w:pPr>
              <w:pStyle w:val="TableParagraph"/>
              <w:rPr>
                <w:rFonts w:ascii="Times New Roman"/>
                <w:sz w:val="16"/>
              </w:rPr>
            </w:pPr>
          </w:p>
        </w:tc>
        <w:tc>
          <w:tcPr>
            <w:tcW w:w="1427" w:type="dxa"/>
          </w:tcPr>
          <w:p w14:paraId="7A98D1ED" w14:textId="77777777" w:rsidR="00084F36" w:rsidRPr="00EB2BD8" w:rsidRDefault="00EB2BD8">
            <w:pPr>
              <w:pStyle w:val="TableParagraph"/>
              <w:spacing w:before="19"/>
              <w:ind w:left="128"/>
              <w:rPr>
                <w:sz w:val="16"/>
              </w:rPr>
            </w:pPr>
            <w:r w:rsidRPr="00EB2BD8">
              <w:rPr>
                <w:w w:val="105"/>
                <w:sz w:val="16"/>
              </w:rPr>
              <w:t>CB-U</w:t>
            </w:r>
            <w:r w:rsidRPr="00EB2BD8">
              <w:rPr>
                <w:spacing w:val="11"/>
                <w:w w:val="105"/>
                <w:sz w:val="16"/>
              </w:rPr>
              <w:t xml:space="preserve"> </w:t>
            </w:r>
            <w:r w:rsidRPr="00EB2BD8">
              <w:rPr>
                <w:spacing w:val="-4"/>
                <w:w w:val="105"/>
                <w:sz w:val="16"/>
              </w:rPr>
              <w:t>3023</w:t>
            </w:r>
          </w:p>
        </w:tc>
        <w:tc>
          <w:tcPr>
            <w:tcW w:w="2464" w:type="dxa"/>
          </w:tcPr>
          <w:p w14:paraId="53BA738C" w14:textId="77777777" w:rsidR="00084F36" w:rsidRPr="00EB2BD8" w:rsidRDefault="00EB2BD8">
            <w:pPr>
              <w:pStyle w:val="TableParagraph"/>
              <w:spacing w:before="19"/>
              <w:ind w:left="334"/>
              <w:rPr>
                <w:sz w:val="16"/>
              </w:rPr>
            </w:pPr>
            <w:r w:rsidRPr="00EB2BD8">
              <w:rPr>
                <w:sz w:val="16"/>
              </w:rPr>
              <w:t xml:space="preserve">company under </w:t>
            </w:r>
            <w:r w:rsidRPr="00EB2BD8">
              <w:rPr>
                <w:spacing w:val="-2"/>
                <w:sz w:val="16"/>
              </w:rPr>
              <w:t>external</w:t>
            </w:r>
          </w:p>
        </w:tc>
        <w:tc>
          <w:tcPr>
            <w:tcW w:w="2313" w:type="dxa"/>
          </w:tcPr>
          <w:p w14:paraId="32EFA4D7" w14:textId="77777777" w:rsidR="00084F36" w:rsidRPr="00EB2BD8" w:rsidRDefault="00EB2BD8">
            <w:pPr>
              <w:pStyle w:val="TableParagraph"/>
              <w:spacing w:before="19"/>
              <w:ind w:left="149"/>
              <w:rPr>
                <w:sz w:val="16"/>
              </w:rPr>
            </w:pPr>
            <w:r w:rsidRPr="00EB2BD8">
              <w:rPr>
                <w:spacing w:val="-2"/>
                <w:sz w:val="16"/>
              </w:rPr>
              <w:t>registration.</w:t>
            </w:r>
          </w:p>
        </w:tc>
        <w:tc>
          <w:tcPr>
            <w:tcW w:w="1078" w:type="dxa"/>
          </w:tcPr>
          <w:p w14:paraId="2E93A3EC" w14:textId="77777777" w:rsidR="00084F36" w:rsidRPr="00EB2BD8" w:rsidRDefault="00084F36">
            <w:pPr>
              <w:pStyle w:val="TableParagraph"/>
              <w:rPr>
                <w:rFonts w:ascii="Times New Roman"/>
                <w:sz w:val="16"/>
              </w:rPr>
            </w:pPr>
          </w:p>
        </w:tc>
        <w:tc>
          <w:tcPr>
            <w:tcW w:w="1175" w:type="dxa"/>
          </w:tcPr>
          <w:p w14:paraId="71046A13" w14:textId="77777777" w:rsidR="00084F36" w:rsidRPr="00EB2BD8" w:rsidRDefault="00084F36">
            <w:pPr>
              <w:pStyle w:val="TableParagraph"/>
              <w:rPr>
                <w:rFonts w:ascii="Times New Roman"/>
                <w:sz w:val="16"/>
              </w:rPr>
            </w:pPr>
          </w:p>
        </w:tc>
      </w:tr>
      <w:tr w:rsidR="00EB2BD8" w:rsidRPr="00EB2BD8" w14:paraId="3D9EFB50" w14:textId="77777777">
        <w:trPr>
          <w:trHeight w:val="441"/>
        </w:trPr>
        <w:tc>
          <w:tcPr>
            <w:tcW w:w="1742" w:type="dxa"/>
            <w:tcBorders>
              <w:bottom w:val="single" w:sz="2" w:space="0" w:color="000000"/>
            </w:tcBorders>
          </w:tcPr>
          <w:p w14:paraId="5E1E1400" w14:textId="77777777" w:rsidR="00084F36" w:rsidRPr="00EB2BD8" w:rsidRDefault="00084F36">
            <w:pPr>
              <w:pStyle w:val="TableParagraph"/>
              <w:rPr>
                <w:rFonts w:ascii="Times New Roman"/>
                <w:sz w:val="16"/>
              </w:rPr>
            </w:pPr>
          </w:p>
        </w:tc>
        <w:tc>
          <w:tcPr>
            <w:tcW w:w="1427" w:type="dxa"/>
            <w:tcBorders>
              <w:bottom w:val="single" w:sz="2" w:space="0" w:color="000000"/>
            </w:tcBorders>
          </w:tcPr>
          <w:p w14:paraId="42F2300C" w14:textId="77777777" w:rsidR="00084F36" w:rsidRPr="00EB2BD8" w:rsidRDefault="00084F36">
            <w:pPr>
              <w:pStyle w:val="TableParagraph"/>
              <w:rPr>
                <w:rFonts w:ascii="Times New Roman"/>
                <w:sz w:val="16"/>
              </w:rPr>
            </w:pPr>
          </w:p>
        </w:tc>
        <w:tc>
          <w:tcPr>
            <w:tcW w:w="2464" w:type="dxa"/>
            <w:tcBorders>
              <w:bottom w:val="single" w:sz="2" w:space="0" w:color="000000"/>
            </w:tcBorders>
          </w:tcPr>
          <w:p w14:paraId="602A1359" w14:textId="77777777" w:rsidR="00084F36" w:rsidRPr="00EB2BD8" w:rsidRDefault="00EB2BD8">
            <w:pPr>
              <w:pStyle w:val="TableParagraph"/>
              <w:spacing w:before="19"/>
              <w:ind w:left="334"/>
              <w:rPr>
                <w:sz w:val="16"/>
              </w:rPr>
            </w:pPr>
            <w:r w:rsidRPr="00EB2BD8">
              <w:rPr>
                <w:spacing w:val="-2"/>
                <w:sz w:val="16"/>
              </w:rPr>
              <w:t>administration.</w:t>
            </w:r>
          </w:p>
        </w:tc>
        <w:tc>
          <w:tcPr>
            <w:tcW w:w="2313" w:type="dxa"/>
            <w:tcBorders>
              <w:bottom w:val="single" w:sz="2" w:space="0" w:color="000000"/>
            </w:tcBorders>
          </w:tcPr>
          <w:p w14:paraId="4935391D"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19DCEA13"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4B0C9AE4" w14:textId="77777777" w:rsidR="00084F36" w:rsidRPr="00EB2BD8" w:rsidRDefault="00084F36">
            <w:pPr>
              <w:pStyle w:val="TableParagraph"/>
              <w:rPr>
                <w:rFonts w:ascii="Times New Roman"/>
                <w:sz w:val="16"/>
              </w:rPr>
            </w:pPr>
          </w:p>
        </w:tc>
      </w:tr>
      <w:tr w:rsidR="00EB2BD8" w:rsidRPr="00EB2BD8" w14:paraId="5C650FAA" w14:textId="77777777">
        <w:trPr>
          <w:trHeight w:val="323"/>
        </w:trPr>
        <w:tc>
          <w:tcPr>
            <w:tcW w:w="1742" w:type="dxa"/>
            <w:tcBorders>
              <w:top w:val="single" w:sz="2" w:space="0" w:color="000000"/>
            </w:tcBorders>
          </w:tcPr>
          <w:p w14:paraId="171C07C7" w14:textId="77777777" w:rsidR="00084F36" w:rsidRPr="00EB2BD8" w:rsidRDefault="00EB2BD8">
            <w:pPr>
              <w:pStyle w:val="TableParagraph"/>
              <w:spacing w:before="113"/>
              <w:ind w:left="113"/>
              <w:rPr>
                <w:sz w:val="16"/>
              </w:rPr>
            </w:pPr>
            <w:r w:rsidRPr="00EB2BD8">
              <w:rPr>
                <w:sz w:val="16"/>
              </w:rPr>
              <w:t>HUNTER,</w:t>
            </w:r>
            <w:r w:rsidRPr="00EB2BD8">
              <w:rPr>
                <w:spacing w:val="-12"/>
                <w:sz w:val="16"/>
              </w:rPr>
              <w:t xml:space="preserve"> </w:t>
            </w:r>
            <w:r w:rsidRPr="00EB2BD8">
              <w:rPr>
                <w:spacing w:val="-2"/>
                <w:sz w:val="16"/>
              </w:rPr>
              <w:t>Howard</w:t>
            </w:r>
          </w:p>
        </w:tc>
        <w:tc>
          <w:tcPr>
            <w:tcW w:w="1427" w:type="dxa"/>
            <w:tcBorders>
              <w:top w:val="single" w:sz="2" w:space="0" w:color="000000"/>
            </w:tcBorders>
          </w:tcPr>
          <w:p w14:paraId="29631D5C" w14:textId="77777777" w:rsidR="00084F36" w:rsidRPr="00EB2BD8" w:rsidRDefault="00EB2BD8">
            <w:pPr>
              <w:pStyle w:val="TableParagraph"/>
              <w:spacing w:before="113"/>
              <w:ind w:left="128"/>
              <w:rPr>
                <w:sz w:val="16"/>
              </w:rPr>
            </w:pPr>
            <w:r w:rsidRPr="00EB2BD8">
              <w:rPr>
                <w:sz w:val="16"/>
              </w:rPr>
              <w:t>DB-L</w:t>
            </w:r>
            <w:r w:rsidRPr="00EB2BD8">
              <w:rPr>
                <w:spacing w:val="23"/>
                <w:sz w:val="16"/>
              </w:rPr>
              <w:t xml:space="preserve"> </w:t>
            </w:r>
            <w:r w:rsidRPr="00EB2BD8">
              <w:rPr>
                <w:spacing w:val="-4"/>
                <w:sz w:val="16"/>
              </w:rPr>
              <w:t>68384</w:t>
            </w:r>
          </w:p>
        </w:tc>
        <w:tc>
          <w:tcPr>
            <w:tcW w:w="2464" w:type="dxa"/>
            <w:tcBorders>
              <w:top w:val="single" w:sz="2" w:space="0" w:color="000000"/>
            </w:tcBorders>
          </w:tcPr>
          <w:p w14:paraId="5A6A1183" w14:textId="77777777" w:rsidR="00084F36" w:rsidRPr="00EB2BD8" w:rsidRDefault="00EB2BD8">
            <w:pPr>
              <w:pStyle w:val="TableParagraph"/>
              <w:spacing w:before="113"/>
              <w:ind w:left="334"/>
              <w:rPr>
                <w:sz w:val="16"/>
              </w:rPr>
            </w:pPr>
            <w:r w:rsidRPr="00EB2BD8">
              <w:rPr>
                <w:sz w:val="16"/>
              </w:rPr>
              <w:t>Undertaking</w:t>
            </w:r>
            <w:r w:rsidRPr="00EB2BD8">
              <w:rPr>
                <w:spacing w:val="-11"/>
                <w:sz w:val="16"/>
              </w:rPr>
              <w:t xml:space="preserve"> </w:t>
            </w:r>
            <w:r w:rsidRPr="00EB2BD8">
              <w:rPr>
                <w:spacing w:val="-2"/>
                <w:sz w:val="16"/>
              </w:rPr>
              <w:t>domestic</w:t>
            </w:r>
          </w:p>
        </w:tc>
        <w:tc>
          <w:tcPr>
            <w:tcW w:w="2313" w:type="dxa"/>
            <w:tcBorders>
              <w:top w:val="single" w:sz="2" w:space="0" w:color="000000"/>
            </w:tcBorders>
          </w:tcPr>
          <w:p w14:paraId="322EA62F" w14:textId="77777777" w:rsidR="00084F36" w:rsidRPr="00EB2BD8" w:rsidRDefault="00EB2BD8">
            <w:pPr>
              <w:pStyle w:val="TableParagraph"/>
              <w:spacing w:before="113"/>
              <w:ind w:left="149"/>
              <w:rPr>
                <w:sz w:val="16"/>
              </w:rPr>
            </w:pPr>
            <w:r w:rsidRPr="00EB2BD8">
              <w:rPr>
                <w:spacing w:val="-2"/>
                <w:sz w:val="16"/>
              </w:rPr>
              <w:t>Reprimands,</w:t>
            </w:r>
            <w:r w:rsidRPr="00EB2BD8">
              <w:rPr>
                <w:spacing w:val="-4"/>
                <w:sz w:val="16"/>
              </w:rPr>
              <w:t xml:space="preserve"> </w:t>
            </w:r>
            <w:r w:rsidRPr="00EB2BD8">
              <w:rPr>
                <w:spacing w:val="-2"/>
                <w:sz w:val="16"/>
              </w:rPr>
              <w:t>aggregate</w:t>
            </w:r>
          </w:p>
        </w:tc>
        <w:tc>
          <w:tcPr>
            <w:tcW w:w="1078" w:type="dxa"/>
            <w:tcBorders>
              <w:top w:val="single" w:sz="2" w:space="0" w:color="000000"/>
            </w:tcBorders>
          </w:tcPr>
          <w:p w14:paraId="42AA1983" w14:textId="77777777" w:rsidR="00084F36" w:rsidRPr="00EB2BD8" w:rsidRDefault="00EB2BD8">
            <w:pPr>
              <w:pStyle w:val="TableParagraph"/>
              <w:spacing w:before="112"/>
              <w:ind w:right="110"/>
              <w:jc w:val="right"/>
              <w:rPr>
                <w:sz w:val="16"/>
              </w:rPr>
            </w:pPr>
            <w:r w:rsidRPr="00EB2BD8">
              <w:rPr>
                <w:spacing w:val="-2"/>
                <w:sz w:val="16"/>
              </w:rPr>
              <w:t>$5,000</w:t>
            </w:r>
          </w:p>
        </w:tc>
        <w:tc>
          <w:tcPr>
            <w:tcW w:w="1175" w:type="dxa"/>
            <w:tcBorders>
              <w:top w:val="single" w:sz="2" w:space="0" w:color="000000"/>
            </w:tcBorders>
          </w:tcPr>
          <w:p w14:paraId="12A19886" w14:textId="77777777" w:rsidR="00084F36" w:rsidRPr="00EB2BD8" w:rsidRDefault="00EB2BD8">
            <w:pPr>
              <w:pStyle w:val="TableParagraph"/>
              <w:spacing w:before="112"/>
              <w:ind w:left="114"/>
              <w:rPr>
                <w:sz w:val="16"/>
              </w:rPr>
            </w:pPr>
            <w:r w:rsidRPr="00EB2BD8">
              <w:rPr>
                <w:spacing w:val="-2"/>
                <w:w w:val="90"/>
                <w:sz w:val="16"/>
              </w:rPr>
              <w:t>22/12/2022</w:t>
            </w:r>
          </w:p>
        </w:tc>
      </w:tr>
      <w:tr w:rsidR="00EB2BD8" w:rsidRPr="00EB2BD8" w14:paraId="05635835" w14:textId="77777777">
        <w:trPr>
          <w:trHeight w:val="229"/>
        </w:trPr>
        <w:tc>
          <w:tcPr>
            <w:tcW w:w="1742" w:type="dxa"/>
          </w:tcPr>
          <w:p w14:paraId="2C16D56F" w14:textId="77777777" w:rsidR="00084F36" w:rsidRPr="00EB2BD8" w:rsidRDefault="00084F36">
            <w:pPr>
              <w:pStyle w:val="TableParagraph"/>
              <w:rPr>
                <w:rFonts w:ascii="Times New Roman"/>
                <w:sz w:val="16"/>
              </w:rPr>
            </w:pPr>
          </w:p>
        </w:tc>
        <w:tc>
          <w:tcPr>
            <w:tcW w:w="1427" w:type="dxa"/>
          </w:tcPr>
          <w:p w14:paraId="0306D3A7" w14:textId="77777777" w:rsidR="00084F36" w:rsidRPr="00EB2BD8" w:rsidRDefault="00084F36">
            <w:pPr>
              <w:pStyle w:val="TableParagraph"/>
              <w:rPr>
                <w:rFonts w:ascii="Times New Roman"/>
                <w:sz w:val="16"/>
              </w:rPr>
            </w:pPr>
          </w:p>
        </w:tc>
        <w:tc>
          <w:tcPr>
            <w:tcW w:w="2464" w:type="dxa"/>
          </w:tcPr>
          <w:p w14:paraId="37F2565B" w14:textId="77777777" w:rsidR="00084F36" w:rsidRPr="00EB2BD8" w:rsidRDefault="00EB2BD8">
            <w:pPr>
              <w:pStyle w:val="TableParagraph"/>
              <w:spacing w:before="19"/>
              <w:ind w:left="334"/>
              <w:rPr>
                <w:sz w:val="16"/>
              </w:rPr>
            </w:pPr>
            <w:r w:rsidRPr="00EB2BD8">
              <w:rPr>
                <w:spacing w:val="-4"/>
                <w:sz w:val="16"/>
              </w:rPr>
              <w:t>building</w:t>
            </w:r>
            <w:r w:rsidRPr="00EB2BD8">
              <w:rPr>
                <w:spacing w:val="-2"/>
                <w:sz w:val="16"/>
              </w:rPr>
              <w:t xml:space="preserve"> </w:t>
            </w:r>
            <w:r w:rsidRPr="00EB2BD8">
              <w:rPr>
                <w:spacing w:val="-4"/>
                <w:sz w:val="16"/>
              </w:rPr>
              <w:t>work</w:t>
            </w:r>
            <w:r w:rsidRPr="00EB2BD8">
              <w:rPr>
                <w:spacing w:val="-2"/>
                <w:sz w:val="16"/>
              </w:rPr>
              <w:t xml:space="preserve"> </w:t>
            </w:r>
            <w:r w:rsidRPr="00EB2BD8">
              <w:rPr>
                <w:spacing w:val="-4"/>
                <w:sz w:val="16"/>
              </w:rPr>
              <w:t>without</w:t>
            </w:r>
          </w:p>
        </w:tc>
        <w:tc>
          <w:tcPr>
            <w:tcW w:w="2313" w:type="dxa"/>
          </w:tcPr>
          <w:p w14:paraId="66E7ACBD" w14:textId="77777777" w:rsidR="00084F36" w:rsidRPr="00EB2BD8" w:rsidRDefault="00EB2BD8">
            <w:pPr>
              <w:pStyle w:val="TableParagraph"/>
              <w:spacing w:before="19"/>
              <w:ind w:left="149"/>
              <w:rPr>
                <w:sz w:val="16"/>
              </w:rPr>
            </w:pPr>
            <w:r w:rsidRPr="00EB2BD8">
              <w:rPr>
                <w:spacing w:val="-2"/>
                <w:sz w:val="16"/>
              </w:rPr>
              <w:t>penalties</w:t>
            </w:r>
            <w:r w:rsidRPr="00EB2BD8">
              <w:rPr>
                <w:spacing w:val="-8"/>
                <w:sz w:val="16"/>
              </w:rPr>
              <w:t xml:space="preserve"> </w:t>
            </w:r>
            <w:r w:rsidRPr="00EB2BD8">
              <w:rPr>
                <w:spacing w:val="-2"/>
                <w:sz w:val="16"/>
              </w:rPr>
              <w:t>of</w:t>
            </w:r>
            <w:r w:rsidRPr="00EB2BD8">
              <w:rPr>
                <w:spacing w:val="-7"/>
                <w:sz w:val="16"/>
              </w:rPr>
              <w:t xml:space="preserve"> </w:t>
            </w:r>
            <w:r w:rsidRPr="00EB2BD8">
              <w:rPr>
                <w:spacing w:val="-2"/>
                <w:sz w:val="16"/>
              </w:rPr>
              <w:t>$5,000</w:t>
            </w:r>
            <w:r w:rsidRPr="00EB2BD8">
              <w:rPr>
                <w:spacing w:val="-8"/>
                <w:sz w:val="16"/>
              </w:rPr>
              <w:t xml:space="preserve"> </w:t>
            </w:r>
            <w:r w:rsidRPr="00EB2BD8">
              <w:rPr>
                <w:spacing w:val="-2"/>
                <w:sz w:val="16"/>
              </w:rPr>
              <w:t>and</w:t>
            </w:r>
            <w:r w:rsidRPr="00EB2BD8">
              <w:rPr>
                <w:spacing w:val="-7"/>
                <w:sz w:val="16"/>
              </w:rPr>
              <w:t xml:space="preserve"> </w:t>
            </w:r>
            <w:r w:rsidRPr="00EB2BD8">
              <w:rPr>
                <w:spacing w:val="-10"/>
                <w:sz w:val="16"/>
              </w:rPr>
              <w:t>a</w:t>
            </w:r>
          </w:p>
        </w:tc>
        <w:tc>
          <w:tcPr>
            <w:tcW w:w="1078" w:type="dxa"/>
          </w:tcPr>
          <w:p w14:paraId="60DAAAAC" w14:textId="77777777" w:rsidR="00084F36" w:rsidRPr="00EB2BD8" w:rsidRDefault="00084F36">
            <w:pPr>
              <w:pStyle w:val="TableParagraph"/>
              <w:rPr>
                <w:rFonts w:ascii="Times New Roman"/>
                <w:sz w:val="16"/>
              </w:rPr>
            </w:pPr>
          </w:p>
        </w:tc>
        <w:tc>
          <w:tcPr>
            <w:tcW w:w="1175" w:type="dxa"/>
          </w:tcPr>
          <w:p w14:paraId="3FD2646C" w14:textId="77777777" w:rsidR="00084F36" w:rsidRPr="00EB2BD8" w:rsidRDefault="00084F36">
            <w:pPr>
              <w:pStyle w:val="TableParagraph"/>
              <w:rPr>
                <w:rFonts w:ascii="Times New Roman"/>
                <w:sz w:val="16"/>
              </w:rPr>
            </w:pPr>
          </w:p>
        </w:tc>
      </w:tr>
      <w:tr w:rsidR="00EB2BD8" w:rsidRPr="00EB2BD8" w14:paraId="7A54C4F6" w14:textId="77777777">
        <w:trPr>
          <w:trHeight w:val="229"/>
        </w:trPr>
        <w:tc>
          <w:tcPr>
            <w:tcW w:w="1742" w:type="dxa"/>
          </w:tcPr>
          <w:p w14:paraId="4F3B9BFB" w14:textId="77777777" w:rsidR="00084F36" w:rsidRPr="00EB2BD8" w:rsidRDefault="00084F36">
            <w:pPr>
              <w:pStyle w:val="TableParagraph"/>
              <w:rPr>
                <w:rFonts w:ascii="Times New Roman"/>
                <w:sz w:val="16"/>
              </w:rPr>
            </w:pPr>
          </w:p>
        </w:tc>
        <w:tc>
          <w:tcPr>
            <w:tcW w:w="1427" w:type="dxa"/>
          </w:tcPr>
          <w:p w14:paraId="3CDBC4E6" w14:textId="77777777" w:rsidR="00084F36" w:rsidRPr="00EB2BD8" w:rsidRDefault="00084F36">
            <w:pPr>
              <w:pStyle w:val="TableParagraph"/>
              <w:rPr>
                <w:rFonts w:ascii="Times New Roman"/>
                <w:sz w:val="16"/>
              </w:rPr>
            </w:pPr>
          </w:p>
        </w:tc>
        <w:tc>
          <w:tcPr>
            <w:tcW w:w="2464" w:type="dxa"/>
          </w:tcPr>
          <w:p w14:paraId="561D87CA" w14:textId="77777777" w:rsidR="00084F36" w:rsidRPr="00EB2BD8" w:rsidRDefault="00EB2BD8">
            <w:pPr>
              <w:pStyle w:val="TableParagraph"/>
              <w:spacing w:before="19"/>
              <w:ind w:left="334"/>
              <w:rPr>
                <w:sz w:val="16"/>
              </w:rPr>
            </w:pPr>
            <w:r w:rsidRPr="00EB2BD8">
              <w:rPr>
                <w:spacing w:val="-2"/>
                <w:sz w:val="16"/>
              </w:rPr>
              <w:t>the</w:t>
            </w:r>
            <w:r w:rsidRPr="00EB2BD8">
              <w:rPr>
                <w:spacing w:val="-4"/>
                <w:sz w:val="16"/>
              </w:rPr>
              <w:t xml:space="preserve"> </w:t>
            </w:r>
            <w:r w:rsidRPr="00EB2BD8">
              <w:rPr>
                <w:spacing w:val="-2"/>
                <w:sz w:val="16"/>
              </w:rPr>
              <w:t>required</w:t>
            </w:r>
            <w:r w:rsidRPr="00EB2BD8">
              <w:rPr>
                <w:spacing w:val="-3"/>
                <w:sz w:val="16"/>
              </w:rPr>
              <w:t xml:space="preserve"> </w:t>
            </w:r>
            <w:r w:rsidRPr="00EB2BD8">
              <w:rPr>
                <w:spacing w:val="-2"/>
                <w:sz w:val="16"/>
              </w:rPr>
              <w:t>insurance</w:t>
            </w:r>
          </w:p>
        </w:tc>
        <w:tc>
          <w:tcPr>
            <w:tcW w:w="2313" w:type="dxa"/>
          </w:tcPr>
          <w:p w14:paraId="45EF413A" w14:textId="77777777" w:rsidR="00084F36" w:rsidRPr="00EB2BD8" w:rsidRDefault="00EB2BD8">
            <w:pPr>
              <w:pStyle w:val="TableParagraph"/>
              <w:spacing w:before="19"/>
              <w:ind w:left="149"/>
              <w:rPr>
                <w:sz w:val="16"/>
              </w:rPr>
            </w:pPr>
            <w:r w:rsidRPr="00EB2BD8">
              <w:rPr>
                <w:spacing w:val="-2"/>
                <w:sz w:val="16"/>
              </w:rPr>
              <w:t>requirement</w:t>
            </w:r>
            <w:r w:rsidRPr="00EB2BD8">
              <w:rPr>
                <w:spacing w:val="-6"/>
                <w:sz w:val="16"/>
              </w:rPr>
              <w:t xml:space="preserve"> </w:t>
            </w:r>
            <w:r w:rsidRPr="00EB2BD8">
              <w:rPr>
                <w:spacing w:val="-2"/>
                <w:sz w:val="16"/>
              </w:rPr>
              <w:t>to</w:t>
            </w:r>
            <w:r w:rsidRPr="00EB2BD8">
              <w:rPr>
                <w:spacing w:val="-6"/>
                <w:sz w:val="16"/>
              </w:rPr>
              <w:t xml:space="preserve"> </w:t>
            </w:r>
            <w:r w:rsidRPr="00EB2BD8">
              <w:rPr>
                <w:spacing w:val="-2"/>
                <w:sz w:val="16"/>
              </w:rPr>
              <w:t>complete</w:t>
            </w:r>
          </w:p>
        </w:tc>
        <w:tc>
          <w:tcPr>
            <w:tcW w:w="1078" w:type="dxa"/>
          </w:tcPr>
          <w:p w14:paraId="06A616AE" w14:textId="77777777" w:rsidR="00084F36" w:rsidRPr="00EB2BD8" w:rsidRDefault="00084F36">
            <w:pPr>
              <w:pStyle w:val="TableParagraph"/>
              <w:rPr>
                <w:rFonts w:ascii="Times New Roman"/>
                <w:sz w:val="16"/>
              </w:rPr>
            </w:pPr>
          </w:p>
        </w:tc>
        <w:tc>
          <w:tcPr>
            <w:tcW w:w="1175" w:type="dxa"/>
          </w:tcPr>
          <w:p w14:paraId="2CC0C510" w14:textId="77777777" w:rsidR="00084F36" w:rsidRPr="00EB2BD8" w:rsidRDefault="00084F36">
            <w:pPr>
              <w:pStyle w:val="TableParagraph"/>
              <w:rPr>
                <w:rFonts w:ascii="Times New Roman"/>
                <w:sz w:val="16"/>
              </w:rPr>
            </w:pPr>
          </w:p>
        </w:tc>
      </w:tr>
      <w:tr w:rsidR="00EB2BD8" w:rsidRPr="00EB2BD8" w14:paraId="750810E8" w14:textId="77777777">
        <w:trPr>
          <w:trHeight w:val="230"/>
        </w:trPr>
        <w:tc>
          <w:tcPr>
            <w:tcW w:w="1742" w:type="dxa"/>
          </w:tcPr>
          <w:p w14:paraId="2114FC84" w14:textId="77777777" w:rsidR="00084F36" w:rsidRPr="00EB2BD8" w:rsidRDefault="00084F36">
            <w:pPr>
              <w:pStyle w:val="TableParagraph"/>
              <w:rPr>
                <w:rFonts w:ascii="Times New Roman"/>
                <w:sz w:val="16"/>
              </w:rPr>
            </w:pPr>
          </w:p>
        </w:tc>
        <w:tc>
          <w:tcPr>
            <w:tcW w:w="1427" w:type="dxa"/>
          </w:tcPr>
          <w:p w14:paraId="3D282434" w14:textId="77777777" w:rsidR="00084F36" w:rsidRPr="00EB2BD8" w:rsidRDefault="00084F36">
            <w:pPr>
              <w:pStyle w:val="TableParagraph"/>
              <w:rPr>
                <w:rFonts w:ascii="Times New Roman"/>
                <w:sz w:val="16"/>
              </w:rPr>
            </w:pPr>
          </w:p>
        </w:tc>
        <w:tc>
          <w:tcPr>
            <w:tcW w:w="2464" w:type="dxa"/>
          </w:tcPr>
          <w:p w14:paraId="4801A6F9" w14:textId="77777777" w:rsidR="00084F36" w:rsidRPr="00EB2BD8" w:rsidRDefault="00EB2BD8">
            <w:pPr>
              <w:pStyle w:val="TableParagraph"/>
              <w:spacing w:before="19"/>
              <w:ind w:left="334"/>
              <w:rPr>
                <w:sz w:val="16"/>
              </w:rPr>
            </w:pPr>
            <w:r w:rsidRPr="00EB2BD8">
              <w:rPr>
                <w:sz w:val="16"/>
              </w:rPr>
              <w:t>and</w:t>
            </w:r>
            <w:r w:rsidRPr="00EB2BD8">
              <w:rPr>
                <w:spacing w:val="-13"/>
                <w:sz w:val="16"/>
              </w:rPr>
              <w:t xml:space="preserve"> </w:t>
            </w:r>
            <w:r w:rsidRPr="00EB2BD8">
              <w:rPr>
                <w:sz w:val="16"/>
              </w:rPr>
              <w:t>failing</w:t>
            </w:r>
            <w:r w:rsidRPr="00EB2BD8">
              <w:rPr>
                <w:spacing w:val="-12"/>
                <w:sz w:val="16"/>
              </w:rPr>
              <w:t xml:space="preserve"> </w:t>
            </w:r>
            <w:r w:rsidRPr="00EB2BD8">
              <w:rPr>
                <w:sz w:val="16"/>
              </w:rPr>
              <w:t>to</w:t>
            </w:r>
            <w:r w:rsidRPr="00EB2BD8">
              <w:rPr>
                <w:spacing w:val="-13"/>
                <w:sz w:val="16"/>
              </w:rPr>
              <w:t xml:space="preserve"> </w:t>
            </w:r>
            <w:r w:rsidRPr="00EB2BD8">
              <w:rPr>
                <w:spacing w:val="-2"/>
                <w:sz w:val="16"/>
              </w:rPr>
              <w:t>contract</w:t>
            </w:r>
          </w:p>
        </w:tc>
        <w:tc>
          <w:tcPr>
            <w:tcW w:w="2313" w:type="dxa"/>
          </w:tcPr>
          <w:p w14:paraId="026F6E42" w14:textId="77777777" w:rsidR="00084F36" w:rsidRPr="00EB2BD8" w:rsidRDefault="00EB2BD8">
            <w:pPr>
              <w:pStyle w:val="TableParagraph"/>
              <w:spacing w:before="19"/>
              <w:ind w:left="149"/>
              <w:rPr>
                <w:sz w:val="16"/>
              </w:rPr>
            </w:pPr>
            <w:r w:rsidRPr="00EB2BD8">
              <w:rPr>
                <w:spacing w:val="-2"/>
                <w:sz w:val="16"/>
              </w:rPr>
              <w:t>training.</w:t>
            </w:r>
          </w:p>
        </w:tc>
        <w:tc>
          <w:tcPr>
            <w:tcW w:w="1078" w:type="dxa"/>
          </w:tcPr>
          <w:p w14:paraId="07E59E9D" w14:textId="77777777" w:rsidR="00084F36" w:rsidRPr="00EB2BD8" w:rsidRDefault="00084F36">
            <w:pPr>
              <w:pStyle w:val="TableParagraph"/>
              <w:rPr>
                <w:rFonts w:ascii="Times New Roman"/>
                <w:sz w:val="16"/>
              </w:rPr>
            </w:pPr>
          </w:p>
        </w:tc>
        <w:tc>
          <w:tcPr>
            <w:tcW w:w="1175" w:type="dxa"/>
          </w:tcPr>
          <w:p w14:paraId="0F02AF34" w14:textId="77777777" w:rsidR="00084F36" w:rsidRPr="00EB2BD8" w:rsidRDefault="00084F36">
            <w:pPr>
              <w:pStyle w:val="TableParagraph"/>
              <w:rPr>
                <w:rFonts w:ascii="Times New Roman"/>
                <w:sz w:val="16"/>
              </w:rPr>
            </w:pPr>
          </w:p>
        </w:tc>
      </w:tr>
      <w:tr w:rsidR="00EB2BD8" w:rsidRPr="00EB2BD8" w14:paraId="2E31AC59" w14:textId="77777777">
        <w:trPr>
          <w:trHeight w:val="229"/>
        </w:trPr>
        <w:tc>
          <w:tcPr>
            <w:tcW w:w="1742" w:type="dxa"/>
          </w:tcPr>
          <w:p w14:paraId="517D799F" w14:textId="77777777" w:rsidR="00084F36" w:rsidRPr="00EB2BD8" w:rsidRDefault="00084F36">
            <w:pPr>
              <w:pStyle w:val="TableParagraph"/>
              <w:rPr>
                <w:rFonts w:ascii="Times New Roman"/>
                <w:sz w:val="16"/>
              </w:rPr>
            </w:pPr>
          </w:p>
        </w:tc>
        <w:tc>
          <w:tcPr>
            <w:tcW w:w="1427" w:type="dxa"/>
          </w:tcPr>
          <w:p w14:paraId="55AFA932" w14:textId="77777777" w:rsidR="00084F36" w:rsidRPr="00EB2BD8" w:rsidRDefault="00084F36">
            <w:pPr>
              <w:pStyle w:val="TableParagraph"/>
              <w:rPr>
                <w:rFonts w:ascii="Times New Roman"/>
                <w:sz w:val="16"/>
              </w:rPr>
            </w:pPr>
          </w:p>
        </w:tc>
        <w:tc>
          <w:tcPr>
            <w:tcW w:w="2464" w:type="dxa"/>
          </w:tcPr>
          <w:p w14:paraId="4EFAB43C" w14:textId="77777777" w:rsidR="00084F36" w:rsidRPr="00EB2BD8" w:rsidRDefault="00EB2BD8">
            <w:pPr>
              <w:pStyle w:val="TableParagraph"/>
              <w:spacing w:before="19"/>
              <w:ind w:left="334"/>
              <w:rPr>
                <w:sz w:val="16"/>
              </w:rPr>
            </w:pPr>
            <w:r w:rsidRPr="00EB2BD8">
              <w:rPr>
                <w:spacing w:val="-2"/>
                <w:w w:val="105"/>
                <w:sz w:val="16"/>
              </w:rPr>
              <w:t>in</w:t>
            </w:r>
            <w:r w:rsidRPr="00EB2BD8">
              <w:rPr>
                <w:spacing w:val="-7"/>
                <w:w w:val="105"/>
                <w:sz w:val="16"/>
              </w:rPr>
              <w:t xml:space="preserve"> </w:t>
            </w:r>
            <w:r w:rsidRPr="00EB2BD8">
              <w:rPr>
                <w:spacing w:val="-2"/>
                <w:w w:val="105"/>
                <w:sz w:val="16"/>
              </w:rPr>
              <w:t>accordance</w:t>
            </w:r>
            <w:r w:rsidRPr="00EB2BD8">
              <w:rPr>
                <w:spacing w:val="-7"/>
                <w:w w:val="105"/>
                <w:sz w:val="16"/>
              </w:rPr>
              <w:t xml:space="preserve"> </w:t>
            </w:r>
            <w:r w:rsidRPr="00EB2BD8">
              <w:rPr>
                <w:spacing w:val="-4"/>
                <w:w w:val="105"/>
                <w:sz w:val="16"/>
              </w:rPr>
              <w:t>with</w:t>
            </w:r>
          </w:p>
        </w:tc>
        <w:tc>
          <w:tcPr>
            <w:tcW w:w="2313" w:type="dxa"/>
          </w:tcPr>
          <w:p w14:paraId="02E1502C" w14:textId="77777777" w:rsidR="00084F36" w:rsidRPr="00EB2BD8" w:rsidRDefault="00084F36">
            <w:pPr>
              <w:pStyle w:val="TableParagraph"/>
              <w:rPr>
                <w:rFonts w:ascii="Times New Roman"/>
                <w:sz w:val="16"/>
              </w:rPr>
            </w:pPr>
          </w:p>
        </w:tc>
        <w:tc>
          <w:tcPr>
            <w:tcW w:w="1078" w:type="dxa"/>
          </w:tcPr>
          <w:p w14:paraId="18CD4A74" w14:textId="77777777" w:rsidR="00084F36" w:rsidRPr="00EB2BD8" w:rsidRDefault="00084F36">
            <w:pPr>
              <w:pStyle w:val="TableParagraph"/>
              <w:rPr>
                <w:rFonts w:ascii="Times New Roman"/>
                <w:sz w:val="16"/>
              </w:rPr>
            </w:pPr>
          </w:p>
        </w:tc>
        <w:tc>
          <w:tcPr>
            <w:tcW w:w="1175" w:type="dxa"/>
          </w:tcPr>
          <w:p w14:paraId="16AE0CE7" w14:textId="77777777" w:rsidR="00084F36" w:rsidRPr="00EB2BD8" w:rsidRDefault="00084F36">
            <w:pPr>
              <w:pStyle w:val="TableParagraph"/>
              <w:rPr>
                <w:rFonts w:ascii="Times New Roman"/>
                <w:sz w:val="16"/>
              </w:rPr>
            </w:pPr>
          </w:p>
        </w:tc>
      </w:tr>
      <w:tr w:rsidR="00EB2BD8" w:rsidRPr="00EB2BD8" w14:paraId="3D2A1CC5" w14:textId="77777777">
        <w:trPr>
          <w:trHeight w:val="229"/>
        </w:trPr>
        <w:tc>
          <w:tcPr>
            <w:tcW w:w="1742" w:type="dxa"/>
          </w:tcPr>
          <w:p w14:paraId="42AD8F2D" w14:textId="77777777" w:rsidR="00084F36" w:rsidRPr="00EB2BD8" w:rsidRDefault="00084F36">
            <w:pPr>
              <w:pStyle w:val="TableParagraph"/>
              <w:rPr>
                <w:rFonts w:ascii="Times New Roman"/>
                <w:sz w:val="16"/>
              </w:rPr>
            </w:pPr>
          </w:p>
        </w:tc>
        <w:tc>
          <w:tcPr>
            <w:tcW w:w="1427" w:type="dxa"/>
          </w:tcPr>
          <w:p w14:paraId="175A77B5" w14:textId="77777777" w:rsidR="00084F36" w:rsidRPr="00EB2BD8" w:rsidRDefault="00084F36">
            <w:pPr>
              <w:pStyle w:val="TableParagraph"/>
              <w:rPr>
                <w:rFonts w:ascii="Times New Roman"/>
                <w:sz w:val="16"/>
              </w:rPr>
            </w:pPr>
          </w:p>
        </w:tc>
        <w:tc>
          <w:tcPr>
            <w:tcW w:w="2464" w:type="dxa"/>
          </w:tcPr>
          <w:p w14:paraId="04AF23BD" w14:textId="77777777" w:rsidR="00084F36" w:rsidRPr="00EB2BD8" w:rsidRDefault="00EB2BD8">
            <w:pPr>
              <w:pStyle w:val="TableParagraph"/>
              <w:spacing w:before="19"/>
              <w:ind w:left="334"/>
              <w:rPr>
                <w:sz w:val="16"/>
              </w:rPr>
            </w:pPr>
            <w:r w:rsidRPr="00EB2BD8">
              <w:rPr>
                <w:spacing w:val="-2"/>
                <w:sz w:val="16"/>
              </w:rPr>
              <w:t>the</w:t>
            </w:r>
            <w:r w:rsidRPr="00EB2BD8">
              <w:rPr>
                <w:spacing w:val="-5"/>
                <w:sz w:val="16"/>
              </w:rPr>
              <w:t xml:space="preserve"> </w:t>
            </w:r>
            <w:r w:rsidRPr="00EB2BD8">
              <w:rPr>
                <w:spacing w:val="-2"/>
                <w:sz w:val="16"/>
              </w:rPr>
              <w:t>requirements</w:t>
            </w:r>
            <w:r w:rsidRPr="00EB2BD8">
              <w:rPr>
                <w:spacing w:val="-4"/>
                <w:sz w:val="16"/>
              </w:rPr>
              <w:t xml:space="preserve"> </w:t>
            </w:r>
            <w:r w:rsidRPr="00EB2BD8">
              <w:rPr>
                <w:spacing w:val="-2"/>
                <w:sz w:val="16"/>
              </w:rPr>
              <w:t>for</w:t>
            </w:r>
            <w:r w:rsidRPr="00EB2BD8">
              <w:rPr>
                <w:spacing w:val="-5"/>
                <w:sz w:val="16"/>
              </w:rPr>
              <w:t xml:space="preserve"> </w:t>
            </w:r>
            <w:r w:rsidRPr="00EB2BD8">
              <w:rPr>
                <w:spacing w:val="-10"/>
                <w:sz w:val="16"/>
              </w:rPr>
              <w:t>a</w:t>
            </w:r>
          </w:p>
        </w:tc>
        <w:tc>
          <w:tcPr>
            <w:tcW w:w="2313" w:type="dxa"/>
          </w:tcPr>
          <w:p w14:paraId="4DFAB9FD" w14:textId="77777777" w:rsidR="00084F36" w:rsidRPr="00EB2BD8" w:rsidRDefault="00084F36">
            <w:pPr>
              <w:pStyle w:val="TableParagraph"/>
              <w:rPr>
                <w:rFonts w:ascii="Times New Roman"/>
                <w:sz w:val="16"/>
              </w:rPr>
            </w:pPr>
          </w:p>
        </w:tc>
        <w:tc>
          <w:tcPr>
            <w:tcW w:w="1078" w:type="dxa"/>
          </w:tcPr>
          <w:p w14:paraId="26BDFED2" w14:textId="77777777" w:rsidR="00084F36" w:rsidRPr="00EB2BD8" w:rsidRDefault="00084F36">
            <w:pPr>
              <w:pStyle w:val="TableParagraph"/>
              <w:rPr>
                <w:rFonts w:ascii="Times New Roman"/>
                <w:sz w:val="16"/>
              </w:rPr>
            </w:pPr>
          </w:p>
        </w:tc>
        <w:tc>
          <w:tcPr>
            <w:tcW w:w="1175" w:type="dxa"/>
          </w:tcPr>
          <w:p w14:paraId="61E584F2" w14:textId="77777777" w:rsidR="00084F36" w:rsidRPr="00EB2BD8" w:rsidRDefault="00084F36">
            <w:pPr>
              <w:pStyle w:val="TableParagraph"/>
              <w:rPr>
                <w:rFonts w:ascii="Times New Roman"/>
                <w:sz w:val="16"/>
              </w:rPr>
            </w:pPr>
          </w:p>
        </w:tc>
      </w:tr>
      <w:tr w:rsidR="00EB2BD8" w:rsidRPr="00EB2BD8" w14:paraId="19EE3097" w14:textId="77777777">
        <w:trPr>
          <w:trHeight w:val="229"/>
        </w:trPr>
        <w:tc>
          <w:tcPr>
            <w:tcW w:w="1742" w:type="dxa"/>
          </w:tcPr>
          <w:p w14:paraId="139E77C7" w14:textId="77777777" w:rsidR="00084F36" w:rsidRPr="00EB2BD8" w:rsidRDefault="00084F36">
            <w:pPr>
              <w:pStyle w:val="TableParagraph"/>
              <w:rPr>
                <w:rFonts w:ascii="Times New Roman"/>
                <w:sz w:val="16"/>
              </w:rPr>
            </w:pPr>
          </w:p>
        </w:tc>
        <w:tc>
          <w:tcPr>
            <w:tcW w:w="1427" w:type="dxa"/>
          </w:tcPr>
          <w:p w14:paraId="4165C856" w14:textId="77777777" w:rsidR="00084F36" w:rsidRPr="00EB2BD8" w:rsidRDefault="00084F36">
            <w:pPr>
              <w:pStyle w:val="TableParagraph"/>
              <w:rPr>
                <w:rFonts w:ascii="Times New Roman"/>
                <w:sz w:val="16"/>
              </w:rPr>
            </w:pPr>
          </w:p>
        </w:tc>
        <w:tc>
          <w:tcPr>
            <w:tcW w:w="2464" w:type="dxa"/>
          </w:tcPr>
          <w:p w14:paraId="78C36A2C" w14:textId="77777777" w:rsidR="00084F36" w:rsidRPr="00EB2BD8" w:rsidRDefault="00EB2BD8">
            <w:pPr>
              <w:pStyle w:val="TableParagraph"/>
              <w:spacing w:before="19"/>
              <w:ind w:left="334"/>
              <w:rPr>
                <w:sz w:val="16"/>
              </w:rPr>
            </w:pPr>
            <w:r w:rsidRPr="00EB2BD8">
              <w:rPr>
                <w:sz w:val="16"/>
              </w:rPr>
              <w:t>major</w:t>
            </w:r>
            <w:r w:rsidRPr="00EB2BD8">
              <w:rPr>
                <w:spacing w:val="-10"/>
                <w:sz w:val="16"/>
              </w:rPr>
              <w:t xml:space="preserve"> </w:t>
            </w:r>
            <w:r w:rsidRPr="00EB2BD8">
              <w:rPr>
                <w:sz w:val="16"/>
              </w:rPr>
              <w:t>domestic</w:t>
            </w:r>
            <w:r w:rsidRPr="00EB2BD8">
              <w:rPr>
                <w:spacing w:val="-9"/>
                <w:sz w:val="16"/>
              </w:rPr>
              <w:t xml:space="preserve"> </w:t>
            </w:r>
            <w:r w:rsidRPr="00EB2BD8">
              <w:rPr>
                <w:spacing w:val="-2"/>
                <w:sz w:val="16"/>
              </w:rPr>
              <w:t>building</w:t>
            </w:r>
          </w:p>
        </w:tc>
        <w:tc>
          <w:tcPr>
            <w:tcW w:w="2313" w:type="dxa"/>
          </w:tcPr>
          <w:p w14:paraId="7BCD1F81" w14:textId="77777777" w:rsidR="00084F36" w:rsidRPr="00EB2BD8" w:rsidRDefault="00084F36">
            <w:pPr>
              <w:pStyle w:val="TableParagraph"/>
              <w:rPr>
                <w:rFonts w:ascii="Times New Roman"/>
                <w:sz w:val="16"/>
              </w:rPr>
            </w:pPr>
          </w:p>
        </w:tc>
        <w:tc>
          <w:tcPr>
            <w:tcW w:w="1078" w:type="dxa"/>
          </w:tcPr>
          <w:p w14:paraId="073E8C15" w14:textId="77777777" w:rsidR="00084F36" w:rsidRPr="00EB2BD8" w:rsidRDefault="00084F36">
            <w:pPr>
              <w:pStyle w:val="TableParagraph"/>
              <w:rPr>
                <w:rFonts w:ascii="Times New Roman"/>
                <w:sz w:val="16"/>
              </w:rPr>
            </w:pPr>
          </w:p>
        </w:tc>
        <w:tc>
          <w:tcPr>
            <w:tcW w:w="1175" w:type="dxa"/>
          </w:tcPr>
          <w:p w14:paraId="0590AA9E" w14:textId="77777777" w:rsidR="00084F36" w:rsidRPr="00EB2BD8" w:rsidRDefault="00084F36">
            <w:pPr>
              <w:pStyle w:val="TableParagraph"/>
              <w:rPr>
                <w:rFonts w:ascii="Times New Roman"/>
                <w:sz w:val="16"/>
              </w:rPr>
            </w:pPr>
          </w:p>
        </w:tc>
      </w:tr>
      <w:tr w:rsidR="00EB2BD8" w:rsidRPr="00EB2BD8" w14:paraId="4BFD9A7D" w14:textId="77777777">
        <w:trPr>
          <w:trHeight w:val="205"/>
        </w:trPr>
        <w:tc>
          <w:tcPr>
            <w:tcW w:w="1742" w:type="dxa"/>
          </w:tcPr>
          <w:p w14:paraId="61CAC561" w14:textId="77777777" w:rsidR="00084F36" w:rsidRPr="00EB2BD8" w:rsidRDefault="00084F36">
            <w:pPr>
              <w:pStyle w:val="TableParagraph"/>
              <w:rPr>
                <w:rFonts w:ascii="Times New Roman"/>
                <w:sz w:val="14"/>
              </w:rPr>
            </w:pPr>
          </w:p>
        </w:tc>
        <w:tc>
          <w:tcPr>
            <w:tcW w:w="1427" w:type="dxa"/>
          </w:tcPr>
          <w:p w14:paraId="3B0300BE" w14:textId="77777777" w:rsidR="00084F36" w:rsidRPr="00EB2BD8" w:rsidRDefault="00084F36">
            <w:pPr>
              <w:pStyle w:val="TableParagraph"/>
              <w:rPr>
                <w:rFonts w:ascii="Times New Roman"/>
                <w:sz w:val="14"/>
              </w:rPr>
            </w:pPr>
          </w:p>
        </w:tc>
        <w:tc>
          <w:tcPr>
            <w:tcW w:w="2464" w:type="dxa"/>
          </w:tcPr>
          <w:p w14:paraId="7D403F14" w14:textId="77777777" w:rsidR="00084F36" w:rsidRPr="00EB2BD8" w:rsidRDefault="00EB2BD8">
            <w:pPr>
              <w:pStyle w:val="TableParagraph"/>
              <w:spacing w:before="19" w:line="166" w:lineRule="exact"/>
              <w:ind w:left="334"/>
              <w:rPr>
                <w:sz w:val="16"/>
              </w:rPr>
            </w:pPr>
            <w:r w:rsidRPr="00EB2BD8">
              <w:rPr>
                <w:spacing w:val="-2"/>
                <w:sz w:val="16"/>
              </w:rPr>
              <w:t>contract.</w:t>
            </w:r>
          </w:p>
        </w:tc>
        <w:tc>
          <w:tcPr>
            <w:tcW w:w="2313" w:type="dxa"/>
          </w:tcPr>
          <w:p w14:paraId="24C0DC1A" w14:textId="77777777" w:rsidR="00084F36" w:rsidRPr="00EB2BD8" w:rsidRDefault="00084F36">
            <w:pPr>
              <w:pStyle w:val="TableParagraph"/>
              <w:rPr>
                <w:rFonts w:ascii="Times New Roman"/>
                <w:sz w:val="14"/>
              </w:rPr>
            </w:pPr>
          </w:p>
        </w:tc>
        <w:tc>
          <w:tcPr>
            <w:tcW w:w="1078" w:type="dxa"/>
          </w:tcPr>
          <w:p w14:paraId="15C89269" w14:textId="77777777" w:rsidR="00084F36" w:rsidRPr="00EB2BD8" w:rsidRDefault="00084F36">
            <w:pPr>
              <w:pStyle w:val="TableParagraph"/>
              <w:rPr>
                <w:rFonts w:ascii="Times New Roman"/>
                <w:sz w:val="14"/>
              </w:rPr>
            </w:pPr>
          </w:p>
        </w:tc>
        <w:tc>
          <w:tcPr>
            <w:tcW w:w="1175" w:type="dxa"/>
          </w:tcPr>
          <w:p w14:paraId="4AA58C21" w14:textId="77777777" w:rsidR="00084F36" w:rsidRPr="00EB2BD8" w:rsidRDefault="00084F36">
            <w:pPr>
              <w:pStyle w:val="TableParagraph"/>
              <w:rPr>
                <w:rFonts w:ascii="Times New Roman"/>
                <w:sz w:val="14"/>
              </w:rPr>
            </w:pPr>
          </w:p>
        </w:tc>
      </w:tr>
    </w:tbl>
    <w:p w14:paraId="5B1C98B5" w14:textId="77777777" w:rsidR="00084F36" w:rsidRPr="00EB2BD8" w:rsidRDefault="00084F36">
      <w:pPr>
        <w:rPr>
          <w:rFonts w:ascii="Times New Roman"/>
          <w:sz w:val="14"/>
        </w:rPr>
        <w:sectPr w:rsidR="00084F36" w:rsidRPr="00EB2BD8" w:rsidSect="006D75B2">
          <w:headerReference w:type="even" r:id="rId406"/>
          <w:headerReference w:type="default" r:id="rId407"/>
          <w:footerReference w:type="even" r:id="rId408"/>
          <w:footerReference w:type="default" r:id="rId409"/>
          <w:pgSz w:w="11910" w:h="16840"/>
          <w:pgMar w:top="1100" w:right="0" w:bottom="1720" w:left="0" w:header="0" w:footer="1523" w:gutter="0"/>
          <w:cols w:space="720"/>
        </w:sectPr>
      </w:pPr>
    </w:p>
    <w:p w14:paraId="731B35C9" w14:textId="77777777" w:rsidR="00084F36" w:rsidRPr="00EB2BD8" w:rsidRDefault="00084F36">
      <w:pPr>
        <w:pStyle w:val="BodyText"/>
        <w:rPr>
          <w:i/>
          <w:sz w:val="20"/>
        </w:rPr>
      </w:pPr>
    </w:p>
    <w:p w14:paraId="75EB5EA5" w14:textId="77777777" w:rsidR="00084F36" w:rsidRPr="00EB2BD8" w:rsidRDefault="00084F36">
      <w:pPr>
        <w:pStyle w:val="BodyText"/>
        <w:rPr>
          <w:i/>
          <w:sz w:val="20"/>
        </w:rPr>
      </w:pPr>
    </w:p>
    <w:p w14:paraId="619ADF3E" w14:textId="77777777" w:rsidR="00084F36" w:rsidRPr="00EB2BD8" w:rsidRDefault="00084F36">
      <w:pPr>
        <w:pStyle w:val="BodyText"/>
        <w:rPr>
          <w:i/>
          <w:sz w:val="20"/>
        </w:rPr>
      </w:pPr>
    </w:p>
    <w:p w14:paraId="0D733EBE" w14:textId="77777777" w:rsidR="00084F36" w:rsidRPr="00EB2BD8" w:rsidRDefault="00084F36">
      <w:pPr>
        <w:pStyle w:val="BodyText"/>
        <w:rPr>
          <w:i/>
          <w:sz w:val="20"/>
        </w:rPr>
      </w:pPr>
    </w:p>
    <w:p w14:paraId="193AC41C" w14:textId="77777777" w:rsidR="00084F36" w:rsidRPr="00EB2BD8" w:rsidRDefault="00084F36">
      <w:pPr>
        <w:pStyle w:val="BodyText"/>
        <w:spacing w:before="9" w:after="1"/>
        <w:rPr>
          <w:i/>
          <w:sz w:val="24"/>
        </w:rPr>
      </w:pPr>
    </w:p>
    <w:tbl>
      <w:tblPr>
        <w:tblW w:w="0" w:type="auto"/>
        <w:tblInd w:w="858" w:type="dxa"/>
        <w:tblLayout w:type="fixed"/>
        <w:tblCellMar>
          <w:left w:w="0" w:type="dxa"/>
          <w:right w:w="0" w:type="dxa"/>
        </w:tblCellMar>
        <w:tblLook w:val="01E0" w:firstRow="1" w:lastRow="1" w:firstColumn="1" w:lastColumn="1" w:noHBand="0" w:noVBand="0"/>
      </w:tblPr>
      <w:tblGrid>
        <w:gridCol w:w="1733"/>
        <w:gridCol w:w="1440"/>
        <w:gridCol w:w="2488"/>
        <w:gridCol w:w="2284"/>
        <w:gridCol w:w="1079"/>
        <w:gridCol w:w="1175"/>
      </w:tblGrid>
      <w:tr w:rsidR="00EB2BD8" w:rsidRPr="00EB2BD8" w14:paraId="303CEEB5" w14:textId="77777777">
        <w:trPr>
          <w:trHeight w:val="614"/>
        </w:trPr>
        <w:tc>
          <w:tcPr>
            <w:tcW w:w="1733" w:type="dxa"/>
            <w:tcBorders>
              <w:bottom w:val="single" w:sz="2" w:space="0" w:color="000000"/>
            </w:tcBorders>
            <w:shd w:val="clear" w:color="auto" w:fill="005F83"/>
          </w:tcPr>
          <w:p w14:paraId="7E822BC7" w14:textId="77777777" w:rsidR="00084F36" w:rsidRPr="00697E0C" w:rsidRDefault="00EB2BD8">
            <w:pPr>
              <w:pStyle w:val="TableParagraph"/>
              <w:spacing w:before="118"/>
              <w:ind w:left="113"/>
              <w:rPr>
                <w:color w:val="FFFFFF" w:themeColor="background1"/>
                <w:sz w:val="16"/>
              </w:rPr>
            </w:pPr>
            <w:r w:rsidRPr="00697E0C">
              <w:rPr>
                <w:color w:val="FFFFFF" w:themeColor="background1"/>
                <w:w w:val="105"/>
                <w:sz w:val="16"/>
              </w:rPr>
              <w:t>Practitioner</w:t>
            </w:r>
            <w:r w:rsidRPr="00697E0C">
              <w:rPr>
                <w:color w:val="FFFFFF" w:themeColor="background1"/>
                <w:spacing w:val="-14"/>
                <w:w w:val="105"/>
                <w:sz w:val="16"/>
              </w:rPr>
              <w:t xml:space="preserve"> </w:t>
            </w:r>
            <w:r w:rsidRPr="00697E0C">
              <w:rPr>
                <w:color w:val="FFFFFF" w:themeColor="background1"/>
                <w:spacing w:val="-4"/>
                <w:w w:val="105"/>
                <w:sz w:val="16"/>
              </w:rPr>
              <w:t>name</w:t>
            </w:r>
          </w:p>
        </w:tc>
        <w:tc>
          <w:tcPr>
            <w:tcW w:w="1440" w:type="dxa"/>
            <w:tcBorders>
              <w:bottom w:val="single" w:sz="2" w:space="0" w:color="000000"/>
            </w:tcBorders>
            <w:shd w:val="clear" w:color="auto" w:fill="005F83"/>
          </w:tcPr>
          <w:p w14:paraId="62D667AE" w14:textId="77777777" w:rsidR="00084F36" w:rsidRPr="00697E0C" w:rsidRDefault="00EB2BD8">
            <w:pPr>
              <w:pStyle w:val="TableParagraph"/>
              <w:spacing w:before="118" w:line="292" w:lineRule="auto"/>
              <w:ind w:left="137"/>
              <w:rPr>
                <w:color w:val="FFFFFF" w:themeColor="background1"/>
                <w:sz w:val="16"/>
              </w:rPr>
            </w:pPr>
            <w:r w:rsidRPr="00697E0C">
              <w:rPr>
                <w:color w:val="FFFFFF" w:themeColor="background1"/>
                <w:spacing w:val="-2"/>
                <w:sz w:val="16"/>
              </w:rPr>
              <w:t xml:space="preserve">Registration </w:t>
            </w:r>
            <w:r w:rsidRPr="00697E0C">
              <w:rPr>
                <w:color w:val="FFFFFF" w:themeColor="background1"/>
                <w:spacing w:val="-2"/>
                <w:w w:val="105"/>
                <w:sz w:val="16"/>
              </w:rPr>
              <w:t>Number</w:t>
            </w:r>
          </w:p>
        </w:tc>
        <w:tc>
          <w:tcPr>
            <w:tcW w:w="2488" w:type="dxa"/>
            <w:tcBorders>
              <w:bottom w:val="single" w:sz="2" w:space="0" w:color="000000"/>
            </w:tcBorders>
            <w:shd w:val="clear" w:color="auto" w:fill="005F83"/>
          </w:tcPr>
          <w:p w14:paraId="565457C0" w14:textId="77777777" w:rsidR="00084F36" w:rsidRPr="00697E0C" w:rsidRDefault="00EB2BD8">
            <w:pPr>
              <w:pStyle w:val="TableParagraph"/>
              <w:spacing w:before="118"/>
              <w:ind w:left="330"/>
              <w:rPr>
                <w:color w:val="FFFFFF" w:themeColor="background1"/>
                <w:sz w:val="16"/>
              </w:rPr>
            </w:pPr>
            <w:r w:rsidRPr="00697E0C">
              <w:rPr>
                <w:color w:val="FFFFFF" w:themeColor="background1"/>
                <w:spacing w:val="-2"/>
                <w:w w:val="105"/>
                <w:sz w:val="16"/>
              </w:rPr>
              <w:t>Conduct</w:t>
            </w:r>
          </w:p>
        </w:tc>
        <w:tc>
          <w:tcPr>
            <w:tcW w:w="2284" w:type="dxa"/>
            <w:tcBorders>
              <w:bottom w:val="single" w:sz="2" w:space="0" w:color="000000"/>
            </w:tcBorders>
            <w:shd w:val="clear" w:color="auto" w:fill="005F83"/>
          </w:tcPr>
          <w:p w14:paraId="7CB73CE9" w14:textId="77777777" w:rsidR="00084F36" w:rsidRPr="00697E0C" w:rsidRDefault="00EB2BD8">
            <w:pPr>
              <w:pStyle w:val="TableParagraph"/>
              <w:spacing w:before="118"/>
              <w:ind w:left="121"/>
              <w:rPr>
                <w:color w:val="FFFFFF" w:themeColor="background1"/>
                <w:sz w:val="16"/>
              </w:rPr>
            </w:pPr>
            <w:r w:rsidRPr="00697E0C">
              <w:rPr>
                <w:color w:val="FFFFFF" w:themeColor="background1"/>
                <w:spacing w:val="-2"/>
                <w:sz w:val="16"/>
              </w:rPr>
              <w:t>Result</w:t>
            </w:r>
          </w:p>
        </w:tc>
        <w:tc>
          <w:tcPr>
            <w:tcW w:w="1079" w:type="dxa"/>
            <w:tcBorders>
              <w:bottom w:val="single" w:sz="2" w:space="0" w:color="000000"/>
            </w:tcBorders>
            <w:shd w:val="clear" w:color="auto" w:fill="005F83"/>
          </w:tcPr>
          <w:p w14:paraId="1CA8A085" w14:textId="77777777" w:rsidR="00084F36" w:rsidRPr="00697E0C" w:rsidRDefault="00EB2BD8">
            <w:pPr>
              <w:pStyle w:val="TableParagraph"/>
              <w:spacing w:before="118" w:line="292" w:lineRule="auto"/>
              <w:ind w:left="116" w:right="92"/>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35</w:t>
            </w:r>
          </w:p>
        </w:tc>
        <w:tc>
          <w:tcPr>
            <w:tcW w:w="1175" w:type="dxa"/>
            <w:tcBorders>
              <w:bottom w:val="single" w:sz="2" w:space="0" w:color="000000"/>
            </w:tcBorders>
            <w:shd w:val="clear" w:color="auto" w:fill="005F83"/>
          </w:tcPr>
          <w:p w14:paraId="0C22DB1F" w14:textId="77777777" w:rsidR="00084F36" w:rsidRPr="00697E0C" w:rsidRDefault="00EB2BD8">
            <w:pPr>
              <w:pStyle w:val="TableParagraph"/>
              <w:spacing w:before="118"/>
              <w:ind w:left="114"/>
              <w:rPr>
                <w:color w:val="FFFFFF" w:themeColor="background1"/>
                <w:sz w:val="9"/>
              </w:rPr>
            </w:pPr>
            <w:r w:rsidRPr="00697E0C">
              <w:rPr>
                <w:color w:val="FFFFFF" w:themeColor="background1"/>
                <w:spacing w:val="-2"/>
                <w:w w:val="105"/>
                <w:sz w:val="16"/>
              </w:rPr>
              <w:t>Date</w:t>
            </w:r>
            <w:r w:rsidRPr="00697E0C">
              <w:rPr>
                <w:color w:val="FFFFFF" w:themeColor="background1"/>
                <w:spacing w:val="-2"/>
                <w:w w:val="105"/>
                <w:position w:val="5"/>
                <w:sz w:val="9"/>
              </w:rPr>
              <w:t>36</w:t>
            </w:r>
          </w:p>
        </w:tc>
      </w:tr>
      <w:tr w:rsidR="00EB2BD8" w:rsidRPr="00EB2BD8" w14:paraId="02A734A2" w14:textId="77777777">
        <w:trPr>
          <w:trHeight w:val="326"/>
        </w:trPr>
        <w:tc>
          <w:tcPr>
            <w:tcW w:w="1733" w:type="dxa"/>
            <w:tcBorders>
              <w:top w:val="single" w:sz="2" w:space="0" w:color="000000"/>
            </w:tcBorders>
          </w:tcPr>
          <w:p w14:paraId="2C9E634E" w14:textId="77777777" w:rsidR="00084F36" w:rsidRPr="00EB2BD8" w:rsidRDefault="00EB2BD8">
            <w:pPr>
              <w:pStyle w:val="TableParagraph"/>
              <w:spacing w:before="116"/>
              <w:ind w:left="113"/>
              <w:rPr>
                <w:sz w:val="16"/>
              </w:rPr>
            </w:pPr>
            <w:r w:rsidRPr="00EB2BD8">
              <w:rPr>
                <w:spacing w:val="-2"/>
                <w:sz w:val="16"/>
              </w:rPr>
              <w:t>HUYSER,</w:t>
            </w:r>
          </w:p>
        </w:tc>
        <w:tc>
          <w:tcPr>
            <w:tcW w:w="1440" w:type="dxa"/>
            <w:tcBorders>
              <w:top w:val="single" w:sz="2" w:space="0" w:color="000000"/>
            </w:tcBorders>
          </w:tcPr>
          <w:p w14:paraId="53548119" w14:textId="77777777" w:rsidR="00084F36" w:rsidRPr="00EB2BD8" w:rsidRDefault="00EB2BD8">
            <w:pPr>
              <w:pStyle w:val="TableParagraph"/>
              <w:spacing w:before="116"/>
              <w:ind w:left="137"/>
              <w:rPr>
                <w:sz w:val="16"/>
              </w:rPr>
            </w:pPr>
            <w:r w:rsidRPr="00EB2BD8">
              <w:rPr>
                <w:sz w:val="16"/>
              </w:rPr>
              <w:t>DB-U</w:t>
            </w:r>
            <w:r w:rsidRPr="00EB2BD8">
              <w:rPr>
                <w:spacing w:val="22"/>
                <w:sz w:val="16"/>
              </w:rPr>
              <w:t xml:space="preserve"> </w:t>
            </w:r>
            <w:r w:rsidRPr="00EB2BD8">
              <w:rPr>
                <w:spacing w:val="-4"/>
                <w:sz w:val="16"/>
              </w:rPr>
              <w:t>2010</w:t>
            </w:r>
          </w:p>
        </w:tc>
        <w:tc>
          <w:tcPr>
            <w:tcW w:w="2488" w:type="dxa"/>
            <w:tcBorders>
              <w:top w:val="single" w:sz="2" w:space="0" w:color="000000"/>
            </w:tcBorders>
          </w:tcPr>
          <w:p w14:paraId="6BE98D25" w14:textId="77777777" w:rsidR="00084F36" w:rsidRPr="00EB2BD8" w:rsidRDefault="00EB2BD8">
            <w:pPr>
              <w:pStyle w:val="TableParagraph"/>
              <w:spacing w:before="116"/>
              <w:ind w:left="330"/>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provide</w:t>
            </w:r>
          </w:p>
        </w:tc>
        <w:tc>
          <w:tcPr>
            <w:tcW w:w="2284" w:type="dxa"/>
            <w:tcBorders>
              <w:top w:val="single" w:sz="2" w:space="0" w:color="000000"/>
            </w:tcBorders>
          </w:tcPr>
          <w:p w14:paraId="79D8C850" w14:textId="77777777" w:rsidR="00084F36" w:rsidRPr="00EB2BD8" w:rsidRDefault="00EB2BD8">
            <w:pPr>
              <w:pStyle w:val="TableParagraph"/>
              <w:spacing w:before="116"/>
              <w:ind w:left="121"/>
              <w:rPr>
                <w:sz w:val="16"/>
              </w:rPr>
            </w:pPr>
            <w:r w:rsidRPr="00EB2BD8">
              <w:rPr>
                <w:sz w:val="16"/>
              </w:rPr>
              <w:t>Reprimand</w:t>
            </w:r>
            <w:r w:rsidRPr="00EB2BD8">
              <w:rPr>
                <w:spacing w:val="4"/>
                <w:sz w:val="16"/>
              </w:rPr>
              <w:t xml:space="preserve"> </w:t>
            </w:r>
            <w:r w:rsidRPr="00EB2BD8">
              <w:rPr>
                <w:sz w:val="16"/>
              </w:rPr>
              <w:t>and</w:t>
            </w:r>
            <w:r w:rsidRPr="00EB2BD8">
              <w:rPr>
                <w:spacing w:val="4"/>
                <w:sz w:val="16"/>
              </w:rPr>
              <w:t xml:space="preserve"> </w:t>
            </w:r>
            <w:r w:rsidRPr="00EB2BD8">
              <w:rPr>
                <w:spacing w:val="-10"/>
                <w:sz w:val="16"/>
              </w:rPr>
              <w:t>a</w:t>
            </w:r>
          </w:p>
        </w:tc>
        <w:tc>
          <w:tcPr>
            <w:tcW w:w="1079" w:type="dxa"/>
            <w:tcBorders>
              <w:top w:val="single" w:sz="2" w:space="0" w:color="000000"/>
            </w:tcBorders>
          </w:tcPr>
          <w:p w14:paraId="0C899948" w14:textId="77777777" w:rsidR="00084F36" w:rsidRPr="00EB2BD8" w:rsidRDefault="00EB2BD8">
            <w:pPr>
              <w:pStyle w:val="TableParagraph"/>
              <w:spacing w:before="116"/>
              <w:ind w:right="109"/>
              <w:jc w:val="right"/>
              <w:rPr>
                <w:sz w:val="16"/>
              </w:rPr>
            </w:pPr>
            <w:r w:rsidRPr="00EB2BD8">
              <w:rPr>
                <w:w w:val="135"/>
                <w:sz w:val="16"/>
              </w:rPr>
              <w:t>-</w:t>
            </w:r>
          </w:p>
        </w:tc>
        <w:tc>
          <w:tcPr>
            <w:tcW w:w="1175" w:type="dxa"/>
            <w:tcBorders>
              <w:top w:val="single" w:sz="2" w:space="0" w:color="000000"/>
            </w:tcBorders>
          </w:tcPr>
          <w:p w14:paraId="15CA0825" w14:textId="77777777" w:rsidR="00084F36" w:rsidRPr="00EB2BD8" w:rsidRDefault="00EB2BD8">
            <w:pPr>
              <w:pStyle w:val="TableParagraph"/>
              <w:spacing w:before="116"/>
              <w:ind w:left="114"/>
              <w:rPr>
                <w:sz w:val="16"/>
              </w:rPr>
            </w:pPr>
            <w:r w:rsidRPr="00EB2BD8">
              <w:rPr>
                <w:spacing w:val="-2"/>
                <w:w w:val="90"/>
                <w:sz w:val="16"/>
              </w:rPr>
              <w:t>15/07/2022</w:t>
            </w:r>
          </w:p>
        </w:tc>
      </w:tr>
      <w:tr w:rsidR="00EB2BD8" w:rsidRPr="00EB2BD8" w14:paraId="488630C9" w14:textId="77777777">
        <w:trPr>
          <w:trHeight w:val="229"/>
        </w:trPr>
        <w:tc>
          <w:tcPr>
            <w:tcW w:w="1733" w:type="dxa"/>
          </w:tcPr>
          <w:p w14:paraId="639ADF60" w14:textId="77777777" w:rsidR="00084F36" w:rsidRPr="00EB2BD8" w:rsidRDefault="00EB2BD8">
            <w:pPr>
              <w:pStyle w:val="TableParagraph"/>
              <w:spacing w:before="19"/>
              <w:ind w:left="113"/>
              <w:rPr>
                <w:sz w:val="16"/>
              </w:rPr>
            </w:pPr>
            <w:r w:rsidRPr="00EB2BD8">
              <w:rPr>
                <w:spacing w:val="-2"/>
                <w:sz w:val="16"/>
              </w:rPr>
              <w:t>Theodorus</w:t>
            </w:r>
          </w:p>
        </w:tc>
        <w:tc>
          <w:tcPr>
            <w:tcW w:w="1440" w:type="dxa"/>
          </w:tcPr>
          <w:p w14:paraId="47784C61" w14:textId="77777777" w:rsidR="00084F36" w:rsidRPr="00EB2BD8" w:rsidRDefault="00084F36">
            <w:pPr>
              <w:pStyle w:val="TableParagraph"/>
              <w:rPr>
                <w:rFonts w:ascii="Times New Roman"/>
                <w:sz w:val="16"/>
              </w:rPr>
            </w:pPr>
          </w:p>
        </w:tc>
        <w:tc>
          <w:tcPr>
            <w:tcW w:w="2488" w:type="dxa"/>
          </w:tcPr>
          <w:p w14:paraId="6D17024C" w14:textId="77777777" w:rsidR="00084F36" w:rsidRPr="00EB2BD8" w:rsidRDefault="00EB2BD8">
            <w:pPr>
              <w:pStyle w:val="TableParagraph"/>
              <w:spacing w:before="19"/>
              <w:ind w:left="330"/>
              <w:rPr>
                <w:sz w:val="16"/>
              </w:rPr>
            </w:pPr>
            <w:r w:rsidRPr="00EB2BD8">
              <w:rPr>
                <w:spacing w:val="-2"/>
                <w:sz w:val="16"/>
              </w:rPr>
              <w:t>landowner</w:t>
            </w:r>
            <w:r w:rsidRPr="00EB2BD8">
              <w:rPr>
                <w:spacing w:val="-4"/>
                <w:sz w:val="16"/>
              </w:rPr>
              <w:t xml:space="preserve"> </w:t>
            </w:r>
            <w:r w:rsidRPr="00EB2BD8">
              <w:rPr>
                <w:spacing w:val="-2"/>
                <w:sz w:val="16"/>
              </w:rPr>
              <w:t>with</w:t>
            </w:r>
            <w:r w:rsidRPr="00EB2BD8">
              <w:rPr>
                <w:spacing w:val="-4"/>
                <w:sz w:val="16"/>
              </w:rPr>
              <w:t xml:space="preserve"> </w:t>
            </w:r>
            <w:r w:rsidRPr="00EB2BD8">
              <w:rPr>
                <w:spacing w:val="-2"/>
                <w:sz w:val="16"/>
              </w:rPr>
              <w:t>plumbing</w:t>
            </w:r>
          </w:p>
        </w:tc>
        <w:tc>
          <w:tcPr>
            <w:tcW w:w="2284" w:type="dxa"/>
          </w:tcPr>
          <w:p w14:paraId="26C00E61" w14:textId="77777777" w:rsidR="00084F36" w:rsidRPr="00EB2BD8" w:rsidRDefault="00EB2BD8">
            <w:pPr>
              <w:pStyle w:val="TableParagraph"/>
              <w:spacing w:before="19"/>
              <w:ind w:left="121"/>
              <w:rPr>
                <w:sz w:val="16"/>
              </w:rPr>
            </w:pPr>
            <w:r w:rsidRPr="00EB2BD8">
              <w:rPr>
                <w:spacing w:val="-2"/>
                <w:sz w:val="16"/>
              </w:rPr>
              <w:t>requirement</w:t>
            </w:r>
            <w:r w:rsidRPr="00EB2BD8">
              <w:rPr>
                <w:spacing w:val="-3"/>
                <w:sz w:val="16"/>
              </w:rPr>
              <w:t xml:space="preserve"> </w:t>
            </w:r>
            <w:r w:rsidRPr="00EB2BD8">
              <w:rPr>
                <w:spacing w:val="-2"/>
                <w:sz w:val="16"/>
              </w:rPr>
              <w:t>to complete</w:t>
            </w:r>
            <w:r w:rsidRPr="00EB2BD8">
              <w:rPr>
                <w:spacing w:val="-3"/>
                <w:sz w:val="16"/>
              </w:rPr>
              <w:t xml:space="preserve"> </w:t>
            </w:r>
            <w:r w:rsidRPr="00EB2BD8">
              <w:rPr>
                <w:spacing w:val="-10"/>
                <w:sz w:val="16"/>
              </w:rPr>
              <w:t>a</w:t>
            </w:r>
          </w:p>
        </w:tc>
        <w:tc>
          <w:tcPr>
            <w:tcW w:w="1079" w:type="dxa"/>
          </w:tcPr>
          <w:p w14:paraId="30F460F4" w14:textId="77777777" w:rsidR="00084F36" w:rsidRPr="00EB2BD8" w:rsidRDefault="00084F36">
            <w:pPr>
              <w:pStyle w:val="TableParagraph"/>
              <w:rPr>
                <w:rFonts w:ascii="Times New Roman"/>
                <w:sz w:val="16"/>
              </w:rPr>
            </w:pPr>
          </w:p>
        </w:tc>
        <w:tc>
          <w:tcPr>
            <w:tcW w:w="1175" w:type="dxa"/>
          </w:tcPr>
          <w:p w14:paraId="2A382F95" w14:textId="77777777" w:rsidR="00084F36" w:rsidRPr="00EB2BD8" w:rsidRDefault="00084F36">
            <w:pPr>
              <w:pStyle w:val="TableParagraph"/>
              <w:rPr>
                <w:rFonts w:ascii="Times New Roman"/>
                <w:sz w:val="16"/>
              </w:rPr>
            </w:pPr>
          </w:p>
        </w:tc>
      </w:tr>
      <w:tr w:rsidR="00EB2BD8" w:rsidRPr="00EB2BD8" w14:paraId="19C6225D" w14:textId="77777777">
        <w:trPr>
          <w:trHeight w:val="230"/>
        </w:trPr>
        <w:tc>
          <w:tcPr>
            <w:tcW w:w="1733" w:type="dxa"/>
          </w:tcPr>
          <w:p w14:paraId="5F0A57B3" w14:textId="77777777" w:rsidR="00084F36" w:rsidRPr="00EB2BD8" w:rsidRDefault="00084F36">
            <w:pPr>
              <w:pStyle w:val="TableParagraph"/>
              <w:rPr>
                <w:rFonts w:ascii="Times New Roman"/>
                <w:sz w:val="16"/>
              </w:rPr>
            </w:pPr>
          </w:p>
        </w:tc>
        <w:tc>
          <w:tcPr>
            <w:tcW w:w="1440" w:type="dxa"/>
          </w:tcPr>
          <w:p w14:paraId="2AD34F36" w14:textId="77777777" w:rsidR="00084F36" w:rsidRPr="00EB2BD8" w:rsidRDefault="00084F36">
            <w:pPr>
              <w:pStyle w:val="TableParagraph"/>
              <w:rPr>
                <w:rFonts w:ascii="Times New Roman"/>
                <w:sz w:val="16"/>
              </w:rPr>
            </w:pPr>
          </w:p>
        </w:tc>
        <w:tc>
          <w:tcPr>
            <w:tcW w:w="2488" w:type="dxa"/>
          </w:tcPr>
          <w:p w14:paraId="079294A6" w14:textId="77777777" w:rsidR="00084F36" w:rsidRPr="00EB2BD8" w:rsidRDefault="00EB2BD8">
            <w:pPr>
              <w:pStyle w:val="TableParagraph"/>
              <w:spacing w:before="19"/>
              <w:ind w:left="330"/>
              <w:rPr>
                <w:sz w:val="16"/>
              </w:rPr>
            </w:pPr>
            <w:r w:rsidRPr="00EB2BD8">
              <w:rPr>
                <w:sz w:val="16"/>
              </w:rPr>
              <w:t>compliance</w:t>
            </w:r>
            <w:r w:rsidRPr="00EB2BD8">
              <w:rPr>
                <w:spacing w:val="5"/>
                <w:sz w:val="16"/>
              </w:rPr>
              <w:t xml:space="preserve"> </w:t>
            </w:r>
            <w:r w:rsidRPr="00EB2BD8">
              <w:rPr>
                <w:spacing w:val="-2"/>
                <w:sz w:val="16"/>
              </w:rPr>
              <w:t>certificates</w:t>
            </w:r>
          </w:p>
        </w:tc>
        <w:tc>
          <w:tcPr>
            <w:tcW w:w="2284" w:type="dxa"/>
          </w:tcPr>
          <w:p w14:paraId="1D5D6977" w14:textId="77777777" w:rsidR="00084F36" w:rsidRPr="00EB2BD8" w:rsidRDefault="00EB2BD8">
            <w:pPr>
              <w:pStyle w:val="TableParagraph"/>
              <w:spacing w:before="19"/>
              <w:ind w:left="121"/>
              <w:rPr>
                <w:sz w:val="16"/>
              </w:rPr>
            </w:pPr>
            <w:r w:rsidRPr="00EB2BD8">
              <w:rPr>
                <w:spacing w:val="-2"/>
                <w:sz w:val="16"/>
              </w:rPr>
              <w:t>course</w:t>
            </w:r>
            <w:r w:rsidRPr="00EB2BD8">
              <w:rPr>
                <w:spacing w:val="-6"/>
                <w:sz w:val="16"/>
              </w:rPr>
              <w:t xml:space="preserve"> </w:t>
            </w:r>
            <w:r w:rsidRPr="00EB2BD8">
              <w:rPr>
                <w:spacing w:val="-2"/>
                <w:sz w:val="16"/>
              </w:rPr>
              <w:t>of</w:t>
            </w:r>
            <w:r w:rsidRPr="00EB2BD8">
              <w:rPr>
                <w:spacing w:val="-5"/>
                <w:sz w:val="16"/>
              </w:rPr>
              <w:t xml:space="preserve"> </w:t>
            </w:r>
            <w:r w:rsidRPr="00EB2BD8">
              <w:rPr>
                <w:spacing w:val="-2"/>
                <w:sz w:val="16"/>
              </w:rPr>
              <w:t>training.</w:t>
            </w:r>
          </w:p>
        </w:tc>
        <w:tc>
          <w:tcPr>
            <w:tcW w:w="1079" w:type="dxa"/>
          </w:tcPr>
          <w:p w14:paraId="23A3C6CF" w14:textId="77777777" w:rsidR="00084F36" w:rsidRPr="00EB2BD8" w:rsidRDefault="00084F36">
            <w:pPr>
              <w:pStyle w:val="TableParagraph"/>
              <w:rPr>
                <w:rFonts w:ascii="Times New Roman"/>
                <w:sz w:val="16"/>
              </w:rPr>
            </w:pPr>
          </w:p>
        </w:tc>
        <w:tc>
          <w:tcPr>
            <w:tcW w:w="1175" w:type="dxa"/>
          </w:tcPr>
          <w:p w14:paraId="5D0EBF1A" w14:textId="77777777" w:rsidR="00084F36" w:rsidRPr="00EB2BD8" w:rsidRDefault="00084F36">
            <w:pPr>
              <w:pStyle w:val="TableParagraph"/>
              <w:rPr>
                <w:rFonts w:ascii="Times New Roman"/>
                <w:sz w:val="16"/>
              </w:rPr>
            </w:pPr>
          </w:p>
        </w:tc>
      </w:tr>
      <w:tr w:rsidR="00EB2BD8" w:rsidRPr="00EB2BD8" w14:paraId="3C553151" w14:textId="77777777">
        <w:trPr>
          <w:trHeight w:val="375"/>
        </w:trPr>
        <w:tc>
          <w:tcPr>
            <w:tcW w:w="1733" w:type="dxa"/>
            <w:tcBorders>
              <w:bottom w:val="single" w:sz="2" w:space="0" w:color="000000"/>
            </w:tcBorders>
          </w:tcPr>
          <w:p w14:paraId="6120FC0F" w14:textId="77777777" w:rsidR="00084F36" w:rsidRPr="00EB2BD8" w:rsidRDefault="00084F36">
            <w:pPr>
              <w:pStyle w:val="TableParagraph"/>
              <w:rPr>
                <w:rFonts w:ascii="Times New Roman"/>
                <w:sz w:val="16"/>
              </w:rPr>
            </w:pPr>
          </w:p>
        </w:tc>
        <w:tc>
          <w:tcPr>
            <w:tcW w:w="1440" w:type="dxa"/>
            <w:tcBorders>
              <w:bottom w:val="single" w:sz="2" w:space="0" w:color="000000"/>
            </w:tcBorders>
          </w:tcPr>
          <w:p w14:paraId="4972C715" w14:textId="77777777" w:rsidR="00084F36" w:rsidRPr="00EB2BD8" w:rsidRDefault="00084F36">
            <w:pPr>
              <w:pStyle w:val="TableParagraph"/>
              <w:rPr>
                <w:rFonts w:ascii="Times New Roman"/>
                <w:sz w:val="16"/>
              </w:rPr>
            </w:pPr>
          </w:p>
        </w:tc>
        <w:tc>
          <w:tcPr>
            <w:tcW w:w="2488" w:type="dxa"/>
            <w:tcBorders>
              <w:bottom w:val="single" w:sz="2" w:space="0" w:color="000000"/>
            </w:tcBorders>
          </w:tcPr>
          <w:p w14:paraId="534C3F3A" w14:textId="77777777" w:rsidR="00084F36" w:rsidRPr="00EB2BD8" w:rsidRDefault="00EB2BD8">
            <w:pPr>
              <w:pStyle w:val="TableParagraph"/>
              <w:spacing w:before="19"/>
              <w:ind w:left="330"/>
              <w:rPr>
                <w:sz w:val="16"/>
              </w:rPr>
            </w:pPr>
            <w:r w:rsidRPr="00EB2BD8">
              <w:rPr>
                <w:spacing w:val="-2"/>
                <w:sz w:val="16"/>
              </w:rPr>
              <w:t>within</w:t>
            </w:r>
            <w:r w:rsidRPr="00EB2BD8">
              <w:rPr>
                <w:spacing w:val="-12"/>
                <w:sz w:val="16"/>
              </w:rPr>
              <w:t xml:space="preserve"> </w:t>
            </w:r>
            <w:r w:rsidRPr="00EB2BD8">
              <w:rPr>
                <w:spacing w:val="-2"/>
                <w:sz w:val="16"/>
              </w:rPr>
              <w:t>five</w:t>
            </w:r>
            <w:r w:rsidRPr="00EB2BD8">
              <w:rPr>
                <w:spacing w:val="-12"/>
                <w:sz w:val="16"/>
              </w:rPr>
              <w:t xml:space="preserve"> </w:t>
            </w:r>
            <w:r w:rsidRPr="00EB2BD8">
              <w:rPr>
                <w:spacing w:val="-2"/>
                <w:sz w:val="16"/>
              </w:rPr>
              <w:t>days.</w:t>
            </w:r>
          </w:p>
        </w:tc>
        <w:tc>
          <w:tcPr>
            <w:tcW w:w="2284" w:type="dxa"/>
            <w:tcBorders>
              <w:bottom w:val="single" w:sz="2" w:space="0" w:color="000000"/>
            </w:tcBorders>
          </w:tcPr>
          <w:p w14:paraId="2F2282AA"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59FB917E"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23097188" w14:textId="77777777" w:rsidR="00084F36" w:rsidRPr="00EB2BD8" w:rsidRDefault="00084F36">
            <w:pPr>
              <w:pStyle w:val="TableParagraph"/>
              <w:rPr>
                <w:rFonts w:ascii="Times New Roman"/>
                <w:sz w:val="16"/>
              </w:rPr>
            </w:pPr>
          </w:p>
        </w:tc>
      </w:tr>
      <w:tr w:rsidR="00EB2BD8" w:rsidRPr="00EB2BD8" w14:paraId="22967983" w14:textId="77777777">
        <w:trPr>
          <w:trHeight w:val="326"/>
        </w:trPr>
        <w:tc>
          <w:tcPr>
            <w:tcW w:w="1733" w:type="dxa"/>
            <w:tcBorders>
              <w:top w:val="single" w:sz="2" w:space="0" w:color="000000"/>
            </w:tcBorders>
          </w:tcPr>
          <w:p w14:paraId="2B51D222" w14:textId="77777777" w:rsidR="00084F36" w:rsidRPr="00EB2BD8" w:rsidRDefault="00EB2BD8">
            <w:pPr>
              <w:pStyle w:val="TableParagraph"/>
              <w:spacing w:before="116"/>
              <w:ind w:left="113"/>
              <w:rPr>
                <w:sz w:val="16"/>
              </w:rPr>
            </w:pPr>
            <w:r w:rsidRPr="00EB2BD8">
              <w:rPr>
                <w:spacing w:val="-7"/>
                <w:sz w:val="16"/>
              </w:rPr>
              <w:t>IOVINO,</w:t>
            </w:r>
            <w:r w:rsidRPr="00EB2BD8">
              <w:rPr>
                <w:spacing w:val="-1"/>
                <w:sz w:val="16"/>
              </w:rPr>
              <w:t xml:space="preserve"> </w:t>
            </w:r>
            <w:r w:rsidRPr="00EB2BD8">
              <w:rPr>
                <w:spacing w:val="-2"/>
                <w:sz w:val="16"/>
              </w:rPr>
              <w:t>Stefano</w:t>
            </w:r>
          </w:p>
        </w:tc>
        <w:tc>
          <w:tcPr>
            <w:tcW w:w="1440" w:type="dxa"/>
            <w:tcBorders>
              <w:top w:val="single" w:sz="2" w:space="0" w:color="000000"/>
            </w:tcBorders>
          </w:tcPr>
          <w:p w14:paraId="7CF736CB" w14:textId="77777777" w:rsidR="00084F36" w:rsidRPr="00EB2BD8" w:rsidRDefault="00EB2BD8">
            <w:pPr>
              <w:pStyle w:val="TableParagraph"/>
              <w:spacing w:before="116"/>
              <w:ind w:left="137"/>
              <w:rPr>
                <w:sz w:val="16"/>
              </w:rPr>
            </w:pPr>
            <w:r w:rsidRPr="00EB2BD8">
              <w:rPr>
                <w:w w:val="105"/>
                <w:sz w:val="16"/>
              </w:rPr>
              <w:t>DB-U</w:t>
            </w:r>
            <w:r w:rsidRPr="00EB2BD8">
              <w:rPr>
                <w:spacing w:val="1"/>
                <w:w w:val="105"/>
                <w:sz w:val="16"/>
              </w:rPr>
              <w:t xml:space="preserve"> </w:t>
            </w:r>
            <w:r w:rsidRPr="00EB2BD8">
              <w:rPr>
                <w:spacing w:val="-2"/>
                <w:w w:val="105"/>
                <w:sz w:val="16"/>
              </w:rPr>
              <w:t>43960;</w:t>
            </w:r>
          </w:p>
        </w:tc>
        <w:tc>
          <w:tcPr>
            <w:tcW w:w="2488" w:type="dxa"/>
            <w:tcBorders>
              <w:top w:val="single" w:sz="2" w:space="0" w:color="000000"/>
            </w:tcBorders>
          </w:tcPr>
          <w:p w14:paraId="32FDFEC9" w14:textId="77777777" w:rsidR="00084F36" w:rsidRPr="00EB2BD8" w:rsidRDefault="00EB2BD8">
            <w:pPr>
              <w:pStyle w:val="TableParagraph"/>
              <w:spacing w:before="116"/>
              <w:ind w:left="330"/>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84" w:type="dxa"/>
            <w:tcBorders>
              <w:top w:val="single" w:sz="2" w:space="0" w:color="000000"/>
            </w:tcBorders>
          </w:tcPr>
          <w:p w14:paraId="5524345E" w14:textId="77777777" w:rsidR="00084F36" w:rsidRPr="00EB2BD8" w:rsidRDefault="00EB2BD8">
            <w:pPr>
              <w:pStyle w:val="TableParagraph"/>
              <w:spacing w:before="115"/>
              <w:ind w:left="121"/>
              <w:rPr>
                <w:sz w:val="16"/>
              </w:rPr>
            </w:pPr>
            <w:r w:rsidRPr="00EB2BD8">
              <w:rPr>
                <w:sz w:val="16"/>
              </w:rPr>
              <w:t>Cancellation</w:t>
            </w:r>
            <w:r w:rsidRPr="00EB2BD8">
              <w:rPr>
                <w:spacing w:val="5"/>
                <w:sz w:val="16"/>
              </w:rPr>
              <w:t xml:space="preserve"> </w:t>
            </w:r>
            <w:r w:rsidRPr="00EB2BD8">
              <w:rPr>
                <w:spacing w:val="-5"/>
                <w:sz w:val="16"/>
              </w:rPr>
              <w:t>of</w:t>
            </w:r>
          </w:p>
        </w:tc>
        <w:tc>
          <w:tcPr>
            <w:tcW w:w="1079" w:type="dxa"/>
            <w:tcBorders>
              <w:top w:val="single" w:sz="2" w:space="0" w:color="000000"/>
            </w:tcBorders>
          </w:tcPr>
          <w:p w14:paraId="68F9E1B2" w14:textId="77777777" w:rsidR="00084F36" w:rsidRPr="00EB2BD8" w:rsidRDefault="00EB2BD8">
            <w:pPr>
              <w:pStyle w:val="TableParagraph"/>
              <w:spacing w:before="115"/>
              <w:ind w:right="109"/>
              <w:jc w:val="right"/>
              <w:rPr>
                <w:sz w:val="16"/>
              </w:rPr>
            </w:pPr>
            <w:r w:rsidRPr="00EB2BD8">
              <w:rPr>
                <w:w w:val="135"/>
                <w:sz w:val="16"/>
              </w:rPr>
              <w:t>-</w:t>
            </w:r>
          </w:p>
        </w:tc>
        <w:tc>
          <w:tcPr>
            <w:tcW w:w="1175" w:type="dxa"/>
            <w:tcBorders>
              <w:top w:val="single" w:sz="2" w:space="0" w:color="000000"/>
            </w:tcBorders>
          </w:tcPr>
          <w:p w14:paraId="55546AEA" w14:textId="77777777" w:rsidR="00084F36" w:rsidRPr="00EB2BD8" w:rsidRDefault="00EB2BD8">
            <w:pPr>
              <w:pStyle w:val="TableParagraph"/>
              <w:spacing w:before="115"/>
              <w:ind w:left="114"/>
              <w:rPr>
                <w:sz w:val="16"/>
              </w:rPr>
            </w:pPr>
            <w:r w:rsidRPr="00EB2BD8">
              <w:rPr>
                <w:spacing w:val="-2"/>
                <w:sz w:val="16"/>
              </w:rPr>
              <w:t>24/03/2023</w:t>
            </w:r>
          </w:p>
        </w:tc>
      </w:tr>
      <w:tr w:rsidR="00EB2BD8" w:rsidRPr="00EB2BD8" w14:paraId="4B3B6876" w14:textId="77777777">
        <w:trPr>
          <w:trHeight w:val="230"/>
        </w:trPr>
        <w:tc>
          <w:tcPr>
            <w:tcW w:w="1733" w:type="dxa"/>
          </w:tcPr>
          <w:p w14:paraId="01C05CA7" w14:textId="77777777" w:rsidR="00084F36" w:rsidRPr="00EB2BD8" w:rsidRDefault="00084F36">
            <w:pPr>
              <w:pStyle w:val="TableParagraph"/>
              <w:rPr>
                <w:rFonts w:ascii="Times New Roman"/>
                <w:sz w:val="16"/>
              </w:rPr>
            </w:pPr>
          </w:p>
        </w:tc>
        <w:tc>
          <w:tcPr>
            <w:tcW w:w="1440" w:type="dxa"/>
          </w:tcPr>
          <w:p w14:paraId="4BAF1FC6" w14:textId="77777777" w:rsidR="00084F36" w:rsidRPr="00EB2BD8" w:rsidRDefault="00EB2BD8">
            <w:pPr>
              <w:pStyle w:val="TableParagraph"/>
              <w:spacing w:before="19"/>
              <w:ind w:left="137"/>
              <w:rPr>
                <w:sz w:val="16"/>
              </w:rPr>
            </w:pPr>
            <w:r w:rsidRPr="00EB2BD8">
              <w:rPr>
                <w:spacing w:val="2"/>
                <w:sz w:val="16"/>
              </w:rPr>
              <w:t>CB-L</w:t>
            </w:r>
            <w:r w:rsidRPr="00EB2BD8">
              <w:rPr>
                <w:spacing w:val="24"/>
                <w:sz w:val="16"/>
              </w:rPr>
              <w:t xml:space="preserve"> </w:t>
            </w:r>
            <w:r w:rsidRPr="00EB2BD8">
              <w:rPr>
                <w:spacing w:val="-4"/>
                <w:sz w:val="16"/>
              </w:rPr>
              <w:t>44151</w:t>
            </w:r>
          </w:p>
        </w:tc>
        <w:tc>
          <w:tcPr>
            <w:tcW w:w="2488" w:type="dxa"/>
          </w:tcPr>
          <w:p w14:paraId="1862D61C" w14:textId="77777777" w:rsidR="00084F36" w:rsidRPr="00EB2BD8" w:rsidRDefault="00EB2BD8">
            <w:pPr>
              <w:pStyle w:val="TableParagraph"/>
              <w:spacing w:before="19"/>
              <w:ind w:left="330"/>
              <w:rPr>
                <w:sz w:val="16"/>
              </w:rPr>
            </w:pPr>
            <w:r w:rsidRPr="00EB2BD8">
              <w:rPr>
                <w:sz w:val="16"/>
              </w:rPr>
              <w:t xml:space="preserve">company under </w:t>
            </w:r>
            <w:r w:rsidRPr="00EB2BD8">
              <w:rPr>
                <w:spacing w:val="-2"/>
                <w:sz w:val="16"/>
              </w:rPr>
              <w:t>external</w:t>
            </w:r>
          </w:p>
        </w:tc>
        <w:tc>
          <w:tcPr>
            <w:tcW w:w="2284" w:type="dxa"/>
          </w:tcPr>
          <w:p w14:paraId="22BCBF39" w14:textId="77777777" w:rsidR="00084F36" w:rsidRPr="00EB2BD8" w:rsidRDefault="00EB2BD8">
            <w:pPr>
              <w:pStyle w:val="TableParagraph"/>
              <w:spacing w:before="19"/>
              <w:ind w:left="121"/>
              <w:rPr>
                <w:sz w:val="16"/>
              </w:rPr>
            </w:pPr>
            <w:r w:rsidRPr="00EB2BD8">
              <w:rPr>
                <w:spacing w:val="-2"/>
                <w:sz w:val="16"/>
              </w:rPr>
              <w:t>registration.</w:t>
            </w:r>
          </w:p>
        </w:tc>
        <w:tc>
          <w:tcPr>
            <w:tcW w:w="1079" w:type="dxa"/>
          </w:tcPr>
          <w:p w14:paraId="3E00B963" w14:textId="77777777" w:rsidR="00084F36" w:rsidRPr="00EB2BD8" w:rsidRDefault="00084F36">
            <w:pPr>
              <w:pStyle w:val="TableParagraph"/>
              <w:rPr>
                <w:rFonts w:ascii="Times New Roman"/>
                <w:sz w:val="16"/>
              </w:rPr>
            </w:pPr>
          </w:p>
        </w:tc>
        <w:tc>
          <w:tcPr>
            <w:tcW w:w="1175" w:type="dxa"/>
          </w:tcPr>
          <w:p w14:paraId="3CD4CFF9" w14:textId="77777777" w:rsidR="00084F36" w:rsidRPr="00EB2BD8" w:rsidRDefault="00084F36">
            <w:pPr>
              <w:pStyle w:val="TableParagraph"/>
              <w:rPr>
                <w:rFonts w:ascii="Times New Roman"/>
                <w:sz w:val="16"/>
              </w:rPr>
            </w:pPr>
          </w:p>
        </w:tc>
      </w:tr>
      <w:tr w:rsidR="00EB2BD8" w:rsidRPr="00EB2BD8" w14:paraId="1829EAB2" w14:textId="77777777">
        <w:trPr>
          <w:trHeight w:val="374"/>
        </w:trPr>
        <w:tc>
          <w:tcPr>
            <w:tcW w:w="1733" w:type="dxa"/>
            <w:tcBorders>
              <w:bottom w:val="single" w:sz="2" w:space="0" w:color="000000"/>
            </w:tcBorders>
          </w:tcPr>
          <w:p w14:paraId="41234B03" w14:textId="77777777" w:rsidR="00084F36" w:rsidRPr="00EB2BD8" w:rsidRDefault="00084F36">
            <w:pPr>
              <w:pStyle w:val="TableParagraph"/>
              <w:rPr>
                <w:rFonts w:ascii="Times New Roman"/>
                <w:sz w:val="16"/>
              </w:rPr>
            </w:pPr>
          </w:p>
        </w:tc>
        <w:tc>
          <w:tcPr>
            <w:tcW w:w="1440" w:type="dxa"/>
            <w:tcBorders>
              <w:bottom w:val="single" w:sz="2" w:space="0" w:color="000000"/>
            </w:tcBorders>
          </w:tcPr>
          <w:p w14:paraId="02018B42" w14:textId="77777777" w:rsidR="00084F36" w:rsidRPr="00EB2BD8" w:rsidRDefault="00084F36">
            <w:pPr>
              <w:pStyle w:val="TableParagraph"/>
              <w:rPr>
                <w:rFonts w:ascii="Times New Roman"/>
                <w:sz w:val="16"/>
              </w:rPr>
            </w:pPr>
          </w:p>
        </w:tc>
        <w:tc>
          <w:tcPr>
            <w:tcW w:w="2488" w:type="dxa"/>
            <w:tcBorders>
              <w:bottom w:val="single" w:sz="2" w:space="0" w:color="000000"/>
            </w:tcBorders>
          </w:tcPr>
          <w:p w14:paraId="10481C4D" w14:textId="77777777" w:rsidR="00084F36" w:rsidRPr="00EB2BD8" w:rsidRDefault="00EB2BD8">
            <w:pPr>
              <w:pStyle w:val="TableParagraph"/>
              <w:spacing w:before="19"/>
              <w:ind w:left="330"/>
              <w:rPr>
                <w:sz w:val="16"/>
              </w:rPr>
            </w:pPr>
            <w:r w:rsidRPr="00EB2BD8">
              <w:rPr>
                <w:spacing w:val="-2"/>
                <w:sz w:val="16"/>
              </w:rPr>
              <w:t>administration.</w:t>
            </w:r>
          </w:p>
        </w:tc>
        <w:tc>
          <w:tcPr>
            <w:tcW w:w="2284" w:type="dxa"/>
            <w:tcBorders>
              <w:bottom w:val="single" w:sz="2" w:space="0" w:color="000000"/>
            </w:tcBorders>
          </w:tcPr>
          <w:p w14:paraId="397267BA"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75022C6C"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6F6F33FA" w14:textId="77777777" w:rsidR="00084F36" w:rsidRPr="00EB2BD8" w:rsidRDefault="00084F36">
            <w:pPr>
              <w:pStyle w:val="TableParagraph"/>
              <w:rPr>
                <w:rFonts w:ascii="Times New Roman"/>
                <w:sz w:val="16"/>
              </w:rPr>
            </w:pPr>
          </w:p>
        </w:tc>
      </w:tr>
      <w:tr w:rsidR="00EB2BD8" w:rsidRPr="00EB2BD8" w14:paraId="190E57E5" w14:textId="77777777">
        <w:trPr>
          <w:trHeight w:val="325"/>
        </w:trPr>
        <w:tc>
          <w:tcPr>
            <w:tcW w:w="1733" w:type="dxa"/>
            <w:tcBorders>
              <w:top w:val="single" w:sz="2" w:space="0" w:color="000000"/>
            </w:tcBorders>
          </w:tcPr>
          <w:p w14:paraId="1B1D5F4C" w14:textId="77777777" w:rsidR="00084F36" w:rsidRPr="00EB2BD8" w:rsidRDefault="00EB2BD8">
            <w:pPr>
              <w:pStyle w:val="TableParagraph"/>
              <w:spacing w:before="115"/>
              <w:ind w:left="113"/>
              <w:rPr>
                <w:sz w:val="16"/>
              </w:rPr>
            </w:pPr>
            <w:r w:rsidRPr="00EB2BD8">
              <w:rPr>
                <w:spacing w:val="-5"/>
                <w:sz w:val="16"/>
              </w:rPr>
              <w:t>KHADOUR,</w:t>
            </w:r>
            <w:r w:rsidRPr="00EB2BD8">
              <w:rPr>
                <w:spacing w:val="2"/>
                <w:sz w:val="16"/>
              </w:rPr>
              <w:t xml:space="preserve"> </w:t>
            </w:r>
            <w:r w:rsidRPr="00EB2BD8">
              <w:rPr>
                <w:spacing w:val="-2"/>
                <w:sz w:val="16"/>
              </w:rPr>
              <w:t>Ibrahim</w:t>
            </w:r>
          </w:p>
        </w:tc>
        <w:tc>
          <w:tcPr>
            <w:tcW w:w="1440" w:type="dxa"/>
            <w:tcBorders>
              <w:top w:val="single" w:sz="2" w:space="0" w:color="000000"/>
            </w:tcBorders>
          </w:tcPr>
          <w:p w14:paraId="50DD95AA" w14:textId="77777777" w:rsidR="00084F36" w:rsidRPr="00EB2BD8" w:rsidRDefault="00EB2BD8">
            <w:pPr>
              <w:pStyle w:val="TableParagraph"/>
              <w:spacing w:before="115"/>
              <w:ind w:left="137"/>
              <w:rPr>
                <w:sz w:val="16"/>
              </w:rPr>
            </w:pPr>
            <w:r w:rsidRPr="00EB2BD8">
              <w:rPr>
                <w:sz w:val="16"/>
              </w:rPr>
              <w:t>DB-U</w:t>
            </w:r>
            <w:r w:rsidRPr="00EB2BD8">
              <w:rPr>
                <w:spacing w:val="22"/>
                <w:sz w:val="16"/>
              </w:rPr>
              <w:t xml:space="preserve"> </w:t>
            </w:r>
            <w:r w:rsidRPr="00EB2BD8">
              <w:rPr>
                <w:spacing w:val="-2"/>
                <w:sz w:val="16"/>
              </w:rPr>
              <w:t>29658;</w:t>
            </w:r>
          </w:p>
        </w:tc>
        <w:tc>
          <w:tcPr>
            <w:tcW w:w="2488" w:type="dxa"/>
            <w:tcBorders>
              <w:top w:val="single" w:sz="2" w:space="0" w:color="000000"/>
            </w:tcBorders>
          </w:tcPr>
          <w:p w14:paraId="5FC3774B" w14:textId="77777777" w:rsidR="00084F36" w:rsidRPr="00EB2BD8" w:rsidRDefault="00EB2BD8">
            <w:pPr>
              <w:pStyle w:val="TableParagraph"/>
              <w:spacing w:before="115"/>
              <w:ind w:left="330"/>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284" w:type="dxa"/>
            <w:tcBorders>
              <w:top w:val="single" w:sz="2" w:space="0" w:color="000000"/>
            </w:tcBorders>
          </w:tcPr>
          <w:p w14:paraId="68C45E99" w14:textId="77777777" w:rsidR="00084F36" w:rsidRPr="00EB2BD8" w:rsidRDefault="00EB2BD8">
            <w:pPr>
              <w:pStyle w:val="TableParagraph"/>
              <w:spacing w:before="115"/>
              <w:ind w:left="121"/>
              <w:rPr>
                <w:sz w:val="16"/>
              </w:rPr>
            </w:pPr>
            <w:r w:rsidRPr="00EB2BD8">
              <w:rPr>
                <w:sz w:val="16"/>
              </w:rPr>
              <w:t>Reprimand</w:t>
            </w:r>
            <w:r w:rsidRPr="00EB2BD8">
              <w:rPr>
                <w:spacing w:val="3"/>
                <w:sz w:val="16"/>
              </w:rPr>
              <w:t xml:space="preserve"> </w:t>
            </w:r>
            <w:r w:rsidRPr="00EB2BD8">
              <w:rPr>
                <w:sz w:val="16"/>
              </w:rPr>
              <w:t>and</w:t>
            </w:r>
            <w:r w:rsidRPr="00EB2BD8">
              <w:rPr>
                <w:spacing w:val="4"/>
                <w:sz w:val="16"/>
              </w:rPr>
              <w:t xml:space="preserve"> </w:t>
            </w:r>
            <w:r w:rsidRPr="00EB2BD8">
              <w:rPr>
                <w:sz w:val="16"/>
              </w:rPr>
              <w:t>a</w:t>
            </w:r>
            <w:r w:rsidRPr="00EB2BD8">
              <w:rPr>
                <w:spacing w:val="3"/>
                <w:sz w:val="16"/>
              </w:rPr>
              <w:t xml:space="preserve"> </w:t>
            </w:r>
            <w:r w:rsidRPr="00EB2BD8">
              <w:rPr>
                <w:spacing w:val="-2"/>
                <w:sz w:val="16"/>
              </w:rPr>
              <w:t>penalty</w:t>
            </w:r>
          </w:p>
        </w:tc>
        <w:tc>
          <w:tcPr>
            <w:tcW w:w="1079" w:type="dxa"/>
            <w:tcBorders>
              <w:top w:val="single" w:sz="2" w:space="0" w:color="000000"/>
            </w:tcBorders>
          </w:tcPr>
          <w:p w14:paraId="506DF211" w14:textId="77777777" w:rsidR="00084F36" w:rsidRPr="00EB2BD8" w:rsidRDefault="00EB2BD8">
            <w:pPr>
              <w:pStyle w:val="TableParagraph"/>
              <w:spacing w:before="115"/>
              <w:ind w:right="110"/>
              <w:jc w:val="right"/>
              <w:rPr>
                <w:sz w:val="16"/>
              </w:rPr>
            </w:pPr>
            <w:r w:rsidRPr="00EB2BD8">
              <w:rPr>
                <w:spacing w:val="-2"/>
                <w:sz w:val="16"/>
              </w:rPr>
              <w:t>$1,000</w:t>
            </w:r>
          </w:p>
        </w:tc>
        <w:tc>
          <w:tcPr>
            <w:tcW w:w="1175" w:type="dxa"/>
            <w:tcBorders>
              <w:top w:val="single" w:sz="2" w:space="0" w:color="000000"/>
            </w:tcBorders>
          </w:tcPr>
          <w:p w14:paraId="24EC51E4" w14:textId="77777777" w:rsidR="00084F36" w:rsidRPr="00EB2BD8" w:rsidRDefault="00EB2BD8">
            <w:pPr>
              <w:pStyle w:val="TableParagraph"/>
              <w:spacing w:before="115"/>
              <w:ind w:left="114"/>
              <w:rPr>
                <w:sz w:val="16"/>
              </w:rPr>
            </w:pPr>
            <w:r w:rsidRPr="00EB2BD8">
              <w:rPr>
                <w:spacing w:val="-2"/>
                <w:w w:val="90"/>
                <w:sz w:val="16"/>
              </w:rPr>
              <w:t>13/10/2022</w:t>
            </w:r>
          </w:p>
        </w:tc>
      </w:tr>
      <w:tr w:rsidR="00EB2BD8" w:rsidRPr="00EB2BD8" w14:paraId="38A2E7E3" w14:textId="77777777">
        <w:trPr>
          <w:trHeight w:val="230"/>
        </w:trPr>
        <w:tc>
          <w:tcPr>
            <w:tcW w:w="1733" w:type="dxa"/>
          </w:tcPr>
          <w:p w14:paraId="564EAB48" w14:textId="77777777" w:rsidR="00084F36" w:rsidRPr="00EB2BD8" w:rsidRDefault="00084F36">
            <w:pPr>
              <w:pStyle w:val="TableParagraph"/>
              <w:rPr>
                <w:rFonts w:ascii="Times New Roman"/>
                <w:sz w:val="16"/>
              </w:rPr>
            </w:pPr>
          </w:p>
        </w:tc>
        <w:tc>
          <w:tcPr>
            <w:tcW w:w="1440" w:type="dxa"/>
          </w:tcPr>
          <w:p w14:paraId="230DC0C0" w14:textId="77777777" w:rsidR="00084F36" w:rsidRPr="00EB2BD8" w:rsidRDefault="00EB2BD8">
            <w:pPr>
              <w:pStyle w:val="TableParagraph"/>
              <w:spacing w:before="19"/>
              <w:ind w:left="137"/>
              <w:rPr>
                <w:sz w:val="16"/>
              </w:rPr>
            </w:pPr>
            <w:r w:rsidRPr="00EB2BD8">
              <w:rPr>
                <w:spacing w:val="2"/>
                <w:sz w:val="16"/>
              </w:rPr>
              <w:t>CB-L</w:t>
            </w:r>
            <w:r w:rsidRPr="00EB2BD8">
              <w:rPr>
                <w:spacing w:val="24"/>
                <w:sz w:val="16"/>
              </w:rPr>
              <w:t xml:space="preserve"> </w:t>
            </w:r>
            <w:r w:rsidRPr="00EB2BD8">
              <w:rPr>
                <w:spacing w:val="-4"/>
                <w:sz w:val="16"/>
              </w:rPr>
              <w:t>32199</w:t>
            </w:r>
          </w:p>
        </w:tc>
        <w:tc>
          <w:tcPr>
            <w:tcW w:w="2488" w:type="dxa"/>
          </w:tcPr>
          <w:p w14:paraId="61A84630" w14:textId="77777777" w:rsidR="00084F36" w:rsidRPr="00EB2BD8" w:rsidRDefault="00EB2BD8">
            <w:pPr>
              <w:pStyle w:val="TableParagraph"/>
              <w:spacing w:before="19"/>
              <w:ind w:left="330"/>
              <w:rPr>
                <w:sz w:val="16"/>
              </w:rPr>
            </w:pPr>
            <w:r w:rsidRPr="00EB2BD8">
              <w:rPr>
                <w:spacing w:val="-4"/>
                <w:sz w:val="16"/>
              </w:rPr>
              <w:t>direction</w:t>
            </w:r>
            <w:r w:rsidRPr="00EB2BD8">
              <w:rPr>
                <w:spacing w:val="-5"/>
                <w:sz w:val="16"/>
              </w:rPr>
              <w:t xml:space="preserve"> </w:t>
            </w:r>
            <w:r w:rsidRPr="00EB2BD8">
              <w:rPr>
                <w:spacing w:val="-4"/>
                <w:sz w:val="16"/>
              </w:rPr>
              <w:t>to fix building</w:t>
            </w:r>
          </w:p>
        </w:tc>
        <w:tc>
          <w:tcPr>
            <w:tcW w:w="2284" w:type="dxa"/>
          </w:tcPr>
          <w:p w14:paraId="0F99815F" w14:textId="77777777" w:rsidR="00084F36" w:rsidRPr="00EB2BD8" w:rsidRDefault="00EB2BD8">
            <w:pPr>
              <w:pStyle w:val="TableParagraph"/>
              <w:spacing w:before="19"/>
              <w:ind w:left="121"/>
              <w:rPr>
                <w:sz w:val="16"/>
              </w:rPr>
            </w:pPr>
            <w:r w:rsidRPr="00EB2BD8">
              <w:rPr>
                <w:spacing w:val="-4"/>
                <w:sz w:val="16"/>
              </w:rPr>
              <w:t>of</w:t>
            </w:r>
            <w:r w:rsidRPr="00EB2BD8">
              <w:rPr>
                <w:spacing w:val="-10"/>
                <w:sz w:val="16"/>
              </w:rPr>
              <w:t xml:space="preserve"> </w:t>
            </w:r>
            <w:r w:rsidRPr="00EB2BD8">
              <w:rPr>
                <w:spacing w:val="-2"/>
                <w:sz w:val="16"/>
              </w:rPr>
              <w:t>$1,000.</w:t>
            </w:r>
          </w:p>
        </w:tc>
        <w:tc>
          <w:tcPr>
            <w:tcW w:w="1079" w:type="dxa"/>
          </w:tcPr>
          <w:p w14:paraId="0F04DC80" w14:textId="77777777" w:rsidR="00084F36" w:rsidRPr="00EB2BD8" w:rsidRDefault="00084F36">
            <w:pPr>
              <w:pStyle w:val="TableParagraph"/>
              <w:rPr>
                <w:rFonts w:ascii="Times New Roman"/>
                <w:sz w:val="16"/>
              </w:rPr>
            </w:pPr>
          </w:p>
        </w:tc>
        <w:tc>
          <w:tcPr>
            <w:tcW w:w="1175" w:type="dxa"/>
          </w:tcPr>
          <w:p w14:paraId="488BDCD0" w14:textId="77777777" w:rsidR="00084F36" w:rsidRPr="00EB2BD8" w:rsidRDefault="00084F36">
            <w:pPr>
              <w:pStyle w:val="TableParagraph"/>
              <w:rPr>
                <w:rFonts w:ascii="Times New Roman"/>
                <w:sz w:val="16"/>
              </w:rPr>
            </w:pPr>
          </w:p>
        </w:tc>
      </w:tr>
      <w:tr w:rsidR="00EB2BD8" w:rsidRPr="00EB2BD8" w14:paraId="3D85FA9F" w14:textId="77777777">
        <w:trPr>
          <w:trHeight w:val="229"/>
        </w:trPr>
        <w:tc>
          <w:tcPr>
            <w:tcW w:w="1733" w:type="dxa"/>
          </w:tcPr>
          <w:p w14:paraId="5CA6BE83" w14:textId="77777777" w:rsidR="00084F36" w:rsidRPr="00EB2BD8" w:rsidRDefault="00084F36">
            <w:pPr>
              <w:pStyle w:val="TableParagraph"/>
              <w:rPr>
                <w:rFonts w:ascii="Times New Roman"/>
                <w:sz w:val="16"/>
              </w:rPr>
            </w:pPr>
          </w:p>
        </w:tc>
        <w:tc>
          <w:tcPr>
            <w:tcW w:w="1440" w:type="dxa"/>
          </w:tcPr>
          <w:p w14:paraId="03E799A2" w14:textId="77777777" w:rsidR="00084F36" w:rsidRPr="00EB2BD8" w:rsidRDefault="00084F36">
            <w:pPr>
              <w:pStyle w:val="TableParagraph"/>
              <w:rPr>
                <w:rFonts w:ascii="Times New Roman"/>
                <w:sz w:val="16"/>
              </w:rPr>
            </w:pPr>
          </w:p>
        </w:tc>
        <w:tc>
          <w:tcPr>
            <w:tcW w:w="2488" w:type="dxa"/>
          </w:tcPr>
          <w:p w14:paraId="66FDA0DC" w14:textId="77777777" w:rsidR="00084F36" w:rsidRPr="00EB2BD8" w:rsidRDefault="00EB2BD8">
            <w:pPr>
              <w:pStyle w:val="TableParagraph"/>
              <w:spacing w:before="19"/>
              <w:ind w:left="330"/>
              <w:rPr>
                <w:sz w:val="16"/>
              </w:rPr>
            </w:pPr>
            <w:r w:rsidRPr="00EB2BD8">
              <w:rPr>
                <w:spacing w:val="-2"/>
                <w:sz w:val="16"/>
              </w:rPr>
              <w:t>work</w:t>
            </w:r>
            <w:r w:rsidRPr="00EB2BD8">
              <w:rPr>
                <w:spacing w:val="-12"/>
                <w:sz w:val="16"/>
              </w:rPr>
              <w:t xml:space="preserve"> </w:t>
            </w:r>
            <w:r w:rsidRPr="00EB2BD8">
              <w:rPr>
                <w:spacing w:val="-2"/>
                <w:sz w:val="16"/>
              </w:rPr>
              <w:t>within</w:t>
            </w:r>
            <w:r w:rsidRPr="00EB2BD8">
              <w:rPr>
                <w:spacing w:val="-12"/>
                <w:sz w:val="16"/>
              </w:rPr>
              <w:t xml:space="preserve"> </w:t>
            </w:r>
            <w:r w:rsidRPr="00EB2BD8">
              <w:rPr>
                <w:spacing w:val="-2"/>
                <w:sz w:val="16"/>
              </w:rPr>
              <w:t>the</w:t>
            </w:r>
            <w:r w:rsidRPr="00EB2BD8">
              <w:rPr>
                <w:spacing w:val="-12"/>
                <w:sz w:val="16"/>
              </w:rPr>
              <w:t xml:space="preserve"> </w:t>
            </w:r>
            <w:r w:rsidRPr="00EB2BD8">
              <w:rPr>
                <w:spacing w:val="-2"/>
                <w:sz w:val="16"/>
              </w:rPr>
              <w:t>specified</w:t>
            </w:r>
          </w:p>
        </w:tc>
        <w:tc>
          <w:tcPr>
            <w:tcW w:w="2284" w:type="dxa"/>
          </w:tcPr>
          <w:p w14:paraId="2B10FCED" w14:textId="77777777" w:rsidR="00084F36" w:rsidRPr="00EB2BD8" w:rsidRDefault="00084F36">
            <w:pPr>
              <w:pStyle w:val="TableParagraph"/>
              <w:rPr>
                <w:rFonts w:ascii="Times New Roman"/>
                <w:sz w:val="16"/>
              </w:rPr>
            </w:pPr>
          </w:p>
        </w:tc>
        <w:tc>
          <w:tcPr>
            <w:tcW w:w="1079" w:type="dxa"/>
          </w:tcPr>
          <w:p w14:paraId="45C3E43E" w14:textId="77777777" w:rsidR="00084F36" w:rsidRPr="00EB2BD8" w:rsidRDefault="00084F36">
            <w:pPr>
              <w:pStyle w:val="TableParagraph"/>
              <w:rPr>
                <w:rFonts w:ascii="Times New Roman"/>
                <w:sz w:val="16"/>
              </w:rPr>
            </w:pPr>
          </w:p>
        </w:tc>
        <w:tc>
          <w:tcPr>
            <w:tcW w:w="1175" w:type="dxa"/>
          </w:tcPr>
          <w:p w14:paraId="0717F7B1" w14:textId="77777777" w:rsidR="00084F36" w:rsidRPr="00EB2BD8" w:rsidRDefault="00084F36">
            <w:pPr>
              <w:pStyle w:val="TableParagraph"/>
              <w:rPr>
                <w:rFonts w:ascii="Times New Roman"/>
                <w:sz w:val="16"/>
              </w:rPr>
            </w:pPr>
          </w:p>
        </w:tc>
      </w:tr>
      <w:tr w:rsidR="00EB2BD8" w:rsidRPr="00EB2BD8" w14:paraId="5DBD5ABB" w14:textId="77777777">
        <w:trPr>
          <w:trHeight w:val="229"/>
        </w:trPr>
        <w:tc>
          <w:tcPr>
            <w:tcW w:w="1733" w:type="dxa"/>
          </w:tcPr>
          <w:p w14:paraId="57EC7DE0" w14:textId="77777777" w:rsidR="00084F36" w:rsidRPr="00EB2BD8" w:rsidRDefault="00084F36">
            <w:pPr>
              <w:pStyle w:val="TableParagraph"/>
              <w:rPr>
                <w:rFonts w:ascii="Times New Roman"/>
                <w:sz w:val="16"/>
              </w:rPr>
            </w:pPr>
          </w:p>
        </w:tc>
        <w:tc>
          <w:tcPr>
            <w:tcW w:w="1440" w:type="dxa"/>
          </w:tcPr>
          <w:p w14:paraId="26A5EB98" w14:textId="77777777" w:rsidR="00084F36" w:rsidRPr="00EB2BD8" w:rsidRDefault="00084F36">
            <w:pPr>
              <w:pStyle w:val="TableParagraph"/>
              <w:rPr>
                <w:rFonts w:ascii="Times New Roman"/>
                <w:sz w:val="16"/>
              </w:rPr>
            </w:pPr>
          </w:p>
        </w:tc>
        <w:tc>
          <w:tcPr>
            <w:tcW w:w="2488" w:type="dxa"/>
          </w:tcPr>
          <w:p w14:paraId="464BEB4D" w14:textId="77777777" w:rsidR="00084F36" w:rsidRPr="00EB2BD8" w:rsidRDefault="00EB2BD8">
            <w:pPr>
              <w:pStyle w:val="TableParagraph"/>
              <w:spacing w:before="19"/>
              <w:ind w:left="330"/>
              <w:rPr>
                <w:sz w:val="16"/>
              </w:rPr>
            </w:pPr>
            <w:r w:rsidRPr="00EB2BD8">
              <w:rPr>
                <w:sz w:val="16"/>
              </w:rPr>
              <w:t>period</w:t>
            </w:r>
            <w:r w:rsidRPr="00EB2BD8">
              <w:rPr>
                <w:spacing w:val="-10"/>
                <w:sz w:val="16"/>
              </w:rPr>
              <w:t xml:space="preserve"> </w:t>
            </w:r>
            <w:r w:rsidRPr="00EB2BD8">
              <w:rPr>
                <w:sz w:val="16"/>
              </w:rPr>
              <w:t>in</w:t>
            </w:r>
            <w:r w:rsidRPr="00EB2BD8">
              <w:rPr>
                <w:spacing w:val="-9"/>
                <w:sz w:val="16"/>
              </w:rPr>
              <w:t xml:space="preserve"> </w:t>
            </w:r>
            <w:r w:rsidRPr="00EB2BD8">
              <w:rPr>
                <w:sz w:val="16"/>
              </w:rPr>
              <w:t>respect</w:t>
            </w:r>
            <w:r w:rsidRPr="00EB2BD8">
              <w:rPr>
                <w:spacing w:val="-10"/>
                <w:sz w:val="16"/>
              </w:rPr>
              <w:t xml:space="preserve"> </w:t>
            </w:r>
            <w:r w:rsidRPr="00EB2BD8">
              <w:rPr>
                <w:sz w:val="16"/>
              </w:rPr>
              <w:t>of</w:t>
            </w:r>
            <w:r w:rsidRPr="00EB2BD8">
              <w:rPr>
                <w:spacing w:val="-9"/>
                <w:sz w:val="16"/>
              </w:rPr>
              <w:t xml:space="preserve"> </w:t>
            </w:r>
            <w:r w:rsidRPr="00EB2BD8">
              <w:rPr>
                <w:sz w:val="16"/>
              </w:rPr>
              <w:t>a</w:t>
            </w:r>
            <w:r w:rsidRPr="00EB2BD8">
              <w:rPr>
                <w:spacing w:val="-10"/>
                <w:sz w:val="16"/>
              </w:rPr>
              <w:t xml:space="preserve"> </w:t>
            </w:r>
            <w:r w:rsidRPr="00EB2BD8">
              <w:rPr>
                <w:spacing w:val="-4"/>
                <w:sz w:val="16"/>
              </w:rPr>
              <w:t>site</w:t>
            </w:r>
          </w:p>
        </w:tc>
        <w:tc>
          <w:tcPr>
            <w:tcW w:w="2284" w:type="dxa"/>
          </w:tcPr>
          <w:p w14:paraId="698ED4F1" w14:textId="77777777" w:rsidR="00084F36" w:rsidRPr="00EB2BD8" w:rsidRDefault="00084F36">
            <w:pPr>
              <w:pStyle w:val="TableParagraph"/>
              <w:rPr>
                <w:rFonts w:ascii="Times New Roman"/>
                <w:sz w:val="16"/>
              </w:rPr>
            </w:pPr>
          </w:p>
        </w:tc>
        <w:tc>
          <w:tcPr>
            <w:tcW w:w="1079" w:type="dxa"/>
          </w:tcPr>
          <w:p w14:paraId="278C17F0" w14:textId="77777777" w:rsidR="00084F36" w:rsidRPr="00EB2BD8" w:rsidRDefault="00084F36">
            <w:pPr>
              <w:pStyle w:val="TableParagraph"/>
              <w:rPr>
                <w:rFonts w:ascii="Times New Roman"/>
                <w:sz w:val="16"/>
              </w:rPr>
            </w:pPr>
          </w:p>
        </w:tc>
        <w:tc>
          <w:tcPr>
            <w:tcW w:w="1175" w:type="dxa"/>
          </w:tcPr>
          <w:p w14:paraId="447F2BBA" w14:textId="77777777" w:rsidR="00084F36" w:rsidRPr="00EB2BD8" w:rsidRDefault="00084F36">
            <w:pPr>
              <w:pStyle w:val="TableParagraph"/>
              <w:rPr>
                <w:rFonts w:ascii="Times New Roman"/>
                <w:sz w:val="16"/>
              </w:rPr>
            </w:pPr>
          </w:p>
        </w:tc>
      </w:tr>
      <w:tr w:rsidR="00EB2BD8" w:rsidRPr="00EB2BD8" w14:paraId="1526C5A3" w14:textId="77777777">
        <w:trPr>
          <w:trHeight w:val="368"/>
        </w:trPr>
        <w:tc>
          <w:tcPr>
            <w:tcW w:w="1733" w:type="dxa"/>
            <w:tcBorders>
              <w:bottom w:val="single" w:sz="2" w:space="0" w:color="000000"/>
            </w:tcBorders>
          </w:tcPr>
          <w:p w14:paraId="444EA1CF" w14:textId="77777777" w:rsidR="00084F36" w:rsidRPr="00EB2BD8" w:rsidRDefault="00084F36">
            <w:pPr>
              <w:pStyle w:val="TableParagraph"/>
              <w:rPr>
                <w:rFonts w:ascii="Times New Roman"/>
                <w:sz w:val="16"/>
              </w:rPr>
            </w:pPr>
          </w:p>
        </w:tc>
        <w:tc>
          <w:tcPr>
            <w:tcW w:w="1440" w:type="dxa"/>
            <w:tcBorders>
              <w:bottom w:val="single" w:sz="2" w:space="0" w:color="000000"/>
            </w:tcBorders>
          </w:tcPr>
          <w:p w14:paraId="17A24EEE" w14:textId="77777777" w:rsidR="00084F36" w:rsidRPr="00EB2BD8" w:rsidRDefault="00084F36">
            <w:pPr>
              <w:pStyle w:val="TableParagraph"/>
              <w:rPr>
                <w:rFonts w:ascii="Times New Roman"/>
                <w:sz w:val="16"/>
              </w:rPr>
            </w:pPr>
          </w:p>
        </w:tc>
        <w:tc>
          <w:tcPr>
            <w:tcW w:w="2488" w:type="dxa"/>
            <w:tcBorders>
              <w:bottom w:val="single" w:sz="2" w:space="0" w:color="000000"/>
            </w:tcBorders>
          </w:tcPr>
          <w:p w14:paraId="48BAB3F0" w14:textId="77777777" w:rsidR="00084F36" w:rsidRPr="00EB2BD8" w:rsidRDefault="00EB2BD8">
            <w:pPr>
              <w:pStyle w:val="TableParagraph"/>
              <w:spacing w:before="19"/>
              <w:ind w:left="330"/>
              <w:rPr>
                <w:sz w:val="16"/>
              </w:rPr>
            </w:pPr>
            <w:r w:rsidRPr="00EB2BD8">
              <w:rPr>
                <w:sz w:val="16"/>
              </w:rPr>
              <w:t>at</w:t>
            </w:r>
            <w:r w:rsidRPr="00EB2BD8">
              <w:rPr>
                <w:spacing w:val="1"/>
                <w:sz w:val="16"/>
              </w:rPr>
              <w:t xml:space="preserve"> </w:t>
            </w:r>
            <w:r w:rsidRPr="00EB2BD8">
              <w:rPr>
                <w:sz w:val="16"/>
              </w:rPr>
              <w:t>Gladstone</w:t>
            </w:r>
            <w:r w:rsidRPr="00EB2BD8">
              <w:rPr>
                <w:spacing w:val="1"/>
                <w:sz w:val="16"/>
              </w:rPr>
              <w:t xml:space="preserve"> </w:t>
            </w:r>
            <w:r w:rsidRPr="00EB2BD8">
              <w:rPr>
                <w:spacing w:val="-2"/>
                <w:sz w:val="16"/>
              </w:rPr>
              <w:t>Park.</w:t>
            </w:r>
          </w:p>
        </w:tc>
        <w:tc>
          <w:tcPr>
            <w:tcW w:w="2284" w:type="dxa"/>
            <w:tcBorders>
              <w:bottom w:val="single" w:sz="2" w:space="0" w:color="000000"/>
            </w:tcBorders>
          </w:tcPr>
          <w:p w14:paraId="3D95CFDC"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37540450"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2D363F4A" w14:textId="77777777" w:rsidR="00084F36" w:rsidRPr="00EB2BD8" w:rsidRDefault="00084F36">
            <w:pPr>
              <w:pStyle w:val="TableParagraph"/>
              <w:rPr>
                <w:rFonts w:ascii="Times New Roman"/>
                <w:sz w:val="16"/>
              </w:rPr>
            </w:pPr>
          </w:p>
        </w:tc>
      </w:tr>
      <w:tr w:rsidR="00EB2BD8" w:rsidRPr="00EB2BD8" w14:paraId="6F72A509" w14:textId="77777777">
        <w:trPr>
          <w:trHeight w:val="325"/>
        </w:trPr>
        <w:tc>
          <w:tcPr>
            <w:tcW w:w="1733" w:type="dxa"/>
            <w:tcBorders>
              <w:top w:val="single" w:sz="2" w:space="0" w:color="000000"/>
            </w:tcBorders>
          </w:tcPr>
          <w:p w14:paraId="0B78CA32" w14:textId="77777777" w:rsidR="00084F36" w:rsidRPr="00EB2BD8" w:rsidRDefault="00EB2BD8">
            <w:pPr>
              <w:pStyle w:val="TableParagraph"/>
              <w:spacing w:before="115"/>
              <w:ind w:left="113"/>
              <w:rPr>
                <w:sz w:val="16"/>
              </w:rPr>
            </w:pPr>
            <w:r w:rsidRPr="00EB2BD8">
              <w:rPr>
                <w:spacing w:val="-9"/>
                <w:sz w:val="16"/>
              </w:rPr>
              <w:t>KHATTAR,</w:t>
            </w:r>
            <w:r w:rsidRPr="00EB2BD8">
              <w:rPr>
                <w:spacing w:val="2"/>
                <w:sz w:val="16"/>
              </w:rPr>
              <w:t xml:space="preserve"> </w:t>
            </w:r>
            <w:r w:rsidRPr="00EB2BD8">
              <w:rPr>
                <w:spacing w:val="-4"/>
                <w:sz w:val="16"/>
              </w:rPr>
              <w:t>Tony</w:t>
            </w:r>
          </w:p>
        </w:tc>
        <w:tc>
          <w:tcPr>
            <w:tcW w:w="1440" w:type="dxa"/>
            <w:tcBorders>
              <w:top w:val="single" w:sz="2" w:space="0" w:color="000000"/>
            </w:tcBorders>
          </w:tcPr>
          <w:p w14:paraId="33F19AAF" w14:textId="77777777" w:rsidR="00084F36" w:rsidRPr="00EB2BD8" w:rsidRDefault="00EB2BD8">
            <w:pPr>
              <w:pStyle w:val="TableParagraph"/>
              <w:spacing w:before="115"/>
              <w:ind w:left="137"/>
              <w:rPr>
                <w:sz w:val="16"/>
              </w:rPr>
            </w:pPr>
            <w:r w:rsidRPr="00EB2BD8">
              <w:rPr>
                <w:sz w:val="16"/>
              </w:rPr>
              <w:t>DB-U</w:t>
            </w:r>
            <w:r w:rsidRPr="00EB2BD8">
              <w:rPr>
                <w:spacing w:val="22"/>
                <w:sz w:val="16"/>
              </w:rPr>
              <w:t xml:space="preserve"> </w:t>
            </w:r>
            <w:r w:rsidRPr="00EB2BD8">
              <w:rPr>
                <w:spacing w:val="-2"/>
                <w:sz w:val="16"/>
              </w:rPr>
              <w:t>28964</w:t>
            </w:r>
          </w:p>
        </w:tc>
        <w:tc>
          <w:tcPr>
            <w:tcW w:w="2488" w:type="dxa"/>
            <w:tcBorders>
              <w:top w:val="single" w:sz="2" w:space="0" w:color="000000"/>
            </w:tcBorders>
          </w:tcPr>
          <w:p w14:paraId="56C80018" w14:textId="77777777" w:rsidR="00084F36" w:rsidRPr="00EB2BD8" w:rsidRDefault="00EB2BD8">
            <w:pPr>
              <w:pStyle w:val="TableParagraph"/>
              <w:spacing w:before="115"/>
              <w:ind w:left="330"/>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84" w:type="dxa"/>
            <w:tcBorders>
              <w:top w:val="single" w:sz="2" w:space="0" w:color="000000"/>
            </w:tcBorders>
          </w:tcPr>
          <w:p w14:paraId="51B86E5C" w14:textId="77777777" w:rsidR="00084F36" w:rsidRPr="00EB2BD8" w:rsidRDefault="00EB2BD8">
            <w:pPr>
              <w:pStyle w:val="TableParagraph"/>
              <w:spacing w:before="115"/>
              <w:ind w:left="121"/>
              <w:rPr>
                <w:sz w:val="16"/>
              </w:rPr>
            </w:pPr>
            <w:r w:rsidRPr="00EB2BD8">
              <w:rPr>
                <w:spacing w:val="-2"/>
                <w:sz w:val="16"/>
              </w:rPr>
              <w:t>Registration</w:t>
            </w:r>
            <w:r w:rsidRPr="00EB2BD8">
              <w:rPr>
                <w:spacing w:val="-1"/>
                <w:sz w:val="16"/>
              </w:rPr>
              <w:t xml:space="preserve"> </w:t>
            </w:r>
            <w:r w:rsidRPr="00EB2BD8">
              <w:rPr>
                <w:spacing w:val="-2"/>
                <w:sz w:val="16"/>
              </w:rPr>
              <w:t>condtion</w:t>
            </w:r>
            <w:r w:rsidRPr="00EB2BD8">
              <w:rPr>
                <w:spacing w:val="-1"/>
                <w:sz w:val="16"/>
              </w:rPr>
              <w:t xml:space="preserve"> </w:t>
            </w:r>
            <w:r w:rsidRPr="00EB2BD8">
              <w:rPr>
                <w:spacing w:val="-2"/>
                <w:sz w:val="16"/>
              </w:rPr>
              <w:t>for</w:t>
            </w:r>
            <w:r w:rsidRPr="00EB2BD8">
              <w:rPr>
                <w:sz w:val="16"/>
              </w:rPr>
              <w:t xml:space="preserve"> </w:t>
            </w:r>
            <w:r w:rsidRPr="00EB2BD8">
              <w:rPr>
                <w:spacing w:val="-10"/>
                <w:sz w:val="16"/>
              </w:rPr>
              <w:t>2</w:t>
            </w:r>
          </w:p>
        </w:tc>
        <w:tc>
          <w:tcPr>
            <w:tcW w:w="1079" w:type="dxa"/>
            <w:tcBorders>
              <w:top w:val="single" w:sz="2" w:space="0" w:color="000000"/>
            </w:tcBorders>
          </w:tcPr>
          <w:p w14:paraId="2B6EB0DD" w14:textId="77777777" w:rsidR="00084F36" w:rsidRPr="00EB2BD8" w:rsidRDefault="00EB2BD8">
            <w:pPr>
              <w:pStyle w:val="TableParagraph"/>
              <w:spacing w:before="115"/>
              <w:ind w:right="109"/>
              <w:jc w:val="right"/>
              <w:rPr>
                <w:sz w:val="16"/>
              </w:rPr>
            </w:pPr>
            <w:r w:rsidRPr="00EB2BD8">
              <w:rPr>
                <w:w w:val="135"/>
                <w:sz w:val="16"/>
              </w:rPr>
              <w:t>-</w:t>
            </w:r>
          </w:p>
        </w:tc>
        <w:tc>
          <w:tcPr>
            <w:tcW w:w="1175" w:type="dxa"/>
            <w:tcBorders>
              <w:top w:val="single" w:sz="2" w:space="0" w:color="000000"/>
            </w:tcBorders>
          </w:tcPr>
          <w:p w14:paraId="5083E846" w14:textId="77777777" w:rsidR="00084F36" w:rsidRPr="00EB2BD8" w:rsidRDefault="00EB2BD8">
            <w:pPr>
              <w:pStyle w:val="TableParagraph"/>
              <w:spacing w:before="115"/>
              <w:ind w:left="114"/>
              <w:rPr>
                <w:sz w:val="16"/>
              </w:rPr>
            </w:pPr>
            <w:r w:rsidRPr="00EB2BD8">
              <w:rPr>
                <w:spacing w:val="-2"/>
                <w:w w:val="95"/>
                <w:sz w:val="16"/>
              </w:rPr>
              <w:t>21/06/2023</w:t>
            </w:r>
          </w:p>
        </w:tc>
      </w:tr>
      <w:tr w:rsidR="00EB2BD8" w:rsidRPr="00EB2BD8" w14:paraId="691ACF0D" w14:textId="77777777">
        <w:trPr>
          <w:trHeight w:val="229"/>
        </w:trPr>
        <w:tc>
          <w:tcPr>
            <w:tcW w:w="1733" w:type="dxa"/>
          </w:tcPr>
          <w:p w14:paraId="1C3241C8" w14:textId="77777777" w:rsidR="00084F36" w:rsidRPr="00EB2BD8" w:rsidRDefault="00084F36">
            <w:pPr>
              <w:pStyle w:val="TableParagraph"/>
              <w:rPr>
                <w:rFonts w:ascii="Times New Roman"/>
                <w:sz w:val="16"/>
              </w:rPr>
            </w:pPr>
          </w:p>
        </w:tc>
        <w:tc>
          <w:tcPr>
            <w:tcW w:w="1440" w:type="dxa"/>
          </w:tcPr>
          <w:p w14:paraId="4F1264B4" w14:textId="77777777" w:rsidR="00084F36" w:rsidRPr="00EB2BD8" w:rsidRDefault="00084F36">
            <w:pPr>
              <w:pStyle w:val="TableParagraph"/>
              <w:rPr>
                <w:rFonts w:ascii="Times New Roman"/>
                <w:sz w:val="16"/>
              </w:rPr>
            </w:pPr>
          </w:p>
        </w:tc>
        <w:tc>
          <w:tcPr>
            <w:tcW w:w="2488" w:type="dxa"/>
          </w:tcPr>
          <w:p w14:paraId="0FAE3F6F" w14:textId="77777777" w:rsidR="00084F36" w:rsidRPr="00EB2BD8" w:rsidRDefault="00EB2BD8">
            <w:pPr>
              <w:pStyle w:val="TableParagraph"/>
              <w:spacing w:before="19"/>
              <w:ind w:left="330"/>
              <w:rPr>
                <w:sz w:val="16"/>
              </w:rPr>
            </w:pPr>
            <w:r w:rsidRPr="00EB2BD8">
              <w:rPr>
                <w:sz w:val="16"/>
              </w:rPr>
              <w:t xml:space="preserve">company under </w:t>
            </w:r>
            <w:r w:rsidRPr="00EB2BD8">
              <w:rPr>
                <w:spacing w:val="-2"/>
                <w:sz w:val="16"/>
              </w:rPr>
              <w:t>external</w:t>
            </w:r>
          </w:p>
        </w:tc>
        <w:tc>
          <w:tcPr>
            <w:tcW w:w="2284" w:type="dxa"/>
          </w:tcPr>
          <w:p w14:paraId="2AC44A56" w14:textId="77777777" w:rsidR="00084F36" w:rsidRPr="00EB2BD8" w:rsidRDefault="00EB2BD8">
            <w:pPr>
              <w:pStyle w:val="TableParagraph"/>
              <w:spacing w:before="19"/>
              <w:ind w:left="121"/>
              <w:rPr>
                <w:sz w:val="16"/>
              </w:rPr>
            </w:pPr>
            <w:r w:rsidRPr="00EB2BD8">
              <w:rPr>
                <w:spacing w:val="-2"/>
                <w:sz w:val="16"/>
              </w:rPr>
              <w:t>years</w:t>
            </w:r>
            <w:r w:rsidRPr="00EB2BD8">
              <w:rPr>
                <w:spacing w:val="-6"/>
                <w:sz w:val="16"/>
              </w:rPr>
              <w:t xml:space="preserve"> </w:t>
            </w:r>
            <w:r w:rsidRPr="00EB2BD8">
              <w:rPr>
                <w:spacing w:val="-2"/>
                <w:sz w:val="16"/>
              </w:rPr>
              <w:t>limiting</w:t>
            </w:r>
            <w:r w:rsidRPr="00EB2BD8">
              <w:rPr>
                <w:spacing w:val="-6"/>
                <w:sz w:val="16"/>
              </w:rPr>
              <w:t xml:space="preserve"> </w:t>
            </w:r>
            <w:r w:rsidRPr="00EB2BD8">
              <w:rPr>
                <w:spacing w:val="-2"/>
                <w:sz w:val="16"/>
              </w:rPr>
              <w:t>concurrent</w:t>
            </w:r>
          </w:p>
        </w:tc>
        <w:tc>
          <w:tcPr>
            <w:tcW w:w="1079" w:type="dxa"/>
          </w:tcPr>
          <w:p w14:paraId="476483E2" w14:textId="77777777" w:rsidR="00084F36" w:rsidRPr="00EB2BD8" w:rsidRDefault="00084F36">
            <w:pPr>
              <w:pStyle w:val="TableParagraph"/>
              <w:rPr>
                <w:rFonts w:ascii="Times New Roman"/>
                <w:sz w:val="16"/>
              </w:rPr>
            </w:pPr>
          </w:p>
        </w:tc>
        <w:tc>
          <w:tcPr>
            <w:tcW w:w="1175" w:type="dxa"/>
          </w:tcPr>
          <w:p w14:paraId="7624493E" w14:textId="77777777" w:rsidR="00084F36" w:rsidRPr="00EB2BD8" w:rsidRDefault="00084F36">
            <w:pPr>
              <w:pStyle w:val="TableParagraph"/>
              <w:rPr>
                <w:rFonts w:ascii="Times New Roman"/>
                <w:sz w:val="16"/>
              </w:rPr>
            </w:pPr>
          </w:p>
        </w:tc>
      </w:tr>
      <w:tr w:rsidR="00EB2BD8" w:rsidRPr="00EB2BD8" w14:paraId="3C4C81F6" w14:textId="77777777">
        <w:trPr>
          <w:trHeight w:val="403"/>
        </w:trPr>
        <w:tc>
          <w:tcPr>
            <w:tcW w:w="1733" w:type="dxa"/>
            <w:tcBorders>
              <w:bottom w:val="single" w:sz="2" w:space="0" w:color="000000"/>
            </w:tcBorders>
          </w:tcPr>
          <w:p w14:paraId="4486058E" w14:textId="77777777" w:rsidR="00084F36" w:rsidRPr="00EB2BD8" w:rsidRDefault="00084F36">
            <w:pPr>
              <w:pStyle w:val="TableParagraph"/>
              <w:rPr>
                <w:rFonts w:ascii="Times New Roman"/>
                <w:sz w:val="16"/>
              </w:rPr>
            </w:pPr>
          </w:p>
        </w:tc>
        <w:tc>
          <w:tcPr>
            <w:tcW w:w="1440" w:type="dxa"/>
            <w:tcBorders>
              <w:bottom w:val="single" w:sz="2" w:space="0" w:color="000000"/>
            </w:tcBorders>
          </w:tcPr>
          <w:p w14:paraId="648FFEA3" w14:textId="77777777" w:rsidR="00084F36" w:rsidRPr="00EB2BD8" w:rsidRDefault="00084F36">
            <w:pPr>
              <w:pStyle w:val="TableParagraph"/>
              <w:rPr>
                <w:rFonts w:ascii="Times New Roman"/>
                <w:sz w:val="16"/>
              </w:rPr>
            </w:pPr>
          </w:p>
        </w:tc>
        <w:tc>
          <w:tcPr>
            <w:tcW w:w="2488" w:type="dxa"/>
            <w:tcBorders>
              <w:bottom w:val="single" w:sz="2" w:space="0" w:color="000000"/>
            </w:tcBorders>
          </w:tcPr>
          <w:p w14:paraId="03289C32" w14:textId="77777777" w:rsidR="00084F36" w:rsidRPr="00EB2BD8" w:rsidRDefault="00EB2BD8">
            <w:pPr>
              <w:pStyle w:val="TableParagraph"/>
              <w:spacing w:before="19"/>
              <w:ind w:left="330"/>
              <w:rPr>
                <w:sz w:val="16"/>
              </w:rPr>
            </w:pPr>
            <w:r w:rsidRPr="00EB2BD8">
              <w:rPr>
                <w:spacing w:val="-2"/>
                <w:sz w:val="16"/>
              </w:rPr>
              <w:t>administration.</w:t>
            </w:r>
          </w:p>
        </w:tc>
        <w:tc>
          <w:tcPr>
            <w:tcW w:w="2284" w:type="dxa"/>
            <w:tcBorders>
              <w:bottom w:val="single" w:sz="2" w:space="0" w:color="000000"/>
            </w:tcBorders>
          </w:tcPr>
          <w:p w14:paraId="47FCC9A2" w14:textId="77777777" w:rsidR="00084F36" w:rsidRPr="00EB2BD8" w:rsidRDefault="00EB2BD8">
            <w:pPr>
              <w:pStyle w:val="TableParagraph"/>
              <w:spacing w:before="19"/>
              <w:ind w:left="121"/>
              <w:rPr>
                <w:sz w:val="16"/>
              </w:rPr>
            </w:pPr>
            <w:r w:rsidRPr="00EB2BD8">
              <w:rPr>
                <w:spacing w:val="-2"/>
                <w:sz w:val="16"/>
              </w:rPr>
              <w:t>building</w:t>
            </w:r>
            <w:r w:rsidRPr="00EB2BD8">
              <w:rPr>
                <w:spacing w:val="-10"/>
                <w:sz w:val="16"/>
              </w:rPr>
              <w:t xml:space="preserve"> </w:t>
            </w:r>
            <w:r w:rsidRPr="00EB2BD8">
              <w:rPr>
                <w:spacing w:val="-2"/>
                <w:sz w:val="16"/>
              </w:rPr>
              <w:t>permit</w:t>
            </w:r>
            <w:r w:rsidRPr="00EB2BD8">
              <w:rPr>
                <w:spacing w:val="-10"/>
                <w:sz w:val="16"/>
              </w:rPr>
              <w:t xml:space="preserve"> </w:t>
            </w:r>
            <w:r w:rsidRPr="00EB2BD8">
              <w:rPr>
                <w:spacing w:val="-2"/>
                <w:sz w:val="16"/>
              </w:rPr>
              <w:t>jobs</w:t>
            </w:r>
            <w:r w:rsidRPr="00EB2BD8">
              <w:rPr>
                <w:spacing w:val="-9"/>
                <w:sz w:val="16"/>
              </w:rPr>
              <w:t xml:space="preserve"> </w:t>
            </w:r>
            <w:r w:rsidRPr="00EB2BD8">
              <w:rPr>
                <w:spacing w:val="-2"/>
                <w:sz w:val="16"/>
              </w:rPr>
              <w:t>to</w:t>
            </w:r>
            <w:r w:rsidRPr="00EB2BD8">
              <w:rPr>
                <w:spacing w:val="-10"/>
                <w:sz w:val="16"/>
              </w:rPr>
              <w:t xml:space="preserve"> </w:t>
            </w:r>
            <w:r w:rsidRPr="00EB2BD8">
              <w:rPr>
                <w:spacing w:val="-5"/>
                <w:sz w:val="16"/>
              </w:rPr>
              <w:t>2.</w:t>
            </w:r>
          </w:p>
        </w:tc>
        <w:tc>
          <w:tcPr>
            <w:tcW w:w="1079" w:type="dxa"/>
            <w:tcBorders>
              <w:bottom w:val="single" w:sz="2" w:space="0" w:color="000000"/>
            </w:tcBorders>
          </w:tcPr>
          <w:p w14:paraId="47D030C8"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18EC4CD7" w14:textId="77777777" w:rsidR="00084F36" w:rsidRPr="00EB2BD8" w:rsidRDefault="00084F36">
            <w:pPr>
              <w:pStyle w:val="TableParagraph"/>
              <w:rPr>
                <w:rFonts w:ascii="Times New Roman"/>
                <w:sz w:val="16"/>
              </w:rPr>
            </w:pPr>
          </w:p>
        </w:tc>
      </w:tr>
      <w:tr w:rsidR="00EB2BD8" w:rsidRPr="00EB2BD8" w14:paraId="1742EE9A" w14:textId="77777777">
        <w:trPr>
          <w:trHeight w:val="325"/>
        </w:trPr>
        <w:tc>
          <w:tcPr>
            <w:tcW w:w="1733" w:type="dxa"/>
            <w:tcBorders>
              <w:top w:val="single" w:sz="2" w:space="0" w:color="000000"/>
            </w:tcBorders>
          </w:tcPr>
          <w:p w14:paraId="5E229A80" w14:textId="77777777" w:rsidR="00084F36" w:rsidRPr="00EB2BD8" w:rsidRDefault="00EB2BD8">
            <w:pPr>
              <w:pStyle w:val="TableParagraph"/>
              <w:spacing w:before="115"/>
              <w:ind w:left="113"/>
              <w:rPr>
                <w:sz w:val="16"/>
              </w:rPr>
            </w:pPr>
            <w:r w:rsidRPr="00EB2BD8">
              <w:rPr>
                <w:sz w:val="16"/>
              </w:rPr>
              <w:t>LEWIS,</w:t>
            </w:r>
            <w:r w:rsidRPr="00EB2BD8">
              <w:rPr>
                <w:spacing w:val="-3"/>
                <w:sz w:val="16"/>
              </w:rPr>
              <w:t xml:space="preserve"> </w:t>
            </w:r>
            <w:r w:rsidRPr="00EB2BD8">
              <w:rPr>
                <w:spacing w:val="-2"/>
                <w:sz w:val="16"/>
              </w:rPr>
              <w:t>Richard</w:t>
            </w:r>
          </w:p>
        </w:tc>
        <w:tc>
          <w:tcPr>
            <w:tcW w:w="1440" w:type="dxa"/>
            <w:tcBorders>
              <w:top w:val="single" w:sz="2" w:space="0" w:color="000000"/>
            </w:tcBorders>
          </w:tcPr>
          <w:p w14:paraId="708DFC0F" w14:textId="77777777" w:rsidR="00084F36" w:rsidRPr="00EB2BD8" w:rsidRDefault="00EB2BD8">
            <w:pPr>
              <w:pStyle w:val="TableParagraph"/>
              <w:spacing w:before="115"/>
              <w:ind w:left="137"/>
              <w:rPr>
                <w:sz w:val="16"/>
              </w:rPr>
            </w:pPr>
            <w:r w:rsidRPr="00EB2BD8">
              <w:rPr>
                <w:sz w:val="16"/>
              </w:rPr>
              <w:t>BD-M</w:t>
            </w:r>
            <w:r w:rsidRPr="00EB2BD8">
              <w:rPr>
                <w:spacing w:val="13"/>
                <w:sz w:val="16"/>
              </w:rPr>
              <w:t xml:space="preserve"> </w:t>
            </w:r>
            <w:r w:rsidRPr="00EB2BD8">
              <w:rPr>
                <w:spacing w:val="-4"/>
                <w:sz w:val="16"/>
              </w:rPr>
              <w:t>15973</w:t>
            </w:r>
          </w:p>
        </w:tc>
        <w:tc>
          <w:tcPr>
            <w:tcW w:w="2488" w:type="dxa"/>
            <w:tcBorders>
              <w:top w:val="single" w:sz="2" w:space="0" w:color="000000"/>
            </w:tcBorders>
          </w:tcPr>
          <w:p w14:paraId="120BCA4E" w14:textId="77777777" w:rsidR="00084F36" w:rsidRPr="00EB2BD8" w:rsidRDefault="00EB2BD8">
            <w:pPr>
              <w:pStyle w:val="TableParagraph"/>
              <w:spacing w:before="115"/>
              <w:ind w:left="330"/>
              <w:rPr>
                <w:sz w:val="16"/>
              </w:rPr>
            </w:pPr>
            <w:r w:rsidRPr="00EB2BD8">
              <w:rPr>
                <w:spacing w:val="-2"/>
                <w:sz w:val="16"/>
              </w:rPr>
              <w:t>Performing</w:t>
            </w:r>
            <w:r w:rsidRPr="00EB2BD8">
              <w:rPr>
                <w:spacing w:val="6"/>
                <w:sz w:val="16"/>
              </w:rPr>
              <w:t xml:space="preserve"> </w:t>
            </w:r>
            <w:r w:rsidRPr="00EB2BD8">
              <w:rPr>
                <w:spacing w:val="-2"/>
                <w:sz w:val="16"/>
              </w:rPr>
              <w:t>building</w:t>
            </w:r>
          </w:p>
        </w:tc>
        <w:tc>
          <w:tcPr>
            <w:tcW w:w="2284" w:type="dxa"/>
            <w:tcBorders>
              <w:top w:val="single" w:sz="2" w:space="0" w:color="000000"/>
            </w:tcBorders>
          </w:tcPr>
          <w:p w14:paraId="695CD9BE" w14:textId="77777777" w:rsidR="00084F36" w:rsidRPr="00EB2BD8" w:rsidRDefault="00EB2BD8">
            <w:pPr>
              <w:pStyle w:val="TableParagraph"/>
              <w:spacing w:before="114"/>
              <w:ind w:left="121"/>
              <w:rPr>
                <w:sz w:val="16"/>
              </w:rPr>
            </w:pPr>
            <w:r w:rsidRPr="00EB2BD8">
              <w:rPr>
                <w:sz w:val="16"/>
              </w:rPr>
              <w:t>Reprimand</w:t>
            </w:r>
            <w:r w:rsidRPr="00EB2BD8">
              <w:rPr>
                <w:spacing w:val="2"/>
                <w:sz w:val="16"/>
              </w:rPr>
              <w:t xml:space="preserve"> </w:t>
            </w:r>
            <w:r w:rsidRPr="00EB2BD8">
              <w:rPr>
                <w:sz w:val="16"/>
              </w:rPr>
              <w:t>and</w:t>
            </w:r>
            <w:r w:rsidRPr="00EB2BD8">
              <w:rPr>
                <w:spacing w:val="3"/>
                <w:sz w:val="16"/>
              </w:rPr>
              <w:t xml:space="preserve"> </w:t>
            </w:r>
            <w:r w:rsidRPr="00EB2BD8">
              <w:rPr>
                <w:sz w:val="16"/>
              </w:rPr>
              <w:t>penalty</w:t>
            </w:r>
            <w:r w:rsidRPr="00EB2BD8">
              <w:rPr>
                <w:spacing w:val="2"/>
                <w:sz w:val="16"/>
              </w:rPr>
              <w:t xml:space="preserve"> </w:t>
            </w:r>
            <w:r w:rsidRPr="00EB2BD8">
              <w:rPr>
                <w:spacing w:val="-5"/>
                <w:sz w:val="16"/>
              </w:rPr>
              <w:t>of</w:t>
            </w:r>
          </w:p>
        </w:tc>
        <w:tc>
          <w:tcPr>
            <w:tcW w:w="1079" w:type="dxa"/>
            <w:tcBorders>
              <w:top w:val="single" w:sz="2" w:space="0" w:color="000000"/>
            </w:tcBorders>
          </w:tcPr>
          <w:p w14:paraId="2A1A2BD6" w14:textId="77777777" w:rsidR="00084F36" w:rsidRPr="00EB2BD8" w:rsidRDefault="00EB2BD8">
            <w:pPr>
              <w:pStyle w:val="TableParagraph"/>
              <w:spacing w:before="114"/>
              <w:ind w:right="110"/>
              <w:jc w:val="right"/>
              <w:rPr>
                <w:sz w:val="16"/>
              </w:rPr>
            </w:pPr>
            <w:r w:rsidRPr="00EB2BD8">
              <w:rPr>
                <w:spacing w:val="-2"/>
                <w:sz w:val="16"/>
              </w:rPr>
              <w:t>$3,000</w:t>
            </w:r>
          </w:p>
        </w:tc>
        <w:tc>
          <w:tcPr>
            <w:tcW w:w="1175" w:type="dxa"/>
            <w:tcBorders>
              <w:top w:val="single" w:sz="2" w:space="0" w:color="000000"/>
            </w:tcBorders>
          </w:tcPr>
          <w:p w14:paraId="4910741A" w14:textId="77777777" w:rsidR="00084F36" w:rsidRPr="00EB2BD8" w:rsidRDefault="00EB2BD8">
            <w:pPr>
              <w:pStyle w:val="TableParagraph"/>
              <w:spacing w:before="114"/>
              <w:ind w:left="114"/>
              <w:rPr>
                <w:sz w:val="16"/>
              </w:rPr>
            </w:pPr>
            <w:r w:rsidRPr="00EB2BD8">
              <w:rPr>
                <w:spacing w:val="-2"/>
                <w:w w:val="95"/>
                <w:sz w:val="16"/>
              </w:rPr>
              <w:t>02/09/2022</w:t>
            </w:r>
          </w:p>
        </w:tc>
      </w:tr>
      <w:tr w:rsidR="00EB2BD8" w:rsidRPr="00EB2BD8" w14:paraId="024F58C9" w14:textId="77777777">
        <w:trPr>
          <w:trHeight w:val="230"/>
        </w:trPr>
        <w:tc>
          <w:tcPr>
            <w:tcW w:w="1733" w:type="dxa"/>
          </w:tcPr>
          <w:p w14:paraId="7DC845A9" w14:textId="77777777" w:rsidR="00084F36" w:rsidRPr="00EB2BD8" w:rsidRDefault="00084F36">
            <w:pPr>
              <w:pStyle w:val="TableParagraph"/>
              <w:rPr>
                <w:rFonts w:ascii="Times New Roman"/>
                <w:sz w:val="16"/>
              </w:rPr>
            </w:pPr>
          </w:p>
        </w:tc>
        <w:tc>
          <w:tcPr>
            <w:tcW w:w="1440" w:type="dxa"/>
          </w:tcPr>
          <w:p w14:paraId="07255BAF" w14:textId="77777777" w:rsidR="00084F36" w:rsidRPr="00EB2BD8" w:rsidRDefault="00084F36">
            <w:pPr>
              <w:pStyle w:val="TableParagraph"/>
              <w:rPr>
                <w:rFonts w:ascii="Times New Roman"/>
                <w:sz w:val="16"/>
              </w:rPr>
            </w:pPr>
          </w:p>
        </w:tc>
        <w:tc>
          <w:tcPr>
            <w:tcW w:w="2488" w:type="dxa"/>
          </w:tcPr>
          <w:p w14:paraId="3F3B02A5" w14:textId="77777777" w:rsidR="00084F36" w:rsidRPr="00EB2BD8" w:rsidRDefault="00EB2BD8">
            <w:pPr>
              <w:pStyle w:val="TableParagraph"/>
              <w:spacing w:before="20"/>
              <w:ind w:left="330"/>
              <w:rPr>
                <w:sz w:val="16"/>
              </w:rPr>
            </w:pPr>
            <w:r w:rsidRPr="00EB2BD8">
              <w:rPr>
                <w:spacing w:val="-2"/>
                <w:sz w:val="16"/>
              </w:rPr>
              <w:t>work</w:t>
            </w:r>
            <w:r w:rsidRPr="00EB2BD8">
              <w:rPr>
                <w:spacing w:val="-7"/>
                <w:sz w:val="16"/>
              </w:rPr>
              <w:t xml:space="preserve"> </w:t>
            </w:r>
            <w:r w:rsidRPr="00EB2BD8">
              <w:rPr>
                <w:spacing w:val="-2"/>
                <w:sz w:val="16"/>
              </w:rPr>
              <w:t>other</w:t>
            </w:r>
            <w:r w:rsidRPr="00EB2BD8">
              <w:rPr>
                <w:spacing w:val="-7"/>
                <w:sz w:val="16"/>
              </w:rPr>
              <w:t xml:space="preserve"> </w:t>
            </w:r>
            <w:r w:rsidRPr="00EB2BD8">
              <w:rPr>
                <w:spacing w:val="-2"/>
                <w:sz w:val="16"/>
              </w:rPr>
              <w:t>than</w:t>
            </w:r>
            <w:r w:rsidRPr="00EB2BD8">
              <w:rPr>
                <w:spacing w:val="-6"/>
                <w:sz w:val="16"/>
              </w:rPr>
              <w:t xml:space="preserve"> </w:t>
            </w:r>
            <w:r w:rsidRPr="00EB2BD8">
              <w:rPr>
                <w:spacing w:val="-2"/>
                <w:sz w:val="16"/>
              </w:rPr>
              <w:t>in</w:t>
            </w:r>
            <w:r w:rsidRPr="00EB2BD8">
              <w:rPr>
                <w:spacing w:val="-7"/>
                <w:sz w:val="16"/>
              </w:rPr>
              <w:t xml:space="preserve"> </w:t>
            </w:r>
            <w:r w:rsidRPr="00EB2BD8">
              <w:rPr>
                <w:spacing w:val="-10"/>
                <w:sz w:val="16"/>
              </w:rPr>
              <w:t>a</w:t>
            </w:r>
          </w:p>
        </w:tc>
        <w:tc>
          <w:tcPr>
            <w:tcW w:w="2284" w:type="dxa"/>
          </w:tcPr>
          <w:p w14:paraId="55E14503" w14:textId="77777777" w:rsidR="00084F36" w:rsidRPr="00EB2BD8" w:rsidRDefault="00EB2BD8">
            <w:pPr>
              <w:pStyle w:val="TableParagraph"/>
              <w:spacing w:before="19"/>
              <w:ind w:left="121"/>
              <w:rPr>
                <w:sz w:val="16"/>
              </w:rPr>
            </w:pPr>
            <w:r w:rsidRPr="00EB2BD8">
              <w:rPr>
                <w:spacing w:val="-2"/>
                <w:sz w:val="16"/>
              </w:rPr>
              <w:t>$3,000.</w:t>
            </w:r>
          </w:p>
        </w:tc>
        <w:tc>
          <w:tcPr>
            <w:tcW w:w="1079" w:type="dxa"/>
          </w:tcPr>
          <w:p w14:paraId="3E217276" w14:textId="77777777" w:rsidR="00084F36" w:rsidRPr="00EB2BD8" w:rsidRDefault="00084F36">
            <w:pPr>
              <w:pStyle w:val="TableParagraph"/>
              <w:rPr>
                <w:rFonts w:ascii="Times New Roman"/>
                <w:sz w:val="16"/>
              </w:rPr>
            </w:pPr>
          </w:p>
        </w:tc>
        <w:tc>
          <w:tcPr>
            <w:tcW w:w="1175" w:type="dxa"/>
          </w:tcPr>
          <w:p w14:paraId="2430E1B3" w14:textId="77777777" w:rsidR="00084F36" w:rsidRPr="00EB2BD8" w:rsidRDefault="00084F36">
            <w:pPr>
              <w:pStyle w:val="TableParagraph"/>
              <w:rPr>
                <w:rFonts w:ascii="Times New Roman"/>
                <w:sz w:val="16"/>
              </w:rPr>
            </w:pPr>
          </w:p>
        </w:tc>
      </w:tr>
      <w:tr w:rsidR="00EB2BD8" w:rsidRPr="00EB2BD8" w14:paraId="220BA26F" w14:textId="77777777">
        <w:trPr>
          <w:trHeight w:val="229"/>
        </w:trPr>
        <w:tc>
          <w:tcPr>
            <w:tcW w:w="1733" w:type="dxa"/>
          </w:tcPr>
          <w:p w14:paraId="390DD8CF" w14:textId="77777777" w:rsidR="00084F36" w:rsidRPr="00EB2BD8" w:rsidRDefault="00084F36">
            <w:pPr>
              <w:pStyle w:val="TableParagraph"/>
              <w:rPr>
                <w:rFonts w:ascii="Times New Roman"/>
                <w:sz w:val="16"/>
              </w:rPr>
            </w:pPr>
          </w:p>
        </w:tc>
        <w:tc>
          <w:tcPr>
            <w:tcW w:w="1440" w:type="dxa"/>
          </w:tcPr>
          <w:p w14:paraId="6343431C" w14:textId="77777777" w:rsidR="00084F36" w:rsidRPr="00EB2BD8" w:rsidRDefault="00084F36">
            <w:pPr>
              <w:pStyle w:val="TableParagraph"/>
              <w:rPr>
                <w:rFonts w:ascii="Times New Roman"/>
                <w:sz w:val="16"/>
              </w:rPr>
            </w:pPr>
          </w:p>
        </w:tc>
        <w:tc>
          <w:tcPr>
            <w:tcW w:w="2488" w:type="dxa"/>
          </w:tcPr>
          <w:p w14:paraId="267265B6" w14:textId="77777777" w:rsidR="00084F36" w:rsidRPr="00EB2BD8" w:rsidRDefault="00EB2BD8">
            <w:pPr>
              <w:pStyle w:val="TableParagraph"/>
              <w:spacing w:before="19"/>
              <w:ind w:left="330"/>
              <w:rPr>
                <w:sz w:val="16"/>
              </w:rPr>
            </w:pPr>
            <w:r w:rsidRPr="00EB2BD8">
              <w:rPr>
                <w:sz w:val="16"/>
              </w:rPr>
              <w:t>competent</w:t>
            </w:r>
            <w:r w:rsidRPr="00EB2BD8">
              <w:rPr>
                <w:spacing w:val="-1"/>
                <w:sz w:val="16"/>
              </w:rPr>
              <w:t xml:space="preserve"> </w:t>
            </w:r>
            <w:r w:rsidRPr="00EB2BD8">
              <w:rPr>
                <w:spacing w:val="-2"/>
                <w:sz w:val="16"/>
              </w:rPr>
              <w:t>manner</w:t>
            </w:r>
          </w:p>
        </w:tc>
        <w:tc>
          <w:tcPr>
            <w:tcW w:w="2284" w:type="dxa"/>
          </w:tcPr>
          <w:p w14:paraId="0DB4B71C" w14:textId="77777777" w:rsidR="00084F36" w:rsidRPr="00EB2BD8" w:rsidRDefault="00084F36">
            <w:pPr>
              <w:pStyle w:val="TableParagraph"/>
              <w:rPr>
                <w:rFonts w:ascii="Times New Roman"/>
                <w:sz w:val="16"/>
              </w:rPr>
            </w:pPr>
          </w:p>
        </w:tc>
        <w:tc>
          <w:tcPr>
            <w:tcW w:w="1079" w:type="dxa"/>
          </w:tcPr>
          <w:p w14:paraId="68E1654A" w14:textId="77777777" w:rsidR="00084F36" w:rsidRPr="00EB2BD8" w:rsidRDefault="00084F36">
            <w:pPr>
              <w:pStyle w:val="TableParagraph"/>
              <w:rPr>
                <w:rFonts w:ascii="Times New Roman"/>
                <w:sz w:val="16"/>
              </w:rPr>
            </w:pPr>
          </w:p>
        </w:tc>
        <w:tc>
          <w:tcPr>
            <w:tcW w:w="1175" w:type="dxa"/>
          </w:tcPr>
          <w:p w14:paraId="29F7C9F6" w14:textId="77777777" w:rsidR="00084F36" w:rsidRPr="00EB2BD8" w:rsidRDefault="00084F36">
            <w:pPr>
              <w:pStyle w:val="TableParagraph"/>
              <w:rPr>
                <w:rFonts w:ascii="Times New Roman"/>
                <w:sz w:val="16"/>
              </w:rPr>
            </w:pPr>
          </w:p>
        </w:tc>
      </w:tr>
      <w:tr w:rsidR="00EB2BD8" w:rsidRPr="00EB2BD8" w14:paraId="667FE47A" w14:textId="77777777">
        <w:trPr>
          <w:trHeight w:val="229"/>
        </w:trPr>
        <w:tc>
          <w:tcPr>
            <w:tcW w:w="1733" w:type="dxa"/>
          </w:tcPr>
          <w:p w14:paraId="33633B6A" w14:textId="77777777" w:rsidR="00084F36" w:rsidRPr="00EB2BD8" w:rsidRDefault="00084F36">
            <w:pPr>
              <w:pStyle w:val="TableParagraph"/>
              <w:rPr>
                <w:rFonts w:ascii="Times New Roman"/>
                <w:sz w:val="16"/>
              </w:rPr>
            </w:pPr>
          </w:p>
        </w:tc>
        <w:tc>
          <w:tcPr>
            <w:tcW w:w="1440" w:type="dxa"/>
          </w:tcPr>
          <w:p w14:paraId="00EB291A" w14:textId="77777777" w:rsidR="00084F36" w:rsidRPr="00EB2BD8" w:rsidRDefault="00084F36">
            <w:pPr>
              <w:pStyle w:val="TableParagraph"/>
              <w:rPr>
                <w:rFonts w:ascii="Times New Roman"/>
                <w:sz w:val="16"/>
              </w:rPr>
            </w:pPr>
          </w:p>
        </w:tc>
        <w:tc>
          <w:tcPr>
            <w:tcW w:w="2488" w:type="dxa"/>
          </w:tcPr>
          <w:p w14:paraId="58948AE2" w14:textId="77777777" w:rsidR="00084F36" w:rsidRPr="00EB2BD8" w:rsidRDefault="00EB2BD8">
            <w:pPr>
              <w:pStyle w:val="TableParagraph"/>
              <w:spacing w:before="19"/>
              <w:ind w:left="330"/>
              <w:rPr>
                <w:sz w:val="16"/>
              </w:rPr>
            </w:pPr>
            <w:r w:rsidRPr="00EB2BD8">
              <w:rPr>
                <w:sz w:val="16"/>
              </w:rPr>
              <w:t>and</w:t>
            </w:r>
            <w:r w:rsidRPr="00EB2BD8">
              <w:rPr>
                <w:spacing w:val="-5"/>
                <w:sz w:val="16"/>
              </w:rPr>
              <w:t xml:space="preserve"> </w:t>
            </w:r>
            <w:r w:rsidRPr="00EB2BD8">
              <w:rPr>
                <w:sz w:val="16"/>
              </w:rPr>
              <w:t>to</w:t>
            </w:r>
            <w:r w:rsidRPr="00EB2BD8">
              <w:rPr>
                <w:spacing w:val="-4"/>
                <w:sz w:val="16"/>
              </w:rPr>
              <w:t xml:space="preserve"> </w:t>
            </w:r>
            <w:r w:rsidRPr="00EB2BD8">
              <w:rPr>
                <w:sz w:val="16"/>
              </w:rPr>
              <w:t>a</w:t>
            </w:r>
            <w:r w:rsidRPr="00EB2BD8">
              <w:rPr>
                <w:spacing w:val="-4"/>
                <w:sz w:val="16"/>
              </w:rPr>
              <w:t xml:space="preserve"> </w:t>
            </w:r>
            <w:r w:rsidRPr="00EB2BD8">
              <w:rPr>
                <w:spacing w:val="-2"/>
                <w:sz w:val="16"/>
              </w:rPr>
              <w:t>professional</w:t>
            </w:r>
          </w:p>
        </w:tc>
        <w:tc>
          <w:tcPr>
            <w:tcW w:w="2284" w:type="dxa"/>
          </w:tcPr>
          <w:p w14:paraId="55A0E208" w14:textId="77777777" w:rsidR="00084F36" w:rsidRPr="00EB2BD8" w:rsidRDefault="00084F36">
            <w:pPr>
              <w:pStyle w:val="TableParagraph"/>
              <w:rPr>
                <w:rFonts w:ascii="Times New Roman"/>
                <w:sz w:val="16"/>
              </w:rPr>
            </w:pPr>
          </w:p>
        </w:tc>
        <w:tc>
          <w:tcPr>
            <w:tcW w:w="1079" w:type="dxa"/>
          </w:tcPr>
          <w:p w14:paraId="180C41B9" w14:textId="77777777" w:rsidR="00084F36" w:rsidRPr="00EB2BD8" w:rsidRDefault="00084F36">
            <w:pPr>
              <w:pStyle w:val="TableParagraph"/>
              <w:rPr>
                <w:rFonts w:ascii="Times New Roman"/>
                <w:sz w:val="16"/>
              </w:rPr>
            </w:pPr>
          </w:p>
        </w:tc>
        <w:tc>
          <w:tcPr>
            <w:tcW w:w="1175" w:type="dxa"/>
          </w:tcPr>
          <w:p w14:paraId="29421081" w14:textId="77777777" w:rsidR="00084F36" w:rsidRPr="00EB2BD8" w:rsidRDefault="00084F36">
            <w:pPr>
              <w:pStyle w:val="TableParagraph"/>
              <w:rPr>
                <w:rFonts w:ascii="Times New Roman"/>
                <w:sz w:val="16"/>
              </w:rPr>
            </w:pPr>
          </w:p>
        </w:tc>
      </w:tr>
      <w:tr w:rsidR="00EB2BD8" w:rsidRPr="00EB2BD8" w14:paraId="509B3316" w14:textId="77777777">
        <w:trPr>
          <w:trHeight w:val="229"/>
        </w:trPr>
        <w:tc>
          <w:tcPr>
            <w:tcW w:w="1733" w:type="dxa"/>
          </w:tcPr>
          <w:p w14:paraId="536CFE53" w14:textId="77777777" w:rsidR="00084F36" w:rsidRPr="00EB2BD8" w:rsidRDefault="00084F36">
            <w:pPr>
              <w:pStyle w:val="TableParagraph"/>
              <w:rPr>
                <w:rFonts w:ascii="Times New Roman"/>
                <w:sz w:val="16"/>
              </w:rPr>
            </w:pPr>
          </w:p>
        </w:tc>
        <w:tc>
          <w:tcPr>
            <w:tcW w:w="1440" w:type="dxa"/>
          </w:tcPr>
          <w:p w14:paraId="1765A679" w14:textId="77777777" w:rsidR="00084F36" w:rsidRPr="00EB2BD8" w:rsidRDefault="00084F36">
            <w:pPr>
              <w:pStyle w:val="TableParagraph"/>
              <w:rPr>
                <w:rFonts w:ascii="Times New Roman"/>
                <w:sz w:val="16"/>
              </w:rPr>
            </w:pPr>
          </w:p>
        </w:tc>
        <w:tc>
          <w:tcPr>
            <w:tcW w:w="2488" w:type="dxa"/>
          </w:tcPr>
          <w:p w14:paraId="31B02E26" w14:textId="77777777" w:rsidR="00084F36" w:rsidRPr="00EB2BD8" w:rsidRDefault="00EB2BD8">
            <w:pPr>
              <w:pStyle w:val="TableParagraph"/>
              <w:spacing w:before="19"/>
              <w:ind w:left="330"/>
              <w:rPr>
                <w:sz w:val="16"/>
              </w:rPr>
            </w:pPr>
            <w:r w:rsidRPr="00EB2BD8">
              <w:rPr>
                <w:sz w:val="16"/>
              </w:rPr>
              <w:t>standard</w:t>
            </w:r>
            <w:r w:rsidRPr="00EB2BD8">
              <w:rPr>
                <w:spacing w:val="-9"/>
                <w:sz w:val="16"/>
              </w:rPr>
              <w:t xml:space="preserve"> </w:t>
            </w:r>
            <w:r w:rsidRPr="00EB2BD8">
              <w:rPr>
                <w:sz w:val="16"/>
              </w:rPr>
              <w:t>by</w:t>
            </w:r>
            <w:r w:rsidRPr="00EB2BD8">
              <w:rPr>
                <w:spacing w:val="-8"/>
                <w:sz w:val="16"/>
              </w:rPr>
              <w:t xml:space="preserve"> </w:t>
            </w:r>
            <w:r w:rsidRPr="00EB2BD8">
              <w:rPr>
                <w:sz w:val="16"/>
              </w:rPr>
              <w:t>failing</w:t>
            </w:r>
            <w:r w:rsidRPr="00EB2BD8">
              <w:rPr>
                <w:spacing w:val="-9"/>
                <w:sz w:val="16"/>
              </w:rPr>
              <w:t xml:space="preserve"> </w:t>
            </w:r>
            <w:r w:rsidRPr="00EB2BD8">
              <w:rPr>
                <w:spacing w:val="-5"/>
                <w:sz w:val="16"/>
              </w:rPr>
              <w:t>to</w:t>
            </w:r>
          </w:p>
        </w:tc>
        <w:tc>
          <w:tcPr>
            <w:tcW w:w="2284" w:type="dxa"/>
          </w:tcPr>
          <w:p w14:paraId="4EE73880" w14:textId="77777777" w:rsidR="00084F36" w:rsidRPr="00EB2BD8" w:rsidRDefault="00084F36">
            <w:pPr>
              <w:pStyle w:val="TableParagraph"/>
              <w:rPr>
                <w:rFonts w:ascii="Times New Roman"/>
                <w:sz w:val="16"/>
              </w:rPr>
            </w:pPr>
          </w:p>
        </w:tc>
        <w:tc>
          <w:tcPr>
            <w:tcW w:w="1079" w:type="dxa"/>
          </w:tcPr>
          <w:p w14:paraId="176F7865" w14:textId="77777777" w:rsidR="00084F36" w:rsidRPr="00EB2BD8" w:rsidRDefault="00084F36">
            <w:pPr>
              <w:pStyle w:val="TableParagraph"/>
              <w:rPr>
                <w:rFonts w:ascii="Times New Roman"/>
                <w:sz w:val="16"/>
              </w:rPr>
            </w:pPr>
          </w:p>
        </w:tc>
        <w:tc>
          <w:tcPr>
            <w:tcW w:w="1175" w:type="dxa"/>
          </w:tcPr>
          <w:p w14:paraId="2A6A71C4" w14:textId="77777777" w:rsidR="00084F36" w:rsidRPr="00EB2BD8" w:rsidRDefault="00084F36">
            <w:pPr>
              <w:pStyle w:val="TableParagraph"/>
              <w:rPr>
                <w:rFonts w:ascii="Times New Roman"/>
                <w:sz w:val="16"/>
              </w:rPr>
            </w:pPr>
          </w:p>
        </w:tc>
      </w:tr>
      <w:tr w:rsidR="00EB2BD8" w:rsidRPr="00EB2BD8" w14:paraId="7B4C6BC2" w14:textId="77777777">
        <w:trPr>
          <w:trHeight w:val="229"/>
        </w:trPr>
        <w:tc>
          <w:tcPr>
            <w:tcW w:w="1733" w:type="dxa"/>
          </w:tcPr>
          <w:p w14:paraId="6D03A663" w14:textId="77777777" w:rsidR="00084F36" w:rsidRPr="00EB2BD8" w:rsidRDefault="00084F36">
            <w:pPr>
              <w:pStyle w:val="TableParagraph"/>
              <w:rPr>
                <w:rFonts w:ascii="Times New Roman"/>
                <w:sz w:val="16"/>
              </w:rPr>
            </w:pPr>
          </w:p>
        </w:tc>
        <w:tc>
          <w:tcPr>
            <w:tcW w:w="1440" w:type="dxa"/>
          </w:tcPr>
          <w:p w14:paraId="4013042C" w14:textId="77777777" w:rsidR="00084F36" w:rsidRPr="00EB2BD8" w:rsidRDefault="00084F36">
            <w:pPr>
              <w:pStyle w:val="TableParagraph"/>
              <w:rPr>
                <w:rFonts w:ascii="Times New Roman"/>
                <w:sz w:val="16"/>
              </w:rPr>
            </w:pPr>
          </w:p>
        </w:tc>
        <w:tc>
          <w:tcPr>
            <w:tcW w:w="2488" w:type="dxa"/>
          </w:tcPr>
          <w:p w14:paraId="3493EE84" w14:textId="77777777" w:rsidR="00084F36" w:rsidRPr="00EB2BD8" w:rsidRDefault="00EB2BD8">
            <w:pPr>
              <w:pStyle w:val="TableParagraph"/>
              <w:spacing w:before="19"/>
              <w:ind w:left="330"/>
              <w:rPr>
                <w:sz w:val="16"/>
              </w:rPr>
            </w:pPr>
            <w:r w:rsidRPr="00EB2BD8">
              <w:rPr>
                <w:spacing w:val="-2"/>
                <w:sz w:val="16"/>
              </w:rPr>
              <w:t>ensure</w:t>
            </w:r>
            <w:r w:rsidRPr="00EB2BD8">
              <w:rPr>
                <w:spacing w:val="-5"/>
                <w:sz w:val="16"/>
              </w:rPr>
              <w:t xml:space="preserve"> </w:t>
            </w:r>
            <w:r w:rsidRPr="00EB2BD8">
              <w:rPr>
                <w:spacing w:val="-2"/>
                <w:sz w:val="16"/>
              </w:rPr>
              <w:t>notification</w:t>
            </w:r>
            <w:r w:rsidRPr="00EB2BD8">
              <w:rPr>
                <w:spacing w:val="-4"/>
                <w:sz w:val="16"/>
              </w:rPr>
              <w:t xml:space="preserve"> </w:t>
            </w:r>
            <w:r w:rsidRPr="00EB2BD8">
              <w:rPr>
                <w:spacing w:val="-2"/>
                <w:sz w:val="16"/>
              </w:rPr>
              <w:t>to</w:t>
            </w:r>
            <w:r w:rsidRPr="00EB2BD8">
              <w:rPr>
                <w:spacing w:val="-4"/>
                <w:sz w:val="16"/>
              </w:rPr>
              <w:t xml:space="preserve"> </w:t>
            </w:r>
            <w:r w:rsidRPr="00EB2BD8">
              <w:rPr>
                <w:spacing w:val="-5"/>
                <w:sz w:val="16"/>
              </w:rPr>
              <w:t>and</w:t>
            </w:r>
          </w:p>
        </w:tc>
        <w:tc>
          <w:tcPr>
            <w:tcW w:w="2284" w:type="dxa"/>
          </w:tcPr>
          <w:p w14:paraId="2A321253" w14:textId="77777777" w:rsidR="00084F36" w:rsidRPr="00EB2BD8" w:rsidRDefault="00084F36">
            <w:pPr>
              <w:pStyle w:val="TableParagraph"/>
              <w:rPr>
                <w:rFonts w:ascii="Times New Roman"/>
                <w:sz w:val="16"/>
              </w:rPr>
            </w:pPr>
          </w:p>
        </w:tc>
        <w:tc>
          <w:tcPr>
            <w:tcW w:w="1079" w:type="dxa"/>
          </w:tcPr>
          <w:p w14:paraId="5DF5C1DB" w14:textId="77777777" w:rsidR="00084F36" w:rsidRPr="00EB2BD8" w:rsidRDefault="00084F36">
            <w:pPr>
              <w:pStyle w:val="TableParagraph"/>
              <w:rPr>
                <w:rFonts w:ascii="Times New Roman"/>
                <w:sz w:val="16"/>
              </w:rPr>
            </w:pPr>
          </w:p>
        </w:tc>
        <w:tc>
          <w:tcPr>
            <w:tcW w:w="1175" w:type="dxa"/>
          </w:tcPr>
          <w:p w14:paraId="381AE83E" w14:textId="77777777" w:rsidR="00084F36" w:rsidRPr="00EB2BD8" w:rsidRDefault="00084F36">
            <w:pPr>
              <w:pStyle w:val="TableParagraph"/>
              <w:rPr>
                <w:rFonts w:ascii="Times New Roman"/>
                <w:sz w:val="16"/>
              </w:rPr>
            </w:pPr>
          </w:p>
        </w:tc>
      </w:tr>
      <w:tr w:rsidR="00EB2BD8" w:rsidRPr="00EB2BD8" w14:paraId="5874E276" w14:textId="77777777">
        <w:trPr>
          <w:trHeight w:val="229"/>
        </w:trPr>
        <w:tc>
          <w:tcPr>
            <w:tcW w:w="1733" w:type="dxa"/>
          </w:tcPr>
          <w:p w14:paraId="3DCEFE7E" w14:textId="77777777" w:rsidR="00084F36" w:rsidRPr="00EB2BD8" w:rsidRDefault="00084F36">
            <w:pPr>
              <w:pStyle w:val="TableParagraph"/>
              <w:rPr>
                <w:rFonts w:ascii="Times New Roman"/>
                <w:sz w:val="16"/>
              </w:rPr>
            </w:pPr>
          </w:p>
        </w:tc>
        <w:tc>
          <w:tcPr>
            <w:tcW w:w="1440" w:type="dxa"/>
          </w:tcPr>
          <w:p w14:paraId="4905FBEB" w14:textId="77777777" w:rsidR="00084F36" w:rsidRPr="00EB2BD8" w:rsidRDefault="00084F36">
            <w:pPr>
              <w:pStyle w:val="TableParagraph"/>
              <w:rPr>
                <w:rFonts w:ascii="Times New Roman"/>
                <w:sz w:val="16"/>
              </w:rPr>
            </w:pPr>
          </w:p>
        </w:tc>
        <w:tc>
          <w:tcPr>
            <w:tcW w:w="2488" w:type="dxa"/>
          </w:tcPr>
          <w:p w14:paraId="059E3F8A" w14:textId="77777777" w:rsidR="00084F36" w:rsidRPr="00EB2BD8" w:rsidRDefault="00EB2BD8">
            <w:pPr>
              <w:pStyle w:val="TableParagraph"/>
              <w:spacing w:before="19"/>
              <w:ind w:left="330"/>
              <w:rPr>
                <w:sz w:val="16"/>
              </w:rPr>
            </w:pPr>
            <w:r w:rsidRPr="00EB2BD8">
              <w:rPr>
                <w:spacing w:val="-2"/>
                <w:sz w:val="16"/>
              </w:rPr>
              <w:t>inspection</w:t>
            </w:r>
            <w:r w:rsidRPr="00EB2BD8">
              <w:rPr>
                <w:spacing w:val="-4"/>
                <w:sz w:val="16"/>
              </w:rPr>
              <w:t xml:space="preserve"> </w:t>
            </w:r>
            <w:r w:rsidRPr="00EB2BD8">
              <w:rPr>
                <w:spacing w:val="-2"/>
                <w:sz w:val="16"/>
              </w:rPr>
              <w:t>for</w:t>
            </w:r>
            <w:r w:rsidRPr="00EB2BD8">
              <w:rPr>
                <w:spacing w:val="-4"/>
                <w:sz w:val="16"/>
              </w:rPr>
              <w:t xml:space="preserve"> </w:t>
            </w:r>
            <w:r w:rsidRPr="00EB2BD8">
              <w:rPr>
                <w:spacing w:val="-2"/>
                <w:sz w:val="16"/>
              </w:rPr>
              <w:t>the</w:t>
            </w:r>
            <w:r w:rsidRPr="00EB2BD8">
              <w:rPr>
                <w:spacing w:val="-3"/>
                <w:sz w:val="16"/>
              </w:rPr>
              <w:t xml:space="preserve"> </w:t>
            </w:r>
            <w:r w:rsidRPr="00EB2BD8">
              <w:rPr>
                <w:spacing w:val="-2"/>
                <w:sz w:val="16"/>
              </w:rPr>
              <w:t>relevant</w:t>
            </w:r>
          </w:p>
        </w:tc>
        <w:tc>
          <w:tcPr>
            <w:tcW w:w="2284" w:type="dxa"/>
          </w:tcPr>
          <w:p w14:paraId="22F84A74" w14:textId="77777777" w:rsidR="00084F36" w:rsidRPr="00EB2BD8" w:rsidRDefault="00084F36">
            <w:pPr>
              <w:pStyle w:val="TableParagraph"/>
              <w:rPr>
                <w:rFonts w:ascii="Times New Roman"/>
                <w:sz w:val="16"/>
              </w:rPr>
            </w:pPr>
          </w:p>
        </w:tc>
        <w:tc>
          <w:tcPr>
            <w:tcW w:w="1079" w:type="dxa"/>
          </w:tcPr>
          <w:p w14:paraId="2A4D1C42" w14:textId="77777777" w:rsidR="00084F36" w:rsidRPr="00EB2BD8" w:rsidRDefault="00084F36">
            <w:pPr>
              <w:pStyle w:val="TableParagraph"/>
              <w:rPr>
                <w:rFonts w:ascii="Times New Roman"/>
                <w:sz w:val="16"/>
              </w:rPr>
            </w:pPr>
          </w:p>
        </w:tc>
        <w:tc>
          <w:tcPr>
            <w:tcW w:w="1175" w:type="dxa"/>
          </w:tcPr>
          <w:p w14:paraId="6B41DAD4" w14:textId="77777777" w:rsidR="00084F36" w:rsidRPr="00EB2BD8" w:rsidRDefault="00084F36">
            <w:pPr>
              <w:pStyle w:val="TableParagraph"/>
              <w:rPr>
                <w:rFonts w:ascii="Times New Roman"/>
                <w:sz w:val="16"/>
              </w:rPr>
            </w:pPr>
          </w:p>
        </w:tc>
      </w:tr>
      <w:tr w:rsidR="00EB2BD8" w:rsidRPr="00EB2BD8" w14:paraId="0606219D" w14:textId="77777777">
        <w:trPr>
          <w:trHeight w:val="229"/>
        </w:trPr>
        <w:tc>
          <w:tcPr>
            <w:tcW w:w="1733" w:type="dxa"/>
          </w:tcPr>
          <w:p w14:paraId="1720B4FE" w14:textId="77777777" w:rsidR="00084F36" w:rsidRPr="00EB2BD8" w:rsidRDefault="00084F36">
            <w:pPr>
              <w:pStyle w:val="TableParagraph"/>
              <w:rPr>
                <w:rFonts w:ascii="Times New Roman"/>
                <w:sz w:val="16"/>
              </w:rPr>
            </w:pPr>
          </w:p>
        </w:tc>
        <w:tc>
          <w:tcPr>
            <w:tcW w:w="1440" w:type="dxa"/>
          </w:tcPr>
          <w:p w14:paraId="5CCC2BDE" w14:textId="77777777" w:rsidR="00084F36" w:rsidRPr="00EB2BD8" w:rsidRDefault="00084F36">
            <w:pPr>
              <w:pStyle w:val="TableParagraph"/>
              <w:rPr>
                <w:rFonts w:ascii="Times New Roman"/>
                <w:sz w:val="16"/>
              </w:rPr>
            </w:pPr>
          </w:p>
        </w:tc>
        <w:tc>
          <w:tcPr>
            <w:tcW w:w="2488" w:type="dxa"/>
          </w:tcPr>
          <w:p w14:paraId="1FBBDB50" w14:textId="77777777" w:rsidR="00084F36" w:rsidRPr="00EB2BD8" w:rsidRDefault="00EB2BD8">
            <w:pPr>
              <w:pStyle w:val="TableParagraph"/>
              <w:spacing w:before="19"/>
              <w:ind w:left="330"/>
              <w:rPr>
                <w:sz w:val="16"/>
              </w:rPr>
            </w:pPr>
            <w:r w:rsidRPr="00EB2BD8">
              <w:rPr>
                <w:spacing w:val="-2"/>
                <w:sz w:val="16"/>
              </w:rPr>
              <w:t>building</w:t>
            </w:r>
            <w:r w:rsidRPr="00EB2BD8">
              <w:rPr>
                <w:spacing w:val="-10"/>
                <w:sz w:val="16"/>
              </w:rPr>
              <w:t xml:space="preserve"> </w:t>
            </w:r>
            <w:r w:rsidRPr="00EB2BD8">
              <w:rPr>
                <w:spacing w:val="-2"/>
                <w:sz w:val="16"/>
              </w:rPr>
              <w:t>surveyor</w:t>
            </w:r>
            <w:r w:rsidRPr="00EB2BD8">
              <w:rPr>
                <w:spacing w:val="-10"/>
                <w:sz w:val="16"/>
              </w:rPr>
              <w:t xml:space="preserve"> </w:t>
            </w:r>
            <w:r w:rsidRPr="00EB2BD8">
              <w:rPr>
                <w:spacing w:val="-2"/>
                <w:sz w:val="16"/>
              </w:rPr>
              <w:t>of</w:t>
            </w:r>
            <w:r w:rsidRPr="00EB2BD8">
              <w:rPr>
                <w:spacing w:val="-9"/>
                <w:sz w:val="16"/>
              </w:rPr>
              <w:t xml:space="preserve"> </w:t>
            </w:r>
            <w:r w:rsidRPr="00EB2BD8">
              <w:rPr>
                <w:spacing w:val="-2"/>
                <w:sz w:val="16"/>
              </w:rPr>
              <w:t>safety</w:t>
            </w:r>
          </w:p>
        </w:tc>
        <w:tc>
          <w:tcPr>
            <w:tcW w:w="2284" w:type="dxa"/>
          </w:tcPr>
          <w:p w14:paraId="04D9429D" w14:textId="77777777" w:rsidR="00084F36" w:rsidRPr="00EB2BD8" w:rsidRDefault="00084F36">
            <w:pPr>
              <w:pStyle w:val="TableParagraph"/>
              <w:rPr>
                <w:rFonts w:ascii="Times New Roman"/>
                <w:sz w:val="16"/>
              </w:rPr>
            </w:pPr>
          </w:p>
        </w:tc>
        <w:tc>
          <w:tcPr>
            <w:tcW w:w="1079" w:type="dxa"/>
          </w:tcPr>
          <w:p w14:paraId="1DDD3D81" w14:textId="77777777" w:rsidR="00084F36" w:rsidRPr="00EB2BD8" w:rsidRDefault="00084F36">
            <w:pPr>
              <w:pStyle w:val="TableParagraph"/>
              <w:rPr>
                <w:rFonts w:ascii="Times New Roman"/>
                <w:sz w:val="16"/>
              </w:rPr>
            </w:pPr>
          </w:p>
        </w:tc>
        <w:tc>
          <w:tcPr>
            <w:tcW w:w="1175" w:type="dxa"/>
          </w:tcPr>
          <w:p w14:paraId="4B8D47BE" w14:textId="77777777" w:rsidR="00084F36" w:rsidRPr="00EB2BD8" w:rsidRDefault="00084F36">
            <w:pPr>
              <w:pStyle w:val="TableParagraph"/>
              <w:rPr>
                <w:rFonts w:ascii="Times New Roman"/>
                <w:sz w:val="16"/>
              </w:rPr>
            </w:pPr>
          </w:p>
        </w:tc>
      </w:tr>
      <w:tr w:rsidR="00EB2BD8" w:rsidRPr="00EB2BD8" w14:paraId="383799C4" w14:textId="77777777">
        <w:trPr>
          <w:trHeight w:val="229"/>
        </w:trPr>
        <w:tc>
          <w:tcPr>
            <w:tcW w:w="1733" w:type="dxa"/>
          </w:tcPr>
          <w:p w14:paraId="3444327E" w14:textId="77777777" w:rsidR="00084F36" w:rsidRPr="00EB2BD8" w:rsidRDefault="00084F36">
            <w:pPr>
              <w:pStyle w:val="TableParagraph"/>
              <w:rPr>
                <w:rFonts w:ascii="Times New Roman"/>
                <w:sz w:val="16"/>
              </w:rPr>
            </w:pPr>
          </w:p>
        </w:tc>
        <w:tc>
          <w:tcPr>
            <w:tcW w:w="1440" w:type="dxa"/>
          </w:tcPr>
          <w:p w14:paraId="3751D6ED" w14:textId="77777777" w:rsidR="00084F36" w:rsidRPr="00EB2BD8" w:rsidRDefault="00084F36">
            <w:pPr>
              <w:pStyle w:val="TableParagraph"/>
              <w:rPr>
                <w:rFonts w:ascii="Times New Roman"/>
                <w:sz w:val="16"/>
              </w:rPr>
            </w:pPr>
          </w:p>
        </w:tc>
        <w:tc>
          <w:tcPr>
            <w:tcW w:w="2488" w:type="dxa"/>
          </w:tcPr>
          <w:p w14:paraId="59AF230E" w14:textId="77777777" w:rsidR="00084F36" w:rsidRPr="00EB2BD8" w:rsidRDefault="00EB2BD8">
            <w:pPr>
              <w:pStyle w:val="TableParagraph"/>
              <w:spacing w:before="19"/>
              <w:ind w:left="330"/>
              <w:rPr>
                <w:sz w:val="16"/>
              </w:rPr>
            </w:pPr>
            <w:r w:rsidRPr="00EB2BD8">
              <w:rPr>
                <w:sz w:val="16"/>
              </w:rPr>
              <w:t>precautions</w:t>
            </w:r>
            <w:r w:rsidRPr="00EB2BD8">
              <w:rPr>
                <w:spacing w:val="-11"/>
                <w:sz w:val="16"/>
              </w:rPr>
              <w:t xml:space="preserve"> </w:t>
            </w:r>
            <w:r w:rsidRPr="00EB2BD8">
              <w:rPr>
                <w:sz w:val="16"/>
              </w:rPr>
              <w:t>for</w:t>
            </w:r>
            <w:r w:rsidRPr="00EB2BD8">
              <w:rPr>
                <w:spacing w:val="-11"/>
                <w:sz w:val="16"/>
              </w:rPr>
              <w:t xml:space="preserve"> </w:t>
            </w:r>
            <w:r w:rsidRPr="00EB2BD8">
              <w:rPr>
                <w:spacing w:val="-2"/>
                <w:sz w:val="16"/>
              </w:rPr>
              <w:t>demolition</w:t>
            </w:r>
          </w:p>
        </w:tc>
        <w:tc>
          <w:tcPr>
            <w:tcW w:w="2284" w:type="dxa"/>
          </w:tcPr>
          <w:p w14:paraId="2EE0AB93" w14:textId="77777777" w:rsidR="00084F36" w:rsidRPr="00EB2BD8" w:rsidRDefault="00084F36">
            <w:pPr>
              <w:pStyle w:val="TableParagraph"/>
              <w:rPr>
                <w:rFonts w:ascii="Times New Roman"/>
                <w:sz w:val="16"/>
              </w:rPr>
            </w:pPr>
          </w:p>
        </w:tc>
        <w:tc>
          <w:tcPr>
            <w:tcW w:w="1079" w:type="dxa"/>
          </w:tcPr>
          <w:p w14:paraId="7C22F7EC" w14:textId="77777777" w:rsidR="00084F36" w:rsidRPr="00EB2BD8" w:rsidRDefault="00084F36">
            <w:pPr>
              <w:pStyle w:val="TableParagraph"/>
              <w:rPr>
                <w:rFonts w:ascii="Times New Roman"/>
                <w:sz w:val="16"/>
              </w:rPr>
            </w:pPr>
          </w:p>
        </w:tc>
        <w:tc>
          <w:tcPr>
            <w:tcW w:w="1175" w:type="dxa"/>
          </w:tcPr>
          <w:p w14:paraId="648E0A8C" w14:textId="77777777" w:rsidR="00084F36" w:rsidRPr="00EB2BD8" w:rsidRDefault="00084F36">
            <w:pPr>
              <w:pStyle w:val="TableParagraph"/>
              <w:rPr>
                <w:rFonts w:ascii="Times New Roman"/>
                <w:sz w:val="16"/>
              </w:rPr>
            </w:pPr>
          </w:p>
        </w:tc>
      </w:tr>
      <w:tr w:rsidR="00EB2BD8" w:rsidRPr="00EB2BD8" w14:paraId="514C06D8" w14:textId="77777777">
        <w:trPr>
          <w:trHeight w:val="381"/>
        </w:trPr>
        <w:tc>
          <w:tcPr>
            <w:tcW w:w="1733" w:type="dxa"/>
            <w:tcBorders>
              <w:bottom w:val="single" w:sz="2" w:space="0" w:color="000000"/>
            </w:tcBorders>
          </w:tcPr>
          <w:p w14:paraId="4812C62D" w14:textId="77777777" w:rsidR="00084F36" w:rsidRPr="00EB2BD8" w:rsidRDefault="00084F36">
            <w:pPr>
              <w:pStyle w:val="TableParagraph"/>
              <w:rPr>
                <w:rFonts w:ascii="Times New Roman"/>
                <w:sz w:val="16"/>
              </w:rPr>
            </w:pPr>
          </w:p>
        </w:tc>
        <w:tc>
          <w:tcPr>
            <w:tcW w:w="1440" w:type="dxa"/>
            <w:tcBorders>
              <w:bottom w:val="single" w:sz="2" w:space="0" w:color="000000"/>
            </w:tcBorders>
          </w:tcPr>
          <w:p w14:paraId="13497B40" w14:textId="77777777" w:rsidR="00084F36" w:rsidRPr="00EB2BD8" w:rsidRDefault="00084F36">
            <w:pPr>
              <w:pStyle w:val="TableParagraph"/>
              <w:rPr>
                <w:rFonts w:ascii="Times New Roman"/>
                <w:sz w:val="16"/>
              </w:rPr>
            </w:pPr>
          </w:p>
        </w:tc>
        <w:tc>
          <w:tcPr>
            <w:tcW w:w="2488" w:type="dxa"/>
            <w:tcBorders>
              <w:bottom w:val="single" w:sz="2" w:space="0" w:color="000000"/>
            </w:tcBorders>
          </w:tcPr>
          <w:p w14:paraId="050A03FF" w14:textId="77777777" w:rsidR="00084F36" w:rsidRPr="00EB2BD8" w:rsidRDefault="00EB2BD8">
            <w:pPr>
              <w:pStyle w:val="TableParagraph"/>
              <w:spacing w:before="19"/>
              <w:ind w:left="330"/>
              <w:rPr>
                <w:sz w:val="16"/>
              </w:rPr>
            </w:pPr>
            <w:r w:rsidRPr="00EB2BD8">
              <w:rPr>
                <w:sz w:val="16"/>
              </w:rPr>
              <w:t>for</w:t>
            </w:r>
            <w:r w:rsidRPr="00EB2BD8">
              <w:rPr>
                <w:spacing w:val="-4"/>
                <w:sz w:val="16"/>
              </w:rPr>
              <w:t xml:space="preserve"> </w:t>
            </w:r>
            <w:r w:rsidRPr="00EB2BD8">
              <w:rPr>
                <w:sz w:val="16"/>
              </w:rPr>
              <w:t>a</w:t>
            </w:r>
            <w:r w:rsidRPr="00EB2BD8">
              <w:rPr>
                <w:spacing w:val="-4"/>
                <w:sz w:val="16"/>
              </w:rPr>
              <w:t xml:space="preserve"> </w:t>
            </w:r>
            <w:r w:rsidRPr="00EB2BD8">
              <w:rPr>
                <w:sz w:val="16"/>
              </w:rPr>
              <w:t>site</w:t>
            </w:r>
            <w:r w:rsidRPr="00EB2BD8">
              <w:rPr>
                <w:spacing w:val="-4"/>
                <w:sz w:val="16"/>
              </w:rPr>
              <w:t xml:space="preserve"> </w:t>
            </w:r>
            <w:r w:rsidRPr="00EB2BD8">
              <w:rPr>
                <w:sz w:val="16"/>
              </w:rPr>
              <w:t>at</w:t>
            </w:r>
            <w:r w:rsidRPr="00EB2BD8">
              <w:rPr>
                <w:spacing w:val="-4"/>
                <w:sz w:val="16"/>
              </w:rPr>
              <w:t xml:space="preserve"> </w:t>
            </w:r>
            <w:r w:rsidRPr="00EB2BD8">
              <w:rPr>
                <w:sz w:val="16"/>
              </w:rPr>
              <w:t>Ocean</w:t>
            </w:r>
            <w:r w:rsidRPr="00EB2BD8">
              <w:rPr>
                <w:spacing w:val="-4"/>
                <w:sz w:val="16"/>
              </w:rPr>
              <w:t xml:space="preserve"> </w:t>
            </w:r>
            <w:r w:rsidRPr="00EB2BD8">
              <w:rPr>
                <w:spacing w:val="-2"/>
                <w:sz w:val="16"/>
              </w:rPr>
              <w:t>Grove.</w:t>
            </w:r>
          </w:p>
        </w:tc>
        <w:tc>
          <w:tcPr>
            <w:tcW w:w="2284" w:type="dxa"/>
            <w:tcBorders>
              <w:bottom w:val="single" w:sz="2" w:space="0" w:color="000000"/>
            </w:tcBorders>
          </w:tcPr>
          <w:p w14:paraId="6C47F486"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1F7C9CF0"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0A9D582A" w14:textId="77777777" w:rsidR="00084F36" w:rsidRPr="00EB2BD8" w:rsidRDefault="00084F36">
            <w:pPr>
              <w:pStyle w:val="TableParagraph"/>
              <w:rPr>
                <w:rFonts w:ascii="Times New Roman"/>
                <w:sz w:val="16"/>
              </w:rPr>
            </w:pPr>
          </w:p>
        </w:tc>
      </w:tr>
      <w:tr w:rsidR="00EB2BD8" w:rsidRPr="00EB2BD8" w14:paraId="7A7C892A" w14:textId="77777777">
        <w:trPr>
          <w:trHeight w:val="324"/>
        </w:trPr>
        <w:tc>
          <w:tcPr>
            <w:tcW w:w="1733" w:type="dxa"/>
            <w:tcBorders>
              <w:top w:val="single" w:sz="2" w:space="0" w:color="000000"/>
            </w:tcBorders>
          </w:tcPr>
          <w:p w14:paraId="6CAF6029" w14:textId="77777777" w:rsidR="00084F36" w:rsidRPr="00EB2BD8" w:rsidRDefault="00EB2BD8">
            <w:pPr>
              <w:pStyle w:val="TableParagraph"/>
              <w:spacing w:before="114"/>
              <w:ind w:left="113"/>
              <w:rPr>
                <w:sz w:val="16"/>
              </w:rPr>
            </w:pPr>
            <w:r w:rsidRPr="00EB2BD8">
              <w:rPr>
                <w:spacing w:val="-2"/>
                <w:sz w:val="16"/>
              </w:rPr>
              <w:t>LUCAS,</w:t>
            </w:r>
            <w:r w:rsidRPr="00EB2BD8">
              <w:rPr>
                <w:spacing w:val="-7"/>
                <w:sz w:val="16"/>
              </w:rPr>
              <w:t xml:space="preserve"> </w:t>
            </w:r>
            <w:r w:rsidRPr="00EB2BD8">
              <w:rPr>
                <w:spacing w:val="-2"/>
                <w:sz w:val="16"/>
              </w:rPr>
              <w:t>Ronald</w:t>
            </w:r>
          </w:p>
        </w:tc>
        <w:tc>
          <w:tcPr>
            <w:tcW w:w="1440" w:type="dxa"/>
            <w:tcBorders>
              <w:top w:val="single" w:sz="2" w:space="0" w:color="000000"/>
            </w:tcBorders>
          </w:tcPr>
          <w:p w14:paraId="1F0900FA" w14:textId="77777777" w:rsidR="00084F36" w:rsidRPr="00EB2BD8" w:rsidRDefault="00EB2BD8">
            <w:pPr>
              <w:pStyle w:val="TableParagraph"/>
              <w:spacing w:before="114"/>
              <w:ind w:left="137"/>
              <w:rPr>
                <w:sz w:val="16"/>
              </w:rPr>
            </w:pPr>
            <w:r w:rsidRPr="00EB2BD8">
              <w:rPr>
                <w:sz w:val="16"/>
              </w:rPr>
              <w:t>DB-U</w:t>
            </w:r>
            <w:r w:rsidRPr="00EB2BD8">
              <w:rPr>
                <w:spacing w:val="22"/>
                <w:sz w:val="16"/>
              </w:rPr>
              <w:t xml:space="preserve"> </w:t>
            </w:r>
            <w:r w:rsidRPr="00EB2BD8">
              <w:rPr>
                <w:spacing w:val="-2"/>
                <w:sz w:val="16"/>
              </w:rPr>
              <w:t>37940</w:t>
            </w:r>
          </w:p>
        </w:tc>
        <w:tc>
          <w:tcPr>
            <w:tcW w:w="2488" w:type="dxa"/>
            <w:tcBorders>
              <w:top w:val="single" w:sz="2" w:space="0" w:color="000000"/>
            </w:tcBorders>
          </w:tcPr>
          <w:p w14:paraId="377748DE" w14:textId="77777777" w:rsidR="00084F36" w:rsidRPr="00EB2BD8" w:rsidRDefault="00EB2BD8">
            <w:pPr>
              <w:pStyle w:val="TableParagraph"/>
              <w:spacing w:before="114"/>
              <w:ind w:left="330"/>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84" w:type="dxa"/>
            <w:tcBorders>
              <w:top w:val="single" w:sz="2" w:space="0" w:color="000000"/>
            </w:tcBorders>
          </w:tcPr>
          <w:p w14:paraId="76334283" w14:textId="77777777" w:rsidR="00084F36" w:rsidRPr="00EB2BD8" w:rsidRDefault="00EB2BD8">
            <w:pPr>
              <w:pStyle w:val="TableParagraph"/>
              <w:spacing w:before="114"/>
              <w:ind w:left="121"/>
              <w:rPr>
                <w:sz w:val="16"/>
              </w:rPr>
            </w:pPr>
            <w:r w:rsidRPr="00EB2BD8">
              <w:rPr>
                <w:spacing w:val="-2"/>
                <w:sz w:val="16"/>
              </w:rPr>
              <w:t>Reprimand,</w:t>
            </w:r>
            <w:r w:rsidRPr="00EB2BD8">
              <w:rPr>
                <w:spacing w:val="2"/>
                <w:sz w:val="16"/>
              </w:rPr>
              <w:t xml:space="preserve"> </w:t>
            </w:r>
            <w:r w:rsidRPr="00EB2BD8">
              <w:rPr>
                <w:spacing w:val="-2"/>
                <w:sz w:val="16"/>
              </w:rPr>
              <w:t>registration</w:t>
            </w:r>
          </w:p>
        </w:tc>
        <w:tc>
          <w:tcPr>
            <w:tcW w:w="1079" w:type="dxa"/>
            <w:tcBorders>
              <w:top w:val="single" w:sz="2" w:space="0" w:color="000000"/>
            </w:tcBorders>
          </w:tcPr>
          <w:p w14:paraId="278BA1F0" w14:textId="77777777" w:rsidR="00084F36" w:rsidRPr="00EB2BD8" w:rsidRDefault="00EB2BD8">
            <w:pPr>
              <w:pStyle w:val="TableParagraph"/>
              <w:spacing w:before="114"/>
              <w:ind w:right="109"/>
              <w:jc w:val="right"/>
              <w:rPr>
                <w:sz w:val="16"/>
              </w:rPr>
            </w:pPr>
            <w:r w:rsidRPr="00EB2BD8">
              <w:rPr>
                <w:w w:val="135"/>
                <w:sz w:val="16"/>
              </w:rPr>
              <w:t>-</w:t>
            </w:r>
          </w:p>
        </w:tc>
        <w:tc>
          <w:tcPr>
            <w:tcW w:w="1175" w:type="dxa"/>
            <w:tcBorders>
              <w:top w:val="single" w:sz="2" w:space="0" w:color="000000"/>
            </w:tcBorders>
          </w:tcPr>
          <w:p w14:paraId="32D041E4" w14:textId="77777777" w:rsidR="00084F36" w:rsidRPr="00EB2BD8" w:rsidRDefault="00EB2BD8">
            <w:pPr>
              <w:pStyle w:val="TableParagraph"/>
              <w:spacing w:before="114"/>
              <w:ind w:left="114"/>
              <w:rPr>
                <w:sz w:val="16"/>
              </w:rPr>
            </w:pPr>
            <w:r w:rsidRPr="00EB2BD8">
              <w:rPr>
                <w:spacing w:val="-2"/>
                <w:sz w:val="16"/>
              </w:rPr>
              <w:t>26/04/2023</w:t>
            </w:r>
          </w:p>
        </w:tc>
      </w:tr>
      <w:tr w:rsidR="00EB2BD8" w:rsidRPr="00EB2BD8" w14:paraId="7BED967B" w14:textId="77777777">
        <w:trPr>
          <w:trHeight w:val="229"/>
        </w:trPr>
        <w:tc>
          <w:tcPr>
            <w:tcW w:w="1733" w:type="dxa"/>
          </w:tcPr>
          <w:p w14:paraId="16A6F916" w14:textId="77777777" w:rsidR="00084F36" w:rsidRPr="00EB2BD8" w:rsidRDefault="00084F36">
            <w:pPr>
              <w:pStyle w:val="TableParagraph"/>
              <w:rPr>
                <w:rFonts w:ascii="Times New Roman"/>
                <w:sz w:val="16"/>
              </w:rPr>
            </w:pPr>
          </w:p>
        </w:tc>
        <w:tc>
          <w:tcPr>
            <w:tcW w:w="1440" w:type="dxa"/>
          </w:tcPr>
          <w:p w14:paraId="1EAE78F7" w14:textId="77777777" w:rsidR="00084F36" w:rsidRPr="00EB2BD8" w:rsidRDefault="00084F36">
            <w:pPr>
              <w:pStyle w:val="TableParagraph"/>
              <w:rPr>
                <w:rFonts w:ascii="Times New Roman"/>
                <w:sz w:val="16"/>
              </w:rPr>
            </w:pPr>
          </w:p>
        </w:tc>
        <w:tc>
          <w:tcPr>
            <w:tcW w:w="2488" w:type="dxa"/>
          </w:tcPr>
          <w:p w14:paraId="26636982" w14:textId="77777777" w:rsidR="00084F36" w:rsidRPr="00EB2BD8" w:rsidRDefault="00EB2BD8">
            <w:pPr>
              <w:pStyle w:val="TableParagraph"/>
              <w:spacing w:before="19"/>
              <w:ind w:left="330"/>
              <w:rPr>
                <w:sz w:val="16"/>
              </w:rPr>
            </w:pPr>
            <w:r w:rsidRPr="00EB2BD8">
              <w:rPr>
                <w:sz w:val="16"/>
              </w:rPr>
              <w:t xml:space="preserve">company under </w:t>
            </w:r>
            <w:r w:rsidRPr="00EB2BD8">
              <w:rPr>
                <w:spacing w:val="-2"/>
                <w:sz w:val="16"/>
              </w:rPr>
              <w:t>external</w:t>
            </w:r>
          </w:p>
        </w:tc>
        <w:tc>
          <w:tcPr>
            <w:tcW w:w="2284" w:type="dxa"/>
          </w:tcPr>
          <w:p w14:paraId="4ED36888" w14:textId="77777777" w:rsidR="00084F36" w:rsidRPr="00EB2BD8" w:rsidRDefault="00EB2BD8">
            <w:pPr>
              <w:pStyle w:val="TableParagraph"/>
              <w:spacing w:before="19"/>
              <w:ind w:left="121"/>
              <w:rPr>
                <w:sz w:val="16"/>
              </w:rPr>
            </w:pPr>
            <w:r w:rsidRPr="00EB2BD8">
              <w:rPr>
                <w:spacing w:val="-2"/>
                <w:sz w:val="16"/>
              </w:rPr>
              <w:t>condition limiting</w:t>
            </w:r>
          </w:p>
        </w:tc>
        <w:tc>
          <w:tcPr>
            <w:tcW w:w="1079" w:type="dxa"/>
          </w:tcPr>
          <w:p w14:paraId="1F5E0E1D" w14:textId="77777777" w:rsidR="00084F36" w:rsidRPr="00EB2BD8" w:rsidRDefault="00084F36">
            <w:pPr>
              <w:pStyle w:val="TableParagraph"/>
              <w:rPr>
                <w:rFonts w:ascii="Times New Roman"/>
                <w:sz w:val="16"/>
              </w:rPr>
            </w:pPr>
          </w:p>
        </w:tc>
        <w:tc>
          <w:tcPr>
            <w:tcW w:w="1175" w:type="dxa"/>
          </w:tcPr>
          <w:p w14:paraId="765026CE" w14:textId="77777777" w:rsidR="00084F36" w:rsidRPr="00EB2BD8" w:rsidRDefault="00084F36">
            <w:pPr>
              <w:pStyle w:val="TableParagraph"/>
              <w:rPr>
                <w:rFonts w:ascii="Times New Roman"/>
                <w:sz w:val="16"/>
              </w:rPr>
            </w:pPr>
          </w:p>
        </w:tc>
      </w:tr>
      <w:tr w:rsidR="00EB2BD8" w:rsidRPr="00EB2BD8" w14:paraId="78F6E696" w14:textId="77777777">
        <w:trPr>
          <w:trHeight w:val="229"/>
        </w:trPr>
        <w:tc>
          <w:tcPr>
            <w:tcW w:w="1733" w:type="dxa"/>
          </w:tcPr>
          <w:p w14:paraId="64B2F161" w14:textId="77777777" w:rsidR="00084F36" w:rsidRPr="00EB2BD8" w:rsidRDefault="00084F36">
            <w:pPr>
              <w:pStyle w:val="TableParagraph"/>
              <w:rPr>
                <w:rFonts w:ascii="Times New Roman"/>
                <w:sz w:val="16"/>
              </w:rPr>
            </w:pPr>
          </w:p>
        </w:tc>
        <w:tc>
          <w:tcPr>
            <w:tcW w:w="1440" w:type="dxa"/>
          </w:tcPr>
          <w:p w14:paraId="3FE30A74" w14:textId="77777777" w:rsidR="00084F36" w:rsidRPr="00EB2BD8" w:rsidRDefault="00084F36">
            <w:pPr>
              <w:pStyle w:val="TableParagraph"/>
              <w:rPr>
                <w:rFonts w:ascii="Times New Roman"/>
                <w:sz w:val="16"/>
              </w:rPr>
            </w:pPr>
          </w:p>
        </w:tc>
        <w:tc>
          <w:tcPr>
            <w:tcW w:w="2488" w:type="dxa"/>
          </w:tcPr>
          <w:p w14:paraId="0414D36B" w14:textId="77777777" w:rsidR="00084F36" w:rsidRPr="00EB2BD8" w:rsidRDefault="00EB2BD8">
            <w:pPr>
              <w:pStyle w:val="TableParagraph"/>
              <w:spacing w:before="19"/>
              <w:ind w:left="330"/>
              <w:rPr>
                <w:sz w:val="16"/>
              </w:rPr>
            </w:pPr>
            <w:r w:rsidRPr="00EB2BD8">
              <w:rPr>
                <w:spacing w:val="-2"/>
                <w:sz w:val="16"/>
              </w:rPr>
              <w:t>administration.</w:t>
            </w:r>
          </w:p>
        </w:tc>
        <w:tc>
          <w:tcPr>
            <w:tcW w:w="2284" w:type="dxa"/>
          </w:tcPr>
          <w:p w14:paraId="2DFF6A18" w14:textId="77777777" w:rsidR="00084F36" w:rsidRPr="00EB2BD8" w:rsidRDefault="00EB2BD8">
            <w:pPr>
              <w:pStyle w:val="TableParagraph"/>
              <w:spacing w:before="19"/>
              <w:ind w:left="121"/>
              <w:rPr>
                <w:sz w:val="16"/>
              </w:rPr>
            </w:pPr>
            <w:r w:rsidRPr="00EB2BD8">
              <w:rPr>
                <w:spacing w:val="-2"/>
                <w:sz w:val="16"/>
              </w:rPr>
              <w:t>practitioner</w:t>
            </w:r>
            <w:r w:rsidRPr="00EB2BD8">
              <w:rPr>
                <w:spacing w:val="-5"/>
                <w:sz w:val="16"/>
              </w:rPr>
              <w:t xml:space="preserve"> </w:t>
            </w:r>
            <w:r w:rsidRPr="00EB2BD8">
              <w:rPr>
                <w:spacing w:val="-2"/>
                <w:sz w:val="16"/>
              </w:rPr>
              <w:t>to</w:t>
            </w:r>
            <w:r w:rsidRPr="00EB2BD8">
              <w:rPr>
                <w:spacing w:val="-4"/>
                <w:sz w:val="16"/>
              </w:rPr>
              <w:t xml:space="preserve"> </w:t>
            </w:r>
            <w:r w:rsidRPr="00EB2BD8">
              <w:rPr>
                <w:spacing w:val="-2"/>
                <w:sz w:val="16"/>
              </w:rPr>
              <w:t>two</w:t>
            </w:r>
            <w:r w:rsidRPr="00EB2BD8">
              <w:rPr>
                <w:spacing w:val="-4"/>
                <w:sz w:val="16"/>
              </w:rPr>
              <w:t xml:space="preserve"> live</w:t>
            </w:r>
          </w:p>
        </w:tc>
        <w:tc>
          <w:tcPr>
            <w:tcW w:w="1079" w:type="dxa"/>
          </w:tcPr>
          <w:p w14:paraId="3A95D35D" w14:textId="77777777" w:rsidR="00084F36" w:rsidRPr="00EB2BD8" w:rsidRDefault="00084F36">
            <w:pPr>
              <w:pStyle w:val="TableParagraph"/>
              <w:rPr>
                <w:rFonts w:ascii="Times New Roman"/>
                <w:sz w:val="16"/>
              </w:rPr>
            </w:pPr>
          </w:p>
        </w:tc>
        <w:tc>
          <w:tcPr>
            <w:tcW w:w="1175" w:type="dxa"/>
          </w:tcPr>
          <w:p w14:paraId="20DA7CEA" w14:textId="77777777" w:rsidR="00084F36" w:rsidRPr="00EB2BD8" w:rsidRDefault="00084F36">
            <w:pPr>
              <w:pStyle w:val="TableParagraph"/>
              <w:rPr>
                <w:rFonts w:ascii="Times New Roman"/>
                <w:sz w:val="16"/>
              </w:rPr>
            </w:pPr>
          </w:p>
        </w:tc>
      </w:tr>
      <w:tr w:rsidR="00EB2BD8" w:rsidRPr="00EB2BD8" w14:paraId="40427CB1" w14:textId="77777777">
        <w:trPr>
          <w:trHeight w:val="229"/>
        </w:trPr>
        <w:tc>
          <w:tcPr>
            <w:tcW w:w="1733" w:type="dxa"/>
          </w:tcPr>
          <w:p w14:paraId="32F8F092" w14:textId="77777777" w:rsidR="00084F36" w:rsidRPr="00EB2BD8" w:rsidRDefault="00084F36">
            <w:pPr>
              <w:pStyle w:val="TableParagraph"/>
              <w:rPr>
                <w:rFonts w:ascii="Times New Roman"/>
                <w:sz w:val="16"/>
              </w:rPr>
            </w:pPr>
          </w:p>
        </w:tc>
        <w:tc>
          <w:tcPr>
            <w:tcW w:w="1440" w:type="dxa"/>
          </w:tcPr>
          <w:p w14:paraId="1331D00F" w14:textId="77777777" w:rsidR="00084F36" w:rsidRPr="00EB2BD8" w:rsidRDefault="00084F36">
            <w:pPr>
              <w:pStyle w:val="TableParagraph"/>
              <w:rPr>
                <w:rFonts w:ascii="Times New Roman"/>
                <w:sz w:val="16"/>
              </w:rPr>
            </w:pPr>
          </w:p>
        </w:tc>
        <w:tc>
          <w:tcPr>
            <w:tcW w:w="2488" w:type="dxa"/>
          </w:tcPr>
          <w:p w14:paraId="790779B5" w14:textId="77777777" w:rsidR="00084F36" w:rsidRPr="00EB2BD8" w:rsidRDefault="00084F36">
            <w:pPr>
              <w:pStyle w:val="TableParagraph"/>
              <w:rPr>
                <w:rFonts w:ascii="Times New Roman"/>
                <w:sz w:val="16"/>
              </w:rPr>
            </w:pPr>
          </w:p>
        </w:tc>
        <w:tc>
          <w:tcPr>
            <w:tcW w:w="2284" w:type="dxa"/>
          </w:tcPr>
          <w:p w14:paraId="2ED4FFAE" w14:textId="77777777" w:rsidR="00084F36" w:rsidRPr="00EB2BD8" w:rsidRDefault="00EB2BD8">
            <w:pPr>
              <w:pStyle w:val="TableParagraph"/>
              <w:spacing w:before="19"/>
              <w:ind w:left="121"/>
              <w:rPr>
                <w:sz w:val="16"/>
              </w:rPr>
            </w:pPr>
            <w:r w:rsidRPr="00EB2BD8">
              <w:rPr>
                <w:sz w:val="16"/>
              </w:rPr>
              <w:t>concurrent</w:t>
            </w:r>
            <w:r w:rsidRPr="00EB2BD8">
              <w:rPr>
                <w:spacing w:val="-8"/>
                <w:sz w:val="16"/>
              </w:rPr>
              <w:t xml:space="preserve"> </w:t>
            </w:r>
            <w:r w:rsidRPr="00EB2BD8">
              <w:rPr>
                <w:spacing w:val="-2"/>
                <w:sz w:val="16"/>
              </w:rPr>
              <w:t>building</w:t>
            </w:r>
          </w:p>
        </w:tc>
        <w:tc>
          <w:tcPr>
            <w:tcW w:w="1079" w:type="dxa"/>
          </w:tcPr>
          <w:p w14:paraId="3C61717B" w14:textId="77777777" w:rsidR="00084F36" w:rsidRPr="00EB2BD8" w:rsidRDefault="00084F36">
            <w:pPr>
              <w:pStyle w:val="TableParagraph"/>
              <w:rPr>
                <w:rFonts w:ascii="Times New Roman"/>
                <w:sz w:val="16"/>
              </w:rPr>
            </w:pPr>
          </w:p>
        </w:tc>
        <w:tc>
          <w:tcPr>
            <w:tcW w:w="1175" w:type="dxa"/>
          </w:tcPr>
          <w:p w14:paraId="014B492A" w14:textId="77777777" w:rsidR="00084F36" w:rsidRPr="00EB2BD8" w:rsidRDefault="00084F36">
            <w:pPr>
              <w:pStyle w:val="TableParagraph"/>
              <w:rPr>
                <w:rFonts w:ascii="Times New Roman"/>
                <w:sz w:val="16"/>
              </w:rPr>
            </w:pPr>
          </w:p>
        </w:tc>
      </w:tr>
      <w:tr w:rsidR="00EB2BD8" w:rsidRPr="00EB2BD8" w14:paraId="55687DBE" w14:textId="77777777">
        <w:trPr>
          <w:trHeight w:val="287"/>
        </w:trPr>
        <w:tc>
          <w:tcPr>
            <w:tcW w:w="1733" w:type="dxa"/>
            <w:tcBorders>
              <w:bottom w:val="single" w:sz="2" w:space="0" w:color="000000"/>
            </w:tcBorders>
          </w:tcPr>
          <w:p w14:paraId="51B66120" w14:textId="77777777" w:rsidR="00084F36" w:rsidRPr="00EB2BD8" w:rsidRDefault="00084F36">
            <w:pPr>
              <w:pStyle w:val="TableParagraph"/>
              <w:rPr>
                <w:rFonts w:ascii="Times New Roman"/>
                <w:sz w:val="16"/>
              </w:rPr>
            </w:pPr>
          </w:p>
        </w:tc>
        <w:tc>
          <w:tcPr>
            <w:tcW w:w="1440" w:type="dxa"/>
            <w:tcBorders>
              <w:bottom w:val="single" w:sz="2" w:space="0" w:color="000000"/>
            </w:tcBorders>
          </w:tcPr>
          <w:p w14:paraId="5CB8F139" w14:textId="77777777" w:rsidR="00084F36" w:rsidRPr="00EB2BD8" w:rsidRDefault="00084F36">
            <w:pPr>
              <w:pStyle w:val="TableParagraph"/>
              <w:rPr>
                <w:rFonts w:ascii="Times New Roman"/>
                <w:sz w:val="16"/>
              </w:rPr>
            </w:pPr>
          </w:p>
        </w:tc>
        <w:tc>
          <w:tcPr>
            <w:tcW w:w="2488" w:type="dxa"/>
            <w:tcBorders>
              <w:bottom w:val="single" w:sz="2" w:space="0" w:color="000000"/>
            </w:tcBorders>
          </w:tcPr>
          <w:p w14:paraId="3E0B076D" w14:textId="77777777" w:rsidR="00084F36" w:rsidRPr="00EB2BD8" w:rsidRDefault="00084F36">
            <w:pPr>
              <w:pStyle w:val="TableParagraph"/>
              <w:rPr>
                <w:rFonts w:ascii="Times New Roman"/>
                <w:sz w:val="16"/>
              </w:rPr>
            </w:pPr>
          </w:p>
        </w:tc>
        <w:tc>
          <w:tcPr>
            <w:tcW w:w="2284" w:type="dxa"/>
            <w:tcBorders>
              <w:bottom w:val="single" w:sz="2" w:space="0" w:color="000000"/>
            </w:tcBorders>
          </w:tcPr>
          <w:p w14:paraId="4828B3C5" w14:textId="77777777" w:rsidR="00084F36" w:rsidRPr="00EB2BD8" w:rsidRDefault="00EB2BD8">
            <w:pPr>
              <w:pStyle w:val="TableParagraph"/>
              <w:spacing w:before="19"/>
              <w:ind w:left="121"/>
              <w:rPr>
                <w:sz w:val="16"/>
              </w:rPr>
            </w:pPr>
            <w:r w:rsidRPr="00EB2BD8">
              <w:rPr>
                <w:spacing w:val="-4"/>
                <w:sz w:val="16"/>
              </w:rPr>
              <w:t>permits</w:t>
            </w:r>
            <w:r w:rsidRPr="00EB2BD8">
              <w:rPr>
                <w:spacing w:val="-9"/>
                <w:sz w:val="16"/>
              </w:rPr>
              <w:t xml:space="preserve"> </w:t>
            </w:r>
            <w:r w:rsidRPr="00EB2BD8">
              <w:rPr>
                <w:spacing w:val="-4"/>
                <w:sz w:val="16"/>
              </w:rPr>
              <w:t>for</w:t>
            </w:r>
            <w:r w:rsidRPr="00EB2BD8">
              <w:rPr>
                <w:spacing w:val="-9"/>
                <w:sz w:val="16"/>
              </w:rPr>
              <w:t xml:space="preserve"> </w:t>
            </w:r>
            <w:r w:rsidRPr="00EB2BD8">
              <w:rPr>
                <w:spacing w:val="-4"/>
                <w:sz w:val="16"/>
              </w:rPr>
              <w:t>2</w:t>
            </w:r>
            <w:r w:rsidRPr="00EB2BD8">
              <w:rPr>
                <w:spacing w:val="-9"/>
                <w:sz w:val="16"/>
              </w:rPr>
              <w:t xml:space="preserve"> </w:t>
            </w:r>
            <w:r w:rsidRPr="00EB2BD8">
              <w:rPr>
                <w:spacing w:val="-4"/>
                <w:sz w:val="16"/>
              </w:rPr>
              <w:t>years.</w:t>
            </w:r>
          </w:p>
        </w:tc>
        <w:tc>
          <w:tcPr>
            <w:tcW w:w="1079" w:type="dxa"/>
            <w:tcBorders>
              <w:bottom w:val="single" w:sz="2" w:space="0" w:color="000000"/>
            </w:tcBorders>
          </w:tcPr>
          <w:p w14:paraId="5C8557DE"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0288CE8C" w14:textId="77777777" w:rsidR="00084F36" w:rsidRPr="00EB2BD8" w:rsidRDefault="00084F36">
            <w:pPr>
              <w:pStyle w:val="TableParagraph"/>
              <w:rPr>
                <w:rFonts w:ascii="Times New Roman"/>
                <w:sz w:val="16"/>
              </w:rPr>
            </w:pPr>
          </w:p>
        </w:tc>
      </w:tr>
      <w:tr w:rsidR="00EB2BD8" w:rsidRPr="00EB2BD8" w14:paraId="12985D82" w14:textId="77777777">
        <w:trPr>
          <w:trHeight w:val="324"/>
        </w:trPr>
        <w:tc>
          <w:tcPr>
            <w:tcW w:w="1733" w:type="dxa"/>
            <w:tcBorders>
              <w:top w:val="single" w:sz="2" w:space="0" w:color="000000"/>
            </w:tcBorders>
          </w:tcPr>
          <w:p w14:paraId="24ACB44D" w14:textId="77777777" w:rsidR="00084F36" w:rsidRPr="00EB2BD8" w:rsidRDefault="00EB2BD8">
            <w:pPr>
              <w:pStyle w:val="TableParagraph"/>
              <w:spacing w:before="113"/>
              <w:ind w:left="113"/>
              <w:rPr>
                <w:sz w:val="16"/>
              </w:rPr>
            </w:pPr>
            <w:r w:rsidRPr="00EB2BD8">
              <w:rPr>
                <w:spacing w:val="-5"/>
                <w:sz w:val="16"/>
              </w:rPr>
              <w:t xml:space="preserve">LYNCH, </w:t>
            </w:r>
            <w:r w:rsidRPr="00EB2BD8">
              <w:rPr>
                <w:spacing w:val="-4"/>
                <w:sz w:val="16"/>
              </w:rPr>
              <w:t>Alan</w:t>
            </w:r>
          </w:p>
        </w:tc>
        <w:tc>
          <w:tcPr>
            <w:tcW w:w="1440" w:type="dxa"/>
            <w:tcBorders>
              <w:top w:val="single" w:sz="2" w:space="0" w:color="000000"/>
            </w:tcBorders>
          </w:tcPr>
          <w:p w14:paraId="108DA306" w14:textId="77777777" w:rsidR="00084F36" w:rsidRPr="00EB2BD8" w:rsidRDefault="00EB2BD8">
            <w:pPr>
              <w:pStyle w:val="TableParagraph"/>
              <w:spacing w:before="113"/>
              <w:ind w:left="137"/>
              <w:rPr>
                <w:sz w:val="16"/>
              </w:rPr>
            </w:pPr>
            <w:r w:rsidRPr="00EB2BD8">
              <w:rPr>
                <w:sz w:val="16"/>
              </w:rPr>
              <w:t>DB-U</w:t>
            </w:r>
            <w:r w:rsidRPr="00EB2BD8">
              <w:rPr>
                <w:spacing w:val="22"/>
                <w:sz w:val="16"/>
              </w:rPr>
              <w:t xml:space="preserve"> </w:t>
            </w:r>
            <w:r w:rsidRPr="00EB2BD8">
              <w:rPr>
                <w:spacing w:val="-4"/>
                <w:sz w:val="16"/>
              </w:rPr>
              <w:t>8642</w:t>
            </w:r>
          </w:p>
        </w:tc>
        <w:tc>
          <w:tcPr>
            <w:tcW w:w="2488" w:type="dxa"/>
            <w:tcBorders>
              <w:top w:val="single" w:sz="2" w:space="0" w:color="000000"/>
            </w:tcBorders>
          </w:tcPr>
          <w:p w14:paraId="24B3E7BC" w14:textId="77777777" w:rsidR="00084F36" w:rsidRPr="00EB2BD8" w:rsidRDefault="00EB2BD8">
            <w:pPr>
              <w:pStyle w:val="TableParagraph"/>
              <w:spacing w:before="113"/>
              <w:ind w:left="330"/>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84" w:type="dxa"/>
            <w:tcBorders>
              <w:top w:val="single" w:sz="2" w:space="0" w:color="000000"/>
            </w:tcBorders>
          </w:tcPr>
          <w:p w14:paraId="24CDE6DF" w14:textId="77777777" w:rsidR="00084F36" w:rsidRPr="00EB2BD8" w:rsidRDefault="00EB2BD8">
            <w:pPr>
              <w:pStyle w:val="TableParagraph"/>
              <w:spacing w:before="113"/>
              <w:ind w:left="121"/>
              <w:rPr>
                <w:sz w:val="16"/>
              </w:rPr>
            </w:pPr>
            <w:r w:rsidRPr="00EB2BD8">
              <w:rPr>
                <w:sz w:val="16"/>
              </w:rPr>
              <w:t>Cancellation</w:t>
            </w:r>
            <w:r w:rsidRPr="00EB2BD8">
              <w:rPr>
                <w:spacing w:val="5"/>
                <w:sz w:val="16"/>
              </w:rPr>
              <w:t xml:space="preserve"> </w:t>
            </w:r>
            <w:r w:rsidRPr="00EB2BD8">
              <w:rPr>
                <w:spacing w:val="-5"/>
                <w:sz w:val="16"/>
              </w:rPr>
              <w:t>of</w:t>
            </w:r>
          </w:p>
        </w:tc>
        <w:tc>
          <w:tcPr>
            <w:tcW w:w="1079" w:type="dxa"/>
            <w:tcBorders>
              <w:top w:val="single" w:sz="2" w:space="0" w:color="000000"/>
            </w:tcBorders>
          </w:tcPr>
          <w:p w14:paraId="0A1ECF1C" w14:textId="77777777" w:rsidR="00084F36" w:rsidRPr="00EB2BD8" w:rsidRDefault="00EB2BD8">
            <w:pPr>
              <w:pStyle w:val="TableParagraph"/>
              <w:spacing w:before="113"/>
              <w:ind w:right="109"/>
              <w:jc w:val="right"/>
              <w:rPr>
                <w:sz w:val="16"/>
              </w:rPr>
            </w:pPr>
            <w:r w:rsidRPr="00EB2BD8">
              <w:rPr>
                <w:w w:val="135"/>
                <w:sz w:val="16"/>
              </w:rPr>
              <w:t>-</w:t>
            </w:r>
          </w:p>
        </w:tc>
        <w:tc>
          <w:tcPr>
            <w:tcW w:w="1175" w:type="dxa"/>
            <w:tcBorders>
              <w:top w:val="single" w:sz="2" w:space="0" w:color="000000"/>
            </w:tcBorders>
          </w:tcPr>
          <w:p w14:paraId="5AFC0D55" w14:textId="77777777" w:rsidR="00084F36" w:rsidRPr="00EB2BD8" w:rsidRDefault="00EB2BD8">
            <w:pPr>
              <w:pStyle w:val="TableParagraph"/>
              <w:spacing w:before="113"/>
              <w:ind w:left="114"/>
              <w:rPr>
                <w:sz w:val="16"/>
              </w:rPr>
            </w:pPr>
            <w:r w:rsidRPr="00EB2BD8">
              <w:rPr>
                <w:spacing w:val="-2"/>
                <w:w w:val="90"/>
                <w:sz w:val="16"/>
              </w:rPr>
              <w:t>31/01/2023</w:t>
            </w:r>
          </w:p>
        </w:tc>
      </w:tr>
      <w:tr w:rsidR="00EB2BD8" w:rsidRPr="00EB2BD8" w14:paraId="2EF08097" w14:textId="77777777">
        <w:trPr>
          <w:trHeight w:val="230"/>
        </w:trPr>
        <w:tc>
          <w:tcPr>
            <w:tcW w:w="1733" w:type="dxa"/>
          </w:tcPr>
          <w:p w14:paraId="7A47FFB7" w14:textId="77777777" w:rsidR="00084F36" w:rsidRPr="00EB2BD8" w:rsidRDefault="00084F36">
            <w:pPr>
              <w:pStyle w:val="TableParagraph"/>
              <w:rPr>
                <w:rFonts w:ascii="Times New Roman"/>
                <w:sz w:val="16"/>
              </w:rPr>
            </w:pPr>
          </w:p>
        </w:tc>
        <w:tc>
          <w:tcPr>
            <w:tcW w:w="1440" w:type="dxa"/>
          </w:tcPr>
          <w:p w14:paraId="372A183A" w14:textId="77777777" w:rsidR="00084F36" w:rsidRPr="00EB2BD8" w:rsidRDefault="00084F36">
            <w:pPr>
              <w:pStyle w:val="TableParagraph"/>
              <w:rPr>
                <w:rFonts w:ascii="Times New Roman"/>
                <w:sz w:val="16"/>
              </w:rPr>
            </w:pPr>
          </w:p>
        </w:tc>
        <w:tc>
          <w:tcPr>
            <w:tcW w:w="2488" w:type="dxa"/>
          </w:tcPr>
          <w:p w14:paraId="64F02F93" w14:textId="77777777" w:rsidR="00084F36" w:rsidRPr="00EB2BD8" w:rsidRDefault="00EB2BD8">
            <w:pPr>
              <w:pStyle w:val="TableParagraph"/>
              <w:spacing w:before="19"/>
              <w:ind w:left="330"/>
              <w:rPr>
                <w:sz w:val="16"/>
              </w:rPr>
            </w:pPr>
            <w:r w:rsidRPr="00EB2BD8">
              <w:rPr>
                <w:sz w:val="16"/>
              </w:rPr>
              <w:t xml:space="preserve">company under </w:t>
            </w:r>
            <w:r w:rsidRPr="00EB2BD8">
              <w:rPr>
                <w:spacing w:val="-2"/>
                <w:sz w:val="16"/>
              </w:rPr>
              <w:t>external</w:t>
            </w:r>
          </w:p>
        </w:tc>
        <w:tc>
          <w:tcPr>
            <w:tcW w:w="2284" w:type="dxa"/>
          </w:tcPr>
          <w:p w14:paraId="6D5E17AE" w14:textId="77777777" w:rsidR="00084F36" w:rsidRPr="00EB2BD8" w:rsidRDefault="00EB2BD8">
            <w:pPr>
              <w:pStyle w:val="TableParagraph"/>
              <w:spacing w:before="19"/>
              <w:ind w:left="121"/>
              <w:rPr>
                <w:sz w:val="16"/>
              </w:rPr>
            </w:pPr>
            <w:r w:rsidRPr="00EB2BD8">
              <w:rPr>
                <w:spacing w:val="-2"/>
                <w:sz w:val="16"/>
              </w:rPr>
              <w:t>registration.</w:t>
            </w:r>
          </w:p>
        </w:tc>
        <w:tc>
          <w:tcPr>
            <w:tcW w:w="1079" w:type="dxa"/>
          </w:tcPr>
          <w:p w14:paraId="4DBF6306" w14:textId="77777777" w:rsidR="00084F36" w:rsidRPr="00EB2BD8" w:rsidRDefault="00084F36">
            <w:pPr>
              <w:pStyle w:val="TableParagraph"/>
              <w:rPr>
                <w:rFonts w:ascii="Times New Roman"/>
                <w:sz w:val="16"/>
              </w:rPr>
            </w:pPr>
          </w:p>
        </w:tc>
        <w:tc>
          <w:tcPr>
            <w:tcW w:w="1175" w:type="dxa"/>
          </w:tcPr>
          <w:p w14:paraId="4246BDEA" w14:textId="77777777" w:rsidR="00084F36" w:rsidRPr="00EB2BD8" w:rsidRDefault="00084F36">
            <w:pPr>
              <w:pStyle w:val="TableParagraph"/>
              <w:rPr>
                <w:rFonts w:ascii="Times New Roman"/>
                <w:sz w:val="16"/>
              </w:rPr>
            </w:pPr>
          </w:p>
        </w:tc>
      </w:tr>
      <w:tr w:rsidR="00EB2BD8" w:rsidRPr="00EB2BD8" w14:paraId="209C7FC1" w14:textId="77777777">
        <w:trPr>
          <w:trHeight w:val="342"/>
        </w:trPr>
        <w:tc>
          <w:tcPr>
            <w:tcW w:w="1733" w:type="dxa"/>
            <w:tcBorders>
              <w:bottom w:val="single" w:sz="2" w:space="0" w:color="000000"/>
            </w:tcBorders>
          </w:tcPr>
          <w:p w14:paraId="5B81FEBD" w14:textId="77777777" w:rsidR="00084F36" w:rsidRPr="00EB2BD8" w:rsidRDefault="00084F36">
            <w:pPr>
              <w:pStyle w:val="TableParagraph"/>
              <w:rPr>
                <w:rFonts w:ascii="Times New Roman"/>
                <w:sz w:val="16"/>
              </w:rPr>
            </w:pPr>
          </w:p>
        </w:tc>
        <w:tc>
          <w:tcPr>
            <w:tcW w:w="1440" w:type="dxa"/>
            <w:tcBorders>
              <w:bottom w:val="single" w:sz="2" w:space="0" w:color="000000"/>
            </w:tcBorders>
          </w:tcPr>
          <w:p w14:paraId="2516895B" w14:textId="77777777" w:rsidR="00084F36" w:rsidRPr="00EB2BD8" w:rsidRDefault="00084F36">
            <w:pPr>
              <w:pStyle w:val="TableParagraph"/>
              <w:rPr>
                <w:rFonts w:ascii="Times New Roman"/>
                <w:sz w:val="16"/>
              </w:rPr>
            </w:pPr>
          </w:p>
        </w:tc>
        <w:tc>
          <w:tcPr>
            <w:tcW w:w="2488" w:type="dxa"/>
            <w:tcBorders>
              <w:bottom w:val="single" w:sz="2" w:space="0" w:color="000000"/>
            </w:tcBorders>
          </w:tcPr>
          <w:p w14:paraId="6CA022BA" w14:textId="77777777" w:rsidR="00084F36" w:rsidRPr="00EB2BD8" w:rsidRDefault="00EB2BD8">
            <w:pPr>
              <w:pStyle w:val="TableParagraph"/>
              <w:spacing w:before="19"/>
              <w:ind w:left="330"/>
              <w:rPr>
                <w:sz w:val="16"/>
              </w:rPr>
            </w:pPr>
            <w:r w:rsidRPr="00EB2BD8">
              <w:rPr>
                <w:spacing w:val="-2"/>
                <w:sz w:val="16"/>
              </w:rPr>
              <w:t>administration.</w:t>
            </w:r>
          </w:p>
        </w:tc>
        <w:tc>
          <w:tcPr>
            <w:tcW w:w="2284" w:type="dxa"/>
            <w:tcBorders>
              <w:bottom w:val="single" w:sz="2" w:space="0" w:color="000000"/>
            </w:tcBorders>
          </w:tcPr>
          <w:p w14:paraId="56611C06"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667D0617"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655FA07B" w14:textId="77777777" w:rsidR="00084F36" w:rsidRPr="00EB2BD8" w:rsidRDefault="00084F36">
            <w:pPr>
              <w:pStyle w:val="TableParagraph"/>
              <w:rPr>
                <w:rFonts w:ascii="Times New Roman"/>
                <w:sz w:val="16"/>
              </w:rPr>
            </w:pPr>
          </w:p>
        </w:tc>
      </w:tr>
      <w:tr w:rsidR="00EB2BD8" w:rsidRPr="00EB2BD8" w14:paraId="6901808F" w14:textId="77777777">
        <w:trPr>
          <w:trHeight w:val="323"/>
        </w:trPr>
        <w:tc>
          <w:tcPr>
            <w:tcW w:w="1733" w:type="dxa"/>
            <w:tcBorders>
              <w:top w:val="single" w:sz="2" w:space="0" w:color="000000"/>
            </w:tcBorders>
          </w:tcPr>
          <w:p w14:paraId="2EDDC643" w14:textId="77777777" w:rsidR="00084F36" w:rsidRPr="00EB2BD8" w:rsidRDefault="00EB2BD8">
            <w:pPr>
              <w:pStyle w:val="TableParagraph"/>
              <w:spacing w:before="113"/>
              <w:ind w:left="113"/>
              <w:rPr>
                <w:sz w:val="16"/>
              </w:rPr>
            </w:pPr>
            <w:r w:rsidRPr="00EB2BD8">
              <w:rPr>
                <w:spacing w:val="-6"/>
                <w:sz w:val="16"/>
              </w:rPr>
              <w:t>MARAIS,</w:t>
            </w:r>
            <w:r w:rsidRPr="00EB2BD8">
              <w:rPr>
                <w:spacing w:val="-3"/>
                <w:sz w:val="16"/>
              </w:rPr>
              <w:t xml:space="preserve"> </w:t>
            </w:r>
            <w:r w:rsidRPr="00EB2BD8">
              <w:rPr>
                <w:spacing w:val="-2"/>
                <w:sz w:val="16"/>
              </w:rPr>
              <w:t>Stephanus</w:t>
            </w:r>
          </w:p>
        </w:tc>
        <w:tc>
          <w:tcPr>
            <w:tcW w:w="1440" w:type="dxa"/>
            <w:tcBorders>
              <w:top w:val="single" w:sz="2" w:space="0" w:color="000000"/>
            </w:tcBorders>
          </w:tcPr>
          <w:p w14:paraId="0D0BC632" w14:textId="77777777" w:rsidR="00084F36" w:rsidRPr="00EB2BD8" w:rsidRDefault="00EB2BD8">
            <w:pPr>
              <w:pStyle w:val="TableParagraph"/>
              <w:spacing w:before="113"/>
              <w:ind w:left="137"/>
              <w:rPr>
                <w:sz w:val="16"/>
              </w:rPr>
            </w:pPr>
            <w:r w:rsidRPr="00EB2BD8">
              <w:rPr>
                <w:sz w:val="16"/>
              </w:rPr>
              <w:t>DB-U</w:t>
            </w:r>
            <w:r w:rsidRPr="00EB2BD8">
              <w:rPr>
                <w:spacing w:val="22"/>
                <w:sz w:val="16"/>
              </w:rPr>
              <w:t xml:space="preserve"> </w:t>
            </w:r>
            <w:r w:rsidRPr="00EB2BD8">
              <w:rPr>
                <w:spacing w:val="-2"/>
                <w:sz w:val="16"/>
              </w:rPr>
              <w:t>64556;</w:t>
            </w:r>
          </w:p>
        </w:tc>
        <w:tc>
          <w:tcPr>
            <w:tcW w:w="2488" w:type="dxa"/>
            <w:tcBorders>
              <w:top w:val="single" w:sz="2" w:space="0" w:color="000000"/>
            </w:tcBorders>
          </w:tcPr>
          <w:p w14:paraId="17BF1514" w14:textId="77777777" w:rsidR="00084F36" w:rsidRPr="00EB2BD8" w:rsidRDefault="00EB2BD8">
            <w:pPr>
              <w:pStyle w:val="TableParagraph"/>
              <w:spacing w:before="113"/>
              <w:ind w:left="330"/>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84" w:type="dxa"/>
            <w:tcBorders>
              <w:top w:val="single" w:sz="2" w:space="0" w:color="000000"/>
            </w:tcBorders>
          </w:tcPr>
          <w:p w14:paraId="18985A7D" w14:textId="77777777" w:rsidR="00084F36" w:rsidRPr="00EB2BD8" w:rsidRDefault="00EB2BD8">
            <w:pPr>
              <w:pStyle w:val="TableParagraph"/>
              <w:spacing w:before="113"/>
              <w:ind w:left="121"/>
              <w:rPr>
                <w:sz w:val="16"/>
              </w:rPr>
            </w:pPr>
            <w:r w:rsidRPr="00EB2BD8">
              <w:rPr>
                <w:sz w:val="16"/>
              </w:rPr>
              <w:t>Cancellation</w:t>
            </w:r>
            <w:r w:rsidRPr="00EB2BD8">
              <w:rPr>
                <w:spacing w:val="5"/>
                <w:sz w:val="16"/>
              </w:rPr>
              <w:t xml:space="preserve"> </w:t>
            </w:r>
            <w:r w:rsidRPr="00EB2BD8">
              <w:rPr>
                <w:spacing w:val="-5"/>
                <w:sz w:val="16"/>
              </w:rPr>
              <w:t>of</w:t>
            </w:r>
          </w:p>
        </w:tc>
        <w:tc>
          <w:tcPr>
            <w:tcW w:w="1079" w:type="dxa"/>
            <w:tcBorders>
              <w:top w:val="single" w:sz="2" w:space="0" w:color="000000"/>
            </w:tcBorders>
          </w:tcPr>
          <w:p w14:paraId="27D4260F" w14:textId="77777777" w:rsidR="00084F36" w:rsidRPr="00EB2BD8" w:rsidRDefault="00EB2BD8">
            <w:pPr>
              <w:pStyle w:val="TableParagraph"/>
              <w:spacing w:before="113"/>
              <w:ind w:right="109"/>
              <w:jc w:val="right"/>
              <w:rPr>
                <w:sz w:val="16"/>
              </w:rPr>
            </w:pPr>
            <w:r w:rsidRPr="00EB2BD8">
              <w:rPr>
                <w:w w:val="135"/>
                <w:sz w:val="16"/>
              </w:rPr>
              <w:t>-</w:t>
            </w:r>
          </w:p>
        </w:tc>
        <w:tc>
          <w:tcPr>
            <w:tcW w:w="1175" w:type="dxa"/>
            <w:tcBorders>
              <w:top w:val="single" w:sz="2" w:space="0" w:color="000000"/>
            </w:tcBorders>
          </w:tcPr>
          <w:p w14:paraId="10C4CD37" w14:textId="77777777" w:rsidR="00084F36" w:rsidRPr="00EB2BD8" w:rsidRDefault="00EB2BD8">
            <w:pPr>
              <w:pStyle w:val="TableParagraph"/>
              <w:spacing w:before="113"/>
              <w:ind w:left="114"/>
              <w:rPr>
                <w:sz w:val="16"/>
              </w:rPr>
            </w:pPr>
            <w:r w:rsidRPr="00EB2BD8">
              <w:rPr>
                <w:spacing w:val="-2"/>
                <w:w w:val="90"/>
                <w:sz w:val="16"/>
              </w:rPr>
              <w:t>27/01/2023</w:t>
            </w:r>
          </w:p>
        </w:tc>
      </w:tr>
      <w:tr w:rsidR="00EB2BD8" w:rsidRPr="00EB2BD8" w14:paraId="5D784851" w14:textId="77777777">
        <w:trPr>
          <w:trHeight w:val="230"/>
        </w:trPr>
        <w:tc>
          <w:tcPr>
            <w:tcW w:w="1733" w:type="dxa"/>
          </w:tcPr>
          <w:p w14:paraId="79ADD605" w14:textId="77777777" w:rsidR="00084F36" w:rsidRPr="00EB2BD8" w:rsidRDefault="00084F36">
            <w:pPr>
              <w:pStyle w:val="TableParagraph"/>
              <w:rPr>
                <w:rFonts w:ascii="Times New Roman"/>
                <w:sz w:val="16"/>
              </w:rPr>
            </w:pPr>
          </w:p>
        </w:tc>
        <w:tc>
          <w:tcPr>
            <w:tcW w:w="1440" w:type="dxa"/>
          </w:tcPr>
          <w:p w14:paraId="1CF8897C" w14:textId="77777777" w:rsidR="00084F36" w:rsidRPr="00EB2BD8" w:rsidRDefault="00EB2BD8">
            <w:pPr>
              <w:pStyle w:val="TableParagraph"/>
              <w:spacing w:before="19"/>
              <w:ind w:left="137"/>
              <w:rPr>
                <w:sz w:val="16"/>
              </w:rPr>
            </w:pPr>
            <w:r w:rsidRPr="00EB2BD8">
              <w:rPr>
                <w:w w:val="105"/>
                <w:sz w:val="16"/>
              </w:rPr>
              <w:t>CB-U</w:t>
            </w:r>
            <w:r w:rsidRPr="00EB2BD8">
              <w:rPr>
                <w:spacing w:val="11"/>
                <w:w w:val="105"/>
                <w:sz w:val="16"/>
              </w:rPr>
              <w:t xml:space="preserve"> </w:t>
            </w:r>
            <w:r w:rsidRPr="00EB2BD8">
              <w:rPr>
                <w:spacing w:val="-4"/>
                <w:w w:val="105"/>
                <w:sz w:val="16"/>
              </w:rPr>
              <w:t>44134</w:t>
            </w:r>
          </w:p>
        </w:tc>
        <w:tc>
          <w:tcPr>
            <w:tcW w:w="2488" w:type="dxa"/>
          </w:tcPr>
          <w:p w14:paraId="05BF23B5" w14:textId="77777777" w:rsidR="00084F36" w:rsidRPr="00EB2BD8" w:rsidRDefault="00EB2BD8">
            <w:pPr>
              <w:pStyle w:val="TableParagraph"/>
              <w:spacing w:before="19"/>
              <w:ind w:left="330"/>
              <w:rPr>
                <w:sz w:val="16"/>
              </w:rPr>
            </w:pPr>
            <w:r w:rsidRPr="00EB2BD8">
              <w:rPr>
                <w:sz w:val="16"/>
              </w:rPr>
              <w:t xml:space="preserve">company under </w:t>
            </w:r>
            <w:r w:rsidRPr="00EB2BD8">
              <w:rPr>
                <w:spacing w:val="-2"/>
                <w:sz w:val="16"/>
              </w:rPr>
              <w:t>external</w:t>
            </w:r>
          </w:p>
        </w:tc>
        <w:tc>
          <w:tcPr>
            <w:tcW w:w="2284" w:type="dxa"/>
          </w:tcPr>
          <w:p w14:paraId="10C97913" w14:textId="77777777" w:rsidR="00084F36" w:rsidRPr="00EB2BD8" w:rsidRDefault="00EB2BD8">
            <w:pPr>
              <w:pStyle w:val="TableParagraph"/>
              <w:spacing w:before="19"/>
              <w:ind w:left="121"/>
              <w:rPr>
                <w:sz w:val="16"/>
              </w:rPr>
            </w:pPr>
            <w:r w:rsidRPr="00EB2BD8">
              <w:rPr>
                <w:spacing w:val="-2"/>
                <w:sz w:val="16"/>
              </w:rPr>
              <w:t>registration.</w:t>
            </w:r>
          </w:p>
        </w:tc>
        <w:tc>
          <w:tcPr>
            <w:tcW w:w="1079" w:type="dxa"/>
          </w:tcPr>
          <w:p w14:paraId="1C3688B9" w14:textId="77777777" w:rsidR="00084F36" w:rsidRPr="00EB2BD8" w:rsidRDefault="00084F36">
            <w:pPr>
              <w:pStyle w:val="TableParagraph"/>
              <w:rPr>
                <w:rFonts w:ascii="Times New Roman"/>
                <w:sz w:val="16"/>
              </w:rPr>
            </w:pPr>
          </w:p>
        </w:tc>
        <w:tc>
          <w:tcPr>
            <w:tcW w:w="1175" w:type="dxa"/>
          </w:tcPr>
          <w:p w14:paraId="7327EB3C" w14:textId="77777777" w:rsidR="00084F36" w:rsidRPr="00EB2BD8" w:rsidRDefault="00084F36">
            <w:pPr>
              <w:pStyle w:val="TableParagraph"/>
              <w:rPr>
                <w:rFonts w:ascii="Times New Roman"/>
                <w:sz w:val="16"/>
              </w:rPr>
            </w:pPr>
          </w:p>
        </w:tc>
      </w:tr>
      <w:tr w:rsidR="00EB2BD8" w:rsidRPr="00EB2BD8" w14:paraId="37B11FEF" w14:textId="77777777">
        <w:trPr>
          <w:trHeight w:val="342"/>
        </w:trPr>
        <w:tc>
          <w:tcPr>
            <w:tcW w:w="1733" w:type="dxa"/>
            <w:tcBorders>
              <w:bottom w:val="single" w:sz="2" w:space="0" w:color="000000"/>
            </w:tcBorders>
          </w:tcPr>
          <w:p w14:paraId="6A7B3E70" w14:textId="77777777" w:rsidR="00084F36" w:rsidRPr="00EB2BD8" w:rsidRDefault="00084F36">
            <w:pPr>
              <w:pStyle w:val="TableParagraph"/>
              <w:rPr>
                <w:rFonts w:ascii="Times New Roman"/>
                <w:sz w:val="16"/>
              </w:rPr>
            </w:pPr>
          </w:p>
        </w:tc>
        <w:tc>
          <w:tcPr>
            <w:tcW w:w="1440" w:type="dxa"/>
            <w:tcBorders>
              <w:bottom w:val="single" w:sz="2" w:space="0" w:color="000000"/>
            </w:tcBorders>
          </w:tcPr>
          <w:p w14:paraId="151747ED" w14:textId="77777777" w:rsidR="00084F36" w:rsidRPr="00EB2BD8" w:rsidRDefault="00084F36">
            <w:pPr>
              <w:pStyle w:val="TableParagraph"/>
              <w:rPr>
                <w:rFonts w:ascii="Times New Roman"/>
                <w:sz w:val="16"/>
              </w:rPr>
            </w:pPr>
          </w:p>
        </w:tc>
        <w:tc>
          <w:tcPr>
            <w:tcW w:w="2488" w:type="dxa"/>
            <w:tcBorders>
              <w:bottom w:val="single" w:sz="2" w:space="0" w:color="000000"/>
            </w:tcBorders>
          </w:tcPr>
          <w:p w14:paraId="392EFE87" w14:textId="77777777" w:rsidR="00084F36" w:rsidRPr="00EB2BD8" w:rsidRDefault="00EB2BD8">
            <w:pPr>
              <w:pStyle w:val="TableParagraph"/>
              <w:spacing w:before="19"/>
              <w:ind w:left="330"/>
              <w:rPr>
                <w:sz w:val="16"/>
              </w:rPr>
            </w:pPr>
            <w:r w:rsidRPr="00EB2BD8">
              <w:rPr>
                <w:spacing w:val="-2"/>
                <w:sz w:val="16"/>
              </w:rPr>
              <w:t>administration.</w:t>
            </w:r>
          </w:p>
        </w:tc>
        <w:tc>
          <w:tcPr>
            <w:tcW w:w="2284" w:type="dxa"/>
            <w:tcBorders>
              <w:bottom w:val="single" w:sz="2" w:space="0" w:color="000000"/>
            </w:tcBorders>
          </w:tcPr>
          <w:p w14:paraId="5AE75A0E"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7876C331"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7F2B3585" w14:textId="77777777" w:rsidR="00084F36" w:rsidRPr="00EB2BD8" w:rsidRDefault="00084F36">
            <w:pPr>
              <w:pStyle w:val="TableParagraph"/>
              <w:rPr>
                <w:rFonts w:ascii="Times New Roman"/>
                <w:sz w:val="16"/>
              </w:rPr>
            </w:pPr>
          </w:p>
        </w:tc>
      </w:tr>
      <w:tr w:rsidR="00EB2BD8" w:rsidRPr="00EB2BD8" w14:paraId="28B49A94" w14:textId="77777777">
        <w:trPr>
          <w:trHeight w:val="323"/>
        </w:trPr>
        <w:tc>
          <w:tcPr>
            <w:tcW w:w="1733" w:type="dxa"/>
            <w:tcBorders>
              <w:top w:val="single" w:sz="2" w:space="0" w:color="000000"/>
            </w:tcBorders>
          </w:tcPr>
          <w:p w14:paraId="2122EDF7" w14:textId="77777777" w:rsidR="00084F36" w:rsidRPr="00EB2BD8" w:rsidRDefault="00EB2BD8">
            <w:pPr>
              <w:pStyle w:val="TableParagraph"/>
              <w:spacing w:before="113"/>
              <w:ind w:left="113"/>
              <w:rPr>
                <w:sz w:val="16"/>
              </w:rPr>
            </w:pPr>
            <w:r w:rsidRPr="00EB2BD8">
              <w:rPr>
                <w:spacing w:val="-2"/>
                <w:sz w:val="16"/>
              </w:rPr>
              <w:t>MARKOU,</w:t>
            </w:r>
          </w:p>
        </w:tc>
        <w:tc>
          <w:tcPr>
            <w:tcW w:w="1440" w:type="dxa"/>
            <w:tcBorders>
              <w:top w:val="single" w:sz="2" w:space="0" w:color="000000"/>
            </w:tcBorders>
          </w:tcPr>
          <w:p w14:paraId="540FE3E9" w14:textId="77777777" w:rsidR="00084F36" w:rsidRPr="00EB2BD8" w:rsidRDefault="00EB2BD8">
            <w:pPr>
              <w:pStyle w:val="TableParagraph"/>
              <w:spacing w:before="113"/>
              <w:ind w:left="137"/>
              <w:rPr>
                <w:sz w:val="16"/>
              </w:rPr>
            </w:pPr>
            <w:r w:rsidRPr="00EB2BD8">
              <w:rPr>
                <w:sz w:val="16"/>
              </w:rPr>
              <w:t>DB-U</w:t>
            </w:r>
            <w:r w:rsidRPr="00EB2BD8">
              <w:rPr>
                <w:spacing w:val="22"/>
                <w:sz w:val="16"/>
              </w:rPr>
              <w:t xml:space="preserve"> </w:t>
            </w:r>
            <w:r w:rsidRPr="00EB2BD8">
              <w:rPr>
                <w:spacing w:val="-2"/>
                <w:sz w:val="16"/>
              </w:rPr>
              <w:t>11953</w:t>
            </w:r>
          </w:p>
        </w:tc>
        <w:tc>
          <w:tcPr>
            <w:tcW w:w="2488" w:type="dxa"/>
            <w:tcBorders>
              <w:top w:val="single" w:sz="2" w:space="0" w:color="000000"/>
            </w:tcBorders>
          </w:tcPr>
          <w:p w14:paraId="00A750EB" w14:textId="77777777" w:rsidR="00084F36" w:rsidRPr="00EB2BD8" w:rsidRDefault="00EB2BD8">
            <w:pPr>
              <w:pStyle w:val="TableParagraph"/>
              <w:spacing w:before="113"/>
              <w:ind w:left="330"/>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84" w:type="dxa"/>
            <w:tcBorders>
              <w:top w:val="single" w:sz="2" w:space="0" w:color="000000"/>
            </w:tcBorders>
          </w:tcPr>
          <w:p w14:paraId="2DD7F0BC" w14:textId="77777777" w:rsidR="00084F36" w:rsidRPr="00EB2BD8" w:rsidRDefault="00EB2BD8">
            <w:pPr>
              <w:pStyle w:val="TableParagraph"/>
              <w:spacing w:before="113"/>
              <w:ind w:left="121"/>
              <w:rPr>
                <w:sz w:val="16"/>
              </w:rPr>
            </w:pPr>
            <w:r w:rsidRPr="00EB2BD8">
              <w:rPr>
                <w:sz w:val="16"/>
              </w:rPr>
              <w:t>Reprimand</w:t>
            </w:r>
            <w:r w:rsidRPr="00EB2BD8">
              <w:rPr>
                <w:spacing w:val="5"/>
                <w:sz w:val="16"/>
              </w:rPr>
              <w:t xml:space="preserve"> </w:t>
            </w:r>
            <w:r w:rsidRPr="00EB2BD8">
              <w:rPr>
                <w:spacing w:val="-5"/>
                <w:sz w:val="16"/>
              </w:rPr>
              <w:t>and</w:t>
            </w:r>
          </w:p>
        </w:tc>
        <w:tc>
          <w:tcPr>
            <w:tcW w:w="1079" w:type="dxa"/>
            <w:tcBorders>
              <w:top w:val="single" w:sz="2" w:space="0" w:color="000000"/>
            </w:tcBorders>
          </w:tcPr>
          <w:p w14:paraId="503B19F7" w14:textId="77777777" w:rsidR="00084F36" w:rsidRPr="00EB2BD8" w:rsidRDefault="00EB2BD8">
            <w:pPr>
              <w:pStyle w:val="TableParagraph"/>
              <w:spacing w:before="112"/>
              <w:ind w:right="109"/>
              <w:jc w:val="right"/>
              <w:rPr>
                <w:sz w:val="16"/>
              </w:rPr>
            </w:pPr>
            <w:r w:rsidRPr="00EB2BD8">
              <w:rPr>
                <w:w w:val="135"/>
                <w:sz w:val="16"/>
              </w:rPr>
              <w:t>-</w:t>
            </w:r>
          </w:p>
        </w:tc>
        <w:tc>
          <w:tcPr>
            <w:tcW w:w="1175" w:type="dxa"/>
            <w:tcBorders>
              <w:top w:val="single" w:sz="2" w:space="0" w:color="000000"/>
            </w:tcBorders>
          </w:tcPr>
          <w:p w14:paraId="065FEA85" w14:textId="77777777" w:rsidR="00084F36" w:rsidRPr="00EB2BD8" w:rsidRDefault="00EB2BD8">
            <w:pPr>
              <w:pStyle w:val="TableParagraph"/>
              <w:spacing w:before="112"/>
              <w:ind w:left="114"/>
              <w:rPr>
                <w:sz w:val="16"/>
              </w:rPr>
            </w:pPr>
            <w:r w:rsidRPr="00EB2BD8">
              <w:rPr>
                <w:spacing w:val="-2"/>
                <w:sz w:val="16"/>
              </w:rPr>
              <w:t>30/03/2023</w:t>
            </w:r>
          </w:p>
        </w:tc>
      </w:tr>
      <w:tr w:rsidR="00EB2BD8" w:rsidRPr="00EB2BD8" w14:paraId="47452C84" w14:textId="77777777">
        <w:trPr>
          <w:trHeight w:val="229"/>
        </w:trPr>
        <w:tc>
          <w:tcPr>
            <w:tcW w:w="1733" w:type="dxa"/>
          </w:tcPr>
          <w:p w14:paraId="339AE453" w14:textId="77777777" w:rsidR="00084F36" w:rsidRPr="00EB2BD8" w:rsidRDefault="00EB2BD8">
            <w:pPr>
              <w:pStyle w:val="TableParagraph"/>
              <w:spacing w:before="19"/>
              <w:ind w:left="113"/>
              <w:rPr>
                <w:sz w:val="16"/>
              </w:rPr>
            </w:pPr>
            <w:r w:rsidRPr="00EB2BD8">
              <w:rPr>
                <w:spacing w:val="-2"/>
                <w:sz w:val="16"/>
              </w:rPr>
              <w:t>Eleftherious</w:t>
            </w:r>
          </w:p>
        </w:tc>
        <w:tc>
          <w:tcPr>
            <w:tcW w:w="1440" w:type="dxa"/>
          </w:tcPr>
          <w:p w14:paraId="583625B5" w14:textId="77777777" w:rsidR="00084F36" w:rsidRPr="00EB2BD8" w:rsidRDefault="00084F36">
            <w:pPr>
              <w:pStyle w:val="TableParagraph"/>
              <w:rPr>
                <w:rFonts w:ascii="Times New Roman"/>
                <w:sz w:val="16"/>
              </w:rPr>
            </w:pPr>
          </w:p>
        </w:tc>
        <w:tc>
          <w:tcPr>
            <w:tcW w:w="2488" w:type="dxa"/>
          </w:tcPr>
          <w:p w14:paraId="30517DA0" w14:textId="77777777" w:rsidR="00084F36" w:rsidRPr="00EB2BD8" w:rsidRDefault="00EB2BD8">
            <w:pPr>
              <w:pStyle w:val="TableParagraph"/>
              <w:spacing w:before="19"/>
              <w:ind w:left="330"/>
              <w:rPr>
                <w:sz w:val="16"/>
              </w:rPr>
            </w:pPr>
            <w:r w:rsidRPr="00EB2BD8">
              <w:rPr>
                <w:sz w:val="16"/>
              </w:rPr>
              <w:t xml:space="preserve">company under </w:t>
            </w:r>
            <w:r w:rsidRPr="00EB2BD8">
              <w:rPr>
                <w:spacing w:val="-2"/>
                <w:sz w:val="16"/>
              </w:rPr>
              <w:t>external</w:t>
            </w:r>
          </w:p>
        </w:tc>
        <w:tc>
          <w:tcPr>
            <w:tcW w:w="2284" w:type="dxa"/>
          </w:tcPr>
          <w:p w14:paraId="414D3A0B" w14:textId="77777777" w:rsidR="00084F36" w:rsidRPr="00EB2BD8" w:rsidRDefault="00EB2BD8">
            <w:pPr>
              <w:pStyle w:val="TableParagraph"/>
              <w:spacing w:before="19"/>
              <w:ind w:left="121"/>
              <w:rPr>
                <w:sz w:val="16"/>
              </w:rPr>
            </w:pPr>
            <w:r w:rsidRPr="00EB2BD8">
              <w:rPr>
                <w:spacing w:val="-2"/>
                <w:sz w:val="16"/>
              </w:rPr>
              <w:t>registration</w:t>
            </w:r>
            <w:r w:rsidRPr="00EB2BD8">
              <w:rPr>
                <w:spacing w:val="1"/>
                <w:sz w:val="16"/>
              </w:rPr>
              <w:t xml:space="preserve"> </w:t>
            </w:r>
            <w:r w:rsidRPr="00EB2BD8">
              <w:rPr>
                <w:spacing w:val="-2"/>
                <w:sz w:val="16"/>
              </w:rPr>
              <w:t>condition</w:t>
            </w:r>
          </w:p>
        </w:tc>
        <w:tc>
          <w:tcPr>
            <w:tcW w:w="1079" w:type="dxa"/>
          </w:tcPr>
          <w:p w14:paraId="4AB88672" w14:textId="77777777" w:rsidR="00084F36" w:rsidRPr="00EB2BD8" w:rsidRDefault="00084F36">
            <w:pPr>
              <w:pStyle w:val="TableParagraph"/>
              <w:rPr>
                <w:rFonts w:ascii="Times New Roman"/>
                <w:sz w:val="16"/>
              </w:rPr>
            </w:pPr>
          </w:p>
        </w:tc>
        <w:tc>
          <w:tcPr>
            <w:tcW w:w="1175" w:type="dxa"/>
          </w:tcPr>
          <w:p w14:paraId="240AA413" w14:textId="77777777" w:rsidR="00084F36" w:rsidRPr="00EB2BD8" w:rsidRDefault="00084F36">
            <w:pPr>
              <w:pStyle w:val="TableParagraph"/>
              <w:rPr>
                <w:rFonts w:ascii="Times New Roman"/>
                <w:sz w:val="16"/>
              </w:rPr>
            </w:pPr>
          </w:p>
        </w:tc>
      </w:tr>
      <w:tr w:rsidR="00EB2BD8" w:rsidRPr="00EB2BD8" w14:paraId="410531E8" w14:textId="77777777">
        <w:trPr>
          <w:trHeight w:val="229"/>
        </w:trPr>
        <w:tc>
          <w:tcPr>
            <w:tcW w:w="1733" w:type="dxa"/>
          </w:tcPr>
          <w:p w14:paraId="43C9A5F6" w14:textId="77777777" w:rsidR="00084F36" w:rsidRPr="00EB2BD8" w:rsidRDefault="00084F36">
            <w:pPr>
              <w:pStyle w:val="TableParagraph"/>
              <w:rPr>
                <w:rFonts w:ascii="Times New Roman"/>
                <w:sz w:val="16"/>
              </w:rPr>
            </w:pPr>
          </w:p>
        </w:tc>
        <w:tc>
          <w:tcPr>
            <w:tcW w:w="1440" w:type="dxa"/>
          </w:tcPr>
          <w:p w14:paraId="29F09853" w14:textId="77777777" w:rsidR="00084F36" w:rsidRPr="00EB2BD8" w:rsidRDefault="00084F36">
            <w:pPr>
              <w:pStyle w:val="TableParagraph"/>
              <w:rPr>
                <w:rFonts w:ascii="Times New Roman"/>
                <w:sz w:val="16"/>
              </w:rPr>
            </w:pPr>
          </w:p>
        </w:tc>
        <w:tc>
          <w:tcPr>
            <w:tcW w:w="2488" w:type="dxa"/>
          </w:tcPr>
          <w:p w14:paraId="0E106659" w14:textId="77777777" w:rsidR="00084F36" w:rsidRPr="00EB2BD8" w:rsidRDefault="00EB2BD8">
            <w:pPr>
              <w:pStyle w:val="TableParagraph"/>
              <w:spacing w:before="19"/>
              <w:ind w:left="330"/>
              <w:rPr>
                <w:sz w:val="16"/>
              </w:rPr>
            </w:pPr>
            <w:r w:rsidRPr="00EB2BD8">
              <w:rPr>
                <w:spacing w:val="-2"/>
                <w:sz w:val="16"/>
              </w:rPr>
              <w:t>administration.</w:t>
            </w:r>
          </w:p>
        </w:tc>
        <w:tc>
          <w:tcPr>
            <w:tcW w:w="2284" w:type="dxa"/>
          </w:tcPr>
          <w:p w14:paraId="26330EAB" w14:textId="77777777" w:rsidR="00084F36" w:rsidRPr="00EB2BD8" w:rsidRDefault="00EB2BD8">
            <w:pPr>
              <w:pStyle w:val="TableParagraph"/>
              <w:spacing w:before="19"/>
              <w:ind w:left="121"/>
              <w:rPr>
                <w:sz w:val="16"/>
              </w:rPr>
            </w:pPr>
            <w:r w:rsidRPr="00EB2BD8">
              <w:rPr>
                <w:spacing w:val="-2"/>
                <w:sz w:val="16"/>
              </w:rPr>
              <w:t>to</w:t>
            </w:r>
            <w:r w:rsidRPr="00EB2BD8">
              <w:rPr>
                <w:spacing w:val="-12"/>
                <w:sz w:val="16"/>
              </w:rPr>
              <w:t xml:space="preserve"> </w:t>
            </w:r>
            <w:r w:rsidRPr="00EB2BD8">
              <w:rPr>
                <w:spacing w:val="-2"/>
                <w:sz w:val="16"/>
              </w:rPr>
              <w:t>notify</w:t>
            </w:r>
            <w:r w:rsidRPr="00EB2BD8">
              <w:rPr>
                <w:spacing w:val="-11"/>
                <w:sz w:val="16"/>
              </w:rPr>
              <w:t xml:space="preserve"> </w:t>
            </w:r>
            <w:r w:rsidRPr="00EB2BD8">
              <w:rPr>
                <w:spacing w:val="-2"/>
                <w:sz w:val="16"/>
              </w:rPr>
              <w:t>Authority</w:t>
            </w:r>
            <w:r w:rsidRPr="00EB2BD8">
              <w:rPr>
                <w:spacing w:val="-11"/>
                <w:sz w:val="16"/>
              </w:rPr>
              <w:t xml:space="preserve"> </w:t>
            </w:r>
            <w:r w:rsidRPr="00EB2BD8">
              <w:rPr>
                <w:spacing w:val="-5"/>
                <w:sz w:val="16"/>
              </w:rPr>
              <w:t>of</w:t>
            </w:r>
          </w:p>
        </w:tc>
        <w:tc>
          <w:tcPr>
            <w:tcW w:w="1079" w:type="dxa"/>
          </w:tcPr>
          <w:p w14:paraId="0FC681A7" w14:textId="77777777" w:rsidR="00084F36" w:rsidRPr="00EB2BD8" w:rsidRDefault="00084F36">
            <w:pPr>
              <w:pStyle w:val="TableParagraph"/>
              <w:rPr>
                <w:rFonts w:ascii="Times New Roman"/>
                <w:sz w:val="16"/>
              </w:rPr>
            </w:pPr>
          </w:p>
        </w:tc>
        <w:tc>
          <w:tcPr>
            <w:tcW w:w="1175" w:type="dxa"/>
          </w:tcPr>
          <w:p w14:paraId="4D689ABD" w14:textId="77777777" w:rsidR="00084F36" w:rsidRPr="00EB2BD8" w:rsidRDefault="00084F36">
            <w:pPr>
              <w:pStyle w:val="TableParagraph"/>
              <w:rPr>
                <w:rFonts w:ascii="Times New Roman"/>
                <w:sz w:val="16"/>
              </w:rPr>
            </w:pPr>
          </w:p>
        </w:tc>
      </w:tr>
      <w:tr w:rsidR="00EB2BD8" w:rsidRPr="00EB2BD8" w14:paraId="77ED7130" w14:textId="77777777">
        <w:trPr>
          <w:trHeight w:val="229"/>
        </w:trPr>
        <w:tc>
          <w:tcPr>
            <w:tcW w:w="1733" w:type="dxa"/>
          </w:tcPr>
          <w:p w14:paraId="7F5864AC" w14:textId="77777777" w:rsidR="00084F36" w:rsidRPr="00EB2BD8" w:rsidRDefault="00084F36">
            <w:pPr>
              <w:pStyle w:val="TableParagraph"/>
              <w:rPr>
                <w:rFonts w:ascii="Times New Roman"/>
                <w:sz w:val="16"/>
              </w:rPr>
            </w:pPr>
          </w:p>
        </w:tc>
        <w:tc>
          <w:tcPr>
            <w:tcW w:w="1440" w:type="dxa"/>
          </w:tcPr>
          <w:p w14:paraId="7D1B210D" w14:textId="77777777" w:rsidR="00084F36" w:rsidRPr="00EB2BD8" w:rsidRDefault="00084F36">
            <w:pPr>
              <w:pStyle w:val="TableParagraph"/>
              <w:rPr>
                <w:rFonts w:ascii="Times New Roman"/>
                <w:sz w:val="16"/>
              </w:rPr>
            </w:pPr>
          </w:p>
        </w:tc>
        <w:tc>
          <w:tcPr>
            <w:tcW w:w="2488" w:type="dxa"/>
          </w:tcPr>
          <w:p w14:paraId="14CFF89F" w14:textId="77777777" w:rsidR="00084F36" w:rsidRPr="00EB2BD8" w:rsidRDefault="00084F36">
            <w:pPr>
              <w:pStyle w:val="TableParagraph"/>
              <w:rPr>
                <w:rFonts w:ascii="Times New Roman"/>
                <w:sz w:val="16"/>
              </w:rPr>
            </w:pPr>
          </w:p>
        </w:tc>
        <w:tc>
          <w:tcPr>
            <w:tcW w:w="2284" w:type="dxa"/>
          </w:tcPr>
          <w:p w14:paraId="098199D9" w14:textId="77777777" w:rsidR="00084F36" w:rsidRPr="00EB2BD8" w:rsidRDefault="00EB2BD8">
            <w:pPr>
              <w:pStyle w:val="TableParagraph"/>
              <w:spacing w:before="19"/>
              <w:ind w:left="121"/>
              <w:rPr>
                <w:sz w:val="16"/>
              </w:rPr>
            </w:pPr>
            <w:r w:rsidRPr="00EB2BD8">
              <w:rPr>
                <w:sz w:val="16"/>
              </w:rPr>
              <w:t>appointment</w:t>
            </w:r>
            <w:r w:rsidRPr="00EB2BD8">
              <w:rPr>
                <w:spacing w:val="-1"/>
                <w:sz w:val="16"/>
              </w:rPr>
              <w:t xml:space="preserve"> </w:t>
            </w:r>
            <w:r w:rsidRPr="00EB2BD8">
              <w:rPr>
                <w:sz w:val="16"/>
              </w:rPr>
              <w:t>as</w:t>
            </w:r>
            <w:r w:rsidRPr="00EB2BD8">
              <w:rPr>
                <w:spacing w:val="-1"/>
                <w:sz w:val="16"/>
              </w:rPr>
              <w:t xml:space="preserve"> </w:t>
            </w:r>
            <w:r w:rsidRPr="00EB2BD8">
              <w:rPr>
                <w:spacing w:val="-2"/>
                <w:sz w:val="16"/>
              </w:rPr>
              <w:t>officer</w:t>
            </w:r>
          </w:p>
        </w:tc>
        <w:tc>
          <w:tcPr>
            <w:tcW w:w="1079" w:type="dxa"/>
          </w:tcPr>
          <w:p w14:paraId="4BF7C225" w14:textId="77777777" w:rsidR="00084F36" w:rsidRPr="00EB2BD8" w:rsidRDefault="00084F36">
            <w:pPr>
              <w:pStyle w:val="TableParagraph"/>
              <w:rPr>
                <w:rFonts w:ascii="Times New Roman"/>
                <w:sz w:val="16"/>
              </w:rPr>
            </w:pPr>
          </w:p>
        </w:tc>
        <w:tc>
          <w:tcPr>
            <w:tcW w:w="1175" w:type="dxa"/>
          </w:tcPr>
          <w:p w14:paraId="7ADFD4A3" w14:textId="77777777" w:rsidR="00084F36" w:rsidRPr="00EB2BD8" w:rsidRDefault="00084F36">
            <w:pPr>
              <w:pStyle w:val="TableParagraph"/>
              <w:rPr>
                <w:rFonts w:ascii="Times New Roman"/>
                <w:sz w:val="16"/>
              </w:rPr>
            </w:pPr>
          </w:p>
        </w:tc>
      </w:tr>
      <w:tr w:rsidR="00EB2BD8" w:rsidRPr="00EB2BD8" w14:paraId="3CC293B1" w14:textId="77777777">
        <w:trPr>
          <w:trHeight w:val="229"/>
        </w:trPr>
        <w:tc>
          <w:tcPr>
            <w:tcW w:w="1733" w:type="dxa"/>
          </w:tcPr>
          <w:p w14:paraId="6B1C47EE" w14:textId="77777777" w:rsidR="00084F36" w:rsidRPr="00EB2BD8" w:rsidRDefault="00084F36">
            <w:pPr>
              <w:pStyle w:val="TableParagraph"/>
              <w:rPr>
                <w:rFonts w:ascii="Times New Roman"/>
                <w:sz w:val="16"/>
              </w:rPr>
            </w:pPr>
          </w:p>
        </w:tc>
        <w:tc>
          <w:tcPr>
            <w:tcW w:w="1440" w:type="dxa"/>
          </w:tcPr>
          <w:p w14:paraId="37005B4A" w14:textId="77777777" w:rsidR="00084F36" w:rsidRPr="00EB2BD8" w:rsidRDefault="00084F36">
            <w:pPr>
              <w:pStyle w:val="TableParagraph"/>
              <w:rPr>
                <w:rFonts w:ascii="Times New Roman"/>
                <w:sz w:val="16"/>
              </w:rPr>
            </w:pPr>
          </w:p>
        </w:tc>
        <w:tc>
          <w:tcPr>
            <w:tcW w:w="2488" w:type="dxa"/>
          </w:tcPr>
          <w:p w14:paraId="23BAFA08" w14:textId="77777777" w:rsidR="00084F36" w:rsidRPr="00EB2BD8" w:rsidRDefault="00084F36">
            <w:pPr>
              <w:pStyle w:val="TableParagraph"/>
              <w:rPr>
                <w:rFonts w:ascii="Times New Roman"/>
                <w:sz w:val="16"/>
              </w:rPr>
            </w:pPr>
          </w:p>
        </w:tc>
        <w:tc>
          <w:tcPr>
            <w:tcW w:w="2284" w:type="dxa"/>
          </w:tcPr>
          <w:p w14:paraId="5716B7B5" w14:textId="77777777" w:rsidR="00084F36" w:rsidRPr="00EB2BD8" w:rsidRDefault="00EB2BD8">
            <w:pPr>
              <w:pStyle w:val="TableParagraph"/>
              <w:spacing w:before="19"/>
              <w:ind w:left="121"/>
              <w:rPr>
                <w:sz w:val="16"/>
              </w:rPr>
            </w:pPr>
            <w:r w:rsidRPr="00EB2BD8">
              <w:rPr>
                <w:sz w:val="16"/>
              </w:rPr>
              <w:t>of</w:t>
            </w:r>
            <w:r w:rsidRPr="00EB2BD8">
              <w:rPr>
                <w:spacing w:val="-9"/>
                <w:sz w:val="16"/>
              </w:rPr>
              <w:t xml:space="preserve"> </w:t>
            </w:r>
            <w:r w:rsidRPr="00EB2BD8">
              <w:rPr>
                <w:sz w:val="16"/>
              </w:rPr>
              <w:t>body</w:t>
            </w:r>
            <w:r w:rsidRPr="00EB2BD8">
              <w:rPr>
                <w:spacing w:val="-8"/>
                <w:sz w:val="16"/>
              </w:rPr>
              <w:t xml:space="preserve"> </w:t>
            </w:r>
            <w:r w:rsidRPr="00EB2BD8">
              <w:rPr>
                <w:sz w:val="16"/>
              </w:rPr>
              <w:t>corporate</w:t>
            </w:r>
            <w:r w:rsidRPr="00EB2BD8">
              <w:rPr>
                <w:spacing w:val="-8"/>
                <w:sz w:val="16"/>
              </w:rPr>
              <w:t xml:space="preserve"> </w:t>
            </w:r>
            <w:r w:rsidRPr="00EB2BD8">
              <w:rPr>
                <w:spacing w:val="-5"/>
                <w:sz w:val="16"/>
              </w:rPr>
              <w:t>and</w:t>
            </w:r>
          </w:p>
        </w:tc>
        <w:tc>
          <w:tcPr>
            <w:tcW w:w="1079" w:type="dxa"/>
          </w:tcPr>
          <w:p w14:paraId="1D927A71" w14:textId="77777777" w:rsidR="00084F36" w:rsidRPr="00EB2BD8" w:rsidRDefault="00084F36">
            <w:pPr>
              <w:pStyle w:val="TableParagraph"/>
              <w:rPr>
                <w:rFonts w:ascii="Times New Roman"/>
                <w:sz w:val="16"/>
              </w:rPr>
            </w:pPr>
          </w:p>
        </w:tc>
        <w:tc>
          <w:tcPr>
            <w:tcW w:w="1175" w:type="dxa"/>
          </w:tcPr>
          <w:p w14:paraId="176FF2CE" w14:textId="77777777" w:rsidR="00084F36" w:rsidRPr="00EB2BD8" w:rsidRDefault="00084F36">
            <w:pPr>
              <w:pStyle w:val="TableParagraph"/>
              <w:rPr>
                <w:rFonts w:ascii="Times New Roman"/>
                <w:sz w:val="16"/>
              </w:rPr>
            </w:pPr>
          </w:p>
        </w:tc>
      </w:tr>
      <w:tr w:rsidR="00EB2BD8" w:rsidRPr="00EB2BD8" w14:paraId="4D5BD00D" w14:textId="77777777">
        <w:trPr>
          <w:trHeight w:val="229"/>
        </w:trPr>
        <w:tc>
          <w:tcPr>
            <w:tcW w:w="1733" w:type="dxa"/>
          </w:tcPr>
          <w:p w14:paraId="0FA8B263" w14:textId="77777777" w:rsidR="00084F36" w:rsidRPr="00EB2BD8" w:rsidRDefault="00084F36">
            <w:pPr>
              <w:pStyle w:val="TableParagraph"/>
              <w:rPr>
                <w:rFonts w:ascii="Times New Roman"/>
                <w:sz w:val="16"/>
              </w:rPr>
            </w:pPr>
          </w:p>
        </w:tc>
        <w:tc>
          <w:tcPr>
            <w:tcW w:w="1440" w:type="dxa"/>
          </w:tcPr>
          <w:p w14:paraId="55D04592" w14:textId="77777777" w:rsidR="00084F36" w:rsidRPr="00EB2BD8" w:rsidRDefault="00084F36">
            <w:pPr>
              <w:pStyle w:val="TableParagraph"/>
              <w:rPr>
                <w:rFonts w:ascii="Times New Roman"/>
                <w:sz w:val="16"/>
              </w:rPr>
            </w:pPr>
          </w:p>
        </w:tc>
        <w:tc>
          <w:tcPr>
            <w:tcW w:w="2488" w:type="dxa"/>
          </w:tcPr>
          <w:p w14:paraId="3209E86D" w14:textId="77777777" w:rsidR="00084F36" w:rsidRPr="00EB2BD8" w:rsidRDefault="00084F36">
            <w:pPr>
              <w:pStyle w:val="TableParagraph"/>
              <w:rPr>
                <w:rFonts w:ascii="Times New Roman"/>
                <w:sz w:val="16"/>
              </w:rPr>
            </w:pPr>
          </w:p>
        </w:tc>
        <w:tc>
          <w:tcPr>
            <w:tcW w:w="2284" w:type="dxa"/>
          </w:tcPr>
          <w:p w14:paraId="41267723" w14:textId="77777777" w:rsidR="00084F36" w:rsidRPr="00EB2BD8" w:rsidRDefault="00EB2BD8">
            <w:pPr>
              <w:pStyle w:val="TableParagraph"/>
              <w:spacing w:before="19"/>
              <w:ind w:left="121"/>
              <w:rPr>
                <w:sz w:val="16"/>
              </w:rPr>
            </w:pPr>
            <w:r w:rsidRPr="00EB2BD8">
              <w:rPr>
                <w:spacing w:val="-4"/>
                <w:sz w:val="16"/>
              </w:rPr>
              <w:t>to</w:t>
            </w:r>
            <w:r w:rsidRPr="00EB2BD8">
              <w:rPr>
                <w:spacing w:val="-5"/>
                <w:sz w:val="16"/>
              </w:rPr>
              <w:t xml:space="preserve"> </w:t>
            </w:r>
            <w:r w:rsidRPr="00EB2BD8">
              <w:rPr>
                <w:spacing w:val="-4"/>
                <w:sz w:val="16"/>
              </w:rPr>
              <w:t>inform</w:t>
            </w:r>
            <w:r w:rsidRPr="00EB2BD8">
              <w:rPr>
                <w:spacing w:val="-5"/>
                <w:sz w:val="16"/>
              </w:rPr>
              <w:t xml:space="preserve"> </w:t>
            </w:r>
            <w:r w:rsidRPr="00EB2BD8">
              <w:rPr>
                <w:spacing w:val="-4"/>
                <w:sz w:val="16"/>
              </w:rPr>
              <w:t>himself</w:t>
            </w:r>
            <w:r w:rsidRPr="00EB2BD8">
              <w:rPr>
                <w:spacing w:val="-5"/>
                <w:sz w:val="16"/>
              </w:rPr>
              <w:t xml:space="preserve"> of</w:t>
            </w:r>
          </w:p>
        </w:tc>
        <w:tc>
          <w:tcPr>
            <w:tcW w:w="1079" w:type="dxa"/>
          </w:tcPr>
          <w:p w14:paraId="7BB555E0" w14:textId="77777777" w:rsidR="00084F36" w:rsidRPr="00EB2BD8" w:rsidRDefault="00084F36">
            <w:pPr>
              <w:pStyle w:val="TableParagraph"/>
              <w:rPr>
                <w:rFonts w:ascii="Times New Roman"/>
                <w:sz w:val="16"/>
              </w:rPr>
            </w:pPr>
          </w:p>
        </w:tc>
        <w:tc>
          <w:tcPr>
            <w:tcW w:w="1175" w:type="dxa"/>
          </w:tcPr>
          <w:p w14:paraId="76AC5C3F" w14:textId="77777777" w:rsidR="00084F36" w:rsidRPr="00EB2BD8" w:rsidRDefault="00084F36">
            <w:pPr>
              <w:pStyle w:val="TableParagraph"/>
              <w:rPr>
                <w:rFonts w:ascii="Times New Roman"/>
                <w:sz w:val="16"/>
              </w:rPr>
            </w:pPr>
          </w:p>
        </w:tc>
      </w:tr>
      <w:tr w:rsidR="00EB2BD8" w:rsidRPr="00EB2BD8" w14:paraId="3CA0A0D4" w14:textId="77777777">
        <w:trPr>
          <w:trHeight w:val="229"/>
        </w:trPr>
        <w:tc>
          <w:tcPr>
            <w:tcW w:w="1733" w:type="dxa"/>
          </w:tcPr>
          <w:p w14:paraId="5649639B" w14:textId="77777777" w:rsidR="00084F36" w:rsidRPr="00EB2BD8" w:rsidRDefault="00084F36">
            <w:pPr>
              <w:pStyle w:val="TableParagraph"/>
              <w:rPr>
                <w:rFonts w:ascii="Times New Roman"/>
                <w:sz w:val="16"/>
              </w:rPr>
            </w:pPr>
          </w:p>
        </w:tc>
        <w:tc>
          <w:tcPr>
            <w:tcW w:w="1440" w:type="dxa"/>
          </w:tcPr>
          <w:p w14:paraId="587F05D4" w14:textId="77777777" w:rsidR="00084F36" w:rsidRPr="00EB2BD8" w:rsidRDefault="00084F36">
            <w:pPr>
              <w:pStyle w:val="TableParagraph"/>
              <w:rPr>
                <w:rFonts w:ascii="Times New Roman"/>
                <w:sz w:val="16"/>
              </w:rPr>
            </w:pPr>
          </w:p>
        </w:tc>
        <w:tc>
          <w:tcPr>
            <w:tcW w:w="2488" w:type="dxa"/>
          </w:tcPr>
          <w:p w14:paraId="1C0F6BA9" w14:textId="77777777" w:rsidR="00084F36" w:rsidRPr="00EB2BD8" w:rsidRDefault="00084F36">
            <w:pPr>
              <w:pStyle w:val="TableParagraph"/>
              <w:rPr>
                <w:rFonts w:ascii="Times New Roman"/>
                <w:sz w:val="16"/>
              </w:rPr>
            </w:pPr>
          </w:p>
        </w:tc>
        <w:tc>
          <w:tcPr>
            <w:tcW w:w="2284" w:type="dxa"/>
          </w:tcPr>
          <w:p w14:paraId="16A1FD7A" w14:textId="77777777" w:rsidR="00084F36" w:rsidRPr="00EB2BD8" w:rsidRDefault="00EB2BD8">
            <w:pPr>
              <w:pStyle w:val="TableParagraph"/>
              <w:spacing w:before="19"/>
              <w:ind w:left="121"/>
              <w:rPr>
                <w:sz w:val="16"/>
              </w:rPr>
            </w:pPr>
            <w:r w:rsidRPr="00EB2BD8">
              <w:rPr>
                <w:spacing w:val="-2"/>
                <w:sz w:val="16"/>
              </w:rPr>
              <w:t>obligations</w:t>
            </w:r>
            <w:r w:rsidRPr="00EB2BD8">
              <w:rPr>
                <w:spacing w:val="-7"/>
                <w:sz w:val="16"/>
              </w:rPr>
              <w:t xml:space="preserve"> </w:t>
            </w:r>
            <w:r w:rsidRPr="00EB2BD8">
              <w:rPr>
                <w:spacing w:val="-2"/>
                <w:sz w:val="16"/>
              </w:rPr>
              <w:t>of</w:t>
            </w:r>
            <w:r w:rsidRPr="00EB2BD8">
              <w:rPr>
                <w:spacing w:val="-7"/>
                <w:sz w:val="16"/>
              </w:rPr>
              <w:t xml:space="preserve"> </w:t>
            </w:r>
            <w:r w:rsidRPr="00EB2BD8">
              <w:rPr>
                <w:spacing w:val="-2"/>
                <w:sz w:val="16"/>
              </w:rPr>
              <w:t>office—</w:t>
            </w:r>
          </w:p>
        </w:tc>
        <w:tc>
          <w:tcPr>
            <w:tcW w:w="1079" w:type="dxa"/>
          </w:tcPr>
          <w:p w14:paraId="5F85E4F2" w14:textId="77777777" w:rsidR="00084F36" w:rsidRPr="00EB2BD8" w:rsidRDefault="00084F36">
            <w:pPr>
              <w:pStyle w:val="TableParagraph"/>
              <w:rPr>
                <w:rFonts w:ascii="Times New Roman"/>
                <w:sz w:val="16"/>
              </w:rPr>
            </w:pPr>
          </w:p>
        </w:tc>
        <w:tc>
          <w:tcPr>
            <w:tcW w:w="1175" w:type="dxa"/>
          </w:tcPr>
          <w:p w14:paraId="2EACF786" w14:textId="77777777" w:rsidR="00084F36" w:rsidRPr="00EB2BD8" w:rsidRDefault="00084F36">
            <w:pPr>
              <w:pStyle w:val="TableParagraph"/>
              <w:rPr>
                <w:rFonts w:ascii="Times New Roman"/>
                <w:sz w:val="16"/>
              </w:rPr>
            </w:pPr>
          </w:p>
        </w:tc>
      </w:tr>
      <w:tr w:rsidR="00084F36" w:rsidRPr="00EB2BD8" w14:paraId="7A749C9A" w14:textId="77777777">
        <w:trPr>
          <w:trHeight w:val="205"/>
        </w:trPr>
        <w:tc>
          <w:tcPr>
            <w:tcW w:w="1733" w:type="dxa"/>
          </w:tcPr>
          <w:p w14:paraId="7946B3FD" w14:textId="77777777" w:rsidR="00084F36" w:rsidRPr="00EB2BD8" w:rsidRDefault="00084F36">
            <w:pPr>
              <w:pStyle w:val="TableParagraph"/>
              <w:rPr>
                <w:rFonts w:ascii="Times New Roman"/>
                <w:sz w:val="14"/>
              </w:rPr>
            </w:pPr>
          </w:p>
        </w:tc>
        <w:tc>
          <w:tcPr>
            <w:tcW w:w="1440" w:type="dxa"/>
          </w:tcPr>
          <w:p w14:paraId="2873DBFC" w14:textId="77777777" w:rsidR="00084F36" w:rsidRPr="00EB2BD8" w:rsidRDefault="00084F36">
            <w:pPr>
              <w:pStyle w:val="TableParagraph"/>
              <w:rPr>
                <w:rFonts w:ascii="Times New Roman"/>
                <w:sz w:val="14"/>
              </w:rPr>
            </w:pPr>
          </w:p>
        </w:tc>
        <w:tc>
          <w:tcPr>
            <w:tcW w:w="2488" w:type="dxa"/>
          </w:tcPr>
          <w:p w14:paraId="7FCB1BC0" w14:textId="77777777" w:rsidR="00084F36" w:rsidRPr="00EB2BD8" w:rsidRDefault="00084F36">
            <w:pPr>
              <w:pStyle w:val="TableParagraph"/>
              <w:rPr>
                <w:rFonts w:ascii="Times New Roman"/>
                <w:sz w:val="14"/>
              </w:rPr>
            </w:pPr>
          </w:p>
        </w:tc>
        <w:tc>
          <w:tcPr>
            <w:tcW w:w="2284" w:type="dxa"/>
          </w:tcPr>
          <w:p w14:paraId="2DF48059" w14:textId="77777777" w:rsidR="00084F36" w:rsidRPr="00EB2BD8" w:rsidRDefault="00EB2BD8">
            <w:pPr>
              <w:pStyle w:val="TableParagraph"/>
              <w:spacing w:before="19" w:line="166" w:lineRule="exact"/>
              <w:ind w:left="121"/>
              <w:rPr>
                <w:sz w:val="16"/>
              </w:rPr>
            </w:pPr>
            <w:r w:rsidRPr="00EB2BD8">
              <w:rPr>
                <w:spacing w:val="-2"/>
                <w:sz w:val="16"/>
              </w:rPr>
              <w:t>condition</w:t>
            </w:r>
            <w:r w:rsidRPr="00EB2BD8">
              <w:rPr>
                <w:spacing w:val="-11"/>
                <w:sz w:val="16"/>
              </w:rPr>
              <w:t xml:space="preserve"> </w:t>
            </w:r>
            <w:r w:rsidRPr="00EB2BD8">
              <w:rPr>
                <w:spacing w:val="-2"/>
                <w:sz w:val="16"/>
              </w:rPr>
              <w:t>for</w:t>
            </w:r>
            <w:r w:rsidRPr="00EB2BD8">
              <w:rPr>
                <w:spacing w:val="-10"/>
                <w:sz w:val="16"/>
              </w:rPr>
              <w:t xml:space="preserve"> </w:t>
            </w:r>
            <w:r w:rsidRPr="00EB2BD8">
              <w:rPr>
                <w:spacing w:val="-2"/>
                <w:sz w:val="16"/>
              </w:rPr>
              <w:t>two</w:t>
            </w:r>
            <w:r w:rsidRPr="00EB2BD8">
              <w:rPr>
                <w:spacing w:val="-10"/>
                <w:sz w:val="16"/>
              </w:rPr>
              <w:t xml:space="preserve"> </w:t>
            </w:r>
            <w:r w:rsidRPr="00EB2BD8">
              <w:rPr>
                <w:spacing w:val="-2"/>
                <w:sz w:val="16"/>
              </w:rPr>
              <w:t>years.</w:t>
            </w:r>
          </w:p>
        </w:tc>
        <w:tc>
          <w:tcPr>
            <w:tcW w:w="1079" w:type="dxa"/>
          </w:tcPr>
          <w:p w14:paraId="17ECA9E1" w14:textId="77777777" w:rsidR="00084F36" w:rsidRPr="00EB2BD8" w:rsidRDefault="00084F36">
            <w:pPr>
              <w:pStyle w:val="TableParagraph"/>
              <w:rPr>
                <w:rFonts w:ascii="Times New Roman"/>
                <w:sz w:val="14"/>
              </w:rPr>
            </w:pPr>
          </w:p>
        </w:tc>
        <w:tc>
          <w:tcPr>
            <w:tcW w:w="1175" w:type="dxa"/>
          </w:tcPr>
          <w:p w14:paraId="6D3DE484" w14:textId="77777777" w:rsidR="00084F36" w:rsidRPr="00EB2BD8" w:rsidRDefault="00084F36">
            <w:pPr>
              <w:pStyle w:val="TableParagraph"/>
              <w:rPr>
                <w:rFonts w:ascii="Times New Roman"/>
                <w:sz w:val="14"/>
              </w:rPr>
            </w:pPr>
          </w:p>
        </w:tc>
      </w:tr>
    </w:tbl>
    <w:p w14:paraId="66A8BB80" w14:textId="77777777" w:rsidR="00084F36" w:rsidRPr="00EB2BD8" w:rsidRDefault="00084F36">
      <w:pPr>
        <w:rPr>
          <w:rFonts w:ascii="Times New Roman"/>
          <w:sz w:val="14"/>
        </w:rPr>
        <w:sectPr w:rsidR="00084F36" w:rsidRPr="00EB2BD8" w:rsidSect="006D75B2">
          <w:footerReference w:type="default" r:id="rId410"/>
          <w:pgSz w:w="11910" w:h="16840"/>
          <w:pgMar w:top="1080" w:right="0" w:bottom="1720" w:left="0" w:header="0" w:footer="1536" w:gutter="0"/>
          <w:cols w:space="720"/>
        </w:sectPr>
      </w:pPr>
    </w:p>
    <w:p w14:paraId="722E0B91" w14:textId="77777777" w:rsidR="00084F36" w:rsidRPr="00EB2BD8" w:rsidRDefault="00084F36">
      <w:pPr>
        <w:pStyle w:val="BodyText"/>
        <w:rPr>
          <w:i/>
          <w:sz w:val="20"/>
        </w:rPr>
      </w:pPr>
    </w:p>
    <w:p w14:paraId="6B7EB35B" w14:textId="77777777" w:rsidR="00084F36" w:rsidRPr="00EB2BD8" w:rsidRDefault="00084F36">
      <w:pPr>
        <w:pStyle w:val="BodyText"/>
        <w:rPr>
          <w:i/>
          <w:sz w:val="20"/>
        </w:rPr>
      </w:pPr>
    </w:p>
    <w:p w14:paraId="76B3A9A9" w14:textId="77777777" w:rsidR="00084F36" w:rsidRPr="00EB2BD8" w:rsidRDefault="00084F36">
      <w:pPr>
        <w:pStyle w:val="BodyText"/>
        <w:rPr>
          <w:i/>
          <w:sz w:val="20"/>
        </w:rPr>
      </w:pPr>
    </w:p>
    <w:p w14:paraId="65809F1F" w14:textId="77777777" w:rsidR="00084F36" w:rsidRPr="00EB2BD8" w:rsidRDefault="00084F36">
      <w:pPr>
        <w:pStyle w:val="BodyText"/>
        <w:rPr>
          <w:i/>
          <w:sz w:val="20"/>
        </w:rPr>
      </w:pPr>
    </w:p>
    <w:p w14:paraId="1265434D" w14:textId="77777777" w:rsidR="00084F36" w:rsidRPr="00EB2BD8" w:rsidRDefault="00084F36">
      <w:pPr>
        <w:pStyle w:val="BodyText"/>
        <w:spacing w:before="6"/>
        <w:rPr>
          <w:i/>
          <w:sz w:val="23"/>
        </w:rPr>
      </w:pPr>
    </w:p>
    <w:tbl>
      <w:tblPr>
        <w:tblW w:w="0" w:type="auto"/>
        <w:tblInd w:w="857" w:type="dxa"/>
        <w:tblLayout w:type="fixed"/>
        <w:tblCellMar>
          <w:left w:w="0" w:type="dxa"/>
          <w:right w:w="0" w:type="dxa"/>
        </w:tblCellMar>
        <w:tblLook w:val="01E0" w:firstRow="1" w:lastRow="1" w:firstColumn="1" w:lastColumn="1" w:noHBand="0" w:noVBand="0"/>
      </w:tblPr>
      <w:tblGrid>
        <w:gridCol w:w="1741"/>
        <w:gridCol w:w="1429"/>
        <w:gridCol w:w="2492"/>
        <w:gridCol w:w="2284"/>
        <w:gridCol w:w="1079"/>
        <w:gridCol w:w="1175"/>
      </w:tblGrid>
      <w:tr w:rsidR="00EB2BD8" w:rsidRPr="00EB2BD8" w14:paraId="039F6E50" w14:textId="77777777">
        <w:trPr>
          <w:trHeight w:val="614"/>
        </w:trPr>
        <w:tc>
          <w:tcPr>
            <w:tcW w:w="1741" w:type="dxa"/>
            <w:tcBorders>
              <w:bottom w:val="single" w:sz="2" w:space="0" w:color="000000"/>
            </w:tcBorders>
            <w:shd w:val="clear" w:color="auto" w:fill="005F83"/>
          </w:tcPr>
          <w:p w14:paraId="51D3AF0C" w14:textId="77777777" w:rsidR="00084F36" w:rsidRPr="00697E0C" w:rsidRDefault="00EB2BD8">
            <w:pPr>
              <w:pStyle w:val="TableParagraph"/>
              <w:spacing w:before="118"/>
              <w:ind w:left="113"/>
              <w:rPr>
                <w:color w:val="FFFFFF" w:themeColor="background1"/>
                <w:sz w:val="16"/>
              </w:rPr>
            </w:pPr>
            <w:r w:rsidRPr="00697E0C">
              <w:rPr>
                <w:color w:val="FFFFFF" w:themeColor="background1"/>
                <w:w w:val="105"/>
                <w:sz w:val="16"/>
              </w:rPr>
              <w:t>Practitioner</w:t>
            </w:r>
            <w:r w:rsidRPr="00697E0C">
              <w:rPr>
                <w:color w:val="FFFFFF" w:themeColor="background1"/>
                <w:spacing w:val="-14"/>
                <w:w w:val="105"/>
                <w:sz w:val="16"/>
              </w:rPr>
              <w:t xml:space="preserve"> </w:t>
            </w:r>
            <w:r w:rsidRPr="00697E0C">
              <w:rPr>
                <w:color w:val="FFFFFF" w:themeColor="background1"/>
                <w:spacing w:val="-4"/>
                <w:w w:val="105"/>
                <w:sz w:val="16"/>
              </w:rPr>
              <w:t>name</w:t>
            </w:r>
          </w:p>
        </w:tc>
        <w:tc>
          <w:tcPr>
            <w:tcW w:w="1429" w:type="dxa"/>
            <w:tcBorders>
              <w:bottom w:val="single" w:sz="2" w:space="0" w:color="000000"/>
            </w:tcBorders>
            <w:shd w:val="clear" w:color="auto" w:fill="005F83"/>
          </w:tcPr>
          <w:p w14:paraId="40EF438A" w14:textId="77777777" w:rsidR="00084F36" w:rsidRPr="00697E0C" w:rsidRDefault="00EB2BD8">
            <w:pPr>
              <w:pStyle w:val="TableParagraph"/>
              <w:spacing w:before="118" w:line="292" w:lineRule="auto"/>
              <w:ind w:left="129"/>
              <w:rPr>
                <w:color w:val="FFFFFF" w:themeColor="background1"/>
                <w:sz w:val="16"/>
              </w:rPr>
            </w:pPr>
            <w:r w:rsidRPr="00697E0C">
              <w:rPr>
                <w:color w:val="FFFFFF" w:themeColor="background1"/>
                <w:spacing w:val="-2"/>
                <w:sz w:val="16"/>
              </w:rPr>
              <w:t xml:space="preserve">Registration </w:t>
            </w:r>
            <w:r w:rsidRPr="00697E0C">
              <w:rPr>
                <w:color w:val="FFFFFF" w:themeColor="background1"/>
                <w:spacing w:val="-2"/>
                <w:w w:val="105"/>
                <w:sz w:val="16"/>
              </w:rPr>
              <w:t>Number</w:t>
            </w:r>
          </w:p>
        </w:tc>
        <w:tc>
          <w:tcPr>
            <w:tcW w:w="2492" w:type="dxa"/>
            <w:tcBorders>
              <w:bottom w:val="single" w:sz="2" w:space="0" w:color="000000"/>
            </w:tcBorders>
            <w:shd w:val="clear" w:color="auto" w:fill="005F83"/>
          </w:tcPr>
          <w:p w14:paraId="35FED95A" w14:textId="77777777" w:rsidR="00084F36" w:rsidRPr="00697E0C" w:rsidRDefault="00EB2BD8">
            <w:pPr>
              <w:pStyle w:val="TableParagraph"/>
              <w:spacing w:before="118"/>
              <w:ind w:left="333"/>
              <w:rPr>
                <w:color w:val="FFFFFF" w:themeColor="background1"/>
                <w:sz w:val="16"/>
              </w:rPr>
            </w:pPr>
            <w:r w:rsidRPr="00697E0C">
              <w:rPr>
                <w:color w:val="FFFFFF" w:themeColor="background1"/>
                <w:spacing w:val="-2"/>
                <w:w w:val="105"/>
                <w:sz w:val="16"/>
              </w:rPr>
              <w:t>Conduct</w:t>
            </w:r>
          </w:p>
        </w:tc>
        <w:tc>
          <w:tcPr>
            <w:tcW w:w="2284" w:type="dxa"/>
            <w:tcBorders>
              <w:bottom w:val="single" w:sz="2" w:space="0" w:color="000000"/>
            </w:tcBorders>
            <w:shd w:val="clear" w:color="auto" w:fill="005F83"/>
          </w:tcPr>
          <w:p w14:paraId="0CE531D5" w14:textId="77777777" w:rsidR="00084F36" w:rsidRPr="00697E0C" w:rsidRDefault="00EB2BD8">
            <w:pPr>
              <w:pStyle w:val="TableParagraph"/>
              <w:spacing w:before="118"/>
              <w:ind w:left="120"/>
              <w:rPr>
                <w:color w:val="FFFFFF" w:themeColor="background1"/>
                <w:sz w:val="16"/>
              </w:rPr>
            </w:pPr>
            <w:r w:rsidRPr="00697E0C">
              <w:rPr>
                <w:color w:val="FFFFFF" w:themeColor="background1"/>
                <w:spacing w:val="-2"/>
                <w:sz w:val="16"/>
              </w:rPr>
              <w:t>Result</w:t>
            </w:r>
          </w:p>
        </w:tc>
        <w:tc>
          <w:tcPr>
            <w:tcW w:w="1079" w:type="dxa"/>
            <w:tcBorders>
              <w:bottom w:val="single" w:sz="2" w:space="0" w:color="000000"/>
            </w:tcBorders>
            <w:shd w:val="clear" w:color="auto" w:fill="005F83"/>
          </w:tcPr>
          <w:p w14:paraId="4FB56D94" w14:textId="77777777" w:rsidR="00084F36" w:rsidRPr="00697E0C" w:rsidRDefault="00EB2BD8">
            <w:pPr>
              <w:pStyle w:val="TableParagraph"/>
              <w:spacing w:before="118" w:line="292" w:lineRule="auto"/>
              <w:ind w:left="115" w:right="92"/>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35</w:t>
            </w:r>
          </w:p>
        </w:tc>
        <w:tc>
          <w:tcPr>
            <w:tcW w:w="1175" w:type="dxa"/>
            <w:tcBorders>
              <w:bottom w:val="single" w:sz="2" w:space="0" w:color="000000"/>
            </w:tcBorders>
            <w:shd w:val="clear" w:color="auto" w:fill="005F83"/>
          </w:tcPr>
          <w:p w14:paraId="7E399F41" w14:textId="77777777" w:rsidR="00084F36" w:rsidRPr="00697E0C" w:rsidRDefault="00EB2BD8">
            <w:pPr>
              <w:pStyle w:val="TableParagraph"/>
              <w:spacing w:before="118"/>
              <w:ind w:left="113"/>
              <w:rPr>
                <w:color w:val="FFFFFF" w:themeColor="background1"/>
                <w:sz w:val="9"/>
              </w:rPr>
            </w:pPr>
            <w:r w:rsidRPr="00697E0C">
              <w:rPr>
                <w:color w:val="FFFFFF" w:themeColor="background1"/>
                <w:spacing w:val="-2"/>
                <w:w w:val="105"/>
                <w:sz w:val="16"/>
              </w:rPr>
              <w:t>Date</w:t>
            </w:r>
            <w:r w:rsidRPr="00697E0C">
              <w:rPr>
                <w:color w:val="FFFFFF" w:themeColor="background1"/>
                <w:spacing w:val="-2"/>
                <w:w w:val="105"/>
                <w:position w:val="5"/>
                <w:sz w:val="9"/>
              </w:rPr>
              <w:t>36</w:t>
            </w:r>
          </w:p>
        </w:tc>
      </w:tr>
      <w:tr w:rsidR="00EB2BD8" w:rsidRPr="00EB2BD8" w14:paraId="5429456A" w14:textId="77777777">
        <w:trPr>
          <w:trHeight w:val="326"/>
        </w:trPr>
        <w:tc>
          <w:tcPr>
            <w:tcW w:w="1741" w:type="dxa"/>
            <w:tcBorders>
              <w:top w:val="single" w:sz="2" w:space="0" w:color="000000"/>
            </w:tcBorders>
          </w:tcPr>
          <w:p w14:paraId="1657A38B" w14:textId="77777777" w:rsidR="00084F36" w:rsidRPr="00EB2BD8" w:rsidRDefault="00EB2BD8">
            <w:pPr>
              <w:pStyle w:val="TableParagraph"/>
              <w:spacing w:before="116"/>
              <w:ind w:left="113"/>
              <w:rPr>
                <w:sz w:val="16"/>
              </w:rPr>
            </w:pPr>
            <w:r w:rsidRPr="00EB2BD8">
              <w:rPr>
                <w:spacing w:val="-2"/>
                <w:sz w:val="16"/>
              </w:rPr>
              <w:t xml:space="preserve">McLACHLAN, </w:t>
            </w:r>
            <w:r w:rsidRPr="00EB2BD8">
              <w:rPr>
                <w:spacing w:val="-4"/>
                <w:sz w:val="16"/>
              </w:rPr>
              <w:t>Glenn</w:t>
            </w:r>
          </w:p>
        </w:tc>
        <w:tc>
          <w:tcPr>
            <w:tcW w:w="1429" w:type="dxa"/>
            <w:tcBorders>
              <w:top w:val="single" w:sz="2" w:space="0" w:color="000000"/>
            </w:tcBorders>
          </w:tcPr>
          <w:p w14:paraId="3B29D2FA" w14:textId="77777777" w:rsidR="00084F36" w:rsidRPr="00EB2BD8" w:rsidRDefault="00EB2BD8">
            <w:pPr>
              <w:pStyle w:val="TableParagraph"/>
              <w:spacing w:before="116"/>
              <w:ind w:left="129"/>
              <w:rPr>
                <w:sz w:val="16"/>
              </w:rPr>
            </w:pPr>
            <w:r w:rsidRPr="00EB2BD8">
              <w:rPr>
                <w:w w:val="105"/>
                <w:sz w:val="16"/>
              </w:rPr>
              <w:t>CB-U</w:t>
            </w:r>
            <w:r w:rsidRPr="00EB2BD8">
              <w:rPr>
                <w:spacing w:val="11"/>
                <w:w w:val="105"/>
                <w:sz w:val="16"/>
              </w:rPr>
              <w:t xml:space="preserve"> </w:t>
            </w:r>
            <w:r w:rsidRPr="00EB2BD8">
              <w:rPr>
                <w:spacing w:val="-2"/>
                <w:w w:val="105"/>
                <w:sz w:val="16"/>
              </w:rPr>
              <w:t>5365;</w:t>
            </w:r>
          </w:p>
        </w:tc>
        <w:tc>
          <w:tcPr>
            <w:tcW w:w="2492" w:type="dxa"/>
            <w:tcBorders>
              <w:top w:val="single" w:sz="2" w:space="0" w:color="000000"/>
            </w:tcBorders>
          </w:tcPr>
          <w:p w14:paraId="4E8FA599" w14:textId="77777777" w:rsidR="00084F36" w:rsidRPr="00EB2BD8" w:rsidRDefault="00EB2BD8">
            <w:pPr>
              <w:pStyle w:val="TableParagraph"/>
              <w:spacing w:before="116"/>
              <w:ind w:left="333"/>
              <w:rPr>
                <w:sz w:val="16"/>
              </w:rPr>
            </w:pPr>
            <w:r w:rsidRPr="00EB2BD8">
              <w:rPr>
                <w:spacing w:val="-2"/>
                <w:sz w:val="16"/>
              </w:rPr>
              <w:t>Performing</w:t>
            </w:r>
            <w:r w:rsidRPr="00EB2BD8">
              <w:rPr>
                <w:spacing w:val="6"/>
                <w:sz w:val="16"/>
              </w:rPr>
              <w:t xml:space="preserve"> </w:t>
            </w:r>
            <w:r w:rsidRPr="00EB2BD8">
              <w:rPr>
                <w:spacing w:val="-2"/>
                <w:sz w:val="16"/>
              </w:rPr>
              <w:t>building</w:t>
            </w:r>
          </w:p>
        </w:tc>
        <w:tc>
          <w:tcPr>
            <w:tcW w:w="2284" w:type="dxa"/>
            <w:tcBorders>
              <w:top w:val="single" w:sz="2" w:space="0" w:color="000000"/>
            </w:tcBorders>
          </w:tcPr>
          <w:p w14:paraId="77D0C42F" w14:textId="77777777" w:rsidR="00084F36" w:rsidRPr="00EB2BD8" w:rsidRDefault="00EB2BD8">
            <w:pPr>
              <w:pStyle w:val="TableParagraph"/>
              <w:spacing w:before="115"/>
              <w:ind w:left="120"/>
              <w:rPr>
                <w:sz w:val="16"/>
              </w:rPr>
            </w:pPr>
            <w:r w:rsidRPr="00EB2BD8">
              <w:rPr>
                <w:sz w:val="16"/>
              </w:rPr>
              <w:t>Reprimand</w:t>
            </w:r>
            <w:r w:rsidRPr="00EB2BD8">
              <w:rPr>
                <w:spacing w:val="4"/>
                <w:sz w:val="16"/>
              </w:rPr>
              <w:t xml:space="preserve"> </w:t>
            </w:r>
            <w:r w:rsidRPr="00EB2BD8">
              <w:rPr>
                <w:sz w:val="16"/>
              </w:rPr>
              <w:t>and</w:t>
            </w:r>
            <w:r w:rsidRPr="00EB2BD8">
              <w:rPr>
                <w:spacing w:val="4"/>
                <w:sz w:val="16"/>
              </w:rPr>
              <w:t xml:space="preserve"> </w:t>
            </w:r>
            <w:r w:rsidRPr="00EB2BD8">
              <w:rPr>
                <w:spacing w:val="-10"/>
                <w:sz w:val="16"/>
              </w:rPr>
              <w:t>a</w:t>
            </w:r>
          </w:p>
        </w:tc>
        <w:tc>
          <w:tcPr>
            <w:tcW w:w="1079" w:type="dxa"/>
            <w:tcBorders>
              <w:top w:val="single" w:sz="2" w:space="0" w:color="000000"/>
            </w:tcBorders>
          </w:tcPr>
          <w:p w14:paraId="1F03249B" w14:textId="77777777" w:rsidR="00084F36" w:rsidRPr="00EB2BD8" w:rsidRDefault="00EB2BD8">
            <w:pPr>
              <w:pStyle w:val="TableParagraph"/>
              <w:spacing w:before="115"/>
              <w:ind w:right="110"/>
              <w:jc w:val="right"/>
              <w:rPr>
                <w:sz w:val="16"/>
              </w:rPr>
            </w:pPr>
            <w:r w:rsidRPr="00EB2BD8">
              <w:rPr>
                <w:w w:val="124"/>
                <w:sz w:val="16"/>
              </w:rPr>
              <w:t>–</w:t>
            </w:r>
          </w:p>
        </w:tc>
        <w:tc>
          <w:tcPr>
            <w:tcW w:w="1175" w:type="dxa"/>
            <w:tcBorders>
              <w:top w:val="single" w:sz="2" w:space="0" w:color="000000"/>
            </w:tcBorders>
          </w:tcPr>
          <w:p w14:paraId="56A00694" w14:textId="77777777" w:rsidR="00084F36" w:rsidRPr="00EB2BD8" w:rsidRDefault="00EB2BD8">
            <w:pPr>
              <w:pStyle w:val="TableParagraph"/>
              <w:spacing w:before="115"/>
              <w:ind w:left="113"/>
              <w:rPr>
                <w:sz w:val="16"/>
              </w:rPr>
            </w:pPr>
            <w:r w:rsidRPr="00EB2BD8">
              <w:rPr>
                <w:spacing w:val="-2"/>
                <w:w w:val="90"/>
                <w:sz w:val="16"/>
              </w:rPr>
              <w:t>01/07/2022</w:t>
            </w:r>
          </w:p>
        </w:tc>
      </w:tr>
      <w:tr w:rsidR="00EB2BD8" w:rsidRPr="00EB2BD8" w14:paraId="7747EEE5" w14:textId="77777777">
        <w:trPr>
          <w:trHeight w:val="229"/>
        </w:trPr>
        <w:tc>
          <w:tcPr>
            <w:tcW w:w="1741" w:type="dxa"/>
          </w:tcPr>
          <w:p w14:paraId="4E58D1B1" w14:textId="77777777" w:rsidR="00084F36" w:rsidRPr="00EB2BD8" w:rsidRDefault="00084F36">
            <w:pPr>
              <w:pStyle w:val="TableParagraph"/>
              <w:rPr>
                <w:rFonts w:ascii="Times New Roman"/>
                <w:sz w:val="16"/>
              </w:rPr>
            </w:pPr>
          </w:p>
        </w:tc>
        <w:tc>
          <w:tcPr>
            <w:tcW w:w="1429" w:type="dxa"/>
          </w:tcPr>
          <w:p w14:paraId="40715981" w14:textId="77777777" w:rsidR="00084F36" w:rsidRPr="00EB2BD8" w:rsidRDefault="00EB2BD8">
            <w:pPr>
              <w:pStyle w:val="TableParagraph"/>
              <w:spacing w:before="19"/>
              <w:ind w:left="129"/>
              <w:rPr>
                <w:sz w:val="16"/>
              </w:rPr>
            </w:pPr>
            <w:r w:rsidRPr="00EB2BD8">
              <w:rPr>
                <w:sz w:val="16"/>
              </w:rPr>
              <w:t>DB-U</w:t>
            </w:r>
            <w:r w:rsidRPr="00EB2BD8">
              <w:rPr>
                <w:spacing w:val="22"/>
                <w:sz w:val="16"/>
              </w:rPr>
              <w:t xml:space="preserve"> </w:t>
            </w:r>
            <w:r w:rsidRPr="00EB2BD8">
              <w:rPr>
                <w:spacing w:val="-4"/>
                <w:sz w:val="16"/>
              </w:rPr>
              <w:t>6842</w:t>
            </w:r>
          </w:p>
        </w:tc>
        <w:tc>
          <w:tcPr>
            <w:tcW w:w="2492" w:type="dxa"/>
          </w:tcPr>
          <w:p w14:paraId="57837A69" w14:textId="77777777" w:rsidR="00084F36" w:rsidRPr="00EB2BD8" w:rsidRDefault="00EB2BD8">
            <w:pPr>
              <w:pStyle w:val="TableParagraph"/>
              <w:spacing w:before="19"/>
              <w:ind w:left="333"/>
              <w:rPr>
                <w:sz w:val="16"/>
              </w:rPr>
            </w:pPr>
            <w:r w:rsidRPr="00EB2BD8">
              <w:rPr>
                <w:spacing w:val="-2"/>
                <w:sz w:val="16"/>
              </w:rPr>
              <w:t>work</w:t>
            </w:r>
            <w:r w:rsidRPr="00EB2BD8">
              <w:rPr>
                <w:spacing w:val="-7"/>
                <w:sz w:val="16"/>
              </w:rPr>
              <w:t xml:space="preserve"> </w:t>
            </w:r>
            <w:r w:rsidRPr="00EB2BD8">
              <w:rPr>
                <w:spacing w:val="-2"/>
                <w:sz w:val="16"/>
              </w:rPr>
              <w:t>other</w:t>
            </w:r>
            <w:r w:rsidRPr="00EB2BD8">
              <w:rPr>
                <w:spacing w:val="-7"/>
                <w:sz w:val="16"/>
              </w:rPr>
              <w:t xml:space="preserve"> </w:t>
            </w:r>
            <w:r w:rsidRPr="00EB2BD8">
              <w:rPr>
                <w:spacing w:val="-2"/>
                <w:sz w:val="16"/>
              </w:rPr>
              <w:t>than</w:t>
            </w:r>
            <w:r w:rsidRPr="00EB2BD8">
              <w:rPr>
                <w:spacing w:val="-6"/>
                <w:sz w:val="16"/>
              </w:rPr>
              <w:t xml:space="preserve"> </w:t>
            </w:r>
            <w:r w:rsidRPr="00EB2BD8">
              <w:rPr>
                <w:spacing w:val="-2"/>
                <w:sz w:val="16"/>
              </w:rPr>
              <w:t>in</w:t>
            </w:r>
            <w:r w:rsidRPr="00EB2BD8">
              <w:rPr>
                <w:spacing w:val="-7"/>
                <w:sz w:val="16"/>
              </w:rPr>
              <w:t xml:space="preserve"> </w:t>
            </w:r>
            <w:r w:rsidRPr="00EB2BD8">
              <w:rPr>
                <w:spacing w:val="-10"/>
                <w:sz w:val="16"/>
              </w:rPr>
              <w:t>a</w:t>
            </w:r>
          </w:p>
        </w:tc>
        <w:tc>
          <w:tcPr>
            <w:tcW w:w="2284" w:type="dxa"/>
          </w:tcPr>
          <w:p w14:paraId="69FBF219" w14:textId="77777777" w:rsidR="00084F36" w:rsidRPr="00EB2BD8" w:rsidRDefault="00EB2BD8">
            <w:pPr>
              <w:pStyle w:val="TableParagraph"/>
              <w:spacing w:before="19"/>
              <w:ind w:left="120"/>
              <w:rPr>
                <w:sz w:val="16"/>
              </w:rPr>
            </w:pPr>
            <w:r w:rsidRPr="00EB2BD8">
              <w:rPr>
                <w:spacing w:val="-2"/>
                <w:sz w:val="16"/>
              </w:rPr>
              <w:t>requirement</w:t>
            </w:r>
            <w:r w:rsidRPr="00EB2BD8">
              <w:rPr>
                <w:spacing w:val="-3"/>
                <w:sz w:val="16"/>
              </w:rPr>
              <w:t xml:space="preserve"> </w:t>
            </w:r>
            <w:r w:rsidRPr="00EB2BD8">
              <w:rPr>
                <w:spacing w:val="-2"/>
                <w:sz w:val="16"/>
              </w:rPr>
              <w:t>to complete</w:t>
            </w:r>
            <w:r w:rsidRPr="00EB2BD8">
              <w:rPr>
                <w:spacing w:val="-3"/>
                <w:sz w:val="16"/>
              </w:rPr>
              <w:t xml:space="preserve"> </w:t>
            </w:r>
            <w:r w:rsidRPr="00EB2BD8">
              <w:rPr>
                <w:spacing w:val="-10"/>
                <w:sz w:val="16"/>
              </w:rPr>
              <w:t>a</w:t>
            </w:r>
          </w:p>
        </w:tc>
        <w:tc>
          <w:tcPr>
            <w:tcW w:w="1079" w:type="dxa"/>
          </w:tcPr>
          <w:p w14:paraId="01838EC4" w14:textId="77777777" w:rsidR="00084F36" w:rsidRPr="00EB2BD8" w:rsidRDefault="00084F36">
            <w:pPr>
              <w:pStyle w:val="TableParagraph"/>
              <w:rPr>
                <w:rFonts w:ascii="Times New Roman"/>
                <w:sz w:val="16"/>
              </w:rPr>
            </w:pPr>
          </w:p>
        </w:tc>
        <w:tc>
          <w:tcPr>
            <w:tcW w:w="1175" w:type="dxa"/>
          </w:tcPr>
          <w:p w14:paraId="2F0894F9" w14:textId="77777777" w:rsidR="00084F36" w:rsidRPr="00EB2BD8" w:rsidRDefault="00084F36">
            <w:pPr>
              <w:pStyle w:val="TableParagraph"/>
              <w:rPr>
                <w:rFonts w:ascii="Times New Roman"/>
                <w:sz w:val="16"/>
              </w:rPr>
            </w:pPr>
          </w:p>
        </w:tc>
      </w:tr>
      <w:tr w:rsidR="00EB2BD8" w:rsidRPr="00EB2BD8" w14:paraId="7101EE2F" w14:textId="77777777">
        <w:trPr>
          <w:trHeight w:val="230"/>
        </w:trPr>
        <w:tc>
          <w:tcPr>
            <w:tcW w:w="1741" w:type="dxa"/>
          </w:tcPr>
          <w:p w14:paraId="1DA4B5C0" w14:textId="77777777" w:rsidR="00084F36" w:rsidRPr="00EB2BD8" w:rsidRDefault="00084F36">
            <w:pPr>
              <w:pStyle w:val="TableParagraph"/>
              <w:rPr>
                <w:rFonts w:ascii="Times New Roman"/>
                <w:sz w:val="16"/>
              </w:rPr>
            </w:pPr>
          </w:p>
        </w:tc>
        <w:tc>
          <w:tcPr>
            <w:tcW w:w="1429" w:type="dxa"/>
          </w:tcPr>
          <w:p w14:paraId="52DD4DDB" w14:textId="77777777" w:rsidR="00084F36" w:rsidRPr="00EB2BD8" w:rsidRDefault="00084F36">
            <w:pPr>
              <w:pStyle w:val="TableParagraph"/>
              <w:rPr>
                <w:rFonts w:ascii="Times New Roman"/>
                <w:sz w:val="16"/>
              </w:rPr>
            </w:pPr>
          </w:p>
        </w:tc>
        <w:tc>
          <w:tcPr>
            <w:tcW w:w="2492" w:type="dxa"/>
          </w:tcPr>
          <w:p w14:paraId="0F00B2DD" w14:textId="77777777" w:rsidR="00084F36" w:rsidRPr="00EB2BD8" w:rsidRDefault="00EB2BD8">
            <w:pPr>
              <w:pStyle w:val="TableParagraph"/>
              <w:spacing w:before="19"/>
              <w:ind w:left="333"/>
              <w:rPr>
                <w:sz w:val="16"/>
              </w:rPr>
            </w:pPr>
            <w:r w:rsidRPr="00EB2BD8">
              <w:rPr>
                <w:sz w:val="16"/>
              </w:rPr>
              <w:t xml:space="preserve">competent manner </w:t>
            </w:r>
            <w:r w:rsidRPr="00EB2BD8">
              <w:rPr>
                <w:spacing w:val="-5"/>
                <w:sz w:val="16"/>
              </w:rPr>
              <w:t>and</w:t>
            </w:r>
          </w:p>
        </w:tc>
        <w:tc>
          <w:tcPr>
            <w:tcW w:w="2284" w:type="dxa"/>
          </w:tcPr>
          <w:p w14:paraId="28DA75C5" w14:textId="77777777" w:rsidR="00084F36" w:rsidRPr="00EB2BD8" w:rsidRDefault="00EB2BD8">
            <w:pPr>
              <w:pStyle w:val="TableParagraph"/>
              <w:spacing w:before="19"/>
              <w:ind w:left="120"/>
              <w:rPr>
                <w:sz w:val="16"/>
              </w:rPr>
            </w:pPr>
            <w:r w:rsidRPr="00EB2BD8">
              <w:rPr>
                <w:spacing w:val="-2"/>
                <w:sz w:val="16"/>
              </w:rPr>
              <w:t>course</w:t>
            </w:r>
            <w:r w:rsidRPr="00EB2BD8">
              <w:rPr>
                <w:spacing w:val="-6"/>
                <w:sz w:val="16"/>
              </w:rPr>
              <w:t xml:space="preserve"> </w:t>
            </w:r>
            <w:r w:rsidRPr="00EB2BD8">
              <w:rPr>
                <w:spacing w:val="-2"/>
                <w:sz w:val="16"/>
              </w:rPr>
              <w:t>of</w:t>
            </w:r>
            <w:r w:rsidRPr="00EB2BD8">
              <w:rPr>
                <w:spacing w:val="-5"/>
                <w:sz w:val="16"/>
              </w:rPr>
              <w:t xml:space="preserve"> </w:t>
            </w:r>
            <w:r w:rsidRPr="00EB2BD8">
              <w:rPr>
                <w:spacing w:val="-2"/>
                <w:sz w:val="16"/>
              </w:rPr>
              <w:t>training.</w:t>
            </w:r>
          </w:p>
        </w:tc>
        <w:tc>
          <w:tcPr>
            <w:tcW w:w="1079" w:type="dxa"/>
          </w:tcPr>
          <w:p w14:paraId="5FE4C3DB" w14:textId="77777777" w:rsidR="00084F36" w:rsidRPr="00EB2BD8" w:rsidRDefault="00084F36">
            <w:pPr>
              <w:pStyle w:val="TableParagraph"/>
              <w:rPr>
                <w:rFonts w:ascii="Times New Roman"/>
                <w:sz w:val="16"/>
              </w:rPr>
            </w:pPr>
          </w:p>
        </w:tc>
        <w:tc>
          <w:tcPr>
            <w:tcW w:w="1175" w:type="dxa"/>
          </w:tcPr>
          <w:p w14:paraId="663A98B9" w14:textId="77777777" w:rsidR="00084F36" w:rsidRPr="00EB2BD8" w:rsidRDefault="00084F36">
            <w:pPr>
              <w:pStyle w:val="TableParagraph"/>
              <w:rPr>
                <w:rFonts w:ascii="Times New Roman"/>
                <w:sz w:val="16"/>
              </w:rPr>
            </w:pPr>
          </w:p>
        </w:tc>
      </w:tr>
      <w:tr w:rsidR="00EB2BD8" w:rsidRPr="00EB2BD8" w14:paraId="717D7099" w14:textId="77777777">
        <w:trPr>
          <w:trHeight w:val="229"/>
        </w:trPr>
        <w:tc>
          <w:tcPr>
            <w:tcW w:w="1741" w:type="dxa"/>
          </w:tcPr>
          <w:p w14:paraId="721B8060" w14:textId="77777777" w:rsidR="00084F36" w:rsidRPr="00EB2BD8" w:rsidRDefault="00084F36">
            <w:pPr>
              <w:pStyle w:val="TableParagraph"/>
              <w:rPr>
                <w:rFonts w:ascii="Times New Roman"/>
                <w:sz w:val="16"/>
              </w:rPr>
            </w:pPr>
          </w:p>
        </w:tc>
        <w:tc>
          <w:tcPr>
            <w:tcW w:w="1429" w:type="dxa"/>
          </w:tcPr>
          <w:p w14:paraId="2418D418" w14:textId="77777777" w:rsidR="00084F36" w:rsidRPr="00EB2BD8" w:rsidRDefault="00084F36">
            <w:pPr>
              <w:pStyle w:val="TableParagraph"/>
              <w:rPr>
                <w:rFonts w:ascii="Times New Roman"/>
                <w:sz w:val="16"/>
              </w:rPr>
            </w:pPr>
          </w:p>
        </w:tc>
        <w:tc>
          <w:tcPr>
            <w:tcW w:w="2492" w:type="dxa"/>
          </w:tcPr>
          <w:p w14:paraId="678D61E0" w14:textId="77777777" w:rsidR="00084F36" w:rsidRPr="00EB2BD8" w:rsidRDefault="00EB2BD8">
            <w:pPr>
              <w:pStyle w:val="TableParagraph"/>
              <w:spacing w:before="19"/>
              <w:ind w:left="333"/>
              <w:rPr>
                <w:sz w:val="16"/>
              </w:rPr>
            </w:pPr>
            <w:r w:rsidRPr="00EB2BD8">
              <w:rPr>
                <w:spacing w:val="-2"/>
                <w:sz w:val="16"/>
              </w:rPr>
              <w:t>to</w:t>
            </w:r>
            <w:r w:rsidRPr="00EB2BD8">
              <w:rPr>
                <w:spacing w:val="-6"/>
                <w:sz w:val="16"/>
              </w:rPr>
              <w:t xml:space="preserve"> </w:t>
            </w:r>
            <w:r w:rsidRPr="00EB2BD8">
              <w:rPr>
                <w:spacing w:val="-2"/>
                <w:sz w:val="16"/>
              </w:rPr>
              <w:t>a</w:t>
            </w:r>
            <w:r w:rsidRPr="00EB2BD8">
              <w:rPr>
                <w:spacing w:val="-5"/>
                <w:sz w:val="16"/>
              </w:rPr>
              <w:t xml:space="preserve"> </w:t>
            </w:r>
            <w:r w:rsidRPr="00EB2BD8">
              <w:rPr>
                <w:spacing w:val="-2"/>
                <w:sz w:val="16"/>
              </w:rPr>
              <w:t>professional</w:t>
            </w:r>
            <w:r w:rsidRPr="00EB2BD8">
              <w:rPr>
                <w:spacing w:val="-5"/>
                <w:sz w:val="16"/>
              </w:rPr>
              <w:t xml:space="preserve"> </w:t>
            </w:r>
            <w:r w:rsidRPr="00EB2BD8">
              <w:rPr>
                <w:spacing w:val="-2"/>
                <w:sz w:val="16"/>
              </w:rPr>
              <w:t>standard</w:t>
            </w:r>
          </w:p>
        </w:tc>
        <w:tc>
          <w:tcPr>
            <w:tcW w:w="2284" w:type="dxa"/>
          </w:tcPr>
          <w:p w14:paraId="35F0C151" w14:textId="77777777" w:rsidR="00084F36" w:rsidRPr="00EB2BD8" w:rsidRDefault="00084F36">
            <w:pPr>
              <w:pStyle w:val="TableParagraph"/>
              <w:rPr>
                <w:rFonts w:ascii="Times New Roman"/>
                <w:sz w:val="16"/>
              </w:rPr>
            </w:pPr>
          </w:p>
        </w:tc>
        <w:tc>
          <w:tcPr>
            <w:tcW w:w="1079" w:type="dxa"/>
          </w:tcPr>
          <w:p w14:paraId="70350C53" w14:textId="77777777" w:rsidR="00084F36" w:rsidRPr="00EB2BD8" w:rsidRDefault="00084F36">
            <w:pPr>
              <w:pStyle w:val="TableParagraph"/>
              <w:rPr>
                <w:rFonts w:ascii="Times New Roman"/>
                <w:sz w:val="16"/>
              </w:rPr>
            </w:pPr>
          </w:p>
        </w:tc>
        <w:tc>
          <w:tcPr>
            <w:tcW w:w="1175" w:type="dxa"/>
          </w:tcPr>
          <w:p w14:paraId="3E26CC6E" w14:textId="77777777" w:rsidR="00084F36" w:rsidRPr="00EB2BD8" w:rsidRDefault="00084F36">
            <w:pPr>
              <w:pStyle w:val="TableParagraph"/>
              <w:rPr>
                <w:rFonts w:ascii="Times New Roman"/>
                <w:sz w:val="16"/>
              </w:rPr>
            </w:pPr>
          </w:p>
        </w:tc>
      </w:tr>
      <w:tr w:rsidR="00EB2BD8" w:rsidRPr="00EB2BD8" w14:paraId="014B54A3" w14:textId="77777777">
        <w:trPr>
          <w:trHeight w:val="229"/>
        </w:trPr>
        <w:tc>
          <w:tcPr>
            <w:tcW w:w="1741" w:type="dxa"/>
          </w:tcPr>
          <w:p w14:paraId="74559936" w14:textId="77777777" w:rsidR="00084F36" w:rsidRPr="00EB2BD8" w:rsidRDefault="00084F36">
            <w:pPr>
              <w:pStyle w:val="TableParagraph"/>
              <w:rPr>
                <w:rFonts w:ascii="Times New Roman"/>
                <w:sz w:val="16"/>
              </w:rPr>
            </w:pPr>
          </w:p>
        </w:tc>
        <w:tc>
          <w:tcPr>
            <w:tcW w:w="1429" w:type="dxa"/>
          </w:tcPr>
          <w:p w14:paraId="12E3A1BC" w14:textId="77777777" w:rsidR="00084F36" w:rsidRPr="00EB2BD8" w:rsidRDefault="00084F36">
            <w:pPr>
              <w:pStyle w:val="TableParagraph"/>
              <w:rPr>
                <w:rFonts w:ascii="Times New Roman"/>
                <w:sz w:val="16"/>
              </w:rPr>
            </w:pPr>
          </w:p>
        </w:tc>
        <w:tc>
          <w:tcPr>
            <w:tcW w:w="2492" w:type="dxa"/>
          </w:tcPr>
          <w:p w14:paraId="41C0592D" w14:textId="77777777" w:rsidR="00084F36" w:rsidRPr="00EB2BD8" w:rsidRDefault="00EB2BD8">
            <w:pPr>
              <w:pStyle w:val="TableParagraph"/>
              <w:spacing w:before="19"/>
              <w:ind w:left="333"/>
              <w:rPr>
                <w:sz w:val="16"/>
              </w:rPr>
            </w:pPr>
            <w:r w:rsidRPr="00EB2BD8">
              <w:rPr>
                <w:sz w:val="16"/>
              </w:rPr>
              <w:t>in</w:t>
            </w:r>
            <w:r w:rsidRPr="00EB2BD8">
              <w:rPr>
                <w:spacing w:val="-9"/>
                <w:sz w:val="16"/>
              </w:rPr>
              <w:t xml:space="preserve"> </w:t>
            </w:r>
            <w:r w:rsidRPr="00EB2BD8">
              <w:rPr>
                <w:sz w:val="16"/>
              </w:rPr>
              <w:t>respect</w:t>
            </w:r>
            <w:r w:rsidRPr="00EB2BD8">
              <w:rPr>
                <w:spacing w:val="-9"/>
                <w:sz w:val="16"/>
              </w:rPr>
              <w:t xml:space="preserve"> </w:t>
            </w:r>
            <w:r w:rsidRPr="00EB2BD8">
              <w:rPr>
                <w:sz w:val="16"/>
              </w:rPr>
              <w:t>of</w:t>
            </w:r>
            <w:r w:rsidRPr="00EB2BD8">
              <w:rPr>
                <w:spacing w:val="-9"/>
                <w:sz w:val="16"/>
              </w:rPr>
              <w:t xml:space="preserve"> </w:t>
            </w:r>
            <w:r w:rsidRPr="00EB2BD8">
              <w:rPr>
                <w:sz w:val="16"/>
              </w:rPr>
              <w:t>a</w:t>
            </w:r>
            <w:r w:rsidRPr="00EB2BD8">
              <w:rPr>
                <w:spacing w:val="-9"/>
                <w:sz w:val="16"/>
              </w:rPr>
              <w:t xml:space="preserve"> </w:t>
            </w:r>
            <w:r w:rsidRPr="00EB2BD8">
              <w:rPr>
                <w:spacing w:val="-2"/>
                <w:sz w:val="16"/>
              </w:rPr>
              <w:t>cheese</w:t>
            </w:r>
          </w:p>
        </w:tc>
        <w:tc>
          <w:tcPr>
            <w:tcW w:w="2284" w:type="dxa"/>
          </w:tcPr>
          <w:p w14:paraId="0B29EFD0" w14:textId="77777777" w:rsidR="00084F36" w:rsidRPr="00EB2BD8" w:rsidRDefault="00084F36">
            <w:pPr>
              <w:pStyle w:val="TableParagraph"/>
              <w:rPr>
                <w:rFonts w:ascii="Times New Roman"/>
                <w:sz w:val="16"/>
              </w:rPr>
            </w:pPr>
          </w:p>
        </w:tc>
        <w:tc>
          <w:tcPr>
            <w:tcW w:w="1079" w:type="dxa"/>
          </w:tcPr>
          <w:p w14:paraId="62E1B795" w14:textId="77777777" w:rsidR="00084F36" w:rsidRPr="00EB2BD8" w:rsidRDefault="00084F36">
            <w:pPr>
              <w:pStyle w:val="TableParagraph"/>
              <w:rPr>
                <w:rFonts w:ascii="Times New Roman"/>
                <w:sz w:val="16"/>
              </w:rPr>
            </w:pPr>
          </w:p>
        </w:tc>
        <w:tc>
          <w:tcPr>
            <w:tcW w:w="1175" w:type="dxa"/>
          </w:tcPr>
          <w:p w14:paraId="084CB1BD" w14:textId="77777777" w:rsidR="00084F36" w:rsidRPr="00EB2BD8" w:rsidRDefault="00084F36">
            <w:pPr>
              <w:pStyle w:val="TableParagraph"/>
              <w:rPr>
                <w:rFonts w:ascii="Times New Roman"/>
                <w:sz w:val="16"/>
              </w:rPr>
            </w:pPr>
          </w:p>
        </w:tc>
      </w:tr>
      <w:tr w:rsidR="00EB2BD8" w:rsidRPr="00EB2BD8" w14:paraId="33A00632" w14:textId="77777777">
        <w:trPr>
          <w:trHeight w:val="229"/>
        </w:trPr>
        <w:tc>
          <w:tcPr>
            <w:tcW w:w="1741" w:type="dxa"/>
          </w:tcPr>
          <w:p w14:paraId="41FAB4CD" w14:textId="77777777" w:rsidR="00084F36" w:rsidRPr="00EB2BD8" w:rsidRDefault="00084F36">
            <w:pPr>
              <w:pStyle w:val="TableParagraph"/>
              <w:rPr>
                <w:rFonts w:ascii="Times New Roman"/>
                <w:sz w:val="16"/>
              </w:rPr>
            </w:pPr>
          </w:p>
        </w:tc>
        <w:tc>
          <w:tcPr>
            <w:tcW w:w="1429" w:type="dxa"/>
          </w:tcPr>
          <w:p w14:paraId="49F6F02B" w14:textId="77777777" w:rsidR="00084F36" w:rsidRPr="00EB2BD8" w:rsidRDefault="00084F36">
            <w:pPr>
              <w:pStyle w:val="TableParagraph"/>
              <w:rPr>
                <w:rFonts w:ascii="Times New Roman"/>
                <w:sz w:val="16"/>
              </w:rPr>
            </w:pPr>
          </w:p>
        </w:tc>
        <w:tc>
          <w:tcPr>
            <w:tcW w:w="2492" w:type="dxa"/>
          </w:tcPr>
          <w:p w14:paraId="216882CE" w14:textId="77777777" w:rsidR="00084F36" w:rsidRPr="00EB2BD8" w:rsidRDefault="00EB2BD8">
            <w:pPr>
              <w:pStyle w:val="TableParagraph"/>
              <w:spacing w:before="19"/>
              <w:ind w:left="333"/>
              <w:rPr>
                <w:sz w:val="16"/>
              </w:rPr>
            </w:pPr>
            <w:r w:rsidRPr="00EB2BD8">
              <w:rPr>
                <w:sz w:val="16"/>
              </w:rPr>
              <w:t>factory</w:t>
            </w:r>
            <w:r w:rsidRPr="00EB2BD8">
              <w:rPr>
                <w:spacing w:val="-2"/>
                <w:sz w:val="16"/>
              </w:rPr>
              <w:t xml:space="preserve"> </w:t>
            </w:r>
            <w:r w:rsidRPr="00EB2BD8">
              <w:rPr>
                <w:sz w:val="16"/>
              </w:rPr>
              <w:t>at</w:t>
            </w:r>
            <w:r w:rsidRPr="00EB2BD8">
              <w:rPr>
                <w:spacing w:val="-1"/>
                <w:sz w:val="16"/>
              </w:rPr>
              <w:t xml:space="preserve"> </w:t>
            </w:r>
            <w:r w:rsidRPr="00EB2BD8">
              <w:rPr>
                <w:spacing w:val="-2"/>
                <w:sz w:val="16"/>
              </w:rPr>
              <w:t>Tinanmba,</w:t>
            </w:r>
          </w:p>
        </w:tc>
        <w:tc>
          <w:tcPr>
            <w:tcW w:w="2284" w:type="dxa"/>
          </w:tcPr>
          <w:p w14:paraId="416EE2DE" w14:textId="77777777" w:rsidR="00084F36" w:rsidRPr="00EB2BD8" w:rsidRDefault="00084F36">
            <w:pPr>
              <w:pStyle w:val="TableParagraph"/>
              <w:rPr>
                <w:rFonts w:ascii="Times New Roman"/>
                <w:sz w:val="16"/>
              </w:rPr>
            </w:pPr>
          </w:p>
        </w:tc>
        <w:tc>
          <w:tcPr>
            <w:tcW w:w="1079" w:type="dxa"/>
          </w:tcPr>
          <w:p w14:paraId="560223CE" w14:textId="77777777" w:rsidR="00084F36" w:rsidRPr="00EB2BD8" w:rsidRDefault="00084F36">
            <w:pPr>
              <w:pStyle w:val="TableParagraph"/>
              <w:rPr>
                <w:rFonts w:ascii="Times New Roman"/>
                <w:sz w:val="16"/>
              </w:rPr>
            </w:pPr>
          </w:p>
        </w:tc>
        <w:tc>
          <w:tcPr>
            <w:tcW w:w="1175" w:type="dxa"/>
          </w:tcPr>
          <w:p w14:paraId="2B2488C7" w14:textId="77777777" w:rsidR="00084F36" w:rsidRPr="00EB2BD8" w:rsidRDefault="00084F36">
            <w:pPr>
              <w:pStyle w:val="TableParagraph"/>
              <w:rPr>
                <w:rFonts w:ascii="Times New Roman"/>
                <w:sz w:val="16"/>
              </w:rPr>
            </w:pPr>
          </w:p>
        </w:tc>
      </w:tr>
      <w:tr w:rsidR="00EB2BD8" w:rsidRPr="00EB2BD8" w14:paraId="75E4AE92" w14:textId="77777777">
        <w:trPr>
          <w:trHeight w:val="229"/>
        </w:trPr>
        <w:tc>
          <w:tcPr>
            <w:tcW w:w="1741" w:type="dxa"/>
          </w:tcPr>
          <w:p w14:paraId="1D1A8615" w14:textId="77777777" w:rsidR="00084F36" w:rsidRPr="00EB2BD8" w:rsidRDefault="00084F36">
            <w:pPr>
              <w:pStyle w:val="TableParagraph"/>
              <w:rPr>
                <w:rFonts w:ascii="Times New Roman"/>
                <w:sz w:val="16"/>
              </w:rPr>
            </w:pPr>
          </w:p>
        </w:tc>
        <w:tc>
          <w:tcPr>
            <w:tcW w:w="1429" w:type="dxa"/>
          </w:tcPr>
          <w:p w14:paraId="1D9685E9" w14:textId="77777777" w:rsidR="00084F36" w:rsidRPr="00EB2BD8" w:rsidRDefault="00084F36">
            <w:pPr>
              <w:pStyle w:val="TableParagraph"/>
              <w:rPr>
                <w:rFonts w:ascii="Times New Roman"/>
                <w:sz w:val="16"/>
              </w:rPr>
            </w:pPr>
          </w:p>
        </w:tc>
        <w:tc>
          <w:tcPr>
            <w:tcW w:w="2492" w:type="dxa"/>
          </w:tcPr>
          <w:p w14:paraId="329BEA8D" w14:textId="77777777" w:rsidR="00084F36" w:rsidRPr="00EB2BD8" w:rsidRDefault="00EB2BD8">
            <w:pPr>
              <w:pStyle w:val="TableParagraph"/>
              <w:spacing w:before="19"/>
              <w:ind w:left="333"/>
              <w:rPr>
                <w:sz w:val="16"/>
              </w:rPr>
            </w:pPr>
            <w:r w:rsidRPr="00EB2BD8">
              <w:rPr>
                <w:sz w:val="16"/>
              </w:rPr>
              <w:t>where</w:t>
            </w:r>
            <w:r w:rsidRPr="00EB2BD8">
              <w:rPr>
                <w:spacing w:val="-5"/>
                <w:sz w:val="16"/>
              </w:rPr>
              <w:t xml:space="preserve"> </w:t>
            </w:r>
            <w:r w:rsidRPr="00EB2BD8">
              <w:rPr>
                <w:sz w:val="16"/>
              </w:rPr>
              <w:t>compliance</w:t>
            </w:r>
            <w:r w:rsidRPr="00EB2BD8">
              <w:rPr>
                <w:spacing w:val="-5"/>
                <w:sz w:val="16"/>
              </w:rPr>
              <w:t xml:space="preserve"> was</w:t>
            </w:r>
          </w:p>
        </w:tc>
        <w:tc>
          <w:tcPr>
            <w:tcW w:w="2284" w:type="dxa"/>
          </w:tcPr>
          <w:p w14:paraId="2281F1D3" w14:textId="77777777" w:rsidR="00084F36" w:rsidRPr="00EB2BD8" w:rsidRDefault="00084F36">
            <w:pPr>
              <w:pStyle w:val="TableParagraph"/>
              <w:rPr>
                <w:rFonts w:ascii="Times New Roman"/>
                <w:sz w:val="16"/>
              </w:rPr>
            </w:pPr>
          </w:p>
        </w:tc>
        <w:tc>
          <w:tcPr>
            <w:tcW w:w="1079" w:type="dxa"/>
          </w:tcPr>
          <w:p w14:paraId="6E26F3E1" w14:textId="77777777" w:rsidR="00084F36" w:rsidRPr="00EB2BD8" w:rsidRDefault="00084F36">
            <w:pPr>
              <w:pStyle w:val="TableParagraph"/>
              <w:rPr>
                <w:rFonts w:ascii="Times New Roman"/>
                <w:sz w:val="16"/>
              </w:rPr>
            </w:pPr>
          </w:p>
        </w:tc>
        <w:tc>
          <w:tcPr>
            <w:tcW w:w="1175" w:type="dxa"/>
          </w:tcPr>
          <w:p w14:paraId="676702D6" w14:textId="77777777" w:rsidR="00084F36" w:rsidRPr="00EB2BD8" w:rsidRDefault="00084F36">
            <w:pPr>
              <w:pStyle w:val="TableParagraph"/>
              <w:rPr>
                <w:rFonts w:ascii="Times New Roman"/>
                <w:sz w:val="16"/>
              </w:rPr>
            </w:pPr>
          </w:p>
        </w:tc>
      </w:tr>
      <w:tr w:rsidR="00EB2BD8" w:rsidRPr="00EB2BD8" w14:paraId="7C705236" w14:textId="77777777">
        <w:trPr>
          <w:trHeight w:val="285"/>
        </w:trPr>
        <w:tc>
          <w:tcPr>
            <w:tcW w:w="1741" w:type="dxa"/>
            <w:tcBorders>
              <w:bottom w:val="single" w:sz="2" w:space="0" w:color="000000"/>
            </w:tcBorders>
          </w:tcPr>
          <w:p w14:paraId="610A0748" w14:textId="77777777" w:rsidR="00084F36" w:rsidRPr="00EB2BD8" w:rsidRDefault="00084F36">
            <w:pPr>
              <w:pStyle w:val="TableParagraph"/>
              <w:rPr>
                <w:rFonts w:ascii="Times New Roman"/>
                <w:sz w:val="16"/>
              </w:rPr>
            </w:pPr>
          </w:p>
        </w:tc>
        <w:tc>
          <w:tcPr>
            <w:tcW w:w="1429" w:type="dxa"/>
            <w:tcBorders>
              <w:bottom w:val="single" w:sz="2" w:space="0" w:color="000000"/>
            </w:tcBorders>
          </w:tcPr>
          <w:p w14:paraId="58C632E4" w14:textId="77777777" w:rsidR="00084F36" w:rsidRPr="00EB2BD8" w:rsidRDefault="00084F36">
            <w:pPr>
              <w:pStyle w:val="TableParagraph"/>
              <w:rPr>
                <w:rFonts w:ascii="Times New Roman"/>
                <w:sz w:val="16"/>
              </w:rPr>
            </w:pPr>
          </w:p>
        </w:tc>
        <w:tc>
          <w:tcPr>
            <w:tcW w:w="2492" w:type="dxa"/>
            <w:tcBorders>
              <w:bottom w:val="single" w:sz="2" w:space="0" w:color="000000"/>
            </w:tcBorders>
          </w:tcPr>
          <w:p w14:paraId="469B3795" w14:textId="77777777" w:rsidR="00084F36" w:rsidRPr="00EB2BD8" w:rsidRDefault="00EB2BD8">
            <w:pPr>
              <w:pStyle w:val="TableParagraph"/>
              <w:spacing w:before="19"/>
              <w:ind w:left="333"/>
              <w:rPr>
                <w:sz w:val="16"/>
              </w:rPr>
            </w:pPr>
            <w:r w:rsidRPr="00EB2BD8">
              <w:rPr>
                <w:spacing w:val="-2"/>
                <w:sz w:val="16"/>
              </w:rPr>
              <w:t>ultimately</w:t>
            </w:r>
            <w:r w:rsidRPr="00EB2BD8">
              <w:rPr>
                <w:spacing w:val="-4"/>
                <w:sz w:val="16"/>
              </w:rPr>
              <w:t xml:space="preserve"> </w:t>
            </w:r>
            <w:r w:rsidRPr="00EB2BD8">
              <w:rPr>
                <w:spacing w:val="-2"/>
                <w:sz w:val="16"/>
              </w:rPr>
              <w:t>achieved.</w:t>
            </w:r>
          </w:p>
        </w:tc>
        <w:tc>
          <w:tcPr>
            <w:tcW w:w="2284" w:type="dxa"/>
            <w:tcBorders>
              <w:bottom w:val="single" w:sz="2" w:space="0" w:color="000000"/>
            </w:tcBorders>
          </w:tcPr>
          <w:p w14:paraId="4BB03867"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4270A920"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77150511" w14:textId="77777777" w:rsidR="00084F36" w:rsidRPr="00EB2BD8" w:rsidRDefault="00084F36">
            <w:pPr>
              <w:pStyle w:val="TableParagraph"/>
              <w:rPr>
                <w:rFonts w:ascii="Times New Roman"/>
                <w:sz w:val="16"/>
              </w:rPr>
            </w:pPr>
          </w:p>
        </w:tc>
      </w:tr>
      <w:tr w:rsidR="00EB2BD8" w:rsidRPr="00EB2BD8" w14:paraId="0C47465D" w14:textId="77777777">
        <w:trPr>
          <w:trHeight w:val="325"/>
        </w:trPr>
        <w:tc>
          <w:tcPr>
            <w:tcW w:w="1741" w:type="dxa"/>
            <w:tcBorders>
              <w:top w:val="single" w:sz="2" w:space="0" w:color="000000"/>
            </w:tcBorders>
          </w:tcPr>
          <w:p w14:paraId="7C0ED754" w14:textId="77777777" w:rsidR="00084F36" w:rsidRPr="00EB2BD8" w:rsidRDefault="00EB2BD8">
            <w:pPr>
              <w:pStyle w:val="TableParagraph"/>
              <w:spacing w:before="115"/>
              <w:ind w:left="113"/>
              <w:rPr>
                <w:sz w:val="16"/>
              </w:rPr>
            </w:pPr>
            <w:r w:rsidRPr="00EB2BD8">
              <w:rPr>
                <w:spacing w:val="-2"/>
                <w:sz w:val="16"/>
              </w:rPr>
              <w:t>McLAUGHLIN,</w:t>
            </w:r>
          </w:p>
        </w:tc>
        <w:tc>
          <w:tcPr>
            <w:tcW w:w="1429" w:type="dxa"/>
            <w:tcBorders>
              <w:top w:val="single" w:sz="2" w:space="0" w:color="000000"/>
            </w:tcBorders>
          </w:tcPr>
          <w:p w14:paraId="60679924" w14:textId="77777777" w:rsidR="00084F36" w:rsidRPr="00EB2BD8" w:rsidRDefault="00EB2BD8">
            <w:pPr>
              <w:pStyle w:val="TableParagraph"/>
              <w:spacing w:before="115"/>
              <w:ind w:left="129"/>
              <w:rPr>
                <w:sz w:val="16"/>
              </w:rPr>
            </w:pPr>
            <w:r w:rsidRPr="00EB2BD8">
              <w:rPr>
                <w:w w:val="105"/>
                <w:sz w:val="16"/>
              </w:rPr>
              <w:t>BD-L</w:t>
            </w:r>
            <w:r w:rsidRPr="00EB2BD8">
              <w:rPr>
                <w:spacing w:val="3"/>
                <w:w w:val="105"/>
                <w:sz w:val="16"/>
              </w:rPr>
              <w:t xml:space="preserve"> </w:t>
            </w:r>
            <w:r w:rsidRPr="00EB2BD8">
              <w:rPr>
                <w:spacing w:val="-2"/>
                <w:w w:val="105"/>
                <w:sz w:val="16"/>
              </w:rPr>
              <w:t>36805</w:t>
            </w:r>
          </w:p>
        </w:tc>
        <w:tc>
          <w:tcPr>
            <w:tcW w:w="2492" w:type="dxa"/>
            <w:tcBorders>
              <w:top w:val="single" w:sz="2" w:space="0" w:color="000000"/>
            </w:tcBorders>
          </w:tcPr>
          <w:p w14:paraId="016ADC03" w14:textId="77777777" w:rsidR="00084F36" w:rsidRPr="00EB2BD8" w:rsidRDefault="00EB2BD8">
            <w:pPr>
              <w:pStyle w:val="TableParagraph"/>
              <w:spacing w:before="115"/>
              <w:ind w:left="333"/>
              <w:rPr>
                <w:sz w:val="16"/>
              </w:rPr>
            </w:pPr>
            <w:r w:rsidRPr="00EB2BD8">
              <w:rPr>
                <w:spacing w:val="-2"/>
                <w:sz w:val="16"/>
              </w:rPr>
              <w:t>Failure</w:t>
            </w:r>
            <w:r w:rsidRPr="00EB2BD8">
              <w:rPr>
                <w:spacing w:val="-5"/>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84" w:type="dxa"/>
            <w:tcBorders>
              <w:top w:val="single" w:sz="2" w:space="0" w:color="000000"/>
            </w:tcBorders>
          </w:tcPr>
          <w:p w14:paraId="7B872213" w14:textId="77777777" w:rsidR="00084F36" w:rsidRPr="00EB2BD8" w:rsidRDefault="00EB2BD8">
            <w:pPr>
              <w:pStyle w:val="TableParagraph"/>
              <w:spacing w:before="115"/>
              <w:ind w:left="120"/>
              <w:rPr>
                <w:sz w:val="16"/>
              </w:rPr>
            </w:pPr>
            <w:r w:rsidRPr="00EB2BD8">
              <w:rPr>
                <w:sz w:val="16"/>
              </w:rPr>
              <w:t>Reprimand</w:t>
            </w:r>
            <w:r w:rsidRPr="00EB2BD8">
              <w:rPr>
                <w:spacing w:val="2"/>
                <w:sz w:val="16"/>
              </w:rPr>
              <w:t xml:space="preserve"> </w:t>
            </w:r>
            <w:r w:rsidRPr="00EB2BD8">
              <w:rPr>
                <w:sz w:val="16"/>
              </w:rPr>
              <w:t>and</w:t>
            </w:r>
            <w:r w:rsidRPr="00EB2BD8">
              <w:rPr>
                <w:spacing w:val="3"/>
                <w:sz w:val="16"/>
              </w:rPr>
              <w:t xml:space="preserve"> </w:t>
            </w:r>
            <w:r w:rsidRPr="00EB2BD8">
              <w:rPr>
                <w:sz w:val="16"/>
              </w:rPr>
              <w:t>penalty</w:t>
            </w:r>
            <w:r w:rsidRPr="00EB2BD8">
              <w:rPr>
                <w:spacing w:val="2"/>
                <w:sz w:val="16"/>
              </w:rPr>
              <w:t xml:space="preserve"> </w:t>
            </w:r>
            <w:r w:rsidRPr="00EB2BD8">
              <w:rPr>
                <w:spacing w:val="-5"/>
                <w:sz w:val="16"/>
              </w:rPr>
              <w:t>of</w:t>
            </w:r>
          </w:p>
        </w:tc>
        <w:tc>
          <w:tcPr>
            <w:tcW w:w="1079" w:type="dxa"/>
            <w:tcBorders>
              <w:top w:val="single" w:sz="2" w:space="0" w:color="000000"/>
            </w:tcBorders>
          </w:tcPr>
          <w:p w14:paraId="0A331B95" w14:textId="77777777" w:rsidR="00084F36" w:rsidRPr="00EB2BD8" w:rsidRDefault="00EB2BD8">
            <w:pPr>
              <w:pStyle w:val="TableParagraph"/>
              <w:spacing w:before="115"/>
              <w:ind w:right="111"/>
              <w:jc w:val="right"/>
              <w:rPr>
                <w:sz w:val="16"/>
              </w:rPr>
            </w:pPr>
            <w:r w:rsidRPr="00EB2BD8">
              <w:rPr>
                <w:spacing w:val="-2"/>
                <w:sz w:val="16"/>
              </w:rPr>
              <w:t>$2,500</w:t>
            </w:r>
          </w:p>
        </w:tc>
        <w:tc>
          <w:tcPr>
            <w:tcW w:w="1175" w:type="dxa"/>
            <w:tcBorders>
              <w:top w:val="single" w:sz="2" w:space="0" w:color="000000"/>
            </w:tcBorders>
          </w:tcPr>
          <w:p w14:paraId="65B5D8B3" w14:textId="77777777" w:rsidR="00084F36" w:rsidRPr="00EB2BD8" w:rsidRDefault="00EB2BD8">
            <w:pPr>
              <w:pStyle w:val="TableParagraph"/>
              <w:spacing w:before="115"/>
              <w:ind w:left="113"/>
              <w:rPr>
                <w:sz w:val="16"/>
              </w:rPr>
            </w:pPr>
            <w:r w:rsidRPr="00EB2BD8">
              <w:rPr>
                <w:spacing w:val="-2"/>
                <w:w w:val="95"/>
                <w:sz w:val="16"/>
              </w:rPr>
              <w:t>22/03/2023</w:t>
            </w:r>
          </w:p>
        </w:tc>
      </w:tr>
      <w:tr w:rsidR="00EB2BD8" w:rsidRPr="00EB2BD8" w14:paraId="5D85A63E" w14:textId="77777777">
        <w:trPr>
          <w:trHeight w:val="230"/>
        </w:trPr>
        <w:tc>
          <w:tcPr>
            <w:tcW w:w="1741" w:type="dxa"/>
          </w:tcPr>
          <w:p w14:paraId="25631083" w14:textId="77777777" w:rsidR="00084F36" w:rsidRPr="00EB2BD8" w:rsidRDefault="00EB2BD8">
            <w:pPr>
              <w:pStyle w:val="TableParagraph"/>
              <w:spacing w:before="19"/>
              <w:ind w:left="113"/>
              <w:rPr>
                <w:sz w:val="16"/>
              </w:rPr>
            </w:pPr>
            <w:r w:rsidRPr="00EB2BD8">
              <w:rPr>
                <w:spacing w:val="-2"/>
                <w:sz w:val="16"/>
              </w:rPr>
              <w:t>Phillip</w:t>
            </w:r>
          </w:p>
        </w:tc>
        <w:tc>
          <w:tcPr>
            <w:tcW w:w="1429" w:type="dxa"/>
          </w:tcPr>
          <w:p w14:paraId="647D4A4E" w14:textId="77777777" w:rsidR="00084F36" w:rsidRPr="00EB2BD8" w:rsidRDefault="00084F36">
            <w:pPr>
              <w:pStyle w:val="TableParagraph"/>
              <w:rPr>
                <w:rFonts w:ascii="Times New Roman"/>
                <w:sz w:val="16"/>
              </w:rPr>
            </w:pPr>
          </w:p>
        </w:tc>
        <w:tc>
          <w:tcPr>
            <w:tcW w:w="2492" w:type="dxa"/>
          </w:tcPr>
          <w:p w14:paraId="35986E93" w14:textId="77777777" w:rsidR="00084F36" w:rsidRPr="00EB2BD8" w:rsidRDefault="00EB2BD8">
            <w:pPr>
              <w:pStyle w:val="TableParagraph"/>
              <w:spacing w:before="19"/>
              <w:ind w:left="333"/>
              <w:rPr>
                <w:sz w:val="16"/>
              </w:rPr>
            </w:pPr>
            <w:r w:rsidRPr="00EB2BD8">
              <w:rPr>
                <w:sz w:val="16"/>
              </w:rPr>
              <w:t>mandatory</w:t>
            </w:r>
            <w:r w:rsidRPr="00EB2BD8">
              <w:rPr>
                <w:spacing w:val="14"/>
                <w:sz w:val="16"/>
              </w:rPr>
              <w:t xml:space="preserve"> </w:t>
            </w:r>
            <w:r w:rsidRPr="00EB2BD8">
              <w:rPr>
                <w:spacing w:val="-2"/>
                <w:sz w:val="16"/>
              </w:rPr>
              <w:t>stage</w:t>
            </w:r>
          </w:p>
        </w:tc>
        <w:tc>
          <w:tcPr>
            <w:tcW w:w="2284" w:type="dxa"/>
          </w:tcPr>
          <w:p w14:paraId="33D6C7E2" w14:textId="77777777" w:rsidR="00084F36" w:rsidRPr="00EB2BD8" w:rsidRDefault="00EB2BD8">
            <w:pPr>
              <w:pStyle w:val="TableParagraph"/>
              <w:spacing w:before="19"/>
              <w:ind w:left="120"/>
              <w:rPr>
                <w:sz w:val="16"/>
              </w:rPr>
            </w:pPr>
            <w:r w:rsidRPr="00EB2BD8">
              <w:rPr>
                <w:spacing w:val="-2"/>
                <w:sz w:val="16"/>
              </w:rPr>
              <w:t>$2,500.</w:t>
            </w:r>
          </w:p>
        </w:tc>
        <w:tc>
          <w:tcPr>
            <w:tcW w:w="1079" w:type="dxa"/>
          </w:tcPr>
          <w:p w14:paraId="51BEF1B5" w14:textId="77777777" w:rsidR="00084F36" w:rsidRPr="00EB2BD8" w:rsidRDefault="00084F36">
            <w:pPr>
              <w:pStyle w:val="TableParagraph"/>
              <w:rPr>
                <w:rFonts w:ascii="Times New Roman"/>
                <w:sz w:val="16"/>
              </w:rPr>
            </w:pPr>
          </w:p>
        </w:tc>
        <w:tc>
          <w:tcPr>
            <w:tcW w:w="1175" w:type="dxa"/>
          </w:tcPr>
          <w:p w14:paraId="254B86F8" w14:textId="77777777" w:rsidR="00084F36" w:rsidRPr="00EB2BD8" w:rsidRDefault="00084F36">
            <w:pPr>
              <w:pStyle w:val="TableParagraph"/>
              <w:rPr>
                <w:rFonts w:ascii="Times New Roman"/>
                <w:sz w:val="16"/>
              </w:rPr>
            </w:pPr>
          </w:p>
        </w:tc>
      </w:tr>
      <w:tr w:rsidR="00EB2BD8" w:rsidRPr="00EB2BD8" w14:paraId="4F63FE60" w14:textId="77777777">
        <w:trPr>
          <w:trHeight w:val="229"/>
        </w:trPr>
        <w:tc>
          <w:tcPr>
            <w:tcW w:w="1741" w:type="dxa"/>
          </w:tcPr>
          <w:p w14:paraId="6B4783AB" w14:textId="77777777" w:rsidR="00084F36" w:rsidRPr="00EB2BD8" w:rsidRDefault="00084F36">
            <w:pPr>
              <w:pStyle w:val="TableParagraph"/>
              <w:rPr>
                <w:rFonts w:ascii="Times New Roman"/>
                <w:sz w:val="16"/>
              </w:rPr>
            </w:pPr>
          </w:p>
        </w:tc>
        <w:tc>
          <w:tcPr>
            <w:tcW w:w="1429" w:type="dxa"/>
          </w:tcPr>
          <w:p w14:paraId="31932D95" w14:textId="77777777" w:rsidR="00084F36" w:rsidRPr="00EB2BD8" w:rsidRDefault="00084F36">
            <w:pPr>
              <w:pStyle w:val="TableParagraph"/>
              <w:rPr>
                <w:rFonts w:ascii="Times New Roman"/>
                <w:sz w:val="16"/>
              </w:rPr>
            </w:pPr>
          </w:p>
        </w:tc>
        <w:tc>
          <w:tcPr>
            <w:tcW w:w="2492" w:type="dxa"/>
          </w:tcPr>
          <w:p w14:paraId="76488DB5" w14:textId="77777777" w:rsidR="00084F36" w:rsidRPr="00EB2BD8" w:rsidRDefault="00EB2BD8">
            <w:pPr>
              <w:pStyle w:val="TableParagraph"/>
              <w:spacing w:before="19"/>
              <w:ind w:left="333"/>
              <w:rPr>
                <w:sz w:val="16"/>
              </w:rPr>
            </w:pPr>
            <w:r w:rsidRPr="00EB2BD8">
              <w:rPr>
                <w:spacing w:val="-2"/>
                <w:sz w:val="16"/>
              </w:rPr>
              <w:t>inspection</w:t>
            </w:r>
            <w:r w:rsidRPr="00EB2BD8">
              <w:rPr>
                <w:spacing w:val="3"/>
                <w:sz w:val="16"/>
              </w:rPr>
              <w:t xml:space="preserve"> </w:t>
            </w:r>
            <w:r w:rsidRPr="00EB2BD8">
              <w:rPr>
                <w:spacing w:val="-2"/>
                <w:sz w:val="16"/>
              </w:rPr>
              <w:t>(completion</w:t>
            </w:r>
            <w:r w:rsidRPr="00EB2BD8">
              <w:rPr>
                <w:spacing w:val="3"/>
                <w:sz w:val="16"/>
              </w:rPr>
              <w:t xml:space="preserve"> </w:t>
            </w:r>
            <w:r w:rsidRPr="00EB2BD8">
              <w:rPr>
                <w:spacing w:val="-5"/>
                <w:sz w:val="16"/>
              </w:rPr>
              <w:t>of</w:t>
            </w:r>
          </w:p>
        </w:tc>
        <w:tc>
          <w:tcPr>
            <w:tcW w:w="2284" w:type="dxa"/>
          </w:tcPr>
          <w:p w14:paraId="58715E20" w14:textId="77777777" w:rsidR="00084F36" w:rsidRPr="00EB2BD8" w:rsidRDefault="00084F36">
            <w:pPr>
              <w:pStyle w:val="TableParagraph"/>
              <w:rPr>
                <w:rFonts w:ascii="Times New Roman"/>
                <w:sz w:val="16"/>
              </w:rPr>
            </w:pPr>
          </w:p>
        </w:tc>
        <w:tc>
          <w:tcPr>
            <w:tcW w:w="1079" w:type="dxa"/>
          </w:tcPr>
          <w:p w14:paraId="1034D7C1" w14:textId="77777777" w:rsidR="00084F36" w:rsidRPr="00EB2BD8" w:rsidRDefault="00084F36">
            <w:pPr>
              <w:pStyle w:val="TableParagraph"/>
              <w:rPr>
                <w:rFonts w:ascii="Times New Roman"/>
                <w:sz w:val="16"/>
              </w:rPr>
            </w:pPr>
          </w:p>
        </w:tc>
        <w:tc>
          <w:tcPr>
            <w:tcW w:w="1175" w:type="dxa"/>
          </w:tcPr>
          <w:p w14:paraId="5645D0B1" w14:textId="77777777" w:rsidR="00084F36" w:rsidRPr="00EB2BD8" w:rsidRDefault="00084F36">
            <w:pPr>
              <w:pStyle w:val="TableParagraph"/>
              <w:rPr>
                <w:rFonts w:ascii="Times New Roman"/>
                <w:sz w:val="16"/>
              </w:rPr>
            </w:pPr>
          </w:p>
        </w:tc>
      </w:tr>
      <w:tr w:rsidR="00EB2BD8" w:rsidRPr="00EB2BD8" w14:paraId="3FE053C0" w14:textId="77777777">
        <w:trPr>
          <w:trHeight w:val="229"/>
        </w:trPr>
        <w:tc>
          <w:tcPr>
            <w:tcW w:w="1741" w:type="dxa"/>
          </w:tcPr>
          <w:p w14:paraId="4A228E2E" w14:textId="77777777" w:rsidR="00084F36" w:rsidRPr="00EB2BD8" w:rsidRDefault="00084F36">
            <w:pPr>
              <w:pStyle w:val="TableParagraph"/>
              <w:rPr>
                <w:rFonts w:ascii="Times New Roman"/>
                <w:sz w:val="16"/>
              </w:rPr>
            </w:pPr>
          </w:p>
        </w:tc>
        <w:tc>
          <w:tcPr>
            <w:tcW w:w="1429" w:type="dxa"/>
          </w:tcPr>
          <w:p w14:paraId="2AB5445E" w14:textId="77777777" w:rsidR="00084F36" w:rsidRPr="00EB2BD8" w:rsidRDefault="00084F36">
            <w:pPr>
              <w:pStyle w:val="TableParagraph"/>
              <w:rPr>
                <w:rFonts w:ascii="Times New Roman"/>
                <w:sz w:val="16"/>
              </w:rPr>
            </w:pPr>
          </w:p>
        </w:tc>
        <w:tc>
          <w:tcPr>
            <w:tcW w:w="2492" w:type="dxa"/>
          </w:tcPr>
          <w:p w14:paraId="070C92D5" w14:textId="77777777" w:rsidR="00084F36" w:rsidRPr="00EB2BD8" w:rsidRDefault="00EB2BD8">
            <w:pPr>
              <w:pStyle w:val="TableParagraph"/>
              <w:spacing w:before="19"/>
              <w:ind w:left="333"/>
              <w:rPr>
                <w:sz w:val="16"/>
              </w:rPr>
            </w:pPr>
            <w:r w:rsidRPr="00EB2BD8">
              <w:rPr>
                <w:sz w:val="16"/>
              </w:rPr>
              <w:t>safety</w:t>
            </w:r>
            <w:r w:rsidRPr="00EB2BD8">
              <w:rPr>
                <w:spacing w:val="-1"/>
                <w:sz w:val="16"/>
              </w:rPr>
              <w:t xml:space="preserve"> </w:t>
            </w:r>
            <w:r w:rsidRPr="00EB2BD8">
              <w:rPr>
                <w:sz w:val="16"/>
              </w:rPr>
              <w:t>precautions</w:t>
            </w:r>
            <w:r w:rsidRPr="00EB2BD8">
              <w:rPr>
                <w:spacing w:val="-1"/>
                <w:sz w:val="16"/>
              </w:rPr>
              <w:t xml:space="preserve"> </w:t>
            </w:r>
            <w:r w:rsidRPr="00EB2BD8">
              <w:rPr>
                <w:spacing w:val="-2"/>
                <w:sz w:val="16"/>
              </w:rPr>
              <w:t>prior</w:t>
            </w:r>
          </w:p>
        </w:tc>
        <w:tc>
          <w:tcPr>
            <w:tcW w:w="2284" w:type="dxa"/>
          </w:tcPr>
          <w:p w14:paraId="0869B034" w14:textId="77777777" w:rsidR="00084F36" w:rsidRPr="00EB2BD8" w:rsidRDefault="00084F36">
            <w:pPr>
              <w:pStyle w:val="TableParagraph"/>
              <w:rPr>
                <w:rFonts w:ascii="Times New Roman"/>
                <w:sz w:val="16"/>
              </w:rPr>
            </w:pPr>
          </w:p>
        </w:tc>
        <w:tc>
          <w:tcPr>
            <w:tcW w:w="1079" w:type="dxa"/>
          </w:tcPr>
          <w:p w14:paraId="59995E8E" w14:textId="77777777" w:rsidR="00084F36" w:rsidRPr="00EB2BD8" w:rsidRDefault="00084F36">
            <w:pPr>
              <w:pStyle w:val="TableParagraph"/>
              <w:rPr>
                <w:rFonts w:ascii="Times New Roman"/>
                <w:sz w:val="16"/>
              </w:rPr>
            </w:pPr>
          </w:p>
        </w:tc>
        <w:tc>
          <w:tcPr>
            <w:tcW w:w="1175" w:type="dxa"/>
          </w:tcPr>
          <w:p w14:paraId="6BCD591B" w14:textId="77777777" w:rsidR="00084F36" w:rsidRPr="00EB2BD8" w:rsidRDefault="00084F36">
            <w:pPr>
              <w:pStyle w:val="TableParagraph"/>
              <w:rPr>
                <w:rFonts w:ascii="Times New Roman"/>
                <w:sz w:val="16"/>
              </w:rPr>
            </w:pPr>
          </w:p>
        </w:tc>
      </w:tr>
      <w:tr w:rsidR="00EB2BD8" w:rsidRPr="00EB2BD8" w14:paraId="621B00B8" w14:textId="77777777">
        <w:trPr>
          <w:trHeight w:val="229"/>
        </w:trPr>
        <w:tc>
          <w:tcPr>
            <w:tcW w:w="1741" w:type="dxa"/>
          </w:tcPr>
          <w:p w14:paraId="1BF9B8CE" w14:textId="77777777" w:rsidR="00084F36" w:rsidRPr="00EB2BD8" w:rsidRDefault="00084F36">
            <w:pPr>
              <w:pStyle w:val="TableParagraph"/>
              <w:rPr>
                <w:rFonts w:ascii="Times New Roman"/>
                <w:sz w:val="16"/>
              </w:rPr>
            </w:pPr>
          </w:p>
        </w:tc>
        <w:tc>
          <w:tcPr>
            <w:tcW w:w="1429" w:type="dxa"/>
          </w:tcPr>
          <w:p w14:paraId="56337852" w14:textId="77777777" w:rsidR="00084F36" w:rsidRPr="00EB2BD8" w:rsidRDefault="00084F36">
            <w:pPr>
              <w:pStyle w:val="TableParagraph"/>
              <w:rPr>
                <w:rFonts w:ascii="Times New Roman"/>
                <w:sz w:val="16"/>
              </w:rPr>
            </w:pPr>
          </w:p>
        </w:tc>
        <w:tc>
          <w:tcPr>
            <w:tcW w:w="2492" w:type="dxa"/>
          </w:tcPr>
          <w:p w14:paraId="0F9BD88E" w14:textId="77777777" w:rsidR="00084F36" w:rsidRPr="00EB2BD8" w:rsidRDefault="00EB2BD8">
            <w:pPr>
              <w:pStyle w:val="TableParagraph"/>
              <w:spacing w:before="19"/>
              <w:ind w:left="333"/>
              <w:rPr>
                <w:sz w:val="16"/>
              </w:rPr>
            </w:pPr>
            <w:r w:rsidRPr="00EB2BD8">
              <w:rPr>
                <w:spacing w:val="-2"/>
                <w:sz w:val="16"/>
              </w:rPr>
              <w:t>to</w:t>
            </w:r>
            <w:r w:rsidRPr="00EB2BD8">
              <w:rPr>
                <w:spacing w:val="-12"/>
                <w:sz w:val="16"/>
              </w:rPr>
              <w:t xml:space="preserve"> </w:t>
            </w:r>
            <w:r w:rsidRPr="00EB2BD8">
              <w:rPr>
                <w:spacing w:val="-2"/>
                <w:sz w:val="16"/>
              </w:rPr>
              <w:t>demolition)</w:t>
            </w:r>
            <w:r w:rsidRPr="00EB2BD8">
              <w:rPr>
                <w:spacing w:val="-11"/>
                <w:sz w:val="16"/>
              </w:rPr>
              <w:t xml:space="preserve"> </w:t>
            </w:r>
            <w:r w:rsidRPr="00EB2BD8">
              <w:rPr>
                <w:spacing w:val="-2"/>
                <w:sz w:val="16"/>
              </w:rPr>
              <w:t>without</w:t>
            </w:r>
          </w:p>
        </w:tc>
        <w:tc>
          <w:tcPr>
            <w:tcW w:w="2284" w:type="dxa"/>
          </w:tcPr>
          <w:p w14:paraId="68CF6F3D" w14:textId="77777777" w:rsidR="00084F36" w:rsidRPr="00EB2BD8" w:rsidRDefault="00084F36">
            <w:pPr>
              <w:pStyle w:val="TableParagraph"/>
              <w:rPr>
                <w:rFonts w:ascii="Times New Roman"/>
                <w:sz w:val="16"/>
              </w:rPr>
            </w:pPr>
          </w:p>
        </w:tc>
        <w:tc>
          <w:tcPr>
            <w:tcW w:w="1079" w:type="dxa"/>
          </w:tcPr>
          <w:p w14:paraId="78EB6514" w14:textId="77777777" w:rsidR="00084F36" w:rsidRPr="00EB2BD8" w:rsidRDefault="00084F36">
            <w:pPr>
              <w:pStyle w:val="TableParagraph"/>
              <w:rPr>
                <w:rFonts w:ascii="Times New Roman"/>
                <w:sz w:val="16"/>
              </w:rPr>
            </w:pPr>
          </w:p>
        </w:tc>
        <w:tc>
          <w:tcPr>
            <w:tcW w:w="1175" w:type="dxa"/>
          </w:tcPr>
          <w:p w14:paraId="79919C02" w14:textId="77777777" w:rsidR="00084F36" w:rsidRPr="00EB2BD8" w:rsidRDefault="00084F36">
            <w:pPr>
              <w:pStyle w:val="TableParagraph"/>
              <w:rPr>
                <w:rFonts w:ascii="Times New Roman"/>
                <w:sz w:val="16"/>
              </w:rPr>
            </w:pPr>
          </w:p>
        </w:tc>
      </w:tr>
      <w:tr w:rsidR="00EB2BD8" w:rsidRPr="00EB2BD8" w14:paraId="38FDC52E" w14:textId="77777777">
        <w:trPr>
          <w:trHeight w:val="229"/>
        </w:trPr>
        <w:tc>
          <w:tcPr>
            <w:tcW w:w="1741" w:type="dxa"/>
          </w:tcPr>
          <w:p w14:paraId="40F786C2" w14:textId="77777777" w:rsidR="00084F36" w:rsidRPr="00EB2BD8" w:rsidRDefault="00084F36">
            <w:pPr>
              <w:pStyle w:val="TableParagraph"/>
              <w:rPr>
                <w:rFonts w:ascii="Times New Roman"/>
                <w:sz w:val="16"/>
              </w:rPr>
            </w:pPr>
          </w:p>
        </w:tc>
        <w:tc>
          <w:tcPr>
            <w:tcW w:w="1429" w:type="dxa"/>
          </w:tcPr>
          <w:p w14:paraId="72F99A3D" w14:textId="77777777" w:rsidR="00084F36" w:rsidRPr="00EB2BD8" w:rsidRDefault="00084F36">
            <w:pPr>
              <w:pStyle w:val="TableParagraph"/>
              <w:rPr>
                <w:rFonts w:ascii="Times New Roman"/>
                <w:sz w:val="16"/>
              </w:rPr>
            </w:pPr>
          </w:p>
        </w:tc>
        <w:tc>
          <w:tcPr>
            <w:tcW w:w="2492" w:type="dxa"/>
          </w:tcPr>
          <w:p w14:paraId="6C9F0739" w14:textId="77777777" w:rsidR="00084F36" w:rsidRPr="00EB2BD8" w:rsidRDefault="00EB2BD8">
            <w:pPr>
              <w:pStyle w:val="TableParagraph"/>
              <w:spacing w:before="19"/>
              <w:ind w:left="333"/>
              <w:rPr>
                <w:sz w:val="16"/>
              </w:rPr>
            </w:pPr>
            <w:r w:rsidRPr="00EB2BD8">
              <w:rPr>
                <w:spacing w:val="-2"/>
                <w:sz w:val="16"/>
              </w:rPr>
              <w:t>delay,</w:t>
            </w:r>
            <w:r w:rsidRPr="00EB2BD8">
              <w:rPr>
                <w:spacing w:val="-7"/>
                <w:sz w:val="16"/>
              </w:rPr>
              <w:t xml:space="preserve"> </w:t>
            </w:r>
            <w:r w:rsidRPr="00EB2BD8">
              <w:rPr>
                <w:spacing w:val="-2"/>
                <w:sz w:val="16"/>
              </w:rPr>
              <w:t>in</w:t>
            </w:r>
            <w:r w:rsidRPr="00EB2BD8">
              <w:rPr>
                <w:spacing w:val="-6"/>
                <w:sz w:val="16"/>
              </w:rPr>
              <w:t xml:space="preserve"> </w:t>
            </w:r>
            <w:r w:rsidRPr="00EB2BD8">
              <w:rPr>
                <w:spacing w:val="-2"/>
                <w:sz w:val="16"/>
              </w:rPr>
              <w:t>respect</w:t>
            </w:r>
            <w:r w:rsidRPr="00EB2BD8">
              <w:rPr>
                <w:spacing w:val="-6"/>
                <w:sz w:val="16"/>
              </w:rPr>
              <w:t xml:space="preserve"> </w:t>
            </w:r>
            <w:r w:rsidRPr="00EB2BD8">
              <w:rPr>
                <w:spacing w:val="-2"/>
                <w:sz w:val="16"/>
              </w:rPr>
              <w:t>of</w:t>
            </w:r>
            <w:r w:rsidRPr="00EB2BD8">
              <w:rPr>
                <w:spacing w:val="-6"/>
                <w:sz w:val="16"/>
              </w:rPr>
              <w:t xml:space="preserve"> </w:t>
            </w:r>
            <w:r w:rsidRPr="00EB2BD8">
              <w:rPr>
                <w:spacing w:val="-2"/>
                <w:sz w:val="16"/>
              </w:rPr>
              <w:t>a</w:t>
            </w:r>
            <w:r w:rsidRPr="00EB2BD8">
              <w:rPr>
                <w:spacing w:val="-6"/>
                <w:sz w:val="16"/>
              </w:rPr>
              <w:t xml:space="preserve"> </w:t>
            </w:r>
            <w:r w:rsidRPr="00EB2BD8">
              <w:rPr>
                <w:spacing w:val="-4"/>
                <w:sz w:val="16"/>
              </w:rPr>
              <w:t>site</w:t>
            </w:r>
          </w:p>
        </w:tc>
        <w:tc>
          <w:tcPr>
            <w:tcW w:w="2284" w:type="dxa"/>
          </w:tcPr>
          <w:p w14:paraId="2BE519A8" w14:textId="77777777" w:rsidR="00084F36" w:rsidRPr="00EB2BD8" w:rsidRDefault="00084F36">
            <w:pPr>
              <w:pStyle w:val="TableParagraph"/>
              <w:rPr>
                <w:rFonts w:ascii="Times New Roman"/>
                <w:sz w:val="16"/>
              </w:rPr>
            </w:pPr>
          </w:p>
        </w:tc>
        <w:tc>
          <w:tcPr>
            <w:tcW w:w="1079" w:type="dxa"/>
          </w:tcPr>
          <w:p w14:paraId="0F1616EE" w14:textId="77777777" w:rsidR="00084F36" w:rsidRPr="00EB2BD8" w:rsidRDefault="00084F36">
            <w:pPr>
              <w:pStyle w:val="TableParagraph"/>
              <w:rPr>
                <w:rFonts w:ascii="Times New Roman"/>
                <w:sz w:val="16"/>
              </w:rPr>
            </w:pPr>
          </w:p>
        </w:tc>
        <w:tc>
          <w:tcPr>
            <w:tcW w:w="1175" w:type="dxa"/>
          </w:tcPr>
          <w:p w14:paraId="5D7A5438" w14:textId="77777777" w:rsidR="00084F36" w:rsidRPr="00EB2BD8" w:rsidRDefault="00084F36">
            <w:pPr>
              <w:pStyle w:val="TableParagraph"/>
              <w:rPr>
                <w:rFonts w:ascii="Times New Roman"/>
                <w:sz w:val="16"/>
              </w:rPr>
            </w:pPr>
          </w:p>
        </w:tc>
      </w:tr>
      <w:tr w:rsidR="00EB2BD8" w:rsidRPr="00EB2BD8" w14:paraId="26D432A6" w14:textId="77777777">
        <w:trPr>
          <w:trHeight w:val="286"/>
        </w:trPr>
        <w:tc>
          <w:tcPr>
            <w:tcW w:w="1741" w:type="dxa"/>
            <w:tcBorders>
              <w:bottom w:val="single" w:sz="2" w:space="0" w:color="000000"/>
            </w:tcBorders>
          </w:tcPr>
          <w:p w14:paraId="7A825192" w14:textId="77777777" w:rsidR="00084F36" w:rsidRPr="00EB2BD8" w:rsidRDefault="00084F36">
            <w:pPr>
              <w:pStyle w:val="TableParagraph"/>
              <w:rPr>
                <w:rFonts w:ascii="Times New Roman"/>
                <w:sz w:val="16"/>
              </w:rPr>
            </w:pPr>
          </w:p>
        </w:tc>
        <w:tc>
          <w:tcPr>
            <w:tcW w:w="1429" w:type="dxa"/>
            <w:tcBorders>
              <w:bottom w:val="single" w:sz="2" w:space="0" w:color="000000"/>
            </w:tcBorders>
          </w:tcPr>
          <w:p w14:paraId="74804266" w14:textId="77777777" w:rsidR="00084F36" w:rsidRPr="00EB2BD8" w:rsidRDefault="00084F36">
            <w:pPr>
              <w:pStyle w:val="TableParagraph"/>
              <w:rPr>
                <w:rFonts w:ascii="Times New Roman"/>
                <w:sz w:val="16"/>
              </w:rPr>
            </w:pPr>
          </w:p>
        </w:tc>
        <w:tc>
          <w:tcPr>
            <w:tcW w:w="2492" w:type="dxa"/>
            <w:tcBorders>
              <w:bottom w:val="single" w:sz="2" w:space="0" w:color="000000"/>
            </w:tcBorders>
          </w:tcPr>
          <w:p w14:paraId="778046B3" w14:textId="77777777" w:rsidR="00084F36" w:rsidRPr="00EB2BD8" w:rsidRDefault="00EB2BD8">
            <w:pPr>
              <w:pStyle w:val="TableParagraph"/>
              <w:spacing w:before="19"/>
              <w:ind w:left="333"/>
              <w:rPr>
                <w:sz w:val="16"/>
              </w:rPr>
            </w:pPr>
            <w:r w:rsidRPr="00EB2BD8">
              <w:rPr>
                <w:w w:val="105"/>
                <w:sz w:val="16"/>
              </w:rPr>
              <w:t>at</w:t>
            </w:r>
            <w:r w:rsidRPr="00EB2BD8">
              <w:rPr>
                <w:spacing w:val="-10"/>
                <w:w w:val="105"/>
                <w:sz w:val="16"/>
              </w:rPr>
              <w:t xml:space="preserve"> </w:t>
            </w:r>
            <w:r w:rsidRPr="00EB2BD8">
              <w:rPr>
                <w:spacing w:val="-2"/>
                <w:w w:val="105"/>
                <w:sz w:val="16"/>
              </w:rPr>
              <w:t>Parkdale.</w:t>
            </w:r>
          </w:p>
        </w:tc>
        <w:tc>
          <w:tcPr>
            <w:tcW w:w="2284" w:type="dxa"/>
            <w:tcBorders>
              <w:bottom w:val="single" w:sz="2" w:space="0" w:color="000000"/>
            </w:tcBorders>
          </w:tcPr>
          <w:p w14:paraId="0F2546C7"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2418FC9D"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6D9FCEFA" w14:textId="77777777" w:rsidR="00084F36" w:rsidRPr="00EB2BD8" w:rsidRDefault="00084F36">
            <w:pPr>
              <w:pStyle w:val="TableParagraph"/>
              <w:rPr>
                <w:rFonts w:ascii="Times New Roman"/>
                <w:sz w:val="16"/>
              </w:rPr>
            </w:pPr>
          </w:p>
        </w:tc>
      </w:tr>
      <w:tr w:rsidR="00EB2BD8" w:rsidRPr="00EB2BD8" w14:paraId="4BA6541F" w14:textId="77777777">
        <w:trPr>
          <w:trHeight w:val="325"/>
        </w:trPr>
        <w:tc>
          <w:tcPr>
            <w:tcW w:w="1741" w:type="dxa"/>
            <w:tcBorders>
              <w:top w:val="single" w:sz="2" w:space="0" w:color="000000"/>
            </w:tcBorders>
          </w:tcPr>
          <w:p w14:paraId="35A7DE73" w14:textId="77777777" w:rsidR="00084F36" w:rsidRPr="00EB2BD8" w:rsidRDefault="00EB2BD8">
            <w:pPr>
              <w:pStyle w:val="TableParagraph"/>
              <w:spacing w:before="115"/>
              <w:ind w:left="113"/>
              <w:rPr>
                <w:sz w:val="16"/>
              </w:rPr>
            </w:pPr>
            <w:r w:rsidRPr="00EB2BD8">
              <w:rPr>
                <w:spacing w:val="-6"/>
                <w:sz w:val="16"/>
              </w:rPr>
              <w:t>MIDDLING,</w:t>
            </w:r>
            <w:r w:rsidRPr="00EB2BD8">
              <w:rPr>
                <w:spacing w:val="5"/>
                <w:sz w:val="16"/>
              </w:rPr>
              <w:t xml:space="preserve"> </w:t>
            </w:r>
            <w:r w:rsidRPr="00EB2BD8">
              <w:rPr>
                <w:spacing w:val="-2"/>
                <w:sz w:val="16"/>
              </w:rPr>
              <w:t>Anthony</w:t>
            </w:r>
          </w:p>
        </w:tc>
        <w:tc>
          <w:tcPr>
            <w:tcW w:w="1429" w:type="dxa"/>
            <w:tcBorders>
              <w:top w:val="single" w:sz="2" w:space="0" w:color="000000"/>
            </w:tcBorders>
          </w:tcPr>
          <w:p w14:paraId="040DBAF2" w14:textId="77777777" w:rsidR="00084F36" w:rsidRPr="00EB2BD8" w:rsidRDefault="00EB2BD8">
            <w:pPr>
              <w:pStyle w:val="TableParagraph"/>
              <w:spacing w:before="115"/>
              <w:ind w:left="129"/>
              <w:rPr>
                <w:sz w:val="16"/>
              </w:rPr>
            </w:pPr>
            <w:r w:rsidRPr="00EB2BD8">
              <w:rPr>
                <w:spacing w:val="2"/>
                <w:sz w:val="16"/>
              </w:rPr>
              <w:t>BS-U</w:t>
            </w:r>
            <w:r w:rsidRPr="00EB2BD8">
              <w:rPr>
                <w:spacing w:val="26"/>
                <w:sz w:val="16"/>
              </w:rPr>
              <w:t xml:space="preserve"> </w:t>
            </w:r>
            <w:r w:rsidRPr="00EB2BD8">
              <w:rPr>
                <w:spacing w:val="-4"/>
                <w:sz w:val="16"/>
              </w:rPr>
              <w:t>1092;</w:t>
            </w:r>
          </w:p>
        </w:tc>
        <w:tc>
          <w:tcPr>
            <w:tcW w:w="2492" w:type="dxa"/>
            <w:tcBorders>
              <w:top w:val="single" w:sz="2" w:space="0" w:color="000000"/>
            </w:tcBorders>
          </w:tcPr>
          <w:p w14:paraId="1DC98F3D" w14:textId="77777777" w:rsidR="00084F36" w:rsidRPr="00EB2BD8" w:rsidRDefault="00EB2BD8">
            <w:pPr>
              <w:pStyle w:val="TableParagraph"/>
              <w:spacing w:before="115"/>
              <w:ind w:left="333"/>
              <w:rPr>
                <w:sz w:val="16"/>
              </w:rPr>
            </w:pPr>
            <w:r w:rsidRPr="00EB2BD8">
              <w:rPr>
                <w:spacing w:val="-2"/>
                <w:sz w:val="16"/>
              </w:rPr>
              <w:t>Performing</w:t>
            </w:r>
            <w:r w:rsidRPr="00EB2BD8">
              <w:rPr>
                <w:spacing w:val="6"/>
                <w:sz w:val="16"/>
              </w:rPr>
              <w:t xml:space="preserve"> </w:t>
            </w:r>
            <w:r w:rsidRPr="00EB2BD8">
              <w:rPr>
                <w:spacing w:val="-2"/>
                <w:sz w:val="16"/>
              </w:rPr>
              <w:t>building</w:t>
            </w:r>
          </w:p>
        </w:tc>
        <w:tc>
          <w:tcPr>
            <w:tcW w:w="2284" w:type="dxa"/>
            <w:tcBorders>
              <w:top w:val="single" w:sz="2" w:space="0" w:color="000000"/>
            </w:tcBorders>
          </w:tcPr>
          <w:p w14:paraId="5888C8E9" w14:textId="77777777" w:rsidR="00084F36" w:rsidRPr="00EB2BD8" w:rsidRDefault="00EB2BD8">
            <w:pPr>
              <w:pStyle w:val="TableParagraph"/>
              <w:spacing w:before="114"/>
              <w:ind w:left="120"/>
              <w:rPr>
                <w:sz w:val="16"/>
              </w:rPr>
            </w:pPr>
            <w:r w:rsidRPr="00EB2BD8">
              <w:rPr>
                <w:spacing w:val="-4"/>
                <w:sz w:val="16"/>
              </w:rPr>
              <w:t>Penalty</w:t>
            </w:r>
            <w:r w:rsidRPr="00EB2BD8">
              <w:rPr>
                <w:spacing w:val="-8"/>
                <w:sz w:val="16"/>
              </w:rPr>
              <w:t xml:space="preserve"> </w:t>
            </w:r>
            <w:r w:rsidRPr="00EB2BD8">
              <w:rPr>
                <w:spacing w:val="-4"/>
                <w:sz w:val="16"/>
              </w:rPr>
              <w:t>of</w:t>
            </w:r>
            <w:r w:rsidRPr="00EB2BD8">
              <w:rPr>
                <w:spacing w:val="-8"/>
                <w:sz w:val="16"/>
              </w:rPr>
              <w:t xml:space="preserve"> </w:t>
            </w:r>
            <w:r w:rsidRPr="00EB2BD8">
              <w:rPr>
                <w:spacing w:val="-4"/>
                <w:sz w:val="16"/>
              </w:rPr>
              <w:t>$5,000,</w:t>
            </w:r>
            <w:r w:rsidRPr="00EB2BD8">
              <w:rPr>
                <w:spacing w:val="-7"/>
                <w:sz w:val="16"/>
              </w:rPr>
              <w:t xml:space="preserve"> </w:t>
            </w:r>
            <w:r w:rsidRPr="00EB2BD8">
              <w:rPr>
                <w:spacing w:val="-5"/>
                <w:sz w:val="16"/>
              </w:rPr>
              <w:t>and</w:t>
            </w:r>
          </w:p>
        </w:tc>
        <w:tc>
          <w:tcPr>
            <w:tcW w:w="1079" w:type="dxa"/>
            <w:tcBorders>
              <w:top w:val="single" w:sz="2" w:space="0" w:color="000000"/>
            </w:tcBorders>
          </w:tcPr>
          <w:p w14:paraId="129083DD" w14:textId="77777777" w:rsidR="00084F36" w:rsidRPr="00EB2BD8" w:rsidRDefault="00EB2BD8">
            <w:pPr>
              <w:pStyle w:val="TableParagraph"/>
              <w:spacing w:before="114"/>
              <w:ind w:right="111"/>
              <w:jc w:val="right"/>
              <w:rPr>
                <w:sz w:val="16"/>
              </w:rPr>
            </w:pPr>
            <w:r w:rsidRPr="00EB2BD8">
              <w:rPr>
                <w:spacing w:val="-2"/>
                <w:sz w:val="16"/>
              </w:rPr>
              <w:t>$5,000</w:t>
            </w:r>
          </w:p>
        </w:tc>
        <w:tc>
          <w:tcPr>
            <w:tcW w:w="1175" w:type="dxa"/>
            <w:tcBorders>
              <w:top w:val="single" w:sz="2" w:space="0" w:color="000000"/>
            </w:tcBorders>
          </w:tcPr>
          <w:p w14:paraId="4D1F7A5E" w14:textId="77777777" w:rsidR="00084F36" w:rsidRPr="00EB2BD8" w:rsidRDefault="00EB2BD8">
            <w:pPr>
              <w:pStyle w:val="TableParagraph"/>
              <w:spacing w:before="114"/>
              <w:ind w:left="113"/>
              <w:rPr>
                <w:sz w:val="16"/>
              </w:rPr>
            </w:pPr>
            <w:r w:rsidRPr="00EB2BD8">
              <w:rPr>
                <w:spacing w:val="-2"/>
                <w:w w:val="95"/>
                <w:sz w:val="16"/>
              </w:rPr>
              <w:t>25/07/2022</w:t>
            </w:r>
          </w:p>
        </w:tc>
      </w:tr>
      <w:tr w:rsidR="00EB2BD8" w:rsidRPr="00EB2BD8" w14:paraId="5542388B" w14:textId="77777777">
        <w:trPr>
          <w:trHeight w:val="229"/>
        </w:trPr>
        <w:tc>
          <w:tcPr>
            <w:tcW w:w="1741" w:type="dxa"/>
          </w:tcPr>
          <w:p w14:paraId="46F5F949" w14:textId="77777777" w:rsidR="00084F36" w:rsidRPr="00EB2BD8" w:rsidRDefault="00084F36">
            <w:pPr>
              <w:pStyle w:val="TableParagraph"/>
              <w:rPr>
                <w:rFonts w:ascii="Times New Roman"/>
                <w:sz w:val="16"/>
              </w:rPr>
            </w:pPr>
          </w:p>
        </w:tc>
        <w:tc>
          <w:tcPr>
            <w:tcW w:w="1429" w:type="dxa"/>
          </w:tcPr>
          <w:p w14:paraId="65693F0F" w14:textId="77777777" w:rsidR="00084F36" w:rsidRPr="00EB2BD8" w:rsidRDefault="00EB2BD8">
            <w:pPr>
              <w:pStyle w:val="TableParagraph"/>
              <w:spacing w:before="19"/>
              <w:ind w:left="129"/>
              <w:rPr>
                <w:sz w:val="16"/>
              </w:rPr>
            </w:pPr>
            <w:r w:rsidRPr="00EB2BD8">
              <w:rPr>
                <w:sz w:val="16"/>
              </w:rPr>
              <w:t>IN-U</w:t>
            </w:r>
            <w:r w:rsidRPr="00EB2BD8">
              <w:rPr>
                <w:spacing w:val="4"/>
                <w:sz w:val="16"/>
              </w:rPr>
              <w:t xml:space="preserve"> </w:t>
            </w:r>
            <w:r w:rsidRPr="00EB2BD8">
              <w:rPr>
                <w:spacing w:val="-4"/>
                <w:sz w:val="16"/>
              </w:rPr>
              <w:t>1078</w:t>
            </w:r>
          </w:p>
        </w:tc>
        <w:tc>
          <w:tcPr>
            <w:tcW w:w="2492" w:type="dxa"/>
          </w:tcPr>
          <w:p w14:paraId="11A4FE9D" w14:textId="77777777" w:rsidR="00084F36" w:rsidRPr="00EB2BD8" w:rsidRDefault="00EB2BD8">
            <w:pPr>
              <w:pStyle w:val="TableParagraph"/>
              <w:spacing w:before="19"/>
              <w:ind w:left="333"/>
              <w:rPr>
                <w:sz w:val="16"/>
              </w:rPr>
            </w:pPr>
            <w:r w:rsidRPr="00EB2BD8">
              <w:rPr>
                <w:spacing w:val="-2"/>
                <w:sz w:val="16"/>
              </w:rPr>
              <w:t>work</w:t>
            </w:r>
            <w:r w:rsidRPr="00EB2BD8">
              <w:rPr>
                <w:spacing w:val="-7"/>
                <w:sz w:val="16"/>
              </w:rPr>
              <w:t xml:space="preserve"> </w:t>
            </w:r>
            <w:r w:rsidRPr="00EB2BD8">
              <w:rPr>
                <w:spacing w:val="-2"/>
                <w:sz w:val="16"/>
              </w:rPr>
              <w:t>other</w:t>
            </w:r>
            <w:r w:rsidRPr="00EB2BD8">
              <w:rPr>
                <w:spacing w:val="-7"/>
                <w:sz w:val="16"/>
              </w:rPr>
              <w:t xml:space="preserve"> </w:t>
            </w:r>
            <w:r w:rsidRPr="00EB2BD8">
              <w:rPr>
                <w:spacing w:val="-2"/>
                <w:sz w:val="16"/>
              </w:rPr>
              <w:t>than</w:t>
            </w:r>
            <w:r w:rsidRPr="00EB2BD8">
              <w:rPr>
                <w:spacing w:val="-6"/>
                <w:sz w:val="16"/>
              </w:rPr>
              <w:t xml:space="preserve"> </w:t>
            </w:r>
            <w:r w:rsidRPr="00EB2BD8">
              <w:rPr>
                <w:spacing w:val="-2"/>
                <w:sz w:val="16"/>
              </w:rPr>
              <w:t>in</w:t>
            </w:r>
            <w:r w:rsidRPr="00EB2BD8">
              <w:rPr>
                <w:spacing w:val="-7"/>
                <w:sz w:val="16"/>
              </w:rPr>
              <w:t xml:space="preserve"> </w:t>
            </w:r>
            <w:r w:rsidRPr="00EB2BD8">
              <w:rPr>
                <w:spacing w:val="-10"/>
                <w:sz w:val="16"/>
              </w:rPr>
              <w:t>a</w:t>
            </w:r>
          </w:p>
        </w:tc>
        <w:tc>
          <w:tcPr>
            <w:tcW w:w="2284" w:type="dxa"/>
          </w:tcPr>
          <w:p w14:paraId="01C8908D" w14:textId="77777777" w:rsidR="00084F36" w:rsidRPr="00EB2BD8" w:rsidRDefault="00EB2BD8">
            <w:pPr>
              <w:pStyle w:val="TableParagraph"/>
              <w:spacing w:before="19"/>
              <w:ind w:left="120"/>
              <w:rPr>
                <w:sz w:val="16"/>
              </w:rPr>
            </w:pPr>
            <w:r w:rsidRPr="00EB2BD8">
              <w:rPr>
                <w:spacing w:val="-2"/>
                <w:sz w:val="16"/>
              </w:rPr>
              <w:t>direction</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undertake</w:t>
            </w:r>
          </w:p>
        </w:tc>
        <w:tc>
          <w:tcPr>
            <w:tcW w:w="1079" w:type="dxa"/>
          </w:tcPr>
          <w:p w14:paraId="065E1797" w14:textId="77777777" w:rsidR="00084F36" w:rsidRPr="00EB2BD8" w:rsidRDefault="00084F36">
            <w:pPr>
              <w:pStyle w:val="TableParagraph"/>
              <w:rPr>
                <w:rFonts w:ascii="Times New Roman"/>
                <w:sz w:val="16"/>
              </w:rPr>
            </w:pPr>
          </w:p>
        </w:tc>
        <w:tc>
          <w:tcPr>
            <w:tcW w:w="1175" w:type="dxa"/>
          </w:tcPr>
          <w:p w14:paraId="62BBAF55" w14:textId="77777777" w:rsidR="00084F36" w:rsidRPr="00EB2BD8" w:rsidRDefault="00084F36">
            <w:pPr>
              <w:pStyle w:val="TableParagraph"/>
              <w:rPr>
                <w:rFonts w:ascii="Times New Roman"/>
                <w:sz w:val="16"/>
              </w:rPr>
            </w:pPr>
          </w:p>
        </w:tc>
      </w:tr>
      <w:tr w:rsidR="00EB2BD8" w:rsidRPr="00EB2BD8" w14:paraId="3DD3629A" w14:textId="77777777">
        <w:trPr>
          <w:trHeight w:val="230"/>
        </w:trPr>
        <w:tc>
          <w:tcPr>
            <w:tcW w:w="1741" w:type="dxa"/>
          </w:tcPr>
          <w:p w14:paraId="688013E5" w14:textId="77777777" w:rsidR="00084F36" w:rsidRPr="00EB2BD8" w:rsidRDefault="00084F36">
            <w:pPr>
              <w:pStyle w:val="TableParagraph"/>
              <w:rPr>
                <w:rFonts w:ascii="Times New Roman"/>
                <w:sz w:val="16"/>
              </w:rPr>
            </w:pPr>
          </w:p>
        </w:tc>
        <w:tc>
          <w:tcPr>
            <w:tcW w:w="1429" w:type="dxa"/>
          </w:tcPr>
          <w:p w14:paraId="14882B82" w14:textId="77777777" w:rsidR="00084F36" w:rsidRPr="00EB2BD8" w:rsidRDefault="00084F36">
            <w:pPr>
              <w:pStyle w:val="TableParagraph"/>
              <w:rPr>
                <w:rFonts w:ascii="Times New Roman"/>
                <w:sz w:val="16"/>
              </w:rPr>
            </w:pPr>
          </w:p>
        </w:tc>
        <w:tc>
          <w:tcPr>
            <w:tcW w:w="2492" w:type="dxa"/>
          </w:tcPr>
          <w:p w14:paraId="46F9E29B" w14:textId="77777777" w:rsidR="00084F36" w:rsidRPr="00EB2BD8" w:rsidRDefault="00EB2BD8">
            <w:pPr>
              <w:pStyle w:val="TableParagraph"/>
              <w:spacing w:before="19"/>
              <w:ind w:left="333"/>
              <w:rPr>
                <w:sz w:val="16"/>
              </w:rPr>
            </w:pPr>
            <w:r w:rsidRPr="00EB2BD8">
              <w:rPr>
                <w:sz w:val="16"/>
              </w:rPr>
              <w:t xml:space="preserve">competent manner </w:t>
            </w:r>
            <w:r w:rsidRPr="00EB2BD8">
              <w:rPr>
                <w:spacing w:val="-5"/>
                <w:sz w:val="16"/>
              </w:rPr>
              <w:t>and</w:t>
            </w:r>
          </w:p>
        </w:tc>
        <w:tc>
          <w:tcPr>
            <w:tcW w:w="2284" w:type="dxa"/>
          </w:tcPr>
          <w:p w14:paraId="7B773FFA" w14:textId="77777777" w:rsidR="00084F36" w:rsidRPr="00EB2BD8" w:rsidRDefault="00EB2BD8">
            <w:pPr>
              <w:pStyle w:val="TableParagraph"/>
              <w:spacing w:before="19"/>
              <w:ind w:left="120"/>
              <w:rPr>
                <w:sz w:val="16"/>
              </w:rPr>
            </w:pPr>
            <w:r w:rsidRPr="00EB2BD8">
              <w:rPr>
                <w:spacing w:val="-2"/>
                <w:sz w:val="16"/>
              </w:rPr>
              <w:t>training.</w:t>
            </w:r>
          </w:p>
        </w:tc>
        <w:tc>
          <w:tcPr>
            <w:tcW w:w="1079" w:type="dxa"/>
          </w:tcPr>
          <w:p w14:paraId="28DE5AB3" w14:textId="77777777" w:rsidR="00084F36" w:rsidRPr="00EB2BD8" w:rsidRDefault="00084F36">
            <w:pPr>
              <w:pStyle w:val="TableParagraph"/>
              <w:rPr>
                <w:rFonts w:ascii="Times New Roman"/>
                <w:sz w:val="16"/>
              </w:rPr>
            </w:pPr>
          </w:p>
        </w:tc>
        <w:tc>
          <w:tcPr>
            <w:tcW w:w="1175" w:type="dxa"/>
          </w:tcPr>
          <w:p w14:paraId="754A48AF" w14:textId="77777777" w:rsidR="00084F36" w:rsidRPr="00EB2BD8" w:rsidRDefault="00084F36">
            <w:pPr>
              <w:pStyle w:val="TableParagraph"/>
              <w:rPr>
                <w:rFonts w:ascii="Times New Roman"/>
                <w:sz w:val="16"/>
              </w:rPr>
            </w:pPr>
          </w:p>
        </w:tc>
      </w:tr>
      <w:tr w:rsidR="00EB2BD8" w:rsidRPr="00EB2BD8" w14:paraId="270B38EF" w14:textId="77777777">
        <w:trPr>
          <w:trHeight w:val="229"/>
        </w:trPr>
        <w:tc>
          <w:tcPr>
            <w:tcW w:w="1741" w:type="dxa"/>
          </w:tcPr>
          <w:p w14:paraId="717A7FB0" w14:textId="77777777" w:rsidR="00084F36" w:rsidRPr="00EB2BD8" w:rsidRDefault="00084F36">
            <w:pPr>
              <w:pStyle w:val="TableParagraph"/>
              <w:rPr>
                <w:rFonts w:ascii="Times New Roman"/>
                <w:sz w:val="16"/>
              </w:rPr>
            </w:pPr>
          </w:p>
        </w:tc>
        <w:tc>
          <w:tcPr>
            <w:tcW w:w="1429" w:type="dxa"/>
          </w:tcPr>
          <w:p w14:paraId="038189AA" w14:textId="77777777" w:rsidR="00084F36" w:rsidRPr="00EB2BD8" w:rsidRDefault="00084F36">
            <w:pPr>
              <w:pStyle w:val="TableParagraph"/>
              <w:rPr>
                <w:rFonts w:ascii="Times New Roman"/>
                <w:sz w:val="16"/>
              </w:rPr>
            </w:pPr>
          </w:p>
        </w:tc>
        <w:tc>
          <w:tcPr>
            <w:tcW w:w="2492" w:type="dxa"/>
          </w:tcPr>
          <w:p w14:paraId="1B8AE2A7" w14:textId="77777777" w:rsidR="00084F36" w:rsidRPr="00EB2BD8" w:rsidRDefault="00EB2BD8">
            <w:pPr>
              <w:pStyle w:val="TableParagraph"/>
              <w:spacing w:before="19"/>
              <w:ind w:left="333"/>
              <w:rPr>
                <w:sz w:val="16"/>
              </w:rPr>
            </w:pPr>
            <w:r w:rsidRPr="00EB2BD8">
              <w:rPr>
                <w:spacing w:val="-2"/>
                <w:sz w:val="16"/>
              </w:rPr>
              <w:t>to</w:t>
            </w:r>
            <w:r w:rsidRPr="00EB2BD8">
              <w:rPr>
                <w:spacing w:val="-6"/>
                <w:sz w:val="16"/>
              </w:rPr>
              <w:t xml:space="preserve"> </w:t>
            </w:r>
            <w:r w:rsidRPr="00EB2BD8">
              <w:rPr>
                <w:spacing w:val="-2"/>
                <w:sz w:val="16"/>
              </w:rPr>
              <w:t>a</w:t>
            </w:r>
            <w:r w:rsidRPr="00EB2BD8">
              <w:rPr>
                <w:spacing w:val="-5"/>
                <w:sz w:val="16"/>
              </w:rPr>
              <w:t xml:space="preserve"> </w:t>
            </w:r>
            <w:r w:rsidRPr="00EB2BD8">
              <w:rPr>
                <w:spacing w:val="-2"/>
                <w:sz w:val="16"/>
              </w:rPr>
              <w:t>professional</w:t>
            </w:r>
            <w:r w:rsidRPr="00EB2BD8">
              <w:rPr>
                <w:spacing w:val="-5"/>
                <w:sz w:val="16"/>
              </w:rPr>
              <w:t xml:space="preserve"> </w:t>
            </w:r>
            <w:r w:rsidRPr="00EB2BD8">
              <w:rPr>
                <w:spacing w:val="-2"/>
                <w:sz w:val="16"/>
              </w:rPr>
              <w:t>standard</w:t>
            </w:r>
          </w:p>
        </w:tc>
        <w:tc>
          <w:tcPr>
            <w:tcW w:w="2284" w:type="dxa"/>
          </w:tcPr>
          <w:p w14:paraId="3A25D45F" w14:textId="77777777" w:rsidR="00084F36" w:rsidRPr="00EB2BD8" w:rsidRDefault="00084F36">
            <w:pPr>
              <w:pStyle w:val="TableParagraph"/>
              <w:rPr>
                <w:rFonts w:ascii="Times New Roman"/>
                <w:sz w:val="16"/>
              </w:rPr>
            </w:pPr>
          </w:p>
        </w:tc>
        <w:tc>
          <w:tcPr>
            <w:tcW w:w="1079" w:type="dxa"/>
          </w:tcPr>
          <w:p w14:paraId="585100B9" w14:textId="77777777" w:rsidR="00084F36" w:rsidRPr="00EB2BD8" w:rsidRDefault="00084F36">
            <w:pPr>
              <w:pStyle w:val="TableParagraph"/>
              <w:rPr>
                <w:rFonts w:ascii="Times New Roman"/>
                <w:sz w:val="16"/>
              </w:rPr>
            </w:pPr>
          </w:p>
        </w:tc>
        <w:tc>
          <w:tcPr>
            <w:tcW w:w="1175" w:type="dxa"/>
          </w:tcPr>
          <w:p w14:paraId="3695AC99" w14:textId="77777777" w:rsidR="00084F36" w:rsidRPr="00EB2BD8" w:rsidRDefault="00084F36">
            <w:pPr>
              <w:pStyle w:val="TableParagraph"/>
              <w:rPr>
                <w:rFonts w:ascii="Times New Roman"/>
                <w:sz w:val="16"/>
              </w:rPr>
            </w:pPr>
          </w:p>
        </w:tc>
      </w:tr>
      <w:tr w:rsidR="00EB2BD8" w:rsidRPr="00EB2BD8" w14:paraId="03B94F67" w14:textId="77777777">
        <w:trPr>
          <w:trHeight w:val="229"/>
        </w:trPr>
        <w:tc>
          <w:tcPr>
            <w:tcW w:w="1741" w:type="dxa"/>
          </w:tcPr>
          <w:p w14:paraId="7493EA02" w14:textId="77777777" w:rsidR="00084F36" w:rsidRPr="00EB2BD8" w:rsidRDefault="00084F36">
            <w:pPr>
              <w:pStyle w:val="TableParagraph"/>
              <w:rPr>
                <w:rFonts w:ascii="Times New Roman"/>
                <w:sz w:val="16"/>
              </w:rPr>
            </w:pPr>
          </w:p>
        </w:tc>
        <w:tc>
          <w:tcPr>
            <w:tcW w:w="1429" w:type="dxa"/>
          </w:tcPr>
          <w:p w14:paraId="69854FFA" w14:textId="77777777" w:rsidR="00084F36" w:rsidRPr="00EB2BD8" w:rsidRDefault="00084F36">
            <w:pPr>
              <w:pStyle w:val="TableParagraph"/>
              <w:rPr>
                <w:rFonts w:ascii="Times New Roman"/>
                <w:sz w:val="16"/>
              </w:rPr>
            </w:pPr>
          </w:p>
        </w:tc>
        <w:tc>
          <w:tcPr>
            <w:tcW w:w="2492" w:type="dxa"/>
          </w:tcPr>
          <w:p w14:paraId="3A5A1066" w14:textId="77777777" w:rsidR="00084F36" w:rsidRPr="00EB2BD8" w:rsidRDefault="00EB2BD8">
            <w:pPr>
              <w:pStyle w:val="TableParagraph"/>
              <w:spacing w:before="19"/>
              <w:ind w:left="333"/>
              <w:rPr>
                <w:sz w:val="16"/>
              </w:rPr>
            </w:pPr>
            <w:r w:rsidRPr="00EB2BD8">
              <w:rPr>
                <w:sz w:val="16"/>
              </w:rPr>
              <w:t>related</w:t>
            </w:r>
            <w:r w:rsidRPr="00EB2BD8">
              <w:rPr>
                <w:spacing w:val="-7"/>
                <w:sz w:val="16"/>
              </w:rPr>
              <w:t xml:space="preserve"> </w:t>
            </w:r>
            <w:r w:rsidRPr="00EB2BD8">
              <w:rPr>
                <w:sz w:val="16"/>
              </w:rPr>
              <w:t>to</w:t>
            </w:r>
            <w:r w:rsidRPr="00EB2BD8">
              <w:rPr>
                <w:spacing w:val="-7"/>
                <w:sz w:val="16"/>
              </w:rPr>
              <w:t xml:space="preserve"> </w:t>
            </w:r>
            <w:r w:rsidRPr="00EB2BD8">
              <w:rPr>
                <w:sz w:val="16"/>
              </w:rPr>
              <w:t>and</w:t>
            </w:r>
            <w:r w:rsidRPr="00EB2BD8">
              <w:rPr>
                <w:spacing w:val="-7"/>
                <w:sz w:val="16"/>
              </w:rPr>
              <w:t xml:space="preserve"> </w:t>
            </w:r>
            <w:r w:rsidRPr="00EB2BD8">
              <w:rPr>
                <w:spacing w:val="-2"/>
                <w:sz w:val="16"/>
              </w:rPr>
              <w:t>following</w:t>
            </w:r>
          </w:p>
        </w:tc>
        <w:tc>
          <w:tcPr>
            <w:tcW w:w="2284" w:type="dxa"/>
          </w:tcPr>
          <w:p w14:paraId="2C33E615" w14:textId="77777777" w:rsidR="00084F36" w:rsidRPr="00EB2BD8" w:rsidRDefault="00084F36">
            <w:pPr>
              <w:pStyle w:val="TableParagraph"/>
              <w:rPr>
                <w:rFonts w:ascii="Times New Roman"/>
                <w:sz w:val="16"/>
              </w:rPr>
            </w:pPr>
          </w:p>
        </w:tc>
        <w:tc>
          <w:tcPr>
            <w:tcW w:w="1079" w:type="dxa"/>
          </w:tcPr>
          <w:p w14:paraId="5E0E82FA" w14:textId="77777777" w:rsidR="00084F36" w:rsidRPr="00EB2BD8" w:rsidRDefault="00084F36">
            <w:pPr>
              <w:pStyle w:val="TableParagraph"/>
              <w:rPr>
                <w:rFonts w:ascii="Times New Roman"/>
                <w:sz w:val="16"/>
              </w:rPr>
            </w:pPr>
          </w:p>
        </w:tc>
        <w:tc>
          <w:tcPr>
            <w:tcW w:w="1175" w:type="dxa"/>
          </w:tcPr>
          <w:p w14:paraId="6DC3985E" w14:textId="77777777" w:rsidR="00084F36" w:rsidRPr="00EB2BD8" w:rsidRDefault="00084F36">
            <w:pPr>
              <w:pStyle w:val="TableParagraph"/>
              <w:rPr>
                <w:rFonts w:ascii="Times New Roman"/>
                <w:sz w:val="16"/>
              </w:rPr>
            </w:pPr>
          </w:p>
        </w:tc>
      </w:tr>
      <w:tr w:rsidR="00EB2BD8" w:rsidRPr="00EB2BD8" w14:paraId="0441A169" w14:textId="77777777">
        <w:trPr>
          <w:trHeight w:val="229"/>
        </w:trPr>
        <w:tc>
          <w:tcPr>
            <w:tcW w:w="1741" w:type="dxa"/>
          </w:tcPr>
          <w:p w14:paraId="7727E2A1" w14:textId="77777777" w:rsidR="00084F36" w:rsidRPr="00EB2BD8" w:rsidRDefault="00084F36">
            <w:pPr>
              <w:pStyle w:val="TableParagraph"/>
              <w:rPr>
                <w:rFonts w:ascii="Times New Roman"/>
                <w:sz w:val="16"/>
              </w:rPr>
            </w:pPr>
          </w:p>
        </w:tc>
        <w:tc>
          <w:tcPr>
            <w:tcW w:w="1429" w:type="dxa"/>
          </w:tcPr>
          <w:p w14:paraId="502E2DE1" w14:textId="77777777" w:rsidR="00084F36" w:rsidRPr="00EB2BD8" w:rsidRDefault="00084F36">
            <w:pPr>
              <w:pStyle w:val="TableParagraph"/>
              <w:rPr>
                <w:rFonts w:ascii="Times New Roman"/>
                <w:sz w:val="16"/>
              </w:rPr>
            </w:pPr>
          </w:p>
        </w:tc>
        <w:tc>
          <w:tcPr>
            <w:tcW w:w="2492" w:type="dxa"/>
          </w:tcPr>
          <w:p w14:paraId="16A2E017" w14:textId="77777777" w:rsidR="00084F36" w:rsidRPr="00EB2BD8" w:rsidRDefault="00EB2BD8">
            <w:pPr>
              <w:pStyle w:val="TableParagraph"/>
              <w:spacing w:before="19"/>
              <w:ind w:left="333"/>
              <w:rPr>
                <w:sz w:val="16"/>
              </w:rPr>
            </w:pPr>
            <w:r w:rsidRPr="00EB2BD8">
              <w:rPr>
                <w:sz w:val="16"/>
              </w:rPr>
              <w:t>the</w:t>
            </w:r>
            <w:r w:rsidRPr="00EB2BD8">
              <w:rPr>
                <w:spacing w:val="-11"/>
                <w:sz w:val="16"/>
              </w:rPr>
              <w:t xml:space="preserve"> </w:t>
            </w:r>
            <w:r w:rsidRPr="00EB2BD8">
              <w:rPr>
                <w:sz w:val="16"/>
              </w:rPr>
              <w:t>issue</w:t>
            </w:r>
            <w:r w:rsidRPr="00EB2BD8">
              <w:rPr>
                <w:spacing w:val="-9"/>
                <w:sz w:val="16"/>
              </w:rPr>
              <w:t xml:space="preserve"> </w:t>
            </w:r>
            <w:r w:rsidRPr="00EB2BD8">
              <w:rPr>
                <w:sz w:val="16"/>
              </w:rPr>
              <w:t>and</w:t>
            </w:r>
            <w:r w:rsidRPr="00EB2BD8">
              <w:rPr>
                <w:spacing w:val="-8"/>
                <w:sz w:val="16"/>
              </w:rPr>
              <w:t xml:space="preserve"> </w:t>
            </w:r>
            <w:r w:rsidRPr="00EB2BD8">
              <w:rPr>
                <w:spacing w:val="-2"/>
                <w:sz w:val="16"/>
              </w:rPr>
              <w:t>amendment</w:t>
            </w:r>
          </w:p>
        </w:tc>
        <w:tc>
          <w:tcPr>
            <w:tcW w:w="2284" w:type="dxa"/>
          </w:tcPr>
          <w:p w14:paraId="017B938C" w14:textId="77777777" w:rsidR="00084F36" w:rsidRPr="00EB2BD8" w:rsidRDefault="00084F36">
            <w:pPr>
              <w:pStyle w:val="TableParagraph"/>
              <w:rPr>
                <w:rFonts w:ascii="Times New Roman"/>
                <w:sz w:val="16"/>
              </w:rPr>
            </w:pPr>
          </w:p>
        </w:tc>
        <w:tc>
          <w:tcPr>
            <w:tcW w:w="1079" w:type="dxa"/>
          </w:tcPr>
          <w:p w14:paraId="7CD81661" w14:textId="77777777" w:rsidR="00084F36" w:rsidRPr="00EB2BD8" w:rsidRDefault="00084F36">
            <w:pPr>
              <w:pStyle w:val="TableParagraph"/>
              <w:rPr>
                <w:rFonts w:ascii="Times New Roman"/>
                <w:sz w:val="16"/>
              </w:rPr>
            </w:pPr>
          </w:p>
        </w:tc>
        <w:tc>
          <w:tcPr>
            <w:tcW w:w="1175" w:type="dxa"/>
          </w:tcPr>
          <w:p w14:paraId="08DF941C" w14:textId="77777777" w:rsidR="00084F36" w:rsidRPr="00EB2BD8" w:rsidRDefault="00084F36">
            <w:pPr>
              <w:pStyle w:val="TableParagraph"/>
              <w:rPr>
                <w:rFonts w:ascii="Times New Roman"/>
                <w:sz w:val="16"/>
              </w:rPr>
            </w:pPr>
          </w:p>
        </w:tc>
      </w:tr>
      <w:tr w:rsidR="00EB2BD8" w:rsidRPr="00EB2BD8" w14:paraId="1EF1047C" w14:textId="77777777">
        <w:trPr>
          <w:trHeight w:val="229"/>
        </w:trPr>
        <w:tc>
          <w:tcPr>
            <w:tcW w:w="1741" w:type="dxa"/>
          </w:tcPr>
          <w:p w14:paraId="64D9E533" w14:textId="77777777" w:rsidR="00084F36" w:rsidRPr="00EB2BD8" w:rsidRDefault="00084F36">
            <w:pPr>
              <w:pStyle w:val="TableParagraph"/>
              <w:rPr>
                <w:rFonts w:ascii="Times New Roman"/>
                <w:sz w:val="16"/>
              </w:rPr>
            </w:pPr>
          </w:p>
        </w:tc>
        <w:tc>
          <w:tcPr>
            <w:tcW w:w="1429" w:type="dxa"/>
          </w:tcPr>
          <w:p w14:paraId="163ACE3D" w14:textId="77777777" w:rsidR="00084F36" w:rsidRPr="00EB2BD8" w:rsidRDefault="00084F36">
            <w:pPr>
              <w:pStyle w:val="TableParagraph"/>
              <w:rPr>
                <w:rFonts w:ascii="Times New Roman"/>
                <w:sz w:val="16"/>
              </w:rPr>
            </w:pPr>
          </w:p>
        </w:tc>
        <w:tc>
          <w:tcPr>
            <w:tcW w:w="2492" w:type="dxa"/>
          </w:tcPr>
          <w:p w14:paraId="6906C589" w14:textId="77777777" w:rsidR="00084F36" w:rsidRPr="00EB2BD8" w:rsidRDefault="00EB2BD8">
            <w:pPr>
              <w:pStyle w:val="TableParagraph"/>
              <w:spacing w:before="19"/>
              <w:ind w:left="333"/>
              <w:rPr>
                <w:sz w:val="16"/>
              </w:rPr>
            </w:pPr>
            <w:r w:rsidRPr="00EB2BD8">
              <w:rPr>
                <w:spacing w:val="-2"/>
                <w:sz w:val="16"/>
              </w:rPr>
              <w:t>of</w:t>
            </w:r>
            <w:r w:rsidRPr="00EB2BD8">
              <w:rPr>
                <w:spacing w:val="-8"/>
                <w:sz w:val="16"/>
              </w:rPr>
              <w:t xml:space="preserve"> </w:t>
            </w:r>
            <w:r w:rsidRPr="00EB2BD8">
              <w:rPr>
                <w:spacing w:val="-2"/>
                <w:sz w:val="16"/>
              </w:rPr>
              <w:t>a</w:t>
            </w:r>
            <w:r w:rsidRPr="00EB2BD8">
              <w:rPr>
                <w:spacing w:val="-8"/>
                <w:sz w:val="16"/>
              </w:rPr>
              <w:t xml:space="preserve"> </w:t>
            </w:r>
            <w:r w:rsidRPr="00EB2BD8">
              <w:rPr>
                <w:spacing w:val="-2"/>
                <w:sz w:val="16"/>
              </w:rPr>
              <w:t>building</w:t>
            </w:r>
            <w:r w:rsidRPr="00EB2BD8">
              <w:rPr>
                <w:spacing w:val="-8"/>
                <w:sz w:val="16"/>
              </w:rPr>
              <w:t xml:space="preserve"> </w:t>
            </w:r>
            <w:r w:rsidRPr="00EB2BD8">
              <w:rPr>
                <w:spacing w:val="-2"/>
                <w:sz w:val="16"/>
              </w:rPr>
              <w:t>permit</w:t>
            </w:r>
            <w:r w:rsidRPr="00EB2BD8">
              <w:rPr>
                <w:spacing w:val="-7"/>
                <w:sz w:val="16"/>
              </w:rPr>
              <w:t xml:space="preserve"> </w:t>
            </w:r>
            <w:r w:rsidRPr="00EB2BD8">
              <w:rPr>
                <w:spacing w:val="-2"/>
                <w:sz w:val="16"/>
              </w:rPr>
              <w:t>for</w:t>
            </w:r>
            <w:r w:rsidRPr="00EB2BD8">
              <w:rPr>
                <w:spacing w:val="-8"/>
                <w:sz w:val="16"/>
              </w:rPr>
              <w:t xml:space="preserve"> </w:t>
            </w:r>
            <w:r w:rsidRPr="00EB2BD8">
              <w:rPr>
                <w:spacing w:val="-10"/>
                <w:sz w:val="16"/>
              </w:rPr>
              <w:t>a</w:t>
            </w:r>
          </w:p>
        </w:tc>
        <w:tc>
          <w:tcPr>
            <w:tcW w:w="2284" w:type="dxa"/>
          </w:tcPr>
          <w:p w14:paraId="43D50EA2" w14:textId="77777777" w:rsidR="00084F36" w:rsidRPr="00EB2BD8" w:rsidRDefault="00084F36">
            <w:pPr>
              <w:pStyle w:val="TableParagraph"/>
              <w:rPr>
                <w:rFonts w:ascii="Times New Roman"/>
                <w:sz w:val="16"/>
              </w:rPr>
            </w:pPr>
          </w:p>
        </w:tc>
        <w:tc>
          <w:tcPr>
            <w:tcW w:w="1079" w:type="dxa"/>
          </w:tcPr>
          <w:p w14:paraId="5F9F2BF9" w14:textId="77777777" w:rsidR="00084F36" w:rsidRPr="00EB2BD8" w:rsidRDefault="00084F36">
            <w:pPr>
              <w:pStyle w:val="TableParagraph"/>
              <w:rPr>
                <w:rFonts w:ascii="Times New Roman"/>
                <w:sz w:val="16"/>
              </w:rPr>
            </w:pPr>
          </w:p>
        </w:tc>
        <w:tc>
          <w:tcPr>
            <w:tcW w:w="1175" w:type="dxa"/>
          </w:tcPr>
          <w:p w14:paraId="7866E877" w14:textId="77777777" w:rsidR="00084F36" w:rsidRPr="00EB2BD8" w:rsidRDefault="00084F36">
            <w:pPr>
              <w:pStyle w:val="TableParagraph"/>
              <w:rPr>
                <w:rFonts w:ascii="Times New Roman"/>
                <w:sz w:val="16"/>
              </w:rPr>
            </w:pPr>
          </w:p>
        </w:tc>
      </w:tr>
      <w:tr w:rsidR="00EB2BD8" w:rsidRPr="00EB2BD8" w14:paraId="1D12696E" w14:textId="77777777">
        <w:trPr>
          <w:trHeight w:val="286"/>
        </w:trPr>
        <w:tc>
          <w:tcPr>
            <w:tcW w:w="1741" w:type="dxa"/>
            <w:tcBorders>
              <w:bottom w:val="single" w:sz="2" w:space="0" w:color="000000"/>
            </w:tcBorders>
          </w:tcPr>
          <w:p w14:paraId="1F45C837" w14:textId="77777777" w:rsidR="00084F36" w:rsidRPr="00EB2BD8" w:rsidRDefault="00084F36">
            <w:pPr>
              <w:pStyle w:val="TableParagraph"/>
              <w:rPr>
                <w:rFonts w:ascii="Times New Roman"/>
                <w:sz w:val="16"/>
              </w:rPr>
            </w:pPr>
          </w:p>
        </w:tc>
        <w:tc>
          <w:tcPr>
            <w:tcW w:w="1429" w:type="dxa"/>
            <w:tcBorders>
              <w:bottom w:val="single" w:sz="2" w:space="0" w:color="000000"/>
            </w:tcBorders>
          </w:tcPr>
          <w:p w14:paraId="531E9E2D" w14:textId="77777777" w:rsidR="00084F36" w:rsidRPr="00EB2BD8" w:rsidRDefault="00084F36">
            <w:pPr>
              <w:pStyle w:val="TableParagraph"/>
              <w:rPr>
                <w:rFonts w:ascii="Times New Roman"/>
                <w:sz w:val="16"/>
              </w:rPr>
            </w:pPr>
          </w:p>
        </w:tc>
        <w:tc>
          <w:tcPr>
            <w:tcW w:w="2492" w:type="dxa"/>
            <w:tcBorders>
              <w:bottom w:val="single" w:sz="2" w:space="0" w:color="000000"/>
            </w:tcBorders>
          </w:tcPr>
          <w:p w14:paraId="58A70707" w14:textId="77777777" w:rsidR="00084F36" w:rsidRPr="00EB2BD8" w:rsidRDefault="00EB2BD8">
            <w:pPr>
              <w:pStyle w:val="TableParagraph"/>
              <w:spacing w:before="19"/>
              <w:ind w:left="333"/>
              <w:rPr>
                <w:sz w:val="16"/>
              </w:rPr>
            </w:pPr>
            <w:r w:rsidRPr="00EB2BD8">
              <w:rPr>
                <w:sz w:val="16"/>
              </w:rPr>
              <w:t>site</w:t>
            </w:r>
            <w:r w:rsidRPr="00EB2BD8">
              <w:rPr>
                <w:spacing w:val="-10"/>
                <w:sz w:val="16"/>
              </w:rPr>
              <w:t xml:space="preserve"> </w:t>
            </w:r>
            <w:r w:rsidRPr="00EB2BD8">
              <w:rPr>
                <w:sz w:val="16"/>
              </w:rPr>
              <w:t>at</w:t>
            </w:r>
            <w:r w:rsidRPr="00EB2BD8">
              <w:rPr>
                <w:spacing w:val="-9"/>
                <w:sz w:val="16"/>
              </w:rPr>
              <w:t xml:space="preserve"> </w:t>
            </w:r>
            <w:r w:rsidRPr="00EB2BD8">
              <w:rPr>
                <w:spacing w:val="-2"/>
                <w:sz w:val="16"/>
              </w:rPr>
              <w:t>Windsor.</w:t>
            </w:r>
          </w:p>
        </w:tc>
        <w:tc>
          <w:tcPr>
            <w:tcW w:w="2284" w:type="dxa"/>
            <w:tcBorders>
              <w:bottom w:val="single" w:sz="2" w:space="0" w:color="000000"/>
            </w:tcBorders>
          </w:tcPr>
          <w:p w14:paraId="1AC579DA"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24E05FA9"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4EC2AA77" w14:textId="77777777" w:rsidR="00084F36" w:rsidRPr="00EB2BD8" w:rsidRDefault="00084F36">
            <w:pPr>
              <w:pStyle w:val="TableParagraph"/>
              <w:rPr>
                <w:rFonts w:ascii="Times New Roman"/>
                <w:sz w:val="16"/>
              </w:rPr>
            </w:pPr>
          </w:p>
        </w:tc>
      </w:tr>
      <w:tr w:rsidR="00EB2BD8" w:rsidRPr="00EB2BD8" w14:paraId="70191BB9" w14:textId="77777777">
        <w:trPr>
          <w:trHeight w:val="324"/>
        </w:trPr>
        <w:tc>
          <w:tcPr>
            <w:tcW w:w="1741" w:type="dxa"/>
            <w:tcBorders>
              <w:top w:val="single" w:sz="2" w:space="0" w:color="000000"/>
            </w:tcBorders>
          </w:tcPr>
          <w:p w14:paraId="66635E66" w14:textId="77777777" w:rsidR="00084F36" w:rsidRPr="00EB2BD8" w:rsidRDefault="00EB2BD8">
            <w:pPr>
              <w:pStyle w:val="TableParagraph"/>
              <w:spacing w:before="114"/>
              <w:ind w:left="113"/>
              <w:rPr>
                <w:sz w:val="16"/>
              </w:rPr>
            </w:pPr>
            <w:r w:rsidRPr="00EB2BD8">
              <w:rPr>
                <w:spacing w:val="-6"/>
                <w:sz w:val="16"/>
              </w:rPr>
              <w:t>MITSAKIS,</w:t>
            </w:r>
            <w:r w:rsidRPr="00EB2BD8">
              <w:rPr>
                <w:spacing w:val="-2"/>
                <w:sz w:val="16"/>
              </w:rPr>
              <w:t xml:space="preserve"> Andrew</w:t>
            </w:r>
          </w:p>
        </w:tc>
        <w:tc>
          <w:tcPr>
            <w:tcW w:w="1429" w:type="dxa"/>
            <w:tcBorders>
              <w:top w:val="single" w:sz="2" w:space="0" w:color="000000"/>
            </w:tcBorders>
          </w:tcPr>
          <w:p w14:paraId="0D296D2A" w14:textId="77777777" w:rsidR="00084F36" w:rsidRPr="00EB2BD8" w:rsidRDefault="00EB2BD8">
            <w:pPr>
              <w:pStyle w:val="TableParagraph"/>
              <w:spacing w:before="114"/>
              <w:ind w:left="129"/>
              <w:rPr>
                <w:sz w:val="16"/>
              </w:rPr>
            </w:pPr>
            <w:r w:rsidRPr="00EB2BD8">
              <w:rPr>
                <w:sz w:val="16"/>
              </w:rPr>
              <w:t>BD-M</w:t>
            </w:r>
            <w:r w:rsidRPr="00EB2BD8">
              <w:rPr>
                <w:spacing w:val="13"/>
                <w:sz w:val="16"/>
              </w:rPr>
              <w:t xml:space="preserve"> </w:t>
            </w:r>
            <w:r w:rsidRPr="00EB2BD8">
              <w:rPr>
                <w:spacing w:val="-4"/>
                <w:sz w:val="16"/>
              </w:rPr>
              <w:t>1058</w:t>
            </w:r>
          </w:p>
        </w:tc>
        <w:tc>
          <w:tcPr>
            <w:tcW w:w="2492" w:type="dxa"/>
            <w:tcBorders>
              <w:top w:val="single" w:sz="2" w:space="0" w:color="000000"/>
            </w:tcBorders>
          </w:tcPr>
          <w:p w14:paraId="094D8C46" w14:textId="77777777" w:rsidR="00084F36" w:rsidRPr="00EB2BD8" w:rsidRDefault="00EB2BD8">
            <w:pPr>
              <w:pStyle w:val="TableParagraph"/>
              <w:spacing w:before="114"/>
              <w:ind w:left="333"/>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84" w:type="dxa"/>
            <w:tcBorders>
              <w:top w:val="single" w:sz="2" w:space="0" w:color="000000"/>
            </w:tcBorders>
          </w:tcPr>
          <w:p w14:paraId="7F0B0CC1" w14:textId="77777777" w:rsidR="00084F36" w:rsidRPr="00EB2BD8" w:rsidRDefault="00EB2BD8">
            <w:pPr>
              <w:pStyle w:val="TableParagraph"/>
              <w:spacing w:before="114"/>
              <w:ind w:left="120"/>
              <w:rPr>
                <w:sz w:val="16"/>
              </w:rPr>
            </w:pPr>
            <w:r w:rsidRPr="00EB2BD8">
              <w:rPr>
                <w:sz w:val="16"/>
              </w:rPr>
              <w:t>Reprimand</w:t>
            </w:r>
            <w:r w:rsidRPr="00EB2BD8">
              <w:rPr>
                <w:spacing w:val="3"/>
                <w:sz w:val="16"/>
              </w:rPr>
              <w:t xml:space="preserve"> </w:t>
            </w:r>
            <w:r w:rsidRPr="00EB2BD8">
              <w:rPr>
                <w:sz w:val="16"/>
              </w:rPr>
              <w:t>and</w:t>
            </w:r>
            <w:r w:rsidRPr="00EB2BD8">
              <w:rPr>
                <w:spacing w:val="4"/>
                <w:sz w:val="16"/>
              </w:rPr>
              <w:t xml:space="preserve"> </w:t>
            </w:r>
            <w:r w:rsidRPr="00EB2BD8">
              <w:rPr>
                <w:sz w:val="16"/>
              </w:rPr>
              <w:t>a</w:t>
            </w:r>
            <w:r w:rsidRPr="00EB2BD8">
              <w:rPr>
                <w:spacing w:val="3"/>
                <w:sz w:val="16"/>
              </w:rPr>
              <w:t xml:space="preserve"> </w:t>
            </w:r>
            <w:r w:rsidRPr="00EB2BD8">
              <w:rPr>
                <w:spacing w:val="-2"/>
                <w:sz w:val="16"/>
              </w:rPr>
              <w:t>penalty</w:t>
            </w:r>
          </w:p>
        </w:tc>
        <w:tc>
          <w:tcPr>
            <w:tcW w:w="1079" w:type="dxa"/>
            <w:tcBorders>
              <w:top w:val="single" w:sz="2" w:space="0" w:color="000000"/>
            </w:tcBorders>
          </w:tcPr>
          <w:p w14:paraId="65F53236" w14:textId="77777777" w:rsidR="00084F36" w:rsidRPr="00EB2BD8" w:rsidRDefault="00EB2BD8">
            <w:pPr>
              <w:pStyle w:val="TableParagraph"/>
              <w:spacing w:before="114"/>
              <w:ind w:right="111"/>
              <w:jc w:val="right"/>
              <w:rPr>
                <w:sz w:val="16"/>
              </w:rPr>
            </w:pPr>
            <w:r w:rsidRPr="00EB2BD8">
              <w:rPr>
                <w:spacing w:val="-2"/>
                <w:sz w:val="16"/>
              </w:rPr>
              <w:t>$5,500</w:t>
            </w:r>
          </w:p>
        </w:tc>
        <w:tc>
          <w:tcPr>
            <w:tcW w:w="1175" w:type="dxa"/>
            <w:tcBorders>
              <w:top w:val="single" w:sz="2" w:space="0" w:color="000000"/>
            </w:tcBorders>
          </w:tcPr>
          <w:p w14:paraId="0A942341" w14:textId="77777777" w:rsidR="00084F36" w:rsidRPr="00EB2BD8" w:rsidRDefault="00EB2BD8">
            <w:pPr>
              <w:pStyle w:val="TableParagraph"/>
              <w:spacing w:before="114"/>
              <w:ind w:left="113"/>
              <w:rPr>
                <w:sz w:val="16"/>
              </w:rPr>
            </w:pPr>
            <w:r w:rsidRPr="00EB2BD8">
              <w:rPr>
                <w:spacing w:val="-2"/>
                <w:w w:val="90"/>
                <w:sz w:val="16"/>
              </w:rPr>
              <w:t>22/12/2022</w:t>
            </w:r>
          </w:p>
        </w:tc>
      </w:tr>
      <w:tr w:rsidR="00EB2BD8" w:rsidRPr="00EB2BD8" w14:paraId="712B5EE2" w14:textId="77777777">
        <w:trPr>
          <w:trHeight w:val="230"/>
        </w:trPr>
        <w:tc>
          <w:tcPr>
            <w:tcW w:w="1741" w:type="dxa"/>
          </w:tcPr>
          <w:p w14:paraId="0E49815F" w14:textId="77777777" w:rsidR="00084F36" w:rsidRPr="00EB2BD8" w:rsidRDefault="00084F36">
            <w:pPr>
              <w:pStyle w:val="TableParagraph"/>
              <w:rPr>
                <w:rFonts w:ascii="Times New Roman"/>
                <w:sz w:val="16"/>
              </w:rPr>
            </w:pPr>
          </w:p>
        </w:tc>
        <w:tc>
          <w:tcPr>
            <w:tcW w:w="1429" w:type="dxa"/>
          </w:tcPr>
          <w:p w14:paraId="34F4C20D" w14:textId="77777777" w:rsidR="00084F36" w:rsidRPr="00EB2BD8" w:rsidRDefault="00084F36">
            <w:pPr>
              <w:pStyle w:val="TableParagraph"/>
              <w:rPr>
                <w:rFonts w:ascii="Times New Roman"/>
                <w:sz w:val="16"/>
              </w:rPr>
            </w:pPr>
          </w:p>
        </w:tc>
        <w:tc>
          <w:tcPr>
            <w:tcW w:w="2492" w:type="dxa"/>
          </w:tcPr>
          <w:p w14:paraId="2CC52A77" w14:textId="77777777" w:rsidR="00084F36" w:rsidRPr="00EB2BD8" w:rsidRDefault="00EB2BD8">
            <w:pPr>
              <w:pStyle w:val="TableParagraph"/>
              <w:spacing w:before="19"/>
              <w:ind w:left="333"/>
              <w:rPr>
                <w:sz w:val="16"/>
              </w:rPr>
            </w:pPr>
            <w:r w:rsidRPr="00EB2BD8">
              <w:rPr>
                <w:sz w:val="16"/>
              </w:rPr>
              <w:t>mandatory</w:t>
            </w:r>
            <w:r w:rsidRPr="00EB2BD8">
              <w:rPr>
                <w:spacing w:val="14"/>
                <w:sz w:val="16"/>
              </w:rPr>
              <w:t xml:space="preserve"> </w:t>
            </w:r>
            <w:r w:rsidRPr="00EB2BD8">
              <w:rPr>
                <w:spacing w:val="-2"/>
                <w:sz w:val="16"/>
              </w:rPr>
              <w:t>stage</w:t>
            </w:r>
          </w:p>
        </w:tc>
        <w:tc>
          <w:tcPr>
            <w:tcW w:w="2284" w:type="dxa"/>
          </w:tcPr>
          <w:p w14:paraId="22FAE47C" w14:textId="77777777" w:rsidR="00084F36" w:rsidRPr="00EB2BD8" w:rsidRDefault="00EB2BD8">
            <w:pPr>
              <w:pStyle w:val="TableParagraph"/>
              <w:spacing w:before="19"/>
              <w:ind w:left="120"/>
              <w:rPr>
                <w:sz w:val="16"/>
              </w:rPr>
            </w:pPr>
            <w:r w:rsidRPr="00EB2BD8">
              <w:rPr>
                <w:spacing w:val="-4"/>
                <w:sz w:val="16"/>
              </w:rPr>
              <w:t>of</w:t>
            </w:r>
            <w:r w:rsidRPr="00EB2BD8">
              <w:rPr>
                <w:spacing w:val="-10"/>
                <w:sz w:val="16"/>
              </w:rPr>
              <w:t xml:space="preserve"> </w:t>
            </w:r>
            <w:r w:rsidRPr="00EB2BD8">
              <w:rPr>
                <w:spacing w:val="-2"/>
                <w:sz w:val="16"/>
              </w:rPr>
              <w:t>$5,500.</w:t>
            </w:r>
          </w:p>
        </w:tc>
        <w:tc>
          <w:tcPr>
            <w:tcW w:w="1079" w:type="dxa"/>
          </w:tcPr>
          <w:p w14:paraId="0E1C26F1" w14:textId="77777777" w:rsidR="00084F36" w:rsidRPr="00EB2BD8" w:rsidRDefault="00084F36">
            <w:pPr>
              <w:pStyle w:val="TableParagraph"/>
              <w:rPr>
                <w:rFonts w:ascii="Times New Roman"/>
                <w:sz w:val="16"/>
              </w:rPr>
            </w:pPr>
          </w:p>
        </w:tc>
        <w:tc>
          <w:tcPr>
            <w:tcW w:w="1175" w:type="dxa"/>
          </w:tcPr>
          <w:p w14:paraId="690EA060" w14:textId="77777777" w:rsidR="00084F36" w:rsidRPr="00EB2BD8" w:rsidRDefault="00084F36">
            <w:pPr>
              <w:pStyle w:val="TableParagraph"/>
              <w:rPr>
                <w:rFonts w:ascii="Times New Roman"/>
                <w:sz w:val="16"/>
              </w:rPr>
            </w:pPr>
          </w:p>
        </w:tc>
      </w:tr>
      <w:tr w:rsidR="00EB2BD8" w:rsidRPr="00EB2BD8" w14:paraId="7E60BB7F" w14:textId="77777777">
        <w:trPr>
          <w:trHeight w:val="229"/>
        </w:trPr>
        <w:tc>
          <w:tcPr>
            <w:tcW w:w="1741" w:type="dxa"/>
          </w:tcPr>
          <w:p w14:paraId="27E40667" w14:textId="77777777" w:rsidR="00084F36" w:rsidRPr="00EB2BD8" w:rsidRDefault="00084F36">
            <w:pPr>
              <w:pStyle w:val="TableParagraph"/>
              <w:rPr>
                <w:rFonts w:ascii="Times New Roman"/>
                <w:sz w:val="16"/>
              </w:rPr>
            </w:pPr>
          </w:p>
        </w:tc>
        <w:tc>
          <w:tcPr>
            <w:tcW w:w="1429" w:type="dxa"/>
          </w:tcPr>
          <w:p w14:paraId="71D67275" w14:textId="77777777" w:rsidR="00084F36" w:rsidRPr="00EB2BD8" w:rsidRDefault="00084F36">
            <w:pPr>
              <w:pStyle w:val="TableParagraph"/>
              <w:rPr>
                <w:rFonts w:ascii="Times New Roman"/>
                <w:sz w:val="16"/>
              </w:rPr>
            </w:pPr>
          </w:p>
        </w:tc>
        <w:tc>
          <w:tcPr>
            <w:tcW w:w="2492" w:type="dxa"/>
          </w:tcPr>
          <w:p w14:paraId="4AF1F8ED" w14:textId="77777777" w:rsidR="00084F36" w:rsidRPr="00EB2BD8" w:rsidRDefault="00EB2BD8">
            <w:pPr>
              <w:pStyle w:val="TableParagraph"/>
              <w:spacing w:before="19"/>
              <w:ind w:left="333"/>
              <w:rPr>
                <w:sz w:val="16"/>
              </w:rPr>
            </w:pPr>
            <w:r w:rsidRPr="00EB2BD8">
              <w:rPr>
                <w:spacing w:val="-2"/>
                <w:sz w:val="16"/>
              </w:rPr>
              <w:t>inspections</w:t>
            </w:r>
            <w:r w:rsidRPr="00EB2BD8">
              <w:rPr>
                <w:spacing w:val="-7"/>
                <w:sz w:val="16"/>
              </w:rPr>
              <w:t xml:space="preserve"> </w:t>
            </w:r>
            <w:r w:rsidRPr="00EB2BD8">
              <w:rPr>
                <w:spacing w:val="-2"/>
                <w:sz w:val="16"/>
              </w:rPr>
              <w:t>(2</w:t>
            </w:r>
            <w:r w:rsidRPr="00EB2BD8">
              <w:rPr>
                <w:spacing w:val="-6"/>
                <w:sz w:val="16"/>
              </w:rPr>
              <w:t xml:space="preserve"> </w:t>
            </w:r>
            <w:r w:rsidRPr="00EB2BD8">
              <w:rPr>
                <w:spacing w:val="-2"/>
                <w:sz w:val="16"/>
              </w:rPr>
              <w:t>stages)</w:t>
            </w:r>
            <w:r w:rsidRPr="00EB2BD8">
              <w:rPr>
                <w:spacing w:val="-7"/>
                <w:sz w:val="16"/>
              </w:rPr>
              <w:t xml:space="preserve"> </w:t>
            </w:r>
            <w:r w:rsidRPr="00EB2BD8">
              <w:rPr>
                <w:spacing w:val="-5"/>
                <w:sz w:val="16"/>
              </w:rPr>
              <w:t>in</w:t>
            </w:r>
          </w:p>
        </w:tc>
        <w:tc>
          <w:tcPr>
            <w:tcW w:w="2284" w:type="dxa"/>
          </w:tcPr>
          <w:p w14:paraId="3FE770D8" w14:textId="77777777" w:rsidR="00084F36" w:rsidRPr="00EB2BD8" w:rsidRDefault="00084F36">
            <w:pPr>
              <w:pStyle w:val="TableParagraph"/>
              <w:rPr>
                <w:rFonts w:ascii="Times New Roman"/>
                <w:sz w:val="16"/>
              </w:rPr>
            </w:pPr>
          </w:p>
        </w:tc>
        <w:tc>
          <w:tcPr>
            <w:tcW w:w="1079" w:type="dxa"/>
          </w:tcPr>
          <w:p w14:paraId="2CE0D2A8" w14:textId="77777777" w:rsidR="00084F36" w:rsidRPr="00EB2BD8" w:rsidRDefault="00084F36">
            <w:pPr>
              <w:pStyle w:val="TableParagraph"/>
              <w:rPr>
                <w:rFonts w:ascii="Times New Roman"/>
                <w:sz w:val="16"/>
              </w:rPr>
            </w:pPr>
          </w:p>
        </w:tc>
        <w:tc>
          <w:tcPr>
            <w:tcW w:w="1175" w:type="dxa"/>
          </w:tcPr>
          <w:p w14:paraId="47FE35BF" w14:textId="77777777" w:rsidR="00084F36" w:rsidRPr="00EB2BD8" w:rsidRDefault="00084F36">
            <w:pPr>
              <w:pStyle w:val="TableParagraph"/>
              <w:rPr>
                <w:rFonts w:ascii="Times New Roman"/>
                <w:sz w:val="16"/>
              </w:rPr>
            </w:pPr>
          </w:p>
        </w:tc>
      </w:tr>
      <w:tr w:rsidR="00EB2BD8" w:rsidRPr="00EB2BD8" w14:paraId="3CC818C3" w14:textId="77777777">
        <w:trPr>
          <w:trHeight w:val="229"/>
        </w:trPr>
        <w:tc>
          <w:tcPr>
            <w:tcW w:w="1741" w:type="dxa"/>
          </w:tcPr>
          <w:p w14:paraId="6005F28B" w14:textId="77777777" w:rsidR="00084F36" w:rsidRPr="00EB2BD8" w:rsidRDefault="00084F36">
            <w:pPr>
              <w:pStyle w:val="TableParagraph"/>
              <w:rPr>
                <w:rFonts w:ascii="Times New Roman"/>
                <w:sz w:val="16"/>
              </w:rPr>
            </w:pPr>
          </w:p>
        </w:tc>
        <w:tc>
          <w:tcPr>
            <w:tcW w:w="1429" w:type="dxa"/>
          </w:tcPr>
          <w:p w14:paraId="5F369EA1" w14:textId="77777777" w:rsidR="00084F36" w:rsidRPr="00EB2BD8" w:rsidRDefault="00084F36">
            <w:pPr>
              <w:pStyle w:val="TableParagraph"/>
              <w:rPr>
                <w:rFonts w:ascii="Times New Roman"/>
                <w:sz w:val="16"/>
              </w:rPr>
            </w:pPr>
          </w:p>
        </w:tc>
        <w:tc>
          <w:tcPr>
            <w:tcW w:w="2492" w:type="dxa"/>
          </w:tcPr>
          <w:p w14:paraId="4D70620D" w14:textId="77777777" w:rsidR="00084F36" w:rsidRPr="00EB2BD8" w:rsidRDefault="00EB2BD8">
            <w:pPr>
              <w:pStyle w:val="TableParagraph"/>
              <w:spacing w:before="19"/>
              <w:ind w:left="333"/>
              <w:rPr>
                <w:sz w:val="16"/>
              </w:rPr>
            </w:pPr>
            <w:r w:rsidRPr="00EB2BD8">
              <w:rPr>
                <w:spacing w:val="-2"/>
                <w:sz w:val="16"/>
              </w:rPr>
              <w:t>respect</w:t>
            </w:r>
            <w:r w:rsidRPr="00EB2BD8">
              <w:rPr>
                <w:spacing w:val="-4"/>
                <w:sz w:val="16"/>
              </w:rPr>
              <w:t xml:space="preserve"> </w:t>
            </w:r>
            <w:r w:rsidRPr="00EB2BD8">
              <w:rPr>
                <w:spacing w:val="-2"/>
                <w:sz w:val="16"/>
              </w:rPr>
              <w:t>of</w:t>
            </w:r>
            <w:r w:rsidRPr="00EB2BD8">
              <w:rPr>
                <w:spacing w:val="-4"/>
                <w:sz w:val="16"/>
              </w:rPr>
              <w:t xml:space="preserve"> </w:t>
            </w:r>
            <w:r w:rsidRPr="00EB2BD8">
              <w:rPr>
                <w:spacing w:val="-2"/>
                <w:sz w:val="16"/>
              </w:rPr>
              <w:t>demolition</w:t>
            </w:r>
            <w:r w:rsidRPr="00EB2BD8">
              <w:rPr>
                <w:spacing w:val="-4"/>
                <w:sz w:val="16"/>
              </w:rPr>
              <w:t xml:space="preserve"> work</w:t>
            </w:r>
          </w:p>
        </w:tc>
        <w:tc>
          <w:tcPr>
            <w:tcW w:w="2284" w:type="dxa"/>
          </w:tcPr>
          <w:p w14:paraId="6B6E6536" w14:textId="77777777" w:rsidR="00084F36" w:rsidRPr="00EB2BD8" w:rsidRDefault="00084F36">
            <w:pPr>
              <w:pStyle w:val="TableParagraph"/>
              <w:rPr>
                <w:rFonts w:ascii="Times New Roman"/>
                <w:sz w:val="16"/>
              </w:rPr>
            </w:pPr>
          </w:p>
        </w:tc>
        <w:tc>
          <w:tcPr>
            <w:tcW w:w="1079" w:type="dxa"/>
          </w:tcPr>
          <w:p w14:paraId="052DB651" w14:textId="77777777" w:rsidR="00084F36" w:rsidRPr="00EB2BD8" w:rsidRDefault="00084F36">
            <w:pPr>
              <w:pStyle w:val="TableParagraph"/>
              <w:rPr>
                <w:rFonts w:ascii="Times New Roman"/>
                <w:sz w:val="16"/>
              </w:rPr>
            </w:pPr>
          </w:p>
        </w:tc>
        <w:tc>
          <w:tcPr>
            <w:tcW w:w="1175" w:type="dxa"/>
          </w:tcPr>
          <w:p w14:paraId="45B7F1E8" w14:textId="77777777" w:rsidR="00084F36" w:rsidRPr="00EB2BD8" w:rsidRDefault="00084F36">
            <w:pPr>
              <w:pStyle w:val="TableParagraph"/>
              <w:rPr>
                <w:rFonts w:ascii="Times New Roman"/>
                <w:sz w:val="16"/>
              </w:rPr>
            </w:pPr>
          </w:p>
        </w:tc>
      </w:tr>
      <w:tr w:rsidR="00EB2BD8" w:rsidRPr="00EB2BD8" w14:paraId="4C29C9CA" w14:textId="77777777">
        <w:trPr>
          <w:trHeight w:val="357"/>
        </w:trPr>
        <w:tc>
          <w:tcPr>
            <w:tcW w:w="1741" w:type="dxa"/>
            <w:tcBorders>
              <w:bottom w:val="single" w:sz="2" w:space="0" w:color="000000"/>
            </w:tcBorders>
          </w:tcPr>
          <w:p w14:paraId="636AD59E" w14:textId="77777777" w:rsidR="00084F36" w:rsidRPr="00EB2BD8" w:rsidRDefault="00084F36">
            <w:pPr>
              <w:pStyle w:val="TableParagraph"/>
              <w:rPr>
                <w:rFonts w:ascii="Times New Roman"/>
                <w:sz w:val="16"/>
              </w:rPr>
            </w:pPr>
          </w:p>
        </w:tc>
        <w:tc>
          <w:tcPr>
            <w:tcW w:w="1429" w:type="dxa"/>
            <w:tcBorders>
              <w:bottom w:val="single" w:sz="2" w:space="0" w:color="000000"/>
            </w:tcBorders>
          </w:tcPr>
          <w:p w14:paraId="1491F401" w14:textId="77777777" w:rsidR="00084F36" w:rsidRPr="00EB2BD8" w:rsidRDefault="00084F36">
            <w:pPr>
              <w:pStyle w:val="TableParagraph"/>
              <w:rPr>
                <w:rFonts w:ascii="Times New Roman"/>
                <w:sz w:val="16"/>
              </w:rPr>
            </w:pPr>
          </w:p>
        </w:tc>
        <w:tc>
          <w:tcPr>
            <w:tcW w:w="2492" w:type="dxa"/>
            <w:tcBorders>
              <w:bottom w:val="single" w:sz="2" w:space="0" w:color="000000"/>
            </w:tcBorders>
          </w:tcPr>
          <w:p w14:paraId="3E4A8987" w14:textId="77777777" w:rsidR="00084F36" w:rsidRPr="00EB2BD8" w:rsidRDefault="00EB2BD8">
            <w:pPr>
              <w:pStyle w:val="TableParagraph"/>
              <w:spacing w:before="19"/>
              <w:ind w:left="333"/>
              <w:rPr>
                <w:sz w:val="16"/>
              </w:rPr>
            </w:pPr>
            <w:r w:rsidRPr="00EB2BD8">
              <w:rPr>
                <w:sz w:val="16"/>
              </w:rPr>
              <w:t xml:space="preserve">at </w:t>
            </w:r>
            <w:r w:rsidRPr="00EB2BD8">
              <w:rPr>
                <w:spacing w:val="-2"/>
                <w:sz w:val="16"/>
              </w:rPr>
              <w:t>Nerrina.</w:t>
            </w:r>
          </w:p>
        </w:tc>
        <w:tc>
          <w:tcPr>
            <w:tcW w:w="2284" w:type="dxa"/>
            <w:tcBorders>
              <w:bottom w:val="single" w:sz="2" w:space="0" w:color="000000"/>
            </w:tcBorders>
          </w:tcPr>
          <w:p w14:paraId="4C8ADE9A"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068A9CA1"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0EA7886F" w14:textId="77777777" w:rsidR="00084F36" w:rsidRPr="00EB2BD8" w:rsidRDefault="00084F36">
            <w:pPr>
              <w:pStyle w:val="TableParagraph"/>
              <w:rPr>
                <w:rFonts w:ascii="Times New Roman"/>
                <w:sz w:val="16"/>
              </w:rPr>
            </w:pPr>
          </w:p>
        </w:tc>
      </w:tr>
      <w:tr w:rsidR="00EB2BD8" w:rsidRPr="00EB2BD8" w14:paraId="2A283D7E" w14:textId="77777777">
        <w:trPr>
          <w:trHeight w:val="324"/>
        </w:trPr>
        <w:tc>
          <w:tcPr>
            <w:tcW w:w="1741" w:type="dxa"/>
            <w:tcBorders>
              <w:top w:val="single" w:sz="2" w:space="0" w:color="000000"/>
            </w:tcBorders>
          </w:tcPr>
          <w:p w14:paraId="7A2F1E73" w14:textId="77777777" w:rsidR="00084F36" w:rsidRPr="00EB2BD8" w:rsidRDefault="00EB2BD8">
            <w:pPr>
              <w:pStyle w:val="TableParagraph"/>
              <w:spacing w:before="113"/>
              <w:ind w:left="113"/>
              <w:rPr>
                <w:sz w:val="16"/>
              </w:rPr>
            </w:pPr>
            <w:r w:rsidRPr="00EB2BD8">
              <w:rPr>
                <w:spacing w:val="-6"/>
                <w:sz w:val="16"/>
              </w:rPr>
              <w:t>MITSAKIS,</w:t>
            </w:r>
            <w:r w:rsidRPr="00EB2BD8">
              <w:rPr>
                <w:spacing w:val="-2"/>
                <w:sz w:val="16"/>
              </w:rPr>
              <w:t xml:space="preserve"> Andrew</w:t>
            </w:r>
          </w:p>
        </w:tc>
        <w:tc>
          <w:tcPr>
            <w:tcW w:w="1429" w:type="dxa"/>
            <w:tcBorders>
              <w:top w:val="single" w:sz="2" w:space="0" w:color="000000"/>
            </w:tcBorders>
          </w:tcPr>
          <w:p w14:paraId="7CB01A55" w14:textId="77777777" w:rsidR="00084F36" w:rsidRPr="00EB2BD8" w:rsidRDefault="00EB2BD8">
            <w:pPr>
              <w:pStyle w:val="TableParagraph"/>
              <w:spacing w:before="113"/>
              <w:ind w:left="129"/>
              <w:rPr>
                <w:sz w:val="16"/>
              </w:rPr>
            </w:pPr>
            <w:r w:rsidRPr="00EB2BD8">
              <w:rPr>
                <w:sz w:val="16"/>
              </w:rPr>
              <w:t>BD-M</w:t>
            </w:r>
            <w:r w:rsidRPr="00EB2BD8">
              <w:rPr>
                <w:spacing w:val="13"/>
                <w:sz w:val="16"/>
              </w:rPr>
              <w:t xml:space="preserve"> </w:t>
            </w:r>
            <w:r w:rsidRPr="00EB2BD8">
              <w:rPr>
                <w:spacing w:val="-4"/>
                <w:sz w:val="16"/>
              </w:rPr>
              <w:t>1058</w:t>
            </w:r>
          </w:p>
        </w:tc>
        <w:tc>
          <w:tcPr>
            <w:tcW w:w="2492" w:type="dxa"/>
            <w:tcBorders>
              <w:top w:val="single" w:sz="2" w:space="0" w:color="000000"/>
            </w:tcBorders>
          </w:tcPr>
          <w:p w14:paraId="0AEF3920" w14:textId="77777777" w:rsidR="00084F36" w:rsidRPr="00EB2BD8" w:rsidRDefault="00EB2BD8">
            <w:pPr>
              <w:pStyle w:val="TableParagraph"/>
              <w:spacing w:before="113"/>
              <w:ind w:left="333"/>
              <w:rPr>
                <w:sz w:val="16"/>
              </w:rPr>
            </w:pPr>
            <w:r w:rsidRPr="00EB2BD8">
              <w:rPr>
                <w:spacing w:val="-2"/>
                <w:sz w:val="16"/>
              </w:rPr>
              <w:t>Failing</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call</w:t>
            </w:r>
            <w:r w:rsidRPr="00EB2BD8">
              <w:rPr>
                <w:spacing w:val="-7"/>
                <w:sz w:val="16"/>
              </w:rPr>
              <w:t xml:space="preserve"> </w:t>
            </w:r>
            <w:r w:rsidRPr="00EB2BD8">
              <w:rPr>
                <w:spacing w:val="-2"/>
                <w:sz w:val="16"/>
              </w:rPr>
              <w:t>for</w:t>
            </w:r>
            <w:r w:rsidRPr="00EB2BD8">
              <w:rPr>
                <w:spacing w:val="-8"/>
                <w:sz w:val="16"/>
              </w:rPr>
              <w:t xml:space="preserve"> </w:t>
            </w:r>
            <w:r w:rsidRPr="00EB2BD8">
              <w:rPr>
                <w:spacing w:val="-12"/>
                <w:sz w:val="16"/>
              </w:rPr>
              <w:t>a</w:t>
            </w:r>
          </w:p>
        </w:tc>
        <w:tc>
          <w:tcPr>
            <w:tcW w:w="2284" w:type="dxa"/>
            <w:tcBorders>
              <w:top w:val="single" w:sz="2" w:space="0" w:color="000000"/>
            </w:tcBorders>
          </w:tcPr>
          <w:p w14:paraId="166F390D" w14:textId="77777777" w:rsidR="00084F36" w:rsidRPr="00EB2BD8" w:rsidRDefault="00EB2BD8">
            <w:pPr>
              <w:pStyle w:val="TableParagraph"/>
              <w:spacing w:before="113"/>
              <w:ind w:left="120"/>
              <w:rPr>
                <w:sz w:val="16"/>
              </w:rPr>
            </w:pPr>
            <w:r w:rsidRPr="00EB2BD8">
              <w:rPr>
                <w:spacing w:val="-2"/>
                <w:sz w:val="16"/>
              </w:rPr>
              <w:t>Reprimands,</w:t>
            </w:r>
            <w:r w:rsidRPr="00EB2BD8">
              <w:rPr>
                <w:spacing w:val="4"/>
                <w:sz w:val="16"/>
              </w:rPr>
              <w:t xml:space="preserve"> </w:t>
            </w:r>
            <w:r w:rsidRPr="00EB2BD8">
              <w:rPr>
                <w:spacing w:val="-2"/>
                <w:sz w:val="16"/>
              </w:rPr>
              <w:t>penalty</w:t>
            </w:r>
            <w:r w:rsidRPr="00EB2BD8">
              <w:rPr>
                <w:spacing w:val="5"/>
                <w:sz w:val="16"/>
              </w:rPr>
              <w:t xml:space="preserve"> </w:t>
            </w:r>
            <w:r w:rsidRPr="00EB2BD8">
              <w:rPr>
                <w:spacing w:val="-5"/>
                <w:sz w:val="16"/>
              </w:rPr>
              <w:t>of</w:t>
            </w:r>
          </w:p>
        </w:tc>
        <w:tc>
          <w:tcPr>
            <w:tcW w:w="1079" w:type="dxa"/>
            <w:tcBorders>
              <w:top w:val="single" w:sz="2" w:space="0" w:color="000000"/>
            </w:tcBorders>
          </w:tcPr>
          <w:p w14:paraId="43EC5295" w14:textId="77777777" w:rsidR="00084F36" w:rsidRPr="00EB2BD8" w:rsidRDefault="00EB2BD8">
            <w:pPr>
              <w:pStyle w:val="TableParagraph"/>
              <w:spacing w:before="113"/>
              <w:ind w:right="111"/>
              <w:jc w:val="right"/>
              <w:rPr>
                <w:sz w:val="16"/>
              </w:rPr>
            </w:pPr>
            <w:r w:rsidRPr="00EB2BD8">
              <w:rPr>
                <w:spacing w:val="-2"/>
                <w:sz w:val="16"/>
              </w:rPr>
              <w:t>$3,500</w:t>
            </w:r>
          </w:p>
        </w:tc>
        <w:tc>
          <w:tcPr>
            <w:tcW w:w="1175" w:type="dxa"/>
            <w:tcBorders>
              <w:top w:val="single" w:sz="2" w:space="0" w:color="000000"/>
            </w:tcBorders>
          </w:tcPr>
          <w:p w14:paraId="5C28F412" w14:textId="77777777" w:rsidR="00084F36" w:rsidRPr="00EB2BD8" w:rsidRDefault="00EB2BD8">
            <w:pPr>
              <w:pStyle w:val="TableParagraph"/>
              <w:spacing w:before="113"/>
              <w:ind w:left="113"/>
              <w:rPr>
                <w:sz w:val="16"/>
              </w:rPr>
            </w:pPr>
            <w:r w:rsidRPr="00EB2BD8">
              <w:rPr>
                <w:spacing w:val="-2"/>
                <w:w w:val="90"/>
                <w:sz w:val="16"/>
              </w:rPr>
              <w:t>22/12/2022</w:t>
            </w:r>
          </w:p>
        </w:tc>
      </w:tr>
      <w:tr w:rsidR="00EB2BD8" w:rsidRPr="00EB2BD8" w14:paraId="42AD9A1C" w14:textId="77777777">
        <w:trPr>
          <w:trHeight w:val="229"/>
        </w:trPr>
        <w:tc>
          <w:tcPr>
            <w:tcW w:w="1741" w:type="dxa"/>
          </w:tcPr>
          <w:p w14:paraId="64CBD447" w14:textId="77777777" w:rsidR="00084F36" w:rsidRPr="00EB2BD8" w:rsidRDefault="00084F36">
            <w:pPr>
              <w:pStyle w:val="TableParagraph"/>
              <w:rPr>
                <w:rFonts w:ascii="Times New Roman"/>
                <w:sz w:val="16"/>
              </w:rPr>
            </w:pPr>
          </w:p>
        </w:tc>
        <w:tc>
          <w:tcPr>
            <w:tcW w:w="1429" w:type="dxa"/>
          </w:tcPr>
          <w:p w14:paraId="7A9B88E6" w14:textId="77777777" w:rsidR="00084F36" w:rsidRPr="00EB2BD8" w:rsidRDefault="00084F36">
            <w:pPr>
              <w:pStyle w:val="TableParagraph"/>
              <w:rPr>
                <w:rFonts w:ascii="Times New Roman"/>
                <w:sz w:val="16"/>
              </w:rPr>
            </w:pPr>
          </w:p>
        </w:tc>
        <w:tc>
          <w:tcPr>
            <w:tcW w:w="2492" w:type="dxa"/>
          </w:tcPr>
          <w:p w14:paraId="3BDFC8FB" w14:textId="77777777" w:rsidR="00084F36" w:rsidRPr="00EB2BD8" w:rsidRDefault="00EB2BD8">
            <w:pPr>
              <w:pStyle w:val="TableParagraph"/>
              <w:spacing w:before="19"/>
              <w:ind w:left="333"/>
              <w:rPr>
                <w:sz w:val="16"/>
              </w:rPr>
            </w:pPr>
            <w:r w:rsidRPr="00EB2BD8">
              <w:rPr>
                <w:sz w:val="16"/>
              </w:rPr>
              <w:t>mandatory</w:t>
            </w:r>
            <w:r w:rsidRPr="00EB2BD8">
              <w:rPr>
                <w:spacing w:val="14"/>
                <w:sz w:val="16"/>
              </w:rPr>
              <w:t xml:space="preserve"> </w:t>
            </w:r>
            <w:r w:rsidRPr="00EB2BD8">
              <w:rPr>
                <w:spacing w:val="-2"/>
                <w:sz w:val="16"/>
              </w:rPr>
              <w:t>stage</w:t>
            </w:r>
          </w:p>
        </w:tc>
        <w:tc>
          <w:tcPr>
            <w:tcW w:w="2284" w:type="dxa"/>
          </w:tcPr>
          <w:p w14:paraId="132E0E8B" w14:textId="77777777" w:rsidR="00084F36" w:rsidRPr="00EB2BD8" w:rsidRDefault="00EB2BD8">
            <w:pPr>
              <w:pStyle w:val="TableParagraph"/>
              <w:spacing w:before="19"/>
              <w:ind w:left="120"/>
              <w:rPr>
                <w:sz w:val="16"/>
              </w:rPr>
            </w:pPr>
            <w:r w:rsidRPr="00EB2BD8">
              <w:rPr>
                <w:spacing w:val="-2"/>
                <w:sz w:val="16"/>
              </w:rPr>
              <w:t>$3,500</w:t>
            </w:r>
            <w:r w:rsidRPr="00EB2BD8">
              <w:rPr>
                <w:spacing w:val="-11"/>
                <w:sz w:val="16"/>
              </w:rPr>
              <w:t xml:space="preserve"> </w:t>
            </w:r>
            <w:r w:rsidRPr="00EB2BD8">
              <w:rPr>
                <w:spacing w:val="-2"/>
                <w:sz w:val="16"/>
              </w:rPr>
              <w:t>and</w:t>
            </w:r>
            <w:r w:rsidRPr="00EB2BD8">
              <w:rPr>
                <w:spacing w:val="-11"/>
                <w:sz w:val="16"/>
              </w:rPr>
              <w:t xml:space="preserve"> </w:t>
            </w:r>
            <w:r w:rsidRPr="00EB2BD8">
              <w:rPr>
                <w:spacing w:val="-2"/>
                <w:sz w:val="16"/>
              </w:rPr>
              <w:t>a</w:t>
            </w:r>
            <w:r w:rsidRPr="00EB2BD8">
              <w:rPr>
                <w:spacing w:val="-10"/>
                <w:sz w:val="16"/>
              </w:rPr>
              <w:t xml:space="preserve"> </w:t>
            </w:r>
            <w:r w:rsidRPr="00EB2BD8">
              <w:rPr>
                <w:spacing w:val="-2"/>
                <w:sz w:val="16"/>
              </w:rPr>
              <w:t>requirement</w:t>
            </w:r>
          </w:p>
        </w:tc>
        <w:tc>
          <w:tcPr>
            <w:tcW w:w="1079" w:type="dxa"/>
          </w:tcPr>
          <w:p w14:paraId="68F0974D" w14:textId="77777777" w:rsidR="00084F36" w:rsidRPr="00EB2BD8" w:rsidRDefault="00084F36">
            <w:pPr>
              <w:pStyle w:val="TableParagraph"/>
              <w:rPr>
                <w:rFonts w:ascii="Times New Roman"/>
                <w:sz w:val="16"/>
              </w:rPr>
            </w:pPr>
          </w:p>
        </w:tc>
        <w:tc>
          <w:tcPr>
            <w:tcW w:w="1175" w:type="dxa"/>
          </w:tcPr>
          <w:p w14:paraId="70E956A3" w14:textId="77777777" w:rsidR="00084F36" w:rsidRPr="00EB2BD8" w:rsidRDefault="00084F36">
            <w:pPr>
              <w:pStyle w:val="TableParagraph"/>
              <w:rPr>
                <w:rFonts w:ascii="Times New Roman"/>
                <w:sz w:val="16"/>
              </w:rPr>
            </w:pPr>
          </w:p>
        </w:tc>
      </w:tr>
      <w:tr w:rsidR="00EB2BD8" w:rsidRPr="00EB2BD8" w14:paraId="0770391A" w14:textId="77777777">
        <w:trPr>
          <w:trHeight w:val="229"/>
        </w:trPr>
        <w:tc>
          <w:tcPr>
            <w:tcW w:w="1741" w:type="dxa"/>
          </w:tcPr>
          <w:p w14:paraId="18FDF76B" w14:textId="77777777" w:rsidR="00084F36" w:rsidRPr="00EB2BD8" w:rsidRDefault="00084F36">
            <w:pPr>
              <w:pStyle w:val="TableParagraph"/>
              <w:rPr>
                <w:rFonts w:ascii="Times New Roman"/>
                <w:sz w:val="16"/>
              </w:rPr>
            </w:pPr>
          </w:p>
        </w:tc>
        <w:tc>
          <w:tcPr>
            <w:tcW w:w="1429" w:type="dxa"/>
          </w:tcPr>
          <w:p w14:paraId="62099624" w14:textId="77777777" w:rsidR="00084F36" w:rsidRPr="00EB2BD8" w:rsidRDefault="00084F36">
            <w:pPr>
              <w:pStyle w:val="TableParagraph"/>
              <w:rPr>
                <w:rFonts w:ascii="Times New Roman"/>
                <w:sz w:val="16"/>
              </w:rPr>
            </w:pPr>
          </w:p>
        </w:tc>
        <w:tc>
          <w:tcPr>
            <w:tcW w:w="2492" w:type="dxa"/>
          </w:tcPr>
          <w:p w14:paraId="24D1CDDA" w14:textId="77777777" w:rsidR="00084F36" w:rsidRPr="00EB2BD8" w:rsidRDefault="00EB2BD8">
            <w:pPr>
              <w:pStyle w:val="TableParagraph"/>
              <w:spacing w:before="19"/>
              <w:ind w:left="333"/>
              <w:rPr>
                <w:sz w:val="16"/>
              </w:rPr>
            </w:pPr>
            <w:r w:rsidRPr="00EB2BD8">
              <w:rPr>
                <w:sz w:val="16"/>
              </w:rPr>
              <w:t>inspection</w:t>
            </w:r>
            <w:r w:rsidRPr="00EB2BD8">
              <w:rPr>
                <w:spacing w:val="-11"/>
                <w:sz w:val="16"/>
              </w:rPr>
              <w:t xml:space="preserve"> </w:t>
            </w:r>
            <w:r w:rsidRPr="00EB2BD8">
              <w:rPr>
                <w:sz w:val="16"/>
              </w:rPr>
              <w:t>in</w:t>
            </w:r>
            <w:r w:rsidRPr="00EB2BD8">
              <w:rPr>
                <w:spacing w:val="-11"/>
                <w:sz w:val="16"/>
              </w:rPr>
              <w:t xml:space="preserve"> </w:t>
            </w:r>
            <w:r w:rsidRPr="00EB2BD8">
              <w:rPr>
                <w:sz w:val="16"/>
              </w:rPr>
              <w:t>respect</w:t>
            </w:r>
            <w:r w:rsidRPr="00EB2BD8">
              <w:rPr>
                <w:spacing w:val="-11"/>
                <w:sz w:val="16"/>
              </w:rPr>
              <w:t xml:space="preserve"> </w:t>
            </w:r>
            <w:r w:rsidRPr="00EB2BD8">
              <w:rPr>
                <w:spacing w:val="-5"/>
                <w:sz w:val="16"/>
              </w:rPr>
              <w:t>of</w:t>
            </w:r>
          </w:p>
        </w:tc>
        <w:tc>
          <w:tcPr>
            <w:tcW w:w="2284" w:type="dxa"/>
          </w:tcPr>
          <w:p w14:paraId="1FD2F7D1" w14:textId="77777777" w:rsidR="00084F36" w:rsidRPr="00EB2BD8" w:rsidRDefault="00EB2BD8">
            <w:pPr>
              <w:pStyle w:val="TableParagraph"/>
              <w:spacing w:before="19"/>
              <w:ind w:left="120"/>
              <w:rPr>
                <w:sz w:val="16"/>
              </w:rPr>
            </w:pPr>
            <w:r w:rsidRPr="00EB2BD8">
              <w:rPr>
                <w:sz w:val="16"/>
              </w:rPr>
              <w:t>to</w:t>
            </w:r>
            <w:r w:rsidRPr="00EB2BD8">
              <w:rPr>
                <w:spacing w:val="-9"/>
                <w:sz w:val="16"/>
              </w:rPr>
              <w:t xml:space="preserve"> </w:t>
            </w:r>
            <w:r w:rsidRPr="00EB2BD8">
              <w:rPr>
                <w:sz w:val="16"/>
              </w:rPr>
              <w:t>complete</w:t>
            </w:r>
            <w:r w:rsidRPr="00EB2BD8">
              <w:rPr>
                <w:spacing w:val="-9"/>
                <w:sz w:val="16"/>
              </w:rPr>
              <w:t xml:space="preserve"> </w:t>
            </w:r>
            <w:r w:rsidRPr="00EB2BD8">
              <w:rPr>
                <w:sz w:val="16"/>
              </w:rPr>
              <w:t>a</w:t>
            </w:r>
            <w:r w:rsidRPr="00EB2BD8">
              <w:rPr>
                <w:spacing w:val="-9"/>
                <w:sz w:val="16"/>
              </w:rPr>
              <w:t xml:space="preserve"> </w:t>
            </w:r>
            <w:r w:rsidRPr="00EB2BD8">
              <w:rPr>
                <w:sz w:val="16"/>
              </w:rPr>
              <w:t>course</w:t>
            </w:r>
            <w:r w:rsidRPr="00EB2BD8">
              <w:rPr>
                <w:spacing w:val="-9"/>
                <w:sz w:val="16"/>
              </w:rPr>
              <w:t xml:space="preserve"> </w:t>
            </w:r>
            <w:r w:rsidRPr="00EB2BD8">
              <w:rPr>
                <w:spacing w:val="-5"/>
                <w:sz w:val="16"/>
              </w:rPr>
              <w:t>of</w:t>
            </w:r>
          </w:p>
        </w:tc>
        <w:tc>
          <w:tcPr>
            <w:tcW w:w="1079" w:type="dxa"/>
          </w:tcPr>
          <w:p w14:paraId="7B79DBAC" w14:textId="77777777" w:rsidR="00084F36" w:rsidRPr="00EB2BD8" w:rsidRDefault="00084F36">
            <w:pPr>
              <w:pStyle w:val="TableParagraph"/>
              <w:rPr>
                <w:rFonts w:ascii="Times New Roman"/>
                <w:sz w:val="16"/>
              </w:rPr>
            </w:pPr>
          </w:p>
        </w:tc>
        <w:tc>
          <w:tcPr>
            <w:tcW w:w="1175" w:type="dxa"/>
          </w:tcPr>
          <w:p w14:paraId="0CED5205" w14:textId="77777777" w:rsidR="00084F36" w:rsidRPr="00EB2BD8" w:rsidRDefault="00084F36">
            <w:pPr>
              <w:pStyle w:val="TableParagraph"/>
              <w:rPr>
                <w:rFonts w:ascii="Times New Roman"/>
                <w:sz w:val="16"/>
              </w:rPr>
            </w:pPr>
          </w:p>
        </w:tc>
      </w:tr>
      <w:tr w:rsidR="00EB2BD8" w:rsidRPr="00EB2BD8" w14:paraId="5CC25D62" w14:textId="77777777">
        <w:trPr>
          <w:trHeight w:val="230"/>
        </w:trPr>
        <w:tc>
          <w:tcPr>
            <w:tcW w:w="1741" w:type="dxa"/>
          </w:tcPr>
          <w:p w14:paraId="774B3F28" w14:textId="77777777" w:rsidR="00084F36" w:rsidRPr="00EB2BD8" w:rsidRDefault="00084F36">
            <w:pPr>
              <w:pStyle w:val="TableParagraph"/>
              <w:rPr>
                <w:rFonts w:ascii="Times New Roman"/>
                <w:sz w:val="16"/>
              </w:rPr>
            </w:pPr>
          </w:p>
        </w:tc>
        <w:tc>
          <w:tcPr>
            <w:tcW w:w="1429" w:type="dxa"/>
          </w:tcPr>
          <w:p w14:paraId="1CC2E1E3" w14:textId="77777777" w:rsidR="00084F36" w:rsidRPr="00EB2BD8" w:rsidRDefault="00084F36">
            <w:pPr>
              <w:pStyle w:val="TableParagraph"/>
              <w:rPr>
                <w:rFonts w:ascii="Times New Roman"/>
                <w:sz w:val="16"/>
              </w:rPr>
            </w:pPr>
          </w:p>
        </w:tc>
        <w:tc>
          <w:tcPr>
            <w:tcW w:w="2492" w:type="dxa"/>
          </w:tcPr>
          <w:p w14:paraId="7B607AC8" w14:textId="77777777" w:rsidR="00084F36" w:rsidRPr="00EB2BD8" w:rsidRDefault="00EB2BD8">
            <w:pPr>
              <w:pStyle w:val="TableParagraph"/>
              <w:spacing w:before="19"/>
              <w:ind w:left="333"/>
              <w:rPr>
                <w:sz w:val="16"/>
              </w:rPr>
            </w:pPr>
            <w:r w:rsidRPr="00EB2BD8">
              <w:rPr>
                <w:spacing w:val="-2"/>
                <w:sz w:val="16"/>
              </w:rPr>
              <w:t>demolition</w:t>
            </w:r>
            <w:r w:rsidRPr="00EB2BD8">
              <w:rPr>
                <w:spacing w:val="-8"/>
                <w:sz w:val="16"/>
              </w:rPr>
              <w:t xml:space="preserve"> </w:t>
            </w:r>
            <w:r w:rsidRPr="00EB2BD8">
              <w:rPr>
                <w:spacing w:val="-2"/>
                <w:sz w:val="16"/>
              </w:rPr>
              <w:t>work</w:t>
            </w:r>
            <w:r w:rsidRPr="00EB2BD8">
              <w:rPr>
                <w:spacing w:val="-8"/>
                <w:sz w:val="16"/>
              </w:rPr>
              <w:t xml:space="preserve"> </w:t>
            </w:r>
            <w:r w:rsidRPr="00EB2BD8">
              <w:rPr>
                <w:spacing w:val="-2"/>
                <w:sz w:val="16"/>
              </w:rPr>
              <w:t>at</w:t>
            </w:r>
            <w:r w:rsidRPr="00EB2BD8">
              <w:rPr>
                <w:spacing w:val="-8"/>
                <w:sz w:val="16"/>
              </w:rPr>
              <w:t xml:space="preserve"> </w:t>
            </w:r>
            <w:r w:rsidRPr="00EB2BD8">
              <w:rPr>
                <w:spacing w:val="-2"/>
                <w:sz w:val="16"/>
              </w:rPr>
              <w:t>Pascoe</w:t>
            </w:r>
          </w:p>
        </w:tc>
        <w:tc>
          <w:tcPr>
            <w:tcW w:w="2284" w:type="dxa"/>
          </w:tcPr>
          <w:p w14:paraId="3F534923" w14:textId="77777777" w:rsidR="00084F36" w:rsidRPr="00EB2BD8" w:rsidRDefault="00EB2BD8">
            <w:pPr>
              <w:pStyle w:val="TableParagraph"/>
              <w:spacing w:before="19"/>
              <w:ind w:left="120"/>
              <w:rPr>
                <w:sz w:val="16"/>
              </w:rPr>
            </w:pPr>
            <w:r w:rsidRPr="00EB2BD8">
              <w:rPr>
                <w:spacing w:val="-2"/>
                <w:sz w:val="16"/>
              </w:rPr>
              <w:t>training.</w:t>
            </w:r>
          </w:p>
        </w:tc>
        <w:tc>
          <w:tcPr>
            <w:tcW w:w="1079" w:type="dxa"/>
          </w:tcPr>
          <w:p w14:paraId="79298E91" w14:textId="77777777" w:rsidR="00084F36" w:rsidRPr="00EB2BD8" w:rsidRDefault="00084F36">
            <w:pPr>
              <w:pStyle w:val="TableParagraph"/>
              <w:rPr>
                <w:rFonts w:ascii="Times New Roman"/>
                <w:sz w:val="16"/>
              </w:rPr>
            </w:pPr>
          </w:p>
        </w:tc>
        <w:tc>
          <w:tcPr>
            <w:tcW w:w="1175" w:type="dxa"/>
          </w:tcPr>
          <w:p w14:paraId="4A4F3C1F" w14:textId="77777777" w:rsidR="00084F36" w:rsidRPr="00EB2BD8" w:rsidRDefault="00084F36">
            <w:pPr>
              <w:pStyle w:val="TableParagraph"/>
              <w:rPr>
                <w:rFonts w:ascii="Times New Roman"/>
                <w:sz w:val="16"/>
              </w:rPr>
            </w:pPr>
          </w:p>
        </w:tc>
      </w:tr>
      <w:tr w:rsidR="00EB2BD8" w:rsidRPr="00EB2BD8" w14:paraId="2CFE2DC7" w14:textId="77777777">
        <w:trPr>
          <w:trHeight w:val="287"/>
        </w:trPr>
        <w:tc>
          <w:tcPr>
            <w:tcW w:w="1741" w:type="dxa"/>
            <w:tcBorders>
              <w:bottom w:val="single" w:sz="2" w:space="0" w:color="000000"/>
            </w:tcBorders>
          </w:tcPr>
          <w:p w14:paraId="27855690" w14:textId="77777777" w:rsidR="00084F36" w:rsidRPr="00EB2BD8" w:rsidRDefault="00084F36">
            <w:pPr>
              <w:pStyle w:val="TableParagraph"/>
              <w:rPr>
                <w:rFonts w:ascii="Times New Roman"/>
                <w:sz w:val="16"/>
              </w:rPr>
            </w:pPr>
          </w:p>
        </w:tc>
        <w:tc>
          <w:tcPr>
            <w:tcW w:w="1429" w:type="dxa"/>
            <w:tcBorders>
              <w:bottom w:val="single" w:sz="2" w:space="0" w:color="000000"/>
            </w:tcBorders>
          </w:tcPr>
          <w:p w14:paraId="4156A39C" w14:textId="77777777" w:rsidR="00084F36" w:rsidRPr="00EB2BD8" w:rsidRDefault="00084F36">
            <w:pPr>
              <w:pStyle w:val="TableParagraph"/>
              <w:rPr>
                <w:rFonts w:ascii="Times New Roman"/>
                <w:sz w:val="16"/>
              </w:rPr>
            </w:pPr>
          </w:p>
        </w:tc>
        <w:tc>
          <w:tcPr>
            <w:tcW w:w="2492" w:type="dxa"/>
            <w:tcBorders>
              <w:bottom w:val="single" w:sz="2" w:space="0" w:color="000000"/>
            </w:tcBorders>
          </w:tcPr>
          <w:p w14:paraId="33CF7496" w14:textId="77777777" w:rsidR="00084F36" w:rsidRPr="00EB2BD8" w:rsidRDefault="00EB2BD8">
            <w:pPr>
              <w:pStyle w:val="TableParagraph"/>
              <w:spacing w:before="19"/>
              <w:ind w:left="333"/>
              <w:rPr>
                <w:sz w:val="16"/>
              </w:rPr>
            </w:pPr>
            <w:r w:rsidRPr="00EB2BD8">
              <w:rPr>
                <w:spacing w:val="-2"/>
                <w:sz w:val="16"/>
              </w:rPr>
              <w:t>Vale.</w:t>
            </w:r>
          </w:p>
        </w:tc>
        <w:tc>
          <w:tcPr>
            <w:tcW w:w="2284" w:type="dxa"/>
            <w:tcBorders>
              <w:bottom w:val="single" w:sz="2" w:space="0" w:color="000000"/>
            </w:tcBorders>
          </w:tcPr>
          <w:p w14:paraId="38B85AF6"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13865940"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241AA379" w14:textId="77777777" w:rsidR="00084F36" w:rsidRPr="00EB2BD8" w:rsidRDefault="00084F36">
            <w:pPr>
              <w:pStyle w:val="TableParagraph"/>
              <w:rPr>
                <w:rFonts w:ascii="Times New Roman"/>
                <w:sz w:val="16"/>
              </w:rPr>
            </w:pPr>
          </w:p>
        </w:tc>
      </w:tr>
      <w:tr w:rsidR="00EB2BD8" w:rsidRPr="00EB2BD8" w14:paraId="695D0A4A" w14:textId="77777777">
        <w:trPr>
          <w:trHeight w:val="323"/>
        </w:trPr>
        <w:tc>
          <w:tcPr>
            <w:tcW w:w="1741" w:type="dxa"/>
            <w:tcBorders>
              <w:top w:val="single" w:sz="2" w:space="0" w:color="000000"/>
            </w:tcBorders>
          </w:tcPr>
          <w:p w14:paraId="2E2EF673" w14:textId="77777777" w:rsidR="00084F36" w:rsidRPr="00EB2BD8" w:rsidRDefault="00EB2BD8">
            <w:pPr>
              <w:pStyle w:val="TableParagraph"/>
              <w:spacing w:before="113"/>
              <w:ind w:left="113"/>
              <w:rPr>
                <w:sz w:val="16"/>
              </w:rPr>
            </w:pPr>
            <w:r w:rsidRPr="00EB2BD8">
              <w:rPr>
                <w:spacing w:val="-5"/>
                <w:sz w:val="16"/>
              </w:rPr>
              <w:t>MOLINARO,</w:t>
            </w:r>
            <w:r w:rsidRPr="00EB2BD8">
              <w:rPr>
                <w:spacing w:val="1"/>
                <w:sz w:val="16"/>
              </w:rPr>
              <w:t xml:space="preserve"> </w:t>
            </w:r>
            <w:r w:rsidRPr="00EB2BD8">
              <w:rPr>
                <w:spacing w:val="-4"/>
                <w:sz w:val="16"/>
              </w:rPr>
              <w:t>Dino</w:t>
            </w:r>
          </w:p>
        </w:tc>
        <w:tc>
          <w:tcPr>
            <w:tcW w:w="1429" w:type="dxa"/>
            <w:tcBorders>
              <w:top w:val="single" w:sz="2" w:space="0" w:color="000000"/>
            </w:tcBorders>
          </w:tcPr>
          <w:p w14:paraId="5AB1545F" w14:textId="77777777" w:rsidR="00084F36" w:rsidRPr="00EB2BD8" w:rsidRDefault="00EB2BD8">
            <w:pPr>
              <w:pStyle w:val="TableParagraph"/>
              <w:spacing w:before="113"/>
              <w:ind w:left="129"/>
              <w:rPr>
                <w:sz w:val="16"/>
              </w:rPr>
            </w:pPr>
            <w:r w:rsidRPr="00EB2BD8">
              <w:rPr>
                <w:spacing w:val="2"/>
                <w:sz w:val="16"/>
              </w:rPr>
              <w:t>BS-U</w:t>
            </w:r>
            <w:r w:rsidRPr="00EB2BD8">
              <w:rPr>
                <w:spacing w:val="26"/>
                <w:sz w:val="16"/>
              </w:rPr>
              <w:t xml:space="preserve"> </w:t>
            </w:r>
            <w:r w:rsidRPr="00EB2BD8">
              <w:rPr>
                <w:spacing w:val="-4"/>
                <w:sz w:val="16"/>
              </w:rPr>
              <w:t>14142</w:t>
            </w:r>
          </w:p>
        </w:tc>
        <w:tc>
          <w:tcPr>
            <w:tcW w:w="2492" w:type="dxa"/>
            <w:tcBorders>
              <w:top w:val="single" w:sz="2" w:space="0" w:color="000000"/>
            </w:tcBorders>
          </w:tcPr>
          <w:p w14:paraId="5FFE9BFF" w14:textId="77777777" w:rsidR="00084F36" w:rsidRPr="00EB2BD8" w:rsidRDefault="00EB2BD8">
            <w:pPr>
              <w:pStyle w:val="TableParagraph"/>
              <w:spacing w:before="113"/>
              <w:ind w:left="333"/>
              <w:rPr>
                <w:sz w:val="16"/>
              </w:rPr>
            </w:pPr>
            <w:r w:rsidRPr="00EB2BD8">
              <w:rPr>
                <w:spacing w:val="-4"/>
                <w:sz w:val="16"/>
              </w:rPr>
              <w:t>Issuing</w:t>
            </w:r>
            <w:r w:rsidRPr="00EB2BD8">
              <w:rPr>
                <w:sz w:val="16"/>
              </w:rPr>
              <w:t xml:space="preserve"> </w:t>
            </w:r>
            <w:r w:rsidRPr="00EB2BD8">
              <w:rPr>
                <w:spacing w:val="-4"/>
                <w:sz w:val="16"/>
              </w:rPr>
              <w:t>building</w:t>
            </w:r>
            <w:r w:rsidRPr="00EB2BD8">
              <w:rPr>
                <w:sz w:val="16"/>
              </w:rPr>
              <w:t xml:space="preserve"> </w:t>
            </w:r>
            <w:r w:rsidRPr="00EB2BD8">
              <w:rPr>
                <w:spacing w:val="-4"/>
                <w:sz w:val="16"/>
              </w:rPr>
              <w:t>permits</w:t>
            </w:r>
          </w:p>
        </w:tc>
        <w:tc>
          <w:tcPr>
            <w:tcW w:w="2284" w:type="dxa"/>
            <w:tcBorders>
              <w:top w:val="single" w:sz="2" w:space="0" w:color="000000"/>
            </w:tcBorders>
          </w:tcPr>
          <w:p w14:paraId="45B37D86" w14:textId="77777777" w:rsidR="00084F36" w:rsidRPr="00EB2BD8" w:rsidRDefault="00EB2BD8">
            <w:pPr>
              <w:pStyle w:val="TableParagraph"/>
              <w:spacing w:before="112"/>
              <w:ind w:left="120"/>
              <w:rPr>
                <w:sz w:val="16"/>
              </w:rPr>
            </w:pPr>
            <w:r w:rsidRPr="00EB2BD8">
              <w:rPr>
                <w:spacing w:val="-2"/>
                <w:sz w:val="16"/>
              </w:rPr>
              <w:t>Reprimands,</w:t>
            </w:r>
            <w:r w:rsidRPr="00EB2BD8">
              <w:rPr>
                <w:spacing w:val="-4"/>
                <w:sz w:val="16"/>
              </w:rPr>
              <w:t xml:space="preserve"> </w:t>
            </w:r>
            <w:r w:rsidRPr="00EB2BD8">
              <w:rPr>
                <w:spacing w:val="-2"/>
                <w:sz w:val="16"/>
              </w:rPr>
              <w:t>directions</w:t>
            </w:r>
          </w:p>
        </w:tc>
        <w:tc>
          <w:tcPr>
            <w:tcW w:w="1079" w:type="dxa"/>
            <w:tcBorders>
              <w:top w:val="single" w:sz="2" w:space="0" w:color="000000"/>
            </w:tcBorders>
          </w:tcPr>
          <w:p w14:paraId="11E34923" w14:textId="77777777" w:rsidR="00084F36" w:rsidRPr="00EB2BD8" w:rsidRDefault="00EB2BD8">
            <w:pPr>
              <w:pStyle w:val="TableParagraph"/>
              <w:spacing w:before="111"/>
              <w:ind w:right="110"/>
              <w:jc w:val="right"/>
              <w:rPr>
                <w:sz w:val="16"/>
              </w:rPr>
            </w:pPr>
            <w:r w:rsidRPr="00EB2BD8">
              <w:rPr>
                <w:w w:val="124"/>
                <w:sz w:val="16"/>
              </w:rPr>
              <w:t>–</w:t>
            </w:r>
          </w:p>
        </w:tc>
        <w:tc>
          <w:tcPr>
            <w:tcW w:w="1175" w:type="dxa"/>
            <w:tcBorders>
              <w:top w:val="single" w:sz="2" w:space="0" w:color="000000"/>
            </w:tcBorders>
          </w:tcPr>
          <w:p w14:paraId="577973D1" w14:textId="77777777" w:rsidR="00084F36" w:rsidRPr="00EB2BD8" w:rsidRDefault="00EB2BD8">
            <w:pPr>
              <w:pStyle w:val="TableParagraph"/>
              <w:spacing w:before="111"/>
              <w:ind w:left="113"/>
              <w:rPr>
                <w:sz w:val="16"/>
              </w:rPr>
            </w:pPr>
            <w:r w:rsidRPr="00EB2BD8">
              <w:rPr>
                <w:spacing w:val="-2"/>
                <w:w w:val="90"/>
                <w:sz w:val="16"/>
              </w:rPr>
              <w:t>14/10/2022</w:t>
            </w:r>
          </w:p>
        </w:tc>
      </w:tr>
      <w:tr w:rsidR="00EB2BD8" w:rsidRPr="00EB2BD8" w14:paraId="04B4AD58" w14:textId="77777777">
        <w:trPr>
          <w:trHeight w:val="229"/>
        </w:trPr>
        <w:tc>
          <w:tcPr>
            <w:tcW w:w="1741" w:type="dxa"/>
          </w:tcPr>
          <w:p w14:paraId="3160B245" w14:textId="77777777" w:rsidR="00084F36" w:rsidRPr="00EB2BD8" w:rsidRDefault="00084F36">
            <w:pPr>
              <w:pStyle w:val="TableParagraph"/>
              <w:rPr>
                <w:rFonts w:ascii="Times New Roman"/>
                <w:sz w:val="16"/>
              </w:rPr>
            </w:pPr>
          </w:p>
        </w:tc>
        <w:tc>
          <w:tcPr>
            <w:tcW w:w="1429" w:type="dxa"/>
          </w:tcPr>
          <w:p w14:paraId="65A3BE6E" w14:textId="77777777" w:rsidR="00084F36" w:rsidRPr="00EB2BD8" w:rsidRDefault="00084F36">
            <w:pPr>
              <w:pStyle w:val="TableParagraph"/>
              <w:rPr>
                <w:rFonts w:ascii="Times New Roman"/>
                <w:sz w:val="16"/>
              </w:rPr>
            </w:pPr>
          </w:p>
        </w:tc>
        <w:tc>
          <w:tcPr>
            <w:tcW w:w="2492" w:type="dxa"/>
          </w:tcPr>
          <w:p w14:paraId="55CD7919" w14:textId="77777777" w:rsidR="00084F36" w:rsidRPr="00EB2BD8" w:rsidRDefault="00EB2BD8">
            <w:pPr>
              <w:pStyle w:val="TableParagraph"/>
              <w:spacing w:before="20"/>
              <w:ind w:left="333"/>
              <w:rPr>
                <w:sz w:val="16"/>
              </w:rPr>
            </w:pPr>
            <w:r w:rsidRPr="00EB2BD8">
              <w:rPr>
                <w:spacing w:val="-2"/>
                <w:sz w:val="16"/>
              </w:rPr>
              <w:t>without</w:t>
            </w:r>
            <w:r w:rsidRPr="00EB2BD8">
              <w:rPr>
                <w:spacing w:val="-7"/>
                <w:sz w:val="16"/>
              </w:rPr>
              <w:t xml:space="preserve"> </w:t>
            </w:r>
            <w:r w:rsidRPr="00EB2BD8">
              <w:rPr>
                <w:spacing w:val="-2"/>
                <w:sz w:val="16"/>
              </w:rPr>
              <w:t>justification</w:t>
            </w:r>
            <w:r w:rsidRPr="00EB2BD8">
              <w:rPr>
                <w:spacing w:val="-6"/>
                <w:sz w:val="16"/>
              </w:rPr>
              <w:t xml:space="preserve"> </w:t>
            </w:r>
            <w:r w:rsidRPr="00EB2BD8">
              <w:rPr>
                <w:spacing w:val="-5"/>
                <w:sz w:val="16"/>
              </w:rPr>
              <w:t>and</w:t>
            </w:r>
          </w:p>
        </w:tc>
        <w:tc>
          <w:tcPr>
            <w:tcW w:w="2284" w:type="dxa"/>
          </w:tcPr>
          <w:p w14:paraId="46AB8694" w14:textId="77777777" w:rsidR="00084F36" w:rsidRPr="00EB2BD8" w:rsidRDefault="00EB2BD8">
            <w:pPr>
              <w:pStyle w:val="TableParagraph"/>
              <w:spacing w:before="19"/>
              <w:ind w:left="120"/>
              <w:rPr>
                <w:sz w:val="16"/>
              </w:rPr>
            </w:pPr>
            <w:r w:rsidRPr="00EB2BD8">
              <w:rPr>
                <w:sz w:val="16"/>
              </w:rPr>
              <w:t>to</w:t>
            </w:r>
            <w:r w:rsidRPr="00EB2BD8">
              <w:rPr>
                <w:spacing w:val="-4"/>
                <w:sz w:val="16"/>
              </w:rPr>
              <w:t xml:space="preserve"> </w:t>
            </w:r>
            <w:r w:rsidRPr="00EB2BD8">
              <w:rPr>
                <w:sz w:val="16"/>
              </w:rPr>
              <w:t>engage</w:t>
            </w:r>
            <w:r w:rsidRPr="00EB2BD8">
              <w:rPr>
                <w:spacing w:val="-3"/>
                <w:sz w:val="16"/>
              </w:rPr>
              <w:t xml:space="preserve"> </w:t>
            </w:r>
            <w:r w:rsidRPr="00EB2BD8">
              <w:rPr>
                <w:spacing w:val="-2"/>
                <w:sz w:val="16"/>
              </w:rPr>
              <w:t>independent</w:t>
            </w:r>
          </w:p>
        </w:tc>
        <w:tc>
          <w:tcPr>
            <w:tcW w:w="1079" w:type="dxa"/>
          </w:tcPr>
          <w:p w14:paraId="3D56B515" w14:textId="77777777" w:rsidR="00084F36" w:rsidRPr="00EB2BD8" w:rsidRDefault="00084F36">
            <w:pPr>
              <w:pStyle w:val="TableParagraph"/>
              <w:rPr>
                <w:rFonts w:ascii="Times New Roman"/>
                <w:sz w:val="16"/>
              </w:rPr>
            </w:pPr>
          </w:p>
        </w:tc>
        <w:tc>
          <w:tcPr>
            <w:tcW w:w="1175" w:type="dxa"/>
          </w:tcPr>
          <w:p w14:paraId="426DADE3" w14:textId="77777777" w:rsidR="00084F36" w:rsidRPr="00EB2BD8" w:rsidRDefault="00084F36">
            <w:pPr>
              <w:pStyle w:val="TableParagraph"/>
              <w:rPr>
                <w:rFonts w:ascii="Times New Roman"/>
                <w:sz w:val="16"/>
              </w:rPr>
            </w:pPr>
          </w:p>
        </w:tc>
      </w:tr>
      <w:tr w:rsidR="00EB2BD8" w:rsidRPr="00EB2BD8" w14:paraId="2A7BC23C" w14:textId="77777777">
        <w:trPr>
          <w:trHeight w:val="229"/>
        </w:trPr>
        <w:tc>
          <w:tcPr>
            <w:tcW w:w="1741" w:type="dxa"/>
          </w:tcPr>
          <w:p w14:paraId="226AAE36" w14:textId="77777777" w:rsidR="00084F36" w:rsidRPr="00EB2BD8" w:rsidRDefault="00084F36">
            <w:pPr>
              <w:pStyle w:val="TableParagraph"/>
              <w:rPr>
                <w:rFonts w:ascii="Times New Roman"/>
                <w:sz w:val="16"/>
              </w:rPr>
            </w:pPr>
          </w:p>
        </w:tc>
        <w:tc>
          <w:tcPr>
            <w:tcW w:w="1429" w:type="dxa"/>
          </w:tcPr>
          <w:p w14:paraId="71AA0BA8" w14:textId="77777777" w:rsidR="00084F36" w:rsidRPr="00EB2BD8" w:rsidRDefault="00084F36">
            <w:pPr>
              <w:pStyle w:val="TableParagraph"/>
              <w:rPr>
                <w:rFonts w:ascii="Times New Roman"/>
                <w:sz w:val="16"/>
              </w:rPr>
            </w:pPr>
          </w:p>
        </w:tc>
        <w:tc>
          <w:tcPr>
            <w:tcW w:w="2492" w:type="dxa"/>
          </w:tcPr>
          <w:p w14:paraId="238E1528" w14:textId="77777777" w:rsidR="00084F36" w:rsidRPr="00EB2BD8" w:rsidRDefault="00EB2BD8">
            <w:pPr>
              <w:pStyle w:val="TableParagraph"/>
              <w:spacing w:before="20"/>
              <w:ind w:left="333"/>
              <w:rPr>
                <w:sz w:val="16"/>
              </w:rPr>
            </w:pPr>
            <w:r w:rsidRPr="00EB2BD8">
              <w:rPr>
                <w:spacing w:val="-2"/>
                <w:sz w:val="16"/>
              </w:rPr>
              <w:t>performing</w:t>
            </w:r>
            <w:r w:rsidRPr="00EB2BD8">
              <w:rPr>
                <w:spacing w:val="-6"/>
                <w:sz w:val="16"/>
              </w:rPr>
              <w:t xml:space="preserve"> </w:t>
            </w:r>
            <w:r w:rsidRPr="00EB2BD8">
              <w:rPr>
                <w:spacing w:val="-2"/>
                <w:sz w:val="16"/>
              </w:rPr>
              <w:t>building</w:t>
            </w:r>
          </w:p>
        </w:tc>
        <w:tc>
          <w:tcPr>
            <w:tcW w:w="2284" w:type="dxa"/>
          </w:tcPr>
          <w:p w14:paraId="1CCE7361" w14:textId="77777777" w:rsidR="00084F36" w:rsidRPr="00EB2BD8" w:rsidRDefault="00EB2BD8">
            <w:pPr>
              <w:pStyle w:val="TableParagraph"/>
              <w:spacing w:before="19"/>
              <w:ind w:left="120"/>
              <w:rPr>
                <w:sz w:val="16"/>
              </w:rPr>
            </w:pPr>
            <w:r w:rsidRPr="00EB2BD8">
              <w:rPr>
                <w:spacing w:val="-4"/>
                <w:sz w:val="16"/>
              </w:rPr>
              <w:t>auditor</w:t>
            </w:r>
            <w:r w:rsidRPr="00EB2BD8">
              <w:rPr>
                <w:spacing w:val="-8"/>
                <w:sz w:val="16"/>
              </w:rPr>
              <w:t xml:space="preserve"> </w:t>
            </w:r>
            <w:r w:rsidRPr="00EB2BD8">
              <w:rPr>
                <w:spacing w:val="-4"/>
                <w:sz w:val="16"/>
              </w:rPr>
              <w:t>to</w:t>
            </w:r>
            <w:r w:rsidRPr="00EB2BD8">
              <w:rPr>
                <w:spacing w:val="-8"/>
                <w:sz w:val="16"/>
              </w:rPr>
              <w:t xml:space="preserve"> </w:t>
            </w:r>
            <w:r w:rsidRPr="00EB2BD8">
              <w:rPr>
                <w:spacing w:val="-4"/>
                <w:sz w:val="16"/>
              </w:rPr>
              <w:t>audit</w:t>
            </w:r>
            <w:r w:rsidRPr="00EB2BD8">
              <w:rPr>
                <w:spacing w:val="-7"/>
                <w:sz w:val="16"/>
              </w:rPr>
              <w:t xml:space="preserve"> </w:t>
            </w:r>
            <w:r w:rsidRPr="00EB2BD8">
              <w:rPr>
                <w:spacing w:val="-4"/>
                <w:sz w:val="16"/>
              </w:rPr>
              <w:t>105</w:t>
            </w:r>
            <w:r w:rsidRPr="00EB2BD8">
              <w:rPr>
                <w:spacing w:val="-8"/>
                <w:sz w:val="16"/>
              </w:rPr>
              <w:t xml:space="preserve"> </w:t>
            </w:r>
            <w:r w:rsidRPr="00EB2BD8">
              <w:rPr>
                <w:spacing w:val="-5"/>
                <w:sz w:val="16"/>
              </w:rPr>
              <w:t>of</w:t>
            </w:r>
          </w:p>
        </w:tc>
        <w:tc>
          <w:tcPr>
            <w:tcW w:w="1079" w:type="dxa"/>
          </w:tcPr>
          <w:p w14:paraId="372D0D88" w14:textId="77777777" w:rsidR="00084F36" w:rsidRPr="00EB2BD8" w:rsidRDefault="00084F36">
            <w:pPr>
              <w:pStyle w:val="TableParagraph"/>
              <w:rPr>
                <w:rFonts w:ascii="Times New Roman"/>
                <w:sz w:val="16"/>
              </w:rPr>
            </w:pPr>
          </w:p>
        </w:tc>
        <w:tc>
          <w:tcPr>
            <w:tcW w:w="1175" w:type="dxa"/>
          </w:tcPr>
          <w:p w14:paraId="566CE436" w14:textId="77777777" w:rsidR="00084F36" w:rsidRPr="00EB2BD8" w:rsidRDefault="00084F36">
            <w:pPr>
              <w:pStyle w:val="TableParagraph"/>
              <w:rPr>
                <w:rFonts w:ascii="Times New Roman"/>
                <w:sz w:val="16"/>
              </w:rPr>
            </w:pPr>
          </w:p>
        </w:tc>
      </w:tr>
      <w:tr w:rsidR="00EB2BD8" w:rsidRPr="00EB2BD8" w14:paraId="63E46F4F" w14:textId="77777777">
        <w:trPr>
          <w:trHeight w:val="229"/>
        </w:trPr>
        <w:tc>
          <w:tcPr>
            <w:tcW w:w="1741" w:type="dxa"/>
          </w:tcPr>
          <w:p w14:paraId="68D750BC" w14:textId="77777777" w:rsidR="00084F36" w:rsidRPr="00EB2BD8" w:rsidRDefault="00084F36">
            <w:pPr>
              <w:pStyle w:val="TableParagraph"/>
              <w:rPr>
                <w:rFonts w:ascii="Times New Roman"/>
                <w:sz w:val="16"/>
              </w:rPr>
            </w:pPr>
          </w:p>
        </w:tc>
        <w:tc>
          <w:tcPr>
            <w:tcW w:w="1429" w:type="dxa"/>
          </w:tcPr>
          <w:p w14:paraId="27412D71" w14:textId="77777777" w:rsidR="00084F36" w:rsidRPr="00EB2BD8" w:rsidRDefault="00084F36">
            <w:pPr>
              <w:pStyle w:val="TableParagraph"/>
              <w:rPr>
                <w:rFonts w:ascii="Times New Roman"/>
                <w:sz w:val="16"/>
              </w:rPr>
            </w:pPr>
          </w:p>
        </w:tc>
        <w:tc>
          <w:tcPr>
            <w:tcW w:w="2492" w:type="dxa"/>
          </w:tcPr>
          <w:p w14:paraId="0A79062C" w14:textId="77777777" w:rsidR="00084F36" w:rsidRPr="00EB2BD8" w:rsidRDefault="00EB2BD8">
            <w:pPr>
              <w:pStyle w:val="TableParagraph"/>
              <w:spacing w:before="20"/>
              <w:ind w:left="333"/>
              <w:rPr>
                <w:sz w:val="16"/>
              </w:rPr>
            </w:pPr>
            <w:r w:rsidRPr="00EB2BD8">
              <w:rPr>
                <w:spacing w:val="-2"/>
                <w:sz w:val="16"/>
              </w:rPr>
              <w:t>work</w:t>
            </w:r>
            <w:r w:rsidRPr="00EB2BD8">
              <w:rPr>
                <w:spacing w:val="-7"/>
                <w:sz w:val="16"/>
              </w:rPr>
              <w:t xml:space="preserve"> </w:t>
            </w:r>
            <w:r w:rsidRPr="00EB2BD8">
              <w:rPr>
                <w:spacing w:val="-2"/>
                <w:sz w:val="16"/>
              </w:rPr>
              <w:t>other</w:t>
            </w:r>
            <w:r w:rsidRPr="00EB2BD8">
              <w:rPr>
                <w:spacing w:val="-7"/>
                <w:sz w:val="16"/>
              </w:rPr>
              <w:t xml:space="preserve"> </w:t>
            </w:r>
            <w:r w:rsidRPr="00EB2BD8">
              <w:rPr>
                <w:spacing w:val="-2"/>
                <w:sz w:val="16"/>
              </w:rPr>
              <w:t>than</w:t>
            </w:r>
            <w:r w:rsidRPr="00EB2BD8">
              <w:rPr>
                <w:spacing w:val="-6"/>
                <w:sz w:val="16"/>
              </w:rPr>
              <w:t xml:space="preserve"> </w:t>
            </w:r>
            <w:r w:rsidRPr="00EB2BD8">
              <w:rPr>
                <w:spacing w:val="-2"/>
                <w:sz w:val="16"/>
              </w:rPr>
              <w:t>in</w:t>
            </w:r>
            <w:r w:rsidRPr="00EB2BD8">
              <w:rPr>
                <w:spacing w:val="-7"/>
                <w:sz w:val="16"/>
              </w:rPr>
              <w:t xml:space="preserve"> </w:t>
            </w:r>
            <w:r w:rsidRPr="00EB2BD8">
              <w:rPr>
                <w:spacing w:val="-10"/>
                <w:sz w:val="16"/>
              </w:rPr>
              <w:t>a</w:t>
            </w:r>
          </w:p>
        </w:tc>
        <w:tc>
          <w:tcPr>
            <w:tcW w:w="2284" w:type="dxa"/>
          </w:tcPr>
          <w:p w14:paraId="5FEE6959" w14:textId="77777777" w:rsidR="00084F36" w:rsidRPr="00EB2BD8" w:rsidRDefault="00EB2BD8">
            <w:pPr>
              <w:pStyle w:val="TableParagraph"/>
              <w:spacing w:before="19"/>
              <w:ind w:left="120"/>
              <w:rPr>
                <w:sz w:val="16"/>
              </w:rPr>
            </w:pPr>
            <w:r w:rsidRPr="00EB2BD8">
              <w:rPr>
                <w:sz w:val="16"/>
              </w:rPr>
              <w:t>approvals</w:t>
            </w:r>
            <w:r w:rsidRPr="00EB2BD8">
              <w:rPr>
                <w:spacing w:val="-9"/>
                <w:sz w:val="16"/>
              </w:rPr>
              <w:t xml:space="preserve"> </w:t>
            </w:r>
            <w:r w:rsidRPr="00EB2BD8">
              <w:rPr>
                <w:sz w:val="16"/>
              </w:rPr>
              <w:t>over</w:t>
            </w:r>
            <w:r w:rsidRPr="00EB2BD8">
              <w:rPr>
                <w:spacing w:val="-8"/>
                <w:sz w:val="16"/>
              </w:rPr>
              <w:t xml:space="preserve"> </w:t>
            </w:r>
            <w:r w:rsidRPr="00EB2BD8">
              <w:rPr>
                <w:spacing w:val="-2"/>
                <w:sz w:val="16"/>
              </w:rPr>
              <w:t>preceding</w:t>
            </w:r>
          </w:p>
        </w:tc>
        <w:tc>
          <w:tcPr>
            <w:tcW w:w="1079" w:type="dxa"/>
          </w:tcPr>
          <w:p w14:paraId="584C7158" w14:textId="77777777" w:rsidR="00084F36" w:rsidRPr="00EB2BD8" w:rsidRDefault="00084F36">
            <w:pPr>
              <w:pStyle w:val="TableParagraph"/>
              <w:rPr>
                <w:rFonts w:ascii="Times New Roman"/>
                <w:sz w:val="16"/>
              </w:rPr>
            </w:pPr>
          </w:p>
        </w:tc>
        <w:tc>
          <w:tcPr>
            <w:tcW w:w="1175" w:type="dxa"/>
          </w:tcPr>
          <w:p w14:paraId="07A51A09" w14:textId="77777777" w:rsidR="00084F36" w:rsidRPr="00EB2BD8" w:rsidRDefault="00084F36">
            <w:pPr>
              <w:pStyle w:val="TableParagraph"/>
              <w:rPr>
                <w:rFonts w:ascii="Times New Roman"/>
                <w:sz w:val="16"/>
              </w:rPr>
            </w:pPr>
          </w:p>
        </w:tc>
      </w:tr>
      <w:tr w:rsidR="00EB2BD8" w:rsidRPr="00EB2BD8" w14:paraId="1EAE5DEB" w14:textId="77777777">
        <w:trPr>
          <w:trHeight w:val="229"/>
        </w:trPr>
        <w:tc>
          <w:tcPr>
            <w:tcW w:w="1741" w:type="dxa"/>
          </w:tcPr>
          <w:p w14:paraId="4D8F11B3" w14:textId="77777777" w:rsidR="00084F36" w:rsidRPr="00EB2BD8" w:rsidRDefault="00084F36">
            <w:pPr>
              <w:pStyle w:val="TableParagraph"/>
              <w:rPr>
                <w:rFonts w:ascii="Times New Roman"/>
                <w:sz w:val="16"/>
              </w:rPr>
            </w:pPr>
          </w:p>
        </w:tc>
        <w:tc>
          <w:tcPr>
            <w:tcW w:w="1429" w:type="dxa"/>
          </w:tcPr>
          <w:p w14:paraId="04A6DE5E" w14:textId="77777777" w:rsidR="00084F36" w:rsidRPr="00EB2BD8" w:rsidRDefault="00084F36">
            <w:pPr>
              <w:pStyle w:val="TableParagraph"/>
              <w:rPr>
                <w:rFonts w:ascii="Times New Roman"/>
                <w:sz w:val="16"/>
              </w:rPr>
            </w:pPr>
          </w:p>
        </w:tc>
        <w:tc>
          <w:tcPr>
            <w:tcW w:w="2492" w:type="dxa"/>
          </w:tcPr>
          <w:p w14:paraId="10AD6390" w14:textId="77777777" w:rsidR="00084F36" w:rsidRPr="00EB2BD8" w:rsidRDefault="00EB2BD8">
            <w:pPr>
              <w:pStyle w:val="TableParagraph"/>
              <w:spacing w:before="20"/>
              <w:ind w:left="333"/>
              <w:rPr>
                <w:sz w:val="16"/>
              </w:rPr>
            </w:pPr>
            <w:r w:rsidRPr="00EB2BD8">
              <w:rPr>
                <w:sz w:val="16"/>
              </w:rPr>
              <w:t xml:space="preserve">competent manner </w:t>
            </w:r>
            <w:r w:rsidRPr="00EB2BD8">
              <w:rPr>
                <w:spacing w:val="-5"/>
                <w:sz w:val="16"/>
              </w:rPr>
              <w:t>and</w:t>
            </w:r>
          </w:p>
        </w:tc>
        <w:tc>
          <w:tcPr>
            <w:tcW w:w="2284" w:type="dxa"/>
          </w:tcPr>
          <w:p w14:paraId="66D1539E" w14:textId="77777777" w:rsidR="00084F36" w:rsidRPr="00EB2BD8" w:rsidRDefault="00EB2BD8">
            <w:pPr>
              <w:pStyle w:val="TableParagraph"/>
              <w:spacing w:before="19"/>
              <w:ind w:left="120"/>
              <w:rPr>
                <w:sz w:val="16"/>
              </w:rPr>
            </w:pPr>
            <w:r w:rsidRPr="00EB2BD8">
              <w:rPr>
                <w:spacing w:val="-2"/>
                <w:w w:val="90"/>
                <w:sz w:val="16"/>
              </w:rPr>
              <w:t>12</w:t>
            </w:r>
            <w:r w:rsidRPr="00EB2BD8">
              <w:rPr>
                <w:spacing w:val="-4"/>
                <w:w w:val="90"/>
                <w:sz w:val="16"/>
              </w:rPr>
              <w:t xml:space="preserve"> </w:t>
            </w:r>
            <w:r w:rsidRPr="00EB2BD8">
              <w:rPr>
                <w:spacing w:val="-2"/>
                <w:w w:val="90"/>
                <w:sz w:val="16"/>
              </w:rPr>
              <w:t>months,</w:t>
            </w:r>
            <w:r w:rsidRPr="00EB2BD8">
              <w:rPr>
                <w:spacing w:val="-3"/>
                <w:w w:val="90"/>
                <w:sz w:val="16"/>
              </w:rPr>
              <w:t xml:space="preserve"> </w:t>
            </w:r>
            <w:r w:rsidRPr="00EB2BD8">
              <w:rPr>
                <w:spacing w:val="-2"/>
                <w:w w:val="90"/>
                <w:sz w:val="16"/>
              </w:rPr>
              <w:t>3</w:t>
            </w:r>
            <w:r w:rsidRPr="00EB2BD8">
              <w:rPr>
                <w:spacing w:val="-4"/>
                <w:w w:val="90"/>
                <w:sz w:val="16"/>
              </w:rPr>
              <w:t xml:space="preserve"> month</w:t>
            </w:r>
          </w:p>
        </w:tc>
        <w:tc>
          <w:tcPr>
            <w:tcW w:w="1079" w:type="dxa"/>
          </w:tcPr>
          <w:p w14:paraId="0781B91B" w14:textId="77777777" w:rsidR="00084F36" w:rsidRPr="00EB2BD8" w:rsidRDefault="00084F36">
            <w:pPr>
              <w:pStyle w:val="TableParagraph"/>
              <w:rPr>
                <w:rFonts w:ascii="Times New Roman"/>
                <w:sz w:val="16"/>
              </w:rPr>
            </w:pPr>
          </w:p>
        </w:tc>
        <w:tc>
          <w:tcPr>
            <w:tcW w:w="1175" w:type="dxa"/>
          </w:tcPr>
          <w:p w14:paraId="16A6F915" w14:textId="77777777" w:rsidR="00084F36" w:rsidRPr="00EB2BD8" w:rsidRDefault="00084F36">
            <w:pPr>
              <w:pStyle w:val="TableParagraph"/>
              <w:rPr>
                <w:rFonts w:ascii="Times New Roman"/>
                <w:sz w:val="16"/>
              </w:rPr>
            </w:pPr>
          </w:p>
        </w:tc>
      </w:tr>
      <w:tr w:rsidR="00EB2BD8" w:rsidRPr="00EB2BD8" w14:paraId="434F452D" w14:textId="77777777">
        <w:trPr>
          <w:trHeight w:val="229"/>
        </w:trPr>
        <w:tc>
          <w:tcPr>
            <w:tcW w:w="1741" w:type="dxa"/>
          </w:tcPr>
          <w:p w14:paraId="2255B832" w14:textId="77777777" w:rsidR="00084F36" w:rsidRPr="00EB2BD8" w:rsidRDefault="00084F36">
            <w:pPr>
              <w:pStyle w:val="TableParagraph"/>
              <w:rPr>
                <w:rFonts w:ascii="Times New Roman"/>
                <w:sz w:val="16"/>
              </w:rPr>
            </w:pPr>
          </w:p>
        </w:tc>
        <w:tc>
          <w:tcPr>
            <w:tcW w:w="1429" w:type="dxa"/>
          </w:tcPr>
          <w:p w14:paraId="4D881601" w14:textId="77777777" w:rsidR="00084F36" w:rsidRPr="00EB2BD8" w:rsidRDefault="00084F36">
            <w:pPr>
              <w:pStyle w:val="TableParagraph"/>
              <w:rPr>
                <w:rFonts w:ascii="Times New Roman"/>
                <w:sz w:val="16"/>
              </w:rPr>
            </w:pPr>
          </w:p>
        </w:tc>
        <w:tc>
          <w:tcPr>
            <w:tcW w:w="2492" w:type="dxa"/>
          </w:tcPr>
          <w:p w14:paraId="78C0F4E8" w14:textId="77777777" w:rsidR="00084F36" w:rsidRPr="00EB2BD8" w:rsidRDefault="00EB2BD8">
            <w:pPr>
              <w:pStyle w:val="TableParagraph"/>
              <w:spacing w:before="20"/>
              <w:ind w:left="333"/>
              <w:rPr>
                <w:sz w:val="16"/>
              </w:rPr>
            </w:pPr>
            <w:r w:rsidRPr="00EB2BD8">
              <w:rPr>
                <w:spacing w:val="-2"/>
                <w:sz w:val="16"/>
              </w:rPr>
              <w:t>to</w:t>
            </w:r>
            <w:r w:rsidRPr="00EB2BD8">
              <w:rPr>
                <w:spacing w:val="-6"/>
                <w:sz w:val="16"/>
              </w:rPr>
              <w:t xml:space="preserve"> </w:t>
            </w:r>
            <w:r w:rsidRPr="00EB2BD8">
              <w:rPr>
                <w:spacing w:val="-2"/>
                <w:sz w:val="16"/>
              </w:rPr>
              <w:t>a</w:t>
            </w:r>
            <w:r w:rsidRPr="00EB2BD8">
              <w:rPr>
                <w:spacing w:val="-5"/>
                <w:sz w:val="16"/>
              </w:rPr>
              <w:t xml:space="preserve"> </w:t>
            </w:r>
            <w:r w:rsidRPr="00EB2BD8">
              <w:rPr>
                <w:spacing w:val="-2"/>
                <w:sz w:val="16"/>
              </w:rPr>
              <w:t>professional</w:t>
            </w:r>
            <w:r w:rsidRPr="00EB2BD8">
              <w:rPr>
                <w:spacing w:val="-5"/>
                <w:sz w:val="16"/>
              </w:rPr>
              <w:t xml:space="preserve"> </w:t>
            </w:r>
            <w:r w:rsidRPr="00EB2BD8">
              <w:rPr>
                <w:spacing w:val="-2"/>
                <w:sz w:val="16"/>
              </w:rPr>
              <w:t>standard</w:t>
            </w:r>
          </w:p>
        </w:tc>
        <w:tc>
          <w:tcPr>
            <w:tcW w:w="2284" w:type="dxa"/>
          </w:tcPr>
          <w:p w14:paraId="1D80729A" w14:textId="77777777" w:rsidR="00084F36" w:rsidRPr="00EB2BD8" w:rsidRDefault="00EB2BD8">
            <w:pPr>
              <w:pStyle w:val="TableParagraph"/>
              <w:spacing w:before="19"/>
              <w:ind w:left="120"/>
              <w:rPr>
                <w:sz w:val="16"/>
              </w:rPr>
            </w:pPr>
            <w:r w:rsidRPr="00EB2BD8">
              <w:rPr>
                <w:spacing w:val="-2"/>
                <w:sz w:val="16"/>
              </w:rPr>
              <w:t>registration</w:t>
            </w:r>
            <w:r w:rsidRPr="00EB2BD8">
              <w:rPr>
                <w:spacing w:val="-1"/>
                <w:sz w:val="16"/>
              </w:rPr>
              <w:t xml:space="preserve"> </w:t>
            </w:r>
            <w:r w:rsidRPr="00EB2BD8">
              <w:rPr>
                <w:spacing w:val="-2"/>
                <w:sz w:val="16"/>
              </w:rPr>
              <w:t>condition</w:t>
            </w:r>
            <w:r w:rsidRPr="00EB2BD8">
              <w:rPr>
                <w:sz w:val="16"/>
              </w:rPr>
              <w:t xml:space="preserve"> </w:t>
            </w:r>
            <w:r w:rsidRPr="00EB2BD8">
              <w:rPr>
                <w:spacing w:val="-5"/>
                <w:sz w:val="16"/>
              </w:rPr>
              <w:t>not</w:t>
            </w:r>
          </w:p>
        </w:tc>
        <w:tc>
          <w:tcPr>
            <w:tcW w:w="1079" w:type="dxa"/>
          </w:tcPr>
          <w:p w14:paraId="63B93D68" w14:textId="77777777" w:rsidR="00084F36" w:rsidRPr="00EB2BD8" w:rsidRDefault="00084F36">
            <w:pPr>
              <w:pStyle w:val="TableParagraph"/>
              <w:rPr>
                <w:rFonts w:ascii="Times New Roman"/>
                <w:sz w:val="16"/>
              </w:rPr>
            </w:pPr>
          </w:p>
        </w:tc>
        <w:tc>
          <w:tcPr>
            <w:tcW w:w="1175" w:type="dxa"/>
          </w:tcPr>
          <w:p w14:paraId="5475B937" w14:textId="77777777" w:rsidR="00084F36" w:rsidRPr="00EB2BD8" w:rsidRDefault="00084F36">
            <w:pPr>
              <w:pStyle w:val="TableParagraph"/>
              <w:rPr>
                <w:rFonts w:ascii="Times New Roman"/>
                <w:sz w:val="16"/>
              </w:rPr>
            </w:pPr>
          </w:p>
        </w:tc>
      </w:tr>
      <w:tr w:rsidR="00EB2BD8" w:rsidRPr="00EB2BD8" w14:paraId="692DCC5D" w14:textId="77777777">
        <w:trPr>
          <w:trHeight w:val="229"/>
        </w:trPr>
        <w:tc>
          <w:tcPr>
            <w:tcW w:w="1741" w:type="dxa"/>
          </w:tcPr>
          <w:p w14:paraId="531DB327" w14:textId="77777777" w:rsidR="00084F36" w:rsidRPr="00EB2BD8" w:rsidRDefault="00084F36">
            <w:pPr>
              <w:pStyle w:val="TableParagraph"/>
              <w:rPr>
                <w:rFonts w:ascii="Times New Roman"/>
                <w:sz w:val="16"/>
              </w:rPr>
            </w:pPr>
          </w:p>
        </w:tc>
        <w:tc>
          <w:tcPr>
            <w:tcW w:w="1429" w:type="dxa"/>
          </w:tcPr>
          <w:p w14:paraId="356EB6E9" w14:textId="77777777" w:rsidR="00084F36" w:rsidRPr="00EB2BD8" w:rsidRDefault="00084F36">
            <w:pPr>
              <w:pStyle w:val="TableParagraph"/>
              <w:rPr>
                <w:rFonts w:ascii="Times New Roman"/>
                <w:sz w:val="16"/>
              </w:rPr>
            </w:pPr>
          </w:p>
        </w:tc>
        <w:tc>
          <w:tcPr>
            <w:tcW w:w="2492" w:type="dxa"/>
          </w:tcPr>
          <w:p w14:paraId="736BD704" w14:textId="77777777" w:rsidR="00084F36" w:rsidRPr="00EB2BD8" w:rsidRDefault="00EB2BD8">
            <w:pPr>
              <w:pStyle w:val="TableParagraph"/>
              <w:spacing w:before="20"/>
              <w:ind w:left="333"/>
              <w:rPr>
                <w:sz w:val="16"/>
              </w:rPr>
            </w:pPr>
            <w:r w:rsidRPr="00EB2BD8">
              <w:rPr>
                <w:sz w:val="16"/>
              </w:rPr>
              <w:t>as</w:t>
            </w:r>
            <w:r w:rsidRPr="00EB2BD8">
              <w:rPr>
                <w:spacing w:val="-5"/>
                <w:sz w:val="16"/>
              </w:rPr>
              <w:t xml:space="preserve"> </w:t>
            </w:r>
            <w:r w:rsidRPr="00EB2BD8">
              <w:rPr>
                <w:sz w:val="16"/>
              </w:rPr>
              <w:t>relevant</w:t>
            </w:r>
            <w:r w:rsidRPr="00EB2BD8">
              <w:rPr>
                <w:spacing w:val="-5"/>
                <w:sz w:val="16"/>
              </w:rPr>
              <w:t xml:space="preserve"> </w:t>
            </w:r>
            <w:r w:rsidRPr="00EB2BD8">
              <w:rPr>
                <w:spacing w:val="-2"/>
                <w:sz w:val="16"/>
              </w:rPr>
              <w:t>building</w:t>
            </w:r>
          </w:p>
        </w:tc>
        <w:tc>
          <w:tcPr>
            <w:tcW w:w="2284" w:type="dxa"/>
          </w:tcPr>
          <w:p w14:paraId="0B24B482" w14:textId="77777777" w:rsidR="00084F36" w:rsidRPr="00EB2BD8" w:rsidRDefault="00EB2BD8">
            <w:pPr>
              <w:pStyle w:val="TableParagraph"/>
              <w:spacing w:before="19"/>
              <w:ind w:left="120"/>
              <w:rPr>
                <w:sz w:val="16"/>
              </w:rPr>
            </w:pPr>
            <w:r w:rsidRPr="00EB2BD8">
              <w:rPr>
                <w:spacing w:val="-2"/>
                <w:w w:val="105"/>
                <w:sz w:val="16"/>
              </w:rPr>
              <w:t>to</w:t>
            </w:r>
            <w:r w:rsidRPr="00EB2BD8">
              <w:rPr>
                <w:spacing w:val="-11"/>
                <w:w w:val="105"/>
                <w:sz w:val="16"/>
              </w:rPr>
              <w:t xml:space="preserve"> </w:t>
            </w:r>
            <w:r w:rsidRPr="00EB2BD8">
              <w:rPr>
                <w:spacing w:val="-2"/>
                <w:w w:val="105"/>
                <w:sz w:val="16"/>
              </w:rPr>
              <w:t>accept</w:t>
            </w:r>
            <w:r w:rsidRPr="00EB2BD8">
              <w:rPr>
                <w:spacing w:val="-11"/>
                <w:w w:val="105"/>
                <w:sz w:val="16"/>
              </w:rPr>
              <w:t xml:space="preserve"> </w:t>
            </w:r>
            <w:r w:rsidRPr="00EB2BD8">
              <w:rPr>
                <w:spacing w:val="-2"/>
                <w:w w:val="105"/>
                <w:sz w:val="16"/>
              </w:rPr>
              <w:t>appointments</w:t>
            </w:r>
          </w:p>
        </w:tc>
        <w:tc>
          <w:tcPr>
            <w:tcW w:w="1079" w:type="dxa"/>
          </w:tcPr>
          <w:p w14:paraId="1A2DA30A" w14:textId="77777777" w:rsidR="00084F36" w:rsidRPr="00EB2BD8" w:rsidRDefault="00084F36">
            <w:pPr>
              <w:pStyle w:val="TableParagraph"/>
              <w:rPr>
                <w:rFonts w:ascii="Times New Roman"/>
                <w:sz w:val="16"/>
              </w:rPr>
            </w:pPr>
          </w:p>
        </w:tc>
        <w:tc>
          <w:tcPr>
            <w:tcW w:w="1175" w:type="dxa"/>
          </w:tcPr>
          <w:p w14:paraId="63D478DE" w14:textId="77777777" w:rsidR="00084F36" w:rsidRPr="00EB2BD8" w:rsidRDefault="00084F36">
            <w:pPr>
              <w:pStyle w:val="TableParagraph"/>
              <w:rPr>
                <w:rFonts w:ascii="Times New Roman"/>
                <w:sz w:val="16"/>
              </w:rPr>
            </w:pPr>
          </w:p>
        </w:tc>
      </w:tr>
      <w:tr w:rsidR="00EB2BD8" w:rsidRPr="00EB2BD8" w14:paraId="7761F634" w14:textId="77777777">
        <w:trPr>
          <w:trHeight w:val="230"/>
        </w:trPr>
        <w:tc>
          <w:tcPr>
            <w:tcW w:w="1741" w:type="dxa"/>
          </w:tcPr>
          <w:p w14:paraId="1D060552" w14:textId="77777777" w:rsidR="00084F36" w:rsidRPr="00EB2BD8" w:rsidRDefault="00084F36">
            <w:pPr>
              <w:pStyle w:val="TableParagraph"/>
              <w:rPr>
                <w:rFonts w:ascii="Times New Roman"/>
                <w:sz w:val="16"/>
              </w:rPr>
            </w:pPr>
          </w:p>
        </w:tc>
        <w:tc>
          <w:tcPr>
            <w:tcW w:w="1429" w:type="dxa"/>
          </w:tcPr>
          <w:p w14:paraId="0B06E618" w14:textId="77777777" w:rsidR="00084F36" w:rsidRPr="00EB2BD8" w:rsidRDefault="00084F36">
            <w:pPr>
              <w:pStyle w:val="TableParagraph"/>
              <w:rPr>
                <w:rFonts w:ascii="Times New Roman"/>
                <w:sz w:val="16"/>
              </w:rPr>
            </w:pPr>
          </w:p>
        </w:tc>
        <w:tc>
          <w:tcPr>
            <w:tcW w:w="2492" w:type="dxa"/>
          </w:tcPr>
          <w:p w14:paraId="22B5EF40" w14:textId="77777777" w:rsidR="00084F36" w:rsidRPr="00EB2BD8" w:rsidRDefault="00EB2BD8">
            <w:pPr>
              <w:pStyle w:val="TableParagraph"/>
              <w:spacing w:before="20"/>
              <w:ind w:left="333"/>
              <w:rPr>
                <w:sz w:val="16"/>
              </w:rPr>
            </w:pPr>
            <w:r w:rsidRPr="00EB2BD8">
              <w:rPr>
                <w:spacing w:val="-2"/>
                <w:sz w:val="16"/>
              </w:rPr>
              <w:t>surveyor</w:t>
            </w:r>
            <w:r w:rsidRPr="00EB2BD8">
              <w:rPr>
                <w:spacing w:val="-10"/>
                <w:sz w:val="16"/>
              </w:rPr>
              <w:t xml:space="preserve"> </w:t>
            </w:r>
            <w:r w:rsidRPr="00EB2BD8">
              <w:rPr>
                <w:spacing w:val="-2"/>
                <w:sz w:val="16"/>
              </w:rPr>
              <w:t>in</w:t>
            </w:r>
            <w:r w:rsidRPr="00EB2BD8">
              <w:rPr>
                <w:spacing w:val="-9"/>
                <w:sz w:val="16"/>
              </w:rPr>
              <w:t xml:space="preserve"> </w:t>
            </w:r>
            <w:r w:rsidRPr="00EB2BD8">
              <w:rPr>
                <w:spacing w:val="-2"/>
                <w:sz w:val="16"/>
              </w:rPr>
              <w:t>relation</w:t>
            </w:r>
          </w:p>
        </w:tc>
        <w:tc>
          <w:tcPr>
            <w:tcW w:w="2284" w:type="dxa"/>
          </w:tcPr>
          <w:p w14:paraId="38A83D7F" w14:textId="77777777" w:rsidR="00084F36" w:rsidRPr="00EB2BD8" w:rsidRDefault="00EB2BD8">
            <w:pPr>
              <w:pStyle w:val="TableParagraph"/>
              <w:spacing w:before="19"/>
              <w:ind w:left="120"/>
              <w:rPr>
                <w:sz w:val="16"/>
              </w:rPr>
            </w:pPr>
            <w:r w:rsidRPr="00EB2BD8">
              <w:rPr>
                <w:spacing w:val="-2"/>
                <w:sz w:val="16"/>
              </w:rPr>
              <w:t>for</w:t>
            </w:r>
            <w:r w:rsidRPr="00EB2BD8">
              <w:rPr>
                <w:spacing w:val="-10"/>
                <w:sz w:val="16"/>
              </w:rPr>
              <w:t xml:space="preserve"> </w:t>
            </w:r>
            <w:r w:rsidRPr="00EB2BD8">
              <w:rPr>
                <w:spacing w:val="-2"/>
                <w:sz w:val="16"/>
              </w:rPr>
              <w:t>Class</w:t>
            </w:r>
            <w:r w:rsidRPr="00EB2BD8">
              <w:rPr>
                <w:spacing w:val="-9"/>
                <w:sz w:val="16"/>
              </w:rPr>
              <w:t xml:space="preserve"> </w:t>
            </w:r>
            <w:r w:rsidRPr="00EB2BD8">
              <w:rPr>
                <w:spacing w:val="-2"/>
                <w:sz w:val="16"/>
              </w:rPr>
              <w:t>2–9</w:t>
            </w:r>
            <w:r w:rsidRPr="00EB2BD8">
              <w:rPr>
                <w:spacing w:val="-10"/>
                <w:sz w:val="16"/>
              </w:rPr>
              <w:t xml:space="preserve"> </w:t>
            </w:r>
            <w:r w:rsidRPr="00EB2BD8">
              <w:rPr>
                <w:spacing w:val="-2"/>
                <w:sz w:val="16"/>
              </w:rPr>
              <w:t>buildings.</w:t>
            </w:r>
          </w:p>
        </w:tc>
        <w:tc>
          <w:tcPr>
            <w:tcW w:w="1079" w:type="dxa"/>
          </w:tcPr>
          <w:p w14:paraId="294C0369" w14:textId="77777777" w:rsidR="00084F36" w:rsidRPr="00EB2BD8" w:rsidRDefault="00084F36">
            <w:pPr>
              <w:pStyle w:val="TableParagraph"/>
              <w:rPr>
                <w:rFonts w:ascii="Times New Roman"/>
                <w:sz w:val="16"/>
              </w:rPr>
            </w:pPr>
          </w:p>
        </w:tc>
        <w:tc>
          <w:tcPr>
            <w:tcW w:w="1175" w:type="dxa"/>
          </w:tcPr>
          <w:p w14:paraId="642B978D" w14:textId="77777777" w:rsidR="00084F36" w:rsidRPr="00EB2BD8" w:rsidRDefault="00084F36">
            <w:pPr>
              <w:pStyle w:val="TableParagraph"/>
              <w:rPr>
                <w:rFonts w:ascii="Times New Roman"/>
                <w:sz w:val="16"/>
              </w:rPr>
            </w:pPr>
          </w:p>
        </w:tc>
      </w:tr>
      <w:tr w:rsidR="00EB2BD8" w:rsidRPr="00EB2BD8" w14:paraId="7FB0B7A2" w14:textId="77777777">
        <w:trPr>
          <w:trHeight w:val="229"/>
        </w:trPr>
        <w:tc>
          <w:tcPr>
            <w:tcW w:w="1741" w:type="dxa"/>
          </w:tcPr>
          <w:p w14:paraId="042F1E02" w14:textId="77777777" w:rsidR="00084F36" w:rsidRPr="00EB2BD8" w:rsidRDefault="00084F36">
            <w:pPr>
              <w:pStyle w:val="TableParagraph"/>
              <w:rPr>
                <w:rFonts w:ascii="Times New Roman"/>
                <w:sz w:val="16"/>
              </w:rPr>
            </w:pPr>
          </w:p>
        </w:tc>
        <w:tc>
          <w:tcPr>
            <w:tcW w:w="1429" w:type="dxa"/>
          </w:tcPr>
          <w:p w14:paraId="1E9EE29C" w14:textId="77777777" w:rsidR="00084F36" w:rsidRPr="00EB2BD8" w:rsidRDefault="00084F36">
            <w:pPr>
              <w:pStyle w:val="TableParagraph"/>
              <w:rPr>
                <w:rFonts w:ascii="Times New Roman"/>
                <w:sz w:val="16"/>
              </w:rPr>
            </w:pPr>
          </w:p>
        </w:tc>
        <w:tc>
          <w:tcPr>
            <w:tcW w:w="2492" w:type="dxa"/>
          </w:tcPr>
          <w:p w14:paraId="506830C5" w14:textId="77777777" w:rsidR="00084F36" w:rsidRPr="00EB2BD8" w:rsidRDefault="00EB2BD8">
            <w:pPr>
              <w:pStyle w:val="TableParagraph"/>
              <w:spacing w:before="19"/>
              <w:ind w:left="333"/>
              <w:rPr>
                <w:sz w:val="16"/>
              </w:rPr>
            </w:pPr>
            <w:r w:rsidRPr="00EB2BD8">
              <w:rPr>
                <w:spacing w:val="-4"/>
                <w:sz w:val="16"/>
              </w:rPr>
              <w:t>to</w:t>
            </w:r>
            <w:r w:rsidRPr="00EB2BD8">
              <w:rPr>
                <w:spacing w:val="-9"/>
                <w:sz w:val="16"/>
              </w:rPr>
              <w:t xml:space="preserve"> </w:t>
            </w:r>
            <w:r w:rsidRPr="00EB2BD8">
              <w:rPr>
                <w:spacing w:val="-4"/>
                <w:sz w:val="16"/>
              </w:rPr>
              <w:t>fire</w:t>
            </w:r>
            <w:r w:rsidRPr="00EB2BD8">
              <w:rPr>
                <w:spacing w:val="-9"/>
                <w:sz w:val="16"/>
              </w:rPr>
              <w:t xml:space="preserve"> </w:t>
            </w:r>
            <w:r w:rsidRPr="00EB2BD8">
              <w:rPr>
                <w:spacing w:val="-4"/>
                <w:sz w:val="16"/>
              </w:rPr>
              <w:t>performance</w:t>
            </w:r>
          </w:p>
        </w:tc>
        <w:tc>
          <w:tcPr>
            <w:tcW w:w="2284" w:type="dxa"/>
          </w:tcPr>
          <w:p w14:paraId="4823D4F3" w14:textId="77777777" w:rsidR="00084F36" w:rsidRPr="00EB2BD8" w:rsidRDefault="00084F36">
            <w:pPr>
              <w:pStyle w:val="TableParagraph"/>
              <w:rPr>
                <w:rFonts w:ascii="Times New Roman"/>
                <w:sz w:val="16"/>
              </w:rPr>
            </w:pPr>
          </w:p>
        </w:tc>
        <w:tc>
          <w:tcPr>
            <w:tcW w:w="1079" w:type="dxa"/>
          </w:tcPr>
          <w:p w14:paraId="21AD50E3" w14:textId="77777777" w:rsidR="00084F36" w:rsidRPr="00EB2BD8" w:rsidRDefault="00084F36">
            <w:pPr>
              <w:pStyle w:val="TableParagraph"/>
              <w:rPr>
                <w:rFonts w:ascii="Times New Roman"/>
                <w:sz w:val="16"/>
              </w:rPr>
            </w:pPr>
          </w:p>
        </w:tc>
        <w:tc>
          <w:tcPr>
            <w:tcW w:w="1175" w:type="dxa"/>
          </w:tcPr>
          <w:p w14:paraId="1104C971" w14:textId="77777777" w:rsidR="00084F36" w:rsidRPr="00EB2BD8" w:rsidRDefault="00084F36">
            <w:pPr>
              <w:pStyle w:val="TableParagraph"/>
              <w:rPr>
                <w:rFonts w:ascii="Times New Roman"/>
                <w:sz w:val="16"/>
              </w:rPr>
            </w:pPr>
          </w:p>
        </w:tc>
      </w:tr>
      <w:tr w:rsidR="00EB2BD8" w:rsidRPr="00EB2BD8" w14:paraId="0C3111DB" w14:textId="77777777">
        <w:trPr>
          <w:trHeight w:val="288"/>
        </w:trPr>
        <w:tc>
          <w:tcPr>
            <w:tcW w:w="1741" w:type="dxa"/>
            <w:tcBorders>
              <w:bottom w:val="single" w:sz="2" w:space="0" w:color="000000"/>
            </w:tcBorders>
          </w:tcPr>
          <w:p w14:paraId="3981BBE9" w14:textId="77777777" w:rsidR="00084F36" w:rsidRPr="00EB2BD8" w:rsidRDefault="00084F36">
            <w:pPr>
              <w:pStyle w:val="TableParagraph"/>
              <w:rPr>
                <w:rFonts w:ascii="Times New Roman"/>
                <w:sz w:val="16"/>
              </w:rPr>
            </w:pPr>
          </w:p>
        </w:tc>
        <w:tc>
          <w:tcPr>
            <w:tcW w:w="1429" w:type="dxa"/>
            <w:tcBorders>
              <w:bottom w:val="single" w:sz="2" w:space="0" w:color="000000"/>
            </w:tcBorders>
          </w:tcPr>
          <w:p w14:paraId="4112AF70" w14:textId="77777777" w:rsidR="00084F36" w:rsidRPr="00EB2BD8" w:rsidRDefault="00084F36">
            <w:pPr>
              <w:pStyle w:val="TableParagraph"/>
              <w:rPr>
                <w:rFonts w:ascii="Times New Roman"/>
                <w:sz w:val="16"/>
              </w:rPr>
            </w:pPr>
          </w:p>
        </w:tc>
        <w:tc>
          <w:tcPr>
            <w:tcW w:w="2492" w:type="dxa"/>
            <w:tcBorders>
              <w:bottom w:val="single" w:sz="2" w:space="0" w:color="000000"/>
            </w:tcBorders>
          </w:tcPr>
          <w:p w14:paraId="04E134B5" w14:textId="77777777" w:rsidR="00084F36" w:rsidRPr="00EB2BD8" w:rsidRDefault="00EB2BD8">
            <w:pPr>
              <w:pStyle w:val="TableParagraph"/>
              <w:spacing w:before="19"/>
              <w:ind w:left="333"/>
              <w:rPr>
                <w:sz w:val="16"/>
              </w:rPr>
            </w:pPr>
            <w:r w:rsidRPr="00EB2BD8">
              <w:rPr>
                <w:sz w:val="16"/>
              </w:rPr>
              <w:t>requirements</w:t>
            </w:r>
            <w:r w:rsidRPr="00EB2BD8">
              <w:rPr>
                <w:spacing w:val="-13"/>
                <w:sz w:val="16"/>
              </w:rPr>
              <w:t xml:space="preserve"> </w:t>
            </w:r>
            <w:r w:rsidRPr="00EB2BD8">
              <w:rPr>
                <w:sz w:val="16"/>
              </w:rPr>
              <w:t>at</w:t>
            </w:r>
            <w:r w:rsidRPr="00EB2BD8">
              <w:rPr>
                <w:spacing w:val="-12"/>
                <w:sz w:val="16"/>
              </w:rPr>
              <w:t xml:space="preserve"> </w:t>
            </w:r>
            <w:r w:rsidRPr="00EB2BD8">
              <w:rPr>
                <w:sz w:val="16"/>
              </w:rPr>
              <w:t>five</w:t>
            </w:r>
            <w:r w:rsidRPr="00EB2BD8">
              <w:rPr>
                <w:spacing w:val="-12"/>
                <w:sz w:val="16"/>
              </w:rPr>
              <w:t xml:space="preserve"> </w:t>
            </w:r>
            <w:r w:rsidRPr="00EB2BD8">
              <w:rPr>
                <w:spacing w:val="-2"/>
                <w:sz w:val="16"/>
              </w:rPr>
              <w:t>sites.</w:t>
            </w:r>
          </w:p>
        </w:tc>
        <w:tc>
          <w:tcPr>
            <w:tcW w:w="2284" w:type="dxa"/>
            <w:tcBorders>
              <w:bottom w:val="single" w:sz="2" w:space="0" w:color="000000"/>
            </w:tcBorders>
          </w:tcPr>
          <w:p w14:paraId="4EAFAF23"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44DEB213"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2E624D02" w14:textId="77777777" w:rsidR="00084F36" w:rsidRPr="00EB2BD8" w:rsidRDefault="00084F36">
            <w:pPr>
              <w:pStyle w:val="TableParagraph"/>
              <w:rPr>
                <w:rFonts w:ascii="Times New Roman"/>
                <w:sz w:val="16"/>
              </w:rPr>
            </w:pPr>
          </w:p>
        </w:tc>
      </w:tr>
    </w:tbl>
    <w:p w14:paraId="5186C703" w14:textId="77777777" w:rsidR="00084F36" w:rsidRPr="00EB2BD8" w:rsidRDefault="00084F36">
      <w:pPr>
        <w:rPr>
          <w:rFonts w:ascii="Times New Roman"/>
          <w:sz w:val="16"/>
        </w:rPr>
        <w:sectPr w:rsidR="00084F36" w:rsidRPr="00EB2BD8" w:rsidSect="006D75B2">
          <w:headerReference w:type="even" r:id="rId411"/>
          <w:headerReference w:type="default" r:id="rId412"/>
          <w:footerReference w:type="even" r:id="rId413"/>
          <w:footerReference w:type="default" r:id="rId414"/>
          <w:pgSz w:w="11910" w:h="16840"/>
          <w:pgMar w:top="1100" w:right="0" w:bottom="700" w:left="0" w:header="0" w:footer="515" w:gutter="0"/>
          <w:pgNumType w:start="162"/>
          <w:cols w:space="720"/>
        </w:sectPr>
      </w:pPr>
    </w:p>
    <w:p w14:paraId="3A8DB0BB" w14:textId="77777777" w:rsidR="00084F36" w:rsidRPr="00EB2BD8" w:rsidRDefault="00084F36">
      <w:pPr>
        <w:pStyle w:val="BodyText"/>
        <w:rPr>
          <w:i/>
          <w:sz w:val="20"/>
        </w:rPr>
      </w:pPr>
    </w:p>
    <w:p w14:paraId="68C1CC53" w14:textId="77777777" w:rsidR="00084F36" w:rsidRPr="00EB2BD8" w:rsidRDefault="00084F36">
      <w:pPr>
        <w:pStyle w:val="BodyText"/>
        <w:rPr>
          <w:i/>
          <w:sz w:val="20"/>
        </w:rPr>
      </w:pPr>
    </w:p>
    <w:p w14:paraId="6DC8768C" w14:textId="77777777" w:rsidR="00084F36" w:rsidRPr="00EB2BD8" w:rsidRDefault="00084F36">
      <w:pPr>
        <w:pStyle w:val="BodyText"/>
        <w:rPr>
          <w:i/>
          <w:sz w:val="20"/>
        </w:rPr>
      </w:pPr>
    </w:p>
    <w:p w14:paraId="3E78D65D" w14:textId="77777777" w:rsidR="00084F36" w:rsidRPr="00EB2BD8" w:rsidRDefault="00084F36">
      <w:pPr>
        <w:pStyle w:val="BodyText"/>
        <w:rPr>
          <w:i/>
          <w:sz w:val="20"/>
        </w:rPr>
      </w:pPr>
    </w:p>
    <w:p w14:paraId="3CC49137" w14:textId="77777777" w:rsidR="00084F36" w:rsidRPr="00EB2BD8" w:rsidRDefault="00084F36">
      <w:pPr>
        <w:pStyle w:val="BodyText"/>
        <w:spacing w:before="9" w:after="1"/>
        <w:rPr>
          <w:i/>
          <w:sz w:val="24"/>
        </w:rPr>
      </w:pPr>
    </w:p>
    <w:tbl>
      <w:tblPr>
        <w:tblW w:w="0" w:type="auto"/>
        <w:tblInd w:w="858" w:type="dxa"/>
        <w:tblLayout w:type="fixed"/>
        <w:tblCellMar>
          <w:left w:w="0" w:type="dxa"/>
          <w:right w:w="0" w:type="dxa"/>
        </w:tblCellMar>
        <w:tblLook w:val="01E0" w:firstRow="1" w:lastRow="1" w:firstColumn="1" w:lastColumn="1" w:noHBand="0" w:noVBand="0"/>
      </w:tblPr>
      <w:tblGrid>
        <w:gridCol w:w="1705"/>
        <w:gridCol w:w="1464"/>
        <w:gridCol w:w="2492"/>
        <w:gridCol w:w="2286"/>
        <w:gridCol w:w="1079"/>
        <w:gridCol w:w="1176"/>
      </w:tblGrid>
      <w:tr w:rsidR="00EB2BD8" w:rsidRPr="00EB2BD8" w14:paraId="62068DBA" w14:textId="77777777">
        <w:trPr>
          <w:trHeight w:val="614"/>
        </w:trPr>
        <w:tc>
          <w:tcPr>
            <w:tcW w:w="1705" w:type="dxa"/>
            <w:tcBorders>
              <w:bottom w:val="single" w:sz="2" w:space="0" w:color="000000"/>
            </w:tcBorders>
            <w:shd w:val="clear" w:color="auto" w:fill="005F83"/>
          </w:tcPr>
          <w:p w14:paraId="5C03C63E" w14:textId="77777777" w:rsidR="00084F36" w:rsidRPr="00697E0C" w:rsidRDefault="00EB2BD8">
            <w:pPr>
              <w:pStyle w:val="TableParagraph"/>
              <w:spacing w:before="118"/>
              <w:ind w:left="113"/>
              <w:rPr>
                <w:color w:val="FFFFFF" w:themeColor="background1"/>
                <w:sz w:val="16"/>
              </w:rPr>
            </w:pPr>
            <w:r w:rsidRPr="00697E0C">
              <w:rPr>
                <w:color w:val="FFFFFF" w:themeColor="background1"/>
                <w:w w:val="105"/>
                <w:sz w:val="16"/>
              </w:rPr>
              <w:t>Practitioner</w:t>
            </w:r>
            <w:r w:rsidRPr="00697E0C">
              <w:rPr>
                <w:color w:val="FFFFFF" w:themeColor="background1"/>
                <w:spacing w:val="-14"/>
                <w:w w:val="105"/>
                <w:sz w:val="16"/>
              </w:rPr>
              <w:t xml:space="preserve"> </w:t>
            </w:r>
            <w:r w:rsidRPr="00697E0C">
              <w:rPr>
                <w:color w:val="FFFFFF" w:themeColor="background1"/>
                <w:spacing w:val="-4"/>
                <w:w w:val="105"/>
                <w:sz w:val="16"/>
              </w:rPr>
              <w:t>name</w:t>
            </w:r>
          </w:p>
        </w:tc>
        <w:tc>
          <w:tcPr>
            <w:tcW w:w="1464" w:type="dxa"/>
            <w:tcBorders>
              <w:bottom w:val="single" w:sz="2" w:space="0" w:color="000000"/>
            </w:tcBorders>
            <w:shd w:val="clear" w:color="auto" w:fill="005F83"/>
          </w:tcPr>
          <w:p w14:paraId="17D91B82" w14:textId="77777777" w:rsidR="00084F36" w:rsidRPr="00697E0C" w:rsidRDefault="00EB2BD8">
            <w:pPr>
              <w:pStyle w:val="TableParagraph"/>
              <w:spacing w:before="118" w:line="292" w:lineRule="auto"/>
              <w:ind w:left="165"/>
              <w:rPr>
                <w:color w:val="FFFFFF" w:themeColor="background1"/>
                <w:sz w:val="16"/>
              </w:rPr>
            </w:pPr>
            <w:r w:rsidRPr="00697E0C">
              <w:rPr>
                <w:color w:val="FFFFFF" w:themeColor="background1"/>
                <w:spacing w:val="-2"/>
                <w:sz w:val="16"/>
              </w:rPr>
              <w:t xml:space="preserve">Registration </w:t>
            </w:r>
            <w:r w:rsidRPr="00697E0C">
              <w:rPr>
                <w:color w:val="FFFFFF" w:themeColor="background1"/>
                <w:spacing w:val="-2"/>
                <w:w w:val="105"/>
                <w:sz w:val="16"/>
              </w:rPr>
              <w:t>Number</w:t>
            </w:r>
          </w:p>
        </w:tc>
        <w:tc>
          <w:tcPr>
            <w:tcW w:w="2492" w:type="dxa"/>
            <w:tcBorders>
              <w:bottom w:val="single" w:sz="2" w:space="0" w:color="000000"/>
            </w:tcBorders>
            <w:shd w:val="clear" w:color="auto" w:fill="005F83"/>
          </w:tcPr>
          <w:p w14:paraId="7F00FBAD" w14:textId="77777777" w:rsidR="00084F36" w:rsidRPr="00697E0C" w:rsidRDefault="00EB2BD8">
            <w:pPr>
              <w:pStyle w:val="TableParagraph"/>
              <w:spacing w:before="118"/>
              <w:ind w:left="334"/>
              <w:rPr>
                <w:color w:val="FFFFFF" w:themeColor="background1"/>
                <w:sz w:val="16"/>
              </w:rPr>
            </w:pPr>
            <w:r w:rsidRPr="00697E0C">
              <w:rPr>
                <w:color w:val="FFFFFF" w:themeColor="background1"/>
                <w:spacing w:val="-2"/>
                <w:w w:val="105"/>
                <w:sz w:val="16"/>
              </w:rPr>
              <w:t>Conduct</w:t>
            </w:r>
          </w:p>
        </w:tc>
        <w:tc>
          <w:tcPr>
            <w:tcW w:w="2286" w:type="dxa"/>
            <w:tcBorders>
              <w:bottom w:val="single" w:sz="2" w:space="0" w:color="000000"/>
            </w:tcBorders>
            <w:shd w:val="clear" w:color="auto" w:fill="005F83"/>
          </w:tcPr>
          <w:p w14:paraId="63C4178D" w14:textId="77777777" w:rsidR="00084F36" w:rsidRPr="00697E0C" w:rsidRDefault="00EB2BD8">
            <w:pPr>
              <w:pStyle w:val="TableParagraph"/>
              <w:spacing w:before="118"/>
              <w:ind w:left="121"/>
              <w:rPr>
                <w:color w:val="FFFFFF" w:themeColor="background1"/>
                <w:sz w:val="16"/>
              </w:rPr>
            </w:pPr>
            <w:r w:rsidRPr="00697E0C">
              <w:rPr>
                <w:color w:val="FFFFFF" w:themeColor="background1"/>
                <w:spacing w:val="-2"/>
                <w:sz w:val="16"/>
              </w:rPr>
              <w:t>Result</w:t>
            </w:r>
          </w:p>
        </w:tc>
        <w:tc>
          <w:tcPr>
            <w:tcW w:w="1079" w:type="dxa"/>
            <w:tcBorders>
              <w:bottom w:val="single" w:sz="2" w:space="0" w:color="000000"/>
            </w:tcBorders>
            <w:shd w:val="clear" w:color="auto" w:fill="005F83"/>
          </w:tcPr>
          <w:p w14:paraId="74C8783A" w14:textId="77777777" w:rsidR="00084F36" w:rsidRPr="00697E0C" w:rsidRDefault="00EB2BD8">
            <w:pPr>
              <w:pStyle w:val="TableParagraph"/>
              <w:spacing w:before="118" w:line="292" w:lineRule="auto"/>
              <w:ind w:left="114" w:right="92"/>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35</w:t>
            </w:r>
          </w:p>
        </w:tc>
        <w:tc>
          <w:tcPr>
            <w:tcW w:w="1176" w:type="dxa"/>
            <w:tcBorders>
              <w:bottom w:val="single" w:sz="2" w:space="0" w:color="000000"/>
            </w:tcBorders>
            <w:shd w:val="clear" w:color="auto" w:fill="005F83"/>
          </w:tcPr>
          <w:p w14:paraId="49B93A83" w14:textId="77777777" w:rsidR="00084F36" w:rsidRPr="00697E0C" w:rsidRDefault="00EB2BD8">
            <w:pPr>
              <w:pStyle w:val="TableParagraph"/>
              <w:spacing w:before="118"/>
              <w:ind w:left="112"/>
              <w:rPr>
                <w:color w:val="FFFFFF" w:themeColor="background1"/>
                <w:sz w:val="9"/>
              </w:rPr>
            </w:pPr>
            <w:r w:rsidRPr="00697E0C">
              <w:rPr>
                <w:color w:val="FFFFFF" w:themeColor="background1"/>
                <w:spacing w:val="-2"/>
                <w:w w:val="105"/>
                <w:sz w:val="16"/>
              </w:rPr>
              <w:t>Date</w:t>
            </w:r>
            <w:r w:rsidRPr="00697E0C">
              <w:rPr>
                <w:color w:val="FFFFFF" w:themeColor="background1"/>
                <w:spacing w:val="-2"/>
                <w:w w:val="105"/>
                <w:position w:val="5"/>
                <w:sz w:val="9"/>
              </w:rPr>
              <w:t>36</w:t>
            </w:r>
          </w:p>
        </w:tc>
      </w:tr>
      <w:tr w:rsidR="00EB2BD8" w:rsidRPr="00EB2BD8" w14:paraId="6B5D6D1F" w14:textId="77777777">
        <w:trPr>
          <w:trHeight w:val="326"/>
        </w:trPr>
        <w:tc>
          <w:tcPr>
            <w:tcW w:w="1705" w:type="dxa"/>
            <w:tcBorders>
              <w:top w:val="single" w:sz="2" w:space="0" w:color="000000"/>
            </w:tcBorders>
          </w:tcPr>
          <w:p w14:paraId="3078061E" w14:textId="77777777" w:rsidR="00084F36" w:rsidRPr="00EB2BD8" w:rsidRDefault="00EB2BD8">
            <w:pPr>
              <w:pStyle w:val="TableParagraph"/>
              <w:spacing w:before="116"/>
              <w:ind w:left="113"/>
              <w:rPr>
                <w:sz w:val="16"/>
              </w:rPr>
            </w:pPr>
            <w:r w:rsidRPr="00EB2BD8">
              <w:rPr>
                <w:spacing w:val="-2"/>
                <w:sz w:val="16"/>
              </w:rPr>
              <w:t>NAQEBULLAH,</w:t>
            </w:r>
          </w:p>
        </w:tc>
        <w:tc>
          <w:tcPr>
            <w:tcW w:w="1464" w:type="dxa"/>
            <w:tcBorders>
              <w:top w:val="single" w:sz="2" w:space="0" w:color="000000"/>
            </w:tcBorders>
          </w:tcPr>
          <w:p w14:paraId="078F75CF" w14:textId="77777777" w:rsidR="00084F36" w:rsidRPr="00EB2BD8" w:rsidRDefault="00EB2BD8">
            <w:pPr>
              <w:pStyle w:val="TableParagraph"/>
              <w:spacing w:before="116"/>
              <w:ind w:left="165"/>
              <w:rPr>
                <w:sz w:val="16"/>
              </w:rPr>
            </w:pPr>
            <w:r w:rsidRPr="00EB2BD8">
              <w:rPr>
                <w:w w:val="105"/>
                <w:sz w:val="16"/>
              </w:rPr>
              <w:t>CB-L</w:t>
            </w:r>
            <w:r w:rsidRPr="00EB2BD8">
              <w:rPr>
                <w:spacing w:val="13"/>
                <w:w w:val="105"/>
                <w:sz w:val="16"/>
              </w:rPr>
              <w:t xml:space="preserve"> </w:t>
            </w:r>
            <w:r w:rsidRPr="00EB2BD8">
              <w:rPr>
                <w:spacing w:val="-2"/>
                <w:w w:val="105"/>
                <w:sz w:val="16"/>
              </w:rPr>
              <w:t>30394;</w:t>
            </w:r>
          </w:p>
        </w:tc>
        <w:tc>
          <w:tcPr>
            <w:tcW w:w="2492" w:type="dxa"/>
            <w:tcBorders>
              <w:top w:val="single" w:sz="2" w:space="0" w:color="000000"/>
            </w:tcBorders>
          </w:tcPr>
          <w:p w14:paraId="25A72F90" w14:textId="77777777" w:rsidR="00084F36" w:rsidRPr="00EB2BD8" w:rsidRDefault="00EB2BD8">
            <w:pPr>
              <w:pStyle w:val="TableParagraph"/>
              <w:spacing w:before="116"/>
              <w:ind w:left="334"/>
              <w:rPr>
                <w:sz w:val="16"/>
              </w:rPr>
            </w:pPr>
            <w:r w:rsidRPr="00EB2BD8">
              <w:rPr>
                <w:sz w:val="16"/>
              </w:rPr>
              <w:t>Building</w:t>
            </w:r>
            <w:r w:rsidRPr="00EB2BD8">
              <w:rPr>
                <w:spacing w:val="-7"/>
                <w:sz w:val="16"/>
              </w:rPr>
              <w:t xml:space="preserve"> </w:t>
            </w:r>
            <w:r w:rsidRPr="00EB2BD8">
              <w:rPr>
                <w:sz w:val="16"/>
              </w:rPr>
              <w:t>contrary</w:t>
            </w:r>
            <w:r w:rsidRPr="00EB2BD8">
              <w:rPr>
                <w:spacing w:val="-7"/>
                <w:sz w:val="16"/>
              </w:rPr>
              <w:t xml:space="preserve"> </w:t>
            </w:r>
            <w:r w:rsidRPr="00EB2BD8">
              <w:rPr>
                <w:spacing w:val="-5"/>
                <w:sz w:val="16"/>
              </w:rPr>
              <w:t>to</w:t>
            </w:r>
          </w:p>
        </w:tc>
        <w:tc>
          <w:tcPr>
            <w:tcW w:w="2286" w:type="dxa"/>
            <w:tcBorders>
              <w:top w:val="single" w:sz="2" w:space="0" w:color="000000"/>
            </w:tcBorders>
          </w:tcPr>
          <w:p w14:paraId="19D864FB" w14:textId="77777777" w:rsidR="00084F36" w:rsidRPr="00EB2BD8" w:rsidRDefault="00EB2BD8">
            <w:pPr>
              <w:pStyle w:val="TableParagraph"/>
              <w:spacing w:before="115"/>
              <w:ind w:left="121"/>
              <w:rPr>
                <w:sz w:val="16"/>
              </w:rPr>
            </w:pPr>
            <w:r w:rsidRPr="00EB2BD8">
              <w:rPr>
                <w:spacing w:val="-2"/>
                <w:sz w:val="16"/>
              </w:rPr>
              <w:t>Reprimands,</w:t>
            </w:r>
            <w:r w:rsidRPr="00EB2BD8">
              <w:rPr>
                <w:spacing w:val="-4"/>
                <w:sz w:val="16"/>
              </w:rPr>
              <w:t xml:space="preserve"> </w:t>
            </w:r>
            <w:r w:rsidRPr="00EB2BD8">
              <w:rPr>
                <w:spacing w:val="-2"/>
                <w:sz w:val="16"/>
              </w:rPr>
              <w:t>aggregate</w:t>
            </w:r>
          </w:p>
        </w:tc>
        <w:tc>
          <w:tcPr>
            <w:tcW w:w="1079" w:type="dxa"/>
            <w:tcBorders>
              <w:top w:val="single" w:sz="2" w:space="0" w:color="000000"/>
            </w:tcBorders>
          </w:tcPr>
          <w:p w14:paraId="1DA6B778" w14:textId="77777777" w:rsidR="00084F36" w:rsidRPr="00EB2BD8" w:rsidRDefault="00EB2BD8">
            <w:pPr>
              <w:pStyle w:val="TableParagraph"/>
              <w:spacing w:before="114"/>
              <w:ind w:right="112"/>
              <w:jc w:val="right"/>
              <w:rPr>
                <w:sz w:val="16"/>
              </w:rPr>
            </w:pPr>
            <w:r w:rsidRPr="00EB2BD8">
              <w:rPr>
                <w:spacing w:val="-2"/>
                <w:sz w:val="16"/>
              </w:rPr>
              <w:t>$25,000</w:t>
            </w:r>
          </w:p>
        </w:tc>
        <w:tc>
          <w:tcPr>
            <w:tcW w:w="1176" w:type="dxa"/>
            <w:tcBorders>
              <w:top w:val="single" w:sz="2" w:space="0" w:color="000000"/>
            </w:tcBorders>
          </w:tcPr>
          <w:p w14:paraId="1FD9389C" w14:textId="77777777" w:rsidR="00084F36" w:rsidRPr="00EB2BD8" w:rsidRDefault="00EB2BD8">
            <w:pPr>
              <w:pStyle w:val="TableParagraph"/>
              <w:spacing w:before="114"/>
              <w:ind w:left="112"/>
              <w:rPr>
                <w:sz w:val="16"/>
              </w:rPr>
            </w:pPr>
            <w:r w:rsidRPr="00EB2BD8">
              <w:rPr>
                <w:spacing w:val="-2"/>
                <w:sz w:val="16"/>
              </w:rPr>
              <w:t>05/08/2022</w:t>
            </w:r>
          </w:p>
        </w:tc>
      </w:tr>
      <w:tr w:rsidR="00EB2BD8" w:rsidRPr="00EB2BD8" w14:paraId="483F2118" w14:textId="77777777">
        <w:trPr>
          <w:trHeight w:val="229"/>
        </w:trPr>
        <w:tc>
          <w:tcPr>
            <w:tcW w:w="1705" w:type="dxa"/>
          </w:tcPr>
          <w:p w14:paraId="7A301DCB" w14:textId="77777777" w:rsidR="00084F36" w:rsidRPr="00EB2BD8" w:rsidRDefault="00EB2BD8">
            <w:pPr>
              <w:pStyle w:val="TableParagraph"/>
              <w:spacing w:before="20"/>
              <w:ind w:left="113"/>
              <w:rPr>
                <w:sz w:val="16"/>
              </w:rPr>
            </w:pPr>
            <w:r w:rsidRPr="00EB2BD8">
              <w:rPr>
                <w:spacing w:val="-2"/>
                <w:w w:val="105"/>
                <w:sz w:val="16"/>
              </w:rPr>
              <w:t>Obaid</w:t>
            </w:r>
          </w:p>
        </w:tc>
        <w:tc>
          <w:tcPr>
            <w:tcW w:w="1464" w:type="dxa"/>
          </w:tcPr>
          <w:p w14:paraId="22F3E55E" w14:textId="77777777" w:rsidR="00084F36" w:rsidRPr="00EB2BD8" w:rsidRDefault="00EB2BD8">
            <w:pPr>
              <w:pStyle w:val="TableParagraph"/>
              <w:spacing w:before="20"/>
              <w:ind w:left="165"/>
              <w:rPr>
                <w:sz w:val="16"/>
              </w:rPr>
            </w:pPr>
            <w:r w:rsidRPr="00EB2BD8">
              <w:rPr>
                <w:w w:val="105"/>
                <w:sz w:val="16"/>
              </w:rPr>
              <w:t>CB-U</w:t>
            </w:r>
            <w:r w:rsidRPr="00EB2BD8">
              <w:rPr>
                <w:spacing w:val="11"/>
                <w:w w:val="105"/>
                <w:sz w:val="16"/>
              </w:rPr>
              <w:t xml:space="preserve"> </w:t>
            </w:r>
            <w:r w:rsidRPr="00EB2BD8">
              <w:rPr>
                <w:spacing w:val="-2"/>
                <w:w w:val="105"/>
                <w:sz w:val="16"/>
              </w:rPr>
              <w:t>57999;</w:t>
            </w:r>
          </w:p>
        </w:tc>
        <w:tc>
          <w:tcPr>
            <w:tcW w:w="2492" w:type="dxa"/>
          </w:tcPr>
          <w:p w14:paraId="01B2FAEE" w14:textId="77777777" w:rsidR="00084F36" w:rsidRPr="00EB2BD8" w:rsidRDefault="00EB2BD8">
            <w:pPr>
              <w:pStyle w:val="TableParagraph"/>
              <w:spacing w:before="19"/>
              <w:ind w:left="334"/>
              <w:rPr>
                <w:sz w:val="16"/>
              </w:rPr>
            </w:pPr>
            <w:r w:rsidRPr="00EB2BD8">
              <w:rPr>
                <w:spacing w:val="-2"/>
                <w:sz w:val="16"/>
              </w:rPr>
              <w:t>a</w:t>
            </w:r>
            <w:r w:rsidRPr="00EB2BD8">
              <w:rPr>
                <w:spacing w:val="-4"/>
                <w:sz w:val="16"/>
              </w:rPr>
              <w:t xml:space="preserve"> </w:t>
            </w:r>
            <w:r w:rsidRPr="00EB2BD8">
              <w:rPr>
                <w:spacing w:val="-2"/>
                <w:sz w:val="16"/>
              </w:rPr>
              <w:t>building</w:t>
            </w:r>
            <w:r w:rsidRPr="00EB2BD8">
              <w:rPr>
                <w:spacing w:val="-3"/>
                <w:sz w:val="16"/>
              </w:rPr>
              <w:t xml:space="preserve"> </w:t>
            </w:r>
            <w:r w:rsidRPr="00EB2BD8">
              <w:rPr>
                <w:spacing w:val="-2"/>
                <w:sz w:val="16"/>
              </w:rPr>
              <w:t>permit</w:t>
            </w:r>
            <w:r w:rsidRPr="00EB2BD8">
              <w:rPr>
                <w:spacing w:val="-4"/>
                <w:sz w:val="16"/>
              </w:rPr>
              <w:t xml:space="preserve"> </w:t>
            </w:r>
            <w:r w:rsidRPr="00EB2BD8">
              <w:rPr>
                <w:spacing w:val="-5"/>
                <w:sz w:val="16"/>
              </w:rPr>
              <w:t>by</w:t>
            </w:r>
          </w:p>
        </w:tc>
        <w:tc>
          <w:tcPr>
            <w:tcW w:w="2286" w:type="dxa"/>
          </w:tcPr>
          <w:p w14:paraId="4A511D47" w14:textId="77777777" w:rsidR="00084F36" w:rsidRPr="00EB2BD8" w:rsidRDefault="00EB2BD8">
            <w:pPr>
              <w:pStyle w:val="TableParagraph"/>
              <w:spacing w:before="19"/>
              <w:ind w:left="121"/>
              <w:rPr>
                <w:sz w:val="16"/>
              </w:rPr>
            </w:pPr>
            <w:r w:rsidRPr="00EB2BD8">
              <w:rPr>
                <w:sz w:val="16"/>
              </w:rPr>
              <w:t>penalties</w:t>
            </w:r>
            <w:r w:rsidRPr="00EB2BD8">
              <w:rPr>
                <w:spacing w:val="-12"/>
                <w:sz w:val="16"/>
              </w:rPr>
              <w:t xml:space="preserve"> </w:t>
            </w:r>
            <w:r w:rsidRPr="00EB2BD8">
              <w:rPr>
                <w:sz w:val="16"/>
              </w:rPr>
              <w:t>of</w:t>
            </w:r>
            <w:r w:rsidRPr="00EB2BD8">
              <w:rPr>
                <w:spacing w:val="-12"/>
                <w:sz w:val="16"/>
              </w:rPr>
              <w:t xml:space="preserve"> </w:t>
            </w:r>
            <w:r w:rsidRPr="00EB2BD8">
              <w:rPr>
                <w:spacing w:val="-2"/>
                <w:sz w:val="16"/>
              </w:rPr>
              <w:t>$25,000,</w:t>
            </w:r>
          </w:p>
        </w:tc>
        <w:tc>
          <w:tcPr>
            <w:tcW w:w="1079" w:type="dxa"/>
          </w:tcPr>
          <w:p w14:paraId="24DD1C11" w14:textId="77777777" w:rsidR="00084F36" w:rsidRPr="00EB2BD8" w:rsidRDefault="00084F36">
            <w:pPr>
              <w:pStyle w:val="TableParagraph"/>
              <w:rPr>
                <w:rFonts w:ascii="Times New Roman"/>
                <w:sz w:val="16"/>
              </w:rPr>
            </w:pPr>
          </w:p>
        </w:tc>
        <w:tc>
          <w:tcPr>
            <w:tcW w:w="1176" w:type="dxa"/>
          </w:tcPr>
          <w:p w14:paraId="518A788A" w14:textId="77777777" w:rsidR="00084F36" w:rsidRPr="00EB2BD8" w:rsidRDefault="00084F36">
            <w:pPr>
              <w:pStyle w:val="TableParagraph"/>
              <w:rPr>
                <w:rFonts w:ascii="Times New Roman"/>
                <w:sz w:val="16"/>
              </w:rPr>
            </w:pPr>
          </w:p>
        </w:tc>
      </w:tr>
      <w:tr w:rsidR="00EB2BD8" w:rsidRPr="00EB2BD8" w14:paraId="0566C5AF" w14:textId="77777777">
        <w:trPr>
          <w:trHeight w:val="229"/>
        </w:trPr>
        <w:tc>
          <w:tcPr>
            <w:tcW w:w="1705" w:type="dxa"/>
          </w:tcPr>
          <w:p w14:paraId="38E58331" w14:textId="77777777" w:rsidR="00084F36" w:rsidRPr="00EB2BD8" w:rsidRDefault="00084F36">
            <w:pPr>
              <w:pStyle w:val="TableParagraph"/>
              <w:rPr>
                <w:rFonts w:ascii="Times New Roman"/>
                <w:sz w:val="16"/>
              </w:rPr>
            </w:pPr>
          </w:p>
        </w:tc>
        <w:tc>
          <w:tcPr>
            <w:tcW w:w="1464" w:type="dxa"/>
          </w:tcPr>
          <w:p w14:paraId="57E6B0BD" w14:textId="77777777" w:rsidR="00084F36" w:rsidRPr="00EB2BD8" w:rsidRDefault="00EB2BD8">
            <w:pPr>
              <w:pStyle w:val="TableParagraph"/>
              <w:spacing w:before="20"/>
              <w:ind w:left="165"/>
              <w:rPr>
                <w:sz w:val="16"/>
              </w:rPr>
            </w:pPr>
            <w:r w:rsidRPr="00EB2BD8">
              <w:rPr>
                <w:sz w:val="16"/>
              </w:rPr>
              <w:t>DB-U</w:t>
            </w:r>
            <w:r w:rsidRPr="00EB2BD8">
              <w:rPr>
                <w:spacing w:val="22"/>
                <w:sz w:val="16"/>
              </w:rPr>
              <w:t xml:space="preserve"> </w:t>
            </w:r>
            <w:r w:rsidRPr="00EB2BD8">
              <w:rPr>
                <w:spacing w:val="-2"/>
                <w:sz w:val="16"/>
              </w:rPr>
              <w:t>29802</w:t>
            </w:r>
          </w:p>
        </w:tc>
        <w:tc>
          <w:tcPr>
            <w:tcW w:w="2492" w:type="dxa"/>
          </w:tcPr>
          <w:p w14:paraId="48171681" w14:textId="77777777" w:rsidR="00084F36" w:rsidRPr="00EB2BD8" w:rsidRDefault="00EB2BD8">
            <w:pPr>
              <w:pStyle w:val="TableParagraph"/>
              <w:spacing w:before="19"/>
              <w:ind w:left="334"/>
              <w:rPr>
                <w:sz w:val="16"/>
              </w:rPr>
            </w:pPr>
            <w:r w:rsidRPr="00EB2BD8">
              <w:rPr>
                <w:spacing w:val="-2"/>
                <w:sz w:val="16"/>
              </w:rPr>
              <w:t>substituting non-</w:t>
            </w:r>
            <w:r w:rsidRPr="00EB2BD8">
              <w:rPr>
                <w:spacing w:val="-4"/>
                <w:sz w:val="16"/>
              </w:rPr>
              <w:t>fire</w:t>
            </w:r>
          </w:p>
        </w:tc>
        <w:tc>
          <w:tcPr>
            <w:tcW w:w="2286" w:type="dxa"/>
          </w:tcPr>
          <w:p w14:paraId="38C73685" w14:textId="77777777" w:rsidR="00084F36" w:rsidRPr="00EB2BD8" w:rsidRDefault="00EB2BD8">
            <w:pPr>
              <w:pStyle w:val="TableParagraph"/>
              <w:spacing w:before="19"/>
              <w:ind w:left="121"/>
              <w:rPr>
                <w:sz w:val="16"/>
              </w:rPr>
            </w:pPr>
            <w:r w:rsidRPr="00EB2BD8">
              <w:rPr>
                <w:spacing w:val="-2"/>
                <w:sz w:val="16"/>
              </w:rPr>
              <w:t>requirement</w:t>
            </w:r>
            <w:r w:rsidRPr="00EB2BD8">
              <w:rPr>
                <w:spacing w:val="1"/>
                <w:sz w:val="16"/>
              </w:rPr>
              <w:t xml:space="preserve"> </w:t>
            </w:r>
            <w:r w:rsidRPr="00EB2BD8">
              <w:rPr>
                <w:spacing w:val="-5"/>
                <w:sz w:val="16"/>
              </w:rPr>
              <w:t>to</w:t>
            </w:r>
          </w:p>
        </w:tc>
        <w:tc>
          <w:tcPr>
            <w:tcW w:w="1079" w:type="dxa"/>
          </w:tcPr>
          <w:p w14:paraId="4D83561F" w14:textId="77777777" w:rsidR="00084F36" w:rsidRPr="00EB2BD8" w:rsidRDefault="00084F36">
            <w:pPr>
              <w:pStyle w:val="TableParagraph"/>
              <w:rPr>
                <w:rFonts w:ascii="Times New Roman"/>
                <w:sz w:val="16"/>
              </w:rPr>
            </w:pPr>
          </w:p>
        </w:tc>
        <w:tc>
          <w:tcPr>
            <w:tcW w:w="1176" w:type="dxa"/>
          </w:tcPr>
          <w:p w14:paraId="428BB9E1" w14:textId="77777777" w:rsidR="00084F36" w:rsidRPr="00EB2BD8" w:rsidRDefault="00084F36">
            <w:pPr>
              <w:pStyle w:val="TableParagraph"/>
              <w:rPr>
                <w:rFonts w:ascii="Times New Roman"/>
                <w:sz w:val="16"/>
              </w:rPr>
            </w:pPr>
          </w:p>
        </w:tc>
      </w:tr>
      <w:tr w:rsidR="00EB2BD8" w:rsidRPr="00EB2BD8" w14:paraId="7BEA088A" w14:textId="77777777">
        <w:trPr>
          <w:trHeight w:val="229"/>
        </w:trPr>
        <w:tc>
          <w:tcPr>
            <w:tcW w:w="1705" w:type="dxa"/>
          </w:tcPr>
          <w:p w14:paraId="52BA6EFD" w14:textId="77777777" w:rsidR="00084F36" w:rsidRPr="00EB2BD8" w:rsidRDefault="00084F36">
            <w:pPr>
              <w:pStyle w:val="TableParagraph"/>
              <w:rPr>
                <w:rFonts w:ascii="Times New Roman"/>
                <w:sz w:val="16"/>
              </w:rPr>
            </w:pPr>
          </w:p>
        </w:tc>
        <w:tc>
          <w:tcPr>
            <w:tcW w:w="1464" w:type="dxa"/>
          </w:tcPr>
          <w:p w14:paraId="5540C463" w14:textId="77777777" w:rsidR="00084F36" w:rsidRPr="00EB2BD8" w:rsidRDefault="00084F36">
            <w:pPr>
              <w:pStyle w:val="TableParagraph"/>
              <w:rPr>
                <w:rFonts w:ascii="Times New Roman"/>
                <w:sz w:val="16"/>
              </w:rPr>
            </w:pPr>
          </w:p>
        </w:tc>
        <w:tc>
          <w:tcPr>
            <w:tcW w:w="2492" w:type="dxa"/>
          </w:tcPr>
          <w:p w14:paraId="30BAFA0F" w14:textId="77777777" w:rsidR="00084F36" w:rsidRPr="00EB2BD8" w:rsidRDefault="00EB2BD8">
            <w:pPr>
              <w:pStyle w:val="TableParagraph"/>
              <w:spacing w:before="19"/>
              <w:ind w:left="334"/>
              <w:rPr>
                <w:sz w:val="16"/>
              </w:rPr>
            </w:pPr>
            <w:r w:rsidRPr="00EB2BD8">
              <w:rPr>
                <w:sz w:val="16"/>
              </w:rPr>
              <w:t>rated</w:t>
            </w:r>
            <w:r w:rsidRPr="00EB2BD8">
              <w:rPr>
                <w:spacing w:val="-9"/>
                <w:sz w:val="16"/>
              </w:rPr>
              <w:t xml:space="preserve"> </w:t>
            </w:r>
            <w:r w:rsidRPr="00EB2BD8">
              <w:rPr>
                <w:sz w:val="16"/>
              </w:rPr>
              <w:t>materials</w:t>
            </w:r>
            <w:r w:rsidRPr="00EB2BD8">
              <w:rPr>
                <w:spacing w:val="-9"/>
                <w:sz w:val="16"/>
              </w:rPr>
              <w:t xml:space="preserve"> </w:t>
            </w:r>
            <w:r w:rsidRPr="00EB2BD8">
              <w:rPr>
                <w:sz w:val="16"/>
              </w:rPr>
              <w:t>for</w:t>
            </w:r>
            <w:r w:rsidRPr="00EB2BD8">
              <w:rPr>
                <w:spacing w:val="-9"/>
                <w:sz w:val="16"/>
              </w:rPr>
              <w:t xml:space="preserve"> </w:t>
            </w:r>
            <w:r w:rsidRPr="00EB2BD8">
              <w:rPr>
                <w:spacing w:val="-2"/>
                <w:sz w:val="16"/>
              </w:rPr>
              <w:t>those</w:t>
            </w:r>
          </w:p>
        </w:tc>
        <w:tc>
          <w:tcPr>
            <w:tcW w:w="2286" w:type="dxa"/>
          </w:tcPr>
          <w:p w14:paraId="1017E11A" w14:textId="77777777" w:rsidR="00084F36" w:rsidRPr="00EB2BD8" w:rsidRDefault="00EB2BD8">
            <w:pPr>
              <w:pStyle w:val="TableParagraph"/>
              <w:spacing w:before="19"/>
              <w:ind w:left="121"/>
              <w:rPr>
                <w:sz w:val="16"/>
              </w:rPr>
            </w:pPr>
            <w:r w:rsidRPr="00EB2BD8">
              <w:rPr>
                <w:spacing w:val="-2"/>
                <w:sz w:val="16"/>
              </w:rPr>
              <w:t>successfully</w:t>
            </w:r>
            <w:r w:rsidRPr="00EB2BD8">
              <w:rPr>
                <w:sz w:val="16"/>
              </w:rPr>
              <w:t xml:space="preserve"> </w:t>
            </w:r>
            <w:r w:rsidRPr="00EB2BD8">
              <w:rPr>
                <w:spacing w:val="-2"/>
                <w:sz w:val="16"/>
              </w:rPr>
              <w:t>complete</w:t>
            </w:r>
          </w:p>
        </w:tc>
        <w:tc>
          <w:tcPr>
            <w:tcW w:w="1079" w:type="dxa"/>
          </w:tcPr>
          <w:p w14:paraId="7F235924" w14:textId="77777777" w:rsidR="00084F36" w:rsidRPr="00EB2BD8" w:rsidRDefault="00084F36">
            <w:pPr>
              <w:pStyle w:val="TableParagraph"/>
              <w:rPr>
                <w:rFonts w:ascii="Times New Roman"/>
                <w:sz w:val="16"/>
              </w:rPr>
            </w:pPr>
          </w:p>
        </w:tc>
        <w:tc>
          <w:tcPr>
            <w:tcW w:w="1176" w:type="dxa"/>
          </w:tcPr>
          <w:p w14:paraId="0A1FAAD9" w14:textId="77777777" w:rsidR="00084F36" w:rsidRPr="00EB2BD8" w:rsidRDefault="00084F36">
            <w:pPr>
              <w:pStyle w:val="TableParagraph"/>
              <w:rPr>
                <w:rFonts w:ascii="Times New Roman"/>
                <w:sz w:val="16"/>
              </w:rPr>
            </w:pPr>
          </w:p>
        </w:tc>
      </w:tr>
      <w:tr w:rsidR="00EB2BD8" w:rsidRPr="00EB2BD8" w14:paraId="740E7A1D" w14:textId="77777777">
        <w:trPr>
          <w:trHeight w:val="229"/>
        </w:trPr>
        <w:tc>
          <w:tcPr>
            <w:tcW w:w="1705" w:type="dxa"/>
          </w:tcPr>
          <w:p w14:paraId="5C56A1CC" w14:textId="77777777" w:rsidR="00084F36" w:rsidRPr="00EB2BD8" w:rsidRDefault="00084F36">
            <w:pPr>
              <w:pStyle w:val="TableParagraph"/>
              <w:rPr>
                <w:rFonts w:ascii="Times New Roman"/>
                <w:sz w:val="16"/>
              </w:rPr>
            </w:pPr>
          </w:p>
        </w:tc>
        <w:tc>
          <w:tcPr>
            <w:tcW w:w="1464" w:type="dxa"/>
          </w:tcPr>
          <w:p w14:paraId="0289FF22" w14:textId="77777777" w:rsidR="00084F36" w:rsidRPr="00EB2BD8" w:rsidRDefault="00084F36">
            <w:pPr>
              <w:pStyle w:val="TableParagraph"/>
              <w:rPr>
                <w:rFonts w:ascii="Times New Roman"/>
                <w:sz w:val="16"/>
              </w:rPr>
            </w:pPr>
          </w:p>
        </w:tc>
        <w:tc>
          <w:tcPr>
            <w:tcW w:w="2492" w:type="dxa"/>
          </w:tcPr>
          <w:p w14:paraId="030D5DAC" w14:textId="77777777" w:rsidR="00084F36" w:rsidRPr="00EB2BD8" w:rsidRDefault="00EB2BD8">
            <w:pPr>
              <w:pStyle w:val="TableParagraph"/>
              <w:spacing w:before="20"/>
              <w:ind w:left="334"/>
              <w:rPr>
                <w:sz w:val="16"/>
              </w:rPr>
            </w:pPr>
            <w:r w:rsidRPr="00EB2BD8">
              <w:rPr>
                <w:spacing w:val="-2"/>
                <w:sz w:val="16"/>
              </w:rPr>
              <w:t>specified</w:t>
            </w:r>
            <w:r w:rsidRPr="00EB2BD8">
              <w:rPr>
                <w:spacing w:val="-5"/>
                <w:sz w:val="16"/>
              </w:rPr>
              <w:t xml:space="preserve"> </w:t>
            </w:r>
            <w:r w:rsidRPr="00EB2BD8">
              <w:rPr>
                <w:spacing w:val="-2"/>
                <w:sz w:val="16"/>
              </w:rPr>
              <w:t>for</w:t>
            </w:r>
            <w:r w:rsidRPr="00EB2BD8">
              <w:rPr>
                <w:spacing w:val="-4"/>
                <w:sz w:val="16"/>
              </w:rPr>
              <w:t xml:space="preserve"> </w:t>
            </w:r>
            <w:r w:rsidRPr="00EB2BD8">
              <w:rPr>
                <w:spacing w:val="-2"/>
                <w:sz w:val="16"/>
              </w:rPr>
              <w:t>both</w:t>
            </w:r>
            <w:r w:rsidRPr="00EB2BD8">
              <w:rPr>
                <w:spacing w:val="-5"/>
                <w:sz w:val="16"/>
              </w:rPr>
              <w:t xml:space="preserve"> </w:t>
            </w:r>
            <w:r w:rsidRPr="00EB2BD8">
              <w:rPr>
                <w:spacing w:val="-2"/>
                <w:sz w:val="16"/>
              </w:rPr>
              <w:t>external</w:t>
            </w:r>
          </w:p>
        </w:tc>
        <w:tc>
          <w:tcPr>
            <w:tcW w:w="2286" w:type="dxa"/>
          </w:tcPr>
          <w:p w14:paraId="32CF4A4E" w14:textId="77777777" w:rsidR="00084F36" w:rsidRPr="00EB2BD8" w:rsidRDefault="00EB2BD8">
            <w:pPr>
              <w:pStyle w:val="TableParagraph"/>
              <w:spacing w:before="19"/>
              <w:ind w:left="121"/>
              <w:rPr>
                <w:sz w:val="16"/>
              </w:rPr>
            </w:pPr>
            <w:r w:rsidRPr="00EB2BD8">
              <w:rPr>
                <w:sz w:val="16"/>
              </w:rPr>
              <w:t>training</w:t>
            </w:r>
            <w:r w:rsidRPr="00EB2BD8">
              <w:rPr>
                <w:spacing w:val="-6"/>
                <w:sz w:val="16"/>
              </w:rPr>
              <w:t xml:space="preserve"> </w:t>
            </w:r>
            <w:r w:rsidRPr="00EB2BD8">
              <w:rPr>
                <w:sz w:val="16"/>
              </w:rPr>
              <w:t>and</w:t>
            </w:r>
            <w:r w:rsidRPr="00EB2BD8">
              <w:rPr>
                <w:spacing w:val="-5"/>
                <w:sz w:val="16"/>
              </w:rPr>
              <w:t xml:space="preserve"> </w:t>
            </w:r>
            <w:r w:rsidRPr="00EB2BD8">
              <w:rPr>
                <w:spacing w:val="-2"/>
                <w:sz w:val="16"/>
              </w:rPr>
              <w:t>registration</w:t>
            </w:r>
          </w:p>
        </w:tc>
        <w:tc>
          <w:tcPr>
            <w:tcW w:w="1079" w:type="dxa"/>
          </w:tcPr>
          <w:p w14:paraId="5562735D" w14:textId="77777777" w:rsidR="00084F36" w:rsidRPr="00EB2BD8" w:rsidRDefault="00084F36">
            <w:pPr>
              <w:pStyle w:val="TableParagraph"/>
              <w:rPr>
                <w:rFonts w:ascii="Times New Roman"/>
                <w:sz w:val="16"/>
              </w:rPr>
            </w:pPr>
          </w:p>
        </w:tc>
        <w:tc>
          <w:tcPr>
            <w:tcW w:w="1176" w:type="dxa"/>
          </w:tcPr>
          <w:p w14:paraId="3CF09199" w14:textId="77777777" w:rsidR="00084F36" w:rsidRPr="00EB2BD8" w:rsidRDefault="00084F36">
            <w:pPr>
              <w:pStyle w:val="TableParagraph"/>
              <w:rPr>
                <w:rFonts w:ascii="Times New Roman"/>
                <w:sz w:val="16"/>
              </w:rPr>
            </w:pPr>
          </w:p>
        </w:tc>
      </w:tr>
      <w:tr w:rsidR="00EB2BD8" w:rsidRPr="00EB2BD8" w14:paraId="3080EA4F" w14:textId="77777777">
        <w:trPr>
          <w:trHeight w:val="229"/>
        </w:trPr>
        <w:tc>
          <w:tcPr>
            <w:tcW w:w="1705" w:type="dxa"/>
          </w:tcPr>
          <w:p w14:paraId="6A6F9B13" w14:textId="77777777" w:rsidR="00084F36" w:rsidRPr="00EB2BD8" w:rsidRDefault="00084F36">
            <w:pPr>
              <w:pStyle w:val="TableParagraph"/>
              <w:rPr>
                <w:rFonts w:ascii="Times New Roman"/>
                <w:sz w:val="16"/>
              </w:rPr>
            </w:pPr>
          </w:p>
        </w:tc>
        <w:tc>
          <w:tcPr>
            <w:tcW w:w="1464" w:type="dxa"/>
          </w:tcPr>
          <w:p w14:paraId="569D2183" w14:textId="77777777" w:rsidR="00084F36" w:rsidRPr="00EB2BD8" w:rsidRDefault="00084F36">
            <w:pPr>
              <w:pStyle w:val="TableParagraph"/>
              <w:rPr>
                <w:rFonts w:ascii="Times New Roman"/>
                <w:sz w:val="16"/>
              </w:rPr>
            </w:pPr>
          </w:p>
        </w:tc>
        <w:tc>
          <w:tcPr>
            <w:tcW w:w="2492" w:type="dxa"/>
          </w:tcPr>
          <w:p w14:paraId="651B70DC" w14:textId="77777777" w:rsidR="00084F36" w:rsidRPr="00EB2BD8" w:rsidRDefault="00EB2BD8">
            <w:pPr>
              <w:pStyle w:val="TableParagraph"/>
              <w:spacing w:before="20"/>
              <w:ind w:left="334"/>
              <w:rPr>
                <w:sz w:val="16"/>
              </w:rPr>
            </w:pPr>
            <w:r w:rsidRPr="00EB2BD8">
              <w:rPr>
                <w:sz w:val="16"/>
              </w:rPr>
              <w:t>and</w:t>
            </w:r>
            <w:r w:rsidRPr="00EB2BD8">
              <w:rPr>
                <w:spacing w:val="-12"/>
                <w:sz w:val="16"/>
              </w:rPr>
              <w:t xml:space="preserve"> </w:t>
            </w:r>
            <w:r w:rsidRPr="00EB2BD8">
              <w:rPr>
                <w:sz w:val="16"/>
              </w:rPr>
              <w:t>internal</w:t>
            </w:r>
            <w:r w:rsidRPr="00EB2BD8">
              <w:rPr>
                <w:spacing w:val="-11"/>
                <w:sz w:val="16"/>
              </w:rPr>
              <w:t xml:space="preserve"> </w:t>
            </w:r>
            <w:r w:rsidRPr="00EB2BD8">
              <w:rPr>
                <w:sz w:val="16"/>
              </w:rPr>
              <w:t>walls</w:t>
            </w:r>
            <w:r w:rsidRPr="00EB2BD8">
              <w:rPr>
                <w:spacing w:val="-11"/>
                <w:sz w:val="16"/>
              </w:rPr>
              <w:t xml:space="preserve"> </w:t>
            </w:r>
            <w:r w:rsidRPr="00EB2BD8">
              <w:rPr>
                <w:spacing w:val="-5"/>
                <w:sz w:val="16"/>
              </w:rPr>
              <w:t>and</w:t>
            </w:r>
          </w:p>
        </w:tc>
        <w:tc>
          <w:tcPr>
            <w:tcW w:w="2286" w:type="dxa"/>
          </w:tcPr>
          <w:p w14:paraId="68C592B1" w14:textId="77777777" w:rsidR="00084F36" w:rsidRPr="00EB2BD8" w:rsidRDefault="00EB2BD8">
            <w:pPr>
              <w:pStyle w:val="TableParagraph"/>
              <w:spacing w:before="19"/>
              <w:ind w:left="121"/>
              <w:rPr>
                <w:sz w:val="16"/>
              </w:rPr>
            </w:pPr>
            <w:r w:rsidRPr="00EB2BD8">
              <w:rPr>
                <w:spacing w:val="-2"/>
                <w:sz w:val="16"/>
              </w:rPr>
              <w:t>to</w:t>
            </w:r>
            <w:r w:rsidRPr="00EB2BD8">
              <w:rPr>
                <w:spacing w:val="-6"/>
                <w:sz w:val="16"/>
              </w:rPr>
              <w:t xml:space="preserve"> </w:t>
            </w:r>
            <w:r w:rsidRPr="00EB2BD8">
              <w:rPr>
                <w:spacing w:val="-2"/>
                <w:sz w:val="16"/>
              </w:rPr>
              <w:t>personally</w:t>
            </w:r>
            <w:r w:rsidRPr="00EB2BD8">
              <w:rPr>
                <w:spacing w:val="-6"/>
                <w:sz w:val="16"/>
              </w:rPr>
              <w:t xml:space="preserve"> </w:t>
            </w:r>
            <w:r w:rsidRPr="00EB2BD8">
              <w:rPr>
                <w:spacing w:val="-2"/>
                <w:sz w:val="16"/>
              </w:rPr>
              <w:t>attend</w:t>
            </w:r>
          </w:p>
        </w:tc>
        <w:tc>
          <w:tcPr>
            <w:tcW w:w="1079" w:type="dxa"/>
          </w:tcPr>
          <w:p w14:paraId="7E998A48" w14:textId="77777777" w:rsidR="00084F36" w:rsidRPr="00EB2BD8" w:rsidRDefault="00084F36">
            <w:pPr>
              <w:pStyle w:val="TableParagraph"/>
              <w:rPr>
                <w:rFonts w:ascii="Times New Roman"/>
                <w:sz w:val="16"/>
              </w:rPr>
            </w:pPr>
          </w:p>
        </w:tc>
        <w:tc>
          <w:tcPr>
            <w:tcW w:w="1176" w:type="dxa"/>
          </w:tcPr>
          <w:p w14:paraId="635AE144" w14:textId="77777777" w:rsidR="00084F36" w:rsidRPr="00EB2BD8" w:rsidRDefault="00084F36">
            <w:pPr>
              <w:pStyle w:val="TableParagraph"/>
              <w:rPr>
                <w:rFonts w:ascii="Times New Roman"/>
                <w:sz w:val="16"/>
              </w:rPr>
            </w:pPr>
          </w:p>
        </w:tc>
      </w:tr>
      <w:tr w:rsidR="00EB2BD8" w:rsidRPr="00EB2BD8" w14:paraId="26FDDD34" w14:textId="77777777">
        <w:trPr>
          <w:trHeight w:val="229"/>
        </w:trPr>
        <w:tc>
          <w:tcPr>
            <w:tcW w:w="1705" w:type="dxa"/>
          </w:tcPr>
          <w:p w14:paraId="5CA9B529" w14:textId="77777777" w:rsidR="00084F36" w:rsidRPr="00EB2BD8" w:rsidRDefault="00084F36">
            <w:pPr>
              <w:pStyle w:val="TableParagraph"/>
              <w:rPr>
                <w:rFonts w:ascii="Times New Roman"/>
                <w:sz w:val="16"/>
              </w:rPr>
            </w:pPr>
          </w:p>
        </w:tc>
        <w:tc>
          <w:tcPr>
            <w:tcW w:w="1464" w:type="dxa"/>
          </w:tcPr>
          <w:p w14:paraId="7597C546" w14:textId="77777777" w:rsidR="00084F36" w:rsidRPr="00EB2BD8" w:rsidRDefault="00084F36">
            <w:pPr>
              <w:pStyle w:val="TableParagraph"/>
              <w:rPr>
                <w:rFonts w:ascii="Times New Roman"/>
                <w:sz w:val="16"/>
              </w:rPr>
            </w:pPr>
          </w:p>
        </w:tc>
        <w:tc>
          <w:tcPr>
            <w:tcW w:w="2492" w:type="dxa"/>
          </w:tcPr>
          <w:p w14:paraId="5A781766" w14:textId="77777777" w:rsidR="00084F36" w:rsidRPr="00EB2BD8" w:rsidRDefault="00EB2BD8">
            <w:pPr>
              <w:pStyle w:val="TableParagraph"/>
              <w:spacing w:before="20"/>
              <w:ind w:left="334"/>
              <w:rPr>
                <w:sz w:val="16"/>
              </w:rPr>
            </w:pPr>
            <w:r w:rsidRPr="00EB2BD8">
              <w:rPr>
                <w:spacing w:val="-2"/>
                <w:sz w:val="16"/>
              </w:rPr>
              <w:t>ceilings,</w:t>
            </w:r>
            <w:r w:rsidRPr="00EB2BD8">
              <w:rPr>
                <w:spacing w:val="-8"/>
                <w:sz w:val="16"/>
              </w:rPr>
              <w:t xml:space="preserve"> </w:t>
            </w:r>
            <w:r w:rsidRPr="00EB2BD8">
              <w:rPr>
                <w:spacing w:val="-2"/>
                <w:sz w:val="16"/>
              </w:rPr>
              <w:t>negligence</w:t>
            </w:r>
            <w:r w:rsidRPr="00EB2BD8">
              <w:rPr>
                <w:spacing w:val="-7"/>
                <w:sz w:val="16"/>
              </w:rPr>
              <w:t xml:space="preserve"> </w:t>
            </w:r>
            <w:r w:rsidRPr="00EB2BD8">
              <w:rPr>
                <w:spacing w:val="-5"/>
                <w:sz w:val="16"/>
              </w:rPr>
              <w:t>in</w:t>
            </w:r>
          </w:p>
        </w:tc>
        <w:tc>
          <w:tcPr>
            <w:tcW w:w="2286" w:type="dxa"/>
          </w:tcPr>
          <w:p w14:paraId="4C267F64" w14:textId="77777777" w:rsidR="00084F36" w:rsidRPr="00EB2BD8" w:rsidRDefault="00EB2BD8">
            <w:pPr>
              <w:pStyle w:val="TableParagraph"/>
              <w:spacing w:before="19"/>
              <w:ind w:left="121"/>
              <w:rPr>
                <w:sz w:val="16"/>
              </w:rPr>
            </w:pPr>
            <w:r w:rsidRPr="00EB2BD8">
              <w:rPr>
                <w:sz w:val="16"/>
              </w:rPr>
              <w:t>for</w:t>
            </w:r>
            <w:r w:rsidRPr="00EB2BD8">
              <w:rPr>
                <w:spacing w:val="-3"/>
                <w:sz w:val="16"/>
              </w:rPr>
              <w:t xml:space="preserve"> </w:t>
            </w:r>
            <w:r w:rsidRPr="00EB2BD8">
              <w:rPr>
                <w:sz w:val="16"/>
              </w:rPr>
              <w:t>mandatory</w:t>
            </w:r>
            <w:r w:rsidRPr="00EB2BD8">
              <w:rPr>
                <w:spacing w:val="-3"/>
                <w:sz w:val="16"/>
              </w:rPr>
              <w:t xml:space="preserve"> </w:t>
            </w:r>
            <w:r w:rsidRPr="00EB2BD8">
              <w:rPr>
                <w:spacing w:val="-2"/>
                <w:sz w:val="16"/>
              </w:rPr>
              <w:t>stage</w:t>
            </w:r>
          </w:p>
        </w:tc>
        <w:tc>
          <w:tcPr>
            <w:tcW w:w="1079" w:type="dxa"/>
          </w:tcPr>
          <w:p w14:paraId="7BF20946" w14:textId="77777777" w:rsidR="00084F36" w:rsidRPr="00EB2BD8" w:rsidRDefault="00084F36">
            <w:pPr>
              <w:pStyle w:val="TableParagraph"/>
              <w:rPr>
                <w:rFonts w:ascii="Times New Roman"/>
                <w:sz w:val="16"/>
              </w:rPr>
            </w:pPr>
          </w:p>
        </w:tc>
        <w:tc>
          <w:tcPr>
            <w:tcW w:w="1176" w:type="dxa"/>
          </w:tcPr>
          <w:p w14:paraId="0F5ABC7E" w14:textId="77777777" w:rsidR="00084F36" w:rsidRPr="00EB2BD8" w:rsidRDefault="00084F36">
            <w:pPr>
              <w:pStyle w:val="TableParagraph"/>
              <w:rPr>
                <w:rFonts w:ascii="Times New Roman"/>
                <w:sz w:val="16"/>
              </w:rPr>
            </w:pPr>
          </w:p>
        </w:tc>
      </w:tr>
      <w:tr w:rsidR="00EB2BD8" w:rsidRPr="00EB2BD8" w14:paraId="79EAD51E" w14:textId="77777777">
        <w:trPr>
          <w:trHeight w:val="230"/>
        </w:trPr>
        <w:tc>
          <w:tcPr>
            <w:tcW w:w="1705" w:type="dxa"/>
          </w:tcPr>
          <w:p w14:paraId="741BECE7" w14:textId="77777777" w:rsidR="00084F36" w:rsidRPr="00EB2BD8" w:rsidRDefault="00084F36">
            <w:pPr>
              <w:pStyle w:val="TableParagraph"/>
              <w:rPr>
                <w:rFonts w:ascii="Times New Roman"/>
                <w:sz w:val="16"/>
              </w:rPr>
            </w:pPr>
          </w:p>
        </w:tc>
        <w:tc>
          <w:tcPr>
            <w:tcW w:w="1464" w:type="dxa"/>
          </w:tcPr>
          <w:p w14:paraId="6E5C5207" w14:textId="77777777" w:rsidR="00084F36" w:rsidRPr="00EB2BD8" w:rsidRDefault="00084F36">
            <w:pPr>
              <w:pStyle w:val="TableParagraph"/>
              <w:rPr>
                <w:rFonts w:ascii="Times New Roman"/>
                <w:sz w:val="16"/>
              </w:rPr>
            </w:pPr>
          </w:p>
        </w:tc>
        <w:tc>
          <w:tcPr>
            <w:tcW w:w="2492" w:type="dxa"/>
          </w:tcPr>
          <w:p w14:paraId="66C3B6F9" w14:textId="77777777" w:rsidR="00084F36" w:rsidRPr="00EB2BD8" w:rsidRDefault="00EB2BD8">
            <w:pPr>
              <w:pStyle w:val="TableParagraph"/>
              <w:spacing w:before="20"/>
              <w:ind w:left="334"/>
              <w:rPr>
                <w:sz w:val="16"/>
              </w:rPr>
            </w:pPr>
            <w:r w:rsidRPr="00EB2BD8">
              <w:rPr>
                <w:sz w:val="16"/>
              </w:rPr>
              <w:t>a</w:t>
            </w:r>
            <w:r w:rsidRPr="00EB2BD8">
              <w:rPr>
                <w:spacing w:val="2"/>
                <w:sz w:val="16"/>
              </w:rPr>
              <w:t xml:space="preserve"> </w:t>
            </w:r>
            <w:r w:rsidRPr="00EB2BD8">
              <w:rPr>
                <w:sz w:val="16"/>
              </w:rPr>
              <w:t>particular</w:t>
            </w:r>
            <w:r w:rsidRPr="00EB2BD8">
              <w:rPr>
                <w:spacing w:val="3"/>
                <w:sz w:val="16"/>
              </w:rPr>
              <w:t xml:space="preserve"> </w:t>
            </w:r>
            <w:r w:rsidRPr="00EB2BD8">
              <w:rPr>
                <w:sz w:val="16"/>
              </w:rPr>
              <w:t>manner</w:t>
            </w:r>
            <w:r w:rsidRPr="00EB2BD8">
              <w:rPr>
                <w:spacing w:val="2"/>
                <w:sz w:val="16"/>
              </w:rPr>
              <w:t xml:space="preserve"> </w:t>
            </w:r>
            <w:r w:rsidRPr="00EB2BD8">
              <w:rPr>
                <w:spacing w:val="-5"/>
                <w:sz w:val="16"/>
              </w:rPr>
              <w:t>in</w:t>
            </w:r>
          </w:p>
        </w:tc>
        <w:tc>
          <w:tcPr>
            <w:tcW w:w="2286" w:type="dxa"/>
          </w:tcPr>
          <w:p w14:paraId="7D4F65F7" w14:textId="77777777" w:rsidR="00084F36" w:rsidRPr="00EB2BD8" w:rsidRDefault="00EB2BD8">
            <w:pPr>
              <w:pStyle w:val="TableParagraph"/>
              <w:spacing w:before="19"/>
              <w:ind w:left="121"/>
              <w:rPr>
                <w:sz w:val="16"/>
              </w:rPr>
            </w:pPr>
            <w:r w:rsidRPr="00EB2BD8">
              <w:rPr>
                <w:spacing w:val="-2"/>
                <w:sz w:val="16"/>
              </w:rPr>
              <w:t>inspections.</w:t>
            </w:r>
          </w:p>
        </w:tc>
        <w:tc>
          <w:tcPr>
            <w:tcW w:w="1079" w:type="dxa"/>
          </w:tcPr>
          <w:p w14:paraId="6A07AA11" w14:textId="77777777" w:rsidR="00084F36" w:rsidRPr="00EB2BD8" w:rsidRDefault="00084F36">
            <w:pPr>
              <w:pStyle w:val="TableParagraph"/>
              <w:rPr>
                <w:rFonts w:ascii="Times New Roman"/>
                <w:sz w:val="16"/>
              </w:rPr>
            </w:pPr>
          </w:p>
        </w:tc>
        <w:tc>
          <w:tcPr>
            <w:tcW w:w="1176" w:type="dxa"/>
          </w:tcPr>
          <w:p w14:paraId="43143966" w14:textId="77777777" w:rsidR="00084F36" w:rsidRPr="00EB2BD8" w:rsidRDefault="00084F36">
            <w:pPr>
              <w:pStyle w:val="TableParagraph"/>
              <w:rPr>
                <w:rFonts w:ascii="Times New Roman"/>
                <w:sz w:val="16"/>
              </w:rPr>
            </w:pPr>
          </w:p>
        </w:tc>
      </w:tr>
      <w:tr w:rsidR="00EB2BD8" w:rsidRPr="00EB2BD8" w14:paraId="6175D2F1" w14:textId="77777777">
        <w:trPr>
          <w:trHeight w:val="229"/>
        </w:trPr>
        <w:tc>
          <w:tcPr>
            <w:tcW w:w="1705" w:type="dxa"/>
          </w:tcPr>
          <w:p w14:paraId="40FEE2A6" w14:textId="77777777" w:rsidR="00084F36" w:rsidRPr="00EB2BD8" w:rsidRDefault="00084F36">
            <w:pPr>
              <w:pStyle w:val="TableParagraph"/>
              <w:rPr>
                <w:rFonts w:ascii="Times New Roman"/>
                <w:sz w:val="16"/>
              </w:rPr>
            </w:pPr>
          </w:p>
        </w:tc>
        <w:tc>
          <w:tcPr>
            <w:tcW w:w="1464" w:type="dxa"/>
          </w:tcPr>
          <w:p w14:paraId="0D49D2CC" w14:textId="77777777" w:rsidR="00084F36" w:rsidRPr="00EB2BD8" w:rsidRDefault="00084F36">
            <w:pPr>
              <w:pStyle w:val="TableParagraph"/>
              <w:rPr>
                <w:rFonts w:ascii="Times New Roman"/>
                <w:sz w:val="16"/>
              </w:rPr>
            </w:pPr>
          </w:p>
        </w:tc>
        <w:tc>
          <w:tcPr>
            <w:tcW w:w="2492" w:type="dxa"/>
          </w:tcPr>
          <w:p w14:paraId="6428A370" w14:textId="77777777" w:rsidR="00084F36" w:rsidRPr="00EB2BD8" w:rsidRDefault="00EB2BD8">
            <w:pPr>
              <w:pStyle w:val="TableParagraph"/>
              <w:spacing w:before="19"/>
              <w:ind w:left="334"/>
              <w:rPr>
                <w:sz w:val="16"/>
              </w:rPr>
            </w:pPr>
            <w:r w:rsidRPr="00EB2BD8">
              <w:rPr>
                <w:spacing w:val="-2"/>
                <w:sz w:val="16"/>
              </w:rPr>
              <w:t>relation</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a</w:t>
            </w:r>
            <w:r w:rsidRPr="00EB2BD8">
              <w:rPr>
                <w:spacing w:val="-7"/>
                <w:sz w:val="16"/>
              </w:rPr>
              <w:t xml:space="preserve"> </w:t>
            </w:r>
            <w:r w:rsidRPr="00EB2BD8">
              <w:rPr>
                <w:spacing w:val="-2"/>
                <w:sz w:val="16"/>
              </w:rPr>
              <w:t>complex</w:t>
            </w:r>
            <w:r w:rsidRPr="00EB2BD8">
              <w:rPr>
                <w:spacing w:val="-7"/>
                <w:sz w:val="16"/>
              </w:rPr>
              <w:t xml:space="preserve"> </w:t>
            </w:r>
            <w:r w:rsidRPr="00EB2BD8">
              <w:rPr>
                <w:spacing w:val="-2"/>
                <w:sz w:val="16"/>
              </w:rPr>
              <w:t>of</w:t>
            </w:r>
            <w:r w:rsidRPr="00EB2BD8">
              <w:rPr>
                <w:spacing w:val="-7"/>
                <w:sz w:val="16"/>
              </w:rPr>
              <w:t xml:space="preserve"> </w:t>
            </w:r>
            <w:r w:rsidRPr="00EB2BD8">
              <w:rPr>
                <w:spacing w:val="-5"/>
                <w:sz w:val="16"/>
              </w:rPr>
              <w:t>81</w:t>
            </w:r>
          </w:p>
        </w:tc>
        <w:tc>
          <w:tcPr>
            <w:tcW w:w="2286" w:type="dxa"/>
          </w:tcPr>
          <w:p w14:paraId="0612FCE6" w14:textId="77777777" w:rsidR="00084F36" w:rsidRPr="00EB2BD8" w:rsidRDefault="00084F36">
            <w:pPr>
              <w:pStyle w:val="TableParagraph"/>
              <w:rPr>
                <w:rFonts w:ascii="Times New Roman"/>
                <w:sz w:val="16"/>
              </w:rPr>
            </w:pPr>
          </w:p>
        </w:tc>
        <w:tc>
          <w:tcPr>
            <w:tcW w:w="1079" w:type="dxa"/>
          </w:tcPr>
          <w:p w14:paraId="217CA4AD" w14:textId="77777777" w:rsidR="00084F36" w:rsidRPr="00EB2BD8" w:rsidRDefault="00084F36">
            <w:pPr>
              <w:pStyle w:val="TableParagraph"/>
              <w:rPr>
                <w:rFonts w:ascii="Times New Roman"/>
                <w:sz w:val="16"/>
              </w:rPr>
            </w:pPr>
          </w:p>
        </w:tc>
        <w:tc>
          <w:tcPr>
            <w:tcW w:w="1176" w:type="dxa"/>
          </w:tcPr>
          <w:p w14:paraId="45C63F43" w14:textId="77777777" w:rsidR="00084F36" w:rsidRPr="00EB2BD8" w:rsidRDefault="00084F36">
            <w:pPr>
              <w:pStyle w:val="TableParagraph"/>
              <w:rPr>
                <w:rFonts w:ascii="Times New Roman"/>
                <w:sz w:val="16"/>
              </w:rPr>
            </w:pPr>
          </w:p>
        </w:tc>
      </w:tr>
      <w:tr w:rsidR="00EB2BD8" w:rsidRPr="00EB2BD8" w14:paraId="2B363A3E" w14:textId="77777777">
        <w:trPr>
          <w:trHeight w:val="229"/>
        </w:trPr>
        <w:tc>
          <w:tcPr>
            <w:tcW w:w="1705" w:type="dxa"/>
          </w:tcPr>
          <w:p w14:paraId="002A4D15" w14:textId="77777777" w:rsidR="00084F36" w:rsidRPr="00EB2BD8" w:rsidRDefault="00084F36">
            <w:pPr>
              <w:pStyle w:val="TableParagraph"/>
              <w:rPr>
                <w:rFonts w:ascii="Times New Roman"/>
                <w:sz w:val="16"/>
              </w:rPr>
            </w:pPr>
          </w:p>
        </w:tc>
        <w:tc>
          <w:tcPr>
            <w:tcW w:w="1464" w:type="dxa"/>
          </w:tcPr>
          <w:p w14:paraId="71DBD6D3" w14:textId="77777777" w:rsidR="00084F36" w:rsidRPr="00EB2BD8" w:rsidRDefault="00084F36">
            <w:pPr>
              <w:pStyle w:val="TableParagraph"/>
              <w:rPr>
                <w:rFonts w:ascii="Times New Roman"/>
                <w:sz w:val="16"/>
              </w:rPr>
            </w:pPr>
          </w:p>
        </w:tc>
        <w:tc>
          <w:tcPr>
            <w:tcW w:w="2492" w:type="dxa"/>
          </w:tcPr>
          <w:p w14:paraId="19CD3F56" w14:textId="77777777" w:rsidR="00084F36" w:rsidRPr="00EB2BD8" w:rsidRDefault="00EB2BD8">
            <w:pPr>
              <w:pStyle w:val="TableParagraph"/>
              <w:spacing w:before="19"/>
              <w:ind w:left="334"/>
              <w:rPr>
                <w:sz w:val="16"/>
              </w:rPr>
            </w:pPr>
            <w:r w:rsidRPr="00EB2BD8">
              <w:rPr>
                <w:sz w:val="16"/>
              </w:rPr>
              <w:t>sole</w:t>
            </w:r>
            <w:r w:rsidRPr="00EB2BD8">
              <w:rPr>
                <w:spacing w:val="-5"/>
                <w:sz w:val="16"/>
              </w:rPr>
              <w:t xml:space="preserve"> </w:t>
            </w:r>
            <w:r w:rsidRPr="00EB2BD8">
              <w:rPr>
                <w:sz w:val="16"/>
              </w:rPr>
              <w:t>occupancy</w:t>
            </w:r>
            <w:r w:rsidRPr="00EB2BD8">
              <w:rPr>
                <w:spacing w:val="-5"/>
                <w:sz w:val="16"/>
              </w:rPr>
              <w:t xml:space="preserve"> </w:t>
            </w:r>
            <w:r w:rsidRPr="00EB2BD8">
              <w:rPr>
                <w:sz w:val="16"/>
              </w:rPr>
              <w:t>units</w:t>
            </w:r>
            <w:r w:rsidRPr="00EB2BD8">
              <w:rPr>
                <w:spacing w:val="-5"/>
                <w:sz w:val="16"/>
              </w:rPr>
              <w:t xml:space="preserve"> at</w:t>
            </w:r>
          </w:p>
        </w:tc>
        <w:tc>
          <w:tcPr>
            <w:tcW w:w="2286" w:type="dxa"/>
          </w:tcPr>
          <w:p w14:paraId="720390A5" w14:textId="77777777" w:rsidR="00084F36" w:rsidRPr="00EB2BD8" w:rsidRDefault="00084F36">
            <w:pPr>
              <w:pStyle w:val="TableParagraph"/>
              <w:rPr>
                <w:rFonts w:ascii="Times New Roman"/>
                <w:sz w:val="16"/>
              </w:rPr>
            </w:pPr>
          </w:p>
        </w:tc>
        <w:tc>
          <w:tcPr>
            <w:tcW w:w="1079" w:type="dxa"/>
          </w:tcPr>
          <w:p w14:paraId="0DD0F1F2" w14:textId="77777777" w:rsidR="00084F36" w:rsidRPr="00EB2BD8" w:rsidRDefault="00084F36">
            <w:pPr>
              <w:pStyle w:val="TableParagraph"/>
              <w:rPr>
                <w:rFonts w:ascii="Times New Roman"/>
                <w:sz w:val="16"/>
              </w:rPr>
            </w:pPr>
          </w:p>
        </w:tc>
        <w:tc>
          <w:tcPr>
            <w:tcW w:w="1176" w:type="dxa"/>
          </w:tcPr>
          <w:p w14:paraId="23DE88E3" w14:textId="77777777" w:rsidR="00084F36" w:rsidRPr="00EB2BD8" w:rsidRDefault="00084F36">
            <w:pPr>
              <w:pStyle w:val="TableParagraph"/>
              <w:rPr>
                <w:rFonts w:ascii="Times New Roman"/>
                <w:sz w:val="16"/>
              </w:rPr>
            </w:pPr>
          </w:p>
        </w:tc>
      </w:tr>
      <w:tr w:rsidR="00EB2BD8" w:rsidRPr="00EB2BD8" w14:paraId="18869364" w14:textId="77777777">
        <w:trPr>
          <w:trHeight w:val="286"/>
        </w:trPr>
        <w:tc>
          <w:tcPr>
            <w:tcW w:w="1705" w:type="dxa"/>
            <w:tcBorders>
              <w:bottom w:val="single" w:sz="2" w:space="0" w:color="000000"/>
            </w:tcBorders>
          </w:tcPr>
          <w:p w14:paraId="5A6524D4"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7542BDB7" w14:textId="77777777" w:rsidR="00084F36" w:rsidRPr="00EB2BD8" w:rsidRDefault="00084F36">
            <w:pPr>
              <w:pStyle w:val="TableParagraph"/>
              <w:rPr>
                <w:rFonts w:ascii="Times New Roman"/>
                <w:sz w:val="16"/>
              </w:rPr>
            </w:pPr>
          </w:p>
        </w:tc>
        <w:tc>
          <w:tcPr>
            <w:tcW w:w="2492" w:type="dxa"/>
            <w:tcBorders>
              <w:bottom w:val="single" w:sz="2" w:space="0" w:color="000000"/>
            </w:tcBorders>
          </w:tcPr>
          <w:p w14:paraId="1C751A7B" w14:textId="77777777" w:rsidR="00084F36" w:rsidRPr="00EB2BD8" w:rsidRDefault="00EB2BD8">
            <w:pPr>
              <w:pStyle w:val="TableParagraph"/>
              <w:spacing w:before="19"/>
              <w:ind w:left="334"/>
              <w:rPr>
                <w:sz w:val="16"/>
              </w:rPr>
            </w:pPr>
            <w:r w:rsidRPr="00EB2BD8">
              <w:rPr>
                <w:spacing w:val="-2"/>
                <w:sz w:val="16"/>
              </w:rPr>
              <w:t>Clayton.</w:t>
            </w:r>
          </w:p>
        </w:tc>
        <w:tc>
          <w:tcPr>
            <w:tcW w:w="2286" w:type="dxa"/>
            <w:tcBorders>
              <w:bottom w:val="single" w:sz="2" w:space="0" w:color="000000"/>
            </w:tcBorders>
          </w:tcPr>
          <w:p w14:paraId="5385A40B"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48F31F26"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31FED6E3" w14:textId="77777777" w:rsidR="00084F36" w:rsidRPr="00EB2BD8" w:rsidRDefault="00084F36">
            <w:pPr>
              <w:pStyle w:val="TableParagraph"/>
              <w:rPr>
                <w:rFonts w:ascii="Times New Roman"/>
                <w:sz w:val="16"/>
              </w:rPr>
            </w:pPr>
          </w:p>
        </w:tc>
      </w:tr>
      <w:tr w:rsidR="00EB2BD8" w:rsidRPr="00EB2BD8" w14:paraId="11BC327A" w14:textId="77777777">
        <w:trPr>
          <w:trHeight w:val="324"/>
        </w:trPr>
        <w:tc>
          <w:tcPr>
            <w:tcW w:w="1705" w:type="dxa"/>
            <w:tcBorders>
              <w:top w:val="single" w:sz="2" w:space="0" w:color="000000"/>
            </w:tcBorders>
          </w:tcPr>
          <w:p w14:paraId="7DD11D65" w14:textId="77777777" w:rsidR="00084F36" w:rsidRPr="00EB2BD8" w:rsidRDefault="00EB2BD8">
            <w:pPr>
              <w:pStyle w:val="TableParagraph"/>
              <w:spacing w:before="114"/>
              <w:ind w:left="113"/>
              <w:rPr>
                <w:sz w:val="16"/>
              </w:rPr>
            </w:pPr>
            <w:r w:rsidRPr="00EB2BD8">
              <w:rPr>
                <w:sz w:val="16"/>
              </w:rPr>
              <w:t>NELSON,</w:t>
            </w:r>
            <w:r w:rsidRPr="00EB2BD8">
              <w:rPr>
                <w:spacing w:val="6"/>
                <w:sz w:val="16"/>
              </w:rPr>
              <w:t xml:space="preserve"> </w:t>
            </w:r>
            <w:r w:rsidRPr="00EB2BD8">
              <w:rPr>
                <w:spacing w:val="-2"/>
                <w:sz w:val="16"/>
              </w:rPr>
              <w:t>Leonard</w:t>
            </w:r>
          </w:p>
        </w:tc>
        <w:tc>
          <w:tcPr>
            <w:tcW w:w="1464" w:type="dxa"/>
            <w:tcBorders>
              <w:top w:val="single" w:sz="2" w:space="0" w:color="000000"/>
            </w:tcBorders>
          </w:tcPr>
          <w:p w14:paraId="5A61A320" w14:textId="77777777" w:rsidR="00084F36" w:rsidRPr="00EB2BD8" w:rsidRDefault="00EB2BD8">
            <w:pPr>
              <w:pStyle w:val="TableParagraph"/>
              <w:spacing w:before="114"/>
              <w:ind w:left="165"/>
              <w:rPr>
                <w:sz w:val="16"/>
              </w:rPr>
            </w:pPr>
            <w:r w:rsidRPr="00EB2BD8">
              <w:rPr>
                <w:w w:val="105"/>
                <w:sz w:val="16"/>
              </w:rPr>
              <w:t>BS-U</w:t>
            </w:r>
            <w:r w:rsidRPr="00EB2BD8">
              <w:rPr>
                <w:spacing w:val="14"/>
                <w:w w:val="105"/>
                <w:sz w:val="16"/>
              </w:rPr>
              <w:t xml:space="preserve"> </w:t>
            </w:r>
            <w:r w:rsidRPr="00EB2BD8">
              <w:rPr>
                <w:spacing w:val="-4"/>
                <w:w w:val="105"/>
                <w:sz w:val="16"/>
              </w:rPr>
              <w:t>1330</w:t>
            </w:r>
          </w:p>
        </w:tc>
        <w:tc>
          <w:tcPr>
            <w:tcW w:w="2492" w:type="dxa"/>
            <w:tcBorders>
              <w:top w:val="single" w:sz="2" w:space="0" w:color="000000"/>
            </w:tcBorders>
          </w:tcPr>
          <w:p w14:paraId="6EBBF124" w14:textId="77777777" w:rsidR="00084F36" w:rsidRPr="00EB2BD8" w:rsidRDefault="00EB2BD8">
            <w:pPr>
              <w:pStyle w:val="TableParagraph"/>
              <w:spacing w:before="114"/>
              <w:ind w:left="334"/>
              <w:rPr>
                <w:sz w:val="16"/>
              </w:rPr>
            </w:pPr>
            <w:r w:rsidRPr="00EB2BD8">
              <w:rPr>
                <w:spacing w:val="-4"/>
                <w:sz w:val="16"/>
              </w:rPr>
              <w:t>Issuing</w:t>
            </w:r>
            <w:r w:rsidRPr="00EB2BD8">
              <w:rPr>
                <w:sz w:val="16"/>
              </w:rPr>
              <w:t xml:space="preserve"> </w:t>
            </w:r>
            <w:r w:rsidRPr="00EB2BD8">
              <w:rPr>
                <w:spacing w:val="-4"/>
                <w:sz w:val="16"/>
              </w:rPr>
              <w:t>building</w:t>
            </w:r>
            <w:r w:rsidRPr="00EB2BD8">
              <w:rPr>
                <w:sz w:val="16"/>
              </w:rPr>
              <w:t xml:space="preserve"> </w:t>
            </w:r>
            <w:r w:rsidRPr="00EB2BD8">
              <w:rPr>
                <w:spacing w:val="-4"/>
                <w:sz w:val="16"/>
              </w:rPr>
              <w:t>permits</w:t>
            </w:r>
          </w:p>
        </w:tc>
        <w:tc>
          <w:tcPr>
            <w:tcW w:w="2286" w:type="dxa"/>
            <w:tcBorders>
              <w:top w:val="single" w:sz="2" w:space="0" w:color="000000"/>
            </w:tcBorders>
          </w:tcPr>
          <w:p w14:paraId="3B1EEF36" w14:textId="77777777" w:rsidR="00084F36" w:rsidRPr="00EB2BD8" w:rsidRDefault="00EB2BD8">
            <w:pPr>
              <w:pStyle w:val="TableParagraph"/>
              <w:spacing w:before="114"/>
              <w:ind w:left="121"/>
              <w:rPr>
                <w:sz w:val="16"/>
              </w:rPr>
            </w:pPr>
            <w:r w:rsidRPr="00EB2BD8">
              <w:rPr>
                <w:spacing w:val="-2"/>
                <w:sz w:val="16"/>
              </w:rPr>
              <w:t>Reprimands,</w:t>
            </w:r>
            <w:r w:rsidRPr="00EB2BD8">
              <w:rPr>
                <w:spacing w:val="-4"/>
                <w:sz w:val="16"/>
              </w:rPr>
              <w:t xml:space="preserve"> </w:t>
            </w:r>
            <w:r w:rsidRPr="00EB2BD8">
              <w:rPr>
                <w:spacing w:val="-2"/>
                <w:sz w:val="16"/>
              </w:rPr>
              <w:t>aggregate</w:t>
            </w:r>
          </w:p>
        </w:tc>
        <w:tc>
          <w:tcPr>
            <w:tcW w:w="1079" w:type="dxa"/>
            <w:tcBorders>
              <w:top w:val="single" w:sz="2" w:space="0" w:color="000000"/>
            </w:tcBorders>
          </w:tcPr>
          <w:p w14:paraId="2CCBAB48" w14:textId="77777777" w:rsidR="00084F36" w:rsidRPr="00EB2BD8" w:rsidRDefault="00EB2BD8">
            <w:pPr>
              <w:pStyle w:val="TableParagraph"/>
              <w:spacing w:before="113"/>
              <w:ind w:right="112"/>
              <w:jc w:val="right"/>
              <w:rPr>
                <w:sz w:val="16"/>
              </w:rPr>
            </w:pPr>
            <w:r w:rsidRPr="00EB2BD8">
              <w:rPr>
                <w:spacing w:val="-2"/>
                <w:sz w:val="16"/>
              </w:rPr>
              <w:t>$22,000</w:t>
            </w:r>
          </w:p>
        </w:tc>
        <w:tc>
          <w:tcPr>
            <w:tcW w:w="1176" w:type="dxa"/>
            <w:tcBorders>
              <w:top w:val="single" w:sz="2" w:space="0" w:color="000000"/>
            </w:tcBorders>
          </w:tcPr>
          <w:p w14:paraId="1C76B9A2" w14:textId="77777777" w:rsidR="00084F36" w:rsidRPr="00EB2BD8" w:rsidRDefault="00EB2BD8">
            <w:pPr>
              <w:pStyle w:val="TableParagraph"/>
              <w:spacing w:before="113"/>
              <w:ind w:left="112"/>
              <w:rPr>
                <w:sz w:val="16"/>
              </w:rPr>
            </w:pPr>
            <w:r w:rsidRPr="00EB2BD8">
              <w:rPr>
                <w:spacing w:val="-2"/>
                <w:w w:val="95"/>
                <w:sz w:val="16"/>
              </w:rPr>
              <w:t>19/05/2023</w:t>
            </w:r>
          </w:p>
        </w:tc>
      </w:tr>
      <w:tr w:rsidR="00EB2BD8" w:rsidRPr="00EB2BD8" w14:paraId="562E316F" w14:textId="77777777">
        <w:trPr>
          <w:trHeight w:val="229"/>
        </w:trPr>
        <w:tc>
          <w:tcPr>
            <w:tcW w:w="1705" w:type="dxa"/>
          </w:tcPr>
          <w:p w14:paraId="7BE935C1" w14:textId="77777777" w:rsidR="00084F36" w:rsidRPr="00EB2BD8" w:rsidRDefault="00084F36">
            <w:pPr>
              <w:pStyle w:val="TableParagraph"/>
              <w:rPr>
                <w:rFonts w:ascii="Times New Roman"/>
                <w:sz w:val="16"/>
              </w:rPr>
            </w:pPr>
          </w:p>
        </w:tc>
        <w:tc>
          <w:tcPr>
            <w:tcW w:w="1464" w:type="dxa"/>
          </w:tcPr>
          <w:p w14:paraId="3CC0193C" w14:textId="77777777" w:rsidR="00084F36" w:rsidRPr="00EB2BD8" w:rsidRDefault="00084F36">
            <w:pPr>
              <w:pStyle w:val="TableParagraph"/>
              <w:rPr>
                <w:rFonts w:ascii="Times New Roman"/>
                <w:sz w:val="16"/>
              </w:rPr>
            </w:pPr>
          </w:p>
        </w:tc>
        <w:tc>
          <w:tcPr>
            <w:tcW w:w="2492" w:type="dxa"/>
          </w:tcPr>
          <w:p w14:paraId="3094F0D5" w14:textId="77777777" w:rsidR="00084F36" w:rsidRPr="00EB2BD8" w:rsidRDefault="00EB2BD8">
            <w:pPr>
              <w:pStyle w:val="TableParagraph"/>
              <w:spacing w:before="19"/>
              <w:ind w:left="334"/>
              <w:rPr>
                <w:sz w:val="16"/>
              </w:rPr>
            </w:pPr>
            <w:r w:rsidRPr="00EB2BD8">
              <w:rPr>
                <w:spacing w:val="-2"/>
                <w:w w:val="105"/>
                <w:sz w:val="16"/>
              </w:rPr>
              <w:t>and</w:t>
            </w:r>
            <w:r w:rsidRPr="00EB2BD8">
              <w:rPr>
                <w:spacing w:val="-3"/>
                <w:w w:val="105"/>
                <w:sz w:val="16"/>
              </w:rPr>
              <w:t xml:space="preserve"> </w:t>
            </w:r>
            <w:r w:rsidRPr="00EB2BD8">
              <w:rPr>
                <w:spacing w:val="-2"/>
                <w:w w:val="105"/>
                <w:sz w:val="16"/>
              </w:rPr>
              <w:t>occupancy</w:t>
            </w:r>
            <w:r w:rsidRPr="00EB2BD8">
              <w:rPr>
                <w:spacing w:val="-3"/>
                <w:w w:val="105"/>
                <w:sz w:val="16"/>
              </w:rPr>
              <w:t xml:space="preserve"> </w:t>
            </w:r>
            <w:r w:rsidRPr="00EB2BD8">
              <w:rPr>
                <w:spacing w:val="-2"/>
                <w:w w:val="105"/>
                <w:sz w:val="16"/>
              </w:rPr>
              <w:t>permits</w:t>
            </w:r>
          </w:p>
        </w:tc>
        <w:tc>
          <w:tcPr>
            <w:tcW w:w="2286" w:type="dxa"/>
          </w:tcPr>
          <w:p w14:paraId="5CE7F3A5" w14:textId="77777777" w:rsidR="00084F36" w:rsidRPr="00EB2BD8" w:rsidRDefault="00EB2BD8">
            <w:pPr>
              <w:pStyle w:val="TableParagraph"/>
              <w:spacing w:before="19"/>
              <w:ind w:left="121"/>
              <w:rPr>
                <w:sz w:val="16"/>
              </w:rPr>
            </w:pPr>
            <w:r w:rsidRPr="00EB2BD8">
              <w:rPr>
                <w:sz w:val="16"/>
              </w:rPr>
              <w:t>penalties</w:t>
            </w:r>
            <w:r w:rsidRPr="00EB2BD8">
              <w:rPr>
                <w:spacing w:val="-12"/>
                <w:sz w:val="16"/>
              </w:rPr>
              <w:t xml:space="preserve"> </w:t>
            </w:r>
            <w:r w:rsidRPr="00EB2BD8">
              <w:rPr>
                <w:sz w:val="16"/>
              </w:rPr>
              <w:t>of</w:t>
            </w:r>
            <w:r w:rsidRPr="00EB2BD8">
              <w:rPr>
                <w:spacing w:val="-12"/>
                <w:sz w:val="16"/>
              </w:rPr>
              <w:t xml:space="preserve"> </w:t>
            </w:r>
            <w:r w:rsidRPr="00EB2BD8">
              <w:rPr>
                <w:spacing w:val="-2"/>
                <w:sz w:val="16"/>
              </w:rPr>
              <w:t>$22,000,</w:t>
            </w:r>
          </w:p>
        </w:tc>
        <w:tc>
          <w:tcPr>
            <w:tcW w:w="1079" w:type="dxa"/>
          </w:tcPr>
          <w:p w14:paraId="497AD9BB" w14:textId="77777777" w:rsidR="00084F36" w:rsidRPr="00EB2BD8" w:rsidRDefault="00084F36">
            <w:pPr>
              <w:pStyle w:val="TableParagraph"/>
              <w:rPr>
                <w:rFonts w:ascii="Times New Roman"/>
                <w:sz w:val="16"/>
              </w:rPr>
            </w:pPr>
          </w:p>
        </w:tc>
        <w:tc>
          <w:tcPr>
            <w:tcW w:w="1176" w:type="dxa"/>
          </w:tcPr>
          <w:p w14:paraId="08FFBE24" w14:textId="77777777" w:rsidR="00084F36" w:rsidRPr="00EB2BD8" w:rsidRDefault="00084F36">
            <w:pPr>
              <w:pStyle w:val="TableParagraph"/>
              <w:rPr>
                <w:rFonts w:ascii="Times New Roman"/>
                <w:sz w:val="16"/>
              </w:rPr>
            </w:pPr>
          </w:p>
        </w:tc>
      </w:tr>
      <w:tr w:rsidR="00EB2BD8" w:rsidRPr="00EB2BD8" w14:paraId="0F9A796C" w14:textId="77777777">
        <w:trPr>
          <w:trHeight w:val="229"/>
        </w:trPr>
        <w:tc>
          <w:tcPr>
            <w:tcW w:w="1705" w:type="dxa"/>
          </w:tcPr>
          <w:p w14:paraId="452B5EAB" w14:textId="77777777" w:rsidR="00084F36" w:rsidRPr="00EB2BD8" w:rsidRDefault="00084F36">
            <w:pPr>
              <w:pStyle w:val="TableParagraph"/>
              <w:rPr>
                <w:rFonts w:ascii="Times New Roman"/>
                <w:sz w:val="16"/>
              </w:rPr>
            </w:pPr>
          </w:p>
        </w:tc>
        <w:tc>
          <w:tcPr>
            <w:tcW w:w="1464" w:type="dxa"/>
          </w:tcPr>
          <w:p w14:paraId="2BDB9CD1" w14:textId="77777777" w:rsidR="00084F36" w:rsidRPr="00EB2BD8" w:rsidRDefault="00084F36">
            <w:pPr>
              <w:pStyle w:val="TableParagraph"/>
              <w:rPr>
                <w:rFonts w:ascii="Times New Roman"/>
                <w:sz w:val="16"/>
              </w:rPr>
            </w:pPr>
          </w:p>
        </w:tc>
        <w:tc>
          <w:tcPr>
            <w:tcW w:w="2492" w:type="dxa"/>
          </w:tcPr>
          <w:p w14:paraId="231BB779" w14:textId="77777777" w:rsidR="00084F36" w:rsidRPr="00EB2BD8" w:rsidRDefault="00EB2BD8">
            <w:pPr>
              <w:pStyle w:val="TableParagraph"/>
              <w:spacing w:before="19"/>
              <w:ind w:left="334"/>
              <w:rPr>
                <w:sz w:val="16"/>
              </w:rPr>
            </w:pPr>
            <w:r w:rsidRPr="00EB2BD8">
              <w:rPr>
                <w:spacing w:val="-2"/>
                <w:sz w:val="16"/>
              </w:rPr>
              <w:t>without</w:t>
            </w:r>
            <w:r w:rsidRPr="00EB2BD8">
              <w:rPr>
                <w:spacing w:val="-7"/>
                <w:sz w:val="16"/>
              </w:rPr>
              <w:t xml:space="preserve"> </w:t>
            </w:r>
            <w:r w:rsidRPr="00EB2BD8">
              <w:rPr>
                <w:spacing w:val="-2"/>
                <w:sz w:val="16"/>
              </w:rPr>
              <w:t>justification</w:t>
            </w:r>
            <w:r w:rsidRPr="00EB2BD8">
              <w:rPr>
                <w:spacing w:val="-6"/>
                <w:sz w:val="16"/>
              </w:rPr>
              <w:t xml:space="preserve"> </w:t>
            </w:r>
            <w:r w:rsidRPr="00EB2BD8">
              <w:rPr>
                <w:spacing w:val="-5"/>
                <w:sz w:val="16"/>
              </w:rPr>
              <w:t>in</w:t>
            </w:r>
          </w:p>
        </w:tc>
        <w:tc>
          <w:tcPr>
            <w:tcW w:w="2286" w:type="dxa"/>
          </w:tcPr>
          <w:p w14:paraId="795A639C" w14:textId="77777777" w:rsidR="00084F36" w:rsidRPr="00EB2BD8" w:rsidRDefault="00EB2BD8">
            <w:pPr>
              <w:pStyle w:val="TableParagraph"/>
              <w:spacing w:before="19"/>
              <w:ind w:left="121"/>
              <w:rPr>
                <w:sz w:val="16"/>
              </w:rPr>
            </w:pPr>
            <w:r w:rsidRPr="00EB2BD8">
              <w:rPr>
                <w:spacing w:val="-2"/>
                <w:sz w:val="16"/>
              </w:rPr>
              <w:t>registration</w:t>
            </w:r>
            <w:r w:rsidRPr="00EB2BD8">
              <w:rPr>
                <w:spacing w:val="-1"/>
                <w:sz w:val="16"/>
              </w:rPr>
              <w:t xml:space="preserve"> </w:t>
            </w:r>
            <w:r w:rsidRPr="00EB2BD8">
              <w:rPr>
                <w:spacing w:val="-2"/>
                <w:sz w:val="16"/>
              </w:rPr>
              <w:t>condition</w:t>
            </w:r>
            <w:r w:rsidRPr="00EB2BD8">
              <w:rPr>
                <w:sz w:val="16"/>
              </w:rPr>
              <w:t xml:space="preserve"> </w:t>
            </w:r>
            <w:r w:rsidRPr="00EB2BD8">
              <w:rPr>
                <w:spacing w:val="-5"/>
                <w:sz w:val="16"/>
              </w:rPr>
              <w:t>for</w:t>
            </w:r>
          </w:p>
        </w:tc>
        <w:tc>
          <w:tcPr>
            <w:tcW w:w="1079" w:type="dxa"/>
          </w:tcPr>
          <w:p w14:paraId="1BAC62E4" w14:textId="77777777" w:rsidR="00084F36" w:rsidRPr="00EB2BD8" w:rsidRDefault="00084F36">
            <w:pPr>
              <w:pStyle w:val="TableParagraph"/>
              <w:rPr>
                <w:rFonts w:ascii="Times New Roman"/>
                <w:sz w:val="16"/>
              </w:rPr>
            </w:pPr>
          </w:p>
        </w:tc>
        <w:tc>
          <w:tcPr>
            <w:tcW w:w="1176" w:type="dxa"/>
          </w:tcPr>
          <w:p w14:paraId="3F5A8B30" w14:textId="77777777" w:rsidR="00084F36" w:rsidRPr="00EB2BD8" w:rsidRDefault="00084F36">
            <w:pPr>
              <w:pStyle w:val="TableParagraph"/>
              <w:rPr>
                <w:rFonts w:ascii="Times New Roman"/>
                <w:sz w:val="16"/>
              </w:rPr>
            </w:pPr>
          </w:p>
        </w:tc>
      </w:tr>
      <w:tr w:rsidR="00EB2BD8" w:rsidRPr="00EB2BD8" w14:paraId="5C027288" w14:textId="77777777">
        <w:trPr>
          <w:trHeight w:val="229"/>
        </w:trPr>
        <w:tc>
          <w:tcPr>
            <w:tcW w:w="1705" w:type="dxa"/>
          </w:tcPr>
          <w:p w14:paraId="3430D490" w14:textId="77777777" w:rsidR="00084F36" w:rsidRPr="00EB2BD8" w:rsidRDefault="00084F36">
            <w:pPr>
              <w:pStyle w:val="TableParagraph"/>
              <w:rPr>
                <w:rFonts w:ascii="Times New Roman"/>
                <w:sz w:val="16"/>
              </w:rPr>
            </w:pPr>
          </w:p>
        </w:tc>
        <w:tc>
          <w:tcPr>
            <w:tcW w:w="1464" w:type="dxa"/>
          </w:tcPr>
          <w:p w14:paraId="50577838" w14:textId="77777777" w:rsidR="00084F36" w:rsidRPr="00EB2BD8" w:rsidRDefault="00084F36">
            <w:pPr>
              <w:pStyle w:val="TableParagraph"/>
              <w:rPr>
                <w:rFonts w:ascii="Times New Roman"/>
                <w:sz w:val="16"/>
              </w:rPr>
            </w:pPr>
          </w:p>
        </w:tc>
        <w:tc>
          <w:tcPr>
            <w:tcW w:w="2492" w:type="dxa"/>
          </w:tcPr>
          <w:p w14:paraId="46ABE95D" w14:textId="77777777" w:rsidR="00084F36" w:rsidRPr="00EB2BD8" w:rsidRDefault="00EB2BD8">
            <w:pPr>
              <w:pStyle w:val="TableParagraph"/>
              <w:spacing w:before="19"/>
              <w:ind w:left="334"/>
              <w:rPr>
                <w:sz w:val="16"/>
              </w:rPr>
            </w:pPr>
            <w:r w:rsidRPr="00EB2BD8">
              <w:rPr>
                <w:spacing w:val="-2"/>
                <w:sz w:val="16"/>
              </w:rPr>
              <w:t>respect</w:t>
            </w:r>
            <w:r w:rsidRPr="00EB2BD8">
              <w:rPr>
                <w:spacing w:val="-6"/>
                <w:sz w:val="16"/>
              </w:rPr>
              <w:t xml:space="preserve"> </w:t>
            </w:r>
            <w:r w:rsidRPr="00EB2BD8">
              <w:rPr>
                <w:spacing w:val="-2"/>
                <w:sz w:val="16"/>
              </w:rPr>
              <w:t>of</w:t>
            </w:r>
            <w:r w:rsidRPr="00EB2BD8">
              <w:rPr>
                <w:spacing w:val="-6"/>
                <w:sz w:val="16"/>
              </w:rPr>
              <w:t xml:space="preserve"> </w:t>
            </w:r>
            <w:r w:rsidRPr="00EB2BD8">
              <w:rPr>
                <w:spacing w:val="-2"/>
                <w:sz w:val="16"/>
              </w:rPr>
              <w:t>four</w:t>
            </w:r>
            <w:r w:rsidRPr="00EB2BD8">
              <w:rPr>
                <w:spacing w:val="-5"/>
                <w:sz w:val="16"/>
              </w:rPr>
              <w:t xml:space="preserve"> </w:t>
            </w:r>
            <w:r w:rsidRPr="00EB2BD8">
              <w:rPr>
                <w:spacing w:val="-2"/>
                <w:sz w:val="16"/>
              </w:rPr>
              <w:t>buildings</w:t>
            </w:r>
          </w:p>
        </w:tc>
        <w:tc>
          <w:tcPr>
            <w:tcW w:w="2286" w:type="dxa"/>
          </w:tcPr>
          <w:p w14:paraId="4C2479A3" w14:textId="77777777" w:rsidR="00084F36" w:rsidRPr="00EB2BD8" w:rsidRDefault="00EB2BD8">
            <w:pPr>
              <w:pStyle w:val="TableParagraph"/>
              <w:spacing w:before="19"/>
              <w:ind w:left="121"/>
              <w:rPr>
                <w:sz w:val="16"/>
              </w:rPr>
            </w:pPr>
            <w:r w:rsidRPr="00EB2BD8">
              <w:rPr>
                <w:spacing w:val="-4"/>
                <w:sz w:val="16"/>
              </w:rPr>
              <w:t>no</w:t>
            </w:r>
            <w:r w:rsidRPr="00EB2BD8">
              <w:rPr>
                <w:spacing w:val="-8"/>
                <w:sz w:val="16"/>
              </w:rPr>
              <w:t xml:space="preserve"> </w:t>
            </w:r>
            <w:r w:rsidRPr="00EB2BD8">
              <w:rPr>
                <w:spacing w:val="-4"/>
                <w:sz w:val="16"/>
              </w:rPr>
              <w:t>new</w:t>
            </w:r>
            <w:r w:rsidRPr="00EB2BD8">
              <w:rPr>
                <w:spacing w:val="-8"/>
                <w:sz w:val="16"/>
              </w:rPr>
              <w:t xml:space="preserve"> </w:t>
            </w:r>
            <w:r w:rsidRPr="00EB2BD8">
              <w:rPr>
                <w:spacing w:val="-4"/>
                <w:sz w:val="16"/>
              </w:rPr>
              <w:t>work</w:t>
            </w:r>
            <w:r w:rsidRPr="00EB2BD8">
              <w:rPr>
                <w:spacing w:val="-7"/>
                <w:sz w:val="16"/>
              </w:rPr>
              <w:t xml:space="preserve"> </w:t>
            </w:r>
            <w:r w:rsidRPr="00EB2BD8">
              <w:rPr>
                <w:spacing w:val="-4"/>
                <w:sz w:val="16"/>
              </w:rPr>
              <w:t>on</w:t>
            </w:r>
            <w:r w:rsidRPr="00EB2BD8">
              <w:rPr>
                <w:spacing w:val="-8"/>
                <w:sz w:val="16"/>
              </w:rPr>
              <w:t xml:space="preserve"> </w:t>
            </w:r>
            <w:r w:rsidRPr="00EB2BD8">
              <w:rPr>
                <w:spacing w:val="-4"/>
                <w:sz w:val="16"/>
              </w:rPr>
              <w:t>class</w:t>
            </w:r>
            <w:r w:rsidRPr="00EB2BD8">
              <w:rPr>
                <w:spacing w:val="-8"/>
                <w:sz w:val="16"/>
              </w:rPr>
              <w:t xml:space="preserve"> </w:t>
            </w:r>
            <w:r w:rsidRPr="00EB2BD8">
              <w:rPr>
                <w:spacing w:val="-4"/>
                <w:sz w:val="16"/>
              </w:rPr>
              <w:t>2,</w:t>
            </w:r>
            <w:r w:rsidRPr="00EB2BD8">
              <w:rPr>
                <w:spacing w:val="-7"/>
                <w:sz w:val="16"/>
              </w:rPr>
              <w:t xml:space="preserve"> </w:t>
            </w:r>
            <w:r w:rsidRPr="00EB2BD8">
              <w:rPr>
                <w:spacing w:val="-5"/>
                <w:sz w:val="16"/>
              </w:rPr>
              <w:t>3,</w:t>
            </w:r>
          </w:p>
        </w:tc>
        <w:tc>
          <w:tcPr>
            <w:tcW w:w="1079" w:type="dxa"/>
          </w:tcPr>
          <w:p w14:paraId="2E5B4ECA" w14:textId="77777777" w:rsidR="00084F36" w:rsidRPr="00EB2BD8" w:rsidRDefault="00084F36">
            <w:pPr>
              <w:pStyle w:val="TableParagraph"/>
              <w:rPr>
                <w:rFonts w:ascii="Times New Roman"/>
                <w:sz w:val="16"/>
              </w:rPr>
            </w:pPr>
          </w:p>
        </w:tc>
        <w:tc>
          <w:tcPr>
            <w:tcW w:w="1176" w:type="dxa"/>
          </w:tcPr>
          <w:p w14:paraId="7FEA566C" w14:textId="77777777" w:rsidR="00084F36" w:rsidRPr="00EB2BD8" w:rsidRDefault="00084F36">
            <w:pPr>
              <w:pStyle w:val="TableParagraph"/>
              <w:rPr>
                <w:rFonts w:ascii="Times New Roman"/>
                <w:sz w:val="16"/>
              </w:rPr>
            </w:pPr>
          </w:p>
        </w:tc>
      </w:tr>
      <w:tr w:rsidR="00EB2BD8" w:rsidRPr="00EB2BD8" w14:paraId="3C73B6B9" w14:textId="77777777">
        <w:trPr>
          <w:trHeight w:val="229"/>
        </w:trPr>
        <w:tc>
          <w:tcPr>
            <w:tcW w:w="1705" w:type="dxa"/>
          </w:tcPr>
          <w:p w14:paraId="64F0AAA3" w14:textId="77777777" w:rsidR="00084F36" w:rsidRPr="00EB2BD8" w:rsidRDefault="00084F36">
            <w:pPr>
              <w:pStyle w:val="TableParagraph"/>
              <w:rPr>
                <w:rFonts w:ascii="Times New Roman"/>
                <w:sz w:val="16"/>
              </w:rPr>
            </w:pPr>
          </w:p>
        </w:tc>
        <w:tc>
          <w:tcPr>
            <w:tcW w:w="1464" w:type="dxa"/>
          </w:tcPr>
          <w:p w14:paraId="7FCF2A3E" w14:textId="77777777" w:rsidR="00084F36" w:rsidRPr="00EB2BD8" w:rsidRDefault="00084F36">
            <w:pPr>
              <w:pStyle w:val="TableParagraph"/>
              <w:rPr>
                <w:rFonts w:ascii="Times New Roman"/>
                <w:sz w:val="16"/>
              </w:rPr>
            </w:pPr>
          </w:p>
        </w:tc>
        <w:tc>
          <w:tcPr>
            <w:tcW w:w="2492" w:type="dxa"/>
          </w:tcPr>
          <w:p w14:paraId="49949677" w14:textId="77777777" w:rsidR="00084F36" w:rsidRPr="00EB2BD8" w:rsidRDefault="00EB2BD8">
            <w:pPr>
              <w:pStyle w:val="TableParagraph"/>
              <w:spacing w:before="19"/>
              <w:ind w:left="334"/>
              <w:rPr>
                <w:sz w:val="16"/>
              </w:rPr>
            </w:pPr>
            <w:r w:rsidRPr="00EB2BD8">
              <w:rPr>
                <w:spacing w:val="-2"/>
                <w:sz w:val="16"/>
              </w:rPr>
              <w:t>on</w:t>
            </w:r>
            <w:r w:rsidRPr="00EB2BD8">
              <w:rPr>
                <w:spacing w:val="-11"/>
                <w:sz w:val="16"/>
              </w:rPr>
              <w:t xml:space="preserve"> </w:t>
            </w:r>
            <w:r w:rsidRPr="00EB2BD8">
              <w:rPr>
                <w:spacing w:val="-2"/>
                <w:sz w:val="16"/>
              </w:rPr>
              <w:t>2</w:t>
            </w:r>
            <w:r w:rsidRPr="00EB2BD8">
              <w:rPr>
                <w:spacing w:val="-11"/>
                <w:sz w:val="16"/>
              </w:rPr>
              <w:t xml:space="preserve"> </w:t>
            </w:r>
            <w:r w:rsidRPr="00EB2BD8">
              <w:rPr>
                <w:spacing w:val="-2"/>
                <w:sz w:val="16"/>
              </w:rPr>
              <w:t>sites</w:t>
            </w:r>
            <w:r w:rsidRPr="00EB2BD8">
              <w:rPr>
                <w:spacing w:val="-10"/>
                <w:sz w:val="16"/>
              </w:rPr>
              <w:t xml:space="preserve"> </w:t>
            </w:r>
            <w:r w:rsidRPr="00EB2BD8">
              <w:rPr>
                <w:spacing w:val="-2"/>
                <w:sz w:val="16"/>
              </w:rPr>
              <w:t>(at</w:t>
            </w:r>
            <w:r w:rsidRPr="00EB2BD8">
              <w:rPr>
                <w:spacing w:val="-11"/>
                <w:sz w:val="16"/>
              </w:rPr>
              <w:t xml:space="preserve"> </w:t>
            </w:r>
            <w:r w:rsidRPr="00EB2BD8">
              <w:rPr>
                <w:spacing w:val="-2"/>
                <w:sz w:val="16"/>
              </w:rPr>
              <w:t>Tarneit</w:t>
            </w:r>
            <w:r w:rsidRPr="00EB2BD8">
              <w:rPr>
                <w:spacing w:val="-10"/>
                <w:sz w:val="16"/>
              </w:rPr>
              <w:t xml:space="preserve"> </w:t>
            </w:r>
            <w:r w:rsidRPr="00EB2BD8">
              <w:rPr>
                <w:spacing w:val="-5"/>
                <w:sz w:val="16"/>
              </w:rPr>
              <w:t>and</w:t>
            </w:r>
          </w:p>
        </w:tc>
        <w:tc>
          <w:tcPr>
            <w:tcW w:w="2286" w:type="dxa"/>
          </w:tcPr>
          <w:p w14:paraId="645D3C81" w14:textId="77777777" w:rsidR="00084F36" w:rsidRPr="00EB2BD8" w:rsidRDefault="00EB2BD8">
            <w:pPr>
              <w:pStyle w:val="TableParagraph"/>
              <w:spacing w:before="19"/>
              <w:ind w:left="121"/>
              <w:rPr>
                <w:sz w:val="16"/>
              </w:rPr>
            </w:pPr>
            <w:r w:rsidRPr="00EB2BD8">
              <w:rPr>
                <w:spacing w:val="-2"/>
                <w:sz w:val="16"/>
              </w:rPr>
              <w:t>4</w:t>
            </w:r>
            <w:r w:rsidRPr="00EB2BD8">
              <w:rPr>
                <w:spacing w:val="-12"/>
                <w:sz w:val="16"/>
              </w:rPr>
              <w:t xml:space="preserve"> </w:t>
            </w:r>
            <w:r w:rsidRPr="00EB2BD8">
              <w:rPr>
                <w:spacing w:val="-2"/>
                <w:sz w:val="16"/>
              </w:rPr>
              <w:t>or</w:t>
            </w:r>
            <w:r w:rsidRPr="00EB2BD8">
              <w:rPr>
                <w:spacing w:val="-11"/>
                <w:sz w:val="16"/>
              </w:rPr>
              <w:t xml:space="preserve"> </w:t>
            </w:r>
            <w:r w:rsidRPr="00EB2BD8">
              <w:rPr>
                <w:spacing w:val="-2"/>
                <w:sz w:val="16"/>
              </w:rPr>
              <w:t>9</w:t>
            </w:r>
            <w:r w:rsidRPr="00EB2BD8">
              <w:rPr>
                <w:spacing w:val="-11"/>
                <w:sz w:val="16"/>
              </w:rPr>
              <w:t xml:space="preserve"> </w:t>
            </w:r>
            <w:r w:rsidRPr="00EB2BD8">
              <w:rPr>
                <w:spacing w:val="-2"/>
                <w:sz w:val="16"/>
              </w:rPr>
              <w:t>buildings</w:t>
            </w:r>
            <w:r w:rsidRPr="00EB2BD8">
              <w:rPr>
                <w:spacing w:val="-11"/>
                <w:sz w:val="16"/>
              </w:rPr>
              <w:t xml:space="preserve"> </w:t>
            </w:r>
            <w:r w:rsidRPr="00EB2BD8">
              <w:rPr>
                <w:spacing w:val="-2"/>
                <w:sz w:val="16"/>
              </w:rPr>
              <w:t>of</w:t>
            </w:r>
            <w:r w:rsidRPr="00EB2BD8">
              <w:rPr>
                <w:spacing w:val="-11"/>
                <w:sz w:val="16"/>
              </w:rPr>
              <w:t xml:space="preserve"> </w:t>
            </w:r>
            <w:r w:rsidRPr="00EB2BD8">
              <w:rPr>
                <w:spacing w:val="-2"/>
                <w:sz w:val="16"/>
              </w:rPr>
              <w:t>Type</w:t>
            </w:r>
            <w:r w:rsidRPr="00EB2BD8">
              <w:rPr>
                <w:spacing w:val="-11"/>
                <w:sz w:val="16"/>
              </w:rPr>
              <w:t xml:space="preserve"> </w:t>
            </w:r>
            <w:r w:rsidRPr="00EB2BD8">
              <w:rPr>
                <w:spacing w:val="-10"/>
                <w:sz w:val="16"/>
              </w:rPr>
              <w:t>A</w:t>
            </w:r>
          </w:p>
        </w:tc>
        <w:tc>
          <w:tcPr>
            <w:tcW w:w="1079" w:type="dxa"/>
          </w:tcPr>
          <w:p w14:paraId="67E70291" w14:textId="77777777" w:rsidR="00084F36" w:rsidRPr="00EB2BD8" w:rsidRDefault="00084F36">
            <w:pPr>
              <w:pStyle w:val="TableParagraph"/>
              <w:rPr>
                <w:rFonts w:ascii="Times New Roman"/>
                <w:sz w:val="16"/>
              </w:rPr>
            </w:pPr>
          </w:p>
        </w:tc>
        <w:tc>
          <w:tcPr>
            <w:tcW w:w="1176" w:type="dxa"/>
          </w:tcPr>
          <w:p w14:paraId="245A6F7C" w14:textId="77777777" w:rsidR="00084F36" w:rsidRPr="00EB2BD8" w:rsidRDefault="00084F36">
            <w:pPr>
              <w:pStyle w:val="TableParagraph"/>
              <w:rPr>
                <w:rFonts w:ascii="Times New Roman"/>
                <w:sz w:val="16"/>
              </w:rPr>
            </w:pPr>
          </w:p>
        </w:tc>
      </w:tr>
      <w:tr w:rsidR="00EB2BD8" w:rsidRPr="00EB2BD8" w14:paraId="01315045" w14:textId="77777777">
        <w:trPr>
          <w:trHeight w:val="230"/>
        </w:trPr>
        <w:tc>
          <w:tcPr>
            <w:tcW w:w="1705" w:type="dxa"/>
          </w:tcPr>
          <w:p w14:paraId="3E35A668" w14:textId="77777777" w:rsidR="00084F36" w:rsidRPr="00EB2BD8" w:rsidRDefault="00084F36">
            <w:pPr>
              <w:pStyle w:val="TableParagraph"/>
              <w:rPr>
                <w:rFonts w:ascii="Times New Roman"/>
                <w:sz w:val="16"/>
              </w:rPr>
            </w:pPr>
          </w:p>
        </w:tc>
        <w:tc>
          <w:tcPr>
            <w:tcW w:w="1464" w:type="dxa"/>
          </w:tcPr>
          <w:p w14:paraId="2B3DBD66" w14:textId="77777777" w:rsidR="00084F36" w:rsidRPr="00EB2BD8" w:rsidRDefault="00084F36">
            <w:pPr>
              <w:pStyle w:val="TableParagraph"/>
              <w:rPr>
                <w:rFonts w:ascii="Times New Roman"/>
                <w:sz w:val="16"/>
              </w:rPr>
            </w:pPr>
          </w:p>
        </w:tc>
        <w:tc>
          <w:tcPr>
            <w:tcW w:w="2492" w:type="dxa"/>
          </w:tcPr>
          <w:p w14:paraId="7A97AED1" w14:textId="77777777" w:rsidR="00084F36" w:rsidRPr="00EB2BD8" w:rsidRDefault="00EB2BD8">
            <w:pPr>
              <w:pStyle w:val="TableParagraph"/>
              <w:spacing w:before="19"/>
              <w:ind w:left="334"/>
              <w:rPr>
                <w:sz w:val="16"/>
              </w:rPr>
            </w:pPr>
            <w:r w:rsidRPr="00EB2BD8">
              <w:rPr>
                <w:sz w:val="16"/>
              </w:rPr>
              <w:t>Dandenong)</w:t>
            </w:r>
            <w:r w:rsidRPr="00EB2BD8">
              <w:rPr>
                <w:spacing w:val="7"/>
                <w:sz w:val="16"/>
              </w:rPr>
              <w:t xml:space="preserve"> </w:t>
            </w:r>
            <w:r w:rsidRPr="00EB2BD8">
              <w:rPr>
                <w:spacing w:val="-2"/>
                <w:sz w:val="16"/>
              </w:rPr>
              <w:t>between</w:t>
            </w:r>
          </w:p>
        </w:tc>
        <w:tc>
          <w:tcPr>
            <w:tcW w:w="2286" w:type="dxa"/>
          </w:tcPr>
          <w:p w14:paraId="281A940B" w14:textId="77777777" w:rsidR="00084F36" w:rsidRPr="00EB2BD8" w:rsidRDefault="00EB2BD8">
            <w:pPr>
              <w:pStyle w:val="TableParagraph"/>
              <w:spacing w:before="19"/>
              <w:ind w:left="121"/>
              <w:rPr>
                <w:sz w:val="16"/>
              </w:rPr>
            </w:pPr>
            <w:r w:rsidRPr="00EB2BD8">
              <w:rPr>
                <w:spacing w:val="-2"/>
                <w:sz w:val="16"/>
              </w:rPr>
              <w:t>construction</w:t>
            </w:r>
            <w:r w:rsidRPr="00EB2BD8">
              <w:rPr>
                <w:spacing w:val="-6"/>
                <w:sz w:val="16"/>
              </w:rPr>
              <w:t xml:space="preserve"> </w:t>
            </w:r>
            <w:r w:rsidRPr="00EB2BD8">
              <w:rPr>
                <w:spacing w:val="-2"/>
                <w:sz w:val="16"/>
              </w:rPr>
              <w:t>for</w:t>
            </w:r>
            <w:r w:rsidRPr="00EB2BD8">
              <w:rPr>
                <w:spacing w:val="-6"/>
                <w:sz w:val="16"/>
              </w:rPr>
              <w:t xml:space="preserve"> </w:t>
            </w:r>
            <w:r w:rsidRPr="00EB2BD8">
              <w:rPr>
                <w:spacing w:val="-2"/>
                <w:sz w:val="16"/>
              </w:rPr>
              <w:t>6</w:t>
            </w:r>
            <w:r w:rsidRPr="00EB2BD8">
              <w:rPr>
                <w:spacing w:val="-6"/>
                <w:sz w:val="16"/>
              </w:rPr>
              <w:t xml:space="preserve"> </w:t>
            </w:r>
            <w:r w:rsidRPr="00EB2BD8">
              <w:rPr>
                <w:spacing w:val="-2"/>
                <w:sz w:val="16"/>
              </w:rPr>
              <w:t>months.</w:t>
            </w:r>
          </w:p>
        </w:tc>
        <w:tc>
          <w:tcPr>
            <w:tcW w:w="1079" w:type="dxa"/>
          </w:tcPr>
          <w:p w14:paraId="1EAE3740" w14:textId="77777777" w:rsidR="00084F36" w:rsidRPr="00EB2BD8" w:rsidRDefault="00084F36">
            <w:pPr>
              <w:pStyle w:val="TableParagraph"/>
              <w:rPr>
                <w:rFonts w:ascii="Times New Roman"/>
                <w:sz w:val="16"/>
              </w:rPr>
            </w:pPr>
          </w:p>
        </w:tc>
        <w:tc>
          <w:tcPr>
            <w:tcW w:w="1176" w:type="dxa"/>
          </w:tcPr>
          <w:p w14:paraId="1C8A5025" w14:textId="77777777" w:rsidR="00084F36" w:rsidRPr="00EB2BD8" w:rsidRDefault="00084F36">
            <w:pPr>
              <w:pStyle w:val="TableParagraph"/>
              <w:rPr>
                <w:rFonts w:ascii="Times New Roman"/>
                <w:sz w:val="16"/>
              </w:rPr>
            </w:pPr>
          </w:p>
        </w:tc>
      </w:tr>
      <w:tr w:rsidR="00EB2BD8" w:rsidRPr="00EB2BD8" w14:paraId="00110BC2" w14:textId="77777777">
        <w:trPr>
          <w:trHeight w:val="229"/>
        </w:trPr>
        <w:tc>
          <w:tcPr>
            <w:tcW w:w="1705" w:type="dxa"/>
          </w:tcPr>
          <w:p w14:paraId="5BE11CB7" w14:textId="77777777" w:rsidR="00084F36" w:rsidRPr="00EB2BD8" w:rsidRDefault="00084F36">
            <w:pPr>
              <w:pStyle w:val="TableParagraph"/>
              <w:rPr>
                <w:rFonts w:ascii="Times New Roman"/>
                <w:sz w:val="16"/>
              </w:rPr>
            </w:pPr>
          </w:p>
        </w:tc>
        <w:tc>
          <w:tcPr>
            <w:tcW w:w="1464" w:type="dxa"/>
          </w:tcPr>
          <w:p w14:paraId="6617746B" w14:textId="77777777" w:rsidR="00084F36" w:rsidRPr="00EB2BD8" w:rsidRDefault="00084F36">
            <w:pPr>
              <w:pStyle w:val="TableParagraph"/>
              <w:rPr>
                <w:rFonts w:ascii="Times New Roman"/>
                <w:sz w:val="16"/>
              </w:rPr>
            </w:pPr>
          </w:p>
        </w:tc>
        <w:tc>
          <w:tcPr>
            <w:tcW w:w="2492" w:type="dxa"/>
          </w:tcPr>
          <w:p w14:paraId="2CDA0D4E" w14:textId="77777777" w:rsidR="00084F36" w:rsidRPr="00EB2BD8" w:rsidRDefault="00EB2BD8">
            <w:pPr>
              <w:pStyle w:val="TableParagraph"/>
              <w:spacing w:before="19"/>
              <w:ind w:left="334"/>
              <w:rPr>
                <w:sz w:val="16"/>
              </w:rPr>
            </w:pPr>
            <w:r w:rsidRPr="00EB2BD8">
              <w:rPr>
                <w:spacing w:val="-2"/>
                <w:w w:val="90"/>
                <w:sz w:val="16"/>
              </w:rPr>
              <w:t>2013</w:t>
            </w:r>
            <w:r w:rsidRPr="00EB2BD8">
              <w:rPr>
                <w:spacing w:val="-3"/>
                <w:w w:val="90"/>
                <w:sz w:val="16"/>
              </w:rPr>
              <w:t xml:space="preserve"> </w:t>
            </w:r>
            <w:r w:rsidRPr="00EB2BD8">
              <w:rPr>
                <w:spacing w:val="-2"/>
                <w:w w:val="90"/>
                <w:sz w:val="16"/>
              </w:rPr>
              <w:t>and</w:t>
            </w:r>
            <w:r w:rsidRPr="00EB2BD8">
              <w:rPr>
                <w:spacing w:val="-3"/>
                <w:w w:val="90"/>
                <w:sz w:val="16"/>
              </w:rPr>
              <w:t xml:space="preserve"> </w:t>
            </w:r>
            <w:r w:rsidRPr="00EB2BD8">
              <w:rPr>
                <w:spacing w:val="-2"/>
                <w:w w:val="90"/>
                <w:sz w:val="16"/>
              </w:rPr>
              <w:t>2016</w:t>
            </w:r>
            <w:r w:rsidRPr="00EB2BD8">
              <w:rPr>
                <w:spacing w:val="-3"/>
                <w:w w:val="90"/>
                <w:sz w:val="16"/>
              </w:rPr>
              <w:t xml:space="preserve"> </w:t>
            </w:r>
            <w:r w:rsidRPr="00EB2BD8">
              <w:rPr>
                <w:spacing w:val="-2"/>
                <w:w w:val="90"/>
                <w:sz w:val="16"/>
              </w:rPr>
              <w:t>in</w:t>
            </w:r>
            <w:r w:rsidRPr="00EB2BD8">
              <w:rPr>
                <w:spacing w:val="-3"/>
                <w:w w:val="90"/>
                <w:sz w:val="16"/>
              </w:rPr>
              <w:t xml:space="preserve"> </w:t>
            </w:r>
            <w:r w:rsidRPr="00EB2BD8">
              <w:rPr>
                <w:spacing w:val="-2"/>
                <w:w w:val="90"/>
                <w:sz w:val="16"/>
              </w:rPr>
              <w:t>respect</w:t>
            </w:r>
          </w:p>
        </w:tc>
        <w:tc>
          <w:tcPr>
            <w:tcW w:w="2286" w:type="dxa"/>
          </w:tcPr>
          <w:p w14:paraId="443D3A69" w14:textId="77777777" w:rsidR="00084F36" w:rsidRPr="00EB2BD8" w:rsidRDefault="00084F36">
            <w:pPr>
              <w:pStyle w:val="TableParagraph"/>
              <w:rPr>
                <w:rFonts w:ascii="Times New Roman"/>
                <w:sz w:val="16"/>
              </w:rPr>
            </w:pPr>
          </w:p>
        </w:tc>
        <w:tc>
          <w:tcPr>
            <w:tcW w:w="1079" w:type="dxa"/>
          </w:tcPr>
          <w:p w14:paraId="7BF69626" w14:textId="77777777" w:rsidR="00084F36" w:rsidRPr="00EB2BD8" w:rsidRDefault="00084F36">
            <w:pPr>
              <w:pStyle w:val="TableParagraph"/>
              <w:rPr>
                <w:rFonts w:ascii="Times New Roman"/>
                <w:sz w:val="16"/>
              </w:rPr>
            </w:pPr>
          </w:p>
        </w:tc>
        <w:tc>
          <w:tcPr>
            <w:tcW w:w="1176" w:type="dxa"/>
          </w:tcPr>
          <w:p w14:paraId="3DEB1F00" w14:textId="77777777" w:rsidR="00084F36" w:rsidRPr="00EB2BD8" w:rsidRDefault="00084F36">
            <w:pPr>
              <w:pStyle w:val="TableParagraph"/>
              <w:rPr>
                <w:rFonts w:ascii="Times New Roman"/>
                <w:sz w:val="16"/>
              </w:rPr>
            </w:pPr>
          </w:p>
        </w:tc>
      </w:tr>
      <w:tr w:rsidR="00EB2BD8" w:rsidRPr="00EB2BD8" w14:paraId="5A20FEBB" w14:textId="77777777">
        <w:trPr>
          <w:trHeight w:val="229"/>
        </w:trPr>
        <w:tc>
          <w:tcPr>
            <w:tcW w:w="1705" w:type="dxa"/>
          </w:tcPr>
          <w:p w14:paraId="28FCD344" w14:textId="77777777" w:rsidR="00084F36" w:rsidRPr="00EB2BD8" w:rsidRDefault="00084F36">
            <w:pPr>
              <w:pStyle w:val="TableParagraph"/>
              <w:rPr>
                <w:rFonts w:ascii="Times New Roman"/>
                <w:sz w:val="16"/>
              </w:rPr>
            </w:pPr>
          </w:p>
        </w:tc>
        <w:tc>
          <w:tcPr>
            <w:tcW w:w="1464" w:type="dxa"/>
          </w:tcPr>
          <w:p w14:paraId="06419D9E" w14:textId="77777777" w:rsidR="00084F36" w:rsidRPr="00EB2BD8" w:rsidRDefault="00084F36">
            <w:pPr>
              <w:pStyle w:val="TableParagraph"/>
              <w:rPr>
                <w:rFonts w:ascii="Times New Roman"/>
                <w:sz w:val="16"/>
              </w:rPr>
            </w:pPr>
          </w:p>
        </w:tc>
        <w:tc>
          <w:tcPr>
            <w:tcW w:w="2492" w:type="dxa"/>
          </w:tcPr>
          <w:p w14:paraId="1E486335" w14:textId="77777777" w:rsidR="00084F36" w:rsidRPr="00EB2BD8" w:rsidRDefault="00EB2BD8">
            <w:pPr>
              <w:pStyle w:val="TableParagraph"/>
              <w:spacing w:before="19"/>
              <w:ind w:left="334"/>
              <w:rPr>
                <w:sz w:val="16"/>
              </w:rPr>
            </w:pPr>
            <w:r w:rsidRPr="00EB2BD8">
              <w:rPr>
                <w:spacing w:val="-2"/>
                <w:sz w:val="16"/>
              </w:rPr>
              <w:t>of</w:t>
            </w:r>
            <w:r w:rsidRPr="00EB2BD8">
              <w:rPr>
                <w:spacing w:val="-10"/>
                <w:sz w:val="16"/>
              </w:rPr>
              <w:t xml:space="preserve"> </w:t>
            </w:r>
            <w:r w:rsidRPr="00EB2BD8">
              <w:rPr>
                <w:spacing w:val="-2"/>
                <w:sz w:val="16"/>
              </w:rPr>
              <w:t>the</w:t>
            </w:r>
            <w:r w:rsidRPr="00EB2BD8">
              <w:rPr>
                <w:spacing w:val="-9"/>
                <w:sz w:val="16"/>
              </w:rPr>
              <w:t xml:space="preserve"> </w:t>
            </w:r>
            <w:r w:rsidRPr="00EB2BD8">
              <w:rPr>
                <w:spacing w:val="-2"/>
                <w:sz w:val="16"/>
              </w:rPr>
              <w:t>use</w:t>
            </w:r>
            <w:r w:rsidRPr="00EB2BD8">
              <w:rPr>
                <w:spacing w:val="-9"/>
                <w:sz w:val="16"/>
              </w:rPr>
              <w:t xml:space="preserve"> </w:t>
            </w:r>
            <w:r w:rsidRPr="00EB2BD8">
              <w:rPr>
                <w:spacing w:val="-2"/>
                <w:sz w:val="16"/>
              </w:rPr>
              <w:t>of</w:t>
            </w:r>
            <w:r w:rsidRPr="00EB2BD8">
              <w:rPr>
                <w:spacing w:val="-9"/>
                <w:sz w:val="16"/>
              </w:rPr>
              <w:t xml:space="preserve"> </w:t>
            </w:r>
            <w:r w:rsidRPr="00EB2BD8">
              <w:rPr>
                <w:spacing w:val="-2"/>
                <w:sz w:val="16"/>
              </w:rPr>
              <w:t>combustible</w:t>
            </w:r>
          </w:p>
        </w:tc>
        <w:tc>
          <w:tcPr>
            <w:tcW w:w="2286" w:type="dxa"/>
          </w:tcPr>
          <w:p w14:paraId="5A12B38E" w14:textId="77777777" w:rsidR="00084F36" w:rsidRPr="00EB2BD8" w:rsidRDefault="00084F36">
            <w:pPr>
              <w:pStyle w:val="TableParagraph"/>
              <w:rPr>
                <w:rFonts w:ascii="Times New Roman"/>
                <w:sz w:val="16"/>
              </w:rPr>
            </w:pPr>
          </w:p>
        </w:tc>
        <w:tc>
          <w:tcPr>
            <w:tcW w:w="1079" w:type="dxa"/>
          </w:tcPr>
          <w:p w14:paraId="1A7F3D7C" w14:textId="77777777" w:rsidR="00084F36" w:rsidRPr="00EB2BD8" w:rsidRDefault="00084F36">
            <w:pPr>
              <w:pStyle w:val="TableParagraph"/>
              <w:rPr>
                <w:rFonts w:ascii="Times New Roman"/>
                <w:sz w:val="16"/>
              </w:rPr>
            </w:pPr>
          </w:p>
        </w:tc>
        <w:tc>
          <w:tcPr>
            <w:tcW w:w="1176" w:type="dxa"/>
          </w:tcPr>
          <w:p w14:paraId="1E666AEE" w14:textId="77777777" w:rsidR="00084F36" w:rsidRPr="00EB2BD8" w:rsidRDefault="00084F36">
            <w:pPr>
              <w:pStyle w:val="TableParagraph"/>
              <w:rPr>
                <w:rFonts w:ascii="Times New Roman"/>
                <w:sz w:val="16"/>
              </w:rPr>
            </w:pPr>
          </w:p>
        </w:tc>
      </w:tr>
      <w:tr w:rsidR="00EB2BD8" w:rsidRPr="00EB2BD8" w14:paraId="4DE83B7D" w14:textId="77777777">
        <w:trPr>
          <w:trHeight w:val="287"/>
        </w:trPr>
        <w:tc>
          <w:tcPr>
            <w:tcW w:w="1705" w:type="dxa"/>
            <w:tcBorders>
              <w:bottom w:val="single" w:sz="2" w:space="0" w:color="000000"/>
            </w:tcBorders>
          </w:tcPr>
          <w:p w14:paraId="3ED936B5"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2E149160" w14:textId="77777777" w:rsidR="00084F36" w:rsidRPr="00EB2BD8" w:rsidRDefault="00084F36">
            <w:pPr>
              <w:pStyle w:val="TableParagraph"/>
              <w:rPr>
                <w:rFonts w:ascii="Times New Roman"/>
                <w:sz w:val="16"/>
              </w:rPr>
            </w:pPr>
          </w:p>
        </w:tc>
        <w:tc>
          <w:tcPr>
            <w:tcW w:w="2492" w:type="dxa"/>
            <w:tcBorders>
              <w:bottom w:val="single" w:sz="2" w:space="0" w:color="000000"/>
            </w:tcBorders>
          </w:tcPr>
          <w:p w14:paraId="6619DE9F" w14:textId="77777777" w:rsidR="00084F36" w:rsidRPr="00EB2BD8" w:rsidRDefault="00EB2BD8">
            <w:pPr>
              <w:pStyle w:val="TableParagraph"/>
              <w:spacing w:before="19"/>
              <w:ind w:left="334"/>
              <w:rPr>
                <w:sz w:val="16"/>
              </w:rPr>
            </w:pPr>
            <w:r w:rsidRPr="00EB2BD8">
              <w:rPr>
                <w:sz w:val="16"/>
              </w:rPr>
              <w:t>cladding</w:t>
            </w:r>
            <w:r w:rsidRPr="00EB2BD8">
              <w:rPr>
                <w:spacing w:val="-12"/>
                <w:sz w:val="16"/>
              </w:rPr>
              <w:t xml:space="preserve"> </w:t>
            </w:r>
            <w:r w:rsidRPr="00EB2BD8">
              <w:rPr>
                <w:sz w:val="16"/>
              </w:rPr>
              <w:t>in</w:t>
            </w:r>
            <w:r w:rsidRPr="00EB2BD8">
              <w:rPr>
                <w:spacing w:val="-11"/>
                <w:sz w:val="16"/>
              </w:rPr>
              <w:t xml:space="preserve"> </w:t>
            </w:r>
            <w:r w:rsidRPr="00EB2BD8">
              <w:rPr>
                <w:sz w:val="16"/>
              </w:rPr>
              <w:t>external</w:t>
            </w:r>
            <w:r w:rsidRPr="00EB2BD8">
              <w:rPr>
                <w:spacing w:val="-12"/>
                <w:sz w:val="16"/>
              </w:rPr>
              <w:t xml:space="preserve"> </w:t>
            </w:r>
            <w:r w:rsidRPr="00EB2BD8">
              <w:rPr>
                <w:spacing w:val="-2"/>
                <w:sz w:val="16"/>
              </w:rPr>
              <w:t>walls.</w:t>
            </w:r>
          </w:p>
        </w:tc>
        <w:tc>
          <w:tcPr>
            <w:tcW w:w="2286" w:type="dxa"/>
            <w:tcBorders>
              <w:bottom w:val="single" w:sz="2" w:space="0" w:color="000000"/>
            </w:tcBorders>
          </w:tcPr>
          <w:p w14:paraId="097E764C"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538CF0BD"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60FC662A" w14:textId="77777777" w:rsidR="00084F36" w:rsidRPr="00EB2BD8" w:rsidRDefault="00084F36">
            <w:pPr>
              <w:pStyle w:val="TableParagraph"/>
              <w:rPr>
                <w:rFonts w:ascii="Times New Roman"/>
                <w:sz w:val="16"/>
              </w:rPr>
            </w:pPr>
          </w:p>
        </w:tc>
      </w:tr>
      <w:tr w:rsidR="00EB2BD8" w:rsidRPr="00EB2BD8" w14:paraId="386326BC" w14:textId="77777777">
        <w:trPr>
          <w:trHeight w:val="323"/>
        </w:trPr>
        <w:tc>
          <w:tcPr>
            <w:tcW w:w="1705" w:type="dxa"/>
            <w:tcBorders>
              <w:top w:val="single" w:sz="2" w:space="0" w:color="000000"/>
            </w:tcBorders>
          </w:tcPr>
          <w:p w14:paraId="613F0945" w14:textId="77777777" w:rsidR="00084F36" w:rsidRPr="00EB2BD8" w:rsidRDefault="00EB2BD8">
            <w:pPr>
              <w:pStyle w:val="TableParagraph"/>
              <w:spacing w:before="113"/>
              <w:ind w:left="113"/>
              <w:rPr>
                <w:sz w:val="16"/>
              </w:rPr>
            </w:pPr>
            <w:r w:rsidRPr="00EB2BD8">
              <w:rPr>
                <w:sz w:val="16"/>
              </w:rPr>
              <w:t>NGUYEN,</w:t>
            </w:r>
            <w:r w:rsidRPr="00EB2BD8">
              <w:rPr>
                <w:spacing w:val="1"/>
                <w:sz w:val="16"/>
              </w:rPr>
              <w:t xml:space="preserve"> </w:t>
            </w:r>
            <w:r w:rsidRPr="00EB2BD8">
              <w:rPr>
                <w:spacing w:val="-4"/>
                <w:sz w:val="16"/>
              </w:rPr>
              <w:t>Dang</w:t>
            </w:r>
          </w:p>
        </w:tc>
        <w:tc>
          <w:tcPr>
            <w:tcW w:w="1464" w:type="dxa"/>
            <w:tcBorders>
              <w:top w:val="single" w:sz="2" w:space="0" w:color="000000"/>
            </w:tcBorders>
          </w:tcPr>
          <w:p w14:paraId="4A537442" w14:textId="77777777" w:rsidR="00084F36" w:rsidRPr="00EB2BD8" w:rsidRDefault="00EB2BD8">
            <w:pPr>
              <w:pStyle w:val="TableParagraph"/>
              <w:spacing w:before="113"/>
              <w:ind w:left="165"/>
              <w:rPr>
                <w:sz w:val="16"/>
              </w:rPr>
            </w:pPr>
            <w:r w:rsidRPr="00EB2BD8">
              <w:rPr>
                <w:sz w:val="16"/>
              </w:rPr>
              <w:t>DB-U</w:t>
            </w:r>
            <w:r w:rsidRPr="00EB2BD8">
              <w:rPr>
                <w:spacing w:val="22"/>
                <w:sz w:val="16"/>
              </w:rPr>
              <w:t xml:space="preserve"> </w:t>
            </w:r>
            <w:r w:rsidRPr="00EB2BD8">
              <w:rPr>
                <w:spacing w:val="-2"/>
                <w:sz w:val="16"/>
              </w:rPr>
              <w:t>10247;</w:t>
            </w:r>
          </w:p>
        </w:tc>
        <w:tc>
          <w:tcPr>
            <w:tcW w:w="2492" w:type="dxa"/>
            <w:tcBorders>
              <w:top w:val="single" w:sz="2" w:space="0" w:color="000000"/>
            </w:tcBorders>
          </w:tcPr>
          <w:p w14:paraId="7E9FD9CB" w14:textId="77777777" w:rsidR="00084F36" w:rsidRPr="00EB2BD8" w:rsidRDefault="00EB2BD8">
            <w:pPr>
              <w:pStyle w:val="TableParagraph"/>
              <w:spacing w:before="113"/>
              <w:ind w:left="334"/>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86" w:type="dxa"/>
            <w:tcBorders>
              <w:top w:val="single" w:sz="2" w:space="0" w:color="000000"/>
            </w:tcBorders>
          </w:tcPr>
          <w:p w14:paraId="55734E6F" w14:textId="77777777" w:rsidR="00084F36" w:rsidRPr="00EB2BD8" w:rsidRDefault="00EB2BD8">
            <w:pPr>
              <w:pStyle w:val="TableParagraph"/>
              <w:spacing w:before="113"/>
              <w:ind w:left="121"/>
              <w:rPr>
                <w:sz w:val="16"/>
              </w:rPr>
            </w:pPr>
            <w:r w:rsidRPr="00EB2BD8">
              <w:rPr>
                <w:sz w:val="16"/>
              </w:rPr>
              <w:t>Cancellation</w:t>
            </w:r>
            <w:r w:rsidRPr="00EB2BD8">
              <w:rPr>
                <w:spacing w:val="5"/>
                <w:sz w:val="16"/>
              </w:rPr>
              <w:t xml:space="preserve"> </w:t>
            </w:r>
            <w:r w:rsidRPr="00EB2BD8">
              <w:rPr>
                <w:spacing w:val="-5"/>
                <w:sz w:val="16"/>
              </w:rPr>
              <w:t>of</w:t>
            </w:r>
          </w:p>
        </w:tc>
        <w:tc>
          <w:tcPr>
            <w:tcW w:w="1079" w:type="dxa"/>
            <w:tcBorders>
              <w:top w:val="single" w:sz="2" w:space="0" w:color="000000"/>
            </w:tcBorders>
          </w:tcPr>
          <w:p w14:paraId="4394E4BF" w14:textId="77777777" w:rsidR="00084F36" w:rsidRPr="00EB2BD8" w:rsidRDefault="00EB2BD8">
            <w:pPr>
              <w:pStyle w:val="TableParagraph"/>
              <w:spacing w:before="113"/>
              <w:ind w:right="111"/>
              <w:jc w:val="right"/>
              <w:rPr>
                <w:sz w:val="16"/>
              </w:rPr>
            </w:pPr>
            <w:r w:rsidRPr="00EB2BD8">
              <w:rPr>
                <w:w w:val="124"/>
                <w:sz w:val="16"/>
              </w:rPr>
              <w:t>–</w:t>
            </w:r>
          </w:p>
        </w:tc>
        <w:tc>
          <w:tcPr>
            <w:tcW w:w="1176" w:type="dxa"/>
            <w:tcBorders>
              <w:top w:val="single" w:sz="2" w:space="0" w:color="000000"/>
            </w:tcBorders>
          </w:tcPr>
          <w:p w14:paraId="421846DB" w14:textId="77777777" w:rsidR="00084F36" w:rsidRPr="00EB2BD8" w:rsidRDefault="00EB2BD8">
            <w:pPr>
              <w:pStyle w:val="TableParagraph"/>
              <w:spacing w:before="113"/>
              <w:ind w:left="112"/>
              <w:rPr>
                <w:sz w:val="16"/>
              </w:rPr>
            </w:pPr>
            <w:r w:rsidRPr="00EB2BD8">
              <w:rPr>
                <w:spacing w:val="-2"/>
                <w:w w:val="90"/>
                <w:sz w:val="16"/>
              </w:rPr>
              <w:t>31/01/2023</w:t>
            </w:r>
          </w:p>
        </w:tc>
      </w:tr>
      <w:tr w:rsidR="00EB2BD8" w:rsidRPr="00EB2BD8" w14:paraId="48CDF916" w14:textId="77777777">
        <w:trPr>
          <w:trHeight w:val="230"/>
        </w:trPr>
        <w:tc>
          <w:tcPr>
            <w:tcW w:w="1705" w:type="dxa"/>
          </w:tcPr>
          <w:p w14:paraId="4ED1D8B5" w14:textId="77777777" w:rsidR="00084F36" w:rsidRPr="00EB2BD8" w:rsidRDefault="00084F36">
            <w:pPr>
              <w:pStyle w:val="TableParagraph"/>
              <w:rPr>
                <w:rFonts w:ascii="Times New Roman"/>
                <w:sz w:val="16"/>
              </w:rPr>
            </w:pPr>
          </w:p>
        </w:tc>
        <w:tc>
          <w:tcPr>
            <w:tcW w:w="1464" w:type="dxa"/>
          </w:tcPr>
          <w:p w14:paraId="63736C7F" w14:textId="77777777" w:rsidR="00084F36" w:rsidRPr="00EB2BD8" w:rsidRDefault="00EB2BD8">
            <w:pPr>
              <w:pStyle w:val="TableParagraph"/>
              <w:spacing w:before="19"/>
              <w:ind w:left="165"/>
              <w:rPr>
                <w:sz w:val="16"/>
              </w:rPr>
            </w:pPr>
            <w:r w:rsidRPr="00EB2BD8">
              <w:rPr>
                <w:w w:val="105"/>
                <w:sz w:val="16"/>
              </w:rPr>
              <w:t>CB-U</w:t>
            </w:r>
            <w:r w:rsidRPr="00EB2BD8">
              <w:rPr>
                <w:spacing w:val="11"/>
                <w:w w:val="105"/>
                <w:sz w:val="16"/>
              </w:rPr>
              <w:t xml:space="preserve"> </w:t>
            </w:r>
            <w:r w:rsidRPr="00EB2BD8">
              <w:rPr>
                <w:spacing w:val="-4"/>
                <w:w w:val="105"/>
                <w:sz w:val="16"/>
              </w:rPr>
              <w:t>2689</w:t>
            </w:r>
          </w:p>
        </w:tc>
        <w:tc>
          <w:tcPr>
            <w:tcW w:w="2492" w:type="dxa"/>
          </w:tcPr>
          <w:p w14:paraId="5E162EAF" w14:textId="77777777" w:rsidR="00084F36" w:rsidRPr="00EB2BD8" w:rsidRDefault="00EB2BD8">
            <w:pPr>
              <w:pStyle w:val="TableParagraph"/>
              <w:spacing w:before="19"/>
              <w:ind w:left="334"/>
              <w:rPr>
                <w:sz w:val="16"/>
              </w:rPr>
            </w:pPr>
            <w:r w:rsidRPr="00EB2BD8">
              <w:rPr>
                <w:sz w:val="16"/>
              </w:rPr>
              <w:t xml:space="preserve">company under </w:t>
            </w:r>
            <w:r w:rsidRPr="00EB2BD8">
              <w:rPr>
                <w:spacing w:val="-2"/>
                <w:sz w:val="16"/>
              </w:rPr>
              <w:t>external</w:t>
            </w:r>
          </w:p>
        </w:tc>
        <w:tc>
          <w:tcPr>
            <w:tcW w:w="2286" w:type="dxa"/>
          </w:tcPr>
          <w:p w14:paraId="1409D4A8" w14:textId="77777777" w:rsidR="00084F36" w:rsidRPr="00EB2BD8" w:rsidRDefault="00EB2BD8">
            <w:pPr>
              <w:pStyle w:val="TableParagraph"/>
              <w:spacing w:before="19"/>
              <w:ind w:left="121"/>
              <w:rPr>
                <w:sz w:val="16"/>
              </w:rPr>
            </w:pPr>
            <w:r w:rsidRPr="00EB2BD8">
              <w:rPr>
                <w:spacing w:val="-2"/>
                <w:sz w:val="16"/>
              </w:rPr>
              <w:t>registration.</w:t>
            </w:r>
          </w:p>
        </w:tc>
        <w:tc>
          <w:tcPr>
            <w:tcW w:w="1079" w:type="dxa"/>
          </w:tcPr>
          <w:p w14:paraId="582FE5C8" w14:textId="77777777" w:rsidR="00084F36" w:rsidRPr="00EB2BD8" w:rsidRDefault="00084F36">
            <w:pPr>
              <w:pStyle w:val="TableParagraph"/>
              <w:rPr>
                <w:rFonts w:ascii="Times New Roman"/>
                <w:sz w:val="16"/>
              </w:rPr>
            </w:pPr>
          </w:p>
        </w:tc>
        <w:tc>
          <w:tcPr>
            <w:tcW w:w="1176" w:type="dxa"/>
          </w:tcPr>
          <w:p w14:paraId="408EFEB3" w14:textId="77777777" w:rsidR="00084F36" w:rsidRPr="00EB2BD8" w:rsidRDefault="00084F36">
            <w:pPr>
              <w:pStyle w:val="TableParagraph"/>
              <w:rPr>
                <w:rFonts w:ascii="Times New Roman"/>
                <w:sz w:val="16"/>
              </w:rPr>
            </w:pPr>
          </w:p>
        </w:tc>
      </w:tr>
      <w:tr w:rsidR="00EB2BD8" w:rsidRPr="00EB2BD8" w14:paraId="33DCAC3C" w14:textId="77777777">
        <w:trPr>
          <w:trHeight w:val="317"/>
        </w:trPr>
        <w:tc>
          <w:tcPr>
            <w:tcW w:w="1705" w:type="dxa"/>
            <w:tcBorders>
              <w:bottom w:val="single" w:sz="2" w:space="0" w:color="000000"/>
            </w:tcBorders>
          </w:tcPr>
          <w:p w14:paraId="20D99597"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564C781A" w14:textId="77777777" w:rsidR="00084F36" w:rsidRPr="00EB2BD8" w:rsidRDefault="00084F36">
            <w:pPr>
              <w:pStyle w:val="TableParagraph"/>
              <w:rPr>
                <w:rFonts w:ascii="Times New Roman"/>
                <w:sz w:val="16"/>
              </w:rPr>
            </w:pPr>
          </w:p>
        </w:tc>
        <w:tc>
          <w:tcPr>
            <w:tcW w:w="2492" w:type="dxa"/>
            <w:tcBorders>
              <w:bottom w:val="single" w:sz="2" w:space="0" w:color="000000"/>
            </w:tcBorders>
          </w:tcPr>
          <w:p w14:paraId="4EA86AC4" w14:textId="77777777" w:rsidR="00084F36" w:rsidRPr="00EB2BD8" w:rsidRDefault="00EB2BD8">
            <w:pPr>
              <w:pStyle w:val="TableParagraph"/>
              <w:spacing w:before="19"/>
              <w:ind w:left="334"/>
              <w:rPr>
                <w:sz w:val="16"/>
              </w:rPr>
            </w:pPr>
            <w:r w:rsidRPr="00EB2BD8">
              <w:rPr>
                <w:spacing w:val="-2"/>
                <w:sz w:val="16"/>
              </w:rPr>
              <w:t>administration.</w:t>
            </w:r>
          </w:p>
        </w:tc>
        <w:tc>
          <w:tcPr>
            <w:tcW w:w="2286" w:type="dxa"/>
            <w:tcBorders>
              <w:bottom w:val="single" w:sz="2" w:space="0" w:color="000000"/>
            </w:tcBorders>
          </w:tcPr>
          <w:p w14:paraId="2E14BB91"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6C6C85C3"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1A546CBF" w14:textId="77777777" w:rsidR="00084F36" w:rsidRPr="00EB2BD8" w:rsidRDefault="00084F36">
            <w:pPr>
              <w:pStyle w:val="TableParagraph"/>
              <w:rPr>
                <w:rFonts w:ascii="Times New Roman"/>
                <w:sz w:val="16"/>
              </w:rPr>
            </w:pPr>
          </w:p>
        </w:tc>
      </w:tr>
      <w:tr w:rsidR="00EB2BD8" w:rsidRPr="00EB2BD8" w14:paraId="6E9EE277" w14:textId="77777777">
        <w:trPr>
          <w:trHeight w:val="323"/>
        </w:trPr>
        <w:tc>
          <w:tcPr>
            <w:tcW w:w="1705" w:type="dxa"/>
            <w:tcBorders>
              <w:top w:val="single" w:sz="2" w:space="0" w:color="000000"/>
            </w:tcBorders>
          </w:tcPr>
          <w:p w14:paraId="33C85343" w14:textId="77777777" w:rsidR="00084F36" w:rsidRPr="00EB2BD8" w:rsidRDefault="00EB2BD8">
            <w:pPr>
              <w:pStyle w:val="TableParagraph"/>
              <w:spacing w:before="113"/>
              <w:ind w:left="113"/>
              <w:rPr>
                <w:sz w:val="16"/>
              </w:rPr>
            </w:pPr>
            <w:r w:rsidRPr="00EB2BD8">
              <w:rPr>
                <w:spacing w:val="-4"/>
                <w:sz w:val="16"/>
              </w:rPr>
              <w:t>OSMAN,</w:t>
            </w:r>
            <w:r w:rsidRPr="00EB2BD8">
              <w:rPr>
                <w:spacing w:val="-6"/>
                <w:sz w:val="16"/>
              </w:rPr>
              <w:t xml:space="preserve"> </w:t>
            </w:r>
            <w:r w:rsidRPr="00EB2BD8">
              <w:rPr>
                <w:spacing w:val="-5"/>
                <w:sz w:val="16"/>
              </w:rPr>
              <w:t>Ali</w:t>
            </w:r>
          </w:p>
        </w:tc>
        <w:tc>
          <w:tcPr>
            <w:tcW w:w="1464" w:type="dxa"/>
            <w:tcBorders>
              <w:top w:val="single" w:sz="2" w:space="0" w:color="000000"/>
            </w:tcBorders>
          </w:tcPr>
          <w:p w14:paraId="272F0689" w14:textId="77777777" w:rsidR="00084F36" w:rsidRPr="00EB2BD8" w:rsidRDefault="00EB2BD8">
            <w:pPr>
              <w:pStyle w:val="TableParagraph"/>
              <w:spacing w:before="113"/>
              <w:ind w:left="165"/>
              <w:rPr>
                <w:sz w:val="16"/>
              </w:rPr>
            </w:pPr>
            <w:r w:rsidRPr="00EB2BD8">
              <w:rPr>
                <w:sz w:val="16"/>
              </w:rPr>
              <w:t>DB-U</w:t>
            </w:r>
            <w:r w:rsidRPr="00EB2BD8">
              <w:rPr>
                <w:spacing w:val="22"/>
                <w:sz w:val="16"/>
              </w:rPr>
              <w:t xml:space="preserve"> </w:t>
            </w:r>
            <w:r w:rsidRPr="00EB2BD8">
              <w:rPr>
                <w:spacing w:val="-4"/>
                <w:sz w:val="16"/>
              </w:rPr>
              <w:t>9208</w:t>
            </w:r>
          </w:p>
        </w:tc>
        <w:tc>
          <w:tcPr>
            <w:tcW w:w="2492" w:type="dxa"/>
            <w:tcBorders>
              <w:top w:val="single" w:sz="2" w:space="0" w:color="000000"/>
            </w:tcBorders>
          </w:tcPr>
          <w:p w14:paraId="521A7D66" w14:textId="77777777" w:rsidR="00084F36" w:rsidRPr="00EB2BD8" w:rsidRDefault="00EB2BD8">
            <w:pPr>
              <w:pStyle w:val="TableParagraph"/>
              <w:spacing w:before="113"/>
              <w:ind w:left="334"/>
              <w:rPr>
                <w:sz w:val="16"/>
              </w:rPr>
            </w:pPr>
            <w:r w:rsidRPr="00EB2BD8">
              <w:rPr>
                <w:spacing w:val="-2"/>
                <w:sz w:val="16"/>
              </w:rPr>
              <w:t>Failure</w:t>
            </w:r>
            <w:r w:rsidRPr="00EB2BD8">
              <w:rPr>
                <w:spacing w:val="-7"/>
                <w:sz w:val="16"/>
              </w:rPr>
              <w:t xml:space="preserve"> </w:t>
            </w:r>
            <w:r w:rsidRPr="00EB2BD8">
              <w:rPr>
                <w:spacing w:val="-2"/>
                <w:sz w:val="16"/>
              </w:rPr>
              <w:t>to</w:t>
            </w:r>
            <w:r w:rsidRPr="00EB2BD8">
              <w:rPr>
                <w:spacing w:val="-6"/>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286" w:type="dxa"/>
            <w:tcBorders>
              <w:top w:val="single" w:sz="2" w:space="0" w:color="000000"/>
            </w:tcBorders>
          </w:tcPr>
          <w:p w14:paraId="5D49A4C5" w14:textId="77777777" w:rsidR="00084F36" w:rsidRPr="00EB2BD8" w:rsidRDefault="00EB2BD8">
            <w:pPr>
              <w:pStyle w:val="TableParagraph"/>
              <w:spacing w:before="113"/>
              <w:ind w:left="121"/>
              <w:rPr>
                <w:sz w:val="16"/>
              </w:rPr>
            </w:pPr>
            <w:r w:rsidRPr="00EB2BD8">
              <w:rPr>
                <w:sz w:val="16"/>
              </w:rPr>
              <w:t>Reprimand</w:t>
            </w:r>
            <w:r w:rsidRPr="00EB2BD8">
              <w:rPr>
                <w:spacing w:val="4"/>
                <w:sz w:val="16"/>
              </w:rPr>
              <w:t xml:space="preserve"> </w:t>
            </w:r>
            <w:r w:rsidRPr="00EB2BD8">
              <w:rPr>
                <w:sz w:val="16"/>
              </w:rPr>
              <w:t>and</w:t>
            </w:r>
            <w:r w:rsidRPr="00EB2BD8">
              <w:rPr>
                <w:spacing w:val="4"/>
                <w:sz w:val="16"/>
              </w:rPr>
              <w:t xml:space="preserve"> </w:t>
            </w:r>
            <w:r w:rsidRPr="00EB2BD8">
              <w:rPr>
                <w:spacing w:val="-2"/>
                <w:sz w:val="16"/>
              </w:rPr>
              <w:t>partial</w:t>
            </w:r>
          </w:p>
        </w:tc>
        <w:tc>
          <w:tcPr>
            <w:tcW w:w="1079" w:type="dxa"/>
            <w:tcBorders>
              <w:top w:val="single" w:sz="2" w:space="0" w:color="000000"/>
            </w:tcBorders>
          </w:tcPr>
          <w:p w14:paraId="6D42F6ED" w14:textId="77777777" w:rsidR="00084F36" w:rsidRPr="00EB2BD8" w:rsidRDefault="00EB2BD8">
            <w:pPr>
              <w:pStyle w:val="TableParagraph"/>
              <w:spacing w:before="113"/>
              <w:ind w:right="111"/>
              <w:jc w:val="right"/>
              <w:rPr>
                <w:sz w:val="16"/>
              </w:rPr>
            </w:pPr>
            <w:r w:rsidRPr="00EB2BD8">
              <w:rPr>
                <w:w w:val="124"/>
                <w:sz w:val="16"/>
              </w:rPr>
              <w:t>–</w:t>
            </w:r>
          </w:p>
        </w:tc>
        <w:tc>
          <w:tcPr>
            <w:tcW w:w="1176" w:type="dxa"/>
            <w:tcBorders>
              <w:top w:val="single" w:sz="2" w:space="0" w:color="000000"/>
            </w:tcBorders>
          </w:tcPr>
          <w:p w14:paraId="3D07C860" w14:textId="77777777" w:rsidR="00084F36" w:rsidRPr="00EB2BD8" w:rsidRDefault="00EB2BD8">
            <w:pPr>
              <w:pStyle w:val="TableParagraph"/>
              <w:spacing w:before="113"/>
              <w:ind w:left="112"/>
              <w:rPr>
                <w:sz w:val="16"/>
              </w:rPr>
            </w:pPr>
            <w:r w:rsidRPr="00EB2BD8">
              <w:rPr>
                <w:spacing w:val="-2"/>
                <w:w w:val="95"/>
                <w:sz w:val="16"/>
              </w:rPr>
              <w:t>07/10/2022</w:t>
            </w:r>
          </w:p>
        </w:tc>
      </w:tr>
      <w:tr w:rsidR="00EB2BD8" w:rsidRPr="00EB2BD8" w14:paraId="543725B9" w14:textId="77777777">
        <w:trPr>
          <w:trHeight w:val="229"/>
        </w:trPr>
        <w:tc>
          <w:tcPr>
            <w:tcW w:w="1705" w:type="dxa"/>
          </w:tcPr>
          <w:p w14:paraId="6062D608" w14:textId="77777777" w:rsidR="00084F36" w:rsidRPr="00EB2BD8" w:rsidRDefault="00084F36">
            <w:pPr>
              <w:pStyle w:val="TableParagraph"/>
              <w:rPr>
                <w:rFonts w:ascii="Times New Roman"/>
                <w:sz w:val="16"/>
              </w:rPr>
            </w:pPr>
          </w:p>
        </w:tc>
        <w:tc>
          <w:tcPr>
            <w:tcW w:w="1464" w:type="dxa"/>
          </w:tcPr>
          <w:p w14:paraId="4AB9D2D6" w14:textId="77777777" w:rsidR="00084F36" w:rsidRPr="00EB2BD8" w:rsidRDefault="00084F36">
            <w:pPr>
              <w:pStyle w:val="TableParagraph"/>
              <w:rPr>
                <w:rFonts w:ascii="Times New Roman"/>
                <w:sz w:val="16"/>
              </w:rPr>
            </w:pPr>
          </w:p>
        </w:tc>
        <w:tc>
          <w:tcPr>
            <w:tcW w:w="2492" w:type="dxa"/>
          </w:tcPr>
          <w:p w14:paraId="55DA4517" w14:textId="77777777" w:rsidR="00084F36" w:rsidRPr="00EB2BD8" w:rsidRDefault="00EB2BD8">
            <w:pPr>
              <w:pStyle w:val="TableParagraph"/>
              <w:spacing w:before="19"/>
              <w:ind w:left="334"/>
              <w:rPr>
                <w:sz w:val="16"/>
              </w:rPr>
            </w:pPr>
            <w:r w:rsidRPr="00EB2BD8">
              <w:rPr>
                <w:spacing w:val="-2"/>
                <w:sz w:val="16"/>
              </w:rPr>
              <w:t>requirement</w:t>
            </w:r>
            <w:r w:rsidRPr="00EB2BD8">
              <w:rPr>
                <w:spacing w:val="-6"/>
                <w:sz w:val="16"/>
              </w:rPr>
              <w:t xml:space="preserve"> </w:t>
            </w:r>
            <w:r w:rsidRPr="00EB2BD8">
              <w:rPr>
                <w:spacing w:val="-2"/>
                <w:sz w:val="16"/>
              </w:rPr>
              <w:t>to</w:t>
            </w:r>
            <w:r w:rsidRPr="00EB2BD8">
              <w:rPr>
                <w:spacing w:val="-6"/>
                <w:sz w:val="16"/>
              </w:rPr>
              <w:t xml:space="preserve"> </w:t>
            </w:r>
            <w:r w:rsidRPr="00EB2BD8">
              <w:rPr>
                <w:spacing w:val="-2"/>
                <w:sz w:val="16"/>
              </w:rPr>
              <w:t>undertake</w:t>
            </w:r>
          </w:p>
        </w:tc>
        <w:tc>
          <w:tcPr>
            <w:tcW w:w="2286" w:type="dxa"/>
          </w:tcPr>
          <w:p w14:paraId="31996C08" w14:textId="77777777" w:rsidR="00084F36" w:rsidRPr="00EB2BD8" w:rsidRDefault="00EB2BD8">
            <w:pPr>
              <w:pStyle w:val="TableParagraph"/>
              <w:spacing w:before="19"/>
              <w:ind w:left="121"/>
              <w:rPr>
                <w:sz w:val="16"/>
              </w:rPr>
            </w:pPr>
            <w:r w:rsidRPr="00EB2BD8">
              <w:rPr>
                <w:spacing w:val="-2"/>
                <w:sz w:val="16"/>
              </w:rPr>
              <w:t>suspension</w:t>
            </w:r>
            <w:r w:rsidRPr="00EB2BD8">
              <w:rPr>
                <w:spacing w:val="-10"/>
                <w:sz w:val="16"/>
              </w:rPr>
              <w:t xml:space="preserve"> </w:t>
            </w:r>
            <w:r w:rsidRPr="00EB2BD8">
              <w:rPr>
                <w:spacing w:val="-2"/>
                <w:sz w:val="16"/>
              </w:rPr>
              <w:t>of</w:t>
            </w:r>
            <w:r w:rsidRPr="00EB2BD8">
              <w:rPr>
                <w:spacing w:val="-9"/>
                <w:sz w:val="16"/>
              </w:rPr>
              <w:t xml:space="preserve"> </w:t>
            </w:r>
            <w:r w:rsidRPr="00EB2BD8">
              <w:rPr>
                <w:spacing w:val="-2"/>
                <w:sz w:val="16"/>
              </w:rPr>
              <w:t>registration</w:t>
            </w:r>
          </w:p>
        </w:tc>
        <w:tc>
          <w:tcPr>
            <w:tcW w:w="1079" w:type="dxa"/>
          </w:tcPr>
          <w:p w14:paraId="65D23F3A" w14:textId="77777777" w:rsidR="00084F36" w:rsidRPr="00EB2BD8" w:rsidRDefault="00084F36">
            <w:pPr>
              <w:pStyle w:val="TableParagraph"/>
              <w:rPr>
                <w:rFonts w:ascii="Times New Roman"/>
                <w:sz w:val="16"/>
              </w:rPr>
            </w:pPr>
          </w:p>
        </w:tc>
        <w:tc>
          <w:tcPr>
            <w:tcW w:w="1176" w:type="dxa"/>
          </w:tcPr>
          <w:p w14:paraId="4DD0897C" w14:textId="77777777" w:rsidR="00084F36" w:rsidRPr="00EB2BD8" w:rsidRDefault="00084F36">
            <w:pPr>
              <w:pStyle w:val="TableParagraph"/>
              <w:rPr>
                <w:rFonts w:ascii="Times New Roman"/>
                <w:sz w:val="16"/>
              </w:rPr>
            </w:pPr>
          </w:p>
        </w:tc>
      </w:tr>
      <w:tr w:rsidR="00EB2BD8" w:rsidRPr="00EB2BD8" w14:paraId="30B421C4" w14:textId="77777777">
        <w:trPr>
          <w:trHeight w:val="230"/>
        </w:trPr>
        <w:tc>
          <w:tcPr>
            <w:tcW w:w="1705" w:type="dxa"/>
          </w:tcPr>
          <w:p w14:paraId="62AF1594" w14:textId="77777777" w:rsidR="00084F36" w:rsidRPr="00EB2BD8" w:rsidRDefault="00084F36">
            <w:pPr>
              <w:pStyle w:val="TableParagraph"/>
              <w:rPr>
                <w:rFonts w:ascii="Times New Roman"/>
                <w:sz w:val="16"/>
              </w:rPr>
            </w:pPr>
          </w:p>
        </w:tc>
        <w:tc>
          <w:tcPr>
            <w:tcW w:w="1464" w:type="dxa"/>
          </w:tcPr>
          <w:p w14:paraId="71DBB3C4" w14:textId="77777777" w:rsidR="00084F36" w:rsidRPr="00EB2BD8" w:rsidRDefault="00084F36">
            <w:pPr>
              <w:pStyle w:val="TableParagraph"/>
              <w:rPr>
                <w:rFonts w:ascii="Times New Roman"/>
                <w:sz w:val="16"/>
              </w:rPr>
            </w:pPr>
          </w:p>
        </w:tc>
        <w:tc>
          <w:tcPr>
            <w:tcW w:w="2492" w:type="dxa"/>
          </w:tcPr>
          <w:p w14:paraId="148C60B7" w14:textId="77777777" w:rsidR="00084F36" w:rsidRPr="00EB2BD8" w:rsidRDefault="00EB2BD8">
            <w:pPr>
              <w:pStyle w:val="TableParagraph"/>
              <w:spacing w:before="19"/>
              <w:ind w:left="334"/>
              <w:rPr>
                <w:sz w:val="16"/>
              </w:rPr>
            </w:pPr>
            <w:r w:rsidRPr="00EB2BD8">
              <w:rPr>
                <w:sz w:val="16"/>
              </w:rPr>
              <w:t>training</w:t>
            </w:r>
            <w:r w:rsidRPr="00EB2BD8">
              <w:rPr>
                <w:spacing w:val="-8"/>
                <w:sz w:val="16"/>
              </w:rPr>
              <w:t xml:space="preserve"> </w:t>
            </w:r>
            <w:r w:rsidRPr="00EB2BD8">
              <w:rPr>
                <w:sz w:val="16"/>
              </w:rPr>
              <w:t>imposed</w:t>
            </w:r>
            <w:r w:rsidRPr="00EB2BD8">
              <w:rPr>
                <w:spacing w:val="-8"/>
                <w:sz w:val="16"/>
              </w:rPr>
              <w:t xml:space="preserve"> </w:t>
            </w:r>
            <w:r w:rsidRPr="00EB2BD8">
              <w:rPr>
                <w:sz w:val="16"/>
              </w:rPr>
              <w:t>a</w:t>
            </w:r>
            <w:r w:rsidRPr="00EB2BD8">
              <w:rPr>
                <w:spacing w:val="-7"/>
                <w:sz w:val="16"/>
              </w:rPr>
              <w:t xml:space="preserve"> </w:t>
            </w:r>
            <w:r w:rsidRPr="00EB2BD8">
              <w:rPr>
                <w:spacing w:val="-2"/>
                <w:sz w:val="16"/>
              </w:rPr>
              <w:t>prior</w:t>
            </w:r>
          </w:p>
        </w:tc>
        <w:tc>
          <w:tcPr>
            <w:tcW w:w="2286" w:type="dxa"/>
          </w:tcPr>
          <w:p w14:paraId="6866FF5B" w14:textId="77777777" w:rsidR="00084F36" w:rsidRPr="00EB2BD8" w:rsidRDefault="00EB2BD8">
            <w:pPr>
              <w:pStyle w:val="TableParagraph"/>
              <w:spacing w:before="19"/>
              <w:ind w:left="121"/>
              <w:rPr>
                <w:sz w:val="16"/>
              </w:rPr>
            </w:pPr>
            <w:r w:rsidRPr="00EB2BD8">
              <w:rPr>
                <w:sz w:val="16"/>
              </w:rPr>
              <w:t>until</w:t>
            </w:r>
            <w:r w:rsidRPr="00EB2BD8">
              <w:rPr>
                <w:spacing w:val="-11"/>
                <w:sz w:val="16"/>
              </w:rPr>
              <w:t xml:space="preserve"> </w:t>
            </w:r>
            <w:r w:rsidRPr="00EB2BD8">
              <w:rPr>
                <w:sz w:val="16"/>
              </w:rPr>
              <w:t>compliance</w:t>
            </w:r>
            <w:r w:rsidRPr="00EB2BD8">
              <w:rPr>
                <w:spacing w:val="-11"/>
                <w:sz w:val="16"/>
              </w:rPr>
              <w:t xml:space="preserve"> </w:t>
            </w:r>
            <w:r w:rsidRPr="00EB2BD8">
              <w:rPr>
                <w:spacing w:val="-2"/>
                <w:sz w:val="16"/>
              </w:rPr>
              <w:t>achieved.</w:t>
            </w:r>
          </w:p>
        </w:tc>
        <w:tc>
          <w:tcPr>
            <w:tcW w:w="1079" w:type="dxa"/>
          </w:tcPr>
          <w:p w14:paraId="525F2CB6" w14:textId="77777777" w:rsidR="00084F36" w:rsidRPr="00EB2BD8" w:rsidRDefault="00084F36">
            <w:pPr>
              <w:pStyle w:val="TableParagraph"/>
              <w:rPr>
                <w:rFonts w:ascii="Times New Roman"/>
                <w:sz w:val="16"/>
              </w:rPr>
            </w:pPr>
          </w:p>
        </w:tc>
        <w:tc>
          <w:tcPr>
            <w:tcW w:w="1176" w:type="dxa"/>
          </w:tcPr>
          <w:p w14:paraId="2843161D" w14:textId="77777777" w:rsidR="00084F36" w:rsidRPr="00EB2BD8" w:rsidRDefault="00084F36">
            <w:pPr>
              <w:pStyle w:val="TableParagraph"/>
              <w:rPr>
                <w:rFonts w:ascii="Times New Roman"/>
                <w:sz w:val="16"/>
              </w:rPr>
            </w:pPr>
          </w:p>
        </w:tc>
      </w:tr>
      <w:tr w:rsidR="00EB2BD8" w:rsidRPr="00EB2BD8" w14:paraId="56B50D46" w14:textId="77777777">
        <w:trPr>
          <w:trHeight w:val="288"/>
        </w:trPr>
        <w:tc>
          <w:tcPr>
            <w:tcW w:w="1705" w:type="dxa"/>
            <w:tcBorders>
              <w:bottom w:val="single" w:sz="2" w:space="0" w:color="000000"/>
            </w:tcBorders>
          </w:tcPr>
          <w:p w14:paraId="09801DC5"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1302BF93" w14:textId="77777777" w:rsidR="00084F36" w:rsidRPr="00EB2BD8" w:rsidRDefault="00084F36">
            <w:pPr>
              <w:pStyle w:val="TableParagraph"/>
              <w:rPr>
                <w:rFonts w:ascii="Times New Roman"/>
                <w:sz w:val="16"/>
              </w:rPr>
            </w:pPr>
          </w:p>
        </w:tc>
        <w:tc>
          <w:tcPr>
            <w:tcW w:w="2492" w:type="dxa"/>
            <w:tcBorders>
              <w:bottom w:val="single" w:sz="2" w:space="0" w:color="000000"/>
            </w:tcBorders>
          </w:tcPr>
          <w:p w14:paraId="6B7C15EF" w14:textId="77777777" w:rsidR="00084F36" w:rsidRPr="00EB2BD8" w:rsidRDefault="00EB2BD8">
            <w:pPr>
              <w:pStyle w:val="TableParagraph"/>
              <w:spacing w:before="19"/>
              <w:ind w:left="334"/>
              <w:rPr>
                <w:sz w:val="16"/>
              </w:rPr>
            </w:pPr>
            <w:r w:rsidRPr="00EB2BD8">
              <w:rPr>
                <w:spacing w:val="-2"/>
                <w:sz w:val="16"/>
              </w:rPr>
              <w:t>disciplinary</w:t>
            </w:r>
            <w:r w:rsidRPr="00EB2BD8">
              <w:rPr>
                <w:spacing w:val="9"/>
                <w:sz w:val="16"/>
              </w:rPr>
              <w:t xml:space="preserve"> </w:t>
            </w:r>
            <w:r w:rsidRPr="00EB2BD8">
              <w:rPr>
                <w:spacing w:val="-2"/>
                <w:sz w:val="16"/>
              </w:rPr>
              <w:t>action.</w:t>
            </w:r>
          </w:p>
        </w:tc>
        <w:tc>
          <w:tcPr>
            <w:tcW w:w="2286" w:type="dxa"/>
            <w:tcBorders>
              <w:bottom w:val="single" w:sz="2" w:space="0" w:color="000000"/>
            </w:tcBorders>
          </w:tcPr>
          <w:p w14:paraId="1262601F"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630E471F"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35CB6381" w14:textId="77777777" w:rsidR="00084F36" w:rsidRPr="00EB2BD8" w:rsidRDefault="00084F36">
            <w:pPr>
              <w:pStyle w:val="TableParagraph"/>
              <w:rPr>
                <w:rFonts w:ascii="Times New Roman"/>
                <w:sz w:val="16"/>
              </w:rPr>
            </w:pPr>
          </w:p>
        </w:tc>
      </w:tr>
      <w:tr w:rsidR="00EB2BD8" w:rsidRPr="00EB2BD8" w14:paraId="7C19739B" w14:textId="77777777">
        <w:trPr>
          <w:trHeight w:val="323"/>
        </w:trPr>
        <w:tc>
          <w:tcPr>
            <w:tcW w:w="1705" w:type="dxa"/>
            <w:tcBorders>
              <w:top w:val="single" w:sz="2" w:space="0" w:color="000000"/>
            </w:tcBorders>
          </w:tcPr>
          <w:p w14:paraId="7ACB2638" w14:textId="77777777" w:rsidR="00084F36" w:rsidRPr="00EB2BD8" w:rsidRDefault="00EB2BD8">
            <w:pPr>
              <w:pStyle w:val="TableParagraph"/>
              <w:spacing w:before="113"/>
              <w:ind w:left="113"/>
              <w:rPr>
                <w:sz w:val="16"/>
              </w:rPr>
            </w:pPr>
            <w:r w:rsidRPr="00EB2BD8">
              <w:rPr>
                <w:spacing w:val="-2"/>
                <w:sz w:val="16"/>
              </w:rPr>
              <w:t>OZDUZENCILER,</w:t>
            </w:r>
          </w:p>
        </w:tc>
        <w:tc>
          <w:tcPr>
            <w:tcW w:w="1464" w:type="dxa"/>
            <w:tcBorders>
              <w:top w:val="single" w:sz="2" w:space="0" w:color="000000"/>
            </w:tcBorders>
          </w:tcPr>
          <w:p w14:paraId="5E8632D8" w14:textId="77777777" w:rsidR="00084F36" w:rsidRPr="00EB2BD8" w:rsidRDefault="00EB2BD8">
            <w:pPr>
              <w:pStyle w:val="TableParagraph"/>
              <w:spacing w:before="113"/>
              <w:ind w:left="165"/>
              <w:rPr>
                <w:sz w:val="16"/>
              </w:rPr>
            </w:pPr>
            <w:r w:rsidRPr="00EB2BD8">
              <w:rPr>
                <w:sz w:val="16"/>
              </w:rPr>
              <w:t>DB-U</w:t>
            </w:r>
            <w:r w:rsidRPr="00EB2BD8">
              <w:rPr>
                <w:spacing w:val="22"/>
                <w:sz w:val="16"/>
              </w:rPr>
              <w:t xml:space="preserve"> </w:t>
            </w:r>
            <w:r w:rsidRPr="00EB2BD8">
              <w:rPr>
                <w:spacing w:val="-2"/>
                <w:sz w:val="16"/>
              </w:rPr>
              <w:t>73896</w:t>
            </w:r>
          </w:p>
        </w:tc>
        <w:tc>
          <w:tcPr>
            <w:tcW w:w="2492" w:type="dxa"/>
            <w:tcBorders>
              <w:top w:val="single" w:sz="2" w:space="0" w:color="000000"/>
            </w:tcBorders>
          </w:tcPr>
          <w:p w14:paraId="5D597616" w14:textId="77777777" w:rsidR="00084F36" w:rsidRPr="00EB2BD8" w:rsidRDefault="00EB2BD8">
            <w:pPr>
              <w:pStyle w:val="TableParagraph"/>
              <w:spacing w:before="113"/>
              <w:ind w:left="334"/>
              <w:rPr>
                <w:sz w:val="16"/>
              </w:rPr>
            </w:pPr>
            <w:r w:rsidRPr="00EB2BD8">
              <w:rPr>
                <w:sz w:val="16"/>
              </w:rPr>
              <w:t>Non-compliance</w:t>
            </w:r>
            <w:r w:rsidRPr="00EB2BD8">
              <w:rPr>
                <w:spacing w:val="26"/>
                <w:sz w:val="16"/>
              </w:rPr>
              <w:t xml:space="preserve"> </w:t>
            </w:r>
            <w:r w:rsidRPr="00EB2BD8">
              <w:rPr>
                <w:spacing w:val="-4"/>
                <w:sz w:val="16"/>
              </w:rPr>
              <w:t>with</w:t>
            </w:r>
          </w:p>
        </w:tc>
        <w:tc>
          <w:tcPr>
            <w:tcW w:w="2286" w:type="dxa"/>
            <w:tcBorders>
              <w:top w:val="single" w:sz="2" w:space="0" w:color="000000"/>
            </w:tcBorders>
          </w:tcPr>
          <w:p w14:paraId="4C14203B" w14:textId="77777777" w:rsidR="00084F36" w:rsidRPr="00EB2BD8" w:rsidRDefault="00EB2BD8">
            <w:pPr>
              <w:pStyle w:val="TableParagraph"/>
              <w:spacing w:before="112"/>
              <w:ind w:left="121"/>
              <w:rPr>
                <w:sz w:val="16"/>
              </w:rPr>
            </w:pPr>
            <w:r w:rsidRPr="00EB2BD8">
              <w:rPr>
                <w:spacing w:val="-2"/>
                <w:sz w:val="16"/>
              </w:rPr>
              <w:t>Reprimand,</w:t>
            </w:r>
            <w:r w:rsidRPr="00EB2BD8">
              <w:rPr>
                <w:spacing w:val="2"/>
                <w:sz w:val="16"/>
              </w:rPr>
              <w:t xml:space="preserve"> </w:t>
            </w:r>
            <w:r w:rsidRPr="00EB2BD8">
              <w:rPr>
                <w:spacing w:val="-2"/>
                <w:sz w:val="16"/>
              </w:rPr>
              <w:t>partial</w:t>
            </w:r>
          </w:p>
        </w:tc>
        <w:tc>
          <w:tcPr>
            <w:tcW w:w="1079" w:type="dxa"/>
            <w:tcBorders>
              <w:top w:val="single" w:sz="2" w:space="0" w:color="000000"/>
            </w:tcBorders>
          </w:tcPr>
          <w:p w14:paraId="3B254309" w14:textId="77777777" w:rsidR="00084F36" w:rsidRPr="00EB2BD8" w:rsidRDefault="00EB2BD8">
            <w:pPr>
              <w:pStyle w:val="TableParagraph"/>
              <w:spacing w:before="112"/>
              <w:ind w:right="111"/>
              <w:jc w:val="right"/>
              <w:rPr>
                <w:sz w:val="16"/>
              </w:rPr>
            </w:pPr>
            <w:r w:rsidRPr="00EB2BD8">
              <w:rPr>
                <w:w w:val="124"/>
                <w:sz w:val="16"/>
              </w:rPr>
              <w:t>–</w:t>
            </w:r>
          </w:p>
        </w:tc>
        <w:tc>
          <w:tcPr>
            <w:tcW w:w="1176" w:type="dxa"/>
            <w:tcBorders>
              <w:top w:val="single" w:sz="2" w:space="0" w:color="000000"/>
            </w:tcBorders>
          </w:tcPr>
          <w:p w14:paraId="1F8994AD" w14:textId="77777777" w:rsidR="00084F36" w:rsidRPr="00EB2BD8" w:rsidRDefault="00EB2BD8">
            <w:pPr>
              <w:pStyle w:val="TableParagraph"/>
              <w:spacing w:before="112"/>
              <w:ind w:left="112"/>
              <w:rPr>
                <w:sz w:val="16"/>
              </w:rPr>
            </w:pPr>
            <w:r w:rsidRPr="00EB2BD8">
              <w:rPr>
                <w:spacing w:val="-2"/>
                <w:w w:val="90"/>
                <w:sz w:val="16"/>
              </w:rPr>
              <w:t>11/04/2023</w:t>
            </w:r>
          </w:p>
        </w:tc>
      </w:tr>
      <w:tr w:rsidR="00EB2BD8" w:rsidRPr="00EB2BD8" w14:paraId="3A662EB6" w14:textId="77777777">
        <w:trPr>
          <w:trHeight w:val="229"/>
        </w:trPr>
        <w:tc>
          <w:tcPr>
            <w:tcW w:w="1705" w:type="dxa"/>
          </w:tcPr>
          <w:p w14:paraId="7774FB70" w14:textId="77777777" w:rsidR="00084F36" w:rsidRPr="00EB2BD8" w:rsidRDefault="00EB2BD8">
            <w:pPr>
              <w:pStyle w:val="TableParagraph"/>
              <w:spacing w:before="19"/>
              <w:ind w:left="113"/>
              <w:rPr>
                <w:sz w:val="16"/>
              </w:rPr>
            </w:pPr>
            <w:r w:rsidRPr="00EB2BD8">
              <w:rPr>
                <w:spacing w:val="-4"/>
                <w:sz w:val="16"/>
              </w:rPr>
              <w:t>Onur</w:t>
            </w:r>
          </w:p>
        </w:tc>
        <w:tc>
          <w:tcPr>
            <w:tcW w:w="1464" w:type="dxa"/>
          </w:tcPr>
          <w:p w14:paraId="5DDEFAE3" w14:textId="77777777" w:rsidR="00084F36" w:rsidRPr="00EB2BD8" w:rsidRDefault="00084F36">
            <w:pPr>
              <w:pStyle w:val="TableParagraph"/>
              <w:rPr>
                <w:rFonts w:ascii="Times New Roman"/>
                <w:sz w:val="16"/>
              </w:rPr>
            </w:pPr>
          </w:p>
        </w:tc>
        <w:tc>
          <w:tcPr>
            <w:tcW w:w="2492" w:type="dxa"/>
          </w:tcPr>
          <w:p w14:paraId="4E4BB267" w14:textId="77777777" w:rsidR="00084F36" w:rsidRPr="00EB2BD8" w:rsidRDefault="00EB2BD8">
            <w:pPr>
              <w:pStyle w:val="TableParagraph"/>
              <w:spacing w:before="19"/>
              <w:ind w:left="334"/>
              <w:rPr>
                <w:sz w:val="16"/>
              </w:rPr>
            </w:pPr>
            <w:r w:rsidRPr="00EB2BD8">
              <w:rPr>
                <w:spacing w:val="-2"/>
                <w:sz w:val="16"/>
              </w:rPr>
              <w:t>dispute</w:t>
            </w:r>
            <w:r w:rsidRPr="00EB2BD8">
              <w:rPr>
                <w:spacing w:val="-8"/>
                <w:sz w:val="16"/>
              </w:rPr>
              <w:t xml:space="preserve"> </w:t>
            </w:r>
            <w:r w:rsidRPr="00EB2BD8">
              <w:rPr>
                <w:spacing w:val="-2"/>
                <w:sz w:val="16"/>
              </w:rPr>
              <w:t>resolution</w:t>
            </w:r>
            <w:r w:rsidRPr="00EB2BD8">
              <w:rPr>
                <w:spacing w:val="-8"/>
                <w:sz w:val="16"/>
              </w:rPr>
              <w:t xml:space="preserve"> </w:t>
            </w:r>
            <w:r w:rsidRPr="00EB2BD8">
              <w:rPr>
                <w:spacing w:val="-4"/>
                <w:sz w:val="16"/>
              </w:rPr>
              <w:t>order</w:t>
            </w:r>
          </w:p>
        </w:tc>
        <w:tc>
          <w:tcPr>
            <w:tcW w:w="2286" w:type="dxa"/>
          </w:tcPr>
          <w:p w14:paraId="4907EE63" w14:textId="77777777" w:rsidR="00084F36" w:rsidRPr="00EB2BD8" w:rsidRDefault="00EB2BD8">
            <w:pPr>
              <w:pStyle w:val="TableParagraph"/>
              <w:spacing w:before="19"/>
              <w:ind w:left="121"/>
              <w:rPr>
                <w:sz w:val="16"/>
              </w:rPr>
            </w:pPr>
            <w:r w:rsidRPr="00EB2BD8">
              <w:rPr>
                <w:spacing w:val="-2"/>
                <w:sz w:val="16"/>
              </w:rPr>
              <w:t>suspension</w:t>
            </w:r>
            <w:r w:rsidRPr="00EB2BD8">
              <w:rPr>
                <w:spacing w:val="-10"/>
                <w:sz w:val="16"/>
              </w:rPr>
              <w:t xml:space="preserve"> </w:t>
            </w:r>
            <w:r w:rsidRPr="00EB2BD8">
              <w:rPr>
                <w:spacing w:val="-2"/>
                <w:sz w:val="16"/>
              </w:rPr>
              <w:t>of</w:t>
            </w:r>
            <w:r w:rsidRPr="00EB2BD8">
              <w:rPr>
                <w:spacing w:val="-9"/>
                <w:sz w:val="16"/>
              </w:rPr>
              <w:t xml:space="preserve"> </w:t>
            </w:r>
            <w:r w:rsidRPr="00EB2BD8">
              <w:rPr>
                <w:spacing w:val="-2"/>
                <w:sz w:val="16"/>
              </w:rPr>
              <w:t>registration</w:t>
            </w:r>
          </w:p>
        </w:tc>
        <w:tc>
          <w:tcPr>
            <w:tcW w:w="1079" w:type="dxa"/>
          </w:tcPr>
          <w:p w14:paraId="5051250E" w14:textId="77777777" w:rsidR="00084F36" w:rsidRPr="00EB2BD8" w:rsidRDefault="00084F36">
            <w:pPr>
              <w:pStyle w:val="TableParagraph"/>
              <w:rPr>
                <w:rFonts w:ascii="Times New Roman"/>
                <w:sz w:val="16"/>
              </w:rPr>
            </w:pPr>
          </w:p>
        </w:tc>
        <w:tc>
          <w:tcPr>
            <w:tcW w:w="1176" w:type="dxa"/>
          </w:tcPr>
          <w:p w14:paraId="540762CD" w14:textId="77777777" w:rsidR="00084F36" w:rsidRPr="00EB2BD8" w:rsidRDefault="00084F36">
            <w:pPr>
              <w:pStyle w:val="TableParagraph"/>
              <w:rPr>
                <w:rFonts w:ascii="Times New Roman"/>
                <w:sz w:val="16"/>
              </w:rPr>
            </w:pPr>
          </w:p>
        </w:tc>
      </w:tr>
      <w:tr w:rsidR="00EB2BD8" w:rsidRPr="00EB2BD8" w14:paraId="0C97D4C0" w14:textId="77777777">
        <w:trPr>
          <w:trHeight w:val="230"/>
        </w:trPr>
        <w:tc>
          <w:tcPr>
            <w:tcW w:w="1705" w:type="dxa"/>
          </w:tcPr>
          <w:p w14:paraId="7D1AC698" w14:textId="77777777" w:rsidR="00084F36" w:rsidRPr="00EB2BD8" w:rsidRDefault="00084F36">
            <w:pPr>
              <w:pStyle w:val="TableParagraph"/>
              <w:rPr>
                <w:rFonts w:ascii="Times New Roman"/>
                <w:sz w:val="16"/>
              </w:rPr>
            </w:pPr>
          </w:p>
        </w:tc>
        <w:tc>
          <w:tcPr>
            <w:tcW w:w="1464" w:type="dxa"/>
          </w:tcPr>
          <w:p w14:paraId="0741A431" w14:textId="77777777" w:rsidR="00084F36" w:rsidRPr="00EB2BD8" w:rsidRDefault="00084F36">
            <w:pPr>
              <w:pStyle w:val="TableParagraph"/>
              <w:rPr>
                <w:rFonts w:ascii="Times New Roman"/>
                <w:sz w:val="16"/>
              </w:rPr>
            </w:pPr>
          </w:p>
        </w:tc>
        <w:tc>
          <w:tcPr>
            <w:tcW w:w="2492" w:type="dxa"/>
          </w:tcPr>
          <w:p w14:paraId="7C449FB9" w14:textId="77777777" w:rsidR="00084F36" w:rsidRPr="00EB2BD8" w:rsidRDefault="00EB2BD8">
            <w:pPr>
              <w:pStyle w:val="TableParagraph"/>
              <w:spacing w:before="19"/>
              <w:ind w:left="334"/>
              <w:rPr>
                <w:sz w:val="16"/>
              </w:rPr>
            </w:pPr>
            <w:r w:rsidRPr="00EB2BD8">
              <w:rPr>
                <w:sz w:val="16"/>
              </w:rPr>
              <w:t>made</w:t>
            </w:r>
            <w:r w:rsidRPr="00EB2BD8">
              <w:rPr>
                <w:spacing w:val="-2"/>
                <w:sz w:val="16"/>
              </w:rPr>
              <w:t xml:space="preserve"> </w:t>
            </w:r>
            <w:r w:rsidRPr="00EB2BD8">
              <w:rPr>
                <w:sz w:val="16"/>
              </w:rPr>
              <w:t>by</w:t>
            </w:r>
            <w:r w:rsidRPr="00EB2BD8">
              <w:rPr>
                <w:spacing w:val="-1"/>
                <w:sz w:val="16"/>
              </w:rPr>
              <w:t xml:space="preserve"> </w:t>
            </w:r>
            <w:r w:rsidRPr="00EB2BD8">
              <w:rPr>
                <w:spacing w:val="-2"/>
                <w:sz w:val="16"/>
              </w:rPr>
              <w:t>Domestic</w:t>
            </w:r>
          </w:p>
        </w:tc>
        <w:tc>
          <w:tcPr>
            <w:tcW w:w="2286" w:type="dxa"/>
          </w:tcPr>
          <w:p w14:paraId="6FB077B0" w14:textId="77777777" w:rsidR="00084F36" w:rsidRPr="00EB2BD8" w:rsidRDefault="00EB2BD8">
            <w:pPr>
              <w:pStyle w:val="TableParagraph"/>
              <w:spacing w:before="19"/>
              <w:ind w:left="121"/>
              <w:rPr>
                <w:sz w:val="16"/>
              </w:rPr>
            </w:pPr>
            <w:r w:rsidRPr="00EB2BD8">
              <w:rPr>
                <w:sz w:val="16"/>
              </w:rPr>
              <w:t>until</w:t>
            </w:r>
            <w:r w:rsidRPr="00EB2BD8">
              <w:rPr>
                <w:spacing w:val="-11"/>
                <w:sz w:val="16"/>
              </w:rPr>
              <w:t xml:space="preserve"> </w:t>
            </w:r>
            <w:r w:rsidRPr="00EB2BD8">
              <w:rPr>
                <w:sz w:val="16"/>
              </w:rPr>
              <w:t>compliance</w:t>
            </w:r>
            <w:r w:rsidRPr="00EB2BD8">
              <w:rPr>
                <w:spacing w:val="-11"/>
                <w:sz w:val="16"/>
              </w:rPr>
              <w:t xml:space="preserve"> </w:t>
            </w:r>
            <w:r w:rsidRPr="00EB2BD8">
              <w:rPr>
                <w:spacing w:val="-2"/>
                <w:sz w:val="16"/>
              </w:rPr>
              <w:t>achieved.</w:t>
            </w:r>
          </w:p>
        </w:tc>
        <w:tc>
          <w:tcPr>
            <w:tcW w:w="1079" w:type="dxa"/>
          </w:tcPr>
          <w:p w14:paraId="5FEC81F6" w14:textId="77777777" w:rsidR="00084F36" w:rsidRPr="00EB2BD8" w:rsidRDefault="00084F36">
            <w:pPr>
              <w:pStyle w:val="TableParagraph"/>
              <w:rPr>
                <w:rFonts w:ascii="Times New Roman"/>
                <w:sz w:val="16"/>
              </w:rPr>
            </w:pPr>
          </w:p>
        </w:tc>
        <w:tc>
          <w:tcPr>
            <w:tcW w:w="1176" w:type="dxa"/>
          </w:tcPr>
          <w:p w14:paraId="0F42B148" w14:textId="77777777" w:rsidR="00084F36" w:rsidRPr="00EB2BD8" w:rsidRDefault="00084F36">
            <w:pPr>
              <w:pStyle w:val="TableParagraph"/>
              <w:rPr>
                <w:rFonts w:ascii="Times New Roman"/>
                <w:sz w:val="16"/>
              </w:rPr>
            </w:pPr>
          </w:p>
        </w:tc>
      </w:tr>
      <w:tr w:rsidR="00EB2BD8" w:rsidRPr="00EB2BD8" w14:paraId="122FFB51" w14:textId="77777777">
        <w:trPr>
          <w:trHeight w:val="229"/>
        </w:trPr>
        <w:tc>
          <w:tcPr>
            <w:tcW w:w="1705" w:type="dxa"/>
          </w:tcPr>
          <w:p w14:paraId="37C98911" w14:textId="77777777" w:rsidR="00084F36" w:rsidRPr="00EB2BD8" w:rsidRDefault="00084F36">
            <w:pPr>
              <w:pStyle w:val="TableParagraph"/>
              <w:rPr>
                <w:rFonts w:ascii="Times New Roman"/>
                <w:sz w:val="16"/>
              </w:rPr>
            </w:pPr>
          </w:p>
        </w:tc>
        <w:tc>
          <w:tcPr>
            <w:tcW w:w="1464" w:type="dxa"/>
          </w:tcPr>
          <w:p w14:paraId="499C174F" w14:textId="77777777" w:rsidR="00084F36" w:rsidRPr="00EB2BD8" w:rsidRDefault="00084F36">
            <w:pPr>
              <w:pStyle w:val="TableParagraph"/>
              <w:rPr>
                <w:rFonts w:ascii="Times New Roman"/>
                <w:sz w:val="16"/>
              </w:rPr>
            </w:pPr>
          </w:p>
        </w:tc>
        <w:tc>
          <w:tcPr>
            <w:tcW w:w="2492" w:type="dxa"/>
          </w:tcPr>
          <w:p w14:paraId="04370C24" w14:textId="77777777" w:rsidR="00084F36" w:rsidRPr="00EB2BD8" w:rsidRDefault="00EB2BD8">
            <w:pPr>
              <w:pStyle w:val="TableParagraph"/>
              <w:spacing w:before="19"/>
              <w:ind w:left="334"/>
              <w:rPr>
                <w:sz w:val="16"/>
              </w:rPr>
            </w:pPr>
            <w:r w:rsidRPr="00EB2BD8">
              <w:rPr>
                <w:spacing w:val="-2"/>
                <w:sz w:val="16"/>
              </w:rPr>
              <w:t>Building</w:t>
            </w:r>
            <w:r w:rsidRPr="00EB2BD8">
              <w:rPr>
                <w:spacing w:val="-1"/>
                <w:sz w:val="16"/>
              </w:rPr>
              <w:t xml:space="preserve"> </w:t>
            </w:r>
            <w:r w:rsidRPr="00EB2BD8">
              <w:rPr>
                <w:spacing w:val="-2"/>
                <w:sz w:val="16"/>
              </w:rPr>
              <w:t>Dispute</w:t>
            </w:r>
          </w:p>
        </w:tc>
        <w:tc>
          <w:tcPr>
            <w:tcW w:w="2286" w:type="dxa"/>
          </w:tcPr>
          <w:p w14:paraId="4ED97DC5" w14:textId="77777777" w:rsidR="00084F36" w:rsidRPr="00EB2BD8" w:rsidRDefault="00084F36">
            <w:pPr>
              <w:pStyle w:val="TableParagraph"/>
              <w:rPr>
                <w:rFonts w:ascii="Times New Roman"/>
                <w:sz w:val="16"/>
              </w:rPr>
            </w:pPr>
          </w:p>
        </w:tc>
        <w:tc>
          <w:tcPr>
            <w:tcW w:w="1079" w:type="dxa"/>
          </w:tcPr>
          <w:p w14:paraId="08BACD5B" w14:textId="77777777" w:rsidR="00084F36" w:rsidRPr="00EB2BD8" w:rsidRDefault="00084F36">
            <w:pPr>
              <w:pStyle w:val="TableParagraph"/>
              <w:rPr>
                <w:rFonts w:ascii="Times New Roman"/>
                <w:sz w:val="16"/>
              </w:rPr>
            </w:pPr>
          </w:p>
        </w:tc>
        <w:tc>
          <w:tcPr>
            <w:tcW w:w="1176" w:type="dxa"/>
          </w:tcPr>
          <w:p w14:paraId="0164C6EC" w14:textId="77777777" w:rsidR="00084F36" w:rsidRPr="00EB2BD8" w:rsidRDefault="00084F36">
            <w:pPr>
              <w:pStyle w:val="TableParagraph"/>
              <w:rPr>
                <w:rFonts w:ascii="Times New Roman"/>
                <w:sz w:val="16"/>
              </w:rPr>
            </w:pPr>
          </w:p>
        </w:tc>
      </w:tr>
      <w:tr w:rsidR="00EB2BD8" w:rsidRPr="00EB2BD8" w14:paraId="161430A9" w14:textId="77777777">
        <w:trPr>
          <w:trHeight w:val="359"/>
        </w:trPr>
        <w:tc>
          <w:tcPr>
            <w:tcW w:w="1705" w:type="dxa"/>
            <w:tcBorders>
              <w:bottom w:val="single" w:sz="2" w:space="0" w:color="000000"/>
            </w:tcBorders>
          </w:tcPr>
          <w:p w14:paraId="55C91304"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1DEB5576" w14:textId="77777777" w:rsidR="00084F36" w:rsidRPr="00EB2BD8" w:rsidRDefault="00084F36">
            <w:pPr>
              <w:pStyle w:val="TableParagraph"/>
              <w:rPr>
                <w:rFonts w:ascii="Times New Roman"/>
                <w:sz w:val="16"/>
              </w:rPr>
            </w:pPr>
          </w:p>
        </w:tc>
        <w:tc>
          <w:tcPr>
            <w:tcW w:w="2492" w:type="dxa"/>
            <w:tcBorders>
              <w:bottom w:val="single" w:sz="2" w:space="0" w:color="000000"/>
            </w:tcBorders>
          </w:tcPr>
          <w:p w14:paraId="683A594B" w14:textId="77777777" w:rsidR="00084F36" w:rsidRPr="00EB2BD8" w:rsidRDefault="00EB2BD8">
            <w:pPr>
              <w:pStyle w:val="TableParagraph"/>
              <w:spacing w:before="19"/>
              <w:ind w:left="334"/>
              <w:rPr>
                <w:sz w:val="16"/>
              </w:rPr>
            </w:pPr>
            <w:r w:rsidRPr="00EB2BD8">
              <w:rPr>
                <w:spacing w:val="-2"/>
                <w:sz w:val="16"/>
              </w:rPr>
              <w:t>Resolution</w:t>
            </w:r>
            <w:r w:rsidRPr="00EB2BD8">
              <w:rPr>
                <w:spacing w:val="-6"/>
                <w:sz w:val="16"/>
              </w:rPr>
              <w:t xml:space="preserve"> </w:t>
            </w:r>
            <w:r w:rsidRPr="00EB2BD8">
              <w:rPr>
                <w:spacing w:val="-2"/>
                <w:sz w:val="16"/>
              </w:rPr>
              <w:t>Victoria.</w:t>
            </w:r>
          </w:p>
        </w:tc>
        <w:tc>
          <w:tcPr>
            <w:tcW w:w="2286" w:type="dxa"/>
            <w:tcBorders>
              <w:bottom w:val="single" w:sz="2" w:space="0" w:color="000000"/>
            </w:tcBorders>
          </w:tcPr>
          <w:p w14:paraId="218092C0"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5C8A96EE"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4BCD17BB" w14:textId="77777777" w:rsidR="00084F36" w:rsidRPr="00EB2BD8" w:rsidRDefault="00084F36">
            <w:pPr>
              <w:pStyle w:val="TableParagraph"/>
              <w:rPr>
                <w:rFonts w:ascii="Times New Roman"/>
                <w:sz w:val="16"/>
              </w:rPr>
            </w:pPr>
          </w:p>
        </w:tc>
      </w:tr>
      <w:tr w:rsidR="00EB2BD8" w:rsidRPr="00EB2BD8" w14:paraId="6B77E907" w14:textId="77777777">
        <w:trPr>
          <w:trHeight w:val="322"/>
        </w:trPr>
        <w:tc>
          <w:tcPr>
            <w:tcW w:w="1705" w:type="dxa"/>
            <w:tcBorders>
              <w:top w:val="single" w:sz="2" w:space="0" w:color="000000"/>
            </w:tcBorders>
          </w:tcPr>
          <w:p w14:paraId="1F9B8110" w14:textId="77777777" w:rsidR="00084F36" w:rsidRPr="00EB2BD8" w:rsidRDefault="00EB2BD8">
            <w:pPr>
              <w:pStyle w:val="TableParagraph"/>
              <w:spacing w:before="112"/>
              <w:ind w:left="113"/>
              <w:rPr>
                <w:sz w:val="16"/>
              </w:rPr>
            </w:pPr>
            <w:r w:rsidRPr="00EB2BD8">
              <w:rPr>
                <w:spacing w:val="-2"/>
                <w:sz w:val="16"/>
              </w:rPr>
              <w:t>PACE,</w:t>
            </w:r>
            <w:r w:rsidRPr="00EB2BD8">
              <w:rPr>
                <w:spacing w:val="-11"/>
                <w:sz w:val="16"/>
              </w:rPr>
              <w:t xml:space="preserve"> </w:t>
            </w:r>
            <w:r w:rsidRPr="00EB2BD8">
              <w:rPr>
                <w:spacing w:val="-2"/>
                <w:sz w:val="16"/>
              </w:rPr>
              <w:t>Victor</w:t>
            </w:r>
          </w:p>
        </w:tc>
        <w:tc>
          <w:tcPr>
            <w:tcW w:w="1464" w:type="dxa"/>
            <w:tcBorders>
              <w:top w:val="single" w:sz="2" w:space="0" w:color="000000"/>
            </w:tcBorders>
          </w:tcPr>
          <w:p w14:paraId="2BB30919" w14:textId="77777777" w:rsidR="00084F36" w:rsidRPr="00EB2BD8" w:rsidRDefault="00EB2BD8">
            <w:pPr>
              <w:pStyle w:val="TableParagraph"/>
              <w:spacing w:before="112"/>
              <w:ind w:left="165"/>
              <w:rPr>
                <w:sz w:val="16"/>
              </w:rPr>
            </w:pPr>
            <w:r w:rsidRPr="00EB2BD8">
              <w:rPr>
                <w:sz w:val="16"/>
              </w:rPr>
              <w:t>BD-M</w:t>
            </w:r>
            <w:r w:rsidRPr="00EB2BD8">
              <w:rPr>
                <w:spacing w:val="13"/>
                <w:sz w:val="16"/>
              </w:rPr>
              <w:t xml:space="preserve"> </w:t>
            </w:r>
            <w:r w:rsidRPr="00EB2BD8">
              <w:rPr>
                <w:spacing w:val="-4"/>
                <w:sz w:val="16"/>
              </w:rPr>
              <w:t>1027;</w:t>
            </w:r>
          </w:p>
        </w:tc>
        <w:tc>
          <w:tcPr>
            <w:tcW w:w="2492" w:type="dxa"/>
            <w:tcBorders>
              <w:top w:val="single" w:sz="2" w:space="0" w:color="000000"/>
            </w:tcBorders>
          </w:tcPr>
          <w:p w14:paraId="0E70C619" w14:textId="77777777" w:rsidR="00084F36" w:rsidRPr="00EB2BD8" w:rsidRDefault="00EB2BD8">
            <w:pPr>
              <w:pStyle w:val="TableParagraph"/>
              <w:spacing w:before="112"/>
              <w:ind w:left="334"/>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86" w:type="dxa"/>
            <w:tcBorders>
              <w:top w:val="single" w:sz="2" w:space="0" w:color="000000"/>
            </w:tcBorders>
          </w:tcPr>
          <w:p w14:paraId="176C6189" w14:textId="77777777" w:rsidR="00084F36" w:rsidRPr="00EB2BD8" w:rsidRDefault="00EB2BD8">
            <w:pPr>
              <w:pStyle w:val="TableParagraph"/>
              <w:spacing w:before="112"/>
              <w:ind w:left="121"/>
              <w:rPr>
                <w:sz w:val="16"/>
              </w:rPr>
            </w:pPr>
            <w:r w:rsidRPr="00EB2BD8">
              <w:rPr>
                <w:spacing w:val="-2"/>
                <w:sz w:val="16"/>
              </w:rPr>
              <w:t>Reprimands,</w:t>
            </w:r>
            <w:r w:rsidRPr="00EB2BD8">
              <w:rPr>
                <w:spacing w:val="-4"/>
                <w:sz w:val="16"/>
              </w:rPr>
              <w:t xml:space="preserve"> </w:t>
            </w:r>
            <w:r w:rsidRPr="00EB2BD8">
              <w:rPr>
                <w:spacing w:val="-2"/>
                <w:sz w:val="16"/>
              </w:rPr>
              <w:t>aggregate</w:t>
            </w:r>
          </w:p>
        </w:tc>
        <w:tc>
          <w:tcPr>
            <w:tcW w:w="1079" w:type="dxa"/>
            <w:tcBorders>
              <w:top w:val="single" w:sz="2" w:space="0" w:color="000000"/>
            </w:tcBorders>
          </w:tcPr>
          <w:p w14:paraId="33E67DF1" w14:textId="77777777" w:rsidR="00084F36" w:rsidRPr="00EB2BD8" w:rsidRDefault="00EB2BD8">
            <w:pPr>
              <w:pStyle w:val="TableParagraph"/>
              <w:spacing w:before="112"/>
              <w:ind w:right="112"/>
              <w:jc w:val="right"/>
              <w:rPr>
                <w:sz w:val="16"/>
              </w:rPr>
            </w:pPr>
            <w:r w:rsidRPr="00EB2BD8">
              <w:rPr>
                <w:spacing w:val="-2"/>
                <w:sz w:val="16"/>
              </w:rPr>
              <w:t>$5,500</w:t>
            </w:r>
          </w:p>
        </w:tc>
        <w:tc>
          <w:tcPr>
            <w:tcW w:w="1176" w:type="dxa"/>
            <w:tcBorders>
              <w:top w:val="single" w:sz="2" w:space="0" w:color="000000"/>
            </w:tcBorders>
          </w:tcPr>
          <w:p w14:paraId="2C7A50BB" w14:textId="77777777" w:rsidR="00084F36" w:rsidRPr="00EB2BD8" w:rsidRDefault="00EB2BD8">
            <w:pPr>
              <w:pStyle w:val="TableParagraph"/>
              <w:spacing w:before="112"/>
              <w:ind w:left="112"/>
              <w:rPr>
                <w:sz w:val="16"/>
              </w:rPr>
            </w:pPr>
            <w:r w:rsidRPr="00EB2BD8">
              <w:rPr>
                <w:spacing w:val="-2"/>
                <w:w w:val="95"/>
                <w:sz w:val="16"/>
              </w:rPr>
              <w:t>13/09/2022</w:t>
            </w:r>
          </w:p>
        </w:tc>
      </w:tr>
      <w:tr w:rsidR="00EB2BD8" w:rsidRPr="00EB2BD8" w14:paraId="69E2FEEF" w14:textId="77777777">
        <w:trPr>
          <w:trHeight w:val="229"/>
        </w:trPr>
        <w:tc>
          <w:tcPr>
            <w:tcW w:w="1705" w:type="dxa"/>
          </w:tcPr>
          <w:p w14:paraId="72339C3D" w14:textId="77777777" w:rsidR="00084F36" w:rsidRPr="00EB2BD8" w:rsidRDefault="00084F36">
            <w:pPr>
              <w:pStyle w:val="TableParagraph"/>
              <w:rPr>
                <w:rFonts w:ascii="Times New Roman"/>
                <w:sz w:val="16"/>
              </w:rPr>
            </w:pPr>
          </w:p>
        </w:tc>
        <w:tc>
          <w:tcPr>
            <w:tcW w:w="1464" w:type="dxa"/>
          </w:tcPr>
          <w:p w14:paraId="40FDC32D" w14:textId="77777777" w:rsidR="00084F36" w:rsidRPr="00EB2BD8" w:rsidRDefault="00EB2BD8">
            <w:pPr>
              <w:pStyle w:val="TableParagraph"/>
              <w:spacing w:before="19"/>
              <w:ind w:left="165"/>
              <w:rPr>
                <w:sz w:val="16"/>
              </w:rPr>
            </w:pPr>
            <w:r w:rsidRPr="00EB2BD8">
              <w:rPr>
                <w:sz w:val="16"/>
              </w:rPr>
              <w:t>DB-U</w:t>
            </w:r>
            <w:r w:rsidRPr="00EB2BD8">
              <w:rPr>
                <w:spacing w:val="22"/>
                <w:sz w:val="16"/>
              </w:rPr>
              <w:t xml:space="preserve"> </w:t>
            </w:r>
            <w:r w:rsidRPr="00EB2BD8">
              <w:rPr>
                <w:spacing w:val="-4"/>
                <w:sz w:val="16"/>
              </w:rPr>
              <w:t>4854</w:t>
            </w:r>
          </w:p>
        </w:tc>
        <w:tc>
          <w:tcPr>
            <w:tcW w:w="2492" w:type="dxa"/>
          </w:tcPr>
          <w:p w14:paraId="6235684B" w14:textId="77777777" w:rsidR="00084F36" w:rsidRPr="00EB2BD8" w:rsidRDefault="00EB2BD8">
            <w:pPr>
              <w:pStyle w:val="TableParagraph"/>
              <w:spacing w:before="19"/>
              <w:ind w:left="334"/>
              <w:rPr>
                <w:sz w:val="16"/>
              </w:rPr>
            </w:pPr>
            <w:r w:rsidRPr="00EB2BD8">
              <w:rPr>
                <w:sz w:val="16"/>
              </w:rPr>
              <w:t>mandatory</w:t>
            </w:r>
            <w:r w:rsidRPr="00EB2BD8">
              <w:rPr>
                <w:spacing w:val="14"/>
                <w:sz w:val="16"/>
              </w:rPr>
              <w:t xml:space="preserve"> </w:t>
            </w:r>
            <w:r w:rsidRPr="00EB2BD8">
              <w:rPr>
                <w:spacing w:val="-2"/>
                <w:sz w:val="16"/>
              </w:rPr>
              <w:t>stage</w:t>
            </w:r>
          </w:p>
        </w:tc>
        <w:tc>
          <w:tcPr>
            <w:tcW w:w="2286" w:type="dxa"/>
          </w:tcPr>
          <w:p w14:paraId="35EEE202" w14:textId="77777777" w:rsidR="00084F36" w:rsidRPr="00EB2BD8" w:rsidRDefault="00EB2BD8">
            <w:pPr>
              <w:pStyle w:val="TableParagraph"/>
              <w:spacing w:before="19"/>
              <w:ind w:left="121"/>
              <w:rPr>
                <w:sz w:val="16"/>
              </w:rPr>
            </w:pPr>
            <w:r w:rsidRPr="00EB2BD8">
              <w:rPr>
                <w:spacing w:val="-2"/>
                <w:sz w:val="16"/>
              </w:rPr>
              <w:t>penalties</w:t>
            </w:r>
            <w:r w:rsidRPr="00EB2BD8">
              <w:rPr>
                <w:spacing w:val="-11"/>
                <w:sz w:val="16"/>
              </w:rPr>
              <w:t xml:space="preserve"> </w:t>
            </w:r>
            <w:r w:rsidRPr="00EB2BD8">
              <w:rPr>
                <w:spacing w:val="-2"/>
                <w:sz w:val="16"/>
              </w:rPr>
              <w:t>of</w:t>
            </w:r>
            <w:r w:rsidRPr="00EB2BD8">
              <w:rPr>
                <w:spacing w:val="-11"/>
                <w:sz w:val="16"/>
              </w:rPr>
              <w:t xml:space="preserve"> </w:t>
            </w:r>
            <w:r w:rsidRPr="00EB2BD8">
              <w:rPr>
                <w:spacing w:val="-2"/>
                <w:sz w:val="16"/>
              </w:rPr>
              <w:t>$5,500</w:t>
            </w:r>
            <w:r w:rsidRPr="00EB2BD8">
              <w:rPr>
                <w:spacing w:val="-10"/>
                <w:sz w:val="16"/>
              </w:rPr>
              <w:t xml:space="preserve"> </w:t>
            </w:r>
            <w:r w:rsidRPr="00EB2BD8">
              <w:rPr>
                <w:spacing w:val="-2"/>
                <w:sz w:val="16"/>
              </w:rPr>
              <w:t>and</w:t>
            </w:r>
            <w:r w:rsidRPr="00EB2BD8">
              <w:rPr>
                <w:spacing w:val="-11"/>
                <w:sz w:val="16"/>
              </w:rPr>
              <w:t xml:space="preserve"> </w:t>
            </w:r>
            <w:r w:rsidRPr="00EB2BD8">
              <w:rPr>
                <w:spacing w:val="-10"/>
                <w:sz w:val="16"/>
              </w:rPr>
              <w:t>a</w:t>
            </w:r>
          </w:p>
        </w:tc>
        <w:tc>
          <w:tcPr>
            <w:tcW w:w="1079" w:type="dxa"/>
          </w:tcPr>
          <w:p w14:paraId="28613B9F" w14:textId="77777777" w:rsidR="00084F36" w:rsidRPr="00EB2BD8" w:rsidRDefault="00084F36">
            <w:pPr>
              <w:pStyle w:val="TableParagraph"/>
              <w:rPr>
                <w:rFonts w:ascii="Times New Roman"/>
                <w:sz w:val="16"/>
              </w:rPr>
            </w:pPr>
          </w:p>
        </w:tc>
        <w:tc>
          <w:tcPr>
            <w:tcW w:w="1176" w:type="dxa"/>
          </w:tcPr>
          <w:p w14:paraId="353914E2" w14:textId="77777777" w:rsidR="00084F36" w:rsidRPr="00EB2BD8" w:rsidRDefault="00084F36">
            <w:pPr>
              <w:pStyle w:val="TableParagraph"/>
              <w:rPr>
                <w:rFonts w:ascii="Times New Roman"/>
                <w:sz w:val="16"/>
              </w:rPr>
            </w:pPr>
          </w:p>
        </w:tc>
      </w:tr>
      <w:tr w:rsidR="00EB2BD8" w:rsidRPr="00EB2BD8" w14:paraId="6146FBD7" w14:textId="77777777">
        <w:trPr>
          <w:trHeight w:val="229"/>
        </w:trPr>
        <w:tc>
          <w:tcPr>
            <w:tcW w:w="1705" w:type="dxa"/>
          </w:tcPr>
          <w:p w14:paraId="445B190D" w14:textId="77777777" w:rsidR="00084F36" w:rsidRPr="00EB2BD8" w:rsidRDefault="00084F36">
            <w:pPr>
              <w:pStyle w:val="TableParagraph"/>
              <w:rPr>
                <w:rFonts w:ascii="Times New Roman"/>
                <w:sz w:val="16"/>
              </w:rPr>
            </w:pPr>
          </w:p>
        </w:tc>
        <w:tc>
          <w:tcPr>
            <w:tcW w:w="1464" w:type="dxa"/>
          </w:tcPr>
          <w:p w14:paraId="75DCD5B8" w14:textId="77777777" w:rsidR="00084F36" w:rsidRPr="00EB2BD8" w:rsidRDefault="00084F36">
            <w:pPr>
              <w:pStyle w:val="TableParagraph"/>
              <w:rPr>
                <w:rFonts w:ascii="Times New Roman"/>
                <w:sz w:val="16"/>
              </w:rPr>
            </w:pPr>
          </w:p>
        </w:tc>
        <w:tc>
          <w:tcPr>
            <w:tcW w:w="2492" w:type="dxa"/>
          </w:tcPr>
          <w:p w14:paraId="33FFF76B" w14:textId="77777777" w:rsidR="00084F36" w:rsidRPr="00EB2BD8" w:rsidRDefault="00EB2BD8">
            <w:pPr>
              <w:pStyle w:val="TableParagraph"/>
              <w:spacing w:before="19"/>
              <w:ind w:left="334"/>
              <w:rPr>
                <w:sz w:val="16"/>
              </w:rPr>
            </w:pPr>
            <w:r w:rsidRPr="00EB2BD8">
              <w:rPr>
                <w:spacing w:val="-2"/>
                <w:sz w:val="16"/>
              </w:rPr>
              <w:t xml:space="preserve">inspections (3 stages) </w:t>
            </w:r>
            <w:r w:rsidRPr="00EB2BD8">
              <w:rPr>
                <w:spacing w:val="-5"/>
                <w:sz w:val="16"/>
              </w:rPr>
              <w:t>in</w:t>
            </w:r>
          </w:p>
        </w:tc>
        <w:tc>
          <w:tcPr>
            <w:tcW w:w="2286" w:type="dxa"/>
          </w:tcPr>
          <w:p w14:paraId="7DC39C35" w14:textId="77777777" w:rsidR="00084F36" w:rsidRPr="00EB2BD8" w:rsidRDefault="00EB2BD8">
            <w:pPr>
              <w:pStyle w:val="TableParagraph"/>
              <w:spacing w:before="19"/>
              <w:ind w:left="121"/>
              <w:rPr>
                <w:sz w:val="16"/>
              </w:rPr>
            </w:pPr>
            <w:r w:rsidRPr="00EB2BD8">
              <w:rPr>
                <w:spacing w:val="-2"/>
                <w:sz w:val="16"/>
              </w:rPr>
              <w:t>requirement</w:t>
            </w:r>
            <w:r w:rsidRPr="00EB2BD8">
              <w:rPr>
                <w:spacing w:val="-3"/>
                <w:sz w:val="16"/>
              </w:rPr>
              <w:t xml:space="preserve"> </w:t>
            </w:r>
            <w:r w:rsidRPr="00EB2BD8">
              <w:rPr>
                <w:spacing w:val="-2"/>
                <w:sz w:val="16"/>
              </w:rPr>
              <w:t>to complete</w:t>
            </w:r>
            <w:r w:rsidRPr="00EB2BD8">
              <w:rPr>
                <w:spacing w:val="-3"/>
                <w:sz w:val="16"/>
              </w:rPr>
              <w:t xml:space="preserve"> </w:t>
            </w:r>
            <w:r w:rsidRPr="00EB2BD8">
              <w:rPr>
                <w:spacing w:val="-10"/>
                <w:sz w:val="16"/>
              </w:rPr>
              <w:t>a</w:t>
            </w:r>
          </w:p>
        </w:tc>
        <w:tc>
          <w:tcPr>
            <w:tcW w:w="1079" w:type="dxa"/>
          </w:tcPr>
          <w:p w14:paraId="544CA360" w14:textId="77777777" w:rsidR="00084F36" w:rsidRPr="00EB2BD8" w:rsidRDefault="00084F36">
            <w:pPr>
              <w:pStyle w:val="TableParagraph"/>
              <w:rPr>
                <w:rFonts w:ascii="Times New Roman"/>
                <w:sz w:val="16"/>
              </w:rPr>
            </w:pPr>
          </w:p>
        </w:tc>
        <w:tc>
          <w:tcPr>
            <w:tcW w:w="1176" w:type="dxa"/>
          </w:tcPr>
          <w:p w14:paraId="1B24791D" w14:textId="77777777" w:rsidR="00084F36" w:rsidRPr="00EB2BD8" w:rsidRDefault="00084F36">
            <w:pPr>
              <w:pStyle w:val="TableParagraph"/>
              <w:rPr>
                <w:rFonts w:ascii="Times New Roman"/>
                <w:sz w:val="16"/>
              </w:rPr>
            </w:pPr>
          </w:p>
        </w:tc>
      </w:tr>
      <w:tr w:rsidR="00EB2BD8" w:rsidRPr="00EB2BD8" w14:paraId="7F5993F5" w14:textId="77777777">
        <w:trPr>
          <w:trHeight w:val="230"/>
        </w:trPr>
        <w:tc>
          <w:tcPr>
            <w:tcW w:w="1705" w:type="dxa"/>
          </w:tcPr>
          <w:p w14:paraId="7B384AAF" w14:textId="77777777" w:rsidR="00084F36" w:rsidRPr="00EB2BD8" w:rsidRDefault="00084F36">
            <w:pPr>
              <w:pStyle w:val="TableParagraph"/>
              <w:rPr>
                <w:rFonts w:ascii="Times New Roman"/>
                <w:sz w:val="16"/>
              </w:rPr>
            </w:pPr>
          </w:p>
        </w:tc>
        <w:tc>
          <w:tcPr>
            <w:tcW w:w="1464" w:type="dxa"/>
          </w:tcPr>
          <w:p w14:paraId="399604C6" w14:textId="77777777" w:rsidR="00084F36" w:rsidRPr="00EB2BD8" w:rsidRDefault="00084F36">
            <w:pPr>
              <w:pStyle w:val="TableParagraph"/>
              <w:rPr>
                <w:rFonts w:ascii="Times New Roman"/>
                <w:sz w:val="16"/>
              </w:rPr>
            </w:pPr>
          </w:p>
        </w:tc>
        <w:tc>
          <w:tcPr>
            <w:tcW w:w="2492" w:type="dxa"/>
          </w:tcPr>
          <w:p w14:paraId="4B41FAAB" w14:textId="77777777" w:rsidR="00084F36" w:rsidRPr="00EB2BD8" w:rsidRDefault="00EB2BD8">
            <w:pPr>
              <w:pStyle w:val="TableParagraph"/>
              <w:spacing w:before="19"/>
              <w:ind w:left="334"/>
              <w:rPr>
                <w:sz w:val="16"/>
              </w:rPr>
            </w:pPr>
            <w:r w:rsidRPr="00EB2BD8">
              <w:rPr>
                <w:spacing w:val="-2"/>
                <w:sz w:val="16"/>
              </w:rPr>
              <w:t>respect</w:t>
            </w:r>
            <w:r w:rsidRPr="00EB2BD8">
              <w:rPr>
                <w:spacing w:val="-4"/>
                <w:sz w:val="16"/>
              </w:rPr>
              <w:t xml:space="preserve"> </w:t>
            </w:r>
            <w:r w:rsidRPr="00EB2BD8">
              <w:rPr>
                <w:spacing w:val="-2"/>
                <w:sz w:val="16"/>
              </w:rPr>
              <w:t>of</w:t>
            </w:r>
            <w:r w:rsidRPr="00EB2BD8">
              <w:rPr>
                <w:spacing w:val="-4"/>
                <w:sz w:val="16"/>
              </w:rPr>
              <w:t xml:space="preserve"> </w:t>
            </w:r>
            <w:r w:rsidRPr="00EB2BD8">
              <w:rPr>
                <w:spacing w:val="-2"/>
                <w:sz w:val="16"/>
              </w:rPr>
              <w:t>demolition</w:t>
            </w:r>
            <w:r w:rsidRPr="00EB2BD8">
              <w:rPr>
                <w:spacing w:val="-4"/>
                <w:sz w:val="16"/>
              </w:rPr>
              <w:t xml:space="preserve"> work</w:t>
            </w:r>
          </w:p>
        </w:tc>
        <w:tc>
          <w:tcPr>
            <w:tcW w:w="2286" w:type="dxa"/>
          </w:tcPr>
          <w:p w14:paraId="3D3A4AB0" w14:textId="77777777" w:rsidR="00084F36" w:rsidRPr="00EB2BD8" w:rsidRDefault="00EB2BD8">
            <w:pPr>
              <w:pStyle w:val="TableParagraph"/>
              <w:spacing w:before="19"/>
              <w:ind w:left="121"/>
              <w:rPr>
                <w:sz w:val="16"/>
              </w:rPr>
            </w:pPr>
            <w:r w:rsidRPr="00EB2BD8">
              <w:rPr>
                <w:spacing w:val="-2"/>
                <w:sz w:val="16"/>
              </w:rPr>
              <w:t>course</w:t>
            </w:r>
            <w:r w:rsidRPr="00EB2BD8">
              <w:rPr>
                <w:spacing w:val="-6"/>
                <w:sz w:val="16"/>
              </w:rPr>
              <w:t xml:space="preserve"> </w:t>
            </w:r>
            <w:r w:rsidRPr="00EB2BD8">
              <w:rPr>
                <w:spacing w:val="-2"/>
                <w:sz w:val="16"/>
              </w:rPr>
              <w:t>of</w:t>
            </w:r>
            <w:r w:rsidRPr="00EB2BD8">
              <w:rPr>
                <w:spacing w:val="-5"/>
                <w:sz w:val="16"/>
              </w:rPr>
              <w:t xml:space="preserve"> </w:t>
            </w:r>
            <w:r w:rsidRPr="00EB2BD8">
              <w:rPr>
                <w:spacing w:val="-2"/>
                <w:sz w:val="16"/>
              </w:rPr>
              <w:t>training.</w:t>
            </w:r>
          </w:p>
        </w:tc>
        <w:tc>
          <w:tcPr>
            <w:tcW w:w="1079" w:type="dxa"/>
          </w:tcPr>
          <w:p w14:paraId="0050103E" w14:textId="77777777" w:rsidR="00084F36" w:rsidRPr="00EB2BD8" w:rsidRDefault="00084F36">
            <w:pPr>
              <w:pStyle w:val="TableParagraph"/>
              <w:rPr>
                <w:rFonts w:ascii="Times New Roman"/>
                <w:sz w:val="16"/>
              </w:rPr>
            </w:pPr>
          </w:p>
        </w:tc>
        <w:tc>
          <w:tcPr>
            <w:tcW w:w="1176" w:type="dxa"/>
          </w:tcPr>
          <w:p w14:paraId="1A8BC6E2" w14:textId="77777777" w:rsidR="00084F36" w:rsidRPr="00EB2BD8" w:rsidRDefault="00084F36">
            <w:pPr>
              <w:pStyle w:val="TableParagraph"/>
              <w:rPr>
                <w:rFonts w:ascii="Times New Roman"/>
                <w:sz w:val="16"/>
              </w:rPr>
            </w:pPr>
          </w:p>
        </w:tc>
      </w:tr>
      <w:tr w:rsidR="00EB2BD8" w:rsidRPr="00EB2BD8" w14:paraId="62DF36C5" w14:textId="77777777">
        <w:trPr>
          <w:trHeight w:val="288"/>
        </w:trPr>
        <w:tc>
          <w:tcPr>
            <w:tcW w:w="1705" w:type="dxa"/>
            <w:tcBorders>
              <w:bottom w:val="single" w:sz="2" w:space="0" w:color="000000"/>
            </w:tcBorders>
          </w:tcPr>
          <w:p w14:paraId="2A8E0DA1"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26ADADA2" w14:textId="77777777" w:rsidR="00084F36" w:rsidRPr="00EB2BD8" w:rsidRDefault="00084F36">
            <w:pPr>
              <w:pStyle w:val="TableParagraph"/>
              <w:rPr>
                <w:rFonts w:ascii="Times New Roman"/>
                <w:sz w:val="16"/>
              </w:rPr>
            </w:pPr>
          </w:p>
        </w:tc>
        <w:tc>
          <w:tcPr>
            <w:tcW w:w="2492" w:type="dxa"/>
            <w:tcBorders>
              <w:bottom w:val="single" w:sz="2" w:space="0" w:color="000000"/>
            </w:tcBorders>
          </w:tcPr>
          <w:p w14:paraId="6FEAF903" w14:textId="77777777" w:rsidR="00084F36" w:rsidRPr="00EB2BD8" w:rsidRDefault="00EB2BD8">
            <w:pPr>
              <w:pStyle w:val="TableParagraph"/>
              <w:spacing w:before="19"/>
              <w:ind w:left="334"/>
              <w:rPr>
                <w:sz w:val="16"/>
              </w:rPr>
            </w:pPr>
            <w:r w:rsidRPr="00EB2BD8">
              <w:rPr>
                <w:sz w:val="16"/>
              </w:rPr>
              <w:t xml:space="preserve">at </w:t>
            </w:r>
            <w:r w:rsidRPr="00EB2BD8">
              <w:rPr>
                <w:spacing w:val="-2"/>
                <w:sz w:val="16"/>
              </w:rPr>
              <w:t>Preston.</w:t>
            </w:r>
          </w:p>
        </w:tc>
        <w:tc>
          <w:tcPr>
            <w:tcW w:w="2286" w:type="dxa"/>
            <w:tcBorders>
              <w:bottom w:val="single" w:sz="2" w:space="0" w:color="000000"/>
            </w:tcBorders>
          </w:tcPr>
          <w:p w14:paraId="245FEE23"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0F3F8CE9"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140D721B" w14:textId="77777777" w:rsidR="00084F36" w:rsidRPr="00EB2BD8" w:rsidRDefault="00084F36">
            <w:pPr>
              <w:pStyle w:val="TableParagraph"/>
              <w:rPr>
                <w:rFonts w:ascii="Times New Roman"/>
                <w:sz w:val="16"/>
              </w:rPr>
            </w:pPr>
          </w:p>
        </w:tc>
      </w:tr>
      <w:tr w:rsidR="00EB2BD8" w:rsidRPr="00EB2BD8" w14:paraId="70876D4B" w14:textId="77777777">
        <w:trPr>
          <w:trHeight w:val="322"/>
        </w:trPr>
        <w:tc>
          <w:tcPr>
            <w:tcW w:w="1705" w:type="dxa"/>
            <w:tcBorders>
              <w:top w:val="single" w:sz="2" w:space="0" w:color="000000"/>
            </w:tcBorders>
          </w:tcPr>
          <w:p w14:paraId="28450FEA" w14:textId="77777777" w:rsidR="00084F36" w:rsidRPr="00EB2BD8" w:rsidRDefault="00EB2BD8">
            <w:pPr>
              <w:pStyle w:val="TableParagraph"/>
              <w:spacing w:before="112"/>
              <w:ind w:left="113"/>
              <w:rPr>
                <w:sz w:val="16"/>
              </w:rPr>
            </w:pPr>
            <w:r w:rsidRPr="00EB2BD8">
              <w:rPr>
                <w:spacing w:val="-2"/>
                <w:sz w:val="16"/>
              </w:rPr>
              <w:t>PACE,</w:t>
            </w:r>
            <w:r w:rsidRPr="00EB2BD8">
              <w:rPr>
                <w:spacing w:val="-11"/>
                <w:sz w:val="16"/>
              </w:rPr>
              <w:t xml:space="preserve"> </w:t>
            </w:r>
            <w:r w:rsidRPr="00EB2BD8">
              <w:rPr>
                <w:spacing w:val="-2"/>
                <w:sz w:val="16"/>
              </w:rPr>
              <w:t>Victor</w:t>
            </w:r>
          </w:p>
        </w:tc>
        <w:tc>
          <w:tcPr>
            <w:tcW w:w="1464" w:type="dxa"/>
            <w:tcBorders>
              <w:top w:val="single" w:sz="2" w:space="0" w:color="000000"/>
            </w:tcBorders>
          </w:tcPr>
          <w:p w14:paraId="7C805082" w14:textId="77777777" w:rsidR="00084F36" w:rsidRPr="00EB2BD8" w:rsidRDefault="00EB2BD8">
            <w:pPr>
              <w:pStyle w:val="TableParagraph"/>
              <w:spacing w:before="112"/>
              <w:ind w:left="165"/>
              <w:rPr>
                <w:sz w:val="16"/>
              </w:rPr>
            </w:pPr>
            <w:r w:rsidRPr="00EB2BD8">
              <w:rPr>
                <w:sz w:val="16"/>
              </w:rPr>
              <w:t>BD-M</w:t>
            </w:r>
            <w:r w:rsidRPr="00EB2BD8">
              <w:rPr>
                <w:spacing w:val="13"/>
                <w:sz w:val="16"/>
              </w:rPr>
              <w:t xml:space="preserve"> </w:t>
            </w:r>
            <w:r w:rsidRPr="00EB2BD8">
              <w:rPr>
                <w:spacing w:val="-4"/>
                <w:sz w:val="16"/>
              </w:rPr>
              <w:t>1027;</w:t>
            </w:r>
          </w:p>
        </w:tc>
        <w:tc>
          <w:tcPr>
            <w:tcW w:w="2492" w:type="dxa"/>
            <w:tcBorders>
              <w:top w:val="single" w:sz="2" w:space="0" w:color="000000"/>
            </w:tcBorders>
          </w:tcPr>
          <w:p w14:paraId="619D7686" w14:textId="77777777" w:rsidR="00084F36" w:rsidRPr="00EB2BD8" w:rsidRDefault="00EB2BD8">
            <w:pPr>
              <w:pStyle w:val="TableParagraph"/>
              <w:spacing w:before="112"/>
              <w:ind w:left="334"/>
              <w:rPr>
                <w:sz w:val="16"/>
              </w:rPr>
            </w:pPr>
            <w:r w:rsidRPr="00EB2BD8">
              <w:rPr>
                <w:spacing w:val="-2"/>
                <w:sz w:val="16"/>
              </w:rPr>
              <w:t>Failing</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call</w:t>
            </w:r>
            <w:r w:rsidRPr="00EB2BD8">
              <w:rPr>
                <w:spacing w:val="-7"/>
                <w:sz w:val="16"/>
              </w:rPr>
              <w:t xml:space="preserve"> </w:t>
            </w:r>
            <w:r w:rsidRPr="00EB2BD8">
              <w:rPr>
                <w:spacing w:val="-2"/>
                <w:sz w:val="16"/>
              </w:rPr>
              <w:t>for</w:t>
            </w:r>
            <w:r w:rsidRPr="00EB2BD8">
              <w:rPr>
                <w:spacing w:val="-8"/>
                <w:sz w:val="16"/>
              </w:rPr>
              <w:t xml:space="preserve"> </w:t>
            </w:r>
            <w:r w:rsidRPr="00EB2BD8">
              <w:rPr>
                <w:spacing w:val="-12"/>
                <w:sz w:val="16"/>
              </w:rPr>
              <w:t>a</w:t>
            </w:r>
          </w:p>
        </w:tc>
        <w:tc>
          <w:tcPr>
            <w:tcW w:w="2286" w:type="dxa"/>
            <w:tcBorders>
              <w:top w:val="single" w:sz="2" w:space="0" w:color="000000"/>
            </w:tcBorders>
          </w:tcPr>
          <w:p w14:paraId="70D8D0B6" w14:textId="77777777" w:rsidR="00084F36" w:rsidRPr="00EB2BD8" w:rsidRDefault="00EB2BD8">
            <w:pPr>
              <w:pStyle w:val="TableParagraph"/>
              <w:spacing w:before="111"/>
              <w:ind w:left="121"/>
              <w:rPr>
                <w:sz w:val="16"/>
              </w:rPr>
            </w:pPr>
            <w:r w:rsidRPr="00EB2BD8">
              <w:rPr>
                <w:sz w:val="16"/>
              </w:rPr>
              <w:t>Reprimand,</w:t>
            </w:r>
            <w:r w:rsidRPr="00EB2BD8">
              <w:rPr>
                <w:spacing w:val="-10"/>
                <w:sz w:val="16"/>
              </w:rPr>
              <w:t xml:space="preserve"> </w:t>
            </w:r>
            <w:r w:rsidRPr="00EB2BD8">
              <w:rPr>
                <w:sz w:val="16"/>
              </w:rPr>
              <w:t>penalty</w:t>
            </w:r>
            <w:r w:rsidRPr="00EB2BD8">
              <w:rPr>
                <w:spacing w:val="-9"/>
                <w:sz w:val="16"/>
              </w:rPr>
              <w:t xml:space="preserve"> </w:t>
            </w:r>
            <w:r w:rsidRPr="00EB2BD8">
              <w:rPr>
                <w:spacing w:val="-5"/>
                <w:sz w:val="16"/>
              </w:rPr>
              <w:t>of</w:t>
            </w:r>
          </w:p>
        </w:tc>
        <w:tc>
          <w:tcPr>
            <w:tcW w:w="1079" w:type="dxa"/>
            <w:tcBorders>
              <w:top w:val="single" w:sz="2" w:space="0" w:color="000000"/>
            </w:tcBorders>
          </w:tcPr>
          <w:p w14:paraId="48CBD4BF" w14:textId="77777777" w:rsidR="00084F36" w:rsidRPr="00EB2BD8" w:rsidRDefault="00EB2BD8">
            <w:pPr>
              <w:pStyle w:val="TableParagraph"/>
              <w:spacing w:before="111"/>
              <w:ind w:right="112"/>
              <w:jc w:val="right"/>
              <w:rPr>
                <w:sz w:val="16"/>
              </w:rPr>
            </w:pPr>
            <w:r w:rsidRPr="00EB2BD8">
              <w:rPr>
                <w:spacing w:val="-2"/>
                <w:sz w:val="16"/>
              </w:rPr>
              <w:t>$2,000</w:t>
            </w:r>
          </w:p>
        </w:tc>
        <w:tc>
          <w:tcPr>
            <w:tcW w:w="1176" w:type="dxa"/>
            <w:tcBorders>
              <w:top w:val="single" w:sz="2" w:space="0" w:color="000000"/>
            </w:tcBorders>
          </w:tcPr>
          <w:p w14:paraId="4EAD7C53" w14:textId="77777777" w:rsidR="00084F36" w:rsidRPr="00EB2BD8" w:rsidRDefault="00EB2BD8">
            <w:pPr>
              <w:pStyle w:val="TableParagraph"/>
              <w:spacing w:before="111"/>
              <w:ind w:left="112"/>
              <w:rPr>
                <w:sz w:val="16"/>
              </w:rPr>
            </w:pPr>
            <w:r w:rsidRPr="00EB2BD8">
              <w:rPr>
                <w:spacing w:val="-2"/>
                <w:w w:val="95"/>
                <w:sz w:val="16"/>
              </w:rPr>
              <w:t>13/09/2022</w:t>
            </w:r>
          </w:p>
        </w:tc>
      </w:tr>
      <w:tr w:rsidR="00EB2BD8" w:rsidRPr="00EB2BD8" w14:paraId="7E0AB2F9" w14:textId="77777777">
        <w:trPr>
          <w:trHeight w:val="229"/>
        </w:trPr>
        <w:tc>
          <w:tcPr>
            <w:tcW w:w="1705" w:type="dxa"/>
          </w:tcPr>
          <w:p w14:paraId="1678BABA" w14:textId="77777777" w:rsidR="00084F36" w:rsidRPr="00EB2BD8" w:rsidRDefault="00084F36">
            <w:pPr>
              <w:pStyle w:val="TableParagraph"/>
              <w:rPr>
                <w:rFonts w:ascii="Times New Roman"/>
                <w:sz w:val="16"/>
              </w:rPr>
            </w:pPr>
          </w:p>
        </w:tc>
        <w:tc>
          <w:tcPr>
            <w:tcW w:w="1464" w:type="dxa"/>
          </w:tcPr>
          <w:p w14:paraId="30A03B60" w14:textId="77777777" w:rsidR="00084F36" w:rsidRPr="00EB2BD8" w:rsidRDefault="00EB2BD8">
            <w:pPr>
              <w:pStyle w:val="TableParagraph"/>
              <w:spacing w:before="19"/>
              <w:ind w:left="165"/>
              <w:rPr>
                <w:sz w:val="16"/>
              </w:rPr>
            </w:pPr>
            <w:r w:rsidRPr="00EB2BD8">
              <w:rPr>
                <w:sz w:val="16"/>
              </w:rPr>
              <w:t>DB-U</w:t>
            </w:r>
            <w:r w:rsidRPr="00EB2BD8">
              <w:rPr>
                <w:spacing w:val="22"/>
                <w:sz w:val="16"/>
              </w:rPr>
              <w:t xml:space="preserve"> </w:t>
            </w:r>
            <w:r w:rsidRPr="00EB2BD8">
              <w:rPr>
                <w:spacing w:val="-4"/>
                <w:sz w:val="16"/>
              </w:rPr>
              <w:t>4854</w:t>
            </w:r>
          </w:p>
        </w:tc>
        <w:tc>
          <w:tcPr>
            <w:tcW w:w="2492" w:type="dxa"/>
          </w:tcPr>
          <w:p w14:paraId="0E12A87F" w14:textId="77777777" w:rsidR="00084F36" w:rsidRPr="00EB2BD8" w:rsidRDefault="00EB2BD8">
            <w:pPr>
              <w:pStyle w:val="TableParagraph"/>
              <w:spacing w:before="19"/>
              <w:ind w:left="334"/>
              <w:rPr>
                <w:sz w:val="16"/>
              </w:rPr>
            </w:pPr>
            <w:r w:rsidRPr="00EB2BD8">
              <w:rPr>
                <w:sz w:val="16"/>
              </w:rPr>
              <w:t>mandatory</w:t>
            </w:r>
            <w:r w:rsidRPr="00EB2BD8">
              <w:rPr>
                <w:spacing w:val="14"/>
                <w:sz w:val="16"/>
              </w:rPr>
              <w:t xml:space="preserve"> </w:t>
            </w:r>
            <w:r w:rsidRPr="00EB2BD8">
              <w:rPr>
                <w:spacing w:val="-2"/>
                <w:sz w:val="16"/>
              </w:rPr>
              <w:t>stage</w:t>
            </w:r>
          </w:p>
        </w:tc>
        <w:tc>
          <w:tcPr>
            <w:tcW w:w="2286" w:type="dxa"/>
          </w:tcPr>
          <w:p w14:paraId="7CD6C2B6" w14:textId="77777777" w:rsidR="00084F36" w:rsidRPr="00EB2BD8" w:rsidRDefault="00EB2BD8">
            <w:pPr>
              <w:pStyle w:val="TableParagraph"/>
              <w:spacing w:before="19"/>
              <w:ind w:left="121"/>
              <w:rPr>
                <w:sz w:val="16"/>
              </w:rPr>
            </w:pPr>
            <w:r w:rsidRPr="00EB2BD8">
              <w:rPr>
                <w:spacing w:val="-2"/>
                <w:sz w:val="16"/>
              </w:rPr>
              <w:t>$2,000</w:t>
            </w:r>
            <w:r w:rsidRPr="00EB2BD8">
              <w:rPr>
                <w:spacing w:val="-9"/>
                <w:sz w:val="16"/>
              </w:rPr>
              <w:t xml:space="preserve"> </w:t>
            </w:r>
            <w:r w:rsidRPr="00EB2BD8">
              <w:rPr>
                <w:spacing w:val="-2"/>
                <w:sz w:val="16"/>
              </w:rPr>
              <w:t>and</w:t>
            </w:r>
            <w:r w:rsidRPr="00EB2BD8">
              <w:rPr>
                <w:spacing w:val="-8"/>
                <w:sz w:val="16"/>
              </w:rPr>
              <w:t xml:space="preserve"> </w:t>
            </w:r>
            <w:r w:rsidRPr="00EB2BD8">
              <w:rPr>
                <w:spacing w:val="-2"/>
                <w:sz w:val="16"/>
              </w:rPr>
              <w:t>a</w:t>
            </w:r>
            <w:r w:rsidRPr="00EB2BD8">
              <w:rPr>
                <w:spacing w:val="-8"/>
                <w:sz w:val="16"/>
              </w:rPr>
              <w:t xml:space="preserve"> </w:t>
            </w:r>
            <w:r w:rsidRPr="00EB2BD8">
              <w:rPr>
                <w:spacing w:val="-2"/>
                <w:sz w:val="16"/>
              </w:rPr>
              <w:t>requirement</w:t>
            </w:r>
          </w:p>
        </w:tc>
        <w:tc>
          <w:tcPr>
            <w:tcW w:w="1079" w:type="dxa"/>
          </w:tcPr>
          <w:p w14:paraId="55F8B142" w14:textId="77777777" w:rsidR="00084F36" w:rsidRPr="00EB2BD8" w:rsidRDefault="00084F36">
            <w:pPr>
              <w:pStyle w:val="TableParagraph"/>
              <w:rPr>
                <w:rFonts w:ascii="Times New Roman"/>
                <w:sz w:val="16"/>
              </w:rPr>
            </w:pPr>
          </w:p>
        </w:tc>
        <w:tc>
          <w:tcPr>
            <w:tcW w:w="1176" w:type="dxa"/>
          </w:tcPr>
          <w:p w14:paraId="40B5159B" w14:textId="77777777" w:rsidR="00084F36" w:rsidRPr="00EB2BD8" w:rsidRDefault="00084F36">
            <w:pPr>
              <w:pStyle w:val="TableParagraph"/>
              <w:rPr>
                <w:rFonts w:ascii="Times New Roman"/>
                <w:sz w:val="16"/>
              </w:rPr>
            </w:pPr>
          </w:p>
        </w:tc>
      </w:tr>
      <w:tr w:rsidR="00EB2BD8" w:rsidRPr="00EB2BD8" w14:paraId="75F8472D" w14:textId="77777777">
        <w:trPr>
          <w:trHeight w:val="229"/>
        </w:trPr>
        <w:tc>
          <w:tcPr>
            <w:tcW w:w="1705" w:type="dxa"/>
          </w:tcPr>
          <w:p w14:paraId="7B80E839" w14:textId="77777777" w:rsidR="00084F36" w:rsidRPr="00EB2BD8" w:rsidRDefault="00084F36">
            <w:pPr>
              <w:pStyle w:val="TableParagraph"/>
              <w:rPr>
                <w:rFonts w:ascii="Times New Roman"/>
                <w:sz w:val="16"/>
              </w:rPr>
            </w:pPr>
          </w:p>
        </w:tc>
        <w:tc>
          <w:tcPr>
            <w:tcW w:w="1464" w:type="dxa"/>
          </w:tcPr>
          <w:p w14:paraId="1B59D6F5" w14:textId="77777777" w:rsidR="00084F36" w:rsidRPr="00EB2BD8" w:rsidRDefault="00084F36">
            <w:pPr>
              <w:pStyle w:val="TableParagraph"/>
              <w:rPr>
                <w:rFonts w:ascii="Times New Roman"/>
                <w:sz w:val="16"/>
              </w:rPr>
            </w:pPr>
          </w:p>
        </w:tc>
        <w:tc>
          <w:tcPr>
            <w:tcW w:w="2492" w:type="dxa"/>
          </w:tcPr>
          <w:p w14:paraId="60983F68" w14:textId="77777777" w:rsidR="00084F36" w:rsidRPr="00EB2BD8" w:rsidRDefault="00EB2BD8">
            <w:pPr>
              <w:pStyle w:val="TableParagraph"/>
              <w:spacing w:before="19"/>
              <w:ind w:left="334"/>
              <w:rPr>
                <w:sz w:val="16"/>
              </w:rPr>
            </w:pPr>
            <w:r w:rsidRPr="00EB2BD8">
              <w:rPr>
                <w:spacing w:val="-2"/>
                <w:sz w:val="16"/>
              </w:rPr>
              <w:t>inspection</w:t>
            </w:r>
            <w:r w:rsidRPr="00EB2BD8">
              <w:rPr>
                <w:spacing w:val="-4"/>
                <w:sz w:val="16"/>
              </w:rPr>
              <w:t xml:space="preserve"> </w:t>
            </w:r>
            <w:r w:rsidRPr="00EB2BD8">
              <w:rPr>
                <w:spacing w:val="-2"/>
                <w:sz w:val="16"/>
              </w:rPr>
              <w:t>in</w:t>
            </w:r>
            <w:r w:rsidRPr="00EB2BD8">
              <w:rPr>
                <w:spacing w:val="-3"/>
                <w:sz w:val="16"/>
              </w:rPr>
              <w:t xml:space="preserve"> </w:t>
            </w:r>
            <w:r w:rsidRPr="00EB2BD8">
              <w:rPr>
                <w:spacing w:val="-2"/>
                <w:sz w:val="16"/>
              </w:rPr>
              <w:t>respect</w:t>
            </w:r>
          </w:p>
        </w:tc>
        <w:tc>
          <w:tcPr>
            <w:tcW w:w="2286" w:type="dxa"/>
          </w:tcPr>
          <w:p w14:paraId="4BC560C8" w14:textId="77777777" w:rsidR="00084F36" w:rsidRPr="00EB2BD8" w:rsidRDefault="00EB2BD8">
            <w:pPr>
              <w:pStyle w:val="TableParagraph"/>
              <w:spacing w:before="19"/>
              <w:ind w:left="121"/>
              <w:rPr>
                <w:sz w:val="16"/>
              </w:rPr>
            </w:pPr>
            <w:r w:rsidRPr="00EB2BD8">
              <w:rPr>
                <w:sz w:val="16"/>
              </w:rPr>
              <w:t>to</w:t>
            </w:r>
            <w:r w:rsidRPr="00EB2BD8">
              <w:rPr>
                <w:spacing w:val="-9"/>
                <w:sz w:val="16"/>
              </w:rPr>
              <w:t xml:space="preserve"> </w:t>
            </w:r>
            <w:r w:rsidRPr="00EB2BD8">
              <w:rPr>
                <w:sz w:val="16"/>
              </w:rPr>
              <w:t>complete</w:t>
            </w:r>
            <w:r w:rsidRPr="00EB2BD8">
              <w:rPr>
                <w:spacing w:val="-9"/>
                <w:sz w:val="16"/>
              </w:rPr>
              <w:t xml:space="preserve"> </w:t>
            </w:r>
            <w:r w:rsidRPr="00EB2BD8">
              <w:rPr>
                <w:sz w:val="16"/>
              </w:rPr>
              <w:t>a</w:t>
            </w:r>
            <w:r w:rsidRPr="00EB2BD8">
              <w:rPr>
                <w:spacing w:val="-9"/>
                <w:sz w:val="16"/>
              </w:rPr>
              <w:t xml:space="preserve"> </w:t>
            </w:r>
            <w:r w:rsidRPr="00EB2BD8">
              <w:rPr>
                <w:sz w:val="16"/>
              </w:rPr>
              <w:t>course</w:t>
            </w:r>
            <w:r w:rsidRPr="00EB2BD8">
              <w:rPr>
                <w:spacing w:val="-9"/>
                <w:sz w:val="16"/>
              </w:rPr>
              <w:t xml:space="preserve"> </w:t>
            </w:r>
            <w:r w:rsidRPr="00EB2BD8">
              <w:rPr>
                <w:spacing w:val="-5"/>
                <w:sz w:val="16"/>
              </w:rPr>
              <w:t>of</w:t>
            </w:r>
          </w:p>
        </w:tc>
        <w:tc>
          <w:tcPr>
            <w:tcW w:w="1079" w:type="dxa"/>
          </w:tcPr>
          <w:p w14:paraId="6E1EB6FD" w14:textId="77777777" w:rsidR="00084F36" w:rsidRPr="00EB2BD8" w:rsidRDefault="00084F36">
            <w:pPr>
              <w:pStyle w:val="TableParagraph"/>
              <w:rPr>
                <w:rFonts w:ascii="Times New Roman"/>
                <w:sz w:val="16"/>
              </w:rPr>
            </w:pPr>
          </w:p>
        </w:tc>
        <w:tc>
          <w:tcPr>
            <w:tcW w:w="1176" w:type="dxa"/>
          </w:tcPr>
          <w:p w14:paraId="2B5EFC0D" w14:textId="77777777" w:rsidR="00084F36" w:rsidRPr="00EB2BD8" w:rsidRDefault="00084F36">
            <w:pPr>
              <w:pStyle w:val="TableParagraph"/>
              <w:rPr>
                <w:rFonts w:ascii="Times New Roman"/>
                <w:sz w:val="16"/>
              </w:rPr>
            </w:pPr>
          </w:p>
        </w:tc>
      </w:tr>
      <w:tr w:rsidR="00EB2BD8" w:rsidRPr="00EB2BD8" w14:paraId="7B821AC2" w14:textId="77777777">
        <w:trPr>
          <w:trHeight w:val="230"/>
        </w:trPr>
        <w:tc>
          <w:tcPr>
            <w:tcW w:w="1705" w:type="dxa"/>
          </w:tcPr>
          <w:p w14:paraId="50CF7BFD" w14:textId="77777777" w:rsidR="00084F36" w:rsidRPr="00EB2BD8" w:rsidRDefault="00084F36">
            <w:pPr>
              <w:pStyle w:val="TableParagraph"/>
              <w:rPr>
                <w:rFonts w:ascii="Times New Roman"/>
                <w:sz w:val="16"/>
              </w:rPr>
            </w:pPr>
          </w:p>
        </w:tc>
        <w:tc>
          <w:tcPr>
            <w:tcW w:w="1464" w:type="dxa"/>
          </w:tcPr>
          <w:p w14:paraId="42D46F74" w14:textId="77777777" w:rsidR="00084F36" w:rsidRPr="00EB2BD8" w:rsidRDefault="00084F36">
            <w:pPr>
              <w:pStyle w:val="TableParagraph"/>
              <w:rPr>
                <w:rFonts w:ascii="Times New Roman"/>
                <w:sz w:val="16"/>
              </w:rPr>
            </w:pPr>
          </w:p>
        </w:tc>
        <w:tc>
          <w:tcPr>
            <w:tcW w:w="2492" w:type="dxa"/>
          </w:tcPr>
          <w:p w14:paraId="6AC4871C" w14:textId="77777777" w:rsidR="00084F36" w:rsidRPr="00EB2BD8" w:rsidRDefault="00EB2BD8">
            <w:pPr>
              <w:pStyle w:val="TableParagraph"/>
              <w:spacing w:before="19"/>
              <w:ind w:left="334"/>
              <w:rPr>
                <w:sz w:val="16"/>
              </w:rPr>
            </w:pPr>
            <w:r w:rsidRPr="00EB2BD8">
              <w:rPr>
                <w:spacing w:val="-4"/>
                <w:sz w:val="16"/>
              </w:rPr>
              <w:t>of demolition</w:t>
            </w:r>
            <w:r w:rsidRPr="00EB2BD8">
              <w:rPr>
                <w:spacing w:val="-3"/>
                <w:sz w:val="16"/>
              </w:rPr>
              <w:t xml:space="preserve"> </w:t>
            </w:r>
            <w:r w:rsidRPr="00EB2BD8">
              <w:rPr>
                <w:spacing w:val="-4"/>
                <w:sz w:val="16"/>
              </w:rPr>
              <w:t>work</w:t>
            </w:r>
            <w:r w:rsidRPr="00EB2BD8">
              <w:rPr>
                <w:spacing w:val="-3"/>
                <w:sz w:val="16"/>
              </w:rPr>
              <w:t xml:space="preserve"> </w:t>
            </w:r>
            <w:r w:rsidRPr="00EB2BD8">
              <w:rPr>
                <w:spacing w:val="-5"/>
                <w:sz w:val="16"/>
              </w:rPr>
              <w:t>at</w:t>
            </w:r>
          </w:p>
        </w:tc>
        <w:tc>
          <w:tcPr>
            <w:tcW w:w="2286" w:type="dxa"/>
          </w:tcPr>
          <w:p w14:paraId="10803270" w14:textId="77777777" w:rsidR="00084F36" w:rsidRPr="00EB2BD8" w:rsidRDefault="00EB2BD8">
            <w:pPr>
              <w:pStyle w:val="TableParagraph"/>
              <w:spacing w:before="19"/>
              <w:ind w:left="121"/>
              <w:rPr>
                <w:sz w:val="16"/>
              </w:rPr>
            </w:pPr>
            <w:r w:rsidRPr="00EB2BD8">
              <w:rPr>
                <w:spacing w:val="-2"/>
                <w:sz w:val="16"/>
              </w:rPr>
              <w:t>training.</w:t>
            </w:r>
          </w:p>
        </w:tc>
        <w:tc>
          <w:tcPr>
            <w:tcW w:w="1079" w:type="dxa"/>
          </w:tcPr>
          <w:p w14:paraId="211BB081" w14:textId="77777777" w:rsidR="00084F36" w:rsidRPr="00EB2BD8" w:rsidRDefault="00084F36">
            <w:pPr>
              <w:pStyle w:val="TableParagraph"/>
              <w:rPr>
                <w:rFonts w:ascii="Times New Roman"/>
                <w:sz w:val="16"/>
              </w:rPr>
            </w:pPr>
          </w:p>
        </w:tc>
        <w:tc>
          <w:tcPr>
            <w:tcW w:w="1176" w:type="dxa"/>
          </w:tcPr>
          <w:p w14:paraId="3E4F1915" w14:textId="77777777" w:rsidR="00084F36" w:rsidRPr="00EB2BD8" w:rsidRDefault="00084F36">
            <w:pPr>
              <w:pStyle w:val="TableParagraph"/>
              <w:rPr>
                <w:rFonts w:ascii="Times New Roman"/>
                <w:sz w:val="16"/>
              </w:rPr>
            </w:pPr>
          </w:p>
        </w:tc>
      </w:tr>
      <w:tr w:rsidR="00EB2BD8" w:rsidRPr="00EB2BD8" w14:paraId="3424907F" w14:textId="77777777">
        <w:trPr>
          <w:trHeight w:val="289"/>
        </w:trPr>
        <w:tc>
          <w:tcPr>
            <w:tcW w:w="1705" w:type="dxa"/>
            <w:tcBorders>
              <w:bottom w:val="single" w:sz="2" w:space="0" w:color="000000"/>
            </w:tcBorders>
          </w:tcPr>
          <w:p w14:paraId="49498667"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24B5F60F" w14:textId="77777777" w:rsidR="00084F36" w:rsidRPr="00EB2BD8" w:rsidRDefault="00084F36">
            <w:pPr>
              <w:pStyle w:val="TableParagraph"/>
              <w:rPr>
                <w:rFonts w:ascii="Times New Roman"/>
                <w:sz w:val="16"/>
              </w:rPr>
            </w:pPr>
          </w:p>
        </w:tc>
        <w:tc>
          <w:tcPr>
            <w:tcW w:w="2492" w:type="dxa"/>
            <w:tcBorders>
              <w:bottom w:val="single" w:sz="2" w:space="0" w:color="000000"/>
            </w:tcBorders>
          </w:tcPr>
          <w:p w14:paraId="73AD72B7" w14:textId="77777777" w:rsidR="00084F36" w:rsidRPr="00EB2BD8" w:rsidRDefault="00EB2BD8">
            <w:pPr>
              <w:pStyle w:val="TableParagraph"/>
              <w:spacing w:before="19"/>
              <w:ind w:left="334"/>
              <w:rPr>
                <w:sz w:val="16"/>
              </w:rPr>
            </w:pPr>
            <w:r w:rsidRPr="00EB2BD8">
              <w:rPr>
                <w:spacing w:val="-2"/>
                <w:sz w:val="16"/>
              </w:rPr>
              <w:t>Reservoir.</w:t>
            </w:r>
          </w:p>
        </w:tc>
        <w:tc>
          <w:tcPr>
            <w:tcW w:w="2286" w:type="dxa"/>
            <w:tcBorders>
              <w:bottom w:val="single" w:sz="2" w:space="0" w:color="000000"/>
            </w:tcBorders>
          </w:tcPr>
          <w:p w14:paraId="6016CB71"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65879CB8"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1E94238D" w14:textId="77777777" w:rsidR="00084F36" w:rsidRPr="00EB2BD8" w:rsidRDefault="00084F36">
            <w:pPr>
              <w:pStyle w:val="TableParagraph"/>
              <w:rPr>
                <w:rFonts w:ascii="Times New Roman"/>
                <w:sz w:val="16"/>
              </w:rPr>
            </w:pPr>
          </w:p>
        </w:tc>
      </w:tr>
      <w:tr w:rsidR="00EB2BD8" w:rsidRPr="00EB2BD8" w14:paraId="3717F28A" w14:textId="77777777">
        <w:trPr>
          <w:trHeight w:val="321"/>
        </w:trPr>
        <w:tc>
          <w:tcPr>
            <w:tcW w:w="1705" w:type="dxa"/>
            <w:tcBorders>
              <w:top w:val="single" w:sz="2" w:space="0" w:color="000000"/>
            </w:tcBorders>
          </w:tcPr>
          <w:p w14:paraId="79C81B6B" w14:textId="77777777" w:rsidR="00084F36" w:rsidRPr="00EB2BD8" w:rsidRDefault="00EB2BD8">
            <w:pPr>
              <w:pStyle w:val="TableParagraph"/>
              <w:spacing w:before="111"/>
              <w:ind w:left="113"/>
              <w:rPr>
                <w:sz w:val="16"/>
              </w:rPr>
            </w:pPr>
            <w:r w:rsidRPr="00EB2BD8">
              <w:rPr>
                <w:spacing w:val="-2"/>
                <w:sz w:val="16"/>
              </w:rPr>
              <w:t>PACE,</w:t>
            </w:r>
            <w:r w:rsidRPr="00EB2BD8">
              <w:rPr>
                <w:spacing w:val="-11"/>
                <w:sz w:val="16"/>
              </w:rPr>
              <w:t xml:space="preserve"> </w:t>
            </w:r>
            <w:r w:rsidRPr="00EB2BD8">
              <w:rPr>
                <w:spacing w:val="-2"/>
                <w:sz w:val="16"/>
              </w:rPr>
              <w:t>Victor</w:t>
            </w:r>
          </w:p>
        </w:tc>
        <w:tc>
          <w:tcPr>
            <w:tcW w:w="1464" w:type="dxa"/>
            <w:tcBorders>
              <w:top w:val="single" w:sz="2" w:space="0" w:color="000000"/>
            </w:tcBorders>
          </w:tcPr>
          <w:p w14:paraId="0CD0DC6C" w14:textId="77777777" w:rsidR="00084F36" w:rsidRPr="00EB2BD8" w:rsidRDefault="00EB2BD8">
            <w:pPr>
              <w:pStyle w:val="TableParagraph"/>
              <w:spacing w:before="111"/>
              <w:ind w:left="165"/>
              <w:rPr>
                <w:sz w:val="16"/>
              </w:rPr>
            </w:pPr>
            <w:r w:rsidRPr="00EB2BD8">
              <w:rPr>
                <w:sz w:val="16"/>
              </w:rPr>
              <w:t>BD-M</w:t>
            </w:r>
            <w:r w:rsidRPr="00EB2BD8">
              <w:rPr>
                <w:spacing w:val="13"/>
                <w:sz w:val="16"/>
              </w:rPr>
              <w:t xml:space="preserve"> </w:t>
            </w:r>
            <w:r w:rsidRPr="00EB2BD8">
              <w:rPr>
                <w:spacing w:val="-4"/>
                <w:sz w:val="16"/>
              </w:rPr>
              <w:t>1027;</w:t>
            </w:r>
          </w:p>
        </w:tc>
        <w:tc>
          <w:tcPr>
            <w:tcW w:w="2492" w:type="dxa"/>
            <w:tcBorders>
              <w:top w:val="single" w:sz="2" w:space="0" w:color="000000"/>
            </w:tcBorders>
          </w:tcPr>
          <w:p w14:paraId="43A4DB26" w14:textId="77777777" w:rsidR="00084F36" w:rsidRPr="00EB2BD8" w:rsidRDefault="00EB2BD8">
            <w:pPr>
              <w:pStyle w:val="TableParagraph"/>
              <w:spacing w:before="111"/>
              <w:ind w:left="334"/>
              <w:rPr>
                <w:sz w:val="16"/>
              </w:rPr>
            </w:pPr>
            <w:r w:rsidRPr="00EB2BD8">
              <w:rPr>
                <w:spacing w:val="-2"/>
                <w:sz w:val="16"/>
              </w:rPr>
              <w:t>Failing</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call</w:t>
            </w:r>
            <w:r w:rsidRPr="00EB2BD8">
              <w:rPr>
                <w:spacing w:val="-7"/>
                <w:sz w:val="16"/>
              </w:rPr>
              <w:t xml:space="preserve"> </w:t>
            </w:r>
            <w:r w:rsidRPr="00EB2BD8">
              <w:rPr>
                <w:spacing w:val="-2"/>
                <w:sz w:val="16"/>
              </w:rPr>
              <w:t>for</w:t>
            </w:r>
            <w:r w:rsidRPr="00EB2BD8">
              <w:rPr>
                <w:spacing w:val="-8"/>
                <w:sz w:val="16"/>
              </w:rPr>
              <w:t xml:space="preserve"> </w:t>
            </w:r>
            <w:r w:rsidRPr="00EB2BD8">
              <w:rPr>
                <w:spacing w:val="-12"/>
                <w:sz w:val="16"/>
              </w:rPr>
              <w:t>a</w:t>
            </w:r>
          </w:p>
        </w:tc>
        <w:tc>
          <w:tcPr>
            <w:tcW w:w="2286" w:type="dxa"/>
            <w:tcBorders>
              <w:top w:val="single" w:sz="2" w:space="0" w:color="000000"/>
            </w:tcBorders>
          </w:tcPr>
          <w:p w14:paraId="26781853" w14:textId="77777777" w:rsidR="00084F36" w:rsidRPr="00EB2BD8" w:rsidRDefault="00EB2BD8">
            <w:pPr>
              <w:pStyle w:val="TableParagraph"/>
              <w:spacing w:before="111"/>
              <w:ind w:left="121"/>
              <w:rPr>
                <w:sz w:val="16"/>
              </w:rPr>
            </w:pPr>
            <w:r w:rsidRPr="00EB2BD8">
              <w:rPr>
                <w:sz w:val="16"/>
              </w:rPr>
              <w:t>Reprimand,</w:t>
            </w:r>
            <w:r w:rsidRPr="00EB2BD8">
              <w:rPr>
                <w:spacing w:val="-10"/>
                <w:sz w:val="16"/>
              </w:rPr>
              <w:t xml:space="preserve"> </w:t>
            </w:r>
            <w:r w:rsidRPr="00EB2BD8">
              <w:rPr>
                <w:sz w:val="16"/>
              </w:rPr>
              <w:t>penalty</w:t>
            </w:r>
            <w:r w:rsidRPr="00EB2BD8">
              <w:rPr>
                <w:spacing w:val="-9"/>
                <w:sz w:val="16"/>
              </w:rPr>
              <w:t xml:space="preserve"> </w:t>
            </w:r>
            <w:r w:rsidRPr="00EB2BD8">
              <w:rPr>
                <w:spacing w:val="-5"/>
                <w:sz w:val="16"/>
              </w:rPr>
              <w:t>of</w:t>
            </w:r>
          </w:p>
        </w:tc>
        <w:tc>
          <w:tcPr>
            <w:tcW w:w="1079" w:type="dxa"/>
            <w:tcBorders>
              <w:top w:val="single" w:sz="2" w:space="0" w:color="000000"/>
            </w:tcBorders>
          </w:tcPr>
          <w:p w14:paraId="6849E19F" w14:textId="77777777" w:rsidR="00084F36" w:rsidRPr="00EB2BD8" w:rsidRDefault="00EB2BD8">
            <w:pPr>
              <w:pStyle w:val="TableParagraph"/>
              <w:spacing w:before="111"/>
              <w:ind w:right="112"/>
              <w:jc w:val="right"/>
              <w:rPr>
                <w:sz w:val="16"/>
              </w:rPr>
            </w:pPr>
            <w:r w:rsidRPr="00EB2BD8">
              <w:rPr>
                <w:spacing w:val="-2"/>
                <w:sz w:val="16"/>
              </w:rPr>
              <w:t>$2,000</w:t>
            </w:r>
          </w:p>
        </w:tc>
        <w:tc>
          <w:tcPr>
            <w:tcW w:w="1176" w:type="dxa"/>
            <w:tcBorders>
              <w:top w:val="single" w:sz="2" w:space="0" w:color="000000"/>
            </w:tcBorders>
          </w:tcPr>
          <w:p w14:paraId="756176D0" w14:textId="77777777" w:rsidR="00084F36" w:rsidRPr="00EB2BD8" w:rsidRDefault="00EB2BD8">
            <w:pPr>
              <w:pStyle w:val="TableParagraph"/>
              <w:spacing w:before="111"/>
              <w:ind w:left="112"/>
              <w:rPr>
                <w:sz w:val="16"/>
              </w:rPr>
            </w:pPr>
            <w:r w:rsidRPr="00EB2BD8">
              <w:rPr>
                <w:spacing w:val="-2"/>
                <w:w w:val="95"/>
                <w:sz w:val="16"/>
              </w:rPr>
              <w:t>13/09/2022</w:t>
            </w:r>
          </w:p>
        </w:tc>
      </w:tr>
      <w:tr w:rsidR="00EB2BD8" w:rsidRPr="00EB2BD8" w14:paraId="295220AE" w14:textId="77777777">
        <w:trPr>
          <w:trHeight w:val="229"/>
        </w:trPr>
        <w:tc>
          <w:tcPr>
            <w:tcW w:w="1705" w:type="dxa"/>
          </w:tcPr>
          <w:p w14:paraId="2CC05E0B" w14:textId="77777777" w:rsidR="00084F36" w:rsidRPr="00EB2BD8" w:rsidRDefault="00084F36">
            <w:pPr>
              <w:pStyle w:val="TableParagraph"/>
              <w:rPr>
                <w:rFonts w:ascii="Times New Roman"/>
                <w:sz w:val="16"/>
              </w:rPr>
            </w:pPr>
          </w:p>
        </w:tc>
        <w:tc>
          <w:tcPr>
            <w:tcW w:w="1464" w:type="dxa"/>
          </w:tcPr>
          <w:p w14:paraId="6AE49187" w14:textId="77777777" w:rsidR="00084F36" w:rsidRPr="00EB2BD8" w:rsidRDefault="00EB2BD8">
            <w:pPr>
              <w:pStyle w:val="TableParagraph"/>
              <w:spacing w:before="19"/>
              <w:ind w:left="165"/>
              <w:rPr>
                <w:sz w:val="16"/>
              </w:rPr>
            </w:pPr>
            <w:r w:rsidRPr="00EB2BD8">
              <w:rPr>
                <w:sz w:val="16"/>
              </w:rPr>
              <w:t>DB-U</w:t>
            </w:r>
            <w:r w:rsidRPr="00EB2BD8">
              <w:rPr>
                <w:spacing w:val="22"/>
                <w:sz w:val="16"/>
              </w:rPr>
              <w:t xml:space="preserve"> </w:t>
            </w:r>
            <w:r w:rsidRPr="00EB2BD8">
              <w:rPr>
                <w:spacing w:val="-4"/>
                <w:sz w:val="16"/>
              </w:rPr>
              <w:t>4854</w:t>
            </w:r>
          </w:p>
        </w:tc>
        <w:tc>
          <w:tcPr>
            <w:tcW w:w="2492" w:type="dxa"/>
          </w:tcPr>
          <w:p w14:paraId="5DAFD776" w14:textId="77777777" w:rsidR="00084F36" w:rsidRPr="00EB2BD8" w:rsidRDefault="00EB2BD8">
            <w:pPr>
              <w:pStyle w:val="TableParagraph"/>
              <w:spacing w:before="19"/>
              <w:ind w:left="334"/>
              <w:rPr>
                <w:sz w:val="16"/>
              </w:rPr>
            </w:pPr>
            <w:r w:rsidRPr="00EB2BD8">
              <w:rPr>
                <w:sz w:val="16"/>
              </w:rPr>
              <w:t>mandatory</w:t>
            </w:r>
            <w:r w:rsidRPr="00EB2BD8">
              <w:rPr>
                <w:spacing w:val="14"/>
                <w:sz w:val="16"/>
              </w:rPr>
              <w:t xml:space="preserve"> </w:t>
            </w:r>
            <w:r w:rsidRPr="00EB2BD8">
              <w:rPr>
                <w:spacing w:val="-2"/>
                <w:sz w:val="16"/>
              </w:rPr>
              <w:t>stage</w:t>
            </w:r>
          </w:p>
        </w:tc>
        <w:tc>
          <w:tcPr>
            <w:tcW w:w="2286" w:type="dxa"/>
          </w:tcPr>
          <w:p w14:paraId="3DE9A79A" w14:textId="77777777" w:rsidR="00084F36" w:rsidRPr="00EB2BD8" w:rsidRDefault="00EB2BD8">
            <w:pPr>
              <w:pStyle w:val="TableParagraph"/>
              <w:spacing w:before="19"/>
              <w:ind w:left="121"/>
              <w:rPr>
                <w:sz w:val="16"/>
              </w:rPr>
            </w:pPr>
            <w:r w:rsidRPr="00EB2BD8">
              <w:rPr>
                <w:spacing w:val="-2"/>
                <w:sz w:val="16"/>
              </w:rPr>
              <w:t>$2,000</w:t>
            </w:r>
            <w:r w:rsidRPr="00EB2BD8">
              <w:rPr>
                <w:spacing w:val="-9"/>
                <w:sz w:val="16"/>
              </w:rPr>
              <w:t xml:space="preserve"> </w:t>
            </w:r>
            <w:r w:rsidRPr="00EB2BD8">
              <w:rPr>
                <w:spacing w:val="-2"/>
                <w:sz w:val="16"/>
              </w:rPr>
              <w:t>and</w:t>
            </w:r>
            <w:r w:rsidRPr="00EB2BD8">
              <w:rPr>
                <w:spacing w:val="-8"/>
                <w:sz w:val="16"/>
              </w:rPr>
              <w:t xml:space="preserve"> </w:t>
            </w:r>
            <w:r w:rsidRPr="00EB2BD8">
              <w:rPr>
                <w:spacing w:val="-2"/>
                <w:sz w:val="16"/>
              </w:rPr>
              <w:t>a</w:t>
            </w:r>
            <w:r w:rsidRPr="00EB2BD8">
              <w:rPr>
                <w:spacing w:val="-8"/>
                <w:sz w:val="16"/>
              </w:rPr>
              <w:t xml:space="preserve"> </w:t>
            </w:r>
            <w:r w:rsidRPr="00EB2BD8">
              <w:rPr>
                <w:spacing w:val="-2"/>
                <w:sz w:val="16"/>
              </w:rPr>
              <w:t>requirement</w:t>
            </w:r>
          </w:p>
        </w:tc>
        <w:tc>
          <w:tcPr>
            <w:tcW w:w="1079" w:type="dxa"/>
          </w:tcPr>
          <w:p w14:paraId="47CFA1B3" w14:textId="77777777" w:rsidR="00084F36" w:rsidRPr="00EB2BD8" w:rsidRDefault="00084F36">
            <w:pPr>
              <w:pStyle w:val="TableParagraph"/>
              <w:rPr>
                <w:rFonts w:ascii="Times New Roman"/>
                <w:sz w:val="16"/>
              </w:rPr>
            </w:pPr>
          </w:p>
        </w:tc>
        <w:tc>
          <w:tcPr>
            <w:tcW w:w="1176" w:type="dxa"/>
          </w:tcPr>
          <w:p w14:paraId="037B394E" w14:textId="77777777" w:rsidR="00084F36" w:rsidRPr="00EB2BD8" w:rsidRDefault="00084F36">
            <w:pPr>
              <w:pStyle w:val="TableParagraph"/>
              <w:rPr>
                <w:rFonts w:ascii="Times New Roman"/>
                <w:sz w:val="16"/>
              </w:rPr>
            </w:pPr>
          </w:p>
        </w:tc>
      </w:tr>
      <w:tr w:rsidR="00EB2BD8" w:rsidRPr="00EB2BD8" w14:paraId="14C25366" w14:textId="77777777">
        <w:trPr>
          <w:trHeight w:val="229"/>
        </w:trPr>
        <w:tc>
          <w:tcPr>
            <w:tcW w:w="1705" w:type="dxa"/>
          </w:tcPr>
          <w:p w14:paraId="4EBC87A8" w14:textId="77777777" w:rsidR="00084F36" w:rsidRPr="00EB2BD8" w:rsidRDefault="00084F36">
            <w:pPr>
              <w:pStyle w:val="TableParagraph"/>
              <w:rPr>
                <w:rFonts w:ascii="Times New Roman"/>
                <w:sz w:val="16"/>
              </w:rPr>
            </w:pPr>
          </w:p>
        </w:tc>
        <w:tc>
          <w:tcPr>
            <w:tcW w:w="1464" w:type="dxa"/>
          </w:tcPr>
          <w:p w14:paraId="31AD06B5" w14:textId="77777777" w:rsidR="00084F36" w:rsidRPr="00EB2BD8" w:rsidRDefault="00084F36">
            <w:pPr>
              <w:pStyle w:val="TableParagraph"/>
              <w:rPr>
                <w:rFonts w:ascii="Times New Roman"/>
                <w:sz w:val="16"/>
              </w:rPr>
            </w:pPr>
          </w:p>
        </w:tc>
        <w:tc>
          <w:tcPr>
            <w:tcW w:w="2492" w:type="dxa"/>
          </w:tcPr>
          <w:p w14:paraId="55E71CF4" w14:textId="77777777" w:rsidR="00084F36" w:rsidRPr="00EB2BD8" w:rsidRDefault="00EB2BD8">
            <w:pPr>
              <w:pStyle w:val="TableParagraph"/>
              <w:spacing w:before="19"/>
              <w:ind w:left="334"/>
              <w:rPr>
                <w:sz w:val="16"/>
              </w:rPr>
            </w:pPr>
            <w:r w:rsidRPr="00EB2BD8">
              <w:rPr>
                <w:spacing w:val="-2"/>
                <w:sz w:val="16"/>
              </w:rPr>
              <w:t>inspection</w:t>
            </w:r>
            <w:r w:rsidRPr="00EB2BD8">
              <w:rPr>
                <w:spacing w:val="-4"/>
                <w:sz w:val="16"/>
              </w:rPr>
              <w:t xml:space="preserve"> </w:t>
            </w:r>
            <w:r w:rsidRPr="00EB2BD8">
              <w:rPr>
                <w:spacing w:val="-2"/>
                <w:sz w:val="16"/>
              </w:rPr>
              <w:t>in</w:t>
            </w:r>
            <w:r w:rsidRPr="00EB2BD8">
              <w:rPr>
                <w:spacing w:val="-3"/>
                <w:sz w:val="16"/>
              </w:rPr>
              <w:t xml:space="preserve"> </w:t>
            </w:r>
            <w:r w:rsidRPr="00EB2BD8">
              <w:rPr>
                <w:spacing w:val="-2"/>
                <w:sz w:val="16"/>
              </w:rPr>
              <w:t>respect</w:t>
            </w:r>
          </w:p>
        </w:tc>
        <w:tc>
          <w:tcPr>
            <w:tcW w:w="2286" w:type="dxa"/>
          </w:tcPr>
          <w:p w14:paraId="1E4E9642" w14:textId="77777777" w:rsidR="00084F36" w:rsidRPr="00EB2BD8" w:rsidRDefault="00EB2BD8">
            <w:pPr>
              <w:pStyle w:val="TableParagraph"/>
              <w:spacing w:before="19"/>
              <w:ind w:left="121"/>
              <w:rPr>
                <w:sz w:val="16"/>
              </w:rPr>
            </w:pPr>
            <w:r w:rsidRPr="00EB2BD8">
              <w:rPr>
                <w:sz w:val="16"/>
              </w:rPr>
              <w:t>to</w:t>
            </w:r>
            <w:r w:rsidRPr="00EB2BD8">
              <w:rPr>
                <w:spacing w:val="-9"/>
                <w:sz w:val="16"/>
              </w:rPr>
              <w:t xml:space="preserve"> </w:t>
            </w:r>
            <w:r w:rsidRPr="00EB2BD8">
              <w:rPr>
                <w:sz w:val="16"/>
              </w:rPr>
              <w:t>complete</w:t>
            </w:r>
            <w:r w:rsidRPr="00EB2BD8">
              <w:rPr>
                <w:spacing w:val="-9"/>
                <w:sz w:val="16"/>
              </w:rPr>
              <w:t xml:space="preserve"> </w:t>
            </w:r>
            <w:r w:rsidRPr="00EB2BD8">
              <w:rPr>
                <w:sz w:val="16"/>
              </w:rPr>
              <w:t>a</w:t>
            </w:r>
            <w:r w:rsidRPr="00EB2BD8">
              <w:rPr>
                <w:spacing w:val="-9"/>
                <w:sz w:val="16"/>
              </w:rPr>
              <w:t xml:space="preserve"> </w:t>
            </w:r>
            <w:r w:rsidRPr="00EB2BD8">
              <w:rPr>
                <w:sz w:val="16"/>
              </w:rPr>
              <w:t>course</w:t>
            </w:r>
            <w:r w:rsidRPr="00EB2BD8">
              <w:rPr>
                <w:spacing w:val="-9"/>
                <w:sz w:val="16"/>
              </w:rPr>
              <w:t xml:space="preserve"> </w:t>
            </w:r>
            <w:r w:rsidRPr="00EB2BD8">
              <w:rPr>
                <w:spacing w:val="-5"/>
                <w:sz w:val="16"/>
              </w:rPr>
              <w:t>of</w:t>
            </w:r>
          </w:p>
        </w:tc>
        <w:tc>
          <w:tcPr>
            <w:tcW w:w="1079" w:type="dxa"/>
          </w:tcPr>
          <w:p w14:paraId="47E71EBE" w14:textId="77777777" w:rsidR="00084F36" w:rsidRPr="00EB2BD8" w:rsidRDefault="00084F36">
            <w:pPr>
              <w:pStyle w:val="TableParagraph"/>
              <w:rPr>
                <w:rFonts w:ascii="Times New Roman"/>
                <w:sz w:val="16"/>
              </w:rPr>
            </w:pPr>
          </w:p>
        </w:tc>
        <w:tc>
          <w:tcPr>
            <w:tcW w:w="1176" w:type="dxa"/>
          </w:tcPr>
          <w:p w14:paraId="089344C8" w14:textId="77777777" w:rsidR="00084F36" w:rsidRPr="00EB2BD8" w:rsidRDefault="00084F36">
            <w:pPr>
              <w:pStyle w:val="TableParagraph"/>
              <w:rPr>
                <w:rFonts w:ascii="Times New Roman"/>
                <w:sz w:val="16"/>
              </w:rPr>
            </w:pPr>
          </w:p>
        </w:tc>
      </w:tr>
      <w:tr w:rsidR="00EB2BD8" w:rsidRPr="00EB2BD8" w14:paraId="3AC490A3" w14:textId="77777777">
        <w:trPr>
          <w:trHeight w:val="230"/>
        </w:trPr>
        <w:tc>
          <w:tcPr>
            <w:tcW w:w="1705" w:type="dxa"/>
          </w:tcPr>
          <w:p w14:paraId="7E062001" w14:textId="77777777" w:rsidR="00084F36" w:rsidRPr="00EB2BD8" w:rsidRDefault="00084F36">
            <w:pPr>
              <w:pStyle w:val="TableParagraph"/>
              <w:rPr>
                <w:rFonts w:ascii="Times New Roman"/>
                <w:sz w:val="16"/>
              </w:rPr>
            </w:pPr>
          </w:p>
        </w:tc>
        <w:tc>
          <w:tcPr>
            <w:tcW w:w="1464" w:type="dxa"/>
          </w:tcPr>
          <w:p w14:paraId="4C06D028" w14:textId="77777777" w:rsidR="00084F36" w:rsidRPr="00EB2BD8" w:rsidRDefault="00084F36">
            <w:pPr>
              <w:pStyle w:val="TableParagraph"/>
              <w:rPr>
                <w:rFonts w:ascii="Times New Roman"/>
                <w:sz w:val="16"/>
              </w:rPr>
            </w:pPr>
          </w:p>
        </w:tc>
        <w:tc>
          <w:tcPr>
            <w:tcW w:w="2492" w:type="dxa"/>
          </w:tcPr>
          <w:p w14:paraId="3C6C69DF" w14:textId="77777777" w:rsidR="00084F36" w:rsidRPr="00EB2BD8" w:rsidRDefault="00EB2BD8">
            <w:pPr>
              <w:pStyle w:val="TableParagraph"/>
              <w:spacing w:before="19"/>
              <w:ind w:left="334"/>
              <w:rPr>
                <w:sz w:val="16"/>
              </w:rPr>
            </w:pPr>
            <w:r w:rsidRPr="00EB2BD8">
              <w:rPr>
                <w:spacing w:val="-4"/>
                <w:sz w:val="16"/>
              </w:rPr>
              <w:t>of demolition</w:t>
            </w:r>
            <w:r w:rsidRPr="00EB2BD8">
              <w:rPr>
                <w:spacing w:val="-3"/>
                <w:sz w:val="16"/>
              </w:rPr>
              <w:t xml:space="preserve"> </w:t>
            </w:r>
            <w:r w:rsidRPr="00EB2BD8">
              <w:rPr>
                <w:spacing w:val="-4"/>
                <w:sz w:val="16"/>
              </w:rPr>
              <w:t>work</w:t>
            </w:r>
            <w:r w:rsidRPr="00EB2BD8">
              <w:rPr>
                <w:spacing w:val="-3"/>
                <w:sz w:val="16"/>
              </w:rPr>
              <w:t xml:space="preserve"> </w:t>
            </w:r>
            <w:r w:rsidRPr="00EB2BD8">
              <w:rPr>
                <w:spacing w:val="-5"/>
                <w:sz w:val="16"/>
              </w:rPr>
              <w:t>at</w:t>
            </w:r>
          </w:p>
        </w:tc>
        <w:tc>
          <w:tcPr>
            <w:tcW w:w="2286" w:type="dxa"/>
          </w:tcPr>
          <w:p w14:paraId="26265399" w14:textId="77777777" w:rsidR="00084F36" w:rsidRPr="00EB2BD8" w:rsidRDefault="00EB2BD8">
            <w:pPr>
              <w:pStyle w:val="TableParagraph"/>
              <w:spacing w:before="19"/>
              <w:ind w:left="121"/>
              <w:rPr>
                <w:sz w:val="16"/>
              </w:rPr>
            </w:pPr>
            <w:r w:rsidRPr="00EB2BD8">
              <w:rPr>
                <w:spacing w:val="-2"/>
                <w:sz w:val="16"/>
              </w:rPr>
              <w:t>training.</w:t>
            </w:r>
          </w:p>
        </w:tc>
        <w:tc>
          <w:tcPr>
            <w:tcW w:w="1079" w:type="dxa"/>
          </w:tcPr>
          <w:p w14:paraId="2761E847" w14:textId="77777777" w:rsidR="00084F36" w:rsidRPr="00EB2BD8" w:rsidRDefault="00084F36">
            <w:pPr>
              <w:pStyle w:val="TableParagraph"/>
              <w:rPr>
                <w:rFonts w:ascii="Times New Roman"/>
                <w:sz w:val="16"/>
              </w:rPr>
            </w:pPr>
          </w:p>
        </w:tc>
        <w:tc>
          <w:tcPr>
            <w:tcW w:w="1176" w:type="dxa"/>
          </w:tcPr>
          <w:p w14:paraId="7218C182" w14:textId="77777777" w:rsidR="00084F36" w:rsidRPr="00EB2BD8" w:rsidRDefault="00084F36">
            <w:pPr>
              <w:pStyle w:val="TableParagraph"/>
              <w:rPr>
                <w:rFonts w:ascii="Times New Roman"/>
                <w:sz w:val="16"/>
              </w:rPr>
            </w:pPr>
          </w:p>
        </w:tc>
      </w:tr>
      <w:tr w:rsidR="00084F36" w:rsidRPr="00EB2BD8" w14:paraId="28D12095" w14:textId="77777777">
        <w:trPr>
          <w:trHeight w:val="205"/>
        </w:trPr>
        <w:tc>
          <w:tcPr>
            <w:tcW w:w="1705" w:type="dxa"/>
          </w:tcPr>
          <w:p w14:paraId="21ED9329" w14:textId="77777777" w:rsidR="00084F36" w:rsidRPr="00EB2BD8" w:rsidRDefault="00084F36">
            <w:pPr>
              <w:pStyle w:val="TableParagraph"/>
              <w:rPr>
                <w:rFonts w:ascii="Times New Roman"/>
                <w:sz w:val="14"/>
              </w:rPr>
            </w:pPr>
          </w:p>
        </w:tc>
        <w:tc>
          <w:tcPr>
            <w:tcW w:w="1464" w:type="dxa"/>
          </w:tcPr>
          <w:p w14:paraId="32334C7C" w14:textId="77777777" w:rsidR="00084F36" w:rsidRPr="00EB2BD8" w:rsidRDefault="00084F36">
            <w:pPr>
              <w:pStyle w:val="TableParagraph"/>
              <w:rPr>
                <w:rFonts w:ascii="Times New Roman"/>
                <w:sz w:val="14"/>
              </w:rPr>
            </w:pPr>
          </w:p>
        </w:tc>
        <w:tc>
          <w:tcPr>
            <w:tcW w:w="2492" w:type="dxa"/>
          </w:tcPr>
          <w:p w14:paraId="7509FA8C" w14:textId="77777777" w:rsidR="00084F36" w:rsidRPr="00EB2BD8" w:rsidRDefault="00EB2BD8">
            <w:pPr>
              <w:pStyle w:val="TableParagraph"/>
              <w:spacing w:before="19" w:line="166" w:lineRule="exact"/>
              <w:ind w:left="334"/>
              <w:rPr>
                <w:sz w:val="16"/>
              </w:rPr>
            </w:pPr>
            <w:r w:rsidRPr="00EB2BD8">
              <w:rPr>
                <w:sz w:val="16"/>
              </w:rPr>
              <w:t>Watsonia</w:t>
            </w:r>
            <w:r w:rsidRPr="00EB2BD8">
              <w:rPr>
                <w:spacing w:val="11"/>
                <w:sz w:val="16"/>
              </w:rPr>
              <w:t xml:space="preserve"> </w:t>
            </w:r>
            <w:r w:rsidRPr="00EB2BD8">
              <w:rPr>
                <w:spacing w:val="-2"/>
                <w:sz w:val="16"/>
              </w:rPr>
              <w:t>North.</w:t>
            </w:r>
          </w:p>
        </w:tc>
        <w:tc>
          <w:tcPr>
            <w:tcW w:w="2286" w:type="dxa"/>
          </w:tcPr>
          <w:p w14:paraId="1ADDD455" w14:textId="77777777" w:rsidR="00084F36" w:rsidRPr="00EB2BD8" w:rsidRDefault="00084F36">
            <w:pPr>
              <w:pStyle w:val="TableParagraph"/>
              <w:rPr>
                <w:rFonts w:ascii="Times New Roman"/>
                <w:sz w:val="14"/>
              </w:rPr>
            </w:pPr>
          </w:p>
        </w:tc>
        <w:tc>
          <w:tcPr>
            <w:tcW w:w="1079" w:type="dxa"/>
          </w:tcPr>
          <w:p w14:paraId="4B2783F0" w14:textId="77777777" w:rsidR="00084F36" w:rsidRPr="00EB2BD8" w:rsidRDefault="00084F36">
            <w:pPr>
              <w:pStyle w:val="TableParagraph"/>
              <w:rPr>
                <w:rFonts w:ascii="Times New Roman"/>
                <w:sz w:val="14"/>
              </w:rPr>
            </w:pPr>
          </w:p>
        </w:tc>
        <w:tc>
          <w:tcPr>
            <w:tcW w:w="1176" w:type="dxa"/>
          </w:tcPr>
          <w:p w14:paraId="45FD7DD5" w14:textId="77777777" w:rsidR="00084F36" w:rsidRPr="00EB2BD8" w:rsidRDefault="00084F36">
            <w:pPr>
              <w:pStyle w:val="TableParagraph"/>
              <w:rPr>
                <w:rFonts w:ascii="Times New Roman"/>
                <w:sz w:val="14"/>
              </w:rPr>
            </w:pPr>
          </w:p>
        </w:tc>
      </w:tr>
    </w:tbl>
    <w:p w14:paraId="79DBC38D" w14:textId="77777777" w:rsidR="00084F36" w:rsidRPr="00EB2BD8" w:rsidRDefault="00084F36">
      <w:pPr>
        <w:rPr>
          <w:rFonts w:ascii="Times New Roman"/>
          <w:sz w:val="14"/>
        </w:rPr>
        <w:sectPr w:rsidR="00084F36" w:rsidRPr="00EB2BD8" w:rsidSect="006D75B2">
          <w:footerReference w:type="default" r:id="rId415"/>
          <w:pgSz w:w="11910" w:h="16840"/>
          <w:pgMar w:top="1080" w:right="0" w:bottom="1720" w:left="0" w:header="0" w:footer="1535" w:gutter="0"/>
          <w:cols w:space="720"/>
        </w:sectPr>
      </w:pPr>
    </w:p>
    <w:p w14:paraId="7EE9E6BD" w14:textId="77777777" w:rsidR="00084F36" w:rsidRPr="00EB2BD8" w:rsidRDefault="00084F36">
      <w:pPr>
        <w:pStyle w:val="BodyText"/>
        <w:rPr>
          <w:i/>
          <w:sz w:val="20"/>
        </w:rPr>
      </w:pPr>
    </w:p>
    <w:p w14:paraId="6E45DDDD" w14:textId="77777777" w:rsidR="00084F36" w:rsidRPr="00EB2BD8" w:rsidRDefault="00084F36">
      <w:pPr>
        <w:pStyle w:val="BodyText"/>
        <w:rPr>
          <w:i/>
          <w:sz w:val="20"/>
        </w:rPr>
      </w:pPr>
    </w:p>
    <w:p w14:paraId="095D5535" w14:textId="77777777" w:rsidR="00084F36" w:rsidRPr="00EB2BD8" w:rsidRDefault="00084F36">
      <w:pPr>
        <w:pStyle w:val="BodyText"/>
        <w:rPr>
          <w:i/>
          <w:sz w:val="20"/>
        </w:rPr>
      </w:pPr>
    </w:p>
    <w:p w14:paraId="5C9A97B6" w14:textId="77777777" w:rsidR="00084F36" w:rsidRPr="00EB2BD8" w:rsidRDefault="00084F36">
      <w:pPr>
        <w:pStyle w:val="BodyText"/>
        <w:rPr>
          <w:i/>
          <w:sz w:val="20"/>
        </w:rPr>
      </w:pPr>
    </w:p>
    <w:p w14:paraId="31BB0992" w14:textId="77777777" w:rsidR="00084F36" w:rsidRPr="00EB2BD8" w:rsidRDefault="00084F36">
      <w:pPr>
        <w:pStyle w:val="BodyText"/>
        <w:spacing w:before="7"/>
        <w:rPr>
          <w:i/>
          <w:sz w:val="17"/>
        </w:rPr>
      </w:pPr>
    </w:p>
    <w:tbl>
      <w:tblPr>
        <w:tblW w:w="0" w:type="auto"/>
        <w:tblInd w:w="857" w:type="dxa"/>
        <w:tblLayout w:type="fixed"/>
        <w:tblCellMar>
          <w:left w:w="0" w:type="dxa"/>
          <w:right w:w="0" w:type="dxa"/>
        </w:tblCellMar>
        <w:tblLook w:val="01E0" w:firstRow="1" w:lastRow="1" w:firstColumn="1" w:lastColumn="1" w:noHBand="0" w:noVBand="0"/>
      </w:tblPr>
      <w:tblGrid>
        <w:gridCol w:w="1705"/>
        <w:gridCol w:w="1464"/>
        <w:gridCol w:w="2486"/>
        <w:gridCol w:w="2219"/>
        <w:gridCol w:w="1151"/>
        <w:gridCol w:w="1176"/>
      </w:tblGrid>
      <w:tr w:rsidR="00EB2BD8" w:rsidRPr="00EB2BD8" w14:paraId="097566B7" w14:textId="77777777">
        <w:trPr>
          <w:trHeight w:val="614"/>
        </w:trPr>
        <w:tc>
          <w:tcPr>
            <w:tcW w:w="1705" w:type="dxa"/>
            <w:tcBorders>
              <w:bottom w:val="single" w:sz="2" w:space="0" w:color="000000"/>
            </w:tcBorders>
            <w:shd w:val="clear" w:color="auto" w:fill="005F83"/>
          </w:tcPr>
          <w:p w14:paraId="6F6AE174" w14:textId="77777777" w:rsidR="00084F36" w:rsidRPr="00697E0C" w:rsidRDefault="00EB2BD8">
            <w:pPr>
              <w:pStyle w:val="TableParagraph"/>
              <w:spacing w:before="118"/>
              <w:ind w:left="113"/>
              <w:rPr>
                <w:color w:val="FFFFFF" w:themeColor="background1"/>
                <w:sz w:val="16"/>
              </w:rPr>
            </w:pPr>
            <w:r w:rsidRPr="00697E0C">
              <w:rPr>
                <w:color w:val="FFFFFF" w:themeColor="background1"/>
                <w:w w:val="105"/>
                <w:sz w:val="16"/>
              </w:rPr>
              <w:t>Practitioner</w:t>
            </w:r>
            <w:r w:rsidRPr="00697E0C">
              <w:rPr>
                <w:color w:val="FFFFFF" w:themeColor="background1"/>
                <w:spacing w:val="-14"/>
                <w:w w:val="105"/>
                <w:sz w:val="16"/>
              </w:rPr>
              <w:t xml:space="preserve"> </w:t>
            </w:r>
            <w:r w:rsidRPr="00697E0C">
              <w:rPr>
                <w:color w:val="FFFFFF" w:themeColor="background1"/>
                <w:spacing w:val="-4"/>
                <w:w w:val="105"/>
                <w:sz w:val="16"/>
              </w:rPr>
              <w:t>name</w:t>
            </w:r>
          </w:p>
        </w:tc>
        <w:tc>
          <w:tcPr>
            <w:tcW w:w="1464" w:type="dxa"/>
            <w:tcBorders>
              <w:bottom w:val="single" w:sz="2" w:space="0" w:color="000000"/>
            </w:tcBorders>
            <w:shd w:val="clear" w:color="auto" w:fill="005F83"/>
          </w:tcPr>
          <w:p w14:paraId="725820EA" w14:textId="77777777" w:rsidR="00084F36" w:rsidRPr="00697E0C" w:rsidRDefault="00EB2BD8">
            <w:pPr>
              <w:pStyle w:val="TableParagraph"/>
              <w:spacing w:before="118" w:line="292" w:lineRule="auto"/>
              <w:ind w:left="165"/>
              <w:rPr>
                <w:color w:val="FFFFFF" w:themeColor="background1"/>
                <w:sz w:val="16"/>
              </w:rPr>
            </w:pPr>
            <w:r w:rsidRPr="00697E0C">
              <w:rPr>
                <w:color w:val="FFFFFF" w:themeColor="background1"/>
                <w:spacing w:val="-2"/>
                <w:sz w:val="16"/>
              </w:rPr>
              <w:t xml:space="preserve">Registration </w:t>
            </w:r>
            <w:r w:rsidRPr="00697E0C">
              <w:rPr>
                <w:color w:val="FFFFFF" w:themeColor="background1"/>
                <w:spacing w:val="-2"/>
                <w:w w:val="105"/>
                <w:sz w:val="16"/>
              </w:rPr>
              <w:t>Number</w:t>
            </w:r>
          </w:p>
        </w:tc>
        <w:tc>
          <w:tcPr>
            <w:tcW w:w="2486" w:type="dxa"/>
            <w:tcBorders>
              <w:bottom w:val="single" w:sz="2" w:space="0" w:color="000000"/>
            </w:tcBorders>
            <w:shd w:val="clear" w:color="auto" w:fill="005F83"/>
          </w:tcPr>
          <w:p w14:paraId="39F3A1ED" w14:textId="77777777" w:rsidR="00084F36" w:rsidRPr="00697E0C" w:rsidRDefault="00EB2BD8">
            <w:pPr>
              <w:pStyle w:val="TableParagraph"/>
              <w:spacing w:before="118"/>
              <w:ind w:left="334"/>
              <w:rPr>
                <w:color w:val="FFFFFF" w:themeColor="background1"/>
                <w:sz w:val="16"/>
              </w:rPr>
            </w:pPr>
            <w:r w:rsidRPr="00697E0C">
              <w:rPr>
                <w:color w:val="FFFFFF" w:themeColor="background1"/>
                <w:spacing w:val="-2"/>
                <w:w w:val="105"/>
                <w:sz w:val="16"/>
              </w:rPr>
              <w:t>Conduct</w:t>
            </w:r>
          </w:p>
        </w:tc>
        <w:tc>
          <w:tcPr>
            <w:tcW w:w="2219" w:type="dxa"/>
            <w:tcBorders>
              <w:bottom w:val="single" w:sz="2" w:space="0" w:color="000000"/>
            </w:tcBorders>
            <w:shd w:val="clear" w:color="auto" w:fill="005F83"/>
          </w:tcPr>
          <w:p w14:paraId="5297D0BF" w14:textId="77777777" w:rsidR="00084F36" w:rsidRPr="00697E0C" w:rsidRDefault="00EB2BD8">
            <w:pPr>
              <w:pStyle w:val="TableParagraph"/>
              <w:spacing w:before="118"/>
              <w:ind w:left="127"/>
              <w:rPr>
                <w:color w:val="FFFFFF" w:themeColor="background1"/>
                <w:sz w:val="16"/>
              </w:rPr>
            </w:pPr>
            <w:r w:rsidRPr="00697E0C">
              <w:rPr>
                <w:color w:val="FFFFFF" w:themeColor="background1"/>
                <w:spacing w:val="-2"/>
                <w:sz w:val="16"/>
              </w:rPr>
              <w:t>Result</w:t>
            </w:r>
          </w:p>
        </w:tc>
        <w:tc>
          <w:tcPr>
            <w:tcW w:w="1151" w:type="dxa"/>
            <w:tcBorders>
              <w:bottom w:val="single" w:sz="2" w:space="0" w:color="000000"/>
            </w:tcBorders>
            <w:shd w:val="clear" w:color="auto" w:fill="005F83"/>
          </w:tcPr>
          <w:p w14:paraId="25300C73" w14:textId="77777777" w:rsidR="00084F36" w:rsidRPr="00697E0C" w:rsidRDefault="00EB2BD8">
            <w:pPr>
              <w:pStyle w:val="TableParagraph"/>
              <w:spacing w:before="118" w:line="292" w:lineRule="auto"/>
              <w:ind w:left="187" w:right="90"/>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35</w:t>
            </w:r>
          </w:p>
        </w:tc>
        <w:tc>
          <w:tcPr>
            <w:tcW w:w="1176" w:type="dxa"/>
            <w:tcBorders>
              <w:bottom w:val="single" w:sz="2" w:space="0" w:color="000000"/>
            </w:tcBorders>
            <w:shd w:val="clear" w:color="auto" w:fill="005F83"/>
          </w:tcPr>
          <w:p w14:paraId="3F5A622E" w14:textId="77777777" w:rsidR="00084F36" w:rsidRPr="00697E0C" w:rsidRDefault="00EB2BD8">
            <w:pPr>
              <w:pStyle w:val="TableParagraph"/>
              <w:spacing w:before="118"/>
              <w:ind w:left="113"/>
              <w:rPr>
                <w:color w:val="FFFFFF" w:themeColor="background1"/>
                <w:sz w:val="9"/>
              </w:rPr>
            </w:pPr>
            <w:r w:rsidRPr="00697E0C">
              <w:rPr>
                <w:color w:val="FFFFFF" w:themeColor="background1"/>
                <w:spacing w:val="-2"/>
                <w:w w:val="105"/>
                <w:sz w:val="16"/>
              </w:rPr>
              <w:t>Date</w:t>
            </w:r>
            <w:r w:rsidRPr="00697E0C">
              <w:rPr>
                <w:color w:val="FFFFFF" w:themeColor="background1"/>
                <w:spacing w:val="-2"/>
                <w:w w:val="105"/>
                <w:position w:val="5"/>
                <w:sz w:val="9"/>
              </w:rPr>
              <w:t>36</w:t>
            </w:r>
          </w:p>
        </w:tc>
      </w:tr>
      <w:tr w:rsidR="00EB2BD8" w:rsidRPr="00EB2BD8" w14:paraId="2A384D2E" w14:textId="77777777">
        <w:trPr>
          <w:trHeight w:val="326"/>
        </w:trPr>
        <w:tc>
          <w:tcPr>
            <w:tcW w:w="1705" w:type="dxa"/>
            <w:tcBorders>
              <w:top w:val="single" w:sz="2" w:space="0" w:color="000000"/>
            </w:tcBorders>
          </w:tcPr>
          <w:p w14:paraId="77F23273" w14:textId="77777777" w:rsidR="00084F36" w:rsidRPr="00EB2BD8" w:rsidRDefault="00EB2BD8">
            <w:pPr>
              <w:pStyle w:val="TableParagraph"/>
              <w:spacing w:before="116"/>
              <w:ind w:left="113"/>
              <w:rPr>
                <w:sz w:val="16"/>
              </w:rPr>
            </w:pPr>
            <w:r w:rsidRPr="00EB2BD8">
              <w:rPr>
                <w:spacing w:val="-4"/>
                <w:sz w:val="16"/>
              </w:rPr>
              <w:t>PANUCCIO,</w:t>
            </w:r>
            <w:r w:rsidRPr="00EB2BD8">
              <w:rPr>
                <w:spacing w:val="3"/>
                <w:sz w:val="16"/>
              </w:rPr>
              <w:t xml:space="preserve"> </w:t>
            </w:r>
            <w:r w:rsidRPr="00EB2BD8">
              <w:rPr>
                <w:spacing w:val="-2"/>
                <w:sz w:val="16"/>
              </w:rPr>
              <w:t>Vince</w:t>
            </w:r>
          </w:p>
        </w:tc>
        <w:tc>
          <w:tcPr>
            <w:tcW w:w="1464" w:type="dxa"/>
            <w:tcBorders>
              <w:top w:val="single" w:sz="2" w:space="0" w:color="000000"/>
            </w:tcBorders>
          </w:tcPr>
          <w:p w14:paraId="218659EB" w14:textId="77777777" w:rsidR="00084F36" w:rsidRPr="00EB2BD8" w:rsidRDefault="00EB2BD8">
            <w:pPr>
              <w:pStyle w:val="TableParagraph"/>
              <w:spacing w:before="116"/>
              <w:ind w:left="165"/>
              <w:rPr>
                <w:sz w:val="16"/>
              </w:rPr>
            </w:pPr>
            <w:r w:rsidRPr="00EB2BD8">
              <w:rPr>
                <w:spacing w:val="2"/>
                <w:sz w:val="16"/>
              </w:rPr>
              <w:t>BS-U</w:t>
            </w:r>
            <w:r w:rsidRPr="00EB2BD8">
              <w:rPr>
                <w:spacing w:val="26"/>
                <w:sz w:val="16"/>
              </w:rPr>
              <w:t xml:space="preserve"> </w:t>
            </w:r>
            <w:r w:rsidRPr="00EB2BD8">
              <w:rPr>
                <w:spacing w:val="-4"/>
                <w:sz w:val="16"/>
              </w:rPr>
              <w:t>1566</w:t>
            </w:r>
          </w:p>
        </w:tc>
        <w:tc>
          <w:tcPr>
            <w:tcW w:w="2486" w:type="dxa"/>
            <w:tcBorders>
              <w:top w:val="single" w:sz="2" w:space="0" w:color="000000"/>
            </w:tcBorders>
          </w:tcPr>
          <w:p w14:paraId="3A3454D4" w14:textId="77777777" w:rsidR="00084F36" w:rsidRPr="00EB2BD8" w:rsidRDefault="00EB2BD8">
            <w:pPr>
              <w:pStyle w:val="TableParagraph"/>
              <w:spacing w:before="116"/>
              <w:ind w:left="334"/>
              <w:rPr>
                <w:sz w:val="16"/>
              </w:rPr>
            </w:pPr>
            <w:r w:rsidRPr="00EB2BD8">
              <w:rPr>
                <w:spacing w:val="-4"/>
                <w:sz w:val="16"/>
              </w:rPr>
              <w:t>Issuing</w:t>
            </w:r>
            <w:r w:rsidRPr="00EB2BD8">
              <w:rPr>
                <w:sz w:val="16"/>
              </w:rPr>
              <w:t xml:space="preserve"> </w:t>
            </w:r>
            <w:r w:rsidRPr="00EB2BD8">
              <w:rPr>
                <w:spacing w:val="-4"/>
                <w:sz w:val="16"/>
              </w:rPr>
              <w:t>building</w:t>
            </w:r>
            <w:r w:rsidRPr="00EB2BD8">
              <w:rPr>
                <w:sz w:val="16"/>
              </w:rPr>
              <w:t xml:space="preserve"> </w:t>
            </w:r>
            <w:r w:rsidRPr="00EB2BD8">
              <w:rPr>
                <w:spacing w:val="-4"/>
                <w:sz w:val="16"/>
              </w:rPr>
              <w:t>permits</w:t>
            </w:r>
          </w:p>
        </w:tc>
        <w:tc>
          <w:tcPr>
            <w:tcW w:w="2219" w:type="dxa"/>
            <w:tcBorders>
              <w:top w:val="single" w:sz="2" w:space="0" w:color="000000"/>
            </w:tcBorders>
          </w:tcPr>
          <w:p w14:paraId="04A7154C" w14:textId="77777777" w:rsidR="00084F36" w:rsidRPr="00EB2BD8" w:rsidRDefault="00EB2BD8">
            <w:pPr>
              <w:pStyle w:val="TableParagraph"/>
              <w:spacing w:before="115"/>
              <w:ind w:left="127"/>
              <w:rPr>
                <w:sz w:val="16"/>
              </w:rPr>
            </w:pPr>
            <w:r w:rsidRPr="00EB2BD8">
              <w:rPr>
                <w:sz w:val="16"/>
              </w:rPr>
              <w:t>Aggregate</w:t>
            </w:r>
            <w:r w:rsidRPr="00EB2BD8">
              <w:rPr>
                <w:spacing w:val="-7"/>
                <w:sz w:val="16"/>
              </w:rPr>
              <w:t xml:space="preserve"> </w:t>
            </w:r>
            <w:r w:rsidRPr="00EB2BD8">
              <w:rPr>
                <w:sz w:val="16"/>
              </w:rPr>
              <w:t>penalties</w:t>
            </w:r>
            <w:r w:rsidRPr="00EB2BD8">
              <w:rPr>
                <w:spacing w:val="-7"/>
                <w:sz w:val="16"/>
              </w:rPr>
              <w:t xml:space="preserve"> </w:t>
            </w:r>
            <w:r w:rsidRPr="00EB2BD8">
              <w:rPr>
                <w:spacing w:val="-5"/>
                <w:sz w:val="16"/>
              </w:rPr>
              <w:t>of</w:t>
            </w:r>
          </w:p>
        </w:tc>
        <w:tc>
          <w:tcPr>
            <w:tcW w:w="1151" w:type="dxa"/>
            <w:tcBorders>
              <w:top w:val="single" w:sz="2" w:space="0" w:color="000000"/>
            </w:tcBorders>
          </w:tcPr>
          <w:p w14:paraId="18E8B4A4" w14:textId="77777777" w:rsidR="00084F36" w:rsidRPr="00EB2BD8" w:rsidRDefault="00EB2BD8">
            <w:pPr>
              <w:pStyle w:val="TableParagraph"/>
              <w:spacing w:before="115"/>
              <w:ind w:right="111"/>
              <w:jc w:val="right"/>
              <w:rPr>
                <w:sz w:val="16"/>
              </w:rPr>
            </w:pPr>
            <w:r w:rsidRPr="00EB2BD8">
              <w:rPr>
                <w:spacing w:val="-2"/>
                <w:w w:val="95"/>
                <w:sz w:val="16"/>
              </w:rPr>
              <w:t>$16,643</w:t>
            </w:r>
          </w:p>
        </w:tc>
        <w:tc>
          <w:tcPr>
            <w:tcW w:w="1176" w:type="dxa"/>
            <w:tcBorders>
              <w:top w:val="single" w:sz="2" w:space="0" w:color="000000"/>
            </w:tcBorders>
          </w:tcPr>
          <w:p w14:paraId="3266BB9D" w14:textId="77777777" w:rsidR="00084F36" w:rsidRPr="00EB2BD8" w:rsidRDefault="00EB2BD8">
            <w:pPr>
              <w:pStyle w:val="TableParagraph"/>
              <w:spacing w:before="115"/>
              <w:ind w:left="113"/>
              <w:rPr>
                <w:sz w:val="16"/>
              </w:rPr>
            </w:pPr>
            <w:r w:rsidRPr="00EB2BD8">
              <w:rPr>
                <w:spacing w:val="-2"/>
                <w:w w:val="90"/>
                <w:sz w:val="16"/>
              </w:rPr>
              <w:t>27/07/2022</w:t>
            </w:r>
          </w:p>
        </w:tc>
      </w:tr>
      <w:tr w:rsidR="00EB2BD8" w:rsidRPr="00EB2BD8" w14:paraId="7300898C" w14:textId="77777777">
        <w:trPr>
          <w:trHeight w:val="230"/>
        </w:trPr>
        <w:tc>
          <w:tcPr>
            <w:tcW w:w="1705" w:type="dxa"/>
          </w:tcPr>
          <w:p w14:paraId="4CF59AB4" w14:textId="77777777" w:rsidR="00084F36" w:rsidRPr="00EB2BD8" w:rsidRDefault="00084F36">
            <w:pPr>
              <w:pStyle w:val="TableParagraph"/>
              <w:rPr>
                <w:rFonts w:ascii="Times New Roman"/>
                <w:sz w:val="16"/>
              </w:rPr>
            </w:pPr>
          </w:p>
        </w:tc>
        <w:tc>
          <w:tcPr>
            <w:tcW w:w="1464" w:type="dxa"/>
          </w:tcPr>
          <w:p w14:paraId="053CBFB0" w14:textId="77777777" w:rsidR="00084F36" w:rsidRPr="00EB2BD8" w:rsidRDefault="00084F36">
            <w:pPr>
              <w:pStyle w:val="TableParagraph"/>
              <w:rPr>
                <w:rFonts w:ascii="Times New Roman"/>
                <w:sz w:val="16"/>
              </w:rPr>
            </w:pPr>
          </w:p>
        </w:tc>
        <w:tc>
          <w:tcPr>
            <w:tcW w:w="2486" w:type="dxa"/>
          </w:tcPr>
          <w:p w14:paraId="069283AE" w14:textId="77777777" w:rsidR="00084F36" w:rsidRPr="00EB2BD8" w:rsidRDefault="00EB2BD8">
            <w:pPr>
              <w:pStyle w:val="TableParagraph"/>
              <w:spacing w:before="20"/>
              <w:ind w:left="334"/>
              <w:rPr>
                <w:sz w:val="16"/>
              </w:rPr>
            </w:pPr>
            <w:r w:rsidRPr="00EB2BD8">
              <w:rPr>
                <w:w w:val="105"/>
                <w:sz w:val="16"/>
              </w:rPr>
              <w:t>and</w:t>
            </w:r>
            <w:r w:rsidRPr="00EB2BD8">
              <w:rPr>
                <w:spacing w:val="-14"/>
                <w:w w:val="105"/>
                <w:sz w:val="16"/>
              </w:rPr>
              <w:t xml:space="preserve"> </w:t>
            </w:r>
            <w:r w:rsidRPr="00EB2BD8">
              <w:rPr>
                <w:w w:val="105"/>
                <w:sz w:val="16"/>
              </w:rPr>
              <w:t>an</w:t>
            </w:r>
            <w:r w:rsidRPr="00EB2BD8">
              <w:rPr>
                <w:spacing w:val="-13"/>
                <w:w w:val="105"/>
                <w:sz w:val="16"/>
              </w:rPr>
              <w:t xml:space="preserve"> </w:t>
            </w:r>
            <w:r w:rsidRPr="00EB2BD8">
              <w:rPr>
                <w:w w:val="105"/>
                <w:sz w:val="16"/>
              </w:rPr>
              <w:t>occupancy</w:t>
            </w:r>
            <w:r w:rsidRPr="00EB2BD8">
              <w:rPr>
                <w:spacing w:val="-13"/>
                <w:w w:val="105"/>
                <w:sz w:val="16"/>
              </w:rPr>
              <w:t xml:space="preserve"> </w:t>
            </w:r>
            <w:r w:rsidRPr="00EB2BD8">
              <w:rPr>
                <w:spacing w:val="-2"/>
                <w:w w:val="105"/>
                <w:sz w:val="16"/>
              </w:rPr>
              <w:t>permit</w:t>
            </w:r>
          </w:p>
        </w:tc>
        <w:tc>
          <w:tcPr>
            <w:tcW w:w="2219" w:type="dxa"/>
          </w:tcPr>
          <w:p w14:paraId="3DD25B4A" w14:textId="77777777" w:rsidR="00084F36" w:rsidRPr="00EB2BD8" w:rsidRDefault="00EB2BD8">
            <w:pPr>
              <w:pStyle w:val="TableParagraph"/>
              <w:spacing w:before="19"/>
              <w:ind w:left="127"/>
              <w:rPr>
                <w:sz w:val="16"/>
              </w:rPr>
            </w:pPr>
            <w:r w:rsidRPr="00EB2BD8">
              <w:rPr>
                <w:spacing w:val="-2"/>
                <w:w w:val="90"/>
                <w:sz w:val="16"/>
              </w:rPr>
              <w:t>$16,643.</w:t>
            </w:r>
          </w:p>
        </w:tc>
        <w:tc>
          <w:tcPr>
            <w:tcW w:w="1151" w:type="dxa"/>
          </w:tcPr>
          <w:p w14:paraId="4A04FEBF" w14:textId="77777777" w:rsidR="00084F36" w:rsidRPr="00EB2BD8" w:rsidRDefault="00084F36">
            <w:pPr>
              <w:pStyle w:val="TableParagraph"/>
              <w:rPr>
                <w:rFonts w:ascii="Times New Roman"/>
                <w:sz w:val="16"/>
              </w:rPr>
            </w:pPr>
          </w:p>
        </w:tc>
        <w:tc>
          <w:tcPr>
            <w:tcW w:w="1176" w:type="dxa"/>
          </w:tcPr>
          <w:p w14:paraId="3CADCF90" w14:textId="77777777" w:rsidR="00084F36" w:rsidRPr="00EB2BD8" w:rsidRDefault="00084F36">
            <w:pPr>
              <w:pStyle w:val="TableParagraph"/>
              <w:rPr>
                <w:rFonts w:ascii="Times New Roman"/>
                <w:sz w:val="16"/>
              </w:rPr>
            </w:pPr>
          </w:p>
        </w:tc>
      </w:tr>
      <w:tr w:rsidR="00EB2BD8" w:rsidRPr="00EB2BD8" w14:paraId="3FF8A1F9" w14:textId="77777777">
        <w:trPr>
          <w:trHeight w:val="229"/>
        </w:trPr>
        <w:tc>
          <w:tcPr>
            <w:tcW w:w="1705" w:type="dxa"/>
          </w:tcPr>
          <w:p w14:paraId="76A9AF93" w14:textId="77777777" w:rsidR="00084F36" w:rsidRPr="00EB2BD8" w:rsidRDefault="00084F36">
            <w:pPr>
              <w:pStyle w:val="TableParagraph"/>
              <w:rPr>
                <w:rFonts w:ascii="Times New Roman"/>
                <w:sz w:val="16"/>
              </w:rPr>
            </w:pPr>
          </w:p>
        </w:tc>
        <w:tc>
          <w:tcPr>
            <w:tcW w:w="1464" w:type="dxa"/>
          </w:tcPr>
          <w:p w14:paraId="66C19402" w14:textId="77777777" w:rsidR="00084F36" w:rsidRPr="00EB2BD8" w:rsidRDefault="00084F36">
            <w:pPr>
              <w:pStyle w:val="TableParagraph"/>
              <w:rPr>
                <w:rFonts w:ascii="Times New Roman"/>
                <w:sz w:val="16"/>
              </w:rPr>
            </w:pPr>
          </w:p>
        </w:tc>
        <w:tc>
          <w:tcPr>
            <w:tcW w:w="2486" w:type="dxa"/>
          </w:tcPr>
          <w:p w14:paraId="2B580970" w14:textId="77777777" w:rsidR="00084F36" w:rsidRPr="00EB2BD8" w:rsidRDefault="00EB2BD8">
            <w:pPr>
              <w:pStyle w:val="TableParagraph"/>
              <w:spacing w:before="19"/>
              <w:ind w:left="334"/>
              <w:rPr>
                <w:sz w:val="16"/>
              </w:rPr>
            </w:pPr>
            <w:r w:rsidRPr="00EB2BD8">
              <w:rPr>
                <w:spacing w:val="-2"/>
                <w:sz w:val="16"/>
              </w:rPr>
              <w:t>without</w:t>
            </w:r>
            <w:r w:rsidRPr="00EB2BD8">
              <w:rPr>
                <w:spacing w:val="-10"/>
                <w:sz w:val="16"/>
              </w:rPr>
              <w:t xml:space="preserve"> </w:t>
            </w:r>
            <w:r w:rsidRPr="00EB2BD8">
              <w:rPr>
                <w:spacing w:val="-2"/>
                <w:sz w:val="16"/>
              </w:rPr>
              <w:t>justification,</w:t>
            </w:r>
          </w:p>
        </w:tc>
        <w:tc>
          <w:tcPr>
            <w:tcW w:w="2219" w:type="dxa"/>
          </w:tcPr>
          <w:p w14:paraId="6B6ED910" w14:textId="77777777" w:rsidR="00084F36" w:rsidRPr="00EB2BD8" w:rsidRDefault="00084F36">
            <w:pPr>
              <w:pStyle w:val="TableParagraph"/>
              <w:rPr>
                <w:rFonts w:ascii="Times New Roman"/>
                <w:sz w:val="16"/>
              </w:rPr>
            </w:pPr>
          </w:p>
        </w:tc>
        <w:tc>
          <w:tcPr>
            <w:tcW w:w="1151" w:type="dxa"/>
          </w:tcPr>
          <w:p w14:paraId="168A30AD" w14:textId="77777777" w:rsidR="00084F36" w:rsidRPr="00EB2BD8" w:rsidRDefault="00084F36">
            <w:pPr>
              <w:pStyle w:val="TableParagraph"/>
              <w:rPr>
                <w:rFonts w:ascii="Times New Roman"/>
                <w:sz w:val="16"/>
              </w:rPr>
            </w:pPr>
          </w:p>
        </w:tc>
        <w:tc>
          <w:tcPr>
            <w:tcW w:w="1176" w:type="dxa"/>
          </w:tcPr>
          <w:p w14:paraId="4E7A2C0C" w14:textId="77777777" w:rsidR="00084F36" w:rsidRPr="00EB2BD8" w:rsidRDefault="00084F36">
            <w:pPr>
              <w:pStyle w:val="TableParagraph"/>
              <w:rPr>
                <w:rFonts w:ascii="Times New Roman"/>
                <w:sz w:val="16"/>
              </w:rPr>
            </w:pPr>
          </w:p>
        </w:tc>
      </w:tr>
      <w:tr w:rsidR="00EB2BD8" w:rsidRPr="00EB2BD8" w14:paraId="36B711B1" w14:textId="77777777">
        <w:trPr>
          <w:trHeight w:val="229"/>
        </w:trPr>
        <w:tc>
          <w:tcPr>
            <w:tcW w:w="1705" w:type="dxa"/>
          </w:tcPr>
          <w:p w14:paraId="406AB096" w14:textId="77777777" w:rsidR="00084F36" w:rsidRPr="00EB2BD8" w:rsidRDefault="00084F36">
            <w:pPr>
              <w:pStyle w:val="TableParagraph"/>
              <w:rPr>
                <w:rFonts w:ascii="Times New Roman"/>
                <w:sz w:val="16"/>
              </w:rPr>
            </w:pPr>
          </w:p>
        </w:tc>
        <w:tc>
          <w:tcPr>
            <w:tcW w:w="1464" w:type="dxa"/>
          </w:tcPr>
          <w:p w14:paraId="5805503E" w14:textId="77777777" w:rsidR="00084F36" w:rsidRPr="00EB2BD8" w:rsidRDefault="00084F36">
            <w:pPr>
              <w:pStyle w:val="TableParagraph"/>
              <w:rPr>
                <w:rFonts w:ascii="Times New Roman"/>
                <w:sz w:val="16"/>
              </w:rPr>
            </w:pPr>
          </w:p>
        </w:tc>
        <w:tc>
          <w:tcPr>
            <w:tcW w:w="2486" w:type="dxa"/>
          </w:tcPr>
          <w:p w14:paraId="5EE44DFD" w14:textId="77777777" w:rsidR="00084F36" w:rsidRPr="00EB2BD8" w:rsidRDefault="00EB2BD8">
            <w:pPr>
              <w:pStyle w:val="TableParagraph"/>
              <w:spacing w:before="19"/>
              <w:ind w:left="334"/>
              <w:rPr>
                <w:sz w:val="16"/>
              </w:rPr>
            </w:pPr>
            <w:r w:rsidRPr="00EB2BD8">
              <w:rPr>
                <w:spacing w:val="-2"/>
                <w:sz w:val="16"/>
              </w:rPr>
              <w:t>performing</w:t>
            </w:r>
            <w:r w:rsidRPr="00EB2BD8">
              <w:rPr>
                <w:spacing w:val="-6"/>
                <w:sz w:val="16"/>
              </w:rPr>
              <w:t xml:space="preserve"> </w:t>
            </w:r>
            <w:r w:rsidRPr="00EB2BD8">
              <w:rPr>
                <w:spacing w:val="-2"/>
                <w:sz w:val="16"/>
              </w:rPr>
              <w:t>building</w:t>
            </w:r>
          </w:p>
        </w:tc>
        <w:tc>
          <w:tcPr>
            <w:tcW w:w="2219" w:type="dxa"/>
          </w:tcPr>
          <w:p w14:paraId="7790B939" w14:textId="77777777" w:rsidR="00084F36" w:rsidRPr="00EB2BD8" w:rsidRDefault="00084F36">
            <w:pPr>
              <w:pStyle w:val="TableParagraph"/>
              <w:rPr>
                <w:rFonts w:ascii="Times New Roman"/>
                <w:sz w:val="16"/>
              </w:rPr>
            </w:pPr>
          </w:p>
        </w:tc>
        <w:tc>
          <w:tcPr>
            <w:tcW w:w="1151" w:type="dxa"/>
          </w:tcPr>
          <w:p w14:paraId="061EC981" w14:textId="77777777" w:rsidR="00084F36" w:rsidRPr="00EB2BD8" w:rsidRDefault="00084F36">
            <w:pPr>
              <w:pStyle w:val="TableParagraph"/>
              <w:rPr>
                <w:rFonts w:ascii="Times New Roman"/>
                <w:sz w:val="16"/>
              </w:rPr>
            </w:pPr>
          </w:p>
        </w:tc>
        <w:tc>
          <w:tcPr>
            <w:tcW w:w="1176" w:type="dxa"/>
          </w:tcPr>
          <w:p w14:paraId="66250ED6" w14:textId="77777777" w:rsidR="00084F36" w:rsidRPr="00EB2BD8" w:rsidRDefault="00084F36">
            <w:pPr>
              <w:pStyle w:val="TableParagraph"/>
              <w:rPr>
                <w:rFonts w:ascii="Times New Roman"/>
                <w:sz w:val="16"/>
              </w:rPr>
            </w:pPr>
          </w:p>
        </w:tc>
      </w:tr>
      <w:tr w:rsidR="00EB2BD8" w:rsidRPr="00EB2BD8" w14:paraId="5EAA37BF" w14:textId="77777777">
        <w:trPr>
          <w:trHeight w:val="229"/>
        </w:trPr>
        <w:tc>
          <w:tcPr>
            <w:tcW w:w="1705" w:type="dxa"/>
          </w:tcPr>
          <w:p w14:paraId="282E86FF" w14:textId="77777777" w:rsidR="00084F36" w:rsidRPr="00EB2BD8" w:rsidRDefault="00084F36">
            <w:pPr>
              <w:pStyle w:val="TableParagraph"/>
              <w:rPr>
                <w:rFonts w:ascii="Times New Roman"/>
                <w:sz w:val="16"/>
              </w:rPr>
            </w:pPr>
          </w:p>
        </w:tc>
        <w:tc>
          <w:tcPr>
            <w:tcW w:w="1464" w:type="dxa"/>
          </w:tcPr>
          <w:p w14:paraId="1BFDBA5B" w14:textId="77777777" w:rsidR="00084F36" w:rsidRPr="00EB2BD8" w:rsidRDefault="00084F36">
            <w:pPr>
              <w:pStyle w:val="TableParagraph"/>
              <w:rPr>
                <w:rFonts w:ascii="Times New Roman"/>
                <w:sz w:val="16"/>
              </w:rPr>
            </w:pPr>
          </w:p>
        </w:tc>
        <w:tc>
          <w:tcPr>
            <w:tcW w:w="2486" w:type="dxa"/>
          </w:tcPr>
          <w:p w14:paraId="6FE3071A" w14:textId="77777777" w:rsidR="00084F36" w:rsidRPr="00EB2BD8" w:rsidRDefault="00EB2BD8">
            <w:pPr>
              <w:pStyle w:val="TableParagraph"/>
              <w:spacing w:before="19"/>
              <w:ind w:left="334"/>
              <w:rPr>
                <w:sz w:val="16"/>
              </w:rPr>
            </w:pPr>
            <w:r w:rsidRPr="00EB2BD8">
              <w:rPr>
                <w:spacing w:val="-2"/>
                <w:sz w:val="16"/>
              </w:rPr>
              <w:t>work</w:t>
            </w:r>
            <w:r w:rsidRPr="00EB2BD8">
              <w:rPr>
                <w:spacing w:val="-7"/>
                <w:sz w:val="16"/>
              </w:rPr>
              <w:t xml:space="preserve"> </w:t>
            </w:r>
            <w:r w:rsidRPr="00EB2BD8">
              <w:rPr>
                <w:spacing w:val="-2"/>
                <w:sz w:val="16"/>
              </w:rPr>
              <w:t>other</w:t>
            </w:r>
            <w:r w:rsidRPr="00EB2BD8">
              <w:rPr>
                <w:spacing w:val="-7"/>
                <w:sz w:val="16"/>
              </w:rPr>
              <w:t xml:space="preserve"> </w:t>
            </w:r>
            <w:r w:rsidRPr="00EB2BD8">
              <w:rPr>
                <w:spacing w:val="-2"/>
                <w:sz w:val="16"/>
              </w:rPr>
              <w:t>than</w:t>
            </w:r>
            <w:r w:rsidRPr="00EB2BD8">
              <w:rPr>
                <w:spacing w:val="-6"/>
                <w:sz w:val="16"/>
              </w:rPr>
              <w:t xml:space="preserve"> </w:t>
            </w:r>
            <w:r w:rsidRPr="00EB2BD8">
              <w:rPr>
                <w:spacing w:val="-2"/>
                <w:sz w:val="16"/>
              </w:rPr>
              <w:t>in</w:t>
            </w:r>
            <w:r w:rsidRPr="00EB2BD8">
              <w:rPr>
                <w:spacing w:val="-7"/>
                <w:sz w:val="16"/>
              </w:rPr>
              <w:t xml:space="preserve"> </w:t>
            </w:r>
            <w:r w:rsidRPr="00EB2BD8">
              <w:rPr>
                <w:spacing w:val="-10"/>
                <w:sz w:val="16"/>
              </w:rPr>
              <w:t>a</w:t>
            </w:r>
          </w:p>
        </w:tc>
        <w:tc>
          <w:tcPr>
            <w:tcW w:w="2219" w:type="dxa"/>
          </w:tcPr>
          <w:p w14:paraId="73946CAC" w14:textId="77777777" w:rsidR="00084F36" w:rsidRPr="00EB2BD8" w:rsidRDefault="00084F36">
            <w:pPr>
              <w:pStyle w:val="TableParagraph"/>
              <w:rPr>
                <w:rFonts w:ascii="Times New Roman"/>
                <w:sz w:val="16"/>
              </w:rPr>
            </w:pPr>
          </w:p>
        </w:tc>
        <w:tc>
          <w:tcPr>
            <w:tcW w:w="1151" w:type="dxa"/>
          </w:tcPr>
          <w:p w14:paraId="201A08FC" w14:textId="77777777" w:rsidR="00084F36" w:rsidRPr="00EB2BD8" w:rsidRDefault="00084F36">
            <w:pPr>
              <w:pStyle w:val="TableParagraph"/>
              <w:rPr>
                <w:rFonts w:ascii="Times New Roman"/>
                <w:sz w:val="16"/>
              </w:rPr>
            </w:pPr>
          </w:p>
        </w:tc>
        <w:tc>
          <w:tcPr>
            <w:tcW w:w="1176" w:type="dxa"/>
          </w:tcPr>
          <w:p w14:paraId="21D760D3" w14:textId="77777777" w:rsidR="00084F36" w:rsidRPr="00EB2BD8" w:rsidRDefault="00084F36">
            <w:pPr>
              <w:pStyle w:val="TableParagraph"/>
              <w:rPr>
                <w:rFonts w:ascii="Times New Roman"/>
                <w:sz w:val="16"/>
              </w:rPr>
            </w:pPr>
          </w:p>
        </w:tc>
      </w:tr>
      <w:tr w:rsidR="00EB2BD8" w:rsidRPr="00EB2BD8" w14:paraId="5702F620" w14:textId="77777777">
        <w:trPr>
          <w:trHeight w:val="229"/>
        </w:trPr>
        <w:tc>
          <w:tcPr>
            <w:tcW w:w="1705" w:type="dxa"/>
          </w:tcPr>
          <w:p w14:paraId="432983F6" w14:textId="77777777" w:rsidR="00084F36" w:rsidRPr="00EB2BD8" w:rsidRDefault="00084F36">
            <w:pPr>
              <w:pStyle w:val="TableParagraph"/>
              <w:rPr>
                <w:rFonts w:ascii="Times New Roman"/>
                <w:sz w:val="16"/>
              </w:rPr>
            </w:pPr>
          </w:p>
        </w:tc>
        <w:tc>
          <w:tcPr>
            <w:tcW w:w="1464" w:type="dxa"/>
          </w:tcPr>
          <w:p w14:paraId="2AB84B96" w14:textId="77777777" w:rsidR="00084F36" w:rsidRPr="00EB2BD8" w:rsidRDefault="00084F36">
            <w:pPr>
              <w:pStyle w:val="TableParagraph"/>
              <w:rPr>
                <w:rFonts w:ascii="Times New Roman"/>
                <w:sz w:val="16"/>
              </w:rPr>
            </w:pPr>
          </w:p>
        </w:tc>
        <w:tc>
          <w:tcPr>
            <w:tcW w:w="2486" w:type="dxa"/>
          </w:tcPr>
          <w:p w14:paraId="7B387D73" w14:textId="77777777" w:rsidR="00084F36" w:rsidRPr="00EB2BD8" w:rsidRDefault="00EB2BD8">
            <w:pPr>
              <w:pStyle w:val="TableParagraph"/>
              <w:spacing w:before="19"/>
              <w:ind w:left="334"/>
              <w:rPr>
                <w:sz w:val="16"/>
              </w:rPr>
            </w:pPr>
            <w:r w:rsidRPr="00EB2BD8">
              <w:rPr>
                <w:sz w:val="16"/>
              </w:rPr>
              <w:t>competent</w:t>
            </w:r>
            <w:r w:rsidRPr="00EB2BD8">
              <w:rPr>
                <w:spacing w:val="-1"/>
                <w:sz w:val="16"/>
              </w:rPr>
              <w:t xml:space="preserve"> </w:t>
            </w:r>
            <w:r w:rsidRPr="00EB2BD8">
              <w:rPr>
                <w:spacing w:val="-2"/>
                <w:sz w:val="16"/>
              </w:rPr>
              <w:t>manner</w:t>
            </w:r>
          </w:p>
        </w:tc>
        <w:tc>
          <w:tcPr>
            <w:tcW w:w="2219" w:type="dxa"/>
          </w:tcPr>
          <w:p w14:paraId="41319B50" w14:textId="77777777" w:rsidR="00084F36" w:rsidRPr="00EB2BD8" w:rsidRDefault="00084F36">
            <w:pPr>
              <w:pStyle w:val="TableParagraph"/>
              <w:rPr>
                <w:rFonts w:ascii="Times New Roman"/>
                <w:sz w:val="16"/>
              </w:rPr>
            </w:pPr>
          </w:p>
        </w:tc>
        <w:tc>
          <w:tcPr>
            <w:tcW w:w="1151" w:type="dxa"/>
          </w:tcPr>
          <w:p w14:paraId="272033B1" w14:textId="77777777" w:rsidR="00084F36" w:rsidRPr="00EB2BD8" w:rsidRDefault="00084F36">
            <w:pPr>
              <w:pStyle w:val="TableParagraph"/>
              <w:rPr>
                <w:rFonts w:ascii="Times New Roman"/>
                <w:sz w:val="16"/>
              </w:rPr>
            </w:pPr>
          </w:p>
        </w:tc>
        <w:tc>
          <w:tcPr>
            <w:tcW w:w="1176" w:type="dxa"/>
          </w:tcPr>
          <w:p w14:paraId="196BC8CC" w14:textId="77777777" w:rsidR="00084F36" w:rsidRPr="00EB2BD8" w:rsidRDefault="00084F36">
            <w:pPr>
              <w:pStyle w:val="TableParagraph"/>
              <w:rPr>
                <w:rFonts w:ascii="Times New Roman"/>
                <w:sz w:val="16"/>
              </w:rPr>
            </w:pPr>
          </w:p>
        </w:tc>
      </w:tr>
      <w:tr w:rsidR="00EB2BD8" w:rsidRPr="00EB2BD8" w14:paraId="2279F5F2" w14:textId="77777777">
        <w:trPr>
          <w:trHeight w:val="229"/>
        </w:trPr>
        <w:tc>
          <w:tcPr>
            <w:tcW w:w="1705" w:type="dxa"/>
          </w:tcPr>
          <w:p w14:paraId="27A9166C" w14:textId="77777777" w:rsidR="00084F36" w:rsidRPr="00EB2BD8" w:rsidRDefault="00084F36">
            <w:pPr>
              <w:pStyle w:val="TableParagraph"/>
              <w:rPr>
                <w:rFonts w:ascii="Times New Roman"/>
                <w:sz w:val="16"/>
              </w:rPr>
            </w:pPr>
          </w:p>
        </w:tc>
        <w:tc>
          <w:tcPr>
            <w:tcW w:w="1464" w:type="dxa"/>
          </w:tcPr>
          <w:p w14:paraId="1CCDFD2F" w14:textId="77777777" w:rsidR="00084F36" w:rsidRPr="00EB2BD8" w:rsidRDefault="00084F36">
            <w:pPr>
              <w:pStyle w:val="TableParagraph"/>
              <w:rPr>
                <w:rFonts w:ascii="Times New Roman"/>
                <w:sz w:val="16"/>
              </w:rPr>
            </w:pPr>
          </w:p>
        </w:tc>
        <w:tc>
          <w:tcPr>
            <w:tcW w:w="2486" w:type="dxa"/>
          </w:tcPr>
          <w:p w14:paraId="2576C6A6" w14:textId="77777777" w:rsidR="00084F36" w:rsidRPr="00EB2BD8" w:rsidRDefault="00EB2BD8">
            <w:pPr>
              <w:pStyle w:val="TableParagraph"/>
              <w:spacing w:before="19"/>
              <w:ind w:left="334"/>
              <w:rPr>
                <w:sz w:val="16"/>
              </w:rPr>
            </w:pPr>
            <w:r w:rsidRPr="00EB2BD8">
              <w:rPr>
                <w:sz w:val="16"/>
              </w:rPr>
              <w:t>and</w:t>
            </w:r>
            <w:r w:rsidRPr="00EB2BD8">
              <w:rPr>
                <w:spacing w:val="-5"/>
                <w:sz w:val="16"/>
              </w:rPr>
              <w:t xml:space="preserve"> </w:t>
            </w:r>
            <w:r w:rsidRPr="00EB2BD8">
              <w:rPr>
                <w:sz w:val="16"/>
              </w:rPr>
              <w:t>to</w:t>
            </w:r>
            <w:r w:rsidRPr="00EB2BD8">
              <w:rPr>
                <w:spacing w:val="-4"/>
                <w:sz w:val="16"/>
              </w:rPr>
              <w:t xml:space="preserve"> </w:t>
            </w:r>
            <w:r w:rsidRPr="00EB2BD8">
              <w:rPr>
                <w:sz w:val="16"/>
              </w:rPr>
              <w:t>a</w:t>
            </w:r>
            <w:r w:rsidRPr="00EB2BD8">
              <w:rPr>
                <w:spacing w:val="-4"/>
                <w:sz w:val="16"/>
              </w:rPr>
              <w:t xml:space="preserve"> </w:t>
            </w:r>
            <w:r w:rsidRPr="00EB2BD8">
              <w:rPr>
                <w:spacing w:val="-2"/>
                <w:sz w:val="16"/>
              </w:rPr>
              <w:t>professional</w:t>
            </w:r>
          </w:p>
        </w:tc>
        <w:tc>
          <w:tcPr>
            <w:tcW w:w="2219" w:type="dxa"/>
          </w:tcPr>
          <w:p w14:paraId="58AF8839" w14:textId="77777777" w:rsidR="00084F36" w:rsidRPr="00EB2BD8" w:rsidRDefault="00084F36">
            <w:pPr>
              <w:pStyle w:val="TableParagraph"/>
              <w:rPr>
                <w:rFonts w:ascii="Times New Roman"/>
                <w:sz w:val="16"/>
              </w:rPr>
            </w:pPr>
          </w:p>
        </w:tc>
        <w:tc>
          <w:tcPr>
            <w:tcW w:w="1151" w:type="dxa"/>
          </w:tcPr>
          <w:p w14:paraId="6109DC34" w14:textId="77777777" w:rsidR="00084F36" w:rsidRPr="00EB2BD8" w:rsidRDefault="00084F36">
            <w:pPr>
              <w:pStyle w:val="TableParagraph"/>
              <w:rPr>
                <w:rFonts w:ascii="Times New Roman"/>
                <w:sz w:val="16"/>
              </w:rPr>
            </w:pPr>
          </w:p>
        </w:tc>
        <w:tc>
          <w:tcPr>
            <w:tcW w:w="1176" w:type="dxa"/>
          </w:tcPr>
          <w:p w14:paraId="5251AD80" w14:textId="77777777" w:rsidR="00084F36" w:rsidRPr="00EB2BD8" w:rsidRDefault="00084F36">
            <w:pPr>
              <w:pStyle w:val="TableParagraph"/>
              <w:rPr>
                <w:rFonts w:ascii="Times New Roman"/>
                <w:sz w:val="16"/>
              </w:rPr>
            </w:pPr>
          </w:p>
        </w:tc>
      </w:tr>
      <w:tr w:rsidR="00EB2BD8" w:rsidRPr="00EB2BD8" w14:paraId="06D32445" w14:textId="77777777">
        <w:trPr>
          <w:trHeight w:val="229"/>
        </w:trPr>
        <w:tc>
          <w:tcPr>
            <w:tcW w:w="1705" w:type="dxa"/>
          </w:tcPr>
          <w:p w14:paraId="3BDD14B7" w14:textId="77777777" w:rsidR="00084F36" w:rsidRPr="00EB2BD8" w:rsidRDefault="00084F36">
            <w:pPr>
              <w:pStyle w:val="TableParagraph"/>
              <w:rPr>
                <w:rFonts w:ascii="Times New Roman"/>
                <w:sz w:val="16"/>
              </w:rPr>
            </w:pPr>
          </w:p>
        </w:tc>
        <w:tc>
          <w:tcPr>
            <w:tcW w:w="1464" w:type="dxa"/>
          </w:tcPr>
          <w:p w14:paraId="2B70751E" w14:textId="77777777" w:rsidR="00084F36" w:rsidRPr="00EB2BD8" w:rsidRDefault="00084F36">
            <w:pPr>
              <w:pStyle w:val="TableParagraph"/>
              <w:rPr>
                <w:rFonts w:ascii="Times New Roman"/>
                <w:sz w:val="16"/>
              </w:rPr>
            </w:pPr>
          </w:p>
        </w:tc>
        <w:tc>
          <w:tcPr>
            <w:tcW w:w="2486" w:type="dxa"/>
          </w:tcPr>
          <w:p w14:paraId="1449C210" w14:textId="77777777" w:rsidR="00084F36" w:rsidRPr="00EB2BD8" w:rsidRDefault="00EB2BD8">
            <w:pPr>
              <w:pStyle w:val="TableParagraph"/>
              <w:spacing w:before="19"/>
              <w:ind w:left="334"/>
              <w:rPr>
                <w:sz w:val="16"/>
              </w:rPr>
            </w:pPr>
            <w:r w:rsidRPr="00EB2BD8">
              <w:rPr>
                <w:spacing w:val="-2"/>
                <w:w w:val="105"/>
                <w:sz w:val="16"/>
              </w:rPr>
              <w:t>standard</w:t>
            </w:r>
            <w:r w:rsidRPr="00EB2BD8">
              <w:rPr>
                <w:spacing w:val="-11"/>
                <w:w w:val="105"/>
                <w:sz w:val="16"/>
              </w:rPr>
              <w:t xml:space="preserve"> </w:t>
            </w:r>
            <w:r w:rsidRPr="00EB2BD8">
              <w:rPr>
                <w:spacing w:val="-2"/>
                <w:w w:val="105"/>
                <w:sz w:val="16"/>
              </w:rPr>
              <w:t>and</w:t>
            </w:r>
            <w:r w:rsidRPr="00EB2BD8">
              <w:rPr>
                <w:spacing w:val="-11"/>
                <w:w w:val="105"/>
                <w:sz w:val="16"/>
              </w:rPr>
              <w:t xml:space="preserve"> </w:t>
            </w:r>
            <w:r w:rsidRPr="00EB2BD8">
              <w:rPr>
                <w:spacing w:val="-2"/>
                <w:w w:val="105"/>
                <w:sz w:val="16"/>
              </w:rPr>
              <w:t>engaging</w:t>
            </w:r>
          </w:p>
        </w:tc>
        <w:tc>
          <w:tcPr>
            <w:tcW w:w="2219" w:type="dxa"/>
          </w:tcPr>
          <w:p w14:paraId="6CA6A232" w14:textId="77777777" w:rsidR="00084F36" w:rsidRPr="00EB2BD8" w:rsidRDefault="00084F36">
            <w:pPr>
              <w:pStyle w:val="TableParagraph"/>
              <w:rPr>
                <w:rFonts w:ascii="Times New Roman"/>
                <w:sz w:val="16"/>
              </w:rPr>
            </w:pPr>
          </w:p>
        </w:tc>
        <w:tc>
          <w:tcPr>
            <w:tcW w:w="1151" w:type="dxa"/>
          </w:tcPr>
          <w:p w14:paraId="4FA955D1" w14:textId="77777777" w:rsidR="00084F36" w:rsidRPr="00EB2BD8" w:rsidRDefault="00084F36">
            <w:pPr>
              <w:pStyle w:val="TableParagraph"/>
              <w:rPr>
                <w:rFonts w:ascii="Times New Roman"/>
                <w:sz w:val="16"/>
              </w:rPr>
            </w:pPr>
          </w:p>
        </w:tc>
        <w:tc>
          <w:tcPr>
            <w:tcW w:w="1176" w:type="dxa"/>
          </w:tcPr>
          <w:p w14:paraId="2E4E244B" w14:textId="77777777" w:rsidR="00084F36" w:rsidRPr="00EB2BD8" w:rsidRDefault="00084F36">
            <w:pPr>
              <w:pStyle w:val="TableParagraph"/>
              <w:rPr>
                <w:rFonts w:ascii="Times New Roman"/>
                <w:sz w:val="16"/>
              </w:rPr>
            </w:pPr>
          </w:p>
        </w:tc>
      </w:tr>
      <w:tr w:rsidR="00EB2BD8" w:rsidRPr="00EB2BD8" w14:paraId="068A0727" w14:textId="77777777">
        <w:trPr>
          <w:trHeight w:val="229"/>
        </w:trPr>
        <w:tc>
          <w:tcPr>
            <w:tcW w:w="1705" w:type="dxa"/>
          </w:tcPr>
          <w:p w14:paraId="6D23286E" w14:textId="77777777" w:rsidR="00084F36" w:rsidRPr="00EB2BD8" w:rsidRDefault="00084F36">
            <w:pPr>
              <w:pStyle w:val="TableParagraph"/>
              <w:rPr>
                <w:rFonts w:ascii="Times New Roman"/>
                <w:sz w:val="16"/>
              </w:rPr>
            </w:pPr>
          </w:p>
        </w:tc>
        <w:tc>
          <w:tcPr>
            <w:tcW w:w="1464" w:type="dxa"/>
          </w:tcPr>
          <w:p w14:paraId="78D2FB18" w14:textId="77777777" w:rsidR="00084F36" w:rsidRPr="00EB2BD8" w:rsidRDefault="00084F36">
            <w:pPr>
              <w:pStyle w:val="TableParagraph"/>
              <w:rPr>
                <w:rFonts w:ascii="Times New Roman"/>
                <w:sz w:val="16"/>
              </w:rPr>
            </w:pPr>
          </w:p>
        </w:tc>
        <w:tc>
          <w:tcPr>
            <w:tcW w:w="2486" w:type="dxa"/>
          </w:tcPr>
          <w:p w14:paraId="50F7C0BA" w14:textId="77777777" w:rsidR="00084F36" w:rsidRPr="00EB2BD8" w:rsidRDefault="00EB2BD8">
            <w:pPr>
              <w:pStyle w:val="TableParagraph"/>
              <w:spacing w:before="19"/>
              <w:ind w:left="334"/>
              <w:rPr>
                <w:sz w:val="16"/>
              </w:rPr>
            </w:pPr>
            <w:r w:rsidRPr="00EB2BD8">
              <w:rPr>
                <w:spacing w:val="-2"/>
                <w:sz w:val="16"/>
              </w:rPr>
              <w:t>in</w:t>
            </w:r>
            <w:r w:rsidRPr="00EB2BD8">
              <w:rPr>
                <w:spacing w:val="-8"/>
                <w:sz w:val="16"/>
              </w:rPr>
              <w:t xml:space="preserve"> </w:t>
            </w:r>
            <w:r w:rsidRPr="00EB2BD8">
              <w:rPr>
                <w:spacing w:val="-2"/>
                <w:sz w:val="16"/>
              </w:rPr>
              <w:t>unprofessional</w:t>
            </w:r>
            <w:r w:rsidRPr="00EB2BD8">
              <w:rPr>
                <w:spacing w:val="-8"/>
                <w:sz w:val="16"/>
              </w:rPr>
              <w:t xml:space="preserve"> </w:t>
            </w:r>
            <w:r w:rsidRPr="00EB2BD8">
              <w:rPr>
                <w:spacing w:val="-2"/>
                <w:sz w:val="16"/>
              </w:rPr>
              <w:t>conduct</w:t>
            </w:r>
          </w:p>
        </w:tc>
        <w:tc>
          <w:tcPr>
            <w:tcW w:w="2219" w:type="dxa"/>
          </w:tcPr>
          <w:p w14:paraId="4BA986E5" w14:textId="77777777" w:rsidR="00084F36" w:rsidRPr="00EB2BD8" w:rsidRDefault="00084F36">
            <w:pPr>
              <w:pStyle w:val="TableParagraph"/>
              <w:rPr>
                <w:rFonts w:ascii="Times New Roman"/>
                <w:sz w:val="16"/>
              </w:rPr>
            </w:pPr>
          </w:p>
        </w:tc>
        <w:tc>
          <w:tcPr>
            <w:tcW w:w="1151" w:type="dxa"/>
          </w:tcPr>
          <w:p w14:paraId="41A8EB8A" w14:textId="77777777" w:rsidR="00084F36" w:rsidRPr="00EB2BD8" w:rsidRDefault="00084F36">
            <w:pPr>
              <w:pStyle w:val="TableParagraph"/>
              <w:rPr>
                <w:rFonts w:ascii="Times New Roman"/>
                <w:sz w:val="16"/>
              </w:rPr>
            </w:pPr>
          </w:p>
        </w:tc>
        <w:tc>
          <w:tcPr>
            <w:tcW w:w="1176" w:type="dxa"/>
          </w:tcPr>
          <w:p w14:paraId="0860D9A3" w14:textId="77777777" w:rsidR="00084F36" w:rsidRPr="00EB2BD8" w:rsidRDefault="00084F36">
            <w:pPr>
              <w:pStyle w:val="TableParagraph"/>
              <w:rPr>
                <w:rFonts w:ascii="Times New Roman"/>
                <w:sz w:val="16"/>
              </w:rPr>
            </w:pPr>
          </w:p>
        </w:tc>
      </w:tr>
      <w:tr w:rsidR="00EB2BD8" w:rsidRPr="00EB2BD8" w14:paraId="09655607" w14:textId="77777777">
        <w:trPr>
          <w:trHeight w:val="229"/>
        </w:trPr>
        <w:tc>
          <w:tcPr>
            <w:tcW w:w="1705" w:type="dxa"/>
          </w:tcPr>
          <w:p w14:paraId="78411AD6" w14:textId="77777777" w:rsidR="00084F36" w:rsidRPr="00EB2BD8" w:rsidRDefault="00084F36">
            <w:pPr>
              <w:pStyle w:val="TableParagraph"/>
              <w:rPr>
                <w:rFonts w:ascii="Times New Roman"/>
                <w:sz w:val="16"/>
              </w:rPr>
            </w:pPr>
          </w:p>
        </w:tc>
        <w:tc>
          <w:tcPr>
            <w:tcW w:w="1464" w:type="dxa"/>
          </w:tcPr>
          <w:p w14:paraId="74AF825E" w14:textId="77777777" w:rsidR="00084F36" w:rsidRPr="00EB2BD8" w:rsidRDefault="00084F36">
            <w:pPr>
              <w:pStyle w:val="TableParagraph"/>
              <w:rPr>
                <w:rFonts w:ascii="Times New Roman"/>
                <w:sz w:val="16"/>
              </w:rPr>
            </w:pPr>
          </w:p>
        </w:tc>
        <w:tc>
          <w:tcPr>
            <w:tcW w:w="2486" w:type="dxa"/>
          </w:tcPr>
          <w:p w14:paraId="0C294F75" w14:textId="77777777" w:rsidR="00084F36" w:rsidRPr="00EB2BD8" w:rsidRDefault="00EB2BD8">
            <w:pPr>
              <w:pStyle w:val="TableParagraph"/>
              <w:spacing w:before="19"/>
              <w:ind w:left="334"/>
              <w:rPr>
                <w:sz w:val="16"/>
              </w:rPr>
            </w:pPr>
            <w:r w:rsidRPr="00EB2BD8">
              <w:rPr>
                <w:sz w:val="16"/>
              </w:rPr>
              <w:t>in</w:t>
            </w:r>
            <w:r w:rsidRPr="00EB2BD8">
              <w:rPr>
                <w:spacing w:val="-12"/>
                <w:sz w:val="16"/>
              </w:rPr>
              <w:t xml:space="preserve"> </w:t>
            </w:r>
            <w:r w:rsidRPr="00EB2BD8">
              <w:rPr>
                <w:sz w:val="16"/>
              </w:rPr>
              <w:t>respect</w:t>
            </w:r>
            <w:r w:rsidRPr="00EB2BD8">
              <w:rPr>
                <w:spacing w:val="-12"/>
                <w:sz w:val="16"/>
              </w:rPr>
              <w:t xml:space="preserve"> </w:t>
            </w:r>
            <w:r w:rsidRPr="00EB2BD8">
              <w:rPr>
                <w:sz w:val="16"/>
              </w:rPr>
              <w:t>of</w:t>
            </w:r>
            <w:r w:rsidRPr="00EB2BD8">
              <w:rPr>
                <w:spacing w:val="-11"/>
                <w:sz w:val="16"/>
              </w:rPr>
              <w:t xml:space="preserve"> </w:t>
            </w:r>
            <w:r w:rsidRPr="00EB2BD8">
              <w:rPr>
                <w:sz w:val="16"/>
              </w:rPr>
              <w:t>the</w:t>
            </w:r>
            <w:r w:rsidRPr="00EB2BD8">
              <w:rPr>
                <w:spacing w:val="-12"/>
                <w:sz w:val="16"/>
              </w:rPr>
              <w:t xml:space="preserve"> </w:t>
            </w:r>
            <w:r w:rsidRPr="00EB2BD8">
              <w:rPr>
                <w:sz w:val="16"/>
              </w:rPr>
              <w:t>use</w:t>
            </w:r>
            <w:r w:rsidRPr="00EB2BD8">
              <w:rPr>
                <w:spacing w:val="-12"/>
                <w:sz w:val="16"/>
              </w:rPr>
              <w:t xml:space="preserve"> </w:t>
            </w:r>
            <w:r w:rsidRPr="00EB2BD8">
              <w:rPr>
                <w:spacing w:val="-5"/>
                <w:sz w:val="16"/>
              </w:rPr>
              <w:t>of</w:t>
            </w:r>
          </w:p>
        </w:tc>
        <w:tc>
          <w:tcPr>
            <w:tcW w:w="2219" w:type="dxa"/>
          </w:tcPr>
          <w:p w14:paraId="27D9DFFF" w14:textId="77777777" w:rsidR="00084F36" w:rsidRPr="00EB2BD8" w:rsidRDefault="00084F36">
            <w:pPr>
              <w:pStyle w:val="TableParagraph"/>
              <w:rPr>
                <w:rFonts w:ascii="Times New Roman"/>
                <w:sz w:val="16"/>
              </w:rPr>
            </w:pPr>
          </w:p>
        </w:tc>
        <w:tc>
          <w:tcPr>
            <w:tcW w:w="1151" w:type="dxa"/>
          </w:tcPr>
          <w:p w14:paraId="6C72FEB8" w14:textId="77777777" w:rsidR="00084F36" w:rsidRPr="00EB2BD8" w:rsidRDefault="00084F36">
            <w:pPr>
              <w:pStyle w:val="TableParagraph"/>
              <w:rPr>
                <w:rFonts w:ascii="Times New Roman"/>
                <w:sz w:val="16"/>
              </w:rPr>
            </w:pPr>
          </w:p>
        </w:tc>
        <w:tc>
          <w:tcPr>
            <w:tcW w:w="1176" w:type="dxa"/>
          </w:tcPr>
          <w:p w14:paraId="12A2C4D2" w14:textId="77777777" w:rsidR="00084F36" w:rsidRPr="00EB2BD8" w:rsidRDefault="00084F36">
            <w:pPr>
              <w:pStyle w:val="TableParagraph"/>
              <w:rPr>
                <w:rFonts w:ascii="Times New Roman"/>
                <w:sz w:val="16"/>
              </w:rPr>
            </w:pPr>
          </w:p>
        </w:tc>
      </w:tr>
      <w:tr w:rsidR="00EB2BD8" w:rsidRPr="00EB2BD8" w14:paraId="0FD8B47C" w14:textId="77777777">
        <w:trPr>
          <w:trHeight w:val="229"/>
        </w:trPr>
        <w:tc>
          <w:tcPr>
            <w:tcW w:w="1705" w:type="dxa"/>
          </w:tcPr>
          <w:p w14:paraId="0FA204B1" w14:textId="77777777" w:rsidR="00084F36" w:rsidRPr="00EB2BD8" w:rsidRDefault="00084F36">
            <w:pPr>
              <w:pStyle w:val="TableParagraph"/>
              <w:rPr>
                <w:rFonts w:ascii="Times New Roman"/>
                <w:sz w:val="16"/>
              </w:rPr>
            </w:pPr>
          </w:p>
        </w:tc>
        <w:tc>
          <w:tcPr>
            <w:tcW w:w="1464" w:type="dxa"/>
          </w:tcPr>
          <w:p w14:paraId="559AABFA" w14:textId="77777777" w:rsidR="00084F36" w:rsidRPr="00EB2BD8" w:rsidRDefault="00084F36">
            <w:pPr>
              <w:pStyle w:val="TableParagraph"/>
              <w:rPr>
                <w:rFonts w:ascii="Times New Roman"/>
                <w:sz w:val="16"/>
              </w:rPr>
            </w:pPr>
          </w:p>
        </w:tc>
        <w:tc>
          <w:tcPr>
            <w:tcW w:w="2486" w:type="dxa"/>
          </w:tcPr>
          <w:p w14:paraId="29C48012" w14:textId="77777777" w:rsidR="00084F36" w:rsidRPr="00EB2BD8" w:rsidRDefault="00EB2BD8">
            <w:pPr>
              <w:pStyle w:val="TableParagraph"/>
              <w:spacing w:before="19"/>
              <w:ind w:left="334"/>
              <w:rPr>
                <w:sz w:val="16"/>
              </w:rPr>
            </w:pPr>
            <w:r w:rsidRPr="00EB2BD8">
              <w:rPr>
                <w:spacing w:val="-2"/>
                <w:sz w:val="16"/>
              </w:rPr>
              <w:t>combustible</w:t>
            </w:r>
            <w:r w:rsidRPr="00EB2BD8">
              <w:rPr>
                <w:sz w:val="16"/>
              </w:rPr>
              <w:t xml:space="preserve"> </w:t>
            </w:r>
            <w:r w:rsidRPr="00EB2BD8">
              <w:rPr>
                <w:spacing w:val="-2"/>
                <w:sz w:val="16"/>
              </w:rPr>
              <w:t>cladding</w:t>
            </w:r>
          </w:p>
        </w:tc>
        <w:tc>
          <w:tcPr>
            <w:tcW w:w="2219" w:type="dxa"/>
          </w:tcPr>
          <w:p w14:paraId="7271FBBE" w14:textId="77777777" w:rsidR="00084F36" w:rsidRPr="00EB2BD8" w:rsidRDefault="00084F36">
            <w:pPr>
              <w:pStyle w:val="TableParagraph"/>
              <w:rPr>
                <w:rFonts w:ascii="Times New Roman"/>
                <w:sz w:val="16"/>
              </w:rPr>
            </w:pPr>
          </w:p>
        </w:tc>
        <w:tc>
          <w:tcPr>
            <w:tcW w:w="1151" w:type="dxa"/>
          </w:tcPr>
          <w:p w14:paraId="19D393A0" w14:textId="77777777" w:rsidR="00084F36" w:rsidRPr="00EB2BD8" w:rsidRDefault="00084F36">
            <w:pPr>
              <w:pStyle w:val="TableParagraph"/>
              <w:rPr>
                <w:rFonts w:ascii="Times New Roman"/>
                <w:sz w:val="16"/>
              </w:rPr>
            </w:pPr>
          </w:p>
        </w:tc>
        <w:tc>
          <w:tcPr>
            <w:tcW w:w="1176" w:type="dxa"/>
          </w:tcPr>
          <w:p w14:paraId="64D30E4E" w14:textId="77777777" w:rsidR="00084F36" w:rsidRPr="00EB2BD8" w:rsidRDefault="00084F36">
            <w:pPr>
              <w:pStyle w:val="TableParagraph"/>
              <w:rPr>
                <w:rFonts w:ascii="Times New Roman"/>
                <w:sz w:val="16"/>
              </w:rPr>
            </w:pPr>
          </w:p>
        </w:tc>
      </w:tr>
      <w:tr w:rsidR="00EB2BD8" w:rsidRPr="00EB2BD8" w14:paraId="42F47E68" w14:textId="77777777">
        <w:trPr>
          <w:trHeight w:val="229"/>
        </w:trPr>
        <w:tc>
          <w:tcPr>
            <w:tcW w:w="1705" w:type="dxa"/>
          </w:tcPr>
          <w:p w14:paraId="0790ACFA" w14:textId="77777777" w:rsidR="00084F36" w:rsidRPr="00EB2BD8" w:rsidRDefault="00084F36">
            <w:pPr>
              <w:pStyle w:val="TableParagraph"/>
              <w:rPr>
                <w:rFonts w:ascii="Times New Roman"/>
                <w:sz w:val="16"/>
              </w:rPr>
            </w:pPr>
          </w:p>
        </w:tc>
        <w:tc>
          <w:tcPr>
            <w:tcW w:w="1464" w:type="dxa"/>
          </w:tcPr>
          <w:p w14:paraId="5448A193" w14:textId="77777777" w:rsidR="00084F36" w:rsidRPr="00EB2BD8" w:rsidRDefault="00084F36">
            <w:pPr>
              <w:pStyle w:val="TableParagraph"/>
              <w:rPr>
                <w:rFonts w:ascii="Times New Roman"/>
                <w:sz w:val="16"/>
              </w:rPr>
            </w:pPr>
          </w:p>
        </w:tc>
        <w:tc>
          <w:tcPr>
            <w:tcW w:w="2486" w:type="dxa"/>
          </w:tcPr>
          <w:p w14:paraId="016B6B6F" w14:textId="77777777" w:rsidR="00084F36" w:rsidRPr="00EB2BD8" w:rsidRDefault="00EB2BD8">
            <w:pPr>
              <w:pStyle w:val="TableParagraph"/>
              <w:spacing w:before="19"/>
              <w:ind w:left="334"/>
              <w:rPr>
                <w:sz w:val="16"/>
              </w:rPr>
            </w:pPr>
            <w:r w:rsidRPr="00EB2BD8">
              <w:rPr>
                <w:spacing w:val="-2"/>
                <w:sz w:val="16"/>
              </w:rPr>
              <w:t>on</w:t>
            </w:r>
            <w:r w:rsidRPr="00EB2BD8">
              <w:rPr>
                <w:spacing w:val="-8"/>
                <w:sz w:val="16"/>
              </w:rPr>
              <w:t xml:space="preserve"> </w:t>
            </w:r>
            <w:r w:rsidRPr="00EB2BD8">
              <w:rPr>
                <w:spacing w:val="-2"/>
                <w:sz w:val="16"/>
              </w:rPr>
              <w:t>hospital</w:t>
            </w:r>
            <w:r w:rsidRPr="00EB2BD8">
              <w:rPr>
                <w:spacing w:val="-7"/>
                <w:sz w:val="16"/>
              </w:rPr>
              <w:t xml:space="preserve"> </w:t>
            </w:r>
            <w:r w:rsidRPr="00EB2BD8">
              <w:rPr>
                <w:spacing w:val="-2"/>
                <w:sz w:val="16"/>
              </w:rPr>
              <w:t>buildings</w:t>
            </w:r>
            <w:r w:rsidRPr="00EB2BD8">
              <w:rPr>
                <w:spacing w:val="-8"/>
                <w:sz w:val="16"/>
              </w:rPr>
              <w:t xml:space="preserve"> </w:t>
            </w:r>
            <w:r w:rsidRPr="00EB2BD8">
              <w:rPr>
                <w:spacing w:val="-5"/>
                <w:sz w:val="16"/>
              </w:rPr>
              <w:t>at</w:t>
            </w:r>
          </w:p>
        </w:tc>
        <w:tc>
          <w:tcPr>
            <w:tcW w:w="2219" w:type="dxa"/>
          </w:tcPr>
          <w:p w14:paraId="11052B70" w14:textId="77777777" w:rsidR="00084F36" w:rsidRPr="00EB2BD8" w:rsidRDefault="00084F36">
            <w:pPr>
              <w:pStyle w:val="TableParagraph"/>
              <w:rPr>
                <w:rFonts w:ascii="Times New Roman"/>
                <w:sz w:val="16"/>
              </w:rPr>
            </w:pPr>
          </w:p>
        </w:tc>
        <w:tc>
          <w:tcPr>
            <w:tcW w:w="1151" w:type="dxa"/>
          </w:tcPr>
          <w:p w14:paraId="0E601E51" w14:textId="77777777" w:rsidR="00084F36" w:rsidRPr="00EB2BD8" w:rsidRDefault="00084F36">
            <w:pPr>
              <w:pStyle w:val="TableParagraph"/>
              <w:rPr>
                <w:rFonts w:ascii="Times New Roman"/>
                <w:sz w:val="16"/>
              </w:rPr>
            </w:pPr>
          </w:p>
        </w:tc>
        <w:tc>
          <w:tcPr>
            <w:tcW w:w="1176" w:type="dxa"/>
          </w:tcPr>
          <w:p w14:paraId="1877B201" w14:textId="77777777" w:rsidR="00084F36" w:rsidRPr="00EB2BD8" w:rsidRDefault="00084F36">
            <w:pPr>
              <w:pStyle w:val="TableParagraph"/>
              <w:rPr>
                <w:rFonts w:ascii="Times New Roman"/>
                <w:sz w:val="16"/>
              </w:rPr>
            </w:pPr>
          </w:p>
        </w:tc>
      </w:tr>
      <w:tr w:rsidR="00EB2BD8" w:rsidRPr="00EB2BD8" w14:paraId="010ABCAB" w14:textId="77777777">
        <w:trPr>
          <w:trHeight w:val="286"/>
        </w:trPr>
        <w:tc>
          <w:tcPr>
            <w:tcW w:w="1705" w:type="dxa"/>
            <w:tcBorders>
              <w:bottom w:val="single" w:sz="2" w:space="0" w:color="000000"/>
            </w:tcBorders>
          </w:tcPr>
          <w:p w14:paraId="38A23A27"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429DCE92" w14:textId="77777777" w:rsidR="00084F36" w:rsidRPr="00EB2BD8" w:rsidRDefault="00084F36">
            <w:pPr>
              <w:pStyle w:val="TableParagraph"/>
              <w:rPr>
                <w:rFonts w:ascii="Times New Roman"/>
                <w:sz w:val="16"/>
              </w:rPr>
            </w:pPr>
          </w:p>
        </w:tc>
        <w:tc>
          <w:tcPr>
            <w:tcW w:w="2486" w:type="dxa"/>
            <w:tcBorders>
              <w:bottom w:val="single" w:sz="2" w:space="0" w:color="000000"/>
            </w:tcBorders>
          </w:tcPr>
          <w:p w14:paraId="3B0AA02A" w14:textId="77777777" w:rsidR="00084F36" w:rsidRPr="00EB2BD8" w:rsidRDefault="00EB2BD8">
            <w:pPr>
              <w:pStyle w:val="TableParagraph"/>
              <w:spacing w:before="19"/>
              <w:ind w:left="334"/>
              <w:rPr>
                <w:sz w:val="16"/>
              </w:rPr>
            </w:pPr>
            <w:r w:rsidRPr="00EB2BD8">
              <w:rPr>
                <w:sz w:val="16"/>
              </w:rPr>
              <w:t>Berwick</w:t>
            </w:r>
            <w:r w:rsidRPr="00EB2BD8">
              <w:rPr>
                <w:spacing w:val="-2"/>
                <w:sz w:val="16"/>
              </w:rPr>
              <w:t xml:space="preserve"> </w:t>
            </w:r>
            <w:r w:rsidRPr="00EB2BD8">
              <w:rPr>
                <w:sz w:val="16"/>
              </w:rPr>
              <w:t>and</w:t>
            </w:r>
            <w:r w:rsidRPr="00EB2BD8">
              <w:rPr>
                <w:spacing w:val="-1"/>
                <w:sz w:val="16"/>
              </w:rPr>
              <w:t xml:space="preserve"> </w:t>
            </w:r>
            <w:r w:rsidRPr="00EB2BD8">
              <w:rPr>
                <w:spacing w:val="-2"/>
                <w:sz w:val="16"/>
              </w:rPr>
              <w:t>Morrabbin.</w:t>
            </w:r>
          </w:p>
        </w:tc>
        <w:tc>
          <w:tcPr>
            <w:tcW w:w="2219" w:type="dxa"/>
            <w:tcBorders>
              <w:bottom w:val="single" w:sz="2" w:space="0" w:color="000000"/>
            </w:tcBorders>
          </w:tcPr>
          <w:p w14:paraId="21AF3F08" w14:textId="77777777" w:rsidR="00084F36" w:rsidRPr="00EB2BD8" w:rsidRDefault="00084F36">
            <w:pPr>
              <w:pStyle w:val="TableParagraph"/>
              <w:rPr>
                <w:rFonts w:ascii="Times New Roman"/>
                <w:sz w:val="16"/>
              </w:rPr>
            </w:pPr>
          </w:p>
        </w:tc>
        <w:tc>
          <w:tcPr>
            <w:tcW w:w="1151" w:type="dxa"/>
            <w:tcBorders>
              <w:bottom w:val="single" w:sz="2" w:space="0" w:color="000000"/>
            </w:tcBorders>
          </w:tcPr>
          <w:p w14:paraId="5B11CC3A"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54D4C15C" w14:textId="77777777" w:rsidR="00084F36" w:rsidRPr="00EB2BD8" w:rsidRDefault="00084F36">
            <w:pPr>
              <w:pStyle w:val="TableParagraph"/>
              <w:rPr>
                <w:rFonts w:ascii="Times New Roman"/>
                <w:sz w:val="16"/>
              </w:rPr>
            </w:pPr>
          </w:p>
        </w:tc>
      </w:tr>
      <w:tr w:rsidR="00EB2BD8" w:rsidRPr="00EB2BD8" w14:paraId="3B4AA2AF" w14:textId="77777777">
        <w:trPr>
          <w:trHeight w:val="325"/>
        </w:trPr>
        <w:tc>
          <w:tcPr>
            <w:tcW w:w="1705" w:type="dxa"/>
            <w:tcBorders>
              <w:top w:val="single" w:sz="2" w:space="0" w:color="000000"/>
            </w:tcBorders>
          </w:tcPr>
          <w:p w14:paraId="13F4A239" w14:textId="77777777" w:rsidR="00084F36" w:rsidRPr="00EB2BD8" w:rsidRDefault="00EB2BD8">
            <w:pPr>
              <w:pStyle w:val="TableParagraph"/>
              <w:spacing w:before="115"/>
              <w:ind w:left="113"/>
              <w:rPr>
                <w:sz w:val="16"/>
              </w:rPr>
            </w:pPr>
            <w:r w:rsidRPr="00EB2BD8">
              <w:rPr>
                <w:spacing w:val="-7"/>
                <w:sz w:val="16"/>
              </w:rPr>
              <w:t>RAMADAN,</w:t>
            </w:r>
            <w:r w:rsidRPr="00EB2BD8">
              <w:rPr>
                <w:spacing w:val="-4"/>
                <w:sz w:val="16"/>
              </w:rPr>
              <w:t xml:space="preserve"> </w:t>
            </w:r>
            <w:r w:rsidRPr="00EB2BD8">
              <w:rPr>
                <w:spacing w:val="-2"/>
                <w:sz w:val="16"/>
              </w:rPr>
              <w:t>Adnan</w:t>
            </w:r>
          </w:p>
        </w:tc>
        <w:tc>
          <w:tcPr>
            <w:tcW w:w="1464" w:type="dxa"/>
            <w:tcBorders>
              <w:top w:val="single" w:sz="2" w:space="0" w:color="000000"/>
            </w:tcBorders>
          </w:tcPr>
          <w:p w14:paraId="2B001DBB" w14:textId="77777777" w:rsidR="00084F36" w:rsidRPr="00EB2BD8" w:rsidRDefault="00EB2BD8">
            <w:pPr>
              <w:pStyle w:val="TableParagraph"/>
              <w:spacing w:before="115"/>
              <w:ind w:left="165"/>
              <w:rPr>
                <w:sz w:val="16"/>
              </w:rPr>
            </w:pPr>
            <w:r w:rsidRPr="00EB2BD8">
              <w:rPr>
                <w:w w:val="105"/>
                <w:sz w:val="16"/>
              </w:rPr>
              <w:t>BS-U</w:t>
            </w:r>
            <w:r w:rsidRPr="00EB2BD8">
              <w:rPr>
                <w:spacing w:val="14"/>
                <w:w w:val="105"/>
                <w:sz w:val="16"/>
              </w:rPr>
              <w:t xml:space="preserve"> </w:t>
            </w:r>
            <w:r w:rsidRPr="00EB2BD8">
              <w:rPr>
                <w:spacing w:val="-2"/>
                <w:w w:val="105"/>
                <w:sz w:val="16"/>
              </w:rPr>
              <w:t>39024;</w:t>
            </w:r>
          </w:p>
        </w:tc>
        <w:tc>
          <w:tcPr>
            <w:tcW w:w="2486" w:type="dxa"/>
            <w:tcBorders>
              <w:top w:val="single" w:sz="2" w:space="0" w:color="000000"/>
            </w:tcBorders>
          </w:tcPr>
          <w:p w14:paraId="3E8156AE" w14:textId="77777777" w:rsidR="00084F36" w:rsidRPr="00EB2BD8" w:rsidRDefault="00EB2BD8">
            <w:pPr>
              <w:pStyle w:val="TableParagraph"/>
              <w:spacing w:before="115"/>
              <w:ind w:left="334"/>
              <w:rPr>
                <w:sz w:val="16"/>
              </w:rPr>
            </w:pPr>
            <w:r w:rsidRPr="00EB2BD8">
              <w:rPr>
                <w:spacing w:val="-4"/>
                <w:sz w:val="16"/>
              </w:rPr>
              <w:t>Issuing</w:t>
            </w:r>
            <w:r w:rsidRPr="00EB2BD8">
              <w:rPr>
                <w:sz w:val="16"/>
              </w:rPr>
              <w:t xml:space="preserve"> </w:t>
            </w:r>
            <w:r w:rsidRPr="00EB2BD8">
              <w:rPr>
                <w:spacing w:val="-4"/>
                <w:sz w:val="16"/>
              </w:rPr>
              <w:t>building</w:t>
            </w:r>
            <w:r w:rsidRPr="00EB2BD8">
              <w:rPr>
                <w:sz w:val="16"/>
              </w:rPr>
              <w:t xml:space="preserve"> </w:t>
            </w:r>
            <w:r w:rsidRPr="00EB2BD8">
              <w:rPr>
                <w:spacing w:val="-4"/>
                <w:sz w:val="16"/>
              </w:rPr>
              <w:t>permits</w:t>
            </w:r>
          </w:p>
        </w:tc>
        <w:tc>
          <w:tcPr>
            <w:tcW w:w="2219" w:type="dxa"/>
            <w:tcBorders>
              <w:top w:val="single" w:sz="2" w:space="0" w:color="000000"/>
            </w:tcBorders>
          </w:tcPr>
          <w:p w14:paraId="02E714D6" w14:textId="77777777" w:rsidR="00084F36" w:rsidRPr="00EB2BD8" w:rsidRDefault="00EB2BD8">
            <w:pPr>
              <w:pStyle w:val="TableParagraph"/>
              <w:spacing w:before="114"/>
              <w:ind w:left="127"/>
              <w:rPr>
                <w:sz w:val="16"/>
              </w:rPr>
            </w:pPr>
            <w:r w:rsidRPr="00EB2BD8">
              <w:rPr>
                <w:spacing w:val="-2"/>
                <w:sz w:val="16"/>
              </w:rPr>
              <w:t>Reprimands,</w:t>
            </w:r>
            <w:r w:rsidRPr="00EB2BD8">
              <w:rPr>
                <w:spacing w:val="-4"/>
                <w:sz w:val="16"/>
              </w:rPr>
              <w:t xml:space="preserve"> </w:t>
            </w:r>
            <w:r w:rsidRPr="00EB2BD8">
              <w:rPr>
                <w:spacing w:val="-2"/>
                <w:sz w:val="16"/>
              </w:rPr>
              <w:t>aggregate</w:t>
            </w:r>
          </w:p>
        </w:tc>
        <w:tc>
          <w:tcPr>
            <w:tcW w:w="1151" w:type="dxa"/>
            <w:tcBorders>
              <w:top w:val="single" w:sz="2" w:space="0" w:color="000000"/>
            </w:tcBorders>
          </w:tcPr>
          <w:p w14:paraId="761719C6" w14:textId="77777777" w:rsidR="00084F36" w:rsidRPr="00EB2BD8" w:rsidRDefault="00EB2BD8">
            <w:pPr>
              <w:pStyle w:val="TableParagraph"/>
              <w:spacing w:before="113"/>
              <w:ind w:right="111"/>
              <w:jc w:val="right"/>
              <w:rPr>
                <w:sz w:val="16"/>
              </w:rPr>
            </w:pPr>
            <w:r w:rsidRPr="00EB2BD8">
              <w:rPr>
                <w:spacing w:val="-2"/>
                <w:sz w:val="16"/>
              </w:rPr>
              <w:t>$22,500</w:t>
            </w:r>
          </w:p>
        </w:tc>
        <w:tc>
          <w:tcPr>
            <w:tcW w:w="1176" w:type="dxa"/>
            <w:tcBorders>
              <w:top w:val="single" w:sz="2" w:space="0" w:color="000000"/>
            </w:tcBorders>
          </w:tcPr>
          <w:p w14:paraId="6F44BE6F" w14:textId="77777777" w:rsidR="00084F36" w:rsidRPr="00EB2BD8" w:rsidRDefault="00EB2BD8">
            <w:pPr>
              <w:pStyle w:val="TableParagraph"/>
              <w:spacing w:before="113"/>
              <w:ind w:left="113"/>
              <w:rPr>
                <w:sz w:val="16"/>
              </w:rPr>
            </w:pPr>
            <w:r w:rsidRPr="00EB2BD8">
              <w:rPr>
                <w:spacing w:val="-2"/>
                <w:w w:val="85"/>
                <w:sz w:val="16"/>
              </w:rPr>
              <w:t>07/11/2022</w:t>
            </w:r>
          </w:p>
        </w:tc>
      </w:tr>
      <w:tr w:rsidR="00EB2BD8" w:rsidRPr="00EB2BD8" w14:paraId="1C6C8D6B" w14:textId="77777777">
        <w:trPr>
          <w:trHeight w:val="229"/>
        </w:trPr>
        <w:tc>
          <w:tcPr>
            <w:tcW w:w="1705" w:type="dxa"/>
          </w:tcPr>
          <w:p w14:paraId="394FDEE1" w14:textId="77777777" w:rsidR="00084F36" w:rsidRPr="00EB2BD8" w:rsidRDefault="00084F36">
            <w:pPr>
              <w:pStyle w:val="TableParagraph"/>
              <w:rPr>
                <w:rFonts w:ascii="Times New Roman"/>
                <w:sz w:val="16"/>
              </w:rPr>
            </w:pPr>
          </w:p>
        </w:tc>
        <w:tc>
          <w:tcPr>
            <w:tcW w:w="1464" w:type="dxa"/>
          </w:tcPr>
          <w:p w14:paraId="48262645" w14:textId="77777777" w:rsidR="00084F36" w:rsidRPr="00EB2BD8" w:rsidRDefault="00EB2BD8">
            <w:pPr>
              <w:pStyle w:val="TableParagraph"/>
              <w:spacing w:before="20"/>
              <w:ind w:left="165"/>
              <w:rPr>
                <w:sz w:val="16"/>
              </w:rPr>
            </w:pPr>
            <w:r w:rsidRPr="00EB2BD8">
              <w:rPr>
                <w:w w:val="105"/>
                <w:sz w:val="16"/>
              </w:rPr>
              <w:t>BS-L</w:t>
            </w:r>
            <w:r w:rsidRPr="00EB2BD8">
              <w:rPr>
                <w:spacing w:val="19"/>
                <w:w w:val="105"/>
                <w:sz w:val="16"/>
              </w:rPr>
              <w:t xml:space="preserve"> </w:t>
            </w:r>
            <w:r w:rsidRPr="00EB2BD8">
              <w:rPr>
                <w:spacing w:val="-4"/>
                <w:w w:val="105"/>
                <w:sz w:val="16"/>
              </w:rPr>
              <w:t>38913</w:t>
            </w:r>
          </w:p>
        </w:tc>
        <w:tc>
          <w:tcPr>
            <w:tcW w:w="2486" w:type="dxa"/>
          </w:tcPr>
          <w:p w14:paraId="7A96F84F" w14:textId="77777777" w:rsidR="00084F36" w:rsidRPr="00EB2BD8" w:rsidRDefault="00EB2BD8">
            <w:pPr>
              <w:pStyle w:val="TableParagraph"/>
              <w:spacing w:before="20"/>
              <w:ind w:left="334"/>
              <w:rPr>
                <w:sz w:val="16"/>
              </w:rPr>
            </w:pPr>
            <w:r w:rsidRPr="00EB2BD8">
              <w:rPr>
                <w:spacing w:val="-2"/>
                <w:w w:val="105"/>
                <w:sz w:val="16"/>
              </w:rPr>
              <w:t>and</w:t>
            </w:r>
            <w:r w:rsidRPr="00EB2BD8">
              <w:rPr>
                <w:spacing w:val="-3"/>
                <w:w w:val="105"/>
                <w:sz w:val="16"/>
              </w:rPr>
              <w:t xml:space="preserve"> </w:t>
            </w:r>
            <w:r w:rsidRPr="00EB2BD8">
              <w:rPr>
                <w:spacing w:val="-2"/>
                <w:w w:val="105"/>
                <w:sz w:val="16"/>
              </w:rPr>
              <w:t>occupancy</w:t>
            </w:r>
            <w:r w:rsidRPr="00EB2BD8">
              <w:rPr>
                <w:spacing w:val="-3"/>
                <w:w w:val="105"/>
                <w:sz w:val="16"/>
              </w:rPr>
              <w:t xml:space="preserve"> </w:t>
            </w:r>
            <w:r w:rsidRPr="00EB2BD8">
              <w:rPr>
                <w:spacing w:val="-2"/>
                <w:w w:val="105"/>
                <w:sz w:val="16"/>
              </w:rPr>
              <w:t>permits</w:t>
            </w:r>
          </w:p>
        </w:tc>
        <w:tc>
          <w:tcPr>
            <w:tcW w:w="2219" w:type="dxa"/>
          </w:tcPr>
          <w:p w14:paraId="0CC0E756" w14:textId="77777777" w:rsidR="00084F36" w:rsidRPr="00EB2BD8" w:rsidRDefault="00EB2BD8">
            <w:pPr>
              <w:pStyle w:val="TableParagraph"/>
              <w:spacing w:before="19"/>
              <w:ind w:left="127"/>
              <w:rPr>
                <w:sz w:val="16"/>
              </w:rPr>
            </w:pPr>
            <w:r w:rsidRPr="00EB2BD8">
              <w:rPr>
                <w:spacing w:val="-4"/>
                <w:sz w:val="16"/>
              </w:rPr>
              <w:t>penalties</w:t>
            </w:r>
            <w:r w:rsidRPr="00EB2BD8">
              <w:rPr>
                <w:spacing w:val="-12"/>
                <w:sz w:val="16"/>
              </w:rPr>
              <w:t xml:space="preserve"> </w:t>
            </w:r>
            <w:r w:rsidRPr="00EB2BD8">
              <w:rPr>
                <w:spacing w:val="-4"/>
                <w:sz w:val="16"/>
              </w:rPr>
              <w:t>of</w:t>
            </w:r>
            <w:r w:rsidRPr="00EB2BD8">
              <w:rPr>
                <w:spacing w:val="-12"/>
                <w:sz w:val="16"/>
              </w:rPr>
              <w:t xml:space="preserve"> </w:t>
            </w:r>
            <w:r w:rsidRPr="00EB2BD8">
              <w:rPr>
                <w:spacing w:val="-4"/>
                <w:sz w:val="16"/>
              </w:rPr>
              <w:t>$22,500</w:t>
            </w:r>
            <w:r w:rsidRPr="00EB2BD8">
              <w:rPr>
                <w:spacing w:val="-12"/>
                <w:sz w:val="16"/>
              </w:rPr>
              <w:t xml:space="preserve"> </w:t>
            </w:r>
            <w:r w:rsidRPr="00EB2BD8">
              <w:rPr>
                <w:spacing w:val="-5"/>
                <w:sz w:val="16"/>
              </w:rPr>
              <w:t>and</w:t>
            </w:r>
          </w:p>
        </w:tc>
        <w:tc>
          <w:tcPr>
            <w:tcW w:w="1151" w:type="dxa"/>
          </w:tcPr>
          <w:p w14:paraId="5F7792CD" w14:textId="77777777" w:rsidR="00084F36" w:rsidRPr="00EB2BD8" w:rsidRDefault="00084F36">
            <w:pPr>
              <w:pStyle w:val="TableParagraph"/>
              <w:rPr>
                <w:rFonts w:ascii="Times New Roman"/>
                <w:sz w:val="16"/>
              </w:rPr>
            </w:pPr>
          </w:p>
        </w:tc>
        <w:tc>
          <w:tcPr>
            <w:tcW w:w="1176" w:type="dxa"/>
          </w:tcPr>
          <w:p w14:paraId="0947A408" w14:textId="77777777" w:rsidR="00084F36" w:rsidRPr="00EB2BD8" w:rsidRDefault="00084F36">
            <w:pPr>
              <w:pStyle w:val="TableParagraph"/>
              <w:rPr>
                <w:rFonts w:ascii="Times New Roman"/>
                <w:sz w:val="16"/>
              </w:rPr>
            </w:pPr>
          </w:p>
        </w:tc>
      </w:tr>
      <w:tr w:rsidR="00EB2BD8" w:rsidRPr="00EB2BD8" w14:paraId="052807EB" w14:textId="77777777">
        <w:trPr>
          <w:trHeight w:val="229"/>
        </w:trPr>
        <w:tc>
          <w:tcPr>
            <w:tcW w:w="1705" w:type="dxa"/>
          </w:tcPr>
          <w:p w14:paraId="0B79F26E" w14:textId="77777777" w:rsidR="00084F36" w:rsidRPr="00EB2BD8" w:rsidRDefault="00084F36">
            <w:pPr>
              <w:pStyle w:val="TableParagraph"/>
              <w:rPr>
                <w:rFonts w:ascii="Times New Roman"/>
                <w:sz w:val="16"/>
              </w:rPr>
            </w:pPr>
          </w:p>
        </w:tc>
        <w:tc>
          <w:tcPr>
            <w:tcW w:w="1464" w:type="dxa"/>
          </w:tcPr>
          <w:p w14:paraId="60560E0C" w14:textId="77777777" w:rsidR="00084F36" w:rsidRPr="00EB2BD8" w:rsidRDefault="00084F36">
            <w:pPr>
              <w:pStyle w:val="TableParagraph"/>
              <w:rPr>
                <w:rFonts w:ascii="Times New Roman"/>
                <w:sz w:val="16"/>
              </w:rPr>
            </w:pPr>
          </w:p>
        </w:tc>
        <w:tc>
          <w:tcPr>
            <w:tcW w:w="2486" w:type="dxa"/>
          </w:tcPr>
          <w:p w14:paraId="6065C304" w14:textId="77777777" w:rsidR="00084F36" w:rsidRPr="00EB2BD8" w:rsidRDefault="00EB2BD8">
            <w:pPr>
              <w:pStyle w:val="TableParagraph"/>
              <w:spacing w:before="20"/>
              <w:ind w:left="334"/>
              <w:rPr>
                <w:sz w:val="16"/>
              </w:rPr>
            </w:pPr>
            <w:r w:rsidRPr="00EB2BD8">
              <w:rPr>
                <w:spacing w:val="-2"/>
                <w:sz w:val="16"/>
              </w:rPr>
              <w:t>without</w:t>
            </w:r>
            <w:r w:rsidRPr="00EB2BD8">
              <w:rPr>
                <w:spacing w:val="-10"/>
                <w:sz w:val="16"/>
              </w:rPr>
              <w:t xml:space="preserve"> </w:t>
            </w:r>
            <w:r w:rsidRPr="00EB2BD8">
              <w:rPr>
                <w:spacing w:val="-2"/>
                <w:sz w:val="16"/>
              </w:rPr>
              <w:t>justification,</w:t>
            </w:r>
          </w:p>
        </w:tc>
        <w:tc>
          <w:tcPr>
            <w:tcW w:w="2219" w:type="dxa"/>
          </w:tcPr>
          <w:p w14:paraId="3AF7566E" w14:textId="77777777" w:rsidR="00084F36" w:rsidRPr="00EB2BD8" w:rsidRDefault="00EB2BD8">
            <w:pPr>
              <w:pStyle w:val="TableParagraph"/>
              <w:spacing w:before="19"/>
              <w:ind w:left="127"/>
              <w:rPr>
                <w:sz w:val="16"/>
              </w:rPr>
            </w:pPr>
            <w:r w:rsidRPr="00EB2BD8">
              <w:rPr>
                <w:spacing w:val="-2"/>
                <w:sz w:val="16"/>
              </w:rPr>
              <w:t>registration</w:t>
            </w:r>
            <w:r w:rsidRPr="00EB2BD8">
              <w:rPr>
                <w:spacing w:val="-8"/>
                <w:sz w:val="16"/>
              </w:rPr>
              <w:t xml:space="preserve"> </w:t>
            </w:r>
            <w:r w:rsidRPr="00EB2BD8">
              <w:rPr>
                <w:spacing w:val="-2"/>
                <w:sz w:val="16"/>
              </w:rPr>
              <w:t>for</w:t>
            </w:r>
            <w:r w:rsidRPr="00EB2BD8">
              <w:rPr>
                <w:spacing w:val="-7"/>
                <w:sz w:val="16"/>
              </w:rPr>
              <w:t xml:space="preserve"> </w:t>
            </w:r>
            <w:r w:rsidRPr="00EB2BD8">
              <w:rPr>
                <w:spacing w:val="-2"/>
                <w:sz w:val="16"/>
              </w:rPr>
              <w:t>no</w:t>
            </w:r>
            <w:r w:rsidRPr="00EB2BD8">
              <w:rPr>
                <w:spacing w:val="-8"/>
                <w:sz w:val="16"/>
              </w:rPr>
              <w:t xml:space="preserve"> </w:t>
            </w:r>
            <w:r w:rsidRPr="00EB2BD8">
              <w:rPr>
                <w:spacing w:val="-5"/>
                <w:sz w:val="16"/>
              </w:rPr>
              <w:t>new</w:t>
            </w:r>
          </w:p>
        </w:tc>
        <w:tc>
          <w:tcPr>
            <w:tcW w:w="1151" w:type="dxa"/>
          </w:tcPr>
          <w:p w14:paraId="3DBB9BF8" w14:textId="77777777" w:rsidR="00084F36" w:rsidRPr="00EB2BD8" w:rsidRDefault="00084F36">
            <w:pPr>
              <w:pStyle w:val="TableParagraph"/>
              <w:rPr>
                <w:rFonts w:ascii="Times New Roman"/>
                <w:sz w:val="16"/>
              </w:rPr>
            </w:pPr>
          </w:p>
        </w:tc>
        <w:tc>
          <w:tcPr>
            <w:tcW w:w="1176" w:type="dxa"/>
          </w:tcPr>
          <w:p w14:paraId="615B430C" w14:textId="77777777" w:rsidR="00084F36" w:rsidRPr="00EB2BD8" w:rsidRDefault="00084F36">
            <w:pPr>
              <w:pStyle w:val="TableParagraph"/>
              <w:rPr>
                <w:rFonts w:ascii="Times New Roman"/>
                <w:sz w:val="16"/>
              </w:rPr>
            </w:pPr>
          </w:p>
        </w:tc>
      </w:tr>
      <w:tr w:rsidR="00EB2BD8" w:rsidRPr="00EB2BD8" w14:paraId="4F9C4798" w14:textId="77777777">
        <w:trPr>
          <w:trHeight w:val="229"/>
        </w:trPr>
        <w:tc>
          <w:tcPr>
            <w:tcW w:w="1705" w:type="dxa"/>
          </w:tcPr>
          <w:p w14:paraId="6BC46CB4" w14:textId="77777777" w:rsidR="00084F36" w:rsidRPr="00EB2BD8" w:rsidRDefault="00084F36">
            <w:pPr>
              <w:pStyle w:val="TableParagraph"/>
              <w:rPr>
                <w:rFonts w:ascii="Times New Roman"/>
                <w:sz w:val="16"/>
              </w:rPr>
            </w:pPr>
          </w:p>
        </w:tc>
        <w:tc>
          <w:tcPr>
            <w:tcW w:w="1464" w:type="dxa"/>
          </w:tcPr>
          <w:p w14:paraId="698B2748" w14:textId="77777777" w:rsidR="00084F36" w:rsidRPr="00EB2BD8" w:rsidRDefault="00084F36">
            <w:pPr>
              <w:pStyle w:val="TableParagraph"/>
              <w:rPr>
                <w:rFonts w:ascii="Times New Roman"/>
                <w:sz w:val="16"/>
              </w:rPr>
            </w:pPr>
          </w:p>
        </w:tc>
        <w:tc>
          <w:tcPr>
            <w:tcW w:w="2486" w:type="dxa"/>
          </w:tcPr>
          <w:p w14:paraId="1A6ED298" w14:textId="77777777" w:rsidR="00084F36" w:rsidRPr="00EB2BD8" w:rsidRDefault="00EB2BD8">
            <w:pPr>
              <w:pStyle w:val="TableParagraph"/>
              <w:spacing w:before="20"/>
              <w:ind w:left="334"/>
              <w:rPr>
                <w:sz w:val="16"/>
              </w:rPr>
            </w:pPr>
            <w:r w:rsidRPr="00EB2BD8">
              <w:rPr>
                <w:spacing w:val="-2"/>
                <w:sz w:val="16"/>
              </w:rPr>
              <w:t>performing</w:t>
            </w:r>
            <w:r w:rsidRPr="00EB2BD8">
              <w:rPr>
                <w:spacing w:val="-6"/>
                <w:sz w:val="16"/>
              </w:rPr>
              <w:t xml:space="preserve"> </w:t>
            </w:r>
            <w:r w:rsidRPr="00EB2BD8">
              <w:rPr>
                <w:spacing w:val="-2"/>
                <w:sz w:val="16"/>
              </w:rPr>
              <w:t>building</w:t>
            </w:r>
          </w:p>
        </w:tc>
        <w:tc>
          <w:tcPr>
            <w:tcW w:w="2219" w:type="dxa"/>
          </w:tcPr>
          <w:p w14:paraId="2891D81A" w14:textId="77777777" w:rsidR="00084F36" w:rsidRPr="00EB2BD8" w:rsidRDefault="00EB2BD8">
            <w:pPr>
              <w:pStyle w:val="TableParagraph"/>
              <w:spacing w:before="19"/>
              <w:ind w:left="127"/>
              <w:rPr>
                <w:sz w:val="16"/>
              </w:rPr>
            </w:pPr>
            <w:r w:rsidRPr="00EB2BD8">
              <w:rPr>
                <w:spacing w:val="-2"/>
                <w:sz w:val="16"/>
              </w:rPr>
              <w:t>permits</w:t>
            </w:r>
            <w:r w:rsidRPr="00EB2BD8">
              <w:rPr>
                <w:spacing w:val="-12"/>
                <w:sz w:val="16"/>
              </w:rPr>
              <w:t xml:space="preserve"> </w:t>
            </w:r>
            <w:r w:rsidRPr="00EB2BD8">
              <w:rPr>
                <w:spacing w:val="-2"/>
                <w:sz w:val="16"/>
              </w:rPr>
              <w:t>for</w:t>
            </w:r>
            <w:r w:rsidRPr="00EB2BD8">
              <w:rPr>
                <w:spacing w:val="-11"/>
                <w:sz w:val="16"/>
              </w:rPr>
              <w:t xml:space="preserve"> </w:t>
            </w:r>
            <w:r w:rsidRPr="00EB2BD8">
              <w:rPr>
                <w:spacing w:val="-2"/>
                <w:sz w:val="16"/>
              </w:rPr>
              <w:t>Class</w:t>
            </w:r>
            <w:r w:rsidRPr="00EB2BD8">
              <w:rPr>
                <w:spacing w:val="-11"/>
                <w:sz w:val="16"/>
              </w:rPr>
              <w:t xml:space="preserve"> </w:t>
            </w:r>
            <w:r w:rsidRPr="00EB2BD8">
              <w:rPr>
                <w:spacing w:val="-2"/>
                <w:sz w:val="16"/>
              </w:rPr>
              <w:t>2</w:t>
            </w:r>
            <w:r w:rsidRPr="00EB2BD8">
              <w:rPr>
                <w:spacing w:val="-11"/>
                <w:sz w:val="16"/>
              </w:rPr>
              <w:t xml:space="preserve"> </w:t>
            </w:r>
            <w:r w:rsidRPr="00EB2BD8">
              <w:rPr>
                <w:spacing w:val="-5"/>
                <w:sz w:val="16"/>
              </w:rPr>
              <w:t>and</w:t>
            </w:r>
          </w:p>
        </w:tc>
        <w:tc>
          <w:tcPr>
            <w:tcW w:w="1151" w:type="dxa"/>
          </w:tcPr>
          <w:p w14:paraId="7E1C30D6" w14:textId="77777777" w:rsidR="00084F36" w:rsidRPr="00EB2BD8" w:rsidRDefault="00084F36">
            <w:pPr>
              <w:pStyle w:val="TableParagraph"/>
              <w:rPr>
                <w:rFonts w:ascii="Times New Roman"/>
                <w:sz w:val="16"/>
              </w:rPr>
            </w:pPr>
          </w:p>
        </w:tc>
        <w:tc>
          <w:tcPr>
            <w:tcW w:w="1176" w:type="dxa"/>
          </w:tcPr>
          <w:p w14:paraId="1A8A8851" w14:textId="77777777" w:rsidR="00084F36" w:rsidRPr="00EB2BD8" w:rsidRDefault="00084F36">
            <w:pPr>
              <w:pStyle w:val="TableParagraph"/>
              <w:rPr>
                <w:rFonts w:ascii="Times New Roman"/>
                <w:sz w:val="16"/>
              </w:rPr>
            </w:pPr>
          </w:p>
        </w:tc>
      </w:tr>
      <w:tr w:rsidR="00EB2BD8" w:rsidRPr="00EB2BD8" w14:paraId="0ECABA2E" w14:textId="77777777">
        <w:trPr>
          <w:trHeight w:val="229"/>
        </w:trPr>
        <w:tc>
          <w:tcPr>
            <w:tcW w:w="1705" w:type="dxa"/>
          </w:tcPr>
          <w:p w14:paraId="39736697" w14:textId="77777777" w:rsidR="00084F36" w:rsidRPr="00EB2BD8" w:rsidRDefault="00084F36">
            <w:pPr>
              <w:pStyle w:val="TableParagraph"/>
              <w:rPr>
                <w:rFonts w:ascii="Times New Roman"/>
                <w:sz w:val="16"/>
              </w:rPr>
            </w:pPr>
          </w:p>
        </w:tc>
        <w:tc>
          <w:tcPr>
            <w:tcW w:w="1464" w:type="dxa"/>
          </w:tcPr>
          <w:p w14:paraId="1B337690" w14:textId="77777777" w:rsidR="00084F36" w:rsidRPr="00EB2BD8" w:rsidRDefault="00084F36">
            <w:pPr>
              <w:pStyle w:val="TableParagraph"/>
              <w:rPr>
                <w:rFonts w:ascii="Times New Roman"/>
                <w:sz w:val="16"/>
              </w:rPr>
            </w:pPr>
          </w:p>
        </w:tc>
        <w:tc>
          <w:tcPr>
            <w:tcW w:w="2486" w:type="dxa"/>
          </w:tcPr>
          <w:p w14:paraId="205845A3" w14:textId="77777777" w:rsidR="00084F36" w:rsidRPr="00EB2BD8" w:rsidRDefault="00EB2BD8">
            <w:pPr>
              <w:pStyle w:val="TableParagraph"/>
              <w:spacing w:before="20"/>
              <w:ind w:left="334"/>
              <w:rPr>
                <w:sz w:val="16"/>
              </w:rPr>
            </w:pPr>
            <w:r w:rsidRPr="00EB2BD8">
              <w:rPr>
                <w:spacing w:val="-2"/>
                <w:sz w:val="16"/>
              </w:rPr>
              <w:t>work</w:t>
            </w:r>
            <w:r w:rsidRPr="00EB2BD8">
              <w:rPr>
                <w:spacing w:val="-7"/>
                <w:sz w:val="16"/>
              </w:rPr>
              <w:t xml:space="preserve"> </w:t>
            </w:r>
            <w:r w:rsidRPr="00EB2BD8">
              <w:rPr>
                <w:spacing w:val="-2"/>
                <w:sz w:val="16"/>
              </w:rPr>
              <w:t>other</w:t>
            </w:r>
            <w:r w:rsidRPr="00EB2BD8">
              <w:rPr>
                <w:spacing w:val="-7"/>
                <w:sz w:val="16"/>
              </w:rPr>
              <w:t xml:space="preserve"> </w:t>
            </w:r>
            <w:r w:rsidRPr="00EB2BD8">
              <w:rPr>
                <w:spacing w:val="-2"/>
                <w:sz w:val="16"/>
              </w:rPr>
              <w:t>than</w:t>
            </w:r>
            <w:r w:rsidRPr="00EB2BD8">
              <w:rPr>
                <w:spacing w:val="-6"/>
                <w:sz w:val="16"/>
              </w:rPr>
              <w:t xml:space="preserve"> </w:t>
            </w:r>
            <w:r w:rsidRPr="00EB2BD8">
              <w:rPr>
                <w:spacing w:val="-2"/>
                <w:sz w:val="16"/>
              </w:rPr>
              <w:t>in</w:t>
            </w:r>
            <w:r w:rsidRPr="00EB2BD8">
              <w:rPr>
                <w:spacing w:val="-7"/>
                <w:sz w:val="16"/>
              </w:rPr>
              <w:t xml:space="preserve"> </w:t>
            </w:r>
            <w:r w:rsidRPr="00EB2BD8">
              <w:rPr>
                <w:spacing w:val="-10"/>
                <w:sz w:val="16"/>
              </w:rPr>
              <w:t>a</w:t>
            </w:r>
          </w:p>
        </w:tc>
        <w:tc>
          <w:tcPr>
            <w:tcW w:w="2219" w:type="dxa"/>
          </w:tcPr>
          <w:p w14:paraId="75743117" w14:textId="77777777" w:rsidR="00084F36" w:rsidRPr="00EB2BD8" w:rsidRDefault="00EB2BD8">
            <w:pPr>
              <w:pStyle w:val="TableParagraph"/>
              <w:spacing w:before="19"/>
              <w:ind w:left="127"/>
              <w:rPr>
                <w:sz w:val="16"/>
              </w:rPr>
            </w:pPr>
            <w:r w:rsidRPr="00EB2BD8">
              <w:rPr>
                <w:spacing w:val="-2"/>
                <w:sz w:val="16"/>
              </w:rPr>
              <w:t>Class</w:t>
            </w:r>
            <w:r w:rsidRPr="00EB2BD8">
              <w:rPr>
                <w:spacing w:val="-10"/>
                <w:sz w:val="16"/>
              </w:rPr>
              <w:t xml:space="preserve"> </w:t>
            </w:r>
            <w:r w:rsidRPr="00EB2BD8">
              <w:rPr>
                <w:spacing w:val="-2"/>
                <w:sz w:val="16"/>
              </w:rPr>
              <w:t>3</w:t>
            </w:r>
            <w:r w:rsidRPr="00EB2BD8">
              <w:rPr>
                <w:spacing w:val="-9"/>
                <w:sz w:val="16"/>
              </w:rPr>
              <w:t xml:space="preserve"> </w:t>
            </w:r>
            <w:r w:rsidRPr="00EB2BD8">
              <w:rPr>
                <w:spacing w:val="-2"/>
                <w:sz w:val="16"/>
              </w:rPr>
              <w:t>buildings</w:t>
            </w:r>
            <w:r w:rsidRPr="00EB2BD8">
              <w:rPr>
                <w:spacing w:val="-9"/>
                <w:sz w:val="16"/>
              </w:rPr>
              <w:t xml:space="preserve"> </w:t>
            </w:r>
            <w:r w:rsidRPr="00EB2BD8">
              <w:rPr>
                <w:spacing w:val="-2"/>
                <w:sz w:val="16"/>
              </w:rPr>
              <w:t>for</w:t>
            </w:r>
            <w:r w:rsidRPr="00EB2BD8">
              <w:rPr>
                <w:spacing w:val="-9"/>
                <w:sz w:val="16"/>
              </w:rPr>
              <w:t xml:space="preserve"> </w:t>
            </w:r>
            <w:r w:rsidRPr="00EB2BD8">
              <w:rPr>
                <w:spacing w:val="-5"/>
                <w:sz w:val="16"/>
              </w:rPr>
              <w:t>12</w:t>
            </w:r>
          </w:p>
        </w:tc>
        <w:tc>
          <w:tcPr>
            <w:tcW w:w="1151" w:type="dxa"/>
          </w:tcPr>
          <w:p w14:paraId="058C2603" w14:textId="77777777" w:rsidR="00084F36" w:rsidRPr="00EB2BD8" w:rsidRDefault="00084F36">
            <w:pPr>
              <w:pStyle w:val="TableParagraph"/>
              <w:rPr>
                <w:rFonts w:ascii="Times New Roman"/>
                <w:sz w:val="16"/>
              </w:rPr>
            </w:pPr>
          </w:p>
        </w:tc>
        <w:tc>
          <w:tcPr>
            <w:tcW w:w="1176" w:type="dxa"/>
          </w:tcPr>
          <w:p w14:paraId="6C9AEEDE" w14:textId="77777777" w:rsidR="00084F36" w:rsidRPr="00EB2BD8" w:rsidRDefault="00084F36">
            <w:pPr>
              <w:pStyle w:val="TableParagraph"/>
              <w:rPr>
                <w:rFonts w:ascii="Times New Roman"/>
                <w:sz w:val="16"/>
              </w:rPr>
            </w:pPr>
          </w:p>
        </w:tc>
      </w:tr>
      <w:tr w:rsidR="00EB2BD8" w:rsidRPr="00EB2BD8" w14:paraId="49D7334A" w14:textId="77777777">
        <w:trPr>
          <w:trHeight w:val="230"/>
        </w:trPr>
        <w:tc>
          <w:tcPr>
            <w:tcW w:w="1705" w:type="dxa"/>
          </w:tcPr>
          <w:p w14:paraId="1255302F" w14:textId="77777777" w:rsidR="00084F36" w:rsidRPr="00EB2BD8" w:rsidRDefault="00084F36">
            <w:pPr>
              <w:pStyle w:val="TableParagraph"/>
              <w:rPr>
                <w:rFonts w:ascii="Times New Roman"/>
                <w:sz w:val="16"/>
              </w:rPr>
            </w:pPr>
          </w:p>
        </w:tc>
        <w:tc>
          <w:tcPr>
            <w:tcW w:w="1464" w:type="dxa"/>
          </w:tcPr>
          <w:p w14:paraId="69263AC3" w14:textId="77777777" w:rsidR="00084F36" w:rsidRPr="00EB2BD8" w:rsidRDefault="00084F36">
            <w:pPr>
              <w:pStyle w:val="TableParagraph"/>
              <w:rPr>
                <w:rFonts w:ascii="Times New Roman"/>
                <w:sz w:val="16"/>
              </w:rPr>
            </w:pPr>
          </w:p>
        </w:tc>
        <w:tc>
          <w:tcPr>
            <w:tcW w:w="2486" w:type="dxa"/>
          </w:tcPr>
          <w:p w14:paraId="7AA933D0" w14:textId="77777777" w:rsidR="00084F36" w:rsidRPr="00EB2BD8" w:rsidRDefault="00EB2BD8">
            <w:pPr>
              <w:pStyle w:val="TableParagraph"/>
              <w:spacing w:before="20"/>
              <w:ind w:left="334"/>
              <w:rPr>
                <w:sz w:val="16"/>
              </w:rPr>
            </w:pPr>
            <w:r w:rsidRPr="00EB2BD8">
              <w:rPr>
                <w:sz w:val="16"/>
              </w:rPr>
              <w:t xml:space="preserve">competent manner </w:t>
            </w:r>
            <w:r w:rsidRPr="00EB2BD8">
              <w:rPr>
                <w:spacing w:val="-5"/>
                <w:sz w:val="16"/>
              </w:rPr>
              <w:t>and</w:t>
            </w:r>
          </w:p>
        </w:tc>
        <w:tc>
          <w:tcPr>
            <w:tcW w:w="2219" w:type="dxa"/>
          </w:tcPr>
          <w:p w14:paraId="48359EC2" w14:textId="77777777" w:rsidR="00084F36" w:rsidRPr="00EB2BD8" w:rsidRDefault="00EB2BD8">
            <w:pPr>
              <w:pStyle w:val="TableParagraph"/>
              <w:spacing w:before="19"/>
              <w:ind w:left="127"/>
              <w:rPr>
                <w:sz w:val="16"/>
              </w:rPr>
            </w:pPr>
            <w:r w:rsidRPr="00EB2BD8">
              <w:rPr>
                <w:spacing w:val="-2"/>
                <w:sz w:val="16"/>
              </w:rPr>
              <w:t>months.</w:t>
            </w:r>
          </w:p>
        </w:tc>
        <w:tc>
          <w:tcPr>
            <w:tcW w:w="1151" w:type="dxa"/>
          </w:tcPr>
          <w:p w14:paraId="4C185D68" w14:textId="77777777" w:rsidR="00084F36" w:rsidRPr="00EB2BD8" w:rsidRDefault="00084F36">
            <w:pPr>
              <w:pStyle w:val="TableParagraph"/>
              <w:rPr>
                <w:rFonts w:ascii="Times New Roman"/>
                <w:sz w:val="16"/>
              </w:rPr>
            </w:pPr>
          </w:p>
        </w:tc>
        <w:tc>
          <w:tcPr>
            <w:tcW w:w="1176" w:type="dxa"/>
          </w:tcPr>
          <w:p w14:paraId="5DC42BF5" w14:textId="77777777" w:rsidR="00084F36" w:rsidRPr="00EB2BD8" w:rsidRDefault="00084F36">
            <w:pPr>
              <w:pStyle w:val="TableParagraph"/>
              <w:rPr>
                <w:rFonts w:ascii="Times New Roman"/>
                <w:sz w:val="16"/>
              </w:rPr>
            </w:pPr>
          </w:p>
        </w:tc>
      </w:tr>
      <w:tr w:rsidR="00EB2BD8" w:rsidRPr="00EB2BD8" w14:paraId="512BD496" w14:textId="77777777">
        <w:trPr>
          <w:trHeight w:val="229"/>
        </w:trPr>
        <w:tc>
          <w:tcPr>
            <w:tcW w:w="1705" w:type="dxa"/>
          </w:tcPr>
          <w:p w14:paraId="5FD77D31" w14:textId="77777777" w:rsidR="00084F36" w:rsidRPr="00EB2BD8" w:rsidRDefault="00084F36">
            <w:pPr>
              <w:pStyle w:val="TableParagraph"/>
              <w:rPr>
                <w:rFonts w:ascii="Times New Roman"/>
                <w:sz w:val="16"/>
              </w:rPr>
            </w:pPr>
          </w:p>
        </w:tc>
        <w:tc>
          <w:tcPr>
            <w:tcW w:w="1464" w:type="dxa"/>
          </w:tcPr>
          <w:p w14:paraId="68EA9C70" w14:textId="77777777" w:rsidR="00084F36" w:rsidRPr="00EB2BD8" w:rsidRDefault="00084F36">
            <w:pPr>
              <w:pStyle w:val="TableParagraph"/>
              <w:rPr>
                <w:rFonts w:ascii="Times New Roman"/>
                <w:sz w:val="16"/>
              </w:rPr>
            </w:pPr>
          </w:p>
        </w:tc>
        <w:tc>
          <w:tcPr>
            <w:tcW w:w="2486" w:type="dxa"/>
          </w:tcPr>
          <w:p w14:paraId="0B805426" w14:textId="77777777" w:rsidR="00084F36" w:rsidRPr="00EB2BD8" w:rsidRDefault="00EB2BD8">
            <w:pPr>
              <w:pStyle w:val="TableParagraph"/>
              <w:spacing w:before="19"/>
              <w:ind w:left="334"/>
              <w:rPr>
                <w:sz w:val="16"/>
              </w:rPr>
            </w:pPr>
            <w:r w:rsidRPr="00EB2BD8">
              <w:rPr>
                <w:spacing w:val="-2"/>
                <w:sz w:val="16"/>
              </w:rPr>
              <w:t>to</w:t>
            </w:r>
            <w:r w:rsidRPr="00EB2BD8">
              <w:rPr>
                <w:spacing w:val="-6"/>
                <w:sz w:val="16"/>
              </w:rPr>
              <w:t xml:space="preserve"> </w:t>
            </w:r>
            <w:r w:rsidRPr="00EB2BD8">
              <w:rPr>
                <w:spacing w:val="-2"/>
                <w:sz w:val="16"/>
              </w:rPr>
              <w:t>a</w:t>
            </w:r>
            <w:r w:rsidRPr="00EB2BD8">
              <w:rPr>
                <w:spacing w:val="-5"/>
                <w:sz w:val="16"/>
              </w:rPr>
              <w:t xml:space="preserve"> </w:t>
            </w:r>
            <w:r w:rsidRPr="00EB2BD8">
              <w:rPr>
                <w:spacing w:val="-2"/>
                <w:sz w:val="16"/>
              </w:rPr>
              <w:t>professional</w:t>
            </w:r>
            <w:r w:rsidRPr="00EB2BD8">
              <w:rPr>
                <w:spacing w:val="-5"/>
                <w:sz w:val="16"/>
              </w:rPr>
              <w:t xml:space="preserve"> </w:t>
            </w:r>
            <w:r w:rsidRPr="00EB2BD8">
              <w:rPr>
                <w:spacing w:val="-2"/>
                <w:sz w:val="16"/>
              </w:rPr>
              <w:t>standard</w:t>
            </w:r>
          </w:p>
        </w:tc>
        <w:tc>
          <w:tcPr>
            <w:tcW w:w="2219" w:type="dxa"/>
          </w:tcPr>
          <w:p w14:paraId="5528F904" w14:textId="77777777" w:rsidR="00084F36" w:rsidRPr="00EB2BD8" w:rsidRDefault="00084F36">
            <w:pPr>
              <w:pStyle w:val="TableParagraph"/>
              <w:rPr>
                <w:rFonts w:ascii="Times New Roman"/>
                <w:sz w:val="16"/>
              </w:rPr>
            </w:pPr>
          </w:p>
        </w:tc>
        <w:tc>
          <w:tcPr>
            <w:tcW w:w="1151" w:type="dxa"/>
          </w:tcPr>
          <w:p w14:paraId="1FE5E5AC" w14:textId="77777777" w:rsidR="00084F36" w:rsidRPr="00EB2BD8" w:rsidRDefault="00084F36">
            <w:pPr>
              <w:pStyle w:val="TableParagraph"/>
              <w:rPr>
                <w:rFonts w:ascii="Times New Roman"/>
                <w:sz w:val="16"/>
              </w:rPr>
            </w:pPr>
          </w:p>
        </w:tc>
        <w:tc>
          <w:tcPr>
            <w:tcW w:w="1176" w:type="dxa"/>
          </w:tcPr>
          <w:p w14:paraId="51A8BB72" w14:textId="77777777" w:rsidR="00084F36" w:rsidRPr="00EB2BD8" w:rsidRDefault="00084F36">
            <w:pPr>
              <w:pStyle w:val="TableParagraph"/>
              <w:rPr>
                <w:rFonts w:ascii="Times New Roman"/>
                <w:sz w:val="16"/>
              </w:rPr>
            </w:pPr>
          </w:p>
        </w:tc>
      </w:tr>
      <w:tr w:rsidR="00EB2BD8" w:rsidRPr="00EB2BD8" w14:paraId="4605A4DC" w14:textId="77777777">
        <w:trPr>
          <w:trHeight w:val="229"/>
        </w:trPr>
        <w:tc>
          <w:tcPr>
            <w:tcW w:w="1705" w:type="dxa"/>
          </w:tcPr>
          <w:p w14:paraId="198765F9" w14:textId="77777777" w:rsidR="00084F36" w:rsidRPr="00EB2BD8" w:rsidRDefault="00084F36">
            <w:pPr>
              <w:pStyle w:val="TableParagraph"/>
              <w:rPr>
                <w:rFonts w:ascii="Times New Roman"/>
                <w:sz w:val="16"/>
              </w:rPr>
            </w:pPr>
          </w:p>
        </w:tc>
        <w:tc>
          <w:tcPr>
            <w:tcW w:w="1464" w:type="dxa"/>
          </w:tcPr>
          <w:p w14:paraId="7A5FAF03" w14:textId="77777777" w:rsidR="00084F36" w:rsidRPr="00EB2BD8" w:rsidRDefault="00084F36">
            <w:pPr>
              <w:pStyle w:val="TableParagraph"/>
              <w:rPr>
                <w:rFonts w:ascii="Times New Roman"/>
                <w:sz w:val="16"/>
              </w:rPr>
            </w:pPr>
          </w:p>
        </w:tc>
        <w:tc>
          <w:tcPr>
            <w:tcW w:w="2486" w:type="dxa"/>
          </w:tcPr>
          <w:p w14:paraId="43C9F0B7" w14:textId="77777777" w:rsidR="00084F36" w:rsidRPr="00EB2BD8" w:rsidRDefault="00EB2BD8">
            <w:pPr>
              <w:pStyle w:val="TableParagraph"/>
              <w:spacing w:before="19"/>
              <w:ind w:left="334"/>
              <w:rPr>
                <w:sz w:val="16"/>
              </w:rPr>
            </w:pPr>
            <w:r w:rsidRPr="00EB2BD8">
              <w:rPr>
                <w:sz w:val="16"/>
              </w:rPr>
              <w:t>in</w:t>
            </w:r>
            <w:r w:rsidRPr="00EB2BD8">
              <w:rPr>
                <w:spacing w:val="-12"/>
                <w:sz w:val="16"/>
              </w:rPr>
              <w:t xml:space="preserve"> </w:t>
            </w:r>
            <w:r w:rsidRPr="00EB2BD8">
              <w:rPr>
                <w:sz w:val="16"/>
              </w:rPr>
              <w:t>respect</w:t>
            </w:r>
            <w:r w:rsidRPr="00EB2BD8">
              <w:rPr>
                <w:spacing w:val="-12"/>
                <w:sz w:val="16"/>
              </w:rPr>
              <w:t xml:space="preserve"> </w:t>
            </w:r>
            <w:r w:rsidRPr="00EB2BD8">
              <w:rPr>
                <w:sz w:val="16"/>
              </w:rPr>
              <w:t>of</w:t>
            </w:r>
            <w:r w:rsidRPr="00EB2BD8">
              <w:rPr>
                <w:spacing w:val="-11"/>
                <w:sz w:val="16"/>
              </w:rPr>
              <w:t xml:space="preserve"> </w:t>
            </w:r>
            <w:r w:rsidRPr="00EB2BD8">
              <w:rPr>
                <w:sz w:val="16"/>
              </w:rPr>
              <w:t>the</w:t>
            </w:r>
            <w:r w:rsidRPr="00EB2BD8">
              <w:rPr>
                <w:spacing w:val="-12"/>
                <w:sz w:val="16"/>
              </w:rPr>
              <w:t xml:space="preserve"> </w:t>
            </w:r>
            <w:r w:rsidRPr="00EB2BD8">
              <w:rPr>
                <w:sz w:val="16"/>
              </w:rPr>
              <w:t>use</w:t>
            </w:r>
            <w:r w:rsidRPr="00EB2BD8">
              <w:rPr>
                <w:spacing w:val="-12"/>
                <w:sz w:val="16"/>
              </w:rPr>
              <w:t xml:space="preserve"> </w:t>
            </w:r>
            <w:r w:rsidRPr="00EB2BD8">
              <w:rPr>
                <w:spacing w:val="-5"/>
                <w:sz w:val="16"/>
              </w:rPr>
              <w:t>of</w:t>
            </w:r>
          </w:p>
        </w:tc>
        <w:tc>
          <w:tcPr>
            <w:tcW w:w="2219" w:type="dxa"/>
          </w:tcPr>
          <w:p w14:paraId="3524623D" w14:textId="77777777" w:rsidR="00084F36" w:rsidRPr="00EB2BD8" w:rsidRDefault="00084F36">
            <w:pPr>
              <w:pStyle w:val="TableParagraph"/>
              <w:rPr>
                <w:rFonts w:ascii="Times New Roman"/>
                <w:sz w:val="16"/>
              </w:rPr>
            </w:pPr>
          </w:p>
        </w:tc>
        <w:tc>
          <w:tcPr>
            <w:tcW w:w="1151" w:type="dxa"/>
          </w:tcPr>
          <w:p w14:paraId="4FD99C1F" w14:textId="77777777" w:rsidR="00084F36" w:rsidRPr="00EB2BD8" w:rsidRDefault="00084F36">
            <w:pPr>
              <w:pStyle w:val="TableParagraph"/>
              <w:rPr>
                <w:rFonts w:ascii="Times New Roman"/>
                <w:sz w:val="16"/>
              </w:rPr>
            </w:pPr>
          </w:p>
        </w:tc>
        <w:tc>
          <w:tcPr>
            <w:tcW w:w="1176" w:type="dxa"/>
          </w:tcPr>
          <w:p w14:paraId="6A47228F" w14:textId="77777777" w:rsidR="00084F36" w:rsidRPr="00EB2BD8" w:rsidRDefault="00084F36">
            <w:pPr>
              <w:pStyle w:val="TableParagraph"/>
              <w:rPr>
                <w:rFonts w:ascii="Times New Roman"/>
                <w:sz w:val="16"/>
              </w:rPr>
            </w:pPr>
          </w:p>
        </w:tc>
      </w:tr>
      <w:tr w:rsidR="00EB2BD8" w:rsidRPr="00EB2BD8" w14:paraId="19D67AD3" w14:textId="77777777">
        <w:trPr>
          <w:trHeight w:val="229"/>
        </w:trPr>
        <w:tc>
          <w:tcPr>
            <w:tcW w:w="1705" w:type="dxa"/>
          </w:tcPr>
          <w:p w14:paraId="61926EC0" w14:textId="77777777" w:rsidR="00084F36" w:rsidRPr="00EB2BD8" w:rsidRDefault="00084F36">
            <w:pPr>
              <w:pStyle w:val="TableParagraph"/>
              <w:rPr>
                <w:rFonts w:ascii="Times New Roman"/>
                <w:sz w:val="16"/>
              </w:rPr>
            </w:pPr>
          </w:p>
        </w:tc>
        <w:tc>
          <w:tcPr>
            <w:tcW w:w="1464" w:type="dxa"/>
          </w:tcPr>
          <w:p w14:paraId="49AFABFE" w14:textId="77777777" w:rsidR="00084F36" w:rsidRPr="00EB2BD8" w:rsidRDefault="00084F36">
            <w:pPr>
              <w:pStyle w:val="TableParagraph"/>
              <w:rPr>
                <w:rFonts w:ascii="Times New Roman"/>
                <w:sz w:val="16"/>
              </w:rPr>
            </w:pPr>
          </w:p>
        </w:tc>
        <w:tc>
          <w:tcPr>
            <w:tcW w:w="2486" w:type="dxa"/>
          </w:tcPr>
          <w:p w14:paraId="73660CDB" w14:textId="77777777" w:rsidR="00084F36" w:rsidRPr="00EB2BD8" w:rsidRDefault="00EB2BD8">
            <w:pPr>
              <w:pStyle w:val="TableParagraph"/>
              <w:spacing w:before="19"/>
              <w:ind w:left="334"/>
              <w:rPr>
                <w:sz w:val="16"/>
              </w:rPr>
            </w:pPr>
            <w:r w:rsidRPr="00EB2BD8">
              <w:rPr>
                <w:spacing w:val="-2"/>
                <w:sz w:val="16"/>
              </w:rPr>
              <w:t>combustible</w:t>
            </w:r>
            <w:r w:rsidRPr="00EB2BD8">
              <w:rPr>
                <w:sz w:val="16"/>
              </w:rPr>
              <w:t xml:space="preserve"> </w:t>
            </w:r>
            <w:r w:rsidRPr="00EB2BD8">
              <w:rPr>
                <w:spacing w:val="-2"/>
                <w:sz w:val="16"/>
              </w:rPr>
              <w:t>cladding</w:t>
            </w:r>
          </w:p>
        </w:tc>
        <w:tc>
          <w:tcPr>
            <w:tcW w:w="2219" w:type="dxa"/>
          </w:tcPr>
          <w:p w14:paraId="2D0828BE" w14:textId="77777777" w:rsidR="00084F36" w:rsidRPr="00EB2BD8" w:rsidRDefault="00084F36">
            <w:pPr>
              <w:pStyle w:val="TableParagraph"/>
              <w:rPr>
                <w:rFonts w:ascii="Times New Roman"/>
                <w:sz w:val="16"/>
              </w:rPr>
            </w:pPr>
          </w:p>
        </w:tc>
        <w:tc>
          <w:tcPr>
            <w:tcW w:w="1151" w:type="dxa"/>
          </w:tcPr>
          <w:p w14:paraId="2D0FCC2E" w14:textId="77777777" w:rsidR="00084F36" w:rsidRPr="00EB2BD8" w:rsidRDefault="00084F36">
            <w:pPr>
              <w:pStyle w:val="TableParagraph"/>
              <w:rPr>
                <w:rFonts w:ascii="Times New Roman"/>
                <w:sz w:val="16"/>
              </w:rPr>
            </w:pPr>
          </w:p>
        </w:tc>
        <w:tc>
          <w:tcPr>
            <w:tcW w:w="1176" w:type="dxa"/>
          </w:tcPr>
          <w:p w14:paraId="5218BB4E" w14:textId="77777777" w:rsidR="00084F36" w:rsidRPr="00EB2BD8" w:rsidRDefault="00084F36">
            <w:pPr>
              <w:pStyle w:val="TableParagraph"/>
              <w:rPr>
                <w:rFonts w:ascii="Times New Roman"/>
                <w:sz w:val="16"/>
              </w:rPr>
            </w:pPr>
          </w:p>
        </w:tc>
      </w:tr>
      <w:tr w:rsidR="00EB2BD8" w:rsidRPr="00EB2BD8" w14:paraId="66C5DD67" w14:textId="77777777">
        <w:trPr>
          <w:trHeight w:val="229"/>
        </w:trPr>
        <w:tc>
          <w:tcPr>
            <w:tcW w:w="1705" w:type="dxa"/>
          </w:tcPr>
          <w:p w14:paraId="5432C22C" w14:textId="77777777" w:rsidR="00084F36" w:rsidRPr="00EB2BD8" w:rsidRDefault="00084F36">
            <w:pPr>
              <w:pStyle w:val="TableParagraph"/>
              <w:rPr>
                <w:rFonts w:ascii="Times New Roman"/>
                <w:sz w:val="16"/>
              </w:rPr>
            </w:pPr>
          </w:p>
        </w:tc>
        <w:tc>
          <w:tcPr>
            <w:tcW w:w="1464" w:type="dxa"/>
          </w:tcPr>
          <w:p w14:paraId="3A5003CD" w14:textId="77777777" w:rsidR="00084F36" w:rsidRPr="00EB2BD8" w:rsidRDefault="00084F36">
            <w:pPr>
              <w:pStyle w:val="TableParagraph"/>
              <w:rPr>
                <w:rFonts w:ascii="Times New Roman"/>
                <w:sz w:val="16"/>
              </w:rPr>
            </w:pPr>
          </w:p>
        </w:tc>
        <w:tc>
          <w:tcPr>
            <w:tcW w:w="2486" w:type="dxa"/>
          </w:tcPr>
          <w:p w14:paraId="2AAEA5F1" w14:textId="77777777" w:rsidR="00084F36" w:rsidRPr="00EB2BD8" w:rsidRDefault="00EB2BD8">
            <w:pPr>
              <w:pStyle w:val="TableParagraph"/>
              <w:spacing w:before="19"/>
              <w:ind w:left="334"/>
              <w:rPr>
                <w:sz w:val="16"/>
              </w:rPr>
            </w:pPr>
            <w:r w:rsidRPr="00EB2BD8">
              <w:rPr>
                <w:spacing w:val="-2"/>
                <w:sz w:val="16"/>
              </w:rPr>
              <w:t>at</w:t>
            </w:r>
            <w:r w:rsidRPr="00EB2BD8">
              <w:rPr>
                <w:spacing w:val="-8"/>
                <w:sz w:val="16"/>
              </w:rPr>
              <w:t xml:space="preserve"> </w:t>
            </w:r>
            <w:r w:rsidRPr="00EB2BD8">
              <w:rPr>
                <w:spacing w:val="-2"/>
                <w:sz w:val="16"/>
              </w:rPr>
              <w:t>four</w:t>
            </w:r>
            <w:r w:rsidRPr="00EB2BD8">
              <w:rPr>
                <w:spacing w:val="-7"/>
                <w:sz w:val="16"/>
              </w:rPr>
              <w:t xml:space="preserve"> </w:t>
            </w:r>
            <w:r w:rsidRPr="00EB2BD8">
              <w:rPr>
                <w:spacing w:val="-2"/>
                <w:sz w:val="16"/>
              </w:rPr>
              <w:t>sites</w:t>
            </w:r>
            <w:r w:rsidRPr="00EB2BD8">
              <w:rPr>
                <w:spacing w:val="-7"/>
                <w:sz w:val="16"/>
              </w:rPr>
              <w:t xml:space="preserve"> </w:t>
            </w:r>
            <w:r w:rsidRPr="00EB2BD8">
              <w:rPr>
                <w:spacing w:val="-2"/>
                <w:sz w:val="16"/>
              </w:rPr>
              <w:t>between</w:t>
            </w:r>
          </w:p>
        </w:tc>
        <w:tc>
          <w:tcPr>
            <w:tcW w:w="2219" w:type="dxa"/>
          </w:tcPr>
          <w:p w14:paraId="0920D98F" w14:textId="77777777" w:rsidR="00084F36" w:rsidRPr="00EB2BD8" w:rsidRDefault="00084F36">
            <w:pPr>
              <w:pStyle w:val="TableParagraph"/>
              <w:rPr>
                <w:rFonts w:ascii="Times New Roman"/>
                <w:sz w:val="16"/>
              </w:rPr>
            </w:pPr>
          </w:p>
        </w:tc>
        <w:tc>
          <w:tcPr>
            <w:tcW w:w="1151" w:type="dxa"/>
          </w:tcPr>
          <w:p w14:paraId="4C46EF9B" w14:textId="77777777" w:rsidR="00084F36" w:rsidRPr="00EB2BD8" w:rsidRDefault="00084F36">
            <w:pPr>
              <w:pStyle w:val="TableParagraph"/>
              <w:rPr>
                <w:rFonts w:ascii="Times New Roman"/>
                <w:sz w:val="16"/>
              </w:rPr>
            </w:pPr>
          </w:p>
        </w:tc>
        <w:tc>
          <w:tcPr>
            <w:tcW w:w="1176" w:type="dxa"/>
          </w:tcPr>
          <w:p w14:paraId="5862F109" w14:textId="77777777" w:rsidR="00084F36" w:rsidRPr="00EB2BD8" w:rsidRDefault="00084F36">
            <w:pPr>
              <w:pStyle w:val="TableParagraph"/>
              <w:rPr>
                <w:rFonts w:ascii="Times New Roman"/>
                <w:sz w:val="16"/>
              </w:rPr>
            </w:pPr>
          </w:p>
        </w:tc>
      </w:tr>
      <w:tr w:rsidR="00EB2BD8" w:rsidRPr="00EB2BD8" w14:paraId="7D62B0A2" w14:textId="77777777">
        <w:trPr>
          <w:trHeight w:val="229"/>
        </w:trPr>
        <w:tc>
          <w:tcPr>
            <w:tcW w:w="1705" w:type="dxa"/>
          </w:tcPr>
          <w:p w14:paraId="4FCBB147" w14:textId="77777777" w:rsidR="00084F36" w:rsidRPr="00EB2BD8" w:rsidRDefault="00084F36">
            <w:pPr>
              <w:pStyle w:val="TableParagraph"/>
              <w:rPr>
                <w:rFonts w:ascii="Times New Roman"/>
                <w:sz w:val="16"/>
              </w:rPr>
            </w:pPr>
          </w:p>
        </w:tc>
        <w:tc>
          <w:tcPr>
            <w:tcW w:w="1464" w:type="dxa"/>
          </w:tcPr>
          <w:p w14:paraId="545CCA1B" w14:textId="77777777" w:rsidR="00084F36" w:rsidRPr="00EB2BD8" w:rsidRDefault="00084F36">
            <w:pPr>
              <w:pStyle w:val="TableParagraph"/>
              <w:rPr>
                <w:rFonts w:ascii="Times New Roman"/>
                <w:sz w:val="16"/>
              </w:rPr>
            </w:pPr>
          </w:p>
        </w:tc>
        <w:tc>
          <w:tcPr>
            <w:tcW w:w="2486" w:type="dxa"/>
          </w:tcPr>
          <w:p w14:paraId="06C25B6F" w14:textId="77777777" w:rsidR="00084F36" w:rsidRPr="00EB2BD8" w:rsidRDefault="00EB2BD8">
            <w:pPr>
              <w:pStyle w:val="TableParagraph"/>
              <w:spacing w:before="19"/>
              <w:ind w:left="334"/>
              <w:rPr>
                <w:sz w:val="16"/>
              </w:rPr>
            </w:pPr>
            <w:r w:rsidRPr="00EB2BD8">
              <w:rPr>
                <w:w w:val="85"/>
                <w:sz w:val="16"/>
              </w:rPr>
              <w:t>2015</w:t>
            </w:r>
            <w:r w:rsidRPr="00EB2BD8">
              <w:rPr>
                <w:spacing w:val="-2"/>
                <w:w w:val="85"/>
                <w:sz w:val="16"/>
              </w:rPr>
              <w:t xml:space="preserve"> </w:t>
            </w:r>
            <w:r w:rsidRPr="00EB2BD8">
              <w:rPr>
                <w:w w:val="85"/>
                <w:sz w:val="16"/>
              </w:rPr>
              <w:t>and</w:t>
            </w:r>
            <w:r w:rsidRPr="00EB2BD8">
              <w:rPr>
                <w:spacing w:val="-1"/>
                <w:w w:val="85"/>
                <w:sz w:val="16"/>
              </w:rPr>
              <w:t xml:space="preserve"> </w:t>
            </w:r>
            <w:r w:rsidRPr="00EB2BD8">
              <w:rPr>
                <w:w w:val="85"/>
                <w:sz w:val="16"/>
              </w:rPr>
              <w:t>2018,</w:t>
            </w:r>
            <w:r w:rsidRPr="00EB2BD8">
              <w:rPr>
                <w:spacing w:val="-1"/>
                <w:w w:val="85"/>
                <w:sz w:val="16"/>
              </w:rPr>
              <w:t xml:space="preserve"> </w:t>
            </w:r>
            <w:r w:rsidRPr="00EB2BD8">
              <w:rPr>
                <w:spacing w:val="-4"/>
                <w:w w:val="85"/>
                <w:sz w:val="16"/>
              </w:rPr>
              <w:t>being</w:t>
            </w:r>
          </w:p>
        </w:tc>
        <w:tc>
          <w:tcPr>
            <w:tcW w:w="2219" w:type="dxa"/>
          </w:tcPr>
          <w:p w14:paraId="693A5AD5" w14:textId="77777777" w:rsidR="00084F36" w:rsidRPr="00EB2BD8" w:rsidRDefault="00084F36">
            <w:pPr>
              <w:pStyle w:val="TableParagraph"/>
              <w:rPr>
                <w:rFonts w:ascii="Times New Roman"/>
                <w:sz w:val="16"/>
              </w:rPr>
            </w:pPr>
          </w:p>
        </w:tc>
        <w:tc>
          <w:tcPr>
            <w:tcW w:w="1151" w:type="dxa"/>
          </w:tcPr>
          <w:p w14:paraId="7EBB8F57" w14:textId="77777777" w:rsidR="00084F36" w:rsidRPr="00EB2BD8" w:rsidRDefault="00084F36">
            <w:pPr>
              <w:pStyle w:val="TableParagraph"/>
              <w:rPr>
                <w:rFonts w:ascii="Times New Roman"/>
                <w:sz w:val="16"/>
              </w:rPr>
            </w:pPr>
          </w:p>
        </w:tc>
        <w:tc>
          <w:tcPr>
            <w:tcW w:w="1176" w:type="dxa"/>
          </w:tcPr>
          <w:p w14:paraId="7C77075F" w14:textId="77777777" w:rsidR="00084F36" w:rsidRPr="00EB2BD8" w:rsidRDefault="00084F36">
            <w:pPr>
              <w:pStyle w:val="TableParagraph"/>
              <w:rPr>
                <w:rFonts w:ascii="Times New Roman"/>
                <w:sz w:val="16"/>
              </w:rPr>
            </w:pPr>
          </w:p>
        </w:tc>
      </w:tr>
      <w:tr w:rsidR="00EB2BD8" w:rsidRPr="00EB2BD8" w14:paraId="3DCAFF2A" w14:textId="77777777">
        <w:trPr>
          <w:trHeight w:val="229"/>
        </w:trPr>
        <w:tc>
          <w:tcPr>
            <w:tcW w:w="1705" w:type="dxa"/>
          </w:tcPr>
          <w:p w14:paraId="4E1F310F" w14:textId="77777777" w:rsidR="00084F36" w:rsidRPr="00EB2BD8" w:rsidRDefault="00084F36">
            <w:pPr>
              <w:pStyle w:val="TableParagraph"/>
              <w:rPr>
                <w:rFonts w:ascii="Times New Roman"/>
                <w:sz w:val="16"/>
              </w:rPr>
            </w:pPr>
          </w:p>
        </w:tc>
        <w:tc>
          <w:tcPr>
            <w:tcW w:w="1464" w:type="dxa"/>
          </w:tcPr>
          <w:p w14:paraId="1DA9F02E" w14:textId="77777777" w:rsidR="00084F36" w:rsidRPr="00EB2BD8" w:rsidRDefault="00084F36">
            <w:pPr>
              <w:pStyle w:val="TableParagraph"/>
              <w:rPr>
                <w:rFonts w:ascii="Times New Roman"/>
                <w:sz w:val="16"/>
              </w:rPr>
            </w:pPr>
          </w:p>
        </w:tc>
        <w:tc>
          <w:tcPr>
            <w:tcW w:w="2486" w:type="dxa"/>
          </w:tcPr>
          <w:p w14:paraId="1B6FE57C" w14:textId="77777777" w:rsidR="00084F36" w:rsidRPr="00EB2BD8" w:rsidRDefault="00EB2BD8">
            <w:pPr>
              <w:pStyle w:val="TableParagraph"/>
              <w:spacing w:before="19"/>
              <w:ind w:left="334"/>
              <w:rPr>
                <w:sz w:val="16"/>
              </w:rPr>
            </w:pPr>
            <w:r w:rsidRPr="00EB2BD8">
              <w:rPr>
                <w:sz w:val="16"/>
              </w:rPr>
              <w:t>negligent</w:t>
            </w:r>
            <w:r w:rsidRPr="00EB2BD8">
              <w:rPr>
                <w:spacing w:val="-12"/>
                <w:sz w:val="16"/>
              </w:rPr>
              <w:t xml:space="preserve"> </w:t>
            </w:r>
            <w:r w:rsidRPr="00EB2BD8">
              <w:rPr>
                <w:sz w:val="16"/>
              </w:rPr>
              <w:t>in</w:t>
            </w:r>
            <w:r w:rsidRPr="00EB2BD8">
              <w:rPr>
                <w:spacing w:val="-12"/>
                <w:sz w:val="16"/>
              </w:rPr>
              <w:t xml:space="preserve"> </w:t>
            </w:r>
            <w:r w:rsidRPr="00EB2BD8">
              <w:rPr>
                <w:sz w:val="16"/>
              </w:rPr>
              <w:t>a</w:t>
            </w:r>
            <w:r w:rsidRPr="00EB2BD8">
              <w:rPr>
                <w:spacing w:val="-12"/>
                <w:sz w:val="16"/>
              </w:rPr>
              <w:t xml:space="preserve"> </w:t>
            </w:r>
            <w:r w:rsidRPr="00EB2BD8">
              <w:rPr>
                <w:spacing w:val="-2"/>
                <w:sz w:val="16"/>
              </w:rPr>
              <w:t>particular</w:t>
            </w:r>
          </w:p>
        </w:tc>
        <w:tc>
          <w:tcPr>
            <w:tcW w:w="2219" w:type="dxa"/>
          </w:tcPr>
          <w:p w14:paraId="2EC3988B" w14:textId="77777777" w:rsidR="00084F36" w:rsidRPr="00EB2BD8" w:rsidRDefault="00084F36">
            <w:pPr>
              <w:pStyle w:val="TableParagraph"/>
              <w:rPr>
                <w:rFonts w:ascii="Times New Roman"/>
                <w:sz w:val="16"/>
              </w:rPr>
            </w:pPr>
          </w:p>
        </w:tc>
        <w:tc>
          <w:tcPr>
            <w:tcW w:w="1151" w:type="dxa"/>
          </w:tcPr>
          <w:p w14:paraId="20BFE5D0" w14:textId="77777777" w:rsidR="00084F36" w:rsidRPr="00EB2BD8" w:rsidRDefault="00084F36">
            <w:pPr>
              <w:pStyle w:val="TableParagraph"/>
              <w:rPr>
                <w:rFonts w:ascii="Times New Roman"/>
                <w:sz w:val="16"/>
              </w:rPr>
            </w:pPr>
          </w:p>
        </w:tc>
        <w:tc>
          <w:tcPr>
            <w:tcW w:w="1176" w:type="dxa"/>
          </w:tcPr>
          <w:p w14:paraId="7CE023D1" w14:textId="77777777" w:rsidR="00084F36" w:rsidRPr="00EB2BD8" w:rsidRDefault="00084F36">
            <w:pPr>
              <w:pStyle w:val="TableParagraph"/>
              <w:rPr>
                <w:rFonts w:ascii="Times New Roman"/>
                <w:sz w:val="16"/>
              </w:rPr>
            </w:pPr>
          </w:p>
        </w:tc>
      </w:tr>
      <w:tr w:rsidR="00EB2BD8" w:rsidRPr="00EB2BD8" w14:paraId="63EDC5A6" w14:textId="77777777">
        <w:trPr>
          <w:trHeight w:val="229"/>
        </w:trPr>
        <w:tc>
          <w:tcPr>
            <w:tcW w:w="1705" w:type="dxa"/>
          </w:tcPr>
          <w:p w14:paraId="2FABBA03" w14:textId="77777777" w:rsidR="00084F36" w:rsidRPr="00EB2BD8" w:rsidRDefault="00084F36">
            <w:pPr>
              <w:pStyle w:val="TableParagraph"/>
              <w:rPr>
                <w:rFonts w:ascii="Times New Roman"/>
                <w:sz w:val="16"/>
              </w:rPr>
            </w:pPr>
          </w:p>
        </w:tc>
        <w:tc>
          <w:tcPr>
            <w:tcW w:w="1464" w:type="dxa"/>
          </w:tcPr>
          <w:p w14:paraId="6A0BD111" w14:textId="77777777" w:rsidR="00084F36" w:rsidRPr="00EB2BD8" w:rsidRDefault="00084F36">
            <w:pPr>
              <w:pStyle w:val="TableParagraph"/>
              <w:rPr>
                <w:rFonts w:ascii="Times New Roman"/>
                <w:sz w:val="16"/>
              </w:rPr>
            </w:pPr>
          </w:p>
        </w:tc>
        <w:tc>
          <w:tcPr>
            <w:tcW w:w="2486" w:type="dxa"/>
          </w:tcPr>
          <w:p w14:paraId="62605A0E" w14:textId="77777777" w:rsidR="00084F36" w:rsidRPr="00EB2BD8" w:rsidRDefault="00EB2BD8">
            <w:pPr>
              <w:pStyle w:val="TableParagraph"/>
              <w:spacing w:before="19"/>
              <w:ind w:left="334"/>
              <w:rPr>
                <w:sz w:val="16"/>
              </w:rPr>
            </w:pPr>
            <w:r w:rsidRPr="00EB2BD8">
              <w:rPr>
                <w:sz w:val="16"/>
              </w:rPr>
              <w:t>manner</w:t>
            </w:r>
            <w:r w:rsidRPr="00EB2BD8">
              <w:rPr>
                <w:spacing w:val="-7"/>
                <w:sz w:val="16"/>
              </w:rPr>
              <w:t xml:space="preserve"> </w:t>
            </w:r>
            <w:r w:rsidRPr="00EB2BD8">
              <w:rPr>
                <w:sz w:val="16"/>
              </w:rPr>
              <w:t>at</w:t>
            </w:r>
            <w:r w:rsidRPr="00EB2BD8">
              <w:rPr>
                <w:spacing w:val="-6"/>
                <w:sz w:val="16"/>
              </w:rPr>
              <w:t xml:space="preserve"> </w:t>
            </w:r>
            <w:r w:rsidRPr="00EB2BD8">
              <w:rPr>
                <w:sz w:val="16"/>
              </w:rPr>
              <w:t>one</w:t>
            </w:r>
            <w:r w:rsidRPr="00EB2BD8">
              <w:rPr>
                <w:spacing w:val="-6"/>
                <w:sz w:val="16"/>
              </w:rPr>
              <w:t xml:space="preserve"> </w:t>
            </w:r>
            <w:r w:rsidRPr="00EB2BD8">
              <w:rPr>
                <w:sz w:val="16"/>
              </w:rPr>
              <w:t>of</w:t>
            </w:r>
            <w:r w:rsidRPr="00EB2BD8">
              <w:rPr>
                <w:spacing w:val="-7"/>
                <w:sz w:val="16"/>
              </w:rPr>
              <w:t xml:space="preserve"> </w:t>
            </w:r>
            <w:r w:rsidRPr="00EB2BD8">
              <w:rPr>
                <w:spacing w:val="-5"/>
                <w:sz w:val="16"/>
              </w:rPr>
              <w:t>the</w:t>
            </w:r>
          </w:p>
        </w:tc>
        <w:tc>
          <w:tcPr>
            <w:tcW w:w="2219" w:type="dxa"/>
          </w:tcPr>
          <w:p w14:paraId="256BC5F8" w14:textId="77777777" w:rsidR="00084F36" w:rsidRPr="00EB2BD8" w:rsidRDefault="00084F36">
            <w:pPr>
              <w:pStyle w:val="TableParagraph"/>
              <w:rPr>
                <w:rFonts w:ascii="Times New Roman"/>
                <w:sz w:val="16"/>
              </w:rPr>
            </w:pPr>
          </w:p>
        </w:tc>
        <w:tc>
          <w:tcPr>
            <w:tcW w:w="1151" w:type="dxa"/>
          </w:tcPr>
          <w:p w14:paraId="329690BD" w14:textId="77777777" w:rsidR="00084F36" w:rsidRPr="00EB2BD8" w:rsidRDefault="00084F36">
            <w:pPr>
              <w:pStyle w:val="TableParagraph"/>
              <w:rPr>
                <w:rFonts w:ascii="Times New Roman"/>
                <w:sz w:val="16"/>
              </w:rPr>
            </w:pPr>
          </w:p>
        </w:tc>
        <w:tc>
          <w:tcPr>
            <w:tcW w:w="1176" w:type="dxa"/>
          </w:tcPr>
          <w:p w14:paraId="553B6DBD" w14:textId="77777777" w:rsidR="00084F36" w:rsidRPr="00EB2BD8" w:rsidRDefault="00084F36">
            <w:pPr>
              <w:pStyle w:val="TableParagraph"/>
              <w:rPr>
                <w:rFonts w:ascii="Times New Roman"/>
                <w:sz w:val="16"/>
              </w:rPr>
            </w:pPr>
          </w:p>
        </w:tc>
      </w:tr>
      <w:tr w:rsidR="00EB2BD8" w:rsidRPr="00EB2BD8" w14:paraId="42833AC1" w14:textId="77777777">
        <w:trPr>
          <w:trHeight w:val="229"/>
        </w:trPr>
        <w:tc>
          <w:tcPr>
            <w:tcW w:w="1705" w:type="dxa"/>
          </w:tcPr>
          <w:p w14:paraId="33C450EA" w14:textId="77777777" w:rsidR="00084F36" w:rsidRPr="00EB2BD8" w:rsidRDefault="00084F36">
            <w:pPr>
              <w:pStyle w:val="TableParagraph"/>
              <w:rPr>
                <w:rFonts w:ascii="Times New Roman"/>
                <w:sz w:val="16"/>
              </w:rPr>
            </w:pPr>
          </w:p>
        </w:tc>
        <w:tc>
          <w:tcPr>
            <w:tcW w:w="1464" w:type="dxa"/>
          </w:tcPr>
          <w:p w14:paraId="0D60F229" w14:textId="77777777" w:rsidR="00084F36" w:rsidRPr="00EB2BD8" w:rsidRDefault="00084F36">
            <w:pPr>
              <w:pStyle w:val="TableParagraph"/>
              <w:rPr>
                <w:rFonts w:ascii="Times New Roman"/>
                <w:sz w:val="16"/>
              </w:rPr>
            </w:pPr>
          </w:p>
        </w:tc>
        <w:tc>
          <w:tcPr>
            <w:tcW w:w="2486" w:type="dxa"/>
          </w:tcPr>
          <w:p w14:paraId="5B36B781" w14:textId="77777777" w:rsidR="00084F36" w:rsidRPr="00EB2BD8" w:rsidRDefault="00EB2BD8">
            <w:pPr>
              <w:pStyle w:val="TableParagraph"/>
              <w:spacing w:before="19"/>
              <w:ind w:left="334"/>
              <w:rPr>
                <w:sz w:val="16"/>
              </w:rPr>
            </w:pPr>
            <w:r w:rsidRPr="00EB2BD8">
              <w:rPr>
                <w:sz w:val="16"/>
              </w:rPr>
              <w:t>sites</w:t>
            </w:r>
            <w:r w:rsidRPr="00EB2BD8">
              <w:rPr>
                <w:spacing w:val="-6"/>
                <w:sz w:val="16"/>
              </w:rPr>
              <w:t xml:space="preserve"> </w:t>
            </w:r>
            <w:r w:rsidRPr="00EB2BD8">
              <w:rPr>
                <w:sz w:val="16"/>
              </w:rPr>
              <w:t>and</w:t>
            </w:r>
            <w:r w:rsidRPr="00EB2BD8">
              <w:rPr>
                <w:spacing w:val="-5"/>
                <w:sz w:val="16"/>
              </w:rPr>
              <w:t xml:space="preserve"> </w:t>
            </w:r>
            <w:r w:rsidRPr="00EB2BD8">
              <w:rPr>
                <w:sz w:val="16"/>
              </w:rPr>
              <w:t>engaging</w:t>
            </w:r>
            <w:r w:rsidRPr="00EB2BD8">
              <w:rPr>
                <w:spacing w:val="-5"/>
                <w:sz w:val="16"/>
              </w:rPr>
              <w:t xml:space="preserve"> in</w:t>
            </w:r>
          </w:p>
        </w:tc>
        <w:tc>
          <w:tcPr>
            <w:tcW w:w="2219" w:type="dxa"/>
          </w:tcPr>
          <w:p w14:paraId="5D2ABAEF" w14:textId="77777777" w:rsidR="00084F36" w:rsidRPr="00EB2BD8" w:rsidRDefault="00084F36">
            <w:pPr>
              <w:pStyle w:val="TableParagraph"/>
              <w:rPr>
                <w:rFonts w:ascii="Times New Roman"/>
                <w:sz w:val="16"/>
              </w:rPr>
            </w:pPr>
          </w:p>
        </w:tc>
        <w:tc>
          <w:tcPr>
            <w:tcW w:w="1151" w:type="dxa"/>
          </w:tcPr>
          <w:p w14:paraId="4B525251" w14:textId="77777777" w:rsidR="00084F36" w:rsidRPr="00EB2BD8" w:rsidRDefault="00084F36">
            <w:pPr>
              <w:pStyle w:val="TableParagraph"/>
              <w:rPr>
                <w:rFonts w:ascii="Times New Roman"/>
                <w:sz w:val="16"/>
              </w:rPr>
            </w:pPr>
          </w:p>
        </w:tc>
        <w:tc>
          <w:tcPr>
            <w:tcW w:w="1176" w:type="dxa"/>
          </w:tcPr>
          <w:p w14:paraId="302CD20E" w14:textId="77777777" w:rsidR="00084F36" w:rsidRPr="00EB2BD8" w:rsidRDefault="00084F36">
            <w:pPr>
              <w:pStyle w:val="TableParagraph"/>
              <w:rPr>
                <w:rFonts w:ascii="Times New Roman"/>
                <w:sz w:val="16"/>
              </w:rPr>
            </w:pPr>
          </w:p>
        </w:tc>
      </w:tr>
      <w:tr w:rsidR="00EB2BD8" w:rsidRPr="00EB2BD8" w14:paraId="393AB914" w14:textId="77777777">
        <w:trPr>
          <w:trHeight w:val="229"/>
        </w:trPr>
        <w:tc>
          <w:tcPr>
            <w:tcW w:w="1705" w:type="dxa"/>
          </w:tcPr>
          <w:p w14:paraId="3F71C585" w14:textId="77777777" w:rsidR="00084F36" w:rsidRPr="00EB2BD8" w:rsidRDefault="00084F36">
            <w:pPr>
              <w:pStyle w:val="TableParagraph"/>
              <w:rPr>
                <w:rFonts w:ascii="Times New Roman"/>
                <w:sz w:val="16"/>
              </w:rPr>
            </w:pPr>
          </w:p>
        </w:tc>
        <w:tc>
          <w:tcPr>
            <w:tcW w:w="1464" w:type="dxa"/>
          </w:tcPr>
          <w:p w14:paraId="0AB35D21" w14:textId="77777777" w:rsidR="00084F36" w:rsidRPr="00EB2BD8" w:rsidRDefault="00084F36">
            <w:pPr>
              <w:pStyle w:val="TableParagraph"/>
              <w:rPr>
                <w:rFonts w:ascii="Times New Roman"/>
                <w:sz w:val="16"/>
              </w:rPr>
            </w:pPr>
          </w:p>
        </w:tc>
        <w:tc>
          <w:tcPr>
            <w:tcW w:w="2486" w:type="dxa"/>
          </w:tcPr>
          <w:p w14:paraId="1E087E5A" w14:textId="77777777" w:rsidR="00084F36" w:rsidRPr="00EB2BD8" w:rsidRDefault="00EB2BD8">
            <w:pPr>
              <w:pStyle w:val="TableParagraph"/>
              <w:spacing w:before="19"/>
              <w:ind w:left="334"/>
              <w:rPr>
                <w:sz w:val="16"/>
              </w:rPr>
            </w:pPr>
            <w:r w:rsidRPr="00EB2BD8">
              <w:rPr>
                <w:spacing w:val="-2"/>
                <w:sz w:val="16"/>
              </w:rPr>
              <w:t>unprofessional</w:t>
            </w:r>
            <w:r w:rsidRPr="00EB2BD8">
              <w:rPr>
                <w:spacing w:val="6"/>
                <w:sz w:val="16"/>
              </w:rPr>
              <w:t xml:space="preserve"> </w:t>
            </w:r>
            <w:r w:rsidRPr="00EB2BD8">
              <w:rPr>
                <w:spacing w:val="-2"/>
                <w:sz w:val="16"/>
              </w:rPr>
              <w:t>conduct</w:t>
            </w:r>
            <w:r w:rsidRPr="00EB2BD8">
              <w:rPr>
                <w:spacing w:val="6"/>
                <w:sz w:val="16"/>
              </w:rPr>
              <w:t xml:space="preserve"> </w:t>
            </w:r>
            <w:r w:rsidRPr="00EB2BD8">
              <w:rPr>
                <w:spacing w:val="-5"/>
                <w:sz w:val="16"/>
              </w:rPr>
              <w:t>at</w:t>
            </w:r>
          </w:p>
        </w:tc>
        <w:tc>
          <w:tcPr>
            <w:tcW w:w="2219" w:type="dxa"/>
          </w:tcPr>
          <w:p w14:paraId="46E4017C" w14:textId="77777777" w:rsidR="00084F36" w:rsidRPr="00EB2BD8" w:rsidRDefault="00084F36">
            <w:pPr>
              <w:pStyle w:val="TableParagraph"/>
              <w:rPr>
                <w:rFonts w:ascii="Times New Roman"/>
                <w:sz w:val="16"/>
              </w:rPr>
            </w:pPr>
          </w:p>
        </w:tc>
        <w:tc>
          <w:tcPr>
            <w:tcW w:w="1151" w:type="dxa"/>
          </w:tcPr>
          <w:p w14:paraId="3419D421" w14:textId="77777777" w:rsidR="00084F36" w:rsidRPr="00EB2BD8" w:rsidRDefault="00084F36">
            <w:pPr>
              <w:pStyle w:val="TableParagraph"/>
              <w:rPr>
                <w:rFonts w:ascii="Times New Roman"/>
                <w:sz w:val="16"/>
              </w:rPr>
            </w:pPr>
          </w:p>
        </w:tc>
        <w:tc>
          <w:tcPr>
            <w:tcW w:w="1176" w:type="dxa"/>
          </w:tcPr>
          <w:p w14:paraId="5DEBC6E9" w14:textId="77777777" w:rsidR="00084F36" w:rsidRPr="00EB2BD8" w:rsidRDefault="00084F36">
            <w:pPr>
              <w:pStyle w:val="TableParagraph"/>
              <w:rPr>
                <w:rFonts w:ascii="Times New Roman"/>
                <w:sz w:val="16"/>
              </w:rPr>
            </w:pPr>
          </w:p>
        </w:tc>
      </w:tr>
      <w:tr w:rsidR="00EB2BD8" w:rsidRPr="00EB2BD8" w14:paraId="103E468E" w14:textId="77777777">
        <w:trPr>
          <w:trHeight w:val="287"/>
        </w:trPr>
        <w:tc>
          <w:tcPr>
            <w:tcW w:w="1705" w:type="dxa"/>
            <w:tcBorders>
              <w:bottom w:val="single" w:sz="2" w:space="0" w:color="000000"/>
            </w:tcBorders>
          </w:tcPr>
          <w:p w14:paraId="1CDB0557"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1968A29D" w14:textId="77777777" w:rsidR="00084F36" w:rsidRPr="00EB2BD8" w:rsidRDefault="00084F36">
            <w:pPr>
              <w:pStyle w:val="TableParagraph"/>
              <w:rPr>
                <w:rFonts w:ascii="Times New Roman"/>
                <w:sz w:val="16"/>
              </w:rPr>
            </w:pPr>
          </w:p>
        </w:tc>
        <w:tc>
          <w:tcPr>
            <w:tcW w:w="2486" w:type="dxa"/>
            <w:tcBorders>
              <w:bottom w:val="single" w:sz="2" w:space="0" w:color="000000"/>
            </w:tcBorders>
          </w:tcPr>
          <w:p w14:paraId="5E3329DD" w14:textId="77777777" w:rsidR="00084F36" w:rsidRPr="00EB2BD8" w:rsidRDefault="00EB2BD8">
            <w:pPr>
              <w:pStyle w:val="TableParagraph"/>
              <w:spacing w:before="19"/>
              <w:ind w:left="334"/>
              <w:rPr>
                <w:sz w:val="16"/>
              </w:rPr>
            </w:pPr>
            <w:r w:rsidRPr="00EB2BD8">
              <w:rPr>
                <w:spacing w:val="-2"/>
                <w:sz w:val="16"/>
              </w:rPr>
              <w:t>two</w:t>
            </w:r>
            <w:r w:rsidRPr="00EB2BD8">
              <w:rPr>
                <w:spacing w:val="-11"/>
                <w:sz w:val="16"/>
              </w:rPr>
              <w:t xml:space="preserve"> </w:t>
            </w:r>
            <w:r w:rsidRPr="00EB2BD8">
              <w:rPr>
                <w:spacing w:val="-2"/>
                <w:sz w:val="16"/>
              </w:rPr>
              <w:t>of</w:t>
            </w:r>
            <w:r w:rsidRPr="00EB2BD8">
              <w:rPr>
                <w:spacing w:val="-10"/>
                <w:sz w:val="16"/>
              </w:rPr>
              <w:t xml:space="preserve"> </w:t>
            </w:r>
            <w:r w:rsidRPr="00EB2BD8">
              <w:rPr>
                <w:spacing w:val="-2"/>
                <w:sz w:val="16"/>
              </w:rPr>
              <w:t>the</w:t>
            </w:r>
            <w:r w:rsidRPr="00EB2BD8">
              <w:rPr>
                <w:spacing w:val="-10"/>
                <w:sz w:val="16"/>
              </w:rPr>
              <w:t xml:space="preserve"> </w:t>
            </w:r>
            <w:r w:rsidRPr="00EB2BD8">
              <w:rPr>
                <w:spacing w:val="-2"/>
                <w:sz w:val="16"/>
              </w:rPr>
              <w:t>sites.</w:t>
            </w:r>
          </w:p>
        </w:tc>
        <w:tc>
          <w:tcPr>
            <w:tcW w:w="2219" w:type="dxa"/>
            <w:tcBorders>
              <w:bottom w:val="single" w:sz="2" w:space="0" w:color="000000"/>
            </w:tcBorders>
          </w:tcPr>
          <w:p w14:paraId="6BD9F267" w14:textId="77777777" w:rsidR="00084F36" w:rsidRPr="00EB2BD8" w:rsidRDefault="00084F36">
            <w:pPr>
              <w:pStyle w:val="TableParagraph"/>
              <w:rPr>
                <w:rFonts w:ascii="Times New Roman"/>
                <w:sz w:val="16"/>
              </w:rPr>
            </w:pPr>
          </w:p>
        </w:tc>
        <w:tc>
          <w:tcPr>
            <w:tcW w:w="1151" w:type="dxa"/>
            <w:tcBorders>
              <w:bottom w:val="single" w:sz="2" w:space="0" w:color="000000"/>
            </w:tcBorders>
          </w:tcPr>
          <w:p w14:paraId="23354192"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4D214419" w14:textId="77777777" w:rsidR="00084F36" w:rsidRPr="00EB2BD8" w:rsidRDefault="00084F36">
            <w:pPr>
              <w:pStyle w:val="TableParagraph"/>
              <w:rPr>
                <w:rFonts w:ascii="Times New Roman"/>
                <w:sz w:val="16"/>
              </w:rPr>
            </w:pPr>
          </w:p>
        </w:tc>
      </w:tr>
      <w:tr w:rsidR="00EB2BD8" w:rsidRPr="00EB2BD8" w14:paraId="41E6F63F" w14:textId="77777777">
        <w:trPr>
          <w:trHeight w:val="324"/>
        </w:trPr>
        <w:tc>
          <w:tcPr>
            <w:tcW w:w="1705" w:type="dxa"/>
            <w:tcBorders>
              <w:top w:val="single" w:sz="2" w:space="0" w:color="000000"/>
            </w:tcBorders>
          </w:tcPr>
          <w:p w14:paraId="40257666" w14:textId="77777777" w:rsidR="00084F36" w:rsidRPr="00EB2BD8" w:rsidRDefault="00EB2BD8">
            <w:pPr>
              <w:pStyle w:val="TableParagraph"/>
              <w:spacing w:before="113"/>
              <w:ind w:left="113"/>
              <w:rPr>
                <w:sz w:val="16"/>
              </w:rPr>
            </w:pPr>
            <w:r w:rsidRPr="00EB2BD8">
              <w:rPr>
                <w:spacing w:val="-11"/>
                <w:sz w:val="16"/>
              </w:rPr>
              <w:t>RIFAT,</w:t>
            </w:r>
            <w:r w:rsidRPr="00EB2BD8">
              <w:rPr>
                <w:spacing w:val="-4"/>
                <w:sz w:val="16"/>
              </w:rPr>
              <w:t xml:space="preserve"> Musa</w:t>
            </w:r>
          </w:p>
        </w:tc>
        <w:tc>
          <w:tcPr>
            <w:tcW w:w="1464" w:type="dxa"/>
            <w:tcBorders>
              <w:top w:val="single" w:sz="2" w:space="0" w:color="000000"/>
            </w:tcBorders>
          </w:tcPr>
          <w:p w14:paraId="783C0576" w14:textId="77777777" w:rsidR="00084F36" w:rsidRPr="00EB2BD8" w:rsidRDefault="00EB2BD8">
            <w:pPr>
              <w:pStyle w:val="TableParagraph"/>
              <w:spacing w:before="113"/>
              <w:ind w:left="165"/>
              <w:rPr>
                <w:sz w:val="16"/>
              </w:rPr>
            </w:pPr>
            <w:r w:rsidRPr="00EB2BD8">
              <w:rPr>
                <w:w w:val="105"/>
                <w:sz w:val="16"/>
              </w:rPr>
              <w:t>CB-L</w:t>
            </w:r>
            <w:r w:rsidRPr="00EB2BD8">
              <w:rPr>
                <w:spacing w:val="13"/>
                <w:w w:val="105"/>
                <w:sz w:val="16"/>
              </w:rPr>
              <w:t xml:space="preserve"> </w:t>
            </w:r>
            <w:r w:rsidRPr="00EB2BD8">
              <w:rPr>
                <w:spacing w:val="-2"/>
                <w:w w:val="105"/>
                <w:sz w:val="16"/>
              </w:rPr>
              <w:t>66837</w:t>
            </w:r>
          </w:p>
        </w:tc>
        <w:tc>
          <w:tcPr>
            <w:tcW w:w="2486" w:type="dxa"/>
            <w:tcBorders>
              <w:top w:val="single" w:sz="2" w:space="0" w:color="000000"/>
            </w:tcBorders>
          </w:tcPr>
          <w:p w14:paraId="31AA7AFA" w14:textId="77777777" w:rsidR="00084F36" w:rsidRPr="00EB2BD8" w:rsidRDefault="00EB2BD8">
            <w:pPr>
              <w:pStyle w:val="TableParagraph"/>
              <w:spacing w:before="113"/>
              <w:ind w:left="334"/>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19" w:type="dxa"/>
            <w:tcBorders>
              <w:top w:val="single" w:sz="2" w:space="0" w:color="000000"/>
            </w:tcBorders>
          </w:tcPr>
          <w:p w14:paraId="743C8D14" w14:textId="77777777" w:rsidR="00084F36" w:rsidRPr="00EB2BD8" w:rsidRDefault="00EB2BD8">
            <w:pPr>
              <w:pStyle w:val="TableParagraph"/>
              <w:spacing w:before="113"/>
              <w:ind w:left="127"/>
              <w:rPr>
                <w:sz w:val="16"/>
              </w:rPr>
            </w:pPr>
            <w:r w:rsidRPr="00EB2BD8">
              <w:rPr>
                <w:spacing w:val="-2"/>
                <w:sz w:val="16"/>
              </w:rPr>
              <w:t>Reprimand,</w:t>
            </w:r>
            <w:r w:rsidRPr="00EB2BD8">
              <w:rPr>
                <w:spacing w:val="2"/>
                <w:sz w:val="16"/>
              </w:rPr>
              <w:t xml:space="preserve"> </w:t>
            </w:r>
            <w:r w:rsidRPr="00EB2BD8">
              <w:rPr>
                <w:spacing w:val="-2"/>
                <w:sz w:val="16"/>
              </w:rPr>
              <w:t>registration</w:t>
            </w:r>
          </w:p>
        </w:tc>
        <w:tc>
          <w:tcPr>
            <w:tcW w:w="1151" w:type="dxa"/>
            <w:tcBorders>
              <w:top w:val="single" w:sz="2" w:space="0" w:color="000000"/>
            </w:tcBorders>
          </w:tcPr>
          <w:p w14:paraId="51FD2450" w14:textId="77777777" w:rsidR="00084F36" w:rsidRPr="00EB2BD8" w:rsidRDefault="00EB2BD8">
            <w:pPr>
              <w:pStyle w:val="TableParagraph"/>
              <w:spacing w:before="113"/>
              <w:ind w:right="110"/>
              <w:jc w:val="right"/>
              <w:rPr>
                <w:sz w:val="16"/>
              </w:rPr>
            </w:pPr>
            <w:r w:rsidRPr="00EB2BD8">
              <w:rPr>
                <w:w w:val="124"/>
                <w:sz w:val="16"/>
              </w:rPr>
              <w:t>–</w:t>
            </w:r>
          </w:p>
        </w:tc>
        <w:tc>
          <w:tcPr>
            <w:tcW w:w="1176" w:type="dxa"/>
            <w:tcBorders>
              <w:top w:val="single" w:sz="2" w:space="0" w:color="000000"/>
            </w:tcBorders>
          </w:tcPr>
          <w:p w14:paraId="7766E833" w14:textId="77777777" w:rsidR="00084F36" w:rsidRPr="00EB2BD8" w:rsidRDefault="00EB2BD8">
            <w:pPr>
              <w:pStyle w:val="TableParagraph"/>
              <w:spacing w:before="113"/>
              <w:ind w:left="113"/>
              <w:rPr>
                <w:sz w:val="16"/>
              </w:rPr>
            </w:pPr>
            <w:r w:rsidRPr="00EB2BD8">
              <w:rPr>
                <w:spacing w:val="-2"/>
                <w:w w:val="95"/>
                <w:sz w:val="16"/>
              </w:rPr>
              <w:t>18/05/2023</w:t>
            </w:r>
          </w:p>
        </w:tc>
      </w:tr>
      <w:tr w:rsidR="00EB2BD8" w:rsidRPr="00EB2BD8" w14:paraId="085F974B" w14:textId="77777777">
        <w:trPr>
          <w:trHeight w:val="229"/>
        </w:trPr>
        <w:tc>
          <w:tcPr>
            <w:tcW w:w="1705" w:type="dxa"/>
          </w:tcPr>
          <w:p w14:paraId="5481A354" w14:textId="77777777" w:rsidR="00084F36" w:rsidRPr="00EB2BD8" w:rsidRDefault="00084F36">
            <w:pPr>
              <w:pStyle w:val="TableParagraph"/>
              <w:rPr>
                <w:rFonts w:ascii="Times New Roman"/>
                <w:sz w:val="16"/>
              </w:rPr>
            </w:pPr>
          </w:p>
        </w:tc>
        <w:tc>
          <w:tcPr>
            <w:tcW w:w="1464" w:type="dxa"/>
          </w:tcPr>
          <w:p w14:paraId="0C63C28F" w14:textId="77777777" w:rsidR="00084F36" w:rsidRPr="00EB2BD8" w:rsidRDefault="00084F36">
            <w:pPr>
              <w:pStyle w:val="TableParagraph"/>
              <w:rPr>
                <w:rFonts w:ascii="Times New Roman"/>
                <w:sz w:val="16"/>
              </w:rPr>
            </w:pPr>
          </w:p>
        </w:tc>
        <w:tc>
          <w:tcPr>
            <w:tcW w:w="2486" w:type="dxa"/>
          </w:tcPr>
          <w:p w14:paraId="6A2B90C8" w14:textId="77777777" w:rsidR="00084F36" w:rsidRPr="00EB2BD8" w:rsidRDefault="00EB2BD8">
            <w:pPr>
              <w:pStyle w:val="TableParagraph"/>
              <w:spacing w:before="19"/>
              <w:ind w:left="334"/>
              <w:rPr>
                <w:sz w:val="16"/>
              </w:rPr>
            </w:pPr>
            <w:r w:rsidRPr="00EB2BD8">
              <w:rPr>
                <w:sz w:val="16"/>
              </w:rPr>
              <w:t xml:space="preserve">company under </w:t>
            </w:r>
            <w:r w:rsidRPr="00EB2BD8">
              <w:rPr>
                <w:spacing w:val="-2"/>
                <w:sz w:val="16"/>
              </w:rPr>
              <w:t>external</w:t>
            </w:r>
          </w:p>
        </w:tc>
        <w:tc>
          <w:tcPr>
            <w:tcW w:w="2219" w:type="dxa"/>
          </w:tcPr>
          <w:p w14:paraId="245E48A3" w14:textId="77777777" w:rsidR="00084F36" w:rsidRPr="00EB2BD8" w:rsidRDefault="00EB2BD8">
            <w:pPr>
              <w:pStyle w:val="TableParagraph"/>
              <w:spacing w:before="19"/>
              <w:ind w:left="127"/>
              <w:rPr>
                <w:sz w:val="16"/>
              </w:rPr>
            </w:pPr>
            <w:r w:rsidRPr="00EB2BD8">
              <w:rPr>
                <w:spacing w:val="-2"/>
                <w:sz w:val="16"/>
              </w:rPr>
              <w:t>condition</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disclose</w:t>
            </w:r>
          </w:p>
        </w:tc>
        <w:tc>
          <w:tcPr>
            <w:tcW w:w="1151" w:type="dxa"/>
          </w:tcPr>
          <w:p w14:paraId="501551FB" w14:textId="77777777" w:rsidR="00084F36" w:rsidRPr="00EB2BD8" w:rsidRDefault="00084F36">
            <w:pPr>
              <w:pStyle w:val="TableParagraph"/>
              <w:rPr>
                <w:rFonts w:ascii="Times New Roman"/>
                <w:sz w:val="16"/>
              </w:rPr>
            </w:pPr>
          </w:p>
        </w:tc>
        <w:tc>
          <w:tcPr>
            <w:tcW w:w="1176" w:type="dxa"/>
          </w:tcPr>
          <w:p w14:paraId="5CF6EFEF" w14:textId="77777777" w:rsidR="00084F36" w:rsidRPr="00EB2BD8" w:rsidRDefault="00084F36">
            <w:pPr>
              <w:pStyle w:val="TableParagraph"/>
              <w:rPr>
                <w:rFonts w:ascii="Times New Roman"/>
                <w:sz w:val="16"/>
              </w:rPr>
            </w:pPr>
          </w:p>
        </w:tc>
      </w:tr>
      <w:tr w:rsidR="00EB2BD8" w:rsidRPr="00EB2BD8" w14:paraId="577DF60D" w14:textId="77777777">
        <w:trPr>
          <w:trHeight w:val="229"/>
        </w:trPr>
        <w:tc>
          <w:tcPr>
            <w:tcW w:w="1705" w:type="dxa"/>
          </w:tcPr>
          <w:p w14:paraId="563BC833" w14:textId="77777777" w:rsidR="00084F36" w:rsidRPr="00EB2BD8" w:rsidRDefault="00084F36">
            <w:pPr>
              <w:pStyle w:val="TableParagraph"/>
              <w:rPr>
                <w:rFonts w:ascii="Times New Roman"/>
                <w:sz w:val="16"/>
              </w:rPr>
            </w:pPr>
          </w:p>
        </w:tc>
        <w:tc>
          <w:tcPr>
            <w:tcW w:w="1464" w:type="dxa"/>
          </w:tcPr>
          <w:p w14:paraId="4E7C2FF5" w14:textId="77777777" w:rsidR="00084F36" w:rsidRPr="00EB2BD8" w:rsidRDefault="00084F36">
            <w:pPr>
              <w:pStyle w:val="TableParagraph"/>
              <w:rPr>
                <w:rFonts w:ascii="Times New Roman"/>
                <w:sz w:val="16"/>
              </w:rPr>
            </w:pPr>
          </w:p>
        </w:tc>
        <w:tc>
          <w:tcPr>
            <w:tcW w:w="2486" w:type="dxa"/>
          </w:tcPr>
          <w:p w14:paraId="0D48A545" w14:textId="77777777" w:rsidR="00084F36" w:rsidRPr="00EB2BD8" w:rsidRDefault="00EB2BD8">
            <w:pPr>
              <w:pStyle w:val="TableParagraph"/>
              <w:spacing w:before="19"/>
              <w:ind w:left="334"/>
              <w:rPr>
                <w:sz w:val="16"/>
              </w:rPr>
            </w:pPr>
            <w:r w:rsidRPr="00EB2BD8">
              <w:rPr>
                <w:spacing w:val="-2"/>
                <w:sz w:val="16"/>
              </w:rPr>
              <w:t>administration.</w:t>
            </w:r>
          </w:p>
        </w:tc>
        <w:tc>
          <w:tcPr>
            <w:tcW w:w="2219" w:type="dxa"/>
          </w:tcPr>
          <w:p w14:paraId="36F904AF" w14:textId="77777777" w:rsidR="00084F36" w:rsidRPr="00EB2BD8" w:rsidRDefault="00EB2BD8">
            <w:pPr>
              <w:pStyle w:val="TableParagraph"/>
              <w:spacing w:before="19"/>
              <w:ind w:left="127"/>
              <w:rPr>
                <w:sz w:val="16"/>
              </w:rPr>
            </w:pPr>
            <w:r w:rsidRPr="00EB2BD8">
              <w:rPr>
                <w:spacing w:val="-2"/>
                <w:sz w:val="16"/>
              </w:rPr>
              <w:t>external administration,</w:t>
            </w:r>
          </w:p>
        </w:tc>
        <w:tc>
          <w:tcPr>
            <w:tcW w:w="1151" w:type="dxa"/>
          </w:tcPr>
          <w:p w14:paraId="0A358565" w14:textId="77777777" w:rsidR="00084F36" w:rsidRPr="00EB2BD8" w:rsidRDefault="00084F36">
            <w:pPr>
              <w:pStyle w:val="TableParagraph"/>
              <w:rPr>
                <w:rFonts w:ascii="Times New Roman"/>
                <w:sz w:val="16"/>
              </w:rPr>
            </w:pPr>
          </w:p>
        </w:tc>
        <w:tc>
          <w:tcPr>
            <w:tcW w:w="1176" w:type="dxa"/>
          </w:tcPr>
          <w:p w14:paraId="424B22AC" w14:textId="77777777" w:rsidR="00084F36" w:rsidRPr="00EB2BD8" w:rsidRDefault="00084F36">
            <w:pPr>
              <w:pStyle w:val="TableParagraph"/>
              <w:rPr>
                <w:rFonts w:ascii="Times New Roman"/>
                <w:sz w:val="16"/>
              </w:rPr>
            </w:pPr>
          </w:p>
        </w:tc>
      </w:tr>
      <w:tr w:rsidR="00EB2BD8" w:rsidRPr="00EB2BD8" w14:paraId="02178654" w14:textId="77777777">
        <w:trPr>
          <w:trHeight w:val="229"/>
        </w:trPr>
        <w:tc>
          <w:tcPr>
            <w:tcW w:w="1705" w:type="dxa"/>
          </w:tcPr>
          <w:p w14:paraId="16553B33" w14:textId="77777777" w:rsidR="00084F36" w:rsidRPr="00EB2BD8" w:rsidRDefault="00084F36">
            <w:pPr>
              <w:pStyle w:val="TableParagraph"/>
              <w:rPr>
                <w:rFonts w:ascii="Times New Roman"/>
                <w:sz w:val="16"/>
              </w:rPr>
            </w:pPr>
          </w:p>
        </w:tc>
        <w:tc>
          <w:tcPr>
            <w:tcW w:w="1464" w:type="dxa"/>
          </w:tcPr>
          <w:p w14:paraId="5ECCCB46" w14:textId="77777777" w:rsidR="00084F36" w:rsidRPr="00EB2BD8" w:rsidRDefault="00084F36">
            <w:pPr>
              <w:pStyle w:val="TableParagraph"/>
              <w:rPr>
                <w:rFonts w:ascii="Times New Roman"/>
                <w:sz w:val="16"/>
              </w:rPr>
            </w:pPr>
          </w:p>
        </w:tc>
        <w:tc>
          <w:tcPr>
            <w:tcW w:w="2486" w:type="dxa"/>
          </w:tcPr>
          <w:p w14:paraId="719F1BA9" w14:textId="77777777" w:rsidR="00084F36" w:rsidRPr="00EB2BD8" w:rsidRDefault="00084F36">
            <w:pPr>
              <w:pStyle w:val="TableParagraph"/>
              <w:rPr>
                <w:rFonts w:ascii="Times New Roman"/>
                <w:sz w:val="16"/>
              </w:rPr>
            </w:pPr>
          </w:p>
        </w:tc>
        <w:tc>
          <w:tcPr>
            <w:tcW w:w="2219" w:type="dxa"/>
          </w:tcPr>
          <w:p w14:paraId="7FF51D6C" w14:textId="77777777" w:rsidR="00084F36" w:rsidRPr="00EB2BD8" w:rsidRDefault="00EB2BD8">
            <w:pPr>
              <w:pStyle w:val="TableParagraph"/>
              <w:spacing w:before="19"/>
              <w:ind w:left="127"/>
              <w:rPr>
                <w:sz w:val="16"/>
              </w:rPr>
            </w:pPr>
            <w:r w:rsidRPr="00EB2BD8">
              <w:rPr>
                <w:spacing w:val="-2"/>
                <w:sz w:val="16"/>
              </w:rPr>
              <w:t>requirement</w:t>
            </w:r>
            <w:r w:rsidRPr="00EB2BD8">
              <w:rPr>
                <w:spacing w:val="-6"/>
                <w:sz w:val="16"/>
              </w:rPr>
              <w:t xml:space="preserve"> </w:t>
            </w:r>
            <w:r w:rsidRPr="00EB2BD8">
              <w:rPr>
                <w:spacing w:val="-2"/>
                <w:sz w:val="16"/>
              </w:rPr>
              <w:t>to</w:t>
            </w:r>
            <w:r w:rsidRPr="00EB2BD8">
              <w:rPr>
                <w:spacing w:val="-6"/>
                <w:sz w:val="16"/>
              </w:rPr>
              <w:t xml:space="preserve"> </w:t>
            </w:r>
            <w:r w:rsidRPr="00EB2BD8">
              <w:rPr>
                <w:spacing w:val="-2"/>
                <w:sz w:val="16"/>
              </w:rPr>
              <w:t>complete</w:t>
            </w:r>
          </w:p>
        </w:tc>
        <w:tc>
          <w:tcPr>
            <w:tcW w:w="1151" w:type="dxa"/>
          </w:tcPr>
          <w:p w14:paraId="7976C253" w14:textId="77777777" w:rsidR="00084F36" w:rsidRPr="00EB2BD8" w:rsidRDefault="00084F36">
            <w:pPr>
              <w:pStyle w:val="TableParagraph"/>
              <w:rPr>
                <w:rFonts w:ascii="Times New Roman"/>
                <w:sz w:val="16"/>
              </w:rPr>
            </w:pPr>
          </w:p>
        </w:tc>
        <w:tc>
          <w:tcPr>
            <w:tcW w:w="1176" w:type="dxa"/>
          </w:tcPr>
          <w:p w14:paraId="5C09E15D" w14:textId="77777777" w:rsidR="00084F36" w:rsidRPr="00EB2BD8" w:rsidRDefault="00084F36">
            <w:pPr>
              <w:pStyle w:val="TableParagraph"/>
              <w:rPr>
                <w:rFonts w:ascii="Times New Roman"/>
                <w:sz w:val="16"/>
              </w:rPr>
            </w:pPr>
          </w:p>
        </w:tc>
      </w:tr>
      <w:tr w:rsidR="00EB2BD8" w:rsidRPr="00EB2BD8" w14:paraId="7F0D2B1E" w14:textId="77777777">
        <w:trPr>
          <w:trHeight w:val="229"/>
        </w:trPr>
        <w:tc>
          <w:tcPr>
            <w:tcW w:w="1705" w:type="dxa"/>
          </w:tcPr>
          <w:p w14:paraId="5B88FA50" w14:textId="77777777" w:rsidR="00084F36" w:rsidRPr="00EB2BD8" w:rsidRDefault="00084F36">
            <w:pPr>
              <w:pStyle w:val="TableParagraph"/>
              <w:rPr>
                <w:rFonts w:ascii="Times New Roman"/>
                <w:sz w:val="16"/>
              </w:rPr>
            </w:pPr>
          </w:p>
        </w:tc>
        <w:tc>
          <w:tcPr>
            <w:tcW w:w="1464" w:type="dxa"/>
          </w:tcPr>
          <w:p w14:paraId="30F7B8F1" w14:textId="77777777" w:rsidR="00084F36" w:rsidRPr="00EB2BD8" w:rsidRDefault="00084F36">
            <w:pPr>
              <w:pStyle w:val="TableParagraph"/>
              <w:rPr>
                <w:rFonts w:ascii="Times New Roman"/>
                <w:sz w:val="16"/>
              </w:rPr>
            </w:pPr>
          </w:p>
        </w:tc>
        <w:tc>
          <w:tcPr>
            <w:tcW w:w="2486" w:type="dxa"/>
          </w:tcPr>
          <w:p w14:paraId="2A7EB2EB" w14:textId="77777777" w:rsidR="00084F36" w:rsidRPr="00EB2BD8" w:rsidRDefault="00084F36">
            <w:pPr>
              <w:pStyle w:val="TableParagraph"/>
              <w:rPr>
                <w:rFonts w:ascii="Times New Roman"/>
                <w:sz w:val="16"/>
              </w:rPr>
            </w:pPr>
          </w:p>
        </w:tc>
        <w:tc>
          <w:tcPr>
            <w:tcW w:w="2219" w:type="dxa"/>
          </w:tcPr>
          <w:p w14:paraId="59A2B224" w14:textId="77777777" w:rsidR="00084F36" w:rsidRPr="00EB2BD8" w:rsidRDefault="00EB2BD8">
            <w:pPr>
              <w:pStyle w:val="TableParagraph"/>
              <w:spacing w:before="19"/>
              <w:ind w:left="127"/>
              <w:rPr>
                <w:sz w:val="16"/>
              </w:rPr>
            </w:pPr>
            <w:r w:rsidRPr="00EB2BD8">
              <w:rPr>
                <w:spacing w:val="-2"/>
                <w:sz w:val="16"/>
              </w:rPr>
              <w:t>training</w:t>
            </w:r>
            <w:r w:rsidRPr="00EB2BD8">
              <w:rPr>
                <w:spacing w:val="-6"/>
                <w:sz w:val="16"/>
              </w:rPr>
              <w:t xml:space="preserve"> </w:t>
            </w:r>
            <w:r w:rsidRPr="00EB2BD8">
              <w:rPr>
                <w:spacing w:val="-2"/>
                <w:sz w:val="16"/>
              </w:rPr>
              <w:t>in</w:t>
            </w:r>
            <w:r w:rsidRPr="00EB2BD8">
              <w:rPr>
                <w:spacing w:val="-6"/>
                <w:sz w:val="16"/>
              </w:rPr>
              <w:t xml:space="preserve"> </w:t>
            </w:r>
            <w:r w:rsidRPr="00EB2BD8">
              <w:rPr>
                <w:spacing w:val="-2"/>
                <w:sz w:val="16"/>
              </w:rPr>
              <w:t>business</w:t>
            </w:r>
          </w:p>
        </w:tc>
        <w:tc>
          <w:tcPr>
            <w:tcW w:w="1151" w:type="dxa"/>
          </w:tcPr>
          <w:p w14:paraId="519907F0" w14:textId="77777777" w:rsidR="00084F36" w:rsidRPr="00EB2BD8" w:rsidRDefault="00084F36">
            <w:pPr>
              <w:pStyle w:val="TableParagraph"/>
              <w:rPr>
                <w:rFonts w:ascii="Times New Roman"/>
                <w:sz w:val="16"/>
              </w:rPr>
            </w:pPr>
          </w:p>
        </w:tc>
        <w:tc>
          <w:tcPr>
            <w:tcW w:w="1176" w:type="dxa"/>
          </w:tcPr>
          <w:p w14:paraId="76D25B80" w14:textId="77777777" w:rsidR="00084F36" w:rsidRPr="00EB2BD8" w:rsidRDefault="00084F36">
            <w:pPr>
              <w:pStyle w:val="TableParagraph"/>
              <w:rPr>
                <w:rFonts w:ascii="Times New Roman"/>
                <w:sz w:val="16"/>
              </w:rPr>
            </w:pPr>
          </w:p>
        </w:tc>
      </w:tr>
      <w:tr w:rsidR="00EB2BD8" w:rsidRPr="00EB2BD8" w14:paraId="165C474E" w14:textId="77777777">
        <w:trPr>
          <w:trHeight w:val="288"/>
        </w:trPr>
        <w:tc>
          <w:tcPr>
            <w:tcW w:w="1705" w:type="dxa"/>
            <w:tcBorders>
              <w:bottom w:val="single" w:sz="2" w:space="0" w:color="000000"/>
            </w:tcBorders>
          </w:tcPr>
          <w:p w14:paraId="373C1436"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16E02E44" w14:textId="77777777" w:rsidR="00084F36" w:rsidRPr="00EB2BD8" w:rsidRDefault="00084F36">
            <w:pPr>
              <w:pStyle w:val="TableParagraph"/>
              <w:rPr>
                <w:rFonts w:ascii="Times New Roman"/>
                <w:sz w:val="16"/>
              </w:rPr>
            </w:pPr>
          </w:p>
        </w:tc>
        <w:tc>
          <w:tcPr>
            <w:tcW w:w="2486" w:type="dxa"/>
            <w:tcBorders>
              <w:bottom w:val="single" w:sz="2" w:space="0" w:color="000000"/>
            </w:tcBorders>
          </w:tcPr>
          <w:p w14:paraId="315BA798" w14:textId="77777777" w:rsidR="00084F36" w:rsidRPr="00EB2BD8" w:rsidRDefault="00084F36">
            <w:pPr>
              <w:pStyle w:val="TableParagraph"/>
              <w:rPr>
                <w:rFonts w:ascii="Times New Roman"/>
                <w:sz w:val="16"/>
              </w:rPr>
            </w:pPr>
          </w:p>
        </w:tc>
        <w:tc>
          <w:tcPr>
            <w:tcW w:w="2219" w:type="dxa"/>
            <w:tcBorders>
              <w:bottom w:val="single" w:sz="2" w:space="0" w:color="000000"/>
            </w:tcBorders>
          </w:tcPr>
          <w:p w14:paraId="2439313C" w14:textId="77777777" w:rsidR="00084F36" w:rsidRPr="00EB2BD8" w:rsidRDefault="00EB2BD8">
            <w:pPr>
              <w:pStyle w:val="TableParagraph"/>
              <w:spacing w:before="19"/>
              <w:ind w:left="127"/>
              <w:rPr>
                <w:sz w:val="16"/>
              </w:rPr>
            </w:pPr>
            <w:r w:rsidRPr="00EB2BD8">
              <w:rPr>
                <w:spacing w:val="-2"/>
                <w:sz w:val="16"/>
              </w:rPr>
              <w:t>management.</w:t>
            </w:r>
          </w:p>
        </w:tc>
        <w:tc>
          <w:tcPr>
            <w:tcW w:w="1151" w:type="dxa"/>
            <w:tcBorders>
              <w:bottom w:val="single" w:sz="2" w:space="0" w:color="000000"/>
            </w:tcBorders>
          </w:tcPr>
          <w:p w14:paraId="41229B6C"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67B142CB" w14:textId="77777777" w:rsidR="00084F36" w:rsidRPr="00EB2BD8" w:rsidRDefault="00084F36">
            <w:pPr>
              <w:pStyle w:val="TableParagraph"/>
              <w:rPr>
                <w:rFonts w:ascii="Times New Roman"/>
                <w:sz w:val="16"/>
              </w:rPr>
            </w:pPr>
          </w:p>
        </w:tc>
      </w:tr>
      <w:tr w:rsidR="00EB2BD8" w:rsidRPr="00EB2BD8" w14:paraId="2B7221AA" w14:textId="77777777">
        <w:trPr>
          <w:trHeight w:val="323"/>
        </w:trPr>
        <w:tc>
          <w:tcPr>
            <w:tcW w:w="1705" w:type="dxa"/>
            <w:tcBorders>
              <w:top w:val="single" w:sz="2" w:space="0" w:color="000000"/>
            </w:tcBorders>
          </w:tcPr>
          <w:p w14:paraId="6D2841D7" w14:textId="77777777" w:rsidR="00084F36" w:rsidRPr="00EB2BD8" w:rsidRDefault="00EB2BD8">
            <w:pPr>
              <w:pStyle w:val="TableParagraph"/>
              <w:spacing w:before="113"/>
              <w:ind w:left="113"/>
              <w:rPr>
                <w:sz w:val="16"/>
              </w:rPr>
            </w:pPr>
            <w:r w:rsidRPr="00EB2BD8">
              <w:rPr>
                <w:sz w:val="16"/>
              </w:rPr>
              <w:t>ROBERTS,</w:t>
            </w:r>
            <w:r w:rsidRPr="00EB2BD8">
              <w:rPr>
                <w:spacing w:val="1"/>
                <w:sz w:val="16"/>
              </w:rPr>
              <w:t xml:space="preserve"> </w:t>
            </w:r>
            <w:r w:rsidRPr="00EB2BD8">
              <w:rPr>
                <w:spacing w:val="-2"/>
                <w:sz w:val="16"/>
              </w:rPr>
              <w:t>Digby</w:t>
            </w:r>
          </w:p>
        </w:tc>
        <w:tc>
          <w:tcPr>
            <w:tcW w:w="1464" w:type="dxa"/>
            <w:tcBorders>
              <w:top w:val="single" w:sz="2" w:space="0" w:color="000000"/>
            </w:tcBorders>
          </w:tcPr>
          <w:p w14:paraId="3C72D263" w14:textId="77777777" w:rsidR="00084F36" w:rsidRPr="00EB2BD8" w:rsidRDefault="00EB2BD8">
            <w:pPr>
              <w:pStyle w:val="TableParagraph"/>
              <w:spacing w:before="113"/>
              <w:ind w:left="165"/>
              <w:rPr>
                <w:sz w:val="16"/>
              </w:rPr>
            </w:pPr>
            <w:r w:rsidRPr="00EB2BD8">
              <w:rPr>
                <w:sz w:val="16"/>
              </w:rPr>
              <w:t>DB-L</w:t>
            </w:r>
            <w:r w:rsidRPr="00EB2BD8">
              <w:rPr>
                <w:spacing w:val="23"/>
                <w:sz w:val="16"/>
              </w:rPr>
              <w:t xml:space="preserve"> </w:t>
            </w:r>
            <w:r w:rsidRPr="00EB2BD8">
              <w:rPr>
                <w:spacing w:val="-2"/>
                <w:sz w:val="16"/>
              </w:rPr>
              <w:t>24167</w:t>
            </w:r>
          </w:p>
        </w:tc>
        <w:tc>
          <w:tcPr>
            <w:tcW w:w="2486" w:type="dxa"/>
            <w:tcBorders>
              <w:top w:val="single" w:sz="2" w:space="0" w:color="000000"/>
            </w:tcBorders>
          </w:tcPr>
          <w:p w14:paraId="1BFDEE6B" w14:textId="77777777" w:rsidR="00084F36" w:rsidRPr="00EB2BD8" w:rsidRDefault="00EB2BD8">
            <w:pPr>
              <w:pStyle w:val="TableParagraph"/>
              <w:spacing w:before="113"/>
              <w:ind w:left="334"/>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19" w:type="dxa"/>
            <w:tcBorders>
              <w:top w:val="single" w:sz="2" w:space="0" w:color="000000"/>
            </w:tcBorders>
          </w:tcPr>
          <w:p w14:paraId="77B0392A" w14:textId="77777777" w:rsidR="00084F36" w:rsidRPr="00EB2BD8" w:rsidRDefault="00EB2BD8">
            <w:pPr>
              <w:pStyle w:val="TableParagraph"/>
              <w:spacing w:before="113"/>
              <w:ind w:left="127"/>
              <w:rPr>
                <w:sz w:val="16"/>
              </w:rPr>
            </w:pPr>
            <w:r w:rsidRPr="00EB2BD8">
              <w:rPr>
                <w:sz w:val="16"/>
              </w:rPr>
              <w:t>Cancellation</w:t>
            </w:r>
            <w:r w:rsidRPr="00EB2BD8">
              <w:rPr>
                <w:spacing w:val="5"/>
                <w:sz w:val="16"/>
              </w:rPr>
              <w:t xml:space="preserve"> </w:t>
            </w:r>
            <w:r w:rsidRPr="00EB2BD8">
              <w:rPr>
                <w:spacing w:val="-5"/>
                <w:sz w:val="16"/>
              </w:rPr>
              <w:t>of</w:t>
            </w:r>
          </w:p>
        </w:tc>
        <w:tc>
          <w:tcPr>
            <w:tcW w:w="1151" w:type="dxa"/>
            <w:tcBorders>
              <w:top w:val="single" w:sz="2" w:space="0" w:color="000000"/>
            </w:tcBorders>
          </w:tcPr>
          <w:p w14:paraId="3E8DE63C" w14:textId="77777777" w:rsidR="00084F36" w:rsidRPr="00EB2BD8" w:rsidRDefault="00EB2BD8">
            <w:pPr>
              <w:pStyle w:val="TableParagraph"/>
              <w:spacing w:before="113"/>
              <w:ind w:right="110"/>
              <w:jc w:val="right"/>
              <w:rPr>
                <w:sz w:val="16"/>
              </w:rPr>
            </w:pPr>
            <w:r w:rsidRPr="00EB2BD8">
              <w:rPr>
                <w:w w:val="124"/>
                <w:sz w:val="16"/>
              </w:rPr>
              <w:t>–</w:t>
            </w:r>
          </w:p>
        </w:tc>
        <w:tc>
          <w:tcPr>
            <w:tcW w:w="1176" w:type="dxa"/>
            <w:tcBorders>
              <w:top w:val="single" w:sz="2" w:space="0" w:color="000000"/>
            </w:tcBorders>
          </w:tcPr>
          <w:p w14:paraId="64C66DE0" w14:textId="77777777" w:rsidR="00084F36" w:rsidRPr="00EB2BD8" w:rsidRDefault="00EB2BD8">
            <w:pPr>
              <w:pStyle w:val="TableParagraph"/>
              <w:spacing w:before="113"/>
              <w:ind w:left="113"/>
              <w:rPr>
                <w:sz w:val="16"/>
              </w:rPr>
            </w:pPr>
            <w:r w:rsidRPr="00EB2BD8">
              <w:rPr>
                <w:spacing w:val="-2"/>
                <w:sz w:val="16"/>
              </w:rPr>
              <w:t>24/03/2023</w:t>
            </w:r>
          </w:p>
        </w:tc>
      </w:tr>
      <w:tr w:rsidR="00EB2BD8" w:rsidRPr="00EB2BD8" w14:paraId="3F2AD591" w14:textId="77777777">
        <w:trPr>
          <w:trHeight w:val="230"/>
        </w:trPr>
        <w:tc>
          <w:tcPr>
            <w:tcW w:w="1705" w:type="dxa"/>
          </w:tcPr>
          <w:p w14:paraId="548230D4" w14:textId="77777777" w:rsidR="00084F36" w:rsidRPr="00EB2BD8" w:rsidRDefault="00084F36">
            <w:pPr>
              <w:pStyle w:val="TableParagraph"/>
              <w:rPr>
                <w:rFonts w:ascii="Times New Roman"/>
                <w:sz w:val="16"/>
              </w:rPr>
            </w:pPr>
          </w:p>
        </w:tc>
        <w:tc>
          <w:tcPr>
            <w:tcW w:w="1464" w:type="dxa"/>
          </w:tcPr>
          <w:p w14:paraId="21980617" w14:textId="77777777" w:rsidR="00084F36" w:rsidRPr="00EB2BD8" w:rsidRDefault="00084F36">
            <w:pPr>
              <w:pStyle w:val="TableParagraph"/>
              <w:rPr>
                <w:rFonts w:ascii="Times New Roman"/>
                <w:sz w:val="16"/>
              </w:rPr>
            </w:pPr>
          </w:p>
        </w:tc>
        <w:tc>
          <w:tcPr>
            <w:tcW w:w="2486" w:type="dxa"/>
          </w:tcPr>
          <w:p w14:paraId="602E685C" w14:textId="77777777" w:rsidR="00084F36" w:rsidRPr="00EB2BD8" w:rsidRDefault="00EB2BD8">
            <w:pPr>
              <w:pStyle w:val="TableParagraph"/>
              <w:spacing w:before="19"/>
              <w:ind w:left="334"/>
              <w:rPr>
                <w:sz w:val="16"/>
              </w:rPr>
            </w:pPr>
            <w:r w:rsidRPr="00EB2BD8">
              <w:rPr>
                <w:sz w:val="16"/>
              </w:rPr>
              <w:t xml:space="preserve">company under </w:t>
            </w:r>
            <w:r w:rsidRPr="00EB2BD8">
              <w:rPr>
                <w:spacing w:val="-2"/>
                <w:sz w:val="16"/>
              </w:rPr>
              <w:t>external</w:t>
            </w:r>
          </w:p>
        </w:tc>
        <w:tc>
          <w:tcPr>
            <w:tcW w:w="2219" w:type="dxa"/>
          </w:tcPr>
          <w:p w14:paraId="6F66809D" w14:textId="77777777" w:rsidR="00084F36" w:rsidRPr="00EB2BD8" w:rsidRDefault="00EB2BD8">
            <w:pPr>
              <w:pStyle w:val="TableParagraph"/>
              <w:spacing w:before="19"/>
              <w:ind w:left="127"/>
              <w:rPr>
                <w:sz w:val="16"/>
              </w:rPr>
            </w:pPr>
            <w:r w:rsidRPr="00EB2BD8">
              <w:rPr>
                <w:spacing w:val="-2"/>
                <w:sz w:val="16"/>
              </w:rPr>
              <w:t>registration.</w:t>
            </w:r>
          </w:p>
        </w:tc>
        <w:tc>
          <w:tcPr>
            <w:tcW w:w="1151" w:type="dxa"/>
          </w:tcPr>
          <w:p w14:paraId="4A60F627" w14:textId="77777777" w:rsidR="00084F36" w:rsidRPr="00EB2BD8" w:rsidRDefault="00084F36">
            <w:pPr>
              <w:pStyle w:val="TableParagraph"/>
              <w:rPr>
                <w:rFonts w:ascii="Times New Roman"/>
                <w:sz w:val="16"/>
              </w:rPr>
            </w:pPr>
          </w:p>
        </w:tc>
        <w:tc>
          <w:tcPr>
            <w:tcW w:w="1176" w:type="dxa"/>
          </w:tcPr>
          <w:p w14:paraId="04D01E66" w14:textId="77777777" w:rsidR="00084F36" w:rsidRPr="00EB2BD8" w:rsidRDefault="00084F36">
            <w:pPr>
              <w:pStyle w:val="TableParagraph"/>
              <w:rPr>
                <w:rFonts w:ascii="Times New Roman"/>
                <w:sz w:val="16"/>
              </w:rPr>
            </w:pPr>
          </w:p>
        </w:tc>
      </w:tr>
      <w:tr w:rsidR="00EB2BD8" w:rsidRPr="00EB2BD8" w14:paraId="7351B2A5" w14:textId="77777777">
        <w:trPr>
          <w:trHeight w:val="343"/>
        </w:trPr>
        <w:tc>
          <w:tcPr>
            <w:tcW w:w="1705" w:type="dxa"/>
            <w:tcBorders>
              <w:bottom w:val="single" w:sz="2" w:space="0" w:color="000000"/>
            </w:tcBorders>
          </w:tcPr>
          <w:p w14:paraId="69500373"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3DA14292" w14:textId="77777777" w:rsidR="00084F36" w:rsidRPr="00EB2BD8" w:rsidRDefault="00084F36">
            <w:pPr>
              <w:pStyle w:val="TableParagraph"/>
              <w:rPr>
                <w:rFonts w:ascii="Times New Roman"/>
                <w:sz w:val="16"/>
              </w:rPr>
            </w:pPr>
          </w:p>
        </w:tc>
        <w:tc>
          <w:tcPr>
            <w:tcW w:w="2486" w:type="dxa"/>
            <w:tcBorders>
              <w:bottom w:val="single" w:sz="2" w:space="0" w:color="000000"/>
            </w:tcBorders>
          </w:tcPr>
          <w:p w14:paraId="6E83B52D" w14:textId="77777777" w:rsidR="00084F36" w:rsidRPr="00EB2BD8" w:rsidRDefault="00EB2BD8">
            <w:pPr>
              <w:pStyle w:val="TableParagraph"/>
              <w:spacing w:before="19"/>
              <w:ind w:left="334"/>
              <w:rPr>
                <w:sz w:val="16"/>
              </w:rPr>
            </w:pPr>
            <w:r w:rsidRPr="00EB2BD8">
              <w:rPr>
                <w:spacing w:val="-2"/>
                <w:sz w:val="16"/>
              </w:rPr>
              <w:t>administration.</w:t>
            </w:r>
          </w:p>
        </w:tc>
        <w:tc>
          <w:tcPr>
            <w:tcW w:w="2219" w:type="dxa"/>
            <w:tcBorders>
              <w:bottom w:val="single" w:sz="2" w:space="0" w:color="000000"/>
            </w:tcBorders>
          </w:tcPr>
          <w:p w14:paraId="4DCA6CE4" w14:textId="77777777" w:rsidR="00084F36" w:rsidRPr="00EB2BD8" w:rsidRDefault="00084F36">
            <w:pPr>
              <w:pStyle w:val="TableParagraph"/>
              <w:rPr>
                <w:rFonts w:ascii="Times New Roman"/>
                <w:sz w:val="16"/>
              </w:rPr>
            </w:pPr>
          </w:p>
        </w:tc>
        <w:tc>
          <w:tcPr>
            <w:tcW w:w="1151" w:type="dxa"/>
            <w:tcBorders>
              <w:bottom w:val="single" w:sz="2" w:space="0" w:color="000000"/>
            </w:tcBorders>
          </w:tcPr>
          <w:p w14:paraId="69C0563F"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12B98C8D" w14:textId="77777777" w:rsidR="00084F36" w:rsidRPr="00EB2BD8" w:rsidRDefault="00084F36">
            <w:pPr>
              <w:pStyle w:val="TableParagraph"/>
              <w:rPr>
                <w:rFonts w:ascii="Times New Roman"/>
                <w:sz w:val="16"/>
              </w:rPr>
            </w:pPr>
          </w:p>
        </w:tc>
      </w:tr>
      <w:tr w:rsidR="00EB2BD8" w:rsidRPr="00EB2BD8" w14:paraId="29427918" w14:textId="77777777">
        <w:trPr>
          <w:trHeight w:val="323"/>
        </w:trPr>
        <w:tc>
          <w:tcPr>
            <w:tcW w:w="1705" w:type="dxa"/>
            <w:tcBorders>
              <w:top w:val="single" w:sz="2" w:space="0" w:color="000000"/>
            </w:tcBorders>
          </w:tcPr>
          <w:p w14:paraId="203F5157" w14:textId="77777777" w:rsidR="00084F36" w:rsidRPr="00EB2BD8" w:rsidRDefault="00EB2BD8">
            <w:pPr>
              <w:pStyle w:val="TableParagraph"/>
              <w:spacing w:before="113"/>
              <w:ind w:left="113"/>
              <w:rPr>
                <w:sz w:val="16"/>
              </w:rPr>
            </w:pPr>
            <w:r w:rsidRPr="00EB2BD8">
              <w:rPr>
                <w:spacing w:val="-9"/>
                <w:sz w:val="16"/>
              </w:rPr>
              <w:t>RYAN,</w:t>
            </w:r>
            <w:r w:rsidRPr="00EB2BD8">
              <w:rPr>
                <w:spacing w:val="-5"/>
                <w:sz w:val="16"/>
              </w:rPr>
              <w:t xml:space="preserve"> </w:t>
            </w:r>
            <w:r w:rsidRPr="00EB2BD8">
              <w:rPr>
                <w:spacing w:val="-2"/>
                <w:sz w:val="16"/>
              </w:rPr>
              <w:t>Xavier</w:t>
            </w:r>
          </w:p>
        </w:tc>
        <w:tc>
          <w:tcPr>
            <w:tcW w:w="1464" w:type="dxa"/>
            <w:tcBorders>
              <w:top w:val="single" w:sz="2" w:space="0" w:color="000000"/>
            </w:tcBorders>
          </w:tcPr>
          <w:p w14:paraId="38203193" w14:textId="77777777" w:rsidR="00084F36" w:rsidRPr="00EB2BD8" w:rsidRDefault="00EB2BD8">
            <w:pPr>
              <w:pStyle w:val="TableParagraph"/>
              <w:spacing w:before="113"/>
              <w:ind w:left="165"/>
              <w:rPr>
                <w:sz w:val="16"/>
              </w:rPr>
            </w:pPr>
            <w:r w:rsidRPr="00EB2BD8">
              <w:rPr>
                <w:sz w:val="16"/>
              </w:rPr>
              <w:t>DB-U</w:t>
            </w:r>
            <w:r w:rsidRPr="00EB2BD8">
              <w:rPr>
                <w:spacing w:val="22"/>
                <w:sz w:val="16"/>
              </w:rPr>
              <w:t xml:space="preserve"> </w:t>
            </w:r>
            <w:r w:rsidRPr="00EB2BD8">
              <w:rPr>
                <w:spacing w:val="-2"/>
                <w:sz w:val="16"/>
              </w:rPr>
              <w:t>36965</w:t>
            </w:r>
          </w:p>
        </w:tc>
        <w:tc>
          <w:tcPr>
            <w:tcW w:w="2486" w:type="dxa"/>
            <w:tcBorders>
              <w:top w:val="single" w:sz="2" w:space="0" w:color="000000"/>
            </w:tcBorders>
          </w:tcPr>
          <w:p w14:paraId="461AAC5E" w14:textId="77777777" w:rsidR="00084F36" w:rsidRPr="00EB2BD8" w:rsidRDefault="00EB2BD8">
            <w:pPr>
              <w:pStyle w:val="TableParagraph"/>
              <w:spacing w:before="113"/>
              <w:ind w:left="334"/>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19" w:type="dxa"/>
            <w:tcBorders>
              <w:top w:val="single" w:sz="2" w:space="0" w:color="000000"/>
            </w:tcBorders>
          </w:tcPr>
          <w:p w14:paraId="0853756F" w14:textId="77777777" w:rsidR="00084F36" w:rsidRPr="00EB2BD8" w:rsidRDefault="00EB2BD8">
            <w:pPr>
              <w:pStyle w:val="TableParagraph"/>
              <w:spacing w:before="113"/>
              <w:ind w:left="127"/>
              <w:rPr>
                <w:sz w:val="16"/>
              </w:rPr>
            </w:pPr>
            <w:r w:rsidRPr="00EB2BD8">
              <w:rPr>
                <w:sz w:val="16"/>
              </w:rPr>
              <w:t>Cancellation</w:t>
            </w:r>
            <w:r w:rsidRPr="00EB2BD8">
              <w:rPr>
                <w:spacing w:val="5"/>
                <w:sz w:val="16"/>
              </w:rPr>
              <w:t xml:space="preserve"> </w:t>
            </w:r>
            <w:r w:rsidRPr="00EB2BD8">
              <w:rPr>
                <w:spacing w:val="-5"/>
                <w:sz w:val="16"/>
              </w:rPr>
              <w:t>of</w:t>
            </w:r>
          </w:p>
        </w:tc>
        <w:tc>
          <w:tcPr>
            <w:tcW w:w="1151" w:type="dxa"/>
            <w:tcBorders>
              <w:top w:val="single" w:sz="2" w:space="0" w:color="000000"/>
            </w:tcBorders>
          </w:tcPr>
          <w:p w14:paraId="04CCCA4A" w14:textId="77777777" w:rsidR="00084F36" w:rsidRPr="00EB2BD8" w:rsidRDefault="00EB2BD8">
            <w:pPr>
              <w:pStyle w:val="TableParagraph"/>
              <w:spacing w:before="113"/>
              <w:ind w:right="110"/>
              <w:jc w:val="right"/>
              <w:rPr>
                <w:sz w:val="16"/>
              </w:rPr>
            </w:pPr>
            <w:r w:rsidRPr="00EB2BD8">
              <w:rPr>
                <w:w w:val="124"/>
                <w:sz w:val="16"/>
              </w:rPr>
              <w:t>–</w:t>
            </w:r>
          </w:p>
        </w:tc>
        <w:tc>
          <w:tcPr>
            <w:tcW w:w="1176" w:type="dxa"/>
            <w:tcBorders>
              <w:top w:val="single" w:sz="2" w:space="0" w:color="000000"/>
            </w:tcBorders>
          </w:tcPr>
          <w:p w14:paraId="3F793DBE" w14:textId="77777777" w:rsidR="00084F36" w:rsidRPr="00EB2BD8" w:rsidRDefault="00EB2BD8">
            <w:pPr>
              <w:pStyle w:val="TableParagraph"/>
              <w:spacing w:before="113"/>
              <w:ind w:left="113"/>
              <w:rPr>
                <w:sz w:val="16"/>
              </w:rPr>
            </w:pPr>
            <w:r w:rsidRPr="00EB2BD8">
              <w:rPr>
                <w:spacing w:val="-2"/>
                <w:w w:val="90"/>
                <w:sz w:val="16"/>
              </w:rPr>
              <w:t>31/01/2023</w:t>
            </w:r>
          </w:p>
        </w:tc>
      </w:tr>
      <w:tr w:rsidR="00EB2BD8" w:rsidRPr="00EB2BD8" w14:paraId="3AD98B61" w14:textId="77777777">
        <w:trPr>
          <w:trHeight w:val="230"/>
        </w:trPr>
        <w:tc>
          <w:tcPr>
            <w:tcW w:w="1705" w:type="dxa"/>
          </w:tcPr>
          <w:p w14:paraId="762C43BD" w14:textId="77777777" w:rsidR="00084F36" w:rsidRPr="00EB2BD8" w:rsidRDefault="00084F36">
            <w:pPr>
              <w:pStyle w:val="TableParagraph"/>
              <w:rPr>
                <w:rFonts w:ascii="Times New Roman"/>
                <w:sz w:val="16"/>
              </w:rPr>
            </w:pPr>
          </w:p>
        </w:tc>
        <w:tc>
          <w:tcPr>
            <w:tcW w:w="1464" w:type="dxa"/>
          </w:tcPr>
          <w:p w14:paraId="1B2FA871" w14:textId="77777777" w:rsidR="00084F36" w:rsidRPr="00EB2BD8" w:rsidRDefault="00084F36">
            <w:pPr>
              <w:pStyle w:val="TableParagraph"/>
              <w:rPr>
                <w:rFonts w:ascii="Times New Roman"/>
                <w:sz w:val="16"/>
              </w:rPr>
            </w:pPr>
          </w:p>
        </w:tc>
        <w:tc>
          <w:tcPr>
            <w:tcW w:w="2486" w:type="dxa"/>
          </w:tcPr>
          <w:p w14:paraId="0E5DB76B" w14:textId="77777777" w:rsidR="00084F36" w:rsidRPr="00EB2BD8" w:rsidRDefault="00EB2BD8">
            <w:pPr>
              <w:pStyle w:val="TableParagraph"/>
              <w:spacing w:before="19"/>
              <w:ind w:left="334"/>
              <w:rPr>
                <w:sz w:val="16"/>
              </w:rPr>
            </w:pPr>
            <w:r w:rsidRPr="00EB2BD8">
              <w:rPr>
                <w:sz w:val="16"/>
              </w:rPr>
              <w:t xml:space="preserve">company under </w:t>
            </w:r>
            <w:r w:rsidRPr="00EB2BD8">
              <w:rPr>
                <w:spacing w:val="-2"/>
                <w:sz w:val="16"/>
              </w:rPr>
              <w:t>external</w:t>
            </w:r>
          </w:p>
        </w:tc>
        <w:tc>
          <w:tcPr>
            <w:tcW w:w="2219" w:type="dxa"/>
          </w:tcPr>
          <w:p w14:paraId="3C523879" w14:textId="77777777" w:rsidR="00084F36" w:rsidRPr="00EB2BD8" w:rsidRDefault="00EB2BD8">
            <w:pPr>
              <w:pStyle w:val="TableParagraph"/>
              <w:spacing w:before="19"/>
              <w:ind w:left="127"/>
              <w:rPr>
                <w:sz w:val="16"/>
              </w:rPr>
            </w:pPr>
            <w:r w:rsidRPr="00EB2BD8">
              <w:rPr>
                <w:spacing w:val="-2"/>
                <w:sz w:val="16"/>
              </w:rPr>
              <w:t>registration.</w:t>
            </w:r>
          </w:p>
        </w:tc>
        <w:tc>
          <w:tcPr>
            <w:tcW w:w="1151" w:type="dxa"/>
          </w:tcPr>
          <w:p w14:paraId="394D4111" w14:textId="77777777" w:rsidR="00084F36" w:rsidRPr="00EB2BD8" w:rsidRDefault="00084F36">
            <w:pPr>
              <w:pStyle w:val="TableParagraph"/>
              <w:rPr>
                <w:rFonts w:ascii="Times New Roman"/>
                <w:sz w:val="16"/>
              </w:rPr>
            </w:pPr>
          </w:p>
        </w:tc>
        <w:tc>
          <w:tcPr>
            <w:tcW w:w="1176" w:type="dxa"/>
          </w:tcPr>
          <w:p w14:paraId="63C5EB1C" w14:textId="77777777" w:rsidR="00084F36" w:rsidRPr="00EB2BD8" w:rsidRDefault="00084F36">
            <w:pPr>
              <w:pStyle w:val="TableParagraph"/>
              <w:rPr>
                <w:rFonts w:ascii="Times New Roman"/>
                <w:sz w:val="16"/>
              </w:rPr>
            </w:pPr>
          </w:p>
        </w:tc>
      </w:tr>
      <w:tr w:rsidR="00EB2BD8" w:rsidRPr="00EB2BD8" w14:paraId="6CC5702C" w14:textId="77777777">
        <w:trPr>
          <w:trHeight w:val="343"/>
        </w:trPr>
        <w:tc>
          <w:tcPr>
            <w:tcW w:w="1705" w:type="dxa"/>
            <w:tcBorders>
              <w:bottom w:val="single" w:sz="2" w:space="0" w:color="000000"/>
            </w:tcBorders>
          </w:tcPr>
          <w:p w14:paraId="46C4EBE5"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0B9A7A00" w14:textId="77777777" w:rsidR="00084F36" w:rsidRPr="00EB2BD8" w:rsidRDefault="00084F36">
            <w:pPr>
              <w:pStyle w:val="TableParagraph"/>
              <w:rPr>
                <w:rFonts w:ascii="Times New Roman"/>
                <w:sz w:val="16"/>
              </w:rPr>
            </w:pPr>
          </w:p>
        </w:tc>
        <w:tc>
          <w:tcPr>
            <w:tcW w:w="2486" w:type="dxa"/>
            <w:tcBorders>
              <w:bottom w:val="single" w:sz="2" w:space="0" w:color="000000"/>
            </w:tcBorders>
          </w:tcPr>
          <w:p w14:paraId="40470241" w14:textId="77777777" w:rsidR="00084F36" w:rsidRPr="00EB2BD8" w:rsidRDefault="00EB2BD8">
            <w:pPr>
              <w:pStyle w:val="TableParagraph"/>
              <w:spacing w:before="19"/>
              <w:ind w:left="334"/>
              <w:rPr>
                <w:sz w:val="16"/>
              </w:rPr>
            </w:pPr>
            <w:r w:rsidRPr="00EB2BD8">
              <w:rPr>
                <w:spacing w:val="-2"/>
                <w:sz w:val="16"/>
              </w:rPr>
              <w:t>administration.</w:t>
            </w:r>
          </w:p>
        </w:tc>
        <w:tc>
          <w:tcPr>
            <w:tcW w:w="2219" w:type="dxa"/>
            <w:tcBorders>
              <w:bottom w:val="single" w:sz="2" w:space="0" w:color="000000"/>
            </w:tcBorders>
          </w:tcPr>
          <w:p w14:paraId="7F2E508D" w14:textId="77777777" w:rsidR="00084F36" w:rsidRPr="00EB2BD8" w:rsidRDefault="00084F36">
            <w:pPr>
              <w:pStyle w:val="TableParagraph"/>
              <w:rPr>
                <w:rFonts w:ascii="Times New Roman"/>
                <w:sz w:val="16"/>
              </w:rPr>
            </w:pPr>
          </w:p>
        </w:tc>
        <w:tc>
          <w:tcPr>
            <w:tcW w:w="1151" w:type="dxa"/>
            <w:tcBorders>
              <w:bottom w:val="single" w:sz="2" w:space="0" w:color="000000"/>
            </w:tcBorders>
          </w:tcPr>
          <w:p w14:paraId="2ED5225E"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41942E6A" w14:textId="77777777" w:rsidR="00084F36" w:rsidRPr="00EB2BD8" w:rsidRDefault="00084F36">
            <w:pPr>
              <w:pStyle w:val="TableParagraph"/>
              <w:rPr>
                <w:rFonts w:ascii="Times New Roman"/>
                <w:sz w:val="16"/>
              </w:rPr>
            </w:pPr>
          </w:p>
        </w:tc>
      </w:tr>
      <w:tr w:rsidR="00EB2BD8" w:rsidRPr="00EB2BD8" w14:paraId="702C8936" w14:textId="77777777">
        <w:trPr>
          <w:trHeight w:val="323"/>
        </w:trPr>
        <w:tc>
          <w:tcPr>
            <w:tcW w:w="1705" w:type="dxa"/>
            <w:tcBorders>
              <w:top w:val="single" w:sz="2" w:space="0" w:color="000000"/>
            </w:tcBorders>
          </w:tcPr>
          <w:p w14:paraId="6D6D35C0" w14:textId="77777777" w:rsidR="00084F36" w:rsidRPr="00EB2BD8" w:rsidRDefault="00EB2BD8">
            <w:pPr>
              <w:pStyle w:val="TableParagraph"/>
              <w:spacing w:before="113"/>
              <w:ind w:left="113"/>
              <w:rPr>
                <w:sz w:val="16"/>
              </w:rPr>
            </w:pPr>
            <w:r w:rsidRPr="00EB2BD8">
              <w:rPr>
                <w:spacing w:val="-2"/>
                <w:sz w:val="16"/>
              </w:rPr>
              <w:t>SANDNER,</w:t>
            </w:r>
          </w:p>
        </w:tc>
        <w:tc>
          <w:tcPr>
            <w:tcW w:w="1464" w:type="dxa"/>
            <w:tcBorders>
              <w:top w:val="single" w:sz="2" w:space="0" w:color="000000"/>
            </w:tcBorders>
          </w:tcPr>
          <w:p w14:paraId="11B40B00" w14:textId="77777777" w:rsidR="00084F36" w:rsidRPr="00EB2BD8" w:rsidRDefault="00EB2BD8">
            <w:pPr>
              <w:pStyle w:val="TableParagraph"/>
              <w:spacing w:before="113"/>
              <w:ind w:left="165"/>
              <w:rPr>
                <w:sz w:val="16"/>
              </w:rPr>
            </w:pPr>
            <w:r w:rsidRPr="00EB2BD8">
              <w:rPr>
                <w:sz w:val="16"/>
              </w:rPr>
              <w:t>DB-U</w:t>
            </w:r>
            <w:r w:rsidRPr="00EB2BD8">
              <w:rPr>
                <w:spacing w:val="22"/>
                <w:sz w:val="16"/>
              </w:rPr>
              <w:t xml:space="preserve"> </w:t>
            </w:r>
            <w:r w:rsidRPr="00EB2BD8">
              <w:rPr>
                <w:spacing w:val="-2"/>
                <w:sz w:val="16"/>
              </w:rPr>
              <w:t>40130</w:t>
            </w:r>
          </w:p>
        </w:tc>
        <w:tc>
          <w:tcPr>
            <w:tcW w:w="2486" w:type="dxa"/>
            <w:tcBorders>
              <w:top w:val="single" w:sz="2" w:space="0" w:color="000000"/>
            </w:tcBorders>
          </w:tcPr>
          <w:p w14:paraId="4316C967" w14:textId="77777777" w:rsidR="00084F36" w:rsidRPr="00EB2BD8" w:rsidRDefault="00EB2BD8">
            <w:pPr>
              <w:pStyle w:val="TableParagraph"/>
              <w:spacing w:before="113"/>
              <w:ind w:left="334"/>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19" w:type="dxa"/>
            <w:tcBorders>
              <w:top w:val="single" w:sz="2" w:space="0" w:color="000000"/>
            </w:tcBorders>
          </w:tcPr>
          <w:p w14:paraId="5C395C6B" w14:textId="77777777" w:rsidR="00084F36" w:rsidRPr="00EB2BD8" w:rsidRDefault="00EB2BD8">
            <w:pPr>
              <w:pStyle w:val="TableParagraph"/>
              <w:spacing w:before="113"/>
              <w:ind w:left="127"/>
              <w:rPr>
                <w:sz w:val="16"/>
              </w:rPr>
            </w:pPr>
            <w:r w:rsidRPr="00EB2BD8">
              <w:rPr>
                <w:sz w:val="16"/>
              </w:rPr>
              <w:t>Cancellation</w:t>
            </w:r>
            <w:r w:rsidRPr="00EB2BD8">
              <w:rPr>
                <w:spacing w:val="5"/>
                <w:sz w:val="16"/>
              </w:rPr>
              <w:t xml:space="preserve"> </w:t>
            </w:r>
            <w:r w:rsidRPr="00EB2BD8">
              <w:rPr>
                <w:spacing w:val="-5"/>
                <w:sz w:val="16"/>
              </w:rPr>
              <w:t>of</w:t>
            </w:r>
          </w:p>
        </w:tc>
        <w:tc>
          <w:tcPr>
            <w:tcW w:w="1151" w:type="dxa"/>
            <w:tcBorders>
              <w:top w:val="single" w:sz="2" w:space="0" w:color="000000"/>
            </w:tcBorders>
          </w:tcPr>
          <w:p w14:paraId="1F9B5335" w14:textId="77777777" w:rsidR="00084F36" w:rsidRPr="00EB2BD8" w:rsidRDefault="00EB2BD8">
            <w:pPr>
              <w:pStyle w:val="TableParagraph"/>
              <w:spacing w:before="113"/>
              <w:ind w:right="110"/>
              <w:jc w:val="right"/>
              <w:rPr>
                <w:sz w:val="16"/>
              </w:rPr>
            </w:pPr>
            <w:r w:rsidRPr="00EB2BD8">
              <w:rPr>
                <w:w w:val="124"/>
                <w:sz w:val="16"/>
              </w:rPr>
              <w:t>–</w:t>
            </w:r>
          </w:p>
        </w:tc>
        <w:tc>
          <w:tcPr>
            <w:tcW w:w="1176" w:type="dxa"/>
            <w:tcBorders>
              <w:top w:val="single" w:sz="2" w:space="0" w:color="000000"/>
            </w:tcBorders>
          </w:tcPr>
          <w:p w14:paraId="24D3E608" w14:textId="77777777" w:rsidR="00084F36" w:rsidRPr="00EB2BD8" w:rsidRDefault="00EB2BD8">
            <w:pPr>
              <w:pStyle w:val="TableParagraph"/>
              <w:spacing w:before="113"/>
              <w:ind w:left="113"/>
              <w:rPr>
                <w:sz w:val="16"/>
              </w:rPr>
            </w:pPr>
            <w:r w:rsidRPr="00EB2BD8">
              <w:rPr>
                <w:spacing w:val="-2"/>
                <w:w w:val="95"/>
                <w:sz w:val="16"/>
              </w:rPr>
              <w:t>17/03/2023</w:t>
            </w:r>
          </w:p>
        </w:tc>
      </w:tr>
      <w:tr w:rsidR="00EB2BD8" w:rsidRPr="00EB2BD8" w14:paraId="32269770" w14:textId="77777777">
        <w:trPr>
          <w:trHeight w:val="230"/>
        </w:trPr>
        <w:tc>
          <w:tcPr>
            <w:tcW w:w="1705" w:type="dxa"/>
          </w:tcPr>
          <w:p w14:paraId="7798C151" w14:textId="77777777" w:rsidR="00084F36" w:rsidRPr="00EB2BD8" w:rsidRDefault="00EB2BD8">
            <w:pPr>
              <w:pStyle w:val="TableParagraph"/>
              <w:spacing w:before="19"/>
              <w:ind w:left="113"/>
              <w:rPr>
                <w:sz w:val="16"/>
              </w:rPr>
            </w:pPr>
            <w:r w:rsidRPr="00EB2BD8">
              <w:rPr>
                <w:spacing w:val="-2"/>
                <w:sz w:val="16"/>
              </w:rPr>
              <w:t>Christopher</w:t>
            </w:r>
          </w:p>
        </w:tc>
        <w:tc>
          <w:tcPr>
            <w:tcW w:w="1464" w:type="dxa"/>
          </w:tcPr>
          <w:p w14:paraId="3A3D456D" w14:textId="77777777" w:rsidR="00084F36" w:rsidRPr="00EB2BD8" w:rsidRDefault="00084F36">
            <w:pPr>
              <w:pStyle w:val="TableParagraph"/>
              <w:rPr>
                <w:rFonts w:ascii="Times New Roman"/>
                <w:sz w:val="16"/>
              </w:rPr>
            </w:pPr>
          </w:p>
        </w:tc>
        <w:tc>
          <w:tcPr>
            <w:tcW w:w="2486" w:type="dxa"/>
          </w:tcPr>
          <w:p w14:paraId="5B9D29F5" w14:textId="77777777" w:rsidR="00084F36" w:rsidRPr="00EB2BD8" w:rsidRDefault="00EB2BD8">
            <w:pPr>
              <w:pStyle w:val="TableParagraph"/>
              <w:spacing w:before="19"/>
              <w:ind w:left="334"/>
              <w:rPr>
                <w:sz w:val="16"/>
              </w:rPr>
            </w:pPr>
            <w:r w:rsidRPr="00EB2BD8">
              <w:rPr>
                <w:sz w:val="16"/>
              </w:rPr>
              <w:t xml:space="preserve">company under </w:t>
            </w:r>
            <w:r w:rsidRPr="00EB2BD8">
              <w:rPr>
                <w:spacing w:val="-2"/>
                <w:sz w:val="16"/>
              </w:rPr>
              <w:t>external</w:t>
            </w:r>
          </w:p>
        </w:tc>
        <w:tc>
          <w:tcPr>
            <w:tcW w:w="2219" w:type="dxa"/>
          </w:tcPr>
          <w:p w14:paraId="375F8128" w14:textId="77777777" w:rsidR="00084F36" w:rsidRPr="00EB2BD8" w:rsidRDefault="00EB2BD8">
            <w:pPr>
              <w:pStyle w:val="TableParagraph"/>
              <w:spacing w:before="19"/>
              <w:ind w:left="127"/>
              <w:rPr>
                <w:sz w:val="16"/>
              </w:rPr>
            </w:pPr>
            <w:r w:rsidRPr="00EB2BD8">
              <w:rPr>
                <w:spacing w:val="-2"/>
                <w:sz w:val="16"/>
              </w:rPr>
              <w:t>registration.</w:t>
            </w:r>
          </w:p>
        </w:tc>
        <w:tc>
          <w:tcPr>
            <w:tcW w:w="1151" w:type="dxa"/>
          </w:tcPr>
          <w:p w14:paraId="65EABD9C" w14:textId="77777777" w:rsidR="00084F36" w:rsidRPr="00EB2BD8" w:rsidRDefault="00084F36">
            <w:pPr>
              <w:pStyle w:val="TableParagraph"/>
              <w:rPr>
                <w:rFonts w:ascii="Times New Roman"/>
                <w:sz w:val="16"/>
              </w:rPr>
            </w:pPr>
          </w:p>
        </w:tc>
        <w:tc>
          <w:tcPr>
            <w:tcW w:w="1176" w:type="dxa"/>
          </w:tcPr>
          <w:p w14:paraId="797900F4" w14:textId="77777777" w:rsidR="00084F36" w:rsidRPr="00EB2BD8" w:rsidRDefault="00084F36">
            <w:pPr>
              <w:pStyle w:val="TableParagraph"/>
              <w:rPr>
                <w:rFonts w:ascii="Times New Roman"/>
                <w:sz w:val="16"/>
              </w:rPr>
            </w:pPr>
          </w:p>
        </w:tc>
      </w:tr>
      <w:tr w:rsidR="00084F36" w:rsidRPr="00EB2BD8" w14:paraId="2A44E884" w14:textId="77777777">
        <w:trPr>
          <w:trHeight w:val="343"/>
        </w:trPr>
        <w:tc>
          <w:tcPr>
            <w:tcW w:w="1705" w:type="dxa"/>
            <w:tcBorders>
              <w:bottom w:val="single" w:sz="2" w:space="0" w:color="000000"/>
            </w:tcBorders>
          </w:tcPr>
          <w:p w14:paraId="0D8C74D7"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606B04B7" w14:textId="77777777" w:rsidR="00084F36" w:rsidRPr="00EB2BD8" w:rsidRDefault="00084F36">
            <w:pPr>
              <w:pStyle w:val="TableParagraph"/>
              <w:rPr>
                <w:rFonts w:ascii="Times New Roman"/>
                <w:sz w:val="16"/>
              </w:rPr>
            </w:pPr>
          </w:p>
        </w:tc>
        <w:tc>
          <w:tcPr>
            <w:tcW w:w="2486" w:type="dxa"/>
            <w:tcBorders>
              <w:bottom w:val="single" w:sz="2" w:space="0" w:color="000000"/>
            </w:tcBorders>
          </w:tcPr>
          <w:p w14:paraId="04A0CB8F" w14:textId="77777777" w:rsidR="00084F36" w:rsidRPr="00EB2BD8" w:rsidRDefault="00EB2BD8">
            <w:pPr>
              <w:pStyle w:val="TableParagraph"/>
              <w:spacing w:before="19"/>
              <w:ind w:left="334"/>
              <w:rPr>
                <w:sz w:val="16"/>
              </w:rPr>
            </w:pPr>
            <w:r w:rsidRPr="00EB2BD8">
              <w:rPr>
                <w:spacing w:val="-2"/>
                <w:sz w:val="16"/>
              </w:rPr>
              <w:t>administration.</w:t>
            </w:r>
          </w:p>
        </w:tc>
        <w:tc>
          <w:tcPr>
            <w:tcW w:w="2219" w:type="dxa"/>
            <w:tcBorders>
              <w:bottom w:val="single" w:sz="2" w:space="0" w:color="000000"/>
            </w:tcBorders>
          </w:tcPr>
          <w:p w14:paraId="27ADCFB8" w14:textId="77777777" w:rsidR="00084F36" w:rsidRPr="00EB2BD8" w:rsidRDefault="00084F36">
            <w:pPr>
              <w:pStyle w:val="TableParagraph"/>
              <w:rPr>
                <w:rFonts w:ascii="Times New Roman"/>
                <w:sz w:val="16"/>
              </w:rPr>
            </w:pPr>
          </w:p>
        </w:tc>
        <w:tc>
          <w:tcPr>
            <w:tcW w:w="1151" w:type="dxa"/>
            <w:tcBorders>
              <w:bottom w:val="single" w:sz="2" w:space="0" w:color="000000"/>
            </w:tcBorders>
          </w:tcPr>
          <w:p w14:paraId="5206841C"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5F06FDD6" w14:textId="77777777" w:rsidR="00084F36" w:rsidRPr="00EB2BD8" w:rsidRDefault="00084F36">
            <w:pPr>
              <w:pStyle w:val="TableParagraph"/>
              <w:rPr>
                <w:rFonts w:ascii="Times New Roman"/>
                <w:sz w:val="16"/>
              </w:rPr>
            </w:pPr>
          </w:p>
        </w:tc>
      </w:tr>
    </w:tbl>
    <w:p w14:paraId="3098C767" w14:textId="77777777" w:rsidR="00084F36" w:rsidRPr="00EB2BD8" w:rsidRDefault="00084F36">
      <w:pPr>
        <w:rPr>
          <w:rFonts w:ascii="Times New Roman"/>
          <w:sz w:val="16"/>
        </w:rPr>
        <w:sectPr w:rsidR="00084F36" w:rsidRPr="00EB2BD8" w:rsidSect="006D75B2">
          <w:footerReference w:type="default" r:id="rId416"/>
          <w:pgSz w:w="11910" w:h="16840"/>
          <w:pgMar w:top="1100" w:right="0" w:bottom="700" w:left="0" w:header="0" w:footer="515" w:gutter="0"/>
          <w:cols w:space="720"/>
        </w:sectPr>
      </w:pPr>
    </w:p>
    <w:p w14:paraId="70267DC7" w14:textId="77777777" w:rsidR="00084F36" w:rsidRPr="00EB2BD8" w:rsidRDefault="00084F36">
      <w:pPr>
        <w:pStyle w:val="BodyText"/>
        <w:rPr>
          <w:i/>
          <w:sz w:val="20"/>
        </w:rPr>
      </w:pPr>
    </w:p>
    <w:p w14:paraId="0FB42073" w14:textId="77777777" w:rsidR="00084F36" w:rsidRPr="00EB2BD8" w:rsidRDefault="00084F36">
      <w:pPr>
        <w:pStyle w:val="BodyText"/>
        <w:rPr>
          <w:i/>
          <w:sz w:val="20"/>
        </w:rPr>
      </w:pPr>
    </w:p>
    <w:p w14:paraId="0C4D97A6" w14:textId="77777777" w:rsidR="00084F36" w:rsidRPr="00EB2BD8" w:rsidRDefault="00084F36">
      <w:pPr>
        <w:pStyle w:val="BodyText"/>
        <w:rPr>
          <w:i/>
          <w:sz w:val="20"/>
        </w:rPr>
      </w:pPr>
    </w:p>
    <w:p w14:paraId="17BF73CE" w14:textId="77777777" w:rsidR="00084F36" w:rsidRPr="00EB2BD8" w:rsidRDefault="00084F36">
      <w:pPr>
        <w:pStyle w:val="BodyText"/>
        <w:rPr>
          <w:i/>
          <w:sz w:val="20"/>
        </w:rPr>
      </w:pPr>
    </w:p>
    <w:p w14:paraId="26CA57AA" w14:textId="77777777" w:rsidR="00084F36" w:rsidRPr="00EB2BD8" w:rsidRDefault="00084F36">
      <w:pPr>
        <w:pStyle w:val="BodyText"/>
        <w:spacing w:before="9" w:after="1"/>
        <w:rPr>
          <w:i/>
          <w:sz w:val="24"/>
        </w:rPr>
      </w:pPr>
    </w:p>
    <w:tbl>
      <w:tblPr>
        <w:tblW w:w="0" w:type="auto"/>
        <w:tblInd w:w="857" w:type="dxa"/>
        <w:tblLayout w:type="fixed"/>
        <w:tblCellMar>
          <w:left w:w="0" w:type="dxa"/>
          <w:right w:w="0" w:type="dxa"/>
        </w:tblCellMar>
        <w:tblLook w:val="01E0" w:firstRow="1" w:lastRow="1" w:firstColumn="1" w:lastColumn="1" w:noHBand="0" w:noVBand="0"/>
      </w:tblPr>
      <w:tblGrid>
        <w:gridCol w:w="1716"/>
        <w:gridCol w:w="1454"/>
        <w:gridCol w:w="2494"/>
        <w:gridCol w:w="2286"/>
        <w:gridCol w:w="1078"/>
        <w:gridCol w:w="1176"/>
      </w:tblGrid>
      <w:tr w:rsidR="00EB2BD8" w:rsidRPr="00EB2BD8" w14:paraId="7EC054A8" w14:textId="77777777">
        <w:trPr>
          <w:trHeight w:val="614"/>
        </w:trPr>
        <w:tc>
          <w:tcPr>
            <w:tcW w:w="1716" w:type="dxa"/>
            <w:tcBorders>
              <w:bottom w:val="single" w:sz="2" w:space="0" w:color="000000"/>
            </w:tcBorders>
            <w:shd w:val="clear" w:color="auto" w:fill="005F83"/>
          </w:tcPr>
          <w:p w14:paraId="3B91E695" w14:textId="77777777" w:rsidR="00084F36" w:rsidRPr="00697E0C" w:rsidRDefault="00EB2BD8">
            <w:pPr>
              <w:pStyle w:val="TableParagraph"/>
              <w:spacing w:before="118"/>
              <w:ind w:left="113"/>
              <w:rPr>
                <w:color w:val="FFFFFF" w:themeColor="background1"/>
                <w:sz w:val="16"/>
              </w:rPr>
            </w:pPr>
            <w:r w:rsidRPr="00697E0C">
              <w:rPr>
                <w:color w:val="FFFFFF" w:themeColor="background1"/>
                <w:w w:val="105"/>
                <w:sz w:val="16"/>
              </w:rPr>
              <w:t>Practitioner</w:t>
            </w:r>
            <w:r w:rsidRPr="00697E0C">
              <w:rPr>
                <w:color w:val="FFFFFF" w:themeColor="background1"/>
                <w:spacing w:val="-14"/>
                <w:w w:val="105"/>
                <w:sz w:val="16"/>
              </w:rPr>
              <w:t xml:space="preserve"> </w:t>
            </w:r>
            <w:r w:rsidRPr="00697E0C">
              <w:rPr>
                <w:color w:val="FFFFFF" w:themeColor="background1"/>
                <w:spacing w:val="-4"/>
                <w:w w:val="105"/>
                <w:sz w:val="16"/>
              </w:rPr>
              <w:t>name</w:t>
            </w:r>
          </w:p>
        </w:tc>
        <w:tc>
          <w:tcPr>
            <w:tcW w:w="1454" w:type="dxa"/>
            <w:tcBorders>
              <w:bottom w:val="single" w:sz="2" w:space="0" w:color="000000"/>
            </w:tcBorders>
            <w:shd w:val="clear" w:color="auto" w:fill="005F83"/>
          </w:tcPr>
          <w:p w14:paraId="6747A317" w14:textId="77777777" w:rsidR="00084F36" w:rsidRPr="00697E0C" w:rsidRDefault="00EB2BD8">
            <w:pPr>
              <w:pStyle w:val="TableParagraph"/>
              <w:spacing w:before="118" w:line="292" w:lineRule="auto"/>
              <w:ind w:left="154"/>
              <w:rPr>
                <w:color w:val="FFFFFF" w:themeColor="background1"/>
                <w:sz w:val="16"/>
              </w:rPr>
            </w:pPr>
            <w:r w:rsidRPr="00697E0C">
              <w:rPr>
                <w:color w:val="FFFFFF" w:themeColor="background1"/>
                <w:spacing w:val="-2"/>
                <w:sz w:val="16"/>
              </w:rPr>
              <w:t xml:space="preserve">Registration </w:t>
            </w:r>
            <w:r w:rsidRPr="00697E0C">
              <w:rPr>
                <w:color w:val="FFFFFF" w:themeColor="background1"/>
                <w:spacing w:val="-2"/>
                <w:w w:val="105"/>
                <w:sz w:val="16"/>
              </w:rPr>
              <w:t>Number</w:t>
            </w:r>
          </w:p>
        </w:tc>
        <w:tc>
          <w:tcPr>
            <w:tcW w:w="2494" w:type="dxa"/>
            <w:tcBorders>
              <w:bottom w:val="single" w:sz="2" w:space="0" w:color="000000"/>
            </w:tcBorders>
            <w:shd w:val="clear" w:color="auto" w:fill="005F83"/>
          </w:tcPr>
          <w:p w14:paraId="424895B4" w14:textId="77777777" w:rsidR="00084F36" w:rsidRPr="00697E0C" w:rsidRDefault="00EB2BD8">
            <w:pPr>
              <w:pStyle w:val="TableParagraph"/>
              <w:spacing w:before="118"/>
              <w:ind w:left="333"/>
              <w:rPr>
                <w:color w:val="FFFFFF" w:themeColor="background1"/>
                <w:sz w:val="16"/>
              </w:rPr>
            </w:pPr>
            <w:r w:rsidRPr="00697E0C">
              <w:rPr>
                <w:color w:val="FFFFFF" w:themeColor="background1"/>
                <w:spacing w:val="-2"/>
                <w:w w:val="105"/>
                <w:sz w:val="16"/>
              </w:rPr>
              <w:t>Conduct</w:t>
            </w:r>
          </w:p>
        </w:tc>
        <w:tc>
          <w:tcPr>
            <w:tcW w:w="2286" w:type="dxa"/>
            <w:tcBorders>
              <w:bottom w:val="single" w:sz="2" w:space="0" w:color="000000"/>
            </w:tcBorders>
            <w:shd w:val="clear" w:color="auto" w:fill="005F83"/>
          </w:tcPr>
          <w:p w14:paraId="75A3E6E4" w14:textId="77777777" w:rsidR="00084F36" w:rsidRPr="00697E0C" w:rsidRDefault="00EB2BD8">
            <w:pPr>
              <w:pStyle w:val="TableParagraph"/>
              <w:spacing w:before="118"/>
              <w:ind w:left="118"/>
              <w:rPr>
                <w:color w:val="FFFFFF" w:themeColor="background1"/>
                <w:sz w:val="16"/>
              </w:rPr>
            </w:pPr>
            <w:r w:rsidRPr="00697E0C">
              <w:rPr>
                <w:color w:val="FFFFFF" w:themeColor="background1"/>
                <w:spacing w:val="-2"/>
                <w:sz w:val="16"/>
              </w:rPr>
              <w:t>Result</w:t>
            </w:r>
          </w:p>
        </w:tc>
        <w:tc>
          <w:tcPr>
            <w:tcW w:w="1078" w:type="dxa"/>
            <w:tcBorders>
              <w:bottom w:val="single" w:sz="2" w:space="0" w:color="000000"/>
            </w:tcBorders>
            <w:shd w:val="clear" w:color="auto" w:fill="005F83"/>
          </w:tcPr>
          <w:p w14:paraId="2BDDA421" w14:textId="77777777" w:rsidR="00084F36" w:rsidRPr="00697E0C" w:rsidRDefault="00EB2BD8">
            <w:pPr>
              <w:pStyle w:val="TableParagraph"/>
              <w:spacing w:before="118" w:line="292" w:lineRule="auto"/>
              <w:ind w:left="111" w:right="93"/>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35</w:t>
            </w:r>
          </w:p>
        </w:tc>
        <w:tc>
          <w:tcPr>
            <w:tcW w:w="1176" w:type="dxa"/>
            <w:tcBorders>
              <w:bottom w:val="single" w:sz="2" w:space="0" w:color="000000"/>
            </w:tcBorders>
            <w:shd w:val="clear" w:color="auto" w:fill="005F83"/>
          </w:tcPr>
          <w:p w14:paraId="70EE3DA8" w14:textId="77777777" w:rsidR="00084F36" w:rsidRPr="00697E0C" w:rsidRDefault="00EB2BD8">
            <w:pPr>
              <w:pStyle w:val="TableParagraph"/>
              <w:spacing w:before="118"/>
              <w:ind w:left="110"/>
              <w:rPr>
                <w:color w:val="FFFFFF" w:themeColor="background1"/>
                <w:sz w:val="9"/>
              </w:rPr>
            </w:pPr>
            <w:r w:rsidRPr="00697E0C">
              <w:rPr>
                <w:color w:val="FFFFFF" w:themeColor="background1"/>
                <w:spacing w:val="-2"/>
                <w:w w:val="105"/>
                <w:sz w:val="16"/>
              </w:rPr>
              <w:t>Date</w:t>
            </w:r>
            <w:r w:rsidRPr="00697E0C">
              <w:rPr>
                <w:color w:val="FFFFFF" w:themeColor="background1"/>
                <w:spacing w:val="-2"/>
                <w:w w:val="105"/>
                <w:position w:val="5"/>
                <w:sz w:val="9"/>
              </w:rPr>
              <w:t>36</w:t>
            </w:r>
          </w:p>
        </w:tc>
      </w:tr>
      <w:tr w:rsidR="00EB2BD8" w:rsidRPr="00EB2BD8" w14:paraId="6A9A583B" w14:textId="77777777">
        <w:trPr>
          <w:trHeight w:val="326"/>
        </w:trPr>
        <w:tc>
          <w:tcPr>
            <w:tcW w:w="1716" w:type="dxa"/>
            <w:tcBorders>
              <w:top w:val="single" w:sz="2" w:space="0" w:color="000000"/>
            </w:tcBorders>
          </w:tcPr>
          <w:p w14:paraId="337CB056" w14:textId="77777777" w:rsidR="00084F36" w:rsidRPr="00EB2BD8" w:rsidRDefault="00EB2BD8">
            <w:pPr>
              <w:pStyle w:val="TableParagraph"/>
              <w:spacing w:before="116"/>
              <w:ind w:left="113"/>
              <w:rPr>
                <w:sz w:val="16"/>
              </w:rPr>
            </w:pPr>
            <w:r w:rsidRPr="00EB2BD8">
              <w:rPr>
                <w:sz w:val="16"/>
              </w:rPr>
              <w:t>SIMPSON,</w:t>
            </w:r>
            <w:r w:rsidRPr="00EB2BD8">
              <w:rPr>
                <w:spacing w:val="-6"/>
                <w:sz w:val="16"/>
              </w:rPr>
              <w:t xml:space="preserve"> </w:t>
            </w:r>
            <w:r w:rsidRPr="00EB2BD8">
              <w:rPr>
                <w:spacing w:val="-2"/>
                <w:sz w:val="16"/>
              </w:rPr>
              <w:t>Joseph</w:t>
            </w:r>
          </w:p>
        </w:tc>
        <w:tc>
          <w:tcPr>
            <w:tcW w:w="1454" w:type="dxa"/>
            <w:tcBorders>
              <w:top w:val="single" w:sz="2" w:space="0" w:color="000000"/>
            </w:tcBorders>
          </w:tcPr>
          <w:p w14:paraId="51859E18" w14:textId="77777777" w:rsidR="00084F36" w:rsidRPr="00EB2BD8" w:rsidRDefault="00EB2BD8">
            <w:pPr>
              <w:pStyle w:val="TableParagraph"/>
              <w:spacing w:before="116"/>
              <w:ind w:left="154"/>
              <w:rPr>
                <w:sz w:val="16"/>
              </w:rPr>
            </w:pPr>
            <w:r w:rsidRPr="00EB2BD8">
              <w:rPr>
                <w:w w:val="105"/>
                <w:sz w:val="16"/>
              </w:rPr>
              <w:t>CB-L</w:t>
            </w:r>
            <w:r w:rsidRPr="00EB2BD8">
              <w:rPr>
                <w:spacing w:val="13"/>
                <w:w w:val="105"/>
                <w:sz w:val="16"/>
              </w:rPr>
              <w:t xml:space="preserve"> </w:t>
            </w:r>
            <w:r w:rsidRPr="00EB2BD8">
              <w:rPr>
                <w:spacing w:val="-2"/>
                <w:w w:val="105"/>
                <w:sz w:val="16"/>
              </w:rPr>
              <w:t>33524</w:t>
            </w:r>
          </w:p>
        </w:tc>
        <w:tc>
          <w:tcPr>
            <w:tcW w:w="2494" w:type="dxa"/>
            <w:tcBorders>
              <w:top w:val="single" w:sz="2" w:space="0" w:color="000000"/>
            </w:tcBorders>
          </w:tcPr>
          <w:p w14:paraId="0E0EEA2B" w14:textId="77777777" w:rsidR="00084F36" w:rsidRPr="00EB2BD8" w:rsidRDefault="00EB2BD8">
            <w:pPr>
              <w:pStyle w:val="TableParagraph"/>
              <w:spacing w:before="116"/>
              <w:ind w:left="333"/>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86" w:type="dxa"/>
            <w:tcBorders>
              <w:top w:val="single" w:sz="2" w:space="0" w:color="000000"/>
            </w:tcBorders>
          </w:tcPr>
          <w:p w14:paraId="6D3A393A" w14:textId="77777777" w:rsidR="00084F36" w:rsidRPr="00EB2BD8" w:rsidRDefault="00EB2BD8">
            <w:pPr>
              <w:pStyle w:val="TableParagraph"/>
              <w:spacing w:before="115"/>
              <w:ind w:left="118"/>
              <w:rPr>
                <w:sz w:val="16"/>
              </w:rPr>
            </w:pPr>
            <w:r w:rsidRPr="00EB2BD8">
              <w:rPr>
                <w:sz w:val="16"/>
              </w:rPr>
              <w:t>Reprimands</w:t>
            </w:r>
            <w:r w:rsidRPr="00EB2BD8">
              <w:rPr>
                <w:spacing w:val="-2"/>
                <w:sz w:val="16"/>
              </w:rPr>
              <w:t xml:space="preserve"> </w:t>
            </w:r>
            <w:r w:rsidRPr="00EB2BD8">
              <w:rPr>
                <w:spacing w:val="-5"/>
                <w:sz w:val="16"/>
              </w:rPr>
              <w:t>and</w:t>
            </w:r>
          </w:p>
        </w:tc>
        <w:tc>
          <w:tcPr>
            <w:tcW w:w="1078" w:type="dxa"/>
            <w:tcBorders>
              <w:top w:val="single" w:sz="2" w:space="0" w:color="000000"/>
            </w:tcBorders>
          </w:tcPr>
          <w:p w14:paraId="6DB25C74" w14:textId="77777777" w:rsidR="00084F36" w:rsidRPr="00EB2BD8" w:rsidRDefault="00EB2BD8">
            <w:pPr>
              <w:pStyle w:val="TableParagraph"/>
              <w:spacing w:before="115"/>
              <w:ind w:right="114"/>
              <w:jc w:val="right"/>
              <w:rPr>
                <w:sz w:val="16"/>
              </w:rPr>
            </w:pPr>
            <w:r w:rsidRPr="00EB2BD8">
              <w:rPr>
                <w:spacing w:val="-2"/>
                <w:sz w:val="16"/>
              </w:rPr>
              <w:t>$8,000</w:t>
            </w:r>
          </w:p>
        </w:tc>
        <w:tc>
          <w:tcPr>
            <w:tcW w:w="1176" w:type="dxa"/>
            <w:tcBorders>
              <w:top w:val="single" w:sz="2" w:space="0" w:color="000000"/>
            </w:tcBorders>
          </w:tcPr>
          <w:p w14:paraId="6E91CE0A" w14:textId="77777777" w:rsidR="00084F36" w:rsidRPr="00EB2BD8" w:rsidRDefault="00EB2BD8">
            <w:pPr>
              <w:pStyle w:val="TableParagraph"/>
              <w:spacing w:before="115"/>
              <w:ind w:left="110"/>
              <w:rPr>
                <w:sz w:val="16"/>
              </w:rPr>
            </w:pPr>
            <w:r w:rsidRPr="00EB2BD8">
              <w:rPr>
                <w:spacing w:val="-2"/>
                <w:w w:val="90"/>
                <w:sz w:val="16"/>
              </w:rPr>
              <w:t>23/12/2022</w:t>
            </w:r>
          </w:p>
        </w:tc>
      </w:tr>
      <w:tr w:rsidR="00EB2BD8" w:rsidRPr="00EB2BD8" w14:paraId="4A6CEFDB" w14:textId="77777777">
        <w:trPr>
          <w:trHeight w:val="229"/>
        </w:trPr>
        <w:tc>
          <w:tcPr>
            <w:tcW w:w="1716" w:type="dxa"/>
          </w:tcPr>
          <w:p w14:paraId="3E37C05A" w14:textId="77777777" w:rsidR="00084F36" w:rsidRPr="00EB2BD8" w:rsidRDefault="00084F36">
            <w:pPr>
              <w:pStyle w:val="TableParagraph"/>
              <w:rPr>
                <w:rFonts w:ascii="Times New Roman"/>
                <w:sz w:val="16"/>
              </w:rPr>
            </w:pPr>
          </w:p>
        </w:tc>
        <w:tc>
          <w:tcPr>
            <w:tcW w:w="1454" w:type="dxa"/>
          </w:tcPr>
          <w:p w14:paraId="7BDB0C44" w14:textId="77777777" w:rsidR="00084F36" w:rsidRPr="00EB2BD8" w:rsidRDefault="00084F36">
            <w:pPr>
              <w:pStyle w:val="TableParagraph"/>
              <w:rPr>
                <w:rFonts w:ascii="Times New Roman"/>
                <w:sz w:val="16"/>
              </w:rPr>
            </w:pPr>
          </w:p>
        </w:tc>
        <w:tc>
          <w:tcPr>
            <w:tcW w:w="2494" w:type="dxa"/>
          </w:tcPr>
          <w:p w14:paraId="1D728929" w14:textId="77777777" w:rsidR="00084F36" w:rsidRPr="00EB2BD8" w:rsidRDefault="00EB2BD8">
            <w:pPr>
              <w:pStyle w:val="TableParagraph"/>
              <w:spacing w:before="19"/>
              <w:ind w:left="333"/>
              <w:rPr>
                <w:sz w:val="16"/>
              </w:rPr>
            </w:pPr>
            <w:r w:rsidRPr="00EB2BD8">
              <w:rPr>
                <w:sz w:val="16"/>
              </w:rPr>
              <w:t>mandatory</w:t>
            </w:r>
            <w:r w:rsidRPr="00EB2BD8">
              <w:rPr>
                <w:spacing w:val="14"/>
                <w:sz w:val="16"/>
              </w:rPr>
              <w:t xml:space="preserve"> </w:t>
            </w:r>
            <w:r w:rsidRPr="00EB2BD8">
              <w:rPr>
                <w:spacing w:val="-2"/>
                <w:sz w:val="16"/>
              </w:rPr>
              <w:t>stage</w:t>
            </w:r>
          </w:p>
        </w:tc>
        <w:tc>
          <w:tcPr>
            <w:tcW w:w="2286" w:type="dxa"/>
          </w:tcPr>
          <w:p w14:paraId="4E04B87E" w14:textId="77777777" w:rsidR="00084F36" w:rsidRPr="00EB2BD8" w:rsidRDefault="00EB2BD8">
            <w:pPr>
              <w:pStyle w:val="TableParagraph"/>
              <w:spacing w:before="19"/>
              <w:ind w:left="118"/>
              <w:rPr>
                <w:sz w:val="16"/>
              </w:rPr>
            </w:pPr>
            <w:r w:rsidRPr="00EB2BD8">
              <w:rPr>
                <w:sz w:val="16"/>
              </w:rPr>
              <w:t>aggregate</w:t>
            </w:r>
            <w:r w:rsidRPr="00EB2BD8">
              <w:rPr>
                <w:spacing w:val="5"/>
                <w:sz w:val="16"/>
              </w:rPr>
              <w:t xml:space="preserve"> </w:t>
            </w:r>
            <w:r w:rsidRPr="00EB2BD8">
              <w:rPr>
                <w:sz w:val="16"/>
              </w:rPr>
              <w:t>penalties</w:t>
            </w:r>
            <w:r w:rsidRPr="00EB2BD8">
              <w:rPr>
                <w:spacing w:val="5"/>
                <w:sz w:val="16"/>
              </w:rPr>
              <w:t xml:space="preserve"> </w:t>
            </w:r>
            <w:r w:rsidRPr="00EB2BD8">
              <w:rPr>
                <w:spacing w:val="-5"/>
                <w:sz w:val="16"/>
              </w:rPr>
              <w:t>of</w:t>
            </w:r>
          </w:p>
        </w:tc>
        <w:tc>
          <w:tcPr>
            <w:tcW w:w="1078" w:type="dxa"/>
          </w:tcPr>
          <w:p w14:paraId="2626A85F" w14:textId="77777777" w:rsidR="00084F36" w:rsidRPr="00EB2BD8" w:rsidRDefault="00084F36">
            <w:pPr>
              <w:pStyle w:val="TableParagraph"/>
              <w:rPr>
                <w:rFonts w:ascii="Times New Roman"/>
                <w:sz w:val="16"/>
              </w:rPr>
            </w:pPr>
          </w:p>
        </w:tc>
        <w:tc>
          <w:tcPr>
            <w:tcW w:w="1176" w:type="dxa"/>
          </w:tcPr>
          <w:p w14:paraId="3415FBE3" w14:textId="77777777" w:rsidR="00084F36" w:rsidRPr="00EB2BD8" w:rsidRDefault="00084F36">
            <w:pPr>
              <w:pStyle w:val="TableParagraph"/>
              <w:rPr>
                <w:rFonts w:ascii="Times New Roman"/>
                <w:sz w:val="16"/>
              </w:rPr>
            </w:pPr>
          </w:p>
        </w:tc>
      </w:tr>
      <w:tr w:rsidR="00EB2BD8" w:rsidRPr="00EB2BD8" w14:paraId="0939303B" w14:textId="77777777">
        <w:trPr>
          <w:trHeight w:val="230"/>
        </w:trPr>
        <w:tc>
          <w:tcPr>
            <w:tcW w:w="1716" w:type="dxa"/>
          </w:tcPr>
          <w:p w14:paraId="503A8DD5" w14:textId="77777777" w:rsidR="00084F36" w:rsidRPr="00EB2BD8" w:rsidRDefault="00084F36">
            <w:pPr>
              <w:pStyle w:val="TableParagraph"/>
              <w:rPr>
                <w:rFonts w:ascii="Times New Roman"/>
                <w:sz w:val="16"/>
              </w:rPr>
            </w:pPr>
          </w:p>
        </w:tc>
        <w:tc>
          <w:tcPr>
            <w:tcW w:w="1454" w:type="dxa"/>
          </w:tcPr>
          <w:p w14:paraId="71600615" w14:textId="77777777" w:rsidR="00084F36" w:rsidRPr="00EB2BD8" w:rsidRDefault="00084F36">
            <w:pPr>
              <w:pStyle w:val="TableParagraph"/>
              <w:rPr>
                <w:rFonts w:ascii="Times New Roman"/>
                <w:sz w:val="16"/>
              </w:rPr>
            </w:pPr>
          </w:p>
        </w:tc>
        <w:tc>
          <w:tcPr>
            <w:tcW w:w="2494" w:type="dxa"/>
          </w:tcPr>
          <w:p w14:paraId="0BD64E71" w14:textId="77777777" w:rsidR="00084F36" w:rsidRPr="00EB2BD8" w:rsidRDefault="00EB2BD8">
            <w:pPr>
              <w:pStyle w:val="TableParagraph"/>
              <w:spacing w:before="19"/>
              <w:ind w:left="333"/>
              <w:rPr>
                <w:sz w:val="16"/>
              </w:rPr>
            </w:pPr>
            <w:r w:rsidRPr="00EB2BD8">
              <w:rPr>
                <w:spacing w:val="-4"/>
                <w:sz w:val="16"/>
              </w:rPr>
              <w:t>inspections</w:t>
            </w:r>
            <w:r w:rsidRPr="00EB2BD8">
              <w:rPr>
                <w:sz w:val="16"/>
              </w:rPr>
              <w:t xml:space="preserve"> </w:t>
            </w:r>
            <w:r w:rsidRPr="00EB2BD8">
              <w:rPr>
                <w:spacing w:val="-4"/>
                <w:sz w:val="16"/>
              </w:rPr>
              <w:t>(2</w:t>
            </w:r>
            <w:r w:rsidRPr="00EB2BD8">
              <w:rPr>
                <w:sz w:val="16"/>
              </w:rPr>
              <w:t xml:space="preserve"> </w:t>
            </w:r>
            <w:r w:rsidRPr="00EB2BD8">
              <w:rPr>
                <w:spacing w:val="-4"/>
                <w:sz w:val="16"/>
              </w:rPr>
              <w:t>stages)</w:t>
            </w:r>
          </w:p>
        </w:tc>
        <w:tc>
          <w:tcPr>
            <w:tcW w:w="2286" w:type="dxa"/>
          </w:tcPr>
          <w:p w14:paraId="378BED70" w14:textId="77777777" w:rsidR="00084F36" w:rsidRPr="00EB2BD8" w:rsidRDefault="00EB2BD8">
            <w:pPr>
              <w:pStyle w:val="TableParagraph"/>
              <w:spacing w:before="19"/>
              <w:ind w:left="118"/>
              <w:rPr>
                <w:sz w:val="16"/>
              </w:rPr>
            </w:pPr>
            <w:r w:rsidRPr="00EB2BD8">
              <w:rPr>
                <w:spacing w:val="-2"/>
                <w:sz w:val="16"/>
              </w:rPr>
              <w:t>$8,000.</w:t>
            </w:r>
          </w:p>
        </w:tc>
        <w:tc>
          <w:tcPr>
            <w:tcW w:w="1078" w:type="dxa"/>
          </w:tcPr>
          <w:p w14:paraId="0E20B7DC" w14:textId="77777777" w:rsidR="00084F36" w:rsidRPr="00EB2BD8" w:rsidRDefault="00084F36">
            <w:pPr>
              <w:pStyle w:val="TableParagraph"/>
              <w:rPr>
                <w:rFonts w:ascii="Times New Roman"/>
                <w:sz w:val="16"/>
              </w:rPr>
            </w:pPr>
          </w:p>
        </w:tc>
        <w:tc>
          <w:tcPr>
            <w:tcW w:w="1176" w:type="dxa"/>
          </w:tcPr>
          <w:p w14:paraId="183A220E" w14:textId="77777777" w:rsidR="00084F36" w:rsidRPr="00EB2BD8" w:rsidRDefault="00084F36">
            <w:pPr>
              <w:pStyle w:val="TableParagraph"/>
              <w:rPr>
                <w:rFonts w:ascii="Times New Roman"/>
                <w:sz w:val="16"/>
              </w:rPr>
            </w:pPr>
          </w:p>
        </w:tc>
      </w:tr>
      <w:tr w:rsidR="00EB2BD8" w:rsidRPr="00EB2BD8" w14:paraId="79FAE950" w14:textId="77777777">
        <w:trPr>
          <w:trHeight w:val="229"/>
        </w:trPr>
        <w:tc>
          <w:tcPr>
            <w:tcW w:w="1716" w:type="dxa"/>
          </w:tcPr>
          <w:p w14:paraId="71FC034C" w14:textId="77777777" w:rsidR="00084F36" w:rsidRPr="00EB2BD8" w:rsidRDefault="00084F36">
            <w:pPr>
              <w:pStyle w:val="TableParagraph"/>
              <w:rPr>
                <w:rFonts w:ascii="Times New Roman"/>
                <w:sz w:val="16"/>
              </w:rPr>
            </w:pPr>
          </w:p>
        </w:tc>
        <w:tc>
          <w:tcPr>
            <w:tcW w:w="1454" w:type="dxa"/>
          </w:tcPr>
          <w:p w14:paraId="6C177FD4" w14:textId="77777777" w:rsidR="00084F36" w:rsidRPr="00EB2BD8" w:rsidRDefault="00084F36">
            <w:pPr>
              <w:pStyle w:val="TableParagraph"/>
              <w:rPr>
                <w:rFonts w:ascii="Times New Roman"/>
                <w:sz w:val="16"/>
              </w:rPr>
            </w:pPr>
          </w:p>
        </w:tc>
        <w:tc>
          <w:tcPr>
            <w:tcW w:w="2494" w:type="dxa"/>
          </w:tcPr>
          <w:p w14:paraId="5C8FE6B8" w14:textId="77777777" w:rsidR="00084F36" w:rsidRPr="00EB2BD8" w:rsidRDefault="00EB2BD8">
            <w:pPr>
              <w:pStyle w:val="TableParagraph"/>
              <w:spacing w:before="19"/>
              <w:ind w:left="333"/>
              <w:rPr>
                <w:sz w:val="16"/>
              </w:rPr>
            </w:pPr>
            <w:r w:rsidRPr="00EB2BD8">
              <w:rPr>
                <w:sz w:val="16"/>
              </w:rPr>
              <w:t>and</w:t>
            </w:r>
            <w:r w:rsidRPr="00EB2BD8">
              <w:rPr>
                <w:spacing w:val="-13"/>
                <w:sz w:val="16"/>
              </w:rPr>
              <w:t xml:space="preserve"> </w:t>
            </w:r>
            <w:r w:rsidRPr="00EB2BD8">
              <w:rPr>
                <w:sz w:val="16"/>
              </w:rPr>
              <w:t>failing</w:t>
            </w:r>
            <w:r w:rsidRPr="00EB2BD8">
              <w:rPr>
                <w:spacing w:val="-12"/>
                <w:sz w:val="16"/>
              </w:rPr>
              <w:t xml:space="preserve"> </w:t>
            </w:r>
            <w:r w:rsidRPr="00EB2BD8">
              <w:rPr>
                <w:sz w:val="16"/>
              </w:rPr>
              <w:t>to</w:t>
            </w:r>
            <w:r w:rsidRPr="00EB2BD8">
              <w:rPr>
                <w:spacing w:val="-13"/>
                <w:sz w:val="16"/>
              </w:rPr>
              <w:t xml:space="preserve"> </w:t>
            </w:r>
            <w:r w:rsidRPr="00EB2BD8">
              <w:rPr>
                <w:spacing w:val="-2"/>
                <w:sz w:val="16"/>
              </w:rPr>
              <w:t>ensure</w:t>
            </w:r>
          </w:p>
        </w:tc>
        <w:tc>
          <w:tcPr>
            <w:tcW w:w="2286" w:type="dxa"/>
          </w:tcPr>
          <w:p w14:paraId="179300AE" w14:textId="77777777" w:rsidR="00084F36" w:rsidRPr="00EB2BD8" w:rsidRDefault="00084F36">
            <w:pPr>
              <w:pStyle w:val="TableParagraph"/>
              <w:rPr>
                <w:rFonts w:ascii="Times New Roman"/>
                <w:sz w:val="16"/>
              </w:rPr>
            </w:pPr>
          </w:p>
        </w:tc>
        <w:tc>
          <w:tcPr>
            <w:tcW w:w="1078" w:type="dxa"/>
          </w:tcPr>
          <w:p w14:paraId="7D8DD2E6" w14:textId="77777777" w:rsidR="00084F36" w:rsidRPr="00EB2BD8" w:rsidRDefault="00084F36">
            <w:pPr>
              <w:pStyle w:val="TableParagraph"/>
              <w:rPr>
                <w:rFonts w:ascii="Times New Roman"/>
                <w:sz w:val="16"/>
              </w:rPr>
            </w:pPr>
          </w:p>
        </w:tc>
        <w:tc>
          <w:tcPr>
            <w:tcW w:w="1176" w:type="dxa"/>
          </w:tcPr>
          <w:p w14:paraId="44E0AA87" w14:textId="77777777" w:rsidR="00084F36" w:rsidRPr="00EB2BD8" w:rsidRDefault="00084F36">
            <w:pPr>
              <w:pStyle w:val="TableParagraph"/>
              <w:rPr>
                <w:rFonts w:ascii="Times New Roman"/>
                <w:sz w:val="16"/>
              </w:rPr>
            </w:pPr>
          </w:p>
        </w:tc>
      </w:tr>
      <w:tr w:rsidR="00EB2BD8" w:rsidRPr="00EB2BD8" w14:paraId="271DA52F" w14:textId="77777777">
        <w:trPr>
          <w:trHeight w:val="229"/>
        </w:trPr>
        <w:tc>
          <w:tcPr>
            <w:tcW w:w="1716" w:type="dxa"/>
          </w:tcPr>
          <w:p w14:paraId="29D58DF6" w14:textId="77777777" w:rsidR="00084F36" w:rsidRPr="00EB2BD8" w:rsidRDefault="00084F36">
            <w:pPr>
              <w:pStyle w:val="TableParagraph"/>
              <w:rPr>
                <w:rFonts w:ascii="Times New Roman"/>
                <w:sz w:val="16"/>
              </w:rPr>
            </w:pPr>
          </w:p>
        </w:tc>
        <w:tc>
          <w:tcPr>
            <w:tcW w:w="1454" w:type="dxa"/>
          </w:tcPr>
          <w:p w14:paraId="00B3DF6D" w14:textId="77777777" w:rsidR="00084F36" w:rsidRPr="00EB2BD8" w:rsidRDefault="00084F36">
            <w:pPr>
              <w:pStyle w:val="TableParagraph"/>
              <w:rPr>
                <w:rFonts w:ascii="Times New Roman"/>
                <w:sz w:val="16"/>
              </w:rPr>
            </w:pPr>
          </w:p>
        </w:tc>
        <w:tc>
          <w:tcPr>
            <w:tcW w:w="2494" w:type="dxa"/>
          </w:tcPr>
          <w:p w14:paraId="0F8F0FE6" w14:textId="77777777" w:rsidR="00084F36" w:rsidRPr="00EB2BD8" w:rsidRDefault="00EB2BD8">
            <w:pPr>
              <w:pStyle w:val="TableParagraph"/>
              <w:spacing w:before="19"/>
              <w:ind w:left="333"/>
              <w:rPr>
                <w:sz w:val="16"/>
              </w:rPr>
            </w:pPr>
            <w:r w:rsidRPr="00EB2BD8">
              <w:rPr>
                <w:sz w:val="16"/>
              </w:rPr>
              <w:t>that</w:t>
            </w:r>
            <w:r w:rsidRPr="00EB2BD8">
              <w:rPr>
                <w:spacing w:val="-10"/>
                <w:sz w:val="16"/>
              </w:rPr>
              <w:t xml:space="preserve"> </w:t>
            </w:r>
            <w:r w:rsidRPr="00EB2BD8">
              <w:rPr>
                <w:sz w:val="16"/>
              </w:rPr>
              <w:t>work</w:t>
            </w:r>
            <w:r w:rsidRPr="00EB2BD8">
              <w:rPr>
                <w:spacing w:val="-10"/>
                <w:sz w:val="16"/>
              </w:rPr>
              <w:t xml:space="preserve"> </w:t>
            </w:r>
            <w:r w:rsidRPr="00EB2BD8">
              <w:rPr>
                <w:sz w:val="16"/>
              </w:rPr>
              <w:t>was</w:t>
            </w:r>
            <w:r w:rsidRPr="00EB2BD8">
              <w:rPr>
                <w:spacing w:val="-10"/>
                <w:sz w:val="16"/>
              </w:rPr>
              <w:t xml:space="preserve"> </w:t>
            </w:r>
            <w:r w:rsidRPr="00EB2BD8">
              <w:rPr>
                <w:spacing w:val="-2"/>
                <w:sz w:val="16"/>
              </w:rPr>
              <w:t>carried</w:t>
            </w:r>
          </w:p>
        </w:tc>
        <w:tc>
          <w:tcPr>
            <w:tcW w:w="2286" w:type="dxa"/>
          </w:tcPr>
          <w:p w14:paraId="7E619FFA" w14:textId="77777777" w:rsidR="00084F36" w:rsidRPr="00EB2BD8" w:rsidRDefault="00084F36">
            <w:pPr>
              <w:pStyle w:val="TableParagraph"/>
              <w:rPr>
                <w:rFonts w:ascii="Times New Roman"/>
                <w:sz w:val="16"/>
              </w:rPr>
            </w:pPr>
          </w:p>
        </w:tc>
        <w:tc>
          <w:tcPr>
            <w:tcW w:w="1078" w:type="dxa"/>
          </w:tcPr>
          <w:p w14:paraId="024332B9" w14:textId="77777777" w:rsidR="00084F36" w:rsidRPr="00EB2BD8" w:rsidRDefault="00084F36">
            <w:pPr>
              <w:pStyle w:val="TableParagraph"/>
              <w:rPr>
                <w:rFonts w:ascii="Times New Roman"/>
                <w:sz w:val="16"/>
              </w:rPr>
            </w:pPr>
          </w:p>
        </w:tc>
        <w:tc>
          <w:tcPr>
            <w:tcW w:w="1176" w:type="dxa"/>
          </w:tcPr>
          <w:p w14:paraId="66FD867F" w14:textId="77777777" w:rsidR="00084F36" w:rsidRPr="00EB2BD8" w:rsidRDefault="00084F36">
            <w:pPr>
              <w:pStyle w:val="TableParagraph"/>
              <w:rPr>
                <w:rFonts w:ascii="Times New Roman"/>
                <w:sz w:val="16"/>
              </w:rPr>
            </w:pPr>
          </w:p>
        </w:tc>
      </w:tr>
      <w:tr w:rsidR="00EB2BD8" w:rsidRPr="00EB2BD8" w14:paraId="38482576" w14:textId="77777777">
        <w:trPr>
          <w:trHeight w:val="229"/>
        </w:trPr>
        <w:tc>
          <w:tcPr>
            <w:tcW w:w="1716" w:type="dxa"/>
          </w:tcPr>
          <w:p w14:paraId="3756CDE6" w14:textId="77777777" w:rsidR="00084F36" w:rsidRPr="00EB2BD8" w:rsidRDefault="00084F36">
            <w:pPr>
              <w:pStyle w:val="TableParagraph"/>
              <w:rPr>
                <w:rFonts w:ascii="Times New Roman"/>
                <w:sz w:val="16"/>
              </w:rPr>
            </w:pPr>
          </w:p>
        </w:tc>
        <w:tc>
          <w:tcPr>
            <w:tcW w:w="1454" w:type="dxa"/>
          </w:tcPr>
          <w:p w14:paraId="1825B185" w14:textId="77777777" w:rsidR="00084F36" w:rsidRPr="00EB2BD8" w:rsidRDefault="00084F36">
            <w:pPr>
              <w:pStyle w:val="TableParagraph"/>
              <w:rPr>
                <w:rFonts w:ascii="Times New Roman"/>
                <w:sz w:val="16"/>
              </w:rPr>
            </w:pPr>
          </w:p>
        </w:tc>
        <w:tc>
          <w:tcPr>
            <w:tcW w:w="2494" w:type="dxa"/>
          </w:tcPr>
          <w:p w14:paraId="7918014C" w14:textId="77777777" w:rsidR="00084F36" w:rsidRPr="00EB2BD8" w:rsidRDefault="00EB2BD8">
            <w:pPr>
              <w:pStyle w:val="TableParagraph"/>
              <w:spacing w:before="19"/>
              <w:ind w:left="333"/>
              <w:rPr>
                <w:sz w:val="16"/>
              </w:rPr>
            </w:pPr>
            <w:r w:rsidRPr="00EB2BD8">
              <w:rPr>
                <w:sz w:val="16"/>
              </w:rPr>
              <w:t>out</w:t>
            </w:r>
            <w:r w:rsidRPr="00EB2BD8">
              <w:rPr>
                <w:spacing w:val="1"/>
                <w:sz w:val="16"/>
              </w:rPr>
              <w:t xml:space="preserve"> </w:t>
            </w:r>
            <w:r w:rsidRPr="00EB2BD8">
              <w:rPr>
                <w:sz w:val="16"/>
              </w:rPr>
              <w:t>in</w:t>
            </w:r>
            <w:r w:rsidRPr="00EB2BD8">
              <w:rPr>
                <w:spacing w:val="2"/>
                <w:sz w:val="16"/>
              </w:rPr>
              <w:t xml:space="preserve"> </w:t>
            </w:r>
            <w:r w:rsidRPr="00EB2BD8">
              <w:rPr>
                <w:sz w:val="16"/>
              </w:rPr>
              <w:t>accordance</w:t>
            </w:r>
            <w:r w:rsidRPr="00EB2BD8">
              <w:rPr>
                <w:spacing w:val="1"/>
                <w:sz w:val="16"/>
              </w:rPr>
              <w:t xml:space="preserve"> </w:t>
            </w:r>
            <w:r w:rsidRPr="00EB2BD8">
              <w:rPr>
                <w:spacing w:val="-4"/>
                <w:sz w:val="16"/>
              </w:rPr>
              <w:t>with</w:t>
            </w:r>
          </w:p>
        </w:tc>
        <w:tc>
          <w:tcPr>
            <w:tcW w:w="2286" w:type="dxa"/>
          </w:tcPr>
          <w:p w14:paraId="28F6B37A" w14:textId="77777777" w:rsidR="00084F36" w:rsidRPr="00EB2BD8" w:rsidRDefault="00084F36">
            <w:pPr>
              <w:pStyle w:val="TableParagraph"/>
              <w:rPr>
                <w:rFonts w:ascii="Times New Roman"/>
                <w:sz w:val="16"/>
              </w:rPr>
            </w:pPr>
          </w:p>
        </w:tc>
        <w:tc>
          <w:tcPr>
            <w:tcW w:w="1078" w:type="dxa"/>
          </w:tcPr>
          <w:p w14:paraId="1B501455" w14:textId="77777777" w:rsidR="00084F36" w:rsidRPr="00EB2BD8" w:rsidRDefault="00084F36">
            <w:pPr>
              <w:pStyle w:val="TableParagraph"/>
              <w:rPr>
                <w:rFonts w:ascii="Times New Roman"/>
                <w:sz w:val="16"/>
              </w:rPr>
            </w:pPr>
          </w:p>
        </w:tc>
        <w:tc>
          <w:tcPr>
            <w:tcW w:w="1176" w:type="dxa"/>
          </w:tcPr>
          <w:p w14:paraId="6A28BF84" w14:textId="77777777" w:rsidR="00084F36" w:rsidRPr="00EB2BD8" w:rsidRDefault="00084F36">
            <w:pPr>
              <w:pStyle w:val="TableParagraph"/>
              <w:rPr>
                <w:rFonts w:ascii="Times New Roman"/>
                <w:sz w:val="16"/>
              </w:rPr>
            </w:pPr>
          </w:p>
        </w:tc>
      </w:tr>
      <w:tr w:rsidR="00EB2BD8" w:rsidRPr="00EB2BD8" w14:paraId="7085B99B" w14:textId="77777777">
        <w:trPr>
          <w:trHeight w:val="229"/>
        </w:trPr>
        <w:tc>
          <w:tcPr>
            <w:tcW w:w="1716" w:type="dxa"/>
          </w:tcPr>
          <w:p w14:paraId="42D1F908" w14:textId="77777777" w:rsidR="00084F36" w:rsidRPr="00EB2BD8" w:rsidRDefault="00084F36">
            <w:pPr>
              <w:pStyle w:val="TableParagraph"/>
              <w:rPr>
                <w:rFonts w:ascii="Times New Roman"/>
                <w:sz w:val="16"/>
              </w:rPr>
            </w:pPr>
          </w:p>
        </w:tc>
        <w:tc>
          <w:tcPr>
            <w:tcW w:w="1454" w:type="dxa"/>
          </w:tcPr>
          <w:p w14:paraId="0C4B8798" w14:textId="77777777" w:rsidR="00084F36" w:rsidRPr="00EB2BD8" w:rsidRDefault="00084F36">
            <w:pPr>
              <w:pStyle w:val="TableParagraph"/>
              <w:rPr>
                <w:rFonts w:ascii="Times New Roman"/>
                <w:sz w:val="16"/>
              </w:rPr>
            </w:pPr>
          </w:p>
        </w:tc>
        <w:tc>
          <w:tcPr>
            <w:tcW w:w="2494" w:type="dxa"/>
          </w:tcPr>
          <w:p w14:paraId="489D83F9" w14:textId="77777777" w:rsidR="00084F36" w:rsidRPr="00EB2BD8" w:rsidRDefault="00EB2BD8">
            <w:pPr>
              <w:pStyle w:val="TableParagraph"/>
              <w:spacing w:before="19"/>
              <w:ind w:left="333"/>
              <w:rPr>
                <w:sz w:val="16"/>
              </w:rPr>
            </w:pPr>
            <w:r w:rsidRPr="00EB2BD8">
              <w:rPr>
                <w:spacing w:val="-2"/>
                <w:sz w:val="16"/>
              </w:rPr>
              <w:t>the</w:t>
            </w:r>
            <w:r w:rsidRPr="00EB2BD8">
              <w:rPr>
                <w:spacing w:val="-5"/>
                <w:sz w:val="16"/>
              </w:rPr>
              <w:t xml:space="preserve"> </w:t>
            </w:r>
            <w:r w:rsidRPr="00EB2BD8">
              <w:rPr>
                <w:spacing w:val="-2"/>
                <w:sz w:val="16"/>
              </w:rPr>
              <w:t>Building</w:t>
            </w:r>
            <w:r w:rsidRPr="00EB2BD8">
              <w:rPr>
                <w:spacing w:val="-4"/>
                <w:sz w:val="16"/>
              </w:rPr>
              <w:t xml:space="preserve"> </w:t>
            </w:r>
            <w:r w:rsidRPr="00EB2BD8">
              <w:rPr>
                <w:spacing w:val="-2"/>
                <w:sz w:val="16"/>
              </w:rPr>
              <w:t>Act</w:t>
            </w:r>
            <w:r w:rsidRPr="00EB2BD8">
              <w:rPr>
                <w:spacing w:val="-4"/>
                <w:sz w:val="16"/>
              </w:rPr>
              <w:t xml:space="preserve"> </w:t>
            </w:r>
            <w:r w:rsidRPr="00EB2BD8">
              <w:rPr>
                <w:spacing w:val="-5"/>
                <w:sz w:val="16"/>
              </w:rPr>
              <w:t>and</w:t>
            </w:r>
          </w:p>
        </w:tc>
        <w:tc>
          <w:tcPr>
            <w:tcW w:w="2286" w:type="dxa"/>
          </w:tcPr>
          <w:p w14:paraId="5DDCB24F" w14:textId="77777777" w:rsidR="00084F36" w:rsidRPr="00EB2BD8" w:rsidRDefault="00084F36">
            <w:pPr>
              <w:pStyle w:val="TableParagraph"/>
              <w:rPr>
                <w:rFonts w:ascii="Times New Roman"/>
                <w:sz w:val="16"/>
              </w:rPr>
            </w:pPr>
          </w:p>
        </w:tc>
        <w:tc>
          <w:tcPr>
            <w:tcW w:w="1078" w:type="dxa"/>
          </w:tcPr>
          <w:p w14:paraId="76B16C25" w14:textId="77777777" w:rsidR="00084F36" w:rsidRPr="00EB2BD8" w:rsidRDefault="00084F36">
            <w:pPr>
              <w:pStyle w:val="TableParagraph"/>
              <w:rPr>
                <w:rFonts w:ascii="Times New Roman"/>
                <w:sz w:val="16"/>
              </w:rPr>
            </w:pPr>
          </w:p>
        </w:tc>
        <w:tc>
          <w:tcPr>
            <w:tcW w:w="1176" w:type="dxa"/>
          </w:tcPr>
          <w:p w14:paraId="0F8EB36B" w14:textId="77777777" w:rsidR="00084F36" w:rsidRPr="00EB2BD8" w:rsidRDefault="00084F36">
            <w:pPr>
              <w:pStyle w:val="TableParagraph"/>
              <w:rPr>
                <w:rFonts w:ascii="Times New Roman"/>
                <w:sz w:val="16"/>
              </w:rPr>
            </w:pPr>
          </w:p>
        </w:tc>
      </w:tr>
      <w:tr w:rsidR="00EB2BD8" w:rsidRPr="00EB2BD8" w14:paraId="32547B1C" w14:textId="77777777">
        <w:trPr>
          <w:trHeight w:val="229"/>
        </w:trPr>
        <w:tc>
          <w:tcPr>
            <w:tcW w:w="1716" w:type="dxa"/>
          </w:tcPr>
          <w:p w14:paraId="552E4FD1" w14:textId="77777777" w:rsidR="00084F36" w:rsidRPr="00EB2BD8" w:rsidRDefault="00084F36">
            <w:pPr>
              <w:pStyle w:val="TableParagraph"/>
              <w:rPr>
                <w:rFonts w:ascii="Times New Roman"/>
                <w:sz w:val="16"/>
              </w:rPr>
            </w:pPr>
          </w:p>
        </w:tc>
        <w:tc>
          <w:tcPr>
            <w:tcW w:w="1454" w:type="dxa"/>
          </w:tcPr>
          <w:p w14:paraId="6CB8DCF7" w14:textId="77777777" w:rsidR="00084F36" w:rsidRPr="00EB2BD8" w:rsidRDefault="00084F36">
            <w:pPr>
              <w:pStyle w:val="TableParagraph"/>
              <w:rPr>
                <w:rFonts w:ascii="Times New Roman"/>
                <w:sz w:val="16"/>
              </w:rPr>
            </w:pPr>
          </w:p>
        </w:tc>
        <w:tc>
          <w:tcPr>
            <w:tcW w:w="2494" w:type="dxa"/>
          </w:tcPr>
          <w:p w14:paraId="0B01D9FB" w14:textId="77777777" w:rsidR="00084F36" w:rsidRPr="00EB2BD8" w:rsidRDefault="00EB2BD8">
            <w:pPr>
              <w:pStyle w:val="TableParagraph"/>
              <w:spacing w:before="19"/>
              <w:ind w:left="333"/>
              <w:rPr>
                <w:sz w:val="16"/>
              </w:rPr>
            </w:pPr>
            <w:r w:rsidRPr="00EB2BD8">
              <w:rPr>
                <w:spacing w:val="-2"/>
                <w:sz w:val="16"/>
              </w:rPr>
              <w:t>regulations,</w:t>
            </w:r>
            <w:r w:rsidRPr="00EB2BD8">
              <w:rPr>
                <w:spacing w:val="-9"/>
                <w:sz w:val="16"/>
              </w:rPr>
              <w:t xml:space="preserve"> </w:t>
            </w:r>
            <w:r w:rsidRPr="00EB2BD8">
              <w:rPr>
                <w:spacing w:val="-2"/>
                <w:sz w:val="16"/>
              </w:rPr>
              <w:t>in</w:t>
            </w:r>
            <w:r w:rsidRPr="00EB2BD8">
              <w:rPr>
                <w:spacing w:val="-8"/>
                <w:sz w:val="16"/>
              </w:rPr>
              <w:t xml:space="preserve"> </w:t>
            </w:r>
            <w:r w:rsidRPr="00EB2BD8">
              <w:rPr>
                <w:spacing w:val="-2"/>
                <w:sz w:val="16"/>
              </w:rPr>
              <w:t>respect</w:t>
            </w:r>
            <w:r w:rsidRPr="00EB2BD8">
              <w:rPr>
                <w:spacing w:val="-9"/>
                <w:sz w:val="16"/>
              </w:rPr>
              <w:t xml:space="preserve"> </w:t>
            </w:r>
            <w:r w:rsidRPr="00EB2BD8">
              <w:rPr>
                <w:spacing w:val="-2"/>
                <w:sz w:val="16"/>
              </w:rPr>
              <w:t>of</w:t>
            </w:r>
            <w:r w:rsidRPr="00EB2BD8">
              <w:rPr>
                <w:spacing w:val="-8"/>
                <w:sz w:val="16"/>
              </w:rPr>
              <w:t xml:space="preserve"> </w:t>
            </w:r>
            <w:r w:rsidRPr="00EB2BD8">
              <w:rPr>
                <w:spacing w:val="-10"/>
                <w:sz w:val="16"/>
              </w:rPr>
              <w:t>a</w:t>
            </w:r>
          </w:p>
        </w:tc>
        <w:tc>
          <w:tcPr>
            <w:tcW w:w="2286" w:type="dxa"/>
          </w:tcPr>
          <w:p w14:paraId="61143B89" w14:textId="77777777" w:rsidR="00084F36" w:rsidRPr="00EB2BD8" w:rsidRDefault="00084F36">
            <w:pPr>
              <w:pStyle w:val="TableParagraph"/>
              <w:rPr>
                <w:rFonts w:ascii="Times New Roman"/>
                <w:sz w:val="16"/>
              </w:rPr>
            </w:pPr>
          </w:p>
        </w:tc>
        <w:tc>
          <w:tcPr>
            <w:tcW w:w="1078" w:type="dxa"/>
          </w:tcPr>
          <w:p w14:paraId="603CF04D" w14:textId="77777777" w:rsidR="00084F36" w:rsidRPr="00EB2BD8" w:rsidRDefault="00084F36">
            <w:pPr>
              <w:pStyle w:val="TableParagraph"/>
              <w:rPr>
                <w:rFonts w:ascii="Times New Roman"/>
                <w:sz w:val="16"/>
              </w:rPr>
            </w:pPr>
          </w:p>
        </w:tc>
        <w:tc>
          <w:tcPr>
            <w:tcW w:w="1176" w:type="dxa"/>
          </w:tcPr>
          <w:p w14:paraId="1CDBABA4" w14:textId="77777777" w:rsidR="00084F36" w:rsidRPr="00EB2BD8" w:rsidRDefault="00084F36">
            <w:pPr>
              <w:pStyle w:val="TableParagraph"/>
              <w:rPr>
                <w:rFonts w:ascii="Times New Roman"/>
                <w:sz w:val="16"/>
              </w:rPr>
            </w:pPr>
          </w:p>
        </w:tc>
      </w:tr>
      <w:tr w:rsidR="00EB2BD8" w:rsidRPr="00EB2BD8" w14:paraId="3CD15CAF" w14:textId="77777777">
        <w:trPr>
          <w:trHeight w:val="285"/>
        </w:trPr>
        <w:tc>
          <w:tcPr>
            <w:tcW w:w="1716" w:type="dxa"/>
            <w:tcBorders>
              <w:bottom w:val="single" w:sz="2" w:space="0" w:color="000000"/>
            </w:tcBorders>
          </w:tcPr>
          <w:p w14:paraId="6E03B46A" w14:textId="77777777" w:rsidR="00084F36" w:rsidRPr="00EB2BD8" w:rsidRDefault="00084F36">
            <w:pPr>
              <w:pStyle w:val="TableParagraph"/>
              <w:rPr>
                <w:rFonts w:ascii="Times New Roman"/>
                <w:sz w:val="16"/>
              </w:rPr>
            </w:pPr>
          </w:p>
        </w:tc>
        <w:tc>
          <w:tcPr>
            <w:tcW w:w="1454" w:type="dxa"/>
            <w:tcBorders>
              <w:bottom w:val="single" w:sz="2" w:space="0" w:color="000000"/>
            </w:tcBorders>
          </w:tcPr>
          <w:p w14:paraId="1F2D3F25" w14:textId="77777777" w:rsidR="00084F36" w:rsidRPr="00EB2BD8" w:rsidRDefault="00084F36">
            <w:pPr>
              <w:pStyle w:val="TableParagraph"/>
              <w:rPr>
                <w:rFonts w:ascii="Times New Roman"/>
                <w:sz w:val="16"/>
              </w:rPr>
            </w:pPr>
          </w:p>
        </w:tc>
        <w:tc>
          <w:tcPr>
            <w:tcW w:w="2494" w:type="dxa"/>
            <w:tcBorders>
              <w:bottom w:val="single" w:sz="2" w:space="0" w:color="000000"/>
            </w:tcBorders>
          </w:tcPr>
          <w:p w14:paraId="25DC3301" w14:textId="77777777" w:rsidR="00084F36" w:rsidRPr="00EB2BD8" w:rsidRDefault="00EB2BD8">
            <w:pPr>
              <w:pStyle w:val="TableParagraph"/>
              <w:spacing w:before="19"/>
              <w:ind w:left="333"/>
              <w:rPr>
                <w:sz w:val="16"/>
              </w:rPr>
            </w:pPr>
            <w:r w:rsidRPr="00EB2BD8">
              <w:rPr>
                <w:sz w:val="16"/>
              </w:rPr>
              <w:t>site</w:t>
            </w:r>
            <w:r w:rsidRPr="00EB2BD8">
              <w:rPr>
                <w:spacing w:val="-11"/>
                <w:sz w:val="16"/>
              </w:rPr>
              <w:t xml:space="preserve"> </w:t>
            </w:r>
            <w:r w:rsidRPr="00EB2BD8">
              <w:rPr>
                <w:sz w:val="16"/>
              </w:rPr>
              <w:t>at</w:t>
            </w:r>
            <w:r w:rsidRPr="00EB2BD8">
              <w:rPr>
                <w:spacing w:val="-11"/>
                <w:sz w:val="16"/>
              </w:rPr>
              <w:t xml:space="preserve"> </w:t>
            </w:r>
            <w:r w:rsidRPr="00EB2BD8">
              <w:rPr>
                <w:sz w:val="16"/>
              </w:rPr>
              <w:t>Caulfield</w:t>
            </w:r>
            <w:r w:rsidRPr="00EB2BD8">
              <w:rPr>
                <w:spacing w:val="-10"/>
                <w:sz w:val="16"/>
              </w:rPr>
              <w:t xml:space="preserve"> </w:t>
            </w:r>
            <w:r w:rsidRPr="00EB2BD8">
              <w:rPr>
                <w:spacing w:val="-2"/>
                <w:sz w:val="16"/>
              </w:rPr>
              <w:t>East.</w:t>
            </w:r>
          </w:p>
        </w:tc>
        <w:tc>
          <w:tcPr>
            <w:tcW w:w="2286" w:type="dxa"/>
            <w:tcBorders>
              <w:bottom w:val="single" w:sz="2" w:space="0" w:color="000000"/>
            </w:tcBorders>
          </w:tcPr>
          <w:p w14:paraId="0B9D688F"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30C0FC75"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76A1EB6B" w14:textId="77777777" w:rsidR="00084F36" w:rsidRPr="00EB2BD8" w:rsidRDefault="00084F36">
            <w:pPr>
              <w:pStyle w:val="TableParagraph"/>
              <w:rPr>
                <w:rFonts w:ascii="Times New Roman"/>
                <w:sz w:val="16"/>
              </w:rPr>
            </w:pPr>
          </w:p>
        </w:tc>
      </w:tr>
      <w:tr w:rsidR="00EB2BD8" w:rsidRPr="00EB2BD8" w14:paraId="748487AD" w14:textId="77777777">
        <w:trPr>
          <w:trHeight w:val="325"/>
        </w:trPr>
        <w:tc>
          <w:tcPr>
            <w:tcW w:w="1716" w:type="dxa"/>
            <w:tcBorders>
              <w:top w:val="single" w:sz="2" w:space="0" w:color="000000"/>
            </w:tcBorders>
          </w:tcPr>
          <w:p w14:paraId="46DD864E" w14:textId="77777777" w:rsidR="00084F36" w:rsidRPr="00EB2BD8" w:rsidRDefault="00EB2BD8">
            <w:pPr>
              <w:pStyle w:val="TableParagraph"/>
              <w:spacing w:before="115"/>
              <w:ind w:left="113"/>
              <w:rPr>
                <w:sz w:val="16"/>
              </w:rPr>
            </w:pPr>
            <w:r w:rsidRPr="00EB2BD8">
              <w:rPr>
                <w:spacing w:val="-4"/>
                <w:sz w:val="16"/>
              </w:rPr>
              <w:t>SIMS,</w:t>
            </w:r>
            <w:r w:rsidRPr="00EB2BD8">
              <w:rPr>
                <w:spacing w:val="-7"/>
                <w:sz w:val="16"/>
              </w:rPr>
              <w:t xml:space="preserve"> </w:t>
            </w:r>
            <w:r w:rsidRPr="00EB2BD8">
              <w:rPr>
                <w:spacing w:val="-4"/>
                <w:sz w:val="16"/>
              </w:rPr>
              <w:t>David</w:t>
            </w:r>
          </w:p>
        </w:tc>
        <w:tc>
          <w:tcPr>
            <w:tcW w:w="1454" w:type="dxa"/>
            <w:tcBorders>
              <w:top w:val="single" w:sz="2" w:space="0" w:color="000000"/>
            </w:tcBorders>
          </w:tcPr>
          <w:p w14:paraId="3B764B48" w14:textId="77777777" w:rsidR="00084F36" w:rsidRPr="00EB2BD8" w:rsidRDefault="00EB2BD8">
            <w:pPr>
              <w:pStyle w:val="TableParagraph"/>
              <w:spacing w:before="115"/>
              <w:ind w:left="154"/>
              <w:rPr>
                <w:sz w:val="16"/>
              </w:rPr>
            </w:pPr>
            <w:r w:rsidRPr="00EB2BD8">
              <w:rPr>
                <w:sz w:val="16"/>
              </w:rPr>
              <w:t>DB-U</w:t>
            </w:r>
            <w:r w:rsidRPr="00EB2BD8">
              <w:rPr>
                <w:spacing w:val="22"/>
                <w:sz w:val="16"/>
              </w:rPr>
              <w:t xml:space="preserve"> </w:t>
            </w:r>
            <w:r w:rsidRPr="00EB2BD8">
              <w:rPr>
                <w:spacing w:val="-2"/>
                <w:w w:val="90"/>
                <w:sz w:val="16"/>
              </w:rPr>
              <w:t>11311</w:t>
            </w:r>
          </w:p>
        </w:tc>
        <w:tc>
          <w:tcPr>
            <w:tcW w:w="2494" w:type="dxa"/>
            <w:tcBorders>
              <w:top w:val="single" w:sz="2" w:space="0" w:color="000000"/>
            </w:tcBorders>
          </w:tcPr>
          <w:p w14:paraId="4432E70B" w14:textId="77777777" w:rsidR="00084F36" w:rsidRPr="00EB2BD8" w:rsidRDefault="00EB2BD8">
            <w:pPr>
              <w:pStyle w:val="TableParagraph"/>
              <w:spacing w:before="115"/>
              <w:ind w:left="333"/>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86" w:type="dxa"/>
            <w:tcBorders>
              <w:top w:val="single" w:sz="2" w:space="0" w:color="000000"/>
            </w:tcBorders>
          </w:tcPr>
          <w:p w14:paraId="6FD65B53" w14:textId="77777777" w:rsidR="00084F36" w:rsidRPr="00EB2BD8" w:rsidRDefault="00EB2BD8">
            <w:pPr>
              <w:pStyle w:val="TableParagraph"/>
              <w:spacing w:before="115"/>
              <w:ind w:left="118"/>
              <w:rPr>
                <w:sz w:val="16"/>
              </w:rPr>
            </w:pPr>
            <w:r w:rsidRPr="00EB2BD8">
              <w:rPr>
                <w:sz w:val="16"/>
              </w:rPr>
              <w:t>Cancellation</w:t>
            </w:r>
            <w:r w:rsidRPr="00EB2BD8">
              <w:rPr>
                <w:spacing w:val="5"/>
                <w:sz w:val="16"/>
              </w:rPr>
              <w:t xml:space="preserve"> </w:t>
            </w:r>
            <w:r w:rsidRPr="00EB2BD8">
              <w:rPr>
                <w:spacing w:val="-5"/>
                <w:sz w:val="16"/>
              </w:rPr>
              <w:t>of</w:t>
            </w:r>
          </w:p>
        </w:tc>
        <w:tc>
          <w:tcPr>
            <w:tcW w:w="1078" w:type="dxa"/>
            <w:tcBorders>
              <w:top w:val="single" w:sz="2" w:space="0" w:color="000000"/>
            </w:tcBorders>
          </w:tcPr>
          <w:p w14:paraId="0D7A6030" w14:textId="77777777" w:rsidR="00084F36" w:rsidRPr="00EB2BD8" w:rsidRDefault="00EB2BD8">
            <w:pPr>
              <w:pStyle w:val="TableParagraph"/>
              <w:spacing w:before="115"/>
              <w:ind w:right="113"/>
              <w:jc w:val="right"/>
              <w:rPr>
                <w:sz w:val="16"/>
              </w:rPr>
            </w:pPr>
            <w:r w:rsidRPr="00EB2BD8">
              <w:rPr>
                <w:w w:val="124"/>
                <w:sz w:val="16"/>
              </w:rPr>
              <w:t>–</w:t>
            </w:r>
          </w:p>
        </w:tc>
        <w:tc>
          <w:tcPr>
            <w:tcW w:w="1176" w:type="dxa"/>
            <w:tcBorders>
              <w:top w:val="single" w:sz="2" w:space="0" w:color="000000"/>
            </w:tcBorders>
          </w:tcPr>
          <w:p w14:paraId="2AC8CD9B" w14:textId="77777777" w:rsidR="00084F36" w:rsidRPr="00EB2BD8" w:rsidRDefault="00EB2BD8">
            <w:pPr>
              <w:pStyle w:val="TableParagraph"/>
              <w:spacing w:before="115"/>
              <w:ind w:left="110"/>
              <w:rPr>
                <w:sz w:val="16"/>
              </w:rPr>
            </w:pPr>
            <w:r w:rsidRPr="00EB2BD8">
              <w:rPr>
                <w:spacing w:val="-2"/>
                <w:w w:val="90"/>
                <w:sz w:val="16"/>
              </w:rPr>
              <w:t>27/01/2023</w:t>
            </w:r>
          </w:p>
        </w:tc>
      </w:tr>
      <w:tr w:rsidR="00EB2BD8" w:rsidRPr="00EB2BD8" w14:paraId="5A4C6F0B" w14:textId="77777777">
        <w:trPr>
          <w:trHeight w:val="230"/>
        </w:trPr>
        <w:tc>
          <w:tcPr>
            <w:tcW w:w="1716" w:type="dxa"/>
          </w:tcPr>
          <w:p w14:paraId="1B55E5EB" w14:textId="77777777" w:rsidR="00084F36" w:rsidRPr="00EB2BD8" w:rsidRDefault="00084F36">
            <w:pPr>
              <w:pStyle w:val="TableParagraph"/>
              <w:rPr>
                <w:rFonts w:ascii="Times New Roman"/>
                <w:sz w:val="16"/>
              </w:rPr>
            </w:pPr>
          </w:p>
        </w:tc>
        <w:tc>
          <w:tcPr>
            <w:tcW w:w="1454" w:type="dxa"/>
          </w:tcPr>
          <w:p w14:paraId="49623BC4" w14:textId="77777777" w:rsidR="00084F36" w:rsidRPr="00EB2BD8" w:rsidRDefault="00084F36">
            <w:pPr>
              <w:pStyle w:val="TableParagraph"/>
              <w:rPr>
                <w:rFonts w:ascii="Times New Roman"/>
                <w:sz w:val="16"/>
              </w:rPr>
            </w:pPr>
          </w:p>
        </w:tc>
        <w:tc>
          <w:tcPr>
            <w:tcW w:w="2494" w:type="dxa"/>
          </w:tcPr>
          <w:p w14:paraId="589BAE69" w14:textId="77777777" w:rsidR="00084F36" w:rsidRPr="00EB2BD8" w:rsidRDefault="00EB2BD8">
            <w:pPr>
              <w:pStyle w:val="TableParagraph"/>
              <w:spacing w:before="19"/>
              <w:ind w:left="333"/>
              <w:rPr>
                <w:sz w:val="16"/>
              </w:rPr>
            </w:pPr>
            <w:r w:rsidRPr="00EB2BD8">
              <w:rPr>
                <w:sz w:val="16"/>
              </w:rPr>
              <w:t xml:space="preserve">company under </w:t>
            </w:r>
            <w:r w:rsidRPr="00EB2BD8">
              <w:rPr>
                <w:spacing w:val="-2"/>
                <w:sz w:val="16"/>
              </w:rPr>
              <w:t>external</w:t>
            </w:r>
          </w:p>
        </w:tc>
        <w:tc>
          <w:tcPr>
            <w:tcW w:w="2286" w:type="dxa"/>
          </w:tcPr>
          <w:p w14:paraId="677ED4AC" w14:textId="77777777" w:rsidR="00084F36" w:rsidRPr="00EB2BD8" w:rsidRDefault="00EB2BD8">
            <w:pPr>
              <w:pStyle w:val="TableParagraph"/>
              <w:spacing w:before="19"/>
              <w:ind w:left="118"/>
              <w:rPr>
                <w:sz w:val="16"/>
              </w:rPr>
            </w:pPr>
            <w:r w:rsidRPr="00EB2BD8">
              <w:rPr>
                <w:spacing w:val="-2"/>
                <w:sz w:val="16"/>
              </w:rPr>
              <w:t>registration.</w:t>
            </w:r>
          </w:p>
        </w:tc>
        <w:tc>
          <w:tcPr>
            <w:tcW w:w="1078" w:type="dxa"/>
          </w:tcPr>
          <w:p w14:paraId="07B1C538" w14:textId="77777777" w:rsidR="00084F36" w:rsidRPr="00EB2BD8" w:rsidRDefault="00084F36">
            <w:pPr>
              <w:pStyle w:val="TableParagraph"/>
              <w:rPr>
                <w:rFonts w:ascii="Times New Roman"/>
                <w:sz w:val="16"/>
              </w:rPr>
            </w:pPr>
          </w:p>
        </w:tc>
        <w:tc>
          <w:tcPr>
            <w:tcW w:w="1176" w:type="dxa"/>
          </w:tcPr>
          <w:p w14:paraId="49E7BD0D" w14:textId="77777777" w:rsidR="00084F36" w:rsidRPr="00EB2BD8" w:rsidRDefault="00084F36">
            <w:pPr>
              <w:pStyle w:val="TableParagraph"/>
              <w:rPr>
                <w:rFonts w:ascii="Times New Roman"/>
                <w:sz w:val="16"/>
              </w:rPr>
            </w:pPr>
          </w:p>
        </w:tc>
      </w:tr>
      <w:tr w:rsidR="00EB2BD8" w:rsidRPr="00EB2BD8" w14:paraId="30297E0F" w14:textId="77777777">
        <w:trPr>
          <w:trHeight w:val="374"/>
        </w:trPr>
        <w:tc>
          <w:tcPr>
            <w:tcW w:w="1716" w:type="dxa"/>
            <w:tcBorders>
              <w:bottom w:val="single" w:sz="2" w:space="0" w:color="000000"/>
            </w:tcBorders>
          </w:tcPr>
          <w:p w14:paraId="414CD23C" w14:textId="77777777" w:rsidR="00084F36" w:rsidRPr="00EB2BD8" w:rsidRDefault="00084F36">
            <w:pPr>
              <w:pStyle w:val="TableParagraph"/>
              <w:rPr>
                <w:rFonts w:ascii="Times New Roman"/>
                <w:sz w:val="16"/>
              </w:rPr>
            </w:pPr>
          </w:p>
        </w:tc>
        <w:tc>
          <w:tcPr>
            <w:tcW w:w="1454" w:type="dxa"/>
            <w:tcBorders>
              <w:bottom w:val="single" w:sz="2" w:space="0" w:color="000000"/>
            </w:tcBorders>
          </w:tcPr>
          <w:p w14:paraId="3B2A2E73" w14:textId="77777777" w:rsidR="00084F36" w:rsidRPr="00EB2BD8" w:rsidRDefault="00084F36">
            <w:pPr>
              <w:pStyle w:val="TableParagraph"/>
              <w:rPr>
                <w:rFonts w:ascii="Times New Roman"/>
                <w:sz w:val="16"/>
              </w:rPr>
            </w:pPr>
          </w:p>
        </w:tc>
        <w:tc>
          <w:tcPr>
            <w:tcW w:w="2494" w:type="dxa"/>
            <w:tcBorders>
              <w:bottom w:val="single" w:sz="2" w:space="0" w:color="000000"/>
            </w:tcBorders>
          </w:tcPr>
          <w:p w14:paraId="5C44C5C5" w14:textId="77777777" w:rsidR="00084F36" w:rsidRPr="00EB2BD8" w:rsidRDefault="00EB2BD8">
            <w:pPr>
              <w:pStyle w:val="TableParagraph"/>
              <w:spacing w:before="19"/>
              <w:ind w:left="333"/>
              <w:rPr>
                <w:sz w:val="16"/>
              </w:rPr>
            </w:pPr>
            <w:r w:rsidRPr="00EB2BD8">
              <w:rPr>
                <w:spacing w:val="-2"/>
                <w:sz w:val="16"/>
              </w:rPr>
              <w:t>administration.</w:t>
            </w:r>
          </w:p>
        </w:tc>
        <w:tc>
          <w:tcPr>
            <w:tcW w:w="2286" w:type="dxa"/>
            <w:tcBorders>
              <w:bottom w:val="single" w:sz="2" w:space="0" w:color="000000"/>
            </w:tcBorders>
          </w:tcPr>
          <w:p w14:paraId="55640828"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7999CE74"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1C9235DF" w14:textId="77777777" w:rsidR="00084F36" w:rsidRPr="00EB2BD8" w:rsidRDefault="00084F36">
            <w:pPr>
              <w:pStyle w:val="TableParagraph"/>
              <w:rPr>
                <w:rFonts w:ascii="Times New Roman"/>
                <w:sz w:val="16"/>
              </w:rPr>
            </w:pPr>
          </w:p>
        </w:tc>
      </w:tr>
      <w:tr w:rsidR="00EB2BD8" w:rsidRPr="00EB2BD8" w14:paraId="648E982D" w14:textId="77777777">
        <w:trPr>
          <w:trHeight w:val="325"/>
        </w:trPr>
        <w:tc>
          <w:tcPr>
            <w:tcW w:w="1716" w:type="dxa"/>
            <w:tcBorders>
              <w:top w:val="single" w:sz="2" w:space="0" w:color="000000"/>
            </w:tcBorders>
          </w:tcPr>
          <w:p w14:paraId="42D5DB51" w14:textId="77777777" w:rsidR="00084F36" w:rsidRPr="00EB2BD8" w:rsidRDefault="00EB2BD8">
            <w:pPr>
              <w:pStyle w:val="TableParagraph"/>
              <w:spacing w:before="115"/>
              <w:ind w:left="113"/>
              <w:rPr>
                <w:sz w:val="16"/>
              </w:rPr>
            </w:pPr>
            <w:r w:rsidRPr="00EB2BD8">
              <w:rPr>
                <w:spacing w:val="-2"/>
                <w:sz w:val="16"/>
              </w:rPr>
              <w:t>SWAN,</w:t>
            </w:r>
            <w:r w:rsidRPr="00EB2BD8">
              <w:rPr>
                <w:spacing w:val="-11"/>
                <w:sz w:val="16"/>
              </w:rPr>
              <w:t xml:space="preserve"> </w:t>
            </w:r>
            <w:r w:rsidRPr="00EB2BD8">
              <w:rPr>
                <w:spacing w:val="-2"/>
                <w:sz w:val="16"/>
              </w:rPr>
              <w:t>Geoffrey</w:t>
            </w:r>
          </w:p>
        </w:tc>
        <w:tc>
          <w:tcPr>
            <w:tcW w:w="1454" w:type="dxa"/>
            <w:tcBorders>
              <w:top w:val="single" w:sz="2" w:space="0" w:color="000000"/>
            </w:tcBorders>
          </w:tcPr>
          <w:p w14:paraId="214B9269" w14:textId="77777777" w:rsidR="00084F36" w:rsidRPr="00EB2BD8" w:rsidRDefault="00EB2BD8">
            <w:pPr>
              <w:pStyle w:val="TableParagraph"/>
              <w:spacing w:before="115"/>
              <w:ind w:left="154"/>
              <w:rPr>
                <w:sz w:val="16"/>
              </w:rPr>
            </w:pPr>
            <w:r w:rsidRPr="00EB2BD8">
              <w:rPr>
                <w:sz w:val="16"/>
              </w:rPr>
              <w:t>DB-U</w:t>
            </w:r>
            <w:r w:rsidRPr="00EB2BD8">
              <w:rPr>
                <w:spacing w:val="22"/>
                <w:sz w:val="16"/>
              </w:rPr>
              <w:t xml:space="preserve"> </w:t>
            </w:r>
            <w:r w:rsidRPr="00EB2BD8">
              <w:rPr>
                <w:spacing w:val="-4"/>
                <w:sz w:val="16"/>
              </w:rPr>
              <w:t>1678</w:t>
            </w:r>
          </w:p>
        </w:tc>
        <w:tc>
          <w:tcPr>
            <w:tcW w:w="2494" w:type="dxa"/>
            <w:tcBorders>
              <w:top w:val="single" w:sz="2" w:space="0" w:color="000000"/>
            </w:tcBorders>
          </w:tcPr>
          <w:p w14:paraId="6B3C93C5" w14:textId="77777777" w:rsidR="00084F36" w:rsidRPr="00EB2BD8" w:rsidRDefault="00EB2BD8">
            <w:pPr>
              <w:pStyle w:val="TableParagraph"/>
              <w:spacing w:before="115"/>
              <w:ind w:left="333"/>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86" w:type="dxa"/>
            <w:tcBorders>
              <w:top w:val="single" w:sz="2" w:space="0" w:color="000000"/>
            </w:tcBorders>
          </w:tcPr>
          <w:p w14:paraId="0DFDCD4D" w14:textId="77777777" w:rsidR="00084F36" w:rsidRPr="00EB2BD8" w:rsidRDefault="00EB2BD8">
            <w:pPr>
              <w:pStyle w:val="TableParagraph"/>
              <w:spacing w:before="115"/>
              <w:ind w:left="118"/>
              <w:rPr>
                <w:sz w:val="16"/>
              </w:rPr>
            </w:pPr>
            <w:r w:rsidRPr="00EB2BD8">
              <w:rPr>
                <w:sz w:val="16"/>
              </w:rPr>
              <w:t>Cancellation</w:t>
            </w:r>
            <w:r w:rsidRPr="00EB2BD8">
              <w:rPr>
                <w:spacing w:val="5"/>
                <w:sz w:val="16"/>
              </w:rPr>
              <w:t xml:space="preserve"> </w:t>
            </w:r>
            <w:r w:rsidRPr="00EB2BD8">
              <w:rPr>
                <w:spacing w:val="-5"/>
                <w:sz w:val="16"/>
              </w:rPr>
              <w:t>of</w:t>
            </w:r>
          </w:p>
        </w:tc>
        <w:tc>
          <w:tcPr>
            <w:tcW w:w="1078" w:type="dxa"/>
            <w:tcBorders>
              <w:top w:val="single" w:sz="2" w:space="0" w:color="000000"/>
            </w:tcBorders>
          </w:tcPr>
          <w:p w14:paraId="5CB9C9A1" w14:textId="77777777" w:rsidR="00084F36" w:rsidRPr="00EB2BD8" w:rsidRDefault="00EB2BD8">
            <w:pPr>
              <w:pStyle w:val="TableParagraph"/>
              <w:spacing w:before="115"/>
              <w:ind w:right="113"/>
              <w:jc w:val="right"/>
              <w:rPr>
                <w:sz w:val="16"/>
              </w:rPr>
            </w:pPr>
            <w:r w:rsidRPr="00EB2BD8">
              <w:rPr>
                <w:w w:val="124"/>
                <w:sz w:val="16"/>
              </w:rPr>
              <w:t>–</w:t>
            </w:r>
          </w:p>
        </w:tc>
        <w:tc>
          <w:tcPr>
            <w:tcW w:w="1176" w:type="dxa"/>
            <w:tcBorders>
              <w:top w:val="single" w:sz="2" w:space="0" w:color="000000"/>
            </w:tcBorders>
          </w:tcPr>
          <w:p w14:paraId="5E790A57" w14:textId="77777777" w:rsidR="00084F36" w:rsidRPr="00EB2BD8" w:rsidRDefault="00EB2BD8">
            <w:pPr>
              <w:pStyle w:val="TableParagraph"/>
              <w:spacing w:before="115"/>
              <w:ind w:left="110"/>
              <w:rPr>
                <w:sz w:val="16"/>
              </w:rPr>
            </w:pPr>
            <w:r w:rsidRPr="00EB2BD8">
              <w:rPr>
                <w:spacing w:val="-2"/>
                <w:w w:val="95"/>
                <w:sz w:val="16"/>
              </w:rPr>
              <w:t>31/03/2023</w:t>
            </w:r>
          </w:p>
        </w:tc>
      </w:tr>
      <w:tr w:rsidR="00EB2BD8" w:rsidRPr="00EB2BD8" w14:paraId="63B6CD03" w14:textId="77777777">
        <w:trPr>
          <w:trHeight w:val="230"/>
        </w:trPr>
        <w:tc>
          <w:tcPr>
            <w:tcW w:w="1716" w:type="dxa"/>
          </w:tcPr>
          <w:p w14:paraId="4D70D7C1" w14:textId="77777777" w:rsidR="00084F36" w:rsidRPr="00EB2BD8" w:rsidRDefault="00084F36">
            <w:pPr>
              <w:pStyle w:val="TableParagraph"/>
              <w:rPr>
                <w:rFonts w:ascii="Times New Roman"/>
                <w:sz w:val="16"/>
              </w:rPr>
            </w:pPr>
          </w:p>
        </w:tc>
        <w:tc>
          <w:tcPr>
            <w:tcW w:w="1454" w:type="dxa"/>
          </w:tcPr>
          <w:p w14:paraId="7D11E60B" w14:textId="77777777" w:rsidR="00084F36" w:rsidRPr="00EB2BD8" w:rsidRDefault="00084F36">
            <w:pPr>
              <w:pStyle w:val="TableParagraph"/>
              <w:rPr>
                <w:rFonts w:ascii="Times New Roman"/>
                <w:sz w:val="16"/>
              </w:rPr>
            </w:pPr>
          </w:p>
        </w:tc>
        <w:tc>
          <w:tcPr>
            <w:tcW w:w="2494" w:type="dxa"/>
          </w:tcPr>
          <w:p w14:paraId="32B33985" w14:textId="77777777" w:rsidR="00084F36" w:rsidRPr="00EB2BD8" w:rsidRDefault="00EB2BD8">
            <w:pPr>
              <w:pStyle w:val="TableParagraph"/>
              <w:spacing w:before="19"/>
              <w:ind w:left="333"/>
              <w:rPr>
                <w:sz w:val="16"/>
              </w:rPr>
            </w:pPr>
            <w:r w:rsidRPr="00EB2BD8">
              <w:rPr>
                <w:sz w:val="16"/>
              </w:rPr>
              <w:t xml:space="preserve">company under </w:t>
            </w:r>
            <w:r w:rsidRPr="00EB2BD8">
              <w:rPr>
                <w:spacing w:val="-2"/>
                <w:sz w:val="16"/>
              </w:rPr>
              <w:t>external</w:t>
            </w:r>
          </w:p>
        </w:tc>
        <w:tc>
          <w:tcPr>
            <w:tcW w:w="2286" w:type="dxa"/>
          </w:tcPr>
          <w:p w14:paraId="20B2712B" w14:textId="77777777" w:rsidR="00084F36" w:rsidRPr="00EB2BD8" w:rsidRDefault="00EB2BD8">
            <w:pPr>
              <w:pStyle w:val="TableParagraph"/>
              <w:spacing w:before="19"/>
              <w:ind w:left="118"/>
              <w:rPr>
                <w:sz w:val="16"/>
              </w:rPr>
            </w:pPr>
            <w:r w:rsidRPr="00EB2BD8">
              <w:rPr>
                <w:spacing w:val="-2"/>
                <w:sz w:val="16"/>
              </w:rPr>
              <w:t>registration.</w:t>
            </w:r>
          </w:p>
        </w:tc>
        <w:tc>
          <w:tcPr>
            <w:tcW w:w="1078" w:type="dxa"/>
          </w:tcPr>
          <w:p w14:paraId="78AC4DE4" w14:textId="77777777" w:rsidR="00084F36" w:rsidRPr="00EB2BD8" w:rsidRDefault="00084F36">
            <w:pPr>
              <w:pStyle w:val="TableParagraph"/>
              <w:rPr>
                <w:rFonts w:ascii="Times New Roman"/>
                <w:sz w:val="16"/>
              </w:rPr>
            </w:pPr>
          </w:p>
        </w:tc>
        <w:tc>
          <w:tcPr>
            <w:tcW w:w="1176" w:type="dxa"/>
          </w:tcPr>
          <w:p w14:paraId="05352AC7" w14:textId="77777777" w:rsidR="00084F36" w:rsidRPr="00EB2BD8" w:rsidRDefault="00084F36">
            <w:pPr>
              <w:pStyle w:val="TableParagraph"/>
              <w:rPr>
                <w:rFonts w:ascii="Times New Roman"/>
                <w:sz w:val="16"/>
              </w:rPr>
            </w:pPr>
          </w:p>
        </w:tc>
      </w:tr>
      <w:tr w:rsidR="00EB2BD8" w:rsidRPr="00EB2BD8" w14:paraId="6BFE7B8D" w14:textId="77777777">
        <w:trPr>
          <w:trHeight w:val="315"/>
        </w:trPr>
        <w:tc>
          <w:tcPr>
            <w:tcW w:w="1716" w:type="dxa"/>
            <w:tcBorders>
              <w:bottom w:val="single" w:sz="2" w:space="0" w:color="000000"/>
            </w:tcBorders>
          </w:tcPr>
          <w:p w14:paraId="76E3D92F" w14:textId="77777777" w:rsidR="00084F36" w:rsidRPr="00EB2BD8" w:rsidRDefault="00084F36">
            <w:pPr>
              <w:pStyle w:val="TableParagraph"/>
              <w:rPr>
                <w:rFonts w:ascii="Times New Roman"/>
                <w:sz w:val="16"/>
              </w:rPr>
            </w:pPr>
          </w:p>
        </w:tc>
        <w:tc>
          <w:tcPr>
            <w:tcW w:w="1454" w:type="dxa"/>
            <w:tcBorders>
              <w:bottom w:val="single" w:sz="2" w:space="0" w:color="000000"/>
            </w:tcBorders>
          </w:tcPr>
          <w:p w14:paraId="1E0FCBE6" w14:textId="77777777" w:rsidR="00084F36" w:rsidRPr="00EB2BD8" w:rsidRDefault="00084F36">
            <w:pPr>
              <w:pStyle w:val="TableParagraph"/>
              <w:rPr>
                <w:rFonts w:ascii="Times New Roman"/>
                <w:sz w:val="16"/>
              </w:rPr>
            </w:pPr>
          </w:p>
        </w:tc>
        <w:tc>
          <w:tcPr>
            <w:tcW w:w="2494" w:type="dxa"/>
            <w:tcBorders>
              <w:bottom w:val="single" w:sz="2" w:space="0" w:color="000000"/>
            </w:tcBorders>
          </w:tcPr>
          <w:p w14:paraId="5F0DF8B7" w14:textId="77777777" w:rsidR="00084F36" w:rsidRPr="00EB2BD8" w:rsidRDefault="00EB2BD8">
            <w:pPr>
              <w:pStyle w:val="TableParagraph"/>
              <w:spacing w:before="19"/>
              <w:ind w:left="333"/>
              <w:rPr>
                <w:sz w:val="16"/>
              </w:rPr>
            </w:pPr>
            <w:r w:rsidRPr="00EB2BD8">
              <w:rPr>
                <w:spacing w:val="-2"/>
                <w:sz w:val="16"/>
              </w:rPr>
              <w:t>administration.</w:t>
            </w:r>
          </w:p>
        </w:tc>
        <w:tc>
          <w:tcPr>
            <w:tcW w:w="2286" w:type="dxa"/>
            <w:tcBorders>
              <w:bottom w:val="single" w:sz="2" w:space="0" w:color="000000"/>
            </w:tcBorders>
          </w:tcPr>
          <w:p w14:paraId="360B6D3B"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6F6A47B9"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5B4E757F" w14:textId="77777777" w:rsidR="00084F36" w:rsidRPr="00EB2BD8" w:rsidRDefault="00084F36">
            <w:pPr>
              <w:pStyle w:val="TableParagraph"/>
              <w:rPr>
                <w:rFonts w:ascii="Times New Roman"/>
                <w:sz w:val="16"/>
              </w:rPr>
            </w:pPr>
          </w:p>
        </w:tc>
      </w:tr>
      <w:tr w:rsidR="00EB2BD8" w:rsidRPr="00EB2BD8" w14:paraId="00D426EA" w14:textId="77777777">
        <w:trPr>
          <w:trHeight w:val="325"/>
        </w:trPr>
        <w:tc>
          <w:tcPr>
            <w:tcW w:w="1716" w:type="dxa"/>
            <w:tcBorders>
              <w:top w:val="single" w:sz="2" w:space="0" w:color="000000"/>
            </w:tcBorders>
          </w:tcPr>
          <w:p w14:paraId="1CD6B813" w14:textId="77777777" w:rsidR="00084F36" w:rsidRPr="00EB2BD8" w:rsidRDefault="00EB2BD8">
            <w:pPr>
              <w:pStyle w:val="TableParagraph"/>
              <w:spacing w:before="115"/>
              <w:ind w:left="113"/>
              <w:rPr>
                <w:sz w:val="16"/>
              </w:rPr>
            </w:pPr>
            <w:r w:rsidRPr="00EB2BD8">
              <w:rPr>
                <w:spacing w:val="-2"/>
                <w:sz w:val="16"/>
              </w:rPr>
              <w:t>TARABENE,</w:t>
            </w:r>
          </w:p>
        </w:tc>
        <w:tc>
          <w:tcPr>
            <w:tcW w:w="1454" w:type="dxa"/>
            <w:tcBorders>
              <w:top w:val="single" w:sz="2" w:space="0" w:color="000000"/>
            </w:tcBorders>
          </w:tcPr>
          <w:p w14:paraId="74608173" w14:textId="77777777" w:rsidR="00084F36" w:rsidRPr="00EB2BD8" w:rsidRDefault="00EB2BD8">
            <w:pPr>
              <w:pStyle w:val="TableParagraph"/>
              <w:spacing w:before="115"/>
              <w:ind w:left="154"/>
              <w:rPr>
                <w:sz w:val="16"/>
              </w:rPr>
            </w:pPr>
            <w:r w:rsidRPr="00EB2BD8">
              <w:rPr>
                <w:sz w:val="16"/>
              </w:rPr>
              <w:t>DB-U</w:t>
            </w:r>
            <w:r w:rsidRPr="00EB2BD8">
              <w:rPr>
                <w:spacing w:val="22"/>
                <w:sz w:val="16"/>
              </w:rPr>
              <w:t xml:space="preserve"> </w:t>
            </w:r>
            <w:r w:rsidRPr="00EB2BD8">
              <w:rPr>
                <w:spacing w:val="-2"/>
                <w:sz w:val="16"/>
              </w:rPr>
              <w:t>63919</w:t>
            </w:r>
          </w:p>
        </w:tc>
        <w:tc>
          <w:tcPr>
            <w:tcW w:w="2494" w:type="dxa"/>
            <w:tcBorders>
              <w:top w:val="single" w:sz="2" w:space="0" w:color="000000"/>
            </w:tcBorders>
          </w:tcPr>
          <w:p w14:paraId="3552FCBC" w14:textId="77777777" w:rsidR="00084F36" w:rsidRPr="00EB2BD8" w:rsidRDefault="00EB2BD8">
            <w:pPr>
              <w:pStyle w:val="TableParagraph"/>
              <w:spacing w:before="115"/>
              <w:ind w:left="333"/>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comply</w:t>
            </w:r>
          </w:p>
        </w:tc>
        <w:tc>
          <w:tcPr>
            <w:tcW w:w="2286" w:type="dxa"/>
            <w:tcBorders>
              <w:top w:val="single" w:sz="2" w:space="0" w:color="000000"/>
            </w:tcBorders>
          </w:tcPr>
          <w:p w14:paraId="4BB677C3" w14:textId="77777777" w:rsidR="00084F36" w:rsidRPr="00EB2BD8" w:rsidRDefault="00EB2BD8">
            <w:pPr>
              <w:pStyle w:val="TableParagraph"/>
              <w:spacing w:before="114"/>
              <w:ind w:left="118"/>
              <w:rPr>
                <w:sz w:val="16"/>
              </w:rPr>
            </w:pPr>
            <w:r w:rsidRPr="00EB2BD8">
              <w:rPr>
                <w:sz w:val="16"/>
              </w:rPr>
              <w:t>Reprimand</w:t>
            </w:r>
            <w:r w:rsidRPr="00EB2BD8">
              <w:rPr>
                <w:spacing w:val="3"/>
                <w:sz w:val="16"/>
              </w:rPr>
              <w:t xml:space="preserve"> </w:t>
            </w:r>
            <w:r w:rsidRPr="00EB2BD8">
              <w:rPr>
                <w:sz w:val="16"/>
              </w:rPr>
              <w:t>and</w:t>
            </w:r>
            <w:r w:rsidRPr="00EB2BD8">
              <w:rPr>
                <w:spacing w:val="4"/>
                <w:sz w:val="16"/>
              </w:rPr>
              <w:t xml:space="preserve"> </w:t>
            </w:r>
            <w:r w:rsidRPr="00EB2BD8">
              <w:rPr>
                <w:sz w:val="16"/>
              </w:rPr>
              <w:t>a</w:t>
            </w:r>
            <w:r w:rsidRPr="00EB2BD8">
              <w:rPr>
                <w:spacing w:val="3"/>
                <w:sz w:val="16"/>
              </w:rPr>
              <w:t xml:space="preserve"> </w:t>
            </w:r>
            <w:r w:rsidRPr="00EB2BD8">
              <w:rPr>
                <w:spacing w:val="-2"/>
                <w:sz w:val="16"/>
              </w:rPr>
              <w:t>penalty</w:t>
            </w:r>
          </w:p>
        </w:tc>
        <w:tc>
          <w:tcPr>
            <w:tcW w:w="1078" w:type="dxa"/>
            <w:tcBorders>
              <w:top w:val="single" w:sz="2" w:space="0" w:color="000000"/>
            </w:tcBorders>
          </w:tcPr>
          <w:p w14:paraId="321D47E9" w14:textId="77777777" w:rsidR="00084F36" w:rsidRPr="00EB2BD8" w:rsidRDefault="00EB2BD8">
            <w:pPr>
              <w:pStyle w:val="TableParagraph"/>
              <w:spacing w:before="114"/>
              <w:ind w:right="114"/>
              <w:jc w:val="right"/>
              <w:rPr>
                <w:sz w:val="16"/>
              </w:rPr>
            </w:pPr>
            <w:r w:rsidRPr="00EB2BD8">
              <w:rPr>
                <w:spacing w:val="-2"/>
                <w:sz w:val="16"/>
              </w:rPr>
              <w:t>$10,000</w:t>
            </w:r>
          </w:p>
        </w:tc>
        <w:tc>
          <w:tcPr>
            <w:tcW w:w="1176" w:type="dxa"/>
            <w:tcBorders>
              <w:top w:val="single" w:sz="2" w:space="0" w:color="000000"/>
            </w:tcBorders>
          </w:tcPr>
          <w:p w14:paraId="285C87D8" w14:textId="77777777" w:rsidR="00084F36" w:rsidRPr="00EB2BD8" w:rsidRDefault="00EB2BD8">
            <w:pPr>
              <w:pStyle w:val="TableParagraph"/>
              <w:spacing w:before="114"/>
              <w:ind w:left="110"/>
              <w:rPr>
                <w:sz w:val="16"/>
              </w:rPr>
            </w:pPr>
            <w:r w:rsidRPr="00EB2BD8">
              <w:rPr>
                <w:spacing w:val="-2"/>
                <w:w w:val="85"/>
                <w:sz w:val="16"/>
              </w:rPr>
              <w:t>28/11/2022</w:t>
            </w:r>
          </w:p>
        </w:tc>
      </w:tr>
      <w:tr w:rsidR="00EB2BD8" w:rsidRPr="00EB2BD8" w14:paraId="7ED13360" w14:textId="77777777">
        <w:trPr>
          <w:trHeight w:val="230"/>
        </w:trPr>
        <w:tc>
          <w:tcPr>
            <w:tcW w:w="1716" w:type="dxa"/>
          </w:tcPr>
          <w:p w14:paraId="65E59062" w14:textId="77777777" w:rsidR="00084F36" w:rsidRPr="00EB2BD8" w:rsidRDefault="00EB2BD8">
            <w:pPr>
              <w:pStyle w:val="TableParagraph"/>
              <w:spacing w:before="19"/>
              <w:ind w:left="113"/>
              <w:rPr>
                <w:sz w:val="16"/>
              </w:rPr>
            </w:pPr>
            <w:r w:rsidRPr="00EB2BD8">
              <w:rPr>
                <w:spacing w:val="-2"/>
                <w:sz w:val="16"/>
              </w:rPr>
              <w:t>Anthony</w:t>
            </w:r>
          </w:p>
        </w:tc>
        <w:tc>
          <w:tcPr>
            <w:tcW w:w="1454" w:type="dxa"/>
          </w:tcPr>
          <w:p w14:paraId="32E0F458" w14:textId="77777777" w:rsidR="00084F36" w:rsidRPr="00EB2BD8" w:rsidRDefault="00084F36">
            <w:pPr>
              <w:pStyle w:val="TableParagraph"/>
              <w:rPr>
                <w:rFonts w:ascii="Times New Roman"/>
                <w:sz w:val="16"/>
              </w:rPr>
            </w:pPr>
          </w:p>
        </w:tc>
        <w:tc>
          <w:tcPr>
            <w:tcW w:w="2494" w:type="dxa"/>
          </w:tcPr>
          <w:p w14:paraId="7B0A92C1" w14:textId="77777777" w:rsidR="00084F36" w:rsidRPr="00EB2BD8" w:rsidRDefault="00EB2BD8">
            <w:pPr>
              <w:pStyle w:val="TableParagraph"/>
              <w:spacing w:before="19"/>
              <w:ind w:left="333"/>
              <w:rPr>
                <w:sz w:val="16"/>
              </w:rPr>
            </w:pPr>
            <w:r w:rsidRPr="00EB2BD8">
              <w:rPr>
                <w:sz w:val="16"/>
              </w:rPr>
              <w:t>(as</w:t>
            </w:r>
            <w:r w:rsidRPr="00EB2BD8">
              <w:rPr>
                <w:spacing w:val="-9"/>
                <w:sz w:val="16"/>
              </w:rPr>
              <w:t xml:space="preserve"> </w:t>
            </w:r>
            <w:r w:rsidRPr="00EB2BD8">
              <w:rPr>
                <w:sz w:val="16"/>
              </w:rPr>
              <w:t>a</w:t>
            </w:r>
            <w:r w:rsidRPr="00EB2BD8">
              <w:rPr>
                <w:spacing w:val="-9"/>
                <w:sz w:val="16"/>
              </w:rPr>
              <w:t xml:space="preserve"> </w:t>
            </w:r>
            <w:r w:rsidRPr="00EB2BD8">
              <w:rPr>
                <w:sz w:val="16"/>
              </w:rPr>
              <w:t>director</w:t>
            </w:r>
            <w:r w:rsidRPr="00EB2BD8">
              <w:rPr>
                <w:spacing w:val="-8"/>
                <w:sz w:val="16"/>
              </w:rPr>
              <w:t xml:space="preserve"> </w:t>
            </w:r>
            <w:r w:rsidRPr="00EB2BD8">
              <w:rPr>
                <w:sz w:val="16"/>
              </w:rPr>
              <w:t>of</w:t>
            </w:r>
            <w:r w:rsidRPr="00EB2BD8">
              <w:rPr>
                <w:spacing w:val="-9"/>
                <w:sz w:val="16"/>
              </w:rPr>
              <w:t xml:space="preserve"> </w:t>
            </w:r>
            <w:r w:rsidRPr="00EB2BD8">
              <w:rPr>
                <w:spacing w:val="-5"/>
                <w:sz w:val="16"/>
              </w:rPr>
              <w:t>NM</w:t>
            </w:r>
          </w:p>
        </w:tc>
        <w:tc>
          <w:tcPr>
            <w:tcW w:w="2286" w:type="dxa"/>
          </w:tcPr>
          <w:p w14:paraId="5FACFE8E" w14:textId="77777777" w:rsidR="00084F36" w:rsidRPr="00EB2BD8" w:rsidRDefault="00EB2BD8">
            <w:pPr>
              <w:pStyle w:val="TableParagraph"/>
              <w:spacing w:before="19"/>
              <w:ind w:left="118"/>
              <w:rPr>
                <w:sz w:val="16"/>
              </w:rPr>
            </w:pPr>
            <w:r w:rsidRPr="00EB2BD8">
              <w:rPr>
                <w:spacing w:val="-4"/>
                <w:sz w:val="16"/>
              </w:rPr>
              <w:t>of</w:t>
            </w:r>
            <w:r w:rsidRPr="00EB2BD8">
              <w:rPr>
                <w:spacing w:val="-10"/>
                <w:sz w:val="16"/>
              </w:rPr>
              <w:t xml:space="preserve"> </w:t>
            </w:r>
            <w:r w:rsidRPr="00EB2BD8">
              <w:rPr>
                <w:spacing w:val="-2"/>
                <w:sz w:val="16"/>
              </w:rPr>
              <w:t>$10,000.</w:t>
            </w:r>
          </w:p>
        </w:tc>
        <w:tc>
          <w:tcPr>
            <w:tcW w:w="1078" w:type="dxa"/>
          </w:tcPr>
          <w:p w14:paraId="0AAE84F3" w14:textId="77777777" w:rsidR="00084F36" w:rsidRPr="00EB2BD8" w:rsidRDefault="00084F36">
            <w:pPr>
              <w:pStyle w:val="TableParagraph"/>
              <w:rPr>
                <w:rFonts w:ascii="Times New Roman"/>
                <w:sz w:val="16"/>
              </w:rPr>
            </w:pPr>
          </w:p>
        </w:tc>
        <w:tc>
          <w:tcPr>
            <w:tcW w:w="1176" w:type="dxa"/>
          </w:tcPr>
          <w:p w14:paraId="642F1F50" w14:textId="77777777" w:rsidR="00084F36" w:rsidRPr="00EB2BD8" w:rsidRDefault="00084F36">
            <w:pPr>
              <w:pStyle w:val="TableParagraph"/>
              <w:rPr>
                <w:rFonts w:ascii="Times New Roman"/>
                <w:sz w:val="16"/>
              </w:rPr>
            </w:pPr>
          </w:p>
        </w:tc>
      </w:tr>
      <w:tr w:rsidR="00EB2BD8" w:rsidRPr="00EB2BD8" w14:paraId="7C33C605" w14:textId="77777777">
        <w:trPr>
          <w:trHeight w:val="229"/>
        </w:trPr>
        <w:tc>
          <w:tcPr>
            <w:tcW w:w="1716" w:type="dxa"/>
          </w:tcPr>
          <w:p w14:paraId="3AACD89F" w14:textId="77777777" w:rsidR="00084F36" w:rsidRPr="00EB2BD8" w:rsidRDefault="00084F36">
            <w:pPr>
              <w:pStyle w:val="TableParagraph"/>
              <w:rPr>
                <w:rFonts w:ascii="Times New Roman"/>
                <w:sz w:val="16"/>
              </w:rPr>
            </w:pPr>
          </w:p>
        </w:tc>
        <w:tc>
          <w:tcPr>
            <w:tcW w:w="1454" w:type="dxa"/>
          </w:tcPr>
          <w:p w14:paraId="13FF1139" w14:textId="77777777" w:rsidR="00084F36" w:rsidRPr="00EB2BD8" w:rsidRDefault="00084F36">
            <w:pPr>
              <w:pStyle w:val="TableParagraph"/>
              <w:rPr>
                <w:rFonts w:ascii="Times New Roman"/>
                <w:sz w:val="16"/>
              </w:rPr>
            </w:pPr>
          </w:p>
        </w:tc>
        <w:tc>
          <w:tcPr>
            <w:tcW w:w="2494" w:type="dxa"/>
          </w:tcPr>
          <w:p w14:paraId="3B4479CB" w14:textId="77777777" w:rsidR="00084F36" w:rsidRPr="00EB2BD8" w:rsidRDefault="00EB2BD8">
            <w:pPr>
              <w:pStyle w:val="TableParagraph"/>
              <w:spacing w:before="19"/>
              <w:ind w:left="333"/>
              <w:rPr>
                <w:sz w:val="16"/>
              </w:rPr>
            </w:pPr>
            <w:r w:rsidRPr="00EB2BD8">
              <w:rPr>
                <w:sz w:val="16"/>
              </w:rPr>
              <w:t>Constructions</w:t>
            </w:r>
            <w:r w:rsidRPr="00EB2BD8">
              <w:rPr>
                <w:spacing w:val="-3"/>
                <w:sz w:val="16"/>
              </w:rPr>
              <w:t xml:space="preserve"> </w:t>
            </w:r>
            <w:r w:rsidRPr="00EB2BD8">
              <w:rPr>
                <w:sz w:val="16"/>
              </w:rPr>
              <w:t>Pty</w:t>
            </w:r>
            <w:r w:rsidRPr="00EB2BD8">
              <w:rPr>
                <w:spacing w:val="-3"/>
                <w:sz w:val="16"/>
              </w:rPr>
              <w:t xml:space="preserve"> </w:t>
            </w:r>
            <w:r w:rsidRPr="00EB2BD8">
              <w:rPr>
                <w:spacing w:val="-4"/>
                <w:sz w:val="16"/>
              </w:rPr>
              <w:t>Ltd)</w:t>
            </w:r>
          </w:p>
        </w:tc>
        <w:tc>
          <w:tcPr>
            <w:tcW w:w="2286" w:type="dxa"/>
          </w:tcPr>
          <w:p w14:paraId="4D014287" w14:textId="77777777" w:rsidR="00084F36" w:rsidRPr="00EB2BD8" w:rsidRDefault="00084F36">
            <w:pPr>
              <w:pStyle w:val="TableParagraph"/>
              <w:rPr>
                <w:rFonts w:ascii="Times New Roman"/>
                <w:sz w:val="16"/>
              </w:rPr>
            </w:pPr>
          </w:p>
        </w:tc>
        <w:tc>
          <w:tcPr>
            <w:tcW w:w="1078" w:type="dxa"/>
          </w:tcPr>
          <w:p w14:paraId="44621075" w14:textId="77777777" w:rsidR="00084F36" w:rsidRPr="00EB2BD8" w:rsidRDefault="00084F36">
            <w:pPr>
              <w:pStyle w:val="TableParagraph"/>
              <w:rPr>
                <w:rFonts w:ascii="Times New Roman"/>
                <w:sz w:val="16"/>
              </w:rPr>
            </w:pPr>
          </w:p>
        </w:tc>
        <w:tc>
          <w:tcPr>
            <w:tcW w:w="1176" w:type="dxa"/>
          </w:tcPr>
          <w:p w14:paraId="011E2310" w14:textId="77777777" w:rsidR="00084F36" w:rsidRPr="00EB2BD8" w:rsidRDefault="00084F36">
            <w:pPr>
              <w:pStyle w:val="TableParagraph"/>
              <w:rPr>
                <w:rFonts w:ascii="Times New Roman"/>
                <w:sz w:val="16"/>
              </w:rPr>
            </w:pPr>
          </w:p>
        </w:tc>
      </w:tr>
      <w:tr w:rsidR="00EB2BD8" w:rsidRPr="00EB2BD8" w14:paraId="3796B1EB" w14:textId="77777777">
        <w:trPr>
          <w:trHeight w:val="229"/>
        </w:trPr>
        <w:tc>
          <w:tcPr>
            <w:tcW w:w="1716" w:type="dxa"/>
          </w:tcPr>
          <w:p w14:paraId="6940AA45" w14:textId="77777777" w:rsidR="00084F36" w:rsidRPr="00EB2BD8" w:rsidRDefault="00084F36">
            <w:pPr>
              <w:pStyle w:val="TableParagraph"/>
              <w:rPr>
                <w:rFonts w:ascii="Times New Roman"/>
                <w:sz w:val="16"/>
              </w:rPr>
            </w:pPr>
          </w:p>
        </w:tc>
        <w:tc>
          <w:tcPr>
            <w:tcW w:w="1454" w:type="dxa"/>
          </w:tcPr>
          <w:p w14:paraId="70D11991" w14:textId="77777777" w:rsidR="00084F36" w:rsidRPr="00EB2BD8" w:rsidRDefault="00084F36">
            <w:pPr>
              <w:pStyle w:val="TableParagraph"/>
              <w:rPr>
                <w:rFonts w:ascii="Times New Roman"/>
                <w:sz w:val="16"/>
              </w:rPr>
            </w:pPr>
          </w:p>
        </w:tc>
        <w:tc>
          <w:tcPr>
            <w:tcW w:w="2494" w:type="dxa"/>
          </w:tcPr>
          <w:p w14:paraId="20CEBD39" w14:textId="77777777" w:rsidR="00084F36" w:rsidRPr="00EB2BD8" w:rsidRDefault="00EB2BD8">
            <w:pPr>
              <w:pStyle w:val="TableParagraph"/>
              <w:spacing w:before="19"/>
              <w:ind w:left="333"/>
              <w:rPr>
                <w:sz w:val="16"/>
              </w:rPr>
            </w:pPr>
            <w:r w:rsidRPr="00EB2BD8">
              <w:rPr>
                <w:spacing w:val="-2"/>
                <w:sz w:val="16"/>
              </w:rPr>
              <w:t>with</w:t>
            </w:r>
            <w:r w:rsidRPr="00EB2BD8">
              <w:rPr>
                <w:spacing w:val="-7"/>
                <w:sz w:val="16"/>
              </w:rPr>
              <w:t xml:space="preserve"> </w:t>
            </w:r>
            <w:r w:rsidRPr="00EB2BD8">
              <w:rPr>
                <w:spacing w:val="-2"/>
                <w:sz w:val="16"/>
              </w:rPr>
              <w:t>a</w:t>
            </w:r>
            <w:r w:rsidRPr="00EB2BD8">
              <w:rPr>
                <w:spacing w:val="-6"/>
                <w:sz w:val="16"/>
              </w:rPr>
              <w:t xml:space="preserve"> </w:t>
            </w:r>
            <w:r w:rsidRPr="00EB2BD8">
              <w:rPr>
                <w:spacing w:val="-2"/>
                <w:sz w:val="16"/>
              </w:rPr>
              <w:t>direction</w:t>
            </w:r>
            <w:r w:rsidRPr="00EB2BD8">
              <w:rPr>
                <w:spacing w:val="-7"/>
                <w:sz w:val="16"/>
              </w:rPr>
              <w:t xml:space="preserve"> </w:t>
            </w:r>
            <w:r w:rsidRPr="00EB2BD8">
              <w:rPr>
                <w:spacing w:val="-2"/>
                <w:sz w:val="16"/>
              </w:rPr>
              <w:t>to</w:t>
            </w:r>
            <w:r w:rsidRPr="00EB2BD8">
              <w:rPr>
                <w:spacing w:val="-6"/>
                <w:sz w:val="16"/>
              </w:rPr>
              <w:t xml:space="preserve"> </w:t>
            </w:r>
            <w:r w:rsidRPr="00EB2BD8">
              <w:rPr>
                <w:spacing w:val="-5"/>
                <w:sz w:val="16"/>
              </w:rPr>
              <w:t>fix</w:t>
            </w:r>
          </w:p>
        </w:tc>
        <w:tc>
          <w:tcPr>
            <w:tcW w:w="2286" w:type="dxa"/>
          </w:tcPr>
          <w:p w14:paraId="363DFCC3" w14:textId="77777777" w:rsidR="00084F36" w:rsidRPr="00EB2BD8" w:rsidRDefault="00084F36">
            <w:pPr>
              <w:pStyle w:val="TableParagraph"/>
              <w:rPr>
                <w:rFonts w:ascii="Times New Roman"/>
                <w:sz w:val="16"/>
              </w:rPr>
            </w:pPr>
          </w:p>
        </w:tc>
        <w:tc>
          <w:tcPr>
            <w:tcW w:w="1078" w:type="dxa"/>
          </w:tcPr>
          <w:p w14:paraId="0316A281" w14:textId="77777777" w:rsidR="00084F36" w:rsidRPr="00EB2BD8" w:rsidRDefault="00084F36">
            <w:pPr>
              <w:pStyle w:val="TableParagraph"/>
              <w:rPr>
                <w:rFonts w:ascii="Times New Roman"/>
                <w:sz w:val="16"/>
              </w:rPr>
            </w:pPr>
          </w:p>
        </w:tc>
        <w:tc>
          <w:tcPr>
            <w:tcW w:w="1176" w:type="dxa"/>
          </w:tcPr>
          <w:p w14:paraId="1664E44A" w14:textId="77777777" w:rsidR="00084F36" w:rsidRPr="00EB2BD8" w:rsidRDefault="00084F36">
            <w:pPr>
              <w:pStyle w:val="TableParagraph"/>
              <w:rPr>
                <w:rFonts w:ascii="Times New Roman"/>
                <w:sz w:val="16"/>
              </w:rPr>
            </w:pPr>
          </w:p>
        </w:tc>
      </w:tr>
      <w:tr w:rsidR="00EB2BD8" w:rsidRPr="00EB2BD8" w14:paraId="6F0D0B0A" w14:textId="77777777">
        <w:trPr>
          <w:trHeight w:val="229"/>
        </w:trPr>
        <w:tc>
          <w:tcPr>
            <w:tcW w:w="1716" w:type="dxa"/>
          </w:tcPr>
          <w:p w14:paraId="2B345658" w14:textId="77777777" w:rsidR="00084F36" w:rsidRPr="00EB2BD8" w:rsidRDefault="00084F36">
            <w:pPr>
              <w:pStyle w:val="TableParagraph"/>
              <w:rPr>
                <w:rFonts w:ascii="Times New Roman"/>
                <w:sz w:val="16"/>
              </w:rPr>
            </w:pPr>
          </w:p>
        </w:tc>
        <w:tc>
          <w:tcPr>
            <w:tcW w:w="1454" w:type="dxa"/>
          </w:tcPr>
          <w:p w14:paraId="11E13CDF" w14:textId="77777777" w:rsidR="00084F36" w:rsidRPr="00EB2BD8" w:rsidRDefault="00084F36">
            <w:pPr>
              <w:pStyle w:val="TableParagraph"/>
              <w:rPr>
                <w:rFonts w:ascii="Times New Roman"/>
                <w:sz w:val="16"/>
              </w:rPr>
            </w:pPr>
          </w:p>
        </w:tc>
        <w:tc>
          <w:tcPr>
            <w:tcW w:w="2494" w:type="dxa"/>
          </w:tcPr>
          <w:p w14:paraId="08E8F4C2" w14:textId="77777777" w:rsidR="00084F36" w:rsidRPr="00EB2BD8" w:rsidRDefault="00EB2BD8">
            <w:pPr>
              <w:pStyle w:val="TableParagraph"/>
              <w:spacing w:before="19"/>
              <w:ind w:left="333"/>
              <w:rPr>
                <w:sz w:val="16"/>
              </w:rPr>
            </w:pPr>
            <w:r w:rsidRPr="00EB2BD8">
              <w:rPr>
                <w:spacing w:val="-4"/>
                <w:sz w:val="16"/>
              </w:rPr>
              <w:t>building</w:t>
            </w:r>
            <w:r w:rsidRPr="00EB2BD8">
              <w:rPr>
                <w:spacing w:val="-3"/>
                <w:sz w:val="16"/>
              </w:rPr>
              <w:t xml:space="preserve"> </w:t>
            </w:r>
            <w:r w:rsidRPr="00EB2BD8">
              <w:rPr>
                <w:spacing w:val="-4"/>
                <w:sz w:val="16"/>
              </w:rPr>
              <w:t>work</w:t>
            </w:r>
            <w:r w:rsidRPr="00EB2BD8">
              <w:rPr>
                <w:spacing w:val="-2"/>
                <w:sz w:val="16"/>
              </w:rPr>
              <w:t xml:space="preserve"> </w:t>
            </w:r>
            <w:r w:rsidRPr="00EB2BD8">
              <w:rPr>
                <w:spacing w:val="-4"/>
                <w:sz w:val="16"/>
              </w:rPr>
              <w:t>within</w:t>
            </w:r>
            <w:r w:rsidRPr="00EB2BD8">
              <w:rPr>
                <w:spacing w:val="-2"/>
                <w:sz w:val="16"/>
              </w:rPr>
              <w:t xml:space="preserve"> </w:t>
            </w:r>
            <w:r w:rsidRPr="00EB2BD8">
              <w:rPr>
                <w:spacing w:val="-5"/>
                <w:sz w:val="16"/>
              </w:rPr>
              <w:t>the</w:t>
            </w:r>
          </w:p>
        </w:tc>
        <w:tc>
          <w:tcPr>
            <w:tcW w:w="2286" w:type="dxa"/>
          </w:tcPr>
          <w:p w14:paraId="6C025D5D" w14:textId="77777777" w:rsidR="00084F36" w:rsidRPr="00EB2BD8" w:rsidRDefault="00084F36">
            <w:pPr>
              <w:pStyle w:val="TableParagraph"/>
              <w:rPr>
                <w:rFonts w:ascii="Times New Roman"/>
                <w:sz w:val="16"/>
              </w:rPr>
            </w:pPr>
          </w:p>
        </w:tc>
        <w:tc>
          <w:tcPr>
            <w:tcW w:w="1078" w:type="dxa"/>
          </w:tcPr>
          <w:p w14:paraId="31C49D0A" w14:textId="77777777" w:rsidR="00084F36" w:rsidRPr="00EB2BD8" w:rsidRDefault="00084F36">
            <w:pPr>
              <w:pStyle w:val="TableParagraph"/>
              <w:rPr>
                <w:rFonts w:ascii="Times New Roman"/>
                <w:sz w:val="16"/>
              </w:rPr>
            </w:pPr>
          </w:p>
        </w:tc>
        <w:tc>
          <w:tcPr>
            <w:tcW w:w="1176" w:type="dxa"/>
          </w:tcPr>
          <w:p w14:paraId="5EC963F8" w14:textId="77777777" w:rsidR="00084F36" w:rsidRPr="00EB2BD8" w:rsidRDefault="00084F36">
            <w:pPr>
              <w:pStyle w:val="TableParagraph"/>
              <w:rPr>
                <w:rFonts w:ascii="Times New Roman"/>
                <w:sz w:val="16"/>
              </w:rPr>
            </w:pPr>
          </w:p>
        </w:tc>
      </w:tr>
      <w:tr w:rsidR="00EB2BD8" w:rsidRPr="00EB2BD8" w14:paraId="76C76B46" w14:textId="77777777">
        <w:trPr>
          <w:trHeight w:val="229"/>
        </w:trPr>
        <w:tc>
          <w:tcPr>
            <w:tcW w:w="1716" w:type="dxa"/>
          </w:tcPr>
          <w:p w14:paraId="626D78B0" w14:textId="77777777" w:rsidR="00084F36" w:rsidRPr="00EB2BD8" w:rsidRDefault="00084F36">
            <w:pPr>
              <w:pStyle w:val="TableParagraph"/>
              <w:rPr>
                <w:rFonts w:ascii="Times New Roman"/>
                <w:sz w:val="16"/>
              </w:rPr>
            </w:pPr>
          </w:p>
        </w:tc>
        <w:tc>
          <w:tcPr>
            <w:tcW w:w="1454" w:type="dxa"/>
          </w:tcPr>
          <w:p w14:paraId="1CBBF419" w14:textId="77777777" w:rsidR="00084F36" w:rsidRPr="00EB2BD8" w:rsidRDefault="00084F36">
            <w:pPr>
              <w:pStyle w:val="TableParagraph"/>
              <w:rPr>
                <w:rFonts w:ascii="Times New Roman"/>
                <w:sz w:val="16"/>
              </w:rPr>
            </w:pPr>
          </w:p>
        </w:tc>
        <w:tc>
          <w:tcPr>
            <w:tcW w:w="2494" w:type="dxa"/>
          </w:tcPr>
          <w:p w14:paraId="719015BB" w14:textId="77777777" w:rsidR="00084F36" w:rsidRPr="00EB2BD8" w:rsidRDefault="00EB2BD8">
            <w:pPr>
              <w:pStyle w:val="TableParagraph"/>
              <w:spacing w:before="19"/>
              <w:ind w:left="333"/>
              <w:rPr>
                <w:sz w:val="16"/>
              </w:rPr>
            </w:pPr>
            <w:r w:rsidRPr="00EB2BD8">
              <w:rPr>
                <w:spacing w:val="-2"/>
                <w:sz w:val="16"/>
              </w:rPr>
              <w:t>specified</w:t>
            </w:r>
            <w:r w:rsidRPr="00EB2BD8">
              <w:rPr>
                <w:spacing w:val="-3"/>
                <w:sz w:val="16"/>
              </w:rPr>
              <w:t xml:space="preserve"> </w:t>
            </w:r>
            <w:r w:rsidRPr="00EB2BD8">
              <w:rPr>
                <w:spacing w:val="-2"/>
                <w:sz w:val="16"/>
              </w:rPr>
              <w:t>period</w:t>
            </w:r>
            <w:r w:rsidRPr="00EB2BD8">
              <w:rPr>
                <w:spacing w:val="-3"/>
                <w:sz w:val="16"/>
              </w:rPr>
              <w:t xml:space="preserve"> </w:t>
            </w:r>
            <w:r w:rsidRPr="00EB2BD8">
              <w:rPr>
                <w:spacing w:val="-2"/>
                <w:sz w:val="16"/>
              </w:rPr>
              <w:t>in</w:t>
            </w:r>
            <w:r w:rsidRPr="00EB2BD8">
              <w:rPr>
                <w:spacing w:val="-3"/>
                <w:sz w:val="16"/>
              </w:rPr>
              <w:t xml:space="preserve"> </w:t>
            </w:r>
            <w:r w:rsidRPr="00EB2BD8">
              <w:rPr>
                <w:spacing w:val="-2"/>
                <w:sz w:val="16"/>
              </w:rPr>
              <w:t>respect</w:t>
            </w:r>
          </w:p>
        </w:tc>
        <w:tc>
          <w:tcPr>
            <w:tcW w:w="2286" w:type="dxa"/>
          </w:tcPr>
          <w:p w14:paraId="3F9E9F0B" w14:textId="77777777" w:rsidR="00084F36" w:rsidRPr="00EB2BD8" w:rsidRDefault="00084F36">
            <w:pPr>
              <w:pStyle w:val="TableParagraph"/>
              <w:rPr>
                <w:rFonts w:ascii="Times New Roman"/>
                <w:sz w:val="16"/>
              </w:rPr>
            </w:pPr>
          </w:p>
        </w:tc>
        <w:tc>
          <w:tcPr>
            <w:tcW w:w="1078" w:type="dxa"/>
          </w:tcPr>
          <w:p w14:paraId="4348496E" w14:textId="77777777" w:rsidR="00084F36" w:rsidRPr="00EB2BD8" w:rsidRDefault="00084F36">
            <w:pPr>
              <w:pStyle w:val="TableParagraph"/>
              <w:rPr>
                <w:rFonts w:ascii="Times New Roman"/>
                <w:sz w:val="16"/>
              </w:rPr>
            </w:pPr>
          </w:p>
        </w:tc>
        <w:tc>
          <w:tcPr>
            <w:tcW w:w="1176" w:type="dxa"/>
          </w:tcPr>
          <w:p w14:paraId="4735D209" w14:textId="77777777" w:rsidR="00084F36" w:rsidRPr="00EB2BD8" w:rsidRDefault="00084F36">
            <w:pPr>
              <w:pStyle w:val="TableParagraph"/>
              <w:rPr>
                <w:rFonts w:ascii="Times New Roman"/>
                <w:sz w:val="16"/>
              </w:rPr>
            </w:pPr>
          </w:p>
        </w:tc>
      </w:tr>
      <w:tr w:rsidR="00EB2BD8" w:rsidRPr="00EB2BD8" w14:paraId="69565100" w14:textId="77777777">
        <w:trPr>
          <w:trHeight w:val="286"/>
        </w:trPr>
        <w:tc>
          <w:tcPr>
            <w:tcW w:w="1716" w:type="dxa"/>
            <w:tcBorders>
              <w:bottom w:val="single" w:sz="2" w:space="0" w:color="000000"/>
            </w:tcBorders>
          </w:tcPr>
          <w:p w14:paraId="5B6B4B9F" w14:textId="77777777" w:rsidR="00084F36" w:rsidRPr="00EB2BD8" w:rsidRDefault="00084F36">
            <w:pPr>
              <w:pStyle w:val="TableParagraph"/>
              <w:rPr>
                <w:rFonts w:ascii="Times New Roman"/>
                <w:sz w:val="16"/>
              </w:rPr>
            </w:pPr>
          </w:p>
        </w:tc>
        <w:tc>
          <w:tcPr>
            <w:tcW w:w="1454" w:type="dxa"/>
            <w:tcBorders>
              <w:bottom w:val="single" w:sz="2" w:space="0" w:color="000000"/>
            </w:tcBorders>
          </w:tcPr>
          <w:p w14:paraId="3E4101E1" w14:textId="77777777" w:rsidR="00084F36" w:rsidRPr="00EB2BD8" w:rsidRDefault="00084F36">
            <w:pPr>
              <w:pStyle w:val="TableParagraph"/>
              <w:rPr>
                <w:rFonts w:ascii="Times New Roman"/>
                <w:sz w:val="16"/>
              </w:rPr>
            </w:pPr>
          </w:p>
        </w:tc>
        <w:tc>
          <w:tcPr>
            <w:tcW w:w="2494" w:type="dxa"/>
            <w:tcBorders>
              <w:bottom w:val="single" w:sz="2" w:space="0" w:color="000000"/>
            </w:tcBorders>
          </w:tcPr>
          <w:p w14:paraId="5EF1FCE3" w14:textId="77777777" w:rsidR="00084F36" w:rsidRPr="00EB2BD8" w:rsidRDefault="00EB2BD8">
            <w:pPr>
              <w:pStyle w:val="TableParagraph"/>
              <w:spacing w:before="19"/>
              <w:ind w:left="333"/>
              <w:rPr>
                <w:sz w:val="16"/>
              </w:rPr>
            </w:pPr>
            <w:r w:rsidRPr="00EB2BD8">
              <w:rPr>
                <w:spacing w:val="-2"/>
                <w:sz w:val="16"/>
              </w:rPr>
              <w:t>of</w:t>
            </w:r>
            <w:r w:rsidRPr="00EB2BD8">
              <w:rPr>
                <w:spacing w:val="-8"/>
                <w:sz w:val="16"/>
              </w:rPr>
              <w:t xml:space="preserve"> </w:t>
            </w:r>
            <w:r w:rsidRPr="00EB2BD8">
              <w:rPr>
                <w:spacing w:val="-2"/>
                <w:sz w:val="16"/>
              </w:rPr>
              <w:t>a</w:t>
            </w:r>
            <w:r w:rsidRPr="00EB2BD8">
              <w:rPr>
                <w:spacing w:val="-7"/>
                <w:sz w:val="16"/>
              </w:rPr>
              <w:t xml:space="preserve"> </w:t>
            </w:r>
            <w:r w:rsidRPr="00EB2BD8">
              <w:rPr>
                <w:spacing w:val="-2"/>
                <w:sz w:val="16"/>
              </w:rPr>
              <w:t>site</w:t>
            </w:r>
            <w:r w:rsidRPr="00EB2BD8">
              <w:rPr>
                <w:spacing w:val="-7"/>
                <w:sz w:val="16"/>
              </w:rPr>
              <w:t xml:space="preserve"> </w:t>
            </w:r>
            <w:r w:rsidRPr="00EB2BD8">
              <w:rPr>
                <w:spacing w:val="-2"/>
                <w:sz w:val="16"/>
              </w:rPr>
              <w:t>at</w:t>
            </w:r>
            <w:r w:rsidRPr="00EB2BD8">
              <w:rPr>
                <w:spacing w:val="-7"/>
                <w:sz w:val="16"/>
              </w:rPr>
              <w:t xml:space="preserve"> </w:t>
            </w:r>
            <w:r w:rsidRPr="00EB2BD8">
              <w:rPr>
                <w:spacing w:val="-2"/>
                <w:sz w:val="16"/>
              </w:rPr>
              <w:t>Digger’s</w:t>
            </w:r>
            <w:r w:rsidRPr="00EB2BD8">
              <w:rPr>
                <w:spacing w:val="-8"/>
                <w:sz w:val="16"/>
              </w:rPr>
              <w:t xml:space="preserve"> </w:t>
            </w:r>
            <w:r w:rsidRPr="00EB2BD8">
              <w:rPr>
                <w:spacing w:val="-2"/>
                <w:sz w:val="16"/>
              </w:rPr>
              <w:t>Rest.</w:t>
            </w:r>
          </w:p>
        </w:tc>
        <w:tc>
          <w:tcPr>
            <w:tcW w:w="2286" w:type="dxa"/>
            <w:tcBorders>
              <w:bottom w:val="single" w:sz="2" w:space="0" w:color="000000"/>
            </w:tcBorders>
          </w:tcPr>
          <w:p w14:paraId="047F7CBD"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29E12432"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3D365B38" w14:textId="77777777" w:rsidR="00084F36" w:rsidRPr="00EB2BD8" w:rsidRDefault="00084F36">
            <w:pPr>
              <w:pStyle w:val="TableParagraph"/>
              <w:rPr>
                <w:rFonts w:ascii="Times New Roman"/>
                <w:sz w:val="16"/>
              </w:rPr>
            </w:pPr>
          </w:p>
        </w:tc>
      </w:tr>
      <w:tr w:rsidR="00EB2BD8" w:rsidRPr="00EB2BD8" w14:paraId="32757657" w14:textId="77777777">
        <w:trPr>
          <w:trHeight w:val="324"/>
        </w:trPr>
        <w:tc>
          <w:tcPr>
            <w:tcW w:w="1716" w:type="dxa"/>
            <w:tcBorders>
              <w:top w:val="single" w:sz="2" w:space="0" w:color="000000"/>
            </w:tcBorders>
          </w:tcPr>
          <w:p w14:paraId="2F6E6F27" w14:textId="77777777" w:rsidR="00084F36" w:rsidRPr="00EB2BD8" w:rsidRDefault="00EB2BD8">
            <w:pPr>
              <w:pStyle w:val="TableParagraph"/>
              <w:spacing w:before="114"/>
              <w:ind w:left="113"/>
              <w:rPr>
                <w:sz w:val="16"/>
              </w:rPr>
            </w:pPr>
            <w:r w:rsidRPr="00EB2BD8">
              <w:rPr>
                <w:spacing w:val="-5"/>
                <w:sz w:val="16"/>
              </w:rPr>
              <w:t>THOMAS,</w:t>
            </w:r>
            <w:r w:rsidRPr="00EB2BD8">
              <w:rPr>
                <w:spacing w:val="-3"/>
                <w:sz w:val="16"/>
              </w:rPr>
              <w:t xml:space="preserve"> </w:t>
            </w:r>
            <w:r w:rsidRPr="00EB2BD8">
              <w:rPr>
                <w:spacing w:val="-2"/>
                <w:sz w:val="16"/>
              </w:rPr>
              <w:t>Andrew</w:t>
            </w:r>
          </w:p>
        </w:tc>
        <w:tc>
          <w:tcPr>
            <w:tcW w:w="1454" w:type="dxa"/>
            <w:tcBorders>
              <w:top w:val="single" w:sz="2" w:space="0" w:color="000000"/>
            </w:tcBorders>
          </w:tcPr>
          <w:p w14:paraId="3AAAF233" w14:textId="77777777" w:rsidR="00084F36" w:rsidRPr="00EB2BD8" w:rsidRDefault="00EB2BD8">
            <w:pPr>
              <w:pStyle w:val="TableParagraph"/>
              <w:spacing w:before="114"/>
              <w:ind w:left="154"/>
              <w:rPr>
                <w:sz w:val="16"/>
              </w:rPr>
            </w:pPr>
            <w:r w:rsidRPr="00EB2BD8">
              <w:rPr>
                <w:w w:val="105"/>
                <w:sz w:val="16"/>
              </w:rPr>
              <w:t>DB-U</w:t>
            </w:r>
            <w:r w:rsidRPr="00EB2BD8">
              <w:rPr>
                <w:spacing w:val="1"/>
                <w:w w:val="105"/>
                <w:sz w:val="16"/>
              </w:rPr>
              <w:t xml:space="preserve"> </w:t>
            </w:r>
            <w:r w:rsidRPr="00EB2BD8">
              <w:rPr>
                <w:spacing w:val="-2"/>
                <w:w w:val="105"/>
                <w:sz w:val="16"/>
              </w:rPr>
              <w:t>44453</w:t>
            </w:r>
          </w:p>
        </w:tc>
        <w:tc>
          <w:tcPr>
            <w:tcW w:w="2494" w:type="dxa"/>
            <w:tcBorders>
              <w:top w:val="single" w:sz="2" w:space="0" w:color="000000"/>
            </w:tcBorders>
          </w:tcPr>
          <w:p w14:paraId="4B1A6FDC" w14:textId="77777777" w:rsidR="00084F36" w:rsidRPr="00EB2BD8" w:rsidRDefault="00EB2BD8">
            <w:pPr>
              <w:pStyle w:val="TableParagraph"/>
              <w:spacing w:before="114"/>
              <w:ind w:left="333"/>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86" w:type="dxa"/>
            <w:tcBorders>
              <w:top w:val="single" w:sz="2" w:space="0" w:color="000000"/>
            </w:tcBorders>
          </w:tcPr>
          <w:p w14:paraId="504222E3" w14:textId="77777777" w:rsidR="00084F36" w:rsidRPr="00EB2BD8" w:rsidRDefault="00EB2BD8">
            <w:pPr>
              <w:pStyle w:val="TableParagraph"/>
              <w:spacing w:before="114"/>
              <w:ind w:left="118"/>
              <w:rPr>
                <w:sz w:val="16"/>
              </w:rPr>
            </w:pPr>
            <w:r w:rsidRPr="00EB2BD8">
              <w:rPr>
                <w:sz w:val="16"/>
              </w:rPr>
              <w:t>Cancellation</w:t>
            </w:r>
            <w:r w:rsidRPr="00EB2BD8">
              <w:rPr>
                <w:spacing w:val="5"/>
                <w:sz w:val="16"/>
              </w:rPr>
              <w:t xml:space="preserve"> </w:t>
            </w:r>
            <w:r w:rsidRPr="00EB2BD8">
              <w:rPr>
                <w:spacing w:val="-5"/>
                <w:sz w:val="16"/>
              </w:rPr>
              <w:t>of</w:t>
            </w:r>
          </w:p>
        </w:tc>
        <w:tc>
          <w:tcPr>
            <w:tcW w:w="1078" w:type="dxa"/>
            <w:tcBorders>
              <w:top w:val="single" w:sz="2" w:space="0" w:color="000000"/>
            </w:tcBorders>
          </w:tcPr>
          <w:p w14:paraId="144141BF" w14:textId="77777777" w:rsidR="00084F36" w:rsidRPr="00EB2BD8" w:rsidRDefault="00EB2BD8">
            <w:pPr>
              <w:pStyle w:val="TableParagraph"/>
              <w:spacing w:before="114"/>
              <w:ind w:right="113"/>
              <w:jc w:val="right"/>
              <w:rPr>
                <w:sz w:val="16"/>
              </w:rPr>
            </w:pPr>
            <w:r w:rsidRPr="00EB2BD8">
              <w:rPr>
                <w:w w:val="124"/>
                <w:sz w:val="16"/>
              </w:rPr>
              <w:t>–</w:t>
            </w:r>
          </w:p>
        </w:tc>
        <w:tc>
          <w:tcPr>
            <w:tcW w:w="1176" w:type="dxa"/>
            <w:tcBorders>
              <w:top w:val="single" w:sz="2" w:space="0" w:color="000000"/>
            </w:tcBorders>
          </w:tcPr>
          <w:p w14:paraId="268409B7" w14:textId="77777777" w:rsidR="00084F36" w:rsidRPr="00EB2BD8" w:rsidRDefault="00EB2BD8">
            <w:pPr>
              <w:pStyle w:val="TableParagraph"/>
              <w:spacing w:before="114"/>
              <w:ind w:left="110"/>
              <w:rPr>
                <w:sz w:val="16"/>
              </w:rPr>
            </w:pPr>
            <w:r w:rsidRPr="00EB2BD8">
              <w:rPr>
                <w:spacing w:val="-2"/>
                <w:w w:val="90"/>
                <w:sz w:val="16"/>
              </w:rPr>
              <w:t>27/01/2023</w:t>
            </w:r>
          </w:p>
        </w:tc>
      </w:tr>
      <w:tr w:rsidR="00EB2BD8" w:rsidRPr="00EB2BD8" w14:paraId="756DC6A9" w14:textId="77777777">
        <w:trPr>
          <w:trHeight w:val="230"/>
        </w:trPr>
        <w:tc>
          <w:tcPr>
            <w:tcW w:w="1716" w:type="dxa"/>
          </w:tcPr>
          <w:p w14:paraId="5F49BEAC" w14:textId="77777777" w:rsidR="00084F36" w:rsidRPr="00EB2BD8" w:rsidRDefault="00084F36">
            <w:pPr>
              <w:pStyle w:val="TableParagraph"/>
              <w:rPr>
                <w:rFonts w:ascii="Times New Roman"/>
                <w:sz w:val="16"/>
              </w:rPr>
            </w:pPr>
          </w:p>
        </w:tc>
        <w:tc>
          <w:tcPr>
            <w:tcW w:w="1454" w:type="dxa"/>
          </w:tcPr>
          <w:p w14:paraId="2B24A8DF" w14:textId="77777777" w:rsidR="00084F36" w:rsidRPr="00EB2BD8" w:rsidRDefault="00084F36">
            <w:pPr>
              <w:pStyle w:val="TableParagraph"/>
              <w:rPr>
                <w:rFonts w:ascii="Times New Roman"/>
                <w:sz w:val="16"/>
              </w:rPr>
            </w:pPr>
          </w:p>
        </w:tc>
        <w:tc>
          <w:tcPr>
            <w:tcW w:w="2494" w:type="dxa"/>
          </w:tcPr>
          <w:p w14:paraId="386F4B6E" w14:textId="77777777" w:rsidR="00084F36" w:rsidRPr="00EB2BD8" w:rsidRDefault="00EB2BD8">
            <w:pPr>
              <w:pStyle w:val="TableParagraph"/>
              <w:spacing w:before="19"/>
              <w:ind w:left="333"/>
              <w:rPr>
                <w:sz w:val="16"/>
              </w:rPr>
            </w:pPr>
            <w:r w:rsidRPr="00EB2BD8">
              <w:rPr>
                <w:sz w:val="16"/>
              </w:rPr>
              <w:t xml:space="preserve">company under </w:t>
            </w:r>
            <w:r w:rsidRPr="00EB2BD8">
              <w:rPr>
                <w:spacing w:val="-2"/>
                <w:sz w:val="16"/>
              </w:rPr>
              <w:t>external</w:t>
            </w:r>
          </w:p>
        </w:tc>
        <w:tc>
          <w:tcPr>
            <w:tcW w:w="2286" w:type="dxa"/>
          </w:tcPr>
          <w:p w14:paraId="20AD7B54" w14:textId="77777777" w:rsidR="00084F36" w:rsidRPr="00EB2BD8" w:rsidRDefault="00EB2BD8">
            <w:pPr>
              <w:pStyle w:val="TableParagraph"/>
              <w:spacing w:before="19"/>
              <w:ind w:left="118"/>
              <w:rPr>
                <w:sz w:val="16"/>
              </w:rPr>
            </w:pPr>
            <w:r w:rsidRPr="00EB2BD8">
              <w:rPr>
                <w:spacing w:val="-2"/>
                <w:sz w:val="16"/>
              </w:rPr>
              <w:t>registration.</w:t>
            </w:r>
          </w:p>
        </w:tc>
        <w:tc>
          <w:tcPr>
            <w:tcW w:w="1078" w:type="dxa"/>
          </w:tcPr>
          <w:p w14:paraId="3A60FA1E" w14:textId="77777777" w:rsidR="00084F36" w:rsidRPr="00EB2BD8" w:rsidRDefault="00084F36">
            <w:pPr>
              <w:pStyle w:val="TableParagraph"/>
              <w:rPr>
                <w:rFonts w:ascii="Times New Roman"/>
                <w:sz w:val="16"/>
              </w:rPr>
            </w:pPr>
          </w:p>
        </w:tc>
        <w:tc>
          <w:tcPr>
            <w:tcW w:w="1176" w:type="dxa"/>
          </w:tcPr>
          <w:p w14:paraId="35681802" w14:textId="77777777" w:rsidR="00084F36" w:rsidRPr="00EB2BD8" w:rsidRDefault="00084F36">
            <w:pPr>
              <w:pStyle w:val="TableParagraph"/>
              <w:rPr>
                <w:rFonts w:ascii="Times New Roman"/>
                <w:sz w:val="16"/>
              </w:rPr>
            </w:pPr>
          </w:p>
        </w:tc>
      </w:tr>
      <w:tr w:rsidR="00EB2BD8" w:rsidRPr="00EB2BD8" w14:paraId="24FFF6BD" w14:textId="77777777">
        <w:trPr>
          <w:trHeight w:val="341"/>
        </w:trPr>
        <w:tc>
          <w:tcPr>
            <w:tcW w:w="1716" w:type="dxa"/>
            <w:tcBorders>
              <w:bottom w:val="single" w:sz="2" w:space="0" w:color="000000"/>
            </w:tcBorders>
          </w:tcPr>
          <w:p w14:paraId="0F6B3B9B" w14:textId="77777777" w:rsidR="00084F36" w:rsidRPr="00EB2BD8" w:rsidRDefault="00084F36">
            <w:pPr>
              <w:pStyle w:val="TableParagraph"/>
              <w:rPr>
                <w:rFonts w:ascii="Times New Roman"/>
                <w:sz w:val="16"/>
              </w:rPr>
            </w:pPr>
          </w:p>
        </w:tc>
        <w:tc>
          <w:tcPr>
            <w:tcW w:w="1454" w:type="dxa"/>
            <w:tcBorders>
              <w:bottom w:val="single" w:sz="2" w:space="0" w:color="000000"/>
            </w:tcBorders>
          </w:tcPr>
          <w:p w14:paraId="1FDA66AD" w14:textId="77777777" w:rsidR="00084F36" w:rsidRPr="00EB2BD8" w:rsidRDefault="00084F36">
            <w:pPr>
              <w:pStyle w:val="TableParagraph"/>
              <w:rPr>
                <w:rFonts w:ascii="Times New Roman"/>
                <w:sz w:val="16"/>
              </w:rPr>
            </w:pPr>
          </w:p>
        </w:tc>
        <w:tc>
          <w:tcPr>
            <w:tcW w:w="2494" w:type="dxa"/>
            <w:tcBorders>
              <w:bottom w:val="single" w:sz="2" w:space="0" w:color="000000"/>
            </w:tcBorders>
          </w:tcPr>
          <w:p w14:paraId="18A1CBA0" w14:textId="77777777" w:rsidR="00084F36" w:rsidRPr="00EB2BD8" w:rsidRDefault="00EB2BD8">
            <w:pPr>
              <w:pStyle w:val="TableParagraph"/>
              <w:spacing w:before="19"/>
              <w:ind w:left="333"/>
              <w:rPr>
                <w:sz w:val="16"/>
              </w:rPr>
            </w:pPr>
            <w:r w:rsidRPr="00EB2BD8">
              <w:rPr>
                <w:spacing w:val="-2"/>
                <w:sz w:val="16"/>
              </w:rPr>
              <w:t>administration.</w:t>
            </w:r>
          </w:p>
        </w:tc>
        <w:tc>
          <w:tcPr>
            <w:tcW w:w="2286" w:type="dxa"/>
            <w:tcBorders>
              <w:bottom w:val="single" w:sz="2" w:space="0" w:color="000000"/>
            </w:tcBorders>
          </w:tcPr>
          <w:p w14:paraId="120D6543"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26F26E4B"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3D7DFA81" w14:textId="77777777" w:rsidR="00084F36" w:rsidRPr="00EB2BD8" w:rsidRDefault="00084F36">
            <w:pPr>
              <w:pStyle w:val="TableParagraph"/>
              <w:rPr>
                <w:rFonts w:ascii="Times New Roman"/>
                <w:sz w:val="16"/>
              </w:rPr>
            </w:pPr>
          </w:p>
        </w:tc>
      </w:tr>
      <w:tr w:rsidR="00EB2BD8" w:rsidRPr="00EB2BD8" w14:paraId="1202F167" w14:textId="77777777">
        <w:trPr>
          <w:trHeight w:val="324"/>
        </w:trPr>
        <w:tc>
          <w:tcPr>
            <w:tcW w:w="1716" w:type="dxa"/>
            <w:tcBorders>
              <w:top w:val="single" w:sz="2" w:space="0" w:color="000000"/>
            </w:tcBorders>
          </w:tcPr>
          <w:p w14:paraId="0AA97C44" w14:textId="77777777" w:rsidR="00084F36" w:rsidRPr="00EB2BD8" w:rsidRDefault="00EB2BD8">
            <w:pPr>
              <w:pStyle w:val="TableParagraph"/>
              <w:spacing w:before="114"/>
              <w:ind w:left="113"/>
              <w:rPr>
                <w:sz w:val="16"/>
              </w:rPr>
            </w:pPr>
            <w:r w:rsidRPr="00EB2BD8">
              <w:rPr>
                <w:sz w:val="16"/>
              </w:rPr>
              <w:t>TSEBERG,</w:t>
            </w:r>
            <w:r w:rsidRPr="00EB2BD8">
              <w:rPr>
                <w:spacing w:val="21"/>
                <w:sz w:val="16"/>
              </w:rPr>
              <w:t xml:space="preserve"> </w:t>
            </w:r>
            <w:r w:rsidRPr="00EB2BD8">
              <w:rPr>
                <w:spacing w:val="-4"/>
                <w:sz w:val="16"/>
              </w:rPr>
              <w:t>Alex</w:t>
            </w:r>
          </w:p>
        </w:tc>
        <w:tc>
          <w:tcPr>
            <w:tcW w:w="1454" w:type="dxa"/>
            <w:tcBorders>
              <w:top w:val="single" w:sz="2" w:space="0" w:color="000000"/>
            </w:tcBorders>
          </w:tcPr>
          <w:p w14:paraId="2310FABF" w14:textId="77777777" w:rsidR="00084F36" w:rsidRPr="00EB2BD8" w:rsidRDefault="00EB2BD8">
            <w:pPr>
              <w:pStyle w:val="TableParagraph"/>
              <w:spacing w:before="114"/>
              <w:ind w:left="154"/>
              <w:rPr>
                <w:sz w:val="16"/>
              </w:rPr>
            </w:pPr>
            <w:r w:rsidRPr="00EB2BD8">
              <w:rPr>
                <w:sz w:val="16"/>
              </w:rPr>
              <w:t>DB-U</w:t>
            </w:r>
            <w:r w:rsidRPr="00EB2BD8">
              <w:rPr>
                <w:spacing w:val="22"/>
                <w:sz w:val="16"/>
              </w:rPr>
              <w:t xml:space="preserve"> </w:t>
            </w:r>
            <w:r w:rsidRPr="00EB2BD8">
              <w:rPr>
                <w:spacing w:val="-2"/>
                <w:sz w:val="16"/>
              </w:rPr>
              <w:t>15603;</w:t>
            </w:r>
          </w:p>
        </w:tc>
        <w:tc>
          <w:tcPr>
            <w:tcW w:w="2494" w:type="dxa"/>
            <w:tcBorders>
              <w:top w:val="single" w:sz="2" w:space="0" w:color="000000"/>
            </w:tcBorders>
          </w:tcPr>
          <w:p w14:paraId="5D703425" w14:textId="77777777" w:rsidR="00084F36" w:rsidRPr="00EB2BD8" w:rsidRDefault="00EB2BD8">
            <w:pPr>
              <w:pStyle w:val="TableParagraph"/>
              <w:spacing w:before="114"/>
              <w:ind w:left="333"/>
              <w:rPr>
                <w:sz w:val="16"/>
              </w:rPr>
            </w:pPr>
            <w:r w:rsidRPr="00EB2BD8">
              <w:rPr>
                <w:spacing w:val="-2"/>
                <w:sz w:val="16"/>
              </w:rPr>
              <w:t>Holding</w:t>
            </w:r>
            <w:r w:rsidRPr="00EB2BD8">
              <w:rPr>
                <w:spacing w:val="-12"/>
                <w:sz w:val="16"/>
              </w:rPr>
              <w:t xml:space="preserve"> </w:t>
            </w:r>
            <w:r w:rsidRPr="00EB2BD8">
              <w:rPr>
                <w:spacing w:val="-2"/>
                <w:sz w:val="16"/>
              </w:rPr>
              <w:t>office</w:t>
            </w:r>
            <w:r w:rsidRPr="00EB2BD8">
              <w:rPr>
                <w:spacing w:val="-12"/>
                <w:sz w:val="16"/>
              </w:rPr>
              <w:t xml:space="preserve"> </w:t>
            </w:r>
            <w:r w:rsidRPr="00EB2BD8">
              <w:rPr>
                <w:spacing w:val="-2"/>
                <w:sz w:val="16"/>
              </w:rPr>
              <w:t>in</w:t>
            </w:r>
            <w:r w:rsidRPr="00EB2BD8">
              <w:rPr>
                <w:spacing w:val="-11"/>
                <w:sz w:val="16"/>
              </w:rPr>
              <w:t xml:space="preserve"> </w:t>
            </w:r>
            <w:r w:rsidRPr="00EB2BD8">
              <w:rPr>
                <w:spacing w:val="-12"/>
                <w:sz w:val="16"/>
              </w:rPr>
              <w:t>a</w:t>
            </w:r>
          </w:p>
        </w:tc>
        <w:tc>
          <w:tcPr>
            <w:tcW w:w="2286" w:type="dxa"/>
            <w:tcBorders>
              <w:top w:val="single" w:sz="2" w:space="0" w:color="000000"/>
            </w:tcBorders>
          </w:tcPr>
          <w:p w14:paraId="348D6993" w14:textId="77777777" w:rsidR="00084F36" w:rsidRPr="00EB2BD8" w:rsidRDefault="00EB2BD8">
            <w:pPr>
              <w:pStyle w:val="TableParagraph"/>
              <w:spacing w:before="114"/>
              <w:ind w:left="118"/>
              <w:rPr>
                <w:sz w:val="16"/>
              </w:rPr>
            </w:pPr>
            <w:r w:rsidRPr="00EB2BD8">
              <w:rPr>
                <w:sz w:val="16"/>
              </w:rPr>
              <w:t>Cancellation</w:t>
            </w:r>
            <w:r w:rsidRPr="00EB2BD8">
              <w:rPr>
                <w:spacing w:val="5"/>
                <w:sz w:val="16"/>
              </w:rPr>
              <w:t xml:space="preserve"> </w:t>
            </w:r>
            <w:r w:rsidRPr="00EB2BD8">
              <w:rPr>
                <w:spacing w:val="-5"/>
                <w:sz w:val="16"/>
              </w:rPr>
              <w:t>of</w:t>
            </w:r>
          </w:p>
        </w:tc>
        <w:tc>
          <w:tcPr>
            <w:tcW w:w="1078" w:type="dxa"/>
            <w:tcBorders>
              <w:top w:val="single" w:sz="2" w:space="0" w:color="000000"/>
            </w:tcBorders>
          </w:tcPr>
          <w:p w14:paraId="30180917" w14:textId="77777777" w:rsidR="00084F36" w:rsidRPr="00EB2BD8" w:rsidRDefault="00EB2BD8">
            <w:pPr>
              <w:pStyle w:val="TableParagraph"/>
              <w:spacing w:before="114"/>
              <w:ind w:right="113"/>
              <w:jc w:val="right"/>
              <w:rPr>
                <w:sz w:val="16"/>
              </w:rPr>
            </w:pPr>
            <w:r w:rsidRPr="00EB2BD8">
              <w:rPr>
                <w:w w:val="124"/>
                <w:sz w:val="16"/>
              </w:rPr>
              <w:t>–</w:t>
            </w:r>
          </w:p>
        </w:tc>
        <w:tc>
          <w:tcPr>
            <w:tcW w:w="1176" w:type="dxa"/>
            <w:tcBorders>
              <w:top w:val="single" w:sz="2" w:space="0" w:color="000000"/>
            </w:tcBorders>
          </w:tcPr>
          <w:p w14:paraId="25218548" w14:textId="77777777" w:rsidR="00084F36" w:rsidRPr="00EB2BD8" w:rsidRDefault="00EB2BD8">
            <w:pPr>
              <w:pStyle w:val="TableParagraph"/>
              <w:spacing w:before="114"/>
              <w:ind w:left="110"/>
              <w:rPr>
                <w:sz w:val="16"/>
              </w:rPr>
            </w:pPr>
            <w:r w:rsidRPr="00EB2BD8">
              <w:rPr>
                <w:spacing w:val="-2"/>
                <w:w w:val="95"/>
                <w:sz w:val="16"/>
              </w:rPr>
              <w:t>22/06/2023</w:t>
            </w:r>
          </w:p>
        </w:tc>
      </w:tr>
      <w:tr w:rsidR="00EB2BD8" w:rsidRPr="00EB2BD8" w14:paraId="01588B05" w14:textId="77777777">
        <w:trPr>
          <w:trHeight w:val="230"/>
        </w:trPr>
        <w:tc>
          <w:tcPr>
            <w:tcW w:w="1716" w:type="dxa"/>
          </w:tcPr>
          <w:p w14:paraId="15F3B285" w14:textId="77777777" w:rsidR="00084F36" w:rsidRPr="00EB2BD8" w:rsidRDefault="00084F36">
            <w:pPr>
              <w:pStyle w:val="TableParagraph"/>
              <w:rPr>
                <w:rFonts w:ascii="Times New Roman"/>
                <w:sz w:val="16"/>
              </w:rPr>
            </w:pPr>
          </w:p>
        </w:tc>
        <w:tc>
          <w:tcPr>
            <w:tcW w:w="1454" w:type="dxa"/>
          </w:tcPr>
          <w:p w14:paraId="41145156" w14:textId="77777777" w:rsidR="00084F36" w:rsidRPr="00EB2BD8" w:rsidRDefault="00EB2BD8">
            <w:pPr>
              <w:pStyle w:val="TableParagraph"/>
              <w:spacing w:before="19"/>
              <w:ind w:left="154"/>
              <w:rPr>
                <w:sz w:val="16"/>
              </w:rPr>
            </w:pPr>
            <w:r w:rsidRPr="00EB2BD8">
              <w:rPr>
                <w:spacing w:val="2"/>
                <w:sz w:val="16"/>
              </w:rPr>
              <w:t>CB-U</w:t>
            </w:r>
            <w:r w:rsidRPr="00EB2BD8">
              <w:rPr>
                <w:spacing w:val="24"/>
                <w:sz w:val="16"/>
              </w:rPr>
              <w:t xml:space="preserve"> </w:t>
            </w:r>
            <w:r w:rsidRPr="00EB2BD8">
              <w:rPr>
                <w:spacing w:val="-4"/>
                <w:sz w:val="16"/>
              </w:rPr>
              <w:t>16553</w:t>
            </w:r>
          </w:p>
        </w:tc>
        <w:tc>
          <w:tcPr>
            <w:tcW w:w="2494" w:type="dxa"/>
          </w:tcPr>
          <w:p w14:paraId="438132D9" w14:textId="77777777" w:rsidR="00084F36" w:rsidRPr="00EB2BD8" w:rsidRDefault="00EB2BD8">
            <w:pPr>
              <w:pStyle w:val="TableParagraph"/>
              <w:spacing w:before="19"/>
              <w:ind w:left="333"/>
              <w:rPr>
                <w:sz w:val="16"/>
              </w:rPr>
            </w:pPr>
            <w:r w:rsidRPr="00EB2BD8">
              <w:rPr>
                <w:sz w:val="16"/>
              </w:rPr>
              <w:t xml:space="preserve">company under </w:t>
            </w:r>
            <w:r w:rsidRPr="00EB2BD8">
              <w:rPr>
                <w:spacing w:val="-2"/>
                <w:sz w:val="16"/>
              </w:rPr>
              <w:t>external</w:t>
            </w:r>
          </w:p>
        </w:tc>
        <w:tc>
          <w:tcPr>
            <w:tcW w:w="2286" w:type="dxa"/>
          </w:tcPr>
          <w:p w14:paraId="4E888A2B" w14:textId="77777777" w:rsidR="00084F36" w:rsidRPr="00EB2BD8" w:rsidRDefault="00EB2BD8">
            <w:pPr>
              <w:pStyle w:val="TableParagraph"/>
              <w:spacing w:before="19"/>
              <w:ind w:left="118"/>
              <w:rPr>
                <w:sz w:val="16"/>
              </w:rPr>
            </w:pPr>
            <w:r w:rsidRPr="00EB2BD8">
              <w:rPr>
                <w:spacing w:val="-2"/>
                <w:sz w:val="16"/>
              </w:rPr>
              <w:t>registration.</w:t>
            </w:r>
          </w:p>
        </w:tc>
        <w:tc>
          <w:tcPr>
            <w:tcW w:w="1078" w:type="dxa"/>
          </w:tcPr>
          <w:p w14:paraId="67297D91" w14:textId="77777777" w:rsidR="00084F36" w:rsidRPr="00EB2BD8" w:rsidRDefault="00084F36">
            <w:pPr>
              <w:pStyle w:val="TableParagraph"/>
              <w:rPr>
                <w:rFonts w:ascii="Times New Roman"/>
                <w:sz w:val="16"/>
              </w:rPr>
            </w:pPr>
          </w:p>
        </w:tc>
        <w:tc>
          <w:tcPr>
            <w:tcW w:w="1176" w:type="dxa"/>
          </w:tcPr>
          <w:p w14:paraId="3DC31DBC" w14:textId="77777777" w:rsidR="00084F36" w:rsidRPr="00EB2BD8" w:rsidRDefault="00084F36">
            <w:pPr>
              <w:pStyle w:val="TableParagraph"/>
              <w:rPr>
                <w:rFonts w:ascii="Times New Roman"/>
                <w:sz w:val="16"/>
              </w:rPr>
            </w:pPr>
          </w:p>
        </w:tc>
      </w:tr>
      <w:tr w:rsidR="00EB2BD8" w:rsidRPr="00EB2BD8" w14:paraId="3AE8B2DB" w14:textId="77777777">
        <w:trPr>
          <w:trHeight w:val="342"/>
        </w:trPr>
        <w:tc>
          <w:tcPr>
            <w:tcW w:w="1716" w:type="dxa"/>
            <w:tcBorders>
              <w:bottom w:val="single" w:sz="2" w:space="0" w:color="000000"/>
            </w:tcBorders>
          </w:tcPr>
          <w:p w14:paraId="3CD9EA80" w14:textId="77777777" w:rsidR="00084F36" w:rsidRPr="00EB2BD8" w:rsidRDefault="00084F36">
            <w:pPr>
              <w:pStyle w:val="TableParagraph"/>
              <w:rPr>
                <w:rFonts w:ascii="Times New Roman"/>
                <w:sz w:val="16"/>
              </w:rPr>
            </w:pPr>
          </w:p>
        </w:tc>
        <w:tc>
          <w:tcPr>
            <w:tcW w:w="1454" w:type="dxa"/>
            <w:tcBorders>
              <w:bottom w:val="single" w:sz="2" w:space="0" w:color="000000"/>
            </w:tcBorders>
          </w:tcPr>
          <w:p w14:paraId="0F06065F" w14:textId="77777777" w:rsidR="00084F36" w:rsidRPr="00EB2BD8" w:rsidRDefault="00084F36">
            <w:pPr>
              <w:pStyle w:val="TableParagraph"/>
              <w:rPr>
                <w:rFonts w:ascii="Times New Roman"/>
                <w:sz w:val="16"/>
              </w:rPr>
            </w:pPr>
          </w:p>
        </w:tc>
        <w:tc>
          <w:tcPr>
            <w:tcW w:w="2494" w:type="dxa"/>
            <w:tcBorders>
              <w:bottom w:val="single" w:sz="2" w:space="0" w:color="000000"/>
            </w:tcBorders>
          </w:tcPr>
          <w:p w14:paraId="752F2F98" w14:textId="77777777" w:rsidR="00084F36" w:rsidRPr="00EB2BD8" w:rsidRDefault="00EB2BD8">
            <w:pPr>
              <w:pStyle w:val="TableParagraph"/>
              <w:spacing w:before="19"/>
              <w:ind w:left="333"/>
              <w:rPr>
                <w:sz w:val="16"/>
              </w:rPr>
            </w:pPr>
            <w:r w:rsidRPr="00EB2BD8">
              <w:rPr>
                <w:spacing w:val="-2"/>
                <w:sz w:val="16"/>
              </w:rPr>
              <w:t>administration.</w:t>
            </w:r>
          </w:p>
        </w:tc>
        <w:tc>
          <w:tcPr>
            <w:tcW w:w="2286" w:type="dxa"/>
            <w:tcBorders>
              <w:bottom w:val="single" w:sz="2" w:space="0" w:color="000000"/>
            </w:tcBorders>
          </w:tcPr>
          <w:p w14:paraId="2E41C631"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2C5D15E7"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0A1DF911" w14:textId="77777777" w:rsidR="00084F36" w:rsidRPr="00EB2BD8" w:rsidRDefault="00084F36">
            <w:pPr>
              <w:pStyle w:val="TableParagraph"/>
              <w:rPr>
                <w:rFonts w:ascii="Times New Roman"/>
                <w:sz w:val="16"/>
              </w:rPr>
            </w:pPr>
          </w:p>
        </w:tc>
      </w:tr>
      <w:tr w:rsidR="00EB2BD8" w:rsidRPr="00EB2BD8" w14:paraId="07CE51F4" w14:textId="77777777">
        <w:trPr>
          <w:trHeight w:val="324"/>
        </w:trPr>
        <w:tc>
          <w:tcPr>
            <w:tcW w:w="1716" w:type="dxa"/>
            <w:tcBorders>
              <w:top w:val="single" w:sz="2" w:space="0" w:color="000000"/>
            </w:tcBorders>
          </w:tcPr>
          <w:p w14:paraId="0C223F72" w14:textId="77777777" w:rsidR="00084F36" w:rsidRPr="00EB2BD8" w:rsidRDefault="00EB2BD8">
            <w:pPr>
              <w:pStyle w:val="TableParagraph"/>
              <w:spacing w:before="114"/>
              <w:ind w:left="113"/>
              <w:rPr>
                <w:sz w:val="16"/>
              </w:rPr>
            </w:pPr>
            <w:r w:rsidRPr="00EB2BD8">
              <w:rPr>
                <w:spacing w:val="-2"/>
                <w:sz w:val="16"/>
              </w:rPr>
              <w:t>WILKINSON,</w:t>
            </w:r>
            <w:r w:rsidRPr="00EB2BD8">
              <w:rPr>
                <w:spacing w:val="4"/>
                <w:sz w:val="16"/>
              </w:rPr>
              <w:t xml:space="preserve"> </w:t>
            </w:r>
            <w:r w:rsidRPr="00EB2BD8">
              <w:rPr>
                <w:spacing w:val="-2"/>
                <w:sz w:val="16"/>
              </w:rPr>
              <w:t>Shane</w:t>
            </w:r>
          </w:p>
        </w:tc>
        <w:tc>
          <w:tcPr>
            <w:tcW w:w="1454" w:type="dxa"/>
            <w:tcBorders>
              <w:top w:val="single" w:sz="2" w:space="0" w:color="000000"/>
            </w:tcBorders>
          </w:tcPr>
          <w:p w14:paraId="18E8C19F" w14:textId="77777777" w:rsidR="00084F36" w:rsidRPr="00EB2BD8" w:rsidRDefault="00EB2BD8">
            <w:pPr>
              <w:pStyle w:val="TableParagraph"/>
              <w:spacing w:before="114"/>
              <w:ind w:left="154"/>
              <w:rPr>
                <w:sz w:val="16"/>
              </w:rPr>
            </w:pPr>
            <w:r w:rsidRPr="00EB2BD8">
              <w:rPr>
                <w:sz w:val="16"/>
              </w:rPr>
              <w:t>DB-U</w:t>
            </w:r>
            <w:r w:rsidRPr="00EB2BD8">
              <w:rPr>
                <w:spacing w:val="22"/>
                <w:sz w:val="16"/>
              </w:rPr>
              <w:t xml:space="preserve"> </w:t>
            </w:r>
            <w:r w:rsidRPr="00EB2BD8">
              <w:rPr>
                <w:spacing w:val="-2"/>
                <w:sz w:val="16"/>
              </w:rPr>
              <w:t>18079;</w:t>
            </w:r>
          </w:p>
        </w:tc>
        <w:tc>
          <w:tcPr>
            <w:tcW w:w="2494" w:type="dxa"/>
            <w:tcBorders>
              <w:top w:val="single" w:sz="2" w:space="0" w:color="000000"/>
            </w:tcBorders>
          </w:tcPr>
          <w:p w14:paraId="3458B5FF" w14:textId="77777777" w:rsidR="00084F36" w:rsidRPr="00EB2BD8" w:rsidRDefault="00EB2BD8">
            <w:pPr>
              <w:pStyle w:val="TableParagraph"/>
              <w:spacing w:before="114"/>
              <w:ind w:left="333"/>
              <w:rPr>
                <w:sz w:val="16"/>
              </w:rPr>
            </w:pPr>
            <w:r w:rsidRPr="00EB2BD8">
              <w:rPr>
                <w:spacing w:val="-2"/>
                <w:sz w:val="16"/>
              </w:rPr>
              <w:t>Failing</w:t>
            </w:r>
            <w:r w:rsidRPr="00EB2BD8">
              <w:rPr>
                <w:spacing w:val="-10"/>
                <w:sz w:val="16"/>
              </w:rPr>
              <w:t xml:space="preserve"> </w:t>
            </w:r>
            <w:r w:rsidRPr="00EB2BD8">
              <w:rPr>
                <w:spacing w:val="-2"/>
                <w:sz w:val="16"/>
              </w:rPr>
              <w:t>to</w:t>
            </w:r>
            <w:r w:rsidRPr="00EB2BD8">
              <w:rPr>
                <w:spacing w:val="-9"/>
                <w:sz w:val="16"/>
              </w:rPr>
              <w:t xml:space="preserve"> </w:t>
            </w:r>
            <w:r w:rsidRPr="00EB2BD8">
              <w:rPr>
                <w:spacing w:val="-2"/>
                <w:sz w:val="16"/>
              </w:rPr>
              <w:t>build</w:t>
            </w:r>
            <w:r w:rsidRPr="00EB2BD8">
              <w:rPr>
                <w:spacing w:val="-10"/>
                <w:sz w:val="16"/>
              </w:rPr>
              <w:t xml:space="preserve"> </w:t>
            </w:r>
            <w:r w:rsidRPr="00EB2BD8">
              <w:rPr>
                <w:spacing w:val="-2"/>
                <w:sz w:val="16"/>
              </w:rPr>
              <w:t>to</w:t>
            </w:r>
            <w:r w:rsidRPr="00EB2BD8">
              <w:rPr>
                <w:spacing w:val="-9"/>
                <w:sz w:val="16"/>
              </w:rPr>
              <w:t xml:space="preserve"> </w:t>
            </w:r>
            <w:r w:rsidRPr="00EB2BD8">
              <w:rPr>
                <w:spacing w:val="-2"/>
                <w:sz w:val="16"/>
              </w:rPr>
              <w:t>permit,</w:t>
            </w:r>
          </w:p>
        </w:tc>
        <w:tc>
          <w:tcPr>
            <w:tcW w:w="2286" w:type="dxa"/>
            <w:tcBorders>
              <w:top w:val="single" w:sz="2" w:space="0" w:color="000000"/>
            </w:tcBorders>
          </w:tcPr>
          <w:p w14:paraId="4A4ACB2E" w14:textId="77777777" w:rsidR="00084F36" w:rsidRPr="00EB2BD8" w:rsidRDefault="00EB2BD8">
            <w:pPr>
              <w:pStyle w:val="TableParagraph"/>
              <w:spacing w:before="113"/>
              <w:ind w:left="118"/>
              <w:rPr>
                <w:sz w:val="16"/>
              </w:rPr>
            </w:pPr>
            <w:r w:rsidRPr="00EB2BD8">
              <w:rPr>
                <w:sz w:val="16"/>
              </w:rPr>
              <w:t>Reprimand</w:t>
            </w:r>
            <w:r w:rsidRPr="00EB2BD8">
              <w:rPr>
                <w:spacing w:val="2"/>
                <w:sz w:val="16"/>
              </w:rPr>
              <w:t xml:space="preserve"> </w:t>
            </w:r>
            <w:r w:rsidRPr="00EB2BD8">
              <w:rPr>
                <w:sz w:val="16"/>
              </w:rPr>
              <w:t>and</w:t>
            </w:r>
            <w:r w:rsidRPr="00EB2BD8">
              <w:rPr>
                <w:spacing w:val="2"/>
                <w:sz w:val="16"/>
              </w:rPr>
              <w:t xml:space="preserve"> </w:t>
            </w:r>
            <w:r w:rsidRPr="00EB2BD8">
              <w:rPr>
                <w:spacing w:val="-2"/>
                <w:sz w:val="16"/>
              </w:rPr>
              <w:t>aggregate</w:t>
            </w:r>
          </w:p>
        </w:tc>
        <w:tc>
          <w:tcPr>
            <w:tcW w:w="1078" w:type="dxa"/>
            <w:tcBorders>
              <w:top w:val="single" w:sz="2" w:space="0" w:color="000000"/>
            </w:tcBorders>
          </w:tcPr>
          <w:p w14:paraId="326191DB" w14:textId="77777777" w:rsidR="00084F36" w:rsidRPr="00EB2BD8" w:rsidRDefault="00EB2BD8">
            <w:pPr>
              <w:pStyle w:val="TableParagraph"/>
              <w:spacing w:before="113"/>
              <w:ind w:right="114"/>
              <w:jc w:val="right"/>
              <w:rPr>
                <w:sz w:val="16"/>
              </w:rPr>
            </w:pPr>
            <w:r w:rsidRPr="00EB2BD8">
              <w:rPr>
                <w:spacing w:val="-2"/>
                <w:w w:val="85"/>
                <w:sz w:val="16"/>
              </w:rPr>
              <w:t>$23,115</w:t>
            </w:r>
          </w:p>
        </w:tc>
        <w:tc>
          <w:tcPr>
            <w:tcW w:w="1176" w:type="dxa"/>
            <w:tcBorders>
              <w:top w:val="single" w:sz="2" w:space="0" w:color="000000"/>
            </w:tcBorders>
          </w:tcPr>
          <w:p w14:paraId="642558D8" w14:textId="77777777" w:rsidR="00084F36" w:rsidRPr="00EB2BD8" w:rsidRDefault="00EB2BD8">
            <w:pPr>
              <w:pStyle w:val="TableParagraph"/>
              <w:spacing w:before="113"/>
              <w:ind w:left="110"/>
              <w:rPr>
                <w:sz w:val="16"/>
              </w:rPr>
            </w:pPr>
            <w:r w:rsidRPr="00EB2BD8">
              <w:rPr>
                <w:spacing w:val="-2"/>
                <w:w w:val="95"/>
                <w:sz w:val="16"/>
              </w:rPr>
              <w:t>24/05/2023</w:t>
            </w:r>
          </w:p>
        </w:tc>
      </w:tr>
      <w:tr w:rsidR="00EB2BD8" w:rsidRPr="00EB2BD8" w14:paraId="13C0CF5D" w14:textId="77777777">
        <w:trPr>
          <w:trHeight w:val="230"/>
        </w:trPr>
        <w:tc>
          <w:tcPr>
            <w:tcW w:w="1716" w:type="dxa"/>
          </w:tcPr>
          <w:p w14:paraId="112ABE4F" w14:textId="77777777" w:rsidR="00084F36" w:rsidRPr="00EB2BD8" w:rsidRDefault="00084F36">
            <w:pPr>
              <w:pStyle w:val="TableParagraph"/>
              <w:rPr>
                <w:rFonts w:ascii="Times New Roman"/>
                <w:sz w:val="16"/>
              </w:rPr>
            </w:pPr>
          </w:p>
        </w:tc>
        <w:tc>
          <w:tcPr>
            <w:tcW w:w="1454" w:type="dxa"/>
          </w:tcPr>
          <w:p w14:paraId="2FD386CF" w14:textId="77777777" w:rsidR="00084F36" w:rsidRPr="00EB2BD8" w:rsidRDefault="00EB2BD8">
            <w:pPr>
              <w:pStyle w:val="TableParagraph"/>
              <w:spacing w:before="20"/>
              <w:ind w:left="154"/>
              <w:rPr>
                <w:sz w:val="16"/>
              </w:rPr>
            </w:pPr>
            <w:r w:rsidRPr="00EB2BD8">
              <w:rPr>
                <w:w w:val="105"/>
                <w:sz w:val="16"/>
              </w:rPr>
              <w:t>CB-U</w:t>
            </w:r>
            <w:r w:rsidRPr="00EB2BD8">
              <w:rPr>
                <w:spacing w:val="11"/>
                <w:w w:val="105"/>
                <w:sz w:val="16"/>
              </w:rPr>
              <w:t xml:space="preserve"> </w:t>
            </w:r>
            <w:r w:rsidRPr="00EB2BD8">
              <w:rPr>
                <w:spacing w:val="-4"/>
                <w:w w:val="105"/>
                <w:sz w:val="16"/>
              </w:rPr>
              <w:t>38165</w:t>
            </w:r>
          </w:p>
        </w:tc>
        <w:tc>
          <w:tcPr>
            <w:tcW w:w="2494" w:type="dxa"/>
          </w:tcPr>
          <w:p w14:paraId="60E7902F" w14:textId="77777777" w:rsidR="00084F36" w:rsidRPr="00EB2BD8" w:rsidRDefault="00EB2BD8">
            <w:pPr>
              <w:pStyle w:val="TableParagraph"/>
              <w:spacing w:before="20"/>
              <w:ind w:left="333"/>
              <w:rPr>
                <w:sz w:val="16"/>
              </w:rPr>
            </w:pPr>
            <w:r w:rsidRPr="00EB2BD8">
              <w:rPr>
                <w:spacing w:val="-2"/>
                <w:sz w:val="16"/>
              </w:rPr>
              <w:t>failing</w:t>
            </w:r>
            <w:r w:rsidRPr="00EB2BD8">
              <w:rPr>
                <w:spacing w:val="-9"/>
                <w:sz w:val="16"/>
              </w:rPr>
              <w:t xml:space="preserve"> </w:t>
            </w:r>
            <w:r w:rsidRPr="00EB2BD8">
              <w:rPr>
                <w:spacing w:val="-2"/>
                <w:sz w:val="16"/>
              </w:rPr>
              <w:t>to</w:t>
            </w:r>
            <w:r w:rsidRPr="00EB2BD8">
              <w:rPr>
                <w:spacing w:val="-8"/>
                <w:sz w:val="16"/>
              </w:rPr>
              <w:t xml:space="preserve"> </w:t>
            </w:r>
            <w:r w:rsidRPr="00EB2BD8">
              <w:rPr>
                <w:spacing w:val="-2"/>
                <w:sz w:val="16"/>
              </w:rPr>
              <w:t>perform</w:t>
            </w:r>
            <w:r w:rsidRPr="00EB2BD8">
              <w:rPr>
                <w:spacing w:val="-9"/>
                <w:sz w:val="16"/>
              </w:rPr>
              <w:t xml:space="preserve"> </w:t>
            </w:r>
            <w:r w:rsidRPr="00EB2BD8">
              <w:rPr>
                <w:spacing w:val="-2"/>
                <w:sz w:val="16"/>
              </w:rPr>
              <w:t>building</w:t>
            </w:r>
          </w:p>
        </w:tc>
        <w:tc>
          <w:tcPr>
            <w:tcW w:w="2286" w:type="dxa"/>
          </w:tcPr>
          <w:p w14:paraId="2E9344E0" w14:textId="77777777" w:rsidR="00084F36" w:rsidRPr="00EB2BD8" w:rsidRDefault="00EB2BD8">
            <w:pPr>
              <w:pStyle w:val="TableParagraph"/>
              <w:spacing w:before="19"/>
              <w:ind w:left="118"/>
              <w:rPr>
                <w:sz w:val="16"/>
              </w:rPr>
            </w:pPr>
            <w:r w:rsidRPr="00EB2BD8">
              <w:rPr>
                <w:sz w:val="16"/>
              </w:rPr>
              <w:t>penalties</w:t>
            </w:r>
            <w:r w:rsidRPr="00EB2BD8">
              <w:rPr>
                <w:spacing w:val="-12"/>
                <w:sz w:val="16"/>
              </w:rPr>
              <w:t xml:space="preserve"> </w:t>
            </w:r>
            <w:r w:rsidRPr="00EB2BD8">
              <w:rPr>
                <w:sz w:val="16"/>
              </w:rPr>
              <w:t>of</w:t>
            </w:r>
            <w:r w:rsidRPr="00EB2BD8">
              <w:rPr>
                <w:spacing w:val="-12"/>
                <w:sz w:val="16"/>
              </w:rPr>
              <w:t xml:space="preserve"> </w:t>
            </w:r>
            <w:r w:rsidRPr="00EB2BD8">
              <w:rPr>
                <w:spacing w:val="-4"/>
                <w:sz w:val="16"/>
              </w:rPr>
              <w:t>$23,115.</w:t>
            </w:r>
          </w:p>
        </w:tc>
        <w:tc>
          <w:tcPr>
            <w:tcW w:w="1078" w:type="dxa"/>
          </w:tcPr>
          <w:p w14:paraId="62C60B22" w14:textId="77777777" w:rsidR="00084F36" w:rsidRPr="00EB2BD8" w:rsidRDefault="00084F36">
            <w:pPr>
              <w:pStyle w:val="TableParagraph"/>
              <w:rPr>
                <w:rFonts w:ascii="Times New Roman"/>
                <w:sz w:val="16"/>
              </w:rPr>
            </w:pPr>
          </w:p>
        </w:tc>
        <w:tc>
          <w:tcPr>
            <w:tcW w:w="1176" w:type="dxa"/>
          </w:tcPr>
          <w:p w14:paraId="62A5F54F" w14:textId="77777777" w:rsidR="00084F36" w:rsidRPr="00EB2BD8" w:rsidRDefault="00084F36">
            <w:pPr>
              <w:pStyle w:val="TableParagraph"/>
              <w:rPr>
                <w:rFonts w:ascii="Times New Roman"/>
                <w:sz w:val="16"/>
              </w:rPr>
            </w:pPr>
          </w:p>
        </w:tc>
      </w:tr>
      <w:tr w:rsidR="00EB2BD8" w:rsidRPr="00EB2BD8" w14:paraId="00E72B33" w14:textId="77777777">
        <w:trPr>
          <w:trHeight w:val="229"/>
        </w:trPr>
        <w:tc>
          <w:tcPr>
            <w:tcW w:w="1716" w:type="dxa"/>
          </w:tcPr>
          <w:p w14:paraId="66DFD955" w14:textId="77777777" w:rsidR="00084F36" w:rsidRPr="00EB2BD8" w:rsidRDefault="00084F36">
            <w:pPr>
              <w:pStyle w:val="TableParagraph"/>
              <w:rPr>
                <w:rFonts w:ascii="Times New Roman"/>
                <w:sz w:val="16"/>
              </w:rPr>
            </w:pPr>
          </w:p>
        </w:tc>
        <w:tc>
          <w:tcPr>
            <w:tcW w:w="1454" w:type="dxa"/>
          </w:tcPr>
          <w:p w14:paraId="34A174B6" w14:textId="77777777" w:rsidR="00084F36" w:rsidRPr="00EB2BD8" w:rsidRDefault="00084F36">
            <w:pPr>
              <w:pStyle w:val="TableParagraph"/>
              <w:rPr>
                <w:rFonts w:ascii="Times New Roman"/>
                <w:sz w:val="16"/>
              </w:rPr>
            </w:pPr>
          </w:p>
        </w:tc>
        <w:tc>
          <w:tcPr>
            <w:tcW w:w="2494" w:type="dxa"/>
          </w:tcPr>
          <w:p w14:paraId="310733FF" w14:textId="77777777" w:rsidR="00084F36" w:rsidRPr="00EB2BD8" w:rsidRDefault="00EB2BD8">
            <w:pPr>
              <w:pStyle w:val="TableParagraph"/>
              <w:spacing w:before="19"/>
              <w:ind w:left="333"/>
              <w:rPr>
                <w:sz w:val="16"/>
              </w:rPr>
            </w:pPr>
            <w:r w:rsidRPr="00EB2BD8">
              <w:rPr>
                <w:spacing w:val="-2"/>
                <w:sz w:val="16"/>
              </w:rPr>
              <w:t>work</w:t>
            </w:r>
            <w:r w:rsidRPr="00EB2BD8">
              <w:rPr>
                <w:spacing w:val="-10"/>
                <w:sz w:val="16"/>
              </w:rPr>
              <w:t xml:space="preserve"> </w:t>
            </w:r>
            <w:r w:rsidRPr="00EB2BD8">
              <w:rPr>
                <w:spacing w:val="-2"/>
                <w:sz w:val="16"/>
              </w:rPr>
              <w:t>in</w:t>
            </w:r>
            <w:r w:rsidRPr="00EB2BD8">
              <w:rPr>
                <w:spacing w:val="-9"/>
                <w:sz w:val="16"/>
              </w:rPr>
              <w:t xml:space="preserve"> </w:t>
            </w:r>
            <w:r w:rsidRPr="00EB2BD8">
              <w:rPr>
                <w:spacing w:val="-2"/>
                <w:sz w:val="16"/>
              </w:rPr>
              <w:t>a</w:t>
            </w:r>
            <w:r w:rsidRPr="00EB2BD8">
              <w:rPr>
                <w:spacing w:val="-9"/>
                <w:sz w:val="16"/>
              </w:rPr>
              <w:t xml:space="preserve"> </w:t>
            </w:r>
            <w:r w:rsidRPr="00EB2BD8">
              <w:rPr>
                <w:spacing w:val="-2"/>
                <w:sz w:val="16"/>
              </w:rPr>
              <w:t>competent</w:t>
            </w:r>
          </w:p>
        </w:tc>
        <w:tc>
          <w:tcPr>
            <w:tcW w:w="2286" w:type="dxa"/>
          </w:tcPr>
          <w:p w14:paraId="7C629B38" w14:textId="77777777" w:rsidR="00084F36" w:rsidRPr="00EB2BD8" w:rsidRDefault="00084F36">
            <w:pPr>
              <w:pStyle w:val="TableParagraph"/>
              <w:rPr>
                <w:rFonts w:ascii="Times New Roman"/>
                <w:sz w:val="16"/>
              </w:rPr>
            </w:pPr>
          </w:p>
        </w:tc>
        <w:tc>
          <w:tcPr>
            <w:tcW w:w="1078" w:type="dxa"/>
          </w:tcPr>
          <w:p w14:paraId="6DE9AE86" w14:textId="77777777" w:rsidR="00084F36" w:rsidRPr="00EB2BD8" w:rsidRDefault="00084F36">
            <w:pPr>
              <w:pStyle w:val="TableParagraph"/>
              <w:rPr>
                <w:rFonts w:ascii="Times New Roman"/>
                <w:sz w:val="16"/>
              </w:rPr>
            </w:pPr>
          </w:p>
        </w:tc>
        <w:tc>
          <w:tcPr>
            <w:tcW w:w="1176" w:type="dxa"/>
          </w:tcPr>
          <w:p w14:paraId="38D93C32" w14:textId="77777777" w:rsidR="00084F36" w:rsidRPr="00EB2BD8" w:rsidRDefault="00084F36">
            <w:pPr>
              <w:pStyle w:val="TableParagraph"/>
              <w:rPr>
                <w:rFonts w:ascii="Times New Roman"/>
                <w:sz w:val="16"/>
              </w:rPr>
            </w:pPr>
          </w:p>
        </w:tc>
      </w:tr>
      <w:tr w:rsidR="00EB2BD8" w:rsidRPr="00EB2BD8" w14:paraId="09D050C5" w14:textId="77777777">
        <w:trPr>
          <w:trHeight w:val="229"/>
        </w:trPr>
        <w:tc>
          <w:tcPr>
            <w:tcW w:w="1716" w:type="dxa"/>
          </w:tcPr>
          <w:p w14:paraId="3F70FF9F" w14:textId="77777777" w:rsidR="00084F36" w:rsidRPr="00EB2BD8" w:rsidRDefault="00084F36">
            <w:pPr>
              <w:pStyle w:val="TableParagraph"/>
              <w:rPr>
                <w:rFonts w:ascii="Times New Roman"/>
                <w:sz w:val="16"/>
              </w:rPr>
            </w:pPr>
          </w:p>
        </w:tc>
        <w:tc>
          <w:tcPr>
            <w:tcW w:w="1454" w:type="dxa"/>
          </w:tcPr>
          <w:p w14:paraId="6D0B4429" w14:textId="77777777" w:rsidR="00084F36" w:rsidRPr="00EB2BD8" w:rsidRDefault="00084F36">
            <w:pPr>
              <w:pStyle w:val="TableParagraph"/>
              <w:rPr>
                <w:rFonts w:ascii="Times New Roman"/>
                <w:sz w:val="16"/>
              </w:rPr>
            </w:pPr>
          </w:p>
        </w:tc>
        <w:tc>
          <w:tcPr>
            <w:tcW w:w="2494" w:type="dxa"/>
          </w:tcPr>
          <w:p w14:paraId="6442D68C" w14:textId="77777777" w:rsidR="00084F36" w:rsidRPr="00EB2BD8" w:rsidRDefault="00EB2BD8">
            <w:pPr>
              <w:pStyle w:val="TableParagraph"/>
              <w:spacing w:before="19"/>
              <w:ind w:left="333"/>
              <w:rPr>
                <w:sz w:val="16"/>
              </w:rPr>
            </w:pPr>
            <w:r w:rsidRPr="00EB2BD8">
              <w:rPr>
                <w:sz w:val="16"/>
              </w:rPr>
              <w:t>manner</w:t>
            </w:r>
            <w:r w:rsidRPr="00EB2BD8">
              <w:rPr>
                <w:spacing w:val="-5"/>
                <w:sz w:val="16"/>
              </w:rPr>
              <w:t xml:space="preserve"> </w:t>
            </w:r>
            <w:r w:rsidRPr="00EB2BD8">
              <w:rPr>
                <w:sz w:val="16"/>
              </w:rPr>
              <w:t>and</w:t>
            </w:r>
            <w:r w:rsidRPr="00EB2BD8">
              <w:rPr>
                <w:spacing w:val="-5"/>
                <w:sz w:val="16"/>
              </w:rPr>
              <w:t xml:space="preserve"> </w:t>
            </w:r>
            <w:r w:rsidRPr="00EB2BD8">
              <w:rPr>
                <w:sz w:val="16"/>
              </w:rPr>
              <w:t>to</w:t>
            </w:r>
            <w:r w:rsidRPr="00EB2BD8">
              <w:rPr>
                <w:spacing w:val="-4"/>
                <w:sz w:val="16"/>
              </w:rPr>
              <w:t xml:space="preserve"> </w:t>
            </w:r>
            <w:r w:rsidRPr="00EB2BD8">
              <w:rPr>
                <w:spacing w:val="-10"/>
                <w:sz w:val="16"/>
              </w:rPr>
              <w:t>a</w:t>
            </w:r>
          </w:p>
        </w:tc>
        <w:tc>
          <w:tcPr>
            <w:tcW w:w="2286" w:type="dxa"/>
          </w:tcPr>
          <w:p w14:paraId="732DAA39" w14:textId="77777777" w:rsidR="00084F36" w:rsidRPr="00EB2BD8" w:rsidRDefault="00084F36">
            <w:pPr>
              <w:pStyle w:val="TableParagraph"/>
              <w:rPr>
                <w:rFonts w:ascii="Times New Roman"/>
                <w:sz w:val="16"/>
              </w:rPr>
            </w:pPr>
          </w:p>
        </w:tc>
        <w:tc>
          <w:tcPr>
            <w:tcW w:w="1078" w:type="dxa"/>
          </w:tcPr>
          <w:p w14:paraId="39E84617" w14:textId="77777777" w:rsidR="00084F36" w:rsidRPr="00EB2BD8" w:rsidRDefault="00084F36">
            <w:pPr>
              <w:pStyle w:val="TableParagraph"/>
              <w:rPr>
                <w:rFonts w:ascii="Times New Roman"/>
                <w:sz w:val="16"/>
              </w:rPr>
            </w:pPr>
          </w:p>
        </w:tc>
        <w:tc>
          <w:tcPr>
            <w:tcW w:w="1176" w:type="dxa"/>
          </w:tcPr>
          <w:p w14:paraId="1ED5C416" w14:textId="77777777" w:rsidR="00084F36" w:rsidRPr="00EB2BD8" w:rsidRDefault="00084F36">
            <w:pPr>
              <w:pStyle w:val="TableParagraph"/>
              <w:rPr>
                <w:rFonts w:ascii="Times New Roman"/>
                <w:sz w:val="16"/>
              </w:rPr>
            </w:pPr>
          </w:p>
        </w:tc>
      </w:tr>
      <w:tr w:rsidR="00EB2BD8" w:rsidRPr="00EB2BD8" w14:paraId="04299B22" w14:textId="77777777">
        <w:trPr>
          <w:trHeight w:val="229"/>
        </w:trPr>
        <w:tc>
          <w:tcPr>
            <w:tcW w:w="1716" w:type="dxa"/>
          </w:tcPr>
          <w:p w14:paraId="17B741B4" w14:textId="77777777" w:rsidR="00084F36" w:rsidRPr="00EB2BD8" w:rsidRDefault="00084F36">
            <w:pPr>
              <w:pStyle w:val="TableParagraph"/>
              <w:rPr>
                <w:rFonts w:ascii="Times New Roman"/>
                <w:sz w:val="16"/>
              </w:rPr>
            </w:pPr>
          </w:p>
        </w:tc>
        <w:tc>
          <w:tcPr>
            <w:tcW w:w="1454" w:type="dxa"/>
          </w:tcPr>
          <w:p w14:paraId="6C604957" w14:textId="77777777" w:rsidR="00084F36" w:rsidRPr="00EB2BD8" w:rsidRDefault="00084F36">
            <w:pPr>
              <w:pStyle w:val="TableParagraph"/>
              <w:rPr>
                <w:rFonts w:ascii="Times New Roman"/>
                <w:sz w:val="16"/>
              </w:rPr>
            </w:pPr>
          </w:p>
        </w:tc>
        <w:tc>
          <w:tcPr>
            <w:tcW w:w="2494" w:type="dxa"/>
          </w:tcPr>
          <w:p w14:paraId="44EA7C3A" w14:textId="77777777" w:rsidR="00084F36" w:rsidRPr="00EB2BD8" w:rsidRDefault="00EB2BD8">
            <w:pPr>
              <w:pStyle w:val="TableParagraph"/>
              <w:spacing w:before="19"/>
              <w:ind w:left="333"/>
              <w:rPr>
                <w:sz w:val="16"/>
              </w:rPr>
            </w:pPr>
            <w:r w:rsidRPr="00EB2BD8">
              <w:rPr>
                <w:spacing w:val="-2"/>
                <w:sz w:val="16"/>
              </w:rPr>
              <w:t>professional</w:t>
            </w:r>
            <w:r w:rsidRPr="00EB2BD8">
              <w:rPr>
                <w:spacing w:val="-6"/>
                <w:sz w:val="16"/>
              </w:rPr>
              <w:t xml:space="preserve"> </w:t>
            </w:r>
            <w:r w:rsidRPr="00EB2BD8">
              <w:rPr>
                <w:spacing w:val="-2"/>
                <w:sz w:val="16"/>
              </w:rPr>
              <w:t>standard,</w:t>
            </w:r>
          </w:p>
        </w:tc>
        <w:tc>
          <w:tcPr>
            <w:tcW w:w="2286" w:type="dxa"/>
          </w:tcPr>
          <w:p w14:paraId="72AC8D04" w14:textId="77777777" w:rsidR="00084F36" w:rsidRPr="00EB2BD8" w:rsidRDefault="00084F36">
            <w:pPr>
              <w:pStyle w:val="TableParagraph"/>
              <w:rPr>
                <w:rFonts w:ascii="Times New Roman"/>
                <w:sz w:val="16"/>
              </w:rPr>
            </w:pPr>
          </w:p>
        </w:tc>
        <w:tc>
          <w:tcPr>
            <w:tcW w:w="1078" w:type="dxa"/>
          </w:tcPr>
          <w:p w14:paraId="60AACB63" w14:textId="77777777" w:rsidR="00084F36" w:rsidRPr="00EB2BD8" w:rsidRDefault="00084F36">
            <w:pPr>
              <w:pStyle w:val="TableParagraph"/>
              <w:rPr>
                <w:rFonts w:ascii="Times New Roman"/>
                <w:sz w:val="16"/>
              </w:rPr>
            </w:pPr>
          </w:p>
        </w:tc>
        <w:tc>
          <w:tcPr>
            <w:tcW w:w="1176" w:type="dxa"/>
          </w:tcPr>
          <w:p w14:paraId="13497567" w14:textId="77777777" w:rsidR="00084F36" w:rsidRPr="00EB2BD8" w:rsidRDefault="00084F36">
            <w:pPr>
              <w:pStyle w:val="TableParagraph"/>
              <w:rPr>
                <w:rFonts w:ascii="Times New Roman"/>
                <w:sz w:val="16"/>
              </w:rPr>
            </w:pPr>
          </w:p>
        </w:tc>
      </w:tr>
      <w:tr w:rsidR="00EB2BD8" w:rsidRPr="00EB2BD8" w14:paraId="5C444230" w14:textId="77777777">
        <w:trPr>
          <w:trHeight w:val="229"/>
        </w:trPr>
        <w:tc>
          <w:tcPr>
            <w:tcW w:w="1716" w:type="dxa"/>
          </w:tcPr>
          <w:p w14:paraId="4B3108FE" w14:textId="77777777" w:rsidR="00084F36" w:rsidRPr="00EB2BD8" w:rsidRDefault="00084F36">
            <w:pPr>
              <w:pStyle w:val="TableParagraph"/>
              <w:rPr>
                <w:rFonts w:ascii="Times New Roman"/>
                <w:sz w:val="16"/>
              </w:rPr>
            </w:pPr>
          </w:p>
        </w:tc>
        <w:tc>
          <w:tcPr>
            <w:tcW w:w="1454" w:type="dxa"/>
          </w:tcPr>
          <w:p w14:paraId="3332E778" w14:textId="77777777" w:rsidR="00084F36" w:rsidRPr="00EB2BD8" w:rsidRDefault="00084F36">
            <w:pPr>
              <w:pStyle w:val="TableParagraph"/>
              <w:rPr>
                <w:rFonts w:ascii="Times New Roman"/>
                <w:sz w:val="16"/>
              </w:rPr>
            </w:pPr>
          </w:p>
        </w:tc>
        <w:tc>
          <w:tcPr>
            <w:tcW w:w="2494" w:type="dxa"/>
          </w:tcPr>
          <w:p w14:paraId="42E6AF59" w14:textId="77777777" w:rsidR="00084F36" w:rsidRPr="00EB2BD8" w:rsidRDefault="00EB2BD8">
            <w:pPr>
              <w:pStyle w:val="TableParagraph"/>
              <w:spacing w:before="19"/>
              <w:ind w:left="333"/>
              <w:rPr>
                <w:sz w:val="16"/>
              </w:rPr>
            </w:pPr>
            <w:r w:rsidRPr="00EB2BD8">
              <w:rPr>
                <w:spacing w:val="-2"/>
                <w:sz w:val="16"/>
              </w:rPr>
              <w:t>unprofessional conduct</w:t>
            </w:r>
          </w:p>
        </w:tc>
        <w:tc>
          <w:tcPr>
            <w:tcW w:w="2286" w:type="dxa"/>
          </w:tcPr>
          <w:p w14:paraId="26E1D17C" w14:textId="77777777" w:rsidR="00084F36" w:rsidRPr="00EB2BD8" w:rsidRDefault="00084F36">
            <w:pPr>
              <w:pStyle w:val="TableParagraph"/>
              <w:rPr>
                <w:rFonts w:ascii="Times New Roman"/>
                <w:sz w:val="16"/>
              </w:rPr>
            </w:pPr>
          </w:p>
        </w:tc>
        <w:tc>
          <w:tcPr>
            <w:tcW w:w="1078" w:type="dxa"/>
          </w:tcPr>
          <w:p w14:paraId="402E47F5" w14:textId="77777777" w:rsidR="00084F36" w:rsidRPr="00EB2BD8" w:rsidRDefault="00084F36">
            <w:pPr>
              <w:pStyle w:val="TableParagraph"/>
              <w:rPr>
                <w:rFonts w:ascii="Times New Roman"/>
                <w:sz w:val="16"/>
              </w:rPr>
            </w:pPr>
          </w:p>
        </w:tc>
        <w:tc>
          <w:tcPr>
            <w:tcW w:w="1176" w:type="dxa"/>
          </w:tcPr>
          <w:p w14:paraId="4A8B4789" w14:textId="77777777" w:rsidR="00084F36" w:rsidRPr="00EB2BD8" w:rsidRDefault="00084F36">
            <w:pPr>
              <w:pStyle w:val="TableParagraph"/>
              <w:rPr>
                <w:rFonts w:ascii="Times New Roman"/>
                <w:sz w:val="16"/>
              </w:rPr>
            </w:pPr>
          </w:p>
        </w:tc>
      </w:tr>
      <w:tr w:rsidR="00EB2BD8" w:rsidRPr="00EB2BD8" w14:paraId="30EE840F" w14:textId="77777777">
        <w:trPr>
          <w:trHeight w:val="229"/>
        </w:trPr>
        <w:tc>
          <w:tcPr>
            <w:tcW w:w="1716" w:type="dxa"/>
          </w:tcPr>
          <w:p w14:paraId="41AC0919" w14:textId="77777777" w:rsidR="00084F36" w:rsidRPr="00EB2BD8" w:rsidRDefault="00084F36">
            <w:pPr>
              <w:pStyle w:val="TableParagraph"/>
              <w:rPr>
                <w:rFonts w:ascii="Times New Roman"/>
                <w:sz w:val="16"/>
              </w:rPr>
            </w:pPr>
          </w:p>
        </w:tc>
        <w:tc>
          <w:tcPr>
            <w:tcW w:w="1454" w:type="dxa"/>
          </w:tcPr>
          <w:p w14:paraId="7FE5DFDE" w14:textId="77777777" w:rsidR="00084F36" w:rsidRPr="00EB2BD8" w:rsidRDefault="00084F36">
            <w:pPr>
              <w:pStyle w:val="TableParagraph"/>
              <w:rPr>
                <w:rFonts w:ascii="Times New Roman"/>
                <w:sz w:val="16"/>
              </w:rPr>
            </w:pPr>
          </w:p>
        </w:tc>
        <w:tc>
          <w:tcPr>
            <w:tcW w:w="2494" w:type="dxa"/>
          </w:tcPr>
          <w:p w14:paraId="30CA350C" w14:textId="77777777" w:rsidR="00084F36" w:rsidRPr="00EB2BD8" w:rsidRDefault="00EB2BD8">
            <w:pPr>
              <w:pStyle w:val="TableParagraph"/>
              <w:spacing w:before="19"/>
              <w:ind w:left="333"/>
              <w:rPr>
                <w:sz w:val="16"/>
              </w:rPr>
            </w:pPr>
            <w:r w:rsidRPr="00EB2BD8">
              <w:rPr>
                <w:spacing w:val="-2"/>
                <w:sz w:val="16"/>
              </w:rPr>
              <w:t>—substitution</w:t>
            </w:r>
            <w:r w:rsidRPr="00EB2BD8">
              <w:rPr>
                <w:spacing w:val="-10"/>
                <w:sz w:val="16"/>
              </w:rPr>
              <w:t xml:space="preserve"> </w:t>
            </w:r>
            <w:r w:rsidRPr="00EB2BD8">
              <w:rPr>
                <w:spacing w:val="-2"/>
                <w:sz w:val="16"/>
              </w:rPr>
              <w:t>of</w:t>
            </w:r>
            <w:r w:rsidRPr="00EB2BD8">
              <w:rPr>
                <w:spacing w:val="-10"/>
                <w:sz w:val="16"/>
              </w:rPr>
              <w:t xml:space="preserve"> </w:t>
            </w:r>
            <w:r w:rsidRPr="00EB2BD8">
              <w:rPr>
                <w:spacing w:val="-2"/>
                <w:sz w:val="16"/>
              </w:rPr>
              <w:t>cladding</w:t>
            </w:r>
          </w:p>
        </w:tc>
        <w:tc>
          <w:tcPr>
            <w:tcW w:w="2286" w:type="dxa"/>
          </w:tcPr>
          <w:p w14:paraId="5861C854" w14:textId="77777777" w:rsidR="00084F36" w:rsidRPr="00EB2BD8" w:rsidRDefault="00084F36">
            <w:pPr>
              <w:pStyle w:val="TableParagraph"/>
              <w:rPr>
                <w:rFonts w:ascii="Times New Roman"/>
                <w:sz w:val="16"/>
              </w:rPr>
            </w:pPr>
          </w:p>
        </w:tc>
        <w:tc>
          <w:tcPr>
            <w:tcW w:w="1078" w:type="dxa"/>
          </w:tcPr>
          <w:p w14:paraId="3A4F167B" w14:textId="77777777" w:rsidR="00084F36" w:rsidRPr="00EB2BD8" w:rsidRDefault="00084F36">
            <w:pPr>
              <w:pStyle w:val="TableParagraph"/>
              <w:rPr>
                <w:rFonts w:ascii="Times New Roman"/>
                <w:sz w:val="16"/>
              </w:rPr>
            </w:pPr>
          </w:p>
        </w:tc>
        <w:tc>
          <w:tcPr>
            <w:tcW w:w="1176" w:type="dxa"/>
          </w:tcPr>
          <w:p w14:paraId="071E4FF8" w14:textId="77777777" w:rsidR="00084F36" w:rsidRPr="00EB2BD8" w:rsidRDefault="00084F36">
            <w:pPr>
              <w:pStyle w:val="TableParagraph"/>
              <w:rPr>
                <w:rFonts w:ascii="Times New Roman"/>
                <w:sz w:val="16"/>
              </w:rPr>
            </w:pPr>
          </w:p>
        </w:tc>
      </w:tr>
      <w:tr w:rsidR="00EB2BD8" w:rsidRPr="00EB2BD8" w14:paraId="2FE54960" w14:textId="77777777">
        <w:trPr>
          <w:trHeight w:val="229"/>
        </w:trPr>
        <w:tc>
          <w:tcPr>
            <w:tcW w:w="1716" w:type="dxa"/>
          </w:tcPr>
          <w:p w14:paraId="494CF84F" w14:textId="77777777" w:rsidR="00084F36" w:rsidRPr="00EB2BD8" w:rsidRDefault="00084F36">
            <w:pPr>
              <w:pStyle w:val="TableParagraph"/>
              <w:rPr>
                <w:rFonts w:ascii="Times New Roman"/>
                <w:sz w:val="16"/>
              </w:rPr>
            </w:pPr>
          </w:p>
        </w:tc>
        <w:tc>
          <w:tcPr>
            <w:tcW w:w="1454" w:type="dxa"/>
          </w:tcPr>
          <w:p w14:paraId="28DEC5C5" w14:textId="77777777" w:rsidR="00084F36" w:rsidRPr="00EB2BD8" w:rsidRDefault="00084F36">
            <w:pPr>
              <w:pStyle w:val="TableParagraph"/>
              <w:rPr>
                <w:rFonts w:ascii="Times New Roman"/>
                <w:sz w:val="16"/>
              </w:rPr>
            </w:pPr>
          </w:p>
        </w:tc>
        <w:tc>
          <w:tcPr>
            <w:tcW w:w="2494" w:type="dxa"/>
          </w:tcPr>
          <w:p w14:paraId="0555CC98" w14:textId="77777777" w:rsidR="00084F36" w:rsidRPr="00EB2BD8" w:rsidRDefault="00EB2BD8">
            <w:pPr>
              <w:pStyle w:val="TableParagraph"/>
              <w:spacing w:before="19"/>
              <w:ind w:left="333"/>
              <w:rPr>
                <w:sz w:val="16"/>
              </w:rPr>
            </w:pPr>
            <w:r w:rsidRPr="00EB2BD8">
              <w:rPr>
                <w:spacing w:val="-2"/>
                <w:sz w:val="16"/>
              </w:rPr>
              <w:t>materials</w:t>
            </w:r>
            <w:r w:rsidRPr="00EB2BD8">
              <w:rPr>
                <w:spacing w:val="7"/>
                <w:sz w:val="16"/>
              </w:rPr>
              <w:t xml:space="preserve"> </w:t>
            </w:r>
            <w:r w:rsidRPr="00EB2BD8">
              <w:rPr>
                <w:spacing w:val="-2"/>
                <w:sz w:val="16"/>
              </w:rPr>
              <w:t>(combustible)</w:t>
            </w:r>
            <w:r w:rsidRPr="00EB2BD8">
              <w:rPr>
                <w:spacing w:val="7"/>
                <w:sz w:val="16"/>
              </w:rPr>
              <w:t xml:space="preserve"> </w:t>
            </w:r>
            <w:r w:rsidRPr="00EB2BD8">
              <w:rPr>
                <w:spacing w:val="-5"/>
                <w:sz w:val="16"/>
              </w:rPr>
              <w:t>to</w:t>
            </w:r>
          </w:p>
        </w:tc>
        <w:tc>
          <w:tcPr>
            <w:tcW w:w="2286" w:type="dxa"/>
          </w:tcPr>
          <w:p w14:paraId="47969545" w14:textId="77777777" w:rsidR="00084F36" w:rsidRPr="00EB2BD8" w:rsidRDefault="00084F36">
            <w:pPr>
              <w:pStyle w:val="TableParagraph"/>
              <w:rPr>
                <w:rFonts w:ascii="Times New Roman"/>
                <w:sz w:val="16"/>
              </w:rPr>
            </w:pPr>
          </w:p>
        </w:tc>
        <w:tc>
          <w:tcPr>
            <w:tcW w:w="1078" w:type="dxa"/>
          </w:tcPr>
          <w:p w14:paraId="76E95ECA" w14:textId="77777777" w:rsidR="00084F36" w:rsidRPr="00EB2BD8" w:rsidRDefault="00084F36">
            <w:pPr>
              <w:pStyle w:val="TableParagraph"/>
              <w:rPr>
                <w:rFonts w:ascii="Times New Roman"/>
                <w:sz w:val="16"/>
              </w:rPr>
            </w:pPr>
          </w:p>
        </w:tc>
        <w:tc>
          <w:tcPr>
            <w:tcW w:w="1176" w:type="dxa"/>
          </w:tcPr>
          <w:p w14:paraId="71E66CB5" w14:textId="77777777" w:rsidR="00084F36" w:rsidRPr="00EB2BD8" w:rsidRDefault="00084F36">
            <w:pPr>
              <w:pStyle w:val="TableParagraph"/>
              <w:rPr>
                <w:rFonts w:ascii="Times New Roman"/>
                <w:sz w:val="16"/>
              </w:rPr>
            </w:pPr>
          </w:p>
        </w:tc>
      </w:tr>
      <w:tr w:rsidR="00EB2BD8" w:rsidRPr="00EB2BD8" w14:paraId="0A868EBB" w14:textId="77777777">
        <w:trPr>
          <w:trHeight w:val="229"/>
        </w:trPr>
        <w:tc>
          <w:tcPr>
            <w:tcW w:w="1716" w:type="dxa"/>
          </w:tcPr>
          <w:p w14:paraId="0A3CB7D4" w14:textId="77777777" w:rsidR="00084F36" w:rsidRPr="00EB2BD8" w:rsidRDefault="00084F36">
            <w:pPr>
              <w:pStyle w:val="TableParagraph"/>
              <w:rPr>
                <w:rFonts w:ascii="Times New Roman"/>
                <w:sz w:val="16"/>
              </w:rPr>
            </w:pPr>
          </w:p>
        </w:tc>
        <w:tc>
          <w:tcPr>
            <w:tcW w:w="1454" w:type="dxa"/>
          </w:tcPr>
          <w:p w14:paraId="5664EC39" w14:textId="77777777" w:rsidR="00084F36" w:rsidRPr="00EB2BD8" w:rsidRDefault="00084F36">
            <w:pPr>
              <w:pStyle w:val="TableParagraph"/>
              <w:rPr>
                <w:rFonts w:ascii="Times New Roman"/>
                <w:sz w:val="16"/>
              </w:rPr>
            </w:pPr>
          </w:p>
        </w:tc>
        <w:tc>
          <w:tcPr>
            <w:tcW w:w="2494" w:type="dxa"/>
          </w:tcPr>
          <w:p w14:paraId="78C726FD" w14:textId="77777777" w:rsidR="00084F36" w:rsidRPr="00EB2BD8" w:rsidRDefault="00EB2BD8">
            <w:pPr>
              <w:pStyle w:val="TableParagraph"/>
              <w:spacing w:before="19"/>
              <w:ind w:left="333"/>
              <w:rPr>
                <w:sz w:val="16"/>
              </w:rPr>
            </w:pPr>
            <w:r w:rsidRPr="00EB2BD8">
              <w:rPr>
                <w:spacing w:val="-2"/>
                <w:sz w:val="16"/>
              </w:rPr>
              <w:t>external</w:t>
            </w:r>
            <w:r w:rsidRPr="00EB2BD8">
              <w:rPr>
                <w:spacing w:val="-5"/>
                <w:sz w:val="16"/>
              </w:rPr>
              <w:t xml:space="preserve"> </w:t>
            </w:r>
            <w:r w:rsidRPr="00EB2BD8">
              <w:rPr>
                <w:spacing w:val="-2"/>
                <w:sz w:val="16"/>
              </w:rPr>
              <w:t>walls—in</w:t>
            </w:r>
            <w:r w:rsidRPr="00EB2BD8">
              <w:rPr>
                <w:spacing w:val="-4"/>
                <w:sz w:val="16"/>
              </w:rPr>
              <w:t xml:space="preserve"> </w:t>
            </w:r>
            <w:r w:rsidRPr="00EB2BD8">
              <w:rPr>
                <w:spacing w:val="-2"/>
                <w:sz w:val="16"/>
              </w:rPr>
              <w:t>respect</w:t>
            </w:r>
          </w:p>
        </w:tc>
        <w:tc>
          <w:tcPr>
            <w:tcW w:w="2286" w:type="dxa"/>
          </w:tcPr>
          <w:p w14:paraId="0B2FA16A" w14:textId="77777777" w:rsidR="00084F36" w:rsidRPr="00EB2BD8" w:rsidRDefault="00084F36">
            <w:pPr>
              <w:pStyle w:val="TableParagraph"/>
              <w:rPr>
                <w:rFonts w:ascii="Times New Roman"/>
                <w:sz w:val="16"/>
              </w:rPr>
            </w:pPr>
          </w:p>
        </w:tc>
        <w:tc>
          <w:tcPr>
            <w:tcW w:w="1078" w:type="dxa"/>
          </w:tcPr>
          <w:p w14:paraId="3D500965" w14:textId="77777777" w:rsidR="00084F36" w:rsidRPr="00EB2BD8" w:rsidRDefault="00084F36">
            <w:pPr>
              <w:pStyle w:val="TableParagraph"/>
              <w:rPr>
                <w:rFonts w:ascii="Times New Roman"/>
                <w:sz w:val="16"/>
              </w:rPr>
            </w:pPr>
          </w:p>
        </w:tc>
        <w:tc>
          <w:tcPr>
            <w:tcW w:w="1176" w:type="dxa"/>
          </w:tcPr>
          <w:p w14:paraId="42852FC6" w14:textId="77777777" w:rsidR="00084F36" w:rsidRPr="00EB2BD8" w:rsidRDefault="00084F36">
            <w:pPr>
              <w:pStyle w:val="TableParagraph"/>
              <w:rPr>
                <w:rFonts w:ascii="Times New Roman"/>
                <w:sz w:val="16"/>
              </w:rPr>
            </w:pPr>
          </w:p>
        </w:tc>
      </w:tr>
      <w:tr w:rsidR="00EB2BD8" w:rsidRPr="00EB2BD8" w14:paraId="656AFCDE" w14:textId="77777777">
        <w:trPr>
          <w:trHeight w:val="287"/>
        </w:trPr>
        <w:tc>
          <w:tcPr>
            <w:tcW w:w="1716" w:type="dxa"/>
            <w:tcBorders>
              <w:bottom w:val="single" w:sz="2" w:space="0" w:color="000000"/>
            </w:tcBorders>
          </w:tcPr>
          <w:p w14:paraId="671E6091" w14:textId="77777777" w:rsidR="00084F36" w:rsidRPr="00EB2BD8" w:rsidRDefault="00084F36">
            <w:pPr>
              <w:pStyle w:val="TableParagraph"/>
              <w:rPr>
                <w:rFonts w:ascii="Times New Roman"/>
                <w:sz w:val="16"/>
              </w:rPr>
            </w:pPr>
          </w:p>
        </w:tc>
        <w:tc>
          <w:tcPr>
            <w:tcW w:w="1454" w:type="dxa"/>
            <w:tcBorders>
              <w:bottom w:val="single" w:sz="2" w:space="0" w:color="000000"/>
            </w:tcBorders>
          </w:tcPr>
          <w:p w14:paraId="136B8334" w14:textId="77777777" w:rsidR="00084F36" w:rsidRPr="00EB2BD8" w:rsidRDefault="00084F36">
            <w:pPr>
              <w:pStyle w:val="TableParagraph"/>
              <w:rPr>
                <w:rFonts w:ascii="Times New Roman"/>
                <w:sz w:val="16"/>
              </w:rPr>
            </w:pPr>
          </w:p>
        </w:tc>
        <w:tc>
          <w:tcPr>
            <w:tcW w:w="2494" w:type="dxa"/>
            <w:tcBorders>
              <w:bottom w:val="single" w:sz="2" w:space="0" w:color="000000"/>
            </w:tcBorders>
          </w:tcPr>
          <w:p w14:paraId="1E952448" w14:textId="77777777" w:rsidR="00084F36" w:rsidRPr="00EB2BD8" w:rsidRDefault="00EB2BD8">
            <w:pPr>
              <w:pStyle w:val="TableParagraph"/>
              <w:spacing w:before="19"/>
              <w:ind w:left="333"/>
              <w:rPr>
                <w:sz w:val="16"/>
              </w:rPr>
            </w:pPr>
            <w:r w:rsidRPr="00EB2BD8">
              <w:rPr>
                <w:sz w:val="16"/>
              </w:rPr>
              <w:t>of</w:t>
            </w:r>
            <w:r w:rsidRPr="00EB2BD8">
              <w:rPr>
                <w:spacing w:val="-9"/>
                <w:sz w:val="16"/>
              </w:rPr>
              <w:t xml:space="preserve"> </w:t>
            </w:r>
            <w:r w:rsidRPr="00EB2BD8">
              <w:rPr>
                <w:sz w:val="16"/>
              </w:rPr>
              <w:t>a</w:t>
            </w:r>
            <w:r w:rsidRPr="00EB2BD8">
              <w:rPr>
                <w:spacing w:val="-9"/>
                <w:sz w:val="16"/>
              </w:rPr>
              <w:t xml:space="preserve"> </w:t>
            </w:r>
            <w:r w:rsidRPr="00EB2BD8">
              <w:rPr>
                <w:sz w:val="16"/>
              </w:rPr>
              <w:t>site</w:t>
            </w:r>
            <w:r w:rsidRPr="00EB2BD8">
              <w:rPr>
                <w:spacing w:val="-8"/>
                <w:sz w:val="16"/>
              </w:rPr>
              <w:t xml:space="preserve"> </w:t>
            </w:r>
            <w:r w:rsidRPr="00EB2BD8">
              <w:rPr>
                <w:sz w:val="16"/>
              </w:rPr>
              <w:t>at</w:t>
            </w:r>
            <w:r w:rsidRPr="00EB2BD8">
              <w:rPr>
                <w:spacing w:val="-9"/>
                <w:sz w:val="16"/>
              </w:rPr>
              <w:t xml:space="preserve"> </w:t>
            </w:r>
            <w:r w:rsidRPr="00EB2BD8">
              <w:rPr>
                <w:spacing w:val="-2"/>
                <w:sz w:val="16"/>
              </w:rPr>
              <w:t>Windsor.</w:t>
            </w:r>
          </w:p>
        </w:tc>
        <w:tc>
          <w:tcPr>
            <w:tcW w:w="2286" w:type="dxa"/>
            <w:tcBorders>
              <w:bottom w:val="single" w:sz="2" w:space="0" w:color="000000"/>
            </w:tcBorders>
          </w:tcPr>
          <w:p w14:paraId="5A9D8F15"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698709EB"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7C946EC9" w14:textId="77777777" w:rsidR="00084F36" w:rsidRPr="00EB2BD8" w:rsidRDefault="00084F36">
            <w:pPr>
              <w:pStyle w:val="TableParagraph"/>
              <w:rPr>
                <w:rFonts w:ascii="Times New Roman"/>
                <w:sz w:val="16"/>
              </w:rPr>
            </w:pPr>
          </w:p>
        </w:tc>
      </w:tr>
      <w:tr w:rsidR="00EB2BD8" w:rsidRPr="00EB2BD8" w14:paraId="2354CAA9" w14:textId="77777777">
        <w:trPr>
          <w:trHeight w:val="323"/>
        </w:trPr>
        <w:tc>
          <w:tcPr>
            <w:tcW w:w="1716" w:type="dxa"/>
            <w:tcBorders>
              <w:top w:val="single" w:sz="2" w:space="0" w:color="000000"/>
            </w:tcBorders>
          </w:tcPr>
          <w:p w14:paraId="5473C78F" w14:textId="77777777" w:rsidR="00084F36" w:rsidRPr="00EB2BD8" w:rsidRDefault="00EB2BD8">
            <w:pPr>
              <w:pStyle w:val="TableParagraph"/>
              <w:spacing w:before="113"/>
              <w:ind w:left="113"/>
              <w:rPr>
                <w:sz w:val="16"/>
              </w:rPr>
            </w:pPr>
            <w:r w:rsidRPr="00EB2BD8">
              <w:rPr>
                <w:spacing w:val="-4"/>
                <w:sz w:val="16"/>
              </w:rPr>
              <w:t>WILLIAMS,</w:t>
            </w:r>
            <w:r w:rsidRPr="00EB2BD8">
              <w:rPr>
                <w:spacing w:val="5"/>
                <w:sz w:val="16"/>
              </w:rPr>
              <w:t xml:space="preserve"> </w:t>
            </w:r>
            <w:r w:rsidRPr="00EB2BD8">
              <w:rPr>
                <w:spacing w:val="-2"/>
                <w:sz w:val="16"/>
              </w:rPr>
              <w:t>Rodney</w:t>
            </w:r>
          </w:p>
        </w:tc>
        <w:tc>
          <w:tcPr>
            <w:tcW w:w="1454" w:type="dxa"/>
            <w:tcBorders>
              <w:top w:val="single" w:sz="2" w:space="0" w:color="000000"/>
            </w:tcBorders>
          </w:tcPr>
          <w:p w14:paraId="78BB9CE7" w14:textId="77777777" w:rsidR="00084F36" w:rsidRPr="00EB2BD8" w:rsidRDefault="00EB2BD8">
            <w:pPr>
              <w:pStyle w:val="TableParagraph"/>
              <w:spacing w:before="113"/>
              <w:ind w:left="154"/>
              <w:rPr>
                <w:sz w:val="16"/>
              </w:rPr>
            </w:pPr>
            <w:r w:rsidRPr="00EB2BD8">
              <w:rPr>
                <w:spacing w:val="2"/>
                <w:sz w:val="16"/>
              </w:rPr>
              <w:t>CB-L</w:t>
            </w:r>
            <w:r w:rsidRPr="00EB2BD8">
              <w:rPr>
                <w:spacing w:val="24"/>
                <w:sz w:val="16"/>
              </w:rPr>
              <w:t xml:space="preserve"> </w:t>
            </w:r>
            <w:r w:rsidRPr="00EB2BD8">
              <w:rPr>
                <w:spacing w:val="-4"/>
                <w:sz w:val="16"/>
              </w:rPr>
              <w:t>21733</w:t>
            </w:r>
          </w:p>
        </w:tc>
        <w:tc>
          <w:tcPr>
            <w:tcW w:w="2494" w:type="dxa"/>
            <w:tcBorders>
              <w:top w:val="single" w:sz="2" w:space="0" w:color="000000"/>
            </w:tcBorders>
          </w:tcPr>
          <w:p w14:paraId="507F2F98" w14:textId="77777777" w:rsidR="00084F36" w:rsidRPr="00EB2BD8" w:rsidRDefault="00EB2BD8">
            <w:pPr>
              <w:pStyle w:val="TableParagraph"/>
              <w:spacing w:before="113"/>
              <w:ind w:left="333"/>
              <w:rPr>
                <w:sz w:val="16"/>
              </w:rPr>
            </w:pPr>
            <w:r w:rsidRPr="00EB2BD8">
              <w:rPr>
                <w:sz w:val="16"/>
              </w:rPr>
              <w:t>Failing</w:t>
            </w:r>
            <w:r w:rsidRPr="00EB2BD8">
              <w:rPr>
                <w:spacing w:val="19"/>
                <w:sz w:val="16"/>
              </w:rPr>
              <w:t xml:space="preserve"> </w:t>
            </w:r>
            <w:r w:rsidRPr="00EB2BD8">
              <w:rPr>
                <w:sz w:val="16"/>
              </w:rPr>
              <w:t>to</w:t>
            </w:r>
            <w:r w:rsidRPr="00EB2BD8">
              <w:rPr>
                <w:spacing w:val="-12"/>
                <w:sz w:val="16"/>
              </w:rPr>
              <w:t xml:space="preserve"> </w:t>
            </w:r>
            <w:r w:rsidRPr="00EB2BD8">
              <w:rPr>
                <w:spacing w:val="-2"/>
                <w:sz w:val="16"/>
              </w:rPr>
              <w:t>perform</w:t>
            </w:r>
          </w:p>
        </w:tc>
        <w:tc>
          <w:tcPr>
            <w:tcW w:w="2286" w:type="dxa"/>
            <w:tcBorders>
              <w:top w:val="single" w:sz="2" w:space="0" w:color="000000"/>
            </w:tcBorders>
          </w:tcPr>
          <w:p w14:paraId="3A51C6CA" w14:textId="77777777" w:rsidR="00084F36" w:rsidRPr="00EB2BD8" w:rsidRDefault="00EB2BD8">
            <w:pPr>
              <w:pStyle w:val="TableParagraph"/>
              <w:spacing w:before="113"/>
              <w:ind w:left="118"/>
              <w:rPr>
                <w:sz w:val="16"/>
              </w:rPr>
            </w:pPr>
            <w:r w:rsidRPr="00EB2BD8">
              <w:rPr>
                <w:spacing w:val="-2"/>
                <w:sz w:val="16"/>
              </w:rPr>
              <w:t>Reprimand.</w:t>
            </w:r>
          </w:p>
        </w:tc>
        <w:tc>
          <w:tcPr>
            <w:tcW w:w="1078" w:type="dxa"/>
            <w:tcBorders>
              <w:top w:val="single" w:sz="2" w:space="0" w:color="000000"/>
            </w:tcBorders>
          </w:tcPr>
          <w:p w14:paraId="6E4414C9" w14:textId="77777777" w:rsidR="00084F36" w:rsidRPr="00EB2BD8" w:rsidRDefault="00EB2BD8">
            <w:pPr>
              <w:pStyle w:val="TableParagraph"/>
              <w:spacing w:before="113"/>
              <w:ind w:right="113"/>
              <w:jc w:val="right"/>
              <w:rPr>
                <w:sz w:val="16"/>
              </w:rPr>
            </w:pPr>
            <w:r w:rsidRPr="00EB2BD8">
              <w:rPr>
                <w:w w:val="124"/>
                <w:sz w:val="16"/>
              </w:rPr>
              <w:t>–</w:t>
            </w:r>
          </w:p>
        </w:tc>
        <w:tc>
          <w:tcPr>
            <w:tcW w:w="1176" w:type="dxa"/>
            <w:tcBorders>
              <w:top w:val="single" w:sz="2" w:space="0" w:color="000000"/>
            </w:tcBorders>
          </w:tcPr>
          <w:p w14:paraId="44DE6851" w14:textId="77777777" w:rsidR="00084F36" w:rsidRPr="00EB2BD8" w:rsidRDefault="00EB2BD8">
            <w:pPr>
              <w:pStyle w:val="TableParagraph"/>
              <w:spacing w:before="113"/>
              <w:ind w:left="110"/>
              <w:rPr>
                <w:sz w:val="16"/>
              </w:rPr>
            </w:pPr>
            <w:r w:rsidRPr="00EB2BD8">
              <w:rPr>
                <w:spacing w:val="-2"/>
                <w:sz w:val="16"/>
              </w:rPr>
              <w:t>05/04/2023</w:t>
            </w:r>
          </w:p>
        </w:tc>
      </w:tr>
      <w:tr w:rsidR="00EB2BD8" w:rsidRPr="00EB2BD8" w14:paraId="79736456" w14:textId="77777777">
        <w:trPr>
          <w:trHeight w:val="229"/>
        </w:trPr>
        <w:tc>
          <w:tcPr>
            <w:tcW w:w="1716" w:type="dxa"/>
          </w:tcPr>
          <w:p w14:paraId="06EF8A11" w14:textId="77777777" w:rsidR="00084F36" w:rsidRPr="00EB2BD8" w:rsidRDefault="00084F36">
            <w:pPr>
              <w:pStyle w:val="TableParagraph"/>
              <w:rPr>
                <w:rFonts w:ascii="Times New Roman"/>
                <w:sz w:val="16"/>
              </w:rPr>
            </w:pPr>
          </w:p>
        </w:tc>
        <w:tc>
          <w:tcPr>
            <w:tcW w:w="1454" w:type="dxa"/>
          </w:tcPr>
          <w:p w14:paraId="2E906B65" w14:textId="77777777" w:rsidR="00084F36" w:rsidRPr="00EB2BD8" w:rsidRDefault="00084F36">
            <w:pPr>
              <w:pStyle w:val="TableParagraph"/>
              <w:rPr>
                <w:rFonts w:ascii="Times New Roman"/>
                <w:sz w:val="16"/>
              </w:rPr>
            </w:pPr>
          </w:p>
        </w:tc>
        <w:tc>
          <w:tcPr>
            <w:tcW w:w="2494" w:type="dxa"/>
          </w:tcPr>
          <w:p w14:paraId="7574C486" w14:textId="77777777" w:rsidR="00084F36" w:rsidRPr="00EB2BD8" w:rsidRDefault="00EB2BD8">
            <w:pPr>
              <w:pStyle w:val="TableParagraph"/>
              <w:spacing w:before="19"/>
              <w:ind w:left="333"/>
              <w:rPr>
                <w:sz w:val="16"/>
              </w:rPr>
            </w:pPr>
            <w:r w:rsidRPr="00EB2BD8">
              <w:rPr>
                <w:spacing w:val="-4"/>
                <w:sz w:val="16"/>
              </w:rPr>
              <w:t>building</w:t>
            </w:r>
            <w:r w:rsidRPr="00EB2BD8">
              <w:rPr>
                <w:spacing w:val="-5"/>
                <w:sz w:val="16"/>
              </w:rPr>
              <w:t xml:space="preserve"> </w:t>
            </w:r>
            <w:r w:rsidRPr="00EB2BD8">
              <w:rPr>
                <w:spacing w:val="-4"/>
                <w:sz w:val="16"/>
              </w:rPr>
              <w:t xml:space="preserve">work in </w:t>
            </w:r>
            <w:r w:rsidRPr="00EB2BD8">
              <w:rPr>
                <w:spacing w:val="-10"/>
                <w:sz w:val="16"/>
              </w:rPr>
              <w:t>a</w:t>
            </w:r>
          </w:p>
        </w:tc>
        <w:tc>
          <w:tcPr>
            <w:tcW w:w="2286" w:type="dxa"/>
          </w:tcPr>
          <w:p w14:paraId="1BA449C9" w14:textId="77777777" w:rsidR="00084F36" w:rsidRPr="00EB2BD8" w:rsidRDefault="00084F36">
            <w:pPr>
              <w:pStyle w:val="TableParagraph"/>
              <w:rPr>
                <w:rFonts w:ascii="Times New Roman"/>
                <w:sz w:val="16"/>
              </w:rPr>
            </w:pPr>
          </w:p>
        </w:tc>
        <w:tc>
          <w:tcPr>
            <w:tcW w:w="1078" w:type="dxa"/>
          </w:tcPr>
          <w:p w14:paraId="08AF564D" w14:textId="77777777" w:rsidR="00084F36" w:rsidRPr="00EB2BD8" w:rsidRDefault="00084F36">
            <w:pPr>
              <w:pStyle w:val="TableParagraph"/>
              <w:rPr>
                <w:rFonts w:ascii="Times New Roman"/>
                <w:sz w:val="16"/>
              </w:rPr>
            </w:pPr>
          </w:p>
        </w:tc>
        <w:tc>
          <w:tcPr>
            <w:tcW w:w="1176" w:type="dxa"/>
          </w:tcPr>
          <w:p w14:paraId="498E76E1" w14:textId="77777777" w:rsidR="00084F36" w:rsidRPr="00EB2BD8" w:rsidRDefault="00084F36">
            <w:pPr>
              <w:pStyle w:val="TableParagraph"/>
              <w:rPr>
                <w:rFonts w:ascii="Times New Roman"/>
                <w:sz w:val="16"/>
              </w:rPr>
            </w:pPr>
          </w:p>
        </w:tc>
      </w:tr>
      <w:tr w:rsidR="00EB2BD8" w:rsidRPr="00EB2BD8" w14:paraId="79460E3A" w14:textId="77777777">
        <w:trPr>
          <w:trHeight w:val="229"/>
        </w:trPr>
        <w:tc>
          <w:tcPr>
            <w:tcW w:w="1716" w:type="dxa"/>
          </w:tcPr>
          <w:p w14:paraId="5ADD25D6" w14:textId="77777777" w:rsidR="00084F36" w:rsidRPr="00EB2BD8" w:rsidRDefault="00084F36">
            <w:pPr>
              <w:pStyle w:val="TableParagraph"/>
              <w:rPr>
                <w:rFonts w:ascii="Times New Roman"/>
                <w:sz w:val="16"/>
              </w:rPr>
            </w:pPr>
          </w:p>
        </w:tc>
        <w:tc>
          <w:tcPr>
            <w:tcW w:w="1454" w:type="dxa"/>
          </w:tcPr>
          <w:p w14:paraId="7101607A" w14:textId="77777777" w:rsidR="00084F36" w:rsidRPr="00EB2BD8" w:rsidRDefault="00084F36">
            <w:pPr>
              <w:pStyle w:val="TableParagraph"/>
              <w:rPr>
                <w:rFonts w:ascii="Times New Roman"/>
                <w:sz w:val="16"/>
              </w:rPr>
            </w:pPr>
          </w:p>
        </w:tc>
        <w:tc>
          <w:tcPr>
            <w:tcW w:w="2494" w:type="dxa"/>
          </w:tcPr>
          <w:p w14:paraId="5CDF0B13" w14:textId="77777777" w:rsidR="00084F36" w:rsidRPr="00EB2BD8" w:rsidRDefault="00EB2BD8">
            <w:pPr>
              <w:pStyle w:val="TableParagraph"/>
              <w:spacing w:before="19"/>
              <w:ind w:left="333"/>
              <w:rPr>
                <w:sz w:val="16"/>
              </w:rPr>
            </w:pPr>
            <w:r w:rsidRPr="00EB2BD8">
              <w:rPr>
                <w:sz w:val="16"/>
              </w:rPr>
              <w:t xml:space="preserve">competent manner </w:t>
            </w:r>
            <w:r w:rsidRPr="00EB2BD8">
              <w:rPr>
                <w:spacing w:val="-5"/>
                <w:sz w:val="16"/>
              </w:rPr>
              <w:t>and</w:t>
            </w:r>
          </w:p>
        </w:tc>
        <w:tc>
          <w:tcPr>
            <w:tcW w:w="2286" w:type="dxa"/>
          </w:tcPr>
          <w:p w14:paraId="73B8C153" w14:textId="77777777" w:rsidR="00084F36" w:rsidRPr="00EB2BD8" w:rsidRDefault="00084F36">
            <w:pPr>
              <w:pStyle w:val="TableParagraph"/>
              <w:rPr>
                <w:rFonts w:ascii="Times New Roman"/>
                <w:sz w:val="16"/>
              </w:rPr>
            </w:pPr>
          </w:p>
        </w:tc>
        <w:tc>
          <w:tcPr>
            <w:tcW w:w="1078" w:type="dxa"/>
          </w:tcPr>
          <w:p w14:paraId="11DD7CCC" w14:textId="77777777" w:rsidR="00084F36" w:rsidRPr="00EB2BD8" w:rsidRDefault="00084F36">
            <w:pPr>
              <w:pStyle w:val="TableParagraph"/>
              <w:rPr>
                <w:rFonts w:ascii="Times New Roman"/>
                <w:sz w:val="16"/>
              </w:rPr>
            </w:pPr>
          </w:p>
        </w:tc>
        <w:tc>
          <w:tcPr>
            <w:tcW w:w="1176" w:type="dxa"/>
          </w:tcPr>
          <w:p w14:paraId="79096A75" w14:textId="77777777" w:rsidR="00084F36" w:rsidRPr="00EB2BD8" w:rsidRDefault="00084F36">
            <w:pPr>
              <w:pStyle w:val="TableParagraph"/>
              <w:rPr>
                <w:rFonts w:ascii="Times New Roman"/>
                <w:sz w:val="16"/>
              </w:rPr>
            </w:pPr>
          </w:p>
        </w:tc>
      </w:tr>
      <w:tr w:rsidR="00EB2BD8" w:rsidRPr="00EB2BD8" w14:paraId="47ED6BDB" w14:textId="77777777">
        <w:trPr>
          <w:trHeight w:val="229"/>
        </w:trPr>
        <w:tc>
          <w:tcPr>
            <w:tcW w:w="1716" w:type="dxa"/>
          </w:tcPr>
          <w:p w14:paraId="0F9CAD80" w14:textId="77777777" w:rsidR="00084F36" w:rsidRPr="00EB2BD8" w:rsidRDefault="00084F36">
            <w:pPr>
              <w:pStyle w:val="TableParagraph"/>
              <w:rPr>
                <w:rFonts w:ascii="Times New Roman"/>
                <w:sz w:val="16"/>
              </w:rPr>
            </w:pPr>
          </w:p>
        </w:tc>
        <w:tc>
          <w:tcPr>
            <w:tcW w:w="1454" w:type="dxa"/>
          </w:tcPr>
          <w:p w14:paraId="08B8C6AB" w14:textId="77777777" w:rsidR="00084F36" w:rsidRPr="00EB2BD8" w:rsidRDefault="00084F36">
            <w:pPr>
              <w:pStyle w:val="TableParagraph"/>
              <w:rPr>
                <w:rFonts w:ascii="Times New Roman"/>
                <w:sz w:val="16"/>
              </w:rPr>
            </w:pPr>
          </w:p>
        </w:tc>
        <w:tc>
          <w:tcPr>
            <w:tcW w:w="2494" w:type="dxa"/>
          </w:tcPr>
          <w:p w14:paraId="33AA4652" w14:textId="77777777" w:rsidR="00084F36" w:rsidRPr="00EB2BD8" w:rsidRDefault="00EB2BD8">
            <w:pPr>
              <w:pStyle w:val="TableParagraph"/>
              <w:spacing w:before="19"/>
              <w:ind w:left="333"/>
              <w:rPr>
                <w:sz w:val="16"/>
              </w:rPr>
            </w:pPr>
            <w:r w:rsidRPr="00EB2BD8">
              <w:rPr>
                <w:spacing w:val="-2"/>
                <w:sz w:val="16"/>
              </w:rPr>
              <w:t>to</w:t>
            </w:r>
            <w:r w:rsidRPr="00EB2BD8">
              <w:rPr>
                <w:spacing w:val="-6"/>
                <w:sz w:val="16"/>
              </w:rPr>
              <w:t xml:space="preserve"> </w:t>
            </w:r>
            <w:r w:rsidRPr="00EB2BD8">
              <w:rPr>
                <w:spacing w:val="-2"/>
                <w:sz w:val="16"/>
              </w:rPr>
              <w:t>a</w:t>
            </w:r>
            <w:r w:rsidRPr="00EB2BD8">
              <w:rPr>
                <w:spacing w:val="-5"/>
                <w:sz w:val="16"/>
              </w:rPr>
              <w:t xml:space="preserve"> </w:t>
            </w:r>
            <w:r w:rsidRPr="00EB2BD8">
              <w:rPr>
                <w:spacing w:val="-2"/>
                <w:sz w:val="16"/>
              </w:rPr>
              <w:t>professional</w:t>
            </w:r>
            <w:r w:rsidRPr="00EB2BD8">
              <w:rPr>
                <w:spacing w:val="-5"/>
                <w:sz w:val="16"/>
              </w:rPr>
              <w:t xml:space="preserve"> </w:t>
            </w:r>
            <w:r w:rsidRPr="00EB2BD8">
              <w:rPr>
                <w:spacing w:val="-2"/>
                <w:sz w:val="16"/>
              </w:rPr>
              <w:t>standard</w:t>
            </w:r>
          </w:p>
        </w:tc>
        <w:tc>
          <w:tcPr>
            <w:tcW w:w="2286" w:type="dxa"/>
          </w:tcPr>
          <w:p w14:paraId="2658741C" w14:textId="77777777" w:rsidR="00084F36" w:rsidRPr="00EB2BD8" w:rsidRDefault="00084F36">
            <w:pPr>
              <w:pStyle w:val="TableParagraph"/>
              <w:rPr>
                <w:rFonts w:ascii="Times New Roman"/>
                <w:sz w:val="16"/>
              </w:rPr>
            </w:pPr>
          </w:p>
        </w:tc>
        <w:tc>
          <w:tcPr>
            <w:tcW w:w="1078" w:type="dxa"/>
          </w:tcPr>
          <w:p w14:paraId="2A6B121E" w14:textId="77777777" w:rsidR="00084F36" w:rsidRPr="00EB2BD8" w:rsidRDefault="00084F36">
            <w:pPr>
              <w:pStyle w:val="TableParagraph"/>
              <w:rPr>
                <w:rFonts w:ascii="Times New Roman"/>
                <w:sz w:val="16"/>
              </w:rPr>
            </w:pPr>
          </w:p>
        </w:tc>
        <w:tc>
          <w:tcPr>
            <w:tcW w:w="1176" w:type="dxa"/>
          </w:tcPr>
          <w:p w14:paraId="68A2C85C" w14:textId="77777777" w:rsidR="00084F36" w:rsidRPr="00EB2BD8" w:rsidRDefault="00084F36">
            <w:pPr>
              <w:pStyle w:val="TableParagraph"/>
              <w:rPr>
                <w:rFonts w:ascii="Times New Roman"/>
                <w:sz w:val="16"/>
              </w:rPr>
            </w:pPr>
          </w:p>
        </w:tc>
      </w:tr>
      <w:tr w:rsidR="00EB2BD8" w:rsidRPr="00EB2BD8" w14:paraId="62C3DC73" w14:textId="77777777">
        <w:trPr>
          <w:trHeight w:val="229"/>
        </w:trPr>
        <w:tc>
          <w:tcPr>
            <w:tcW w:w="1716" w:type="dxa"/>
          </w:tcPr>
          <w:p w14:paraId="7A4F82C0" w14:textId="77777777" w:rsidR="00084F36" w:rsidRPr="00EB2BD8" w:rsidRDefault="00084F36">
            <w:pPr>
              <w:pStyle w:val="TableParagraph"/>
              <w:rPr>
                <w:rFonts w:ascii="Times New Roman"/>
                <w:sz w:val="16"/>
              </w:rPr>
            </w:pPr>
          </w:p>
        </w:tc>
        <w:tc>
          <w:tcPr>
            <w:tcW w:w="1454" w:type="dxa"/>
          </w:tcPr>
          <w:p w14:paraId="575809EB" w14:textId="77777777" w:rsidR="00084F36" w:rsidRPr="00EB2BD8" w:rsidRDefault="00084F36">
            <w:pPr>
              <w:pStyle w:val="TableParagraph"/>
              <w:rPr>
                <w:rFonts w:ascii="Times New Roman"/>
                <w:sz w:val="16"/>
              </w:rPr>
            </w:pPr>
          </w:p>
        </w:tc>
        <w:tc>
          <w:tcPr>
            <w:tcW w:w="2494" w:type="dxa"/>
          </w:tcPr>
          <w:p w14:paraId="6781541C" w14:textId="77777777" w:rsidR="00084F36" w:rsidRPr="00EB2BD8" w:rsidRDefault="00EB2BD8">
            <w:pPr>
              <w:pStyle w:val="TableParagraph"/>
              <w:spacing w:before="19"/>
              <w:ind w:left="333"/>
              <w:rPr>
                <w:sz w:val="16"/>
              </w:rPr>
            </w:pPr>
            <w:r w:rsidRPr="00EB2BD8">
              <w:rPr>
                <w:sz w:val="16"/>
              </w:rPr>
              <w:t>at</w:t>
            </w:r>
            <w:r w:rsidRPr="00EB2BD8">
              <w:rPr>
                <w:spacing w:val="-7"/>
                <w:sz w:val="16"/>
              </w:rPr>
              <w:t xml:space="preserve"> </w:t>
            </w:r>
            <w:r w:rsidRPr="00EB2BD8">
              <w:rPr>
                <w:sz w:val="16"/>
              </w:rPr>
              <w:t>Tarneit—</w:t>
            </w:r>
            <w:r w:rsidRPr="00EB2BD8">
              <w:rPr>
                <w:spacing w:val="-2"/>
                <w:sz w:val="16"/>
              </w:rPr>
              <w:t>combustible</w:t>
            </w:r>
          </w:p>
        </w:tc>
        <w:tc>
          <w:tcPr>
            <w:tcW w:w="2286" w:type="dxa"/>
          </w:tcPr>
          <w:p w14:paraId="6784AAE8" w14:textId="77777777" w:rsidR="00084F36" w:rsidRPr="00EB2BD8" w:rsidRDefault="00084F36">
            <w:pPr>
              <w:pStyle w:val="TableParagraph"/>
              <w:rPr>
                <w:rFonts w:ascii="Times New Roman"/>
                <w:sz w:val="16"/>
              </w:rPr>
            </w:pPr>
          </w:p>
        </w:tc>
        <w:tc>
          <w:tcPr>
            <w:tcW w:w="1078" w:type="dxa"/>
          </w:tcPr>
          <w:p w14:paraId="679D8655" w14:textId="77777777" w:rsidR="00084F36" w:rsidRPr="00EB2BD8" w:rsidRDefault="00084F36">
            <w:pPr>
              <w:pStyle w:val="TableParagraph"/>
              <w:rPr>
                <w:rFonts w:ascii="Times New Roman"/>
                <w:sz w:val="16"/>
              </w:rPr>
            </w:pPr>
          </w:p>
        </w:tc>
        <w:tc>
          <w:tcPr>
            <w:tcW w:w="1176" w:type="dxa"/>
          </w:tcPr>
          <w:p w14:paraId="213754FB" w14:textId="77777777" w:rsidR="00084F36" w:rsidRPr="00EB2BD8" w:rsidRDefault="00084F36">
            <w:pPr>
              <w:pStyle w:val="TableParagraph"/>
              <w:rPr>
                <w:rFonts w:ascii="Times New Roman"/>
                <w:sz w:val="16"/>
              </w:rPr>
            </w:pPr>
          </w:p>
        </w:tc>
      </w:tr>
      <w:tr w:rsidR="00EB2BD8" w:rsidRPr="00EB2BD8" w14:paraId="4684C617" w14:textId="77777777">
        <w:trPr>
          <w:trHeight w:val="229"/>
        </w:trPr>
        <w:tc>
          <w:tcPr>
            <w:tcW w:w="1716" w:type="dxa"/>
          </w:tcPr>
          <w:p w14:paraId="0EED1B9F" w14:textId="77777777" w:rsidR="00084F36" w:rsidRPr="00EB2BD8" w:rsidRDefault="00084F36">
            <w:pPr>
              <w:pStyle w:val="TableParagraph"/>
              <w:rPr>
                <w:rFonts w:ascii="Times New Roman"/>
                <w:sz w:val="16"/>
              </w:rPr>
            </w:pPr>
          </w:p>
        </w:tc>
        <w:tc>
          <w:tcPr>
            <w:tcW w:w="1454" w:type="dxa"/>
          </w:tcPr>
          <w:p w14:paraId="39494F32" w14:textId="77777777" w:rsidR="00084F36" w:rsidRPr="00EB2BD8" w:rsidRDefault="00084F36">
            <w:pPr>
              <w:pStyle w:val="TableParagraph"/>
              <w:rPr>
                <w:rFonts w:ascii="Times New Roman"/>
                <w:sz w:val="16"/>
              </w:rPr>
            </w:pPr>
          </w:p>
        </w:tc>
        <w:tc>
          <w:tcPr>
            <w:tcW w:w="2494" w:type="dxa"/>
          </w:tcPr>
          <w:p w14:paraId="4C6FFFFD" w14:textId="77777777" w:rsidR="00084F36" w:rsidRPr="00EB2BD8" w:rsidRDefault="00EB2BD8">
            <w:pPr>
              <w:pStyle w:val="TableParagraph"/>
              <w:spacing w:before="19"/>
              <w:ind w:left="333"/>
              <w:rPr>
                <w:sz w:val="16"/>
              </w:rPr>
            </w:pPr>
            <w:r w:rsidRPr="00EB2BD8">
              <w:rPr>
                <w:sz w:val="16"/>
              </w:rPr>
              <w:t>cladding—in</w:t>
            </w:r>
            <w:r w:rsidRPr="00EB2BD8">
              <w:rPr>
                <w:spacing w:val="-8"/>
                <w:sz w:val="16"/>
              </w:rPr>
              <w:t xml:space="preserve"> </w:t>
            </w:r>
            <w:r w:rsidRPr="00EB2BD8">
              <w:rPr>
                <w:sz w:val="16"/>
              </w:rPr>
              <w:t>respect</w:t>
            </w:r>
            <w:r w:rsidRPr="00EB2BD8">
              <w:rPr>
                <w:spacing w:val="-8"/>
                <w:sz w:val="16"/>
              </w:rPr>
              <w:t xml:space="preserve"> </w:t>
            </w:r>
            <w:r w:rsidRPr="00EB2BD8">
              <w:rPr>
                <w:sz w:val="16"/>
              </w:rPr>
              <w:t>of</w:t>
            </w:r>
            <w:r w:rsidRPr="00EB2BD8">
              <w:rPr>
                <w:spacing w:val="-7"/>
                <w:sz w:val="16"/>
              </w:rPr>
              <w:t xml:space="preserve"> </w:t>
            </w:r>
            <w:r w:rsidRPr="00EB2BD8">
              <w:rPr>
                <w:spacing w:val="-10"/>
                <w:sz w:val="16"/>
              </w:rPr>
              <w:t>a</w:t>
            </w:r>
          </w:p>
        </w:tc>
        <w:tc>
          <w:tcPr>
            <w:tcW w:w="2286" w:type="dxa"/>
          </w:tcPr>
          <w:p w14:paraId="7FBC6A0B" w14:textId="77777777" w:rsidR="00084F36" w:rsidRPr="00EB2BD8" w:rsidRDefault="00084F36">
            <w:pPr>
              <w:pStyle w:val="TableParagraph"/>
              <w:rPr>
                <w:rFonts w:ascii="Times New Roman"/>
                <w:sz w:val="16"/>
              </w:rPr>
            </w:pPr>
          </w:p>
        </w:tc>
        <w:tc>
          <w:tcPr>
            <w:tcW w:w="1078" w:type="dxa"/>
          </w:tcPr>
          <w:p w14:paraId="7A3D1FBA" w14:textId="77777777" w:rsidR="00084F36" w:rsidRPr="00EB2BD8" w:rsidRDefault="00084F36">
            <w:pPr>
              <w:pStyle w:val="TableParagraph"/>
              <w:rPr>
                <w:rFonts w:ascii="Times New Roman"/>
                <w:sz w:val="16"/>
              </w:rPr>
            </w:pPr>
          </w:p>
        </w:tc>
        <w:tc>
          <w:tcPr>
            <w:tcW w:w="1176" w:type="dxa"/>
          </w:tcPr>
          <w:p w14:paraId="15F72CF7" w14:textId="77777777" w:rsidR="00084F36" w:rsidRPr="00EB2BD8" w:rsidRDefault="00084F36">
            <w:pPr>
              <w:pStyle w:val="TableParagraph"/>
              <w:rPr>
                <w:rFonts w:ascii="Times New Roman"/>
                <w:sz w:val="16"/>
              </w:rPr>
            </w:pPr>
          </w:p>
        </w:tc>
      </w:tr>
      <w:tr w:rsidR="00EB2BD8" w:rsidRPr="00EB2BD8" w14:paraId="1AFB9BF3" w14:textId="77777777">
        <w:trPr>
          <w:trHeight w:val="288"/>
        </w:trPr>
        <w:tc>
          <w:tcPr>
            <w:tcW w:w="1716" w:type="dxa"/>
            <w:tcBorders>
              <w:bottom w:val="single" w:sz="2" w:space="0" w:color="000000"/>
            </w:tcBorders>
          </w:tcPr>
          <w:p w14:paraId="6EB02955" w14:textId="77777777" w:rsidR="00084F36" w:rsidRPr="00EB2BD8" w:rsidRDefault="00084F36">
            <w:pPr>
              <w:pStyle w:val="TableParagraph"/>
              <w:rPr>
                <w:rFonts w:ascii="Times New Roman"/>
                <w:sz w:val="16"/>
              </w:rPr>
            </w:pPr>
          </w:p>
        </w:tc>
        <w:tc>
          <w:tcPr>
            <w:tcW w:w="1454" w:type="dxa"/>
            <w:tcBorders>
              <w:bottom w:val="single" w:sz="2" w:space="0" w:color="000000"/>
            </w:tcBorders>
          </w:tcPr>
          <w:p w14:paraId="772E9EEE" w14:textId="77777777" w:rsidR="00084F36" w:rsidRPr="00EB2BD8" w:rsidRDefault="00084F36">
            <w:pPr>
              <w:pStyle w:val="TableParagraph"/>
              <w:rPr>
                <w:rFonts w:ascii="Times New Roman"/>
                <w:sz w:val="16"/>
              </w:rPr>
            </w:pPr>
          </w:p>
        </w:tc>
        <w:tc>
          <w:tcPr>
            <w:tcW w:w="2494" w:type="dxa"/>
            <w:tcBorders>
              <w:bottom w:val="single" w:sz="2" w:space="0" w:color="000000"/>
            </w:tcBorders>
          </w:tcPr>
          <w:p w14:paraId="529416CE" w14:textId="77777777" w:rsidR="00084F36" w:rsidRPr="00EB2BD8" w:rsidRDefault="00EB2BD8">
            <w:pPr>
              <w:pStyle w:val="TableParagraph"/>
              <w:spacing w:before="19"/>
              <w:ind w:left="333"/>
              <w:rPr>
                <w:sz w:val="16"/>
              </w:rPr>
            </w:pPr>
            <w:r w:rsidRPr="00EB2BD8">
              <w:rPr>
                <w:sz w:val="16"/>
              </w:rPr>
              <w:t>site</w:t>
            </w:r>
            <w:r w:rsidRPr="00EB2BD8">
              <w:rPr>
                <w:spacing w:val="-10"/>
                <w:sz w:val="16"/>
              </w:rPr>
              <w:t xml:space="preserve"> </w:t>
            </w:r>
            <w:r w:rsidRPr="00EB2BD8">
              <w:rPr>
                <w:sz w:val="16"/>
              </w:rPr>
              <w:t>at</w:t>
            </w:r>
            <w:r w:rsidRPr="00EB2BD8">
              <w:rPr>
                <w:spacing w:val="-9"/>
                <w:sz w:val="16"/>
              </w:rPr>
              <w:t xml:space="preserve"> </w:t>
            </w:r>
            <w:r w:rsidRPr="00EB2BD8">
              <w:rPr>
                <w:spacing w:val="-2"/>
                <w:sz w:val="16"/>
              </w:rPr>
              <w:t>Tarneit.</w:t>
            </w:r>
          </w:p>
        </w:tc>
        <w:tc>
          <w:tcPr>
            <w:tcW w:w="2286" w:type="dxa"/>
            <w:tcBorders>
              <w:bottom w:val="single" w:sz="2" w:space="0" w:color="000000"/>
            </w:tcBorders>
          </w:tcPr>
          <w:p w14:paraId="163BD0E7"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0FC9EF42"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50EC7970" w14:textId="77777777" w:rsidR="00084F36" w:rsidRPr="00EB2BD8" w:rsidRDefault="00084F36">
            <w:pPr>
              <w:pStyle w:val="TableParagraph"/>
              <w:rPr>
                <w:rFonts w:ascii="Times New Roman"/>
                <w:sz w:val="16"/>
              </w:rPr>
            </w:pPr>
          </w:p>
        </w:tc>
      </w:tr>
    </w:tbl>
    <w:p w14:paraId="419A8016" w14:textId="77777777" w:rsidR="00084F36" w:rsidRPr="00EB2BD8" w:rsidRDefault="00084F36">
      <w:pPr>
        <w:rPr>
          <w:rFonts w:ascii="Times New Roman"/>
          <w:sz w:val="16"/>
        </w:rPr>
        <w:sectPr w:rsidR="00084F36" w:rsidRPr="00EB2BD8" w:rsidSect="006D75B2">
          <w:headerReference w:type="even" r:id="rId417"/>
          <w:headerReference w:type="default" r:id="rId418"/>
          <w:footerReference w:type="even" r:id="rId419"/>
          <w:footerReference w:type="default" r:id="rId420"/>
          <w:pgSz w:w="11910" w:h="16840"/>
          <w:pgMar w:top="1080" w:right="0" w:bottom="720" w:left="0" w:header="0" w:footer="528" w:gutter="0"/>
          <w:pgNumType w:start="165"/>
          <w:cols w:space="720"/>
        </w:sectPr>
      </w:pPr>
    </w:p>
    <w:p w14:paraId="5F30986B" w14:textId="77777777" w:rsidR="00084F36" w:rsidRPr="00EB2BD8" w:rsidRDefault="00084F36">
      <w:pPr>
        <w:pStyle w:val="BodyText"/>
        <w:rPr>
          <w:i/>
          <w:sz w:val="20"/>
        </w:rPr>
      </w:pPr>
    </w:p>
    <w:p w14:paraId="66542533" w14:textId="77777777" w:rsidR="00084F36" w:rsidRPr="00EB2BD8" w:rsidRDefault="00084F36">
      <w:pPr>
        <w:pStyle w:val="BodyText"/>
        <w:rPr>
          <w:i/>
          <w:sz w:val="20"/>
        </w:rPr>
      </w:pPr>
    </w:p>
    <w:p w14:paraId="4523F7AF" w14:textId="77777777" w:rsidR="00084F36" w:rsidRPr="00EB2BD8" w:rsidRDefault="00084F36">
      <w:pPr>
        <w:pStyle w:val="BodyText"/>
        <w:rPr>
          <w:i/>
          <w:sz w:val="20"/>
        </w:rPr>
      </w:pPr>
    </w:p>
    <w:p w14:paraId="0FE1CC78" w14:textId="77777777" w:rsidR="00084F36" w:rsidRPr="00EB2BD8" w:rsidRDefault="00084F36">
      <w:pPr>
        <w:pStyle w:val="BodyText"/>
        <w:rPr>
          <w:i/>
          <w:sz w:val="20"/>
        </w:rPr>
      </w:pPr>
    </w:p>
    <w:p w14:paraId="646DCD8A" w14:textId="77777777" w:rsidR="00084F36" w:rsidRPr="00EB2BD8" w:rsidRDefault="00084F36">
      <w:pPr>
        <w:pStyle w:val="BodyText"/>
        <w:spacing w:before="6"/>
        <w:rPr>
          <w:i/>
          <w:sz w:val="23"/>
        </w:rPr>
      </w:pPr>
    </w:p>
    <w:tbl>
      <w:tblPr>
        <w:tblW w:w="0" w:type="auto"/>
        <w:tblInd w:w="857" w:type="dxa"/>
        <w:tblLayout w:type="fixed"/>
        <w:tblCellMar>
          <w:left w:w="0" w:type="dxa"/>
          <w:right w:w="0" w:type="dxa"/>
        </w:tblCellMar>
        <w:tblLook w:val="01E0" w:firstRow="1" w:lastRow="1" w:firstColumn="1" w:lastColumn="1" w:noHBand="0" w:noVBand="0"/>
      </w:tblPr>
      <w:tblGrid>
        <w:gridCol w:w="1705"/>
        <w:gridCol w:w="1464"/>
        <w:gridCol w:w="2489"/>
        <w:gridCol w:w="2249"/>
        <w:gridCol w:w="1119"/>
        <w:gridCol w:w="1177"/>
      </w:tblGrid>
      <w:tr w:rsidR="00EB2BD8" w:rsidRPr="00EB2BD8" w14:paraId="10A1AE59" w14:textId="77777777">
        <w:trPr>
          <w:trHeight w:val="614"/>
        </w:trPr>
        <w:tc>
          <w:tcPr>
            <w:tcW w:w="1705" w:type="dxa"/>
            <w:tcBorders>
              <w:bottom w:val="single" w:sz="2" w:space="0" w:color="000000"/>
            </w:tcBorders>
            <w:shd w:val="clear" w:color="auto" w:fill="005F83"/>
          </w:tcPr>
          <w:p w14:paraId="63731EF1" w14:textId="77777777" w:rsidR="00084F36" w:rsidRPr="00697E0C" w:rsidRDefault="00EB2BD8">
            <w:pPr>
              <w:pStyle w:val="TableParagraph"/>
              <w:spacing w:before="118"/>
              <w:ind w:left="113"/>
              <w:rPr>
                <w:color w:val="FFFFFF" w:themeColor="background1"/>
                <w:sz w:val="16"/>
              </w:rPr>
            </w:pPr>
            <w:r w:rsidRPr="00697E0C">
              <w:rPr>
                <w:color w:val="FFFFFF" w:themeColor="background1"/>
                <w:w w:val="105"/>
                <w:sz w:val="16"/>
              </w:rPr>
              <w:t>Practitioner</w:t>
            </w:r>
            <w:r w:rsidRPr="00697E0C">
              <w:rPr>
                <w:color w:val="FFFFFF" w:themeColor="background1"/>
                <w:spacing w:val="-14"/>
                <w:w w:val="105"/>
                <w:sz w:val="16"/>
              </w:rPr>
              <w:t xml:space="preserve"> </w:t>
            </w:r>
            <w:r w:rsidRPr="00697E0C">
              <w:rPr>
                <w:color w:val="FFFFFF" w:themeColor="background1"/>
                <w:spacing w:val="-4"/>
                <w:w w:val="105"/>
                <w:sz w:val="16"/>
              </w:rPr>
              <w:t>name</w:t>
            </w:r>
          </w:p>
        </w:tc>
        <w:tc>
          <w:tcPr>
            <w:tcW w:w="1464" w:type="dxa"/>
            <w:tcBorders>
              <w:bottom w:val="single" w:sz="2" w:space="0" w:color="000000"/>
            </w:tcBorders>
            <w:shd w:val="clear" w:color="auto" w:fill="005F83"/>
          </w:tcPr>
          <w:p w14:paraId="5276EE66" w14:textId="77777777" w:rsidR="00084F36" w:rsidRPr="00697E0C" w:rsidRDefault="00EB2BD8">
            <w:pPr>
              <w:pStyle w:val="TableParagraph"/>
              <w:spacing w:before="118" w:line="292" w:lineRule="auto"/>
              <w:ind w:left="165"/>
              <w:rPr>
                <w:color w:val="FFFFFF" w:themeColor="background1"/>
                <w:sz w:val="16"/>
              </w:rPr>
            </w:pPr>
            <w:r w:rsidRPr="00697E0C">
              <w:rPr>
                <w:color w:val="FFFFFF" w:themeColor="background1"/>
                <w:spacing w:val="-2"/>
                <w:sz w:val="16"/>
              </w:rPr>
              <w:t xml:space="preserve">Registration </w:t>
            </w:r>
            <w:r w:rsidRPr="00697E0C">
              <w:rPr>
                <w:color w:val="FFFFFF" w:themeColor="background1"/>
                <w:spacing w:val="-2"/>
                <w:w w:val="105"/>
                <w:sz w:val="16"/>
              </w:rPr>
              <w:t>Number</w:t>
            </w:r>
          </w:p>
        </w:tc>
        <w:tc>
          <w:tcPr>
            <w:tcW w:w="2489" w:type="dxa"/>
            <w:tcBorders>
              <w:bottom w:val="single" w:sz="2" w:space="0" w:color="000000"/>
            </w:tcBorders>
            <w:shd w:val="clear" w:color="auto" w:fill="005F83"/>
          </w:tcPr>
          <w:p w14:paraId="37A499A5" w14:textId="77777777" w:rsidR="00084F36" w:rsidRPr="00697E0C" w:rsidRDefault="00EB2BD8">
            <w:pPr>
              <w:pStyle w:val="TableParagraph"/>
              <w:spacing w:before="118"/>
              <w:ind w:left="334"/>
              <w:rPr>
                <w:color w:val="FFFFFF" w:themeColor="background1"/>
                <w:sz w:val="16"/>
              </w:rPr>
            </w:pPr>
            <w:r w:rsidRPr="00697E0C">
              <w:rPr>
                <w:color w:val="FFFFFF" w:themeColor="background1"/>
                <w:spacing w:val="-2"/>
                <w:w w:val="105"/>
                <w:sz w:val="16"/>
              </w:rPr>
              <w:t>Conduct</w:t>
            </w:r>
          </w:p>
        </w:tc>
        <w:tc>
          <w:tcPr>
            <w:tcW w:w="2249" w:type="dxa"/>
            <w:tcBorders>
              <w:bottom w:val="single" w:sz="2" w:space="0" w:color="000000"/>
            </w:tcBorders>
            <w:shd w:val="clear" w:color="auto" w:fill="005F83"/>
          </w:tcPr>
          <w:p w14:paraId="40A71992" w14:textId="77777777" w:rsidR="00084F36" w:rsidRPr="00697E0C" w:rsidRDefault="00EB2BD8">
            <w:pPr>
              <w:pStyle w:val="TableParagraph"/>
              <w:spacing w:before="118"/>
              <w:ind w:left="124"/>
              <w:rPr>
                <w:color w:val="FFFFFF" w:themeColor="background1"/>
                <w:sz w:val="16"/>
              </w:rPr>
            </w:pPr>
            <w:r w:rsidRPr="00697E0C">
              <w:rPr>
                <w:color w:val="FFFFFF" w:themeColor="background1"/>
                <w:spacing w:val="-2"/>
                <w:sz w:val="16"/>
              </w:rPr>
              <w:t>Result</w:t>
            </w:r>
          </w:p>
        </w:tc>
        <w:tc>
          <w:tcPr>
            <w:tcW w:w="1119" w:type="dxa"/>
            <w:tcBorders>
              <w:bottom w:val="single" w:sz="2" w:space="0" w:color="000000"/>
            </w:tcBorders>
            <w:shd w:val="clear" w:color="auto" w:fill="005F83"/>
          </w:tcPr>
          <w:p w14:paraId="658CCC94" w14:textId="77777777" w:rsidR="00084F36" w:rsidRPr="00697E0C" w:rsidRDefault="00EB2BD8">
            <w:pPr>
              <w:pStyle w:val="TableParagraph"/>
              <w:spacing w:before="118" w:line="292" w:lineRule="auto"/>
              <w:ind w:left="154" w:right="91"/>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35</w:t>
            </w:r>
          </w:p>
        </w:tc>
        <w:tc>
          <w:tcPr>
            <w:tcW w:w="1177" w:type="dxa"/>
            <w:tcBorders>
              <w:bottom w:val="single" w:sz="2" w:space="0" w:color="000000"/>
            </w:tcBorders>
            <w:shd w:val="clear" w:color="auto" w:fill="005F83"/>
          </w:tcPr>
          <w:p w14:paraId="65914219" w14:textId="77777777" w:rsidR="00084F36" w:rsidRPr="00697E0C" w:rsidRDefault="00EB2BD8">
            <w:pPr>
              <w:pStyle w:val="TableParagraph"/>
              <w:spacing w:before="118"/>
              <w:ind w:left="112"/>
              <w:rPr>
                <w:color w:val="FFFFFF" w:themeColor="background1"/>
                <w:sz w:val="9"/>
              </w:rPr>
            </w:pPr>
            <w:r w:rsidRPr="00697E0C">
              <w:rPr>
                <w:color w:val="FFFFFF" w:themeColor="background1"/>
                <w:spacing w:val="-2"/>
                <w:w w:val="105"/>
                <w:sz w:val="16"/>
              </w:rPr>
              <w:t>Date</w:t>
            </w:r>
            <w:r w:rsidRPr="00697E0C">
              <w:rPr>
                <w:color w:val="FFFFFF" w:themeColor="background1"/>
                <w:spacing w:val="-2"/>
                <w:w w:val="105"/>
                <w:position w:val="5"/>
                <w:sz w:val="9"/>
              </w:rPr>
              <w:t>36</w:t>
            </w:r>
          </w:p>
        </w:tc>
      </w:tr>
      <w:tr w:rsidR="00EB2BD8" w:rsidRPr="00EB2BD8" w14:paraId="25F1489F" w14:textId="77777777">
        <w:trPr>
          <w:trHeight w:val="326"/>
        </w:trPr>
        <w:tc>
          <w:tcPr>
            <w:tcW w:w="1705" w:type="dxa"/>
            <w:tcBorders>
              <w:top w:val="single" w:sz="2" w:space="0" w:color="000000"/>
            </w:tcBorders>
          </w:tcPr>
          <w:p w14:paraId="25AA4A13" w14:textId="77777777" w:rsidR="00084F36" w:rsidRPr="00EB2BD8" w:rsidRDefault="00EB2BD8">
            <w:pPr>
              <w:pStyle w:val="TableParagraph"/>
              <w:spacing w:before="116"/>
              <w:ind w:left="113"/>
              <w:rPr>
                <w:sz w:val="16"/>
              </w:rPr>
            </w:pPr>
            <w:r w:rsidRPr="00EB2BD8">
              <w:rPr>
                <w:spacing w:val="-2"/>
                <w:sz w:val="16"/>
              </w:rPr>
              <w:t>YOUNG,</w:t>
            </w:r>
            <w:r w:rsidRPr="00EB2BD8">
              <w:rPr>
                <w:spacing w:val="-12"/>
                <w:sz w:val="16"/>
              </w:rPr>
              <w:t xml:space="preserve"> </w:t>
            </w:r>
            <w:r w:rsidRPr="00EB2BD8">
              <w:rPr>
                <w:spacing w:val="-2"/>
                <w:sz w:val="16"/>
              </w:rPr>
              <w:t>Matthew</w:t>
            </w:r>
          </w:p>
        </w:tc>
        <w:tc>
          <w:tcPr>
            <w:tcW w:w="1464" w:type="dxa"/>
            <w:tcBorders>
              <w:top w:val="single" w:sz="2" w:space="0" w:color="000000"/>
            </w:tcBorders>
          </w:tcPr>
          <w:p w14:paraId="10E88828" w14:textId="77777777" w:rsidR="00084F36" w:rsidRPr="00EB2BD8" w:rsidRDefault="00EB2BD8">
            <w:pPr>
              <w:pStyle w:val="TableParagraph"/>
              <w:spacing w:before="116"/>
              <w:ind w:left="165"/>
              <w:rPr>
                <w:sz w:val="16"/>
              </w:rPr>
            </w:pPr>
            <w:r w:rsidRPr="00EB2BD8">
              <w:rPr>
                <w:w w:val="105"/>
                <w:sz w:val="16"/>
              </w:rPr>
              <w:t>DB-U</w:t>
            </w:r>
            <w:r w:rsidRPr="00EB2BD8">
              <w:rPr>
                <w:spacing w:val="1"/>
                <w:w w:val="105"/>
                <w:sz w:val="16"/>
              </w:rPr>
              <w:t xml:space="preserve"> </w:t>
            </w:r>
            <w:r w:rsidRPr="00EB2BD8">
              <w:rPr>
                <w:spacing w:val="-4"/>
                <w:w w:val="105"/>
                <w:sz w:val="16"/>
              </w:rPr>
              <w:t>3644</w:t>
            </w:r>
          </w:p>
        </w:tc>
        <w:tc>
          <w:tcPr>
            <w:tcW w:w="2489" w:type="dxa"/>
            <w:tcBorders>
              <w:top w:val="single" w:sz="2" w:space="0" w:color="000000"/>
            </w:tcBorders>
          </w:tcPr>
          <w:p w14:paraId="43BC246C" w14:textId="77777777" w:rsidR="00084F36" w:rsidRPr="00EB2BD8" w:rsidRDefault="00EB2BD8">
            <w:pPr>
              <w:pStyle w:val="TableParagraph"/>
              <w:spacing w:before="116"/>
              <w:ind w:left="334"/>
              <w:rPr>
                <w:sz w:val="16"/>
              </w:rPr>
            </w:pPr>
            <w:r w:rsidRPr="00EB2BD8">
              <w:rPr>
                <w:spacing w:val="-2"/>
                <w:sz w:val="16"/>
              </w:rPr>
              <w:t>Performing</w:t>
            </w:r>
            <w:r w:rsidRPr="00EB2BD8">
              <w:rPr>
                <w:spacing w:val="6"/>
                <w:sz w:val="16"/>
              </w:rPr>
              <w:t xml:space="preserve"> </w:t>
            </w:r>
            <w:r w:rsidRPr="00EB2BD8">
              <w:rPr>
                <w:spacing w:val="-2"/>
                <w:sz w:val="16"/>
              </w:rPr>
              <w:t>building</w:t>
            </w:r>
          </w:p>
        </w:tc>
        <w:tc>
          <w:tcPr>
            <w:tcW w:w="2249" w:type="dxa"/>
            <w:tcBorders>
              <w:top w:val="single" w:sz="2" w:space="0" w:color="000000"/>
            </w:tcBorders>
          </w:tcPr>
          <w:p w14:paraId="23CE1E6D" w14:textId="77777777" w:rsidR="00084F36" w:rsidRPr="00EB2BD8" w:rsidRDefault="00EB2BD8">
            <w:pPr>
              <w:pStyle w:val="TableParagraph"/>
              <w:spacing w:before="115"/>
              <w:ind w:left="124"/>
              <w:rPr>
                <w:sz w:val="16"/>
              </w:rPr>
            </w:pPr>
            <w:r w:rsidRPr="00EB2BD8">
              <w:rPr>
                <w:spacing w:val="-2"/>
                <w:sz w:val="16"/>
              </w:rPr>
              <w:t>Reprimands,</w:t>
            </w:r>
            <w:r w:rsidRPr="00EB2BD8">
              <w:rPr>
                <w:spacing w:val="-4"/>
                <w:sz w:val="16"/>
              </w:rPr>
              <w:t xml:space="preserve"> </w:t>
            </w:r>
            <w:r w:rsidRPr="00EB2BD8">
              <w:rPr>
                <w:spacing w:val="-2"/>
                <w:sz w:val="16"/>
              </w:rPr>
              <w:t>aggregate</w:t>
            </w:r>
          </w:p>
        </w:tc>
        <w:tc>
          <w:tcPr>
            <w:tcW w:w="1119" w:type="dxa"/>
            <w:tcBorders>
              <w:top w:val="single" w:sz="2" w:space="0" w:color="000000"/>
            </w:tcBorders>
          </w:tcPr>
          <w:p w14:paraId="3571F13F" w14:textId="77777777" w:rsidR="00084F36" w:rsidRPr="00EB2BD8" w:rsidRDefault="00EB2BD8">
            <w:pPr>
              <w:pStyle w:val="TableParagraph"/>
              <w:spacing w:before="115"/>
              <w:ind w:right="112"/>
              <w:jc w:val="right"/>
              <w:rPr>
                <w:sz w:val="16"/>
              </w:rPr>
            </w:pPr>
            <w:r w:rsidRPr="00EB2BD8">
              <w:rPr>
                <w:spacing w:val="-2"/>
                <w:sz w:val="16"/>
              </w:rPr>
              <w:t>$5,000</w:t>
            </w:r>
          </w:p>
        </w:tc>
        <w:tc>
          <w:tcPr>
            <w:tcW w:w="1177" w:type="dxa"/>
            <w:tcBorders>
              <w:top w:val="single" w:sz="2" w:space="0" w:color="000000"/>
            </w:tcBorders>
          </w:tcPr>
          <w:p w14:paraId="6F40D9D2" w14:textId="77777777" w:rsidR="00084F36" w:rsidRPr="00EB2BD8" w:rsidRDefault="00EB2BD8">
            <w:pPr>
              <w:pStyle w:val="TableParagraph"/>
              <w:spacing w:before="115"/>
              <w:ind w:left="112"/>
              <w:rPr>
                <w:sz w:val="16"/>
              </w:rPr>
            </w:pPr>
            <w:r w:rsidRPr="00EB2BD8">
              <w:rPr>
                <w:spacing w:val="-2"/>
                <w:w w:val="95"/>
                <w:sz w:val="16"/>
              </w:rPr>
              <w:t>10/08/2022</w:t>
            </w:r>
          </w:p>
        </w:tc>
      </w:tr>
      <w:tr w:rsidR="00EB2BD8" w:rsidRPr="00EB2BD8" w14:paraId="41D4030D" w14:textId="77777777">
        <w:trPr>
          <w:trHeight w:val="229"/>
        </w:trPr>
        <w:tc>
          <w:tcPr>
            <w:tcW w:w="1705" w:type="dxa"/>
          </w:tcPr>
          <w:p w14:paraId="347BD501" w14:textId="77777777" w:rsidR="00084F36" w:rsidRPr="00EB2BD8" w:rsidRDefault="00084F36">
            <w:pPr>
              <w:pStyle w:val="TableParagraph"/>
              <w:rPr>
                <w:rFonts w:ascii="Times New Roman"/>
                <w:sz w:val="16"/>
              </w:rPr>
            </w:pPr>
          </w:p>
        </w:tc>
        <w:tc>
          <w:tcPr>
            <w:tcW w:w="1464" w:type="dxa"/>
          </w:tcPr>
          <w:p w14:paraId="0DA747A8" w14:textId="77777777" w:rsidR="00084F36" w:rsidRPr="00EB2BD8" w:rsidRDefault="00084F36">
            <w:pPr>
              <w:pStyle w:val="TableParagraph"/>
              <w:rPr>
                <w:rFonts w:ascii="Times New Roman"/>
                <w:sz w:val="16"/>
              </w:rPr>
            </w:pPr>
          </w:p>
        </w:tc>
        <w:tc>
          <w:tcPr>
            <w:tcW w:w="2489" w:type="dxa"/>
          </w:tcPr>
          <w:p w14:paraId="6574A5A9" w14:textId="77777777" w:rsidR="00084F36" w:rsidRPr="00EB2BD8" w:rsidRDefault="00EB2BD8">
            <w:pPr>
              <w:pStyle w:val="TableParagraph"/>
              <w:spacing w:before="20"/>
              <w:ind w:left="334"/>
              <w:rPr>
                <w:sz w:val="16"/>
              </w:rPr>
            </w:pPr>
            <w:r w:rsidRPr="00EB2BD8">
              <w:rPr>
                <w:spacing w:val="-2"/>
                <w:sz w:val="16"/>
              </w:rPr>
              <w:t>work</w:t>
            </w:r>
            <w:r w:rsidRPr="00EB2BD8">
              <w:rPr>
                <w:spacing w:val="-7"/>
                <w:sz w:val="16"/>
              </w:rPr>
              <w:t xml:space="preserve"> </w:t>
            </w:r>
            <w:r w:rsidRPr="00EB2BD8">
              <w:rPr>
                <w:spacing w:val="-2"/>
                <w:sz w:val="16"/>
              </w:rPr>
              <w:t>other</w:t>
            </w:r>
            <w:r w:rsidRPr="00EB2BD8">
              <w:rPr>
                <w:spacing w:val="-7"/>
                <w:sz w:val="16"/>
              </w:rPr>
              <w:t xml:space="preserve"> </w:t>
            </w:r>
            <w:r w:rsidRPr="00EB2BD8">
              <w:rPr>
                <w:spacing w:val="-2"/>
                <w:sz w:val="16"/>
              </w:rPr>
              <w:t>than</w:t>
            </w:r>
            <w:r w:rsidRPr="00EB2BD8">
              <w:rPr>
                <w:spacing w:val="-6"/>
                <w:sz w:val="16"/>
              </w:rPr>
              <w:t xml:space="preserve"> </w:t>
            </w:r>
            <w:r w:rsidRPr="00EB2BD8">
              <w:rPr>
                <w:spacing w:val="-2"/>
                <w:sz w:val="16"/>
              </w:rPr>
              <w:t>in</w:t>
            </w:r>
            <w:r w:rsidRPr="00EB2BD8">
              <w:rPr>
                <w:spacing w:val="-7"/>
                <w:sz w:val="16"/>
              </w:rPr>
              <w:t xml:space="preserve"> </w:t>
            </w:r>
            <w:r w:rsidRPr="00EB2BD8">
              <w:rPr>
                <w:spacing w:val="-10"/>
                <w:sz w:val="16"/>
              </w:rPr>
              <w:t>a</w:t>
            </w:r>
          </w:p>
        </w:tc>
        <w:tc>
          <w:tcPr>
            <w:tcW w:w="2249" w:type="dxa"/>
          </w:tcPr>
          <w:p w14:paraId="470435FC" w14:textId="77777777" w:rsidR="00084F36" w:rsidRPr="00EB2BD8" w:rsidRDefault="00EB2BD8">
            <w:pPr>
              <w:pStyle w:val="TableParagraph"/>
              <w:spacing w:before="19"/>
              <w:ind w:left="124"/>
              <w:rPr>
                <w:sz w:val="16"/>
              </w:rPr>
            </w:pPr>
            <w:r w:rsidRPr="00EB2BD8">
              <w:rPr>
                <w:spacing w:val="-2"/>
                <w:sz w:val="16"/>
              </w:rPr>
              <w:t>penalties</w:t>
            </w:r>
            <w:r w:rsidRPr="00EB2BD8">
              <w:rPr>
                <w:spacing w:val="-8"/>
                <w:sz w:val="16"/>
              </w:rPr>
              <w:t xml:space="preserve"> </w:t>
            </w:r>
            <w:r w:rsidRPr="00EB2BD8">
              <w:rPr>
                <w:spacing w:val="-2"/>
                <w:sz w:val="16"/>
              </w:rPr>
              <w:t>of</w:t>
            </w:r>
            <w:r w:rsidRPr="00EB2BD8">
              <w:rPr>
                <w:spacing w:val="-7"/>
                <w:sz w:val="16"/>
              </w:rPr>
              <w:t xml:space="preserve"> </w:t>
            </w:r>
            <w:r w:rsidRPr="00EB2BD8">
              <w:rPr>
                <w:spacing w:val="-2"/>
                <w:sz w:val="16"/>
              </w:rPr>
              <w:t>$5,000</w:t>
            </w:r>
            <w:r w:rsidRPr="00EB2BD8">
              <w:rPr>
                <w:spacing w:val="-8"/>
                <w:sz w:val="16"/>
              </w:rPr>
              <w:t xml:space="preserve"> </w:t>
            </w:r>
            <w:r w:rsidRPr="00EB2BD8">
              <w:rPr>
                <w:spacing w:val="-2"/>
                <w:sz w:val="16"/>
              </w:rPr>
              <w:t>and</w:t>
            </w:r>
            <w:r w:rsidRPr="00EB2BD8">
              <w:rPr>
                <w:spacing w:val="-7"/>
                <w:sz w:val="16"/>
              </w:rPr>
              <w:t xml:space="preserve"> </w:t>
            </w:r>
            <w:r w:rsidRPr="00EB2BD8">
              <w:rPr>
                <w:spacing w:val="-10"/>
                <w:sz w:val="16"/>
              </w:rPr>
              <w:t>a</w:t>
            </w:r>
          </w:p>
        </w:tc>
        <w:tc>
          <w:tcPr>
            <w:tcW w:w="1119" w:type="dxa"/>
          </w:tcPr>
          <w:p w14:paraId="0797EC7A" w14:textId="77777777" w:rsidR="00084F36" w:rsidRPr="00EB2BD8" w:rsidRDefault="00084F36">
            <w:pPr>
              <w:pStyle w:val="TableParagraph"/>
              <w:rPr>
                <w:rFonts w:ascii="Times New Roman"/>
                <w:sz w:val="16"/>
              </w:rPr>
            </w:pPr>
          </w:p>
        </w:tc>
        <w:tc>
          <w:tcPr>
            <w:tcW w:w="1177" w:type="dxa"/>
          </w:tcPr>
          <w:p w14:paraId="6A57B552" w14:textId="77777777" w:rsidR="00084F36" w:rsidRPr="00EB2BD8" w:rsidRDefault="00084F36">
            <w:pPr>
              <w:pStyle w:val="TableParagraph"/>
              <w:rPr>
                <w:rFonts w:ascii="Times New Roman"/>
                <w:sz w:val="16"/>
              </w:rPr>
            </w:pPr>
          </w:p>
        </w:tc>
      </w:tr>
      <w:tr w:rsidR="00EB2BD8" w:rsidRPr="00EB2BD8" w14:paraId="4EDCB3C3" w14:textId="77777777">
        <w:trPr>
          <w:trHeight w:val="229"/>
        </w:trPr>
        <w:tc>
          <w:tcPr>
            <w:tcW w:w="1705" w:type="dxa"/>
          </w:tcPr>
          <w:p w14:paraId="7D85D1A6" w14:textId="77777777" w:rsidR="00084F36" w:rsidRPr="00EB2BD8" w:rsidRDefault="00084F36">
            <w:pPr>
              <w:pStyle w:val="TableParagraph"/>
              <w:rPr>
                <w:rFonts w:ascii="Times New Roman"/>
                <w:sz w:val="16"/>
              </w:rPr>
            </w:pPr>
          </w:p>
        </w:tc>
        <w:tc>
          <w:tcPr>
            <w:tcW w:w="1464" w:type="dxa"/>
          </w:tcPr>
          <w:p w14:paraId="11C8DBE5" w14:textId="77777777" w:rsidR="00084F36" w:rsidRPr="00EB2BD8" w:rsidRDefault="00084F36">
            <w:pPr>
              <w:pStyle w:val="TableParagraph"/>
              <w:rPr>
                <w:rFonts w:ascii="Times New Roman"/>
                <w:sz w:val="16"/>
              </w:rPr>
            </w:pPr>
          </w:p>
        </w:tc>
        <w:tc>
          <w:tcPr>
            <w:tcW w:w="2489" w:type="dxa"/>
          </w:tcPr>
          <w:p w14:paraId="61A8AD24" w14:textId="77777777" w:rsidR="00084F36" w:rsidRPr="00EB2BD8" w:rsidRDefault="00EB2BD8">
            <w:pPr>
              <w:pStyle w:val="TableParagraph"/>
              <w:spacing w:before="20"/>
              <w:ind w:left="334"/>
              <w:rPr>
                <w:sz w:val="16"/>
              </w:rPr>
            </w:pPr>
            <w:r w:rsidRPr="00EB2BD8">
              <w:rPr>
                <w:sz w:val="16"/>
              </w:rPr>
              <w:t xml:space="preserve">competent manner </w:t>
            </w:r>
            <w:r w:rsidRPr="00EB2BD8">
              <w:rPr>
                <w:spacing w:val="-5"/>
                <w:sz w:val="16"/>
              </w:rPr>
              <w:t>and</w:t>
            </w:r>
          </w:p>
        </w:tc>
        <w:tc>
          <w:tcPr>
            <w:tcW w:w="2249" w:type="dxa"/>
          </w:tcPr>
          <w:p w14:paraId="1F072CD3" w14:textId="77777777" w:rsidR="00084F36" w:rsidRPr="00EB2BD8" w:rsidRDefault="00EB2BD8">
            <w:pPr>
              <w:pStyle w:val="TableParagraph"/>
              <w:spacing w:before="19"/>
              <w:ind w:left="124"/>
              <w:rPr>
                <w:sz w:val="16"/>
              </w:rPr>
            </w:pPr>
            <w:r w:rsidRPr="00EB2BD8">
              <w:rPr>
                <w:spacing w:val="-2"/>
                <w:sz w:val="16"/>
              </w:rPr>
              <w:t>requirement</w:t>
            </w:r>
            <w:r w:rsidRPr="00EB2BD8">
              <w:rPr>
                <w:spacing w:val="-6"/>
                <w:sz w:val="16"/>
              </w:rPr>
              <w:t xml:space="preserve"> </w:t>
            </w:r>
            <w:r w:rsidRPr="00EB2BD8">
              <w:rPr>
                <w:spacing w:val="-2"/>
                <w:sz w:val="16"/>
              </w:rPr>
              <w:t>to</w:t>
            </w:r>
            <w:r w:rsidRPr="00EB2BD8">
              <w:rPr>
                <w:spacing w:val="-6"/>
                <w:sz w:val="16"/>
              </w:rPr>
              <w:t xml:space="preserve"> </w:t>
            </w:r>
            <w:r w:rsidRPr="00EB2BD8">
              <w:rPr>
                <w:spacing w:val="-2"/>
                <w:sz w:val="16"/>
              </w:rPr>
              <w:t>complete</w:t>
            </w:r>
          </w:p>
        </w:tc>
        <w:tc>
          <w:tcPr>
            <w:tcW w:w="1119" w:type="dxa"/>
          </w:tcPr>
          <w:p w14:paraId="714F5FF5" w14:textId="77777777" w:rsidR="00084F36" w:rsidRPr="00EB2BD8" w:rsidRDefault="00084F36">
            <w:pPr>
              <w:pStyle w:val="TableParagraph"/>
              <w:rPr>
                <w:rFonts w:ascii="Times New Roman"/>
                <w:sz w:val="16"/>
              </w:rPr>
            </w:pPr>
          </w:p>
        </w:tc>
        <w:tc>
          <w:tcPr>
            <w:tcW w:w="1177" w:type="dxa"/>
          </w:tcPr>
          <w:p w14:paraId="0D213AE2" w14:textId="77777777" w:rsidR="00084F36" w:rsidRPr="00EB2BD8" w:rsidRDefault="00084F36">
            <w:pPr>
              <w:pStyle w:val="TableParagraph"/>
              <w:rPr>
                <w:rFonts w:ascii="Times New Roman"/>
                <w:sz w:val="16"/>
              </w:rPr>
            </w:pPr>
          </w:p>
        </w:tc>
      </w:tr>
      <w:tr w:rsidR="00EB2BD8" w:rsidRPr="00EB2BD8" w14:paraId="3BC3EBAE" w14:textId="77777777">
        <w:trPr>
          <w:trHeight w:val="230"/>
        </w:trPr>
        <w:tc>
          <w:tcPr>
            <w:tcW w:w="1705" w:type="dxa"/>
          </w:tcPr>
          <w:p w14:paraId="03E91A82" w14:textId="77777777" w:rsidR="00084F36" w:rsidRPr="00EB2BD8" w:rsidRDefault="00084F36">
            <w:pPr>
              <w:pStyle w:val="TableParagraph"/>
              <w:rPr>
                <w:rFonts w:ascii="Times New Roman"/>
                <w:sz w:val="16"/>
              </w:rPr>
            </w:pPr>
          </w:p>
        </w:tc>
        <w:tc>
          <w:tcPr>
            <w:tcW w:w="1464" w:type="dxa"/>
          </w:tcPr>
          <w:p w14:paraId="20AA9876" w14:textId="77777777" w:rsidR="00084F36" w:rsidRPr="00EB2BD8" w:rsidRDefault="00084F36">
            <w:pPr>
              <w:pStyle w:val="TableParagraph"/>
              <w:rPr>
                <w:rFonts w:ascii="Times New Roman"/>
                <w:sz w:val="16"/>
              </w:rPr>
            </w:pPr>
          </w:p>
        </w:tc>
        <w:tc>
          <w:tcPr>
            <w:tcW w:w="2489" w:type="dxa"/>
          </w:tcPr>
          <w:p w14:paraId="4BA7B94A" w14:textId="77777777" w:rsidR="00084F36" w:rsidRPr="00EB2BD8" w:rsidRDefault="00EB2BD8">
            <w:pPr>
              <w:pStyle w:val="TableParagraph"/>
              <w:spacing w:before="20"/>
              <w:ind w:left="334"/>
              <w:rPr>
                <w:sz w:val="16"/>
              </w:rPr>
            </w:pPr>
            <w:r w:rsidRPr="00EB2BD8">
              <w:rPr>
                <w:spacing w:val="-2"/>
                <w:sz w:val="16"/>
              </w:rPr>
              <w:t>to</w:t>
            </w:r>
            <w:r w:rsidRPr="00EB2BD8">
              <w:rPr>
                <w:spacing w:val="-6"/>
                <w:sz w:val="16"/>
              </w:rPr>
              <w:t xml:space="preserve"> </w:t>
            </w:r>
            <w:r w:rsidRPr="00EB2BD8">
              <w:rPr>
                <w:spacing w:val="-2"/>
                <w:sz w:val="16"/>
              </w:rPr>
              <w:t>a</w:t>
            </w:r>
            <w:r w:rsidRPr="00EB2BD8">
              <w:rPr>
                <w:spacing w:val="-5"/>
                <w:sz w:val="16"/>
              </w:rPr>
              <w:t xml:space="preserve"> </w:t>
            </w:r>
            <w:r w:rsidRPr="00EB2BD8">
              <w:rPr>
                <w:spacing w:val="-2"/>
                <w:sz w:val="16"/>
              </w:rPr>
              <w:t>professional</w:t>
            </w:r>
            <w:r w:rsidRPr="00EB2BD8">
              <w:rPr>
                <w:spacing w:val="-5"/>
                <w:sz w:val="16"/>
              </w:rPr>
              <w:t xml:space="preserve"> </w:t>
            </w:r>
            <w:r w:rsidRPr="00EB2BD8">
              <w:rPr>
                <w:spacing w:val="-2"/>
                <w:sz w:val="16"/>
              </w:rPr>
              <w:t>standard</w:t>
            </w:r>
          </w:p>
        </w:tc>
        <w:tc>
          <w:tcPr>
            <w:tcW w:w="2249" w:type="dxa"/>
          </w:tcPr>
          <w:p w14:paraId="7C7C1E3A" w14:textId="77777777" w:rsidR="00084F36" w:rsidRPr="00EB2BD8" w:rsidRDefault="00EB2BD8">
            <w:pPr>
              <w:pStyle w:val="TableParagraph"/>
              <w:spacing w:before="19"/>
              <w:ind w:left="124"/>
              <w:rPr>
                <w:sz w:val="16"/>
              </w:rPr>
            </w:pPr>
            <w:r w:rsidRPr="00EB2BD8">
              <w:rPr>
                <w:spacing w:val="-2"/>
                <w:sz w:val="16"/>
              </w:rPr>
              <w:t>two</w:t>
            </w:r>
            <w:r w:rsidRPr="00EB2BD8">
              <w:rPr>
                <w:spacing w:val="-9"/>
                <w:sz w:val="16"/>
              </w:rPr>
              <w:t xml:space="preserve"> </w:t>
            </w:r>
            <w:r w:rsidRPr="00EB2BD8">
              <w:rPr>
                <w:spacing w:val="-2"/>
                <w:sz w:val="16"/>
              </w:rPr>
              <w:t>courses</w:t>
            </w:r>
            <w:r w:rsidRPr="00EB2BD8">
              <w:rPr>
                <w:spacing w:val="-8"/>
                <w:sz w:val="16"/>
              </w:rPr>
              <w:t xml:space="preserve"> </w:t>
            </w:r>
            <w:r w:rsidRPr="00EB2BD8">
              <w:rPr>
                <w:spacing w:val="-2"/>
                <w:sz w:val="16"/>
              </w:rPr>
              <w:t>of</w:t>
            </w:r>
            <w:r w:rsidRPr="00EB2BD8">
              <w:rPr>
                <w:spacing w:val="-8"/>
                <w:sz w:val="16"/>
              </w:rPr>
              <w:t xml:space="preserve"> </w:t>
            </w:r>
            <w:r w:rsidRPr="00EB2BD8">
              <w:rPr>
                <w:spacing w:val="-2"/>
                <w:sz w:val="16"/>
              </w:rPr>
              <w:t>training.</w:t>
            </w:r>
          </w:p>
        </w:tc>
        <w:tc>
          <w:tcPr>
            <w:tcW w:w="1119" w:type="dxa"/>
          </w:tcPr>
          <w:p w14:paraId="40A088D0" w14:textId="77777777" w:rsidR="00084F36" w:rsidRPr="00EB2BD8" w:rsidRDefault="00084F36">
            <w:pPr>
              <w:pStyle w:val="TableParagraph"/>
              <w:rPr>
                <w:rFonts w:ascii="Times New Roman"/>
                <w:sz w:val="16"/>
              </w:rPr>
            </w:pPr>
          </w:p>
        </w:tc>
        <w:tc>
          <w:tcPr>
            <w:tcW w:w="1177" w:type="dxa"/>
          </w:tcPr>
          <w:p w14:paraId="69AD6336" w14:textId="77777777" w:rsidR="00084F36" w:rsidRPr="00EB2BD8" w:rsidRDefault="00084F36">
            <w:pPr>
              <w:pStyle w:val="TableParagraph"/>
              <w:rPr>
                <w:rFonts w:ascii="Times New Roman"/>
                <w:sz w:val="16"/>
              </w:rPr>
            </w:pPr>
          </w:p>
        </w:tc>
      </w:tr>
      <w:tr w:rsidR="00EB2BD8" w:rsidRPr="00EB2BD8" w14:paraId="48E065B2" w14:textId="77777777">
        <w:trPr>
          <w:trHeight w:val="229"/>
        </w:trPr>
        <w:tc>
          <w:tcPr>
            <w:tcW w:w="1705" w:type="dxa"/>
          </w:tcPr>
          <w:p w14:paraId="66353C9D" w14:textId="77777777" w:rsidR="00084F36" w:rsidRPr="00EB2BD8" w:rsidRDefault="00084F36">
            <w:pPr>
              <w:pStyle w:val="TableParagraph"/>
              <w:rPr>
                <w:rFonts w:ascii="Times New Roman"/>
                <w:sz w:val="16"/>
              </w:rPr>
            </w:pPr>
          </w:p>
        </w:tc>
        <w:tc>
          <w:tcPr>
            <w:tcW w:w="1464" w:type="dxa"/>
          </w:tcPr>
          <w:p w14:paraId="23633B0A" w14:textId="77777777" w:rsidR="00084F36" w:rsidRPr="00EB2BD8" w:rsidRDefault="00084F36">
            <w:pPr>
              <w:pStyle w:val="TableParagraph"/>
              <w:rPr>
                <w:rFonts w:ascii="Times New Roman"/>
                <w:sz w:val="16"/>
              </w:rPr>
            </w:pPr>
          </w:p>
        </w:tc>
        <w:tc>
          <w:tcPr>
            <w:tcW w:w="2489" w:type="dxa"/>
          </w:tcPr>
          <w:p w14:paraId="30DCA69B" w14:textId="77777777" w:rsidR="00084F36" w:rsidRPr="00EB2BD8" w:rsidRDefault="00EB2BD8">
            <w:pPr>
              <w:pStyle w:val="TableParagraph"/>
              <w:spacing w:before="19"/>
              <w:ind w:left="334"/>
              <w:rPr>
                <w:sz w:val="16"/>
              </w:rPr>
            </w:pPr>
            <w:r w:rsidRPr="00EB2BD8">
              <w:rPr>
                <w:sz w:val="16"/>
              </w:rPr>
              <w:t>in</w:t>
            </w:r>
            <w:r w:rsidRPr="00EB2BD8">
              <w:rPr>
                <w:spacing w:val="-11"/>
                <w:sz w:val="16"/>
              </w:rPr>
              <w:t xml:space="preserve"> </w:t>
            </w:r>
            <w:r w:rsidRPr="00EB2BD8">
              <w:rPr>
                <w:sz w:val="16"/>
              </w:rPr>
              <w:t>respect</w:t>
            </w:r>
            <w:r w:rsidRPr="00EB2BD8">
              <w:rPr>
                <w:spacing w:val="-11"/>
                <w:sz w:val="16"/>
              </w:rPr>
              <w:t xml:space="preserve"> </w:t>
            </w:r>
            <w:r w:rsidRPr="00EB2BD8">
              <w:rPr>
                <w:sz w:val="16"/>
              </w:rPr>
              <w:t>of</w:t>
            </w:r>
            <w:r w:rsidRPr="00EB2BD8">
              <w:rPr>
                <w:spacing w:val="-11"/>
                <w:sz w:val="16"/>
              </w:rPr>
              <w:t xml:space="preserve"> </w:t>
            </w:r>
            <w:r w:rsidRPr="00EB2BD8">
              <w:rPr>
                <w:sz w:val="16"/>
              </w:rPr>
              <w:t>a</w:t>
            </w:r>
            <w:r w:rsidRPr="00EB2BD8">
              <w:rPr>
                <w:spacing w:val="-11"/>
                <w:sz w:val="16"/>
              </w:rPr>
              <w:t xml:space="preserve"> </w:t>
            </w:r>
            <w:r w:rsidRPr="00EB2BD8">
              <w:rPr>
                <w:sz w:val="16"/>
              </w:rPr>
              <w:t>site</w:t>
            </w:r>
            <w:r w:rsidRPr="00EB2BD8">
              <w:rPr>
                <w:spacing w:val="-11"/>
                <w:sz w:val="16"/>
              </w:rPr>
              <w:t xml:space="preserve"> </w:t>
            </w:r>
            <w:r w:rsidRPr="00EB2BD8">
              <w:rPr>
                <w:spacing w:val="-5"/>
                <w:sz w:val="16"/>
              </w:rPr>
              <w:t>at</w:t>
            </w:r>
          </w:p>
        </w:tc>
        <w:tc>
          <w:tcPr>
            <w:tcW w:w="2249" w:type="dxa"/>
          </w:tcPr>
          <w:p w14:paraId="1BF05616" w14:textId="77777777" w:rsidR="00084F36" w:rsidRPr="00EB2BD8" w:rsidRDefault="00084F36">
            <w:pPr>
              <w:pStyle w:val="TableParagraph"/>
              <w:rPr>
                <w:rFonts w:ascii="Times New Roman"/>
                <w:sz w:val="16"/>
              </w:rPr>
            </w:pPr>
          </w:p>
        </w:tc>
        <w:tc>
          <w:tcPr>
            <w:tcW w:w="1119" w:type="dxa"/>
          </w:tcPr>
          <w:p w14:paraId="6E23524C" w14:textId="77777777" w:rsidR="00084F36" w:rsidRPr="00EB2BD8" w:rsidRDefault="00084F36">
            <w:pPr>
              <w:pStyle w:val="TableParagraph"/>
              <w:rPr>
                <w:rFonts w:ascii="Times New Roman"/>
                <w:sz w:val="16"/>
              </w:rPr>
            </w:pPr>
          </w:p>
        </w:tc>
        <w:tc>
          <w:tcPr>
            <w:tcW w:w="1177" w:type="dxa"/>
          </w:tcPr>
          <w:p w14:paraId="5C191250" w14:textId="77777777" w:rsidR="00084F36" w:rsidRPr="00EB2BD8" w:rsidRDefault="00084F36">
            <w:pPr>
              <w:pStyle w:val="TableParagraph"/>
              <w:rPr>
                <w:rFonts w:ascii="Times New Roman"/>
                <w:sz w:val="16"/>
              </w:rPr>
            </w:pPr>
          </w:p>
        </w:tc>
      </w:tr>
      <w:tr w:rsidR="00EB2BD8" w:rsidRPr="00EB2BD8" w14:paraId="48AAA46F" w14:textId="77777777">
        <w:trPr>
          <w:trHeight w:val="229"/>
        </w:trPr>
        <w:tc>
          <w:tcPr>
            <w:tcW w:w="1705" w:type="dxa"/>
          </w:tcPr>
          <w:p w14:paraId="63AA4750" w14:textId="77777777" w:rsidR="00084F36" w:rsidRPr="00EB2BD8" w:rsidRDefault="00084F36">
            <w:pPr>
              <w:pStyle w:val="TableParagraph"/>
              <w:rPr>
                <w:rFonts w:ascii="Times New Roman"/>
                <w:sz w:val="16"/>
              </w:rPr>
            </w:pPr>
          </w:p>
        </w:tc>
        <w:tc>
          <w:tcPr>
            <w:tcW w:w="1464" w:type="dxa"/>
          </w:tcPr>
          <w:p w14:paraId="167EA640" w14:textId="77777777" w:rsidR="00084F36" w:rsidRPr="00EB2BD8" w:rsidRDefault="00084F36">
            <w:pPr>
              <w:pStyle w:val="TableParagraph"/>
              <w:rPr>
                <w:rFonts w:ascii="Times New Roman"/>
                <w:sz w:val="16"/>
              </w:rPr>
            </w:pPr>
          </w:p>
        </w:tc>
        <w:tc>
          <w:tcPr>
            <w:tcW w:w="2489" w:type="dxa"/>
          </w:tcPr>
          <w:p w14:paraId="13BCA518" w14:textId="77777777" w:rsidR="00084F36" w:rsidRPr="00EB2BD8" w:rsidRDefault="00EB2BD8">
            <w:pPr>
              <w:pStyle w:val="TableParagraph"/>
              <w:spacing w:before="19"/>
              <w:ind w:left="334"/>
              <w:rPr>
                <w:sz w:val="16"/>
              </w:rPr>
            </w:pPr>
            <w:r w:rsidRPr="00EB2BD8">
              <w:rPr>
                <w:sz w:val="16"/>
              </w:rPr>
              <w:t>Strathmore</w:t>
            </w:r>
            <w:r w:rsidRPr="00EB2BD8">
              <w:rPr>
                <w:spacing w:val="-6"/>
                <w:sz w:val="16"/>
              </w:rPr>
              <w:t xml:space="preserve"> </w:t>
            </w:r>
            <w:r w:rsidRPr="00EB2BD8">
              <w:rPr>
                <w:sz w:val="16"/>
              </w:rPr>
              <w:t>by</w:t>
            </w:r>
            <w:r w:rsidRPr="00EB2BD8">
              <w:rPr>
                <w:spacing w:val="-6"/>
                <w:sz w:val="16"/>
              </w:rPr>
              <w:t xml:space="preserve"> </w:t>
            </w:r>
            <w:r w:rsidRPr="00EB2BD8">
              <w:rPr>
                <w:spacing w:val="-2"/>
                <w:sz w:val="16"/>
              </w:rPr>
              <w:t>assigning</w:t>
            </w:r>
          </w:p>
        </w:tc>
        <w:tc>
          <w:tcPr>
            <w:tcW w:w="2249" w:type="dxa"/>
          </w:tcPr>
          <w:p w14:paraId="471633E7" w14:textId="77777777" w:rsidR="00084F36" w:rsidRPr="00EB2BD8" w:rsidRDefault="00084F36">
            <w:pPr>
              <w:pStyle w:val="TableParagraph"/>
              <w:rPr>
                <w:rFonts w:ascii="Times New Roman"/>
                <w:sz w:val="16"/>
              </w:rPr>
            </w:pPr>
          </w:p>
        </w:tc>
        <w:tc>
          <w:tcPr>
            <w:tcW w:w="1119" w:type="dxa"/>
          </w:tcPr>
          <w:p w14:paraId="39D208DF" w14:textId="77777777" w:rsidR="00084F36" w:rsidRPr="00EB2BD8" w:rsidRDefault="00084F36">
            <w:pPr>
              <w:pStyle w:val="TableParagraph"/>
              <w:rPr>
                <w:rFonts w:ascii="Times New Roman"/>
                <w:sz w:val="16"/>
              </w:rPr>
            </w:pPr>
          </w:p>
        </w:tc>
        <w:tc>
          <w:tcPr>
            <w:tcW w:w="1177" w:type="dxa"/>
          </w:tcPr>
          <w:p w14:paraId="49AB38B0" w14:textId="77777777" w:rsidR="00084F36" w:rsidRPr="00EB2BD8" w:rsidRDefault="00084F36">
            <w:pPr>
              <w:pStyle w:val="TableParagraph"/>
              <w:rPr>
                <w:rFonts w:ascii="Times New Roman"/>
                <w:sz w:val="16"/>
              </w:rPr>
            </w:pPr>
          </w:p>
        </w:tc>
      </w:tr>
      <w:tr w:rsidR="00EB2BD8" w:rsidRPr="00EB2BD8" w14:paraId="37A9BDBC" w14:textId="77777777">
        <w:trPr>
          <w:trHeight w:val="229"/>
        </w:trPr>
        <w:tc>
          <w:tcPr>
            <w:tcW w:w="1705" w:type="dxa"/>
          </w:tcPr>
          <w:p w14:paraId="557310C3" w14:textId="77777777" w:rsidR="00084F36" w:rsidRPr="00EB2BD8" w:rsidRDefault="00084F36">
            <w:pPr>
              <w:pStyle w:val="TableParagraph"/>
              <w:rPr>
                <w:rFonts w:ascii="Times New Roman"/>
                <w:sz w:val="16"/>
              </w:rPr>
            </w:pPr>
          </w:p>
        </w:tc>
        <w:tc>
          <w:tcPr>
            <w:tcW w:w="1464" w:type="dxa"/>
          </w:tcPr>
          <w:p w14:paraId="3A56EBE5" w14:textId="77777777" w:rsidR="00084F36" w:rsidRPr="00EB2BD8" w:rsidRDefault="00084F36">
            <w:pPr>
              <w:pStyle w:val="TableParagraph"/>
              <w:rPr>
                <w:rFonts w:ascii="Times New Roman"/>
                <w:sz w:val="16"/>
              </w:rPr>
            </w:pPr>
          </w:p>
        </w:tc>
        <w:tc>
          <w:tcPr>
            <w:tcW w:w="2489" w:type="dxa"/>
          </w:tcPr>
          <w:p w14:paraId="33A48EFA" w14:textId="77777777" w:rsidR="00084F36" w:rsidRPr="00EB2BD8" w:rsidRDefault="00EB2BD8">
            <w:pPr>
              <w:pStyle w:val="TableParagraph"/>
              <w:spacing w:before="19"/>
              <w:ind w:left="334"/>
              <w:rPr>
                <w:sz w:val="16"/>
              </w:rPr>
            </w:pPr>
            <w:r w:rsidRPr="00EB2BD8">
              <w:rPr>
                <w:sz w:val="16"/>
              </w:rPr>
              <w:t>an</w:t>
            </w:r>
            <w:r w:rsidRPr="00EB2BD8">
              <w:rPr>
                <w:spacing w:val="-9"/>
                <w:sz w:val="16"/>
              </w:rPr>
              <w:t xml:space="preserve"> </w:t>
            </w:r>
            <w:r w:rsidRPr="00EB2BD8">
              <w:rPr>
                <w:sz w:val="16"/>
              </w:rPr>
              <w:t>unlicensed</w:t>
            </w:r>
            <w:r w:rsidRPr="00EB2BD8">
              <w:rPr>
                <w:spacing w:val="-8"/>
                <w:sz w:val="16"/>
              </w:rPr>
              <w:t xml:space="preserve"> </w:t>
            </w:r>
            <w:r w:rsidRPr="00EB2BD8">
              <w:rPr>
                <w:sz w:val="16"/>
              </w:rPr>
              <w:t>person</w:t>
            </w:r>
            <w:r w:rsidRPr="00EB2BD8">
              <w:rPr>
                <w:spacing w:val="-8"/>
                <w:sz w:val="16"/>
              </w:rPr>
              <w:t xml:space="preserve"> </w:t>
            </w:r>
            <w:r w:rsidRPr="00EB2BD8">
              <w:rPr>
                <w:spacing w:val="-5"/>
                <w:sz w:val="16"/>
              </w:rPr>
              <w:t>to</w:t>
            </w:r>
          </w:p>
        </w:tc>
        <w:tc>
          <w:tcPr>
            <w:tcW w:w="2249" w:type="dxa"/>
          </w:tcPr>
          <w:p w14:paraId="4B0DDE0B" w14:textId="77777777" w:rsidR="00084F36" w:rsidRPr="00EB2BD8" w:rsidRDefault="00084F36">
            <w:pPr>
              <w:pStyle w:val="TableParagraph"/>
              <w:rPr>
                <w:rFonts w:ascii="Times New Roman"/>
                <w:sz w:val="16"/>
              </w:rPr>
            </w:pPr>
          </w:p>
        </w:tc>
        <w:tc>
          <w:tcPr>
            <w:tcW w:w="1119" w:type="dxa"/>
          </w:tcPr>
          <w:p w14:paraId="6E0C21F0" w14:textId="77777777" w:rsidR="00084F36" w:rsidRPr="00EB2BD8" w:rsidRDefault="00084F36">
            <w:pPr>
              <w:pStyle w:val="TableParagraph"/>
              <w:rPr>
                <w:rFonts w:ascii="Times New Roman"/>
                <w:sz w:val="16"/>
              </w:rPr>
            </w:pPr>
          </w:p>
        </w:tc>
        <w:tc>
          <w:tcPr>
            <w:tcW w:w="1177" w:type="dxa"/>
          </w:tcPr>
          <w:p w14:paraId="627EDB23" w14:textId="77777777" w:rsidR="00084F36" w:rsidRPr="00EB2BD8" w:rsidRDefault="00084F36">
            <w:pPr>
              <w:pStyle w:val="TableParagraph"/>
              <w:rPr>
                <w:rFonts w:ascii="Times New Roman"/>
                <w:sz w:val="16"/>
              </w:rPr>
            </w:pPr>
          </w:p>
        </w:tc>
      </w:tr>
      <w:tr w:rsidR="00EB2BD8" w:rsidRPr="00EB2BD8" w14:paraId="14AFAF4C" w14:textId="77777777">
        <w:trPr>
          <w:trHeight w:val="229"/>
        </w:trPr>
        <w:tc>
          <w:tcPr>
            <w:tcW w:w="1705" w:type="dxa"/>
          </w:tcPr>
          <w:p w14:paraId="05E09DFB" w14:textId="77777777" w:rsidR="00084F36" w:rsidRPr="00EB2BD8" w:rsidRDefault="00084F36">
            <w:pPr>
              <w:pStyle w:val="TableParagraph"/>
              <w:rPr>
                <w:rFonts w:ascii="Times New Roman"/>
                <w:sz w:val="16"/>
              </w:rPr>
            </w:pPr>
          </w:p>
        </w:tc>
        <w:tc>
          <w:tcPr>
            <w:tcW w:w="1464" w:type="dxa"/>
          </w:tcPr>
          <w:p w14:paraId="15196101" w14:textId="77777777" w:rsidR="00084F36" w:rsidRPr="00EB2BD8" w:rsidRDefault="00084F36">
            <w:pPr>
              <w:pStyle w:val="TableParagraph"/>
              <w:rPr>
                <w:rFonts w:ascii="Times New Roman"/>
                <w:sz w:val="16"/>
              </w:rPr>
            </w:pPr>
          </w:p>
        </w:tc>
        <w:tc>
          <w:tcPr>
            <w:tcW w:w="2489" w:type="dxa"/>
          </w:tcPr>
          <w:p w14:paraId="09AB2D65" w14:textId="77777777" w:rsidR="00084F36" w:rsidRPr="00EB2BD8" w:rsidRDefault="00EB2BD8">
            <w:pPr>
              <w:pStyle w:val="TableParagraph"/>
              <w:spacing w:before="19"/>
              <w:ind w:left="334"/>
              <w:rPr>
                <w:sz w:val="16"/>
              </w:rPr>
            </w:pPr>
            <w:r w:rsidRPr="00EB2BD8">
              <w:rPr>
                <w:spacing w:val="-2"/>
                <w:sz w:val="16"/>
              </w:rPr>
              <w:t>undertake roof plumbing</w:t>
            </w:r>
          </w:p>
        </w:tc>
        <w:tc>
          <w:tcPr>
            <w:tcW w:w="2249" w:type="dxa"/>
          </w:tcPr>
          <w:p w14:paraId="06F940DB" w14:textId="77777777" w:rsidR="00084F36" w:rsidRPr="00EB2BD8" w:rsidRDefault="00084F36">
            <w:pPr>
              <w:pStyle w:val="TableParagraph"/>
              <w:rPr>
                <w:rFonts w:ascii="Times New Roman"/>
                <w:sz w:val="16"/>
              </w:rPr>
            </w:pPr>
          </w:p>
        </w:tc>
        <w:tc>
          <w:tcPr>
            <w:tcW w:w="1119" w:type="dxa"/>
          </w:tcPr>
          <w:p w14:paraId="2339B7C6" w14:textId="77777777" w:rsidR="00084F36" w:rsidRPr="00EB2BD8" w:rsidRDefault="00084F36">
            <w:pPr>
              <w:pStyle w:val="TableParagraph"/>
              <w:rPr>
                <w:rFonts w:ascii="Times New Roman"/>
                <w:sz w:val="16"/>
              </w:rPr>
            </w:pPr>
          </w:p>
        </w:tc>
        <w:tc>
          <w:tcPr>
            <w:tcW w:w="1177" w:type="dxa"/>
          </w:tcPr>
          <w:p w14:paraId="784BF2D4" w14:textId="77777777" w:rsidR="00084F36" w:rsidRPr="00EB2BD8" w:rsidRDefault="00084F36">
            <w:pPr>
              <w:pStyle w:val="TableParagraph"/>
              <w:rPr>
                <w:rFonts w:ascii="Times New Roman"/>
                <w:sz w:val="16"/>
              </w:rPr>
            </w:pPr>
          </w:p>
        </w:tc>
      </w:tr>
      <w:tr w:rsidR="00EB2BD8" w:rsidRPr="00EB2BD8" w14:paraId="227E61CC" w14:textId="77777777">
        <w:trPr>
          <w:trHeight w:val="229"/>
        </w:trPr>
        <w:tc>
          <w:tcPr>
            <w:tcW w:w="1705" w:type="dxa"/>
          </w:tcPr>
          <w:p w14:paraId="32E4A8E3" w14:textId="77777777" w:rsidR="00084F36" w:rsidRPr="00EB2BD8" w:rsidRDefault="00084F36">
            <w:pPr>
              <w:pStyle w:val="TableParagraph"/>
              <w:rPr>
                <w:rFonts w:ascii="Times New Roman"/>
                <w:sz w:val="16"/>
              </w:rPr>
            </w:pPr>
          </w:p>
        </w:tc>
        <w:tc>
          <w:tcPr>
            <w:tcW w:w="1464" w:type="dxa"/>
          </w:tcPr>
          <w:p w14:paraId="092FE1BD" w14:textId="77777777" w:rsidR="00084F36" w:rsidRPr="00EB2BD8" w:rsidRDefault="00084F36">
            <w:pPr>
              <w:pStyle w:val="TableParagraph"/>
              <w:rPr>
                <w:rFonts w:ascii="Times New Roman"/>
                <w:sz w:val="16"/>
              </w:rPr>
            </w:pPr>
          </w:p>
        </w:tc>
        <w:tc>
          <w:tcPr>
            <w:tcW w:w="2489" w:type="dxa"/>
          </w:tcPr>
          <w:p w14:paraId="0CF3B7E6" w14:textId="77777777" w:rsidR="00084F36" w:rsidRPr="00EB2BD8" w:rsidRDefault="00EB2BD8">
            <w:pPr>
              <w:pStyle w:val="TableParagraph"/>
              <w:spacing w:before="19"/>
              <w:ind w:left="334"/>
              <w:rPr>
                <w:sz w:val="16"/>
              </w:rPr>
            </w:pPr>
            <w:r w:rsidRPr="00EB2BD8">
              <w:rPr>
                <w:spacing w:val="-4"/>
                <w:sz w:val="16"/>
              </w:rPr>
              <w:t>(flashing</w:t>
            </w:r>
            <w:r w:rsidRPr="00EB2BD8">
              <w:rPr>
                <w:spacing w:val="-3"/>
                <w:sz w:val="16"/>
              </w:rPr>
              <w:t xml:space="preserve"> </w:t>
            </w:r>
            <w:r w:rsidRPr="00EB2BD8">
              <w:rPr>
                <w:spacing w:val="-4"/>
                <w:sz w:val="16"/>
              </w:rPr>
              <w:t>work),</w:t>
            </w:r>
            <w:r w:rsidRPr="00EB2BD8">
              <w:rPr>
                <w:spacing w:val="-2"/>
                <w:sz w:val="16"/>
              </w:rPr>
              <w:t xml:space="preserve"> </w:t>
            </w:r>
            <w:r w:rsidRPr="00EB2BD8">
              <w:rPr>
                <w:spacing w:val="-4"/>
                <w:sz w:val="16"/>
              </w:rPr>
              <w:t>failing</w:t>
            </w:r>
            <w:r w:rsidRPr="00EB2BD8">
              <w:rPr>
                <w:spacing w:val="-3"/>
                <w:sz w:val="16"/>
              </w:rPr>
              <w:t xml:space="preserve"> </w:t>
            </w:r>
            <w:r w:rsidRPr="00EB2BD8">
              <w:rPr>
                <w:spacing w:val="-5"/>
                <w:sz w:val="16"/>
              </w:rPr>
              <w:t>to</w:t>
            </w:r>
          </w:p>
        </w:tc>
        <w:tc>
          <w:tcPr>
            <w:tcW w:w="2249" w:type="dxa"/>
          </w:tcPr>
          <w:p w14:paraId="7CE2BAC8" w14:textId="77777777" w:rsidR="00084F36" w:rsidRPr="00EB2BD8" w:rsidRDefault="00084F36">
            <w:pPr>
              <w:pStyle w:val="TableParagraph"/>
              <w:rPr>
                <w:rFonts w:ascii="Times New Roman"/>
                <w:sz w:val="16"/>
              </w:rPr>
            </w:pPr>
          </w:p>
        </w:tc>
        <w:tc>
          <w:tcPr>
            <w:tcW w:w="1119" w:type="dxa"/>
          </w:tcPr>
          <w:p w14:paraId="21248EC2" w14:textId="77777777" w:rsidR="00084F36" w:rsidRPr="00EB2BD8" w:rsidRDefault="00084F36">
            <w:pPr>
              <w:pStyle w:val="TableParagraph"/>
              <w:rPr>
                <w:rFonts w:ascii="Times New Roman"/>
                <w:sz w:val="16"/>
              </w:rPr>
            </w:pPr>
          </w:p>
        </w:tc>
        <w:tc>
          <w:tcPr>
            <w:tcW w:w="1177" w:type="dxa"/>
          </w:tcPr>
          <w:p w14:paraId="128564F2" w14:textId="77777777" w:rsidR="00084F36" w:rsidRPr="00EB2BD8" w:rsidRDefault="00084F36">
            <w:pPr>
              <w:pStyle w:val="TableParagraph"/>
              <w:rPr>
                <w:rFonts w:ascii="Times New Roman"/>
                <w:sz w:val="16"/>
              </w:rPr>
            </w:pPr>
          </w:p>
        </w:tc>
      </w:tr>
      <w:tr w:rsidR="00EB2BD8" w:rsidRPr="00EB2BD8" w14:paraId="08DF309F" w14:textId="77777777">
        <w:trPr>
          <w:trHeight w:val="229"/>
        </w:trPr>
        <w:tc>
          <w:tcPr>
            <w:tcW w:w="1705" w:type="dxa"/>
          </w:tcPr>
          <w:p w14:paraId="657A8654" w14:textId="77777777" w:rsidR="00084F36" w:rsidRPr="00EB2BD8" w:rsidRDefault="00084F36">
            <w:pPr>
              <w:pStyle w:val="TableParagraph"/>
              <w:rPr>
                <w:rFonts w:ascii="Times New Roman"/>
                <w:sz w:val="16"/>
              </w:rPr>
            </w:pPr>
          </w:p>
        </w:tc>
        <w:tc>
          <w:tcPr>
            <w:tcW w:w="1464" w:type="dxa"/>
          </w:tcPr>
          <w:p w14:paraId="28803FB3" w14:textId="77777777" w:rsidR="00084F36" w:rsidRPr="00EB2BD8" w:rsidRDefault="00084F36">
            <w:pPr>
              <w:pStyle w:val="TableParagraph"/>
              <w:rPr>
                <w:rFonts w:ascii="Times New Roman"/>
                <w:sz w:val="16"/>
              </w:rPr>
            </w:pPr>
          </w:p>
        </w:tc>
        <w:tc>
          <w:tcPr>
            <w:tcW w:w="2489" w:type="dxa"/>
          </w:tcPr>
          <w:p w14:paraId="5B18812E" w14:textId="77777777" w:rsidR="00084F36" w:rsidRPr="00EB2BD8" w:rsidRDefault="00EB2BD8">
            <w:pPr>
              <w:pStyle w:val="TableParagraph"/>
              <w:spacing w:before="19"/>
              <w:ind w:left="334"/>
              <w:rPr>
                <w:sz w:val="16"/>
              </w:rPr>
            </w:pPr>
            <w:r w:rsidRPr="00EB2BD8">
              <w:rPr>
                <w:spacing w:val="-2"/>
                <w:sz w:val="16"/>
              </w:rPr>
              <w:t>provide</w:t>
            </w:r>
            <w:r w:rsidRPr="00EB2BD8">
              <w:rPr>
                <w:spacing w:val="1"/>
                <w:sz w:val="16"/>
              </w:rPr>
              <w:t xml:space="preserve"> </w:t>
            </w:r>
            <w:r w:rsidRPr="00EB2BD8">
              <w:rPr>
                <w:spacing w:val="-2"/>
                <w:sz w:val="16"/>
              </w:rPr>
              <w:t>landowner</w:t>
            </w:r>
            <w:r w:rsidRPr="00EB2BD8">
              <w:rPr>
                <w:spacing w:val="1"/>
                <w:sz w:val="16"/>
              </w:rPr>
              <w:t xml:space="preserve"> </w:t>
            </w:r>
            <w:r w:rsidRPr="00EB2BD8">
              <w:rPr>
                <w:spacing w:val="-4"/>
                <w:sz w:val="16"/>
              </w:rPr>
              <w:t>with</w:t>
            </w:r>
          </w:p>
        </w:tc>
        <w:tc>
          <w:tcPr>
            <w:tcW w:w="2249" w:type="dxa"/>
          </w:tcPr>
          <w:p w14:paraId="5620A2AB" w14:textId="77777777" w:rsidR="00084F36" w:rsidRPr="00EB2BD8" w:rsidRDefault="00084F36">
            <w:pPr>
              <w:pStyle w:val="TableParagraph"/>
              <w:rPr>
                <w:rFonts w:ascii="Times New Roman"/>
                <w:sz w:val="16"/>
              </w:rPr>
            </w:pPr>
          </w:p>
        </w:tc>
        <w:tc>
          <w:tcPr>
            <w:tcW w:w="1119" w:type="dxa"/>
          </w:tcPr>
          <w:p w14:paraId="3D0D559C" w14:textId="77777777" w:rsidR="00084F36" w:rsidRPr="00EB2BD8" w:rsidRDefault="00084F36">
            <w:pPr>
              <w:pStyle w:val="TableParagraph"/>
              <w:rPr>
                <w:rFonts w:ascii="Times New Roman"/>
                <w:sz w:val="16"/>
              </w:rPr>
            </w:pPr>
          </w:p>
        </w:tc>
        <w:tc>
          <w:tcPr>
            <w:tcW w:w="1177" w:type="dxa"/>
          </w:tcPr>
          <w:p w14:paraId="439A1332" w14:textId="77777777" w:rsidR="00084F36" w:rsidRPr="00EB2BD8" w:rsidRDefault="00084F36">
            <w:pPr>
              <w:pStyle w:val="TableParagraph"/>
              <w:rPr>
                <w:rFonts w:ascii="Times New Roman"/>
                <w:sz w:val="16"/>
              </w:rPr>
            </w:pPr>
          </w:p>
        </w:tc>
      </w:tr>
      <w:tr w:rsidR="00EB2BD8" w:rsidRPr="00EB2BD8" w14:paraId="4EA387B7" w14:textId="77777777">
        <w:trPr>
          <w:trHeight w:val="229"/>
        </w:trPr>
        <w:tc>
          <w:tcPr>
            <w:tcW w:w="1705" w:type="dxa"/>
          </w:tcPr>
          <w:p w14:paraId="7558F3DD" w14:textId="77777777" w:rsidR="00084F36" w:rsidRPr="00EB2BD8" w:rsidRDefault="00084F36">
            <w:pPr>
              <w:pStyle w:val="TableParagraph"/>
              <w:rPr>
                <w:rFonts w:ascii="Times New Roman"/>
                <w:sz w:val="16"/>
              </w:rPr>
            </w:pPr>
          </w:p>
        </w:tc>
        <w:tc>
          <w:tcPr>
            <w:tcW w:w="1464" w:type="dxa"/>
          </w:tcPr>
          <w:p w14:paraId="709056A6" w14:textId="77777777" w:rsidR="00084F36" w:rsidRPr="00EB2BD8" w:rsidRDefault="00084F36">
            <w:pPr>
              <w:pStyle w:val="TableParagraph"/>
              <w:rPr>
                <w:rFonts w:ascii="Times New Roman"/>
                <w:sz w:val="16"/>
              </w:rPr>
            </w:pPr>
          </w:p>
        </w:tc>
        <w:tc>
          <w:tcPr>
            <w:tcW w:w="2489" w:type="dxa"/>
          </w:tcPr>
          <w:p w14:paraId="6C5917C3" w14:textId="77777777" w:rsidR="00084F36" w:rsidRPr="00EB2BD8" w:rsidRDefault="00EB2BD8">
            <w:pPr>
              <w:pStyle w:val="TableParagraph"/>
              <w:spacing w:before="19"/>
              <w:ind w:left="334"/>
              <w:rPr>
                <w:sz w:val="16"/>
              </w:rPr>
            </w:pPr>
            <w:r w:rsidRPr="00EB2BD8">
              <w:rPr>
                <w:spacing w:val="-2"/>
                <w:sz w:val="16"/>
              </w:rPr>
              <w:t>plumbing</w:t>
            </w:r>
            <w:r w:rsidRPr="00EB2BD8">
              <w:rPr>
                <w:spacing w:val="-3"/>
                <w:sz w:val="16"/>
              </w:rPr>
              <w:t xml:space="preserve"> </w:t>
            </w:r>
            <w:r w:rsidRPr="00EB2BD8">
              <w:rPr>
                <w:spacing w:val="-2"/>
                <w:sz w:val="16"/>
              </w:rPr>
              <w:t>compliance</w:t>
            </w:r>
          </w:p>
        </w:tc>
        <w:tc>
          <w:tcPr>
            <w:tcW w:w="2249" w:type="dxa"/>
          </w:tcPr>
          <w:p w14:paraId="30F17E9D" w14:textId="77777777" w:rsidR="00084F36" w:rsidRPr="00EB2BD8" w:rsidRDefault="00084F36">
            <w:pPr>
              <w:pStyle w:val="TableParagraph"/>
              <w:rPr>
                <w:rFonts w:ascii="Times New Roman"/>
                <w:sz w:val="16"/>
              </w:rPr>
            </w:pPr>
          </w:p>
        </w:tc>
        <w:tc>
          <w:tcPr>
            <w:tcW w:w="1119" w:type="dxa"/>
          </w:tcPr>
          <w:p w14:paraId="3B9320BB" w14:textId="77777777" w:rsidR="00084F36" w:rsidRPr="00EB2BD8" w:rsidRDefault="00084F36">
            <w:pPr>
              <w:pStyle w:val="TableParagraph"/>
              <w:rPr>
                <w:rFonts w:ascii="Times New Roman"/>
                <w:sz w:val="16"/>
              </w:rPr>
            </w:pPr>
          </w:p>
        </w:tc>
        <w:tc>
          <w:tcPr>
            <w:tcW w:w="1177" w:type="dxa"/>
          </w:tcPr>
          <w:p w14:paraId="165B7BA8" w14:textId="77777777" w:rsidR="00084F36" w:rsidRPr="00EB2BD8" w:rsidRDefault="00084F36">
            <w:pPr>
              <w:pStyle w:val="TableParagraph"/>
              <w:rPr>
                <w:rFonts w:ascii="Times New Roman"/>
                <w:sz w:val="16"/>
              </w:rPr>
            </w:pPr>
          </w:p>
        </w:tc>
      </w:tr>
      <w:tr w:rsidR="00EB2BD8" w:rsidRPr="00EB2BD8" w14:paraId="61E6A86F" w14:textId="77777777">
        <w:trPr>
          <w:trHeight w:val="229"/>
        </w:trPr>
        <w:tc>
          <w:tcPr>
            <w:tcW w:w="1705" w:type="dxa"/>
          </w:tcPr>
          <w:p w14:paraId="729A4D58" w14:textId="77777777" w:rsidR="00084F36" w:rsidRPr="00EB2BD8" w:rsidRDefault="00084F36">
            <w:pPr>
              <w:pStyle w:val="TableParagraph"/>
              <w:rPr>
                <w:rFonts w:ascii="Times New Roman"/>
                <w:sz w:val="16"/>
              </w:rPr>
            </w:pPr>
          </w:p>
        </w:tc>
        <w:tc>
          <w:tcPr>
            <w:tcW w:w="1464" w:type="dxa"/>
          </w:tcPr>
          <w:p w14:paraId="24962F51" w14:textId="77777777" w:rsidR="00084F36" w:rsidRPr="00EB2BD8" w:rsidRDefault="00084F36">
            <w:pPr>
              <w:pStyle w:val="TableParagraph"/>
              <w:rPr>
                <w:rFonts w:ascii="Times New Roman"/>
                <w:sz w:val="16"/>
              </w:rPr>
            </w:pPr>
          </w:p>
        </w:tc>
        <w:tc>
          <w:tcPr>
            <w:tcW w:w="2489" w:type="dxa"/>
          </w:tcPr>
          <w:p w14:paraId="30A20421" w14:textId="77777777" w:rsidR="00084F36" w:rsidRPr="00EB2BD8" w:rsidRDefault="00EB2BD8">
            <w:pPr>
              <w:pStyle w:val="TableParagraph"/>
              <w:spacing w:before="19"/>
              <w:ind w:left="334"/>
              <w:rPr>
                <w:sz w:val="16"/>
              </w:rPr>
            </w:pPr>
            <w:r w:rsidRPr="00EB2BD8">
              <w:rPr>
                <w:spacing w:val="-2"/>
                <w:sz w:val="16"/>
              </w:rPr>
              <w:t>certificates</w:t>
            </w:r>
            <w:r w:rsidRPr="00EB2BD8">
              <w:rPr>
                <w:spacing w:val="4"/>
                <w:sz w:val="16"/>
              </w:rPr>
              <w:t xml:space="preserve"> </w:t>
            </w:r>
            <w:r w:rsidRPr="00EB2BD8">
              <w:rPr>
                <w:spacing w:val="-2"/>
                <w:sz w:val="16"/>
              </w:rPr>
              <w:t>within</w:t>
            </w:r>
            <w:r w:rsidRPr="00EB2BD8">
              <w:rPr>
                <w:spacing w:val="4"/>
                <w:sz w:val="16"/>
              </w:rPr>
              <w:t xml:space="preserve"> </w:t>
            </w:r>
            <w:r w:rsidRPr="00EB2BD8">
              <w:rPr>
                <w:spacing w:val="-4"/>
                <w:sz w:val="16"/>
              </w:rPr>
              <w:t>five</w:t>
            </w:r>
          </w:p>
        </w:tc>
        <w:tc>
          <w:tcPr>
            <w:tcW w:w="2249" w:type="dxa"/>
          </w:tcPr>
          <w:p w14:paraId="52852753" w14:textId="77777777" w:rsidR="00084F36" w:rsidRPr="00EB2BD8" w:rsidRDefault="00084F36">
            <w:pPr>
              <w:pStyle w:val="TableParagraph"/>
              <w:rPr>
                <w:rFonts w:ascii="Times New Roman"/>
                <w:sz w:val="16"/>
              </w:rPr>
            </w:pPr>
          </w:p>
        </w:tc>
        <w:tc>
          <w:tcPr>
            <w:tcW w:w="1119" w:type="dxa"/>
          </w:tcPr>
          <w:p w14:paraId="594283FA" w14:textId="77777777" w:rsidR="00084F36" w:rsidRPr="00EB2BD8" w:rsidRDefault="00084F36">
            <w:pPr>
              <w:pStyle w:val="TableParagraph"/>
              <w:rPr>
                <w:rFonts w:ascii="Times New Roman"/>
                <w:sz w:val="16"/>
              </w:rPr>
            </w:pPr>
          </w:p>
        </w:tc>
        <w:tc>
          <w:tcPr>
            <w:tcW w:w="1177" w:type="dxa"/>
          </w:tcPr>
          <w:p w14:paraId="67CDEC14" w14:textId="77777777" w:rsidR="00084F36" w:rsidRPr="00EB2BD8" w:rsidRDefault="00084F36">
            <w:pPr>
              <w:pStyle w:val="TableParagraph"/>
              <w:rPr>
                <w:rFonts w:ascii="Times New Roman"/>
                <w:sz w:val="16"/>
              </w:rPr>
            </w:pPr>
          </w:p>
        </w:tc>
      </w:tr>
      <w:tr w:rsidR="00EB2BD8" w:rsidRPr="00EB2BD8" w14:paraId="102A03DC" w14:textId="77777777">
        <w:trPr>
          <w:trHeight w:val="286"/>
        </w:trPr>
        <w:tc>
          <w:tcPr>
            <w:tcW w:w="1705" w:type="dxa"/>
            <w:tcBorders>
              <w:bottom w:val="single" w:sz="2" w:space="0" w:color="000000"/>
            </w:tcBorders>
          </w:tcPr>
          <w:p w14:paraId="68D89D1D"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591045DD" w14:textId="77777777" w:rsidR="00084F36" w:rsidRPr="00EB2BD8" w:rsidRDefault="00084F36">
            <w:pPr>
              <w:pStyle w:val="TableParagraph"/>
              <w:rPr>
                <w:rFonts w:ascii="Times New Roman"/>
                <w:sz w:val="16"/>
              </w:rPr>
            </w:pPr>
          </w:p>
        </w:tc>
        <w:tc>
          <w:tcPr>
            <w:tcW w:w="2489" w:type="dxa"/>
            <w:tcBorders>
              <w:bottom w:val="single" w:sz="2" w:space="0" w:color="000000"/>
            </w:tcBorders>
          </w:tcPr>
          <w:p w14:paraId="60551171" w14:textId="77777777" w:rsidR="00084F36" w:rsidRPr="00EB2BD8" w:rsidRDefault="00EB2BD8">
            <w:pPr>
              <w:pStyle w:val="TableParagraph"/>
              <w:spacing w:before="19"/>
              <w:ind w:left="334"/>
              <w:rPr>
                <w:sz w:val="16"/>
              </w:rPr>
            </w:pPr>
            <w:r w:rsidRPr="00EB2BD8">
              <w:rPr>
                <w:spacing w:val="-2"/>
                <w:sz w:val="16"/>
              </w:rPr>
              <w:t>days.</w:t>
            </w:r>
          </w:p>
        </w:tc>
        <w:tc>
          <w:tcPr>
            <w:tcW w:w="2249" w:type="dxa"/>
            <w:tcBorders>
              <w:bottom w:val="single" w:sz="2" w:space="0" w:color="000000"/>
            </w:tcBorders>
          </w:tcPr>
          <w:p w14:paraId="3A8AF3F1" w14:textId="77777777" w:rsidR="00084F36" w:rsidRPr="00EB2BD8" w:rsidRDefault="00084F36">
            <w:pPr>
              <w:pStyle w:val="TableParagraph"/>
              <w:rPr>
                <w:rFonts w:ascii="Times New Roman"/>
                <w:sz w:val="16"/>
              </w:rPr>
            </w:pPr>
          </w:p>
        </w:tc>
        <w:tc>
          <w:tcPr>
            <w:tcW w:w="1119" w:type="dxa"/>
            <w:tcBorders>
              <w:bottom w:val="single" w:sz="2" w:space="0" w:color="000000"/>
            </w:tcBorders>
          </w:tcPr>
          <w:p w14:paraId="7FBD40DC" w14:textId="77777777" w:rsidR="00084F36" w:rsidRPr="00EB2BD8" w:rsidRDefault="00084F36">
            <w:pPr>
              <w:pStyle w:val="TableParagraph"/>
              <w:rPr>
                <w:rFonts w:ascii="Times New Roman"/>
                <w:sz w:val="16"/>
              </w:rPr>
            </w:pPr>
          </w:p>
        </w:tc>
        <w:tc>
          <w:tcPr>
            <w:tcW w:w="1177" w:type="dxa"/>
            <w:tcBorders>
              <w:bottom w:val="single" w:sz="2" w:space="0" w:color="000000"/>
            </w:tcBorders>
          </w:tcPr>
          <w:p w14:paraId="1A6E2FBC" w14:textId="77777777" w:rsidR="00084F36" w:rsidRPr="00EB2BD8" w:rsidRDefault="00084F36">
            <w:pPr>
              <w:pStyle w:val="TableParagraph"/>
              <w:rPr>
                <w:rFonts w:ascii="Times New Roman"/>
                <w:sz w:val="16"/>
              </w:rPr>
            </w:pPr>
          </w:p>
        </w:tc>
      </w:tr>
      <w:tr w:rsidR="00EB2BD8" w:rsidRPr="00EB2BD8" w14:paraId="1242341E" w14:textId="77777777">
        <w:trPr>
          <w:trHeight w:val="325"/>
        </w:trPr>
        <w:tc>
          <w:tcPr>
            <w:tcW w:w="1705" w:type="dxa"/>
            <w:tcBorders>
              <w:top w:val="single" w:sz="2" w:space="0" w:color="000000"/>
            </w:tcBorders>
          </w:tcPr>
          <w:p w14:paraId="36E2CA1E" w14:textId="77777777" w:rsidR="00084F36" w:rsidRPr="00EB2BD8" w:rsidRDefault="00EB2BD8">
            <w:pPr>
              <w:pStyle w:val="TableParagraph"/>
              <w:spacing w:before="115"/>
              <w:ind w:left="113"/>
              <w:rPr>
                <w:sz w:val="16"/>
              </w:rPr>
            </w:pPr>
            <w:r w:rsidRPr="00EB2BD8">
              <w:rPr>
                <w:sz w:val="16"/>
              </w:rPr>
              <w:t>ZOUZOULAS,</w:t>
            </w:r>
            <w:r w:rsidRPr="00EB2BD8">
              <w:rPr>
                <w:spacing w:val="-13"/>
                <w:sz w:val="16"/>
              </w:rPr>
              <w:t xml:space="preserve"> </w:t>
            </w:r>
            <w:r w:rsidRPr="00EB2BD8">
              <w:rPr>
                <w:spacing w:val="-5"/>
                <w:w w:val="110"/>
                <w:sz w:val="16"/>
              </w:rPr>
              <w:t>Jim</w:t>
            </w:r>
          </w:p>
        </w:tc>
        <w:tc>
          <w:tcPr>
            <w:tcW w:w="1464" w:type="dxa"/>
            <w:tcBorders>
              <w:top w:val="single" w:sz="2" w:space="0" w:color="000000"/>
            </w:tcBorders>
          </w:tcPr>
          <w:p w14:paraId="3570A768" w14:textId="77777777" w:rsidR="00084F36" w:rsidRPr="00EB2BD8" w:rsidRDefault="00EB2BD8">
            <w:pPr>
              <w:pStyle w:val="TableParagraph"/>
              <w:spacing w:before="115"/>
              <w:ind w:left="165"/>
              <w:rPr>
                <w:sz w:val="16"/>
              </w:rPr>
            </w:pPr>
            <w:r w:rsidRPr="00EB2BD8">
              <w:rPr>
                <w:w w:val="105"/>
                <w:sz w:val="16"/>
              </w:rPr>
              <w:t>DB-U</w:t>
            </w:r>
            <w:r w:rsidRPr="00EB2BD8">
              <w:rPr>
                <w:spacing w:val="1"/>
                <w:w w:val="105"/>
                <w:sz w:val="16"/>
              </w:rPr>
              <w:t xml:space="preserve"> </w:t>
            </w:r>
            <w:r w:rsidRPr="00EB2BD8">
              <w:rPr>
                <w:spacing w:val="-2"/>
                <w:w w:val="105"/>
                <w:sz w:val="16"/>
              </w:rPr>
              <w:t>43468</w:t>
            </w:r>
          </w:p>
        </w:tc>
        <w:tc>
          <w:tcPr>
            <w:tcW w:w="2489" w:type="dxa"/>
            <w:tcBorders>
              <w:top w:val="single" w:sz="2" w:space="0" w:color="000000"/>
            </w:tcBorders>
          </w:tcPr>
          <w:p w14:paraId="3DD317B3" w14:textId="77777777" w:rsidR="00084F36" w:rsidRPr="00EB2BD8" w:rsidRDefault="00EB2BD8">
            <w:pPr>
              <w:pStyle w:val="TableParagraph"/>
              <w:spacing w:before="115"/>
              <w:ind w:left="334"/>
              <w:rPr>
                <w:sz w:val="16"/>
              </w:rPr>
            </w:pPr>
            <w:r w:rsidRPr="00EB2BD8">
              <w:rPr>
                <w:sz w:val="16"/>
              </w:rPr>
              <w:t>Building</w:t>
            </w:r>
            <w:r w:rsidRPr="00EB2BD8">
              <w:rPr>
                <w:spacing w:val="-11"/>
                <w:sz w:val="16"/>
              </w:rPr>
              <w:t xml:space="preserve"> </w:t>
            </w:r>
            <w:r w:rsidRPr="00EB2BD8">
              <w:rPr>
                <w:sz w:val="16"/>
              </w:rPr>
              <w:t>contrary</w:t>
            </w:r>
            <w:r w:rsidRPr="00EB2BD8">
              <w:rPr>
                <w:spacing w:val="-10"/>
                <w:sz w:val="16"/>
              </w:rPr>
              <w:t xml:space="preserve"> </w:t>
            </w:r>
            <w:r w:rsidRPr="00EB2BD8">
              <w:rPr>
                <w:sz w:val="16"/>
              </w:rPr>
              <w:t>to</w:t>
            </w:r>
            <w:r w:rsidRPr="00EB2BD8">
              <w:rPr>
                <w:spacing w:val="-10"/>
                <w:sz w:val="16"/>
              </w:rPr>
              <w:t xml:space="preserve"> </w:t>
            </w:r>
            <w:r w:rsidRPr="00EB2BD8">
              <w:rPr>
                <w:spacing w:val="-5"/>
                <w:sz w:val="16"/>
              </w:rPr>
              <w:t>the</w:t>
            </w:r>
          </w:p>
        </w:tc>
        <w:tc>
          <w:tcPr>
            <w:tcW w:w="2249" w:type="dxa"/>
            <w:tcBorders>
              <w:top w:val="single" w:sz="2" w:space="0" w:color="000000"/>
            </w:tcBorders>
          </w:tcPr>
          <w:p w14:paraId="6640FC7A" w14:textId="77777777" w:rsidR="00084F36" w:rsidRPr="00EB2BD8" w:rsidRDefault="00EB2BD8">
            <w:pPr>
              <w:pStyle w:val="TableParagraph"/>
              <w:spacing w:before="114"/>
              <w:ind w:left="124"/>
              <w:rPr>
                <w:sz w:val="16"/>
              </w:rPr>
            </w:pPr>
            <w:r w:rsidRPr="00EB2BD8">
              <w:rPr>
                <w:sz w:val="16"/>
              </w:rPr>
              <w:t>Reprimand</w:t>
            </w:r>
            <w:r w:rsidRPr="00EB2BD8">
              <w:rPr>
                <w:spacing w:val="3"/>
                <w:sz w:val="16"/>
              </w:rPr>
              <w:t xml:space="preserve"> </w:t>
            </w:r>
            <w:r w:rsidRPr="00EB2BD8">
              <w:rPr>
                <w:sz w:val="16"/>
              </w:rPr>
              <w:t>and</w:t>
            </w:r>
            <w:r w:rsidRPr="00EB2BD8">
              <w:rPr>
                <w:spacing w:val="4"/>
                <w:sz w:val="16"/>
              </w:rPr>
              <w:t xml:space="preserve"> </w:t>
            </w:r>
            <w:r w:rsidRPr="00EB2BD8">
              <w:rPr>
                <w:sz w:val="16"/>
              </w:rPr>
              <w:t>a</w:t>
            </w:r>
            <w:r w:rsidRPr="00EB2BD8">
              <w:rPr>
                <w:spacing w:val="3"/>
                <w:sz w:val="16"/>
              </w:rPr>
              <w:t xml:space="preserve"> </w:t>
            </w:r>
            <w:r w:rsidRPr="00EB2BD8">
              <w:rPr>
                <w:spacing w:val="-2"/>
                <w:sz w:val="16"/>
              </w:rPr>
              <w:t>penalty</w:t>
            </w:r>
          </w:p>
        </w:tc>
        <w:tc>
          <w:tcPr>
            <w:tcW w:w="1119" w:type="dxa"/>
            <w:tcBorders>
              <w:top w:val="single" w:sz="2" w:space="0" w:color="000000"/>
            </w:tcBorders>
          </w:tcPr>
          <w:p w14:paraId="6622B4FA" w14:textId="77777777" w:rsidR="00084F36" w:rsidRPr="00EB2BD8" w:rsidRDefault="00EB2BD8">
            <w:pPr>
              <w:pStyle w:val="TableParagraph"/>
              <w:spacing w:before="114"/>
              <w:ind w:right="112"/>
              <w:jc w:val="right"/>
              <w:rPr>
                <w:sz w:val="16"/>
              </w:rPr>
            </w:pPr>
            <w:r w:rsidRPr="00EB2BD8">
              <w:rPr>
                <w:spacing w:val="-2"/>
                <w:sz w:val="16"/>
              </w:rPr>
              <w:t>$1,000</w:t>
            </w:r>
          </w:p>
        </w:tc>
        <w:tc>
          <w:tcPr>
            <w:tcW w:w="1177" w:type="dxa"/>
            <w:tcBorders>
              <w:top w:val="single" w:sz="2" w:space="0" w:color="000000"/>
            </w:tcBorders>
          </w:tcPr>
          <w:p w14:paraId="5C85C0CC" w14:textId="77777777" w:rsidR="00084F36" w:rsidRPr="00EB2BD8" w:rsidRDefault="00EB2BD8">
            <w:pPr>
              <w:pStyle w:val="TableParagraph"/>
              <w:spacing w:before="114"/>
              <w:ind w:left="112"/>
              <w:rPr>
                <w:sz w:val="16"/>
              </w:rPr>
            </w:pPr>
            <w:r w:rsidRPr="00EB2BD8">
              <w:rPr>
                <w:spacing w:val="-2"/>
                <w:w w:val="95"/>
                <w:sz w:val="16"/>
              </w:rPr>
              <w:t>20/09/2022</w:t>
            </w:r>
          </w:p>
        </w:tc>
      </w:tr>
      <w:tr w:rsidR="00EB2BD8" w:rsidRPr="00EB2BD8" w14:paraId="1F1A65F6" w14:textId="77777777">
        <w:trPr>
          <w:trHeight w:val="230"/>
        </w:trPr>
        <w:tc>
          <w:tcPr>
            <w:tcW w:w="1705" w:type="dxa"/>
          </w:tcPr>
          <w:p w14:paraId="10D62CDB" w14:textId="77777777" w:rsidR="00084F36" w:rsidRPr="00EB2BD8" w:rsidRDefault="00084F36">
            <w:pPr>
              <w:pStyle w:val="TableParagraph"/>
              <w:rPr>
                <w:rFonts w:ascii="Times New Roman"/>
                <w:sz w:val="16"/>
              </w:rPr>
            </w:pPr>
          </w:p>
        </w:tc>
        <w:tc>
          <w:tcPr>
            <w:tcW w:w="1464" w:type="dxa"/>
          </w:tcPr>
          <w:p w14:paraId="03838BC1" w14:textId="77777777" w:rsidR="00084F36" w:rsidRPr="00EB2BD8" w:rsidRDefault="00084F36">
            <w:pPr>
              <w:pStyle w:val="TableParagraph"/>
              <w:rPr>
                <w:rFonts w:ascii="Times New Roman"/>
                <w:sz w:val="16"/>
              </w:rPr>
            </w:pPr>
          </w:p>
        </w:tc>
        <w:tc>
          <w:tcPr>
            <w:tcW w:w="2489" w:type="dxa"/>
          </w:tcPr>
          <w:p w14:paraId="68951572" w14:textId="77777777" w:rsidR="00084F36" w:rsidRPr="00EB2BD8" w:rsidRDefault="00EB2BD8">
            <w:pPr>
              <w:pStyle w:val="TableParagraph"/>
              <w:spacing w:before="19"/>
              <w:ind w:left="334"/>
              <w:rPr>
                <w:sz w:val="16"/>
              </w:rPr>
            </w:pPr>
            <w:r w:rsidRPr="00EB2BD8">
              <w:rPr>
                <w:spacing w:val="-2"/>
                <w:sz w:val="16"/>
              </w:rPr>
              <w:t>building</w:t>
            </w:r>
            <w:r w:rsidRPr="00EB2BD8">
              <w:rPr>
                <w:spacing w:val="-10"/>
                <w:sz w:val="16"/>
              </w:rPr>
              <w:t xml:space="preserve"> </w:t>
            </w:r>
            <w:r w:rsidRPr="00EB2BD8">
              <w:rPr>
                <w:spacing w:val="-2"/>
                <w:sz w:val="16"/>
              </w:rPr>
              <w:t>permit</w:t>
            </w:r>
            <w:r w:rsidRPr="00EB2BD8">
              <w:rPr>
                <w:spacing w:val="-10"/>
                <w:sz w:val="16"/>
              </w:rPr>
              <w:t xml:space="preserve"> </w:t>
            </w:r>
            <w:r w:rsidRPr="00EB2BD8">
              <w:rPr>
                <w:spacing w:val="-2"/>
                <w:sz w:val="16"/>
              </w:rPr>
              <w:t>for</w:t>
            </w:r>
            <w:r w:rsidRPr="00EB2BD8">
              <w:rPr>
                <w:spacing w:val="-9"/>
                <w:sz w:val="16"/>
              </w:rPr>
              <w:t xml:space="preserve"> </w:t>
            </w:r>
            <w:r w:rsidRPr="00EB2BD8">
              <w:rPr>
                <w:spacing w:val="-4"/>
                <w:sz w:val="16"/>
              </w:rPr>
              <w:t>work</w:t>
            </w:r>
          </w:p>
        </w:tc>
        <w:tc>
          <w:tcPr>
            <w:tcW w:w="2249" w:type="dxa"/>
          </w:tcPr>
          <w:p w14:paraId="3A64A84E" w14:textId="77777777" w:rsidR="00084F36" w:rsidRPr="00EB2BD8" w:rsidRDefault="00EB2BD8">
            <w:pPr>
              <w:pStyle w:val="TableParagraph"/>
              <w:spacing w:before="19"/>
              <w:ind w:left="124"/>
              <w:rPr>
                <w:sz w:val="16"/>
              </w:rPr>
            </w:pPr>
            <w:r w:rsidRPr="00EB2BD8">
              <w:rPr>
                <w:spacing w:val="-4"/>
                <w:sz w:val="16"/>
              </w:rPr>
              <w:t>of</w:t>
            </w:r>
            <w:r w:rsidRPr="00EB2BD8">
              <w:rPr>
                <w:spacing w:val="-10"/>
                <w:sz w:val="16"/>
              </w:rPr>
              <w:t xml:space="preserve"> </w:t>
            </w:r>
            <w:r w:rsidRPr="00EB2BD8">
              <w:rPr>
                <w:spacing w:val="-2"/>
                <w:sz w:val="16"/>
              </w:rPr>
              <w:t>$1,000.</w:t>
            </w:r>
          </w:p>
        </w:tc>
        <w:tc>
          <w:tcPr>
            <w:tcW w:w="1119" w:type="dxa"/>
          </w:tcPr>
          <w:p w14:paraId="429995C6" w14:textId="77777777" w:rsidR="00084F36" w:rsidRPr="00EB2BD8" w:rsidRDefault="00084F36">
            <w:pPr>
              <w:pStyle w:val="TableParagraph"/>
              <w:rPr>
                <w:rFonts w:ascii="Times New Roman"/>
                <w:sz w:val="16"/>
              </w:rPr>
            </w:pPr>
          </w:p>
        </w:tc>
        <w:tc>
          <w:tcPr>
            <w:tcW w:w="1177" w:type="dxa"/>
          </w:tcPr>
          <w:p w14:paraId="191393D1" w14:textId="77777777" w:rsidR="00084F36" w:rsidRPr="00EB2BD8" w:rsidRDefault="00084F36">
            <w:pPr>
              <w:pStyle w:val="TableParagraph"/>
              <w:rPr>
                <w:rFonts w:ascii="Times New Roman"/>
                <w:sz w:val="16"/>
              </w:rPr>
            </w:pPr>
          </w:p>
        </w:tc>
      </w:tr>
      <w:tr w:rsidR="00EB2BD8" w:rsidRPr="00EB2BD8" w14:paraId="09CAC379" w14:textId="77777777">
        <w:trPr>
          <w:trHeight w:val="229"/>
        </w:trPr>
        <w:tc>
          <w:tcPr>
            <w:tcW w:w="1705" w:type="dxa"/>
          </w:tcPr>
          <w:p w14:paraId="52C64836" w14:textId="77777777" w:rsidR="00084F36" w:rsidRPr="00EB2BD8" w:rsidRDefault="00084F36">
            <w:pPr>
              <w:pStyle w:val="TableParagraph"/>
              <w:rPr>
                <w:rFonts w:ascii="Times New Roman"/>
                <w:sz w:val="16"/>
              </w:rPr>
            </w:pPr>
          </w:p>
        </w:tc>
        <w:tc>
          <w:tcPr>
            <w:tcW w:w="1464" w:type="dxa"/>
          </w:tcPr>
          <w:p w14:paraId="1BCD2227" w14:textId="77777777" w:rsidR="00084F36" w:rsidRPr="00EB2BD8" w:rsidRDefault="00084F36">
            <w:pPr>
              <w:pStyle w:val="TableParagraph"/>
              <w:rPr>
                <w:rFonts w:ascii="Times New Roman"/>
                <w:sz w:val="16"/>
              </w:rPr>
            </w:pPr>
          </w:p>
        </w:tc>
        <w:tc>
          <w:tcPr>
            <w:tcW w:w="2489" w:type="dxa"/>
          </w:tcPr>
          <w:p w14:paraId="27A3E02D" w14:textId="77777777" w:rsidR="00084F36" w:rsidRPr="00EB2BD8" w:rsidRDefault="00EB2BD8">
            <w:pPr>
              <w:pStyle w:val="TableParagraph"/>
              <w:spacing w:before="19"/>
              <w:ind w:left="334"/>
              <w:rPr>
                <w:sz w:val="16"/>
              </w:rPr>
            </w:pPr>
            <w:r w:rsidRPr="00EB2BD8">
              <w:rPr>
                <w:sz w:val="16"/>
              </w:rPr>
              <w:t>at</w:t>
            </w:r>
            <w:r w:rsidRPr="00EB2BD8">
              <w:rPr>
                <w:spacing w:val="-12"/>
                <w:sz w:val="16"/>
              </w:rPr>
              <w:t xml:space="preserve"> </w:t>
            </w:r>
            <w:r w:rsidRPr="00EB2BD8">
              <w:rPr>
                <w:sz w:val="16"/>
              </w:rPr>
              <w:t>Camberwell,</w:t>
            </w:r>
            <w:r w:rsidRPr="00EB2BD8">
              <w:rPr>
                <w:spacing w:val="-12"/>
                <w:sz w:val="16"/>
              </w:rPr>
              <w:t xml:space="preserve"> </w:t>
            </w:r>
            <w:r w:rsidRPr="00EB2BD8">
              <w:rPr>
                <w:sz w:val="16"/>
              </w:rPr>
              <w:t>by</w:t>
            </w:r>
            <w:r w:rsidRPr="00EB2BD8">
              <w:rPr>
                <w:spacing w:val="-11"/>
                <w:sz w:val="16"/>
              </w:rPr>
              <w:t xml:space="preserve"> </w:t>
            </w:r>
            <w:r w:rsidRPr="00EB2BD8">
              <w:rPr>
                <w:spacing w:val="-2"/>
                <w:sz w:val="16"/>
              </w:rPr>
              <w:t>failing</w:t>
            </w:r>
          </w:p>
        </w:tc>
        <w:tc>
          <w:tcPr>
            <w:tcW w:w="2249" w:type="dxa"/>
          </w:tcPr>
          <w:p w14:paraId="54DBE60E" w14:textId="77777777" w:rsidR="00084F36" w:rsidRPr="00EB2BD8" w:rsidRDefault="00084F36">
            <w:pPr>
              <w:pStyle w:val="TableParagraph"/>
              <w:rPr>
                <w:rFonts w:ascii="Times New Roman"/>
                <w:sz w:val="16"/>
              </w:rPr>
            </w:pPr>
          </w:p>
        </w:tc>
        <w:tc>
          <w:tcPr>
            <w:tcW w:w="1119" w:type="dxa"/>
          </w:tcPr>
          <w:p w14:paraId="13157A69" w14:textId="77777777" w:rsidR="00084F36" w:rsidRPr="00EB2BD8" w:rsidRDefault="00084F36">
            <w:pPr>
              <w:pStyle w:val="TableParagraph"/>
              <w:rPr>
                <w:rFonts w:ascii="Times New Roman"/>
                <w:sz w:val="16"/>
              </w:rPr>
            </w:pPr>
          </w:p>
        </w:tc>
        <w:tc>
          <w:tcPr>
            <w:tcW w:w="1177" w:type="dxa"/>
          </w:tcPr>
          <w:p w14:paraId="3A05C106" w14:textId="77777777" w:rsidR="00084F36" w:rsidRPr="00EB2BD8" w:rsidRDefault="00084F36">
            <w:pPr>
              <w:pStyle w:val="TableParagraph"/>
              <w:rPr>
                <w:rFonts w:ascii="Times New Roman"/>
                <w:sz w:val="16"/>
              </w:rPr>
            </w:pPr>
          </w:p>
        </w:tc>
      </w:tr>
      <w:tr w:rsidR="00EB2BD8" w:rsidRPr="00EB2BD8" w14:paraId="1567830A" w14:textId="77777777">
        <w:trPr>
          <w:trHeight w:val="229"/>
        </w:trPr>
        <w:tc>
          <w:tcPr>
            <w:tcW w:w="1705" w:type="dxa"/>
          </w:tcPr>
          <w:p w14:paraId="42B9A697" w14:textId="77777777" w:rsidR="00084F36" w:rsidRPr="00EB2BD8" w:rsidRDefault="00084F36">
            <w:pPr>
              <w:pStyle w:val="TableParagraph"/>
              <w:rPr>
                <w:rFonts w:ascii="Times New Roman"/>
                <w:sz w:val="16"/>
              </w:rPr>
            </w:pPr>
          </w:p>
        </w:tc>
        <w:tc>
          <w:tcPr>
            <w:tcW w:w="1464" w:type="dxa"/>
          </w:tcPr>
          <w:p w14:paraId="6738BA15" w14:textId="77777777" w:rsidR="00084F36" w:rsidRPr="00EB2BD8" w:rsidRDefault="00084F36">
            <w:pPr>
              <w:pStyle w:val="TableParagraph"/>
              <w:rPr>
                <w:rFonts w:ascii="Times New Roman"/>
                <w:sz w:val="16"/>
              </w:rPr>
            </w:pPr>
          </w:p>
        </w:tc>
        <w:tc>
          <w:tcPr>
            <w:tcW w:w="2489" w:type="dxa"/>
          </w:tcPr>
          <w:p w14:paraId="06479F8F" w14:textId="77777777" w:rsidR="00084F36" w:rsidRPr="00EB2BD8" w:rsidRDefault="00EB2BD8">
            <w:pPr>
              <w:pStyle w:val="TableParagraph"/>
              <w:spacing w:before="19"/>
              <w:ind w:left="334"/>
              <w:rPr>
                <w:sz w:val="16"/>
              </w:rPr>
            </w:pPr>
            <w:r w:rsidRPr="00EB2BD8">
              <w:rPr>
                <w:sz w:val="16"/>
              </w:rPr>
              <w:t>to</w:t>
            </w:r>
            <w:r w:rsidRPr="00EB2BD8">
              <w:rPr>
                <w:spacing w:val="-7"/>
                <w:sz w:val="16"/>
              </w:rPr>
              <w:t xml:space="preserve"> </w:t>
            </w:r>
            <w:r w:rsidRPr="00EB2BD8">
              <w:rPr>
                <w:sz w:val="16"/>
              </w:rPr>
              <w:t>construct</w:t>
            </w:r>
            <w:r w:rsidRPr="00EB2BD8">
              <w:rPr>
                <w:spacing w:val="-7"/>
                <w:sz w:val="16"/>
              </w:rPr>
              <w:t xml:space="preserve"> </w:t>
            </w:r>
            <w:r w:rsidRPr="00EB2BD8">
              <w:rPr>
                <w:sz w:val="16"/>
              </w:rPr>
              <w:t>a</w:t>
            </w:r>
            <w:r w:rsidRPr="00EB2BD8">
              <w:rPr>
                <w:spacing w:val="-7"/>
                <w:sz w:val="16"/>
              </w:rPr>
              <w:t xml:space="preserve"> </w:t>
            </w:r>
            <w:r w:rsidRPr="00EB2BD8">
              <w:rPr>
                <w:spacing w:val="-2"/>
                <w:sz w:val="16"/>
              </w:rPr>
              <w:t>retaining</w:t>
            </w:r>
          </w:p>
        </w:tc>
        <w:tc>
          <w:tcPr>
            <w:tcW w:w="2249" w:type="dxa"/>
          </w:tcPr>
          <w:p w14:paraId="04C0E1F5" w14:textId="77777777" w:rsidR="00084F36" w:rsidRPr="00EB2BD8" w:rsidRDefault="00084F36">
            <w:pPr>
              <w:pStyle w:val="TableParagraph"/>
              <w:rPr>
                <w:rFonts w:ascii="Times New Roman"/>
                <w:sz w:val="16"/>
              </w:rPr>
            </w:pPr>
          </w:p>
        </w:tc>
        <w:tc>
          <w:tcPr>
            <w:tcW w:w="1119" w:type="dxa"/>
          </w:tcPr>
          <w:p w14:paraId="76A91F89" w14:textId="77777777" w:rsidR="00084F36" w:rsidRPr="00EB2BD8" w:rsidRDefault="00084F36">
            <w:pPr>
              <w:pStyle w:val="TableParagraph"/>
              <w:rPr>
                <w:rFonts w:ascii="Times New Roman"/>
                <w:sz w:val="16"/>
              </w:rPr>
            </w:pPr>
          </w:p>
        </w:tc>
        <w:tc>
          <w:tcPr>
            <w:tcW w:w="1177" w:type="dxa"/>
          </w:tcPr>
          <w:p w14:paraId="512BB910" w14:textId="77777777" w:rsidR="00084F36" w:rsidRPr="00EB2BD8" w:rsidRDefault="00084F36">
            <w:pPr>
              <w:pStyle w:val="TableParagraph"/>
              <w:rPr>
                <w:rFonts w:ascii="Times New Roman"/>
                <w:sz w:val="16"/>
              </w:rPr>
            </w:pPr>
          </w:p>
        </w:tc>
      </w:tr>
      <w:tr w:rsidR="00EB2BD8" w:rsidRPr="00EB2BD8" w14:paraId="66ADF957" w14:textId="77777777">
        <w:trPr>
          <w:trHeight w:val="229"/>
        </w:trPr>
        <w:tc>
          <w:tcPr>
            <w:tcW w:w="1705" w:type="dxa"/>
          </w:tcPr>
          <w:p w14:paraId="3F1AE382" w14:textId="77777777" w:rsidR="00084F36" w:rsidRPr="00EB2BD8" w:rsidRDefault="00084F36">
            <w:pPr>
              <w:pStyle w:val="TableParagraph"/>
              <w:rPr>
                <w:rFonts w:ascii="Times New Roman"/>
                <w:sz w:val="16"/>
              </w:rPr>
            </w:pPr>
          </w:p>
        </w:tc>
        <w:tc>
          <w:tcPr>
            <w:tcW w:w="1464" w:type="dxa"/>
          </w:tcPr>
          <w:p w14:paraId="0596DA02" w14:textId="77777777" w:rsidR="00084F36" w:rsidRPr="00EB2BD8" w:rsidRDefault="00084F36">
            <w:pPr>
              <w:pStyle w:val="TableParagraph"/>
              <w:rPr>
                <w:rFonts w:ascii="Times New Roman"/>
                <w:sz w:val="16"/>
              </w:rPr>
            </w:pPr>
          </w:p>
        </w:tc>
        <w:tc>
          <w:tcPr>
            <w:tcW w:w="2489" w:type="dxa"/>
          </w:tcPr>
          <w:p w14:paraId="073621CC" w14:textId="77777777" w:rsidR="00084F36" w:rsidRPr="00EB2BD8" w:rsidRDefault="00EB2BD8">
            <w:pPr>
              <w:pStyle w:val="TableParagraph"/>
              <w:spacing w:before="19"/>
              <w:ind w:left="334"/>
              <w:rPr>
                <w:sz w:val="16"/>
              </w:rPr>
            </w:pPr>
            <w:r w:rsidRPr="00EB2BD8">
              <w:rPr>
                <w:sz w:val="16"/>
              </w:rPr>
              <w:t>wall</w:t>
            </w:r>
            <w:r w:rsidRPr="00EB2BD8">
              <w:rPr>
                <w:spacing w:val="-11"/>
                <w:sz w:val="16"/>
              </w:rPr>
              <w:t xml:space="preserve"> </w:t>
            </w:r>
            <w:r w:rsidRPr="00EB2BD8">
              <w:rPr>
                <w:sz w:val="16"/>
              </w:rPr>
              <w:t>and</w:t>
            </w:r>
            <w:r w:rsidRPr="00EB2BD8">
              <w:rPr>
                <w:spacing w:val="-10"/>
                <w:sz w:val="16"/>
              </w:rPr>
              <w:t xml:space="preserve"> </w:t>
            </w:r>
            <w:r w:rsidRPr="00EB2BD8">
              <w:rPr>
                <w:sz w:val="16"/>
              </w:rPr>
              <w:t>constructing</w:t>
            </w:r>
            <w:r w:rsidRPr="00EB2BD8">
              <w:rPr>
                <w:spacing w:val="-10"/>
                <w:sz w:val="16"/>
              </w:rPr>
              <w:t xml:space="preserve"> a</w:t>
            </w:r>
          </w:p>
        </w:tc>
        <w:tc>
          <w:tcPr>
            <w:tcW w:w="2249" w:type="dxa"/>
          </w:tcPr>
          <w:p w14:paraId="42BB42E3" w14:textId="77777777" w:rsidR="00084F36" w:rsidRPr="00EB2BD8" w:rsidRDefault="00084F36">
            <w:pPr>
              <w:pStyle w:val="TableParagraph"/>
              <w:rPr>
                <w:rFonts w:ascii="Times New Roman"/>
                <w:sz w:val="16"/>
              </w:rPr>
            </w:pPr>
          </w:p>
        </w:tc>
        <w:tc>
          <w:tcPr>
            <w:tcW w:w="1119" w:type="dxa"/>
          </w:tcPr>
          <w:p w14:paraId="2501C5A6" w14:textId="77777777" w:rsidR="00084F36" w:rsidRPr="00EB2BD8" w:rsidRDefault="00084F36">
            <w:pPr>
              <w:pStyle w:val="TableParagraph"/>
              <w:rPr>
                <w:rFonts w:ascii="Times New Roman"/>
                <w:sz w:val="16"/>
              </w:rPr>
            </w:pPr>
          </w:p>
        </w:tc>
        <w:tc>
          <w:tcPr>
            <w:tcW w:w="1177" w:type="dxa"/>
          </w:tcPr>
          <w:p w14:paraId="50083A36" w14:textId="77777777" w:rsidR="00084F36" w:rsidRPr="00EB2BD8" w:rsidRDefault="00084F36">
            <w:pPr>
              <w:pStyle w:val="TableParagraph"/>
              <w:rPr>
                <w:rFonts w:ascii="Times New Roman"/>
                <w:sz w:val="16"/>
              </w:rPr>
            </w:pPr>
          </w:p>
        </w:tc>
      </w:tr>
      <w:tr w:rsidR="00EB2BD8" w:rsidRPr="00EB2BD8" w14:paraId="5B836062" w14:textId="77777777">
        <w:trPr>
          <w:trHeight w:val="229"/>
        </w:trPr>
        <w:tc>
          <w:tcPr>
            <w:tcW w:w="1705" w:type="dxa"/>
          </w:tcPr>
          <w:p w14:paraId="3B4362A3" w14:textId="77777777" w:rsidR="00084F36" w:rsidRPr="00EB2BD8" w:rsidRDefault="00084F36">
            <w:pPr>
              <w:pStyle w:val="TableParagraph"/>
              <w:rPr>
                <w:rFonts w:ascii="Times New Roman"/>
                <w:sz w:val="16"/>
              </w:rPr>
            </w:pPr>
          </w:p>
        </w:tc>
        <w:tc>
          <w:tcPr>
            <w:tcW w:w="1464" w:type="dxa"/>
          </w:tcPr>
          <w:p w14:paraId="232BCD80" w14:textId="77777777" w:rsidR="00084F36" w:rsidRPr="00EB2BD8" w:rsidRDefault="00084F36">
            <w:pPr>
              <w:pStyle w:val="TableParagraph"/>
              <w:rPr>
                <w:rFonts w:ascii="Times New Roman"/>
                <w:sz w:val="16"/>
              </w:rPr>
            </w:pPr>
          </w:p>
        </w:tc>
        <w:tc>
          <w:tcPr>
            <w:tcW w:w="2489" w:type="dxa"/>
          </w:tcPr>
          <w:p w14:paraId="62776983" w14:textId="77777777" w:rsidR="00084F36" w:rsidRPr="00EB2BD8" w:rsidRDefault="00EB2BD8">
            <w:pPr>
              <w:pStyle w:val="TableParagraph"/>
              <w:spacing w:before="19"/>
              <w:ind w:left="334"/>
              <w:rPr>
                <w:sz w:val="16"/>
              </w:rPr>
            </w:pPr>
            <w:r w:rsidRPr="00EB2BD8">
              <w:rPr>
                <w:sz w:val="16"/>
              </w:rPr>
              <w:t>boundary</w:t>
            </w:r>
            <w:r w:rsidRPr="00EB2BD8">
              <w:rPr>
                <w:spacing w:val="-12"/>
                <w:sz w:val="16"/>
              </w:rPr>
              <w:t xml:space="preserve"> </w:t>
            </w:r>
            <w:r w:rsidRPr="00EB2BD8">
              <w:rPr>
                <w:sz w:val="16"/>
              </w:rPr>
              <w:t>wall</w:t>
            </w:r>
            <w:r w:rsidRPr="00EB2BD8">
              <w:rPr>
                <w:spacing w:val="-11"/>
                <w:sz w:val="16"/>
              </w:rPr>
              <w:t xml:space="preserve"> </w:t>
            </w:r>
            <w:r w:rsidRPr="00EB2BD8">
              <w:rPr>
                <w:sz w:val="16"/>
              </w:rPr>
              <w:t>higher</w:t>
            </w:r>
            <w:r w:rsidRPr="00EB2BD8">
              <w:rPr>
                <w:spacing w:val="-12"/>
                <w:sz w:val="16"/>
              </w:rPr>
              <w:t xml:space="preserve"> </w:t>
            </w:r>
            <w:r w:rsidRPr="00EB2BD8">
              <w:rPr>
                <w:spacing w:val="-4"/>
                <w:sz w:val="16"/>
              </w:rPr>
              <w:t>than</w:t>
            </w:r>
          </w:p>
        </w:tc>
        <w:tc>
          <w:tcPr>
            <w:tcW w:w="2249" w:type="dxa"/>
          </w:tcPr>
          <w:p w14:paraId="1A17A168" w14:textId="77777777" w:rsidR="00084F36" w:rsidRPr="00EB2BD8" w:rsidRDefault="00084F36">
            <w:pPr>
              <w:pStyle w:val="TableParagraph"/>
              <w:rPr>
                <w:rFonts w:ascii="Times New Roman"/>
                <w:sz w:val="16"/>
              </w:rPr>
            </w:pPr>
          </w:p>
        </w:tc>
        <w:tc>
          <w:tcPr>
            <w:tcW w:w="1119" w:type="dxa"/>
          </w:tcPr>
          <w:p w14:paraId="1797CBF4" w14:textId="77777777" w:rsidR="00084F36" w:rsidRPr="00EB2BD8" w:rsidRDefault="00084F36">
            <w:pPr>
              <w:pStyle w:val="TableParagraph"/>
              <w:rPr>
                <w:rFonts w:ascii="Times New Roman"/>
                <w:sz w:val="16"/>
              </w:rPr>
            </w:pPr>
          </w:p>
        </w:tc>
        <w:tc>
          <w:tcPr>
            <w:tcW w:w="1177" w:type="dxa"/>
          </w:tcPr>
          <w:p w14:paraId="357819D2" w14:textId="77777777" w:rsidR="00084F36" w:rsidRPr="00EB2BD8" w:rsidRDefault="00084F36">
            <w:pPr>
              <w:pStyle w:val="TableParagraph"/>
              <w:rPr>
                <w:rFonts w:ascii="Times New Roman"/>
                <w:sz w:val="16"/>
              </w:rPr>
            </w:pPr>
          </w:p>
        </w:tc>
      </w:tr>
      <w:tr w:rsidR="00084F36" w:rsidRPr="00EB2BD8" w14:paraId="5E880708" w14:textId="77777777">
        <w:trPr>
          <w:trHeight w:val="286"/>
        </w:trPr>
        <w:tc>
          <w:tcPr>
            <w:tcW w:w="1705" w:type="dxa"/>
            <w:tcBorders>
              <w:bottom w:val="single" w:sz="2" w:space="0" w:color="000000"/>
            </w:tcBorders>
          </w:tcPr>
          <w:p w14:paraId="5A157A4C" w14:textId="77777777" w:rsidR="00084F36" w:rsidRPr="00EB2BD8" w:rsidRDefault="00084F36">
            <w:pPr>
              <w:pStyle w:val="TableParagraph"/>
              <w:rPr>
                <w:rFonts w:ascii="Times New Roman"/>
                <w:sz w:val="16"/>
              </w:rPr>
            </w:pPr>
          </w:p>
        </w:tc>
        <w:tc>
          <w:tcPr>
            <w:tcW w:w="1464" w:type="dxa"/>
            <w:tcBorders>
              <w:bottom w:val="single" w:sz="2" w:space="0" w:color="000000"/>
            </w:tcBorders>
          </w:tcPr>
          <w:p w14:paraId="0501A8A1" w14:textId="77777777" w:rsidR="00084F36" w:rsidRPr="00EB2BD8" w:rsidRDefault="00084F36">
            <w:pPr>
              <w:pStyle w:val="TableParagraph"/>
              <w:rPr>
                <w:rFonts w:ascii="Times New Roman"/>
                <w:sz w:val="16"/>
              </w:rPr>
            </w:pPr>
          </w:p>
        </w:tc>
        <w:tc>
          <w:tcPr>
            <w:tcW w:w="2489" w:type="dxa"/>
            <w:tcBorders>
              <w:bottom w:val="single" w:sz="2" w:space="0" w:color="000000"/>
            </w:tcBorders>
          </w:tcPr>
          <w:p w14:paraId="2BAED4FF" w14:textId="77777777" w:rsidR="00084F36" w:rsidRPr="00EB2BD8" w:rsidRDefault="00EB2BD8">
            <w:pPr>
              <w:pStyle w:val="TableParagraph"/>
              <w:spacing w:before="19"/>
              <w:ind w:left="334"/>
              <w:rPr>
                <w:sz w:val="16"/>
              </w:rPr>
            </w:pPr>
            <w:r w:rsidRPr="00EB2BD8">
              <w:rPr>
                <w:spacing w:val="-2"/>
                <w:sz w:val="16"/>
              </w:rPr>
              <w:t>permitted.</w:t>
            </w:r>
          </w:p>
        </w:tc>
        <w:tc>
          <w:tcPr>
            <w:tcW w:w="2249" w:type="dxa"/>
            <w:tcBorders>
              <w:bottom w:val="single" w:sz="2" w:space="0" w:color="000000"/>
            </w:tcBorders>
          </w:tcPr>
          <w:p w14:paraId="6D2E106D" w14:textId="77777777" w:rsidR="00084F36" w:rsidRPr="00EB2BD8" w:rsidRDefault="00084F36">
            <w:pPr>
              <w:pStyle w:val="TableParagraph"/>
              <w:rPr>
                <w:rFonts w:ascii="Times New Roman"/>
                <w:sz w:val="16"/>
              </w:rPr>
            </w:pPr>
          </w:p>
        </w:tc>
        <w:tc>
          <w:tcPr>
            <w:tcW w:w="1119" w:type="dxa"/>
            <w:tcBorders>
              <w:bottom w:val="single" w:sz="2" w:space="0" w:color="000000"/>
            </w:tcBorders>
          </w:tcPr>
          <w:p w14:paraId="1B3924FA" w14:textId="77777777" w:rsidR="00084F36" w:rsidRPr="00EB2BD8" w:rsidRDefault="00084F36">
            <w:pPr>
              <w:pStyle w:val="TableParagraph"/>
              <w:rPr>
                <w:rFonts w:ascii="Times New Roman"/>
                <w:sz w:val="16"/>
              </w:rPr>
            </w:pPr>
          </w:p>
        </w:tc>
        <w:tc>
          <w:tcPr>
            <w:tcW w:w="1177" w:type="dxa"/>
            <w:tcBorders>
              <w:bottom w:val="single" w:sz="2" w:space="0" w:color="000000"/>
            </w:tcBorders>
          </w:tcPr>
          <w:p w14:paraId="7A4C5C90" w14:textId="77777777" w:rsidR="00084F36" w:rsidRPr="00EB2BD8" w:rsidRDefault="00084F36">
            <w:pPr>
              <w:pStyle w:val="TableParagraph"/>
              <w:rPr>
                <w:rFonts w:ascii="Times New Roman"/>
                <w:sz w:val="16"/>
              </w:rPr>
            </w:pPr>
          </w:p>
        </w:tc>
      </w:tr>
    </w:tbl>
    <w:p w14:paraId="2382AE87" w14:textId="77777777" w:rsidR="00084F36" w:rsidRPr="00EB2BD8" w:rsidRDefault="00084F36">
      <w:pPr>
        <w:rPr>
          <w:rFonts w:ascii="Times New Roman"/>
          <w:sz w:val="16"/>
        </w:rPr>
        <w:sectPr w:rsidR="00084F36" w:rsidRPr="00EB2BD8" w:rsidSect="006D75B2">
          <w:footerReference w:type="default" r:id="rId421"/>
          <w:pgSz w:w="11910" w:h="16840"/>
          <w:pgMar w:top="1100" w:right="0" w:bottom="700" w:left="0" w:header="0" w:footer="515" w:gutter="0"/>
          <w:cols w:space="720"/>
        </w:sectPr>
      </w:pPr>
    </w:p>
    <w:p w14:paraId="676E24BE" w14:textId="77777777" w:rsidR="00084F36" w:rsidRPr="00EB2BD8" w:rsidRDefault="00084F36">
      <w:pPr>
        <w:pStyle w:val="BodyText"/>
        <w:rPr>
          <w:i/>
          <w:sz w:val="20"/>
        </w:rPr>
      </w:pPr>
    </w:p>
    <w:p w14:paraId="0784739B" w14:textId="77777777" w:rsidR="00084F36" w:rsidRPr="00EB2BD8" w:rsidRDefault="00084F36">
      <w:pPr>
        <w:pStyle w:val="BodyText"/>
        <w:rPr>
          <w:i/>
          <w:sz w:val="20"/>
        </w:rPr>
      </w:pPr>
    </w:p>
    <w:p w14:paraId="7F53A7F8" w14:textId="77777777" w:rsidR="00084F36" w:rsidRPr="00EB2BD8" w:rsidRDefault="00084F36">
      <w:pPr>
        <w:pStyle w:val="BodyText"/>
        <w:rPr>
          <w:i/>
          <w:sz w:val="20"/>
        </w:rPr>
      </w:pPr>
    </w:p>
    <w:p w14:paraId="475FCACE" w14:textId="77777777" w:rsidR="00084F36" w:rsidRPr="00EB2BD8" w:rsidRDefault="00084F36">
      <w:pPr>
        <w:pStyle w:val="BodyText"/>
        <w:rPr>
          <w:i/>
          <w:sz w:val="20"/>
        </w:rPr>
      </w:pPr>
    </w:p>
    <w:p w14:paraId="40F42876" w14:textId="77777777" w:rsidR="00084F36" w:rsidRPr="00EB2BD8" w:rsidRDefault="00084F36">
      <w:pPr>
        <w:pStyle w:val="BodyText"/>
        <w:spacing w:before="4"/>
        <w:rPr>
          <w:i/>
          <w:sz w:val="17"/>
        </w:rPr>
      </w:pPr>
    </w:p>
    <w:p w14:paraId="71C118B9" w14:textId="77777777" w:rsidR="00084F36" w:rsidRPr="00EB2BD8" w:rsidRDefault="00EB2BD8" w:rsidP="00697E0C">
      <w:pPr>
        <w:pStyle w:val="Heading3"/>
      </w:pPr>
      <w:bookmarkStart w:id="435" w:name="_Toc150762737"/>
      <w:r w:rsidRPr="00EB2BD8">
        <w:t>Table</w:t>
      </w:r>
      <w:r w:rsidRPr="00EB2BD8">
        <w:rPr>
          <w:spacing w:val="-12"/>
        </w:rPr>
        <w:t xml:space="preserve"> </w:t>
      </w:r>
      <w:r w:rsidRPr="00EB2BD8">
        <w:t>25:</w:t>
      </w:r>
      <w:r w:rsidRPr="00EB2BD8">
        <w:rPr>
          <w:spacing w:val="-11"/>
        </w:rPr>
        <w:t xml:space="preserve"> </w:t>
      </w:r>
      <w:r w:rsidRPr="00EB2BD8">
        <w:t>Building</w:t>
      </w:r>
      <w:r w:rsidRPr="00EB2BD8">
        <w:rPr>
          <w:spacing w:val="-12"/>
        </w:rPr>
        <w:t xml:space="preserve"> </w:t>
      </w:r>
      <w:r w:rsidRPr="00EB2BD8">
        <w:t>Practitioner</w:t>
      </w:r>
      <w:r w:rsidRPr="00EB2BD8">
        <w:rPr>
          <w:spacing w:val="-11"/>
        </w:rPr>
        <w:t xml:space="preserve"> </w:t>
      </w:r>
      <w:r w:rsidRPr="00EB2BD8">
        <w:t>Discipline</w:t>
      </w:r>
      <w:r w:rsidRPr="00EB2BD8">
        <w:rPr>
          <w:spacing w:val="-11"/>
        </w:rPr>
        <w:t xml:space="preserve"> </w:t>
      </w:r>
      <w:r w:rsidRPr="00EB2BD8">
        <w:t>outcomes</w:t>
      </w:r>
      <w:r w:rsidRPr="00EB2BD8">
        <w:rPr>
          <w:spacing w:val="-12"/>
        </w:rPr>
        <w:t xml:space="preserve"> </w:t>
      </w:r>
      <w:r w:rsidRPr="00EB2BD8">
        <w:rPr>
          <w:spacing w:val="-2"/>
        </w:rPr>
        <w:t>(Company)</w:t>
      </w:r>
      <w:bookmarkEnd w:id="435"/>
    </w:p>
    <w:p w14:paraId="17DE5397" w14:textId="77777777" w:rsidR="00084F36" w:rsidRPr="00EB2BD8" w:rsidRDefault="00084F36">
      <w:pPr>
        <w:pStyle w:val="BodyText"/>
        <w:spacing w:before="5"/>
        <w:rPr>
          <w:sz w:val="20"/>
        </w:rPr>
      </w:pPr>
    </w:p>
    <w:tbl>
      <w:tblPr>
        <w:tblW w:w="0" w:type="auto"/>
        <w:tblInd w:w="857" w:type="dxa"/>
        <w:tblLayout w:type="fixed"/>
        <w:tblCellMar>
          <w:left w:w="0" w:type="dxa"/>
          <w:right w:w="0" w:type="dxa"/>
        </w:tblCellMar>
        <w:tblLook w:val="01E0" w:firstRow="1" w:lastRow="1" w:firstColumn="1" w:lastColumn="1" w:noHBand="0" w:noVBand="0"/>
      </w:tblPr>
      <w:tblGrid>
        <w:gridCol w:w="1746"/>
        <w:gridCol w:w="1467"/>
        <w:gridCol w:w="2455"/>
        <w:gridCol w:w="2280"/>
        <w:gridCol w:w="1079"/>
        <w:gridCol w:w="1176"/>
      </w:tblGrid>
      <w:tr w:rsidR="00EB2BD8" w:rsidRPr="00EB2BD8" w14:paraId="4264CAC7" w14:textId="77777777">
        <w:trPr>
          <w:trHeight w:val="616"/>
        </w:trPr>
        <w:tc>
          <w:tcPr>
            <w:tcW w:w="1746" w:type="dxa"/>
            <w:shd w:val="clear" w:color="auto" w:fill="005F83"/>
          </w:tcPr>
          <w:p w14:paraId="47398E5D" w14:textId="77777777" w:rsidR="00084F36" w:rsidRPr="00697E0C" w:rsidRDefault="00EB2BD8">
            <w:pPr>
              <w:pStyle w:val="TableParagraph"/>
              <w:spacing w:before="118"/>
              <w:ind w:left="113"/>
              <w:rPr>
                <w:color w:val="FFFFFF" w:themeColor="background1"/>
                <w:sz w:val="16"/>
              </w:rPr>
            </w:pPr>
            <w:r w:rsidRPr="00697E0C">
              <w:rPr>
                <w:color w:val="FFFFFF" w:themeColor="background1"/>
                <w:w w:val="105"/>
                <w:sz w:val="16"/>
              </w:rPr>
              <w:t>Practitioner</w:t>
            </w:r>
            <w:r w:rsidRPr="00697E0C">
              <w:rPr>
                <w:color w:val="FFFFFF" w:themeColor="background1"/>
                <w:spacing w:val="-14"/>
                <w:w w:val="105"/>
                <w:sz w:val="16"/>
              </w:rPr>
              <w:t xml:space="preserve"> </w:t>
            </w:r>
            <w:r w:rsidRPr="00697E0C">
              <w:rPr>
                <w:color w:val="FFFFFF" w:themeColor="background1"/>
                <w:spacing w:val="-4"/>
                <w:w w:val="105"/>
                <w:sz w:val="16"/>
              </w:rPr>
              <w:t>name</w:t>
            </w:r>
          </w:p>
        </w:tc>
        <w:tc>
          <w:tcPr>
            <w:tcW w:w="1467" w:type="dxa"/>
            <w:shd w:val="clear" w:color="auto" w:fill="005F83"/>
          </w:tcPr>
          <w:p w14:paraId="06175CB5" w14:textId="77777777" w:rsidR="00084F36" w:rsidRPr="00697E0C" w:rsidRDefault="00EB2BD8">
            <w:pPr>
              <w:pStyle w:val="TableParagraph"/>
              <w:spacing w:before="118" w:line="292" w:lineRule="auto"/>
              <w:ind w:left="124"/>
              <w:rPr>
                <w:color w:val="FFFFFF" w:themeColor="background1"/>
                <w:sz w:val="16"/>
              </w:rPr>
            </w:pPr>
            <w:r w:rsidRPr="00697E0C">
              <w:rPr>
                <w:color w:val="FFFFFF" w:themeColor="background1"/>
                <w:spacing w:val="-2"/>
                <w:sz w:val="16"/>
              </w:rPr>
              <w:t xml:space="preserve">Registration </w:t>
            </w:r>
            <w:r w:rsidRPr="00697E0C">
              <w:rPr>
                <w:color w:val="FFFFFF" w:themeColor="background1"/>
                <w:spacing w:val="-2"/>
                <w:w w:val="105"/>
                <w:sz w:val="16"/>
              </w:rPr>
              <w:t>Number</w:t>
            </w:r>
          </w:p>
        </w:tc>
        <w:tc>
          <w:tcPr>
            <w:tcW w:w="2455" w:type="dxa"/>
            <w:shd w:val="clear" w:color="auto" w:fill="005F83"/>
          </w:tcPr>
          <w:p w14:paraId="494C33D7" w14:textId="77777777" w:rsidR="00084F36" w:rsidRPr="00697E0C" w:rsidRDefault="00EB2BD8">
            <w:pPr>
              <w:pStyle w:val="TableParagraph"/>
              <w:spacing w:before="118"/>
              <w:ind w:left="290"/>
              <w:rPr>
                <w:color w:val="FFFFFF" w:themeColor="background1"/>
                <w:sz w:val="16"/>
              </w:rPr>
            </w:pPr>
            <w:r w:rsidRPr="00697E0C">
              <w:rPr>
                <w:color w:val="FFFFFF" w:themeColor="background1"/>
                <w:spacing w:val="-2"/>
                <w:w w:val="105"/>
                <w:sz w:val="16"/>
              </w:rPr>
              <w:t>Conduct</w:t>
            </w:r>
          </w:p>
        </w:tc>
        <w:tc>
          <w:tcPr>
            <w:tcW w:w="2280" w:type="dxa"/>
            <w:shd w:val="clear" w:color="auto" w:fill="005F83"/>
          </w:tcPr>
          <w:p w14:paraId="0B6D9FC4" w14:textId="77777777" w:rsidR="00084F36" w:rsidRPr="00697E0C" w:rsidRDefault="00EB2BD8">
            <w:pPr>
              <w:pStyle w:val="TableParagraph"/>
              <w:spacing w:before="118"/>
              <w:ind w:left="114"/>
              <w:rPr>
                <w:color w:val="FFFFFF" w:themeColor="background1"/>
                <w:sz w:val="16"/>
              </w:rPr>
            </w:pPr>
            <w:r w:rsidRPr="00697E0C">
              <w:rPr>
                <w:color w:val="FFFFFF" w:themeColor="background1"/>
                <w:spacing w:val="-2"/>
                <w:sz w:val="16"/>
              </w:rPr>
              <w:t>Result</w:t>
            </w:r>
          </w:p>
        </w:tc>
        <w:tc>
          <w:tcPr>
            <w:tcW w:w="1079" w:type="dxa"/>
            <w:shd w:val="clear" w:color="auto" w:fill="005F83"/>
          </w:tcPr>
          <w:p w14:paraId="0796E1D2" w14:textId="77777777" w:rsidR="00084F36" w:rsidRPr="00697E0C" w:rsidRDefault="00EB2BD8">
            <w:pPr>
              <w:pStyle w:val="TableParagraph"/>
              <w:spacing w:before="118" w:line="292" w:lineRule="auto"/>
              <w:ind w:left="113" w:right="92"/>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35</w:t>
            </w:r>
          </w:p>
        </w:tc>
        <w:tc>
          <w:tcPr>
            <w:tcW w:w="1176" w:type="dxa"/>
            <w:shd w:val="clear" w:color="auto" w:fill="005F83"/>
          </w:tcPr>
          <w:p w14:paraId="4261F0EF" w14:textId="77777777" w:rsidR="00084F36" w:rsidRPr="00697E0C" w:rsidRDefault="00EB2BD8">
            <w:pPr>
              <w:pStyle w:val="TableParagraph"/>
              <w:spacing w:before="118"/>
              <w:ind w:left="111"/>
              <w:rPr>
                <w:color w:val="FFFFFF" w:themeColor="background1"/>
                <w:sz w:val="9"/>
              </w:rPr>
            </w:pPr>
            <w:r w:rsidRPr="00697E0C">
              <w:rPr>
                <w:color w:val="FFFFFF" w:themeColor="background1"/>
                <w:spacing w:val="-2"/>
                <w:w w:val="105"/>
                <w:sz w:val="16"/>
              </w:rPr>
              <w:t>Date</w:t>
            </w:r>
            <w:r w:rsidRPr="00697E0C">
              <w:rPr>
                <w:color w:val="FFFFFF" w:themeColor="background1"/>
                <w:spacing w:val="-2"/>
                <w:w w:val="105"/>
                <w:position w:val="5"/>
                <w:sz w:val="9"/>
              </w:rPr>
              <w:t>36</w:t>
            </w:r>
          </w:p>
        </w:tc>
      </w:tr>
      <w:tr w:rsidR="00EB2BD8" w:rsidRPr="00EB2BD8" w14:paraId="51B55FA7" w14:textId="77777777">
        <w:trPr>
          <w:trHeight w:val="329"/>
        </w:trPr>
        <w:tc>
          <w:tcPr>
            <w:tcW w:w="1746" w:type="dxa"/>
          </w:tcPr>
          <w:p w14:paraId="2FC418D9" w14:textId="77777777" w:rsidR="00084F36" w:rsidRPr="00EB2BD8" w:rsidRDefault="00EB2BD8">
            <w:pPr>
              <w:pStyle w:val="TableParagraph"/>
              <w:spacing w:before="118"/>
              <w:ind w:left="113"/>
              <w:rPr>
                <w:sz w:val="16"/>
              </w:rPr>
            </w:pPr>
            <w:r w:rsidRPr="00EB2BD8">
              <w:rPr>
                <w:spacing w:val="-4"/>
                <w:sz w:val="16"/>
              </w:rPr>
              <w:t>A</w:t>
            </w:r>
            <w:r w:rsidRPr="00EB2BD8">
              <w:rPr>
                <w:spacing w:val="-11"/>
                <w:sz w:val="16"/>
              </w:rPr>
              <w:t xml:space="preserve"> </w:t>
            </w:r>
            <w:r w:rsidRPr="00EB2BD8">
              <w:rPr>
                <w:spacing w:val="-4"/>
                <w:sz w:val="16"/>
              </w:rPr>
              <w:t>&amp;</w:t>
            </w:r>
            <w:r w:rsidRPr="00EB2BD8">
              <w:rPr>
                <w:spacing w:val="-10"/>
                <w:sz w:val="16"/>
              </w:rPr>
              <w:t xml:space="preserve"> </w:t>
            </w:r>
            <w:r w:rsidRPr="00EB2BD8">
              <w:rPr>
                <w:spacing w:val="-4"/>
                <w:sz w:val="16"/>
              </w:rPr>
              <w:t>M</w:t>
            </w:r>
            <w:r w:rsidRPr="00EB2BD8">
              <w:rPr>
                <w:spacing w:val="-11"/>
                <w:sz w:val="16"/>
              </w:rPr>
              <w:t xml:space="preserve"> </w:t>
            </w:r>
            <w:r w:rsidRPr="00EB2BD8">
              <w:rPr>
                <w:spacing w:val="-4"/>
                <w:sz w:val="16"/>
              </w:rPr>
              <w:t>Family</w:t>
            </w:r>
          </w:p>
        </w:tc>
        <w:tc>
          <w:tcPr>
            <w:tcW w:w="1467" w:type="dxa"/>
          </w:tcPr>
          <w:p w14:paraId="10FA0D88" w14:textId="77777777" w:rsidR="00084F36" w:rsidRPr="00EB2BD8" w:rsidRDefault="00EB2BD8">
            <w:pPr>
              <w:pStyle w:val="TableParagraph"/>
              <w:spacing w:before="118"/>
              <w:ind w:left="124"/>
              <w:rPr>
                <w:sz w:val="16"/>
              </w:rPr>
            </w:pPr>
            <w:r w:rsidRPr="00EB2BD8">
              <w:rPr>
                <w:spacing w:val="2"/>
                <w:sz w:val="16"/>
              </w:rPr>
              <w:t>CDB-U</w:t>
            </w:r>
            <w:r w:rsidRPr="00EB2BD8">
              <w:rPr>
                <w:spacing w:val="17"/>
                <w:sz w:val="16"/>
              </w:rPr>
              <w:t xml:space="preserve"> </w:t>
            </w:r>
            <w:r w:rsidRPr="00EB2BD8">
              <w:rPr>
                <w:spacing w:val="-2"/>
                <w:sz w:val="16"/>
              </w:rPr>
              <w:t>65514</w:t>
            </w:r>
          </w:p>
        </w:tc>
        <w:tc>
          <w:tcPr>
            <w:tcW w:w="2455" w:type="dxa"/>
          </w:tcPr>
          <w:p w14:paraId="63E5E5EF" w14:textId="77777777" w:rsidR="00084F36" w:rsidRPr="00EB2BD8" w:rsidRDefault="00EB2BD8">
            <w:pPr>
              <w:pStyle w:val="TableParagraph"/>
              <w:spacing w:before="118"/>
              <w:ind w:left="290"/>
              <w:rPr>
                <w:sz w:val="16"/>
              </w:rPr>
            </w:pPr>
            <w:r w:rsidRPr="00EB2BD8">
              <w:rPr>
                <w:spacing w:val="-2"/>
                <w:sz w:val="16"/>
              </w:rPr>
              <w:t>Failing</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call</w:t>
            </w:r>
            <w:r w:rsidRPr="00EB2BD8">
              <w:rPr>
                <w:spacing w:val="-7"/>
                <w:sz w:val="16"/>
              </w:rPr>
              <w:t xml:space="preserve"> </w:t>
            </w:r>
            <w:r w:rsidRPr="00EB2BD8">
              <w:rPr>
                <w:spacing w:val="-2"/>
                <w:sz w:val="16"/>
              </w:rPr>
              <w:t>for</w:t>
            </w:r>
            <w:r w:rsidRPr="00EB2BD8">
              <w:rPr>
                <w:spacing w:val="-8"/>
                <w:sz w:val="16"/>
              </w:rPr>
              <w:t xml:space="preserve"> </w:t>
            </w:r>
            <w:r w:rsidRPr="00EB2BD8">
              <w:rPr>
                <w:spacing w:val="-12"/>
                <w:sz w:val="16"/>
              </w:rPr>
              <w:t>a</w:t>
            </w:r>
          </w:p>
        </w:tc>
        <w:tc>
          <w:tcPr>
            <w:tcW w:w="2280" w:type="dxa"/>
          </w:tcPr>
          <w:p w14:paraId="05B2DF44" w14:textId="77777777" w:rsidR="00084F36" w:rsidRPr="00EB2BD8" w:rsidRDefault="00EB2BD8">
            <w:pPr>
              <w:pStyle w:val="TableParagraph"/>
              <w:spacing w:before="118"/>
              <w:ind w:left="114"/>
              <w:rPr>
                <w:sz w:val="16"/>
              </w:rPr>
            </w:pPr>
            <w:r w:rsidRPr="00EB2BD8">
              <w:rPr>
                <w:sz w:val="16"/>
              </w:rPr>
              <w:t>Reprimand</w:t>
            </w:r>
            <w:r w:rsidRPr="00EB2BD8">
              <w:rPr>
                <w:spacing w:val="3"/>
                <w:sz w:val="16"/>
              </w:rPr>
              <w:t xml:space="preserve"> </w:t>
            </w:r>
            <w:r w:rsidRPr="00EB2BD8">
              <w:rPr>
                <w:sz w:val="16"/>
              </w:rPr>
              <w:t>and</w:t>
            </w:r>
            <w:r w:rsidRPr="00EB2BD8">
              <w:rPr>
                <w:spacing w:val="4"/>
                <w:sz w:val="16"/>
              </w:rPr>
              <w:t xml:space="preserve"> </w:t>
            </w:r>
            <w:r w:rsidRPr="00EB2BD8">
              <w:rPr>
                <w:sz w:val="16"/>
              </w:rPr>
              <w:t>a</w:t>
            </w:r>
            <w:r w:rsidRPr="00EB2BD8">
              <w:rPr>
                <w:spacing w:val="3"/>
                <w:sz w:val="16"/>
              </w:rPr>
              <w:t xml:space="preserve"> </w:t>
            </w:r>
            <w:r w:rsidRPr="00EB2BD8">
              <w:rPr>
                <w:spacing w:val="-2"/>
                <w:sz w:val="16"/>
              </w:rPr>
              <w:t>penalty</w:t>
            </w:r>
          </w:p>
        </w:tc>
        <w:tc>
          <w:tcPr>
            <w:tcW w:w="1079" w:type="dxa"/>
          </w:tcPr>
          <w:p w14:paraId="3A2BD439" w14:textId="77777777" w:rsidR="00084F36" w:rsidRPr="00EB2BD8" w:rsidRDefault="00EB2BD8">
            <w:pPr>
              <w:pStyle w:val="TableParagraph"/>
              <w:spacing w:before="118"/>
              <w:ind w:right="113"/>
              <w:jc w:val="right"/>
              <w:rPr>
                <w:sz w:val="16"/>
              </w:rPr>
            </w:pPr>
            <w:r w:rsidRPr="00EB2BD8">
              <w:rPr>
                <w:spacing w:val="-2"/>
                <w:sz w:val="16"/>
              </w:rPr>
              <w:t>$2,000</w:t>
            </w:r>
          </w:p>
        </w:tc>
        <w:tc>
          <w:tcPr>
            <w:tcW w:w="1176" w:type="dxa"/>
          </w:tcPr>
          <w:p w14:paraId="3E79621A" w14:textId="77777777" w:rsidR="00084F36" w:rsidRPr="00EB2BD8" w:rsidRDefault="00EB2BD8">
            <w:pPr>
              <w:pStyle w:val="TableParagraph"/>
              <w:spacing w:before="118"/>
              <w:ind w:left="111"/>
              <w:rPr>
                <w:sz w:val="16"/>
              </w:rPr>
            </w:pPr>
            <w:r w:rsidRPr="00EB2BD8">
              <w:rPr>
                <w:spacing w:val="-2"/>
                <w:w w:val="95"/>
                <w:sz w:val="16"/>
              </w:rPr>
              <w:t>27/09/2022</w:t>
            </w:r>
          </w:p>
        </w:tc>
      </w:tr>
      <w:tr w:rsidR="00EB2BD8" w:rsidRPr="00EB2BD8" w14:paraId="46127202" w14:textId="77777777">
        <w:trPr>
          <w:trHeight w:val="230"/>
        </w:trPr>
        <w:tc>
          <w:tcPr>
            <w:tcW w:w="1746" w:type="dxa"/>
          </w:tcPr>
          <w:p w14:paraId="36236C33" w14:textId="77777777" w:rsidR="00084F36" w:rsidRPr="00EB2BD8" w:rsidRDefault="00EB2BD8">
            <w:pPr>
              <w:pStyle w:val="TableParagraph"/>
              <w:spacing w:before="19"/>
              <w:ind w:left="113"/>
              <w:rPr>
                <w:sz w:val="16"/>
              </w:rPr>
            </w:pPr>
            <w:r w:rsidRPr="00EB2BD8">
              <w:rPr>
                <w:sz w:val="16"/>
              </w:rPr>
              <w:t>Homes</w:t>
            </w:r>
            <w:r w:rsidRPr="00EB2BD8">
              <w:rPr>
                <w:spacing w:val="-2"/>
                <w:sz w:val="16"/>
              </w:rPr>
              <w:t xml:space="preserve"> </w:t>
            </w:r>
            <w:r w:rsidRPr="00EB2BD8">
              <w:rPr>
                <w:sz w:val="16"/>
              </w:rPr>
              <w:t>Pty</w:t>
            </w:r>
            <w:r w:rsidRPr="00EB2BD8">
              <w:rPr>
                <w:spacing w:val="-2"/>
                <w:sz w:val="16"/>
              </w:rPr>
              <w:t xml:space="preserve"> </w:t>
            </w:r>
            <w:r w:rsidRPr="00EB2BD8">
              <w:rPr>
                <w:spacing w:val="-5"/>
                <w:sz w:val="16"/>
              </w:rPr>
              <w:t>Ltd</w:t>
            </w:r>
          </w:p>
        </w:tc>
        <w:tc>
          <w:tcPr>
            <w:tcW w:w="1467" w:type="dxa"/>
          </w:tcPr>
          <w:p w14:paraId="07FAB4E6" w14:textId="77777777" w:rsidR="00084F36" w:rsidRPr="00EB2BD8" w:rsidRDefault="00084F36">
            <w:pPr>
              <w:pStyle w:val="TableParagraph"/>
              <w:rPr>
                <w:rFonts w:ascii="Times New Roman"/>
                <w:sz w:val="16"/>
              </w:rPr>
            </w:pPr>
          </w:p>
        </w:tc>
        <w:tc>
          <w:tcPr>
            <w:tcW w:w="2455" w:type="dxa"/>
          </w:tcPr>
          <w:p w14:paraId="37FAA343" w14:textId="77777777" w:rsidR="00084F36" w:rsidRPr="00EB2BD8" w:rsidRDefault="00EB2BD8">
            <w:pPr>
              <w:pStyle w:val="TableParagraph"/>
              <w:spacing w:before="19"/>
              <w:ind w:left="290"/>
              <w:rPr>
                <w:sz w:val="16"/>
              </w:rPr>
            </w:pPr>
            <w:r w:rsidRPr="00EB2BD8">
              <w:rPr>
                <w:sz w:val="16"/>
              </w:rPr>
              <w:t>mandatory</w:t>
            </w:r>
            <w:r w:rsidRPr="00EB2BD8">
              <w:rPr>
                <w:spacing w:val="14"/>
                <w:sz w:val="16"/>
              </w:rPr>
              <w:t xml:space="preserve"> </w:t>
            </w:r>
            <w:r w:rsidRPr="00EB2BD8">
              <w:rPr>
                <w:spacing w:val="-2"/>
                <w:sz w:val="16"/>
              </w:rPr>
              <w:t>stage</w:t>
            </w:r>
          </w:p>
        </w:tc>
        <w:tc>
          <w:tcPr>
            <w:tcW w:w="2280" w:type="dxa"/>
          </w:tcPr>
          <w:p w14:paraId="255614A9" w14:textId="77777777" w:rsidR="00084F36" w:rsidRPr="00EB2BD8" w:rsidRDefault="00EB2BD8">
            <w:pPr>
              <w:pStyle w:val="TableParagraph"/>
              <w:spacing w:before="19"/>
              <w:ind w:left="114"/>
              <w:rPr>
                <w:sz w:val="16"/>
              </w:rPr>
            </w:pPr>
            <w:r w:rsidRPr="00EB2BD8">
              <w:rPr>
                <w:spacing w:val="-4"/>
                <w:sz w:val="16"/>
              </w:rPr>
              <w:t>of</w:t>
            </w:r>
            <w:r w:rsidRPr="00EB2BD8">
              <w:rPr>
                <w:spacing w:val="-10"/>
                <w:sz w:val="16"/>
              </w:rPr>
              <w:t xml:space="preserve"> </w:t>
            </w:r>
            <w:r w:rsidRPr="00EB2BD8">
              <w:rPr>
                <w:spacing w:val="-2"/>
                <w:sz w:val="16"/>
              </w:rPr>
              <w:t>$2,000.</w:t>
            </w:r>
          </w:p>
        </w:tc>
        <w:tc>
          <w:tcPr>
            <w:tcW w:w="1079" w:type="dxa"/>
          </w:tcPr>
          <w:p w14:paraId="726370A2" w14:textId="77777777" w:rsidR="00084F36" w:rsidRPr="00EB2BD8" w:rsidRDefault="00084F36">
            <w:pPr>
              <w:pStyle w:val="TableParagraph"/>
              <w:rPr>
                <w:rFonts w:ascii="Times New Roman"/>
                <w:sz w:val="16"/>
              </w:rPr>
            </w:pPr>
          </w:p>
        </w:tc>
        <w:tc>
          <w:tcPr>
            <w:tcW w:w="1176" w:type="dxa"/>
          </w:tcPr>
          <w:p w14:paraId="6BE4DD80" w14:textId="77777777" w:rsidR="00084F36" w:rsidRPr="00EB2BD8" w:rsidRDefault="00084F36">
            <w:pPr>
              <w:pStyle w:val="TableParagraph"/>
              <w:rPr>
                <w:rFonts w:ascii="Times New Roman"/>
                <w:sz w:val="16"/>
              </w:rPr>
            </w:pPr>
          </w:p>
        </w:tc>
      </w:tr>
      <w:tr w:rsidR="00EB2BD8" w:rsidRPr="00EB2BD8" w14:paraId="2CD4D50B" w14:textId="77777777">
        <w:trPr>
          <w:trHeight w:val="229"/>
        </w:trPr>
        <w:tc>
          <w:tcPr>
            <w:tcW w:w="1746" w:type="dxa"/>
          </w:tcPr>
          <w:p w14:paraId="4CAC8FF7" w14:textId="77777777" w:rsidR="00084F36" w:rsidRPr="00EB2BD8" w:rsidRDefault="00084F36">
            <w:pPr>
              <w:pStyle w:val="TableParagraph"/>
              <w:rPr>
                <w:rFonts w:ascii="Times New Roman"/>
                <w:sz w:val="16"/>
              </w:rPr>
            </w:pPr>
          </w:p>
        </w:tc>
        <w:tc>
          <w:tcPr>
            <w:tcW w:w="1467" w:type="dxa"/>
          </w:tcPr>
          <w:p w14:paraId="131BDD63" w14:textId="77777777" w:rsidR="00084F36" w:rsidRPr="00EB2BD8" w:rsidRDefault="00084F36">
            <w:pPr>
              <w:pStyle w:val="TableParagraph"/>
              <w:rPr>
                <w:rFonts w:ascii="Times New Roman"/>
                <w:sz w:val="16"/>
              </w:rPr>
            </w:pPr>
          </w:p>
        </w:tc>
        <w:tc>
          <w:tcPr>
            <w:tcW w:w="2455" w:type="dxa"/>
          </w:tcPr>
          <w:p w14:paraId="2F08CC99" w14:textId="77777777" w:rsidR="00084F36" w:rsidRPr="00EB2BD8" w:rsidRDefault="00EB2BD8">
            <w:pPr>
              <w:pStyle w:val="TableParagraph"/>
              <w:spacing w:before="19"/>
              <w:ind w:left="290"/>
              <w:rPr>
                <w:sz w:val="16"/>
              </w:rPr>
            </w:pPr>
            <w:r w:rsidRPr="00EB2BD8">
              <w:rPr>
                <w:sz w:val="16"/>
              </w:rPr>
              <w:t>inspection</w:t>
            </w:r>
            <w:r w:rsidRPr="00EB2BD8">
              <w:rPr>
                <w:spacing w:val="-13"/>
                <w:sz w:val="16"/>
              </w:rPr>
              <w:t xml:space="preserve"> </w:t>
            </w:r>
            <w:r w:rsidRPr="00EB2BD8">
              <w:rPr>
                <w:sz w:val="16"/>
              </w:rPr>
              <w:t>in</w:t>
            </w:r>
            <w:r w:rsidRPr="00EB2BD8">
              <w:rPr>
                <w:spacing w:val="-13"/>
                <w:sz w:val="16"/>
              </w:rPr>
              <w:t xml:space="preserve"> </w:t>
            </w:r>
            <w:r w:rsidRPr="00EB2BD8">
              <w:rPr>
                <w:sz w:val="16"/>
              </w:rPr>
              <w:t>respect</w:t>
            </w:r>
            <w:r w:rsidRPr="00EB2BD8">
              <w:rPr>
                <w:spacing w:val="-12"/>
                <w:sz w:val="16"/>
              </w:rPr>
              <w:t xml:space="preserve"> </w:t>
            </w:r>
            <w:r w:rsidRPr="00EB2BD8">
              <w:rPr>
                <w:sz w:val="16"/>
              </w:rPr>
              <w:t>of</w:t>
            </w:r>
            <w:r w:rsidRPr="00EB2BD8">
              <w:rPr>
                <w:spacing w:val="-13"/>
                <w:sz w:val="16"/>
              </w:rPr>
              <w:t xml:space="preserve"> </w:t>
            </w:r>
            <w:r w:rsidRPr="00EB2BD8">
              <w:rPr>
                <w:spacing w:val="-10"/>
                <w:sz w:val="16"/>
              </w:rPr>
              <w:t>a</w:t>
            </w:r>
          </w:p>
        </w:tc>
        <w:tc>
          <w:tcPr>
            <w:tcW w:w="2280" w:type="dxa"/>
          </w:tcPr>
          <w:p w14:paraId="7F9DD4CE" w14:textId="77777777" w:rsidR="00084F36" w:rsidRPr="00EB2BD8" w:rsidRDefault="00084F36">
            <w:pPr>
              <w:pStyle w:val="TableParagraph"/>
              <w:rPr>
                <w:rFonts w:ascii="Times New Roman"/>
                <w:sz w:val="16"/>
              </w:rPr>
            </w:pPr>
          </w:p>
        </w:tc>
        <w:tc>
          <w:tcPr>
            <w:tcW w:w="1079" w:type="dxa"/>
          </w:tcPr>
          <w:p w14:paraId="64F9F11F" w14:textId="77777777" w:rsidR="00084F36" w:rsidRPr="00EB2BD8" w:rsidRDefault="00084F36">
            <w:pPr>
              <w:pStyle w:val="TableParagraph"/>
              <w:rPr>
                <w:rFonts w:ascii="Times New Roman"/>
                <w:sz w:val="16"/>
              </w:rPr>
            </w:pPr>
          </w:p>
        </w:tc>
        <w:tc>
          <w:tcPr>
            <w:tcW w:w="1176" w:type="dxa"/>
          </w:tcPr>
          <w:p w14:paraId="63A43011" w14:textId="77777777" w:rsidR="00084F36" w:rsidRPr="00EB2BD8" w:rsidRDefault="00084F36">
            <w:pPr>
              <w:pStyle w:val="TableParagraph"/>
              <w:rPr>
                <w:rFonts w:ascii="Times New Roman"/>
                <w:sz w:val="16"/>
              </w:rPr>
            </w:pPr>
          </w:p>
        </w:tc>
      </w:tr>
      <w:tr w:rsidR="00EB2BD8" w:rsidRPr="00EB2BD8" w14:paraId="0BA52FBD" w14:textId="77777777">
        <w:trPr>
          <w:trHeight w:val="285"/>
        </w:trPr>
        <w:tc>
          <w:tcPr>
            <w:tcW w:w="1746" w:type="dxa"/>
            <w:tcBorders>
              <w:bottom w:val="single" w:sz="2" w:space="0" w:color="000000"/>
            </w:tcBorders>
          </w:tcPr>
          <w:p w14:paraId="7BFDCACE" w14:textId="77777777" w:rsidR="00084F36" w:rsidRPr="00EB2BD8" w:rsidRDefault="00084F36">
            <w:pPr>
              <w:pStyle w:val="TableParagraph"/>
              <w:rPr>
                <w:rFonts w:ascii="Times New Roman"/>
                <w:sz w:val="16"/>
              </w:rPr>
            </w:pPr>
          </w:p>
        </w:tc>
        <w:tc>
          <w:tcPr>
            <w:tcW w:w="1467" w:type="dxa"/>
            <w:tcBorders>
              <w:bottom w:val="single" w:sz="2" w:space="0" w:color="000000"/>
            </w:tcBorders>
          </w:tcPr>
          <w:p w14:paraId="525A296F" w14:textId="77777777" w:rsidR="00084F36" w:rsidRPr="00EB2BD8" w:rsidRDefault="00084F36">
            <w:pPr>
              <w:pStyle w:val="TableParagraph"/>
              <w:rPr>
                <w:rFonts w:ascii="Times New Roman"/>
                <w:sz w:val="16"/>
              </w:rPr>
            </w:pPr>
          </w:p>
        </w:tc>
        <w:tc>
          <w:tcPr>
            <w:tcW w:w="2455" w:type="dxa"/>
            <w:tcBorders>
              <w:bottom w:val="single" w:sz="2" w:space="0" w:color="000000"/>
            </w:tcBorders>
          </w:tcPr>
          <w:p w14:paraId="67F4770A" w14:textId="77777777" w:rsidR="00084F36" w:rsidRPr="00EB2BD8" w:rsidRDefault="00EB2BD8">
            <w:pPr>
              <w:pStyle w:val="TableParagraph"/>
              <w:spacing w:before="19"/>
              <w:ind w:left="290"/>
              <w:rPr>
                <w:sz w:val="16"/>
              </w:rPr>
            </w:pPr>
            <w:r w:rsidRPr="00EB2BD8">
              <w:rPr>
                <w:sz w:val="16"/>
              </w:rPr>
              <w:t>site</w:t>
            </w:r>
            <w:r w:rsidRPr="00EB2BD8">
              <w:rPr>
                <w:spacing w:val="-10"/>
                <w:sz w:val="16"/>
              </w:rPr>
              <w:t xml:space="preserve"> </w:t>
            </w:r>
            <w:r w:rsidRPr="00EB2BD8">
              <w:rPr>
                <w:sz w:val="16"/>
              </w:rPr>
              <w:t>at</w:t>
            </w:r>
            <w:r w:rsidRPr="00EB2BD8">
              <w:rPr>
                <w:spacing w:val="-9"/>
                <w:sz w:val="16"/>
              </w:rPr>
              <w:t xml:space="preserve"> </w:t>
            </w:r>
            <w:r w:rsidRPr="00EB2BD8">
              <w:rPr>
                <w:spacing w:val="-2"/>
                <w:sz w:val="16"/>
              </w:rPr>
              <w:t>Epping.</w:t>
            </w:r>
          </w:p>
        </w:tc>
        <w:tc>
          <w:tcPr>
            <w:tcW w:w="2280" w:type="dxa"/>
            <w:tcBorders>
              <w:bottom w:val="single" w:sz="2" w:space="0" w:color="000000"/>
            </w:tcBorders>
          </w:tcPr>
          <w:p w14:paraId="2887B42B"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7917A0EC"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1A856CA1" w14:textId="77777777" w:rsidR="00084F36" w:rsidRPr="00EB2BD8" w:rsidRDefault="00084F36">
            <w:pPr>
              <w:pStyle w:val="TableParagraph"/>
              <w:rPr>
                <w:rFonts w:ascii="Times New Roman"/>
                <w:sz w:val="16"/>
              </w:rPr>
            </w:pPr>
          </w:p>
        </w:tc>
      </w:tr>
      <w:tr w:rsidR="00EB2BD8" w:rsidRPr="00EB2BD8" w14:paraId="1ADE1D11" w14:textId="77777777">
        <w:trPr>
          <w:trHeight w:val="326"/>
        </w:trPr>
        <w:tc>
          <w:tcPr>
            <w:tcW w:w="1746" w:type="dxa"/>
            <w:tcBorders>
              <w:top w:val="single" w:sz="2" w:space="0" w:color="000000"/>
            </w:tcBorders>
          </w:tcPr>
          <w:p w14:paraId="5B251191" w14:textId="77777777" w:rsidR="00084F36" w:rsidRPr="00EB2BD8" w:rsidRDefault="00EB2BD8">
            <w:pPr>
              <w:pStyle w:val="TableParagraph"/>
              <w:spacing w:before="116"/>
              <w:ind w:left="113"/>
              <w:rPr>
                <w:sz w:val="16"/>
              </w:rPr>
            </w:pPr>
            <w:r w:rsidRPr="00EB2BD8">
              <w:rPr>
                <w:spacing w:val="-2"/>
                <w:sz w:val="16"/>
              </w:rPr>
              <w:t>AAA</w:t>
            </w:r>
            <w:r w:rsidRPr="00EB2BD8">
              <w:rPr>
                <w:spacing w:val="-7"/>
                <w:sz w:val="16"/>
              </w:rPr>
              <w:t xml:space="preserve"> </w:t>
            </w:r>
            <w:r w:rsidRPr="00EB2BD8">
              <w:rPr>
                <w:spacing w:val="-2"/>
                <w:sz w:val="16"/>
              </w:rPr>
              <w:t>Rapid</w:t>
            </w:r>
            <w:r w:rsidRPr="00EB2BD8">
              <w:rPr>
                <w:spacing w:val="-8"/>
                <w:sz w:val="16"/>
              </w:rPr>
              <w:t xml:space="preserve"> </w:t>
            </w:r>
            <w:r w:rsidRPr="00EB2BD8">
              <w:rPr>
                <w:spacing w:val="-2"/>
                <w:sz w:val="16"/>
              </w:rPr>
              <w:t>Homes</w:t>
            </w:r>
          </w:p>
        </w:tc>
        <w:tc>
          <w:tcPr>
            <w:tcW w:w="1467" w:type="dxa"/>
            <w:tcBorders>
              <w:top w:val="single" w:sz="2" w:space="0" w:color="000000"/>
            </w:tcBorders>
          </w:tcPr>
          <w:p w14:paraId="381FD273" w14:textId="77777777" w:rsidR="00084F36" w:rsidRPr="00EB2BD8" w:rsidRDefault="00EB2BD8">
            <w:pPr>
              <w:pStyle w:val="TableParagraph"/>
              <w:spacing w:before="116"/>
              <w:ind w:left="124"/>
              <w:rPr>
                <w:sz w:val="16"/>
              </w:rPr>
            </w:pPr>
            <w:r w:rsidRPr="00EB2BD8">
              <w:rPr>
                <w:spacing w:val="2"/>
                <w:sz w:val="16"/>
              </w:rPr>
              <w:t>CDB-U</w:t>
            </w:r>
            <w:r w:rsidRPr="00EB2BD8">
              <w:rPr>
                <w:spacing w:val="17"/>
                <w:sz w:val="16"/>
              </w:rPr>
              <w:t xml:space="preserve"> </w:t>
            </w:r>
            <w:r w:rsidRPr="00EB2BD8">
              <w:rPr>
                <w:spacing w:val="-2"/>
                <w:sz w:val="16"/>
              </w:rPr>
              <w:t>60918</w:t>
            </w:r>
          </w:p>
        </w:tc>
        <w:tc>
          <w:tcPr>
            <w:tcW w:w="2455" w:type="dxa"/>
            <w:tcBorders>
              <w:top w:val="single" w:sz="2" w:space="0" w:color="000000"/>
            </w:tcBorders>
          </w:tcPr>
          <w:p w14:paraId="37D95966" w14:textId="77777777" w:rsidR="00084F36" w:rsidRPr="00EB2BD8" w:rsidRDefault="00EB2BD8">
            <w:pPr>
              <w:pStyle w:val="TableParagraph"/>
              <w:spacing w:before="116"/>
              <w:ind w:left="290"/>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280" w:type="dxa"/>
            <w:tcBorders>
              <w:top w:val="single" w:sz="2" w:space="0" w:color="000000"/>
            </w:tcBorders>
          </w:tcPr>
          <w:p w14:paraId="28476CCE" w14:textId="77777777" w:rsidR="00084F36" w:rsidRPr="00EB2BD8" w:rsidRDefault="00EB2BD8">
            <w:pPr>
              <w:pStyle w:val="TableParagraph"/>
              <w:spacing w:before="115"/>
              <w:ind w:left="114"/>
              <w:rPr>
                <w:sz w:val="16"/>
              </w:rPr>
            </w:pPr>
            <w:r w:rsidRPr="00EB2BD8">
              <w:rPr>
                <w:sz w:val="16"/>
              </w:rPr>
              <w:t>Reprimand</w:t>
            </w:r>
            <w:r w:rsidRPr="00EB2BD8">
              <w:rPr>
                <w:spacing w:val="2"/>
                <w:sz w:val="16"/>
              </w:rPr>
              <w:t xml:space="preserve"> </w:t>
            </w:r>
            <w:r w:rsidRPr="00EB2BD8">
              <w:rPr>
                <w:sz w:val="16"/>
              </w:rPr>
              <w:t>and</w:t>
            </w:r>
            <w:r w:rsidRPr="00EB2BD8">
              <w:rPr>
                <w:spacing w:val="3"/>
                <w:sz w:val="16"/>
              </w:rPr>
              <w:t xml:space="preserve"> </w:t>
            </w:r>
            <w:r w:rsidRPr="00EB2BD8">
              <w:rPr>
                <w:sz w:val="16"/>
              </w:rPr>
              <w:t>penalty</w:t>
            </w:r>
            <w:r w:rsidRPr="00EB2BD8">
              <w:rPr>
                <w:spacing w:val="2"/>
                <w:sz w:val="16"/>
              </w:rPr>
              <w:t xml:space="preserve"> </w:t>
            </w:r>
            <w:r w:rsidRPr="00EB2BD8">
              <w:rPr>
                <w:spacing w:val="-5"/>
                <w:sz w:val="16"/>
              </w:rPr>
              <w:t>of</w:t>
            </w:r>
          </w:p>
        </w:tc>
        <w:tc>
          <w:tcPr>
            <w:tcW w:w="1079" w:type="dxa"/>
            <w:tcBorders>
              <w:top w:val="single" w:sz="2" w:space="0" w:color="000000"/>
            </w:tcBorders>
          </w:tcPr>
          <w:p w14:paraId="5725F101" w14:textId="77777777" w:rsidR="00084F36" w:rsidRPr="00EB2BD8" w:rsidRDefault="00EB2BD8">
            <w:pPr>
              <w:pStyle w:val="TableParagraph"/>
              <w:spacing w:before="115"/>
              <w:ind w:right="113"/>
              <w:jc w:val="right"/>
              <w:rPr>
                <w:sz w:val="16"/>
              </w:rPr>
            </w:pPr>
            <w:r w:rsidRPr="00EB2BD8">
              <w:rPr>
                <w:spacing w:val="-2"/>
                <w:sz w:val="16"/>
              </w:rPr>
              <w:t>$1,000</w:t>
            </w:r>
          </w:p>
        </w:tc>
        <w:tc>
          <w:tcPr>
            <w:tcW w:w="1176" w:type="dxa"/>
            <w:tcBorders>
              <w:top w:val="single" w:sz="2" w:space="0" w:color="000000"/>
            </w:tcBorders>
          </w:tcPr>
          <w:p w14:paraId="659B88DB" w14:textId="77777777" w:rsidR="00084F36" w:rsidRPr="00EB2BD8" w:rsidRDefault="00EB2BD8">
            <w:pPr>
              <w:pStyle w:val="TableParagraph"/>
              <w:spacing w:before="115"/>
              <w:ind w:left="111"/>
              <w:rPr>
                <w:sz w:val="16"/>
              </w:rPr>
            </w:pPr>
            <w:r w:rsidRPr="00EB2BD8">
              <w:rPr>
                <w:spacing w:val="-2"/>
                <w:w w:val="95"/>
                <w:sz w:val="16"/>
              </w:rPr>
              <w:t>10/03/2023</w:t>
            </w:r>
          </w:p>
        </w:tc>
      </w:tr>
      <w:tr w:rsidR="00EB2BD8" w:rsidRPr="00EB2BD8" w14:paraId="7556B20E" w14:textId="77777777">
        <w:trPr>
          <w:trHeight w:val="230"/>
        </w:trPr>
        <w:tc>
          <w:tcPr>
            <w:tcW w:w="1746" w:type="dxa"/>
          </w:tcPr>
          <w:p w14:paraId="560DD10B" w14:textId="77777777" w:rsidR="00084F36" w:rsidRPr="00EB2BD8" w:rsidRDefault="00EB2BD8">
            <w:pPr>
              <w:pStyle w:val="TableParagraph"/>
              <w:spacing w:before="19"/>
              <w:ind w:left="113"/>
              <w:rPr>
                <w:sz w:val="16"/>
              </w:rPr>
            </w:pPr>
            <w:r w:rsidRPr="00EB2BD8">
              <w:rPr>
                <w:w w:val="105"/>
                <w:sz w:val="16"/>
              </w:rPr>
              <w:t>Pty</w:t>
            </w:r>
            <w:r w:rsidRPr="00EB2BD8">
              <w:rPr>
                <w:spacing w:val="-7"/>
                <w:w w:val="105"/>
                <w:sz w:val="16"/>
              </w:rPr>
              <w:t xml:space="preserve"> </w:t>
            </w:r>
            <w:r w:rsidRPr="00EB2BD8">
              <w:rPr>
                <w:spacing w:val="-5"/>
                <w:w w:val="105"/>
                <w:sz w:val="16"/>
              </w:rPr>
              <w:t>Ltd</w:t>
            </w:r>
          </w:p>
        </w:tc>
        <w:tc>
          <w:tcPr>
            <w:tcW w:w="1467" w:type="dxa"/>
          </w:tcPr>
          <w:p w14:paraId="6B1971DA" w14:textId="77777777" w:rsidR="00084F36" w:rsidRPr="00EB2BD8" w:rsidRDefault="00084F36">
            <w:pPr>
              <w:pStyle w:val="TableParagraph"/>
              <w:rPr>
                <w:rFonts w:ascii="Times New Roman"/>
                <w:sz w:val="16"/>
              </w:rPr>
            </w:pPr>
          </w:p>
        </w:tc>
        <w:tc>
          <w:tcPr>
            <w:tcW w:w="2455" w:type="dxa"/>
          </w:tcPr>
          <w:p w14:paraId="4A31B6C0" w14:textId="77777777" w:rsidR="00084F36" w:rsidRPr="00EB2BD8" w:rsidRDefault="00EB2BD8">
            <w:pPr>
              <w:pStyle w:val="TableParagraph"/>
              <w:spacing w:before="19"/>
              <w:ind w:left="290"/>
              <w:rPr>
                <w:sz w:val="16"/>
              </w:rPr>
            </w:pPr>
            <w:r w:rsidRPr="00EB2BD8">
              <w:rPr>
                <w:spacing w:val="-4"/>
                <w:sz w:val="16"/>
              </w:rPr>
              <w:t>direction</w:t>
            </w:r>
            <w:r w:rsidRPr="00EB2BD8">
              <w:rPr>
                <w:spacing w:val="-5"/>
                <w:sz w:val="16"/>
              </w:rPr>
              <w:t xml:space="preserve"> </w:t>
            </w:r>
            <w:r w:rsidRPr="00EB2BD8">
              <w:rPr>
                <w:spacing w:val="-4"/>
                <w:sz w:val="16"/>
              </w:rPr>
              <w:t>to fix building</w:t>
            </w:r>
          </w:p>
        </w:tc>
        <w:tc>
          <w:tcPr>
            <w:tcW w:w="2280" w:type="dxa"/>
          </w:tcPr>
          <w:p w14:paraId="703CB5A5" w14:textId="77777777" w:rsidR="00084F36" w:rsidRPr="00EB2BD8" w:rsidRDefault="00EB2BD8">
            <w:pPr>
              <w:pStyle w:val="TableParagraph"/>
              <w:spacing w:before="19"/>
              <w:ind w:left="114"/>
              <w:rPr>
                <w:sz w:val="16"/>
              </w:rPr>
            </w:pPr>
            <w:r w:rsidRPr="00EB2BD8">
              <w:rPr>
                <w:spacing w:val="-2"/>
                <w:w w:val="95"/>
                <w:sz w:val="16"/>
              </w:rPr>
              <w:t>$1,000.</w:t>
            </w:r>
          </w:p>
        </w:tc>
        <w:tc>
          <w:tcPr>
            <w:tcW w:w="1079" w:type="dxa"/>
          </w:tcPr>
          <w:p w14:paraId="6411693C" w14:textId="77777777" w:rsidR="00084F36" w:rsidRPr="00EB2BD8" w:rsidRDefault="00084F36">
            <w:pPr>
              <w:pStyle w:val="TableParagraph"/>
              <w:rPr>
                <w:rFonts w:ascii="Times New Roman"/>
                <w:sz w:val="16"/>
              </w:rPr>
            </w:pPr>
          </w:p>
        </w:tc>
        <w:tc>
          <w:tcPr>
            <w:tcW w:w="1176" w:type="dxa"/>
          </w:tcPr>
          <w:p w14:paraId="0AFF0B07" w14:textId="77777777" w:rsidR="00084F36" w:rsidRPr="00EB2BD8" w:rsidRDefault="00084F36">
            <w:pPr>
              <w:pStyle w:val="TableParagraph"/>
              <w:rPr>
                <w:rFonts w:ascii="Times New Roman"/>
                <w:sz w:val="16"/>
              </w:rPr>
            </w:pPr>
          </w:p>
        </w:tc>
      </w:tr>
      <w:tr w:rsidR="00EB2BD8" w:rsidRPr="00EB2BD8" w14:paraId="1D4ECB07" w14:textId="77777777">
        <w:trPr>
          <w:trHeight w:val="229"/>
        </w:trPr>
        <w:tc>
          <w:tcPr>
            <w:tcW w:w="1746" w:type="dxa"/>
          </w:tcPr>
          <w:p w14:paraId="19F9AADD" w14:textId="77777777" w:rsidR="00084F36" w:rsidRPr="00EB2BD8" w:rsidRDefault="00084F36">
            <w:pPr>
              <w:pStyle w:val="TableParagraph"/>
              <w:rPr>
                <w:rFonts w:ascii="Times New Roman"/>
                <w:sz w:val="16"/>
              </w:rPr>
            </w:pPr>
          </w:p>
        </w:tc>
        <w:tc>
          <w:tcPr>
            <w:tcW w:w="1467" w:type="dxa"/>
          </w:tcPr>
          <w:p w14:paraId="1A1CA9CB" w14:textId="77777777" w:rsidR="00084F36" w:rsidRPr="00EB2BD8" w:rsidRDefault="00084F36">
            <w:pPr>
              <w:pStyle w:val="TableParagraph"/>
              <w:rPr>
                <w:rFonts w:ascii="Times New Roman"/>
                <w:sz w:val="16"/>
              </w:rPr>
            </w:pPr>
          </w:p>
        </w:tc>
        <w:tc>
          <w:tcPr>
            <w:tcW w:w="2455" w:type="dxa"/>
          </w:tcPr>
          <w:p w14:paraId="58AA8B7D" w14:textId="77777777" w:rsidR="00084F36" w:rsidRPr="00EB2BD8" w:rsidRDefault="00EB2BD8">
            <w:pPr>
              <w:pStyle w:val="TableParagraph"/>
              <w:spacing w:before="19"/>
              <w:ind w:left="290"/>
              <w:rPr>
                <w:sz w:val="16"/>
              </w:rPr>
            </w:pPr>
            <w:r w:rsidRPr="00EB2BD8">
              <w:rPr>
                <w:spacing w:val="-2"/>
                <w:sz w:val="16"/>
              </w:rPr>
              <w:t>work</w:t>
            </w:r>
            <w:r w:rsidRPr="00EB2BD8">
              <w:rPr>
                <w:spacing w:val="-12"/>
                <w:sz w:val="16"/>
              </w:rPr>
              <w:t xml:space="preserve"> </w:t>
            </w:r>
            <w:r w:rsidRPr="00EB2BD8">
              <w:rPr>
                <w:spacing w:val="-2"/>
                <w:sz w:val="16"/>
              </w:rPr>
              <w:t>within</w:t>
            </w:r>
            <w:r w:rsidRPr="00EB2BD8">
              <w:rPr>
                <w:spacing w:val="-12"/>
                <w:sz w:val="16"/>
              </w:rPr>
              <w:t xml:space="preserve"> </w:t>
            </w:r>
            <w:r w:rsidRPr="00EB2BD8">
              <w:rPr>
                <w:spacing w:val="-2"/>
                <w:sz w:val="16"/>
              </w:rPr>
              <w:t>the</w:t>
            </w:r>
            <w:r w:rsidRPr="00EB2BD8">
              <w:rPr>
                <w:spacing w:val="-12"/>
                <w:sz w:val="16"/>
              </w:rPr>
              <w:t xml:space="preserve"> </w:t>
            </w:r>
            <w:r w:rsidRPr="00EB2BD8">
              <w:rPr>
                <w:spacing w:val="-2"/>
                <w:sz w:val="16"/>
              </w:rPr>
              <w:t>specified</w:t>
            </w:r>
          </w:p>
        </w:tc>
        <w:tc>
          <w:tcPr>
            <w:tcW w:w="2280" w:type="dxa"/>
          </w:tcPr>
          <w:p w14:paraId="21B623D6" w14:textId="77777777" w:rsidR="00084F36" w:rsidRPr="00EB2BD8" w:rsidRDefault="00084F36">
            <w:pPr>
              <w:pStyle w:val="TableParagraph"/>
              <w:rPr>
                <w:rFonts w:ascii="Times New Roman"/>
                <w:sz w:val="16"/>
              </w:rPr>
            </w:pPr>
          </w:p>
        </w:tc>
        <w:tc>
          <w:tcPr>
            <w:tcW w:w="1079" w:type="dxa"/>
          </w:tcPr>
          <w:p w14:paraId="63899205" w14:textId="77777777" w:rsidR="00084F36" w:rsidRPr="00EB2BD8" w:rsidRDefault="00084F36">
            <w:pPr>
              <w:pStyle w:val="TableParagraph"/>
              <w:rPr>
                <w:rFonts w:ascii="Times New Roman"/>
                <w:sz w:val="16"/>
              </w:rPr>
            </w:pPr>
          </w:p>
        </w:tc>
        <w:tc>
          <w:tcPr>
            <w:tcW w:w="1176" w:type="dxa"/>
          </w:tcPr>
          <w:p w14:paraId="2FB3BC62" w14:textId="77777777" w:rsidR="00084F36" w:rsidRPr="00EB2BD8" w:rsidRDefault="00084F36">
            <w:pPr>
              <w:pStyle w:val="TableParagraph"/>
              <w:rPr>
                <w:rFonts w:ascii="Times New Roman"/>
                <w:sz w:val="16"/>
              </w:rPr>
            </w:pPr>
          </w:p>
        </w:tc>
      </w:tr>
      <w:tr w:rsidR="00EB2BD8" w:rsidRPr="00EB2BD8" w14:paraId="0F112CE3" w14:textId="77777777">
        <w:trPr>
          <w:trHeight w:val="229"/>
        </w:trPr>
        <w:tc>
          <w:tcPr>
            <w:tcW w:w="1746" w:type="dxa"/>
          </w:tcPr>
          <w:p w14:paraId="72CF93B2" w14:textId="77777777" w:rsidR="00084F36" w:rsidRPr="00EB2BD8" w:rsidRDefault="00084F36">
            <w:pPr>
              <w:pStyle w:val="TableParagraph"/>
              <w:rPr>
                <w:rFonts w:ascii="Times New Roman"/>
                <w:sz w:val="16"/>
              </w:rPr>
            </w:pPr>
          </w:p>
        </w:tc>
        <w:tc>
          <w:tcPr>
            <w:tcW w:w="1467" w:type="dxa"/>
          </w:tcPr>
          <w:p w14:paraId="206210CC" w14:textId="77777777" w:rsidR="00084F36" w:rsidRPr="00EB2BD8" w:rsidRDefault="00084F36">
            <w:pPr>
              <w:pStyle w:val="TableParagraph"/>
              <w:rPr>
                <w:rFonts w:ascii="Times New Roman"/>
                <w:sz w:val="16"/>
              </w:rPr>
            </w:pPr>
          </w:p>
        </w:tc>
        <w:tc>
          <w:tcPr>
            <w:tcW w:w="2455" w:type="dxa"/>
          </w:tcPr>
          <w:p w14:paraId="6D2B22C5" w14:textId="77777777" w:rsidR="00084F36" w:rsidRPr="00EB2BD8" w:rsidRDefault="00EB2BD8">
            <w:pPr>
              <w:pStyle w:val="TableParagraph"/>
              <w:spacing w:before="19"/>
              <w:ind w:left="290"/>
              <w:rPr>
                <w:sz w:val="16"/>
              </w:rPr>
            </w:pPr>
            <w:r w:rsidRPr="00EB2BD8">
              <w:rPr>
                <w:spacing w:val="-2"/>
                <w:sz w:val="16"/>
              </w:rPr>
              <w:t>period,</w:t>
            </w:r>
            <w:r w:rsidRPr="00EB2BD8">
              <w:rPr>
                <w:spacing w:val="-7"/>
                <w:sz w:val="16"/>
              </w:rPr>
              <w:t xml:space="preserve"> </w:t>
            </w:r>
            <w:r w:rsidRPr="00EB2BD8">
              <w:rPr>
                <w:spacing w:val="-2"/>
                <w:sz w:val="16"/>
              </w:rPr>
              <w:t>in</w:t>
            </w:r>
            <w:r w:rsidRPr="00EB2BD8">
              <w:rPr>
                <w:spacing w:val="-6"/>
                <w:sz w:val="16"/>
              </w:rPr>
              <w:t xml:space="preserve"> </w:t>
            </w:r>
            <w:r w:rsidRPr="00EB2BD8">
              <w:rPr>
                <w:spacing w:val="-2"/>
                <w:sz w:val="16"/>
              </w:rPr>
              <w:t>respect</w:t>
            </w:r>
            <w:r w:rsidRPr="00EB2BD8">
              <w:rPr>
                <w:spacing w:val="-7"/>
                <w:sz w:val="16"/>
              </w:rPr>
              <w:t xml:space="preserve"> </w:t>
            </w:r>
            <w:r w:rsidRPr="00EB2BD8">
              <w:rPr>
                <w:spacing w:val="-2"/>
                <w:sz w:val="16"/>
              </w:rPr>
              <w:t>of</w:t>
            </w:r>
            <w:r w:rsidRPr="00EB2BD8">
              <w:rPr>
                <w:spacing w:val="-6"/>
                <w:sz w:val="16"/>
              </w:rPr>
              <w:t xml:space="preserve"> </w:t>
            </w:r>
            <w:r w:rsidRPr="00EB2BD8">
              <w:rPr>
                <w:spacing w:val="-2"/>
                <w:sz w:val="16"/>
              </w:rPr>
              <w:t>a</w:t>
            </w:r>
            <w:r w:rsidRPr="00EB2BD8">
              <w:rPr>
                <w:spacing w:val="-6"/>
                <w:sz w:val="16"/>
              </w:rPr>
              <w:t xml:space="preserve"> </w:t>
            </w:r>
            <w:r w:rsidRPr="00EB2BD8">
              <w:rPr>
                <w:spacing w:val="-4"/>
                <w:sz w:val="16"/>
              </w:rPr>
              <w:t>site</w:t>
            </w:r>
          </w:p>
        </w:tc>
        <w:tc>
          <w:tcPr>
            <w:tcW w:w="2280" w:type="dxa"/>
          </w:tcPr>
          <w:p w14:paraId="2AE1D668" w14:textId="77777777" w:rsidR="00084F36" w:rsidRPr="00EB2BD8" w:rsidRDefault="00084F36">
            <w:pPr>
              <w:pStyle w:val="TableParagraph"/>
              <w:rPr>
                <w:rFonts w:ascii="Times New Roman"/>
                <w:sz w:val="16"/>
              </w:rPr>
            </w:pPr>
          </w:p>
        </w:tc>
        <w:tc>
          <w:tcPr>
            <w:tcW w:w="1079" w:type="dxa"/>
          </w:tcPr>
          <w:p w14:paraId="34EB0A8E" w14:textId="77777777" w:rsidR="00084F36" w:rsidRPr="00EB2BD8" w:rsidRDefault="00084F36">
            <w:pPr>
              <w:pStyle w:val="TableParagraph"/>
              <w:rPr>
                <w:rFonts w:ascii="Times New Roman"/>
                <w:sz w:val="16"/>
              </w:rPr>
            </w:pPr>
          </w:p>
        </w:tc>
        <w:tc>
          <w:tcPr>
            <w:tcW w:w="1176" w:type="dxa"/>
          </w:tcPr>
          <w:p w14:paraId="3800BAF5" w14:textId="77777777" w:rsidR="00084F36" w:rsidRPr="00EB2BD8" w:rsidRDefault="00084F36">
            <w:pPr>
              <w:pStyle w:val="TableParagraph"/>
              <w:rPr>
                <w:rFonts w:ascii="Times New Roman"/>
                <w:sz w:val="16"/>
              </w:rPr>
            </w:pPr>
          </w:p>
        </w:tc>
      </w:tr>
      <w:tr w:rsidR="00EB2BD8" w:rsidRPr="00EB2BD8" w14:paraId="2E4D34D2" w14:textId="77777777">
        <w:trPr>
          <w:trHeight w:val="285"/>
        </w:trPr>
        <w:tc>
          <w:tcPr>
            <w:tcW w:w="1746" w:type="dxa"/>
            <w:tcBorders>
              <w:bottom w:val="single" w:sz="2" w:space="0" w:color="000000"/>
            </w:tcBorders>
          </w:tcPr>
          <w:p w14:paraId="20F3B8D0" w14:textId="77777777" w:rsidR="00084F36" w:rsidRPr="00EB2BD8" w:rsidRDefault="00084F36">
            <w:pPr>
              <w:pStyle w:val="TableParagraph"/>
              <w:rPr>
                <w:rFonts w:ascii="Times New Roman"/>
                <w:sz w:val="16"/>
              </w:rPr>
            </w:pPr>
          </w:p>
        </w:tc>
        <w:tc>
          <w:tcPr>
            <w:tcW w:w="1467" w:type="dxa"/>
            <w:tcBorders>
              <w:bottom w:val="single" w:sz="2" w:space="0" w:color="000000"/>
            </w:tcBorders>
          </w:tcPr>
          <w:p w14:paraId="4105CDD1" w14:textId="77777777" w:rsidR="00084F36" w:rsidRPr="00EB2BD8" w:rsidRDefault="00084F36">
            <w:pPr>
              <w:pStyle w:val="TableParagraph"/>
              <w:rPr>
                <w:rFonts w:ascii="Times New Roman"/>
                <w:sz w:val="16"/>
              </w:rPr>
            </w:pPr>
          </w:p>
        </w:tc>
        <w:tc>
          <w:tcPr>
            <w:tcW w:w="2455" w:type="dxa"/>
            <w:tcBorders>
              <w:bottom w:val="single" w:sz="2" w:space="0" w:color="000000"/>
            </w:tcBorders>
          </w:tcPr>
          <w:p w14:paraId="16B5A4FE" w14:textId="77777777" w:rsidR="00084F36" w:rsidRPr="00EB2BD8" w:rsidRDefault="00EB2BD8">
            <w:pPr>
              <w:pStyle w:val="TableParagraph"/>
              <w:spacing w:before="19"/>
              <w:ind w:left="290"/>
              <w:rPr>
                <w:sz w:val="16"/>
              </w:rPr>
            </w:pPr>
            <w:r w:rsidRPr="00EB2BD8">
              <w:rPr>
                <w:sz w:val="16"/>
              </w:rPr>
              <w:t>at</w:t>
            </w:r>
            <w:r w:rsidRPr="00EB2BD8">
              <w:rPr>
                <w:spacing w:val="-4"/>
                <w:sz w:val="16"/>
              </w:rPr>
              <w:t xml:space="preserve"> </w:t>
            </w:r>
            <w:r w:rsidRPr="00EB2BD8">
              <w:rPr>
                <w:sz w:val="16"/>
              </w:rPr>
              <w:t>Winter</w:t>
            </w:r>
            <w:r w:rsidRPr="00EB2BD8">
              <w:rPr>
                <w:spacing w:val="-3"/>
                <w:sz w:val="16"/>
              </w:rPr>
              <w:t xml:space="preserve"> </w:t>
            </w:r>
            <w:r w:rsidRPr="00EB2BD8">
              <w:rPr>
                <w:spacing w:val="-2"/>
                <w:sz w:val="16"/>
              </w:rPr>
              <w:t>Valley.</w:t>
            </w:r>
          </w:p>
        </w:tc>
        <w:tc>
          <w:tcPr>
            <w:tcW w:w="2280" w:type="dxa"/>
            <w:tcBorders>
              <w:bottom w:val="single" w:sz="2" w:space="0" w:color="000000"/>
            </w:tcBorders>
          </w:tcPr>
          <w:p w14:paraId="5187647C"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5226DC70"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37E3840A" w14:textId="77777777" w:rsidR="00084F36" w:rsidRPr="00EB2BD8" w:rsidRDefault="00084F36">
            <w:pPr>
              <w:pStyle w:val="TableParagraph"/>
              <w:rPr>
                <w:rFonts w:ascii="Times New Roman"/>
                <w:sz w:val="16"/>
              </w:rPr>
            </w:pPr>
          </w:p>
        </w:tc>
      </w:tr>
      <w:tr w:rsidR="00EB2BD8" w:rsidRPr="00EB2BD8" w14:paraId="0417776A" w14:textId="77777777">
        <w:trPr>
          <w:trHeight w:val="325"/>
        </w:trPr>
        <w:tc>
          <w:tcPr>
            <w:tcW w:w="1746" w:type="dxa"/>
            <w:tcBorders>
              <w:top w:val="single" w:sz="2" w:space="0" w:color="000000"/>
            </w:tcBorders>
          </w:tcPr>
          <w:p w14:paraId="62F0372D" w14:textId="77777777" w:rsidR="00084F36" w:rsidRPr="00EB2BD8" w:rsidRDefault="00EB2BD8">
            <w:pPr>
              <w:pStyle w:val="TableParagraph"/>
              <w:spacing w:before="115"/>
              <w:ind w:left="113"/>
              <w:rPr>
                <w:sz w:val="16"/>
              </w:rPr>
            </w:pPr>
            <w:r w:rsidRPr="00EB2BD8">
              <w:rPr>
                <w:sz w:val="16"/>
              </w:rPr>
              <w:t>Anakor</w:t>
            </w:r>
            <w:r w:rsidRPr="00EB2BD8">
              <w:rPr>
                <w:spacing w:val="-6"/>
                <w:sz w:val="16"/>
              </w:rPr>
              <w:t xml:space="preserve"> </w:t>
            </w:r>
            <w:r w:rsidRPr="00EB2BD8">
              <w:rPr>
                <w:sz w:val="16"/>
              </w:rPr>
              <w:t>Pty</w:t>
            </w:r>
            <w:r w:rsidRPr="00EB2BD8">
              <w:rPr>
                <w:spacing w:val="-6"/>
                <w:sz w:val="16"/>
              </w:rPr>
              <w:t xml:space="preserve"> </w:t>
            </w:r>
            <w:r w:rsidRPr="00EB2BD8">
              <w:rPr>
                <w:spacing w:val="-5"/>
                <w:sz w:val="16"/>
              </w:rPr>
              <w:t>Ltd</w:t>
            </w:r>
          </w:p>
        </w:tc>
        <w:tc>
          <w:tcPr>
            <w:tcW w:w="1467" w:type="dxa"/>
            <w:tcBorders>
              <w:top w:val="single" w:sz="2" w:space="0" w:color="000000"/>
            </w:tcBorders>
          </w:tcPr>
          <w:p w14:paraId="34819FDA" w14:textId="77777777" w:rsidR="00084F36" w:rsidRPr="00EB2BD8" w:rsidRDefault="00EB2BD8">
            <w:pPr>
              <w:pStyle w:val="TableParagraph"/>
              <w:spacing w:before="115"/>
              <w:ind w:left="124"/>
              <w:rPr>
                <w:sz w:val="16"/>
              </w:rPr>
            </w:pPr>
            <w:r w:rsidRPr="00EB2BD8">
              <w:rPr>
                <w:spacing w:val="2"/>
                <w:sz w:val="16"/>
              </w:rPr>
              <w:t>CDB-U</w:t>
            </w:r>
            <w:r w:rsidRPr="00EB2BD8">
              <w:rPr>
                <w:spacing w:val="17"/>
                <w:sz w:val="16"/>
              </w:rPr>
              <w:t xml:space="preserve"> </w:t>
            </w:r>
            <w:r w:rsidRPr="00EB2BD8">
              <w:rPr>
                <w:spacing w:val="-2"/>
                <w:sz w:val="16"/>
              </w:rPr>
              <w:t>53286</w:t>
            </w:r>
          </w:p>
        </w:tc>
        <w:tc>
          <w:tcPr>
            <w:tcW w:w="2455" w:type="dxa"/>
            <w:tcBorders>
              <w:top w:val="single" w:sz="2" w:space="0" w:color="000000"/>
            </w:tcBorders>
          </w:tcPr>
          <w:p w14:paraId="6BDE3440" w14:textId="77777777" w:rsidR="00084F36" w:rsidRPr="00EB2BD8" w:rsidRDefault="00EB2BD8">
            <w:pPr>
              <w:pStyle w:val="TableParagraph"/>
              <w:spacing w:before="115"/>
              <w:ind w:left="290"/>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280" w:type="dxa"/>
            <w:tcBorders>
              <w:top w:val="single" w:sz="2" w:space="0" w:color="000000"/>
            </w:tcBorders>
          </w:tcPr>
          <w:p w14:paraId="46877515" w14:textId="77777777" w:rsidR="00084F36" w:rsidRPr="00EB2BD8" w:rsidRDefault="00EB2BD8">
            <w:pPr>
              <w:pStyle w:val="TableParagraph"/>
              <w:spacing w:before="115"/>
              <w:ind w:left="114"/>
              <w:rPr>
                <w:sz w:val="16"/>
              </w:rPr>
            </w:pPr>
            <w:r w:rsidRPr="00EB2BD8">
              <w:rPr>
                <w:spacing w:val="-2"/>
                <w:sz w:val="16"/>
              </w:rPr>
              <w:t>Reprimands,</w:t>
            </w:r>
            <w:r w:rsidRPr="00EB2BD8">
              <w:rPr>
                <w:spacing w:val="-4"/>
                <w:sz w:val="16"/>
              </w:rPr>
              <w:t xml:space="preserve"> </w:t>
            </w:r>
            <w:r w:rsidRPr="00EB2BD8">
              <w:rPr>
                <w:spacing w:val="-2"/>
                <w:sz w:val="16"/>
              </w:rPr>
              <w:t>suspension</w:t>
            </w:r>
          </w:p>
        </w:tc>
        <w:tc>
          <w:tcPr>
            <w:tcW w:w="1079" w:type="dxa"/>
            <w:tcBorders>
              <w:top w:val="single" w:sz="2" w:space="0" w:color="000000"/>
            </w:tcBorders>
          </w:tcPr>
          <w:p w14:paraId="55A38DF4" w14:textId="77777777" w:rsidR="00084F36" w:rsidRPr="00EB2BD8" w:rsidRDefault="00EB2BD8">
            <w:pPr>
              <w:pStyle w:val="TableParagraph"/>
              <w:spacing w:before="114"/>
              <w:ind w:right="112"/>
              <w:jc w:val="right"/>
              <w:rPr>
                <w:sz w:val="16"/>
              </w:rPr>
            </w:pPr>
            <w:r w:rsidRPr="00EB2BD8">
              <w:rPr>
                <w:w w:val="124"/>
                <w:sz w:val="16"/>
              </w:rPr>
              <w:t>–</w:t>
            </w:r>
          </w:p>
        </w:tc>
        <w:tc>
          <w:tcPr>
            <w:tcW w:w="1176" w:type="dxa"/>
            <w:tcBorders>
              <w:top w:val="single" w:sz="2" w:space="0" w:color="000000"/>
            </w:tcBorders>
          </w:tcPr>
          <w:p w14:paraId="7E89B5FC" w14:textId="77777777" w:rsidR="00084F36" w:rsidRPr="00EB2BD8" w:rsidRDefault="00EB2BD8">
            <w:pPr>
              <w:pStyle w:val="TableParagraph"/>
              <w:spacing w:before="114"/>
              <w:ind w:left="111"/>
              <w:rPr>
                <w:sz w:val="16"/>
              </w:rPr>
            </w:pPr>
            <w:r w:rsidRPr="00EB2BD8">
              <w:rPr>
                <w:spacing w:val="-2"/>
                <w:sz w:val="16"/>
              </w:rPr>
              <w:t>04/04/2023</w:t>
            </w:r>
          </w:p>
        </w:tc>
      </w:tr>
      <w:tr w:rsidR="00EB2BD8" w:rsidRPr="00EB2BD8" w14:paraId="5C03D4FF" w14:textId="77777777">
        <w:trPr>
          <w:trHeight w:val="229"/>
        </w:trPr>
        <w:tc>
          <w:tcPr>
            <w:tcW w:w="1746" w:type="dxa"/>
          </w:tcPr>
          <w:p w14:paraId="134CE285" w14:textId="77777777" w:rsidR="00084F36" w:rsidRPr="00EB2BD8" w:rsidRDefault="00084F36">
            <w:pPr>
              <w:pStyle w:val="TableParagraph"/>
              <w:rPr>
                <w:rFonts w:ascii="Times New Roman"/>
                <w:sz w:val="16"/>
              </w:rPr>
            </w:pPr>
          </w:p>
        </w:tc>
        <w:tc>
          <w:tcPr>
            <w:tcW w:w="1467" w:type="dxa"/>
          </w:tcPr>
          <w:p w14:paraId="079AC6F6" w14:textId="77777777" w:rsidR="00084F36" w:rsidRPr="00EB2BD8" w:rsidRDefault="00084F36">
            <w:pPr>
              <w:pStyle w:val="TableParagraph"/>
              <w:rPr>
                <w:rFonts w:ascii="Times New Roman"/>
                <w:sz w:val="16"/>
              </w:rPr>
            </w:pPr>
          </w:p>
        </w:tc>
        <w:tc>
          <w:tcPr>
            <w:tcW w:w="2455" w:type="dxa"/>
          </w:tcPr>
          <w:p w14:paraId="57CF7926" w14:textId="77777777" w:rsidR="00084F36" w:rsidRPr="00EB2BD8" w:rsidRDefault="00EB2BD8">
            <w:pPr>
              <w:pStyle w:val="TableParagraph"/>
              <w:spacing w:before="20"/>
              <w:ind w:left="290"/>
              <w:rPr>
                <w:sz w:val="16"/>
              </w:rPr>
            </w:pPr>
            <w:r w:rsidRPr="00EB2BD8">
              <w:rPr>
                <w:spacing w:val="-4"/>
                <w:sz w:val="16"/>
              </w:rPr>
              <w:t>direction</w:t>
            </w:r>
            <w:r w:rsidRPr="00EB2BD8">
              <w:rPr>
                <w:spacing w:val="-5"/>
                <w:sz w:val="16"/>
              </w:rPr>
              <w:t xml:space="preserve"> </w:t>
            </w:r>
            <w:r w:rsidRPr="00EB2BD8">
              <w:rPr>
                <w:spacing w:val="-4"/>
                <w:sz w:val="16"/>
              </w:rPr>
              <w:t>to fix building</w:t>
            </w:r>
          </w:p>
        </w:tc>
        <w:tc>
          <w:tcPr>
            <w:tcW w:w="2280" w:type="dxa"/>
          </w:tcPr>
          <w:p w14:paraId="4D677FF8" w14:textId="77777777" w:rsidR="00084F36" w:rsidRPr="00EB2BD8" w:rsidRDefault="00EB2BD8">
            <w:pPr>
              <w:pStyle w:val="TableParagraph"/>
              <w:spacing w:before="19"/>
              <w:ind w:left="114"/>
              <w:rPr>
                <w:sz w:val="16"/>
              </w:rPr>
            </w:pPr>
            <w:r w:rsidRPr="00EB2BD8">
              <w:rPr>
                <w:spacing w:val="-2"/>
                <w:sz w:val="16"/>
              </w:rPr>
              <w:t>of</w:t>
            </w:r>
            <w:r w:rsidRPr="00EB2BD8">
              <w:rPr>
                <w:spacing w:val="-7"/>
                <w:sz w:val="16"/>
              </w:rPr>
              <w:t xml:space="preserve"> </w:t>
            </w:r>
            <w:r w:rsidRPr="00EB2BD8">
              <w:rPr>
                <w:spacing w:val="-2"/>
                <w:sz w:val="16"/>
              </w:rPr>
              <w:t>registration</w:t>
            </w:r>
            <w:r w:rsidRPr="00EB2BD8">
              <w:rPr>
                <w:spacing w:val="-6"/>
                <w:sz w:val="16"/>
              </w:rPr>
              <w:t xml:space="preserve"> </w:t>
            </w:r>
            <w:r w:rsidRPr="00EB2BD8">
              <w:rPr>
                <w:spacing w:val="-2"/>
                <w:sz w:val="16"/>
              </w:rPr>
              <w:t>until</w:t>
            </w:r>
          </w:p>
        </w:tc>
        <w:tc>
          <w:tcPr>
            <w:tcW w:w="1079" w:type="dxa"/>
          </w:tcPr>
          <w:p w14:paraId="16A52CC8" w14:textId="77777777" w:rsidR="00084F36" w:rsidRPr="00EB2BD8" w:rsidRDefault="00084F36">
            <w:pPr>
              <w:pStyle w:val="TableParagraph"/>
              <w:rPr>
                <w:rFonts w:ascii="Times New Roman"/>
                <w:sz w:val="16"/>
              </w:rPr>
            </w:pPr>
          </w:p>
        </w:tc>
        <w:tc>
          <w:tcPr>
            <w:tcW w:w="1176" w:type="dxa"/>
          </w:tcPr>
          <w:p w14:paraId="59B3A668" w14:textId="77777777" w:rsidR="00084F36" w:rsidRPr="00EB2BD8" w:rsidRDefault="00084F36">
            <w:pPr>
              <w:pStyle w:val="TableParagraph"/>
              <w:rPr>
                <w:rFonts w:ascii="Times New Roman"/>
                <w:sz w:val="16"/>
              </w:rPr>
            </w:pPr>
          </w:p>
        </w:tc>
      </w:tr>
      <w:tr w:rsidR="00EB2BD8" w:rsidRPr="00EB2BD8" w14:paraId="4F5D8C75" w14:textId="77777777">
        <w:trPr>
          <w:trHeight w:val="229"/>
        </w:trPr>
        <w:tc>
          <w:tcPr>
            <w:tcW w:w="1746" w:type="dxa"/>
          </w:tcPr>
          <w:p w14:paraId="1A0F2616" w14:textId="77777777" w:rsidR="00084F36" w:rsidRPr="00EB2BD8" w:rsidRDefault="00084F36">
            <w:pPr>
              <w:pStyle w:val="TableParagraph"/>
              <w:rPr>
                <w:rFonts w:ascii="Times New Roman"/>
                <w:sz w:val="16"/>
              </w:rPr>
            </w:pPr>
          </w:p>
        </w:tc>
        <w:tc>
          <w:tcPr>
            <w:tcW w:w="1467" w:type="dxa"/>
          </w:tcPr>
          <w:p w14:paraId="5234DF9A" w14:textId="77777777" w:rsidR="00084F36" w:rsidRPr="00EB2BD8" w:rsidRDefault="00084F36">
            <w:pPr>
              <w:pStyle w:val="TableParagraph"/>
              <w:rPr>
                <w:rFonts w:ascii="Times New Roman"/>
                <w:sz w:val="16"/>
              </w:rPr>
            </w:pPr>
          </w:p>
        </w:tc>
        <w:tc>
          <w:tcPr>
            <w:tcW w:w="2455" w:type="dxa"/>
          </w:tcPr>
          <w:p w14:paraId="5172E6F8" w14:textId="77777777" w:rsidR="00084F36" w:rsidRPr="00EB2BD8" w:rsidRDefault="00EB2BD8">
            <w:pPr>
              <w:pStyle w:val="TableParagraph"/>
              <w:spacing w:before="20"/>
              <w:ind w:left="290"/>
              <w:rPr>
                <w:sz w:val="16"/>
              </w:rPr>
            </w:pPr>
            <w:r w:rsidRPr="00EB2BD8">
              <w:rPr>
                <w:spacing w:val="-2"/>
                <w:sz w:val="16"/>
              </w:rPr>
              <w:t>work</w:t>
            </w:r>
            <w:r w:rsidRPr="00EB2BD8">
              <w:rPr>
                <w:spacing w:val="-12"/>
                <w:sz w:val="16"/>
              </w:rPr>
              <w:t xml:space="preserve"> </w:t>
            </w:r>
            <w:r w:rsidRPr="00EB2BD8">
              <w:rPr>
                <w:spacing w:val="-2"/>
                <w:sz w:val="16"/>
              </w:rPr>
              <w:t>within</w:t>
            </w:r>
            <w:r w:rsidRPr="00EB2BD8">
              <w:rPr>
                <w:spacing w:val="-12"/>
                <w:sz w:val="16"/>
              </w:rPr>
              <w:t xml:space="preserve"> </w:t>
            </w:r>
            <w:r w:rsidRPr="00EB2BD8">
              <w:rPr>
                <w:spacing w:val="-2"/>
                <w:sz w:val="16"/>
              </w:rPr>
              <w:t>the</w:t>
            </w:r>
            <w:r w:rsidRPr="00EB2BD8">
              <w:rPr>
                <w:spacing w:val="-12"/>
                <w:sz w:val="16"/>
              </w:rPr>
              <w:t xml:space="preserve"> </w:t>
            </w:r>
            <w:r w:rsidRPr="00EB2BD8">
              <w:rPr>
                <w:spacing w:val="-2"/>
                <w:sz w:val="16"/>
              </w:rPr>
              <w:t>specified</w:t>
            </w:r>
          </w:p>
        </w:tc>
        <w:tc>
          <w:tcPr>
            <w:tcW w:w="2280" w:type="dxa"/>
          </w:tcPr>
          <w:p w14:paraId="401391A2" w14:textId="77777777" w:rsidR="00084F36" w:rsidRPr="00EB2BD8" w:rsidRDefault="00EB2BD8">
            <w:pPr>
              <w:pStyle w:val="TableParagraph"/>
              <w:spacing w:before="19"/>
              <w:ind w:left="114"/>
              <w:rPr>
                <w:sz w:val="16"/>
              </w:rPr>
            </w:pPr>
            <w:r w:rsidRPr="00EB2BD8">
              <w:rPr>
                <w:sz w:val="16"/>
              </w:rPr>
              <w:t>compliance</w:t>
            </w:r>
            <w:r w:rsidRPr="00EB2BD8">
              <w:rPr>
                <w:spacing w:val="8"/>
                <w:sz w:val="16"/>
              </w:rPr>
              <w:t xml:space="preserve"> </w:t>
            </w:r>
            <w:r w:rsidRPr="00EB2BD8">
              <w:rPr>
                <w:sz w:val="16"/>
              </w:rPr>
              <w:t>achieved</w:t>
            </w:r>
            <w:r w:rsidRPr="00EB2BD8">
              <w:rPr>
                <w:spacing w:val="8"/>
                <w:sz w:val="16"/>
              </w:rPr>
              <w:t xml:space="preserve"> </w:t>
            </w:r>
            <w:r w:rsidRPr="00EB2BD8">
              <w:rPr>
                <w:spacing w:val="-5"/>
                <w:sz w:val="16"/>
              </w:rPr>
              <w:t>and</w:t>
            </w:r>
          </w:p>
        </w:tc>
        <w:tc>
          <w:tcPr>
            <w:tcW w:w="1079" w:type="dxa"/>
          </w:tcPr>
          <w:p w14:paraId="49C6D003" w14:textId="77777777" w:rsidR="00084F36" w:rsidRPr="00EB2BD8" w:rsidRDefault="00084F36">
            <w:pPr>
              <w:pStyle w:val="TableParagraph"/>
              <w:rPr>
                <w:rFonts w:ascii="Times New Roman"/>
                <w:sz w:val="16"/>
              </w:rPr>
            </w:pPr>
          </w:p>
        </w:tc>
        <w:tc>
          <w:tcPr>
            <w:tcW w:w="1176" w:type="dxa"/>
          </w:tcPr>
          <w:p w14:paraId="6B26ECF6" w14:textId="77777777" w:rsidR="00084F36" w:rsidRPr="00EB2BD8" w:rsidRDefault="00084F36">
            <w:pPr>
              <w:pStyle w:val="TableParagraph"/>
              <w:rPr>
                <w:rFonts w:ascii="Times New Roman"/>
                <w:sz w:val="16"/>
              </w:rPr>
            </w:pPr>
          </w:p>
        </w:tc>
      </w:tr>
      <w:tr w:rsidR="00EB2BD8" w:rsidRPr="00EB2BD8" w14:paraId="1A4A9ED8" w14:textId="77777777">
        <w:trPr>
          <w:trHeight w:val="229"/>
        </w:trPr>
        <w:tc>
          <w:tcPr>
            <w:tcW w:w="1746" w:type="dxa"/>
          </w:tcPr>
          <w:p w14:paraId="52E23E58" w14:textId="77777777" w:rsidR="00084F36" w:rsidRPr="00EB2BD8" w:rsidRDefault="00084F36">
            <w:pPr>
              <w:pStyle w:val="TableParagraph"/>
              <w:rPr>
                <w:rFonts w:ascii="Times New Roman"/>
                <w:sz w:val="16"/>
              </w:rPr>
            </w:pPr>
          </w:p>
        </w:tc>
        <w:tc>
          <w:tcPr>
            <w:tcW w:w="1467" w:type="dxa"/>
          </w:tcPr>
          <w:p w14:paraId="4C7E87A4" w14:textId="77777777" w:rsidR="00084F36" w:rsidRPr="00EB2BD8" w:rsidRDefault="00084F36">
            <w:pPr>
              <w:pStyle w:val="TableParagraph"/>
              <w:rPr>
                <w:rFonts w:ascii="Times New Roman"/>
                <w:sz w:val="16"/>
              </w:rPr>
            </w:pPr>
          </w:p>
        </w:tc>
        <w:tc>
          <w:tcPr>
            <w:tcW w:w="2455" w:type="dxa"/>
          </w:tcPr>
          <w:p w14:paraId="2D2677F8" w14:textId="77777777" w:rsidR="00084F36" w:rsidRPr="00EB2BD8" w:rsidRDefault="00EB2BD8">
            <w:pPr>
              <w:pStyle w:val="TableParagraph"/>
              <w:spacing w:before="20"/>
              <w:ind w:left="290"/>
              <w:rPr>
                <w:sz w:val="16"/>
              </w:rPr>
            </w:pPr>
            <w:r w:rsidRPr="00EB2BD8">
              <w:rPr>
                <w:spacing w:val="-4"/>
                <w:sz w:val="16"/>
              </w:rPr>
              <w:t>period, failing to perform</w:t>
            </w:r>
          </w:p>
        </w:tc>
        <w:tc>
          <w:tcPr>
            <w:tcW w:w="2280" w:type="dxa"/>
          </w:tcPr>
          <w:p w14:paraId="37D53352" w14:textId="77777777" w:rsidR="00084F36" w:rsidRPr="00EB2BD8" w:rsidRDefault="00EB2BD8">
            <w:pPr>
              <w:pStyle w:val="TableParagraph"/>
              <w:spacing w:before="19"/>
              <w:ind w:left="114"/>
              <w:rPr>
                <w:sz w:val="16"/>
              </w:rPr>
            </w:pPr>
            <w:r w:rsidRPr="00EB2BD8">
              <w:rPr>
                <w:sz w:val="16"/>
              </w:rPr>
              <w:t>requirement</w:t>
            </w:r>
            <w:r w:rsidRPr="00EB2BD8">
              <w:rPr>
                <w:spacing w:val="-10"/>
                <w:sz w:val="16"/>
              </w:rPr>
              <w:t xml:space="preserve"> </w:t>
            </w:r>
            <w:r w:rsidRPr="00EB2BD8">
              <w:rPr>
                <w:sz w:val="16"/>
              </w:rPr>
              <w:t>that</w:t>
            </w:r>
            <w:r w:rsidRPr="00EB2BD8">
              <w:rPr>
                <w:spacing w:val="-10"/>
                <w:sz w:val="16"/>
              </w:rPr>
              <w:t xml:space="preserve"> </w:t>
            </w:r>
            <w:r w:rsidRPr="00EB2BD8">
              <w:rPr>
                <w:spacing w:val="-2"/>
                <w:sz w:val="16"/>
              </w:rPr>
              <w:t>nominee</w:t>
            </w:r>
          </w:p>
        </w:tc>
        <w:tc>
          <w:tcPr>
            <w:tcW w:w="1079" w:type="dxa"/>
          </w:tcPr>
          <w:p w14:paraId="091E9C8C" w14:textId="77777777" w:rsidR="00084F36" w:rsidRPr="00EB2BD8" w:rsidRDefault="00084F36">
            <w:pPr>
              <w:pStyle w:val="TableParagraph"/>
              <w:rPr>
                <w:rFonts w:ascii="Times New Roman"/>
                <w:sz w:val="16"/>
              </w:rPr>
            </w:pPr>
          </w:p>
        </w:tc>
        <w:tc>
          <w:tcPr>
            <w:tcW w:w="1176" w:type="dxa"/>
          </w:tcPr>
          <w:p w14:paraId="76684C78" w14:textId="77777777" w:rsidR="00084F36" w:rsidRPr="00EB2BD8" w:rsidRDefault="00084F36">
            <w:pPr>
              <w:pStyle w:val="TableParagraph"/>
              <w:rPr>
                <w:rFonts w:ascii="Times New Roman"/>
                <w:sz w:val="16"/>
              </w:rPr>
            </w:pPr>
          </w:p>
        </w:tc>
      </w:tr>
      <w:tr w:rsidR="00EB2BD8" w:rsidRPr="00EB2BD8" w14:paraId="0049A7DA" w14:textId="77777777">
        <w:trPr>
          <w:trHeight w:val="229"/>
        </w:trPr>
        <w:tc>
          <w:tcPr>
            <w:tcW w:w="1746" w:type="dxa"/>
          </w:tcPr>
          <w:p w14:paraId="3BBC72B3" w14:textId="77777777" w:rsidR="00084F36" w:rsidRPr="00EB2BD8" w:rsidRDefault="00084F36">
            <w:pPr>
              <w:pStyle w:val="TableParagraph"/>
              <w:rPr>
                <w:rFonts w:ascii="Times New Roman"/>
                <w:sz w:val="16"/>
              </w:rPr>
            </w:pPr>
          </w:p>
        </w:tc>
        <w:tc>
          <w:tcPr>
            <w:tcW w:w="1467" w:type="dxa"/>
          </w:tcPr>
          <w:p w14:paraId="478919A3" w14:textId="77777777" w:rsidR="00084F36" w:rsidRPr="00EB2BD8" w:rsidRDefault="00084F36">
            <w:pPr>
              <w:pStyle w:val="TableParagraph"/>
              <w:rPr>
                <w:rFonts w:ascii="Times New Roman"/>
                <w:sz w:val="16"/>
              </w:rPr>
            </w:pPr>
          </w:p>
        </w:tc>
        <w:tc>
          <w:tcPr>
            <w:tcW w:w="2455" w:type="dxa"/>
          </w:tcPr>
          <w:p w14:paraId="71A96F88" w14:textId="77777777" w:rsidR="00084F36" w:rsidRPr="00EB2BD8" w:rsidRDefault="00EB2BD8">
            <w:pPr>
              <w:pStyle w:val="TableParagraph"/>
              <w:spacing w:before="20"/>
              <w:ind w:left="290"/>
              <w:rPr>
                <w:sz w:val="16"/>
              </w:rPr>
            </w:pPr>
            <w:r w:rsidRPr="00EB2BD8">
              <w:rPr>
                <w:spacing w:val="-4"/>
                <w:sz w:val="16"/>
              </w:rPr>
              <w:t>building</w:t>
            </w:r>
            <w:r w:rsidRPr="00EB2BD8">
              <w:rPr>
                <w:spacing w:val="-5"/>
                <w:sz w:val="16"/>
              </w:rPr>
              <w:t xml:space="preserve"> </w:t>
            </w:r>
            <w:r w:rsidRPr="00EB2BD8">
              <w:rPr>
                <w:spacing w:val="-4"/>
                <w:sz w:val="16"/>
              </w:rPr>
              <w:t xml:space="preserve">work in </w:t>
            </w:r>
            <w:r w:rsidRPr="00EB2BD8">
              <w:rPr>
                <w:spacing w:val="-10"/>
                <w:sz w:val="16"/>
              </w:rPr>
              <w:t>a</w:t>
            </w:r>
          </w:p>
        </w:tc>
        <w:tc>
          <w:tcPr>
            <w:tcW w:w="2280" w:type="dxa"/>
          </w:tcPr>
          <w:p w14:paraId="0C28B523" w14:textId="77777777" w:rsidR="00084F36" w:rsidRPr="00EB2BD8" w:rsidRDefault="00EB2BD8">
            <w:pPr>
              <w:pStyle w:val="TableParagraph"/>
              <w:spacing w:before="19"/>
              <w:ind w:left="114"/>
              <w:rPr>
                <w:sz w:val="16"/>
              </w:rPr>
            </w:pPr>
            <w:r w:rsidRPr="00EB2BD8">
              <w:rPr>
                <w:spacing w:val="-2"/>
                <w:sz w:val="16"/>
              </w:rPr>
              <w:t>director</w:t>
            </w:r>
            <w:r w:rsidRPr="00EB2BD8">
              <w:rPr>
                <w:spacing w:val="1"/>
                <w:sz w:val="16"/>
              </w:rPr>
              <w:t xml:space="preserve"> </w:t>
            </w:r>
            <w:r w:rsidRPr="00EB2BD8">
              <w:rPr>
                <w:spacing w:val="-2"/>
                <w:sz w:val="16"/>
              </w:rPr>
              <w:t>complete</w:t>
            </w:r>
            <w:r w:rsidRPr="00EB2BD8">
              <w:rPr>
                <w:spacing w:val="2"/>
                <w:sz w:val="16"/>
              </w:rPr>
              <w:t xml:space="preserve"> </w:t>
            </w:r>
            <w:r w:rsidRPr="00EB2BD8">
              <w:rPr>
                <w:spacing w:val="-2"/>
                <w:sz w:val="16"/>
              </w:rPr>
              <w:t>training</w:t>
            </w:r>
          </w:p>
        </w:tc>
        <w:tc>
          <w:tcPr>
            <w:tcW w:w="1079" w:type="dxa"/>
          </w:tcPr>
          <w:p w14:paraId="10B9B597" w14:textId="77777777" w:rsidR="00084F36" w:rsidRPr="00EB2BD8" w:rsidRDefault="00084F36">
            <w:pPr>
              <w:pStyle w:val="TableParagraph"/>
              <w:rPr>
                <w:rFonts w:ascii="Times New Roman"/>
                <w:sz w:val="16"/>
              </w:rPr>
            </w:pPr>
          </w:p>
        </w:tc>
        <w:tc>
          <w:tcPr>
            <w:tcW w:w="1176" w:type="dxa"/>
          </w:tcPr>
          <w:p w14:paraId="3F782C56" w14:textId="77777777" w:rsidR="00084F36" w:rsidRPr="00EB2BD8" w:rsidRDefault="00084F36">
            <w:pPr>
              <w:pStyle w:val="TableParagraph"/>
              <w:rPr>
                <w:rFonts w:ascii="Times New Roman"/>
                <w:sz w:val="16"/>
              </w:rPr>
            </w:pPr>
          </w:p>
        </w:tc>
      </w:tr>
      <w:tr w:rsidR="00EB2BD8" w:rsidRPr="00EB2BD8" w14:paraId="139879F6" w14:textId="77777777">
        <w:trPr>
          <w:trHeight w:val="229"/>
        </w:trPr>
        <w:tc>
          <w:tcPr>
            <w:tcW w:w="1746" w:type="dxa"/>
          </w:tcPr>
          <w:p w14:paraId="24B90A0C" w14:textId="77777777" w:rsidR="00084F36" w:rsidRPr="00EB2BD8" w:rsidRDefault="00084F36">
            <w:pPr>
              <w:pStyle w:val="TableParagraph"/>
              <w:rPr>
                <w:rFonts w:ascii="Times New Roman"/>
                <w:sz w:val="16"/>
              </w:rPr>
            </w:pPr>
          </w:p>
        </w:tc>
        <w:tc>
          <w:tcPr>
            <w:tcW w:w="1467" w:type="dxa"/>
          </w:tcPr>
          <w:p w14:paraId="69C33C82" w14:textId="77777777" w:rsidR="00084F36" w:rsidRPr="00EB2BD8" w:rsidRDefault="00084F36">
            <w:pPr>
              <w:pStyle w:val="TableParagraph"/>
              <w:rPr>
                <w:rFonts w:ascii="Times New Roman"/>
                <w:sz w:val="16"/>
              </w:rPr>
            </w:pPr>
          </w:p>
        </w:tc>
        <w:tc>
          <w:tcPr>
            <w:tcW w:w="2455" w:type="dxa"/>
          </w:tcPr>
          <w:p w14:paraId="01F540C4" w14:textId="77777777" w:rsidR="00084F36" w:rsidRPr="00EB2BD8" w:rsidRDefault="00EB2BD8">
            <w:pPr>
              <w:pStyle w:val="TableParagraph"/>
              <w:spacing w:before="20"/>
              <w:ind w:left="290"/>
              <w:rPr>
                <w:sz w:val="16"/>
              </w:rPr>
            </w:pPr>
            <w:r w:rsidRPr="00EB2BD8">
              <w:rPr>
                <w:sz w:val="16"/>
              </w:rPr>
              <w:t xml:space="preserve">competent manner </w:t>
            </w:r>
            <w:r w:rsidRPr="00EB2BD8">
              <w:rPr>
                <w:spacing w:val="-5"/>
                <w:sz w:val="16"/>
              </w:rPr>
              <w:t>and</w:t>
            </w:r>
          </w:p>
        </w:tc>
        <w:tc>
          <w:tcPr>
            <w:tcW w:w="2280" w:type="dxa"/>
          </w:tcPr>
          <w:p w14:paraId="38C24425" w14:textId="77777777" w:rsidR="00084F36" w:rsidRPr="00EB2BD8" w:rsidRDefault="00EB2BD8">
            <w:pPr>
              <w:pStyle w:val="TableParagraph"/>
              <w:spacing w:before="19"/>
              <w:ind w:left="114"/>
              <w:rPr>
                <w:sz w:val="16"/>
              </w:rPr>
            </w:pPr>
            <w:r w:rsidRPr="00EB2BD8">
              <w:rPr>
                <w:spacing w:val="-2"/>
                <w:sz w:val="16"/>
              </w:rPr>
              <w:t>on</w:t>
            </w:r>
            <w:r w:rsidRPr="00EB2BD8">
              <w:rPr>
                <w:spacing w:val="-12"/>
                <w:sz w:val="16"/>
              </w:rPr>
              <w:t xml:space="preserve"> </w:t>
            </w:r>
            <w:r w:rsidRPr="00EB2BD8">
              <w:rPr>
                <w:spacing w:val="-2"/>
                <w:sz w:val="16"/>
              </w:rPr>
              <w:t>resolution</w:t>
            </w:r>
            <w:r w:rsidRPr="00EB2BD8">
              <w:rPr>
                <w:spacing w:val="-12"/>
                <w:sz w:val="16"/>
              </w:rPr>
              <w:t xml:space="preserve"> </w:t>
            </w:r>
            <w:r w:rsidRPr="00EB2BD8">
              <w:rPr>
                <w:spacing w:val="-2"/>
                <w:sz w:val="16"/>
              </w:rPr>
              <w:t>of</w:t>
            </w:r>
            <w:r w:rsidRPr="00EB2BD8">
              <w:rPr>
                <w:spacing w:val="-12"/>
                <w:sz w:val="16"/>
              </w:rPr>
              <w:t xml:space="preserve"> </w:t>
            </w:r>
            <w:r w:rsidRPr="00EB2BD8">
              <w:rPr>
                <w:spacing w:val="-2"/>
                <w:sz w:val="16"/>
              </w:rPr>
              <w:t>business</w:t>
            </w:r>
          </w:p>
        </w:tc>
        <w:tc>
          <w:tcPr>
            <w:tcW w:w="1079" w:type="dxa"/>
          </w:tcPr>
          <w:p w14:paraId="0FBD07FA" w14:textId="77777777" w:rsidR="00084F36" w:rsidRPr="00EB2BD8" w:rsidRDefault="00084F36">
            <w:pPr>
              <w:pStyle w:val="TableParagraph"/>
              <w:rPr>
                <w:rFonts w:ascii="Times New Roman"/>
                <w:sz w:val="16"/>
              </w:rPr>
            </w:pPr>
          </w:p>
        </w:tc>
        <w:tc>
          <w:tcPr>
            <w:tcW w:w="1176" w:type="dxa"/>
          </w:tcPr>
          <w:p w14:paraId="61E7C5B4" w14:textId="77777777" w:rsidR="00084F36" w:rsidRPr="00EB2BD8" w:rsidRDefault="00084F36">
            <w:pPr>
              <w:pStyle w:val="TableParagraph"/>
              <w:rPr>
                <w:rFonts w:ascii="Times New Roman"/>
                <w:sz w:val="16"/>
              </w:rPr>
            </w:pPr>
          </w:p>
        </w:tc>
      </w:tr>
      <w:tr w:rsidR="00EB2BD8" w:rsidRPr="00EB2BD8" w14:paraId="14A07EF3" w14:textId="77777777">
        <w:trPr>
          <w:trHeight w:val="230"/>
        </w:trPr>
        <w:tc>
          <w:tcPr>
            <w:tcW w:w="1746" w:type="dxa"/>
          </w:tcPr>
          <w:p w14:paraId="5B8B9799" w14:textId="77777777" w:rsidR="00084F36" w:rsidRPr="00EB2BD8" w:rsidRDefault="00084F36">
            <w:pPr>
              <w:pStyle w:val="TableParagraph"/>
              <w:rPr>
                <w:rFonts w:ascii="Times New Roman"/>
                <w:sz w:val="16"/>
              </w:rPr>
            </w:pPr>
          </w:p>
        </w:tc>
        <w:tc>
          <w:tcPr>
            <w:tcW w:w="1467" w:type="dxa"/>
          </w:tcPr>
          <w:p w14:paraId="1543C27E" w14:textId="77777777" w:rsidR="00084F36" w:rsidRPr="00EB2BD8" w:rsidRDefault="00084F36">
            <w:pPr>
              <w:pStyle w:val="TableParagraph"/>
              <w:rPr>
                <w:rFonts w:ascii="Times New Roman"/>
                <w:sz w:val="16"/>
              </w:rPr>
            </w:pPr>
          </w:p>
        </w:tc>
        <w:tc>
          <w:tcPr>
            <w:tcW w:w="2455" w:type="dxa"/>
          </w:tcPr>
          <w:p w14:paraId="6389238E" w14:textId="77777777" w:rsidR="00084F36" w:rsidRPr="00EB2BD8" w:rsidRDefault="00EB2BD8">
            <w:pPr>
              <w:pStyle w:val="TableParagraph"/>
              <w:spacing w:before="20"/>
              <w:ind w:left="290"/>
              <w:rPr>
                <w:sz w:val="16"/>
              </w:rPr>
            </w:pPr>
            <w:r w:rsidRPr="00EB2BD8">
              <w:rPr>
                <w:spacing w:val="-2"/>
                <w:sz w:val="16"/>
              </w:rPr>
              <w:t>to</w:t>
            </w:r>
            <w:r w:rsidRPr="00EB2BD8">
              <w:rPr>
                <w:spacing w:val="-6"/>
                <w:sz w:val="16"/>
              </w:rPr>
              <w:t xml:space="preserve"> </w:t>
            </w:r>
            <w:r w:rsidRPr="00EB2BD8">
              <w:rPr>
                <w:spacing w:val="-2"/>
                <w:sz w:val="16"/>
              </w:rPr>
              <w:t>a</w:t>
            </w:r>
            <w:r w:rsidRPr="00EB2BD8">
              <w:rPr>
                <w:spacing w:val="-5"/>
                <w:sz w:val="16"/>
              </w:rPr>
              <w:t xml:space="preserve"> </w:t>
            </w:r>
            <w:r w:rsidRPr="00EB2BD8">
              <w:rPr>
                <w:spacing w:val="-2"/>
                <w:sz w:val="16"/>
              </w:rPr>
              <w:t>professional</w:t>
            </w:r>
            <w:r w:rsidRPr="00EB2BD8">
              <w:rPr>
                <w:spacing w:val="-5"/>
                <w:sz w:val="16"/>
              </w:rPr>
              <w:t xml:space="preserve"> </w:t>
            </w:r>
            <w:r w:rsidRPr="00EB2BD8">
              <w:rPr>
                <w:spacing w:val="-2"/>
                <w:sz w:val="16"/>
              </w:rPr>
              <w:t>standard</w:t>
            </w:r>
          </w:p>
        </w:tc>
        <w:tc>
          <w:tcPr>
            <w:tcW w:w="2280" w:type="dxa"/>
          </w:tcPr>
          <w:p w14:paraId="1F25D8E0" w14:textId="77777777" w:rsidR="00084F36" w:rsidRPr="00EB2BD8" w:rsidRDefault="00EB2BD8">
            <w:pPr>
              <w:pStyle w:val="TableParagraph"/>
              <w:spacing w:before="19"/>
              <w:ind w:left="114"/>
              <w:rPr>
                <w:sz w:val="16"/>
              </w:rPr>
            </w:pPr>
            <w:r w:rsidRPr="00EB2BD8">
              <w:rPr>
                <w:spacing w:val="-2"/>
                <w:sz w:val="16"/>
              </w:rPr>
              <w:t>disputes.</w:t>
            </w:r>
          </w:p>
        </w:tc>
        <w:tc>
          <w:tcPr>
            <w:tcW w:w="1079" w:type="dxa"/>
          </w:tcPr>
          <w:p w14:paraId="09FDDE7F" w14:textId="77777777" w:rsidR="00084F36" w:rsidRPr="00EB2BD8" w:rsidRDefault="00084F36">
            <w:pPr>
              <w:pStyle w:val="TableParagraph"/>
              <w:rPr>
                <w:rFonts w:ascii="Times New Roman"/>
                <w:sz w:val="16"/>
              </w:rPr>
            </w:pPr>
          </w:p>
        </w:tc>
        <w:tc>
          <w:tcPr>
            <w:tcW w:w="1176" w:type="dxa"/>
          </w:tcPr>
          <w:p w14:paraId="6B4D6ECC" w14:textId="77777777" w:rsidR="00084F36" w:rsidRPr="00EB2BD8" w:rsidRDefault="00084F36">
            <w:pPr>
              <w:pStyle w:val="TableParagraph"/>
              <w:rPr>
                <w:rFonts w:ascii="Times New Roman"/>
                <w:sz w:val="16"/>
              </w:rPr>
            </w:pPr>
          </w:p>
        </w:tc>
      </w:tr>
      <w:tr w:rsidR="00EB2BD8" w:rsidRPr="00EB2BD8" w14:paraId="70AE381D" w14:textId="77777777">
        <w:trPr>
          <w:trHeight w:val="229"/>
        </w:trPr>
        <w:tc>
          <w:tcPr>
            <w:tcW w:w="1746" w:type="dxa"/>
          </w:tcPr>
          <w:p w14:paraId="6C32E70C" w14:textId="77777777" w:rsidR="00084F36" w:rsidRPr="00EB2BD8" w:rsidRDefault="00084F36">
            <w:pPr>
              <w:pStyle w:val="TableParagraph"/>
              <w:rPr>
                <w:rFonts w:ascii="Times New Roman"/>
                <w:sz w:val="16"/>
              </w:rPr>
            </w:pPr>
          </w:p>
        </w:tc>
        <w:tc>
          <w:tcPr>
            <w:tcW w:w="1467" w:type="dxa"/>
          </w:tcPr>
          <w:p w14:paraId="77D6AF17" w14:textId="77777777" w:rsidR="00084F36" w:rsidRPr="00EB2BD8" w:rsidRDefault="00084F36">
            <w:pPr>
              <w:pStyle w:val="TableParagraph"/>
              <w:rPr>
                <w:rFonts w:ascii="Times New Roman"/>
                <w:sz w:val="16"/>
              </w:rPr>
            </w:pPr>
          </w:p>
        </w:tc>
        <w:tc>
          <w:tcPr>
            <w:tcW w:w="2455" w:type="dxa"/>
          </w:tcPr>
          <w:p w14:paraId="02080FC1" w14:textId="77777777" w:rsidR="00084F36" w:rsidRPr="00EB2BD8" w:rsidRDefault="00EB2BD8">
            <w:pPr>
              <w:pStyle w:val="TableParagraph"/>
              <w:spacing w:before="19"/>
              <w:ind w:left="290"/>
              <w:rPr>
                <w:sz w:val="16"/>
              </w:rPr>
            </w:pPr>
            <w:r w:rsidRPr="00EB2BD8">
              <w:rPr>
                <w:spacing w:val="-2"/>
                <w:sz w:val="16"/>
              </w:rPr>
              <w:t>in</w:t>
            </w:r>
            <w:r w:rsidRPr="00EB2BD8">
              <w:rPr>
                <w:spacing w:val="-10"/>
                <w:sz w:val="16"/>
              </w:rPr>
              <w:t xml:space="preserve"> </w:t>
            </w:r>
            <w:r w:rsidRPr="00EB2BD8">
              <w:rPr>
                <w:spacing w:val="-2"/>
                <w:sz w:val="16"/>
              </w:rPr>
              <w:t>continuing</w:t>
            </w:r>
            <w:r w:rsidRPr="00EB2BD8">
              <w:rPr>
                <w:spacing w:val="-9"/>
                <w:sz w:val="16"/>
              </w:rPr>
              <w:t xml:space="preserve"> </w:t>
            </w:r>
            <w:r w:rsidRPr="00EB2BD8">
              <w:rPr>
                <w:spacing w:val="-2"/>
                <w:sz w:val="16"/>
              </w:rPr>
              <w:t>to</w:t>
            </w:r>
            <w:r w:rsidRPr="00EB2BD8">
              <w:rPr>
                <w:spacing w:val="-9"/>
                <w:sz w:val="16"/>
              </w:rPr>
              <w:t xml:space="preserve"> </w:t>
            </w:r>
            <w:r w:rsidRPr="00EB2BD8">
              <w:rPr>
                <w:spacing w:val="-4"/>
                <w:sz w:val="16"/>
              </w:rPr>
              <w:t>work</w:t>
            </w:r>
          </w:p>
        </w:tc>
        <w:tc>
          <w:tcPr>
            <w:tcW w:w="2280" w:type="dxa"/>
          </w:tcPr>
          <w:p w14:paraId="0A50FF1C" w14:textId="77777777" w:rsidR="00084F36" w:rsidRPr="00EB2BD8" w:rsidRDefault="00084F36">
            <w:pPr>
              <w:pStyle w:val="TableParagraph"/>
              <w:rPr>
                <w:rFonts w:ascii="Times New Roman"/>
                <w:sz w:val="16"/>
              </w:rPr>
            </w:pPr>
          </w:p>
        </w:tc>
        <w:tc>
          <w:tcPr>
            <w:tcW w:w="1079" w:type="dxa"/>
          </w:tcPr>
          <w:p w14:paraId="60579E27" w14:textId="77777777" w:rsidR="00084F36" w:rsidRPr="00EB2BD8" w:rsidRDefault="00084F36">
            <w:pPr>
              <w:pStyle w:val="TableParagraph"/>
              <w:rPr>
                <w:rFonts w:ascii="Times New Roman"/>
                <w:sz w:val="16"/>
              </w:rPr>
            </w:pPr>
          </w:p>
        </w:tc>
        <w:tc>
          <w:tcPr>
            <w:tcW w:w="1176" w:type="dxa"/>
          </w:tcPr>
          <w:p w14:paraId="1C5B2BDB" w14:textId="77777777" w:rsidR="00084F36" w:rsidRPr="00EB2BD8" w:rsidRDefault="00084F36">
            <w:pPr>
              <w:pStyle w:val="TableParagraph"/>
              <w:rPr>
                <w:rFonts w:ascii="Times New Roman"/>
                <w:sz w:val="16"/>
              </w:rPr>
            </w:pPr>
          </w:p>
        </w:tc>
      </w:tr>
      <w:tr w:rsidR="00EB2BD8" w:rsidRPr="00EB2BD8" w14:paraId="700D7659" w14:textId="77777777">
        <w:trPr>
          <w:trHeight w:val="229"/>
        </w:trPr>
        <w:tc>
          <w:tcPr>
            <w:tcW w:w="1746" w:type="dxa"/>
          </w:tcPr>
          <w:p w14:paraId="66AB9C48" w14:textId="77777777" w:rsidR="00084F36" w:rsidRPr="00EB2BD8" w:rsidRDefault="00084F36">
            <w:pPr>
              <w:pStyle w:val="TableParagraph"/>
              <w:rPr>
                <w:rFonts w:ascii="Times New Roman"/>
                <w:sz w:val="16"/>
              </w:rPr>
            </w:pPr>
          </w:p>
        </w:tc>
        <w:tc>
          <w:tcPr>
            <w:tcW w:w="1467" w:type="dxa"/>
          </w:tcPr>
          <w:p w14:paraId="609757C9" w14:textId="77777777" w:rsidR="00084F36" w:rsidRPr="00EB2BD8" w:rsidRDefault="00084F36">
            <w:pPr>
              <w:pStyle w:val="TableParagraph"/>
              <w:rPr>
                <w:rFonts w:ascii="Times New Roman"/>
                <w:sz w:val="16"/>
              </w:rPr>
            </w:pPr>
          </w:p>
        </w:tc>
        <w:tc>
          <w:tcPr>
            <w:tcW w:w="2455" w:type="dxa"/>
          </w:tcPr>
          <w:p w14:paraId="290FADDC" w14:textId="77777777" w:rsidR="00084F36" w:rsidRPr="00EB2BD8" w:rsidRDefault="00EB2BD8">
            <w:pPr>
              <w:pStyle w:val="TableParagraph"/>
              <w:spacing w:before="19"/>
              <w:ind w:left="290"/>
              <w:rPr>
                <w:sz w:val="16"/>
              </w:rPr>
            </w:pPr>
            <w:r w:rsidRPr="00EB2BD8">
              <w:rPr>
                <w:sz w:val="16"/>
              </w:rPr>
              <w:t>past</w:t>
            </w:r>
            <w:r w:rsidRPr="00EB2BD8">
              <w:rPr>
                <w:spacing w:val="8"/>
                <w:sz w:val="16"/>
              </w:rPr>
              <w:t xml:space="preserve"> </w:t>
            </w:r>
            <w:r w:rsidRPr="00EB2BD8">
              <w:rPr>
                <w:sz w:val="16"/>
              </w:rPr>
              <w:t>mandatory</w:t>
            </w:r>
            <w:r w:rsidRPr="00EB2BD8">
              <w:rPr>
                <w:spacing w:val="8"/>
                <w:sz w:val="16"/>
              </w:rPr>
              <w:t xml:space="preserve"> </w:t>
            </w:r>
            <w:r w:rsidRPr="00EB2BD8">
              <w:rPr>
                <w:spacing w:val="-4"/>
                <w:sz w:val="16"/>
              </w:rPr>
              <w:t>stage</w:t>
            </w:r>
          </w:p>
        </w:tc>
        <w:tc>
          <w:tcPr>
            <w:tcW w:w="2280" w:type="dxa"/>
          </w:tcPr>
          <w:p w14:paraId="598DA3B7" w14:textId="77777777" w:rsidR="00084F36" w:rsidRPr="00EB2BD8" w:rsidRDefault="00084F36">
            <w:pPr>
              <w:pStyle w:val="TableParagraph"/>
              <w:rPr>
                <w:rFonts w:ascii="Times New Roman"/>
                <w:sz w:val="16"/>
              </w:rPr>
            </w:pPr>
          </w:p>
        </w:tc>
        <w:tc>
          <w:tcPr>
            <w:tcW w:w="1079" w:type="dxa"/>
          </w:tcPr>
          <w:p w14:paraId="29CE98AC" w14:textId="77777777" w:rsidR="00084F36" w:rsidRPr="00EB2BD8" w:rsidRDefault="00084F36">
            <w:pPr>
              <w:pStyle w:val="TableParagraph"/>
              <w:rPr>
                <w:rFonts w:ascii="Times New Roman"/>
                <w:sz w:val="16"/>
              </w:rPr>
            </w:pPr>
          </w:p>
        </w:tc>
        <w:tc>
          <w:tcPr>
            <w:tcW w:w="1176" w:type="dxa"/>
          </w:tcPr>
          <w:p w14:paraId="75C3B541" w14:textId="77777777" w:rsidR="00084F36" w:rsidRPr="00EB2BD8" w:rsidRDefault="00084F36">
            <w:pPr>
              <w:pStyle w:val="TableParagraph"/>
              <w:rPr>
                <w:rFonts w:ascii="Times New Roman"/>
                <w:sz w:val="16"/>
              </w:rPr>
            </w:pPr>
          </w:p>
        </w:tc>
      </w:tr>
      <w:tr w:rsidR="00EB2BD8" w:rsidRPr="00EB2BD8" w14:paraId="33528275" w14:textId="77777777">
        <w:trPr>
          <w:trHeight w:val="229"/>
        </w:trPr>
        <w:tc>
          <w:tcPr>
            <w:tcW w:w="1746" w:type="dxa"/>
          </w:tcPr>
          <w:p w14:paraId="4F82185C" w14:textId="77777777" w:rsidR="00084F36" w:rsidRPr="00EB2BD8" w:rsidRDefault="00084F36">
            <w:pPr>
              <w:pStyle w:val="TableParagraph"/>
              <w:rPr>
                <w:rFonts w:ascii="Times New Roman"/>
                <w:sz w:val="16"/>
              </w:rPr>
            </w:pPr>
          </w:p>
        </w:tc>
        <w:tc>
          <w:tcPr>
            <w:tcW w:w="1467" w:type="dxa"/>
          </w:tcPr>
          <w:p w14:paraId="4CED6E24" w14:textId="77777777" w:rsidR="00084F36" w:rsidRPr="00EB2BD8" w:rsidRDefault="00084F36">
            <w:pPr>
              <w:pStyle w:val="TableParagraph"/>
              <w:rPr>
                <w:rFonts w:ascii="Times New Roman"/>
                <w:sz w:val="16"/>
              </w:rPr>
            </w:pPr>
          </w:p>
        </w:tc>
        <w:tc>
          <w:tcPr>
            <w:tcW w:w="2455" w:type="dxa"/>
          </w:tcPr>
          <w:p w14:paraId="4BA74A6C" w14:textId="77777777" w:rsidR="00084F36" w:rsidRPr="00EB2BD8" w:rsidRDefault="00EB2BD8">
            <w:pPr>
              <w:pStyle w:val="TableParagraph"/>
              <w:spacing w:before="19"/>
              <w:ind w:left="290"/>
              <w:rPr>
                <w:sz w:val="16"/>
              </w:rPr>
            </w:pPr>
            <w:r w:rsidRPr="00EB2BD8">
              <w:rPr>
                <w:spacing w:val="-2"/>
                <w:sz w:val="16"/>
              </w:rPr>
              <w:t>inspection,</w:t>
            </w:r>
            <w:r w:rsidRPr="00EB2BD8">
              <w:rPr>
                <w:spacing w:val="-9"/>
                <w:sz w:val="16"/>
              </w:rPr>
              <w:t xml:space="preserve"> </w:t>
            </w:r>
            <w:r w:rsidRPr="00EB2BD8">
              <w:rPr>
                <w:spacing w:val="-2"/>
                <w:sz w:val="16"/>
              </w:rPr>
              <w:t>in</w:t>
            </w:r>
            <w:r w:rsidRPr="00EB2BD8">
              <w:rPr>
                <w:spacing w:val="-8"/>
                <w:sz w:val="16"/>
              </w:rPr>
              <w:t xml:space="preserve"> </w:t>
            </w:r>
            <w:r w:rsidRPr="00EB2BD8">
              <w:rPr>
                <w:spacing w:val="-2"/>
                <w:sz w:val="16"/>
              </w:rPr>
              <w:t>respect</w:t>
            </w:r>
            <w:r w:rsidRPr="00EB2BD8">
              <w:rPr>
                <w:spacing w:val="-8"/>
                <w:sz w:val="16"/>
              </w:rPr>
              <w:t xml:space="preserve"> </w:t>
            </w:r>
            <w:r w:rsidRPr="00EB2BD8">
              <w:rPr>
                <w:spacing w:val="-2"/>
                <w:sz w:val="16"/>
              </w:rPr>
              <w:t>of</w:t>
            </w:r>
            <w:r w:rsidRPr="00EB2BD8">
              <w:rPr>
                <w:spacing w:val="-8"/>
                <w:sz w:val="16"/>
              </w:rPr>
              <w:t xml:space="preserve"> </w:t>
            </w:r>
            <w:r w:rsidRPr="00EB2BD8">
              <w:rPr>
                <w:spacing w:val="-10"/>
                <w:sz w:val="16"/>
              </w:rPr>
              <w:t>a</w:t>
            </w:r>
          </w:p>
        </w:tc>
        <w:tc>
          <w:tcPr>
            <w:tcW w:w="2280" w:type="dxa"/>
          </w:tcPr>
          <w:p w14:paraId="6BDEE7ED" w14:textId="77777777" w:rsidR="00084F36" w:rsidRPr="00EB2BD8" w:rsidRDefault="00084F36">
            <w:pPr>
              <w:pStyle w:val="TableParagraph"/>
              <w:rPr>
                <w:rFonts w:ascii="Times New Roman"/>
                <w:sz w:val="16"/>
              </w:rPr>
            </w:pPr>
          </w:p>
        </w:tc>
        <w:tc>
          <w:tcPr>
            <w:tcW w:w="1079" w:type="dxa"/>
          </w:tcPr>
          <w:p w14:paraId="61744F01" w14:textId="77777777" w:rsidR="00084F36" w:rsidRPr="00EB2BD8" w:rsidRDefault="00084F36">
            <w:pPr>
              <w:pStyle w:val="TableParagraph"/>
              <w:rPr>
                <w:rFonts w:ascii="Times New Roman"/>
                <w:sz w:val="16"/>
              </w:rPr>
            </w:pPr>
          </w:p>
        </w:tc>
        <w:tc>
          <w:tcPr>
            <w:tcW w:w="1176" w:type="dxa"/>
          </w:tcPr>
          <w:p w14:paraId="4607C662" w14:textId="77777777" w:rsidR="00084F36" w:rsidRPr="00EB2BD8" w:rsidRDefault="00084F36">
            <w:pPr>
              <w:pStyle w:val="TableParagraph"/>
              <w:rPr>
                <w:rFonts w:ascii="Times New Roman"/>
                <w:sz w:val="16"/>
              </w:rPr>
            </w:pPr>
          </w:p>
        </w:tc>
      </w:tr>
      <w:tr w:rsidR="00EB2BD8" w:rsidRPr="00EB2BD8" w14:paraId="6E10245E" w14:textId="77777777">
        <w:trPr>
          <w:trHeight w:val="357"/>
        </w:trPr>
        <w:tc>
          <w:tcPr>
            <w:tcW w:w="1746" w:type="dxa"/>
            <w:tcBorders>
              <w:bottom w:val="single" w:sz="2" w:space="0" w:color="000000"/>
            </w:tcBorders>
          </w:tcPr>
          <w:p w14:paraId="7F6388B5" w14:textId="77777777" w:rsidR="00084F36" w:rsidRPr="00EB2BD8" w:rsidRDefault="00084F36">
            <w:pPr>
              <w:pStyle w:val="TableParagraph"/>
              <w:rPr>
                <w:rFonts w:ascii="Times New Roman"/>
                <w:sz w:val="16"/>
              </w:rPr>
            </w:pPr>
          </w:p>
        </w:tc>
        <w:tc>
          <w:tcPr>
            <w:tcW w:w="1467" w:type="dxa"/>
            <w:tcBorders>
              <w:bottom w:val="single" w:sz="2" w:space="0" w:color="000000"/>
            </w:tcBorders>
          </w:tcPr>
          <w:p w14:paraId="28808F87" w14:textId="77777777" w:rsidR="00084F36" w:rsidRPr="00EB2BD8" w:rsidRDefault="00084F36">
            <w:pPr>
              <w:pStyle w:val="TableParagraph"/>
              <w:rPr>
                <w:rFonts w:ascii="Times New Roman"/>
                <w:sz w:val="16"/>
              </w:rPr>
            </w:pPr>
          </w:p>
        </w:tc>
        <w:tc>
          <w:tcPr>
            <w:tcW w:w="2455" w:type="dxa"/>
            <w:tcBorders>
              <w:bottom w:val="single" w:sz="2" w:space="0" w:color="000000"/>
            </w:tcBorders>
          </w:tcPr>
          <w:p w14:paraId="670EE69D" w14:textId="77777777" w:rsidR="00084F36" w:rsidRPr="00EB2BD8" w:rsidRDefault="00EB2BD8">
            <w:pPr>
              <w:pStyle w:val="TableParagraph"/>
              <w:spacing w:before="19"/>
              <w:ind w:left="290"/>
              <w:rPr>
                <w:sz w:val="16"/>
              </w:rPr>
            </w:pPr>
            <w:r w:rsidRPr="00EB2BD8">
              <w:rPr>
                <w:sz w:val="16"/>
              </w:rPr>
              <w:t>site</w:t>
            </w:r>
            <w:r w:rsidRPr="00EB2BD8">
              <w:rPr>
                <w:spacing w:val="-10"/>
                <w:sz w:val="16"/>
              </w:rPr>
              <w:t xml:space="preserve"> </w:t>
            </w:r>
            <w:r w:rsidRPr="00EB2BD8">
              <w:rPr>
                <w:sz w:val="16"/>
              </w:rPr>
              <w:t>at</w:t>
            </w:r>
            <w:r w:rsidRPr="00EB2BD8">
              <w:rPr>
                <w:spacing w:val="-9"/>
                <w:sz w:val="16"/>
              </w:rPr>
              <w:t xml:space="preserve"> </w:t>
            </w:r>
            <w:r w:rsidRPr="00EB2BD8">
              <w:rPr>
                <w:spacing w:val="-2"/>
                <w:sz w:val="16"/>
              </w:rPr>
              <w:t>Winchelsea.</w:t>
            </w:r>
          </w:p>
        </w:tc>
        <w:tc>
          <w:tcPr>
            <w:tcW w:w="2280" w:type="dxa"/>
            <w:tcBorders>
              <w:bottom w:val="single" w:sz="2" w:space="0" w:color="000000"/>
            </w:tcBorders>
          </w:tcPr>
          <w:p w14:paraId="41B1F432"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62F1EFDD"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768BD8FC" w14:textId="77777777" w:rsidR="00084F36" w:rsidRPr="00EB2BD8" w:rsidRDefault="00084F36">
            <w:pPr>
              <w:pStyle w:val="TableParagraph"/>
              <w:rPr>
                <w:rFonts w:ascii="Times New Roman"/>
                <w:sz w:val="16"/>
              </w:rPr>
            </w:pPr>
          </w:p>
        </w:tc>
      </w:tr>
      <w:tr w:rsidR="00EB2BD8" w:rsidRPr="00EB2BD8" w14:paraId="52B66E94" w14:textId="77777777">
        <w:trPr>
          <w:trHeight w:val="324"/>
        </w:trPr>
        <w:tc>
          <w:tcPr>
            <w:tcW w:w="1746" w:type="dxa"/>
            <w:tcBorders>
              <w:top w:val="single" w:sz="2" w:space="0" w:color="000000"/>
            </w:tcBorders>
          </w:tcPr>
          <w:p w14:paraId="7C502ED8" w14:textId="77777777" w:rsidR="00084F36" w:rsidRPr="00EB2BD8" w:rsidRDefault="00EB2BD8">
            <w:pPr>
              <w:pStyle w:val="TableParagraph"/>
              <w:spacing w:before="114"/>
              <w:ind w:left="113"/>
              <w:rPr>
                <w:sz w:val="16"/>
              </w:rPr>
            </w:pPr>
            <w:r w:rsidRPr="00EB2BD8">
              <w:rPr>
                <w:sz w:val="16"/>
              </w:rPr>
              <w:t>Anakor</w:t>
            </w:r>
            <w:r w:rsidRPr="00EB2BD8">
              <w:rPr>
                <w:spacing w:val="-6"/>
                <w:sz w:val="16"/>
              </w:rPr>
              <w:t xml:space="preserve"> </w:t>
            </w:r>
            <w:r w:rsidRPr="00EB2BD8">
              <w:rPr>
                <w:sz w:val="16"/>
              </w:rPr>
              <w:t>Pty</w:t>
            </w:r>
            <w:r w:rsidRPr="00EB2BD8">
              <w:rPr>
                <w:spacing w:val="-6"/>
                <w:sz w:val="16"/>
              </w:rPr>
              <w:t xml:space="preserve"> </w:t>
            </w:r>
            <w:r w:rsidRPr="00EB2BD8">
              <w:rPr>
                <w:spacing w:val="-5"/>
                <w:sz w:val="16"/>
              </w:rPr>
              <w:t>Ltd</w:t>
            </w:r>
          </w:p>
        </w:tc>
        <w:tc>
          <w:tcPr>
            <w:tcW w:w="1467" w:type="dxa"/>
            <w:tcBorders>
              <w:top w:val="single" w:sz="2" w:space="0" w:color="000000"/>
            </w:tcBorders>
          </w:tcPr>
          <w:p w14:paraId="2B2208AF" w14:textId="77777777" w:rsidR="00084F36" w:rsidRPr="00EB2BD8" w:rsidRDefault="00EB2BD8">
            <w:pPr>
              <w:pStyle w:val="TableParagraph"/>
              <w:spacing w:before="114"/>
              <w:ind w:left="124"/>
              <w:rPr>
                <w:sz w:val="16"/>
              </w:rPr>
            </w:pPr>
            <w:r w:rsidRPr="00EB2BD8">
              <w:rPr>
                <w:spacing w:val="2"/>
                <w:sz w:val="16"/>
              </w:rPr>
              <w:t>CDB-U</w:t>
            </w:r>
            <w:r w:rsidRPr="00EB2BD8">
              <w:rPr>
                <w:spacing w:val="17"/>
                <w:sz w:val="16"/>
              </w:rPr>
              <w:t xml:space="preserve"> </w:t>
            </w:r>
            <w:r w:rsidRPr="00EB2BD8">
              <w:rPr>
                <w:spacing w:val="-2"/>
                <w:sz w:val="16"/>
              </w:rPr>
              <w:t>53286</w:t>
            </w:r>
          </w:p>
        </w:tc>
        <w:tc>
          <w:tcPr>
            <w:tcW w:w="2455" w:type="dxa"/>
            <w:tcBorders>
              <w:top w:val="single" w:sz="2" w:space="0" w:color="000000"/>
            </w:tcBorders>
          </w:tcPr>
          <w:p w14:paraId="53B3F0EC" w14:textId="77777777" w:rsidR="00084F36" w:rsidRPr="00EB2BD8" w:rsidRDefault="00EB2BD8">
            <w:pPr>
              <w:pStyle w:val="TableParagraph"/>
              <w:spacing w:before="114"/>
              <w:ind w:left="290"/>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280" w:type="dxa"/>
            <w:tcBorders>
              <w:top w:val="single" w:sz="2" w:space="0" w:color="000000"/>
            </w:tcBorders>
          </w:tcPr>
          <w:p w14:paraId="392E7549" w14:textId="77777777" w:rsidR="00084F36" w:rsidRPr="00EB2BD8" w:rsidRDefault="00EB2BD8">
            <w:pPr>
              <w:pStyle w:val="TableParagraph"/>
              <w:spacing w:before="113"/>
              <w:ind w:left="114"/>
              <w:rPr>
                <w:sz w:val="16"/>
              </w:rPr>
            </w:pPr>
            <w:r w:rsidRPr="00EB2BD8">
              <w:rPr>
                <w:spacing w:val="-2"/>
                <w:sz w:val="16"/>
              </w:rPr>
              <w:t>Reprimands,</w:t>
            </w:r>
            <w:r w:rsidRPr="00EB2BD8">
              <w:rPr>
                <w:spacing w:val="-4"/>
                <w:sz w:val="16"/>
              </w:rPr>
              <w:t xml:space="preserve"> </w:t>
            </w:r>
            <w:r w:rsidRPr="00EB2BD8">
              <w:rPr>
                <w:spacing w:val="-2"/>
                <w:sz w:val="16"/>
              </w:rPr>
              <w:t>suspension</w:t>
            </w:r>
          </w:p>
        </w:tc>
        <w:tc>
          <w:tcPr>
            <w:tcW w:w="1079" w:type="dxa"/>
            <w:tcBorders>
              <w:top w:val="single" w:sz="2" w:space="0" w:color="000000"/>
            </w:tcBorders>
          </w:tcPr>
          <w:p w14:paraId="46564C68" w14:textId="77777777" w:rsidR="00084F36" w:rsidRPr="00EB2BD8" w:rsidRDefault="00EB2BD8">
            <w:pPr>
              <w:pStyle w:val="TableParagraph"/>
              <w:spacing w:before="113"/>
              <w:ind w:right="112"/>
              <w:jc w:val="right"/>
              <w:rPr>
                <w:sz w:val="16"/>
              </w:rPr>
            </w:pPr>
            <w:r w:rsidRPr="00EB2BD8">
              <w:rPr>
                <w:w w:val="124"/>
                <w:sz w:val="16"/>
              </w:rPr>
              <w:t>–</w:t>
            </w:r>
          </w:p>
        </w:tc>
        <w:tc>
          <w:tcPr>
            <w:tcW w:w="1176" w:type="dxa"/>
            <w:tcBorders>
              <w:top w:val="single" w:sz="2" w:space="0" w:color="000000"/>
            </w:tcBorders>
          </w:tcPr>
          <w:p w14:paraId="77BE1848" w14:textId="77777777" w:rsidR="00084F36" w:rsidRPr="00EB2BD8" w:rsidRDefault="00EB2BD8">
            <w:pPr>
              <w:pStyle w:val="TableParagraph"/>
              <w:spacing w:before="113"/>
              <w:ind w:left="111"/>
              <w:rPr>
                <w:sz w:val="16"/>
              </w:rPr>
            </w:pPr>
            <w:r w:rsidRPr="00EB2BD8">
              <w:rPr>
                <w:spacing w:val="-2"/>
                <w:sz w:val="16"/>
              </w:rPr>
              <w:t>04/04/2023</w:t>
            </w:r>
          </w:p>
        </w:tc>
      </w:tr>
      <w:tr w:rsidR="00EB2BD8" w:rsidRPr="00EB2BD8" w14:paraId="720DAF68" w14:textId="77777777">
        <w:trPr>
          <w:trHeight w:val="229"/>
        </w:trPr>
        <w:tc>
          <w:tcPr>
            <w:tcW w:w="1746" w:type="dxa"/>
          </w:tcPr>
          <w:p w14:paraId="3BBCF750" w14:textId="77777777" w:rsidR="00084F36" w:rsidRPr="00EB2BD8" w:rsidRDefault="00084F36">
            <w:pPr>
              <w:pStyle w:val="TableParagraph"/>
              <w:rPr>
                <w:rFonts w:ascii="Times New Roman"/>
                <w:sz w:val="16"/>
              </w:rPr>
            </w:pPr>
          </w:p>
        </w:tc>
        <w:tc>
          <w:tcPr>
            <w:tcW w:w="1467" w:type="dxa"/>
          </w:tcPr>
          <w:p w14:paraId="5B687FD8" w14:textId="77777777" w:rsidR="00084F36" w:rsidRPr="00EB2BD8" w:rsidRDefault="00084F36">
            <w:pPr>
              <w:pStyle w:val="TableParagraph"/>
              <w:rPr>
                <w:rFonts w:ascii="Times New Roman"/>
                <w:sz w:val="16"/>
              </w:rPr>
            </w:pPr>
          </w:p>
        </w:tc>
        <w:tc>
          <w:tcPr>
            <w:tcW w:w="2455" w:type="dxa"/>
          </w:tcPr>
          <w:p w14:paraId="52FD5BC2" w14:textId="77777777" w:rsidR="00084F36" w:rsidRPr="00EB2BD8" w:rsidRDefault="00EB2BD8">
            <w:pPr>
              <w:pStyle w:val="TableParagraph"/>
              <w:spacing w:before="20"/>
              <w:ind w:left="290"/>
              <w:rPr>
                <w:sz w:val="16"/>
              </w:rPr>
            </w:pPr>
            <w:r w:rsidRPr="00EB2BD8">
              <w:rPr>
                <w:spacing w:val="-4"/>
                <w:sz w:val="16"/>
              </w:rPr>
              <w:t>direction</w:t>
            </w:r>
            <w:r w:rsidRPr="00EB2BD8">
              <w:rPr>
                <w:spacing w:val="-5"/>
                <w:sz w:val="16"/>
              </w:rPr>
              <w:t xml:space="preserve"> </w:t>
            </w:r>
            <w:r w:rsidRPr="00EB2BD8">
              <w:rPr>
                <w:spacing w:val="-4"/>
                <w:sz w:val="16"/>
              </w:rPr>
              <w:t>to fix building</w:t>
            </w:r>
          </w:p>
        </w:tc>
        <w:tc>
          <w:tcPr>
            <w:tcW w:w="2280" w:type="dxa"/>
          </w:tcPr>
          <w:p w14:paraId="5CB5F698" w14:textId="77777777" w:rsidR="00084F36" w:rsidRPr="00EB2BD8" w:rsidRDefault="00EB2BD8">
            <w:pPr>
              <w:pStyle w:val="TableParagraph"/>
              <w:spacing w:before="19"/>
              <w:ind w:left="114"/>
              <w:rPr>
                <w:sz w:val="16"/>
              </w:rPr>
            </w:pPr>
            <w:r w:rsidRPr="00EB2BD8">
              <w:rPr>
                <w:spacing w:val="-2"/>
                <w:sz w:val="16"/>
              </w:rPr>
              <w:t>of</w:t>
            </w:r>
            <w:r w:rsidRPr="00EB2BD8">
              <w:rPr>
                <w:spacing w:val="-7"/>
                <w:sz w:val="16"/>
              </w:rPr>
              <w:t xml:space="preserve"> </w:t>
            </w:r>
            <w:r w:rsidRPr="00EB2BD8">
              <w:rPr>
                <w:spacing w:val="-2"/>
                <w:sz w:val="16"/>
              </w:rPr>
              <w:t>registration</w:t>
            </w:r>
            <w:r w:rsidRPr="00EB2BD8">
              <w:rPr>
                <w:spacing w:val="-6"/>
                <w:sz w:val="16"/>
              </w:rPr>
              <w:t xml:space="preserve"> </w:t>
            </w:r>
            <w:r w:rsidRPr="00EB2BD8">
              <w:rPr>
                <w:spacing w:val="-2"/>
                <w:sz w:val="16"/>
              </w:rPr>
              <w:t>until</w:t>
            </w:r>
          </w:p>
        </w:tc>
        <w:tc>
          <w:tcPr>
            <w:tcW w:w="1079" w:type="dxa"/>
          </w:tcPr>
          <w:p w14:paraId="4BC20C3F" w14:textId="77777777" w:rsidR="00084F36" w:rsidRPr="00EB2BD8" w:rsidRDefault="00084F36">
            <w:pPr>
              <w:pStyle w:val="TableParagraph"/>
              <w:rPr>
                <w:rFonts w:ascii="Times New Roman"/>
                <w:sz w:val="16"/>
              </w:rPr>
            </w:pPr>
          </w:p>
        </w:tc>
        <w:tc>
          <w:tcPr>
            <w:tcW w:w="1176" w:type="dxa"/>
          </w:tcPr>
          <w:p w14:paraId="6E5C9D5B" w14:textId="77777777" w:rsidR="00084F36" w:rsidRPr="00EB2BD8" w:rsidRDefault="00084F36">
            <w:pPr>
              <w:pStyle w:val="TableParagraph"/>
              <w:rPr>
                <w:rFonts w:ascii="Times New Roman"/>
                <w:sz w:val="16"/>
              </w:rPr>
            </w:pPr>
          </w:p>
        </w:tc>
      </w:tr>
      <w:tr w:rsidR="00EB2BD8" w:rsidRPr="00EB2BD8" w14:paraId="5DC55DBC" w14:textId="77777777">
        <w:trPr>
          <w:trHeight w:val="229"/>
        </w:trPr>
        <w:tc>
          <w:tcPr>
            <w:tcW w:w="1746" w:type="dxa"/>
          </w:tcPr>
          <w:p w14:paraId="120F12A8" w14:textId="77777777" w:rsidR="00084F36" w:rsidRPr="00EB2BD8" w:rsidRDefault="00084F36">
            <w:pPr>
              <w:pStyle w:val="TableParagraph"/>
              <w:rPr>
                <w:rFonts w:ascii="Times New Roman"/>
                <w:sz w:val="16"/>
              </w:rPr>
            </w:pPr>
          </w:p>
        </w:tc>
        <w:tc>
          <w:tcPr>
            <w:tcW w:w="1467" w:type="dxa"/>
          </w:tcPr>
          <w:p w14:paraId="674B83D5" w14:textId="77777777" w:rsidR="00084F36" w:rsidRPr="00EB2BD8" w:rsidRDefault="00084F36">
            <w:pPr>
              <w:pStyle w:val="TableParagraph"/>
              <w:rPr>
                <w:rFonts w:ascii="Times New Roman"/>
                <w:sz w:val="16"/>
              </w:rPr>
            </w:pPr>
          </w:p>
        </w:tc>
        <w:tc>
          <w:tcPr>
            <w:tcW w:w="2455" w:type="dxa"/>
          </w:tcPr>
          <w:p w14:paraId="570D632F" w14:textId="77777777" w:rsidR="00084F36" w:rsidRPr="00EB2BD8" w:rsidRDefault="00EB2BD8">
            <w:pPr>
              <w:pStyle w:val="TableParagraph"/>
              <w:spacing w:before="20"/>
              <w:ind w:left="290"/>
              <w:rPr>
                <w:sz w:val="16"/>
              </w:rPr>
            </w:pPr>
            <w:r w:rsidRPr="00EB2BD8">
              <w:rPr>
                <w:spacing w:val="-2"/>
                <w:sz w:val="16"/>
              </w:rPr>
              <w:t>work</w:t>
            </w:r>
            <w:r w:rsidRPr="00EB2BD8">
              <w:rPr>
                <w:spacing w:val="-12"/>
                <w:sz w:val="16"/>
              </w:rPr>
              <w:t xml:space="preserve"> </w:t>
            </w:r>
            <w:r w:rsidRPr="00EB2BD8">
              <w:rPr>
                <w:spacing w:val="-2"/>
                <w:sz w:val="16"/>
              </w:rPr>
              <w:t>within</w:t>
            </w:r>
            <w:r w:rsidRPr="00EB2BD8">
              <w:rPr>
                <w:spacing w:val="-12"/>
                <w:sz w:val="16"/>
              </w:rPr>
              <w:t xml:space="preserve"> </w:t>
            </w:r>
            <w:r w:rsidRPr="00EB2BD8">
              <w:rPr>
                <w:spacing w:val="-2"/>
                <w:sz w:val="16"/>
              </w:rPr>
              <w:t>the</w:t>
            </w:r>
            <w:r w:rsidRPr="00EB2BD8">
              <w:rPr>
                <w:spacing w:val="-12"/>
                <w:sz w:val="16"/>
              </w:rPr>
              <w:t xml:space="preserve"> </w:t>
            </w:r>
            <w:r w:rsidRPr="00EB2BD8">
              <w:rPr>
                <w:spacing w:val="-2"/>
                <w:sz w:val="16"/>
              </w:rPr>
              <w:t>specified</w:t>
            </w:r>
          </w:p>
        </w:tc>
        <w:tc>
          <w:tcPr>
            <w:tcW w:w="2280" w:type="dxa"/>
          </w:tcPr>
          <w:p w14:paraId="37A2F5FD" w14:textId="77777777" w:rsidR="00084F36" w:rsidRPr="00EB2BD8" w:rsidRDefault="00EB2BD8">
            <w:pPr>
              <w:pStyle w:val="TableParagraph"/>
              <w:spacing w:before="19"/>
              <w:ind w:left="114"/>
              <w:rPr>
                <w:sz w:val="16"/>
              </w:rPr>
            </w:pPr>
            <w:r w:rsidRPr="00EB2BD8">
              <w:rPr>
                <w:sz w:val="16"/>
              </w:rPr>
              <w:t>compliance</w:t>
            </w:r>
            <w:r w:rsidRPr="00EB2BD8">
              <w:rPr>
                <w:spacing w:val="8"/>
                <w:sz w:val="16"/>
              </w:rPr>
              <w:t xml:space="preserve"> </w:t>
            </w:r>
            <w:r w:rsidRPr="00EB2BD8">
              <w:rPr>
                <w:sz w:val="16"/>
              </w:rPr>
              <w:t>achieved</w:t>
            </w:r>
            <w:r w:rsidRPr="00EB2BD8">
              <w:rPr>
                <w:spacing w:val="8"/>
                <w:sz w:val="16"/>
              </w:rPr>
              <w:t xml:space="preserve"> </w:t>
            </w:r>
            <w:r w:rsidRPr="00EB2BD8">
              <w:rPr>
                <w:spacing w:val="-5"/>
                <w:sz w:val="16"/>
              </w:rPr>
              <w:t>and</w:t>
            </w:r>
          </w:p>
        </w:tc>
        <w:tc>
          <w:tcPr>
            <w:tcW w:w="1079" w:type="dxa"/>
          </w:tcPr>
          <w:p w14:paraId="01C3C4AE" w14:textId="77777777" w:rsidR="00084F36" w:rsidRPr="00EB2BD8" w:rsidRDefault="00084F36">
            <w:pPr>
              <w:pStyle w:val="TableParagraph"/>
              <w:rPr>
                <w:rFonts w:ascii="Times New Roman"/>
                <w:sz w:val="16"/>
              </w:rPr>
            </w:pPr>
          </w:p>
        </w:tc>
        <w:tc>
          <w:tcPr>
            <w:tcW w:w="1176" w:type="dxa"/>
          </w:tcPr>
          <w:p w14:paraId="4E5CEB8D" w14:textId="77777777" w:rsidR="00084F36" w:rsidRPr="00EB2BD8" w:rsidRDefault="00084F36">
            <w:pPr>
              <w:pStyle w:val="TableParagraph"/>
              <w:rPr>
                <w:rFonts w:ascii="Times New Roman"/>
                <w:sz w:val="16"/>
              </w:rPr>
            </w:pPr>
          </w:p>
        </w:tc>
      </w:tr>
      <w:tr w:rsidR="00EB2BD8" w:rsidRPr="00EB2BD8" w14:paraId="086EE0BE" w14:textId="77777777">
        <w:trPr>
          <w:trHeight w:val="229"/>
        </w:trPr>
        <w:tc>
          <w:tcPr>
            <w:tcW w:w="1746" w:type="dxa"/>
          </w:tcPr>
          <w:p w14:paraId="77A9DA26" w14:textId="77777777" w:rsidR="00084F36" w:rsidRPr="00EB2BD8" w:rsidRDefault="00084F36">
            <w:pPr>
              <w:pStyle w:val="TableParagraph"/>
              <w:rPr>
                <w:rFonts w:ascii="Times New Roman"/>
                <w:sz w:val="16"/>
              </w:rPr>
            </w:pPr>
          </w:p>
        </w:tc>
        <w:tc>
          <w:tcPr>
            <w:tcW w:w="1467" w:type="dxa"/>
          </w:tcPr>
          <w:p w14:paraId="4A22D060" w14:textId="77777777" w:rsidR="00084F36" w:rsidRPr="00EB2BD8" w:rsidRDefault="00084F36">
            <w:pPr>
              <w:pStyle w:val="TableParagraph"/>
              <w:rPr>
                <w:rFonts w:ascii="Times New Roman"/>
                <w:sz w:val="16"/>
              </w:rPr>
            </w:pPr>
          </w:p>
        </w:tc>
        <w:tc>
          <w:tcPr>
            <w:tcW w:w="2455" w:type="dxa"/>
          </w:tcPr>
          <w:p w14:paraId="34A0D45C" w14:textId="77777777" w:rsidR="00084F36" w:rsidRPr="00EB2BD8" w:rsidRDefault="00EB2BD8">
            <w:pPr>
              <w:pStyle w:val="TableParagraph"/>
              <w:spacing w:before="20"/>
              <w:ind w:left="290"/>
              <w:rPr>
                <w:sz w:val="16"/>
              </w:rPr>
            </w:pPr>
            <w:r w:rsidRPr="00EB2BD8">
              <w:rPr>
                <w:spacing w:val="-4"/>
                <w:sz w:val="16"/>
              </w:rPr>
              <w:t>period, failing to perform</w:t>
            </w:r>
          </w:p>
        </w:tc>
        <w:tc>
          <w:tcPr>
            <w:tcW w:w="2280" w:type="dxa"/>
          </w:tcPr>
          <w:p w14:paraId="18FF8CF7" w14:textId="77777777" w:rsidR="00084F36" w:rsidRPr="00EB2BD8" w:rsidRDefault="00EB2BD8">
            <w:pPr>
              <w:pStyle w:val="TableParagraph"/>
              <w:spacing w:before="19"/>
              <w:ind w:left="114"/>
              <w:rPr>
                <w:sz w:val="16"/>
              </w:rPr>
            </w:pPr>
            <w:r w:rsidRPr="00EB2BD8">
              <w:rPr>
                <w:sz w:val="16"/>
              </w:rPr>
              <w:t>requirement</w:t>
            </w:r>
            <w:r w:rsidRPr="00EB2BD8">
              <w:rPr>
                <w:spacing w:val="-10"/>
                <w:sz w:val="16"/>
              </w:rPr>
              <w:t xml:space="preserve"> </w:t>
            </w:r>
            <w:r w:rsidRPr="00EB2BD8">
              <w:rPr>
                <w:sz w:val="16"/>
              </w:rPr>
              <w:t>that</w:t>
            </w:r>
            <w:r w:rsidRPr="00EB2BD8">
              <w:rPr>
                <w:spacing w:val="-10"/>
                <w:sz w:val="16"/>
              </w:rPr>
              <w:t xml:space="preserve"> </w:t>
            </w:r>
            <w:r w:rsidRPr="00EB2BD8">
              <w:rPr>
                <w:spacing w:val="-2"/>
                <w:sz w:val="16"/>
              </w:rPr>
              <w:t>nominee</w:t>
            </w:r>
          </w:p>
        </w:tc>
        <w:tc>
          <w:tcPr>
            <w:tcW w:w="1079" w:type="dxa"/>
          </w:tcPr>
          <w:p w14:paraId="1ECF9468" w14:textId="77777777" w:rsidR="00084F36" w:rsidRPr="00EB2BD8" w:rsidRDefault="00084F36">
            <w:pPr>
              <w:pStyle w:val="TableParagraph"/>
              <w:rPr>
                <w:rFonts w:ascii="Times New Roman"/>
                <w:sz w:val="16"/>
              </w:rPr>
            </w:pPr>
          </w:p>
        </w:tc>
        <w:tc>
          <w:tcPr>
            <w:tcW w:w="1176" w:type="dxa"/>
          </w:tcPr>
          <w:p w14:paraId="1C7D27DC" w14:textId="77777777" w:rsidR="00084F36" w:rsidRPr="00EB2BD8" w:rsidRDefault="00084F36">
            <w:pPr>
              <w:pStyle w:val="TableParagraph"/>
              <w:rPr>
                <w:rFonts w:ascii="Times New Roman"/>
                <w:sz w:val="16"/>
              </w:rPr>
            </w:pPr>
          </w:p>
        </w:tc>
      </w:tr>
      <w:tr w:rsidR="00EB2BD8" w:rsidRPr="00EB2BD8" w14:paraId="3EA47529" w14:textId="77777777">
        <w:trPr>
          <w:trHeight w:val="229"/>
        </w:trPr>
        <w:tc>
          <w:tcPr>
            <w:tcW w:w="1746" w:type="dxa"/>
          </w:tcPr>
          <w:p w14:paraId="20B086E2" w14:textId="77777777" w:rsidR="00084F36" w:rsidRPr="00EB2BD8" w:rsidRDefault="00084F36">
            <w:pPr>
              <w:pStyle w:val="TableParagraph"/>
              <w:rPr>
                <w:rFonts w:ascii="Times New Roman"/>
                <w:sz w:val="16"/>
              </w:rPr>
            </w:pPr>
          </w:p>
        </w:tc>
        <w:tc>
          <w:tcPr>
            <w:tcW w:w="1467" w:type="dxa"/>
          </w:tcPr>
          <w:p w14:paraId="2F3345DF" w14:textId="77777777" w:rsidR="00084F36" w:rsidRPr="00EB2BD8" w:rsidRDefault="00084F36">
            <w:pPr>
              <w:pStyle w:val="TableParagraph"/>
              <w:rPr>
                <w:rFonts w:ascii="Times New Roman"/>
                <w:sz w:val="16"/>
              </w:rPr>
            </w:pPr>
          </w:p>
        </w:tc>
        <w:tc>
          <w:tcPr>
            <w:tcW w:w="2455" w:type="dxa"/>
          </w:tcPr>
          <w:p w14:paraId="5D0C5793" w14:textId="77777777" w:rsidR="00084F36" w:rsidRPr="00EB2BD8" w:rsidRDefault="00EB2BD8">
            <w:pPr>
              <w:pStyle w:val="TableParagraph"/>
              <w:spacing w:before="20"/>
              <w:ind w:left="290"/>
              <w:rPr>
                <w:sz w:val="16"/>
              </w:rPr>
            </w:pPr>
            <w:r w:rsidRPr="00EB2BD8">
              <w:rPr>
                <w:spacing w:val="-4"/>
                <w:sz w:val="16"/>
              </w:rPr>
              <w:t>building</w:t>
            </w:r>
            <w:r w:rsidRPr="00EB2BD8">
              <w:rPr>
                <w:spacing w:val="-5"/>
                <w:sz w:val="16"/>
              </w:rPr>
              <w:t xml:space="preserve"> </w:t>
            </w:r>
            <w:r w:rsidRPr="00EB2BD8">
              <w:rPr>
                <w:spacing w:val="-4"/>
                <w:sz w:val="16"/>
              </w:rPr>
              <w:t xml:space="preserve">work in </w:t>
            </w:r>
            <w:r w:rsidRPr="00EB2BD8">
              <w:rPr>
                <w:spacing w:val="-10"/>
                <w:sz w:val="16"/>
              </w:rPr>
              <w:t>a</w:t>
            </w:r>
          </w:p>
        </w:tc>
        <w:tc>
          <w:tcPr>
            <w:tcW w:w="2280" w:type="dxa"/>
          </w:tcPr>
          <w:p w14:paraId="3D887AE5" w14:textId="77777777" w:rsidR="00084F36" w:rsidRPr="00EB2BD8" w:rsidRDefault="00EB2BD8">
            <w:pPr>
              <w:pStyle w:val="TableParagraph"/>
              <w:spacing w:before="19"/>
              <w:ind w:left="114"/>
              <w:rPr>
                <w:sz w:val="16"/>
              </w:rPr>
            </w:pPr>
            <w:r w:rsidRPr="00EB2BD8">
              <w:rPr>
                <w:spacing w:val="-2"/>
                <w:sz w:val="16"/>
              </w:rPr>
              <w:t>director</w:t>
            </w:r>
            <w:r w:rsidRPr="00EB2BD8">
              <w:rPr>
                <w:spacing w:val="1"/>
                <w:sz w:val="16"/>
              </w:rPr>
              <w:t xml:space="preserve"> </w:t>
            </w:r>
            <w:r w:rsidRPr="00EB2BD8">
              <w:rPr>
                <w:spacing w:val="-2"/>
                <w:sz w:val="16"/>
              </w:rPr>
              <w:t>complete</w:t>
            </w:r>
            <w:r w:rsidRPr="00EB2BD8">
              <w:rPr>
                <w:spacing w:val="2"/>
                <w:sz w:val="16"/>
              </w:rPr>
              <w:t xml:space="preserve"> </w:t>
            </w:r>
            <w:r w:rsidRPr="00EB2BD8">
              <w:rPr>
                <w:spacing w:val="-2"/>
                <w:sz w:val="16"/>
              </w:rPr>
              <w:t>training</w:t>
            </w:r>
          </w:p>
        </w:tc>
        <w:tc>
          <w:tcPr>
            <w:tcW w:w="1079" w:type="dxa"/>
          </w:tcPr>
          <w:p w14:paraId="37DF6A86" w14:textId="77777777" w:rsidR="00084F36" w:rsidRPr="00EB2BD8" w:rsidRDefault="00084F36">
            <w:pPr>
              <w:pStyle w:val="TableParagraph"/>
              <w:rPr>
                <w:rFonts w:ascii="Times New Roman"/>
                <w:sz w:val="16"/>
              </w:rPr>
            </w:pPr>
          </w:p>
        </w:tc>
        <w:tc>
          <w:tcPr>
            <w:tcW w:w="1176" w:type="dxa"/>
          </w:tcPr>
          <w:p w14:paraId="11066D86" w14:textId="77777777" w:rsidR="00084F36" w:rsidRPr="00EB2BD8" w:rsidRDefault="00084F36">
            <w:pPr>
              <w:pStyle w:val="TableParagraph"/>
              <w:rPr>
                <w:rFonts w:ascii="Times New Roman"/>
                <w:sz w:val="16"/>
              </w:rPr>
            </w:pPr>
          </w:p>
        </w:tc>
      </w:tr>
      <w:tr w:rsidR="00EB2BD8" w:rsidRPr="00EB2BD8" w14:paraId="7CC0D827" w14:textId="77777777">
        <w:trPr>
          <w:trHeight w:val="229"/>
        </w:trPr>
        <w:tc>
          <w:tcPr>
            <w:tcW w:w="1746" w:type="dxa"/>
          </w:tcPr>
          <w:p w14:paraId="462F8AAC" w14:textId="77777777" w:rsidR="00084F36" w:rsidRPr="00EB2BD8" w:rsidRDefault="00084F36">
            <w:pPr>
              <w:pStyle w:val="TableParagraph"/>
              <w:rPr>
                <w:rFonts w:ascii="Times New Roman"/>
                <w:sz w:val="16"/>
              </w:rPr>
            </w:pPr>
          </w:p>
        </w:tc>
        <w:tc>
          <w:tcPr>
            <w:tcW w:w="1467" w:type="dxa"/>
          </w:tcPr>
          <w:p w14:paraId="28E7CE17" w14:textId="77777777" w:rsidR="00084F36" w:rsidRPr="00EB2BD8" w:rsidRDefault="00084F36">
            <w:pPr>
              <w:pStyle w:val="TableParagraph"/>
              <w:rPr>
                <w:rFonts w:ascii="Times New Roman"/>
                <w:sz w:val="16"/>
              </w:rPr>
            </w:pPr>
          </w:p>
        </w:tc>
        <w:tc>
          <w:tcPr>
            <w:tcW w:w="2455" w:type="dxa"/>
          </w:tcPr>
          <w:p w14:paraId="5FDA0785" w14:textId="77777777" w:rsidR="00084F36" w:rsidRPr="00EB2BD8" w:rsidRDefault="00EB2BD8">
            <w:pPr>
              <w:pStyle w:val="TableParagraph"/>
              <w:spacing w:before="20"/>
              <w:ind w:left="290"/>
              <w:rPr>
                <w:sz w:val="16"/>
              </w:rPr>
            </w:pPr>
            <w:r w:rsidRPr="00EB2BD8">
              <w:rPr>
                <w:sz w:val="16"/>
              </w:rPr>
              <w:t xml:space="preserve">competent manner </w:t>
            </w:r>
            <w:r w:rsidRPr="00EB2BD8">
              <w:rPr>
                <w:spacing w:val="-5"/>
                <w:sz w:val="16"/>
              </w:rPr>
              <w:t>and</w:t>
            </w:r>
          </w:p>
        </w:tc>
        <w:tc>
          <w:tcPr>
            <w:tcW w:w="2280" w:type="dxa"/>
          </w:tcPr>
          <w:p w14:paraId="4A5F57E0" w14:textId="77777777" w:rsidR="00084F36" w:rsidRPr="00EB2BD8" w:rsidRDefault="00EB2BD8">
            <w:pPr>
              <w:pStyle w:val="TableParagraph"/>
              <w:spacing w:before="19"/>
              <w:ind w:left="114"/>
              <w:rPr>
                <w:sz w:val="16"/>
              </w:rPr>
            </w:pPr>
            <w:r w:rsidRPr="00EB2BD8">
              <w:rPr>
                <w:spacing w:val="-2"/>
                <w:sz w:val="16"/>
              </w:rPr>
              <w:t>on</w:t>
            </w:r>
            <w:r w:rsidRPr="00EB2BD8">
              <w:rPr>
                <w:spacing w:val="-12"/>
                <w:sz w:val="16"/>
              </w:rPr>
              <w:t xml:space="preserve"> </w:t>
            </w:r>
            <w:r w:rsidRPr="00EB2BD8">
              <w:rPr>
                <w:spacing w:val="-2"/>
                <w:sz w:val="16"/>
              </w:rPr>
              <w:t>resolution</w:t>
            </w:r>
            <w:r w:rsidRPr="00EB2BD8">
              <w:rPr>
                <w:spacing w:val="-12"/>
                <w:sz w:val="16"/>
              </w:rPr>
              <w:t xml:space="preserve"> </w:t>
            </w:r>
            <w:r w:rsidRPr="00EB2BD8">
              <w:rPr>
                <w:spacing w:val="-2"/>
                <w:sz w:val="16"/>
              </w:rPr>
              <w:t>of</w:t>
            </w:r>
            <w:r w:rsidRPr="00EB2BD8">
              <w:rPr>
                <w:spacing w:val="-12"/>
                <w:sz w:val="16"/>
              </w:rPr>
              <w:t xml:space="preserve"> </w:t>
            </w:r>
            <w:r w:rsidRPr="00EB2BD8">
              <w:rPr>
                <w:spacing w:val="-2"/>
                <w:sz w:val="16"/>
              </w:rPr>
              <w:t>business</w:t>
            </w:r>
          </w:p>
        </w:tc>
        <w:tc>
          <w:tcPr>
            <w:tcW w:w="1079" w:type="dxa"/>
          </w:tcPr>
          <w:p w14:paraId="46BB0F0E" w14:textId="77777777" w:rsidR="00084F36" w:rsidRPr="00EB2BD8" w:rsidRDefault="00084F36">
            <w:pPr>
              <w:pStyle w:val="TableParagraph"/>
              <w:rPr>
                <w:rFonts w:ascii="Times New Roman"/>
                <w:sz w:val="16"/>
              </w:rPr>
            </w:pPr>
          </w:p>
        </w:tc>
        <w:tc>
          <w:tcPr>
            <w:tcW w:w="1176" w:type="dxa"/>
          </w:tcPr>
          <w:p w14:paraId="113D6E65" w14:textId="77777777" w:rsidR="00084F36" w:rsidRPr="00EB2BD8" w:rsidRDefault="00084F36">
            <w:pPr>
              <w:pStyle w:val="TableParagraph"/>
              <w:rPr>
                <w:rFonts w:ascii="Times New Roman"/>
                <w:sz w:val="16"/>
              </w:rPr>
            </w:pPr>
          </w:p>
        </w:tc>
      </w:tr>
      <w:tr w:rsidR="00EB2BD8" w:rsidRPr="00EB2BD8" w14:paraId="07DACB72" w14:textId="77777777">
        <w:trPr>
          <w:trHeight w:val="230"/>
        </w:trPr>
        <w:tc>
          <w:tcPr>
            <w:tcW w:w="1746" w:type="dxa"/>
          </w:tcPr>
          <w:p w14:paraId="0D314A9B" w14:textId="77777777" w:rsidR="00084F36" w:rsidRPr="00EB2BD8" w:rsidRDefault="00084F36">
            <w:pPr>
              <w:pStyle w:val="TableParagraph"/>
              <w:rPr>
                <w:rFonts w:ascii="Times New Roman"/>
                <w:sz w:val="16"/>
              </w:rPr>
            </w:pPr>
          </w:p>
        </w:tc>
        <w:tc>
          <w:tcPr>
            <w:tcW w:w="1467" w:type="dxa"/>
          </w:tcPr>
          <w:p w14:paraId="3707C84B" w14:textId="77777777" w:rsidR="00084F36" w:rsidRPr="00EB2BD8" w:rsidRDefault="00084F36">
            <w:pPr>
              <w:pStyle w:val="TableParagraph"/>
              <w:rPr>
                <w:rFonts w:ascii="Times New Roman"/>
                <w:sz w:val="16"/>
              </w:rPr>
            </w:pPr>
          </w:p>
        </w:tc>
        <w:tc>
          <w:tcPr>
            <w:tcW w:w="2455" w:type="dxa"/>
          </w:tcPr>
          <w:p w14:paraId="409BB0A0" w14:textId="77777777" w:rsidR="00084F36" w:rsidRPr="00EB2BD8" w:rsidRDefault="00EB2BD8">
            <w:pPr>
              <w:pStyle w:val="TableParagraph"/>
              <w:spacing w:before="20"/>
              <w:ind w:left="290"/>
              <w:rPr>
                <w:sz w:val="16"/>
              </w:rPr>
            </w:pPr>
            <w:r w:rsidRPr="00EB2BD8">
              <w:rPr>
                <w:spacing w:val="-2"/>
                <w:sz w:val="16"/>
              </w:rPr>
              <w:t>to</w:t>
            </w:r>
            <w:r w:rsidRPr="00EB2BD8">
              <w:rPr>
                <w:spacing w:val="-6"/>
                <w:sz w:val="16"/>
              </w:rPr>
              <w:t xml:space="preserve"> </w:t>
            </w:r>
            <w:r w:rsidRPr="00EB2BD8">
              <w:rPr>
                <w:spacing w:val="-2"/>
                <w:sz w:val="16"/>
              </w:rPr>
              <w:t>a</w:t>
            </w:r>
            <w:r w:rsidRPr="00EB2BD8">
              <w:rPr>
                <w:spacing w:val="-5"/>
                <w:sz w:val="16"/>
              </w:rPr>
              <w:t xml:space="preserve"> </w:t>
            </w:r>
            <w:r w:rsidRPr="00EB2BD8">
              <w:rPr>
                <w:spacing w:val="-2"/>
                <w:sz w:val="16"/>
              </w:rPr>
              <w:t>professional</w:t>
            </w:r>
            <w:r w:rsidRPr="00EB2BD8">
              <w:rPr>
                <w:spacing w:val="-5"/>
                <w:sz w:val="16"/>
              </w:rPr>
              <w:t xml:space="preserve"> </w:t>
            </w:r>
            <w:r w:rsidRPr="00EB2BD8">
              <w:rPr>
                <w:spacing w:val="-2"/>
                <w:sz w:val="16"/>
              </w:rPr>
              <w:t>standard</w:t>
            </w:r>
          </w:p>
        </w:tc>
        <w:tc>
          <w:tcPr>
            <w:tcW w:w="2280" w:type="dxa"/>
          </w:tcPr>
          <w:p w14:paraId="2FD3B9A0" w14:textId="77777777" w:rsidR="00084F36" w:rsidRPr="00EB2BD8" w:rsidRDefault="00EB2BD8">
            <w:pPr>
              <w:pStyle w:val="TableParagraph"/>
              <w:spacing w:before="19"/>
              <w:ind w:left="114"/>
              <w:rPr>
                <w:sz w:val="16"/>
              </w:rPr>
            </w:pPr>
            <w:r w:rsidRPr="00EB2BD8">
              <w:rPr>
                <w:spacing w:val="-2"/>
                <w:sz w:val="16"/>
              </w:rPr>
              <w:t>disputes.</w:t>
            </w:r>
          </w:p>
        </w:tc>
        <w:tc>
          <w:tcPr>
            <w:tcW w:w="1079" w:type="dxa"/>
          </w:tcPr>
          <w:p w14:paraId="6884FE3F" w14:textId="77777777" w:rsidR="00084F36" w:rsidRPr="00EB2BD8" w:rsidRDefault="00084F36">
            <w:pPr>
              <w:pStyle w:val="TableParagraph"/>
              <w:rPr>
                <w:rFonts w:ascii="Times New Roman"/>
                <w:sz w:val="16"/>
              </w:rPr>
            </w:pPr>
          </w:p>
        </w:tc>
        <w:tc>
          <w:tcPr>
            <w:tcW w:w="1176" w:type="dxa"/>
          </w:tcPr>
          <w:p w14:paraId="511AAFE5" w14:textId="77777777" w:rsidR="00084F36" w:rsidRPr="00EB2BD8" w:rsidRDefault="00084F36">
            <w:pPr>
              <w:pStyle w:val="TableParagraph"/>
              <w:rPr>
                <w:rFonts w:ascii="Times New Roman"/>
                <w:sz w:val="16"/>
              </w:rPr>
            </w:pPr>
          </w:p>
        </w:tc>
      </w:tr>
      <w:tr w:rsidR="00EB2BD8" w:rsidRPr="00EB2BD8" w14:paraId="477C254C" w14:textId="77777777">
        <w:trPr>
          <w:trHeight w:val="229"/>
        </w:trPr>
        <w:tc>
          <w:tcPr>
            <w:tcW w:w="1746" w:type="dxa"/>
          </w:tcPr>
          <w:p w14:paraId="6FBB936D" w14:textId="77777777" w:rsidR="00084F36" w:rsidRPr="00EB2BD8" w:rsidRDefault="00084F36">
            <w:pPr>
              <w:pStyle w:val="TableParagraph"/>
              <w:rPr>
                <w:rFonts w:ascii="Times New Roman"/>
                <w:sz w:val="16"/>
              </w:rPr>
            </w:pPr>
          </w:p>
        </w:tc>
        <w:tc>
          <w:tcPr>
            <w:tcW w:w="1467" w:type="dxa"/>
          </w:tcPr>
          <w:p w14:paraId="0A13B396" w14:textId="77777777" w:rsidR="00084F36" w:rsidRPr="00EB2BD8" w:rsidRDefault="00084F36">
            <w:pPr>
              <w:pStyle w:val="TableParagraph"/>
              <w:rPr>
                <w:rFonts w:ascii="Times New Roman"/>
                <w:sz w:val="16"/>
              </w:rPr>
            </w:pPr>
          </w:p>
        </w:tc>
        <w:tc>
          <w:tcPr>
            <w:tcW w:w="2455" w:type="dxa"/>
          </w:tcPr>
          <w:p w14:paraId="30DD460E" w14:textId="77777777" w:rsidR="00084F36" w:rsidRPr="00EB2BD8" w:rsidRDefault="00EB2BD8">
            <w:pPr>
              <w:pStyle w:val="TableParagraph"/>
              <w:spacing w:before="19"/>
              <w:ind w:left="290"/>
              <w:rPr>
                <w:sz w:val="16"/>
              </w:rPr>
            </w:pPr>
            <w:r w:rsidRPr="00EB2BD8">
              <w:rPr>
                <w:spacing w:val="-2"/>
                <w:sz w:val="16"/>
              </w:rPr>
              <w:t>in</w:t>
            </w:r>
            <w:r w:rsidRPr="00EB2BD8">
              <w:rPr>
                <w:spacing w:val="-10"/>
                <w:sz w:val="16"/>
              </w:rPr>
              <w:t xml:space="preserve"> </w:t>
            </w:r>
            <w:r w:rsidRPr="00EB2BD8">
              <w:rPr>
                <w:spacing w:val="-2"/>
                <w:sz w:val="16"/>
              </w:rPr>
              <w:t>continuing</w:t>
            </w:r>
            <w:r w:rsidRPr="00EB2BD8">
              <w:rPr>
                <w:spacing w:val="-9"/>
                <w:sz w:val="16"/>
              </w:rPr>
              <w:t xml:space="preserve"> </w:t>
            </w:r>
            <w:r w:rsidRPr="00EB2BD8">
              <w:rPr>
                <w:spacing w:val="-2"/>
                <w:sz w:val="16"/>
              </w:rPr>
              <w:t>to</w:t>
            </w:r>
            <w:r w:rsidRPr="00EB2BD8">
              <w:rPr>
                <w:spacing w:val="-9"/>
                <w:sz w:val="16"/>
              </w:rPr>
              <w:t xml:space="preserve"> </w:t>
            </w:r>
            <w:r w:rsidRPr="00EB2BD8">
              <w:rPr>
                <w:spacing w:val="-4"/>
                <w:sz w:val="16"/>
              </w:rPr>
              <w:t>work</w:t>
            </w:r>
          </w:p>
        </w:tc>
        <w:tc>
          <w:tcPr>
            <w:tcW w:w="2280" w:type="dxa"/>
          </w:tcPr>
          <w:p w14:paraId="33D54248" w14:textId="77777777" w:rsidR="00084F36" w:rsidRPr="00EB2BD8" w:rsidRDefault="00084F36">
            <w:pPr>
              <w:pStyle w:val="TableParagraph"/>
              <w:rPr>
                <w:rFonts w:ascii="Times New Roman"/>
                <w:sz w:val="16"/>
              </w:rPr>
            </w:pPr>
          </w:p>
        </w:tc>
        <w:tc>
          <w:tcPr>
            <w:tcW w:w="1079" w:type="dxa"/>
          </w:tcPr>
          <w:p w14:paraId="175C8AAB" w14:textId="77777777" w:rsidR="00084F36" w:rsidRPr="00EB2BD8" w:rsidRDefault="00084F36">
            <w:pPr>
              <w:pStyle w:val="TableParagraph"/>
              <w:rPr>
                <w:rFonts w:ascii="Times New Roman"/>
                <w:sz w:val="16"/>
              </w:rPr>
            </w:pPr>
          </w:p>
        </w:tc>
        <w:tc>
          <w:tcPr>
            <w:tcW w:w="1176" w:type="dxa"/>
          </w:tcPr>
          <w:p w14:paraId="544072AC" w14:textId="77777777" w:rsidR="00084F36" w:rsidRPr="00EB2BD8" w:rsidRDefault="00084F36">
            <w:pPr>
              <w:pStyle w:val="TableParagraph"/>
              <w:rPr>
                <w:rFonts w:ascii="Times New Roman"/>
                <w:sz w:val="16"/>
              </w:rPr>
            </w:pPr>
          </w:p>
        </w:tc>
      </w:tr>
      <w:tr w:rsidR="00EB2BD8" w:rsidRPr="00EB2BD8" w14:paraId="7CC00EC1" w14:textId="77777777">
        <w:trPr>
          <w:trHeight w:val="229"/>
        </w:trPr>
        <w:tc>
          <w:tcPr>
            <w:tcW w:w="1746" w:type="dxa"/>
          </w:tcPr>
          <w:p w14:paraId="00AFB545" w14:textId="77777777" w:rsidR="00084F36" w:rsidRPr="00EB2BD8" w:rsidRDefault="00084F36">
            <w:pPr>
              <w:pStyle w:val="TableParagraph"/>
              <w:rPr>
                <w:rFonts w:ascii="Times New Roman"/>
                <w:sz w:val="16"/>
              </w:rPr>
            </w:pPr>
          </w:p>
        </w:tc>
        <w:tc>
          <w:tcPr>
            <w:tcW w:w="1467" w:type="dxa"/>
          </w:tcPr>
          <w:p w14:paraId="6FC9D7AE" w14:textId="77777777" w:rsidR="00084F36" w:rsidRPr="00EB2BD8" w:rsidRDefault="00084F36">
            <w:pPr>
              <w:pStyle w:val="TableParagraph"/>
              <w:rPr>
                <w:rFonts w:ascii="Times New Roman"/>
                <w:sz w:val="16"/>
              </w:rPr>
            </w:pPr>
          </w:p>
        </w:tc>
        <w:tc>
          <w:tcPr>
            <w:tcW w:w="2455" w:type="dxa"/>
          </w:tcPr>
          <w:p w14:paraId="2D641038" w14:textId="77777777" w:rsidR="00084F36" w:rsidRPr="00EB2BD8" w:rsidRDefault="00EB2BD8">
            <w:pPr>
              <w:pStyle w:val="TableParagraph"/>
              <w:spacing w:before="19"/>
              <w:ind w:left="290"/>
              <w:rPr>
                <w:sz w:val="16"/>
              </w:rPr>
            </w:pPr>
            <w:r w:rsidRPr="00EB2BD8">
              <w:rPr>
                <w:sz w:val="16"/>
              </w:rPr>
              <w:t>past</w:t>
            </w:r>
            <w:r w:rsidRPr="00EB2BD8">
              <w:rPr>
                <w:spacing w:val="8"/>
                <w:sz w:val="16"/>
              </w:rPr>
              <w:t xml:space="preserve"> </w:t>
            </w:r>
            <w:r w:rsidRPr="00EB2BD8">
              <w:rPr>
                <w:sz w:val="16"/>
              </w:rPr>
              <w:t>mandatory</w:t>
            </w:r>
            <w:r w:rsidRPr="00EB2BD8">
              <w:rPr>
                <w:spacing w:val="8"/>
                <w:sz w:val="16"/>
              </w:rPr>
              <w:t xml:space="preserve"> </w:t>
            </w:r>
            <w:r w:rsidRPr="00EB2BD8">
              <w:rPr>
                <w:spacing w:val="-4"/>
                <w:sz w:val="16"/>
              </w:rPr>
              <w:t>stage</w:t>
            </w:r>
          </w:p>
        </w:tc>
        <w:tc>
          <w:tcPr>
            <w:tcW w:w="2280" w:type="dxa"/>
          </w:tcPr>
          <w:p w14:paraId="72CF09D6" w14:textId="77777777" w:rsidR="00084F36" w:rsidRPr="00EB2BD8" w:rsidRDefault="00084F36">
            <w:pPr>
              <w:pStyle w:val="TableParagraph"/>
              <w:rPr>
                <w:rFonts w:ascii="Times New Roman"/>
                <w:sz w:val="16"/>
              </w:rPr>
            </w:pPr>
          </w:p>
        </w:tc>
        <w:tc>
          <w:tcPr>
            <w:tcW w:w="1079" w:type="dxa"/>
          </w:tcPr>
          <w:p w14:paraId="0BB93A40" w14:textId="77777777" w:rsidR="00084F36" w:rsidRPr="00EB2BD8" w:rsidRDefault="00084F36">
            <w:pPr>
              <w:pStyle w:val="TableParagraph"/>
              <w:rPr>
                <w:rFonts w:ascii="Times New Roman"/>
                <w:sz w:val="16"/>
              </w:rPr>
            </w:pPr>
          </w:p>
        </w:tc>
        <w:tc>
          <w:tcPr>
            <w:tcW w:w="1176" w:type="dxa"/>
          </w:tcPr>
          <w:p w14:paraId="5BFC651E" w14:textId="77777777" w:rsidR="00084F36" w:rsidRPr="00EB2BD8" w:rsidRDefault="00084F36">
            <w:pPr>
              <w:pStyle w:val="TableParagraph"/>
              <w:rPr>
                <w:rFonts w:ascii="Times New Roman"/>
                <w:sz w:val="16"/>
              </w:rPr>
            </w:pPr>
          </w:p>
        </w:tc>
      </w:tr>
      <w:tr w:rsidR="00EB2BD8" w:rsidRPr="00EB2BD8" w14:paraId="7053A908" w14:textId="77777777">
        <w:trPr>
          <w:trHeight w:val="287"/>
        </w:trPr>
        <w:tc>
          <w:tcPr>
            <w:tcW w:w="1746" w:type="dxa"/>
            <w:tcBorders>
              <w:bottom w:val="single" w:sz="2" w:space="0" w:color="000000"/>
            </w:tcBorders>
          </w:tcPr>
          <w:p w14:paraId="6F0300AA" w14:textId="77777777" w:rsidR="00084F36" w:rsidRPr="00EB2BD8" w:rsidRDefault="00084F36">
            <w:pPr>
              <w:pStyle w:val="TableParagraph"/>
              <w:rPr>
                <w:rFonts w:ascii="Times New Roman"/>
                <w:sz w:val="16"/>
              </w:rPr>
            </w:pPr>
          </w:p>
        </w:tc>
        <w:tc>
          <w:tcPr>
            <w:tcW w:w="1467" w:type="dxa"/>
            <w:tcBorders>
              <w:bottom w:val="single" w:sz="2" w:space="0" w:color="000000"/>
            </w:tcBorders>
          </w:tcPr>
          <w:p w14:paraId="613D7204" w14:textId="77777777" w:rsidR="00084F36" w:rsidRPr="00EB2BD8" w:rsidRDefault="00084F36">
            <w:pPr>
              <w:pStyle w:val="TableParagraph"/>
              <w:rPr>
                <w:rFonts w:ascii="Times New Roman"/>
                <w:sz w:val="16"/>
              </w:rPr>
            </w:pPr>
          </w:p>
        </w:tc>
        <w:tc>
          <w:tcPr>
            <w:tcW w:w="2455" w:type="dxa"/>
            <w:tcBorders>
              <w:bottom w:val="single" w:sz="2" w:space="0" w:color="000000"/>
            </w:tcBorders>
          </w:tcPr>
          <w:p w14:paraId="0D4BF1D3" w14:textId="77777777" w:rsidR="00084F36" w:rsidRPr="00EB2BD8" w:rsidRDefault="00EB2BD8">
            <w:pPr>
              <w:pStyle w:val="TableParagraph"/>
              <w:spacing w:before="19"/>
              <w:ind w:left="290"/>
              <w:rPr>
                <w:sz w:val="16"/>
              </w:rPr>
            </w:pPr>
            <w:r w:rsidRPr="00EB2BD8">
              <w:rPr>
                <w:spacing w:val="-2"/>
                <w:sz w:val="16"/>
              </w:rPr>
              <w:t>inspection.</w:t>
            </w:r>
          </w:p>
        </w:tc>
        <w:tc>
          <w:tcPr>
            <w:tcW w:w="2280" w:type="dxa"/>
            <w:tcBorders>
              <w:bottom w:val="single" w:sz="2" w:space="0" w:color="000000"/>
            </w:tcBorders>
          </w:tcPr>
          <w:p w14:paraId="3588F47C"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621801CD"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4E09FD9F" w14:textId="77777777" w:rsidR="00084F36" w:rsidRPr="00EB2BD8" w:rsidRDefault="00084F36">
            <w:pPr>
              <w:pStyle w:val="TableParagraph"/>
              <w:rPr>
                <w:rFonts w:ascii="Times New Roman"/>
                <w:sz w:val="16"/>
              </w:rPr>
            </w:pPr>
          </w:p>
        </w:tc>
      </w:tr>
      <w:tr w:rsidR="00EB2BD8" w:rsidRPr="00EB2BD8" w14:paraId="7455391F" w14:textId="77777777">
        <w:trPr>
          <w:trHeight w:val="323"/>
        </w:trPr>
        <w:tc>
          <w:tcPr>
            <w:tcW w:w="1746" w:type="dxa"/>
            <w:tcBorders>
              <w:top w:val="single" w:sz="2" w:space="0" w:color="000000"/>
            </w:tcBorders>
          </w:tcPr>
          <w:p w14:paraId="548883CD" w14:textId="77777777" w:rsidR="00084F36" w:rsidRPr="00EB2BD8" w:rsidRDefault="00EB2BD8">
            <w:pPr>
              <w:pStyle w:val="TableParagraph"/>
              <w:spacing w:before="113"/>
              <w:ind w:left="113"/>
              <w:rPr>
                <w:sz w:val="16"/>
              </w:rPr>
            </w:pPr>
            <w:r w:rsidRPr="00EB2BD8">
              <w:rPr>
                <w:sz w:val="16"/>
              </w:rPr>
              <w:t>Babo</w:t>
            </w:r>
            <w:r w:rsidRPr="00EB2BD8">
              <w:rPr>
                <w:spacing w:val="2"/>
                <w:sz w:val="16"/>
              </w:rPr>
              <w:t xml:space="preserve"> </w:t>
            </w:r>
            <w:r w:rsidRPr="00EB2BD8">
              <w:rPr>
                <w:sz w:val="16"/>
              </w:rPr>
              <w:t>The</w:t>
            </w:r>
            <w:r w:rsidRPr="00EB2BD8">
              <w:rPr>
                <w:spacing w:val="2"/>
                <w:sz w:val="16"/>
              </w:rPr>
              <w:t xml:space="preserve"> </w:t>
            </w:r>
            <w:r w:rsidRPr="00EB2BD8">
              <w:rPr>
                <w:spacing w:val="-2"/>
                <w:sz w:val="16"/>
              </w:rPr>
              <w:t>Builder</w:t>
            </w:r>
          </w:p>
        </w:tc>
        <w:tc>
          <w:tcPr>
            <w:tcW w:w="1467" w:type="dxa"/>
            <w:tcBorders>
              <w:top w:val="single" w:sz="2" w:space="0" w:color="000000"/>
            </w:tcBorders>
          </w:tcPr>
          <w:p w14:paraId="14353EE5" w14:textId="77777777" w:rsidR="00084F36" w:rsidRPr="00EB2BD8" w:rsidRDefault="00EB2BD8">
            <w:pPr>
              <w:pStyle w:val="TableParagraph"/>
              <w:spacing w:before="113"/>
              <w:ind w:left="124"/>
              <w:rPr>
                <w:sz w:val="16"/>
              </w:rPr>
            </w:pPr>
            <w:r w:rsidRPr="00EB2BD8">
              <w:rPr>
                <w:spacing w:val="2"/>
                <w:sz w:val="16"/>
              </w:rPr>
              <w:t>CDB-U</w:t>
            </w:r>
            <w:r w:rsidRPr="00EB2BD8">
              <w:rPr>
                <w:spacing w:val="17"/>
                <w:sz w:val="16"/>
              </w:rPr>
              <w:t xml:space="preserve"> </w:t>
            </w:r>
            <w:r w:rsidRPr="00EB2BD8">
              <w:rPr>
                <w:spacing w:val="-2"/>
                <w:sz w:val="16"/>
              </w:rPr>
              <w:t>63705</w:t>
            </w:r>
          </w:p>
        </w:tc>
        <w:tc>
          <w:tcPr>
            <w:tcW w:w="2455" w:type="dxa"/>
            <w:tcBorders>
              <w:top w:val="single" w:sz="2" w:space="0" w:color="000000"/>
            </w:tcBorders>
          </w:tcPr>
          <w:p w14:paraId="59BA8E7D" w14:textId="77777777" w:rsidR="00084F36" w:rsidRPr="00EB2BD8" w:rsidRDefault="00EB2BD8">
            <w:pPr>
              <w:pStyle w:val="TableParagraph"/>
              <w:spacing w:before="113"/>
              <w:ind w:left="290"/>
              <w:rPr>
                <w:sz w:val="16"/>
              </w:rPr>
            </w:pPr>
            <w:r w:rsidRPr="00EB2BD8">
              <w:rPr>
                <w:spacing w:val="-2"/>
                <w:sz w:val="16"/>
              </w:rPr>
              <w:t>Failing</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call</w:t>
            </w:r>
            <w:r w:rsidRPr="00EB2BD8">
              <w:rPr>
                <w:spacing w:val="-7"/>
                <w:sz w:val="16"/>
              </w:rPr>
              <w:t xml:space="preserve"> </w:t>
            </w:r>
            <w:r w:rsidRPr="00EB2BD8">
              <w:rPr>
                <w:spacing w:val="-2"/>
                <w:sz w:val="16"/>
              </w:rPr>
              <w:t>for</w:t>
            </w:r>
            <w:r w:rsidRPr="00EB2BD8">
              <w:rPr>
                <w:spacing w:val="-8"/>
                <w:sz w:val="16"/>
              </w:rPr>
              <w:t xml:space="preserve"> </w:t>
            </w:r>
            <w:r w:rsidRPr="00EB2BD8">
              <w:rPr>
                <w:spacing w:val="-12"/>
                <w:sz w:val="16"/>
              </w:rPr>
              <w:t>a</w:t>
            </w:r>
          </w:p>
        </w:tc>
        <w:tc>
          <w:tcPr>
            <w:tcW w:w="2280" w:type="dxa"/>
            <w:tcBorders>
              <w:top w:val="single" w:sz="2" w:space="0" w:color="000000"/>
            </w:tcBorders>
          </w:tcPr>
          <w:p w14:paraId="64F92D32" w14:textId="77777777" w:rsidR="00084F36" w:rsidRPr="00EB2BD8" w:rsidRDefault="00EB2BD8">
            <w:pPr>
              <w:pStyle w:val="TableParagraph"/>
              <w:spacing w:before="113"/>
              <w:ind w:left="114"/>
              <w:rPr>
                <w:sz w:val="16"/>
              </w:rPr>
            </w:pPr>
            <w:r w:rsidRPr="00EB2BD8">
              <w:rPr>
                <w:sz w:val="16"/>
              </w:rPr>
              <w:t>Reprimand</w:t>
            </w:r>
            <w:r w:rsidRPr="00EB2BD8">
              <w:rPr>
                <w:spacing w:val="3"/>
                <w:sz w:val="16"/>
              </w:rPr>
              <w:t xml:space="preserve"> </w:t>
            </w:r>
            <w:r w:rsidRPr="00EB2BD8">
              <w:rPr>
                <w:sz w:val="16"/>
              </w:rPr>
              <w:t>and</w:t>
            </w:r>
            <w:r w:rsidRPr="00EB2BD8">
              <w:rPr>
                <w:spacing w:val="4"/>
                <w:sz w:val="16"/>
              </w:rPr>
              <w:t xml:space="preserve"> </w:t>
            </w:r>
            <w:r w:rsidRPr="00EB2BD8">
              <w:rPr>
                <w:sz w:val="16"/>
              </w:rPr>
              <w:t>a</w:t>
            </w:r>
            <w:r w:rsidRPr="00EB2BD8">
              <w:rPr>
                <w:spacing w:val="3"/>
                <w:sz w:val="16"/>
              </w:rPr>
              <w:t xml:space="preserve"> </w:t>
            </w:r>
            <w:r w:rsidRPr="00EB2BD8">
              <w:rPr>
                <w:spacing w:val="-2"/>
                <w:sz w:val="16"/>
              </w:rPr>
              <w:t>penalty</w:t>
            </w:r>
          </w:p>
        </w:tc>
        <w:tc>
          <w:tcPr>
            <w:tcW w:w="1079" w:type="dxa"/>
            <w:tcBorders>
              <w:top w:val="single" w:sz="2" w:space="0" w:color="000000"/>
            </w:tcBorders>
          </w:tcPr>
          <w:p w14:paraId="4647C48F" w14:textId="77777777" w:rsidR="00084F36" w:rsidRPr="00EB2BD8" w:rsidRDefault="00EB2BD8">
            <w:pPr>
              <w:pStyle w:val="TableParagraph"/>
              <w:spacing w:before="113"/>
              <w:ind w:right="113"/>
              <w:jc w:val="right"/>
              <w:rPr>
                <w:sz w:val="16"/>
              </w:rPr>
            </w:pPr>
            <w:r w:rsidRPr="00EB2BD8">
              <w:rPr>
                <w:spacing w:val="-2"/>
                <w:sz w:val="16"/>
              </w:rPr>
              <w:t>$2,000</w:t>
            </w:r>
          </w:p>
        </w:tc>
        <w:tc>
          <w:tcPr>
            <w:tcW w:w="1176" w:type="dxa"/>
            <w:tcBorders>
              <w:top w:val="single" w:sz="2" w:space="0" w:color="000000"/>
            </w:tcBorders>
          </w:tcPr>
          <w:p w14:paraId="4A4C8348" w14:textId="77777777" w:rsidR="00084F36" w:rsidRPr="00EB2BD8" w:rsidRDefault="00EB2BD8">
            <w:pPr>
              <w:pStyle w:val="TableParagraph"/>
              <w:spacing w:before="113"/>
              <w:ind w:left="111"/>
              <w:rPr>
                <w:sz w:val="16"/>
              </w:rPr>
            </w:pPr>
            <w:r w:rsidRPr="00EB2BD8">
              <w:rPr>
                <w:spacing w:val="-2"/>
                <w:w w:val="95"/>
                <w:sz w:val="16"/>
              </w:rPr>
              <w:t>29/09/2022</w:t>
            </w:r>
          </w:p>
        </w:tc>
      </w:tr>
      <w:tr w:rsidR="00EB2BD8" w:rsidRPr="00EB2BD8" w14:paraId="6ACA5EFD" w14:textId="77777777">
        <w:trPr>
          <w:trHeight w:val="230"/>
        </w:trPr>
        <w:tc>
          <w:tcPr>
            <w:tcW w:w="1746" w:type="dxa"/>
          </w:tcPr>
          <w:p w14:paraId="047D3D8C" w14:textId="77777777" w:rsidR="00084F36" w:rsidRPr="00EB2BD8" w:rsidRDefault="00EB2BD8">
            <w:pPr>
              <w:pStyle w:val="TableParagraph"/>
              <w:spacing w:before="19"/>
              <w:ind w:left="113"/>
              <w:rPr>
                <w:sz w:val="16"/>
              </w:rPr>
            </w:pPr>
            <w:r w:rsidRPr="00EB2BD8">
              <w:rPr>
                <w:w w:val="105"/>
                <w:sz w:val="16"/>
              </w:rPr>
              <w:t>Pty</w:t>
            </w:r>
            <w:r w:rsidRPr="00EB2BD8">
              <w:rPr>
                <w:spacing w:val="-7"/>
                <w:w w:val="105"/>
                <w:sz w:val="16"/>
              </w:rPr>
              <w:t xml:space="preserve"> </w:t>
            </w:r>
            <w:r w:rsidRPr="00EB2BD8">
              <w:rPr>
                <w:spacing w:val="-5"/>
                <w:w w:val="105"/>
                <w:sz w:val="16"/>
              </w:rPr>
              <w:t>Ltd</w:t>
            </w:r>
          </w:p>
        </w:tc>
        <w:tc>
          <w:tcPr>
            <w:tcW w:w="1467" w:type="dxa"/>
          </w:tcPr>
          <w:p w14:paraId="53AECAE5" w14:textId="77777777" w:rsidR="00084F36" w:rsidRPr="00EB2BD8" w:rsidRDefault="00084F36">
            <w:pPr>
              <w:pStyle w:val="TableParagraph"/>
              <w:rPr>
                <w:rFonts w:ascii="Times New Roman"/>
                <w:sz w:val="16"/>
              </w:rPr>
            </w:pPr>
          </w:p>
        </w:tc>
        <w:tc>
          <w:tcPr>
            <w:tcW w:w="2455" w:type="dxa"/>
          </w:tcPr>
          <w:p w14:paraId="73AAA561" w14:textId="77777777" w:rsidR="00084F36" w:rsidRPr="00EB2BD8" w:rsidRDefault="00EB2BD8">
            <w:pPr>
              <w:pStyle w:val="TableParagraph"/>
              <w:spacing w:before="19"/>
              <w:ind w:left="290"/>
              <w:rPr>
                <w:sz w:val="16"/>
              </w:rPr>
            </w:pPr>
            <w:r w:rsidRPr="00EB2BD8">
              <w:rPr>
                <w:sz w:val="16"/>
              </w:rPr>
              <w:t>mandatory</w:t>
            </w:r>
            <w:r w:rsidRPr="00EB2BD8">
              <w:rPr>
                <w:spacing w:val="14"/>
                <w:sz w:val="16"/>
              </w:rPr>
              <w:t xml:space="preserve"> </w:t>
            </w:r>
            <w:r w:rsidRPr="00EB2BD8">
              <w:rPr>
                <w:spacing w:val="-2"/>
                <w:sz w:val="16"/>
              </w:rPr>
              <w:t>stage</w:t>
            </w:r>
          </w:p>
        </w:tc>
        <w:tc>
          <w:tcPr>
            <w:tcW w:w="2280" w:type="dxa"/>
          </w:tcPr>
          <w:p w14:paraId="7497738B" w14:textId="77777777" w:rsidR="00084F36" w:rsidRPr="00EB2BD8" w:rsidRDefault="00EB2BD8">
            <w:pPr>
              <w:pStyle w:val="TableParagraph"/>
              <w:spacing w:before="19"/>
              <w:ind w:left="114"/>
              <w:rPr>
                <w:sz w:val="16"/>
              </w:rPr>
            </w:pPr>
            <w:r w:rsidRPr="00EB2BD8">
              <w:rPr>
                <w:spacing w:val="-4"/>
                <w:sz w:val="16"/>
              </w:rPr>
              <w:t>of</w:t>
            </w:r>
            <w:r w:rsidRPr="00EB2BD8">
              <w:rPr>
                <w:spacing w:val="-10"/>
                <w:sz w:val="16"/>
              </w:rPr>
              <w:t xml:space="preserve"> </w:t>
            </w:r>
            <w:r w:rsidRPr="00EB2BD8">
              <w:rPr>
                <w:spacing w:val="-2"/>
                <w:sz w:val="16"/>
              </w:rPr>
              <w:t>$2,000.</w:t>
            </w:r>
          </w:p>
        </w:tc>
        <w:tc>
          <w:tcPr>
            <w:tcW w:w="1079" w:type="dxa"/>
          </w:tcPr>
          <w:p w14:paraId="71389EB1" w14:textId="77777777" w:rsidR="00084F36" w:rsidRPr="00EB2BD8" w:rsidRDefault="00084F36">
            <w:pPr>
              <w:pStyle w:val="TableParagraph"/>
              <w:rPr>
                <w:rFonts w:ascii="Times New Roman"/>
                <w:sz w:val="16"/>
              </w:rPr>
            </w:pPr>
          </w:p>
        </w:tc>
        <w:tc>
          <w:tcPr>
            <w:tcW w:w="1176" w:type="dxa"/>
          </w:tcPr>
          <w:p w14:paraId="242CEE9A" w14:textId="77777777" w:rsidR="00084F36" w:rsidRPr="00EB2BD8" w:rsidRDefault="00084F36">
            <w:pPr>
              <w:pStyle w:val="TableParagraph"/>
              <w:rPr>
                <w:rFonts w:ascii="Times New Roman"/>
                <w:sz w:val="16"/>
              </w:rPr>
            </w:pPr>
          </w:p>
        </w:tc>
      </w:tr>
      <w:tr w:rsidR="00EB2BD8" w:rsidRPr="00EB2BD8" w14:paraId="7A5785FF" w14:textId="77777777">
        <w:trPr>
          <w:trHeight w:val="229"/>
        </w:trPr>
        <w:tc>
          <w:tcPr>
            <w:tcW w:w="1746" w:type="dxa"/>
          </w:tcPr>
          <w:p w14:paraId="70AAEFF7" w14:textId="77777777" w:rsidR="00084F36" w:rsidRPr="00EB2BD8" w:rsidRDefault="00084F36">
            <w:pPr>
              <w:pStyle w:val="TableParagraph"/>
              <w:rPr>
                <w:rFonts w:ascii="Times New Roman"/>
                <w:sz w:val="16"/>
              </w:rPr>
            </w:pPr>
          </w:p>
        </w:tc>
        <w:tc>
          <w:tcPr>
            <w:tcW w:w="1467" w:type="dxa"/>
          </w:tcPr>
          <w:p w14:paraId="68C4D1D6" w14:textId="77777777" w:rsidR="00084F36" w:rsidRPr="00EB2BD8" w:rsidRDefault="00084F36">
            <w:pPr>
              <w:pStyle w:val="TableParagraph"/>
              <w:rPr>
                <w:rFonts w:ascii="Times New Roman"/>
                <w:sz w:val="16"/>
              </w:rPr>
            </w:pPr>
          </w:p>
        </w:tc>
        <w:tc>
          <w:tcPr>
            <w:tcW w:w="2455" w:type="dxa"/>
          </w:tcPr>
          <w:p w14:paraId="61B2E95D" w14:textId="77777777" w:rsidR="00084F36" w:rsidRPr="00EB2BD8" w:rsidRDefault="00EB2BD8">
            <w:pPr>
              <w:pStyle w:val="TableParagraph"/>
              <w:spacing w:before="19"/>
              <w:ind w:left="290"/>
              <w:rPr>
                <w:sz w:val="16"/>
              </w:rPr>
            </w:pPr>
            <w:r w:rsidRPr="00EB2BD8">
              <w:rPr>
                <w:sz w:val="16"/>
              </w:rPr>
              <w:t>inspection</w:t>
            </w:r>
            <w:r w:rsidRPr="00EB2BD8">
              <w:rPr>
                <w:spacing w:val="-13"/>
                <w:sz w:val="16"/>
              </w:rPr>
              <w:t xml:space="preserve"> </w:t>
            </w:r>
            <w:r w:rsidRPr="00EB2BD8">
              <w:rPr>
                <w:sz w:val="16"/>
              </w:rPr>
              <w:t>in</w:t>
            </w:r>
            <w:r w:rsidRPr="00EB2BD8">
              <w:rPr>
                <w:spacing w:val="-13"/>
                <w:sz w:val="16"/>
              </w:rPr>
              <w:t xml:space="preserve"> </w:t>
            </w:r>
            <w:r w:rsidRPr="00EB2BD8">
              <w:rPr>
                <w:sz w:val="16"/>
              </w:rPr>
              <w:t>respect</w:t>
            </w:r>
            <w:r w:rsidRPr="00EB2BD8">
              <w:rPr>
                <w:spacing w:val="-12"/>
                <w:sz w:val="16"/>
              </w:rPr>
              <w:t xml:space="preserve"> </w:t>
            </w:r>
            <w:r w:rsidRPr="00EB2BD8">
              <w:rPr>
                <w:sz w:val="16"/>
              </w:rPr>
              <w:t>of</w:t>
            </w:r>
            <w:r w:rsidRPr="00EB2BD8">
              <w:rPr>
                <w:spacing w:val="-13"/>
                <w:sz w:val="16"/>
              </w:rPr>
              <w:t xml:space="preserve"> </w:t>
            </w:r>
            <w:r w:rsidRPr="00EB2BD8">
              <w:rPr>
                <w:spacing w:val="-10"/>
                <w:sz w:val="16"/>
              </w:rPr>
              <w:t>a</w:t>
            </w:r>
          </w:p>
        </w:tc>
        <w:tc>
          <w:tcPr>
            <w:tcW w:w="2280" w:type="dxa"/>
          </w:tcPr>
          <w:p w14:paraId="27AF80D5" w14:textId="77777777" w:rsidR="00084F36" w:rsidRPr="00EB2BD8" w:rsidRDefault="00084F36">
            <w:pPr>
              <w:pStyle w:val="TableParagraph"/>
              <w:rPr>
                <w:rFonts w:ascii="Times New Roman"/>
                <w:sz w:val="16"/>
              </w:rPr>
            </w:pPr>
          </w:p>
        </w:tc>
        <w:tc>
          <w:tcPr>
            <w:tcW w:w="1079" w:type="dxa"/>
          </w:tcPr>
          <w:p w14:paraId="12EE4260" w14:textId="77777777" w:rsidR="00084F36" w:rsidRPr="00EB2BD8" w:rsidRDefault="00084F36">
            <w:pPr>
              <w:pStyle w:val="TableParagraph"/>
              <w:rPr>
                <w:rFonts w:ascii="Times New Roman"/>
                <w:sz w:val="16"/>
              </w:rPr>
            </w:pPr>
          </w:p>
        </w:tc>
        <w:tc>
          <w:tcPr>
            <w:tcW w:w="1176" w:type="dxa"/>
          </w:tcPr>
          <w:p w14:paraId="59750BEE" w14:textId="77777777" w:rsidR="00084F36" w:rsidRPr="00EB2BD8" w:rsidRDefault="00084F36">
            <w:pPr>
              <w:pStyle w:val="TableParagraph"/>
              <w:rPr>
                <w:rFonts w:ascii="Times New Roman"/>
                <w:sz w:val="16"/>
              </w:rPr>
            </w:pPr>
          </w:p>
        </w:tc>
      </w:tr>
      <w:tr w:rsidR="00EB2BD8" w:rsidRPr="00EB2BD8" w14:paraId="05BC2D2D" w14:textId="77777777">
        <w:trPr>
          <w:trHeight w:val="288"/>
        </w:trPr>
        <w:tc>
          <w:tcPr>
            <w:tcW w:w="1746" w:type="dxa"/>
            <w:tcBorders>
              <w:bottom w:val="single" w:sz="2" w:space="0" w:color="000000"/>
            </w:tcBorders>
          </w:tcPr>
          <w:p w14:paraId="0ABC6DFE" w14:textId="77777777" w:rsidR="00084F36" w:rsidRPr="00EB2BD8" w:rsidRDefault="00084F36">
            <w:pPr>
              <w:pStyle w:val="TableParagraph"/>
              <w:rPr>
                <w:rFonts w:ascii="Times New Roman"/>
                <w:sz w:val="16"/>
              </w:rPr>
            </w:pPr>
          </w:p>
        </w:tc>
        <w:tc>
          <w:tcPr>
            <w:tcW w:w="1467" w:type="dxa"/>
            <w:tcBorders>
              <w:bottom w:val="single" w:sz="2" w:space="0" w:color="000000"/>
            </w:tcBorders>
          </w:tcPr>
          <w:p w14:paraId="79D4618B" w14:textId="77777777" w:rsidR="00084F36" w:rsidRPr="00EB2BD8" w:rsidRDefault="00084F36">
            <w:pPr>
              <w:pStyle w:val="TableParagraph"/>
              <w:rPr>
                <w:rFonts w:ascii="Times New Roman"/>
                <w:sz w:val="16"/>
              </w:rPr>
            </w:pPr>
          </w:p>
        </w:tc>
        <w:tc>
          <w:tcPr>
            <w:tcW w:w="2455" w:type="dxa"/>
            <w:tcBorders>
              <w:bottom w:val="single" w:sz="2" w:space="0" w:color="000000"/>
            </w:tcBorders>
          </w:tcPr>
          <w:p w14:paraId="63AEFB25" w14:textId="77777777" w:rsidR="00084F36" w:rsidRPr="00EB2BD8" w:rsidRDefault="00EB2BD8">
            <w:pPr>
              <w:pStyle w:val="TableParagraph"/>
              <w:spacing w:before="19"/>
              <w:ind w:left="290"/>
              <w:rPr>
                <w:sz w:val="16"/>
              </w:rPr>
            </w:pPr>
            <w:r w:rsidRPr="00EB2BD8">
              <w:rPr>
                <w:spacing w:val="-2"/>
                <w:sz w:val="16"/>
              </w:rPr>
              <w:t>site</w:t>
            </w:r>
            <w:r w:rsidRPr="00EB2BD8">
              <w:rPr>
                <w:spacing w:val="-9"/>
                <w:sz w:val="16"/>
              </w:rPr>
              <w:t xml:space="preserve"> </w:t>
            </w:r>
            <w:r w:rsidRPr="00EB2BD8">
              <w:rPr>
                <w:spacing w:val="-2"/>
                <w:sz w:val="16"/>
              </w:rPr>
              <w:t>Noble</w:t>
            </w:r>
            <w:r w:rsidRPr="00EB2BD8">
              <w:rPr>
                <w:spacing w:val="-9"/>
                <w:sz w:val="16"/>
              </w:rPr>
              <w:t xml:space="preserve"> </w:t>
            </w:r>
            <w:r w:rsidRPr="00EB2BD8">
              <w:rPr>
                <w:spacing w:val="-2"/>
                <w:sz w:val="16"/>
              </w:rPr>
              <w:t>Park.</w:t>
            </w:r>
          </w:p>
        </w:tc>
        <w:tc>
          <w:tcPr>
            <w:tcW w:w="2280" w:type="dxa"/>
            <w:tcBorders>
              <w:bottom w:val="single" w:sz="2" w:space="0" w:color="000000"/>
            </w:tcBorders>
          </w:tcPr>
          <w:p w14:paraId="4AE598C7"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6522D811"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04C7F2D9" w14:textId="77777777" w:rsidR="00084F36" w:rsidRPr="00EB2BD8" w:rsidRDefault="00084F36">
            <w:pPr>
              <w:pStyle w:val="TableParagraph"/>
              <w:rPr>
                <w:rFonts w:ascii="Times New Roman"/>
                <w:sz w:val="16"/>
              </w:rPr>
            </w:pPr>
          </w:p>
        </w:tc>
      </w:tr>
      <w:tr w:rsidR="00EB2BD8" w:rsidRPr="00EB2BD8" w14:paraId="335650BD" w14:textId="77777777">
        <w:trPr>
          <w:trHeight w:val="323"/>
        </w:trPr>
        <w:tc>
          <w:tcPr>
            <w:tcW w:w="1746" w:type="dxa"/>
            <w:tcBorders>
              <w:top w:val="single" w:sz="2" w:space="0" w:color="000000"/>
            </w:tcBorders>
          </w:tcPr>
          <w:p w14:paraId="1F1DCF9F" w14:textId="77777777" w:rsidR="00084F36" w:rsidRPr="00EB2BD8" w:rsidRDefault="00EB2BD8">
            <w:pPr>
              <w:pStyle w:val="TableParagraph"/>
              <w:spacing w:before="113"/>
              <w:ind w:left="113"/>
              <w:rPr>
                <w:sz w:val="16"/>
              </w:rPr>
            </w:pPr>
            <w:r w:rsidRPr="00EB2BD8">
              <w:rPr>
                <w:w w:val="105"/>
                <w:sz w:val="16"/>
              </w:rPr>
              <w:t>Balla</w:t>
            </w:r>
            <w:r w:rsidRPr="00EB2BD8">
              <w:rPr>
                <w:spacing w:val="-8"/>
                <w:w w:val="105"/>
                <w:sz w:val="16"/>
              </w:rPr>
              <w:t xml:space="preserve"> </w:t>
            </w:r>
            <w:r w:rsidRPr="00EB2BD8">
              <w:rPr>
                <w:spacing w:val="-2"/>
                <w:w w:val="105"/>
                <w:sz w:val="16"/>
              </w:rPr>
              <w:t>Constructions</w:t>
            </w:r>
          </w:p>
        </w:tc>
        <w:tc>
          <w:tcPr>
            <w:tcW w:w="1467" w:type="dxa"/>
            <w:tcBorders>
              <w:top w:val="single" w:sz="2" w:space="0" w:color="000000"/>
            </w:tcBorders>
          </w:tcPr>
          <w:p w14:paraId="55B2CA0C" w14:textId="77777777" w:rsidR="00084F36" w:rsidRPr="00EB2BD8" w:rsidRDefault="00EB2BD8">
            <w:pPr>
              <w:pStyle w:val="TableParagraph"/>
              <w:spacing w:before="113"/>
              <w:ind w:left="124"/>
              <w:rPr>
                <w:sz w:val="16"/>
              </w:rPr>
            </w:pPr>
            <w:r w:rsidRPr="00EB2BD8">
              <w:rPr>
                <w:spacing w:val="2"/>
                <w:sz w:val="16"/>
              </w:rPr>
              <w:t>CDB-U</w:t>
            </w:r>
            <w:r w:rsidRPr="00EB2BD8">
              <w:rPr>
                <w:spacing w:val="17"/>
                <w:sz w:val="16"/>
              </w:rPr>
              <w:t xml:space="preserve"> </w:t>
            </w:r>
            <w:r w:rsidRPr="00EB2BD8">
              <w:rPr>
                <w:spacing w:val="-2"/>
                <w:sz w:val="16"/>
              </w:rPr>
              <w:t>61210</w:t>
            </w:r>
          </w:p>
        </w:tc>
        <w:tc>
          <w:tcPr>
            <w:tcW w:w="2455" w:type="dxa"/>
            <w:tcBorders>
              <w:top w:val="single" w:sz="2" w:space="0" w:color="000000"/>
            </w:tcBorders>
          </w:tcPr>
          <w:p w14:paraId="46FE0C8B" w14:textId="77777777" w:rsidR="00084F36" w:rsidRPr="00EB2BD8" w:rsidRDefault="00EB2BD8">
            <w:pPr>
              <w:pStyle w:val="TableParagraph"/>
              <w:spacing w:before="113"/>
              <w:ind w:left="290"/>
              <w:rPr>
                <w:sz w:val="16"/>
              </w:rPr>
            </w:pPr>
            <w:r w:rsidRPr="00EB2BD8">
              <w:rPr>
                <w:sz w:val="16"/>
              </w:rPr>
              <w:t>Being</w:t>
            </w:r>
            <w:r w:rsidRPr="00EB2BD8">
              <w:rPr>
                <w:spacing w:val="-11"/>
                <w:sz w:val="16"/>
              </w:rPr>
              <w:t xml:space="preserve"> </w:t>
            </w:r>
            <w:r w:rsidRPr="00EB2BD8">
              <w:rPr>
                <w:sz w:val="16"/>
              </w:rPr>
              <w:t>in</w:t>
            </w:r>
            <w:r w:rsidRPr="00EB2BD8">
              <w:rPr>
                <w:spacing w:val="-11"/>
                <w:sz w:val="16"/>
              </w:rPr>
              <w:t xml:space="preserve"> </w:t>
            </w:r>
            <w:r w:rsidRPr="00EB2BD8">
              <w:rPr>
                <w:sz w:val="16"/>
              </w:rPr>
              <w:t>receipt</w:t>
            </w:r>
            <w:r w:rsidRPr="00EB2BD8">
              <w:rPr>
                <w:spacing w:val="-10"/>
                <w:sz w:val="16"/>
              </w:rPr>
              <w:t xml:space="preserve"> </w:t>
            </w:r>
            <w:r w:rsidRPr="00EB2BD8">
              <w:rPr>
                <w:sz w:val="16"/>
              </w:rPr>
              <w:t>of</w:t>
            </w:r>
            <w:r w:rsidRPr="00EB2BD8">
              <w:rPr>
                <w:spacing w:val="-11"/>
                <w:sz w:val="16"/>
              </w:rPr>
              <w:t xml:space="preserve"> </w:t>
            </w:r>
            <w:r w:rsidRPr="00EB2BD8">
              <w:rPr>
                <w:spacing w:val="-2"/>
                <w:sz w:val="16"/>
              </w:rPr>
              <w:t>breach</w:t>
            </w:r>
          </w:p>
        </w:tc>
        <w:tc>
          <w:tcPr>
            <w:tcW w:w="2280" w:type="dxa"/>
            <w:tcBorders>
              <w:top w:val="single" w:sz="2" w:space="0" w:color="000000"/>
            </w:tcBorders>
          </w:tcPr>
          <w:p w14:paraId="1B3416B3" w14:textId="77777777" w:rsidR="00084F36" w:rsidRPr="00EB2BD8" w:rsidRDefault="00EB2BD8">
            <w:pPr>
              <w:pStyle w:val="TableParagraph"/>
              <w:spacing w:before="113"/>
              <w:ind w:left="114"/>
              <w:rPr>
                <w:sz w:val="16"/>
              </w:rPr>
            </w:pPr>
            <w:r w:rsidRPr="00EB2BD8">
              <w:rPr>
                <w:sz w:val="16"/>
              </w:rPr>
              <w:t>Reprimand</w:t>
            </w:r>
            <w:r w:rsidRPr="00EB2BD8">
              <w:rPr>
                <w:spacing w:val="4"/>
                <w:sz w:val="16"/>
              </w:rPr>
              <w:t xml:space="preserve"> </w:t>
            </w:r>
            <w:r w:rsidRPr="00EB2BD8">
              <w:rPr>
                <w:sz w:val="16"/>
              </w:rPr>
              <w:t>and</w:t>
            </w:r>
            <w:r w:rsidRPr="00EB2BD8">
              <w:rPr>
                <w:spacing w:val="4"/>
                <w:sz w:val="16"/>
              </w:rPr>
              <w:t xml:space="preserve"> </w:t>
            </w:r>
            <w:r w:rsidRPr="00EB2BD8">
              <w:rPr>
                <w:spacing w:val="-2"/>
                <w:sz w:val="16"/>
              </w:rPr>
              <w:t>partial</w:t>
            </w:r>
          </w:p>
        </w:tc>
        <w:tc>
          <w:tcPr>
            <w:tcW w:w="1079" w:type="dxa"/>
            <w:tcBorders>
              <w:top w:val="single" w:sz="2" w:space="0" w:color="000000"/>
            </w:tcBorders>
          </w:tcPr>
          <w:p w14:paraId="3857A193" w14:textId="77777777" w:rsidR="00084F36" w:rsidRPr="00EB2BD8" w:rsidRDefault="00EB2BD8">
            <w:pPr>
              <w:pStyle w:val="TableParagraph"/>
              <w:spacing w:before="112"/>
              <w:ind w:right="112"/>
              <w:jc w:val="right"/>
              <w:rPr>
                <w:sz w:val="16"/>
              </w:rPr>
            </w:pPr>
            <w:r w:rsidRPr="00EB2BD8">
              <w:rPr>
                <w:w w:val="124"/>
                <w:sz w:val="16"/>
              </w:rPr>
              <w:t>–</w:t>
            </w:r>
          </w:p>
        </w:tc>
        <w:tc>
          <w:tcPr>
            <w:tcW w:w="1176" w:type="dxa"/>
            <w:tcBorders>
              <w:top w:val="single" w:sz="2" w:space="0" w:color="000000"/>
            </w:tcBorders>
          </w:tcPr>
          <w:p w14:paraId="14DE685C" w14:textId="77777777" w:rsidR="00084F36" w:rsidRPr="00EB2BD8" w:rsidRDefault="00EB2BD8">
            <w:pPr>
              <w:pStyle w:val="TableParagraph"/>
              <w:spacing w:before="112"/>
              <w:ind w:left="111"/>
              <w:rPr>
                <w:sz w:val="16"/>
              </w:rPr>
            </w:pPr>
            <w:r w:rsidRPr="00EB2BD8">
              <w:rPr>
                <w:spacing w:val="-2"/>
                <w:w w:val="90"/>
                <w:sz w:val="16"/>
              </w:rPr>
              <w:t>11/08/2022</w:t>
            </w:r>
          </w:p>
        </w:tc>
      </w:tr>
      <w:tr w:rsidR="00EB2BD8" w:rsidRPr="00EB2BD8" w14:paraId="4BF3881F" w14:textId="77777777">
        <w:trPr>
          <w:trHeight w:val="229"/>
        </w:trPr>
        <w:tc>
          <w:tcPr>
            <w:tcW w:w="1746" w:type="dxa"/>
          </w:tcPr>
          <w:p w14:paraId="116428CC" w14:textId="77777777" w:rsidR="00084F36" w:rsidRPr="00EB2BD8" w:rsidRDefault="00EB2BD8">
            <w:pPr>
              <w:pStyle w:val="TableParagraph"/>
              <w:spacing w:before="19"/>
              <w:ind w:left="113"/>
              <w:rPr>
                <w:sz w:val="16"/>
              </w:rPr>
            </w:pPr>
            <w:r w:rsidRPr="00EB2BD8">
              <w:rPr>
                <w:w w:val="105"/>
                <w:sz w:val="16"/>
              </w:rPr>
              <w:t>Pty</w:t>
            </w:r>
            <w:r w:rsidRPr="00EB2BD8">
              <w:rPr>
                <w:spacing w:val="-7"/>
                <w:w w:val="105"/>
                <w:sz w:val="16"/>
              </w:rPr>
              <w:t xml:space="preserve"> </w:t>
            </w:r>
            <w:r w:rsidRPr="00EB2BD8">
              <w:rPr>
                <w:spacing w:val="-5"/>
                <w:w w:val="105"/>
                <w:sz w:val="16"/>
              </w:rPr>
              <w:t>Ltd</w:t>
            </w:r>
          </w:p>
        </w:tc>
        <w:tc>
          <w:tcPr>
            <w:tcW w:w="1467" w:type="dxa"/>
          </w:tcPr>
          <w:p w14:paraId="4A7DCE2F" w14:textId="77777777" w:rsidR="00084F36" w:rsidRPr="00EB2BD8" w:rsidRDefault="00084F36">
            <w:pPr>
              <w:pStyle w:val="TableParagraph"/>
              <w:rPr>
                <w:rFonts w:ascii="Times New Roman"/>
                <w:sz w:val="16"/>
              </w:rPr>
            </w:pPr>
          </w:p>
        </w:tc>
        <w:tc>
          <w:tcPr>
            <w:tcW w:w="2455" w:type="dxa"/>
          </w:tcPr>
          <w:p w14:paraId="575BC421" w14:textId="77777777" w:rsidR="00084F36" w:rsidRPr="00EB2BD8" w:rsidRDefault="00EB2BD8">
            <w:pPr>
              <w:pStyle w:val="TableParagraph"/>
              <w:spacing w:before="19"/>
              <w:ind w:left="290"/>
              <w:rPr>
                <w:sz w:val="16"/>
              </w:rPr>
            </w:pPr>
            <w:r w:rsidRPr="00EB2BD8">
              <w:rPr>
                <w:spacing w:val="-2"/>
                <w:sz w:val="16"/>
              </w:rPr>
              <w:t>of</w:t>
            </w:r>
            <w:r w:rsidRPr="00EB2BD8">
              <w:rPr>
                <w:spacing w:val="-10"/>
                <w:sz w:val="16"/>
              </w:rPr>
              <w:t xml:space="preserve"> </w:t>
            </w:r>
            <w:r w:rsidRPr="00EB2BD8">
              <w:rPr>
                <w:spacing w:val="-2"/>
                <w:sz w:val="16"/>
              </w:rPr>
              <w:t>dispute</w:t>
            </w:r>
            <w:r w:rsidRPr="00EB2BD8">
              <w:rPr>
                <w:spacing w:val="-10"/>
                <w:sz w:val="16"/>
              </w:rPr>
              <w:t xml:space="preserve"> </w:t>
            </w:r>
            <w:r w:rsidRPr="00EB2BD8">
              <w:rPr>
                <w:spacing w:val="-2"/>
                <w:sz w:val="16"/>
              </w:rPr>
              <w:t>resolution</w:t>
            </w:r>
            <w:r w:rsidRPr="00EB2BD8">
              <w:rPr>
                <w:spacing w:val="-9"/>
                <w:sz w:val="16"/>
              </w:rPr>
              <w:t xml:space="preserve"> </w:t>
            </w:r>
            <w:r w:rsidRPr="00EB2BD8">
              <w:rPr>
                <w:spacing w:val="-4"/>
                <w:sz w:val="16"/>
              </w:rPr>
              <w:t>order</w:t>
            </w:r>
          </w:p>
        </w:tc>
        <w:tc>
          <w:tcPr>
            <w:tcW w:w="2280" w:type="dxa"/>
          </w:tcPr>
          <w:p w14:paraId="768004C5" w14:textId="77777777" w:rsidR="00084F36" w:rsidRPr="00EB2BD8" w:rsidRDefault="00EB2BD8">
            <w:pPr>
              <w:pStyle w:val="TableParagraph"/>
              <w:spacing w:before="19"/>
              <w:ind w:left="114"/>
              <w:rPr>
                <w:sz w:val="16"/>
              </w:rPr>
            </w:pPr>
            <w:r w:rsidRPr="00EB2BD8">
              <w:rPr>
                <w:spacing w:val="-2"/>
                <w:sz w:val="16"/>
              </w:rPr>
              <w:t>suspension</w:t>
            </w:r>
            <w:r w:rsidRPr="00EB2BD8">
              <w:rPr>
                <w:spacing w:val="-10"/>
                <w:sz w:val="16"/>
              </w:rPr>
              <w:t xml:space="preserve"> </w:t>
            </w:r>
            <w:r w:rsidRPr="00EB2BD8">
              <w:rPr>
                <w:spacing w:val="-2"/>
                <w:sz w:val="16"/>
              </w:rPr>
              <w:t>of</w:t>
            </w:r>
            <w:r w:rsidRPr="00EB2BD8">
              <w:rPr>
                <w:spacing w:val="-9"/>
                <w:sz w:val="16"/>
              </w:rPr>
              <w:t xml:space="preserve"> </w:t>
            </w:r>
            <w:r w:rsidRPr="00EB2BD8">
              <w:rPr>
                <w:spacing w:val="-2"/>
                <w:sz w:val="16"/>
              </w:rPr>
              <w:t>registration</w:t>
            </w:r>
          </w:p>
        </w:tc>
        <w:tc>
          <w:tcPr>
            <w:tcW w:w="1079" w:type="dxa"/>
          </w:tcPr>
          <w:p w14:paraId="2843F127" w14:textId="77777777" w:rsidR="00084F36" w:rsidRPr="00EB2BD8" w:rsidRDefault="00084F36">
            <w:pPr>
              <w:pStyle w:val="TableParagraph"/>
              <w:rPr>
                <w:rFonts w:ascii="Times New Roman"/>
                <w:sz w:val="16"/>
              </w:rPr>
            </w:pPr>
          </w:p>
        </w:tc>
        <w:tc>
          <w:tcPr>
            <w:tcW w:w="1176" w:type="dxa"/>
          </w:tcPr>
          <w:p w14:paraId="51873B1C" w14:textId="77777777" w:rsidR="00084F36" w:rsidRPr="00EB2BD8" w:rsidRDefault="00084F36">
            <w:pPr>
              <w:pStyle w:val="TableParagraph"/>
              <w:rPr>
                <w:rFonts w:ascii="Times New Roman"/>
                <w:sz w:val="16"/>
              </w:rPr>
            </w:pPr>
          </w:p>
        </w:tc>
      </w:tr>
      <w:tr w:rsidR="00EB2BD8" w:rsidRPr="00EB2BD8" w14:paraId="0762B767" w14:textId="77777777">
        <w:trPr>
          <w:trHeight w:val="288"/>
        </w:trPr>
        <w:tc>
          <w:tcPr>
            <w:tcW w:w="1746" w:type="dxa"/>
            <w:tcBorders>
              <w:bottom w:val="single" w:sz="2" w:space="0" w:color="000000"/>
            </w:tcBorders>
          </w:tcPr>
          <w:p w14:paraId="58B9FD21" w14:textId="77777777" w:rsidR="00084F36" w:rsidRPr="00EB2BD8" w:rsidRDefault="00084F36">
            <w:pPr>
              <w:pStyle w:val="TableParagraph"/>
              <w:rPr>
                <w:rFonts w:ascii="Times New Roman"/>
                <w:sz w:val="16"/>
              </w:rPr>
            </w:pPr>
          </w:p>
        </w:tc>
        <w:tc>
          <w:tcPr>
            <w:tcW w:w="1467" w:type="dxa"/>
            <w:tcBorders>
              <w:bottom w:val="single" w:sz="2" w:space="0" w:color="000000"/>
            </w:tcBorders>
          </w:tcPr>
          <w:p w14:paraId="7230BC18" w14:textId="77777777" w:rsidR="00084F36" w:rsidRPr="00EB2BD8" w:rsidRDefault="00084F36">
            <w:pPr>
              <w:pStyle w:val="TableParagraph"/>
              <w:rPr>
                <w:rFonts w:ascii="Times New Roman"/>
                <w:sz w:val="16"/>
              </w:rPr>
            </w:pPr>
          </w:p>
        </w:tc>
        <w:tc>
          <w:tcPr>
            <w:tcW w:w="2455" w:type="dxa"/>
            <w:tcBorders>
              <w:bottom w:val="single" w:sz="2" w:space="0" w:color="000000"/>
            </w:tcBorders>
          </w:tcPr>
          <w:p w14:paraId="52ACCE24" w14:textId="77777777" w:rsidR="00084F36" w:rsidRPr="00EB2BD8" w:rsidRDefault="00EB2BD8">
            <w:pPr>
              <w:pStyle w:val="TableParagraph"/>
              <w:spacing w:before="19"/>
              <w:ind w:left="290"/>
              <w:rPr>
                <w:sz w:val="16"/>
              </w:rPr>
            </w:pPr>
            <w:r w:rsidRPr="00EB2BD8">
              <w:rPr>
                <w:spacing w:val="-2"/>
                <w:sz w:val="16"/>
              </w:rPr>
              <w:t>notice.</w:t>
            </w:r>
          </w:p>
        </w:tc>
        <w:tc>
          <w:tcPr>
            <w:tcW w:w="2280" w:type="dxa"/>
            <w:tcBorders>
              <w:bottom w:val="single" w:sz="2" w:space="0" w:color="000000"/>
            </w:tcBorders>
          </w:tcPr>
          <w:p w14:paraId="4A6D2ACC" w14:textId="77777777" w:rsidR="00084F36" w:rsidRPr="00EB2BD8" w:rsidRDefault="00EB2BD8">
            <w:pPr>
              <w:pStyle w:val="TableParagraph"/>
              <w:spacing w:before="19"/>
              <w:ind w:left="114"/>
              <w:rPr>
                <w:sz w:val="16"/>
              </w:rPr>
            </w:pPr>
            <w:r w:rsidRPr="00EB2BD8">
              <w:rPr>
                <w:sz w:val="16"/>
              </w:rPr>
              <w:t>until</w:t>
            </w:r>
            <w:r w:rsidRPr="00EB2BD8">
              <w:rPr>
                <w:spacing w:val="-11"/>
                <w:sz w:val="16"/>
              </w:rPr>
              <w:t xml:space="preserve"> </w:t>
            </w:r>
            <w:r w:rsidRPr="00EB2BD8">
              <w:rPr>
                <w:sz w:val="16"/>
              </w:rPr>
              <w:t>compliance</w:t>
            </w:r>
            <w:r w:rsidRPr="00EB2BD8">
              <w:rPr>
                <w:spacing w:val="-11"/>
                <w:sz w:val="16"/>
              </w:rPr>
              <w:t xml:space="preserve"> </w:t>
            </w:r>
            <w:r w:rsidRPr="00EB2BD8">
              <w:rPr>
                <w:spacing w:val="-2"/>
                <w:sz w:val="16"/>
              </w:rPr>
              <w:t>achieved.</w:t>
            </w:r>
          </w:p>
        </w:tc>
        <w:tc>
          <w:tcPr>
            <w:tcW w:w="1079" w:type="dxa"/>
            <w:tcBorders>
              <w:bottom w:val="single" w:sz="2" w:space="0" w:color="000000"/>
            </w:tcBorders>
          </w:tcPr>
          <w:p w14:paraId="590FA747"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48914076" w14:textId="77777777" w:rsidR="00084F36" w:rsidRPr="00EB2BD8" w:rsidRDefault="00084F36">
            <w:pPr>
              <w:pStyle w:val="TableParagraph"/>
              <w:rPr>
                <w:rFonts w:ascii="Times New Roman"/>
                <w:sz w:val="16"/>
              </w:rPr>
            </w:pPr>
          </w:p>
        </w:tc>
      </w:tr>
      <w:tr w:rsidR="00EB2BD8" w:rsidRPr="00EB2BD8" w14:paraId="1A9724C2" w14:textId="77777777">
        <w:trPr>
          <w:trHeight w:val="322"/>
        </w:trPr>
        <w:tc>
          <w:tcPr>
            <w:tcW w:w="1746" w:type="dxa"/>
            <w:tcBorders>
              <w:top w:val="single" w:sz="2" w:space="0" w:color="000000"/>
            </w:tcBorders>
          </w:tcPr>
          <w:p w14:paraId="7122974C" w14:textId="77777777" w:rsidR="00084F36" w:rsidRPr="00EB2BD8" w:rsidRDefault="00EB2BD8">
            <w:pPr>
              <w:pStyle w:val="TableParagraph"/>
              <w:spacing w:before="112"/>
              <w:ind w:left="113"/>
              <w:rPr>
                <w:sz w:val="16"/>
              </w:rPr>
            </w:pPr>
            <w:r w:rsidRPr="00EB2BD8">
              <w:rPr>
                <w:sz w:val="16"/>
              </w:rPr>
              <w:t>Borik</w:t>
            </w:r>
            <w:r w:rsidRPr="00EB2BD8">
              <w:rPr>
                <w:spacing w:val="-13"/>
                <w:sz w:val="16"/>
              </w:rPr>
              <w:t xml:space="preserve"> </w:t>
            </w:r>
            <w:r w:rsidRPr="00EB2BD8">
              <w:rPr>
                <w:spacing w:val="-2"/>
                <w:sz w:val="16"/>
              </w:rPr>
              <w:t>Investments</w:t>
            </w:r>
          </w:p>
        </w:tc>
        <w:tc>
          <w:tcPr>
            <w:tcW w:w="1467" w:type="dxa"/>
            <w:tcBorders>
              <w:top w:val="single" w:sz="2" w:space="0" w:color="000000"/>
            </w:tcBorders>
          </w:tcPr>
          <w:p w14:paraId="5713373E" w14:textId="77777777" w:rsidR="00084F36" w:rsidRPr="00EB2BD8" w:rsidRDefault="00EB2BD8">
            <w:pPr>
              <w:pStyle w:val="TableParagraph"/>
              <w:spacing w:before="112"/>
              <w:ind w:left="124"/>
              <w:rPr>
                <w:sz w:val="16"/>
              </w:rPr>
            </w:pPr>
            <w:r w:rsidRPr="00EB2BD8">
              <w:rPr>
                <w:w w:val="105"/>
                <w:sz w:val="16"/>
              </w:rPr>
              <w:t xml:space="preserve">CDB-U </w:t>
            </w:r>
            <w:r w:rsidRPr="00EB2BD8">
              <w:rPr>
                <w:spacing w:val="-2"/>
                <w:w w:val="105"/>
                <w:sz w:val="16"/>
              </w:rPr>
              <w:t>48608</w:t>
            </w:r>
          </w:p>
        </w:tc>
        <w:tc>
          <w:tcPr>
            <w:tcW w:w="2455" w:type="dxa"/>
            <w:tcBorders>
              <w:top w:val="single" w:sz="2" w:space="0" w:color="000000"/>
            </w:tcBorders>
          </w:tcPr>
          <w:p w14:paraId="173B3073" w14:textId="77777777" w:rsidR="00084F36" w:rsidRPr="00EB2BD8" w:rsidRDefault="00EB2BD8">
            <w:pPr>
              <w:pStyle w:val="TableParagraph"/>
              <w:spacing w:before="112"/>
              <w:ind w:left="290"/>
              <w:rPr>
                <w:sz w:val="16"/>
              </w:rPr>
            </w:pPr>
            <w:r w:rsidRPr="00EB2BD8">
              <w:rPr>
                <w:spacing w:val="-2"/>
                <w:sz w:val="16"/>
              </w:rPr>
              <w:t>Failing</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call</w:t>
            </w:r>
            <w:r w:rsidRPr="00EB2BD8">
              <w:rPr>
                <w:spacing w:val="-7"/>
                <w:sz w:val="16"/>
              </w:rPr>
              <w:t xml:space="preserve"> </w:t>
            </w:r>
            <w:r w:rsidRPr="00EB2BD8">
              <w:rPr>
                <w:spacing w:val="-2"/>
                <w:sz w:val="16"/>
              </w:rPr>
              <w:t>for</w:t>
            </w:r>
            <w:r w:rsidRPr="00EB2BD8">
              <w:rPr>
                <w:spacing w:val="-8"/>
                <w:sz w:val="16"/>
              </w:rPr>
              <w:t xml:space="preserve"> </w:t>
            </w:r>
            <w:r w:rsidRPr="00EB2BD8">
              <w:rPr>
                <w:spacing w:val="-12"/>
                <w:sz w:val="16"/>
              </w:rPr>
              <w:t>a</w:t>
            </w:r>
          </w:p>
        </w:tc>
        <w:tc>
          <w:tcPr>
            <w:tcW w:w="2280" w:type="dxa"/>
            <w:tcBorders>
              <w:top w:val="single" w:sz="2" w:space="0" w:color="000000"/>
            </w:tcBorders>
          </w:tcPr>
          <w:p w14:paraId="54BE66F8" w14:textId="77777777" w:rsidR="00084F36" w:rsidRPr="00EB2BD8" w:rsidRDefault="00EB2BD8">
            <w:pPr>
              <w:pStyle w:val="TableParagraph"/>
              <w:spacing w:before="112"/>
              <w:ind w:left="114"/>
              <w:rPr>
                <w:sz w:val="16"/>
              </w:rPr>
            </w:pPr>
            <w:r w:rsidRPr="00EB2BD8">
              <w:rPr>
                <w:sz w:val="16"/>
              </w:rPr>
              <w:t>Reprimand</w:t>
            </w:r>
            <w:r w:rsidRPr="00EB2BD8">
              <w:rPr>
                <w:spacing w:val="3"/>
                <w:sz w:val="16"/>
              </w:rPr>
              <w:t xml:space="preserve"> </w:t>
            </w:r>
            <w:r w:rsidRPr="00EB2BD8">
              <w:rPr>
                <w:sz w:val="16"/>
              </w:rPr>
              <w:t>and</w:t>
            </w:r>
            <w:r w:rsidRPr="00EB2BD8">
              <w:rPr>
                <w:spacing w:val="4"/>
                <w:sz w:val="16"/>
              </w:rPr>
              <w:t xml:space="preserve"> </w:t>
            </w:r>
            <w:r w:rsidRPr="00EB2BD8">
              <w:rPr>
                <w:sz w:val="16"/>
              </w:rPr>
              <w:t>a</w:t>
            </w:r>
            <w:r w:rsidRPr="00EB2BD8">
              <w:rPr>
                <w:spacing w:val="3"/>
                <w:sz w:val="16"/>
              </w:rPr>
              <w:t xml:space="preserve"> </w:t>
            </w:r>
            <w:r w:rsidRPr="00EB2BD8">
              <w:rPr>
                <w:spacing w:val="-2"/>
                <w:sz w:val="16"/>
              </w:rPr>
              <w:t>penalty</w:t>
            </w:r>
          </w:p>
        </w:tc>
        <w:tc>
          <w:tcPr>
            <w:tcW w:w="1079" w:type="dxa"/>
            <w:tcBorders>
              <w:top w:val="single" w:sz="2" w:space="0" w:color="000000"/>
            </w:tcBorders>
          </w:tcPr>
          <w:p w14:paraId="278124F7" w14:textId="77777777" w:rsidR="00084F36" w:rsidRPr="00EB2BD8" w:rsidRDefault="00EB2BD8">
            <w:pPr>
              <w:pStyle w:val="TableParagraph"/>
              <w:spacing w:before="112"/>
              <w:ind w:right="113"/>
              <w:jc w:val="right"/>
              <w:rPr>
                <w:sz w:val="16"/>
              </w:rPr>
            </w:pPr>
            <w:r w:rsidRPr="00EB2BD8">
              <w:rPr>
                <w:spacing w:val="-2"/>
                <w:sz w:val="16"/>
              </w:rPr>
              <w:t>$2,000</w:t>
            </w:r>
          </w:p>
        </w:tc>
        <w:tc>
          <w:tcPr>
            <w:tcW w:w="1176" w:type="dxa"/>
            <w:tcBorders>
              <w:top w:val="single" w:sz="2" w:space="0" w:color="000000"/>
            </w:tcBorders>
          </w:tcPr>
          <w:p w14:paraId="2073EEA6" w14:textId="77777777" w:rsidR="00084F36" w:rsidRPr="00EB2BD8" w:rsidRDefault="00EB2BD8">
            <w:pPr>
              <w:pStyle w:val="TableParagraph"/>
              <w:spacing w:before="112"/>
              <w:ind w:left="111"/>
              <w:rPr>
                <w:sz w:val="16"/>
              </w:rPr>
            </w:pPr>
            <w:r w:rsidRPr="00EB2BD8">
              <w:rPr>
                <w:spacing w:val="-2"/>
                <w:w w:val="85"/>
                <w:sz w:val="16"/>
              </w:rPr>
              <w:t>19/12/2022</w:t>
            </w:r>
          </w:p>
        </w:tc>
      </w:tr>
      <w:tr w:rsidR="00EB2BD8" w:rsidRPr="00EB2BD8" w14:paraId="0CAA4906" w14:textId="77777777">
        <w:trPr>
          <w:trHeight w:val="230"/>
        </w:trPr>
        <w:tc>
          <w:tcPr>
            <w:tcW w:w="1746" w:type="dxa"/>
          </w:tcPr>
          <w:p w14:paraId="3369E0C6" w14:textId="77777777" w:rsidR="00084F36" w:rsidRPr="00EB2BD8" w:rsidRDefault="00EB2BD8">
            <w:pPr>
              <w:pStyle w:val="TableParagraph"/>
              <w:spacing w:before="19"/>
              <w:ind w:left="113"/>
              <w:rPr>
                <w:sz w:val="16"/>
              </w:rPr>
            </w:pPr>
            <w:r w:rsidRPr="00EB2BD8">
              <w:rPr>
                <w:w w:val="105"/>
                <w:sz w:val="16"/>
              </w:rPr>
              <w:t>Pty</w:t>
            </w:r>
            <w:r w:rsidRPr="00EB2BD8">
              <w:rPr>
                <w:spacing w:val="-7"/>
                <w:w w:val="105"/>
                <w:sz w:val="16"/>
              </w:rPr>
              <w:t xml:space="preserve"> </w:t>
            </w:r>
            <w:r w:rsidRPr="00EB2BD8">
              <w:rPr>
                <w:spacing w:val="-5"/>
                <w:w w:val="105"/>
                <w:sz w:val="16"/>
              </w:rPr>
              <w:t>Ltd</w:t>
            </w:r>
          </w:p>
        </w:tc>
        <w:tc>
          <w:tcPr>
            <w:tcW w:w="1467" w:type="dxa"/>
          </w:tcPr>
          <w:p w14:paraId="7FE0CB8A" w14:textId="77777777" w:rsidR="00084F36" w:rsidRPr="00EB2BD8" w:rsidRDefault="00084F36">
            <w:pPr>
              <w:pStyle w:val="TableParagraph"/>
              <w:rPr>
                <w:rFonts w:ascii="Times New Roman"/>
                <w:sz w:val="16"/>
              </w:rPr>
            </w:pPr>
          </w:p>
        </w:tc>
        <w:tc>
          <w:tcPr>
            <w:tcW w:w="2455" w:type="dxa"/>
          </w:tcPr>
          <w:p w14:paraId="6DED7580" w14:textId="77777777" w:rsidR="00084F36" w:rsidRPr="00EB2BD8" w:rsidRDefault="00EB2BD8">
            <w:pPr>
              <w:pStyle w:val="TableParagraph"/>
              <w:spacing w:before="19"/>
              <w:ind w:left="290"/>
              <w:rPr>
                <w:sz w:val="16"/>
              </w:rPr>
            </w:pPr>
            <w:r w:rsidRPr="00EB2BD8">
              <w:rPr>
                <w:sz w:val="16"/>
              </w:rPr>
              <w:t>mandatory</w:t>
            </w:r>
            <w:r w:rsidRPr="00EB2BD8">
              <w:rPr>
                <w:spacing w:val="14"/>
                <w:sz w:val="16"/>
              </w:rPr>
              <w:t xml:space="preserve"> </w:t>
            </w:r>
            <w:r w:rsidRPr="00EB2BD8">
              <w:rPr>
                <w:spacing w:val="-2"/>
                <w:sz w:val="16"/>
              </w:rPr>
              <w:t>stage</w:t>
            </w:r>
          </w:p>
        </w:tc>
        <w:tc>
          <w:tcPr>
            <w:tcW w:w="2280" w:type="dxa"/>
          </w:tcPr>
          <w:p w14:paraId="49C19FD1" w14:textId="77777777" w:rsidR="00084F36" w:rsidRPr="00EB2BD8" w:rsidRDefault="00EB2BD8">
            <w:pPr>
              <w:pStyle w:val="TableParagraph"/>
              <w:spacing w:before="19"/>
              <w:ind w:left="114"/>
              <w:rPr>
                <w:sz w:val="16"/>
              </w:rPr>
            </w:pPr>
            <w:r w:rsidRPr="00EB2BD8">
              <w:rPr>
                <w:spacing w:val="-4"/>
                <w:sz w:val="16"/>
              </w:rPr>
              <w:t>of</w:t>
            </w:r>
            <w:r w:rsidRPr="00EB2BD8">
              <w:rPr>
                <w:spacing w:val="-10"/>
                <w:sz w:val="16"/>
              </w:rPr>
              <w:t xml:space="preserve"> </w:t>
            </w:r>
            <w:r w:rsidRPr="00EB2BD8">
              <w:rPr>
                <w:spacing w:val="-2"/>
                <w:sz w:val="16"/>
              </w:rPr>
              <w:t>$2,000.</w:t>
            </w:r>
          </w:p>
        </w:tc>
        <w:tc>
          <w:tcPr>
            <w:tcW w:w="1079" w:type="dxa"/>
          </w:tcPr>
          <w:p w14:paraId="241CF98E" w14:textId="77777777" w:rsidR="00084F36" w:rsidRPr="00EB2BD8" w:rsidRDefault="00084F36">
            <w:pPr>
              <w:pStyle w:val="TableParagraph"/>
              <w:rPr>
                <w:rFonts w:ascii="Times New Roman"/>
                <w:sz w:val="16"/>
              </w:rPr>
            </w:pPr>
          </w:p>
        </w:tc>
        <w:tc>
          <w:tcPr>
            <w:tcW w:w="1176" w:type="dxa"/>
          </w:tcPr>
          <w:p w14:paraId="069E9442" w14:textId="77777777" w:rsidR="00084F36" w:rsidRPr="00EB2BD8" w:rsidRDefault="00084F36">
            <w:pPr>
              <w:pStyle w:val="TableParagraph"/>
              <w:rPr>
                <w:rFonts w:ascii="Times New Roman"/>
                <w:sz w:val="16"/>
              </w:rPr>
            </w:pPr>
          </w:p>
        </w:tc>
      </w:tr>
      <w:tr w:rsidR="00EB2BD8" w:rsidRPr="00EB2BD8" w14:paraId="29B32635" w14:textId="77777777">
        <w:trPr>
          <w:trHeight w:val="229"/>
        </w:trPr>
        <w:tc>
          <w:tcPr>
            <w:tcW w:w="1746" w:type="dxa"/>
          </w:tcPr>
          <w:p w14:paraId="7BC022A0" w14:textId="77777777" w:rsidR="00084F36" w:rsidRPr="00EB2BD8" w:rsidRDefault="00084F36">
            <w:pPr>
              <w:pStyle w:val="TableParagraph"/>
              <w:rPr>
                <w:rFonts w:ascii="Times New Roman"/>
                <w:sz w:val="16"/>
              </w:rPr>
            </w:pPr>
          </w:p>
        </w:tc>
        <w:tc>
          <w:tcPr>
            <w:tcW w:w="1467" w:type="dxa"/>
          </w:tcPr>
          <w:p w14:paraId="14FD3DDA" w14:textId="77777777" w:rsidR="00084F36" w:rsidRPr="00EB2BD8" w:rsidRDefault="00084F36">
            <w:pPr>
              <w:pStyle w:val="TableParagraph"/>
              <w:rPr>
                <w:rFonts w:ascii="Times New Roman"/>
                <w:sz w:val="16"/>
              </w:rPr>
            </w:pPr>
          </w:p>
        </w:tc>
        <w:tc>
          <w:tcPr>
            <w:tcW w:w="2455" w:type="dxa"/>
          </w:tcPr>
          <w:p w14:paraId="523A930F" w14:textId="77777777" w:rsidR="00084F36" w:rsidRPr="00EB2BD8" w:rsidRDefault="00EB2BD8">
            <w:pPr>
              <w:pStyle w:val="TableParagraph"/>
              <w:spacing w:before="19"/>
              <w:ind w:left="290"/>
              <w:rPr>
                <w:sz w:val="16"/>
              </w:rPr>
            </w:pPr>
            <w:r w:rsidRPr="00EB2BD8">
              <w:rPr>
                <w:sz w:val="16"/>
              </w:rPr>
              <w:t>inspection</w:t>
            </w:r>
            <w:r w:rsidRPr="00EB2BD8">
              <w:rPr>
                <w:spacing w:val="-11"/>
                <w:sz w:val="16"/>
              </w:rPr>
              <w:t xml:space="preserve"> </w:t>
            </w:r>
            <w:r w:rsidRPr="00EB2BD8">
              <w:rPr>
                <w:sz w:val="16"/>
              </w:rPr>
              <w:t>in</w:t>
            </w:r>
            <w:r w:rsidRPr="00EB2BD8">
              <w:rPr>
                <w:spacing w:val="-11"/>
                <w:sz w:val="16"/>
              </w:rPr>
              <w:t xml:space="preserve"> </w:t>
            </w:r>
            <w:r w:rsidRPr="00EB2BD8">
              <w:rPr>
                <w:sz w:val="16"/>
              </w:rPr>
              <w:t>respect</w:t>
            </w:r>
            <w:r w:rsidRPr="00EB2BD8">
              <w:rPr>
                <w:spacing w:val="-11"/>
                <w:sz w:val="16"/>
              </w:rPr>
              <w:t xml:space="preserve"> </w:t>
            </w:r>
            <w:r w:rsidRPr="00EB2BD8">
              <w:rPr>
                <w:spacing w:val="-5"/>
                <w:sz w:val="16"/>
              </w:rPr>
              <w:t>of</w:t>
            </w:r>
          </w:p>
        </w:tc>
        <w:tc>
          <w:tcPr>
            <w:tcW w:w="2280" w:type="dxa"/>
          </w:tcPr>
          <w:p w14:paraId="2C288F80" w14:textId="77777777" w:rsidR="00084F36" w:rsidRPr="00EB2BD8" w:rsidRDefault="00084F36">
            <w:pPr>
              <w:pStyle w:val="TableParagraph"/>
              <w:rPr>
                <w:rFonts w:ascii="Times New Roman"/>
                <w:sz w:val="16"/>
              </w:rPr>
            </w:pPr>
          </w:p>
        </w:tc>
        <w:tc>
          <w:tcPr>
            <w:tcW w:w="1079" w:type="dxa"/>
          </w:tcPr>
          <w:p w14:paraId="2B15EE4E" w14:textId="77777777" w:rsidR="00084F36" w:rsidRPr="00EB2BD8" w:rsidRDefault="00084F36">
            <w:pPr>
              <w:pStyle w:val="TableParagraph"/>
              <w:rPr>
                <w:rFonts w:ascii="Times New Roman"/>
                <w:sz w:val="16"/>
              </w:rPr>
            </w:pPr>
          </w:p>
        </w:tc>
        <w:tc>
          <w:tcPr>
            <w:tcW w:w="1176" w:type="dxa"/>
          </w:tcPr>
          <w:p w14:paraId="0363E0C9" w14:textId="77777777" w:rsidR="00084F36" w:rsidRPr="00EB2BD8" w:rsidRDefault="00084F36">
            <w:pPr>
              <w:pStyle w:val="TableParagraph"/>
              <w:rPr>
                <w:rFonts w:ascii="Times New Roman"/>
                <w:sz w:val="16"/>
              </w:rPr>
            </w:pPr>
          </w:p>
        </w:tc>
      </w:tr>
      <w:tr w:rsidR="00EB2BD8" w:rsidRPr="00EB2BD8" w14:paraId="12B37B2E" w14:textId="77777777">
        <w:trPr>
          <w:trHeight w:val="229"/>
        </w:trPr>
        <w:tc>
          <w:tcPr>
            <w:tcW w:w="1746" w:type="dxa"/>
          </w:tcPr>
          <w:p w14:paraId="58CD9904" w14:textId="77777777" w:rsidR="00084F36" w:rsidRPr="00EB2BD8" w:rsidRDefault="00084F36">
            <w:pPr>
              <w:pStyle w:val="TableParagraph"/>
              <w:rPr>
                <w:rFonts w:ascii="Times New Roman"/>
                <w:sz w:val="16"/>
              </w:rPr>
            </w:pPr>
          </w:p>
        </w:tc>
        <w:tc>
          <w:tcPr>
            <w:tcW w:w="1467" w:type="dxa"/>
          </w:tcPr>
          <w:p w14:paraId="62741F85" w14:textId="77777777" w:rsidR="00084F36" w:rsidRPr="00EB2BD8" w:rsidRDefault="00084F36">
            <w:pPr>
              <w:pStyle w:val="TableParagraph"/>
              <w:rPr>
                <w:rFonts w:ascii="Times New Roman"/>
                <w:sz w:val="16"/>
              </w:rPr>
            </w:pPr>
          </w:p>
        </w:tc>
        <w:tc>
          <w:tcPr>
            <w:tcW w:w="2455" w:type="dxa"/>
          </w:tcPr>
          <w:p w14:paraId="1BEA0ED4" w14:textId="77777777" w:rsidR="00084F36" w:rsidRPr="00EB2BD8" w:rsidRDefault="00EB2BD8">
            <w:pPr>
              <w:pStyle w:val="TableParagraph"/>
              <w:spacing w:before="19"/>
              <w:ind w:left="290"/>
              <w:rPr>
                <w:sz w:val="16"/>
              </w:rPr>
            </w:pPr>
            <w:r w:rsidRPr="00EB2BD8">
              <w:rPr>
                <w:spacing w:val="-2"/>
                <w:sz w:val="16"/>
              </w:rPr>
              <w:t>building</w:t>
            </w:r>
            <w:r w:rsidRPr="00EB2BD8">
              <w:rPr>
                <w:spacing w:val="-7"/>
                <w:sz w:val="16"/>
              </w:rPr>
              <w:t xml:space="preserve"> </w:t>
            </w:r>
            <w:r w:rsidRPr="00EB2BD8">
              <w:rPr>
                <w:spacing w:val="-2"/>
                <w:sz w:val="16"/>
              </w:rPr>
              <w:t>work</w:t>
            </w:r>
            <w:r w:rsidRPr="00EB2BD8">
              <w:rPr>
                <w:spacing w:val="-6"/>
                <w:sz w:val="16"/>
              </w:rPr>
              <w:t xml:space="preserve"> </w:t>
            </w:r>
            <w:r w:rsidRPr="00EB2BD8">
              <w:rPr>
                <w:spacing w:val="-2"/>
                <w:sz w:val="16"/>
              </w:rPr>
              <w:t>at</w:t>
            </w:r>
            <w:r w:rsidRPr="00EB2BD8">
              <w:rPr>
                <w:spacing w:val="-6"/>
                <w:sz w:val="16"/>
              </w:rPr>
              <w:t xml:space="preserve"> </w:t>
            </w:r>
            <w:r w:rsidRPr="00EB2BD8">
              <w:rPr>
                <w:spacing w:val="-2"/>
                <w:sz w:val="16"/>
              </w:rPr>
              <w:t>a</w:t>
            </w:r>
            <w:r w:rsidRPr="00EB2BD8">
              <w:rPr>
                <w:spacing w:val="-6"/>
                <w:sz w:val="16"/>
              </w:rPr>
              <w:t xml:space="preserve"> </w:t>
            </w:r>
            <w:r w:rsidRPr="00EB2BD8">
              <w:rPr>
                <w:spacing w:val="-2"/>
                <w:sz w:val="16"/>
              </w:rPr>
              <w:t>site</w:t>
            </w:r>
            <w:r w:rsidRPr="00EB2BD8">
              <w:rPr>
                <w:spacing w:val="-6"/>
                <w:sz w:val="16"/>
              </w:rPr>
              <w:t xml:space="preserve"> </w:t>
            </w:r>
            <w:r w:rsidRPr="00EB2BD8">
              <w:rPr>
                <w:spacing w:val="-5"/>
                <w:sz w:val="16"/>
              </w:rPr>
              <w:t>in</w:t>
            </w:r>
          </w:p>
        </w:tc>
        <w:tc>
          <w:tcPr>
            <w:tcW w:w="2280" w:type="dxa"/>
          </w:tcPr>
          <w:p w14:paraId="7D47A8DD" w14:textId="77777777" w:rsidR="00084F36" w:rsidRPr="00EB2BD8" w:rsidRDefault="00084F36">
            <w:pPr>
              <w:pStyle w:val="TableParagraph"/>
              <w:rPr>
                <w:rFonts w:ascii="Times New Roman"/>
                <w:sz w:val="16"/>
              </w:rPr>
            </w:pPr>
          </w:p>
        </w:tc>
        <w:tc>
          <w:tcPr>
            <w:tcW w:w="1079" w:type="dxa"/>
          </w:tcPr>
          <w:p w14:paraId="41261BEC" w14:textId="77777777" w:rsidR="00084F36" w:rsidRPr="00EB2BD8" w:rsidRDefault="00084F36">
            <w:pPr>
              <w:pStyle w:val="TableParagraph"/>
              <w:rPr>
                <w:rFonts w:ascii="Times New Roman"/>
                <w:sz w:val="16"/>
              </w:rPr>
            </w:pPr>
          </w:p>
        </w:tc>
        <w:tc>
          <w:tcPr>
            <w:tcW w:w="1176" w:type="dxa"/>
          </w:tcPr>
          <w:p w14:paraId="6E0A0D77" w14:textId="77777777" w:rsidR="00084F36" w:rsidRPr="00EB2BD8" w:rsidRDefault="00084F36">
            <w:pPr>
              <w:pStyle w:val="TableParagraph"/>
              <w:rPr>
                <w:rFonts w:ascii="Times New Roman"/>
                <w:sz w:val="16"/>
              </w:rPr>
            </w:pPr>
          </w:p>
        </w:tc>
      </w:tr>
      <w:tr w:rsidR="00EB2BD8" w:rsidRPr="00EB2BD8" w14:paraId="35DF11EE" w14:textId="77777777">
        <w:trPr>
          <w:trHeight w:val="288"/>
        </w:trPr>
        <w:tc>
          <w:tcPr>
            <w:tcW w:w="1746" w:type="dxa"/>
            <w:tcBorders>
              <w:bottom w:val="single" w:sz="2" w:space="0" w:color="000000"/>
            </w:tcBorders>
          </w:tcPr>
          <w:p w14:paraId="0A894B63" w14:textId="77777777" w:rsidR="00084F36" w:rsidRPr="00EB2BD8" w:rsidRDefault="00084F36">
            <w:pPr>
              <w:pStyle w:val="TableParagraph"/>
              <w:rPr>
                <w:rFonts w:ascii="Times New Roman"/>
                <w:sz w:val="16"/>
              </w:rPr>
            </w:pPr>
          </w:p>
        </w:tc>
        <w:tc>
          <w:tcPr>
            <w:tcW w:w="1467" w:type="dxa"/>
            <w:tcBorders>
              <w:bottom w:val="single" w:sz="2" w:space="0" w:color="000000"/>
            </w:tcBorders>
          </w:tcPr>
          <w:p w14:paraId="501DC6DE" w14:textId="77777777" w:rsidR="00084F36" w:rsidRPr="00EB2BD8" w:rsidRDefault="00084F36">
            <w:pPr>
              <w:pStyle w:val="TableParagraph"/>
              <w:rPr>
                <w:rFonts w:ascii="Times New Roman"/>
                <w:sz w:val="16"/>
              </w:rPr>
            </w:pPr>
          </w:p>
        </w:tc>
        <w:tc>
          <w:tcPr>
            <w:tcW w:w="2455" w:type="dxa"/>
            <w:tcBorders>
              <w:bottom w:val="single" w:sz="2" w:space="0" w:color="000000"/>
            </w:tcBorders>
          </w:tcPr>
          <w:p w14:paraId="6FBAAAE4" w14:textId="77777777" w:rsidR="00084F36" w:rsidRPr="00EB2BD8" w:rsidRDefault="00EB2BD8">
            <w:pPr>
              <w:pStyle w:val="TableParagraph"/>
              <w:spacing w:before="19"/>
              <w:ind w:left="290"/>
              <w:rPr>
                <w:sz w:val="16"/>
              </w:rPr>
            </w:pPr>
            <w:r w:rsidRPr="00EB2BD8">
              <w:rPr>
                <w:w w:val="105"/>
                <w:sz w:val="16"/>
              </w:rPr>
              <w:t>Ocean</w:t>
            </w:r>
            <w:r w:rsidRPr="00EB2BD8">
              <w:rPr>
                <w:spacing w:val="-9"/>
                <w:w w:val="105"/>
                <w:sz w:val="16"/>
              </w:rPr>
              <w:t xml:space="preserve"> </w:t>
            </w:r>
            <w:r w:rsidRPr="00EB2BD8">
              <w:rPr>
                <w:spacing w:val="-2"/>
                <w:w w:val="105"/>
                <w:sz w:val="16"/>
              </w:rPr>
              <w:t>Grove.</w:t>
            </w:r>
          </w:p>
        </w:tc>
        <w:tc>
          <w:tcPr>
            <w:tcW w:w="2280" w:type="dxa"/>
            <w:tcBorders>
              <w:bottom w:val="single" w:sz="2" w:space="0" w:color="000000"/>
            </w:tcBorders>
          </w:tcPr>
          <w:p w14:paraId="673AD98C"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57B8BF47"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658EE474" w14:textId="77777777" w:rsidR="00084F36" w:rsidRPr="00EB2BD8" w:rsidRDefault="00084F36">
            <w:pPr>
              <w:pStyle w:val="TableParagraph"/>
              <w:rPr>
                <w:rFonts w:ascii="Times New Roman"/>
                <w:sz w:val="16"/>
              </w:rPr>
            </w:pPr>
          </w:p>
        </w:tc>
      </w:tr>
      <w:tr w:rsidR="00EB2BD8" w:rsidRPr="00EB2BD8" w14:paraId="5988EBE3" w14:textId="77777777">
        <w:trPr>
          <w:trHeight w:val="322"/>
        </w:trPr>
        <w:tc>
          <w:tcPr>
            <w:tcW w:w="1746" w:type="dxa"/>
            <w:tcBorders>
              <w:top w:val="single" w:sz="2" w:space="0" w:color="000000"/>
            </w:tcBorders>
          </w:tcPr>
          <w:p w14:paraId="49BF9E7E" w14:textId="77777777" w:rsidR="00084F36" w:rsidRPr="00EB2BD8" w:rsidRDefault="00EB2BD8">
            <w:pPr>
              <w:pStyle w:val="TableParagraph"/>
              <w:spacing w:before="112"/>
              <w:ind w:left="113"/>
              <w:rPr>
                <w:sz w:val="16"/>
              </w:rPr>
            </w:pPr>
            <w:r w:rsidRPr="00EB2BD8">
              <w:rPr>
                <w:spacing w:val="-2"/>
                <w:w w:val="105"/>
                <w:sz w:val="16"/>
              </w:rPr>
              <w:t>Brunton</w:t>
            </w:r>
          </w:p>
        </w:tc>
        <w:tc>
          <w:tcPr>
            <w:tcW w:w="1467" w:type="dxa"/>
            <w:tcBorders>
              <w:top w:val="single" w:sz="2" w:space="0" w:color="000000"/>
            </w:tcBorders>
          </w:tcPr>
          <w:p w14:paraId="5730291B" w14:textId="77777777" w:rsidR="00084F36" w:rsidRPr="00EB2BD8" w:rsidRDefault="00EB2BD8">
            <w:pPr>
              <w:pStyle w:val="TableParagraph"/>
              <w:spacing w:before="112"/>
              <w:ind w:left="124"/>
              <w:rPr>
                <w:sz w:val="16"/>
              </w:rPr>
            </w:pPr>
            <w:r w:rsidRPr="00EB2BD8">
              <w:rPr>
                <w:w w:val="105"/>
                <w:sz w:val="16"/>
              </w:rPr>
              <w:t>CCB-U</w:t>
            </w:r>
            <w:r w:rsidRPr="00EB2BD8">
              <w:rPr>
                <w:spacing w:val="10"/>
                <w:w w:val="105"/>
                <w:sz w:val="16"/>
              </w:rPr>
              <w:t xml:space="preserve"> </w:t>
            </w:r>
            <w:r w:rsidRPr="00EB2BD8">
              <w:rPr>
                <w:spacing w:val="-2"/>
                <w:w w:val="105"/>
                <w:sz w:val="16"/>
              </w:rPr>
              <w:t>54133</w:t>
            </w:r>
          </w:p>
        </w:tc>
        <w:tc>
          <w:tcPr>
            <w:tcW w:w="2455" w:type="dxa"/>
            <w:tcBorders>
              <w:top w:val="single" w:sz="2" w:space="0" w:color="000000"/>
            </w:tcBorders>
          </w:tcPr>
          <w:p w14:paraId="6DA5C8C6" w14:textId="77777777" w:rsidR="00084F36" w:rsidRPr="00EB2BD8" w:rsidRDefault="00EB2BD8">
            <w:pPr>
              <w:pStyle w:val="TableParagraph"/>
              <w:spacing w:before="112"/>
              <w:ind w:left="290"/>
              <w:rPr>
                <w:sz w:val="16"/>
              </w:rPr>
            </w:pPr>
            <w:r w:rsidRPr="00EB2BD8">
              <w:rPr>
                <w:spacing w:val="-2"/>
                <w:sz w:val="16"/>
              </w:rPr>
              <w:t>Failing</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call</w:t>
            </w:r>
            <w:r w:rsidRPr="00EB2BD8">
              <w:rPr>
                <w:spacing w:val="-7"/>
                <w:sz w:val="16"/>
              </w:rPr>
              <w:t xml:space="preserve"> </w:t>
            </w:r>
            <w:r w:rsidRPr="00EB2BD8">
              <w:rPr>
                <w:spacing w:val="-2"/>
                <w:sz w:val="16"/>
              </w:rPr>
              <w:t>for</w:t>
            </w:r>
            <w:r w:rsidRPr="00EB2BD8">
              <w:rPr>
                <w:spacing w:val="-8"/>
                <w:sz w:val="16"/>
              </w:rPr>
              <w:t xml:space="preserve"> </w:t>
            </w:r>
            <w:r w:rsidRPr="00EB2BD8">
              <w:rPr>
                <w:spacing w:val="-12"/>
                <w:sz w:val="16"/>
              </w:rPr>
              <w:t>a</w:t>
            </w:r>
          </w:p>
        </w:tc>
        <w:tc>
          <w:tcPr>
            <w:tcW w:w="2280" w:type="dxa"/>
            <w:tcBorders>
              <w:top w:val="single" w:sz="2" w:space="0" w:color="000000"/>
            </w:tcBorders>
          </w:tcPr>
          <w:p w14:paraId="0C143737" w14:textId="77777777" w:rsidR="00084F36" w:rsidRPr="00EB2BD8" w:rsidRDefault="00EB2BD8">
            <w:pPr>
              <w:pStyle w:val="TableParagraph"/>
              <w:spacing w:before="111"/>
              <w:ind w:left="114"/>
              <w:rPr>
                <w:sz w:val="16"/>
              </w:rPr>
            </w:pPr>
            <w:r w:rsidRPr="00EB2BD8">
              <w:rPr>
                <w:sz w:val="16"/>
              </w:rPr>
              <w:t>Reprimand</w:t>
            </w:r>
            <w:r w:rsidRPr="00EB2BD8">
              <w:rPr>
                <w:spacing w:val="2"/>
                <w:sz w:val="16"/>
              </w:rPr>
              <w:t xml:space="preserve"> </w:t>
            </w:r>
            <w:r w:rsidRPr="00EB2BD8">
              <w:rPr>
                <w:sz w:val="16"/>
              </w:rPr>
              <w:t>and</w:t>
            </w:r>
            <w:r w:rsidRPr="00EB2BD8">
              <w:rPr>
                <w:spacing w:val="3"/>
                <w:sz w:val="16"/>
              </w:rPr>
              <w:t xml:space="preserve"> </w:t>
            </w:r>
            <w:r w:rsidRPr="00EB2BD8">
              <w:rPr>
                <w:sz w:val="16"/>
              </w:rPr>
              <w:t>penalty</w:t>
            </w:r>
            <w:r w:rsidRPr="00EB2BD8">
              <w:rPr>
                <w:spacing w:val="2"/>
                <w:sz w:val="16"/>
              </w:rPr>
              <w:t xml:space="preserve"> </w:t>
            </w:r>
            <w:r w:rsidRPr="00EB2BD8">
              <w:rPr>
                <w:spacing w:val="-5"/>
                <w:sz w:val="16"/>
              </w:rPr>
              <w:t>of</w:t>
            </w:r>
          </w:p>
        </w:tc>
        <w:tc>
          <w:tcPr>
            <w:tcW w:w="1079" w:type="dxa"/>
            <w:tcBorders>
              <w:top w:val="single" w:sz="2" w:space="0" w:color="000000"/>
            </w:tcBorders>
          </w:tcPr>
          <w:p w14:paraId="7E96E004" w14:textId="77777777" w:rsidR="00084F36" w:rsidRPr="00EB2BD8" w:rsidRDefault="00EB2BD8">
            <w:pPr>
              <w:pStyle w:val="TableParagraph"/>
              <w:spacing w:before="111"/>
              <w:ind w:right="113"/>
              <w:jc w:val="right"/>
              <w:rPr>
                <w:sz w:val="16"/>
              </w:rPr>
            </w:pPr>
            <w:r w:rsidRPr="00EB2BD8">
              <w:rPr>
                <w:spacing w:val="-2"/>
                <w:sz w:val="16"/>
              </w:rPr>
              <w:t>$2,500</w:t>
            </w:r>
          </w:p>
        </w:tc>
        <w:tc>
          <w:tcPr>
            <w:tcW w:w="1176" w:type="dxa"/>
            <w:tcBorders>
              <w:top w:val="single" w:sz="2" w:space="0" w:color="000000"/>
            </w:tcBorders>
          </w:tcPr>
          <w:p w14:paraId="7D1CEBA4" w14:textId="77777777" w:rsidR="00084F36" w:rsidRPr="00EB2BD8" w:rsidRDefault="00EB2BD8">
            <w:pPr>
              <w:pStyle w:val="TableParagraph"/>
              <w:spacing w:before="111"/>
              <w:ind w:left="111"/>
              <w:rPr>
                <w:sz w:val="16"/>
              </w:rPr>
            </w:pPr>
            <w:r w:rsidRPr="00EB2BD8">
              <w:rPr>
                <w:spacing w:val="-2"/>
                <w:w w:val="95"/>
                <w:sz w:val="16"/>
              </w:rPr>
              <w:t>21/03/2023</w:t>
            </w:r>
          </w:p>
        </w:tc>
      </w:tr>
      <w:tr w:rsidR="00EB2BD8" w:rsidRPr="00EB2BD8" w14:paraId="6FCEF9B9" w14:textId="77777777">
        <w:trPr>
          <w:trHeight w:val="230"/>
        </w:trPr>
        <w:tc>
          <w:tcPr>
            <w:tcW w:w="1746" w:type="dxa"/>
          </w:tcPr>
          <w:p w14:paraId="74CE404C" w14:textId="77777777" w:rsidR="00084F36" w:rsidRPr="00EB2BD8" w:rsidRDefault="00EB2BD8">
            <w:pPr>
              <w:pStyle w:val="TableParagraph"/>
              <w:spacing w:before="19"/>
              <w:ind w:left="113"/>
              <w:rPr>
                <w:sz w:val="16"/>
              </w:rPr>
            </w:pPr>
            <w:r w:rsidRPr="00EB2BD8">
              <w:rPr>
                <w:sz w:val="16"/>
              </w:rPr>
              <w:t>Engineering</w:t>
            </w:r>
            <w:r w:rsidRPr="00EB2BD8">
              <w:rPr>
                <w:spacing w:val="-4"/>
                <w:sz w:val="16"/>
              </w:rPr>
              <w:t xml:space="preserve"> </w:t>
            </w:r>
            <w:r w:rsidRPr="00EB2BD8">
              <w:rPr>
                <w:spacing w:val="-5"/>
                <w:sz w:val="16"/>
              </w:rPr>
              <w:t>and</w:t>
            </w:r>
          </w:p>
        </w:tc>
        <w:tc>
          <w:tcPr>
            <w:tcW w:w="1467" w:type="dxa"/>
          </w:tcPr>
          <w:p w14:paraId="2785A5D6" w14:textId="77777777" w:rsidR="00084F36" w:rsidRPr="00EB2BD8" w:rsidRDefault="00084F36">
            <w:pPr>
              <w:pStyle w:val="TableParagraph"/>
              <w:rPr>
                <w:rFonts w:ascii="Times New Roman"/>
                <w:sz w:val="16"/>
              </w:rPr>
            </w:pPr>
          </w:p>
        </w:tc>
        <w:tc>
          <w:tcPr>
            <w:tcW w:w="2455" w:type="dxa"/>
          </w:tcPr>
          <w:p w14:paraId="4D37D0E4" w14:textId="77777777" w:rsidR="00084F36" w:rsidRPr="00EB2BD8" w:rsidRDefault="00EB2BD8">
            <w:pPr>
              <w:pStyle w:val="TableParagraph"/>
              <w:spacing w:before="19"/>
              <w:ind w:left="290"/>
              <w:rPr>
                <w:sz w:val="16"/>
              </w:rPr>
            </w:pPr>
            <w:r w:rsidRPr="00EB2BD8">
              <w:rPr>
                <w:sz w:val="16"/>
              </w:rPr>
              <w:t>mandatory</w:t>
            </w:r>
            <w:r w:rsidRPr="00EB2BD8">
              <w:rPr>
                <w:spacing w:val="14"/>
                <w:sz w:val="16"/>
              </w:rPr>
              <w:t xml:space="preserve"> </w:t>
            </w:r>
            <w:r w:rsidRPr="00EB2BD8">
              <w:rPr>
                <w:spacing w:val="-2"/>
                <w:sz w:val="16"/>
              </w:rPr>
              <w:t>stage</w:t>
            </w:r>
          </w:p>
        </w:tc>
        <w:tc>
          <w:tcPr>
            <w:tcW w:w="2280" w:type="dxa"/>
          </w:tcPr>
          <w:p w14:paraId="7155A5F9" w14:textId="77777777" w:rsidR="00084F36" w:rsidRPr="00EB2BD8" w:rsidRDefault="00EB2BD8">
            <w:pPr>
              <w:pStyle w:val="TableParagraph"/>
              <w:spacing w:before="19"/>
              <w:ind w:left="114"/>
              <w:rPr>
                <w:sz w:val="16"/>
              </w:rPr>
            </w:pPr>
            <w:r w:rsidRPr="00EB2BD8">
              <w:rPr>
                <w:spacing w:val="-2"/>
                <w:sz w:val="16"/>
              </w:rPr>
              <w:t>$2,500.</w:t>
            </w:r>
          </w:p>
        </w:tc>
        <w:tc>
          <w:tcPr>
            <w:tcW w:w="1079" w:type="dxa"/>
          </w:tcPr>
          <w:p w14:paraId="7DCD37EA" w14:textId="77777777" w:rsidR="00084F36" w:rsidRPr="00EB2BD8" w:rsidRDefault="00084F36">
            <w:pPr>
              <w:pStyle w:val="TableParagraph"/>
              <w:rPr>
                <w:rFonts w:ascii="Times New Roman"/>
                <w:sz w:val="16"/>
              </w:rPr>
            </w:pPr>
          </w:p>
        </w:tc>
        <w:tc>
          <w:tcPr>
            <w:tcW w:w="1176" w:type="dxa"/>
          </w:tcPr>
          <w:p w14:paraId="44E712F4" w14:textId="77777777" w:rsidR="00084F36" w:rsidRPr="00EB2BD8" w:rsidRDefault="00084F36">
            <w:pPr>
              <w:pStyle w:val="TableParagraph"/>
              <w:rPr>
                <w:rFonts w:ascii="Times New Roman"/>
                <w:sz w:val="16"/>
              </w:rPr>
            </w:pPr>
          </w:p>
        </w:tc>
      </w:tr>
      <w:tr w:rsidR="00EB2BD8" w:rsidRPr="00EB2BD8" w14:paraId="60C6507B" w14:textId="77777777">
        <w:trPr>
          <w:trHeight w:val="229"/>
        </w:trPr>
        <w:tc>
          <w:tcPr>
            <w:tcW w:w="1746" w:type="dxa"/>
          </w:tcPr>
          <w:p w14:paraId="724F1B4D" w14:textId="77777777" w:rsidR="00084F36" w:rsidRPr="00EB2BD8" w:rsidRDefault="00EB2BD8">
            <w:pPr>
              <w:pStyle w:val="TableParagraph"/>
              <w:spacing w:before="19"/>
              <w:ind w:left="113"/>
              <w:rPr>
                <w:sz w:val="16"/>
              </w:rPr>
            </w:pPr>
            <w:r w:rsidRPr="00EB2BD8">
              <w:rPr>
                <w:spacing w:val="-2"/>
                <w:sz w:val="16"/>
              </w:rPr>
              <w:t>Construction</w:t>
            </w:r>
            <w:r w:rsidRPr="00EB2BD8">
              <w:rPr>
                <w:spacing w:val="11"/>
                <w:sz w:val="16"/>
              </w:rPr>
              <w:t xml:space="preserve"> </w:t>
            </w:r>
            <w:r w:rsidRPr="00EB2BD8">
              <w:rPr>
                <w:spacing w:val="-5"/>
                <w:sz w:val="16"/>
              </w:rPr>
              <w:t>Pty</w:t>
            </w:r>
          </w:p>
        </w:tc>
        <w:tc>
          <w:tcPr>
            <w:tcW w:w="1467" w:type="dxa"/>
          </w:tcPr>
          <w:p w14:paraId="5FD744CB" w14:textId="77777777" w:rsidR="00084F36" w:rsidRPr="00EB2BD8" w:rsidRDefault="00084F36">
            <w:pPr>
              <w:pStyle w:val="TableParagraph"/>
              <w:rPr>
                <w:rFonts w:ascii="Times New Roman"/>
                <w:sz w:val="16"/>
              </w:rPr>
            </w:pPr>
          </w:p>
        </w:tc>
        <w:tc>
          <w:tcPr>
            <w:tcW w:w="2455" w:type="dxa"/>
          </w:tcPr>
          <w:p w14:paraId="60770845" w14:textId="77777777" w:rsidR="00084F36" w:rsidRPr="00EB2BD8" w:rsidRDefault="00EB2BD8">
            <w:pPr>
              <w:pStyle w:val="TableParagraph"/>
              <w:spacing w:before="19"/>
              <w:ind w:left="290"/>
              <w:rPr>
                <w:sz w:val="16"/>
              </w:rPr>
            </w:pPr>
            <w:r w:rsidRPr="00EB2BD8">
              <w:rPr>
                <w:spacing w:val="-2"/>
                <w:sz w:val="16"/>
              </w:rPr>
              <w:t>inspection</w:t>
            </w:r>
            <w:r w:rsidRPr="00EB2BD8">
              <w:rPr>
                <w:spacing w:val="3"/>
                <w:sz w:val="16"/>
              </w:rPr>
              <w:t xml:space="preserve"> </w:t>
            </w:r>
            <w:r w:rsidRPr="00EB2BD8">
              <w:rPr>
                <w:spacing w:val="-2"/>
                <w:sz w:val="16"/>
              </w:rPr>
              <w:t>(before</w:t>
            </w:r>
            <w:r w:rsidRPr="00EB2BD8">
              <w:rPr>
                <w:spacing w:val="3"/>
                <w:sz w:val="16"/>
              </w:rPr>
              <w:t xml:space="preserve"> </w:t>
            </w:r>
            <w:r w:rsidRPr="00EB2BD8">
              <w:rPr>
                <w:spacing w:val="-2"/>
                <w:sz w:val="16"/>
              </w:rPr>
              <w:t>pouring</w:t>
            </w:r>
          </w:p>
        </w:tc>
        <w:tc>
          <w:tcPr>
            <w:tcW w:w="2280" w:type="dxa"/>
          </w:tcPr>
          <w:p w14:paraId="518527D1" w14:textId="77777777" w:rsidR="00084F36" w:rsidRPr="00EB2BD8" w:rsidRDefault="00084F36">
            <w:pPr>
              <w:pStyle w:val="TableParagraph"/>
              <w:rPr>
                <w:rFonts w:ascii="Times New Roman"/>
                <w:sz w:val="16"/>
              </w:rPr>
            </w:pPr>
          </w:p>
        </w:tc>
        <w:tc>
          <w:tcPr>
            <w:tcW w:w="1079" w:type="dxa"/>
          </w:tcPr>
          <w:p w14:paraId="7C555437" w14:textId="77777777" w:rsidR="00084F36" w:rsidRPr="00EB2BD8" w:rsidRDefault="00084F36">
            <w:pPr>
              <w:pStyle w:val="TableParagraph"/>
              <w:rPr>
                <w:rFonts w:ascii="Times New Roman"/>
                <w:sz w:val="16"/>
              </w:rPr>
            </w:pPr>
          </w:p>
        </w:tc>
        <w:tc>
          <w:tcPr>
            <w:tcW w:w="1176" w:type="dxa"/>
          </w:tcPr>
          <w:p w14:paraId="708CB345" w14:textId="77777777" w:rsidR="00084F36" w:rsidRPr="00EB2BD8" w:rsidRDefault="00084F36">
            <w:pPr>
              <w:pStyle w:val="TableParagraph"/>
              <w:rPr>
                <w:rFonts w:ascii="Times New Roman"/>
                <w:sz w:val="16"/>
              </w:rPr>
            </w:pPr>
          </w:p>
        </w:tc>
      </w:tr>
      <w:tr w:rsidR="00EB2BD8" w:rsidRPr="00EB2BD8" w14:paraId="389DAA5F" w14:textId="77777777">
        <w:trPr>
          <w:trHeight w:val="229"/>
        </w:trPr>
        <w:tc>
          <w:tcPr>
            <w:tcW w:w="1746" w:type="dxa"/>
          </w:tcPr>
          <w:p w14:paraId="330A669C" w14:textId="77777777" w:rsidR="00084F36" w:rsidRPr="00EB2BD8" w:rsidRDefault="00EB2BD8">
            <w:pPr>
              <w:pStyle w:val="TableParagraph"/>
              <w:spacing w:before="19"/>
              <w:ind w:left="113"/>
              <w:rPr>
                <w:sz w:val="16"/>
              </w:rPr>
            </w:pPr>
            <w:r w:rsidRPr="00EB2BD8">
              <w:rPr>
                <w:spacing w:val="-5"/>
                <w:w w:val="105"/>
                <w:sz w:val="16"/>
              </w:rPr>
              <w:t>Ltd</w:t>
            </w:r>
          </w:p>
        </w:tc>
        <w:tc>
          <w:tcPr>
            <w:tcW w:w="1467" w:type="dxa"/>
          </w:tcPr>
          <w:p w14:paraId="310F460A" w14:textId="77777777" w:rsidR="00084F36" w:rsidRPr="00EB2BD8" w:rsidRDefault="00084F36">
            <w:pPr>
              <w:pStyle w:val="TableParagraph"/>
              <w:rPr>
                <w:rFonts w:ascii="Times New Roman"/>
                <w:sz w:val="16"/>
              </w:rPr>
            </w:pPr>
          </w:p>
        </w:tc>
        <w:tc>
          <w:tcPr>
            <w:tcW w:w="2455" w:type="dxa"/>
          </w:tcPr>
          <w:p w14:paraId="31FEBF88" w14:textId="77777777" w:rsidR="00084F36" w:rsidRPr="00EB2BD8" w:rsidRDefault="00EB2BD8">
            <w:pPr>
              <w:pStyle w:val="TableParagraph"/>
              <w:spacing w:before="19"/>
              <w:ind w:left="290"/>
              <w:rPr>
                <w:sz w:val="16"/>
              </w:rPr>
            </w:pPr>
            <w:r w:rsidRPr="00EB2BD8">
              <w:rPr>
                <w:sz w:val="16"/>
              </w:rPr>
              <w:t>in-situ</w:t>
            </w:r>
            <w:r w:rsidRPr="00EB2BD8">
              <w:rPr>
                <w:spacing w:val="-8"/>
                <w:sz w:val="16"/>
              </w:rPr>
              <w:t xml:space="preserve"> </w:t>
            </w:r>
            <w:r w:rsidRPr="00EB2BD8">
              <w:rPr>
                <w:sz w:val="16"/>
              </w:rPr>
              <w:t>concrete</w:t>
            </w:r>
            <w:r w:rsidRPr="00EB2BD8">
              <w:rPr>
                <w:spacing w:val="-7"/>
                <w:sz w:val="16"/>
              </w:rPr>
              <w:t xml:space="preserve"> </w:t>
            </w:r>
            <w:r w:rsidRPr="00EB2BD8">
              <w:rPr>
                <w:spacing w:val="-2"/>
                <w:sz w:val="16"/>
              </w:rPr>
              <w:t>member)</w:t>
            </w:r>
          </w:p>
        </w:tc>
        <w:tc>
          <w:tcPr>
            <w:tcW w:w="2280" w:type="dxa"/>
          </w:tcPr>
          <w:p w14:paraId="15068C57" w14:textId="77777777" w:rsidR="00084F36" w:rsidRPr="00EB2BD8" w:rsidRDefault="00084F36">
            <w:pPr>
              <w:pStyle w:val="TableParagraph"/>
              <w:rPr>
                <w:rFonts w:ascii="Times New Roman"/>
                <w:sz w:val="16"/>
              </w:rPr>
            </w:pPr>
          </w:p>
        </w:tc>
        <w:tc>
          <w:tcPr>
            <w:tcW w:w="1079" w:type="dxa"/>
          </w:tcPr>
          <w:p w14:paraId="3742A778" w14:textId="77777777" w:rsidR="00084F36" w:rsidRPr="00EB2BD8" w:rsidRDefault="00084F36">
            <w:pPr>
              <w:pStyle w:val="TableParagraph"/>
              <w:rPr>
                <w:rFonts w:ascii="Times New Roman"/>
                <w:sz w:val="16"/>
              </w:rPr>
            </w:pPr>
          </w:p>
        </w:tc>
        <w:tc>
          <w:tcPr>
            <w:tcW w:w="1176" w:type="dxa"/>
          </w:tcPr>
          <w:p w14:paraId="131F7379" w14:textId="77777777" w:rsidR="00084F36" w:rsidRPr="00EB2BD8" w:rsidRDefault="00084F36">
            <w:pPr>
              <w:pStyle w:val="TableParagraph"/>
              <w:rPr>
                <w:rFonts w:ascii="Times New Roman"/>
                <w:sz w:val="16"/>
              </w:rPr>
            </w:pPr>
          </w:p>
        </w:tc>
      </w:tr>
      <w:tr w:rsidR="00EB2BD8" w:rsidRPr="00EB2BD8" w14:paraId="2A07E736" w14:textId="77777777">
        <w:trPr>
          <w:trHeight w:val="229"/>
        </w:trPr>
        <w:tc>
          <w:tcPr>
            <w:tcW w:w="1746" w:type="dxa"/>
          </w:tcPr>
          <w:p w14:paraId="139DC7F2" w14:textId="77777777" w:rsidR="00084F36" w:rsidRPr="00EB2BD8" w:rsidRDefault="00084F36">
            <w:pPr>
              <w:pStyle w:val="TableParagraph"/>
              <w:rPr>
                <w:rFonts w:ascii="Times New Roman"/>
                <w:sz w:val="16"/>
              </w:rPr>
            </w:pPr>
          </w:p>
        </w:tc>
        <w:tc>
          <w:tcPr>
            <w:tcW w:w="1467" w:type="dxa"/>
          </w:tcPr>
          <w:p w14:paraId="270C42B1" w14:textId="77777777" w:rsidR="00084F36" w:rsidRPr="00EB2BD8" w:rsidRDefault="00084F36">
            <w:pPr>
              <w:pStyle w:val="TableParagraph"/>
              <w:rPr>
                <w:rFonts w:ascii="Times New Roman"/>
                <w:sz w:val="16"/>
              </w:rPr>
            </w:pPr>
          </w:p>
        </w:tc>
        <w:tc>
          <w:tcPr>
            <w:tcW w:w="2455" w:type="dxa"/>
          </w:tcPr>
          <w:p w14:paraId="1C67477C" w14:textId="77777777" w:rsidR="00084F36" w:rsidRPr="00EB2BD8" w:rsidRDefault="00EB2BD8">
            <w:pPr>
              <w:pStyle w:val="TableParagraph"/>
              <w:spacing w:before="19"/>
              <w:ind w:left="290"/>
              <w:rPr>
                <w:sz w:val="16"/>
              </w:rPr>
            </w:pPr>
            <w:r w:rsidRPr="00EB2BD8">
              <w:rPr>
                <w:spacing w:val="-2"/>
                <w:sz w:val="16"/>
              </w:rPr>
              <w:t>without</w:t>
            </w:r>
            <w:r w:rsidRPr="00EB2BD8">
              <w:rPr>
                <w:spacing w:val="-8"/>
                <w:sz w:val="16"/>
              </w:rPr>
              <w:t xml:space="preserve"> </w:t>
            </w:r>
            <w:r w:rsidRPr="00EB2BD8">
              <w:rPr>
                <w:spacing w:val="-2"/>
                <w:sz w:val="16"/>
              </w:rPr>
              <w:t>delay,</w:t>
            </w:r>
            <w:r w:rsidRPr="00EB2BD8">
              <w:rPr>
                <w:spacing w:val="-8"/>
                <w:sz w:val="16"/>
              </w:rPr>
              <w:t xml:space="preserve"> </w:t>
            </w:r>
            <w:r w:rsidRPr="00EB2BD8">
              <w:rPr>
                <w:spacing w:val="-2"/>
                <w:sz w:val="16"/>
              </w:rPr>
              <w:t>in</w:t>
            </w:r>
            <w:r w:rsidRPr="00EB2BD8">
              <w:rPr>
                <w:spacing w:val="-8"/>
                <w:sz w:val="16"/>
              </w:rPr>
              <w:t xml:space="preserve"> </w:t>
            </w:r>
            <w:r w:rsidRPr="00EB2BD8">
              <w:rPr>
                <w:spacing w:val="-2"/>
                <w:sz w:val="16"/>
              </w:rPr>
              <w:t>respect</w:t>
            </w:r>
            <w:r w:rsidRPr="00EB2BD8">
              <w:rPr>
                <w:spacing w:val="-7"/>
                <w:sz w:val="16"/>
              </w:rPr>
              <w:t xml:space="preserve"> </w:t>
            </w:r>
            <w:r w:rsidRPr="00EB2BD8">
              <w:rPr>
                <w:spacing w:val="-5"/>
                <w:sz w:val="16"/>
              </w:rPr>
              <w:t>of</w:t>
            </w:r>
          </w:p>
        </w:tc>
        <w:tc>
          <w:tcPr>
            <w:tcW w:w="2280" w:type="dxa"/>
          </w:tcPr>
          <w:p w14:paraId="412E28F4" w14:textId="77777777" w:rsidR="00084F36" w:rsidRPr="00EB2BD8" w:rsidRDefault="00084F36">
            <w:pPr>
              <w:pStyle w:val="TableParagraph"/>
              <w:rPr>
                <w:rFonts w:ascii="Times New Roman"/>
                <w:sz w:val="16"/>
              </w:rPr>
            </w:pPr>
          </w:p>
        </w:tc>
        <w:tc>
          <w:tcPr>
            <w:tcW w:w="1079" w:type="dxa"/>
          </w:tcPr>
          <w:p w14:paraId="22E5E85E" w14:textId="77777777" w:rsidR="00084F36" w:rsidRPr="00EB2BD8" w:rsidRDefault="00084F36">
            <w:pPr>
              <w:pStyle w:val="TableParagraph"/>
              <w:rPr>
                <w:rFonts w:ascii="Times New Roman"/>
                <w:sz w:val="16"/>
              </w:rPr>
            </w:pPr>
          </w:p>
        </w:tc>
        <w:tc>
          <w:tcPr>
            <w:tcW w:w="1176" w:type="dxa"/>
          </w:tcPr>
          <w:p w14:paraId="69101BD0" w14:textId="77777777" w:rsidR="00084F36" w:rsidRPr="00EB2BD8" w:rsidRDefault="00084F36">
            <w:pPr>
              <w:pStyle w:val="TableParagraph"/>
              <w:rPr>
                <w:rFonts w:ascii="Times New Roman"/>
                <w:sz w:val="16"/>
              </w:rPr>
            </w:pPr>
          </w:p>
        </w:tc>
      </w:tr>
      <w:tr w:rsidR="00084F36" w:rsidRPr="00EB2BD8" w14:paraId="0201CE6E" w14:textId="77777777">
        <w:trPr>
          <w:trHeight w:val="289"/>
        </w:trPr>
        <w:tc>
          <w:tcPr>
            <w:tcW w:w="1746" w:type="dxa"/>
            <w:tcBorders>
              <w:bottom w:val="single" w:sz="2" w:space="0" w:color="000000"/>
            </w:tcBorders>
          </w:tcPr>
          <w:p w14:paraId="0C3DC4A2" w14:textId="77777777" w:rsidR="00084F36" w:rsidRPr="00EB2BD8" w:rsidRDefault="00084F36">
            <w:pPr>
              <w:pStyle w:val="TableParagraph"/>
              <w:rPr>
                <w:rFonts w:ascii="Times New Roman"/>
                <w:sz w:val="16"/>
              </w:rPr>
            </w:pPr>
          </w:p>
        </w:tc>
        <w:tc>
          <w:tcPr>
            <w:tcW w:w="1467" w:type="dxa"/>
            <w:tcBorders>
              <w:bottom w:val="single" w:sz="2" w:space="0" w:color="000000"/>
            </w:tcBorders>
          </w:tcPr>
          <w:p w14:paraId="38AD2F4D" w14:textId="77777777" w:rsidR="00084F36" w:rsidRPr="00EB2BD8" w:rsidRDefault="00084F36">
            <w:pPr>
              <w:pStyle w:val="TableParagraph"/>
              <w:rPr>
                <w:rFonts w:ascii="Times New Roman"/>
                <w:sz w:val="16"/>
              </w:rPr>
            </w:pPr>
          </w:p>
        </w:tc>
        <w:tc>
          <w:tcPr>
            <w:tcW w:w="2455" w:type="dxa"/>
            <w:tcBorders>
              <w:bottom w:val="single" w:sz="2" w:space="0" w:color="000000"/>
            </w:tcBorders>
          </w:tcPr>
          <w:p w14:paraId="66FC7C81" w14:textId="77777777" w:rsidR="00084F36" w:rsidRPr="00EB2BD8" w:rsidRDefault="00EB2BD8">
            <w:pPr>
              <w:pStyle w:val="TableParagraph"/>
              <w:spacing w:before="19"/>
              <w:ind w:left="290"/>
              <w:rPr>
                <w:sz w:val="16"/>
              </w:rPr>
            </w:pPr>
            <w:r w:rsidRPr="00EB2BD8">
              <w:rPr>
                <w:spacing w:val="-2"/>
                <w:w w:val="105"/>
                <w:sz w:val="16"/>
              </w:rPr>
              <w:t>a</w:t>
            </w:r>
            <w:r w:rsidRPr="00EB2BD8">
              <w:rPr>
                <w:spacing w:val="-12"/>
                <w:w w:val="105"/>
                <w:sz w:val="16"/>
              </w:rPr>
              <w:t xml:space="preserve"> </w:t>
            </w:r>
            <w:r w:rsidRPr="00EB2BD8">
              <w:rPr>
                <w:spacing w:val="-2"/>
                <w:w w:val="105"/>
                <w:sz w:val="16"/>
              </w:rPr>
              <w:t>site</w:t>
            </w:r>
            <w:r w:rsidRPr="00EB2BD8">
              <w:rPr>
                <w:spacing w:val="-12"/>
                <w:w w:val="105"/>
                <w:sz w:val="16"/>
              </w:rPr>
              <w:t xml:space="preserve"> </w:t>
            </w:r>
            <w:r w:rsidRPr="00EB2BD8">
              <w:rPr>
                <w:spacing w:val="-2"/>
                <w:w w:val="105"/>
                <w:sz w:val="16"/>
              </w:rPr>
              <w:t>at</w:t>
            </w:r>
            <w:r w:rsidRPr="00EB2BD8">
              <w:rPr>
                <w:spacing w:val="-12"/>
                <w:w w:val="105"/>
                <w:sz w:val="16"/>
              </w:rPr>
              <w:t xml:space="preserve"> </w:t>
            </w:r>
            <w:r w:rsidRPr="00EB2BD8">
              <w:rPr>
                <w:spacing w:val="-2"/>
                <w:w w:val="105"/>
                <w:sz w:val="16"/>
              </w:rPr>
              <w:t>Coolaroo.</w:t>
            </w:r>
          </w:p>
        </w:tc>
        <w:tc>
          <w:tcPr>
            <w:tcW w:w="2280" w:type="dxa"/>
            <w:tcBorders>
              <w:bottom w:val="single" w:sz="2" w:space="0" w:color="000000"/>
            </w:tcBorders>
          </w:tcPr>
          <w:p w14:paraId="7F415167" w14:textId="77777777" w:rsidR="00084F36" w:rsidRPr="00EB2BD8" w:rsidRDefault="00084F36">
            <w:pPr>
              <w:pStyle w:val="TableParagraph"/>
              <w:rPr>
                <w:rFonts w:ascii="Times New Roman"/>
                <w:sz w:val="16"/>
              </w:rPr>
            </w:pPr>
          </w:p>
        </w:tc>
        <w:tc>
          <w:tcPr>
            <w:tcW w:w="1079" w:type="dxa"/>
            <w:tcBorders>
              <w:bottom w:val="single" w:sz="2" w:space="0" w:color="000000"/>
            </w:tcBorders>
          </w:tcPr>
          <w:p w14:paraId="07DCD5E1"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3E05DD26" w14:textId="77777777" w:rsidR="00084F36" w:rsidRPr="00EB2BD8" w:rsidRDefault="00084F36">
            <w:pPr>
              <w:pStyle w:val="TableParagraph"/>
              <w:rPr>
                <w:rFonts w:ascii="Times New Roman"/>
                <w:sz w:val="16"/>
              </w:rPr>
            </w:pPr>
          </w:p>
        </w:tc>
      </w:tr>
    </w:tbl>
    <w:p w14:paraId="1A58FA5A" w14:textId="77777777" w:rsidR="00084F36" w:rsidRPr="00EB2BD8" w:rsidRDefault="00084F36">
      <w:pPr>
        <w:rPr>
          <w:rFonts w:ascii="Times New Roman"/>
          <w:sz w:val="16"/>
        </w:rPr>
        <w:sectPr w:rsidR="00084F36" w:rsidRPr="00EB2BD8" w:rsidSect="006D75B2">
          <w:footerReference w:type="default" r:id="rId422"/>
          <w:pgSz w:w="11910" w:h="16840"/>
          <w:pgMar w:top="1080" w:right="0" w:bottom="720" w:left="0" w:header="0" w:footer="528" w:gutter="0"/>
          <w:cols w:space="720"/>
        </w:sectPr>
      </w:pPr>
    </w:p>
    <w:p w14:paraId="6288FE80" w14:textId="77777777" w:rsidR="00084F36" w:rsidRPr="00EB2BD8" w:rsidRDefault="00084F36">
      <w:pPr>
        <w:pStyle w:val="BodyText"/>
        <w:rPr>
          <w:sz w:val="20"/>
        </w:rPr>
      </w:pPr>
    </w:p>
    <w:p w14:paraId="3C9860FF" w14:textId="77777777" w:rsidR="00084F36" w:rsidRPr="00EB2BD8" w:rsidRDefault="00084F36">
      <w:pPr>
        <w:pStyle w:val="BodyText"/>
        <w:rPr>
          <w:sz w:val="20"/>
        </w:rPr>
      </w:pPr>
    </w:p>
    <w:p w14:paraId="3CCDF113" w14:textId="77777777" w:rsidR="00084F36" w:rsidRPr="00EB2BD8" w:rsidRDefault="00084F36">
      <w:pPr>
        <w:pStyle w:val="BodyText"/>
        <w:rPr>
          <w:sz w:val="20"/>
        </w:rPr>
      </w:pPr>
    </w:p>
    <w:p w14:paraId="43A648F5" w14:textId="77777777" w:rsidR="00084F36" w:rsidRPr="00EB2BD8" w:rsidRDefault="00084F36">
      <w:pPr>
        <w:pStyle w:val="BodyText"/>
        <w:rPr>
          <w:sz w:val="20"/>
        </w:rPr>
      </w:pPr>
    </w:p>
    <w:p w14:paraId="5D49BDC9" w14:textId="77777777" w:rsidR="00084F36" w:rsidRPr="00EB2BD8" w:rsidRDefault="00084F36">
      <w:pPr>
        <w:pStyle w:val="BodyText"/>
        <w:spacing w:before="6"/>
        <w:rPr>
          <w:sz w:val="23"/>
        </w:rPr>
      </w:pPr>
    </w:p>
    <w:tbl>
      <w:tblPr>
        <w:tblW w:w="0" w:type="auto"/>
        <w:tblInd w:w="857" w:type="dxa"/>
        <w:tblLayout w:type="fixed"/>
        <w:tblCellMar>
          <w:left w:w="0" w:type="dxa"/>
          <w:right w:w="0" w:type="dxa"/>
        </w:tblCellMar>
        <w:tblLook w:val="01E0" w:firstRow="1" w:lastRow="1" w:firstColumn="1" w:lastColumn="1" w:noHBand="0" w:noVBand="0"/>
      </w:tblPr>
      <w:tblGrid>
        <w:gridCol w:w="1749"/>
        <w:gridCol w:w="1460"/>
        <w:gridCol w:w="2457"/>
        <w:gridCol w:w="2277"/>
        <w:gridCol w:w="1078"/>
        <w:gridCol w:w="1175"/>
      </w:tblGrid>
      <w:tr w:rsidR="00EB2BD8" w:rsidRPr="00EB2BD8" w14:paraId="25B54B5E" w14:textId="77777777">
        <w:trPr>
          <w:trHeight w:val="616"/>
        </w:trPr>
        <w:tc>
          <w:tcPr>
            <w:tcW w:w="1749" w:type="dxa"/>
            <w:shd w:val="clear" w:color="auto" w:fill="005F83"/>
          </w:tcPr>
          <w:p w14:paraId="7102BF9A" w14:textId="77777777" w:rsidR="00084F36" w:rsidRPr="00697E0C" w:rsidRDefault="00EB2BD8">
            <w:pPr>
              <w:pStyle w:val="TableParagraph"/>
              <w:spacing w:before="118"/>
              <w:ind w:left="113"/>
              <w:rPr>
                <w:color w:val="FFFFFF" w:themeColor="background1"/>
                <w:sz w:val="16"/>
              </w:rPr>
            </w:pPr>
            <w:r w:rsidRPr="00697E0C">
              <w:rPr>
                <w:color w:val="FFFFFF" w:themeColor="background1"/>
                <w:w w:val="105"/>
                <w:sz w:val="16"/>
              </w:rPr>
              <w:t>Practitioner</w:t>
            </w:r>
            <w:r w:rsidRPr="00697E0C">
              <w:rPr>
                <w:color w:val="FFFFFF" w:themeColor="background1"/>
                <w:spacing w:val="-14"/>
                <w:w w:val="105"/>
                <w:sz w:val="16"/>
              </w:rPr>
              <w:t xml:space="preserve"> </w:t>
            </w:r>
            <w:r w:rsidRPr="00697E0C">
              <w:rPr>
                <w:color w:val="FFFFFF" w:themeColor="background1"/>
                <w:spacing w:val="-4"/>
                <w:w w:val="105"/>
                <w:sz w:val="16"/>
              </w:rPr>
              <w:t>name</w:t>
            </w:r>
          </w:p>
        </w:tc>
        <w:tc>
          <w:tcPr>
            <w:tcW w:w="1460" w:type="dxa"/>
            <w:shd w:val="clear" w:color="auto" w:fill="005F83"/>
          </w:tcPr>
          <w:p w14:paraId="117D7341" w14:textId="77777777" w:rsidR="00084F36" w:rsidRPr="00697E0C" w:rsidRDefault="00EB2BD8">
            <w:pPr>
              <w:pStyle w:val="TableParagraph"/>
              <w:spacing w:before="118" w:line="292" w:lineRule="auto"/>
              <w:ind w:left="121"/>
              <w:rPr>
                <w:color w:val="FFFFFF" w:themeColor="background1"/>
                <w:sz w:val="16"/>
              </w:rPr>
            </w:pPr>
            <w:r w:rsidRPr="00697E0C">
              <w:rPr>
                <w:color w:val="FFFFFF" w:themeColor="background1"/>
                <w:spacing w:val="-2"/>
                <w:sz w:val="16"/>
              </w:rPr>
              <w:t xml:space="preserve">Registration </w:t>
            </w:r>
            <w:r w:rsidRPr="00697E0C">
              <w:rPr>
                <w:color w:val="FFFFFF" w:themeColor="background1"/>
                <w:spacing w:val="-2"/>
                <w:w w:val="105"/>
                <w:sz w:val="16"/>
              </w:rPr>
              <w:t>Number</w:t>
            </w:r>
          </w:p>
        </w:tc>
        <w:tc>
          <w:tcPr>
            <w:tcW w:w="2457" w:type="dxa"/>
            <w:shd w:val="clear" w:color="auto" w:fill="005F83"/>
          </w:tcPr>
          <w:p w14:paraId="14BB4548" w14:textId="77777777" w:rsidR="00084F36" w:rsidRPr="00697E0C" w:rsidRDefault="00EB2BD8">
            <w:pPr>
              <w:pStyle w:val="TableParagraph"/>
              <w:spacing w:before="118"/>
              <w:ind w:left="294"/>
              <w:rPr>
                <w:color w:val="FFFFFF" w:themeColor="background1"/>
                <w:sz w:val="16"/>
              </w:rPr>
            </w:pPr>
            <w:r w:rsidRPr="00697E0C">
              <w:rPr>
                <w:color w:val="FFFFFF" w:themeColor="background1"/>
                <w:spacing w:val="-2"/>
                <w:w w:val="105"/>
                <w:sz w:val="16"/>
              </w:rPr>
              <w:t>Conduct</w:t>
            </w:r>
          </w:p>
        </w:tc>
        <w:tc>
          <w:tcPr>
            <w:tcW w:w="2277" w:type="dxa"/>
            <w:shd w:val="clear" w:color="auto" w:fill="005F83"/>
          </w:tcPr>
          <w:p w14:paraId="6F5D8543" w14:textId="77777777" w:rsidR="00084F36" w:rsidRPr="00697E0C" w:rsidRDefault="00EB2BD8">
            <w:pPr>
              <w:pStyle w:val="TableParagraph"/>
              <w:spacing w:before="118"/>
              <w:ind w:left="116"/>
              <w:rPr>
                <w:color w:val="FFFFFF" w:themeColor="background1"/>
                <w:sz w:val="16"/>
              </w:rPr>
            </w:pPr>
            <w:r w:rsidRPr="00697E0C">
              <w:rPr>
                <w:color w:val="FFFFFF" w:themeColor="background1"/>
                <w:spacing w:val="-2"/>
                <w:sz w:val="16"/>
              </w:rPr>
              <w:t>Result</w:t>
            </w:r>
          </w:p>
        </w:tc>
        <w:tc>
          <w:tcPr>
            <w:tcW w:w="1078" w:type="dxa"/>
            <w:shd w:val="clear" w:color="auto" w:fill="005F83"/>
          </w:tcPr>
          <w:p w14:paraId="71CE5EB0" w14:textId="77777777" w:rsidR="00084F36" w:rsidRPr="00697E0C" w:rsidRDefault="00EB2BD8">
            <w:pPr>
              <w:pStyle w:val="TableParagraph"/>
              <w:spacing w:before="118" w:line="292" w:lineRule="auto"/>
              <w:ind w:left="118" w:right="93"/>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35</w:t>
            </w:r>
          </w:p>
        </w:tc>
        <w:tc>
          <w:tcPr>
            <w:tcW w:w="1175" w:type="dxa"/>
            <w:shd w:val="clear" w:color="auto" w:fill="005F83"/>
          </w:tcPr>
          <w:p w14:paraId="15136FD0" w14:textId="77777777" w:rsidR="00084F36" w:rsidRPr="00697E0C" w:rsidRDefault="00EB2BD8">
            <w:pPr>
              <w:pStyle w:val="TableParagraph"/>
              <w:spacing w:before="118"/>
              <w:ind w:left="117"/>
              <w:rPr>
                <w:color w:val="FFFFFF" w:themeColor="background1"/>
                <w:sz w:val="9"/>
              </w:rPr>
            </w:pPr>
            <w:r w:rsidRPr="00697E0C">
              <w:rPr>
                <w:color w:val="FFFFFF" w:themeColor="background1"/>
                <w:spacing w:val="-2"/>
                <w:w w:val="105"/>
                <w:sz w:val="16"/>
              </w:rPr>
              <w:t>Date</w:t>
            </w:r>
            <w:r w:rsidRPr="00697E0C">
              <w:rPr>
                <w:color w:val="FFFFFF" w:themeColor="background1"/>
                <w:spacing w:val="-2"/>
                <w:w w:val="105"/>
                <w:position w:val="5"/>
                <w:sz w:val="9"/>
              </w:rPr>
              <w:t>36</w:t>
            </w:r>
          </w:p>
        </w:tc>
      </w:tr>
      <w:tr w:rsidR="00EB2BD8" w:rsidRPr="00EB2BD8" w14:paraId="15F0AE50" w14:textId="77777777">
        <w:trPr>
          <w:trHeight w:val="328"/>
        </w:trPr>
        <w:tc>
          <w:tcPr>
            <w:tcW w:w="1749" w:type="dxa"/>
          </w:tcPr>
          <w:p w14:paraId="37190F98" w14:textId="77777777" w:rsidR="00084F36" w:rsidRPr="00EB2BD8" w:rsidRDefault="00EB2BD8">
            <w:pPr>
              <w:pStyle w:val="TableParagraph"/>
              <w:spacing w:before="118"/>
              <w:ind w:left="113"/>
              <w:rPr>
                <w:sz w:val="16"/>
              </w:rPr>
            </w:pPr>
            <w:r w:rsidRPr="00EB2BD8">
              <w:rPr>
                <w:sz w:val="16"/>
              </w:rPr>
              <w:t>Central</w:t>
            </w:r>
            <w:r w:rsidRPr="00EB2BD8">
              <w:rPr>
                <w:spacing w:val="-6"/>
                <w:sz w:val="16"/>
              </w:rPr>
              <w:t xml:space="preserve"> </w:t>
            </w:r>
            <w:r w:rsidRPr="00EB2BD8">
              <w:rPr>
                <w:sz w:val="16"/>
              </w:rPr>
              <w:t>Steel</w:t>
            </w:r>
            <w:r w:rsidRPr="00EB2BD8">
              <w:rPr>
                <w:spacing w:val="-6"/>
                <w:sz w:val="16"/>
              </w:rPr>
              <w:t xml:space="preserve"> </w:t>
            </w:r>
            <w:r w:rsidRPr="00EB2BD8">
              <w:rPr>
                <w:spacing w:val="-2"/>
                <w:sz w:val="16"/>
              </w:rPr>
              <w:t>Build</w:t>
            </w:r>
          </w:p>
        </w:tc>
        <w:tc>
          <w:tcPr>
            <w:tcW w:w="1460" w:type="dxa"/>
          </w:tcPr>
          <w:p w14:paraId="577807C5" w14:textId="77777777" w:rsidR="00084F36" w:rsidRPr="00EB2BD8" w:rsidRDefault="00EB2BD8">
            <w:pPr>
              <w:pStyle w:val="TableParagraph"/>
              <w:spacing w:before="118"/>
              <w:ind w:left="121"/>
              <w:rPr>
                <w:sz w:val="16"/>
              </w:rPr>
            </w:pPr>
            <w:r w:rsidRPr="00EB2BD8">
              <w:rPr>
                <w:spacing w:val="2"/>
                <w:sz w:val="16"/>
              </w:rPr>
              <w:t>CDB-U</w:t>
            </w:r>
            <w:r w:rsidRPr="00EB2BD8">
              <w:rPr>
                <w:spacing w:val="17"/>
                <w:sz w:val="16"/>
              </w:rPr>
              <w:t xml:space="preserve"> </w:t>
            </w:r>
            <w:r w:rsidRPr="00EB2BD8">
              <w:rPr>
                <w:spacing w:val="-2"/>
                <w:sz w:val="16"/>
              </w:rPr>
              <w:t>52836</w:t>
            </w:r>
          </w:p>
        </w:tc>
        <w:tc>
          <w:tcPr>
            <w:tcW w:w="2457" w:type="dxa"/>
          </w:tcPr>
          <w:p w14:paraId="32CEEA55" w14:textId="77777777" w:rsidR="00084F36" w:rsidRPr="00EB2BD8" w:rsidRDefault="00EB2BD8">
            <w:pPr>
              <w:pStyle w:val="TableParagraph"/>
              <w:spacing w:before="118"/>
              <w:ind w:left="294"/>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77" w:type="dxa"/>
          </w:tcPr>
          <w:p w14:paraId="47008995" w14:textId="77777777" w:rsidR="00084F36" w:rsidRPr="00EB2BD8" w:rsidRDefault="00EB2BD8">
            <w:pPr>
              <w:pStyle w:val="TableParagraph"/>
              <w:spacing w:before="118"/>
              <w:ind w:left="116"/>
              <w:rPr>
                <w:sz w:val="16"/>
              </w:rPr>
            </w:pPr>
            <w:r w:rsidRPr="00EB2BD8">
              <w:rPr>
                <w:sz w:val="16"/>
              </w:rPr>
              <w:t>Reprimands</w:t>
            </w:r>
            <w:r w:rsidRPr="00EB2BD8">
              <w:rPr>
                <w:spacing w:val="-2"/>
                <w:sz w:val="16"/>
              </w:rPr>
              <w:t xml:space="preserve"> </w:t>
            </w:r>
            <w:r w:rsidRPr="00EB2BD8">
              <w:rPr>
                <w:spacing w:val="-5"/>
                <w:sz w:val="16"/>
              </w:rPr>
              <w:t>and</w:t>
            </w:r>
          </w:p>
        </w:tc>
        <w:tc>
          <w:tcPr>
            <w:tcW w:w="1078" w:type="dxa"/>
          </w:tcPr>
          <w:p w14:paraId="7AAAF6A3" w14:textId="77777777" w:rsidR="00084F36" w:rsidRPr="00EB2BD8" w:rsidRDefault="00EB2BD8">
            <w:pPr>
              <w:pStyle w:val="TableParagraph"/>
              <w:spacing w:before="118"/>
              <w:ind w:right="107"/>
              <w:jc w:val="right"/>
              <w:rPr>
                <w:sz w:val="16"/>
              </w:rPr>
            </w:pPr>
            <w:r w:rsidRPr="00EB2BD8">
              <w:rPr>
                <w:spacing w:val="-2"/>
                <w:sz w:val="16"/>
              </w:rPr>
              <w:t>$4,000</w:t>
            </w:r>
          </w:p>
        </w:tc>
        <w:tc>
          <w:tcPr>
            <w:tcW w:w="1175" w:type="dxa"/>
          </w:tcPr>
          <w:p w14:paraId="0BC4BF6F" w14:textId="77777777" w:rsidR="00084F36" w:rsidRPr="00EB2BD8" w:rsidRDefault="00EB2BD8">
            <w:pPr>
              <w:pStyle w:val="TableParagraph"/>
              <w:spacing w:before="118"/>
              <w:ind w:left="117"/>
              <w:rPr>
                <w:sz w:val="16"/>
              </w:rPr>
            </w:pPr>
            <w:r w:rsidRPr="00EB2BD8">
              <w:rPr>
                <w:spacing w:val="-2"/>
                <w:w w:val="95"/>
                <w:sz w:val="16"/>
              </w:rPr>
              <w:t>23/08/2022</w:t>
            </w:r>
          </w:p>
        </w:tc>
      </w:tr>
      <w:tr w:rsidR="00EB2BD8" w:rsidRPr="00EB2BD8" w14:paraId="0CED51C1" w14:textId="77777777">
        <w:trPr>
          <w:trHeight w:val="229"/>
        </w:trPr>
        <w:tc>
          <w:tcPr>
            <w:tcW w:w="1749" w:type="dxa"/>
          </w:tcPr>
          <w:p w14:paraId="4D5BF440" w14:textId="77777777" w:rsidR="00084F36" w:rsidRPr="00EB2BD8" w:rsidRDefault="00EB2BD8">
            <w:pPr>
              <w:pStyle w:val="TableParagraph"/>
              <w:spacing w:before="19"/>
              <w:ind w:left="113"/>
              <w:rPr>
                <w:sz w:val="16"/>
              </w:rPr>
            </w:pPr>
            <w:r w:rsidRPr="00EB2BD8">
              <w:rPr>
                <w:w w:val="105"/>
                <w:sz w:val="16"/>
              </w:rPr>
              <w:t>Pty</w:t>
            </w:r>
            <w:r w:rsidRPr="00EB2BD8">
              <w:rPr>
                <w:spacing w:val="-7"/>
                <w:w w:val="105"/>
                <w:sz w:val="16"/>
              </w:rPr>
              <w:t xml:space="preserve"> </w:t>
            </w:r>
            <w:r w:rsidRPr="00EB2BD8">
              <w:rPr>
                <w:spacing w:val="-5"/>
                <w:w w:val="105"/>
                <w:sz w:val="16"/>
              </w:rPr>
              <w:t>Ltd</w:t>
            </w:r>
          </w:p>
        </w:tc>
        <w:tc>
          <w:tcPr>
            <w:tcW w:w="1460" w:type="dxa"/>
          </w:tcPr>
          <w:p w14:paraId="5BB61623" w14:textId="77777777" w:rsidR="00084F36" w:rsidRPr="00EB2BD8" w:rsidRDefault="00084F36">
            <w:pPr>
              <w:pStyle w:val="TableParagraph"/>
              <w:rPr>
                <w:rFonts w:ascii="Times New Roman"/>
                <w:sz w:val="16"/>
              </w:rPr>
            </w:pPr>
          </w:p>
        </w:tc>
        <w:tc>
          <w:tcPr>
            <w:tcW w:w="2457" w:type="dxa"/>
          </w:tcPr>
          <w:p w14:paraId="737C2337" w14:textId="77777777" w:rsidR="00084F36" w:rsidRPr="00EB2BD8" w:rsidRDefault="00EB2BD8">
            <w:pPr>
              <w:pStyle w:val="TableParagraph"/>
              <w:spacing w:before="19"/>
              <w:ind w:left="294"/>
              <w:rPr>
                <w:sz w:val="16"/>
              </w:rPr>
            </w:pPr>
            <w:r w:rsidRPr="00EB2BD8">
              <w:rPr>
                <w:sz w:val="16"/>
              </w:rPr>
              <w:t>mandatory</w:t>
            </w:r>
            <w:r w:rsidRPr="00EB2BD8">
              <w:rPr>
                <w:spacing w:val="14"/>
                <w:sz w:val="16"/>
              </w:rPr>
              <w:t xml:space="preserve"> </w:t>
            </w:r>
            <w:r w:rsidRPr="00EB2BD8">
              <w:rPr>
                <w:spacing w:val="-2"/>
                <w:sz w:val="16"/>
              </w:rPr>
              <w:t>stage</w:t>
            </w:r>
          </w:p>
        </w:tc>
        <w:tc>
          <w:tcPr>
            <w:tcW w:w="2277" w:type="dxa"/>
          </w:tcPr>
          <w:p w14:paraId="7C5FE166" w14:textId="77777777" w:rsidR="00084F36" w:rsidRPr="00EB2BD8" w:rsidRDefault="00EB2BD8">
            <w:pPr>
              <w:pStyle w:val="TableParagraph"/>
              <w:spacing w:before="19"/>
              <w:ind w:left="116"/>
              <w:rPr>
                <w:sz w:val="16"/>
              </w:rPr>
            </w:pPr>
            <w:r w:rsidRPr="00EB2BD8">
              <w:rPr>
                <w:sz w:val="16"/>
              </w:rPr>
              <w:t>aggregate</w:t>
            </w:r>
            <w:r w:rsidRPr="00EB2BD8">
              <w:rPr>
                <w:spacing w:val="5"/>
                <w:sz w:val="16"/>
              </w:rPr>
              <w:t xml:space="preserve"> </w:t>
            </w:r>
            <w:r w:rsidRPr="00EB2BD8">
              <w:rPr>
                <w:sz w:val="16"/>
              </w:rPr>
              <w:t>penalties</w:t>
            </w:r>
            <w:r w:rsidRPr="00EB2BD8">
              <w:rPr>
                <w:spacing w:val="5"/>
                <w:sz w:val="16"/>
              </w:rPr>
              <w:t xml:space="preserve"> </w:t>
            </w:r>
            <w:r w:rsidRPr="00EB2BD8">
              <w:rPr>
                <w:spacing w:val="-5"/>
                <w:sz w:val="16"/>
              </w:rPr>
              <w:t>of</w:t>
            </w:r>
          </w:p>
        </w:tc>
        <w:tc>
          <w:tcPr>
            <w:tcW w:w="1078" w:type="dxa"/>
          </w:tcPr>
          <w:p w14:paraId="0556FFF8" w14:textId="77777777" w:rsidR="00084F36" w:rsidRPr="00EB2BD8" w:rsidRDefault="00084F36">
            <w:pPr>
              <w:pStyle w:val="TableParagraph"/>
              <w:rPr>
                <w:rFonts w:ascii="Times New Roman"/>
                <w:sz w:val="16"/>
              </w:rPr>
            </w:pPr>
          </w:p>
        </w:tc>
        <w:tc>
          <w:tcPr>
            <w:tcW w:w="1175" w:type="dxa"/>
          </w:tcPr>
          <w:p w14:paraId="75A66E95" w14:textId="77777777" w:rsidR="00084F36" w:rsidRPr="00EB2BD8" w:rsidRDefault="00084F36">
            <w:pPr>
              <w:pStyle w:val="TableParagraph"/>
              <w:rPr>
                <w:rFonts w:ascii="Times New Roman"/>
                <w:sz w:val="16"/>
              </w:rPr>
            </w:pPr>
          </w:p>
        </w:tc>
      </w:tr>
      <w:tr w:rsidR="00EB2BD8" w:rsidRPr="00EB2BD8" w14:paraId="6B5D3146" w14:textId="77777777">
        <w:trPr>
          <w:trHeight w:val="230"/>
        </w:trPr>
        <w:tc>
          <w:tcPr>
            <w:tcW w:w="1749" w:type="dxa"/>
          </w:tcPr>
          <w:p w14:paraId="076603E7" w14:textId="77777777" w:rsidR="00084F36" w:rsidRPr="00EB2BD8" w:rsidRDefault="00084F36">
            <w:pPr>
              <w:pStyle w:val="TableParagraph"/>
              <w:rPr>
                <w:rFonts w:ascii="Times New Roman"/>
                <w:sz w:val="16"/>
              </w:rPr>
            </w:pPr>
          </w:p>
        </w:tc>
        <w:tc>
          <w:tcPr>
            <w:tcW w:w="1460" w:type="dxa"/>
          </w:tcPr>
          <w:p w14:paraId="6FB05D87" w14:textId="77777777" w:rsidR="00084F36" w:rsidRPr="00EB2BD8" w:rsidRDefault="00084F36">
            <w:pPr>
              <w:pStyle w:val="TableParagraph"/>
              <w:rPr>
                <w:rFonts w:ascii="Times New Roman"/>
                <w:sz w:val="16"/>
              </w:rPr>
            </w:pPr>
          </w:p>
        </w:tc>
        <w:tc>
          <w:tcPr>
            <w:tcW w:w="2457" w:type="dxa"/>
          </w:tcPr>
          <w:p w14:paraId="5C00EF1D" w14:textId="77777777" w:rsidR="00084F36" w:rsidRPr="00EB2BD8" w:rsidRDefault="00EB2BD8">
            <w:pPr>
              <w:pStyle w:val="TableParagraph"/>
              <w:spacing w:before="19"/>
              <w:ind w:left="294"/>
              <w:rPr>
                <w:sz w:val="16"/>
              </w:rPr>
            </w:pPr>
            <w:r w:rsidRPr="00EB2BD8">
              <w:rPr>
                <w:spacing w:val="-2"/>
                <w:sz w:val="16"/>
              </w:rPr>
              <w:t xml:space="preserve">inspections (3 stages) </w:t>
            </w:r>
            <w:r w:rsidRPr="00EB2BD8">
              <w:rPr>
                <w:spacing w:val="-5"/>
                <w:sz w:val="16"/>
              </w:rPr>
              <w:t>in</w:t>
            </w:r>
          </w:p>
        </w:tc>
        <w:tc>
          <w:tcPr>
            <w:tcW w:w="2277" w:type="dxa"/>
          </w:tcPr>
          <w:p w14:paraId="2AE21B1B" w14:textId="77777777" w:rsidR="00084F36" w:rsidRPr="00EB2BD8" w:rsidRDefault="00EB2BD8">
            <w:pPr>
              <w:pStyle w:val="TableParagraph"/>
              <w:spacing w:before="19"/>
              <w:ind w:left="116"/>
              <w:rPr>
                <w:sz w:val="16"/>
              </w:rPr>
            </w:pPr>
            <w:r w:rsidRPr="00EB2BD8">
              <w:rPr>
                <w:spacing w:val="-2"/>
                <w:sz w:val="16"/>
              </w:rPr>
              <w:t>$4,000.</w:t>
            </w:r>
          </w:p>
        </w:tc>
        <w:tc>
          <w:tcPr>
            <w:tcW w:w="1078" w:type="dxa"/>
          </w:tcPr>
          <w:p w14:paraId="3F36A00B" w14:textId="77777777" w:rsidR="00084F36" w:rsidRPr="00EB2BD8" w:rsidRDefault="00084F36">
            <w:pPr>
              <w:pStyle w:val="TableParagraph"/>
              <w:rPr>
                <w:rFonts w:ascii="Times New Roman"/>
                <w:sz w:val="16"/>
              </w:rPr>
            </w:pPr>
          </w:p>
        </w:tc>
        <w:tc>
          <w:tcPr>
            <w:tcW w:w="1175" w:type="dxa"/>
          </w:tcPr>
          <w:p w14:paraId="2DA6998B" w14:textId="77777777" w:rsidR="00084F36" w:rsidRPr="00EB2BD8" w:rsidRDefault="00084F36">
            <w:pPr>
              <w:pStyle w:val="TableParagraph"/>
              <w:rPr>
                <w:rFonts w:ascii="Times New Roman"/>
                <w:sz w:val="16"/>
              </w:rPr>
            </w:pPr>
          </w:p>
        </w:tc>
      </w:tr>
      <w:tr w:rsidR="00EB2BD8" w:rsidRPr="00EB2BD8" w14:paraId="06A38D46" w14:textId="77777777">
        <w:trPr>
          <w:trHeight w:val="229"/>
        </w:trPr>
        <w:tc>
          <w:tcPr>
            <w:tcW w:w="1749" w:type="dxa"/>
          </w:tcPr>
          <w:p w14:paraId="71384B14" w14:textId="77777777" w:rsidR="00084F36" w:rsidRPr="00EB2BD8" w:rsidRDefault="00084F36">
            <w:pPr>
              <w:pStyle w:val="TableParagraph"/>
              <w:rPr>
                <w:rFonts w:ascii="Times New Roman"/>
                <w:sz w:val="16"/>
              </w:rPr>
            </w:pPr>
          </w:p>
        </w:tc>
        <w:tc>
          <w:tcPr>
            <w:tcW w:w="1460" w:type="dxa"/>
          </w:tcPr>
          <w:p w14:paraId="17A539D3" w14:textId="77777777" w:rsidR="00084F36" w:rsidRPr="00EB2BD8" w:rsidRDefault="00084F36">
            <w:pPr>
              <w:pStyle w:val="TableParagraph"/>
              <w:rPr>
                <w:rFonts w:ascii="Times New Roman"/>
                <w:sz w:val="16"/>
              </w:rPr>
            </w:pPr>
          </w:p>
        </w:tc>
        <w:tc>
          <w:tcPr>
            <w:tcW w:w="2457" w:type="dxa"/>
          </w:tcPr>
          <w:p w14:paraId="38A81B5C" w14:textId="77777777" w:rsidR="00084F36" w:rsidRPr="00EB2BD8" w:rsidRDefault="00EB2BD8">
            <w:pPr>
              <w:pStyle w:val="TableParagraph"/>
              <w:spacing w:before="19"/>
              <w:ind w:left="294"/>
              <w:rPr>
                <w:sz w:val="16"/>
              </w:rPr>
            </w:pPr>
            <w:r w:rsidRPr="00EB2BD8">
              <w:rPr>
                <w:spacing w:val="-2"/>
                <w:sz w:val="16"/>
              </w:rPr>
              <w:t>respect</w:t>
            </w:r>
            <w:r w:rsidRPr="00EB2BD8">
              <w:rPr>
                <w:spacing w:val="-8"/>
                <w:sz w:val="16"/>
              </w:rPr>
              <w:t xml:space="preserve"> </w:t>
            </w:r>
            <w:r w:rsidRPr="00EB2BD8">
              <w:rPr>
                <w:spacing w:val="-2"/>
                <w:sz w:val="16"/>
              </w:rPr>
              <w:t>of</w:t>
            </w:r>
            <w:r w:rsidRPr="00EB2BD8">
              <w:rPr>
                <w:spacing w:val="-7"/>
                <w:sz w:val="16"/>
              </w:rPr>
              <w:t xml:space="preserve"> </w:t>
            </w:r>
            <w:r w:rsidRPr="00EB2BD8">
              <w:rPr>
                <w:spacing w:val="-2"/>
                <w:sz w:val="16"/>
              </w:rPr>
              <w:t>building</w:t>
            </w:r>
            <w:r w:rsidRPr="00EB2BD8">
              <w:rPr>
                <w:spacing w:val="-8"/>
                <w:sz w:val="16"/>
              </w:rPr>
              <w:t xml:space="preserve"> </w:t>
            </w:r>
            <w:r w:rsidRPr="00EB2BD8">
              <w:rPr>
                <w:spacing w:val="-2"/>
                <w:sz w:val="16"/>
              </w:rPr>
              <w:t>work</w:t>
            </w:r>
            <w:r w:rsidRPr="00EB2BD8">
              <w:rPr>
                <w:spacing w:val="-7"/>
                <w:sz w:val="16"/>
              </w:rPr>
              <w:t xml:space="preserve"> </w:t>
            </w:r>
            <w:r w:rsidRPr="00EB2BD8">
              <w:rPr>
                <w:spacing w:val="-5"/>
                <w:sz w:val="16"/>
              </w:rPr>
              <w:t>at</w:t>
            </w:r>
          </w:p>
        </w:tc>
        <w:tc>
          <w:tcPr>
            <w:tcW w:w="2277" w:type="dxa"/>
          </w:tcPr>
          <w:p w14:paraId="242E6BBF" w14:textId="77777777" w:rsidR="00084F36" w:rsidRPr="00EB2BD8" w:rsidRDefault="00084F36">
            <w:pPr>
              <w:pStyle w:val="TableParagraph"/>
              <w:rPr>
                <w:rFonts w:ascii="Times New Roman"/>
                <w:sz w:val="16"/>
              </w:rPr>
            </w:pPr>
          </w:p>
        </w:tc>
        <w:tc>
          <w:tcPr>
            <w:tcW w:w="1078" w:type="dxa"/>
          </w:tcPr>
          <w:p w14:paraId="23E83144" w14:textId="77777777" w:rsidR="00084F36" w:rsidRPr="00EB2BD8" w:rsidRDefault="00084F36">
            <w:pPr>
              <w:pStyle w:val="TableParagraph"/>
              <w:rPr>
                <w:rFonts w:ascii="Times New Roman"/>
                <w:sz w:val="16"/>
              </w:rPr>
            </w:pPr>
          </w:p>
        </w:tc>
        <w:tc>
          <w:tcPr>
            <w:tcW w:w="1175" w:type="dxa"/>
          </w:tcPr>
          <w:p w14:paraId="1DB6BDFE" w14:textId="77777777" w:rsidR="00084F36" w:rsidRPr="00EB2BD8" w:rsidRDefault="00084F36">
            <w:pPr>
              <w:pStyle w:val="TableParagraph"/>
              <w:rPr>
                <w:rFonts w:ascii="Times New Roman"/>
                <w:sz w:val="16"/>
              </w:rPr>
            </w:pPr>
          </w:p>
        </w:tc>
      </w:tr>
      <w:tr w:rsidR="00EB2BD8" w:rsidRPr="00EB2BD8" w14:paraId="347A8D66" w14:textId="77777777">
        <w:trPr>
          <w:trHeight w:val="285"/>
        </w:trPr>
        <w:tc>
          <w:tcPr>
            <w:tcW w:w="1749" w:type="dxa"/>
            <w:tcBorders>
              <w:bottom w:val="single" w:sz="2" w:space="0" w:color="000000"/>
            </w:tcBorders>
          </w:tcPr>
          <w:p w14:paraId="4B6F5B4B" w14:textId="77777777" w:rsidR="00084F36" w:rsidRPr="00EB2BD8" w:rsidRDefault="00084F36">
            <w:pPr>
              <w:pStyle w:val="TableParagraph"/>
              <w:rPr>
                <w:rFonts w:ascii="Times New Roman"/>
                <w:sz w:val="16"/>
              </w:rPr>
            </w:pPr>
          </w:p>
        </w:tc>
        <w:tc>
          <w:tcPr>
            <w:tcW w:w="1460" w:type="dxa"/>
            <w:tcBorders>
              <w:bottom w:val="single" w:sz="2" w:space="0" w:color="000000"/>
            </w:tcBorders>
          </w:tcPr>
          <w:p w14:paraId="0A0E342D" w14:textId="77777777" w:rsidR="00084F36" w:rsidRPr="00EB2BD8" w:rsidRDefault="00084F36">
            <w:pPr>
              <w:pStyle w:val="TableParagraph"/>
              <w:rPr>
                <w:rFonts w:ascii="Times New Roman"/>
                <w:sz w:val="16"/>
              </w:rPr>
            </w:pPr>
          </w:p>
        </w:tc>
        <w:tc>
          <w:tcPr>
            <w:tcW w:w="2457" w:type="dxa"/>
            <w:tcBorders>
              <w:bottom w:val="single" w:sz="2" w:space="0" w:color="000000"/>
            </w:tcBorders>
          </w:tcPr>
          <w:p w14:paraId="5DF45359" w14:textId="77777777" w:rsidR="00084F36" w:rsidRPr="00EB2BD8" w:rsidRDefault="00EB2BD8">
            <w:pPr>
              <w:pStyle w:val="TableParagraph"/>
              <w:spacing w:before="19"/>
              <w:ind w:left="294"/>
              <w:rPr>
                <w:sz w:val="16"/>
              </w:rPr>
            </w:pPr>
            <w:r w:rsidRPr="00EB2BD8">
              <w:rPr>
                <w:spacing w:val="-2"/>
                <w:sz w:val="16"/>
              </w:rPr>
              <w:t>Glenalbyn.</w:t>
            </w:r>
          </w:p>
        </w:tc>
        <w:tc>
          <w:tcPr>
            <w:tcW w:w="2277" w:type="dxa"/>
            <w:tcBorders>
              <w:bottom w:val="single" w:sz="2" w:space="0" w:color="000000"/>
            </w:tcBorders>
          </w:tcPr>
          <w:p w14:paraId="012E7599"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6E621026"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43126A08" w14:textId="77777777" w:rsidR="00084F36" w:rsidRPr="00EB2BD8" w:rsidRDefault="00084F36">
            <w:pPr>
              <w:pStyle w:val="TableParagraph"/>
              <w:rPr>
                <w:rFonts w:ascii="Times New Roman"/>
                <w:sz w:val="16"/>
              </w:rPr>
            </w:pPr>
          </w:p>
        </w:tc>
      </w:tr>
      <w:tr w:rsidR="00EB2BD8" w:rsidRPr="00EB2BD8" w14:paraId="1E5295A1" w14:textId="77777777">
        <w:trPr>
          <w:trHeight w:val="325"/>
        </w:trPr>
        <w:tc>
          <w:tcPr>
            <w:tcW w:w="1749" w:type="dxa"/>
            <w:tcBorders>
              <w:top w:val="single" w:sz="2" w:space="0" w:color="000000"/>
            </w:tcBorders>
          </w:tcPr>
          <w:p w14:paraId="5C8F4963" w14:textId="77777777" w:rsidR="00084F36" w:rsidRPr="00EB2BD8" w:rsidRDefault="00EB2BD8">
            <w:pPr>
              <w:pStyle w:val="TableParagraph"/>
              <w:spacing w:before="115"/>
              <w:ind w:left="113"/>
              <w:rPr>
                <w:sz w:val="16"/>
              </w:rPr>
            </w:pPr>
            <w:r w:rsidRPr="00EB2BD8">
              <w:rPr>
                <w:sz w:val="16"/>
              </w:rPr>
              <w:t>City</w:t>
            </w:r>
            <w:r w:rsidRPr="00EB2BD8">
              <w:rPr>
                <w:spacing w:val="-6"/>
                <w:sz w:val="16"/>
              </w:rPr>
              <w:t xml:space="preserve"> </w:t>
            </w:r>
            <w:r w:rsidRPr="00EB2BD8">
              <w:rPr>
                <w:sz w:val="16"/>
              </w:rPr>
              <w:t>Central</w:t>
            </w:r>
            <w:r w:rsidRPr="00EB2BD8">
              <w:rPr>
                <w:spacing w:val="-5"/>
                <w:sz w:val="16"/>
              </w:rPr>
              <w:t xml:space="preserve"> </w:t>
            </w:r>
            <w:r w:rsidRPr="00EB2BD8">
              <w:rPr>
                <w:spacing w:val="-2"/>
                <w:sz w:val="16"/>
              </w:rPr>
              <w:t>Homes</w:t>
            </w:r>
          </w:p>
        </w:tc>
        <w:tc>
          <w:tcPr>
            <w:tcW w:w="1460" w:type="dxa"/>
            <w:tcBorders>
              <w:top w:val="single" w:sz="2" w:space="0" w:color="000000"/>
            </w:tcBorders>
          </w:tcPr>
          <w:p w14:paraId="7FFF31CE" w14:textId="77777777" w:rsidR="00084F36" w:rsidRPr="00EB2BD8" w:rsidRDefault="00EB2BD8">
            <w:pPr>
              <w:pStyle w:val="TableParagraph"/>
              <w:spacing w:before="115"/>
              <w:ind w:left="121"/>
              <w:rPr>
                <w:sz w:val="16"/>
              </w:rPr>
            </w:pPr>
            <w:r w:rsidRPr="00EB2BD8">
              <w:rPr>
                <w:spacing w:val="2"/>
                <w:sz w:val="16"/>
              </w:rPr>
              <w:t>CDB-U</w:t>
            </w:r>
            <w:r w:rsidRPr="00EB2BD8">
              <w:rPr>
                <w:spacing w:val="17"/>
                <w:sz w:val="16"/>
              </w:rPr>
              <w:t xml:space="preserve"> </w:t>
            </w:r>
            <w:r w:rsidRPr="00EB2BD8">
              <w:rPr>
                <w:spacing w:val="-2"/>
                <w:sz w:val="16"/>
              </w:rPr>
              <w:t>58347</w:t>
            </w:r>
          </w:p>
        </w:tc>
        <w:tc>
          <w:tcPr>
            <w:tcW w:w="2457" w:type="dxa"/>
            <w:tcBorders>
              <w:top w:val="single" w:sz="2" w:space="0" w:color="000000"/>
            </w:tcBorders>
          </w:tcPr>
          <w:p w14:paraId="7C2699AD" w14:textId="77777777" w:rsidR="00084F36" w:rsidRPr="00EB2BD8" w:rsidRDefault="00EB2BD8">
            <w:pPr>
              <w:pStyle w:val="TableParagraph"/>
              <w:spacing w:before="115"/>
              <w:ind w:left="294"/>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77" w:type="dxa"/>
            <w:tcBorders>
              <w:top w:val="single" w:sz="2" w:space="0" w:color="000000"/>
            </w:tcBorders>
          </w:tcPr>
          <w:p w14:paraId="6FE28D23" w14:textId="77777777" w:rsidR="00084F36" w:rsidRPr="00EB2BD8" w:rsidRDefault="00EB2BD8">
            <w:pPr>
              <w:pStyle w:val="TableParagraph"/>
              <w:spacing w:before="115"/>
              <w:ind w:left="116"/>
              <w:rPr>
                <w:sz w:val="16"/>
              </w:rPr>
            </w:pPr>
            <w:r w:rsidRPr="00EB2BD8">
              <w:rPr>
                <w:sz w:val="16"/>
              </w:rPr>
              <w:t>Reprimands</w:t>
            </w:r>
            <w:r w:rsidRPr="00EB2BD8">
              <w:rPr>
                <w:spacing w:val="-2"/>
                <w:sz w:val="16"/>
              </w:rPr>
              <w:t xml:space="preserve"> </w:t>
            </w:r>
            <w:r w:rsidRPr="00EB2BD8">
              <w:rPr>
                <w:spacing w:val="-5"/>
                <w:sz w:val="16"/>
              </w:rPr>
              <w:t>and</w:t>
            </w:r>
          </w:p>
        </w:tc>
        <w:tc>
          <w:tcPr>
            <w:tcW w:w="1078" w:type="dxa"/>
            <w:tcBorders>
              <w:top w:val="single" w:sz="2" w:space="0" w:color="000000"/>
            </w:tcBorders>
          </w:tcPr>
          <w:p w14:paraId="614D6B54" w14:textId="77777777" w:rsidR="00084F36" w:rsidRPr="00EB2BD8" w:rsidRDefault="00EB2BD8">
            <w:pPr>
              <w:pStyle w:val="TableParagraph"/>
              <w:spacing w:before="115"/>
              <w:ind w:right="107"/>
              <w:jc w:val="right"/>
              <w:rPr>
                <w:sz w:val="16"/>
              </w:rPr>
            </w:pPr>
            <w:r w:rsidRPr="00EB2BD8">
              <w:rPr>
                <w:spacing w:val="-2"/>
                <w:sz w:val="16"/>
              </w:rPr>
              <w:t>$3,000</w:t>
            </w:r>
          </w:p>
        </w:tc>
        <w:tc>
          <w:tcPr>
            <w:tcW w:w="1175" w:type="dxa"/>
            <w:tcBorders>
              <w:top w:val="single" w:sz="2" w:space="0" w:color="000000"/>
            </w:tcBorders>
          </w:tcPr>
          <w:p w14:paraId="721B59D8" w14:textId="77777777" w:rsidR="00084F36" w:rsidRPr="00EB2BD8" w:rsidRDefault="00EB2BD8">
            <w:pPr>
              <w:pStyle w:val="TableParagraph"/>
              <w:spacing w:before="115"/>
              <w:ind w:left="117"/>
              <w:rPr>
                <w:sz w:val="16"/>
              </w:rPr>
            </w:pPr>
            <w:r w:rsidRPr="00EB2BD8">
              <w:rPr>
                <w:spacing w:val="-2"/>
                <w:w w:val="85"/>
                <w:sz w:val="16"/>
              </w:rPr>
              <w:t>18/11/2022</w:t>
            </w:r>
          </w:p>
        </w:tc>
      </w:tr>
      <w:tr w:rsidR="00EB2BD8" w:rsidRPr="00EB2BD8" w14:paraId="20C6A0A9" w14:textId="77777777">
        <w:trPr>
          <w:trHeight w:val="229"/>
        </w:trPr>
        <w:tc>
          <w:tcPr>
            <w:tcW w:w="1749" w:type="dxa"/>
          </w:tcPr>
          <w:p w14:paraId="6142F32A" w14:textId="77777777" w:rsidR="00084F36" w:rsidRPr="00EB2BD8" w:rsidRDefault="00EB2BD8">
            <w:pPr>
              <w:pStyle w:val="TableParagraph"/>
              <w:spacing w:before="19"/>
              <w:ind w:left="113"/>
              <w:rPr>
                <w:sz w:val="16"/>
              </w:rPr>
            </w:pPr>
            <w:r w:rsidRPr="00EB2BD8">
              <w:rPr>
                <w:w w:val="105"/>
                <w:sz w:val="16"/>
              </w:rPr>
              <w:t>Pty</w:t>
            </w:r>
            <w:r w:rsidRPr="00EB2BD8">
              <w:rPr>
                <w:spacing w:val="-7"/>
                <w:w w:val="105"/>
                <w:sz w:val="16"/>
              </w:rPr>
              <w:t xml:space="preserve"> </w:t>
            </w:r>
            <w:r w:rsidRPr="00EB2BD8">
              <w:rPr>
                <w:spacing w:val="-5"/>
                <w:w w:val="105"/>
                <w:sz w:val="16"/>
              </w:rPr>
              <w:t>Ltd</w:t>
            </w:r>
          </w:p>
        </w:tc>
        <w:tc>
          <w:tcPr>
            <w:tcW w:w="1460" w:type="dxa"/>
          </w:tcPr>
          <w:p w14:paraId="60777C81" w14:textId="77777777" w:rsidR="00084F36" w:rsidRPr="00EB2BD8" w:rsidRDefault="00084F36">
            <w:pPr>
              <w:pStyle w:val="TableParagraph"/>
              <w:rPr>
                <w:rFonts w:ascii="Times New Roman"/>
                <w:sz w:val="16"/>
              </w:rPr>
            </w:pPr>
          </w:p>
        </w:tc>
        <w:tc>
          <w:tcPr>
            <w:tcW w:w="2457" w:type="dxa"/>
          </w:tcPr>
          <w:p w14:paraId="62F0506E" w14:textId="77777777" w:rsidR="00084F36" w:rsidRPr="00EB2BD8" w:rsidRDefault="00EB2BD8">
            <w:pPr>
              <w:pStyle w:val="TableParagraph"/>
              <w:spacing w:before="19"/>
              <w:ind w:left="294"/>
              <w:rPr>
                <w:sz w:val="16"/>
              </w:rPr>
            </w:pPr>
            <w:r w:rsidRPr="00EB2BD8">
              <w:rPr>
                <w:sz w:val="16"/>
              </w:rPr>
              <w:t>mandatory</w:t>
            </w:r>
            <w:r w:rsidRPr="00EB2BD8">
              <w:rPr>
                <w:spacing w:val="14"/>
                <w:sz w:val="16"/>
              </w:rPr>
              <w:t xml:space="preserve"> </w:t>
            </w:r>
            <w:r w:rsidRPr="00EB2BD8">
              <w:rPr>
                <w:spacing w:val="-2"/>
                <w:sz w:val="16"/>
              </w:rPr>
              <w:t>stage</w:t>
            </w:r>
          </w:p>
        </w:tc>
        <w:tc>
          <w:tcPr>
            <w:tcW w:w="2277" w:type="dxa"/>
          </w:tcPr>
          <w:p w14:paraId="384A778F" w14:textId="77777777" w:rsidR="00084F36" w:rsidRPr="00EB2BD8" w:rsidRDefault="00EB2BD8">
            <w:pPr>
              <w:pStyle w:val="TableParagraph"/>
              <w:spacing w:before="19"/>
              <w:ind w:left="116"/>
              <w:rPr>
                <w:sz w:val="16"/>
              </w:rPr>
            </w:pPr>
            <w:r w:rsidRPr="00EB2BD8">
              <w:rPr>
                <w:sz w:val="16"/>
              </w:rPr>
              <w:t>aggregate</w:t>
            </w:r>
            <w:r w:rsidRPr="00EB2BD8">
              <w:rPr>
                <w:spacing w:val="5"/>
                <w:sz w:val="16"/>
              </w:rPr>
              <w:t xml:space="preserve"> </w:t>
            </w:r>
            <w:r w:rsidRPr="00EB2BD8">
              <w:rPr>
                <w:sz w:val="16"/>
              </w:rPr>
              <w:t>penalties</w:t>
            </w:r>
            <w:r w:rsidRPr="00EB2BD8">
              <w:rPr>
                <w:spacing w:val="5"/>
                <w:sz w:val="16"/>
              </w:rPr>
              <w:t xml:space="preserve"> </w:t>
            </w:r>
            <w:r w:rsidRPr="00EB2BD8">
              <w:rPr>
                <w:spacing w:val="-5"/>
                <w:sz w:val="16"/>
              </w:rPr>
              <w:t>of</w:t>
            </w:r>
          </w:p>
        </w:tc>
        <w:tc>
          <w:tcPr>
            <w:tcW w:w="1078" w:type="dxa"/>
          </w:tcPr>
          <w:p w14:paraId="1BD97C7F" w14:textId="77777777" w:rsidR="00084F36" w:rsidRPr="00EB2BD8" w:rsidRDefault="00084F36">
            <w:pPr>
              <w:pStyle w:val="TableParagraph"/>
              <w:rPr>
                <w:rFonts w:ascii="Times New Roman"/>
                <w:sz w:val="16"/>
              </w:rPr>
            </w:pPr>
          </w:p>
        </w:tc>
        <w:tc>
          <w:tcPr>
            <w:tcW w:w="1175" w:type="dxa"/>
          </w:tcPr>
          <w:p w14:paraId="0189DBEC" w14:textId="77777777" w:rsidR="00084F36" w:rsidRPr="00EB2BD8" w:rsidRDefault="00084F36">
            <w:pPr>
              <w:pStyle w:val="TableParagraph"/>
              <w:rPr>
                <w:rFonts w:ascii="Times New Roman"/>
                <w:sz w:val="16"/>
              </w:rPr>
            </w:pPr>
          </w:p>
        </w:tc>
      </w:tr>
      <w:tr w:rsidR="00EB2BD8" w:rsidRPr="00EB2BD8" w14:paraId="4C4C6A91" w14:textId="77777777">
        <w:trPr>
          <w:trHeight w:val="230"/>
        </w:trPr>
        <w:tc>
          <w:tcPr>
            <w:tcW w:w="1749" w:type="dxa"/>
          </w:tcPr>
          <w:p w14:paraId="7F0E4883" w14:textId="77777777" w:rsidR="00084F36" w:rsidRPr="00EB2BD8" w:rsidRDefault="00084F36">
            <w:pPr>
              <w:pStyle w:val="TableParagraph"/>
              <w:rPr>
                <w:rFonts w:ascii="Times New Roman"/>
                <w:sz w:val="16"/>
              </w:rPr>
            </w:pPr>
          </w:p>
        </w:tc>
        <w:tc>
          <w:tcPr>
            <w:tcW w:w="1460" w:type="dxa"/>
          </w:tcPr>
          <w:p w14:paraId="6200BC1E" w14:textId="77777777" w:rsidR="00084F36" w:rsidRPr="00EB2BD8" w:rsidRDefault="00084F36">
            <w:pPr>
              <w:pStyle w:val="TableParagraph"/>
              <w:rPr>
                <w:rFonts w:ascii="Times New Roman"/>
                <w:sz w:val="16"/>
              </w:rPr>
            </w:pPr>
          </w:p>
        </w:tc>
        <w:tc>
          <w:tcPr>
            <w:tcW w:w="2457" w:type="dxa"/>
          </w:tcPr>
          <w:p w14:paraId="513DAA22" w14:textId="77777777" w:rsidR="00084F36" w:rsidRPr="00EB2BD8" w:rsidRDefault="00EB2BD8">
            <w:pPr>
              <w:pStyle w:val="TableParagraph"/>
              <w:spacing w:before="19"/>
              <w:ind w:left="294"/>
              <w:rPr>
                <w:sz w:val="16"/>
              </w:rPr>
            </w:pPr>
            <w:r w:rsidRPr="00EB2BD8">
              <w:rPr>
                <w:spacing w:val="-4"/>
                <w:sz w:val="16"/>
              </w:rPr>
              <w:t>inspections</w:t>
            </w:r>
            <w:r w:rsidRPr="00EB2BD8">
              <w:rPr>
                <w:sz w:val="16"/>
              </w:rPr>
              <w:t xml:space="preserve"> </w:t>
            </w:r>
            <w:r w:rsidRPr="00EB2BD8">
              <w:rPr>
                <w:spacing w:val="-4"/>
                <w:sz w:val="16"/>
              </w:rPr>
              <w:t>(2</w:t>
            </w:r>
            <w:r w:rsidRPr="00EB2BD8">
              <w:rPr>
                <w:sz w:val="16"/>
              </w:rPr>
              <w:t xml:space="preserve"> </w:t>
            </w:r>
            <w:r w:rsidRPr="00EB2BD8">
              <w:rPr>
                <w:spacing w:val="-4"/>
                <w:sz w:val="16"/>
              </w:rPr>
              <w:t>stages)</w:t>
            </w:r>
          </w:p>
        </w:tc>
        <w:tc>
          <w:tcPr>
            <w:tcW w:w="2277" w:type="dxa"/>
          </w:tcPr>
          <w:p w14:paraId="45B4AF05" w14:textId="77777777" w:rsidR="00084F36" w:rsidRPr="00EB2BD8" w:rsidRDefault="00EB2BD8">
            <w:pPr>
              <w:pStyle w:val="TableParagraph"/>
              <w:spacing w:before="19"/>
              <w:ind w:left="116"/>
              <w:rPr>
                <w:sz w:val="16"/>
              </w:rPr>
            </w:pPr>
            <w:r w:rsidRPr="00EB2BD8">
              <w:rPr>
                <w:spacing w:val="-2"/>
                <w:sz w:val="16"/>
              </w:rPr>
              <w:t>$3,000.</w:t>
            </w:r>
          </w:p>
        </w:tc>
        <w:tc>
          <w:tcPr>
            <w:tcW w:w="1078" w:type="dxa"/>
          </w:tcPr>
          <w:p w14:paraId="3FAB3665" w14:textId="77777777" w:rsidR="00084F36" w:rsidRPr="00EB2BD8" w:rsidRDefault="00084F36">
            <w:pPr>
              <w:pStyle w:val="TableParagraph"/>
              <w:rPr>
                <w:rFonts w:ascii="Times New Roman"/>
                <w:sz w:val="16"/>
              </w:rPr>
            </w:pPr>
          </w:p>
        </w:tc>
        <w:tc>
          <w:tcPr>
            <w:tcW w:w="1175" w:type="dxa"/>
          </w:tcPr>
          <w:p w14:paraId="2652A9E5" w14:textId="77777777" w:rsidR="00084F36" w:rsidRPr="00EB2BD8" w:rsidRDefault="00084F36">
            <w:pPr>
              <w:pStyle w:val="TableParagraph"/>
              <w:rPr>
                <w:rFonts w:ascii="Times New Roman"/>
                <w:sz w:val="16"/>
              </w:rPr>
            </w:pPr>
          </w:p>
        </w:tc>
      </w:tr>
      <w:tr w:rsidR="00EB2BD8" w:rsidRPr="00EB2BD8" w14:paraId="562201C8" w14:textId="77777777">
        <w:trPr>
          <w:trHeight w:val="229"/>
        </w:trPr>
        <w:tc>
          <w:tcPr>
            <w:tcW w:w="1749" w:type="dxa"/>
          </w:tcPr>
          <w:p w14:paraId="2AA1153E" w14:textId="77777777" w:rsidR="00084F36" w:rsidRPr="00EB2BD8" w:rsidRDefault="00084F36">
            <w:pPr>
              <w:pStyle w:val="TableParagraph"/>
              <w:rPr>
                <w:rFonts w:ascii="Times New Roman"/>
                <w:sz w:val="16"/>
              </w:rPr>
            </w:pPr>
          </w:p>
        </w:tc>
        <w:tc>
          <w:tcPr>
            <w:tcW w:w="1460" w:type="dxa"/>
          </w:tcPr>
          <w:p w14:paraId="00B8B9D4" w14:textId="77777777" w:rsidR="00084F36" w:rsidRPr="00EB2BD8" w:rsidRDefault="00084F36">
            <w:pPr>
              <w:pStyle w:val="TableParagraph"/>
              <w:rPr>
                <w:rFonts w:ascii="Times New Roman"/>
                <w:sz w:val="16"/>
              </w:rPr>
            </w:pPr>
          </w:p>
        </w:tc>
        <w:tc>
          <w:tcPr>
            <w:tcW w:w="2457" w:type="dxa"/>
          </w:tcPr>
          <w:p w14:paraId="49BDA65F" w14:textId="77777777" w:rsidR="00084F36" w:rsidRPr="00EB2BD8" w:rsidRDefault="00EB2BD8">
            <w:pPr>
              <w:pStyle w:val="TableParagraph"/>
              <w:spacing w:before="19"/>
              <w:ind w:left="294"/>
              <w:rPr>
                <w:sz w:val="16"/>
              </w:rPr>
            </w:pPr>
            <w:r w:rsidRPr="00EB2BD8">
              <w:rPr>
                <w:sz w:val="16"/>
              </w:rPr>
              <w:t>in</w:t>
            </w:r>
            <w:r w:rsidRPr="00EB2BD8">
              <w:rPr>
                <w:spacing w:val="-10"/>
                <w:sz w:val="16"/>
              </w:rPr>
              <w:t xml:space="preserve"> </w:t>
            </w:r>
            <w:r w:rsidRPr="00EB2BD8">
              <w:rPr>
                <w:sz w:val="16"/>
              </w:rPr>
              <w:t>respect</w:t>
            </w:r>
            <w:r w:rsidRPr="00EB2BD8">
              <w:rPr>
                <w:spacing w:val="-9"/>
                <w:sz w:val="16"/>
              </w:rPr>
              <w:t xml:space="preserve"> </w:t>
            </w:r>
            <w:r w:rsidRPr="00EB2BD8">
              <w:rPr>
                <w:sz w:val="16"/>
              </w:rPr>
              <w:t>of</w:t>
            </w:r>
            <w:r w:rsidRPr="00EB2BD8">
              <w:rPr>
                <w:spacing w:val="-9"/>
                <w:sz w:val="16"/>
              </w:rPr>
              <w:t xml:space="preserve"> </w:t>
            </w:r>
            <w:r w:rsidRPr="00EB2BD8">
              <w:rPr>
                <w:sz w:val="16"/>
              </w:rPr>
              <w:t>a</w:t>
            </w:r>
            <w:r w:rsidRPr="00EB2BD8">
              <w:rPr>
                <w:spacing w:val="-9"/>
                <w:sz w:val="16"/>
              </w:rPr>
              <w:t xml:space="preserve"> </w:t>
            </w:r>
            <w:r w:rsidRPr="00EB2BD8">
              <w:rPr>
                <w:sz w:val="16"/>
              </w:rPr>
              <w:t>site</w:t>
            </w:r>
            <w:r w:rsidRPr="00EB2BD8">
              <w:rPr>
                <w:spacing w:val="-9"/>
                <w:sz w:val="16"/>
              </w:rPr>
              <w:t xml:space="preserve"> </w:t>
            </w:r>
            <w:r w:rsidRPr="00EB2BD8">
              <w:rPr>
                <w:sz w:val="16"/>
              </w:rPr>
              <w:t>at</w:t>
            </w:r>
            <w:r w:rsidRPr="00EB2BD8">
              <w:rPr>
                <w:spacing w:val="-9"/>
                <w:sz w:val="16"/>
              </w:rPr>
              <w:t xml:space="preserve"> </w:t>
            </w:r>
            <w:r w:rsidRPr="00EB2BD8">
              <w:rPr>
                <w:spacing w:val="-5"/>
                <w:sz w:val="16"/>
              </w:rPr>
              <w:t>St</w:t>
            </w:r>
          </w:p>
        </w:tc>
        <w:tc>
          <w:tcPr>
            <w:tcW w:w="2277" w:type="dxa"/>
          </w:tcPr>
          <w:p w14:paraId="0BA478BC" w14:textId="77777777" w:rsidR="00084F36" w:rsidRPr="00EB2BD8" w:rsidRDefault="00084F36">
            <w:pPr>
              <w:pStyle w:val="TableParagraph"/>
              <w:rPr>
                <w:rFonts w:ascii="Times New Roman"/>
                <w:sz w:val="16"/>
              </w:rPr>
            </w:pPr>
          </w:p>
        </w:tc>
        <w:tc>
          <w:tcPr>
            <w:tcW w:w="1078" w:type="dxa"/>
          </w:tcPr>
          <w:p w14:paraId="3FB88AA8" w14:textId="77777777" w:rsidR="00084F36" w:rsidRPr="00EB2BD8" w:rsidRDefault="00084F36">
            <w:pPr>
              <w:pStyle w:val="TableParagraph"/>
              <w:rPr>
                <w:rFonts w:ascii="Times New Roman"/>
                <w:sz w:val="16"/>
              </w:rPr>
            </w:pPr>
          </w:p>
        </w:tc>
        <w:tc>
          <w:tcPr>
            <w:tcW w:w="1175" w:type="dxa"/>
          </w:tcPr>
          <w:p w14:paraId="25AC1803" w14:textId="77777777" w:rsidR="00084F36" w:rsidRPr="00EB2BD8" w:rsidRDefault="00084F36">
            <w:pPr>
              <w:pStyle w:val="TableParagraph"/>
              <w:rPr>
                <w:rFonts w:ascii="Times New Roman"/>
                <w:sz w:val="16"/>
              </w:rPr>
            </w:pPr>
          </w:p>
        </w:tc>
      </w:tr>
      <w:tr w:rsidR="00EB2BD8" w:rsidRPr="00EB2BD8" w14:paraId="35515F79" w14:textId="77777777">
        <w:trPr>
          <w:trHeight w:val="285"/>
        </w:trPr>
        <w:tc>
          <w:tcPr>
            <w:tcW w:w="1749" w:type="dxa"/>
            <w:tcBorders>
              <w:bottom w:val="single" w:sz="2" w:space="0" w:color="000000"/>
            </w:tcBorders>
          </w:tcPr>
          <w:p w14:paraId="71AB3590" w14:textId="77777777" w:rsidR="00084F36" w:rsidRPr="00EB2BD8" w:rsidRDefault="00084F36">
            <w:pPr>
              <w:pStyle w:val="TableParagraph"/>
              <w:rPr>
                <w:rFonts w:ascii="Times New Roman"/>
                <w:sz w:val="16"/>
              </w:rPr>
            </w:pPr>
          </w:p>
        </w:tc>
        <w:tc>
          <w:tcPr>
            <w:tcW w:w="1460" w:type="dxa"/>
            <w:tcBorders>
              <w:bottom w:val="single" w:sz="2" w:space="0" w:color="000000"/>
            </w:tcBorders>
          </w:tcPr>
          <w:p w14:paraId="5032C255" w14:textId="77777777" w:rsidR="00084F36" w:rsidRPr="00EB2BD8" w:rsidRDefault="00084F36">
            <w:pPr>
              <w:pStyle w:val="TableParagraph"/>
              <w:rPr>
                <w:rFonts w:ascii="Times New Roman"/>
                <w:sz w:val="16"/>
              </w:rPr>
            </w:pPr>
          </w:p>
        </w:tc>
        <w:tc>
          <w:tcPr>
            <w:tcW w:w="2457" w:type="dxa"/>
            <w:tcBorders>
              <w:bottom w:val="single" w:sz="2" w:space="0" w:color="000000"/>
            </w:tcBorders>
          </w:tcPr>
          <w:p w14:paraId="46561BCF" w14:textId="77777777" w:rsidR="00084F36" w:rsidRPr="00EB2BD8" w:rsidRDefault="00EB2BD8">
            <w:pPr>
              <w:pStyle w:val="TableParagraph"/>
              <w:spacing w:before="19"/>
              <w:ind w:left="294"/>
              <w:rPr>
                <w:sz w:val="16"/>
              </w:rPr>
            </w:pPr>
            <w:r w:rsidRPr="00EB2BD8">
              <w:rPr>
                <w:spacing w:val="-2"/>
                <w:sz w:val="16"/>
              </w:rPr>
              <w:t>Albans.</w:t>
            </w:r>
          </w:p>
        </w:tc>
        <w:tc>
          <w:tcPr>
            <w:tcW w:w="2277" w:type="dxa"/>
            <w:tcBorders>
              <w:bottom w:val="single" w:sz="2" w:space="0" w:color="000000"/>
            </w:tcBorders>
          </w:tcPr>
          <w:p w14:paraId="7075A15F"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6BBCBD29"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42B1AD47" w14:textId="77777777" w:rsidR="00084F36" w:rsidRPr="00EB2BD8" w:rsidRDefault="00084F36">
            <w:pPr>
              <w:pStyle w:val="TableParagraph"/>
              <w:rPr>
                <w:rFonts w:ascii="Times New Roman"/>
                <w:sz w:val="16"/>
              </w:rPr>
            </w:pPr>
          </w:p>
        </w:tc>
      </w:tr>
      <w:tr w:rsidR="00EB2BD8" w:rsidRPr="00EB2BD8" w14:paraId="1DD86584" w14:textId="77777777">
        <w:trPr>
          <w:trHeight w:val="325"/>
        </w:trPr>
        <w:tc>
          <w:tcPr>
            <w:tcW w:w="1749" w:type="dxa"/>
            <w:tcBorders>
              <w:top w:val="single" w:sz="2" w:space="0" w:color="000000"/>
            </w:tcBorders>
          </w:tcPr>
          <w:p w14:paraId="0DC88744" w14:textId="77777777" w:rsidR="00084F36" w:rsidRPr="00EB2BD8" w:rsidRDefault="00EB2BD8">
            <w:pPr>
              <w:pStyle w:val="TableParagraph"/>
              <w:spacing w:before="115"/>
              <w:ind w:left="113"/>
              <w:rPr>
                <w:sz w:val="16"/>
              </w:rPr>
            </w:pPr>
            <w:r w:rsidRPr="00EB2BD8">
              <w:rPr>
                <w:sz w:val="16"/>
              </w:rPr>
              <w:t>Concept</w:t>
            </w:r>
            <w:r w:rsidRPr="00EB2BD8">
              <w:rPr>
                <w:spacing w:val="7"/>
                <w:sz w:val="16"/>
              </w:rPr>
              <w:t xml:space="preserve"> </w:t>
            </w:r>
            <w:r w:rsidRPr="00EB2BD8">
              <w:rPr>
                <w:spacing w:val="-2"/>
                <w:sz w:val="16"/>
              </w:rPr>
              <w:t>Design</w:t>
            </w:r>
          </w:p>
        </w:tc>
        <w:tc>
          <w:tcPr>
            <w:tcW w:w="1460" w:type="dxa"/>
            <w:tcBorders>
              <w:top w:val="single" w:sz="2" w:space="0" w:color="000000"/>
            </w:tcBorders>
          </w:tcPr>
          <w:p w14:paraId="60F9FB2A" w14:textId="77777777" w:rsidR="00084F36" w:rsidRPr="00EB2BD8" w:rsidRDefault="00EB2BD8">
            <w:pPr>
              <w:pStyle w:val="TableParagraph"/>
              <w:spacing w:before="115"/>
              <w:ind w:left="121"/>
              <w:rPr>
                <w:sz w:val="16"/>
              </w:rPr>
            </w:pPr>
            <w:r w:rsidRPr="00EB2BD8">
              <w:rPr>
                <w:spacing w:val="2"/>
                <w:sz w:val="16"/>
              </w:rPr>
              <w:t>CDB-U</w:t>
            </w:r>
            <w:r w:rsidRPr="00EB2BD8">
              <w:rPr>
                <w:spacing w:val="17"/>
                <w:sz w:val="16"/>
              </w:rPr>
              <w:t xml:space="preserve"> </w:t>
            </w:r>
            <w:r w:rsidRPr="00EB2BD8">
              <w:rPr>
                <w:spacing w:val="-2"/>
                <w:sz w:val="16"/>
              </w:rPr>
              <w:t>67131</w:t>
            </w:r>
          </w:p>
        </w:tc>
        <w:tc>
          <w:tcPr>
            <w:tcW w:w="2457" w:type="dxa"/>
            <w:tcBorders>
              <w:top w:val="single" w:sz="2" w:space="0" w:color="000000"/>
            </w:tcBorders>
          </w:tcPr>
          <w:p w14:paraId="712574B0" w14:textId="77777777" w:rsidR="00084F36" w:rsidRPr="00EB2BD8" w:rsidRDefault="00EB2BD8">
            <w:pPr>
              <w:pStyle w:val="TableParagraph"/>
              <w:spacing w:before="115"/>
              <w:ind w:left="294"/>
              <w:rPr>
                <w:sz w:val="16"/>
              </w:rPr>
            </w:pPr>
            <w:r w:rsidRPr="00EB2BD8">
              <w:rPr>
                <w:spacing w:val="-2"/>
                <w:sz w:val="16"/>
              </w:rPr>
              <w:t>Performing</w:t>
            </w:r>
            <w:r w:rsidRPr="00EB2BD8">
              <w:rPr>
                <w:spacing w:val="6"/>
                <w:sz w:val="16"/>
              </w:rPr>
              <w:t xml:space="preserve"> </w:t>
            </w:r>
            <w:r w:rsidRPr="00EB2BD8">
              <w:rPr>
                <w:spacing w:val="-2"/>
                <w:sz w:val="16"/>
              </w:rPr>
              <w:t>building</w:t>
            </w:r>
          </w:p>
        </w:tc>
        <w:tc>
          <w:tcPr>
            <w:tcW w:w="2277" w:type="dxa"/>
            <w:tcBorders>
              <w:top w:val="single" w:sz="2" w:space="0" w:color="000000"/>
            </w:tcBorders>
          </w:tcPr>
          <w:p w14:paraId="44FA7C7F" w14:textId="77777777" w:rsidR="00084F36" w:rsidRPr="00EB2BD8" w:rsidRDefault="00EB2BD8">
            <w:pPr>
              <w:pStyle w:val="TableParagraph"/>
              <w:spacing w:before="114"/>
              <w:ind w:left="116"/>
              <w:rPr>
                <w:sz w:val="16"/>
              </w:rPr>
            </w:pPr>
            <w:r w:rsidRPr="00EB2BD8">
              <w:rPr>
                <w:spacing w:val="-2"/>
                <w:sz w:val="16"/>
              </w:rPr>
              <w:t>Reprimands,</w:t>
            </w:r>
            <w:r w:rsidRPr="00EB2BD8">
              <w:rPr>
                <w:spacing w:val="-4"/>
                <w:sz w:val="16"/>
              </w:rPr>
              <w:t xml:space="preserve"> </w:t>
            </w:r>
            <w:r w:rsidRPr="00EB2BD8">
              <w:rPr>
                <w:spacing w:val="-2"/>
                <w:sz w:val="16"/>
              </w:rPr>
              <w:t>aggregate</w:t>
            </w:r>
          </w:p>
        </w:tc>
        <w:tc>
          <w:tcPr>
            <w:tcW w:w="1078" w:type="dxa"/>
            <w:tcBorders>
              <w:top w:val="single" w:sz="2" w:space="0" w:color="000000"/>
            </w:tcBorders>
          </w:tcPr>
          <w:p w14:paraId="5886F804" w14:textId="77777777" w:rsidR="00084F36" w:rsidRPr="00EB2BD8" w:rsidRDefault="00EB2BD8">
            <w:pPr>
              <w:pStyle w:val="TableParagraph"/>
              <w:spacing w:before="114"/>
              <w:ind w:right="107"/>
              <w:jc w:val="right"/>
              <w:rPr>
                <w:sz w:val="16"/>
              </w:rPr>
            </w:pPr>
            <w:r w:rsidRPr="00EB2BD8">
              <w:rPr>
                <w:spacing w:val="-2"/>
                <w:sz w:val="16"/>
              </w:rPr>
              <w:t>$5,000</w:t>
            </w:r>
          </w:p>
        </w:tc>
        <w:tc>
          <w:tcPr>
            <w:tcW w:w="1175" w:type="dxa"/>
            <w:tcBorders>
              <w:top w:val="single" w:sz="2" w:space="0" w:color="000000"/>
            </w:tcBorders>
          </w:tcPr>
          <w:p w14:paraId="4CE59029" w14:textId="77777777" w:rsidR="00084F36" w:rsidRPr="00EB2BD8" w:rsidRDefault="00EB2BD8">
            <w:pPr>
              <w:pStyle w:val="TableParagraph"/>
              <w:spacing w:before="114"/>
              <w:ind w:left="117"/>
              <w:rPr>
                <w:sz w:val="16"/>
              </w:rPr>
            </w:pPr>
            <w:r w:rsidRPr="00EB2BD8">
              <w:rPr>
                <w:spacing w:val="-2"/>
                <w:w w:val="90"/>
                <w:sz w:val="16"/>
              </w:rPr>
              <w:t>04/11/2022</w:t>
            </w:r>
          </w:p>
        </w:tc>
      </w:tr>
      <w:tr w:rsidR="00EB2BD8" w:rsidRPr="00EB2BD8" w14:paraId="2997FF74" w14:textId="77777777">
        <w:trPr>
          <w:trHeight w:val="229"/>
        </w:trPr>
        <w:tc>
          <w:tcPr>
            <w:tcW w:w="1749" w:type="dxa"/>
          </w:tcPr>
          <w:p w14:paraId="11BB2CA8" w14:textId="77777777" w:rsidR="00084F36" w:rsidRPr="00EB2BD8" w:rsidRDefault="00EB2BD8">
            <w:pPr>
              <w:pStyle w:val="TableParagraph"/>
              <w:spacing w:before="20"/>
              <w:ind w:left="113"/>
              <w:rPr>
                <w:sz w:val="16"/>
              </w:rPr>
            </w:pPr>
            <w:r w:rsidRPr="00EB2BD8">
              <w:rPr>
                <w:spacing w:val="-2"/>
                <w:w w:val="105"/>
                <w:sz w:val="16"/>
              </w:rPr>
              <w:t>Format</w:t>
            </w:r>
            <w:r w:rsidRPr="00EB2BD8">
              <w:rPr>
                <w:spacing w:val="-9"/>
                <w:w w:val="105"/>
                <w:sz w:val="16"/>
              </w:rPr>
              <w:t xml:space="preserve"> </w:t>
            </w:r>
            <w:r w:rsidRPr="00EB2BD8">
              <w:rPr>
                <w:spacing w:val="-2"/>
                <w:w w:val="105"/>
                <w:sz w:val="16"/>
              </w:rPr>
              <w:t>Pty</w:t>
            </w:r>
            <w:r w:rsidRPr="00EB2BD8">
              <w:rPr>
                <w:spacing w:val="-9"/>
                <w:w w:val="105"/>
                <w:sz w:val="16"/>
              </w:rPr>
              <w:t xml:space="preserve"> </w:t>
            </w:r>
            <w:r w:rsidRPr="00EB2BD8">
              <w:rPr>
                <w:spacing w:val="-5"/>
                <w:w w:val="105"/>
                <w:sz w:val="16"/>
              </w:rPr>
              <w:t>Ltd</w:t>
            </w:r>
          </w:p>
        </w:tc>
        <w:tc>
          <w:tcPr>
            <w:tcW w:w="1460" w:type="dxa"/>
          </w:tcPr>
          <w:p w14:paraId="54ACE93E" w14:textId="77777777" w:rsidR="00084F36" w:rsidRPr="00EB2BD8" w:rsidRDefault="00084F36">
            <w:pPr>
              <w:pStyle w:val="TableParagraph"/>
              <w:rPr>
                <w:rFonts w:ascii="Times New Roman"/>
                <w:sz w:val="16"/>
              </w:rPr>
            </w:pPr>
          </w:p>
        </w:tc>
        <w:tc>
          <w:tcPr>
            <w:tcW w:w="2457" w:type="dxa"/>
          </w:tcPr>
          <w:p w14:paraId="087CE2EB" w14:textId="77777777" w:rsidR="00084F36" w:rsidRPr="00EB2BD8" w:rsidRDefault="00EB2BD8">
            <w:pPr>
              <w:pStyle w:val="TableParagraph"/>
              <w:spacing w:before="20"/>
              <w:ind w:left="294"/>
              <w:rPr>
                <w:sz w:val="16"/>
              </w:rPr>
            </w:pPr>
            <w:r w:rsidRPr="00EB2BD8">
              <w:rPr>
                <w:spacing w:val="-2"/>
                <w:sz w:val="16"/>
              </w:rPr>
              <w:t>work</w:t>
            </w:r>
            <w:r w:rsidRPr="00EB2BD8">
              <w:rPr>
                <w:spacing w:val="-7"/>
                <w:sz w:val="16"/>
              </w:rPr>
              <w:t xml:space="preserve"> </w:t>
            </w:r>
            <w:r w:rsidRPr="00EB2BD8">
              <w:rPr>
                <w:spacing w:val="-2"/>
                <w:sz w:val="16"/>
              </w:rPr>
              <w:t>other</w:t>
            </w:r>
            <w:r w:rsidRPr="00EB2BD8">
              <w:rPr>
                <w:spacing w:val="-7"/>
                <w:sz w:val="16"/>
              </w:rPr>
              <w:t xml:space="preserve"> </w:t>
            </w:r>
            <w:r w:rsidRPr="00EB2BD8">
              <w:rPr>
                <w:spacing w:val="-2"/>
                <w:sz w:val="16"/>
              </w:rPr>
              <w:t>than</w:t>
            </w:r>
            <w:r w:rsidRPr="00EB2BD8">
              <w:rPr>
                <w:spacing w:val="-6"/>
                <w:sz w:val="16"/>
              </w:rPr>
              <w:t xml:space="preserve"> </w:t>
            </w:r>
            <w:r w:rsidRPr="00EB2BD8">
              <w:rPr>
                <w:spacing w:val="-2"/>
                <w:sz w:val="16"/>
              </w:rPr>
              <w:t>in</w:t>
            </w:r>
            <w:r w:rsidRPr="00EB2BD8">
              <w:rPr>
                <w:spacing w:val="-7"/>
                <w:sz w:val="16"/>
              </w:rPr>
              <w:t xml:space="preserve"> </w:t>
            </w:r>
            <w:r w:rsidRPr="00EB2BD8">
              <w:rPr>
                <w:spacing w:val="-10"/>
                <w:sz w:val="16"/>
              </w:rPr>
              <w:t>a</w:t>
            </w:r>
          </w:p>
        </w:tc>
        <w:tc>
          <w:tcPr>
            <w:tcW w:w="2277" w:type="dxa"/>
          </w:tcPr>
          <w:p w14:paraId="3A19FA5C" w14:textId="77777777" w:rsidR="00084F36" w:rsidRPr="00EB2BD8" w:rsidRDefault="00EB2BD8">
            <w:pPr>
              <w:pStyle w:val="TableParagraph"/>
              <w:spacing w:before="19"/>
              <w:ind w:left="116"/>
              <w:rPr>
                <w:sz w:val="16"/>
              </w:rPr>
            </w:pPr>
            <w:r w:rsidRPr="00EB2BD8">
              <w:rPr>
                <w:spacing w:val="-2"/>
                <w:sz w:val="16"/>
              </w:rPr>
              <w:t>penalties</w:t>
            </w:r>
            <w:r w:rsidRPr="00EB2BD8">
              <w:rPr>
                <w:spacing w:val="-8"/>
                <w:sz w:val="16"/>
              </w:rPr>
              <w:t xml:space="preserve"> </w:t>
            </w:r>
            <w:r w:rsidRPr="00EB2BD8">
              <w:rPr>
                <w:spacing w:val="-2"/>
                <w:sz w:val="16"/>
              </w:rPr>
              <w:t>of</w:t>
            </w:r>
            <w:r w:rsidRPr="00EB2BD8">
              <w:rPr>
                <w:spacing w:val="-7"/>
                <w:sz w:val="16"/>
              </w:rPr>
              <w:t xml:space="preserve"> </w:t>
            </w:r>
            <w:r w:rsidRPr="00EB2BD8">
              <w:rPr>
                <w:spacing w:val="-2"/>
                <w:sz w:val="16"/>
              </w:rPr>
              <w:t>$5,000</w:t>
            </w:r>
            <w:r w:rsidRPr="00EB2BD8">
              <w:rPr>
                <w:spacing w:val="-8"/>
                <w:sz w:val="16"/>
              </w:rPr>
              <w:t xml:space="preserve"> </w:t>
            </w:r>
            <w:r w:rsidRPr="00EB2BD8">
              <w:rPr>
                <w:spacing w:val="-2"/>
                <w:sz w:val="16"/>
              </w:rPr>
              <w:t>and</w:t>
            </w:r>
            <w:r w:rsidRPr="00EB2BD8">
              <w:rPr>
                <w:spacing w:val="-7"/>
                <w:sz w:val="16"/>
              </w:rPr>
              <w:t xml:space="preserve"> </w:t>
            </w:r>
            <w:r w:rsidRPr="00EB2BD8">
              <w:rPr>
                <w:spacing w:val="-10"/>
                <w:sz w:val="16"/>
              </w:rPr>
              <w:t>a</w:t>
            </w:r>
          </w:p>
        </w:tc>
        <w:tc>
          <w:tcPr>
            <w:tcW w:w="1078" w:type="dxa"/>
          </w:tcPr>
          <w:p w14:paraId="11A65C9D" w14:textId="77777777" w:rsidR="00084F36" w:rsidRPr="00EB2BD8" w:rsidRDefault="00084F36">
            <w:pPr>
              <w:pStyle w:val="TableParagraph"/>
              <w:rPr>
                <w:rFonts w:ascii="Times New Roman"/>
                <w:sz w:val="16"/>
              </w:rPr>
            </w:pPr>
          </w:p>
        </w:tc>
        <w:tc>
          <w:tcPr>
            <w:tcW w:w="1175" w:type="dxa"/>
          </w:tcPr>
          <w:p w14:paraId="363BA790" w14:textId="77777777" w:rsidR="00084F36" w:rsidRPr="00EB2BD8" w:rsidRDefault="00084F36">
            <w:pPr>
              <w:pStyle w:val="TableParagraph"/>
              <w:rPr>
                <w:rFonts w:ascii="Times New Roman"/>
                <w:sz w:val="16"/>
              </w:rPr>
            </w:pPr>
          </w:p>
        </w:tc>
      </w:tr>
      <w:tr w:rsidR="00EB2BD8" w:rsidRPr="00EB2BD8" w14:paraId="73AC95FA" w14:textId="77777777">
        <w:trPr>
          <w:trHeight w:val="229"/>
        </w:trPr>
        <w:tc>
          <w:tcPr>
            <w:tcW w:w="1749" w:type="dxa"/>
          </w:tcPr>
          <w:p w14:paraId="472FCB33" w14:textId="77777777" w:rsidR="00084F36" w:rsidRPr="00EB2BD8" w:rsidRDefault="00084F36">
            <w:pPr>
              <w:pStyle w:val="TableParagraph"/>
              <w:rPr>
                <w:rFonts w:ascii="Times New Roman"/>
                <w:sz w:val="16"/>
              </w:rPr>
            </w:pPr>
          </w:p>
        </w:tc>
        <w:tc>
          <w:tcPr>
            <w:tcW w:w="1460" w:type="dxa"/>
          </w:tcPr>
          <w:p w14:paraId="0F933700" w14:textId="77777777" w:rsidR="00084F36" w:rsidRPr="00EB2BD8" w:rsidRDefault="00084F36">
            <w:pPr>
              <w:pStyle w:val="TableParagraph"/>
              <w:rPr>
                <w:rFonts w:ascii="Times New Roman"/>
                <w:sz w:val="16"/>
              </w:rPr>
            </w:pPr>
          </w:p>
        </w:tc>
        <w:tc>
          <w:tcPr>
            <w:tcW w:w="2457" w:type="dxa"/>
          </w:tcPr>
          <w:p w14:paraId="1DB1BBD1" w14:textId="77777777" w:rsidR="00084F36" w:rsidRPr="00EB2BD8" w:rsidRDefault="00EB2BD8">
            <w:pPr>
              <w:pStyle w:val="TableParagraph"/>
              <w:spacing w:before="20"/>
              <w:ind w:left="294"/>
              <w:rPr>
                <w:sz w:val="16"/>
              </w:rPr>
            </w:pPr>
            <w:r w:rsidRPr="00EB2BD8">
              <w:rPr>
                <w:sz w:val="16"/>
              </w:rPr>
              <w:t>competent</w:t>
            </w:r>
            <w:r w:rsidRPr="00EB2BD8">
              <w:rPr>
                <w:spacing w:val="1"/>
                <w:sz w:val="16"/>
              </w:rPr>
              <w:t xml:space="preserve"> </w:t>
            </w:r>
            <w:r w:rsidRPr="00EB2BD8">
              <w:rPr>
                <w:sz w:val="16"/>
              </w:rPr>
              <w:t>manner</w:t>
            </w:r>
            <w:r w:rsidRPr="00EB2BD8">
              <w:rPr>
                <w:spacing w:val="1"/>
                <w:sz w:val="16"/>
              </w:rPr>
              <w:t xml:space="preserve"> </w:t>
            </w:r>
            <w:r w:rsidRPr="00EB2BD8">
              <w:rPr>
                <w:sz w:val="16"/>
              </w:rPr>
              <w:t>and</w:t>
            </w:r>
            <w:r w:rsidRPr="00EB2BD8">
              <w:rPr>
                <w:spacing w:val="1"/>
                <w:sz w:val="16"/>
              </w:rPr>
              <w:t xml:space="preserve"> </w:t>
            </w:r>
            <w:r w:rsidRPr="00EB2BD8">
              <w:rPr>
                <w:spacing w:val="-5"/>
                <w:sz w:val="16"/>
              </w:rPr>
              <w:t>to</w:t>
            </w:r>
          </w:p>
        </w:tc>
        <w:tc>
          <w:tcPr>
            <w:tcW w:w="2277" w:type="dxa"/>
          </w:tcPr>
          <w:p w14:paraId="467EF8F9" w14:textId="77777777" w:rsidR="00084F36" w:rsidRPr="00EB2BD8" w:rsidRDefault="00EB2BD8">
            <w:pPr>
              <w:pStyle w:val="TableParagraph"/>
              <w:spacing w:before="19"/>
              <w:ind w:left="116"/>
              <w:rPr>
                <w:sz w:val="16"/>
              </w:rPr>
            </w:pPr>
            <w:r w:rsidRPr="00EB2BD8">
              <w:rPr>
                <w:spacing w:val="-2"/>
                <w:sz w:val="16"/>
              </w:rPr>
              <w:t>requirement</w:t>
            </w:r>
            <w:r w:rsidRPr="00EB2BD8">
              <w:rPr>
                <w:spacing w:val="-3"/>
                <w:sz w:val="16"/>
              </w:rPr>
              <w:t xml:space="preserve"> </w:t>
            </w:r>
            <w:r w:rsidRPr="00EB2BD8">
              <w:rPr>
                <w:spacing w:val="-2"/>
                <w:sz w:val="16"/>
              </w:rPr>
              <w:t>to complete</w:t>
            </w:r>
            <w:r w:rsidRPr="00EB2BD8">
              <w:rPr>
                <w:spacing w:val="-3"/>
                <w:sz w:val="16"/>
              </w:rPr>
              <w:t xml:space="preserve"> </w:t>
            </w:r>
            <w:r w:rsidRPr="00EB2BD8">
              <w:rPr>
                <w:spacing w:val="-10"/>
                <w:sz w:val="16"/>
              </w:rPr>
              <w:t>a</w:t>
            </w:r>
          </w:p>
        </w:tc>
        <w:tc>
          <w:tcPr>
            <w:tcW w:w="1078" w:type="dxa"/>
          </w:tcPr>
          <w:p w14:paraId="10223D34" w14:textId="77777777" w:rsidR="00084F36" w:rsidRPr="00EB2BD8" w:rsidRDefault="00084F36">
            <w:pPr>
              <w:pStyle w:val="TableParagraph"/>
              <w:rPr>
                <w:rFonts w:ascii="Times New Roman"/>
                <w:sz w:val="16"/>
              </w:rPr>
            </w:pPr>
          </w:p>
        </w:tc>
        <w:tc>
          <w:tcPr>
            <w:tcW w:w="1175" w:type="dxa"/>
          </w:tcPr>
          <w:p w14:paraId="0C92B814" w14:textId="77777777" w:rsidR="00084F36" w:rsidRPr="00EB2BD8" w:rsidRDefault="00084F36">
            <w:pPr>
              <w:pStyle w:val="TableParagraph"/>
              <w:rPr>
                <w:rFonts w:ascii="Times New Roman"/>
                <w:sz w:val="16"/>
              </w:rPr>
            </w:pPr>
          </w:p>
        </w:tc>
      </w:tr>
      <w:tr w:rsidR="00EB2BD8" w:rsidRPr="00EB2BD8" w14:paraId="5E178375" w14:textId="77777777">
        <w:trPr>
          <w:trHeight w:val="230"/>
        </w:trPr>
        <w:tc>
          <w:tcPr>
            <w:tcW w:w="1749" w:type="dxa"/>
          </w:tcPr>
          <w:p w14:paraId="3F02994C" w14:textId="77777777" w:rsidR="00084F36" w:rsidRPr="00EB2BD8" w:rsidRDefault="00084F36">
            <w:pPr>
              <w:pStyle w:val="TableParagraph"/>
              <w:rPr>
                <w:rFonts w:ascii="Times New Roman"/>
                <w:sz w:val="16"/>
              </w:rPr>
            </w:pPr>
          </w:p>
        </w:tc>
        <w:tc>
          <w:tcPr>
            <w:tcW w:w="1460" w:type="dxa"/>
          </w:tcPr>
          <w:p w14:paraId="61BFCDA7" w14:textId="77777777" w:rsidR="00084F36" w:rsidRPr="00EB2BD8" w:rsidRDefault="00084F36">
            <w:pPr>
              <w:pStyle w:val="TableParagraph"/>
              <w:rPr>
                <w:rFonts w:ascii="Times New Roman"/>
                <w:sz w:val="16"/>
              </w:rPr>
            </w:pPr>
          </w:p>
        </w:tc>
        <w:tc>
          <w:tcPr>
            <w:tcW w:w="2457" w:type="dxa"/>
          </w:tcPr>
          <w:p w14:paraId="16415FBB" w14:textId="77777777" w:rsidR="00084F36" w:rsidRPr="00EB2BD8" w:rsidRDefault="00EB2BD8">
            <w:pPr>
              <w:pStyle w:val="TableParagraph"/>
              <w:spacing w:before="20"/>
              <w:ind w:left="294"/>
              <w:rPr>
                <w:sz w:val="16"/>
              </w:rPr>
            </w:pPr>
            <w:r w:rsidRPr="00EB2BD8">
              <w:rPr>
                <w:spacing w:val="-2"/>
                <w:sz w:val="16"/>
              </w:rPr>
              <w:t>a</w:t>
            </w:r>
            <w:r w:rsidRPr="00EB2BD8">
              <w:rPr>
                <w:spacing w:val="-1"/>
                <w:sz w:val="16"/>
              </w:rPr>
              <w:t xml:space="preserve"> </w:t>
            </w:r>
            <w:r w:rsidRPr="00EB2BD8">
              <w:rPr>
                <w:spacing w:val="-2"/>
                <w:sz w:val="16"/>
              </w:rPr>
              <w:t>professional</w:t>
            </w:r>
            <w:r w:rsidRPr="00EB2BD8">
              <w:rPr>
                <w:spacing w:val="-1"/>
                <w:sz w:val="16"/>
              </w:rPr>
              <w:t xml:space="preserve"> </w:t>
            </w:r>
            <w:r w:rsidRPr="00EB2BD8">
              <w:rPr>
                <w:spacing w:val="-2"/>
                <w:sz w:val="16"/>
              </w:rPr>
              <w:t>standard,</w:t>
            </w:r>
          </w:p>
        </w:tc>
        <w:tc>
          <w:tcPr>
            <w:tcW w:w="2277" w:type="dxa"/>
          </w:tcPr>
          <w:p w14:paraId="6502372A" w14:textId="77777777" w:rsidR="00084F36" w:rsidRPr="00EB2BD8" w:rsidRDefault="00EB2BD8">
            <w:pPr>
              <w:pStyle w:val="TableParagraph"/>
              <w:spacing w:before="19"/>
              <w:ind w:left="116"/>
              <w:rPr>
                <w:sz w:val="16"/>
              </w:rPr>
            </w:pPr>
            <w:r w:rsidRPr="00EB2BD8">
              <w:rPr>
                <w:spacing w:val="-2"/>
                <w:sz w:val="16"/>
              </w:rPr>
              <w:t>course</w:t>
            </w:r>
            <w:r w:rsidRPr="00EB2BD8">
              <w:rPr>
                <w:spacing w:val="-6"/>
                <w:sz w:val="16"/>
              </w:rPr>
              <w:t xml:space="preserve"> </w:t>
            </w:r>
            <w:r w:rsidRPr="00EB2BD8">
              <w:rPr>
                <w:spacing w:val="-2"/>
                <w:sz w:val="16"/>
              </w:rPr>
              <w:t>of</w:t>
            </w:r>
            <w:r w:rsidRPr="00EB2BD8">
              <w:rPr>
                <w:spacing w:val="-5"/>
                <w:sz w:val="16"/>
              </w:rPr>
              <w:t xml:space="preserve"> </w:t>
            </w:r>
            <w:r w:rsidRPr="00EB2BD8">
              <w:rPr>
                <w:spacing w:val="-2"/>
                <w:sz w:val="16"/>
              </w:rPr>
              <w:t>training.</w:t>
            </w:r>
          </w:p>
        </w:tc>
        <w:tc>
          <w:tcPr>
            <w:tcW w:w="1078" w:type="dxa"/>
          </w:tcPr>
          <w:p w14:paraId="210B22DF" w14:textId="77777777" w:rsidR="00084F36" w:rsidRPr="00EB2BD8" w:rsidRDefault="00084F36">
            <w:pPr>
              <w:pStyle w:val="TableParagraph"/>
              <w:rPr>
                <w:rFonts w:ascii="Times New Roman"/>
                <w:sz w:val="16"/>
              </w:rPr>
            </w:pPr>
          </w:p>
        </w:tc>
        <w:tc>
          <w:tcPr>
            <w:tcW w:w="1175" w:type="dxa"/>
          </w:tcPr>
          <w:p w14:paraId="43458BF8" w14:textId="77777777" w:rsidR="00084F36" w:rsidRPr="00EB2BD8" w:rsidRDefault="00084F36">
            <w:pPr>
              <w:pStyle w:val="TableParagraph"/>
              <w:rPr>
                <w:rFonts w:ascii="Times New Roman"/>
                <w:sz w:val="16"/>
              </w:rPr>
            </w:pPr>
          </w:p>
        </w:tc>
      </w:tr>
      <w:tr w:rsidR="00EB2BD8" w:rsidRPr="00EB2BD8" w14:paraId="227FB6AE" w14:textId="77777777">
        <w:trPr>
          <w:trHeight w:val="229"/>
        </w:trPr>
        <w:tc>
          <w:tcPr>
            <w:tcW w:w="1749" w:type="dxa"/>
          </w:tcPr>
          <w:p w14:paraId="471AFB97" w14:textId="77777777" w:rsidR="00084F36" w:rsidRPr="00EB2BD8" w:rsidRDefault="00084F36">
            <w:pPr>
              <w:pStyle w:val="TableParagraph"/>
              <w:rPr>
                <w:rFonts w:ascii="Times New Roman"/>
                <w:sz w:val="16"/>
              </w:rPr>
            </w:pPr>
          </w:p>
        </w:tc>
        <w:tc>
          <w:tcPr>
            <w:tcW w:w="1460" w:type="dxa"/>
          </w:tcPr>
          <w:p w14:paraId="7132B2C2" w14:textId="77777777" w:rsidR="00084F36" w:rsidRPr="00EB2BD8" w:rsidRDefault="00084F36">
            <w:pPr>
              <w:pStyle w:val="TableParagraph"/>
              <w:rPr>
                <w:rFonts w:ascii="Times New Roman"/>
                <w:sz w:val="16"/>
              </w:rPr>
            </w:pPr>
          </w:p>
        </w:tc>
        <w:tc>
          <w:tcPr>
            <w:tcW w:w="2457" w:type="dxa"/>
          </w:tcPr>
          <w:p w14:paraId="4100B3B0" w14:textId="77777777" w:rsidR="00084F36" w:rsidRPr="00EB2BD8" w:rsidRDefault="00EB2BD8">
            <w:pPr>
              <w:pStyle w:val="TableParagraph"/>
              <w:spacing w:before="19"/>
              <w:ind w:left="294"/>
              <w:rPr>
                <w:sz w:val="16"/>
              </w:rPr>
            </w:pPr>
            <w:r w:rsidRPr="00EB2BD8">
              <w:rPr>
                <w:sz w:val="16"/>
              </w:rPr>
              <w:t>in</w:t>
            </w:r>
            <w:r w:rsidRPr="00EB2BD8">
              <w:rPr>
                <w:spacing w:val="-11"/>
                <w:sz w:val="16"/>
              </w:rPr>
              <w:t xml:space="preserve"> </w:t>
            </w:r>
            <w:r w:rsidRPr="00EB2BD8">
              <w:rPr>
                <w:sz w:val="16"/>
              </w:rPr>
              <w:t>respect</w:t>
            </w:r>
            <w:r w:rsidRPr="00EB2BD8">
              <w:rPr>
                <w:spacing w:val="-11"/>
                <w:sz w:val="16"/>
              </w:rPr>
              <w:t xml:space="preserve"> </w:t>
            </w:r>
            <w:r w:rsidRPr="00EB2BD8">
              <w:rPr>
                <w:sz w:val="16"/>
              </w:rPr>
              <w:t>of</w:t>
            </w:r>
            <w:r w:rsidRPr="00EB2BD8">
              <w:rPr>
                <w:spacing w:val="-11"/>
                <w:sz w:val="16"/>
              </w:rPr>
              <w:t xml:space="preserve"> </w:t>
            </w:r>
            <w:r w:rsidRPr="00EB2BD8">
              <w:rPr>
                <w:sz w:val="16"/>
              </w:rPr>
              <w:t>a</w:t>
            </w:r>
            <w:r w:rsidRPr="00EB2BD8">
              <w:rPr>
                <w:spacing w:val="-11"/>
                <w:sz w:val="16"/>
              </w:rPr>
              <w:t xml:space="preserve"> </w:t>
            </w:r>
            <w:r w:rsidRPr="00EB2BD8">
              <w:rPr>
                <w:sz w:val="16"/>
              </w:rPr>
              <w:t>site</w:t>
            </w:r>
            <w:r w:rsidRPr="00EB2BD8">
              <w:rPr>
                <w:spacing w:val="-11"/>
                <w:sz w:val="16"/>
              </w:rPr>
              <w:t xml:space="preserve"> </w:t>
            </w:r>
            <w:r w:rsidRPr="00EB2BD8">
              <w:rPr>
                <w:spacing w:val="-5"/>
                <w:sz w:val="16"/>
              </w:rPr>
              <w:t>at</w:t>
            </w:r>
          </w:p>
        </w:tc>
        <w:tc>
          <w:tcPr>
            <w:tcW w:w="2277" w:type="dxa"/>
          </w:tcPr>
          <w:p w14:paraId="52FA407A" w14:textId="77777777" w:rsidR="00084F36" w:rsidRPr="00EB2BD8" w:rsidRDefault="00084F36">
            <w:pPr>
              <w:pStyle w:val="TableParagraph"/>
              <w:rPr>
                <w:rFonts w:ascii="Times New Roman"/>
                <w:sz w:val="16"/>
              </w:rPr>
            </w:pPr>
          </w:p>
        </w:tc>
        <w:tc>
          <w:tcPr>
            <w:tcW w:w="1078" w:type="dxa"/>
          </w:tcPr>
          <w:p w14:paraId="6588647B" w14:textId="77777777" w:rsidR="00084F36" w:rsidRPr="00EB2BD8" w:rsidRDefault="00084F36">
            <w:pPr>
              <w:pStyle w:val="TableParagraph"/>
              <w:rPr>
                <w:rFonts w:ascii="Times New Roman"/>
                <w:sz w:val="16"/>
              </w:rPr>
            </w:pPr>
          </w:p>
        </w:tc>
        <w:tc>
          <w:tcPr>
            <w:tcW w:w="1175" w:type="dxa"/>
          </w:tcPr>
          <w:p w14:paraId="3C83AC8F" w14:textId="77777777" w:rsidR="00084F36" w:rsidRPr="00EB2BD8" w:rsidRDefault="00084F36">
            <w:pPr>
              <w:pStyle w:val="TableParagraph"/>
              <w:rPr>
                <w:rFonts w:ascii="Times New Roman"/>
                <w:sz w:val="16"/>
              </w:rPr>
            </w:pPr>
          </w:p>
        </w:tc>
      </w:tr>
      <w:tr w:rsidR="00EB2BD8" w:rsidRPr="00EB2BD8" w14:paraId="0B223D4F" w14:textId="77777777">
        <w:trPr>
          <w:trHeight w:val="229"/>
        </w:trPr>
        <w:tc>
          <w:tcPr>
            <w:tcW w:w="1749" w:type="dxa"/>
          </w:tcPr>
          <w:p w14:paraId="188FE4B0" w14:textId="77777777" w:rsidR="00084F36" w:rsidRPr="00EB2BD8" w:rsidRDefault="00084F36">
            <w:pPr>
              <w:pStyle w:val="TableParagraph"/>
              <w:rPr>
                <w:rFonts w:ascii="Times New Roman"/>
                <w:sz w:val="16"/>
              </w:rPr>
            </w:pPr>
          </w:p>
        </w:tc>
        <w:tc>
          <w:tcPr>
            <w:tcW w:w="1460" w:type="dxa"/>
          </w:tcPr>
          <w:p w14:paraId="6345059C" w14:textId="77777777" w:rsidR="00084F36" w:rsidRPr="00EB2BD8" w:rsidRDefault="00084F36">
            <w:pPr>
              <w:pStyle w:val="TableParagraph"/>
              <w:rPr>
                <w:rFonts w:ascii="Times New Roman"/>
                <w:sz w:val="16"/>
              </w:rPr>
            </w:pPr>
          </w:p>
        </w:tc>
        <w:tc>
          <w:tcPr>
            <w:tcW w:w="2457" w:type="dxa"/>
          </w:tcPr>
          <w:p w14:paraId="69F50B0F" w14:textId="77777777" w:rsidR="00084F36" w:rsidRPr="00EB2BD8" w:rsidRDefault="00EB2BD8">
            <w:pPr>
              <w:pStyle w:val="TableParagraph"/>
              <w:spacing w:before="19"/>
              <w:ind w:left="294"/>
              <w:rPr>
                <w:sz w:val="16"/>
              </w:rPr>
            </w:pPr>
            <w:r w:rsidRPr="00EB2BD8">
              <w:rPr>
                <w:spacing w:val="-2"/>
                <w:sz w:val="16"/>
              </w:rPr>
              <w:t>Hadfield,</w:t>
            </w:r>
            <w:r w:rsidRPr="00EB2BD8">
              <w:rPr>
                <w:spacing w:val="-10"/>
                <w:sz w:val="16"/>
              </w:rPr>
              <w:t xml:space="preserve"> </w:t>
            </w:r>
            <w:r w:rsidRPr="00EB2BD8">
              <w:rPr>
                <w:spacing w:val="-2"/>
                <w:sz w:val="16"/>
              </w:rPr>
              <w:t>by</w:t>
            </w:r>
            <w:r w:rsidRPr="00EB2BD8">
              <w:rPr>
                <w:spacing w:val="-10"/>
                <w:sz w:val="16"/>
              </w:rPr>
              <w:t xml:space="preserve"> </w:t>
            </w:r>
            <w:r w:rsidRPr="00EB2BD8">
              <w:rPr>
                <w:spacing w:val="-2"/>
                <w:sz w:val="16"/>
              </w:rPr>
              <w:t>failing</w:t>
            </w:r>
            <w:r w:rsidRPr="00EB2BD8">
              <w:rPr>
                <w:spacing w:val="-10"/>
                <w:sz w:val="16"/>
              </w:rPr>
              <w:t xml:space="preserve"> </w:t>
            </w:r>
            <w:r w:rsidRPr="00EB2BD8">
              <w:rPr>
                <w:spacing w:val="-5"/>
                <w:sz w:val="16"/>
              </w:rPr>
              <w:t>to</w:t>
            </w:r>
          </w:p>
        </w:tc>
        <w:tc>
          <w:tcPr>
            <w:tcW w:w="2277" w:type="dxa"/>
          </w:tcPr>
          <w:p w14:paraId="78B63309" w14:textId="77777777" w:rsidR="00084F36" w:rsidRPr="00EB2BD8" w:rsidRDefault="00084F36">
            <w:pPr>
              <w:pStyle w:val="TableParagraph"/>
              <w:rPr>
                <w:rFonts w:ascii="Times New Roman"/>
                <w:sz w:val="16"/>
              </w:rPr>
            </w:pPr>
          </w:p>
        </w:tc>
        <w:tc>
          <w:tcPr>
            <w:tcW w:w="1078" w:type="dxa"/>
          </w:tcPr>
          <w:p w14:paraId="00D0D264" w14:textId="77777777" w:rsidR="00084F36" w:rsidRPr="00EB2BD8" w:rsidRDefault="00084F36">
            <w:pPr>
              <w:pStyle w:val="TableParagraph"/>
              <w:rPr>
                <w:rFonts w:ascii="Times New Roman"/>
                <w:sz w:val="16"/>
              </w:rPr>
            </w:pPr>
          </w:p>
        </w:tc>
        <w:tc>
          <w:tcPr>
            <w:tcW w:w="1175" w:type="dxa"/>
          </w:tcPr>
          <w:p w14:paraId="6623EC04" w14:textId="77777777" w:rsidR="00084F36" w:rsidRPr="00EB2BD8" w:rsidRDefault="00084F36">
            <w:pPr>
              <w:pStyle w:val="TableParagraph"/>
              <w:rPr>
                <w:rFonts w:ascii="Times New Roman"/>
                <w:sz w:val="16"/>
              </w:rPr>
            </w:pPr>
          </w:p>
        </w:tc>
      </w:tr>
      <w:tr w:rsidR="00EB2BD8" w:rsidRPr="00EB2BD8" w14:paraId="5CB05BCF" w14:textId="77777777">
        <w:trPr>
          <w:trHeight w:val="229"/>
        </w:trPr>
        <w:tc>
          <w:tcPr>
            <w:tcW w:w="1749" w:type="dxa"/>
          </w:tcPr>
          <w:p w14:paraId="3B96B533" w14:textId="77777777" w:rsidR="00084F36" w:rsidRPr="00EB2BD8" w:rsidRDefault="00084F36">
            <w:pPr>
              <w:pStyle w:val="TableParagraph"/>
              <w:rPr>
                <w:rFonts w:ascii="Times New Roman"/>
                <w:sz w:val="16"/>
              </w:rPr>
            </w:pPr>
          </w:p>
        </w:tc>
        <w:tc>
          <w:tcPr>
            <w:tcW w:w="1460" w:type="dxa"/>
          </w:tcPr>
          <w:p w14:paraId="1FB23388" w14:textId="77777777" w:rsidR="00084F36" w:rsidRPr="00EB2BD8" w:rsidRDefault="00084F36">
            <w:pPr>
              <w:pStyle w:val="TableParagraph"/>
              <w:rPr>
                <w:rFonts w:ascii="Times New Roman"/>
                <w:sz w:val="16"/>
              </w:rPr>
            </w:pPr>
          </w:p>
        </w:tc>
        <w:tc>
          <w:tcPr>
            <w:tcW w:w="2457" w:type="dxa"/>
          </w:tcPr>
          <w:p w14:paraId="126F9F42" w14:textId="77777777" w:rsidR="00084F36" w:rsidRPr="00EB2BD8" w:rsidRDefault="00EB2BD8">
            <w:pPr>
              <w:pStyle w:val="TableParagraph"/>
              <w:spacing w:before="19"/>
              <w:ind w:left="294"/>
              <w:rPr>
                <w:sz w:val="16"/>
              </w:rPr>
            </w:pPr>
            <w:r w:rsidRPr="00EB2BD8">
              <w:rPr>
                <w:sz w:val="16"/>
              </w:rPr>
              <w:t>call</w:t>
            </w:r>
            <w:r w:rsidRPr="00EB2BD8">
              <w:rPr>
                <w:spacing w:val="-9"/>
                <w:sz w:val="16"/>
              </w:rPr>
              <w:t xml:space="preserve"> </w:t>
            </w:r>
            <w:r w:rsidRPr="00EB2BD8">
              <w:rPr>
                <w:sz w:val="16"/>
              </w:rPr>
              <w:t>for</w:t>
            </w:r>
            <w:r w:rsidRPr="00EB2BD8">
              <w:rPr>
                <w:spacing w:val="-9"/>
                <w:sz w:val="16"/>
              </w:rPr>
              <w:t xml:space="preserve"> </w:t>
            </w:r>
            <w:r w:rsidRPr="00EB2BD8">
              <w:rPr>
                <w:sz w:val="16"/>
              </w:rPr>
              <w:t>a</w:t>
            </w:r>
            <w:r w:rsidRPr="00EB2BD8">
              <w:rPr>
                <w:spacing w:val="-9"/>
                <w:sz w:val="16"/>
              </w:rPr>
              <w:t xml:space="preserve"> </w:t>
            </w:r>
            <w:r w:rsidRPr="00EB2BD8">
              <w:rPr>
                <w:sz w:val="16"/>
              </w:rPr>
              <w:t>re-</w:t>
            </w:r>
            <w:r w:rsidRPr="00EB2BD8">
              <w:rPr>
                <w:spacing w:val="-2"/>
                <w:sz w:val="16"/>
              </w:rPr>
              <w:t>inspection</w:t>
            </w:r>
          </w:p>
        </w:tc>
        <w:tc>
          <w:tcPr>
            <w:tcW w:w="2277" w:type="dxa"/>
          </w:tcPr>
          <w:p w14:paraId="5F3D58F4" w14:textId="77777777" w:rsidR="00084F36" w:rsidRPr="00EB2BD8" w:rsidRDefault="00084F36">
            <w:pPr>
              <w:pStyle w:val="TableParagraph"/>
              <w:rPr>
                <w:rFonts w:ascii="Times New Roman"/>
                <w:sz w:val="16"/>
              </w:rPr>
            </w:pPr>
          </w:p>
        </w:tc>
        <w:tc>
          <w:tcPr>
            <w:tcW w:w="1078" w:type="dxa"/>
          </w:tcPr>
          <w:p w14:paraId="4F8A6866" w14:textId="77777777" w:rsidR="00084F36" w:rsidRPr="00EB2BD8" w:rsidRDefault="00084F36">
            <w:pPr>
              <w:pStyle w:val="TableParagraph"/>
              <w:rPr>
                <w:rFonts w:ascii="Times New Roman"/>
                <w:sz w:val="16"/>
              </w:rPr>
            </w:pPr>
          </w:p>
        </w:tc>
        <w:tc>
          <w:tcPr>
            <w:tcW w:w="1175" w:type="dxa"/>
          </w:tcPr>
          <w:p w14:paraId="0BD3F024" w14:textId="77777777" w:rsidR="00084F36" w:rsidRPr="00EB2BD8" w:rsidRDefault="00084F36">
            <w:pPr>
              <w:pStyle w:val="TableParagraph"/>
              <w:rPr>
                <w:rFonts w:ascii="Times New Roman"/>
                <w:sz w:val="16"/>
              </w:rPr>
            </w:pPr>
          </w:p>
        </w:tc>
      </w:tr>
      <w:tr w:rsidR="00EB2BD8" w:rsidRPr="00EB2BD8" w14:paraId="47C83B08" w14:textId="77777777">
        <w:trPr>
          <w:trHeight w:val="229"/>
        </w:trPr>
        <w:tc>
          <w:tcPr>
            <w:tcW w:w="1749" w:type="dxa"/>
          </w:tcPr>
          <w:p w14:paraId="74BF0005" w14:textId="77777777" w:rsidR="00084F36" w:rsidRPr="00EB2BD8" w:rsidRDefault="00084F36">
            <w:pPr>
              <w:pStyle w:val="TableParagraph"/>
              <w:rPr>
                <w:rFonts w:ascii="Times New Roman"/>
                <w:sz w:val="16"/>
              </w:rPr>
            </w:pPr>
          </w:p>
        </w:tc>
        <w:tc>
          <w:tcPr>
            <w:tcW w:w="1460" w:type="dxa"/>
          </w:tcPr>
          <w:p w14:paraId="5E70A844" w14:textId="77777777" w:rsidR="00084F36" w:rsidRPr="00EB2BD8" w:rsidRDefault="00084F36">
            <w:pPr>
              <w:pStyle w:val="TableParagraph"/>
              <w:rPr>
                <w:rFonts w:ascii="Times New Roman"/>
                <w:sz w:val="16"/>
              </w:rPr>
            </w:pPr>
          </w:p>
        </w:tc>
        <w:tc>
          <w:tcPr>
            <w:tcW w:w="2457" w:type="dxa"/>
          </w:tcPr>
          <w:p w14:paraId="22F41AA3" w14:textId="77777777" w:rsidR="00084F36" w:rsidRPr="00EB2BD8" w:rsidRDefault="00EB2BD8">
            <w:pPr>
              <w:pStyle w:val="TableParagraph"/>
              <w:spacing w:before="19"/>
              <w:ind w:left="294"/>
              <w:rPr>
                <w:sz w:val="16"/>
              </w:rPr>
            </w:pPr>
            <w:r w:rsidRPr="00EB2BD8">
              <w:rPr>
                <w:sz w:val="16"/>
              </w:rPr>
              <w:t>of</w:t>
            </w:r>
            <w:r w:rsidRPr="00EB2BD8">
              <w:rPr>
                <w:spacing w:val="-7"/>
                <w:sz w:val="16"/>
              </w:rPr>
              <w:t xml:space="preserve"> </w:t>
            </w:r>
            <w:r w:rsidRPr="00EB2BD8">
              <w:rPr>
                <w:sz w:val="16"/>
              </w:rPr>
              <w:t>the</w:t>
            </w:r>
            <w:r w:rsidRPr="00EB2BD8">
              <w:rPr>
                <w:spacing w:val="-7"/>
                <w:sz w:val="16"/>
              </w:rPr>
              <w:t xml:space="preserve"> </w:t>
            </w:r>
            <w:r w:rsidRPr="00EB2BD8">
              <w:rPr>
                <w:sz w:val="16"/>
              </w:rPr>
              <w:t>frame</w:t>
            </w:r>
            <w:r w:rsidRPr="00EB2BD8">
              <w:rPr>
                <w:spacing w:val="-8"/>
                <w:sz w:val="16"/>
              </w:rPr>
              <w:t xml:space="preserve"> </w:t>
            </w:r>
            <w:r w:rsidRPr="00EB2BD8">
              <w:rPr>
                <w:sz w:val="16"/>
              </w:rPr>
              <w:t>and</w:t>
            </w:r>
            <w:r w:rsidRPr="00EB2BD8">
              <w:rPr>
                <w:spacing w:val="-7"/>
                <w:sz w:val="16"/>
              </w:rPr>
              <w:t xml:space="preserve"> </w:t>
            </w:r>
            <w:r w:rsidRPr="00EB2BD8">
              <w:rPr>
                <w:spacing w:val="-5"/>
                <w:sz w:val="16"/>
              </w:rPr>
              <w:t>by</w:t>
            </w:r>
          </w:p>
        </w:tc>
        <w:tc>
          <w:tcPr>
            <w:tcW w:w="2277" w:type="dxa"/>
          </w:tcPr>
          <w:p w14:paraId="09AEA234" w14:textId="77777777" w:rsidR="00084F36" w:rsidRPr="00EB2BD8" w:rsidRDefault="00084F36">
            <w:pPr>
              <w:pStyle w:val="TableParagraph"/>
              <w:rPr>
                <w:rFonts w:ascii="Times New Roman"/>
                <w:sz w:val="16"/>
              </w:rPr>
            </w:pPr>
          </w:p>
        </w:tc>
        <w:tc>
          <w:tcPr>
            <w:tcW w:w="1078" w:type="dxa"/>
          </w:tcPr>
          <w:p w14:paraId="0B916735" w14:textId="77777777" w:rsidR="00084F36" w:rsidRPr="00EB2BD8" w:rsidRDefault="00084F36">
            <w:pPr>
              <w:pStyle w:val="TableParagraph"/>
              <w:rPr>
                <w:rFonts w:ascii="Times New Roman"/>
                <w:sz w:val="16"/>
              </w:rPr>
            </w:pPr>
          </w:p>
        </w:tc>
        <w:tc>
          <w:tcPr>
            <w:tcW w:w="1175" w:type="dxa"/>
          </w:tcPr>
          <w:p w14:paraId="64310636" w14:textId="77777777" w:rsidR="00084F36" w:rsidRPr="00EB2BD8" w:rsidRDefault="00084F36">
            <w:pPr>
              <w:pStyle w:val="TableParagraph"/>
              <w:rPr>
                <w:rFonts w:ascii="Times New Roman"/>
                <w:sz w:val="16"/>
              </w:rPr>
            </w:pPr>
          </w:p>
        </w:tc>
      </w:tr>
      <w:tr w:rsidR="00EB2BD8" w:rsidRPr="00EB2BD8" w14:paraId="5D1870C7" w14:textId="77777777">
        <w:trPr>
          <w:trHeight w:val="229"/>
        </w:trPr>
        <w:tc>
          <w:tcPr>
            <w:tcW w:w="1749" w:type="dxa"/>
          </w:tcPr>
          <w:p w14:paraId="678D6D95" w14:textId="77777777" w:rsidR="00084F36" w:rsidRPr="00EB2BD8" w:rsidRDefault="00084F36">
            <w:pPr>
              <w:pStyle w:val="TableParagraph"/>
              <w:rPr>
                <w:rFonts w:ascii="Times New Roman"/>
                <w:sz w:val="16"/>
              </w:rPr>
            </w:pPr>
          </w:p>
        </w:tc>
        <w:tc>
          <w:tcPr>
            <w:tcW w:w="1460" w:type="dxa"/>
          </w:tcPr>
          <w:p w14:paraId="37B1D881" w14:textId="77777777" w:rsidR="00084F36" w:rsidRPr="00EB2BD8" w:rsidRDefault="00084F36">
            <w:pPr>
              <w:pStyle w:val="TableParagraph"/>
              <w:rPr>
                <w:rFonts w:ascii="Times New Roman"/>
                <w:sz w:val="16"/>
              </w:rPr>
            </w:pPr>
          </w:p>
        </w:tc>
        <w:tc>
          <w:tcPr>
            <w:tcW w:w="2457" w:type="dxa"/>
          </w:tcPr>
          <w:p w14:paraId="3CCB8B81" w14:textId="77777777" w:rsidR="00084F36" w:rsidRPr="00EB2BD8" w:rsidRDefault="00EB2BD8">
            <w:pPr>
              <w:pStyle w:val="TableParagraph"/>
              <w:spacing w:before="19"/>
              <w:ind w:left="294"/>
              <w:rPr>
                <w:sz w:val="16"/>
              </w:rPr>
            </w:pPr>
            <w:r w:rsidRPr="00EB2BD8">
              <w:rPr>
                <w:spacing w:val="-2"/>
                <w:sz w:val="16"/>
              </w:rPr>
              <w:t>progressing</w:t>
            </w:r>
            <w:r w:rsidRPr="00EB2BD8">
              <w:rPr>
                <w:spacing w:val="-5"/>
                <w:sz w:val="16"/>
              </w:rPr>
              <w:t xml:space="preserve"> </w:t>
            </w:r>
            <w:r w:rsidRPr="00EB2BD8">
              <w:rPr>
                <w:spacing w:val="-2"/>
                <w:sz w:val="16"/>
              </w:rPr>
              <w:t>the</w:t>
            </w:r>
            <w:r w:rsidRPr="00EB2BD8">
              <w:rPr>
                <w:spacing w:val="-5"/>
                <w:sz w:val="16"/>
              </w:rPr>
              <w:t xml:space="preserve"> </w:t>
            </w:r>
            <w:r w:rsidRPr="00EB2BD8">
              <w:rPr>
                <w:spacing w:val="-4"/>
                <w:sz w:val="16"/>
              </w:rPr>
              <w:t>works</w:t>
            </w:r>
          </w:p>
        </w:tc>
        <w:tc>
          <w:tcPr>
            <w:tcW w:w="2277" w:type="dxa"/>
          </w:tcPr>
          <w:p w14:paraId="67B3A801" w14:textId="77777777" w:rsidR="00084F36" w:rsidRPr="00EB2BD8" w:rsidRDefault="00084F36">
            <w:pPr>
              <w:pStyle w:val="TableParagraph"/>
              <w:rPr>
                <w:rFonts w:ascii="Times New Roman"/>
                <w:sz w:val="16"/>
              </w:rPr>
            </w:pPr>
          </w:p>
        </w:tc>
        <w:tc>
          <w:tcPr>
            <w:tcW w:w="1078" w:type="dxa"/>
          </w:tcPr>
          <w:p w14:paraId="72412DE3" w14:textId="77777777" w:rsidR="00084F36" w:rsidRPr="00EB2BD8" w:rsidRDefault="00084F36">
            <w:pPr>
              <w:pStyle w:val="TableParagraph"/>
              <w:rPr>
                <w:rFonts w:ascii="Times New Roman"/>
                <w:sz w:val="16"/>
              </w:rPr>
            </w:pPr>
          </w:p>
        </w:tc>
        <w:tc>
          <w:tcPr>
            <w:tcW w:w="1175" w:type="dxa"/>
          </w:tcPr>
          <w:p w14:paraId="498A6383" w14:textId="77777777" w:rsidR="00084F36" w:rsidRPr="00EB2BD8" w:rsidRDefault="00084F36">
            <w:pPr>
              <w:pStyle w:val="TableParagraph"/>
              <w:rPr>
                <w:rFonts w:ascii="Times New Roman"/>
                <w:sz w:val="16"/>
              </w:rPr>
            </w:pPr>
          </w:p>
        </w:tc>
      </w:tr>
      <w:tr w:rsidR="00EB2BD8" w:rsidRPr="00EB2BD8" w14:paraId="582F1003" w14:textId="77777777">
        <w:trPr>
          <w:trHeight w:val="229"/>
        </w:trPr>
        <w:tc>
          <w:tcPr>
            <w:tcW w:w="1749" w:type="dxa"/>
          </w:tcPr>
          <w:p w14:paraId="0DAB7A7B" w14:textId="77777777" w:rsidR="00084F36" w:rsidRPr="00EB2BD8" w:rsidRDefault="00084F36">
            <w:pPr>
              <w:pStyle w:val="TableParagraph"/>
              <w:rPr>
                <w:rFonts w:ascii="Times New Roman"/>
                <w:sz w:val="16"/>
              </w:rPr>
            </w:pPr>
          </w:p>
        </w:tc>
        <w:tc>
          <w:tcPr>
            <w:tcW w:w="1460" w:type="dxa"/>
          </w:tcPr>
          <w:p w14:paraId="068681A6" w14:textId="77777777" w:rsidR="00084F36" w:rsidRPr="00EB2BD8" w:rsidRDefault="00084F36">
            <w:pPr>
              <w:pStyle w:val="TableParagraph"/>
              <w:rPr>
                <w:rFonts w:ascii="Times New Roman"/>
                <w:sz w:val="16"/>
              </w:rPr>
            </w:pPr>
          </w:p>
        </w:tc>
        <w:tc>
          <w:tcPr>
            <w:tcW w:w="2457" w:type="dxa"/>
          </w:tcPr>
          <w:p w14:paraId="71288349" w14:textId="77777777" w:rsidR="00084F36" w:rsidRPr="00EB2BD8" w:rsidRDefault="00EB2BD8">
            <w:pPr>
              <w:pStyle w:val="TableParagraph"/>
              <w:spacing w:before="19"/>
              <w:ind w:left="294"/>
              <w:rPr>
                <w:sz w:val="16"/>
              </w:rPr>
            </w:pPr>
            <w:r w:rsidRPr="00EB2BD8">
              <w:rPr>
                <w:sz w:val="16"/>
              </w:rPr>
              <w:t>beyond</w:t>
            </w:r>
            <w:r w:rsidRPr="00EB2BD8">
              <w:rPr>
                <w:spacing w:val="-8"/>
                <w:sz w:val="16"/>
              </w:rPr>
              <w:t xml:space="preserve"> </w:t>
            </w:r>
            <w:r w:rsidRPr="00EB2BD8">
              <w:rPr>
                <w:sz w:val="16"/>
              </w:rPr>
              <w:t>the</w:t>
            </w:r>
            <w:r w:rsidRPr="00EB2BD8">
              <w:rPr>
                <w:spacing w:val="-7"/>
                <w:sz w:val="16"/>
              </w:rPr>
              <w:t xml:space="preserve"> </w:t>
            </w:r>
            <w:r w:rsidRPr="00EB2BD8">
              <w:rPr>
                <w:sz w:val="16"/>
              </w:rPr>
              <w:t>frame</w:t>
            </w:r>
            <w:r w:rsidRPr="00EB2BD8">
              <w:rPr>
                <w:spacing w:val="-7"/>
                <w:sz w:val="16"/>
              </w:rPr>
              <w:t xml:space="preserve"> </w:t>
            </w:r>
            <w:r w:rsidRPr="00EB2BD8">
              <w:rPr>
                <w:spacing w:val="-4"/>
                <w:sz w:val="16"/>
              </w:rPr>
              <w:t>stage</w:t>
            </w:r>
          </w:p>
        </w:tc>
        <w:tc>
          <w:tcPr>
            <w:tcW w:w="2277" w:type="dxa"/>
          </w:tcPr>
          <w:p w14:paraId="3A417A63" w14:textId="77777777" w:rsidR="00084F36" w:rsidRPr="00EB2BD8" w:rsidRDefault="00084F36">
            <w:pPr>
              <w:pStyle w:val="TableParagraph"/>
              <w:rPr>
                <w:rFonts w:ascii="Times New Roman"/>
                <w:sz w:val="16"/>
              </w:rPr>
            </w:pPr>
          </w:p>
        </w:tc>
        <w:tc>
          <w:tcPr>
            <w:tcW w:w="1078" w:type="dxa"/>
          </w:tcPr>
          <w:p w14:paraId="7D00ECF8" w14:textId="77777777" w:rsidR="00084F36" w:rsidRPr="00EB2BD8" w:rsidRDefault="00084F36">
            <w:pPr>
              <w:pStyle w:val="TableParagraph"/>
              <w:rPr>
                <w:rFonts w:ascii="Times New Roman"/>
                <w:sz w:val="16"/>
              </w:rPr>
            </w:pPr>
          </w:p>
        </w:tc>
        <w:tc>
          <w:tcPr>
            <w:tcW w:w="1175" w:type="dxa"/>
          </w:tcPr>
          <w:p w14:paraId="278FF176" w14:textId="77777777" w:rsidR="00084F36" w:rsidRPr="00EB2BD8" w:rsidRDefault="00084F36">
            <w:pPr>
              <w:pStyle w:val="TableParagraph"/>
              <w:rPr>
                <w:rFonts w:ascii="Times New Roman"/>
                <w:sz w:val="16"/>
              </w:rPr>
            </w:pPr>
          </w:p>
        </w:tc>
      </w:tr>
      <w:tr w:rsidR="00EB2BD8" w:rsidRPr="00EB2BD8" w14:paraId="2C587A19" w14:textId="77777777">
        <w:trPr>
          <w:trHeight w:val="229"/>
        </w:trPr>
        <w:tc>
          <w:tcPr>
            <w:tcW w:w="1749" w:type="dxa"/>
          </w:tcPr>
          <w:p w14:paraId="20861C42" w14:textId="77777777" w:rsidR="00084F36" w:rsidRPr="00EB2BD8" w:rsidRDefault="00084F36">
            <w:pPr>
              <w:pStyle w:val="TableParagraph"/>
              <w:rPr>
                <w:rFonts w:ascii="Times New Roman"/>
                <w:sz w:val="16"/>
              </w:rPr>
            </w:pPr>
          </w:p>
        </w:tc>
        <w:tc>
          <w:tcPr>
            <w:tcW w:w="1460" w:type="dxa"/>
          </w:tcPr>
          <w:p w14:paraId="53F6C94C" w14:textId="77777777" w:rsidR="00084F36" w:rsidRPr="00EB2BD8" w:rsidRDefault="00084F36">
            <w:pPr>
              <w:pStyle w:val="TableParagraph"/>
              <w:rPr>
                <w:rFonts w:ascii="Times New Roman"/>
                <w:sz w:val="16"/>
              </w:rPr>
            </w:pPr>
          </w:p>
        </w:tc>
        <w:tc>
          <w:tcPr>
            <w:tcW w:w="2457" w:type="dxa"/>
          </w:tcPr>
          <w:p w14:paraId="3D9540BA" w14:textId="77777777" w:rsidR="00084F36" w:rsidRPr="00EB2BD8" w:rsidRDefault="00EB2BD8">
            <w:pPr>
              <w:pStyle w:val="TableParagraph"/>
              <w:spacing w:before="19"/>
              <w:ind w:left="294"/>
              <w:rPr>
                <w:sz w:val="16"/>
              </w:rPr>
            </w:pPr>
            <w:r w:rsidRPr="00EB2BD8">
              <w:rPr>
                <w:sz w:val="16"/>
              </w:rPr>
              <w:t>when</w:t>
            </w:r>
            <w:r w:rsidRPr="00EB2BD8">
              <w:rPr>
                <w:spacing w:val="-13"/>
                <w:sz w:val="16"/>
              </w:rPr>
              <w:t xml:space="preserve"> </w:t>
            </w:r>
            <w:r w:rsidRPr="00EB2BD8">
              <w:rPr>
                <w:sz w:val="16"/>
              </w:rPr>
              <w:t>directed</w:t>
            </w:r>
            <w:r w:rsidRPr="00EB2BD8">
              <w:rPr>
                <w:spacing w:val="-13"/>
                <w:sz w:val="16"/>
              </w:rPr>
              <w:t xml:space="preserve"> </w:t>
            </w:r>
            <w:r w:rsidRPr="00EB2BD8">
              <w:rPr>
                <w:sz w:val="16"/>
              </w:rPr>
              <w:t>not</w:t>
            </w:r>
            <w:r w:rsidRPr="00EB2BD8">
              <w:rPr>
                <w:spacing w:val="-12"/>
                <w:sz w:val="16"/>
              </w:rPr>
              <w:t xml:space="preserve"> </w:t>
            </w:r>
            <w:r w:rsidRPr="00EB2BD8">
              <w:rPr>
                <w:sz w:val="16"/>
              </w:rPr>
              <w:t>to</w:t>
            </w:r>
            <w:r w:rsidRPr="00EB2BD8">
              <w:rPr>
                <w:spacing w:val="-13"/>
                <w:sz w:val="16"/>
              </w:rPr>
              <w:t xml:space="preserve"> </w:t>
            </w:r>
            <w:r w:rsidRPr="00EB2BD8">
              <w:rPr>
                <w:spacing w:val="-5"/>
                <w:sz w:val="16"/>
              </w:rPr>
              <w:t>do</w:t>
            </w:r>
          </w:p>
        </w:tc>
        <w:tc>
          <w:tcPr>
            <w:tcW w:w="2277" w:type="dxa"/>
          </w:tcPr>
          <w:p w14:paraId="21E0EA6D" w14:textId="77777777" w:rsidR="00084F36" w:rsidRPr="00EB2BD8" w:rsidRDefault="00084F36">
            <w:pPr>
              <w:pStyle w:val="TableParagraph"/>
              <w:rPr>
                <w:rFonts w:ascii="Times New Roman"/>
                <w:sz w:val="16"/>
              </w:rPr>
            </w:pPr>
          </w:p>
        </w:tc>
        <w:tc>
          <w:tcPr>
            <w:tcW w:w="1078" w:type="dxa"/>
          </w:tcPr>
          <w:p w14:paraId="4C8E1CAE" w14:textId="77777777" w:rsidR="00084F36" w:rsidRPr="00EB2BD8" w:rsidRDefault="00084F36">
            <w:pPr>
              <w:pStyle w:val="TableParagraph"/>
              <w:rPr>
                <w:rFonts w:ascii="Times New Roman"/>
                <w:sz w:val="16"/>
              </w:rPr>
            </w:pPr>
          </w:p>
        </w:tc>
        <w:tc>
          <w:tcPr>
            <w:tcW w:w="1175" w:type="dxa"/>
          </w:tcPr>
          <w:p w14:paraId="02EF2B30" w14:textId="77777777" w:rsidR="00084F36" w:rsidRPr="00EB2BD8" w:rsidRDefault="00084F36">
            <w:pPr>
              <w:pStyle w:val="TableParagraph"/>
              <w:rPr>
                <w:rFonts w:ascii="Times New Roman"/>
                <w:sz w:val="16"/>
              </w:rPr>
            </w:pPr>
          </w:p>
        </w:tc>
      </w:tr>
      <w:tr w:rsidR="00EB2BD8" w:rsidRPr="00EB2BD8" w14:paraId="2684F4F4" w14:textId="77777777">
        <w:trPr>
          <w:trHeight w:val="229"/>
        </w:trPr>
        <w:tc>
          <w:tcPr>
            <w:tcW w:w="1749" w:type="dxa"/>
          </w:tcPr>
          <w:p w14:paraId="5950EA9F" w14:textId="77777777" w:rsidR="00084F36" w:rsidRPr="00EB2BD8" w:rsidRDefault="00084F36">
            <w:pPr>
              <w:pStyle w:val="TableParagraph"/>
              <w:rPr>
                <w:rFonts w:ascii="Times New Roman"/>
                <w:sz w:val="16"/>
              </w:rPr>
            </w:pPr>
          </w:p>
        </w:tc>
        <w:tc>
          <w:tcPr>
            <w:tcW w:w="1460" w:type="dxa"/>
          </w:tcPr>
          <w:p w14:paraId="1045C8EE" w14:textId="77777777" w:rsidR="00084F36" w:rsidRPr="00EB2BD8" w:rsidRDefault="00084F36">
            <w:pPr>
              <w:pStyle w:val="TableParagraph"/>
              <w:rPr>
                <w:rFonts w:ascii="Times New Roman"/>
                <w:sz w:val="16"/>
              </w:rPr>
            </w:pPr>
          </w:p>
        </w:tc>
        <w:tc>
          <w:tcPr>
            <w:tcW w:w="2457" w:type="dxa"/>
          </w:tcPr>
          <w:p w14:paraId="603A0CE7" w14:textId="77777777" w:rsidR="00084F36" w:rsidRPr="00EB2BD8" w:rsidRDefault="00EB2BD8">
            <w:pPr>
              <w:pStyle w:val="TableParagraph"/>
              <w:spacing w:before="19"/>
              <w:ind w:left="294"/>
              <w:rPr>
                <w:sz w:val="16"/>
              </w:rPr>
            </w:pPr>
            <w:r w:rsidRPr="00EB2BD8">
              <w:rPr>
                <w:sz w:val="16"/>
              </w:rPr>
              <w:t>so</w:t>
            </w:r>
            <w:r w:rsidRPr="00EB2BD8">
              <w:rPr>
                <w:spacing w:val="-11"/>
                <w:sz w:val="16"/>
              </w:rPr>
              <w:t xml:space="preserve"> </w:t>
            </w:r>
            <w:r w:rsidRPr="00EB2BD8">
              <w:rPr>
                <w:sz w:val="16"/>
              </w:rPr>
              <w:t>by</w:t>
            </w:r>
            <w:r w:rsidRPr="00EB2BD8">
              <w:rPr>
                <w:spacing w:val="-11"/>
                <w:sz w:val="16"/>
              </w:rPr>
              <w:t xml:space="preserve"> </w:t>
            </w:r>
            <w:r w:rsidRPr="00EB2BD8">
              <w:rPr>
                <w:sz w:val="16"/>
              </w:rPr>
              <w:t>the</w:t>
            </w:r>
            <w:r w:rsidRPr="00EB2BD8">
              <w:rPr>
                <w:spacing w:val="-11"/>
                <w:sz w:val="16"/>
              </w:rPr>
              <w:t xml:space="preserve"> </w:t>
            </w:r>
            <w:r w:rsidRPr="00EB2BD8">
              <w:rPr>
                <w:sz w:val="16"/>
              </w:rPr>
              <w:t>relevant</w:t>
            </w:r>
            <w:r w:rsidRPr="00EB2BD8">
              <w:rPr>
                <w:spacing w:val="-10"/>
                <w:sz w:val="16"/>
              </w:rPr>
              <w:t xml:space="preserve"> </w:t>
            </w:r>
            <w:r w:rsidRPr="00EB2BD8">
              <w:rPr>
                <w:spacing w:val="-2"/>
                <w:sz w:val="16"/>
              </w:rPr>
              <w:t>building</w:t>
            </w:r>
          </w:p>
        </w:tc>
        <w:tc>
          <w:tcPr>
            <w:tcW w:w="2277" w:type="dxa"/>
          </w:tcPr>
          <w:p w14:paraId="2E0DEDD5" w14:textId="77777777" w:rsidR="00084F36" w:rsidRPr="00EB2BD8" w:rsidRDefault="00084F36">
            <w:pPr>
              <w:pStyle w:val="TableParagraph"/>
              <w:rPr>
                <w:rFonts w:ascii="Times New Roman"/>
                <w:sz w:val="16"/>
              </w:rPr>
            </w:pPr>
          </w:p>
        </w:tc>
        <w:tc>
          <w:tcPr>
            <w:tcW w:w="1078" w:type="dxa"/>
          </w:tcPr>
          <w:p w14:paraId="6769DE24" w14:textId="77777777" w:rsidR="00084F36" w:rsidRPr="00EB2BD8" w:rsidRDefault="00084F36">
            <w:pPr>
              <w:pStyle w:val="TableParagraph"/>
              <w:rPr>
                <w:rFonts w:ascii="Times New Roman"/>
                <w:sz w:val="16"/>
              </w:rPr>
            </w:pPr>
          </w:p>
        </w:tc>
        <w:tc>
          <w:tcPr>
            <w:tcW w:w="1175" w:type="dxa"/>
          </w:tcPr>
          <w:p w14:paraId="637BFC25" w14:textId="77777777" w:rsidR="00084F36" w:rsidRPr="00EB2BD8" w:rsidRDefault="00084F36">
            <w:pPr>
              <w:pStyle w:val="TableParagraph"/>
              <w:rPr>
                <w:rFonts w:ascii="Times New Roman"/>
                <w:sz w:val="16"/>
              </w:rPr>
            </w:pPr>
          </w:p>
        </w:tc>
      </w:tr>
      <w:tr w:rsidR="00EB2BD8" w:rsidRPr="00EB2BD8" w14:paraId="134D498C" w14:textId="77777777">
        <w:trPr>
          <w:trHeight w:val="229"/>
        </w:trPr>
        <w:tc>
          <w:tcPr>
            <w:tcW w:w="1749" w:type="dxa"/>
          </w:tcPr>
          <w:p w14:paraId="55B6027D" w14:textId="77777777" w:rsidR="00084F36" w:rsidRPr="00EB2BD8" w:rsidRDefault="00084F36">
            <w:pPr>
              <w:pStyle w:val="TableParagraph"/>
              <w:rPr>
                <w:rFonts w:ascii="Times New Roman"/>
                <w:sz w:val="16"/>
              </w:rPr>
            </w:pPr>
          </w:p>
        </w:tc>
        <w:tc>
          <w:tcPr>
            <w:tcW w:w="1460" w:type="dxa"/>
          </w:tcPr>
          <w:p w14:paraId="428A6B0C" w14:textId="77777777" w:rsidR="00084F36" w:rsidRPr="00EB2BD8" w:rsidRDefault="00084F36">
            <w:pPr>
              <w:pStyle w:val="TableParagraph"/>
              <w:rPr>
                <w:rFonts w:ascii="Times New Roman"/>
                <w:sz w:val="16"/>
              </w:rPr>
            </w:pPr>
          </w:p>
        </w:tc>
        <w:tc>
          <w:tcPr>
            <w:tcW w:w="2457" w:type="dxa"/>
          </w:tcPr>
          <w:p w14:paraId="53398BF1" w14:textId="77777777" w:rsidR="00084F36" w:rsidRPr="00EB2BD8" w:rsidRDefault="00EB2BD8">
            <w:pPr>
              <w:pStyle w:val="TableParagraph"/>
              <w:spacing w:before="19"/>
              <w:ind w:left="294"/>
              <w:rPr>
                <w:sz w:val="16"/>
              </w:rPr>
            </w:pPr>
            <w:r w:rsidRPr="00EB2BD8">
              <w:rPr>
                <w:sz w:val="16"/>
              </w:rPr>
              <w:t>surveyor</w:t>
            </w:r>
            <w:r w:rsidRPr="00EB2BD8">
              <w:rPr>
                <w:spacing w:val="-10"/>
                <w:sz w:val="16"/>
              </w:rPr>
              <w:t xml:space="preserve"> </w:t>
            </w:r>
            <w:r w:rsidRPr="00EB2BD8">
              <w:rPr>
                <w:sz w:val="16"/>
              </w:rPr>
              <w:t>and</w:t>
            </w:r>
            <w:r w:rsidRPr="00EB2BD8">
              <w:rPr>
                <w:spacing w:val="-9"/>
                <w:sz w:val="16"/>
              </w:rPr>
              <w:t xml:space="preserve"> </w:t>
            </w:r>
            <w:r w:rsidRPr="00EB2BD8">
              <w:rPr>
                <w:spacing w:val="-2"/>
                <w:sz w:val="16"/>
              </w:rPr>
              <w:t>while</w:t>
            </w:r>
          </w:p>
        </w:tc>
        <w:tc>
          <w:tcPr>
            <w:tcW w:w="2277" w:type="dxa"/>
          </w:tcPr>
          <w:p w14:paraId="61BA7B8F" w14:textId="77777777" w:rsidR="00084F36" w:rsidRPr="00EB2BD8" w:rsidRDefault="00084F36">
            <w:pPr>
              <w:pStyle w:val="TableParagraph"/>
              <w:rPr>
                <w:rFonts w:ascii="Times New Roman"/>
                <w:sz w:val="16"/>
              </w:rPr>
            </w:pPr>
          </w:p>
        </w:tc>
        <w:tc>
          <w:tcPr>
            <w:tcW w:w="1078" w:type="dxa"/>
          </w:tcPr>
          <w:p w14:paraId="4A230314" w14:textId="77777777" w:rsidR="00084F36" w:rsidRPr="00EB2BD8" w:rsidRDefault="00084F36">
            <w:pPr>
              <w:pStyle w:val="TableParagraph"/>
              <w:rPr>
                <w:rFonts w:ascii="Times New Roman"/>
                <w:sz w:val="16"/>
              </w:rPr>
            </w:pPr>
          </w:p>
        </w:tc>
        <w:tc>
          <w:tcPr>
            <w:tcW w:w="1175" w:type="dxa"/>
          </w:tcPr>
          <w:p w14:paraId="3C39DFD9" w14:textId="77777777" w:rsidR="00084F36" w:rsidRPr="00EB2BD8" w:rsidRDefault="00084F36">
            <w:pPr>
              <w:pStyle w:val="TableParagraph"/>
              <w:rPr>
                <w:rFonts w:ascii="Times New Roman"/>
                <w:sz w:val="16"/>
              </w:rPr>
            </w:pPr>
          </w:p>
        </w:tc>
      </w:tr>
      <w:tr w:rsidR="00EB2BD8" w:rsidRPr="00EB2BD8" w14:paraId="48B5C347" w14:textId="77777777">
        <w:trPr>
          <w:trHeight w:val="229"/>
        </w:trPr>
        <w:tc>
          <w:tcPr>
            <w:tcW w:w="1749" w:type="dxa"/>
          </w:tcPr>
          <w:p w14:paraId="170B3ECD" w14:textId="77777777" w:rsidR="00084F36" w:rsidRPr="00EB2BD8" w:rsidRDefault="00084F36">
            <w:pPr>
              <w:pStyle w:val="TableParagraph"/>
              <w:rPr>
                <w:rFonts w:ascii="Times New Roman"/>
                <w:sz w:val="16"/>
              </w:rPr>
            </w:pPr>
          </w:p>
        </w:tc>
        <w:tc>
          <w:tcPr>
            <w:tcW w:w="1460" w:type="dxa"/>
          </w:tcPr>
          <w:p w14:paraId="25750821" w14:textId="77777777" w:rsidR="00084F36" w:rsidRPr="00EB2BD8" w:rsidRDefault="00084F36">
            <w:pPr>
              <w:pStyle w:val="TableParagraph"/>
              <w:rPr>
                <w:rFonts w:ascii="Times New Roman"/>
                <w:sz w:val="16"/>
              </w:rPr>
            </w:pPr>
          </w:p>
        </w:tc>
        <w:tc>
          <w:tcPr>
            <w:tcW w:w="2457" w:type="dxa"/>
          </w:tcPr>
          <w:p w14:paraId="15C5A2AC" w14:textId="77777777" w:rsidR="00084F36" w:rsidRPr="00EB2BD8" w:rsidRDefault="00EB2BD8">
            <w:pPr>
              <w:pStyle w:val="TableParagraph"/>
              <w:spacing w:before="19"/>
              <w:ind w:left="294"/>
              <w:rPr>
                <w:sz w:val="16"/>
              </w:rPr>
            </w:pPr>
            <w:r w:rsidRPr="00EB2BD8">
              <w:rPr>
                <w:spacing w:val="-4"/>
                <w:sz w:val="16"/>
              </w:rPr>
              <w:t>directions</w:t>
            </w:r>
            <w:r w:rsidRPr="00EB2BD8">
              <w:rPr>
                <w:spacing w:val="-3"/>
                <w:sz w:val="16"/>
              </w:rPr>
              <w:t xml:space="preserve"> </w:t>
            </w:r>
            <w:r w:rsidRPr="00EB2BD8">
              <w:rPr>
                <w:spacing w:val="-4"/>
                <w:sz w:val="16"/>
              </w:rPr>
              <w:t>to</w:t>
            </w:r>
            <w:r w:rsidRPr="00EB2BD8">
              <w:rPr>
                <w:spacing w:val="-3"/>
                <w:sz w:val="16"/>
              </w:rPr>
              <w:t xml:space="preserve"> </w:t>
            </w:r>
            <w:r w:rsidRPr="00EB2BD8">
              <w:rPr>
                <w:spacing w:val="-4"/>
                <w:sz w:val="16"/>
              </w:rPr>
              <w:t>fix</w:t>
            </w:r>
            <w:r w:rsidRPr="00EB2BD8">
              <w:rPr>
                <w:spacing w:val="-3"/>
                <w:sz w:val="16"/>
              </w:rPr>
              <w:t xml:space="preserve"> </w:t>
            </w:r>
            <w:r w:rsidRPr="00EB2BD8">
              <w:rPr>
                <w:spacing w:val="-4"/>
                <w:sz w:val="16"/>
              </w:rPr>
              <w:t>remained</w:t>
            </w:r>
          </w:p>
        </w:tc>
        <w:tc>
          <w:tcPr>
            <w:tcW w:w="2277" w:type="dxa"/>
          </w:tcPr>
          <w:p w14:paraId="59FE5B4D" w14:textId="77777777" w:rsidR="00084F36" w:rsidRPr="00EB2BD8" w:rsidRDefault="00084F36">
            <w:pPr>
              <w:pStyle w:val="TableParagraph"/>
              <w:rPr>
                <w:rFonts w:ascii="Times New Roman"/>
                <w:sz w:val="16"/>
              </w:rPr>
            </w:pPr>
          </w:p>
        </w:tc>
        <w:tc>
          <w:tcPr>
            <w:tcW w:w="1078" w:type="dxa"/>
          </w:tcPr>
          <w:p w14:paraId="0E01895E" w14:textId="77777777" w:rsidR="00084F36" w:rsidRPr="00EB2BD8" w:rsidRDefault="00084F36">
            <w:pPr>
              <w:pStyle w:val="TableParagraph"/>
              <w:rPr>
                <w:rFonts w:ascii="Times New Roman"/>
                <w:sz w:val="16"/>
              </w:rPr>
            </w:pPr>
          </w:p>
        </w:tc>
        <w:tc>
          <w:tcPr>
            <w:tcW w:w="1175" w:type="dxa"/>
          </w:tcPr>
          <w:p w14:paraId="6BFFA04E" w14:textId="77777777" w:rsidR="00084F36" w:rsidRPr="00EB2BD8" w:rsidRDefault="00084F36">
            <w:pPr>
              <w:pStyle w:val="TableParagraph"/>
              <w:rPr>
                <w:rFonts w:ascii="Times New Roman"/>
                <w:sz w:val="16"/>
              </w:rPr>
            </w:pPr>
          </w:p>
        </w:tc>
      </w:tr>
      <w:tr w:rsidR="00EB2BD8" w:rsidRPr="00EB2BD8" w14:paraId="33C8D48D" w14:textId="77777777">
        <w:trPr>
          <w:trHeight w:val="229"/>
        </w:trPr>
        <w:tc>
          <w:tcPr>
            <w:tcW w:w="1749" w:type="dxa"/>
          </w:tcPr>
          <w:p w14:paraId="001146D9" w14:textId="77777777" w:rsidR="00084F36" w:rsidRPr="00EB2BD8" w:rsidRDefault="00084F36">
            <w:pPr>
              <w:pStyle w:val="TableParagraph"/>
              <w:rPr>
                <w:rFonts w:ascii="Times New Roman"/>
                <w:sz w:val="16"/>
              </w:rPr>
            </w:pPr>
          </w:p>
        </w:tc>
        <w:tc>
          <w:tcPr>
            <w:tcW w:w="1460" w:type="dxa"/>
          </w:tcPr>
          <w:p w14:paraId="31D7B452" w14:textId="77777777" w:rsidR="00084F36" w:rsidRPr="00EB2BD8" w:rsidRDefault="00084F36">
            <w:pPr>
              <w:pStyle w:val="TableParagraph"/>
              <w:rPr>
                <w:rFonts w:ascii="Times New Roman"/>
                <w:sz w:val="16"/>
              </w:rPr>
            </w:pPr>
          </w:p>
        </w:tc>
        <w:tc>
          <w:tcPr>
            <w:tcW w:w="2457" w:type="dxa"/>
          </w:tcPr>
          <w:p w14:paraId="3B2D7E30" w14:textId="77777777" w:rsidR="00084F36" w:rsidRPr="00EB2BD8" w:rsidRDefault="00EB2BD8">
            <w:pPr>
              <w:pStyle w:val="TableParagraph"/>
              <w:spacing w:before="19"/>
              <w:ind w:left="294"/>
              <w:rPr>
                <w:sz w:val="16"/>
              </w:rPr>
            </w:pPr>
            <w:r w:rsidRPr="00EB2BD8">
              <w:rPr>
                <w:spacing w:val="-2"/>
                <w:sz w:val="16"/>
              </w:rPr>
              <w:t>unfulfilled</w:t>
            </w:r>
            <w:r w:rsidRPr="00EB2BD8">
              <w:rPr>
                <w:spacing w:val="-10"/>
                <w:sz w:val="16"/>
              </w:rPr>
              <w:t xml:space="preserve"> </w:t>
            </w:r>
            <w:r w:rsidRPr="00EB2BD8">
              <w:rPr>
                <w:spacing w:val="-2"/>
                <w:sz w:val="16"/>
              </w:rPr>
              <w:t>in</w:t>
            </w:r>
            <w:r w:rsidRPr="00EB2BD8">
              <w:rPr>
                <w:spacing w:val="-9"/>
                <w:sz w:val="16"/>
              </w:rPr>
              <w:t xml:space="preserve"> </w:t>
            </w:r>
            <w:r w:rsidRPr="00EB2BD8">
              <w:rPr>
                <w:spacing w:val="-2"/>
                <w:sz w:val="16"/>
              </w:rPr>
              <w:t>respect</w:t>
            </w:r>
            <w:r w:rsidRPr="00EB2BD8">
              <w:rPr>
                <w:spacing w:val="-9"/>
                <w:sz w:val="16"/>
              </w:rPr>
              <w:t xml:space="preserve"> </w:t>
            </w:r>
            <w:r w:rsidRPr="00EB2BD8">
              <w:rPr>
                <w:spacing w:val="-5"/>
                <w:sz w:val="16"/>
              </w:rPr>
              <w:t>of</w:t>
            </w:r>
          </w:p>
        </w:tc>
        <w:tc>
          <w:tcPr>
            <w:tcW w:w="2277" w:type="dxa"/>
          </w:tcPr>
          <w:p w14:paraId="5B4EDB17" w14:textId="77777777" w:rsidR="00084F36" w:rsidRPr="00EB2BD8" w:rsidRDefault="00084F36">
            <w:pPr>
              <w:pStyle w:val="TableParagraph"/>
              <w:rPr>
                <w:rFonts w:ascii="Times New Roman"/>
                <w:sz w:val="16"/>
              </w:rPr>
            </w:pPr>
          </w:p>
        </w:tc>
        <w:tc>
          <w:tcPr>
            <w:tcW w:w="1078" w:type="dxa"/>
          </w:tcPr>
          <w:p w14:paraId="7B37F185" w14:textId="77777777" w:rsidR="00084F36" w:rsidRPr="00EB2BD8" w:rsidRDefault="00084F36">
            <w:pPr>
              <w:pStyle w:val="TableParagraph"/>
              <w:rPr>
                <w:rFonts w:ascii="Times New Roman"/>
                <w:sz w:val="16"/>
              </w:rPr>
            </w:pPr>
          </w:p>
        </w:tc>
        <w:tc>
          <w:tcPr>
            <w:tcW w:w="1175" w:type="dxa"/>
          </w:tcPr>
          <w:p w14:paraId="2C39784C" w14:textId="77777777" w:rsidR="00084F36" w:rsidRPr="00EB2BD8" w:rsidRDefault="00084F36">
            <w:pPr>
              <w:pStyle w:val="TableParagraph"/>
              <w:rPr>
                <w:rFonts w:ascii="Times New Roman"/>
                <w:sz w:val="16"/>
              </w:rPr>
            </w:pPr>
          </w:p>
        </w:tc>
      </w:tr>
      <w:tr w:rsidR="00EB2BD8" w:rsidRPr="00EB2BD8" w14:paraId="330C11C3" w14:textId="77777777">
        <w:trPr>
          <w:trHeight w:val="287"/>
        </w:trPr>
        <w:tc>
          <w:tcPr>
            <w:tcW w:w="1749" w:type="dxa"/>
            <w:tcBorders>
              <w:bottom w:val="single" w:sz="2" w:space="0" w:color="000000"/>
            </w:tcBorders>
          </w:tcPr>
          <w:p w14:paraId="3A8EF000" w14:textId="77777777" w:rsidR="00084F36" w:rsidRPr="00EB2BD8" w:rsidRDefault="00084F36">
            <w:pPr>
              <w:pStyle w:val="TableParagraph"/>
              <w:rPr>
                <w:rFonts w:ascii="Times New Roman"/>
                <w:sz w:val="16"/>
              </w:rPr>
            </w:pPr>
          </w:p>
        </w:tc>
        <w:tc>
          <w:tcPr>
            <w:tcW w:w="1460" w:type="dxa"/>
            <w:tcBorders>
              <w:bottom w:val="single" w:sz="2" w:space="0" w:color="000000"/>
            </w:tcBorders>
          </w:tcPr>
          <w:p w14:paraId="189A147B" w14:textId="77777777" w:rsidR="00084F36" w:rsidRPr="00EB2BD8" w:rsidRDefault="00084F36">
            <w:pPr>
              <w:pStyle w:val="TableParagraph"/>
              <w:rPr>
                <w:rFonts w:ascii="Times New Roman"/>
                <w:sz w:val="16"/>
              </w:rPr>
            </w:pPr>
          </w:p>
        </w:tc>
        <w:tc>
          <w:tcPr>
            <w:tcW w:w="2457" w:type="dxa"/>
            <w:tcBorders>
              <w:bottom w:val="single" w:sz="2" w:space="0" w:color="000000"/>
            </w:tcBorders>
          </w:tcPr>
          <w:p w14:paraId="6A107C69" w14:textId="77777777" w:rsidR="00084F36" w:rsidRPr="00EB2BD8" w:rsidRDefault="00EB2BD8">
            <w:pPr>
              <w:pStyle w:val="TableParagraph"/>
              <w:spacing w:before="19"/>
              <w:ind w:left="294"/>
              <w:rPr>
                <w:sz w:val="16"/>
              </w:rPr>
            </w:pPr>
            <w:r w:rsidRPr="00EB2BD8">
              <w:rPr>
                <w:sz w:val="16"/>
              </w:rPr>
              <w:t>frame</w:t>
            </w:r>
            <w:r w:rsidRPr="00EB2BD8">
              <w:rPr>
                <w:spacing w:val="12"/>
                <w:sz w:val="16"/>
              </w:rPr>
              <w:t xml:space="preserve"> </w:t>
            </w:r>
            <w:r w:rsidRPr="00EB2BD8">
              <w:rPr>
                <w:sz w:val="16"/>
              </w:rPr>
              <w:t>non-</w:t>
            </w:r>
            <w:r w:rsidRPr="00EB2BD8">
              <w:rPr>
                <w:spacing w:val="-2"/>
                <w:sz w:val="16"/>
              </w:rPr>
              <w:t>compliances.</w:t>
            </w:r>
          </w:p>
        </w:tc>
        <w:tc>
          <w:tcPr>
            <w:tcW w:w="2277" w:type="dxa"/>
            <w:tcBorders>
              <w:bottom w:val="single" w:sz="2" w:space="0" w:color="000000"/>
            </w:tcBorders>
          </w:tcPr>
          <w:p w14:paraId="1581BE29"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2D68E198"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2BA34EA0" w14:textId="77777777" w:rsidR="00084F36" w:rsidRPr="00EB2BD8" w:rsidRDefault="00084F36">
            <w:pPr>
              <w:pStyle w:val="TableParagraph"/>
              <w:rPr>
                <w:rFonts w:ascii="Times New Roman"/>
                <w:sz w:val="16"/>
              </w:rPr>
            </w:pPr>
          </w:p>
        </w:tc>
      </w:tr>
      <w:tr w:rsidR="00EB2BD8" w:rsidRPr="00EB2BD8" w14:paraId="2DDD583F" w14:textId="77777777">
        <w:trPr>
          <w:trHeight w:val="324"/>
        </w:trPr>
        <w:tc>
          <w:tcPr>
            <w:tcW w:w="1749" w:type="dxa"/>
            <w:tcBorders>
              <w:top w:val="single" w:sz="2" w:space="0" w:color="000000"/>
            </w:tcBorders>
          </w:tcPr>
          <w:p w14:paraId="7112442C" w14:textId="77777777" w:rsidR="00084F36" w:rsidRPr="00EB2BD8" w:rsidRDefault="00EB2BD8">
            <w:pPr>
              <w:pStyle w:val="TableParagraph"/>
              <w:spacing w:before="114"/>
              <w:ind w:left="113"/>
              <w:rPr>
                <w:sz w:val="16"/>
              </w:rPr>
            </w:pPr>
            <w:r w:rsidRPr="00EB2BD8">
              <w:rPr>
                <w:spacing w:val="-2"/>
                <w:sz w:val="16"/>
              </w:rPr>
              <w:t>CustomBuild</w:t>
            </w:r>
            <w:r w:rsidRPr="00EB2BD8">
              <w:rPr>
                <w:spacing w:val="8"/>
                <w:sz w:val="16"/>
              </w:rPr>
              <w:t xml:space="preserve"> </w:t>
            </w:r>
            <w:r w:rsidRPr="00EB2BD8">
              <w:rPr>
                <w:spacing w:val="-2"/>
                <w:sz w:val="16"/>
              </w:rPr>
              <w:t>Group</w:t>
            </w:r>
          </w:p>
        </w:tc>
        <w:tc>
          <w:tcPr>
            <w:tcW w:w="1460" w:type="dxa"/>
            <w:tcBorders>
              <w:top w:val="single" w:sz="2" w:space="0" w:color="000000"/>
            </w:tcBorders>
          </w:tcPr>
          <w:p w14:paraId="64CE401F" w14:textId="77777777" w:rsidR="00084F36" w:rsidRPr="00EB2BD8" w:rsidRDefault="00EB2BD8">
            <w:pPr>
              <w:pStyle w:val="TableParagraph"/>
              <w:spacing w:before="114"/>
              <w:ind w:left="121"/>
              <w:rPr>
                <w:sz w:val="16"/>
              </w:rPr>
            </w:pPr>
            <w:r w:rsidRPr="00EB2BD8">
              <w:rPr>
                <w:spacing w:val="2"/>
                <w:sz w:val="16"/>
              </w:rPr>
              <w:t>CDB-U</w:t>
            </w:r>
            <w:r w:rsidRPr="00EB2BD8">
              <w:rPr>
                <w:spacing w:val="17"/>
                <w:sz w:val="16"/>
              </w:rPr>
              <w:t xml:space="preserve"> </w:t>
            </w:r>
            <w:r w:rsidRPr="00EB2BD8">
              <w:rPr>
                <w:spacing w:val="-2"/>
                <w:sz w:val="16"/>
              </w:rPr>
              <w:t>58789</w:t>
            </w:r>
          </w:p>
        </w:tc>
        <w:tc>
          <w:tcPr>
            <w:tcW w:w="2457" w:type="dxa"/>
            <w:tcBorders>
              <w:top w:val="single" w:sz="2" w:space="0" w:color="000000"/>
            </w:tcBorders>
          </w:tcPr>
          <w:p w14:paraId="577ED414" w14:textId="77777777" w:rsidR="00084F36" w:rsidRPr="00EB2BD8" w:rsidRDefault="00EB2BD8">
            <w:pPr>
              <w:pStyle w:val="TableParagraph"/>
              <w:spacing w:before="114"/>
              <w:ind w:left="294"/>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77" w:type="dxa"/>
            <w:tcBorders>
              <w:top w:val="single" w:sz="2" w:space="0" w:color="000000"/>
            </w:tcBorders>
          </w:tcPr>
          <w:p w14:paraId="379AF5E8" w14:textId="77777777" w:rsidR="00084F36" w:rsidRPr="00EB2BD8" w:rsidRDefault="00EB2BD8">
            <w:pPr>
              <w:pStyle w:val="TableParagraph"/>
              <w:spacing w:before="113"/>
              <w:ind w:left="116"/>
              <w:rPr>
                <w:sz w:val="16"/>
              </w:rPr>
            </w:pPr>
            <w:r w:rsidRPr="00EB2BD8">
              <w:rPr>
                <w:sz w:val="16"/>
              </w:rPr>
              <w:t>Reprimands</w:t>
            </w:r>
            <w:r w:rsidRPr="00EB2BD8">
              <w:rPr>
                <w:spacing w:val="-2"/>
                <w:sz w:val="16"/>
              </w:rPr>
              <w:t xml:space="preserve"> </w:t>
            </w:r>
            <w:r w:rsidRPr="00EB2BD8">
              <w:rPr>
                <w:spacing w:val="-5"/>
                <w:sz w:val="16"/>
              </w:rPr>
              <w:t>and</w:t>
            </w:r>
          </w:p>
        </w:tc>
        <w:tc>
          <w:tcPr>
            <w:tcW w:w="1078" w:type="dxa"/>
            <w:tcBorders>
              <w:top w:val="single" w:sz="2" w:space="0" w:color="000000"/>
            </w:tcBorders>
          </w:tcPr>
          <w:p w14:paraId="4ED89BAC" w14:textId="77777777" w:rsidR="00084F36" w:rsidRPr="00EB2BD8" w:rsidRDefault="00EB2BD8">
            <w:pPr>
              <w:pStyle w:val="TableParagraph"/>
              <w:spacing w:before="113"/>
              <w:ind w:right="107"/>
              <w:jc w:val="right"/>
              <w:rPr>
                <w:sz w:val="16"/>
              </w:rPr>
            </w:pPr>
            <w:r w:rsidRPr="00EB2BD8">
              <w:rPr>
                <w:spacing w:val="-2"/>
                <w:sz w:val="16"/>
              </w:rPr>
              <w:t>$6,000</w:t>
            </w:r>
          </w:p>
        </w:tc>
        <w:tc>
          <w:tcPr>
            <w:tcW w:w="1175" w:type="dxa"/>
            <w:tcBorders>
              <w:top w:val="single" w:sz="2" w:space="0" w:color="000000"/>
            </w:tcBorders>
          </w:tcPr>
          <w:p w14:paraId="66D8FFE1" w14:textId="77777777" w:rsidR="00084F36" w:rsidRPr="00EB2BD8" w:rsidRDefault="00EB2BD8">
            <w:pPr>
              <w:pStyle w:val="TableParagraph"/>
              <w:spacing w:before="113"/>
              <w:ind w:left="117"/>
              <w:rPr>
                <w:sz w:val="16"/>
              </w:rPr>
            </w:pPr>
            <w:r w:rsidRPr="00EB2BD8">
              <w:rPr>
                <w:spacing w:val="-2"/>
                <w:w w:val="95"/>
                <w:sz w:val="16"/>
              </w:rPr>
              <w:t>17/03/2023</w:t>
            </w:r>
          </w:p>
        </w:tc>
      </w:tr>
      <w:tr w:rsidR="00EB2BD8" w:rsidRPr="00EB2BD8" w14:paraId="5DBB1AD5" w14:textId="77777777">
        <w:trPr>
          <w:trHeight w:val="229"/>
        </w:trPr>
        <w:tc>
          <w:tcPr>
            <w:tcW w:w="1749" w:type="dxa"/>
          </w:tcPr>
          <w:p w14:paraId="1F8F25E1" w14:textId="77777777" w:rsidR="00084F36" w:rsidRPr="00EB2BD8" w:rsidRDefault="00EB2BD8">
            <w:pPr>
              <w:pStyle w:val="TableParagraph"/>
              <w:spacing w:before="19"/>
              <w:ind w:left="113"/>
              <w:rPr>
                <w:sz w:val="16"/>
              </w:rPr>
            </w:pPr>
            <w:r w:rsidRPr="00EB2BD8">
              <w:rPr>
                <w:w w:val="105"/>
                <w:sz w:val="16"/>
              </w:rPr>
              <w:t>Pty</w:t>
            </w:r>
            <w:r w:rsidRPr="00EB2BD8">
              <w:rPr>
                <w:spacing w:val="-7"/>
                <w:w w:val="105"/>
                <w:sz w:val="16"/>
              </w:rPr>
              <w:t xml:space="preserve"> </w:t>
            </w:r>
            <w:r w:rsidRPr="00EB2BD8">
              <w:rPr>
                <w:spacing w:val="-5"/>
                <w:w w:val="105"/>
                <w:sz w:val="16"/>
              </w:rPr>
              <w:t>Ltd</w:t>
            </w:r>
          </w:p>
        </w:tc>
        <w:tc>
          <w:tcPr>
            <w:tcW w:w="1460" w:type="dxa"/>
          </w:tcPr>
          <w:p w14:paraId="51ACFD08" w14:textId="77777777" w:rsidR="00084F36" w:rsidRPr="00EB2BD8" w:rsidRDefault="00084F36">
            <w:pPr>
              <w:pStyle w:val="TableParagraph"/>
              <w:rPr>
                <w:rFonts w:ascii="Times New Roman"/>
                <w:sz w:val="16"/>
              </w:rPr>
            </w:pPr>
          </w:p>
        </w:tc>
        <w:tc>
          <w:tcPr>
            <w:tcW w:w="2457" w:type="dxa"/>
          </w:tcPr>
          <w:p w14:paraId="74740301" w14:textId="77777777" w:rsidR="00084F36" w:rsidRPr="00EB2BD8" w:rsidRDefault="00EB2BD8">
            <w:pPr>
              <w:pStyle w:val="TableParagraph"/>
              <w:spacing w:before="19"/>
              <w:ind w:left="294"/>
              <w:rPr>
                <w:sz w:val="16"/>
              </w:rPr>
            </w:pPr>
            <w:r w:rsidRPr="00EB2BD8">
              <w:rPr>
                <w:sz w:val="16"/>
              </w:rPr>
              <w:t>mandatory</w:t>
            </w:r>
            <w:r w:rsidRPr="00EB2BD8">
              <w:rPr>
                <w:spacing w:val="14"/>
                <w:sz w:val="16"/>
              </w:rPr>
              <w:t xml:space="preserve"> </w:t>
            </w:r>
            <w:r w:rsidRPr="00EB2BD8">
              <w:rPr>
                <w:spacing w:val="-2"/>
                <w:sz w:val="16"/>
              </w:rPr>
              <w:t>stage</w:t>
            </w:r>
          </w:p>
        </w:tc>
        <w:tc>
          <w:tcPr>
            <w:tcW w:w="2277" w:type="dxa"/>
          </w:tcPr>
          <w:p w14:paraId="21A43B2C" w14:textId="77777777" w:rsidR="00084F36" w:rsidRPr="00EB2BD8" w:rsidRDefault="00EB2BD8">
            <w:pPr>
              <w:pStyle w:val="TableParagraph"/>
              <w:spacing w:before="19"/>
              <w:ind w:left="116"/>
              <w:rPr>
                <w:sz w:val="16"/>
              </w:rPr>
            </w:pPr>
            <w:r w:rsidRPr="00EB2BD8">
              <w:rPr>
                <w:sz w:val="16"/>
              </w:rPr>
              <w:t>aggregate</w:t>
            </w:r>
            <w:r w:rsidRPr="00EB2BD8">
              <w:rPr>
                <w:spacing w:val="5"/>
                <w:sz w:val="16"/>
              </w:rPr>
              <w:t xml:space="preserve"> </w:t>
            </w:r>
            <w:r w:rsidRPr="00EB2BD8">
              <w:rPr>
                <w:sz w:val="16"/>
              </w:rPr>
              <w:t>penalties</w:t>
            </w:r>
            <w:r w:rsidRPr="00EB2BD8">
              <w:rPr>
                <w:spacing w:val="5"/>
                <w:sz w:val="16"/>
              </w:rPr>
              <w:t xml:space="preserve"> </w:t>
            </w:r>
            <w:r w:rsidRPr="00EB2BD8">
              <w:rPr>
                <w:spacing w:val="-5"/>
                <w:sz w:val="16"/>
              </w:rPr>
              <w:t>of</w:t>
            </w:r>
          </w:p>
        </w:tc>
        <w:tc>
          <w:tcPr>
            <w:tcW w:w="1078" w:type="dxa"/>
          </w:tcPr>
          <w:p w14:paraId="347EB990" w14:textId="77777777" w:rsidR="00084F36" w:rsidRPr="00EB2BD8" w:rsidRDefault="00084F36">
            <w:pPr>
              <w:pStyle w:val="TableParagraph"/>
              <w:rPr>
                <w:rFonts w:ascii="Times New Roman"/>
                <w:sz w:val="16"/>
              </w:rPr>
            </w:pPr>
          </w:p>
        </w:tc>
        <w:tc>
          <w:tcPr>
            <w:tcW w:w="1175" w:type="dxa"/>
          </w:tcPr>
          <w:p w14:paraId="7CA19416" w14:textId="77777777" w:rsidR="00084F36" w:rsidRPr="00EB2BD8" w:rsidRDefault="00084F36">
            <w:pPr>
              <w:pStyle w:val="TableParagraph"/>
              <w:rPr>
                <w:rFonts w:ascii="Times New Roman"/>
                <w:sz w:val="16"/>
              </w:rPr>
            </w:pPr>
          </w:p>
        </w:tc>
      </w:tr>
      <w:tr w:rsidR="00EB2BD8" w:rsidRPr="00EB2BD8" w14:paraId="7D0E9ABD" w14:textId="77777777">
        <w:trPr>
          <w:trHeight w:val="230"/>
        </w:trPr>
        <w:tc>
          <w:tcPr>
            <w:tcW w:w="1749" w:type="dxa"/>
          </w:tcPr>
          <w:p w14:paraId="6E014D8B" w14:textId="77777777" w:rsidR="00084F36" w:rsidRPr="00EB2BD8" w:rsidRDefault="00084F36">
            <w:pPr>
              <w:pStyle w:val="TableParagraph"/>
              <w:rPr>
                <w:rFonts w:ascii="Times New Roman"/>
                <w:sz w:val="16"/>
              </w:rPr>
            </w:pPr>
          </w:p>
        </w:tc>
        <w:tc>
          <w:tcPr>
            <w:tcW w:w="1460" w:type="dxa"/>
          </w:tcPr>
          <w:p w14:paraId="4308CA7A" w14:textId="77777777" w:rsidR="00084F36" w:rsidRPr="00EB2BD8" w:rsidRDefault="00084F36">
            <w:pPr>
              <w:pStyle w:val="TableParagraph"/>
              <w:rPr>
                <w:rFonts w:ascii="Times New Roman"/>
                <w:sz w:val="16"/>
              </w:rPr>
            </w:pPr>
          </w:p>
        </w:tc>
        <w:tc>
          <w:tcPr>
            <w:tcW w:w="2457" w:type="dxa"/>
          </w:tcPr>
          <w:p w14:paraId="434C8343" w14:textId="77777777" w:rsidR="00084F36" w:rsidRPr="00EB2BD8" w:rsidRDefault="00EB2BD8">
            <w:pPr>
              <w:pStyle w:val="TableParagraph"/>
              <w:spacing w:before="19"/>
              <w:ind w:left="294"/>
              <w:rPr>
                <w:sz w:val="16"/>
              </w:rPr>
            </w:pPr>
            <w:r w:rsidRPr="00EB2BD8">
              <w:rPr>
                <w:spacing w:val="-2"/>
                <w:sz w:val="16"/>
              </w:rPr>
              <w:t>inspections</w:t>
            </w:r>
            <w:r w:rsidRPr="00EB2BD8">
              <w:rPr>
                <w:sz w:val="16"/>
              </w:rPr>
              <w:t xml:space="preserve"> </w:t>
            </w:r>
            <w:r w:rsidRPr="00EB2BD8">
              <w:rPr>
                <w:spacing w:val="-2"/>
                <w:sz w:val="16"/>
              </w:rPr>
              <w:t>(pool</w:t>
            </w:r>
          </w:p>
        </w:tc>
        <w:tc>
          <w:tcPr>
            <w:tcW w:w="2277" w:type="dxa"/>
          </w:tcPr>
          <w:p w14:paraId="69546C1E" w14:textId="77777777" w:rsidR="00084F36" w:rsidRPr="00EB2BD8" w:rsidRDefault="00EB2BD8">
            <w:pPr>
              <w:pStyle w:val="TableParagraph"/>
              <w:spacing w:before="19"/>
              <w:ind w:left="116"/>
              <w:rPr>
                <w:sz w:val="16"/>
              </w:rPr>
            </w:pPr>
            <w:r w:rsidRPr="00EB2BD8">
              <w:rPr>
                <w:spacing w:val="-2"/>
                <w:sz w:val="16"/>
              </w:rPr>
              <w:t>$6,000.</w:t>
            </w:r>
          </w:p>
        </w:tc>
        <w:tc>
          <w:tcPr>
            <w:tcW w:w="1078" w:type="dxa"/>
          </w:tcPr>
          <w:p w14:paraId="66C49F60" w14:textId="77777777" w:rsidR="00084F36" w:rsidRPr="00EB2BD8" w:rsidRDefault="00084F36">
            <w:pPr>
              <w:pStyle w:val="TableParagraph"/>
              <w:rPr>
                <w:rFonts w:ascii="Times New Roman"/>
                <w:sz w:val="16"/>
              </w:rPr>
            </w:pPr>
          </w:p>
        </w:tc>
        <w:tc>
          <w:tcPr>
            <w:tcW w:w="1175" w:type="dxa"/>
          </w:tcPr>
          <w:p w14:paraId="202315F8" w14:textId="77777777" w:rsidR="00084F36" w:rsidRPr="00EB2BD8" w:rsidRDefault="00084F36">
            <w:pPr>
              <w:pStyle w:val="TableParagraph"/>
              <w:rPr>
                <w:rFonts w:ascii="Times New Roman"/>
                <w:sz w:val="16"/>
              </w:rPr>
            </w:pPr>
          </w:p>
        </w:tc>
      </w:tr>
      <w:tr w:rsidR="00EB2BD8" w:rsidRPr="00EB2BD8" w14:paraId="16A07E6F" w14:textId="77777777">
        <w:trPr>
          <w:trHeight w:val="229"/>
        </w:trPr>
        <w:tc>
          <w:tcPr>
            <w:tcW w:w="1749" w:type="dxa"/>
          </w:tcPr>
          <w:p w14:paraId="34534816" w14:textId="77777777" w:rsidR="00084F36" w:rsidRPr="00EB2BD8" w:rsidRDefault="00084F36">
            <w:pPr>
              <w:pStyle w:val="TableParagraph"/>
              <w:rPr>
                <w:rFonts w:ascii="Times New Roman"/>
                <w:sz w:val="16"/>
              </w:rPr>
            </w:pPr>
          </w:p>
        </w:tc>
        <w:tc>
          <w:tcPr>
            <w:tcW w:w="1460" w:type="dxa"/>
          </w:tcPr>
          <w:p w14:paraId="7A013E8B" w14:textId="77777777" w:rsidR="00084F36" w:rsidRPr="00EB2BD8" w:rsidRDefault="00084F36">
            <w:pPr>
              <w:pStyle w:val="TableParagraph"/>
              <w:rPr>
                <w:rFonts w:ascii="Times New Roman"/>
                <w:sz w:val="16"/>
              </w:rPr>
            </w:pPr>
          </w:p>
        </w:tc>
        <w:tc>
          <w:tcPr>
            <w:tcW w:w="2457" w:type="dxa"/>
          </w:tcPr>
          <w:p w14:paraId="1CC95070" w14:textId="77777777" w:rsidR="00084F36" w:rsidRPr="00EB2BD8" w:rsidRDefault="00EB2BD8">
            <w:pPr>
              <w:pStyle w:val="TableParagraph"/>
              <w:spacing w:before="19"/>
              <w:ind w:left="294"/>
              <w:rPr>
                <w:sz w:val="16"/>
              </w:rPr>
            </w:pPr>
            <w:r w:rsidRPr="00EB2BD8">
              <w:rPr>
                <w:spacing w:val="-2"/>
                <w:sz w:val="16"/>
              </w:rPr>
              <w:t>excavation,</w:t>
            </w:r>
            <w:r w:rsidRPr="00EB2BD8">
              <w:rPr>
                <w:spacing w:val="-8"/>
                <w:sz w:val="16"/>
              </w:rPr>
              <w:t xml:space="preserve"> </w:t>
            </w:r>
            <w:r w:rsidRPr="00EB2BD8">
              <w:rPr>
                <w:spacing w:val="-2"/>
                <w:sz w:val="16"/>
              </w:rPr>
              <w:t>pool</w:t>
            </w:r>
            <w:r w:rsidRPr="00EB2BD8">
              <w:rPr>
                <w:spacing w:val="-8"/>
                <w:sz w:val="16"/>
              </w:rPr>
              <w:t xml:space="preserve"> </w:t>
            </w:r>
            <w:r w:rsidRPr="00EB2BD8">
              <w:rPr>
                <w:spacing w:val="-2"/>
                <w:sz w:val="16"/>
              </w:rPr>
              <w:t>steel)</w:t>
            </w:r>
          </w:p>
        </w:tc>
        <w:tc>
          <w:tcPr>
            <w:tcW w:w="2277" w:type="dxa"/>
          </w:tcPr>
          <w:p w14:paraId="721F8890" w14:textId="77777777" w:rsidR="00084F36" w:rsidRPr="00EB2BD8" w:rsidRDefault="00084F36">
            <w:pPr>
              <w:pStyle w:val="TableParagraph"/>
              <w:rPr>
                <w:rFonts w:ascii="Times New Roman"/>
                <w:sz w:val="16"/>
              </w:rPr>
            </w:pPr>
          </w:p>
        </w:tc>
        <w:tc>
          <w:tcPr>
            <w:tcW w:w="1078" w:type="dxa"/>
          </w:tcPr>
          <w:p w14:paraId="3EC6FF23" w14:textId="77777777" w:rsidR="00084F36" w:rsidRPr="00EB2BD8" w:rsidRDefault="00084F36">
            <w:pPr>
              <w:pStyle w:val="TableParagraph"/>
              <w:rPr>
                <w:rFonts w:ascii="Times New Roman"/>
                <w:sz w:val="16"/>
              </w:rPr>
            </w:pPr>
          </w:p>
        </w:tc>
        <w:tc>
          <w:tcPr>
            <w:tcW w:w="1175" w:type="dxa"/>
          </w:tcPr>
          <w:p w14:paraId="7336C13F" w14:textId="77777777" w:rsidR="00084F36" w:rsidRPr="00EB2BD8" w:rsidRDefault="00084F36">
            <w:pPr>
              <w:pStyle w:val="TableParagraph"/>
              <w:rPr>
                <w:rFonts w:ascii="Times New Roman"/>
                <w:sz w:val="16"/>
              </w:rPr>
            </w:pPr>
          </w:p>
        </w:tc>
      </w:tr>
      <w:tr w:rsidR="00EB2BD8" w:rsidRPr="00EB2BD8" w14:paraId="29D241AD" w14:textId="77777777">
        <w:trPr>
          <w:trHeight w:val="229"/>
        </w:trPr>
        <w:tc>
          <w:tcPr>
            <w:tcW w:w="1749" w:type="dxa"/>
          </w:tcPr>
          <w:p w14:paraId="261F1535" w14:textId="77777777" w:rsidR="00084F36" w:rsidRPr="00EB2BD8" w:rsidRDefault="00084F36">
            <w:pPr>
              <w:pStyle w:val="TableParagraph"/>
              <w:rPr>
                <w:rFonts w:ascii="Times New Roman"/>
                <w:sz w:val="16"/>
              </w:rPr>
            </w:pPr>
          </w:p>
        </w:tc>
        <w:tc>
          <w:tcPr>
            <w:tcW w:w="1460" w:type="dxa"/>
          </w:tcPr>
          <w:p w14:paraId="117D6487" w14:textId="77777777" w:rsidR="00084F36" w:rsidRPr="00EB2BD8" w:rsidRDefault="00084F36">
            <w:pPr>
              <w:pStyle w:val="TableParagraph"/>
              <w:rPr>
                <w:rFonts w:ascii="Times New Roman"/>
                <w:sz w:val="16"/>
              </w:rPr>
            </w:pPr>
          </w:p>
        </w:tc>
        <w:tc>
          <w:tcPr>
            <w:tcW w:w="2457" w:type="dxa"/>
          </w:tcPr>
          <w:p w14:paraId="12865375" w14:textId="77777777" w:rsidR="00084F36" w:rsidRPr="00EB2BD8" w:rsidRDefault="00EB2BD8">
            <w:pPr>
              <w:pStyle w:val="TableParagraph"/>
              <w:spacing w:before="19"/>
              <w:ind w:left="294"/>
              <w:rPr>
                <w:sz w:val="16"/>
              </w:rPr>
            </w:pPr>
            <w:r w:rsidRPr="00EB2BD8">
              <w:rPr>
                <w:spacing w:val="-2"/>
                <w:sz w:val="16"/>
              </w:rPr>
              <w:t>without</w:t>
            </w:r>
            <w:r w:rsidRPr="00EB2BD8">
              <w:rPr>
                <w:spacing w:val="-8"/>
                <w:sz w:val="16"/>
              </w:rPr>
              <w:t xml:space="preserve"> </w:t>
            </w:r>
            <w:r w:rsidRPr="00EB2BD8">
              <w:rPr>
                <w:spacing w:val="-2"/>
                <w:sz w:val="16"/>
              </w:rPr>
              <w:t>delay,</w:t>
            </w:r>
            <w:r w:rsidRPr="00EB2BD8">
              <w:rPr>
                <w:spacing w:val="-8"/>
                <w:sz w:val="16"/>
              </w:rPr>
              <w:t xml:space="preserve"> </w:t>
            </w:r>
            <w:r w:rsidRPr="00EB2BD8">
              <w:rPr>
                <w:spacing w:val="-2"/>
                <w:sz w:val="16"/>
              </w:rPr>
              <w:t>in</w:t>
            </w:r>
            <w:r w:rsidRPr="00EB2BD8">
              <w:rPr>
                <w:spacing w:val="-8"/>
                <w:sz w:val="16"/>
              </w:rPr>
              <w:t xml:space="preserve"> </w:t>
            </w:r>
            <w:r w:rsidRPr="00EB2BD8">
              <w:rPr>
                <w:spacing w:val="-2"/>
                <w:sz w:val="16"/>
              </w:rPr>
              <w:t>respect</w:t>
            </w:r>
            <w:r w:rsidRPr="00EB2BD8">
              <w:rPr>
                <w:spacing w:val="-7"/>
                <w:sz w:val="16"/>
              </w:rPr>
              <w:t xml:space="preserve"> </w:t>
            </w:r>
            <w:r w:rsidRPr="00EB2BD8">
              <w:rPr>
                <w:spacing w:val="-5"/>
                <w:sz w:val="16"/>
              </w:rPr>
              <w:t>of</w:t>
            </w:r>
          </w:p>
        </w:tc>
        <w:tc>
          <w:tcPr>
            <w:tcW w:w="2277" w:type="dxa"/>
          </w:tcPr>
          <w:p w14:paraId="463C5CC3" w14:textId="77777777" w:rsidR="00084F36" w:rsidRPr="00EB2BD8" w:rsidRDefault="00084F36">
            <w:pPr>
              <w:pStyle w:val="TableParagraph"/>
              <w:rPr>
                <w:rFonts w:ascii="Times New Roman"/>
                <w:sz w:val="16"/>
              </w:rPr>
            </w:pPr>
          </w:p>
        </w:tc>
        <w:tc>
          <w:tcPr>
            <w:tcW w:w="1078" w:type="dxa"/>
          </w:tcPr>
          <w:p w14:paraId="14BF7398" w14:textId="77777777" w:rsidR="00084F36" w:rsidRPr="00EB2BD8" w:rsidRDefault="00084F36">
            <w:pPr>
              <w:pStyle w:val="TableParagraph"/>
              <w:rPr>
                <w:rFonts w:ascii="Times New Roman"/>
                <w:sz w:val="16"/>
              </w:rPr>
            </w:pPr>
          </w:p>
        </w:tc>
        <w:tc>
          <w:tcPr>
            <w:tcW w:w="1175" w:type="dxa"/>
          </w:tcPr>
          <w:p w14:paraId="0FC23E07" w14:textId="77777777" w:rsidR="00084F36" w:rsidRPr="00EB2BD8" w:rsidRDefault="00084F36">
            <w:pPr>
              <w:pStyle w:val="TableParagraph"/>
              <w:rPr>
                <w:rFonts w:ascii="Times New Roman"/>
                <w:sz w:val="16"/>
              </w:rPr>
            </w:pPr>
          </w:p>
        </w:tc>
      </w:tr>
      <w:tr w:rsidR="00EB2BD8" w:rsidRPr="00EB2BD8" w14:paraId="6E4277AC" w14:textId="77777777">
        <w:trPr>
          <w:trHeight w:val="287"/>
        </w:trPr>
        <w:tc>
          <w:tcPr>
            <w:tcW w:w="1749" w:type="dxa"/>
            <w:tcBorders>
              <w:bottom w:val="single" w:sz="2" w:space="0" w:color="000000"/>
            </w:tcBorders>
          </w:tcPr>
          <w:p w14:paraId="022E46FE" w14:textId="77777777" w:rsidR="00084F36" w:rsidRPr="00EB2BD8" w:rsidRDefault="00084F36">
            <w:pPr>
              <w:pStyle w:val="TableParagraph"/>
              <w:rPr>
                <w:rFonts w:ascii="Times New Roman"/>
                <w:sz w:val="16"/>
              </w:rPr>
            </w:pPr>
          </w:p>
        </w:tc>
        <w:tc>
          <w:tcPr>
            <w:tcW w:w="1460" w:type="dxa"/>
            <w:tcBorders>
              <w:bottom w:val="single" w:sz="2" w:space="0" w:color="000000"/>
            </w:tcBorders>
          </w:tcPr>
          <w:p w14:paraId="44663A24" w14:textId="77777777" w:rsidR="00084F36" w:rsidRPr="00EB2BD8" w:rsidRDefault="00084F36">
            <w:pPr>
              <w:pStyle w:val="TableParagraph"/>
              <w:rPr>
                <w:rFonts w:ascii="Times New Roman"/>
                <w:sz w:val="16"/>
              </w:rPr>
            </w:pPr>
          </w:p>
        </w:tc>
        <w:tc>
          <w:tcPr>
            <w:tcW w:w="2457" w:type="dxa"/>
            <w:tcBorders>
              <w:bottom w:val="single" w:sz="2" w:space="0" w:color="000000"/>
            </w:tcBorders>
          </w:tcPr>
          <w:p w14:paraId="20D155F1" w14:textId="77777777" w:rsidR="00084F36" w:rsidRPr="00EB2BD8" w:rsidRDefault="00EB2BD8">
            <w:pPr>
              <w:pStyle w:val="TableParagraph"/>
              <w:spacing w:before="19"/>
              <w:ind w:left="294"/>
              <w:rPr>
                <w:sz w:val="16"/>
              </w:rPr>
            </w:pPr>
            <w:r w:rsidRPr="00EB2BD8">
              <w:rPr>
                <w:sz w:val="16"/>
              </w:rPr>
              <w:t>a</w:t>
            </w:r>
            <w:r w:rsidRPr="00EB2BD8">
              <w:rPr>
                <w:spacing w:val="-7"/>
                <w:sz w:val="16"/>
              </w:rPr>
              <w:t xml:space="preserve"> </w:t>
            </w:r>
            <w:r w:rsidRPr="00EB2BD8">
              <w:rPr>
                <w:sz w:val="16"/>
              </w:rPr>
              <w:t>site</w:t>
            </w:r>
            <w:r w:rsidRPr="00EB2BD8">
              <w:rPr>
                <w:spacing w:val="-7"/>
                <w:sz w:val="16"/>
              </w:rPr>
              <w:t xml:space="preserve"> </w:t>
            </w:r>
            <w:r w:rsidRPr="00EB2BD8">
              <w:rPr>
                <w:sz w:val="16"/>
              </w:rPr>
              <w:t>at</w:t>
            </w:r>
            <w:r w:rsidRPr="00EB2BD8">
              <w:rPr>
                <w:spacing w:val="-7"/>
                <w:sz w:val="16"/>
              </w:rPr>
              <w:t xml:space="preserve"> </w:t>
            </w:r>
            <w:r w:rsidRPr="00EB2BD8">
              <w:rPr>
                <w:sz w:val="16"/>
              </w:rPr>
              <w:t>Lower</w:t>
            </w:r>
            <w:r w:rsidRPr="00EB2BD8">
              <w:rPr>
                <w:spacing w:val="-6"/>
                <w:sz w:val="16"/>
              </w:rPr>
              <w:t xml:space="preserve"> </w:t>
            </w:r>
            <w:r w:rsidRPr="00EB2BD8">
              <w:rPr>
                <w:spacing w:val="-2"/>
                <w:sz w:val="16"/>
              </w:rPr>
              <w:t>Plenty.</w:t>
            </w:r>
          </w:p>
        </w:tc>
        <w:tc>
          <w:tcPr>
            <w:tcW w:w="2277" w:type="dxa"/>
            <w:tcBorders>
              <w:bottom w:val="single" w:sz="2" w:space="0" w:color="000000"/>
            </w:tcBorders>
          </w:tcPr>
          <w:p w14:paraId="19DAC762"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791FC35B"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52966235" w14:textId="77777777" w:rsidR="00084F36" w:rsidRPr="00EB2BD8" w:rsidRDefault="00084F36">
            <w:pPr>
              <w:pStyle w:val="TableParagraph"/>
              <w:rPr>
                <w:rFonts w:ascii="Times New Roman"/>
                <w:sz w:val="16"/>
              </w:rPr>
            </w:pPr>
          </w:p>
        </w:tc>
      </w:tr>
      <w:tr w:rsidR="00EB2BD8" w:rsidRPr="00EB2BD8" w14:paraId="104A2745" w14:textId="77777777">
        <w:trPr>
          <w:trHeight w:val="323"/>
        </w:trPr>
        <w:tc>
          <w:tcPr>
            <w:tcW w:w="1749" w:type="dxa"/>
            <w:tcBorders>
              <w:top w:val="single" w:sz="2" w:space="0" w:color="000000"/>
            </w:tcBorders>
          </w:tcPr>
          <w:p w14:paraId="06F5FB52" w14:textId="77777777" w:rsidR="00084F36" w:rsidRPr="00EB2BD8" w:rsidRDefault="00EB2BD8">
            <w:pPr>
              <w:pStyle w:val="TableParagraph"/>
              <w:spacing w:before="113"/>
              <w:ind w:left="113"/>
              <w:rPr>
                <w:sz w:val="16"/>
              </w:rPr>
            </w:pPr>
            <w:r w:rsidRPr="00EB2BD8">
              <w:rPr>
                <w:sz w:val="16"/>
              </w:rPr>
              <w:t>DBG</w:t>
            </w:r>
            <w:r w:rsidRPr="00EB2BD8">
              <w:rPr>
                <w:spacing w:val="3"/>
                <w:sz w:val="16"/>
              </w:rPr>
              <w:t xml:space="preserve"> </w:t>
            </w:r>
            <w:r w:rsidRPr="00EB2BD8">
              <w:rPr>
                <w:sz w:val="16"/>
              </w:rPr>
              <w:t>Projects</w:t>
            </w:r>
            <w:r w:rsidRPr="00EB2BD8">
              <w:rPr>
                <w:spacing w:val="4"/>
                <w:sz w:val="16"/>
              </w:rPr>
              <w:t xml:space="preserve"> </w:t>
            </w:r>
            <w:r w:rsidRPr="00EB2BD8">
              <w:rPr>
                <w:spacing w:val="-5"/>
                <w:sz w:val="16"/>
              </w:rPr>
              <w:t>Pty</w:t>
            </w:r>
          </w:p>
        </w:tc>
        <w:tc>
          <w:tcPr>
            <w:tcW w:w="1460" w:type="dxa"/>
            <w:tcBorders>
              <w:top w:val="single" w:sz="2" w:space="0" w:color="000000"/>
            </w:tcBorders>
          </w:tcPr>
          <w:p w14:paraId="25B739C1" w14:textId="77777777" w:rsidR="00084F36" w:rsidRPr="00EB2BD8" w:rsidRDefault="00EB2BD8">
            <w:pPr>
              <w:pStyle w:val="TableParagraph"/>
              <w:spacing w:before="113"/>
              <w:ind w:left="121"/>
              <w:rPr>
                <w:sz w:val="16"/>
              </w:rPr>
            </w:pPr>
            <w:r w:rsidRPr="00EB2BD8">
              <w:rPr>
                <w:w w:val="105"/>
                <w:sz w:val="16"/>
              </w:rPr>
              <w:t>CCB-L</w:t>
            </w:r>
            <w:r w:rsidRPr="00EB2BD8">
              <w:rPr>
                <w:spacing w:val="17"/>
                <w:w w:val="105"/>
                <w:sz w:val="16"/>
              </w:rPr>
              <w:t xml:space="preserve"> </w:t>
            </w:r>
            <w:r w:rsidRPr="00EB2BD8">
              <w:rPr>
                <w:spacing w:val="-2"/>
                <w:w w:val="105"/>
                <w:sz w:val="16"/>
              </w:rPr>
              <w:t>57805;</w:t>
            </w:r>
          </w:p>
        </w:tc>
        <w:tc>
          <w:tcPr>
            <w:tcW w:w="2457" w:type="dxa"/>
            <w:tcBorders>
              <w:top w:val="single" w:sz="2" w:space="0" w:color="000000"/>
            </w:tcBorders>
          </w:tcPr>
          <w:p w14:paraId="012F671A" w14:textId="77777777" w:rsidR="00084F36" w:rsidRPr="00EB2BD8" w:rsidRDefault="00EB2BD8">
            <w:pPr>
              <w:pStyle w:val="TableParagraph"/>
              <w:spacing w:before="113"/>
              <w:ind w:left="294"/>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77" w:type="dxa"/>
            <w:tcBorders>
              <w:top w:val="single" w:sz="2" w:space="0" w:color="000000"/>
            </w:tcBorders>
          </w:tcPr>
          <w:p w14:paraId="1292F696" w14:textId="77777777" w:rsidR="00084F36" w:rsidRPr="00EB2BD8" w:rsidRDefault="00EB2BD8">
            <w:pPr>
              <w:pStyle w:val="TableParagraph"/>
              <w:spacing w:before="113"/>
              <w:ind w:left="116"/>
              <w:rPr>
                <w:sz w:val="16"/>
              </w:rPr>
            </w:pPr>
            <w:r w:rsidRPr="00EB2BD8">
              <w:rPr>
                <w:sz w:val="16"/>
              </w:rPr>
              <w:t>Reprimands</w:t>
            </w:r>
            <w:r w:rsidRPr="00EB2BD8">
              <w:rPr>
                <w:spacing w:val="-2"/>
                <w:sz w:val="16"/>
              </w:rPr>
              <w:t xml:space="preserve"> </w:t>
            </w:r>
            <w:r w:rsidRPr="00EB2BD8">
              <w:rPr>
                <w:spacing w:val="-5"/>
                <w:sz w:val="16"/>
              </w:rPr>
              <w:t>and</w:t>
            </w:r>
          </w:p>
        </w:tc>
        <w:tc>
          <w:tcPr>
            <w:tcW w:w="1078" w:type="dxa"/>
            <w:tcBorders>
              <w:top w:val="single" w:sz="2" w:space="0" w:color="000000"/>
            </w:tcBorders>
          </w:tcPr>
          <w:p w14:paraId="2B0A9D6E" w14:textId="77777777" w:rsidR="00084F36" w:rsidRPr="00EB2BD8" w:rsidRDefault="00EB2BD8">
            <w:pPr>
              <w:pStyle w:val="TableParagraph"/>
              <w:spacing w:before="113"/>
              <w:ind w:right="107"/>
              <w:jc w:val="right"/>
              <w:rPr>
                <w:sz w:val="16"/>
              </w:rPr>
            </w:pPr>
            <w:r w:rsidRPr="00EB2BD8">
              <w:rPr>
                <w:spacing w:val="-2"/>
                <w:sz w:val="16"/>
              </w:rPr>
              <w:t>$3,000</w:t>
            </w:r>
          </w:p>
        </w:tc>
        <w:tc>
          <w:tcPr>
            <w:tcW w:w="1175" w:type="dxa"/>
            <w:tcBorders>
              <w:top w:val="single" w:sz="2" w:space="0" w:color="000000"/>
            </w:tcBorders>
          </w:tcPr>
          <w:p w14:paraId="51464822" w14:textId="77777777" w:rsidR="00084F36" w:rsidRPr="00EB2BD8" w:rsidRDefault="00EB2BD8">
            <w:pPr>
              <w:pStyle w:val="TableParagraph"/>
              <w:spacing w:before="113"/>
              <w:ind w:left="117"/>
              <w:rPr>
                <w:sz w:val="16"/>
              </w:rPr>
            </w:pPr>
            <w:r w:rsidRPr="00EB2BD8">
              <w:rPr>
                <w:spacing w:val="-2"/>
                <w:w w:val="80"/>
                <w:sz w:val="16"/>
              </w:rPr>
              <w:t>17/11/2022</w:t>
            </w:r>
          </w:p>
        </w:tc>
      </w:tr>
      <w:tr w:rsidR="00EB2BD8" w:rsidRPr="00EB2BD8" w14:paraId="2C44313F" w14:textId="77777777">
        <w:trPr>
          <w:trHeight w:val="229"/>
        </w:trPr>
        <w:tc>
          <w:tcPr>
            <w:tcW w:w="1749" w:type="dxa"/>
          </w:tcPr>
          <w:p w14:paraId="07D134DF" w14:textId="77777777" w:rsidR="00084F36" w:rsidRPr="00EB2BD8" w:rsidRDefault="00EB2BD8">
            <w:pPr>
              <w:pStyle w:val="TableParagraph"/>
              <w:spacing w:before="19"/>
              <w:ind w:left="113"/>
              <w:rPr>
                <w:sz w:val="16"/>
              </w:rPr>
            </w:pPr>
            <w:r w:rsidRPr="00EB2BD8">
              <w:rPr>
                <w:spacing w:val="-5"/>
                <w:w w:val="105"/>
                <w:sz w:val="16"/>
              </w:rPr>
              <w:t>Ltd</w:t>
            </w:r>
          </w:p>
        </w:tc>
        <w:tc>
          <w:tcPr>
            <w:tcW w:w="1460" w:type="dxa"/>
          </w:tcPr>
          <w:p w14:paraId="7FE60854" w14:textId="77777777" w:rsidR="00084F36" w:rsidRPr="00EB2BD8" w:rsidRDefault="00EB2BD8">
            <w:pPr>
              <w:pStyle w:val="TableParagraph"/>
              <w:spacing w:before="19"/>
              <w:ind w:left="121"/>
              <w:rPr>
                <w:sz w:val="16"/>
              </w:rPr>
            </w:pPr>
            <w:r w:rsidRPr="00EB2BD8">
              <w:rPr>
                <w:spacing w:val="2"/>
                <w:sz w:val="16"/>
              </w:rPr>
              <w:t>CDB-U</w:t>
            </w:r>
            <w:r w:rsidRPr="00EB2BD8">
              <w:rPr>
                <w:spacing w:val="17"/>
                <w:sz w:val="16"/>
              </w:rPr>
              <w:t xml:space="preserve"> </w:t>
            </w:r>
            <w:r w:rsidRPr="00EB2BD8">
              <w:rPr>
                <w:spacing w:val="-2"/>
                <w:sz w:val="16"/>
              </w:rPr>
              <w:t>67078</w:t>
            </w:r>
          </w:p>
        </w:tc>
        <w:tc>
          <w:tcPr>
            <w:tcW w:w="2457" w:type="dxa"/>
          </w:tcPr>
          <w:p w14:paraId="36DA7CFF" w14:textId="77777777" w:rsidR="00084F36" w:rsidRPr="00EB2BD8" w:rsidRDefault="00EB2BD8">
            <w:pPr>
              <w:pStyle w:val="TableParagraph"/>
              <w:spacing w:before="19"/>
              <w:ind w:left="294"/>
              <w:rPr>
                <w:sz w:val="16"/>
              </w:rPr>
            </w:pPr>
            <w:r w:rsidRPr="00EB2BD8">
              <w:rPr>
                <w:sz w:val="16"/>
              </w:rPr>
              <w:t>mandatory</w:t>
            </w:r>
            <w:r w:rsidRPr="00EB2BD8">
              <w:rPr>
                <w:spacing w:val="14"/>
                <w:sz w:val="16"/>
              </w:rPr>
              <w:t xml:space="preserve"> </w:t>
            </w:r>
            <w:r w:rsidRPr="00EB2BD8">
              <w:rPr>
                <w:spacing w:val="-2"/>
                <w:sz w:val="16"/>
              </w:rPr>
              <w:t>stage</w:t>
            </w:r>
          </w:p>
        </w:tc>
        <w:tc>
          <w:tcPr>
            <w:tcW w:w="2277" w:type="dxa"/>
          </w:tcPr>
          <w:p w14:paraId="76FA0D7D" w14:textId="77777777" w:rsidR="00084F36" w:rsidRPr="00EB2BD8" w:rsidRDefault="00EB2BD8">
            <w:pPr>
              <w:pStyle w:val="TableParagraph"/>
              <w:spacing w:before="19"/>
              <w:ind w:left="116"/>
              <w:rPr>
                <w:sz w:val="16"/>
              </w:rPr>
            </w:pPr>
            <w:r w:rsidRPr="00EB2BD8">
              <w:rPr>
                <w:sz w:val="16"/>
              </w:rPr>
              <w:t>aggregate</w:t>
            </w:r>
            <w:r w:rsidRPr="00EB2BD8">
              <w:rPr>
                <w:spacing w:val="5"/>
                <w:sz w:val="16"/>
              </w:rPr>
              <w:t xml:space="preserve"> </w:t>
            </w:r>
            <w:r w:rsidRPr="00EB2BD8">
              <w:rPr>
                <w:sz w:val="16"/>
              </w:rPr>
              <w:t>penalties</w:t>
            </w:r>
            <w:r w:rsidRPr="00EB2BD8">
              <w:rPr>
                <w:spacing w:val="5"/>
                <w:sz w:val="16"/>
              </w:rPr>
              <w:t xml:space="preserve"> </w:t>
            </w:r>
            <w:r w:rsidRPr="00EB2BD8">
              <w:rPr>
                <w:spacing w:val="-5"/>
                <w:sz w:val="16"/>
              </w:rPr>
              <w:t>of</w:t>
            </w:r>
          </w:p>
        </w:tc>
        <w:tc>
          <w:tcPr>
            <w:tcW w:w="1078" w:type="dxa"/>
          </w:tcPr>
          <w:p w14:paraId="71E45FDB" w14:textId="77777777" w:rsidR="00084F36" w:rsidRPr="00EB2BD8" w:rsidRDefault="00084F36">
            <w:pPr>
              <w:pStyle w:val="TableParagraph"/>
              <w:rPr>
                <w:rFonts w:ascii="Times New Roman"/>
                <w:sz w:val="16"/>
              </w:rPr>
            </w:pPr>
          </w:p>
        </w:tc>
        <w:tc>
          <w:tcPr>
            <w:tcW w:w="1175" w:type="dxa"/>
          </w:tcPr>
          <w:p w14:paraId="613E40AE" w14:textId="77777777" w:rsidR="00084F36" w:rsidRPr="00EB2BD8" w:rsidRDefault="00084F36">
            <w:pPr>
              <w:pStyle w:val="TableParagraph"/>
              <w:rPr>
                <w:rFonts w:ascii="Times New Roman"/>
                <w:sz w:val="16"/>
              </w:rPr>
            </w:pPr>
          </w:p>
        </w:tc>
      </w:tr>
      <w:tr w:rsidR="00EB2BD8" w:rsidRPr="00EB2BD8" w14:paraId="7AA3200E" w14:textId="77777777">
        <w:trPr>
          <w:trHeight w:val="230"/>
        </w:trPr>
        <w:tc>
          <w:tcPr>
            <w:tcW w:w="1749" w:type="dxa"/>
          </w:tcPr>
          <w:p w14:paraId="4F221627" w14:textId="77777777" w:rsidR="00084F36" w:rsidRPr="00EB2BD8" w:rsidRDefault="00084F36">
            <w:pPr>
              <w:pStyle w:val="TableParagraph"/>
              <w:rPr>
                <w:rFonts w:ascii="Times New Roman"/>
                <w:sz w:val="16"/>
              </w:rPr>
            </w:pPr>
          </w:p>
        </w:tc>
        <w:tc>
          <w:tcPr>
            <w:tcW w:w="1460" w:type="dxa"/>
          </w:tcPr>
          <w:p w14:paraId="69B8AEF5" w14:textId="77777777" w:rsidR="00084F36" w:rsidRPr="00EB2BD8" w:rsidRDefault="00084F36">
            <w:pPr>
              <w:pStyle w:val="TableParagraph"/>
              <w:rPr>
                <w:rFonts w:ascii="Times New Roman"/>
                <w:sz w:val="16"/>
              </w:rPr>
            </w:pPr>
          </w:p>
        </w:tc>
        <w:tc>
          <w:tcPr>
            <w:tcW w:w="2457" w:type="dxa"/>
          </w:tcPr>
          <w:p w14:paraId="6D1CD035" w14:textId="77777777" w:rsidR="00084F36" w:rsidRPr="00EB2BD8" w:rsidRDefault="00EB2BD8">
            <w:pPr>
              <w:pStyle w:val="TableParagraph"/>
              <w:spacing w:before="19"/>
              <w:ind w:left="294"/>
              <w:rPr>
                <w:sz w:val="16"/>
              </w:rPr>
            </w:pPr>
            <w:r w:rsidRPr="00EB2BD8">
              <w:rPr>
                <w:spacing w:val="-4"/>
                <w:sz w:val="16"/>
              </w:rPr>
              <w:t>inspections</w:t>
            </w:r>
            <w:r w:rsidRPr="00EB2BD8">
              <w:rPr>
                <w:sz w:val="16"/>
              </w:rPr>
              <w:t xml:space="preserve"> </w:t>
            </w:r>
            <w:r w:rsidRPr="00EB2BD8">
              <w:rPr>
                <w:spacing w:val="-4"/>
                <w:sz w:val="16"/>
              </w:rPr>
              <w:t>(2</w:t>
            </w:r>
            <w:r w:rsidRPr="00EB2BD8">
              <w:rPr>
                <w:sz w:val="16"/>
              </w:rPr>
              <w:t xml:space="preserve"> </w:t>
            </w:r>
            <w:r w:rsidRPr="00EB2BD8">
              <w:rPr>
                <w:spacing w:val="-4"/>
                <w:sz w:val="16"/>
              </w:rPr>
              <w:t>stages)</w:t>
            </w:r>
          </w:p>
        </w:tc>
        <w:tc>
          <w:tcPr>
            <w:tcW w:w="2277" w:type="dxa"/>
          </w:tcPr>
          <w:p w14:paraId="056C6DFB" w14:textId="77777777" w:rsidR="00084F36" w:rsidRPr="00EB2BD8" w:rsidRDefault="00EB2BD8">
            <w:pPr>
              <w:pStyle w:val="TableParagraph"/>
              <w:spacing w:before="19"/>
              <w:ind w:left="116"/>
              <w:rPr>
                <w:sz w:val="16"/>
              </w:rPr>
            </w:pPr>
            <w:r w:rsidRPr="00EB2BD8">
              <w:rPr>
                <w:spacing w:val="-2"/>
                <w:sz w:val="16"/>
              </w:rPr>
              <w:t>$3,000.</w:t>
            </w:r>
          </w:p>
        </w:tc>
        <w:tc>
          <w:tcPr>
            <w:tcW w:w="1078" w:type="dxa"/>
          </w:tcPr>
          <w:p w14:paraId="2BC3D8E1" w14:textId="77777777" w:rsidR="00084F36" w:rsidRPr="00EB2BD8" w:rsidRDefault="00084F36">
            <w:pPr>
              <w:pStyle w:val="TableParagraph"/>
              <w:rPr>
                <w:rFonts w:ascii="Times New Roman"/>
                <w:sz w:val="16"/>
              </w:rPr>
            </w:pPr>
          </w:p>
        </w:tc>
        <w:tc>
          <w:tcPr>
            <w:tcW w:w="1175" w:type="dxa"/>
          </w:tcPr>
          <w:p w14:paraId="1363E70A" w14:textId="77777777" w:rsidR="00084F36" w:rsidRPr="00EB2BD8" w:rsidRDefault="00084F36">
            <w:pPr>
              <w:pStyle w:val="TableParagraph"/>
              <w:rPr>
                <w:rFonts w:ascii="Times New Roman"/>
                <w:sz w:val="16"/>
              </w:rPr>
            </w:pPr>
          </w:p>
        </w:tc>
      </w:tr>
      <w:tr w:rsidR="00EB2BD8" w:rsidRPr="00EB2BD8" w14:paraId="6933D9B4" w14:textId="77777777">
        <w:trPr>
          <w:trHeight w:val="229"/>
        </w:trPr>
        <w:tc>
          <w:tcPr>
            <w:tcW w:w="1749" w:type="dxa"/>
          </w:tcPr>
          <w:p w14:paraId="5F11A67B" w14:textId="77777777" w:rsidR="00084F36" w:rsidRPr="00EB2BD8" w:rsidRDefault="00084F36">
            <w:pPr>
              <w:pStyle w:val="TableParagraph"/>
              <w:rPr>
                <w:rFonts w:ascii="Times New Roman"/>
                <w:sz w:val="16"/>
              </w:rPr>
            </w:pPr>
          </w:p>
        </w:tc>
        <w:tc>
          <w:tcPr>
            <w:tcW w:w="1460" w:type="dxa"/>
          </w:tcPr>
          <w:p w14:paraId="432C9E04" w14:textId="77777777" w:rsidR="00084F36" w:rsidRPr="00EB2BD8" w:rsidRDefault="00084F36">
            <w:pPr>
              <w:pStyle w:val="TableParagraph"/>
              <w:rPr>
                <w:rFonts w:ascii="Times New Roman"/>
                <w:sz w:val="16"/>
              </w:rPr>
            </w:pPr>
          </w:p>
        </w:tc>
        <w:tc>
          <w:tcPr>
            <w:tcW w:w="2457" w:type="dxa"/>
          </w:tcPr>
          <w:p w14:paraId="21B6D76C" w14:textId="77777777" w:rsidR="00084F36" w:rsidRPr="00EB2BD8" w:rsidRDefault="00EB2BD8">
            <w:pPr>
              <w:pStyle w:val="TableParagraph"/>
              <w:spacing w:before="19"/>
              <w:ind w:left="294"/>
              <w:rPr>
                <w:sz w:val="16"/>
              </w:rPr>
            </w:pPr>
            <w:r w:rsidRPr="00EB2BD8">
              <w:rPr>
                <w:sz w:val="16"/>
              </w:rPr>
              <w:t>in</w:t>
            </w:r>
            <w:r w:rsidRPr="00EB2BD8">
              <w:rPr>
                <w:spacing w:val="-11"/>
                <w:sz w:val="16"/>
              </w:rPr>
              <w:t xml:space="preserve"> </w:t>
            </w:r>
            <w:r w:rsidRPr="00EB2BD8">
              <w:rPr>
                <w:sz w:val="16"/>
              </w:rPr>
              <w:t>respect</w:t>
            </w:r>
            <w:r w:rsidRPr="00EB2BD8">
              <w:rPr>
                <w:spacing w:val="-11"/>
                <w:sz w:val="16"/>
              </w:rPr>
              <w:t xml:space="preserve"> </w:t>
            </w:r>
            <w:r w:rsidRPr="00EB2BD8">
              <w:rPr>
                <w:sz w:val="16"/>
              </w:rPr>
              <w:t>of</w:t>
            </w:r>
            <w:r w:rsidRPr="00EB2BD8">
              <w:rPr>
                <w:spacing w:val="-11"/>
                <w:sz w:val="16"/>
              </w:rPr>
              <w:t xml:space="preserve"> </w:t>
            </w:r>
            <w:r w:rsidRPr="00EB2BD8">
              <w:rPr>
                <w:sz w:val="16"/>
              </w:rPr>
              <w:t>a</w:t>
            </w:r>
            <w:r w:rsidRPr="00EB2BD8">
              <w:rPr>
                <w:spacing w:val="-11"/>
                <w:sz w:val="16"/>
              </w:rPr>
              <w:t xml:space="preserve"> </w:t>
            </w:r>
            <w:r w:rsidRPr="00EB2BD8">
              <w:rPr>
                <w:sz w:val="16"/>
              </w:rPr>
              <w:t>site</w:t>
            </w:r>
            <w:r w:rsidRPr="00EB2BD8">
              <w:rPr>
                <w:spacing w:val="-11"/>
                <w:sz w:val="16"/>
              </w:rPr>
              <w:t xml:space="preserve"> </w:t>
            </w:r>
            <w:r w:rsidRPr="00EB2BD8">
              <w:rPr>
                <w:spacing w:val="-5"/>
                <w:sz w:val="16"/>
              </w:rPr>
              <w:t>at</w:t>
            </w:r>
          </w:p>
        </w:tc>
        <w:tc>
          <w:tcPr>
            <w:tcW w:w="2277" w:type="dxa"/>
          </w:tcPr>
          <w:p w14:paraId="7E730726" w14:textId="77777777" w:rsidR="00084F36" w:rsidRPr="00EB2BD8" w:rsidRDefault="00084F36">
            <w:pPr>
              <w:pStyle w:val="TableParagraph"/>
              <w:rPr>
                <w:rFonts w:ascii="Times New Roman"/>
                <w:sz w:val="16"/>
              </w:rPr>
            </w:pPr>
          </w:p>
        </w:tc>
        <w:tc>
          <w:tcPr>
            <w:tcW w:w="1078" w:type="dxa"/>
          </w:tcPr>
          <w:p w14:paraId="1DE6307F" w14:textId="77777777" w:rsidR="00084F36" w:rsidRPr="00EB2BD8" w:rsidRDefault="00084F36">
            <w:pPr>
              <w:pStyle w:val="TableParagraph"/>
              <w:rPr>
                <w:rFonts w:ascii="Times New Roman"/>
                <w:sz w:val="16"/>
              </w:rPr>
            </w:pPr>
          </w:p>
        </w:tc>
        <w:tc>
          <w:tcPr>
            <w:tcW w:w="1175" w:type="dxa"/>
          </w:tcPr>
          <w:p w14:paraId="22DF3CFF" w14:textId="77777777" w:rsidR="00084F36" w:rsidRPr="00EB2BD8" w:rsidRDefault="00084F36">
            <w:pPr>
              <w:pStyle w:val="TableParagraph"/>
              <w:rPr>
                <w:rFonts w:ascii="Times New Roman"/>
                <w:sz w:val="16"/>
              </w:rPr>
            </w:pPr>
          </w:p>
        </w:tc>
      </w:tr>
      <w:tr w:rsidR="00EB2BD8" w:rsidRPr="00EB2BD8" w14:paraId="69F6EB42" w14:textId="77777777">
        <w:trPr>
          <w:trHeight w:val="288"/>
        </w:trPr>
        <w:tc>
          <w:tcPr>
            <w:tcW w:w="1749" w:type="dxa"/>
            <w:tcBorders>
              <w:bottom w:val="single" w:sz="2" w:space="0" w:color="000000"/>
            </w:tcBorders>
          </w:tcPr>
          <w:p w14:paraId="0533AAC8" w14:textId="77777777" w:rsidR="00084F36" w:rsidRPr="00EB2BD8" w:rsidRDefault="00084F36">
            <w:pPr>
              <w:pStyle w:val="TableParagraph"/>
              <w:rPr>
                <w:rFonts w:ascii="Times New Roman"/>
                <w:sz w:val="16"/>
              </w:rPr>
            </w:pPr>
          </w:p>
        </w:tc>
        <w:tc>
          <w:tcPr>
            <w:tcW w:w="1460" w:type="dxa"/>
            <w:tcBorders>
              <w:bottom w:val="single" w:sz="2" w:space="0" w:color="000000"/>
            </w:tcBorders>
          </w:tcPr>
          <w:p w14:paraId="2A2B6CB6" w14:textId="77777777" w:rsidR="00084F36" w:rsidRPr="00EB2BD8" w:rsidRDefault="00084F36">
            <w:pPr>
              <w:pStyle w:val="TableParagraph"/>
              <w:rPr>
                <w:rFonts w:ascii="Times New Roman"/>
                <w:sz w:val="16"/>
              </w:rPr>
            </w:pPr>
          </w:p>
        </w:tc>
        <w:tc>
          <w:tcPr>
            <w:tcW w:w="2457" w:type="dxa"/>
            <w:tcBorders>
              <w:bottom w:val="single" w:sz="2" w:space="0" w:color="000000"/>
            </w:tcBorders>
          </w:tcPr>
          <w:p w14:paraId="5EF6427B" w14:textId="77777777" w:rsidR="00084F36" w:rsidRPr="00EB2BD8" w:rsidRDefault="00EB2BD8">
            <w:pPr>
              <w:pStyle w:val="TableParagraph"/>
              <w:spacing w:before="19"/>
              <w:ind w:left="294"/>
              <w:rPr>
                <w:sz w:val="16"/>
              </w:rPr>
            </w:pPr>
            <w:r w:rsidRPr="00EB2BD8">
              <w:rPr>
                <w:spacing w:val="-2"/>
                <w:sz w:val="16"/>
              </w:rPr>
              <w:t>Caulfield.</w:t>
            </w:r>
          </w:p>
        </w:tc>
        <w:tc>
          <w:tcPr>
            <w:tcW w:w="2277" w:type="dxa"/>
            <w:tcBorders>
              <w:bottom w:val="single" w:sz="2" w:space="0" w:color="000000"/>
            </w:tcBorders>
          </w:tcPr>
          <w:p w14:paraId="286143A6"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366CFE6A"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0E68EA73" w14:textId="77777777" w:rsidR="00084F36" w:rsidRPr="00EB2BD8" w:rsidRDefault="00084F36">
            <w:pPr>
              <w:pStyle w:val="TableParagraph"/>
              <w:rPr>
                <w:rFonts w:ascii="Times New Roman"/>
                <w:sz w:val="16"/>
              </w:rPr>
            </w:pPr>
          </w:p>
        </w:tc>
      </w:tr>
      <w:tr w:rsidR="00EB2BD8" w:rsidRPr="00EB2BD8" w14:paraId="543EFCE4" w14:textId="77777777">
        <w:trPr>
          <w:trHeight w:val="323"/>
        </w:trPr>
        <w:tc>
          <w:tcPr>
            <w:tcW w:w="1749" w:type="dxa"/>
            <w:tcBorders>
              <w:top w:val="single" w:sz="2" w:space="0" w:color="000000"/>
            </w:tcBorders>
          </w:tcPr>
          <w:p w14:paraId="40AC26A2" w14:textId="77777777" w:rsidR="00084F36" w:rsidRPr="00EB2BD8" w:rsidRDefault="00EB2BD8">
            <w:pPr>
              <w:pStyle w:val="TableParagraph"/>
              <w:spacing w:before="113"/>
              <w:ind w:left="113"/>
              <w:rPr>
                <w:sz w:val="16"/>
              </w:rPr>
            </w:pPr>
            <w:r w:rsidRPr="00EB2BD8">
              <w:rPr>
                <w:spacing w:val="-2"/>
                <w:sz w:val="16"/>
              </w:rPr>
              <w:t>Dhuri</w:t>
            </w:r>
            <w:r w:rsidRPr="00EB2BD8">
              <w:rPr>
                <w:spacing w:val="-9"/>
                <w:sz w:val="16"/>
              </w:rPr>
              <w:t xml:space="preserve"> </w:t>
            </w:r>
            <w:r w:rsidRPr="00EB2BD8">
              <w:rPr>
                <w:spacing w:val="-2"/>
                <w:sz w:val="16"/>
              </w:rPr>
              <w:t>Homes</w:t>
            </w:r>
            <w:r w:rsidRPr="00EB2BD8">
              <w:rPr>
                <w:spacing w:val="-8"/>
                <w:sz w:val="16"/>
              </w:rPr>
              <w:t xml:space="preserve"> </w:t>
            </w:r>
            <w:r w:rsidRPr="00EB2BD8">
              <w:rPr>
                <w:spacing w:val="-5"/>
                <w:sz w:val="16"/>
              </w:rPr>
              <w:t>Pty</w:t>
            </w:r>
          </w:p>
        </w:tc>
        <w:tc>
          <w:tcPr>
            <w:tcW w:w="1460" w:type="dxa"/>
            <w:tcBorders>
              <w:top w:val="single" w:sz="2" w:space="0" w:color="000000"/>
            </w:tcBorders>
          </w:tcPr>
          <w:p w14:paraId="2752DEA8" w14:textId="77777777" w:rsidR="00084F36" w:rsidRPr="00EB2BD8" w:rsidRDefault="00EB2BD8">
            <w:pPr>
              <w:pStyle w:val="TableParagraph"/>
              <w:spacing w:before="113"/>
              <w:ind w:left="121"/>
              <w:rPr>
                <w:sz w:val="16"/>
              </w:rPr>
            </w:pPr>
            <w:r w:rsidRPr="00EB2BD8">
              <w:rPr>
                <w:spacing w:val="2"/>
                <w:sz w:val="16"/>
              </w:rPr>
              <w:t>CDB-U</w:t>
            </w:r>
            <w:r w:rsidRPr="00EB2BD8">
              <w:rPr>
                <w:spacing w:val="17"/>
                <w:sz w:val="16"/>
              </w:rPr>
              <w:t xml:space="preserve"> </w:t>
            </w:r>
            <w:r w:rsidRPr="00EB2BD8">
              <w:rPr>
                <w:spacing w:val="-2"/>
                <w:sz w:val="16"/>
              </w:rPr>
              <w:t>74072</w:t>
            </w:r>
          </w:p>
        </w:tc>
        <w:tc>
          <w:tcPr>
            <w:tcW w:w="2457" w:type="dxa"/>
            <w:tcBorders>
              <w:top w:val="single" w:sz="2" w:space="0" w:color="000000"/>
            </w:tcBorders>
          </w:tcPr>
          <w:p w14:paraId="3134A9A6" w14:textId="77777777" w:rsidR="00084F36" w:rsidRPr="00EB2BD8" w:rsidRDefault="00EB2BD8">
            <w:pPr>
              <w:pStyle w:val="TableParagraph"/>
              <w:spacing w:before="113"/>
              <w:ind w:left="294"/>
              <w:rPr>
                <w:sz w:val="16"/>
              </w:rPr>
            </w:pPr>
            <w:r w:rsidRPr="00EB2BD8">
              <w:rPr>
                <w:sz w:val="16"/>
              </w:rPr>
              <w:t xml:space="preserve">Being given a breach </w:t>
            </w:r>
            <w:r w:rsidRPr="00EB2BD8">
              <w:rPr>
                <w:spacing w:val="-5"/>
                <w:sz w:val="16"/>
              </w:rPr>
              <w:t>of</w:t>
            </w:r>
          </w:p>
        </w:tc>
        <w:tc>
          <w:tcPr>
            <w:tcW w:w="2277" w:type="dxa"/>
            <w:tcBorders>
              <w:top w:val="single" w:sz="2" w:space="0" w:color="000000"/>
            </w:tcBorders>
          </w:tcPr>
          <w:p w14:paraId="4C5D1E3F" w14:textId="77777777" w:rsidR="00084F36" w:rsidRPr="00EB2BD8" w:rsidRDefault="00EB2BD8">
            <w:pPr>
              <w:pStyle w:val="TableParagraph"/>
              <w:spacing w:before="112"/>
              <w:ind w:left="116"/>
              <w:rPr>
                <w:sz w:val="16"/>
              </w:rPr>
            </w:pPr>
            <w:r w:rsidRPr="00EB2BD8">
              <w:rPr>
                <w:spacing w:val="-2"/>
                <w:sz w:val="16"/>
              </w:rPr>
              <w:t>Reprimand,</w:t>
            </w:r>
            <w:r w:rsidRPr="00EB2BD8">
              <w:rPr>
                <w:spacing w:val="2"/>
                <w:sz w:val="16"/>
              </w:rPr>
              <w:t xml:space="preserve"> </w:t>
            </w:r>
            <w:r w:rsidRPr="00EB2BD8">
              <w:rPr>
                <w:spacing w:val="-2"/>
                <w:sz w:val="16"/>
              </w:rPr>
              <w:t>penalty</w:t>
            </w:r>
          </w:p>
        </w:tc>
        <w:tc>
          <w:tcPr>
            <w:tcW w:w="1078" w:type="dxa"/>
            <w:tcBorders>
              <w:top w:val="single" w:sz="2" w:space="0" w:color="000000"/>
            </w:tcBorders>
          </w:tcPr>
          <w:p w14:paraId="2B5E21AB" w14:textId="77777777" w:rsidR="00084F36" w:rsidRPr="00EB2BD8" w:rsidRDefault="00EB2BD8">
            <w:pPr>
              <w:pStyle w:val="TableParagraph"/>
              <w:spacing w:before="112"/>
              <w:ind w:right="107"/>
              <w:jc w:val="right"/>
              <w:rPr>
                <w:sz w:val="16"/>
              </w:rPr>
            </w:pPr>
            <w:r w:rsidRPr="00EB2BD8">
              <w:rPr>
                <w:spacing w:val="-2"/>
                <w:sz w:val="16"/>
              </w:rPr>
              <w:t>$4,000</w:t>
            </w:r>
          </w:p>
        </w:tc>
        <w:tc>
          <w:tcPr>
            <w:tcW w:w="1175" w:type="dxa"/>
            <w:tcBorders>
              <w:top w:val="single" w:sz="2" w:space="0" w:color="000000"/>
            </w:tcBorders>
          </w:tcPr>
          <w:p w14:paraId="553E5B3C" w14:textId="77777777" w:rsidR="00084F36" w:rsidRPr="00EB2BD8" w:rsidRDefault="00EB2BD8">
            <w:pPr>
              <w:pStyle w:val="TableParagraph"/>
              <w:spacing w:before="112"/>
              <w:ind w:left="117"/>
              <w:rPr>
                <w:sz w:val="16"/>
              </w:rPr>
            </w:pPr>
            <w:r w:rsidRPr="00EB2BD8">
              <w:rPr>
                <w:spacing w:val="-2"/>
                <w:w w:val="95"/>
                <w:sz w:val="16"/>
              </w:rPr>
              <w:t>28/06/2023</w:t>
            </w:r>
          </w:p>
        </w:tc>
      </w:tr>
      <w:tr w:rsidR="00EB2BD8" w:rsidRPr="00EB2BD8" w14:paraId="2DF503F1" w14:textId="77777777">
        <w:trPr>
          <w:trHeight w:val="229"/>
        </w:trPr>
        <w:tc>
          <w:tcPr>
            <w:tcW w:w="1749" w:type="dxa"/>
          </w:tcPr>
          <w:p w14:paraId="0F78867B" w14:textId="77777777" w:rsidR="00084F36" w:rsidRPr="00EB2BD8" w:rsidRDefault="00EB2BD8">
            <w:pPr>
              <w:pStyle w:val="TableParagraph"/>
              <w:spacing w:before="19"/>
              <w:ind w:left="113"/>
              <w:rPr>
                <w:sz w:val="16"/>
              </w:rPr>
            </w:pPr>
            <w:r w:rsidRPr="00EB2BD8">
              <w:rPr>
                <w:spacing w:val="-5"/>
                <w:w w:val="105"/>
                <w:sz w:val="16"/>
              </w:rPr>
              <w:t>Ltd</w:t>
            </w:r>
          </w:p>
        </w:tc>
        <w:tc>
          <w:tcPr>
            <w:tcW w:w="1460" w:type="dxa"/>
          </w:tcPr>
          <w:p w14:paraId="1DCBD362" w14:textId="77777777" w:rsidR="00084F36" w:rsidRPr="00EB2BD8" w:rsidRDefault="00084F36">
            <w:pPr>
              <w:pStyle w:val="TableParagraph"/>
              <w:rPr>
                <w:rFonts w:ascii="Times New Roman"/>
                <w:sz w:val="16"/>
              </w:rPr>
            </w:pPr>
          </w:p>
        </w:tc>
        <w:tc>
          <w:tcPr>
            <w:tcW w:w="2457" w:type="dxa"/>
          </w:tcPr>
          <w:p w14:paraId="2F792102" w14:textId="77777777" w:rsidR="00084F36" w:rsidRPr="00EB2BD8" w:rsidRDefault="00EB2BD8">
            <w:pPr>
              <w:pStyle w:val="TableParagraph"/>
              <w:spacing w:before="19"/>
              <w:ind w:left="294"/>
              <w:rPr>
                <w:sz w:val="16"/>
              </w:rPr>
            </w:pPr>
            <w:r w:rsidRPr="00EB2BD8">
              <w:rPr>
                <w:spacing w:val="-2"/>
                <w:sz w:val="16"/>
              </w:rPr>
              <w:t>dispute</w:t>
            </w:r>
            <w:r w:rsidRPr="00EB2BD8">
              <w:rPr>
                <w:spacing w:val="-8"/>
                <w:sz w:val="16"/>
              </w:rPr>
              <w:t xml:space="preserve"> </w:t>
            </w:r>
            <w:r w:rsidRPr="00EB2BD8">
              <w:rPr>
                <w:spacing w:val="-2"/>
                <w:sz w:val="16"/>
              </w:rPr>
              <w:t>resolution</w:t>
            </w:r>
            <w:r w:rsidRPr="00EB2BD8">
              <w:rPr>
                <w:spacing w:val="-8"/>
                <w:sz w:val="16"/>
              </w:rPr>
              <w:t xml:space="preserve"> </w:t>
            </w:r>
            <w:r w:rsidRPr="00EB2BD8">
              <w:rPr>
                <w:spacing w:val="-4"/>
                <w:sz w:val="16"/>
              </w:rPr>
              <w:t>order</w:t>
            </w:r>
          </w:p>
        </w:tc>
        <w:tc>
          <w:tcPr>
            <w:tcW w:w="2277" w:type="dxa"/>
          </w:tcPr>
          <w:p w14:paraId="54F40B5D" w14:textId="77777777" w:rsidR="00084F36" w:rsidRPr="00EB2BD8" w:rsidRDefault="00EB2BD8">
            <w:pPr>
              <w:pStyle w:val="TableParagraph"/>
              <w:spacing w:before="19"/>
              <w:ind w:left="116"/>
              <w:rPr>
                <w:sz w:val="16"/>
              </w:rPr>
            </w:pPr>
            <w:r w:rsidRPr="00EB2BD8">
              <w:rPr>
                <w:spacing w:val="-2"/>
                <w:sz w:val="16"/>
              </w:rPr>
              <w:t>of</w:t>
            </w:r>
            <w:r w:rsidRPr="00EB2BD8">
              <w:rPr>
                <w:spacing w:val="-11"/>
                <w:sz w:val="16"/>
              </w:rPr>
              <w:t xml:space="preserve"> </w:t>
            </w:r>
            <w:r w:rsidRPr="00EB2BD8">
              <w:rPr>
                <w:spacing w:val="-2"/>
                <w:sz w:val="16"/>
              </w:rPr>
              <w:t>$4,000</w:t>
            </w:r>
            <w:r w:rsidRPr="00EB2BD8">
              <w:rPr>
                <w:spacing w:val="-10"/>
                <w:sz w:val="16"/>
              </w:rPr>
              <w:t xml:space="preserve"> </w:t>
            </w:r>
            <w:r w:rsidRPr="00EB2BD8">
              <w:rPr>
                <w:spacing w:val="-2"/>
                <w:sz w:val="16"/>
              </w:rPr>
              <w:t>and</w:t>
            </w:r>
            <w:r w:rsidRPr="00EB2BD8">
              <w:rPr>
                <w:spacing w:val="-10"/>
                <w:sz w:val="16"/>
              </w:rPr>
              <w:t xml:space="preserve"> </w:t>
            </w:r>
            <w:r w:rsidRPr="00EB2BD8">
              <w:rPr>
                <w:spacing w:val="-2"/>
                <w:sz w:val="16"/>
              </w:rPr>
              <w:t>partial</w:t>
            </w:r>
          </w:p>
        </w:tc>
        <w:tc>
          <w:tcPr>
            <w:tcW w:w="1078" w:type="dxa"/>
          </w:tcPr>
          <w:p w14:paraId="3164CD1F" w14:textId="77777777" w:rsidR="00084F36" w:rsidRPr="00EB2BD8" w:rsidRDefault="00084F36">
            <w:pPr>
              <w:pStyle w:val="TableParagraph"/>
              <w:rPr>
                <w:rFonts w:ascii="Times New Roman"/>
                <w:sz w:val="16"/>
              </w:rPr>
            </w:pPr>
          </w:p>
        </w:tc>
        <w:tc>
          <w:tcPr>
            <w:tcW w:w="1175" w:type="dxa"/>
          </w:tcPr>
          <w:p w14:paraId="031DEC0B" w14:textId="77777777" w:rsidR="00084F36" w:rsidRPr="00EB2BD8" w:rsidRDefault="00084F36">
            <w:pPr>
              <w:pStyle w:val="TableParagraph"/>
              <w:rPr>
                <w:rFonts w:ascii="Times New Roman"/>
                <w:sz w:val="16"/>
              </w:rPr>
            </w:pPr>
          </w:p>
        </w:tc>
      </w:tr>
      <w:tr w:rsidR="00EB2BD8" w:rsidRPr="00EB2BD8" w14:paraId="17C5C3E2" w14:textId="77777777">
        <w:trPr>
          <w:trHeight w:val="229"/>
        </w:trPr>
        <w:tc>
          <w:tcPr>
            <w:tcW w:w="1749" w:type="dxa"/>
          </w:tcPr>
          <w:p w14:paraId="2BA4F2E5" w14:textId="77777777" w:rsidR="00084F36" w:rsidRPr="00EB2BD8" w:rsidRDefault="00084F36">
            <w:pPr>
              <w:pStyle w:val="TableParagraph"/>
              <w:rPr>
                <w:rFonts w:ascii="Times New Roman"/>
                <w:sz w:val="16"/>
              </w:rPr>
            </w:pPr>
          </w:p>
        </w:tc>
        <w:tc>
          <w:tcPr>
            <w:tcW w:w="1460" w:type="dxa"/>
          </w:tcPr>
          <w:p w14:paraId="72070A76" w14:textId="77777777" w:rsidR="00084F36" w:rsidRPr="00EB2BD8" w:rsidRDefault="00084F36">
            <w:pPr>
              <w:pStyle w:val="TableParagraph"/>
              <w:rPr>
                <w:rFonts w:ascii="Times New Roman"/>
                <w:sz w:val="16"/>
              </w:rPr>
            </w:pPr>
          </w:p>
        </w:tc>
        <w:tc>
          <w:tcPr>
            <w:tcW w:w="2457" w:type="dxa"/>
          </w:tcPr>
          <w:p w14:paraId="132957D1" w14:textId="77777777" w:rsidR="00084F36" w:rsidRPr="00EB2BD8" w:rsidRDefault="00EB2BD8">
            <w:pPr>
              <w:pStyle w:val="TableParagraph"/>
              <w:spacing w:before="19"/>
              <w:ind w:left="294"/>
              <w:rPr>
                <w:sz w:val="16"/>
              </w:rPr>
            </w:pPr>
            <w:r w:rsidRPr="00EB2BD8">
              <w:rPr>
                <w:spacing w:val="-2"/>
                <w:sz w:val="16"/>
              </w:rPr>
              <w:t>notice</w:t>
            </w:r>
          </w:p>
        </w:tc>
        <w:tc>
          <w:tcPr>
            <w:tcW w:w="2277" w:type="dxa"/>
          </w:tcPr>
          <w:p w14:paraId="341AA5A6" w14:textId="77777777" w:rsidR="00084F36" w:rsidRPr="00EB2BD8" w:rsidRDefault="00EB2BD8">
            <w:pPr>
              <w:pStyle w:val="TableParagraph"/>
              <w:spacing w:before="19"/>
              <w:ind w:left="116"/>
              <w:rPr>
                <w:sz w:val="16"/>
              </w:rPr>
            </w:pPr>
            <w:r w:rsidRPr="00EB2BD8">
              <w:rPr>
                <w:spacing w:val="-2"/>
                <w:sz w:val="16"/>
              </w:rPr>
              <w:t>suspension</w:t>
            </w:r>
            <w:r w:rsidRPr="00EB2BD8">
              <w:rPr>
                <w:spacing w:val="-5"/>
                <w:sz w:val="16"/>
              </w:rPr>
              <w:t xml:space="preserve"> </w:t>
            </w:r>
            <w:r w:rsidRPr="00EB2BD8">
              <w:rPr>
                <w:spacing w:val="-2"/>
                <w:sz w:val="16"/>
              </w:rPr>
              <w:t>until</w:t>
            </w:r>
          </w:p>
        </w:tc>
        <w:tc>
          <w:tcPr>
            <w:tcW w:w="1078" w:type="dxa"/>
          </w:tcPr>
          <w:p w14:paraId="7D519809" w14:textId="77777777" w:rsidR="00084F36" w:rsidRPr="00EB2BD8" w:rsidRDefault="00084F36">
            <w:pPr>
              <w:pStyle w:val="TableParagraph"/>
              <w:rPr>
                <w:rFonts w:ascii="Times New Roman"/>
                <w:sz w:val="16"/>
              </w:rPr>
            </w:pPr>
          </w:p>
        </w:tc>
        <w:tc>
          <w:tcPr>
            <w:tcW w:w="1175" w:type="dxa"/>
          </w:tcPr>
          <w:p w14:paraId="3E427D17" w14:textId="77777777" w:rsidR="00084F36" w:rsidRPr="00EB2BD8" w:rsidRDefault="00084F36">
            <w:pPr>
              <w:pStyle w:val="TableParagraph"/>
              <w:rPr>
                <w:rFonts w:ascii="Times New Roman"/>
                <w:sz w:val="16"/>
              </w:rPr>
            </w:pPr>
          </w:p>
        </w:tc>
      </w:tr>
      <w:tr w:rsidR="00EB2BD8" w:rsidRPr="00EB2BD8" w14:paraId="51594753" w14:textId="77777777">
        <w:trPr>
          <w:trHeight w:val="288"/>
        </w:trPr>
        <w:tc>
          <w:tcPr>
            <w:tcW w:w="1749" w:type="dxa"/>
            <w:tcBorders>
              <w:bottom w:val="single" w:sz="2" w:space="0" w:color="000000"/>
            </w:tcBorders>
          </w:tcPr>
          <w:p w14:paraId="18F8777E" w14:textId="77777777" w:rsidR="00084F36" w:rsidRPr="00EB2BD8" w:rsidRDefault="00084F36">
            <w:pPr>
              <w:pStyle w:val="TableParagraph"/>
              <w:rPr>
                <w:rFonts w:ascii="Times New Roman"/>
                <w:sz w:val="16"/>
              </w:rPr>
            </w:pPr>
          </w:p>
        </w:tc>
        <w:tc>
          <w:tcPr>
            <w:tcW w:w="1460" w:type="dxa"/>
            <w:tcBorders>
              <w:bottom w:val="single" w:sz="2" w:space="0" w:color="000000"/>
            </w:tcBorders>
          </w:tcPr>
          <w:p w14:paraId="0F0CCDB4" w14:textId="77777777" w:rsidR="00084F36" w:rsidRPr="00EB2BD8" w:rsidRDefault="00084F36">
            <w:pPr>
              <w:pStyle w:val="TableParagraph"/>
              <w:rPr>
                <w:rFonts w:ascii="Times New Roman"/>
                <w:sz w:val="16"/>
              </w:rPr>
            </w:pPr>
          </w:p>
        </w:tc>
        <w:tc>
          <w:tcPr>
            <w:tcW w:w="2457" w:type="dxa"/>
            <w:tcBorders>
              <w:bottom w:val="single" w:sz="2" w:space="0" w:color="000000"/>
            </w:tcBorders>
          </w:tcPr>
          <w:p w14:paraId="793C3D51" w14:textId="77777777" w:rsidR="00084F36" w:rsidRPr="00EB2BD8" w:rsidRDefault="00084F36">
            <w:pPr>
              <w:pStyle w:val="TableParagraph"/>
              <w:rPr>
                <w:rFonts w:ascii="Times New Roman"/>
                <w:sz w:val="16"/>
              </w:rPr>
            </w:pPr>
          </w:p>
        </w:tc>
        <w:tc>
          <w:tcPr>
            <w:tcW w:w="2277" w:type="dxa"/>
            <w:tcBorders>
              <w:bottom w:val="single" w:sz="2" w:space="0" w:color="000000"/>
            </w:tcBorders>
          </w:tcPr>
          <w:p w14:paraId="17093ED8" w14:textId="77777777" w:rsidR="00084F36" w:rsidRPr="00EB2BD8" w:rsidRDefault="00EB2BD8">
            <w:pPr>
              <w:pStyle w:val="TableParagraph"/>
              <w:spacing w:before="19"/>
              <w:ind w:left="116"/>
              <w:rPr>
                <w:sz w:val="16"/>
              </w:rPr>
            </w:pPr>
            <w:r w:rsidRPr="00EB2BD8">
              <w:rPr>
                <w:sz w:val="16"/>
              </w:rPr>
              <w:t>compliance</w:t>
            </w:r>
            <w:r w:rsidRPr="00EB2BD8">
              <w:rPr>
                <w:spacing w:val="5"/>
                <w:sz w:val="16"/>
              </w:rPr>
              <w:t xml:space="preserve"> </w:t>
            </w:r>
            <w:r w:rsidRPr="00EB2BD8">
              <w:rPr>
                <w:spacing w:val="-2"/>
                <w:sz w:val="16"/>
              </w:rPr>
              <w:t>achieved</w:t>
            </w:r>
          </w:p>
        </w:tc>
        <w:tc>
          <w:tcPr>
            <w:tcW w:w="1078" w:type="dxa"/>
            <w:tcBorders>
              <w:bottom w:val="single" w:sz="2" w:space="0" w:color="000000"/>
            </w:tcBorders>
          </w:tcPr>
          <w:p w14:paraId="58BCA608"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583A5846" w14:textId="77777777" w:rsidR="00084F36" w:rsidRPr="00EB2BD8" w:rsidRDefault="00084F36">
            <w:pPr>
              <w:pStyle w:val="TableParagraph"/>
              <w:rPr>
                <w:rFonts w:ascii="Times New Roman"/>
                <w:sz w:val="16"/>
              </w:rPr>
            </w:pPr>
          </w:p>
        </w:tc>
      </w:tr>
      <w:tr w:rsidR="00EB2BD8" w:rsidRPr="00EB2BD8" w14:paraId="3754FFA0" w14:textId="77777777">
        <w:trPr>
          <w:trHeight w:val="322"/>
        </w:trPr>
        <w:tc>
          <w:tcPr>
            <w:tcW w:w="1749" w:type="dxa"/>
            <w:tcBorders>
              <w:top w:val="single" w:sz="2" w:space="0" w:color="000000"/>
            </w:tcBorders>
          </w:tcPr>
          <w:p w14:paraId="69122972" w14:textId="77777777" w:rsidR="00084F36" w:rsidRPr="00EB2BD8" w:rsidRDefault="00EB2BD8">
            <w:pPr>
              <w:pStyle w:val="TableParagraph"/>
              <w:spacing w:before="112"/>
              <w:ind w:left="113"/>
              <w:rPr>
                <w:sz w:val="16"/>
              </w:rPr>
            </w:pPr>
            <w:r w:rsidRPr="00EB2BD8">
              <w:rPr>
                <w:sz w:val="16"/>
              </w:rPr>
              <w:t>Dwell</w:t>
            </w:r>
            <w:r w:rsidRPr="00EB2BD8">
              <w:rPr>
                <w:spacing w:val="-11"/>
                <w:sz w:val="16"/>
              </w:rPr>
              <w:t xml:space="preserve"> </w:t>
            </w:r>
            <w:r w:rsidRPr="00EB2BD8">
              <w:rPr>
                <w:sz w:val="16"/>
              </w:rPr>
              <w:t>Group</w:t>
            </w:r>
            <w:r w:rsidRPr="00EB2BD8">
              <w:rPr>
                <w:spacing w:val="-10"/>
                <w:sz w:val="16"/>
              </w:rPr>
              <w:t xml:space="preserve"> </w:t>
            </w:r>
            <w:r w:rsidRPr="00EB2BD8">
              <w:rPr>
                <w:sz w:val="16"/>
              </w:rPr>
              <w:t>Pty</w:t>
            </w:r>
            <w:r w:rsidRPr="00EB2BD8">
              <w:rPr>
                <w:spacing w:val="-10"/>
                <w:sz w:val="16"/>
              </w:rPr>
              <w:t xml:space="preserve"> </w:t>
            </w:r>
            <w:r w:rsidRPr="00EB2BD8">
              <w:rPr>
                <w:spacing w:val="-5"/>
                <w:sz w:val="16"/>
              </w:rPr>
              <w:t>Ltd</w:t>
            </w:r>
          </w:p>
        </w:tc>
        <w:tc>
          <w:tcPr>
            <w:tcW w:w="1460" w:type="dxa"/>
            <w:tcBorders>
              <w:top w:val="single" w:sz="2" w:space="0" w:color="000000"/>
            </w:tcBorders>
          </w:tcPr>
          <w:p w14:paraId="78CCE2A3" w14:textId="77777777" w:rsidR="00084F36" w:rsidRPr="00EB2BD8" w:rsidRDefault="00EB2BD8">
            <w:pPr>
              <w:pStyle w:val="TableParagraph"/>
              <w:spacing w:before="112"/>
              <w:ind w:left="121"/>
              <w:rPr>
                <w:sz w:val="16"/>
              </w:rPr>
            </w:pPr>
            <w:r w:rsidRPr="00EB2BD8">
              <w:rPr>
                <w:spacing w:val="2"/>
                <w:sz w:val="16"/>
              </w:rPr>
              <w:t>CDB-U</w:t>
            </w:r>
            <w:r w:rsidRPr="00EB2BD8">
              <w:rPr>
                <w:spacing w:val="17"/>
                <w:sz w:val="16"/>
              </w:rPr>
              <w:t xml:space="preserve"> </w:t>
            </w:r>
            <w:r w:rsidRPr="00EB2BD8">
              <w:rPr>
                <w:spacing w:val="-2"/>
                <w:sz w:val="16"/>
              </w:rPr>
              <w:t>52440</w:t>
            </w:r>
          </w:p>
        </w:tc>
        <w:tc>
          <w:tcPr>
            <w:tcW w:w="2457" w:type="dxa"/>
            <w:tcBorders>
              <w:top w:val="single" w:sz="2" w:space="0" w:color="000000"/>
            </w:tcBorders>
          </w:tcPr>
          <w:p w14:paraId="671F7A74" w14:textId="77777777" w:rsidR="00084F36" w:rsidRPr="00EB2BD8" w:rsidRDefault="00EB2BD8">
            <w:pPr>
              <w:pStyle w:val="TableParagraph"/>
              <w:spacing w:before="112"/>
              <w:ind w:left="294"/>
              <w:rPr>
                <w:sz w:val="16"/>
              </w:rPr>
            </w:pPr>
            <w:r w:rsidRPr="00EB2BD8">
              <w:rPr>
                <w:sz w:val="16"/>
              </w:rPr>
              <w:t>Building</w:t>
            </w:r>
            <w:r w:rsidRPr="00EB2BD8">
              <w:rPr>
                <w:spacing w:val="-13"/>
                <w:sz w:val="16"/>
              </w:rPr>
              <w:t xml:space="preserve"> </w:t>
            </w:r>
            <w:r w:rsidRPr="00EB2BD8">
              <w:rPr>
                <w:sz w:val="16"/>
              </w:rPr>
              <w:t>without</w:t>
            </w:r>
            <w:r w:rsidRPr="00EB2BD8">
              <w:rPr>
                <w:spacing w:val="-13"/>
                <w:sz w:val="16"/>
              </w:rPr>
              <w:t xml:space="preserve"> </w:t>
            </w:r>
            <w:r w:rsidRPr="00EB2BD8">
              <w:rPr>
                <w:sz w:val="16"/>
              </w:rPr>
              <w:t>a</w:t>
            </w:r>
            <w:r w:rsidRPr="00EB2BD8">
              <w:rPr>
                <w:spacing w:val="-12"/>
                <w:sz w:val="16"/>
              </w:rPr>
              <w:t xml:space="preserve"> </w:t>
            </w:r>
            <w:r w:rsidRPr="00EB2BD8">
              <w:rPr>
                <w:spacing w:val="-2"/>
                <w:sz w:val="16"/>
              </w:rPr>
              <w:t>building</w:t>
            </w:r>
          </w:p>
        </w:tc>
        <w:tc>
          <w:tcPr>
            <w:tcW w:w="2277" w:type="dxa"/>
            <w:tcBorders>
              <w:top w:val="single" w:sz="2" w:space="0" w:color="000000"/>
            </w:tcBorders>
          </w:tcPr>
          <w:p w14:paraId="3DA99C11" w14:textId="77777777" w:rsidR="00084F36" w:rsidRPr="00EB2BD8" w:rsidRDefault="00EB2BD8">
            <w:pPr>
              <w:pStyle w:val="TableParagraph"/>
              <w:spacing w:before="112"/>
              <w:ind w:left="116"/>
              <w:rPr>
                <w:sz w:val="16"/>
              </w:rPr>
            </w:pPr>
            <w:r w:rsidRPr="00EB2BD8">
              <w:rPr>
                <w:sz w:val="16"/>
              </w:rPr>
              <w:t>Reprimands,</w:t>
            </w:r>
            <w:r w:rsidRPr="00EB2BD8">
              <w:rPr>
                <w:spacing w:val="-9"/>
                <w:sz w:val="16"/>
              </w:rPr>
              <w:t xml:space="preserve"> </w:t>
            </w:r>
            <w:r w:rsidRPr="00EB2BD8">
              <w:rPr>
                <w:sz w:val="16"/>
              </w:rPr>
              <w:t>a</w:t>
            </w:r>
            <w:r w:rsidRPr="00EB2BD8">
              <w:rPr>
                <w:spacing w:val="-8"/>
                <w:sz w:val="16"/>
              </w:rPr>
              <w:t xml:space="preserve"> </w:t>
            </w:r>
            <w:r w:rsidRPr="00EB2BD8">
              <w:rPr>
                <w:sz w:val="16"/>
              </w:rPr>
              <w:t>penalty</w:t>
            </w:r>
            <w:r w:rsidRPr="00EB2BD8">
              <w:rPr>
                <w:spacing w:val="-8"/>
                <w:sz w:val="16"/>
              </w:rPr>
              <w:t xml:space="preserve"> </w:t>
            </w:r>
            <w:r w:rsidRPr="00EB2BD8">
              <w:rPr>
                <w:spacing w:val="-5"/>
                <w:sz w:val="16"/>
              </w:rPr>
              <w:t>of</w:t>
            </w:r>
          </w:p>
        </w:tc>
        <w:tc>
          <w:tcPr>
            <w:tcW w:w="1078" w:type="dxa"/>
            <w:tcBorders>
              <w:top w:val="single" w:sz="2" w:space="0" w:color="000000"/>
            </w:tcBorders>
          </w:tcPr>
          <w:p w14:paraId="2ED50F8B" w14:textId="77777777" w:rsidR="00084F36" w:rsidRPr="00EB2BD8" w:rsidRDefault="00EB2BD8">
            <w:pPr>
              <w:pStyle w:val="TableParagraph"/>
              <w:spacing w:before="112"/>
              <w:ind w:right="107"/>
              <w:jc w:val="right"/>
              <w:rPr>
                <w:sz w:val="16"/>
              </w:rPr>
            </w:pPr>
            <w:r w:rsidRPr="00EB2BD8">
              <w:rPr>
                <w:spacing w:val="-2"/>
                <w:sz w:val="16"/>
              </w:rPr>
              <w:t>$5,000</w:t>
            </w:r>
          </w:p>
        </w:tc>
        <w:tc>
          <w:tcPr>
            <w:tcW w:w="1175" w:type="dxa"/>
            <w:tcBorders>
              <w:top w:val="single" w:sz="2" w:space="0" w:color="000000"/>
            </w:tcBorders>
          </w:tcPr>
          <w:p w14:paraId="3EC21965" w14:textId="77777777" w:rsidR="00084F36" w:rsidRPr="00EB2BD8" w:rsidRDefault="00EB2BD8">
            <w:pPr>
              <w:pStyle w:val="TableParagraph"/>
              <w:spacing w:before="112"/>
              <w:ind w:left="117"/>
              <w:rPr>
                <w:sz w:val="16"/>
              </w:rPr>
            </w:pPr>
            <w:r w:rsidRPr="00EB2BD8">
              <w:rPr>
                <w:spacing w:val="-2"/>
                <w:w w:val="90"/>
                <w:sz w:val="16"/>
              </w:rPr>
              <w:t>17/08/2022</w:t>
            </w:r>
          </w:p>
        </w:tc>
      </w:tr>
      <w:tr w:rsidR="00EB2BD8" w:rsidRPr="00EB2BD8" w14:paraId="1CB12518" w14:textId="77777777">
        <w:trPr>
          <w:trHeight w:val="229"/>
        </w:trPr>
        <w:tc>
          <w:tcPr>
            <w:tcW w:w="1749" w:type="dxa"/>
          </w:tcPr>
          <w:p w14:paraId="52DF5EFC" w14:textId="77777777" w:rsidR="00084F36" w:rsidRPr="00EB2BD8" w:rsidRDefault="00084F36">
            <w:pPr>
              <w:pStyle w:val="TableParagraph"/>
              <w:rPr>
                <w:rFonts w:ascii="Times New Roman"/>
                <w:sz w:val="16"/>
              </w:rPr>
            </w:pPr>
          </w:p>
        </w:tc>
        <w:tc>
          <w:tcPr>
            <w:tcW w:w="1460" w:type="dxa"/>
          </w:tcPr>
          <w:p w14:paraId="5E4BDCC9" w14:textId="77777777" w:rsidR="00084F36" w:rsidRPr="00EB2BD8" w:rsidRDefault="00084F36">
            <w:pPr>
              <w:pStyle w:val="TableParagraph"/>
              <w:rPr>
                <w:rFonts w:ascii="Times New Roman"/>
                <w:sz w:val="16"/>
              </w:rPr>
            </w:pPr>
          </w:p>
        </w:tc>
        <w:tc>
          <w:tcPr>
            <w:tcW w:w="2457" w:type="dxa"/>
          </w:tcPr>
          <w:p w14:paraId="1F61F2CC" w14:textId="77777777" w:rsidR="00084F36" w:rsidRPr="00EB2BD8" w:rsidRDefault="00EB2BD8">
            <w:pPr>
              <w:pStyle w:val="TableParagraph"/>
              <w:spacing w:before="19"/>
              <w:ind w:left="294"/>
              <w:rPr>
                <w:sz w:val="16"/>
              </w:rPr>
            </w:pPr>
            <w:r w:rsidRPr="00EB2BD8">
              <w:rPr>
                <w:spacing w:val="-2"/>
                <w:sz w:val="16"/>
              </w:rPr>
              <w:t>permit</w:t>
            </w:r>
            <w:r w:rsidRPr="00EB2BD8">
              <w:rPr>
                <w:spacing w:val="-6"/>
                <w:sz w:val="16"/>
              </w:rPr>
              <w:t xml:space="preserve"> </w:t>
            </w:r>
            <w:r w:rsidRPr="00EB2BD8">
              <w:rPr>
                <w:spacing w:val="-2"/>
                <w:sz w:val="16"/>
              </w:rPr>
              <w:t>in</w:t>
            </w:r>
            <w:r w:rsidRPr="00EB2BD8">
              <w:rPr>
                <w:spacing w:val="-5"/>
                <w:sz w:val="16"/>
              </w:rPr>
              <w:t xml:space="preserve"> </w:t>
            </w:r>
            <w:r w:rsidRPr="00EB2BD8">
              <w:rPr>
                <w:spacing w:val="-2"/>
                <w:sz w:val="16"/>
              </w:rPr>
              <w:t>respect</w:t>
            </w:r>
            <w:r w:rsidRPr="00EB2BD8">
              <w:rPr>
                <w:spacing w:val="-5"/>
                <w:sz w:val="16"/>
              </w:rPr>
              <w:t xml:space="preserve"> </w:t>
            </w:r>
            <w:r w:rsidRPr="00EB2BD8">
              <w:rPr>
                <w:spacing w:val="-2"/>
                <w:sz w:val="16"/>
              </w:rPr>
              <w:t>of</w:t>
            </w:r>
            <w:r w:rsidRPr="00EB2BD8">
              <w:rPr>
                <w:spacing w:val="-5"/>
                <w:sz w:val="16"/>
              </w:rPr>
              <w:t xml:space="preserve"> </w:t>
            </w:r>
            <w:r w:rsidRPr="00EB2BD8">
              <w:rPr>
                <w:spacing w:val="-2"/>
                <w:sz w:val="16"/>
              </w:rPr>
              <w:t>timber</w:t>
            </w:r>
          </w:p>
        </w:tc>
        <w:tc>
          <w:tcPr>
            <w:tcW w:w="2277" w:type="dxa"/>
          </w:tcPr>
          <w:p w14:paraId="0BAC458B" w14:textId="77777777" w:rsidR="00084F36" w:rsidRPr="00EB2BD8" w:rsidRDefault="00EB2BD8">
            <w:pPr>
              <w:pStyle w:val="TableParagraph"/>
              <w:spacing w:before="19"/>
              <w:ind w:left="116"/>
              <w:rPr>
                <w:sz w:val="16"/>
              </w:rPr>
            </w:pPr>
            <w:r w:rsidRPr="00EB2BD8">
              <w:rPr>
                <w:spacing w:val="-2"/>
                <w:sz w:val="16"/>
              </w:rPr>
              <w:t>$5,000</w:t>
            </w:r>
            <w:r w:rsidRPr="00EB2BD8">
              <w:rPr>
                <w:spacing w:val="-8"/>
                <w:sz w:val="16"/>
              </w:rPr>
              <w:t xml:space="preserve"> </w:t>
            </w:r>
            <w:r w:rsidRPr="00EB2BD8">
              <w:rPr>
                <w:spacing w:val="-2"/>
                <w:sz w:val="16"/>
              </w:rPr>
              <w:t>and</w:t>
            </w:r>
            <w:r w:rsidRPr="00EB2BD8">
              <w:rPr>
                <w:spacing w:val="-8"/>
                <w:sz w:val="16"/>
              </w:rPr>
              <w:t xml:space="preserve"> </w:t>
            </w:r>
            <w:r w:rsidRPr="00EB2BD8">
              <w:rPr>
                <w:spacing w:val="-2"/>
                <w:sz w:val="16"/>
              </w:rPr>
              <w:t>a</w:t>
            </w:r>
            <w:r w:rsidRPr="00EB2BD8">
              <w:rPr>
                <w:spacing w:val="-8"/>
                <w:sz w:val="16"/>
              </w:rPr>
              <w:t xml:space="preserve"> </w:t>
            </w:r>
            <w:r w:rsidRPr="00EB2BD8">
              <w:rPr>
                <w:spacing w:val="-2"/>
                <w:sz w:val="16"/>
              </w:rPr>
              <w:t>requirement</w:t>
            </w:r>
          </w:p>
        </w:tc>
        <w:tc>
          <w:tcPr>
            <w:tcW w:w="1078" w:type="dxa"/>
          </w:tcPr>
          <w:p w14:paraId="6AF49945" w14:textId="77777777" w:rsidR="00084F36" w:rsidRPr="00EB2BD8" w:rsidRDefault="00084F36">
            <w:pPr>
              <w:pStyle w:val="TableParagraph"/>
              <w:rPr>
                <w:rFonts w:ascii="Times New Roman"/>
                <w:sz w:val="16"/>
              </w:rPr>
            </w:pPr>
          </w:p>
        </w:tc>
        <w:tc>
          <w:tcPr>
            <w:tcW w:w="1175" w:type="dxa"/>
          </w:tcPr>
          <w:p w14:paraId="44A8D99D" w14:textId="77777777" w:rsidR="00084F36" w:rsidRPr="00EB2BD8" w:rsidRDefault="00084F36">
            <w:pPr>
              <w:pStyle w:val="TableParagraph"/>
              <w:rPr>
                <w:rFonts w:ascii="Times New Roman"/>
                <w:sz w:val="16"/>
              </w:rPr>
            </w:pPr>
          </w:p>
        </w:tc>
      </w:tr>
      <w:tr w:rsidR="00EB2BD8" w:rsidRPr="00EB2BD8" w14:paraId="06626A02" w14:textId="77777777">
        <w:trPr>
          <w:trHeight w:val="229"/>
        </w:trPr>
        <w:tc>
          <w:tcPr>
            <w:tcW w:w="1749" w:type="dxa"/>
          </w:tcPr>
          <w:p w14:paraId="52E8C104" w14:textId="77777777" w:rsidR="00084F36" w:rsidRPr="00EB2BD8" w:rsidRDefault="00084F36">
            <w:pPr>
              <w:pStyle w:val="TableParagraph"/>
              <w:rPr>
                <w:rFonts w:ascii="Times New Roman"/>
                <w:sz w:val="16"/>
              </w:rPr>
            </w:pPr>
          </w:p>
        </w:tc>
        <w:tc>
          <w:tcPr>
            <w:tcW w:w="1460" w:type="dxa"/>
          </w:tcPr>
          <w:p w14:paraId="4641923D" w14:textId="77777777" w:rsidR="00084F36" w:rsidRPr="00EB2BD8" w:rsidRDefault="00084F36">
            <w:pPr>
              <w:pStyle w:val="TableParagraph"/>
              <w:rPr>
                <w:rFonts w:ascii="Times New Roman"/>
                <w:sz w:val="16"/>
              </w:rPr>
            </w:pPr>
          </w:p>
        </w:tc>
        <w:tc>
          <w:tcPr>
            <w:tcW w:w="2457" w:type="dxa"/>
          </w:tcPr>
          <w:p w14:paraId="5C941B8E" w14:textId="77777777" w:rsidR="00084F36" w:rsidRPr="00EB2BD8" w:rsidRDefault="00EB2BD8">
            <w:pPr>
              <w:pStyle w:val="TableParagraph"/>
              <w:spacing w:before="19"/>
              <w:ind w:left="294"/>
              <w:rPr>
                <w:sz w:val="16"/>
              </w:rPr>
            </w:pPr>
            <w:r w:rsidRPr="00EB2BD8">
              <w:rPr>
                <w:spacing w:val="-2"/>
                <w:sz w:val="16"/>
              </w:rPr>
              <w:t>and</w:t>
            </w:r>
            <w:r w:rsidRPr="00EB2BD8">
              <w:rPr>
                <w:spacing w:val="-6"/>
                <w:sz w:val="16"/>
              </w:rPr>
              <w:t xml:space="preserve"> </w:t>
            </w:r>
            <w:r w:rsidRPr="00EB2BD8">
              <w:rPr>
                <w:spacing w:val="-2"/>
                <w:sz w:val="16"/>
              </w:rPr>
              <w:t>steel</w:t>
            </w:r>
            <w:r w:rsidRPr="00EB2BD8">
              <w:rPr>
                <w:spacing w:val="-6"/>
                <w:sz w:val="16"/>
              </w:rPr>
              <w:t xml:space="preserve"> </w:t>
            </w:r>
            <w:r w:rsidRPr="00EB2BD8">
              <w:rPr>
                <w:spacing w:val="-2"/>
                <w:sz w:val="16"/>
              </w:rPr>
              <w:t>frames,</w:t>
            </w:r>
            <w:r w:rsidRPr="00EB2BD8">
              <w:rPr>
                <w:spacing w:val="-6"/>
                <w:sz w:val="16"/>
              </w:rPr>
              <w:t xml:space="preserve"> </w:t>
            </w:r>
            <w:r w:rsidRPr="00EB2BD8">
              <w:rPr>
                <w:spacing w:val="-2"/>
                <w:sz w:val="16"/>
              </w:rPr>
              <w:t>etc,</w:t>
            </w:r>
            <w:r w:rsidRPr="00EB2BD8">
              <w:rPr>
                <w:spacing w:val="-6"/>
                <w:sz w:val="16"/>
              </w:rPr>
              <w:t xml:space="preserve"> </w:t>
            </w:r>
            <w:r w:rsidRPr="00EB2BD8">
              <w:rPr>
                <w:spacing w:val="-2"/>
                <w:sz w:val="16"/>
              </w:rPr>
              <w:t>at</w:t>
            </w:r>
            <w:r w:rsidRPr="00EB2BD8">
              <w:rPr>
                <w:spacing w:val="-6"/>
                <w:sz w:val="16"/>
              </w:rPr>
              <w:t xml:space="preserve"> </w:t>
            </w:r>
            <w:r w:rsidRPr="00EB2BD8">
              <w:rPr>
                <w:spacing w:val="-10"/>
                <w:sz w:val="16"/>
              </w:rPr>
              <w:t>a</w:t>
            </w:r>
          </w:p>
        </w:tc>
        <w:tc>
          <w:tcPr>
            <w:tcW w:w="2277" w:type="dxa"/>
          </w:tcPr>
          <w:p w14:paraId="38F1F7EB" w14:textId="77777777" w:rsidR="00084F36" w:rsidRPr="00EB2BD8" w:rsidRDefault="00EB2BD8">
            <w:pPr>
              <w:pStyle w:val="TableParagraph"/>
              <w:spacing w:before="19"/>
              <w:ind w:left="116"/>
              <w:rPr>
                <w:sz w:val="16"/>
              </w:rPr>
            </w:pPr>
            <w:r w:rsidRPr="00EB2BD8">
              <w:rPr>
                <w:sz w:val="16"/>
              </w:rPr>
              <w:t>to</w:t>
            </w:r>
            <w:r w:rsidRPr="00EB2BD8">
              <w:rPr>
                <w:spacing w:val="-9"/>
                <w:sz w:val="16"/>
              </w:rPr>
              <w:t xml:space="preserve"> </w:t>
            </w:r>
            <w:r w:rsidRPr="00EB2BD8">
              <w:rPr>
                <w:sz w:val="16"/>
              </w:rPr>
              <w:t>complete</w:t>
            </w:r>
            <w:r w:rsidRPr="00EB2BD8">
              <w:rPr>
                <w:spacing w:val="-9"/>
                <w:sz w:val="16"/>
              </w:rPr>
              <w:t xml:space="preserve"> </w:t>
            </w:r>
            <w:r w:rsidRPr="00EB2BD8">
              <w:rPr>
                <w:sz w:val="16"/>
              </w:rPr>
              <w:t>a</w:t>
            </w:r>
            <w:r w:rsidRPr="00EB2BD8">
              <w:rPr>
                <w:spacing w:val="-9"/>
                <w:sz w:val="16"/>
              </w:rPr>
              <w:t xml:space="preserve"> </w:t>
            </w:r>
            <w:r w:rsidRPr="00EB2BD8">
              <w:rPr>
                <w:sz w:val="16"/>
              </w:rPr>
              <w:t>course</w:t>
            </w:r>
            <w:r w:rsidRPr="00EB2BD8">
              <w:rPr>
                <w:spacing w:val="-9"/>
                <w:sz w:val="16"/>
              </w:rPr>
              <w:t xml:space="preserve"> </w:t>
            </w:r>
            <w:r w:rsidRPr="00EB2BD8">
              <w:rPr>
                <w:spacing w:val="-5"/>
                <w:sz w:val="16"/>
              </w:rPr>
              <w:t>of</w:t>
            </w:r>
          </w:p>
        </w:tc>
        <w:tc>
          <w:tcPr>
            <w:tcW w:w="1078" w:type="dxa"/>
          </w:tcPr>
          <w:p w14:paraId="35C0CA56" w14:textId="77777777" w:rsidR="00084F36" w:rsidRPr="00EB2BD8" w:rsidRDefault="00084F36">
            <w:pPr>
              <w:pStyle w:val="TableParagraph"/>
              <w:rPr>
                <w:rFonts w:ascii="Times New Roman"/>
                <w:sz w:val="16"/>
              </w:rPr>
            </w:pPr>
          </w:p>
        </w:tc>
        <w:tc>
          <w:tcPr>
            <w:tcW w:w="1175" w:type="dxa"/>
          </w:tcPr>
          <w:p w14:paraId="401F2886" w14:textId="77777777" w:rsidR="00084F36" w:rsidRPr="00EB2BD8" w:rsidRDefault="00084F36">
            <w:pPr>
              <w:pStyle w:val="TableParagraph"/>
              <w:rPr>
                <w:rFonts w:ascii="Times New Roman"/>
                <w:sz w:val="16"/>
              </w:rPr>
            </w:pPr>
          </w:p>
        </w:tc>
      </w:tr>
      <w:tr w:rsidR="00EB2BD8" w:rsidRPr="00EB2BD8" w14:paraId="5ADD2328" w14:textId="77777777">
        <w:trPr>
          <w:trHeight w:val="288"/>
        </w:trPr>
        <w:tc>
          <w:tcPr>
            <w:tcW w:w="1749" w:type="dxa"/>
            <w:tcBorders>
              <w:bottom w:val="single" w:sz="2" w:space="0" w:color="000000"/>
            </w:tcBorders>
          </w:tcPr>
          <w:p w14:paraId="08899397" w14:textId="77777777" w:rsidR="00084F36" w:rsidRPr="00EB2BD8" w:rsidRDefault="00084F36">
            <w:pPr>
              <w:pStyle w:val="TableParagraph"/>
              <w:rPr>
                <w:rFonts w:ascii="Times New Roman"/>
                <w:sz w:val="16"/>
              </w:rPr>
            </w:pPr>
          </w:p>
        </w:tc>
        <w:tc>
          <w:tcPr>
            <w:tcW w:w="1460" w:type="dxa"/>
            <w:tcBorders>
              <w:bottom w:val="single" w:sz="2" w:space="0" w:color="000000"/>
            </w:tcBorders>
          </w:tcPr>
          <w:p w14:paraId="20EFB890" w14:textId="77777777" w:rsidR="00084F36" w:rsidRPr="00EB2BD8" w:rsidRDefault="00084F36">
            <w:pPr>
              <w:pStyle w:val="TableParagraph"/>
              <w:rPr>
                <w:rFonts w:ascii="Times New Roman"/>
                <w:sz w:val="16"/>
              </w:rPr>
            </w:pPr>
          </w:p>
        </w:tc>
        <w:tc>
          <w:tcPr>
            <w:tcW w:w="2457" w:type="dxa"/>
            <w:tcBorders>
              <w:bottom w:val="single" w:sz="2" w:space="0" w:color="000000"/>
            </w:tcBorders>
          </w:tcPr>
          <w:p w14:paraId="27882256" w14:textId="77777777" w:rsidR="00084F36" w:rsidRPr="00EB2BD8" w:rsidRDefault="00EB2BD8">
            <w:pPr>
              <w:pStyle w:val="TableParagraph"/>
              <w:spacing w:before="19"/>
              <w:ind w:left="294"/>
              <w:rPr>
                <w:sz w:val="16"/>
              </w:rPr>
            </w:pPr>
            <w:r w:rsidRPr="00EB2BD8">
              <w:rPr>
                <w:spacing w:val="-4"/>
                <w:sz w:val="16"/>
              </w:rPr>
              <w:t>site</w:t>
            </w:r>
            <w:r w:rsidRPr="00EB2BD8">
              <w:rPr>
                <w:spacing w:val="-7"/>
                <w:sz w:val="16"/>
              </w:rPr>
              <w:t xml:space="preserve"> </w:t>
            </w:r>
            <w:r w:rsidRPr="00EB2BD8">
              <w:rPr>
                <w:spacing w:val="-4"/>
                <w:sz w:val="16"/>
              </w:rPr>
              <w:t>in</w:t>
            </w:r>
            <w:r w:rsidRPr="00EB2BD8">
              <w:rPr>
                <w:spacing w:val="-6"/>
                <w:sz w:val="16"/>
              </w:rPr>
              <w:t xml:space="preserve"> </w:t>
            </w:r>
            <w:r w:rsidRPr="00EB2BD8">
              <w:rPr>
                <w:spacing w:val="-4"/>
                <w:sz w:val="16"/>
              </w:rPr>
              <w:t>Malvern.</w:t>
            </w:r>
          </w:p>
        </w:tc>
        <w:tc>
          <w:tcPr>
            <w:tcW w:w="2277" w:type="dxa"/>
            <w:tcBorders>
              <w:bottom w:val="single" w:sz="2" w:space="0" w:color="000000"/>
            </w:tcBorders>
          </w:tcPr>
          <w:p w14:paraId="2C9A15A9" w14:textId="77777777" w:rsidR="00084F36" w:rsidRPr="00EB2BD8" w:rsidRDefault="00EB2BD8">
            <w:pPr>
              <w:pStyle w:val="TableParagraph"/>
              <w:spacing w:before="19"/>
              <w:ind w:left="116"/>
              <w:rPr>
                <w:sz w:val="16"/>
              </w:rPr>
            </w:pPr>
            <w:r w:rsidRPr="00EB2BD8">
              <w:rPr>
                <w:spacing w:val="-2"/>
                <w:sz w:val="16"/>
              </w:rPr>
              <w:t>training.</w:t>
            </w:r>
          </w:p>
        </w:tc>
        <w:tc>
          <w:tcPr>
            <w:tcW w:w="1078" w:type="dxa"/>
            <w:tcBorders>
              <w:bottom w:val="single" w:sz="2" w:space="0" w:color="000000"/>
            </w:tcBorders>
          </w:tcPr>
          <w:p w14:paraId="2E3DB4C2"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104C5171" w14:textId="77777777" w:rsidR="00084F36" w:rsidRPr="00EB2BD8" w:rsidRDefault="00084F36">
            <w:pPr>
              <w:pStyle w:val="TableParagraph"/>
              <w:rPr>
                <w:rFonts w:ascii="Times New Roman"/>
                <w:sz w:val="16"/>
              </w:rPr>
            </w:pPr>
          </w:p>
        </w:tc>
      </w:tr>
      <w:tr w:rsidR="00EB2BD8" w:rsidRPr="00EB2BD8" w14:paraId="44553DE8" w14:textId="77777777">
        <w:trPr>
          <w:trHeight w:val="322"/>
        </w:trPr>
        <w:tc>
          <w:tcPr>
            <w:tcW w:w="1749" w:type="dxa"/>
            <w:tcBorders>
              <w:top w:val="single" w:sz="2" w:space="0" w:color="000000"/>
            </w:tcBorders>
          </w:tcPr>
          <w:p w14:paraId="709A9DD4" w14:textId="77777777" w:rsidR="00084F36" w:rsidRPr="00EB2BD8" w:rsidRDefault="00EB2BD8">
            <w:pPr>
              <w:pStyle w:val="TableParagraph"/>
              <w:spacing w:before="112"/>
              <w:ind w:left="113"/>
              <w:rPr>
                <w:sz w:val="16"/>
              </w:rPr>
            </w:pPr>
            <w:r w:rsidRPr="00EB2BD8">
              <w:rPr>
                <w:sz w:val="16"/>
              </w:rPr>
              <w:t>Fairbrother Pty</w:t>
            </w:r>
            <w:r w:rsidRPr="00EB2BD8">
              <w:rPr>
                <w:spacing w:val="1"/>
                <w:sz w:val="16"/>
              </w:rPr>
              <w:t xml:space="preserve"> </w:t>
            </w:r>
            <w:r w:rsidRPr="00EB2BD8">
              <w:rPr>
                <w:spacing w:val="-5"/>
                <w:sz w:val="16"/>
              </w:rPr>
              <w:t>Ltd</w:t>
            </w:r>
          </w:p>
        </w:tc>
        <w:tc>
          <w:tcPr>
            <w:tcW w:w="1460" w:type="dxa"/>
            <w:tcBorders>
              <w:top w:val="single" w:sz="2" w:space="0" w:color="000000"/>
            </w:tcBorders>
          </w:tcPr>
          <w:p w14:paraId="76A5C838" w14:textId="77777777" w:rsidR="00084F36" w:rsidRPr="00EB2BD8" w:rsidRDefault="00EB2BD8">
            <w:pPr>
              <w:pStyle w:val="TableParagraph"/>
              <w:spacing w:before="112"/>
              <w:ind w:left="121"/>
              <w:rPr>
                <w:sz w:val="16"/>
              </w:rPr>
            </w:pPr>
            <w:r w:rsidRPr="00EB2BD8">
              <w:rPr>
                <w:w w:val="105"/>
                <w:sz w:val="16"/>
              </w:rPr>
              <w:t>CCB-U</w:t>
            </w:r>
            <w:r w:rsidRPr="00EB2BD8">
              <w:rPr>
                <w:spacing w:val="10"/>
                <w:w w:val="105"/>
                <w:sz w:val="16"/>
              </w:rPr>
              <w:t xml:space="preserve"> </w:t>
            </w:r>
            <w:r w:rsidRPr="00EB2BD8">
              <w:rPr>
                <w:spacing w:val="-2"/>
                <w:w w:val="105"/>
                <w:sz w:val="16"/>
              </w:rPr>
              <w:t>57436;</w:t>
            </w:r>
          </w:p>
        </w:tc>
        <w:tc>
          <w:tcPr>
            <w:tcW w:w="2457" w:type="dxa"/>
            <w:tcBorders>
              <w:top w:val="single" w:sz="2" w:space="0" w:color="000000"/>
            </w:tcBorders>
          </w:tcPr>
          <w:p w14:paraId="50FF1670" w14:textId="77777777" w:rsidR="00084F36" w:rsidRPr="00EB2BD8" w:rsidRDefault="00EB2BD8">
            <w:pPr>
              <w:pStyle w:val="TableParagraph"/>
              <w:spacing w:before="112"/>
              <w:ind w:left="294"/>
              <w:rPr>
                <w:sz w:val="16"/>
              </w:rPr>
            </w:pPr>
            <w:r w:rsidRPr="00EB2BD8">
              <w:rPr>
                <w:spacing w:val="-2"/>
                <w:sz w:val="16"/>
              </w:rPr>
              <w:t>Failing</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call</w:t>
            </w:r>
            <w:r w:rsidRPr="00EB2BD8">
              <w:rPr>
                <w:spacing w:val="-7"/>
                <w:sz w:val="16"/>
              </w:rPr>
              <w:t xml:space="preserve"> </w:t>
            </w:r>
            <w:r w:rsidRPr="00EB2BD8">
              <w:rPr>
                <w:spacing w:val="-2"/>
                <w:sz w:val="16"/>
              </w:rPr>
              <w:t>for</w:t>
            </w:r>
            <w:r w:rsidRPr="00EB2BD8">
              <w:rPr>
                <w:spacing w:val="-8"/>
                <w:sz w:val="16"/>
              </w:rPr>
              <w:t xml:space="preserve"> </w:t>
            </w:r>
            <w:r w:rsidRPr="00EB2BD8">
              <w:rPr>
                <w:spacing w:val="-12"/>
                <w:sz w:val="16"/>
              </w:rPr>
              <w:t>a</w:t>
            </w:r>
          </w:p>
        </w:tc>
        <w:tc>
          <w:tcPr>
            <w:tcW w:w="2277" w:type="dxa"/>
            <w:tcBorders>
              <w:top w:val="single" w:sz="2" w:space="0" w:color="000000"/>
            </w:tcBorders>
          </w:tcPr>
          <w:p w14:paraId="650C9788" w14:textId="77777777" w:rsidR="00084F36" w:rsidRPr="00EB2BD8" w:rsidRDefault="00EB2BD8">
            <w:pPr>
              <w:pStyle w:val="TableParagraph"/>
              <w:spacing w:before="112"/>
              <w:ind w:left="116"/>
              <w:rPr>
                <w:sz w:val="16"/>
              </w:rPr>
            </w:pPr>
            <w:r w:rsidRPr="00EB2BD8">
              <w:rPr>
                <w:sz w:val="16"/>
              </w:rPr>
              <w:t>Reprimand</w:t>
            </w:r>
            <w:r w:rsidRPr="00EB2BD8">
              <w:rPr>
                <w:spacing w:val="2"/>
                <w:sz w:val="16"/>
              </w:rPr>
              <w:t xml:space="preserve"> </w:t>
            </w:r>
            <w:r w:rsidRPr="00EB2BD8">
              <w:rPr>
                <w:sz w:val="16"/>
              </w:rPr>
              <w:t>and</w:t>
            </w:r>
            <w:r w:rsidRPr="00EB2BD8">
              <w:rPr>
                <w:spacing w:val="3"/>
                <w:sz w:val="16"/>
              </w:rPr>
              <w:t xml:space="preserve"> </w:t>
            </w:r>
            <w:r w:rsidRPr="00EB2BD8">
              <w:rPr>
                <w:sz w:val="16"/>
              </w:rPr>
              <w:t>penalty</w:t>
            </w:r>
            <w:r w:rsidRPr="00EB2BD8">
              <w:rPr>
                <w:spacing w:val="2"/>
                <w:sz w:val="16"/>
              </w:rPr>
              <w:t xml:space="preserve"> </w:t>
            </w:r>
            <w:r w:rsidRPr="00EB2BD8">
              <w:rPr>
                <w:spacing w:val="-5"/>
                <w:sz w:val="16"/>
              </w:rPr>
              <w:t>of</w:t>
            </w:r>
          </w:p>
        </w:tc>
        <w:tc>
          <w:tcPr>
            <w:tcW w:w="1078" w:type="dxa"/>
            <w:tcBorders>
              <w:top w:val="single" w:sz="2" w:space="0" w:color="000000"/>
            </w:tcBorders>
          </w:tcPr>
          <w:p w14:paraId="2F1E3C3C" w14:textId="77777777" w:rsidR="00084F36" w:rsidRPr="00EB2BD8" w:rsidRDefault="00EB2BD8">
            <w:pPr>
              <w:pStyle w:val="TableParagraph"/>
              <w:spacing w:before="112"/>
              <w:ind w:right="107"/>
              <w:jc w:val="right"/>
              <w:rPr>
                <w:sz w:val="16"/>
              </w:rPr>
            </w:pPr>
            <w:r w:rsidRPr="00EB2BD8">
              <w:rPr>
                <w:spacing w:val="-2"/>
                <w:sz w:val="16"/>
              </w:rPr>
              <w:t>$2,000</w:t>
            </w:r>
          </w:p>
        </w:tc>
        <w:tc>
          <w:tcPr>
            <w:tcW w:w="1175" w:type="dxa"/>
            <w:tcBorders>
              <w:top w:val="single" w:sz="2" w:space="0" w:color="000000"/>
            </w:tcBorders>
          </w:tcPr>
          <w:p w14:paraId="35F99EFE" w14:textId="77777777" w:rsidR="00084F36" w:rsidRPr="00EB2BD8" w:rsidRDefault="00EB2BD8">
            <w:pPr>
              <w:pStyle w:val="TableParagraph"/>
              <w:spacing w:before="112"/>
              <w:ind w:left="117"/>
              <w:rPr>
                <w:sz w:val="16"/>
              </w:rPr>
            </w:pPr>
            <w:r w:rsidRPr="00EB2BD8">
              <w:rPr>
                <w:spacing w:val="-2"/>
                <w:w w:val="95"/>
                <w:sz w:val="16"/>
              </w:rPr>
              <w:t>27/09/2022</w:t>
            </w:r>
          </w:p>
        </w:tc>
      </w:tr>
      <w:tr w:rsidR="00EB2BD8" w:rsidRPr="00EB2BD8" w14:paraId="3C478E79" w14:textId="77777777">
        <w:trPr>
          <w:trHeight w:val="230"/>
        </w:trPr>
        <w:tc>
          <w:tcPr>
            <w:tcW w:w="1749" w:type="dxa"/>
          </w:tcPr>
          <w:p w14:paraId="1534B9A3" w14:textId="77777777" w:rsidR="00084F36" w:rsidRPr="00EB2BD8" w:rsidRDefault="00084F36">
            <w:pPr>
              <w:pStyle w:val="TableParagraph"/>
              <w:rPr>
                <w:rFonts w:ascii="Times New Roman"/>
                <w:sz w:val="16"/>
              </w:rPr>
            </w:pPr>
          </w:p>
        </w:tc>
        <w:tc>
          <w:tcPr>
            <w:tcW w:w="1460" w:type="dxa"/>
          </w:tcPr>
          <w:p w14:paraId="22C25937" w14:textId="77777777" w:rsidR="00084F36" w:rsidRPr="00EB2BD8" w:rsidRDefault="00EB2BD8">
            <w:pPr>
              <w:pStyle w:val="TableParagraph"/>
              <w:spacing w:before="19"/>
              <w:ind w:left="121"/>
              <w:rPr>
                <w:sz w:val="16"/>
              </w:rPr>
            </w:pPr>
            <w:r w:rsidRPr="00EB2BD8">
              <w:rPr>
                <w:spacing w:val="2"/>
                <w:sz w:val="16"/>
              </w:rPr>
              <w:t>CBD-L</w:t>
            </w:r>
            <w:r w:rsidRPr="00EB2BD8">
              <w:rPr>
                <w:spacing w:val="18"/>
                <w:sz w:val="16"/>
              </w:rPr>
              <w:t xml:space="preserve"> </w:t>
            </w:r>
            <w:r w:rsidRPr="00EB2BD8">
              <w:rPr>
                <w:spacing w:val="-2"/>
                <w:sz w:val="16"/>
              </w:rPr>
              <w:t>57437;</w:t>
            </w:r>
          </w:p>
        </w:tc>
        <w:tc>
          <w:tcPr>
            <w:tcW w:w="2457" w:type="dxa"/>
          </w:tcPr>
          <w:p w14:paraId="14E552E6" w14:textId="77777777" w:rsidR="00084F36" w:rsidRPr="00EB2BD8" w:rsidRDefault="00EB2BD8">
            <w:pPr>
              <w:pStyle w:val="TableParagraph"/>
              <w:spacing w:before="19"/>
              <w:ind w:left="294"/>
              <w:rPr>
                <w:sz w:val="16"/>
              </w:rPr>
            </w:pPr>
            <w:r w:rsidRPr="00EB2BD8">
              <w:rPr>
                <w:sz w:val="16"/>
              </w:rPr>
              <w:t>mandatory</w:t>
            </w:r>
            <w:r w:rsidRPr="00EB2BD8">
              <w:rPr>
                <w:spacing w:val="14"/>
                <w:sz w:val="16"/>
              </w:rPr>
              <w:t xml:space="preserve"> </w:t>
            </w:r>
            <w:r w:rsidRPr="00EB2BD8">
              <w:rPr>
                <w:spacing w:val="-2"/>
                <w:sz w:val="16"/>
              </w:rPr>
              <w:t>stage</w:t>
            </w:r>
          </w:p>
        </w:tc>
        <w:tc>
          <w:tcPr>
            <w:tcW w:w="2277" w:type="dxa"/>
          </w:tcPr>
          <w:p w14:paraId="3CA9F2B5" w14:textId="77777777" w:rsidR="00084F36" w:rsidRPr="00EB2BD8" w:rsidRDefault="00EB2BD8">
            <w:pPr>
              <w:pStyle w:val="TableParagraph"/>
              <w:spacing w:before="19"/>
              <w:ind w:left="116"/>
              <w:rPr>
                <w:sz w:val="16"/>
              </w:rPr>
            </w:pPr>
            <w:r w:rsidRPr="00EB2BD8">
              <w:rPr>
                <w:spacing w:val="-2"/>
                <w:sz w:val="16"/>
              </w:rPr>
              <w:t>$2,000.</w:t>
            </w:r>
          </w:p>
        </w:tc>
        <w:tc>
          <w:tcPr>
            <w:tcW w:w="1078" w:type="dxa"/>
          </w:tcPr>
          <w:p w14:paraId="5ED0E996" w14:textId="77777777" w:rsidR="00084F36" w:rsidRPr="00EB2BD8" w:rsidRDefault="00084F36">
            <w:pPr>
              <w:pStyle w:val="TableParagraph"/>
              <w:rPr>
                <w:rFonts w:ascii="Times New Roman"/>
                <w:sz w:val="16"/>
              </w:rPr>
            </w:pPr>
          </w:p>
        </w:tc>
        <w:tc>
          <w:tcPr>
            <w:tcW w:w="1175" w:type="dxa"/>
          </w:tcPr>
          <w:p w14:paraId="0F9E058C" w14:textId="77777777" w:rsidR="00084F36" w:rsidRPr="00EB2BD8" w:rsidRDefault="00084F36">
            <w:pPr>
              <w:pStyle w:val="TableParagraph"/>
              <w:rPr>
                <w:rFonts w:ascii="Times New Roman"/>
                <w:sz w:val="16"/>
              </w:rPr>
            </w:pPr>
          </w:p>
        </w:tc>
      </w:tr>
      <w:tr w:rsidR="00EB2BD8" w:rsidRPr="00EB2BD8" w14:paraId="75C0E5B0" w14:textId="77777777">
        <w:trPr>
          <w:trHeight w:val="229"/>
        </w:trPr>
        <w:tc>
          <w:tcPr>
            <w:tcW w:w="1749" w:type="dxa"/>
          </w:tcPr>
          <w:p w14:paraId="20317DCB" w14:textId="77777777" w:rsidR="00084F36" w:rsidRPr="00EB2BD8" w:rsidRDefault="00084F36">
            <w:pPr>
              <w:pStyle w:val="TableParagraph"/>
              <w:rPr>
                <w:rFonts w:ascii="Times New Roman"/>
                <w:sz w:val="16"/>
              </w:rPr>
            </w:pPr>
          </w:p>
        </w:tc>
        <w:tc>
          <w:tcPr>
            <w:tcW w:w="1460" w:type="dxa"/>
          </w:tcPr>
          <w:p w14:paraId="25B39350" w14:textId="77777777" w:rsidR="00084F36" w:rsidRPr="00EB2BD8" w:rsidRDefault="00EB2BD8">
            <w:pPr>
              <w:pStyle w:val="TableParagraph"/>
              <w:spacing w:before="19"/>
              <w:ind w:left="121"/>
              <w:rPr>
                <w:sz w:val="16"/>
              </w:rPr>
            </w:pPr>
            <w:r w:rsidRPr="00EB2BD8">
              <w:rPr>
                <w:spacing w:val="2"/>
                <w:sz w:val="16"/>
              </w:rPr>
              <w:t>CDB-U</w:t>
            </w:r>
            <w:r w:rsidRPr="00EB2BD8">
              <w:rPr>
                <w:spacing w:val="17"/>
                <w:sz w:val="16"/>
              </w:rPr>
              <w:t xml:space="preserve"> </w:t>
            </w:r>
            <w:r w:rsidRPr="00EB2BD8">
              <w:rPr>
                <w:spacing w:val="-2"/>
                <w:sz w:val="16"/>
              </w:rPr>
              <w:t>57435</w:t>
            </w:r>
          </w:p>
        </w:tc>
        <w:tc>
          <w:tcPr>
            <w:tcW w:w="2457" w:type="dxa"/>
          </w:tcPr>
          <w:p w14:paraId="7527313C" w14:textId="77777777" w:rsidR="00084F36" w:rsidRPr="00EB2BD8" w:rsidRDefault="00EB2BD8">
            <w:pPr>
              <w:pStyle w:val="TableParagraph"/>
              <w:spacing w:before="19"/>
              <w:ind w:left="294"/>
              <w:rPr>
                <w:sz w:val="16"/>
              </w:rPr>
            </w:pPr>
            <w:r w:rsidRPr="00EB2BD8">
              <w:rPr>
                <w:sz w:val="16"/>
              </w:rPr>
              <w:t>inspection</w:t>
            </w:r>
            <w:r w:rsidRPr="00EB2BD8">
              <w:rPr>
                <w:spacing w:val="-11"/>
                <w:sz w:val="16"/>
              </w:rPr>
              <w:t xml:space="preserve"> </w:t>
            </w:r>
            <w:r w:rsidRPr="00EB2BD8">
              <w:rPr>
                <w:sz w:val="16"/>
              </w:rPr>
              <w:t>in</w:t>
            </w:r>
            <w:r w:rsidRPr="00EB2BD8">
              <w:rPr>
                <w:spacing w:val="-11"/>
                <w:sz w:val="16"/>
              </w:rPr>
              <w:t xml:space="preserve"> </w:t>
            </w:r>
            <w:r w:rsidRPr="00EB2BD8">
              <w:rPr>
                <w:sz w:val="16"/>
              </w:rPr>
              <w:t>respect</w:t>
            </w:r>
            <w:r w:rsidRPr="00EB2BD8">
              <w:rPr>
                <w:spacing w:val="-11"/>
                <w:sz w:val="16"/>
              </w:rPr>
              <w:t xml:space="preserve"> </w:t>
            </w:r>
            <w:r w:rsidRPr="00EB2BD8">
              <w:rPr>
                <w:spacing w:val="-5"/>
                <w:sz w:val="16"/>
              </w:rPr>
              <w:t>of</w:t>
            </w:r>
          </w:p>
        </w:tc>
        <w:tc>
          <w:tcPr>
            <w:tcW w:w="2277" w:type="dxa"/>
          </w:tcPr>
          <w:p w14:paraId="7B98CE71" w14:textId="77777777" w:rsidR="00084F36" w:rsidRPr="00EB2BD8" w:rsidRDefault="00084F36">
            <w:pPr>
              <w:pStyle w:val="TableParagraph"/>
              <w:rPr>
                <w:rFonts w:ascii="Times New Roman"/>
                <w:sz w:val="16"/>
              </w:rPr>
            </w:pPr>
          </w:p>
        </w:tc>
        <w:tc>
          <w:tcPr>
            <w:tcW w:w="1078" w:type="dxa"/>
          </w:tcPr>
          <w:p w14:paraId="3034CACD" w14:textId="77777777" w:rsidR="00084F36" w:rsidRPr="00EB2BD8" w:rsidRDefault="00084F36">
            <w:pPr>
              <w:pStyle w:val="TableParagraph"/>
              <w:rPr>
                <w:rFonts w:ascii="Times New Roman"/>
                <w:sz w:val="16"/>
              </w:rPr>
            </w:pPr>
          </w:p>
        </w:tc>
        <w:tc>
          <w:tcPr>
            <w:tcW w:w="1175" w:type="dxa"/>
          </w:tcPr>
          <w:p w14:paraId="7454D6C9" w14:textId="77777777" w:rsidR="00084F36" w:rsidRPr="00EB2BD8" w:rsidRDefault="00084F36">
            <w:pPr>
              <w:pStyle w:val="TableParagraph"/>
              <w:rPr>
                <w:rFonts w:ascii="Times New Roman"/>
                <w:sz w:val="16"/>
              </w:rPr>
            </w:pPr>
          </w:p>
        </w:tc>
      </w:tr>
      <w:tr w:rsidR="00EB2BD8" w:rsidRPr="00EB2BD8" w14:paraId="2ED8814D" w14:textId="77777777">
        <w:trPr>
          <w:trHeight w:val="229"/>
        </w:trPr>
        <w:tc>
          <w:tcPr>
            <w:tcW w:w="1749" w:type="dxa"/>
          </w:tcPr>
          <w:p w14:paraId="043876C5" w14:textId="77777777" w:rsidR="00084F36" w:rsidRPr="00EB2BD8" w:rsidRDefault="00084F36">
            <w:pPr>
              <w:pStyle w:val="TableParagraph"/>
              <w:rPr>
                <w:rFonts w:ascii="Times New Roman"/>
                <w:sz w:val="16"/>
              </w:rPr>
            </w:pPr>
          </w:p>
        </w:tc>
        <w:tc>
          <w:tcPr>
            <w:tcW w:w="1460" w:type="dxa"/>
          </w:tcPr>
          <w:p w14:paraId="0531115A" w14:textId="77777777" w:rsidR="00084F36" w:rsidRPr="00EB2BD8" w:rsidRDefault="00084F36">
            <w:pPr>
              <w:pStyle w:val="TableParagraph"/>
              <w:rPr>
                <w:rFonts w:ascii="Times New Roman"/>
                <w:sz w:val="16"/>
              </w:rPr>
            </w:pPr>
          </w:p>
        </w:tc>
        <w:tc>
          <w:tcPr>
            <w:tcW w:w="2457" w:type="dxa"/>
          </w:tcPr>
          <w:p w14:paraId="46735C7F" w14:textId="77777777" w:rsidR="00084F36" w:rsidRPr="00EB2BD8" w:rsidRDefault="00EB2BD8">
            <w:pPr>
              <w:pStyle w:val="TableParagraph"/>
              <w:spacing w:before="19"/>
              <w:ind w:left="294"/>
              <w:rPr>
                <w:sz w:val="16"/>
              </w:rPr>
            </w:pPr>
            <w:r w:rsidRPr="00EB2BD8">
              <w:rPr>
                <w:sz w:val="16"/>
              </w:rPr>
              <w:t>demolition</w:t>
            </w:r>
            <w:r w:rsidRPr="00EB2BD8">
              <w:rPr>
                <w:spacing w:val="-12"/>
                <w:sz w:val="16"/>
              </w:rPr>
              <w:t xml:space="preserve"> </w:t>
            </w:r>
            <w:r w:rsidRPr="00EB2BD8">
              <w:rPr>
                <w:sz w:val="16"/>
              </w:rPr>
              <w:t>at</w:t>
            </w:r>
            <w:r w:rsidRPr="00EB2BD8">
              <w:rPr>
                <w:spacing w:val="-12"/>
                <w:sz w:val="16"/>
              </w:rPr>
              <w:t xml:space="preserve"> </w:t>
            </w:r>
            <w:r w:rsidRPr="00EB2BD8">
              <w:rPr>
                <w:sz w:val="16"/>
              </w:rPr>
              <w:t>a</w:t>
            </w:r>
            <w:r w:rsidRPr="00EB2BD8">
              <w:rPr>
                <w:spacing w:val="-11"/>
                <w:sz w:val="16"/>
              </w:rPr>
              <w:t xml:space="preserve"> </w:t>
            </w:r>
            <w:r w:rsidRPr="00EB2BD8">
              <w:rPr>
                <w:sz w:val="16"/>
              </w:rPr>
              <w:t>site</w:t>
            </w:r>
            <w:r w:rsidRPr="00EB2BD8">
              <w:rPr>
                <w:spacing w:val="-12"/>
                <w:sz w:val="16"/>
              </w:rPr>
              <w:t xml:space="preserve"> </w:t>
            </w:r>
            <w:r w:rsidRPr="00EB2BD8">
              <w:rPr>
                <w:spacing w:val="-5"/>
                <w:sz w:val="16"/>
              </w:rPr>
              <w:t>in</w:t>
            </w:r>
          </w:p>
        </w:tc>
        <w:tc>
          <w:tcPr>
            <w:tcW w:w="2277" w:type="dxa"/>
          </w:tcPr>
          <w:p w14:paraId="52B053D2" w14:textId="77777777" w:rsidR="00084F36" w:rsidRPr="00EB2BD8" w:rsidRDefault="00084F36">
            <w:pPr>
              <w:pStyle w:val="TableParagraph"/>
              <w:rPr>
                <w:rFonts w:ascii="Times New Roman"/>
                <w:sz w:val="16"/>
              </w:rPr>
            </w:pPr>
          </w:p>
        </w:tc>
        <w:tc>
          <w:tcPr>
            <w:tcW w:w="1078" w:type="dxa"/>
          </w:tcPr>
          <w:p w14:paraId="518C7767" w14:textId="77777777" w:rsidR="00084F36" w:rsidRPr="00EB2BD8" w:rsidRDefault="00084F36">
            <w:pPr>
              <w:pStyle w:val="TableParagraph"/>
              <w:rPr>
                <w:rFonts w:ascii="Times New Roman"/>
                <w:sz w:val="16"/>
              </w:rPr>
            </w:pPr>
          </w:p>
        </w:tc>
        <w:tc>
          <w:tcPr>
            <w:tcW w:w="1175" w:type="dxa"/>
          </w:tcPr>
          <w:p w14:paraId="14CD9BA3" w14:textId="77777777" w:rsidR="00084F36" w:rsidRPr="00EB2BD8" w:rsidRDefault="00084F36">
            <w:pPr>
              <w:pStyle w:val="TableParagraph"/>
              <w:rPr>
                <w:rFonts w:ascii="Times New Roman"/>
                <w:sz w:val="16"/>
              </w:rPr>
            </w:pPr>
          </w:p>
        </w:tc>
      </w:tr>
      <w:tr w:rsidR="00084F36" w:rsidRPr="00EB2BD8" w14:paraId="185EC2E0" w14:textId="77777777">
        <w:trPr>
          <w:trHeight w:val="289"/>
        </w:trPr>
        <w:tc>
          <w:tcPr>
            <w:tcW w:w="1749" w:type="dxa"/>
            <w:tcBorders>
              <w:bottom w:val="single" w:sz="2" w:space="0" w:color="000000"/>
            </w:tcBorders>
          </w:tcPr>
          <w:p w14:paraId="42E52C95" w14:textId="77777777" w:rsidR="00084F36" w:rsidRPr="00EB2BD8" w:rsidRDefault="00084F36">
            <w:pPr>
              <w:pStyle w:val="TableParagraph"/>
              <w:rPr>
                <w:rFonts w:ascii="Times New Roman"/>
                <w:sz w:val="16"/>
              </w:rPr>
            </w:pPr>
          </w:p>
        </w:tc>
        <w:tc>
          <w:tcPr>
            <w:tcW w:w="1460" w:type="dxa"/>
            <w:tcBorders>
              <w:bottom w:val="single" w:sz="2" w:space="0" w:color="000000"/>
            </w:tcBorders>
          </w:tcPr>
          <w:p w14:paraId="6CEC2026" w14:textId="77777777" w:rsidR="00084F36" w:rsidRPr="00EB2BD8" w:rsidRDefault="00084F36">
            <w:pPr>
              <w:pStyle w:val="TableParagraph"/>
              <w:rPr>
                <w:rFonts w:ascii="Times New Roman"/>
                <w:sz w:val="16"/>
              </w:rPr>
            </w:pPr>
          </w:p>
        </w:tc>
        <w:tc>
          <w:tcPr>
            <w:tcW w:w="2457" w:type="dxa"/>
            <w:tcBorders>
              <w:bottom w:val="single" w:sz="2" w:space="0" w:color="000000"/>
            </w:tcBorders>
          </w:tcPr>
          <w:p w14:paraId="399A51B5" w14:textId="77777777" w:rsidR="00084F36" w:rsidRPr="00EB2BD8" w:rsidRDefault="00EB2BD8">
            <w:pPr>
              <w:pStyle w:val="TableParagraph"/>
              <w:spacing w:before="19"/>
              <w:ind w:left="294"/>
              <w:rPr>
                <w:sz w:val="16"/>
              </w:rPr>
            </w:pPr>
            <w:r w:rsidRPr="00EB2BD8">
              <w:rPr>
                <w:spacing w:val="-2"/>
                <w:sz w:val="16"/>
              </w:rPr>
              <w:t>Werribee.</w:t>
            </w:r>
          </w:p>
        </w:tc>
        <w:tc>
          <w:tcPr>
            <w:tcW w:w="2277" w:type="dxa"/>
            <w:tcBorders>
              <w:bottom w:val="single" w:sz="2" w:space="0" w:color="000000"/>
            </w:tcBorders>
          </w:tcPr>
          <w:p w14:paraId="703D68FD"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7EF1A2C0"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16FD8EDF" w14:textId="77777777" w:rsidR="00084F36" w:rsidRPr="00EB2BD8" w:rsidRDefault="00084F36">
            <w:pPr>
              <w:pStyle w:val="TableParagraph"/>
              <w:rPr>
                <w:rFonts w:ascii="Times New Roman"/>
                <w:sz w:val="16"/>
              </w:rPr>
            </w:pPr>
          </w:p>
        </w:tc>
      </w:tr>
    </w:tbl>
    <w:p w14:paraId="0666D841" w14:textId="77777777" w:rsidR="00084F36" w:rsidRPr="00EB2BD8" w:rsidRDefault="00084F36">
      <w:pPr>
        <w:rPr>
          <w:rFonts w:ascii="Times New Roman"/>
          <w:sz w:val="16"/>
        </w:rPr>
        <w:sectPr w:rsidR="00084F36" w:rsidRPr="00EB2BD8" w:rsidSect="006D75B2">
          <w:footerReference w:type="default" r:id="rId423"/>
          <w:pgSz w:w="11910" w:h="16840"/>
          <w:pgMar w:top="1100" w:right="0" w:bottom="700" w:left="0" w:header="0" w:footer="515" w:gutter="0"/>
          <w:cols w:space="720"/>
        </w:sectPr>
      </w:pPr>
    </w:p>
    <w:p w14:paraId="3282F707" w14:textId="77777777" w:rsidR="00084F36" w:rsidRPr="00EB2BD8" w:rsidRDefault="00084F36">
      <w:pPr>
        <w:pStyle w:val="BodyText"/>
        <w:rPr>
          <w:sz w:val="20"/>
        </w:rPr>
      </w:pPr>
    </w:p>
    <w:p w14:paraId="654B90F9" w14:textId="77777777" w:rsidR="00084F36" w:rsidRPr="00EB2BD8" w:rsidRDefault="00084F36">
      <w:pPr>
        <w:pStyle w:val="BodyText"/>
        <w:rPr>
          <w:sz w:val="20"/>
        </w:rPr>
      </w:pPr>
    </w:p>
    <w:p w14:paraId="1F057A99" w14:textId="77777777" w:rsidR="00084F36" w:rsidRPr="00EB2BD8" w:rsidRDefault="00084F36">
      <w:pPr>
        <w:pStyle w:val="BodyText"/>
        <w:rPr>
          <w:sz w:val="20"/>
        </w:rPr>
      </w:pPr>
    </w:p>
    <w:p w14:paraId="303D06C4" w14:textId="77777777" w:rsidR="00084F36" w:rsidRPr="00EB2BD8" w:rsidRDefault="00084F36">
      <w:pPr>
        <w:pStyle w:val="BodyText"/>
        <w:rPr>
          <w:sz w:val="20"/>
        </w:rPr>
      </w:pPr>
    </w:p>
    <w:p w14:paraId="3039561C" w14:textId="77777777" w:rsidR="00084F36" w:rsidRPr="00EB2BD8" w:rsidRDefault="00084F36">
      <w:pPr>
        <w:pStyle w:val="BodyText"/>
        <w:spacing w:before="9" w:after="1"/>
        <w:rPr>
          <w:sz w:val="24"/>
        </w:rPr>
      </w:pPr>
    </w:p>
    <w:tbl>
      <w:tblPr>
        <w:tblW w:w="0" w:type="auto"/>
        <w:tblInd w:w="857" w:type="dxa"/>
        <w:tblLayout w:type="fixed"/>
        <w:tblCellMar>
          <w:left w:w="0" w:type="dxa"/>
          <w:right w:w="0" w:type="dxa"/>
        </w:tblCellMar>
        <w:tblLook w:val="01E0" w:firstRow="1" w:lastRow="1" w:firstColumn="1" w:lastColumn="1" w:noHBand="0" w:noVBand="0"/>
      </w:tblPr>
      <w:tblGrid>
        <w:gridCol w:w="1731"/>
        <w:gridCol w:w="1485"/>
        <w:gridCol w:w="2443"/>
        <w:gridCol w:w="2288"/>
        <w:gridCol w:w="1078"/>
        <w:gridCol w:w="1175"/>
      </w:tblGrid>
      <w:tr w:rsidR="00EB2BD8" w:rsidRPr="00EB2BD8" w14:paraId="0A1B5DB1" w14:textId="77777777">
        <w:trPr>
          <w:trHeight w:val="616"/>
        </w:trPr>
        <w:tc>
          <w:tcPr>
            <w:tcW w:w="1731" w:type="dxa"/>
            <w:shd w:val="clear" w:color="auto" w:fill="005F83"/>
          </w:tcPr>
          <w:p w14:paraId="22A93FE6" w14:textId="77777777" w:rsidR="00084F36" w:rsidRPr="00697E0C" w:rsidRDefault="00EB2BD8">
            <w:pPr>
              <w:pStyle w:val="TableParagraph"/>
              <w:spacing w:before="118"/>
              <w:ind w:left="113"/>
              <w:rPr>
                <w:color w:val="FFFFFF" w:themeColor="background1"/>
                <w:sz w:val="16"/>
              </w:rPr>
            </w:pPr>
            <w:r w:rsidRPr="00697E0C">
              <w:rPr>
                <w:color w:val="FFFFFF" w:themeColor="background1"/>
                <w:w w:val="105"/>
                <w:sz w:val="16"/>
              </w:rPr>
              <w:t>Practitioner</w:t>
            </w:r>
            <w:r w:rsidRPr="00697E0C">
              <w:rPr>
                <w:color w:val="FFFFFF" w:themeColor="background1"/>
                <w:spacing w:val="-14"/>
                <w:w w:val="105"/>
                <w:sz w:val="16"/>
              </w:rPr>
              <w:t xml:space="preserve"> </w:t>
            </w:r>
            <w:r w:rsidRPr="00697E0C">
              <w:rPr>
                <w:color w:val="FFFFFF" w:themeColor="background1"/>
                <w:spacing w:val="-4"/>
                <w:w w:val="105"/>
                <w:sz w:val="16"/>
              </w:rPr>
              <w:t>name</w:t>
            </w:r>
          </w:p>
        </w:tc>
        <w:tc>
          <w:tcPr>
            <w:tcW w:w="1485" w:type="dxa"/>
            <w:shd w:val="clear" w:color="auto" w:fill="005F83"/>
          </w:tcPr>
          <w:p w14:paraId="52051838" w14:textId="77777777" w:rsidR="00084F36" w:rsidRPr="00697E0C" w:rsidRDefault="00EB2BD8">
            <w:pPr>
              <w:pStyle w:val="TableParagraph"/>
              <w:spacing w:before="118" w:line="292" w:lineRule="auto"/>
              <w:ind w:left="139"/>
              <w:rPr>
                <w:color w:val="FFFFFF" w:themeColor="background1"/>
                <w:sz w:val="16"/>
              </w:rPr>
            </w:pPr>
            <w:r w:rsidRPr="00697E0C">
              <w:rPr>
                <w:color w:val="FFFFFF" w:themeColor="background1"/>
                <w:spacing w:val="-2"/>
                <w:sz w:val="16"/>
              </w:rPr>
              <w:t xml:space="preserve">Registration </w:t>
            </w:r>
            <w:r w:rsidRPr="00697E0C">
              <w:rPr>
                <w:color w:val="FFFFFF" w:themeColor="background1"/>
                <w:spacing w:val="-2"/>
                <w:w w:val="105"/>
                <w:sz w:val="16"/>
              </w:rPr>
              <w:t>Number</w:t>
            </w:r>
          </w:p>
        </w:tc>
        <w:tc>
          <w:tcPr>
            <w:tcW w:w="2443" w:type="dxa"/>
            <w:shd w:val="clear" w:color="auto" w:fill="005F83"/>
          </w:tcPr>
          <w:p w14:paraId="287F08FE" w14:textId="77777777" w:rsidR="00084F36" w:rsidRPr="00697E0C" w:rsidRDefault="00EB2BD8">
            <w:pPr>
              <w:pStyle w:val="TableParagraph"/>
              <w:spacing w:before="118"/>
              <w:ind w:left="287"/>
              <w:rPr>
                <w:color w:val="FFFFFF" w:themeColor="background1"/>
                <w:sz w:val="16"/>
              </w:rPr>
            </w:pPr>
            <w:r w:rsidRPr="00697E0C">
              <w:rPr>
                <w:color w:val="FFFFFF" w:themeColor="background1"/>
                <w:spacing w:val="-2"/>
                <w:w w:val="105"/>
                <w:sz w:val="16"/>
              </w:rPr>
              <w:t>Conduct</w:t>
            </w:r>
          </w:p>
        </w:tc>
        <w:tc>
          <w:tcPr>
            <w:tcW w:w="2288" w:type="dxa"/>
            <w:shd w:val="clear" w:color="auto" w:fill="005F83"/>
          </w:tcPr>
          <w:p w14:paraId="2C88BA49" w14:textId="77777777" w:rsidR="00084F36" w:rsidRPr="00697E0C" w:rsidRDefault="00EB2BD8">
            <w:pPr>
              <w:pStyle w:val="TableParagraph"/>
              <w:spacing w:before="118"/>
              <w:ind w:left="123"/>
              <w:rPr>
                <w:color w:val="FFFFFF" w:themeColor="background1"/>
                <w:sz w:val="16"/>
              </w:rPr>
            </w:pPr>
            <w:r w:rsidRPr="00697E0C">
              <w:rPr>
                <w:color w:val="FFFFFF" w:themeColor="background1"/>
                <w:spacing w:val="-2"/>
                <w:sz w:val="16"/>
              </w:rPr>
              <w:t>Result</w:t>
            </w:r>
          </w:p>
        </w:tc>
        <w:tc>
          <w:tcPr>
            <w:tcW w:w="1078" w:type="dxa"/>
            <w:shd w:val="clear" w:color="auto" w:fill="005F83"/>
          </w:tcPr>
          <w:p w14:paraId="145F5D56" w14:textId="77777777" w:rsidR="00084F36" w:rsidRPr="00697E0C" w:rsidRDefault="00EB2BD8">
            <w:pPr>
              <w:pStyle w:val="TableParagraph"/>
              <w:spacing w:before="118" w:line="292" w:lineRule="auto"/>
              <w:ind w:left="114" w:right="90"/>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35</w:t>
            </w:r>
          </w:p>
        </w:tc>
        <w:tc>
          <w:tcPr>
            <w:tcW w:w="1175" w:type="dxa"/>
            <w:shd w:val="clear" w:color="auto" w:fill="005F83"/>
          </w:tcPr>
          <w:p w14:paraId="298C656A" w14:textId="77777777" w:rsidR="00084F36" w:rsidRPr="00697E0C" w:rsidRDefault="00EB2BD8">
            <w:pPr>
              <w:pStyle w:val="TableParagraph"/>
              <w:spacing w:before="118"/>
              <w:ind w:left="113"/>
              <w:rPr>
                <w:color w:val="FFFFFF" w:themeColor="background1"/>
                <w:sz w:val="9"/>
              </w:rPr>
            </w:pPr>
            <w:r w:rsidRPr="00697E0C">
              <w:rPr>
                <w:color w:val="FFFFFF" w:themeColor="background1"/>
                <w:spacing w:val="-2"/>
                <w:w w:val="105"/>
                <w:sz w:val="16"/>
              </w:rPr>
              <w:t>Date</w:t>
            </w:r>
            <w:r w:rsidRPr="00697E0C">
              <w:rPr>
                <w:color w:val="FFFFFF" w:themeColor="background1"/>
                <w:spacing w:val="-2"/>
                <w:w w:val="105"/>
                <w:position w:val="5"/>
                <w:sz w:val="9"/>
              </w:rPr>
              <w:t>36</w:t>
            </w:r>
          </w:p>
        </w:tc>
      </w:tr>
      <w:tr w:rsidR="00EB2BD8" w:rsidRPr="00EB2BD8" w14:paraId="4AA26FC7" w14:textId="77777777">
        <w:trPr>
          <w:trHeight w:val="328"/>
        </w:trPr>
        <w:tc>
          <w:tcPr>
            <w:tcW w:w="1731" w:type="dxa"/>
          </w:tcPr>
          <w:p w14:paraId="56E5FC08" w14:textId="77777777" w:rsidR="00084F36" w:rsidRPr="00EB2BD8" w:rsidRDefault="00EB2BD8">
            <w:pPr>
              <w:pStyle w:val="TableParagraph"/>
              <w:spacing w:before="118"/>
              <w:ind w:left="113"/>
              <w:rPr>
                <w:sz w:val="16"/>
              </w:rPr>
            </w:pPr>
            <w:r w:rsidRPr="00EB2BD8">
              <w:rPr>
                <w:sz w:val="16"/>
              </w:rPr>
              <w:t>Fernebuilt</w:t>
            </w:r>
            <w:r w:rsidRPr="00EB2BD8">
              <w:rPr>
                <w:spacing w:val="-5"/>
                <w:sz w:val="16"/>
              </w:rPr>
              <w:t xml:space="preserve"> </w:t>
            </w:r>
            <w:r w:rsidRPr="00EB2BD8">
              <w:rPr>
                <w:sz w:val="16"/>
              </w:rPr>
              <w:t>Pty</w:t>
            </w:r>
            <w:r w:rsidRPr="00EB2BD8">
              <w:rPr>
                <w:spacing w:val="-5"/>
                <w:sz w:val="16"/>
              </w:rPr>
              <w:t xml:space="preserve"> Ltd</w:t>
            </w:r>
          </w:p>
        </w:tc>
        <w:tc>
          <w:tcPr>
            <w:tcW w:w="1485" w:type="dxa"/>
          </w:tcPr>
          <w:p w14:paraId="5002A99A" w14:textId="77777777" w:rsidR="00084F36" w:rsidRPr="00EB2BD8" w:rsidRDefault="00EB2BD8">
            <w:pPr>
              <w:pStyle w:val="TableParagraph"/>
              <w:spacing w:before="118"/>
              <w:ind w:left="139"/>
              <w:rPr>
                <w:sz w:val="16"/>
              </w:rPr>
            </w:pPr>
            <w:r w:rsidRPr="00EB2BD8">
              <w:rPr>
                <w:spacing w:val="2"/>
                <w:sz w:val="16"/>
              </w:rPr>
              <w:t>CDB-U</w:t>
            </w:r>
            <w:r w:rsidRPr="00EB2BD8">
              <w:rPr>
                <w:spacing w:val="17"/>
                <w:sz w:val="16"/>
              </w:rPr>
              <w:t xml:space="preserve"> </w:t>
            </w:r>
            <w:r w:rsidRPr="00EB2BD8">
              <w:rPr>
                <w:spacing w:val="-2"/>
                <w:sz w:val="16"/>
              </w:rPr>
              <w:t>51820</w:t>
            </w:r>
          </w:p>
        </w:tc>
        <w:tc>
          <w:tcPr>
            <w:tcW w:w="2443" w:type="dxa"/>
          </w:tcPr>
          <w:p w14:paraId="11316BF7" w14:textId="77777777" w:rsidR="00084F36" w:rsidRPr="00EB2BD8" w:rsidRDefault="00EB2BD8">
            <w:pPr>
              <w:pStyle w:val="TableParagraph"/>
              <w:spacing w:before="118"/>
              <w:ind w:left="287"/>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88" w:type="dxa"/>
          </w:tcPr>
          <w:p w14:paraId="30078F3D" w14:textId="77777777" w:rsidR="00084F36" w:rsidRPr="00EB2BD8" w:rsidRDefault="00EB2BD8">
            <w:pPr>
              <w:pStyle w:val="TableParagraph"/>
              <w:spacing w:before="118"/>
              <w:ind w:left="123"/>
              <w:rPr>
                <w:sz w:val="16"/>
              </w:rPr>
            </w:pPr>
            <w:r w:rsidRPr="00EB2BD8">
              <w:rPr>
                <w:sz w:val="16"/>
              </w:rPr>
              <w:t>Reprimands and</w:t>
            </w:r>
            <w:r w:rsidRPr="00EB2BD8">
              <w:rPr>
                <w:spacing w:val="1"/>
                <w:sz w:val="16"/>
              </w:rPr>
              <w:t xml:space="preserve"> </w:t>
            </w:r>
            <w:r w:rsidRPr="00EB2BD8">
              <w:rPr>
                <w:spacing w:val="-2"/>
                <w:sz w:val="16"/>
              </w:rPr>
              <w:t>penalties</w:t>
            </w:r>
          </w:p>
        </w:tc>
        <w:tc>
          <w:tcPr>
            <w:tcW w:w="1078" w:type="dxa"/>
          </w:tcPr>
          <w:p w14:paraId="2D0EECF4" w14:textId="77777777" w:rsidR="00084F36" w:rsidRPr="00EB2BD8" w:rsidRDefault="00EB2BD8">
            <w:pPr>
              <w:pStyle w:val="TableParagraph"/>
              <w:spacing w:before="118"/>
              <w:ind w:right="111"/>
              <w:jc w:val="right"/>
              <w:rPr>
                <w:sz w:val="16"/>
              </w:rPr>
            </w:pPr>
            <w:r w:rsidRPr="00EB2BD8">
              <w:rPr>
                <w:spacing w:val="-2"/>
                <w:sz w:val="16"/>
              </w:rPr>
              <w:t>$2,000</w:t>
            </w:r>
          </w:p>
        </w:tc>
        <w:tc>
          <w:tcPr>
            <w:tcW w:w="1175" w:type="dxa"/>
          </w:tcPr>
          <w:p w14:paraId="30A525A8" w14:textId="77777777" w:rsidR="00084F36" w:rsidRPr="00EB2BD8" w:rsidRDefault="00EB2BD8">
            <w:pPr>
              <w:pStyle w:val="TableParagraph"/>
              <w:spacing w:before="118"/>
              <w:ind w:left="113"/>
              <w:rPr>
                <w:sz w:val="16"/>
              </w:rPr>
            </w:pPr>
            <w:r w:rsidRPr="00EB2BD8">
              <w:rPr>
                <w:spacing w:val="-2"/>
                <w:w w:val="90"/>
                <w:sz w:val="16"/>
              </w:rPr>
              <w:t>21/07/2022</w:t>
            </w:r>
          </w:p>
        </w:tc>
      </w:tr>
      <w:tr w:rsidR="00EB2BD8" w:rsidRPr="00EB2BD8" w14:paraId="182A9FBF" w14:textId="77777777">
        <w:trPr>
          <w:trHeight w:val="230"/>
        </w:trPr>
        <w:tc>
          <w:tcPr>
            <w:tcW w:w="1731" w:type="dxa"/>
          </w:tcPr>
          <w:p w14:paraId="54A705A6" w14:textId="77777777" w:rsidR="00084F36" w:rsidRPr="00EB2BD8" w:rsidRDefault="00084F36">
            <w:pPr>
              <w:pStyle w:val="TableParagraph"/>
              <w:rPr>
                <w:rFonts w:ascii="Times New Roman"/>
                <w:sz w:val="16"/>
              </w:rPr>
            </w:pPr>
          </w:p>
        </w:tc>
        <w:tc>
          <w:tcPr>
            <w:tcW w:w="1485" w:type="dxa"/>
          </w:tcPr>
          <w:p w14:paraId="2690A1C6" w14:textId="77777777" w:rsidR="00084F36" w:rsidRPr="00EB2BD8" w:rsidRDefault="00084F36">
            <w:pPr>
              <w:pStyle w:val="TableParagraph"/>
              <w:rPr>
                <w:rFonts w:ascii="Times New Roman"/>
                <w:sz w:val="16"/>
              </w:rPr>
            </w:pPr>
          </w:p>
        </w:tc>
        <w:tc>
          <w:tcPr>
            <w:tcW w:w="2443" w:type="dxa"/>
          </w:tcPr>
          <w:p w14:paraId="159AF50F" w14:textId="77777777" w:rsidR="00084F36" w:rsidRPr="00EB2BD8" w:rsidRDefault="00EB2BD8">
            <w:pPr>
              <w:pStyle w:val="TableParagraph"/>
              <w:spacing w:before="19"/>
              <w:ind w:left="287"/>
              <w:rPr>
                <w:sz w:val="16"/>
              </w:rPr>
            </w:pPr>
            <w:r w:rsidRPr="00EB2BD8">
              <w:rPr>
                <w:sz w:val="16"/>
              </w:rPr>
              <w:t>mandatory</w:t>
            </w:r>
            <w:r w:rsidRPr="00EB2BD8">
              <w:rPr>
                <w:spacing w:val="14"/>
                <w:sz w:val="16"/>
              </w:rPr>
              <w:t xml:space="preserve"> </w:t>
            </w:r>
            <w:r w:rsidRPr="00EB2BD8">
              <w:rPr>
                <w:spacing w:val="-2"/>
                <w:sz w:val="16"/>
              </w:rPr>
              <w:t>stage</w:t>
            </w:r>
          </w:p>
        </w:tc>
        <w:tc>
          <w:tcPr>
            <w:tcW w:w="2288" w:type="dxa"/>
          </w:tcPr>
          <w:p w14:paraId="74B808E7" w14:textId="77777777" w:rsidR="00084F36" w:rsidRPr="00EB2BD8" w:rsidRDefault="00EB2BD8">
            <w:pPr>
              <w:pStyle w:val="TableParagraph"/>
              <w:spacing w:before="19"/>
              <w:ind w:left="123"/>
              <w:rPr>
                <w:sz w:val="16"/>
              </w:rPr>
            </w:pPr>
            <w:r w:rsidRPr="00EB2BD8">
              <w:rPr>
                <w:spacing w:val="-4"/>
                <w:sz w:val="16"/>
              </w:rPr>
              <w:t>of</w:t>
            </w:r>
            <w:r w:rsidRPr="00EB2BD8">
              <w:rPr>
                <w:spacing w:val="-10"/>
                <w:sz w:val="16"/>
              </w:rPr>
              <w:t xml:space="preserve"> </w:t>
            </w:r>
            <w:r w:rsidRPr="00EB2BD8">
              <w:rPr>
                <w:spacing w:val="-2"/>
                <w:sz w:val="16"/>
              </w:rPr>
              <w:t>$2,000.</w:t>
            </w:r>
          </w:p>
        </w:tc>
        <w:tc>
          <w:tcPr>
            <w:tcW w:w="1078" w:type="dxa"/>
          </w:tcPr>
          <w:p w14:paraId="533A788F" w14:textId="77777777" w:rsidR="00084F36" w:rsidRPr="00EB2BD8" w:rsidRDefault="00084F36">
            <w:pPr>
              <w:pStyle w:val="TableParagraph"/>
              <w:rPr>
                <w:rFonts w:ascii="Times New Roman"/>
                <w:sz w:val="16"/>
              </w:rPr>
            </w:pPr>
          </w:p>
        </w:tc>
        <w:tc>
          <w:tcPr>
            <w:tcW w:w="1175" w:type="dxa"/>
          </w:tcPr>
          <w:p w14:paraId="052FDC7F" w14:textId="77777777" w:rsidR="00084F36" w:rsidRPr="00EB2BD8" w:rsidRDefault="00084F36">
            <w:pPr>
              <w:pStyle w:val="TableParagraph"/>
              <w:rPr>
                <w:rFonts w:ascii="Times New Roman"/>
                <w:sz w:val="16"/>
              </w:rPr>
            </w:pPr>
          </w:p>
        </w:tc>
      </w:tr>
      <w:tr w:rsidR="00EB2BD8" w:rsidRPr="00EB2BD8" w14:paraId="293B735C" w14:textId="77777777">
        <w:trPr>
          <w:trHeight w:val="229"/>
        </w:trPr>
        <w:tc>
          <w:tcPr>
            <w:tcW w:w="1731" w:type="dxa"/>
          </w:tcPr>
          <w:p w14:paraId="363F314A" w14:textId="77777777" w:rsidR="00084F36" w:rsidRPr="00EB2BD8" w:rsidRDefault="00084F36">
            <w:pPr>
              <w:pStyle w:val="TableParagraph"/>
              <w:rPr>
                <w:rFonts w:ascii="Times New Roman"/>
                <w:sz w:val="16"/>
              </w:rPr>
            </w:pPr>
          </w:p>
        </w:tc>
        <w:tc>
          <w:tcPr>
            <w:tcW w:w="1485" w:type="dxa"/>
          </w:tcPr>
          <w:p w14:paraId="3152A1A0" w14:textId="77777777" w:rsidR="00084F36" w:rsidRPr="00EB2BD8" w:rsidRDefault="00084F36">
            <w:pPr>
              <w:pStyle w:val="TableParagraph"/>
              <w:rPr>
                <w:rFonts w:ascii="Times New Roman"/>
                <w:sz w:val="16"/>
              </w:rPr>
            </w:pPr>
          </w:p>
        </w:tc>
        <w:tc>
          <w:tcPr>
            <w:tcW w:w="2443" w:type="dxa"/>
          </w:tcPr>
          <w:p w14:paraId="4A0F4460" w14:textId="77777777" w:rsidR="00084F36" w:rsidRPr="00EB2BD8" w:rsidRDefault="00EB2BD8">
            <w:pPr>
              <w:pStyle w:val="TableParagraph"/>
              <w:spacing w:before="19"/>
              <w:ind w:left="287"/>
              <w:rPr>
                <w:sz w:val="16"/>
              </w:rPr>
            </w:pPr>
            <w:r w:rsidRPr="00EB2BD8">
              <w:rPr>
                <w:spacing w:val="-2"/>
                <w:sz w:val="16"/>
              </w:rPr>
              <w:t>inspections</w:t>
            </w:r>
            <w:r w:rsidRPr="00EB2BD8">
              <w:rPr>
                <w:spacing w:val="-7"/>
                <w:sz w:val="16"/>
              </w:rPr>
              <w:t xml:space="preserve"> </w:t>
            </w:r>
            <w:r w:rsidRPr="00EB2BD8">
              <w:rPr>
                <w:spacing w:val="-2"/>
                <w:sz w:val="16"/>
              </w:rPr>
              <w:t>(2</w:t>
            </w:r>
            <w:r w:rsidRPr="00EB2BD8">
              <w:rPr>
                <w:spacing w:val="-6"/>
                <w:sz w:val="16"/>
              </w:rPr>
              <w:t xml:space="preserve"> </w:t>
            </w:r>
            <w:r w:rsidRPr="00EB2BD8">
              <w:rPr>
                <w:spacing w:val="-2"/>
                <w:sz w:val="16"/>
              </w:rPr>
              <w:t>stages)</w:t>
            </w:r>
            <w:r w:rsidRPr="00EB2BD8">
              <w:rPr>
                <w:spacing w:val="-7"/>
                <w:sz w:val="16"/>
              </w:rPr>
              <w:t xml:space="preserve"> </w:t>
            </w:r>
            <w:r w:rsidRPr="00EB2BD8">
              <w:rPr>
                <w:spacing w:val="-5"/>
                <w:sz w:val="16"/>
              </w:rPr>
              <w:t>in</w:t>
            </w:r>
          </w:p>
        </w:tc>
        <w:tc>
          <w:tcPr>
            <w:tcW w:w="2288" w:type="dxa"/>
          </w:tcPr>
          <w:p w14:paraId="46BEFB21" w14:textId="77777777" w:rsidR="00084F36" w:rsidRPr="00EB2BD8" w:rsidRDefault="00084F36">
            <w:pPr>
              <w:pStyle w:val="TableParagraph"/>
              <w:rPr>
                <w:rFonts w:ascii="Times New Roman"/>
                <w:sz w:val="16"/>
              </w:rPr>
            </w:pPr>
          </w:p>
        </w:tc>
        <w:tc>
          <w:tcPr>
            <w:tcW w:w="1078" w:type="dxa"/>
          </w:tcPr>
          <w:p w14:paraId="27B4FC2E" w14:textId="77777777" w:rsidR="00084F36" w:rsidRPr="00EB2BD8" w:rsidRDefault="00084F36">
            <w:pPr>
              <w:pStyle w:val="TableParagraph"/>
              <w:rPr>
                <w:rFonts w:ascii="Times New Roman"/>
                <w:sz w:val="16"/>
              </w:rPr>
            </w:pPr>
          </w:p>
        </w:tc>
        <w:tc>
          <w:tcPr>
            <w:tcW w:w="1175" w:type="dxa"/>
          </w:tcPr>
          <w:p w14:paraId="653B265C" w14:textId="77777777" w:rsidR="00084F36" w:rsidRPr="00EB2BD8" w:rsidRDefault="00084F36">
            <w:pPr>
              <w:pStyle w:val="TableParagraph"/>
              <w:rPr>
                <w:rFonts w:ascii="Times New Roman"/>
                <w:sz w:val="16"/>
              </w:rPr>
            </w:pPr>
          </w:p>
        </w:tc>
      </w:tr>
      <w:tr w:rsidR="00EB2BD8" w:rsidRPr="00EB2BD8" w14:paraId="14445883" w14:textId="77777777">
        <w:trPr>
          <w:trHeight w:val="229"/>
        </w:trPr>
        <w:tc>
          <w:tcPr>
            <w:tcW w:w="1731" w:type="dxa"/>
          </w:tcPr>
          <w:p w14:paraId="68C56563" w14:textId="77777777" w:rsidR="00084F36" w:rsidRPr="00EB2BD8" w:rsidRDefault="00084F36">
            <w:pPr>
              <w:pStyle w:val="TableParagraph"/>
              <w:rPr>
                <w:rFonts w:ascii="Times New Roman"/>
                <w:sz w:val="16"/>
              </w:rPr>
            </w:pPr>
          </w:p>
        </w:tc>
        <w:tc>
          <w:tcPr>
            <w:tcW w:w="1485" w:type="dxa"/>
          </w:tcPr>
          <w:p w14:paraId="77CF866A" w14:textId="77777777" w:rsidR="00084F36" w:rsidRPr="00EB2BD8" w:rsidRDefault="00084F36">
            <w:pPr>
              <w:pStyle w:val="TableParagraph"/>
              <w:rPr>
                <w:rFonts w:ascii="Times New Roman"/>
                <w:sz w:val="16"/>
              </w:rPr>
            </w:pPr>
          </w:p>
        </w:tc>
        <w:tc>
          <w:tcPr>
            <w:tcW w:w="2443" w:type="dxa"/>
          </w:tcPr>
          <w:p w14:paraId="6F648F95" w14:textId="77777777" w:rsidR="00084F36" w:rsidRPr="00EB2BD8" w:rsidRDefault="00EB2BD8">
            <w:pPr>
              <w:pStyle w:val="TableParagraph"/>
              <w:spacing w:before="19"/>
              <w:ind w:left="287"/>
              <w:rPr>
                <w:sz w:val="16"/>
              </w:rPr>
            </w:pPr>
            <w:r w:rsidRPr="00EB2BD8">
              <w:rPr>
                <w:sz w:val="16"/>
              </w:rPr>
              <w:t>respect</w:t>
            </w:r>
            <w:r w:rsidRPr="00EB2BD8">
              <w:rPr>
                <w:spacing w:val="-8"/>
                <w:sz w:val="16"/>
              </w:rPr>
              <w:t xml:space="preserve"> </w:t>
            </w:r>
            <w:r w:rsidRPr="00EB2BD8">
              <w:rPr>
                <w:sz w:val="16"/>
              </w:rPr>
              <w:t>of</w:t>
            </w:r>
            <w:r w:rsidRPr="00EB2BD8">
              <w:rPr>
                <w:spacing w:val="-7"/>
                <w:sz w:val="16"/>
              </w:rPr>
              <w:t xml:space="preserve"> </w:t>
            </w:r>
            <w:r w:rsidRPr="00EB2BD8">
              <w:rPr>
                <w:sz w:val="16"/>
              </w:rPr>
              <w:t>a</w:t>
            </w:r>
            <w:r w:rsidRPr="00EB2BD8">
              <w:rPr>
                <w:spacing w:val="-8"/>
                <w:sz w:val="16"/>
              </w:rPr>
              <w:t xml:space="preserve"> </w:t>
            </w:r>
            <w:r w:rsidRPr="00EB2BD8">
              <w:rPr>
                <w:sz w:val="16"/>
              </w:rPr>
              <w:t>site</w:t>
            </w:r>
            <w:r w:rsidRPr="00EB2BD8">
              <w:rPr>
                <w:spacing w:val="-7"/>
                <w:sz w:val="16"/>
              </w:rPr>
              <w:t xml:space="preserve"> </w:t>
            </w:r>
            <w:r w:rsidRPr="00EB2BD8">
              <w:rPr>
                <w:sz w:val="16"/>
              </w:rPr>
              <w:t>at</w:t>
            </w:r>
            <w:r w:rsidRPr="00EB2BD8">
              <w:rPr>
                <w:spacing w:val="-7"/>
                <w:sz w:val="16"/>
              </w:rPr>
              <w:t xml:space="preserve"> </w:t>
            </w:r>
            <w:r w:rsidRPr="00EB2BD8">
              <w:rPr>
                <w:spacing w:val="-4"/>
                <w:sz w:val="16"/>
              </w:rPr>
              <w:t>Glen</w:t>
            </w:r>
          </w:p>
        </w:tc>
        <w:tc>
          <w:tcPr>
            <w:tcW w:w="2288" w:type="dxa"/>
          </w:tcPr>
          <w:p w14:paraId="7FE549BA" w14:textId="77777777" w:rsidR="00084F36" w:rsidRPr="00EB2BD8" w:rsidRDefault="00084F36">
            <w:pPr>
              <w:pStyle w:val="TableParagraph"/>
              <w:rPr>
                <w:rFonts w:ascii="Times New Roman"/>
                <w:sz w:val="16"/>
              </w:rPr>
            </w:pPr>
          </w:p>
        </w:tc>
        <w:tc>
          <w:tcPr>
            <w:tcW w:w="1078" w:type="dxa"/>
          </w:tcPr>
          <w:p w14:paraId="1A4A557D" w14:textId="77777777" w:rsidR="00084F36" w:rsidRPr="00EB2BD8" w:rsidRDefault="00084F36">
            <w:pPr>
              <w:pStyle w:val="TableParagraph"/>
              <w:rPr>
                <w:rFonts w:ascii="Times New Roman"/>
                <w:sz w:val="16"/>
              </w:rPr>
            </w:pPr>
          </w:p>
        </w:tc>
        <w:tc>
          <w:tcPr>
            <w:tcW w:w="1175" w:type="dxa"/>
          </w:tcPr>
          <w:p w14:paraId="30BE6C0F" w14:textId="77777777" w:rsidR="00084F36" w:rsidRPr="00EB2BD8" w:rsidRDefault="00084F36">
            <w:pPr>
              <w:pStyle w:val="TableParagraph"/>
              <w:rPr>
                <w:rFonts w:ascii="Times New Roman"/>
                <w:sz w:val="16"/>
              </w:rPr>
            </w:pPr>
          </w:p>
        </w:tc>
      </w:tr>
      <w:tr w:rsidR="00EB2BD8" w:rsidRPr="00EB2BD8" w14:paraId="110BE1F4" w14:textId="77777777">
        <w:trPr>
          <w:trHeight w:val="285"/>
        </w:trPr>
        <w:tc>
          <w:tcPr>
            <w:tcW w:w="1731" w:type="dxa"/>
            <w:tcBorders>
              <w:bottom w:val="single" w:sz="2" w:space="0" w:color="000000"/>
            </w:tcBorders>
          </w:tcPr>
          <w:p w14:paraId="1D0463FF" w14:textId="77777777" w:rsidR="00084F36" w:rsidRPr="00EB2BD8" w:rsidRDefault="00084F36">
            <w:pPr>
              <w:pStyle w:val="TableParagraph"/>
              <w:rPr>
                <w:rFonts w:ascii="Times New Roman"/>
                <w:sz w:val="16"/>
              </w:rPr>
            </w:pPr>
          </w:p>
        </w:tc>
        <w:tc>
          <w:tcPr>
            <w:tcW w:w="1485" w:type="dxa"/>
            <w:tcBorders>
              <w:bottom w:val="single" w:sz="2" w:space="0" w:color="000000"/>
            </w:tcBorders>
          </w:tcPr>
          <w:p w14:paraId="4C7CEF46" w14:textId="77777777" w:rsidR="00084F36" w:rsidRPr="00EB2BD8" w:rsidRDefault="00084F36">
            <w:pPr>
              <w:pStyle w:val="TableParagraph"/>
              <w:rPr>
                <w:rFonts w:ascii="Times New Roman"/>
                <w:sz w:val="16"/>
              </w:rPr>
            </w:pPr>
          </w:p>
        </w:tc>
        <w:tc>
          <w:tcPr>
            <w:tcW w:w="2443" w:type="dxa"/>
            <w:tcBorders>
              <w:bottom w:val="single" w:sz="2" w:space="0" w:color="000000"/>
            </w:tcBorders>
          </w:tcPr>
          <w:p w14:paraId="6FF42EC3" w14:textId="77777777" w:rsidR="00084F36" w:rsidRPr="00EB2BD8" w:rsidRDefault="00EB2BD8">
            <w:pPr>
              <w:pStyle w:val="TableParagraph"/>
              <w:spacing w:before="19"/>
              <w:ind w:left="287"/>
              <w:rPr>
                <w:sz w:val="16"/>
              </w:rPr>
            </w:pPr>
            <w:r w:rsidRPr="00EB2BD8">
              <w:rPr>
                <w:spacing w:val="-2"/>
                <w:sz w:val="16"/>
              </w:rPr>
              <w:t>Iris.</w:t>
            </w:r>
          </w:p>
        </w:tc>
        <w:tc>
          <w:tcPr>
            <w:tcW w:w="2288" w:type="dxa"/>
            <w:tcBorders>
              <w:bottom w:val="single" w:sz="2" w:space="0" w:color="000000"/>
            </w:tcBorders>
          </w:tcPr>
          <w:p w14:paraId="05B2E2FC"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3ABA7FA4"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1FBF82DC" w14:textId="77777777" w:rsidR="00084F36" w:rsidRPr="00EB2BD8" w:rsidRDefault="00084F36">
            <w:pPr>
              <w:pStyle w:val="TableParagraph"/>
              <w:rPr>
                <w:rFonts w:ascii="Times New Roman"/>
                <w:sz w:val="16"/>
              </w:rPr>
            </w:pPr>
          </w:p>
        </w:tc>
      </w:tr>
      <w:tr w:rsidR="00EB2BD8" w:rsidRPr="00EB2BD8" w14:paraId="77E3664F" w14:textId="77777777">
        <w:trPr>
          <w:trHeight w:val="325"/>
        </w:trPr>
        <w:tc>
          <w:tcPr>
            <w:tcW w:w="1731" w:type="dxa"/>
            <w:tcBorders>
              <w:top w:val="single" w:sz="2" w:space="0" w:color="000000"/>
            </w:tcBorders>
          </w:tcPr>
          <w:p w14:paraId="0FE811AE" w14:textId="77777777" w:rsidR="00084F36" w:rsidRPr="00EB2BD8" w:rsidRDefault="00EB2BD8">
            <w:pPr>
              <w:pStyle w:val="TableParagraph"/>
              <w:spacing w:before="116"/>
              <w:ind w:left="113"/>
              <w:rPr>
                <w:sz w:val="16"/>
              </w:rPr>
            </w:pPr>
            <w:r w:rsidRPr="00EB2BD8">
              <w:rPr>
                <w:sz w:val="16"/>
              </w:rPr>
              <w:t>Gallery</w:t>
            </w:r>
            <w:r w:rsidRPr="00EB2BD8">
              <w:rPr>
                <w:spacing w:val="-7"/>
                <w:sz w:val="16"/>
              </w:rPr>
              <w:t xml:space="preserve"> </w:t>
            </w:r>
            <w:r w:rsidRPr="00EB2BD8">
              <w:rPr>
                <w:sz w:val="16"/>
              </w:rPr>
              <w:t>Homes</w:t>
            </w:r>
            <w:r w:rsidRPr="00EB2BD8">
              <w:rPr>
                <w:spacing w:val="-6"/>
                <w:sz w:val="16"/>
              </w:rPr>
              <w:t xml:space="preserve"> </w:t>
            </w:r>
            <w:r w:rsidRPr="00EB2BD8">
              <w:rPr>
                <w:spacing w:val="-5"/>
                <w:sz w:val="16"/>
              </w:rPr>
              <w:t>Pty</w:t>
            </w:r>
          </w:p>
        </w:tc>
        <w:tc>
          <w:tcPr>
            <w:tcW w:w="1485" w:type="dxa"/>
            <w:tcBorders>
              <w:top w:val="single" w:sz="2" w:space="0" w:color="000000"/>
            </w:tcBorders>
          </w:tcPr>
          <w:p w14:paraId="54FAF0FD" w14:textId="77777777" w:rsidR="00084F36" w:rsidRPr="00EB2BD8" w:rsidRDefault="00EB2BD8">
            <w:pPr>
              <w:pStyle w:val="TableParagraph"/>
              <w:spacing w:before="116"/>
              <w:ind w:left="139"/>
              <w:rPr>
                <w:sz w:val="16"/>
              </w:rPr>
            </w:pPr>
            <w:r w:rsidRPr="00EB2BD8">
              <w:rPr>
                <w:spacing w:val="2"/>
                <w:sz w:val="16"/>
              </w:rPr>
              <w:t>CDB-U</w:t>
            </w:r>
            <w:r w:rsidRPr="00EB2BD8">
              <w:rPr>
                <w:spacing w:val="17"/>
                <w:sz w:val="16"/>
              </w:rPr>
              <w:t xml:space="preserve"> </w:t>
            </w:r>
            <w:r w:rsidRPr="00EB2BD8">
              <w:rPr>
                <w:spacing w:val="-2"/>
                <w:sz w:val="16"/>
              </w:rPr>
              <w:t>53131</w:t>
            </w:r>
          </w:p>
        </w:tc>
        <w:tc>
          <w:tcPr>
            <w:tcW w:w="2443" w:type="dxa"/>
            <w:tcBorders>
              <w:top w:val="single" w:sz="2" w:space="0" w:color="000000"/>
            </w:tcBorders>
          </w:tcPr>
          <w:p w14:paraId="39FBFD44" w14:textId="77777777" w:rsidR="00084F36" w:rsidRPr="00EB2BD8" w:rsidRDefault="00EB2BD8">
            <w:pPr>
              <w:pStyle w:val="TableParagraph"/>
              <w:spacing w:before="116"/>
              <w:ind w:left="287"/>
              <w:rPr>
                <w:sz w:val="16"/>
              </w:rPr>
            </w:pPr>
            <w:r w:rsidRPr="00EB2BD8">
              <w:rPr>
                <w:spacing w:val="-2"/>
                <w:sz w:val="16"/>
              </w:rPr>
              <w:t>Performing</w:t>
            </w:r>
            <w:r w:rsidRPr="00EB2BD8">
              <w:rPr>
                <w:spacing w:val="6"/>
                <w:sz w:val="16"/>
              </w:rPr>
              <w:t xml:space="preserve"> </w:t>
            </w:r>
            <w:r w:rsidRPr="00EB2BD8">
              <w:rPr>
                <w:spacing w:val="-2"/>
                <w:sz w:val="16"/>
              </w:rPr>
              <w:t>building</w:t>
            </w:r>
          </w:p>
        </w:tc>
        <w:tc>
          <w:tcPr>
            <w:tcW w:w="2288" w:type="dxa"/>
            <w:tcBorders>
              <w:top w:val="single" w:sz="2" w:space="0" w:color="000000"/>
            </w:tcBorders>
          </w:tcPr>
          <w:p w14:paraId="132FEE00" w14:textId="77777777" w:rsidR="00084F36" w:rsidRPr="00EB2BD8" w:rsidRDefault="00EB2BD8">
            <w:pPr>
              <w:pStyle w:val="TableParagraph"/>
              <w:spacing w:before="115"/>
              <w:ind w:left="123"/>
              <w:rPr>
                <w:sz w:val="16"/>
              </w:rPr>
            </w:pPr>
            <w:r w:rsidRPr="00EB2BD8">
              <w:rPr>
                <w:sz w:val="16"/>
              </w:rPr>
              <w:t>Reprimand</w:t>
            </w:r>
            <w:r w:rsidRPr="00EB2BD8">
              <w:rPr>
                <w:spacing w:val="3"/>
                <w:sz w:val="16"/>
              </w:rPr>
              <w:t xml:space="preserve"> </w:t>
            </w:r>
            <w:r w:rsidRPr="00EB2BD8">
              <w:rPr>
                <w:sz w:val="16"/>
              </w:rPr>
              <w:t>and</w:t>
            </w:r>
            <w:r w:rsidRPr="00EB2BD8">
              <w:rPr>
                <w:spacing w:val="4"/>
                <w:sz w:val="16"/>
              </w:rPr>
              <w:t xml:space="preserve"> </w:t>
            </w:r>
            <w:r w:rsidRPr="00EB2BD8">
              <w:rPr>
                <w:sz w:val="16"/>
              </w:rPr>
              <w:t>a</w:t>
            </w:r>
            <w:r w:rsidRPr="00EB2BD8">
              <w:rPr>
                <w:spacing w:val="3"/>
                <w:sz w:val="16"/>
              </w:rPr>
              <w:t xml:space="preserve"> </w:t>
            </w:r>
            <w:r w:rsidRPr="00EB2BD8">
              <w:rPr>
                <w:spacing w:val="-2"/>
                <w:sz w:val="16"/>
              </w:rPr>
              <w:t>penalty</w:t>
            </w:r>
          </w:p>
        </w:tc>
        <w:tc>
          <w:tcPr>
            <w:tcW w:w="1078" w:type="dxa"/>
            <w:tcBorders>
              <w:top w:val="single" w:sz="2" w:space="0" w:color="000000"/>
            </w:tcBorders>
          </w:tcPr>
          <w:p w14:paraId="30CA36BD" w14:textId="77777777" w:rsidR="00084F36" w:rsidRPr="00EB2BD8" w:rsidRDefault="00EB2BD8">
            <w:pPr>
              <w:pStyle w:val="TableParagraph"/>
              <w:spacing w:before="115"/>
              <w:ind w:right="111"/>
              <w:jc w:val="right"/>
              <w:rPr>
                <w:sz w:val="16"/>
              </w:rPr>
            </w:pPr>
            <w:r w:rsidRPr="00EB2BD8">
              <w:rPr>
                <w:spacing w:val="-2"/>
                <w:sz w:val="16"/>
              </w:rPr>
              <w:t>$4,000</w:t>
            </w:r>
          </w:p>
        </w:tc>
        <w:tc>
          <w:tcPr>
            <w:tcW w:w="1175" w:type="dxa"/>
            <w:tcBorders>
              <w:top w:val="single" w:sz="2" w:space="0" w:color="000000"/>
            </w:tcBorders>
          </w:tcPr>
          <w:p w14:paraId="58A2C81A" w14:textId="77777777" w:rsidR="00084F36" w:rsidRPr="00EB2BD8" w:rsidRDefault="00EB2BD8">
            <w:pPr>
              <w:pStyle w:val="TableParagraph"/>
              <w:spacing w:before="115"/>
              <w:ind w:left="113"/>
              <w:rPr>
                <w:sz w:val="16"/>
              </w:rPr>
            </w:pPr>
            <w:r w:rsidRPr="00EB2BD8">
              <w:rPr>
                <w:spacing w:val="-2"/>
                <w:w w:val="90"/>
                <w:sz w:val="16"/>
              </w:rPr>
              <w:t>18/10/2022</w:t>
            </w:r>
          </w:p>
        </w:tc>
      </w:tr>
      <w:tr w:rsidR="00EB2BD8" w:rsidRPr="00EB2BD8" w14:paraId="2A97681E" w14:textId="77777777">
        <w:trPr>
          <w:trHeight w:val="230"/>
        </w:trPr>
        <w:tc>
          <w:tcPr>
            <w:tcW w:w="1731" w:type="dxa"/>
          </w:tcPr>
          <w:p w14:paraId="69D8CEDF" w14:textId="77777777" w:rsidR="00084F36" w:rsidRPr="00EB2BD8" w:rsidRDefault="00EB2BD8">
            <w:pPr>
              <w:pStyle w:val="TableParagraph"/>
              <w:spacing w:before="20"/>
              <w:ind w:left="113"/>
              <w:rPr>
                <w:sz w:val="16"/>
              </w:rPr>
            </w:pPr>
            <w:r w:rsidRPr="00EB2BD8">
              <w:rPr>
                <w:spacing w:val="-5"/>
                <w:w w:val="105"/>
                <w:sz w:val="16"/>
              </w:rPr>
              <w:t>Ltd</w:t>
            </w:r>
          </w:p>
        </w:tc>
        <w:tc>
          <w:tcPr>
            <w:tcW w:w="1485" w:type="dxa"/>
          </w:tcPr>
          <w:p w14:paraId="3D8529B0" w14:textId="77777777" w:rsidR="00084F36" w:rsidRPr="00EB2BD8" w:rsidRDefault="00084F36">
            <w:pPr>
              <w:pStyle w:val="TableParagraph"/>
              <w:rPr>
                <w:rFonts w:ascii="Times New Roman"/>
                <w:sz w:val="16"/>
              </w:rPr>
            </w:pPr>
          </w:p>
        </w:tc>
        <w:tc>
          <w:tcPr>
            <w:tcW w:w="2443" w:type="dxa"/>
          </w:tcPr>
          <w:p w14:paraId="389D1543" w14:textId="77777777" w:rsidR="00084F36" w:rsidRPr="00EB2BD8" w:rsidRDefault="00EB2BD8">
            <w:pPr>
              <w:pStyle w:val="TableParagraph"/>
              <w:spacing w:before="20"/>
              <w:ind w:left="287"/>
              <w:rPr>
                <w:sz w:val="16"/>
              </w:rPr>
            </w:pPr>
            <w:r w:rsidRPr="00EB2BD8">
              <w:rPr>
                <w:spacing w:val="-2"/>
                <w:sz w:val="16"/>
              </w:rPr>
              <w:t>work</w:t>
            </w:r>
            <w:r w:rsidRPr="00EB2BD8">
              <w:rPr>
                <w:spacing w:val="-7"/>
                <w:sz w:val="16"/>
              </w:rPr>
              <w:t xml:space="preserve"> </w:t>
            </w:r>
            <w:r w:rsidRPr="00EB2BD8">
              <w:rPr>
                <w:spacing w:val="-2"/>
                <w:sz w:val="16"/>
              </w:rPr>
              <w:t>other</w:t>
            </w:r>
            <w:r w:rsidRPr="00EB2BD8">
              <w:rPr>
                <w:spacing w:val="-7"/>
                <w:sz w:val="16"/>
              </w:rPr>
              <w:t xml:space="preserve"> </w:t>
            </w:r>
            <w:r w:rsidRPr="00EB2BD8">
              <w:rPr>
                <w:spacing w:val="-2"/>
                <w:sz w:val="16"/>
              </w:rPr>
              <w:t>than</w:t>
            </w:r>
            <w:r w:rsidRPr="00EB2BD8">
              <w:rPr>
                <w:spacing w:val="-6"/>
                <w:sz w:val="16"/>
              </w:rPr>
              <w:t xml:space="preserve"> </w:t>
            </w:r>
            <w:r w:rsidRPr="00EB2BD8">
              <w:rPr>
                <w:spacing w:val="-2"/>
                <w:sz w:val="16"/>
              </w:rPr>
              <w:t>in</w:t>
            </w:r>
            <w:r w:rsidRPr="00EB2BD8">
              <w:rPr>
                <w:spacing w:val="-7"/>
                <w:sz w:val="16"/>
              </w:rPr>
              <w:t xml:space="preserve"> </w:t>
            </w:r>
            <w:r w:rsidRPr="00EB2BD8">
              <w:rPr>
                <w:spacing w:val="-10"/>
                <w:sz w:val="16"/>
              </w:rPr>
              <w:t>a</w:t>
            </w:r>
          </w:p>
        </w:tc>
        <w:tc>
          <w:tcPr>
            <w:tcW w:w="2288" w:type="dxa"/>
          </w:tcPr>
          <w:p w14:paraId="7D457A63" w14:textId="77777777" w:rsidR="00084F36" w:rsidRPr="00EB2BD8" w:rsidRDefault="00EB2BD8">
            <w:pPr>
              <w:pStyle w:val="TableParagraph"/>
              <w:spacing w:before="19"/>
              <w:ind w:left="123"/>
              <w:rPr>
                <w:sz w:val="16"/>
              </w:rPr>
            </w:pPr>
            <w:r w:rsidRPr="00EB2BD8">
              <w:rPr>
                <w:spacing w:val="-4"/>
                <w:sz w:val="16"/>
              </w:rPr>
              <w:t>of</w:t>
            </w:r>
            <w:r w:rsidRPr="00EB2BD8">
              <w:rPr>
                <w:spacing w:val="-10"/>
                <w:sz w:val="16"/>
              </w:rPr>
              <w:t xml:space="preserve"> </w:t>
            </w:r>
            <w:r w:rsidRPr="00EB2BD8">
              <w:rPr>
                <w:spacing w:val="-2"/>
                <w:sz w:val="16"/>
              </w:rPr>
              <w:t>$4,000.</w:t>
            </w:r>
          </w:p>
        </w:tc>
        <w:tc>
          <w:tcPr>
            <w:tcW w:w="1078" w:type="dxa"/>
          </w:tcPr>
          <w:p w14:paraId="6D751A01" w14:textId="77777777" w:rsidR="00084F36" w:rsidRPr="00EB2BD8" w:rsidRDefault="00084F36">
            <w:pPr>
              <w:pStyle w:val="TableParagraph"/>
              <w:rPr>
                <w:rFonts w:ascii="Times New Roman"/>
                <w:sz w:val="16"/>
              </w:rPr>
            </w:pPr>
          </w:p>
        </w:tc>
        <w:tc>
          <w:tcPr>
            <w:tcW w:w="1175" w:type="dxa"/>
          </w:tcPr>
          <w:p w14:paraId="407383E3" w14:textId="77777777" w:rsidR="00084F36" w:rsidRPr="00EB2BD8" w:rsidRDefault="00084F36">
            <w:pPr>
              <w:pStyle w:val="TableParagraph"/>
              <w:rPr>
                <w:rFonts w:ascii="Times New Roman"/>
                <w:sz w:val="16"/>
              </w:rPr>
            </w:pPr>
          </w:p>
        </w:tc>
      </w:tr>
      <w:tr w:rsidR="00EB2BD8" w:rsidRPr="00EB2BD8" w14:paraId="1FC8FC57" w14:textId="77777777">
        <w:trPr>
          <w:trHeight w:val="229"/>
        </w:trPr>
        <w:tc>
          <w:tcPr>
            <w:tcW w:w="1731" w:type="dxa"/>
          </w:tcPr>
          <w:p w14:paraId="0D8219C6" w14:textId="77777777" w:rsidR="00084F36" w:rsidRPr="00EB2BD8" w:rsidRDefault="00084F36">
            <w:pPr>
              <w:pStyle w:val="TableParagraph"/>
              <w:rPr>
                <w:rFonts w:ascii="Times New Roman"/>
                <w:sz w:val="16"/>
              </w:rPr>
            </w:pPr>
          </w:p>
        </w:tc>
        <w:tc>
          <w:tcPr>
            <w:tcW w:w="1485" w:type="dxa"/>
          </w:tcPr>
          <w:p w14:paraId="5323705C" w14:textId="77777777" w:rsidR="00084F36" w:rsidRPr="00EB2BD8" w:rsidRDefault="00084F36">
            <w:pPr>
              <w:pStyle w:val="TableParagraph"/>
              <w:rPr>
                <w:rFonts w:ascii="Times New Roman"/>
                <w:sz w:val="16"/>
              </w:rPr>
            </w:pPr>
          </w:p>
        </w:tc>
        <w:tc>
          <w:tcPr>
            <w:tcW w:w="2443" w:type="dxa"/>
          </w:tcPr>
          <w:p w14:paraId="119A5271" w14:textId="77777777" w:rsidR="00084F36" w:rsidRPr="00EB2BD8" w:rsidRDefault="00EB2BD8">
            <w:pPr>
              <w:pStyle w:val="TableParagraph"/>
              <w:spacing w:before="19"/>
              <w:ind w:left="287"/>
              <w:rPr>
                <w:sz w:val="16"/>
              </w:rPr>
            </w:pPr>
            <w:r w:rsidRPr="00EB2BD8">
              <w:rPr>
                <w:sz w:val="16"/>
              </w:rPr>
              <w:t>competent</w:t>
            </w:r>
            <w:r w:rsidRPr="00EB2BD8">
              <w:rPr>
                <w:spacing w:val="1"/>
                <w:sz w:val="16"/>
              </w:rPr>
              <w:t xml:space="preserve"> </w:t>
            </w:r>
            <w:r w:rsidRPr="00EB2BD8">
              <w:rPr>
                <w:sz w:val="16"/>
              </w:rPr>
              <w:t>manner</w:t>
            </w:r>
            <w:r w:rsidRPr="00EB2BD8">
              <w:rPr>
                <w:spacing w:val="1"/>
                <w:sz w:val="16"/>
              </w:rPr>
              <w:t xml:space="preserve"> </w:t>
            </w:r>
            <w:r w:rsidRPr="00EB2BD8">
              <w:rPr>
                <w:sz w:val="16"/>
              </w:rPr>
              <w:t>and</w:t>
            </w:r>
            <w:r w:rsidRPr="00EB2BD8">
              <w:rPr>
                <w:spacing w:val="1"/>
                <w:sz w:val="16"/>
              </w:rPr>
              <w:t xml:space="preserve"> </w:t>
            </w:r>
            <w:r w:rsidRPr="00EB2BD8">
              <w:rPr>
                <w:spacing w:val="-5"/>
                <w:sz w:val="16"/>
              </w:rPr>
              <w:t>to</w:t>
            </w:r>
          </w:p>
        </w:tc>
        <w:tc>
          <w:tcPr>
            <w:tcW w:w="2288" w:type="dxa"/>
          </w:tcPr>
          <w:p w14:paraId="6859646F" w14:textId="77777777" w:rsidR="00084F36" w:rsidRPr="00EB2BD8" w:rsidRDefault="00084F36">
            <w:pPr>
              <w:pStyle w:val="TableParagraph"/>
              <w:rPr>
                <w:rFonts w:ascii="Times New Roman"/>
                <w:sz w:val="16"/>
              </w:rPr>
            </w:pPr>
          </w:p>
        </w:tc>
        <w:tc>
          <w:tcPr>
            <w:tcW w:w="1078" w:type="dxa"/>
          </w:tcPr>
          <w:p w14:paraId="486ED6AF" w14:textId="77777777" w:rsidR="00084F36" w:rsidRPr="00EB2BD8" w:rsidRDefault="00084F36">
            <w:pPr>
              <w:pStyle w:val="TableParagraph"/>
              <w:rPr>
                <w:rFonts w:ascii="Times New Roman"/>
                <w:sz w:val="16"/>
              </w:rPr>
            </w:pPr>
          </w:p>
        </w:tc>
        <w:tc>
          <w:tcPr>
            <w:tcW w:w="1175" w:type="dxa"/>
          </w:tcPr>
          <w:p w14:paraId="5F2EC1AD" w14:textId="77777777" w:rsidR="00084F36" w:rsidRPr="00EB2BD8" w:rsidRDefault="00084F36">
            <w:pPr>
              <w:pStyle w:val="TableParagraph"/>
              <w:rPr>
                <w:rFonts w:ascii="Times New Roman"/>
                <w:sz w:val="16"/>
              </w:rPr>
            </w:pPr>
          </w:p>
        </w:tc>
      </w:tr>
      <w:tr w:rsidR="00EB2BD8" w:rsidRPr="00EB2BD8" w14:paraId="00151549" w14:textId="77777777">
        <w:trPr>
          <w:trHeight w:val="229"/>
        </w:trPr>
        <w:tc>
          <w:tcPr>
            <w:tcW w:w="1731" w:type="dxa"/>
          </w:tcPr>
          <w:p w14:paraId="7C855E0F" w14:textId="77777777" w:rsidR="00084F36" w:rsidRPr="00EB2BD8" w:rsidRDefault="00084F36">
            <w:pPr>
              <w:pStyle w:val="TableParagraph"/>
              <w:rPr>
                <w:rFonts w:ascii="Times New Roman"/>
                <w:sz w:val="16"/>
              </w:rPr>
            </w:pPr>
          </w:p>
        </w:tc>
        <w:tc>
          <w:tcPr>
            <w:tcW w:w="1485" w:type="dxa"/>
          </w:tcPr>
          <w:p w14:paraId="23765817" w14:textId="77777777" w:rsidR="00084F36" w:rsidRPr="00EB2BD8" w:rsidRDefault="00084F36">
            <w:pPr>
              <w:pStyle w:val="TableParagraph"/>
              <w:rPr>
                <w:rFonts w:ascii="Times New Roman"/>
                <w:sz w:val="16"/>
              </w:rPr>
            </w:pPr>
          </w:p>
        </w:tc>
        <w:tc>
          <w:tcPr>
            <w:tcW w:w="2443" w:type="dxa"/>
          </w:tcPr>
          <w:p w14:paraId="0E1E40E7" w14:textId="77777777" w:rsidR="00084F36" w:rsidRPr="00EB2BD8" w:rsidRDefault="00EB2BD8">
            <w:pPr>
              <w:pStyle w:val="TableParagraph"/>
              <w:spacing w:before="19"/>
              <w:ind w:left="287"/>
              <w:rPr>
                <w:sz w:val="16"/>
              </w:rPr>
            </w:pPr>
            <w:r w:rsidRPr="00EB2BD8">
              <w:rPr>
                <w:spacing w:val="-2"/>
                <w:sz w:val="16"/>
              </w:rPr>
              <w:t>a</w:t>
            </w:r>
            <w:r w:rsidRPr="00EB2BD8">
              <w:rPr>
                <w:spacing w:val="-1"/>
                <w:sz w:val="16"/>
              </w:rPr>
              <w:t xml:space="preserve"> </w:t>
            </w:r>
            <w:r w:rsidRPr="00EB2BD8">
              <w:rPr>
                <w:spacing w:val="-2"/>
                <w:sz w:val="16"/>
              </w:rPr>
              <w:t>professional</w:t>
            </w:r>
            <w:r w:rsidRPr="00EB2BD8">
              <w:rPr>
                <w:spacing w:val="-1"/>
                <w:sz w:val="16"/>
              </w:rPr>
              <w:t xml:space="preserve"> </w:t>
            </w:r>
            <w:r w:rsidRPr="00EB2BD8">
              <w:rPr>
                <w:spacing w:val="-2"/>
                <w:sz w:val="16"/>
              </w:rPr>
              <w:t>standard,</w:t>
            </w:r>
          </w:p>
        </w:tc>
        <w:tc>
          <w:tcPr>
            <w:tcW w:w="2288" w:type="dxa"/>
          </w:tcPr>
          <w:p w14:paraId="39AC8987" w14:textId="77777777" w:rsidR="00084F36" w:rsidRPr="00EB2BD8" w:rsidRDefault="00084F36">
            <w:pPr>
              <w:pStyle w:val="TableParagraph"/>
              <w:rPr>
                <w:rFonts w:ascii="Times New Roman"/>
                <w:sz w:val="16"/>
              </w:rPr>
            </w:pPr>
          </w:p>
        </w:tc>
        <w:tc>
          <w:tcPr>
            <w:tcW w:w="1078" w:type="dxa"/>
          </w:tcPr>
          <w:p w14:paraId="2B24CEF2" w14:textId="77777777" w:rsidR="00084F36" w:rsidRPr="00EB2BD8" w:rsidRDefault="00084F36">
            <w:pPr>
              <w:pStyle w:val="TableParagraph"/>
              <w:rPr>
                <w:rFonts w:ascii="Times New Roman"/>
                <w:sz w:val="16"/>
              </w:rPr>
            </w:pPr>
          </w:p>
        </w:tc>
        <w:tc>
          <w:tcPr>
            <w:tcW w:w="1175" w:type="dxa"/>
          </w:tcPr>
          <w:p w14:paraId="3E23D7A8" w14:textId="77777777" w:rsidR="00084F36" w:rsidRPr="00EB2BD8" w:rsidRDefault="00084F36">
            <w:pPr>
              <w:pStyle w:val="TableParagraph"/>
              <w:rPr>
                <w:rFonts w:ascii="Times New Roman"/>
                <w:sz w:val="16"/>
              </w:rPr>
            </w:pPr>
          </w:p>
        </w:tc>
      </w:tr>
      <w:tr w:rsidR="00EB2BD8" w:rsidRPr="00EB2BD8" w14:paraId="7BAF67D9" w14:textId="77777777">
        <w:trPr>
          <w:trHeight w:val="229"/>
        </w:trPr>
        <w:tc>
          <w:tcPr>
            <w:tcW w:w="1731" w:type="dxa"/>
          </w:tcPr>
          <w:p w14:paraId="43DE4F69" w14:textId="77777777" w:rsidR="00084F36" w:rsidRPr="00EB2BD8" w:rsidRDefault="00084F36">
            <w:pPr>
              <w:pStyle w:val="TableParagraph"/>
              <w:rPr>
                <w:rFonts w:ascii="Times New Roman"/>
                <w:sz w:val="16"/>
              </w:rPr>
            </w:pPr>
          </w:p>
        </w:tc>
        <w:tc>
          <w:tcPr>
            <w:tcW w:w="1485" w:type="dxa"/>
          </w:tcPr>
          <w:p w14:paraId="42994A55" w14:textId="77777777" w:rsidR="00084F36" w:rsidRPr="00EB2BD8" w:rsidRDefault="00084F36">
            <w:pPr>
              <w:pStyle w:val="TableParagraph"/>
              <w:rPr>
                <w:rFonts w:ascii="Times New Roman"/>
                <w:sz w:val="16"/>
              </w:rPr>
            </w:pPr>
          </w:p>
        </w:tc>
        <w:tc>
          <w:tcPr>
            <w:tcW w:w="2443" w:type="dxa"/>
          </w:tcPr>
          <w:p w14:paraId="0DC58888" w14:textId="77777777" w:rsidR="00084F36" w:rsidRPr="00EB2BD8" w:rsidRDefault="00EB2BD8">
            <w:pPr>
              <w:pStyle w:val="TableParagraph"/>
              <w:spacing w:before="19"/>
              <w:ind w:left="287"/>
              <w:rPr>
                <w:sz w:val="16"/>
              </w:rPr>
            </w:pPr>
            <w:r w:rsidRPr="00EB2BD8">
              <w:rPr>
                <w:spacing w:val="-2"/>
                <w:sz w:val="16"/>
              </w:rPr>
              <w:t>in</w:t>
            </w:r>
            <w:r w:rsidRPr="00EB2BD8">
              <w:rPr>
                <w:spacing w:val="-8"/>
                <w:sz w:val="16"/>
              </w:rPr>
              <w:t xml:space="preserve"> </w:t>
            </w:r>
            <w:r w:rsidRPr="00EB2BD8">
              <w:rPr>
                <w:spacing w:val="-2"/>
                <w:sz w:val="16"/>
              </w:rPr>
              <w:t>relation</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a</w:t>
            </w:r>
            <w:r w:rsidRPr="00EB2BD8">
              <w:rPr>
                <w:spacing w:val="-7"/>
                <w:sz w:val="16"/>
              </w:rPr>
              <w:t xml:space="preserve"> </w:t>
            </w:r>
            <w:r w:rsidRPr="00EB2BD8">
              <w:rPr>
                <w:spacing w:val="-2"/>
                <w:sz w:val="16"/>
              </w:rPr>
              <w:t>site</w:t>
            </w:r>
            <w:r w:rsidRPr="00EB2BD8">
              <w:rPr>
                <w:spacing w:val="-8"/>
                <w:sz w:val="16"/>
              </w:rPr>
              <w:t xml:space="preserve"> </w:t>
            </w:r>
            <w:r w:rsidRPr="00EB2BD8">
              <w:rPr>
                <w:spacing w:val="-5"/>
                <w:sz w:val="16"/>
              </w:rPr>
              <w:t>at</w:t>
            </w:r>
          </w:p>
        </w:tc>
        <w:tc>
          <w:tcPr>
            <w:tcW w:w="2288" w:type="dxa"/>
          </w:tcPr>
          <w:p w14:paraId="6E13813A" w14:textId="77777777" w:rsidR="00084F36" w:rsidRPr="00EB2BD8" w:rsidRDefault="00084F36">
            <w:pPr>
              <w:pStyle w:val="TableParagraph"/>
              <w:rPr>
                <w:rFonts w:ascii="Times New Roman"/>
                <w:sz w:val="16"/>
              </w:rPr>
            </w:pPr>
          </w:p>
        </w:tc>
        <w:tc>
          <w:tcPr>
            <w:tcW w:w="1078" w:type="dxa"/>
          </w:tcPr>
          <w:p w14:paraId="7D517445" w14:textId="77777777" w:rsidR="00084F36" w:rsidRPr="00EB2BD8" w:rsidRDefault="00084F36">
            <w:pPr>
              <w:pStyle w:val="TableParagraph"/>
              <w:rPr>
                <w:rFonts w:ascii="Times New Roman"/>
                <w:sz w:val="16"/>
              </w:rPr>
            </w:pPr>
          </w:p>
        </w:tc>
        <w:tc>
          <w:tcPr>
            <w:tcW w:w="1175" w:type="dxa"/>
          </w:tcPr>
          <w:p w14:paraId="38E671FA" w14:textId="77777777" w:rsidR="00084F36" w:rsidRPr="00EB2BD8" w:rsidRDefault="00084F36">
            <w:pPr>
              <w:pStyle w:val="TableParagraph"/>
              <w:rPr>
                <w:rFonts w:ascii="Times New Roman"/>
                <w:sz w:val="16"/>
              </w:rPr>
            </w:pPr>
          </w:p>
        </w:tc>
      </w:tr>
      <w:tr w:rsidR="00EB2BD8" w:rsidRPr="00EB2BD8" w14:paraId="73DA669F" w14:textId="77777777">
        <w:trPr>
          <w:trHeight w:val="229"/>
        </w:trPr>
        <w:tc>
          <w:tcPr>
            <w:tcW w:w="1731" w:type="dxa"/>
          </w:tcPr>
          <w:p w14:paraId="132FDC7B" w14:textId="77777777" w:rsidR="00084F36" w:rsidRPr="00EB2BD8" w:rsidRDefault="00084F36">
            <w:pPr>
              <w:pStyle w:val="TableParagraph"/>
              <w:rPr>
                <w:rFonts w:ascii="Times New Roman"/>
                <w:sz w:val="16"/>
              </w:rPr>
            </w:pPr>
          </w:p>
        </w:tc>
        <w:tc>
          <w:tcPr>
            <w:tcW w:w="1485" w:type="dxa"/>
          </w:tcPr>
          <w:p w14:paraId="2E2A1CD9" w14:textId="77777777" w:rsidR="00084F36" w:rsidRPr="00EB2BD8" w:rsidRDefault="00084F36">
            <w:pPr>
              <w:pStyle w:val="TableParagraph"/>
              <w:rPr>
                <w:rFonts w:ascii="Times New Roman"/>
                <w:sz w:val="16"/>
              </w:rPr>
            </w:pPr>
          </w:p>
        </w:tc>
        <w:tc>
          <w:tcPr>
            <w:tcW w:w="2443" w:type="dxa"/>
          </w:tcPr>
          <w:p w14:paraId="20A17339" w14:textId="77777777" w:rsidR="00084F36" w:rsidRPr="00EB2BD8" w:rsidRDefault="00EB2BD8">
            <w:pPr>
              <w:pStyle w:val="TableParagraph"/>
              <w:spacing w:before="19"/>
              <w:ind w:left="287"/>
              <w:rPr>
                <w:sz w:val="16"/>
              </w:rPr>
            </w:pPr>
            <w:r w:rsidRPr="00EB2BD8">
              <w:rPr>
                <w:spacing w:val="-4"/>
                <w:sz w:val="16"/>
              </w:rPr>
              <w:t>Curlewis,</w:t>
            </w:r>
            <w:r w:rsidRPr="00EB2BD8">
              <w:rPr>
                <w:spacing w:val="-5"/>
                <w:sz w:val="16"/>
              </w:rPr>
              <w:t xml:space="preserve"> </w:t>
            </w:r>
            <w:r w:rsidRPr="00EB2BD8">
              <w:rPr>
                <w:spacing w:val="-4"/>
                <w:sz w:val="16"/>
              </w:rPr>
              <w:t>by failing to call</w:t>
            </w:r>
          </w:p>
        </w:tc>
        <w:tc>
          <w:tcPr>
            <w:tcW w:w="2288" w:type="dxa"/>
          </w:tcPr>
          <w:p w14:paraId="6CCE02A2" w14:textId="77777777" w:rsidR="00084F36" w:rsidRPr="00EB2BD8" w:rsidRDefault="00084F36">
            <w:pPr>
              <w:pStyle w:val="TableParagraph"/>
              <w:rPr>
                <w:rFonts w:ascii="Times New Roman"/>
                <w:sz w:val="16"/>
              </w:rPr>
            </w:pPr>
          </w:p>
        </w:tc>
        <w:tc>
          <w:tcPr>
            <w:tcW w:w="1078" w:type="dxa"/>
          </w:tcPr>
          <w:p w14:paraId="3647F225" w14:textId="77777777" w:rsidR="00084F36" w:rsidRPr="00EB2BD8" w:rsidRDefault="00084F36">
            <w:pPr>
              <w:pStyle w:val="TableParagraph"/>
              <w:rPr>
                <w:rFonts w:ascii="Times New Roman"/>
                <w:sz w:val="16"/>
              </w:rPr>
            </w:pPr>
          </w:p>
        </w:tc>
        <w:tc>
          <w:tcPr>
            <w:tcW w:w="1175" w:type="dxa"/>
          </w:tcPr>
          <w:p w14:paraId="0121417F" w14:textId="77777777" w:rsidR="00084F36" w:rsidRPr="00EB2BD8" w:rsidRDefault="00084F36">
            <w:pPr>
              <w:pStyle w:val="TableParagraph"/>
              <w:rPr>
                <w:rFonts w:ascii="Times New Roman"/>
                <w:sz w:val="16"/>
              </w:rPr>
            </w:pPr>
          </w:p>
        </w:tc>
      </w:tr>
      <w:tr w:rsidR="00EB2BD8" w:rsidRPr="00EB2BD8" w14:paraId="4856224B" w14:textId="77777777">
        <w:trPr>
          <w:trHeight w:val="229"/>
        </w:trPr>
        <w:tc>
          <w:tcPr>
            <w:tcW w:w="1731" w:type="dxa"/>
          </w:tcPr>
          <w:p w14:paraId="1C9FD887" w14:textId="77777777" w:rsidR="00084F36" w:rsidRPr="00EB2BD8" w:rsidRDefault="00084F36">
            <w:pPr>
              <w:pStyle w:val="TableParagraph"/>
              <w:rPr>
                <w:rFonts w:ascii="Times New Roman"/>
                <w:sz w:val="16"/>
              </w:rPr>
            </w:pPr>
          </w:p>
        </w:tc>
        <w:tc>
          <w:tcPr>
            <w:tcW w:w="1485" w:type="dxa"/>
          </w:tcPr>
          <w:p w14:paraId="3B426E50" w14:textId="77777777" w:rsidR="00084F36" w:rsidRPr="00EB2BD8" w:rsidRDefault="00084F36">
            <w:pPr>
              <w:pStyle w:val="TableParagraph"/>
              <w:rPr>
                <w:rFonts w:ascii="Times New Roman"/>
                <w:sz w:val="16"/>
              </w:rPr>
            </w:pPr>
          </w:p>
        </w:tc>
        <w:tc>
          <w:tcPr>
            <w:tcW w:w="2443" w:type="dxa"/>
          </w:tcPr>
          <w:p w14:paraId="7E8EC089" w14:textId="77777777" w:rsidR="00084F36" w:rsidRPr="00EB2BD8" w:rsidRDefault="00EB2BD8">
            <w:pPr>
              <w:pStyle w:val="TableParagraph"/>
              <w:spacing w:before="19"/>
              <w:ind w:left="287"/>
              <w:rPr>
                <w:sz w:val="16"/>
              </w:rPr>
            </w:pPr>
            <w:r w:rsidRPr="00EB2BD8">
              <w:rPr>
                <w:sz w:val="16"/>
              </w:rPr>
              <w:t>for</w:t>
            </w:r>
            <w:r w:rsidRPr="00EB2BD8">
              <w:rPr>
                <w:spacing w:val="-8"/>
                <w:sz w:val="16"/>
              </w:rPr>
              <w:t xml:space="preserve"> </w:t>
            </w:r>
            <w:r w:rsidRPr="00EB2BD8">
              <w:rPr>
                <w:sz w:val="16"/>
              </w:rPr>
              <w:t>a</w:t>
            </w:r>
            <w:r w:rsidRPr="00EB2BD8">
              <w:rPr>
                <w:spacing w:val="-8"/>
                <w:sz w:val="16"/>
              </w:rPr>
              <w:t xml:space="preserve"> </w:t>
            </w:r>
            <w:r w:rsidRPr="00EB2BD8">
              <w:rPr>
                <w:sz w:val="16"/>
              </w:rPr>
              <w:t>re-inspection</w:t>
            </w:r>
            <w:r w:rsidRPr="00EB2BD8">
              <w:rPr>
                <w:spacing w:val="-8"/>
                <w:sz w:val="16"/>
              </w:rPr>
              <w:t xml:space="preserve"> </w:t>
            </w:r>
            <w:r w:rsidRPr="00EB2BD8">
              <w:rPr>
                <w:sz w:val="16"/>
              </w:rPr>
              <w:t>of</w:t>
            </w:r>
            <w:r w:rsidRPr="00EB2BD8">
              <w:rPr>
                <w:spacing w:val="-8"/>
                <w:sz w:val="16"/>
              </w:rPr>
              <w:t xml:space="preserve"> </w:t>
            </w:r>
            <w:r w:rsidRPr="00EB2BD8">
              <w:rPr>
                <w:spacing w:val="-4"/>
                <w:sz w:val="16"/>
              </w:rPr>
              <w:t>non-</w:t>
            </w:r>
          </w:p>
        </w:tc>
        <w:tc>
          <w:tcPr>
            <w:tcW w:w="2288" w:type="dxa"/>
          </w:tcPr>
          <w:p w14:paraId="457D40EE" w14:textId="77777777" w:rsidR="00084F36" w:rsidRPr="00EB2BD8" w:rsidRDefault="00084F36">
            <w:pPr>
              <w:pStyle w:val="TableParagraph"/>
              <w:rPr>
                <w:rFonts w:ascii="Times New Roman"/>
                <w:sz w:val="16"/>
              </w:rPr>
            </w:pPr>
          </w:p>
        </w:tc>
        <w:tc>
          <w:tcPr>
            <w:tcW w:w="1078" w:type="dxa"/>
          </w:tcPr>
          <w:p w14:paraId="7130B95C" w14:textId="77777777" w:rsidR="00084F36" w:rsidRPr="00EB2BD8" w:rsidRDefault="00084F36">
            <w:pPr>
              <w:pStyle w:val="TableParagraph"/>
              <w:rPr>
                <w:rFonts w:ascii="Times New Roman"/>
                <w:sz w:val="16"/>
              </w:rPr>
            </w:pPr>
          </w:p>
        </w:tc>
        <w:tc>
          <w:tcPr>
            <w:tcW w:w="1175" w:type="dxa"/>
          </w:tcPr>
          <w:p w14:paraId="7543E286" w14:textId="77777777" w:rsidR="00084F36" w:rsidRPr="00EB2BD8" w:rsidRDefault="00084F36">
            <w:pPr>
              <w:pStyle w:val="TableParagraph"/>
              <w:rPr>
                <w:rFonts w:ascii="Times New Roman"/>
                <w:sz w:val="16"/>
              </w:rPr>
            </w:pPr>
          </w:p>
        </w:tc>
      </w:tr>
      <w:tr w:rsidR="00EB2BD8" w:rsidRPr="00EB2BD8" w14:paraId="3D452005" w14:textId="77777777">
        <w:trPr>
          <w:trHeight w:val="229"/>
        </w:trPr>
        <w:tc>
          <w:tcPr>
            <w:tcW w:w="1731" w:type="dxa"/>
          </w:tcPr>
          <w:p w14:paraId="2B6E7B94" w14:textId="77777777" w:rsidR="00084F36" w:rsidRPr="00EB2BD8" w:rsidRDefault="00084F36">
            <w:pPr>
              <w:pStyle w:val="TableParagraph"/>
              <w:rPr>
                <w:rFonts w:ascii="Times New Roman"/>
                <w:sz w:val="16"/>
              </w:rPr>
            </w:pPr>
          </w:p>
        </w:tc>
        <w:tc>
          <w:tcPr>
            <w:tcW w:w="1485" w:type="dxa"/>
          </w:tcPr>
          <w:p w14:paraId="4887988F" w14:textId="77777777" w:rsidR="00084F36" w:rsidRPr="00EB2BD8" w:rsidRDefault="00084F36">
            <w:pPr>
              <w:pStyle w:val="TableParagraph"/>
              <w:rPr>
                <w:rFonts w:ascii="Times New Roman"/>
                <w:sz w:val="16"/>
              </w:rPr>
            </w:pPr>
          </w:p>
        </w:tc>
        <w:tc>
          <w:tcPr>
            <w:tcW w:w="2443" w:type="dxa"/>
          </w:tcPr>
          <w:p w14:paraId="14F47DD8" w14:textId="77777777" w:rsidR="00084F36" w:rsidRPr="00EB2BD8" w:rsidRDefault="00EB2BD8">
            <w:pPr>
              <w:pStyle w:val="TableParagraph"/>
              <w:spacing w:before="19"/>
              <w:ind w:left="287"/>
              <w:rPr>
                <w:sz w:val="16"/>
              </w:rPr>
            </w:pPr>
            <w:r w:rsidRPr="00EB2BD8">
              <w:rPr>
                <w:sz w:val="16"/>
              </w:rPr>
              <w:t>compliant</w:t>
            </w:r>
            <w:r w:rsidRPr="00EB2BD8">
              <w:rPr>
                <w:spacing w:val="-13"/>
                <w:sz w:val="16"/>
              </w:rPr>
              <w:t xml:space="preserve"> </w:t>
            </w:r>
            <w:r w:rsidRPr="00EB2BD8">
              <w:rPr>
                <w:sz w:val="16"/>
              </w:rPr>
              <w:t>framework</w:t>
            </w:r>
            <w:r w:rsidRPr="00EB2BD8">
              <w:rPr>
                <w:spacing w:val="-13"/>
                <w:sz w:val="16"/>
              </w:rPr>
              <w:t xml:space="preserve"> </w:t>
            </w:r>
            <w:r w:rsidRPr="00EB2BD8">
              <w:rPr>
                <w:spacing w:val="-5"/>
                <w:sz w:val="16"/>
              </w:rPr>
              <w:t>and</w:t>
            </w:r>
          </w:p>
        </w:tc>
        <w:tc>
          <w:tcPr>
            <w:tcW w:w="2288" w:type="dxa"/>
          </w:tcPr>
          <w:p w14:paraId="028C7D6C" w14:textId="77777777" w:rsidR="00084F36" w:rsidRPr="00EB2BD8" w:rsidRDefault="00084F36">
            <w:pPr>
              <w:pStyle w:val="TableParagraph"/>
              <w:rPr>
                <w:rFonts w:ascii="Times New Roman"/>
                <w:sz w:val="16"/>
              </w:rPr>
            </w:pPr>
          </w:p>
        </w:tc>
        <w:tc>
          <w:tcPr>
            <w:tcW w:w="1078" w:type="dxa"/>
          </w:tcPr>
          <w:p w14:paraId="62B44351" w14:textId="77777777" w:rsidR="00084F36" w:rsidRPr="00EB2BD8" w:rsidRDefault="00084F36">
            <w:pPr>
              <w:pStyle w:val="TableParagraph"/>
              <w:rPr>
                <w:rFonts w:ascii="Times New Roman"/>
                <w:sz w:val="16"/>
              </w:rPr>
            </w:pPr>
          </w:p>
        </w:tc>
        <w:tc>
          <w:tcPr>
            <w:tcW w:w="1175" w:type="dxa"/>
          </w:tcPr>
          <w:p w14:paraId="38876547" w14:textId="77777777" w:rsidR="00084F36" w:rsidRPr="00EB2BD8" w:rsidRDefault="00084F36">
            <w:pPr>
              <w:pStyle w:val="TableParagraph"/>
              <w:rPr>
                <w:rFonts w:ascii="Times New Roman"/>
                <w:sz w:val="16"/>
              </w:rPr>
            </w:pPr>
          </w:p>
        </w:tc>
      </w:tr>
      <w:tr w:rsidR="00EB2BD8" w:rsidRPr="00EB2BD8" w14:paraId="535C96E4" w14:textId="77777777">
        <w:trPr>
          <w:trHeight w:val="229"/>
        </w:trPr>
        <w:tc>
          <w:tcPr>
            <w:tcW w:w="1731" w:type="dxa"/>
          </w:tcPr>
          <w:p w14:paraId="1FEA47BF" w14:textId="77777777" w:rsidR="00084F36" w:rsidRPr="00EB2BD8" w:rsidRDefault="00084F36">
            <w:pPr>
              <w:pStyle w:val="TableParagraph"/>
              <w:rPr>
                <w:rFonts w:ascii="Times New Roman"/>
                <w:sz w:val="16"/>
              </w:rPr>
            </w:pPr>
          </w:p>
        </w:tc>
        <w:tc>
          <w:tcPr>
            <w:tcW w:w="1485" w:type="dxa"/>
          </w:tcPr>
          <w:p w14:paraId="79CF1B63" w14:textId="77777777" w:rsidR="00084F36" w:rsidRPr="00EB2BD8" w:rsidRDefault="00084F36">
            <w:pPr>
              <w:pStyle w:val="TableParagraph"/>
              <w:rPr>
                <w:rFonts w:ascii="Times New Roman"/>
                <w:sz w:val="16"/>
              </w:rPr>
            </w:pPr>
          </w:p>
        </w:tc>
        <w:tc>
          <w:tcPr>
            <w:tcW w:w="2443" w:type="dxa"/>
          </w:tcPr>
          <w:p w14:paraId="195A9D3A" w14:textId="77777777" w:rsidR="00084F36" w:rsidRPr="00EB2BD8" w:rsidRDefault="00EB2BD8">
            <w:pPr>
              <w:pStyle w:val="TableParagraph"/>
              <w:spacing w:before="19"/>
              <w:ind w:left="287"/>
              <w:rPr>
                <w:sz w:val="16"/>
              </w:rPr>
            </w:pPr>
            <w:r w:rsidRPr="00EB2BD8">
              <w:rPr>
                <w:spacing w:val="-2"/>
                <w:sz w:val="16"/>
              </w:rPr>
              <w:t>by</w:t>
            </w:r>
            <w:r w:rsidRPr="00EB2BD8">
              <w:rPr>
                <w:spacing w:val="-7"/>
                <w:sz w:val="16"/>
              </w:rPr>
              <w:t xml:space="preserve"> </w:t>
            </w:r>
            <w:r w:rsidRPr="00EB2BD8">
              <w:rPr>
                <w:spacing w:val="-2"/>
                <w:sz w:val="16"/>
              </w:rPr>
              <w:t>continuing</w:t>
            </w:r>
            <w:r w:rsidRPr="00EB2BD8">
              <w:rPr>
                <w:spacing w:val="-6"/>
                <w:sz w:val="16"/>
              </w:rPr>
              <w:t xml:space="preserve"> </w:t>
            </w:r>
            <w:r w:rsidRPr="00EB2BD8">
              <w:rPr>
                <w:spacing w:val="-2"/>
                <w:sz w:val="16"/>
              </w:rPr>
              <w:t>to</w:t>
            </w:r>
            <w:r w:rsidRPr="00EB2BD8">
              <w:rPr>
                <w:spacing w:val="-6"/>
                <w:sz w:val="16"/>
              </w:rPr>
              <w:t xml:space="preserve"> </w:t>
            </w:r>
            <w:r w:rsidRPr="00EB2BD8">
              <w:rPr>
                <w:spacing w:val="-2"/>
                <w:sz w:val="16"/>
              </w:rPr>
              <w:t>progress</w:t>
            </w:r>
          </w:p>
        </w:tc>
        <w:tc>
          <w:tcPr>
            <w:tcW w:w="2288" w:type="dxa"/>
          </w:tcPr>
          <w:p w14:paraId="444E8214" w14:textId="77777777" w:rsidR="00084F36" w:rsidRPr="00EB2BD8" w:rsidRDefault="00084F36">
            <w:pPr>
              <w:pStyle w:val="TableParagraph"/>
              <w:rPr>
                <w:rFonts w:ascii="Times New Roman"/>
                <w:sz w:val="16"/>
              </w:rPr>
            </w:pPr>
          </w:p>
        </w:tc>
        <w:tc>
          <w:tcPr>
            <w:tcW w:w="1078" w:type="dxa"/>
          </w:tcPr>
          <w:p w14:paraId="12E10219" w14:textId="77777777" w:rsidR="00084F36" w:rsidRPr="00EB2BD8" w:rsidRDefault="00084F36">
            <w:pPr>
              <w:pStyle w:val="TableParagraph"/>
              <w:rPr>
                <w:rFonts w:ascii="Times New Roman"/>
                <w:sz w:val="16"/>
              </w:rPr>
            </w:pPr>
          </w:p>
        </w:tc>
        <w:tc>
          <w:tcPr>
            <w:tcW w:w="1175" w:type="dxa"/>
          </w:tcPr>
          <w:p w14:paraId="5D1A41D6" w14:textId="77777777" w:rsidR="00084F36" w:rsidRPr="00EB2BD8" w:rsidRDefault="00084F36">
            <w:pPr>
              <w:pStyle w:val="TableParagraph"/>
              <w:rPr>
                <w:rFonts w:ascii="Times New Roman"/>
                <w:sz w:val="16"/>
              </w:rPr>
            </w:pPr>
          </w:p>
        </w:tc>
      </w:tr>
      <w:tr w:rsidR="00EB2BD8" w:rsidRPr="00EB2BD8" w14:paraId="66DF60F0" w14:textId="77777777">
        <w:trPr>
          <w:trHeight w:val="229"/>
        </w:trPr>
        <w:tc>
          <w:tcPr>
            <w:tcW w:w="1731" w:type="dxa"/>
          </w:tcPr>
          <w:p w14:paraId="2215951A" w14:textId="77777777" w:rsidR="00084F36" w:rsidRPr="00EB2BD8" w:rsidRDefault="00084F36">
            <w:pPr>
              <w:pStyle w:val="TableParagraph"/>
              <w:rPr>
                <w:rFonts w:ascii="Times New Roman"/>
                <w:sz w:val="16"/>
              </w:rPr>
            </w:pPr>
          </w:p>
        </w:tc>
        <w:tc>
          <w:tcPr>
            <w:tcW w:w="1485" w:type="dxa"/>
          </w:tcPr>
          <w:p w14:paraId="3105CBFB" w14:textId="77777777" w:rsidR="00084F36" w:rsidRPr="00EB2BD8" w:rsidRDefault="00084F36">
            <w:pPr>
              <w:pStyle w:val="TableParagraph"/>
              <w:rPr>
                <w:rFonts w:ascii="Times New Roman"/>
                <w:sz w:val="16"/>
              </w:rPr>
            </w:pPr>
          </w:p>
        </w:tc>
        <w:tc>
          <w:tcPr>
            <w:tcW w:w="2443" w:type="dxa"/>
          </w:tcPr>
          <w:p w14:paraId="466F253D" w14:textId="77777777" w:rsidR="00084F36" w:rsidRPr="00EB2BD8" w:rsidRDefault="00EB2BD8">
            <w:pPr>
              <w:pStyle w:val="TableParagraph"/>
              <w:spacing w:before="19"/>
              <w:ind w:left="287"/>
              <w:rPr>
                <w:sz w:val="16"/>
              </w:rPr>
            </w:pPr>
            <w:r w:rsidRPr="00EB2BD8">
              <w:rPr>
                <w:spacing w:val="-2"/>
                <w:sz w:val="16"/>
              </w:rPr>
              <w:t>construction</w:t>
            </w:r>
            <w:r w:rsidRPr="00EB2BD8">
              <w:rPr>
                <w:spacing w:val="10"/>
                <w:sz w:val="16"/>
              </w:rPr>
              <w:t xml:space="preserve"> </w:t>
            </w:r>
            <w:r w:rsidRPr="00EB2BD8">
              <w:rPr>
                <w:spacing w:val="-2"/>
                <w:sz w:val="16"/>
              </w:rPr>
              <w:t>substantially</w:t>
            </w:r>
          </w:p>
        </w:tc>
        <w:tc>
          <w:tcPr>
            <w:tcW w:w="2288" w:type="dxa"/>
          </w:tcPr>
          <w:p w14:paraId="30F472D2" w14:textId="77777777" w:rsidR="00084F36" w:rsidRPr="00EB2BD8" w:rsidRDefault="00084F36">
            <w:pPr>
              <w:pStyle w:val="TableParagraph"/>
              <w:rPr>
                <w:rFonts w:ascii="Times New Roman"/>
                <w:sz w:val="16"/>
              </w:rPr>
            </w:pPr>
          </w:p>
        </w:tc>
        <w:tc>
          <w:tcPr>
            <w:tcW w:w="1078" w:type="dxa"/>
          </w:tcPr>
          <w:p w14:paraId="2CE5BE14" w14:textId="77777777" w:rsidR="00084F36" w:rsidRPr="00EB2BD8" w:rsidRDefault="00084F36">
            <w:pPr>
              <w:pStyle w:val="TableParagraph"/>
              <w:rPr>
                <w:rFonts w:ascii="Times New Roman"/>
                <w:sz w:val="16"/>
              </w:rPr>
            </w:pPr>
          </w:p>
        </w:tc>
        <w:tc>
          <w:tcPr>
            <w:tcW w:w="1175" w:type="dxa"/>
          </w:tcPr>
          <w:p w14:paraId="04B9CC4D" w14:textId="77777777" w:rsidR="00084F36" w:rsidRPr="00EB2BD8" w:rsidRDefault="00084F36">
            <w:pPr>
              <w:pStyle w:val="TableParagraph"/>
              <w:rPr>
                <w:rFonts w:ascii="Times New Roman"/>
                <w:sz w:val="16"/>
              </w:rPr>
            </w:pPr>
          </w:p>
        </w:tc>
      </w:tr>
      <w:tr w:rsidR="00EB2BD8" w:rsidRPr="00EB2BD8" w14:paraId="2D7C8D27" w14:textId="77777777">
        <w:trPr>
          <w:trHeight w:val="286"/>
        </w:trPr>
        <w:tc>
          <w:tcPr>
            <w:tcW w:w="1731" w:type="dxa"/>
            <w:tcBorders>
              <w:bottom w:val="single" w:sz="2" w:space="0" w:color="000000"/>
            </w:tcBorders>
          </w:tcPr>
          <w:p w14:paraId="2296D585" w14:textId="77777777" w:rsidR="00084F36" w:rsidRPr="00EB2BD8" w:rsidRDefault="00084F36">
            <w:pPr>
              <w:pStyle w:val="TableParagraph"/>
              <w:rPr>
                <w:rFonts w:ascii="Times New Roman"/>
                <w:sz w:val="16"/>
              </w:rPr>
            </w:pPr>
          </w:p>
        </w:tc>
        <w:tc>
          <w:tcPr>
            <w:tcW w:w="1485" w:type="dxa"/>
            <w:tcBorders>
              <w:bottom w:val="single" w:sz="2" w:space="0" w:color="000000"/>
            </w:tcBorders>
          </w:tcPr>
          <w:p w14:paraId="0F8A0C3D" w14:textId="77777777" w:rsidR="00084F36" w:rsidRPr="00EB2BD8" w:rsidRDefault="00084F36">
            <w:pPr>
              <w:pStyle w:val="TableParagraph"/>
              <w:rPr>
                <w:rFonts w:ascii="Times New Roman"/>
                <w:sz w:val="16"/>
              </w:rPr>
            </w:pPr>
          </w:p>
        </w:tc>
        <w:tc>
          <w:tcPr>
            <w:tcW w:w="2443" w:type="dxa"/>
            <w:tcBorders>
              <w:bottom w:val="single" w:sz="2" w:space="0" w:color="000000"/>
            </w:tcBorders>
          </w:tcPr>
          <w:p w14:paraId="3E042720" w14:textId="77777777" w:rsidR="00084F36" w:rsidRPr="00EB2BD8" w:rsidRDefault="00EB2BD8">
            <w:pPr>
              <w:pStyle w:val="TableParagraph"/>
              <w:spacing w:before="19"/>
              <w:ind w:left="287"/>
              <w:rPr>
                <w:sz w:val="16"/>
              </w:rPr>
            </w:pPr>
            <w:r w:rsidRPr="00EB2BD8">
              <w:rPr>
                <w:sz w:val="16"/>
              </w:rPr>
              <w:t>beyond</w:t>
            </w:r>
            <w:r w:rsidRPr="00EB2BD8">
              <w:rPr>
                <w:spacing w:val="-7"/>
                <w:sz w:val="16"/>
              </w:rPr>
              <w:t xml:space="preserve"> </w:t>
            </w:r>
            <w:r w:rsidRPr="00EB2BD8">
              <w:rPr>
                <w:sz w:val="16"/>
              </w:rPr>
              <w:t>frame</w:t>
            </w:r>
            <w:r w:rsidRPr="00EB2BD8">
              <w:rPr>
                <w:spacing w:val="-6"/>
                <w:sz w:val="16"/>
              </w:rPr>
              <w:t xml:space="preserve"> </w:t>
            </w:r>
            <w:r w:rsidRPr="00EB2BD8">
              <w:rPr>
                <w:spacing w:val="-2"/>
                <w:sz w:val="16"/>
              </w:rPr>
              <w:t>stage.</w:t>
            </w:r>
          </w:p>
        </w:tc>
        <w:tc>
          <w:tcPr>
            <w:tcW w:w="2288" w:type="dxa"/>
            <w:tcBorders>
              <w:bottom w:val="single" w:sz="2" w:space="0" w:color="000000"/>
            </w:tcBorders>
          </w:tcPr>
          <w:p w14:paraId="405DBB7C"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66EE5B1D"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612A43EC" w14:textId="77777777" w:rsidR="00084F36" w:rsidRPr="00EB2BD8" w:rsidRDefault="00084F36">
            <w:pPr>
              <w:pStyle w:val="TableParagraph"/>
              <w:rPr>
                <w:rFonts w:ascii="Times New Roman"/>
                <w:sz w:val="16"/>
              </w:rPr>
            </w:pPr>
          </w:p>
        </w:tc>
      </w:tr>
      <w:tr w:rsidR="00EB2BD8" w:rsidRPr="00EB2BD8" w14:paraId="477D66ED" w14:textId="77777777">
        <w:trPr>
          <w:trHeight w:val="325"/>
        </w:trPr>
        <w:tc>
          <w:tcPr>
            <w:tcW w:w="1731" w:type="dxa"/>
            <w:tcBorders>
              <w:top w:val="single" w:sz="2" w:space="0" w:color="000000"/>
            </w:tcBorders>
          </w:tcPr>
          <w:p w14:paraId="1E3FD189" w14:textId="77777777" w:rsidR="00084F36" w:rsidRPr="00EB2BD8" w:rsidRDefault="00EB2BD8">
            <w:pPr>
              <w:pStyle w:val="TableParagraph"/>
              <w:spacing w:before="115"/>
              <w:ind w:left="113"/>
              <w:rPr>
                <w:sz w:val="16"/>
              </w:rPr>
            </w:pPr>
            <w:r w:rsidRPr="00EB2BD8">
              <w:rPr>
                <w:sz w:val="16"/>
              </w:rPr>
              <w:t>Hallbuild</w:t>
            </w:r>
            <w:r w:rsidRPr="00EB2BD8">
              <w:rPr>
                <w:spacing w:val="-10"/>
                <w:sz w:val="16"/>
              </w:rPr>
              <w:t xml:space="preserve"> </w:t>
            </w:r>
            <w:r w:rsidRPr="00EB2BD8">
              <w:rPr>
                <w:sz w:val="16"/>
              </w:rPr>
              <w:t>Pty</w:t>
            </w:r>
            <w:r w:rsidRPr="00EB2BD8">
              <w:rPr>
                <w:spacing w:val="-10"/>
                <w:sz w:val="16"/>
              </w:rPr>
              <w:t xml:space="preserve"> </w:t>
            </w:r>
            <w:r w:rsidRPr="00EB2BD8">
              <w:rPr>
                <w:spacing w:val="-5"/>
                <w:sz w:val="16"/>
              </w:rPr>
              <w:t>Ltd</w:t>
            </w:r>
          </w:p>
        </w:tc>
        <w:tc>
          <w:tcPr>
            <w:tcW w:w="1485" w:type="dxa"/>
            <w:tcBorders>
              <w:top w:val="single" w:sz="2" w:space="0" w:color="000000"/>
            </w:tcBorders>
          </w:tcPr>
          <w:p w14:paraId="1156295F" w14:textId="77777777" w:rsidR="00084F36" w:rsidRPr="00EB2BD8" w:rsidRDefault="00EB2BD8">
            <w:pPr>
              <w:pStyle w:val="TableParagraph"/>
              <w:spacing w:before="115"/>
              <w:ind w:left="139"/>
              <w:rPr>
                <w:sz w:val="16"/>
              </w:rPr>
            </w:pPr>
            <w:r w:rsidRPr="00EB2BD8">
              <w:rPr>
                <w:w w:val="105"/>
                <w:sz w:val="16"/>
              </w:rPr>
              <w:t xml:space="preserve">CDB-U </w:t>
            </w:r>
            <w:r w:rsidRPr="00EB2BD8">
              <w:rPr>
                <w:spacing w:val="-2"/>
                <w:w w:val="105"/>
                <w:sz w:val="16"/>
              </w:rPr>
              <w:t>48690</w:t>
            </w:r>
          </w:p>
        </w:tc>
        <w:tc>
          <w:tcPr>
            <w:tcW w:w="2443" w:type="dxa"/>
            <w:tcBorders>
              <w:top w:val="single" w:sz="2" w:space="0" w:color="000000"/>
            </w:tcBorders>
          </w:tcPr>
          <w:p w14:paraId="317DE89F" w14:textId="77777777" w:rsidR="00084F36" w:rsidRPr="00EB2BD8" w:rsidRDefault="00EB2BD8">
            <w:pPr>
              <w:pStyle w:val="TableParagraph"/>
              <w:spacing w:before="115"/>
              <w:ind w:left="287"/>
              <w:rPr>
                <w:sz w:val="16"/>
              </w:rPr>
            </w:pPr>
            <w:r w:rsidRPr="00EB2BD8">
              <w:rPr>
                <w:spacing w:val="-2"/>
                <w:sz w:val="16"/>
              </w:rPr>
              <w:t>Failing</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call</w:t>
            </w:r>
            <w:r w:rsidRPr="00EB2BD8">
              <w:rPr>
                <w:spacing w:val="-7"/>
                <w:sz w:val="16"/>
              </w:rPr>
              <w:t xml:space="preserve"> </w:t>
            </w:r>
            <w:r w:rsidRPr="00EB2BD8">
              <w:rPr>
                <w:spacing w:val="-2"/>
                <w:sz w:val="16"/>
              </w:rPr>
              <w:t>for</w:t>
            </w:r>
            <w:r w:rsidRPr="00EB2BD8">
              <w:rPr>
                <w:spacing w:val="-8"/>
                <w:sz w:val="16"/>
              </w:rPr>
              <w:t xml:space="preserve"> </w:t>
            </w:r>
            <w:r w:rsidRPr="00EB2BD8">
              <w:rPr>
                <w:spacing w:val="-12"/>
                <w:sz w:val="16"/>
              </w:rPr>
              <w:t>a</w:t>
            </w:r>
          </w:p>
        </w:tc>
        <w:tc>
          <w:tcPr>
            <w:tcW w:w="2288" w:type="dxa"/>
            <w:tcBorders>
              <w:top w:val="single" w:sz="2" w:space="0" w:color="000000"/>
            </w:tcBorders>
          </w:tcPr>
          <w:p w14:paraId="4651DDB3" w14:textId="77777777" w:rsidR="00084F36" w:rsidRPr="00EB2BD8" w:rsidRDefault="00EB2BD8">
            <w:pPr>
              <w:pStyle w:val="TableParagraph"/>
              <w:spacing w:before="114"/>
              <w:ind w:left="123"/>
              <w:rPr>
                <w:sz w:val="16"/>
              </w:rPr>
            </w:pPr>
            <w:r w:rsidRPr="00EB2BD8">
              <w:rPr>
                <w:sz w:val="16"/>
              </w:rPr>
              <w:t>Reprimand</w:t>
            </w:r>
            <w:r w:rsidRPr="00EB2BD8">
              <w:rPr>
                <w:spacing w:val="3"/>
                <w:sz w:val="16"/>
              </w:rPr>
              <w:t xml:space="preserve"> </w:t>
            </w:r>
            <w:r w:rsidRPr="00EB2BD8">
              <w:rPr>
                <w:sz w:val="16"/>
              </w:rPr>
              <w:t>and</w:t>
            </w:r>
            <w:r w:rsidRPr="00EB2BD8">
              <w:rPr>
                <w:spacing w:val="4"/>
                <w:sz w:val="16"/>
              </w:rPr>
              <w:t xml:space="preserve"> </w:t>
            </w:r>
            <w:r w:rsidRPr="00EB2BD8">
              <w:rPr>
                <w:sz w:val="16"/>
              </w:rPr>
              <w:t>a</w:t>
            </w:r>
            <w:r w:rsidRPr="00EB2BD8">
              <w:rPr>
                <w:spacing w:val="3"/>
                <w:sz w:val="16"/>
              </w:rPr>
              <w:t xml:space="preserve"> </w:t>
            </w:r>
            <w:r w:rsidRPr="00EB2BD8">
              <w:rPr>
                <w:spacing w:val="-2"/>
                <w:sz w:val="16"/>
              </w:rPr>
              <w:t>penalty</w:t>
            </w:r>
          </w:p>
        </w:tc>
        <w:tc>
          <w:tcPr>
            <w:tcW w:w="1078" w:type="dxa"/>
            <w:tcBorders>
              <w:top w:val="single" w:sz="2" w:space="0" w:color="000000"/>
            </w:tcBorders>
          </w:tcPr>
          <w:p w14:paraId="4DB2EFDF" w14:textId="77777777" w:rsidR="00084F36" w:rsidRPr="00EB2BD8" w:rsidRDefault="00EB2BD8">
            <w:pPr>
              <w:pStyle w:val="TableParagraph"/>
              <w:spacing w:before="114"/>
              <w:ind w:right="111"/>
              <w:jc w:val="right"/>
              <w:rPr>
                <w:sz w:val="16"/>
              </w:rPr>
            </w:pPr>
            <w:r w:rsidRPr="00EB2BD8">
              <w:rPr>
                <w:spacing w:val="-2"/>
                <w:sz w:val="16"/>
              </w:rPr>
              <w:t>$2,000</w:t>
            </w:r>
          </w:p>
        </w:tc>
        <w:tc>
          <w:tcPr>
            <w:tcW w:w="1175" w:type="dxa"/>
            <w:tcBorders>
              <w:top w:val="single" w:sz="2" w:space="0" w:color="000000"/>
            </w:tcBorders>
          </w:tcPr>
          <w:p w14:paraId="64A921AA" w14:textId="77777777" w:rsidR="00084F36" w:rsidRPr="00EB2BD8" w:rsidRDefault="00EB2BD8">
            <w:pPr>
              <w:pStyle w:val="TableParagraph"/>
              <w:spacing w:before="114"/>
              <w:ind w:left="113"/>
              <w:rPr>
                <w:sz w:val="16"/>
              </w:rPr>
            </w:pPr>
            <w:r w:rsidRPr="00EB2BD8">
              <w:rPr>
                <w:spacing w:val="-2"/>
                <w:w w:val="85"/>
                <w:sz w:val="16"/>
              </w:rPr>
              <w:t>25/11/2022</w:t>
            </w:r>
          </w:p>
        </w:tc>
      </w:tr>
      <w:tr w:rsidR="00EB2BD8" w:rsidRPr="00EB2BD8" w14:paraId="176EEC86" w14:textId="77777777">
        <w:trPr>
          <w:trHeight w:val="230"/>
        </w:trPr>
        <w:tc>
          <w:tcPr>
            <w:tcW w:w="1731" w:type="dxa"/>
          </w:tcPr>
          <w:p w14:paraId="30E268B7" w14:textId="77777777" w:rsidR="00084F36" w:rsidRPr="00EB2BD8" w:rsidRDefault="00084F36">
            <w:pPr>
              <w:pStyle w:val="TableParagraph"/>
              <w:rPr>
                <w:rFonts w:ascii="Times New Roman"/>
                <w:sz w:val="16"/>
              </w:rPr>
            </w:pPr>
          </w:p>
        </w:tc>
        <w:tc>
          <w:tcPr>
            <w:tcW w:w="1485" w:type="dxa"/>
          </w:tcPr>
          <w:p w14:paraId="78D80D6B" w14:textId="77777777" w:rsidR="00084F36" w:rsidRPr="00EB2BD8" w:rsidRDefault="00084F36">
            <w:pPr>
              <w:pStyle w:val="TableParagraph"/>
              <w:rPr>
                <w:rFonts w:ascii="Times New Roman"/>
                <w:sz w:val="16"/>
              </w:rPr>
            </w:pPr>
          </w:p>
        </w:tc>
        <w:tc>
          <w:tcPr>
            <w:tcW w:w="2443" w:type="dxa"/>
          </w:tcPr>
          <w:p w14:paraId="1387B304" w14:textId="77777777" w:rsidR="00084F36" w:rsidRPr="00EB2BD8" w:rsidRDefault="00EB2BD8">
            <w:pPr>
              <w:pStyle w:val="TableParagraph"/>
              <w:spacing w:before="19"/>
              <w:ind w:left="287"/>
              <w:rPr>
                <w:sz w:val="16"/>
              </w:rPr>
            </w:pPr>
            <w:r w:rsidRPr="00EB2BD8">
              <w:rPr>
                <w:sz w:val="16"/>
              </w:rPr>
              <w:t>mandatory</w:t>
            </w:r>
            <w:r w:rsidRPr="00EB2BD8">
              <w:rPr>
                <w:spacing w:val="14"/>
                <w:sz w:val="16"/>
              </w:rPr>
              <w:t xml:space="preserve"> </w:t>
            </w:r>
            <w:r w:rsidRPr="00EB2BD8">
              <w:rPr>
                <w:spacing w:val="-2"/>
                <w:sz w:val="16"/>
              </w:rPr>
              <w:t>stage</w:t>
            </w:r>
          </w:p>
        </w:tc>
        <w:tc>
          <w:tcPr>
            <w:tcW w:w="2288" w:type="dxa"/>
          </w:tcPr>
          <w:p w14:paraId="57EB5EB8" w14:textId="77777777" w:rsidR="00084F36" w:rsidRPr="00EB2BD8" w:rsidRDefault="00EB2BD8">
            <w:pPr>
              <w:pStyle w:val="TableParagraph"/>
              <w:spacing w:before="19"/>
              <w:ind w:left="123"/>
              <w:rPr>
                <w:sz w:val="16"/>
              </w:rPr>
            </w:pPr>
            <w:r w:rsidRPr="00EB2BD8">
              <w:rPr>
                <w:spacing w:val="-4"/>
                <w:sz w:val="16"/>
              </w:rPr>
              <w:t>of</w:t>
            </w:r>
            <w:r w:rsidRPr="00EB2BD8">
              <w:rPr>
                <w:spacing w:val="-10"/>
                <w:sz w:val="16"/>
              </w:rPr>
              <w:t xml:space="preserve"> </w:t>
            </w:r>
            <w:r w:rsidRPr="00EB2BD8">
              <w:rPr>
                <w:spacing w:val="-2"/>
                <w:sz w:val="16"/>
              </w:rPr>
              <w:t>$2,000.</w:t>
            </w:r>
          </w:p>
        </w:tc>
        <w:tc>
          <w:tcPr>
            <w:tcW w:w="1078" w:type="dxa"/>
          </w:tcPr>
          <w:p w14:paraId="7B9D9082" w14:textId="77777777" w:rsidR="00084F36" w:rsidRPr="00EB2BD8" w:rsidRDefault="00084F36">
            <w:pPr>
              <w:pStyle w:val="TableParagraph"/>
              <w:rPr>
                <w:rFonts w:ascii="Times New Roman"/>
                <w:sz w:val="16"/>
              </w:rPr>
            </w:pPr>
          </w:p>
        </w:tc>
        <w:tc>
          <w:tcPr>
            <w:tcW w:w="1175" w:type="dxa"/>
          </w:tcPr>
          <w:p w14:paraId="66BDB8FF" w14:textId="77777777" w:rsidR="00084F36" w:rsidRPr="00EB2BD8" w:rsidRDefault="00084F36">
            <w:pPr>
              <w:pStyle w:val="TableParagraph"/>
              <w:rPr>
                <w:rFonts w:ascii="Times New Roman"/>
                <w:sz w:val="16"/>
              </w:rPr>
            </w:pPr>
          </w:p>
        </w:tc>
      </w:tr>
      <w:tr w:rsidR="00EB2BD8" w:rsidRPr="00EB2BD8" w14:paraId="0A5BC928" w14:textId="77777777">
        <w:trPr>
          <w:trHeight w:val="229"/>
        </w:trPr>
        <w:tc>
          <w:tcPr>
            <w:tcW w:w="1731" w:type="dxa"/>
          </w:tcPr>
          <w:p w14:paraId="15749B03" w14:textId="77777777" w:rsidR="00084F36" w:rsidRPr="00EB2BD8" w:rsidRDefault="00084F36">
            <w:pPr>
              <w:pStyle w:val="TableParagraph"/>
              <w:rPr>
                <w:rFonts w:ascii="Times New Roman"/>
                <w:sz w:val="16"/>
              </w:rPr>
            </w:pPr>
          </w:p>
        </w:tc>
        <w:tc>
          <w:tcPr>
            <w:tcW w:w="1485" w:type="dxa"/>
          </w:tcPr>
          <w:p w14:paraId="356B7CC2" w14:textId="77777777" w:rsidR="00084F36" w:rsidRPr="00EB2BD8" w:rsidRDefault="00084F36">
            <w:pPr>
              <w:pStyle w:val="TableParagraph"/>
              <w:rPr>
                <w:rFonts w:ascii="Times New Roman"/>
                <w:sz w:val="16"/>
              </w:rPr>
            </w:pPr>
          </w:p>
        </w:tc>
        <w:tc>
          <w:tcPr>
            <w:tcW w:w="2443" w:type="dxa"/>
          </w:tcPr>
          <w:p w14:paraId="779E00EE" w14:textId="77777777" w:rsidR="00084F36" w:rsidRPr="00EB2BD8" w:rsidRDefault="00EB2BD8">
            <w:pPr>
              <w:pStyle w:val="TableParagraph"/>
              <w:spacing w:before="19"/>
              <w:ind w:left="287"/>
              <w:rPr>
                <w:sz w:val="16"/>
              </w:rPr>
            </w:pPr>
            <w:r w:rsidRPr="00EB2BD8">
              <w:rPr>
                <w:sz w:val="16"/>
              </w:rPr>
              <w:t>inspection</w:t>
            </w:r>
            <w:r w:rsidRPr="00EB2BD8">
              <w:rPr>
                <w:spacing w:val="-11"/>
                <w:sz w:val="16"/>
              </w:rPr>
              <w:t xml:space="preserve"> </w:t>
            </w:r>
            <w:r w:rsidRPr="00EB2BD8">
              <w:rPr>
                <w:sz w:val="16"/>
              </w:rPr>
              <w:t>in</w:t>
            </w:r>
            <w:r w:rsidRPr="00EB2BD8">
              <w:rPr>
                <w:spacing w:val="-11"/>
                <w:sz w:val="16"/>
              </w:rPr>
              <w:t xml:space="preserve"> </w:t>
            </w:r>
            <w:r w:rsidRPr="00EB2BD8">
              <w:rPr>
                <w:sz w:val="16"/>
              </w:rPr>
              <w:t>respect</w:t>
            </w:r>
            <w:r w:rsidRPr="00EB2BD8">
              <w:rPr>
                <w:spacing w:val="-11"/>
                <w:sz w:val="16"/>
              </w:rPr>
              <w:t xml:space="preserve"> </w:t>
            </w:r>
            <w:r w:rsidRPr="00EB2BD8">
              <w:rPr>
                <w:spacing w:val="-5"/>
                <w:sz w:val="16"/>
              </w:rPr>
              <w:t>of</w:t>
            </w:r>
          </w:p>
        </w:tc>
        <w:tc>
          <w:tcPr>
            <w:tcW w:w="2288" w:type="dxa"/>
          </w:tcPr>
          <w:p w14:paraId="03969E3B" w14:textId="77777777" w:rsidR="00084F36" w:rsidRPr="00EB2BD8" w:rsidRDefault="00084F36">
            <w:pPr>
              <w:pStyle w:val="TableParagraph"/>
              <w:rPr>
                <w:rFonts w:ascii="Times New Roman"/>
                <w:sz w:val="16"/>
              </w:rPr>
            </w:pPr>
          </w:p>
        </w:tc>
        <w:tc>
          <w:tcPr>
            <w:tcW w:w="1078" w:type="dxa"/>
          </w:tcPr>
          <w:p w14:paraId="4440E2F9" w14:textId="77777777" w:rsidR="00084F36" w:rsidRPr="00EB2BD8" w:rsidRDefault="00084F36">
            <w:pPr>
              <w:pStyle w:val="TableParagraph"/>
              <w:rPr>
                <w:rFonts w:ascii="Times New Roman"/>
                <w:sz w:val="16"/>
              </w:rPr>
            </w:pPr>
          </w:p>
        </w:tc>
        <w:tc>
          <w:tcPr>
            <w:tcW w:w="1175" w:type="dxa"/>
          </w:tcPr>
          <w:p w14:paraId="08504460" w14:textId="77777777" w:rsidR="00084F36" w:rsidRPr="00EB2BD8" w:rsidRDefault="00084F36">
            <w:pPr>
              <w:pStyle w:val="TableParagraph"/>
              <w:rPr>
                <w:rFonts w:ascii="Times New Roman"/>
                <w:sz w:val="16"/>
              </w:rPr>
            </w:pPr>
          </w:p>
        </w:tc>
      </w:tr>
      <w:tr w:rsidR="00EB2BD8" w:rsidRPr="00EB2BD8" w14:paraId="738FAC63" w14:textId="77777777">
        <w:trPr>
          <w:trHeight w:val="229"/>
        </w:trPr>
        <w:tc>
          <w:tcPr>
            <w:tcW w:w="1731" w:type="dxa"/>
          </w:tcPr>
          <w:p w14:paraId="7E40B26F" w14:textId="77777777" w:rsidR="00084F36" w:rsidRPr="00EB2BD8" w:rsidRDefault="00084F36">
            <w:pPr>
              <w:pStyle w:val="TableParagraph"/>
              <w:rPr>
                <w:rFonts w:ascii="Times New Roman"/>
                <w:sz w:val="16"/>
              </w:rPr>
            </w:pPr>
          </w:p>
        </w:tc>
        <w:tc>
          <w:tcPr>
            <w:tcW w:w="1485" w:type="dxa"/>
          </w:tcPr>
          <w:p w14:paraId="130A414A" w14:textId="77777777" w:rsidR="00084F36" w:rsidRPr="00EB2BD8" w:rsidRDefault="00084F36">
            <w:pPr>
              <w:pStyle w:val="TableParagraph"/>
              <w:rPr>
                <w:rFonts w:ascii="Times New Roman"/>
                <w:sz w:val="16"/>
              </w:rPr>
            </w:pPr>
          </w:p>
        </w:tc>
        <w:tc>
          <w:tcPr>
            <w:tcW w:w="2443" w:type="dxa"/>
          </w:tcPr>
          <w:p w14:paraId="0B777C31" w14:textId="77777777" w:rsidR="00084F36" w:rsidRPr="00EB2BD8" w:rsidRDefault="00EB2BD8">
            <w:pPr>
              <w:pStyle w:val="TableParagraph"/>
              <w:spacing w:before="19"/>
              <w:ind w:left="287"/>
              <w:rPr>
                <w:sz w:val="16"/>
              </w:rPr>
            </w:pPr>
            <w:r w:rsidRPr="00EB2BD8">
              <w:rPr>
                <w:spacing w:val="-2"/>
                <w:sz w:val="16"/>
              </w:rPr>
              <w:t>demolition</w:t>
            </w:r>
            <w:r w:rsidRPr="00EB2BD8">
              <w:rPr>
                <w:spacing w:val="-8"/>
                <w:sz w:val="16"/>
              </w:rPr>
              <w:t xml:space="preserve"> </w:t>
            </w:r>
            <w:r w:rsidRPr="00EB2BD8">
              <w:rPr>
                <w:spacing w:val="-2"/>
                <w:sz w:val="16"/>
              </w:rPr>
              <w:t>work</w:t>
            </w:r>
            <w:r w:rsidRPr="00EB2BD8">
              <w:rPr>
                <w:spacing w:val="-8"/>
                <w:sz w:val="16"/>
              </w:rPr>
              <w:t xml:space="preserve"> </w:t>
            </w:r>
            <w:r w:rsidRPr="00EB2BD8">
              <w:rPr>
                <w:spacing w:val="-2"/>
                <w:sz w:val="16"/>
              </w:rPr>
              <w:t>at</w:t>
            </w:r>
            <w:r w:rsidRPr="00EB2BD8">
              <w:rPr>
                <w:spacing w:val="-8"/>
                <w:sz w:val="16"/>
              </w:rPr>
              <w:t xml:space="preserve"> </w:t>
            </w:r>
            <w:r w:rsidRPr="00EB2BD8">
              <w:rPr>
                <w:spacing w:val="-2"/>
                <w:sz w:val="16"/>
              </w:rPr>
              <w:t>Balwyn</w:t>
            </w:r>
          </w:p>
        </w:tc>
        <w:tc>
          <w:tcPr>
            <w:tcW w:w="2288" w:type="dxa"/>
          </w:tcPr>
          <w:p w14:paraId="01E42225" w14:textId="77777777" w:rsidR="00084F36" w:rsidRPr="00EB2BD8" w:rsidRDefault="00084F36">
            <w:pPr>
              <w:pStyle w:val="TableParagraph"/>
              <w:rPr>
                <w:rFonts w:ascii="Times New Roman"/>
                <w:sz w:val="16"/>
              </w:rPr>
            </w:pPr>
          </w:p>
        </w:tc>
        <w:tc>
          <w:tcPr>
            <w:tcW w:w="1078" w:type="dxa"/>
          </w:tcPr>
          <w:p w14:paraId="27FE9DB7" w14:textId="77777777" w:rsidR="00084F36" w:rsidRPr="00EB2BD8" w:rsidRDefault="00084F36">
            <w:pPr>
              <w:pStyle w:val="TableParagraph"/>
              <w:rPr>
                <w:rFonts w:ascii="Times New Roman"/>
                <w:sz w:val="16"/>
              </w:rPr>
            </w:pPr>
          </w:p>
        </w:tc>
        <w:tc>
          <w:tcPr>
            <w:tcW w:w="1175" w:type="dxa"/>
          </w:tcPr>
          <w:p w14:paraId="6DF538C4" w14:textId="77777777" w:rsidR="00084F36" w:rsidRPr="00EB2BD8" w:rsidRDefault="00084F36">
            <w:pPr>
              <w:pStyle w:val="TableParagraph"/>
              <w:rPr>
                <w:rFonts w:ascii="Times New Roman"/>
                <w:sz w:val="16"/>
              </w:rPr>
            </w:pPr>
          </w:p>
        </w:tc>
      </w:tr>
      <w:tr w:rsidR="00EB2BD8" w:rsidRPr="00EB2BD8" w14:paraId="38B94826" w14:textId="77777777">
        <w:trPr>
          <w:trHeight w:val="388"/>
        </w:trPr>
        <w:tc>
          <w:tcPr>
            <w:tcW w:w="1731" w:type="dxa"/>
            <w:tcBorders>
              <w:bottom w:val="single" w:sz="2" w:space="0" w:color="000000"/>
            </w:tcBorders>
          </w:tcPr>
          <w:p w14:paraId="69D55576" w14:textId="77777777" w:rsidR="00084F36" w:rsidRPr="00EB2BD8" w:rsidRDefault="00084F36">
            <w:pPr>
              <w:pStyle w:val="TableParagraph"/>
              <w:rPr>
                <w:rFonts w:ascii="Times New Roman"/>
                <w:sz w:val="16"/>
              </w:rPr>
            </w:pPr>
          </w:p>
        </w:tc>
        <w:tc>
          <w:tcPr>
            <w:tcW w:w="1485" w:type="dxa"/>
            <w:tcBorders>
              <w:bottom w:val="single" w:sz="2" w:space="0" w:color="000000"/>
            </w:tcBorders>
          </w:tcPr>
          <w:p w14:paraId="383C87AE" w14:textId="77777777" w:rsidR="00084F36" w:rsidRPr="00EB2BD8" w:rsidRDefault="00084F36">
            <w:pPr>
              <w:pStyle w:val="TableParagraph"/>
              <w:rPr>
                <w:rFonts w:ascii="Times New Roman"/>
                <w:sz w:val="16"/>
              </w:rPr>
            </w:pPr>
          </w:p>
        </w:tc>
        <w:tc>
          <w:tcPr>
            <w:tcW w:w="2443" w:type="dxa"/>
            <w:tcBorders>
              <w:bottom w:val="single" w:sz="2" w:space="0" w:color="000000"/>
            </w:tcBorders>
          </w:tcPr>
          <w:p w14:paraId="052DE2B3" w14:textId="77777777" w:rsidR="00084F36" w:rsidRPr="00EB2BD8" w:rsidRDefault="00EB2BD8">
            <w:pPr>
              <w:pStyle w:val="TableParagraph"/>
              <w:spacing w:before="19"/>
              <w:ind w:left="287"/>
              <w:rPr>
                <w:sz w:val="16"/>
              </w:rPr>
            </w:pPr>
            <w:r w:rsidRPr="00EB2BD8">
              <w:rPr>
                <w:spacing w:val="-2"/>
                <w:sz w:val="16"/>
              </w:rPr>
              <w:t>North.</w:t>
            </w:r>
          </w:p>
        </w:tc>
        <w:tc>
          <w:tcPr>
            <w:tcW w:w="2288" w:type="dxa"/>
            <w:tcBorders>
              <w:bottom w:val="single" w:sz="2" w:space="0" w:color="000000"/>
            </w:tcBorders>
          </w:tcPr>
          <w:p w14:paraId="4C5EA140"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655D053D"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3C9EF211" w14:textId="77777777" w:rsidR="00084F36" w:rsidRPr="00EB2BD8" w:rsidRDefault="00084F36">
            <w:pPr>
              <w:pStyle w:val="TableParagraph"/>
              <w:rPr>
                <w:rFonts w:ascii="Times New Roman"/>
                <w:sz w:val="16"/>
              </w:rPr>
            </w:pPr>
          </w:p>
        </w:tc>
      </w:tr>
      <w:tr w:rsidR="00EB2BD8" w:rsidRPr="00EB2BD8" w14:paraId="0F2048F6" w14:textId="77777777">
        <w:trPr>
          <w:trHeight w:val="324"/>
        </w:trPr>
        <w:tc>
          <w:tcPr>
            <w:tcW w:w="1731" w:type="dxa"/>
            <w:tcBorders>
              <w:top w:val="single" w:sz="2" w:space="0" w:color="000000"/>
            </w:tcBorders>
          </w:tcPr>
          <w:p w14:paraId="3711A8B4" w14:textId="77777777" w:rsidR="00084F36" w:rsidRPr="00EB2BD8" w:rsidRDefault="00EB2BD8">
            <w:pPr>
              <w:pStyle w:val="TableParagraph"/>
              <w:spacing w:before="114"/>
              <w:ind w:left="113"/>
              <w:rPr>
                <w:sz w:val="16"/>
              </w:rPr>
            </w:pPr>
            <w:r w:rsidRPr="00EB2BD8">
              <w:rPr>
                <w:sz w:val="16"/>
              </w:rPr>
              <w:t>Hallbuild</w:t>
            </w:r>
            <w:r w:rsidRPr="00EB2BD8">
              <w:rPr>
                <w:spacing w:val="-10"/>
                <w:sz w:val="16"/>
              </w:rPr>
              <w:t xml:space="preserve"> </w:t>
            </w:r>
            <w:r w:rsidRPr="00EB2BD8">
              <w:rPr>
                <w:sz w:val="16"/>
              </w:rPr>
              <w:t>Pty</w:t>
            </w:r>
            <w:r w:rsidRPr="00EB2BD8">
              <w:rPr>
                <w:spacing w:val="-10"/>
                <w:sz w:val="16"/>
              </w:rPr>
              <w:t xml:space="preserve"> </w:t>
            </w:r>
            <w:r w:rsidRPr="00EB2BD8">
              <w:rPr>
                <w:spacing w:val="-5"/>
                <w:sz w:val="16"/>
              </w:rPr>
              <w:t>Ltd</w:t>
            </w:r>
          </w:p>
        </w:tc>
        <w:tc>
          <w:tcPr>
            <w:tcW w:w="1485" w:type="dxa"/>
            <w:tcBorders>
              <w:top w:val="single" w:sz="2" w:space="0" w:color="000000"/>
            </w:tcBorders>
          </w:tcPr>
          <w:p w14:paraId="3B81E57F" w14:textId="77777777" w:rsidR="00084F36" w:rsidRPr="00EB2BD8" w:rsidRDefault="00EB2BD8">
            <w:pPr>
              <w:pStyle w:val="TableParagraph"/>
              <w:spacing w:before="114"/>
              <w:ind w:left="139"/>
              <w:rPr>
                <w:sz w:val="16"/>
              </w:rPr>
            </w:pPr>
            <w:r w:rsidRPr="00EB2BD8">
              <w:rPr>
                <w:w w:val="105"/>
                <w:sz w:val="16"/>
              </w:rPr>
              <w:t xml:space="preserve">CDB-U </w:t>
            </w:r>
            <w:r w:rsidRPr="00EB2BD8">
              <w:rPr>
                <w:spacing w:val="-2"/>
                <w:w w:val="105"/>
                <w:sz w:val="16"/>
              </w:rPr>
              <w:t>48690</w:t>
            </w:r>
          </w:p>
        </w:tc>
        <w:tc>
          <w:tcPr>
            <w:tcW w:w="2443" w:type="dxa"/>
            <w:tcBorders>
              <w:top w:val="single" w:sz="2" w:space="0" w:color="000000"/>
            </w:tcBorders>
          </w:tcPr>
          <w:p w14:paraId="014E0664" w14:textId="77777777" w:rsidR="00084F36" w:rsidRPr="00EB2BD8" w:rsidRDefault="00EB2BD8">
            <w:pPr>
              <w:pStyle w:val="TableParagraph"/>
              <w:spacing w:before="114"/>
              <w:ind w:left="287"/>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288" w:type="dxa"/>
            <w:tcBorders>
              <w:top w:val="single" w:sz="2" w:space="0" w:color="000000"/>
            </w:tcBorders>
          </w:tcPr>
          <w:p w14:paraId="2957E838" w14:textId="77777777" w:rsidR="00084F36" w:rsidRPr="00EB2BD8" w:rsidRDefault="00EB2BD8">
            <w:pPr>
              <w:pStyle w:val="TableParagraph"/>
              <w:spacing w:before="114"/>
              <w:ind w:left="123"/>
              <w:rPr>
                <w:sz w:val="16"/>
              </w:rPr>
            </w:pPr>
            <w:r w:rsidRPr="00EB2BD8">
              <w:rPr>
                <w:sz w:val="16"/>
              </w:rPr>
              <w:t>Reprimands and</w:t>
            </w:r>
            <w:r w:rsidRPr="00EB2BD8">
              <w:rPr>
                <w:spacing w:val="1"/>
                <w:sz w:val="16"/>
              </w:rPr>
              <w:t xml:space="preserve"> </w:t>
            </w:r>
            <w:r w:rsidRPr="00EB2BD8">
              <w:rPr>
                <w:spacing w:val="-2"/>
                <w:sz w:val="16"/>
              </w:rPr>
              <w:t>partial</w:t>
            </w:r>
          </w:p>
        </w:tc>
        <w:tc>
          <w:tcPr>
            <w:tcW w:w="1078" w:type="dxa"/>
            <w:tcBorders>
              <w:top w:val="single" w:sz="2" w:space="0" w:color="000000"/>
            </w:tcBorders>
          </w:tcPr>
          <w:p w14:paraId="2C748789" w14:textId="77777777" w:rsidR="00084F36" w:rsidRPr="00EB2BD8" w:rsidRDefault="00EB2BD8">
            <w:pPr>
              <w:pStyle w:val="TableParagraph"/>
              <w:spacing w:before="113"/>
              <w:ind w:right="110"/>
              <w:jc w:val="right"/>
              <w:rPr>
                <w:sz w:val="16"/>
              </w:rPr>
            </w:pPr>
            <w:r w:rsidRPr="00EB2BD8">
              <w:rPr>
                <w:w w:val="124"/>
                <w:sz w:val="16"/>
              </w:rPr>
              <w:t>–</w:t>
            </w:r>
          </w:p>
        </w:tc>
        <w:tc>
          <w:tcPr>
            <w:tcW w:w="1175" w:type="dxa"/>
            <w:tcBorders>
              <w:top w:val="single" w:sz="2" w:space="0" w:color="000000"/>
            </w:tcBorders>
          </w:tcPr>
          <w:p w14:paraId="0D8053EC" w14:textId="77777777" w:rsidR="00084F36" w:rsidRPr="00EB2BD8" w:rsidRDefault="00EB2BD8">
            <w:pPr>
              <w:pStyle w:val="TableParagraph"/>
              <w:spacing w:before="113"/>
              <w:ind w:left="113"/>
              <w:rPr>
                <w:sz w:val="16"/>
              </w:rPr>
            </w:pPr>
            <w:r w:rsidRPr="00EB2BD8">
              <w:rPr>
                <w:spacing w:val="-2"/>
                <w:w w:val="95"/>
                <w:sz w:val="16"/>
              </w:rPr>
              <w:t>20/01/2023</w:t>
            </w:r>
          </w:p>
        </w:tc>
      </w:tr>
      <w:tr w:rsidR="00EB2BD8" w:rsidRPr="00EB2BD8" w14:paraId="156D57D6" w14:textId="77777777">
        <w:trPr>
          <w:trHeight w:val="229"/>
        </w:trPr>
        <w:tc>
          <w:tcPr>
            <w:tcW w:w="1731" w:type="dxa"/>
          </w:tcPr>
          <w:p w14:paraId="649BB462" w14:textId="77777777" w:rsidR="00084F36" w:rsidRPr="00EB2BD8" w:rsidRDefault="00084F36">
            <w:pPr>
              <w:pStyle w:val="TableParagraph"/>
              <w:rPr>
                <w:rFonts w:ascii="Times New Roman"/>
                <w:sz w:val="16"/>
              </w:rPr>
            </w:pPr>
          </w:p>
        </w:tc>
        <w:tc>
          <w:tcPr>
            <w:tcW w:w="1485" w:type="dxa"/>
          </w:tcPr>
          <w:p w14:paraId="4463FFD6" w14:textId="77777777" w:rsidR="00084F36" w:rsidRPr="00EB2BD8" w:rsidRDefault="00084F36">
            <w:pPr>
              <w:pStyle w:val="TableParagraph"/>
              <w:rPr>
                <w:rFonts w:ascii="Times New Roman"/>
                <w:sz w:val="16"/>
              </w:rPr>
            </w:pPr>
          </w:p>
        </w:tc>
        <w:tc>
          <w:tcPr>
            <w:tcW w:w="2443" w:type="dxa"/>
          </w:tcPr>
          <w:p w14:paraId="4B5A8A03" w14:textId="77777777" w:rsidR="00084F36" w:rsidRPr="00EB2BD8" w:rsidRDefault="00EB2BD8">
            <w:pPr>
              <w:pStyle w:val="TableParagraph"/>
              <w:spacing w:before="20"/>
              <w:ind w:left="287"/>
              <w:rPr>
                <w:sz w:val="16"/>
              </w:rPr>
            </w:pPr>
            <w:r w:rsidRPr="00EB2BD8">
              <w:rPr>
                <w:spacing w:val="-4"/>
                <w:sz w:val="16"/>
              </w:rPr>
              <w:t>direction</w:t>
            </w:r>
            <w:r w:rsidRPr="00EB2BD8">
              <w:rPr>
                <w:spacing w:val="-5"/>
                <w:sz w:val="16"/>
              </w:rPr>
              <w:t xml:space="preserve"> </w:t>
            </w:r>
            <w:r w:rsidRPr="00EB2BD8">
              <w:rPr>
                <w:spacing w:val="-4"/>
                <w:sz w:val="16"/>
              </w:rPr>
              <w:t>to fix building</w:t>
            </w:r>
          </w:p>
        </w:tc>
        <w:tc>
          <w:tcPr>
            <w:tcW w:w="2288" w:type="dxa"/>
          </w:tcPr>
          <w:p w14:paraId="6B6D63B0" w14:textId="77777777" w:rsidR="00084F36" w:rsidRPr="00EB2BD8" w:rsidRDefault="00EB2BD8">
            <w:pPr>
              <w:pStyle w:val="TableParagraph"/>
              <w:spacing w:before="19"/>
              <w:ind w:left="123"/>
              <w:rPr>
                <w:sz w:val="16"/>
              </w:rPr>
            </w:pPr>
            <w:r w:rsidRPr="00EB2BD8">
              <w:rPr>
                <w:spacing w:val="-2"/>
                <w:sz w:val="16"/>
              </w:rPr>
              <w:t>suspension</w:t>
            </w:r>
            <w:r w:rsidRPr="00EB2BD8">
              <w:rPr>
                <w:spacing w:val="-10"/>
                <w:sz w:val="16"/>
              </w:rPr>
              <w:t xml:space="preserve"> </w:t>
            </w:r>
            <w:r w:rsidRPr="00EB2BD8">
              <w:rPr>
                <w:spacing w:val="-2"/>
                <w:sz w:val="16"/>
              </w:rPr>
              <w:t>of</w:t>
            </w:r>
            <w:r w:rsidRPr="00EB2BD8">
              <w:rPr>
                <w:spacing w:val="-9"/>
                <w:sz w:val="16"/>
              </w:rPr>
              <w:t xml:space="preserve"> </w:t>
            </w:r>
            <w:r w:rsidRPr="00EB2BD8">
              <w:rPr>
                <w:spacing w:val="-2"/>
                <w:sz w:val="16"/>
              </w:rPr>
              <w:t>registration</w:t>
            </w:r>
          </w:p>
        </w:tc>
        <w:tc>
          <w:tcPr>
            <w:tcW w:w="1078" w:type="dxa"/>
          </w:tcPr>
          <w:p w14:paraId="5E964588" w14:textId="77777777" w:rsidR="00084F36" w:rsidRPr="00EB2BD8" w:rsidRDefault="00084F36">
            <w:pPr>
              <w:pStyle w:val="TableParagraph"/>
              <w:rPr>
                <w:rFonts w:ascii="Times New Roman"/>
                <w:sz w:val="16"/>
              </w:rPr>
            </w:pPr>
          </w:p>
        </w:tc>
        <w:tc>
          <w:tcPr>
            <w:tcW w:w="1175" w:type="dxa"/>
          </w:tcPr>
          <w:p w14:paraId="45F65024" w14:textId="77777777" w:rsidR="00084F36" w:rsidRPr="00EB2BD8" w:rsidRDefault="00084F36">
            <w:pPr>
              <w:pStyle w:val="TableParagraph"/>
              <w:rPr>
                <w:rFonts w:ascii="Times New Roman"/>
                <w:sz w:val="16"/>
              </w:rPr>
            </w:pPr>
          </w:p>
        </w:tc>
      </w:tr>
      <w:tr w:rsidR="00EB2BD8" w:rsidRPr="00EB2BD8" w14:paraId="540B8D88" w14:textId="77777777">
        <w:trPr>
          <w:trHeight w:val="230"/>
        </w:trPr>
        <w:tc>
          <w:tcPr>
            <w:tcW w:w="1731" w:type="dxa"/>
          </w:tcPr>
          <w:p w14:paraId="1ECF6FA8" w14:textId="77777777" w:rsidR="00084F36" w:rsidRPr="00EB2BD8" w:rsidRDefault="00084F36">
            <w:pPr>
              <w:pStyle w:val="TableParagraph"/>
              <w:rPr>
                <w:rFonts w:ascii="Times New Roman"/>
                <w:sz w:val="16"/>
              </w:rPr>
            </w:pPr>
          </w:p>
        </w:tc>
        <w:tc>
          <w:tcPr>
            <w:tcW w:w="1485" w:type="dxa"/>
          </w:tcPr>
          <w:p w14:paraId="16FB3B61" w14:textId="77777777" w:rsidR="00084F36" w:rsidRPr="00EB2BD8" w:rsidRDefault="00084F36">
            <w:pPr>
              <w:pStyle w:val="TableParagraph"/>
              <w:rPr>
                <w:rFonts w:ascii="Times New Roman"/>
                <w:sz w:val="16"/>
              </w:rPr>
            </w:pPr>
          </w:p>
        </w:tc>
        <w:tc>
          <w:tcPr>
            <w:tcW w:w="2443" w:type="dxa"/>
          </w:tcPr>
          <w:p w14:paraId="3F21A652" w14:textId="77777777" w:rsidR="00084F36" w:rsidRPr="00EB2BD8" w:rsidRDefault="00EB2BD8">
            <w:pPr>
              <w:pStyle w:val="TableParagraph"/>
              <w:spacing w:before="20"/>
              <w:ind w:left="287"/>
              <w:rPr>
                <w:sz w:val="16"/>
              </w:rPr>
            </w:pPr>
            <w:r w:rsidRPr="00EB2BD8">
              <w:rPr>
                <w:spacing w:val="-2"/>
                <w:sz w:val="16"/>
              </w:rPr>
              <w:t>work</w:t>
            </w:r>
            <w:r w:rsidRPr="00EB2BD8">
              <w:rPr>
                <w:spacing w:val="-12"/>
                <w:sz w:val="16"/>
              </w:rPr>
              <w:t xml:space="preserve"> </w:t>
            </w:r>
            <w:r w:rsidRPr="00EB2BD8">
              <w:rPr>
                <w:spacing w:val="-2"/>
                <w:sz w:val="16"/>
              </w:rPr>
              <w:t>within</w:t>
            </w:r>
            <w:r w:rsidRPr="00EB2BD8">
              <w:rPr>
                <w:spacing w:val="-12"/>
                <w:sz w:val="16"/>
              </w:rPr>
              <w:t xml:space="preserve"> </w:t>
            </w:r>
            <w:r w:rsidRPr="00EB2BD8">
              <w:rPr>
                <w:spacing w:val="-2"/>
                <w:sz w:val="16"/>
              </w:rPr>
              <w:t>the</w:t>
            </w:r>
            <w:r w:rsidRPr="00EB2BD8">
              <w:rPr>
                <w:spacing w:val="-12"/>
                <w:sz w:val="16"/>
              </w:rPr>
              <w:t xml:space="preserve"> </w:t>
            </w:r>
            <w:r w:rsidRPr="00EB2BD8">
              <w:rPr>
                <w:spacing w:val="-2"/>
                <w:sz w:val="16"/>
              </w:rPr>
              <w:t>specified</w:t>
            </w:r>
          </w:p>
        </w:tc>
        <w:tc>
          <w:tcPr>
            <w:tcW w:w="2288" w:type="dxa"/>
          </w:tcPr>
          <w:p w14:paraId="08F66678" w14:textId="77777777" w:rsidR="00084F36" w:rsidRPr="00EB2BD8" w:rsidRDefault="00EB2BD8">
            <w:pPr>
              <w:pStyle w:val="TableParagraph"/>
              <w:spacing w:before="19"/>
              <w:ind w:left="123"/>
              <w:rPr>
                <w:sz w:val="16"/>
              </w:rPr>
            </w:pPr>
            <w:r w:rsidRPr="00EB2BD8">
              <w:rPr>
                <w:sz w:val="16"/>
              </w:rPr>
              <w:t>until</w:t>
            </w:r>
            <w:r w:rsidRPr="00EB2BD8">
              <w:rPr>
                <w:spacing w:val="-11"/>
                <w:sz w:val="16"/>
              </w:rPr>
              <w:t xml:space="preserve"> </w:t>
            </w:r>
            <w:r w:rsidRPr="00EB2BD8">
              <w:rPr>
                <w:sz w:val="16"/>
              </w:rPr>
              <w:t>compliance</w:t>
            </w:r>
            <w:r w:rsidRPr="00EB2BD8">
              <w:rPr>
                <w:spacing w:val="-11"/>
                <w:sz w:val="16"/>
              </w:rPr>
              <w:t xml:space="preserve"> </w:t>
            </w:r>
            <w:r w:rsidRPr="00EB2BD8">
              <w:rPr>
                <w:spacing w:val="-2"/>
                <w:sz w:val="16"/>
              </w:rPr>
              <w:t>achieved.</w:t>
            </w:r>
          </w:p>
        </w:tc>
        <w:tc>
          <w:tcPr>
            <w:tcW w:w="1078" w:type="dxa"/>
          </w:tcPr>
          <w:p w14:paraId="6FC5B26D" w14:textId="77777777" w:rsidR="00084F36" w:rsidRPr="00EB2BD8" w:rsidRDefault="00084F36">
            <w:pPr>
              <w:pStyle w:val="TableParagraph"/>
              <w:rPr>
                <w:rFonts w:ascii="Times New Roman"/>
                <w:sz w:val="16"/>
              </w:rPr>
            </w:pPr>
          </w:p>
        </w:tc>
        <w:tc>
          <w:tcPr>
            <w:tcW w:w="1175" w:type="dxa"/>
          </w:tcPr>
          <w:p w14:paraId="0E5AFF94" w14:textId="77777777" w:rsidR="00084F36" w:rsidRPr="00EB2BD8" w:rsidRDefault="00084F36">
            <w:pPr>
              <w:pStyle w:val="TableParagraph"/>
              <w:rPr>
                <w:rFonts w:ascii="Times New Roman"/>
                <w:sz w:val="16"/>
              </w:rPr>
            </w:pPr>
          </w:p>
        </w:tc>
      </w:tr>
      <w:tr w:rsidR="00EB2BD8" w:rsidRPr="00EB2BD8" w14:paraId="238F54D9" w14:textId="77777777">
        <w:trPr>
          <w:trHeight w:val="229"/>
        </w:trPr>
        <w:tc>
          <w:tcPr>
            <w:tcW w:w="1731" w:type="dxa"/>
          </w:tcPr>
          <w:p w14:paraId="5A418028" w14:textId="77777777" w:rsidR="00084F36" w:rsidRPr="00EB2BD8" w:rsidRDefault="00084F36">
            <w:pPr>
              <w:pStyle w:val="TableParagraph"/>
              <w:rPr>
                <w:rFonts w:ascii="Times New Roman"/>
                <w:sz w:val="16"/>
              </w:rPr>
            </w:pPr>
          </w:p>
        </w:tc>
        <w:tc>
          <w:tcPr>
            <w:tcW w:w="1485" w:type="dxa"/>
          </w:tcPr>
          <w:p w14:paraId="1DDE7200" w14:textId="77777777" w:rsidR="00084F36" w:rsidRPr="00EB2BD8" w:rsidRDefault="00084F36">
            <w:pPr>
              <w:pStyle w:val="TableParagraph"/>
              <w:rPr>
                <w:rFonts w:ascii="Times New Roman"/>
                <w:sz w:val="16"/>
              </w:rPr>
            </w:pPr>
          </w:p>
        </w:tc>
        <w:tc>
          <w:tcPr>
            <w:tcW w:w="2443" w:type="dxa"/>
          </w:tcPr>
          <w:p w14:paraId="79C819F3" w14:textId="77777777" w:rsidR="00084F36" w:rsidRPr="00EB2BD8" w:rsidRDefault="00EB2BD8">
            <w:pPr>
              <w:pStyle w:val="TableParagraph"/>
              <w:spacing w:before="19"/>
              <w:ind w:left="287"/>
              <w:rPr>
                <w:sz w:val="16"/>
              </w:rPr>
            </w:pPr>
            <w:r w:rsidRPr="00EB2BD8">
              <w:rPr>
                <w:spacing w:val="-4"/>
                <w:sz w:val="16"/>
              </w:rPr>
              <w:t>period, failing to perform</w:t>
            </w:r>
          </w:p>
        </w:tc>
        <w:tc>
          <w:tcPr>
            <w:tcW w:w="2288" w:type="dxa"/>
          </w:tcPr>
          <w:p w14:paraId="0C988913" w14:textId="77777777" w:rsidR="00084F36" w:rsidRPr="00EB2BD8" w:rsidRDefault="00084F36">
            <w:pPr>
              <w:pStyle w:val="TableParagraph"/>
              <w:rPr>
                <w:rFonts w:ascii="Times New Roman"/>
                <w:sz w:val="16"/>
              </w:rPr>
            </w:pPr>
          </w:p>
        </w:tc>
        <w:tc>
          <w:tcPr>
            <w:tcW w:w="1078" w:type="dxa"/>
          </w:tcPr>
          <w:p w14:paraId="52CF52E0" w14:textId="77777777" w:rsidR="00084F36" w:rsidRPr="00EB2BD8" w:rsidRDefault="00084F36">
            <w:pPr>
              <w:pStyle w:val="TableParagraph"/>
              <w:rPr>
                <w:rFonts w:ascii="Times New Roman"/>
                <w:sz w:val="16"/>
              </w:rPr>
            </w:pPr>
          </w:p>
        </w:tc>
        <w:tc>
          <w:tcPr>
            <w:tcW w:w="1175" w:type="dxa"/>
          </w:tcPr>
          <w:p w14:paraId="76AB4552" w14:textId="77777777" w:rsidR="00084F36" w:rsidRPr="00EB2BD8" w:rsidRDefault="00084F36">
            <w:pPr>
              <w:pStyle w:val="TableParagraph"/>
              <w:rPr>
                <w:rFonts w:ascii="Times New Roman"/>
                <w:sz w:val="16"/>
              </w:rPr>
            </w:pPr>
          </w:p>
        </w:tc>
      </w:tr>
      <w:tr w:rsidR="00EB2BD8" w:rsidRPr="00EB2BD8" w14:paraId="1ED662B4" w14:textId="77777777">
        <w:trPr>
          <w:trHeight w:val="229"/>
        </w:trPr>
        <w:tc>
          <w:tcPr>
            <w:tcW w:w="1731" w:type="dxa"/>
          </w:tcPr>
          <w:p w14:paraId="4CB6DEA0" w14:textId="77777777" w:rsidR="00084F36" w:rsidRPr="00EB2BD8" w:rsidRDefault="00084F36">
            <w:pPr>
              <w:pStyle w:val="TableParagraph"/>
              <w:rPr>
                <w:rFonts w:ascii="Times New Roman"/>
                <w:sz w:val="16"/>
              </w:rPr>
            </w:pPr>
          </w:p>
        </w:tc>
        <w:tc>
          <w:tcPr>
            <w:tcW w:w="1485" w:type="dxa"/>
          </w:tcPr>
          <w:p w14:paraId="1E877924" w14:textId="77777777" w:rsidR="00084F36" w:rsidRPr="00EB2BD8" w:rsidRDefault="00084F36">
            <w:pPr>
              <w:pStyle w:val="TableParagraph"/>
              <w:rPr>
                <w:rFonts w:ascii="Times New Roman"/>
                <w:sz w:val="16"/>
              </w:rPr>
            </w:pPr>
          </w:p>
        </w:tc>
        <w:tc>
          <w:tcPr>
            <w:tcW w:w="2443" w:type="dxa"/>
          </w:tcPr>
          <w:p w14:paraId="4E3F2BD3" w14:textId="77777777" w:rsidR="00084F36" w:rsidRPr="00EB2BD8" w:rsidRDefault="00EB2BD8">
            <w:pPr>
              <w:pStyle w:val="TableParagraph"/>
              <w:spacing w:before="19"/>
              <w:ind w:left="287"/>
              <w:rPr>
                <w:sz w:val="16"/>
              </w:rPr>
            </w:pPr>
            <w:r w:rsidRPr="00EB2BD8">
              <w:rPr>
                <w:spacing w:val="-4"/>
                <w:sz w:val="16"/>
              </w:rPr>
              <w:t>building</w:t>
            </w:r>
            <w:r w:rsidRPr="00EB2BD8">
              <w:rPr>
                <w:spacing w:val="-5"/>
                <w:sz w:val="16"/>
              </w:rPr>
              <w:t xml:space="preserve"> </w:t>
            </w:r>
            <w:r w:rsidRPr="00EB2BD8">
              <w:rPr>
                <w:spacing w:val="-4"/>
                <w:sz w:val="16"/>
              </w:rPr>
              <w:t xml:space="preserve">work in </w:t>
            </w:r>
            <w:r w:rsidRPr="00EB2BD8">
              <w:rPr>
                <w:spacing w:val="-10"/>
                <w:sz w:val="16"/>
              </w:rPr>
              <w:t>a</w:t>
            </w:r>
          </w:p>
        </w:tc>
        <w:tc>
          <w:tcPr>
            <w:tcW w:w="2288" w:type="dxa"/>
          </w:tcPr>
          <w:p w14:paraId="68811E02" w14:textId="77777777" w:rsidR="00084F36" w:rsidRPr="00EB2BD8" w:rsidRDefault="00084F36">
            <w:pPr>
              <w:pStyle w:val="TableParagraph"/>
              <w:rPr>
                <w:rFonts w:ascii="Times New Roman"/>
                <w:sz w:val="16"/>
              </w:rPr>
            </w:pPr>
          </w:p>
        </w:tc>
        <w:tc>
          <w:tcPr>
            <w:tcW w:w="1078" w:type="dxa"/>
          </w:tcPr>
          <w:p w14:paraId="3C692332" w14:textId="77777777" w:rsidR="00084F36" w:rsidRPr="00EB2BD8" w:rsidRDefault="00084F36">
            <w:pPr>
              <w:pStyle w:val="TableParagraph"/>
              <w:rPr>
                <w:rFonts w:ascii="Times New Roman"/>
                <w:sz w:val="16"/>
              </w:rPr>
            </w:pPr>
          </w:p>
        </w:tc>
        <w:tc>
          <w:tcPr>
            <w:tcW w:w="1175" w:type="dxa"/>
          </w:tcPr>
          <w:p w14:paraId="2878014B" w14:textId="77777777" w:rsidR="00084F36" w:rsidRPr="00EB2BD8" w:rsidRDefault="00084F36">
            <w:pPr>
              <w:pStyle w:val="TableParagraph"/>
              <w:rPr>
                <w:rFonts w:ascii="Times New Roman"/>
                <w:sz w:val="16"/>
              </w:rPr>
            </w:pPr>
          </w:p>
        </w:tc>
      </w:tr>
      <w:tr w:rsidR="00EB2BD8" w:rsidRPr="00EB2BD8" w14:paraId="1A25C70E" w14:textId="77777777">
        <w:trPr>
          <w:trHeight w:val="229"/>
        </w:trPr>
        <w:tc>
          <w:tcPr>
            <w:tcW w:w="1731" w:type="dxa"/>
          </w:tcPr>
          <w:p w14:paraId="21955FAB" w14:textId="77777777" w:rsidR="00084F36" w:rsidRPr="00EB2BD8" w:rsidRDefault="00084F36">
            <w:pPr>
              <w:pStyle w:val="TableParagraph"/>
              <w:rPr>
                <w:rFonts w:ascii="Times New Roman"/>
                <w:sz w:val="16"/>
              </w:rPr>
            </w:pPr>
          </w:p>
        </w:tc>
        <w:tc>
          <w:tcPr>
            <w:tcW w:w="1485" w:type="dxa"/>
          </w:tcPr>
          <w:p w14:paraId="7A83F983" w14:textId="77777777" w:rsidR="00084F36" w:rsidRPr="00EB2BD8" w:rsidRDefault="00084F36">
            <w:pPr>
              <w:pStyle w:val="TableParagraph"/>
              <w:rPr>
                <w:rFonts w:ascii="Times New Roman"/>
                <w:sz w:val="16"/>
              </w:rPr>
            </w:pPr>
          </w:p>
        </w:tc>
        <w:tc>
          <w:tcPr>
            <w:tcW w:w="2443" w:type="dxa"/>
          </w:tcPr>
          <w:p w14:paraId="340800FD" w14:textId="77777777" w:rsidR="00084F36" w:rsidRPr="00EB2BD8" w:rsidRDefault="00EB2BD8">
            <w:pPr>
              <w:pStyle w:val="TableParagraph"/>
              <w:spacing w:before="19"/>
              <w:ind w:left="287"/>
              <w:rPr>
                <w:sz w:val="16"/>
              </w:rPr>
            </w:pPr>
            <w:r w:rsidRPr="00EB2BD8">
              <w:rPr>
                <w:sz w:val="16"/>
              </w:rPr>
              <w:t xml:space="preserve">competent manner </w:t>
            </w:r>
            <w:r w:rsidRPr="00EB2BD8">
              <w:rPr>
                <w:spacing w:val="-5"/>
                <w:sz w:val="16"/>
              </w:rPr>
              <w:t>and</w:t>
            </w:r>
          </w:p>
        </w:tc>
        <w:tc>
          <w:tcPr>
            <w:tcW w:w="2288" w:type="dxa"/>
          </w:tcPr>
          <w:p w14:paraId="321AC10E" w14:textId="77777777" w:rsidR="00084F36" w:rsidRPr="00EB2BD8" w:rsidRDefault="00084F36">
            <w:pPr>
              <w:pStyle w:val="TableParagraph"/>
              <w:rPr>
                <w:rFonts w:ascii="Times New Roman"/>
                <w:sz w:val="16"/>
              </w:rPr>
            </w:pPr>
          </w:p>
        </w:tc>
        <w:tc>
          <w:tcPr>
            <w:tcW w:w="1078" w:type="dxa"/>
          </w:tcPr>
          <w:p w14:paraId="476CF314" w14:textId="77777777" w:rsidR="00084F36" w:rsidRPr="00EB2BD8" w:rsidRDefault="00084F36">
            <w:pPr>
              <w:pStyle w:val="TableParagraph"/>
              <w:rPr>
                <w:rFonts w:ascii="Times New Roman"/>
                <w:sz w:val="16"/>
              </w:rPr>
            </w:pPr>
          </w:p>
        </w:tc>
        <w:tc>
          <w:tcPr>
            <w:tcW w:w="1175" w:type="dxa"/>
          </w:tcPr>
          <w:p w14:paraId="39B61A90" w14:textId="77777777" w:rsidR="00084F36" w:rsidRPr="00EB2BD8" w:rsidRDefault="00084F36">
            <w:pPr>
              <w:pStyle w:val="TableParagraph"/>
              <w:rPr>
                <w:rFonts w:ascii="Times New Roman"/>
                <w:sz w:val="16"/>
              </w:rPr>
            </w:pPr>
          </w:p>
        </w:tc>
      </w:tr>
      <w:tr w:rsidR="00EB2BD8" w:rsidRPr="00EB2BD8" w14:paraId="4834505E" w14:textId="77777777">
        <w:trPr>
          <w:trHeight w:val="229"/>
        </w:trPr>
        <w:tc>
          <w:tcPr>
            <w:tcW w:w="1731" w:type="dxa"/>
          </w:tcPr>
          <w:p w14:paraId="3652152A" w14:textId="77777777" w:rsidR="00084F36" w:rsidRPr="00EB2BD8" w:rsidRDefault="00084F36">
            <w:pPr>
              <w:pStyle w:val="TableParagraph"/>
              <w:rPr>
                <w:rFonts w:ascii="Times New Roman"/>
                <w:sz w:val="16"/>
              </w:rPr>
            </w:pPr>
          </w:p>
        </w:tc>
        <w:tc>
          <w:tcPr>
            <w:tcW w:w="1485" w:type="dxa"/>
          </w:tcPr>
          <w:p w14:paraId="0602C520" w14:textId="77777777" w:rsidR="00084F36" w:rsidRPr="00EB2BD8" w:rsidRDefault="00084F36">
            <w:pPr>
              <w:pStyle w:val="TableParagraph"/>
              <w:rPr>
                <w:rFonts w:ascii="Times New Roman"/>
                <w:sz w:val="16"/>
              </w:rPr>
            </w:pPr>
          </w:p>
        </w:tc>
        <w:tc>
          <w:tcPr>
            <w:tcW w:w="2443" w:type="dxa"/>
          </w:tcPr>
          <w:p w14:paraId="33512070" w14:textId="77777777" w:rsidR="00084F36" w:rsidRPr="00EB2BD8" w:rsidRDefault="00EB2BD8">
            <w:pPr>
              <w:pStyle w:val="TableParagraph"/>
              <w:spacing w:before="19"/>
              <w:ind w:left="287"/>
              <w:rPr>
                <w:sz w:val="16"/>
              </w:rPr>
            </w:pPr>
            <w:r w:rsidRPr="00EB2BD8">
              <w:rPr>
                <w:spacing w:val="-2"/>
                <w:sz w:val="16"/>
              </w:rPr>
              <w:t>to</w:t>
            </w:r>
            <w:r w:rsidRPr="00EB2BD8">
              <w:rPr>
                <w:spacing w:val="-6"/>
                <w:sz w:val="16"/>
              </w:rPr>
              <w:t xml:space="preserve"> </w:t>
            </w:r>
            <w:r w:rsidRPr="00EB2BD8">
              <w:rPr>
                <w:spacing w:val="-2"/>
                <w:sz w:val="16"/>
              </w:rPr>
              <w:t>a</w:t>
            </w:r>
            <w:r w:rsidRPr="00EB2BD8">
              <w:rPr>
                <w:spacing w:val="-5"/>
                <w:sz w:val="16"/>
              </w:rPr>
              <w:t xml:space="preserve"> </w:t>
            </w:r>
            <w:r w:rsidRPr="00EB2BD8">
              <w:rPr>
                <w:spacing w:val="-2"/>
                <w:sz w:val="16"/>
              </w:rPr>
              <w:t>professional</w:t>
            </w:r>
            <w:r w:rsidRPr="00EB2BD8">
              <w:rPr>
                <w:spacing w:val="-5"/>
                <w:sz w:val="16"/>
              </w:rPr>
              <w:t xml:space="preserve"> </w:t>
            </w:r>
            <w:r w:rsidRPr="00EB2BD8">
              <w:rPr>
                <w:spacing w:val="-2"/>
                <w:sz w:val="16"/>
              </w:rPr>
              <w:t>standard</w:t>
            </w:r>
          </w:p>
        </w:tc>
        <w:tc>
          <w:tcPr>
            <w:tcW w:w="2288" w:type="dxa"/>
          </w:tcPr>
          <w:p w14:paraId="4A562AEC" w14:textId="77777777" w:rsidR="00084F36" w:rsidRPr="00EB2BD8" w:rsidRDefault="00084F36">
            <w:pPr>
              <w:pStyle w:val="TableParagraph"/>
              <w:rPr>
                <w:rFonts w:ascii="Times New Roman"/>
                <w:sz w:val="16"/>
              </w:rPr>
            </w:pPr>
          </w:p>
        </w:tc>
        <w:tc>
          <w:tcPr>
            <w:tcW w:w="1078" w:type="dxa"/>
          </w:tcPr>
          <w:p w14:paraId="66B98F73" w14:textId="77777777" w:rsidR="00084F36" w:rsidRPr="00EB2BD8" w:rsidRDefault="00084F36">
            <w:pPr>
              <w:pStyle w:val="TableParagraph"/>
              <w:rPr>
                <w:rFonts w:ascii="Times New Roman"/>
                <w:sz w:val="16"/>
              </w:rPr>
            </w:pPr>
          </w:p>
        </w:tc>
        <w:tc>
          <w:tcPr>
            <w:tcW w:w="1175" w:type="dxa"/>
          </w:tcPr>
          <w:p w14:paraId="77C1284F" w14:textId="77777777" w:rsidR="00084F36" w:rsidRPr="00EB2BD8" w:rsidRDefault="00084F36">
            <w:pPr>
              <w:pStyle w:val="TableParagraph"/>
              <w:rPr>
                <w:rFonts w:ascii="Times New Roman"/>
                <w:sz w:val="16"/>
              </w:rPr>
            </w:pPr>
          </w:p>
        </w:tc>
      </w:tr>
      <w:tr w:rsidR="00EB2BD8" w:rsidRPr="00EB2BD8" w14:paraId="7E8544B4" w14:textId="77777777">
        <w:trPr>
          <w:trHeight w:val="229"/>
        </w:trPr>
        <w:tc>
          <w:tcPr>
            <w:tcW w:w="1731" w:type="dxa"/>
          </w:tcPr>
          <w:p w14:paraId="19FBEEC2" w14:textId="77777777" w:rsidR="00084F36" w:rsidRPr="00EB2BD8" w:rsidRDefault="00084F36">
            <w:pPr>
              <w:pStyle w:val="TableParagraph"/>
              <w:rPr>
                <w:rFonts w:ascii="Times New Roman"/>
                <w:sz w:val="16"/>
              </w:rPr>
            </w:pPr>
          </w:p>
        </w:tc>
        <w:tc>
          <w:tcPr>
            <w:tcW w:w="1485" w:type="dxa"/>
          </w:tcPr>
          <w:p w14:paraId="71033C53" w14:textId="77777777" w:rsidR="00084F36" w:rsidRPr="00EB2BD8" w:rsidRDefault="00084F36">
            <w:pPr>
              <w:pStyle w:val="TableParagraph"/>
              <w:rPr>
                <w:rFonts w:ascii="Times New Roman"/>
                <w:sz w:val="16"/>
              </w:rPr>
            </w:pPr>
          </w:p>
        </w:tc>
        <w:tc>
          <w:tcPr>
            <w:tcW w:w="2443" w:type="dxa"/>
          </w:tcPr>
          <w:p w14:paraId="242E30AB" w14:textId="77777777" w:rsidR="00084F36" w:rsidRPr="00EB2BD8" w:rsidRDefault="00EB2BD8">
            <w:pPr>
              <w:pStyle w:val="TableParagraph"/>
              <w:spacing w:before="19"/>
              <w:ind w:left="287"/>
              <w:rPr>
                <w:sz w:val="16"/>
              </w:rPr>
            </w:pPr>
            <w:r w:rsidRPr="00EB2BD8">
              <w:rPr>
                <w:spacing w:val="-2"/>
                <w:sz w:val="16"/>
              </w:rPr>
              <w:t>in</w:t>
            </w:r>
            <w:r w:rsidRPr="00EB2BD8">
              <w:rPr>
                <w:spacing w:val="-10"/>
                <w:sz w:val="16"/>
              </w:rPr>
              <w:t xml:space="preserve"> </w:t>
            </w:r>
            <w:r w:rsidRPr="00EB2BD8">
              <w:rPr>
                <w:spacing w:val="-2"/>
                <w:sz w:val="16"/>
              </w:rPr>
              <w:t>continuing</w:t>
            </w:r>
            <w:r w:rsidRPr="00EB2BD8">
              <w:rPr>
                <w:spacing w:val="-9"/>
                <w:sz w:val="16"/>
              </w:rPr>
              <w:t xml:space="preserve"> </w:t>
            </w:r>
            <w:r w:rsidRPr="00EB2BD8">
              <w:rPr>
                <w:spacing w:val="-2"/>
                <w:sz w:val="16"/>
              </w:rPr>
              <w:t>to</w:t>
            </w:r>
            <w:r w:rsidRPr="00EB2BD8">
              <w:rPr>
                <w:spacing w:val="-9"/>
                <w:sz w:val="16"/>
              </w:rPr>
              <w:t xml:space="preserve"> </w:t>
            </w:r>
            <w:r w:rsidRPr="00EB2BD8">
              <w:rPr>
                <w:spacing w:val="-4"/>
                <w:sz w:val="16"/>
              </w:rPr>
              <w:t>work</w:t>
            </w:r>
          </w:p>
        </w:tc>
        <w:tc>
          <w:tcPr>
            <w:tcW w:w="2288" w:type="dxa"/>
          </w:tcPr>
          <w:p w14:paraId="1B0DD4FC" w14:textId="77777777" w:rsidR="00084F36" w:rsidRPr="00EB2BD8" w:rsidRDefault="00084F36">
            <w:pPr>
              <w:pStyle w:val="TableParagraph"/>
              <w:rPr>
                <w:rFonts w:ascii="Times New Roman"/>
                <w:sz w:val="16"/>
              </w:rPr>
            </w:pPr>
          </w:p>
        </w:tc>
        <w:tc>
          <w:tcPr>
            <w:tcW w:w="1078" w:type="dxa"/>
          </w:tcPr>
          <w:p w14:paraId="7CB0783F" w14:textId="77777777" w:rsidR="00084F36" w:rsidRPr="00EB2BD8" w:rsidRDefault="00084F36">
            <w:pPr>
              <w:pStyle w:val="TableParagraph"/>
              <w:rPr>
                <w:rFonts w:ascii="Times New Roman"/>
                <w:sz w:val="16"/>
              </w:rPr>
            </w:pPr>
          </w:p>
        </w:tc>
        <w:tc>
          <w:tcPr>
            <w:tcW w:w="1175" w:type="dxa"/>
          </w:tcPr>
          <w:p w14:paraId="19020BA4" w14:textId="77777777" w:rsidR="00084F36" w:rsidRPr="00EB2BD8" w:rsidRDefault="00084F36">
            <w:pPr>
              <w:pStyle w:val="TableParagraph"/>
              <w:rPr>
                <w:rFonts w:ascii="Times New Roman"/>
                <w:sz w:val="16"/>
              </w:rPr>
            </w:pPr>
          </w:p>
        </w:tc>
      </w:tr>
      <w:tr w:rsidR="00EB2BD8" w:rsidRPr="00EB2BD8" w14:paraId="59631603" w14:textId="77777777">
        <w:trPr>
          <w:trHeight w:val="229"/>
        </w:trPr>
        <w:tc>
          <w:tcPr>
            <w:tcW w:w="1731" w:type="dxa"/>
          </w:tcPr>
          <w:p w14:paraId="59A99B16" w14:textId="77777777" w:rsidR="00084F36" w:rsidRPr="00EB2BD8" w:rsidRDefault="00084F36">
            <w:pPr>
              <w:pStyle w:val="TableParagraph"/>
              <w:rPr>
                <w:rFonts w:ascii="Times New Roman"/>
                <w:sz w:val="16"/>
              </w:rPr>
            </w:pPr>
          </w:p>
        </w:tc>
        <w:tc>
          <w:tcPr>
            <w:tcW w:w="1485" w:type="dxa"/>
          </w:tcPr>
          <w:p w14:paraId="5AAF71D5" w14:textId="77777777" w:rsidR="00084F36" w:rsidRPr="00EB2BD8" w:rsidRDefault="00084F36">
            <w:pPr>
              <w:pStyle w:val="TableParagraph"/>
              <w:rPr>
                <w:rFonts w:ascii="Times New Roman"/>
                <w:sz w:val="16"/>
              </w:rPr>
            </w:pPr>
          </w:p>
        </w:tc>
        <w:tc>
          <w:tcPr>
            <w:tcW w:w="2443" w:type="dxa"/>
          </w:tcPr>
          <w:p w14:paraId="17AEE63A" w14:textId="77777777" w:rsidR="00084F36" w:rsidRPr="00EB2BD8" w:rsidRDefault="00EB2BD8">
            <w:pPr>
              <w:pStyle w:val="TableParagraph"/>
              <w:spacing w:before="19"/>
              <w:ind w:left="287"/>
              <w:rPr>
                <w:sz w:val="16"/>
              </w:rPr>
            </w:pPr>
            <w:r w:rsidRPr="00EB2BD8">
              <w:rPr>
                <w:sz w:val="16"/>
              </w:rPr>
              <w:t>past</w:t>
            </w:r>
            <w:r w:rsidRPr="00EB2BD8">
              <w:rPr>
                <w:spacing w:val="8"/>
                <w:sz w:val="16"/>
              </w:rPr>
              <w:t xml:space="preserve"> </w:t>
            </w:r>
            <w:r w:rsidRPr="00EB2BD8">
              <w:rPr>
                <w:sz w:val="16"/>
              </w:rPr>
              <w:t>mandatory</w:t>
            </w:r>
            <w:r w:rsidRPr="00EB2BD8">
              <w:rPr>
                <w:spacing w:val="8"/>
                <w:sz w:val="16"/>
              </w:rPr>
              <w:t xml:space="preserve"> </w:t>
            </w:r>
            <w:r w:rsidRPr="00EB2BD8">
              <w:rPr>
                <w:spacing w:val="-4"/>
                <w:sz w:val="16"/>
              </w:rPr>
              <w:t>stage</w:t>
            </w:r>
          </w:p>
        </w:tc>
        <w:tc>
          <w:tcPr>
            <w:tcW w:w="2288" w:type="dxa"/>
          </w:tcPr>
          <w:p w14:paraId="2BC2FD7D" w14:textId="77777777" w:rsidR="00084F36" w:rsidRPr="00EB2BD8" w:rsidRDefault="00084F36">
            <w:pPr>
              <w:pStyle w:val="TableParagraph"/>
              <w:rPr>
                <w:rFonts w:ascii="Times New Roman"/>
                <w:sz w:val="16"/>
              </w:rPr>
            </w:pPr>
          </w:p>
        </w:tc>
        <w:tc>
          <w:tcPr>
            <w:tcW w:w="1078" w:type="dxa"/>
          </w:tcPr>
          <w:p w14:paraId="728363A6" w14:textId="77777777" w:rsidR="00084F36" w:rsidRPr="00EB2BD8" w:rsidRDefault="00084F36">
            <w:pPr>
              <w:pStyle w:val="TableParagraph"/>
              <w:rPr>
                <w:rFonts w:ascii="Times New Roman"/>
                <w:sz w:val="16"/>
              </w:rPr>
            </w:pPr>
          </w:p>
        </w:tc>
        <w:tc>
          <w:tcPr>
            <w:tcW w:w="1175" w:type="dxa"/>
          </w:tcPr>
          <w:p w14:paraId="3592BCD5" w14:textId="77777777" w:rsidR="00084F36" w:rsidRPr="00EB2BD8" w:rsidRDefault="00084F36">
            <w:pPr>
              <w:pStyle w:val="TableParagraph"/>
              <w:rPr>
                <w:rFonts w:ascii="Times New Roman"/>
                <w:sz w:val="16"/>
              </w:rPr>
            </w:pPr>
          </w:p>
        </w:tc>
      </w:tr>
      <w:tr w:rsidR="00EB2BD8" w:rsidRPr="00EB2BD8" w14:paraId="194C1A15" w14:textId="77777777">
        <w:trPr>
          <w:trHeight w:val="229"/>
        </w:trPr>
        <w:tc>
          <w:tcPr>
            <w:tcW w:w="1731" w:type="dxa"/>
          </w:tcPr>
          <w:p w14:paraId="49505ABD" w14:textId="77777777" w:rsidR="00084F36" w:rsidRPr="00EB2BD8" w:rsidRDefault="00084F36">
            <w:pPr>
              <w:pStyle w:val="TableParagraph"/>
              <w:rPr>
                <w:rFonts w:ascii="Times New Roman"/>
                <w:sz w:val="16"/>
              </w:rPr>
            </w:pPr>
          </w:p>
        </w:tc>
        <w:tc>
          <w:tcPr>
            <w:tcW w:w="1485" w:type="dxa"/>
          </w:tcPr>
          <w:p w14:paraId="2AB5E2D9" w14:textId="77777777" w:rsidR="00084F36" w:rsidRPr="00EB2BD8" w:rsidRDefault="00084F36">
            <w:pPr>
              <w:pStyle w:val="TableParagraph"/>
              <w:rPr>
                <w:rFonts w:ascii="Times New Roman"/>
                <w:sz w:val="16"/>
              </w:rPr>
            </w:pPr>
          </w:p>
        </w:tc>
        <w:tc>
          <w:tcPr>
            <w:tcW w:w="2443" w:type="dxa"/>
          </w:tcPr>
          <w:p w14:paraId="1ECC5EAC" w14:textId="77777777" w:rsidR="00084F36" w:rsidRPr="00EB2BD8" w:rsidRDefault="00EB2BD8">
            <w:pPr>
              <w:pStyle w:val="TableParagraph"/>
              <w:spacing w:before="19"/>
              <w:ind w:left="287"/>
              <w:rPr>
                <w:sz w:val="16"/>
              </w:rPr>
            </w:pPr>
            <w:r w:rsidRPr="00EB2BD8">
              <w:rPr>
                <w:spacing w:val="-2"/>
                <w:sz w:val="16"/>
              </w:rPr>
              <w:t>inspection,</w:t>
            </w:r>
            <w:r w:rsidRPr="00EB2BD8">
              <w:rPr>
                <w:spacing w:val="-9"/>
                <w:sz w:val="16"/>
              </w:rPr>
              <w:t xml:space="preserve"> </w:t>
            </w:r>
            <w:r w:rsidRPr="00EB2BD8">
              <w:rPr>
                <w:spacing w:val="-2"/>
                <w:sz w:val="16"/>
              </w:rPr>
              <w:t>in</w:t>
            </w:r>
            <w:r w:rsidRPr="00EB2BD8">
              <w:rPr>
                <w:spacing w:val="-8"/>
                <w:sz w:val="16"/>
              </w:rPr>
              <w:t xml:space="preserve"> </w:t>
            </w:r>
            <w:r w:rsidRPr="00EB2BD8">
              <w:rPr>
                <w:spacing w:val="-2"/>
                <w:sz w:val="16"/>
              </w:rPr>
              <w:t>respect</w:t>
            </w:r>
            <w:r w:rsidRPr="00EB2BD8">
              <w:rPr>
                <w:spacing w:val="-8"/>
                <w:sz w:val="16"/>
              </w:rPr>
              <w:t xml:space="preserve"> </w:t>
            </w:r>
            <w:r w:rsidRPr="00EB2BD8">
              <w:rPr>
                <w:spacing w:val="-2"/>
                <w:sz w:val="16"/>
              </w:rPr>
              <w:t>of</w:t>
            </w:r>
            <w:r w:rsidRPr="00EB2BD8">
              <w:rPr>
                <w:spacing w:val="-8"/>
                <w:sz w:val="16"/>
              </w:rPr>
              <w:t xml:space="preserve"> </w:t>
            </w:r>
            <w:r w:rsidRPr="00EB2BD8">
              <w:rPr>
                <w:spacing w:val="-10"/>
                <w:sz w:val="16"/>
              </w:rPr>
              <w:t>a</w:t>
            </w:r>
          </w:p>
        </w:tc>
        <w:tc>
          <w:tcPr>
            <w:tcW w:w="2288" w:type="dxa"/>
          </w:tcPr>
          <w:p w14:paraId="2158BD09" w14:textId="77777777" w:rsidR="00084F36" w:rsidRPr="00EB2BD8" w:rsidRDefault="00084F36">
            <w:pPr>
              <w:pStyle w:val="TableParagraph"/>
              <w:rPr>
                <w:rFonts w:ascii="Times New Roman"/>
                <w:sz w:val="16"/>
              </w:rPr>
            </w:pPr>
          </w:p>
        </w:tc>
        <w:tc>
          <w:tcPr>
            <w:tcW w:w="1078" w:type="dxa"/>
          </w:tcPr>
          <w:p w14:paraId="6458BFDC" w14:textId="77777777" w:rsidR="00084F36" w:rsidRPr="00EB2BD8" w:rsidRDefault="00084F36">
            <w:pPr>
              <w:pStyle w:val="TableParagraph"/>
              <w:rPr>
                <w:rFonts w:ascii="Times New Roman"/>
                <w:sz w:val="16"/>
              </w:rPr>
            </w:pPr>
          </w:p>
        </w:tc>
        <w:tc>
          <w:tcPr>
            <w:tcW w:w="1175" w:type="dxa"/>
          </w:tcPr>
          <w:p w14:paraId="3BC5409A" w14:textId="77777777" w:rsidR="00084F36" w:rsidRPr="00EB2BD8" w:rsidRDefault="00084F36">
            <w:pPr>
              <w:pStyle w:val="TableParagraph"/>
              <w:rPr>
                <w:rFonts w:ascii="Times New Roman"/>
                <w:sz w:val="16"/>
              </w:rPr>
            </w:pPr>
          </w:p>
        </w:tc>
      </w:tr>
      <w:tr w:rsidR="00EB2BD8" w:rsidRPr="00EB2BD8" w14:paraId="67B64F1E" w14:textId="77777777">
        <w:trPr>
          <w:trHeight w:val="287"/>
        </w:trPr>
        <w:tc>
          <w:tcPr>
            <w:tcW w:w="1731" w:type="dxa"/>
            <w:tcBorders>
              <w:bottom w:val="single" w:sz="2" w:space="0" w:color="000000"/>
            </w:tcBorders>
          </w:tcPr>
          <w:p w14:paraId="17914BB5" w14:textId="77777777" w:rsidR="00084F36" w:rsidRPr="00EB2BD8" w:rsidRDefault="00084F36">
            <w:pPr>
              <w:pStyle w:val="TableParagraph"/>
              <w:rPr>
                <w:rFonts w:ascii="Times New Roman"/>
                <w:sz w:val="16"/>
              </w:rPr>
            </w:pPr>
          </w:p>
        </w:tc>
        <w:tc>
          <w:tcPr>
            <w:tcW w:w="1485" w:type="dxa"/>
            <w:tcBorders>
              <w:bottom w:val="single" w:sz="2" w:space="0" w:color="000000"/>
            </w:tcBorders>
          </w:tcPr>
          <w:p w14:paraId="3C121B72" w14:textId="77777777" w:rsidR="00084F36" w:rsidRPr="00EB2BD8" w:rsidRDefault="00084F36">
            <w:pPr>
              <w:pStyle w:val="TableParagraph"/>
              <w:rPr>
                <w:rFonts w:ascii="Times New Roman"/>
                <w:sz w:val="16"/>
              </w:rPr>
            </w:pPr>
          </w:p>
        </w:tc>
        <w:tc>
          <w:tcPr>
            <w:tcW w:w="2443" w:type="dxa"/>
            <w:tcBorders>
              <w:bottom w:val="single" w:sz="2" w:space="0" w:color="000000"/>
            </w:tcBorders>
          </w:tcPr>
          <w:p w14:paraId="1DB3C333" w14:textId="77777777" w:rsidR="00084F36" w:rsidRPr="00EB2BD8" w:rsidRDefault="00EB2BD8">
            <w:pPr>
              <w:pStyle w:val="TableParagraph"/>
              <w:spacing w:before="19"/>
              <w:ind w:left="287"/>
              <w:rPr>
                <w:sz w:val="16"/>
              </w:rPr>
            </w:pPr>
            <w:r w:rsidRPr="00EB2BD8">
              <w:rPr>
                <w:sz w:val="16"/>
              </w:rPr>
              <w:t>site</w:t>
            </w:r>
            <w:r w:rsidRPr="00EB2BD8">
              <w:rPr>
                <w:spacing w:val="-10"/>
                <w:sz w:val="16"/>
              </w:rPr>
              <w:t xml:space="preserve"> </w:t>
            </w:r>
            <w:r w:rsidRPr="00EB2BD8">
              <w:rPr>
                <w:sz w:val="16"/>
              </w:rPr>
              <w:t>at</w:t>
            </w:r>
            <w:r w:rsidRPr="00EB2BD8">
              <w:rPr>
                <w:spacing w:val="-9"/>
                <w:sz w:val="16"/>
              </w:rPr>
              <w:t xml:space="preserve"> </w:t>
            </w:r>
            <w:r w:rsidRPr="00EB2BD8">
              <w:rPr>
                <w:spacing w:val="-2"/>
                <w:sz w:val="16"/>
              </w:rPr>
              <w:t>Harkaway.</w:t>
            </w:r>
          </w:p>
        </w:tc>
        <w:tc>
          <w:tcPr>
            <w:tcW w:w="2288" w:type="dxa"/>
            <w:tcBorders>
              <w:bottom w:val="single" w:sz="2" w:space="0" w:color="000000"/>
            </w:tcBorders>
          </w:tcPr>
          <w:p w14:paraId="14544CC1"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011137B2"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0C926841" w14:textId="77777777" w:rsidR="00084F36" w:rsidRPr="00EB2BD8" w:rsidRDefault="00084F36">
            <w:pPr>
              <w:pStyle w:val="TableParagraph"/>
              <w:rPr>
                <w:rFonts w:ascii="Times New Roman"/>
                <w:sz w:val="16"/>
              </w:rPr>
            </w:pPr>
          </w:p>
        </w:tc>
      </w:tr>
      <w:tr w:rsidR="00EB2BD8" w:rsidRPr="00EB2BD8" w14:paraId="320BF325" w14:textId="77777777">
        <w:trPr>
          <w:trHeight w:val="323"/>
        </w:trPr>
        <w:tc>
          <w:tcPr>
            <w:tcW w:w="1731" w:type="dxa"/>
            <w:tcBorders>
              <w:top w:val="single" w:sz="2" w:space="0" w:color="000000"/>
            </w:tcBorders>
          </w:tcPr>
          <w:p w14:paraId="58061E81" w14:textId="77777777" w:rsidR="00084F36" w:rsidRPr="00EB2BD8" w:rsidRDefault="00EB2BD8">
            <w:pPr>
              <w:pStyle w:val="TableParagraph"/>
              <w:spacing w:before="113"/>
              <w:ind w:left="113"/>
              <w:rPr>
                <w:sz w:val="16"/>
              </w:rPr>
            </w:pPr>
            <w:r w:rsidRPr="00EB2BD8">
              <w:rPr>
                <w:sz w:val="16"/>
              </w:rPr>
              <w:t>Hamlan</w:t>
            </w:r>
            <w:r w:rsidRPr="00EB2BD8">
              <w:rPr>
                <w:spacing w:val="-3"/>
                <w:sz w:val="16"/>
              </w:rPr>
              <w:t xml:space="preserve"> </w:t>
            </w:r>
            <w:r w:rsidRPr="00EB2BD8">
              <w:rPr>
                <w:sz w:val="16"/>
              </w:rPr>
              <w:t>Homes</w:t>
            </w:r>
            <w:r w:rsidRPr="00EB2BD8">
              <w:rPr>
                <w:spacing w:val="-2"/>
                <w:sz w:val="16"/>
              </w:rPr>
              <w:t xml:space="preserve"> </w:t>
            </w:r>
            <w:r w:rsidRPr="00EB2BD8">
              <w:rPr>
                <w:spacing w:val="-5"/>
                <w:sz w:val="16"/>
              </w:rPr>
              <w:t>Pty</w:t>
            </w:r>
          </w:p>
        </w:tc>
        <w:tc>
          <w:tcPr>
            <w:tcW w:w="1485" w:type="dxa"/>
            <w:tcBorders>
              <w:top w:val="single" w:sz="2" w:space="0" w:color="000000"/>
            </w:tcBorders>
          </w:tcPr>
          <w:p w14:paraId="7DCD32E5" w14:textId="77777777" w:rsidR="00084F36" w:rsidRPr="00EB2BD8" w:rsidRDefault="00EB2BD8">
            <w:pPr>
              <w:pStyle w:val="TableParagraph"/>
              <w:spacing w:before="113"/>
              <w:ind w:left="139"/>
              <w:rPr>
                <w:sz w:val="16"/>
              </w:rPr>
            </w:pPr>
            <w:r w:rsidRPr="00EB2BD8">
              <w:rPr>
                <w:spacing w:val="2"/>
                <w:sz w:val="16"/>
              </w:rPr>
              <w:t>CDB-U</w:t>
            </w:r>
            <w:r w:rsidRPr="00EB2BD8">
              <w:rPr>
                <w:spacing w:val="17"/>
                <w:sz w:val="16"/>
              </w:rPr>
              <w:t xml:space="preserve"> </w:t>
            </w:r>
            <w:r w:rsidRPr="00EB2BD8">
              <w:rPr>
                <w:spacing w:val="-2"/>
                <w:sz w:val="16"/>
              </w:rPr>
              <w:t>52938</w:t>
            </w:r>
          </w:p>
        </w:tc>
        <w:tc>
          <w:tcPr>
            <w:tcW w:w="2443" w:type="dxa"/>
            <w:tcBorders>
              <w:top w:val="single" w:sz="2" w:space="0" w:color="000000"/>
            </w:tcBorders>
          </w:tcPr>
          <w:p w14:paraId="44267AF2" w14:textId="77777777" w:rsidR="00084F36" w:rsidRPr="00EB2BD8" w:rsidRDefault="00EB2BD8">
            <w:pPr>
              <w:pStyle w:val="TableParagraph"/>
              <w:spacing w:before="113"/>
              <w:ind w:left="287"/>
              <w:rPr>
                <w:sz w:val="16"/>
              </w:rPr>
            </w:pPr>
            <w:r w:rsidRPr="00EB2BD8">
              <w:rPr>
                <w:spacing w:val="-2"/>
                <w:sz w:val="16"/>
              </w:rPr>
              <w:t>Failing</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call</w:t>
            </w:r>
            <w:r w:rsidRPr="00EB2BD8">
              <w:rPr>
                <w:spacing w:val="-7"/>
                <w:sz w:val="16"/>
              </w:rPr>
              <w:t xml:space="preserve"> </w:t>
            </w:r>
            <w:r w:rsidRPr="00EB2BD8">
              <w:rPr>
                <w:spacing w:val="-2"/>
                <w:sz w:val="16"/>
              </w:rPr>
              <w:t>for</w:t>
            </w:r>
            <w:r w:rsidRPr="00EB2BD8">
              <w:rPr>
                <w:spacing w:val="-8"/>
                <w:sz w:val="16"/>
              </w:rPr>
              <w:t xml:space="preserve"> </w:t>
            </w:r>
            <w:r w:rsidRPr="00EB2BD8">
              <w:rPr>
                <w:spacing w:val="-12"/>
                <w:sz w:val="16"/>
              </w:rPr>
              <w:t>a</w:t>
            </w:r>
          </w:p>
        </w:tc>
        <w:tc>
          <w:tcPr>
            <w:tcW w:w="2288" w:type="dxa"/>
            <w:tcBorders>
              <w:top w:val="single" w:sz="2" w:space="0" w:color="000000"/>
            </w:tcBorders>
          </w:tcPr>
          <w:p w14:paraId="13476438" w14:textId="77777777" w:rsidR="00084F36" w:rsidRPr="00EB2BD8" w:rsidRDefault="00EB2BD8">
            <w:pPr>
              <w:pStyle w:val="TableParagraph"/>
              <w:spacing w:before="113"/>
              <w:ind w:left="123"/>
              <w:rPr>
                <w:sz w:val="16"/>
              </w:rPr>
            </w:pPr>
            <w:r w:rsidRPr="00EB2BD8">
              <w:rPr>
                <w:sz w:val="16"/>
              </w:rPr>
              <w:t>Reprimand</w:t>
            </w:r>
            <w:r w:rsidRPr="00EB2BD8">
              <w:rPr>
                <w:spacing w:val="3"/>
                <w:sz w:val="16"/>
              </w:rPr>
              <w:t xml:space="preserve"> </w:t>
            </w:r>
            <w:r w:rsidRPr="00EB2BD8">
              <w:rPr>
                <w:sz w:val="16"/>
              </w:rPr>
              <w:t>and</w:t>
            </w:r>
            <w:r w:rsidRPr="00EB2BD8">
              <w:rPr>
                <w:spacing w:val="4"/>
                <w:sz w:val="16"/>
              </w:rPr>
              <w:t xml:space="preserve"> </w:t>
            </w:r>
            <w:r w:rsidRPr="00EB2BD8">
              <w:rPr>
                <w:sz w:val="16"/>
              </w:rPr>
              <w:t>a</w:t>
            </w:r>
            <w:r w:rsidRPr="00EB2BD8">
              <w:rPr>
                <w:spacing w:val="3"/>
                <w:sz w:val="16"/>
              </w:rPr>
              <w:t xml:space="preserve"> </w:t>
            </w:r>
            <w:r w:rsidRPr="00EB2BD8">
              <w:rPr>
                <w:spacing w:val="-2"/>
                <w:sz w:val="16"/>
              </w:rPr>
              <w:t>penalty</w:t>
            </w:r>
          </w:p>
        </w:tc>
        <w:tc>
          <w:tcPr>
            <w:tcW w:w="1078" w:type="dxa"/>
            <w:tcBorders>
              <w:top w:val="single" w:sz="2" w:space="0" w:color="000000"/>
            </w:tcBorders>
          </w:tcPr>
          <w:p w14:paraId="34DC64B4" w14:textId="77777777" w:rsidR="00084F36" w:rsidRPr="00EB2BD8" w:rsidRDefault="00EB2BD8">
            <w:pPr>
              <w:pStyle w:val="TableParagraph"/>
              <w:spacing w:before="113"/>
              <w:ind w:right="111"/>
              <w:jc w:val="right"/>
              <w:rPr>
                <w:sz w:val="16"/>
              </w:rPr>
            </w:pPr>
            <w:r w:rsidRPr="00EB2BD8">
              <w:rPr>
                <w:spacing w:val="-2"/>
                <w:sz w:val="16"/>
              </w:rPr>
              <w:t>$2,000</w:t>
            </w:r>
          </w:p>
        </w:tc>
        <w:tc>
          <w:tcPr>
            <w:tcW w:w="1175" w:type="dxa"/>
            <w:tcBorders>
              <w:top w:val="single" w:sz="2" w:space="0" w:color="000000"/>
            </w:tcBorders>
          </w:tcPr>
          <w:p w14:paraId="06101540" w14:textId="77777777" w:rsidR="00084F36" w:rsidRPr="00EB2BD8" w:rsidRDefault="00EB2BD8">
            <w:pPr>
              <w:pStyle w:val="TableParagraph"/>
              <w:spacing w:before="113"/>
              <w:ind w:left="113"/>
              <w:rPr>
                <w:sz w:val="16"/>
              </w:rPr>
            </w:pPr>
            <w:r w:rsidRPr="00EB2BD8">
              <w:rPr>
                <w:spacing w:val="-2"/>
                <w:w w:val="85"/>
                <w:sz w:val="16"/>
              </w:rPr>
              <w:t>13/12/2022</w:t>
            </w:r>
          </w:p>
        </w:tc>
      </w:tr>
      <w:tr w:rsidR="00EB2BD8" w:rsidRPr="00EB2BD8" w14:paraId="50B8C90D" w14:textId="77777777">
        <w:trPr>
          <w:trHeight w:val="230"/>
        </w:trPr>
        <w:tc>
          <w:tcPr>
            <w:tcW w:w="1731" w:type="dxa"/>
          </w:tcPr>
          <w:p w14:paraId="0F7BA371" w14:textId="77777777" w:rsidR="00084F36" w:rsidRPr="00EB2BD8" w:rsidRDefault="00EB2BD8">
            <w:pPr>
              <w:pStyle w:val="TableParagraph"/>
              <w:spacing w:before="19"/>
              <w:ind w:left="113"/>
              <w:rPr>
                <w:sz w:val="16"/>
              </w:rPr>
            </w:pPr>
            <w:r w:rsidRPr="00EB2BD8">
              <w:rPr>
                <w:spacing w:val="-5"/>
                <w:w w:val="105"/>
                <w:sz w:val="16"/>
              </w:rPr>
              <w:t>Ltd</w:t>
            </w:r>
          </w:p>
        </w:tc>
        <w:tc>
          <w:tcPr>
            <w:tcW w:w="1485" w:type="dxa"/>
          </w:tcPr>
          <w:p w14:paraId="1539E717" w14:textId="77777777" w:rsidR="00084F36" w:rsidRPr="00EB2BD8" w:rsidRDefault="00084F36">
            <w:pPr>
              <w:pStyle w:val="TableParagraph"/>
              <w:rPr>
                <w:rFonts w:ascii="Times New Roman"/>
                <w:sz w:val="16"/>
              </w:rPr>
            </w:pPr>
          </w:p>
        </w:tc>
        <w:tc>
          <w:tcPr>
            <w:tcW w:w="2443" w:type="dxa"/>
          </w:tcPr>
          <w:p w14:paraId="69632A4E" w14:textId="77777777" w:rsidR="00084F36" w:rsidRPr="00EB2BD8" w:rsidRDefault="00EB2BD8">
            <w:pPr>
              <w:pStyle w:val="TableParagraph"/>
              <w:spacing w:before="19"/>
              <w:ind w:left="287"/>
              <w:rPr>
                <w:sz w:val="16"/>
              </w:rPr>
            </w:pPr>
            <w:r w:rsidRPr="00EB2BD8">
              <w:rPr>
                <w:sz w:val="16"/>
              </w:rPr>
              <w:t>mandatory</w:t>
            </w:r>
            <w:r w:rsidRPr="00EB2BD8">
              <w:rPr>
                <w:spacing w:val="14"/>
                <w:sz w:val="16"/>
              </w:rPr>
              <w:t xml:space="preserve"> </w:t>
            </w:r>
            <w:r w:rsidRPr="00EB2BD8">
              <w:rPr>
                <w:spacing w:val="-2"/>
                <w:sz w:val="16"/>
              </w:rPr>
              <w:t>stage</w:t>
            </w:r>
          </w:p>
        </w:tc>
        <w:tc>
          <w:tcPr>
            <w:tcW w:w="2288" w:type="dxa"/>
          </w:tcPr>
          <w:p w14:paraId="1C5AE115" w14:textId="77777777" w:rsidR="00084F36" w:rsidRPr="00EB2BD8" w:rsidRDefault="00EB2BD8">
            <w:pPr>
              <w:pStyle w:val="TableParagraph"/>
              <w:spacing w:before="19"/>
              <w:ind w:left="123"/>
              <w:rPr>
                <w:sz w:val="16"/>
              </w:rPr>
            </w:pPr>
            <w:r w:rsidRPr="00EB2BD8">
              <w:rPr>
                <w:spacing w:val="-4"/>
                <w:sz w:val="16"/>
              </w:rPr>
              <w:t>of</w:t>
            </w:r>
            <w:r w:rsidRPr="00EB2BD8">
              <w:rPr>
                <w:spacing w:val="-10"/>
                <w:sz w:val="16"/>
              </w:rPr>
              <w:t xml:space="preserve"> </w:t>
            </w:r>
            <w:r w:rsidRPr="00EB2BD8">
              <w:rPr>
                <w:spacing w:val="-2"/>
                <w:sz w:val="16"/>
              </w:rPr>
              <w:t>$2,000.</w:t>
            </w:r>
          </w:p>
        </w:tc>
        <w:tc>
          <w:tcPr>
            <w:tcW w:w="1078" w:type="dxa"/>
          </w:tcPr>
          <w:p w14:paraId="6579A7F0" w14:textId="77777777" w:rsidR="00084F36" w:rsidRPr="00EB2BD8" w:rsidRDefault="00084F36">
            <w:pPr>
              <w:pStyle w:val="TableParagraph"/>
              <w:rPr>
                <w:rFonts w:ascii="Times New Roman"/>
                <w:sz w:val="16"/>
              </w:rPr>
            </w:pPr>
          </w:p>
        </w:tc>
        <w:tc>
          <w:tcPr>
            <w:tcW w:w="1175" w:type="dxa"/>
          </w:tcPr>
          <w:p w14:paraId="072C7CB4" w14:textId="77777777" w:rsidR="00084F36" w:rsidRPr="00EB2BD8" w:rsidRDefault="00084F36">
            <w:pPr>
              <w:pStyle w:val="TableParagraph"/>
              <w:rPr>
                <w:rFonts w:ascii="Times New Roman"/>
                <w:sz w:val="16"/>
              </w:rPr>
            </w:pPr>
          </w:p>
        </w:tc>
      </w:tr>
      <w:tr w:rsidR="00EB2BD8" w:rsidRPr="00EB2BD8" w14:paraId="4C5DC102" w14:textId="77777777">
        <w:trPr>
          <w:trHeight w:val="229"/>
        </w:trPr>
        <w:tc>
          <w:tcPr>
            <w:tcW w:w="1731" w:type="dxa"/>
          </w:tcPr>
          <w:p w14:paraId="5C05D262" w14:textId="77777777" w:rsidR="00084F36" w:rsidRPr="00EB2BD8" w:rsidRDefault="00084F36">
            <w:pPr>
              <w:pStyle w:val="TableParagraph"/>
              <w:rPr>
                <w:rFonts w:ascii="Times New Roman"/>
                <w:sz w:val="16"/>
              </w:rPr>
            </w:pPr>
          </w:p>
        </w:tc>
        <w:tc>
          <w:tcPr>
            <w:tcW w:w="1485" w:type="dxa"/>
          </w:tcPr>
          <w:p w14:paraId="6664F18F" w14:textId="77777777" w:rsidR="00084F36" w:rsidRPr="00EB2BD8" w:rsidRDefault="00084F36">
            <w:pPr>
              <w:pStyle w:val="TableParagraph"/>
              <w:rPr>
                <w:rFonts w:ascii="Times New Roman"/>
                <w:sz w:val="16"/>
              </w:rPr>
            </w:pPr>
          </w:p>
        </w:tc>
        <w:tc>
          <w:tcPr>
            <w:tcW w:w="2443" w:type="dxa"/>
          </w:tcPr>
          <w:p w14:paraId="4993F3BC" w14:textId="77777777" w:rsidR="00084F36" w:rsidRPr="00EB2BD8" w:rsidRDefault="00EB2BD8">
            <w:pPr>
              <w:pStyle w:val="TableParagraph"/>
              <w:spacing w:before="19"/>
              <w:ind w:left="287"/>
              <w:rPr>
                <w:sz w:val="16"/>
              </w:rPr>
            </w:pPr>
            <w:r w:rsidRPr="00EB2BD8">
              <w:rPr>
                <w:sz w:val="16"/>
              </w:rPr>
              <w:t>inspection</w:t>
            </w:r>
            <w:r w:rsidRPr="00EB2BD8">
              <w:rPr>
                <w:spacing w:val="-11"/>
                <w:sz w:val="16"/>
              </w:rPr>
              <w:t xml:space="preserve"> </w:t>
            </w:r>
            <w:r w:rsidRPr="00EB2BD8">
              <w:rPr>
                <w:sz w:val="16"/>
              </w:rPr>
              <w:t>in</w:t>
            </w:r>
            <w:r w:rsidRPr="00EB2BD8">
              <w:rPr>
                <w:spacing w:val="-11"/>
                <w:sz w:val="16"/>
              </w:rPr>
              <w:t xml:space="preserve"> </w:t>
            </w:r>
            <w:r w:rsidRPr="00EB2BD8">
              <w:rPr>
                <w:sz w:val="16"/>
              </w:rPr>
              <w:t>respect</w:t>
            </w:r>
            <w:r w:rsidRPr="00EB2BD8">
              <w:rPr>
                <w:spacing w:val="-11"/>
                <w:sz w:val="16"/>
              </w:rPr>
              <w:t xml:space="preserve"> </w:t>
            </w:r>
            <w:r w:rsidRPr="00EB2BD8">
              <w:rPr>
                <w:spacing w:val="-5"/>
                <w:sz w:val="16"/>
              </w:rPr>
              <w:t>of</w:t>
            </w:r>
          </w:p>
        </w:tc>
        <w:tc>
          <w:tcPr>
            <w:tcW w:w="2288" w:type="dxa"/>
          </w:tcPr>
          <w:p w14:paraId="4BFA45A5" w14:textId="77777777" w:rsidR="00084F36" w:rsidRPr="00EB2BD8" w:rsidRDefault="00084F36">
            <w:pPr>
              <w:pStyle w:val="TableParagraph"/>
              <w:rPr>
                <w:rFonts w:ascii="Times New Roman"/>
                <w:sz w:val="16"/>
              </w:rPr>
            </w:pPr>
          </w:p>
        </w:tc>
        <w:tc>
          <w:tcPr>
            <w:tcW w:w="1078" w:type="dxa"/>
          </w:tcPr>
          <w:p w14:paraId="5B4E9651" w14:textId="77777777" w:rsidR="00084F36" w:rsidRPr="00EB2BD8" w:rsidRDefault="00084F36">
            <w:pPr>
              <w:pStyle w:val="TableParagraph"/>
              <w:rPr>
                <w:rFonts w:ascii="Times New Roman"/>
                <w:sz w:val="16"/>
              </w:rPr>
            </w:pPr>
          </w:p>
        </w:tc>
        <w:tc>
          <w:tcPr>
            <w:tcW w:w="1175" w:type="dxa"/>
          </w:tcPr>
          <w:p w14:paraId="70E99749" w14:textId="77777777" w:rsidR="00084F36" w:rsidRPr="00EB2BD8" w:rsidRDefault="00084F36">
            <w:pPr>
              <w:pStyle w:val="TableParagraph"/>
              <w:rPr>
                <w:rFonts w:ascii="Times New Roman"/>
                <w:sz w:val="16"/>
              </w:rPr>
            </w:pPr>
          </w:p>
        </w:tc>
      </w:tr>
      <w:tr w:rsidR="00EB2BD8" w:rsidRPr="00EB2BD8" w14:paraId="1F3E62BB" w14:textId="77777777">
        <w:trPr>
          <w:trHeight w:val="229"/>
        </w:trPr>
        <w:tc>
          <w:tcPr>
            <w:tcW w:w="1731" w:type="dxa"/>
          </w:tcPr>
          <w:p w14:paraId="43C23C5F" w14:textId="77777777" w:rsidR="00084F36" w:rsidRPr="00EB2BD8" w:rsidRDefault="00084F36">
            <w:pPr>
              <w:pStyle w:val="TableParagraph"/>
              <w:rPr>
                <w:rFonts w:ascii="Times New Roman"/>
                <w:sz w:val="16"/>
              </w:rPr>
            </w:pPr>
          </w:p>
        </w:tc>
        <w:tc>
          <w:tcPr>
            <w:tcW w:w="1485" w:type="dxa"/>
          </w:tcPr>
          <w:p w14:paraId="0D92EFC4" w14:textId="77777777" w:rsidR="00084F36" w:rsidRPr="00EB2BD8" w:rsidRDefault="00084F36">
            <w:pPr>
              <w:pStyle w:val="TableParagraph"/>
              <w:rPr>
                <w:rFonts w:ascii="Times New Roman"/>
                <w:sz w:val="16"/>
              </w:rPr>
            </w:pPr>
          </w:p>
        </w:tc>
        <w:tc>
          <w:tcPr>
            <w:tcW w:w="2443" w:type="dxa"/>
          </w:tcPr>
          <w:p w14:paraId="5904F137" w14:textId="77777777" w:rsidR="00084F36" w:rsidRPr="00EB2BD8" w:rsidRDefault="00EB2BD8">
            <w:pPr>
              <w:pStyle w:val="TableParagraph"/>
              <w:spacing w:before="19"/>
              <w:ind w:left="287"/>
              <w:rPr>
                <w:sz w:val="16"/>
              </w:rPr>
            </w:pPr>
            <w:r w:rsidRPr="00EB2BD8">
              <w:rPr>
                <w:spacing w:val="-2"/>
                <w:sz w:val="16"/>
              </w:rPr>
              <w:t>building</w:t>
            </w:r>
            <w:r w:rsidRPr="00EB2BD8">
              <w:rPr>
                <w:spacing w:val="-7"/>
                <w:sz w:val="16"/>
              </w:rPr>
              <w:t xml:space="preserve"> </w:t>
            </w:r>
            <w:r w:rsidRPr="00EB2BD8">
              <w:rPr>
                <w:spacing w:val="-2"/>
                <w:sz w:val="16"/>
              </w:rPr>
              <w:t>work</w:t>
            </w:r>
            <w:r w:rsidRPr="00EB2BD8">
              <w:rPr>
                <w:spacing w:val="-6"/>
                <w:sz w:val="16"/>
              </w:rPr>
              <w:t xml:space="preserve"> </w:t>
            </w:r>
            <w:r w:rsidRPr="00EB2BD8">
              <w:rPr>
                <w:spacing w:val="-2"/>
                <w:sz w:val="16"/>
              </w:rPr>
              <w:t>at</w:t>
            </w:r>
            <w:r w:rsidRPr="00EB2BD8">
              <w:rPr>
                <w:spacing w:val="-6"/>
                <w:sz w:val="16"/>
              </w:rPr>
              <w:t xml:space="preserve"> </w:t>
            </w:r>
            <w:r w:rsidRPr="00EB2BD8">
              <w:rPr>
                <w:spacing w:val="-2"/>
                <w:sz w:val="16"/>
              </w:rPr>
              <w:t>a</w:t>
            </w:r>
            <w:r w:rsidRPr="00EB2BD8">
              <w:rPr>
                <w:spacing w:val="-6"/>
                <w:sz w:val="16"/>
              </w:rPr>
              <w:t xml:space="preserve"> </w:t>
            </w:r>
            <w:r w:rsidRPr="00EB2BD8">
              <w:rPr>
                <w:spacing w:val="-2"/>
                <w:sz w:val="16"/>
              </w:rPr>
              <w:t>site</w:t>
            </w:r>
            <w:r w:rsidRPr="00EB2BD8">
              <w:rPr>
                <w:spacing w:val="-6"/>
                <w:sz w:val="16"/>
              </w:rPr>
              <w:t xml:space="preserve"> </w:t>
            </w:r>
            <w:r w:rsidRPr="00EB2BD8">
              <w:rPr>
                <w:spacing w:val="-5"/>
                <w:sz w:val="16"/>
              </w:rPr>
              <w:t>in</w:t>
            </w:r>
          </w:p>
        </w:tc>
        <w:tc>
          <w:tcPr>
            <w:tcW w:w="2288" w:type="dxa"/>
          </w:tcPr>
          <w:p w14:paraId="2DA6C1F8" w14:textId="77777777" w:rsidR="00084F36" w:rsidRPr="00EB2BD8" w:rsidRDefault="00084F36">
            <w:pPr>
              <w:pStyle w:val="TableParagraph"/>
              <w:rPr>
                <w:rFonts w:ascii="Times New Roman"/>
                <w:sz w:val="16"/>
              </w:rPr>
            </w:pPr>
          </w:p>
        </w:tc>
        <w:tc>
          <w:tcPr>
            <w:tcW w:w="1078" w:type="dxa"/>
          </w:tcPr>
          <w:p w14:paraId="716C0BA7" w14:textId="77777777" w:rsidR="00084F36" w:rsidRPr="00EB2BD8" w:rsidRDefault="00084F36">
            <w:pPr>
              <w:pStyle w:val="TableParagraph"/>
              <w:rPr>
                <w:rFonts w:ascii="Times New Roman"/>
                <w:sz w:val="16"/>
              </w:rPr>
            </w:pPr>
          </w:p>
        </w:tc>
        <w:tc>
          <w:tcPr>
            <w:tcW w:w="1175" w:type="dxa"/>
          </w:tcPr>
          <w:p w14:paraId="5907E739" w14:textId="77777777" w:rsidR="00084F36" w:rsidRPr="00EB2BD8" w:rsidRDefault="00084F36">
            <w:pPr>
              <w:pStyle w:val="TableParagraph"/>
              <w:rPr>
                <w:rFonts w:ascii="Times New Roman"/>
                <w:sz w:val="16"/>
              </w:rPr>
            </w:pPr>
          </w:p>
        </w:tc>
      </w:tr>
      <w:tr w:rsidR="00EB2BD8" w:rsidRPr="00EB2BD8" w14:paraId="6645D434" w14:textId="77777777">
        <w:trPr>
          <w:trHeight w:val="287"/>
        </w:trPr>
        <w:tc>
          <w:tcPr>
            <w:tcW w:w="1731" w:type="dxa"/>
            <w:tcBorders>
              <w:bottom w:val="single" w:sz="2" w:space="0" w:color="000000"/>
            </w:tcBorders>
          </w:tcPr>
          <w:p w14:paraId="375E5E6D" w14:textId="77777777" w:rsidR="00084F36" w:rsidRPr="00EB2BD8" w:rsidRDefault="00084F36">
            <w:pPr>
              <w:pStyle w:val="TableParagraph"/>
              <w:rPr>
                <w:rFonts w:ascii="Times New Roman"/>
                <w:sz w:val="16"/>
              </w:rPr>
            </w:pPr>
          </w:p>
        </w:tc>
        <w:tc>
          <w:tcPr>
            <w:tcW w:w="1485" w:type="dxa"/>
            <w:tcBorders>
              <w:bottom w:val="single" w:sz="2" w:space="0" w:color="000000"/>
            </w:tcBorders>
          </w:tcPr>
          <w:p w14:paraId="3A5941CE" w14:textId="77777777" w:rsidR="00084F36" w:rsidRPr="00EB2BD8" w:rsidRDefault="00084F36">
            <w:pPr>
              <w:pStyle w:val="TableParagraph"/>
              <w:rPr>
                <w:rFonts w:ascii="Times New Roman"/>
                <w:sz w:val="16"/>
              </w:rPr>
            </w:pPr>
          </w:p>
        </w:tc>
        <w:tc>
          <w:tcPr>
            <w:tcW w:w="2443" w:type="dxa"/>
            <w:tcBorders>
              <w:bottom w:val="single" w:sz="2" w:space="0" w:color="000000"/>
            </w:tcBorders>
          </w:tcPr>
          <w:p w14:paraId="0D3E5D3F" w14:textId="77777777" w:rsidR="00084F36" w:rsidRPr="00EB2BD8" w:rsidRDefault="00EB2BD8">
            <w:pPr>
              <w:pStyle w:val="TableParagraph"/>
              <w:spacing w:before="19"/>
              <w:ind w:left="287"/>
              <w:rPr>
                <w:sz w:val="16"/>
              </w:rPr>
            </w:pPr>
            <w:r w:rsidRPr="00EB2BD8">
              <w:rPr>
                <w:w w:val="105"/>
                <w:sz w:val="16"/>
              </w:rPr>
              <w:t>Ocean</w:t>
            </w:r>
            <w:r w:rsidRPr="00EB2BD8">
              <w:rPr>
                <w:spacing w:val="-9"/>
                <w:w w:val="105"/>
                <w:sz w:val="16"/>
              </w:rPr>
              <w:t xml:space="preserve"> </w:t>
            </w:r>
            <w:r w:rsidRPr="00EB2BD8">
              <w:rPr>
                <w:spacing w:val="-2"/>
                <w:w w:val="105"/>
                <w:sz w:val="16"/>
              </w:rPr>
              <w:t>Grove.</w:t>
            </w:r>
          </w:p>
        </w:tc>
        <w:tc>
          <w:tcPr>
            <w:tcW w:w="2288" w:type="dxa"/>
            <w:tcBorders>
              <w:bottom w:val="single" w:sz="2" w:space="0" w:color="000000"/>
            </w:tcBorders>
          </w:tcPr>
          <w:p w14:paraId="2C8BF276"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0FE151AB"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5206B475" w14:textId="77777777" w:rsidR="00084F36" w:rsidRPr="00EB2BD8" w:rsidRDefault="00084F36">
            <w:pPr>
              <w:pStyle w:val="TableParagraph"/>
              <w:rPr>
                <w:rFonts w:ascii="Times New Roman"/>
                <w:sz w:val="16"/>
              </w:rPr>
            </w:pPr>
          </w:p>
        </w:tc>
      </w:tr>
      <w:tr w:rsidR="00EB2BD8" w:rsidRPr="00EB2BD8" w14:paraId="48329166" w14:textId="77777777">
        <w:trPr>
          <w:trHeight w:val="323"/>
        </w:trPr>
        <w:tc>
          <w:tcPr>
            <w:tcW w:w="1731" w:type="dxa"/>
            <w:tcBorders>
              <w:top w:val="single" w:sz="2" w:space="0" w:color="000000"/>
            </w:tcBorders>
          </w:tcPr>
          <w:p w14:paraId="1FEAB7B8" w14:textId="77777777" w:rsidR="00084F36" w:rsidRPr="00EB2BD8" w:rsidRDefault="00EB2BD8">
            <w:pPr>
              <w:pStyle w:val="TableParagraph"/>
              <w:spacing w:before="113"/>
              <w:ind w:left="113"/>
              <w:rPr>
                <w:sz w:val="16"/>
              </w:rPr>
            </w:pPr>
            <w:r w:rsidRPr="00EB2BD8">
              <w:rPr>
                <w:spacing w:val="-2"/>
                <w:sz w:val="16"/>
              </w:rPr>
              <w:t>Independent</w:t>
            </w:r>
          </w:p>
        </w:tc>
        <w:tc>
          <w:tcPr>
            <w:tcW w:w="1485" w:type="dxa"/>
            <w:tcBorders>
              <w:top w:val="single" w:sz="2" w:space="0" w:color="000000"/>
            </w:tcBorders>
          </w:tcPr>
          <w:p w14:paraId="0A96C5BE" w14:textId="77777777" w:rsidR="00084F36" w:rsidRPr="00EB2BD8" w:rsidRDefault="00EB2BD8">
            <w:pPr>
              <w:pStyle w:val="TableParagraph"/>
              <w:spacing w:before="113"/>
              <w:ind w:left="139"/>
              <w:rPr>
                <w:sz w:val="16"/>
              </w:rPr>
            </w:pPr>
            <w:r w:rsidRPr="00EB2BD8">
              <w:rPr>
                <w:w w:val="105"/>
                <w:sz w:val="16"/>
              </w:rPr>
              <w:t>CBD-M</w:t>
            </w:r>
            <w:r w:rsidRPr="00EB2BD8">
              <w:rPr>
                <w:spacing w:val="-9"/>
                <w:w w:val="105"/>
                <w:sz w:val="16"/>
              </w:rPr>
              <w:t xml:space="preserve"> </w:t>
            </w:r>
            <w:r w:rsidRPr="00EB2BD8">
              <w:rPr>
                <w:spacing w:val="-2"/>
                <w:w w:val="105"/>
                <w:sz w:val="16"/>
              </w:rPr>
              <w:t>60974</w:t>
            </w:r>
          </w:p>
        </w:tc>
        <w:tc>
          <w:tcPr>
            <w:tcW w:w="2443" w:type="dxa"/>
            <w:tcBorders>
              <w:top w:val="single" w:sz="2" w:space="0" w:color="000000"/>
            </w:tcBorders>
          </w:tcPr>
          <w:p w14:paraId="552CD0D4" w14:textId="77777777" w:rsidR="00084F36" w:rsidRPr="00EB2BD8" w:rsidRDefault="00EB2BD8">
            <w:pPr>
              <w:pStyle w:val="TableParagraph"/>
              <w:spacing w:before="113"/>
              <w:ind w:left="287"/>
              <w:rPr>
                <w:sz w:val="16"/>
              </w:rPr>
            </w:pPr>
            <w:r w:rsidRPr="00EB2BD8">
              <w:rPr>
                <w:spacing w:val="-2"/>
                <w:sz w:val="16"/>
              </w:rPr>
              <w:t>Failing</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call</w:t>
            </w:r>
            <w:r w:rsidRPr="00EB2BD8">
              <w:rPr>
                <w:spacing w:val="-7"/>
                <w:sz w:val="16"/>
              </w:rPr>
              <w:t xml:space="preserve"> </w:t>
            </w:r>
            <w:r w:rsidRPr="00EB2BD8">
              <w:rPr>
                <w:spacing w:val="-2"/>
                <w:sz w:val="16"/>
              </w:rPr>
              <w:t>for</w:t>
            </w:r>
            <w:r w:rsidRPr="00EB2BD8">
              <w:rPr>
                <w:spacing w:val="-8"/>
                <w:sz w:val="16"/>
              </w:rPr>
              <w:t xml:space="preserve"> </w:t>
            </w:r>
            <w:r w:rsidRPr="00EB2BD8">
              <w:rPr>
                <w:spacing w:val="-12"/>
                <w:sz w:val="16"/>
              </w:rPr>
              <w:t>a</w:t>
            </w:r>
          </w:p>
        </w:tc>
        <w:tc>
          <w:tcPr>
            <w:tcW w:w="2288" w:type="dxa"/>
            <w:tcBorders>
              <w:top w:val="single" w:sz="2" w:space="0" w:color="000000"/>
            </w:tcBorders>
          </w:tcPr>
          <w:p w14:paraId="335447CF" w14:textId="77777777" w:rsidR="00084F36" w:rsidRPr="00EB2BD8" w:rsidRDefault="00EB2BD8">
            <w:pPr>
              <w:pStyle w:val="TableParagraph"/>
              <w:spacing w:before="113"/>
              <w:ind w:left="123"/>
              <w:rPr>
                <w:sz w:val="16"/>
              </w:rPr>
            </w:pPr>
            <w:r w:rsidRPr="00EB2BD8">
              <w:rPr>
                <w:sz w:val="16"/>
              </w:rPr>
              <w:t>Reprimand</w:t>
            </w:r>
            <w:r w:rsidRPr="00EB2BD8">
              <w:rPr>
                <w:spacing w:val="3"/>
                <w:sz w:val="16"/>
              </w:rPr>
              <w:t xml:space="preserve"> </w:t>
            </w:r>
            <w:r w:rsidRPr="00EB2BD8">
              <w:rPr>
                <w:sz w:val="16"/>
              </w:rPr>
              <w:t>and</w:t>
            </w:r>
            <w:r w:rsidRPr="00EB2BD8">
              <w:rPr>
                <w:spacing w:val="4"/>
                <w:sz w:val="16"/>
              </w:rPr>
              <w:t xml:space="preserve"> </w:t>
            </w:r>
            <w:r w:rsidRPr="00EB2BD8">
              <w:rPr>
                <w:sz w:val="16"/>
              </w:rPr>
              <w:t>a</w:t>
            </w:r>
            <w:r w:rsidRPr="00EB2BD8">
              <w:rPr>
                <w:spacing w:val="3"/>
                <w:sz w:val="16"/>
              </w:rPr>
              <w:t xml:space="preserve"> </w:t>
            </w:r>
            <w:r w:rsidRPr="00EB2BD8">
              <w:rPr>
                <w:spacing w:val="-2"/>
                <w:sz w:val="16"/>
              </w:rPr>
              <w:t>penalty</w:t>
            </w:r>
          </w:p>
        </w:tc>
        <w:tc>
          <w:tcPr>
            <w:tcW w:w="1078" w:type="dxa"/>
            <w:tcBorders>
              <w:top w:val="single" w:sz="2" w:space="0" w:color="000000"/>
            </w:tcBorders>
          </w:tcPr>
          <w:p w14:paraId="43538E2A" w14:textId="77777777" w:rsidR="00084F36" w:rsidRPr="00EB2BD8" w:rsidRDefault="00EB2BD8">
            <w:pPr>
              <w:pStyle w:val="TableParagraph"/>
              <w:spacing w:before="113"/>
              <w:ind w:right="111"/>
              <w:jc w:val="right"/>
              <w:rPr>
                <w:sz w:val="16"/>
              </w:rPr>
            </w:pPr>
            <w:r w:rsidRPr="00EB2BD8">
              <w:rPr>
                <w:spacing w:val="-2"/>
                <w:sz w:val="16"/>
              </w:rPr>
              <w:t>$2,500</w:t>
            </w:r>
          </w:p>
        </w:tc>
        <w:tc>
          <w:tcPr>
            <w:tcW w:w="1175" w:type="dxa"/>
            <w:tcBorders>
              <w:top w:val="single" w:sz="2" w:space="0" w:color="000000"/>
            </w:tcBorders>
          </w:tcPr>
          <w:p w14:paraId="7781C369" w14:textId="77777777" w:rsidR="00084F36" w:rsidRPr="00EB2BD8" w:rsidRDefault="00EB2BD8">
            <w:pPr>
              <w:pStyle w:val="TableParagraph"/>
              <w:spacing w:before="113"/>
              <w:ind w:left="113"/>
              <w:rPr>
                <w:sz w:val="16"/>
              </w:rPr>
            </w:pPr>
            <w:r w:rsidRPr="00EB2BD8">
              <w:rPr>
                <w:spacing w:val="-2"/>
                <w:w w:val="90"/>
                <w:sz w:val="16"/>
              </w:rPr>
              <w:t>20/12/2022</w:t>
            </w:r>
          </w:p>
        </w:tc>
      </w:tr>
      <w:tr w:rsidR="00EB2BD8" w:rsidRPr="00EB2BD8" w14:paraId="0718BEA5" w14:textId="77777777">
        <w:trPr>
          <w:trHeight w:val="230"/>
        </w:trPr>
        <w:tc>
          <w:tcPr>
            <w:tcW w:w="1731" w:type="dxa"/>
          </w:tcPr>
          <w:p w14:paraId="5700D271" w14:textId="77777777" w:rsidR="00084F36" w:rsidRPr="00EB2BD8" w:rsidRDefault="00EB2BD8">
            <w:pPr>
              <w:pStyle w:val="TableParagraph"/>
              <w:spacing w:before="19"/>
              <w:ind w:left="113"/>
              <w:rPr>
                <w:sz w:val="16"/>
              </w:rPr>
            </w:pPr>
            <w:r w:rsidRPr="00EB2BD8">
              <w:rPr>
                <w:spacing w:val="-2"/>
                <w:sz w:val="16"/>
              </w:rPr>
              <w:t>Demolition</w:t>
            </w:r>
            <w:r w:rsidRPr="00EB2BD8">
              <w:rPr>
                <w:spacing w:val="-3"/>
                <w:sz w:val="16"/>
              </w:rPr>
              <w:t xml:space="preserve"> </w:t>
            </w:r>
            <w:r w:rsidRPr="00EB2BD8">
              <w:rPr>
                <w:spacing w:val="-2"/>
                <w:sz w:val="16"/>
              </w:rPr>
              <w:t xml:space="preserve">Pty </w:t>
            </w:r>
            <w:r w:rsidRPr="00EB2BD8">
              <w:rPr>
                <w:spacing w:val="-5"/>
                <w:sz w:val="16"/>
              </w:rPr>
              <w:t>Ltd</w:t>
            </w:r>
          </w:p>
        </w:tc>
        <w:tc>
          <w:tcPr>
            <w:tcW w:w="1485" w:type="dxa"/>
          </w:tcPr>
          <w:p w14:paraId="55961177" w14:textId="77777777" w:rsidR="00084F36" w:rsidRPr="00EB2BD8" w:rsidRDefault="00084F36">
            <w:pPr>
              <w:pStyle w:val="TableParagraph"/>
              <w:rPr>
                <w:rFonts w:ascii="Times New Roman"/>
                <w:sz w:val="16"/>
              </w:rPr>
            </w:pPr>
          </w:p>
        </w:tc>
        <w:tc>
          <w:tcPr>
            <w:tcW w:w="2443" w:type="dxa"/>
          </w:tcPr>
          <w:p w14:paraId="7928E8F4" w14:textId="77777777" w:rsidR="00084F36" w:rsidRPr="00EB2BD8" w:rsidRDefault="00EB2BD8">
            <w:pPr>
              <w:pStyle w:val="TableParagraph"/>
              <w:spacing w:before="19"/>
              <w:ind w:left="287"/>
              <w:rPr>
                <w:sz w:val="16"/>
              </w:rPr>
            </w:pPr>
            <w:r w:rsidRPr="00EB2BD8">
              <w:rPr>
                <w:sz w:val="16"/>
              </w:rPr>
              <w:t>mandatory</w:t>
            </w:r>
            <w:r w:rsidRPr="00EB2BD8">
              <w:rPr>
                <w:spacing w:val="14"/>
                <w:sz w:val="16"/>
              </w:rPr>
              <w:t xml:space="preserve"> </w:t>
            </w:r>
            <w:r w:rsidRPr="00EB2BD8">
              <w:rPr>
                <w:spacing w:val="-2"/>
                <w:sz w:val="16"/>
              </w:rPr>
              <w:t>stage</w:t>
            </w:r>
          </w:p>
        </w:tc>
        <w:tc>
          <w:tcPr>
            <w:tcW w:w="2288" w:type="dxa"/>
          </w:tcPr>
          <w:p w14:paraId="317DD9F8" w14:textId="77777777" w:rsidR="00084F36" w:rsidRPr="00EB2BD8" w:rsidRDefault="00EB2BD8">
            <w:pPr>
              <w:pStyle w:val="TableParagraph"/>
              <w:spacing w:before="19"/>
              <w:ind w:left="123"/>
              <w:rPr>
                <w:sz w:val="16"/>
              </w:rPr>
            </w:pPr>
            <w:r w:rsidRPr="00EB2BD8">
              <w:rPr>
                <w:spacing w:val="-4"/>
                <w:sz w:val="16"/>
              </w:rPr>
              <w:t>of</w:t>
            </w:r>
            <w:r w:rsidRPr="00EB2BD8">
              <w:rPr>
                <w:spacing w:val="-10"/>
                <w:sz w:val="16"/>
              </w:rPr>
              <w:t xml:space="preserve"> </w:t>
            </w:r>
            <w:r w:rsidRPr="00EB2BD8">
              <w:rPr>
                <w:spacing w:val="-2"/>
                <w:sz w:val="16"/>
              </w:rPr>
              <w:t>$2,500.</w:t>
            </w:r>
          </w:p>
        </w:tc>
        <w:tc>
          <w:tcPr>
            <w:tcW w:w="1078" w:type="dxa"/>
          </w:tcPr>
          <w:p w14:paraId="441FC65A" w14:textId="77777777" w:rsidR="00084F36" w:rsidRPr="00EB2BD8" w:rsidRDefault="00084F36">
            <w:pPr>
              <w:pStyle w:val="TableParagraph"/>
              <w:rPr>
                <w:rFonts w:ascii="Times New Roman"/>
                <w:sz w:val="16"/>
              </w:rPr>
            </w:pPr>
          </w:p>
        </w:tc>
        <w:tc>
          <w:tcPr>
            <w:tcW w:w="1175" w:type="dxa"/>
          </w:tcPr>
          <w:p w14:paraId="12093A92" w14:textId="77777777" w:rsidR="00084F36" w:rsidRPr="00EB2BD8" w:rsidRDefault="00084F36">
            <w:pPr>
              <w:pStyle w:val="TableParagraph"/>
              <w:rPr>
                <w:rFonts w:ascii="Times New Roman"/>
                <w:sz w:val="16"/>
              </w:rPr>
            </w:pPr>
          </w:p>
        </w:tc>
      </w:tr>
      <w:tr w:rsidR="00EB2BD8" w:rsidRPr="00EB2BD8" w14:paraId="5A101379" w14:textId="77777777">
        <w:trPr>
          <w:trHeight w:val="229"/>
        </w:trPr>
        <w:tc>
          <w:tcPr>
            <w:tcW w:w="1731" w:type="dxa"/>
          </w:tcPr>
          <w:p w14:paraId="5B567DFB" w14:textId="77777777" w:rsidR="00084F36" w:rsidRPr="00EB2BD8" w:rsidRDefault="00084F36">
            <w:pPr>
              <w:pStyle w:val="TableParagraph"/>
              <w:rPr>
                <w:rFonts w:ascii="Times New Roman"/>
                <w:sz w:val="16"/>
              </w:rPr>
            </w:pPr>
          </w:p>
        </w:tc>
        <w:tc>
          <w:tcPr>
            <w:tcW w:w="1485" w:type="dxa"/>
          </w:tcPr>
          <w:p w14:paraId="202BEF4F" w14:textId="77777777" w:rsidR="00084F36" w:rsidRPr="00EB2BD8" w:rsidRDefault="00084F36">
            <w:pPr>
              <w:pStyle w:val="TableParagraph"/>
              <w:rPr>
                <w:rFonts w:ascii="Times New Roman"/>
                <w:sz w:val="16"/>
              </w:rPr>
            </w:pPr>
          </w:p>
        </w:tc>
        <w:tc>
          <w:tcPr>
            <w:tcW w:w="2443" w:type="dxa"/>
          </w:tcPr>
          <w:p w14:paraId="50887D78" w14:textId="77777777" w:rsidR="00084F36" w:rsidRPr="00EB2BD8" w:rsidRDefault="00EB2BD8">
            <w:pPr>
              <w:pStyle w:val="TableParagraph"/>
              <w:spacing w:before="19"/>
              <w:ind w:left="287"/>
              <w:rPr>
                <w:sz w:val="16"/>
              </w:rPr>
            </w:pPr>
            <w:r w:rsidRPr="00EB2BD8">
              <w:rPr>
                <w:sz w:val="16"/>
              </w:rPr>
              <w:t>inspection</w:t>
            </w:r>
            <w:r w:rsidRPr="00EB2BD8">
              <w:rPr>
                <w:spacing w:val="-11"/>
                <w:sz w:val="16"/>
              </w:rPr>
              <w:t xml:space="preserve"> </w:t>
            </w:r>
            <w:r w:rsidRPr="00EB2BD8">
              <w:rPr>
                <w:sz w:val="16"/>
              </w:rPr>
              <w:t>in</w:t>
            </w:r>
            <w:r w:rsidRPr="00EB2BD8">
              <w:rPr>
                <w:spacing w:val="-11"/>
                <w:sz w:val="16"/>
              </w:rPr>
              <w:t xml:space="preserve"> </w:t>
            </w:r>
            <w:r w:rsidRPr="00EB2BD8">
              <w:rPr>
                <w:sz w:val="16"/>
              </w:rPr>
              <w:t>respect</w:t>
            </w:r>
            <w:r w:rsidRPr="00EB2BD8">
              <w:rPr>
                <w:spacing w:val="-11"/>
                <w:sz w:val="16"/>
              </w:rPr>
              <w:t xml:space="preserve"> </w:t>
            </w:r>
            <w:r w:rsidRPr="00EB2BD8">
              <w:rPr>
                <w:spacing w:val="-5"/>
                <w:sz w:val="16"/>
              </w:rPr>
              <w:t>of</w:t>
            </w:r>
          </w:p>
        </w:tc>
        <w:tc>
          <w:tcPr>
            <w:tcW w:w="2288" w:type="dxa"/>
          </w:tcPr>
          <w:p w14:paraId="1F424148" w14:textId="77777777" w:rsidR="00084F36" w:rsidRPr="00EB2BD8" w:rsidRDefault="00084F36">
            <w:pPr>
              <w:pStyle w:val="TableParagraph"/>
              <w:rPr>
                <w:rFonts w:ascii="Times New Roman"/>
                <w:sz w:val="16"/>
              </w:rPr>
            </w:pPr>
          </w:p>
        </w:tc>
        <w:tc>
          <w:tcPr>
            <w:tcW w:w="1078" w:type="dxa"/>
          </w:tcPr>
          <w:p w14:paraId="4BCF3515" w14:textId="77777777" w:rsidR="00084F36" w:rsidRPr="00EB2BD8" w:rsidRDefault="00084F36">
            <w:pPr>
              <w:pStyle w:val="TableParagraph"/>
              <w:rPr>
                <w:rFonts w:ascii="Times New Roman"/>
                <w:sz w:val="16"/>
              </w:rPr>
            </w:pPr>
          </w:p>
        </w:tc>
        <w:tc>
          <w:tcPr>
            <w:tcW w:w="1175" w:type="dxa"/>
          </w:tcPr>
          <w:p w14:paraId="67343CDF" w14:textId="77777777" w:rsidR="00084F36" w:rsidRPr="00EB2BD8" w:rsidRDefault="00084F36">
            <w:pPr>
              <w:pStyle w:val="TableParagraph"/>
              <w:rPr>
                <w:rFonts w:ascii="Times New Roman"/>
                <w:sz w:val="16"/>
              </w:rPr>
            </w:pPr>
          </w:p>
        </w:tc>
      </w:tr>
      <w:tr w:rsidR="00EB2BD8" w:rsidRPr="00EB2BD8" w14:paraId="4C9C5978" w14:textId="77777777">
        <w:trPr>
          <w:trHeight w:val="229"/>
        </w:trPr>
        <w:tc>
          <w:tcPr>
            <w:tcW w:w="1731" w:type="dxa"/>
          </w:tcPr>
          <w:p w14:paraId="35C7E857" w14:textId="77777777" w:rsidR="00084F36" w:rsidRPr="00EB2BD8" w:rsidRDefault="00084F36">
            <w:pPr>
              <w:pStyle w:val="TableParagraph"/>
              <w:rPr>
                <w:rFonts w:ascii="Times New Roman"/>
                <w:sz w:val="16"/>
              </w:rPr>
            </w:pPr>
          </w:p>
        </w:tc>
        <w:tc>
          <w:tcPr>
            <w:tcW w:w="1485" w:type="dxa"/>
          </w:tcPr>
          <w:p w14:paraId="51293436" w14:textId="77777777" w:rsidR="00084F36" w:rsidRPr="00EB2BD8" w:rsidRDefault="00084F36">
            <w:pPr>
              <w:pStyle w:val="TableParagraph"/>
              <w:rPr>
                <w:rFonts w:ascii="Times New Roman"/>
                <w:sz w:val="16"/>
              </w:rPr>
            </w:pPr>
          </w:p>
        </w:tc>
        <w:tc>
          <w:tcPr>
            <w:tcW w:w="2443" w:type="dxa"/>
          </w:tcPr>
          <w:p w14:paraId="34C4D6F5" w14:textId="77777777" w:rsidR="00084F36" w:rsidRPr="00EB2BD8" w:rsidRDefault="00EB2BD8">
            <w:pPr>
              <w:pStyle w:val="TableParagraph"/>
              <w:spacing w:before="19"/>
              <w:ind w:left="287"/>
              <w:rPr>
                <w:sz w:val="16"/>
              </w:rPr>
            </w:pPr>
            <w:r w:rsidRPr="00EB2BD8">
              <w:rPr>
                <w:spacing w:val="-2"/>
                <w:sz w:val="16"/>
              </w:rPr>
              <w:t>demolition</w:t>
            </w:r>
            <w:r w:rsidRPr="00EB2BD8">
              <w:rPr>
                <w:spacing w:val="-8"/>
                <w:sz w:val="16"/>
              </w:rPr>
              <w:t xml:space="preserve"> </w:t>
            </w:r>
            <w:r w:rsidRPr="00EB2BD8">
              <w:rPr>
                <w:spacing w:val="-2"/>
                <w:sz w:val="16"/>
              </w:rPr>
              <w:t>work</w:t>
            </w:r>
            <w:r w:rsidRPr="00EB2BD8">
              <w:rPr>
                <w:spacing w:val="-8"/>
                <w:sz w:val="16"/>
              </w:rPr>
              <w:t xml:space="preserve"> </w:t>
            </w:r>
            <w:r w:rsidRPr="00EB2BD8">
              <w:rPr>
                <w:spacing w:val="-2"/>
                <w:sz w:val="16"/>
              </w:rPr>
              <w:t>at</w:t>
            </w:r>
            <w:r w:rsidRPr="00EB2BD8">
              <w:rPr>
                <w:spacing w:val="-8"/>
                <w:sz w:val="16"/>
              </w:rPr>
              <w:t xml:space="preserve"> </w:t>
            </w:r>
            <w:r w:rsidRPr="00EB2BD8">
              <w:rPr>
                <w:spacing w:val="-2"/>
                <w:sz w:val="16"/>
              </w:rPr>
              <w:t>Pascoe</w:t>
            </w:r>
          </w:p>
        </w:tc>
        <w:tc>
          <w:tcPr>
            <w:tcW w:w="2288" w:type="dxa"/>
          </w:tcPr>
          <w:p w14:paraId="7E773896" w14:textId="77777777" w:rsidR="00084F36" w:rsidRPr="00EB2BD8" w:rsidRDefault="00084F36">
            <w:pPr>
              <w:pStyle w:val="TableParagraph"/>
              <w:rPr>
                <w:rFonts w:ascii="Times New Roman"/>
                <w:sz w:val="16"/>
              </w:rPr>
            </w:pPr>
          </w:p>
        </w:tc>
        <w:tc>
          <w:tcPr>
            <w:tcW w:w="1078" w:type="dxa"/>
          </w:tcPr>
          <w:p w14:paraId="3EC2CC8D" w14:textId="77777777" w:rsidR="00084F36" w:rsidRPr="00EB2BD8" w:rsidRDefault="00084F36">
            <w:pPr>
              <w:pStyle w:val="TableParagraph"/>
              <w:rPr>
                <w:rFonts w:ascii="Times New Roman"/>
                <w:sz w:val="16"/>
              </w:rPr>
            </w:pPr>
          </w:p>
        </w:tc>
        <w:tc>
          <w:tcPr>
            <w:tcW w:w="1175" w:type="dxa"/>
          </w:tcPr>
          <w:p w14:paraId="522E1304" w14:textId="77777777" w:rsidR="00084F36" w:rsidRPr="00EB2BD8" w:rsidRDefault="00084F36">
            <w:pPr>
              <w:pStyle w:val="TableParagraph"/>
              <w:rPr>
                <w:rFonts w:ascii="Times New Roman"/>
                <w:sz w:val="16"/>
              </w:rPr>
            </w:pPr>
          </w:p>
        </w:tc>
      </w:tr>
      <w:tr w:rsidR="00EB2BD8" w:rsidRPr="00EB2BD8" w14:paraId="0FE548D7" w14:textId="77777777">
        <w:trPr>
          <w:trHeight w:val="288"/>
        </w:trPr>
        <w:tc>
          <w:tcPr>
            <w:tcW w:w="1731" w:type="dxa"/>
            <w:tcBorders>
              <w:bottom w:val="single" w:sz="2" w:space="0" w:color="000000"/>
            </w:tcBorders>
          </w:tcPr>
          <w:p w14:paraId="25212258" w14:textId="77777777" w:rsidR="00084F36" w:rsidRPr="00EB2BD8" w:rsidRDefault="00084F36">
            <w:pPr>
              <w:pStyle w:val="TableParagraph"/>
              <w:rPr>
                <w:rFonts w:ascii="Times New Roman"/>
                <w:sz w:val="16"/>
              </w:rPr>
            </w:pPr>
          </w:p>
        </w:tc>
        <w:tc>
          <w:tcPr>
            <w:tcW w:w="1485" w:type="dxa"/>
            <w:tcBorders>
              <w:bottom w:val="single" w:sz="2" w:space="0" w:color="000000"/>
            </w:tcBorders>
          </w:tcPr>
          <w:p w14:paraId="032F43F8" w14:textId="77777777" w:rsidR="00084F36" w:rsidRPr="00EB2BD8" w:rsidRDefault="00084F36">
            <w:pPr>
              <w:pStyle w:val="TableParagraph"/>
              <w:rPr>
                <w:rFonts w:ascii="Times New Roman"/>
                <w:sz w:val="16"/>
              </w:rPr>
            </w:pPr>
          </w:p>
        </w:tc>
        <w:tc>
          <w:tcPr>
            <w:tcW w:w="2443" w:type="dxa"/>
            <w:tcBorders>
              <w:bottom w:val="single" w:sz="2" w:space="0" w:color="000000"/>
            </w:tcBorders>
          </w:tcPr>
          <w:p w14:paraId="474F24D6" w14:textId="77777777" w:rsidR="00084F36" w:rsidRPr="00EB2BD8" w:rsidRDefault="00EB2BD8">
            <w:pPr>
              <w:pStyle w:val="TableParagraph"/>
              <w:spacing w:before="19"/>
              <w:ind w:left="287"/>
              <w:rPr>
                <w:sz w:val="16"/>
              </w:rPr>
            </w:pPr>
            <w:r w:rsidRPr="00EB2BD8">
              <w:rPr>
                <w:spacing w:val="-2"/>
                <w:sz w:val="16"/>
              </w:rPr>
              <w:t>Vale.</w:t>
            </w:r>
          </w:p>
        </w:tc>
        <w:tc>
          <w:tcPr>
            <w:tcW w:w="2288" w:type="dxa"/>
            <w:tcBorders>
              <w:bottom w:val="single" w:sz="2" w:space="0" w:color="000000"/>
            </w:tcBorders>
          </w:tcPr>
          <w:p w14:paraId="4244F1DF"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69FFD778"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16FA002C" w14:textId="77777777" w:rsidR="00084F36" w:rsidRPr="00EB2BD8" w:rsidRDefault="00084F36">
            <w:pPr>
              <w:pStyle w:val="TableParagraph"/>
              <w:rPr>
                <w:rFonts w:ascii="Times New Roman"/>
                <w:sz w:val="16"/>
              </w:rPr>
            </w:pPr>
          </w:p>
        </w:tc>
      </w:tr>
      <w:tr w:rsidR="00EB2BD8" w:rsidRPr="00EB2BD8" w14:paraId="47E423C7" w14:textId="77777777">
        <w:trPr>
          <w:trHeight w:val="323"/>
        </w:trPr>
        <w:tc>
          <w:tcPr>
            <w:tcW w:w="1731" w:type="dxa"/>
            <w:tcBorders>
              <w:top w:val="single" w:sz="2" w:space="0" w:color="000000"/>
            </w:tcBorders>
          </w:tcPr>
          <w:p w14:paraId="6A282410" w14:textId="77777777" w:rsidR="00084F36" w:rsidRPr="00EB2BD8" w:rsidRDefault="00EB2BD8">
            <w:pPr>
              <w:pStyle w:val="TableParagraph"/>
              <w:spacing w:before="113"/>
              <w:ind w:left="113"/>
              <w:rPr>
                <w:sz w:val="16"/>
              </w:rPr>
            </w:pPr>
            <w:r w:rsidRPr="00EB2BD8">
              <w:rPr>
                <w:spacing w:val="-2"/>
                <w:w w:val="105"/>
                <w:sz w:val="16"/>
              </w:rPr>
              <w:t>Makal</w:t>
            </w:r>
          </w:p>
        </w:tc>
        <w:tc>
          <w:tcPr>
            <w:tcW w:w="1485" w:type="dxa"/>
            <w:tcBorders>
              <w:top w:val="single" w:sz="2" w:space="0" w:color="000000"/>
            </w:tcBorders>
          </w:tcPr>
          <w:p w14:paraId="20FC705A" w14:textId="77777777" w:rsidR="00084F36" w:rsidRPr="00EB2BD8" w:rsidRDefault="00EB2BD8">
            <w:pPr>
              <w:pStyle w:val="TableParagraph"/>
              <w:spacing w:before="112"/>
              <w:ind w:left="139"/>
              <w:rPr>
                <w:sz w:val="16"/>
              </w:rPr>
            </w:pPr>
            <w:r w:rsidRPr="00EB2BD8">
              <w:rPr>
                <w:spacing w:val="2"/>
                <w:sz w:val="16"/>
              </w:rPr>
              <w:t>CDB-U</w:t>
            </w:r>
            <w:r w:rsidRPr="00EB2BD8">
              <w:rPr>
                <w:spacing w:val="17"/>
                <w:sz w:val="16"/>
              </w:rPr>
              <w:t xml:space="preserve"> </w:t>
            </w:r>
            <w:r w:rsidRPr="00EB2BD8">
              <w:rPr>
                <w:spacing w:val="-2"/>
                <w:sz w:val="16"/>
              </w:rPr>
              <w:t>61768</w:t>
            </w:r>
          </w:p>
        </w:tc>
        <w:tc>
          <w:tcPr>
            <w:tcW w:w="2443" w:type="dxa"/>
            <w:tcBorders>
              <w:top w:val="single" w:sz="2" w:space="0" w:color="000000"/>
            </w:tcBorders>
          </w:tcPr>
          <w:p w14:paraId="0F6EEDD0" w14:textId="77777777" w:rsidR="00084F36" w:rsidRPr="00EB2BD8" w:rsidRDefault="00EB2BD8">
            <w:pPr>
              <w:pStyle w:val="TableParagraph"/>
              <w:spacing w:before="112"/>
              <w:ind w:left="287"/>
              <w:rPr>
                <w:sz w:val="16"/>
              </w:rPr>
            </w:pPr>
            <w:r w:rsidRPr="00EB2BD8">
              <w:rPr>
                <w:sz w:val="16"/>
              </w:rPr>
              <w:t xml:space="preserve">Being given a breach </w:t>
            </w:r>
            <w:r w:rsidRPr="00EB2BD8">
              <w:rPr>
                <w:spacing w:val="-5"/>
                <w:sz w:val="16"/>
              </w:rPr>
              <w:t>of</w:t>
            </w:r>
          </w:p>
        </w:tc>
        <w:tc>
          <w:tcPr>
            <w:tcW w:w="2288" w:type="dxa"/>
            <w:tcBorders>
              <w:top w:val="single" w:sz="2" w:space="0" w:color="000000"/>
            </w:tcBorders>
          </w:tcPr>
          <w:p w14:paraId="2DA5F21F" w14:textId="77777777" w:rsidR="00084F36" w:rsidRPr="00EB2BD8" w:rsidRDefault="00EB2BD8">
            <w:pPr>
              <w:pStyle w:val="TableParagraph"/>
              <w:spacing w:before="112"/>
              <w:ind w:left="123"/>
              <w:rPr>
                <w:sz w:val="16"/>
              </w:rPr>
            </w:pPr>
            <w:r w:rsidRPr="00EB2BD8">
              <w:rPr>
                <w:sz w:val="16"/>
              </w:rPr>
              <w:t>Reprimand</w:t>
            </w:r>
            <w:r w:rsidRPr="00EB2BD8">
              <w:rPr>
                <w:spacing w:val="4"/>
                <w:sz w:val="16"/>
              </w:rPr>
              <w:t xml:space="preserve"> </w:t>
            </w:r>
            <w:r w:rsidRPr="00EB2BD8">
              <w:rPr>
                <w:sz w:val="16"/>
              </w:rPr>
              <w:t>and</w:t>
            </w:r>
            <w:r w:rsidRPr="00EB2BD8">
              <w:rPr>
                <w:spacing w:val="4"/>
                <w:sz w:val="16"/>
              </w:rPr>
              <w:t xml:space="preserve"> </w:t>
            </w:r>
            <w:r w:rsidRPr="00EB2BD8">
              <w:rPr>
                <w:spacing w:val="-2"/>
                <w:sz w:val="16"/>
              </w:rPr>
              <w:t>partial</w:t>
            </w:r>
          </w:p>
        </w:tc>
        <w:tc>
          <w:tcPr>
            <w:tcW w:w="1078" w:type="dxa"/>
            <w:tcBorders>
              <w:top w:val="single" w:sz="2" w:space="0" w:color="000000"/>
            </w:tcBorders>
          </w:tcPr>
          <w:p w14:paraId="52465385" w14:textId="77777777" w:rsidR="00084F36" w:rsidRPr="00EB2BD8" w:rsidRDefault="00EB2BD8">
            <w:pPr>
              <w:pStyle w:val="TableParagraph"/>
              <w:spacing w:before="112"/>
              <w:ind w:right="110"/>
              <w:jc w:val="right"/>
              <w:rPr>
                <w:sz w:val="16"/>
              </w:rPr>
            </w:pPr>
            <w:r w:rsidRPr="00EB2BD8">
              <w:rPr>
                <w:w w:val="124"/>
                <w:sz w:val="16"/>
              </w:rPr>
              <w:t>–</w:t>
            </w:r>
          </w:p>
        </w:tc>
        <w:tc>
          <w:tcPr>
            <w:tcW w:w="1175" w:type="dxa"/>
            <w:tcBorders>
              <w:top w:val="single" w:sz="2" w:space="0" w:color="000000"/>
            </w:tcBorders>
          </w:tcPr>
          <w:p w14:paraId="6EFF015C" w14:textId="77777777" w:rsidR="00084F36" w:rsidRPr="00EB2BD8" w:rsidRDefault="00EB2BD8">
            <w:pPr>
              <w:pStyle w:val="TableParagraph"/>
              <w:spacing w:before="112"/>
              <w:ind w:left="113"/>
              <w:rPr>
                <w:sz w:val="16"/>
              </w:rPr>
            </w:pPr>
            <w:r w:rsidRPr="00EB2BD8">
              <w:rPr>
                <w:spacing w:val="-2"/>
                <w:w w:val="90"/>
                <w:sz w:val="16"/>
              </w:rPr>
              <w:t>12/01/2023</w:t>
            </w:r>
          </w:p>
        </w:tc>
      </w:tr>
      <w:tr w:rsidR="00EB2BD8" w:rsidRPr="00EB2BD8" w14:paraId="6E53CD9B" w14:textId="77777777">
        <w:trPr>
          <w:trHeight w:val="229"/>
        </w:trPr>
        <w:tc>
          <w:tcPr>
            <w:tcW w:w="1731" w:type="dxa"/>
          </w:tcPr>
          <w:p w14:paraId="163D5ECA" w14:textId="77777777" w:rsidR="00084F36" w:rsidRPr="00EB2BD8" w:rsidRDefault="00EB2BD8">
            <w:pPr>
              <w:pStyle w:val="TableParagraph"/>
              <w:spacing w:before="19"/>
              <w:ind w:left="113"/>
              <w:rPr>
                <w:sz w:val="16"/>
              </w:rPr>
            </w:pPr>
            <w:r w:rsidRPr="00EB2BD8">
              <w:rPr>
                <w:spacing w:val="-2"/>
                <w:sz w:val="16"/>
              </w:rPr>
              <w:t>Constructions</w:t>
            </w:r>
            <w:r w:rsidRPr="00EB2BD8">
              <w:rPr>
                <w:spacing w:val="12"/>
                <w:sz w:val="16"/>
              </w:rPr>
              <w:t xml:space="preserve"> </w:t>
            </w:r>
            <w:r w:rsidRPr="00EB2BD8">
              <w:rPr>
                <w:spacing w:val="-5"/>
                <w:sz w:val="16"/>
              </w:rPr>
              <w:t>Pty</w:t>
            </w:r>
          </w:p>
        </w:tc>
        <w:tc>
          <w:tcPr>
            <w:tcW w:w="1485" w:type="dxa"/>
          </w:tcPr>
          <w:p w14:paraId="4B6A2886" w14:textId="77777777" w:rsidR="00084F36" w:rsidRPr="00EB2BD8" w:rsidRDefault="00084F36">
            <w:pPr>
              <w:pStyle w:val="TableParagraph"/>
              <w:rPr>
                <w:rFonts w:ascii="Times New Roman"/>
                <w:sz w:val="16"/>
              </w:rPr>
            </w:pPr>
          </w:p>
        </w:tc>
        <w:tc>
          <w:tcPr>
            <w:tcW w:w="2443" w:type="dxa"/>
          </w:tcPr>
          <w:p w14:paraId="42A17EE9" w14:textId="77777777" w:rsidR="00084F36" w:rsidRPr="00EB2BD8" w:rsidRDefault="00EB2BD8">
            <w:pPr>
              <w:pStyle w:val="TableParagraph"/>
              <w:spacing w:before="19"/>
              <w:ind w:left="287"/>
              <w:rPr>
                <w:sz w:val="16"/>
              </w:rPr>
            </w:pPr>
            <w:r w:rsidRPr="00EB2BD8">
              <w:rPr>
                <w:spacing w:val="-2"/>
                <w:sz w:val="16"/>
              </w:rPr>
              <w:t>dispute</w:t>
            </w:r>
            <w:r w:rsidRPr="00EB2BD8">
              <w:rPr>
                <w:spacing w:val="-8"/>
                <w:sz w:val="16"/>
              </w:rPr>
              <w:t xml:space="preserve"> </w:t>
            </w:r>
            <w:r w:rsidRPr="00EB2BD8">
              <w:rPr>
                <w:spacing w:val="-2"/>
                <w:sz w:val="16"/>
              </w:rPr>
              <w:t>resolution</w:t>
            </w:r>
            <w:r w:rsidRPr="00EB2BD8">
              <w:rPr>
                <w:spacing w:val="-8"/>
                <w:sz w:val="16"/>
              </w:rPr>
              <w:t xml:space="preserve"> </w:t>
            </w:r>
            <w:r w:rsidRPr="00EB2BD8">
              <w:rPr>
                <w:spacing w:val="-4"/>
                <w:sz w:val="16"/>
              </w:rPr>
              <w:t>order</w:t>
            </w:r>
          </w:p>
        </w:tc>
        <w:tc>
          <w:tcPr>
            <w:tcW w:w="2288" w:type="dxa"/>
          </w:tcPr>
          <w:p w14:paraId="488E8F81" w14:textId="77777777" w:rsidR="00084F36" w:rsidRPr="00EB2BD8" w:rsidRDefault="00EB2BD8">
            <w:pPr>
              <w:pStyle w:val="TableParagraph"/>
              <w:spacing w:before="19"/>
              <w:ind w:left="123"/>
              <w:rPr>
                <w:sz w:val="16"/>
              </w:rPr>
            </w:pPr>
            <w:r w:rsidRPr="00EB2BD8">
              <w:rPr>
                <w:spacing w:val="-2"/>
                <w:sz w:val="16"/>
              </w:rPr>
              <w:t>suspension</w:t>
            </w:r>
            <w:r w:rsidRPr="00EB2BD8">
              <w:rPr>
                <w:spacing w:val="-10"/>
                <w:sz w:val="16"/>
              </w:rPr>
              <w:t xml:space="preserve"> </w:t>
            </w:r>
            <w:r w:rsidRPr="00EB2BD8">
              <w:rPr>
                <w:spacing w:val="-2"/>
                <w:sz w:val="16"/>
              </w:rPr>
              <w:t>of</w:t>
            </w:r>
            <w:r w:rsidRPr="00EB2BD8">
              <w:rPr>
                <w:spacing w:val="-9"/>
                <w:sz w:val="16"/>
              </w:rPr>
              <w:t xml:space="preserve"> </w:t>
            </w:r>
            <w:r w:rsidRPr="00EB2BD8">
              <w:rPr>
                <w:spacing w:val="-2"/>
                <w:sz w:val="16"/>
              </w:rPr>
              <w:t>registration</w:t>
            </w:r>
          </w:p>
        </w:tc>
        <w:tc>
          <w:tcPr>
            <w:tcW w:w="1078" w:type="dxa"/>
          </w:tcPr>
          <w:p w14:paraId="2024200E" w14:textId="77777777" w:rsidR="00084F36" w:rsidRPr="00EB2BD8" w:rsidRDefault="00084F36">
            <w:pPr>
              <w:pStyle w:val="TableParagraph"/>
              <w:rPr>
                <w:rFonts w:ascii="Times New Roman"/>
                <w:sz w:val="16"/>
              </w:rPr>
            </w:pPr>
          </w:p>
        </w:tc>
        <w:tc>
          <w:tcPr>
            <w:tcW w:w="1175" w:type="dxa"/>
          </w:tcPr>
          <w:p w14:paraId="24EE8AE9" w14:textId="77777777" w:rsidR="00084F36" w:rsidRPr="00EB2BD8" w:rsidRDefault="00084F36">
            <w:pPr>
              <w:pStyle w:val="TableParagraph"/>
              <w:rPr>
                <w:rFonts w:ascii="Times New Roman"/>
                <w:sz w:val="16"/>
              </w:rPr>
            </w:pPr>
          </w:p>
        </w:tc>
      </w:tr>
      <w:tr w:rsidR="00084F36" w:rsidRPr="00EB2BD8" w14:paraId="1D6A9CEC" w14:textId="77777777">
        <w:trPr>
          <w:trHeight w:val="288"/>
        </w:trPr>
        <w:tc>
          <w:tcPr>
            <w:tcW w:w="1731" w:type="dxa"/>
            <w:tcBorders>
              <w:bottom w:val="single" w:sz="2" w:space="0" w:color="000000"/>
            </w:tcBorders>
          </w:tcPr>
          <w:p w14:paraId="20039FA8" w14:textId="77777777" w:rsidR="00084F36" w:rsidRPr="00EB2BD8" w:rsidRDefault="00EB2BD8">
            <w:pPr>
              <w:pStyle w:val="TableParagraph"/>
              <w:spacing w:before="19"/>
              <w:ind w:left="113"/>
              <w:rPr>
                <w:sz w:val="16"/>
              </w:rPr>
            </w:pPr>
            <w:r w:rsidRPr="00EB2BD8">
              <w:rPr>
                <w:spacing w:val="-5"/>
                <w:w w:val="105"/>
                <w:sz w:val="16"/>
              </w:rPr>
              <w:t>Ltd</w:t>
            </w:r>
          </w:p>
        </w:tc>
        <w:tc>
          <w:tcPr>
            <w:tcW w:w="1485" w:type="dxa"/>
            <w:tcBorders>
              <w:bottom w:val="single" w:sz="2" w:space="0" w:color="000000"/>
            </w:tcBorders>
          </w:tcPr>
          <w:p w14:paraId="4610BCAF" w14:textId="77777777" w:rsidR="00084F36" w:rsidRPr="00EB2BD8" w:rsidRDefault="00084F36">
            <w:pPr>
              <w:pStyle w:val="TableParagraph"/>
              <w:rPr>
                <w:rFonts w:ascii="Times New Roman"/>
                <w:sz w:val="16"/>
              </w:rPr>
            </w:pPr>
          </w:p>
        </w:tc>
        <w:tc>
          <w:tcPr>
            <w:tcW w:w="2443" w:type="dxa"/>
            <w:tcBorders>
              <w:bottom w:val="single" w:sz="2" w:space="0" w:color="000000"/>
            </w:tcBorders>
          </w:tcPr>
          <w:p w14:paraId="0B235873" w14:textId="77777777" w:rsidR="00084F36" w:rsidRPr="00EB2BD8" w:rsidRDefault="00EB2BD8">
            <w:pPr>
              <w:pStyle w:val="TableParagraph"/>
              <w:spacing w:before="19"/>
              <w:ind w:left="287"/>
              <w:rPr>
                <w:sz w:val="16"/>
              </w:rPr>
            </w:pPr>
            <w:r w:rsidRPr="00EB2BD8">
              <w:rPr>
                <w:spacing w:val="-2"/>
                <w:sz w:val="16"/>
              </w:rPr>
              <w:t>notice.</w:t>
            </w:r>
          </w:p>
        </w:tc>
        <w:tc>
          <w:tcPr>
            <w:tcW w:w="2288" w:type="dxa"/>
            <w:tcBorders>
              <w:bottom w:val="single" w:sz="2" w:space="0" w:color="000000"/>
            </w:tcBorders>
          </w:tcPr>
          <w:p w14:paraId="6604E334" w14:textId="77777777" w:rsidR="00084F36" w:rsidRPr="00EB2BD8" w:rsidRDefault="00EB2BD8">
            <w:pPr>
              <w:pStyle w:val="TableParagraph"/>
              <w:spacing w:before="19"/>
              <w:ind w:left="123"/>
              <w:rPr>
                <w:sz w:val="16"/>
              </w:rPr>
            </w:pPr>
            <w:r w:rsidRPr="00EB2BD8">
              <w:rPr>
                <w:sz w:val="16"/>
              </w:rPr>
              <w:t>until</w:t>
            </w:r>
            <w:r w:rsidRPr="00EB2BD8">
              <w:rPr>
                <w:spacing w:val="-11"/>
                <w:sz w:val="16"/>
              </w:rPr>
              <w:t xml:space="preserve"> </w:t>
            </w:r>
            <w:r w:rsidRPr="00EB2BD8">
              <w:rPr>
                <w:sz w:val="16"/>
              </w:rPr>
              <w:t>compliance</w:t>
            </w:r>
            <w:r w:rsidRPr="00EB2BD8">
              <w:rPr>
                <w:spacing w:val="-11"/>
                <w:sz w:val="16"/>
              </w:rPr>
              <w:t xml:space="preserve"> </w:t>
            </w:r>
            <w:r w:rsidRPr="00EB2BD8">
              <w:rPr>
                <w:spacing w:val="-2"/>
                <w:sz w:val="16"/>
              </w:rPr>
              <w:t>achieved.</w:t>
            </w:r>
          </w:p>
        </w:tc>
        <w:tc>
          <w:tcPr>
            <w:tcW w:w="1078" w:type="dxa"/>
            <w:tcBorders>
              <w:bottom w:val="single" w:sz="2" w:space="0" w:color="000000"/>
            </w:tcBorders>
          </w:tcPr>
          <w:p w14:paraId="648D4144"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1A0DC5D1" w14:textId="77777777" w:rsidR="00084F36" w:rsidRPr="00EB2BD8" w:rsidRDefault="00084F36">
            <w:pPr>
              <w:pStyle w:val="TableParagraph"/>
              <w:rPr>
                <w:rFonts w:ascii="Times New Roman"/>
                <w:sz w:val="16"/>
              </w:rPr>
            </w:pPr>
          </w:p>
        </w:tc>
      </w:tr>
    </w:tbl>
    <w:p w14:paraId="1E12D3D7" w14:textId="77777777" w:rsidR="00084F36" w:rsidRPr="00EB2BD8" w:rsidRDefault="00084F36">
      <w:pPr>
        <w:rPr>
          <w:rFonts w:ascii="Times New Roman"/>
          <w:sz w:val="16"/>
        </w:rPr>
        <w:sectPr w:rsidR="00084F36" w:rsidRPr="00EB2BD8" w:rsidSect="006D75B2">
          <w:footerReference w:type="default" r:id="rId424"/>
          <w:pgSz w:w="11910" w:h="16840"/>
          <w:pgMar w:top="1080" w:right="0" w:bottom="720" w:left="0" w:header="0" w:footer="528" w:gutter="0"/>
          <w:cols w:space="720"/>
        </w:sectPr>
      </w:pPr>
    </w:p>
    <w:p w14:paraId="5355AB3B" w14:textId="77777777" w:rsidR="00084F36" w:rsidRPr="00EB2BD8" w:rsidRDefault="00084F36">
      <w:pPr>
        <w:pStyle w:val="BodyText"/>
        <w:rPr>
          <w:sz w:val="20"/>
        </w:rPr>
      </w:pPr>
    </w:p>
    <w:p w14:paraId="1896E541" w14:textId="77777777" w:rsidR="00084F36" w:rsidRPr="00EB2BD8" w:rsidRDefault="00084F36">
      <w:pPr>
        <w:pStyle w:val="BodyText"/>
        <w:rPr>
          <w:sz w:val="20"/>
        </w:rPr>
      </w:pPr>
    </w:p>
    <w:p w14:paraId="6FE5BAE3" w14:textId="77777777" w:rsidR="00084F36" w:rsidRPr="00EB2BD8" w:rsidRDefault="00084F36">
      <w:pPr>
        <w:pStyle w:val="BodyText"/>
        <w:rPr>
          <w:sz w:val="20"/>
        </w:rPr>
      </w:pPr>
    </w:p>
    <w:p w14:paraId="5B3F9338" w14:textId="77777777" w:rsidR="00084F36" w:rsidRPr="00EB2BD8" w:rsidRDefault="00084F36">
      <w:pPr>
        <w:pStyle w:val="BodyText"/>
        <w:rPr>
          <w:sz w:val="20"/>
        </w:rPr>
      </w:pPr>
    </w:p>
    <w:p w14:paraId="30FFB5D1" w14:textId="77777777" w:rsidR="00084F36" w:rsidRPr="00EB2BD8" w:rsidRDefault="00084F36">
      <w:pPr>
        <w:pStyle w:val="BodyText"/>
        <w:spacing w:before="6"/>
        <w:rPr>
          <w:sz w:val="23"/>
        </w:rPr>
      </w:pPr>
    </w:p>
    <w:tbl>
      <w:tblPr>
        <w:tblW w:w="0" w:type="auto"/>
        <w:tblInd w:w="857" w:type="dxa"/>
        <w:tblLayout w:type="fixed"/>
        <w:tblCellMar>
          <w:left w:w="0" w:type="dxa"/>
          <w:right w:w="0" w:type="dxa"/>
        </w:tblCellMar>
        <w:tblLook w:val="01E0" w:firstRow="1" w:lastRow="1" w:firstColumn="1" w:lastColumn="1" w:noHBand="0" w:noVBand="0"/>
      </w:tblPr>
      <w:tblGrid>
        <w:gridCol w:w="1751"/>
        <w:gridCol w:w="1472"/>
        <w:gridCol w:w="2445"/>
        <w:gridCol w:w="2263"/>
        <w:gridCol w:w="1093"/>
        <w:gridCol w:w="1176"/>
      </w:tblGrid>
      <w:tr w:rsidR="00EB2BD8" w:rsidRPr="00EB2BD8" w14:paraId="78FA3043" w14:textId="77777777">
        <w:trPr>
          <w:trHeight w:val="614"/>
        </w:trPr>
        <w:tc>
          <w:tcPr>
            <w:tcW w:w="1751" w:type="dxa"/>
            <w:tcBorders>
              <w:bottom w:val="single" w:sz="2" w:space="0" w:color="000000"/>
            </w:tcBorders>
            <w:shd w:val="clear" w:color="auto" w:fill="005F83"/>
          </w:tcPr>
          <w:p w14:paraId="5CEEF109" w14:textId="77777777" w:rsidR="00084F36" w:rsidRPr="00697E0C" w:rsidRDefault="00EB2BD8">
            <w:pPr>
              <w:pStyle w:val="TableParagraph"/>
              <w:spacing w:before="118"/>
              <w:ind w:left="113"/>
              <w:rPr>
                <w:color w:val="FFFFFF" w:themeColor="background1"/>
                <w:sz w:val="16"/>
              </w:rPr>
            </w:pPr>
            <w:r w:rsidRPr="00697E0C">
              <w:rPr>
                <w:color w:val="FFFFFF" w:themeColor="background1"/>
                <w:w w:val="105"/>
                <w:sz w:val="16"/>
              </w:rPr>
              <w:t>Practitioner</w:t>
            </w:r>
            <w:r w:rsidRPr="00697E0C">
              <w:rPr>
                <w:color w:val="FFFFFF" w:themeColor="background1"/>
                <w:spacing w:val="-14"/>
                <w:w w:val="105"/>
                <w:sz w:val="16"/>
              </w:rPr>
              <w:t xml:space="preserve"> </w:t>
            </w:r>
            <w:r w:rsidRPr="00697E0C">
              <w:rPr>
                <w:color w:val="FFFFFF" w:themeColor="background1"/>
                <w:spacing w:val="-4"/>
                <w:w w:val="105"/>
                <w:sz w:val="16"/>
              </w:rPr>
              <w:t>name</w:t>
            </w:r>
          </w:p>
        </w:tc>
        <w:tc>
          <w:tcPr>
            <w:tcW w:w="1472" w:type="dxa"/>
            <w:tcBorders>
              <w:bottom w:val="single" w:sz="2" w:space="0" w:color="000000"/>
            </w:tcBorders>
            <w:shd w:val="clear" w:color="auto" w:fill="005F83"/>
          </w:tcPr>
          <w:p w14:paraId="55A1C581" w14:textId="77777777" w:rsidR="00084F36" w:rsidRPr="00697E0C" w:rsidRDefault="00EB2BD8">
            <w:pPr>
              <w:pStyle w:val="TableParagraph"/>
              <w:spacing w:before="118" w:line="292" w:lineRule="auto"/>
              <w:ind w:left="119"/>
              <w:rPr>
                <w:color w:val="FFFFFF" w:themeColor="background1"/>
                <w:sz w:val="16"/>
              </w:rPr>
            </w:pPr>
            <w:r w:rsidRPr="00697E0C">
              <w:rPr>
                <w:color w:val="FFFFFF" w:themeColor="background1"/>
                <w:spacing w:val="-2"/>
                <w:sz w:val="16"/>
              </w:rPr>
              <w:t xml:space="preserve">Registration </w:t>
            </w:r>
            <w:r w:rsidRPr="00697E0C">
              <w:rPr>
                <w:color w:val="FFFFFF" w:themeColor="background1"/>
                <w:spacing w:val="-2"/>
                <w:w w:val="105"/>
                <w:sz w:val="16"/>
              </w:rPr>
              <w:t>Number</w:t>
            </w:r>
          </w:p>
        </w:tc>
        <w:tc>
          <w:tcPr>
            <w:tcW w:w="2445" w:type="dxa"/>
            <w:tcBorders>
              <w:bottom w:val="single" w:sz="2" w:space="0" w:color="000000"/>
            </w:tcBorders>
            <w:shd w:val="clear" w:color="auto" w:fill="005F83"/>
          </w:tcPr>
          <w:p w14:paraId="3A22BA88" w14:textId="77777777" w:rsidR="00084F36" w:rsidRPr="00697E0C" w:rsidRDefault="00EB2BD8">
            <w:pPr>
              <w:pStyle w:val="TableParagraph"/>
              <w:spacing w:before="118"/>
              <w:ind w:left="280"/>
              <w:rPr>
                <w:color w:val="FFFFFF" w:themeColor="background1"/>
                <w:sz w:val="16"/>
              </w:rPr>
            </w:pPr>
            <w:r w:rsidRPr="00697E0C">
              <w:rPr>
                <w:color w:val="FFFFFF" w:themeColor="background1"/>
                <w:spacing w:val="-2"/>
                <w:w w:val="105"/>
                <w:sz w:val="16"/>
              </w:rPr>
              <w:t>Conduct</w:t>
            </w:r>
          </w:p>
        </w:tc>
        <w:tc>
          <w:tcPr>
            <w:tcW w:w="2263" w:type="dxa"/>
            <w:tcBorders>
              <w:bottom w:val="single" w:sz="2" w:space="0" w:color="000000"/>
            </w:tcBorders>
            <w:shd w:val="clear" w:color="auto" w:fill="005F83"/>
          </w:tcPr>
          <w:p w14:paraId="615AD6FC" w14:textId="77777777" w:rsidR="00084F36" w:rsidRPr="00697E0C" w:rsidRDefault="00EB2BD8">
            <w:pPr>
              <w:pStyle w:val="TableParagraph"/>
              <w:spacing w:before="118"/>
              <w:ind w:left="114"/>
              <w:rPr>
                <w:color w:val="FFFFFF" w:themeColor="background1"/>
                <w:sz w:val="16"/>
              </w:rPr>
            </w:pPr>
            <w:r w:rsidRPr="00697E0C">
              <w:rPr>
                <w:color w:val="FFFFFF" w:themeColor="background1"/>
                <w:spacing w:val="-2"/>
                <w:sz w:val="16"/>
              </w:rPr>
              <w:t>Result</w:t>
            </w:r>
          </w:p>
        </w:tc>
        <w:tc>
          <w:tcPr>
            <w:tcW w:w="1093" w:type="dxa"/>
            <w:tcBorders>
              <w:bottom w:val="single" w:sz="2" w:space="0" w:color="000000"/>
            </w:tcBorders>
            <w:shd w:val="clear" w:color="auto" w:fill="005F83"/>
          </w:tcPr>
          <w:p w14:paraId="74F66ABE" w14:textId="77777777" w:rsidR="00084F36" w:rsidRPr="00697E0C" w:rsidRDefault="00EB2BD8">
            <w:pPr>
              <w:pStyle w:val="TableParagraph"/>
              <w:spacing w:before="118" w:line="292" w:lineRule="auto"/>
              <w:ind w:left="130" w:right="89"/>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35</w:t>
            </w:r>
          </w:p>
        </w:tc>
        <w:tc>
          <w:tcPr>
            <w:tcW w:w="1176" w:type="dxa"/>
            <w:tcBorders>
              <w:bottom w:val="single" w:sz="2" w:space="0" w:color="000000"/>
            </w:tcBorders>
            <w:shd w:val="clear" w:color="auto" w:fill="005F83"/>
          </w:tcPr>
          <w:p w14:paraId="2C69FC20" w14:textId="77777777" w:rsidR="00084F36" w:rsidRPr="00697E0C" w:rsidRDefault="00EB2BD8">
            <w:pPr>
              <w:pStyle w:val="TableParagraph"/>
              <w:spacing w:before="118"/>
              <w:ind w:left="114"/>
              <w:rPr>
                <w:color w:val="FFFFFF" w:themeColor="background1"/>
                <w:sz w:val="9"/>
              </w:rPr>
            </w:pPr>
            <w:r w:rsidRPr="00697E0C">
              <w:rPr>
                <w:color w:val="FFFFFF" w:themeColor="background1"/>
                <w:spacing w:val="-2"/>
                <w:w w:val="105"/>
                <w:sz w:val="16"/>
              </w:rPr>
              <w:t>Date</w:t>
            </w:r>
            <w:r w:rsidRPr="00697E0C">
              <w:rPr>
                <w:color w:val="FFFFFF" w:themeColor="background1"/>
                <w:spacing w:val="-2"/>
                <w:w w:val="105"/>
                <w:position w:val="5"/>
                <w:sz w:val="9"/>
              </w:rPr>
              <w:t>36</w:t>
            </w:r>
          </w:p>
        </w:tc>
      </w:tr>
      <w:tr w:rsidR="00EB2BD8" w:rsidRPr="00EB2BD8" w14:paraId="260BAC4A" w14:textId="77777777">
        <w:trPr>
          <w:trHeight w:val="326"/>
        </w:trPr>
        <w:tc>
          <w:tcPr>
            <w:tcW w:w="1751" w:type="dxa"/>
            <w:tcBorders>
              <w:top w:val="single" w:sz="2" w:space="0" w:color="000000"/>
            </w:tcBorders>
          </w:tcPr>
          <w:p w14:paraId="311A75F9" w14:textId="77777777" w:rsidR="00084F36" w:rsidRPr="00EB2BD8" w:rsidRDefault="00EB2BD8">
            <w:pPr>
              <w:pStyle w:val="TableParagraph"/>
              <w:spacing w:before="116"/>
              <w:ind w:left="113"/>
              <w:rPr>
                <w:sz w:val="16"/>
              </w:rPr>
            </w:pPr>
            <w:r w:rsidRPr="00EB2BD8">
              <w:rPr>
                <w:sz w:val="16"/>
              </w:rPr>
              <w:t>Mass</w:t>
            </w:r>
            <w:r w:rsidRPr="00EB2BD8">
              <w:rPr>
                <w:spacing w:val="-9"/>
                <w:sz w:val="16"/>
              </w:rPr>
              <w:t xml:space="preserve"> </w:t>
            </w:r>
            <w:r w:rsidRPr="00EB2BD8">
              <w:rPr>
                <w:spacing w:val="-2"/>
                <w:sz w:val="16"/>
              </w:rPr>
              <w:t>Constructions</w:t>
            </w:r>
          </w:p>
        </w:tc>
        <w:tc>
          <w:tcPr>
            <w:tcW w:w="1472" w:type="dxa"/>
            <w:tcBorders>
              <w:top w:val="single" w:sz="2" w:space="0" w:color="000000"/>
            </w:tcBorders>
          </w:tcPr>
          <w:p w14:paraId="5F2CA035" w14:textId="77777777" w:rsidR="00084F36" w:rsidRPr="00EB2BD8" w:rsidRDefault="00EB2BD8">
            <w:pPr>
              <w:pStyle w:val="TableParagraph"/>
              <w:spacing w:before="116"/>
              <w:ind w:left="119"/>
              <w:rPr>
                <w:sz w:val="16"/>
              </w:rPr>
            </w:pPr>
            <w:r w:rsidRPr="00EB2BD8">
              <w:rPr>
                <w:spacing w:val="2"/>
                <w:sz w:val="16"/>
              </w:rPr>
              <w:t>CDB-U</w:t>
            </w:r>
            <w:r w:rsidRPr="00EB2BD8">
              <w:rPr>
                <w:spacing w:val="17"/>
                <w:sz w:val="16"/>
              </w:rPr>
              <w:t xml:space="preserve"> </w:t>
            </w:r>
            <w:r w:rsidRPr="00EB2BD8">
              <w:rPr>
                <w:spacing w:val="-2"/>
                <w:sz w:val="16"/>
              </w:rPr>
              <w:t>49658</w:t>
            </w:r>
          </w:p>
        </w:tc>
        <w:tc>
          <w:tcPr>
            <w:tcW w:w="2445" w:type="dxa"/>
            <w:tcBorders>
              <w:top w:val="single" w:sz="2" w:space="0" w:color="000000"/>
            </w:tcBorders>
          </w:tcPr>
          <w:p w14:paraId="4E0AE76C" w14:textId="77777777" w:rsidR="00084F36" w:rsidRPr="00EB2BD8" w:rsidRDefault="00EB2BD8">
            <w:pPr>
              <w:pStyle w:val="TableParagraph"/>
              <w:spacing w:before="116"/>
              <w:ind w:left="280"/>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63" w:type="dxa"/>
            <w:tcBorders>
              <w:top w:val="single" w:sz="2" w:space="0" w:color="000000"/>
            </w:tcBorders>
          </w:tcPr>
          <w:p w14:paraId="135CEFBB" w14:textId="77777777" w:rsidR="00084F36" w:rsidRPr="00EB2BD8" w:rsidRDefault="00EB2BD8">
            <w:pPr>
              <w:pStyle w:val="TableParagraph"/>
              <w:spacing w:before="115"/>
              <w:ind w:left="114"/>
              <w:rPr>
                <w:sz w:val="16"/>
              </w:rPr>
            </w:pPr>
            <w:r w:rsidRPr="00EB2BD8">
              <w:rPr>
                <w:sz w:val="16"/>
              </w:rPr>
              <w:t>Reprimands and</w:t>
            </w:r>
            <w:r w:rsidRPr="00EB2BD8">
              <w:rPr>
                <w:spacing w:val="1"/>
                <w:sz w:val="16"/>
              </w:rPr>
              <w:t xml:space="preserve"> </w:t>
            </w:r>
            <w:r w:rsidRPr="00EB2BD8">
              <w:rPr>
                <w:spacing w:val="-2"/>
                <w:sz w:val="16"/>
              </w:rPr>
              <w:t>penalty</w:t>
            </w:r>
          </w:p>
        </w:tc>
        <w:tc>
          <w:tcPr>
            <w:tcW w:w="1093" w:type="dxa"/>
            <w:tcBorders>
              <w:top w:val="single" w:sz="2" w:space="0" w:color="000000"/>
            </w:tcBorders>
          </w:tcPr>
          <w:p w14:paraId="6F659613" w14:textId="77777777" w:rsidR="00084F36" w:rsidRPr="00EB2BD8" w:rsidRDefault="00EB2BD8">
            <w:pPr>
              <w:pStyle w:val="TableParagraph"/>
              <w:spacing w:before="115"/>
              <w:ind w:right="110"/>
              <w:jc w:val="right"/>
              <w:rPr>
                <w:sz w:val="16"/>
              </w:rPr>
            </w:pPr>
            <w:r w:rsidRPr="00EB2BD8">
              <w:rPr>
                <w:spacing w:val="-2"/>
                <w:sz w:val="16"/>
              </w:rPr>
              <w:t>$3,000</w:t>
            </w:r>
          </w:p>
        </w:tc>
        <w:tc>
          <w:tcPr>
            <w:tcW w:w="1176" w:type="dxa"/>
            <w:tcBorders>
              <w:top w:val="single" w:sz="2" w:space="0" w:color="000000"/>
            </w:tcBorders>
          </w:tcPr>
          <w:p w14:paraId="273B3923" w14:textId="77777777" w:rsidR="00084F36" w:rsidRPr="00EB2BD8" w:rsidRDefault="00EB2BD8">
            <w:pPr>
              <w:pStyle w:val="TableParagraph"/>
              <w:spacing w:before="115"/>
              <w:ind w:left="114"/>
              <w:rPr>
                <w:sz w:val="16"/>
              </w:rPr>
            </w:pPr>
            <w:r w:rsidRPr="00EB2BD8">
              <w:rPr>
                <w:spacing w:val="-2"/>
                <w:w w:val="95"/>
                <w:sz w:val="16"/>
              </w:rPr>
              <w:t>22/05/2023</w:t>
            </w:r>
          </w:p>
        </w:tc>
      </w:tr>
      <w:tr w:rsidR="00EB2BD8" w:rsidRPr="00EB2BD8" w14:paraId="7326F245" w14:textId="77777777">
        <w:trPr>
          <w:trHeight w:val="230"/>
        </w:trPr>
        <w:tc>
          <w:tcPr>
            <w:tcW w:w="1751" w:type="dxa"/>
          </w:tcPr>
          <w:p w14:paraId="28DD4BAE" w14:textId="77777777" w:rsidR="00084F36" w:rsidRPr="00EB2BD8" w:rsidRDefault="00EB2BD8">
            <w:pPr>
              <w:pStyle w:val="TableParagraph"/>
              <w:spacing w:before="19"/>
              <w:ind w:left="113"/>
              <w:rPr>
                <w:sz w:val="16"/>
              </w:rPr>
            </w:pPr>
            <w:r w:rsidRPr="00EB2BD8">
              <w:rPr>
                <w:sz w:val="16"/>
              </w:rPr>
              <w:t>&amp;</w:t>
            </w:r>
            <w:r w:rsidRPr="00EB2BD8">
              <w:rPr>
                <w:spacing w:val="-10"/>
                <w:sz w:val="16"/>
              </w:rPr>
              <w:t xml:space="preserve"> </w:t>
            </w:r>
            <w:r w:rsidRPr="00EB2BD8">
              <w:rPr>
                <w:spacing w:val="-2"/>
                <w:sz w:val="16"/>
              </w:rPr>
              <w:t>Developments</w:t>
            </w:r>
          </w:p>
        </w:tc>
        <w:tc>
          <w:tcPr>
            <w:tcW w:w="1472" w:type="dxa"/>
          </w:tcPr>
          <w:p w14:paraId="4CAD1FE9" w14:textId="77777777" w:rsidR="00084F36" w:rsidRPr="00EB2BD8" w:rsidRDefault="00084F36">
            <w:pPr>
              <w:pStyle w:val="TableParagraph"/>
              <w:rPr>
                <w:rFonts w:ascii="Times New Roman"/>
                <w:sz w:val="16"/>
              </w:rPr>
            </w:pPr>
          </w:p>
        </w:tc>
        <w:tc>
          <w:tcPr>
            <w:tcW w:w="2445" w:type="dxa"/>
          </w:tcPr>
          <w:p w14:paraId="28AE1559" w14:textId="77777777" w:rsidR="00084F36" w:rsidRPr="00EB2BD8" w:rsidRDefault="00EB2BD8">
            <w:pPr>
              <w:pStyle w:val="TableParagraph"/>
              <w:spacing w:before="19"/>
              <w:ind w:left="280"/>
              <w:rPr>
                <w:sz w:val="16"/>
              </w:rPr>
            </w:pPr>
            <w:r w:rsidRPr="00EB2BD8">
              <w:rPr>
                <w:sz w:val="16"/>
              </w:rPr>
              <w:t>mandatory</w:t>
            </w:r>
            <w:r w:rsidRPr="00EB2BD8">
              <w:rPr>
                <w:spacing w:val="14"/>
                <w:sz w:val="16"/>
              </w:rPr>
              <w:t xml:space="preserve"> </w:t>
            </w:r>
            <w:r w:rsidRPr="00EB2BD8">
              <w:rPr>
                <w:spacing w:val="-2"/>
                <w:sz w:val="16"/>
              </w:rPr>
              <w:t>stage</w:t>
            </w:r>
          </w:p>
        </w:tc>
        <w:tc>
          <w:tcPr>
            <w:tcW w:w="2263" w:type="dxa"/>
          </w:tcPr>
          <w:p w14:paraId="3975B9CB" w14:textId="77777777" w:rsidR="00084F36" w:rsidRPr="00EB2BD8" w:rsidRDefault="00EB2BD8">
            <w:pPr>
              <w:pStyle w:val="TableParagraph"/>
              <w:spacing w:before="19"/>
              <w:ind w:left="114"/>
              <w:rPr>
                <w:sz w:val="16"/>
              </w:rPr>
            </w:pPr>
            <w:r w:rsidRPr="00EB2BD8">
              <w:rPr>
                <w:spacing w:val="-4"/>
                <w:sz w:val="16"/>
              </w:rPr>
              <w:t>of</w:t>
            </w:r>
            <w:r w:rsidRPr="00EB2BD8">
              <w:rPr>
                <w:spacing w:val="-10"/>
                <w:sz w:val="16"/>
              </w:rPr>
              <w:t xml:space="preserve"> </w:t>
            </w:r>
            <w:r w:rsidRPr="00EB2BD8">
              <w:rPr>
                <w:spacing w:val="-2"/>
                <w:sz w:val="16"/>
              </w:rPr>
              <w:t>$3,000.</w:t>
            </w:r>
          </w:p>
        </w:tc>
        <w:tc>
          <w:tcPr>
            <w:tcW w:w="1093" w:type="dxa"/>
          </w:tcPr>
          <w:p w14:paraId="74657F01" w14:textId="77777777" w:rsidR="00084F36" w:rsidRPr="00EB2BD8" w:rsidRDefault="00084F36">
            <w:pPr>
              <w:pStyle w:val="TableParagraph"/>
              <w:rPr>
                <w:rFonts w:ascii="Times New Roman"/>
                <w:sz w:val="16"/>
              </w:rPr>
            </w:pPr>
          </w:p>
        </w:tc>
        <w:tc>
          <w:tcPr>
            <w:tcW w:w="1176" w:type="dxa"/>
          </w:tcPr>
          <w:p w14:paraId="74C63688" w14:textId="77777777" w:rsidR="00084F36" w:rsidRPr="00EB2BD8" w:rsidRDefault="00084F36">
            <w:pPr>
              <w:pStyle w:val="TableParagraph"/>
              <w:rPr>
                <w:rFonts w:ascii="Times New Roman"/>
                <w:sz w:val="16"/>
              </w:rPr>
            </w:pPr>
          </w:p>
        </w:tc>
      </w:tr>
      <w:tr w:rsidR="00EB2BD8" w:rsidRPr="00EB2BD8" w14:paraId="31990FF4" w14:textId="77777777">
        <w:trPr>
          <w:trHeight w:val="229"/>
        </w:trPr>
        <w:tc>
          <w:tcPr>
            <w:tcW w:w="1751" w:type="dxa"/>
          </w:tcPr>
          <w:p w14:paraId="38292C71" w14:textId="77777777" w:rsidR="00084F36" w:rsidRPr="00EB2BD8" w:rsidRDefault="00EB2BD8">
            <w:pPr>
              <w:pStyle w:val="TableParagraph"/>
              <w:spacing w:before="19"/>
              <w:ind w:left="113"/>
              <w:rPr>
                <w:sz w:val="16"/>
              </w:rPr>
            </w:pPr>
            <w:r w:rsidRPr="00EB2BD8">
              <w:rPr>
                <w:w w:val="105"/>
                <w:sz w:val="16"/>
              </w:rPr>
              <w:t>Pty</w:t>
            </w:r>
            <w:r w:rsidRPr="00EB2BD8">
              <w:rPr>
                <w:spacing w:val="-7"/>
                <w:w w:val="105"/>
                <w:sz w:val="16"/>
              </w:rPr>
              <w:t xml:space="preserve"> </w:t>
            </w:r>
            <w:r w:rsidRPr="00EB2BD8">
              <w:rPr>
                <w:spacing w:val="-5"/>
                <w:w w:val="105"/>
                <w:sz w:val="16"/>
              </w:rPr>
              <w:t>Ltd</w:t>
            </w:r>
          </w:p>
        </w:tc>
        <w:tc>
          <w:tcPr>
            <w:tcW w:w="1472" w:type="dxa"/>
          </w:tcPr>
          <w:p w14:paraId="1E9AA9C5" w14:textId="77777777" w:rsidR="00084F36" w:rsidRPr="00EB2BD8" w:rsidRDefault="00084F36">
            <w:pPr>
              <w:pStyle w:val="TableParagraph"/>
              <w:rPr>
                <w:rFonts w:ascii="Times New Roman"/>
                <w:sz w:val="16"/>
              </w:rPr>
            </w:pPr>
          </w:p>
        </w:tc>
        <w:tc>
          <w:tcPr>
            <w:tcW w:w="2445" w:type="dxa"/>
          </w:tcPr>
          <w:p w14:paraId="2E6F9F51" w14:textId="77777777" w:rsidR="00084F36" w:rsidRPr="00EB2BD8" w:rsidRDefault="00EB2BD8">
            <w:pPr>
              <w:pStyle w:val="TableParagraph"/>
              <w:spacing w:before="19"/>
              <w:ind w:left="280"/>
              <w:rPr>
                <w:sz w:val="16"/>
              </w:rPr>
            </w:pPr>
            <w:r w:rsidRPr="00EB2BD8">
              <w:rPr>
                <w:spacing w:val="-2"/>
                <w:sz w:val="16"/>
              </w:rPr>
              <w:t>inspections</w:t>
            </w:r>
            <w:r w:rsidRPr="00EB2BD8">
              <w:rPr>
                <w:spacing w:val="-5"/>
                <w:sz w:val="16"/>
              </w:rPr>
              <w:t xml:space="preserve"> </w:t>
            </w:r>
            <w:r w:rsidRPr="00EB2BD8">
              <w:rPr>
                <w:spacing w:val="-2"/>
                <w:sz w:val="16"/>
              </w:rPr>
              <w:t>(prior</w:t>
            </w:r>
            <w:r w:rsidRPr="00EB2BD8">
              <w:rPr>
                <w:spacing w:val="-5"/>
                <w:sz w:val="16"/>
              </w:rPr>
              <w:t xml:space="preserve"> to</w:t>
            </w:r>
          </w:p>
        </w:tc>
        <w:tc>
          <w:tcPr>
            <w:tcW w:w="2263" w:type="dxa"/>
          </w:tcPr>
          <w:p w14:paraId="0B3FBB79" w14:textId="77777777" w:rsidR="00084F36" w:rsidRPr="00EB2BD8" w:rsidRDefault="00084F36">
            <w:pPr>
              <w:pStyle w:val="TableParagraph"/>
              <w:rPr>
                <w:rFonts w:ascii="Times New Roman"/>
                <w:sz w:val="16"/>
              </w:rPr>
            </w:pPr>
          </w:p>
        </w:tc>
        <w:tc>
          <w:tcPr>
            <w:tcW w:w="1093" w:type="dxa"/>
          </w:tcPr>
          <w:p w14:paraId="2707CAA7" w14:textId="77777777" w:rsidR="00084F36" w:rsidRPr="00EB2BD8" w:rsidRDefault="00084F36">
            <w:pPr>
              <w:pStyle w:val="TableParagraph"/>
              <w:rPr>
                <w:rFonts w:ascii="Times New Roman"/>
                <w:sz w:val="16"/>
              </w:rPr>
            </w:pPr>
          </w:p>
        </w:tc>
        <w:tc>
          <w:tcPr>
            <w:tcW w:w="1176" w:type="dxa"/>
          </w:tcPr>
          <w:p w14:paraId="70F63D42" w14:textId="77777777" w:rsidR="00084F36" w:rsidRPr="00EB2BD8" w:rsidRDefault="00084F36">
            <w:pPr>
              <w:pStyle w:val="TableParagraph"/>
              <w:rPr>
                <w:rFonts w:ascii="Times New Roman"/>
                <w:sz w:val="16"/>
              </w:rPr>
            </w:pPr>
          </w:p>
        </w:tc>
      </w:tr>
      <w:tr w:rsidR="00EB2BD8" w:rsidRPr="00EB2BD8" w14:paraId="781FC289" w14:textId="77777777">
        <w:trPr>
          <w:trHeight w:val="229"/>
        </w:trPr>
        <w:tc>
          <w:tcPr>
            <w:tcW w:w="1751" w:type="dxa"/>
          </w:tcPr>
          <w:p w14:paraId="5805CA99" w14:textId="77777777" w:rsidR="00084F36" w:rsidRPr="00EB2BD8" w:rsidRDefault="00084F36">
            <w:pPr>
              <w:pStyle w:val="TableParagraph"/>
              <w:rPr>
                <w:rFonts w:ascii="Times New Roman"/>
                <w:sz w:val="16"/>
              </w:rPr>
            </w:pPr>
          </w:p>
        </w:tc>
        <w:tc>
          <w:tcPr>
            <w:tcW w:w="1472" w:type="dxa"/>
          </w:tcPr>
          <w:p w14:paraId="713A29F1" w14:textId="77777777" w:rsidR="00084F36" w:rsidRPr="00EB2BD8" w:rsidRDefault="00084F36">
            <w:pPr>
              <w:pStyle w:val="TableParagraph"/>
              <w:rPr>
                <w:rFonts w:ascii="Times New Roman"/>
                <w:sz w:val="16"/>
              </w:rPr>
            </w:pPr>
          </w:p>
        </w:tc>
        <w:tc>
          <w:tcPr>
            <w:tcW w:w="2445" w:type="dxa"/>
          </w:tcPr>
          <w:p w14:paraId="5F680500" w14:textId="77777777" w:rsidR="00084F36" w:rsidRPr="00EB2BD8" w:rsidRDefault="00EB2BD8">
            <w:pPr>
              <w:pStyle w:val="TableParagraph"/>
              <w:spacing w:before="19"/>
              <w:ind w:left="280"/>
              <w:rPr>
                <w:sz w:val="16"/>
              </w:rPr>
            </w:pPr>
            <w:r w:rsidRPr="00EB2BD8">
              <w:rPr>
                <w:sz w:val="16"/>
              </w:rPr>
              <w:t>placing a</w:t>
            </w:r>
            <w:r w:rsidRPr="00EB2BD8">
              <w:rPr>
                <w:spacing w:val="1"/>
                <w:sz w:val="16"/>
              </w:rPr>
              <w:t xml:space="preserve"> </w:t>
            </w:r>
            <w:r w:rsidRPr="00EB2BD8">
              <w:rPr>
                <w:spacing w:val="-2"/>
                <w:sz w:val="16"/>
              </w:rPr>
              <w:t>footing—</w:t>
            </w:r>
          </w:p>
        </w:tc>
        <w:tc>
          <w:tcPr>
            <w:tcW w:w="2263" w:type="dxa"/>
          </w:tcPr>
          <w:p w14:paraId="3494B3FB" w14:textId="77777777" w:rsidR="00084F36" w:rsidRPr="00EB2BD8" w:rsidRDefault="00084F36">
            <w:pPr>
              <w:pStyle w:val="TableParagraph"/>
              <w:rPr>
                <w:rFonts w:ascii="Times New Roman"/>
                <w:sz w:val="16"/>
              </w:rPr>
            </w:pPr>
          </w:p>
        </w:tc>
        <w:tc>
          <w:tcPr>
            <w:tcW w:w="1093" w:type="dxa"/>
          </w:tcPr>
          <w:p w14:paraId="47C97C00" w14:textId="77777777" w:rsidR="00084F36" w:rsidRPr="00EB2BD8" w:rsidRDefault="00084F36">
            <w:pPr>
              <w:pStyle w:val="TableParagraph"/>
              <w:rPr>
                <w:rFonts w:ascii="Times New Roman"/>
                <w:sz w:val="16"/>
              </w:rPr>
            </w:pPr>
          </w:p>
        </w:tc>
        <w:tc>
          <w:tcPr>
            <w:tcW w:w="1176" w:type="dxa"/>
          </w:tcPr>
          <w:p w14:paraId="17A6E159" w14:textId="77777777" w:rsidR="00084F36" w:rsidRPr="00EB2BD8" w:rsidRDefault="00084F36">
            <w:pPr>
              <w:pStyle w:val="TableParagraph"/>
              <w:rPr>
                <w:rFonts w:ascii="Times New Roman"/>
                <w:sz w:val="16"/>
              </w:rPr>
            </w:pPr>
          </w:p>
        </w:tc>
      </w:tr>
      <w:tr w:rsidR="00EB2BD8" w:rsidRPr="00EB2BD8" w14:paraId="2D3B4753" w14:textId="77777777">
        <w:trPr>
          <w:trHeight w:val="229"/>
        </w:trPr>
        <w:tc>
          <w:tcPr>
            <w:tcW w:w="1751" w:type="dxa"/>
          </w:tcPr>
          <w:p w14:paraId="7576EC3D" w14:textId="77777777" w:rsidR="00084F36" w:rsidRPr="00EB2BD8" w:rsidRDefault="00084F36">
            <w:pPr>
              <w:pStyle w:val="TableParagraph"/>
              <w:rPr>
                <w:rFonts w:ascii="Times New Roman"/>
                <w:sz w:val="16"/>
              </w:rPr>
            </w:pPr>
          </w:p>
        </w:tc>
        <w:tc>
          <w:tcPr>
            <w:tcW w:w="1472" w:type="dxa"/>
          </w:tcPr>
          <w:p w14:paraId="6E51E4B5" w14:textId="77777777" w:rsidR="00084F36" w:rsidRPr="00EB2BD8" w:rsidRDefault="00084F36">
            <w:pPr>
              <w:pStyle w:val="TableParagraph"/>
              <w:rPr>
                <w:rFonts w:ascii="Times New Roman"/>
                <w:sz w:val="16"/>
              </w:rPr>
            </w:pPr>
          </w:p>
        </w:tc>
        <w:tc>
          <w:tcPr>
            <w:tcW w:w="2445" w:type="dxa"/>
          </w:tcPr>
          <w:p w14:paraId="56BFDA08" w14:textId="77777777" w:rsidR="00084F36" w:rsidRPr="00EB2BD8" w:rsidRDefault="00EB2BD8">
            <w:pPr>
              <w:pStyle w:val="TableParagraph"/>
              <w:spacing w:before="19"/>
              <w:ind w:left="280"/>
              <w:rPr>
                <w:sz w:val="16"/>
              </w:rPr>
            </w:pPr>
            <w:r w:rsidRPr="00EB2BD8">
              <w:rPr>
                <w:sz w:val="16"/>
              </w:rPr>
              <w:t>concrete</w:t>
            </w:r>
            <w:r w:rsidRPr="00EB2BD8">
              <w:rPr>
                <w:spacing w:val="-12"/>
                <w:sz w:val="16"/>
              </w:rPr>
              <w:t xml:space="preserve"> </w:t>
            </w:r>
            <w:r w:rsidRPr="00EB2BD8">
              <w:rPr>
                <w:sz w:val="16"/>
              </w:rPr>
              <w:t>pads,</w:t>
            </w:r>
            <w:r w:rsidRPr="00EB2BD8">
              <w:rPr>
                <w:spacing w:val="-12"/>
                <w:sz w:val="16"/>
              </w:rPr>
              <w:t xml:space="preserve"> </w:t>
            </w:r>
            <w:r w:rsidRPr="00EB2BD8">
              <w:rPr>
                <w:spacing w:val="-2"/>
                <w:sz w:val="16"/>
              </w:rPr>
              <w:t>frame)</w:t>
            </w:r>
          </w:p>
        </w:tc>
        <w:tc>
          <w:tcPr>
            <w:tcW w:w="2263" w:type="dxa"/>
          </w:tcPr>
          <w:p w14:paraId="191C3C80" w14:textId="77777777" w:rsidR="00084F36" w:rsidRPr="00EB2BD8" w:rsidRDefault="00084F36">
            <w:pPr>
              <w:pStyle w:val="TableParagraph"/>
              <w:rPr>
                <w:rFonts w:ascii="Times New Roman"/>
                <w:sz w:val="16"/>
              </w:rPr>
            </w:pPr>
          </w:p>
        </w:tc>
        <w:tc>
          <w:tcPr>
            <w:tcW w:w="1093" w:type="dxa"/>
          </w:tcPr>
          <w:p w14:paraId="6B49BAF0" w14:textId="77777777" w:rsidR="00084F36" w:rsidRPr="00EB2BD8" w:rsidRDefault="00084F36">
            <w:pPr>
              <w:pStyle w:val="TableParagraph"/>
              <w:rPr>
                <w:rFonts w:ascii="Times New Roman"/>
                <w:sz w:val="16"/>
              </w:rPr>
            </w:pPr>
          </w:p>
        </w:tc>
        <w:tc>
          <w:tcPr>
            <w:tcW w:w="1176" w:type="dxa"/>
          </w:tcPr>
          <w:p w14:paraId="06956B1F" w14:textId="77777777" w:rsidR="00084F36" w:rsidRPr="00EB2BD8" w:rsidRDefault="00084F36">
            <w:pPr>
              <w:pStyle w:val="TableParagraph"/>
              <w:rPr>
                <w:rFonts w:ascii="Times New Roman"/>
                <w:sz w:val="16"/>
              </w:rPr>
            </w:pPr>
          </w:p>
        </w:tc>
      </w:tr>
      <w:tr w:rsidR="00EB2BD8" w:rsidRPr="00EB2BD8" w14:paraId="6481FCF4" w14:textId="77777777">
        <w:trPr>
          <w:trHeight w:val="229"/>
        </w:trPr>
        <w:tc>
          <w:tcPr>
            <w:tcW w:w="1751" w:type="dxa"/>
          </w:tcPr>
          <w:p w14:paraId="562C046E" w14:textId="77777777" w:rsidR="00084F36" w:rsidRPr="00EB2BD8" w:rsidRDefault="00084F36">
            <w:pPr>
              <w:pStyle w:val="TableParagraph"/>
              <w:rPr>
                <w:rFonts w:ascii="Times New Roman"/>
                <w:sz w:val="16"/>
              </w:rPr>
            </w:pPr>
          </w:p>
        </w:tc>
        <w:tc>
          <w:tcPr>
            <w:tcW w:w="1472" w:type="dxa"/>
          </w:tcPr>
          <w:p w14:paraId="71B2E286" w14:textId="77777777" w:rsidR="00084F36" w:rsidRPr="00EB2BD8" w:rsidRDefault="00084F36">
            <w:pPr>
              <w:pStyle w:val="TableParagraph"/>
              <w:rPr>
                <w:rFonts w:ascii="Times New Roman"/>
                <w:sz w:val="16"/>
              </w:rPr>
            </w:pPr>
          </w:p>
        </w:tc>
        <w:tc>
          <w:tcPr>
            <w:tcW w:w="2445" w:type="dxa"/>
          </w:tcPr>
          <w:p w14:paraId="76A92477" w14:textId="77777777" w:rsidR="00084F36" w:rsidRPr="00EB2BD8" w:rsidRDefault="00EB2BD8">
            <w:pPr>
              <w:pStyle w:val="TableParagraph"/>
              <w:spacing w:before="19"/>
              <w:ind w:left="280"/>
              <w:rPr>
                <w:sz w:val="16"/>
              </w:rPr>
            </w:pPr>
            <w:r w:rsidRPr="00EB2BD8">
              <w:rPr>
                <w:spacing w:val="-2"/>
                <w:sz w:val="16"/>
              </w:rPr>
              <w:t>without</w:t>
            </w:r>
            <w:r w:rsidRPr="00EB2BD8">
              <w:rPr>
                <w:spacing w:val="-8"/>
                <w:sz w:val="16"/>
              </w:rPr>
              <w:t xml:space="preserve"> </w:t>
            </w:r>
            <w:r w:rsidRPr="00EB2BD8">
              <w:rPr>
                <w:spacing w:val="-2"/>
                <w:sz w:val="16"/>
              </w:rPr>
              <w:t>delay,</w:t>
            </w:r>
            <w:r w:rsidRPr="00EB2BD8">
              <w:rPr>
                <w:spacing w:val="-8"/>
                <w:sz w:val="16"/>
              </w:rPr>
              <w:t xml:space="preserve"> </w:t>
            </w:r>
            <w:r w:rsidRPr="00EB2BD8">
              <w:rPr>
                <w:spacing w:val="-2"/>
                <w:sz w:val="16"/>
              </w:rPr>
              <w:t>in</w:t>
            </w:r>
            <w:r w:rsidRPr="00EB2BD8">
              <w:rPr>
                <w:spacing w:val="-8"/>
                <w:sz w:val="16"/>
              </w:rPr>
              <w:t xml:space="preserve"> </w:t>
            </w:r>
            <w:r w:rsidRPr="00EB2BD8">
              <w:rPr>
                <w:spacing w:val="-2"/>
                <w:sz w:val="16"/>
              </w:rPr>
              <w:t>respect</w:t>
            </w:r>
            <w:r w:rsidRPr="00EB2BD8">
              <w:rPr>
                <w:spacing w:val="-7"/>
                <w:sz w:val="16"/>
              </w:rPr>
              <w:t xml:space="preserve"> </w:t>
            </w:r>
            <w:r w:rsidRPr="00EB2BD8">
              <w:rPr>
                <w:spacing w:val="-5"/>
                <w:sz w:val="16"/>
              </w:rPr>
              <w:t>of</w:t>
            </w:r>
          </w:p>
        </w:tc>
        <w:tc>
          <w:tcPr>
            <w:tcW w:w="2263" w:type="dxa"/>
          </w:tcPr>
          <w:p w14:paraId="51E8D7C0" w14:textId="77777777" w:rsidR="00084F36" w:rsidRPr="00EB2BD8" w:rsidRDefault="00084F36">
            <w:pPr>
              <w:pStyle w:val="TableParagraph"/>
              <w:rPr>
                <w:rFonts w:ascii="Times New Roman"/>
                <w:sz w:val="16"/>
              </w:rPr>
            </w:pPr>
          </w:p>
        </w:tc>
        <w:tc>
          <w:tcPr>
            <w:tcW w:w="1093" w:type="dxa"/>
          </w:tcPr>
          <w:p w14:paraId="6CA9B797" w14:textId="77777777" w:rsidR="00084F36" w:rsidRPr="00EB2BD8" w:rsidRDefault="00084F36">
            <w:pPr>
              <w:pStyle w:val="TableParagraph"/>
              <w:rPr>
                <w:rFonts w:ascii="Times New Roman"/>
                <w:sz w:val="16"/>
              </w:rPr>
            </w:pPr>
          </w:p>
        </w:tc>
        <w:tc>
          <w:tcPr>
            <w:tcW w:w="1176" w:type="dxa"/>
          </w:tcPr>
          <w:p w14:paraId="45F509B3" w14:textId="77777777" w:rsidR="00084F36" w:rsidRPr="00EB2BD8" w:rsidRDefault="00084F36">
            <w:pPr>
              <w:pStyle w:val="TableParagraph"/>
              <w:rPr>
                <w:rFonts w:ascii="Times New Roman"/>
                <w:sz w:val="16"/>
              </w:rPr>
            </w:pPr>
          </w:p>
        </w:tc>
      </w:tr>
      <w:tr w:rsidR="00EB2BD8" w:rsidRPr="00EB2BD8" w14:paraId="0292E948" w14:textId="77777777">
        <w:trPr>
          <w:trHeight w:val="285"/>
        </w:trPr>
        <w:tc>
          <w:tcPr>
            <w:tcW w:w="1751" w:type="dxa"/>
            <w:tcBorders>
              <w:bottom w:val="single" w:sz="2" w:space="0" w:color="000000"/>
            </w:tcBorders>
          </w:tcPr>
          <w:p w14:paraId="69D2102E" w14:textId="77777777" w:rsidR="00084F36" w:rsidRPr="00EB2BD8" w:rsidRDefault="00084F36">
            <w:pPr>
              <w:pStyle w:val="TableParagraph"/>
              <w:rPr>
                <w:rFonts w:ascii="Times New Roman"/>
                <w:sz w:val="16"/>
              </w:rPr>
            </w:pPr>
          </w:p>
        </w:tc>
        <w:tc>
          <w:tcPr>
            <w:tcW w:w="1472" w:type="dxa"/>
            <w:tcBorders>
              <w:bottom w:val="single" w:sz="2" w:space="0" w:color="000000"/>
            </w:tcBorders>
          </w:tcPr>
          <w:p w14:paraId="3AC391FF" w14:textId="77777777" w:rsidR="00084F36" w:rsidRPr="00EB2BD8" w:rsidRDefault="00084F36">
            <w:pPr>
              <w:pStyle w:val="TableParagraph"/>
              <w:rPr>
                <w:rFonts w:ascii="Times New Roman"/>
                <w:sz w:val="16"/>
              </w:rPr>
            </w:pPr>
          </w:p>
        </w:tc>
        <w:tc>
          <w:tcPr>
            <w:tcW w:w="2445" w:type="dxa"/>
            <w:tcBorders>
              <w:bottom w:val="single" w:sz="2" w:space="0" w:color="000000"/>
            </w:tcBorders>
          </w:tcPr>
          <w:p w14:paraId="7BC4C2F1" w14:textId="77777777" w:rsidR="00084F36" w:rsidRPr="00EB2BD8" w:rsidRDefault="00EB2BD8">
            <w:pPr>
              <w:pStyle w:val="TableParagraph"/>
              <w:spacing w:before="19"/>
              <w:ind w:left="280"/>
              <w:rPr>
                <w:sz w:val="16"/>
              </w:rPr>
            </w:pPr>
            <w:r w:rsidRPr="00EB2BD8">
              <w:rPr>
                <w:spacing w:val="-2"/>
                <w:w w:val="105"/>
                <w:sz w:val="16"/>
              </w:rPr>
              <w:t>a</w:t>
            </w:r>
            <w:r w:rsidRPr="00EB2BD8">
              <w:rPr>
                <w:spacing w:val="-12"/>
                <w:w w:val="105"/>
                <w:sz w:val="16"/>
              </w:rPr>
              <w:t xml:space="preserve"> </w:t>
            </w:r>
            <w:r w:rsidRPr="00EB2BD8">
              <w:rPr>
                <w:spacing w:val="-2"/>
                <w:w w:val="105"/>
                <w:sz w:val="16"/>
              </w:rPr>
              <w:t>site</w:t>
            </w:r>
            <w:r w:rsidRPr="00EB2BD8">
              <w:rPr>
                <w:spacing w:val="-12"/>
                <w:w w:val="105"/>
                <w:sz w:val="16"/>
              </w:rPr>
              <w:t xml:space="preserve"> </w:t>
            </w:r>
            <w:r w:rsidRPr="00EB2BD8">
              <w:rPr>
                <w:spacing w:val="-2"/>
                <w:w w:val="105"/>
                <w:sz w:val="16"/>
              </w:rPr>
              <w:t>at</w:t>
            </w:r>
            <w:r w:rsidRPr="00EB2BD8">
              <w:rPr>
                <w:spacing w:val="-12"/>
                <w:w w:val="105"/>
                <w:sz w:val="16"/>
              </w:rPr>
              <w:t xml:space="preserve"> </w:t>
            </w:r>
            <w:r w:rsidRPr="00EB2BD8">
              <w:rPr>
                <w:spacing w:val="-2"/>
                <w:w w:val="105"/>
                <w:sz w:val="16"/>
              </w:rPr>
              <w:t>Elsternwick.</w:t>
            </w:r>
          </w:p>
        </w:tc>
        <w:tc>
          <w:tcPr>
            <w:tcW w:w="2263" w:type="dxa"/>
            <w:tcBorders>
              <w:bottom w:val="single" w:sz="2" w:space="0" w:color="000000"/>
            </w:tcBorders>
          </w:tcPr>
          <w:p w14:paraId="4677998D" w14:textId="77777777" w:rsidR="00084F36" w:rsidRPr="00EB2BD8" w:rsidRDefault="00084F36">
            <w:pPr>
              <w:pStyle w:val="TableParagraph"/>
              <w:rPr>
                <w:rFonts w:ascii="Times New Roman"/>
                <w:sz w:val="16"/>
              </w:rPr>
            </w:pPr>
          </w:p>
        </w:tc>
        <w:tc>
          <w:tcPr>
            <w:tcW w:w="1093" w:type="dxa"/>
            <w:tcBorders>
              <w:bottom w:val="single" w:sz="2" w:space="0" w:color="000000"/>
            </w:tcBorders>
          </w:tcPr>
          <w:p w14:paraId="754A95C1"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495FFDA8" w14:textId="77777777" w:rsidR="00084F36" w:rsidRPr="00EB2BD8" w:rsidRDefault="00084F36">
            <w:pPr>
              <w:pStyle w:val="TableParagraph"/>
              <w:rPr>
                <w:rFonts w:ascii="Times New Roman"/>
                <w:sz w:val="16"/>
              </w:rPr>
            </w:pPr>
          </w:p>
        </w:tc>
      </w:tr>
      <w:tr w:rsidR="00EB2BD8" w:rsidRPr="00EB2BD8" w14:paraId="340280C0" w14:textId="77777777">
        <w:trPr>
          <w:trHeight w:val="325"/>
        </w:trPr>
        <w:tc>
          <w:tcPr>
            <w:tcW w:w="1751" w:type="dxa"/>
            <w:tcBorders>
              <w:top w:val="single" w:sz="2" w:space="0" w:color="000000"/>
            </w:tcBorders>
          </w:tcPr>
          <w:p w14:paraId="590C1B10" w14:textId="77777777" w:rsidR="00084F36" w:rsidRPr="00EB2BD8" w:rsidRDefault="00EB2BD8">
            <w:pPr>
              <w:pStyle w:val="TableParagraph"/>
              <w:spacing w:before="115"/>
              <w:ind w:left="113"/>
              <w:rPr>
                <w:sz w:val="16"/>
              </w:rPr>
            </w:pPr>
            <w:r w:rsidRPr="00EB2BD8">
              <w:rPr>
                <w:sz w:val="16"/>
              </w:rPr>
              <w:t>Melway</w:t>
            </w:r>
            <w:r w:rsidRPr="00EB2BD8">
              <w:rPr>
                <w:spacing w:val="-5"/>
                <w:sz w:val="16"/>
              </w:rPr>
              <w:t xml:space="preserve"> </w:t>
            </w:r>
            <w:r w:rsidRPr="00EB2BD8">
              <w:rPr>
                <w:sz w:val="16"/>
              </w:rPr>
              <w:t>Bin</w:t>
            </w:r>
            <w:r w:rsidRPr="00EB2BD8">
              <w:rPr>
                <w:spacing w:val="-5"/>
                <w:sz w:val="16"/>
              </w:rPr>
              <w:t xml:space="preserve"> </w:t>
            </w:r>
            <w:r w:rsidRPr="00EB2BD8">
              <w:rPr>
                <w:spacing w:val="-4"/>
                <w:sz w:val="16"/>
              </w:rPr>
              <w:t>Hire</w:t>
            </w:r>
          </w:p>
        </w:tc>
        <w:tc>
          <w:tcPr>
            <w:tcW w:w="1472" w:type="dxa"/>
            <w:tcBorders>
              <w:top w:val="single" w:sz="2" w:space="0" w:color="000000"/>
            </w:tcBorders>
          </w:tcPr>
          <w:p w14:paraId="40771F97" w14:textId="77777777" w:rsidR="00084F36" w:rsidRPr="00EB2BD8" w:rsidRDefault="00EB2BD8">
            <w:pPr>
              <w:pStyle w:val="TableParagraph"/>
              <w:spacing w:before="115"/>
              <w:ind w:left="119"/>
              <w:rPr>
                <w:sz w:val="16"/>
              </w:rPr>
            </w:pPr>
            <w:r w:rsidRPr="00EB2BD8">
              <w:rPr>
                <w:sz w:val="16"/>
              </w:rPr>
              <w:t>CBD-M</w:t>
            </w:r>
            <w:r w:rsidRPr="00EB2BD8">
              <w:rPr>
                <w:spacing w:val="19"/>
                <w:sz w:val="16"/>
              </w:rPr>
              <w:t xml:space="preserve"> </w:t>
            </w:r>
            <w:r w:rsidRPr="00EB2BD8">
              <w:rPr>
                <w:spacing w:val="-2"/>
                <w:sz w:val="16"/>
              </w:rPr>
              <w:t>67569;</w:t>
            </w:r>
          </w:p>
        </w:tc>
        <w:tc>
          <w:tcPr>
            <w:tcW w:w="2445" w:type="dxa"/>
            <w:tcBorders>
              <w:top w:val="single" w:sz="2" w:space="0" w:color="000000"/>
            </w:tcBorders>
          </w:tcPr>
          <w:p w14:paraId="3503A81E" w14:textId="77777777" w:rsidR="00084F36" w:rsidRPr="00EB2BD8" w:rsidRDefault="00EB2BD8">
            <w:pPr>
              <w:pStyle w:val="TableParagraph"/>
              <w:spacing w:before="115"/>
              <w:ind w:left="280"/>
              <w:rPr>
                <w:sz w:val="16"/>
              </w:rPr>
            </w:pPr>
            <w:r w:rsidRPr="00EB2BD8">
              <w:rPr>
                <w:spacing w:val="-2"/>
                <w:sz w:val="16"/>
              </w:rPr>
              <w:t>Failing</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call</w:t>
            </w:r>
            <w:r w:rsidRPr="00EB2BD8">
              <w:rPr>
                <w:spacing w:val="-7"/>
                <w:sz w:val="16"/>
              </w:rPr>
              <w:t xml:space="preserve"> </w:t>
            </w:r>
            <w:r w:rsidRPr="00EB2BD8">
              <w:rPr>
                <w:spacing w:val="-2"/>
                <w:sz w:val="16"/>
              </w:rPr>
              <w:t>for</w:t>
            </w:r>
            <w:r w:rsidRPr="00EB2BD8">
              <w:rPr>
                <w:spacing w:val="-8"/>
                <w:sz w:val="16"/>
              </w:rPr>
              <w:t xml:space="preserve"> </w:t>
            </w:r>
            <w:r w:rsidRPr="00EB2BD8">
              <w:rPr>
                <w:spacing w:val="-12"/>
                <w:sz w:val="16"/>
              </w:rPr>
              <w:t>a</w:t>
            </w:r>
          </w:p>
        </w:tc>
        <w:tc>
          <w:tcPr>
            <w:tcW w:w="2263" w:type="dxa"/>
            <w:tcBorders>
              <w:top w:val="single" w:sz="2" w:space="0" w:color="000000"/>
            </w:tcBorders>
          </w:tcPr>
          <w:p w14:paraId="68554C94" w14:textId="77777777" w:rsidR="00084F36" w:rsidRPr="00EB2BD8" w:rsidRDefault="00EB2BD8">
            <w:pPr>
              <w:pStyle w:val="TableParagraph"/>
              <w:spacing w:before="115"/>
              <w:ind w:left="114"/>
              <w:rPr>
                <w:sz w:val="16"/>
              </w:rPr>
            </w:pPr>
            <w:r w:rsidRPr="00EB2BD8">
              <w:rPr>
                <w:spacing w:val="-2"/>
                <w:sz w:val="16"/>
              </w:rPr>
              <w:t>Reprimands,</w:t>
            </w:r>
            <w:r w:rsidRPr="00EB2BD8">
              <w:rPr>
                <w:spacing w:val="-4"/>
                <w:sz w:val="16"/>
              </w:rPr>
              <w:t xml:space="preserve"> </w:t>
            </w:r>
            <w:r w:rsidRPr="00EB2BD8">
              <w:rPr>
                <w:spacing w:val="-2"/>
                <w:sz w:val="16"/>
              </w:rPr>
              <w:t>aggregate</w:t>
            </w:r>
          </w:p>
        </w:tc>
        <w:tc>
          <w:tcPr>
            <w:tcW w:w="1093" w:type="dxa"/>
            <w:tcBorders>
              <w:top w:val="single" w:sz="2" w:space="0" w:color="000000"/>
            </w:tcBorders>
          </w:tcPr>
          <w:p w14:paraId="2B67C71F" w14:textId="77777777" w:rsidR="00084F36" w:rsidRPr="00EB2BD8" w:rsidRDefault="00EB2BD8">
            <w:pPr>
              <w:pStyle w:val="TableParagraph"/>
              <w:spacing w:before="114"/>
              <w:ind w:right="110"/>
              <w:jc w:val="right"/>
              <w:rPr>
                <w:sz w:val="16"/>
              </w:rPr>
            </w:pPr>
            <w:r w:rsidRPr="00EB2BD8">
              <w:rPr>
                <w:spacing w:val="-2"/>
                <w:sz w:val="16"/>
              </w:rPr>
              <w:t>$10,000</w:t>
            </w:r>
          </w:p>
        </w:tc>
        <w:tc>
          <w:tcPr>
            <w:tcW w:w="1176" w:type="dxa"/>
            <w:tcBorders>
              <w:top w:val="single" w:sz="2" w:space="0" w:color="000000"/>
            </w:tcBorders>
          </w:tcPr>
          <w:p w14:paraId="474EC5AE" w14:textId="77777777" w:rsidR="00084F36" w:rsidRPr="00EB2BD8" w:rsidRDefault="00EB2BD8">
            <w:pPr>
              <w:pStyle w:val="TableParagraph"/>
              <w:spacing w:before="114"/>
              <w:ind w:left="114"/>
              <w:rPr>
                <w:sz w:val="16"/>
              </w:rPr>
            </w:pPr>
            <w:r w:rsidRPr="00EB2BD8">
              <w:rPr>
                <w:spacing w:val="-2"/>
                <w:w w:val="85"/>
                <w:sz w:val="16"/>
              </w:rPr>
              <w:t>23/11/2022</w:t>
            </w:r>
          </w:p>
        </w:tc>
      </w:tr>
      <w:tr w:rsidR="00EB2BD8" w:rsidRPr="00EB2BD8" w14:paraId="0CBED8B5" w14:textId="77777777">
        <w:trPr>
          <w:trHeight w:val="229"/>
        </w:trPr>
        <w:tc>
          <w:tcPr>
            <w:tcW w:w="1751" w:type="dxa"/>
          </w:tcPr>
          <w:p w14:paraId="5F1205BD" w14:textId="77777777" w:rsidR="00084F36" w:rsidRPr="00EB2BD8" w:rsidRDefault="00EB2BD8">
            <w:pPr>
              <w:pStyle w:val="TableParagraph"/>
              <w:spacing w:before="19"/>
              <w:ind w:left="113"/>
              <w:rPr>
                <w:sz w:val="16"/>
              </w:rPr>
            </w:pPr>
            <w:r w:rsidRPr="00EB2BD8">
              <w:rPr>
                <w:spacing w:val="-4"/>
                <w:sz w:val="16"/>
              </w:rPr>
              <w:t>And</w:t>
            </w:r>
            <w:r w:rsidRPr="00EB2BD8">
              <w:rPr>
                <w:spacing w:val="-2"/>
                <w:sz w:val="16"/>
              </w:rPr>
              <w:t xml:space="preserve"> </w:t>
            </w:r>
            <w:r w:rsidRPr="00EB2BD8">
              <w:rPr>
                <w:spacing w:val="-4"/>
                <w:sz w:val="16"/>
              </w:rPr>
              <w:t>Demolition</w:t>
            </w:r>
            <w:r w:rsidRPr="00EB2BD8">
              <w:rPr>
                <w:spacing w:val="-2"/>
                <w:sz w:val="16"/>
              </w:rPr>
              <w:t xml:space="preserve"> </w:t>
            </w:r>
            <w:r w:rsidRPr="00EB2BD8">
              <w:rPr>
                <w:spacing w:val="-5"/>
                <w:sz w:val="16"/>
              </w:rPr>
              <w:t>Pty</w:t>
            </w:r>
          </w:p>
        </w:tc>
        <w:tc>
          <w:tcPr>
            <w:tcW w:w="1472" w:type="dxa"/>
          </w:tcPr>
          <w:p w14:paraId="51730225" w14:textId="77777777" w:rsidR="00084F36" w:rsidRPr="00EB2BD8" w:rsidRDefault="00EB2BD8">
            <w:pPr>
              <w:pStyle w:val="TableParagraph"/>
              <w:spacing w:before="19"/>
              <w:ind w:left="119"/>
              <w:rPr>
                <w:sz w:val="16"/>
              </w:rPr>
            </w:pPr>
            <w:r w:rsidRPr="00EB2BD8">
              <w:rPr>
                <w:spacing w:val="2"/>
                <w:sz w:val="16"/>
              </w:rPr>
              <w:t>CBD-L</w:t>
            </w:r>
            <w:r w:rsidRPr="00EB2BD8">
              <w:rPr>
                <w:spacing w:val="18"/>
                <w:sz w:val="16"/>
              </w:rPr>
              <w:t xml:space="preserve"> </w:t>
            </w:r>
            <w:r w:rsidRPr="00EB2BD8">
              <w:rPr>
                <w:spacing w:val="-4"/>
                <w:sz w:val="16"/>
              </w:rPr>
              <w:t>53662</w:t>
            </w:r>
          </w:p>
        </w:tc>
        <w:tc>
          <w:tcPr>
            <w:tcW w:w="2445" w:type="dxa"/>
          </w:tcPr>
          <w:p w14:paraId="44262127" w14:textId="77777777" w:rsidR="00084F36" w:rsidRPr="00EB2BD8" w:rsidRDefault="00EB2BD8">
            <w:pPr>
              <w:pStyle w:val="TableParagraph"/>
              <w:spacing w:before="19"/>
              <w:ind w:left="280"/>
              <w:rPr>
                <w:sz w:val="16"/>
              </w:rPr>
            </w:pPr>
            <w:r w:rsidRPr="00EB2BD8">
              <w:rPr>
                <w:sz w:val="16"/>
              </w:rPr>
              <w:t>mandatory</w:t>
            </w:r>
            <w:r w:rsidRPr="00EB2BD8">
              <w:rPr>
                <w:spacing w:val="14"/>
                <w:sz w:val="16"/>
              </w:rPr>
              <w:t xml:space="preserve"> </w:t>
            </w:r>
            <w:r w:rsidRPr="00EB2BD8">
              <w:rPr>
                <w:spacing w:val="-2"/>
                <w:sz w:val="16"/>
              </w:rPr>
              <w:t>stage</w:t>
            </w:r>
          </w:p>
        </w:tc>
        <w:tc>
          <w:tcPr>
            <w:tcW w:w="2263" w:type="dxa"/>
          </w:tcPr>
          <w:p w14:paraId="05D2BB99" w14:textId="77777777" w:rsidR="00084F36" w:rsidRPr="00EB2BD8" w:rsidRDefault="00EB2BD8">
            <w:pPr>
              <w:pStyle w:val="TableParagraph"/>
              <w:spacing w:before="19"/>
              <w:ind w:left="114"/>
              <w:rPr>
                <w:sz w:val="16"/>
              </w:rPr>
            </w:pPr>
            <w:r w:rsidRPr="00EB2BD8">
              <w:rPr>
                <w:sz w:val="16"/>
              </w:rPr>
              <w:t>penalties</w:t>
            </w:r>
            <w:r w:rsidRPr="00EB2BD8">
              <w:rPr>
                <w:spacing w:val="-12"/>
                <w:sz w:val="16"/>
              </w:rPr>
              <w:t xml:space="preserve"> </w:t>
            </w:r>
            <w:r w:rsidRPr="00EB2BD8">
              <w:rPr>
                <w:sz w:val="16"/>
              </w:rPr>
              <w:t>of</w:t>
            </w:r>
            <w:r w:rsidRPr="00EB2BD8">
              <w:rPr>
                <w:spacing w:val="-12"/>
                <w:sz w:val="16"/>
              </w:rPr>
              <w:t xml:space="preserve"> </w:t>
            </w:r>
            <w:r w:rsidRPr="00EB2BD8">
              <w:rPr>
                <w:spacing w:val="-2"/>
                <w:sz w:val="16"/>
              </w:rPr>
              <w:t>$10,000,</w:t>
            </w:r>
          </w:p>
        </w:tc>
        <w:tc>
          <w:tcPr>
            <w:tcW w:w="1093" w:type="dxa"/>
          </w:tcPr>
          <w:p w14:paraId="00739BAD" w14:textId="77777777" w:rsidR="00084F36" w:rsidRPr="00EB2BD8" w:rsidRDefault="00084F36">
            <w:pPr>
              <w:pStyle w:val="TableParagraph"/>
              <w:rPr>
                <w:rFonts w:ascii="Times New Roman"/>
                <w:sz w:val="16"/>
              </w:rPr>
            </w:pPr>
          </w:p>
        </w:tc>
        <w:tc>
          <w:tcPr>
            <w:tcW w:w="1176" w:type="dxa"/>
          </w:tcPr>
          <w:p w14:paraId="6E27ED13" w14:textId="77777777" w:rsidR="00084F36" w:rsidRPr="00EB2BD8" w:rsidRDefault="00084F36">
            <w:pPr>
              <w:pStyle w:val="TableParagraph"/>
              <w:rPr>
                <w:rFonts w:ascii="Times New Roman"/>
                <w:sz w:val="16"/>
              </w:rPr>
            </w:pPr>
          </w:p>
        </w:tc>
      </w:tr>
      <w:tr w:rsidR="00EB2BD8" w:rsidRPr="00EB2BD8" w14:paraId="5AD649AD" w14:textId="77777777">
        <w:trPr>
          <w:trHeight w:val="229"/>
        </w:trPr>
        <w:tc>
          <w:tcPr>
            <w:tcW w:w="1751" w:type="dxa"/>
          </w:tcPr>
          <w:p w14:paraId="108C5EDD" w14:textId="77777777" w:rsidR="00084F36" w:rsidRPr="00EB2BD8" w:rsidRDefault="00EB2BD8">
            <w:pPr>
              <w:pStyle w:val="TableParagraph"/>
              <w:spacing w:before="19"/>
              <w:ind w:left="113"/>
              <w:rPr>
                <w:sz w:val="16"/>
              </w:rPr>
            </w:pPr>
            <w:r w:rsidRPr="00EB2BD8">
              <w:rPr>
                <w:spacing w:val="-5"/>
                <w:w w:val="105"/>
                <w:sz w:val="16"/>
              </w:rPr>
              <w:t>Ltd</w:t>
            </w:r>
          </w:p>
        </w:tc>
        <w:tc>
          <w:tcPr>
            <w:tcW w:w="1472" w:type="dxa"/>
          </w:tcPr>
          <w:p w14:paraId="74200638" w14:textId="77777777" w:rsidR="00084F36" w:rsidRPr="00EB2BD8" w:rsidRDefault="00084F36">
            <w:pPr>
              <w:pStyle w:val="TableParagraph"/>
              <w:rPr>
                <w:rFonts w:ascii="Times New Roman"/>
                <w:sz w:val="16"/>
              </w:rPr>
            </w:pPr>
          </w:p>
        </w:tc>
        <w:tc>
          <w:tcPr>
            <w:tcW w:w="2445" w:type="dxa"/>
          </w:tcPr>
          <w:p w14:paraId="0B9B8C8E" w14:textId="77777777" w:rsidR="00084F36" w:rsidRPr="00EB2BD8" w:rsidRDefault="00EB2BD8">
            <w:pPr>
              <w:pStyle w:val="TableParagraph"/>
              <w:spacing w:before="19"/>
              <w:ind w:left="280"/>
              <w:rPr>
                <w:sz w:val="16"/>
              </w:rPr>
            </w:pPr>
            <w:r w:rsidRPr="00EB2BD8">
              <w:rPr>
                <w:sz w:val="16"/>
              </w:rPr>
              <w:t>inspection</w:t>
            </w:r>
            <w:r w:rsidRPr="00EB2BD8">
              <w:rPr>
                <w:spacing w:val="-11"/>
                <w:sz w:val="16"/>
              </w:rPr>
              <w:t xml:space="preserve"> </w:t>
            </w:r>
            <w:r w:rsidRPr="00EB2BD8">
              <w:rPr>
                <w:sz w:val="16"/>
              </w:rPr>
              <w:t>in</w:t>
            </w:r>
            <w:r w:rsidRPr="00EB2BD8">
              <w:rPr>
                <w:spacing w:val="-11"/>
                <w:sz w:val="16"/>
              </w:rPr>
              <w:t xml:space="preserve"> </w:t>
            </w:r>
            <w:r w:rsidRPr="00EB2BD8">
              <w:rPr>
                <w:sz w:val="16"/>
              </w:rPr>
              <w:t>respect</w:t>
            </w:r>
            <w:r w:rsidRPr="00EB2BD8">
              <w:rPr>
                <w:spacing w:val="-11"/>
                <w:sz w:val="16"/>
              </w:rPr>
              <w:t xml:space="preserve"> </w:t>
            </w:r>
            <w:r w:rsidRPr="00EB2BD8">
              <w:rPr>
                <w:spacing w:val="-5"/>
                <w:sz w:val="16"/>
              </w:rPr>
              <w:t>of</w:t>
            </w:r>
          </w:p>
        </w:tc>
        <w:tc>
          <w:tcPr>
            <w:tcW w:w="2263" w:type="dxa"/>
          </w:tcPr>
          <w:p w14:paraId="696BE0F3" w14:textId="77777777" w:rsidR="00084F36" w:rsidRPr="00EB2BD8" w:rsidRDefault="00EB2BD8">
            <w:pPr>
              <w:pStyle w:val="TableParagraph"/>
              <w:spacing w:before="19"/>
              <w:ind w:left="114"/>
              <w:rPr>
                <w:sz w:val="16"/>
              </w:rPr>
            </w:pPr>
            <w:r w:rsidRPr="00EB2BD8">
              <w:rPr>
                <w:spacing w:val="-2"/>
                <w:sz w:val="16"/>
              </w:rPr>
              <w:t>conditions</w:t>
            </w:r>
            <w:r w:rsidRPr="00EB2BD8">
              <w:rPr>
                <w:spacing w:val="-5"/>
                <w:sz w:val="16"/>
              </w:rPr>
              <w:t xml:space="preserve"> </w:t>
            </w:r>
            <w:r w:rsidRPr="00EB2BD8">
              <w:rPr>
                <w:spacing w:val="-2"/>
                <w:sz w:val="16"/>
              </w:rPr>
              <w:t>on</w:t>
            </w:r>
            <w:r w:rsidRPr="00EB2BD8">
              <w:rPr>
                <w:spacing w:val="-5"/>
                <w:sz w:val="16"/>
              </w:rPr>
              <w:t xml:space="preserve"> </w:t>
            </w:r>
            <w:r w:rsidRPr="00EB2BD8">
              <w:rPr>
                <w:spacing w:val="-2"/>
                <w:sz w:val="16"/>
              </w:rPr>
              <w:t>registration</w:t>
            </w:r>
          </w:p>
        </w:tc>
        <w:tc>
          <w:tcPr>
            <w:tcW w:w="1093" w:type="dxa"/>
          </w:tcPr>
          <w:p w14:paraId="6AA1C169" w14:textId="77777777" w:rsidR="00084F36" w:rsidRPr="00EB2BD8" w:rsidRDefault="00084F36">
            <w:pPr>
              <w:pStyle w:val="TableParagraph"/>
              <w:rPr>
                <w:rFonts w:ascii="Times New Roman"/>
                <w:sz w:val="16"/>
              </w:rPr>
            </w:pPr>
          </w:p>
        </w:tc>
        <w:tc>
          <w:tcPr>
            <w:tcW w:w="1176" w:type="dxa"/>
          </w:tcPr>
          <w:p w14:paraId="5A85D201" w14:textId="77777777" w:rsidR="00084F36" w:rsidRPr="00EB2BD8" w:rsidRDefault="00084F36">
            <w:pPr>
              <w:pStyle w:val="TableParagraph"/>
              <w:rPr>
                <w:rFonts w:ascii="Times New Roman"/>
                <w:sz w:val="16"/>
              </w:rPr>
            </w:pPr>
          </w:p>
        </w:tc>
      </w:tr>
      <w:tr w:rsidR="00EB2BD8" w:rsidRPr="00EB2BD8" w14:paraId="4EFC955C" w14:textId="77777777">
        <w:trPr>
          <w:trHeight w:val="229"/>
        </w:trPr>
        <w:tc>
          <w:tcPr>
            <w:tcW w:w="1751" w:type="dxa"/>
          </w:tcPr>
          <w:p w14:paraId="69D55F77" w14:textId="77777777" w:rsidR="00084F36" w:rsidRPr="00EB2BD8" w:rsidRDefault="00084F36">
            <w:pPr>
              <w:pStyle w:val="TableParagraph"/>
              <w:rPr>
                <w:rFonts w:ascii="Times New Roman"/>
                <w:sz w:val="16"/>
              </w:rPr>
            </w:pPr>
          </w:p>
        </w:tc>
        <w:tc>
          <w:tcPr>
            <w:tcW w:w="1472" w:type="dxa"/>
          </w:tcPr>
          <w:p w14:paraId="39BC4E78" w14:textId="77777777" w:rsidR="00084F36" w:rsidRPr="00EB2BD8" w:rsidRDefault="00084F36">
            <w:pPr>
              <w:pStyle w:val="TableParagraph"/>
              <w:rPr>
                <w:rFonts w:ascii="Times New Roman"/>
                <w:sz w:val="16"/>
              </w:rPr>
            </w:pPr>
          </w:p>
        </w:tc>
        <w:tc>
          <w:tcPr>
            <w:tcW w:w="2445" w:type="dxa"/>
          </w:tcPr>
          <w:p w14:paraId="081B1D33" w14:textId="77777777" w:rsidR="00084F36" w:rsidRPr="00EB2BD8" w:rsidRDefault="00EB2BD8">
            <w:pPr>
              <w:pStyle w:val="TableParagraph"/>
              <w:spacing w:before="19"/>
              <w:ind w:left="280"/>
              <w:rPr>
                <w:sz w:val="16"/>
              </w:rPr>
            </w:pPr>
            <w:r w:rsidRPr="00EB2BD8">
              <w:rPr>
                <w:sz w:val="16"/>
              </w:rPr>
              <w:t>demolition</w:t>
            </w:r>
            <w:r w:rsidRPr="00EB2BD8">
              <w:rPr>
                <w:spacing w:val="-12"/>
                <w:sz w:val="16"/>
              </w:rPr>
              <w:t xml:space="preserve"> </w:t>
            </w:r>
            <w:r w:rsidRPr="00EB2BD8">
              <w:rPr>
                <w:sz w:val="16"/>
              </w:rPr>
              <w:t>at</w:t>
            </w:r>
            <w:r w:rsidRPr="00EB2BD8">
              <w:rPr>
                <w:spacing w:val="-12"/>
                <w:sz w:val="16"/>
              </w:rPr>
              <w:t xml:space="preserve"> </w:t>
            </w:r>
            <w:r w:rsidRPr="00EB2BD8">
              <w:rPr>
                <w:sz w:val="16"/>
              </w:rPr>
              <w:t>a</w:t>
            </w:r>
            <w:r w:rsidRPr="00EB2BD8">
              <w:rPr>
                <w:spacing w:val="-11"/>
                <w:sz w:val="16"/>
              </w:rPr>
              <w:t xml:space="preserve"> </w:t>
            </w:r>
            <w:r w:rsidRPr="00EB2BD8">
              <w:rPr>
                <w:sz w:val="16"/>
              </w:rPr>
              <w:t>site</w:t>
            </w:r>
            <w:r w:rsidRPr="00EB2BD8">
              <w:rPr>
                <w:spacing w:val="-12"/>
                <w:sz w:val="16"/>
              </w:rPr>
              <w:t xml:space="preserve"> </w:t>
            </w:r>
            <w:r w:rsidRPr="00EB2BD8">
              <w:rPr>
                <w:spacing w:val="-5"/>
                <w:sz w:val="16"/>
              </w:rPr>
              <w:t>in</w:t>
            </w:r>
          </w:p>
        </w:tc>
        <w:tc>
          <w:tcPr>
            <w:tcW w:w="2263" w:type="dxa"/>
          </w:tcPr>
          <w:p w14:paraId="133BEB92" w14:textId="77777777" w:rsidR="00084F36" w:rsidRPr="00EB2BD8" w:rsidRDefault="00EB2BD8">
            <w:pPr>
              <w:pStyle w:val="TableParagraph"/>
              <w:spacing w:before="19"/>
              <w:ind w:left="114"/>
              <w:rPr>
                <w:sz w:val="16"/>
              </w:rPr>
            </w:pPr>
            <w:r w:rsidRPr="00EB2BD8">
              <w:rPr>
                <w:sz w:val="16"/>
              </w:rPr>
              <w:t>that</w:t>
            </w:r>
            <w:r w:rsidRPr="00EB2BD8">
              <w:rPr>
                <w:spacing w:val="-6"/>
                <w:sz w:val="16"/>
              </w:rPr>
              <w:t xml:space="preserve"> </w:t>
            </w:r>
            <w:r w:rsidRPr="00EB2BD8">
              <w:rPr>
                <w:sz w:val="16"/>
              </w:rPr>
              <w:t>nominee</w:t>
            </w:r>
            <w:r w:rsidRPr="00EB2BD8">
              <w:rPr>
                <w:spacing w:val="-5"/>
                <w:sz w:val="16"/>
              </w:rPr>
              <w:t xml:space="preserve"> </w:t>
            </w:r>
            <w:r w:rsidRPr="00EB2BD8">
              <w:rPr>
                <w:spacing w:val="-2"/>
                <w:sz w:val="16"/>
              </w:rPr>
              <w:t>director</w:t>
            </w:r>
          </w:p>
        </w:tc>
        <w:tc>
          <w:tcPr>
            <w:tcW w:w="1093" w:type="dxa"/>
          </w:tcPr>
          <w:p w14:paraId="7CC902CC" w14:textId="77777777" w:rsidR="00084F36" w:rsidRPr="00EB2BD8" w:rsidRDefault="00084F36">
            <w:pPr>
              <w:pStyle w:val="TableParagraph"/>
              <w:rPr>
                <w:rFonts w:ascii="Times New Roman"/>
                <w:sz w:val="16"/>
              </w:rPr>
            </w:pPr>
          </w:p>
        </w:tc>
        <w:tc>
          <w:tcPr>
            <w:tcW w:w="1176" w:type="dxa"/>
          </w:tcPr>
          <w:p w14:paraId="467D463E" w14:textId="77777777" w:rsidR="00084F36" w:rsidRPr="00EB2BD8" w:rsidRDefault="00084F36">
            <w:pPr>
              <w:pStyle w:val="TableParagraph"/>
              <w:rPr>
                <w:rFonts w:ascii="Times New Roman"/>
                <w:sz w:val="16"/>
              </w:rPr>
            </w:pPr>
          </w:p>
        </w:tc>
      </w:tr>
      <w:tr w:rsidR="00EB2BD8" w:rsidRPr="00EB2BD8" w14:paraId="13CBA6B4" w14:textId="77777777">
        <w:trPr>
          <w:trHeight w:val="229"/>
        </w:trPr>
        <w:tc>
          <w:tcPr>
            <w:tcW w:w="1751" w:type="dxa"/>
          </w:tcPr>
          <w:p w14:paraId="4AFAC649" w14:textId="77777777" w:rsidR="00084F36" w:rsidRPr="00EB2BD8" w:rsidRDefault="00084F36">
            <w:pPr>
              <w:pStyle w:val="TableParagraph"/>
              <w:rPr>
                <w:rFonts w:ascii="Times New Roman"/>
                <w:sz w:val="16"/>
              </w:rPr>
            </w:pPr>
          </w:p>
        </w:tc>
        <w:tc>
          <w:tcPr>
            <w:tcW w:w="1472" w:type="dxa"/>
          </w:tcPr>
          <w:p w14:paraId="1195AC86" w14:textId="77777777" w:rsidR="00084F36" w:rsidRPr="00EB2BD8" w:rsidRDefault="00084F36">
            <w:pPr>
              <w:pStyle w:val="TableParagraph"/>
              <w:rPr>
                <w:rFonts w:ascii="Times New Roman"/>
                <w:sz w:val="16"/>
              </w:rPr>
            </w:pPr>
          </w:p>
        </w:tc>
        <w:tc>
          <w:tcPr>
            <w:tcW w:w="2445" w:type="dxa"/>
          </w:tcPr>
          <w:p w14:paraId="36084787" w14:textId="77777777" w:rsidR="00084F36" w:rsidRPr="00EB2BD8" w:rsidRDefault="00EB2BD8">
            <w:pPr>
              <w:pStyle w:val="TableParagraph"/>
              <w:spacing w:before="19"/>
              <w:ind w:left="280"/>
              <w:rPr>
                <w:sz w:val="16"/>
              </w:rPr>
            </w:pPr>
            <w:r w:rsidRPr="00EB2BD8">
              <w:rPr>
                <w:spacing w:val="-2"/>
                <w:sz w:val="16"/>
              </w:rPr>
              <w:t>Richmond.</w:t>
            </w:r>
          </w:p>
        </w:tc>
        <w:tc>
          <w:tcPr>
            <w:tcW w:w="2263" w:type="dxa"/>
          </w:tcPr>
          <w:p w14:paraId="76ACDE61" w14:textId="77777777" w:rsidR="00084F36" w:rsidRPr="00EB2BD8" w:rsidRDefault="00EB2BD8">
            <w:pPr>
              <w:pStyle w:val="TableParagraph"/>
              <w:spacing w:before="19"/>
              <w:ind w:left="114"/>
              <w:rPr>
                <w:sz w:val="16"/>
              </w:rPr>
            </w:pPr>
            <w:r w:rsidRPr="00EB2BD8">
              <w:rPr>
                <w:sz w:val="16"/>
              </w:rPr>
              <w:t>complete</w:t>
            </w:r>
            <w:r w:rsidRPr="00EB2BD8">
              <w:rPr>
                <w:spacing w:val="-6"/>
                <w:sz w:val="16"/>
              </w:rPr>
              <w:t xml:space="preserve"> </w:t>
            </w:r>
            <w:r w:rsidRPr="00EB2BD8">
              <w:rPr>
                <w:sz w:val="16"/>
              </w:rPr>
              <w:t>a</w:t>
            </w:r>
            <w:r w:rsidRPr="00EB2BD8">
              <w:rPr>
                <w:spacing w:val="-6"/>
                <w:sz w:val="16"/>
              </w:rPr>
              <w:t xml:space="preserve"> </w:t>
            </w:r>
            <w:r w:rsidRPr="00EB2BD8">
              <w:rPr>
                <w:sz w:val="16"/>
              </w:rPr>
              <w:t>course</w:t>
            </w:r>
            <w:r w:rsidRPr="00EB2BD8">
              <w:rPr>
                <w:spacing w:val="-6"/>
                <w:sz w:val="16"/>
              </w:rPr>
              <w:t xml:space="preserve"> </w:t>
            </w:r>
            <w:r w:rsidRPr="00EB2BD8">
              <w:rPr>
                <w:spacing w:val="-5"/>
                <w:sz w:val="16"/>
              </w:rPr>
              <w:t>of</w:t>
            </w:r>
          </w:p>
        </w:tc>
        <w:tc>
          <w:tcPr>
            <w:tcW w:w="1093" w:type="dxa"/>
          </w:tcPr>
          <w:p w14:paraId="60DC355C" w14:textId="77777777" w:rsidR="00084F36" w:rsidRPr="00EB2BD8" w:rsidRDefault="00084F36">
            <w:pPr>
              <w:pStyle w:val="TableParagraph"/>
              <w:rPr>
                <w:rFonts w:ascii="Times New Roman"/>
                <w:sz w:val="16"/>
              </w:rPr>
            </w:pPr>
          </w:p>
        </w:tc>
        <w:tc>
          <w:tcPr>
            <w:tcW w:w="1176" w:type="dxa"/>
          </w:tcPr>
          <w:p w14:paraId="7AF7E9A7" w14:textId="77777777" w:rsidR="00084F36" w:rsidRPr="00EB2BD8" w:rsidRDefault="00084F36">
            <w:pPr>
              <w:pStyle w:val="TableParagraph"/>
              <w:rPr>
                <w:rFonts w:ascii="Times New Roman"/>
                <w:sz w:val="16"/>
              </w:rPr>
            </w:pPr>
          </w:p>
        </w:tc>
      </w:tr>
      <w:tr w:rsidR="00EB2BD8" w:rsidRPr="00EB2BD8" w14:paraId="351EFC51" w14:textId="77777777">
        <w:trPr>
          <w:trHeight w:val="229"/>
        </w:trPr>
        <w:tc>
          <w:tcPr>
            <w:tcW w:w="1751" w:type="dxa"/>
          </w:tcPr>
          <w:p w14:paraId="06C704C3" w14:textId="77777777" w:rsidR="00084F36" w:rsidRPr="00EB2BD8" w:rsidRDefault="00084F36">
            <w:pPr>
              <w:pStyle w:val="TableParagraph"/>
              <w:rPr>
                <w:rFonts w:ascii="Times New Roman"/>
                <w:sz w:val="16"/>
              </w:rPr>
            </w:pPr>
          </w:p>
        </w:tc>
        <w:tc>
          <w:tcPr>
            <w:tcW w:w="1472" w:type="dxa"/>
          </w:tcPr>
          <w:p w14:paraId="1C0E5740" w14:textId="77777777" w:rsidR="00084F36" w:rsidRPr="00EB2BD8" w:rsidRDefault="00084F36">
            <w:pPr>
              <w:pStyle w:val="TableParagraph"/>
              <w:rPr>
                <w:rFonts w:ascii="Times New Roman"/>
                <w:sz w:val="16"/>
              </w:rPr>
            </w:pPr>
          </w:p>
        </w:tc>
        <w:tc>
          <w:tcPr>
            <w:tcW w:w="2445" w:type="dxa"/>
          </w:tcPr>
          <w:p w14:paraId="6D3604BE" w14:textId="77777777" w:rsidR="00084F36" w:rsidRPr="00EB2BD8" w:rsidRDefault="00084F36">
            <w:pPr>
              <w:pStyle w:val="TableParagraph"/>
              <w:rPr>
                <w:rFonts w:ascii="Times New Roman"/>
                <w:sz w:val="16"/>
              </w:rPr>
            </w:pPr>
          </w:p>
        </w:tc>
        <w:tc>
          <w:tcPr>
            <w:tcW w:w="2263" w:type="dxa"/>
          </w:tcPr>
          <w:p w14:paraId="4C60ECB3" w14:textId="77777777" w:rsidR="00084F36" w:rsidRPr="00EB2BD8" w:rsidRDefault="00EB2BD8">
            <w:pPr>
              <w:pStyle w:val="TableParagraph"/>
              <w:spacing w:before="19"/>
              <w:ind w:left="114"/>
              <w:rPr>
                <w:sz w:val="16"/>
              </w:rPr>
            </w:pPr>
            <w:r w:rsidRPr="00EB2BD8">
              <w:rPr>
                <w:sz w:val="16"/>
              </w:rPr>
              <w:t>training</w:t>
            </w:r>
            <w:r w:rsidRPr="00EB2BD8">
              <w:rPr>
                <w:spacing w:val="-4"/>
                <w:sz w:val="16"/>
              </w:rPr>
              <w:t xml:space="preserve"> </w:t>
            </w:r>
            <w:r w:rsidRPr="00EB2BD8">
              <w:rPr>
                <w:sz w:val="16"/>
              </w:rPr>
              <w:t>and</w:t>
            </w:r>
            <w:r w:rsidRPr="00EB2BD8">
              <w:rPr>
                <w:spacing w:val="-3"/>
                <w:sz w:val="16"/>
              </w:rPr>
              <w:t xml:space="preserve"> </w:t>
            </w:r>
            <w:r w:rsidRPr="00EB2BD8">
              <w:rPr>
                <w:sz w:val="16"/>
              </w:rPr>
              <w:t>that</w:t>
            </w:r>
            <w:r w:rsidRPr="00EB2BD8">
              <w:rPr>
                <w:spacing w:val="-3"/>
                <w:sz w:val="16"/>
              </w:rPr>
              <w:t xml:space="preserve"> </w:t>
            </w:r>
            <w:r w:rsidRPr="00EB2BD8">
              <w:rPr>
                <w:spacing w:val="-5"/>
                <w:sz w:val="16"/>
              </w:rPr>
              <w:t>the</w:t>
            </w:r>
          </w:p>
        </w:tc>
        <w:tc>
          <w:tcPr>
            <w:tcW w:w="1093" w:type="dxa"/>
          </w:tcPr>
          <w:p w14:paraId="3D657CA6" w14:textId="77777777" w:rsidR="00084F36" w:rsidRPr="00EB2BD8" w:rsidRDefault="00084F36">
            <w:pPr>
              <w:pStyle w:val="TableParagraph"/>
              <w:rPr>
                <w:rFonts w:ascii="Times New Roman"/>
                <w:sz w:val="16"/>
              </w:rPr>
            </w:pPr>
          </w:p>
        </w:tc>
        <w:tc>
          <w:tcPr>
            <w:tcW w:w="1176" w:type="dxa"/>
          </w:tcPr>
          <w:p w14:paraId="796BBC2D" w14:textId="77777777" w:rsidR="00084F36" w:rsidRPr="00EB2BD8" w:rsidRDefault="00084F36">
            <w:pPr>
              <w:pStyle w:val="TableParagraph"/>
              <w:rPr>
                <w:rFonts w:ascii="Times New Roman"/>
                <w:sz w:val="16"/>
              </w:rPr>
            </w:pPr>
          </w:p>
        </w:tc>
      </w:tr>
      <w:tr w:rsidR="00EB2BD8" w:rsidRPr="00EB2BD8" w14:paraId="634BE5C2" w14:textId="77777777">
        <w:trPr>
          <w:trHeight w:val="229"/>
        </w:trPr>
        <w:tc>
          <w:tcPr>
            <w:tcW w:w="1751" w:type="dxa"/>
          </w:tcPr>
          <w:p w14:paraId="00C26D8C" w14:textId="77777777" w:rsidR="00084F36" w:rsidRPr="00EB2BD8" w:rsidRDefault="00084F36">
            <w:pPr>
              <w:pStyle w:val="TableParagraph"/>
              <w:rPr>
                <w:rFonts w:ascii="Times New Roman"/>
                <w:sz w:val="16"/>
              </w:rPr>
            </w:pPr>
          </w:p>
        </w:tc>
        <w:tc>
          <w:tcPr>
            <w:tcW w:w="1472" w:type="dxa"/>
          </w:tcPr>
          <w:p w14:paraId="3DF1373A" w14:textId="77777777" w:rsidR="00084F36" w:rsidRPr="00EB2BD8" w:rsidRDefault="00084F36">
            <w:pPr>
              <w:pStyle w:val="TableParagraph"/>
              <w:rPr>
                <w:rFonts w:ascii="Times New Roman"/>
                <w:sz w:val="16"/>
              </w:rPr>
            </w:pPr>
          </w:p>
        </w:tc>
        <w:tc>
          <w:tcPr>
            <w:tcW w:w="2445" w:type="dxa"/>
          </w:tcPr>
          <w:p w14:paraId="69E07BB8" w14:textId="77777777" w:rsidR="00084F36" w:rsidRPr="00EB2BD8" w:rsidRDefault="00084F36">
            <w:pPr>
              <w:pStyle w:val="TableParagraph"/>
              <w:rPr>
                <w:rFonts w:ascii="Times New Roman"/>
                <w:sz w:val="16"/>
              </w:rPr>
            </w:pPr>
          </w:p>
        </w:tc>
        <w:tc>
          <w:tcPr>
            <w:tcW w:w="2263" w:type="dxa"/>
          </w:tcPr>
          <w:p w14:paraId="63F72A5E" w14:textId="77777777" w:rsidR="00084F36" w:rsidRPr="00EB2BD8" w:rsidRDefault="00EB2BD8">
            <w:pPr>
              <w:pStyle w:val="TableParagraph"/>
              <w:spacing w:before="19"/>
              <w:ind w:left="114"/>
              <w:rPr>
                <w:sz w:val="16"/>
              </w:rPr>
            </w:pPr>
            <w:r w:rsidRPr="00EB2BD8">
              <w:rPr>
                <w:sz w:val="16"/>
              </w:rPr>
              <w:t>practitioner</w:t>
            </w:r>
            <w:r w:rsidRPr="00EB2BD8">
              <w:rPr>
                <w:spacing w:val="-7"/>
                <w:sz w:val="16"/>
              </w:rPr>
              <w:t xml:space="preserve"> </w:t>
            </w:r>
            <w:r w:rsidRPr="00EB2BD8">
              <w:rPr>
                <w:sz w:val="16"/>
              </w:rPr>
              <w:t>not</w:t>
            </w:r>
            <w:r w:rsidRPr="00EB2BD8">
              <w:rPr>
                <w:spacing w:val="-6"/>
                <w:sz w:val="16"/>
              </w:rPr>
              <w:t xml:space="preserve"> </w:t>
            </w:r>
            <w:r w:rsidRPr="00EB2BD8">
              <w:rPr>
                <w:sz w:val="16"/>
              </w:rPr>
              <w:t>have</w:t>
            </w:r>
            <w:r w:rsidRPr="00EB2BD8">
              <w:rPr>
                <w:spacing w:val="-6"/>
                <w:sz w:val="16"/>
              </w:rPr>
              <w:t xml:space="preserve"> </w:t>
            </w:r>
            <w:r w:rsidRPr="00EB2BD8">
              <w:rPr>
                <w:spacing w:val="-5"/>
                <w:sz w:val="16"/>
              </w:rPr>
              <w:t>any</w:t>
            </w:r>
          </w:p>
        </w:tc>
        <w:tc>
          <w:tcPr>
            <w:tcW w:w="1093" w:type="dxa"/>
          </w:tcPr>
          <w:p w14:paraId="1C2140E7" w14:textId="77777777" w:rsidR="00084F36" w:rsidRPr="00EB2BD8" w:rsidRDefault="00084F36">
            <w:pPr>
              <w:pStyle w:val="TableParagraph"/>
              <w:rPr>
                <w:rFonts w:ascii="Times New Roman"/>
                <w:sz w:val="16"/>
              </w:rPr>
            </w:pPr>
          </w:p>
        </w:tc>
        <w:tc>
          <w:tcPr>
            <w:tcW w:w="1176" w:type="dxa"/>
          </w:tcPr>
          <w:p w14:paraId="42C38ED9" w14:textId="77777777" w:rsidR="00084F36" w:rsidRPr="00EB2BD8" w:rsidRDefault="00084F36">
            <w:pPr>
              <w:pStyle w:val="TableParagraph"/>
              <w:rPr>
                <w:rFonts w:ascii="Times New Roman"/>
                <w:sz w:val="16"/>
              </w:rPr>
            </w:pPr>
          </w:p>
        </w:tc>
      </w:tr>
      <w:tr w:rsidR="00EB2BD8" w:rsidRPr="00EB2BD8" w14:paraId="05BE968F" w14:textId="77777777">
        <w:trPr>
          <w:trHeight w:val="229"/>
        </w:trPr>
        <w:tc>
          <w:tcPr>
            <w:tcW w:w="1751" w:type="dxa"/>
          </w:tcPr>
          <w:p w14:paraId="71BA35E4" w14:textId="77777777" w:rsidR="00084F36" w:rsidRPr="00EB2BD8" w:rsidRDefault="00084F36">
            <w:pPr>
              <w:pStyle w:val="TableParagraph"/>
              <w:rPr>
                <w:rFonts w:ascii="Times New Roman"/>
                <w:sz w:val="16"/>
              </w:rPr>
            </w:pPr>
          </w:p>
        </w:tc>
        <w:tc>
          <w:tcPr>
            <w:tcW w:w="1472" w:type="dxa"/>
          </w:tcPr>
          <w:p w14:paraId="0FB253AF" w14:textId="77777777" w:rsidR="00084F36" w:rsidRPr="00EB2BD8" w:rsidRDefault="00084F36">
            <w:pPr>
              <w:pStyle w:val="TableParagraph"/>
              <w:rPr>
                <w:rFonts w:ascii="Times New Roman"/>
                <w:sz w:val="16"/>
              </w:rPr>
            </w:pPr>
          </w:p>
        </w:tc>
        <w:tc>
          <w:tcPr>
            <w:tcW w:w="2445" w:type="dxa"/>
          </w:tcPr>
          <w:p w14:paraId="47410AC2" w14:textId="77777777" w:rsidR="00084F36" w:rsidRPr="00EB2BD8" w:rsidRDefault="00084F36">
            <w:pPr>
              <w:pStyle w:val="TableParagraph"/>
              <w:rPr>
                <w:rFonts w:ascii="Times New Roman"/>
                <w:sz w:val="16"/>
              </w:rPr>
            </w:pPr>
          </w:p>
        </w:tc>
        <w:tc>
          <w:tcPr>
            <w:tcW w:w="2263" w:type="dxa"/>
          </w:tcPr>
          <w:p w14:paraId="2546986F" w14:textId="77777777" w:rsidR="00084F36" w:rsidRPr="00EB2BD8" w:rsidRDefault="00EB2BD8">
            <w:pPr>
              <w:pStyle w:val="TableParagraph"/>
              <w:spacing w:before="19"/>
              <w:ind w:left="114"/>
              <w:rPr>
                <w:sz w:val="16"/>
              </w:rPr>
            </w:pPr>
            <w:r w:rsidRPr="00EB2BD8">
              <w:rPr>
                <w:spacing w:val="-2"/>
                <w:sz w:val="16"/>
              </w:rPr>
              <w:t>new</w:t>
            </w:r>
            <w:r w:rsidRPr="00EB2BD8">
              <w:rPr>
                <w:spacing w:val="-7"/>
                <w:sz w:val="16"/>
              </w:rPr>
              <w:t xml:space="preserve"> </w:t>
            </w:r>
            <w:r w:rsidRPr="00EB2BD8">
              <w:rPr>
                <w:spacing w:val="-2"/>
                <w:sz w:val="16"/>
              </w:rPr>
              <w:t>building</w:t>
            </w:r>
            <w:r w:rsidRPr="00EB2BD8">
              <w:rPr>
                <w:spacing w:val="-6"/>
                <w:sz w:val="16"/>
              </w:rPr>
              <w:t xml:space="preserve"> </w:t>
            </w:r>
            <w:r w:rsidRPr="00EB2BD8">
              <w:rPr>
                <w:spacing w:val="-2"/>
                <w:sz w:val="16"/>
              </w:rPr>
              <w:t>permits</w:t>
            </w:r>
            <w:r w:rsidRPr="00EB2BD8">
              <w:rPr>
                <w:spacing w:val="-7"/>
                <w:sz w:val="16"/>
              </w:rPr>
              <w:t xml:space="preserve"> </w:t>
            </w:r>
            <w:r w:rsidRPr="00EB2BD8">
              <w:rPr>
                <w:spacing w:val="-5"/>
                <w:sz w:val="16"/>
              </w:rPr>
              <w:t>for</w:t>
            </w:r>
          </w:p>
        </w:tc>
        <w:tc>
          <w:tcPr>
            <w:tcW w:w="1093" w:type="dxa"/>
          </w:tcPr>
          <w:p w14:paraId="205299A4" w14:textId="77777777" w:rsidR="00084F36" w:rsidRPr="00EB2BD8" w:rsidRDefault="00084F36">
            <w:pPr>
              <w:pStyle w:val="TableParagraph"/>
              <w:rPr>
                <w:rFonts w:ascii="Times New Roman"/>
                <w:sz w:val="16"/>
              </w:rPr>
            </w:pPr>
          </w:p>
        </w:tc>
        <w:tc>
          <w:tcPr>
            <w:tcW w:w="1176" w:type="dxa"/>
          </w:tcPr>
          <w:p w14:paraId="1BDCEEB7" w14:textId="77777777" w:rsidR="00084F36" w:rsidRPr="00EB2BD8" w:rsidRDefault="00084F36">
            <w:pPr>
              <w:pStyle w:val="TableParagraph"/>
              <w:rPr>
                <w:rFonts w:ascii="Times New Roman"/>
                <w:sz w:val="16"/>
              </w:rPr>
            </w:pPr>
          </w:p>
        </w:tc>
      </w:tr>
      <w:tr w:rsidR="00EB2BD8" w:rsidRPr="00EB2BD8" w14:paraId="39775468" w14:textId="77777777">
        <w:trPr>
          <w:trHeight w:val="286"/>
        </w:trPr>
        <w:tc>
          <w:tcPr>
            <w:tcW w:w="1751" w:type="dxa"/>
            <w:tcBorders>
              <w:bottom w:val="single" w:sz="2" w:space="0" w:color="000000"/>
            </w:tcBorders>
          </w:tcPr>
          <w:p w14:paraId="7BA2A8A3" w14:textId="77777777" w:rsidR="00084F36" w:rsidRPr="00EB2BD8" w:rsidRDefault="00084F36">
            <w:pPr>
              <w:pStyle w:val="TableParagraph"/>
              <w:rPr>
                <w:rFonts w:ascii="Times New Roman"/>
                <w:sz w:val="16"/>
              </w:rPr>
            </w:pPr>
          </w:p>
        </w:tc>
        <w:tc>
          <w:tcPr>
            <w:tcW w:w="1472" w:type="dxa"/>
            <w:tcBorders>
              <w:bottom w:val="single" w:sz="2" w:space="0" w:color="000000"/>
            </w:tcBorders>
          </w:tcPr>
          <w:p w14:paraId="2A2C7A5D" w14:textId="77777777" w:rsidR="00084F36" w:rsidRPr="00EB2BD8" w:rsidRDefault="00084F36">
            <w:pPr>
              <w:pStyle w:val="TableParagraph"/>
              <w:rPr>
                <w:rFonts w:ascii="Times New Roman"/>
                <w:sz w:val="16"/>
              </w:rPr>
            </w:pPr>
          </w:p>
        </w:tc>
        <w:tc>
          <w:tcPr>
            <w:tcW w:w="2445" w:type="dxa"/>
            <w:tcBorders>
              <w:bottom w:val="single" w:sz="2" w:space="0" w:color="000000"/>
            </w:tcBorders>
          </w:tcPr>
          <w:p w14:paraId="075F1316" w14:textId="77777777" w:rsidR="00084F36" w:rsidRPr="00EB2BD8" w:rsidRDefault="00084F36">
            <w:pPr>
              <w:pStyle w:val="TableParagraph"/>
              <w:rPr>
                <w:rFonts w:ascii="Times New Roman"/>
                <w:sz w:val="16"/>
              </w:rPr>
            </w:pPr>
          </w:p>
        </w:tc>
        <w:tc>
          <w:tcPr>
            <w:tcW w:w="2263" w:type="dxa"/>
            <w:tcBorders>
              <w:bottom w:val="single" w:sz="2" w:space="0" w:color="000000"/>
            </w:tcBorders>
          </w:tcPr>
          <w:p w14:paraId="656BE98A" w14:textId="77777777" w:rsidR="00084F36" w:rsidRPr="00EB2BD8" w:rsidRDefault="00EB2BD8">
            <w:pPr>
              <w:pStyle w:val="TableParagraph"/>
              <w:spacing w:before="19"/>
              <w:ind w:left="114"/>
              <w:rPr>
                <w:sz w:val="16"/>
              </w:rPr>
            </w:pPr>
            <w:r w:rsidRPr="00EB2BD8">
              <w:rPr>
                <w:sz w:val="16"/>
              </w:rPr>
              <w:t>one</w:t>
            </w:r>
            <w:r w:rsidRPr="00EB2BD8">
              <w:rPr>
                <w:spacing w:val="-9"/>
                <w:sz w:val="16"/>
              </w:rPr>
              <w:t xml:space="preserve"> </w:t>
            </w:r>
            <w:r w:rsidRPr="00EB2BD8">
              <w:rPr>
                <w:spacing w:val="-2"/>
                <w:sz w:val="16"/>
              </w:rPr>
              <w:t>month.</w:t>
            </w:r>
          </w:p>
        </w:tc>
        <w:tc>
          <w:tcPr>
            <w:tcW w:w="1093" w:type="dxa"/>
            <w:tcBorders>
              <w:bottom w:val="single" w:sz="2" w:space="0" w:color="000000"/>
            </w:tcBorders>
          </w:tcPr>
          <w:p w14:paraId="77EB35F6"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15820E9D" w14:textId="77777777" w:rsidR="00084F36" w:rsidRPr="00EB2BD8" w:rsidRDefault="00084F36">
            <w:pPr>
              <w:pStyle w:val="TableParagraph"/>
              <w:rPr>
                <w:rFonts w:ascii="Times New Roman"/>
                <w:sz w:val="16"/>
              </w:rPr>
            </w:pPr>
          </w:p>
        </w:tc>
      </w:tr>
      <w:tr w:rsidR="00EB2BD8" w:rsidRPr="00EB2BD8" w14:paraId="5E4714E5" w14:textId="77777777">
        <w:trPr>
          <w:trHeight w:val="324"/>
        </w:trPr>
        <w:tc>
          <w:tcPr>
            <w:tcW w:w="1751" w:type="dxa"/>
            <w:tcBorders>
              <w:top w:val="single" w:sz="2" w:space="0" w:color="000000"/>
            </w:tcBorders>
          </w:tcPr>
          <w:p w14:paraId="31EDFC8A" w14:textId="77777777" w:rsidR="00084F36" w:rsidRPr="00EB2BD8" w:rsidRDefault="00EB2BD8">
            <w:pPr>
              <w:pStyle w:val="TableParagraph"/>
              <w:spacing w:before="114"/>
              <w:ind w:left="113"/>
              <w:rPr>
                <w:sz w:val="16"/>
              </w:rPr>
            </w:pPr>
            <w:r w:rsidRPr="00EB2BD8">
              <w:rPr>
                <w:spacing w:val="-2"/>
                <w:sz w:val="16"/>
              </w:rPr>
              <w:t>MM</w:t>
            </w:r>
            <w:r w:rsidRPr="00EB2BD8">
              <w:rPr>
                <w:spacing w:val="-5"/>
                <w:sz w:val="16"/>
              </w:rPr>
              <w:t xml:space="preserve"> </w:t>
            </w:r>
            <w:r w:rsidRPr="00EB2BD8">
              <w:rPr>
                <w:spacing w:val="-2"/>
                <w:sz w:val="16"/>
              </w:rPr>
              <w:t>Built</w:t>
            </w:r>
            <w:r w:rsidRPr="00EB2BD8">
              <w:rPr>
                <w:spacing w:val="-5"/>
                <w:sz w:val="16"/>
              </w:rPr>
              <w:t xml:space="preserve"> </w:t>
            </w:r>
            <w:r w:rsidRPr="00EB2BD8">
              <w:rPr>
                <w:spacing w:val="-2"/>
                <w:sz w:val="16"/>
              </w:rPr>
              <w:t>Group</w:t>
            </w:r>
            <w:r w:rsidRPr="00EB2BD8">
              <w:rPr>
                <w:spacing w:val="-5"/>
                <w:sz w:val="16"/>
              </w:rPr>
              <w:t xml:space="preserve"> Pty</w:t>
            </w:r>
          </w:p>
        </w:tc>
        <w:tc>
          <w:tcPr>
            <w:tcW w:w="1472" w:type="dxa"/>
            <w:tcBorders>
              <w:top w:val="single" w:sz="2" w:space="0" w:color="000000"/>
            </w:tcBorders>
          </w:tcPr>
          <w:p w14:paraId="11FDFD0C" w14:textId="77777777" w:rsidR="00084F36" w:rsidRPr="00EB2BD8" w:rsidRDefault="00EB2BD8">
            <w:pPr>
              <w:pStyle w:val="TableParagraph"/>
              <w:spacing w:before="114"/>
              <w:ind w:left="119"/>
              <w:rPr>
                <w:sz w:val="16"/>
              </w:rPr>
            </w:pPr>
            <w:r w:rsidRPr="00EB2BD8">
              <w:rPr>
                <w:spacing w:val="2"/>
                <w:sz w:val="16"/>
              </w:rPr>
              <w:t>CDB-U</w:t>
            </w:r>
            <w:r w:rsidRPr="00EB2BD8">
              <w:rPr>
                <w:spacing w:val="17"/>
                <w:sz w:val="16"/>
              </w:rPr>
              <w:t xml:space="preserve"> </w:t>
            </w:r>
            <w:r w:rsidRPr="00EB2BD8">
              <w:rPr>
                <w:spacing w:val="-2"/>
                <w:sz w:val="16"/>
              </w:rPr>
              <w:t>63254</w:t>
            </w:r>
          </w:p>
        </w:tc>
        <w:tc>
          <w:tcPr>
            <w:tcW w:w="2445" w:type="dxa"/>
            <w:tcBorders>
              <w:top w:val="single" w:sz="2" w:space="0" w:color="000000"/>
            </w:tcBorders>
          </w:tcPr>
          <w:p w14:paraId="57E170B4" w14:textId="77777777" w:rsidR="00084F36" w:rsidRPr="00EB2BD8" w:rsidRDefault="00EB2BD8">
            <w:pPr>
              <w:pStyle w:val="TableParagraph"/>
              <w:spacing w:before="114"/>
              <w:ind w:left="280"/>
              <w:rPr>
                <w:sz w:val="16"/>
              </w:rPr>
            </w:pPr>
            <w:r w:rsidRPr="00EB2BD8">
              <w:rPr>
                <w:spacing w:val="-2"/>
                <w:sz w:val="16"/>
              </w:rPr>
              <w:t>Failing</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call</w:t>
            </w:r>
            <w:r w:rsidRPr="00EB2BD8">
              <w:rPr>
                <w:spacing w:val="-7"/>
                <w:sz w:val="16"/>
              </w:rPr>
              <w:t xml:space="preserve"> </w:t>
            </w:r>
            <w:r w:rsidRPr="00EB2BD8">
              <w:rPr>
                <w:spacing w:val="-2"/>
                <w:sz w:val="16"/>
              </w:rPr>
              <w:t>for</w:t>
            </w:r>
            <w:r w:rsidRPr="00EB2BD8">
              <w:rPr>
                <w:spacing w:val="-8"/>
                <w:sz w:val="16"/>
              </w:rPr>
              <w:t xml:space="preserve"> </w:t>
            </w:r>
            <w:r w:rsidRPr="00EB2BD8">
              <w:rPr>
                <w:spacing w:val="-12"/>
                <w:sz w:val="16"/>
              </w:rPr>
              <w:t>a</w:t>
            </w:r>
          </w:p>
        </w:tc>
        <w:tc>
          <w:tcPr>
            <w:tcW w:w="2263" w:type="dxa"/>
            <w:tcBorders>
              <w:top w:val="single" w:sz="2" w:space="0" w:color="000000"/>
            </w:tcBorders>
          </w:tcPr>
          <w:p w14:paraId="7EAD7DD5" w14:textId="77777777" w:rsidR="00084F36" w:rsidRPr="00EB2BD8" w:rsidRDefault="00EB2BD8">
            <w:pPr>
              <w:pStyle w:val="TableParagraph"/>
              <w:spacing w:before="114"/>
              <w:ind w:left="114"/>
              <w:rPr>
                <w:sz w:val="16"/>
              </w:rPr>
            </w:pPr>
            <w:r w:rsidRPr="00EB2BD8">
              <w:rPr>
                <w:sz w:val="16"/>
              </w:rPr>
              <w:t>Reprimand</w:t>
            </w:r>
            <w:r w:rsidRPr="00EB2BD8">
              <w:rPr>
                <w:spacing w:val="3"/>
                <w:sz w:val="16"/>
              </w:rPr>
              <w:t xml:space="preserve"> </w:t>
            </w:r>
            <w:r w:rsidRPr="00EB2BD8">
              <w:rPr>
                <w:sz w:val="16"/>
              </w:rPr>
              <w:t>and</w:t>
            </w:r>
            <w:r w:rsidRPr="00EB2BD8">
              <w:rPr>
                <w:spacing w:val="4"/>
                <w:sz w:val="16"/>
              </w:rPr>
              <w:t xml:space="preserve"> </w:t>
            </w:r>
            <w:r w:rsidRPr="00EB2BD8">
              <w:rPr>
                <w:sz w:val="16"/>
              </w:rPr>
              <w:t>a</w:t>
            </w:r>
            <w:r w:rsidRPr="00EB2BD8">
              <w:rPr>
                <w:spacing w:val="3"/>
                <w:sz w:val="16"/>
              </w:rPr>
              <w:t xml:space="preserve"> </w:t>
            </w:r>
            <w:r w:rsidRPr="00EB2BD8">
              <w:rPr>
                <w:spacing w:val="-2"/>
                <w:sz w:val="16"/>
              </w:rPr>
              <w:t>penalty</w:t>
            </w:r>
          </w:p>
        </w:tc>
        <w:tc>
          <w:tcPr>
            <w:tcW w:w="1093" w:type="dxa"/>
            <w:tcBorders>
              <w:top w:val="single" w:sz="2" w:space="0" w:color="000000"/>
            </w:tcBorders>
          </w:tcPr>
          <w:p w14:paraId="60C1496A" w14:textId="77777777" w:rsidR="00084F36" w:rsidRPr="00EB2BD8" w:rsidRDefault="00EB2BD8">
            <w:pPr>
              <w:pStyle w:val="TableParagraph"/>
              <w:spacing w:before="114"/>
              <w:ind w:right="110"/>
              <w:jc w:val="right"/>
              <w:rPr>
                <w:sz w:val="16"/>
              </w:rPr>
            </w:pPr>
            <w:r w:rsidRPr="00EB2BD8">
              <w:rPr>
                <w:spacing w:val="-2"/>
                <w:sz w:val="16"/>
              </w:rPr>
              <w:t>$3,000</w:t>
            </w:r>
          </w:p>
        </w:tc>
        <w:tc>
          <w:tcPr>
            <w:tcW w:w="1176" w:type="dxa"/>
            <w:tcBorders>
              <w:top w:val="single" w:sz="2" w:space="0" w:color="000000"/>
            </w:tcBorders>
          </w:tcPr>
          <w:p w14:paraId="722A5D38" w14:textId="77777777" w:rsidR="00084F36" w:rsidRPr="00EB2BD8" w:rsidRDefault="00EB2BD8">
            <w:pPr>
              <w:pStyle w:val="TableParagraph"/>
              <w:spacing w:before="114"/>
              <w:ind w:left="114"/>
              <w:rPr>
                <w:sz w:val="16"/>
              </w:rPr>
            </w:pPr>
            <w:r w:rsidRPr="00EB2BD8">
              <w:rPr>
                <w:spacing w:val="-2"/>
                <w:w w:val="85"/>
                <w:sz w:val="16"/>
              </w:rPr>
              <w:t>14/12/2022</w:t>
            </w:r>
          </w:p>
        </w:tc>
      </w:tr>
      <w:tr w:rsidR="00EB2BD8" w:rsidRPr="00EB2BD8" w14:paraId="414BDADF" w14:textId="77777777">
        <w:trPr>
          <w:trHeight w:val="230"/>
        </w:trPr>
        <w:tc>
          <w:tcPr>
            <w:tcW w:w="1751" w:type="dxa"/>
          </w:tcPr>
          <w:p w14:paraId="67F9703A" w14:textId="77777777" w:rsidR="00084F36" w:rsidRPr="00EB2BD8" w:rsidRDefault="00EB2BD8">
            <w:pPr>
              <w:pStyle w:val="TableParagraph"/>
              <w:spacing w:before="19"/>
              <w:ind w:left="113"/>
              <w:rPr>
                <w:sz w:val="16"/>
              </w:rPr>
            </w:pPr>
            <w:r w:rsidRPr="00EB2BD8">
              <w:rPr>
                <w:spacing w:val="-5"/>
                <w:w w:val="105"/>
                <w:sz w:val="16"/>
              </w:rPr>
              <w:t>Ltd</w:t>
            </w:r>
          </w:p>
        </w:tc>
        <w:tc>
          <w:tcPr>
            <w:tcW w:w="1472" w:type="dxa"/>
          </w:tcPr>
          <w:p w14:paraId="67535582" w14:textId="77777777" w:rsidR="00084F36" w:rsidRPr="00EB2BD8" w:rsidRDefault="00084F36">
            <w:pPr>
              <w:pStyle w:val="TableParagraph"/>
              <w:rPr>
                <w:rFonts w:ascii="Times New Roman"/>
                <w:sz w:val="16"/>
              </w:rPr>
            </w:pPr>
          </w:p>
        </w:tc>
        <w:tc>
          <w:tcPr>
            <w:tcW w:w="2445" w:type="dxa"/>
          </w:tcPr>
          <w:p w14:paraId="03044069" w14:textId="77777777" w:rsidR="00084F36" w:rsidRPr="00EB2BD8" w:rsidRDefault="00EB2BD8">
            <w:pPr>
              <w:pStyle w:val="TableParagraph"/>
              <w:spacing w:before="19"/>
              <w:ind w:left="280"/>
              <w:rPr>
                <w:sz w:val="16"/>
              </w:rPr>
            </w:pPr>
            <w:r w:rsidRPr="00EB2BD8">
              <w:rPr>
                <w:sz w:val="16"/>
              </w:rPr>
              <w:t>mandatory</w:t>
            </w:r>
            <w:r w:rsidRPr="00EB2BD8">
              <w:rPr>
                <w:spacing w:val="14"/>
                <w:sz w:val="16"/>
              </w:rPr>
              <w:t xml:space="preserve"> </w:t>
            </w:r>
            <w:r w:rsidRPr="00EB2BD8">
              <w:rPr>
                <w:spacing w:val="-2"/>
                <w:sz w:val="16"/>
              </w:rPr>
              <w:t>stage</w:t>
            </w:r>
          </w:p>
        </w:tc>
        <w:tc>
          <w:tcPr>
            <w:tcW w:w="2263" w:type="dxa"/>
          </w:tcPr>
          <w:p w14:paraId="5527AA00" w14:textId="77777777" w:rsidR="00084F36" w:rsidRPr="00EB2BD8" w:rsidRDefault="00EB2BD8">
            <w:pPr>
              <w:pStyle w:val="TableParagraph"/>
              <w:spacing w:before="19"/>
              <w:ind w:left="114"/>
              <w:rPr>
                <w:sz w:val="16"/>
              </w:rPr>
            </w:pPr>
            <w:r w:rsidRPr="00EB2BD8">
              <w:rPr>
                <w:spacing w:val="-4"/>
                <w:sz w:val="16"/>
              </w:rPr>
              <w:t>of</w:t>
            </w:r>
            <w:r w:rsidRPr="00EB2BD8">
              <w:rPr>
                <w:spacing w:val="-10"/>
                <w:sz w:val="16"/>
              </w:rPr>
              <w:t xml:space="preserve"> </w:t>
            </w:r>
            <w:r w:rsidRPr="00EB2BD8">
              <w:rPr>
                <w:spacing w:val="-2"/>
                <w:sz w:val="16"/>
              </w:rPr>
              <w:t>$3,000.</w:t>
            </w:r>
          </w:p>
        </w:tc>
        <w:tc>
          <w:tcPr>
            <w:tcW w:w="1093" w:type="dxa"/>
          </w:tcPr>
          <w:p w14:paraId="6DB1A222" w14:textId="77777777" w:rsidR="00084F36" w:rsidRPr="00EB2BD8" w:rsidRDefault="00084F36">
            <w:pPr>
              <w:pStyle w:val="TableParagraph"/>
              <w:rPr>
                <w:rFonts w:ascii="Times New Roman"/>
                <w:sz w:val="16"/>
              </w:rPr>
            </w:pPr>
          </w:p>
        </w:tc>
        <w:tc>
          <w:tcPr>
            <w:tcW w:w="1176" w:type="dxa"/>
          </w:tcPr>
          <w:p w14:paraId="52A5E4EB" w14:textId="77777777" w:rsidR="00084F36" w:rsidRPr="00EB2BD8" w:rsidRDefault="00084F36">
            <w:pPr>
              <w:pStyle w:val="TableParagraph"/>
              <w:rPr>
                <w:rFonts w:ascii="Times New Roman"/>
                <w:sz w:val="16"/>
              </w:rPr>
            </w:pPr>
          </w:p>
        </w:tc>
      </w:tr>
      <w:tr w:rsidR="00EB2BD8" w:rsidRPr="00EB2BD8" w14:paraId="6B726D72" w14:textId="77777777">
        <w:trPr>
          <w:trHeight w:val="229"/>
        </w:trPr>
        <w:tc>
          <w:tcPr>
            <w:tcW w:w="1751" w:type="dxa"/>
          </w:tcPr>
          <w:p w14:paraId="16186C24" w14:textId="77777777" w:rsidR="00084F36" w:rsidRPr="00EB2BD8" w:rsidRDefault="00084F36">
            <w:pPr>
              <w:pStyle w:val="TableParagraph"/>
              <w:rPr>
                <w:rFonts w:ascii="Times New Roman"/>
                <w:sz w:val="16"/>
              </w:rPr>
            </w:pPr>
          </w:p>
        </w:tc>
        <w:tc>
          <w:tcPr>
            <w:tcW w:w="1472" w:type="dxa"/>
          </w:tcPr>
          <w:p w14:paraId="41F94D5C" w14:textId="77777777" w:rsidR="00084F36" w:rsidRPr="00EB2BD8" w:rsidRDefault="00084F36">
            <w:pPr>
              <w:pStyle w:val="TableParagraph"/>
              <w:rPr>
                <w:rFonts w:ascii="Times New Roman"/>
                <w:sz w:val="16"/>
              </w:rPr>
            </w:pPr>
          </w:p>
        </w:tc>
        <w:tc>
          <w:tcPr>
            <w:tcW w:w="2445" w:type="dxa"/>
          </w:tcPr>
          <w:p w14:paraId="1419A9AD" w14:textId="77777777" w:rsidR="00084F36" w:rsidRPr="00EB2BD8" w:rsidRDefault="00EB2BD8">
            <w:pPr>
              <w:pStyle w:val="TableParagraph"/>
              <w:spacing w:before="19"/>
              <w:ind w:left="280"/>
              <w:rPr>
                <w:sz w:val="16"/>
              </w:rPr>
            </w:pPr>
            <w:r w:rsidRPr="00EB2BD8">
              <w:rPr>
                <w:sz w:val="16"/>
              </w:rPr>
              <w:t>inspection</w:t>
            </w:r>
            <w:r w:rsidRPr="00EB2BD8">
              <w:rPr>
                <w:spacing w:val="-11"/>
                <w:sz w:val="16"/>
              </w:rPr>
              <w:t xml:space="preserve"> </w:t>
            </w:r>
            <w:r w:rsidRPr="00EB2BD8">
              <w:rPr>
                <w:sz w:val="16"/>
              </w:rPr>
              <w:t>in</w:t>
            </w:r>
            <w:r w:rsidRPr="00EB2BD8">
              <w:rPr>
                <w:spacing w:val="-11"/>
                <w:sz w:val="16"/>
              </w:rPr>
              <w:t xml:space="preserve"> </w:t>
            </w:r>
            <w:r w:rsidRPr="00EB2BD8">
              <w:rPr>
                <w:sz w:val="16"/>
              </w:rPr>
              <w:t>respect</w:t>
            </w:r>
            <w:r w:rsidRPr="00EB2BD8">
              <w:rPr>
                <w:spacing w:val="-11"/>
                <w:sz w:val="16"/>
              </w:rPr>
              <w:t xml:space="preserve"> </w:t>
            </w:r>
            <w:r w:rsidRPr="00EB2BD8">
              <w:rPr>
                <w:spacing w:val="-5"/>
                <w:sz w:val="16"/>
              </w:rPr>
              <w:t>of</w:t>
            </w:r>
          </w:p>
        </w:tc>
        <w:tc>
          <w:tcPr>
            <w:tcW w:w="2263" w:type="dxa"/>
          </w:tcPr>
          <w:p w14:paraId="378F10DD" w14:textId="77777777" w:rsidR="00084F36" w:rsidRPr="00EB2BD8" w:rsidRDefault="00084F36">
            <w:pPr>
              <w:pStyle w:val="TableParagraph"/>
              <w:rPr>
                <w:rFonts w:ascii="Times New Roman"/>
                <w:sz w:val="16"/>
              </w:rPr>
            </w:pPr>
          </w:p>
        </w:tc>
        <w:tc>
          <w:tcPr>
            <w:tcW w:w="1093" w:type="dxa"/>
          </w:tcPr>
          <w:p w14:paraId="0686BEE9" w14:textId="77777777" w:rsidR="00084F36" w:rsidRPr="00EB2BD8" w:rsidRDefault="00084F36">
            <w:pPr>
              <w:pStyle w:val="TableParagraph"/>
              <w:rPr>
                <w:rFonts w:ascii="Times New Roman"/>
                <w:sz w:val="16"/>
              </w:rPr>
            </w:pPr>
          </w:p>
        </w:tc>
        <w:tc>
          <w:tcPr>
            <w:tcW w:w="1176" w:type="dxa"/>
          </w:tcPr>
          <w:p w14:paraId="7A56B533" w14:textId="77777777" w:rsidR="00084F36" w:rsidRPr="00EB2BD8" w:rsidRDefault="00084F36">
            <w:pPr>
              <w:pStyle w:val="TableParagraph"/>
              <w:rPr>
                <w:rFonts w:ascii="Times New Roman"/>
                <w:sz w:val="16"/>
              </w:rPr>
            </w:pPr>
          </w:p>
        </w:tc>
      </w:tr>
      <w:tr w:rsidR="00EB2BD8" w:rsidRPr="00EB2BD8" w14:paraId="3A15910B" w14:textId="77777777">
        <w:trPr>
          <w:trHeight w:val="229"/>
        </w:trPr>
        <w:tc>
          <w:tcPr>
            <w:tcW w:w="1751" w:type="dxa"/>
          </w:tcPr>
          <w:p w14:paraId="1FDD9B70" w14:textId="77777777" w:rsidR="00084F36" w:rsidRPr="00EB2BD8" w:rsidRDefault="00084F36">
            <w:pPr>
              <w:pStyle w:val="TableParagraph"/>
              <w:rPr>
                <w:rFonts w:ascii="Times New Roman"/>
                <w:sz w:val="16"/>
              </w:rPr>
            </w:pPr>
          </w:p>
        </w:tc>
        <w:tc>
          <w:tcPr>
            <w:tcW w:w="1472" w:type="dxa"/>
          </w:tcPr>
          <w:p w14:paraId="13A0D641" w14:textId="77777777" w:rsidR="00084F36" w:rsidRPr="00EB2BD8" w:rsidRDefault="00084F36">
            <w:pPr>
              <w:pStyle w:val="TableParagraph"/>
              <w:rPr>
                <w:rFonts w:ascii="Times New Roman"/>
                <w:sz w:val="16"/>
              </w:rPr>
            </w:pPr>
          </w:p>
        </w:tc>
        <w:tc>
          <w:tcPr>
            <w:tcW w:w="2445" w:type="dxa"/>
          </w:tcPr>
          <w:p w14:paraId="1C4848CB" w14:textId="77777777" w:rsidR="00084F36" w:rsidRPr="00EB2BD8" w:rsidRDefault="00EB2BD8">
            <w:pPr>
              <w:pStyle w:val="TableParagraph"/>
              <w:spacing w:before="19"/>
              <w:ind w:left="280"/>
              <w:rPr>
                <w:sz w:val="16"/>
              </w:rPr>
            </w:pPr>
            <w:r w:rsidRPr="00EB2BD8">
              <w:rPr>
                <w:spacing w:val="-2"/>
                <w:sz w:val="16"/>
              </w:rPr>
              <w:t>building</w:t>
            </w:r>
            <w:r w:rsidRPr="00EB2BD8">
              <w:rPr>
                <w:spacing w:val="-7"/>
                <w:sz w:val="16"/>
              </w:rPr>
              <w:t xml:space="preserve"> </w:t>
            </w:r>
            <w:r w:rsidRPr="00EB2BD8">
              <w:rPr>
                <w:spacing w:val="-2"/>
                <w:sz w:val="16"/>
              </w:rPr>
              <w:t>work</w:t>
            </w:r>
            <w:r w:rsidRPr="00EB2BD8">
              <w:rPr>
                <w:spacing w:val="-6"/>
                <w:sz w:val="16"/>
              </w:rPr>
              <w:t xml:space="preserve"> </w:t>
            </w:r>
            <w:r w:rsidRPr="00EB2BD8">
              <w:rPr>
                <w:spacing w:val="-2"/>
                <w:sz w:val="16"/>
              </w:rPr>
              <w:t>at</w:t>
            </w:r>
            <w:r w:rsidRPr="00EB2BD8">
              <w:rPr>
                <w:spacing w:val="-6"/>
                <w:sz w:val="16"/>
              </w:rPr>
              <w:t xml:space="preserve"> </w:t>
            </w:r>
            <w:r w:rsidRPr="00EB2BD8">
              <w:rPr>
                <w:spacing w:val="-2"/>
                <w:sz w:val="16"/>
              </w:rPr>
              <w:t>a</w:t>
            </w:r>
            <w:r w:rsidRPr="00EB2BD8">
              <w:rPr>
                <w:spacing w:val="-6"/>
                <w:sz w:val="16"/>
              </w:rPr>
              <w:t xml:space="preserve"> </w:t>
            </w:r>
            <w:r w:rsidRPr="00EB2BD8">
              <w:rPr>
                <w:spacing w:val="-2"/>
                <w:sz w:val="16"/>
              </w:rPr>
              <w:t>site</w:t>
            </w:r>
            <w:r w:rsidRPr="00EB2BD8">
              <w:rPr>
                <w:spacing w:val="-6"/>
                <w:sz w:val="16"/>
              </w:rPr>
              <w:t xml:space="preserve"> </w:t>
            </w:r>
            <w:r w:rsidRPr="00EB2BD8">
              <w:rPr>
                <w:spacing w:val="-5"/>
                <w:sz w:val="16"/>
              </w:rPr>
              <w:t>in</w:t>
            </w:r>
          </w:p>
        </w:tc>
        <w:tc>
          <w:tcPr>
            <w:tcW w:w="2263" w:type="dxa"/>
          </w:tcPr>
          <w:p w14:paraId="1C1D4AAC" w14:textId="77777777" w:rsidR="00084F36" w:rsidRPr="00EB2BD8" w:rsidRDefault="00084F36">
            <w:pPr>
              <w:pStyle w:val="TableParagraph"/>
              <w:rPr>
                <w:rFonts w:ascii="Times New Roman"/>
                <w:sz w:val="16"/>
              </w:rPr>
            </w:pPr>
          </w:p>
        </w:tc>
        <w:tc>
          <w:tcPr>
            <w:tcW w:w="1093" w:type="dxa"/>
          </w:tcPr>
          <w:p w14:paraId="2AC6616E" w14:textId="77777777" w:rsidR="00084F36" w:rsidRPr="00EB2BD8" w:rsidRDefault="00084F36">
            <w:pPr>
              <w:pStyle w:val="TableParagraph"/>
              <w:rPr>
                <w:rFonts w:ascii="Times New Roman"/>
                <w:sz w:val="16"/>
              </w:rPr>
            </w:pPr>
          </w:p>
        </w:tc>
        <w:tc>
          <w:tcPr>
            <w:tcW w:w="1176" w:type="dxa"/>
          </w:tcPr>
          <w:p w14:paraId="1794949A" w14:textId="77777777" w:rsidR="00084F36" w:rsidRPr="00EB2BD8" w:rsidRDefault="00084F36">
            <w:pPr>
              <w:pStyle w:val="TableParagraph"/>
              <w:rPr>
                <w:rFonts w:ascii="Times New Roman"/>
                <w:sz w:val="16"/>
              </w:rPr>
            </w:pPr>
          </w:p>
        </w:tc>
      </w:tr>
      <w:tr w:rsidR="00EB2BD8" w:rsidRPr="00EB2BD8" w14:paraId="43557A5E" w14:textId="77777777">
        <w:trPr>
          <w:trHeight w:val="389"/>
        </w:trPr>
        <w:tc>
          <w:tcPr>
            <w:tcW w:w="1751" w:type="dxa"/>
            <w:tcBorders>
              <w:bottom w:val="single" w:sz="2" w:space="0" w:color="000000"/>
            </w:tcBorders>
          </w:tcPr>
          <w:p w14:paraId="686A1634" w14:textId="77777777" w:rsidR="00084F36" w:rsidRPr="00EB2BD8" w:rsidRDefault="00084F36">
            <w:pPr>
              <w:pStyle w:val="TableParagraph"/>
              <w:rPr>
                <w:rFonts w:ascii="Times New Roman"/>
                <w:sz w:val="16"/>
              </w:rPr>
            </w:pPr>
          </w:p>
        </w:tc>
        <w:tc>
          <w:tcPr>
            <w:tcW w:w="1472" w:type="dxa"/>
            <w:tcBorders>
              <w:bottom w:val="single" w:sz="2" w:space="0" w:color="000000"/>
            </w:tcBorders>
          </w:tcPr>
          <w:p w14:paraId="48E2C678" w14:textId="77777777" w:rsidR="00084F36" w:rsidRPr="00EB2BD8" w:rsidRDefault="00084F36">
            <w:pPr>
              <w:pStyle w:val="TableParagraph"/>
              <w:rPr>
                <w:rFonts w:ascii="Times New Roman"/>
                <w:sz w:val="16"/>
              </w:rPr>
            </w:pPr>
          </w:p>
        </w:tc>
        <w:tc>
          <w:tcPr>
            <w:tcW w:w="2445" w:type="dxa"/>
            <w:tcBorders>
              <w:bottom w:val="single" w:sz="2" w:space="0" w:color="000000"/>
            </w:tcBorders>
          </w:tcPr>
          <w:p w14:paraId="3EE4D3EB" w14:textId="77777777" w:rsidR="00084F36" w:rsidRPr="00EB2BD8" w:rsidRDefault="00EB2BD8">
            <w:pPr>
              <w:pStyle w:val="TableParagraph"/>
              <w:spacing w:before="19"/>
              <w:ind w:left="280"/>
              <w:rPr>
                <w:sz w:val="16"/>
              </w:rPr>
            </w:pPr>
            <w:r w:rsidRPr="00EB2BD8">
              <w:rPr>
                <w:spacing w:val="-2"/>
                <w:sz w:val="16"/>
              </w:rPr>
              <w:t>Greensborough.</w:t>
            </w:r>
          </w:p>
        </w:tc>
        <w:tc>
          <w:tcPr>
            <w:tcW w:w="2263" w:type="dxa"/>
            <w:tcBorders>
              <w:bottom w:val="single" w:sz="2" w:space="0" w:color="000000"/>
            </w:tcBorders>
          </w:tcPr>
          <w:p w14:paraId="6BA2AE8B" w14:textId="77777777" w:rsidR="00084F36" w:rsidRPr="00EB2BD8" w:rsidRDefault="00084F36">
            <w:pPr>
              <w:pStyle w:val="TableParagraph"/>
              <w:rPr>
                <w:rFonts w:ascii="Times New Roman"/>
                <w:sz w:val="16"/>
              </w:rPr>
            </w:pPr>
          </w:p>
        </w:tc>
        <w:tc>
          <w:tcPr>
            <w:tcW w:w="1093" w:type="dxa"/>
            <w:tcBorders>
              <w:bottom w:val="single" w:sz="2" w:space="0" w:color="000000"/>
            </w:tcBorders>
          </w:tcPr>
          <w:p w14:paraId="5B0EF1F9"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6765B173" w14:textId="77777777" w:rsidR="00084F36" w:rsidRPr="00EB2BD8" w:rsidRDefault="00084F36">
            <w:pPr>
              <w:pStyle w:val="TableParagraph"/>
              <w:rPr>
                <w:rFonts w:ascii="Times New Roman"/>
                <w:sz w:val="16"/>
              </w:rPr>
            </w:pPr>
          </w:p>
        </w:tc>
      </w:tr>
      <w:tr w:rsidR="00EB2BD8" w:rsidRPr="00EB2BD8" w14:paraId="4C157731" w14:textId="77777777">
        <w:trPr>
          <w:trHeight w:val="324"/>
        </w:trPr>
        <w:tc>
          <w:tcPr>
            <w:tcW w:w="1751" w:type="dxa"/>
            <w:tcBorders>
              <w:top w:val="single" w:sz="2" w:space="0" w:color="000000"/>
            </w:tcBorders>
          </w:tcPr>
          <w:p w14:paraId="41445013" w14:textId="77777777" w:rsidR="00084F36" w:rsidRPr="00EB2BD8" w:rsidRDefault="00EB2BD8">
            <w:pPr>
              <w:pStyle w:val="TableParagraph"/>
              <w:spacing w:before="114"/>
              <w:ind w:left="113"/>
              <w:rPr>
                <w:sz w:val="16"/>
              </w:rPr>
            </w:pPr>
            <w:r w:rsidRPr="00EB2BD8">
              <w:rPr>
                <w:spacing w:val="-2"/>
                <w:sz w:val="16"/>
              </w:rPr>
              <w:t>Momo</w:t>
            </w:r>
            <w:r w:rsidRPr="00EB2BD8">
              <w:rPr>
                <w:spacing w:val="-6"/>
                <w:sz w:val="16"/>
              </w:rPr>
              <w:t xml:space="preserve"> </w:t>
            </w:r>
            <w:r w:rsidRPr="00EB2BD8">
              <w:rPr>
                <w:spacing w:val="-2"/>
                <w:sz w:val="16"/>
              </w:rPr>
              <w:t>Building</w:t>
            </w:r>
            <w:r w:rsidRPr="00EB2BD8">
              <w:rPr>
                <w:spacing w:val="-6"/>
                <w:sz w:val="16"/>
              </w:rPr>
              <w:t xml:space="preserve"> </w:t>
            </w:r>
            <w:r w:rsidRPr="00EB2BD8">
              <w:rPr>
                <w:spacing w:val="-5"/>
                <w:sz w:val="16"/>
              </w:rPr>
              <w:t>Pty</w:t>
            </w:r>
          </w:p>
        </w:tc>
        <w:tc>
          <w:tcPr>
            <w:tcW w:w="1472" w:type="dxa"/>
            <w:tcBorders>
              <w:top w:val="single" w:sz="2" w:space="0" w:color="000000"/>
            </w:tcBorders>
          </w:tcPr>
          <w:p w14:paraId="74C0C044" w14:textId="77777777" w:rsidR="00084F36" w:rsidRPr="00EB2BD8" w:rsidRDefault="00EB2BD8">
            <w:pPr>
              <w:pStyle w:val="TableParagraph"/>
              <w:spacing w:before="114"/>
              <w:ind w:left="119"/>
              <w:rPr>
                <w:sz w:val="16"/>
              </w:rPr>
            </w:pPr>
            <w:r w:rsidRPr="00EB2BD8">
              <w:rPr>
                <w:spacing w:val="2"/>
                <w:sz w:val="16"/>
              </w:rPr>
              <w:t>CDB-U</w:t>
            </w:r>
            <w:r w:rsidRPr="00EB2BD8">
              <w:rPr>
                <w:spacing w:val="17"/>
                <w:sz w:val="16"/>
              </w:rPr>
              <w:t xml:space="preserve"> </w:t>
            </w:r>
            <w:r w:rsidRPr="00EB2BD8">
              <w:rPr>
                <w:spacing w:val="-2"/>
                <w:sz w:val="16"/>
              </w:rPr>
              <w:t>48968</w:t>
            </w:r>
          </w:p>
        </w:tc>
        <w:tc>
          <w:tcPr>
            <w:tcW w:w="2445" w:type="dxa"/>
            <w:tcBorders>
              <w:top w:val="single" w:sz="2" w:space="0" w:color="000000"/>
            </w:tcBorders>
          </w:tcPr>
          <w:p w14:paraId="219CE8F7" w14:textId="77777777" w:rsidR="00084F36" w:rsidRPr="00EB2BD8" w:rsidRDefault="00EB2BD8">
            <w:pPr>
              <w:pStyle w:val="TableParagraph"/>
              <w:spacing w:before="114"/>
              <w:ind w:left="280"/>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63" w:type="dxa"/>
            <w:tcBorders>
              <w:top w:val="single" w:sz="2" w:space="0" w:color="000000"/>
            </w:tcBorders>
          </w:tcPr>
          <w:p w14:paraId="1BA213BD" w14:textId="77777777" w:rsidR="00084F36" w:rsidRPr="00EB2BD8" w:rsidRDefault="00EB2BD8">
            <w:pPr>
              <w:pStyle w:val="TableParagraph"/>
              <w:spacing w:before="113"/>
              <w:ind w:left="114"/>
              <w:rPr>
                <w:sz w:val="16"/>
              </w:rPr>
            </w:pPr>
            <w:r w:rsidRPr="00EB2BD8">
              <w:rPr>
                <w:sz w:val="16"/>
              </w:rPr>
              <w:t>Reprimands</w:t>
            </w:r>
            <w:r w:rsidRPr="00EB2BD8">
              <w:rPr>
                <w:spacing w:val="-2"/>
                <w:sz w:val="16"/>
              </w:rPr>
              <w:t xml:space="preserve"> </w:t>
            </w:r>
            <w:r w:rsidRPr="00EB2BD8">
              <w:rPr>
                <w:spacing w:val="-5"/>
                <w:sz w:val="16"/>
              </w:rPr>
              <w:t>and</w:t>
            </w:r>
          </w:p>
        </w:tc>
        <w:tc>
          <w:tcPr>
            <w:tcW w:w="1093" w:type="dxa"/>
            <w:tcBorders>
              <w:top w:val="single" w:sz="2" w:space="0" w:color="000000"/>
            </w:tcBorders>
          </w:tcPr>
          <w:p w14:paraId="33DC027E" w14:textId="77777777" w:rsidR="00084F36" w:rsidRPr="00EB2BD8" w:rsidRDefault="00EB2BD8">
            <w:pPr>
              <w:pStyle w:val="TableParagraph"/>
              <w:spacing w:before="113"/>
              <w:ind w:right="110"/>
              <w:jc w:val="right"/>
              <w:rPr>
                <w:sz w:val="16"/>
              </w:rPr>
            </w:pPr>
            <w:r w:rsidRPr="00EB2BD8">
              <w:rPr>
                <w:spacing w:val="-2"/>
                <w:sz w:val="16"/>
              </w:rPr>
              <w:t>$3,000</w:t>
            </w:r>
          </w:p>
        </w:tc>
        <w:tc>
          <w:tcPr>
            <w:tcW w:w="1176" w:type="dxa"/>
            <w:tcBorders>
              <w:top w:val="single" w:sz="2" w:space="0" w:color="000000"/>
            </w:tcBorders>
          </w:tcPr>
          <w:p w14:paraId="1A586488" w14:textId="77777777" w:rsidR="00084F36" w:rsidRPr="00EB2BD8" w:rsidRDefault="00EB2BD8">
            <w:pPr>
              <w:pStyle w:val="TableParagraph"/>
              <w:spacing w:before="113"/>
              <w:ind w:left="114"/>
              <w:rPr>
                <w:sz w:val="16"/>
              </w:rPr>
            </w:pPr>
            <w:r w:rsidRPr="00EB2BD8">
              <w:rPr>
                <w:spacing w:val="-2"/>
                <w:w w:val="95"/>
                <w:sz w:val="16"/>
              </w:rPr>
              <w:t>22/05/2023</w:t>
            </w:r>
          </w:p>
        </w:tc>
      </w:tr>
      <w:tr w:rsidR="00EB2BD8" w:rsidRPr="00EB2BD8" w14:paraId="56C18A42" w14:textId="77777777">
        <w:trPr>
          <w:trHeight w:val="229"/>
        </w:trPr>
        <w:tc>
          <w:tcPr>
            <w:tcW w:w="1751" w:type="dxa"/>
          </w:tcPr>
          <w:p w14:paraId="6E8A7F12" w14:textId="77777777" w:rsidR="00084F36" w:rsidRPr="00EB2BD8" w:rsidRDefault="00EB2BD8">
            <w:pPr>
              <w:pStyle w:val="TableParagraph"/>
              <w:spacing w:before="19"/>
              <w:ind w:left="113"/>
              <w:rPr>
                <w:sz w:val="16"/>
              </w:rPr>
            </w:pPr>
            <w:r w:rsidRPr="00EB2BD8">
              <w:rPr>
                <w:spacing w:val="-5"/>
                <w:w w:val="105"/>
                <w:sz w:val="16"/>
              </w:rPr>
              <w:t>Ltd</w:t>
            </w:r>
          </w:p>
        </w:tc>
        <w:tc>
          <w:tcPr>
            <w:tcW w:w="1472" w:type="dxa"/>
          </w:tcPr>
          <w:p w14:paraId="5239C16F" w14:textId="77777777" w:rsidR="00084F36" w:rsidRPr="00EB2BD8" w:rsidRDefault="00084F36">
            <w:pPr>
              <w:pStyle w:val="TableParagraph"/>
              <w:rPr>
                <w:rFonts w:ascii="Times New Roman"/>
                <w:sz w:val="16"/>
              </w:rPr>
            </w:pPr>
          </w:p>
        </w:tc>
        <w:tc>
          <w:tcPr>
            <w:tcW w:w="2445" w:type="dxa"/>
          </w:tcPr>
          <w:p w14:paraId="0CBEAEBF" w14:textId="77777777" w:rsidR="00084F36" w:rsidRPr="00EB2BD8" w:rsidRDefault="00EB2BD8">
            <w:pPr>
              <w:pStyle w:val="TableParagraph"/>
              <w:spacing w:before="19"/>
              <w:ind w:left="280"/>
              <w:rPr>
                <w:sz w:val="16"/>
              </w:rPr>
            </w:pPr>
            <w:r w:rsidRPr="00EB2BD8">
              <w:rPr>
                <w:sz w:val="16"/>
              </w:rPr>
              <w:t>mandatory</w:t>
            </w:r>
            <w:r w:rsidRPr="00EB2BD8">
              <w:rPr>
                <w:spacing w:val="14"/>
                <w:sz w:val="16"/>
              </w:rPr>
              <w:t xml:space="preserve"> </w:t>
            </w:r>
            <w:r w:rsidRPr="00EB2BD8">
              <w:rPr>
                <w:spacing w:val="-2"/>
                <w:sz w:val="16"/>
              </w:rPr>
              <w:t>stage</w:t>
            </w:r>
          </w:p>
        </w:tc>
        <w:tc>
          <w:tcPr>
            <w:tcW w:w="2263" w:type="dxa"/>
          </w:tcPr>
          <w:p w14:paraId="0A428CB0" w14:textId="77777777" w:rsidR="00084F36" w:rsidRPr="00EB2BD8" w:rsidRDefault="00EB2BD8">
            <w:pPr>
              <w:pStyle w:val="TableParagraph"/>
              <w:spacing w:before="19"/>
              <w:ind w:left="114"/>
              <w:rPr>
                <w:sz w:val="16"/>
              </w:rPr>
            </w:pPr>
            <w:r w:rsidRPr="00EB2BD8">
              <w:rPr>
                <w:sz w:val="16"/>
              </w:rPr>
              <w:t>aggregate</w:t>
            </w:r>
            <w:r w:rsidRPr="00EB2BD8">
              <w:rPr>
                <w:spacing w:val="5"/>
                <w:sz w:val="16"/>
              </w:rPr>
              <w:t xml:space="preserve"> </w:t>
            </w:r>
            <w:r w:rsidRPr="00EB2BD8">
              <w:rPr>
                <w:sz w:val="16"/>
              </w:rPr>
              <w:t>penalties</w:t>
            </w:r>
            <w:r w:rsidRPr="00EB2BD8">
              <w:rPr>
                <w:spacing w:val="5"/>
                <w:sz w:val="16"/>
              </w:rPr>
              <w:t xml:space="preserve"> </w:t>
            </w:r>
            <w:r w:rsidRPr="00EB2BD8">
              <w:rPr>
                <w:spacing w:val="-5"/>
                <w:sz w:val="16"/>
              </w:rPr>
              <w:t>of</w:t>
            </w:r>
          </w:p>
        </w:tc>
        <w:tc>
          <w:tcPr>
            <w:tcW w:w="1093" w:type="dxa"/>
          </w:tcPr>
          <w:p w14:paraId="361BF15D" w14:textId="77777777" w:rsidR="00084F36" w:rsidRPr="00EB2BD8" w:rsidRDefault="00084F36">
            <w:pPr>
              <w:pStyle w:val="TableParagraph"/>
              <w:rPr>
                <w:rFonts w:ascii="Times New Roman"/>
                <w:sz w:val="16"/>
              </w:rPr>
            </w:pPr>
          </w:p>
        </w:tc>
        <w:tc>
          <w:tcPr>
            <w:tcW w:w="1176" w:type="dxa"/>
          </w:tcPr>
          <w:p w14:paraId="690743D1" w14:textId="77777777" w:rsidR="00084F36" w:rsidRPr="00EB2BD8" w:rsidRDefault="00084F36">
            <w:pPr>
              <w:pStyle w:val="TableParagraph"/>
              <w:rPr>
                <w:rFonts w:ascii="Times New Roman"/>
                <w:sz w:val="16"/>
              </w:rPr>
            </w:pPr>
          </w:p>
        </w:tc>
      </w:tr>
      <w:tr w:rsidR="00EB2BD8" w:rsidRPr="00EB2BD8" w14:paraId="35906526" w14:textId="77777777">
        <w:trPr>
          <w:trHeight w:val="230"/>
        </w:trPr>
        <w:tc>
          <w:tcPr>
            <w:tcW w:w="1751" w:type="dxa"/>
          </w:tcPr>
          <w:p w14:paraId="59E1DDF1" w14:textId="77777777" w:rsidR="00084F36" w:rsidRPr="00EB2BD8" w:rsidRDefault="00084F36">
            <w:pPr>
              <w:pStyle w:val="TableParagraph"/>
              <w:rPr>
                <w:rFonts w:ascii="Times New Roman"/>
                <w:sz w:val="16"/>
              </w:rPr>
            </w:pPr>
          </w:p>
        </w:tc>
        <w:tc>
          <w:tcPr>
            <w:tcW w:w="1472" w:type="dxa"/>
          </w:tcPr>
          <w:p w14:paraId="490C49D5" w14:textId="77777777" w:rsidR="00084F36" w:rsidRPr="00EB2BD8" w:rsidRDefault="00084F36">
            <w:pPr>
              <w:pStyle w:val="TableParagraph"/>
              <w:rPr>
                <w:rFonts w:ascii="Times New Roman"/>
                <w:sz w:val="16"/>
              </w:rPr>
            </w:pPr>
          </w:p>
        </w:tc>
        <w:tc>
          <w:tcPr>
            <w:tcW w:w="2445" w:type="dxa"/>
          </w:tcPr>
          <w:p w14:paraId="77793DB4" w14:textId="77777777" w:rsidR="00084F36" w:rsidRPr="00EB2BD8" w:rsidRDefault="00EB2BD8">
            <w:pPr>
              <w:pStyle w:val="TableParagraph"/>
              <w:spacing w:before="19"/>
              <w:ind w:left="280"/>
              <w:rPr>
                <w:sz w:val="16"/>
              </w:rPr>
            </w:pPr>
            <w:r w:rsidRPr="00EB2BD8">
              <w:rPr>
                <w:spacing w:val="-2"/>
                <w:sz w:val="16"/>
              </w:rPr>
              <w:t>inspections</w:t>
            </w:r>
            <w:r w:rsidRPr="00EB2BD8">
              <w:rPr>
                <w:spacing w:val="-5"/>
                <w:sz w:val="16"/>
              </w:rPr>
              <w:t xml:space="preserve"> </w:t>
            </w:r>
            <w:r w:rsidRPr="00EB2BD8">
              <w:rPr>
                <w:spacing w:val="-2"/>
                <w:sz w:val="16"/>
              </w:rPr>
              <w:t>(prior</w:t>
            </w:r>
            <w:r w:rsidRPr="00EB2BD8">
              <w:rPr>
                <w:spacing w:val="-5"/>
                <w:sz w:val="16"/>
              </w:rPr>
              <w:t xml:space="preserve"> to</w:t>
            </w:r>
          </w:p>
        </w:tc>
        <w:tc>
          <w:tcPr>
            <w:tcW w:w="2263" w:type="dxa"/>
          </w:tcPr>
          <w:p w14:paraId="01410D9E" w14:textId="77777777" w:rsidR="00084F36" w:rsidRPr="00EB2BD8" w:rsidRDefault="00EB2BD8">
            <w:pPr>
              <w:pStyle w:val="TableParagraph"/>
              <w:spacing w:before="19"/>
              <w:ind w:left="114"/>
              <w:rPr>
                <w:sz w:val="16"/>
              </w:rPr>
            </w:pPr>
            <w:r w:rsidRPr="00EB2BD8">
              <w:rPr>
                <w:spacing w:val="-2"/>
                <w:sz w:val="16"/>
              </w:rPr>
              <w:t>$3,000.</w:t>
            </w:r>
          </w:p>
        </w:tc>
        <w:tc>
          <w:tcPr>
            <w:tcW w:w="1093" w:type="dxa"/>
          </w:tcPr>
          <w:p w14:paraId="37B4172D" w14:textId="77777777" w:rsidR="00084F36" w:rsidRPr="00EB2BD8" w:rsidRDefault="00084F36">
            <w:pPr>
              <w:pStyle w:val="TableParagraph"/>
              <w:rPr>
                <w:rFonts w:ascii="Times New Roman"/>
                <w:sz w:val="16"/>
              </w:rPr>
            </w:pPr>
          </w:p>
        </w:tc>
        <w:tc>
          <w:tcPr>
            <w:tcW w:w="1176" w:type="dxa"/>
          </w:tcPr>
          <w:p w14:paraId="12E9FCB5" w14:textId="77777777" w:rsidR="00084F36" w:rsidRPr="00EB2BD8" w:rsidRDefault="00084F36">
            <w:pPr>
              <w:pStyle w:val="TableParagraph"/>
              <w:rPr>
                <w:rFonts w:ascii="Times New Roman"/>
                <w:sz w:val="16"/>
              </w:rPr>
            </w:pPr>
          </w:p>
        </w:tc>
      </w:tr>
      <w:tr w:rsidR="00EB2BD8" w:rsidRPr="00EB2BD8" w14:paraId="630E62F3" w14:textId="77777777">
        <w:trPr>
          <w:trHeight w:val="229"/>
        </w:trPr>
        <w:tc>
          <w:tcPr>
            <w:tcW w:w="1751" w:type="dxa"/>
          </w:tcPr>
          <w:p w14:paraId="7F8541E3" w14:textId="77777777" w:rsidR="00084F36" w:rsidRPr="00EB2BD8" w:rsidRDefault="00084F36">
            <w:pPr>
              <w:pStyle w:val="TableParagraph"/>
              <w:rPr>
                <w:rFonts w:ascii="Times New Roman"/>
                <w:sz w:val="16"/>
              </w:rPr>
            </w:pPr>
          </w:p>
        </w:tc>
        <w:tc>
          <w:tcPr>
            <w:tcW w:w="1472" w:type="dxa"/>
          </w:tcPr>
          <w:p w14:paraId="363D8E90" w14:textId="77777777" w:rsidR="00084F36" w:rsidRPr="00EB2BD8" w:rsidRDefault="00084F36">
            <w:pPr>
              <w:pStyle w:val="TableParagraph"/>
              <w:rPr>
                <w:rFonts w:ascii="Times New Roman"/>
                <w:sz w:val="16"/>
              </w:rPr>
            </w:pPr>
          </w:p>
        </w:tc>
        <w:tc>
          <w:tcPr>
            <w:tcW w:w="2445" w:type="dxa"/>
          </w:tcPr>
          <w:p w14:paraId="7292EFC5" w14:textId="77777777" w:rsidR="00084F36" w:rsidRPr="00EB2BD8" w:rsidRDefault="00EB2BD8">
            <w:pPr>
              <w:pStyle w:val="TableParagraph"/>
              <w:spacing w:before="19"/>
              <w:ind w:left="280"/>
              <w:rPr>
                <w:sz w:val="16"/>
              </w:rPr>
            </w:pPr>
            <w:r w:rsidRPr="00EB2BD8">
              <w:rPr>
                <w:sz w:val="16"/>
              </w:rPr>
              <w:t>placing a</w:t>
            </w:r>
            <w:r w:rsidRPr="00EB2BD8">
              <w:rPr>
                <w:spacing w:val="1"/>
                <w:sz w:val="16"/>
              </w:rPr>
              <w:t xml:space="preserve"> </w:t>
            </w:r>
            <w:r w:rsidRPr="00EB2BD8">
              <w:rPr>
                <w:spacing w:val="-2"/>
                <w:sz w:val="16"/>
              </w:rPr>
              <w:t>footing—</w:t>
            </w:r>
          </w:p>
        </w:tc>
        <w:tc>
          <w:tcPr>
            <w:tcW w:w="2263" w:type="dxa"/>
          </w:tcPr>
          <w:p w14:paraId="0A054105" w14:textId="77777777" w:rsidR="00084F36" w:rsidRPr="00EB2BD8" w:rsidRDefault="00084F36">
            <w:pPr>
              <w:pStyle w:val="TableParagraph"/>
              <w:rPr>
                <w:rFonts w:ascii="Times New Roman"/>
                <w:sz w:val="16"/>
              </w:rPr>
            </w:pPr>
          </w:p>
        </w:tc>
        <w:tc>
          <w:tcPr>
            <w:tcW w:w="1093" w:type="dxa"/>
          </w:tcPr>
          <w:p w14:paraId="069C1863" w14:textId="77777777" w:rsidR="00084F36" w:rsidRPr="00EB2BD8" w:rsidRDefault="00084F36">
            <w:pPr>
              <w:pStyle w:val="TableParagraph"/>
              <w:rPr>
                <w:rFonts w:ascii="Times New Roman"/>
                <w:sz w:val="16"/>
              </w:rPr>
            </w:pPr>
          </w:p>
        </w:tc>
        <w:tc>
          <w:tcPr>
            <w:tcW w:w="1176" w:type="dxa"/>
          </w:tcPr>
          <w:p w14:paraId="2D6050F4" w14:textId="77777777" w:rsidR="00084F36" w:rsidRPr="00EB2BD8" w:rsidRDefault="00084F36">
            <w:pPr>
              <w:pStyle w:val="TableParagraph"/>
              <w:rPr>
                <w:rFonts w:ascii="Times New Roman"/>
                <w:sz w:val="16"/>
              </w:rPr>
            </w:pPr>
          </w:p>
        </w:tc>
      </w:tr>
      <w:tr w:rsidR="00EB2BD8" w:rsidRPr="00EB2BD8" w14:paraId="513214A4" w14:textId="77777777">
        <w:trPr>
          <w:trHeight w:val="229"/>
        </w:trPr>
        <w:tc>
          <w:tcPr>
            <w:tcW w:w="1751" w:type="dxa"/>
          </w:tcPr>
          <w:p w14:paraId="39F6FAF7" w14:textId="77777777" w:rsidR="00084F36" w:rsidRPr="00EB2BD8" w:rsidRDefault="00084F36">
            <w:pPr>
              <w:pStyle w:val="TableParagraph"/>
              <w:rPr>
                <w:rFonts w:ascii="Times New Roman"/>
                <w:sz w:val="16"/>
              </w:rPr>
            </w:pPr>
          </w:p>
        </w:tc>
        <w:tc>
          <w:tcPr>
            <w:tcW w:w="1472" w:type="dxa"/>
          </w:tcPr>
          <w:p w14:paraId="5306A4C7" w14:textId="77777777" w:rsidR="00084F36" w:rsidRPr="00EB2BD8" w:rsidRDefault="00084F36">
            <w:pPr>
              <w:pStyle w:val="TableParagraph"/>
              <w:rPr>
                <w:rFonts w:ascii="Times New Roman"/>
                <w:sz w:val="16"/>
              </w:rPr>
            </w:pPr>
          </w:p>
        </w:tc>
        <w:tc>
          <w:tcPr>
            <w:tcW w:w="2445" w:type="dxa"/>
          </w:tcPr>
          <w:p w14:paraId="40EC5856" w14:textId="77777777" w:rsidR="00084F36" w:rsidRPr="00EB2BD8" w:rsidRDefault="00EB2BD8">
            <w:pPr>
              <w:pStyle w:val="TableParagraph"/>
              <w:spacing w:before="19"/>
              <w:ind w:left="280"/>
              <w:rPr>
                <w:sz w:val="16"/>
              </w:rPr>
            </w:pPr>
            <w:r w:rsidRPr="00EB2BD8">
              <w:rPr>
                <w:spacing w:val="-2"/>
                <w:sz w:val="16"/>
              </w:rPr>
              <w:t>retaining</w:t>
            </w:r>
            <w:r w:rsidRPr="00EB2BD8">
              <w:rPr>
                <w:spacing w:val="-4"/>
                <w:sz w:val="16"/>
              </w:rPr>
              <w:t xml:space="preserve"> </w:t>
            </w:r>
            <w:r w:rsidRPr="00EB2BD8">
              <w:rPr>
                <w:spacing w:val="-2"/>
                <w:sz w:val="16"/>
              </w:rPr>
              <w:t>wall</w:t>
            </w:r>
            <w:r w:rsidRPr="00EB2BD8">
              <w:rPr>
                <w:spacing w:val="-4"/>
                <w:sz w:val="16"/>
              </w:rPr>
              <w:t xml:space="preserve"> </w:t>
            </w:r>
            <w:r w:rsidRPr="00EB2BD8">
              <w:rPr>
                <w:spacing w:val="-2"/>
                <w:sz w:val="16"/>
              </w:rPr>
              <w:t>holes,</w:t>
            </w:r>
          </w:p>
        </w:tc>
        <w:tc>
          <w:tcPr>
            <w:tcW w:w="2263" w:type="dxa"/>
          </w:tcPr>
          <w:p w14:paraId="4605A040" w14:textId="77777777" w:rsidR="00084F36" w:rsidRPr="00EB2BD8" w:rsidRDefault="00084F36">
            <w:pPr>
              <w:pStyle w:val="TableParagraph"/>
              <w:rPr>
                <w:rFonts w:ascii="Times New Roman"/>
                <w:sz w:val="16"/>
              </w:rPr>
            </w:pPr>
          </w:p>
        </w:tc>
        <w:tc>
          <w:tcPr>
            <w:tcW w:w="1093" w:type="dxa"/>
          </w:tcPr>
          <w:p w14:paraId="60E19C40" w14:textId="77777777" w:rsidR="00084F36" w:rsidRPr="00EB2BD8" w:rsidRDefault="00084F36">
            <w:pPr>
              <w:pStyle w:val="TableParagraph"/>
              <w:rPr>
                <w:rFonts w:ascii="Times New Roman"/>
                <w:sz w:val="16"/>
              </w:rPr>
            </w:pPr>
          </w:p>
        </w:tc>
        <w:tc>
          <w:tcPr>
            <w:tcW w:w="1176" w:type="dxa"/>
          </w:tcPr>
          <w:p w14:paraId="4A343DC2" w14:textId="77777777" w:rsidR="00084F36" w:rsidRPr="00EB2BD8" w:rsidRDefault="00084F36">
            <w:pPr>
              <w:pStyle w:val="TableParagraph"/>
              <w:rPr>
                <w:rFonts w:ascii="Times New Roman"/>
                <w:sz w:val="16"/>
              </w:rPr>
            </w:pPr>
          </w:p>
        </w:tc>
      </w:tr>
      <w:tr w:rsidR="00EB2BD8" w:rsidRPr="00EB2BD8" w14:paraId="7592D7BD" w14:textId="77777777">
        <w:trPr>
          <w:trHeight w:val="229"/>
        </w:trPr>
        <w:tc>
          <w:tcPr>
            <w:tcW w:w="1751" w:type="dxa"/>
          </w:tcPr>
          <w:p w14:paraId="094EB744" w14:textId="77777777" w:rsidR="00084F36" w:rsidRPr="00EB2BD8" w:rsidRDefault="00084F36">
            <w:pPr>
              <w:pStyle w:val="TableParagraph"/>
              <w:rPr>
                <w:rFonts w:ascii="Times New Roman"/>
                <w:sz w:val="16"/>
              </w:rPr>
            </w:pPr>
          </w:p>
        </w:tc>
        <w:tc>
          <w:tcPr>
            <w:tcW w:w="1472" w:type="dxa"/>
          </w:tcPr>
          <w:p w14:paraId="2BD95D75" w14:textId="77777777" w:rsidR="00084F36" w:rsidRPr="00EB2BD8" w:rsidRDefault="00084F36">
            <w:pPr>
              <w:pStyle w:val="TableParagraph"/>
              <w:rPr>
                <w:rFonts w:ascii="Times New Roman"/>
                <w:sz w:val="16"/>
              </w:rPr>
            </w:pPr>
          </w:p>
        </w:tc>
        <w:tc>
          <w:tcPr>
            <w:tcW w:w="2445" w:type="dxa"/>
          </w:tcPr>
          <w:p w14:paraId="4CE31C5B" w14:textId="77777777" w:rsidR="00084F36" w:rsidRPr="00EB2BD8" w:rsidRDefault="00EB2BD8">
            <w:pPr>
              <w:pStyle w:val="TableParagraph"/>
              <w:spacing w:before="19"/>
              <w:ind w:left="280"/>
              <w:rPr>
                <w:sz w:val="16"/>
              </w:rPr>
            </w:pPr>
            <w:r w:rsidRPr="00EB2BD8">
              <w:rPr>
                <w:spacing w:val="-2"/>
                <w:sz w:val="16"/>
              </w:rPr>
              <w:t>completion</w:t>
            </w:r>
            <w:r w:rsidRPr="00EB2BD8">
              <w:rPr>
                <w:spacing w:val="-4"/>
                <w:sz w:val="16"/>
              </w:rPr>
              <w:t xml:space="preserve"> </w:t>
            </w:r>
            <w:r w:rsidRPr="00EB2BD8">
              <w:rPr>
                <w:spacing w:val="-2"/>
                <w:sz w:val="16"/>
              </w:rPr>
              <w:t>of</w:t>
            </w:r>
            <w:r w:rsidRPr="00EB2BD8">
              <w:rPr>
                <w:spacing w:val="-3"/>
                <w:sz w:val="16"/>
              </w:rPr>
              <w:t xml:space="preserve"> </w:t>
            </w:r>
            <w:r w:rsidRPr="00EB2BD8">
              <w:rPr>
                <w:spacing w:val="-2"/>
                <w:sz w:val="16"/>
              </w:rPr>
              <w:t>sub-floor</w:t>
            </w:r>
          </w:p>
        </w:tc>
        <w:tc>
          <w:tcPr>
            <w:tcW w:w="2263" w:type="dxa"/>
          </w:tcPr>
          <w:p w14:paraId="3FC3BA82" w14:textId="77777777" w:rsidR="00084F36" w:rsidRPr="00EB2BD8" w:rsidRDefault="00084F36">
            <w:pPr>
              <w:pStyle w:val="TableParagraph"/>
              <w:rPr>
                <w:rFonts w:ascii="Times New Roman"/>
                <w:sz w:val="16"/>
              </w:rPr>
            </w:pPr>
          </w:p>
        </w:tc>
        <w:tc>
          <w:tcPr>
            <w:tcW w:w="1093" w:type="dxa"/>
          </w:tcPr>
          <w:p w14:paraId="52D6D2D6" w14:textId="77777777" w:rsidR="00084F36" w:rsidRPr="00EB2BD8" w:rsidRDefault="00084F36">
            <w:pPr>
              <w:pStyle w:val="TableParagraph"/>
              <w:rPr>
                <w:rFonts w:ascii="Times New Roman"/>
                <w:sz w:val="16"/>
              </w:rPr>
            </w:pPr>
          </w:p>
        </w:tc>
        <w:tc>
          <w:tcPr>
            <w:tcW w:w="1176" w:type="dxa"/>
          </w:tcPr>
          <w:p w14:paraId="16632BC5" w14:textId="77777777" w:rsidR="00084F36" w:rsidRPr="00EB2BD8" w:rsidRDefault="00084F36">
            <w:pPr>
              <w:pStyle w:val="TableParagraph"/>
              <w:rPr>
                <w:rFonts w:ascii="Times New Roman"/>
                <w:sz w:val="16"/>
              </w:rPr>
            </w:pPr>
          </w:p>
        </w:tc>
      </w:tr>
      <w:tr w:rsidR="00EB2BD8" w:rsidRPr="00EB2BD8" w14:paraId="7CB5346E" w14:textId="77777777">
        <w:trPr>
          <w:trHeight w:val="229"/>
        </w:trPr>
        <w:tc>
          <w:tcPr>
            <w:tcW w:w="1751" w:type="dxa"/>
          </w:tcPr>
          <w:p w14:paraId="1D6B7030" w14:textId="77777777" w:rsidR="00084F36" w:rsidRPr="00EB2BD8" w:rsidRDefault="00084F36">
            <w:pPr>
              <w:pStyle w:val="TableParagraph"/>
              <w:rPr>
                <w:rFonts w:ascii="Times New Roman"/>
                <w:sz w:val="16"/>
              </w:rPr>
            </w:pPr>
          </w:p>
        </w:tc>
        <w:tc>
          <w:tcPr>
            <w:tcW w:w="1472" w:type="dxa"/>
          </w:tcPr>
          <w:p w14:paraId="3DBBA519" w14:textId="77777777" w:rsidR="00084F36" w:rsidRPr="00EB2BD8" w:rsidRDefault="00084F36">
            <w:pPr>
              <w:pStyle w:val="TableParagraph"/>
              <w:rPr>
                <w:rFonts w:ascii="Times New Roman"/>
                <w:sz w:val="16"/>
              </w:rPr>
            </w:pPr>
          </w:p>
        </w:tc>
        <w:tc>
          <w:tcPr>
            <w:tcW w:w="2445" w:type="dxa"/>
          </w:tcPr>
          <w:p w14:paraId="62B98ABE" w14:textId="77777777" w:rsidR="00084F36" w:rsidRPr="00EB2BD8" w:rsidRDefault="00EB2BD8">
            <w:pPr>
              <w:pStyle w:val="TableParagraph"/>
              <w:spacing w:before="19"/>
              <w:ind w:left="280"/>
              <w:rPr>
                <w:sz w:val="16"/>
              </w:rPr>
            </w:pPr>
            <w:r w:rsidRPr="00EB2BD8">
              <w:rPr>
                <w:spacing w:val="-2"/>
                <w:sz w:val="16"/>
              </w:rPr>
              <w:t>frame)</w:t>
            </w:r>
            <w:r w:rsidRPr="00EB2BD8">
              <w:rPr>
                <w:spacing w:val="-3"/>
                <w:sz w:val="16"/>
              </w:rPr>
              <w:t xml:space="preserve"> </w:t>
            </w:r>
            <w:r w:rsidRPr="00EB2BD8">
              <w:rPr>
                <w:spacing w:val="-2"/>
                <w:sz w:val="16"/>
              </w:rPr>
              <w:t>without delay,</w:t>
            </w:r>
          </w:p>
        </w:tc>
        <w:tc>
          <w:tcPr>
            <w:tcW w:w="2263" w:type="dxa"/>
          </w:tcPr>
          <w:p w14:paraId="030C92FD" w14:textId="77777777" w:rsidR="00084F36" w:rsidRPr="00EB2BD8" w:rsidRDefault="00084F36">
            <w:pPr>
              <w:pStyle w:val="TableParagraph"/>
              <w:rPr>
                <w:rFonts w:ascii="Times New Roman"/>
                <w:sz w:val="16"/>
              </w:rPr>
            </w:pPr>
          </w:p>
        </w:tc>
        <w:tc>
          <w:tcPr>
            <w:tcW w:w="1093" w:type="dxa"/>
          </w:tcPr>
          <w:p w14:paraId="146F9FF9" w14:textId="77777777" w:rsidR="00084F36" w:rsidRPr="00EB2BD8" w:rsidRDefault="00084F36">
            <w:pPr>
              <w:pStyle w:val="TableParagraph"/>
              <w:rPr>
                <w:rFonts w:ascii="Times New Roman"/>
                <w:sz w:val="16"/>
              </w:rPr>
            </w:pPr>
          </w:p>
        </w:tc>
        <w:tc>
          <w:tcPr>
            <w:tcW w:w="1176" w:type="dxa"/>
          </w:tcPr>
          <w:p w14:paraId="1958BF72" w14:textId="77777777" w:rsidR="00084F36" w:rsidRPr="00EB2BD8" w:rsidRDefault="00084F36">
            <w:pPr>
              <w:pStyle w:val="TableParagraph"/>
              <w:rPr>
                <w:rFonts w:ascii="Times New Roman"/>
                <w:sz w:val="16"/>
              </w:rPr>
            </w:pPr>
          </w:p>
        </w:tc>
      </w:tr>
      <w:tr w:rsidR="00EB2BD8" w:rsidRPr="00EB2BD8" w14:paraId="60532457" w14:textId="77777777">
        <w:trPr>
          <w:trHeight w:val="229"/>
        </w:trPr>
        <w:tc>
          <w:tcPr>
            <w:tcW w:w="1751" w:type="dxa"/>
          </w:tcPr>
          <w:p w14:paraId="4EA94CC2" w14:textId="77777777" w:rsidR="00084F36" w:rsidRPr="00EB2BD8" w:rsidRDefault="00084F36">
            <w:pPr>
              <w:pStyle w:val="TableParagraph"/>
              <w:rPr>
                <w:rFonts w:ascii="Times New Roman"/>
                <w:sz w:val="16"/>
              </w:rPr>
            </w:pPr>
          </w:p>
        </w:tc>
        <w:tc>
          <w:tcPr>
            <w:tcW w:w="1472" w:type="dxa"/>
          </w:tcPr>
          <w:p w14:paraId="4FF27E6D" w14:textId="77777777" w:rsidR="00084F36" w:rsidRPr="00EB2BD8" w:rsidRDefault="00084F36">
            <w:pPr>
              <w:pStyle w:val="TableParagraph"/>
              <w:rPr>
                <w:rFonts w:ascii="Times New Roman"/>
                <w:sz w:val="16"/>
              </w:rPr>
            </w:pPr>
          </w:p>
        </w:tc>
        <w:tc>
          <w:tcPr>
            <w:tcW w:w="2445" w:type="dxa"/>
          </w:tcPr>
          <w:p w14:paraId="24E8EE2C" w14:textId="77777777" w:rsidR="00084F36" w:rsidRPr="00EB2BD8" w:rsidRDefault="00EB2BD8">
            <w:pPr>
              <w:pStyle w:val="TableParagraph"/>
              <w:spacing w:before="19"/>
              <w:ind w:left="280"/>
              <w:rPr>
                <w:sz w:val="16"/>
              </w:rPr>
            </w:pPr>
            <w:r w:rsidRPr="00EB2BD8">
              <w:rPr>
                <w:sz w:val="16"/>
              </w:rPr>
              <w:t>in</w:t>
            </w:r>
            <w:r w:rsidRPr="00EB2BD8">
              <w:rPr>
                <w:spacing w:val="-11"/>
                <w:sz w:val="16"/>
              </w:rPr>
              <w:t xml:space="preserve"> </w:t>
            </w:r>
            <w:r w:rsidRPr="00EB2BD8">
              <w:rPr>
                <w:sz w:val="16"/>
              </w:rPr>
              <w:t>respect</w:t>
            </w:r>
            <w:r w:rsidRPr="00EB2BD8">
              <w:rPr>
                <w:spacing w:val="-11"/>
                <w:sz w:val="16"/>
              </w:rPr>
              <w:t xml:space="preserve"> </w:t>
            </w:r>
            <w:r w:rsidRPr="00EB2BD8">
              <w:rPr>
                <w:sz w:val="16"/>
              </w:rPr>
              <w:t>of</w:t>
            </w:r>
            <w:r w:rsidRPr="00EB2BD8">
              <w:rPr>
                <w:spacing w:val="-11"/>
                <w:sz w:val="16"/>
              </w:rPr>
              <w:t xml:space="preserve"> </w:t>
            </w:r>
            <w:r w:rsidRPr="00EB2BD8">
              <w:rPr>
                <w:sz w:val="16"/>
              </w:rPr>
              <w:t>a</w:t>
            </w:r>
            <w:r w:rsidRPr="00EB2BD8">
              <w:rPr>
                <w:spacing w:val="-11"/>
                <w:sz w:val="16"/>
              </w:rPr>
              <w:t xml:space="preserve"> </w:t>
            </w:r>
            <w:r w:rsidRPr="00EB2BD8">
              <w:rPr>
                <w:sz w:val="16"/>
              </w:rPr>
              <w:t>site</w:t>
            </w:r>
            <w:r w:rsidRPr="00EB2BD8">
              <w:rPr>
                <w:spacing w:val="-11"/>
                <w:sz w:val="16"/>
              </w:rPr>
              <w:t xml:space="preserve"> </w:t>
            </w:r>
            <w:r w:rsidRPr="00EB2BD8">
              <w:rPr>
                <w:spacing w:val="-5"/>
                <w:sz w:val="16"/>
              </w:rPr>
              <w:t>at</w:t>
            </w:r>
          </w:p>
        </w:tc>
        <w:tc>
          <w:tcPr>
            <w:tcW w:w="2263" w:type="dxa"/>
          </w:tcPr>
          <w:p w14:paraId="1705C7E8" w14:textId="77777777" w:rsidR="00084F36" w:rsidRPr="00EB2BD8" w:rsidRDefault="00084F36">
            <w:pPr>
              <w:pStyle w:val="TableParagraph"/>
              <w:rPr>
                <w:rFonts w:ascii="Times New Roman"/>
                <w:sz w:val="16"/>
              </w:rPr>
            </w:pPr>
          </w:p>
        </w:tc>
        <w:tc>
          <w:tcPr>
            <w:tcW w:w="1093" w:type="dxa"/>
          </w:tcPr>
          <w:p w14:paraId="53D2D26B" w14:textId="77777777" w:rsidR="00084F36" w:rsidRPr="00EB2BD8" w:rsidRDefault="00084F36">
            <w:pPr>
              <w:pStyle w:val="TableParagraph"/>
              <w:rPr>
                <w:rFonts w:ascii="Times New Roman"/>
                <w:sz w:val="16"/>
              </w:rPr>
            </w:pPr>
          </w:p>
        </w:tc>
        <w:tc>
          <w:tcPr>
            <w:tcW w:w="1176" w:type="dxa"/>
          </w:tcPr>
          <w:p w14:paraId="59DF231E" w14:textId="77777777" w:rsidR="00084F36" w:rsidRPr="00EB2BD8" w:rsidRDefault="00084F36">
            <w:pPr>
              <w:pStyle w:val="TableParagraph"/>
              <w:rPr>
                <w:rFonts w:ascii="Times New Roman"/>
                <w:sz w:val="16"/>
              </w:rPr>
            </w:pPr>
          </w:p>
        </w:tc>
      </w:tr>
      <w:tr w:rsidR="00EB2BD8" w:rsidRPr="00EB2BD8" w14:paraId="047F60B3" w14:textId="77777777">
        <w:trPr>
          <w:trHeight w:val="287"/>
        </w:trPr>
        <w:tc>
          <w:tcPr>
            <w:tcW w:w="1751" w:type="dxa"/>
            <w:tcBorders>
              <w:bottom w:val="single" w:sz="2" w:space="0" w:color="000000"/>
            </w:tcBorders>
          </w:tcPr>
          <w:p w14:paraId="70A613C4" w14:textId="77777777" w:rsidR="00084F36" w:rsidRPr="00EB2BD8" w:rsidRDefault="00084F36">
            <w:pPr>
              <w:pStyle w:val="TableParagraph"/>
              <w:rPr>
                <w:rFonts w:ascii="Times New Roman"/>
                <w:sz w:val="16"/>
              </w:rPr>
            </w:pPr>
          </w:p>
        </w:tc>
        <w:tc>
          <w:tcPr>
            <w:tcW w:w="1472" w:type="dxa"/>
            <w:tcBorders>
              <w:bottom w:val="single" w:sz="2" w:space="0" w:color="000000"/>
            </w:tcBorders>
          </w:tcPr>
          <w:p w14:paraId="2E513134" w14:textId="77777777" w:rsidR="00084F36" w:rsidRPr="00EB2BD8" w:rsidRDefault="00084F36">
            <w:pPr>
              <w:pStyle w:val="TableParagraph"/>
              <w:rPr>
                <w:rFonts w:ascii="Times New Roman"/>
                <w:sz w:val="16"/>
              </w:rPr>
            </w:pPr>
          </w:p>
        </w:tc>
        <w:tc>
          <w:tcPr>
            <w:tcW w:w="2445" w:type="dxa"/>
            <w:tcBorders>
              <w:bottom w:val="single" w:sz="2" w:space="0" w:color="000000"/>
            </w:tcBorders>
          </w:tcPr>
          <w:p w14:paraId="7BD95A0D" w14:textId="77777777" w:rsidR="00084F36" w:rsidRPr="00EB2BD8" w:rsidRDefault="00EB2BD8">
            <w:pPr>
              <w:pStyle w:val="TableParagraph"/>
              <w:spacing w:before="19"/>
              <w:ind w:left="280"/>
              <w:rPr>
                <w:sz w:val="16"/>
              </w:rPr>
            </w:pPr>
            <w:r w:rsidRPr="00EB2BD8">
              <w:rPr>
                <w:sz w:val="16"/>
              </w:rPr>
              <w:t>Hampton</w:t>
            </w:r>
            <w:r w:rsidRPr="00EB2BD8">
              <w:rPr>
                <w:spacing w:val="-6"/>
                <w:sz w:val="16"/>
              </w:rPr>
              <w:t xml:space="preserve"> </w:t>
            </w:r>
            <w:r w:rsidRPr="00EB2BD8">
              <w:rPr>
                <w:spacing w:val="-2"/>
                <w:sz w:val="16"/>
              </w:rPr>
              <w:t>Park.</w:t>
            </w:r>
          </w:p>
        </w:tc>
        <w:tc>
          <w:tcPr>
            <w:tcW w:w="2263" w:type="dxa"/>
            <w:tcBorders>
              <w:bottom w:val="single" w:sz="2" w:space="0" w:color="000000"/>
            </w:tcBorders>
          </w:tcPr>
          <w:p w14:paraId="5C608D79" w14:textId="77777777" w:rsidR="00084F36" w:rsidRPr="00EB2BD8" w:rsidRDefault="00084F36">
            <w:pPr>
              <w:pStyle w:val="TableParagraph"/>
              <w:rPr>
                <w:rFonts w:ascii="Times New Roman"/>
                <w:sz w:val="16"/>
              </w:rPr>
            </w:pPr>
          </w:p>
        </w:tc>
        <w:tc>
          <w:tcPr>
            <w:tcW w:w="1093" w:type="dxa"/>
            <w:tcBorders>
              <w:bottom w:val="single" w:sz="2" w:space="0" w:color="000000"/>
            </w:tcBorders>
          </w:tcPr>
          <w:p w14:paraId="7F203265"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113A4BEC" w14:textId="77777777" w:rsidR="00084F36" w:rsidRPr="00EB2BD8" w:rsidRDefault="00084F36">
            <w:pPr>
              <w:pStyle w:val="TableParagraph"/>
              <w:rPr>
                <w:rFonts w:ascii="Times New Roman"/>
                <w:sz w:val="16"/>
              </w:rPr>
            </w:pPr>
          </w:p>
        </w:tc>
      </w:tr>
      <w:tr w:rsidR="00EB2BD8" w:rsidRPr="00EB2BD8" w14:paraId="449B06FE" w14:textId="77777777">
        <w:trPr>
          <w:trHeight w:val="323"/>
        </w:trPr>
        <w:tc>
          <w:tcPr>
            <w:tcW w:w="1751" w:type="dxa"/>
            <w:tcBorders>
              <w:top w:val="single" w:sz="2" w:space="0" w:color="000000"/>
            </w:tcBorders>
          </w:tcPr>
          <w:p w14:paraId="25AD5CD7" w14:textId="77777777" w:rsidR="00084F36" w:rsidRPr="00EB2BD8" w:rsidRDefault="00EB2BD8">
            <w:pPr>
              <w:pStyle w:val="TableParagraph"/>
              <w:spacing w:before="113"/>
              <w:ind w:left="113"/>
              <w:rPr>
                <w:sz w:val="16"/>
              </w:rPr>
            </w:pPr>
            <w:r w:rsidRPr="00EB2BD8">
              <w:rPr>
                <w:sz w:val="16"/>
              </w:rPr>
              <w:t>MPR</w:t>
            </w:r>
            <w:r w:rsidRPr="00EB2BD8">
              <w:rPr>
                <w:spacing w:val="-8"/>
                <w:sz w:val="16"/>
              </w:rPr>
              <w:t xml:space="preserve"> </w:t>
            </w:r>
            <w:r w:rsidRPr="00EB2BD8">
              <w:rPr>
                <w:sz w:val="16"/>
              </w:rPr>
              <w:t>Design</w:t>
            </w:r>
            <w:r w:rsidRPr="00EB2BD8">
              <w:rPr>
                <w:spacing w:val="-7"/>
                <w:sz w:val="16"/>
              </w:rPr>
              <w:t xml:space="preserve"> </w:t>
            </w:r>
            <w:r w:rsidRPr="00EB2BD8">
              <w:rPr>
                <w:spacing w:val="-5"/>
                <w:sz w:val="16"/>
              </w:rPr>
              <w:t>and</w:t>
            </w:r>
          </w:p>
        </w:tc>
        <w:tc>
          <w:tcPr>
            <w:tcW w:w="1472" w:type="dxa"/>
            <w:tcBorders>
              <w:top w:val="single" w:sz="2" w:space="0" w:color="000000"/>
            </w:tcBorders>
          </w:tcPr>
          <w:p w14:paraId="06CF6539" w14:textId="77777777" w:rsidR="00084F36" w:rsidRPr="00EB2BD8" w:rsidRDefault="00EB2BD8">
            <w:pPr>
              <w:pStyle w:val="TableParagraph"/>
              <w:spacing w:before="113"/>
              <w:ind w:left="119"/>
              <w:rPr>
                <w:sz w:val="16"/>
              </w:rPr>
            </w:pPr>
            <w:r w:rsidRPr="00EB2BD8">
              <w:rPr>
                <w:spacing w:val="2"/>
                <w:sz w:val="16"/>
              </w:rPr>
              <w:t>CDB-U</w:t>
            </w:r>
            <w:r w:rsidRPr="00EB2BD8">
              <w:rPr>
                <w:spacing w:val="17"/>
                <w:sz w:val="16"/>
              </w:rPr>
              <w:t xml:space="preserve"> </w:t>
            </w:r>
            <w:r w:rsidRPr="00EB2BD8">
              <w:rPr>
                <w:spacing w:val="-2"/>
                <w:sz w:val="16"/>
              </w:rPr>
              <w:t>59801</w:t>
            </w:r>
          </w:p>
        </w:tc>
        <w:tc>
          <w:tcPr>
            <w:tcW w:w="2445" w:type="dxa"/>
            <w:tcBorders>
              <w:top w:val="single" w:sz="2" w:space="0" w:color="000000"/>
            </w:tcBorders>
          </w:tcPr>
          <w:p w14:paraId="5D6AE943" w14:textId="77777777" w:rsidR="00084F36" w:rsidRPr="00EB2BD8" w:rsidRDefault="00EB2BD8">
            <w:pPr>
              <w:pStyle w:val="TableParagraph"/>
              <w:spacing w:before="113"/>
              <w:ind w:left="280"/>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263" w:type="dxa"/>
            <w:tcBorders>
              <w:top w:val="single" w:sz="2" w:space="0" w:color="000000"/>
            </w:tcBorders>
          </w:tcPr>
          <w:p w14:paraId="698399F6" w14:textId="77777777" w:rsidR="00084F36" w:rsidRPr="00EB2BD8" w:rsidRDefault="00EB2BD8">
            <w:pPr>
              <w:pStyle w:val="TableParagraph"/>
              <w:spacing w:before="113"/>
              <w:ind w:left="114"/>
              <w:rPr>
                <w:sz w:val="16"/>
              </w:rPr>
            </w:pPr>
            <w:r w:rsidRPr="00EB2BD8">
              <w:rPr>
                <w:sz w:val="16"/>
              </w:rPr>
              <w:t>Reprimand</w:t>
            </w:r>
            <w:r w:rsidRPr="00EB2BD8">
              <w:rPr>
                <w:spacing w:val="2"/>
                <w:sz w:val="16"/>
              </w:rPr>
              <w:t xml:space="preserve"> </w:t>
            </w:r>
            <w:r w:rsidRPr="00EB2BD8">
              <w:rPr>
                <w:sz w:val="16"/>
              </w:rPr>
              <w:t>and</w:t>
            </w:r>
            <w:r w:rsidRPr="00EB2BD8">
              <w:rPr>
                <w:spacing w:val="3"/>
                <w:sz w:val="16"/>
              </w:rPr>
              <w:t xml:space="preserve"> </w:t>
            </w:r>
            <w:r w:rsidRPr="00EB2BD8">
              <w:rPr>
                <w:sz w:val="16"/>
              </w:rPr>
              <w:t>penalty</w:t>
            </w:r>
            <w:r w:rsidRPr="00EB2BD8">
              <w:rPr>
                <w:spacing w:val="2"/>
                <w:sz w:val="16"/>
              </w:rPr>
              <w:t xml:space="preserve"> </w:t>
            </w:r>
            <w:r w:rsidRPr="00EB2BD8">
              <w:rPr>
                <w:spacing w:val="-5"/>
                <w:sz w:val="16"/>
              </w:rPr>
              <w:t>of</w:t>
            </w:r>
          </w:p>
        </w:tc>
        <w:tc>
          <w:tcPr>
            <w:tcW w:w="1093" w:type="dxa"/>
            <w:tcBorders>
              <w:top w:val="single" w:sz="2" w:space="0" w:color="000000"/>
            </w:tcBorders>
          </w:tcPr>
          <w:p w14:paraId="78B65E69" w14:textId="77777777" w:rsidR="00084F36" w:rsidRPr="00EB2BD8" w:rsidRDefault="00EB2BD8">
            <w:pPr>
              <w:pStyle w:val="TableParagraph"/>
              <w:spacing w:before="113"/>
              <w:ind w:right="110"/>
              <w:jc w:val="right"/>
              <w:rPr>
                <w:sz w:val="16"/>
              </w:rPr>
            </w:pPr>
            <w:r w:rsidRPr="00EB2BD8">
              <w:rPr>
                <w:spacing w:val="-2"/>
                <w:sz w:val="16"/>
              </w:rPr>
              <w:t>$2,000</w:t>
            </w:r>
          </w:p>
        </w:tc>
        <w:tc>
          <w:tcPr>
            <w:tcW w:w="1176" w:type="dxa"/>
            <w:tcBorders>
              <w:top w:val="single" w:sz="2" w:space="0" w:color="000000"/>
            </w:tcBorders>
          </w:tcPr>
          <w:p w14:paraId="0750DF81" w14:textId="77777777" w:rsidR="00084F36" w:rsidRPr="00EB2BD8" w:rsidRDefault="00EB2BD8">
            <w:pPr>
              <w:pStyle w:val="TableParagraph"/>
              <w:spacing w:before="113"/>
              <w:ind w:left="114"/>
              <w:rPr>
                <w:sz w:val="16"/>
              </w:rPr>
            </w:pPr>
            <w:r w:rsidRPr="00EB2BD8">
              <w:rPr>
                <w:spacing w:val="-2"/>
                <w:w w:val="95"/>
                <w:sz w:val="16"/>
              </w:rPr>
              <w:t>16/03/2023</w:t>
            </w:r>
          </w:p>
        </w:tc>
      </w:tr>
      <w:tr w:rsidR="00EB2BD8" w:rsidRPr="00EB2BD8" w14:paraId="5A6130E4" w14:textId="77777777">
        <w:trPr>
          <w:trHeight w:val="230"/>
        </w:trPr>
        <w:tc>
          <w:tcPr>
            <w:tcW w:w="1751" w:type="dxa"/>
          </w:tcPr>
          <w:p w14:paraId="0A6821C8" w14:textId="77777777" w:rsidR="00084F36" w:rsidRPr="00EB2BD8" w:rsidRDefault="00EB2BD8">
            <w:pPr>
              <w:pStyle w:val="TableParagraph"/>
              <w:spacing w:before="19"/>
              <w:ind w:left="113"/>
              <w:rPr>
                <w:sz w:val="16"/>
              </w:rPr>
            </w:pPr>
            <w:r w:rsidRPr="00EB2BD8">
              <w:rPr>
                <w:sz w:val="16"/>
              </w:rPr>
              <w:t>Build</w:t>
            </w:r>
            <w:r w:rsidRPr="00EB2BD8">
              <w:rPr>
                <w:spacing w:val="-2"/>
                <w:sz w:val="16"/>
              </w:rPr>
              <w:t xml:space="preserve"> </w:t>
            </w:r>
            <w:r w:rsidRPr="00EB2BD8">
              <w:rPr>
                <w:sz w:val="16"/>
              </w:rPr>
              <w:t>Pty</w:t>
            </w:r>
            <w:r w:rsidRPr="00EB2BD8">
              <w:rPr>
                <w:spacing w:val="-2"/>
                <w:sz w:val="16"/>
              </w:rPr>
              <w:t xml:space="preserve"> </w:t>
            </w:r>
            <w:r w:rsidRPr="00EB2BD8">
              <w:rPr>
                <w:spacing w:val="-5"/>
                <w:sz w:val="16"/>
              </w:rPr>
              <w:t>Ltd</w:t>
            </w:r>
          </w:p>
        </w:tc>
        <w:tc>
          <w:tcPr>
            <w:tcW w:w="1472" w:type="dxa"/>
          </w:tcPr>
          <w:p w14:paraId="57E4B186" w14:textId="77777777" w:rsidR="00084F36" w:rsidRPr="00EB2BD8" w:rsidRDefault="00084F36">
            <w:pPr>
              <w:pStyle w:val="TableParagraph"/>
              <w:rPr>
                <w:rFonts w:ascii="Times New Roman"/>
                <w:sz w:val="16"/>
              </w:rPr>
            </w:pPr>
          </w:p>
        </w:tc>
        <w:tc>
          <w:tcPr>
            <w:tcW w:w="2445" w:type="dxa"/>
          </w:tcPr>
          <w:p w14:paraId="7B7B4089" w14:textId="77777777" w:rsidR="00084F36" w:rsidRPr="00EB2BD8" w:rsidRDefault="00EB2BD8">
            <w:pPr>
              <w:pStyle w:val="TableParagraph"/>
              <w:spacing w:before="19"/>
              <w:ind w:left="280"/>
              <w:rPr>
                <w:sz w:val="16"/>
              </w:rPr>
            </w:pPr>
            <w:r w:rsidRPr="00EB2BD8">
              <w:rPr>
                <w:spacing w:val="-4"/>
                <w:sz w:val="16"/>
              </w:rPr>
              <w:t>direction</w:t>
            </w:r>
            <w:r w:rsidRPr="00EB2BD8">
              <w:rPr>
                <w:spacing w:val="-5"/>
                <w:sz w:val="16"/>
              </w:rPr>
              <w:t xml:space="preserve"> </w:t>
            </w:r>
            <w:r w:rsidRPr="00EB2BD8">
              <w:rPr>
                <w:spacing w:val="-4"/>
                <w:sz w:val="16"/>
              </w:rPr>
              <w:t>to fix building</w:t>
            </w:r>
          </w:p>
        </w:tc>
        <w:tc>
          <w:tcPr>
            <w:tcW w:w="2263" w:type="dxa"/>
          </w:tcPr>
          <w:p w14:paraId="4267C653" w14:textId="77777777" w:rsidR="00084F36" w:rsidRPr="00EB2BD8" w:rsidRDefault="00EB2BD8">
            <w:pPr>
              <w:pStyle w:val="TableParagraph"/>
              <w:spacing w:before="19"/>
              <w:ind w:left="114"/>
              <w:rPr>
                <w:sz w:val="16"/>
              </w:rPr>
            </w:pPr>
            <w:r w:rsidRPr="00EB2BD8">
              <w:rPr>
                <w:spacing w:val="-2"/>
                <w:sz w:val="16"/>
              </w:rPr>
              <w:t>$2,000.</w:t>
            </w:r>
          </w:p>
        </w:tc>
        <w:tc>
          <w:tcPr>
            <w:tcW w:w="1093" w:type="dxa"/>
          </w:tcPr>
          <w:p w14:paraId="2230300D" w14:textId="77777777" w:rsidR="00084F36" w:rsidRPr="00EB2BD8" w:rsidRDefault="00084F36">
            <w:pPr>
              <w:pStyle w:val="TableParagraph"/>
              <w:rPr>
                <w:rFonts w:ascii="Times New Roman"/>
                <w:sz w:val="16"/>
              </w:rPr>
            </w:pPr>
          </w:p>
        </w:tc>
        <w:tc>
          <w:tcPr>
            <w:tcW w:w="1176" w:type="dxa"/>
          </w:tcPr>
          <w:p w14:paraId="2DB02AA8" w14:textId="77777777" w:rsidR="00084F36" w:rsidRPr="00EB2BD8" w:rsidRDefault="00084F36">
            <w:pPr>
              <w:pStyle w:val="TableParagraph"/>
              <w:rPr>
                <w:rFonts w:ascii="Times New Roman"/>
                <w:sz w:val="16"/>
              </w:rPr>
            </w:pPr>
          </w:p>
        </w:tc>
      </w:tr>
      <w:tr w:rsidR="00EB2BD8" w:rsidRPr="00EB2BD8" w14:paraId="3F65A634" w14:textId="77777777">
        <w:trPr>
          <w:trHeight w:val="229"/>
        </w:trPr>
        <w:tc>
          <w:tcPr>
            <w:tcW w:w="1751" w:type="dxa"/>
          </w:tcPr>
          <w:p w14:paraId="5D9D8E11" w14:textId="77777777" w:rsidR="00084F36" w:rsidRPr="00EB2BD8" w:rsidRDefault="00084F36">
            <w:pPr>
              <w:pStyle w:val="TableParagraph"/>
              <w:rPr>
                <w:rFonts w:ascii="Times New Roman"/>
                <w:sz w:val="16"/>
              </w:rPr>
            </w:pPr>
          </w:p>
        </w:tc>
        <w:tc>
          <w:tcPr>
            <w:tcW w:w="1472" w:type="dxa"/>
          </w:tcPr>
          <w:p w14:paraId="006009F5" w14:textId="77777777" w:rsidR="00084F36" w:rsidRPr="00EB2BD8" w:rsidRDefault="00084F36">
            <w:pPr>
              <w:pStyle w:val="TableParagraph"/>
              <w:rPr>
                <w:rFonts w:ascii="Times New Roman"/>
                <w:sz w:val="16"/>
              </w:rPr>
            </w:pPr>
          </w:p>
        </w:tc>
        <w:tc>
          <w:tcPr>
            <w:tcW w:w="2445" w:type="dxa"/>
          </w:tcPr>
          <w:p w14:paraId="7F6A9F11" w14:textId="77777777" w:rsidR="00084F36" w:rsidRPr="00EB2BD8" w:rsidRDefault="00EB2BD8">
            <w:pPr>
              <w:pStyle w:val="TableParagraph"/>
              <w:spacing w:before="19"/>
              <w:ind w:left="280"/>
              <w:rPr>
                <w:sz w:val="16"/>
              </w:rPr>
            </w:pPr>
            <w:r w:rsidRPr="00EB2BD8">
              <w:rPr>
                <w:spacing w:val="-2"/>
                <w:sz w:val="16"/>
              </w:rPr>
              <w:t>work</w:t>
            </w:r>
            <w:r w:rsidRPr="00EB2BD8">
              <w:rPr>
                <w:spacing w:val="-12"/>
                <w:sz w:val="16"/>
              </w:rPr>
              <w:t xml:space="preserve"> </w:t>
            </w:r>
            <w:r w:rsidRPr="00EB2BD8">
              <w:rPr>
                <w:spacing w:val="-2"/>
                <w:sz w:val="16"/>
              </w:rPr>
              <w:t>within</w:t>
            </w:r>
            <w:r w:rsidRPr="00EB2BD8">
              <w:rPr>
                <w:spacing w:val="-12"/>
                <w:sz w:val="16"/>
              </w:rPr>
              <w:t xml:space="preserve"> </w:t>
            </w:r>
            <w:r w:rsidRPr="00EB2BD8">
              <w:rPr>
                <w:spacing w:val="-2"/>
                <w:sz w:val="16"/>
              </w:rPr>
              <w:t>the</w:t>
            </w:r>
            <w:r w:rsidRPr="00EB2BD8">
              <w:rPr>
                <w:spacing w:val="-12"/>
                <w:sz w:val="16"/>
              </w:rPr>
              <w:t xml:space="preserve"> </w:t>
            </w:r>
            <w:r w:rsidRPr="00EB2BD8">
              <w:rPr>
                <w:spacing w:val="-2"/>
                <w:sz w:val="16"/>
              </w:rPr>
              <w:t>specified</w:t>
            </w:r>
          </w:p>
        </w:tc>
        <w:tc>
          <w:tcPr>
            <w:tcW w:w="2263" w:type="dxa"/>
          </w:tcPr>
          <w:p w14:paraId="38654FAE" w14:textId="77777777" w:rsidR="00084F36" w:rsidRPr="00EB2BD8" w:rsidRDefault="00084F36">
            <w:pPr>
              <w:pStyle w:val="TableParagraph"/>
              <w:rPr>
                <w:rFonts w:ascii="Times New Roman"/>
                <w:sz w:val="16"/>
              </w:rPr>
            </w:pPr>
          </w:p>
        </w:tc>
        <w:tc>
          <w:tcPr>
            <w:tcW w:w="1093" w:type="dxa"/>
          </w:tcPr>
          <w:p w14:paraId="21AE9BDB" w14:textId="77777777" w:rsidR="00084F36" w:rsidRPr="00EB2BD8" w:rsidRDefault="00084F36">
            <w:pPr>
              <w:pStyle w:val="TableParagraph"/>
              <w:rPr>
                <w:rFonts w:ascii="Times New Roman"/>
                <w:sz w:val="16"/>
              </w:rPr>
            </w:pPr>
          </w:p>
        </w:tc>
        <w:tc>
          <w:tcPr>
            <w:tcW w:w="1176" w:type="dxa"/>
          </w:tcPr>
          <w:p w14:paraId="429DEBA3" w14:textId="77777777" w:rsidR="00084F36" w:rsidRPr="00EB2BD8" w:rsidRDefault="00084F36">
            <w:pPr>
              <w:pStyle w:val="TableParagraph"/>
              <w:rPr>
                <w:rFonts w:ascii="Times New Roman"/>
                <w:sz w:val="16"/>
              </w:rPr>
            </w:pPr>
          </w:p>
        </w:tc>
      </w:tr>
      <w:tr w:rsidR="00EB2BD8" w:rsidRPr="00EB2BD8" w14:paraId="46A47867" w14:textId="77777777">
        <w:trPr>
          <w:trHeight w:val="229"/>
        </w:trPr>
        <w:tc>
          <w:tcPr>
            <w:tcW w:w="1751" w:type="dxa"/>
          </w:tcPr>
          <w:p w14:paraId="39A5F880" w14:textId="77777777" w:rsidR="00084F36" w:rsidRPr="00EB2BD8" w:rsidRDefault="00084F36">
            <w:pPr>
              <w:pStyle w:val="TableParagraph"/>
              <w:rPr>
                <w:rFonts w:ascii="Times New Roman"/>
                <w:sz w:val="16"/>
              </w:rPr>
            </w:pPr>
          </w:p>
        </w:tc>
        <w:tc>
          <w:tcPr>
            <w:tcW w:w="1472" w:type="dxa"/>
          </w:tcPr>
          <w:p w14:paraId="2F3B17A6" w14:textId="77777777" w:rsidR="00084F36" w:rsidRPr="00EB2BD8" w:rsidRDefault="00084F36">
            <w:pPr>
              <w:pStyle w:val="TableParagraph"/>
              <w:rPr>
                <w:rFonts w:ascii="Times New Roman"/>
                <w:sz w:val="16"/>
              </w:rPr>
            </w:pPr>
          </w:p>
        </w:tc>
        <w:tc>
          <w:tcPr>
            <w:tcW w:w="2445" w:type="dxa"/>
          </w:tcPr>
          <w:p w14:paraId="09070A48" w14:textId="77777777" w:rsidR="00084F36" w:rsidRPr="00EB2BD8" w:rsidRDefault="00EB2BD8">
            <w:pPr>
              <w:pStyle w:val="TableParagraph"/>
              <w:spacing w:before="19"/>
              <w:ind w:left="280"/>
              <w:rPr>
                <w:sz w:val="16"/>
              </w:rPr>
            </w:pPr>
            <w:r w:rsidRPr="00EB2BD8">
              <w:rPr>
                <w:spacing w:val="-2"/>
                <w:sz w:val="16"/>
              </w:rPr>
              <w:t>period,</w:t>
            </w:r>
            <w:r w:rsidRPr="00EB2BD8">
              <w:rPr>
                <w:spacing w:val="-7"/>
                <w:sz w:val="16"/>
              </w:rPr>
              <w:t xml:space="preserve"> </w:t>
            </w:r>
            <w:r w:rsidRPr="00EB2BD8">
              <w:rPr>
                <w:spacing w:val="-2"/>
                <w:sz w:val="16"/>
              </w:rPr>
              <w:t>in</w:t>
            </w:r>
            <w:r w:rsidRPr="00EB2BD8">
              <w:rPr>
                <w:spacing w:val="-6"/>
                <w:sz w:val="16"/>
              </w:rPr>
              <w:t xml:space="preserve"> </w:t>
            </w:r>
            <w:r w:rsidRPr="00EB2BD8">
              <w:rPr>
                <w:spacing w:val="-2"/>
                <w:sz w:val="16"/>
              </w:rPr>
              <w:t>respect</w:t>
            </w:r>
            <w:r w:rsidRPr="00EB2BD8">
              <w:rPr>
                <w:spacing w:val="-7"/>
                <w:sz w:val="16"/>
              </w:rPr>
              <w:t xml:space="preserve"> </w:t>
            </w:r>
            <w:r w:rsidRPr="00EB2BD8">
              <w:rPr>
                <w:spacing w:val="-2"/>
                <w:sz w:val="16"/>
              </w:rPr>
              <w:t>of</w:t>
            </w:r>
            <w:r w:rsidRPr="00EB2BD8">
              <w:rPr>
                <w:spacing w:val="-6"/>
                <w:sz w:val="16"/>
              </w:rPr>
              <w:t xml:space="preserve"> </w:t>
            </w:r>
            <w:r w:rsidRPr="00EB2BD8">
              <w:rPr>
                <w:spacing w:val="-2"/>
                <w:sz w:val="16"/>
              </w:rPr>
              <w:t>a</w:t>
            </w:r>
            <w:r w:rsidRPr="00EB2BD8">
              <w:rPr>
                <w:spacing w:val="-6"/>
                <w:sz w:val="16"/>
              </w:rPr>
              <w:t xml:space="preserve"> </w:t>
            </w:r>
            <w:r w:rsidRPr="00EB2BD8">
              <w:rPr>
                <w:spacing w:val="-4"/>
                <w:sz w:val="16"/>
              </w:rPr>
              <w:t>site</w:t>
            </w:r>
          </w:p>
        </w:tc>
        <w:tc>
          <w:tcPr>
            <w:tcW w:w="2263" w:type="dxa"/>
          </w:tcPr>
          <w:p w14:paraId="6E2230DD" w14:textId="77777777" w:rsidR="00084F36" w:rsidRPr="00EB2BD8" w:rsidRDefault="00084F36">
            <w:pPr>
              <w:pStyle w:val="TableParagraph"/>
              <w:rPr>
                <w:rFonts w:ascii="Times New Roman"/>
                <w:sz w:val="16"/>
              </w:rPr>
            </w:pPr>
          </w:p>
        </w:tc>
        <w:tc>
          <w:tcPr>
            <w:tcW w:w="1093" w:type="dxa"/>
          </w:tcPr>
          <w:p w14:paraId="30B97DC8" w14:textId="77777777" w:rsidR="00084F36" w:rsidRPr="00EB2BD8" w:rsidRDefault="00084F36">
            <w:pPr>
              <w:pStyle w:val="TableParagraph"/>
              <w:rPr>
                <w:rFonts w:ascii="Times New Roman"/>
                <w:sz w:val="16"/>
              </w:rPr>
            </w:pPr>
          </w:p>
        </w:tc>
        <w:tc>
          <w:tcPr>
            <w:tcW w:w="1176" w:type="dxa"/>
          </w:tcPr>
          <w:p w14:paraId="571B1FEC" w14:textId="77777777" w:rsidR="00084F36" w:rsidRPr="00EB2BD8" w:rsidRDefault="00084F36">
            <w:pPr>
              <w:pStyle w:val="TableParagraph"/>
              <w:rPr>
                <w:rFonts w:ascii="Times New Roman"/>
                <w:sz w:val="16"/>
              </w:rPr>
            </w:pPr>
          </w:p>
        </w:tc>
      </w:tr>
      <w:tr w:rsidR="00EB2BD8" w:rsidRPr="00EB2BD8" w14:paraId="3AFB01B2" w14:textId="77777777">
        <w:trPr>
          <w:trHeight w:val="288"/>
        </w:trPr>
        <w:tc>
          <w:tcPr>
            <w:tcW w:w="1751" w:type="dxa"/>
            <w:tcBorders>
              <w:bottom w:val="single" w:sz="2" w:space="0" w:color="000000"/>
            </w:tcBorders>
          </w:tcPr>
          <w:p w14:paraId="2EABCED3" w14:textId="77777777" w:rsidR="00084F36" w:rsidRPr="00EB2BD8" w:rsidRDefault="00084F36">
            <w:pPr>
              <w:pStyle w:val="TableParagraph"/>
              <w:rPr>
                <w:rFonts w:ascii="Times New Roman"/>
                <w:sz w:val="16"/>
              </w:rPr>
            </w:pPr>
          </w:p>
        </w:tc>
        <w:tc>
          <w:tcPr>
            <w:tcW w:w="1472" w:type="dxa"/>
            <w:tcBorders>
              <w:bottom w:val="single" w:sz="2" w:space="0" w:color="000000"/>
            </w:tcBorders>
          </w:tcPr>
          <w:p w14:paraId="102A5277" w14:textId="77777777" w:rsidR="00084F36" w:rsidRPr="00EB2BD8" w:rsidRDefault="00084F36">
            <w:pPr>
              <w:pStyle w:val="TableParagraph"/>
              <w:rPr>
                <w:rFonts w:ascii="Times New Roman"/>
                <w:sz w:val="16"/>
              </w:rPr>
            </w:pPr>
          </w:p>
        </w:tc>
        <w:tc>
          <w:tcPr>
            <w:tcW w:w="2445" w:type="dxa"/>
            <w:tcBorders>
              <w:bottom w:val="single" w:sz="2" w:space="0" w:color="000000"/>
            </w:tcBorders>
          </w:tcPr>
          <w:p w14:paraId="42AA6297" w14:textId="77777777" w:rsidR="00084F36" w:rsidRPr="00EB2BD8" w:rsidRDefault="00EB2BD8">
            <w:pPr>
              <w:pStyle w:val="TableParagraph"/>
              <w:spacing w:before="19"/>
              <w:ind w:left="280"/>
              <w:rPr>
                <w:sz w:val="16"/>
              </w:rPr>
            </w:pPr>
            <w:r w:rsidRPr="00EB2BD8">
              <w:rPr>
                <w:sz w:val="16"/>
              </w:rPr>
              <w:t xml:space="preserve">at </w:t>
            </w:r>
            <w:r w:rsidRPr="00EB2BD8">
              <w:rPr>
                <w:spacing w:val="-2"/>
                <w:sz w:val="16"/>
              </w:rPr>
              <w:t>Carnegie.</w:t>
            </w:r>
          </w:p>
        </w:tc>
        <w:tc>
          <w:tcPr>
            <w:tcW w:w="2263" w:type="dxa"/>
            <w:tcBorders>
              <w:bottom w:val="single" w:sz="2" w:space="0" w:color="000000"/>
            </w:tcBorders>
          </w:tcPr>
          <w:p w14:paraId="1D952003" w14:textId="77777777" w:rsidR="00084F36" w:rsidRPr="00EB2BD8" w:rsidRDefault="00084F36">
            <w:pPr>
              <w:pStyle w:val="TableParagraph"/>
              <w:rPr>
                <w:rFonts w:ascii="Times New Roman"/>
                <w:sz w:val="16"/>
              </w:rPr>
            </w:pPr>
          </w:p>
        </w:tc>
        <w:tc>
          <w:tcPr>
            <w:tcW w:w="1093" w:type="dxa"/>
            <w:tcBorders>
              <w:bottom w:val="single" w:sz="2" w:space="0" w:color="000000"/>
            </w:tcBorders>
          </w:tcPr>
          <w:p w14:paraId="7CF9CECE"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167FAC20" w14:textId="77777777" w:rsidR="00084F36" w:rsidRPr="00EB2BD8" w:rsidRDefault="00084F36">
            <w:pPr>
              <w:pStyle w:val="TableParagraph"/>
              <w:rPr>
                <w:rFonts w:ascii="Times New Roman"/>
                <w:sz w:val="16"/>
              </w:rPr>
            </w:pPr>
          </w:p>
        </w:tc>
      </w:tr>
      <w:tr w:rsidR="00EB2BD8" w:rsidRPr="00EB2BD8" w14:paraId="28673DD9" w14:textId="77777777">
        <w:trPr>
          <w:trHeight w:val="322"/>
        </w:trPr>
        <w:tc>
          <w:tcPr>
            <w:tcW w:w="1751" w:type="dxa"/>
            <w:tcBorders>
              <w:top w:val="single" w:sz="2" w:space="0" w:color="000000"/>
            </w:tcBorders>
          </w:tcPr>
          <w:p w14:paraId="4A7CDABC" w14:textId="77777777" w:rsidR="00084F36" w:rsidRPr="00EB2BD8" w:rsidRDefault="00EB2BD8">
            <w:pPr>
              <w:pStyle w:val="TableParagraph"/>
              <w:spacing w:before="113"/>
              <w:ind w:left="113"/>
              <w:rPr>
                <w:sz w:val="16"/>
              </w:rPr>
            </w:pPr>
            <w:r w:rsidRPr="00EB2BD8">
              <w:rPr>
                <w:spacing w:val="-2"/>
                <w:sz w:val="16"/>
              </w:rPr>
              <w:t>Myers</w:t>
            </w:r>
            <w:r w:rsidRPr="00EB2BD8">
              <w:rPr>
                <w:spacing w:val="-7"/>
                <w:sz w:val="16"/>
              </w:rPr>
              <w:t xml:space="preserve"> </w:t>
            </w:r>
            <w:r w:rsidRPr="00EB2BD8">
              <w:rPr>
                <w:spacing w:val="-2"/>
                <w:sz w:val="16"/>
              </w:rPr>
              <w:t>Construction</w:t>
            </w:r>
          </w:p>
        </w:tc>
        <w:tc>
          <w:tcPr>
            <w:tcW w:w="1472" w:type="dxa"/>
            <w:tcBorders>
              <w:top w:val="single" w:sz="2" w:space="0" w:color="000000"/>
            </w:tcBorders>
          </w:tcPr>
          <w:p w14:paraId="32E04CAB" w14:textId="77777777" w:rsidR="00084F36" w:rsidRPr="00EB2BD8" w:rsidRDefault="00EB2BD8">
            <w:pPr>
              <w:pStyle w:val="TableParagraph"/>
              <w:spacing w:before="113"/>
              <w:ind w:left="119"/>
              <w:rPr>
                <w:sz w:val="16"/>
              </w:rPr>
            </w:pPr>
            <w:r w:rsidRPr="00EB2BD8">
              <w:rPr>
                <w:spacing w:val="2"/>
                <w:sz w:val="16"/>
              </w:rPr>
              <w:t>CDB-U</w:t>
            </w:r>
            <w:r w:rsidRPr="00EB2BD8">
              <w:rPr>
                <w:spacing w:val="17"/>
                <w:sz w:val="16"/>
              </w:rPr>
              <w:t xml:space="preserve"> </w:t>
            </w:r>
            <w:r w:rsidRPr="00EB2BD8">
              <w:rPr>
                <w:spacing w:val="-2"/>
                <w:sz w:val="16"/>
              </w:rPr>
              <w:t>53893</w:t>
            </w:r>
          </w:p>
        </w:tc>
        <w:tc>
          <w:tcPr>
            <w:tcW w:w="2445" w:type="dxa"/>
            <w:tcBorders>
              <w:top w:val="single" w:sz="2" w:space="0" w:color="000000"/>
            </w:tcBorders>
          </w:tcPr>
          <w:p w14:paraId="61EA04F3" w14:textId="77777777" w:rsidR="00084F36" w:rsidRPr="00EB2BD8" w:rsidRDefault="00EB2BD8">
            <w:pPr>
              <w:pStyle w:val="TableParagraph"/>
              <w:spacing w:before="113"/>
              <w:ind w:left="280"/>
              <w:rPr>
                <w:sz w:val="16"/>
              </w:rPr>
            </w:pPr>
            <w:r w:rsidRPr="00EB2BD8">
              <w:rPr>
                <w:spacing w:val="-2"/>
                <w:sz w:val="16"/>
              </w:rPr>
              <w:t>Failing</w:t>
            </w:r>
            <w:r w:rsidRPr="00EB2BD8">
              <w:rPr>
                <w:spacing w:val="-8"/>
                <w:sz w:val="16"/>
              </w:rPr>
              <w:t xml:space="preserve"> </w:t>
            </w:r>
            <w:r w:rsidRPr="00EB2BD8">
              <w:rPr>
                <w:spacing w:val="-2"/>
                <w:sz w:val="16"/>
              </w:rPr>
              <w:t>to</w:t>
            </w:r>
            <w:r w:rsidRPr="00EB2BD8">
              <w:rPr>
                <w:spacing w:val="-8"/>
                <w:sz w:val="16"/>
              </w:rPr>
              <w:t xml:space="preserve"> </w:t>
            </w:r>
            <w:r w:rsidRPr="00EB2BD8">
              <w:rPr>
                <w:spacing w:val="-2"/>
                <w:sz w:val="16"/>
              </w:rPr>
              <w:t>call</w:t>
            </w:r>
            <w:r w:rsidRPr="00EB2BD8">
              <w:rPr>
                <w:spacing w:val="-7"/>
                <w:sz w:val="16"/>
              </w:rPr>
              <w:t xml:space="preserve"> </w:t>
            </w:r>
            <w:r w:rsidRPr="00EB2BD8">
              <w:rPr>
                <w:spacing w:val="-2"/>
                <w:sz w:val="16"/>
              </w:rPr>
              <w:t>for</w:t>
            </w:r>
            <w:r w:rsidRPr="00EB2BD8">
              <w:rPr>
                <w:spacing w:val="-8"/>
                <w:sz w:val="16"/>
              </w:rPr>
              <w:t xml:space="preserve"> </w:t>
            </w:r>
            <w:r w:rsidRPr="00EB2BD8">
              <w:rPr>
                <w:spacing w:val="-12"/>
                <w:sz w:val="16"/>
              </w:rPr>
              <w:t>a</w:t>
            </w:r>
          </w:p>
        </w:tc>
        <w:tc>
          <w:tcPr>
            <w:tcW w:w="2263" w:type="dxa"/>
            <w:tcBorders>
              <w:top w:val="single" w:sz="2" w:space="0" w:color="000000"/>
            </w:tcBorders>
          </w:tcPr>
          <w:p w14:paraId="69CCCD65" w14:textId="77777777" w:rsidR="00084F36" w:rsidRPr="00EB2BD8" w:rsidRDefault="00EB2BD8">
            <w:pPr>
              <w:pStyle w:val="TableParagraph"/>
              <w:spacing w:before="112"/>
              <w:ind w:left="114"/>
              <w:rPr>
                <w:sz w:val="16"/>
              </w:rPr>
            </w:pPr>
            <w:r w:rsidRPr="00EB2BD8">
              <w:rPr>
                <w:spacing w:val="-2"/>
                <w:sz w:val="16"/>
              </w:rPr>
              <w:t>Reprimands,</w:t>
            </w:r>
            <w:r w:rsidRPr="00EB2BD8">
              <w:rPr>
                <w:spacing w:val="-4"/>
                <w:sz w:val="16"/>
              </w:rPr>
              <w:t xml:space="preserve"> </w:t>
            </w:r>
            <w:r w:rsidRPr="00EB2BD8">
              <w:rPr>
                <w:spacing w:val="-2"/>
                <w:sz w:val="16"/>
              </w:rPr>
              <w:t>aggregate</w:t>
            </w:r>
          </w:p>
        </w:tc>
        <w:tc>
          <w:tcPr>
            <w:tcW w:w="1093" w:type="dxa"/>
            <w:tcBorders>
              <w:top w:val="single" w:sz="2" w:space="0" w:color="000000"/>
            </w:tcBorders>
          </w:tcPr>
          <w:p w14:paraId="70F083D7" w14:textId="77777777" w:rsidR="00084F36" w:rsidRPr="00EB2BD8" w:rsidRDefault="00EB2BD8">
            <w:pPr>
              <w:pStyle w:val="TableParagraph"/>
              <w:spacing w:before="112"/>
              <w:ind w:right="110"/>
              <w:jc w:val="right"/>
              <w:rPr>
                <w:sz w:val="16"/>
              </w:rPr>
            </w:pPr>
            <w:r w:rsidRPr="00EB2BD8">
              <w:rPr>
                <w:spacing w:val="-2"/>
                <w:sz w:val="16"/>
              </w:rPr>
              <w:t>$4,500</w:t>
            </w:r>
          </w:p>
        </w:tc>
        <w:tc>
          <w:tcPr>
            <w:tcW w:w="1176" w:type="dxa"/>
            <w:tcBorders>
              <w:top w:val="single" w:sz="2" w:space="0" w:color="000000"/>
            </w:tcBorders>
          </w:tcPr>
          <w:p w14:paraId="55FEBB60" w14:textId="77777777" w:rsidR="00084F36" w:rsidRPr="00EB2BD8" w:rsidRDefault="00EB2BD8">
            <w:pPr>
              <w:pStyle w:val="TableParagraph"/>
              <w:spacing w:before="112"/>
              <w:ind w:left="114"/>
              <w:rPr>
                <w:sz w:val="16"/>
              </w:rPr>
            </w:pPr>
            <w:r w:rsidRPr="00EB2BD8">
              <w:rPr>
                <w:spacing w:val="-2"/>
                <w:w w:val="90"/>
                <w:sz w:val="16"/>
              </w:rPr>
              <w:t>22/12/2022</w:t>
            </w:r>
          </w:p>
        </w:tc>
      </w:tr>
      <w:tr w:rsidR="00EB2BD8" w:rsidRPr="00EB2BD8" w14:paraId="0E7C1DB4" w14:textId="77777777">
        <w:trPr>
          <w:trHeight w:val="229"/>
        </w:trPr>
        <w:tc>
          <w:tcPr>
            <w:tcW w:w="1751" w:type="dxa"/>
          </w:tcPr>
          <w:p w14:paraId="1BBC7DDC" w14:textId="77777777" w:rsidR="00084F36" w:rsidRPr="00EB2BD8" w:rsidRDefault="00EB2BD8">
            <w:pPr>
              <w:pStyle w:val="TableParagraph"/>
              <w:spacing w:before="19"/>
              <w:ind w:left="113"/>
              <w:rPr>
                <w:sz w:val="16"/>
              </w:rPr>
            </w:pPr>
            <w:r w:rsidRPr="00EB2BD8">
              <w:rPr>
                <w:w w:val="105"/>
                <w:sz w:val="16"/>
              </w:rPr>
              <w:t>Co</w:t>
            </w:r>
            <w:r w:rsidRPr="00EB2BD8">
              <w:rPr>
                <w:spacing w:val="-13"/>
                <w:w w:val="105"/>
                <w:sz w:val="16"/>
              </w:rPr>
              <w:t xml:space="preserve"> </w:t>
            </w:r>
            <w:r w:rsidRPr="00EB2BD8">
              <w:rPr>
                <w:w w:val="105"/>
                <w:sz w:val="16"/>
              </w:rPr>
              <w:t>Pty</w:t>
            </w:r>
            <w:r w:rsidRPr="00EB2BD8">
              <w:rPr>
                <w:spacing w:val="-12"/>
                <w:w w:val="105"/>
                <w:sz w:val="16"/>
              </w:rPr>
              <w:t xml:space="preserve"> </w:t>
            </w:r>
            <w:r w:rsidRPr="00EB2BD8">
              <w:rPr>
                <w:spacing w:val="-5"/>
                <w:w w:val="105"/>
                <w:sz w:val="16"/>
              </w:rPr>
              <w:t>Ltd</w:t>
            </w:r>
          </w:p>
        </w:tc>
        <w:tc>
          <w:tcPr>
            <w:tcW w:w="1472" w:type="dxa"/>
          </w:tcPr>
          <w:p w14:paraId="2935141A" w14:textId="77777777" w:rsidR="00084F36" w:rsidRPr="00EB2BD8" w:rsidRDefault="00084F36">
            <w:pPr>
              <w:pStyle w:val="TableParagraph"/>
              <w:rPr>
                <w:rFonts w:ascii="Times New Roman"/>
                <w:sz w:val="16"/>
              </w:rPr>
            </w:pPr>
          </w:p>
        </w:tc>
        <w:tc>
          <w:tcPr>
            <w:tcW w:w="2445" w:type="dxa"/>
          </w:tcPr>
          <w:p w14:paraId="7450DF3E" w14:textId="77777777" w:rsidR="00084F36" w:rsidRPr="00EB2BD8" w:rsidRDefault="00EB2BD8">
            <w:pPr>
              <w:pStyle w:val="TableParagraph"/>
              <w:spacing w:before="19"/>
              <w:ind w:left="280"/>
              <w:rPr>
                <w:sz w:val="16"/>
              </w:rPr>
            </w:pPr>
            <w:r w:rsidRPr="00EB2BD8">
              <w:rPr>
                <w:sz w:val="16"/>
              </w:rPr>
              <w:t>mandatory</w:t>
            </w:r>
            <w:r w:rsidRPr="00EB2BD8">
              <w:rPr>
                <w:spacing w:val="14"/>
                <w:sz w:val="16"/>
              </w:rPr>
              <w:t xml:space="preserve"> </w:t>
            </w:r>
            <w:r w:rsidRPr="00EB2BD8">
              <w:rPr>
                <w:spacing w:val="-2"/>
                <w:sz w:val="16"/>
              </w:rPr>
              <w:t>stage</w:t>
            </w:r>
          </w:p>
        </w:tc>
        <w:tc>
          <w:tcPr>
            <w:tcW w:w="2263" w:type="dxa"/>
          </w:tcPr>
          <w:p w14:paraId="5D913765" w14:textId="77777777" w:rsidR="00084F36" w:rsidRPr="00EB2BD8" w:rsidRDefault="00EB2BD8">
            <w:pPr>
              <w:pStyle w:val="TableParagraph"/>
              <w:spacing w:before="19"/>
              <w:ind w:left="114"/>
              <w:rPr>
                <w:sz w:val="16"/>
              </w:rPr>
            </w:pPr>
            <w:r w:rsidRPr="00EB2BD8">
              <w:rPr>
                <w:spacing w:val="-4"/>
                <w:sz w:val="16"/>
              </w:rPr>
              <w:t>penalties</w:t>
            </w:r>
            <w:r w:rsidRPr="00EB2BD8">
              <w:rPr>
                <w:spacing w:val="-3"/>
                <w:sz w:val="16"/>
              </w:rPr>
              <w:t xml:space="preserve"> </w:t>
            </w:r>
            <w:r w:rsidRPr="00EB2BD8">
              <w:rPr>
                <w:spacing w:val="-4"/>
                <w:sz w:val="16"/>
              </w:rPr>
              <w:t>of</w:t>
            </w:r>
            <w:r w:rsidRPr="00EB2BD8">
              <w:rPr>
                <w:spacing w:val="-2"/>
                <w:sz w:val="16"/>
              </w:rPr>
              <w:t xml:space="preserve"> </w:t>
            </w:r>
            <w:r w:rsidRPr="00EB2BD8">
              <w:rPr>
                <w:spacing w:val="-4"/>
                <w:sz w:val="16"/>
              </w:rPr>
              <w:t>$4,500</w:t>
            </w:r>
            <w:r w:rsidRPr="00EB2BD8">
              <w:rPr>
                <w:spacing w:val="-2"/>
                <w:sz w:val="16"/>
              </w:rPr>
              <w:t xml:space="preserve"> </w:t>
            </w:r>
            <w:r w:rsidRPr="00EB2BD8">
              <w:rPr>
                <w:spacing w:val="-5"/>
                <w:sz w:val="16"/>
              </w:rPr>
              <w:t>and</w:t>
            </w:r>
          </w:p>
        </w:tc>
        <w:tc>
          <w:tcPr>
            <w:tcW w:w="1093" w:type="dxa"/>
          </w:tcPr>
          <w:p w14:paraId="270710DC" w14:textId="77777777" w:rsidR="00084F36" w:rsidRPr="00EB2BD8" w:rsidRDefault="00084F36">
            <w:pPr>
              <w:pStyle w:val="TableParagraph"/>
              <w:rPr>
                <w:rFonts w:ascii="Times New Roman"/>
                <w:sz w:val="16"/>
              </w:rPr>
            </w:pPr>
          </w:p>
        </w:tc>
        <w:tc>
          <w:tcPr>
            <w:tcW w:w="1176" w:type="dxa"/>
          </w:tcPr>
          <w:p w14:paraId="551E825D" w14:textId="77777777" w:rsidR="00084F36" w:rsidRPr="00EB2BD8" w:rsidRDefault="00084F36">
            <w:pPr>
              <w:pStyle w:val="TableParagraph"/>
              <w:rPr>
                <w:rFonts w:ascii="Times New Roman"/>
                <w:sz w:val="16"/>
              </w:rPr>
            </w:pPr>
          </w:p>
        </w:tc>
      </w:tr>
      <w:tr w:rsidR="00EB2BD8" w:rsidRPr="00EB2BD8" w14:paraId="36D054AA" w14:textId="77777777">
        <w:trPr>
          <w:trHeight w:val="229"/>
        </w:trPr>
        <w:tc>
          <w:tcPr>
            <w:tcW w:w="1751" w:type="dxa"/>
          </w:tcPr>
          <w:p w14:paraId="4A8C35CB" w14:textId="77777777" w:rsidR="00084F36" w:rsidRPr="00EB2BD8" w:rsidRDefault="00084F36">
            <w:pPr>
              <w:pStyle w:val="TableParagraph"/>
              <w:rPr>
                <w:rFonts w:ascii="Times New Roman"/>
                <w:sz w:val="16"/>
              </w:rPr>
            </w:pPr>
          </w:p>
        </w:tc>
        <w:tc>
          <w:tcPr>
            <w:tcW w:w="1472" w:type="dxa"/>
          </w:tcPr>
          <w:p w14:paraId="7FF87772" w14:textId="77777777" w:rsidR="00084F36" w:rsidRPr="00EB2BD8" w:rsidRDefault="00084F36">
            <w:pPr>
              <w:pStyle w:val="TableParagraph"/>
              <w:rPr>
                <w:rFonts w:ascii="Times New Roman"/>
                <w:sz w:val="16"/>
              </w:rPr>
            </w:pPr>
          </w:p>
        </w:tc>
        <w:tc>
          <w:tcPr>
            <w:tcW w:w="2445" w:type="dxa"/>
          </w:tcPr>
          <w:p w14:paraId="7A0B5449" w14:textId="77777777" w:rsidR="00084F36" w:rsidRPr="00EB2BD8" w:rsidRDefault="00EB2BD8">
            <w:pPr>
              <w:pStyle w:val="TableParagraph"/>
              <w:spacing w:before="19"/>
              <w:ind w:left="280"/>
              <w:rPr>
                <w:sz w:val="16"/>
              </w:rPr>
            </w:pPr>
            <w:r w:rsidRPr="00EB2BD8">
              <w:rPr>
                <w:sz w:val="16"/>
              </w:rPr>
              <w:t>inspection</w:t>
            </w:r>
            <w:r w:rsidRPr="00EB2BD8">
              <w:rPr>
                <w:spacing w:val="-7"/>
                <w:sz w:val="16"/>
              </w:rPr>
              <w:t xml:space="preserve"> </w:t>
            </w:r>
            <w:r w:rsidRPr="00EB2BD8">
              <w:rPr>
                <w:sz w:val="16"/>
              </w:rPr>
              <w:t>and</w:t>
            </w:r>
            <w:r w:rsidRPr="00EB2BD8">
              <w:rPr>
                <w:spacing w:val="-7"/>
                <w:sz w:val="16"/>
              </w:rPr>
              <w:t xml:space="preserve"> </w:t>
            </w:r>
            <w:r w:rsidRPr="00EB2BD8">
              <w:rPr>
                <w:spacing w:val="-2"/>
                <w:sz w:val="16"/>
              </w:rPr>
              <w:t>performing</w:t>
            </w:r>
          </w:p>
        </w:tc>
        <w:tc>
          <w:tcPr>
            <w:tcW w:w="2263" w:type="dxa"/>
          </w:tcPr>
          <w:p w14:paraId="1FAD68BC" w14:textId="77777777" w:rsidR="00084F36" w:rsidRPr="00EB2BD8" w:rsidRDefault="00EB2BD8">
            <w:pPr>
              <w:pStyle w:val="TableParagraph"/>
              <w:spacing w:before="19"/>
              <w:ind w:left="114"/>
              <w:rPr>
                <w:sz w:val="16"/>
              </w:rPr>
            </w:pPr>
            <w:r w:rsidRPr="00EB2BD8">
              <w:rPr>
                <w:sz w:val="16"/>
              </w:rPr>
              <w:t>a</w:t>
            </w:r>
            <w:r w:rsidRPr="00EB2BD8">
              <w:rPr>
                <w:spacing w:val="-12"/>
                <w:sz w:val="16"/>
              </w:rPr>
              <w:t xml:space="preserve"> </w:t>
            </w:r>
            <w:r w:rsidRPr="00EB2BD8">
              <w:rPr>
                <w:sz w:val="16"/>
              </w:rPr>
              <w:t>direction</w:t>
            </w:r>
            <w:r w:rsidRPr="00EB2BD8">
              <w:rPr>
                <w:spacing w:val="-12"/>
                <w:sz w:val="16"/>
              </w:rPr>
              <w:t xml:space="preserve"> </w:t>
            </w:r>
            <w:r w:rsidRPr="00EB2BD8">
              <w:rPr>
                <w:sz w:val="16"/>
              </w:rPr>
              <w:t>to</w:t>
            </w:r>
            <w:r w:rsidRPr="00EB2BD8">
              <w:rPr>
                <w:spacing w:val="-12"/>
                <w:sz w:val="16"/>
              </w:rPr>
              <w:t xml:space="preserve"> </w:t>
            </w:r>
            <w:r w:rsidRPr="00EB2BD8">
              <w:rPr>
                <w:spacing w:val="-2"/>
                <w:sz w:val="16"/>
              </w:rPr>
              <w:t>rectify</w:t>
            </w:r>
          </w:p>
        </w:tc>
        <w:tc>
          <w:tcPr>
            <w:tcW w:w="1093" w:type="dxa"/>
          </w:tcPr>
          <w:p w14:paraId="5A97C3A5" w14:textId="77777777" w:rsidR="00084F36" w:rsidRPr="00EB2BD8" w:rsidRDefault="00084F36">
            <w:pPr>
              <w:pStyle w:val="TableParagraph"/>
              <w:rPr>
                <w:rFonts w:ascii="Times New Roman"/>
                <w:sz w:val="16"/>
              </w:rPr>
            </w:pPr>
          </w:p>
        </w:tc>
        <w:tc>
          <w:tcPr>
            <w:tcW w:w="1176" w:type="dxa"/>
          </w:tcPr>
          <w:p w14:paraId="0B39787F" w14:textId="77777777" w:rsidR="00084F36" w:rsidRPr="00EB2BD8" w:rsidRDefault="00084F36">
            <w:pPr>
              <w:pStyle w:val="TableParagraph"/>
              <w:rPr>
                <w:rFonts w:ascii="Times New Roman"/>
                <w:sz w:val="16"/>
              </w:rPr>
            </w:pPr>
          </w:p>
        </w:tc>
      </w:tr>
      <w:tr w:rsidR="00EB2BD8" w:rsidRPr="00EB2BD8" w14:paraId="37D0C894" w14:textId="77777777">
        <w:trPr>
          <w:trHeight w:val="230"/>
        </w:trPr>
        <w:tc>
          <w:tcPr>
            <w:tcW w:w="1751" w:type="dxa"/>
          </w:tcPr>
          <w:p w14:paraId="714CBDE5" w14:textId="77777777" w:rsidR="00084F36" w:rsidRPr="00EB2BD8" w:rsidRDefault="00084F36">
            <w:pPr>
              <w:pStyle w:val="TableParagraph"/>
              <w:rPr>
                <w:rFonts w:ascii="Times New Roman"/>
                <w:sz w:val="16"/>
              </w:rPr>
            </w:pPr>
          </w:p>
        </w:tc>
        <w:tc>
          <w:tcPr>
            <w:tcW w:w="1472" w:type="dxa"/>
          </w:tcPr>
          <w:p w14:paraId="281DE69D" w14:textId="77777777" w:rsidR="00084F36" w:rsidRPr="00EB2BD8" w:rsidRDefault="00084F36">
            <w:pPr>
              <w:pStyle w:val="TableParagraph"/>
              <w:rPr>
                <w:rFonts w:ascii="Times New Roman"/>
                <w:sz w:val="16"/>
              </w:rPr>
            </w:pPr>
          </w:p>
        </w:tc>
        <w:tc>
          <w:tcPr>
            <w:tcW w:w="2445" w:type="dxa"/>
          </w:tcPr>
          <w:p w14:paraId="1E24E895" w14:textId="77777777" w:rsidR="00084F36" w:rsidRPr="00EB2BD8" w:rsidRDefault="00EB2BD8">
            <w:pPr>
              <w:pStyle w:val="TableParagraph"/>
              <w:spacing w:before="19"/>
              <w:ind w:left="280"/>
              <w:rPr>
                <w:sz w:val="16"/>
              </w:rPr>
            </w:pPr>
            <w:r w:rsidRPr="00EB2BD8">
              <w:rPr>
                <w:spacing w:val="-2"/>
                <w:sz w:val="16"/>
              </w:rPr>
              <w:t>building</w:t>
            </w:r>
            <w:r w:rsidRPr="00EB2BD8">
              <w:rPr>
                <w:spacing w:val="-10"/>
                <w:sz w:val="16"/>
              </w:rPr>
              <w:t xml:space="preserve"> </w:t>
            </w:r>
            <w:r w:rsidRPr="00EB2BD8">
              <w:rPr>
                <w:spacing w:val="-2"/>
                <w:sz w:val="16"/>
              </w:rPr>
              <w:t>work</w:t>
            </w:r>
            <w:r w:rsidRPr="00EB2BD8">
              <w:rPr>
                <w:spacing w:val="-10"/>
                <w:sz w:val="16"/>
              </w:rPr>
              <w:t xml:space="preserve"> </w:t>
            </w:r>
            <w:r w:rsidRPr="00EB2BD8">
              <w:rPr>
                <w:spacing w:val="-2"/>
                <w:sz w:val="16"/>
              </w:rPr>
              <w:t>other</w:t>
            </w:r>
            <w:r w:rsidRPr="00EB2BD8">
              <w:rPr>
                <w:spacing w:val="-10"/>
                <w:sz w:val="16"/>
              </w:rPr>
              <w:t xml:space="preserve"> </w:t>
            </w:r>
            <w:r w:rsidRPr="00EB2BD8">
              <w:rPr>
                <w:spacing w:val="-4"/>
                <w:sz w:val="16"/>
              </w:rPr>
              <w:t>than</w:t>
            </w:r>
          </w:p>
        </w:tc>
        <w:tc>
          <w:tcPr>
            <w:tcW w:w="2263" w:type="dxa"/>
          </w:tcPr>
          <w:p w14:paraId="08FB63EA" w14:textId="77777777" w:rsidR="00084F36" w:rsidRPr="00EB2BD8" w:rsidRDefault="00EB2BD8">
            <w:pPr>
              <w:pStyle w:val="TableParagraph"/>
              <w:spacing w:before="19"/>
              <w:ind w:left="114"/>
              <w:rPr>
                <w:sz w:val="16"/>
              </w:rPr>
            </w:pPr>
            <w:r w:rsidRPr="00EB2BD8">
              <w:rPr>
                <w:spacing w:val="-2"/>
                <w:sz w:val="16"/>
              </w:rPr>
              <w:t>building</w:t>
            </w:r>
            <w:r w:rsidRPr="00EB2BD8">
              <w:rPr>
                <w:spacing w:val="-10"/>
                <w:sz w:val="16"/>
              </w:rPr>
              <w:t xml:space="preserve"> </w:t>
            </w:r>
            <w:r w:rsidRPr="00EB2BD8">
              <w:rPr>
                <w:spacing w:val="-2"/>
                <w:sz w:val="16"/>
              </w:rPr>
              <w:t>work.</w:t>
            </w:r>
          </w:p>
        </w:tc>
        <w:tc>
          <w:tcPr>
            <w:tcW w:w="1093" w:type="dxa"/>
          </w:tcPr>
          <w:p w14:paraId="2F34BBEF" w14:textId="77777777" w:rsidR="00084F36" w:rsidRPr="00EB2BD8" w:rsidRDefault="00084F36">
            <w:pPr>
              <w:pStyle w:val="TableParagraph"/>
              <w:rPr>
                <w:rFonts w:ascii="Times New Roman"/>
                <w:sz w:val="16"/>
              </w:rPr>
            </w:pPr>
          </w:p>
        </w:tc>
        <w:tc>
          <w:tcPr>
            <w:tcW w:w="1176" w:type="dxa"/>
          </w:tcPr>
          <w:p w14:paraId="151A94F2" w14:textId="77777777" w:rsidR="00084F36" w:rsidRPr="00EB2BD8" w:rsidRDefault="00084F36">
            <w:pPr>
              <w:pStyle w:val="TableParagraph"/>
              <w:rPr>
                <w:rFonts w:ascii="Times New Roman"/>
                <w:sz w:val="16"/>
              </w:rPr>
            </w:pPr>
          </w:p>
        </w:tc>
      </w:tr>
      <w:tr w:rsidR="00EB2BD8" w:rsidRPr="00EB2BD8" w14:paraId="28AA4B14" w14:textId="77777777">
        <w:trPr>
          <w:trHeight w:val="229"/>
        </w:trPr>
        <w:tc>
          <w:tcPr>
            <w:tcW w:w="1751" w:type="dxa"/>
          </w:tcPr>
          <w:p w14:paraId="5FABA63D" w14:textId="77777777" w:rsidR="00084F36" w:rsidRPr="00EB2BD8" w:rsidRDefault="00084F36">
            <w:pPr>
              <w:pStyle w:val="TableParagraph"/>
              <w:rPr>
                <w:rFonts w:ascii="Times New Roman"/>
                <w:sz w:val="16"/>
              </w:rPr>
            </w:pPr>
          </w:p>
        </w:tc>
        <w:tc>
          <w:tcPr>
            <w:tcW w:w="1472" w:type="dxa"/>
          </w:tcPr>
          <w:p w14:paraId="57154F25" w14:textId="77777777" w:rsidR="00084F36" w:rsidRPr="00EB2BD8" w:rsidRDefault="00084F36">
            <w:pPr>
              <w:pStyle w:val="TableParagraph"/>
              <w:rPr>
                <w:rFonts w:ascii="Times New Roman"/>
                <w:sz w:val="16"/>
              </w:rPr>
            </w:pPr>
          </w:p>
        </w:tc>
        <w:tc>
          <w:tcPr>
            <w:tcW w:w="2445" w:type="dxa"/>
          </w:tcPr>
          <w:p w14:paraId="678A283D" w14:textId="77777777" w:rsidR="00084F36" w:rsidRPr="00EB2BD8" w:rsidRDefault="00EB2BD8">
            <w:pPr>
              <w:pStyle w:val="TableParagraph"/>
              <w:spacing w:before="19"/>
              <w:ind w:left="280"/>
              <w:rPr>
                <w:sz w:val="16"/>
              </w:rPr>
            </w:pPr>
            <w:r w:rsidRPr="00EB2BD8">
              <w:rPr>
                <w:sz w:val="16"/>
              </w:rPr>
              <w:t>in</w:t>
            </w:r>
            <w:r w:rsidRPr="00EB2BD8">
              <w:rPr>
                <w:spacing w:val="-6"/>
                <w:sz w:val="16"/>
              </w:rPr>
              <w:t xml:space="preserve"> </w:t>
            </w:r>
            <w:r w:rsidRPr="00EB2BD8">
              <w:rPr>
                <w:sz w:val="16"/>
              </w:rPr>
              <w:t>a</w:t>
            </w:r>
            <w:r w:rsidRPr="00EB2BD8">
              <w:rPr>
                <w:spacing w:val="-5"/>
                <w:sz w:val="16"/>
              </w:rPr>
              <w:t xml:space="preserve"> </w:t>
            </w:r>
            <w:r w:rsidRPr="00EB2BD8">
              <w:rPr>
                <w:sz w:val="16"/>
              </w:rPr>
              <w:t>competent</w:t>
            </w:r>
            <w:r w:rsidRPr="00EB2BD8">
              <w:rPr>
                <w:spacing w:val="-5"/>
                <w:sz w:val="16"/>
              </w:rPr>
              <w:t xml:space="preserve"> </w:t>
            </w:r>
            <w:r w:rsidRPr="00EB2BD8">
              <w:rPr>
                <w:spacing w:val="-2"/>
                <w:sz w:val="16"/>
              </w:rPr>
              <w:t>manner</w:t>
            </w:r>
          </w:p>
        </w:tc>
        <w:tc>
          <w:tcPr>
            <w:tcW w:w="2263" w:type="dxa"/>
          </w:tcPr>
          <w:p w14:paraId="3A369848" w14:textId="77777777" w:rsidR="00084F36" w:rsidRPr="00EB2BD8" w:rsidRDefault="00084F36">
            <w:pPr>
              <w:pStyle w:val="TableParagraph"/>
              <w:rPr>
                <w:rFonts w:ascii="Times New Roman"/>
                <w:sz w:val="16"/>
              </w:rPr>
            </w:pPr>
          </w:p>
        </w:tc>
        <w:tc>
          <w:tcPr>
            <w:tcW w:w="1093" w:type="dxa"/>
          </w:tcPr>
          <w:p w14:paraId="5B7CE01D" w14:textId="77777777" w:rsidR="00084F36" w:rsidRPr="00EB2BD8" w:rsidRDefault="00084F36">
            <w:pPr>
              <w:pStyle w:val="TableParagraph"/>
              <w:rPr>
                <w:rFonts w:ascii="Times New Roman"/>
                <w:sz w:val="16"/>
              </w:rPr>
            </w:pPr>
          </w:p>
        </w:tc>
        <w:tc>
          <w:tcPr>
            <w:tcW w:w="1176" w:type="dxa"/>
          </w:tcPr>
          <w:p w14:paraId="60AEB032" w14:textId="77777777" w:rsidR="00084F36" w:rsidRPr="00EB2BD8" w:rsidRDefault="00084F36">
            <w:pPr>
              <w:pStyle w:val="TableParagraph"/>
              <w:rPr>
                <w:rFonts w:ascii="Times New Roman"/>
                <w:sz w:val="16"/>
              </w:rPr>
            </w:pPr>
          </w:p>
        </w:tc>
      </w:tr>
      <w:tr w:rsidR="00EB2BD8" w:rsidRPr="00EB2BD8" w14:paraId="6B25F634" w14:textId="77777777">
        <w:trPr>
          <w:trHeight w:val="229"/>
        </w:trPr>
        <w:tc>
          <w:tcPr>
            <w:tcW w:w="1751" w:type="dxa"/>
          </w:tcPr>
          <w:p w14:paraId="280EFABC" w14:textId="77777777" w:rsidR="00084F36" w:rsidRPr="00EB2BD8" w:rsidRDefault="00084F36">
            <w:pPr>
              <w:pStyle w:val="TableParagraph"/>
              <w:rPr>
                <w:rFonts w:ascii="Times New Roman"/>
                <w:sz w:val="16"/>
              </w:rPr>
            </w:pPr>
          </w:p>
        </w:tc>
        <w:tc>
          <w:tcPr>
            <w:tcW w:w="1472" w:type="dxa"/>
          </w:tcPr>
          <w:p w14:paraId="61B5C82D" w14:textId="77777777" w:rsidR="00084F36" w:rsidRPr="00EB2BD8" w:rsidRDefault="00084F36">
            <w:pPr>
              <w:pStyle w:val="TableParagraph"/>
              <w:rPr>
                <w:rFonts w:ascii="Times New Roman"/>
                <w:sz w:val="16"/>
              </w:rPr>
            </w:pPr>
          </w:p>
        </w:tc>
        <w:tc>
          <w:tcPr>
            <w:tcW w:w="2445" w:type="dxa"/>
          </w:tcPr>
          <w:p w14:paraId="15CD43F0" w14:textId="77777777" w:rsidR="00084F36" w:rsidRPr="00EB2BD8" w:rsidRDefault="00EB2BD8">
            <w:pPr>
              <w:pStyle w:val="TableParagraph"/>
              <w:spacing w:before="19"/>
              <w:ind w:left="280"/>
              <w:rPr>
                <w:sz w:val="16"/>
              </w:rPr>
            </w:pPr>
            <w:r w:rsidRPr="00EB2BD8">
              <w:rPr>
                <w:sz w:val="16"/>
              </w:rPr>
              <w:t>and</w:t>
            </w:r>
            <w:r w:rsidRPr="00EB2BD8">
              <w:rPr>
                <w:spacing w:val="-5"/>
                <w:sz w:val="16"/>
              </w:rPr>
              <w:t xml:space="preserve"> </w:t>
            </w:r>
            <w:r w:rsidRPr="00EB2BD8">
              <w:rPr>
                <w:sz w:val="16"/>
              </w:rPr>
              <w:t>to</w:t>
            </w:r>
            <w:r w:rsidRPr="00EB2BD8">
              <w:rPr>
                <w:spacing w:val="-4"/>
                <w:sz w:val="16"/>
              </w:rPr>
              <w:t xml:space="preserve"> </w:t>
            </w:r>
            <w:r w:rsidRPr="00EB2BD8">
              <w:rPr>
                <w:sz w:val="16"/>
              </w:rPr>
              <w:t>a</w:t>
            </w:r>
            <w:r w:rsidRPr="00EB2BD8">
              <w:rPr>
                <w:spacing w:val="-4"/>
                <w:sz w:val="16"/>
              </w:rPr>
              <w:t xml:space="preserve"> </w:t>
            </w:r>
            <w:r w:rsidRPr="00EB2BD8">
              <w:rPr>
                <w:spacing w:val="-2"/>
                <w:sz w:val="16"/>
              </w:rPr>
              <w:t>professional</w:t>
            </w:r>
          </w:p>
        </w:tc>
        <w:tc>
          <w:tcPr>
            <w:tcW w:w="2263" w:type="dxa"/>
          </w:tcPr>
          <w:p w14:paraId="7EB3FCA4" w14:textId="77777777" w:rsidR="00084F36" w:rsidRPr="00EB2BD8" w:rsidRDefault="00084F36">
            <w:pPr>
              <w:pStyle w:val="TableParagraph"/>
              <w:rPr>
                <w:rFonts w:ascii="Times New Roman"/>
                <w:sz w:val="16"/>
              </w:rPr>
            </w:pPr>
          </w:p>
        </w:tc>
        <w:tc>
          <w:tcPr>
            <w:tcW w:w="1093" w:type="dxa"/>
          </w:tcPr>
          <w:p w14:paraId="59F01118" w14:textId="77777777" w:rsidR="00084F36" w:rsidRPr="00EB2BD8" w:rsidRDefault="00084F36">
            <w:pPr>
              <w:pStyle w:val="TableParagraph"/>
              <w:rPr>
                <w:rFonts w:ascii="Times New Roman"/>
                <w:sz w:val="16"/>
              </w:rPr>
            </w:pPr>
          </w:p>
        </w:tc>
        <w:tc>
          <w:tcPr>
            <w:tcW w:w="1176" w:type="dxa"/>
          </w:tcPr>
          <w:p w14:paraId="69CCA6C0" w14:textId="77777777" w:rsidR="00084F36" w:rsidRPr="00EB2BD8" w:rsidRDefault="00084F36">
            <w:pPr>
              <w:pStyle w:val="TableParagraph"/>
              <w:rPr>
                <w:rFonts w:ascii="Times New Roman"/>
                <w:sz w:val="16"/>
              </w:rPr>
            </w:pPr>
          </w:p>
        </w:tc>
      </w:tr>
      <w:tr w:rsidR="00EB2BD8" w:rsidRPr="00EB2BD8" w14:paraId="41987E9E" w14:textId="77777777">
        <w:trPr>
          <w:trHeight w:val="229"/>
        </w:trPr>
        <w:tc>
          <w:tcPr>
            <w:tcW w:w="1751" w:type="dxa"/>
          </w:tcPr>
          <w:p w14:paraId="2A631CA8" w14:textId="77777777" w:rsidR="00084F36" w:rsidRPr="00EB2BD8" w:rsidRDefault="00084F36">
            <w:pPr>
              <w:pStyle w:val="TableParagraph"/>
              <w:rPr>
                <w:rFonts w:ascii="Times New Roman"/>
                <w:sz w:val="16"/>
              </w:rPr>
            </w:pPr>
          </w:p>
        </w:tc>
        <w:tc>
          <w:tcPr>
            <w:tcW w:w="1472" w:type="dxa"/>
          </w:tcPr>
          <w:p w14:paraId="374F24EF" w14:textId="77777777" w:rsidR="00084F36" w:rsidRPr="00EB2BD8" w:rsidRDefault="00084F36">
            <w:pPr>
              <w:pStyle w:val="TableParagraph"/>
              <w:rPr>
                <w:rFonts w:ascii="Times New Roman"/>
                <w:sz w:val="16"/>
              </w:rPr>
            </w:pPr>
          </w:p>
        </w:tc>
        <w:tc>
          <w:tcPr>
            <w:tcW w:w="2445" w:type="dxa"/>
          </w:tcPr>
          <w:p w14:paraId="7248BEBC" w14:textId="77777777" w:rsidR="00084F36" w:rsidRPr="00EB2BD8" w:rsidRDefault="00EB2BD8">
            <w:pPr>
              <w:pStyle w:val="TableParagraph"/>
              <w:spacing w:before="19"/>
              <w:ind w:left="280"/>
              <w:rPr>
                <w:sz w:val="16"/>
              </w:rPr>
            </w:pPr>
            <w:r w:rsidRPr="00EB2BD8">
              <w:rPr>
                <w:spacing w:val="-2"/>
                <w:sz w:val="16"/>
              </w:rPr>
              <w:t>standard,</w:t>
            </w:r>
            <w:r w:rsidRPr="00EB2BD8">
              <w:rPr>
                <w:spacing w:val="-4"/>
                <w:sz w:val="16"/>
              </w:rPr>
              <w:t xml:space="preserve"> </w:t>
            </w:r>
            <w:r w:rsidRPr="00EB2BD8">
              <w:rPr>
                <w:spacing w:val="-2"/>
                <w:sz w:val="16"/>
              </w:rPr>
              <w:t>in</w:t>
            </w:r>
            <w:r w:rsidRPr="00EB2BD8">
              <w:rPr>
                <w:spacing w:val="-3"/>
                <w:sz w:val="16"/>
              </w:rPr>
              <w:t xml:space="preserve"> </w:t>
            </w:r>
            <w:r w:rsidRPr="00EB2BD8">
              <w:rPr>
                <w:spacing w:val="-2"/>
                <w:sz w:val="16"/>
              </w:rPr>
              <w:t>respect</w:t>
            </w:r>
            <w:r w:rsidRPr="00EB2BD8">
              <w:rPr>
                <w:spacing w:val="-3"/>
                <w:sz w:val="16"/>
              </w:rPr>
              <w:t xml:space="preserve"> </w:t>
            </w:r>
            <w:r w:rsidRPr="00EB2BD8">
              <w:rPr>
                <w:spacing w:val="-2"/>
                <w:sz w:val="16"/>
              </w:rPr>
              <w:t>of</w:t>
            </w:r>
            <w:r w:rsidRPr="00EB2BD8">
              <w:rPr>
                <w:spacing w:val="-4"/>
                <w:sz w:val="16"/>
              </w:rPr>
              <w:t xml:space="preserve"> </w:t>
            </w:r>
            <w:r w:rsidRPr="00EB2BD8">
              <w:rPr>
                <w:spacing w:val="-10"/>
                <w:sz w:val="16"/>
              </w:rPr>
              <w:t>a</w:t>
            </w:r>
          </w:p>
        </w:tc>
        <w:tc>
          <w:tcPr>
            <w:tcW w:w="2263" w:type="dxa"/>
          </w:tcPr>
          <w:p w14:paraId="6BCA314C" w14:textId="77777777" w:rsidR="00084F36" w:rsidRPr="00EB2BD8" w:rsidRDefault="00084F36">
            <w:pPr>
              <w:pStyle w:val="TableParagraph"/>
              <w:rPr>
                <w:rFonts w:ascii="Times New Roman"/>
                <w:sz w:val="16"/>
              </w:rPr>
            </w:pPr>
          </w:p>
        </w:tc>
        <w:tc>
          <w:tcPr>
            <w:tcW w:w="1093" w:type="dxa"/>
          </w:tcPr>
          <w:p w14:paraId="46D22C51" w14:textId="77777777" w:rsidR="00084F36" w:rsidRPr="00EB2BD8" w:rsidRDefault="00084F36">
            <w:pPr>
              <w:pStyle w:val="TableParagraph"/>
              <w:rPr>
                <w:rFonts w:ascii="Times New Roman"/>
                <w:sz w:val="16"/>
              </w:rPr>
            </w:pPr>
          </w:p>
        </w:tc>
        <w:tc>
          <w:tcPr>
            <w:tcW w:w="1176" w:type="dxa"/>
          </w:tcPr>
          <w:p w14:paraId="07FAF513" w14:textId="77777777" w:rsidR="00084F36" w:rsidRPr="00EB2BD8" w:rsidRDefault="00084F36">
            <w:pPr>
              <w:pStyle w:val="TableParagraph"/>
              <w:rPr>
                <w:rFonts w:ascii="Times New Roman"/>
                <w:sz w:val="16"/>
              </w:rPr>
            </w:pPr>
          </w:p>
        </w:tc>
      </w:tr>
      <w:tr w:rsidR="00EB2BD8" w:rsidRPr="00EB2BD8" w14:paraId="48D0F3B7" w14:textId="77777777">
        <w:trPr>
          <w:trHeight w:val="288"/>
        </w:trPr>
        <w:tc>
          <w:tcPr>
            <w:tcW w:w="1751" w:type="dxa"/>
            <w:tcBorders>
              <w:bottom w:val="single" w:sz="2" w:space="0" w:color="000000"/>
            </w:tcBorders>
          </w:tcPr>
          <w:p w14:paraId="123E4D64" w14:textId="77777777" w:rsidR="00084F36" w:rsidRPr="00EB2BD8" w:rsidRDefault="00084F36">
            <w:pPr>
              <w:pStyle w:val="TableParagraph"/>
              <w:rPr>
                <w:rFonts w:ascii="Times New Roman"/>
                <w:sz w:val="16"/>
              </w:rPr>
            </w:pPr>
          </w:p>
        </w:tc>
        <w:tc>
          <w:tcPr>
            <w:tcW w:w="1472" w:type="dxa"/>
            <w:tcBorders>
              <w:bottom w:val="single" w:sz="2" w:space="0" w:color="000000"/>
            </w:tcBorders>
          </w:tcPr>
          <w:p w14:paraId="7B2BAE92" w14:textId="77777777" w:rsidR="00084F36" w:rsidRPr="00EB2BD8" w:rsidRDefault="00084F36">
            <w:pPr>
              <w:pStyle w:val="TableParagraph"/>
              <w:rPr>
                <w:rFonts w:ascii="Times New Roman"/>
                <w:sz w:val="16"/>
              </w:rPr>
            </w:pPr>
          </w:p>
        </w:tc>
        <w:tc>
          <w:tcPr>
            <w:tcW w:w="2445" w:type="dxa"/>
            <w:tcBorders>
              <w:bottom w:val="single" w:sz="2" w:space="0" w:color="000000"/>
            </w:tcBorders>
          </w:tcPr>
          <w:p w14:paraId="55D50E8C" w14:textId="77777777" w:rsidR="00084F36" w:rsidRPr="00EB2BD8" w:rsidRDefault="00EB2BD8">
            <w:pPr>
              <w:pStyle w:val="TableParagraph"/>
              <w:spacing w:before="19"/>
              <w:ind w:left="280"/>
              <w:rPr>
                <w:sz w:val="16"/>
              </w:rPr>
            </w:pPr>
            <w:r w:rsidRPr="00EB2BD8">
              <w:rPr>
                <w:sz w:val="16"/>
              </w:rPr>
              <w:t>site</w:t>
            </w:r>
            <w:r w:rsidRPr="00EB2BD8">
              <w:rPr>
                <w:spacing w:val="-7"/>
                <w:sz w:val="16"/>
              </w:rPr>
              <w:t xml:space="preserve"> </w:t>
            </w:r>
            <w:r w:rsidRPr="00EB2BD8">
              <w:rPr>
                <w:sz w:val="16"/>
              </w:rPr>
              <w:t>ay</w:t>
            </w:r>
            <w:r w:rsidRPr="00EB2BD8">
              <w:rPr>
                <w:spacing w:val="-7"/>
                <w:sz w:val="16"/>
              </w:rPr>
              <w:t xml:space="preserve"> </w:t>
            </w:r>
            <w:r w:rsidRPr="00EB2BD8">
              <w:rPr>
                <w:spacing w:val="-2"/>
                <w:sz w:val="16"/>
              </w:rPr>
              <w:t>Warragul.</w:t>
            </w:r>
          </w:p>
        </w:tc>
        <w:tc>
          <w:tcPr>
            <w:tcW w:w="2263" w:type="dxa"/>
            <w:tcBorders>
              <w:bottom w:val="single" w:sz="2" w:space="0" w:color="000000"/>
            </w:tcBorders>
          </w:tcPr>
          <w:p w14:paraId="699C0645" w14:textId="77777777" w:rsidR="00084F36" w:rsidRPr="00EB2BD8" w:rsidRDefault="00084F36">
            <w:pPr>
              <w:pStyle w:val="TableParagraph"/>
              <w:rPr>
                <w:rFonts w:ascii="Times New Roman"/>
                <w:sz w:val="16"/>
              </w:rPr>
            </w:pPr>
          </w:p>
        </w:tc>
        <w:tc>
          <w:tcPr>
            <w:tcW w:w="1093" w:type="dxa"/>
            <w:tcBorders>
              <w:bottom w:val="single" w:sz="2" w:space="0" w:color="000000"/>
            </w:tcBorders>
          </w:tcPr>
          <w:p w14:paraId="21A9771C"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7D4B322D" w14:textId="77777777" w:rsidR="00084F36" w:rsidRPr="00EB2BD8" w:rsidRDefault="00084F36">
            <w:pPr>
              <w:pStyle w:val="TableParagraph"/>
              <w:rPr>
                <w:rFonts w:ascii="Times New Roman"/>
                <w:sz w:val="16"/>
              </w:rPr>
            </w:pPr>
          </w:p>
        </w:tc>
      </w:tr>
      <w:tr w:rsidR="00EB2BD8" w:rsidRPr="00EB2BD8" w14:paraId="56766983" w14:textId="77777777">
        <w:trPr>
          <w:trHeight w:val="322"/>
        </w:trPr>
        <w:tc>
          <w:tcPr>
            <w:tcW w:w="1751" w:type="dxa"/>
            <w:tcBorders>
              <w:top w:val="single" w:sz="2" w:space="0" w:color="000000"/>
            </w:tcBorders>
          </w:tcPr>
          <w:p w14:paraId="132287A1" w14:textId="77777777" w:rsidR="00084F36" w:rsidRPr="00EB2BD8" w:rsidRDefault="00EB2BD8">
            <w:pPr>
              <w:pStyle w:val="TableParagraph"/>
              <w:spacing w:before="112"/>
              <w:ind w:left="113"/>
              <w:rPr>
                <w:sz w:val="16"/>
              </w:rPr>
            </w:pPr>
            <w:r w:rsidRPr="00EB2BD8">
              <w:rPr>
                <w:w w:val="105"/>
                <w:sz w:val="16"/>
              </w:rPr>
              <w:t>ORB</w:t>
            </w:r>
            <w:r w:rsidRPr="00EB2BD8">
              <w:rPr>
                <w:spacing w:val="-9"/>
                <w:w w:val="105"/>
                <w:sz w:val="16"/>
              </w:rPr>
              <w:t xml:space="preserve"> </w:t>
            </w:r>
            <w:r w:rsidRPr="00EB2BD8">
              <w:rPr>
                <w:spacing w:val="-2"/>
                <w:w w:val="105"/>
                <w:sz w:val="16"/>
              </w:rPr>
              <w:t>Developments</w:t>
            </w:r>
          </w:p>
        </w:tc>
        <w:tc>
          <w:tcPr>
            <w:tcW w:w="1472" w:type="dxa"/>
            <w:tcBorders>
              <w:top w:val="single" w:sz="2" w:space="0" w:color="000000"/>
            </w:tcBorders>
          </w:tcPr>
          <w:p w14:paraId="2EB9DE4B" w14:textId="77777777" w:rsidR="00084F36" w:rsidRPr="00EB2BD8" w:rsidRDefault="00EB2BD8">
            <w:pPr>
              <w:pStyle w:val="TableParagraph"/>
              <w:spacing w:before="112"/>
              <w:ind w:left="119"/>
              <w:rPr>
                <w:sz w:val="16"/>
              </w:rPr>
            </w:pPr>
            <w:r w:rsidRPr="00EB2BD8">
              <w:rPr>
                <w:spacing w:val="2"/>
                <w:sz w:val="16"/>
              </w:rPr>
              <w:t>CDB-U</w:t>
            </w:r>
            <w:r w:rsidRPr="00EB2BD8">
              <w:rPr>
                <w:spacing w:val="17"/>
                <w:sz w:val="16"/>
              </w:rPr>
              <w:t xml:space="preserve"> </w:t>
            </w:r>
            <w:r w:rsidRPr="00EB2BD8">
              <w:rPr>
                <w:spacing w:val="-2"/>
                <w:sz w:val="16"/>
              </w:rPr>
              <w:t>53257</w:t>
            </w:r>
          </w:p>
        </w:tc>
        <w:tc>
          <w:tcPr>
            <w:tcW w:w="2445" w:type="dxa"/>
            <w:tcBorders>
              <w:top w:val="single" w:sz="2" w:space="0" w:color="000000"/>
            </w:tcBorders>
          </w:tcPr>
          <w:p w14:paraId="2B919C91" w14:textId="77777777" w:rsidR="00084F36" w:rsidRPr="00EB2BD8" w:rsidRDefault="00EB2BD8">
            <w:pPr>
              <w:pStyle w:val="TableParagraph"/>
              <w:spacing w:before="112"/>
              <w:ind w:left="280"/>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263" w:type="dxa"/>
            <w:tcBorders>
              <w:top w:val="single" w:sz="2" w:space="0" w:color="000000"/>
            </w:tcBorders>
          </w:tcPr>
          <w:p w14:paraId="0C303ECC" w14:textId="77777777" w:rsidR="00084F36" w:rsidRPr="00EB2BD8" w:rsidRDefault="00EB2BD8">
            <w:pPr>
              <w:pStyle w:val="TableParagraph"/>
              <w:spacing w:before="111"/>
              <w:ind w:left="114"/>
              <w:rPr>
                <w:sz w:val="16"/>
              </w:rPr>
            </w:pPr>
            <w:r w:rsidRPr="00EB2BD8">
              <w:rPr>
                <w:sz w:val="16"/>
              </w:rPr>
              <w:t>Reprimand</w:t>
            </w:r>
            <w:r w:rsidRPr="00EB2BD8">
              <w:rPr>
                <w:spacing w:val="2"/>
                <w:sz w:val="16"/>
              </w:rPr>
              <w:t xml:space="preserve"> </w:t>
            </w:r>
            <w:r w:rsidRPr="00EB2BD8">
              <w:rPr>
                <w:sz w:val="16"/>
              </w:rPr>
              <w:t>and</w:t>
            </w:r>
            <w:r w:rsidRPr="00EB2BD8">
              <w:rPr>
                <w:spacing w:val="3"/>
                <w:sz w:val="16"/>
              </w:rPr>
              <w:t xml:space="preserve"> </w:t>
            </w:r>
            <w:r w:rsidRPr="00EB2BD8">
              <w:rPr>
                <w:sz w:val="16"/>
              </w:rPr>
              <w:t>penalty</w:t>
            </w:r>
            <w:r w:rsidRPr="00EB2BD8">
              <w:rPr>
                <w:spacing w:val="2"/>
                <w:sz w:val="16"/>
              </w:rPr>
              <w:t xml:space="preserve"> </w:t>
            </w:r>
            <w:r w:rsidRPr="00EB2BD8">
              <w:rPr>
                <w:spacing w:val="-5"/>
                <w:sz w:val="16"/>
              </w:rPr>
              <w:t>of</w:t>
            </w:r>
          </w:p>
        </w:tc>
        <w:tc>
          <w:tcPr>
            <w:tcW w:w="1093" w:type="dxa"/>
            <w:tcBorders>
              <w:top w:val="single" w:sz="2" w:space="0" w:color="000000"/>
            </w:tcBorders>
          </w:tcPr>
          <w:p w14:paraId="31E5BC9A" w14:textId="77777777" w:rsidR="00084F36" w:rsidRPr="00EB2BD8" w:rsidRDefault="00EB2BD8">
            <w:pPr>
              <w:pStyle w:val="TableParagraph"/>
              <w:spacing w:before="111"/>
              <w:ind w:right="110"/>
              <w:jc w:val="right"/>
              <w:rPr>
                <w:sz w:val="16"/>
              </w:rPr>
            </w:pPr>
            <w:r w:rsidRPr="00EB2BD8">
              <w:rPr>
                <w:spacing w:val="-2"/>
                <w:sz w:val="16"/>
              </w:rPr>
              <w:t>$4,000</w:t>
            </w:r>
          </w:p>
        </w:tc>
        <w:tc>
          <w:tcPr>
            <w:tcW w:w="1176" w:type="dxa"/>
            <w:tcBorders>
              <w:top w:val="single" w:sz="2" w:space="0" w:color="000000"/>
            </w:tcBorders>
          </w:tcPr>
          <w:p w14:paraId="55812507" w14:textId="77777777" w:rsidR="00084F36" w:rsidRPr="00EB2BD8" w:rsidRDefault="00EB2BD8">
            <w:pPr>
              <w:pStyle w:val="TableParagraph"/>
              <w:spacing w:before="111"/>
              <w:ind w:left="114"/>
              <w:rPr>
                <w:sz w:val="16"/>
              </w:rPr>
            </w:pPr>
            <w:r w:rsidRPr="00EB2BD8">
              <w:rPr>
                <w:spacing w:val="-2"/>
                <w:w w:val="95"/>
                <w:sz w:val="16"/>
              </w:rPr>
              <w:t>13/06/2023</w:t>
            </w:r>
          </w:p>
        </w:tc>
      </w:tr>
      <w:tr w:rsidR="00EB2BD8" w:rsidRPr="00EB2BD8" w14:paraId="5506AE3E" w14:textId="77777777">
        <w:trPr>
          <w:trHeight w:val="230"/>
        </w:trPr>
        <w:tc>
          <w:tcPr>
            <w:tcW w:w="1751" w:type="dxa"/>
          </w:tcPr>
          <w:p w14:paraId="17BABCFB" w14:textId="77777777" w:rsidR="00084F36" w:rsidRPr="00EB2BD8" w:rsidRDefault="00EB2BD8">
            <w:pPr>
              <w:pStyle w:val="TableParagraph"/>
              <w:spacing w:before="19"/>
              <w:ind w:left="113"/>
              <w:rPr>
                <w:sz w:val="16"/>
              </w:rPr>
            </w:pPr>
            <w:r w:rsidRPr="00EB2BD8">
              <w:rPr>
                <w:w w:val="105"/>
                <w:sz w:val="16"/>
              </w:rPr>
              <w:t>Pty</w:t>
            </w:r>
            <w:r w:rsidRPr="00EB2BD8">
              <w:rPr>
                <w:spacing w:val="-7"/>
                <w:w w:val="105"/>
                <w:sz w:val="16"/>
              </w:rPr>
              <w:t xml:space="preserve"> </w:t>
            </w:r>
            <w:r w:rsidRPr="00EB2BD8">
              <w:rPr>
                <w:spacing w:val="-5"/>
                <w:w w:val="105"/>
                <w:sz w:val="16"/>
              </w:rPr>
              <w:t>Ltd</w:t>
            </w:r>
          </w:p>
        </w:tc>
        <w:tc>
          <w:tcPr>
            <w:tcW w:w="1472" w:type="dxa"/>
          </w:tcPr>
          <w:p w14:paraId="71F09C5B" w14:textId="77777777" w:rsidR="00084F36" w:rsidRPr="00EB2BD8" w:rsidRDefault="00084F36">
            <w:pPr>
              <w:pStyle w:val="TableParagraph"/>
              <w:rPr>
                <w:rFonts w:ascii="Times New Roman"/>
                <w:sz w:val="16"/>
              </w:rPr>
            </w:pPr>
          </w:p>
        </w:tc>
        <w:tc>
          <w:tcPr>
            <w:tcW w:w="2445" w:type="dxa"/>
          </w:tcPr>
          <w:p w14:paraId="36AB5196" w14:textId="77777777" w:rsidR="00084F36" w:rsidRPr="00EB2BD8" w:rsidRDefault="00EB2BD8">
            <w:pPr>
              <w:pStyle w:val="TableParagraph"/>
              <w:spacing w:before="19"/>
              <w:ind w:left="280"/>
              <w:rPr>
                <w:sz w:val="16"/>
              </w:rPr>
            </w:pPr>
            <w:r w:rsidRPr="00EB2BD8">
              <w:rPr>
                <w:spacing w:val="-4"/>
                <w:sz w:val="16"/>
              </w:rPr>
              <w:t>direction</w:t>
            </w:r>
            <w:r w:rsidRPr="00EB2BD8">
              <w:rPr>
                <w:spacing w:val="-5"/>
                <w:sz w:val="16"/>
              </w:rPr>
              <w:t xml:space="preserve"> </w:t>
            </w:r>
            <w:r w:rsidRPr="00EB2BD8">
              <w:rPr>
                <w:spacing w:val="-4"/>
                <w:sz w:val="16"/>
              </w:rPr>
              <w:t>to fix building</w:t>
            </w:r>
          </w:p>
        </w:tc>
        <w:tc>
          <w:tcPr>
            <w:tcW w:w="2263" w:type="dxa"/>
          </w:tcPr>
          <w:p w14:paraId="6565AB27" w14:textId="77777777" w:rsidR="00084F36" w:rsidRPr="00EB2BD8" w:rsidRDefault="00EB2BD8">
            <w:pPr>
              <w:pStyle w:val="TableParagraph"/>
              <w:spacing w:before="19"/>
              <w:ind w:left="114"/>
              <w:rPr>
                <w:sz w:val="16"/>
              </w:rPr>
            </w:pPr>
            <w:r w:rsidRPr="00EB2BD8">
              <w:rPr>
                <w:spacing w:val="-2"/>
                <w:sz w:val="16"/>
              </w:rPr>
              <w:t>$4,000.</w:t>
            </w:r>
          </w:p>
        </w:tc>
        <w:tc>
          <w:tcPr>
            <w:tcW w:w="1093" w:type="dxa"/>
          </w:tcPr>
          <w:p w14:paraId="0863D1D6" w14:textId="77777777" w:rsidR="00084F36" w:rsidRPr="00EB2BD8" w:rsidRDefault="00084F36">
            <w:pPr>
              <w:pStyle w:val="TableParagraph"/>
              <w:rPr>
                <w:rFonts w:ascii="Times New Roman"/>
                <w:sz w:val="16"/>
              </w:rPr>
            </w:pPr>
          </w:p>
        </w:tc>
        <w:tc>
          <w:tcPr>
            <w:tcW w:w="1176" w:type="dxa"/>
          </w:tcPr>
          <w:p w14:paraId="7875A9F9" w14:textId="77777777" w:rsidR="00084F36" w:rsidRPr="00EB2BD8" w:rsidRDefault="00084F36">
            <w:pPr>
              <w:pStyle w:val="TableParagraph"/>
              <w:rPr>
                <w:rFonts w:ascii="Times New Roman"/>
                <w:sz w:val="16"/>
              </w:rPr>
            </w:pPr>
          </w:p>
        </w:tc>
      </w:tr>
      <w:tr w:rsidR="00EB2BD8" w:rsidRPr="00EB2BD8" w14:paraId="513E0A9F" w14:textId="77777777">
        <w:trPr>
          <w:trHeight w:val="229"/>
        </w:trPr>
        <w:tc>
          <w:tcPr>
            <w:tcW w:w="1751" w:type="dxa"/>
          </w:tcPr>
          <w:p w14:paraId="7C5752DE" w14:textId="77777777" w:rsidR="00084F36" w:rsidRPr="00EB2BD8" w:rsidRDefault="00084F36">
            <w:pPr>
              <w:pStyle w:val="TableParagraph"/>
              <w:rPr>
                <w:rFonts w:ascii="Times New Roman"/>
                <w:sz w:val="16"/>
              </w:rPr>
            </w:pPr>
          </w:p>
        </w:tc>
        <w:tc>
          <w:tcPr>
            <w:tcW w:w="1472" w:type="dxa"/>
          </w:tcPr>
          <w:p w14:paraId="3D130064" w14:textId="77777777" w:rsidR="00084F36" w:rsidRPr="00EB2BD8" w:rsidRDefault="00084F36">
            <w:pPr>
              <w:pStyle w:val="TableParagraph"/>
              <w:rPr>
                <w:rFonts w:ascii="Times New Roman"/>
                <w:sz w:val="16"/>
              </w:rPr>
            </w:pPr>
          </w:p>
        </w:tc>
        <w:tc>
          <w:tcPr>
            <w:tcW w:w="2445" w:type="dxa"/>
          </w:tcPr>
          <w:p w14:paraId="1D02CBFB" w14:textId="77777777" w:rsidR="00084F36" w:rsidRPr="00EB2BD8" w:rsidRDefault="00EB2BD8">
            <w:pPr>
              <w:pStyle w:val="TableParagraph"/>
              <w:spacing w:before="19"/>
              <w:ind w:left="280"/>
              <w:rPr>
                <w:sz w:val="16"/>
              </w:rPr>
            </w:pPr>
            <w:r w:rsidRPr="00EB2BD8">
              <w:rPr>
                <w:spacing w:val="-2"/>
                <w:sz w:val="16"/>
              </w:rPr>
              <w:t>work</w:t>
            </w:r>
            <w:r w:rsidRPr="00EB2BD8">
              <w:rPr>
                <w:spacing w:val="-12"/>
                <w:sz w:val="16"/>
              </w:rPr>
              <w:t xml:space="preserve"> </w:t>
            </w:r>
            <w:r w:rsidRPr="00EB2BD8">
              <w:rPr>
                <w:spacing w:val="-2"/>
                <w:sz w:val="16"/>
              </w:rPr>
              <w:t>within</w:t>
            </w:r>
            <w:r w:rsidRPr="00EB2BD8">
              <w:rPr>
                <w:spacing w:val="-12"/>
                <w:sz w:val="16"/>
              </w:rPr>
              <w:t xml:space="preserve"> </w:t>
            </w:r>
            <w:r w:rsidRPr="00EB2BD8">
              <w:rPr>
                <w:spacing w:val="-2"/>
                <w:sz w:val="16"/>
              </w:rPr>
              <w:t>the</w:t>
            </w:r>
            <w:r w:rsidRPr="00EB2BD8">
              <w:rPr>
                <w:spacing w:val="-12"/>
                <w:sz w:val="16"/>
              </w:rPr>
              <w:t xml:space="preserve"> </w:t>
            </w:r>
            <w:r w:rsidRPr="00EB2BD8">
              <w:rPr>
                <w:spacing w:val="-2"/>
                <w:sz w:val="16"/>
              </w:rPr>
              <w:t>specified</w:t>
            </w:r>
          </w:p>
        </w:tc>
        <w:tc>
          <w:tcPr>
            <w:tcW w:w="2263" w:type="dxa"/>
          </w:tcPr>
          <w:p w14:paraId="0F5812E2" w14:textId="77777777" w:rsidR="00084F36" w:rsidRPr="00EB2BD8" w:rsidRDefault="00084F36">
            <w:pPr>
              <w:pStyle w:val="TableParagraph"/>
              <w:rPr>
                <w:rFonts w:ascii="Times New Roman"/>
                <w:sz w:val="16"/>
              </w:rPr>
            </w:pPr>
          </w:p>
        </w:tc>
        <w:tc>
          <w:tcPr>
            <w:tcW w:w="1093" w:type="dxa"/>
          </w:tcPr>
          <w:p w14:paraId="40D93281" w14:textId="77777777" w:rsidR="00084F36" w:rsidRPr="00EB2BD8" w:rsidRDefault="00084F36">
            <w:pPr>
              <w:pStyle w:val="TableParagraph"/>
              <w:rPr>
                <w:rFonts w:ascii="Times New Roman"/>
                <w:sz w:val="16"/>
              </w:rPr>
            </w:pPr>
          </w:p>
        </w:tc>
        <w:tc>
          <w:tcPr>
            <w:tcW w:w="1176" w:type="dxa"/>
          </w:tcPr>
          <w:p w14:paraId="677366DD" w14:textId="77777777" w:rsidR="00084F36" w:rsidRPr="00EB2BD8" w:rsidRDefault="00084F36">
            <w:pPr>
              <w:pStyle w:val="TableParagraph"/>
              <w:rPr>
                <w:rFonts w:ascii="Times New Roman"/>
                <w:sz w:val="16"/>
              </w:rPr>
            </w:pPr>
          </w:p>
        </w:tc>
      </w:tr>
      <w:tr w:rsidR="00EB2BD8" w:rsidRPr="00EB2BD8" w14:paraId="6F97156A" w14:textId="77777777">
        <w:trPr>
          <w:trHeight w:val="229"/>
        </w:trPr>
        <w:tc>
          <w:tcPr>
            <w:tcW w:w="1751" w:type="dxa"/>
          </w:tcPr>
          <w:p w14:paraId="542A4389" w14:textId="77777777" w:rsidR="00084F36" w:rsidRPr="00EB2BD8" w:rsidRDefault="00084F36">
            <w:pPr>
              <w:pStyle w:val="TableParagraph"/>
              <w:rPr>
                <w:rFonts w:ascii="Times New Roman"/>
                <w:sz w:val="16"/>
              </w:rPr>
            </w:pPr>
          </w:p>
        </w:tc>
        <w:tc>
          <w:tcPr>
            <w:tcW w:w="1472" w:type="dxa"/>
          </w:tcPr>
          <w:p w14:paraId="746DCD70" w14:textId="77777777" w:rsidR="00084F36" w:rsidRPr="00EB2BD8" w:rsidRDefault="00084F36">
            <w:pPr>
              <w:pStyle w:val="TableParagraph"/>
              <w:rPr>
                <w:rFonts w:ascii="Times New Roman"/>
                <w:sz w:val="16"/>
              </w:rPr>
            </w:pPr>
          </w:p>
        </w:tc>
        <w:tc>
          <w:tcPr>
            <w:tcW w:w="2445" w:type="dxa"/>
          </w:tcPr>
          <w:p w14:paraId="336F2664" w14:textId="77777777" w:rsidR="00084F36" w:rsidRPr="00EB2BD8" w:rsidRDefault="00EB2BD8">
            <w:pPr>
              <w:pStyle w:val="TableParagraph"/>
              <w:spacing w:before="19"/>
              <w:ind w:left="280"/>
              <w:rPr>
                <w:sz w:val="16"/>
              </w:rPr>
            </w:pPr>
            <w:r w:rsidRPr="00EB2BD8">
              <w:rPr>
                <w:spacing w:val="-2"/>
                <w:sz w:val="16"/>
              </w:rPr>
              <w:t>period,</w:t>
            </w:r>
            <w:r w:rsidRPr="00EB2BD8">
              <w:rPr>
                <w:spacing w:val="-7"/>
                <w:sz w:val="16"/>
              </w:rPr>
              <w:t xml:space="preserve"> </w:t>
            </w:r>
            <w:r w:rsidRPr="00EB2BD8">
              <w:rPr>
                <w:spacing w:val="-2"/>
                <w:sz w:val="16"/>
              </w:rPr>
              <w:t>in</w:t>
            </w:r>
            <w:r w:rsidRPr="00EB2BD8">
              <w:rPr>
                <w:spacing w:val="-6"/>
                <w:sz w:val="16"/>
              </w:rPr>
              <w:t xml:space="preserve"> </w:t>
            </w:r>
            <w:r w:rsidRPr="00EB2BD8">
              <w:rPr>
                <w:spacing w:val="-2"/>
                <w:sz w:val="16"/>
              </w:rPr>
              <w:t>respect</w:t>
            </w:r>
            <w:r w:rsidRPr="00EB2BD8">
              <w:rPr>
                <w:spacing w:val="-7"/>
                <w:sz w:val="16"/>
              </w:rPr>
              <w:t xml:space="preserve"> </w:t>
            </w:r>
            <w:r w:rsidRPr="00EB2BD8">
              <w:rPr>
                <w:spacing w:val="-2"/>
                <w:sz w:val="16"/>
              </w:rPr>
              <w:t>of</w:t>
            </w:r>
            <w:r w:rsidRPr="00EB2BD8">
              <w:rPr>
                <w:spacing w:val="-6"/>
                <w:sz w:val="16"/>
              </w:rPr>
              <w:t xml:space="preserve"> </w:t>
            </w:r>
            <w:r w:rsidRPr="00EB2BD8">
              <w:rPr>
                <w:spacing w:val="-2"/>
                <w:sz w:val="16"/>
              </w:rPr>
              <w:t>a</w:t>
            </w:r>
            <w:r w:rsidRPr="00EB2BD8">
              <w:rPr>
                <w:spacing w:val="-6"/>
                <w:sz w:val="16"/>
              </w:rPr>
              <w:t xml:space="preserve"> </w:t>
            </w:r>
            <w:r w:rsidRPr="00EB2BD8">
              <w:rPr>
                <w:spacing w:val="-4"/>
                <w:sz w:val="16"/>
              </w:rPr>
              <w:t>site</w:t>
            </w:r>
          </w:p>
        </w:tc>
        <w:tc>
          <w:tcPr>
            <w:tcW w:w="2263" w:type="dxa"/>
          </w:tcPr>
          <w:p w14:paraId="4A20A8F6" w14:textId="77777777" w:rsidR="00084F36" w:rsidRPr="00EB2BD8" w:rsidRDefault="00084F36">
            <w:pPr>
              <w:pStyle w:val="TableParagraph"/>
              <w:rPr>
                <w:rFonts w:ascii="Times New Roman"/>
                <w:sz w:val="16"/>
              </w:rPr>
            </w:pPr>
          </w:p>
        </w:tc>
        <w:tc>
          <w:tcPr>
            <w:tcW w:w="1093" w:type="dxa"/>
          </w:tcPr>
          <w:p w14:paraId="61FECF04" w14:textId="77777777" w:rsidR="00084F36" w:rsidRPr="00EB2BD8" w:rsidRDefault="00084F36">
            <w:pPr>
              <w:pStyle w:val="TableParagraph"/>
              <w:rPr>
                <w:rFonts w:ascii="Times New Roman"/>
                <w:sz w:val="16"/>
              </w:rPr>
            </w:pPr>
          </w:p>
        </w:tc>
        <w:tc>
          <w:tcPr>
            <w:tcW w:w="1176" w:type="dxa"/>
          </w:tcPr>
          <w:p w14:paraId="0758AAA4" w14:textId="77777777" w:rsidR="00084F36" w:rsidRPr="00EB2BD8" w:rsidRDefault="00084F36">
            <w:pPr>
              <w:pStyle w:val="TableParagraph"/>
              <w:rPr>
                <w:rFonts w:ascii="Times New Roman"/>
                <w:sz w:val="16"/>
              </w:rPr>
            </w:pPr>
          </w:p>
        </w:tc>
      </w:tr>
      <w:tr w:rsidR="00084F36" w:rsidRPr="00EB2BD8" w14:paraId="0B9FF4DA" w14:textId="77777777">
        <w:trPr>
          <w:trHeight w:val="289"/>
        </w:trPr>
        <w:tc>
          <w:tcPr>
            <w:tcW w:w="1751" w:type="dxa"/>
            <w:tcBorders>
              <w:bottom w:val="single" w:sz="2" w:space="0" w:color="000000"/>
            </w:tcBorders>
          </w:tcPr>
          <w:p w14:paraId="121D7A6C" w14:textId="77777777" w:rsidR="00084F36" w:rsidRPr="00EB2BD8" w:rsidRDefault="00084F36">
            <w:pPr>
              <w:pStyle w:val="TableParagraph"/>
              <w:rPr>
                <w:rFonts w:ascii="Times New Roman"/>
                <w:sz w:val="16"/>
              </w:rPr>
            </w:pPr>
          </w:p>
        </w:tc>
        <w:tc>
          <w:tcPr>
            <w:tcW w:w="1472" w:type="dxa"/>
            <w:tcBorders>
              <w:bottom w:val="single" w:sz="2" w:space="0" w:color="000000"/>
            </w:tcBorders>
          </w:tcPr>
          <w:p w14:paraId="0FEE3EE7" w14:textId="77777777" w:rsidR="00084F36" w:rsidRPr="00EB2BD8" w:rsidRDefault="00084F36">
            <w:pPr>
              <w:pStyle w:val="TableParagraph"/>
              <w:rPr>
                <w:rFonts w:ascii="Times New Roman"/>
                <w:sz w:val="16"/>
              </w:rPr>
            </w:pPr>
          </w:p>
        </w:tc>
        <w:tc>
          <w:tcPr>
            <w:tcW w:w="2445" w:type="dxa"/>
            <w:tcBorders>
              <w:bottom w:val="single" w:sz="2" w:space="0" w:color="000000"/>
            </w:tcBorders>
          </w:tcPr>
          <w:p w14:paraId="41EFEA33" w14:textId="77777777" w:rsidR="00084F36" w:rsidRPr="00EB2BD8" w:rsidRDefault="00EB2BD8">
            <w:pPr>
              <w:pStyle w:val="TableParagraph"/>
              <w:spacing w:before="19"/>
              <w:ind w:left="280"/>
              <w:rPr>
                <w:sz w:val="16"/>
              </w:rPr>
            </w:pPr>
            <w:r w:rsidRPr="00EB2BD8">
              <w:rPr>
                <w:sz w:val="16"/>
              </w:rPr>
              <w:t xml:space="preserve">at </w:t>
            </w:r>
            <w:r w:rsidRPr="00EB2BD8">
              <w:rPr>
                <w:spacing w:val="-2"/>
                <w:sz w:val="16"/>
              </w:rPr>
              <w:t>Flemington.</w:t>
            </w:r>
          </w:p>
        </w:tc>
        <w:tc>
          <w:tcPr>
            <w:tcW w:w="2263" w:type="dxa"/>
            <w:tcBorders>
              <w:bottom w:val="single" w:sz="2" w:space="0" w:color="000000"/>
            </w:tcBorders>
          </w:tcPr>
          <w:p w14:paraId="2BF88EE7" w14:textId="77777777" w:rsidR="00084F36" w:rsidRPr="00EB2BD8" w:rsidRDefault="00084F36">
            <w:pPr>
              <w:pStyle w:val="TableParagraph"/>
              <w:rPr>
                <w:rFonts w:ascii="Times New Roman"/>
                <w:sz w:val="16"/>
              </w:rPr>
            </w:pPr>
          </w:p>
        </w:tc>
        <w:tc>
          <w:tcPr>
            <w:tcW w:w="1093" w:type="dxa"/>
            <w:tcBorders>
              <w:bottom w:val="single" w:sz="2" w:space="0" w:color="000000"/>
            </w:tcBorders>
          </w:tcPr>
          <w:p w14:paraId="798F0EBA"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0034FB79" w14:textId="77777777" w:rsidR="00084F36" w:rsidRPr="00EB2BD8" w:rsidRDefault="00084F36">
            <w:pPr>
              <w:pStyle w:val="TableParagraph"/>
              <w:rPr>
                <w:rFonts w:ascii="Times New Roman"/>
                <w:sz w:val="16"/>
              </w:rPr>
            </w:pPr>
          </w:p>
        </w:tc>
      </w:tr>
    </w:tbl>
    <w:p w14:paraId="128102E7" w14:textId="77777777" w:rsidR="00084F36" w:rsidRPr="00EB2BD8" w:rsidRDefault="00084F36">
      <w:pPr>
        <w:rPr>
          <w:rFonts w:ascii="Times New Roman"/>
          <w:sz w:val="16"/>
        </w:rPr>
        <w:sectPr w:rsidR="00084F36" w:rsidRPr="00EB2BD8" w:rsidSect="006D75B2">
          <w:footerReference w:type="default" r:id="rId425"/>
          <w:pgSz w:w="11910" w:h="16840"/>
          <w:pgMar w:top="1100" w:right="0" w:bottom="700" w:left="0" w:header="0" w:footer="515" w:gutter="0"/>
          <w:cols w:space="720"/>
        </w:sectPr>
      </w:pPr>
    </w:p>
    <w:p w14:paraId="7A590024" w14:textId="77777777" w:rsidR="00084F36" w:rsidRPr="00EB2BD8" w:rsidRDefault="00084F36">
      <w:pPr>
        <w:pStyle w:val="BodyText"/>
        <w:rPr>
          <w:sz w:val="20"/>
        </w:rPr>
      </w:pPr>
    </w:p>
    <w:p w14:paraId="43676ACA" w14:textId="77777777" w:rsidR="00084F36" w:rsidRPr="00EB2BD8" w:rsidRDefault="00084F36">
      <w:pPr>
        <w:pStyle w:val="BodyText"/>
        <w:rPr>
          <w:sz w:val="20"/>
        </w:rPr>
      </w:pPr>
    </w:p>
    <w:p w14:paraId="7178936F" w14:textId="77777777" w:rsidR="00084F36" w:rsidRPr="00EB2BD8" w:rsidRDefault="00084F36">
      <w:pPr>
        <w:pStyle w:val="BodyText"/>
        <w:rPr>
          <w:sz w:val="20"/>
        </w:rPr>
      </w:pPr>
    </w:p>
    <w:p w14:paraId="39BCF12D" w14:textId="77777777" w:rsidR="00084F36" w:rsidRPr="00EB2BD8" w:rsidRDefault="00084F36">
      <w:pPr>
        <w:pStyle w:val="BodyText"/>
        <w:rPr>
          <w:sz w:val="20"/>
        </w:rPr>
      </w:pPr>
    </w:p>
    <w:p w14:paraId="207D1BE6" w14:textId="77777777" w:rsidR="00084F36" w:rsidRPr="00EB2BD8" w:rsidRDefault="00084F36">
      <w:pPr>
        <w:pStyle w:val="BodyText"/>
        <w:spacing w:before="9" w:after="1"/>
        <w:rPr>
          <w:sz w:val="24"/>
        </w:rPr>
      </w:pPr>
    </w:p>
    <w:tbl>
      <w:tblPr>
        <w:tblW w:w="0" w:type="auto"/>
        <w:tblInd w:w="857" w:type="dxa"/>
        <w:tblLayout w:type="fixed"/>
        <w:tblCellMar>
          <w:left w:w="0" w:type="dxa"/>
          <w:right w:w="0" w:type="dxa"/>
        </w:tblCellMar>
        <w:tblLook w:val="01E0" w:firstRow="1" w:lastRow="1" w:firstColumn="1" w:lastColumn="1" w:noHBand="0" w:noVBand="0"/>
      </w:tblPr>
      <w:tblGrid>
        <w:gridCol w:w="1719"/>
        <w:gridCol w:w="1485"/>
        <w:gridCol w:w="2453"/>
        <w:gridCol w:w="2289"/>
        <w:gridCol w:w="1078"/>
        <w:gridCol w:w="1175"/>
      </w:tblGrid>
      <w:tr w:rsidR="00EB2BD8" w:rsidRPr="00EB2BD8" w14:paraId="34EF9D77" w14:textId="77777777">
        <w:trPr>
          <w:trHeight w:val="614"/>
        </w:trPr>
        <w:tc>
          <w:tcPr>
            <w:tcW w:w="1719" w:type="dxa"/>
            <w:tcBorders>
              <w:bottom w:val="single" w:sz="2" w:space="0" w:color="000000"/>
            </w:tcBorders>
            <w:shd w:val="clear" w:color="auto" w:fill="005F83"/>
          </w:tcPr>
          <w:p w14:paraId="7AA40424" w14:textId="77777777" w:rsidR="00084F36" w:rsidRPr="00697E0C" w:rsidRDefault="00EB2BD8">
            <w:pPr>
              <w:pStyle w:val="TableParagraph"/>
              <w:spacing w:before="118"/>
              <w:ind w:left="113"/>
              <w:rPr>
                <w:color w:val="FFFFFF" w:themeColor="background1"/>
                <w:sz w:val="16"/>
              </w:rPr>
            </w:pPr>
            <w:r w:rsidRPr="00697E0C">
              <w:rPr>
                <w:color w:val="FFFFFF" w:themeColor="background1"/>
                <w:w w:val="105"/>
                <w:sz w:val="16"/>
              </w:rPr>
              <w:t>Practitioner</w:t>
            </w:r>
            <w:r w:rsidRPr="00697E0C">
              <w:rPr>
                <w:color w:val="FFFFFF" w:themeColor="background1"/>
                <w:spacing w:val="-14"/>
                <w:w w:val="105"/>
                <w:sz w:val="16"/>
              </w:rPr>
              <w:t xml:space="preserve"> </w:t>
            </w:r>
            <w:r w:rsidRPr="00697E0C">
              <w:rPr>
                <w:color w:val="FFFFFF" w:themeColor="background1"/>
                <w:spacing w:val="-4"/>
                <w:w w:val="105"/>
                <w:sz w:val="16"/>
              </w:rPr>
              <w:t>name</w:t>
            </w:r>
          </w:p>
        </w:tc>
        <w:tc>
          <w:tcPr>
            <w:tcW w:w="1485" w:type="dxa"/>
            <w:tcBorders>
              <w:bottom w:val="single" w:sz="2" w:space="0" w:color="000000"/>
            </w:tcBorders>
            <w:shd w:val="clear" w:color="auto" w:fill="005F83"/>
          </w:tcPr>
          <w:p w14:paraId="013FE520" w14:textId="77777777" w:rsidR="00084F36" w:rsidRPr="00697E0C" w:rsidRDefault="00EB2BD8">
            <w:pPr>
              <w:pStyle w:val="TableParagraph"/>
              <w:spacing w:before="118" w:line="292" w:lineRule="auto"/>
              <w:ind w:left="151"/>
              <w:rPr>
                <w:color w:val="FFFFFF" w:themeColor="background1"/>
                <w:sz w:val="16"/>
              </w:rPr>
            </w:pPr>
            <w:r w:rsidRPr="00697E0C">
              <w:rPr>
                <w:color w:val="FFFFFF" w:themeColor="background1"/>
                <w:spacing w:val="-2"/>
                <w:sz w:val="16"/>
              </w:rPr>
              <w:t xml:space="preserve">Registration </w:t>
            </w:r>
            <w:r w:rsidRPr="00697E0C">
              <w:rPr>
                <w:color w:val="FFFFFF" w:themeColor="background1"/>
                <w:spacing w:val="-2"/>
                <w:w w:val="105"/>
                <w:sz w:val="16"/>
              </w:rPr>
              <w:t>Number</w:t>
            </w:r>
          </w:p>
        </w:tc>
        <w:tc>
          <w:tcPr>
            <w:tcW w:w="2453" w:type="dxa"/>
            <w:tcBorders>
              <w:bottom w:val="single" w:sz="2" w:space="0" w:color="000000"/>
            </w:tcBorders>
            <w:shd w:val="clear" w:color="auto" w:fill="005F83"/>
          </w:tcPr>
          <w:p w14:paraId="0B459C79" w14:textId="77777777" w:rsidR="00084F36" w:rsidRPr="00697E0C" w:rsidRDefault="00EB2BD8">
            <w:pPr>
              <w:pStyle w:val="TableParagraph"/>
              <w:spacing w:before="118"/>
              <w:ind w:left="299"/>
              <w:rPr>
                <w:color w:val="FFFFFF" w:themeColor="background1"/>
                <w:sz w:val="16"/>
              </w:rPr>
            </w:pPr>
            <w:r w:rsidRPr="00697E0C">
              <w:rPr>
                <w:color w:val="FFFFFF" w:themeColor="background1"/>
                <w:spacing w:val="-2"/>
                <w:w w:val="105"/>
                <w:sz w:val="16"/>
              </w:rPr>
              <w:t>Conduct</w:t>
            </w:r>
          </w:p>
        </w:tc>
        <w:tc>
          <w:tcPr>
            <w:tcW w:w="2289" w:type="dxa"/>
            <w:tcBorders>
              <w:bottom w:val="single" w:sz="2" w:space="0" w:color="000000"/>
            </w:tcBorders>
            <w:shd w:val="clear" w:color="auto" w:fill="005F83"/>
          </w:tcPr>
          <w:p w14:paraId="08908901" w14:textId="77777777" w:rsidR="00084F36" w:rsidRPr="00697E0C" w:rsidRDefault="00EB2BD8">
            <w:pPr>
              <w:pStyle w:val="TableParagraph"/>
              <w:spacing w:before="118"/>
              <w:ind w:left="125"/>
              <w:rPr>
                <w:color w:val="FFFFFF" w:themeColor="background1"/>
                <w:sz w:val="16"/>
              </w:rPr>
            </w:pPr>
            <w:r w:rsidRPr="00697E0C">
              <w:rPr>
                <w:color w:val="FFFFFF" w:themeColor="background1"/>
                <w:spacing w:val="-2"/>
                <w:sz w:val="16"/>
              </w:rPr>
              <w:t>Result</w:t>
            </w:r>
          </w:p>
        </w:tc>
        <w:tc>
          <w:tcPr>
            <w:tcW w:w="1078" w:type="dxa"/>
            <w:tcBorders>
              <w:bottom w:val="single" w:sz="2" w:space="0" w:color="000000"/>
            </w:tcBorders>
            <w:shd w:val="clear" w:color="auto" w:fill="005F83"/>
          </w:tcPr>
          <w:p w14:paraId="2BE4AF70" w14:textId="77777777" w:rsidR="00084F36" w:rsidRPr="00697E0C" w:rsidRDefault="00EB2BD8">
            <w:pPr>
              <w:pStyle w:val="TableParagraph"/>
              <w:spacing w:before="118" w:line="292" w:lineRule="auto"/>
              <w:ind w:left="115" w:right="93"/>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35</w:t>
            </w:r>
          </w:p>
        </w:tc>
        <w:tc>
          <w:tcPr>
            <w:tcW w:w="1175" w:type="dxa"/>
            <w:tcBorders>
              <w:bottom w:val="single" w:sz="2" w:space="0" w:color="000000"/>
            </w:tcBorders>
            <w:shd w:val="clear" w:color="auto" w:fill="005F83"/>
          </w:tcPr>
          <w:p w14:paraId="7F2B2321" w14:textId="77777777" w:rsidR="00084F36" w:rsidRPr="00697E0C" w:rsidRDefault="00EB2BD8">
            <w:pPr>
              <w:pStyle w:val="TableParagraph"/>
              <w:spacing w:before="118"/>
              <w:ind w:left="114"/>
              <w:rPr>
                <w:color w:val="FFFFFF" w:themeColor="background1"/>
                <w:sz w:val="9"/>
              </w:rPr>
            </w:pPr>
            <w:r w:rsidRPr="00697E0C">
              <w:rPr>
                <w:color w:val="FFFFFF" w:themeColor="background1"/>
                <w:spacing w:val="-2"/>
                <w:w w:val="105"/>
                <w:sz w:val="16"/>
              </w:rPr>
              <w:t>Date</w:t>
            </w:r>
            <w:r w:rsidRPr="00697E0C">
              <w:rPr>
                <w:color w:val="FFFFFF" w:themeColor="background1"/>
                <w:spacing w:val="-2"/>
                <w:w w:val="105"/>
                <w:position w:val="5"/>
                <w:sz w:val="9"/>
              </w:rPr>
              <w:t>36</w:t>
            </w:r>
          </w:p>
        </w:tc>
      </w:tr>
      <w:tr w:rsidR="00EB2BD8" w:rsidRPr="00EB2BD8" w14:paraId="2DD91731" w14:textId="77777777">
        <w:trPr>
          <w:trHeight w:val="326"/>
        </w:trPr>
        <w:tc>
          <w:tcPr>
            <w:tcW w:w="1719" w:type="dxa"/>
            <w:tcBorders>
              <w:top w:val="single" w:sz="2" w:space="0" w:color="000000"/>
            </w:tcBorders>
          </w:tcPr>
          <w:p w14:paraId="6778B2D3" w14:textId="77777777" w:rsidR="00084F36" w:rsidRPr="00EB2BD8" w:rsidRDefault="00EB2BD8">
            <w:pPr>
              <w:pStyle w:val="TableParagraph"/>
              <w:spacing w:before="116"/>
              <w:ind w:left="113"/>
              <w:rPr>
                <w:sz w:val="16"/>
              </w:rPr>
            </w:pPr>
            <w:r w:rsidRPr="00EB2BD8">
              <w:rPr>
                <w:spacing w:val="-2"/>
                <w:sz w:val="16"/>
              </w:rPr>
              <w:t>Phillips</w:t>
            </w:r>
          </w:p>
        </w:tc>
        <w:tc>
          <w:tcPr>
            <w:tcW w:w="1485" w:type="dxa"/>
            <w:tcBorders>
              <w:top w:val="single" w:sz="2" w:space="0" w:color="000000"/>
            </w:tcBorders>
          </w:tcPr>
          <w:p w14:paraId="1C712544" w14:textId="77777777" w:rsidR="00084F36" w:rsidRPr="00EB2BD8" w:rsidRDefault="00EB2BD8">
            <w:pPr>
              <w:pStyle w:val="TableParagraph"/>
              <w:spacing w:before="116"/>
              <w:ind w:left="151"/>
              <w:rPr>
                <w:sz w:val="16"/>
              </w:rPr>
            </w:pPr>
            <w:r w:rsidRPr="00EB2BD8">
              <w:rPr>
                <w:spacing w:val="2"/>
                <w:sz w:val="16"/>
              </w:rPr>
              <w:t>CDB-U</w:t>
            </w:r>
            <w:r w:rsidRPr="00EB2BD8">
              <w:rPr>
                <w:spacing w:val="17"/>
                <w:sz w:val="16"/>
              </w:rPr>
              <w:t xml:space="preserve"> </w:t>
            </w:r>
            <w:r w:rsidRPr="00EB2BD8">
              <w:rPr>
                <w:spacing w:val="-2"/>
                <w:sz w:val="16"/>
              </w:rPr>
              <w:t>50153</w:t>
            </w:r>
          </w:p>
        </w:tc>
        <w:tc>
          <w:tcPr>
            <w:tcW w:w="2453" w:type="dxa"/>
            <w:tcBorders>
              <w:top w:val="single" w:sz="2" w:space="0" w:color="000000"/>
            </w:tcBorders>
          </w:tcPr>
          <w:p w14:paraId="3BAF68A9" w14:textId="77777777" w:rsidR="00084F36" w:rsidRPr="00EB2BD8" w:rsidRDefault="00EB2BD8">
            <w:pPr>
              <w:pStyle w:val="TableParagraph"/>
              <w:spacing w:before="116"/>
              <w:ind w:left="299"/>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89" w:type="dxa"/>
            <w:tcBorders>
              <w:top w:val="single" w:sz="2" w:space="0" w:color="000000"/>
            </w:tcBorders>
          </w:tcPr>
          <w:p w14:paraId="534EF5C2" w14:textId="77777777" w:rsidR="00084F36" w:rsidRPr="00EB2BD8" w:rsidRDefault="00EB2BD8">
            <w:pPr>
              <w:pStyle w:val="TableParagraph"/>
              <w:spacing w:before="115"/>
              <w:ind w:left="125"/>
              <w:rPr>
                <w:sz w:val="16"/>
              </w:rPr>
            </w:pPr>
            <w:r w:rsidRPr="00EB2BD8">
              <w:rPr>
                <w:sz w:val="16"/>
              </w:rPr>
              <w:t>Reprimand</w:t>
            </w:r>
            <w:r w:rsidRPr="00EB2BD8">
              <w:rPr>
                <w:spacing w:val="3"/>
                <w:sz w:val="16"/>
              </w:rPr>
              <w:t xml:space="preserve"> </w:t>
            </w:r>
            <w:r w:rsidRPr="00EB2BD8">
              <w:rPr>
                <w:sz w:val="16"/>
              </w:rPr>
              <w:t>and</w:t>
            </w:r>
            <w:r w:rsidRPr="00EB2BD8">
              <w:rPr>
                <w:spacing w:val="4"/>
                <w:sz w:val="16"/>
              </w:rPr>
              <w:t xml:space="preserve"> </w:t>
            </w:r>
            <w:r w:rsidRPr="00EB2BD8">
              <w:rPr>
                <w:sz w:val="16"/>
              </w:rPr>
              <w:t>a</w:t>
            </w:r>
            <w:r w:rsidRPr="00EB2BD8">
              <w:rPr>
                <w:spacing w:val="3"/>
                <w:sz w:val="16"/>
              </w:rPr>
              <w:t xml:space="preserve"> </w:t>
            </w:r>
            <w:r w:rsidRPr="00EB2BD8">
              <w:rPr>
                <w:spacing w:val="-2"/>
                <w:sz w:val="16"/>
              </w:rPr>
              <w:t>penalty</w:t>
            </w:r>
          </w:p>
        </w:tc>
        <w:tc>
          <w:tcPr>
            <w:tcW w:w="1078" w:type="dxa"/>
            <w:tcBorders>
              <w:top w:val="single" w:sz="2" w:space="0" w:color="000000"/>
            </w:tcBorders>
          </w:tcPr>
          <w:p w14:paraId="1736EF91" w14:textId="77777777" w:rsidR="00084F36" w:rsidRPr="00EB2BD8" w:rsidRDefault="00EB2BD8">
            <w:pPr>
              <w:pStyle w:val="TableParagraph"/>
              <w:spacing w:before="115"/>
              <w:ind w:right="110"/>
              <w:jc w:val="right"/>
              <w:rPr>
                <w:sz w:val="16"/>
              </w:rPr>
            </w:pPr>
            <w:r w:rsidRPr="00EB2BD8">
              <w:rPr>
                <w:spacing w:val="-2"/>
                <w:sz w:val="16"/>
              </w:rPr>
              <w:t>$3,000</w:t>
            </w:r>
          </w:p>
        </w:tc>
        <w:tc>
          <w:tcPr>
            <w:tcW w:w="1175" w:type="dxa"/>
            <w:tcBorders>
              <w:top w:val="single" w:sz="2" w:space="0" w:color="000000"/>
            </w:tcBorders>
          </w:tcPr>
          <w:p w14:paraId="31914A38" w14:textId="77777777" w:rsidR="00084F36" w:rsidRPr="00EB2BD8" w:rsidRDefault="00EB2BD8">
            <w:pPr>
              <w:pStyle w:val="TableParagraph"/>
              <w:spacing w:before="115"/>
              <w:ind w:left="114"/>
              <w:rPr>
                <w:sz w:val="16"/>
              </w:rPr>
            </w:pPr>
            <w:r w:rsidRPr="00EB2BD8">
              <w:rPr>
                <w:spacing w:val="-2"/>
                <w:w w:val="85"/>
                <w:sz w:val="16"/>
              </w:rPr>
              <w:t>19/12/2022</w:t>
            </w:r>
          </w:p>
        </w:tc>
      </w:tr>
      <w:tr w:rsidR="00EB2BD8" w:rsidRPr="00EB2BD8" w14:paraId="13761ADC" w14:textId="77777777">
        <w:trPr>
          <w:trHeight w:val="230"/>
        </w:trPr>
        <w:tc>
          <w:tcPr>
            <w:tcW w:w="1719" w:type="dxa"/>
          </w:tcPr>
          <w:p w14:paraId="7C5B8C43" w14:textId="77777777" w:rsidR="00084F36" w:rsidRPr="00EB2BD8" w:rsidRDefault="00EB2BD8">
            <w:pPr>
              <w:pStyle w:val="TableParagraph"/>
              <w:spacing w:before="19"/>
              <w:ind w:left="113"/>
              <w:rPr>
                <w:sz w:val="16"/>
              </w:rPr>
            </w:pPr>
            <w:r w:rsidRPr="00EB2BD8">
              <w:rPr>
                <w:spacing w:val="-2"/>
                <w:sz w:val="16"/>
              </w:rPr>
              <w:t>Constructions</w:t>
            </w:r>
            <w:r w:rsidRPr="00EB2BD8">
              <w:rPr>
                <w:spacing w:val="12"/>
                <w:sz w:val="16"/>
              </w:rPr>
              <w:t xml:space="preserve"> </w:t>
            </w:r>
            <w:r w:rsidRPr="00EB2BD8">
              <w:rPr>
                <w:spacing w:val="-5"/>
                <w:sz w:val="16"/>
              </w:rPr>
              <w:t>Pty</w:t>
            </w:r>
          </w:p>
        </w:tc>
        <w:tc>
          <w:tcPr>
            <w:tcW w:w="1485" w:type="dxa"/>
          </w:tcPr>
          <w:p w14:paraId="5F20E1E5" w14:textId="77777777" w:rsidR="00084F36" w:rsidRPr="00EB2BD8" w:rsidRDefault="00084F36">
            <w:pPr>
              <w:pStyle w:val="TableParagraph"/>
              <w:rPr>
                <w:rFonts w:ascii="Times New Roman"/>
                <w:sz w:val="16"/>
              </w:rPr>
            </w:pPr>
          </w:p>
        </w:tc>
        <w:tc>
          <w:tcPr>
            <w:tcW w:w="2453" w:type="dxa"/>
          </w:tcPr>
          <w:p w14:paraId="0B86FC44" w14:textId="77777777" w:rsidR="00084F36" w:rsidRPr="00EB2BD8" w:rsidRDefault="00EB2BD8">
            <w:pPr>
              <w:pStyle w:val="TableParagraph"/>
              <w:spacing w:before="19"/>
              <w:ind w:left="299"/>
              <w:rPr>
                <w:sz w:val="16"/>
              </w:rPr>
            </w:pPr>
            <w:r w:rsidRPr="00EB2BD8">
              <w:rPr>
                <w:sz w:val="16"/>
              </w:rPr>
              <w:t>mandatory</w:t>
            </w:r>
            <w:r w:rsidRPr="00EB2BD8">
              <w:rPr>
                <w:spacing w:val="14"/>
                <w:sz w:val="16"/>
              </w:rPr>
              <w:t xml:space="preserve"> </w:t>
            </w:r>
            <w:r w:rsidRPr="00EB2BD8">
              <w:rPr>
                <w:spacing w:val="-2"/>
                <w:sz w:val="16"/>
              </w:rPr>
              <w:t>stage</w:t>
            </w:r>
          </w:p>
        </w:tc>
        <w:tc>
          <w:tcPr>
            <w:tcW w:w="2289" w:type="dxa"/>
          </w:tcPr>
          <w:p w14:paraId="548869A9" w14:textId="77777777" w:rsidR="00084F36" w:rsidRPr="00EB2BD8" w:rsidRDefault="00EB2BD8">
            <w:pPr>
              <w:pStyle w:val="TableParagraph"/>
              <w:spacing w:before="19"/>
              <w:ind w:left="125"/>
              <w:rPr>
                <w:sz w:val="16"/>
              </w:rPr>
            </w:pPr>
            <w:r w:rsidRPr="00EB2BD8">
              <w:rPr>
                <w:spacing w:val="-4"/>
                <w:sz w:val="16"/>
              </w:rPr>
              <w:t>of</w:t>
            </w:r>
            <w:r w:rsidRPr="00EB2BD8">
              <w:rPr>
                <w:spacing w:val="-10"/>
                <w:sz w:val="16"/>
              </w:rPr>
              <w:t xml:space="preserve"> </w:t>
            </w:r>
            <w:r w:rsidRPr="00EB2BD8">
              <w:rPr>
                <w:spacing w:val="-2"/>
                <w:sz w:val="16"/>
              </w:rPr>
              <w:t>$3,000.</w:t>
            </w:r>
          </w:p>
        </w:tc>
        <w:tc>
          <w:tcPr>
            <w:tcW w:w="1078" w:type="dxa"/>
          </w:tcPr>
          <w:p w14:paraId="104A51A3" w14:textId="77777777" w:rsidR="00084F36" w:rsidRPr="00EB2BD8" w:rsidRDefault="00084F36">
            <w:pPr>
              <w:pStyle w:val="TableParagraph"/>
              <w:rPr>
                <w:rFonts w:ascii="Times New Roman"/>
                <w:sz w:val="16"/>
              </w:rPr>
            </w:pPr>
          </w:p>
        </w:tc>
        <w:tc>
          <w:tcPr>
            <w:tcW w:w="1175" w:type="dxa"/>
          </w:tcPr>
          <w:p w14:paraId="0E2A9A82" w14:textId="77777777" w:rsidR="00084F36" w:rsidRPr="00EB2BD8" w:rsidRDefault="00084F36">
            <w:pPr>
              <w:pStyle w:val="TableParagraph"/>
              <w:rPr>
                <w:rFonts w:ascii="Times New Roman"/>
                <w:sz w:val="16"/>
              </w:rPr>
            </w:pPr>
          </w:p>
        </w:tc>
      </w:tr>
      <w:tr w:rsidR="00EB2BD8" w:rsidRPr="00EB2BD8" w14:paraId="35F1B82C" w14:textId="77777777">
        <w:trPr>
          <w:trHeight w:val="229"/>
        </w:trPr>
        <w:tc>
          <w:tcPr>
            <w:tcW w:w="1719" w:type="dxa"/>
          </w:tcPr>
          <w:p w14:paraId="34F13527" w14:textId="77777777" w:rsidR="00084F36" w:rsidRPr="00EB2BD8" w:rsidRDefault="00EB2BD8">
            <w:pPr>
              <w:pStyle w:val="TableParagraph"/>
              <w:spacing w:before="19"/>
              <w:ind w:left="113"/>
              <w:rPr>
                <w:sz w:val="16"/>
              </w:rPr>
            </w:pPr>
            <w:r w:rsidRPr="00EB2BD8">
              <w:rPr>
                <w:spacing w:val="-5"/>
                <w:w w:val="105"/>
                <w:sz w:val="16"/>
              </w:rPr>
              <w:t>Ltd</w:t>
            </w:r>
          </w:p>
        </w:tc>
        <w:tc>
          <w:tcPr>
            <w:tcW w:w="1485" w:type="dxa"/>
          </w:tcPr>
          <w:p w14:paraId="2490DABB" w14:textId="77777777" w:rsidR="00084F36" w:rsidRPr="00EB2BD8" w:rsidRDefault="00084F36">
            <w:pPr>
              <w:pStyle w:val="TableParagraph"/>
              <w:rPr>
                <w:rFonts w:ascii="Times New Roman"/>
                <w:sz w:val="16"/>
              </w:rPr>
            </w:pPr>
          </w:p>
        </w:tc>
        <w:tc>
          <w:tcPr>
            <w:tcW w:w="2453" w:type="dxa"/>
          </w:tcPr>
          <w:p w14:paraId="64240F4C" w14:textId="77777777" w:rsidR="00084F36" w:rsidRPr="00EB2BD8" w:rsidRDefault="00EB2BD8">
            <w:pPr>
              <w:pStyle w:val="TableParagraph"/>
              <w:spacing w:before="19"/>
              <w:ind w:left="299"/>
              <w:rPr>
                <w:sz w:val="16"/>
              </w:rPr>
            </w:pPr>
            <w:r w:rsidRPr="00EB2BD8">
              <w:rPr>
                <w:spacing w:val="-2"/>
                <w:sz w:val="16"/>
              </w:rPr>
              <w:t>inspections</w:t>
            </w:r>
            <w:r w:rsidRPr="00EB2BD8">
              <w:rPr>
                <w:spacing w:val="-7"/>
                <w:sz w:val="16"/>
              </w:rPr>
              <w:t xml:space="preserve"> </w:t>
            </w:r>
            <w:r w:rsidRPr="00EB2BD8">
              <w:rPr>
                <w:spacing w:val="-2"/>
                <w:sz w:val="16"/>
              </w:rPr>
              <w:t>(2</w:t>
            </w:r>
            <w:r w:rsidRPr="00EB2BD8">
              <w:rPr>
                <w:spacing w:val="-6"/>
                <w:sz w:val="16"/>
              </w:rPr>
              <w:t xml:space="preserve"> </w:t>
            </w:r>
            <w:r w:rsidRPr="00EB2BD8">
              <w:rPr>
                <w:spacing w:val="-2"/>
                <w:sz w:val="16"/>
              </w:rPr>
              <w:t>stages)</w:t>
            </w:r>
            <w:r w:rsidRPr="00EB2BD8">
              <w:rPr>
                <w:spacing w:val="-7"/>
                <w:sz w:val="16"/>
              </w:rPr>
              <w:t xml:space="preserve"> </w:t>
            </w:r>
            <w:r w:rsidRPr="00EB2BD8">
              <w:rPr>
                <w:spacing w:val="-5"/>
                <w:sz w:val="16"/>
              </w:rPr>
              <w:t>in</w:t>
            </w:r>
          </w:p>
        </w:tc>
        <w:tc>
          <w:tcPr>
            <w:tcW w:w="2289" w:type="dxa"/>
          </w:tcPr>
          <w:p w14:paraId="566BCEDE" w14:textId="77777777" w:rsidR="00084F36" w:rsidRPr="00EB2BD8" w:rsidRDefault="00084F36">
            <w:pPr>
              <w:pStyle w:val="TableParagraph"/>
              <w:rPr>
                <w:rFonts w:ascii="Times New Roman"/>
                <w:sz w:val="16"/>
              </w:rPr>
            </w:pPr>
          </w:p>
        </w:tc>
        <w:tc>
          <w:tcPr>
            <w:tcW w:w="1078" w:type="dxa"/>
          </w:tcPr>
          <w:p w14:paraId="00EC08F2" w14:textId="77777777" w:rsidR="00084F36" w:rsidRPr="00EB2BD8" w:rsidRDefault="00084F36">
            <w:pPr>
              <w:pStyle w:val="TableParagraph"/>
              <w:rPr>
                <w:rFonts w:ascii="Times New Roman"/>
                <w:sz w:val="16"/>
              </w:rPr>
            </w:pPr>
          </w:p>
        </w:tc>
        <w:tc>
          <w:tcPr>
            <w:tcW w:w="1175" w:type="dxa"/>
          </w:tcPr>
          <w:p w14:paraId="7A1FEDC6" w14:textId="77777777" w:rsidR="00084F36" w:rsidRPr="00EB2BD8" w:rsidRDefault="00084F36">
            <w:pPr>
              <w:pStyle w:val="TableParagraph"/>
              <w:rPr>
                <w:rFonts w:ascii="Times New Roman"/>
                <w:sz w:val="16"/>
              </w:rPr>
            </w:pPr>
          </w:p>
        </w:tc>
      </w:tr>
      <w:tr w:rsidR="00EB2BD8" w:rsidRPr="00EB2BD8" w14:paraId="367E9349" w14:textId="77777777">
        <w:trPr>
          <w:trHeight w:val="229"/>
        </w:trPr>
        <w:tc>
          <w:tcPr>
            <w:tcW w:w="1719" w:type="dxa"/>
          </w:tcPr>
          <w:p w14:paraId="15333CF0" w14:textId="77777777" w:rsidR="00084F36" w:rsidRPr="00EB2BD8" w:rsidRDefault="00084F36">
            <w:pPr>
              <w:pStyle w:val="TableParagraph"/>
              <w:rPr>
                <w:rFonts w:ascii="Times New Roman"/>
                <w:sz w:val="16"/>
              </w:rPr>
            </w:pPr>
          </w:p>
        </w:tc>
        <w:tc>
          <w:tcPr>
            <w:tcW w:w="1485" w:type="dxa"/>
          </w:tcPr>
          <w:p w14:paraId="69B58B91" w14:textId="77777777" w:rsidR="00084F36" w:rsidRPr="00EB2BD8" w:rsidRDefault="00084F36">
            <w:pPr>
              <w:pStyle w:val="TableParagraph"/>
              <w:rPr>
                <w:rFonts w:ascii="Times New Roman"/>
                <w:sz w:val="16"/>
              </w:rPr>
            </w:pPr>
          </w:p>
        </w:tc>
        <w:tc>
          <w:tcPr>
            <w:tcW w:w="2453" w:type="dxa"/>
          </w:tcPr>
          <w:p w14:paraId="74B82558" w14:textId="77777777" w:rsidR="00084F36" w:rsidRPr="00EB2BD8" w:rsidRDefault="00EB2BD8">
            <w:pPr>
              <w:pStyle w:val="TableParagraph"/>
              <w:spacing w:before="19"/>
              <w:ind w:left="299"/>
              <w:rPr>
                <w:sz w:val="16"/>
              </w:rPr>
            </w:pPr>
            <w:r w:rsidRPr="00EB2BD8">
              <w:rPr>
                <w:sz w:val="16"/>
              </w:rPr>
              <w:t>respect</w:t>
            </w:r>
            <w:r w:rsidRPr="00EB2BD8">
              <w:rPr>
                <w:spacing w:val="-8"/>
                <w:sz w:val="16"/>
              </w:rPr>
              <w:t xml:space="preserve"> </w:t>
            </w:r>
            <w:r w:rsidRPr="00EB2BD8">
              <w:rPr>
                <w:sz w:val="16"/>
              </w:rPr>
              <w:t>of</w:t>
            </w:r>
            <w:r w:rsidRPr="00EB2BD8">
              <w:rPr>
                <w:spacing w:val="-7"/>
                <w:sz w:val="16"/>
              </w:rPr>
              <w:t xml:space="preserve"> </w:t>
            </w:r>
            <w:r w:rsidRPr="00EB2BD8">
              <w:rPr>
                <w:sz w:val="16"/>
              </w:rPr>
              <w:t>a</w:t>
            </w:r>
            <w:r w:rsidRPr="00EB2BD8">
              <w:rPr>
                <w:spacing w:val="-8"/>
                <w:sz w:val="16"/>
              </w:rPr>
              <w:t xml:space="preserve"> </w:t>
            </w:r>
            <w:r w:rsidRPr="00EB2BD8">
              <w:rPr>
                <w:sz w:val="16"/>
              </w:rPr>
              <w:t>site</w:t>
            </w:r>
            <w:r w:rsidRPr="00EB2BD8">
              <w:rPr>
                <w:spacing w:val="-7"/>
                <w:sz w:val="16"/>
              </w:rPr>
              <w:t xml:space="preserve"> </w:t>
            </w:r>
            <w:r w:rsidRPr="00EB2BD8">
              <w:rPr>
                <w:sz w:val="16"/>
              </w:rPr>
              <w:t>at</w:t>
            </w:r>
            <w:r w:rsidRPr="00EB2BD8">
              <w:rPr>
                <w:spacing w:val="-7"/>
                <w:sz w:val="16"/>
              </w:rPr>
              <w:t xml:space="preserve"> </w:t>
            </w:r>
            <w:r w:rsidRPr="00EB2BD8">
              <w:rPr>
                <w:spacing w:val="-2"/>
                <w:sz w:val="16"/>
              </w:rPr>
              <w:t>Noble</w:t>
            </w:r>
          </w:p>
        </w:tc>
        <w:tc>
          <w:tcPr>
            <w:tcW w:w="2289" w:type="dxa"/>
          </w:tcPr>
          <w:p w14:paraId="577DA1D8" w14:textId="77777777" w:rsidR="00084F36" w:rsidRPr="00EB2BD8" w:rsidRDefault="00084F36">
            <w:pPr>
              <w:pStyle w:val="TableParagraph"/>
              <w:rPr>
                <w:rFonts w:ascii="Times New Roman"/>
                <w:sz w:val="16"/>
              </w:rPr>
            </w:pPr>
          </w:p>
        </w:tc>
        <w:tc>
          <w:tcPr>
            <w:tcW w:w="1078" w:type="dxa"/>
          </w:tcPr>
          <w:p w14:paraId="09B6C57F" w14:textId="77777777" w:rsidR="00084F36" w:rsidRPr="00EB2BD8" w:rsidRDefault="00084F36">
            <w:pPr>
              <w:pStyle w:val="TableParagraph"/>
              <w:rPr>
                <w:rFonts w:ascii="Times New Roman"/>
                <w:sz w:val="16"/>
              </w:rPr>
            </w:pPr>
          </w:p>
        </w:tc>
        <w:tc>
          <w:tcPr>
            <w:tcW w:w="1175" w:type="dxa"/>
          </w:tcPr>
          <w:p w14:paraId="43C34D70" w14:textId="77777777" w:rsidR="00084F36" w:rsidRPr="00EB2BD8" w:rsidRDefault="00084F36">
            <w:pPr>
              <w:pStyle w:val="TableParagraph"/>
              <w:rPr>
                <w:rFonts w:ascii="Times New Roman"/>
                <w:sz w:val="16"/>
              </w:rPr>
            </w:pPr>
          </w:p>
        </w:tc>
      </w:tr>
      <w:tr w:rsidR="00EB2BD8" w:rsidRPr="00EB2BD8" w14:paraId="06154AF1" w14:textId="77777777">
        <w:trPr>
          <w:trHeight w:val="285"/>
        </w:trPr>
        <w:tc>
          <w:tcPr>
            <w:tcW w:w="1719" w:type="dxa"/>
            <w:tcBorders>
              <w:bottom w:val="single" w:sz="2" w:space="0" w:color="000000"/>
            </w:tcBorders>
          </w:tcPr>
          <w:p w14:paraId="30E529F1" w14:textId="77777777" w:rsidR="00084F36" w:rsidRPr="00EB2BD8" w:rsidRDefault="00084F36">
            <w:pPr>
              <w:pStyle w:val="TableParagraph"/>
              <w:rPr>
                <w:rFonts w:ascii="Times New Roman"/>
                <w:sz w:val="16"/>
              </w:rPr>
            </w:pPr>
          </w:p>
        </w:tc>
        <w:tc>
          <w:tcPr>
            <w:tcW w:w="1485" w:type="dxa"/>
            <w:tcBorders>
              <w:bottom w:val="single" w:sz="2" w:space="0" w:color="000000"/>
            </w:tcBorders>
          </w:tcPr>
          <w:p w14:paraId="6286D4E5" w14:textId="77777777" w:rsidR="00084F36" w:rsidRPr="00EB2BD8" w:rsidRDefault="00084F36">
            <w:pPr>
              <w:pStyle w:val="TableParagraph"/>
              <w:rPr>
                <w:rFonts w:ascii="Times New Roman"/>
                <w:sz w:val="16"/>
              </w:rPr>
            </w:pPr>
          </w:p>
        </w:tc>
        <w:tc>
          <w:tcPr>
            <w:tcW w:w="2453" w:type="dxa"/>
            <w:tcBorders>
              <w:bottom w:val="single" w:sz="2" w:space="0" w:color="000000"/>
            </w:tcBorders>
          </w:tcPr>
          <w:p w14:paraId="69A246EE" w14:textId="77777777" w:rsidR="00084F36" w:rsidRPr="00EB2BD8" w:rsidRDefault="00EB2BD8">
            <w:pPr>
              <w:pStyle w:val="TableParagraph"/>
              <w:spacing w:before="19"/>
              <w:ind w:left="299"/>
              <w:rPr>
                <w:sz w:val="16"/>
              </w:rPr>
            </w:pPr>
            <w:r w:rsidRPr="00EB2BD8">
              <w:rPr>
                <w:spacing w:val="-2"/>
                <w:sz w:val="16"/>
              </w:rPr>
              <w:t>Park.</w:t>
            </w:r>
          </w:p>
        </w:tc>
        <w:tc>
          <w:tcPr>
            <w:tcW w:w="2289" w:type="dxa"/>
            <w:tcBorders>
              <w:bottom w:val="single" w:sz="2" w:space="0" w:color="000000"/>
            </w:tcBorders>
          </w:tcPr>
          <w:p w14:paraId="11880E54"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2B9A5547"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5AC65770" w14:textId="77777777" w:rsidR="00084F36" w:rsidRPr="00EB2BD8" w:rsidRDefault="00084F36">
            <w:pPr>
              <w:pStyle w:val="TableParagraph"/>
              <w:rPr>
                <w:rFonts w:ascii="Times New Roman"/>
                <w:sz w:val="16"/>
              </w:rPr>
            </w:pPr>
          </w:p>
        </w:tc>
      </w:tr>
      <w:tr w:rsidR="00EB2BD8" w:rsidRPr="00EB2BD8" w14:paraId="496D1BEB" w14:textId="77777777">
        <w:trPr>
          <w:trHeight w:val="326"/>
        </w:trPr>
        <w:tc>
          <w:tcPr>
            <w:tcW w:w="1719" w:type="dxa"/>
            <w:tcBorders>
              <w:top w:val="single" w:sz="2" w:space="0" w:color="000000"/>
            </w:tcBorders>
          </w:tcPr>
          <w:p w14:paraId="79E8BE90" w14:textId="77777777" w:rsidR="00084F36" w:rsidRPr="00EB2BD8" w:rsidRDefault="00EB2BD8">
            <w:pPr>
              <w:pStyle w:val="TableParagraph"/>
              <w:spacing w:before="115"/>
              <w:ind w:left="113"/>
              <w:rPr>
                <w:sz w:val="16"/>
              </w:rPr>
            </w:pPr>
            <w:r w:rsidRPr="00EB2BD8">
              <w:rPr>
                <w:sz w:val="16"/>
              </w:rPr>
              <w:t>Wam</w:t>
            </w:r>
            <w:r w:rsidRPr="00EB2BD8">
              <w:rPr>
                <w:spacing w:val="-2"/>
                <w:sz w:val="16"/>
              </w:rPr>
              <w:t xml:space="preserve"> </w:t>
            </w:r>
            <w:r w:rsidRPr="00EB2BD8">
              <w:rPr>
                <w:sz w:val="16"/>
              </w:rPr>
              <w:t>Homes</w:t>
            </w:r>
            <w:r w:rsidRPr="00EB2BD8">
              <w:rPr>
                <w:spacing w:val="-1"/>
                <w:sz w:val="16"/>
              </w:rPr>
              <w:t xml:space="preserve"> </w:t>
            </w:r>
            <w:r w:rsidRPr="00EB2BD8">
              <w:rPr>
                <w:spacing w:val="-5"/>
                <w:sz w:val="16"/>
              </w:rPr>
              <w:t>Pty</w:t>
            </w:r>
          </w:p>
        </w:tc>
        <w:tc>
          <w:tcPr>
            <w:tcW w:w="1485" w:type="dxa"/>
            <w:tcBorders>
              <w:top w:val="single" w:sz="2" w:space="0" w:color="000000"/>
            </w:tcBorders>
          </w:tcPr>
          <w:p w14:paraId="70E3914C" w14:textId="77777777" w:rsidR="00084F36" w:rsidRPr="00EB2BD8" w:rsidRDefault="00EB2BD8">
            <w:pPr>
              <w:pStyle w:val="TableParagraph"/>
              <w:spacing w:before="115"/>
              <w:ind w:left="151"/>
              <w:rPr>
                <w:sz w:val="16"/>
              </w:rPr>
            </w:pPr>
            <w:r w:rsidRPr="00EB2BD8">
              <w:rPr>
                <w:spacing w:val="2"/>
                <w:sz w:val="16"/>
              </w:rPr>
              <w:t>CDB-U</w:t>
            </w:r>
            <w:r w:rsidRPr="00EB2BD8">
              <w:rPr>
                <w:spacing w:val="17"/>
                <w:sz w:val="16"/>
              </w:rPr>
              <w:t xml:space="preserve"> </w:t>
            </w:r>
            <w:r w:rsidRPr="00EB2BD8">
              <w:rPr>
                <w:spacing w:val="-2"/>
                <w:sz w:val="16"/>
              </w:rPr>
              <w:t>54593</w:t>
            </w:r>
          </w:p>
        </w:tc>
        <w:tc>
          <w:tcPr>
            <w:tcW w:w="2453" w:type="dxa"/>
            <w:tcBorders>
              <w:top w:val="single" w:sz="2" w:space="0" w:color="000000"/>
            </w:tcBorders>
          </w:tcPr>
          <w:p w14:paraId="6549FB88" w14:textId="77777777" w:rsidR="00084F36" w:rsidRPr="00EB2BD8" w:rsidRDefault="00EB2BD8">
            <w:pPr>
              <w:pStyle w:val="TableParagraph"/>
              <w:spacing w:before="115"/>
              <w:ind w:left="299"/>
              <w:rPr>
                <w:sz w:val="16"/>
              </w:rPr>
            </w:pPr>
            <w:r w:rsidRPr="00EB2BD8">
              <w:rPr>
                <w:sz w:val="16"/>
              </w:rPr>
              <w:t xml:space="preserve">Being given a breach </w:t>
            </w:r>
            <w:r w:rsidRPr="00EB2BD8">
              <w:rPr>
                <w:spacing w:val="-5"/>
                <w:sz w:val="16"/>
              </w:rPr>
              <w:t>of</w:t>
            </w:r>
          </w:p>
        </w:tc>
        <w:tc>
          <w:tcPr>
            <w:tcW w:w="2289" w:type="dxa"/>
            <w:tcBorders>
              <w:top w:val="single" w:sz="2" w:space="0" w:color="000000"/>
            </w:tcBorders>
          </w:tcPr>
          <w:p w14:paraId="62437209" w14:textId="77777777" w:rsidR="00084F36" w:rsidRPr="00EB2BD8" w:rsidRDefault="00EB2BD8">
            <w:pPr>
              <w:pStyle w:val="TableParagraph"/>
              <w:spacing w:before="115"/>
              <w:ind w:left="125"/>
              <w:rPr>
                <w:sz w:val="16"/>
              </w:rPr>
            </w:pPr>
            <w:r w:rsidRPr="00EB2BD8">
              <w:rPr>
                <w:spacing w:val="-2"/>
                <w:sz w:val="16"/>
              </w:rPr>
              <w:t>Reprimand,</w:t>
            </w:r>
            <w:r w:rsidRPr="00EB2BD8">
              <w:rPr>
                <w:spacing w:val="2"/>
                <w:sz w:val="16"/>
              </w:rPr>
              <w:t xml:space="preserve"> </w:t>
            </w:r>
            <w:r w:rsidRPr="00EB2BD8">
              <w:rPr>
                <w:spacing w:val="-2"/>
                <w:sz w:val="16"/>
              </w:rPr>
              <w:t>penalty</w:t>
            </w:r>
          </w:p>
        </w:tc>
        <w:tc>
          <w:tcPr>
            <w:tcW w:w="1078" w:type="dxa"/>
            <w:tcBorders>
              <w:top w:val="single" w:sz="2" w:space="0" w:color="000000"/>
            </w:tcBorders>
          </w:tcPr>
          <w:p w14:paraId="507AB71C" w14:textId="77777777" w:rsidR="00084F36" w:rsidRPr="00EB2BD8" w:rsidRDefault="00EB2BD8">
            <w:pPr>
              <w:pStyle w:val="TableParagraph"/>
              <w:spacing w:before="115"/>
              <w:ind w:right="110"/>
              <w:jc w:val="right"/>
              <w:rPr>
                <w:sz w:val="16"/>
              </w:rPr>
            </w:pPr>
            <w:r w:rsidRPr="00EB2BD8">
              <w:rPr>
                <w:spacing w:val="-2"/>
                <w:sz w:val="16"/>
              </w:rPr>
              <w:t>$4,000</w:t>
            </w:r>
          </w:p>
        </w:tc>
        <w:tc>
          <w:tcPr>
            <w:tcW w:w="1175" w:type="dxa"/>
            <w:tcBorders>
              <w:top w:val="single" w:sz="2" w:space="0" w:color="000000"/>
            </w:tcBorders>
          </w:tcPr>
          <w:p w14:paraId="0ECF7FF9" w14:textId="77777777" w:rsidR="00084F36" w:rsidRPr="00EB2BD8" w:rsidRDefault="00EB2BD8">
            <w:pPr>
              <w:pStyle w:val="TableParagraph"/>
              <w:spacing w:before="115"/>
              <w:ind w:left="114"/>
              <w:rPr>
                <w:sz w:val="16"/>
              </w:rPr>
            </w:pPr>
            <w:r w:rsidRPr="00EB2BD8">
              <w:rPr>
                <w:spacing w:val="-2"/>
                <w:w w:val="95"/>
                <w:sz w:val="16"/>
              </w:rPr>
              <w:t>28/06/2023</w:t>
            </w:r>
          </w:p>
        </w:tc>
      </w:tr>
      <w:tr w:rsidR="00EB2BD8" w:rsidRPr="00EB2BD8" w14:paraId="323F1D18" w14:textId="77777777">
        <w:trPr>
          <w:trHeight w:val="229"/>
        </w:trPr>
        <w:tc>
          <w:tcPr>
            <w:tcW w:w="1719" w:type="dxa"/>
          </w:tcPr>
          <w:p w14:paraId="79D4E381" w14:textId="77777777" w:rsidR="00084F36" w:rsidRPr="00EB2BD8" w:rsidRDefault="00EB2BD8">
            <w:pPr>
              <w:pStyle w:val="TableParagraph"/>
              <w:spacing w:before="19"/>
              <w:ind w:left="113"/>
              <w:rPr>
                <w:sz w:val="16"/>
              </w:rPr>
            </w:pPr>
            <w:r w:rsidRPr="00EB2BD8">
              <w:rPr>
                <w:spacing w:val="-5"/>
                <w:w w:val="105"/>
                <w:sz w:val="16"/>
              </w:rPr>
              <w:t>Ltd</w:t>
            </w:r>
          </w:p>
        </w:tc>
        <w:tc>
          <w:tcPr>
            <w:tcW w:w="1485" w:type="dxa"/>
          </w:tcPr>
          <w:p w14:paraId="7728C398" w14:textId="77777777" w:rsidR="00084F36" w:rsidRPr="00EB2BD8" w:rsidRDefault="00084F36">
            <w:pPr>
              <w:pStyle w:val="TableParagraph"/>
              <w:rPr>
                <w:rFonts w:ascii="Times New Roman"/>
                <w:sz w:val="16"/>
              </w:rPr>
            </w:pPr>
          </w:p>
        </w:tc>
        <w:tc>
          <w:tcPr>
            <w:tcW w:w="2453" w:type="dxa"/>
          </w:tcPr>
          <w:p w14:paraId="71E4A89C" w14:textId="77777777" w:rsidR="00084F36" w:rsidRPr="00EB2BD8" w:rsidRDefault="00EB2BD8">
            <w:pPr>
              <w:pStyle w:val="TableParagraph"/>
              <w:spacing w:before="19"/>
              <w:ind w:left="299"/>
              <w:rPr>
                <w:sz w:val="16"/>
              </w:rPr>
            </w:pPr>
            <w:r w:rsidRPr="00EB2BD8">
              <w:rPr>
                <w:spacing w:val="-2"/>
                <w:sz w:val="16"/>
              </w:rPr>
              <w:t>dispute</w:t>
            </w:r>
            <w:r w:rsidRPr="00EB2BD8">
              <w:rPr>
                <w:spacing w:val="-8"/>
                <w:sz w:val="16"/>
              </w:rPr>
              <w:t xml:space="preserve"> </w:t>
            </w:r>
            <w:r w:rsidRPr="00EB2BD8">
              <w:rPr>
                <w:spacing w:val="-2"/>
                <w:sz w:val="16"/>
              </w:rPr>
              <w:t>resolution</w:t>
            </w:r>
            <w:r w:rsidRPr="00EB2BD8">
              <w:rPr>
                <w:spacing w:val="-8"/>
                <w:sz w:val="16"/>
              </w:rPr>
              <w:t xml:space="preserve"> </w:t>
            </w:r>
            <w:r w:rsidRPr="00EB2BD8">
              <w:rPr>
                <w:spacing w:val="-4"/>
                <w:sz w:val="16"/>
              </w:rPr>
              <w:t>order</w:t>
            </w:r>
          </w:p>
        </w:tc>
        <w:tc>
          <w:tcPr>
            <w:tcW w:w="2289" w:type="dxa"/>
          </w:tcPr>
          <w:p w14:paraId="6C255564" w14:textId="77777777" w:rsidR="00084F36" w:rsidRPr="00EB2BD8" w:rsidRDefault="00EB2BD8">
            <w:pPr>
              <w:pStyle w:val="TableParagraph"/>
              <w:spacing w:before="19"/>
              <w:ind w:left="125"/>
              <w:rPr>
                <w:sz w:val="16"/>
              </w:rPr>
            </w:pPr>
            <w:r w:rsidRPr="00EB2BD8">
              <w:rPr>
                <w:spacing w:val="-2"/>
                <w:sz w:val="16"/>
              </w:rPr>
              <w:t>of</w:t>
            </w:r>
            <w:r w:rsidRPr="00EB2BD8">
              <w:rPr>
                <w:spacing w:val="-11"/>
                <w:sz w:val="16"/>
              </w:rPr>
              <w:t xml:space="preserve"> </w:t>
            </w:r>
            <w:r w:rsidRPr="00EB2BD8">
              <w:rPr>
                <w:spacing w:val="-2"/>
                <w:sz w:val="16"/>
              </w:rPr>
              <w:t>$4,000</w:t>
            </w:r>
            <w:r w:rsidRPr="00EB2BD8">
              <w:rPr>
                <w:spacing w:val="-10"/>
                <w:sz w:val="16"/>
              </w:rPr>
              <w:t xml:space="preserve"> </w:t>
            </w:r>
            <w:r w:rsidRPr="00EB2BD8">
              <w:rPr>
                <w:spacing w:val="-2"/>
                <w:sz w:val="16"/>
              </w:rPr>
              <w:t>and</w:t>
            </w:r>
            <w:r w:rsidRPr="00EB2BD8">
              <w:rPr>
                <w:spacing w:val="-10"/>
                <w:sz w:val="16"/>
              </w:rPr>
              <w:t xml:space="preserve"> </w:t>
            </w:r>
            <w:r w:rsidRPr="00EB2BD8">
              <w:rPr>
                <w:spacing w:val="-2"/>
                <w:sz w:val="16"/>
              </w:rPr>
              <w:t>partial</w:t>
            </w:r>
          </w:p>
        </w:tc>
        <w:tc>
          <w:tcPr>
            <w:tcW w:w="1078" w:type="dxa"/>
          </w:tcPr>
          <w:p w14:paraId="6F49CCBE" w14:textId="77777777" w:rsidR="00084F36" w:rsidRPr="00EB2BD8" w:rsidRDefault="00084F36">
            <w:pPr>
              <w:pStyle w:val="TableParagraph"/>
              <w:rPr>
                <w:rFonts w:ascii="Times New Roman"/>
                <w:sz w:val="16"/>
              </w:rPr>
            </w:pPr>
          </w:p>
        </w:tc>
        <w:tc>
          <w:tcPr>
            <w:tcW w:w="1175" w:type="dxa"/>
          </w:tcPr>
          <w:p w14:paraId="7D40991E" w14:textId="77777777" w:rsidR="00084F36" w:rsidRPr="00EB2BD8" w:rsidRDefault="00084F36">
            <w:pPr>
              <w:pStyle w:val="TableParagraph"/>
              <w:rPr>
                <w:rFonts w:ascii="Times New Roman"/>
                <w:sz w:val="16"/>
              </w:rPr>
            </w:pPr>
          </w:p>
        </w:tc>
      </w:tr>
      <w:tr w:rsidR="00EB2BD8" w:rsidRPr="00EB2BD8" w14:paraId="51BEA89D" w14:textId="77777777">
        <w:trPr>
          <w:trHeight w:val="229"/>
        </w:trPr>
        <w:tc>
          <w:tcPr>
            <w:tcW w:w="1719" w:type="dxa"/>
          </w:tcPr>
          <w:p w14:paraId="3A4BEBAC" w14:textId="77777777" w:rsidR="00084F36" w:rsidRPr="00EB2BD8" w:rsidRDefault="00084F36">
            <w:pPr>
              <w:pStyle w:val="TableParagraph"/>
              <w:rPr>
                <w:rFonts w:ascii="Times New Roman"/>
                <w:sz w:val="16"/>
              </w:rPr>
            </w:pPr>
          </w:p>
        </w:tc>
        <w:tc>
          <w:tcPr>
            <w:tcW w:w="1485" w:type="dxa"/>
          </w:tcPr>
          <w:p w14:paraId="0D9D0A0B" w14:textId="77777777" w:rsidR="00084F36" w:rsidRPr="00EB2BD8" w:rsidRDefault="00084F36">
            <w:pPr>
              <w:pStyle w:val="TableParagraph"/>
              <w:rPr>
                <w:rFonts w:ascii="Times New Roman"/>
                <w:sz w:val="16"/>
              </w:rPr>
            </w:pPr>
          </w:p>
        </w:tc>
        <w:tc>
          <w:tcPr>
            <w:tcW w:w="2453" w:type="dxa"/>
          </w:tcPr>
          <w:p w14:paraId="5C96F254" w14:textId="77777777" w:rsidR="00084F36" w:rsidRPr="00EB2BD8" w:rsidRDefault="00EB2BD8">
            <w:pPr>
              <w:pStyle w:val="TableParagraph"/>
              <w:spacing w:before="19"/>
              <w:ind w:left="299"/>
              <w:rPr>
                <w:sz w:val="16"/>
              </w:rPr>
            </w:pPr>
            <w:r w:rsidRPr="00EB2BD8">
              <w:rPr>
                <w:spacing w:val="-2"/>
                <w:sz w:val="16"/>
              </w:rPr>
              <w:t>notice.</w:t>
            </w:r>
          </w:p>
        </w:tc>
        <w:tc>
          <w:tcPr>
            <w:tcW w:w="2289" w:type="dxa"/>
          </w:tcPr>
          <w:p w14:paraId="25DB7269" w14:textId="77777777" w:rsidR="00084F36" w:rsidRPr="00EB2BD8" w:rsidRDefault="00EB2BD8">
            <w:pPr>
              <w:pStyle w:val="TableParagraph"/>
              <w:spacing w:before="19"/>
              <w:ind w:left="125"/>
              <w:rPr>
                <w:sz w:val="16"/>
              </w:rPr>
            </w:pPr>
            <w:r w:rsidRPr="00EB2BD8">
              <w:rPr>
                <w:spacing w:val="-2"/>
                <w:sz w:val="16"/>
              </w:rPr>
              <w:t>suspension</w:t>
            </w:r>
            <w:r w:rsidRPr="00EB2BD8">
              <w:rPr>
                <w:spacing w:val="-5"/>
                <w:sz w:val="16"/>
              </w:rPr>
              <w:t xml:space="preserve"> </w:t>
            </w:r>
            <w:r w:rsidRPr="00EB2BD8">
              <w:rPr>
                <w:spacing w:val="-2"/>
                <w:sz w:val="16"/>
              </w:rPr>
              <w:t>until</w:t>
            </w:r>
          </w:p>
        </w:tc>
        <w:tc>
          <w:tcPr>
            <w:tcW w:w="1078" w:type="dxa"/>
          </w:tcPr>
          <w:p w14:paraId="6EC0DD37" w14:textId="77777777" w:rsidR="00084F36" w:rsidRPr="00EB2BD8" w:rsidRDefault="00084F36">
            <w:pPr>
              <w:pStyle w:val="TableParagraph"/>
              <w:rPr>
                <w:rFonts w:ascii="Times New Roman"/>
                <w:sz w:val="16"/>
              </w:rPr>
            </w:pPr>
          </w:p>
        </w:tc>
        <w:tc>
          <w:tcPr>
            <w:tcW w:w="1175" w:type="dxa"/>
          </w:tcPr>
          <w:p w14:paraId="77F37439" w14:textId="77777777" w:rsidR="00084F36" w:rsidRPr="00EB2BD8" w:rsidRDefault="00084F36">
            <w:pPr>
              <w:pStyle w:val="TableParagraph"/>
              <w:rPr>
                <w:rFonts w:ascii="Times New Roman"/>
                <w:sz w:val="16"/>
              </w:rPr>
            </w:pPr>
          </w:p>
        </w:tc>
      </w:tr>
      <w:tr w:rsidR="00EB2BD8" w:rsidRPr="00EB2BD8" w14:paraId="05FE7023" w14:textId="77777777">
        <w:trPr>
          <w:trHeight w:val="285"/>
        </w:trPr>
        <w:tc>
          <w:tcPr>
            <w:tcW w:w="1719" w:type="dxa"/>
            <w:tcBorders>
              <w:bottom w:val="single" w:sz="2" w:space="0" w:color="000000"/>
            </w:tcBorders>
          </w:tcPr>
          <w:p w14:paraId="1A577D42" w14:textId="77777777" w:rsidR="00084F36" w:rsidRPr="00EB2BD8" w:rsidRDefault="00084F36">
            <w:pPr>
              <w:pStyle w:val="TableParagraph"/>
              <w:rPr>
                <w:rFonts w:ascii="Times New Roman"/>
                <w:sz w:val="16"/>
              </w:rPr>
            </w:pPr>
          </w:p>
        </w:tc>
        <w:tc>
          <w:tcPr>
            <w:tcW w:w="1485" w:type="dxa"/>
            <w:tcBorders>
              <w:bottom w:val="single" w:sz="2" w:space="0" w:color="000000"/>
            </w:tcBorders>
          </w:tcPr>
          <w:p w14:paraId="296D07DF" w14:textId="77777777" w:rsidR="00084F36" w:rsidRPr="00EB2BD8" w:rsidRDefault="00084F36">
            <w:pPr>
              <w:pStyle w:val="TableParagraph"/>
              <w:rPr>
                <w:rFonts w:ascii="Times New Roman"/>
                <w:sz w:val="16"/>
              </w:rPr>
            </w:pPr>
          </w:p>
        </w:tc>
        <w:tc>
          <w:tcPr>
            <w:tcW w:w="2453" w:type="dxa"/>
            <w:tcBorders>
              <w:bottom w:val="single" w:sz="2" w:space="0" w:color="000000"/>
            </w:tcBorders>
          </w:tcPr>
          <w:p w14:paraId="56D3C702" w14:textId="77777777" w:rsidR="00084F36" w:rsidRPr="00EB2BD8" w:rsidRDefault="00084F36">
            <w:pPr>
              <w:pStyle w:val="TableParagraph"/>
              <w:rPr>
                <w:rFonts w:ascii="Times New Roman"/>
                <w:sz w:val="16"/>
              </w:rPr>
            </w:pPr>
          </w:p>
        </w:tc>
        <w:tc>
          <w:tcPr>
            <w:tcW w:w="2289" w:type="dxa"/>
            <w:tcBorders>
              <w:bottom w:val="single" w:sz="2" w:space="0" w:color="000000"/>
            </w:tcBorders>
          </w:tcPr>
          <w:p w14:paraId="15867F21" w14:textId="77777777" w:rsidR="00084F36" w:rsidRPr="00EB2BD8" w:rsidRDefault="00EB2BD8">
            <w:pPr>
              <w:pStyle w:val="TableParagraph"/>
              <w:spacing w:before="19"/>
              <w:ind w:left="125"/>
              <w:rPr>
                <w:sz w:val="16"/>
              </w:rPr>
            </w:pPr>
            <w:r w:rsidRPr="00EB2BD8">
              <w:rPr>
                <w:sz w:val="16"/>
              </w:rPr>
              <w:t>compliance</w:t>
            </w:r>
            <w:r w:rsidRPr="00EB2BD8">
              <w:rPr>
                <w:spacing w:val="5"/>
                <w:sz w:val="16"/>
              </w:rPr>
              <w:t xml:space="preserve"> </w:t>
            </w:r>
            <w:r w:rsidRPr="00EB2BD8">
              <w:rPr>
                <w:spacing w:val="-2"/>
                <w:sz w:val="16"/>
              </w:rPr>
              <w:t>achieved.</w:t>
            </w:r>
          </w:p>
        </w:tc>
        <w:tc>
          <w:tcPr>
            <w:tcW w:w="1078" w:type="dxa"/>
            <w:tcBorders>
              <w:bottom w:val="single" w:sz="2" w:space="0" w:color="000000"/>
            </w:tcBorders>
          </w:tcPr>
          <w:p w14:paraId="63C7E1F0"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0633A2EF" w14:textId="77777777" w:rsidR="00084F36" w:rsidRPr="00EB2BD8" w:rsidRDefault="00084F36">
            <w:pPr>
              <w:pStyle w:val="TableParagraph"/>
              <w:rPr>
                <w:rFonts w:ascii="Times New Roman"/>
                <w:sz w:val="16"/>
              </w:rPr>
            </w:pPr>
          </w:p>
        </w:tc>
      </w:tr>
      <w:tr w:rsidR="00EB2BD8" w:rsidRPr="00EB2BD8" w14:paraId="1AFA706C" w14:textId="77777777">
        <w:trPr>
          <w:trHeight w:val="325"/>
        </w:trPr>
        <w:tc>
          <w:tcPr>
            <w:tcW w:w="1719" w:type="dxa"/>
            <w:tcBorders>
              <w:top w:val="single" w:sz="2" w:space="0" w:color="000000"/>
            </w:tcBorders>
          </w:tcPr>
          <w:p w14:paraId="0D20A2DE" w14:textId="77777777" w:rsidR="00084F36" w:rsidRPr="00EB2BD8" w:rsidRDefault="00EB2BD8">
            <w:pPr>
              <w:pStyle w:val="TableParagraph"/>
              <w:spacing w:before="115"/>
              <w:ind w:left="113"/>
              <w:rPr>
                <w:sz w:val="16"/>
              </w:rPr>
            </w:pPr>
            <w:r w:rsidRPr="00EB2BD8">
              <w:rPr>
                <w:sz w:val="16"/>
              </w:rPr>
              <w:t>Watkins</w:t>
            </w:r>
            <w:r w:rsidRPr="00EB2BD8">
              <w:rPr>
                <w:spacing w:val="-6"/>
                <w:sz w:val="16"/>
              </w:rPr>
              <w:t xml:space="preserve"> </w:t>
            </w:r>
            <w:r w:rsidRPr="00EB2BD8">
              <w:rPr>
                <w:spacing w:val="-2"/>
                <w:sz w:val="16"/>
              </w:rPr>
              <w:t>Building</w:t>
            </w:r>
          </w:p>
        </w:tc>
        <w:tc>
          <w:tcPr>
            <w:tcW w:w="1485" w:type="dxa"/>
            <w:tcBorders>
              <w:top w:val="single" w:sz="2" w:space="0" w:color="000000"/>
            </w:tcBorders>
          </w:tcPr>
          <w:p w14:paraId="3814E24F" w14:textId="77777777" w:rsidR="00084F36" w:rsidRPr="00EB2BD8" w:rsidRDefault="00EB2BD8">
            <w:pPr>
              <w:pStyle w:val="TableParagraph"/>
              <w:spacing w:before="115"/>
              <w:ind w:left="151"/>
              <w:rPr>
                <w:sz w:val="16"/>
              </w:rPr>
            </w:pPr>
            <w:r w:rsidRPr="00EB2BD8">
              <w:rPr>
                <w:spacing w:val="2"/>
                <w:sz w:val="16"/>
              </w:rPr>
              <w:t>CDB-U</w:t>
            </w:r>
            <w:r w:rsidRPr="00EB2BD8">
              <w:rPr>
                <w:spacing w:val="17"/>
                <w:sz w:val="16"/>
              </w:rPr>
              <w:t xml:space="preserve"> </w:t>
            </w:r>
            <w:r w:rsidRPr="00EB2BD8">
              <w:rPr>
                <w:spacing w:val="-2"/>
                <w:sz w:val="16"/>
              </w:rPr>
              <w:t>61757</w:t>
            </w:r>
          </w:p>
        </w:tc>
        <w:tc>
          <w:tcPr>
            <w:tcW w:w="2453" w:type="dxa"/>
            <w:tcBorders>
              <w:top w:val="single" w:sz="2" w:space="0" w:color="000000"/>
            </w:tcBorders>
          </w:tcPr>
          <w:p w14:paraId="143ACB5E" w14:textId="77777777" w:rsidR="00084F36" w:rsidRPr="00EB2BD8" w:rsidRDefault="00EB2BD8">
            <w:pPr>
              <w:pStyle w:val="TableParagraph"/>
              <w:spacing w:before="115"/>
              <w:ind w:left="299"/>
              <w:rPr>
                <w:sz w:val="16"/>
              </w:rPr>
            </w:pPr>
            <w:r w:rsidRPr="00EB2BD8">
              <w:rPr>
                <w:sz w:val="16"/>
              </w:rPr>
              <w:t>Being</w:t>
            </w:r>
            <w:r w:rsidRPr="00EB2BD8">
              <w:rPr>
                <w:spacing w:val="-11"/>
                <w:sz w:val="16"/>
              </w:rPr>
              <w:t xml:space="preserve"> </w:t>
            </w:r>
            <w:r w:rsidRPr="00EB2BD8">
              <w:rPr>
                <w:sz w:val="16"/>
              </w:rPr>
              <w:t>in</w:t>
            </w:r>
            <w:r w:rsidRPr="00EB2BD8">
              <w:rPr>
                <w:spacing w:val="-11"/>
                <w:sz w:val="16"/>
              </w:rPr>
              <w:t xml:space="preserve"> </w:t>
            </w:r>
            <w:r w:rsidRPr="00EB2BD8">
              <w:rPr>
                <w:sz w:val="16"/>
              </w:rPr>
              <w:t>receipt</w:t>
            </w:r>
            <w:r w:rsidRPr="00EB2BD8">
              <w:rPr>
                <w:spacing w:val="-10"/>
                <w:sz w:val="16"/>
              </w:rPr>
              <w:t xml:space="preserve"> </w:t>
            </w:r>
            <w:r w:rsidRPr="00EB2BD8">
              <w:rPr>
                <w:sz w:val="16"/>
              </w:rPr>
              <w:t>of</w:t>
            </w:r>
            <w:r w:rsidRPr="00EB2BD8">
              <w:rPr>
                <w:spacing w:val="-11"/>
                <w:sz w:val="16"/>
              </w:rPr>
              <w:t xml:space="preserve"> </w:t>
            </w:r>
            <w:r w:rsidRPr="00EB2BD8">
              <w:rPr>
                <w:spacing w:val="-2"/>
                <w:sz w:val="16"/>
              </w:rPr>
              <w:t>breach</w:t>
            </w:r>
          </w:p>
        </w:tc>
        <w:tc>
          <w:tcPr>
            <w:tcW w:w="2289" w:type="dxa"/>
            <w:tcBorders>
              <w:top w:val="single" w:sz="2" w:space="0" w:color="000000"/>
            </w:tcBorders>
          </w:tcPr>
          <w:p w14:paraId="2E988062" w14:textId="77777777" w:rsidR="00084F36" w:rsidRPr="00EB2BD8" w:rsidRDefault="00EB2BD8">
            <w:pPr>
              <w:pStyle w:val="TableParagraph"/>
              <w:spacing w:before="115"/>
              <w:ind w:left="125"/>
              <w:rPr>
                <w:sz w:val="16"/>
              </w:rPr>
            </w:pPr>
            <w:r w:rsidRPr="00EB2BD8">
              <w:rPr>
                <w:sz w:val="16"/>
              </w:rPr>
              <w:t>Reprimand</w:t>
            </w:r>
            <w:r w:rsidRPr="00EB2BD8">
              <w:rPr>
                <w:spacing w:val="4"/>
                <w:sz w:val="16"/>
              </w:rPr>
              <w:t xml:space="preserve"> </w:t>
            </w:r>
            <w:r w:rsidRPr="00EB2BD8">
              <w:rPr>
                <w:sz w:val="16"/>
              </w:rPr>
              <w:t>and</w:t>
            </w:r>
            <w:r w:rsidRPr="00EB2BD8">
              <w:rPr>
                <w:spacing w:val="4"/>
                <w:sz w:val="16"/>
              </w:rPr>
              <w:t xml:space="preserve"> </w:t>
            </w:r>
            <w:r w:rsidRPr="00EB2BD8">
              <w:rPr>
                <w:spacing w:val="-2"/>
                <w:sz w:val="16"/>
              </w:rPr>
              <w:t>partial</w:t>
            </w:r>
          </w:p>
        </w:tc>
        <w:tc>
          <w:tcPr>
            <w:tcW w:w="1078" w:type="dxa"/>
            <w:tcBorders>
              <w:top w:val="single" w:sz="2" w:space="0" w:color="000000"/>
            </w:tcBorders>
          </w:tcPr>
          <w:p w14:paraId="2B820206" w14:textId="77777777" w:rsidR="00084F36" w:rsidRPr="00EB2BD8" w:rsidRDefault="00EB2BD8">
            <w:pPr>
              <w:pStyle w:val="TableParagraph"/>
              <w:spacing w:before="115"/>
              <w:ind w:right="109"/>
              <w:jc w:val="right"/>
              <w:rPr>
                <w:sz w:val="16"/>
              </w:rPr>
            </w:pPr>
            <w:r w:rsidRPr="00EB2BD8">
              <w:rPr>
                <w:w w:val="124"/>
                <w:sz w:val="16"/>
              </w:rPr>
              <w:t>–</w:t>
            </w:r>
          </w:p>
        </w:tc>
        <w:tc>
          <w:tcPr>
            <w:tcW w:w="1175" w:type="dxa"/>
            <w:tcBorders>
              <w:top w:val="single" w:sz="2" w:space="0" w:color="000000"/>
            </w:tcBorders>
          </w:tcPr>
          <w:p w14:paraId="35947287" w14:textId="77777777" w:rsidR="00084F36" w:rsidRPr="00EB2BD8" w:rsidRDefault="00EB2BD8">
            <w:pPr>
              <w:pStyle w:val="TableParagraph"/>
              <w:spacing w:before="115"/>
              <w:ind w:left="114"/>
              <w:rPr>
                <w:sz w:val="16"/>
              </w:rPr>
            </w:pPr>
            <w:r w:rsidRPr="00EB2BD8">
              <w:rPr>
                <w:spacing w:val="-2"/>
                <w:w w:val="90"/>
                <w:sz w:val="16"/>
              </w:rPr>
              <w:t>12/09/2022</w:t>
            </w:r>
          </w:p>
        </w:tc>
      </w:tr>
      <w:tr w:rsidR="00EB2BD8" w:rsidRPr="00EB2BD8" w14:paraId="69D5D5A8" w14:textId="77777777">
        <w:trPr>
          <w:trHeight w:val="229"/>
        </w:trPr>
        <w:tc>
          <w:tcPr>
            <w:tcW w:w="1719" w:type="dxa"/>
          </w:tcPr>
          <w:p w14:paraId="14B7AEBC" w14:textId="77777777" w:rsidR="00084F36" w:rsidRPr="00EB2BD8" w:rsidRDefault="00EB2BD8">
            <w:pPr>
              <w:pStyle w:val="TableParagraph"/>
              <w:spacing w:before="19"/>
              <w:ind w:left="113"/>
              <w:rPr>
                <w:sz w:val="16"/>
              </w:rPr>
            </w:pPr>
            <w:r w:rsidRPr="00EB2BD8">
              <w:rPr>
                <w:sz w:val="16"/>
              </w:rPr>
              <w:t>Group</w:t>
            </w:r>
            <w:r w:rsidRPr="00EB2BD8">
              <w:rPr>
                <w:spacing w:val="1"/>
                <w:sz w:val="16"/>
              </w:rPr>
              <w:t xml:space="preserve"> </w:t>
            </w:r>
            <w:r w:rsidRPr="00EB2BD8">
              <w:rPr>
                <w:sz w:val="16"/>
              </w:rPr>
              <w:t>Pty</w:t>
            </w:r>
            <w:r w:rsidRPr="00EB2BD8">
              <w:rPr>
                <w:spacing w:val="1"/>
                <w:sz w:val="16"/>
              </w:rPr>
              <w:t xml:space="preserve"> </w:t>
            </w:r>
            <w:r w:rsidRPr="00EB2BD8">
              <w:rPr>
                <w:spacing w:val="-5"/>
                <w:sz w:val="16"/>
              </w:rPr>
              <w:t>Ltd</w:t>
            </w:r>
          </w:p>
        </w:tc>
        <w:tc>
          <w:tcPr>
            <w:tcW w:w="1485" w:type="dxa"/>
          </w:tcPr>
          <w:p w14:paraId="65B7316B" w14:textId="77777777" w:rsidR="00084F36" w:rsidRPr="00EB2BD8" w:rsidRDefault="00084F36">
            <w:pPr>
              <w:pStyle w:val="TableParagraph"/>
              <w:rPr>
                <w:rFonts w:ascii="Times New Roman"/>
                <w:sz w:val="16"/>
              </w:rPr>
            </w:pPr>
          </w:p>
        </w:tc>
        <w:tc>
          <w:tcPr>
            <w:tcW w:w="2453" w:type="dxa"/>
          </w:tcPr>
          <w:p w14:paraId="3FEFCEE1" w14:textId="77777777" w:rsidR="00084F36" w:rsidRPr="00EB2BD8" w:rsidRDefault="00EB2BD8">
            <w:pPr>
              <w:pStyle w:val="TableParagraph"/>
              <w:spacing w:before="19"/>
              <w:ind w:left="299"/>
              <w:rPr>
                <w:sz w:val="16"/>
              </w:rPr>
            </w:pPr>
            <w:r w:rsidRPr="00EB2BD8">
              <w:rPr>
                <w:spacing w:val="-2"/>
                <w:sz w:val="16"/>
              </w:rPr>
              <w:t>of</w:t>
            </w:r>
            <w:r w:rsidRPr="00EB2BD8">
              <w:rPr>
                <w:spacing w:val="-10"/>
                <w:sz w:val="16"/>
              </w:rPr>
              <w:t xml:space="preserve"> </w:t>
            </w:r>
            <w:r w:rsidRPr="00EB2BD8">
              <w:rPr>
                <w:spacing w:val="-2"/>
                <w:sz w:val="16"/>
              </w:rPr>
              <w:t>dispute</w:t>
            </w:r>
            <w:r w:rsidRPr="00EB2BD8">
              <w:rPr>
                <w:spacing w:val="-10"/>
                <w:sz w:val="16"/>
              </w:rPr>
              <w:t xml:space="preserve"> </w:t>
            </w:r>
            <w:r w:rsidRPr="00EB2BD8">
              <w:rPr>
                <w:spacing w:val="-2"/>
                <w:sz w:val="16"/>
              </w:rPr>
              <w:t>resolution</w:t>
            </w:r>
            <w:r w:rsidRPr="00EB2BD8">
              <w:rPr>
                <w:spacing w:val="-9"/>
                <w:sz w:val="16"/>
              </w:rPr>
              <w:t xml:space="preserve"> </w:t>
            </w:r>
            <w:r w:rsidRPr="00EB2BD8">
              <w:rPr>
                <w:spacing w:val="-4"/>
                <w:sz w:val="16"/>
              </w:rPr>
              <w:t>order</w:t>
            </w:r>
          </w:p>
        </w:tc>
        <w:tc>
          <w:tcPr>
            <w:tcW w:w="2289" w:type="dxa"/>
          </w:tcPr>
          <w:p w14:paraId="6DE074FD" w14:textId="77777777" w:rsidR="00084F36" w:rsidRPr="00EB2BD8" w:rsidRDefault="00EB2BD8">
            <w:pPr>
              <w:pStyle w:val="TableParagraph"/>
              <w:spacing w:before="19"/>
              <w:ind w:left="125"/>
              <w:rPr>
                <w:sz w:val="16"/>
              </w:rPr>
            </w:pPr>
            <w:r w:rsidRPr="00EB2BD8">
              <w:rPr>
                <w:spacing w:val="-2"/>
                <w:sz w:val="16"/>
              </w:rPr>
              <w:t>suspension</w:t>
            </w:r>
            <w:r w:rsidRPr="00EB2BD8">
              <w:rPr>
                <w:spacing w:val="-10"/>
                <w:sz w:val="16"/>
              </w:rPr>
              <w:t xml:space="preserve"> </w:t>
            </w:r>
            <w:r w:rsidRPr="00EB2BD8">
              <w:rPr>
                <w:spacing w:val="-2"/>
                <w:sz w:val="16"/>
              </w:rPr>
              <w:t>of</w:t>
            </w:r>
            <w:r w:rsidRPr="00EB2BD8">
              <w:rPr>
                <w:spacing w:val="-9"/>
                <w:sz w:val="16"/>
              </w:rPr>
              <w:t xml:space="preserve"> </w:t>
            </w:r>
            <w:r w:rsidRPr="00EB2BD8">
              <w:rPr>
                <w:spacing w:val="-2"/>
                <w:sz w:val="16"/>
              </w:rPr>
              <w:t>registration</w:t>
            </w:r>
          </w:p>
        </w:tc>
        <w:tc>
          <w:tcPr>
            <w:tcW w:w="1078" w:type="dxa"/>
          </w:tcPr>
          <w:p w14:paraId="56F4F349" w14:textId="77777777" w:rsidR="00084F36" w:rsidRPr="00EB2BD8" w:rsidRDefault="00084F36">
            <w:pPr>
              <w:pStyle w:val="TableParagraph"/>
              <w:rPr>
                <w:rFonts w:ascii="Times New Roman"/>
                <w:sz w:val="16"/>
              </w:rPr>
            </w:pPr>
          </w:p>
        </w:tc>
        <w:tc>
          <w:tcPr>
            <w:tcW w:w="1175" w:type="dxa"/>
          </w:tcPr>
          <w:p w14:paraId="0E262E95" w14:textId="77777777" w:rsidR="00084F36" w:rsidRPr="00EB2BD8" w:rsidRDefault="00084F36">
            <w:pPr>
              <w:pStyle w:val="TableParagraph"/>
              <w:rPr>
                <w:rFonts w:ascii="Times New Roman"/>
                <w:sz w:val="16"/>
              </w:rPr>
            </w:pPr>
          </w:p>
        </w:tc>
      </w:tr>
      <w:tr w:rsidR="00EB2BD8" w:rsidRPr="00EB2BD8" w14:paraId="406FB4A4" w14:textId="77777777">
        <w:trPr>
          <w:trHeight w:val="388"/>
        </w:trPr>
        <w:tc>
          <w:tcPr>
            <w:tcW w:w="1719" w:type="dxa"/>
            <w:tcBorders>
              <w:bottom w:val="single" w:sz="2" w:space="0" w:color="000000"/>
            </w:tcBorders>
          </w:tcPr>
          <w:p w14:paraId="4B726B77" w14:textId="77777777" w:rsidR="00084F36" w:rsidRPr="00EB2BD8" w:rsidRDefault="00084F36">
            <w:pPr>
              <w:pStyle w:val="TableParagraph"/>
              <w:rPr>
                <w:rFonts w:ascii="Times New Roman"/>
                <w:sz w:val="16"/>
              </w:rPr>
            </w:pPr>
          </w:p>
        </w:tc>
        <w:tc>
          <w:tcPr>
            <w:tcW w:w="1485" w:type="dxa"/>
            <w:tcBorders>
              <w:bottom w:val="single" w:sz="2" w:space="0" w:color="000000"/>
            </w:tcBorders>
          </w:tcPr>
          <w:p w14:paraId="7F91A179" w14:textId="77777777" w:rsidR="00084F36" w:rsidRPr="00EB2BD8" w:rsidRDefault="00084F36">
            <w:pPr>
              <w:pStyle w:val="TableParagraph"/>
              <w:rPr>
                <w:rFonts w:ascii="Times New Roman"/>
                <w:sz w:val="16"/>
              </w:rPr>
            </w:pPr>
          </w:p>
        </w:tc>
        <w:tc>
          <w:tcPr>
            <w:tcW w:w="2453" w:type="dxa"/>
            <w:tcBorders>
              <w:bottom w:val="single" w:sz="2" w:space="0" w:color="000000"/>
            </w:tcBorders>
          </w:tcPr>
          <w:p w14:paraId="10EC98B8" w14:textId="77777777" w:rsidR="00084F36" w:rsidRPr="00EB2BD8" w:rsidRDefault="00EB2BD8">
            <w:pPr>
              <w:pStyle w:val="TableParagraph"/>
              <w:spacing w:before="19"/>
              <w:ind w:left="299"/>
              <w:rPr>
                <w:sz w:val="16"/>
              </w:rPr>
            </w:pPr>
            <w:r w:rsidRPr="00EB2BD8">
              <w:rPr>
                <w:spacing w:val="-2"/>
                <w:sz w:val="16"/>
              </w:rPr>
              <w:t>notice.</w:t>
            </w:r>
          </w:p>
        </w:tc>
        <w:tc>
          <w:tcPr>
            <w:tcW w:w="2289" w:type="dxa"/>
            <w:tcBorders>
              <w:bottom w:val="single" w:sz="2" w:space="0" w:color="000000"/>
            </w:tcBorders>
          </w:tcPr>
          <w:p w14:paraId="5FAB84C3" w14:textId="77777777" w:rsidR="00084F36" w:rsidRPr="00EB2BD8" w:rsidRDefault="00EB2BD8">
            <w:pPr>
              <w:pStyle w:val="TableParagraph"/>
              <w:spacing w:before="19"/>
              <w:ind w:left="125"/>
              <w:rPr>
                <w:sz w:val="16"/>
              </w:rPr>
            </w:pPr>
            <w:r w:rsidRPr="00EB2BD8">
              <w:rPr>
                <w:sz w:val="16"/>
              </w:rPr>
              <w:t>until</w:t>
            </w:r>
            <w:r w:rsidRPr="00EB2BD8">
              <w:rPr>
                <w:spacing w:val="-11"/>
                <w:sz w:val="16"/>
              </w:rPr>
              <w:t xml:space="preserve"> </w:t>
            </w:r>
            <w:r w:rsidRPr="00EB2BD8">
              <w:rPr>
                <w:sz w:val="16"/>
              </w:rPr>
              <w:t>compliance</w:t>
            </w:r>
            <w:r w:rsidRPr="00EB2BD8">
              <w:rPr>
                <w:spacing w:val="-11"/>
                <w:sz w:val="16"/>
              </w:rPr>
              <w:t xml:space="preserve"> </w:t>
            </w:r>
            <w:r w:rsidRPr="00EB2BD8">
              <w:rPr>
                <w:spacing w:val="-2"/>
                <w:sz w:val="16"/>
              </w:rPr>
              <w:t>achieved.</w:t>
            </w:r>
          </w:p>
        </w:tc>
        <w:tc>
          <w:tcPr>
            <w:tcW w:w="1078" w:type="dxa"/>
            <w:tcBorders>
              <w:bottom w:val="single" w:sz="2" w:space="0" w:color="000000"/>
            </w:tcBorders>
          </w:tcPr>
          <w:p w14:paraId="52111657"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7492D7DA" w14:textId="77777777" w:rsidR="00084F36" w:rsidRPr="00EB2BD8" w:rsidRDefault="00084F36">
            <w:pPr>
              <w:pStyle w:val="TableParagraph"/>
              <w:rPr>
                <w:rFonts w:ascii="Times New Roman"/>
                <w:sz w:val="16"/>
              </w:rPr>
            </w:pPr>
          </w:p>
        </w:tc>
      </w:tr>
      <w:tr w:rsidR="00EB2BD8" w:rsidRPr="00EB2BD8" w14:paraId="22FB574F" w14:textId="77777777">
        <w:trPr>
          <w:trHeight w:val="324"/>
        </w:trPr>
        <w:tc>
          <w:tcPr>
            <w:tcW w:w="1719" w:type="dxa"/>
            <w:tcBorders>
              <w:top w:val="single" w:sz="2" w:space="0" w:color="000000"/>
            </w:tcBorders>
          </w:tcPr>
          <w:p w14:paraId="1871C788" w14:textId="77777777" w:rsidR="00084F36" w:rsidRPr="00EB2BD8" w:rsidRDefault="00EB2BD8">
            <w:pPr>
              <w:pStyle w:val="TableParagraph"/>
              <w:spacing w:before="115"/>
              <w:ind w:left="113"/>
              <w:rPr>
                <w:sz w:val="16"/>
              </w:rPr>
            </w:pPr>
            <w:r w:rsidRPr="00EB2BD8">
              <w:rPr>
                <w:sz w:val="16"/>
              </w:rPr>
              <w:t>Watkins</w:t>
            </w:r>
            <w:r w:rsidRPr="00EB2BD8">
              <w:rPr>
                <w:spacing w:val="-6"/>
                <w:sz w:val="16"/>
              </w:rPr>
              <w:t xml:space="preserve"> </w:t>
            </w:r>
            <w:r w:rsidRPr="00EB2BD8">
              <w:rPr>
                <w:spacing w:val="-2"/>
                <w:sz w:val="16"/>
              </w:rPr>
              <w:t>Building</w:t>
            </w:r>
          </w:p>
        </w:tc>
        <w:tc>
          <w:tcPr>
            <w:tcW w:w="1485" w:type="dxa"/>
            <w:tcBorders>
              <w:top w:val="single" w:sz="2" w:space="0" w:color="000000"/>
            </w:tcBorders>
          </w:tcPr>
          <w:p w14:paraId="6000589D" w14:textId="77777777" w:rsidR="00084F36" w:rsidRPr="00EB2BD8" w:rsidRDefault="00EB2BD8">
            <w:pPr>
              <w:pStyle w:val="TableParagraph"/>
              <w:spacing w:before="115"/>
              <w:ind w:left="151"/>
              <w:rPr>
                <w:sz w:val="16"/>
              </w:rPr>
            </w:pPr>
            <w:r w:rsidRPr="00EB2BD8">
              <w:rPr>
                <w:spacing w:val="2"/>
                <w:sz w:val="16"/>
              </w:rPr>
              <w:t>CDB-U</w:t>
            </w:r>
            <w:r w:rsidRPr="00EB2BD8">
              <w:rPr>
                <w:spacing w:val="17"/>
                <w:sz w:val="16"/>
              </w:rPr>
              <w:t xml:space="preserve"> </w:t>
            </w:r>
            <w:r w:rsidRPr="00EB2BD8">
              <w:rPr>
                <w:spacing w:val="-2"/>
                <w:sz w:val="16"/>
              </w:rPr>
              <w:t>61757</w:t>
            </w:r>
          </w:p>
        </w:tc>
        <w:tc>
          <w:tcPr>
            <w:tcW w:w="2453" w:type="dxa"/>
            <w:tcBorders>
              <w:top w:val="single" w:sz="2" w:space="0" w:color="000000"/>
            </w:tcBorders>
          </w:tcPr>
          <w:p w14:paraId="08545F52" w14:textId="77777777" w:rsidR="00084F36" w:rsidRPr="00EB2BD8" w:rsidRDefault="00EB2BD8">
            <w:pPr>
              <w:pStyle w:val="TableParagraph"/>
              <w:spacing w:before="115"/>
              <w:ind w:left="299"/>
              <w:rPr>
                <w:sz w:val="16"/>
              </w:rPr>
            </w:pPr>
            <w:r w:rsidRPr="00EB2BD8">
              <w:rPr>
                <w:spacing w:val="-2"/>
                <w:sz w:val="16"/>
              </w:rPr>
              <w:t>Failing</w:t>
            </w:r>
            <w:r w:rsidRPr="00EB2BD8">
              <w:rPr>
                <w:spacing w:val="-7"/>
                <w:sz w:val="16"/>
              </w:rPr>
              <w:t xml:space="preserve"> </w:t>
            </w:r>
            <w:r w:rsidRPr="00EB2BD8">
              <w:rPr>
                <w:spacing w:val="-2"/>
                <w:sz w:val="16"/>
              </w:rPr>
              <w:t>to</w:t>
            </w:r>
            <w:r w:rsidRPr="00EB2BD8">
              <w:rPr>
                <w:spacing w:val="-7"/>
                <w:sz w:val="16"/>
              </w:rPr>
              <w:t xml:space="preserve"> </w:t>
            </w:r>
            <w:r w:rsidRPr="00EB2BD8">
              <w:rPr>
                <w:spacing w:val="-2"/>
                <w:sz w:val="16"/>
              </w:rPr>
              <w:t>comply</w:t>
            </w:r>
            <w:r w:rsidRPr="00EB2BD8">
              <w:rPr>
                <w:spacing w:val="-7"/>
                <w:sz w:val="16"/>
              </w:rPr>
              <w:t xml:space="preserve"> </w:t>
            </w:r>
            <w:r w:rsidRPr="00EB2BD8">
              <w:rPr>
                <w:spacing w:val="-2"/>
                <w:sz w:val="16"/>
              </w:rPr>
              <w:t>with</w:t>
            </w:r>
            <w:r w:rsidRPr="00EB2BD8">
              <w:rPr>
                <w:spacing w:val="-6"/>
                <w:sz w:val="16"/>
              </w:rPr>
              <w:t xml:space="preserve"> </w:t>
            </w:r>
            <w:r w:rsidRPr="00EB2BD8">
              <w:rPr>
                <w:spacing w:val="-10"/>
                <w:sz w:val="16"/>
              </w:rPr>
              <w:t>a</w:t>
            </w:r>
          </w:p>
        </w:tc>
        <w:tc>
          <w:tcPr>
            <w:tcW w:w="2289" w:type="dxa"/>
            <w:tcBorders>
              <w:top w:val="single" w:sz="2" w:space="0" w:color="000000"/>
            </w:tcBorders>
          </w:tcPr>
          <w:p w14:paraId="27D98FED" w14:textId="77777777" w:rsidR="00084F36" w:rsidRPr="00EB2BD8" w:rsidRDefault="00EB2BD8">
            <w:pPr>
              <w:pStyle w:val="TableParagraph"/>
              <w:spacing w:before="114"/>
              <w:ind w:left="125"/>
              <w:rPr>
                <w:sz w:val="16"/>
              </w:rPr>
            </w:pPr>
            <w:r w:rsidRPr="00EB2BD8">
              <w:rPr>
                <w:spacing w:val="-2"/>
                <w:sz w:val="16"/>
              </w:rPr>
              <w:t>Reprimands,</w:t>
            </w:r>
            <w:r w:rsidRPr="00EB2BD8">
              <w:rPr>
                <w:spacing w:val="-4"/>
                <w:sz w:val="16"/>
              </w:rPr>
              <w:t xml:space="preserve"> </w:t>
            </w:r>
            <w:r w:rsidRPr="00EB2BD8">
              <w:rPr>
                <w:spacing w:val="-2"/>
                <w:sz w:val="16"/>
              </w:rPr>
              <w:t>aggregate</w:t>
            </w:r>
          </w:p>
        </w:tc>
        <w:tc>
          <w:tcPr>
            <w:tcW w:w="1078" w:type="dxa"/>
            <w:tcBorders>
              <w:top w:val="single" w:sz="2" w:space="0" w:color="000000"/>
            </w:tcBorders>
          </w:tcPr>
          <w:p w14:paraId="60734758" w14:textId="77777777" w:rsidR="00084F36" w:rsidRPr="00EB2BD8" w:rsidRDefault="00EB2BD8">
            <w:pPr>
              <w:pStyle w:val="TableParagraph"/>
              <w:spacing w:before="113"/>
              <w:ind w:right="110"/>
              <w:jc w:val="right"/>
              <w:rPr>
                <w:sz w:val="16"/>
              </w:rPr>
            </w:pPr>
            <w:r w:rsidRPr="00EB2BD8">
              <w:rPr>
                <w:spacing w:val="-2"/>
                <w:w w:val="95"/>
                <w:sz w:val="16"/>
              </w:rPr>
              <w:t>$12,500</w:t>
            </w:r>
          </w:p>
        </w:tc>
        <w:tc>
          <w:tcPr>
            <w:tcW w:w="1175" w:type="dxa"/>
            <w:tcBorders>
              <w:top w:val="single" w:sz="2" w:space="0" w:color="000000"/>
            </w:tcBorders>
          </w:tcPr>
          <w:p w14:paraId="4184E96A" w14:textId="77777777" w:rsidR="00084F36" w:rsidRPr="00EB2BD8" w:rsidRDefault="00EB2BD8">
            <w:pPr>
              <w:pStyle w:val="TableParagraph"/>
              <w:spacing w:before="113"/>
              <w:ind w:left="114"/>
              <w:rPr>
                <w:sz w:val="16"/>
              </w:rPr>
            </w:pPr>
            <w:r w:rsidRPr="00EB2BD8">
              <w:rPr>
                <w:spacing w:val="-2"/>
                <w:sz w:val="16"/>
              </w:rPr>
              <w:t>06/02/2023</w:t>
            </w:r>
          </w:p>
        </w:tc>
      </w:tr>
      <w:tr w:rsidR="00EB2BD8" w:rsidRPr="00EB2BD8" w14:paraId="6EE51D02" w14:textId="77777777">
        <w:trPr>
          <w:trHeight w:val="229"/>
        </w:trPr>
        <w:tc>
          <w:tcPr>
            <w:tcW w:w="1719" w:type="dxa"/>
          </w:tcPr>
          <w:p w14:paraId="1F513656" w14:textId="77777777" w:rsidR="00084F36" w:rsidRPr="00EB2BD8" w:rsidRDefault="00EB2BD8">
            <w:pPr>
              <w:pStyle w:val="TableParagraph"/>
              <w:spacing w:before="20"/>
              <w:ind w:left="113"/>
              <w:rPr>
                <w:sz w:val="16"/>
              </w:rPr>
            </w:pPr>
            <w:r w:rsidRPr="00EB2BD8">
              <w:rPr>
                <w:sz w:val="16"/>
              </w:rPr>
              <w:t>Group</w:t>
            </w:r>
            <w:r w:rsidRPr="00EB2BD8">
              <w:rPr>
                <w:spacing w:val="1"/>
                <w:sz w:val="16"/>
              </w:rPr>
              <w:t xml:space="preserve"> </w:t>
            </w:r>
            <w:r w:rsidRPr="00EB2BD8">
              <w:rPr>
                <w:sz w:val="16"/>
              </w:rPr>
              <w:t>Pty</w:t>
            </w:r>
            <w:r w:rsidRPr="00EB2BD8">
              <w:rPr>
                <w:spacing w:val="1"/>
                <w:sz w:val="16"/>
              </w:rPr>
              <w:t xml:space="preserve"> </w:t>
            </w:r>
            <w:r w:rsidRPr="00EB2BD8">
              <w:rPr>
                <w:spacing w:val="-5"/>
                <w:sz w:val="16"/>
              </w:rPr>
              <w:t>Ltd</w:t>
            </w:r>
          </w:p>
        </w:tc>
        <w:tc>
          <w:tcPr>
            <w:tcW w:w="1485" w:type="dxa"/>
          </w:tcPr>
          <w:p w14:paraId="099E4368" w14:textId="77777777" w:rsidR="00084F36" w:rsidRPr="00EB2BD8" w:rsidRDefault="00084F36">
            <w:pPr>
              <w:pStyle w:val="TableParagraph"/>
              <w:rPr>
                <w:rFonts w:ascii="Times New Roman"/>
                <w:sz w:val="16"/>
              </w:rPr>
            </w:pPr>
          </w:p>
        </w:tc>
        <w:tc>
          <w:tcPr>
            <w:tcW w:w="2453" w:type="dxa"/>
          </w:tcPr>
          <w:p w14:paraId="178CAF2C" w14:textId="77777777" w:rsidR="00084F36" w:rsidRPr="00EB2BD8" w:rsidRDefault="00EB2BD8">
            <w:pPr>
              <w:pStyle w:val="TableParagraph"/>
              <w:spacing w:before="20"/>
              <w:ind w:left="299"/>
              <w:rPr>
                <w:sz w:val="16"/>
              </w:rPr>
            </w:pPr>
            <w:r w:rsidRPr="00EB2BD8">
              <w:rPr>
                <w:spacing w:val="-4"/>
                <w:sz w:val="16"/>
              </w:rPr>
              <w:t>direction</w:t>
            </w:r>
            <w:r w:rsidRPr="00EB2BD8">
              <w:rPr>
                <w:spacing w:val="-5"/>
                <w:sz w:val="16"/>
              </w:rPr>
              <w:t xml:space="preserve"> </w:t>
            </w:r>
            <w:r w:rsidRPr="00EB2BD8">
              <w:rPr>
                <w:spacing w:val="-4"/>
                <w:sz w:val="16"/>
              </w:rPr>
              <w:t>to fix building</w:t>
            </w:r>
          </w:p>
        </w:tc>
        <w:tc>
          <w:tcPr>
            <w:tcW w:w="2289" w:type="dxa"/>
          </w:tcPr>
          <w:p w14:paraId="0B28DBEB" w14:textId="77777777" w:rsidR="00084F36" w:rsidRPr="00EB2BD8" w:rsidRDefault="00EB2BD8">
            <w:pPr>
              <w:pStyle w:val="TableParagraph"/>
              <w:spacing w:before="19"/>
              <w:ind w:left="125"/>
              <w:rPr>
                <w:sz w:val="16"/>
              </w:rPr>
            </w:pPr>
            <w:r w:rsidRPr="00EB2BD8">
              <w:rPr>
                <w:sz w:val="16"/>
              </w:rPr>
              <w:t>penalties</w:t>
            </w:r>
            <w:r w:rsidRPr="00EB2BD8">
              <w:rPr>
                <w:spacing w:val="-12"/>
                <w:sz w:val="16"/>
              </w:rPr>
              <w:t xml:space="preserve"> </w:t>
            </w:r>
            <w:r w:rsidRPr="00EB2BD8">
              <w:rPr>
                <w:sz w:val="16"/>
              </w:rPr>
              <w:t>of</w:t>
            </w:r>
            <w:r w:rsidRPr="00EB2BD8">
              <w:rPr>
                <w:spacing w:val="-12"/>
                <w:sz w:val="16"/>
              </w:rPr>
              <w:t xml:space="preserve"> </w:t>
            </w:r>
            <w:r w:rsidRPr="00EB2BD8">
              <w:rPr>
                <w:spacing w:val="-2"/>
                <w:sz w:val="16"/>
              </w:rPr>
              <w:t>$12,500</w:t>
            </w:r>
          </w:p>
        </w:tc>
        <w:tc>
          <w:tcPr>
            <w:tcW w:w="1078" w:type="dxa"/>
          </w:tcPr>
          <w:p w14:paraId="39896AF0" w14:textId="77777777" w:rsidR="00084F36" w:rsidRPr="00EB2BD8" w:rsidRDefault="00084F36">
            <w:pPr>
              <w:pStyle w:val="TableParagraph"/>
              <w:rPr>
                <w:rFonts w:ascii="Times New Roman"/>
                <w:sz w:val="16"/>
              </w:rPr>
            </w:pPr>
          </w:p>
        </w:tc>
        <w:tc>
          <w:tcPr>
            <w:tcW w:w="1175" w:type="dxa"/>
          </w:tcPr>
          <w:p w14:paraId="67D8453D" w14:textId="77777777" w:rsidR="00084F36" w:rsidRPr="00EB2BD8" w:rsidRDefault="00084F36">
            <w:pPr>
              <w:pStyle w:val="TableParagraph"/>
              <w:rPr>
                <w:rFonts w:ascii="Times New Roman"/>
                <w:sz w:val="16"/>
              </w:rPr>
            </w:pPr>
          </w:p>
        </w:tc>
      </w:tr>
      <w:tr w:rsidR="00EB2BD8" w:rsidRPr="00EB2BD8" w14:paraId="3F3ABBAD" w14:textId="77777777">
        <w:trPr>
          <w:trHeight w:val="229"/>
        </w:trPr>
        <w:tc>
          <w:tcPr>
            <w:tcW w:w="1719" w:type="dxa"/>
          </w:tcPr>
          <w:p w14:paraId="6696CC7C" w14:textId="77777777" w:rsidR="00084F36" w:rsidRPr="00EB2BD8" w:rsidRDefault="00084F36">
            <w:pPr>
              <w:pStyle w:val="TableParagraph"/>
              <w:rPr>
                <w:rFonts w:ascii="Times New Roman"/>
                <w:sz w:val="16"/>
              </w:rPr>
            </w:pPr>
          </w:p>
        </w:tc>
        <w:tc>
          <w:tcPr>
            <w:tcW w:w="1485" w:type="dxa"/>
          </w:tcPr>
          <w:p w14:paraId="422FAD81" w14:textId="77777777" w:rsidR="00084F36" w:rsidRPr="00EB2BD8" w:rsidRDefault="00084F36">
            <w:pPr>
              <w:pStyle w:val="TableParagraph"/>
              <w:rPr>
                <w:rFonts w:ascii="Times New Roman"/>
                <w:sz w:val="16"/>
              </w:rPr>
            </w:pPr>
          </w:p>
        </w:tc>
        <w:tc>
          <w:tcPr>
            <w:tcW w:w="2453" w:type="dxa"/>
          </w:tcPr>
          <w:p w14:paraId="3A1FFC64" w14:textId="77777777" w:rsidR="00084F36" w:rsidRPr="00EB2BD8" w:rsidRDefault="00EB2BD8">
            <w:pPr>
              <w:pStyle w:val="TableParagraph"/>
              <w:spacing w:before="20"/>
              <w:ind w:left="299"/>
              <w:rPr>
                <w:sz w:val="16"/>
              </w:rPr>
            </w:pPr>
            <w:r w:rsidRPr="00EB2BD8">
              <w:rPr>
                <w:spacing w:val="-2"/>
                <w:sz w:val="16"/>
              </w:rPr>
              <w:t>work</w:t>
            </w:r>
            <w:r w:rsidRPr="00EB2BD8">
              <w:rPr>
                <w:spacing w:val="-12"/>
                <w:sz w:val="16"/>
              </w:rPr>
              <w:t xml:space="preserve"> </w:t>
            </w:r>
            <w:r w:rsidRPr="00EB2BD8">
              <w:rPr>
                <w:spacing w:val="-2"/>
                <w:sz w:val="16"/>
              </w:rPr>
              <w:t>within</w:t>
            </w:r>
            <w:r w:rsidRPr="00EB2BD8">
              <w:rPr>
                <w:spacing w:val="-12"/>
                <w:sz w:val="16"/>
              </w:rPr>
              <w:t xml:space="preserve"> </w:t>
            </w:r>
            <w:r w:rsidRPr="00EB2BD8">
              <w:rPr>
                <w:spacing w:val="-2"/>
                <w:sz w:val="16"/>
              </w:rPr>
              <w:t>the</w:t>
            </w:r>
            <w:r w:rsidRPr="00EB2BD8">
              <w:rPr>
                <w:spacing w:val="-12"/>
                <w:sz w:val="16"/>
              </w:rPr>
              <w:t xml:space="preserve"> </w:t>
            </w:r>
            <w:r w:rsidRPr="00EB2BD8">
              <w:rPr>
                <w:spacing w:val="-2"/>
                <w:sz w:val="16"/>
              </w:rPr>
              <w:t>specified</w:t>
            </w:r>
          </w:p>
        </w:tc>
        <w:tc>
          <w:tcPr>
            <w:tcW w:w="2289" w:type="dxa"/>
          </w:tcPr>
          <w:p w14:paraId="78224996" w14:textId="77777777" w:rsidR="00084F36" w:rsidRPr="00EB2BD8" w:rsidRDefault="00EB2BD8">
            <w:pPr>
              <w:pStyle w:val="TableParagraph"/>
              <w:spacing w:before="19"/>
              <w:ind w:left="125"/>
              <w:rPr>
                <w:sz w:val="16"/>
              </w:rPr>
            </w:pPr>
            <w:r w:rsidRPr="00EB2BD8">
              <w:rPr>
                <w:sz w:val="16"/>
              </w:rPr>
              <w:t>and partial</w:t>
            </w:r>
            <w:r w:rsidRPr="00EB2BD8">
              <w:rPr>
                <w:spacing w:val="1"/>
                <w:sz w:val="16"/>
              </w:rPr>
              <w:t xml:space="preserve"> </w:t>
            </w:r>
            <w:r w:rsidRPr="00EB2BD8">
              <w:rPr>
                <w:spacing w:val="-2"/>
                <w:sz w:val="16"/>
              </w:rPr>
              <w:t>suspension</w:t>
            </w:r>
          </w:p>
        </w:tc>
        <w:tc>
          <w:tcPr>
            <w:tcW w:w="1078" w:type="dxa"/>
          </w:tcPr>
          <w:p w14:paraId="566E07B6" w14:textId="77777777" w:rsidR="00084F36" w:rsidRPr="00EB2BD8" w:rsidRDefault="00084F36">
            <w:pPr>
              <w:pStyle w:val="TableParagraph"/>
              <w:rPr>
                <w:rFonts w:ascii="Times New Roman"/>
                <w:sz w:val="16"/>
              </w:rPr>
            </w:pPr>
          </w:p>
        </w:tc>
        <w:tc>
          <w:tcPr>
            <w:tcW w:w="1175" w:type="dxa"/>
          </w:tcPr>
          <w:p w14:paraId="562AB3A6" w14:textId="77777777" w:rsidR="00084F36" w:rsidRPr="00EB2BD8" w:rsidRDefault="00084F36">
            <w:pPr>
              <w:pStyle w:val="TableParagraph"/>
              <w:rPr>
                <w:rFonts w:ascii="Times New Roman"/>
                <w:sz w:val="16"/>
              </w:rPr>
            </w:pPr>
          </w:p>
        </w:tc>
      </w:tr>
      <w:tr w:rsidR="00EB2BD8" w:rsidRPr="00EB2BD8" w14:paraId="1FF0F4D7" w14:textId="77777777">
        <w:trPr>
          <w:trHeight w:val="229"/>
        </w:trPr>
        <w:tc>
          <w:tcPr>
            <w:tcW w:w="1719" w:type="dxa"/>
          </w:tcPr>
          <w:p w14:paraId="4B3EA38E" w14:textId="77777777" w:rsidR="00084F36" w:rsidRPr="00EB2BD8" w:rsidRDefault="00084F36">
            <w:pPr>
              <w:pStyle w:val="TableParagraph"/>
              <w:rPr>
                <w:rFonts w:ascii="Times New Roman"/>
                <w:sz w:val="16"/>
              </w:rPr>
            </w:pPr>
          </w:p>
        </w:tc>
        <w:tc>
          <w:tcPr>
            <w:tcW w:w="1485" w:type="dxa"/>
          </w:tcPr>
          <w:p w14:paraId="3D1551E8" w14:textId="77777777" w:rsidR="00084F36" w:rsidRPr="00EB2BD8" w:rsidRDefault="00084F36">
            <w:pPr>
              <w:pStyle w:val="TableParagraph"/>
              <w:rPr>
                <w:rFonts w:ascii="Times New Roman"/>
                <w:sz w:val="16"/>
              </w:rPr>
            </w:pPr>
          </w:p>
        </w:tc>
        <w:tc>
          <w:tcPr>
            <w:tcW w:w="2453" w:type="dxa"/>
          </w:tcPr>
          <w:p w14:paraId="75F40A85" w14:textId="77777777" w:rsidR="00084F36" w:rsidRPr="00EB2BD8" w:rsidRDefault="00EB2BD8">
            <w:pPr>
              <w:pStyle w:val="TableParagraph"/>
              <w:spacing w:before="20"/>
              <w:ind w:left="299"/>
              <w:rPr>
                <w:sz w:val="16"/>
              </w:rPr>
            </w:pPr>
            <w:r w:rsidRPr="00EB2BD8">
              <w:rPr>
                <w:spacing w:val="-4"/>
                <w:sz w:val="16"/>
              </w:rPr>
              <w:t>period, failing to perform</w:t>
            </w:r>
          </w:p>
        </w:tc>
        <w:tc>
          <w:tcPr>
            <w:tcW w:w="2289" w:type="dxa"/>
          </w:tcPr>
          <w:p w14:paraId="2E4476F8" w14:textId="77777777" w:rsidR="00084F36" w:rsidRPr="00EB2BD8" w:rsidRDefault="00EB2BD8">
            <w:pPr>
              <w:pStyle w:val="TableParagraph"/>
              <w:spacing w:before="19"/>
              <w:ind w:left="125"/>
              <w:rPr>
                <w:sz w:val="16"/>
              </w:rPr>
            </w:pPr>
            <w:r w:rsidRPr="00EB2BD8">
              <w:rPr>
                <w:spacing w:val="-2"/>
                <w:sz w:val="16"/>
              </w:rPr>
              <w:t>of</w:t>
            </w:r>
            <w:r w:rsidRPr="00EB2BD8">
              <w:rPr>
                <w:spacing w:val="-7"/>
                <w:sz w:val="16"/>
              </w:rPr>
              <w:t xml:space="preserve"> </w:t>
            </w:r>
            <w:r w:rsidRPr="00EB2BD8">
              <w:rPr>
                <w:spacing w:val="-2"/>
                <w:sz w:val="16"/>
              </w:rPr>
              <w:t>registration</w:t>
            </w:r>
            <w:r w:rsidRPr="00EB2BD8">
              <w:rPr>
                <w:spacing w:val="-6"/>
                <w:sz w:val="16"/>
              </w:rPr>
              <w:t xml:space="preserve"> </w:t>
            </w:r>
            <w:r w:rsidRPr="00EB2BD8">
              <w:rPr>
                <w:spacing w:val="-2"/>
                <w:sz w:val="16"/>
              </w:rPr>
              <w:t>until</w:t>
            </w:r>
          </w:p>
        </w:tc>
        <w:tc>
          <w:tcPr>
            <w:tcW w:w="1078" w:type="dxa"/>
          </w:tcPr>
          <w:p w14:paraId="1394DC3E" w14:textId="77777777" w:rsidR="00084F36" w:rsidRPr="00EB2BD8" w:rsidRDefault="00084F36">
            <w:pPr>
              <w:pStyle w:val="TableParagraph"/>
              <w:rPr>
                <w:rFonts w:ascii="Times New Roman"/>
                <w:sz w:val="16"/>
              </w:rPr>
            </w:pPr>
          </w:p>
        </w:tc>
        <w:tc>
          <w:tcPr>
            <w:tcW w:w="1175" w:type="dxa"/>
          </w:tcPr>
          <w:p w14:paraId="50D1E953" w14:textId="77777777" w:rsidR="00084F36" w:rsidRPr="00EB2BD8" w:rsidRDefault="00084F36">
            <w:pPr>
              <w:pStyle w:val="TableParagraph"/>
              <w:rPr>
                <w:rFonts w:ascii="Times New Roman"/>
                <w:sz w:val="16"/>
              </w:rPr>
            </w:pPr>
          </w:p>
        </w:tc>
      </w:tr>
      <w:tr w:rsidR="00EB2BD8" w:rsidRPr="00EB2BD8" w14:paraId="64DBB19C" w14:textId="77777777">
        <w:trPr>
          <w:trHeight w:val="230"/>
        </w:trPr>
        <w:tc>
          <w:tcPr>
            <w:tcW w:w="1719" w:type="dxa"/>
          </w:tcPr>
          <w:p w14:paraId="79ED8DDB" w14:textId="77777777" w:rsidR="00084F36" w:rsidRPr="00EB2BD8" w:rsidRDefault="00084F36">
            <w:pPr>
              <w:pStyle w:val="TableParagraph"/>
              <w:rPr>
                <w:rFonts w:ascii="Times New Roman"/>
                <w:sz w:val="16"/>
              </w:rPr>
            </w:pPr>
          </w:p>
        </w:tc>
        <w:tc>
          <w:tcPr>
            <w:tcW w:w="1485" w:type="dxa"/>
          </w:tcPr>
          <w:p w14:paraId="2967FBC7" w14:textId="77777777" w:rsidR="00084F36" w:rsidRPr="00EB2BD8" w:rsidRDefault="00084F36">
            <w:pPr>
              <w:pStyle w:val="TableParagraph"/>
              <w:rPr>
                <w:rFonts w:ascii="Times New Roman"/>
                <w:sz w:val="16"/>
              </w:rPr>
            </w:pPr>
          </w:p>
        </w:tc>
        <w:tc>
          <w:tcPr>
            <w:tcW w:w="2453" w:type="dxa"/>
          </w:tcPr>
          <w:p w14:paraId="1532C674" w14:textId="77777777" w:rsidR="00084F36" w:rsidRPr="00EB2BD8" w:rsidRDefault="00EB2BD8">
            <w:pPr>
              <w:pStyle w:val="TableParagraph"/>
              <w:spacing w:before="20"/>
              <w:ind w:left="299"/>
              <w:rPr>
                <w:sz w:val="16"/>
              </w:rPr>
            </w:pPr>
            <w:r w:rsidRPr="00EB2BD8">
              <w:rPr>
                <w:spacing w:val="-4"/>
                <w:sz w:val="16"/>
              </w:rPr>
              <w:t>building</w:t>
            </w:r>
            <w:r w:rsidRPr="00EB2BD8">
              <w:rPr>
                <w:spacing w:val="-5"/>
                <w:sz w:val="16"/>
              </w:rPr>
              <w:t xml:space="preserve"> </w:t>
            </w:r>
            <w:r w:rsidRPr="00EB2BD8">
              <w:rPr>
                <w:spacing w:val="-4"/>
                <w:sz w:val="16"/>
              </w:rPr>
              <w:t xml:space="preserve">work in </w:t>
            </w:r>
            <w:r w:rsidRPr="00EB2BD8">
              <w:rPr>
                <w:spacing w:val="-10"/>
                <w:sz w:val="16"/>
              </w:rPr>
              <w:t>a</w:t>
            </w:r>
          </w:p>
        </w:tc>
        <w:tc>
          <w:tcPr>
            <w:tcW w:w="2289" w:type="dxa"/>
          </w:tcPr>
          <w:p w14:paraId="57F41CB7" w14:textId="77777777" w:rsidR="00084F36" w:rsidRPr="00EB2BD8" w:rsidRDefault="00EB2BD8">
            <w:pPr>
              <w:pStyle w:val="TableParagraph"/>
              <w:spacing w:before="19"/>
              <w:ind w:left="125"/>
              <w:rPr>
                <w:sz w:val="16"/>
              </w:rPr>
            </w:pPr>
            <w:r w:rsidRPr="00EB2BD8">
              <w:rPr>
                <w:sz w:val="16"/>
              </w:rPr>
              <w:t>compliance</w:t>
            </w:r>
            <w:r w:rsidRPr="00EB2BD8">
              <w:rPr>
                <w:spacing w:val="5"/>
                <w:sz w:val="16"/>
              </w:rPr>
              <w:t xml:space="preserve"> </w:t>
            </w:r>
            <w:r w:rsidRPr="00EB2BD8">
              <w:rPr>
                <w:spacing w:val="-2"/>
                <w:sz w:val="16"/>
              </w:rPr>
              <w:t>achieved.</w:t>
            </w:r>
          </w:p>
        </w:tc>
        <w:tc>
          <w:tcPr>
            <w:tcW w:w="1078" w:type="dxa"/>
          </w:tcPr>
          <w:p w14:paraId="4AFE8ABF" w14:textId="77777777" w:rsidR="00084F36" w:rsidRPr="00EB2BD8" w:rsidRDefault="00084F36">
            <w:pPr>
              <w:pStyle w:val="TableParagraph"/>
              <w:rPr>
                <w:rFonts w:ascii="Times New Roman"/>
                <w:sz w:val="16"/>
              </w:rPr>
            </w:pPr>
          </w:p>
        </w:tc>
        <w:tc>
          <w:tcPr>
            <w:tcW w:w="1175" w:type="dxa"/>
          </w:tcPr>
          <w:p w14:paraId="221D9B4E" w14:textId="77777777" w:rsidR="00084F36" w:rsidRPr="00EB2BD8" w:rsidRDefault="00084F36">
            <w:pPr>
              <w:pStyle w:val="TableParagraph"/>
              <w:rPr>
                <w:rFonts w:ascii="Times New Roman"/>
                <w:sz w:val="16"/>
              </w:rPr>
            </w:pPr>
          </w:p>
        </w:tc>
      </w:tr>
      <w:tr w:rsidR="00EB2BD8" w:rsidRPr="00EB2BD8" w14:paraId="732939B2" w14:textId="77777777">
        <w:trPr>
          <w:trHeight w:val="229"/>
        </w:trPr>
        <w:tc>
          <w:tcPr>
            <w:tcW w:w="1719" w:type="dxa"/>
          </w:tcPr>
          <w:p w14:paraId="5B39A94D" w14:textId="77777777" w:rsidR="00084F36" w:rsidRPr="00EB2BD8" w:rsidRDefault="00084F36">
            <w:pPr>
              <w:pStyle w:val="TableParagraph"/>
              <w:rPr>
                <w:rFonts w:ascii="Times New Roman"/>
                <w:sz w:val="16"/>
              </w:rPr>
            </w:pPr>
          </w:p>
        </w:tc>
        <w:tc>
          <w:tcPr>
            <w:tcW w:w="1485" w:type="dxa"/>
          </w:tcPr>
          <w:p w14:paraId="4E20E3EF" w14:textId="77777777" w:rsidR="00084F36" w:rsidRPr="00EB2BD8" w:rsidRDefault="00084F36">
            <w:pPr>
              <w:pStyle w:val="TableParagraph"/>
              <w:rPr>
                <w:rFonts w:ascii="Times New Roman"/>
                <w:sz w:val="16"/>
              </w:rPr>
            </w:pPr>
          </w:p>
        </w:tc>
        <w:tc>
          <w:tcPr>
            <w:tcW w:w="2453" w:type="dxa"/>
          </w:tcPr>
          <w:p w14:paraId="5ED5366B" w14:textId="77777777" w:rsidR="00084F36" w:rsidRPr="00EB2BD8" w:rsidRDefault="00EB2BD8">
            <w:pPr>
              <w:pStyle w:val="TableParagraph"/>
              <w:spacing w:before="19"/>
              <w:ind w:left="299"/>
              <w:rPr>
                <w:sz w:val="16"/>
              </w:rPr>
            </w:pPr>
            <w:r w:rsidRPr="00EB2BD8">
              <w:rPr>
                <w:sz w:val="16"/>
              </w:rPr>
              <w:t>competent</w:t>
            </w:r>
            <w:r w:rsidRPr="00EB2BD8">
              <w:rPr>
                <w:spacing w:val="1"/>
                <w:sz w:val="16"/>
              </w:rPr>
              <w:t xml:space="preserve"> </w:t>
            </w:r>
            <w:r w:rsidRPr="00EB2BD8">
              <w:rPr>
                <w:sz w:val="16"/>
              </w:rPr>
              <w:t>manner</w:t>
            </w:r>
            <w:r w:rsidRPr="00EB2BD8">
              <w:rPr>
                <w:spacing w:val="1"/>
                <w:sz w:val="16"/>
              </w:rPr>
              <w:t xml:space="preserve"> </w:t>
            </w:r>
            <w:r w:rsidRPr="00EB2BD8">
              <w:rPr>
                <w:sz w:val="16"/>
              </w:rPr>
              <w:t>and</w:t>
            </w:r>
            <w:r w:rsidRPr="00EB2BD8">
              <w:rPr>
                <w:spacing w:val="1"/>
                <w:sz w:val="16"/>
              </w:rPr>
              <w:t xml:space="preserve"> </w:t>
            </w:r>
            <w:r w:rsidRPr="00EB2BD8">
              <w:rPr>
                <w:spacing w:val="-5"/>
                <w:sz w:val="16"/>
              </w:rPr>
              <w:t>to</w:t>
            </w:r>
          </w:p>
        </w:tc>
        <w:tc>
          <w:tcPr>
            <w:tcW w:w="2289" w:type="dxa"/>
          </w:tcPr>
          <w:p w14:paraId="3495849B" w14:textId="77777777" w:rsidR="00084F36" w:rsidRPr="00EB2BD8" w:rsidRDefault="00084F36">
            <w:pPr>
              <w:pStyle w:val="TableParagraph"/>
              <w:rPr>
                <w:rFonts w:ascii="Times New Roman"/>
                <w:sz w:val="16"/>
              </w:rPr>
            </w:pPr>
          </w:p>
        </w:tc>
        <w:tc>
          <w:tcPr>
            <w:tcW w:w="1078" w:type="dxa"/>
          </w:tcPr>
          <w:p w14:paraId="670D1110" w14:textId="77777777" w:rsidR="00084F36" w:rsidRPr="00EB2BD8" w:rsidRDefault="00084F36">
            <w:pPr>
              <w:pStyle w:val="TableParagraph"/>
              <w:rPr>
                <w:rFonts w:ascii="Times New Roman"/>
                <w:sz w:val="16"/>
              </w:rPr>
            </w:pPr>
          </w:p>
        </w:tc>
        <w:tc>
          <w:tcPr>
            <w:tcW w:w="1175" w:type="dxa"/>
          </w:tcPr>
          <w:p w14:paraId="7B547C15" w14:textId="77777777" w:rsidR="00084F36" w:rsidRPr="00EB2BD8" w:rsidRDefault="00084F36">
            <w:pPr>
              <w:pStyle w:val="TableParagraph"/>
              <w:rPr>
                <w:rFonts w:ascii="Times New Roman"/>
                <w:sz w:val="16"/>
              </w:rPr>
            </w:pPr>
          </w:p>
        </w:tc>
      </w:tr>
      <w:tr w:rsidR="00EB2BD8" w:rsidRPr="00EB2BD8" w14:paraId="1C062EB7" w14:textId="77777777">
        <w:trPr>
          <w:trHeight w:val="229"/>
        </w:trPr>
        <w:tc>
          <w:tcPr>
            <w:tcW w:w="1719" w:type="dxa"/>
          </w:tcPr>
          <w:p w14:paraId="0F975C7A" w14:textId="77777777" w:rsidR="00084F36" w:rsidRPr="00EB2BD8" w:rsidRDefault="00084F36">
            <w:pPr>
              <w:pStyle w:val="TableParagraph"/>
              <w:rPr>
                <w:rFonts w:ascii="Times New Roman"/>
                <w:sz w:val="16"/>
              </w:rPr>
            </w:pPr>
          </w:p>
        </w:tc>
        <w:tc>
          <w:tcPr>
            <w:tcW w:w="1485" w:type="dxa"/>
          </w:tcPr>
          <w:p w14:paraId="3CC35CB5" w14:textId="77777777" w:rsidR="00084F36" w:rsidRPr="00EB2BD8" w:rsidRDefault="00084F36">
            <w:pPr>
              <w:pStyle w:val="TableParagraph"/>
              <w:rPr>
                <w:rFonts w:ascii="Times New Roman"/>
                <w:sz w:val="16"/>
              </w:rPr>
            </w:pPr>
          </w:p>
        </w:tc>
        <w:tc>
          <w:tcPr>
            <w:tcW w:w="2453" w:type="dxa"/>
          </w:tcPr>
          <w:p w14:paraId="2DC861EC" w14:textId="77777777" w:rsidR="00084F36" w:rsidRPr="00EB2BD8" w:rsidRDefault="00EB2BD8">
            <w:pPr>
              <w:pStyle w:val="TableParagraph"/>
              <w:spacing w:before="19"/>
              <w:ind w:left="299"/>
              <w:rPr>
                <w:sz w:val="16"/>
              </w:rPr>
            </w:pPr>
            <w:r w:rsidRPr="00EB2BD8">
              <w:rPr>
                <w:sz w:val="16"/>
              </w:rPr>
              <w:t>professional</w:t>
            </w:r>
            <w:r w:rsidRPr="00EB2BD8">
              <w:rPr>
                <w:spacing w:val="-12"/>
                <w:sz w:val="16"/>
              </w:rPr>
              <w:t xml:space="preserve"> </w:t>
            </w:r>
            <w:r w:rsidRPr="00EB2BD8">
              <w:rPr>
                <w:sz w:val="16"/>
              </w:rPr>
              <w:t>standard</w:t>
            </w:r>
            <w:r w:rsidRPr="00EB2BD8">
              <w:rPr>
                <w:spacing w:val="-12"/>
                <w:sz w:val="16"/>
              </w:rPr>
              <w:t xml:space="preserve"> </w:t>
            </w:r>
            <w:r w:rsidRPr="00EB2BD8">
              <w:rPr>
                <w:spacing w:val="-5"/>
                <w:sz w:val="16"/>
              </w:rPr>
              <w:t>in</w:t>
            </w:r>
          </w:p>
        </w:tc>
        <w:tc>
          <w:tcPr>
            <w:tcW w:w="2289" w:type="dxa"/>
          </w:tcPr>
          <w:p w14:paraId="7B617039" w14:textId="77777777" w:rsidR="00084F36" w:rsidRPr="00EB2BD8" w:rsidRDefault="00084F36">
            <w:pPr>
              <w:pStyle w:val="TableParagraph"/>
              <w:rPr>
                <w:rFonts w:ascii="Times New Roman"/>
                <w:sz w:val="16"/>
              </w:rPr>
            </w:pPr>
          </w:p>
        </w:tc>
        <w:tc>
          <w:tcPr>
            <w:tcW w:w="1078" w:type="dxa"/>
          </w:tcPr>
          <w:p w14:paraId="641B4493" w14:textId="77777777" w:rsidR="00084F36" w:rsidRPr="00EB2BD8" w:rsidRDefault="00084F36">
            <w:pPr>
              <w:pStyle w:val="TableParagraph"/>
              <w:rPr>
                <w:rFonts w:ascii="Times New Roman"/>
                <w:sz w:val="16"/>
              </w:rPr>
            </w:pPr>
          </w:p>
        </w:tc>
        <w:tc>
          <w:tcPr>
            <w:tcW w:w="1175" w:type="dxa"/>
          </w:tcPr>
          <w:p w14:paraId="05229DA3" w14:textId="77777777" w:rsidR="00084F36" w:rsidRPr="00EB2BD8" w:rsidRDefault="00084F36">
            <w:pPr>
              <w:pStyle w:val="TableParagraph"/>
              <w:rPr>
                <w:rFonts w:ascii="Times New Roman"/>
                <w:sz w:val="16"/>
              </w:rPr>
            </w:pPr>
          </w:p>
        </w:tc>
      </w:tr>
      <w:tr w:rsidR="00EB2BD8" w:rsidRPr="00EB2BD8" w14:paraId="63E979C5" w14:textId="77777777">
        <w:trPr>
          <w:trHeight w:val="229"/>
        </w:trPr>
        <w:tc>
          <w:tcPr>
            <w:tcW w:w="1719" w:type="dxa"/>
          </w:tcPr>
          <w:p w14:paraId="343AD44F" w14:textId="77777777" w:rsidR="00084F36" w:rsidRPr="00EB2BD8" w:rsidRDefault="00084F36">
            <w:pPr>
              <w:pStyle w:val="TableParagraph"/>
              <w:rPr>
                <w:rFonts w:ascii="Times New Roman"/>
                <w:sz w:val="16"/>
              </w:rPr>
            </w:pPr>
          </w:p>
        </w:tc>
        <w:tc>
          <w:tcPr>
            <w:tcW w:w="1485" w:type="dxa"/>
          </w:tcPr>
          <w:p w14:paraId="4FEFAC85" w14:textId="77777777" w:rsidR="00084F36" w:rsidRPr="00EB2BD8" w:rsidRDefault="00084F36">
            <w:pPr>
              <w:pStyle w:val="TableParagraph"/>
              <w:rPr>
                <w:rFonts w:ascii="Times New Roman"/>
                <w:sz w:val="16"/>
              </w:rPr>
            </w:pPr>
          </w:p>
        </w:tc>
        <w:tc>
          <w:tcPr>
            <w:tcW w:w="2453" w:type="dxa"/>
          </w:tcPr>
          <w:p w14:paraId="38BA51A5" w14:textId="77777777" w:rsidR="00084F36" w:rsidRPr="00EB2BD8" w:rsidRDefault="00EB2BD8">
            <w:pPr>
              <w:pStyle w:val="TableParagraph"/>
              <w:spacing w:before="19"/>
              <w:ind w:left="299"/>
              <w:rPr>
                <w:sz w:val="16"/>
              </w:rPr>
            </w:pPr>
            <w:r w:rsidRPr="00EB2BD8">
              <w:rPr>
                <w:spacing w:val="-2"/>
                <w:sz w:val="16"/>
              </w:rPr>
              <w:t>substantially</w:t>
            </w:r>
            <w:r w:rsidRPr="00EB2BD8">
              <w:rPr>
                <w:spacing w:val="10"/>
                <w:sz w:val="16"/>
              </w:rPr>
              <w:t xml:space="preserve"> </w:t>
            </w:r>
            <w:r w:rsidRPr="00EB2BD8">
              <w:rPr>
                <w:spacing w:val="-2"/>
                <w:sz w:val="16"/>
              </w:rPr>
              <w:t>progressing</w:t>
            </w:r>
          </w:p>
        </w:tc>
        <w:tc>
          <w:tcPr>
            <w:tcW w:w="2289" w:type="dxa"/>
          </w:tcPr>
          <w:p w14:paraId="5EDAECEC" w14:textId="77777777" w:rsidR="00084F36" w:rsidRPr="00EB2BD8" w:rsidRDefault="00084F36">
            <w:pPr>
              <w:pStyle w:val="TableParagraph"/>
              <w:rPr>
                <w:rFonts w:ascii="Times New Roman"/>
                <w:sz w:val="16"/>
              </w:rPr>
            </w:pPr>
          </w:p>
        </w:tc>
        <w:tc>
          <w:tcPr>
            <w:tcW w:w="1078" w:type="dxa"/>
          </w:tcPr>
          <w:p w14:paraId="0FC00C9A" w14:textId="77777777" w:rsidR="00084F36" w:rsidRPr="00EB2BD8" w:rsidRDefault="00084F36">
            <w:pPr>
              <w:pStyle w:val="TableParagraph"/>
              <w:rPr>
                <w:rFonts w:ascii="Times New Roman"/>
                <w:sz w:val="16"/>
              </w:rPr>
            </w:pPr>
          </w:p>
        </w:tc>
        <w:tc>
          <w:tcPr>
            <w:tcW w:w="1175" w:type="dxa"/>
          </w:tcPr>
          <w:p w14:paraId="55B034E1" w14:textId="77777777" w:rsidR="00084F36" w:rsidRPr="00EB2BD8" w:rsidRDefault="00084F36">
            <w:pPr>
              <w:pStyle w:val="TableParagraph"/>
              <w:rPr>
                <w:rFonts w:ascii="Times New Roman"/>
                <w:sz w:val="16"/>
              </w:rPr>
            </w:pPr>
          </w:p>
        </w:tc>
      </w:tr>
      <w:tr w:rsidR="00EB2BD8" w:rsidRPr="00EB2BD8" w14:paraId="00D311FC" w14:textId="77777777">
        <w:trPr>
          <w:trHeight w:val="229"/>
        </w:trPr>
        <w:tc>
          <w:tcPr>
            <w:tcW w:w="1719" w:type="dxa"/>
          </w:tcPr>
          <w:p w14:paraId="0EF17933" w14:textId="77777777" w:rsidR="00084F36" w:rsidRPr="00EB2BD8" w:rsidRDefault="00084F36">
            <w:pPr>
              <w:pStyle w:val="TableParagraph"/>
              <w:rPr>
                <w:rFonts w:ascii="Times New Roman"/>
                <w:sz w:val="16"/>
              </w:rPr>
            </w:pPr>
          </w:p>
        </w:tc>
        <w:tc>
          <w:tcPr>
            <w:tcW w:w="1485" w:type="dxa"/>
          </w:tcPr>
          <w:p w14:paraId="60C34BF4" w14:textId="77777777" w:rsidR="00084F36" w:rsidRPr="00EB2BD8" w:rsidRDefault="00084F36">
            <w:pPr>
              <w:pStyle w:val="TableParagraph"/>
              <w:rPr>
                <w:rFonts w:ascii="Times New Roman"/>
                <w:sz w:val="16"/>
              </w:rPr>
            </w:pPr>
          </w:p>
        </w:tc>
        <w:tc>
          <w:tcPr>
            <w:tcW w:w="2453" w:type="dxa"/>
          </w:tcPr>
          <w:p w14:paraId="3F45B2D9" w14:textId="77777777" w:rsidR="00084F36" w:rsidRPr="00EB2BD8" w:rsidRDefault="00EB2BD8">
            <w:pPr>
              <w:pStyle w:val="TableParagraph"/>
              <w:spacing w:before="19"/>
              <w:ind w:left="299"/>
              <w:rPr>
                <w:sz w:val="16"/>
              </w:rPr>
            </w:pPr>
            <w:r w:rsidRPr="00EB2BD8">
              <w:rPr>
                <w:spacing w:val="-2"/>
                <w:sz w:val="16"/>
              </w:rPr>
              <w:t>building</w:t>
            </w:r>
            <w:r w:rsidRPr="00EB2BD8">
              <w:rPr>
                <w:spacing w:val="-8"/>
                <w:sz w:val="16"/>
              </w:rPr>
              <w:t xml:space="preserve"> </w:t>
            </w:r>
            <w:r w:rsidRPr="00EB2BD8">
              <w:rPr>
                <w:spacing w:val="-2"/>
                <w:sz w:val="16"/>
              </w:rPr>
              <w:t>work</w:t>
            </w:r>
            <w:r w:rsidRPr="00EB2BD8">
              <w:rPr>
                <w:spacing w:val="-8"/>
                <w:sz w:val="16"/>
              </w:rPr>
              <w:t xml:space="preserve"> </w:t>
            </w:r>
            <w:r w:rsidRPr="00EB2BD8">
              <w:rPr>
                <w:spacing w:val="-2"/>
                <w:sz w:val="16"/>
              </w:rPr>
              <w:t>beyond</w:t>
            </w:r>
            <w:r w:rsidRPr="00EB2BD8">
              <w:rPr>
                <w:spacing w:val="-8"/>
                <w:sz w:val="16"/>
              </w:rPr>
              <w:t xml:space="preserve"> </w:t>
            </w:r>
            <w:r w:rsidRPr="00EB2BD8">
              <w:rPr>
                <w:spacing w:val="-10"/>
                <w:sz w:val="16"/>
              </w:rPr>
              <w:t>a</w:t>
            </w:r>
          </w:p>
        </w:tc>
        <w:tc>
          <w:tcPr>
            <w:tcW w:w="2289" w:type="dxa"/>
          </w:tcPr>
          <w:p w14:paraId="6FEAF530" w14:textId="77777777" w:rsidR="00084F36" w:rsidRPr="00EB2BD8" w:rsidRDefault="00084F36">
            <w:pPr>
              <w:pStyle w:val="TableParagraph"/>
              <w:rPr>
                <w:rFonts w:ascii="Times New Roman"/>
                <w:sz w:val="16"/>
              </w:rPr>
            </w:pPr>
          </w:p>
        </w:tc>
        <w:tc>
          <w:tcPr>
            <w:tcW w:w="1078" w:type="dxa"/>
          </w:tcPr>
          <w:p w14:paraId="23CD21C8" w14:textId="77777777" w:rsidR="00084F36" w:rsidRPr="00EB2BD8" w:rsidRDefault="00084F36">
            <w:pPr>
              <w:pStyle w:val="TableParagraph"/>
              <w:rPr>
                <w:rFonts w:ascii="Times New Roman"/>
                <w:sz w:val="16"/>
              </w:rPr>
            </w:pPr>
          </w:p>
        </w:tc>
        <w:tc>
          <w:tcPr>
            <w:tcW w:w="1175" w:type="dxa"/>
          </w:tcPr>
          <w:p w14:paraId="0F95CC80" w14:textId="77777777" w:rsidR="00084F36" w:rsidRPr="00EB2BD8" w:rsidRDefault="00084F36">
            <w:pPr>
              <w:pStyle w:val="TableParagraph"/>
              <w:rPr>
                <w:rFonts w:ascii="Times New Roman"/>
                <w:sz w:val="16"/>
              </w:rPr>
            </w:pPr>
          </w:p>
        </w:tc>
      </w:tr>
      <w:tr w:rsidR="00EB2BD8" w:rsidRPr="00EB2BD8" w14:paraId="4E193AD7" w14:textId="77777777">
        <w:trPr>
          <w:trHeight w:val="229"/>
        </w:trPr>
        <w:tc>
          <w:tcPr>
            <w:tcW w:w="1719" w:type="dxa"/>
          </w:tcPr>
          <w:p w14:paraId="3C65AEF6" w14:textId="77777777" w:rsidR="00084F36" w:rsidRPr="00EB2BD8" w:rsidRDefault="00084F36">
            <w:pPr>
              <w:pStyle w:val="TableParagraph"/>
              <w:rPr>
                <w:rFonts w:ascii="Times New Roman"/>
                <w:sz w:val="16"/>
              </w:rPr>
            </w:pPr>
          </w:p>
        </w:tc>
        <w:tc>
          <w:tcPr>
            <w:tcW w:w="1485" w:type="dxa"/>
          </w:tcPr>
          <w:p w14:paraId="23F5F8F9" w14:textId="77777777" w:rsidR="00084F36" w:rsidRPr="00EB2BD8" w:rsidRDefault="00084F36">
            <w:pPr>
              <w:pStyle w:val="TableParagraph"/>
              <w:rPr>
                <w:rFonts w:ascii="Times New Roman"/>
                <w:sz w:val="16"/>
              </w:rPr>
            </w:pPr>
          </w:p>
        </w:tc>
        <w:tc>
          <w:tcPr>
            <w:tcW w:w="2453" w:type="dxa"/>
          </w:tcPr>
          <w:p w14:paraId="2E5D3316" w14:textId="77777777" w:rsidR="00084F36" w:rsidRPr="00EB2BD8" w:rsidRDefault="00EB2BD8">
            <w:pPr>
              <w:pStyle w:val="TableParagraph"/>
              <w:spacing w:before="19"/>
              <w:ind w:left="299"/>
              <w:rPr>
                <w:sz w:val="16"/>
              </w:rPr>
            </w:pPr>
            <w:r w:rsidRPr="00EB2BD8">
              <w:rPr>
                <w:sz w:val="16"/>
              </w:rPr>
              <w:t>mandatory</w:t>
            </w:r>
            <w:r w:rsidRPr="00EB2BD8">
              <w:rPr>
                <w:spacing w:val="14"/>
                <w:sz w:val="16"/>
              </w:rPr>
              <w:t xml:space="preserve"> </w:t>
            </w:r>
            <w:r w:rsidRPr="00EB2BD8">
              <w:rPr>
                <w:spacing w:val="-2"/>
                <w:sz w:val="16"/>
              </w:rPr>
              <w:t>inspection</w:t>
            </w:r>
          </w:p>
        </w:tc>
        <w:tc>
          <w:tcPr>
            <w:tcW w:w="2289" w:type="dxa"/>
          </w:tcPr>
          <w:p w14:paraId="487DA989" w14:textId="77777777" w:rsidR="00084F36" w:rsidRPr="00EB2BD8" w:rsidRDefault="00084F36">
            <w:pPr>
              <w:pStyle w:val="TableParagraph"/>
              <w:rPr>
                <w:rFonts w:ascii="Times New Roman"/>
                <w:sz w:val="16"/>
              </w:rPr>
            </w:pPr>
          </w:p>
        </w:tc>
        <w:tc>
          <w:tcPr>
            <w:tcW w:w="1078" w:type="dxa"/>
          </w:tcPr>
          <w:p w14:paraId="17DDBEBE" w14:textId="77777777" w:rsidR="00084F36" w:rsidRPr="00EB2BD8" w:rsidRDefault="00084F36">
            <w:pPr>
              <w:pStyle w:val="TableParagraph"/>
              <w:rPr>
                <w:rFonts w:ascii="Times New Roman"/>
                <w:sz w:val="16"/>
              </w:rPr>
            </w:pPr>
          </w:p>
        </w:tc>
        <w:tc>
          <w:tcPr>
            <w:tcW w:w="1175" w:type="dxa"/>
          </w:tcPr>
          <w:p w14:paraId="30EB4DED" w14:textId="77777777" w:rsidR="00084F36" w:rsidRPr="00EB2BD8" w:rsidRDefault="00084F36">
            <w:pPr>
              <w:pStyle w:val="TableParagraph"/>
              <w:rPr>
                <w:rFonts w:ascii="Times New Roman"/>
                <w:sz w:val="16"/>
              </w:rPr>
            </w:pPr>
          </w:p>
        </w:tc>
      </w:tr>
      <w:tr w:rsidR="00EB2BD8" w:rsidRPr="00EB2BD8" w14:paraId="07E210EF" w14:textId="77777777">
        <w:trPr>
          <w:trHeight w:val="229"/>
        </w:trPr>
        <w:tc>
          <w:tcPr>
            <w:tcW w:w="1719" w:type="dxa"/>
          </w:tcPr>
          <w:p w14:paraId="38F3175B" w14:textId="77777777" w:rsidR="00084F36" w:rsidRPr="00EB2BD8" w:rsidRDefault="00084F36">
            <w:pPr>
              <w:pStyle w:val="TableParagraph"/>
              <w:rPr>
                <w:rFonts w:ascii="Times New Roman"/>
                <w:sz w:val="16"/>
              </w:rPr>
            </w:pPr>
          </w:p>
        </w:tc>
        <w:tc>
          <w:tcPr>
            <w:tcW w:w="1485" w:type="dxa"/>
          </w:tcPr>
          <w:p w14:paraId="60D3E250" w14:textId="77777777" w:rsidR="00084F36" w:rsidRPr="00EB2BD8" w:rsidRDefault="00084F36">
            <w:pPr>
              <w:pStyle w:val="TableParagraph"/>
              <w:rPr>
                <w:rFonts w:ascii="Times New Roman"/>
                <w:sz w:val="16"/>
              </w:rPr>
            </w:pPr>
          </w:p>
        </w:tc>
        <w:tc>
          <w:tcPr>
            <w:tcW w:w="2453" w:type="dxa"/>
          </w:tcPr>
          <w:p w14:paraId="3B9DF240" w14:textId="77777777" w:rsidR="00084F36" w:rsidRPr="00EB2BD8" w:rsidRDefault="00EB2BD8">
            <w:pPr>
              <w:pStyle w:val="TableParagraph"/>
              <w:spacing w:before="19"/>
              <w:ind w:left="299"/>
              <w:rPr>
                <w:sz w:val="16"/>
              </w:rPr>
            </w:pPr>
            <w:r w:rsidRPr="00EB2BD8">
              <w:rPr>
                <w:sz w:val="16"/>
              </w:rPr>
              <w:t>stage</w:t>
            </w:r>
            <w:r w:rsidRPr="00EB2BD8">
              <w:rPr>
                <w:spacing w:val="-13"/>
                <w:sz w:val="16"/>
              </w:rPr>
              <w:t xml:space="preserve"> </w:t>
            </w:r>
            <w:r w:rsidRPr="00EB2BD8">
              <w:rPr>
                <w:sz w:val="16"/>
              </w:rPr>
              <w:t>without</w:t>
            </w:r>
            <w:r w:rsidRPr="00EB2BD8">
              <w:rPr>
                <w:spacing w:val="-13"/>
                <w:sz w:val="16"/>
              </w:rPr>
              <w:t xml:space="preserve"> </w:t>
            </w:r>
            <w:r w:rsidRPr="00EB2BD8">
              <w:rPr>
                <w:sz w:val="16"/>
              </w:rPr>
              <w:t>calling</w:t>
            </w:r>
            <w:r w:rsidRPr="00EB2BD8">
              <w:rPr>
                <w:spacing w:val="-12"/>
                <w:sz w:val="16"/>
              </w:rPr>
              <w:t xml:space="preserve"> </w:t>
            </w:r>
            <w:r w:rsidRPr="00EB2BD8">
              <w:rPr>
                <w:spacing w:val="-5"/>
                <w:sz w:val="16"/>
              </w:rPr>
              <w:t>for</w:t>
            </w:r>
          </w:p>
        </w:tc>
        <w:tc>
          <w:tcPr>
            <w:tcW w:w="2289" w:type="dxa"/>
          </w:tcPr>
          <w:p w14:paraId="35635D43" w14:textId="77777777" w:rsidR="00084F36" w:rsidRPr="00EB2BD8" w:rsidRDefault="00084F36">
            <w:pPr>
              <w:pStyle w:val="TableParagraph"/>
              <w:rPr>
                <w:rFonts w:ascii="Times New Roman"/>
                <w:sz w:val="16"/>
              </w:rPr>
            </w:pPr>
          </w:p>
        </w:tc>
        <w:tc>
          <w:tcPr>
            <w:tcW w:w="1078" w:type="dxa"/>
          </w:tcPr>
          <w:p w14:paraId="3FFDAF47" w14:textId="77777777" w:rsidR="00084F36" w:rsidRPr="00EB2BD8" w:rsidRDefault="00084F36">
            <w:pPr>
              <w:pStyle w:val="TableParagraph"/>
              <w:rPr>
                <w:rFonts w:ascii="Times New Roman"/>
                <w:sz w:val="16"/>
              </w:rPr>
            </w:pPr>
          </w:p>
        </w:tc>
        <w:tc>
          <w:tcPr>
            <w:tcW w:w="1175" w:type="dxa"/>
          </w:tcPr>
          <w:p w14:paraId="023A0BC4" w14:textId="77777777" w:rsidR="00084F36" w:rsidRPr="00EB2BD8" w:rsidRDefault="00084F36">
            <w:pPr>
              <w:pStyle w:val="TableParagraph"/>
              <w:rPr>
                <w:rFonts w:ascii="Times New Roman"/>
                <w:sz w:val="16"/>
              </w:rPr>
            </w:pPr>
          </w:p>
        </w:tc>
      </w:tr>
      <w:tr w:rsidR="00EB2BD8" w:rsidRPr="00EB2BD8" w14:paraId="03528F64" w14:textId="77777777">
        <w:trPr>
          <w:trHeight w:val="229"/>
        </w:trPr>
        <w:tc>
          <w:tcPr>
            <w:tcW w:w="1719" w:type="dxa"/>
          </w:tcPr>
          <w:p w14:paraId="06B0532F" w14:textId="77777777" w:rsidR="00084F36" w:rsidRPr="00EB2BD8" w:rsidRDefault="00084F36">
            <w:pPr>
              <w:pStyle w:val="TableParagraph"/>
              <w:rPr>
                <w:rFonts w:ascii="Times New Roman"/>
                <w:sz w:val="16"/>
              </w:rPr>
            </w:pPr>
          </w:p>
        </w:tc>
        <w:tc>
          <w:tcPr>
            <w:tcW w:w="1485" w:type="dxa"/>
          </w:tcPr>
          <w:p w14:paraId="3573D894" w14:textId="77777777" w:rsidR="00084F36" w:rsidRPr="00EB2BD8" w:rsidRDefault="00084F36">
            <w:pPr>
              <w:pStyle w:val="TableParagraph"/>
              <w:rPr>
                <w:rFonts w:ascii="Times New Roman"/>
                <w:sz w:val="16"/>
              </w:rPr>
            </w:pPr>
          </w:p>
        </w:tc>
        <w:tc>
          <w:tcPr>
            <w:tcW w:w="2453" w:type="dxa"/>
          </w:tcPr>
          <w:p w14:paraId="38487E49" w14:textId="77777777" w:rsidR="00084F36" w:rsidRPr="00EB2BD8" w:rsidRDefault="00EB2BD8">
            <w:pPr>
              <w:pStyle w:val="TableParagraph"/>
              <w:spacing w:before="19"/>
              <w:ind w:left="299"/>
              <w:rPr>
                <w:sz w:val="16"/>
              </w:rPr>
            </w:pPr>
            <w:r w:rsidRPr="00EB2BD8">
              <w:rPr>
                <w:spacing w:val="-2"/>
                <w:sz w:val="16"/>
              </w:rPr>
              <w:t>reinspection</w:t>
            </w:r>
            <w:r w:rsidRPr="00EB2BD8">
              <w:rPr>
                <w:spacing w:val="-5"/>
                <w:sz w:val="16"/>
              </w:rPr>
              <w:t xml:space="preserve"> </w:t>
            </w:r>
            <w:r w:rsidRPr="00EB2BD8">
              <w:rPr>
                <w:spacing w:val="-2"/>
                <w:sz w:val="16"/>
              </w:rPr>
              <w:t>of</w:t>
            </w:r>
            <w:r w:rsidRPr="00EB2BD8">
              <w:rPr>
                <w:spacing w:val="-4"/>
                <w:sz w:val="16"/>
              </w:rPr>
              <w:t xml:space="preserve"> non-</w:t>
            </w:r>
          </w:p>
        </w:tc>
        <w:tc>
          <w:tcPr>
            <w:tcW w:w="2289" w:type="dxa"/>
          </w:tcPr>
          <w:p w14:paraId="50218545" w14:textId="77777777" w:rsidR="00084F36" w:rsidRPr="00EB2BD8" w:rsidRDefault="00084F36">
            <w:pPr>
              <w:pStyle w:val="TableParagraph"/>
              <w:rPr>
                <w:rFonts w:ascii="Times New Roman"/>
                <w:sz w:val="16"/>
              </w:rPr>
            </w:pPr>
          </w:p>
        </w:tc>
        <w:tc>
          <w:tcPr>
            <w:tcW w:w="1078" w:type="dxa"/>
          </w:tcPr>
          <w:p w14:paraId="31027E3C" w14:textId="77777777" w:rsidR="00084F36" w:rsidRPr="00EB2BD8" w:rsidRDefault="00084F36">
            <w:pPr>
              <w:pStyle w:val="TableParagraph"/>
              <w:rPr>
                <w:rFonts w:ascii="Times New Roman"/>
                <w:sz w:val="16"/>
              </w:rPr>
            </w:pPr>
          </w:p>
        </w:tc>
        <w:tc>
          <w:tcPr>
            <w:tcW w:w="1175" w:type="dxa"/>
          </w:tcPr>
          <w:p w14:paraId="47B1994A" w14:textId="77777777" w:rsidR="00084F36" w:rsidRPr="00EB2BD8" w:rsidRDefault="00084F36">
            <w:pPr>
              <w:pStyle w:val="TableParagraph"/>
              <w:rPr>
                <w:rFonts w:ascii="Times New Roman"/>
                <w:sz w:val="16"/>
              </w:rPr>
            </w:pPr>
          </w:p>
        </w:tc>
      </w:tr>
      <w:tr w:rsidR="00EB2BD8" w:rsidRPr="00EB2BD8" w14:paraId="48880FD6" w14:textId="77777777">
        <w:trPr>
          <w:trHeight w:val="229"/>
        </w:trPr>
        <w:tc>
          <w:tcPr>
            <w:tcW w:w="1719" w:type="dxa"/>
          </w:tcPr>
          <w:p w14:paraId="1153AB33" w14:textId="77777777" w:rsidR="00084F36" w:rsidRPr="00EB2BD8" w:rsidRDefault="00084F36">
            <w:pPr>
              <w:pStyle w:val="TableParagraph"/>
              <w:rPr>
                <w:rFonts w:ascii="Times New Roman"/>
                <w:sz w:val="16"/>
              </w:rPr>
            </w:pPr>
          </w:p>
        </w:tc>
        <w:tc>
          <w:tcPr>
            <w:tcW w:w="1485" w:type="dxa"/>
          </w:tcPr>
          <w:p w14:paraId="51DB7C06" w14:textId="77777777" w:rsidR="00084F36" w:rsidRPr="00EB2BD8" w:rsidRDefault="00084F36">
            <w:pPr>
              <w:pStyle w:val="TableParagraph"/>
              <w:rPr>
                <w:rFonts w:ascii="Times New Roman"/>
                <w:sz w:val="16"/>
              </w:rPr>
            </w:pPr>
          </w:p>
        </w:tc>
        <w:tc>
          <w:tcPr>
            <w:tcW w:w="2453" w:type="dxa"/>
          </w:tcPr>
          <w:p w14:paraId="6C31E15F" w14:textId="77777777" w:rsidR="00084F36" w:rsidRPr="00EB2BD8" w:rsidRDefault="00EB2BD8">
            <w:pPr>
              <w:pStyle w:val="TableParagraph"/>
              <w:spacing w:before="19"/>
              <w:ind w:left="299"/>
              <w:rPr>
                <w:sz w:val="16"/>
              </w:rPr>
            </w:pPr>
            <w:r w:rsidRPr="00EB2BD8">
              <w:rPr>
                <w:spacing w:val="-2"/>
                <w:sz w:val="16"/>
              </w:rPr>
              <w:t>compliant</w:t>
            </w:r>
            <w:r w:rsidRPr="00EB2BD8">
              <w:rPr>
                <w:spacing w:val="-3"/>
                <w:sz w:val="16"/>
              </w:rPr>
              <w:t xml:space="preserve"> </w:t>
            </w:r>
            <w:r w:rsidRPr="00EB2BD8">
              <w:rPr>
                <w:spacing w:val="-2"/>
                <w:sz w:val="16"/>
              </w:rPr>
              <w:t>work previously</w:t>
            </w:r>
          </w:p>
        </w:tc>
        <w:tc>
          <w:tcPr>
            <w:tcW w:w="2289" w:type="dxa"/>
          </w:tcPr>
          <w:p w14:paraId="509FE8A1" w14:textId="77777777" w:rsidR="00084F36" w:rsidRPr="00EB2BD8" w:rsidRDefault="00084F36">
            <w:pPr>
              <w:pStyle w:val="TableParagraph"/>
              <w:rPr>
                <w:rFonts w:ascii="Times New Roman"/>
                <w:sz w:val="16"/>
              </w:rPr>
            </w:pPr>
          </w:p>
        </w:tc>
        <w:tc>
          <w:tcPr>
            <w:tcW w:w="1078" w:type="dxa"/>
          </w:tcPr>
          <w:p w14:paraId="21AC50B7" w14:textId="77777777" w:rsidR="00084F36" w:rsidRPr="00EB2BD8" w:rsidRDefault="00084F36">
            <w:pPr>
              <w:pStyle w:val="TableParagraph"/>
              <w:rPr>
                <w:rFonts w:ascii="Times New Roman"/>
                <w:sz w:val="16"/>
              </w:rPr>
            </w:pPr>
          </w:p>
        </w:tc>
        <w:tc>
          <w:tcPr>
            <w:tcW w:w="1175" w:type="dxa"/>
          </w:tcPr>
          <w:p w14:paraId="6AA1495B" w14:textId="77777777" w:rsidR="00084F36" w:rsidRPr="00EB2BD8" w:rsidRDefault="00084F36">
            <w:pPr>
              <w:pStyle w:val="TableParagraph"/>
              <w:rPr>
                <w:rFonts w:ascii="Times New Roman"/>
                <w:sz w:val="16"/>
              </w:rPr>
            </w:pPr>
          </w:p>
        </w:tc>
      </w:tr>
      <w:tr w:rsidR="00EB2BD8" w:rsidRPr="00EB2BD8" w14:paraId="1811F2F9" w14:textId="77777777">
        <w:trPr>
          <w:trHeight w:val="229"/>
        </w:trPr>
        <w:tc>
          <w:tcPr>
            <w:tcW w:w="1719" w:type="dxa"/>
          </w:tcPr>
          <w:p w14:paraId="26D44E2C" w14:textId="77777777" w:rsidR="00084F36" w:rsidRPr="00EB2BD8" w:rsidRDefault="00084F36">
            <w:pPr>
              <w:pStyle w:val="TableParagraph"/>
              <w:rPr>
                <w:rFonts w:ascii="Times New Roman"/>
                <w:sz w:val="16"/>
              </w:rPr>
            </w:pPr>
          </w:p>
        </w:tc>
        <w:tc>
          <w:tcPr>
            <w:tcW w:w="1485" w:type="dxa"/>
          </w:tcPr>
          <w:p w14:paraId="39C7C820" w14:textId="77777777" w:rsidR="00084F36" w:rsidRPr="00EB2BD8" w:rsidRDefault="00084F36">
            <w:pPr>
              <w:pStyle w:val="TableParagraph"/>
              <w:rPr>
                <w:rFonts w:ascii="Times New Roman"/>
                <w:sz w:val="16"/>
              </w:rPr>
            </w:pPr>
          </w:p>
        </w:tc>
        <w:tc>
          <w:tcPr>
            <w:tcW w:w="2453" w:type="dxa"/>
          </w:tcPr>
          <w:p w14:paraId="40553ACF" w14:textId="77777777" w:rsidR="00084F36" w:rsidRPr="00EB2BD8" w:rsidRDefault="00EB2BD8">
            <w:pPr>
              <w:pStyle w:val="TableParagraph"/>
              <w:spacing w:before="19"/>
              <w:ind w:left="299"/>
              <w:rPr>
                <w:sz w:val="16"/>
              </w:rPr>
            </w:pPr>
            <w:r w:rsidRPr="00EB2BD8">
              <w:rPr>
                <w:spacing w:val="-2"/>
                <w:sz w:val="16"/>
              </w:rPr>
              <w:t>identified,</w:t>
            </w:r>
            <w:r w:rsidRPr="00EB2BD8">
              <w:rPr>
                <w:spacing w:val="-10"/>
                <w:sz w:val="16"/>
              </w:rPr>
              <w:t xml:space="preserve"> </w:t>
            </w:r>
            <w:r w:rsidRPr="00EB2BD8">
              <w:rPr>
                <w:spacing w:val="-2"/>
                <w:sz w:val="16"/>
              </w:rPr>
              <w:t>in</w:t>
            </w:r>
            <w:r w:rsidRPr="00EB2BD8">
              <w:rPr>
                <w:spacing w:val="-10"/>
                <w:sz w:val="16"/>
              </w:rPr>
              <w:t xml:space="preserve"> </w:t>
            </w:r>
            <w:r w:rsidRPr="00EB2BD8">
              <w:rPr>
                <w:spacing w:val="-2"/>
                <w:sz w:val="16"/>
              </w:rPr>
              <w:t>respect</w:t>
            </w:r>
            <w:r w:rsidRPr="00EB2BD8">
              <w:rPr>
                <w:spacing w:val="-10"/>
                <w:sz w:val="16"/>
              </w:rPr>
              <w:t xml:space="preserve"> </w:t>
            </w:r>
            <w:r w:rsidRPr="00EB2BD8">
              <w:rPr>
                <w:spacing w:val="-2"/>
                <w:sz w:val="16"/>
              </w:rPr>
              <w:t>of</w:t>
            </w:r>
            <w:r w:rsidRPr="00EB2BD8">
              <w:rPr>
                <w:spacing w:val="-10"/>
                <w:sz w:val="16"/>
              </w:rPr>
              <w:t xml:space="preserve"> a</w:t>
            </w:r>
          </w:p>
        </w:tc>
        <w:tc>
          <w:tcPr>
            <w:tcW w:w="2289" w:type="dxa"/>
          </w:tcPr>
          <w:p w14:paraId="20BDE01B" w14:textId="77777777" w:rsidR="00084F36" w:rsidRPr="00EB2BD8" w:rsidRDefault="00084F36">
            <w:pPr>
              <w:pStyle w:val="TableParagraph"/>
              <w:rPr>
                <w:rFonts w:ascii="Times New Roman"/>
                <w:sz w:val="16"/>
              </w:rPr>
            </w:pPr>
          </w:p>
        </w:tc>
        <w:tc>
          <w:tcPr>
            <w:tcW w:w="1078" w:type="dxa"/>
          </w:tcPr>
          <w:p w14:paraId="2F4B3B89" w14:textId="77777777" w:rsidR="00084F36" w:rsidRPr="00EB2BD8" w:rsidRDefault="00084F36">
            <w:pPr>
              <w:pStyle w:val="TableParagraph"/>
              <w:rPr>
                <w:rFonts w:ascii="Times New Roman"/>
                <w:sz w:val="16"/>
              </w:rPr>
            </w:pPr>
          </w:p>
        </w:tc>
        <w:tc>
          <w:tcPr>
            <w:tcW w:w="1175" w:type="dxa"/>
          </w:tcPr>
          <w:p w14:paraId="7437B46F" w14:textId="77777777" w:rsidR="00084F36" w:rsidRPr="00EB2BD8" w:rsidRDefault="00084F36">
            <w:pPr>
              <w:pStyle w:val="TableParagraph"/>
              <w:rPr>
                <w:rFonts w:ascii="Times New Roman"/>
                <w:sz w:val="16"/>
              </w:rPr>
            </w:pPr>
          </w:p>
        </w:tc>
      </w:tr>
      <w:tr w:rsidR="00EB2BD8" w:rsidRPr="00EB2BD8" w14:paraId="351C92DC" w14:textId="77777777">
        <w:trPr>
          <w:trHeight w:val="287"/>
        </w:trPr>
        <w:tc>
          <w:tcPr>
            <w:tcW w:w="1719" w:type="dxa"/>
            <w:tcBorders>
              <w:bottom w:val="single" w:sz="2" w:space="0" w:color="000000"/>
            </w:tcBorders>
          </w:tcPr>
          <w:p w14:paraId="03A2FC9F" w14:textId="77777777" w:rsidR="00084F36" w:rsidRPr="00EB2BD8" w:rsidRDefault="00084F36">
            <w:pPr>
              <w:pStyle w:val="TableParagraph"/>
              <w:rPr>
                <w:rFonts w:ascii="Times New Roman"/>
                <w:sz w:val="16"/>
              </w:rPr>
            </w:pPr>
          </w:p>
        </w:tc>
        <w:tc>
          <w:tcPr>
            <w:tcW w:w="1485" w:type="dxa"/>
            <w:tcBorders>
              <w:bottom w:val="single" w:sz="2" w:space="0" w:color="000000"/>
            </w:tcBorders>
          </w:tcPr>
          <w:p w14:paraId="1EC22227" w14:textId="77777777" w:rsidR="00084F36" w:rsidRPr="00EB2BD8" w:rsidRDefault="00084F36">
            <w:pPr>
              <w:pStyle w:val="TableParagraph"/>
              <w:rPr>
                <w:rFonts w:ascii="Times New Roman"/>
                <w:sz w:val="16"/>
              </w:rPr>
            </w:pPr>
          </w:p>
        </w:tc>
        <w:tc>
          <w:tcPr>
            <w:tcW w:w="2453" w:type="dxa"/>
            <w:tcBorders>
              <w:bottom w:val="single" w:sz="2" w:space="0" w:color="000000"/>
            </w:tcBorders>
          </w:tcPr>
          <w:p w14:paraId="18A4E319" w14:textId="77777777" w:rsidR="00084F36" w:rsidRPr="00EB2BD8" w:rsidRDefault="00EB2BD8">
            <w:pPr>
              <w:pStyle w:val="TableParagraph"/>
              <w:spacing w:before="19"/>
              <w:ind w:left="299"/>
              <w:rPr>
                <w:sz w:val="16"/>
              </w:rPr>
            </w:pPr>
            <w:r w:rsidRPr="00EB2BD8">
              <w:rPr>
                <w:sz w:val="16"/>
              </w:rPr>
              <w:t>site</w:t>
            </w:r>
            <w:r w:rsidRPr="00EB2BD8">
              <w:rPr>
                <w:spacing w:val="-10"/>
                <w:sz w:val="16"/>
              </w:rPr>
              <w:t xml:space="preserve"> </w:t>
            </w:r>
            <w:r w:rsidRPr="00EB2BD8">
              <w:rPr>
                <w:sz w:val="16"/>
              </w:rPr>
              <w:t>at</w:t>
            </w:r>
            <w:r w:rsidRPr="00EB2BD8">
              <w:rPr>
                <w:spacing w:val="-9"/>
                <w:sz w:val="16"/>
              </w:rPr>
              <w:t xml:space="preserve"> </w:t>
            </w:r>
            <w:r w:rsidRPr="00EB2BD8">
              <w:rPr>
                <w:spacing w:val="-2"/>
                <w:sz w:val="16"/>
              </w:rPr>
              <w:t>Werribee</w:t>
            </w:r>
          </w:p>
        </w:tc>
        <w:tc>
          <w:tcPr>
            <w:tcW w:w="2289" w:type="dxa"/>
            <w:tcBorders>
              <w:bottom w:val="single" w:sz="2" w:space="0" w:color="000000"/>
            </w:tcBorders>
          </w:tcPr>
          <w:p w14:paraId="08A90104"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56989C24"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37AAF8EE" w14:textId="77777777" w:rsidR="00084F36" w:rsidRPr="00EB2BD8" w:rsidRDefault="00084F36">
            <w:pPr>
              <w:pStyle w:val="TableParagraph"/>
              <w:rPr>
                <w:rFonts w:ascii="Times New Roman"/>
                <w:sz w:val="16"/>
              </w:rPr>
            </w:pPr>
          </w:p>
        </w:tc>
      </w:tr>
      <w:tr w:rsidR="00EB2BD8" w:rsidRPr="00EB2BD8" w14:paraId="328624A1" w14:textId="77777777">
        <w:trPr>
          <w:trHeight w:val="323"/>
        </w:trPr>
        <w:tc>
          <w:tcPr>
            <w:tcW w:w="1719" w:type="dxa"/>
            <w:tcBorders>
              <w:top w:val="single" w:sz="2" w:space="0" w:color="000000"/>
            </w:tcBorders>
          </w:tcPr>
          <w:p w14:paraId="243AD7F1" w14:textId="77777777" w:rsidR="00084F36" w:rsidRPr="00EB2BD8" w:rsidRDefault="00EB2BD8">
            <w:pPr>
              <w:pStyle w:val="TableParagraph"/>
              <w:spacing w:before="113"/>
              <w:ind w:left="113"/>
              <w:rPr>
                <w:sz w:val="16"/>
              </w:rPr>
            </w:pPr>
            <w:r w:rsidRPr="00EB2BD8">
              <w:rPr>
                <w:spacing w:val="-4"/>
                <w:sz w:val="16"/>
              </w:rPr>
              <w:t>Zoo</w:t>
            </w:r>
            <w:r w:rsidRPr="00EB2BD8">
              <w:rPr>
                <w:spacing w:val="-2"/>
                <w:sz w:val="16"/>
              </w:rPr>
              <w:t xml:space="preserve"> </w:t>
            </w:r>
            <w:r w:rsidRPr="00EB2BD8">
              <w:rPr>
                <w:spacing w:val="-4"/>
                <w:sz w:val="16"/>
              </w:rPr>
              <w:t>Demolition</w:t>
            </w:r>
            <w:r w:rsidRPr="00EB2BD8">
              <w:rPr>
                <w:spacing w:val="-1"/>
                <w:sz w:val="16"/>
              </w:rPr>
              <w:t xml:space="preserve"> </w:t>
            </w:r>
            <w:r w:rsidRPr="00EB2BD8">
              <w:rPr>
                <w:spacing w:val="-5"/>
                <w:sz w:val="16"/>
              </w:rPr>
              <w:t>Pty</w:t>
            </w:r>
          </w:p>
        </w:tc>
        <w:tc>
          <w:tcPr>
            <w:tcW w:w="1485" w:type="dxa"/>
            <w:tcBorders>
              <w:top w:val="single" w:sz="2" w:space="0" w:color="000000"/>
            </w:tcBorders>
          </w:tcPr>
          <w:p w14:paraId="007B001D" w14:textId="77777777" w:rsidR="00084F36" w:rsidRPr="00EB2BD8" w:rsidRDefault="00EB2BD8">
            <w:pPr>
              <w:pStyle w:val="TableParagraph"/>
              <w:spacing w:before="113"/>
              <w:ind w:left="151"/>
              <w:rPr>
                <w:sz w:val="16"/>
              </w:rPr>
            </w:pPr>
            <w:r w:rsidRPr="00EB2BD8">
              <w:rPr>
                <w:spacing w:val="2"/>
                <w:sz w:val="16"/>
              </w:rPr>
              <w:t>CBD-L</w:t>
            </w:r>
            <w:r w:rsidRPr="00EB2BD8">
              <w:rPr>
                <w:spacing w:val="18"/>
                <w:sz w:val="16"/>
              </w:rPr>
              <w:t xml:space="preserve"> </w:t>
            </w:r>
            <w:r w:rsidRPr="00EB2BD8">
              <w:rPr>
                <w:spacing w:val="-4"/>
                <w:sz w:val="16"/>
              </w:rPr>
              <w:t>57147</w:t>
            </w:r>
          </w:p>
        </w:tc>
        <w:tc>
          <w:tcPr>
            <w:tcW w:w="2453" w:type="dxa"/>
            <w:tcBorders>
              <w:top w:val="single" w:sz="2" w:space="0" w:color="000000"/>
            </w:tcBorders>
          </w:tcPr>
          <w:p w14:paraId="09BFF78F" w14:textId="77777777" w:rsidR="00084F36" w:rsidRPr="00EB2BD8" w:rsidRDefault="00EB2BD8">
            <w:pPr>
              <w:pStyle w:val="TableParagraph"/>
              <w:spacing w:before="113"/>
              <w:ind w:left="299"/>
              <w:rPr>
                <w:sz w:val="16"/>
              </w:rPr>
            </w:pPr>
            <w:r w:rsidRPr="00EB2BD8">
              <w:rPr>
                <w:spacing w:val="-2"/>
                <w:sz w:val="16"/>
              </w:rPr>
              <w:t>Failing</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call</w:t>
            </w:r>
            <w:r w:rsidRPr="00EB2BD8">
              <w:rPr>
                <w:spacing w:val="-5"/>
                <w:sz w:val="16"/>
              </w:rPr>
              <w:t xml:space="preserve"> for</w:t>
            </w:r>
          </w:p>
        </w:tc>
        <w:tc>
          <w:tcPr>
            <w:tcW w:w="2289" w:type="dxa"/>
            <w:tcBorders>
              <w:top w:val="single" w:sz="2" w:space="0" w:color="000000"/>
            </w:tcBorders>
          </w:tcPr>
          <w:p w14:paraId="2488E412" w14:textId="77777777" w:rsidR="00084F36" w:rsidRPr="00EB2BD8" w:rsidRDefault="00EB2BD8">
            <w:pPr>
              <w:pStyle w:val="TableParagraph"/>
              <w:spacing w:before="113"/>
              <w:ind w:left="125"/>
              <w:rPr>
                <w:sz w:val="16"/>
              </w:rPr>
            </w:pPr>
            <w:r w:rsidRPr="00EB2BD8">
              <w:rPr>
                <w:spacing w:val="-2"/>
                <w:sz w:val="16"/>
              </w:rPr>
              <w:t>Reprimands,</w:t>
            </w:r>
            <w:r w:rsidRPr="00EB2BD8">
              <w:rPr>
                <w:spacing w:val="-4"/>
                <w:sz w:val="16"/>
              </w:rPr>
              <w:t xml:space="preserve"> </w:t>
            </w:r>
            <w:r w:rsidRPr="00EB2BD8">
              <w:rPr>
                <w:spacing w:val="-2"/>
                <w:sz w:val="16"/>
              </w:rPr>
              <w:t>aggregate</w:t>
            </w:r>
          </w:p>
        </w:tc>
        <w:tc>
          <w:tcPr>
            <w:tcW w:w="1078" w:type="dxa"/>
            <w:tcBorders>
              <w:top w:val="single" w:sz="2" w:space="0" w:color="000000"/>
            </w:tcBorders>
          </w:tcPr>
          <w:p w14:paraId="32A25195" w14:textId="77777777" w:rsidR="00084F36" w:rsidRPr="00EB2BD8" w:rsidRDefault="00EB2BD8">
            <w:pPr>
              <w:pStyle w:val="TableParagraph"/>
              <w:spacing w:before="113"/>
              <w:ind w:right="110"/>
              <w:jc w:val="right"/>
              <w:rPr>
                <w:sz w:val="16"/>
              </w:rPr>
            </w:pPr>
            <w:r w:rsidRPr="00EB2BD8">
              <w:rPr>
                <w:spacing w:val="-2"/>
                <w:sz w:val="16"/>
              </w:rPr>
              <w:t>$2,500</w:t>
            </w:r>
          </w:p>
        </w:tc>
        <w:tc>
          <w:tcPr>
            <w:tcW w:w="1175" w:type="dxa"/>
            <w:tcBorders>
              <w:top w:val="single" w:sz="2" w:space="0" w:color="000000"/>
            </w:tcBorders>
          </w:tcPr>
          <w:p w14:paraId="18208474" w14:textId="77777777" w:rsidR="00084F36" w:rsidRPr="00EB2BD8" w:rsidRDefault="00EB2BD8">
            <w:pPr>
              <w:pStyle w:val="TableParagraph"/>
              <w:spacing w:before="113"/>
              <w:ind w:left="114"/>
              <w:rPr>
                <w:sz w:val="16"/>
              </w:rPr>
            </w:pPr>
            <w:r w:rsidRPr="00EB2BD8">
              <w:rPr>
                <w:spacing w:val="-2"/>
                <w:w w:val="90"/>
                <w:sz w:val="16"/>
              </w:rPr>
              <w:t>05/12/2022</w:t>
            </w:r>
          </w:p>
        </w:tc>
      </w:tr>
      <w:tr w:rsidR="00EB2BD8" w:rsidRPr="00EB2BD8" w14:paraId="279D2CD8" w14:textId="77777777">
        <w:trPr>
          <w:trHeight w:val="229"/>
        </w:trPr>
        <w:tc>
          <w:tcPr>
            <w:tcW w:w="1719" w:type="dxa"/>
          </w:tcPr>
          <w:p w14:paraId="5F380572" w14:textId="77777777" w:rsidR="00084F36" w:rsidRPr="00EB2BD8" w:rsidRDefault="00EB2BD8">
            <w:pPr>
              <w:pStyle w:val="TableParagraph"/>
              <w:spacing w:before="19"/>
              <w:ind w:left="113"/>
              <w:rPr>
                <w:sz w:val="16"/>
              </w:rPr>
            </w:pPr>
            <w:r w:rsidRPr="00EB2BD8">
              <w:rPr>
                <w:spacing w:val="-5"/>
                <w:w w:val="105"/>
                <w:sz w:val="16"/>
              </w:rPr>
              <w:t>Ltd</w:t>
            </w:r>
          </w:p>
        </w:tc>
        <w:tc>
          <w:tcPr>
            <w:tcW w:w="1485" w:type="dxa"/>
          </w:tcPr>
          <w:p w14:paraId="0335DD84" w14:textId="77777777" w:rsidR="00084F36" w:rsidRPr="00EB2BD8" w:rsidRDefault="00084F36">
            <w:pPr>
              <w:pStyle w:val="TableParagraph"/>
              <w:rPr>
                <w:rFonts w:ascii="Times New Roman"/>
                <w:sz w:val="16"/>
              </w:rPr>
            </w:pPr>
          </w:p>
        </w:tc>
        <w:tc>
          <w:tcPr>
            <w:tcW w:w="2453" w:type="dxa"/>
          </w:tcPr>
          <w:p w14:paraId="447FCCBF" w14:textId="77777777" w:rsidR="00084F36" w:rsidRPr="00EB2BD8" w:rsidRDefault="00EB2BD8">
            <w:pPr>
              <w:pStyle w:val="TableParagraph"/>
              <w:spacing w:before="19"/>
              <w:ind w:left="299"/>
              <w:rPr>
                <w:sz w:val="16"/>
              </w:rPr>
            </w:pPr>
            <w:r w:rsidRPr="00EB2BD8">
              <w:rPr>
                <w:sz w:val="16"/>
              </w:rPr>
              <w:t>mandatory</w:t>
            </w:r>
            <w:r w:rsidRPr="00EB2BD8">
              <w:rPr>
                <w:spacing w:val="14"/>
                <w:sz w:val="16"/>
              </w:rPr>
              <w:t xml:space="preserve"> </w:t>
            </w:r>
            <w:r w:rsidRPr="00EB2BD8">
              <w:rPr>
                <w:spacing w:val="-2"/>
                <w:sz w:val="16"/>
              </w:rPr>
              <w:t>stage</w:t>
            </w:r>
          </w:p>
        </w:tc>
        <w:tc>
          <w:tcPr>
            <w:tcW w:w="2289" w:type="dxa"/>
          </w:tcPr>
          <w:p w14:paraId="75DE9347" w14:textId="77777777" w:rsidR="00084F36" w:rsidRPr="00EB2BD8" w:rsidRDefault="00EB2BD8">
            <w:pPr>
              <w:pStyle w:val="TableParagraph"/>
              <w:spacing w:before="19"/>
              <w:ind w:left="125"/>
              <w:rPr>
                <w:sz w:val="16"/>
              </w:rPr>
            </w:pPr>
            <w:r w:rsidRPr="00EB2BD8">
              <w:rPr>
                <w:spacing w:val="-2"/>
                <w:sz w:val="16"/>
              </w:rPr>
              <w:t>penalties</w:t>
            </w:r>
            <w:r w:rsidRPr="00EB2BD8">
              <w:rPr>
                <w:spacing w:val="-8"/>
                <w:sz w:val="16"/>
              </w:rPr>
              <w:t xml:space="preserve"> </w:t>
            </w:r>
            <w:r w:rsidRPr="00EB2BD8">
              <w:rPr>
                <w:spacing w:val="-2"/>
                <w:sz w:val="16"/>
              </w:rPr>
              <w:t>of</w:t>
            </w:r>
            <w:r w:rsidRPr="00EB2BD8">
              <w:rPr>
                <w:spacing w:val="-7"/>
                <w:sz w:val="16"/>
              </w:rPr>
              <w:t xml:space="preserve"> </w:t>
            </w:r>
            <w:r w:rsidRPr="00EB2BD8">
              <w:rPr>
                <w:spacing w:val="-2"/>
                <w:sz w:val="16"/>
              </w:rPr>
              <w:t>$5,000</w:t>
            </w:r>
            <w:r w:rsidRPr="00EB2BD8">
              <w:rPr>
                <w:spacing w:val="-8"/>
                <w:sz w:val="16"/>
              </w:rPr>
              <w:t xml:space="preserve"> </w:t>
            </w:r>
            <w:r w:rsidRPr="00EB2BD8">
              <w:rPr>
                <w:spacing w:val="-2"/>
                <w:sz w:val="16"/>
              </w:rPr>
              <w:t>and</w:t>
            </w:r>
            <w:r w:rsidRPr="00EB2BD8">
              <w:rPr>
                <w:spacing w:val="-7"/>
                <w:sz w:val="16"/>
              </w:rPr>
              <w:t xml:space="preserve"> </w:t>
            </w:r>
            <w:r w:rsidRPr="00EB2BD8">
              <w:rPr>
                <w:spacing w:val="-10"/>
                <w:sz w:val="16"/>
              </w:rPr>
              <w:t>a</w:t>
            </w:r>
          </w:p>
        </w:tc>
        <w:tc>
          <w:tcPr>
            <w:tcW w:w="1078" w:type="dxa"/>
          </w:tcPr>
          <w:p w14:paraId="76C4FE1B" w14:textId="77777777" w:rsidR="00084F36" w:rsidRPr="00EB2BD8" w:rsidRDefault="00084F36">
            <w:pPr>
              <w:pStyle w:val="TableParagraph"/>
              <w:rPr>
                <w:rFonts w:ascii="Times New Roman"/>
                <w:sz w:val="16"/>
              </w:rPr>
            </w:pPr>
          </w:p>
        </w:tc>
        <w:tc>
          <w:tcPr>
            <w:tcW w:w="1175" w:type="dxa"/>
          </w:tcPr>
          <w:p w14:paraId="7E5540A0" w14:textId="77777777" w:rsidR="00084F36" w:rsidRPr="00EB2BD8" w:rsidRDefault="00084F36">
            <w:pPr>
              <w:pStyle w:val="TableParagraph"/>
              <w:rPr>
                <w:rFonts w:ascii="Times New Roman"/>
                <w:sz w:val="16"/>
              </w:rPr>
            </w:pPr>
          </w:p>
        </w:tc>
      </w:tr>
      <w:tr w:rsidR="00EB2BD8" w:rsidRPr="00EB2BD8" w14:paraId="70E50C4A" w14:textId="77777777">
        <w:trPr>
          <w:trHeight w:val="229"/>
        </w:trPr>
        <w:tc>
          <w:tcPr>
            <w:tcW w:w="1719" w:type="dxa"/>
          </w:tcPr>
          <w:p w14:paraId="53CE118A" w14:textId="77777777" w:rsidR="00084F36" w:rsidRPr="00EB2BD8" w:rsidRDefault="00084F36">
            <w:pPr>
              <w:pStyle w:val="TableParagraph"/>
              <w:rPr>
                <w:rFonts w:ascii="Times New Roman"/>
                <w:sz w:val="16"/>
              </w:rPr>
            </w:pPr>
          </w:p>
        </w:tc>
        <w:tc>
          <w:tcPr>
            <w:tcW w:w="1485" w:type="dxa"/>
          </w:tcPr>
          <w:p w14:paraId="2383C861" w14:textId="77777777" w:rsidR="00084F36" w:rsidRPr="00EB2BD8" w:rsidRDefault="00084F36">
            <w:pPr>
              <w:pStyle w:val="TableParagraph"/>
              <w:rPr>
                <w:rFonts w:ascii="Times New Roman"/>
                <w:sz w:val="16"/>
              </w:rPr>
            </w:pPr>
          </w:p>
        </w:tc>
        <w:tc>
          <w:tcPr>
            <w:tcW w:w="2453" w:type="dxa"/>
          </w:tcPr>
          <w:p w14:paraId="11AB04A3" w14:textId="77777777" w:rsidR="00084F36" w:rsidRPr="00EB2BD8" w:rsidRDefault="00EB2BD8">
            <w:pPr>
              <w:pStyle w:val="TableParagraph"/>
              <w:spacing w:before="19"/>
              <w:ind w:left="299"/>
              <w:rPr>
                <w:sz w:val="16"/>
              </w:rPr>
            </w:pPr>
            <w:r w:rsidRPr="00EB2BD8">
              <w:rPr>
                <w:spacing w:val="-2"/>
                <w:sz w:val="16"/>
              </w:rPr>
              <w:t>inspections</w:t>
            </w:r>
            <w:r w:rsidRPr="00EB2BD8">
              <w:rPr>
                <w:spacing w:val="-7"/>
                <w:sz w:val="16"/>
              </w:rPr>
              <w:t xml:space="preserve"> </w:t>
            </w:r>
            <w:r w:rsidRPr="00EB2BD8">
              <w:rPr>
                <w:spacing w:val="-2"/>
                <w:sz w:val="16"/>
              </w:rPr>
              <w:t>in</w:t>
            </w:r>
            <w:r w:rsidRPr="00EB2BD8">
              <w:rPr>
                <w:spacing w:val="-7"/>
                <w:sz w:val="16"/>
              </w:rPr>
              <w:t xml:space="preserve"> </w:t>
            </w:r>
            <w:r w:rsidRPr="00EB2BD8">
              <w:rPr>
                <w:spacing w:val="-2"/>
                <w:sz w:val="16"/>
              </w:rPr>
              <w:t>respect</w:t>
            </w:r>
          </w:p>
        </w:tc>
        <w:tc>
          <w:tcPr>
            <w:tcW w:w="2289" w:type="dxa"/>
          </w:tcPr>
          <w:p w14:paraId="68DD9B0F" w14:textId="77777777" w:rsidR="00084F36" w:rsidRPr="00EB2BD8" w:rsidRDefault="00EB2BD8">
            <w:pPr>
              <w:pStyle w:val="TableParagraph"/>
              <w:spacing w:before="19"/>
              <w:ind w:left="125"/>
              <w:rPr>
                <w:sz w:val="16"/>
              </w:rPr>
            </w:pPr>
            <w:r w:rsidRPr="00EB2BD8">
              <w:rPr>
                <w:spacing w:val="-2"/>
                <w:sz w:val="16"/>
              </w:rPr>
              <w:t>requirement</w:t>
            </w:r>
            <w:r w:rsidRPr="00EB2BD8">
              <w:rPr>
                <w:spacing w:val="-6"/>
                <w:sz w:val="16"/>
              </w:rPr>
              <w:t xml:space="preserve"> </w:t>
            </w:r>
            <w:r w:rsidRPr="00EB2BD8">
              <w:rPr>
                <w:spacing w:val="-2"/>
                <w:sz w:val="16"/>
              </w:rPr>
              <w:t>to</w:t>
            </w:r>
            <w:r w:rsidRPr="00EB2BD8">
              <w:rPr>
                <w:spacing w:val="-6"/>
                <w:sz w:val="16"/>
              </w:rPr>
              <w:t xml:space="preserve"> </w:t>
            </w:r>
            <w:r w:rsidRPr="00EB2BD8">
              <w:rPr>
                <w:spacing w:val="-2"/>
                <w:sz w:val="16"/>
              </w:rPr>
              <w:t>complete</w:t>
            </w:r>
          </w:p>
        </w:tc>
        <w:tc>
          <w:tcPr>
            <w:tcW w:w="1078" w:type="dxa"/>
          </w:tcPr>
          <w:p w14:paraId="189270FC" w14:textId="77777777" w:rsidR="00084F36" w:rsidRPr="00EB2BD8" w:rsidRDefault="00084F36">
            <w:pPr>
              <w:pStyle w:val="TableParagraph"/>
              <w:rPr>
                <w:rFonts w:ascii="Times New Roman"/>
                <w:sz w:val="16"/>
              </w:rPr>
            </w:pPr>
          </w:p>
        </w:tc>
        <w:tc>
          <w:tcPr>
            <w:tcW w:w="1175" w:type="dxa"/>
          </w:tcPr>
          <w:p w14:paraId="4505218E" w14:textId="77777777" w:rsidR="00084F36" w:rsidRPr="00EB2BD8" w:rsidRDefault="00084F36">
            <w:pPr>
              <w:pStyle w:val="TableParagraph"/>
              <w:rPr>
                <w:rFonts w:ascii="Times New Roman"/>
                <w:sz w:val="16"/>
              </w:rPr>
            </w:pPr>
          </w:p>
        </w:tc>
      </w:tr>
      <w:tr w:rsidR="00EB2BD8" w:rsidRPr="00EB2BD8" w14:paraId="07CDD7F6" w14:textId="77777777">
        <w:trPr>
          <w:trHeight w:val="230"/>
        </w:trPr>
        <w:tc>
          <w:tcPr>
            <w:tcW w:w="1719" w:type="dxa"/>
          </w:tcPr>
          <w:p w14:paraId="1E156C92" w14:textId="77777777" w:rsidR="00084F36" w:rsidRPr="00EB2BD8" w:rsidRDefault="00084F36">
            <w:pPr>
              <w:pStyle w:val="TableParagraph"/>
              <w:rPr>
                <w:rFonts w:ascii="Times New Roman"/>
                <w:sz w:val="16"/>
              </w:rPr>
            </w:pPr>
          </w:p>
        </w:tc>
        <w:tc>
          <w:tcPr>
            <w:tcW w:w="1485" w:type="dxa"/>
          </w:tcPr>
          <w:p w14:paraId="36F2CFEB" w14:textId="77777777" w:rsidR="00084F36" w:rsidRPr="00EB2BD8" w:rsidRDefault="00084F36">
            <w:pPr>
              <w:pStyle w:val="TableParagraph"/>
              <w:rPr>
                <w:rFonts w:ascii="Times New Roman"/>
                <w:sz w:val="16"/>
              </w:rPr>
            </w:pPr>
          </w:p>
        </w:tc>
        <w:tc>
          <w:tcPr>
            <w:tcW w:w="2453" w:type="dxa"/>
          </w:tcPr>
          <w:p w14:paraId="1C1F2AA9" w14:textId="77777777" w:rsidR="00084F36" w:rsidRPr="00EB2BD8" w:rsidRDefault="00EB2BD8">
            <w:pPr>
              <w:pStyle w:val="TableParagraph"/>
              <w:spacing w:before="19"/>
              <w:ind w:left="299"/>
              <w:rPr>
                <w:sz w:val="16"/>
              </w:rPr>
            </w:pPr>
            <w:r w:rsidRPr="00EB2BD8">
              <w:rPr>
                <w:spacing w:val="-4"/>
                <w:sz w:val="16"/>
              </w:rPr>
              <w:t>of demolition</w:t>
            </w:r>
            <w:r w:rsidRPr="00EB2BD8">
              <w:rPr>
                <w:spacing w:val="-3"/>
                <w:sz w:val="16"/>
              </w:rPr>
              <w:t xml:space="preserve"> </w:t>
            </w:r>
            <w:r w:rsidRPr="00EB2BD8">
              <w:rPr>
                <w:spacing w:val="-4"/>
                <w:sz w:val="16"/>
              </w:rPr>
              <w:t>work</w:t>
            </w:r>
            <w:r w:rsidRPr="00EB2BD8">
              <w:rPr>
                <w:spacing w:val="-3"/>
                <w:sz w:val="16"/>
              </w:rPr>
              <w:t xml:space="preserve"> </w:t>
            </w:r>
            <w:r w:rsidRPr="00EB2BD8">
              <w:rPr>
                <w:spacing w:val="-5"/>
                <w:sz w:val="16"/>
              </w:rPr>
              <w:t>at</w:t>
            </w:r>
          </w:p>
        </w:tc>
        <w:tc>
          <w:tcPr>
            <w:tcW w:w="2289" w:type="dxa"/>
          </w:tcPr>
          <w:p w14:paraId="72B46963" w14:textId="77777777" w:rsidR="00084F36" w:rsidRPr="00EB2BD8" w:rsidRDefault="00EB2BD8">
            <w:pPr>
              <w:pStyle w:val="TableParagraph"/>
              <w:spacing w:before="19"/>
              <w:ind w:left="125"/>
              <w:rPr>
                <w:sz w:val="16"/>
              </w:rPr>
            </w:pPr>
            <w:r w:rsidRPr="00EB2BD8">
              <w:rPr>
                <w:spacing w:val="-2"/>
                <w:sz w:val="16"/>
              </w:rPr>
              <w:t>training.</w:t>
            </w:r>
          </w:p>
        </w:tc>
        <w:tc>
          <w:tcPr>
            <w:tcW w:w="1078" w:type="dxa"/>
          </w:tcPr>
          <w:p w14:paraId="0E3BEC8F" w14:textId="77777777" w:rsidR="00084F36" w:rsidRPr="00EB2BD8" w:rsidRDefault="00084F36">
            <w:pPr>
              <w:pStyle w:val="TableParagraph"/>
              <w:rPr>
                <w:rFonts w:ascii="Times New Roman"/>
                <w:sz w:val="16"/>
              </w:rPr>
            </w:pPr>
          </w:p>
        </w:tc>
        <w:tc>
          <w:tcPr>
            <w:tcW w:w="1175" w:type="dxa"/>
          </w:tcPr>
          <w:p w14:paraId="2BEEEB83" w14:textId="77777777" w:rsidR="00084F36" w:rsidRPr="00EB2BD8" w:rsidRDefault="00084F36">
            <w:pPr>
              <w:pStyle w:val="TableParagraph"/>
              <w:rPr>
                <w:rFonts w:ascii="Times New Roman"/>
                <w:sz w:val="16"/>
              </w:rPr>
            </w:pPr>
          </w:p>
        </w:tc>
      </w:tr>
      <w:tr w:rsidR="00EB2BD8" w:rsidRPr="00EB2BD8" w14:paraId="2C35BFF8" w14:textId="77777777">
        <w:trPr>
          <w:trHeight w:val="229"/>
        </w:trPr>
        <w:tc>
          <w:tcPr>
            <w:tcW w:w="1719" w:type="dxa"/>
          </w:tcPr>
          <w:p w14:paraId="7EE2A3E6" w14:textId="77777777" w:rsidR="00084F36" w:rsidRPr="00EB2BD8" w:rsidRDefault="00084F36">
            <w:pPr>
              <w:pStyle w:val="TableParagraph"/>
              <w:rPr>
                <w:rFonts w:ascii="Times New Roman"/>
                <w:sz w:val="16"/>
              </w:rPr>
            </w:pPr>
          </w:p>
        </w:tc>
        <w:tc>
          <w:tcPr>
            <w:tcW w:w="1485" w:type="dxa"/>
          </w:tcPr>
          <w:p w14:paraId="57B69CD9" w14:textId="77777777" w:rsidR="00084F36" w:rsidRPr="00EB2BD8" w:rsidRDefault="00084F36">
            <w:pPr>
              <w:pStyle w:val="TableParagraph"/>
              <w:rPr>
                <w:rFonts w:ascii="Times New Roman"/>
                <w:sz w:val="16"/>
              </w:rPr>
            </w:pPr>
          </w:p>
        </w:tc>
        <w:tc>
          <w:tcPr>
            <w:tcW w:w="2453" w:type="dxa"/>
          </w:tcPr>
          <w:p w14:paraId="13AC190F" w14:textId="77777777" w:rsidR="00084F36" w:rsidRPr="00EB2BD8" w:rsidRDefault="00EB2BD8">
            <w:pPr>
              <w:pStyle w:val="TableParagraph"/>
              <w:spacing w:before="19"/>
              <w:ind w:left="299"/>
              <w:rPr>
                <w:sz w:val="16"/>
              </w:rPr>
            </w:pPr>
            <w:r w:rsidRPr="00EB2BD8">
              <w:rPr>
                <w:sz w:val="16"/>
              </w:rPr>
              <w:t>sites</w:t>
            </w:r>
            <w:r w:rsidRPr="00EB2BD8">
              <w:rPr>
                <w:spacing w:val="-12"/>
                <w:sz w:val="16"/>
              </w:rPr>
              <w:t xml:space="preserve"> </w:t>
            </w:r>
            <w:r w:rsidRPr="00EB2BD8">
              <w:rPr>
                <w:sz w:val="16"/>
              </w:rPr>
              <w:t>at</w:t>
            </w:r>
            <w:r w:rsidRPr="00EB2BD8">
              <w:rPr>
                <w:spacing w:val="-12"/>
                <w:sz w:val="16"/>
              </w:rPr>
              <w:t xml:space="preserve"> </w:t>
            </w:r>
            <w:r w:rsidRPr="00EB2BD8">
              <w:rPr>
                <w:sz w:val="16"/>
              </w:rPr>
              <w:t>Ross</w:t>
            </w:r>
            <w:r w:rsidRPr="00EB2BD8">
              <w:rPr>
                <w:spacing w:val="-11"/>
                <w:sz w:val="16"/>
              </w:rPr>
              <w:t xml:space="preserve"> </w:t>
            </w:r>
            <w:r w:rsidRPr="00EB2BD8">
              <w:rPr>
                <w:sz w:val="16"/>
              </w:rPr>
              <w:t>Creek</w:t>
            </w:r>
            <w:r w:rsidRPr="00EB2BD8">
              <w:rPr>
                <w:spacing w:val="-12"/>
                <w:sz w:val="16"/>
              </w:rPr>
              <w:t xml:space="preserve"> </w:t>
            </w:r>
            <w:r w:rsidRPr="00EB2BD8">
              <w:rPr>
                <w:spacing w:val="-5"/>
                <w:sz w:val="16"/>
              </w:rPr>
              <w:t>and</w:t>
            </w:r>
          </w:p>
        </w:tc>
        <w:tc>
          <w:tcPr>
            <w:tcW w:w="2289" w:type="dxa"/>
          </w:tcPr>
          <w:p w14:paraId="4C4A2153" w14:textId="77777777" w:rsidR="00084F36" w:rsidRPr="00EB2BD8" w:rsidRDefault="00084F36">
            <w:pPr>
              <w:pStyle w:val="TableParagraph"/>
              <w:rPr>
                <w:rFonts w:ascii="Times New Roman"/>
                <w:sz w:val="16"/>
              </w:rPr>
            </w:pPr>
          </w:p>
        </w:tc>
        <w:tc>
          <w:tcPr>
            <w:tcW w:w="1078" w:type="dxa"/>
          </w:tcPr>
          <w:p w14:paraId="52ED54ED" w14:textId="77777777" w:rsidR="00084F36" w:rsidRPr="00EB2BD8" w:rsidRDefault="00084F36">
            <w:pPr>
              <w:pStyle w:val="TableParagraph"/>
              <w:rPr>
                <w:rFonts w:ascii="Times New Roman"/>
                <w:sz w:val="16"/>
              </w:rPr>
            </w:pPr>
          </w:p>
        </w:tc>
        <w:tc>
          <w:tcPr>
            <w:tcW w:w="1175" w:type="dxa"/>
          </w:tcPr>
          <w:p w14:paraId="75DFF7E3" w14:textId="77777777" w:rsidR="00084F36" w:rsidRPr="00EB2BD8" w:rsidRDefault="00084F36">
            <w:pPr>
              <w:pStyle w:val="TableParagraph"/>
              <w:rPr>
                <w:rFonts w:ascii="Times New Roman"/>
                <w:sz w:val="16"/>
              </w:rPr>
            </w:pPr>
          </w:p>
        </w:tc>
      </w:tr>
      <w:tr w:rsidR="00EB2BD8" w:rsidRPr="00EB2BD8" w14:paraId="70521F47" w14:textId="77777777">
        <w:trPr>
          <w:trHeight w:val="229"/>
        </w:trPr>
        <w:tc>
          <w:tcPr>
            <w:tcW w:w="1719" w:type="dxa"/>
          </w:tcPr>
          <w:p w14:paraId="2512545A" w14:textId="77777777" w:rsidR="00084F36" w:rsidRPr="00EB2BD8" w:rsidRDefault="00084F36">
            <w:pPr>
              <w:pStyle w:val="TableParagraph"/>
              <w:rPr>
                <w:rFonts w:ascii="Times New Roman"/>
                <w:sz w:val="16"/>
              </w:rPr>
            </w:pPr>
          </w:p>
        </w:tc>
        <w:tc>
          <w:tcPr>
            <w:tcW w:w="1485" w:type="dxa"/>
          </w:tcPr>
          <w:p w14:paraId="4B3AD092" w14:textId="77777777" w:rsidR="00084F36" w:rsidRPr="00EB2BD8" w:rsidRDefault="00084F36">
            <w:pPr>
              <w:pStyle w:val="TableParagraph"/>
              <w:rPr>
                <w:rFonts w:ascii="Times New Roman"/>
                <w:sz w:val="16"/>
              </w:rPr>
            </w:pPr>
          </w:p>
        </w:tc>
        <w:tc>
          <w:tcPr>
            <w:tcW w:w="2453" w:type="dxa"/>
          </w:tcPr>
          <w:p w14:paraId="2A603CA5" w14:textId="77777777" w:rsidR="00084F36" w:rsidRPr="00EB2BD8" w:rsidRDefault="00EB2BD8">
            <w:pPr>
              <w:pStyle w:val="TableParagraph"/>
              <w:spacing w:before="19"/>
              <w:ind w:left="299"/>
              <w:rPr>
                <w:sz w:val="16"/>
              </w:rPr>
            </w:pPr>
            <w:r w:rsidRPr="00EB2BD8">
              <w:rPr>
                <w:sz w:val="16"/>
              </w:rPr>
              <w:t>Wendouree</w:t>
            </w:r>
            <w:r w:rsidRPr="00EB2BD8">
              <w:rPr>
                <w:spacing w:val="-8"/>
                <w:sz w:val="16"/>
              </w:rPr>
              <w:t xml:space="preserve"> </w:t>
            </w:r>
            <w:r w:rsidRPr="00EB2BD8">
              <w:rPr>
                <w:sz w:val="16"/>
              </w:rPr>
              <w:t>North</w:t>
            </w:r>
            <w:r w:rsidRPr="00EB2BD8">
              <w:rPr>
                <w:spacing w:val="-8"/>
                <w:sz w:val="16"/>
              </w:rPr>
              <w:t xml:space="preserve"> </w:t>
            </w:r>
            <w:r w:rsidRPr="00EB2BD8">
              <w:rPr>
                <w:spacing w:val="-5"/>
                <w:sz w:val="16"/>
              </w:rPr>
              <w:t>(2</w:t>
            </w:r>
          </w:p>
        </w:tc>
        <w:tc>
          <w:tcPr>
            <w:tcW w:w="2289" w:type="dxa"/>
          </w:tcPr>
          <w:p w14:paraId="490343FB" w14:textId="77777777" w:rsidR="00084F36" w:rsidRPr="00EB2BD8" w:rsidRDefault="00084F36">
            <w:pPr>
              <w:pStyle w:val="TableParagraph"/>
              <w:rPr>
                <w:rFonts w:ascii="Times New Roman"/>
                <w:sz w:val="16"/>
              </w:rPr>
            </w:pPr>
          </w:p>
        </w:tc>
        <w:tc>
          <w:tcPr>
            <w:tcW w:w="1078" w:type="dxa"/>
          </w:tcPr>
          <w:p w14:paraId="1D53DD4F" w14:textId="77777777" w:rsidR="00084F36" w:rsidRPr="00EB2BD8" w:rsidRDefault="00084F36">
            <w:pPr>
              <w:pStyle w:val="TableParagraph"/>
              <w:rPr>
                <w:rFonts w:ascii="Times New Roman"/>
                <w:sz w:val="16"/>
              </w:rPr>
            </w:pPr>
          </w:p>
        </w:tc>
        <w:tc>
          <w:tcPr>
            <w:tcW w:w="1175" w:type="dxa"/>
          </w:tcPr>
          <w:p w14:paraId="355DF378" w14:textId="77777777" w:rsidR="00084F36" w:rsidRPr="00EB2BD8" w:rsidRDefault="00084F36">
            <w:pPr>
              <w:pStyle w:val="TableParagraph"/>
              <w:rPr>
                <w:rFonts w:ascii="Times New Roman"/>
                <w:sz w:val="16"/>
              </w:rPr>
            </w:pPr>
          </w:p>
        </w:tc>
      </w:tr>
      <w:tr w:rsidR="00084F36" w:rsidRPr="00EB2BD8" w14:paraId="0A466E98" w14:textId="77777777">
        <w:trPr>
          <w:trHeight w:val="288"/>
        </w:trPr>
        <w:tc>
          <w:tcPr>
            <w:tcW w:w="1719" w:type="dxa"/>
            <w:tcBorders>
              <w:bottom w:val="single" w:sz="2" w:space="0" w:color="000000"/>
            </w:tcBorders>
          </w:tcPr>
          <w:p w14:paraId="1986DB16" w14:textId="77777777" w:rsidR="00084F36" w:rsidRPr="00EB2BD8" w:rsidRDefault="00084F36">
            <w:pPr>
              <w:pStyle w:val="TableParagraph"/>
              <w:rPr>
                <w:rFonts w:ascii="Times New Roman"/>
                <w:sz w:val="16"/>
              </w:rPr>
            </w:pPr>
          </w:p>
        </w:tc>
        <w:tc>
          <w:tcPr>
            <w:tcW w:w="1485" w:type="dxa"/>
            <w:tcBorders>
              <w:bottom w:val="single" w:sz="2" w:space="0" w:color="000000"/>
            </w:tcBorders>
          </w:tcPr>
          <w:p w14:paraId="658F8ADF" w14:textId="77777777" w:rsidR="00084F36" w:rsidRPr="00EB2BD8" w:rsidRDefault="00084F36">
            <w:pPr>
              <w:pStyle w:val="TableParagraph"/>
              <w:rPr>
                <w:rFonts w:ascii="Times New Roman"/>
                <w:sz w:val="16"/>
              </w:rPr>
            </w:pPr>
          </w:p>
        </w:tc>
        <w:tc>
          <w:tcPr>
            <w:tcW w:w="2453" w:type="dxa"/>
            <w:tcBorders>
              <w:bottom w:val="single" w:sz="2" w:space="0" w:color="000000"/>
            </w:tcBorders>
          </w:tcPr>
          <w:p w14:paraId="4ECF6979" w14:textId="77777777" w:rsidR="00084F36" w:rsidRPr="00EB2BD8" w:rsidRDefault="00EB2BD8">
            <w:pPr>
              <w:pStyle w:val="TableParagraph"/>
              <w:spacing w:before="19"/>
              <w:ind w:left="299"/>
              <w:rPr>
                <w:sz w:val="16"/>
              </w:rPr>
            </w:pPr>
            <w:r w:rsidRPr="00EB2BD8">
              <w:rPr>
                <w:sz w:val="16"/>
              </w:rPr>
              <w:t>inspections</w:t>
            </w:r>
            <w:r w:rsidRPr="00EB2BD8">
              <w:rPr>
                <w:spacing w:val="-3"/>
                <w:sz w:val="16"/>
              </w:rPr>
              <w:t xml:space="preserve"> </w:t>
            </w:r>
            <w:r w:rsidRPr="00EB2BD8">
              <w:rPr>
                <w:sz w:val="16"/>
              </w:rPr>
              <w:t>at</w:t>
            </w:r>
            <w:r w:rsidRPr="00EB2BD8">
              <w:rPr>
                <w:spacing w:val="-3"/>
                <w:sz w:val="16"/>
              </w:rPr>
              <w:t xml:space="preserve"> </w:t>
            </w:r>
            <w:r w:rsidRPr="00EB2BD8">
              <w:rPr>
                <w:sz w:val="16"/>
              </w:rPr>
              <w:t>each</w:t>
            </w:r>
            <w:r w:rsidRPr="00EB2BD8">
              <w:rPr>
                <w:spacing w:val="-2"/>
                <w:sz w:val="16"/>
              </w:rPr>
              <w:t xml:space="preserve"> </w:t>
            </w:r>
            <w:r w:rsidRPr="00EB2BD8">
              <w:rPr>
                <w:spacing w:val="-4"/>
                <w:sz w:val="16"/>
              </w:rPr>
              <w:t>site)</w:t>
            </w:r>
          </w:p>
        </w:tc>
        <w:tc>
          <w:tcPr>
            <w:tcW w:w="2289" w:type="dxa"/>
            <w:tcBorders>
              <w:bottom w:val="single" w:sz="2" w:space="0" w:color="000000"/>
            </w:tcBorders>
          </w:tcPr>
          <w:p w14:paraId="060E2658" w14:textId="77777777" w:rsidR="00084F36" w:rsidRPr="00EB2BD8" w:rsidRDefault="00084F36">
            <w:pPr>
              <w:pStyle w:val="TableParagraph"/>
              <w:rPr>
                <w:rFonts w:ascii="Times New Roman"/>
                <w:sz w:val="16"/>
              </w:rPr>
            </w:pPr>
          </w:p>
        </w:tc>
        <w:tc>
          <w:tcPr>
            <w:tcW w:w="1078" w:type="dxa"/>
            <w:tcBorders>
              <w:bottom w:val="single" w:sz="2" w:space="0" w:color="000000"/>
            </w:tcBorders>
          </w:tcPr>
          <w:p w14:paraId="67E1BA36"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59B184F4" w14:textId="77777777" w:rsidR="00084F36" w:rsidRPr="00EB2BD8" w:rsidRDefault="00084F36">
            <w:pPr>
              <w:pStyle w:val="TableParagraph"/>
              <w:rPr>
                <w:rFonts w:ascii="Times New Roman"/>
                <w:sz w:val="16"/>
              </w:rPr>
            </w:pPr>
          </w:p>
        </w:tc>
      </w:tr>
    </w:tbl>
    <w:p w14:paraId="4B0D6A8D" w14:textId="77777777" w:rsidR="00084F36" w:rsidRPr="00EB2BD8" w:rsidRDefault="00084F36">
      <w:pPr>
        <w:rPr>
          <w:rFonts w:ascii="Times New Roman"/>
          <w:sz w:val="16"/>
        </w:rPr>
        <w:sectPr w:rsidR="00084F36" w:rsidRPr="00EB2BD8" w:rsidSect="006D75B2">
          <w:footerReference w:type="default" r:id="rId426"/>
          <w:pgSz w:w="11910" w:h="16840"/>
          <w:pgMar w:top="1080" w:right="0" w:bottom="720" w:left="0" w:header="0" w:footer="528" w:gutter="0"/>
          <w:cols w:space="720"/>
        </w:sectPr>
      </w:pPr>
    </w:p>
    <w:p w14:paraId="5CBD78F0" w14:textId="77777777" w:rsidR="00084F36" w:rsidRPr="00EB2BD8" w:rsidRDefault="00084F36">
      <w:pPr>
        <w:pStyle w:val="BodyText"/>
        <w:rPr>
          <w:sz w:val="20"/>
        </w:rPr>
      </w:pPr>
    </w:p>
    <w:p w14:paraId="6BD58798" w14:textId="77777777" w:rsidR="00084F36" w:rsidRPr="00EB2BD8" w:rsidRDefault="00084F36">
      <w:pPr>
        <w:pStyle w:val="BodyText"/>
        <w:rPr>
          <w:sz w:val="20"/>
        </w:rPr>
      </w:pPr>
    </w:p>
    <w:p w14:paraId="79BFCE72" w14:textId="77777777" w:rsidR="00084F36" w:rsidRPr="00EB2BD8" w:rsidRDefault="00084F36">
      <w:pPr>
        <w:pStyle w:val="BodyText"/>
        <w:rPr>
          <w:sz w:val="20"/>
        </w:rPr>
      </w:pPr>
    </w:p>
    <w:p w14:paraId="4E5FF1E9" w14:textId="77777777" w:rsidR="00084F36" w:rsidRPr="00EB2BD8" w:rsidRDefault="00084F36">
      <w:pPr>
        <w:pStyle w:val="BodyText"/>
        <w:rPr>
          <w:sz w:val="20"/>
        </w:rPr>
      </w:pPr>
    </w:p>
    <w:p w14:paraId="51D05348" w14:textId="77777777" w:rsidR="00084F36" w:rsidRPr="00EB2BD8" w:rsidRDefault="00084F36">
      <w:pPr>
        <w:pStyle w:val="BodyText"/>
        <w:spacing w:before="1"/>
        <w:rPr>
          <w:sz w:val="16"/>
        </w:rPr>
      </w:pPr>
    </w:p>
    <w:p w14:paraId="4017D09D" w14:textId="09DA95AC" w:rsidR="00084F36" w:rsidRPr="00EB2BD8" w:rsidRDefault="00EB2BD8" w:rsidP="00697E0C">
      <w:pPr>
        <w:pStyle w:val="Heading3"/>
        <w:rPr>
          <w:sz w:val="9"/>
        </w:rPr>
      </w:pPr>
      <w:bookmarkStart w:id="436" w:name="_Toc150762738"/>
      <w:r w:rsidRPr="00EB2BD8">
        <w:t>Table</w:t>
      </w:r>
      <w:r w:rsidRPr="00EB2BD8">
        <w:rPr>
          <w:spacing w:val="-9"/>
        </w:rPr>
        <w:t xml:space="preserve"> </w:t>
      </w:r>
      <w:r w:rsidRPr="00EB2BD8">
        <w:t>26:</w:t>
      </w:r>
      <w:r w:rsidRPr="00EB2BD8">
        <w:rPr>
          <w:spacing w:val="-8"/>
        </w:rPr>
        <w:t xml:space="preserve"> </w:t>
      </w:r>
      <w:r w:rsidRPr="00EB2BD8">
        <w:t>Building</w:t>
      </w:r>
      <w:r w:rsidRPr="00EB2BD8">
        <w:rPr>
          <w:spacing w:val="-8"/>
        </w:rPr>
        <w:t xml:space="preserve"> </w:t>
      </w:r>
      <w:r w:rsidRPr="00EB2BD8">
        <w:t>Prosecutions</w:t>
      </w:r>
      <w:r w:rsidR="00697E0C">
        <w:rPr>
          <w:position w:val="5"/>
          <w:sz w:val="9"/>
        </w:rPr>
        <w:t>3</w:t>
      </w:r>
      <w:r w:rsidRPr="00EB2BD8">
        <w:rPr>
          <w:position w:val="5"/>
          <w:sz w:val="9"/>
        </w:rPr>
        <w:t>7</w:t>
      </w:r>
      <w:bookmarkEnd w:id="436"/>
    </w:p>
    <w:p w14:paraId="6CAB009B" w14:textId="77777777" w:rsidR="00084F36" w:rsidRPr="00EB2BD8" w:rsidRDefault="00084F36">
      <w:pPr>
        <w:pStyle w:val="BodyText"/>
        <w:spacing w:before="6"/>
        <w:rPr>
          <w:sz w:val="20"/>
        </w:rPr>
      </w:pPr>
    </w:p>
    <w:tbl>
      <w:tblPr>
        <w:tblW w:w="0" w:type="auto"/>
        <w:tblInd w:w="857" w:type="dxa"/>
        <w:tblLayout w:type="fixed"/>
        <w:tblCellMar>
          <w:left w:w="0" w:type="dxa"/>
          <w:right w:w="0" w:type="dxa"/>
        </w:tblCellMar>
        <w:tblLook w:val="01E0" w:firstRow="1" w:lastRow="1" w:firstColumn="1" w:lastColumn="1" w:noHBand="0" w:noVBand="0"/>
      </w:tblPr>
      <w:tblGrid>
        <w:gridCol w:w="1670"/>
        <w:gridCol w:w="3204"/>
        <w:gridCol w:w="3042"/>
        <w:gridCol w:w="1115"/>
        <w:gridCol w:w="1176"/>
      </w:tblGrid>
      <w:tr w:rsidR="00EB2BD8" w:rsidRPr="00EB2BD8" w14:paraId="4AEC7EC2" w14:textId="77777777">
        <w:trPr>
          <w:trHeight w:val="616"/>
        </w:trPr>
        <w:tc>
          <w:tcPr>
            <w:tcW w:w="1670" w:type="dxa"/>
            <w:shd w:val="clear" w:color="auto" w:fill="005F83"/>
          </w:tcPr>
          <w:p w14:paraId="774337E3" w14:textId="77777777" w:rsidR="00084F36" w:rsidRPr="00697E0C" w:rsidRDefault="00EB2BD8">
            <w:pPr>
              <w:pStyle w:val="TableParagraph"/>
              <w:spacing w:before="118"/>
              <w:ind w:left="113"/>
              <w:rPr>
                <w:color w:val="FFFFFF" w:themeColor="background1"/>
                <w:sz w:val="16"/>
              </w:rPr>
            </w:pPr>
            <w:r w:rsidRPr="00697E0C">
              <w:rPr>
                <w:color w:val="FFFFFF" w:themeColor="background1"/>
                <w:sz w:val="16"/>
              </w:rPr>
              <w:t>Accused</w:t>
            </w:r>
            <w:r w:rsidRPr="00697E0C">
              <w:rPr>
                <w:color w:val="FFFFFF" w:themeColor="background1"/>
                <w:spacing w:val="-1"/>
                <w:sz w:val="16"/>
              </w:rPr>
              <w:t xml:space="preserve"> </w:t>
            </w:r>
            <w:r w:rsidRPr="00697E0C">
              <w:rPr>
                <w:color w:val="FFFFFF" w:themeColor="background1"/>
                <w:spacing w:val="-4"/>
                <w:sz w:val="16"/>
              </w:rPr>
              <w:t>name</w:t>
            </w:r>
          </w:p>
        </w:tc>
        <w:tc>
          <w:tcPr>
            <w:tcW w:w="3204" w:type="dxa"/>
            <w:shd w:val="clear" w:color="auto" w:fill="005F83"/>
          </w:tcPr>
          <w:p w14:paraId="68C3E9C9" w14:textId="77777777" w:rsidR="00084F36" w:rsidRPr="00697E0C" w:rsidRDefault="00EB2BD8">
            <w:pPr>
              <w:pStyle w:val="TableParagraph"/>
              <w:spacing w:before="118"/>
              <w:ind w:left="200"/>
              <w:rPr>
                <w:color w:val="FFFFFF" w:themeColor="background1"/>
                <w:sz w:val="16"/>
              </w:rPr>
            </w:pPr>
            <w:r w:rsidRPr="00697E0C">
              <w:rPr>
                <w:color w:val="FFFFFF" w:themeColor="background1"/>
                <w:sz w:val="16"/>
              </w:rPr>
              <w:t>Description</w:t>
            </w:r>
            <w:r w:rsidRPr="00697E0C">
              <w:rPr>
                <w:color w:val="FFFFFF" w:themeColor="background1"/>
                <w:spacing w:val="-11"/>
                <w:sz w:val="16"/>
              </w:rPr>
              <w:t xml:space="preserve"> </w:t>
            </w:r>
            <w:r w:rsidRPr="00697E0C">
              <w:rPr>
                <w:color w:val="FFFFFF" w:themeColor="background1"/>
                <w:sz w:val="16"/>
              </w:rPr>
              <w:t>of</w:t>
            </w:r>
            <w:r w:rsidRPr="00697E0C">
              <w:rPr>
                <w:color w:val="FFFFFF" w:themeColor="background1"/>
                <w:spacing w:val="-10"/>
                <w:sz w:val="16"/>
              </w:rPr>
              <w:t xml:space="preserve"> </w:t>
            </w:r>
            <w:r w:rsidRPr="00697E0C">
              <w:rPr>
                <w:color w:val="FFFFFF" w:themeColor="background1"/>
                <w:spacing w:val="-2"/>
                <w:sz w:val="16"/>
              </w:rPr>
              <w:t>matter</w:t>
            </w:r>
          </w:p>
        </w:tc>
        <w:tc>
          <w:tcPr>
            <w:tcW w:w="3042" w:type="dxa"/>
            <w:shd w:val="clear" w:color="auto" w:fill="005F83"/>
          </w:tcPr>
          <w:p w14:paraId="3EECBAA2" w14:textId="77777777" w:rsidR="00084F36" w:rsidRPr="00697E0C" w:rsidRDefault="00EB2BD8">
            <w:pPr>
              <w:pStyle w:val="TableParagraph"/>
              <w:spacing w:before="118"/>
              <w:ind w:left="114"/>
              <w:rPr>
                <w:color w:val="FFFFFF" w:themeColor="background1"/>
                <w:sz w:val="16"/>
              </w:rPr>
            </w:pPr>
            <w:r w:rsidRPr="00697E0C">
              <w:rPr>
                <w:color w:val="FFFFFF" w:themeColor="background1"/>
                <w:spacing w:val="-2"/>
                <w:sz w:val="16"/>
              </w:rPr>
              <w:t>Result</w:t>
            </w:r>
          </w:p>
        </w:tc>
        <w:tc>
          <w:tcPr>
            <w:tcW w:w="1115" w:type="dxa"/>
            <w:shd w:val="clear" w:color="auto" w:fill="005F83"/>
          </w:tcPr>
          <w:p w14:paraId="1AC0A0EF" w14:textId="77777777" w:rsidR="00084F36" w:rsidRPr="00697E0C" w:rsidRDefault="00EB2BD8">
            <w:pPr>
              <w:pStyle w:val="TableParagraph"/>
              <w:spacing w:before="118" w:line="292" w:lineRule="auto"/>
              <w:ind w:left="153" w:right="88"/>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38</w:t>
            </w:r>
          </w:p>
        </w:tc>
        <w:tc>
          <w:tcPr>
            <w:tcW w:w="1176" w:type="dxa"/>
            <w:shd w:val="clear" w:color="auto" w:fill="005F83"/>
          </w:tcPr>
          <w:p w14:paraId="6AEAC09F" w14:textId="77777777" w:rsidR="00084F36" w:rsidRPr="00697E0C" w:rsidRDefault="00EB2BD8">
            <w:pPr>
              <w:pStyle w:val="TableParagraph"/>
              <w:spacing w:before="118"/>
              <w:ind w:left="115"/>
              <w:rPr>
                <w:color w:val="FFFFFF" w:themeColor="background1"/>
                <w:sz w:val="16"/>
              </w:rPr>
            </w:pPr>
            <w:r w:rsidRPr="00697E0C">
              <w:rPr>
                <w:color w:val="FFFFFF" w:themeColor="background1"/>
                <w:spacing w:val="-4"/>
                <w:w w:val="105"/>
                <w:sz w:val="16"/>
              </w:rPr>
              <w:t>Date</w:t>
            </w:r>
          </w:p>
        </w:tc>
      </w:tr>
      <w:tr w:rsidR="00EB2BD8" w:rsidRPr="00EB2BD8" w14:paraId="5F21600F" w14:textId="77777777">
        <w:trPr>
          <w:trHeight w:val="329"/>
        </w:trPr>
        <w:tc>
          <w:tcPr>
            <w:tcW w:w="1670" w:type="dxa"/>
          </w:tcPr>
          <w:p w14:paraId="6DC7C100" w14:textId="77777777" w:rsidR="00084F36" w:rsidRPr="00EB2BD8" w:rsidRDefault="00EB2BD8">
            <w:pPr>
              <w:pStyle w:val="TableParagraph"/>
              <w:spacing w:before="118"/>
              <w:ind w:left="113"/>
              <w:rPr>
                <w:sz w:val="16"/>
              </w:rPr>
            </w:pPr>
            <w:r w:rsidRPr="00EB2BD8">
              <w:rPr>
                <w:sz w:val="16"/>
              </w:rPr>
              <w:t>BYPOST,</w:t>
            </w:r>
            <w:r w:rsidRPr="00EB2BD8">
              <w:rPr>
                <w:spacing w:val="1"/>
                <w:sz w:val="16"/>
              </w:rPr>
              <w:t xml:space="preserve"> </w:t>
            </w:r>
            <w:r w:rsidRPr="00EB2BD8">
              <w:rPr>
                <w:spacing w:val="-2"/>
                <w:sz w:val="16"/>
              </w:rPr>
              <w:t>Calvin</w:t>
            </w:r>
          </w:p>
        </w:tc>
        <w:tc>
          <w:tcPr>
            <w:tcW w:w="3204" w:type="dxa"/>
          </w:tcPr>
          <w:p w14:paraId="234405C0" w14:textId="77777777" w:rsidR="00084F36" w:rsidRPr="00EB2BD8" w:rsidRDefault="00EB2BD8">
            <w:pPr>
              <w:pStyle w:val="TableParagraph"/>
              <w:spacing w:before="118"/>
              <w:ind w:left="200"/>
              <w:rPr>
                <w:sz w:val="16"/>
              </w:rPr>
            </w:pPr>
            <w:r w:rsidRPr="00EB2BD8">
              <w:rPr>
                <w:sz w:val="16"/>
              </w:rPr>
              <w:t>Carried</w:t>
            </w:r>
            <w:r w:rsidRPr="00EB2BD8">
              <w:rPr>
                <w:spacing w:val="-9"/>
                <w:sz w:val="16"/>
              </w:rPr>
              <w:t xml:space="preserve"> </w:t>
            </w:r>
            <w:r w:rsidRPr="00EB2BD8">
              <w:rPr>
                <w:sz w:val="16"/>
              </w:rPr>
              <w:t>out</w:t>
            </w:r>
            <w:r w:rsidRPr="00EB2BD8">
              <w:rPr>
                <w:spacing w:val="-8"/>
                <w:sz w:val="16"/>
              </w:rPr>
              <w:t xml:space="preserve"> </w:t>
            </w:r>
            <w:r w:rsidRPr="00EB2BD8">
              <w:rPr>
                <w:sz w:val="16"/>
              </w:rPr>
              <w:t>work</w:t>
            </w:r>
            <w:r w:rsidRPr="00EB2BD8">
              <w:rPr>
                <w:spacing w:val="-8"/>
                <w:sz w:val="16"/>
              </w:rPr>
              <w:t xml:space="preserve"> </w:t>
            </w:r>
            <w:r w:rsidRPr="00EB2BD8">
              <w:rPr>
                <w:sz w:val="16"/>
              </w:rPr>
              <w:t>under</w:t>
            </w:r>
            <w:r w:rsidRPr="00EB2BD8">
              <w:rPr>
                <w:spacing w:val="-8"/>
                <w:sz w:val="16"/>
              </w:rPr>
              <w:t xml:space="preserve"> </w:t>
            </w:r>
            <w:r w:rsidRPr="00EB2BD8">
              <w:rPr>
                <w:sz w:val="16"/>
              </w:rPr>
              <w:t>a</w:t>
            </w:r>
            <w:r w:rsidRPr="00EB2BD8">
              <w:rPr>
                <w:spacing w:val="-8"/>
                <w:sz w:val="16"/>
              </w:rPr>
              <w:t xml:space="preserve"> </w:t>
            </w:r>
            <w:r w:rsidRPr="00EB2BD8">
              <w:rPr>
                <w:spacing w:val="-2"/>
                <w:sz w:val="16"/>
              </w:rPr>
              <w:t>major</w:t>
            </w:r>
          </w:p>
        </w:tc>
        <w:tc>
          <w:tcPr>
            <w:tcW w:w="3042" w:type="dxa"/>
          </w:tcPr>
          <w:p w14:paraId="039D6E32" w14:textId="77777777" w:rsidR="00084F36" w:rsidRPr="00EB2BD8" w:rsidRDefault="00EB2BD8">
            <w:pPr>
              <w:pStyle w:val="TableParagraph"/>
              <w:spacing w:before="118"/>
              <w:ind w:left="114"/>
              <w:rPr>
                <w:sz w:val="16"/>
              </w:rPr>
            </w:pPr>
            <w:r w:rsidRPr="00EB2BD8">
              <w:rPr>
                <w:spacing w:val="-2"/>
                <w:sz w:val="16"/>
              </w:rPr>
              <w:t>Two</w:t>
            </w:r>
            <w:r w:rsidRPr="00EB2BD8">
              <w:rPr>
                <w:spacing w:val="-3"/>
                <w:sz w:val="16"/>
              </w:rPr>
              <w:t xml:space="preserve"> </w:t>
            </w:r>
            <w:r w:rsidRPr="00EB2BD8">
              <w:rPr>
                <w:spacing w:val="-2"/>
                <w:sz w:val="16"/>
              </w:rPr>
              <w:t>charges proven without</w:t>
            </w:r>
          </w:p>
        </w:tc>
        <w:tc>
          <w:tcPr>
            <w:tcW w:w="1115" w:type="dxa"/>
          </w:tcPr>
          <w:p w14:paraId="499926AA" w14:textId="77777777" w:rsidR="00084F36" w:rsidRPr="00EB2BD8" w:rsidRDefault="00EB2BD8">
            <w:pPr>
              <w:pStyle w:val="TableParagraph"/>
              <w:spacing w:before="118"/>
              <w:ind w:right="110"/>
              <w:jc w:val="right"/>
              <w:rPr>
                <w:sz w:val="16"/>
              </w:rPr>
            </w:pPr>
            <w:r w:rsidRPr="00EB2BD8">
              <w:rPr>
                <w:spacing w:val="-2"/>
                <w:sz w:val="16"/>
              </w:rPr>
              <w:t>$3,000</w:t>
            </w:r>
          </w:p>
        </w:tc>
        <w:tc>
          <w:tcPr>
            <w:tcW w:w="1176" w:type="dxa"/>
          </w:tcPr>
          <w:p w14:paraId="136D31EF" w14:textId="77777777" w:rsidR="00084F36" w:rsidRPr="00EB2BD8" w:rsidRDefault="00EB2BD8">
            <w:pPr>
              <w:pStyle w:val="TableParagraph"/>
              <w:spacing w:before="118"/>
              <w:ind w:left="115"/>
              <w:rPr>
                <w:sz w:val="16"/>
              </w:rPr>
            </w:pPr>
            <w:r w:rsidRPr="00EB2BD8">
              <w:rPr>
                <w:spacing w:val="-2"/>
                <w:sz w:val="16"/>
              </w:rPr>
              <w:t>20/06/2023</w:t>
            </w:r>
          </w:p>
        </w:tc>
      </w:tr>
      <w:tr w:rsidR="00EB2BD8" w:rsidRPr="00EB2BD8" w14:paraId="581B6731" w14:textId="77777777">
        <w:trPr>
          <w:trHeight w:val="230"/>
        </w:trPr>
        <w:tc>
          <w:tcPr>
            <w:tcW w:w="1670" w:type="dxa"/>
          </w:tcPr>
          <w:p w14:paraId="1E6F0F2B" w14:textId="77777777" w:rsidR="00084F36" w:rsidRPr="00EB2BD8" w:rsidRDefault="00084F36">
            <w:pPr>
              <w:pStyle w:val="TableParagraph"/>
              <w:rPr>
                <w:rFonts w:ascii="Times New Roman"/>
                <w:sz w:val="14"/>
              </w:rPr>
            </w:pPr>
          </w:p>
        </w:tc>
        <w:tc>
          <w:tcPr>
            <w:tcW w:w="3204" w:type="dxa"/>
          </w:tcPr>
          <w:p w14:paraId="25A5B7CB" w14:textId="77777777" w:rsidR="00084F36" w:rsidRPr="00EB2BD8" w:rsidRDefault="00EB2BD8">
            <w:pPr>
              <w:pStyle w:val="TableParagraph"/>
              <w:spacing w:before="19"/>
              <w:ind w:left="200"/>
              <w:rPr>
                <w:sz w:val="16"/>
              </w:rPr>
            </w:pPr>
            <w:r w:rsidRPr="00EB2BD8">
              <w:rPr>
                <w:sz w:val="16"/>
              </w:rPr>
              <w:t>domestic</w:t>
            </w:r>
            <w:r w:rsidRPr="00EB2BD8">
              <w:rPr>
                <w:spacing w:val="-11"/>
                <w:sz w:val="16"/>
              </w:rPr>
              <w:t xml:space="preserve"> </w:t>
            </w:r>
            <w:r w:rsidRPr="00EB2BD8">
              <w:rPr>
                <w:sz w:val="16"/>
              </w:rPr>
              <w:t>building</w:t>
            </w:r>
            <w:r w:rsidRPr="00EB2BD8">
              <w:rPr>
                <w:spacing w:val="-10"/>
                <w:sz w:val="16"/>
              </w:rPr>
              <w:t xml:space="preserve"> </w:t>
            </w:r>
            <w:r w:rsidRPr="00EB2BD8">
              <w:rPr>
                <w:sz w:val="16"/>
              </w:rPr>
              <w:t>contract</w:t>
            </w:r>
            <w:r w:rsidRPr="00EB2BD8">
              <w:rPr>
                <w:spacing w:val="-10"/>
                <w:sz w:val="16"/>
              </w:rPr>
              <w:t xml:space="preserve"> </w:t>
            </w:r>
            <w:r w:rsidRPr="00EB2BD8">
              <w:rPr>
                <w:spacing w:val="-2"/>
                <w:sz w:val="16"/>
              </w:rPr>
              <w:t>without</w:t>
            </w:r>
          </w:p>
        </w:tc>
        <w:tc>
          <w:tcPr>
            <w:tcW w:w="3042" w:type="dxa"/>
          </w:tcPr>
          <w:p w14:paraId="6188B20C" w14:textId="77777777" w:rsidR="00084F36" w:rsidRPr="00EB2BD8" w:rsidRDefault="00EB2BD8">
            <w:pPr>
              <w:pStyle w:val="TableParagraph"/>
              <w:spacing w:before="19"/>
              <w:ind w:left="114"/>
              <w:rPr>
                <w:sz w:val="16"/>
              </w:rPr>
            </w:pPr>
            <w:r w:rsidRPr="00EB2BD8">
              <w:rPr>
                <w:spacing w:val="-2"/>
                <w:sz w:val="16"/>
              </w:rPr>
              <w:t>conviction.</w:t>
            </w:r>
            <w:r w:rsidRPr="00EB2BD8">
              <w:rPr>
                <w:spacing w:val="-8"/>
                <w:sz w:val="16"/>
              </w:rPr>
              <w:t xml:space="preserve"> </w:t>
            </w:r>
            <w:r w:rsidRPr="00EB2BD8">
              <w:rPr>
                <w:spacing w:val="-2"/>
                <w:sz w:val="16"/>
              </w:rPr>
              <w:t>Fine</w:t>
            </w:r>
            <w:r w:rsidRPr="00EB2BD8">
              <w:rPr>
                <w:spacing w:val="-8"/>
                <w:sz w:val="16"/>
              </w:rPr>
              <w:t xml:space="preserve"> </w:t>
            </w:r>
            <w:r w:rsidRPr="00EB2BD8">
              <w:rPr>
                <w:spacing w:val="-2"/>
                <w:sz w:val="16"/>
              </w:rPr>
              <w:t>of</w:t>
            </w:r>
            <w:r w:rsidRPr="00EB2BD8">
              <w:rPr>
                <w:spacing w:val="-7"/>
                <w:sz w:val="16"/>
              </w:rPr>
              <w:t xml:space="preserve"> </w:t>
            </w:r>
            <w:r w:rsidRPr="00EB2BD8">
              <w:rPr>
                <w:spacing w:val="-2"/>
                <w:sz w:val="16"/>
              </w:rPr>
              <w:t>$3,000.</w:t>
            </w:r>
          </w:p>
        </w:tc>
        <w:tc>
          <w:tcPr>
            <w:tcW w:w="1115" w:type="dxa"/>
          </w:tcPr>
          <w:p w14:paraId="54236541" w14:textId="77777777" w:rsidR="00084F36" w:rsidRPr="00EB2BD8" w:rsidRDefault="00084F36">
            <w:pPr>
              <w:pStyle w:val="TableParagraph"/>
              <w:rPr>
                <w:rFonts w:ascii="Times New Roman"/>
                <w:sz w:val="14"/>
              </w:rPr>
            </w:pPr>
          </w:p>
        </w:tc>
        <w:tc>
          <w:tcPr>
            <w:tcW w:w="1176" w:type="dxa"/>
          </w:tcPr>
          <w:p w14:paraId="6CF041DB" w14:textId="77777777" w:rsidR="00084F36" w:rsidRPr="00EB2BD8" w:rsidRDefault="00084F36">
            <w:pPr>
              <w:pStyle w:val="TableParagraph"/>
              <w:rPr>
                <w:rFonts w:ascii="Times New Roman"/>
                <w:sz w:val="14"/>
              </w:rPr>
            </w:pPr>
          </w:p>
        </w:tc>
      </w:tr>
      <w:tr w:rsidR="00EB2BD8" w:rsidRPr="00EB2BD8" w14:paraId="016AFF82" w14:textId="77777777">
        <w:trPr>
          <w:trHeight w:val="229"/>
        </w:trPr>
        <w:tc>
          <w:tcPr>
            <w:tcW w:w="1670" w:type="dxa"/>
          </w:tcPr>
          <w:p w14:paraId="2E52ADBA" w14:textId="77777777" w:rsidR="00084F36" w:rsidRPr="00EB2BD8" w:rsidRDefault="00084F36">
            <w:pPr>
              <w:pStyle w:val="TableParagraph"/>
              <w:rPr>
                <w:rFonts w:ascii="Times New Roman"/>
                <w:sz w:val="14"/>
              </w:rPr>
            </w:pPr>
          </w:p>
        </w:tc>
        <w:tc>
          <w:tcPr>
            <w:tcW w:w="3204" w:type="dxa"/>
          </w:tcPr>
          <w:p w14:paraId="34DF73C4" w14:textId="77777777" w:rsidR="00084F36" w:rsidRPr="00EB2BD8" w:rsidRDefault="00EB2BD8">
            <w:pPr>
              <w:pStyle w:val="TableParagraph"/>
              <w:spacing w:before="19"/>
              <w:ind w:left="200"/>
              <w:rPr>
                <w:sz w:val="16"/>
              </w:rPr>
            </w:pPr>
            <w:r w:rsidRPr="00EB2BD8">
              <w:rPr>
                <w:spacing w:val="-2"/>
                <w:sz w:val="16"/>
              </w:rPr>
              <w:t>registration</w:t>
            </w:r>
            <w:r w:rsidRPr="00EB2BD8">
              <w:rPr>
                <w:spacing w:val="2"/>
                <w:sz w:val="16"/>
              </w:rPr>
              <w:t xml:space="preserve"> </w:t>
            </w:r>
            <w:r w:rsidRPr="00EB2BD8">
              <w:rPr>
                <w:spacing w:val="-2"/>
                <w:sz w:val="16"/>
              </w:rPr>
              <w:t>and</w:t>
            </w:r>
            <w:r w:rsidRPr="00EB2BD8">
              <w:rPr>
                <w:spacing w:val="2"/>
                <w:sz w:val="16"/>
              </w:rPr>
              <w:t xml:space="preserve"> </w:t>
            </w:r>
            <w:r w:rsidRPr="00EB2BD8">
              <w:rPr>
                <w:spacing w:val="-2"/>
                <w:sz w:val="16"/>
              </w:rPr>
              <w:t>required</w:t>
            </w:r>
            <w:r w:rsidRPr="00EB2BD8">
              <w:rPr>
                <w:spacing w:val="3"/>
                <w:sz w:val="16"/>
              </w:rPr>
              <w:t xml:space="preserve"> </w:t>
            </w:r>
            <w:r w:rsidRPr="00EB2BD8">
              <w:rPr>
                <w:spacing w:val="-2"/>
                <w:sz w:val="16"/>
              </w:rPr>
              <w:t>insurance.</w:t>
            </w:r>
          </w:p>
        </w:tc>
        <w:tc>
          <w:tcPr>
            <w:tcW w:w="3042" w:type="dxa"/>
          </w:tcPr>
          <w:p w14:paraId="7B68ECB5" w14:textId="77777777" w:rsidR="00084F36" w:rsidRPr="00EB2BD8" w:rsidRDefault="00084F36">
            <w:pPr>
              <w:pStyle w:val="TableParagraph"/>
              <w:rPr>
                <w:rFonts w:ascii="Times New Roman"/>
                <w:sz w:val="14"/>
              </w:rPr>
            </w:pPr>
          </w:p>
        </w:tc>
        <w:tc>
          <w:tcPr>
            <w:tcW w:w="1115" w:type="dxa"/>
          </w:tcPr>
          <w:p w14:paraId="034DD90A" w14:textId="77777777" w:rsidR="00084F36" w:rsidRPr="00EB2BD8" w:rsidRDefault="00084F36">
            <w:pPr>
              <w:pStyle w:val="TableParagraph"/>
              <w:rPr>
                <w:rFonts w:ascii="Times New Roman"/>
                <w:sz w:val="14"/>
              </w:rPr>
            </w:pPr>
          </w:p>
        </w:tc>
        <w:tc>
          <w:tcPr>
            <w:tcW w:w="1176" w:type="dxa"/>
          </w:tcPr>
          <w:p w14:paraId="5C8BFCB8" w14:textId="77777777" w:rsidR="00084F36" w:rsidRPr="00EB2BD8" w:rsidRDefault="00084F36">
            <w:pPr>
              <w:pStyle w:val="TableParagraph"/>
              <w:rPr>
                <w:rFonts w:ascii="Times New Roman"/>
                <w:sz w:val="14"/>
              </w:rPr>
            </w:pPr>
          </w:p>
        </w:tc>
      </w:tr>
      <w:tr w:rsidR="00EB2BD8" w:rsidRPr="00EB2BD8" w14:paraId="6F122678" w14:textId="77777777">
        <w:trPr>
          <w:trHeight w:val="229"/>
        </w:trPr>
        <w:tc>
          <w:tcPr>
            <w:tcW w:w="1670" w:type="dxa"/>
          </w:tcPr>
          <w:p w14:paraId="00D8CE7C" w14:textId="77777777" w:rsidR="00084F36" w:rsidRPr="00EB2BD8" w:rsidRDefault="00084F36">
            <w:pPr>
              <w:pStyle w:val="TableParagraph"/>
              <w:rPr>
                <w:rFonts w:ascii="Times New Roman"/>
                <w:sz w:val="14"/>
              </w:rPr>
            </w:pPr>
          </w:p>
        </w:tc>
        <w:tc>
          <w:tcPr>
            <w:tcW w:w="3204" w:type="dxa"/>
          </w:tcPr>
          <w:p w14:paraId="18761DA1" w14:textId="77777777" w:rsidR="00084F36" w:rsidRPr="00EB2BD8" w:rsidRDefault="00EB2BD8">
            <w:pPr>
              <w:pStyle w:val="TableParagraph"/>
              <w:spacing w:before="19"/>
              <w:ind w:left="200"/>
              <w:rPr>
                <w:sz w:val="16"/>
              </w:rPr>
            </w:pPr>
            <w:r w:rsidRPr="00EB2BD8">
              <w:rPr>
                <w:spacing w:val="-2"/>
                <w:sz w:val="16"/>
              </w:rPr>
              <w:t>Carried</w:t>
            </w:r>
            <w:r w:rsidRPr="00EB2BD8">
              <w:rPr>
                <w:spacing w:val="-6"/>
                <w:sz w:val="16"/>
              </w:rPr>
              <w:t xml:space="preserve"> </w:t>
            </w:r>
            <w:r w:rsidRPr="00EB2BD8">
              <w:rPr>
                <w:spacing w:val="-2"/>
                <w:sz w:val="16"/>
              </w:rPr>
              <w:t>out</w:t>
            </w:r>
            <w:r w:rsidRPr="00EB2BD8">
              <w:rPr>
                <w:spacing w:val="-5"/>
                <w:sz w:val="16"/>
              </w:rPr>
              <w:t xml:space="preserve"> </w:t>
            </w:r>
            <w:r w:rsidRPr="00EB2BD8">
              <w:rPr>
                <w:spacing w:val="-2"/>
                <w:sz w:val="16"/>
              </w:rPr>
              <w:t>building</w:t>
            </w:r>
            <w:r w:rsidRPr="00EB2BD8">
              <w:rPr>
                <w:spacing w:val="-6"/>
                <w:sz w:val="16"/>
              </w:rPr>
              <w:t xml:space="preserve"> </w:t>
            </w:r>
            <w:r w:rsidRPr="00EB2BD8">
              <w:rPr>
                <w:spacing w:val="-2"/>
                <w:sz w:val="16"/>
              </w:rPr>
              <w:t>work</w:t>
            </w:r>
            <w:r w:rsidRPr="00EB2BD8">
              <w:rPr>
                <w:spacing w:val="-5"/>
                <w:sz w:val="16"/>
              </w:rPr>
              <w:t xml:space="preserve"> </w:t>
            </w:r>
            <w:r w:rsidRPr="00EB2BD8">
              <w:rPr>
                <w:spacing w:val="-2"/>
                <w:sz w:val="16"/>
              </w:rPr>
              <w:t>without</w:t>
            </w:r>
            <w:r w:rsidRPr="00EB2BD8">
              <w:rPr>
                <w:spacing w:val="-5"/>
                <w:sz w:val="16"/>
              </w:rPr>
              <w:t xml:space="preserve"> </w:t>
            </w:r>
            <w:r w:rsidRPr="00EB2BD8">
              <w:rPr>
                <w:spacing w:val="-10"/>
                <w:sz w:val="16"/>
              </w:rPr>
              <w:t>a</w:t>
            </w:r>
          </w:p>
        </w:tc>
        <w:tc>
          <w:tcPr>
            <w:tcW w:w="3042" w:type="dxa"/>
          </w:tcPr>
          <w:p w14:paraId="065B5968" w14:textId="77777777" w:rsidR="00084F36" w:rsidRPr="00EB2BD8" w:rsidRDefault="00084F36">
            <w:pPr>
              <w:pStyle w:val="TableParagraph"/>
              <w:rPr>
                <w:rFonts w:ascii="Times New Roman"/>
                <w:sz w:val="14"/>
              </w:rPr>
            </w:pPr>
          </w:p>
        </w:tc>
        <w:tc>
          <w:tcPr>
            <w:tcW w:w="1115" w:type="dxa"/>
          </w:tcPr>
          <w:p w14:paraId="7981A08A" w14:textId="77777777" w:rsidR="00084F36" w:rsidRPr="00EB2BD8" w:rsidRDefault="00084F36">
            <w:pPr>
              <w:pStyle w:val="TableParagraph"/>
              <w:rPr>
                <w:rFonts w:ascii="Times New Roman"/>
                <w:sz w:val="14"/>
              </w:rPr>
            </w:pPr>
          </w:p>
        </w:tc>
        <w:tc>
          <w:tcPr>
            <w:tcW w:w="1176" w:type="dxa"/>
          </w:tcPr>
          <w:p w14:paraId="7CF8C7B3" w14:textId="77777777" w:rsidR="00084F36" w:rsidRPr="00EB2BD8" w:rsidRDefault="00084F36">
            <w:pPr>
              <w:pStyle w:val="TableParagraph"/>
              <w:rPr>
                <w:rFonts w:ascii="Times New Roman"/>
                <w:sz w:val="14"/>
              </w:rPr>
            </w:pPr>
          </w:p>
        </w:tc>
      </w:tr>
      <w:tr w:rsidR="00EB2BD8" w:rsidRPr="00EB2BD8" w14:paraId="2B330F92" w14:textId="77777777">
        <w:trPr>
          <w:trHeight w:val="285"/>
        </w:trPr>
        <w:tc>
          <w:tcPr>
            <w:tcW w:w="1670" w:type="dxa"/>
            <w:tcBorders>
              <w:bottom w:val="single" w:sz="2" w:space="0" w:color="000000"/>
            </w:tcBorders>
          </w:tcPr>
          <w:p w14:paraId="265AC0F5" w14:textId="77777777" w:rsidR="00084F36" w:rsidRPr="00EB2BD8" w:rsidRDefault="00084F36">
            <w:pPr>
              <w:pStyle w:val="TableParagraph"/>
              <w:rPr>
                <w:rFonts w:ascii="Times New Roman"/>
                <w:sz w:val="14"/>
              </w:rPr>
            </w:pPr>
          </w:p>
        </w:tc>
        <w:tc>
          <w:tcPr>
            <w:tcW w:w="3204" w:type="dxa"/>
            <w:tcBorders>
              <w:bottom w:val="single" w:sz="2" w:space="0" w:color="000000"/>
            </w:tcBorders>
          </w:tcPr>
          <w:p w14:paraId="02A9381F" w14:textId="77777777" w:rsidR="00084F36" w:rsidRPr="00EB2BD8" w:rsidRDefault="00EB2BD8">
            <w:pPr>
              <w:pStyle w:val="TableParagraph"/>
              <w:spacing w:before="19"/>
              <w:ind w:left="200"/>
              <w:rPr>
                <w:sz w:val="16"/>
              </w:rPr>
            </w:pPr>
            <w:r w:rsidRPr="00EB2BD8">
              <w:rPr>
                <w:spacing w:val="-2"/>
                <w:sz w:val="16"/>
              </w:rPr>
              <w:t>building</w:t>
            </w:r>
            <w:r w:rsidRPr="00EB2BD8">
              <w:rPr>
                <w:spacing w:val="-10"/>
                <w:sz w:val="16"/>
              </w:rPr>
              <w:t xml:space="preserve"> </w:t>
            </w:r>
            <w:r w:rsidRPr="00EB2BD8">
              <w:rPr>
                <w:spacing w:val="-2"/>
                <w:sz w:val="16"/>
              </w:rPr>
              <w:t>permit</w:t>
            </w:r>
            <w:r w:rsidRPr="00EB2BD8">
              <w:rPr>
                <w:spacing w:val="-9"/>
                <w:sz w:val="16"/>
              </w:rPr>
              <w:t xml:space="preserve"> </w:t>
            </w:r>
            <w:r w:rsidRPr="00EB2BD8">
              <w:rPr>
                <w:spacing w:val="-2"/>
                <w:sz w:val="16"/>
              </w:rPr>
              <w:t>in</w:t>
            </w:r>
            <w:r w:rsidRPr="00EB2BD8">
              <w:rPr>
                <w:spacing w:val="-9"/>
                <w:sz w:val="16"/>
              </w:rPr>
              <w:t xml:space="preserve"> </w:t>
            </w:r>
            <w:r w:rsidRPr="00EB2BD8">
              <w:rPr>
                <w:spacing w:val="-2"/>
                <w:sz w:val="16"/>
              </w:rPr>
              <w:t>place.</w:t>
            </w:r>
          </w:p>
        </w:tc>
        <w:tc>
          <w:tcPr>
            <w:tcW w:w="3042" w:type="dxa"/>
            <w:tcBorders>
              <w:bottom w:val="single" w:sz="2" w:space="0" w:color="000000"/>
            </w:tcBorders>
          </w:tcPr>
          <w:p w14:paraId="30DAAAD2" w14:textId="77777777" w:rsidR="00084F36" w:rsidRPr="00EB2BD8" w:rsidRDefault="00084F36">
            <w:pPr>
              <w:pStyle w:val="TableParagraph"/>
              <w:rPr>
                <w:rFonts w:ascii="Times New Roman"/>
                <w:sz w:val="14"/>
              </w:rPr>
            </w:pPr>
          </w:p>
        </w:tc>
        <w:tc>
          <w:tcPr>
            <w:tcW w:w="1115" w:type="dxa"/>
            <w:tcBorders>
              <w:bottom w:val="single" w:sz="2" w:space="0" w:color="000000"/>
            </w:tcBorders>
          </w:tcPr>
          <w:p w14:paraId="4FD7FE8D"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2C4D43E9" w14:textId="77777777" w:rsidR="00084F36" w:rsidRPr="00EB2BD8" w:rsidRDefault="00084F36">
            <w:pPr>
              <w:pStyle w:val="TableParagraph"/>
              <w:rPr>
                <w:rFonts w:ascii="Times New Roman"/>
                <w:sz w:val="14"/>
              </w:rPr>
            </w:pPr>
          </w:p>
        </w:tc>
      </w:tr>
      <w:tr w:rsidR="00EB2BD8" w:rsidRPr="00EB2BD8" w14:paraId="7DF488AF" w14:textId="77777777">
        <w:trPr>
          <w:trHeight w:val="326"/>
        </w:trPr>
        <w:tc>
          <w:tcPr>
            <w:tcW w:w="1670" w:type="dxa"/>
            <w:tcBorders>
              <w:top w:val="single" w:sz="2" w:space="0" w:color="000000"/>
            </w:tcBorders>
          </w:tcPr>
          <w:p w14:paraId="60E92A48" w14:textId="77777777" w:rsidR="00084F36" w:rsidRPr="00EB2BD8" w:rsidRDefault="00EB2BD8">
            <w:pPr>
              <w:pStyle w:val="TableParagraph"/>
              <w:spacing w:before="116"/>
              <w:ind w:left="113"/>
              <w:rPr>
                <w:sz w:val="16"/>
              </w:rPr>
            </w:pPr>
            <w:r w:rsidRPr="00EB2BD8">
              <w:rPr>
                <w:spacing w:val="-2"/>
                <w:sz w:val="16"/>
              </w:rPr>
              <w:t>CHRONIS,</w:t>
            </w:r>
            <w:r w:rsidRPr="00EB2BD8">
              <w:rPr>
                <w:spacing w:val="-6"/>
                <w:sz w:val="16"/>
              </w:rPr>
              <w:t xml:space="preserve"> </w:t>
            </w:r>
            <w:r w:rsidRPr="00EB2BD8">
              <w:rPr>
                <w:spacing w:val="-2"/>
                <w:sz w:val="16"/>
              </w:rPr>
              <w:t>Marcus</w:t>
            </w:r>
          </w:p>
        </w:tc>
        <w:tc>
          <w:tcPr>
            <w:tcW w:w="3204" w:type="dxa"/>
            <w:tcBorders>
              <w:top w:val="single" w:sz="2" w:space="0" w:color="000000"/>
            </w:tcBorders>
          </w:tcPr>
          <w:p w14:paraId="6C07E89E" w14:textId="77777777" w:rsidR="00084F36" w:rsidRPr="00EB2BD8" w:rsidRDefault="00EB2BD8">
            <w:pPr>
              <w:pStyle w:val="TableParagraph"/>
              <w:spacing w:before="116"/>
              <w:ind w:left="200"/>
              <w:rPr>
                <w:sz w:val="16"/>
              </w:rPr>
            </w:pPr>
            <w:r w:rsidRPr="00EB2BD8">
              <w:rPr>
                <w:spacing w:val="-2"/>
                <w:sz w:val="16"/>
              </w:rPr>
              <w:t>Unregistered</w:t>
            </w:r>
            <w:r w:rsidRPr="00EB2BD8">
              <w:rPr>
                <w:spacing w:val="-6"/>
                <w:sz w:val="16"/>
              </w:rPr>
              <w:t xml:space="preserve"> </w:t>
            </w:r>
            <w:r w:rsidRPr="00EB2BD8">
              <w:rPr>
                <w:spacing w:val="-2"/>
                <w:sz w:val="16"/>
              </w:rPr>
              <w:t>person</w:t>
            </w:r>
            <w:r w:rsidRPr="00EB2BD8">
              <w:rPr>
                <w:spacing w:val="-6"/>
                <w:sz w:val="16"/>
              </w:rPr>
              <w:t xml:space="preserve"> </w:t>
            </w:r>
            <w:r w:rsidRPr="00EB2BD8">
              <w:rPr>
                <w:spacing w:val="-2"/>
                <w:sz w:val="16"/>
              </w:rPr>
              <w:t>who</w:t>
            </w:r>
            <w:r w:rsidRPr="00EB2BD8">
              <w:rPr>
                <w:spacing w:val="-6"/>
                <w:sz w:val="16"/>
              </w:rPr>
              <w:t xml:space="preserve"> </w:t>
            </w:r>
            <w:r w:rsidRPr="00EB2BD8">
              <w:rPr>
                <w:spacing w:val="-2"/>
                <w:sz w:val="16"/>
              </w:rPr>
              <w:t>held</w:t>
            </w:r>
            <w:r w:rsidRPr="00EB2BD8">
              <w:rPr>
                <w:spacing w:val="-5"/>
                <w:sz w:val="16"/>
              </w:rPr>
              <w:t xml:space="preserve"> </w:t>
            </w:r>
            <w:r w:rsidRPr="00EB2BD8">
              <w:rPr>
                <w:spacing w:val="-2"/>
                <w:sz w:val="16"/>
              </w:rPr>
              <w:t>himself</w:t>
            </w:r>
          </w:p>
        </w:tc>
        <w:tc>
          <w:tcPr>
            <w:tcW w:w="3042" w:type="dxa"/>
            <w:tcBorders>
              <w:top w:val="single" w:sz="2" w:space="0" w:color="000000"/>
            </w:tcBorders>
          </w:tcPr>
          <w:p w14:paraId="0673D4C9" w14:textId="77777777" w:rsidR="00084F36" w:rsidRPr="00EB2BD8" w:rsidRDefault="00EB2BD8">
            <w:pPr>
              <w:pStyle w:val="TableParagraph"/>
              <w:spacing w:before="115"/>
              <w:ind w:left="114"/>
              <w:rPr>
                <w:sz w:val="16"/>
              </w:rPr>
            </w:pPr>
            <w:r w:rsidRPr="00EB2BD8">
              <w:rPr>
                <w:spacing w:val="-2"/>
                <w:sz w:val="16"/>
              </w:rPr>
              <w:t>Two</w:t>
            </w:r>
            <w:r w:rsidRPr="00EB2BD8">
              <w:rPr>
                <w:spacing w:val="-6"/>
                <w:sz w:val="16"/>
              </w:rPr>
              <w:t xml:space="preserve"> </w:t>
            </w:r>
            <w:r w:rsidRPr="00EB2BD8">
              <w:rPr>
                <w:spacing w:val="-2"/>
                <w:sz w:val="16"/>
              </w:rPr>
              <w:t>charges</w:t>
            </w:r>
            <w:r w:rsidRPr="00EB2BD8">
              <w:rPr>
                <w:spacing w:val="-5"/>
                <w:sz w:val="16"/>
              </w:rPr>
              <w:t xml:space="preserve"> </w:t>
            </w:r>
            <w:r w:rsidRPr="00EB2BD8">
              <w:rPr>
                <w:spacing w:val="-2"/>
                <w:sz w:val="16"/>
              </w:rPr>
              <w:t>proven</w:t>
            </w:r>
            <w:r w:rsidRPr="00EB2BD8">
              <w:rPr>
                <w:spacing w:val="-5"/>
                <w:sz w:val="16"/>
              </w:rPr>
              <w:t xml:space="preserve"> </w:t>
            </w:r>
            <w:r w:rsidRPr="00EB2BD8">
              <w:rPr>
                <w:spacing w:val="-2"/>
                <w:sz w:val="16"/>
              </w:rPr>
              <w:t>with</w:t>
            </w:r>
            <w:r w:rsidRPr="00EB2BD8">
              <w:rPr>
                <w:spacing w:val="-5"/>
                <w:sz w:val="16"/>
              </w:rPr>
              <w:t xml:space="preserve"> </w:t>
            </w:r>
            <w:r w:rsidRPr="00EB2BD8">
              <w:rPr>
                <w:spacing w:val="-2"/>
                <w:sz w:val="16"/>
              </w:rPr>
              <w:t>conviction.</w:t>
            </w:r>
          </w:p>
        </w:tc>
        <w:tc>
          <w:tcPr>
            <w:tcW w:w="1115" w:type="dxa"/>
            <w:tcBorders>
              <w:top w:val="single" w:sz="2" w:space="0" w:color="000000"/>
            </w:tcBorders>
          </w:tcPr>
          <w:p w14:paraId="24B6DF57" w14:textId="77777777" w:rsidR="00084F36" w:rsidRPr="00EB2BD8" w:rsidRDefault="00EB2BD8">
            <w:pPr>
              <w:pStyle w:val="TableParagraph"/>
              <w:spacing w:before="115"/>
              <w:ind w:right="110"/>
              <w:jc w:val="right"/>
              <w:rPr>
                <w:sz w:val="16"/>
              </w:rPr>
            </w:pPr>
            <w:r w:rsidRPr="00EB2BD8">
              <w:rPr>
                <w:spacing w:val="-2"/>
                <w:sz w:val="16"/>
              </w:rPr>
              <w:t>$40,000</w:t>
            </w:r>
          </w:p>
        </w:tc>
        <w:tc>
          <w:tcPr>
            <w:tcW w:w="1176" w:type="dxa"/>
            <w:tcBorders>
              <w:top w:val="single" w:sz="2" w:space="0" w:color="000000"/>
            </w:tcBorders>
          </w:tcPr>
          <w:p w14:paraId="16A2C88D" w14:textId="77777777" w:rsidR="00084F36" w:rsidRPr="00EB2BD8" w:rsidRDefault="00EB2BD8">
            <w:pPr>
              <w:pStyle w:val="TableParagraph"/>
              <w:spacing w:before="115"/>
              <w:ind w:left="115"/>
              <w:rPr>
                <w:sz w:val="16"/>
              </w:rPr>
            </w:pPr>
            <w:r w:rsidRPr="00EB2BD8">
              <w:rPr>
                <w:spacing w:val="-2"/>
                <w:w w:val="95"/>
                <w:sz w:val="16"/>
              </w:rPr>
              <w:t>01/03/2023</w:t>
            </w:r>
          </w:p>
        </w:tc>
      </w:tr>
      <w:tr w:rsidR="00EB2BD8" w:rsidRPr="00EB2BD8" w14:paraId="053D6D2E" w14:textId="77777777">
        <w:trPr>
          <w:trHeight w:val="230"/>
        </w:trPr>
        <w:tc>
          <w:tcPr>
            <w:tcW w:w="1670" w:type="dxa"/>
          </w:tcPr>
          <w:p w14:paraId="292C9C02" w14:textId="77777777" w:rsidR="00084F36" w:rsidRPr="00EB2BD8" w:rsidRDefault="00084F36">
            <w:pPr>
              <w:pStyle w:val="TableParagraph"/>
              <w:rPr>
                <w:rFonts w:ascii="Times New Roman"/>
                <w:sz w:val="14"/>
              </w:rPr>
            </w:pPr>
          </w:p>
        </w:tc>
        <w:tc>
          <w:tcPr>
            <w:tcW w:w="3204" w:type="dxa"/>
          </w:tcPr>
          <w:p w14:paraId="2F69CB13" w14:textId="77777777" w:rsidR="00084F36" w:rsidRPr="00EB2BD8" w:rsidRDefault="00EB2BD8">
            <w:pPr>
              <w:pStyle w:val="TableParagraph"/>
              <w:spacing w:before="19"/>
              <w:ind w:left="200"/>
              <w:rPr>
                <w:sz w:val="16"/>
              </w:rPr>
            </w:pPr>
            <w:r w:rsidRPr="00EB2BD8">
              <w:rPr>
                <w:sz w:val="16"/>
              </w:rPr>
              <w:t>out</w:t>
            </w:r>
            <w:r w:rsidRPr="00EB2BD8">
              <w:rPr>
                <w:spacing w:val="-13"/>
                <w:sz w:val="16"/>
              </w:rPr>
              <w:t xml:space="preserve"> </w:t>
            </w:r>
            <w:r w:rsidRPr="00EB2BD8">
              <w:rPr>
                <w:sz w:val="16"/>
              </w:rPr>
              <w:t>as</w:t>
            </w:r>
            <w:r w:rsidRPr="00EB2BD8">
              <w:rPr>
                <w:spacing w:val="-13"/>
                <w:sz w:val="16"/>
              </w:rPr>
              <w:t xml:space="preserve"> </w:t>
            </w:r>
            <w:r w:rsidRPr="00EB2BD8">
              <w:rPr>
                <w:sz w:val="16"/>
              </w:rPr>
              <w:t>being</w:t>
            </w:r>
            <w:r w:rsidRPr="00EB2BD8">
              <w:rPr>
                <w:spacing w:val="-12"/>
                <w:sz w:val="16"/>
              </w:rPr>
              <w:t xml:space="preserve"> </w:t>
            </w:r>
            <w:r w:rsidRPr="00EB2BD8">
              <w:rPr>
                <w:sz w:val="16"/>
              </w:rPr>
              <w:t>registered</w:t>
            </w:r>
            <w:r w:rsidRPr="00EB2BD8">
              <w:rPr>
                <w:spacing w:val="-13"/>
                <w:sz w:val="16"/>
              </w:rPr>
              <w:t xml:space="preserve"> </w:t>
            </w:r>
            <w:r w:rsidRPr="00EB2BD8">
              <w:rPr>
                <w:sz w:val="16"/>
              </w:rPr>
              <w:t>to</w:t>
            </w:r>
            <w:r w:rsidRPr="00EB2BD8">
              <w:rPr>
                <w:spacing w:val="-13"/>
                <w:sz w:val="16"/>
              </w:rPr>
              <w:t xml:space="preserve"> </w:t>
            </w:r>
            <w:r w:rsidRPr="00EB2BD8">
              <w:rPr>
                <w:spacing w:val="-2"/>
                <w:sz w:val="16"/>
              </w:rPr>
              <w:t>practice.</w:t>
            </w:r>
          </w:p>
        </w:tc>
        <w:tc>
          <w:tcPr>
            <w:tcW w:w="3042" w:type="dxa"/>
          </w:tcPr>
          <w:p w14:paraId="08A06349" w14:textId="77777777" w:rsidR="00084F36" w:rsidRPr="00EB2BD8" w:rsidRDefault="00EB2BD8">
            <w:pPr>
              <w:pStyle w:val="TableParagraph"/>
              <w:spacing w:before="19"/>
              <w:ind w:left="114"/>
              <w:rPr>
                <w:sz w:val="16"/>
              </w:rPr>
            </w:pPr>
            <w:r w:rsidRPr="00EB2BD8">
              <w:rPr>
                <w:spacing w:val="-2"/>
                <w:sz w:val="16"/>
              </w:rPr>
              <w:t>Fine</w:t>
            </w:r>
            <w:r w:rsidRPr="00EB2BD8">
              <w:rPr>
                <w:spacing w:val="-12"/>
                <w:sz w:val="16"/>
              </w:rPr>
              <w:t xml:space="preserve"> </w:t>
            </w:r>
            <w:r w:rsidRPr="00EB2BD8">
              <w:rPr>
                <w:spacing w:val="-2"/>
                <w:sz w:val="16"/>
              </w:rPr>
              <w:t>of</w:t>
            </w:r>
            <w:r w:rsidRPr="00EB2BD8">
              <w:rPr>
                <w:spacing w:val="-11"/>
                <w:sz w:val="16"/>
              </w:rPr>
              <w:t xml:space="preserve"> </w:t>
            </w:r>
            <w:r w:rsidRPr="00EB2BD8">
              <w:rPr>
                <w:spacing w:val="-2"/>
                <w:sz w:val="16"/>
              </w:rPr>
              <w:t>$40,000</w:t>
            </w:r>
            <w:r w:rsidRPr="00EB2BD8">
              <w:rPr>
                <w:spacing w:val="-12"/>
                <w:sz w:val="16"/>
              </w:rPr>
              <w:t xml:space="preserve"> </w:t>
            </w:r>
            <w:r w:rsidRPr="00EB2BD8">
              <w:rPr>
                <w:spacing w:val="-2"/>
                <w:sz w:val="16"/>
              </w:rPr>
              <w:t>plus</w:t>
            </w:r>
            <w:r w:rsidRPr="00EB2BD8">
              <w:rPr>
                <w:spacing w:val="-11"/>
                <w:sz w:val="16"/>
              </w:rPr>
              <w:t xml:space="preserve"> </w:t>
            </w:r>
            <w:r w:rsidRPr="00EB2BD8">
              <w:rPr>
                <w:spacing w:val="-2"/>
                <w:sz w:val="16"/>
              </w:rPr>
              <w:t>costs</w:t>
            </w:r>
            <w:r w:rsidRPr="00EB2BD8">
              <w:rPr>
                <w:spacing w:val="-12"/>
                <w:sz w:val="16"/>
              </w:rPr>
              <w:t xml:space="preserve"> </w:t>
            </w:r>
            <w:r w:rsidRPr="00EB2BD8">
              <w:rPr>
                <w:spacing w:val="-2"/>
                <w:sz w:val="16"/>
              </w:rPr>
              <w:t>of</w:t>
            </w:r>
            <w:r w:rsidRPr="00EB2BD8">
              <w:rPr>
                <w:spacing w:val="-11"/>
                <w:sz w:val="16"/>
              </w:rPr>
              <w:t xml:space="preserve"> </w:t>
            </w:r>
            <w:r w:rsidRPr="00EB2BD8">
              <w:rPr>
                <w:spacing w:val="-2"/>
                <w:sz w:val="16"/>
              </w:rPr>
              <w:t>$3,128.</w:t>
            </w:r>
          </w:p>
        </w:tc>
        <w:tc>
          <w:tcPr>
            <w:tcW w:w="1115" w:type="dxa"/>
          </w:tcPr>
          <w:p w14:paraId="0C0D90A9" w14:textId="77777777" w:rsidR="00084F36" w:rsidRPr="00EB2BD8" w:rsidRDefault="00084F36">
            <w:pPr>
              <w:pStyle w:val="TableParagraph"/>
              <w:rPr>
                <w:rFonts w:ascii="Times New Roman"/>
                <w:sz w:val="14"/>
              </w:rPr>
            </w:pPr>
          </w:p>
        </w:tc>
        <w:tc>
          <w:tcPr>
            <w:tcW w:w="1176" w:type="dxa"/>
          </w:tcPr>
          <w:p w14:paraId="7F734C27" w14:textId="77777777" w:rsidR="00084F36" w:rsidRPr="00EB2BD8" w:rsidRDefault="00084F36">
            <w:pPr>
              <w:pStyle w:val="TableParagraph"/>
              <w:rPr>
                <w:rFonts w:ascii="Times New Roman"/>
                <w:sz w:val="14"/>
              </w:rPr>
            </w:pPr>
          </w:p>
        </w:tc>
      </w:tr>
      <w:tr w:rsidR="00EB2BD8" w:rsidRPr="00EB2BD8" w14:paraId="6759E09A" w14:textId="77777777">
        <w:trPr>
          <w:trHeight w:val="229"/>
        </w:trPr>
        <w:tc>
          <w:tcPr>
            <w:tcW w:w="1670" w:type="dxa"/>
          </w:tcPr>
          <w:p w14:paraId="20923EAD" w14:textId="77777777" w:rsidR="00084F36" w:rsidRPr="00EB2BD8" w:rsidRDefault="00084F36">
            <w:pPr>
              <w:pStyle w:val="TableParagraph"/>
              <w:rPr>
                <w:rFonts w:ascii="Times New Roman"/>
                <w:sz w:val="14"/>
              </w:rPr>
            </w:pPr>
          </w:p>
        </w:tc>
        <w:tc>
          <w:tcPr>
            <w:tcW w:w="3204" w:type="dxa"/>
          </w:tcPr>
          <w:p w14:paraId="257B38D5" w14:textId="77777777" w:rsidR="00084F36" w:rsidRPr="00EB2BD8" w:rsidRDefault="00EB2BD8">
            <w:pPr>
              <w:pStyle w:val="TableParagraph"/>
              <w:spacing w:before="19"/>
              <w:ind w:left="200"/>
              <w:rPr>
                <w:sz w:val="16"/>
              </w:rPr>
            </w:pPr>
            <w:r w:rsidRPr="00EB2BD8">
              <w:rPr>
                <w:sz w:val="16"/>
              </w:rPr>
              <w:t>Carried</w:t>
            </w:r>
            <w:r w:rsidRPr="00EB2BD8">
              <w:rPr>
                <w:spacing w:val="-10"/>
                <w:sz w:val="16"/>
              </w:rPr>
              <w:t xml:space="preserve"> </w:t>
            </w:r>
            <w:r w:rsidRPr="00EB2BD8">
              <w:rPr>
                <w:sz w:val="16"/>
              </w:rPr>
              <w:t>out</w:t>
            </w:r>
            <w:r w:rsidRPr="00EB2BD8">
              <w:rPr>
                <w:spacing w:val="-10"/>
                <w:sz w:val="16"/>
              </w:rPr>
              <w:t xml:space="preserve"> </w:t>
            </w:r>
            <w:r w:rsidRPr="00EB2BD8">
              <w:rPr>
                <w:sz w:val="16"/>
              </w:rPr>
              <w:t>regulated</w:t>
            </w:r>
            <w:r w:rsidRPr="00EB2BD8">
              <w:rPr>
                <w:spacing w:val="-10"/>
                <w:sz w:val="16"/>
              </w:rPr>
              <w:t xml:space="preserve"> </w:t>
            </w:r>
            <w:r w:rsidRPr="00EB2BD8">
              <w:rPr>
                <w:sz w:val="16"/>
              </w:rPr>
              <w:t>building</w:t>
            </w:r>
            <w:r w:rsidRPr="00EB2BD8">
              <w:rPr>
                <w:spacing w:val="-10"/>
                <w:sz w:val="16"/>
              </w:rPr>
              <w:t xml:space="preserve"> </w:t>
            </w:r>
            <w:r w:rsidRPr="00EB2BD8">
              <w:rPr>
                <w:spacing w:val="-4"/>
                <w:sz w:val="16"/>
              </w:rPr>
              <w:t>work</w:t>
            </w:r>
          </w:p>
        </w:tc>
        <w:tc>
          <w:tcPr>
            <w:tcW w:w="3042" w:type="dxa"/>
          </w:tcPr>
          <w:p w14:paraId="03400FE2" w14:textId="77777777" w:rsidR="00084F36" w:rsidRPr="00EB2BD8" w:rsidRDefault="00084F36">
            <w:pPr>
              <w:pStyle w:val="TableParagraph"/>
              <w:rPr>
                <w:rFonts w:ascii="Times New Roman"/>
                <w:sz w:val="14"/>
              </w:rPr>
            </w:pPr>
          </w:p>
        </w:tc>
        <w:tc>
          <w:tcPr>
            <w:tcW w:w="1115" w:type="dxa"/>
          </w:tcPr>
          <w:p w14:paraId="4BAE1609" w14:textId="77777777" w:rsidR="00084F36" w:rsidRPr="00EB2BD8" w:rsidRDefault="00084F36">
            <w:pPr>
              <w:pStyle w:val="TableParagraph"/>
              <w:rPr>
                <w:rFonts w:ascii="Times New Roman"/>
                <w:sz w:val="14"/>
              </w:rPr>
            </w:pPr>
          </w:p>
        </w:tc>
        <w:tc>
          <w:tcPr>
            <w:tcW w:w="1176" w:type="dxa"/>
          </w:tcPr>
          <w:p w14:paraId="7090354E" w14:textId="77777777" w:rsidR="00084F36" w:rsidRPr="00EB2BD8" w:rsidRDefault="00084F36">
            <w:pPr>
              <w:pStyle w:val="TableParagraph"/>
              <w:rPr>
                <w:rFonts w:ascii="Times New Roman"/>
                <w:sz w:val="14"/>
              </w:rPr>
            </w:pPr>
          </w:p>
        </w:tc>
      </w:tr>
      <w:tr w:rsidR="00EB2BD8" w:rsidRPr="00EB2BD8" w14:paraId="5AE8C89C" w14:textId="77777777">
        <w:trPr>
          <w:trHeight w:val="285"/>
        </w:trPr>
        <w:tc>
          <w:tcPr>
            <w:tcW w:w="1670" w:type="dxa"/>
            <w:tcBorders>
              <w:bottom w:val="single" w:sz="2" w:space="0" w:color="000000"/>
            </w:tcBorders>
          </w:tcPr>
          <w:p w14:paraId="7E0A6A1B" w14:textId="77777777" w:rsidR="00084F36" w:rsidRPr="00EB2BD8" w:rsidRDefault="00084F36">
            <w:pPr>
              <w:pStyle w:val="TableParagraph"/>
              <w:rPr>
                <w:rFonts w:ascii="Times New Roman"/>
                <w:sz w:val="14"/>
              </w:rPr>
            </w:pPr>
          </w:p>
        </w:tc>
        <w:tc>
          <w:tcPr>
            <w:tcW w:w="3204" w:type="dxa"/>
            <w:tcBorders>
              <w:bottom w:val="single" w:sz="2" w:space="0" w:color="000000"/>
            </w:tcBorders>
          </w:tcPr>
          <w:p w14:paraId="709578CE" w14:textId="77777777" w:rsidR="00084F36" w:rsidRPr="00EB2BD8" w:rsidRDefault="00EB2BD8">
            <w:pPr>
              <w:pStyle w:val="TableParagraph"/>
              <w:spacing w:before="19"/>
              <w:ind w:left="200"/>
              <w:rPr>
                <w:sz w:val="16"/>
              </w:rPr>
            </w:pPr>
            <w:r w:rsidRPr="00EB2BD8">
              <w:rPr>
                <w:spacing w:val="-2"/>
                <w:sz w:val="16"/>
              </w:rPr>
              <w:t>without</w:t>
            </w:r>
            <w:r w:rsidRPr="00EB2BD8">
              <w:rPr>
                <w:spacing w:val="-6"/>
                <w:sz w:val="16"/>
              </w:rPr>
              <w:t xml:space="preserve"> </w:t>
            </w:r>
            <w:r w:rsidRPr="00EB2BD8">
              <w:rPr>
                <w:spacing w:val="-2"/>
                <w:sz w:val="16"/>
              </w:rPr>
              <w:t>a</w:t>
            </w:r>
            <w:r w:rsidRPr="00EB2BD8">
              <w:rPr>
                <w:spacing w:val="-5"/>
                <w:sz w:val="16"/>
              </w:rPr>
              <w:t xml:space="preserve"> </w:t>
            </w:r>
            <w:r w:rsidRPr="00EB2BD8">
              <w:rPr>
                <w:spacing w:val="-2"/>
                <w:sz w:val="16"/>
              </w:rPr>
              <w:t>building</w:t>
            </w:r>
            <w:r w:rsidRPr="00EB2BD8">
              <w:rPr>
                <w:spacing w:val="-5"/>
                <w:sz w:val="16"/>
              </w:rPr>
              <w:t xml:space="preserve"> </w:t>
            </w:r>
            <w:r w:rsidRPr="00EB2BD8">
              <w:rPr>
                <w:spacing w:val="-2"/>
                <w:sz w:val="16"/>
              </w:rPr>
              <w:t>permit.</w:t>
            </w:r>
          </w:p>
        </w:tc>
        <w:tc>
          <w:tcPr>
            <w:tcW w:w="3042" w:type="dxa"/>
            <w:tcBorders>
              <w:bottom w:val="single" w:sz="2" w:space="0" w:color="000000"/>
            </w:tcBorders>
          </w:tcPr>
          <w:p w14:paraId="31485F5D" w14:textId="77777777" w:rsidR="00084F36" w:rsidRPr="00EB2BD8" w:rsidRDefault="00084F36">
            <w:pPr>
              <w:pStyle w:val="TableParagraph"/>
              <w:rPr>
                <w:rFonts w:ascii="Times New Roman"/>
                <w:sz w:val="14"/>
              </w:rPr>
            </w:pPr>
          </w:p>
        </w:tc>
        <w:tc>
          <w:tcPr>
            <w:tcW w:w="1115" w:type="dxa"/>
            <w:tcBorders>
              <w:bottom w:val="single" w:sz="2" w:space="0" w:color="000000"/>
            </w:tcBorders>
          </w:tcPr>
          <w:p w14:paraId="407F353F"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6B2A9025" w14:textId="77777777" w:rsidR="00084F36" w:rsidRPr="00EB2BD8" w:rsidRDefault="00084F36">
            <w:pPr>
              <w:pStyle w:val="TableParagraph"/>
              <w:rPr>
                <w:rFonts w:ascii="Times New Roman"/>
                <w:sz w:val="14"/>
              </w:rPr>
            </w:pPr>
          </w:p>
        </w:tc>
      </w:tr>
      <w:tr w:rsidR="00EB2BD8" w:rsidRPr="00EB2BD8" w14:paraId="0194E6C7" w14:textId="77777777">
        <w:trPr>
          <w:trHeight w:val="326"/>
        </w:trPr>
        <w:tc>
          <w:tcPr>
            <w:tcW w:w="1670" w:type="dxa"/>
            <w:tcBorders>
              <w:top w:val="single" w:sz="2" w:space="0" w:color="000000"/>
            </w:tcBorders>
          </w:tcPr>
          <w:p w14:paraId="2F64FB8A" w14:textId="77777777" w:rsidR="00084F36" w:rsidRPr="00EB2BD8" w:rsidRDefault="00EB2BD8">
            <w:pPr>
              <w:pStyle w:val="TableParagraph"/>
              <w:spacing w:before="115"/>
              <w:ind w:left="113"/>
              <w:rPr>
                <w:sz w:val="16"/>
              </w:rPr>
            </w:pPr>
            <w:r w:rsidRPr="00EB2BD8">
              <w:rPr>
                <w:spacing w:val="-2"/>
                <w:w w:val="90"/>
                <w:sz w:val="16"/>
              </w:rPr>
              <w:t>DATTA,</w:t>
            </w:r>
            <w:r w:rsidRPr="00EB2BD8">
              <w:rPr>
                <w:spacing w:val="-5"/>
                <w:sz w:val="16"/>
              </w:rPr>
              <w:t xml:space="preserve"> </w:t>
            </w:r>
            <w:r w:rsidRPr="00EB2BD8">
              <w:rPr>
                <w:spacing w:val="-2"/>
                <w:sz w:val="16"/>
              </w:rPr>
              <w:t>Ashwin</w:t>
            </w:r>
          </w:p>
        </w:tc>
        <w:tc>
          <w:tcPr>
            <w:tcW w:w="3204" w:type="dxa"/>
            <w:tcBorders>
              <w:top w:val="single" w:sz="2" w:space="0" w:color="000000"/>
            </w:tcBorders>
          </w:tcPr>
          <w:p w14:paraId="5012A211" w14:textId="77777777" w:rsidR="00084F36" w:rsidRPr="00EB2BD8" w:rsidRDefault="00EB2BD8">
            <w:pPr>
              <w:pStyle w:val="TableParagraph"/>
              <w:spacing w:before="115"/>
              <w:ind w:left="200"/>
              <w:rPr>
                <w:sz w:val="16"/>
              </w:rPr>
            </w:pPr>
            <w:r w:rsidRPr="00EB2BD8">
              <w:rPr>
                <w:sz w:val="16"/>
              </w:rPr>
              <w:t>Carried</w:t>
            </w:r>
            <w:r w:rsidRPr="00EB2BD8">
              <w:rPr>
                <w:spacing w:val="-9"/>
                <w:sz w:val="16"/>
              </w:rPr>
              <w:t xml:space="preserve"> </w:t>
            </w:r>
            <w:r w:rsidRPr="00EB2BD8">
              <w:rPr>
                <w:sz w:val="16"/>
              </w:rPr>
              <w:t>out</w:t>
            </w:r>
            <w:r w:rsidRPr="00EB2BD8">
              <w:rPr>
                <w:spacing w:val="-8"/>
                <w:sz w:val="16"/>
              </w:rPr>
              <w:t xml:space="preserve"> </w:t>
            </w:r>
            <w:r w:rsidRPr="00EB2BD8">
              <w:rPr>
                <w:sz w:val="16"/>
              </w:rPr>
              <w:t>work</w:t>
            </w:r>
            <w:r w:rsidRPr="00EB2BD8">
              <w:rPr>
                <w:spacing w:val="-8"/>
                <w:sz w:val="16"/>
              </w:rPr>
              <w:t xml:space="preserve"> </w:t>
            </w:r>
            <w:r w:rsidRPr="00EB2BD8">
              <w:rPr>
                <w:sz w:val="16"/>
              </w:rPr>
              <w:t>under</w:t>
            </w:r>
            <w:r w:rsidRPr="00EB2BD8">
              <w:rPr>
                <w:spacing w:val="-8"/>
                <w:sz w:val="16"/>
              </w:rPr>
              <w:t xml:space="preserve"> </w:t>
            </w:r>
            <w:r w:rsidRPr="00EB2BD8">
              <w:rPr>
                <w:sz w:val="16"/>
              </w:rPr>
              <w:t>a</w:t>
            </w:r>
            <w:r w:rsidRPr="00EB2BD8">
              <w:rPr>
                <w:spacing w:val="-8"/>
                <w:sz w:val="16"/>
              </w:rPr>
              <w:t xml:space="preserve"> </w:t>
            </w:r>
            <w:r w:rsidRPr="00EB2BD8">
              <w:rPr>
                <w:spacing w:val="-2"/>
                <w:sz w:val="16"/>
              </w:rPr>
              <w:t>major</w:t>
            </w:r>
          </w:p>
        </w:tc>
        <w:tc>
          <w:tcPr>
            <w:tcW w:w="3042" w:type="dxa"/>
            <w:tcBorders>
              <w:top w:val="single" w:sz="2" w:space="0" w:color="000000"/>
            </w:tcBorders>
          </w:tcPr>
          <w:p w14:paraId="75E04435" w14:textId="77777777" w:rsidR="00084F36" w:rsidRPr="00EB2BD8" w:rsidRDefault="00EB2BD8">
            <w:pPr>
              <w:pStyle w:val="TableParagraph"/>
              <w:spacing w:before="115"/>
              <w:ind w:left="114"/>
              <w:rPr>
                <w:sz w:val="16"/>
              </w:rPr>
            </w:pPr>
            <w:r w:rsidRPr="00EB2BD8">
              <w:rPr>
                <w:sz w:val="16"/>
              </w:rPr>
              <w:t>Three</w:t>
            </w:r>
            <w:r w:rsidRPr="00EB2BD8">
              <w:rPr>
                <w:spacing w:val="-8"/>
                <w:sz w:val="16"/>
              </w:rPr>
              <w:t xml:space="preserve"> </w:t>
            </w:r>
            <w:r w:rsidRPr="00EB2BD8">
              <w:rPr>
                <w:sz w:val="16"/>
              </w:rPr>
              <w:t>charges</w:t>
            </w:r>
            <w:r w:rsidRPr="00EB2BD8">
              <w:rPr>
                <w:spacing w:val="-8"/>
                <w:sz w:val="16"/>
              </w:rPr>
              <w:t xml:space="preserve"> </w:t>
            </w:r>
            <w:r w:rsidRPr="00EB2BD8">
              <w:rPr>
                <w:sz w:val="16"/>
              </w:rPr>
              <w:t>proven</w:t>
            </w:r>
            <w:r w:rsidRPr="00EB2BD8">
              <w:rPr>
                <w:spacing w:val="-8"/>
                <w:sz w:val="16"/>
              </w:rPr>
              <w:t xml:space="preserve"> </w:t>
            </w:r>
            <w:r w:rsidRPr="00EB2BD8">
              <w:rPr>
                <w:spacing w:val="-4"/>
                <w:sz w:val="16"/>
              </w:rPr>
              <w:t>with</w:t>
            </w:r>
          </w:p>
        </w:tc>
        <w:tc>
          <w:tcPr>
            <w:tcW w:w="1115" w:type="dxa"/>
            <w:tcBorders>
              <w:top w:val="single" w:sz="2" w:space="0" w:color="000000"/>
            </w:tcBorders>
          </w:tcPr>
          <w:p w14:paraId="37A5A3E2" w14:textId="77777777" w:rsidR="00084F36" w:rsidRPr="00EB2BD8" w:rsidRDefault="00EB2BD8">
            <w:pPr>
              <w:pStyle w:val="TableParagraph"/>
              <w:spacing w:before="115"/>
              <w:ind w:right="110"/>
              <w:jc w:val="right"/>
              <w:rPr>
                <w:sz w:val="16"/>
              </w:rPr>
            </w:pPr>
            <w:r w:rsidRPr="00EB2BD8">
              <w:rPr>
                <w:spacing w:val="-2"/>
                <w:sz w:val="16"/>
              </w:rPr>
              <w:t>$55,000</w:t>
            </w:r>
          </w:p>
        </w:tc>
        <w:tc>
          <w:tcPr>
            <w:tcW w:w="1176" w:type="dxa"/>
            <w:tcBorders>
              <w:top w:val="single" w:sz="2" w:space="0" w:color="000000"/>
            </w:tcBorders>
          </w:tcPr>
          <w:p w14:paraId="688CEE0A" w14:textId="77777777" w:rsidR="00084F36" w:rsidRPr="00EB2BD8" w:rsidRDefault="00EB2BD8">
            <w:pPr>
              <w:pStyle w:val="TableParagraph"/>
              <w:spacing w:before="115"/>
              <w:ind w:left="114"/>
              <w:rPr>
                <w:sz w:val="16"/>
              </w:rPr>
            </w:pPr>
            <w:r w:rsidRPr="00EB2BD8">
              <w:rPr>
                <w:spacing w:val="-2"/>
                <w:sz w:val="16"/>
              </w:rPr>
              <w:t>20/06/2023</w:t>
            </w:r>
          </w:p>
        </w:tc>
      </w:tr>
      <w:tr w:rsidR="00EB2BD8" w:rsidRPr="00EB2BD8" w14:paraId="709BFA1E" w14:textId="77777777">
        <w:trPr>
          <w:trHeight w:val="229"/>
        </w:trPr>
        <w:tc>
          <w:tcPr>
            <w:tcW w:w="1670" w:type="dxa"/>
          </w:tcPr>
          <w:p w14:paraId="48661E69" w14:textId="77777777" w:rsidR="00084F36" w:rsidRPr="00EB2BD8" w:rsidRDefault="00084F36">
            <w:pPr>
              <w:pStyle w:val="TableParagraph"/>
              <w:rPr>
                <w:rFonts w:ascii="Times New Roman"/>
                <w:sz w:val="14"/>
              </w:rPr>
            </w:pPr>
          </w:p>
        </w:tc>
        <w:tc>
          <w:tcPr>
            <w:tcW w:w="3204" w:type="dxa"/>
          </w:tcPr>
          <w:p w14:paraId="10A96BE1" w14:textId="77777777" w:rsidR="00084F36" w:rsidRPr="00EB2BD8" w:rsidRDefault="00EB2BD8">
            <w:pPr>
              <w:pStyle w:val="TableParagraph"/>
              <w:spacing w:before="19"/>
              <w:ind w:left="200"/>
              <w:rPr>
                <w:sz w:val="16"/>
              </w:rPr>
            </w:pPr>
            <w:r w:rsidRPr="00EB2BD8">
              <w:rPr>
                <w:sz w:val="16"/>
              </w:rPr>
              <w:t>domestic</w:t>
            </w:r>
            <w:r w:rsidRPr="00EB2BD8">
              <w:rPr>
                <w:spacing w:val="-11"/>
                <w:sz w:val="16"/>
              </w:rPr>
              <w:t xml:space="preserve"> </w:t>
            </w:r>
            <w:r w:rsidRPr="00EB2BD8">
              <w:rPr>
                <w:sz w:val="16"/>
              </w:rPr>
              <w:t>building</w:t>
            </w:r>
            <w:r w:rsidRPr="00EB2BD8">
              <w:rPr>
                <w:spacing w:val="-10"/>
                <w:sz w:val="16"/>
              </w:rPr>
              <w:t xml:space="preserve"> </w:t>
            </w:r>
            <w:r w:rsidRPr="00EB2BD8">
              <w:rPr>
                <w:sz w:val="16"/>
              </w:rPr>
              <w:t>contract</w:t>
            </w:r>
            <w:r w:rsidRPr="00EB2BD8">
              <w:rPr>
                <w:spacing w:val="-10"/>
                <w:sz w:val="16"/>
              </w:rPr>
              <w:t xml:space="preserve"> </w:t>
            </w:r>
            <w:r w:rsidRPr="00EB2BD8">
              <w:rPr>
                <w:spacing w:val="-2"/>
                <w:sz w:val="16"/>
              </w:rPr>
              <w:t>without</w:t>
            </w:r>
          </w:p>
        </w:tc>
        <w:tc>
          <w:tcPr>
            <w:tcW w:w="3042" w:type="dxa"/>
          </w:tcPr>
          <w:p w14:paraId="4E9C4B7D" w14:textId="77777777" w:rsidR="00084F36" w:rsidRPr="00EB2BD8" w:rsidRDefault="00EB2BD8">
            <w:pPr>
              <w:pStyle w:val="TableParagraph"/>
              <w:spacing w:before="19"/>
              <w:ind w:left="114"/>
              <w:rPr>
                <w:sz w:val="16"/>
              </w:rPr>
            </w:pPr>
            <w:r w:rsidRPr="00EB2BD8">
              <w:rPr>
                <w:spacing w:val="-4"/>
                <w:sz w:val="16"/>
              </w:rPr>
              <w:t>conviction.</w:t>
            </w:r>
            <w:r w:rsidRPr="00EB2BD8">
              <w:rPr>
                <w:spacing w:val="-6"/>
                <w:sz w:val="16"/>
              </w:rPr>
              <w:t xml:space="preserve"> </w:t>
            </w:r>
            <w:r w:rsidRPr="00EB2BD8">
              <w:rPr>
                <w:spacing w:val="-4"/>
                <w:sz w:val="16"/>
              </w:rPr>
              <w:t>Fine</w:t>
            </w:r>
            <w:r w:rsidRPr="00EB2BD8">
              <w:rPr>
                <w:spacing w:val="-6"/>
                <w:sz w:val="16"/>
              </w:rPr>
              <w:t xml:space="preserve"> </w:t>
            </w:r>
            <w:r w:rsidRPr="00EB2BD8">
              <w:rPr>
                <w:spacing w:val="-4"/>
                <w:sz w:val="16"/>
              </w:rPr>
              <w:t>of</w:t>
            </w:r>
            <w:r w:rsidRPr="00EB2BD8">
              <w:rPr>
                <w:spacing w:val="-6"/>
                <w:sz w:val="16"/>
              </w:rPr>
              <w:t xml:space="preserve"> </w:t>
            </w:r>
            <w:r w:rsidRPr="00EB2BD8">
              <w:rPr>
                <w:spacing w:val="-4"/>
                <w:sz w:val="16"/>
              </w:rPr>
              <w:t>$55,000</w:t>
            </w:r>
            <w:r w:rsidRPr="00EB2BD8">
              <w:rPr>
                <w:spacing w:val="-6"/>
                <w:sz w:val="16"/>
              </w:rPr>
              <w:t xml:space="preserve"> </w:t>
            </w:r>
            <w:r w:rsidRPr="00EB2BD8">
              <w:rPr>
                <w:spacing w:val="-4"/>
                <w:sz w:val="16"/>
              </w:rPr>
              <w:t>plus</w:t>
            </w:r>
          </w:p>
        </w:tc>
        <w:tc>
          <w:tcPr>
            <w:tcW w:w="1115" w:type="dxa"/>
          </w:tcPr>
          <w:p w14:paraId="5D08CF74" w14:textId="77777777" w:rsidR="00084F36" w:rsidRPr="00EB2BD8" w:rsidRDefault="00084F36">
            <w:pPr>
              <w:pStyle w:val="TableParagraph"/>
              <w:rPr>
                <w:rFonts w:ascii="Times New Roman"/>
                <w:sz w:val="14"/>
              </w:rPr>
            </w:pPr>
          </w:p>
        </w:tc>
        <w:tc>
          <w:tcPr>
            <w:tcW w:w="1176" w:type="dxa"/>
          </w:tcPr>
          <w:p w14:paraId="360B7533" w14:textId="77777777" w:rsidR="00084F36" w:rsidRPr="00EB2BD8" w:rsidRDefault="00084F36">
            <w:pPr>
              <w:pStyle w:val="TableParagraph"/>
              <w:rPr>
                <w:rFonts w:ascii="Times New Roman"/>
                <w:sz w:val="14"/>
              </w:rPr>
            </w:pPr>
          </w:p>
        </w:tc>
      </w:tr>
      <w:tr w:rsidR="00EB2BD8" w:rsidRPr="00EB2BD8" w14:paraId="56B4CD9D" w14:textId="77777777">
        <w:trPr>
          <w:trHeight w:val="229"/>
        </w:trPr>
        <w:tc>
          <w:tcPr>
            <w:tcW w:w="1670" w:type="dxa"/>
          </w:tcPr>
          <w:p w14:paraId="2AD753E0" w14:textId="77777777" w:rsidR="00084F36" w:rsidRPr="00EB2BD8" w:rsidRDefault="00084F36">
            <w:pPr>
              <w:pStyle w:val="TableParagraph"/>
              <w:rPr>
                <w:rFonts w:ascii="Times New Roman"/>
                <w:sz w:val="14"/>
              </w:rPr>
            </w:pPr>
          </w:p>
        </w:tc>
        <w:tc>
          <w:tcPr>
            <w:tcW w:w="3204" w:type="dxa"/>
          </w:tcPr>
          <w:p w14:paraId="21B97F56" w14:textId="77777777" w:rsidR="00084F36" w:rsidRPr="00EB2BD8" w:rsidRDefault="00EB2BD8">
            <w:pPr>
              <w:pStyle w:val="TableParagraph"/>
              <w:spacing w:before="19"/>
              <w:ind w:left="200"/>
              <w:rPr>
                <w:sz w:val="16"/>
              </w:rPr>
            </w:pPr>
            <w:r w:rsidRPr="00EB2BD8">
              <w:rPr>
                <w:spacing w:val="-2"/>
                <w:sz w:val="16"/>
              </w:rPr>
              <w:t>registration.</w:t>
            </w:r>
            <w:r w:rsidRPr="00EB2BD8">
              <w:rPr>
                <w:spacing w:val="-3"/>
                <w:sz w:val="16"/>
              </w:rPr>
              <w:t xml:space="preserve"> </w:t>
            </w:r>
            <w:r w:rsidRPr="00EB2BD8">
              <w:rPr>
                <w:spacing w:val="-2"/>
                <w:sz w:val="16"/>
              </w:rPr>
              <w:t>Carried</w:t>
            </w:r>
            <w:r w:rsidRPr="00EB2BD8">
              <w:rPr>
                <w:spacing w:val="-3"/>
                <w:sz w:val="16"/>
              </w:rPr>
              <w:t xml:space="preserve"> </w:t>
            </w:r>
            <w:r w:rsidRPr="00EB2BD8">
              <w:rPr>
                <w:spacing w:val="-2"/>
                <w:sz w:val="16"/>
              </w:rPr>
              <w:t>out building</w:t>
            </w:r>
          </w:p>
        </w:tc>
        <w:tc>
          <w:tcPr>
            <w:tcW w:w="3042" w:type="dxa"/>
          </w:tcPr>
          <w:p w14:paraId="6456BA3E" w14:textId="77777777" w:rsidR="00084F36" w:rsidRPr="00EB2BD8" w:rsidRDefault="00EB2BD8">
            <w:pPr>
              <w:pStyle w:val="TableParagraph"/>
              <w:spacing w:before="19"/>
              <w:ind w:left="114"/>
              <w:rPr>
                <w:sz w:val="16"/>
              </w:rPr>
            </w:pPr>
            <w:r w:rsidRPr="00EB2BD8">
              <w:rPr>
                <w:spacing w:val="-2"/>
                <w:sz w:val="16"/>
              </w:rPr>
              <w:t>compensation</w:t>
            </w:r>
            <w:r w:rsidRPr="00EB2BD8">
              <w:rPr>
                <w:spacing w:val="-4"/>
                <w:sz w:val="16"/>
              </w:rPr>
              <w:t xml:space="preserve"> </w:t>
            </w:r>
            <w:r w:rsidRPr="00EB2BD8">
              <w:rPr>
                <w:spacing w:val="-2"/>
                <w:sz w:val="16"/>
              </w:rPr>
              <w:t>to</w:t>
            </w:r>
            <w:r w:rsidRPr="00EB2BD8">
              <w:rPr>
                <w:spacing w:val="-3"/>
                <w:sz w:val="16"/>
              </w:rPr>
              <w:t xml:space="preserve"> </w:t>
            </w:r>
            <w:r w:rsidRPr="00EB2BD8">
              <w:rPr>
                <w:spacing w:val="-2"/>
                <w:sz w:val="16"/>
              </w:rPr>
              <w:t>owner</w:t>
            </w:r>
            <w:r w:rsidRPr="00EB2BD8">
              <w:rPr>
                <w:spacing w:val="-3"/>
                <w:sz w:val="16"/>
              </w:rPr>
              <w:t xml:space="preserve"> </w:t>
            </w:r>
            <w:r w:rsidRPr="00EB2BD8">
              <w:rPr>
                <w:spacing w:val="-2"/>
                <w:sz w:val="16"/>
              </w:rPr>
              <w:t>of</w:t>
            </w:r>
            <w:r w:rsidRPr="00EB2BD8">
              <w:rPr>
                <w:spacing w:val="-3"/>
                <w:sz w:val="16"/>
              </w:rPr>
              <w:t xml:space="preserve"> </w:t>
            </w:r>
            <w:r w:rsidRPr="00EB2BD8">
              <w:rPr>
                <w:spacing w:val="-2"/>
                <w:sz w:val="16"/>
              </w:rPr>
              <w:t>$61,737.</w:t>
            </w:r>
          </w:p>
        </w:tc>
        <w:tc>
          <w:tcPr>
            <w:tcW w:w="1115" w:type="dxa"/>
          </w:tcPr>
          <w:p w14:paraId="6E33B89C" w14:textId="77777777" w:rsidR="00084F36" w:rsidRPr="00EB2BD8" w:rsidRDefault="00084F36">
            <w:pPr>
              <w:pStyle w:val="TableParagraph"/>
              <w:rPr>
                <w:rFonts w:ascii="Times New Roman"/>
                <w:sz w:val="14"/>
              </w:rPr>
            </w:pPr>
          </w:p>
        </w:tc>
        <w:tc>
          <w:tcPr>
            <w:tcW w:w="1176" w:type="dxa"/>
          </w:tcPr>
          <w:p w14:paraId="513E1B94" w14:textId="77777777" w:rsidR="00084F36" w:rsidRPr="00EB2BD8" w:rsidRDefault="00084F36">
            <w:pPr>
              <w:pStyle w:val="TableParagraph"/>
              <w:rPr>
                <w:rFonts w:ascii="Times New Roman"/>
                <w:sz w:val="14"/>
              </w:rPr>
            </w:pPr>
          </w:p>
        </w:tc>
      </w:tr>
      <w:tr w:rsidR="00EB2BD8" w:rsidRPr="00EB2BD8" w14:paraId="65F32B0C" w14:textId="77777777">
        <w:trPr>
          <w:trHeight w:val="230"/>
        </w:trPr>
        <w:tc>
          <w:tcPr>
            <w:tcW w:w="1670" w:type="dxa"/>
          </w:tcPr>
          <w:p w14:paraId="7140D97F" w14:textId="77777777" w:rsidR="00084F36" w:rsidRPr="00EB2BD8" w:rsidRDefault="00084F36">
            <w:pPr>
              <w:pStyle w:val="TableParagraph"/>
              <w:rPr>
                <w:rFonts w:ascii="Times New Roman"/>
                <w:sz w:val="14"/>
              </w:rPr>
            </w:pPr>
          </w:p>
        </w:tc>
        <w:tc>
          <w:tcPr>
            <w:tcW w:w="3204" w:type="dxa"/>
          </w:tcPr>
          <w:p w14:paraId="5FE4D8B1" w14:textId="77777777" w:rsidR="00084F36" w:rsidRPr="00EB2BD8" w:rsidRDefault="00EB2BD8">
            <w:pPr>
              <w:pStyle w:val="TableParagraph"/>
              <w:spacing w:before="19"/>
              <w:ind w:left="200"/>
              <w:rPr>
                <w:sz w:val="16"/>
              </w:rPr>
            </w:pPr>
            <w:r w:rsidRPr="00EB2BD8">
              <w:rPr>
                <w:spacing w:val="-2"/>
                <w:sz w:val="16"/>
              </w:rPr>
              <w:t>work</w:t>
            </w:r>
            <w:r w:rsidRPr="00EB2BD8">
              <w:rPr>
                <w:spacing w:val="-8"/>
                <w:sz w:val="16"/>
              </w:rPr>
              <w:t xml:space="preserve"> </w:t>
            </w:r>
            <w:r w:rsidRPr="00EB2BD8">
              <w:rPr>
                <w:spacing w:val="-2"/>
                <w:sz w:val="16"/>
              </w:rPr>
              <w:t>without</w:t>
            </w:r>
            <w:r w:rsidRPr="00EB2BD8">
              <w:rPr>
                <w:spacing w:val="-8"/>
                <w:sz w:val="16"/>
              </w:rPr>
              <w:t xml:space="preserve"> </w:t>
            </w:r>
            <w:r w:rsidRPr="00EB2BD8">
              <w:rPr>
                <w:spacing w:val="-2"/>
                <w:sz w:val="16"/>
              </w:rPr>
              <w:t>a</w:t>
            </w:r>
            <w:r w:rsidRPr="00EB2BD8">
              <w:rPr>
                <w:spacing w:val="-7"/>
                <w:sz w:val="16"/>
              </w:rPr>
              <w:t xml:space="preserve"> </w:t>
            </w:r>
            <w:r w:rsidRPr="00EB2BD8">
              <w:rPr>
                <w:spacing w:val="-2"/>
                <w:sz w:val="16"/>
              </w:rPr>
              <w:t>building</w:t>
            </w:r>
            <w:r w:rsidRPr="00EB2BD8">
              <w:rPr>
                <w:spacing w:val="-8"/>
                <w:sz w:val="16"/>
              </w:rPr>
              <w:t xml:space="preserve"> </w:t>
            </w:r>
            <w:r w:rsidRPr="00EB2BD8">
              <w:rPr>
                <w:spacing w:val="-2"/>
                <w:sz w:val="16"/>
              </w:rPr>
              <w:t>permit</w:t>
            </w:r>
            <w:r w:rsidRPr="00EB2BD8">
              <w:rPr>
                <w:spacing w:val="-8"/>
                <w:sz w:val="16"/>
              </w:rPr>
              <w:t xml:space="preserve"> </w:t>
            </w:r>
            <w:r w:rsidRPr="00EB2BD8">
              <w:rPr>
                <w:spacing w:val="-5"/>
                <w:sz w:val="16"/>
              </w:rPr>
              <w:t>in</w:t>
            </w:r>
          </w:p>
        </w:tc>
        <w:tc>
          <w:tcPr>
            <w:tcW w:w="3042" w:type="dxa"/>
          </w:tcPr>
          <w:p w14:paraId="6959EC5E" w14:textId="77777777" w:rsidR="00084F36" w:rsidRPr="00EB2BD8" w:rsidRDefault="00EB2BD8">
            <w:pPr>
              <w:pStyle w:val="TableParagraph"/>
              <w:spacing w:before="19"/>
              <w:ind w:left="114"/>
              <w:rPr>
                <w:sz w:val="16"/>
              </w:rPr>
            </w:pPr>
            <w:r w:rsidRPr="00EB2BD8">
              <w:rPr>
                <w:spacing w:val="-2"/>
                <w:sz w:val="16"/>
              </w:rPr>
              <w:t>Costs</w:t>
            </w:r>
            <w:r w:rsidRPr="00EB2BD8">
              <w:rPr>
                <w:spacing w:val="-8"/>
                <w:sz w:val="16"/>
              </w:rPr>
              <w:t xml:space="preserve"> </w:t>
            </w:r>
            <w:r w:rsidRPr="00EB2BD8">
              <w:rPr>
                <w:spacing w:val="-2"/>
                <w:sz w:val="16"/>
              </w:rPr>
              <w:t>of</w:t>
            </w:r>
            <w:r w:rsidRPr="00EB2BD8">
              <w:rPr>
                <w:spacing w:val="-8"/>
                <w:sz w:val="16"/>
              </w:rPr>
              <w:t xml:space="preserve"> </w:t>
            </w:r>
            <w:r w:rsidRPr="00EB2BD8">
              <w:rPr>
                <w:spacing w:val="-2"/>
                <w:sz w:val="16"/>
              </w:rPr>
              <w:t>$330.</w:t>
            </w:r>
          </w:p>
        </w:tc>
        <w:tc>
          <w:tcPr>
            <w:tcW w:w="1115" w:type="dxa"/>
          </w:tcPr>
          <w:p w14:paraId="39CDCBD5" w14:textId="77777777" w:rsidR="00084F36" w:rsidRPr="00EB2BD8" w:rsidRDefault="00084F36">
            <w:pPr>
              <w:pStyle w:val="TableParagraph"/>
              <w:rPr>
                <w:rFonts w:ascii="Times New Roman"/>
                <w:sz w:val="14"/>
              </w:rPr>
            </w:pPr>
          </w:p>
        </w:tc>
        <w:tc>
          <w:tcPr>
            <w:tcW w:w="1176" w:type="dxa"/>
          </w:tcPr>
          <w:p w14:paraId="2711839F" w14:textId="77777777" w:rsidR="00084F36" w:rsidRPr="00EB2BD8" w:rsidRDefault="00084F36">
            <w:pPr>
              <w:pStyle w:val="TableParagraph"/>
              <w:rPr>
                <w:rFonts w:ascii="Times New Roman"/>
                <w:sz w:val="14"/>
              </w:rPr>
            </w:pPr>
          </w:p>
        </w:tc>
      </w:tr>
      <w:tr w:rsidR="00EB2BD8" w:rsidRPr="00EB2BD8" w14:paraId="31AFE69E" w14:textId="77777777">
        <w:trPr>
          <w:trHeight w:val="229"/>
        </w:trPr>
        <w:tc>
          <w:tcPr>
            <w:tcW w:w="1670" w:type="dxa"/>
          </w:tcPr>
          <w:p w14:paraId="3CC765B8" w14:textId="77777777" w:rsidR="00084F36" w:rsidRPr="00EB2BD8" w:rsidRDefault="00084F36">
            <w:pPr>
              <w:pStyle w:val="TableParagraph"/>
              <w:rPr>
                <w:rFonts w:ascii="Times New Roman"/>
                <w:sz w:val="14"/>
              </w:rPr>
            </w:pPr>
          </w:p>
        </w:tc>
        <w:tc>
          <w:tcPr>
            <w:tcW w:w="3204" w:type="dxa"/>
          </w:tcPr>
          <w:p w14:paraId="48960F12" w14:textId="77777777" w:rsidR="00084F36" w:rsidRPr="00EB2BD8" w:rsidRDefault="00EB2BD8">
            <w:pPr>
              <w:pStyle w:val="TableParagraph"/>
              <w:spacing w:before="19"/>
              <w:ind w:left="200"/>
              <w:rPr>
                <w:sz w:val="16"/>
              </w:rPr>
            </w:pPr>
            <w:r w:rsidRPr="00EB2BD8">
              <w:rPr>
                <w:spacing w:val="-2"/>
                <w:sz w:val="16"/>
              </w:rPr>
              <w:t>place.</w:t>
            </w:r>
            <w:r w:rsidRPr="00EB2BD8">
              <w:rPr>
                <w:spacing w:val="-10"/>
                <w:sz w:val="16"/>
              </w:rPr>
              <w:t xml:space="preserve"> </w:t>
            </w:r>
            <w:r w:rsidRPr="00EB2BD8">
              <w:rPr>
                <w:spacing w:val="-2"/>
                <w:sz w:val="16"/>
              </w:rPr>
              <w:t>Knowingly</w:t>
            </w:r>
            <w:r w:rsidRPr="00EB2BD8">
              <w:rPr>
                <w:spacing w:val="-9"/>
                <w:sz w:val="16"/>
              </w:rPr>
              <w:t xml:space="preserve"> </w:t>
            </w:r>
            <w:r w:rsidRPr="00EB2BD8">
              <w:rPr>
                <w:spacing w:val="-2"/>
                <w:sz w:val="16"/>
              </w:rPr>
              <w:t>provided</w:t>
            </w:r>
            <w:r w:rsidRPr="00EB2BD8">
              <w:rPr>
                <w:spacing w:val="-9"/>
                <w:sz w:val="16"/>
              </w:rPr>
              <w:t xml:space="preserve"> </w:t>
            </w:r>
            <w:r w:rsidRPr="00EB2BD8">
              <w:rPr>
                <w:spacing w:val="-2"/>
                <w:sz w:val="16"/>
              </w:rPr>
              <w:t>false</w:t>
            </w:r>
          </w:p>
        </w:tc>
        <w:tc>
          <w:tcPr>
            <w:tcW w:w="3042" w:type="dxa"/>
          </w:tcPr>
          <w:p w14:paraId="3FCD0D77" w14:textId="77777777" w:rsidR="00084F36" w:rsidRPr="00EB2BD8" w:rsidRDefault="00084F36">
            <w:pPr>
              <w:pStyle w:val="TableParagraph"/>
              <w:rPr>
                <w:rFonts w:ascii="Times New Roman"/>
                <w:sz w:val="14"/>
              </w:rPr>
            </w:pPr>
          </w:p>
        </w:tc>
        <w:tc>
          <w:tcPr>
            <w:tcW w:w="1115" w:type="dxa"/>
          </w:tcPr>
          <w:p w14:paraId="388A6599" w14:textId="77777777" w:rsidR="00084F36" w:rsidRPr="00EB2BD8" w:rsidRDefault="00084F36">
            <w:pPr>
              <w:pStyle w:val="TableParagraph"/>
              <w:rPr>
                <w:rFonts w:ascii="Times New Roman"/>
                <w:sz w:val="14"/>
              </w:rPr>
            </w:pPr>
          </w:p>
        </w:tc>
        <w:tc>
          <w:tcPr>
            <w:tcW w:w="1176" w:type="dxa"/>
          </w:tcPr>
          <w:p w14:paraId="3068707B" w14:textId="77777777" w:rsidR="00084F36" w:rsidRPr="00EB2BD8" w:rsidRDefault="00084F36">
            <w:pPr>
              <w:pStyle w:val="TableParagraph"/>
              <w:rPr>
                <w:rFonts w:ascii="Times New Roman"/>
                <w:sz w:val="14"/>
              </w:rPr>
            </w:pPr>
          </w:p>
        </w:tc>
      </w:tr>
      <w:tr w:rsidR="00EB2BD8" w:rsidRPr="00EB2BD8" w14:paraId="7D2DC86A" w14:textId="77777777">
        <w:trPr>
          <w:trHeight w:val="386"/>
        </w:trPr>
        <w:tc>
          <w:tcPr>
            <w:tcW w:w="1670" w:type="dxa"/>
            <w:tcBorders>
              <w:bottom w:val="single" w:sz="2" w:space="0" w:color="000000"/>
            </w:tcBorders>
          </w:tcPr>
          <w:p w14:paraId="442EFD43" w14:textId="77777777" w:rsidR="00084F36" w:rsidRPr="00EB2BD8" w:rsidRDefault="00084F36">
            <w:pPr>
              <w:pStyle w:val="TableParagraph"/>
              <w:rPr>
                <w:rFonts w:ascii="Times New Roman"/>
                <w:sz w:val="14"/>
              </w:rPr>
            </w:pPr>
          </w:p>
        </w:tc>
        <w:tc>
          <w:tcPr>
            <w:tcW w:w="3204" w:type="dxa"/>
            <w:tcBorders>
              <w:bottom w:val="single" w:sz="2" w:space="0" w:color="000000"/>
            </w:tcBorders>
          </w:tcPr>
          <w:p w14:paraId="59B6C037" w14:textId="77777777" w:rsidR="00084F36" w:rsidRPr="00EB2BD8" w:rsidRDefault="00EB2BD8">
            <w:pPr>
              <w:pStyle w:val="TableParagraph"/>
              <w:spacing w:before="19"/>
              <w:ind w:left="200"/>
              <w:rPr>
                <w:sz w:val="16"/>
              </w:rPr>
            </w:pPr>
            <w:r w:rsidRPr="00EB2BD8">
              <w:rPr>
                <w:spacing w:val="-2"/>
                <w:sz w:val="16"/>
              </w:rPr>
              <w:t>information.</w:t>
            </w:r>
          </w:p>
        </w:tc>
        <w:tc>
          <w:tcPr>
            <w:tcW w:w="3042" w:type="dxa"/>
            <w:tcBorders>
              <w:bottom w:val="single" w:sz="2" w:space="0" w:color="000000"/>
            </w:tcBorders>
          </w:tcPr>
          <w:p w14:paraId="52F8E5C1" w14:textId="77777777" w:rsidR="00084F36" w:rsidRPr="00EB2BD8" w:rsidRDefault="00084F36">
            <w:pPr>
              <w:pStyle w:val="TableParagraph"/>
              <w:rPr>
                <w:rFonts w:ascii="Times New Roman"/>
                <w:sz w:val="14"/>
              </w:rPr>
            </w:pPr>
          </w:p>
        </w:tc>
        <w:tc>
          <w:tcPr>
            <w:tcW w:w="1115" w:type="dxa"/>
            <w:tcBorders>
              <w:bottom w:val="single" w:sz="2" w:space="0" w:color="000000"/>
            </w:tcBorders>
          </w:tcPr>
          <w:p w14:paraId="31930CE8"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7162FA6B" w14:textId="77777777" w:rsidR="00084F36" w:rsidRPr="00EB2BD8" w:rsidRDefault="00084F36">
            <w:pPr>
              <w:pStyle w:val="TableParagraph"/>
              <w:rPr>
                <w:rFonts w:ascii="Times New Roman"/>
                <w:sz w:val="14"/>
              </w:rPr>
            </w:pPr>
          </w:p>
        </w:tc>
      </w:tr>
      <w:tr w:rsidR="00EB2BD8" w:rsidRPr="00EB2BD8" w14:paraId="7C6A53D2" w14:textId="77777777">
        <w:trPr>
          <w:trHeight w:val="325"/>
        </w:trPr>
        <w:tc>
          <w:tcPr>
            <w:tcW w:w="1670" w:type="dxa"/>
            <w:tcBorders>
              <w:top w:val="single" w:sz="2" w:space="0" w:color="000000"/>
            </w:tcBorders>
          </w:tcPr>
          <w:p w14:paraId="606E79ED" w14:textId="77777777" w:rsidR="00084F36" w:rsidRPr="00EB2BD8" w:rsidRDefault="00EB2BD8">
            <w:pPr>
              <w:pStyle w:val="TableParagraph"/>
              <w:spacing w:before="115"/>
              <w:ind w:left="112"/>
              <w:rPr>
                <w:sz w:val="16"/>
              </w:rPr>
            </w:pPr>
            <w:r w:rsidRPr="00EB2BD8">
              <w:rPr>
                <w:sz w:val="16"/>
              </w:rPr>
              <w:t>GOODES,</w:t>
            </w:r>
            <w:r w:rsidRPr="00EB2BD8">
              <w:rPr>
                <w:spacing w:val="3"/>
                <w:sz w:val="16"/>
              </w:rPr>
              <w:t xml:space="preserve"> </w:t>
            </w:r>
            <w:r w:rsidRPr="00EB2BD8">
              <w:rPr>
                <w:spacing w:val="-2"/>
                <w:sz w:val="16"/>
              </w:rPr>
              <w:t>Nathan</w:t>
            </w:r>
          </w:p>
        </w:tc>
        <w:tc>
          <w:tcPr>
            <w:tcW w:w="3204" w:type="dxa"/>
            <w:tcBorders>
              <w:top w:val="single" w:sz="2" w:space="0" w:color="000000"/>
            </w:tcBorders>
          </w:tcPr>
          <w:p w14:paraId="094856D6" w14:textId="77777777" w:rsidR="00084F36" w:rsidRPr="00EB2BD8" w:rsidRDefault="00EB2BD8">
            <w:pPr>
              <w:pStyle w:val="TableParagraph"/>
              <w:spacing w:before="115"/>
              <w:ind w:left="200"/>
              <w:rPr>
                <w:sz w:val="16"/>
              </w:rPr>
            </w:pPr>
            <w:r w:rsidRPr="00EB2BD8">
              <w:rPr>
                <w:sz w:val="16"/>
              </w:rPr>
              <w:t>Carried</w:t>
            </w:r>
            <w:r w:rsidRPr="00EB2BD8">
              <w:rPr>
                <w:spacing w:val="-9"/>
                <w:sz w:val="16"/>
              </w:rPr>
              <w:t xml:space="preserve"> </w:t>
            </w:r>
            <w:r w:rsidRPr="00EB2BD8">
              <w:rPr>
                <w:sz w:val="16"/>
              </w:rPr>
              <w:t>out</w:t>
            </w:r>
            <w:r w:rsidRPr="00EB2BD8">
              <w:rPr>
                <w:spacing w:val="-8"/>
                <w:sz w:val="16"/>
              </w:rPr>
              <w:t xml:space="preserve"> </w:t>
            </w:r>
            <w:r w:rsidRPr="00EB2BD8">
              <w:rPr>
                <w:sz w:val="16"/>
              </w:rPr>
              <w:t>work</w:t>
            </w:r>
            <w:r w:rsidRPr="00EB2BD8">
              <w:rPr>
                <w:spacing w:val="-8"/>
                <w:sz w:val="16"/>
              </w:rPr>
              <w:t xml:space="preserve"> </w:t>
            </w:r>
            <w:r w:rsidRPr="00EB2BD8">
              <w:rPr>
                <w:sz w:val="16"/>
              </w:rPr>
              <w:t>under</w:t>
            </w:r>
            <w:r w:rsidRPr="00EB2BD8">
              <w:rPr>
                <w:spacing w:val="-8"/>
                <w:sz w:val="16"/>
              </w:rPr>
              <w:t xml:space="preserve"> </w:t>
            </w:r>
            <w:r w:rsidRPr="00EB2BD8">
              <w:rPr>
                <w:sz w:val="16"/>
              </w:rPr>
              <w:t>a</w:t>
            </w:r>
            <w:r w:rsidRPr="00EB2BD8">
              <w:rPr>
                <w:spacing w:val="-8"/>
                <w:sz w:val="16"/>
              </w:rPr>
              <w:t xml:space="preserve"> </w:t>
            </w:r>
            <w:r w:rsidRPr="00EB2BD8">
              <w:rPr>
                <w:spacing w:val="-2"/>
                <w:sz w:val="16"/>
              </w:rPr>
              <w:t>major</w:t>
            </w:r>
          </w:p>
        </w:tc>
        <w:tc>
          <w:tcPr>
            <w:tcW w:w="3042" w:type="dxa"/>
            <w:tcBorders>
              <w:top w:val="single" w:sz="2" w:space="0" w:color="000000"/>
            </w:tcBorders>
          </w:tcPr>
          <w:p w14:paraId="37380C23" w14:textId="77777777" w:rsidR="00084F36" w:rsidRPr="00EB2BD8" w:rsidRDefault="00EB2BD8">
            <w:pPr>
              <w:pStyle w:val="TableParagraph"/>
              <w:spacing w:before="115"/>
              <w:ind w:left="114"/>
              <w:rPr>
                <w:sz w:val="16"/>
              </w:rPr>
            </w:pPr>
            <w:r w:rsidRPr="00EB2BD8">
              <w:rPr>
                <w:sz w:val="16"/>
              </w:rPr>
              <w:t>Three</w:t>
            </w:r>
            <w:r w:rsidRPr="00EB2BD8">
              <w:rPr>
                <w:spacing w:val="-8"/>
                <w:sz w:val="16"/>
              </w:rPr>
              <w:t xml:space="preserve"> </w:t>
            </w:r>
            <w:r w:rsidRPr="00EB2BD8">
              <w:rPr>
                <w:sz w:val="16"/>
              </w:rPr>
              <w:t>charges</w:t>
            </w:r>
            <w:r w:rsidRPr="00EB2BD8">
              <w:rPr>
                <w:spacing w:val="-8"/>
                <w:sz w:val="16"/>
              </w:rPr>
              <w:t xml:space="preserve"> </w:t>
            </w:r>
            <w:r w:rsidRPr="00EB2BD8">
              <w:rPr>
                <w:sz w:val="16"/>
              </w:rPr>
              <w:t>proven</w:t>
            </w:r>
            <w:r w:rsidRPr="00EB2BD8">
              <w:rPr>
                <w:spacing w:val="-8"/>
                <w:sz w:val="16"/>
              </w:rPr>
              <w:t xml:space="preserve"> </w:t>
            </w:r>
            <w:r w:rsidRPr="00EB2BD8">
              <w:rPr>
                <w:spacing w:val="-2"/>
                <w:sz w:val="16"/>
              </w:rPr>
              <w:t>without</w:t>
            </w:r>
          </w:p>
        </w:tc>
        <w:tc>
          <w:tcPr>
            <w:tcW w:w="1115" w:type="dxa"/>
            <w:tcBorders>
              <w:top w:val="single" w:sz="2" w:space="0" w:color="000000"/>
            </w:tcBorders>
          </w:tcPr>
          <w:p w14:paraId="7C365D9F" w14:textId="77777777" w:rsidR="00084F36" w:rsidRPr="00EB2BD8" w:rsidRDefault="00EB2BD8">
            <w:pPr>
              <w:pStyle w:val="TableParagraph"/>
              <w:spacing w:before="115"/>
              <w:ind w:right="110"/>
              <w:jc w:val="right"/>
              <w:rPr>
                <w:sz w:val="16"/>
              </w:rPr>
            </w:pPr>
            <w:r w:rsidRPr="00EB2BD8">
              <w:rPr>
                <w:spacing w:val="-2"/>
                <w:sz w:val="16"/>
              </w:rPr>
              <w:t>$3,000</w:t>
            </w:r>
          </w:p>
        </w:tc>
        <w:tc>
          <w:tcPr>
            <w:tcW w:w="1176" w:type="dxa"/>
            <w:tcBorders>
              <w:top w:val="single" w:sz="2" w:space="0" w:color="000000"/>
            </w:tcBorders>
          </w:tcPr>
          <w:p w14:paraId="4CB2A4D5" w14:textId="77777777" w:rsidR="00084F36" w:rsidRPr="00EB2BD8" w:rsidRDefault="00EB2BD8">
            <w:pPr>
              <w:pStyle w:val="TableParagraph"/>
              <w:spacing w:before="115"/>
              <w:ind w:left="114"/>
              <w:rPr>
                <w:sz w:val="16"/>
              </w:rPr>
            </w:pPr>
            <w:r w:rsidRPr="00EB2BD8">
              <w:rPr>
                <w:spacing w:val="-2"/>
                <w:sz w:val="16"/>
              </w:rPr>
              <w:t>04/04/2023</w:t>
            </w:r>
          </w:p>
        </w:tc>
      </w:tr>
      <w:tr w:rsidR="00EB2BD8" w:rsidRPr="00EB2BD8" w14:paraId="2436E255" w14:textId="77777777">
        <w:trPr>
          <w:trHeight w:val="230"/>
        </w:trPr>
        <w:tc>
          <w:tcPr>
            <w:tcW w:w="1670" w:type="dxa"/>
          </w:tcPr>
          <w:p w14:paraId="161E9454" w14:textId="77777777" w:rsidR="00084F36" w:rsidRPr="00EB2BD8" w:rsidRDefault="00084F36">
            <w:pPr>
              <w:pStyle w:val="TableParagraph"/>
              <w:rPr>
                <w:rFonts w:ascii="Times New Roman"/>
                <w:sz w:val="14"/>
              </w:rPr>
            </w:pPr>
          </w:p>
        </w:tc>
        <w:tc>
          <w:tcPr>
            <w:tcW w:w="3204" w:type="dxa"/>
          </w:tcPr>
          <w:p w14:paraId="2E2D29DE" w14:textId="77777777" w:rsidR="00084F36" w:rsidRPr="00EB2BD8" w:rsidRDefault="00EB2BD8">
            <w:pPr>
              <w:pStyle w:val="TableParagraph"/>
              <w:spacing w:before="19"/>
              <w:ind w:left="200"/>
              <w:rPr>
                <w:sz w:val="16"/>
              </w:rPr>
            </w:pPr>
            <w:r w:rsidRPr="00EB2BD8">
              <w:rPr>
                <w:sz w:val="16"/>
              </w:rPr>
              <w:t>domestic</w:t>
            </w:r>
            <w:r w:rsidRPr="00EB2BD8">
              <w:rPr>
                <w:spacing w:val="-11"/>
                <w:sz w:val="16"/>
              </w:rPr>
              <w:t xml:space="preserve"> </w:t>
            </w:r>
            <w:r w:rsidRPr="00EB2BD8">
              <w:rPr>
                <w:sz w:val="16"/>
              </w:rPr>
              <w:t>building</w:t>
            </w:r>
            <w:r w:rsidRPr="00EB2BD8">
              <w:rPr>
                <w:spacing w:val="-10"/>
                <w:sz w:val="16"/>
              </w:rPr>
              <w:t xml:space="preserve"> </w:t>
            </w:r>
            <w:r w:rsidRPr="00EB2BD8">
              <w:rPr>
                <w:sz w:val="16"/>
              </w:rPr>
              <w:t>contract</w:t>
            </w:r>
            <w:r w:rsidRPr="00EB2BD8">
              <w:rPr>
                <w:spacing w:val="-10"/>
                <w:sz w:val="16"/>
              </w:rPr>
              <w:t xml:space="preserve"> </w:t>
            </w:r>
            <w:r w:rsidRPr="00EB2BD8">
              <w:rPr>
                <w:spacing w:val="-2"/>
                <w:sz w:val="16"/>
              </w:rPr>
              <w:t>without</w:t>
            </w:r>
          </w:p>
        </w:tc>
        <w:tc>
          <w:tcPr>
            <w:tcW w:w="3042" w:type="dxa"/>
          </w:tcPr>
          <w:p w14:paraId="15ABEAD7" w14:textId="77777777" w:rsidR="00084F36" w:rsidRPr="00EB2BD8" w:rsidRDefault="00EB2BD8">
            <w:pPr>
              <w:pStyle w:val="TableParagraph"/>
              <w:spacing w:before="19"/>
              <w:ind w:left="114"/>
              <w:rPr>
                <w:sz w:val="16"/>
              </w:rPr>
            </w:pPr>
            <w:r w:rsidRPr="00EB2BD8">
              <w:rPr>
                <w:spacing w:val="-2"/>
                <w:sz w:val="16"/>
              </w:rPr>
              <w:t>conviction.</w:t>
            </w:r>
            <w:r w:rsidRPr="00EB2BD8">
              <w:rPr>
                <w:spacing w:val="-8"/>
                <w:sz w:val="16"/>
              </w:rPr>
              <w:t xml:space="preserve"> </w:t>
            </w:r>
            <w:r w:rsidRPr="00EB2BD8">
              <w:rPr>
                <w:spacing w:val="-2"/>
                <w:sz w:val="16"/>
              </w:rPr>
              <w:t>Fine</w:t>
            </w:r>
            <w:r w:rsidRPr="00EB2BD8">
              <w:rPr>
                <w:spacing w:val="-8"/>
                <w:sz w:val="16"/>
              </w:rPr>
              <w:t xml:space="preserve"> </w:t>
            </w:r>
            <w:r w:rsidRPr="00EB2BD8">
              <w:rPr>
                <w:spacing w:val="-2"/>
                <w:sz w:val="16"/>
              </w:rPr>
              <w:t>of</w:t>
            </w:r>
            <w:r w:rsidRPr="00EB2BD8">
              <w:rPr>
                <w:spacing w:val="-7"/>
                <w:sz w:val="16"/>
              </w:rPr>
              <w:t xml:space="preserve"> </w:t>
            </w:r>
            <w:r w:rsidRPr="00EB2BD8">
              <w:rPr>
                <w:spacing w:val="-2"/>
                <w:sz w:val="16"/>
              </w:rPr>
              <w:t>$3,000.</w:t>
            </w:r>
          </w:p>
        </w:tc>
        <w:tc>
          <w:tcPr>
            <w:tcW w:w="1115" w:type="dxa"/>
          </w:tcPr>
          <w:p w14:paraId="7F5CEEA0" w14:textId="77777777" w:rsidR="00084F36" w:rsidRPr="00EB2BD8" w:rsidRDefault="00084F36">
            <w:pPr>
              <w:pStyle w:val="TableParagraph"/>
              <w:rPr>
                <w:rFonts w:ascii="Times New Roman"/>
                <w:sz w:val="14"/>
              </w:rPr>
            </w:pPr>
          </w:p>
        </w:tc>
        <w:tc>
          <w:tcPr>
            <w:tcW w:w="1176" w:type="dxa"/>
          </w:tcPr>
          <w:p w14:paraId="2B3B7CFE" w14:textId="77777777" w:rsidR="00084F36" w:rsidRPr="00EB2BD8" w:rsidRDefault="00084F36">
            <w:pPr>
              <w:pStyle w:val="TableParagraph"/>
              <w:rPr>
                <w:rFonts w:ascii="Times New Roman"/>
                <w:sz w:val="14"/>
              </w:rPr>
            </w:pPr>
          </w:p>
        </w:tc>
      </w:tr>
      <w:tr w:rsidR="00EB2BD8" w:rsidRPr="00EB2BD8" w14:paraId="68D3784D" w14:textId="77777777">
        <w:trPr>
          <w:trHeight w:val="229"/>
        </w:trPr>
        <w:tc>
          <w:tcPr>
            <w:tcW w:w="1670" w:type="dxa"/>
          </w:tcPr>
          <w:p w14:paraId="6895AA59" w14:textId="77777777" w:rsidR="00084F36" w:rsidRPr="00EB2BD8" w:rsidRDefault="00084F36">
            <w:pPr>
              <w:pStyle w:val="TableParagraph"/>
              <w:rPr>
                <w:rFonts w:ascii="Times New Roman"/>
                <w:sz w:val="14"/>
              </w:rPr>
            </w:pPr>
          </w:p>
        </w:tc>
        <w:tc>
          <w:tcPr>
            <w:tcW w:w="3204" w:type="dxa"/>
          </w:tcPr>
          <w:p w14:paraId="50B4FF82" w14:textId="77777777" w:rsidR="00084F36" w:rsidRPr="00EB2BD8" w:rsidRDefault="00EB2BD8">
            <w:pPr>
              <w:pStyle w:val="TableParagraph"/>
              <w:spacing w:before="19"/>
              <w:ind w:left="200"/>
              <w:rPr>
                <w:sz w:val="16"/>
              </w:rPr>
            </w:pPr>
            <w:r w:rsidRPr="00EB2BD8">
              <w:rPr>
                <w:spacing w:val="-2"/>
                <w:sz w:val="16"/>
              </w:rPr>
              <w:t>registration</w:t>
            </w:r>
            <w:r w:rsidRPr="00EB2BD8">
              <w:rPr>
                <w:spacing w:val="2"/>
                <w:sz w:val="16"/>
              </w:rPr>
              <w:t xml:space="preserve"> </w:t>
            </w:r>
            <w:r w:rsidRPr="00EB2BD8">
              <w:rPr>
                <w:spacing w:val="-2"/>
                <w:sz w:val="16"/>
              </w:rPr>
              <w:t>and</w:t>
            </w:r>
            <w:r w:rsidRPr="00EB2BD8">
              <w:rPr>
                <w:spacing w:val="2"/>
                <w:sz w:val="16"/>
              </w:rPr>
              <w:t xml:space="preserve"> </w:t>
            </w:r>
            <w:r w:rsidRPr="00EB2BD8">
              <w:rPr>
                <w:spacing w:val="-2"/>
                <w:sz w:val="16"/>
              </w:rPr>
              <w:t>required</w:t>
            </w:r>
            <w:r w:rsidRPr="00EB2BD8">
              <w:rPr>
                <w:spacing w:val="3"/>
                <w:sz w:val="16"/>
              </w:rPr>
              <w:t xml:space="preserve"> </w:t>
            </w:r>
            <w:r w:rsidRPr="00EB2BD8">
              <w:rPr>
                <w:spacing w:val="-2"/>
                <w:sz w:val="16"/>
              </w:rPr>
              <w:t>insurance.</w:t>
            </w:r>
          </w:p>
        </w:tc>
        <w:tc>
          <w:tcPr>
            <w:tcW w:w="3042" w:type="dxa"/>
          </w:tcPr>
          <w:p w14:paraId="4ABAFCA3" w14:textId="77777777" w:rsidR="00084F36" w:rsidRPr="00EB2BD8" w:rsidRDefault="00084F36">
            <w:pPr>
              <w:pStyle w:val="TableParagraph"/>
              <w:rPr>
                <w:rFonts w:ascii="Times New Roman"/>
                <w:sz w:val="14"/>
              </w:rPr>
            </w:pPr>
          </w:p>
        </w:tc>
        <w:tc>
          <w:tcPr>
            <w:tcW w:w="1115" w:type="dxa"/>
          </w:tcPr>
          <w:p w14:paraId="027ACDF6" w14:textId="77777777" w:rsidR="00084F36" w:rsidRPr="00EB2BD8" w:rsidRDefault="00084F36">
            <w:pPr>
              <w:pStyle w:val="TableParagraph"/>
              <w:rPr>
                <w:rFonts w:ascii="Times New Roman"/>
                <w:sz w:val="14"/>
              </w:rPr>
            </w:pPr>
          </w:p>
        </w:tc>
        <w:tc>
          <w:tcPr>
            <w:tcW w:w="1176" w:type="dxa"/>
          </w:tcPr>
          <w:p w14:paraId="3C3C1A8D" w14:textId="77777777" w:rsidR="00084F36" w:rsidRPr="00EB2BD8" w:rsidRDefault="00084F36">
            <w:pPr>
              <w:pStyle w:val="TableParagraph"/>
              <w:rPr>
                <w:rFonts w:ascii="Times New Roman"/>
                <w:sz w:val="14"/>
              </w:rPr>
            </w:pPr>
          </w:p>
        </w:tc>
      </w:tr>
      <w:tr w:rsidR="00EB2BD8" w:rsidRPr="00EB2BD8" w14:paraId="0B308242" w14:textId="77777777">
        <w:trPr>
          <w:trHeight w:val="229"/>
        </w:trPr>
        <w:tc>
          <w:tcPr>
            <w:tcW w:w="1670" w:type="dxa"/>
          </w:tcPr>
          <w:p w14:paraId="13BB1417" w14:textId="77777777" w:rsidR="00084F36" w:rsidRPr="00EB2BD8" w:rsidRDefault="00084F36">
            <w:pPr>
              <w:pStyle w:val="TableParagraph"/>
              <w:rPr>
                <w:rFonts w:ascii="Times New Roman"/>
                <w:sz w:val="14"/>
              </w:rPr>
            </w:pPr>
          </w:p>
        </w:tc>
        <w:tc>
          <w:tcPr>
            <w:tcW w:w="3204" w:type="dxa"/>
          </w:tcPr>
          <w:p w14:paraId="0AFE8256" w14:textId="77777777" w:rsidR="00084F36" w:rsidRPr="00EB2BD8" w:rsidRDefault="00EB2BD8">
            <w:pPr>
              <w:pStyle w:val="TableParagraph"/>
              <w:spacing w:before="19"/>
              <w:ind w:left="200"/>
              <w:rPr>
                <w:sz w:val="16"/>
              </w:rPr>
            </w:pPr>
            <w:r w:rsidRPr="00EB2BD8">
              <w:rPr>
                <w:spacing w:val="-2"/>
                <w:sz w:val="16"/>
              </w:rPr>
              <w:t>Carried</w:t>
            </w:r>
            <w:r w:rsidRPr="00EB2BD8">
              <w:rPr>
                <w:spacing w:val="-6"/>
                <w:sz w:val="16"/>
              </w:rPr>
              <w:t xml:space="preserve"> </w:t>
            </w:r>
            <w:r w:rsidRPr="00EB2BD8">
              <w:rPr>
                <w:spacing w:val="-2"/>
                <w:sz w:val="16"/>
              </w:rPr>
              <w:t>out</w:t>
            </w:r>
            <w:r w:rsidRPr="00EB2BD8">
              <w:rPr>
                <w:spacing w:val="-5"/>
                <w:sz w:val="16"/>
              </w:rPr>
              <w:t xml:space="preserve"> </w:t>
            </w:r>
            <w:r w:rsidRPr="00EB2BD8">
              <w:rPr>
                <w:spacing w:val="-2"/>
                <w:sz w:val="16"/>
              </w:rPr>
              <w:t>building</w:t>
            </w:r>
            <w:r w:rsidRPr="00EB2BD8">
              <w:rPr>
                <w:spacing w:val="-6"/>
                <w:sz w:val="16"/>
              </w:rPr>
              <w:t xml:space="preserve"> </w:t>
            </w:r>
            <w:r w:rsidRPr="00EB2BD8">
              <w:rPr>
                <w:spacing w:val="-2"/>
                <w:sz w:val="16"/>
              </w:rPr>
              <w:t>work</w:t>
            </w:r>
            <w:r w:rsidRPr="00EB2BD8">
              <w:rPr>
                <w:spacing w:val="-5"/>
                <w:sz w:val="16"/>
              </w:rPr>
              <w:t xml:space="preserve"> </w:t>
            </w:r>
            <w:r w:rsidRPr="00EB2BD8">
              <w:rPr>
                <w:spacing w:val="-2"/>
                <w:sz w:val="16"/>
              </w:rPr>
              <w:t>without</w:t>
            </w:r>
            <w:r w:rsidRPr="00EB2BD8">
              <w:rPr>
                <w:spacing w:val="-5"/>
                <w:sz w:val="16"/>
              </w:rPr>
              <w:t xml:space="preserve"> </w:t>
            </w:r>
            <w:r w:rsidRPr="00EB2BD8">
              <w:rPr>
                <w:spacing w:val="-10"/>
                <w:sz w:val="16"/>
              </w:rPr>
              <w:t>a</w:t>
            </w:r>
          </w:p>
        </w:tc>
        <w:tc>
          <w:tcPr>
            <w:tcW w:w="3042" w:type="dxa"/>
          </w:tcPr>
          <w:p w14:paraId="60DAD7C2" w14:textId="77777777" w:rsidR="00084F36" w:rsidRPr="00EB2BD8" w:rsidRDefault="00084F36">
            <w:pPr>
              <w:pStyle w:val="TableParagraph"/>
              <w:rPr>
                <w:rFonts w:ascii="Times New Roman"/>
                <w:sz w:val="14"/>
              </w:rPr>
            </w:pPr>
          </w:p>
        </w:tc>
        <w:tc>
          <w:tcPr>
            <w:tcW w:w="1115" w:type="dxa"/>
          </w:tcPr>
          <w:p w14:paraId="4694285C" w14:textId="77777777" w:rsidR="00084F36" w:rsidRPr="00EB2BD8" w:rsidRDefault="00084F36">
            <w:pPr>
              <w:pStyle w:val="TableParagraph"/>
              <w:rPr>
                <w:rFonts w:ascii="Times New Roman"/>
                <w:sz w:val="14"/>
              </w:rPr>
            </w:pPr>
          </w:p>
        </w:tc>
        <w:tc>
          <w:tcPr>
            <w:tcW w:w="1176" w:type="dxa"/>
          </w:tcPr>
          <w:p w14:paraId="3CDD2711" w14:textId="77777777" w:rsidR="00084F36" w:rsidRPr="00EB2BD8" w:rsidRDefault="00084F36">
            <w:pPr>
              <w:pStyle w:val="TableParagraph"/>
              <w:rPr>
                <w:rFonts w:ascii="Times New Roman"/>
                <w:sz w:val="14"/>
              </w:rPr>
            </w:pPr>
          </w:p>
        </w:tc>
      </w:tr>
      <w:tr w:rsidR="00EB2BD8" w:rsidRPr="00EB2BD8" w14:paraId="09809336" w14:textId="77777777">
        <w:trPr>
          <w:trHeight w:val="286"/>
        </w:trPr>
        <w:tc>
          <w:tcPr>
            <w:tcW w:w="1670" w:type="dxa"/>
            <w:tcBorders>
              <w:bottom w:val="single" w:sz="2" w:space="0" w:color="000000"/>
            </w:tcBorders>
          </w:tcPr>
          <w:p w14:paraId="5F01D19A" w14:textId="77777777" w:rsidR="00084F36" w:rsidRPr="00EB2BD8" w:rsidRDefault="00084F36">
            <w:pPr>
              <w:pStyle w:val="TableParagraph"/>
              <w:rPr>
                <w:rFonts w:ascii="Times New Roman"/>
                <w:sz w:val="14"/>
              </w:rPr>
            </w:pPr>
          </w:p>
        </w:tc>
        <w:tc>
          <w:tcPr>
            <w:tcW w:w="3204" w:type="dxa"/>
            <w:tcBorders>
              <w:bottom w:val="single" w:sz="2" w:space="0" w:color="000000"/>
            </w:tcBorders>
          </w:tcPr>
          <w:p w14:paraId="63D2E08D" w14:textId="77777777" w:rsidR="00084F36" w:rsidRPr="00EB2BD8" w:rsidRDefault="00EB2BD8">
            <w:pPr>
              <w:pStyle w:val="TableParagraph"/>
              <w:spacing w:before="19"/>
              <w:ind w:left="200"/>
              <w:rPr>
                <w:sz w:val="16"/>
              </w:rPr>
            </w:pPr>
            <w:r w:rsidRPr="00EB2BD8">
              <w:rPr>
                <w:spacing w:val="-2"/>
                <w:sz w:val="16"/>
              </w:rPr>
              <w:t>building</w:t>
            </w:r>
            <w:r w:rsidRPr="00EB2BD8">
              <w:rPr>
                <w:spacing w:val="-10"/>
                <w:sz w:val="16"/>
              </w:rPr>
              <w:t xml:space="preserve"> </w:t>
            </w:r>
            <w:r w:rsidRPr="00EB2BD8">
              <w:rPr>
                <w:spacing w:val="-2"/>
                <w:sz w:val="16"/>
              </w:rPr>
              <w:t>permit</w:t>
            </w:r>
            <w:r w:rsidRPr="00EB2BD8">
              <w:rPr>
                <w:spacing w:val="-9"/>
                <w:sz w:val="16"/>
              </w:rPr>
              <w:t xml:space="preserve"> </w:t>
            </w:r>
            <w:r w:rsidRPr="00EB2BD8">
              <w:rPr>
                <w:spacing w:val="-2"/>
                <w:sz w:val="16"/>
              </w:rPr>
              <w:t>in</w:t>
            </w:r>
            <w:r w:rsidRPr="00EB2BD8">
              <w:rPr>
                <w:spacing w:val="-9"/>
                <w:sz w:val="16"/>
              </w:rPr>
              <w:t xml:space="preserve"> </w:t>
            </w:r>
            <w:r w:rsidRPr="00EB2BD8">
              <w:rPr>
                <w:spacing w:val="-2"/>
                <w:sz w:val="16"/>
              </w:rPr>
              <w:t>place.</w:t>
            </w:r>
          </w:p>
        </w:tc>
        <w:tc>
          <w:tcPr>
            <w:tcW w:w="3042" w:type="dxa"/>
            <w:tcBorders>
              <w:bottom w:val="single" w:sz="2" w:space="0" w:color="000000"/>
            </w:tcBorders>
          </w:tcPr>
          <w:p w14:paraId="2BFD78BC" w14:textId="77777777" w:rsidR="00084F36" w:rsidRPr="00EB2BD8" w:rsidRDefault="00084F36">
            <w:pPr>
              <w:pStyle w:val="TableParagraph"/>
              <w:rPr>
                <w:rFonts w:ascii="Times New Roman"/>
                <w:sz w:val="14"/>
              </w:rPr>
            </w:pPr>
          </w:p>
        </w:tc>
        <w:tc>
          <w:tcPr>
            <w:tcW w:w="1115" w:type="dxa"/>
            <w:tcBorders>
              <w:bottom w:val="single" w:sz="2" w:space="0" w:color="000000"/>
            </w:tcBorders>
          </w:tcPr>
          <w:p w14:paraId="360D9346"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41D7A924" w14:textId="77777777" w:rsidR="00084F36" w:rsidRPr="00EB2BD8" w:rsidRDefault="00084F36">
            <w:pPr>
              <w:pStyle w:val="TableParagraph"/>
              <w:rPr>
                <w:rFonts w:ascii="Times New Roman"/>
                <w:sz w:val="14"/>
              </w:rPr>
            </w:pPr>
          </w:p>
        </w:tc>
      </w:tr>
      <w:tr w:rsidR="00EB2BD8" w:rsidRPr="00EB2BD8" w14:paraId="549597C0" w14:textId="77777777">
        <w:trPr>
          <w:trHeight w:val="325"/>
        </w:trPr>
        <w:tc>
          <w:tcPr>
            <w:tcW w:w="1670" w:type="dxa"/>
            <w:tcBorders>
              <w:top w:val="single" w:sz="2" w:space="0" w:color="000000"/>
            </w:tcBorders>
          </w:tcPr>
          <w:p w14:paraId="249C3CE2" w14:textId="77777777" w:rsidR="00084F36" w:rsidRPr="00EB2BD8" w:rsidRDefault="00EB2BD8">
            <w:pPr>
              <w:pStyle w:val="TableParagraph"/>
              <w:spacing w:before="115"/>
              <w:ind w:left="112"/>
              <w:rPr>
                <w:sz w:val="16"/>
              </w:rPr>
            </w:pPr>
            <w:r w:rsidRPr="00EB2BD8">
              <w:rPr>
                <w:spacing w:val="-5"/>
                <w:sz w:val="16"/>
              </w:rPr>
              <w:t>MATTISKE,</w:t>
            </w:r>
            <w:r w:rsidRPr="00EB2BD8">
              <w:rPr>
                <w:spacing w:val="1"/>
                <w:sz w:val="16"/>
              </w:rPr>
              <w:t xml:space="preserve"> </w:t>
            </w:r>
            <w:r w:rsidRPr="00EB2BD8">
              <w:rPr>
                <w:spacing w:val="-2"/>
                <w:sz w:val="16"/>
              </w:rPr>
              <w:t>Simon</w:t>
            </w:r>
          </w:p>
        </w:tc>
        <w:tc>
          <w:tcPr>
            <w:tcW w:w="3204" w:type="dxa"/>
            <w:tcBorders>
              <w:top w:val="single" w:sz="2" w:space="0" w:color="000000"/>
            </w:tcBorders>
          </w:tcPr>
          <w:p w14:paraId="18D881C5" w14:textId="77777777" w:rsidR="00084F36" w:rsidRPr="00EB2BD8" w:rsidRDefault="00EB2BD8">
            <w:pPr>
              <w:pStyle w:val="TableParagraph"/>
              <w:spacing w:before="115"/>
              <w:ind w:left="200"/>
              <w:rPr>
                <w:sz w:val="16"/>
              </w:rPr>
            </w:pPr>
            <w:r w:rsidRPr="00EB2BD8">
              <w:rPr>
                <w:sz w:val="16"/>
              </w:rPr>
              <w:t>Accepted appointment</w:t>
            </w:r>
            <w:r w:rsidRPr="00EB2BD8">
              <w:rPr>
                <w:spacing w:val="1"/>
                <w:sz w:val="16"/>
              </w:rPr>
              <w:t xml:space="preserve"> </w:t>
            </w:r>
            <w:r w:rsidRPr="00EB2BD8">
              <w:rPr>
                <w:sz w:val="16"/>
              </w:rPr>
              <w:t>as a</w:t>
            </w:r>
            <w:r w:rsidRPr="00EB2BD8">
              <w:rPr>
                <w:spacing w:val="1"/>
                <w:sz w:val="16"/>
              </w:rPr>
              <w:t xml:space="preserve"> </w:t>
            </w:r>
            <w:r w:rsidRPr="00EB2BD8">
              <w:rPr>
                <w:spacing w:val="-2"/>
                <w:sz w:val="16"/>
              </w:rPr>
              <w:t>private</w:t>
            </w:r>
          </w:p>
        </w:tc>
        <w:tc>
          <w:tcPr>
            <w:tcW w:w="3042" w:type="dxa"/>
            <w:tcBorders>
              <w:top w:val="single" w:sz="2" w:space="0" w:color="000000"/>
            </w:tcBorders>
          </w:tcPr>
          <w:p w14:paraId="44F729F9" w14:textId="77777777" w:rsidR="00084F36" w:rsidRPr="00EB2BD8" w:rsidRDefault="00EB2BD8">
            <w:pPr>
              <w:pStyle w:val="TableParagraph"/>
              <w:spacing w:before="114"/>
              <w:ind w:left="114"/>
              <w:rPr>
                <w:sz w:val="16"/>
              </w:rPr>
            </w:pPr>
            <w:r w:rsidRPr="00EB2BD8">
              <w:rPr>
                <w:spacing w:val="-2"/>
                <w:sz w:val="16"/>
              </w:rPr>
              <w:t>40</w:t>
            </w:r>
            <w:r w:rsidRPr="00EB2BD8">
              <w:rPr>
                <w:spacing w:val="-5"/>
                <w:sz w:val="16"/>
              </w:rPr>
              <w:t xml:space="preserve"> </w:t>
            </w:r>
            <w:r w:rsidRPr="00EB2BD8">
              <w:rPr>
                <w:spacing w:val="-2"/>
                <w:sz w:val="16"/>
              </w:rPr>
              <w:t>charges</w:t>
            </w:r>
            <w:r w:rsidRPr="00EB2BD8">
              <w:rPr>
                <w:spacing w:val="-5"/>
                <w:sz w:val="16"/>
              </w:rPr>
              <w:t xml:space="preserve"> </w:t>
            </w:r>
            <w:r w:rsidRPr="00EB2BD8">
              <w:rPr>
                <w:spacing w:val="-2"/>
                <w:sz w:val="16"/>
              </w:rPr>
              <w:t>proven.</w:t>
            </w:r>
            <w:r w:rsidRPr="00EB2BD8">
              <w:rPr>
                <w:spacing w:val="-5"/>
                <w:sz w:val="16"/>
              </w:rPr>
              <w:t xml:space="preserve"> </w:t>
            </w:r>
            <w:r w:rsidRPr="00EB2BD8">
              <w:rPr>
                <w:spacing w:val="-2"/>
                <w:sz w:val="16"/>
              </w:rPr>
              <w:t>Fine</w:t>
            </w:r>
            <w:r w:rsidRPr="00EB2BD8">
              <w:rPr>
                <w:spacing w:val="-5"/>
                <w:sz w:val="16"/>
              </w:rPr>
              <w:t xml:space="preserve"> </w:t>
            </w:r>
            <w:r w:rsidRPr="00EB2BD8">
              <w:rPr>
                <w:spacing w:val="-2"/>
                <w:sz w:val="16"/>
              </w:rPr>
              <w:t>of</w:t>
            </w:r>
            <w:r w:rsidRPr="00EB2BD8">
              <w:rPr>
                <w:spacing w:val="-5"/>
                <w:sz w:val="16"/>
              </w:rPr>
              <w:t xml:space="preserve"> </w:t>
            </w:r>
            <w:r w:rsidRPr="00EB2BD8">
              <w:rPr>
                <w:spacing w:val="-2"/>
                <w:sz w:val="16"/>
              </w:rPr>
              <w:t>$44,500,</w:t>
            </w:r>
          </w:p>
        </w:tc>
        <w:tc>
          <w:tcPr>
            <w:tcW w:w="1115" w:type="dxa"/>
            <w:tcBorders>
              <w:top w:val="single" w:sz="2" w:space="0" w:color="000000"/>
            </w:tcBorders>
          </w:tcPr>
          <w:p w14:paraId="59121344" w14:textId="77777777" w:rsidR="00084F36" w:rsidRPr="00EB2BD8" w:rsidRDefault="00EB2BD8">
            <w:pPr>
              <w:pStyle w:val="TableParagraph"/>
              <w:spacing w:before="114"/>
              <w:ind w:right="111"/>
              <w:jc w:val="right"/>
              <w:rPr>
                <w:sz w:val="16"/>
              </w:rPr>
            </w:pPr>
            <w:r w:rsidRPr="00EB2BD8">
              <w:rPr>
                <w:spacing w:val="-2"/>
                <w:sz w:val="16"/>
              </w:rPr>
              <w:t>$44,500</w:t>
            </w:r>
          </w:p>
        </w:tc>
        <w:tc>
          <w:tcPr>
            <w:tcW w:w="1176" w:type="dxa"/>
            <w:tcBorders>
              <w:top w:val="single" w:sz="2" w:space="0" w:color="000000"/>
            </w:tcBorders>
          </w:tcPr>
          <w:p w14:paraId="257A016E" w14:textId="77777777" w:rsidR="00084F36" w:rsidRPr="00EB2BD8" w:rsidRDefault="00EB2BD8">
            <w:pPr>
              <w:pStyle w:val="TableParagraph"/>
              <w:spacing w:before="114"/>
              <w:ind w:left="114"/>
              <w:rPr>
                <w:sz w:val="16"/>
              </w:rPr>
            </w:pPr>
            <w:r w:rsidRPr="00EB2BD8">
              <w:rPr>
                <w:spacing w:val="-2"/>
                <w:w w:val="95"/>
                <w:sz w:val="16"/>
              </w:rPr>
              <w:t>23/01/2023</w:t>
            </w:r>
          </w:p>
        </w:tc>
      </w:tr>
      <w:tr w:rsidR="00EB2BD8" w:rsidRPr="00EB2BD8" w14:paraId="3FF61682" w14:textId="77777777">
        <w:trPr>
          <w:trHeight w:val="230"/>
        </w:trPr>
        <w:tc>
          <w:tcPr>
            <w:tcW w:w="1670" w:type="dxa"/>
          </w:tcPr>
          <w:p w14:paraId="09EB82D6" w14:textId="77777777" w:rsidR="00084F36" w:rsidRPr="00EB2BD8" w:rsidRDefault="00084F36">
            <w:pPr>
              <w:pStyle w:val="TableParagraph"/>
              <w:rPr>
                <w:rFonts w:ascii="Times New Roman"/>
                <w:sz w:val="14"/>
              </w:rPr>
            </w:pPr>
          </w:p>
        </w:tc>
        <w:tc>
          <w:tcPr>
            <w:tcW w:w="3204" w:type="dxa"/>
          </w:tcPr>
          <w:p w14:paraId="2B06F64E" w14:textId="77777777" w:rsidR="00084F36" w:rsidRPr="00EB2BD8" w:rsidRDefault="00EB2BD8">
            <w:pPr>
              <w:pStyle w:val="TableParagraph"/>
              <w:spacing w:before="19"/>
              <w:ind w:left="200"/>
              <w:rPr>
                <w:sz w:val="16"/>
              </w:rPr>
            </w:pPr>
            <w:r w:rsidRPr="00EB2BD8">
              <w:rPr>
                <w:spacing w:val="-2"/>
                <w:sz w:val="16"/>
              </w:rPr>
              <w:t>building</w:t>
            </w:r>
            <w:r w:rsidRPr="00EB2BD8">
              <w:rPr>
                <w:spacing w:val="-6"/>
                <w:sz w:val="16"/>
              </w:rPr>
              <w:t xml:space="preserve"> </w:t>
            </w:r>
            <w:r w:rsidRPr="00EB2BD8">
              <w:rPr>
                <w:spacing w:val="-2"/>
                <w:sz w:val="16"/>
              </w:rPr>
              <w:t>surveyor</w:t>
            </w:r>
            <w:r w:rsidRPr="00EB2BD8">
              <w:rPr>
                <w:spacing w:val="-6"/>
                <w:sz w:val="16"/>
              </w:rPr>
              <w:t xml:space="preserve"> </w:t>
            </w:r>
            <w:r w:rsidRPr="00EB2BD8">
              <w:rPr>
                <w:spacing w:val="-2"/>
                <w:sz w:val="16"/>
              </w:rPr>
              <w:t>when</w:t>
            </w:r>
            <w:r w:rsidRPr="00EB2BD8">
              <w:rPr>
                <w:spacing w:val="-6"/>
                <w:sz w:val="16"/>
              </w:rPr>
              <w:t xml:space="preserve"> </w:t>
            </w:r>
            <w:r w:rsidRPr="00EB2BD8">
              <w:rPr>
                <w:spacing w:val="-2"/>
                <w:sz w:val="16"/>
              </w:rPr>
              <w:t>unregistered.</w:t>
            </w:r>
          </w:p>
        </w:tc>
        <w:tc>
          <w:tcPr>
            <w:tcW w:w="3042" w:type="dxa"/>
          </w:tcPr>
          <w:p w14:paraId="4523C868" w14:textId="77777777" w:rsidR="00084F36" w:rsidRPr="00EB2BD8" w:rsidRDefault="00EB2BD8">
            <w:pPr>
              <w:pStyle w:val="TableParagraph"/>
              <w:spacing w:before="19"/>
              <w:ind w:left="114"/>
              <w:rPr>
                <w:sz w:val="16"/>
              </w:rPr>
            </w:pPr>
            <w:r w:rsidRPr="00EB2BD8">
              <w:rPr>
                <w:spacing w:val="-2"/>
                <w:sz w:val="16"/>
              </w:rPr>
              <w:t>plus</w:t>
            </w:r>
            <w:r w:rsidRPr="00EB2BD8">
              <w:rPr>
                <w:spacing w:val="-11"/>
                <w:sz w:val="16"/>
              </w:rPr>
              <w:t xml:space="preserve"> </w:t>
            </w:r>
            <w:r w:rsidRPr="00EB2BD8">
              <w:rPr>
                <w:spacing w:val="-2"/>
                <w:sz w:val="16"/>
              </w:rPr>
              <w:t>costs</w:t>
            </w:r>
            <w:r w:rsidRPr="00EB2BD8">
              <w:rPr>
                <w:spacing w:val="-10"/>
                <w:sz w:val="16"/>
              </w:rPr>
              <w:t xml:space="preserve"> </w:t>
            </w:r>
            <w:r w:rsidRPr="00EB2BD8">
              <w:rPr>
                <w:spacing w:val="-2"/>
                <w:sz w:val="16"/>
              </w:rPr>
              <w:t>of</w:t>
            </w:r>
            <w:r w:rsidRPr="00EB2BD8">
              <w:rPr>
                <w:spacing w:val="-10"/>
                <w:sz w:val="16"/>
              </w:rPr>
              <w:t xml:space="preserve"> </w:t>
            </w:r>
            <w:r w:rsidRPr="00EB2BD8">
              <w:rPr>
                <w:spacing w:val="-2"/>
                <w:sz w:val="16"/>
              </w:rPr>
              <w:t>$5,500.</w:t>
            </w:r>
          </w:p>
        </w:tc>
        <w:tc>
          <w:tcPr>
            <w:tcW w:w="1115" w:type="dxa"/>
          </w:tcPr>
          <w:p w14:paraId="08CC0EDB" w14:textId="77777777" w:rsidR="00084F36" w:rsidRPr="00EB2BD8" w:rsidRDefault="00084F36">
            <w:pPr>
              <w:pStyle w:val="TableParagraph"/>
              <w:rPr>
                <w:rFonts w:ascii="Times New Roman"/>
                <w:sz w:val="14"/>
              </w:rPr>
            </w:pPr>
          </w:p>
        </w:tc>
        <w:tc>
          <w:tcPr>
            <w:tcW w:w="1176" w:type="dxa"/>
          </w:tcPr>
          <w:p w14:paraId="1762AF91" w14:textId="77777777" w:rsidR="00084F36" w:rsidRPr="00EB2BD8" w:rsidRDefault="00084F36">
            <w:pPr>
              <w:pStyle w:val="TableParagraph"/>
              <w:rPr>
                <w:rFonts w:ascii="Times New Roman"/>
                <w:sz w:val="14"/>
              </w:rPr>
            </w:pPr>
          </w:p>
        </w:tc>
      </w:tr>
      <w:tr w:rsidR="00EB2BD8" w:rsidRPr="00EB2BD8" w14:paraId="7F25C112" w14:textId="77777777">
        <w:trPr>
          <w:trHeight w:val="229"/>
        </w:trPr>
        <w:tc>
          <w:tcPr>
            <w:tcW w:w="1670" w:type="dxa"/>
          </w:tcPr>
          <w:p w14:paraId="5ECA41FB" w14:textId="77777777" w:rsidR="00084F36" w:rsidRPr="00EB2BD8" w:rsidRDefault="00084F36">
            <w:pPr>
              <w:pStyle w:val="TableParagraph"/>
              <w:rPr>
                <w:rFonts w:ascii="Times New Roman"/>
                <w:sz w:val="14"/>
              </w:rPr>
            </w:pPr>
          </w:p>
        </w:tc>
        <w:tc>
          <w:tcPr>
            <w:tcW w:w="3204" w:type="dxa"/>
          </w:tcPr>
          <w:p w14:paraId="10522256" w14:textId="77777777" w:rsidR="00084F36" w:rsidRPr="00EB2BD8" w:rsidRDefault="00EB2BD8">
            <w:pPr>
              <w:pStyle w:val="TableParagraph"/>
              <w:spacing w:before="19"/>
              <w:ind w:left="200"/>
              <w:rPr>
                <w:sz w:val="16"/>
              </w:rPr>
            </w:pPr>
            <w:r w:rsidRPr="00EB2BD8">
              <w:rPr>
                <w:sz w:val="16"/>
              </w:rPr>
              <w:t>Carried</w:t>
            </w:r>
            <w:r w:rsidRPr="00EB2BD8">
              <w:rPr>
                <w:spacing w:val="-7"/>
                <w:sz w:val="16"/>
              </w:rPr>
              <w:t xml:space="preserve"> </w:t>
            </w:r>
            <w:r w:rsidRPr="00EB2BD8">
              <w:rPr>
                <w:sz w:val="16"/>
              </w:rPr>
              <w:t>out</w:t>
            </w:r>
            <w:r w:rsidRPr="00EB2BD8">
              <w:rPr>
                <w:spacing w:val="-7"/>
                <w:sz w:val="16"/>
              </w:rPr>
              <w:t xml:space="preserve"> </w:t>
            </w:r>
            <w:r w:rsidRPr="00EB2BD8">
              <w:rPr>
                <w:sz w:val="16"/>
              </w:rPr>
              <w:t>work</w:t>
            </w:r>
            <w:r w:rsidRPr="00EB2BD8">
              <w:rPr>
                <w:spacing w:val="-6"/>
                <w:sz w:val="16"/>
              </w:rPr>
              <w:t xml:space="preserve"> </w:t>
            </w:r>
            <w:r w:rsidRPr="00EB2BD8">
              <w:rPr>
                <w:sz w:val="16"/>
              </w:rPr>
              <w:t>as</w:t>
            </w:r>
            <w:r w:rsidRPr="00EB2BD8">
              <w:rPr>
                <w:spacing w:val="-7"/>
                <w:sz w:val="16"/>
              </w:rPr>
              <w:t xml:space="preserve"> </w:t>
            </w:r>
            <w:r w:rsidRPr="00EB2BD8">
              <w:rPr>
                <w:sz w:val="16"/>
              </w:rPr>
              <w:t>a</w:t>
            </w:r>
            <w:r w:rsidRPr="00EB2BD8">
              <w:rPr>
                <w:spacing w:val="-6"/>
                <w:sz w:val="16"/>
              </w:rPr>
              <w:t xml:space="preserve"> </w:t>
            </w:r>
            <w:r w:rsidRPr="00EB2BD8">
              <w:rPr>
                <w:spacing w:val="-2"/>
                <w:sz w:val="16"/>
              </w:rPr>
              <w:t>building</w:t>
            </w:r>
          </w:p>
        </w:tc>
        <w:tc>
          <w:tcPr>
            <w:tcW w:w="3042" w:type="dxa"/>
          </w:tcPr>
          <w:p w14:paraId="39FC0327" w14:textId="77777777" w:rsidR="00084F36" w:rsidRPr="00EB2BD8" w:rsidRDefault="00084F36">
            <w:pPr>
              <w:pStyle w:val="TableParagraph"/>
              <w:rPr>
                <w:rFonts w:ascii="Times New Roman"/>
                <w:sz w:val="14"/>
              </w:rPr>
            </w:pPr>
          </w:p>
        </w:tc>
        <w:tc>
          <w:tcPr>
            <w:tcW w:w="1115" w:type="dxa"/>
          </w:tcPr>
          <w:p w14:paraId="1411B4B4" w14:textId="77777777" w:rsidR="00084F36" w:rsidRPr="00EB2BD8" w:rsidRDefault="00084F36">
            <w:pPr>
              <w:pStyle w:val="TableParagraph"/>
              <w:rPr>
                <w:rFonts w:ascii="Times New Roman"/>
                <w:sz w:val="14"/>
              </w:rPr>
            </w:pPr>
          </w:p>
        </w:tc>
        <w:tc>
          <w:tcPr>
            <w:tcW w:w="1176" w:type="dxa"/>
          </w:tcPr>
          <w:p w14:paraId="064E2673" w14:textId="77777777" w:rsidR="00084F36" w:rsidRPr="00EB2BD8" w:rsidRDefault="00084F36">
            <w:pPr>
              <w:pStyle w:val="TableParagraph"/>
              <w:rPr>
                <w:rFonts w:ascii="Times New Roman"/>
                <w:sz w:val="14"/>
              </w:rPr>
            </w:pPr>
          </w:p>
        </w:tc>
      </w:tr>
      <w:tr w:rsidR="00EB2BD8" w:rsidRPr="00EB2BD8" w14:paraId="6AD252B5" w14:textId="77777777">
        <w:trPr>
          <w:trHeight w:val="229"/>
        </w:trPr>
        <w:tc>
          <w:tcPr>
            <w:tcW w:w="1670" w:type="dxa"/>
          </w:tcPr>
          <w:p w14:paraId="666CD1B0" w14:textId="77777777" w:rsidR="00084F36" w:rsidRPr="00EB2BD8" w:rsidRDefault="00084F36">
            <w:pPr>
              <w:pStyle w:val="TableParagraph"/>
              <w:rPr>
                <w:rFonts w:ascii="Times New Roman"/>
                <w:sz w:val="14"/>
              </w:rPr>
            </w:pPr>
          </w:p>
        </w:tc>
        <w:tc>
          <w:tcPr>
            <w:tcW w:w="3204" w:type="dxa"/>
          </w:tcPr>
          <w:p w14:paraId="77B53A68" w14:textId="77777777" w:rsidR="00084F36" w:rsidRPr="00EB2BD8" w:rsidRDefault="00EB2BD8">
            <w:pPr>
              <w:pStyle w:val="TableParagraph"/>
              <w:spacing w:before="19"/>
              <w:ind w:left="200"/>
              <w:rPr>
                <w:sz w:val="16"/>
              </w:rPr>
            </w:pPr>
            <w:r w:rsidRPr="00EB2BD8">
              <w:rPr>
                <w:spacing w:val="-2"/>
                <w:sz w:val="16"/>
              </w:rPr>
              <w:t xml:space="preserve">surveyor when unregistered </w:t>
            </w:r>
            <w:r w:rsidRPr="00EB2BD8">
              <w:rPr>
                <w:spacing w:val="-5"/>
                <w:sz w:val="16"/>
              </w:rPr>
              <w:t>and</w:t>
            </w:r>
          </w:p>
        </w:tc>
        <w:tc>
          <w:tcPr>
            <w:tcW w:w="3042" w:type="dxa"/>
          </w:tcPr>
          <w:p w14:paraId="7E8E9014" w14:textId="77777777" w:rsidR="00084F36" w:rsidRPr="00EB2BD8" w:rsidRDefault="00084F36">
            <w:pPr>
              <w:pStyle w:val="TableParagraph"/>
              <w:rPr>
                <w:rFonts w:ascii="Times New Roman"/>
                <w:sz w:val="14"/>
              </w:rPr>
            </w:pPr>
          </w:p>
        </w:tc>
        <w:tc>
          <w:tcPr>
            <w:tcW w:w="1115" w:type="dxa"/>
          </w:tcPr>
          <w:p w14:paraId="3E3A4979" w14:textId="77777777" w:rsidR="00084F36" w:rsidRPr="00EB2BD8" w:rsidRDefault="00084F36">
            <w:pPr>
              <w:pStyle w:val="TableParagraph"/>
              <w:rPr>
                <w:rFonts w:ascii="Times New Roman"/>
                <w:sz w:val="14"/>
              </w:rPr>
            </w:pPr>
          </w:p>
        </w:tc>
        <w:tc>
          <w:tcPr>
            <w:tcW w:w="1176" w:type="dxa"/>
          </w:tcPr>
          <w:p w14:paraId="5D218AAF" w14:textId="77777777" w:rsidR="00084F36" w:rsidRPr="00EB2BD8" w:rsidRDefault="00084F36">
            <w:pPr>
              <w:pStyle w:val="TableParagraph"/>
              <w:rPr>
                <w:rFonts w:ascii="Times New Roman"/>
                <w:sz w:val="14"/>
              </w:rPr>
            </w:pPr>
          </w:p>
        </w:tc>
      </w:tr>
      <w:tr w:rsidR="00EB2BD8" w:rsidRPr="00EB2BD8" w14:paraId="2124B35C" w14:textId="77777777">
        <w:trPr>
          <w:trHeight w:val="229"/>
        </w:trPr>
        <w:tc>
          <w:tcPr>
            <w:tcW w:w="1670" w:type="dxa"/>
          </w:tcPr>
          <w:p w14:paraId="21BBE29E" w14:textId="77777777" w:rsidR="00084F36" w:rsidRPr="00EB2BD8" w:rsidRDefault="00084F36">
            <w:pPr>
              <w:pStyle w:val="TableParagraph"/>
              <w:rPr>
                <w:rFonts w:ascii="Times New Roman"/>
                <w:sz w:val="14"/>
              </w:rPr>
            </w:pPr>
          </w:p>
        </w:tc>
        <w:tc>
          <w:tcPr>
            <w:tcW w:w="3204" w:type="dxa"/>
          </w:tcPr>
          <w:p w14:paraId="3FF17A6D" w14:textId="77777777" w:rsidR="00084F36" w:rsidRPr="00EB2BD8" w:rsidRDefault="00EB2BD8">
            <w:pPr>
              <w:pStyle w:val="TableParagraph"/>
              <w:spacing w:before="19"/>
              <w:ind w:left="200"/>
              <w:rPr>
                <w:sz w:val="16"/>
              </w:rPr>
            </w:pPr>
            <w:r w:rsidRPr="00EB2BD8">
              <w:rPr>
                <w:spacing w:val="-2"/>
                <w:sz w:val="16"/>
              </w:rPr>
              <w:t>issued</w:t>
            </w:r>
            <w:r w:rsidRPr="00EB2BD8">
              <w:rPr>
                <w:spacing w:val="-7"/>
                <w:sz w:val="16"/>
              </w:rPr>
              <w:t xml:space="preserve"> </w:t>
            </w:r>
            <w:r w:rsidRPr="00EB2BD8">
              <w:rPr>
                <w:spacing w:val="-2"/>
                <w:sz w:val="16"/>
              </w:rPr>
              <w:t>building</w:t>
            </w:r>
            <w:r w:rsidRPr="00EB2BD8">
              <w:rPr>
                <w:spacing w:val="-7"/>
                <w:sz w:val="16"/>
              </w:rPr>
              <w:t xml:space="preserve"> </w:t>
            </w:r>
            <w:r w:rsidRPr="00EB2BD8">
              <w:rPr>
                <w:spacing w:val="-2"/>
                <w:sz w:val="16"/>
              </w:rPr>
              <w:t>permits</w:t>
            </w:r>
            <w:r w:rsidRPr="00EB2BD8">
              <w:rPr>
                <w:spacing w:val="-6"/>
                <w:sz w:val="16"/>
              </w:rPr>
              <w:t xml:space="preserve"> </w:t>
            </w:r>
            <w:r w:rsidRPr="00EB2BD8">
              <w:rPr>
                <w:spacing w:val="-2"/>
                <w:sz w:val="16"/>
              </w:rPr>
              <w:t>without</w:t>
            </w:r>
          </w:p>
        </w:tc>
        <w:tc>
          <w:tcPr>
            <w:tcW w:w="3042" w:type="dxa"/>
          </w:tcPr>
          <w:p w14:paraId="2DF275D3" w14:textId="77777777" w:rsidR="00084F36" w:rsidRPr="00EB2BD8" w:rsidRDefault="00084F36">
            <w:pPr>
              <w:pStyle w:val="TableParagraph"/>
              <w:rPr>
                <w:rFonts w:ascii="Times New Roman"/>
                <w:sz w:val="14"/>
              </w:rPr>
            </w:pPr>
          </w:p>
        </w:tc>
        <w:tc>
          <w:tcPr>
            <w:tcW w:w="1115" w:type="dxa"/>
          </w:tcPr>
          <w:p w14:paraId="499EEB68" w14:textId="77777777" w:rsidR="00084F36" w:rsidRPr="00EB2BD8" w:rsidRDefault="00084F36">
            <w:pPr>
              <w:pStyle w:val="TableParagraph"/>
              <w:rPr>
                <w:rFonts w:ascii="Times New Roman"/>
                <w:sz w:val="14"/>
              </w:rPr>
            </w:pPr>
          </w:p>
        </w:tc>
        <w:tc>
          <w:tcPr>
            <w:tcW w:w="1176" w:type="dxa"/>
          </w:tcPr>
          <w:p w14:paraId="70B9C0C2" w14:textId="77777777" w:rsidR="00084F36" w:rsidRPr="00EB2BD8" w:rsidRDefault="00084F36">
            <w:pPr>
              <w:pStyle w:val="TableParagraph"/>
              <w:rPr>
                <w:rFonts w:ascii="Times New Roman"/>
                <w:sz w:val="14"/>
              </w:rPr>
            </w:pPr>
          </w:p>
        </w:tc>
      </w:tr>
      <w:tr w:rsidR="00EB2BD8" w:rsidRPr="00EB2BD8" w14:paraId="40837D95" w14:textId="77777777">
        <w:trPr>
          <w:trHeight w:val="286"/>
        </w:trPr>
        <w:tc>
          <w:tcPr>
            <w:tcW w:w="1670" w:type="dxa"/>
            <w:tcBorders>
              <w:bottom w:val="single" w:sz="2" w:space="0" w:color="000000"/>
            </w:tcBorders>
          </w:tcPr>
          <w:p w14:paraId="1801A505" w14:textId="77777777" w:rsidR="00084F36" w:rsidRPr="00EB2BD8" w:rsidRDefault="00084F36">
            <w:pPr>
              <w:pStyle w:val="TableParagraph"/>
              <w:rPr>
                <w:rFonts w:ascii="Times New Roman"/>
                <w:sz w:val="14"/>
              </w:rPr>
            </w:pPr>
          </w:p>
        </w:tc>
        <w:tc>
          <w:tcPr>
            <w:tcW w:w="3204" w:type="dxa"/>
            <w:tcBorders>
              <w:bottom w:val="single" w:sz="2" w:space="0" w:color="000000"/>
            </w:tcBorders>
          </w:tcPr>
          <w:p w14:paraId="12246711" w14:textId="77777777" w:rsidR="00084F36" w:rsidRPr="00EB2BD8" w:rsidRDefault="00EB2BD8">
            <w:pPr>
              <w:pStyle w:val="TableParagraph"/>
              <w:spacing w:before="19"/>
              <w:ind w:left="200"/>
              <w:rPr>
                <w:sz w:val="16"/>
              </w:rPr>
            </w:pPr>
            <w:r w:rsidRPr="00EB2BD8">
              <w:rPr>
                <w:spacing w:val="-2"/>
                <w:sz w:val="16"/>
              </w:rPr>
              <w:t>permit</w:t>
            </w:r>
            <w:r w:rsidRPr="00EB2BD8">
              <w:rPr>
                <w:spacing w:val="-5"/>
                <w:sz w:val="16"/>
              </w:rPr>
              <w:t xml:space="preserve"> </w:t>
            </w:r>
            <w:r w:rsidRPr="00EB2BD8">
              <w:rPr>
                <w:spacing w:val="-2"/>
                <w:sz w:val="16"/>
              </w:rPr>
              <w:t>number</w:t>
            </w:r>
            <w:r w:rsidRPr="00EB2BD8">
              <w:rPr>
                <w:spacing w:val="-4"/>
                <w:sz w:val="16"/>
              </w:rPr>
              <w:t xml:space="preserve"> </w:t>
            </w:r>
            <w:r w:rsidRPr="00EB2BD8">
              <w:rPr>
                <w:spacing w:val="-2"/>
                <w:sz w:val="16"/>
              </w:rPr>
              <w:t>from</w:t>
            </w:r>
            <w:r w:rsidRPr="00EB2BD8">
              <w:rPr>
                <w:spacing w:val="-5"/>
                <w:sz w:val="16"/>
              </w:rPr>
              <w:t xml:space="preserve"> </w:t>
            </w:r>
            <w:r w:rsidRPr="00EB2BD8">
              <w:rPr>
                <w:spacing w:val="-2"/>
                <w:sz w:val="16"/>
              </w:rPr>
              <w:t>the</w:t>
            </w:r>
            <w:r w:rsidRPr="00EB2BD8">
              <w:rPr>
                <w:spacing w:val="-4"/>
                <w:sz w:val="16"/>
              </w:rPr>
              <w:t xml:space="preserve"> </w:t>
            </w:r>
            <w:r w:rsidRPr="00EB2BD8">
              <w:rPr>
                <w:spacing w:val="-2"/>
                <w:sz w:val="16"/>
              </w:rPr>
              <w:t>Authority.</w:t>
            </w:r>
          </w:p>
        </w:tc>
        <w:tc>
          <w:tcPr>
            <w:tcW w:w="3042" w:type="dxa"/>
            <w:tcBorders>
              <w:bottom w:val="single" w:sz="2" w:space="0" w:color="000000"/>
            </w:tcBorders>
          </w:tcPr>
          <w:p w14:paraId="1992BE23" w14:textId="77777777" w:rsidR="00084F36" w:rsidRPr="00EB2BD8" w:rsidRDefault="00084F36">
            <w:pPr>
              <w:pStyle w:val="TableParagraph"/>
              <w:rPr>
                <w:rFonts w:ascii="Times New Roman"/>
                <w:sz w:val="14"/>
              </w:rPr>
            </w:pPr>
          </w:p>
        </w:tc>
        <w:tc>
          <w:tcPr>
            <w:tcW w:w="1115" w:type="dxa"/>
            <w:tcBorders>
              <w:bottom w:val="single" w:sz="2" w:space="0" w:color="000000"/>
            </w:tcBorders>
          </w:tcPr>
          <w:p w14:paraId="2D94F8B7"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47166091" w14:textId="77777777" w:rsidR="00084F36" w:rsidRPr="00EB2BD8" w:rsidRDefault="00084F36">
            <w:pPr>
              <w:pStyle w:val="TableParagraph"/>
              <w:rPr>
                <w:rFonts w:ascii="Times New Roman"/>
                <w:sz w:val="14"/>
              </w:rPr>
            </w:pPr>
          </w:p>
        </w:tc>
      </w:tr>
      <w:tr w:rsidR="00EB2BD8" w:rsidRPr="00EB2BD8" w14:paraId="2CB77BD4" w14:textId="77777777">
        <w:trPr>
          <w:trHeight w:val="324"/>
        </w:trPr>
        <w:tc>
          <w:tcPr>
            <w:tcW w:w="1670" w:type="dxa"/>
            <w:tcBorders>
              <w:top w:val="single" w:sz="2" w:space="0" w:color="000000"/>
            </w:tcBorders>
          </w:tcPr>
          <w:p w14:paraId="0F758DFB" w14:textId="77777777" w:rsidR="00084F36" w:rsidRPr="00EB2BD8" w:rsidRDefault="00EB2BD8">
            <w:pPr>
              <w:pStyle w:val="TableParagraph"/>
              <w:spacing w:before="114"/>
              <w:ind w:left="112"/>
              <w:rPr>
                <w:sz w:val="16"/>
              </w:rPr>
            </w:pPr>
            <w:r w:rsidRPr="00EB2BD8">
              <w:rPr>
                <w:spacing w:val="-2"/>
                <w:sz w:val="16"/>
              </w:rPr>
              <w:t>TUITUPOU,</w:t>
            </w:r>
            <w:r w:rsidRPr="00EB2BD8">
              <w:rPr>
                <w:spacing w:val="-5"/>
                <w:sz w:val="16"/>
              </w:rPr>
              <w:t xml:space="preserve"> </w:t>
            </w:r>
            <w:r w:rsidRPr="00EB2BD8">
              <w:rPr>
                <w:spacing w:val="-2"/>
                <w:sz w:val="16"/>
              </w:rPr>
              <w:t>Maria</w:t>
            </w:r>
          </w:p>
        </w:tc>
        <w:tc>
          <w:tcPr>
            <w:tcW w:w="3204" w:type="dxa"/>
            <w:tcBorders>
              <w:top w:val="single" w:sz="2" w:space="0" w:color="000000"/>
            </w:tcBorders>
          </w:tcPr>
          <w:p w14:paraId="2BD48949" w14:textId="77777777" w:rsidR="00084F36" w:rsidRPr="00EB2BD8" w:rsidRDefault="00EB2BD8">
            <w:pPr>
              <w:pStyle w:val="TableParagraph"/>
              <w:spacing w:before="114"/>
              <w:ind w:left="199"/>
              <w:rPr>
                <w:sz w:val="16"/>
              </w:rPr>
            </w:pPr>
            <w:r w:rsidRPr="00EB2BD8">
              <w:rPr>
                <w:spacing w:val="-2"/>
                <w:sz w:val="16"/>
              </w:rPr>
              <w:t>Carried</w:t>
            </w:r>
            <w:r w:rsidRPr="00EB2BD8">
              <w:rPr>
                <w:spacing w:val="-4"/>
                <w:sz w:val="16"/>
              </w:rPr>
              <w:t xml:space="preserve"> </w:t>
            </w:r>
            <w:r w:rsidRPr="00EB2BD8">
              <w:rPr>
                <w:spacing w:val="-2"/>
                <w:sz w:val="16"/>
              </w:rPr>
              <w:t>out</w:t>
            </w:r>
            <w:r w:rsidRPr="00EB2BD8">
              <w:rPr>
                <w:spacing w:val="-4"/>
                <w:sz w:val="16"/>
              </w:rPr>
              <w:t xml:space="preserve"> </w:t>
            </w:r>
            <w:r w:rsidRPr="00EB2BD8">
              <w:rPr>
                <w:spacing w:val="-2"/>
                <w:sz w:val="16"/>
              </w:rPr>
              <w:t>building</w:t>
            </w:r>
            <w:r w:rsidRPr="00EB2BD8">
              <w:rPr>
                <w:spacing w:val="-4"/>
                <w:sz w:val="16"/>
              </w:rPr>
              <w:t xml:space="preserve"> </w:t>
            </w:r>
            <w:r w:rsidRPr="00EB2BD8">
              <w:rPr>
                <w:spacing w:val="-2"/>
                <w:sz w:val="16"/>
              </w:rPr>
              <w:t>work</w:t>
            </w:r>
            <w:r w:rsidRPr="00EB2BD8">
              <w:rPr>
                <w:spacing w:val="-4"/>
                <w:sz w:val="16"/>
              </w:rPr>
              <w:t xml:space="preserve"> </w:t>
            </w:r>
            <w:r w:rsidRPr="00EB2BD8">
              <w:rPr>
                <w:spacing w:val="-2"/>
                <w:sz w:val="16"/>
              </w:rPr>
              <w:t>when</w:t>
            </w:r>
            <w:r w:rsidRPr="00EB2BD8">
              <w:rPr>
                <w:spacing w:val="-4"/>
                <w:sz w:val="16"/>
              </w:rPr>
              <w:t xml:space="preserve"> </w:t>
            </w:r>
            <w:r w:rsidRPr="00EB2BD8">
              <w:rPr>
                <w:spacing w:val="-5"/>
                <w:sz w:val="16"/>
              </w:rPr>
              <w:t>no</w:t>
            </w:r>
          </w:p>
        </w:tc>
        <w:tc>
          <w:tcPr>
            <w:tcW w:w="3042" w:type="dxa"/>
            <w:tcBorders>
              <w:top w:val="single" w:sz="2" w:space="0" w:color="000000"/>
            </w:tcBorders>
          </w:tcPr>
          <w:p w14:paraId="13A38AB7" w14:textId="77777777" w:rsidR="00084F36" w:rsidRPr="00EB2BD8" w:rsidRDefault="00EB2BD8">
            <w:pPr>
              <w:pStyle w:val="TableParagraph"/>
              <w:spacing w:before="114"/>
              <w:ind w:left="114"/>
              <w:rPr>
                <w:sz w:val="16"/>
              </w:rPr>
            </w:pPr>
            <w:r w:rsidRPr="00EB2BD8">
              <w:rPr>
                <w:spacing w:val="-2"/>
                <w:sz w:val="16"/>
              </w:rPr>
              <w:t>Guilty</w:t>
            </w:r>
            <w:r w:rsidRPr="00EB2BD8">
              <w:rPr>
                <w:spacing w:val="-10"/>
                <w:sz w:val="16"/>
              </w:rPr>
              <w:t xml:space="preserve"> </w:t>
            </w:r>
            <w:r w:rsidRPr="00EB2BD8">
              <w:rPr>
                <w:spacing w:val="-2"/>
                <w:sz w:val="16"/>
              </w:rPr>
              <w:t>plea,</w:t>
            </w:r>
            <w:r w:rsidRPr="00EB2BD8">
              <w:rPr>
                <w:spacing w:val="-9"/>
                <w:sz w:val="16"/>
              </w:rPr>
              <w:t xml:space="preserve"> </w:t>
            </w:r>
            <w:r w:rsidRPr="00EB2BD8">
              <w:rPr>
                <w:spacing w:val="-2"/>
                <w:sz w:val="16"/>
              </w:rPr>
              <w:t>with</w:t>
            </w:r>
            <w:r w:rsidRPr="00EB2BD8">
              <w:rPr>
                <w:spacing w:val="-9"/>
                <w:sz w:val="16"/>
              </w:rPr>
              <w:t xml:space="preserve"> </w:t>
            </w:r>
            <w:r w:rsidRPr="00EB2BD8">
              <w:rPr>
                <w:spacing w:val="-2"/>
                <w:sz w:val="16"/>
              </w:rPr>
              <w:t>conviction.</w:t>
            </w:r>
          </w:p>
        </w:tc>
        <w:tc>
          <w:tcPr>
            <w:tcW w:w="1115" w:type="dxa"/>
            <w:tcBorders>
              <w:top w:val="single" w:sz="2" w:space="0" w:color="000000"/>
            </w:tcBorders>
          </w:tcPr>
          <w:p w14:paraId="040D561E" w14:textId="77777777" w:rsidR="00084F36" w:rsidRPr="00EB2BD8" w:rsidRDefault="00EB2BD8">
            <w:pPr>
              <w:pStyle w:val="TableParagraph"/>
              <w:spacing w:before="114"/>
              <w:ind w:right="111"/>
              <w:jc w:val="right"/>
              <w:rPr>
                <w:sz w:val="16"/>
              </w:rPr>
            </w:pPr>
            <w:r w:rsidRPr="00EB2BD8">
              <w:rPr>
                <w:spacing w:val="-2"/>
                <w:sz w:val="16"/>
              </w:rPr>
              <w:t>$5,000</w:t>
            </w:r>
          </w:p>
        </w:tc>
        <w:tc>
          <w:tcPr>
            <w:tcW w:w="1176" w:type="dxa"/>
            <w:tcBorders>
              <w:top w:val="single" w:sz="2" w:space="0" w:color="000000"/>
            </w:tcBorders>
          </w:tcPr>
          <w:p w14:paraId="0EAD62E4" w14:textId="77777777" w:rsidR="00084F36" w:rsidRPr="00EB2BD8" w:rsidRDefault="00EB2BD8">
            <w:pPr>
              <w:pStyle w:val="TableParagraph"/>
              <w:spacing w:before="114"/>
              <w:ind w:left="114"/>
              <w:rPr>
                <w:sz w:val="16"/>
              </w:rPr>
            </w:pPr>
            <w:r w:rsidRPr="00EB2BD8">
              <w:rPr>
                <w:spacing w:val="-2"/>
                <w:w w:val="95"/>
                <w:sz w:val="16"/>
              </w:rPr>
              <w:t>15/08/2022</w:t>
            </w:r>
          </w:p>
        </w:tc>
      </w:tr>
      <w:tr w:rsidR="00EB2BD8" w:rsidRPr="00EB2BD8" w14:paraId="4B1BB8E2" w14:textId="77777777">
        <w:trPr>
          <w:trHeight w:val="230"/>
        </w:trPr>
        <w:tc>
          <w:tcPr>
            <w:tcW w:w="1670" w:type="dxa"/>
          </w:tcPr>
          <w:p w14:paraId="161633EF" w14:textId="77777777" w:rsidR="00084F36" w:rsidRPr="00EB2BD8" w:rsidRDefault="00084F36">
            <w:pPr>
              <w:pStyle w:val="TableParagraph"/>
              <w:rPr>
                <w:rFonts w:ascii="Times New Roman"/>
                <w:sz w:val="14"/>
              </w:rPr>
            </w:pPr>
          </w:p>
        </w:tc>
        <w:tc>
          <w:tcPr>
            <w:tcW w:w="3204" w:type="dxa"/>
          </w:tcPr>
          <w:p w14:paraId="6CD308FA" w14:textId="77777777" w:rsidR="00084F36" w:rsidRPr="00EB2BD8" w:rsidRDefault="00EB2BD8">
            <w:pPr>
              <w:pStyle w:val="TableParagraph"/>
              <w:spacing w:before="19"/>
              <w:ind w:left="199"/>
              <w:rPr>
                <w:sz w:val="16"/>
              </w:rPr>
            </w:pPr>
            <w:r w:rsidRPr="00EB2BD8">
              <w:rPr>
                <w:spacing w:val="-2"/>
                <w:sz w:val="16"/>
              </w:rPr>
              <w:t>building</w:t>
            </w:r>
            <w:r w:rsidRPr="00EB2BD8">
              <w:rPr>
                <w:spacing w:val="-9"/>
                <w:sz w:val="16"/>
              </w:rPr>
              <w:t xml:space="preserve"> </w:t>
            </w:r>
            <w:r w:rsidRPr="00EB2BD8">
              <w:rPr>
                <w:spacing w:val="-2"/>
                <w:sz w:val="16"/>
              </w:rPr>
              <w:t>permit</w:t>
            </w:r>
            <w:r w:rsidRPr="00EB2BD8">
              <w:rPr>
                <w:spacing w:val="-9"/>
                <w:sz w:val="16"/>
              </w:rPr>
              <w:t xml:space="preserve"> </w:t>
            </w:r>
            <w:r w:rsidRPr="00EB2BD8">
              <w:rPr>
                <w:spacing w:val="-2"/>
                <w:sz w:val="16"/>
              </w:rPr>
              <w:t>issued</w:t>
            </w:r>
            <w:r w:rsidRPr="00EB2BD8">
              <w:rPr>
                <w:spacing w:val="-9"/>
                <w:sz w:val="16"/>
              </w:rPr>
              <w:t xml:space="preserve"> </w:t>
            </w:r>
            <w:r w:rsidRPr="00EB2BD8">
              <w:rPr>
                <w:spacing w:val="-2"/>
                <w:sz w:val="16"/>
              </w:rPr>
              <w:t>or</w:t>
            </w:r>
            <w:r w:rsidRPr="00EB2BD8">
              <w:rPr>
                <w:spacing w:val="-9"/>
                <w:sz w:val="16"/>
              </w:rPr>
              <w:t xml:space="preserve"> </w:t>
            </w:r>
            <w:r w:rsidRPr="00EB2BD8">
              <w:rPr>
                <w:spacing w:val="-2"/>
                <w:sz w:val="16"/>
              </w:rPr>
              <w:t>in</w:t>
            </w:r>
            <w:r w:rsidRPr="00EB2BD8">
              <w:rPr>
                <w:spacing w:val="-9"/>
                <w:sz w:val="16"/>
              </w:rPr>
              <w:t xml:space="preserve"> </w:t>
            </w:r>
            <w:r w:rsidRPr="00EB2BD8">
              <w:rPr>
                <w:spacing w:val="-2"/>
                <w:sz w:val="16"/>
              </w:rPr>
              <w:t>force;</w:t>
            </w:r>
          </w:p>
        </w:tc>
        <w:tc>
          <w:tcPr>
            <w:tcW w:w="3042" w:type="dxa"/>
          </w:tcPr>
          <w:p w14:paraId="770C3EA7" w14:textId="77777777" w:rsidR="00084F36" w:rsidRPr="00EB2BD8" w:rsidRDefault="00EB2BD8">
            <w:pPr>
              <w:pStyle w:val="TableParagraph"/>
              <w:spacing w:before="19"/>
              <w:ind w:left="114"/>
              <w:rPr>
                <w:sz w:val="16"/>
              </w:rPr>
            </w:pPr>
            <w:r w:rsidRPr="00EB2BD8">
              <w:rPr>
                <w:sz w:val="16"/>
              </w:rPr>
              <w:t>Fined</w:t>
            </w:r>
            <w:r w:rsidRPr="00EB2BD8">
              <w:rPr>
                <w:spacing w:val="-4"/>
                <w:sz w:val="16"/>
              </w:rPr>
              <w:t xml:space="preserve"> </w:t>
            </w:r>
            <w:r w:rsidRPr="00EB2BD8">
              <w:rPr>
                <w:spacing w:val="-2"/>
                <w:sz w:val="16"/>
              </w:rPr>
              <w:t>$5,000.</w:t>
            </w:r>
          </w:p>
        </w:tc>
        <w:tc>
          <w:tcPr>
            <w:tcW w:w="1115" w:type="dxa"/>
          </w:tcPr>
          <w:p w14:paraId="2BCC72CC" w14:textId="77777777" w:rsidR="00084F36" w:rsidRPr="00EB2BD8" w:rsidRDefault="00084F36">
            <w:pPr>
              <w:pStyle w:val="TableParagraph"/>
              <w:rPr>
                <w:rFonts w:ascii="Times New Roman"/>
                <w:sz w:val="14"/>
              </w:rPr>
            </w:pPr>
          </w:p>
        </w:tc>
        <w:tc>
          <w:tcPr>
            <w:tcW w:w="1176" w:type="dxa"/>
          </w:tcPr>
          <w:p w14:paraId="5D5CC5C3" w14:textId="77777777" w:rsidR="00084F36" w:rsidRPr="00EB2BD8" w:rsidRDefault="00084F36">
            <w:pPr>
              <w:pStyle w:val="TableParagraph"/>
              <w:rPr>
                <w:rFonts w:ascii="Times New Roman"/>
                <w:sz w:val="14"/>
              </w:rPr>
            </w:pPr>
          </w:p>
        </w:tc>
      </w:tr>
      <w:tr w:rsidR="00EB2BD8" w:rsidRPr="00EB2BD8" w14:paraId="57124E2A" w14:textId="77777777">
        <w:trPr>
          <w:trHeight w:val="229"/>
        </w:trPr>
        <w:tc>
          <w:tcPr>
            <w:tcW w:w="1670" w:type="dxa"/>
          </w:tcPr>
          <w:p w14:paraId="0190974A" w14:textId="77777777" w:rsidR="00084F36" w:rsidRPr="00EB2BD8" w:rsidRDefault="00084F36">
            <w:pPr>
              <w:pStyle w:val="TableParagraph"/>
              <w:rPr>
                <w:rFonts w:ascii="Times New Roman"/>
                <w:sz w:val="14"/>
              </w:rPr>
            </w:pPr>
          </w:p>
        </w:tc>
        <w:tc>
          <w:tcPr>
            <w:tcW w:w="3204" w:type="dxa"/>
          </w:tcPr>
          <w:p w14:paraId="2308958D" w14:textId="77777777" w:rsidR="00084F36" w:rsidRPr="00EB2BD8" w:rsidRDefault="00EB2BD8">
            <w:pPr>
              <w:pStyle w:val="TableParagraph"/>
              <w:spacing w:before="19"/>
              <w:ind w:left="199"/>
              <w:rPr>
                <w:sz w:val="16"/>
              </w:rPr>
            </w:pPr>
            <w:r w:rsidRPr="00EB2BD8">
              <w:rPr>
                <w:spacing w:val="-4"/>
                <w:sz w:val="16"/>
              </w:rPr>
              <w:t>and,</w:t>
            </w:r>
          </w:p>
        </w:tc>
        <w:tc>
          <w:tcPr>
            <w:tcW w:w="3042" w:type="dxa"/>
          </w:tcPr>
          <w:p w14:paraId="1B5E0763" w14:textId="77777777" w:rsidR="00084F36" w:rsidRPr="00EB2BD8" w:rsidRDefault="00084F36">
            <w:pPr>
              <w:pStyle w:val="TableParagraph"/>
              <w:rPr>
                <w:rFonts w:ascii="Times New Roman"/>
                <w:sz w:val="14"/>
              </w:rPr>
            </w:pPr>
          </w:p>
        </w:tc>
        <w:tc>
          <w:tcPr>
            <w:tcW w:w="1115" w:type="dxa"/>
          </w:tcPr>
          <w:p w14:paraId="014E12AF" w14:textId="77777777" w:rsidR="00084F36" w:rsidRPr="00EB2BD8" w:rsidRDefault="00084F36">
            <w:pPr>
              <w:pStyle w:val="TableParagraph"/>
              <w:rPr>
                <w:rFonts w:ascii="Times New Roman"/>
                <w:sz w:val="14"/>
              </w:rPr>
            </w:pPr>
          </w:p>
        </w:tc>
        <w:tc>
          <w:tcPr>
            <w:tcW w:w="1176" w:type="dxa"/>
          </w:tcPr>
          <w:p w14:paraId="2B2F77C3" w14:textId="77777777" w:rsidR="00084F36" w:rsidRPr="00EB2BD8" w:rsidRDefault="00084F36">
            <w:pPr>
              <w:pStyle w:val="TableParagraph"/>
              <w:rPr>
                <w:rFonts w:ascii="Times New Roman"/>
                <w:sz w:val="14"/>
              </w:rPr>
            </w:pPr>
          </w:p>
        </w:tc>
      </w:tr>
      <w:tr w:rsidR="00EB2BD8" w:rsidRPr="00EB2BD8" w14:paraId="1BCA0D54" w14:textId="77777777">
        <w:trPr>
          <w:trHeight w:val="229"/>
        </w:trPr>
        <w:tc>
          <w:tcPr>
            <w:tcW w:w="1670" w:type="dxa"/>
          </w:tcPr>
          <w:p w14:paraId="744D988A" w14:textId="77777777" w:rsidR="00084F36" w:rsidRPr="00EB2BD8" w:rsidRDefault="00084F36">
            <w:pPr>
              <w:pStyle w:val="TableParagraph"/>
              <w:rPr>
                <w:rFonts w:ascii="Times New Roman"/>
                <w:sz w:val="14"/>
              </w:rPr>
            </w:pPr>
          </w:p>
        </w:tc>
        <w:tc>
          <w:tcPr>
            <w:tcW w:w="3204" w:type="dxa"/>
          </w:tcPr>
          <w:p w14:paraId="5FE1ECED" w14:textId="77777777" w:rsidR="00084F36" w:rsidRPr="00EB2BD8" w:rsidRDefault="00EB2BD8">
            <w:pPr>
              <w:pStyle w:val="TableParagraph"/>
              <w:spacing w:before="19"/>
              <w:ind w:left="199"/>
              <w:rPr>
                <w:sz w:val="16"/>
              </w:rPr>
            </w:pPr>
            <w:r w:rsidRPr="00EB2BD8">
              <w:rPr>
                <w:sz w:val="16"/>
              </w:rPr>
              <w:t>Carried</w:t>
            </w:r>
            <w:r w:rsidRPr="00EB2BD8">
              <w:rPr>
                <w:spacing w:val="-12"/>
                <w:sz w:val="16"/>
              </w:rPr>
              <w:t xml:space="preserve"> </w:t>
            </w:r>
            <w:r w:rsidRPr="00EB2BD8">
              <w:rPr>
                <w:sz w:val="16"/>
              </w:rPr>
              <w:t>out</w:t>
            </w:r>
            <w:r w:rsidRPr="00EB2BD8">
              <w:rPr>
                <w:spacing w:val="-12"/>
                <w:sz w:val="16"/>
              </w:rPr>
              <w:t xml:space="preserve"> </w:t>
            </w:r>
            <w:r w:rsidRPr="00EB2BD8">
              <w:rPr>
                <w:sz w:val="16"/>
              </w:rPr>
              <w:t>domestic</w:t>
            </w:r>
            <w:r w:rsidRPr="00EB2BD8">
              <w:rPr>
                <w:spacing w:val="-11"/>
                <w:sz w:val="16"/>
              </w:rPr>
              <w:t xml:space="preserve"> </w:t>
            </w:r>
            <w:r w:rsidRPr="00EB2BD8">
              <w:rPr>
                <w:sz w:val="16"/>
              </w:rPr>
              <w:t>building</w:t>
            </w:r>
            <w:r w:rsidRPr="00EB2BD8">
              <w:rPr>
                <w:spacing w:val="-12"/>
                <w:sz w:val="16"/>
              </w:rPr>
              <w:t xml:space="preserve"> </w:t>
            </w:r>
            <w:r w:rsidRPr="00EB2BD8">
              <w:rPr>
                <w:spacing w:val="-4"/>
                <w:sz w:val="16"/>
              </w:rPr>
              <w:t>work</w:t>
            </w:r>
          </w:p>
        </w:tc>
        <w:tc>
          <w:tcPr>
            <w:tcW w:w="3042" w:type="dxa"/>
          </w:tcPr>
          <w:p w14:paraId="794B379B" w14:textId="77777777" w:rsidR="00084F36" w:rsidRPr="00EB2BD8" w:rsidRDefault="00084F36">
            <w:pPr>
              <w:pStyle w:val="TableParagraph"/>
              <w:rPr>
                <w:rFonts w:ascii="Times New Roman"/>
                <w:sz w:val="14"/>
              </w:rPr>
            </w:pPr>
          </w:p>
        </w:tc>
        <w:tc>
          <w:tcPr>
            <w:tcW w:w="1115" w:type="dxa"/>
          </w:tcPr>
          <w:p w14:paraId="55A12AA5" w14:textId="77777777" w:rsidR="00084F36" w:rsidRPr="00EB2BD8" w:rsidRDefault="00084F36">
            <w:pPr>
              <w:pStyle w:val="TableParagraph"/>
              <w:rPr>
                <w:rFonts w:ascii="Times New Roman"/>
                <w:sz w:val="14"/>
              </w:rPr>
            </w:pPr>
          </w:p>
        </w:tc>
        <w:tc>
          <w:tcPr>
            <w:tcW w:w="1176" w:type="dxa"/>
          </w:tcPr>
          <w:p w14:paraId="22EDE72A" w14:textId="77777777" w:rsidR="00084F36" w:rsidRPr="00EB2BD8" w:rsidRDefault="00084F36">
            <w:pPr>
              <w:pStyle w:val="TableParagraph"/>
              <w:rPr>
                <w:rFonts w:ascii="Times New Roman"/>
                <w:sz w:val="14"/>
              </w:rPr>
            </w:pPr>
          </w:p>
        </w:tc>
      </w:tr>
      <w:tr w:rsidR="00EB2BD8" w:rsidRPr="00EB2BD8" w14:paraId="0EA024FA" w14:textId="77777777">
        <w:trPr>
          <w:trHeight w:val="287"/>
        </w:trPr>
        <w:tc>
          <w:tcPr>
            <w:tcW w:w="1670" w:type="dxa"/>
            <w:tcBorders>
              <w:bottom w:val="single" w:sz="2" w:space="0" w:color="000000"/>
            </w:tcBorders>
          </w:tcPr>
          <w:p w14:paraId="316E058A" w14:textId="77777777" w:rsidR="00084F36" w:rsidRPr="00EB2BD8" w:rsidRDefault="00084F36">
            <w:pPr>
              <w:pStyle w:val="TableParagraph"/>
              <w:rPr>
                <w:rFonts w:ascii="Times New Roman"/>
                <w:sz w:val="14"/>
              </w:rPr>
            </w:pPr>
          </w:p>
        </w:tc>
        <w:tc>
          <w:tcPr>
            <w:tcW w:w="3204" w:type="dxa"/>
            <w:tcBorders>
              <w:bottom w:val="single" w:sz="2" w:space="0" w:color="000000"/>
            </w:tcBorders>
          </w:tcPr>
          <w:p w14:paraId="64D7578C" w14:textId="77777777" w:rsidR="00084F36" w:rsidRPr="00EB2BD8" w:rsidRDefault="00EB2BD8">
            <w:pPr>
              <w:pStyle w:val="TableParagraph"/>
              <w:spacing w:before="19"/>
              <w:ind w:left="199"/>
              <w:rPr>
                <w:sz w:val="16"/>
              </w:rPr>
            </w:pPr>
            <w:r w:rsidRPr="00EB2BD8">
              <w:rPr>
                <w:sz w:val="16"/>
              </w:rPr>
              <w:t>under</w:t>
            </w:r>
            <w:r w:rsidRPr="00EB2BD8">
              <w:rPr>
                <w:spacing w:val="-7"/>
                <w:sz w:val="16"/>
              </w:rPr>
              <w:t xml:space="preserve"> </w:t>
            </w:r>
            <w:r w:rsidRPr="00EB2BD8">
              <w:rPr>
                <w:spacing w:val="-10"/>
                <w:sz w:val="16"/>
              </w:rPr>
              <w:t>a</w:t>
            </w:r>
          </w:p>
        </w:tc>
        <w:tc>
          <w:tcPr>
            <w:tcW w:w="3042" w:type="dxa"/>
            <w:tcBorders>
              <w:bottom w:val="single" w:sz="2" w:space="0" w:color="000000"/>
            </w:tcBorders>
          </w:tcPr>
          <w:p w14:paraId="34467C96" w14:textId="77777777" w:rsidR="00084F36" w:rsidRPr="00EB2BD8" w:rsidRDefault="00084F36">
            <w:pPr>
              <w:pStyle w:val="TableParagraph"/>
              <w:rPr>
                <w:rFonts w:ascii="Times New Roman"/>
                <w:sz w:val="14"/>
              </w:rPr>
            </w:pPr>
          </w:p>
        </w:tc>
        <w:tc>
          <w:tcPr>
            <w:tcW w:w="1115" w:type="dxa"/>
            <w:tcBorders>
              <w:bottom w:val="single" w:sz="2" w:space="0" w:color="000000"/>
            </w:tcBorders>
          </w:tcPr>
          <w:p w14:paraId="0F266175"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4E758C9C" w14:textId="77777777" w:rsidR="00084F36" w:rsidRPr="00EB2BD8" w:rsidRDefault="00084F36">
            <w:pPr>
              <w:pStyle w:val="TableParagraph"/>
              <w:rPr>
                <w:rFonts w:ascii="Times New Roman"/>
                <w:sz w:val="14"/>
              </w:rPr>
            </w:pPr>
          </w:p>
        </w:tc>
      </w:tr>
      <w:tr w:rsidR="00EB2BD8" w:rsidRPr="00EB2BD8" w14:paraId="7AB9F2BC" w14:textId="77777777">
        <w:trPr>
          <w:trHeight w:val="324"/>
        </w:trPr>
        <w:tc>
          <w:tcPr>
            <w:tcW w:w="1670" w:type="dxa"/>
            <w:tcBorders>
              <w:top w:val="single" w:sz="2" w:space="0" w:color="000000"/>
            </w:tcBorders>
          </w:tcPr>
          <w:p w14:paraId="30B7384E" w14:textId="77777777" w:rsidR="00084F36" w:rsidRPr="00EB2BD8" w:rsidRDefault="00EB2BD8">
            <w:pPr>
              <w:pStyle w:val="TableParagraph"/>
              <w:spacing w:before="114"/>
              <w:ind w:left="112"/>
              <w:rPr>
                <w:sz w:val="16"/>
              </w:rPr>
            </w:pPr>
            <w:r w:rsidRPr="00EB2BD8">
              <w:rPr>
                <w:sz w:val="16"/>
              </w:rPr>
              <w:t>BYPOST,</w:t>
            </w:r>
            <w:r w:rsidRPr="00EB2BD8">
              <w:rPr>
                <w:spacing w:val="1"/>
                <w:sz w:val="16"/>
              </w:rPr>
              <w:t xml:space="preserve"> </w:t>
            </w:r>
            <w:r w:rsidRPr="00EB2BD8">
              <w:rPr>
                <w:spacing w:val="-2"/>
                <w:sz w:val="16"/>
              </w:rPr>
              <w:t>Calvin</w:t>
            </w:r>
          </w:p>
        </w:tc>
        <w:tc>
          <w:tcPr>
            <w:tcW w:w="3204" w:type="dxa"/>
            <w:tcBorders>
              <w:top w:val="single" w:sz="2" w:space="0" w:color="000000"/>
            </w:tcBorders>
          </w:tcPr>
          <w:p w14:paraId="7FF7C5A0" w14:textId="77777777" w:rsidR="00084F36" w:rsidRPr="00EB2BD8" w:rsidRDefault="00EB2BD8">
            <w:pPr>
              <w:pStyle w:val="TableParagraph"/>
              <w:spacing w:before="114"/>
              <w:ind w:left="199"/>
              <w:rPr>
                <w:sz w:val="16"/>
              </w:rPr>
            </w:pPr>
            <w:r w:rsidRPr="00EB2BD8">
              <w:rPr>
                <w:sz w:val="16"/>
              </w:rPr>
              <w:t>Carried</w:t>
            </w:r>
            <w:r w:rsidRPr="00EB2BD8">
              <w:rPr>
                <w:spacing w:val="-9"/>
                <w:sz w:val="16"/>
              </w:rPr>
              <w:t xml:space="preserve"> </w:t>
            </w:r>
            <w:r w:rsidRPr="00EB2BD8">
              <w:rPr>
                <w:sz w:val="16"/>
              </w:rPr>
              <w:t>out</w:t>
            </w:r>
            <w:r w:rsidRPr="00EB2BD8">
              <w:rPr>
                <w:spacing w:val="-8"/>
                <w:sz w:val="16"/>
              </w:rPr>
              <w:t xml:space="preserve"> </w:t>
            </w:r>
            <w:r w:rsidRPr="00EB2BD8">
              <w:rPr>
                <w:sz w:val="16"/>
              </w:rPr>
              <w:t>work</w:t>
            </w:r>
            <w:r w:rsidRPr="00EB2BD8">
              <w:rPr>
                <w:spacing w:val="-8"/>
                <w:sz w:val="16"/>
              </w:rPr>
              <w:t xml:space="preserve"> </w:t>
            </w:r>
            <w:r w:rsidRPr="00EB2BD8">
              <w:rPr>
                <w:sz w:val="16"/>
              </w:rPr>
              <w:t>under</w:t>
            </w:r>
            <w:r w:rsidRPr="00EB2BD8">
              <w:rPr>
                <w:spacing w:val="-8"/>
                <w:sz w:val="16"/>
              </w:rPr>
              <w:t xml:space="preserve"> </w:t>
            </w:r>
            <w:r w:rsidRPr="00EB2BD8">
              <w:rPr>
                <w:sz w:val="16"/>
              </w:rPr>
              <w:t>a</w:t>
            </w:r>
            <w:r w:rsidRPr="00EB2BD8">
              <w:rPr>
                <w:spacing w:val="-8"/>
                <w:sz w:val="16"/>
              </w:rPr>
              <w:t xml:space="preserve"> </w:t>
            </w:r>
            <w:r w:rsidRPr="00EB2BD8">
              <w:rPr>
                <w:spacing w:val="-2"/>
                <w:sz w:val="16"/>
              </w:rPr>
              <w:t>major</w:t>
            </w:r>
          </w:p>
        </w:tc>
        <w:tc>
          <w:tcPr>
            <w:tcW w:w="3042" w:type="dxa"/>
            <w:tcBorders>
              <w:top w:val="single" w:sz="2" w:space="0" w:color="000000"/>
            </w:tcBorders>
          </w:tcPr>
          <w:p w14:paraId="5F657B4B" w14:textId="77777777" w:rsidR="00084F36" w:rsidRPr="00EB2BD8" w:rsidRDefault="00EB2BD8">
            <w:pPr>
              <w:pStyle w:val="TableParagraph"/>
              <w:spacing w:before="114"/>
              <w:ind w:left="113"/>
              <w:rPr>
                <w:sz w:val="16"/>
              </w:rPr>
            </w:pPr>
            <w:r w:rsidRPr="00EB2BD8">
              <w:rPr>
                <w:spacing w:val="-2"/>
                <w:sz w:val="16"/>
              </w:rPr>
              <w:t>Two</w:t>
            </w:r>
            <w:r w:rsidRPr="00EB2BD8">
              <w:rPr>
                <w:spacing w:val="-3"/>
                <w:sz w:val="16"/>
              </w:rPr>
              <w:t xml:space="preserve"> </w:t>
            </w:r>
            <w:r w:rsidRPr="00EB2BD8">
              <w:rPr>
                <w:spacing w:val="-2"/>
                <w:sz w:val="16"/>
              </w:rPr>
              <w:t>charges proven without</w:t>
            </w:r>
          </w:p>
        </w:tc>
        <w:tc>
          <w:tcPr>
            <w:tcW w:w="1115" w:type="dxa"/>
            <w:tcBorders>
              <w:top w:val="single" w:sz="2" w:space="0" w:color="000000"/>
            </w:tcBorders>
          </w:tcPr>
          <w:p w14:paraId="5337C2F0" w14:textId="77777777" w:rsidR="00084F36" w:rsidRPr="00EB2BD8" w:rsidRDefault="00EB2BD8">
            <w:pPr>
              <w:pStyle w:val="TableParagraph"/>
              <w:spacing w:before="114"/>
              <w:ind w:right="111"/>
              <w:jc w:val="right"/>
              <w:rPr>
                <w:sz w:val="16"/>
              </w:rPr>
            </w:pPr>
            <w:r w:rsidRPr="00EB2BD8">
              <w:rPr>
                <w:spacing w:val="-2"/>
                <w:sz w:val="16"/>
              </w:rPr>
              <w:t>$3,000</w:t>
            </w:r>
          </w:p>
        </w:tc>
        <w:tc>
          <w:tcPr>
            <w:tcW w:w="1176" w:type="dxa"/>
            <w:tcBorders>
              <w:top w:val="single" w:sz="2" w:space="0" w:color="000000"/>
            </w:tcBorders>
          </w:tcPr>
          <w:p w14:paraId="1D3E5119" w14:textId="77777777" w:rsidR="00084F36" w:rsidRPr="00EB2BD8" w:rsidRDefault="00EB2BD8">
            <w:pPr>
              <w:pStyle w:val="TableParagraph"/>
              <w:spacing w:before="114"/>
              <w:ind w:left="114"/>
              <w:rPr>
                <w:sz w:val="16"/>
              </w:rPr>
            </w:pPr>
            <w:r w:rsidRPr="00EB2BD8">
              <w:rPr>
                <w:spacing w:val="-2"/>
                <w:sz w:val="16"/>
              </w:rPr>
              <w:t>20/06/2023</w:t>
            </w:r>
          </w:p>
        </w:tc>
      </w:tr>
      <w:tr w:rsidR="00EB2BD8" w:rsidRPr="00EB2BD8" w14:paraId="68EAE37D" w14:textId="77777777">
        <w:trPr>
          <w:trHeight w:val="230"/>
        </w:trPr>
        <w:tc>
          <w:tcPr>
            <w:tcW w:w="1670" w:type="dxa"/>
          </w:tcPr>
          <w:p w14:paraId="4AA22183" w14:textId="77777777" w:rsidR="00084F36" w:rsidRPr="00EB2BD8" w:rsidRDefault="00084F36">
            <w:pPr>
              <w:pStyle w:val="TableParagraph"/>
              <w:rPr>
                <w:rFonts w:ascii="Times New Roman"/>
                <w:sz w:val="14"/>
              </w:rPr>
            </w:pPr>
          </w:p>
        </w:tc>
        <w:tc>
          <w:tcPr>
            <w:tcW w:w="3204" w:type="dxa"/>
          </w:tcPr>
          <w:p w14:paraId="48EC8B50" w14:textId="77777777" w:rsidR="00084F36" w:rsidRPr="00EB2BD8" w:rsidRDefault="00EB2BD8">
            <w:pPr>
              <w:pStyle w:val="TableParagraph"/>
              <w:spacing w:before="19"/>
              <w:ind w:left="199"/>
              <w:rPr>
                <w:sz w:val="16"/>
              </w:rPr>
            </w:pPr>
            <w:r w:rsidRPr="00EB2BD8">
              <w:rPr>
                <w:sz w:val="16"/>
              </w:rPr>
              <w:t>domestic</w:t>
            </w:r>
            <w:r w:rsidRPr="00EB2BD8">
              <w:rPr>
                <w:spacing w:val="-11"/>
                <w:sz w:val="16"/>
              </w:rPr>
              <w:t xml:space="preserve"> </w:t>
            </w:r>
            <w:r w:rsidRPr="00EB2BD8">
              <w:rPr>
                <w:sz w:val="16"/>
              </w:rPr>
              <w:t>building</w:t>
            </w:r>
            <w:r w:rsidRPr="00EB2BD8">
              <w:rPr>
                <w:spacing w:val="-10"/>
                <w:sz w:val="16"/>
              </w:rPr>
              <w:t xml:space="preserve"> </w:t>
            </w:r>
            <w:r w:rsidRPr="00EB2BD8">
              <w:rPr>
                <w:sz w:val="16"/>
              </w:rPr>
              <w:t>contract</w:t>
            </w:r>
            <w:r w:rsidRPr="00EB2BD8">
              <w:rPr>
                <w:spacing w:val="-10"/>
                <w:sz w:val="16"/>
              </w:rPr>
              <w:t xml:space="preserve"> </w:t>
            </w:r>
            <w:r w:rsidRPr="00EB2BD8">
              <w:rPr>
                <w:spacing w:val="-2"/>
                <w:sz w:val="16"/>
              </w:rPr>
              <w:t>without</w:t>
            </w:r>
          </w:p>
        </w:tc>
        <w:tc>
          <w:tcPr>
            <w:tcW w:w="3042" w:type="dxa"/>
          </w:tcPr>
          <w:p w14:paraId="35A9450B" w14:textId="77777777" w:rsidR="00084F36" w:rsidRPr="00EB2BD8" w:rsidRDefault="00EB2BD8">
            <w:pPr>
              <w:pStyle w:val="TableParagraph"/>
              <w:spacing w:before="19"/>
              <w:ind w:left="113"/>
              <w:rPr>
                <w:sz w:val="16"/>
              </w:rPr>
            </w:pPr>
            <w:r w:rsidRPr="00EB2BD8">
              <w:rPr>
                <w:spacing w:val="-2"/>
                <w:sz w:val="16"/>
              </w:rPr>
              <w:t>conviction.</w:t>
            </w:r>
            <w:r w:rsidRPr="00EB2BD8">
              <w:rPr>
                <w:spacing w:val="-8"/>
                <w:sz w:val="16"/>
              </w:rPr>
              <w:t xml:space="preserve"> </w:t>
            </w:r>
            <w:r w:rsidRPr="00EB2BD8">
              <w:rPr>
                <w:spacing w:val="-2"/>
                <w:sz w:val="16"/>
              </w:rPr>
              <w:t>Fine</w:t>
            </w:r>
            <w:r w:rsidRPr="00EB2BD8">
              <w:rPr>
                <w:spacing w:val="-8"/>
                <w:sz w:val="16"/>
              </w:rPr>
              <w:t xml:space="preserve"> </w:t>
            </w:r>
            <w:r w:rsidRPr="00EB2BD8">
              <w:rPr>
                <w:spacing w:val="-2"/>
                <w:sz w:val="16"/>
              </w:rPr>
              <w:t>of</w:t>
            </w:r>
            <w:r w:rsidRPr="00EB2BD8">
              <w:rPr>
                <w:spacing w:val="-7"/>
                <w:sz w:val="16"/>
              </w:rPr>
              <w:t xml:space="preserve"> </w:t>
            </w:r>
            <w:r w:rsidRPr="00EB2BD8">
              <w:rPr>
                <w:spacing w:val="-2"/>
                <w:sz w:val="16"/>
              </w:rPr>
              <w:t>$3,000.</w:t>
            </w:r>
          </w:p>
        </w:tc>
        <w:tc>
          <w:tcPr>
            <w:tcW w:w="1115" w:type="dxa"/>
          </w:tcPr>
          <w:p w14:paraId="39CA8DB0" w14:textId="77777777" w:rsidR="00084F36" w:rsidRPr="00EB2BD8" w:rsidRDefault="00084F36">
            <w:pPr>
              <w:pStyle w:val="TableParagraph"/>
              <w:rPr>
                <w:rFonts w:ascii="Times New Roman"/>
                <w:sz w:val="14"/>
              </w:rPr>
            </w:pPr>
          </w:p>
        </w:tc>
        <w:tc>
          <w:tcPr>
            <w:tcW w:w="1176" w:type="dxa"/>
          </w:tcPr>
          <w:p w14:paraId="2AAA78D9" w14:textId="77777777" w:rsidR="00084F36" w:rsidRPr="00EB2BD8" w:rsidRDefault="00084F36">
            <w:pPr>
              <w:pStyle w:val="TableParagraph"/>
              <w:rPr>
                <w:rFonts w:ascii="Times New Roman"/>
                <w:sz w:val="14"/>
              </w:rPr>
            </w:pPr>
          </w:p>
        </w:tc>
      </w:tr>
      <w:tr w:rsidR="00EB2BD8" w:rsidRPr="00EB2BD8" w14:paraId="75CCB7A6" w14:textId="77777777">
        <w:trPr>
          <w:trHeight w:val="229"/>
        </w:trPr>
        <w:tc>
          <w:tcPr>
            <w:tcW w:w="1670" w:type="dxa"/>
          </w:tcPr>
          <w:p w14:paraId="16261744" w14:textId="77777777" w:rsidR="00084F36" w:rsidRPr="00EB2BD8" w:rsidRDefault="00084F36">
            <w:pPr>
              <w:pStyle w:val="TableParagraph"/>
              <w:rPr>
                <w:rFonts w:ascii="Times New Roman"/>
                <w:sz w:val="14"/>
              </w:rPr>
            </w:pPr>
          </w:p>
        </w:tc>
        <w:tc>
          <w:tcPr>
            <w:tcW w:w="3204" w:type="dxa"/>
          </w:tcPr>
          <w:p w14:paraId="4E5751E9" w14:textId="77777777" w:rsidR="00084F36" w:rsidRPr="00EB2BD8" w:rsidRDefault="00EB2BD8">
            <w:pPr>
              <w:pStyle w:val="TableParagraph"/>
              <w:spacing w:before="19"/>
              <w:ind w:left="199"/>
              <w:rPr>
                <w:sz w:val="16"/>
              </w:rPr>
            </w:pPr>
            <w:r w:rsidRPr="00EB2BD8">
              <w:rPr>
                <w:spacing w:val="-2"/>
                <w:sz w:val="16"/>
              </w:rPr>
              <w:t>registration</w:t>
            </w:r>
            <w:r w:rsidRPr="00EB2BD8">
              <w:rPr>
                <w:spacing w:val="2"/>
                <w:sz w:val="16"/>
              </w:rPr>
              <w:t xml:space="preserve"> </w:t>
            </w:r>
            <w:r w:rsidRPr="00EB2BD8">
              <w:rPr>
                <w:spacing w:val="-2"/>
                <w:sz w:val="16"/>
              </w:rPr>
              <w:t>and</w:t>
            </w:r>
            <w:r w:rsidRPr="00EB2BD8">
              <w:rPr>
                <w:spacing w:val="2"/>
                <w:sz w:val="16"/>
              </w:rPr>
              <w:t xml:space="preserve"> </w:t>
            </w:r>
            <w:r w:rsidRPr="00EB2BD8">
              <w:rPr>
                <w:spacing w:val="-2"/>
                <w:sz w:val="16"/>
              </w:rPr>
              <w:t>required</w:t>
            </w:r>
            <w:r w:rsidRPr="00EB2BD8">
              <w:rPr>
                <w:spacing w:val="3"/>
                <w:sz w:val="16"/>
              </w:rPr>
              <w:t xml:space="preserve"> </w:t>
            </w:r>
            <w:r w:rsidRPr="00EB2BD8">
              <w:rPr>
                <w:spacing w:val="-2"/>
                <w:sz w:val="16"/>
              </w:rPr>
              <w:t>insurance.</w:t>
            </w:r>
          </w:p>
        </w:tc>
        <w:tc>
          <w:tcPr>
            <w:tcW w:w="3042" w:type="dxa"/>
          </w:tcPr>
          <w:p w14:paraId="06EE390E" w14:textId="77777777" w:rsidR="00084F36" w:rsidRPr="00EB2BD8" w:rsidRDefault="00084F36">
            <w:pPr>
              <w:pStyle w:val="TableParagraph"/>
              <w:rPr>
                <w:rFonts w:ascii="Times New Roman"/>
                <w:sz w:val="14"/>
              </w:rPr>
            </w:pPr>
          </w:p>
        </w:tc>
        <w:tc>
          <w:tcPr>
            <w:tcW w:w="1115" w:type="dxa"/>
          </w:tcPr>
          <w:p w14:paraId="7C0F86A7" w14:textId="77777777" w:rsidR="00084F36" w:rsidRPr="00EB2BD8" w:rsidRDefault="00084F36">
            <w:pPr>
              <w:pStyle w:val="TableParagraph"/>
              <w:rPr>
                <w:rFonts w:ascii="Times New Roman"/>
                <w:sz w:val="14"/>
              </w:rPr>
            </w:pPr>
          </w:p>
        </w:tc>
        <w:tc>
          <w:tcPr>
            <w:tcW w:w="1176" w:type="dxa"/>
          </w:tcPr>
          <w:p w14:paraId="7AADBA30" w14:textId="77777777" w:rsidR="00084F36" w:rsidRPr="00EB2BD8" w:rsidRDefault="00084F36">
            <w:pPr>
              <w:pStyle w:val="TableParagraph"/>
              <w:rPr>
                <w:rFonts w:ascii="Times New Roman"/>
                <w:sz w:val="14"/>
              </w:rPr>
            </w:pPr>
          </w:p>
        </w:tc>
      </w:tr>
      <w:tr w:rsidR="00EB2BD8" w:rsidRPr="00EB2BD8" w14:paraId="420D44B2" w14:textId="77777777">
        <w:trPr>
          <w:trHeight w:val="229"/>
        </w:trPr>
        <w:tc>
          <w:tcPr>
            <w:tcW w:w="1670" w:type="dxa"/>
          </w:tcPr>
          <w:p w14:paraId="49AE5104" w14:textId="77777777" w:rsidR="00084F36" w:rsidRPr="00EB2BD8" w:rsidRDefault="00084F36">
            <w:pPr>
              <w:pStyle w:val="TableParagraph"/>
              <w:rPr>
                <w:rFonts w:ascii="Times New Roman"/>
                <w:sz w:val="14"/>
              </w:rPr>
            </w:pPr>
          </w:p>
        </w:tc>
        <w:tc>
          <w:tcPr>
            <w:tcW w:w="3204" w:type="dxa"/>
          </w:tcPr>
          <w:p w14:paraId="3F66EE14" w14:textId="77777777" w:rsidR="00084F36" w:rsidRPr="00EB2BD8" w:rsidRDefault="00EB2BD8">
            <w:pPr>
              <w:pStyle w:val="TableParagraph"/>
              <w:spacing w:before="19"/>
              <w:ind w:left="199"/>
              <w:rPr>
                <w:sz w:val="16"/>
              </w:rPr>
            </w:pPr>
            <w:r w:rsidRPr="00EB2BD8">
              <w:rPr>
                <w:spacing w:val="-2"/>
                <w:sz w:val="16"/>
              </w:rPr>
              <w:t>Carried</w:t>
            </w:r>
            <w:r w:rsidRPr="00EB2BD8">
              <w:rPr>
                <w:spacing w:val="-6"/>
                <w:sz w:val="16"/>
              </w:rPr>
              <w:t xml:space="preserve"> </w:t>
            </w:r>
            <w:r w:rsidRPr="00EB2BD8">
              <w:rPr>
                <w:spacing w:val="-2"/>
                <w:sz w:val="16"/>
              </w:rPr>
              <w:t>out</w:t>
            </w:r>
            <w:r w:rsidRPr="00EB2BD8">
              <w:rPr>
                <w:spacing w:val="-5"/>
                <w:sz w:val="16"/>
              </w:rPr>
              <w:t xml:space="preserve"> </w:t>
            </w:r>
            <w:r w:rsidRPr="00EB2BD8">
              <w:rPr>
                <w:spacing w:val="-2"/>
                <w:sz w:val="16"/>
              </w:rPr>
              <w:t>building</w:t>
            </w:r>
            <w:r w:rsidRPr="00EB2BD8">
              <w:rPr>
                <w:spacing w:val="-6"/>
                <w:sz w:val="16"/>
              </w:rPr>
              <w:t xml:space="preserve"> </w:t>
            </w:r>
            <w:r w:rsidRPr="00EB2BD8">
              <w:rPr>
                <w:spacing w:val="-2"/>
                <w:sz w:val="16"/>
              </w:rPr>
              <w:t>work</w:t>
            </w:r>
            <w:r w:rsidRPr="00EB2BD8">
              <w:rPr>
                <w:spacing w:val="-5"/>
                <w:sz w:val="16"/>
              </w:rPr>
              <w:t xml:space="preserve"> </w:t>
            </w:r>
            <w:r w:rsidRPr="00EB2BD8">
              <w:rPr>
                <w:spacing w:val="-2"/>
                <w:sz w:val="16"/>
              </w:rPr>
              <w:t>without</w:t>
            </w:r>
            <w:r w:rsidRPr="00EB2BD8">
              <w:rPr>
                <w:spacing w:val="-5"/>
                <w:sz w:val="16"/>
              </w:rPr>
              <w:t xml:space="preserve"> </w:t>
            </w:r>
            <w:r w:rsidRPr="00EB2BD8">
              <w:rPr>
                <w:spacing w:val="-10"/>
                <w:sz w:val="16"/>
              </w:rPr>
              <w:t>a</w:t>
            </w:r>
          </w:p>
        </w:tc>
        <w:tc>
          <w:tcPr>
            <w:tcW w:w="3042" w:type="dxa"/>
          </w:tcPr>
          <w:p w14:paraId="6AC8571F" w14:textId="77777777" w:rsidR="00084F36" w:rsidRPr="00EB2BD8" w:rsidRDefault="00084F36">
            <w:pPr>
              <w:pStyle w:val="TableParagraph"/>
              <w:rPr>
                <w:rFonts w:ascii="Times New Roman"/>
                <w:sz w:val="14"/>
              </w:rPr>
            </w:pPr>
          </w:p>
        </w:tc>
        <w:tc>
          <w:tcPr>
            <w:tcW w:w="1115" w:type="dxa"/>
          </w:tcPr>
          <w:p w14:paraId="22C322A5" w14:textId="77777777" w:rsidR="00084F36" w:rsidRPr="00EB2BD8" w:rsidRDefault="00084F36">
            <w:pPr>
              <w:pStyle w:val="TableParagraph"/>
              <w:rPr>
                <w:rFonts w:ascii="Times New Roman"/>
                <w:sz w:val="14"/>
              </w:rPr>
            </w:pPr>
          </w:p>
        </w:tc>
        <w:tc>
          <w:tcPr>
            <w:tcW w:w="1176" w:type="dxa"/>
          </w:tcPr>
          <w:p w14:paraId="3314DA73" w14:textId="77777777" w:rsidR="00084F36" w:rsidRPr="00EB2BD8" w:rsidRDefault="00084F36">
            <w:pPr>
              <w:pStyle w:val="TableParagraph"/>
              <w:rPr>
                <w:rFonts w:ascii="Times New Roman"/>
                <w:sz w:val="14"/>
              </w:rPr>
            </w:pPr>
          </w:p>
        </w:tc>
      </w:tr>
      <w:tr w:rsidR="00EB2BD8" w:rsidRPr="00EB2BD8" w14:paraId="463C20BA" w14:textId="77777777">
        <w:trPr>
          <w:trHeight w:val="287"/>
        </w:trPr>
        <w:tc>
          <w:tcPr>
            <w:tcW w:w="1670" w:type="dxa"/>
            <w:tcBorders>
              <w:bottom w:val="single" w:sz="2" w:space="0" w:color="000000"/>
            </w:tcBorders>
          </w:tcPr>
          <w:p w14:paraId="12112F1E" w14:textId="77777777" w:rsidR="00084F36" w:rsidRPr="00EB2BD8" w:rsidRDefault="00084F36">
            <w:pPr>
              <w:pStyle w:val="TableParagraph"/>
              <w:rPr>
                <w:rFonts w:ascii="Times New Roman"/>
                <w:sz w:val="14"/>
              </w:rPr>
            </w:pPr>
          </w:p>
        </w:tc>
        <w:tc>
          <w:tcPr>
            <w:tcW w:w="3204" w:type="dxa"/>
            <w:tcBorders>
              <w:bottom w:val="single" w:sz="2" w:space="0" w:color="000000"/>
            </w:tcBorders>
          </w:tcPr>
          <w:p w14:paraId="38494C32" w14:textId="77777777" w:rsidR="00084F36" w:rsidRPr="00EB2BD8" w:rsidRDefault="00EB2BD8">
            <w:pPr>
              <w:pStyle w:val="TableParagraph"/>
              <w:spacing w:before="19"/>
              <w:ind w:left="199"/>
              <w:rPr>
                <w:sz w:val="16"/>
              </w:rPr>
            </w:pPr>
            <w:r w:rsidRPr="00EB2BD8">
              <w:rPr>
                <w:spacing w:val="-2"/>
                <w:sz w:val="16"/>
              </w:rPr>
              <w:t>building</w:t>
            </w:r>
            <w:r w:rsidRPr="00EB2BD8">
              <w:rPr>
                <w:spacing w:val="-10"/>
                <w:sz w:val="16"/>
              </w:rPr>
              <w:t xml:space="preserve"> </w:t>
            </w:r>
            <w:r w:rsidRPr="00EB2BD8">
              <w:rPr>
                <w:spacing w:val="-2"/>
                <w:sz w:val="16"/>
              </w:rPr>
              <w:t>permit</w:t>
            </w:r>
            <w:r w:rsidRPr="00EB2BD8">
              <w:rPr>
                <w:spacing w:val="-9"/>
                <w:sz w:val="16"/>
              </w:rPr>
              <w:t xml:space="preserve"> </w:t>
            </w:r>
            <w:r w:rsidRPr="00EB2BD8">
              <w:rPr>
                <w:spacing w:val="-2"/>
                <w:sz w:val="16"/>
              </w:rPr>
              <w:t>in</w:t>
            </w:r>
            <w:r w:rsidRPr="00EB2BD8">
              <w:rPr>
                <w:spacing w:val="-9"/>
                <w:sz w:val="16"/>
              </w:rPr>
              <w:t xml:space="preserve"> </w:t>
            </w:r>
            <w:r w:rsidRPr="00EB2BD8">
              <w:rPr>
                <w:spacing w:val="-2"/>
                <w:sz w:val="16"/>
              </w:rPr>
              <w:t>place.</w:t>
            </w:r>
          </w:p>
        </w:tc>
        <w:tc>
          <w:tcPr>
            <w:tcW w:w="3042" w:type="dxa"/>
            <w:tcBorders>
              <w:bottom w:val="single" w:sz="2" w:space="0" w:color="000000"/>
            </w:tcBorders>
          </w:tcPr>
          <w:p w14:paraId="6EFCD9C7" w14:textId="77777777" w:rsidR="00084F36" w:rsidRPr="00EB2BD8" w:rsidRDefault="00084F36">
            <w:pPr>
              <w:pStyle w:val="TableParagraph"/>
              <w:rPr>
                <w:rFonts w:ascii="Times New Roman"/>
                <w:sz w:val="14"/>
              </w:rPr>
            </w:pPr>
          </w:p>
        </w:tc>
        <w:tc>
          <w:tcPr>
            <w:tcW w:w="1115" w:type="dxa"/>
            <w:tcBorders>
              <w:bottom w:val="single" w:sz="2" w:space="0" w:color="000000"/>
            </w:tcBorders>
          </w:tcPr>
          <w:p w14:paraId="753B894C"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080F18EE" w14:textId="77777777" w:rsidR="00084F36" w:rsidRPr="00EB2BD8" w:rsidRDefault="00084F36">
            <w:pPr>
              <w:pStyle w:val="TableParagraph"/>
              <w:rPr>
                <w:rFonts w:ascii="Times New Roman"/>
                <w:sz w:val="14"/>
              </w:rPr>
            </w:pPr>
          </w:p>
        </w:tc>
      </w:tr>
      <w:tr w:rsidR="00EB2BD8" w:rsidRPr="00EB2BD8" w14:paraId="3AE042ED" w14:textId="77777777">
        <w:trPr>
          <w:trHeight w:val="324"/>
        </w:trPr>
        <w:tc>
          <w:tcPr>
            <w:tcW w:w="1670" w:type="dxa"/>
            <w:tcBorders>
              <w:top w:val="single" w:sz="2" w:space="0" w:color="000000"/>
            </w:tcBorders>
          </w:tcPr>
          <w:p w14:paraId="0BC0573D" w14:textId="77777777" w:rsidR="00084F36" w:rsidRPr="00EB2BD8" w:rsidRDefault="00EB2BD8">
            <w:pPr>
              <w:pStyle w:val="TableParagraph"/>
              <w:spacing w:before="113"/>
              <w:ind w:left="112"/>
              <w:rPr>
                <w:sz w:val="16"/>
              </w:rPr>
            </w:pPr>
            <w:r w:rsidRPr="00EB2BD8">
              <w:rPr>
                <w:spacing w:val="-2"/>
                <w:sz w:val="16"/>
              </w:rPr>
              <w:t>CHRONIS,</w:t>
            </w:r>
            <w:r w:rsidRPr="00EB2BD8">
              <w:rPr>
                <w:spacing w:val="-6"/>
                <w:sz w:val="16"/>
              </w:rPr>
              <w:t xml:space="preserve"> </w:t>
            </w:r>
            <w:r w:rsidRPr="00EB2BD8">
              <w:rPr>
                <w:spacing w:val="-2"/>
                <w:sz w:val="16"/>
              </w:rPr>
              <w:t>Marcus</w:t>
            </w:r>
          </w:p>
        </w:tc>
        <w:tc>
          <w:tcPr>
            <w:tcW w:w="3204" w:type="dxa"/>
            <w:tcBorders>
              <w:top w:val="single" w:sz="2" w:space="0" w:color="000000"/>
            </w:tcBorders>
          </w:tcPr>
          <w:p w14:paraId="6CDF8690" w14:textId="77777777" w:rsidR="00084F36" w:rsidRPr="00EB2BD8" w:rsidRDefault="00EB2BD8">
            <w:pPr>
              <w:pStyle w:val="TableParagraph"/>
              <w:spacing w:before="113"/>
              <w:ind w:left="199"/>
              <w:rPr>
                <w:sz w:val="16"/>
              </w:rPr>
            </w:pPr>
            <w:r w:rsidRPr="00EB2BD8">
              <w:rPr>
                <w:spacing w:val="-2"/>
                <w:sz w:val="16"/>
              </w:rPr>
              <w:t>Unregistered</w:t>
            </w:r>
            <w:r w:rsidRPr="00EB2BD8">
              <w:rPr>
                <w:spacing w:val="-6"/>
                <w:sz w:val="16"/>
              </w:rPr>
              <w:t xml:space="preserve"> </w:t>
            </w:r>
            <w:r w:rsidRPr="00EB2BD8">
              <w:rPr>
                <w:spacing w:val="-2"/>
                <w:sz w:val="16"/>
              </w:rPr>
              <w:t>person</w:t>
            </w:r>
            <w:r w:rsidRPr="00EB2BD8">
              <w:rPr>
                <w:spacing w:val="-6"/>
                <w:sz w:val="16"/>
              </w:rPr>
              <w:t xml:space="preserve"> </w:t>
            </w:r>
            <w:r w:rsidRPr="00EB2BD8">
              <w:rPr>
                <w:spacing w:val="-2"/>
                <w:sz w:val="16"/>
              </w:rPr>
              <w:t>who</w:t>
            </w:r>
            <w:r w:rsidRPr="00EB2BD8">
              <w:rPr>
                <w:spacing w:val="-6"/>
                <w:sz w:val="16"/>
              </w:rPr>
              <w:t xml:space="preserve"> </w:t>
            </w:r>
            <w:r w:rsidRPr="00EB2BD8">
              <w:rPr>
                <w:spacing w:val="-2"/>
                <w:sz w:val="16"/>
              </w:rPr>
              <w:t>held</w:t>
            </w:r>
            <w:r w:rsidRPr="00EB2BD8">
              <w:rPr>
                <w:spacing w:val="-5"/>
                <w:sz w:val="16"/>
              </w:rPr>
              <w:t xml:space="preserve"> </w:t>
            </w:r>
            <w:r w:rsidRPr="00EB2BD8">
              <w:rPr>
                <w:spacing w:val="-2"/>
                <w:sz w:val="16"/>
              </w:rPr>
              <w:t>himself</w:t>
            </w:r>
          </w:p>
        </w:tc>
        <w:tc>
          <w:tcPr>
            <w:tcW w:w="3042" w:type="dxa"/>
            <w:tcBorders>
              <w:top w:val="single" w:sz="2" w:space="0" w:color="000000"/>
            </w:tcBorders>
          </w:tcPr>
          <w:p w14:paraId="563A467C" w14:textId="77777777" w:rsidR="00084F36" w:rsidRPr="00EB2BD8" w:rsidRDefault="00EB2BD8">
            <w:pPr>
              <w:pStyle w:val="TableParagraph"/>
              <w:spacing w:before="113"/>
              <w:ind w:left="113"/>
              <w:rPr>
                <w:sz w:val="16"/>
              </w:rPr>
            </w:pPr>
            <w:r w:rsidRPr="00EB2BD8">
              <w:rPr>
                <w:spacing w:val="-2"/>
                <w:sz w:val="16"/>
              </w:rPr>
              <w:t>Two</w:t>
            </w:r>
            <w:r w:rsidRPr="00EB2BD8">
              <w:rPr>
                <w:spacing w:val="-6"/>
                <w:sz w:val="16"/>
              </w:rPr>
              <w:t xml:space="preserve"> </w:t>
            </w:r>
            <w:r w:rsidRPr="00EB2BD8">
              <w:rPr>
                <w:spacing w:val="-2"/>
                <w:sz w:val="16"/>
              </w:rPr>
              <w:t>charges</w:t>
            </w:r>
            <w:r w:rsidRPr="00EB2BD8">
              <w:rPr>
                <w:spacing w:val="-5"/>
                <w:sz w:val="16"/>
              </w:rPr>
              <w:t xml:space="preserve"> </w:t>
            </w:r>
            <w:r w:rsidRPr="00EB2BD8">
              <w:rPr>
                <w:spacing w:val="-2"/>
                <w:sz w:val="16"/>
              </w:rPr>
              <w:t>proven</w:t>
            </w:r>
            <w:r w:rsidRPr="00EB2BD8">
              <w:rPr>
                <w:spacing w:val="-5"/>
                <w:sz w:val="16"/>
              </w:rPr>
              <w:t xml:space="preserve"> </w:t>
            </w:r>
            <w:r w:rsidRPr="00EB2BD8">
              <w:rPr>
                <w:spacing w:val="-2"/>
                <w:sz w:val="16"/>
              </w:rPr>
              <w:t>with</w:t>
            </w:r>
            <w:r w:rsidRPr="00EB2BD8">
              <w:rPr>
                <w:spacing w:val="-5"/>
                <w:sz w:val="16"/>
              </w:rPr>
              <w:t xml:space="preserve"> </w:t>
            </w:r>
            <w:r w:rsidRPr="00EB2BD8">
              <w:rPr>
                <w:spacing w:val="-2"/>
                <w:sz w:val="16"/>
              </w:rPr>
              <w:t>conviction.</w:t>
            </w:r>
          </w:p>
        </w:tc>
        <w:tc>
          <w:tcPr>
            <w:tcW w:w="1115" w:type="dxa"/>
            <w:tcBorders>
              <w:top w:val="single" w:sz="2" w:space="0" w:color="000000"/>
            </w:tcBorders>
          </w:tcPr>
          <w:p w14:paraId="14AEECC6" w14:textId="77777777" w:rsidR="00084F36" w:rsidRPr="00EB2BD8" w:rsidRDefault="00EB2BD8">
            <w:pPr>
              <w:pStyle w:val="TableParagraph"/>
              <w:spacing w:before="113"/>
              <w:ind w:right="111"/>
              <w:jc w:val="right"/>
              <w:rPr>
                <w:sz w:val="16"/>
              </w:rPr>
            </w:pPr>
            <w:r w:rsidRPr="00EB2BD8">
              <w:rPr>
                <w:spacing w:val="-2"/>
                <w:sz w:val="16"/>
              </w:rPr>
              <w:t>$40,000</w:t>
            </w:r>
          </w:p>
        </w:tc>
        <w:tc>
          <w:tcPr>
            <w:tcW w:w="1176" w:type="dxa"/>
            <w:tcBorders>
              <w:top w:val="single" w:sz="2" w:space="0" w:color="000000"/>
            </w:tcBorders>
          </w:tcPr>
          <w:p w14:paraId="15BE26B9" w14:textId="77777777" w:rsidR="00084F36" w:rsidRPr="00EB2BD8" w:rsidRDefault="00EB2BD8">
            <w:pPr>
              <w:pStyle w:val="TableParagraph"/>
              <w:spacing w:before="113"/>
              <w:ind w:left="114"/>
              <w:rPr>
                <w:sz w:val="16"/>
              </w:rPr>
            </w:pPr>
            <w:r w:rsidRPr="00EB2BD8">
              <w:rPr>
                <w:spacing w:val="-2"/>
                <w:w w:val="95"/>
                <w:sz w:val="16"/>
              </w:rPr>
              <w:t>01/03/2023</w:t>
            </w:r>
          </w:p>
        </w:tc>
      </w:tr>
      <w:tr w:rsidR="00EB2BD8" w:rsidRPr="00EB2BD8" w14:paraId="6F3C8453" w14:textId="77777777">
        <w:trPr>
          <w:trHeight w:val="230"/>
        </w:trPr>
        <w:tc>
          <w:tcPr>
            <w:tcW w:w="1670" w:type="dxa"/>
          </w:tcPr>
          <w:p w14:paraId="48744F05" w14:textId="77777777" w:rsidR="00084F36" w:rsidRPr="00EB2BD8" w:rsidRDefault="00084F36">
            <w:pPr>
              <w:pStyle w:val="TableParagraph"/>
              <w:rPr>
                <w:rFonts w:ascii="Times New Roman"/>
                <w:sz w:val="14"/>
              </w:rPr>
            </w:pPr>
          </w:p>
        </w:tc>
        <w:tc>
          <w:tcPr>
            <w:tcW w:w="3204" w:type="dxa"/>
          </w:tcPr>
          <w:p w14:paraId="31085340" w14:textId="77777777" w:rsidR="00084F36" w:rsidRPr="00EB2BD8" w:rsidRDefault="00EB2BD8">
            <w:pPr>
              <w:pStyle w:val="TableParagraph"/>
              <w:spacing w:before="19"/>
              <w:ind w:left="199"/>
              <w:rPr>
                <w:sz w:val="16"/>
              </w:rPr>
            </w:pPr>
            <w:r w:rsidRPr="00EB2BD8">
              <w:rPr>
                <w:sz w:val="16"/>
              </w:rPr>
              <w:t>out</w:t>
            </w:r>
            <w:r w:rsidRPr="00EB2BD8">
              <w:rPr>
                <w:spacing w:val="-13"/>
                <w:sz w:val="16"/>
              </w:rPr>
              <w:t xml:space="preserve"> </w:t>
            </w:r>
            <w:r w:rsidRPr="00EB2BD8">
              <w:rPr>
                <w:sz w:val="16"/>
              </w:rPr>
              <w:t>as</w:t>
            </w:r>
            <w:r w:rsidRPr="00EB2BD8">
              <w:rPr>
                <w:spacing w:val="-13"/>
                <w:sz w:val="16"/>
              </w:rPr>
              <w:t xml:space="preserve"> </w:t>
            </w:r>
            <w:r w:rsidRPr="00EB2BD8">
              <w:rPr>
                <w:sz w:val="16"/>
              </w:rPr>
              <w:t>being</w:t>
            </w:r>
            <w:r w:rsidRPr="00EB2BD8">
              <w:rPr>
                <w:spacing w:val="-12"/>
                <w:sz w:val="16"/>
              </w:rPr>
              <w:t xml:space="preserve"> </w:t>
            </w:r>
            <w:r w:rsidRPr="00EB2BD8">
              <w:rPr>
                <w:sz w:val="16"/>
              </w:rPr>
              <w:t>registered</w:t>
            </w:r>
            <w:r w:rsidRPr="00EB2BD8">
              <w:rPr>
                <w:spacing w:val="-13"/>
                <w:sz w:val="16"/>
              </w:rPr>
              <w:t xml:space="preserve"> </w:t>
            </w:r>
            <w:r w:rsidRPr="00EB2BD8">
              <w:rPr>
                <w:sz w:val="16"/>
              </w:rPr>
              <w:t>to</w:t>
            </w:r>
            <w:r w:rsidRPr="00EB2BD8">
              <w:rPr>
                <w:spacing w:val="-13"/>
                <w:sz w:val="16"/>
              </w:rPr>
              <w:t xml:space="preserve"> </w:t>
            </w:r>
            <w:r w:rsidRPr="00EB2BD8">
              <w:rPr>
                <w:spacing w:val="-2"/>
                <w:sz w:val="16"/>
              </w:rPr>
              <w:t>practice.</w:t>
            </w:r>
          </w:p>
        </w:tc>
        <w:tc>
          <w:tcPr>
            <w:tcW w:w="3042" w:type="dxa"/>
          </w:tcPr>
          <w:p w14:paraId="276E8F53" w14:textId="77777777" w:rsidR="00084F36" w:rsidRPr="00EB2BD8" w:rsidRDefault="00EB2BD8">
            <w:pPr>
              <w:pStyle w:val="TableParagraph"/>
              <w:spacing w:before="19"/>
              <w:ind w:left="113"/>
              <w:rPr>
                <w:sz w:val="16"/>
              </w:rPr>
            </w:pPr>
            <w:r w:rsidRPr="00EB2BD8">
              <w:rPr>
                <w:spacing w:val="-2"/>
                <w:sz w:val="16"/>
              </w:rPr>
              <w:t>Fine</w:t>
            </w:r>
            <w:r w:rsidRPr="00EB2BD8">
              <w:rPr>
                <w:spacing w:val="-12"/>
                <w:sz w:val="16"/>
              </w:rPr>
              <w:t xml:space="preserve"> </w:t>
            </w:r>
            <w:r w:rsidRPr="00EB2BD8">
              <w:rPr>
                <w:spacing w:val="-2"/>
                <w:sz w:val="16"/>
              </w:rPr>
              <w:t>of</w:t>
            </w:r>
            <w:r w:rsidRPr="00EB2BD8">
              <w:rPr>
                <w:spacing w:val="-11"/>
                <w:sz w:val="16"/>
              </w:rPr>
              <w:t xml:space="preserve"> </w:t>
            </w:r>
            <w:r w:rsidRPr="00EB2BD8">
              <w:rPr>
                <w:spacing w:val="-2"/>
                <w:sz w:val="16"/>
              </w:rPr>
              <w:t>$40,000</w:t>
            </w:r>
            <w:r w:rsidRPr="00EB2BD8">
              <w:rPr>
                <w:spacing w:val="-12"/>
                <w:sz w:val="16"/>
              </w:rPr>
              <w:t xml:space="preserve"> </w:t>
            </w:r>
            <w:r w:rsidRPr="00EB2BD8">
              <w:rPr>
                <w:spacing w:val="-2"/>
                <w:sz w:val="16"/>
              </w:rPr>
              <w:t>plus</w:t>
            </w:r>
            <w:r w:rsidRPr="00EB2BD8">
              <w:rPr>
                <w:spacing w:val="-11"/>
                <w:sz w:val="16"/>
              </w:rPr>
              <w:t xml:space="preserve"> </w:t>
            </w:r>
            <w:r w:rsidRPr="00EB2BD8">
              <w:rPr>
                <w:spacing w:val="-2"/>
                <w:sz w:val="16"/>
              </w:rPr>
              <w:t>costs</w:t>
            </w:r>
            <w:r w:rsidRPr="00EB2BD8">
              <w:rPr>
                <w:spacing w:val="-12"/>
                <w:sz w:val="16"/>
              </w:rPr>
              <w:t xml:space="preserve"> </w:t>
            </w:r>
            <w:r w:rsidRPr="00EB2BD8">
              <w:rPr>
                <w:spacing w:val="-2"/>
                <w:sz w:val="16"/>
              </w:rPr>
              <w:t>of</w:t>
            </w:r>
            <w:r w:rsidRPr="00EB2BD8">
              <w:rPr>
                <w:spacing w:val="-11"/>
                <w:sz w:val="16"/>
              </w:rPr>
              <w:t xml:space="preserve"> </w:t>
            </w:r>
            <w:r w:rsidRPr="00EB2BD8">
              <w:rPr>
                <w:spacing w:val="-2"/>
                <w:sz w:val="16"/>
              </w:rPr>
              <w:t>$3,128.</w:t>
            </w:r>
          </w:p>
        </w:tc>
        <w:tc>
          <w:tcPr>
            <w:tcW w:w="1115" w:type="dxa"/>
          </w:tcPr>
          <w:p w14:paraId="577D2B28" w14:textId="77777777" w:rsidR="00084F36" w:rsidRPr="00EB2BD8" w:rsidRDefault="00084F36">
            <w:pPr>
              <w:pStyle w:val="TableParagraph"/>
              <w:rPr>
                <w:rFonts w:ascii="Times New Roman"/>
                <w:sz w:val="14"/>
              </w:rPr>
            </w:pPr>
          </w:p>
        </w:tc>
        <w:tc>
          <w:tcPr>
            <w:tcW w:w="1176" w:type="dxa"/>
          </w:tcPr>
          <w:p w14:paraId="77ED8CB9" w14:textId="77777777" w:rsidR="00084F36" w:rsidRPr="00EB2BD8" w:rsidRDefault="00084F36">
            <w:pPr>
              <w:pStyle w:val="TableParagraph"/>
              <w:rPr>
                <w:rFonts w:ascii="Times New Roman"/>
                <w:sz w:val="14"/>
              </w:rPr>
            </w:pPr>
          </w:p>
        </w:tc>
      </w:tr>
      <w:tr w:rsidR="00EB2BD8" w:rsidRPr="00EB2BD8" w14:paraId="418836C3" w14:textId="77777777">
        <w:trPr>
          <w:trHeight w:val="229"/>
        </w:trPr>
        <w:tc>
          <w:tcPr>
            <w:tcW w:w="1670" w:type="dxa"/>
          </w:tcPr>
          <w:p w14:paraId="7FAD4C60" w14:textId="77777777" w:rsidR="00084F36" w:rsidRPr="00EB2BD8" w:rsidRDefault="00084F36">
            <w:pPr>
              <w:pStyle w:val="TableParagraph"/>
              <w:rPr>
                <w:rFonts w:ascii="Times New Roman"/>
                <w:sz w:val="14"/>
              </w:rPr>
            </w:pPr>
          </w:p>
        </w:tc>
        <w:tc>
          <w:tcPr>
            <w:tcW w:w="3204" w:type="dxa"/>
          </w:tcPr>
          <w:p w14:paraId="3657F231" w14:textId="77777777" w:rsidR="00084F36" w:rsidRPr="00EB2BD8" w:rsidRDefault="00EB2BD8">
            <w:pPr>
              <w:pStyle w:val="TableParagraph"/>
              <w:spacing w:before="19"/>
              <w:ind w:left="199"/>
              <w:rPr>
                <w:sz w:val="16"/>
              </w:rPr>
            </w:pPr>
            <w:r w:rsidRPr="00EB2BD8">
              <w:rPr>
                <w:sz w:val="16"/>
              </w:rPr>
              <w:t>Carried</w:t>
            </w:r>
            <w:r w:rsidRPr="00EB2BD8">
              <w:rPr>
                <w:spacing w:val="-10"/>
                <w:sz w:val="16"/>
              </w:rPr>
              <w:t xml:space="preserve"> </w:t>
            </w:r>
            <w:r w:rsidRPr="00EB2BD8">
              <w:rPr>
                <w:sz w:val="16"/>
              </w:rPr>
              <w:t>out</w:t>
            </w:r>
            <w:r w:rsidRPr="00EB2BD8">
              <w:rPr>
                <w:spacing w:val="-10"/>
                <w:sz w:val="16"/>
              </w:rPr>
              <w:t xml:space="preserve"> </w:t>
            </w:r>
            <w:r w:rsidRPr="00EB2BD8">
              <w:rPr>
                <w:sz w:val="16"/>
              </w:rPr>
              <w:t>regulated</w:t>
            </w:r>
            <w:r w:rsidRPr="00EB2BD8">
              <w:rPr>
                <w:spacing w:val="-10"/>
                <w:sz w:val="16"/>
              </w:rPr>
              <w:t xml:space="preserve"> </w:t>
            </w:r>
            <w:r w:rsidRPr="00EB2BD8">
              <w:rPr>
                <w:sz w:val="16"/>
              </w:rPr>
              <w:t>building</w:t>
            </w:r>
            <w:r w:rsidRPr="00EB2BD8">
              <w:rPr>
                <w:spacing w:val="-10"/>
                <w:sz w:val="16"/>
              </w:rPr>
              <w:t xml:space="preserve"> </w:t>
            </w:r>
            <w:r w:rsidRPr="00EB2BD8">
              <w:rPr>
                <w:spacing w:val="-4"/>
                <w:sz w:val="16"/>
              </w:rPr>
              <w:t>work</w:t>
            </w:r>
          </w:p>
        </w:tc>
        <w:tc>
          <w:tcPr>
            <w:tcW w:w="3042" w:type="dxa"/>
          </w:tcPr>
          <w:p w14:paraId="66F30A41" w14:textId="77777777" w:rsidR="00084F36" w:rsidRPr="00EB2BD8" w:rsidRDefault="00084F36">
            <w:pPr>
              <w:pStyle w:val="TableParagraph"/>
              <w:rPr>
                <w:rFonts w:ascii="Times New Roman"/>
                <w:sz w:val="14"/>
              </w:rPr>
            </w:pPr>
          </w:p>
        </w:tc>
        <w:tc>
          <w:tcPr>
            <w:tcW w:w="1115" w:type="dxa"/>
          </w:tcPr>
          <w:p w14:paraId="14DD5242" w14:textId="77777777" w:rsidR="00084F36" w:rsidRPr="00EB2BD8" w:rsidRDefault="00084F36">
            <w:pPr>
              <w:pStyle w:val="TableParagraph"/>
              <w:rPr>
                <w:rFonts w:ascii="Times New Roman"/>
                <w:sz w:val="14"/>
              </w:rPr>
            </w:pPr>
          </w:p>
        </w:tc>
        <w:tc>
          <w:tcPr>
            <w:tcW w:w="1176" w:type="dxa"/>
          </w:tcPr>
          <w:p w14:paraId="09A95E02" w14:textId="77777777" w:rsidR="00084F36" w:rsidRPr="00EB2BD8" w:rsidRDefault="00084F36">
            <w:pPr>
              <w:pStyle w:val="TableParagraph"/>
              <w:rPr>
                <w:rFonts w:ascii="Times New Roman"/>
                <w:sz w:val="14"/>
              </w:rPr>
            </w:pPr>
          </w:p>
        </w:tc>
      </w:tr>
      <w:tr w:rsidR="00084F36" w:rsidRPr="00EB2BD8" w14:paraId="3B16E576" w14:textId="77777777">
        <w:trPr>
          <w:trHeight w:val="287"/>
        </w:trPr>
        <w:tc>
          <w:tcPr>
            <w:tcW w:w="1670" w:type="dxa"/>
            <w:tcBorders>
              <w:bottom w:val="single" w:sz="2" w:space="0" w:color="000000"/>
            </w:tcBorders>
          </w:tcPr>
          <w:p w14:paraId="21A9ADFC" w14:textId="77777777" w:rsidR="00084F36" w:rsidRPr="00EB2BD8" w:rsidRDefault="00084F36">
            <w:pPr>
              <w:pStyle w:val="TableParagraph"/>
              <w:rPr>
                <w:rFonts w:ascii="Times New Roman"/>
                <w:sz w:val="14"/>
              </w:rPr>
            </w:pPr>
          </w:p>
        </w:tc>
        <w:tc>
          <w:tcPr>
            <w:tcW w:w="3204" w:type="dxa"/>
            <w:tcBorders>
              <w:bottom w:val="single" w:sz="2" w:space="0" w:color="000000"/>
            </w:tcBorders>
          </w:tcPr>
          <w:p w14:paraId="0584598B" w14:textId="77777777" w:rsidR="00084F36" w:rsidRPr="00EB2BD8" w:rsidRDefault="00EB2BD8">
            <w:pPr>
              <w:pStyle w:val="TableParagraph"/>
              <w:spacing w:before="19"/>
              <w:ind w:left="199"/>
              <w:rPr>
                <w:sz w:val="16"/>
              </w:rPr>
            </w:pPr>
            <w:r w:rsidRPr="00EB2BD8">
              <w:rPr>
                <w:spacing w:val="-2"/>
                <w:sz w:val="16"/>
              </w:rPr>
              <w:t>without</w:t>
            </w:r>
            <w:r w:rsidRPr="00EB2BD8">
              <w:rPr>
                <w:spacing w:val="-6"/>
                <w:sz w:val="16"/>
              </w:rPr>
              <w:t xml:space="preserve"> </w:t>
            </w:r>
            <w:r w:rsidRPr="00EB2BD8">
              <w:rPr>
                <w:spacing w:val="-2"/>
                <w:sz w:val="16"/>
              </w:rPr>
              <w:t>a</w:t>
            </w:r>
            <w:r w:rsidRPr="00EB2BD8">
              <w:rPr>
                <w:spacing w:val="-5"/>
                <w:sz w:val="16"/>
              </w:rPr>
              <w:t xml:space="preserve"> </w:t>
            </w:r>
            <w:r w:rsidRPr="00EB2BD8">
              <w:rPr>
                <w:spacing w:val="-2"/>
                <w:sz w:val="16"/>
              </w:rPr>
              <w:t>building</w:t>
            </w:r>
            <w:r w:rsidRPr="00EB2BD8">
              <w:rPr>
                <w:spacing w:val="-5"/>
                <w:sz w:val="16"/>
              </w:rPr>
              <w:t xml:space="preserve"> </w:t>
            </w:r>
            <w:r w:rsidRPr="00EB2BD8">
              <w:rPr>
                <w:spacing w:val="-2"/>
                <w:sz w:val="16"/>
              </w:rPr>
              <w:t>permit.</w:t>
            </w:r>
          </w:p>
        </w:tc>
        <w:tc>
          <w:tcPr>
            <w:tcW w:w="3042" w:type="dxa"/>
            <w:tcBorders>
              <w:bottom w:val="single" w:sz="2" w:space="0" w:color="000000"/>
            </w:tcBorders>
          </w:tcPr>
          <w:p w14:paraId="416BD76D" w14:textId="77777777" w:rsidR="00084F36" w:rsidRPr="00EB2BD8" w:rsidRDefault="00084F36">
            <w:pPr>
              <w:pStyle w:val="TableParagraph"/>
              <w:rPr>
                <w:rFonts w:ascii="Times New Roman"/>
                <w:sz w:val="14"/>
              </w:rPr>
            </w:pPr>
          </w:p>
        </w:tc>
        <w:tc>
          <w:tcPr>
            <w:tcW w:w="1115" w:type="dxa"/>
            <w:tcBorders>
              <w:bottom w:val="single" w:sz="2" w:space="0" w:color="000000"/>
            </w:tcBorders>
          </w:tcPr>
          <w:p w14:paraId="613457B3"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30154578" w14:textId="77777777" w:rsidR="00084F36" w:rsidRPr="00EB2BD8" w:rsidRDefault="00084F36">
            <w:pPr>
              <w:pStyle w:val="TableParagraph"/>
              <w:rPr>
                <w:rFonts w:ascii="Times New Roman"/>
                <w:sz w:val="14"/>
              </w:rPr>
            </w:pPr>
          </w:p>
        </w:tc>
      </w:tr>
    </w:tbl>
    <w:p w14:paraId="786DA3AD" w14:textId="77777777" w:rsidR="00084F36" w:rsidRPr="00EB2BD8" w:rsidRDefault="00084F36">
      <w:pPr>
        <w:pStyle w:val="BodyText"/>
        <w:rPr>
          <w:sz w:val="22"/>
        </w:rPr>
      </w:pPr>
    </w:p>
    <w:p w14:paraId="212D0C73" w14:textId="77777777" w:rsidR="00084F36" w:rsidRPr="00EB2BD8" w:rsidRDefault="00084F36">
      <w:pPr>
        <w:pStyle w:val="BodyText"/>
        <w:spacing w:before="3"/>
        <w:rPr>
          <w:sz w:val="24"/>
        </w:rPr>
      </w:pPr>
    </w:p>
    <w:p w14:paraId="58436122" w14:textId="655DCF61" w:rsidR="00084F36" w:rsidRPr="00EB2BD8" w:rsidRDefault="00EB2BD8">
      <w:pPr>
        <w:spacing w:line="261" w:lineRule="auto"/>
        <w:ind w:left="850" w:right="3704"/>
        <w:rPr>
          <w:i/>
          <w:sz w:val="14"/>
        </w:rPr>
      </w:pPr>
      <w:r w:rsidRPr="00EB2BD8">
        <w:rPr>
          <w:i/>
          <w:sz w:val="14"/>
        </w:rPr>
        <w:t>37</w:t>
      </w:r>
      <w:r w:rsidR="00D0600F">
        <w:rPr>
          <w:i/>
          <w:sz w:val="14"/>
        </w:rPr>
        <w:t xml:space="preserve">- </w:t>
      </w:r>
      <w:r w:rsidRPr="00EB2BD8">
        <w:rPr>
          <w:i/>
          <w:sz w:val="14"/>
        </w:rPr>
        <w:t>This</w:t>
      </w:r>
      <w:r w:rsidRPr="00EB2BD8">
        <w:rPr>
          <w:i/>
          <w:spacing w:val="-6"/>
          <w:sz w:val="14"/>
        </w:rPr>
        <w:t xml:space="preserve"> </w:t>
      </w:r>
      <w:r w:rsidRPr="00EB2BD8">
        <w:rPr>
          <w:i/>
          <w:sz w:val="14"/>
        </w:rPr>
        <w:t>list</w:t>
      </w:r>
      <w:r w:rsidRPr="00EB2BD8">
        <w:rPr>
          <w:i/>
          <w:spacing w:val="-6"/>
          <w:sz w:val="14"/>
        </w:rPr>
        <w:t xml:space="preserve"> </w:t>
      </w:r>
      <w:r w:rsidRPr="00EB2BD8">
        <w:rPr>
          <w:i/>
          <w:sz w:val="14"/>
        </w:rPr>
        <w:t>does</w:t>
      </w:r>
      <w:r w:rsidRPr="00EB2BD8">
        <w:rPr>
          <w:i/>
          <w:spacing w:val="-6"/>
          <w:sz w:val="14"/>
        </w:rPr>
        <w:t xml:space="preserve"> </w:t>
      </w:r>
      <w:r w:rsidRPr="00EB2BD8">
        <w:rPr>
          <w:i/>
          <w:sz w:val="14"/>
        </w:rPr>
        <w:t>not</w:t>
      </w:r>
      <w:r w:rsidRPr="00EB2BD8">
        <w:rPr>
          <w:i/>
          <w:spacing w:val="-6"/>
          <w:sz w:val="14"/>
        </w:rPr>
        <w:t xml:space="preserve"> </w:t>
      </w:r>
      <w:r w:rsidRPr="00EB2BD8">
        <w:rPr>
          <w:i/>
          <w:sz w:val="14"/>
        </w:rPr>
        <w:t>include</w:t>
      </w:r>
      <w:r w:rsidRPr="00EB2BD8">
        <w:rPr>
          <w:i/>
          <w:spacing w:val="-6"/>
          <w:sz w:val="14"/>
        </w:rPr>
        <w:t xml:space="preserve"> </w:t>
      </w:r>
      <w:r w:rsidRPr="00EB2BD8">
        <w:rPr>
          <w:i/>
          <w:sz w:val="14"/>
        </w:rPr>
        <w:t>prosecutions</w:t>
      </w:r>
      <w:r w:rsidRPr="00EB2BD8">
        <w:rPr>
          <w:i/>
          <w:spacing w:val="-6"/>
          <w:sz w:val="14"/>
        </w:rPr>
        <w:t xml:space="preserve"> </w:t>
      </w:r>
      <w:r w:rsidRPr="00EB2BD8">
        <w:rPr>
          <w:i/>
          <w:sz w:val="14"/>
        </w:rPr>
        <w:t>commenced</w:t>
      </w:r>
      <w:r w:rsidRPr="00EB2BD8">
        <w:rPr>
          <w:i/>
          <w:spacing w:val="-6"/>
          <w:sz w:val="14"/>
        </w:rPr>
        <w:t xml:space="preserve"> </w:t>
      </w:r>
      <w:r w:rsidRPr="00EB2BD8">
        <w:rPr>
          <w:i/>
          <w:sz w:val="14"/>
        </w:rPr>
        <w:t>by</w:t>
      </w:r>
      <w:r w:rsidRPr="00EB2BD8">
        <w:rPr>
          <w:i/>
          <w:spacing w:val="-6"/>
          <w:sz w:val="14"/>
        </w:rPr>
        <w:t xml:space="preserve"> </w:t>
      </w:r>
      <w:r w:rsidRPr="00EB2BD8">
        <w:rPr>
          <w:i/>
          <w:sz w:val="14"/>
        </w:rPr>
        <w:t>the</w:t>
      </w:r>
      <w:r w:rsidRPr="00EB2BD8">
        <w:rPr>
          <w:i/>
          <w:spacing w:val="-6"/>
          <w:sz w:val="14"/>
        </w:rPr>
        <w:t xml:space="preserve"> </w:t>
      </w:r>
      <w:r w:rsidRPr="00EB2BD8">
        <w:rPr>
          <w:i/>
          <w:sz w:val="14"/>
        </w:rPr>
        <w:t>VBA</w:t>
      </w:r>
      <w:r w:rsidRPr="00EB2BD8">
        <w:rPr>
          <w:i/>
          <w:spacing w:val="-6"/>
          <w:sz w:val="14"/>
        </w:rPr>
        <w:t xml:space="preserve"> </w:t>
      </w:r>
      <w:r w:rsidRPr="00EB2BD8">
        <w:rPr>
          <w:i/>
          <w:sz w:val="14"/>
        </w:rPr>
        <w:t>which</w:t>
      </w:r>
      <w:r w:rsidRPr="00EB2BD8">
        <w:rPr>
          <w:i/>
          <w:spacing w:val="-6"/>
          <w:sz w:val="14"/>
        </w:rPr>
        <w:t xml:space="preserve"> </w:t>
      </w:r>
      <w:r w:rsidRPr="00EB2BD8">
        <w:rPr>
          <w:i/>
          <w:sz w:val="14"/>
        </w:rPr>
        <w:t>were</w:t>
      </w:r>
      <w:r w:rsidRPr="00EB2BD8">
        <w:rPr>
          <w:i/>
          <w:spacing w:val="-6"/>
          <w:sz w:val="14"/>
        </w:rPr>
        <w:t xml:space="preserve"> </w:t>
      </w:r>
      <w:r w:rsidRPr="00EB2BD8">
        <w:rPr>
          <w:i/>
          <w:sz w:val="14"/>
        </w:rPr>
        <w:t>subsequently</w:t>
      </w:r>
      <w:r w:rsidRPr="00EB2BD8">
        <w:rPr>
          <w:i/>
          <w:spacing w:val="-6"/>
          <w:sz w:val="14"/>
        </w:rPr>
        <w:t xml:space="preserve"> </w:t>
      </w:r>
      <w:r w:rsidRPr="00EB2BD8">
        <w:rPr>
          <w:i/>
          <w:sz w:val="14"/>
        </w:rPr>
        <w:t xml:space="preserve">withdrawn. </w:t>
      </w:r>
      <w:r w:rsidR="00D0600F">
        <w:rPr>
          <w:i/>
          <w:sz w:val="14"/>
        </w:rPr>
        <w:br/>
      </w:r>
      <w:r w:rsidRPr="00EB2BD8">
        <w:rPr>
          <w:i/>
          <w:sz w:val="14"/>
        </w:rPr>
        <w:t>38</w:t>
      </w:r>
      <w:r w:rsidR="00D0600F">
        <w:rPr>
          <w:i/>
          <w:sz w:val="14"/>
        </w:rPr>
        <w:t xml:space="preserve">- </w:t>
      </w:r>
      <w:r w:rsidRPr="00EB2BD8">
        <w:rPr>
          <w:i/>
          <w:sz w:val="14"/>
        </w:rPr>
        <w:t>Excludes</w:t>
      </w:r>
      <w:r w:rsidRPr="00EB2BD8">
        <w:rPr>
          <w:i/>
          <w:spacing w:val="-12"/>
          <w:sz w:val="14"/>
        </w:rPr>
        <w:t xml:space="preserve"> </w:t>
      </w:r>
      <w:r w:rsidRPr="00EB2BD8">
        <w:rPr>
          <w:i/>
          <w:sz w:val="14"/>
        </w:rPr>
        <w:t>costs.</w:t>
      </w:r>
    </w:p>
    <w:p w14:paraId="2BF22886" w14:textId="77777777" w:rsidR="00084F36" w:rsidRPr="00EB2BD8" w:rsidRDefault="00084F36">
      <w:pPr>
        <w:spacing w:line="261" w:lineRule="auto"/>
        <w:rPr>
          <w:sz w:val="14"/>
        </w:rPr>
        <w:sectPr w:rsidR="00084F36" w:rsidRPr="00EB2BD8" w:rsidSect="006D75B2">
          <w:footerReference w:type="default" r:id="rId427"/>
          <w:pgSz w:w="11910" w:h="16840"/>
          <w:pgMar w:top="1100" w:right="0" w:bottom="700" w:left="0" w:header="0" w:footer="515" w:gutter="0"/>
          <w:cols w:space="720"/>
        </w:sectPr>
      </w:pPr>
    </w:p>
    <w:p w14:paraId="040967FD" w14:textId="77777777" w:rsidR="00084F36" w:rsidRPr="00EB2BD8" w:rsidRDefault="00084F36">
      <w:pPr>
        <w:pStyle w:val="BodyText"/>
        <w:rPr>
          <w:i/>
          <w:sz w:val="20"/>
        </w:rPr>
      </w:pPr>
    </w:p>
    <w:p w14:paraId="77E6F713" w14:textId="77777777" w:rsidR="00084F36" w:rsidRPr="00EB2BD8" w:rsidRDefault="00084F36">
      <w:pPr>
        <w:pStyle w:val="BodyText"/>
        <w:rPr>
          <w:i/>
          <w:sz w:val="20"/>
        </w:rPr>
      </w:pPr>
    </w:p>
    <w:p w14:paraId="72A18D82" w14:textId="77777777" w:rsidR="00084F36" w:rsidRPr="00EB2BD8" w:rsidRDefault="00084F36">
      <w:pPr>
        <w:pStyle w:val="BodyText"/>
        <w:rPr>
          <w:i/>
          <w:sz w:val="20"/>
        </w:rPr>
      </w:pPr>
    </w:p>
    <w:p w14:paraId="3ABEACF0" w14:textId="77777777" w:rsidR="00084F36" w:rsidRPr="00EB2BD8" w:rsidRDefault="00084F36">
      <w:pPr>
        <w:pStyle w:val="BodyText"/>
        <w:rPr>
          <w:i/>
          <w:sz w:val="20"/>
        </w:rPr>
      </w:pPr>
    </w:p>
    <w:p w14:paraId="3FFD3EA4" w14:textId="77777777" w:rsidR="00084F36" w:rsidRPr="00EB2BD8" w:rsidRDefault="00084F36">
      <w:pPr>
        <w:pStyle w:val="BodyText"/>
        <w:spacing w:before="9" w:after="1"/>
        <w:rPr>
          <w:i/>
          <w:sz w:val="24"/>
        </w:rPr>
      </w:pPr>
    </w:p>
    <w:tbl>
      <w:tblPr>
        <w:tblW w:w="0" w:type="auto"/>
        <w:tblInd w:w="857" w:type="dxa"/>
        <w:tblLayout w:type="fixed"/>
        <w:tblCellMar>
          <w:left w:w="0" w:type="dxa"/>
          <w:right w:w="0" w:type="dxa"/>
        </w:tblCellMar>
        <w:tblLook w:val="01E0" w:firstRow="1" w:lastRow="1" w:firstColumn="1" w:lastColumn="1" w:noHBand="0" w:noVBand="0"/>
      </w:tblPr>
      <w:tblGrid>
        <w:gridCol w:w="1565"/>
        <w:gridCol w:w="3246"/>
        <w:gridCol w:w="2869"/>
        <w:gridCol w:w="1352"/>
        <w:gridCol w:w="1176"/>
      </w:tblGrid>
      <w:tr w:rsidR="00EB2BD8" w:rsidRPr="00EB2BD8" w14:paraId="74CADA5D" w14:textId="77777777">
        <w:trPr>
          <w:trHeight w:val="614"/>
        </w:trPr>
        <w:tc>
          <w:tcPr>
            <w:tcW w:w="1565" w:type="dxa"/>
            <w:tcBorders>
              <w:bottom w:val="single" w:sz="2" w:space="0" w:color="000000"/>
            </w:tcBorders>
            <w:shd w:val="clear" w:color="auto" w:fill="005F83"/>
          </w:tcPr>
          <w:p w14:paraId="7158F00B" w14:textId="77777777" w:rsidR="00084F36" w:rsidRPr="00697E0C" w:rsidRDefault="00EB2BD8">
            <w:pPr>
              <w:pStyle w:val="TableParagraph"/>
              <w:spacing w:before="118"/>
              <w:ind w:left="113"/>
              <w:rPr>
                <w:color w:val="FFFFFF" w:themeColor="background1"/>
                <w:sz w:val="16"/>
              </w:rPr>
            </w:pPr>
            <w:r w:rsidRPr="00697E0C">
              <w:rPr>
                <w:color w:val="FFFFFF" w:themeColor="background1"/>
                <w:sz w:val="16"/>
              </w:rPr>
              <w:t>Accused</w:t>
            </w:r>
            <w:r w:rsidRPr="00697E0C">
              <w:rPr>
                <w:color w:val="FFFFFF" w:themeColor="background1"/>
                <w:spacing w:val="-1"/>
                <w:sz w:val="16"/>
              </w:rPr>
              <w:t xml:space="preserve"> </w:t>
            </w:r>
            <w:r w:rsidRPr="00697E0C">
              <w:rPr>
                <w:color w:val="FFFFFF" w:themeColor="background1"/>
                <w:spacing w:val="-4"/>
                <w:sz w:val="16"/>
              </w:rPr>
              <w:t>name</w:t>
            </w:r>
          </w:p>
        </w:tc>
        <w:tc>
          <w:tcPr>
            <w:tcW w:w="3246" w:type="dxa"/>
            <w:tcBorders>
              <w:bottom w:val="single" w:sz="2" w:space="0" w:color="000000"/>
            </w:tcBorders>
            <w:shd w:val="clear" w:color="auto" w:fill="005F83"/>
          </w:tcPr>
          <w:p w14:paraId="7BFDC75C" w14:textId="77777777" w:rsidR="00084F36" w:rsidRPr="00697E0C" w:rsidRDefault="00EB2BD8">
            <w:pPr>
              <w:pStyle w:val="TableParagraph"/>
              <w:spacing w:before="118"/>
              <w:ind w:left="305"/>
              <w:rPr>
                <w:color w:val="FFFFFF" w:themeColor="background1"/>
                <w:sz w:val="16"/>
              </w:rPr>
            </w:pPr>
            <w:r w:rsidRPr="00697E0C">
              <w:rPr>
                <w:color w:val="FFFFFF" w:themeColor="background1"/>
                <w:sz w:val="16"/>
              </w:rPr>
              <w:t>Description</w:t>
            </w:r>
            <w:r w:rsidRPr="00697E0C">
              <w:rPr>
                <w:color w:val="FFFFFF" w:themeColor="background1"/>
                <w:spacing w:val="-11"/>
                <w:sz w:val="16"/>
              </w:rPr>
              <w:t xml:space="preserve"> </w:t>
            </w:r>
            <w:r w:rsidRPr="00697E0C">
              <w:rPr>
                <w:color w:val="FFFFFF" w:themeColor="background1"/>
                <w:sz w:val="16"/>
              </w:rPr>
              <w:t>of</w:t>
            </w:r>
            <w:r w:rsidRPr="00697E0C">
              <w:rPr>
                <w:color w:val="FFFFFF" w:themeColor="background1"/>
                <w:spacing w:val="-10"/>
                <w:sz w:val="16"/>
              </w:rPr>
              <w:t xml:space="preserve"> </w:t>
            </w:r>
            <w:r w:rsidRPr="00697E0C">
              <w:rPr>
                <w:color w:val="FFFFFF" w:themeColor="background1"/>
                <w:spacing w:val="-2"/>
                <w:sz w:val="16"/>
              </w:rPr>
              <w:t>matter</w:t>
            </w:r>
          </w:p>
        </w:tc>
        <w:tc>
          <w:tcPr>
            <w:tcW w:w="2869" w:type="dxa"/>
            <w:tcBorders>
              <w:bottom w:val="single" w:sz="2" w:space="0" w:color="000000"/>
            </w:tcBorders>
            <w:shd w:val="clear" w:color="auto" w:fill="005F83"/>
          </w:tcPr>
          <w:p w14:paraId="51D60DE1" w14:textId="77777777" w:rsidR="00084F36" w:rsidRPr="00697E0C" w:rsidRDefault="00EB2BD8">
            <w:pPr>
              <w:pStyle w:val="TableParagraph"/>
              <w:spacing w:before="118"/>
              <w:ind w:left="177"/>
              <w:rPr>
                <w:color w:val="FFFFFF" w:themeColor="background1"/>
                <w:sz w:val="16"/>
              </w:rPr>
            </w:pPr>
            <w:r w:rsidRPr="00697E0C">
              <w:rPr>
                <w:color w:val="FFFFFF" w:themeColor="background1"/>
                <w:spacing w:val="-2"/>
                <w:sz w:val="16"/>
              </w:rPr>
              <w:t>Result</w:t>
            </w:r>
          </w:p>
        </w:tc>
        <w:tc>
          <w:tcPr>
            <w:tcW w:w="1352" w:type="dxa"/>
            <w:tcBorders>
              <w:bottom w:val="single" w:sz="2" w:space="0" w:color="000000"/>
            </w:tcBorders>
            <w:shd w:val="clear" w:color="auto" w:fill="005F83"/>
          </w:tcPr>
          <w:p w14:paraId="1BDF5B83" w14:textId="77777777" w:rsidR="00084F36" w:rsidRPr="00697E0C" w:rsidRDefault="00EB2BD8">
            <w:pPr>
              <w:pStyle w:val="TableParagraph"/>
              <w:spacing w:before="118" w:line="292" w:lineRule="auto"/>
              <w:ind w:left="389" w:right="89"/>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38</w:t>
            </w:r>
          </w:p>
        </w:tc>
        <w:tc>
          <w:tcPr>
            <w:tcW w:w="1176" w:type="dxa"/>
            <w:tcBorders>
              <w:bottom w:val="single" w:sz="2" w:space="0" w:color="000000"/>
            </w:tcBorders>
            <w:shd w:val="clear" w:color="auto" w:fill="005F83"/>
          </w:tcPr>
          <w:p w14:paraId="62C68435" w14:textId="77777777" w:rsidR="00084F36" w:rsidRPr="00697E0C" w:rsidRDefault="00EB2BD8">
            <w:pPr>
              <w:pStyle w:val="TableParagraph"/>
              <w:spacing w:before="118"/>
              <w:ind w:left="114"/>
              <w:rPr>
                <w:color w:val="FFFFFF" w:themeColor="background1"/>
                <w:sz w:val="16"/>
              </w:rPr>
            </w:pPr>
            <w:r w:rsidRPr="00697E0C">
              <w:rPr>
                <w:color w:val="FFFFFF" w:themeColor="background1"/>
                <w:spacing w:val="-4"/>
                <w:w w:val="105"/>
                <w:sz w:val="16"/>
              </w:rPr>
              <w:t>Date</w:t>
            </w:r>
          </w:p>
        </w:tc>
      </w:tr>
      <w:tr w:rsidR="00EB2BD8" w:rsidRPr="00EB2BD8" w14:paraId="451E188D" w14:textId="77777777">
        <w:trPr>
          <w:trHeight w:val="326"/>
        </w:trPr>
        <w:tc>
          <w:tcPr>
            <w:tcW w:w="1565" w:type="dxa"/>
            <w:tcBorders>
              <w:top w:val="single" w:sz="2" w:space="0" w:color="000000"/>
            </w:tcBorders>
          </w:tcPr>
          <w:p w14:paraId="25281E51" w14:textId="77777777" w:rsidR="00084F36" w:rsidRPr="00EB2BD8" w:rsidRDefault="00EB2BD8">
            <w:pPr>
              <w:pStyle w:val="TableParagraph"/>
              <w:spacing w:before="116"/>
              <w:ind w:left="113"/>
              <w:rPr>
                <w:sz w:val="16"/>
              </w:rPr>
            </w:pPr>
            <w:r w:rsidRPr="00EB2BD8">
              <w:rPr>
                <w:sz w:val="16"/>
              </w:rPr>
              <w:t>Up</w:t>
            </w:r>
            <w:r w:rsidRPr="00EB2BD8">
              <w:rPr>
                <w:spacing w:val="-13"/>
                <w:sz w:val="16"/>
              </w:rPr>
              <w:t xml:space="preserve"> </w:t>
            </w:r>
            <w:r w:rsidRPr="00EB2BD8">
              <w:rPr>
                <w:sz w:val="16"/>
              </w:rPr>
              <w:t>N</w:t>
            </w:r>
            <w:r w:rsidRPr="00EB2BD8">
              <w:rPr>
                <w:spacing w:val="-12"/>
                <w:sz w:val="16"/>
              </w:rPr>
              <w:t xml:space="preserve"> </w:t>
            </w:r>
            <w:r w:rsidRPr="00EB2BD8">
              <w:rPr>
                <w:sz w:val="16"/>
              </w:rPr>
              <w:t>At</w:t>
            </w:r>
            <w:r w:rsidRPr="00EB2BD8">
              <w:rPr>
                <w:spacing w:val="-12"/>
                <w:sz w:val="16"/>
              </w:rPr>
              <w:t xml:space="preserve"> </w:t>
            </w:r>
            <w:r w:rsidRPr="00EB2BD8">
              <w:rPr>
                <w:spacing w:val="-5"/>
                <w:sz w:val="16"/>
              </w:rPr>
              <w:t>Em</w:t>
            </w:r>
          </w:p>
        </w:tc>
        <w:tc>
          <w:tcPr>
            <w:tcW w:w="3246" w:type="dxa"/>
            <w:tcBorders>
              <w:top w:val="single" w:sz="2" w:space="0" w:color="000000"/>
            </w:tcBorders>
          </w:tcPr>
          <w:p w14:paraId="0F1FDF12" w14:textId="77777777" w:rsidR="00084F36" w:rsidRPr="00EB2BD8" w:rsidRDefault="00EB2BD8">
            <w:pPr>
              <w:pStyle w:val="TableParagraph"/>
              <w:spacing w:before="116"/>
              <w:ind w:left="305"/>
              <w:rPr>
                <w:sz w:val="16"/>
              </w:rPr>
            </w:pPr>
            <w:r w:rsidRPr="00EB2BD8">
              <w:rPr>
                <w:sz w:val="16"/>
              </w:rPr>
              <w:t>Carried</w:t>
            </w:r>
            <w:r w:rsidRPr="00EB2BD8">
              <w:rPr>
                <w:spacing w:val="-9"/>
                <w:sz w:val="16"/>
              </w:rPr>
              <w:t xml:space="preserve"> </w:t>
            </w:r>
            <w:r w:rsidRPr="00EB2BD8">
              <w:rPr>
                <w:sz w:val="16"/>
              </w:rPr>
              <w:t>out</w:t>
            </w:r>
            <w:r w:rsidRPr="00EB2BD8">
              <w:rPr>
                <w:spacing w:val="-8"/>
                <w:sz w:val="16"/>
              </w:rPr>
              <w:t xml:space="preserve"> </w:t>
            </w:r>
            <w:r w:rsidRPr="00EB2BD8">
              <w:rPr>
                <w:sz w:val="16"/>
              </w:rPr>
              <w:t>work</w:t>
            </w:r>
            <w:r w:rsidRPr="00EB2BD8">
              <w:rPr>
                <w:spacing w:val="-8"/>
                <w:sz w:val="16"/>
              </w:rPr>
              <w:t xml:space="preserve"> </w:t>
            </w:r>
            <w:r w:rsidRPr="00EB2BD8">
              <w:rPr>
                <w:sz w:val="16"/>
              </w:rPr>
              <w:t>under</w:t>
            </w:r>
            <w:r w:rsidRPr="00EB2BD8">
              <w:rPr>
                <w:spacing w:val="-8"/>
                <w:sz w:val="16"/>
              </w:rPr>
              <w:t xml:space="preserve"> </w:t>
            </w:r>
            <w:r w:rsidRPr="00EB2BD8">
              <w:rPr>
                <w:sz w:val="16"/>
              </w:rPr>
              <w:t>a</w:t>
            </w:r>
            <w:r w:rsidRPr="00EB2BD8">
              <w:rPr>
                <w:spacing w:val="-8"/>
                <w:sz w:val="16"/>
              </w:rPr>
              <w:t xml:space="preserve"> </w:t>
            </w:r>
            <w:r w:rsidRPr="00EB2BD8">
              <w:rPr>
                <w:spacing w:val="-2"/>
                <w:sz w:val="16"/>
              </w:rPr>
              <w:t>major</w:t>
            </w:r>
          </w:p>
        </w:tc>
        <w:tc>
          <w:tcPr>
            <w:tcW w:w="2869" w:type="dxa"/>
            <w:tcBorders>
              <w:top w:val="single" w:sz="2" w:space="0" w:color="000000"/>
            </w:tcBorders>
          </w:tcPr>
          <w:p w14:paraId="54BD809E" w14:textId="77777777" w:rsidR="00084F36" w:rsidRPr="00EB2BD8" w:rsidRDefault="00EB2BD8">
            <w:pPr>
              <w:pStyle w:val="TableParagraph"/>
              <w:spacing w:before="115"/>
              <w:ind w:left="177"/>
              <w:rPr>
                <w:sz w:val="16"/>
              </w:rPr>
            </w:pPr>
            <w:r w:rsidRPr="00EB2BD8">
              <w:rPr>
                <w:sz w:val="16"/>
              </w:rPr>
              <w:t>Three</w:t>
            </w:r>
            <w:r w:rsidRPr="00EB2BD8">
              <w:rPr>
                <w:spacing w:val="-8"/>
                <w:sz w:val="16"/>
              </w:rPr>
              <w:t xml:space="preserve"> </w:t>
            </w:r>
            <w:r w:rsidRPr="00EB2BD8">
              <w:rPr>
                <w:sz w:val="16"/>
              </w:rPr>
              <w:t>charges</w:t>
            </w:r>
            <w:r w:rsidRPr="00EB2BD8">
              <w:rPr>
                <w:spacing w:val="-8"/>
                <w:sz w:val="16"/>
              </w:rPr>
              <w:t xml:space="preserve"> </w:t>
            </w:r>
            <w:r w:rsidRPr="00EB2BD8">
              <w:rPr>
                <w:sz w:val="16"/>
              </w:rPr>
              <w:t>proven</w:t>
            </w:r>
            <w:r w:rsidRPr="00EB2BD8">
              <w:rPr>
                <w:spacing w:val="-8"/>
                <w:sz w:val="16"/>
              </w:rPr>
              <w:t xml:space="preserve"> </w:t>
            </w:r>
            <w:r w:rsidRPr="00EB2BD8">
              <w:rPr>
                <w:spacing w:val="-2"/>
                <w:sz w:val="16"/>
              </w:rPr>
              <w:t>without</w:t>
            </w:r>
          </w:p>
        </w:tc>
        <w:tc>
          <w:tcPr>
            <w:tcW w:w="1352" w:type="dxa"/>
            <w:tcBorders>
              <w:top w:val="single" w:sz="2" w:space="0" w:color="000000"/>
            </w:tcBorders>
          </w:tcPr>
          <w:p w14:paraId="04FC0764" w14:textId="77777777" w:rsidR="00084F36" w:rsidRPr="00EB2BD8" w:rsidRDefault="00EB2BD8">
            <w:pPr>
              <w:pStyle w:val="TableParagraph"/>
              <w:spacing w:before="115"/>
              <w:ind w:right="111"/>
              <w:jc w:val="right"/>
              <w:rPr>
                <w:sz w:val="16"/>
              </w:rPr>
            </w:pPr>
            <w:r w:rsidRPr="00EB2BD8">
              <w:rPr>
                <w:spacing w:val="-2"/>
                <w:sz w:val="16"/>
              </w:rPr>
              <w:t>$5,000</w:t>
            </w:r>
          </w:p>
        </w:tc>
        <w:tc>
          <w:tcPr>
            <w:tcW w:w="1176" w:type="dxa"/>
            <w:tcBorders>
              <w:top w:val="single" w:sz="2" w:space="0" w:color="000000"/>
            </w:tcBorders>
          </w:tcPr>
          <w:p w14:paraId="53B44093" w14:textId="77777777" w:rsidR="00084F36" w:rsidRPr="00EB2BD8" w:rsidRDefault="00EB2BD8">
            <w:pPr>
              <w:pStyle w:val="TableParagraph"/>
              <w:spacing w:before="115"/>
              <w:ind w:left="114"/>
              <w:rPr>
                <w:sz w:val="16"/>
              </w:rPr>
            </w:pPr>
            <w:r w:rsidRPr="00EB2BD8">
              <w:rPr>
                <w:spacing w:val="-2"/>
                <w:sz w:val="16"/>
              </w:rPr>
              <w:t>04/04/2023</w:t>
            </w:r>
          </w:p>
        </w:tc>
      </w:tr>
      <w:tr w:rsidR="00EB2BD8" w:rsidRPr="00EB2BD8" w14:paraId="4E959562" w14:textId="77777777">
        <w:trPr>
          <w:trHeight w:val="230"/>
        </w:trPr>
        <w:tc>
          <w:tcPr>
            <w:tcW w:w="1565" w:type="dxa"/>
          </w:tcPr>
          <w:p w14:paraId="2EA0A833" w14:textId="77777777" w:rsidR="00084F36" w:rsidRPr="00EB2BD8" w:rsidRDefault="00EB2BD8">
            <w:pPr>
              <w:pStyle w:val="TableParagraph"/>
              <w:spacing w:before="19"/>
              <w:ind w:left="113"/>
              <w:rPr>
                <w:sz w:val="16"/>
              </w:rPr>
            </w:pPr>
            <w:r w:rsidRPr="00EB2BD8">
              <w:rPr>
                <w:sz w:val="16"/>
              </w:rPr>
              <w:t>Pergolas</w:t>
            </w:r>
            <w:r w:rsidRPr="00EB2BD8">
              <w:rPr>
                <w:spacing w:val="-1"/>
                <w:sz w:val="16"/>
              </w:rPr>
              <w:t xml:space="preserve"> </w:t>
            </w:r>
            <w:r w:rsidRPr="00EB2BD8">
              <w:rPr>
                <w:spacing w:val="-5"/>
                <w:sz w:val="16"/>
              </w:rPr>
              <w:t>and</w:t>
            </w:r>
          </w:p>
        </w:tc>
        <w:tc>
          <w:tcPr>
            <w:tcW w:w="3246" w:type="dxa"/>
          </w:tcPr>
          <w:p w14:paraId="6461713C" w14:textId="77777777" w:rsidR="00084F36" w:rsidRPr="00EB2BD8" w:rsidRDefault="00EB2BD8">
            <w:pPr>
              <w:pStyle w:val="TableParagraph"/>
              <w:spacing w:before="19"/>
              <w:ind w:left="305"/>
              <w:rPr>
                <w:sz w:val="16"/>
              </w:rPr>
            </w:pPr>
            <w:r w:rsidRPr="00EB2BD8">
              <w:rPr>
                <w:sz w:val="16"/>
              </w:rPr>
              <w:t>domestic</w:t>
            </w:r>
            <w:r w:rsidRPr="00EB2BD8">
              <w:rPr>
                <w:spacing w:val="-11"/>
                <w:sz w:val="16"/>
              </w:rPr>
              <w:t xml:space="preserve"> </w:t>
            </w:r>
            <w:r w:rsidRPr="00EB2BD8">
              <w:rPr>
                <w:sz w:val="16"/>
              </w:rPr>
              <w:t>building</w:t>
            </w:r>
            <w:r w:rsidRPr="00EB2BD8">
              <w:rPr>
                <w:spacing w:val="-10"/>
                <w:sz w:val="16"/>
              </w:rPr>
              <w:t xml:space="preserve"> </w:t>
            </w:r>
            <w:r w:rsidRPr="00EB2BD8">
              <w:rPr>
                <w:sz w:val="16"/>
              </w:rPr>
              <w:t>contract</w:t>
            </w:r>
            <w:r w:rsidRPr="00EB2BD8">
              <w:rPr>
                <w:spacing w:val="-10"/>
                <w:sz w:val="16"/>
              </w:rPr>
              <w:t xml:space="preserve"> </w:t>
            </w:r>
            <w:r w:rsidRPr="00EB2BD8">
              <w:rPr>
                <w:spacing w:val="-2"/>
                <w:sz w:val="16"/>
              </w:rPr>
              <w:t>without</w:t>
            </w:r>
          </w:p>
        </w:tc>
        <w:tc>
          <w:tcPr>
            <w:tcW w:w="2869" w:type="dxa"/>
          </w:tcPr>
          <w:p w14:paraId="0941FA4B" w14:textId="77777777" w:rsidR="00084F36" w:rsidRPr="00EB2BD8" w:rsidRDefault="00EB2BD8">
            <w:pPr>
              <w:pStyle w:val="TableParagraph"/>
              <w:spacing w:before="19"/>
              <w:ind w:left="177"/>
              <w:rPr>
                <w:sz w:val="16"/>
              </w:rPr>
            </w:pPr>
            <w:r w:rsidRPr="00EB2BD8">
              <w:rPr>
                <w:spacing w:val="-2"/>
                <w:sz w:val="16"/>
              </w:rPr>
              <w:t>conviction.</w:t>
            </w:r>
            <w:r w:rsidRPr="00EB2BD8">
              <w:rPr>
                <w:spacing w:val="-8"/>
                <w:sz w:val="16"/>
              </w:rPr>
              <w:t xml:space="preserve"> </w:t>
            </w:r>
            <w:r w:rsidRPr="00EB2BD8">
              <w:rPr>
                <w:spacing w:val="-2"/>
                <w:sz w:val="16"/>
              </w:rPr>
              <w:t>Fine</w:t>
            </w:r>
            <w:r w:rsidRPr="00EB2BD8">
              <w:rPr>
                <w:spacing w:val="-8"/>
                <w:sz w:val="16"/>
              </w:rPr>
              <w:t xml:space="preserve"> </w:t>
            </w:r>
            <w:r w:rsidRPr="00EB2BD8">
              <w:rPr>
                <w:spacing w:val="-2"/>
                <w:sz w:val="16"/>
              </w:rPr>
              <w:t>of</w:t>
            </w:r>
            <w:r w:rsidRPr="00EB2BD8">
              <w:rPr>
                <w:spacing w:val="-7"/>
                <w:sz w:val="16"/>
              </w:rPr>
              <w:t xml:space="preserve"> </w:t>
            </w:r>
            <w:r w:rsidRPr="00EB2BD8">
              <w:rPr>
                <w:spacing w:val="-2"/>
                <w:sz w:val="16"/>
              </w:rPr>
              <w:t>$5,000.</w:t>
            </w:r>
          </w:p>
        </w:tc>
        <w:tc>
          <w:tcPr>
            <w:tcW w:w="1352" w:type="dxa"/>
          </w:tcPr>
          <w:p w14:paraId="432BCD83" w14:textId="77777777" w:rsidR="00084F36" w:rsidRPr="00EB2BD8" w:rsidRDefault="00084F36">
            <w:pPr>
              <w:pStyle w:val="TableParagraph"/>
              <w:rPr>
                <w:rFonts w:ascii="Times New Roman"/>
                <w:sz w:val="16"/>
              </w:rPr>
            </w:pPr>
          </w:p>
        </w:tc>
        <w:tc>
          <w:tcPr>
            <w:tcW w:w="1176" w:type="dxa"/>
          </w:tcPr>
          <w:p w14:paraId="0277F243" w14:textId="77777777" w:rsidR="00084F36" w:rsidRPr="00EB2BD8" w:rsidRDefault="00084F36">
            <w:pPr>
              <w:pStyle w:val="TableParagraph"/>
              <w:rPr>
                <w:rFonts w:ascii="Times New Roman"/>
                <w:sz w:val="16"/>
              </w:rPr>
            </w:pPr>
          </w:p>
        </w:tc>
      </w:tr>
      <w:tr w:rsidR="00EB2BD8" w:rsidRPr="00EB2BD8" w14:paraId="5950DBF1" w14:textId="77777777">
        <w:trPr>
          <w:trHeight w:val="229"/>
        </w:trPr>
        <w:tc>
          <w:tcPr>
            <w:tcW w:w="1565" w:type="dxa"/>
          </w:tcPr>
          <w:p w14:paraId="5B90AE6A" w14:textId="77777777" w:rsidR="00084F36" w:rsidRPr="00EB2BD8" w:rsidRDefault="00EB2BD8">
            <w:pPr>
              <w:pStyle w:val="TableParagraph"/>
              <w:spacing w:before="19"/>
              <w:ind w:left="113"/>
              <w:rPr>
                <w:sz w:val="16"/>
              </w:rPr>
            </w:pPr>
            <w:r w:rsidRPr="00EB2BD8">
              <w:rPr>
                <w:spacing w:val="-2"/>
                <w:sz w:val="16"/>
              </w:rPr>
              <w:t>Decking</w:t>
            </w:r>
          </w:p>
        </w:tc>
        <w:tc>
          <w:tcPr>
            <w:tcW w:w="3246" w:type="dxa"/>
          </w:tcPr>
          <w:p w14:paraId="587FF2DF" w14:textId="77777777" w:rsidR="00084F36" w:rsidRPr="00EB2BD8" w:rsidRDefault="00EB2BD8">
            <w:pPr>
              <w:pStyle w:val="TableParagraph"/>
              <w:spacing w:before="19"/>
              <w:ind w:left="305"/>
              <w:rPr>
                <w:sz w:val="16"/>
              </w:rPr>
            </w:pPr>
            <w:r w:rsidRPr="00EB2BD8">
              <w:rPr>
                <w:spacing w:val="-2"/>
                <w:sz w:val="16"/>
              </w:rPr>
              <w:t>registration</w:t>
            </w:r>
            <w:r w:rsidRPr="00EB2BD8">
              <w:rPr>
                <w:spacing w:val="2"/>
                <w:sz w:val="16"/>
              </w:rPr>
              <w:t xml:space="preserve"> </w:t>
            </w:r>
            <w:r w:rsidRPr="00EB2BD8">
              <w:rPr>
                <w:spacing w:val="-2"/>
                <w:sz w:val="16"/>
              </w:rPr>
              <w:t>and</w:t>
            </w:r>
            <w:r w:rsidRPr="00EB2BD8">
              <w:rPr>
                <w:spacing w:val="2"/>
                <w:sz w:val="16"/>
              </w:rPr>
              <w:t xml:space="preserve"> </w:t>
            </w:r>
            <w:r w:rsidRPr="00EB2BD8">
              <w:rPr>
                <w:spacing w:val="-2"/>
                <w:sz w:val="16"/>
              </w:rPr>
              <w:t>required</w:t>
            </w:r>
            <w:r w:rsidRPr="00EB2BD8">
              <w:rPr>
                <w:spacing w:val="3"/>
                <w:sz w:val="16"/>
              </w:rPr>
              <w:t xml:space="preserve"> </w:t>
            </w:r>
            <w:r w:rsidRPr="00EB2BD8">
              <w:rPr>
                <w:spacing w:val="-2"/>
                <w:sz w:val="16"/>
              </w:rPr>
              <w:t>insurance.</w:t>
            </w:r>
          </w:p>
        </w:tc>
        <w:tc>
          <w:tcPr>
            <w:tcW w:w="2869" w:type="dxa"/>
          </w:tcPr>
          <w:p w14:paraId="3F953119" w14:textId="77777777" w:rsidR="00084F36" w:rsidRPr="00EB2BD8" w:rsidRDefault="00084F36">
            <w:pPr>
              <w:pStyle w:val="TableParagraph"/>
              <w:rPr>
                <w:rFonts w:ascii="Times New Roman"/>
                <w:sz w:val="16"/>
              </w:rPr>
            </w:pPr>
          </w:p>
        </w:tc>
        <w:tc>
          <w:tcPr>
            <w:tcW w:w="1352" w:type="dxa"/>
          </w:tcPr>
          <w:p w14:paraId="59896EFC" w14:textId="77777777" w:rsidR="00084F36" w:rsidRPr="00EB2BD8" w:rsidRDefault="00084F36">
            <w:pPr>
              <w:pStyle w:val="TableParagraph"/>
              <w:rPr>
                <w:rFonts w:ascii="Times New Roman"/>
                <w:sz w:val="16"/>
              </w:rPr>
            </w:pPr>
          </w:p>
        </w:tc>
        <w:tc>
          <w:tcPr>
            <w:tcW w:w="1176" w:type="dxa"/>
          </w:tcPr>
          <w:p w14:paraId="0873B0C3" w14:textId="77777777" w:rsidR="00084F36" w:rsidRPr="00EB2BD8" w:rsidRDefault="00084F36">
            <w:pPr>
              <w:pStyle w:val="TableParagraph"/>
              <w:rPr>
                <w:rFonts w:ascii="Times New Roman"/>
                <w:sz w:val="16"/>
              </w:rPr>
            </w:pPr>
          </w:p>
        </w:tc>
      </w:tr>
      <w:tr w:rsidR="00EB2BD8" w:rsidRPr="00EB2BD8" w14:paraId="20AE0547" w14:textId="77777777">
        <w:trPr>
          <w:trHeight w:val="229"/>
        </w:trPr>
        <w:tc>
          <w:tcPr>
            <w:tcW w:w="1565" w:type="dxa"/>
          </w:tcPr>
          <w:p w14:paraId="0E1281BF" w14:textId="77777777" w:rsidR="00084F36" w:rsidRPr="00EB2BD8" w:rsidRDefault="00084F36">
            <w:pPr>
              <w:pStyle w:val="TableParagraph"/>
              <w:rPr>
                <w:rFonts w:ascii="Times New Roman"/>
                <w:sz w:val="16"/>
              </w:rPr>
            </w:pPr>
          </w:p>
        </w:tc>
        <w:tc>
          <w:tcPr>
            <w:tcW w:w="3246" w:type="dxa"/>
          </w:tcPr>
          <w:p w14:paraId="77084404" w14:textId="77777777" w:rsidR="00084F36" w:rsidRPr="00EB2BD8" w:rsidRDefault="00EB2BD8">
            <w:pPr>
              <w:pStyle w:val="TableParagraph"/>
              <w:spacing w:before="19"/>
              <w:ind w:left="305"/>
              <w:rPr>
                <w:sz w:val="16"/>
              </w:rPr>
            </w:pPr>
            <w:r w:rsidRPr="00EB2BD8">
              <w:rPr>
                <w:spacing w:val="-2"/>
                <w:sz w:val="16"/>
              </w:rPr>
              <w:t>Carried</w:t>
            </w:r>
            <w:r w:rsidRPr="00EB2BD8">
              <w:rPr>
                <w:spacing w:val="-6"/>
                <w:sz w:val="16"/>
              </w:rPr>
              <w:t xml:space="preserve"> </w:t>
            </w:r>
            <w:r w:rsidRPr="00EB2BD8">
              <w:rPr>
                <w:spacing w:val="-2"/>
                <w:sz w:val="16"/>
              </w:rPr>
              <w:t>out</w:t>
            </w:r>
            <w:r w:rsidRPr="00EB2BD8">
              <w:rPr>
                <w:spacing w:val="-5"/>
                <w:sz w:val="16"/>
              </w:rPr>
              <w:t xml:space="preserve"> </w:t>
            </w:r>
            <w:r w:rsidRPr="00EB2BD8">
              <w:rPr>
                <w:spacing w:val="-2"/>
                <w:sz w:val="16"/>
              </w:rPr>
              <w:t>building</w:t>
            </w:r>
            <w:r w:rsidRPr="00EB2BD8">
              <w:rPr>
                <w:spacing w:val="-6"/>
                <w:sz w:val="16"/>
              </w:rPr>
              <w:t xml:space="preserve"> </w:t>
            </w:r>
            <w:r w:rsidRPr="00EB2BD8">
              <w:rPr>
                <w:spacing w:val="-2"/>
                <w:sz w:val="16"/>
              </w:rPr>
              <w:t>work</w:t>
            </w:r>
            <w:r w:rsidRPr="00EB2BD8">
              <w:rPr>
                <w:spacing w:val="-5"/>
                <w:sz w:val="16"/>
              </w:rPr>
              <w:t xml:space="preserve"> </w:t>
            </w:r>
            <w:r w:rsidRPr="00EB2BD8">
              <w:rPr>
                <w:spacing w:val="-2"/>
                <w:sz w:val="16"/>
              </w:rPr>
              <w:t>without</w:t>
            </w:r>
            <w:r w:rsidRPr="00EB2BD8">
              <w:rPr>
                <w:spacing w:val="-5"/>
                <w:sz w:val="16"/>
              </w:rPr>
              <w:t xml:space="preserve"> </w:t>
            </w:r>
            <w:r w:rsidRPr="00EB2BD8">
              <w:rPr>
                <w:spacing w:val="-10"/>
                <w:sz w:val="16"/>
              </w:rPr>
              <w:t>a</w:t>
            </w:r>
          </w:p>
        </w:tc>
        <w:tc>
          <w:tcPr>
            <w:tcW w:w="2869" w:type="dxa"/>
          </w:tcPr>
          <w:p w14:paraId="1326402C" w14:textId="77777777" w:rsidR="00084F36" w:rsidRPr="00EB2BD8" w:rsidRDefault="00084F36">
            <w:pPr>
              <w:pStyle w:val="TableParagraph"/>
              <w:rPr>
                <w:rFonts w:ascii="Times New Roman"/>
                <w:sz w:val="16"/>
              </w:rPr>
            </w:pPr>
          </w:p>
        </w:tc>
        <w:tc>
          <w:tcPr>
            <w:tcW w:w="1352" w:type="dxa"/>
          </w:tcPr>
          <w:p w14:paraId="3D788F0F" w14:textId="77777777" w:rsidR="00084F36" w:rsidRPr="00EB2BD8" w:rsidRDefault="00084F36">
            <w:pPr>
              <w:pStyle w:val="TableParagraph"/>
              <w:rPr>
                <w:rFonts w:ascii="Times New Roman"/>
                <w:sz w:val="16"/>
              </w:rPr>
            </w:pPr>
          </w:p>
        </w:tc>
        <w:tc>
          <w:tcPr>
            <w:tcW w:w="1176" w:type="dxa"/>
          </w:tcPr>
          <w:p w14:paraId="5514F955" w14:textId="77777777" w:rsidR="00084F36" w:rsidRPr="00EB2BD8" w:rsidRDefault="00084F36">
            <w:pPr>
              <w:pStyle w:val="TableParagraph"/>
              <w:rPr>
                <w:rFonts w:ascii="Times New Roman"/>
                <w:sz w:val="16"/>
              </w:rPr>
            </w:pPr>
          </w:p>
        </w:tc>
      </w:tr>
      <w:tr w:rsidR="00EB2BD8" w:rsidRPr="00EB2BD8" w14:paraId="23F71FEF" w14:textId="77777777">
        <w:trPr>
          <w:trHeight w:val="285"/>
        </w:trPr>
        <w:tc>
          <w:tcPr>
            <w:tcW w:w="1565" w:type="dxa"/>
            <w:tcBorders>
              <w:bottom w:val="single" w:sz="2" w:space="0" w:color="000000"/>
            </w:tcBorders>
          </w:tcPr>
          <w:p w14:paraId="4F0D2EA3" w14:textId="77777777" w:rsidR="00084F36" w:rsidRPr="00EB2BD8" w:rsidRDefault="00084F36">
            <w:pPr>
              <w:pStyle w:val="TableParagraph"/>
              <w:rPr>
                <w:rFonts w:ascii="Times New Roman"/>
                <w:sz w:val="16"/>
              </w:rPr>
            </w:pPr>
          </w:p>
        </w:tc>
        <w:tc>
          <w:tcPr>
            <w:tcW w:w="3246" w:type="dxa"/>
            <w:tcBorders>
              <w:bottom w:val="single" w:sz="2" w:space="0" w:color="000000"/>
            </w:tcBorders>
          </w:tcPr>
          <w:p w14:paraId="47C305BF" w14:textId="77777777" w:rsidR="00084F36" w:rsidRPr="00EB2BD8" w:rsidRDefault="00EB2BD8">
            <w:pPr>
              <w:pStyle w:val="TableParagraph"/>
              <w:spacing w:before="19"/>
              <w:ind w:left="305"/>
              <w:rPr>
                <w:sz w:val="16"/>
              </w:rPr>
            </w:pPr>
            <w:r w:rsidRPr="00EB2BD8">
              <w:rPr>
                <w:spacing w:val="-2"/>
                <w:sz w:val="16"/>
              </w:rPr>
              <w:t>building</w:t>
            </w:r>
            <w:r w:rsidRPr="00EB2BD8">
              <w:rPr>
                <w:spacing w:val="-10"/>
                <w:sz w:val="16"/>
              </w:rPr>
              <w:t xml:space="preserve"> </w:t>
            </w:r>
            <w:r w:rsidRPr="00EB2BD8">
              <w:rPr>
                <w:spacing w:val="-2"/>
                <w:sz w:val="16"/>
              </w:rPr>
              <w:t>permit</w:t>
            </w:r>
            <w:r w:rsidRPr="00EB2BD8">
              <w:rPr>
                <w:spacing w:val="-9"/>
                <w:sz w:val="16"/>
              </w:rPr>
              <w:t xml:space="preserve"> </w:t>
            </w:r>
            <w:r w:rsidRPr="00EB2BD8">
              <w:rPr>
                <w:spacing w:val="-2"/>
                <w:sz w:val="16"/>
              </w:rPr>
              <w:t>in</w:t>
            </w:r>
            <w:r w:rsidRPr="00EB2BD8">
              <w:rPr>
                <w:spacing w:val="-9"/>
                <w:sz w:val="16"/>
              </w:rPr>
              <w:t xml:space="preserve"> </w:t>
            </w:r>
            <w:r w:rsidRPr="00EB2BD8">
              <w:rPr>
                <w:spacing w:val="-2"/>
                <w:sz w:val="16"/>
              </w:rPr>
              <w:t>place</w:t>
            </w:r>
          </w:p>
        </w:tc>
        <w:tc>
          <w:tcPr>
            <w:tcW w:w="2869" w:type="dxa"/>
            <w:tcBorders>
              <w:bottom w:val="single" w:sz="2" w:space="0" w:color="000000"/>
            </w:tcBorders>
          </w:tcPr>
          <w:p w14:paraId="1FC044C2" w14:textId="77777777" w:rsidR="00084F36" w:rsidRPr="00EB2BD8" w:rsidRDefault="00084F36">
            <w:pPr>
              <w:pStyle w:val="TableParagraph"/>
              <w:rPr>
                <w:rFonts w:ascii="Times New Roman"/>
                <w:sz w:val="16"/>
              </w:rPr>
            </w:pPr>
          </w:p>
        </w:tc>
        <w:tc>
          <w:tcPr>
            <w:tcW w:w="1352" w:type="dxa"/>
            <w:tcBorders>
              <w:bottom w:val="single" w:sz="2" w:space="0" w:color="000000"/>
            </w:tcBorders>
          </w:tcPr>
          <w:p w14:paraId="2E1A8E2F"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4BCD7465" w14:textId="77777777" w:rsidR="00084F36" w:rsidRPr="00EB2BD8" w:rsidRDefault="00084F36">
            <w:pPr>
              <w:pStyle w:val="TableParagraph"/>
              <w:rPr>
                <w:rFonts w:ascii="Times New Roman"/>
                <w:sz w:val="16"/>
              </w:rPr>
            </w:pPr>
          </w:p>
        </w:tc>
      </w:tr>
      <w:tr w:rsidR="00EB2BD8" w:rsidRPr="00EB2BD8" w14:paraId="691EF066" w14:textId="77777777">
        <w:trPr>
          <w:trHeight w:val="326"/>
        </w:trPr>
        <w:tc>
          <w:tcPr>
            <w:tcW w:w="1565" w:type="dxa"/>
            <w:tcBorders>
              <w:top w:val="single" w:sz="2" w:space="0" w:color="000000"/>
            </w:tcBorders>
          </w:tcPr>
          <w:p w14:paraId="5A90D41D" w14:textId="77777777" w:rsidR="00084F36" w:rsidRPr="00EB2BD8" w:rsidRDefault="00EB2BD8">
            <w:pPr>
              <w:pStyle w:val="TableParagraph"/>
              <w:spacing w:before="115"/>
              <w:ind w:left="113"/>
              <w:rPr>
                <w:sz w:val="16"/>
              </w:rPr>
            </w:pPr>
            <w:r w:rsidRPr="00EB2BD8">
              <w:rPr>
                <w:spacing w:val="-8"/>
                <w:sz w:val="16"/>
              </w:rPr>
              <w:t>YANG,</w:t>
            </w:r>
            <w:r w:rsidRPr="00EB2BD8">
              <w:rPr>
                <w:spacing w:val="-4"/>
                <w:sz w:val="16"/>
              </w:rPr>
              <w:t xml:space="preserve"> </w:t>
            </w:r>
            <w:r w:rsidRPr="00EB2BD8">
              <w:rPr>
                <w:spacing w:val="-5"/>
                <w:sz w:val="16"/>
              </w:rPr>
              <w:t>Dan</w:t>
            </w:r>
          </w:p>
        </w:tc>
        <w:tc>
          <w:tcPr>
            <w:tcW w:w="3246" w:type="dxa"/>
            <w:tcBorders>
              <w:top w:val="single" w:sz="2" w:space="0" w:color="000000"/>
            </w:tcBorders>
          </w:tcPr>
          <w:p w14:paraId="01263089" w14:textId="77777777" w:rsidR="00084F36" w:rsidRPr="00EB2BD8" w:rsidRDefault="00EB2BD8">
            <w:pPr>
              <w:pStyle w:val="TableParagraph"/>
              <w:spacing w:before="115"/>
              <w:ind w:left="305"/>
              <w:rPr>
                <w:sz w:val="16"/>
              </w:rPr>
            </w:pPr>
            <w:r w:rsidRPr="00EB2BD8">
              <w:rPr>
                <w:spacing w:val="-2"/>
                <w:sz w:val="16"/>
              </w:rPr>
              <w:t>Carried</w:t>
            </w:r>
            <w:r w:rsidRPr="00EB2BD8">
              <w:rPr>
                <w:spacing w:val="-5"/>
                <w:sz w:val="16"/>
              </w:rPr>
              <w:t xml:space="preserve"> </w:t>
            </w:r>
            <w:r w:rsidRPr="00EB2BD8">
              <w:rPr>
                <w:spacing w:val="-2"/>
                <w:sz w:val="16"/>
              </w:rPr>
              <w:t>out</w:t>
            </w:r>
            <w:r w:rsidRPr="00EB2BD8">
              <w:rPr>
                <w:spacing w:val="-4"/>
                <w:sz w:val="16"/>
              </w:rPr>
              <w:t xml:space="preserve"> </w:t>
            </w:r>
            <w:r w:rsidRPr="00EB2BD8">
              <w:rPr>
                <w:spacing w:val="-2"/>
                <w:sz w:val="16"/>
              </w:rPr>
              <w:t>building</w:t>
            </w:r>
            <w:r w:rsidRPr="00EB2BD8">
              <w:rPr>
                <w:spacing w:val="-4"/>
                <w:sz w:val="16"/>
              </w:rPr>
              <w:t xml:space="preserve"> </w:t>
            </w:r>
            <w:r w:rsidRPr="00EB2BD8">
              <w:rPr>
                <w:spacing w:val="-2"/>
                <w:sz w:val="16"/>
              </w:rPr>
              <w:t>work</w:t>
            </w:r>
            <w:r w:rsidRPr="00EB2BD8">
              <w:rPr>
                <w:spacing w:val="-4"/>
                <w:sz w:val="16"/>
              </w:rPr>
              <w:t xml:space="preserve"> </w:t>
            </w:r>
            <w:r w:rsidRPr="00EB2BD8">
              <w:rPr>
                <w:spacing w:val="-2"/>
                <w:sz w:val="16"/>
              </w:rPr>
              <w:t>without</w:t>
            </w:r>
          </w:p>
        </w:tc>
        <w:tc>
          <w:tcPr>
            <w:tcW w:w="2869" w:type="dxa"/>
            <w:tcBorders>
              <w:top w:val="single" w:sz="2" w:space="0" w:color="000000"/>
            </w:tcBorders>
          </w:tcPr>
          <w:p w14:paraId="31209CA3" w14:textId="77777777" w:rsidR="00084F36" w:rsidRPr="00EB2BD8" w:rsidRDefault="00EB2BD8">
            <w:pPr>
              <w:pStyle w:val="TableParagraph"/>
              <w:spacing w:before="115"/>
              <w:ind w:left="177"/>
              <w:rPr>
                <w:sz w:val="16"/>
              </w:rPr>
            </w:pPr>
            <w:r w:rsidRPr="00EB2BD8">
              <w:rPr>
                <w:spacing w:val="-2"/>
                <w:sz w:val="16"/>
              </w:rPr>
              <w:t>Guilty</w:t>
            </w:r>
            <w:r w:rsidRPr="00EB2BD8">
              <w:rPr>
                <w:spacing w:val="-10"/>
                <w:sz w:val="16"/>
              </w:rPr>
              <w:t xml:space="preserve"> </w:t>
            </w:r>
            <w:r w:rsidRPr="00EB2BD8">
              <w:rPr>
                <w:spacing w:val="-2"/>
                <w:sz w:val="16"/>
              </w:rPr>
              <w:t>plea,</w:t>
            </w:r>
            <w:r w:rsidRPr="00EB2BD8">
              <w:rPr>
                <w:spacing w:val="-9"/>
                <w:sz w:val="16"/>
              </w:rPr>
              <w:t xml:space="preserve"> </w:t>
            </w:r>
            <w:r w:rsidRPr="00EB2BD8">
              <w:rPr>
                <w:spacing w:val="-2"/>
                <w:sz w:val="16"/>
              </w:rPr>
              <w:t>with</w:t>
            </w:r>
            <w:r w:rsidRPr="00EB2BD8">
              <w:rPr>
                <w:spacing w:val="-9"/>
                <w:sz w:val="16"/>
              </w:rPr>
              <w:t xml:space="preserve"> </w:t>
            </w:r>
            <w:r w:rsidRPr="00EB2BD8">
              <w:rPr>
                <w:spacing w:val="-2"/>
                <w:sz w:val="16"/>
              </w:rPr>
              <w:t>conviction.</w:t>
            </w:r>
          </w:p>
        </w:tc>
        <w:tc>
          <w:tcPr>
            <w:tcW w:w="1352" w:type="dxa"/>
            <w:tcBorders>
              <w:top w:val="single" w:sz="2" w:space="0" w:color="000000"/>
            </w:tcBorders>
          </w:tcPr>
          <w:p w14:paraId="4B25DAC7" w14:textId="77777777" w:rsidR="00084F36" w:rsidRPr="00EB2BD8" w:rsidRDefault="00EB2BD8">
            <w:pPr>
              <w:pStyle w:val="TableParagraph"/>
              <w:spacing w:before="115"/>
              <w:ind w:right="111"/>
              <w:jc w:val="right"/>
              <w:rPr>
                <w:sz w:val="16"/>
              </w:rPr>
            </w:pPr>
            <w:r w:rsidRPr="00EB2BD8">
              <w:rPr>
                <w:spacing w:val="-2"/>
                <w:w w:val="95"/>
                <w:sz w:val="16"/>
              </w:rPr>
              <w:t>$1,500</w:t>
            </w:r>
          </w:p>
        </w:tc>
        <w:tc>
          <w:tcPr>
            <w:tcW w:w="1176" w:type="dxa"/>
            <w:tcBorders>
              <w:top w:val="single" w:sz="2" w:space="0" w:color="000000"/>
            </w:tcBorders>
          </w:tcPr>
          <w:p w14:paraId="0646E72A" w14:textId="77777777" w:rsidR="00084F36" w:rsidRPr="00EB2BD8" w:rsidRDefault="00EB2BD8">
            <w:pPr>
              <w:pStyle w:val="TableParagraph"/>
              <w:spacing w:before="115"/>
              <w:ind w:left="114"/>
              <w:rPr>
                <w:sz w:val="16"/>
              </w:rPr>
            </w:pPr>
            <w:r w:rsidRPr="00EB2BD8">
              <w:rPr>
                <w:spacing w:val="-2"/>
                <w:w w:val="95"/>
                <w:sz w:val="16"/>
              </w:rPr>
              <w:t>22/08/2022</w:t>
            </w:r>
          </w:p>
        </w:tc>
      </w:tr>
      <w:tr w:rsidR="00EB2BD8" w:rsidRPr="00EB2BD8" w14:paraId="16A3695B" w14:textId="77777777">
        <w:trPr>
          <w:trHeight w:val="229"/>
        </w:trPr>
        <w:tc>
          <w:tcPr>
            <w:tcW w:w="1565" w:type="dxa"/>
          </w:tcPr>
          <w:p w14:paraId="62F97775" w14:textId="77777777" w:rsidR="00084F36" w:rsidRPr="00EB2BD8" w:rsidRDefault="00084F36">
            <w:pPr>
              <w:pStyle w:val="TableParagraph"/>
              <w:rPr>
                <w:rFonts w:ascii="Times New Roman"/>
                <w:sz w:val="16"/>
              </w:rPr>
            </w:pPr>
          </w:p>
        </w:tc>
        <w:tc>
          <w:tcPr>
            <w:tcW w:w="3246" w:type="dxa"/>
          </w:tcPr>
          <w:p w14:paraId="1768ADC1" w14:textId="77777777" w:rsidR="00084F36" w:rsidRPr="00EB2BD8" w:rsidRDefault="00EB2BD8">
            <w:pPr>
              <w:pStyle w:val="TableParagraph"/>
              <w:spacing w:before="19"/>
              <w:ind w:left="305"/>
              <w:rPr>
                <w:sz w:val="16"/>
              </w:rPr>
            </w:pPr>
            <w:r w:rsidRPr="00EB2BD8">
              <w:rPr>
                <w:spacing w:val="-2"/>
                <w:sz w:val="16"/>
              </w:rPr>
              <w:t>a</w:t>
            </w:r>
            <w:r w:rsidRPr="00EB2BD8">
              <w:rPr>
                <w:spacing w:val="-4"/>
                <w:sz w:val="16"/>
              </w:rPr>
              <w:t xml:space="preserve"> </w:t>
            </w:r>
            <w:r w:rsidRPr="00EB2BD8">
              <w:rPr>
                <w:spacing w:val="-2"/>
                <w:sz w:val="16"/>
              </w:rPr>
              <w:t>building</w:t>
            </w:r>
            <w:r w:rsidRPr="00EB2BD8">
              <w:rPr>
                <w:spacing w:val="-3"/>
                <w:sz w:val="16"/>
              </w:rPr>
              <w:t xml:space="preserve"> </w:t>
            </w:r>
            <w:r w:rsidRPr="00EB2BD8">
              <w:rPr>
                <w:spacing w:val="-2"/>
                <w:sz w:val="16"/>
              </w:rPr>
              <w:t>permit</w:t>
            </w:r>
            <w:r w:rsidRPr="00EB2BD8">
              <w:rPr>
                <w:spacing w:val="-3"/>
                <w:sz w:val="16"/>
              </w:rPr>
              <w:t xml:space="preserve"> </w:t>
            </w:r>
            <w:r w:rsidRPr="00EB2BD8">
              <w:rPr>
                <w:spacing w:val="-2"/>
                <w:sz w:val="16"/>
              </w:rPr>
              <w:t>relating</w:t>
            </w:r>
            <w:r w:rsidRPr="00EB2BD8">
              <w:rPr>
                <w:spacing w:val="-3"/>
                <w:sz w:val="16"/>
              </w:rPr>
              <w:t xml:space="preserve"> </w:t>
            </w:r>
            <w:r w:rsidRPr="00EB2BD8">
              <w:rPr>
                <w:spacing w:val="-5"/>
                <w:sz w:val="16"/>
              </w:rPr>
              <w:t>to</w:t>
            </w:r>
          </w:p>
        </w:tc>
        <w:tc>
          <w:tcPr>
            <w:tcW w:w="2869" w:type="dxa"/>
          </w:tcPr>
          <w:p w14:paraId="25DE8E52" w14:textId="77777777" w:rsidR="00084F36" w:rsidRPr="00EB2BD8" w:rsidRDefault="00084F36">
            <w:pPr>
              <w:pStyle w:val="TableParagraph"/>
              <w:rPr>
                <w:rFonts w:ascii="Times New Roman"/>
                <w:sz w:val="16"/>
              </w:rPr>
            </w:pPr>
          </w:p>
        </w:tc>
        <w:tc>
          <w:tcPr>
            <w:tcW w:w="1352" w:type="dxa"/>
          </w:tcPr>
          <w:p w14:paraId="6606A505" w14:textId="77777777" w:rsidR="00084F36" w:rsidRPr="00EB2BD8" w:rsidRDefault="00084F36">
            <w:pPr>
              <w:pStyle w:val="TableParagraph"/>
              <w:rPr>
                <w:rFonts w:ascii="Times New Roman"/>
                <w:sz w:val="16"/>
              </w:rPr>
            </w:pPr>
          </w:p>
        </w:tc>
        <w:tc>
          <w:tcPr>
            <w:tcW w:w="1176" w:type="dxa"/>
          </w:tcPr>
          <w:p w14:paraId="27F5AABA" w14:textId="77777777" w:rsidR="00084F36" w:rsidRPr="00EB2BD8" w:rsidRDefault="00084F36">
            <w:pPr>
              <w:pStyle w:val="TableParagraph"/>
              <w:rPr>
                <w:rFonts w:ascii="Times New Roman"/>
                <w:sz w:val="16"/>
              </w:rPr>
            </w:pPr>
          </w:p>
        </w:tc>
      </w:tr>
      <w:tr w:rsidR="00EB2BD8" w:rsidRPr="00EB2BD8" w14:paraId="21138047" w14:textId="77777777">
        <w:trPr>
          <w:trHeight w:val="229"/>
        </w:trPr>
        <w:tc>
          <w:tcPr>
            <w:tcW w:w="1565" w:type="dxa"/>
          </w:tcPr>
          <w:p w14:paraId="160D7BFD" w14:textId="77777777" w:rsidR="00084F36" w:rsidRPr="00EB2BD8" w:rsidRDefault="00084F36">
            <w:pPr>
              <w:pStyle w:val="TableParagraph"/>
              <w:rPr>
                <w:rFonts w:ascii="Times New Roman"/>
                <w:sz w:val="16"/>
              </w:rPr>
            </w:pPr>
          </w:p>
        </w:tc>
        <w:tc>
          <w:tcPr>
            <w:tcW w:w="3246" w:type="dxa"/>
          </w:tcPr>
          <w:p w14:paraId="1E5A47AB" w14:textId="77777777" w:rsidR="00084F36" w:rsidRPr="00EB2BD8" w:rsidRDefault="00EB2BD8">
            <w:pPr>
              <w:pStyle w:val="TableParagraph"/>
              <w:spacing w:before="19"/>
              <w:ind w:left="305"/>
              <w:rPr>
                <w:sz w:val="16"/>
              </w:rPr>
            </w:pPr>
            <w:r w:rsidRPr="00EB2BD8">
              <w:rPr>
                <w:sz w:val="16"/>
              </w:rPr>
              <w:t>the</w:t>
            </w:r>
            <w:r w:rsidRPr="00EB2BD8">
              <w:rPr>
                <w:spacing w:val="-7"/>
                <w:sz w:val="16"/>
              </w:rPr>
              <w:t xml:space="preserve"> </w:t>
            </w:r>
            <w:r w:rsidRPr="00EB2BD8">
              <w:rPr>
                <w:sz w:val="16"/>
              </w:rPr>
              <w:t>construction</w:t>
            </w:r>
            <w:r w:rsidRPr="00EB2BD8">
              <w:rPr>
                <w:spacing w:val="-7"/>
                <w:sz w:val="16"/>
              </w:rPr>
              <w:t xml:space="preserve"> </w:t>
            </w:r>
            <w:r w:rsidRPr="00EB2BD8">
              <w:rPr>
                <w:sz w:val="16"/>
              </w:rPr>
              <w:t>of</w:t>
            </w:r>
            <w:r w:rsidRPr="00EB2BD8">
              <w:rPr>
                <w:spacing w:val="-7"/>
                <w:sz w:val="16"/>
              </w:rPr>
              <w:t xml:space="preserve"> </w:t>
            </w:r>
            <w:r w:rsidRPr="00EB2BD8">
              <w:rPr>
                <w:sz w:val="16"/>
              </w:rPr>
              <w:t>a</w:t>
            </w:r>
            <w:r w:rsidRPr="00EB2BD8">
              <w:rPr>
                <w:spacing w:val="-7"/>
                <w:sz w:val="16"/>
              </w:rPr>
              <w:t xml:space="preserve"> </w:t>
            </w:r>
            <w:r w:rsidRPr="00EB2BD8">
              <w:rPr>
                <w:sz w:val="16"/>
              </w:rPr>
              <w:t>deck</w:t>
            </w:r>
            <w:r w:rsidRPr="00EB2BD8">
              <w:rPr>
                <w:spacing w:val="-7"/>
                <w:sz w:val="16"/>
              </w:rPr>
              <w:t xml:space="preserve"> </w:t>
            </w:r>
            <w:r w:rsidRPr="00EB2BD8">
              <w:rPr>
                <w:sz w:val="16"/>
              </w:rPr>
              <w:t>at</w:t>
            </w:r>
            <w:r w:rsidRPr="00EB2BD8">
              <w:rPr>
                <w:spacing w:val="-7"/>
                <w:sz w:val="16"/>
              </w:rPr>
              <w:t xml:space="preserve"> </w:t>
            </w:r>
            <w:r w:rsidRPr="00EB2BD8">
              <w:rPr>
                <w:spacing w:val="-10"/>
                <w:sz w:val="16"/>
              </w:rPr>
              <w:t>a</w:t>
            </w:r>
          </w:p>
        </w:tc>
        <w:tc>
          <w:tcPr>
            <w:tcW w:w="2869" w:type="dxa"/>
          </w:tcPr>
          <w:p w14:paraId="087C2BCA" w14:textId="77777777" w:rsidR="00084F36" w:rsidRPr="00EB2BD8" w:rsidRDefault="00084F36">
            <w:pPr>
              <w:pStyle w:val="TableParagraph"/>
              <w:rPr>
                <w:rFonts w:ascii="Times New Roman"/>
                <w:sz w:val="16"/>
              </w:rPr>
            </w:pPr>
          </w:p>
        </w:tc>
        <w:tc>
          <w:tcPr>
            <w:tcW w:w="1352" w:type="dxa"/>
          </w:tcPr>
          <w:p w14:paraId="1EA88E7F" w14:textId="77777777" w:rsidR="00084F36" w:rsidRPr="00EB2BD8" w:rsidRDefault="00084F36">
            <w:pPr>
              <w:pStyle w:val="TableParagraph"/>
              <w:rPr>
                <w:rFonts w:ascii="Times New Roman"/>
                <w:sz w:val="16"/>
              </w:rPr>
            </w:pPr>
          </w:p>
        </w:tc>
        <w:tc>
          <w:tcPr>
            <w:tcW w:w="1176" w:type="dxa"/>
          </w:tcPr>
          <w:p w14:paraId="436F54C2" w14:textId="77777777" w:rsidR="00084F36" w:rsidRPr="00EB2BD8" w:rsidRDefault="00084F36">
            <w:pPr>
              <w:pStyle w:val="TableParagraph"/>
              <w:rPr>
                <w:rFonts w:ascii="Times New Roman"/>
                <w:sz w:val="16"/>
              </w:rPr>
            </w:pPr>
          </w:p>
        </w:tc>
      </w:tr>
      <w:tr w:rsidR="00084F36" w:rsidRPr="00EB2BD8" w14:paraId="0053B10F" w14:textId="77777777">
        <w:trPr>
          <w:trHeight w:val="285"/>
        </w:trPr>
        <w:tc>
          <w:tcPr>
            <w:tcW w:w="1565" w:type="dxa"/>
            <w:tcBorders>
              <w:bottom w:val="single" w:sz="2" w:space="0" w:color="000000"/>
            </w:tcBorders>
          </w:tcPr>
          <w:p w14:paraId="042CE98E" w14:textId="77777777" w:rsidR="00084F36" w:rsidRPr="00EB2BD8" w:rsidRDefault="00084F36">
            <w:pPr>
              <w:pStyle w:val="TableParagraph"/>
              <w:rPr>
                <w:rFonts w:ascii="Times New Roman"/>
                <w:sz w:val="16"/>
              </w:rPr>
            </w:pPr>
          </w:p>
        </w:tc>
        <w:tc>
          <w:tcPr>
            <w:tcW w:w="3246" w:type="dxa"/>
            <w:tcBorders>
              <w:bottom w:val="single" w:sz="2" w:space="0" w:color="000000"/>
            </w:tcBorders>
          </w:tcPr>
          <w:p w14:paraId="4A08A42F" w14:textId="77777777" w:rsidR="00084F36" w:rsidRPr="00EB2BD8" w:rsidRDefault="00EB2BD8">
            <w:pPr>
              <w:pStyle w:val="TableParagraph"/>
              <w:spacing w:before="19"/>
              <w:ind w:left="305"/>
              <w:rPr>
                <w:sz w:val="16"/>
              </w:rPr>
            </w:pPr>
            <w:r w:rsidRPr="00EB2BD8">
              <w:rPr>
                <w:sz w:val="16"/>
              </w:rPr>
              <w:t>commercial</w:t>
            </w:r>
            <w:r w:rsidRPr="00EB2BD8">
              <w:rPr>
                <w:spacing w:val="-1"/>
                <w:sz w:val="16"/>
              </w:rPr>
              <w:t xml:space="preserve"> </w:t>
            </w:r>
            <w:r w:rsidRPr="00EB2BD8">
              <w:rPr>
                <w:spacing w:val="-2"/>
                <w:sz w:val="16"/>
              </w:rPr>
              <w:t>property</w:t>
            </w:r>
          </w:p>
        </w:tc>
        <w:tc>
          <w:tcPr>
            <w:tcW w:w="2869" w:type="dxa"/>
            <w:tcBorders>
              <w:bottom w:val="single" w:sz="2" w:space="0" w:color="000000"/>
            </w:tcBorders>
          </w:tcPr>
          <w:p w14:paraId="488F705F" w14:textId="77777777" w:rsidR="00084F36" w:rsidRPr="00EB2BD8" w:rsidRDefault="00084F36">
            <w:pPr>
              <w:pStyle w:val="TableParagraph"/>
              <w:rPr>
                <w:rFonts w:ascii="Times New Roman"/>
                <w:sz w:val="16"/>
              </w:rPr>
            </w:pPr>
          </w:p>
        </w:tc>
        <w:tc>
          <w:tcPr>
            <w:tcW w:w="1352" w:type="dxa"/>
            <w:tcBorders>
              <w:bottom w:val="single" w:sz="2" w:space="0" w:color="000000"/>
            </w:tcBorders>
          </w:tcPr>
          <w:p w14:paraId="41D6C96C"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67FA1710" w14:textId="77777777" w:rsidR="00084F36" w:rsidRPr="00EB2BD8" w:rsidRDefault="00084F36">
            <w:pPr>
              <w:pStyle w:val="TableParagraph"/>
              <w:rPr>
                <w:rFonts w:ascii="Times New Roman"/>
                <w:sz w:val="16"/>
              </w:rPr>
            </w:pPr>
          </w:p>
        </w:tc>
      </w:tr>
    </w:tbl>
    <w:p w14:paraId="25BC43AC" w14:textId="77777777" w:rsidR="00084F36" w:rsidRPr="00EB2BD8" w:rsidRDefault="00084F36">
      <w:pPr>
        <w:rPr>
          <w:rFonts w:ascii="Times New Roman"/>
          <w:sz w:val="16"/>
        </w:rPr>
        <w:sectPr w:rsidR="00084F36" w:rsidRPr="00EB2BD8" w:rsidSect="006D75B2">
          <w:footerReference w:type="default" r:id="rId428"/>
          <w:pgSz w:w="11910" w:h="16840"/>
          <w:pgMar w:top="1080" w:right="0" w:bottom="720" w:left="0" w:header="0" w:footer="528" w:gutter="0"/>
          <w:cols w:space="720"/>
        </w:sectPr>
      </w:pPr>
    </w:p>
    <w:p w14:paraId="427CF24E" w14:textId="77777777" w:rsidR="00084F36" w:rsidRPr="00EB2BD8" w:rsidRDefault="00084F36">
      <w:pPr>
        <w:pStyle w:val="BodyText"/>
        <w:rPr>
          <w:i/>
          <w:sz w:val="20"/>
        </w:rPr>
      </w:pPr>
    </w:p>
    <w:p w14:paraId="4E6873E0" w14:textId="77777777" w:rsidR="00084F36" w:rsidRPr="00EB2BD8" w:rsidRDefault="00084F36">
      <w:pPr>
        <w:pStyle w:val="BodyText"/>
        <w:rPr>
          <w:i/>
          <w:sz w:val="20"/>
        </w:rPr>
      </w:pPr>
    </w:p>
    <w:p w14:paraId="1832348A" w14:textId="77777777" w:rsidR="00084F36" w:rsidRPr="00EB2BD8" w:rsidRDefault="00084F36">
      <w:pPr>
        <w:pStyle w:val="BodyText"/>
        <w:rPr>
          <w:i/>
          <w:sz w:val="20"/>
        </w:rPr>
      </w:pPr>
    </w:p>
    <w:p w14:paraId="591655A4" w14:textId="77777777" w:rsidR="00084F36" w:rsidRPr="00EB2BD8" w:rsidRDefault="00084F36">
      <w:pPr>
        <w:pStyle w:val="BodyText"/>
        <w:rPr>
          <w:i/>
          <w:sz w:val="20"/>
        </w:rPr>
      </w:pPr>
    </w:p>
    <w:p w14:paraId="48E067AB" w14:textId="77777777" w:rsidR="00084F36" w:rsidRPr="00EB2BD8" w:rsidRDefault="00084F36">
      <w:pPr>
        <w:pStyle w:val="BodyText"/>
        <w:spacing w:before="1"/>
        <w:rPr>
          <w:i/>
          <w:sz w:val="16"/>
        </w:rPr>
      </w:pPr>
    </w:p>
    <w:p w14:paraId="63F5E4F5" w14:textId="2C5AEBCA" w:rsidR="00084F36" w:rsidRPr="00EB2BD8" w:rsidRDefault="00EB2BD8" w:rsidP="00697E0C">
      <w:pPr>
        <w:pStyle w:val="Heading3"/>
        <w:rPr>
          <w:sz w:val="9"/>
        </w:rPr>
      </w:pPr>
      <w:bookmarkStart w:id="437" w:name="_Toc150762739"/>
      <w:r w:rsidRPr="00EB2BD8">
        <w:t>Table</w:t>
      </w:r>
      <w:r w:rsidRPr="00EB2BD8">
        <w:rPr>
          <w:spacing w:val="-8"/>
        </w:rPr>
        <w:t xml:space="preserve"> </w:t>
      </w:r>
      <w:r w:rsidRPr="00EB2BD8">
        <w:t>27:</w:t>
      </w:r>
      <w:r w:rsidRPr="00EB2BD8">
        <w:rPr>
          <w:spacing w:val="-7"/>
        </w:rPr>
        <w:t xml:space="preserve"> </w:t>
      </w:r>
      <w:r w:rsidRPr="00EB2BD8">
        <w:t>Plumbing</w:t>
      </w:r>
      <w:r w:rsidRPr="00EB2BD8">
        <w:rPr>
          <w:spacing w:val="-8"/>
        </w:rPr>
        <w:t xml:space="preserve"> </w:t>
      </w:r>
      <w:r w:rsidRPr="00EB2BD8">
        <w:t>Prosecutions</w:t>
      </w:r>
      <w:r w:rsidRPr="00EB2BD8">
        <w:rPr>
          <w:spacing w:val="-7"/>
        </w:rPr>
        <w:t xml:space="preserve"> </w:t>
      </w:r>
      <w:r w:rsidRPr="00EB2BD8">
        <w:t>(Individuals)</w:t>
      </w:r>
      <w:r w:rsidRPr="00EB2BD8">
        <w:rPr>
          <w:position w:val="5"/>
          <w:sz w:val="9"/>
        </w:rPr>
        <w:t>37</w:t>
      </w:r>
      <w:bookmarkEnd w:id="437"/>
    </w:p>
    <w:p w14:paraId="6B5D8309" w14:textId="77777777" w:rsidR="00084F36" w:rsidRPr="00EB2BD8" w:rsidRDefault="00084F36">
      <w:pPr>
        <w:pStyle w:val="BodyText"/>
        <w:spacing w:before="6"/>
        <w:rPr>
          <w:sz w:val="20"/>
        </w:rPr>
      </w:pPr>
    </w:p>
    <w:tbl>
      <w:tblPr>
        <w:tblW w:w="0" w:type="auto"/>
        <w:tblInd w:w="857" w:type="dxa"/>
        <w:tblLayout w:type="fixed"/>
        <w:tblCellMar>
          <w:left w:w="0" w:type="dxa"/>
          <w:right w:w="0" w:type="dxa"/>
        </w:tblCellMar>
        <w:tblLook w:val="01E0" w:firstRow="1" w:lastRow="1" w:firstColumn="1" w:lastColumn="1" w:noHBand="0" w:noVBand="0"/>
      </w:tblPr>
      <w:tblGrid>
        <w:gridCol w:w="1736"/>
        <w:gridCol w:w="3040"/>
        <w:gridCol w:w="3165"/>
        <w:gridCol w:w="1090"/>
        <w:gridCol w:w="1176"/>
      </w:tblGrid>
      <w:tr w:rsidR="00EB2BD8" w:rsidRPr="00EB2BD8" w14:paraId="59B1073B" w14:textId="77777777">
        <w:trPr>
          <w:trHeight w:val="616"/>
        </w:trPr>
        <w:tc>
          <w:tcPr>
            <w:tcW w:w="1736" w:type="dxa"/>
            <w:shd w:val="clear" w:color="auto" w:fill="005F83"/>
          </w:tcPr>
          <w:p w14:paraId="7D78F005" w14:textId="77777777" w:rsidR="00084F36" w:rsidRPr="00697E0C" w:rsidRDefault="00EB2BD8">
            <w:pPr>
              <w:pStyle w:val="TableParagraph"/>
              <w:spacing w:before="118"/>
              <w:ind w:left="113"/>
              <w:rPr>
                <w:color w:val="FFFFFF" w:themeColor="background1"/>
                <w:sz w:val="16"/>
              </w:rPr>
            </w:pPr>
            <w:r w:rsidRPr="00697E0C">
              <w:rPr>
                <w:color w:val="FFFFFF" w:themeColor="background1"/>
                <w:sz w:val="16"/>
              </w:rPr>
              <w:t>Accused</w:t>
            </w:r>
            <w:r w:rsidRPr="00697E0C">
              <w:rPr>
                <w:color w:val="FFFFFF" w:themeColor="background1"/>
                <w:spacing w:val="-1"/>
                <w:sz w:val="16"/>
              </w:rPr>
              <w:t xml:space="preserve"> </w:t>
            </w:r>
            <w:r w:rsidRPr="00697E0C">
              <w:rPr>
                <w:color w:val="FFFFFF" w:themeColor="background1"/>
                <w:spacing w:val="-4"/>
                <w:sz w:val="16"/>
              </w:rPr>
              <w:t>name</w:t>
            </w:r>
          </w:p>
        </w:tc>
        <w:tc>
          <w:tcPr>
            <w:tcW w:w="3040" w:type="dxa"/>
            <w:shd w:val="clear" w:color="auto" w:fill="005F83"/>
          </w:tcPr>
          <w:p w14:paraId="239CE47B" w14:textId="77777777" w:rsidR="00084F36" w:rsidRPr="00697E0C" w:rsidRDefault="00EB2BD8">
            <w:pPr>
              <w:pStyle w:val="TableParagraph"/>
              <w:spacing w:before="118"/>
              <w:ind w:left="134"/>
              <w:rPr>
                <w:color w:val="FFFFFF" w:themeColor="background1"/>
                <w:sz w:val="16"/>
              </w:rPr>
            </w:pPr>
            <w:r w:rsidRPr="00697E0C">
              <w:rPr>
                <w:color w:val="FFFFFF" w:themeColor="background1"/>
                <w:sz w:val="16"/>
              </w:rPr>
              <w:t>Description</w:t>
            </w:r>
            <w:r w:rsidRPr="00697E0C">
              <w:rPr>
                <w:color w:val="FFFFFF" w:themeColor="background1"/>
                <w:spacing w:val="-11"/>
                <w:sz w:val="16"/>
              </w:rPr>
              <w:t xml:space="preserve"> </w:t>
            </w:r>
            <w:r w:rsidRPr="00697E0C">
              <w:rPr>
                <w:color w:val="FFFFFF" w:themeColor="background1"/>
                <w:sz w:val="16"/>
              </w:rPr>
              <w:t>of</w:t>
            </w:r>
            <w:r w:rsidRPr="00697E0C">
              <w:rPr>
                <w:color w:val="FFFFFF" w:themeColor="background1"/>
                <w:spacing w:val="-10"/>
                <w:sz w:val="16"/>
              </w:rPr>
              <w:t xml:space="preserve"> </w:t>
            </w:r>
            <w:r w:rsidRPr="00697E0C">
              <w:rPr>
                <w:color w:val="FFFFFF" w:themeColor="background1"/>
                <w:spacing w:val="-2"/>
                <w:sz w:val="16"/>
              </w:rPr>
              <w:t>matter</w:t>
            </w:r>
          </w:p>
        </w:tc>
        <w:tc>
          <w:tcPr>
            <w:tcW w:w="3165" w:type="dxa"/>
            <w:shd w:val="clear" w:color="auto" w:fill="005F83"/>
          </w:tcPr>
          <w:p w14:paraId="54F6157A" w14:textId="77777777" w:rsidR="00084F36" w:rsidRPr="00697E0C" w:rsidRDefault="00EB2BD8">
            <w:pPr>
              <w:pStyle w:val="TableParagraph"/>
              <w:spacing w:before="118"/>
              <w:ind w:left="212"/>
              <w:rPr>
                <w:color w:val="FFFFFF" w:themeColor="background1"/>
                <w:sz w:val="16"/>
              </w:rPr>
            </w:pPr>
            <w:r w:rsidRPr="00697E0C">
              <w:rPr>
                <w:color w:val="FFFFFF" w:themeColor="background1"/>
                <w:spacing w:val="-2"/>
                <w:sz w:val="16"/>
              </w:rPr>
              <w:t>Result</w:t>
            </w:r>
          </w:p>
        </w:tc>
        <w:tc>
          <w:tcPr>
            <w:tcW w:w="1090" w:type="dxa"/>
            <w:shd w:val="clear" w:color="auto" w:fill="005F83"/>
          </w:tcPr>
          <w:p w14:paraId="7FA2DE81" w14:textId="77777777" w:rsidR="00084F36" w:rsidRPr="00697E0C" w:rsidRDefault="00EB2BD8">
            <w:pPr>
              <w:pStyle w:val="TableParagraph"/>
              <w:spacing w:before="118" w:line="292" w:lineRule="auto"/>
              <w:ind w:left="128" w:right="88"/>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39</w:t>
            </w:r>
          </w:p>
        </w:tc>
        <w:tc>
          <w:tcPr>
            <w:tcW w:w="1176" w:type="dxa"/>
            <w:shd w:val="clear" w:color="auto" w:fill="005F83"/>
          </w:tcPr>
          <w:p w14:paraId="263EFE5D" w14:textId="77777777" w:rsidR="00084F36" w:rsidRPr="00697E0C" w:rsidRDefault="00EB2BD8">
            <w:pPr>
              <w:pStyle w:val="TableParagraph"/>
              <w:spacing w:before="118"/>
              <w:ind w:left="115"/>
              <w:rPr>
                <w:color w:val="FFFFFF" w:themeColor="background1"/>
                <w:sz w:val="16"/>
              </w:rPr>
            </w:pPr>
            <w:r w:rsidRPr="00697E0C">
              <w:rPr>
                <w:color w:val="FFFFFF" w:themeColor="background1"/>
                <w:spacing w:val="-4"/>
                <w:w w:val="105"/>
                <w:sz w:val="16"/>
              </w:rPr>
              <w:t>Date</w:t>
            </w:r>
          </w:p>
        </w:tc>
      </w:tr>
      <w:tr w:rsidR="00EB2BD8" w:rsidRPr="00EB2BD8" w14:paraId="1327CDDA" w14:textId="77777777">
        <w:trPr>
          <w:trHeight w:val="614"/>
        </w:trPr>
        <w:tc>
          <w:tcPr>
            <w:tcW w:w="1736" w:type="dxa"/>
            <w:tcBorders>
              <w:bottom w:val="single" w:sz="2" w:space="0" w:color="000000"/>
            </w:tcBorders>
          </w:tcPr>
          <w:p w14:paraId="776F4D47" w14:textId="77777777" w:rsidR="00084F36" w:rsidRPr="00EB2BD8" w:rsidRDefault="00EB2BD8">
            <w:pPr>
              <w:pStyle w:val="TableParagraph"/>
              <w:spacing w:before="118"/>
              <w:ind w:left="113"/>
              <w:rPr>
                <w:sz w:val="16"/>
              </w:rPr>
            </w:pPr>
            <w:r w:rsidRPr="00EB2BD8">
              <w:rPr>
                <w:sz w:val="16"/>
              </w:rPr>
              <w:t>GAMBLE,</w:t>
            </w:r>
            <w:r w:rsidRPr="00EB2BD8">
              <w:rPr>
                <w:spacing w:val="2"/>
                <w:sz w:val="16"/>
              </w:rPr>
              <w:t xml:space="preserve"> </w:t>
            </w:r>
            <w:r w:rsidRPr="00EB2BD8">
              <w:rPr>
                <w:spacing w:val="-2"/>
                <w:sz w:val="16"/>
              </w:rPr>
              <w:t>Andrew</w:t>
            </w:r>
          </w:p>
        </w:tc>
        <w:tc>
          <w:tcPr>
            <w:tcW w:w="3040" w:type="dxa"/>
            <w:tcBorders>
              <w:bottom w:val="single" w:sz="2" w:space="0" w:color="000000"/>
            </w:tcBorders>
          </w:tcPr>
          <w:p w14:paraId="03F49DC0" w14:textId="77777777" w:rsidR="00084F36" w:rsidRPr="00EB2BD8" w:rsidRDefault="00EB2BD8">
            <w:pPr>
              <w:pStyle w:val="TableParagraph"/>
              <w:spacing w:before="118" w:line="292" w:lineRule="auto"/>
              <w:ind w:left="134" w:right="304"/>
              <w:rPr>
                <w:sz w:val="16"/>
              </w:rPr>
            </w:pPr>
            <w:r w:rsidRPr="00EB2BD8">
              <w:rPr>
                <w:sz w:val="16"/>
              </w:rPr>
              <w:t>Carrying</w:t>
            </w:r>
            <w:r w:rsidRPr="00EB2BD8">
              <w:rPr>
                <w:spacing w:val="-13"/>
                <w:sz w:val="16"/>
              </w:rPr>
              <w:t xml:space="preserve"> </w:t>
            </w:r>
            <w:r w:rsidRPr="00EB2BD8">
              <w:rPr>
                <w:sz w:val="16"/>
              </w:rPr>
              <w:t>out</w:t>
            </w:r>
            <w:r w:rsidRPr="00EB2BD8">
              <w:rPr>
                <w:spacing w:val="-13"/>
                <w:sz w:val="16"/>
              </w:rPr>
              <w:t xml:space="preserve"> </w:t>
            </w:r>
            <w:r w:rsidRPr="00EB2BD8">
              <w:rPr>
                <w:sz w:val="16"/>
              </w:rPr>
              <w:t>roofing</w:t>
            </w:r>
            <w:r w:rsidRPr="00EB2BD8">
              <w:rPr>
                <w:spacing w:val="-12"/>
                <w:sz w:val="16"/>
              </w:rPr>
              <w:t xml:space="preserve"> </w:t>
            </w:r>
            <w:r w:rsidRPr="00EB2BD8">
              <w:rPr>
                <w:sz w:val="16"/>
              </w:rPr>
              <w:t>(stormwater) work without registration.</w:t>
            </w:r>
          </w:p>
        </w:tc>
        <w:tc>
          <w:tcPr>
            <w:tcW w:w="3165" w:type="dxa"/>
            <w:tcBorders>
              <w:bottom w:val="single" w:sz="2" w:space="0" w:color="000000"/>
            </w:tcBorders>
          </w:tcPr>
          <w:p w14:paraId="5A547317" w14:textId="77777777" w:rsidR="00084F36" w:rsidRPr="00EB2BD8" w:rsidRDefault="00EB2BD8">
            <w:pPr>
              <w:pStyle w:val="TableParagraph"/>
              <w:spacing w:before="118" w:line="292" w:lineRule="auto"/>
              <w:ind w:left="212" w:right="29"/>
              <w:rPr>
                <w:sz w:val="16"/>
              </w:rPr>
            </w:pPr>
            <w:r w:rsidRPr="00EB2BD8">
              <w:rPr>
                <w:spacing w:val="-4"/>
                <w:sz w:val="16"/>
              </w:rPr>
              <w:t>Proven</w:t>
            </w:r>
            <w:r w:rsidRPr="00EB2BD8">
              <w:rPr>
                <w:spacing w:val="-6"/>
                <w:sz w:val="16"/>
              </w:rPr>
              <w:t xml:space="preserve"> </w:t>
            </w:r>
            <w:r w:rsidRPr="00EB2BD8">
              <w:rPr>
                <w:spacing w:val="-4"/>
                <w:sz w:val="16"/>
              </w:rPr>
              <w:t>with</w:t>
            </w:r>
            <w:r w:rsidRPr="00EB2BD8">
              <w:rPr>
                <w:spacing w:val="-6"/>
                <w:sz w:val="16"/>
              </w:rPr>
              <w:t xml:space="preserve"> </w:t>
            </w:r>
            <w:r w:rsidRPr="00EB2BD8">
              <w:rPr>
                <w:spacing w:val="-4"/>
                <w:sz w:val="16"/>
              </w:rPr>
              <w:t>conviction.</w:t>
            </w:r>
            <w:r w:rsidRPr="00EB2BD8">
              <w:rPr>
                <w:spacing w:val="-6"/>
                <w:sz w:val="16"/>
              </w:rPr>
              <w:t xml:space="preserve"> </w:t>
            </w:r>
            <w:r w:rsidRPr="00EB2BD8">
              <w:rPr>
                <w:spacing w:val="-4"/>
                <w:sz w:val="16"/>
              </w:rPr>
              <w:t>Charge</w:t>
            </w:r>
            <w:r w:rsidRPr="00EB2BD8">
              <w:rPr>
                <w:spacing w:val="-6"/>
                <w:sz w:val="16"/>
              </w:rPr>
              <w:t xml:space="preserve"> </w:t>
            </w:r>
            <w:r w:rsidRPr="00EB2BD8">
              <w:rPr>
                <w:spacing w:val="-4"/>
                <w:sz w:val="16"/>
              </w:rPr>
              <w:t>1:</w:t>
            </w:r>
            <w:r w:rsidRPr="00EB2BD8">
              <w:rPr>
                <w:spacing w:val="-6"/>
                <w:sz w:val="16"/>
              </w:rPr>
              <w:t xml:space="preserve"> </w:t>
            </w:r>
            <w:r w:rsidRPr="00EB2BD8">
              <w:rPr>
                <w:spacing w:val="-4"/>
                <w:sz w:val="16"/>
              </w:rPr>
              <w:t xml:space="preserve">fine </w:t>
            </w:r>
            <w:r w:rsidRPr="00EB2BD8">
              <w:rPr>
                <w:sz w:val="16"/>
              </w:rPr>
              <w:t>of</w:t>
            </w:r>
            <w:r w:rsidRPr="00EB2BD8">
              <w:rPr>
                <w:spacing w:val="-11"/>
                <w:sz w:val="16"/>
              </w:rPr>
              <w:t xml:space="preserve"> </w:t>
            </w:r>
            <w:r w:rsidRPr="00EB2BD8">
              <w:rPr>
                <w:sz w:val="16"/>
              </w:rPr>
              <w:t>$7,500</w:t>
            </w:r>
            <w:r w:rsidRPr="00EB2BD8">
              <w:rPr>
                <w:spacing w:val="-11"/>
                <w:sz w:val="16"/>
              </w:rPr>
              <w:t xml:space="preserve"> </w:t>
            </w:r>
            <w:r w:rsidRPr="00EB2BD8">
              <w:rPr>
                <w:sz w:val="16"/>
              </w:rPr>
              <w:t>Charge</w:t>
            </w:r>
            <w:r w:rsidRPr="00EB2BD8">
              <w:rPr>
                <w:spacing w:val="-11"/>
                <w:sz w:val="16"/>
              </w:rPr>
              <w:t xml:space="preserve"> </w:t>
            </w:r>
            <w:r w:rsidRPr="00EB2BD8">
              <w:rPr>
                <w:w w:val="95"/>
                <w:sz w:val="16"/>
              </w:rPr>
              <w:t>2:</w:t>
            </w:r>
            <w:r w:rsidRPr="00EB2BD8">
              <w:rPr>
                <w:spacing w:val="-8"/>
                <w:w w:val="95"/>
                <w:sz w:val="16"/>
              </w:rPr>
              <w:t xml:space="preserve"> </w:t>
            </w:r>
            <w:r w:rsidRPr="00EB2BD8">
              <w:rPr>
                <w:sz w:val="16"/>
              </w:rPr>
              <w:t>fine</w:t>
            </w:r>
            <w:r w:rsidRPr="00EB2BD8">
              <w:rPr>
                <w:spacing w:val="-11"/>
                <w:sz w:val="16"/>
              </w:rPr>
              <w:t xml:space="preserve"> </w:t>
            </w:r>
            <w:r w:rsidRPr="00EB2BD8">
              <w:rPr>
                <w:sz w:val="16"/>
              </w:rPr>
              <w:t>of</w:t>
            </w:r>
            <w:r w:rsidRPr="00EB2BD8">
              <w:rPr>
                <w:spacing w:val="-11"/>
                <w:sz w:val="16"/>
              </w:rPr>
              <w:t xml:space="preserve"> </w:t>
            </w:r>
            <w:r w:rsidRPr="00EB2BD8">
              <w:rPr>
                <w:sz w:val="16"/>
              </w:rPr>
              <w:t>$6,500</w:t>
            </w:r>
          </w:p>
        </w:tc>
        <w:tc>
          <w:tcPr>
            <w:tcW w:w="1090" w:type="dxa"/>
            <w:tcBorders>
              <w:bottom w:val="single" w:sz="2" w:space="0" w:color="000000"/>
            </w:tcBorders>
          </w:tcPr>
          <w:p w14:paraId="74D016DD" w14:textId="77777777" w:rsidR="00084F36" w:rsidRPr="00EB2BD8" w:rsidRDefault="00EB2BD8">
            <w:pPr>
              <w:pStyle w:val="TableParagraph"/>
              <w:spacing w:before="118"/>
              <w:ind w:right="110"/>
              <w:jc w:val="right"/>
              <w:rPr>
                <w:sz w:val="16"/>
              </w:rPr>
            </w:pPr>
            <w:r w:rsidRPr="00EB2BD8">
              <w:rPr>
                <w:spacing w:val="-2"/>
                <w:sz w:val="16"/>
              </w:rPr>
              <w:t>$14,000</w:t>
            </w:r>
          </w:p>
        </w:tc>
        <w:tc>
          <w:tcPr>
            <w:tcW w:w="1176" w:type="dxa"/>
            <w:tcBorders>
              <w:bottom w:val="single" w:sz="2" w:space="0" w:color="000000"/>
            </w:tcBorders>
          </w:tcPr>
          <w:p w14:paraId="6E0A107F" w14:textId="77777777" w:rsidR="00084F36" w:rsidRPr="00EB2BD8" w:rsidRDefault="00EB2BD8">
            <w:pPr>
              <w:pStyle w:val="TableParagraph"/>
              <w:spacing w:before="118"/>
              <w:ind w:left="115"/>
              <w:rPr>
                <w:sz w:val="16"/>
              </w:rPr>
            </w:pPr>
            <w:r w:rsidRPr="00EB2BD8">
              <w:rPr>
                <w:spacing w:val="-2"/>
                <w:w w:val="85"/>
                <w:sz w:val="16"/>
              </w:rPr>
              <w:t>24/11/2022</w:t>
            </w:r>
          </w:p>
        </w:tc>
      </w:tr>
      <w:tr w:rsidR="00EB2BD8" w:rsidRPr="00EB2BD8" w14:paraId="4E3BA333" w14:textId="77777777">
        <w:trPr>
          <w:trHeight w:val="841"/>
        </w:trPr>
        <w:tc>
          <w:tcPr>
            <w:tcW w:w="1736" w:type="dxa"/>
            <w:tcBorders>
              <w:top w:val="single" w:sz="2" w:space="0" w:color="000000"/>
              <w:bottom w:val="single" w:sz="2" w:space="0" w:color="000000"/>
            </w:tcBorders>
          </w:tcPr>
          <w:p w14:paraId="7910E574" w14:textId="77777777" w:rsidR="00084F36" w:rsidRPr="00EB2BD8" w:rsidRDefault="00EB2BD8">
            <w:pPr>
              <w:pStyle w:val="TableParagraph"/>
              <w:spacing w:before="116"/>
              <w:ind w:left="113"/>
              <w:rPr>
                <w:sz w:val="16"/>
              </w:rPr>
            </w:pPr>
            <w:r w:rsidRPr="00EB2BD8">
              <w:rPr>
                <w:sz w:val="16"/>
              </w:rPr>
              <w:t>PELEKIDIS,</w:t>
            </w:r>
            <w:r w:rsidRPr="00EB2BD8">
              <w:rPr>
                <w:spacing w:val="-1"/>
                <w:sz w:val="16"/>
              </w:rPr>
              <w:t xml:space="preserve"> </w:t>
            </w:r>
            <w:r w:rsidRPr="00EB2BD8">
              <w:rPr>
                <w:spacing w:val="-2"/>
                <w:sz w:val="16"/>
              </w:rPr>
              <w:t>Christos</w:t>
            </w:r>
          </w:p>
        </w:tc>
        <w:tc>
          <w:tcPr>
            <w:tcW w:w="3040" w:type="dxa"/>
            <w:tcBorders>
              <w:top w:val="single" w:sz="2" w:space="0" w:color="000000"/>
              <w:bottom w:val="single" w:sz="2" w:space="0" w:color="000000"/>
            </w:tcBorders>
          </w:tcPr>
          <w:p w14:paraId="183F9B5D" w14:textId="77777777" w:rsidR="00084F36" w:rsidRPr="00EB2BD8" w:rsidRDefault="00EB2BD8">
            <w:pPr>
              <w:pStyle w:val="TableParagraph"/>
              <w:spacing w:before="116" w:line="292" w:lineRule="auto"/>
              <w:ind w:left="134" w:right="188"/>
              <w:rPr>
                <w:sz w:val="16"/>
              </w:rPr>
            </w:pPr>
            <w:r w:rsidRPr="00EB2BD8">
              <w:rPr>
                <w:sz w:val="16"/>
              </w:rPr>
              <w:t xml:space="preserve">Carried out regulated plumbing </w:t>
            </w:r>
            <w:r w:rsidRPr="00EB2BD8">
              <w:rPr>
                <w:spacing w:val="-2"/>
                <w:sz w:val="16"/>
              </w:rPr>
              <w:t>and</w:t>
            </w:r>
            <w:r w:rsidRPr="00EB2BD8">
              <w:rPr>
                <w:spacing w:val="-12"/>
                <w:sz w:val="16"/>
              </w:rPr>
              <w:t xml:space="preserve"> </w:t>
            </w:r>
            <w:r w:rsidRPr="00EB2BD8">
              <w:rPr>
                <w:spacing w:val="-2"/>
                <w:sz w:val="16"/>
              </w:rPr>
              <w:t>building</w:t>
            </w:r>
            <w:r w:rsidRPr="00EB2BD8">
              <w:rPr>
                <w:spacing w:val="-12"/>
                <w:sz w:val="16"/>
              </w:rPr>
              <w:t xml:space="preserve"> </w:t>
            </w:r>
            <w:r w:rsidRPr="00EB2BD8">
              <w:rPr>
                <w:spacing w:val="-2"/>
                <w:sz w:val="16"/>
              </w:rPr>
              <w:t>work</w:t>
            </w:r>
            <w:r w:rsidRPr="00EB2BD8">
              <w:rPr>
                <w:spacing w:val="-12"/>
                <w:sz w:val="16"/>
              </w:rPr>
              <w:t xml:space="preserve"> </w:t>
            </w:r>
            <w:r w:rsidRPr="00EB2BD8">
              <w:rPr>
                <w:spacing w:val="-2"/>
                <w:sz w:val="16"/>
              </w:rPr>
              <w:t>(roofing)</w:t>
            </w:r>
            <w:r w:rsidRPr="00EB2BD8">
              <w:rPr>
                <w:spacing w:val="-12"/>
                <w:sz w:val="16"/>
              </w:rPr>
              <w:t xml:space="preserve"> </w:t>
            </w:r>
            <w:r w:rsidRPr="00EB2BD8">
              <w:rPr>
                <w:spacing w:val="-2"/>
                <w:sz w:val="16"/>
              </w:rPr>
              <w:t xml:space="preserve">without </w:t>
            </w:r>
            <w:r w:rsidRPr="00EB2BD8">
              <w:rPr>
                <w:sz w:val="16"/>
              </w:rPr>
              <w:t>appropriate</w:t>
            </w:r>
            <w:r w:rsidRPr="00EB2BD8">
              <w:rPr>
                <w:spacing w:val="-7"/>
                <w:sz w:val="16"/>
              </w:rPr>
              <w:t xml:space="preserve"> </w:t>
            </w:r>
            <w:r w:rsidRPr="00EB2BD8">
              <w:rPr>
                <w:sz w:val="16"/>
              </w:rPr>
              <w:t>licence</w:t>
            </w:r>
            <w:r w:rsidRPr="00EB2BD8">
              <w:rPr>
                <w:spacing w:val="-6"/>
                <w:sz w:val="16"/>
              </w:rPr>
              <w:t xml:space="preserve"> </w:t>
            </w:r>
            <w:r w:rsidRPr="00EB2BD8">
              <w:rPr>
                <w:sz w:val="16"/>
              </w:rPr>
              <w:t>or</w:t>
            </w:r>
            <w:r w:rsidRPr="00EB2BD8">
              <w:rPr>
                <w:spacing w:val="-6"/>
                <w:sz w:val="16"/>
              </w:rPr>
              <w:t xml:space="preserve"> </w:t>
            </w:r>
            <w:r w:rsidRPr="00EB2BD8">
              <w:rPr>
                <w:spacing w:val="-2"/>
                <w:sz w:val="16"/>
              </w:rPr>
              <w:t>registration.</w:t>
            </w:r>
          </w:p>
        </w:tc>
        <w:tc>
          <w:tcPr>
            <w:tcW w:w="3165" w:type="dxa"/>
            <w:tcBorders>
              <w:top w:val="single" w:sz="2" w:space="0" w:color="000000"/>
              <w:bottom w:val="single" w:sz="2" w:space="0" w:color="000000"/>
            </w:tcBorders>
          </w:tcPr>
          <w:p w14:paraId="5B37FAF4" w14:textId="77777777" w:rsidR="00084F36" w:rsidRPr="00EB2BD8" w:rsidRDefault="00EB2BD8">
            <w:pPr>
              <w:pStyle w:val="TableParagraph"/>
              <w:spacing w:before="116"/>
              <w:ind w:left="212"/>
              <w:rPr>
                <w:sz w:val="16"/>
              </w:rPr>
            </w:pPr>
            <w:r w:rsidRPr="00EB2BD8">
              <w:rPr>
                <w:spacing w:val="-2"/>
                <w:sz w:val="16"/>
              </w:rPr>
              <w:t>Proven</w:t>
            </w:r>
            <w:r w:rsidRPr="00EB2BD8">
              <w:rPr>
                <w:spacing w:val="-3"/>
                <w:sz w:val="16"/>
              </w:rPr>
              <w:t xml:space="preserve"> </w:t>
            </w:r>
            <w:r w:rsidRPr="00EB2BD8">
              <w:rPr>
                <w:spacing w:val="-2"/>
                <w:sz w:val="16"/>
              </w:rPr>
              <w:t>without</w:t>
            </w:r>
            <w:r w:rsidRPr="00EB2BD8">
              <w:rPr>
                <w:spacing w:val="-3"/>
                <w:sz w:val="16"/>
              </w:rPr>
              <w:t xml:space="preserve"> </w:t>
            </w:r>
            <w:r w:rsidRPr="00EB2BD8">
              <w:rPr>
                <w:spacing w:val="-2"/>
                <w:sz w:val="16"/>
              </w:rPr>
              <w:t>conviction.</w:t>
            </w:r>
            <w:r w:rsidRPr="00EB2BD8">
              <w:rPr>
                <w:spacing w:val="-3"/>
                <w:sz w:val="16"/>
              </w:rPr>
              <w:t xml:space="preserve"> </w:t>
            </w:r>
            <w:r w:rsidRPr="00EB2BD8">
              <w:rPr>
                <w:spacing w:val="-2"/>
                <w:sz w:val="16"/>
              </w:rPr>
              <w:t>Fine</w:t>
            </w:r>
            <w:r w:rsidRPr="00EB2BD8">
              <w:rPr>
                <w:spacing w:val="-3"/>
                <w:sz w:val="16"/>
              </w:rPr>
              <w:t xml:space="preserve"> </w:t>
            </w:r>
            <w:r w:rsidRPr="00EB2BD8">
              <w:rPr>
                <w:spacing w:val="-5"/>
                <w:sz w:val="16"/>
              </w:rPr>
              <w:t>of</w:t>
            </w:r>
          </w:p>
          <w:p w14:paraId="0DA33703" w14:textId="77777777" w:rsidR="00084F36" w:rsidRPr="00EB2BD8" w:rsidRDefault="00EB2BD8">
            <w:pPr>
              <w:pStyle w:val="TableParagraph"/>
              <w:spacing w:before="41"/>
              <w:ind w:left="212"/>
              <w:rPr>
                <w:sz w:val="16"/>
              </w:rPr>
            </w:pPr>
            <w:r w:rsidRPr="00EB2BD8">
              <w:rPr>
                <w:spacing w:val="-2"/>
                <w:sz w:val="16"/>
              </w:rPr>
              <w:t>$1,000</w:t>
            </w:r>
          </w:p>
        </w:tc>
        <w:tc>
          <w:tcPr>
            <w:tcW w:w="1090" w:type="dxa"/>
            <w:tcBorders>
              <w:top w:val="single" w:sz="2" w:space="0" w:color="000000"/>
              <w:bottom w:val="single" w:sz="2" w:space="0" w:color="000000"/>
            </w:tcBorders>
          </w:tcPr>
          <w:p w14:paraId="498235CC" w14:textId="77777777" w:rsidR="00084F36" w:rsidRPr="00EB2BD8" w:rsidRDefault="00EB2BD8">
            <w:pPr>
              <w:pStyle w:val="TableParagraph"/>
              <w:spacing w:before="116"/>
              <w:ind w:right="110"/>
              <w:jc w:val="right"/>
              <w:rPr>
                <w:sz w:val="16"/>
              </w:rPr>
            </w:pPr>
            <w:r w:rsidRPr="00EB2BD8">
              <w:rPr>
                <w:spacing w:val="-2"/>
                <w:sz w:val="16"/>
              </w:rPr>
              <w:t>$1,000</w:t>
            </w:r>
          </w:p>
        </w:tc>
        <w:tc>
          <w:tcPr>
            <w:tcW w:w="1176" w:type="dxa"/>
            <w:tcBorders>
              <w:top w:val="single" w:sz="2" w:space="0" w:color="000000"/>
              <w:bottom w:val="single" w:sz="2" w:space="0" w:color="000000"/>
            </w:tcBorders>
          </w:tcPr>
          <w:p w14:paraId="2356A66F" w14:textId="77777777" w:rsidR="00084F36" w:rsidRPr="00EB2BD8" w:rsidRDefault="00EB2BD8">
            <w:pPr>
              <w:pStyle w:val="TableParagraph"/>
              <w:spacing w:before="116"/>
              <w:ind w:left="115"/>
              <w:rPr>
                <w:sz w:val="16"/>
              </w:rPr>
            </w:pPr>
            <w:r w:rsidRPr="00EB2BD8">
              <w:rPr>
                <w:spacing w:val="-2"/>
                <w:w w:val="95"/>
                <w:sz w:val="16"/>
              </w:rPr>
              <w:t>13/04/2023</w:t>
            </w:r>
          </w:p>
        </w:tc>
      </w:tr>
      <w:tr w:rsidR="00084F36" w:rsidRPr="00EB2BD8" w14:paraId="7DA9E2BA" w14:textId="77777777">
        <w:trPr>
          <w:trHeight w:val="668"/>
        </w:trPr>
        <w:tc>
          <w:tcPr>
            <w:tcW w:w="1736" w:type="dxa"/>
            <w:tcBorders>
              <w:top w:val="single" w:sz="2" w:space="0" w:color="000000"/>
              <w:bottom w:val="single" w:sz="2" w:space="0" w:color="000000"/>
            </w:tcBorders>
          </w:tcPr>
          <w:p w14:paraId="60F0C22D" w14:textId="77777777" w:rsidR="00084F36" w:rsidRPr="00EB2BD8" w:rsidRDefault="00EB2BD8">
            <w:pPr>
              <w:pStyle w:val="TableParagraph"/>
              <w:spacing w:before="116"/>
              <w:ind w:left="113"/>
              <w:rPr>
                <w:sz w:val="16"/>
              </w:rPr>
            </w:pPr>
            <w:r w:rsidRPr="00EB2BD8">
              <w:rPr>
                <w:sz w:val="16"/>
              </w:rPr>
              <w:t>PIGDON,</w:t>
            </w:r>
            <w:r w:rsidRPr="00EB2BD8">
              <w:rPr>
                <w:spacing w:val="-12"/>
                <w:sz w:val="16"/>
              </w:rPr>
              <w:t xml:space="preserve"> </w:t>
            </w:r>
            <w:r w:rsidRPr="00EB2BD8">
              <w:rPr>
                <w:spacing w:val="-4"/>
                <w:sz w:val="16"/>
              </w:rPr>
              <w:t>Kris</w:t>
            </w:r>
          </w:p>
        </w:tc>
        <w:tc>
          <w:tcPr>
            <w:tcW w:w="3040" w:type="dxa"/>
            <w:tcBorders>
              <w:top w:val="single" w:sz="2" w:space="0" w:color="000000"/>
              <w:bottom w:val="single" w:sz="2" w:space="0" w:color="000000"/>
            </w:tcBorders>
          </w:tcPr>
          <w:p w14:paraId="0F5632B5" w14:textId="77777777" w:rsidR="00084F36" w:rsidRPr="00EB2BD8" w:rsidRDefault="00EB2BD8">
            <w:pPr>
              <w:pStyle w:val="TableParagraph"/>
              <w:spacing w:before="116" w:line="292" w:lineRule="auto"/>
              <w:ind w:left="134"/>
              <w:rPr>
                <w:sz w:val="16"/>
              </w:rPr>
            </w:pPr>
            <w:r w:rsidRPr="00EB2BD8">
              <w:rPr>
                <w:sz w:val="16"/>
              </w:rPr>
              <w:t xml:space="preserve">Engaged a plumber to undertake </w:t>
            </w:r>
            <w:r w:rsidRPr="00EB2BD8">
              <w:rPr>
                <w:spacing w:val="-2"/>
                <w:sz w:val="16"/>
              </w:rPr>
              <w:t>plumbing</w:t>
            </w:r>
            <w:r w:rsidRPr="00EB2BD8">
              <w:rPr>
                <w:spacing w:val="-12"/>
                <w:sz w:val="16"/>
              </w:rPr>
              <w:t xml:space="preserve"> </w:t>
            </w:r>
            <w:r w:rsidRPr="00EB2BD8">
              <w:rPr>
                <w:spacing w:val="-2"/>
                <w:sz w:val="16"/>
              </w:rPr>
              <w:t>work</w:t>
            </w:r>
            <w:r w:rsidRPr="00EB2BD8">
              <w:rPr>
                <w:spacing w:val="-12"/>
                <w:sz w:val="16"/>
              </w:rPr>
              <w:t xml:space="preserve"> </w:t>
            </w:r>
            <w:r w:rsidRPr="00EB2BD8">
              <w:rPr>
                <w:spacing w:val="-2"/>
                <w:sz w:val="16"/>
              </w:rPr>
              <w:t>while</w:t>
            </w:r>
            <w:r w:rsidRPr="00EB2BD8">
              <w:rPr>
                <w:spacing w:val="-12"/>
                <w:sz w:val="16"/>
              </w:rPr>
              <w:t xml:space="preserve"> </w:t>
            </w:r>
            <w:r w:rsidRPr="00EB2BD8">
              <w:rPr>
                <w:spacing w:val="-4"/>
                <w:sz w:val="16"/>
              </w:rPr>
              <w:t>unregistered.</w:t>
            </w:r>
          </w:p>
        </w:tc>
        <w:tc>
          <w:tcPr>
            <w:tcW w:w="3165" w:type="dxa"/>
            <w:tcBorders>
              <w:top w:val="single" w:sz="2" w:space="0" w:color="000000"/>
              <w:bottom w:val="single" w:sz="2" w:space="0" w:color="000000"/>
            </w:tcBorders>
          </w:tcPr>
          <w:p w14:paraId="78E414FB" w14:textId="77777777" w:rsidR="00084F36" w:rsidRPr="00EB2BD8" w:rsidRDefault="00EB2BD8">
            <w:pPr>
              <w:pStyle w:val="TableParagraph"/>
              <w:spacing w:before="116"/>
              <w:ind w:left="212"/>
              <w:rPr>
                <w:sz w:val="16"/>
              </w:rPr>
            </w:pPr>
            <w:r w:rsidRPr="00EB2BD8">
              <w:rPr>
                <w:spacing w:val="-2"/>
                <w:sz w:val="16"/>
              </w:rPr>
              <w:t>Proven</w:t>
            </w:r>
            <w:r w:rsidRPr="00EB2BD8">
              <w:rPr>
                <w:spacing w:val="-3"/>
                <w:sz w:val="16"/>
              </w:rPr>
              <w:t xml:space="preserve"> </w:t>
            </w:r>
            <w:r w:rsidRPr="00EB2BD8">
              <w:rPr>
                <w:spacing w:val="-2"/>
                <w:sz w:val="16"/>
              </w:rPr>
              <w:t>without</w:t>
            </w:r>
            <w:r w:rsidRPr="00EB2BD8">
              <w:rPr>
                <w:spacing w:val="-3"/>
                <w:sz w:val="16"/>
              </w:rPr>
              <w:t xml:space="preserve"> </w:t>
            </w:r>
            <w:r w:rsidRPr="00EB2BD8">
              <w:rPr>
                <w:spacing w:val="-2"/>
                <w:sz w:val="16"/>
              </w:rPr>
              <w:t>conviction.</w:t>
            </w:r>
            <w:r w:rsidRPr="00EB2BD8">
              <w:rPr>
                <w:spacing w:val="-3"/>
                <w:sz w:val="16"/>
              </w:rPr>
              <w:t xml:space="preserve"> </w:t>
            </w:r>
            <w:r w:rsidRPr="00EB2BD8">
              <w:rPr>
                <w:spacing w:val="-2"/>
                <w:sz w:val="16"/>
              </w:rPr>
              <w:t>Fine</w:t>
            </w:r>
            <w:r w:rsidRPr="00EB2BD8">
              <w:rPr>
                <w:spacing w:val="-3"/>
                <w:sz w:val="16"/>
              </w:rPr>
              <w:t xml:space="preserve"> </w:t>
            </w:r>
            <w:r w:rsidRPr="00EB2BD8">
              <w:rPr>
                <w:spacing w:val="-5"/>
                <w:sz w:val="16"/>
              </w:rPr>
              <w:t>of</w:t>
            </w:r>
          </w:p>
          <w:p w14:paraId="6105C91C" w14:textId="77777777" w:rsidR="00084F36" w:rsidRPr="00EB2BD8" w:rsidRDefault="00EB2BD8">
            <w:pPr>
              <w:pStyle w:val="TableParagraph"/>
              <w:spacing w:before="41"/>
              <w:ind w:left="212"/>
              <w:rPr>
                <w:sz w:val="16"/>
              </w:rPr>
            </w:pPr>
            <w:r w:rsidRPr="00EB2BD8">
              <w:rPr>
                <w:spacing w:val="-2"/>
                <w:sz w:val="16"/>
              </w:rPr>
              <w:t>$2,500</w:t>
            </w:r>
          </w:p>
        </w:tc>
        <w:tc>
          <w:tcPr>
            <w:tcW w:w="1090" w:type="dxa"/>
            <w:tcBorders>
              <w:top w:val="single" w:sz="2" w:space="0" w:color="000000"/>
              <w:bottom w:val="single" w:sz="2" w:space="0" w:color="000000"/>
            </w:tcBorders>
          </w:tcPr>
          <w:p w14:paraId="36010E9D" w14:textId="77777777" w:rsidR="00084F36" w:rsidRPr="00EB2BD8" w:rsidRDefault="00EB2BD8">
            <w:pPr>
              <w:pStyle w:val="TableParagraph"/>
              <w:spacing w:before="116"/>
              <w:ind w:right="110"/>
              <w:jc w:val="right"/>
              <w:rPr>
                <w:sz w:val="16"/>
              </w:rPr>
            </w:pPr>
            <w:r w:rsidRPr="00EB2BD8">
              <w:rPr>
                <w:spacing w:val="-2"/>
                <w:sz w:val="16"/>
              </w:rPr>
              <w:t>$2,500</w:t>
            </w:r>
          </w:p>
        </w:tc>
        <w:tc>
          <w:tcPr>
            <w:tcW w:w="1176" w:type="dxa"/>
            <w:tcBorders>
              <w:top w:val="single" w:sz="2" w:space="0" w:color="000000"/>
              <w:bottom w:val="single" w:sz="2" w:space="0" w:color="000000"/>
            </w:tcBorders>
          </w:tcPr>
          <w:p w14:paraId="619A75E6" w14:textId="77777777" w:rsidR="00084F36" w:rsidRPr="00EB2BD8" w:rsidRDefault="00EB2BD8">
            <w:pPr>
              <w:pStyle w:val="TableParagraph"/>
              <w:spacing w:before="116"/>
              <w:ind w:left="114"/>
              <w:rPr>
                <w:sz w:val="16"/>
              </w:rPr>
            </w:pPr>
            <w:r w:rsidRPr="00EB2BD8">
              <w:rPr>
                <w:spacing w:val="-2"/>
                <w:w w:val="90"/>
                <w:sz w:val="16"/>
              </w:rPr>
              <w:t>06/11/2022</w:t>
            </w:r>
          </w:p>
        </w:tc>
      </w:tr>
    </w:tbl>
    <w:p w14:paraId="796BE22B" w14:textId="77777777" w:rsidR="00084F36" w:rsidRPr="00EB2BD8" w:rsidRDefault="00084F36">
      <w:pPr>
        <w:pStyle w:val="BodyText"/>
        <w:rPr>
          <w:sz w:val="22"/>
        </w:rPr>
      </w:pPr>
    </w:p>
    <w:p w14:paraId="3AD07B57" w14:textId="77777777" w:rsidR="00084F36" w:rsidRPr="00EB2BD8" w:rsidRDefault="00EB2BD8" w:rsidP="00697E0C">
      <w:pPr>
        <w:pStyle w:val="Heading3"/>
        <w:rPr>
          <w:sz w:val="9"/>
        </w:rPr>
      </w:pPr>
      <w:bookmarkStart w:id="438" w:name="_Toc150762740"/>
      <w:r w:rsidRPr="00EB2BD8">
        <w:t>Table</w:t>
      </w:r>
      <w:r w:rsidRPr="00EB2BD8">
        <w:rPr>
          <w:spacing w:val="-8"/>
        </w:rPr>
        <w:t xml:space="preserve"> </w:t>
      </w:r>
      <w:r w:rsidRPr="00EB2BD8">
        <w:t>27:</w:t>
      </w:r>
      <w:r w:rsidRPr="00EB2BD8">
        <w:rPr>
          <w:spacing w:val="-7"/>
        </w:rPr>
        <w:t xml:space="preserve"> </w:t>
      </w:r>
      <w:r w:rsidRPr="00EB2BD8">
        <w:t>Plumbing</w:t>
      </w:r>
      <w:r w:rsidRPr="00EB2BD8">
        <w:rPr>
          <w:spacing w:val="-8"/>
        </w:rPr>
        <w:t xml:space="preserve"> </w:t>
      </w:r>
      <w:r w:rsidRPr="00EB2BD8">
        <w:t>Prosecutions</w:t>
      </w:r>
      <w:r w:rsidRPr="00EB2BD8">
        <w:rPr>
          <w:spacing w:val="-7"/>
        </w:rPr>
        <w:t xml:space="preserve"> </w:t>
      </w:r>
      <w:r w:rsidRPr="00EB2BD8">
        <w:t>(Company)</w:t>
      </w:r>
      <w:r w:rsidRPr="00EB2BD8">
        <w:rPr>
          <w:position w:val="5"/>
          <w:sz w:val="9"/>
        </w:rPr>
        <w:t>36</w:t>
      </w:r>
      <w:bookmarkEnd w:id="438"/>
    </w:p>
    <w:p w14:paraId="6B188BD9" w14:textId="77777777" w:rsidR="00084F36" w:rsidRPr="00EB2BD8" w:rsidRDefault="00EB2BD8">
      <w:pPr>
        <w:pStyle w:val="BodyText"/>
        <w:spacing w:before="5"/>
      </w:pPr>
      <w:r w:rsidRPr="00EB2BD8">
        <w:rPr>
          <w:noProof/>
        </w:rPr>
        <mc:AlternateContent>
          <mc:Choice Requires="wpg">
            <w:drawing>
              <wp:anchor distT="0" distB="0" distL="0" distR="0" simplePos="0" relativeHeight="252129280" behindDoc="1" locked="0" layoutInCell="1" allowOverlap="1" wp14:anchorId="3B5B9685" wp14:editId="7FE84582">
                <wp:simplePos x="0" y="0"/>
                <wp:positionH relativeFrom="page">
                  <wp:posOffset>540004</wp:posOffset>
                </wp:positionH>
                <wp:positionV relativeFrom="paragraph">
                  <wp:posOffset>153093</wp:posOffset>
                </wp:positionV>
                <wp:extent cx="6482715" cy="391795"/>
                <wp:effectExtent l="0" t="0" r="0" b="0"/>
                <wp:wrapTopAndBottom/>
                <wp:docPr id="1312" name="Group 1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715" cy="391795"/>
                          <a:chOff x="0" y="0"/>
                          <a:chExt cx="6482715" cy="391795"/>
                        </a:xfrm>
                      </wpg:grpSpPr>
                      <wps:wsp>
                        <wps:cNvPr id="1313" name="Graphic 1313"/>
                        <wps:cNvSpPr/>
                        <wps:spPr>
                          <a:xfrm>
                            <a:off x="0" y="0"/>
                            <a:ext cx="6482715" cy="391795"/>
                          </a:xfrm>
                          <a:custGeom>
                            <a:avLst/>
                            <a:gdLst/>
                            <a:ahLst/>
                            <a:cxnLst/>
                            <a:rect l="l" t="t" r="r" b="b"/>
                            <a:pathLst>
                              <a:path w="6482715" h="391795">
                                <a:moveTo>
                                  <a:pt x="5051984" y="0"/>
                                </a:moveTo>
                                <a:lnTo>
                                  <a:pt x="3096006" y="0"/>
                                </a:lnTo>
                                <a:lnTo>
                                  <a:pt x="1115999" y="0"/>
                                </a:lnTo>
                                <a:lnTo>
                                  <a:pt x="0" y="0"/>
                                </a:lnTo>
                                <a:lnTo>
                                  <a:pt x="0" y="391655"/>
                                </a:lnTo>
                                <a:lnTo>
                                  <a:pt x="1115999" y="391655"/>
                                </a:lnTo>
                                <a:lnTo>
                                  <a:pt x="3095993" y="391655"/>
                                </a:lnTo>
                                <a:lnTo>
                                  <a:pt x="5051984" y="391655"/>
                                </a:lnTo>
                                <a:lnTo>
                                  <a:pt x="5051984" y="0"/>
                                </a:lnTo>
                                <a:close/>
                              </a:path>
                              <a:path w="6482715" h="391795">
                                <a:moveTo>
                                  <a:pt x="6482397" y="0"/>
                                </a:moveTo>
                                <a:lnTo>
                                  <a:pt x="5735993" y="0"/>
                                </a:lnTo>
                                <a:lnTo>
                                  <a:pt x="5051996" y="0"/>
                                </a:lnTo>
                                <a:lnTo>
                                  <a:pt x="5051996" y="391655"/>
                                </a:lnTo>
                                <a:lnTo>
                                  <a:pt x="5735993" y="391655"/>
                                </a:lnTo>
                                <a:lnTo>
                                  <a:pt x="6482397" y="391655"/>
                                </a:lnTo>
                                <a:lnTo>
                                  <a:pt x="6482397" y="0"/>
                                </a:lnTo>
                                <a:close/>
                              </a:path>
                            </a:pathLst>
                          </a:custGeom>
                          <a:solidFill>
                            <a:srgbClr val="005F83"/>
                          </a:solidFill>
                        </wps:spPr>
                        <wps:bodyPr wrap="square" lIns="0" tIns="0" rIns="0" bIns="0" rtlCol="0">
                          <a:prstTxWarp prst="textNoShape">
                            <a:avLst/>
                          </a:prstTxWarp>
                          <a:noAutofit/>
                        </wps:bodyPr>
                      </wps:wsp>
                      <wps:wsp>
                        <wps:cNvPr id="1314" name="Textbox 1314"/>
                        <wps:cNvSpPr txBox="1"/>
                        <wps:spPr>
                          <a:xfrm>
                            <a:off x="71996" y="78395"/>
                            <a:ext cx="741045" cy="116839"/>
                          </a:xfrm>
                          <a:prstGeom prst="rect">
                            <a:avLst/>
                          </a:prstGeom>
                        </wps:spPr>
                        <wps:txbx>
                          <w:txbxContent>
                            <w:p w14:paraId="6E7F94D1" w14:textId="77777777" w:rsidR="00084F36" w:rsidRDefault="00EB2BD8">
                              <w:pPr>
                                <w:spacing w:line="183" w:lineRule="exact"/>
                                <w:rPr>
                                  <w:sz w:val="16"/>
                                </w:rPr>
                              </w:pPr>
                              <w:r>
                                <w:rPr>
                                  <w:color w:val="FFFFFF"/>
                                  <w:sz w:val="16"/>
                                </w:rPr>
                                <w:t>Accused</w:t>
                              </w:r>
                              <w:r>
                                <w:rPr>
                                  <w:color w:val="FFFFFF"/>
                                  <w:spacing w:val="-1"/>
                                  <w:sz w:val="16"/>
                                </w:rPr>
                                <w:t xml:space="preserve"> </w:t>
                              </w:r>
                              <w:r>
                                <w:rPr>
                                  <w:color w:val="FFFFFF"/>
                                  <w:spacing w:val="-4"/>
                                  <w:sz w:val="16"/>
                                </w:rPr>
                                <w:t>name</w:t>
                              </w:r>
                            </w:p>
                          </w:txbxContent>
                        </wps:txbx>
                        <wps:bodyPr wrap="square" lIns="0" tIns="0" rIns="0" bIns="0" rtlCol="0">
                          <a:noAutofit/>
                        </wps:bodyPr>
                      </wps:wsp>
                      <wps:wsp>
                        <wps:cNvPr id="1315" name="Textbox 1315"/>
                        <wps:cNvSpPr txBox="1"/>
                        <wps:spPr>
                          <a:xfrm>
                            <a:off x="1187970" y="78395"/>
                            <a:ext cx="1078865" cy="116839"/>
                          </a:xfrm>
                          <a:prstGeom prst="rect">
                            <a:avLst/>
                          </a:prstGeom>
                        </wps:spPr>
                        <wps:txbx>
                          <w:txbxContent>
                            <w:p w14:paraId="6B0EF598" w14:textId="77777777" w:rsidR="00084F36" w:rsidRDefault="00EB2BD8">
                              <w:pPr>
                                <w:spacing w:line="183" w:lineRule="exact"/>
                                <w:rPr>
                                  <w:sz w:val="16"/>
                                </w:rPr>
                              </w:pPr>
                              <w:r>
                                <w:rPr>
                                  <w:color w:val="FFFFFF"/>
                                  <w:sz w:val="16"/>
                                </w:rPr>
                                <w:t>Description</w:t>
                              </w:r>
                              <w:r>
                                <w:rPr>
                                  <w:color w:val="FFFFFF"/>
                                  <w:spacing w:val="-11"/>
                                  <w:sz w:val="16"/>
                                </w:rPr>
                                <w:t xml:space="preserve"> </w:t>
                              </w:r>
                              <w:r>
                                <w:rPr>
                                  <w:color w:val="FFFFFF"/>
                                  <w:sz w:val="16"/>
                                </w:rPr>
                                <w:t>of</w:t>
                              </w:r>
                              <w:r>
                                <w:rPr>
                                  <w:color w:val="FFFFFF"/>
                                  <w:spacing w:val="-10"/>
                                  <w:sz w:val="16"/>
                                </w:rPr>
                                <w:t xml:space="preserve"> </w:t>
                              </w:r>
                              <w:r>
                                <w:rPr>
                                  <w:color w:val="FFFFFF"/>
                                  <w:spacing w:val="-2"/>
                                  <w:sz w:val="16"/>
                                </w:rPr>
                                <w:t>matter</w:t>
                              </w:r>
                            </w:p>
                          </w:txbxContent>
                        </wps:txbx>
                        <wps:bodyPr wrap="square" lIns="0" tIns="0" rIns="0" bIns="0" rtlCol="0">
                          <a:noAutofit/>
                        </wps:bodyPr>
                      </wps:wsp>
                      <wps:wsp>
                        <wps:cNvPr id="1316" name="Textbox 1316"/>
                        <wps:cNvSpPr txBox="1"/>
                        <wps:spPr>
                          <a:xfrm>
                            <a:off x="3167951" y="78395"/>
                            <a:ext cx="320675" cy="116839"/>
                          </a:xfrm>
                          <a:prstGeom prst="rect">
                            <a:avLst/>
                          </a:prstGeom>
                        </wps:spPr>
                        <wps:txbx>
                          <w:txbxContent>
                            <w:p w14:paraId="2A0C5727" w14:textId="77777777" w:rsidR="00084F36" w:rsidRDefault="00EB2BD8">
                              <w:pPr>
                                <w:spacing w:line="183" w:lineRule="exact"/>
                                <w:rPr>
                                  <w:sz w:val="16"/>
                                </w:rPr>
                              </w:pPr>
                              <w:r>
                                <w:rPr>
                                  <w:color w:val="FFFFFF"/>
                                  <w:spacing w:val="-2"/>
                                  <w:sz w:val="16"/>
                                </w:rPr>
                                <w:t>Result</w:t>
                              </w:r>
                            </w:p>
                          </w:txbxContent>
                        </wps:txbx>
                        <wps:bodyPr wrap="square" lIns="0" tIns="0" rIns="0" bIns="0" rtlCol="0">
                          <a:noAutofit/>
                        </wps:bodyPr>
                      </wps:wsp>
                      <wps:wsp>
                        <wps:cNvPr id="1317" name="Textbox 1317"/>
                        <wps:cNvSpPr txBox="1"/>
                        <wps:spPr>
                          <a:xfrm>
                            <a:off x="5123954" y="78395"/>
                            <a:ext cx="393700" cy="262255"/>
                          </a:xfrm>
                          <a:prstGeom prst="rect">
                            <a:avLst/>
                          </a:prstGeom>
                        </wps:spPr>
                        <wps:txbx>
                          <w:txbxContent>
                            <w:p w14:paraId="40883364" w14:textId="77777777" w:rsidR="00084F36" w:rsidRDefault="00EB2BD8">
                              <w:pPr>
                                <w:spacing w:line="184" w:lineRule="exact"/>
                                <w:rPr>
                                  <w:sz w:val="16"/>
                                </w:rPr>
                              </w:pPr>
                              <w:r>
                                <w:rPr>
                                  <w:color w:val="FFFFFF"/>
                                  <w:spacing w:val="-2"/>
                                  <w:w w:val="110"/>
                                  <w:sz w:val="16"/>
                                </w:rPr>
                                <w:t>Penalty</w:t>
                              </w:r>
                            </w:p>
                            <w:p w14:paraId="4428500E" w14:textId="77777777" w:rsidR="00084F36" w:rsidRDefault="00EB2BD8">
                              <w:pPr>
                                <w:spacing w:before="41" w:line="188" w:lineRule="exact"/>
                                <w:rPr>
                                  <w:sz w:val="9"/>
                                </w:rPr>
                              </w:pPr>
                              <w:r>
                                <w:rPr>
                                  <w:color w:val="FFFFFF"/>
                                  <w:spacing w:val="-2"/>
                                  <w:sz w:val="16"/>
                                </w:rPr>
                                <w:t>($)</w:t>
                              </w:r>
                              <w:r>
                                <w:rPr>
                                  <w:color w:val="FFFFFF"/>
                                  <w:spacing w:val="-2"/>
                                  <w:position w:val="5"/>
                                  <w:sz w:val="9"/>
                                </w:rPr>
                                <w:t>39</w:t>
                              </w:r>
                            </w:p>
                          </w:txbxContent>
                        </wps:txbx>
                        <wps:bodyPr wrap="square" lIns="0" tIns="0" rIns="0" bIns="0" rtlCol="0">
                          <a:noAutofit/>
                        </wps:bodyPr>
                      </wps:wsp>
                      <wps:wsp>
                        <wps:cNvPr id="1318" name="Textbox 1318"/>
                        <wps:cNvSpPr txBox="1"/>
                        <wps:spPr>
                          <a:xfrm>
                            <a:off x="5807995" y="78395"/>
                            <a:ext cx="252095" cy="116839"/>
                          </a:xfrm>
                          <a:prstGeom prst="rect">
                            <a:avLst/>
                          </a:prstGeom>
                        </wps:spPr>
                        <wps:txbx>
                          <w:txbxContent>
                            <w:p w14:paraId="1E410FC6" w14:textId="77777777" w:rsidR="00084F36" w:rsidRDefault="00EB2BD8">
                              <w:pPr>
                                <w:spacing w:line="183" w:lineRule="exact"/>
                                <w:rPr>
                                  <w:sz w:val="16"/>
                                </w:rPr>
                              </w:pPr>
                              <w:r>
                                <w:rPr>
                                  <w:color w:val="FFFFFF"/>
                                  <w:spacing w:val="-4"/>
                                  <w:w w:val="105"/>
                                  <w:sz w:val="16"/>
                                </w:rPr>
                                <w:t>Date</w:t>
                              </w:r>
                            </w:p>
                          </w:txbxContent>
                        </wps:txbx>
                        <wps:bodyPr wrap="square" lIns="0" tIns="0" rIns="0" bIns="0" rtlCol="0">
                          <a:noAutofit/>
                        </wps:bodyPr>
                      </wps:wsp>
                    </wpg:wgp>
                  </a:graphicData>
                </a:graphic>
              </wp:anchor>
            </w:drawing>
          </mc:Choice>
          <mc:Fallback>
            <w:pict>
              <v:group w14:anchorId="3B5B9685" id="Group 1312" o:spid="_x0000_s1073" alt="&quot;&quot;" style="position:absolute;margin-left:42.5pt;margin-top:12.05pt;width:510.45pt;height:30.85pt;z-index:-251187200;mso-wrap-distance-left:0;mso-wrap-distance-right:0;mso-position-horizontal-relative:page;mso-position-vertical-relative:text" coordsize="64827,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">
                <v:shape id="Graphic 1313" o:spid="_x0000_s1074" style="position:absolute;width:64827;height:3917;visibility:visible;mso-wrap-style:square;v-text-anchor:top" coordsize="648271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" path="m5051984,l3096006,,1115999,,,,,391655r1115999,l3095993,391655r1955991,l5051984,xem6482397,l5735993,,5051996,r,391655l5735993,391655r746404,l6482397,xe" fillcolor="#005f83" stroked="f">
                  <v:path arrowok="t"/>
                </v:shape>
                <v:shape id="Textbox 1314" o:spid="_x0000_s1075" type="#_x0000_t202" style="position:absolute;left:719;top:783;width:7411;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AaxAAAAN0AAAAPAAAAZHJzL2Rvd25yZXYueG1sRE9Na8JA&#10;EL0X/A/LCL3VjW2R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IJfkBrEAAAA3QAAAA8A&#10;AAAAAAAAAAAAAAAABwIAAGRycy9kb3ducmV2LnhtbFBLBQYAAAAAAwADALcAAAD4AgAAAAA=&#10;" filled="f" stroked="f">
                  <v:textbox inset="0,0,0,0">
                    <w:txbxContent>
                      <w:p w14:paraId="6E7F94D1" w14:textId="77777777" w:rsidR="00084F36" w:rsidRDefault="00EB2BD8">
                        <w:pPr>
                          <w:spacing w:line="183" w:lineRule="exact"/>
                          <w:rPr>
                            <w:sz w:val="16"/>
                          </w:rPr>
                        </w:pPr>
                        <w:r>
                          <w:rPr>
                            <w:color w:val="FFFFFF"/>
                            <w:sz w:val="16"/>
                          </w:rPr>
                          <w:t>Accused</w:t>
                        </w:r>
                        <w:r>
                          <w:rPr>
                            <w:color w:val="FFFFFF"/>
                            <w:spacing w:val="-1"/>
                            <w:sz w:val="16"/>
                          </w:rPr>
                          <w:t xml:space="preserve"> </w:t>
                        </w:r>
                        <w:r>
                          <w:rPr>
                            <w:color w:val="FFFFFF"/>
                            <w:spacing w:val="-4"/>
                            <w:sz w:val="16"/>
                          </w:rPr>
                          <w:t>name</w:t>
                        </w:r>
                      </w:p>
                    </w:txbxContent>
                  </v:textbox>
                </v:shape>
                <v:shape id="Textbox 1315" o:spid="_x0000_s1076" type="#_x0000_t202" style="position:absolute;left:11879;top:783;width:10789;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WBxAAAAN0AAAAPAAAAZHJzL2Rvd25yZXYueG1sRE9Na8JA&#10;EL0X/A/LCL3VjS2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O0TNYHEAAAA3QAAAA8A&#10;AAAAAAAAAAAAAAAABwIAAGRycy9kb3ducmV2LnhtbFBLBQYAAAAAAwADALcAAAD4AgAAAAA=&#10;" filled="f" stroked="f">
                  <v:textbox inset="0,0,0,0">
                    <w:txbxContent>
                      <w:p w14:paraId="6B0EF598" w14:textId="77777777" w:rsidR="00084F36" w:rsidRDefault="00EB2BD8">
                        <w:pPr>
                          <w:spacing w:line="183" w:lineRule="exact"/>
                          <w:rPr>
                            <w:sz w:val="16"/>
                          </w:rPr>
                        </w:pPr>
                        <w:r>
                          <w:rPr>
                            <w:color w:val="FFFFFF"/>
                            <w:sz w:val="16"/>
                          </w:rPr>
                          <w:t>Description</w:t>
                        </w:r>
                        <w:r>
                          <w:rPr>
                            <w:color w:val="FFFFFF"/>
                            <w:spacing w:val="-11"/>
                            <w:sz w:val="16"/>
                          </w:rPr>
                          <w:t xml:space="preserve"> </w:t>
                        </w:r>
                        <w:r>
                          <w:rPr>
                            <w:color w:val="FFFFFF"/>
                            <w:sz w:val="16"/>
                          </w:rPr>
                          <w:t>of</w:t>
                        </w:r>
                        <w:r>
                          <w:rPr>
                            <w:color w:val="FFFFFF"/>
                            <w:spacing w:val="-10"/>
                            <w:sz w:val="16"/>
                          </w:rPr>
                          <w:t xml:space="preserve"> </w:t>
                        </w:r>
                        <w:r>
                          <w:rPr>
                            <w:color w:val="FFFFFF"/>
                            <w:spacing w:val="-2"/>
                            <w:sz w:val="16"/>
                          </w:rPr>
                          <w:t>matter</w:t>
                        </w:r>
                      </w:p>
                    </w:txbxContent>
                  </v:textbox>
                </v:shape>
                <v:shape id="Textbox 1316" o:spid="_x0000_s1077" type="#_x0000_t202" style="position:absolute;left:31679;top:783;width:320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v2wwAAAN0AAAAPAAAAZHJzL2Rvd25yZXYueG1sRE9Na8JA&#10;EL0L/odlhN50Ywu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HcGr9sMAAADdAAAADwAA&#10;AAAAAAAAAAAAAAAHAgAAZHJzL2Rvd25yZXYueG1sUEsFBgAAAAADAAMAtwAAAPcCAAAAAA==&#10;" filled="f" stroked="f">
                  <v:textbox inset="0,0,0,0">
                    <w:txbxContent>
                      <w:p w14:paraId="2A0C5727" w14:textId="77777777" w:rsidR="00084F36" w:rsidRDefault="00EB2BD8">
                        <w:pPr>
                          <w:spacing w:line="183" w:lineRule="exact"/>
                          <w:rPr>
                            <w:sz w:val="16"/>
                          </w:rPr>
                        </w:pPr>
                        <w:r>
                          <w:rPr>
                            <w:color w:val="FFFFFF"/>
                            <w:spacing w:val="-2"/>
                            <w:sz w:val="16"/>
                          </w:rPr>
                          <w:t>Result</w:t>
                        </w:r>
                      </w:p>
                    </w:txbxContent>
                  </v:textbox>
                </v:shape>
                <v:shape id="Textbox 1317" o:spid="_x0000_s1078" type="#_x0000_t202" style="position:absolute;left:51239;top:783;width:3937;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5txAAAAN0AAAAPAAAAZHJzL2Rvd25yZXYueG1sRE9Na8JA&#10;EL0X/A/LCL3VjS3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HKNDm3EAAAA3QAAAA8A&#10;AAAAAAAAAAAAAAAABwIAAGRycy9kb3ducmV2LnhtbFBLBQYAAAAAAwADALcAAAD4AgAAAAA=&#10;" filled="f" stroked="f">
                  <v:textbox inset="0,0,0,0">
                    <w:txbxContent>
                      <w:p w14:paraId="40883364" w14:textId="77777777" w:rsidR="00084F36" w:rsidRDefault="00EB2BD8">
                        <w:pPr>
                          <w:spacing w:line="184" w:lineRule="exact"/>
                          <w:rPr>
                            <w:sz w:val="16"/>
                          </w:rPr>
                        </w:pPr>
                        <w:r>
                          <w:rPr>
                            <w:color w:val="FFFFFF"/>
                            <w:spacing w:val="-2"/>
                            <w:w w:val="110"/>
                            <w:sz w:val="16"/>
                          </w:rPr>
                          <w:t>Penalty</w:t>
                        </w:r>
                      </w:p>
                      <w:p w14:paraId="4428500E" w14:textId="77777777" w:rsidR="00084F36" w:rsidRDefault="00EB2BD8">
                        <w:pPr>
                          <w:spacing w:before="41" w:line="188" w:lineRule="exact"/>
                          <w:rPr>
                            <w:sz w:val="9"/>
                          </w:rPr>
                        </w:pPr>
                        <w:r>
                          <w:rPr>
                            <w:color w:val="FFFFFF"/>
                            <w:spacing w:val="-2"/>
                            <w:sz w:val="16"/>
                          </w:rPr>
                          <w:t>($)</w:t>
                        </w:r>
                        <w:r>
                          <w:rPr>
                            <w:color w:val="FFFFFF"/>
                            <w:spacing w:val="-2"/>
                            <w:position w:val="5"/>
                            <w:sz w:val="9"/>
                          </w:rPr>
                          <w:t>39</w:t>
                        </w:r>
                      </w:p>
                    </w:txbxContent>
                  </v:textbox>
                </v:shape>
                <v:shape id="Textbox 1318" o:spid="_x0000_s1079" type="#_x0000_t202" style="position:absolute;left:58079;top:783;width:2521;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of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AxKaH8YAAADdAAAA&#10;DwAAAAAAAAAAAAAAAAAHAgAAZHJzL2Rvd25yZXYueG1sUEsFBgAAAAADAAMAtwAAAPoCAAAAAA==&#10;" filled="f" stroked="f">
                  <v:textbox inset="0,0,0,0">
                    <w:txbxContent>
                      <w:p w14:paraId="1E410FC6" w14:textId="77777777" w:rsidR="00084F36" w:rsidRDefault="00EB2BD8">
                        <w:pPr>
                          <w:spacing w:line="183" w:lineRule="exact"/>
                          <w:rPr>
                            <w:sz w:val="16"/>
                          </w:rPr>
                        </w:pPr>
                        <w:r>
                          <w:rPr>
                            <w:color w:val="FFFFFF"/>
                            <w:spacing w:val="-4"/>
                            <w:w w:val="105"/>
                            <w:sz w:val="16"/>
                          </w:rPr>
                          <w:t>Date</w:t>
                        </w:r>
                      </w:p>
                    </w:txbxContent>
                  </v:textbox>
                </v:shape>
                <w10:wrap type="topAndBottom" anchorx="page"/>
              </v:group>
            </w:pict>
          </mc:Fallback>
        </mc:AlternateContent>
      </w:r>
    </w:p>
    <w:p w14:paraId="27B9FC78" w14:textId="77777777" w:rsidR="00084F36" w:rsidRPr="00EB2BD8" w:rsidRDefault="00084F36">
      <w:pPr>
        <w:pStyle w:val="BodyText"/>
        <w:spacing w:before="5" w:after="1"/>
        <w:rPr>
          <w:sz w:val="10"/>
        </w:rPr>
      </w:pPr>
    </w:p>
    <w:tbl>
      <w:tblPr>
        <w:tblW w:w="0" w:type="auto"/>
        <w:tblInd w:w="857" w:type="dxa"/>
        <w:tblLayout w:type="fixed"/>
        <w:tblCellMar>
          <w:left w:w="0" w:type="dxa"/>
          <w:right w:w="0" w:type="dxa"/>
        </w:tblCellMar>
        <w:tblLook w:val="01E0" w:firstRow="1" w:lastRow="1" w:firstColumn="1" w:lastColumn="1" w:noHBand="0" w:noVBand="0"/>
      </w:tblPr>
      <w:tblGrid>
        <w:gridCol w:w="1732"/>
        <w:gridCol w:w="3010"/>
        <w:gridCol w:w="3244"/>
        <w:gridCol w:w="1045"/>
        <w:gridCol w:w="1175"/>
      </w:tblGrid>
      <w:tr w:rsidR="00EB2BD8" w:rsidRPr="00EB2BD8" w14:paraId="768E7356" w14:textId="77777777">
        <w:trPr>
          <w:trHeight w:val="205"/>
        </w:trPr>
        <w:tc>
          <w:tcPr>
            <w:tcW w:w="1732" w:type="dxa"/>
          </w:tcPr>
          <w:p w14:paraId="25174C28" w14:textId="77777777" w:rsidR="00084F36" w:rsidRPr="00EB2BD8" w:rsidRDefault="00EB2BD8">
            <w:pPr>
              <w:pStyle w:val="TableParagraph"/>
              <w:spacing w:line="184" w:lineRule="exact"/>
              <w:ind w:left="113"/>
              <w:rPr>
                <w:sz w:val="16"/>
              </w:rPr>
            </w:pPr>
            <w:r w:rsidRPr="00EB2BD8">
              <w:rPr>
                <w:spacing w:val="-2"/>
                <w:sz w:val="16"/>
              </w:rPr>
              <w:t>IAG</w:t>
            </w:r>
            <w:r w:rsidRPr="00EB2BD8">
              <w:rPr>
                <w:spacing w:val="-10"/>
                <w:sz w:val="16"/>
              </w:rPr>
              <w:t xml:space="preserve"> </w:t>
            </w:r>
            <w:r w:rsidRPr="00EB2BD8">
              <w:rPr>
                <w:spacing w:val="-2"/>
                <w:sz w:val="16"/>
              </w:rPr>
              <w:t>Roofing</w:t>
            </w:r>
            <w:r w:rsidRPr="00EB2BD8">
              <w:rPr>
                <w:spacing w:val="-9"/>
                <w:sz w:val="16"/>
              </w:rPr>
              <w:t xml:space="preserve"> </w:t>
            </w:r>
            <w:r w:rsidRPr="00EB2BD8">
              <w:rPr>
                <w:spacing w:val="-2"/>
                <w:sz w:val="16"/>
              </w:rPr>
              <w:t>Ltd</w:t>
            </w:r>
            <w:r w:rsidRPr="00EB2BD8">
              <w:rPr>
                <w:spacing w:val="-9"/>
                <w:sz w:val="16"/>
              </w:rPr>
              <w:t xml:space="preserve"> </w:t>
            </w:r>
            <w:r w:rsidRPr="00EB2BD8">
              <w:rPr>
                <w:spacing w:val="-5"/>
                <w:sz w:val="16"/>
              </w:rPr>
              <w:t>Pty</w:t>
            </w:r>
          </w:p>
        </w:tc>
        <w:tc>
          <w:tcPr>
            <w:tcW w:w="3010" w:type="dxa"/>
          </w:tcPr>
          <w:p w14:paraId="09D155BA" w14:textId="77777777" w:rsidR="00084F36" w:rsidRPr="00EB2BD8" w:rsidRDefault="00EB2BD8">
            <w:pPr>
              <w:pStyle w:val="TableParagraph"/>
              <w:spacing w:line="184" w:lineRule="exact"/>
              <w:ind w:left="138"/>
              <w:rPr>
                <w:sz w:val="16"/>
              </w:rPr>
            </w:pPr>
            <w:r w:rsidRPr="00EB2BD8">
              <w:rPr>
                <w:sz w:val="16"/>
              </w:rPr>
              <w:t>Engaged</w:t>
            </w:r>
            <w:r w:rsidRPr="00EB2BD8">
              <w:rPr>
                <w:spacing w:val="-3"/>
                <w:sz w:val="16"/>
              </w:rPr>
              <w:t xml:space="preserve"> </w:t>
            </w:r>
            <w:r w:rsidRPr="00EB2BD8">
              <w:rPr>
                <w:sz w:val="16"/>
              </w:rPr>
              <w:t>a</w:t>
            </w:r>
            <w:r w:rsidRPr="00EB2BD8">
              <w:rPr>
                <w:spacing w:val="-3"/>
                <w:sz w:val="16"/>
              </w:rPr>
              <w:t xml:space="preserve"> </w:t>
            </w:r>
            <w:r w:rsidRPr="00EB2BD8">
              <w:rPr>
                <w:sz w:val="16"/>
              </w:rPr>
              <w:t>plumber</w:t>
            </w:r>
            <w:r w:rsidRPr="00EB2BD8">
              <w:rPr>
                <w:spacing w:val="-3"/>
                <w:sz w:val="16"/>
              </w:rPr>
              <w:t xml:space="preserve"> </w:t>
            </w:r>
            <w:r w:rsidRPr="00EB2BD8">
              <w:rPr>
                <w:sz w:val="16"/>
              </w:rPr>
              <w:t>to</w:t>
            </w:r>
            <w:r w:rsidRPr="00EB2BD8">
              <w:rPr>
                <w:spacing w:val="-3"/>
                <w:sz w:val="16"/>
              </w:rPr>
              <w:t xml:space="preserve"> </w:t>
            </w:r>
            <w:r w:rsidRPr="00EB2BD8">
              <w:rPr>
                <w:spacing w:val="-2"/>
                <w:sz w:val="16"/>
              </w:rPr>
              <w:t>undertake</w:t>
            </w:r>
          </w:p>
        </w:tc>
        <w:tc>
          <w:tcPr>
            <w:tcW w:w="3244" w:type="dxa"/>
          </w:tcPr>
          <w:p w14:paraId="3ED28714" w14:textId="77777777" w:rsidR="00084F36" w:rsidRPr="00EB2BD8" w:rsidRDefault="00EB2BD8">
            <w:pPr>
              <w:pStyle w:val="TableParagraph"/>
              <w:spacing w:line="184" w:lineRule="exact"/>
              <w:ind w:left="246"/>
              <w:rPr>
                <w:sz w:val="16"/>
              </w:rPr>
            </w:pPr>
            <w:r w:rsidRPr="00EB2BD8">
              <w:rPr>
                <w:spacing w:val="-2"/>
                <w:sz w:val="16"/>
              </w:rPr>
              <w:t>Proven</w:t>
            </w:r>
            <w:r w:rsidRPr="00EB2BD8">
              <w:rPr>
                <w:spacing w:val="-3"/>
                <w:sz w:val="16"/>
              </w:rPr>
              <w:t xml:space="preserve"> </w:t>
            </w:r>
            <w:r w:rsidRPr="00EB2BD8">
              <w:rPr>
                <w:spacing w:val="-2"/>
                <w:sz w:val="16"/>
              </w:rPr>
              <w:t>without</w:t>
            </w:r>
            <w:r w:rsidRPr="00EB2BD8">
              <w:rPr>
                <w:spacing w:val="-3"/>
                <w:sz w:val="16"/>
              </w:rPr>
              <w:t xml:space="preserve"> </w:t>
            </w:r>
            <w:r w:rsidRPr="00EB2BD8">
              <w:rPr>
                <w:spacing w:val="-2"/>
                <w:sz w:val="16"/>
              </w:rPr>
              <w:t>conviction.</w:t>
            </w:r>
            <w:r w:rsidRPr="00EB2BD8">
              <w:rPr>
                <w:spacing w:val="-3"/>
                <w:sz w:val="16"/>
              </w:rPr>
              <w:t xml:space="preserve"> </w:t>
            </w:r>
            <w:r w:rsidRPr="00EB2BD8">
              <w:rPr>
                <w:spacing w:val="-2"/>
                <w:sz w:val="16"/>
              </w:rPr>
              <w:t>Fine</w:t>
            </w:r>
            <w:r w:rsidRPr="00EB2BD8">
              <w:rPr>
                <w:spacing w:val="-3"/>
                <w:sz w:val="16"/>
              </w:rPr>
              <w:t xml:space="preserve"> </w:t>
            </w:r>
            <w:r w:rsidRPr="00EB2BD8">
              <w:rPr>
                <w:spacing w:val="-5"/>
                <w:sz w:val="16"/>
              </w:rPr>
              <w:t>of</w:t>
            </w:r>
          </w:p>
        </w:tc>
        <w:tc>
          <w:tcPr>
            <w:tcW w:w="1045" w:type="dxa"/>
          </w:tcPr>
          <w:p w14:paraId="2D94E12F" w14:textId="77777777" w:rsidR="00084F36" w:rsidRPr="00EB2BD8" w:rsidRDefault="00EB2BD8">
            <w:pPr>
              <w:pStyle w:val="TableParagraph"/>
              <w:spacing w:line="184" w:lineRule="exact"/>
              <w:ind w:left="426"/>
              <w:rPr>
                <w:sz w:val="16"/>
              </w:rPr>
            </w:pPr>
            <w:r w:rsidRPr="00EB2BD8">
              <w:rPr>
                <w:spacing w:val="-2"/>
                <w:sz w:val="16"/>
              </w:rPr>
              <w:t>$2,500</w:t>
            </w:r>
          </w:p>
        </w:tc>
        <w:tc>
          <w:tcPr>
            <w:tcW w:w="1175" w:type="dxa"/>
          </w:tcPr>
          <w:p w14:paraId="438F9686" w14:textId="77777777" w:rsidR="00084F36" w:rsidRPr="00EB2BD8" w:rsidRDefault="00EB2BD8">
            <w:pPr>
              <w:pStyle w:val="TableParagraph"/>
              <w:spacing w:line="184" w:lineRule="exact"/>
              <w:ind w:left="115"/>
              <w:rPr>
                <w:sz w:val="16"/>
              </w:rPr>
            </w:pPr>
            <w:r w:rsidRPr="00EB2BD8">
              <w:rPr>
                <w:spacing w:val="-2"/>
                <w:w w:val="95"/>
                <w:sz w:val="16"/>
              </w:rPr>
              <w:t>06/10/2022</w:t>
            </w:r>
          </w:p>
        </w:tc>
      </w:tr>
      <w:tr w:rsidR="00084F36" w:rsidRPr="00EB2BD8" w14:paraId="1C01D6A9" w14:textId="77777777">
        <w:trPr>
          <w:trHeight w:val="285"/>
        </w:trPr>
        <w:tc>
          <w:tcPr>
            <w:tcW w:w="1732" w:type="dxa"/>
            <w:tcBorders>
              <w:bottom w:val="single" w:sz="2" w:space="0" w:color="000000"/>
            </w:tcBorders>
          </w:tcPr>
          <w:p w14:paraId="51EB9038" w14:textId="77777777" w:rsidR="00084F36" w:rsidRPr="00EB2BD8" w:rsidRDefault="00084F36">
            <w:pPr>
              <w:pStyle w:val="TableParagraph"/>
              <w:rPr>
                <w:rFonts w:ascii="Times New Roman"/>
                <w:sz w:val="16"/>
              </w:rPr>
            </w:pPr>
          </w:p>
        </w:tc>
        <w:tc>
          <w:tcPr>
            <w:tcW w:w="3010" w:type="dxa"/>
            <w:tcBorders>
              <w:bottom w:val="single" w:sz="2" w:space="0" w:color="000000"/>
            </w:tcBorders>
          </w:tcPr>
          <w:p w14:paraId="5508966D" w14:textId="77777777" w:rsidR="00084F36" w:rsidRPr="00EB2BD8" w:rsidRDefault="00EB2BD8">
            <w:pPr>
              <w:pStyle w:val="TableParagraph"/>
              <w:spacing w:before="19"/>
              <w:ind w:left="138"/>
              <w:rPr>
                <w:sz w:val="16"/>
              </w:rPr>
            </w:pPr>
            <w:r w:rsidRPr="00EB2BD8">
              <w:rPr>
                <w:spacing w:val="-2"/>
                <w:sz w:val="16"/>
              </w:rPr>
              <w:t>plumbing</w:t>
            </w:r>
            <w:r w:rsidRPr="00EB2BD8">
              <w:rPr>
                <w:spacing w:val="-12"/>
                <w:sz w:val="16"/>
              </w:rPr>
              <w:t xml:space="preserve"> </w:t>
            </w:r>
            <w:r w:rsidRPr="00EB2BD8">
              <w:rPr>
                <w:spacing w:val="-2"/>
                <w:sz w:val="16"/>
              </w:rPr>
              <w:t>work</w:t>
            </w:r>
            <w:r w:rsidRPr="00EB2BD8">
              <w:rPr>
                <w:spacing w:val="-12"/>
                <w:sz w:val="16"/>
              </w:rPr>
              <w:t xml:space="preserve"> </w:t>
            </w:r>
            <w:r w:rsidRPr="00EB2BD8">
              <w:rPr>
                <w:spacing w:val="-2"/>
                <w:sz w:val="16"/>
              </w:rPr>
              <w:t>while</w:t>
            </w:r>
            <w:r w:rsidRPr="00EB2BD8">
              <w:rPr>
                <w:spacing w:val="-12"/>
                <w:sz w:val="16"/>
              </w:rPr>
              <w:t xml:space="preserve"> </w:t>
            </w:r>
            <w:r w:rsidRPr="00EB2BD8">
              <w:rPr>
                <w:spacing w:val="-2"/>
                <w:sz w:val="16"/>
              </w:rPr>
              <w:t>unregistered.</w:t>
            </w:r>
          </w:p>
        </w:tc>
        <w:tc>
          <w:tcPr>
            <w:tcW w:w="3244" w:type="dxa"/>
            <w:tcBorders>
              <w:bottom w:val="single" w:sz="2" w:space="0" w:color="000000"/>
            </w:tcBorders>
          </w:tcPr>
          <w:p w14:paraId="457FA485" w14:textId="77777777" w:rsidR="00084F36" w:rsidRPr="00EB2BD8" w:rsidRDefault="00EB2BD8">
            <w:pPr>
              <w:pStyle w:val="TableParagraph"/>
              <w:spacing w:before="19"/>
              <w:ind w:left="246"/>
              <w:rPr>
                <w:sz w:val="16"/>
              </w:rPr>
            </w:pPr>
            <w:r w:rsidRPr="00EB2BD8">
              <w:rPr>
                <w:spacing w:val="-2"/>
                <w:sz w:val="16"/>
              </w:rPr>
              <w:t>$2,500</w:t>
            </w:r>
          </w:p>
        </w:tc>
        <w:tc>
          <w:tcPr>
            <w:tcW w:w="1045" w:type="dxa"/>
            <w:tcBorders>
              <w:bottom w:val="single" w:sz="2" w:space="0" w:color="000000"/>
            </w:tcBorders>
          </w:tcPr>
          <w:p w14:paraId="4CD762C0" w14:textId="77777777" w:rsidR="00084F36" w:rsidRPr="00EB2BD8" w:rsidRDefault="00084F36">
            <w:pPr>
              <w:pStyle w:val="TableParagraph"/>
              <w:rPr>
                <w:rFonts w:ascii="Times New Roman"/>
                <w:sz w:val="16"/>
              </w:rPr>
            </w:pPr>
          </w:p>
        </w:tc>
        <w:tc>
          <w:tcPr>
            <w:tcW w:w="1175" w:type="dxa"/>
            <w:tcBorders>
              <w:bottom w:val="single" w:sz="2" w:space="0" w:color="000000"/>
            </w:tcBorders>
          </w:tcPr>
          <w:p w14:paraId="7DF430D2" w14:textId="77777777" w:rsidR="00084F36" w:rsidRPr="00EB2BD8" w:rsidRDefault="00084F36">
            <w:pPr>
              <w:pStyle w:val="TableParagraph"/>
              <w:rPr>
                <w:rFonts w:ascii="Times New Roman"/>
                <w:sz w:val="16"/>
              </w:rPr>
            </w:pPr>
          </w:p>
        </w:tc>
      </w:tr>
    </w:tbl>
    <w:p w14:paraId="0D94DA4E" w14:textId="77777777" w:rsidR="00084F36" w:rsidRPr="00EB2BD8" w:rsidRDefault="00084F36">
      <w:pPr>
        <w:pStyle w:val="BodyText"/>
        <w:rPr>
          <w:sz w:val="20"/>
        </w:rPr>
      </w:pPr>
    </w:p>
    <w:p w14:paraId="22878BB3" w14:textId="77777777" w:rsidR="00084F36" w:rsidRPr="00EB2BD8" w:rsidRDefault="00084F36">
      <w:pPr>
        <w:pStyle w:val="BodyText"/>
        <w:spacing w:before="1"/>
        <w:rPr>
          <w:sz w:val="21"/>
        </w:rPr>
      </w:pPr>
    </w:p>
    <w:p w14:paraId="45070FB1" w14:textId="77777777" w:rsidR="00084F36" w:rsidRPr="00EB2BD8" w:rsidRDefault="00EB2BD8" w:rsidP="00697E0C">
      <w:pPr>
        <w:pStyle w:val="Heading3"/>
      </w:pPr>
      <w:bookmarkStart w:id="439" w:name="_Toc150762741"/>
      <w:r w:rsidRPr="00EB2BD8">
        <w:t>Table</w:t>
      </w:r>
      <w:r w:rsidRPr="00EB2BD8">
        <w:rPr>
          <w:spacing w:val="-12"/>
        </w:rPr>
        <w:t xml:space="preserve"> </w:t>
      </w:r>
      <w:r w:rsidRPr="00EB2BD8">
        <w:t>29:</w:t>
      </w:r>
      <w:r w:rsidRPr="00EB2BD8">
        <w:rPr>
          <w:spacing w:val="-12"/>
        </w:rPr>
        <w:t xml:space="preserve"> </w:t>
      </w:r>
      <w:r w:rsidRPr="00EB2BD8">
        <w:t>Plumbing</w:t>
      </w:r>
      <w:r w:rsidRPr="00EB2BD8">
        <w:rPr>
          <w:spacing w:val="-11"/>
        </w:rPr>
        <w:t xml:space="preserve"> </w:t>
      </w:r>
      <w:r w:rsidRPr="00EB2BD8">
        <w:t>Inquiries</w:t>
      </w:r>
      <w:r w:rsidRPr="00EB2BD8">
        <w:rPr>
          <w:spacing w:val="-12"/>
        </w:rPr>
        <w:t xml:space="preserve"> </w:t>
      </w:r>
      <w:r w:rsidRPr="00EB2BD8">
        <w:t>(Individuals)</w:t>
      </w:r>
      <w:bookmarkEnd w:id="439"/>
    </w:p>
    <w:p w14:paraId="3AF1E5F3" w14:textId="77777777" w:rsidR="00084F36" w:rsidRPr="00EB2BD8" w:rsidRDefault="00084F36">
      <w:pPr>
        <w:pStyle w:val="BodyText"/>
        <w:spacing w:before="5"/>
        <w:rPr>
          <w:sz w:val="20"/>
        </w:rPr>
      </w:pPr>
    </w:p>
    <w:tbl>
      <w:tblPr>
        <w:tblW w:w="0" w:type="auto"/>
        <w:tblInd w:w="857" w:type="dxa"/>
        <w:tblLayout w:type="fixed"/>
        <w:tblCellMar>
          <w:left w:w="0" w:type="dxa"/>
          <w:right w:w="0" w:type="dxa"/>
        </w:tblCellMar>
        <w:tblLook w:val="01E0" w:firstRow="1" w:lastRow="1" w:firstColumn="1" w:lastColumn="1" w:noHBand="0" w:noVBand="0"/>
      </w:tblPr>
      <w:tblGrid>
        <w:gridCol w:w="1744"/>
        <w:gridCol w:w="3130"/>
        <w:gridCol w:w="3067"/>
        <w:gridCol w:w="1091"/>
        <w:gridCol w:w="1176"/>
      </w:tblGrid>
      <w:tr w:rsidR="00EB2BD8" w:rsidRPr="00EB2BD8" w14:paraId="79C219BD" w14:textId="77777777">
        <w:trPr>
          <w:trHeight w:val="616"/>
        </w:trPr>
        <w:tc>
          <w:tcPr>
            <w:tcW w:w="1744" w:type="dxa"/>
            <w:shd w:val="clear" w:color="auto" w:fill="005F83"/>
          </w:tcPr>
          <w:p w14:paraId="6D0F5D49" w14:textId="77777777" w:rsidR="00084F36" w:rsidRPr="00697E0C" w:rsidRDefault="00EB2BD8">
            <w:pPr>
              <w:pStyle w:val="TableParagraph"/>
              <w:spacing w:before="118"/>
              <w:ind w:left="113"/>
              <w:rPr>
                <w:color w:val="FFFFFF" w:themeColor="background1"/>
                <w:sz w:val="16"/>
              </w:rPr>
            </w:pPr>
            <w:r w:rsidRPr="00697E0C">
              <w:rPr>
                <w:color w:val="FFFFFF" w:themeColor="background1"/>
                <w:sz w:val="16"/>
              </w:rPr>
              <w:t>Accused</w:t>
            </w:r>
            <w:r w:rsidRPr="00697E0C">
              <w:rPr>
                <w:color w:val="FFFFFF" w:themeColor="background1"/>
                <w:spacing w:val="-1"/>
                <w:sz w:val="16"/>
              </w:rPr>
              <w:t xml:space="preserve"> </w:t>
            </w:r>
            <w:r w:rsidRPr="00697E0C">
              <w:rPr>
                <w:color w:val="FFFFFF" w:themeColor="background1"/>
                <w:spacing w:val="-4"/>
                <w:sz w:val="16"/>
              </w:rPr>
              <w:t>name</w:t>
            </w:r>
          </w:p>
        </w:tc>
        <w:tc>
          <w:tcPr>
            <w:tcW w:w="3130" w:type="dxa"/>
            <w:shd w:val="clear" w:color="auto" w:fill="005F83"/>
          </w:tcPr>
          <w:p w14:paraId="017ABAB3" w14:textId="77777777" w:rsidR="00084F36" w:rsidRPr="00697E0C" w:rsidRDefault="00EB2BD8">
            <w:pPr>
              <w:pStyle w:val="TableParagraph"/>
              <w:spacing w:before="118"/>
              <w:ind w:left="126"/>
              <w:rPr>
                <w:color w:val="FFFFFF" w:themeColor="background1"/>
                <w:sz w:val="16"/>
              </w:rPr>
            </w:pPr>
            <w:r w:rsidRPr="00697E0C">
              <w:rPr>
                <w:color w:val="FFFFFF" w:themeColor="background1"/>
                <w:sz w:val="16"/>
              </w:rPr>
              <w:t>Description</w:t>
            </w:r>
            <w:r w:rsidRPr="00697E0C">
              <w:rPr>
                <w:color w:val="FFFFFF" w:themeColor="background1"/>
                <w:spacing w:val="-11"/>
                <w:sz w:val="16"/>
              </w:rPr>
              <w:t xml:space="preserve"> </w:t>
            </w:r>
            <w:r w:rsidRPr="00697E0C">
              <w:rPr>
                <w:color w:val="FFFFFF" w:themeColor="background1"/>
                <w:sz w:val="16"/>
              </w:rPr>
              <w:t>of</w:t>
            </w:r>
            <w:r w:rsidRPr="00697E0C">
              <w:rPr>
                <w:color w:val="FFFFFF" w:themeColor="background1"/>
                <w:spacing w:val="-10"/>
                <w:sz w:val="16"/>
              </w:rPr>
              <w:t xml:space="preserve"> </w:t>
            </w:r>
            <w:r w:rsidRPr="00697E0C">
              <w:rPr>
                <w:color w:val="FFFFFF" w:themeColor="background1"/>
                <w:spacing w:val="-2"/>
                <w:sz w:val="16"/>
              </w:rPr>
              <w:t>matter</w:t>
            </w:r>
          </w:p>
        </w:tc>
        <w:tc>
          <w:tcPr>
            <w:tcW w:w="3067" w:type="dxa"/>
            <w:shd w:val="clear" w:color="auto" w:fill="005F83"/>
          </w:tcPr>
          <w:p w14:paraId="5C591E32" w14:textId="77777777" w:rsidR="00084F36" w:rsidRPr="00697E0C" w:rsidRDefault="00EB2BD8">
            <w:pPr>
              <w:pStyle w:val="TableParagraph"/>
              <w:spacing w:before="118"/>
              <w:ind w:left="114"/>
              <w:rPr>
                <w:color w:val="FFFFFF" w:themeColor="background1"/>
                <w:sz w:val="16"/>
              </w:rPr>
            </w:pPr>
            <w:r w:rsidRPr="00697E0C">
              <w:rPr>
                <w:color w:val="FFFFFF" w:themeColor="background1"/>
                <w:spacing w:val="-2"/>
                <w:sz w:val="16"/>
              </w:rPr>
              <w:t>Result</w:t>
            </w:r>
          </w:p>
        </w:tc>
        <w:tc>
          <w:tcPr>
            <w:tcW w:w="1091" w:type="dxa"/>
            <w:shd w:val="clear" w:color="auto" w:fill="005F83"/>
          </w:tcPr>
          <w:p w14:paraId="61E854B5" w14:textId="77777777" w:rsidR="00084F36" w:rsidRPr="00697E0C" w:rsidRDefault="00EB2BD8">
            <w:pPr>
              <w:pStyle w:val="TableParagraph"/>
              <w:spacing w:before="118" w:line="292" w:lineRule="auto"/>
              <w:ind w:left="128" w:right="89"/>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39</w:t>
            </w:r>
          </w:p>
        </w:tc>
        <w:tc>
          <w:tcPr>
            <w:tcW w:w="1176" w:type="dxa"/>
            <w:shd w:val="clear" w:color="auto" w:fill="005F83"/>
          </w:tcPr>
          <w:p w14:paraId="29068251" w14:textId="77777777" w:rsidR="00084F36" w:rsidRPr="00697E0C" w:rsidRDefault="00EB2BD8">
            <w:pPr>
              <w:pStyle w:val="TableParagraph"/>
              <w:spacing w:before="118"/>
              <w:ind w:left="114"/>
              <w:rPr>
                <w:color w:val="FFFFFF" w:themeColor="background1"/>
                <w:sz w:val="16"/>
              </w:rPr>
            </w:pPr>
            <w:r w:rsidRPr="00697E0C">
              <w:rPr>
                <w:color w:val="FFFFFF" w:themeColor="background1"/>
                <w:spacing w:val="-4"/>
                <w:w w:val="105"/>
                <w:sz w:val="16"/>
              </w:rPr>
              <w:t>Date</w:t>
            </w:r>
          </w:p>
        </w:tc>
      </w:tr>
      <w:tr w:rsidR="00EB2BD8" w:rsidRPr="00EB2BD8" w14:paraId="5515F107" w14:textId="77777777">
        <w:trPr>
          <w:trHeight w:val="329"/>
        </w:trPr>
        <w:tc>
          <w:tcPr>
            <w:tcW w:w="1744" w:type="dxa"/>
          </w:tcPr>
          <w:p w14:paraId="26627055" w14:textId="77777777" w:rsidR="00084F36" w:rsidRPr="00EB2BD8" w:rsidRDefault="00EB2BD8">
            <w:pPr>
              <w:pStyle w:val="TableParagraph"/>
              <w:spacing w:before="118"/>
              <w:ind w:left="113"/>
              <w:rPr>
                <w:sz w:val="16"/>
              </w:rPr>
            </w:pPr>
            <w:r w:rsidRPr="00EB2BD8">
              <w:rPr>
                <w:spacing w:val="-2"/>
                <w:sz w:val="16"/>
              </w:rPr>
              <w:t>ALDERMAN,</w:t>
            </w:r>
            <w:r w:rsidRPr="00EB2BD8">
              <w:rPr>
                <w:spacing w:val="-12"/>
                <w:sz w:val="16"/>
              </w:rPr>
              <w:t xml:space="preserve"> </w:t>
            </w:r>
            <w:r w:rsidRPr="00EB2BD8">
              <w:rPr>
                <w:spacing w:val="-4"/>
                <w:sz w:val="16"/>
              </w:rPr>
              <w:t>Paul</w:t>
            </w:r>
          </w:p>
        </w:tc>
        <w:tc>
          <w:tcPr>
            <w:tcW w:w="3130" w:type="dxa"/>
          </w:tcPr>
          <w:p w14:paraId="297C2C58" w14:textId="77777777" w:rsidR="00084F36" w:rsidRPr="00EB2BD8" w:rsidRDefault="00EB2BD8">
            <w:pPr>
              <w:pStyle w:val="TableParagraph"/>
              <w:spacing w:before="118"/>
              <w:ind w:left="126"/>
              <w:rPr>
                <w:sz w:val="16"/>
              </w:rPr>
            </w:pPr>
            <w:r w:rsidRPr="00EB2BD8">
              <w:rPr>
                <w:sz w:val="16"/>
              </w:rPr>
              <w:t>Completed</w:t>
            </w:r>
            <w:r w:rsidRPr="00EB2BD8">
              <w:rPr>
                <w:spacing w:val="-11"/>
                <w:sz w:val="16"/>
              </w:rPr>
              <w:t xml:space="preserve"> </w:t>
            </w:r>
            <w:r w:rsidRPr="00EB2BD8">
              <w:rPr>
                <w:sz w:val="16"/>
              </w:rPr>
              <w:t>a</w:t>
            </w:r>
            <w:r w:rsidRPr="00EB2BD8">
              <w:rPr>
                <w:spacing w:val="-11"/>
                <w:sz w:val="16"/>
              </w:rPr>
              <w:t xml:space="preserve"> </w:t>
            </w:r>
            <w:r w:rsidRPr="00EB2BD8">
              <w:rPr>
                <w:sz w:val="16"/>
              </w:rPr>
              <w:t>below</w:t>
            </w:r>
            <w:r w:rsidRPr="00EB2BD8">
              <w:rPr>
                <w:spacing w:val="-10"/>
                <w:sz w:val="16"/>
              </w:rPr>
              <w:t xml:space="preserve"> </w:t>
            </w:r>
            <w:r w:rsidRPr="00EB2BD8">
              <w:rPr>
                <w:sz w:val="16"/>
              </w:rPr>
              <w:t>ground</w:t>
            </w:r>
            <w:r w:rsidRPr="00EB2BD8">
              <w:rPr>
                <w:spacing w:val="-11"/>
                <w:sz w:val="16"/>
              </w:rPr>
              <w:t xml:space="preserve"> </w:t>
            </w:r>
            <w:r w:rsidRPr="00EB2BD8">
              <w:rPr>
                <w:spacing w:val="-2"/>
                <w:sz w:val="16"/>
              </w:rPr>
              <w:t>sanitary</w:t>
            </w:r>
          </w:p>
        </w:tc>
        <w:tc>
          <w:tcPr>
            <w:tcW w:w="3067" w:type="dxa"/>
          </w:tcPr>
          <w:p w14:paraId="1BBE000A" w14:textId="77777777" w:rsidR="00084F36" w:rsidRPr="00EB2BD8" w:rsidRDefault="00EB2BD8">
            <w:pPr>
              <w:pStyle w:val="TableParagraph"/>
              <w:spacing w:before="118"/>
              <w:ind w:left="114"/>
              <w:rPr>
                <w:sz w:val="16"/>
              </w:rPr>
            </w:pPr>
            <w:r w:rsidRPr="00EB2BD8">
              <w:rPr>
                <w:spacing w:val="-2"/>
                <w:sz w:val="16"/>
              </w:rPr>
              <w:t>One</w:t>
            </w:r>
            <w:r w:rsidRPr="00EB2BD8">
              <w:rPr>
                <w:spacing w:val="-4"/>
                <w:sz w:val="16"/>
              </w:rPr>
              <w:t xml:space="preserve"> </w:t>
            </w:r>
            <w:r w:rsidRPr="00EB2BD8">
              <w:rPr>
                <w:spacing w:val="-2"/>
                <w:sz w:val="16"/>
              </w:rPr>
              <w:t>ground</w:t>
            </w:r>
            <w:r w:rsidRPr="00EB2BD8">
              <w:rPr>
                <w:spacing w:val="-4"/>
                <w:sz w:val="16"/>
              </w:rPr>
              <w:t xml:space="preserve"> </w:t>
            </w:r>
            <w:r w:rsidRPr="00EB2BD8">
              <w:rPr>
                <w:spacing w:val="-2"/>
                <w:sz w:val="16"/>
              </w:rPr>
              <w:t>proven.</w:t>
            </w:r>
            <w:r w:rsidRPr="00EB2BD8">
              <w:rPr>
                <w:spacing w:val="-3"/>
                <w:sz w:val="16"/>
              </w:rPr>
              <w:t xml:space="preserve"> </w:t>
            </w:r>
            <w:r w:rsidRPr="00EB2BD8">
              <w:rPr>
                <w:spacing w:val="-2"/>
                <w:sz w:val="16"/>
              </w:rPr>
              <w:t>Penalty</w:t>
            </w:r>
            <w:r w:rsidRPr="00EB2BD8">
              <w:rPr>
                <w:spacing w:val="-4"/>
                <w:sz w:val="16"/>
              </w:rPr>
              <w:t xml:space="preserve"> </w:t>
            </w:r>
            <w:r w:rsidRPr="00EB2BD8">
              <w:rPr>
                <w:spacing w:val="-2"/>
                <w:sz w:val="16"/>
              </w:rPr>
              <w:t>of</w:t>
            </w:r>
            <w:r w:rsidRPr="00EB2BD8">
              <w:rPr>
                <w:spacing w:val="-3"/>
                <w:sz w:val="16"/>
              </w:rPr>
              <w:t xml:space="preserve"> </w:t>
            </w:r>
            <w:r w:rsidRPr="00EB2BD8">
              <w:rPr>
                <w:spacing w:val="-4"/>
                <w:sz w:val="16"/>
              </w:rPr>
              <w:t>$740</w:t>
            </w:r>
          </w:p>
        </w:tc>
        <w:tc>
          <w:tcPr>
            <w:tcW w:w="1091" w:type="dxa"/>
          </w:tcPr>
          <w:p w14:paraId="631451D4" w14:textId="77777777" w:rsidR="00084F36" w:rsidRPr="00EB2BD8" w:rsidRDefault="00EB2BD8">
            <w:pPr>
              <w:pStyle w:val="TableParagraph"/>
              <w:spacing w:before="118"/>
              <w:ind w:right="111"/>
              <w:jc w:val="right"/>
              <w:rPr>
                <w:sz w:val="16"/>
              </w:rPr>
            </w:pPr>
            <w:r w:rsidRPr="00EB2BD8">
              <w:rPr>
                <w:spacing w:val="-4"/>
                <w:sz w:val="16"/>
              </w:rPr>
              <w:t>$740</w:t>
            </w:r>
          </w:p>
        </w:tc>
        <w:tc>
          <w:tcPr>
            <w:tcW w:w="1176" w:type="dxa"/>
          </w:tcPr>
          <w:p w14:paraId="1D9415D3" w14:textId="77777777" w:rsidR="00084F36" w:rsidRPr="00EB2BD8" w:rsidRDefault="00EB2BD8">
            <w:pPr>
              <w:pStyle w:val="TableParagraph"/>
              <w:spacing w:before="118"/>
              <w:ind w:left="114"/>
              <w:rPr>
                <w:sz w:val="16"/>
              </w:rPr>
            </w:pPr>
            <w:r w:rsidRPr="00EB2BD8">
              <w:rPr>
                <w:spacing w:val="-2"/>
                <w:sz w:val="16"/>
              </w:rPr>
              <w:t>20/04/2023</w:t>
            </w:r>
          </w:p>
        </w:tc>
      </w:tr>
      <w:tr w:rsidR="00EB2BD8" w:rsidRPr="00EB2BD8" w14:paraId="76629224" w14:textId="77777777">
        <w:trPr>
          <w:trHeight w:val="230"/>
        </w:trPr>
        <w:tc>
          <w:tcPr>
            <w:tcW w:w="1744" w:type="dxa"/>
          </w:tcPr>
          <w:p w14:paraId="45CC8E48" w14:textId="77777777" w:rsidR="00084F36" w:rsidRPr="00EB2BD8" w:rsidRDefault="00084F36">
            <w:pPr>
              <w:pStyle w:val="TableParagraph"/>
              <w:rPr>
                <w:rFonts w:ascii="Times New Roman"/>
                <w:sz w:val="16"/>
              </w:rPr>
            </w:pPr>
          </w:p>
        </w:tc>
        <w:tc>
          <w:tcPr>
            <w:tcW w:w="3130" w:type="dxa"/>
          </w:tcPr>
          <w:p w14:paraId="537B39D8" w14:textId="77777777" w:rsidR="00084F36" w:rsidRPr="00EB2BD8" w:rsidRDefault="00EB2BD8">
            <w:pPr>
              <w:pStyle w:val="TableParagraph"/>
              <w:spacing w:before="19"/>
              <w:ind w:left="126"/>
              <w:rPr>
                <w:sz w:val="16"/>
              </w:rPr>
            </w:pPr>
            <w:r w:rsidRPr="00EB2BD8">
              <w:rPr>
                <w:sz w:val="16"/>
              </w:rPr>
              <w:t>drain</w:t>
            </w:r>
            <w:r w:rsidRPr="00EB2BD8">
              <w:rPr>
                <w:spacing w:val="-8"/>
                <w:sz w:val="16"/>
              </w:rPr>
              <w:t xml:space="preserve"> </w:t>
            </w:r>
            <w:r w:rsidRPr="00EB2BD8">
              <w:rPr>
                <w:sz w:val="16"/>
              </w:rPr>
              <w:t>and</w:t>
            </w:r>
            <w:r w:rsidRPr="00EB2BD8">
              <w:rPr>
                <w:spacing w:val="-8"/>
                <w:sz w:val="16"/>
              </w:rPr>
              <w:t xml:space="preserve"> </w:t>
            </w:r>
            <w:r w:rsidRPr="00EB2BD8">
              <w:rPr>
                <w:sz w:val="16"/>
              </w:rPr>
              <w:t>covered</w:t>
            </w:r>
            <w:r w:rsidRPr="00EB2BD8">
              <w:rPr>
                <w:spacing w:val="-8"/>
                <w:sz w:val="16"/>
              </w:rPr>
              <w:t xml:space="preserve"> </w:t>
            </w:r>
            <w:r w:rsidRPr="00EB2BD8">
              <w:rPr>
                <w:sz w:val="16"/>
              </w:rPr>
              <w:t>it</w:t>
            </w:r>
            <w:r w:rsidRPr="00EB2BD8">
              <w:rPr>
                <w:spacing w:val="-8"/>
                <w:sz w:val="16"/>
              </w:rPr>
              <w:t xml:space="preserve"> </w:t>
            </w:r>
            <w:r w:rsidRPr="00EB2BD8">
              <w:rPr>
                <w:sz w:val="16"/>
              </w:rPr>
              <w:t>when</w:t>
            </w:r>
            <w:r w:rsidRPr="00EB2BD8">
              <w:rPr>
                <w:spacing w:val="-7"/>
                <w:sz w:val="16"/>
              </w:rPr>
              <w:t xml:space="preserve"> </w:t>
            </w:r>
            <w:r w:rsidRPr="00EB2BD8">
              <w:rPr>
                <w:spacing w:val="-5"/>
                <w:sz w:val="16"/>
              </w:rPr>
              <w:t>the</w:t>
            </w:r>
          </w:p>
        </w:tc>
        <w:tc>
          <w:tcPr>
            <w:tcW w:w="3067" w:type="dxa"/>
          </w:tcPr>
          <w:p w14:paraId="3966FD91" w14:textId="77777777" w:rsidR="00084F36" w:rsidRPr="00EB2BD8" w:rsidRDefault="00EB2BD8">
            <w:pPr>
              <w:pStyle w:val="TableParagraph"/>
              <w:spacing w:before="19"/>
              <w:ind w:left="114"/>
              <w:rPr>
                <w:sz w:val="16"/>
              </w:rPr>
            </w:pPr>
            <w:r w:rsidRPr="00EB2BD8">
              <w:rPr>
                <w:spacing w:val="-2"/>
                <w:sz w:val="16"/>
              </w:rPr>
              <w:t>plus</w:t>
            </w:r>
            <w:r w:rsidRPr="00EB2BD8">
              <w:rPr>
                <w:spacing w:val="-10"/>
                <w:sz w:val="16"/>
              </w:rPr>
              <w:t xml:space="preserve"> </w:t>
            </w:r>
            <w:r w:rsidRPr="00EB2BD8">
              <w:rPr>
                <w:spacing w:val="-2"/>
                <w:sz w:val="16"/>
              </w:rPr>
              <w:t>cost</w:t>
            </w:r>
            <w:r w:rsidRPr="00EB2BD8">
              <w:rPr>
                <w:spacing w:val="-10"/>
                <w:sz w:val="16"/>
              </w:rPr>
              <w:t xml:space="preserve"> </w:t>
            </w:r>
            <w:r w:rsidRPr="00EB2BD8">
              <w:rPr>
                <w:spacing w:val="-2"/>
                <w:sz w:val="16"/>
              </w:rPr>
              <w:t>of</w:t>
            </w:r>
            <w:r w:rsidRPr="00EB2BD8">
              <w:rPr>
                <w:spacing w:val="-10"/>
                <w:sz w:val="16"/>
              </w:rPr>
              <w:t xml:space="preserve"> </w:t>
            </w:r>
            <w:r w:rsidRPr="00EB2BD8">
              <w:rPr>
                <w:spacing w:val="-2"/>
                <w:sz w:val="16"/>
              </w:rPr>
              <w:t>$696.</w:t>
            </w:r>
          </w:p>
        </w:tc>
        <w:tc>
          <w:tcPr>
            <w:tcW w:w="1091" w:type="dxa"/>
          </w:tcPr>
          <w:p w14:paraId="3F1A854F" w14:textId="77777777" w:rsidR="00084F36" w:rsidRPr="00EB2BD8" w:rsidRDefault="00084F36">
            <w:pPr>
              <w:pStyle w:val="TableParagraph"/>
              <w:rPr>
                <w:rFonts w:ascii="Times New Roman"/>
                <w:sz w:val="16"/>
              </w:rPr>
            </w:pPr>
          </w:p>
        </w:tc>
        <w:tc>
          <w:tcPr>
            <w:tcW w:w="1176" w:type="dxa"/>
          </w:tcPr>
          <w:p w14:paraId="7778F52C" w14:textId="77777777" w:rsidR="00084F36" w:rsidRPr="00EB2BD8" w:rsidRDefault="00084F36">
            <w:pPr>
              <w:pStyle w:val="TableParagraph"/>
              <w:rPr>
                <w:rFonts w:ascii="Times New Roman"/>
                <w:sz w:val="16"/>
              </w:rPr>
            </w:pPr>
          </w:p>
        </w:tc>
      </w:tr>
      <w:tr w:rsidR="00EB2BD8" w:rsidRPr="00EB2BD8" w14:paraId="4B4389B0" w14:textId="77777777">
        <w:trPr>
          <w:trHeight w:val="229"/>
        </w:trPr>
        <w:tc>
          <w:tcPr>
            <w:tcW w:w="1744" w:type="dxa"/>
          </w:tcPr>
          <w:p w14:paraId="3E8D6457" w14:textId="77777777" w:rsidR="00084F36" w:rsidRPr="00EB2BD8" w:rsidRDefault="00084F36">
            <w:pPr>
              <w:pStyle w:val="TableParagraph"/>
              <w:rPr>
                <w:rFonts w:ascii="Times New Roman"/>
                <w:sz w:val="16"/>
              </w:rPr>
            </w:pPr>
          </w:p>
        </w:tc>
        <w:tc>
          <w:tcPr>
            <w:tcW w:w="3130" w:type="dxa"/>
          </w:tcPr>
          <w:p w14:paraId="514F41C9" w14:textId="77777777" w:rsidR="00084F36" w:rsidRPr="00EB2BD8" w:rsidRDefault="00EB2BD8">
            <w:pPr>
              <w:pStyle w:val="TableParagraph"/>
              <w:spacing w:before="19"/>
              <w:ind w:left="126"/>
              <w:rPr>
                <w:sz w:val="16"/>
              </w:rPr>
            </w:pPr>
            <w:r w:rsidRPr="00EB2BD8">
              <w:rPr>
                <w:sz w:val="16"/>
              </w:rPr>
              <w:t>Authority</w:t>
            </w:r>
            <w:r w:rsidRPr="00EB2BD8">
              <w:rPr>
                <w:spacing w:val="-11"/>
                <w:sz w:val="16"/>
              </w:rPr>
              <w:t xml:space="preserve"> </w:t>
            </w:r>
            <w:r w:rsidRPr="00EB2BD8">
              <w:rPr>
                <w:sz w:val="16"/>
              </w:rPr>
              <w:t>had</w:t>
            </w:r>
            <w:r w:rsidRPr="00EB2BD8">
              <w:rPr>
                <w:spacing w:val="-11"/>
                <w:sz w:val="16"/>
              </w:rPr>
              <w:t xml:space="preserve"> </w:t>
            </w:r>
            <w:r w:rsidRPr="00EB2BD8">
              <w:rPr>
                <w:sz w:val="16"/>
              </w:rPr>
              <w:t>not</w:t>
            </w:r>
            <w:r w:rsidRPr="00EB2BD8">
              <w:rPr>
                <w:spacing w:val="-11"/>
                <w:sz w:val="16"/>
              </w:rPr>
              <w:t xml:space="preserve"> </w:t>
            </w:r>
            <w:r w:rsidRPr="00EB2BD8">
              <w:rPr>
                <w:sz w:val="16"/>
              </w:rPr>
              <w:t>inspected</w:t>
            </w:r>
            <w:r w:rsidRPr="00EB2BD8">
              <w:rPr>
                <w:spacing w:val="-11"/>
                <w:sz w:val="16"/>
              </w:rPr>
              <w:t xml:space="preserve"> </w:t>
            </w:r>
            <w:r w:rsidRPr="00EB2BD8">
              <w:rPr>
                <w:spacing w:val="-5"/>
                <w:sz w:val="16"/>
              </w:rPr>
              <w:t>nor</w:t>
            </w:r>
          </w:p>
        </w:tc>
        <w:tc>
          <w:tcPr>
            <w:tcW w:w="3067" w:type="dxa"/>
          </w:tcPr>
          <w:p w14:paraId="689B903D" w14:textId="77777777" w:rsidR="00084F36" w:rsidRPr="00EB2BD8" w:rsidRDefault="00084F36">
            <w:pPr>
              <w:pStyle w:val="TableParagraph"/>
              <w:rPr>
                <w:rFonts w:ascii="Times New Roman"/>
                <w:sz w:val="16"/>
              </w:rPr>
            </w:pPr>
          </w:p>
        </w:tc>
        <w:tc>
          <w:tcPr>
            <w:tcW w:w="1091" w:type="dxa"/>
          </w:tcPr>
          <w:p w14:paraId="32F9544B" w14:textId="77777777" w:rsidR="00084F36" w:rsidRPr="00EB2BD8" w:rsidRDefault="00084F36">
            <w:pPr>
              <w:pStyle w:val="TableParagraph"/>
              <w:rPr>
                <w:rFonts w:ascii="Times New Roman"/>
                <w:sz w:val="16"/>
              </w:rPr>
            </w:pPr>
          </w:p>
        </w:tc>
        <w:tc>
          <w:tcPr>
            <w:tcW w:w="1176" w:type="dxa"/>
          </w:tcPr>
          <w:p w14:paraId="22239CD0" w14:textId="77777777" w:rsidR="00084F36" w:rsidRPr="00EB2BD8" w:rsidRDefault="00084F36">
            <w:pPr>
              <w:pStyle w:val="TableParagraph"/>
              <w:rPr>
                <w:rFonts w:ascii="Times New Roman"/>
                <w:sz w:val="16"/>
              </w:rPr>
            </w:pPr>
          </w:p>
        </w:tc>
      </w:tr>
      <w:tr w:rsidR="00EB2BD8" w:rsidRPr="00EB2BD8" w14:paraId="64B2F389" w14:textId="77777777">
        <w:trPr>
          <w:trHeight w:val="285"/>
        </w:trPr>
        <w:tc>
          <w:tcPr>
            <w:tcW w:w="1744" w:type="dxa"/>
            <w:tcBorders>
              <w:bottom w:val="single" w:sz="2" w:space="0" w:color="000000"/>
            </w:tcBorders>
          </w:tcPr>
          <w:p w14:paraId="790612A1" w14:textId="77777777" w:rsidR="00084F36" w:rsidRPr="00EB2BD8" w:rsidRDefault="00084F36">
            <w:pPr>
              <w:pStyle w:val="TableParagraph"/>
              <w:rPr>
                <w:rFonts w:ascii="Times New Roman"/>
                <w:sz w:val="16"/>
              </w:rPr>
            </w:pPr>
          </w:p>
        </w:tc>
        <w:tc>
          <w:tcPr>
            <w:tcW w:w="3130" w:type="dxa"/>
            <w:tcBorders>
              <w:bottom w:val="single" w:sz="2" w:space="0" w:color="000000"/>
            </w:tcBorders>
          </w:tcPr>
          <w:p w14:paraId="7905A7B1" w14:textId="77777777" w:rsidR="00084F36" w:rsidRPr="00EB2BD8" w:rsidRDefault="00EB2BD8">
            <w:pPr>
              <w:pStyle w:val="TableParagraph"/>
              <w:spacing w:before="19"/>
              <w:ind w:left="126"/>
              <w:rPr>
                <w:sz w:val="16"/>
              </w:rPr>
            </w:pPr>
            <w:r w:rsidRPr="00EB2BD8">
              <w:rPr>
                <w:sz w:val="16"/>
              </w:rPr>
              <w:t>authorised</w:t>
            </w:r>
            <w:r w:rsidRPr="00EB2BD8">
              <w:rPr>
                <w:spacing w:val="-11"/>
                <w:sz w:val="16"/>
              </w:rPr>
              <w:t xml:space="preserve"> </w:t>
            </w:r>
            <w:r w:rsidRPr="00EB2BD8">
              <w:rPr>
                <w:sz w:val="16"/>
              </w:rPr>
              <w:t>the</w:t>
            </w:r>
            <w:r w:rsidRPr="00EB2BD8">
              <w:rPr>
                <w:spacing w:val="-11"/>
                <w:sz w:val="16"/>
              </w:rPr>
              <w:t xml:space="preserve"> </w:t>
            </w:r>
            <w:r w:rsidRPr="00EB2BD8">
              <w:rPr>
                <w:sz w:val="16"/>
              </w:rPr>
              <w:t>covering</w:t>
            </w:r>
            <w:r w:rsidRPr="00EB2BD8">
              <w:rPr>
                <w:spacing w:val="-11"/>
                <w:sz w:val="16"/>
              </w:rPr>
              <w:t xml:space="preserve"> </w:t>
            </w:r>
            <w:r w:rsidRPr="00EB2BD8">
              <w:rPr>
                <w:sz w:val="16"/>
              </w:rPr>
              <w:t>of</w:t>
            </w:r>
            <w:r w:rsidRPr="00EB2BD8">
              <w:rPr>
                <w:spacing w:val="-11"/>
                <w:sz w:val="16"/>
              </w:rPr>
              <w:t xml:space="preserve"> </w:t>
            </w:r>
            <w:r w:rsidRPr="00EB2BD8">
              <w:rPr>
                <w:sz w:val="16"/>
              </w:rPr>
              <w:t>the</w:t>
            </w:r>
            <w:r w:rsidRPr="00EB2BD8">
              <w:rPr>
                <w:spacing w:val="-11"/>
                <w:sz w:val="16"/>
              </w:rPr>
              <w:t xml:space="preserve"> </w:t>
            </w:r>
            <w:r w:rsidRPr="00EB2BD8">
              <w:rPr>
                <w:spacing w:val="-2"/>
                <w:sz w:val="16"/>
              </w:rPr>
              <w:t>pipes.</w:t>
            </w:r>
          </w:p>
        </w:tc>
        <w:tc>
          <w:tcPr>
            <w:tcW w:w="3067" w:type="dxa"/>
            <w:tcBorders>
              <w:bottom w:val="single" w:sz="2" w:space="0" w:color="000000"/>
            </w:tcBorders>
          </w:tcPr>
          <w:p w14:paraId="68FF1F38" w14:textId="77777777" w:rsidR="00084F36" w:rsidRPr="00EB2BD8" w:rsidRDefault="00084F36">
            <w:pPr>
              <w:pStyle w:val="TableParagraph"/>
              <w:rPr>
                <w:rFonts w:ascii="Times New Roman"/>
                <w:sz w:val="16"/>
              </w:rPr>
            </w:pPr>
          </w:p>
        </w:tc>
        <w:tc>
          <w:tcPr>
            <w:tcW w:w="1091" w:type="dxa"/>
            <w:tcBorders>
              <w:bottom w:val="single" w:sz="2" w:space="0" w:color="000000"/>
            </w:tcBorders>
          </w:tcPr>
          <w:p w14:paraId="1E5D932B"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06E39AB6" w14:textId="77777777" w:rsidR="00084F36" w:rsidRPr="00EB2BD8" w:rsidRDefault="00084F36">
            <w:pPr>
              <w:pStyle w:val="TableParagraph"/>
              <w:rPr>
                <w:rFonts w:ascii="Times New Roman"/>
                <w:sz w:val="16"/>
              </w:rPr>
            </w:pPr>
          </w:p>
        </w:tc>
      </w:tr>
      <w:tr w:rsidR="00EB2BD8" w:rsidRPr="00EB2BD8" w14:paraId="5D471A76" w14:textId="77777777">
        <w:trPr>
          <w:trHeight w:val="326"/>
        </w:trPr>
        <w:tc>
          <w:tcPr>
            <w:tcW w:w="1744" w:type="dxa"/>
            <w:tcBorders>
              <w:top w:val="single" w:sz="2" w:space="0" w:color="000000"/>
            </w:tcBorders>
          </w:tcPr>
          <w:p w14:paraId="4035AA2F" w14:textId="77777777" w:rsidR="00084F36" w:rsidRPr="00EB2BD8" w:rsidRDefault="00EB2BD8">
            <w:pPr>
              <w:pStyle w:val="TableParagraph"/>
              <w:spacing w:before="116"/>
              <w:ind w:left="113"/>
              <w:rPr>
                <w:sz w:val="16"/>
              </w:rPr>
            </w:pPr>
            <w:r w:rsidRPr="00EB2BD8">
              <w:rPr>
                <w:spacing w:val="-5"/>
                <w:sz w:val="16"/>
              </w:rPr>
              <w:t>BARCLAY,</w:t>
            </w:r>
            <w:r w:rsidRPr="00EB2BD8">
              <w:rPr>
                <w:spacing w:val="-4"/>
                <w:sz w:val="16"/>
              </w:rPr>
              <w:t xml:space="preserve"> Joel</w:t>
            </w:r>
          </w:p>
        </w:tc>
        <w:tc>
          <w:tcPr>
            <w:tcW w:w="3130" w:type="dxa"/>
            <w:tcBorders>
              <w:top w:val="single" w:sz="2" w:space="0" w:color="000000"/>
            </w:tcBorders>
          </w:tcPr>
          <w:p w14:paraId="65CE97A0" w14:textId="77777777" w:rsidR="00084F36" w:rsidRPr="00EB2BD8" w:rsidRDefault="00EB2BD8">
            <w:pPr>
              <w:pStyle w:val="TableParagraph"/>
              <w:spacing w:before="116"/>
              <w:ind w:left="126"/>
              <w:rPr>
                <w:sz w:val="16"/>
              </w:rPr>
            </w:pPr>
            <w:r w:rsidRPr="00EB2BD8">
              <w:rPr>
                <w:spacing w:val="-2"/>
                <w:sz w:val="16"/>
              </w:rPr>
              <w:t>Completed below</w:t>
            </w:r>
            <w:r w:rsidRPr="00EB2BD8">
              <w:rPr>
                <w:spacing w:val="-1"/>
                <w:sz w:val="16"/>
              </w:rPr>
              <w:t xml:space="preserve"> </w:t>
            </w:r>
            <w:r w:rsidRPr="00EB2BD8">
              <w:rPr>
                <w:spacing w:val="-2"/>
                <w:sz w:val="16"/>
              </w:rPr>
              <w:t>ground sanitary</w:t>
            </w:r>
          </w:p>
        </w:tc>
        <w:tc>
          <w:tcPr>
            <w:tcW w:w="3067" w:type="dxa"/>
            <w:tcBorders>
              <w:top w:val="single" w:sz="2" w:space="0" w:color="000000"/>
            </w:tcBorders>
          </w:tcPr>
          <w:p w14:paraId="419BCB10" w14:textId="77777777" w:rsidR="00084F36" w:rsidRPr="00EB2BD8" w:rsidRDefault="00EB2BD8">
            <w:pPr>
              <w:pStyle w:val="TableParagraph"/>
              <w:spacing w:before="115"/>
              <w:ind w:left="114"/>
              <w:rPr>
                <w:sz w:val="16"/>
              </w:rPr>
            </w:pPr>
            <w:r w:rsidRPr="00EB2BD8">
              <w:rPr>
                <w:spacing w:val="-2"/>
                <w:sz w:val="16"/>
              </w:rPr>
              <w:t>One</w:t>
            </w:r>
            <w:r w:rsidRPr="00EB2BD8">
              <w:rPr>
                <w:spacing w:val="-4"/>
                <w:sz w:val="16"/>
              </w:rPr>
              <w:t xml:space="preserve"> </w:t>
            </w:r>
            <w:r w:rsidRPr="00EB2BD8">
              <w:rPr>
                <w:spacing w:val="-2"/>
                <w:sz w:val="16"/>
              </w:rPr>
              <w:t>ground</w:t>
            </w:r>
            <w:r w:rsidRPr="00EB2BD8">
              <w:rPr>
                <w:spacing w:val="-4"/>
                <w:sz w:val="16"/>
              </w:rPr>
              <w:t xml:space="preserve"> </w:t>
            </w:r>
            <w:r w:rsidRPr="00EB2BD8">
              <w:rPr>
                <w:spacing w:val="-2"/>
                <w:sz w:val="16"/>
              </w:rPr>
              <w:t>proven.</w:t>
            </w:r>
            <w:r w:rsidRPr="00EB2BD8">
              <w:rPr>
                <w:spacing w:val="-3"/>
                <w:sz w:val="16"/>
              </w:rPr>
              <w:t xml:space="preserve"> </w:t>
            </w:r>
            <w:r w:rsidRPr="00EB2BD8">
              <w:rPr>
                <w:spacing w:val="-2"/>
                <w:sz w:val="16"/>
              </w:rPr>
              <w:t>Penalty</w:t>
            </w:r>
            <w:r w:rsidRPr="00EB2BD8">
              <w:rPr>
                <w:spacing w:val="-4"/>
                <w:sz w:val="16"/>
              </w:rPr>
              <w:t xml:space="preserve"> </w:t>
            </w:r>
            <w:r w:rsidRPr="00EB2BD8">
              <w:rPr>
                <w:spacing w:val="-2"/>
                <w:sz w:val="16"/>
              </w:rPr>
              <w:t>of</w:t>
            </w:r>
            <w:r w:rsidRPr="00EB2BD8">
              <w:rPr>
                <w:spacing w:val="-3"/>
                <w:sz w:val="16"/>
              </w:rPr>
              <w:t xml:space="preserve"> </w:t>
            </w:r>
            <w:r w:rsidRPr="00EB2BD8">
              <w:rPr>
                <w:spacing w:val="-4"/>
                <w:sz w:val="16"/>
              </w:rPr>
              <w:t>$545</w:t>
            </w:r>
          </w:p>
        </w:tc>
        <w:tc>
          <w:tcPr>
            <w:tcW w:w="1091" w:type="dxa"/>
            <w:tcBorders>
              <w:top w:val="single" w:sz="2" w:space="0" w:color="000000"/>
            </w:tcBorders>
          </w:tcPr>
          <w:p w14:paraId="10C9FAE9" w14:textId="77777777" w:rsidR="00084F36" w:rsidRPr="00EB2BD8" w:rsidRDefault="00EB2BD8">
            <w:pPr>
              <w:pStyle w:val="TableParagraph"/>
              <w:spacing w:before="115"/>
              <w:ind w:right="111"/>
              <w:jc w:val="right"/>
              <w:rPr>
                <w:sz w:val="16"/>
              </w:rPr>
            </w:pPr>
            <w:r w:rsidRPr="00EB2BD8">
              <w:rPr>
                <w:spacing w:val="-4"/>
                <w:sz w:val="16"/>
              </w:rPr>
              <w:t>$545</w:t>
            </w:r>
          </w:p>
        </w:tc>
        <w:tc>
          <w:tcPr>
            <w:tcW w:w="1176" w:type="dxa"/>
            <w:tcBorders>
              <w:top w:val="single" w:sz="2" w:space="0" w:color="000000"/>
            </w:tcBorders>
          </w:tcPr>
          <w:p w14:paraId="2FAB64CF" w14:textId="77777777" w:rsidR="00084F36" w:rsidRPr="00EB2BD8" w:rsidRDefault="00EB2BD8">
            <w:pPr>
              <w:pStyle w:val="TableParagraph"/>
              <w:spacing w:before="115"/>
              <w:ind w:left="114"/>
              <w:rPr>
                <w:sz w:val="16"/>
              </w:rPr>
            </w:pPr>
            <w:r w:rsidRPr="00EB2BD8">
              <w:rPr>
                <w:spacing w:val="-2"/>
                <w:sz w:val="16"/>
              </w:rPr>
              <w:t>20/04/2023</w:t>
            </w:r>
          </w:p>
        </w:tc>
      </w:tr>
      <w:tr w:rsidR="00EB2BD8" w:rsidRPr="00EB2BD8" w14:paraId="6ADAF18F" w14:textId="77777777">
        <w:trPr>
          <w:trHeight w:val="230"/>
        </w:trPr>
        <w:tc>
          <w:tcPr>
            <w:tcW w:w="1744" w:type="dxa"/>
          </w:tcPr>
          <w:p w14:paraId="0BCF02BA" w14:textId="77777777" w:rsidR="00084F36" w:rsidRPr="00EB2BD8" w:rsidRDefault="00084F36">
            <w:pPr>
              <w:pStyle w:val="TableParagraph"/>
              <w:rPr>
                <w:rFonts w:ascii="Times New Roman"/>
                <w:sz w:val="16"/>
              </w:rPr>
            </w:pPr>
          </w:p>
        </w:tc>
        <w:tc>
          <w:tcPr>
            <w:tcW w:w="3130" w:type="dxa"/>
          </w:tcPr>
          <w:p w14:paraId="1FA85597" w14:textId="77777777" w:rsidR="00084F36" w:rsidRPr="00EB2BD8" w:rsidRDefault="00EB2BD8">
            <w:pPr>
              <w:pStyle w:val="TableParagraph"/>
              <w:spacing w:before="19"/>
              <w:ind w:left="126"/>
              <w:rPr>
                <w:sz w:val="16"/>
              </w:rPr>
            </w:pPr>
            <w:r w:rsidRPr="00EB2BD8">
              <w:rPr>
                <w:sz w:val="16"/>
              </w:rPr>
              <w:t>drains</w:t>
            </w:r>
            <w:r w:rsidRPr="00EB2BD8">
              <w:rPr>
                <w:spacing w:val="-9"/>
                <w:sz w:val="16"/>
              </w:rPr>
              <w:t xml:space="preserve"> </w:t>
            </w:r>
            <w:r w:rsidRPr="00EB2BD8">
              <w:rPr>
                <w:sz w:val="16"/>
              </w:rPr>
              <w:t>at</w:t>
            </w:r>
            <w:r w:rsidRPr="00EB2BD8">
              <w:rPr>
                <w:spacing w:val="-9"/>
                <w:sz w:val="16"/>
              </w:rPr>
              <w:t xml:space="preserve"> </w:t>
            </w:r>
            <w:r w:rsidRPr="00EB2BD8">
              <w:rPr>
                <w:sz w:val="16"/>
              </w:rPr>
              <w:t>four</w:t>
            </w:r>
            <w:r w:rsidRPr="00EB2BD8">
              <w:rPr>
                <w:spacing w:val="-9"/>
                <w:sz w:val="16"/>
              </w:rPr>
              <w:t xml:space="preserve"> </w:t>
            </w:r>
            <w:r w:rsidRPr="00EB2BD8">
              <w:rPr>
                <w:sz w:val="16"/>
              </w:rPr>
              <w:t>sites</w:t>
            </w:r>
            <w:r w:rsidRPr="00EB2BD8">
              <w:rPr>
                <w:spacing w:val="-9"/>
                <w:sz w:val="16"/>
              </w:rPr>
              <w:t xml:space="preserve"> </w:t>
            </w:r>
            <w:r w:rsidRPr="00EB2BD8">
              <w:rPr>
                <w:sz w:val="16"/>
              </w:rPr>
              <w:t>and</w:t>
            </w:r>
            <w:r w:rsidRPr="00EB2BD8">
              <w:rPr>
                <w:spacing w:val="-9"/>
                <w:sz w:val="16"/>
              </w:rPr>
              <w:t xml:space="preserve"> </w:t>
            </w:r>
            <w:r w:rsidRPr="00EB2BD8">
              <w:rPr>
                <w:sz w:val="16"/>
              </w:rPr>
              <w:t>covered</w:t>
            </w:r>
            <w:r w:rsidRPr="00EB2BD8">
              <w:rPr>
                <w:spacing w:val="-9"/>
                <w:sz w:val="16"/>
              </w:rPr>
              <w:t xml:space="preserve"> </w:t>
            </w:r>
            <w:r w:rsidRPr="00EB2BD8">
              <w:rPr>
                <w:spacing w:val="-4"/>
                <w:sz w:val="16"/>
              </w:rPr>
              <w:t>them</w:t>
            </w:r>
          </w:p>
        </w:tc>
        <w:tc>
          <w:tcPr>
            <w:tcW w:w="3067" w:type="dxa"/>
          </w:tcPr>
          <w:p w14:paraId="17E8484A" w14:textId="77777777" w:rsidR="00084F36" w:rsidRPr="00EB2BD8" w:rsidRDefault="00EB2BD8">
            <w:pPr>
              <w:pStyle w:val="TableParagraph"/>
              <w:spacing w:before="19"/>
              <w:ind w:left="114"/>
              <w:rPr>
                <w:sz w:val="16"/>
              </w:rPr>
            </w:pPr>
            <w:r w:rsidRPr="00EB2BD8">
              <w:rPr>
                <w:spacing w:val="-2"/>
                <w:sz w:val="16"/>
              </w:rPr>
              <w:t>plus</w:t>
            </w:r>
            <w:r w:rsidRPr="00EB2BD8">
              <w:rPr>
                <w:spacing w:val="-10"/>
                <w:sz w:val="16"/>
              </w:rPr>
              <w:t xml:space="preserve"> </w:t>
            </w:r>
            <w:r w:rsidRPr="00EB2BD8">
              <w:rPr>
                <w:spacing w:val="-2"/>
                <w:sz w:val="16"/>
              </w:rPr>
              <w:t>cost</w:t>
            </w:r>
            <w:r w:rsidRPr="00EB2BD8">
              <w:rPr>
                <w:spacing w:val="-10"/>
                <w:sz w:val="16"/>
              </w:rPr>
              <w:t xml:space="preserve"> </w:t>
            </w:r>
            <w:r w:rsidRPr="00EB2BD8">
              <w:rPr>
                <w:spacing w:val="-2"/>
                <w:sz w:val="16"/>
              </w:rPr>
              <w:t>of</w:t>
            </w:r>
            <w:r w:rsidRPr="00EB2BD8">
              <w:rPr>
                <w:spacing w:val="-10"/>
                <w:sz w:val="16"/>
              </w:rPr>
              <w:t xml:space="preserve"> </w:t>
            </w:r>
            <w:r w:rsidRPr="00EB2BD8">
              <w:rPr>
                <w:spacing w:val="-2"/>
                <w:sz w:val="16"/>
              </w:rPr>
              <w:t>$696.</w:t>
            </w:r>
          </w:p>
        </w:tc>
        <w:tc>
          <w:tcPr>
            <w:tcW w:w="1091" w:type="dxa"/>
          </w:tcPr>
          <w:p w14:paraId="452A0ED5" w14:textId="77777777" w:rsidR="00084F36" w:rsidRPr="00EB2BD8" w:rsidRDefault="00084F36">
            <w:pPr>
              <w:pStyle w:val="TableParagraph"/>
              <w:rPr>
                <w:rFonts w:ascii="Times New Roman"/>
                <w:sz w:val="16"/>
              </w:rPr>
            </w:pPr>
          </w:p>
        </w:tc>
        <w:tc>
          <w:tcPr>
            <w:tcW w:w="1176" w:type="dxa"/>
          </w:tcPr>
          <w:p w14:paraId="7987D3F2" w14:textId="77777777" w:rsidR="00084F36" w:rsidRPr="00EB2BD8" w:rsidRDefault="00084F36">
            <w:pPr>
              <w:pStyle w:val="TableParagraph"/>
              <w:rPr>
                <w:rFonts w:ascii="Times New Roman"/>
                <w:sz w:val="16"/>
              </w:rPr>
            </w:pPr>
          </w:p>
        </w:tc>
      </w:tr>
      <w:tr w:rsidR="00EB2BD8" w:rsidRPr="00EB2BD8" w14:paraId="341E55F0" w14:textId="77777777">
        <w:trPr>
          <w:trHeight w:val="229"/>
        </w:trPr>
        <w:tc>
          <w:tcPr>
            <w:tcW w:w="1744" w:type="dxa"/>
          </w:tcPr>
          <w:p w14:paraId="6C71E485" w14:textId="77777777" w:rsidR="00084F36" w:rsidRPr="00EB2BD8" w:rsidRDefault="00084F36">
            <w:pPr>
              <w:pStyle w:val="TableParagraph"/>
              <w:rPr>
                <w:rFonts w:ascii="Times New Roman"/>
                <w:sz w:val="16"/>
              </w:rPr>
            </w:pPr>
          </w:p>
        </w:tc>
        <w:tc>
          <w:tcPr>
            <w:tcW w:w="3130" w:type="dxa"/>
          </w:tcPr>
          <w:p w14:paraId="6858BFF8" w14:textId="77777777" w:rsidR="00084F36" w:rsidRPr="00EB2BD8" w:rsidRDefault="00EB2BD8">
            <w:pPr>
              <w:pStyle w:val="TableParagraph"/>
              <w:spacing w:before="19"/>
              <w:ind w:left="126"/>
              <w:rPr>
                <w:sz w:val="16"/>
              </w:rPr>
            </w:pPr>
            <w:r w:rsidRPr="00EB2BD8">
              <w:rPr>
                <w:sz w:val="16"/>
              </w:rPr>
              <w:t>when</w:t>
            </w:r>
            <w:r w:rsidRPr="00EB2BD8">
              <w:rPr>
                <w:spacing w:val="-12"/>
                <w:sz w:val="16"/>
              </w:rPr>
              <w:t xml:space="preserve"> </w:t>
            </w:r>
            <w:r w:rsidRPr="00EB2BD8">
              <w:rPr>
                <w:sz w:val="16"/>
              </w:rPr>
              <w:t>the</w:t>
            </w:r>
            <w:r w:rsidRPr="00EB2BD8">
              <w:rPr>
                <w:spacing w:val="-12"/>
                <w:sz w:val="16"/>
              </w:rPr>
              <w:t xml:space="preserve"> </w:t>
            </w:r>
            <w:r w:rsidRPr="00EB2BD8">
              <w:rPr>
                <w:sz w:val="16"/>
              </w:rPr>
              <w:t>Authority</w:t>
            </w:r>
            <w:r w:rsidRPr="00EB2BD8">
              <w:rPr>
                <w:spacing w:val="-12"/>
                <w:sz w:val="16"/>
              </w:rPr>
              <w:t xml:space="preserve"> </w:t>
            </w:r>
            <w:r w:rsidRPr="00EB2BD8">
              <w:rPr>
                <w:sz w:val="16"/>
              </w:rPr>
              <w:t>had</w:t>
            </w:r>
            <w:r w:rsidRPr="00EB2BD8">
              <w:rPr>
                <w:spacing w:val="-12"/>
                <w:sz w:val="16"/>
              </w:rPr>
              <w:t xml:space="preserve"> </w:t>
            </w:r>
            <w:r w:rsidRPr="00EB2BD8">
              <w:rPr>
                <w:sz w:val="16"/>
              </w:rPr>
              <w:t>not</w:t>
            </w:r>
            <w:r w:rsidRPr="00EB2BD8">
              <w:rPr>
                <w:spacing w:val="-12"/>
                <w:sz w:val="16"/>
              </w:rPr>
              <w:t xml:space="preserve"> </w:t>
            </w:r>
            <w:r w:rsidRPr="00EB2BD8">
              <w:rPr>
                <w:spacing w:val="-2"/>
                <w:sz w:val="16"/>
              </w:rPr>
              <w:t>inspected</w:t>
            </w:r>
          </w:p>
        </w:tc>
        <w:tc>
          <w:tcPr>
            <w:tcW w:w="3067" w:type="dxa"/>
          </w:tcPr>
          <w:p w14:paraId="2FC97E76" w14:textId="77777777" w:rsidR="00084F36" w:rsidRPr="00EB2BD8" w:rsidRDefault="00084F36">
            <w:pPr>
              <w:pStyle w:val="TableParagraph"/>
              <w:rPr>
                <w:rFonts w:ascii="Times New Roman"/>
                <w:sz w:val="16"/>
              </w:rPr>
            </w:pPr>
          </w:p>
        </w:tc>
        <w:tc>
          <w:tcPr>
            <w:tcW w:w="1091" w:type="dxa"/>
          </w:tcPr>
          <w:p w14:paraId="600547E3" w14:textId="77777777" w:rsidR="00084F36" w:rsidRPr="00EB2BD8" w:rsidRDefault="00084F36">
            <w:pPr>
              <w:pStyle w:val="TableParagraph"/>
              <w:rPr>
                <w:rFonts w:ascii="Times New Roman"/>
                <w:sz w:val="16"/>
              </w:rPr>
            </w:pPr>
          </w:p>
        </w:tc>
        <w:tc>
          <w:tcPr>
            <w:tcW w:w="1176" w:type="dxa"/>
          </w:tcPr>
          <w:p w14:paraId="45A3B332" w14:textId="77777777" w:rsidR="00084F36" w:rsidRPr="00EB2BD8" w:rsidRDefault="00084F36">
            <w:pPr>
              <w:pStyle w:val="TableParagraph"/>
              <w:rPr>
                <w:rFonts w:ascii="Times New Roman"/>
                <w:sz w:val="16"/>
              </w:rPr>
            </w:pPr>
          </w:p>
        </w:tc>
      </w:tr>
      <w:tr w:rsidR="00EB2BD8" w:rsidRPr="00EB2BD8" w14:paraId="58F7B68B" w14:textId="77777777">
        <w:trPr>
          <w:trHeight w:val="229"/>
        </w:trPr>
        <w:tc>
          <w:tcPr>
            <w:tcW w:w="1744" w:type="dxa"/>
          </w:tcPr>
          <w:p w14:paraId="0AD3AAB0" w14:textId="77777777" w:rsidR="00084F36" w:rsidRPr="00EB2BD8" w:rsidRDefault="00084F36">
            <w:pPr>
              <w:pStyle w:val="TableParagraph"/>
              <w:rPr>
                <w:rFonts w:ascii="Times New Roman"/>
                <w:sz w:val="16"/>
              </w:rPr>
            </w:pPr>
          </w:p>
        </w:tc>
        <w:tc>
          <w:tcPr>
            <w:tcW w:w="3130" w:type="dxa"/>
          </w:tcPr>
          <w:p w14:paraId="7547D4E3" w14:textId="77777777" w:rsidR="00084F36" w:rsidRPr="00EB2BD8" w:rsidRDefault="00EB2BD8">
            <w:pPr>
              <w:pStyle w:val="TableParagraph"/>
              <w:spacing w:before="19"/>
              <w:ind w:left="126"/>
              <w:rPr>
                <w:sz w:val="16"/>
              </w:rPr>
            </w:pPr>
            <w:r w:rsidRPr="00EB2BD8">
              <w:rPr>
                <w:sz w:val="16"/>
              </w:rPr>
              <w:t>nor</w:t>
            </w:r>
            <w:r w:rsidRPr="00EB2BD8">
              <w:rPr>
                <w:spacing w:val="-13"/>
                <w:sz w:val="16"/>
              </w:rPr>
              <w:t xml:space="preserve"> </w:t>
            </w:r>
            <w:r w:rsidRPr="00EB2BD8">
              <w:rPr>
                <w:sz w:val="16"/>
              </w:rPr>
              <w:t>authorised</w:t>
            </w:r>
            <w:r w:rsidRPr="00EB2BD8">
              <w:rPr>
                <w:spacing w:val="-12"/>
                <w:sz w:val="16"/>
              </w:rPr>
              <w:t xml:space="preserve"> </w:t>
            </w:r>
            <w:r w:rsidRPr="00EB2BD8">
              <w:rPr>
                <w:sz w:val="16"/>
              </w:rPr>
              <w:t>the</w:t>
            </w:r>
            <w:r w:rsidRPr="00EB2BD8">
              <w:rPr>
                <w:spacing w:val="-12"/>
                <w:sz w:val="16"/>
              </w:rPr>
              <w:t xml:space="preserve"> </w:t>
            </w:r>
            <w:r w:rsidRPr="00EB2BD8">
              <w:rPr>
                <w:sz w:val="16"/>
              </w:rPr>
              <w:t>covering</w:t>
            </w:r>
            <w:r w:rsidRPr="00EB2BD8">
              <w:rPr>
                <w:spacing w:val="-13"/>
                <w:sz w:val="16"/>
              </w:rPr>
              <w:t xml:space="preserve"> </w:t>
            </w:r>
            <w:r w:rsidRPr="00EB2BD8">
              <w:rPr>
                <w:sz w:val="16"/>
              </w:rPr>
              <w:t>of</w:t>
            </w:r>
            <w:r w:rsidRPr="00EB2BD8">
              <w:rPr>
                <w:spacing w:val="-12"/>
                <w:sz w:val="16"/>
              </w:rPr>
              <w:t xml:space="preserve"> </w:t>
            </w:r>
            <w:r w:rsidRPr="00EB2BD8">
              <w:rPr>
                <w:spacing w:val="-5"/>
                <w:sz w:val="16"/>
              </w:rPr>
              <w:t>the</w:t>
            </w:r>
          </w:p>
        </w:tc>
        <w:tc>
          <w:tcPr>
            <w:tcW w:w="3067" w:type="dxa"/>
          </w:tcPr>
          <w:p w14:paraId="5FBEF615" w14:textId="77777777" w:rsidR="00084F36" w:rsidRPr="00EB2BD8" w:rsidRDefault="00084F36">
            <w:pPr>
              <w:pStyle w:val="TableParagraph"/>
              <w:rPr>
                <w:rFonts w:ascii="Times New Roman"/>
                <w:sz w:val="16"/>
              </w:rPr>
            </w:pPr>
          </w:p>
        </w:tc>
        <w:tc>
          <w:tcPr>
            <w:tcW w:w="1091" w:type="dxa"/>
          </w:tcPr>
          <w:p w14:paraId="3BF379F1" w14:textId="77777777" w:rsidR="00084F36" w:rsidRPr="00EB2BD8" w:rsidRDefault="00084F36">
            <w:pPr>
              <w:pStyle w:val="TableParagraph"/>
              <w:rPr>
                <w:rFonts w:ascii="Times New Roman"/>
                <w:sz w:val="16"/>
              </w:rPr>
            </w:pPr>
          </w:p>
        </w:tc>
        <w:tc>
          <w:tcPr>
            <w:tcW w:w="1176" w:type="dxa"/>
          </w:tcPr>
          <w:p w14:paraId="0699E520" w14:textId="77777777" w:rsidR="00084F36" w:rsidRPr="00EB2BD8" w:rsidRDefault="00084F36">
            <w:pPr>
              <w:pStyle w:val="TableParagraph"/>
              <w:rPr>
                <w:rFonts w:ascii="Times New Roman"/>
                <w:sz w:val="16"/>
              </w:rPr>
            </w:pPr>
          </w:p>
        </w:tc>
      </w:tr>
      <w:tr w:rsidR="00EB2BD8" w:rsidRPr="00EB2BD8" w14:paraId="061FBBDA" w14:textId="77777777">
        <w:trPr>
          <w:trHeight w:val="285"/>
        </w:trPr>
        <w:tc>
          <w:tcPr>
            <w:tcW w:w="1744" w:type="dxa"/>
            <w:tcBorders>
              <w:bottom w:val="single" w:sz="2" w:space="0" w:color="000000"/>
            </w:tcBorders>
          </w:tcPr>
          <w:p w14:paraId="3222DBFF" w14:textId="77777777" w:rsidR="00084F36" w:rsidRPr="00EB2BD8" w:rsidRDefault="00084F36">
            <w:pPr>
              <w:pStyle w:val="TableParagraph"/>
              <w:rPr>
                <w:rFonts w:ascii="Times New Roman"/>
                <w:sz w:val="16"/>
              </w:rPr>
            </w:pPr>
          </w:p>
        </w:tc>
        <w:tc>
          <w:tcPr>
            <w:tcW w:w="3130" w:type="dxa"/>
            <w:tcBorders>
              <w:bottom w:val="single" w:sz="2" w:space="0" w:color="000000"/>
            </w:tcBorders>
          </w:tcPr>
          <w:p w14:paraId="7E5E95E2" w14:textId="77777777" w:rsidR="00084F36" w:rsidRPr="00EB2BD8" w:rsidRDefault="00EB2BD8">
            <w:pPr>
              <w:pStyle w:val="TableParagraph"/>
              <w:spacing w:before="19"/>
              <w:ind w:left="126"/>
              <w:rPr>
                <w:sz w:val="16"/>
              </w:rPr>
            </w:pPr>
            <w:r w:rsidRPr="00EB2BD8">
              <w:rPr>
                <w:spacing w:val="-2"/>
                <w:sz w:val="16"/>
              </w:rPr>
              <w:t>pipes.</w:t>
            </w:r>
          </w:p>
        </w:tc>
        <w:tc>
          <w:tcPr>
            <w:tcW w:w="3067" w:type="dxa"/>
            <w:tcBorders>
              <w:bottom w:val="single" w:sz="2" w:space="0" w:color="000000"/>
            </w:tcBorders>
          </w:tcPr>
          <w:p w14:paraId="0DA8ED8D" w14:textId="77777777" w:rsidR="00084F36" w:rsidRPr="00EB2BD8" w:rsidRDefault="00084F36">
            <w:pPr>
              <w:pStyle w:val="TableParagraph"/>
              <w:rPr>
                <w:rFonts w:ascii="Times New Roman"/>
                <w:sz w:val="16"/>
              </w:rPr>
            </w:pPr>
          </w:p>
        </w:tc>
        <w:tc>
          <w:tcPr>
            <w:tcW w:w="1091" w:type="dxa"/>
            <w:tcBorders>
              <w:bottom w:val="single" w:sz="2" w:space="0" w:color="000000"/>
            </w:tcBorders>
          </w:tcPr>
          <w:p w14:paraId="24ADE3CF"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3E094EC5" w14:textId="77777777" w:rsidR="00084F36" w:rsidRPr="00EB2BD8" w:rsidRDefault="00084F36">
            <w:pPr>
              <w:pStyle w:val="TableParagraph"/>
              <w:rPr>
                <w:rFonts w:ascii="Times New Roman"/>
                <w:sz w:val="16"/>
              </w:rPr>
            </w:pPr>
          </w:p>
        </w:tc>
      </w:tr>
      <w:tr w:rsidR="00EB2BD8" w:rsidRPr="00EB2BD8" w14:paraId="5CDDA077" w14:textId="77777777">
        <w:trPr>
          <w:trHeight w:val="326"/>
        </w:trPr>
        <w:tc>
          <w:tcPr>
            <w:tcW w:w="1744" w:type="dxa"/>
            <w:tcBorders>
              <w:top w:val="single" w:sz="2" w:space="0" w:color="000000"/>
            </w:tcBorders>
          </w:tcPr>
          <w:p w14:paraId="0A765D56" w14:textId="77777777" w:rsidR="00084F36" w:rsidRPr="00EB2BD8" w:rsidRDefault="00EB2BD8">
            <w:pPr>
              <w:pStyle w:val="TableParagraph"/>
              <w:spacing w:before="115"/>
              <w:ind w:left="113"/>
              <w:rPr>
                <w:sz w:val="16"/>
              </w:rPr>
            </w:pPr>
            <w:r w:rsidRPr="00EB2BD8">
              <w:rPr>
                <w:sz w:val="16"/>
              </w:rPr>
              <w:t>BOYADJIAN,</w:t>
            </w:r>
            <w:r w:rsidRPr="00EB2BD8">
              <w:rPr>
                <w:spacing w:val="-11"/>
                <w:sz w:val="16"/>
              </w:rPr>
              <w:t xml:space="preserve"> </w:t>
            </w:r>
            <w:r w:rsidRPr="00EB2BD8">
              <w:rPr>
                <w:spacing w:val="-2"/>
                <w:sz w:val="16"/>
              </w:rPr>
              <w:t>Mihran</w:t>
            </w:r>
          </w:p>
        </w:tc>
        <w:tc>
          <w:tcPr>
            <w:tcW w:w="3130" w:type="dxa"/>
            <w:tcBorders>
              <w:top w:val="single" w:sz="2" w:space="0" w:color="000000"/>
            </w:tcBorders>
          </w:tcPr>
          <w:p w14:paraId="79E75620" w14:textId="77777777" w:rsidR="00084F36" w:rsidRPr="00EB2BD8" w:rsidRDefault="00EB2BD8">
            <w:pPr>
              <w:pStyle w:val="TableParagraph"/>
              <w:spacing w:before="115"/>
              <w:ind w:left="126"/>
              <w:rPr>
                <w:sz w:val="16"/>
              </w:rPr>
            </w:pPr>
            <w:r w:rsidRPr="00EB2BD8">
              <w:rPr>
                <w:spacing w:val="-2"/>
                <w:sz w:val="16"/>
              </w:rPr>
              <w:t>Failed</w:t>
            </w:r>
            <w:r w:rsidRPr="00EB2BD8">
              <w:rPr>
                <w:spacing w:val="-5"/>
                <w:sz w:val="16"/>
              </w:rPr>
              <w:t xml:space="preserve"> </w:t>
            </w:r>
            <w:r w:rsidRPr="00EB2BD8">
              <w:rPr>
                <w:spacing w:val="-2"/>
                <w:sz w:val="16"/>
              </w:rPr>
              <w:t>to</w:t>
            </w:r>
            <w:r w:rsidRPr="00EB2BD8">
              <w:rPr>
                <w:spacing w:val="-5"/>
                <w:sz w:val="16"/>
              </w:rPr>
              <w:t xml:space="preserve"> </w:t>
            </w:r>
            <w:r w:rsidRPr="00EB2BD8">
              <w:rPr>
                <w:spacing w:val="-2"/>
                <w:sz w:val="16"/>
              </w:rPr>
              <w:t>comply</w:t>
            </w:r>
            <w:r w:rsidRPr="00EB2BD8">
              <w:rPr>
                <w:spacing w:val="-5"/>
                <w:sz w:val="16"/>
              </w:rPr>
              <w:t xml:space="preserve"> </w:t>
            </w:r>
            <w:r w:rsidRPr="00EB2BD8">
              <w:rPr>
                <w:spacing w:val="-2"/>
                <w:sz w:val="16"/>
              </w:rPr>
              <w:t>with</w:t>
            </w:r>
            <w:r w:rsidRPr="00EB2BD8">
              <w:rPr>
                <w:spacing w:val="-4"/>
                <w:sz w:val="16"/>
              </w:rPr>
              <w:t xml:space="preserve"> </w:t>
            </w:r>
            <w:r w:rsidRPr="00EB2BD8">
              <w:rPr>
                <w:spacing w:val="-2"/>
                <w:sz w:val="16"/>
              </w:rPr>
              <w:t>the</w:t>
            </w:r>
            <w:r w:rsidRPr="00EB2BD8">
              <w:rPr>
                <w:spacing w:val="-5"/>
                <w:sz w:val="16"/>
              </w:rPr>
              <w:t xml:space="preserve"> </w:t>
            </w:r>
            <w:r w:rsidRPr="00EB2BD8">
              <w:rPr>
                <w:spacing w:val="-2"/>
                <w:sz w:val="16"/>
              </w:rPr>
              <w:t>rectification</w:t>
            </w:r>
          </w:p>
        </w:tc>
        <w:tc>
          <w:tcPr>
            <w:tcW w:w="3067" w:type="dxa"/>
            <w:tcBorders>
              <w:top w:val="single" w:sz="2" w:space="0" w:color="000000"/>
            </w:tcBorders>
          </w:tcPr>
          <w:p w14:paraId="3ADFF812" w14:textId="77777777" w:rsidR="00084F36" w:rsidRPr="00EB2BD8" w:rsidRDefault="00EB2BD8">
            <w:pPr>
              <w:pStyle w:val="TableParagraph"/>
              <w:spacing w:before="115"/>
              <w:ind w:left="114"/>
              <w:rPr>
                <w:sz w:val="16"/>
              </w:rPr>
            </w:pPr>
            <w:r w:rsidRPr="00EB2BD8">
              <w:rPr>
                <w:spacing w:val="-2"/>
                <w:sz w:val="16"/>
              </w:rPr>
              <w:t>One</w:t>
            </w:r>
            <w:r w:rsidRPr="00EB2BD8">
              <w:rPr>
                <w:spacing w:val="-10"/>
                <w:sz w:val="16"/>
              </w:rPr>
              <w:t xml:space="preserve"> </w:t>
            </w:r>
            <w:r w:rsidRPr="00EB2BD8">
              <w:rPr>
                <w:spacing w:val="-2"/>
                <w:sz w:val="16"/>
              </w:rPr>
              <w:t>ground</w:t>
            </w:r>
            <w:r w:rsidRPr="00EB2BD8">
              <w:rPr>
                <w:spacing w:val="-9"/>
                <w:sz w:val="16"/>
              </w:rPr>
              <w:t xml:space="preserve"> </w:t>
            </w:r>
            <w:r w:rsidRPr="00EB2BD8">
              <w:rPr>
                <w:spacing w:val="-2"/>
                <w:sz w:val="16"/>
              </w:rPr>
              <w:t>proven.</w:t>
            </w:r>
            <w:r w:rsidRPr="00EB2BD8">
              <w:rPr>
                <w:spacing w:val="-9"/>
                <w:sz w:val="16"/>
              </w:rPr>
              <w:t xml:space="preserve"> </w:t>
            </w:r>
            <w:r w:rsidRPr="00EB2BD8">
              <w:rPr>
                <w:spacing w:val="-2"/>
                <w:sz w:val="16"/>
              </w:rPr>
              <w:t>Reprimand.</w:t>
            </w:r>
          </w:p>
        </w:tc>
        <w:tc>
          <w:tcPr>
            <w:tcW w:w="1091" w:type="dxa"/>
            <w:tcBorders>
              <w:top w:val="single" w:sz="2" w:space="0" w:color="000000"/>
            </w:tcBorders>
          </w:tcPr>
          <w:p w14:paraId="3D3C9A7D" w14:textId="77777777" w:rsidR="00084F36" w:rsidRPr="00EB2BD8" w:rsidRDefault="00EB2BD8">
            <w:pPr>
              <w:pStyle w:val="TableParagraph"/>
              <w:spacing w:before="115"/>
              <w:ind w:right="111"/>
              <w:jc w:val="right"/>
              <w:rPr>
                <w:sz w:val="16"/>
              </w:rPr>
            </w:pPr>
            <w:r w:rsidRPr="00EB2BD8">
              <w:rPr>
                <w:spacing w:val="-4"/>
                <w:sz w:val="16"/>
              </w:rPr>
              <w:t>$925</w:t>
            </w:r>
          </w:p>
        </w:tc>
        <w:tc>
          <w:tcPr>
            <w:tcW w:w="1176" w:type="dxa"/>
            <w:tcBorders>
              <w:top w:val="single" w:sz="2" w:space="0" w:color="000000"/>
            </w:tcBorders>
          </w:tcPr>
          <w:p w14:paraId="58FF7FFB" w14:textId="77777777" w:rsidR="00084F36" w:rsidRPr="00EB2BD8" w:rsidRDefault="00EB2BD8">
            <w:pPr>
              <w:pStyle w:val="TableParagraph"/>
              <w:spacing w:before="115"/>
              <w:ind w:left="113"/>
              <w:rPr>
                <w:sz w:val="16"/>
              </w:rPr>
            </w:pPr>
            <w:r w:rsidRPr="00EB2BD8">
              <w:rPr>
                <w:spacing w:val="-2"/>
                <w:w w:val="95"/>
                <w:sz w:val="16"/>
              </w:rPr>
              <w:t>24/01/2023</w:t>
            </w:r>
          </w:p>
        </w:tc>
      </w:tr>
      <w:tr w:rsidR="00EB2BD8" w:rsidRPr="00EB2BD8" w14:paraId="4D3F53E5" w14:textId="77777777">
        <w:trPr>
          <w:trHeight w:val="285"/>
        </w:trPr>
        <w:tc>
          <w:tcPr>
            <w:tcW w:w="1744" w:type="dxa"/>
            <w:tcBorders>
              <w:bottom w:val="single" w:sz="2" w:space="0" w:color="000000"/>
            </w:tcBorders>
          </w:tcPr>
          <w:p w14:paraId="3D61DEBB" w14:textId="77777777" w:rsidR="00084F36" w:rsidRPr="00EB2BD8" w:rsidRDefault="00084F36">
            <w:pPr>
              <w:pStyle w:val="TableParagraph"/>
              <w:rPr>
                <w:rFonts w:ascii="Times New Roman"/>
                <w:sz w:val="16"/>
              </w:rPr>
            </w:pPr>
          </w:p>
        </w:tc>
        <w:tc>
          <w:tcPr>
            <w:tcW w:w="3130" w:type="dxa"/>
            <w:tcBorders>
              <w:bottom w:val="single" w:sz="2" w:space="0" w:color="000000"/>
            </w:tcBorders>
          </w:tcPr>
          <w:p w14:paraId="6EAA7C2E" w14:textId="77777777" w:rsidR="00084F36" w:rsidRPr="00EB2BD8" w:rsidRDefault="00EB2BD8">
            <w:pPr>
              <w:pStyle w:val="TableParagraph"/>
              <w:spacing w:before="19"/>
              <w:ind w:left="126"/>
              <w:rPr>
                <w:sz w:val="16"/>
              </w:rPr>
            </w:pPr>
            <w:r w:rsidRPr="00EB2BD8">
              <w:rPr>
                <w:spacing w:val="-2"/>
                <w:sz w:val="16"/>
              </w:rPr>
              <w:t>notice.</w:t>
            </w:r>
          </w:p>
        </w:tc>
        <w:tc>
          <w:tcPr>
            <w:tcW w:w="3067" w:type="dxa"/>
            <w:tcBorders>
              <w:bottom w:val="single" w:sz="2" w:space="0" w:color="000000"/>
            </w:tcBorders>
          </w:tcPr>
          <w:p w14:paraId="1D6ADF28" w14:textId="77777777" w:rsidR="00084F36" w:rsidRPr="00EB2BD8" w:rsidRDefault="00EB2BD8">
            <w:pPr>
              <w:pStyle w:val="TableParagraph"/>
              <w:spacing w:before="19"/>
              <w:ind w:left="114"/>
              <w:rPr>
                <w:sz w:val="16"/>
              </w:rPr>
            </w:pPr>
            <w:r w:rsidRPr="00EB2BD8">
              <w:rPr>
                <w:spacing w:val="-4"/>
                <w:sz w:val="16"/>
              </w:rPr>
              <w:t>Penalty</w:t>
            </w:r>
            <w:r w:rsidRPr="00EB2BD8">
              <w:rPr>
                <w:spacing w:val="-5"/>
                <w:sz w:val="16"/>
              </w:rPr>
              <w:t xml:space="preserve"> </w:t>
            </w:r>
            <w:r w:rsidRPr="00EB2BD8">
              <w:rPr>
                <w:spacing w:val="-4"/>
                <w:sz w:val="16"/>
              </w:rPr>
              <w:t>of $925 plus costs of $2,075.</w:t>
            </w:r>
          </w:p>
        </w:tc>
        <w:tc>
          <w:tcPr>
            <w:tcW w:w="1091" w:type="dxa"/>
            <w:tcBorders>
              <w:bottom w:val="single" w:sz="2" w:space="0" w:color="000000"/>
            </w:tcBorders>
          </w:tcPr>
          <w:p w14:paraId="27FFD17B"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1C142E42" w14:textId="77777777" w:rsidR="00084F36" w:rsidRPr="00EB2BD8" w:rsidRDefault="00084F36">
            <w:pPr>
              <w:pStyle w:val="TableParagraph"/>
              <w:rPr>
                <w:rFonts w:ascii="Times New Roman"/>
                <w:sz w:val="16"/>
              </w:rPr>
            </w:pPr>
          </w:p>
        </w:tc>
      </w:tr>
      <w:tr w:rsidR="00EB2BD8" w:rsidRPr="00EB2BD8" w14:paraId="2C2C65DC" w14:textId="77777777">
        <w:trPr>
          <w:trHeight w:val="326"/>
        </w:trPr>
        <w:tc>
          <w:tcPr>
            <w:tcW w:w="1744" w:type="dxa"/>
            <w:tcBorders>
              <w:top w:val="single" w:sz="2" w:space="0" w:color="000000"/>
            </w:tcBorders>
          </w:tcPr>
          <w:p w14:paraId="118261B2" w14:textId="77777777" w:rsidR="00084F36" w:rsidRPr="00EB2BD8" w:rsidRDefault="00EB2BD8">
            <w:pPr>
              <w:pStyle w:val="TableParagraph"/>
              <w:spacing w:before="115"/>
              <w:ind w:left="112"/>
              <w:rPr>
                <w:sz w:val="16"/>
              </w:rPr>
            </w:pPr>
            <w:r w:rsidRPr="00EB2BD8">
              <w:rPr>
                <w:sz w:val="16"/>
              </w:rPr>
              <w:t>BUCK,</w:t>
            </w:r>
            <w:r w:rsidRPr="00EB2BD8">
              <w:rPr>
                <w:spacing w:val="-12"/>
                <w:sz w:val="16"/>
              </w:rPr>
              <w:t xml:space="preserve"> </w:t>
            </w:r>
            <w:r w:rsidRPr="00EB2BD8">
              <w:rPr>
                <w:spacing w:val="-2"/>
                <w:sz w:val="16"/>
              </w:rPr>
              <w:t>Andrew</w:t>
            </w:r>
          </w:p>
        </w:tc>
        <w:tc>
          <w:tcPr>
            <w:tcW w:w="3130" w:type="dxa"/>
            <w:tcBorders>
              <w:top w:val="single" w:sz="2" w:space="0" w:color="000000"/>
            </w:tcBorders>
          </w:tcPr>
          <w:p w14:paraId="51EA938C" w14:textId="77777777" w:rsidR="00084F36" w:rsidRPr="00EB2BD8" w:rsidRDefault="00EB2BD8">
            <w:pPr>
              <w:pStyle w:val="TableParagraph"/>
              <w:spacing w:before="115"/>
              <w:ind w:left="126"/>
              <w:rPr>
                <w:sz w:val="16"/>
              </w:rPr>
            </w:pPr>
            <w:r w:rsidRPr="00EB2BD8">
              <w:rPr>
                <w:spacing w:val="-2"/>
                <w:sz w:val="16"/>
              </w:rPr>
              <w:t>Not</w:t>
            </w:r>
            <w:r w:rsidRPr="00EB2BD8">
              <w:rPr>
                <w:spacing w:val="-5"/>
                <w:sz w:val="16"/>
              </w:rPr>
              <w:t xml:space="preserve"> </w:t>
            </w:r>
            <w:r w:rsidRPr="00EB2BD8">
              <w:rPr>
                <w:spacing w:val="-2"/>
                <w:sz w:val="16"/>
              </w:rPr>
              <w:t>providing</w:t>
            </w:r>
            <w:r w:rsidRPr="00EB2BD8">
              <w:rPr>
                <w:spacing w:val="-4"/>
                <w:sz w:val="16"/>
              </w:rPr>
              <w:t xml:space="preserve"> </w:t>
            </w:r>
            <w:r w:rsidRPr="00EB2BD8">
              <w:rPr>
                <w:spacing w:val="-2"/>
                <w:sz w:val="16"/>
              </w:rPr>
              <w:t>signed</w:t>
            </w:r>
            <w:r w:rsidRPr="00EB2BD8">
              <w:rPr>
                <w:spacing w:val="-4"/>
                <w:sz w:val="16"/>
              </w:rPr>
              <w:t xml:space="preserve"> </w:t>
            </w:r>
            <w:r w:rsidRPr="00EB2BD8">
              <w:rPr>
                <w:spacing w:val="-2"/>
                <w:sz w:val="16"/>
              </w:rPr>
              <w:t>compliance</w:t>
            </w:r>
          </w:p>
        </w:tc>
        <w:tc>
          <w:tcPr>
            <w:tcW w:w="3067" w:type="dxa"/>
            <w:tcBorders>
              <w:top w:val="single" w:sz="2" w:space="0" w:color="000000"/>
            </w:tcBorders>
          </w:tcPr>
          <w:p w14:paraId="2F2B504E" w14:textId="77777777" w:rsidR="00084F36" w:rsidRPr="00EB2BD8" w:rsidRDefault="00EB2BD8">
            <w:pPr>
              <w:pStyle w:val="TableParagraph"/>
              <w:spacing w:before="115"/>
              <w:ind w:left="114"/>
              <w:rPr>
                <w:sz w:val="16"/>
              </w:rPr>
            </w:pPr>
            <w:r w:rsidRPr="00EB2BD8">
              <w:rPr>
                <w:spacing w:val="-2"/>
                <w:sz w:val="16"/>
              </w:rPr>
              <w:t>Four</w:t>
            </w:r>
            <w:r w:rsidRPr="00EB2BD8">
              <w:rPr>
                <w:spacing w:val="-3"/>
                <w:sz w:val="16"/>
              </w:rPr>
              <w:t xml:space="preserve"> </w:t>
            </w:r>
            <w:r w:rsidRPr="00EB2BD8">
              <w:rPr>
                <w:spacing w:val="-2"/>
                <w:sz w:val="16"/>
              </w:rPr>
              <w:t>grounds proven. Penalty</w:t>
            </w:r>
            <w:r w:rsidRPr="00EB2BD8">
              <w:rPr>
                <w:spacing w:val="-3"/>
                <w:sz w:val="16"/>
              </w:rPr>
              <w:t xml:space="preserve"> </w:t>
            </w:r>
            <w:r w:rsidRPr="00EB2BD8">
              <w:rPr>
                <w:spacing w:val="-5"/>
                <w:sz w:val="16"/>
              </w:rPr>
              <w:t>of</w:t>
            </w:r>
          </w:p>
        </w:tc>
        <w:tc>
          <w:tcPr>
            <w:tcW w:w="1091" w:type="dxa"/>
            <w:tcBorders>
              <w:top w:val="single" w:sz="2" w:space="0" w:color="000000"/>
            </w:tcBorders>
          </w:tcPr>
          <w:p w14:paraId="2BB49023" w14:textId="77777777" w:rsidR="00084F36" w:rsidRPr="00EB2BD8" w:rsidRDefault="00EB2BD8">
            <w:pPr>
              <w:pStyle w:val="TableParagraph"/>
              <w:spacing w:before="115"/>
              <w:ind w:right="110"/>
              <w:jc w:val="right"/>
              <w:rPr>
                <w:sz w:val="16"/>
              </w:rPr>
            </w:pPr>
            <w:r w:rsidRPr="00EB2BD8">
              <w:rPr>
                <w:spacing w:val="-2"/>
                <w:w w:val="80"/>
                <w:sz w:val="16"/>
              </w:rPr>
              <w:t>$1,157</w:t>
            </w:r>
          </w:p>
        </w:tc>
        <w:tc>
          <w:tcPr>
            <w:tcW w:w="1176" w:type="dxa"/>
            <w:tcBorders>
              <w:top w:val="single" w:sz="2" w:space="0" w:color="000000"/>
            </w:tcBorders>
          </w:tcPr>
          <w:p w14:paraId="490A5359" w14:textId="77777777" w:rsidR="00084F36" w:rsidRPr="00EB2BD8" w:rsidRDefault="00EB2BD8">
            <w:pPr>
              <w:pStyle w:val="TableParagraph"/>
              <w:spacing w:before="115"/>
              <w:ind w:left="113"/>
              <w:rPr>
                <w:sz w:val="16"/>
              </w:rPr>
            </w:pPr>
            <w:r w:rsidRPr="00EB2BD8">
              <w:rPr>
                <w:spacing w:val="-2"/>
                <w:w w:val="95"/>
                <w:sz w:val="16"/>
              </w:rPr>
              <w:t>22/06/2023</w:t>
            </w:r>
          </w:p>
        </w:tc>
      </w:tr>
      <w:tr w:rsidR="00EB2BD8" w:rsidRPr="00EB2BD8" w14:paraId="18BA69D2" w14:textId="77777777">
        <w:trPr>
          <w:trHeight w:val="230"/>
        </w:trPr>
        <w:tc>
          <w:tcPr>
            <w:tcW w:w="1744" w:type="dxa"/>
          </w:tcPr>
          <w:p w14:paraId="3E4C6B4F" w14:textId="77777777" w:rsidR="00084F36" w:rsidRPr="00EB2BD8" w:rsidRDefault="00084F36">
            <w:pPr>
              <w:pStyle w:val="TableParagraph"/>
              <w:rPr>
                <w:rFonts w:ascii="Times New Roman"/>
                <w:sz w:val="16"/>
              </w:rPr>
            </w:pPr>
          </w:p>
        </w:tc>
        <w:tc>
          <w:tcPr>
            <w:tcW w:w="3130" w:type="dxa"/>
          </w:tcPr>
          <w:p w14:paraId="14BD8CFE" w14:textId="77777777" w:rsidR="00084F36" w:rsidRPr="00EB2BD8" w:rsidRDefault="00EB2BD8">
            <w:pPr>
              <w:pStyle w:val="TableParagraph"/>
              <w:spacing w:before="19"/>
              <w:ind w:left="126"/>
              <w:rPr>
                <w:sz w:val="16"/>
              </w:rPr>
            </w:pPr>
            <w:r w:rsidRPr="00EB2BD8">
              <w:rPr>
                <w:sz w:val="16"/>
              </w:rPr>
              <w:t>certificates</w:t>
            </w:r>
            <w:r w:rsidRPr="00EB2BD8">
              <w:rPr>
                <w:spacing w:val="-11"/>
                <w:sz w:val="16"/>
              </w:rPr>
              <w:t xml:space="preserve"> </w:t>
            </w:r>
            <w:r w:rsidRPr="00EB2BD8">
              <w:rPr>
                <w:sz w:val="16"/>
              </w:rPr>
              <w:t>to</w:t>
            </w:r>
            <w:r w:rsidRPr="00EB2BD8">
              <w:rPr>
                <w:spacing w:val="-11"/>
                <w:sz w:val="16"/>
              </w:rPr>
              <w:t xml:space="preserve"> </w:t>
            </w:r>
            <w:r w:rsidRPr="00EB2BD8">
              <w:rPr>
                <w:sz w:val="16"/>
              </w:rPr>
              <w:t>the</w:t>
            </w:r>
            <w:r w:rsidRPr="00EB2BD8">
              <w:rPr>
                <w:spacing w:val="-10"/>
                <w:sz w:val="16"/>
              </w:rPr>
              <w:t xml:space="preserve"> </w:t>
            </w:r>
            <w:r w:rsidRPr="00EB2BD8">
              <w:rPr>
                <w:sz w:val="16"/>
              </w:rPr>
              <w:t>Authority</w:t>
            </w:r>
            <w:r w:rsidRPr="00EB2BD8">
              <w:rPr>
                <w:spacing w:val="-11"/>
                <w:sz w:val="16"/>
              </w:rPr>
              <w:t xml:space="preserve"> </w:t>
            </w:r>
            <w:r w:rsidRPr="00EB2BD8">
              <w:rPr>
                <w:sz w:val="16"/>
              </w:rPr>
              <w:t>and</w:t>
            </w:r>
            <w:r w:rsidRPr="00EB2BD8">
              <w:rPr>
                <w:spacing w:val="-10"/>
                <w:sz w:val="16"/>
              </w:rPr>
              <w:t xml:space="preserve"> </w:t>
            </w:r>
            <w:r w:rsidRPr="00EB2BD8">
              <w:rPr>
                <w:spacing w:val="-5"/>
                <w:sz w:val="16"/>
              </w:rPr>
              <w:t>not</w:t>
            </w:r>
          </w:p>
        </w:tc>
        <w:tc>
          <w:tcPr>
            <w:tcW w:w="3067" w:type="dxa"/>
          </w:tcPr>
          <w:p w14:paraId="46D6B734" w14:textId="77777777" w:rsidR="00084F36" w:rsidRPr="00EB2BD8" w:rsidRDefault="00EB2BD8">
            <w:pPr>
              <w:pStyle w:val="TableParagraph"/>
              <w:spacing w:before="19"/>
              <w:ind w:left="114"/>
              <w:rPr>
                <w:sz w:val="16"/>
              </w:rPr>
            </w:pPr>
            <w:r w:rsidRPr="00EB2BD8">
              <w:rPr>
                <w:w w:val="85"/>
                <w:sz w:val="16"/>
              </w:rPr>
              <w:t>$1,157</w:t>
            </w:r>
            <w:r w:rsidRPr="00EB2BD8">
              <w:rPr>
                <w:spacing w:val="-2"/>
                <w:w w:val="85"/>
                <w:sz w:val="16"/>
              </w:rPr>
              <w:t xml:space="preserve"> </w:t>
            </w:r>
            <w:r w:rsidRPr="00EB2BD8">
              <w:rPr>
                <w:w w:val="85"/>
                <w:sz w:val="16"/>
              </w:rPr>
              <w:t>plus</w:t>
            </w:r>
            <w:r w:rsidRPr="00EB2BD8">
              <w:rPr>
                <w:spacing w:val="-1"/>
                <w:w w:val="85"/>
                <w:sz w:val="16"/>
              </w:rPr>
              <w:t xml:space="preserve"> </w:t>
            </w:r>
            <w:r w:rsidRPr="00EB2BD8">
              <w:rPr>
                <w:w w:val="85"/>
                <w:sz w:val="16"/>
              </w:rPr>
              <w:t>cost</w:t>
            </w:r>
            <w:r w:rsidRPr="00EB2BD8">
              <w:rPr>
                <w:spacing w:val="-1"/>
                <w:w w:val="85"/>
                <w:sz w:val="16"/>
              </w:rPr>
              <w:t xml:space="preserve"> </w:t>
            </w:r>
            <w:r w:rsidRPr="00EB2BD8">
              <w:rPr>
                <w:w w:val="85"/>
                <w:sz w:val="16"/>
              </w:rPr>
              <w:t>of</w:t>
            </w:r>
            <w:r w:rsidRPr="00EB2BD8">
              <w:rPr>
                <w:spacing w:val="-1"/>
                <w:w w:val="85"/>
                <w:sz w:val="16"/>
              </w:rPr>
              <w:t xml:space="preserve"> </w:t>
            </w:r>
            <w:r w:rsidRPr="00EB2BD8">
              <w:rPr>
                <w:spacing w:val="-2"/>
                <w:w w:val="85"/>
                <w:sz w:val="16"/>
              </w:rPr>
              <w:t>$1,214.</w:t>
            </w:r>
          </w:p>
        </w:tc>
        <w:tc>
          <w:tcPr>
            <w:tcW w:w="1091" w:type="dxa"/>
          </w:tcPr>
          <w:p w14:paraId="363F11F2" w14:textId="77777777" w:rsidR="00084F36" w:rsidRPr="00EB2BD8" w:rsidRDefault="00084F36">
            <w:pPr>
              <w:pStyle w:val="TableParagraph"/>
              <w:rPr>
                <w:rFonts w:ascii="Times New Roman"/>
                <w:sz w:val="16"/>
              </w:rPr>
            </w:pPr>
          </w:p>
        </w:tc>
        <w:tc>
          <w:tcPr>
            <w:tcW w:w="1176" w:type="dxa"/>
          </w:tcPr>
          <w:p w14:paraId="2CA03267" w14:textId="77777777" w:rsidR="00084F36" w:rsidRPr="00EB2BD8" w:rsidRDefault="00084F36">
            <w:pPr>
              <w:pStyle w:val="TableParagraph"/>
              <w:rPr>
                <w:rFonts w:ascii="Times New Roman"/>
                <w:sz w:val="16"/>
              </w:rPr>
            </w:pPr>
          </w:p>
        </w:tc>
      </w:tr>
      <w:tr w:rsidR="00EB2BD8" w:rsidRPr="00EB2BD8" w14:paraId="78C43619" w14:textId="77777777">
        <w:trPr>
          <w:trHeight w:val="229"/>
        </w:trPr>
        <w:tc>
          <w:tcPr>
            <w:tcW w:w="1744" w:type="dxa"/>
          </w:tcPr>
          <w:p w14:paraId="427A4CF2" w14:textId="77777777" w:rsidR="00084F36" w:rsidRPr="00EB2BD8" w:rsidRDefault="00084F36">
            <w:pPr>
              <w:pStyle w:val="TableParagraph"/>
              <w:rPr>
                <w:rFonts w:ascii="Times New Roman"/>
                <w:sz w:val="16"/>
              </w:rPr>
            </w:pPr>
          </w:p>
        </w:tc>
        <w:tc>
          <w:tcPr>
            <w:tcW w:w="3130" w:type="dxa"/>
          </w:tcPr>
          <w:p w14:paraId="68E6A778" w14:textId="77777777" w:rsidR="00084F36" w:rsidRPr="00EB2BD8" w:rsidRDefault="00EB2BD8">
            <w:pPr>
              <w:pStyle w:val="TableParagraph"/>
              <w:spacing w:before="19"/>
              <w:ind w:left="126"/>
              <w:rPr>
                <w:sz w:val="16"/>
              </w:rPr>
            </w:pPr>
            <w:r w:rsidRPr="00EB2BD8">
              <w:rPr>
                <w:spacing w:val="-2"/>
                <w:sz w:val="16"/>
              </w:rPr>
              <w:t>notifying</w:t>
            </w:r>
            <w:r w:rsidRPr="00EB2BD8">
              <w:rPr>
                <w:spacing w:val="-7"/>
                <w:sz w:val="16"/>
              </w:rPr>
              <w:t xml:space="preserve"> </w:t>
            </w:r>
            <w:r w:rsidRPr="00EB2BD8">
              <w:rPr>
                <w:spacing w:val="-2"/>
                <w:sz w:val="16"/>
              </w:rPr>
              <w:t>the</w:t>
            </w:r>
            <w:r w:rsidRPr="00EB2BD8">
              <w:rPr>
                <w:spacing w:val="-6"/>
                <w:sz w:val="16"/>
              </w:rPr>
              <w:t xml:space="preserve"> </w:t>
            </w:r>
            <w:r w:rsidRPr="00EB2BD8">
              <w:rPr>
                <w:spacing w:val="-2"/>
                <w:sz w:val="16"/>
              </w:rPr>
              <w:t>Authority</w:t>
            </w:r>
            <w:r w:rsidRPr="00EB2BD8">
              <w:rPr>
                <w:spacing w:val="-7"/>
                <w:sz w:val="16"/>
              </w:rPr>
              <w:t xml:space="preserve"> </w:t>
            </w:r>
            <w:r w:rsidRPr="00EB2BD8">
              <w:rPr>
                <w:spacing w:val="-2"/>
                <w:sz w:val="16"/>
              </w:rPr>
              <w:t>upon</w:t>
            </w:r>
            <w:r w:rsidRPr="00EB2BD8">
              <w:rPr>
                <w:spacing w:val="-6"/>
                <w:sz w:val="16"/>
              </w:rPr>
              <w:t xml:space="preserve"> </w:t>
            </w:r>
            <w:r w:rsidRPr="00EB2BD8">
              <w:rPr>
                <w:spacing w:val="-2"/>
                <w:sz w:val="16"/>
              </w:rPr>
              <w:t>request</w:t>
            </w:r>
          </w:p>
        </w:tc>
        <w:tc>
          <w:tcPr>
            <w:tcW w:w="3067" w:type="dxa"/>
          </w:tcPr>
          <w:p w14:paraId="73B39256" w14:textId="77777777" w:rsidR="00084F36" w:rsidRPr="00EB2BD8" w:rsidRDefault="00084F36">
            <w:pPr>
              <w:pStyle w:val="TableParagraph"/>
              <w:rPr>
                <w:rFonts w:ascii="Times New Roman"/>
                <w:sz w:val="16"/>
              </w:rPr>
            </w:pPr>
          </w:p>
        </w:tc>
        <w:tc>
          <w:tcPr>
            <w:tcW w:w="1091" w:type="dxa"/>
          </w:tcPr>
          <w:p w14:paraId="4B01F516" w14:textId="77777777" w:rsidR="00084F36" w:rsidRPr="00EB2BD8" w:rsidRDefault="00084F36">
            <w:pPr>
              <w:pStyle w:val="TableParagraph"/>
              <w:rPr>
                <w:rFonts w:ascii="Times New Roman"/>
                <w:sz w:val="16"/>
              </w:rPr>
            </w:pPr>
          </w:p>
        </w:tc>
        <w:tc>
          <w:tcPr>
            <w:tcW w:w="1176" w:type="dxa"/>
          </w:tcPr>
          <w:p w14:paraId="252432F9" w14:textId="77777777" w:rsidR="00084F36" w:rsidRPr="00EB2BD8" w:rsidRDefault="00084F36">
            <w:pPr>
              <w:pStyle w:val="TableParagraph"/>
              <w:rPr>
                <w:rFonts w:ascii="Times New Roman"/>
                <w:sz w:val="16"/>
              </w:rPr>
            </w:pPr>
          </w:p>
        </w:tc>
      </w:tr>
      <w:tr w:rsidR="00EB2BD8" w:rsidRPr="00EB2BD8" w14:paraId="1BF23CAA" w14:textId="77777777">
        <w:trPr>
          <w:trHeight w:val="229"/>
        </w:trPr>
        <w:tc>
          <w:tcPr>
            <w:tcW w:w="1744" w:type="dxa"/>
          </w:tcPr>
          <w:p w14:paraId="1A5C4D67" w14:textId="77777777" w:rsidR="00084F36" w:rsidRPr="00EB2BD8" w:rsidRDefault="00084F36">
            <w:pPr>
              <w:pStyle w:val="TableParagraph"/>
              <w:rPr>
                <w:rFonts w:ascii="Times New Roman"/>
                <w:sz w:val="16"/>
              </w:rPr>
            </w:pPr>
          </w:p>
        </w:tc>
        <w:tc>
          <w:tcPr>
            <w:tcW w:w="3130" w:type="dxa"/>
          </w:tcPr>
          <w:p w14:paraId="621226AE" w14:textId="77777777" w:rsidR="00084F36" w:rsidRPr="00EB2BD8" w:rsidRDefault="00EB2BD8">
            <w:pPr>
              <w:pStyle w:val="TableParagraph"/>
              <w:spacing w:before="19"/>
              <w:ind w:left="126"/>
              <w:rPr>
                <w:sz w:val="16"/>
              </w:rPr>
            </w:pPr>
            <w:r w:rsidRPr="00EB2BD8">
              <w:rPr>
                <w:sz w:val="16"/>
              </w:rPr>
              <w:t>within</w:t>
            </w:r>
            <w:r w:rsidRPr="00EB2BD8">
              <w:rPr>
                <w:spacing w:val="-12"/>
                <w:sz w:val="16"/>
              </w:rPr>
              <w:t xml:space="preserve"> </w:t>
            </w:r>
            <w:r w:rsidRPr="00EB2BD8">
              <w:rPr>
                <w:sz w:val="16"/>
              </w:rPr>
              <w:t>5</w:t>
            </w:r>
            <w:r w:rsidRPr="00EB2BD8">
              <w:rPr>
                <w:spacing w:val="-11"/>
                <w:sz w:val="16"/>
              </w:rPr>
              <w:t xml:space="preserve"> </w:t>
            </w:r>
            <w:r w:rsidRPr="00EB2BD8">
              <w:rPr>
                <w:sz w:val="16"/>
              </w:rPr>
              <w:t>days</w:t>
            </w:r>
            <w:r w:rsidRPr="00EB2BD8">
              <w:rPr>
                <w:spacing w:val="-11"/>
                <w:sz w:val="16"/>
              </w:rPr>
              <w:t xml:space="preserve"> </w:t>
            </w:r>
            <w:r w:rsidRPr="00EB2BD8">
              <w:rPr>
                <w:sz w:val="16"/>
              </w:rPr>
              <w:t>that</w:t>
            </w:r>
            <w:r w:rsidRPr="00EB2BD8">
              <w:rPr>
                <w:spacing w:val="-11"/>
                <w:sz w:val="16"/>
              </w:rPr>
              <w:t xml:space="preserve"> </w:t>
            </w:r>
            <w:r w:rsidRPr="00EB2BD8">
              <w:rPr>
                <w:sz w:val="16"/>
              </w:rPr>
              <w:t>the</w:t>
            </w:r>
            <w:r w:rsidRPr="00EB2BD8">
              <w:rPr>
                <w:spacing w:val="-11"/>
                <w:sz w:val="16"/>
              </w:rPr>
              <w:t xml:space="preserve"> </w:t>
            </w:r>
            <w:r w:rsidRPr="00EB2BD8">
              <w:rPr>
                <w:spacing w:val="-2"/>
                <w:sz w:val="16"/>
              </w:rPr>
              <w:t>compliance</w:t>
            </w:r>
          </w:p>
        </w:tc>
        <w:tc>
          <w:tcPr>
            <w:tcW w:w="3067" w:type="dxa"/>
          </w:tcPr>
          <w:p w14:paraId="6D62DF3D" w14:textId="77777777" w:rsidR="00084F36" w:rsidRPr="00EB2BD8" w:rsidRDefault="00084F36">
            <w:pPr>
              <w:pStyle w:val="TableParagraph"/>
              <w:rPr>
                <w:rFonts w:ascii="Times New Roman"/>
                <w:sz w:val="16"/>
              </w:rPr>
            </w:pPr>
          </w:p>
        </w:tc>
        <w:tc>
          <w:tcPr>
            <w:tcW w:w="1091" w:type="dxa"/>
          </w:tcPr>
          <w:p w14:paraId="051B14EF" w14:textId="77777777" w:rsidR="00084F36" w:rsidRPr="00EB2BD8" w:rsidRDefault="00084F36">
            <w:pPr>
              <w:pStyle w:val="TableParagraph"/>
              <w:rPr>
                <w:rFonts w:ascii="Times New Roman"/>
                <w:sz w:val="16"/>
              </w:rPr>
            </w:pPr>
          </w:p>
        </w:tc>
        <w:tc>
          <w:tcPr>
            <w:tcW w:w="1176" w:type="dxa"/>
          </w:tcPr>
          <w:p w14:paraId="7AFECC58" w14:textId="77777777" w:rsidR="00084F36" w:rsidRPr="00EB2BD8" w:rsidRDefault="00084F36">
            <w:pPr>
              <w:pStyle w:val="TableParagraph"/>
              <w:rPr>
                <w:rFonts w:ascii="Times New Roman"/>
                <w:sz w:val="16"/>
              </w:rPr>
            </w:pPr>
          </w:p>
        </w:tc>
      </w:tr>
      <w:tr w:rsidR="00EB2BD8" w:rsidRPr="00EB2BD8" w14:paraId="6174D891" w14:textId="77777777">
        <w:trPr>
          <w:trHeight w:val="229"/>
        </w:trPr>
        <w:tc>
          <w:tcPr>
            <w:tcW w:w="1744" w:type="dxa"/>
          </w:tcPr>
          <w:p w14:paraId="370E006D" w14:textId="77777777" w:rsidR="00084F36" w:rsidRPr="00EB2BD8" w:rsidRDefault="00084F36">
            <w:pPr>
              <w:pStyle w:val="TableParagraph"/>
              <w:rPr>
                <w:rFonts w:ascii="Times New Roman"/>
                <w:sz w:val="16"/>
              </w:rPr>
            </w:pPr>
          </w:p>
        </w:tc>
        <w:tc>
          <w:tcPr>
            <w:tcW w:w="3130" w:type="dxa"/>
          </w:tcPr>
          <w:p w14:paraId="2F33380E" w14:textId="77777777" w:rsidR="00084F36" w:rsidRPr="00EB2BD8" w:rsidRDefault="00EB2BD8">
            <w:pPr>
              <w:pStyle w:val="TableParagraph"/>
              <w:spacing w:before="19"/>
              <w:ind w:left="126"/>
              <w:rPr>
                <w:sz w:val="16"/>
              </w:rPr>
            </w:pPr>
            <w:r w:rsidRPr="00EB2BD8">
              <w:rPr>
                <w:sz w:val="16"/>
              </w:rPr>
              <w:t>certificates</w:t>
            </w:r>
            <w:r w:rsidRPr="00EB2BD8">
              <w:rPr>
                <w:spacing w:val="-7"/>
                <w:sz w:val="16"/>
              </w:rPr>
              <w:t xml:space="preserve"> </w:t>
            </w:r>
            <w:r w:rsidRPr="00EB2BD8">
              <w:rPr>
                <w:sz w:val="16"/>
              </w:rPr>
              <w:t>have</w:t>
            </w:r>
            <w:r w:rsidRPr="00EB2BD8">
              <w:rPr>
                <w:spacing w:val="-7"/>
                <w:sz w:val="16"/>
              </w:rPr>
              <w:t xml:space="preserve"> </w:t>
            </w:r>
            <w:r w:rsidRPr="00EB2BD8">
              <w:rPr>
                <w:sz w:val="16"/>
              </w:rPr>
              <w:t>been</w:t>
            </w:r>
            <w:r w:rsidRPr="00EB2BD8">
              <w:rPr>
                <w:spacing w:val="-6"/>
                <w:sz w:val="16"/>
              </w:rPr>
              <w:t xml:space="preserve"> </w:t>
            </w:r>
            <w:r w:rsidRPr="00EB2BD8">
              <w:rPr>
                <w:sz w:val="16"/>
              </w:rPr>
              <w:t>given</w:t>
            </w:r>
            <w:r w:rsidRPr="00EB2BD8">
              <w:rPr>
                <w:spacing w:val="-7"/>
                <w:sz w:val="16"/>
              </w:rPr>
              <w:t xml:space="preserve"> </w:t>
            </w:r>
            <w:r w:rsidRPr="00EB2BD8">
              <w:rPr>
                <w:sz w:val="16"/>
              </w:rPr>
              <w:t>for</w:t>
            </w:r>
            <w:r w:rsidRPr="00EB2BD8">
              <w:rPr>
                <w:spacing w:val="-7"/>
                <w:sz w:val="16"/>
              </w:rPr>
              <w:t xml:space="preserve"> </w:t>
            </w:r>
            <w:r w:rsidRPr="00EB2BD8">
              <w:rPr>
                <w:spacing w:val="-5"/>
                <w:sz w:val="16"/>
              </w:rPr>
              <w:t>the</w:t>
            </w:r>
          </w:p>
        </w:tc>
        <w:tc>
          <w:tcPr>
            <w:tcW w:w="3067" w:type="dxa"/>
          </w:tcPr>
          <w:p w14:paraId="5AFA3E7C" w14:textId="77777777" w:rsidR="00084F36" w:rsidRPr="00EB2BD8" w:rsidRDefault="00084F36">
            <w:pPr>
              <w:pStyle w:val="TableParagraph"/>
              <w:rPr>
                <w:rFonts w:ascii="Times New Roman"/>
                <w:sz w:val="16"/>
              </w:rPr>
            </w:pPr>
          </w:p>
        </w:tc>
        <w:tc>
          <w:tcPr>
            <w:tcW w:w="1091" w:type="dxa"/>
          </w:tcPr>
          <w:p w14:paraId="4D3C0D3D" w14:textId="77777777" w:rsidR="00084F36" w:rsidRPr="00EB2BD8" w:rsidRDefault="00084F36">
            <w:pPr>
              <w:pStyle w:val="TableParagraph"/>
              <w:rPr>
                <w:rFonts w:ascii="Times New Roman"/>
                <w:sz w:val="16"/>
              </w:rPr>
            </w:pPr>
          </w:p>
        </w:tc>
        <w:tc>
          <w:tcPr>
            <w:tcW w:w="1176" w:type="dxa"/>
          </w:tcPr>
          <w:p w14:paraId="13D4B01C" w14:textId="77777777" w:rsidR="00084F36" w:rsidRPr="00EB2BD8" w:rsidRDefault="00084F36">
            <w:pPr>
              <w:pStyle w:val="TableParagraph"/>
              <w:rPr>
                <w:rFonts w:ascii="Times New Roman"/>
                <w:sz w:val="16"/>
              </w:rPr>
            </w:pPr>
          </w:p>
        </w:tc>
      </w:tr>
      <w:tr w:rsidR="00EB2BD8" w:rsidRPr="00EB2BD8" w14:paraId="253A0B7B" w14:textId="77777777">
        <w:trPr>
          <w:trHeight w:val="285"/>
        </w:trPr>
        <w:tc>
          <w:tcPr>
            <w:tcW w:w="1744" w:type="dxa"/>
            <w:tcBorders>
              <w:bottom w:val="single" w:sz="2" w:space="0" w:color="000000"/>
            </w:tcBorders>
          </w:tcPr>
          <w:p w14:paraId="5AA52DEE" w14:textId="77777777" w:rsidR="00084F36" w:rsidRPr="00EB2BD8" w:rsidRDefault="00084F36">
            <w:pPr>
              <w:pStyle w:val="TableParagraph"/>
              <w:rPr>
                <w:rFonts w:ascii="Times New Roman"/>
                <w:sz w:val="16"/>
              </w:rPr>
            </w:pPr>
          </w:p>
        </w:tc>
        <w:tc>
          <w:tcPr>
            <w:tcW w:w="3130" w:type="dxa"/>
            <w:tcBorders>
              <w:bottom w:val="single" w:sz="2" w:space="0" w:color="000000"/>
            </w:tcBorders>
          </w:tcPr>
          <w:p w14:paraId="0DDFFBF3" w14:textId="77777777" w:rsidR="00084F36" w:rsidRPr="00EB2BD8" w:rsidRDefault="00EB2BD8">
            <w:pPr>
              <w:pStyle w:val="TableParagraph"/>
              <w:spacing w:before="19"/>
              <w:ind w:left="126"/>
              <w:rPr>
                <w:sz w:val="16"/>
              </w:rPr>
            </w:pPr>
            <w:r w:rsidRPr="00EB2BD8">
              <w:rPr>
                <w:sz w:val="16"/>
              </w:rPr>
              <w:t>uncompleted</w:t>
            </w:r>
            <w:r w:rsidRPr="00EB2BD8">
              <w:rPr>
                <w:spacing w:val="-10"/>
                <w:sz w:val="16"/>
              </w:rPr>
              <w:t xml:space="preserve"> </w:t>
            </w:r>
            <w:r w:rsidRPr="00EB2BD8">
              <w:rPr>
                <w:spacing w:val="-2"/>
                <w:sz w:val="16"/>
              </w:rPr>
              <w:t>work.</w:t>
            </w:r>
          </w:p>
        </w:tc>
        <w:tc>
          <w:tcPr>
            <w:tcW w:w="3067" w:type="dxa"/>
            <w:tcBorders>
              <w:bottom w:val="single" w:sz="2" w:space="0" w:color="000000"/>
            </w:tcBorders>
          </w:tcPr>
          <w:p w14:paraId="64D14FC0" w14:textId="77777777" w:rsidR="00084F36" w:rsidRPr="00EB2BD8" w:rsidRDefault="00084F36">
            <w:pPr>
              <w:pStyle w:val="TableParagraph"/>
              <w:rPr>
                <w:rFonts w:ascii="Times New Roman"/>
                <w:sz w:val="16"/>
              </w:rPr>
            </w:pPr>
          </w:p>
        </w:tc>
        <w:tc>
          <w:tcPr>
            <w:tcW w:w="1091" w:type="dxa"/>
            <w:tcBorders>
              <w:bottom w:val="single" w:sz="2" w:space="0" w:color="000000"/>
            </w:tcBorders>
          </w:tcPr>
          <w:p w14:paraId="4CED549D"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47D3D909" w14:textId="77777777" w:rsidR="00084F36" w:rsidRPr="00EB2BD8" w:rsidRDefault="00084F36">
            <w:pPr>
              <w:pStyle w:val="TableParagraph"/>
              <w:rPr>
                <w:rFonts w:ascii="Times New Roman"/>
                <w:sz w:val="16"/>
              </w:rPr>
            </w:pPr>
          </w:p>
        </w:tc>
      </w:tr>
      <w:tr w:rsidR="00EB2BD8" w:rsidRPr="00EB2BD8" w14:paraId="1E4659EF" w14:textId="77777777">
        <w:trPr>
          <w:trHeight w:val="325"/>
        </w:trPr>
        <w:tc>
          <w:tcPr>
            <w:tcW w:w="1744" w:type="dxa"/>
            <w:tcBorders>
              <w:top w:val="single" w:sz="2" w:space="0" w:color="000000"/>
            </w:tcBorders>
          </w:tcPr>
          <w:p w14:paraId="3ED74606" w14:textId="77777777" w:rsidR="00084F36" w:rsidRPr="00EB2BD8" w:rsidRDefault="00EB2BD8">
            <w:pPr>
              <w:pStyle w:val="TableParagraph"/>
              <w:spacing w:before="115"/>
              <w:ind w:left="112"/>
              <w:rPr>
                <w:sz w:val="16"/>
              </w:rPr>
            </w:pPr>
            <w:r w:rsidRPr="00EB2BD8">
              <w:rPr>
                <w:sz w:val="16"/>
              </w:rPr>
              <w:t>CALDWELL,</w:t>
            </w:r>
            <w:r w:rsidRPr="00EB2BD8">
              <w:rPr>
                <w:spacing w:val="14"/>
                <w:sz w:val="16"/>
              </w:rPr>
              <w:t xml:space="preserve"> </w:t>
            </w:r>
            <w:r w:rsidRPr="00EB2BD8">
              <w:rPr>
                <w:spacing w:val="-4"/>
                <w:sz w:val="16"/>
              </w:rPr>
              <w:t>Mark</w:t>
            </w:r>
          </w:p>
        </w:tc>
        <w:tc>
          <w:tcPr>
            <w:tcW w:w="3130" w:type="dxa"/>
            <w:tcBorders>
              <w:top w:val="single" w:sz="2" w:space="0" w:color="000000"/>
            </w:tcBorders>
          </w:tcPr>
          <w:p w14:paraId="63A633F0" w14:textId="77777777" w:rsidR="00084F36" w:rsidRPr="00EB2BD8" w:rsidRDefault="00EB2BD8">
            <w:pPr>
              <w:pStyle w:val="TableParagraph"/>
              <w:spacing w:before="115"/>
              <w:ind w:left="126"/>
              <w:rPr>
                <w:sz w:val="16"/>
              </w:rPr>
            </w:pPr>
            <w:r w:rsidRPr="00EB2BD8">
              <w:rPr>
                <w:sz w:val="16"/>
              </w:rPr>
              <w:t>Carried out</w:t>
            </w:r>
            <w:r w:rsidRPr="00EB2BD8">
              <w:rPr>
                <w:spacing w:val="1"/>
                <w:sz w:val="16"/>
              </w:rPr>
              <w:t xml:space="preserve"> </w:t>
            </w:r>
            <w:r w:rsidRPr="00EB2BD8">
              <w:rPr>
                <w:sz w:val="16"/>
              </w:rPr>
              <w:t>non-compliant</w:t>
            </w:r>
            <w:r w:rsidRPr="00EB2BD8">
              <w:rPr>
                <w:spacing w:val="1"/>
                <w:sz w:val="16"/>
              </w:rPr>
              <w:t xml:space="preserve"> </w:t>
            </w:r>
            <w:r w:rsidRPr="00EB2BD8">
              <w:rPr>
                <w:spacing w:val="-2"/>
                <w:sz w:val="16"/>
              </w:rPr>
              <w:t>plumbing</w:t>
            </w:r>
          </w:p>
        </w:tc>
        <w:tc>
          <w:tcPr>
            <w:tcW w:w="3067" w:type="dxa"/>
            <w:tcBorders>
              <w:top w:val="single" w:sz="2" w:space="0" w:color="000000"/>
            </w:tcBorders>
          </w:tcPr>
          <w:p w14:paraId="7A235D45" w14:textId="77777777" w:rsidR="00084F36" w:rsidRPr="00EB2BD8" w:rsidRDefault="00EB2BD8">
            <w:pPr>
              <w:pStyle w:val="TableParagraph"/>
              <w:spacing w:before="115"/>
              <w:ind w:left="114"/>
              <w:rPr>
                <w:sz w:val="16"/>
              </w:rPr>
            </w:pPr>
            <w:r w:rsidRPr="00EB2BD8">
              <w:rPr>
                <w:spacing w:val="-2"/>
                <w:sz w:val="16"/>
              </w:rPr>
              <w:t>Four</w:t>
            </w:r>
            <w:r w:rsidRPr="00EB2BD8">
              <w:rPr>
                <w:spacing w:val="-3"/>
                <w:sz w:val="16"/>
              </w:rPr>
              <w:t xml:space="preserve"> </w:t>
            </w:r>
            <w:r w:rsidRPr="00EB2BD8">
              <w:rPr>
                <w:spacing w:val="-2"/>
                <w:sz w:val="16"/>
              </w:rPr>
              <w:t>grounds proven. Penalty</w:t>
            </w:r>
            <w:r w:rsidRPr="00EB2BD8">
              <w:rPr>
                <w:spacing w:val="-3"/>
                <w:sz w:val="16"/>
              </w:rPr>
              <w:t xml:space="preserve"> </w:t>
            </w:r>
            <w:r w:rsidRPr="00EB2BD8">
              <w:rPr>
                <w:spacing w:val="-5"/>
                <w:sz w:val="16"/>
              </w:rPr>
              <w:t>of</w:t>
            </w:r>
          </w:p>
        </w:tc>
        <w:tc>
          <w:tcPr>
            <w:tcW w:w="1091" w:type="dxa"/>
            <w:tcBorders>
              <w:top w:val="single" w:sz="2" w:space="0" w:color="000000"/>
            </w:tcBorders>
          </w:tcPr>
          <w:p w14:paraId="39BE0D2A" w14:textId="77777777" w:rsidR="00084F36" w:rsidRPr="00EB2BD8" w:rsidRDefault="00EB2BD8">
            <w:pPr>
              <w:pStyle w:val="TableParagraph"/>
              <w:spacing w:before="115"/>
              <w:ind w:right="112"/>
              <w:jc w:val="right"/>
              <w:rPr>
                <w:sz w:val="16"/>
              </w:rPr>
            </w:pPr>
            <w:r w:rsidRPr="00EB2BD8">
              <w:rPr>
                <w:spacing w:val="-4"/>
                <w:sz w:val="16"/>
              </w:rPr>
              <w:t>$555</w:t>
            </w:r>
          </w:p>
        </w:tc>
        <w:tc>
          <w:tcPr>
            <w:tcW w:w="1176" w:type="dxa"/>
            <w:tcBorders>
              <w:top w:val="single" w:sz="2" w:space="0" w:color="000000"/>
            </w:tcBorders>
          </w:tcPr>
          <w:p w14:paraId="4B0BC9B7" w14:textId="77777777" w:rsidR="00084F36" w:rsidRPr="00EB2BD8" w:rsidRDefault="00EB2BD8">
            <w:pPr>
              <w:pStyle w:val="TableParagraph"/>
              <w:spacing w:before="115"/>
              <w:ind w:left="113"/>
              <w:rPr>
                <w:sz w:val="16"/>
              </w:rPr>
            </w:pPr>
            <w:r w:rsidRPr="00EB2BD8">
              <w:rPr>
                <w:spacing w:val="-2"/>
                <w:w w:val="95"/>
                <w:sz w:val="16"/>
              </w:rPr>
              <w:t>18/04/2023</w:t>
            </w:r>
          </w:p>
        </w:tc>
      </w:tr>
      <w:tr w:rsidR="00EB2BD8" w:rsidRPr="00EB2BD8" w14:paraId="784B6172" w14:textId="77777777">
        <w:trPr>
          <w:trHeight w:val="229"/>
        </w:trPr>
        <w:tc>
          <w:tcPr>
            <w:tcW w:w="1744" w:type="dxa"/>
          </w:tcPr>
          <w:p w14:paraId="0BF4E13F" w14:textId="77777777" w:rsidR="00084F36" w:rsidRPr="00EB2BD8" w:rsidRDefault="00084F36">
            <w:pPr>
              <w:pStyle w:val="TableParagraph"/>
              <w:rPr>
                <w:rFonts w:ascii="Times New Roman"/>
                <w:sz w:val="16"/>
              </w:rPr>
            </w:pPr>
          </w:p>
        </w:tc>
        <w:tc>
          <w:tcPr>
            <w:tcW w:w="3130" w:type="dxa"/>
          </w:tcPr>
          <w:p w14:paraId="4C71E2EF" w14:textId="77777777" w:rsidR="00084F36" w:rsidRPr="00EB2BD8" w:rsidRDefault="00EB2BD8">
            <w:pPr>
              <w:pStyle w:val="TableParagraph"/>
              <w:spacing w:before="19"/>
              <w:ind w:left="126"/>
              <w:rPr>
                <w:sz w:val="16"/>
              </w:rPr>
            </w:pPr>
            <w:r w:rsidRPr="00EB2BD8">
              <w:rPr>
                <w:spacing w:val="-4"/>
                <w:sz w:val="16"/>
              </w:rPr>
              <w:t>work</w:t>
            </w:r>
            <w:r w:rsidRPr="00EB2BD8">
              <w:rPr>
                <w:spacing w:val="-6"/>
                <w:sz w:val="16"/>
              </w:rPr>
              <w:t xml:space="preserve"> </w:t>
            </w:r>
            <w:r w:rsidRPr="00EB2BD8">
              <w:rPr>
                <w:spacing w:val="-4"/>
                <w:sz w:val="16"/>
              </w:rPr>
              <w:t>relating</w:t>
            </w:r>
            <w:r w:rsidRPr="00EB2BD8">
              <w:rPr>
                <w:spacing w:val="-6"/>
                <w:sz w:val="16"/>
              </w:rPr>
              <w:t xml:space="preserve"> </w:t>
            </w:r>
            <w:r w:rsidRPr="00EB2BD8">
              <w:rPr>
                <w:spacing w:val="-4"/>
                <w:sz w:val="16"/>
              </w:rPr>
              <w:t>to</w:t>
            </w:r>
            <w:r w:rsidRPr="00EB2BD8">
              <w:rPr>
                <w:spacing w:val="-6"/>
                <w:sz w:val="16"/>
              </w:rPr>
              <w:t xml:space="preserve"> </w:t>
            </w:r>
            <w:r w:rsidRPr="00EB2BD8">
              <w:rPr>
                <w:spacing w:val="-4"/>
                <w:sz w:val="16"/>
              </w:rPr>
              <w:t>fire</w:t>
            </w:r>
            <w:r w:rsidRPr="00EB2BD8">
              <w:rPr>
                <w:spacing w:val="-5"/>
                <w:sz w:val="16"/>
              </w:rPr>
              <w:t xml:space="preserve"> </w:t>
            </w:r>
            <w:r w:rsidRPr="00EB2BD8">
              <w:rPr>
                <w:spacing w:val="-4"/>
                <w:sz w:val="16"/>
              </w:rPr>
              <w:t>sprinklers.</w:t>
            </w:r>
            <w:r w:rsidRPr="00EB2BD8">
              <w:rPr>
                <w:spacing w:val="-6"/>
                <w:sz w:val="16"/>
              </w:rPr>
              <w:t xml:space="preserve"> </w:t>
            </w:r>
            <w:r w:rsidRPr="00EB2BD8">
              <w:rPr>
                <w:spacing w:val="-4"/>
                <w:sz w:val="16"/>
              </w:rPr>
              <w:t>Signed</w:t>
            </w:r>
          </w:p>
        </w:tc>
        <w:tc>
          <w:tcPr>
            <w:tcW w:w="3067" w:type="dxa"/>
          </w:tcPr>
          <w:p w14:paraId="481BDBBE" w14:textId="77777777" w:rsidR="00084F36" w:rsidRPr="00EB2BD8" w:rsidRDefault="00EB2BD8">
            <w:pPr>
              <w:pStyle w:val="TableParagraph"/>
              <w:spacing w:before="19"/>
              <w:ind w:left="114"/>
              <w:rPr>
                <w:sz w:val="16"/>
              </w:rPr>
            </w:pPr>
            <w:r w:rsidRPr="00EB2BD8">
              <w:rPr>
                <w:spacing w:val="-4"/>
                <w:sz w:val="16"/>
              </w:rPr>
              <w:t>$9,246</w:t>
            </w:r>
            <w:r w:rsidRPr="00EB2BD8">
              <w:rPr>
                <w:spacing w:val="-12"/>
                <w:sz w:val="16"/>
              </w:rPr>
              <w:t xml:space="preserve"> </w:t>
            </w:r>
            <w:r w:rsidRPr="00EB2BD8">
              <w:rPr>
                <w:spacing w:val="-4"/>
                <w:sz w:val="16"/>
              </w:rPr>
              <w:t>OR</w:t>
            </w:r>
            <w:r w:rsidRPr="00EB2BD8">
              <w:rPr>
                <w:spacing w:val="-12"/>
                <w:sz w:val="16"/>
              </w:rPr>
              <w:t xml:space="preserve"> </w:t>
            </w:r>
            <w:r w:rsidRPr="00EB2BD8">
              <w:rPr>
                <w:spacing w:val="-4"/>
                <w:sz w:val="16"/>
              </w:rPr>
              <w:t>penalty</w:t>
            </w:r>
            <w:r w:rsidRPr="00EB2BD8">
              <w:rPr>
                <w:spacing w:val="-12"/>
                <w:sz w:val="16"/>
              </w:rPr>
              <w:t xml:space="preserve"> </w:t>
            </w:r>
            <w:r w:rsidRPr="00EB2BD8">
              <w:rPr>
                <w:spacing w:val="-4"/>
                <w:sz w:val="16"/>
              </w:rPr>
              <w:t>of</w:t>
            </w:r>
            <w:r w:rsidRPr="00EB2BD8">
              <w:rPr>
                <w:spacing w:val="-11"/>
                <w:sz w:val="16"/>
              </w:rPr>
              <w:t xml:space="preserve"> </w:t>
            </w:r>
            <w:r w:rsidRPr="00EB2BD8">
              <w:rPr>
                <w:spacing w:val="-4"/>
                <w:sz w:val="16"/>
              </w:rPr>
              <w:t>$555</w:t>
            </w:r>
            <w:r w:rsidRPr="00EB2BD8">
              <w:rPr>
                <w:spacing w:val="-12"/>
                <w:sz w:val="16"/>
              </w:rPr>
              <w:t xml:space="preserve"> </w:t>
            </w:r>
            <w:r w:rsidRPr="00EB2BD8">
              <w:rPr>
                <w:spacing w:val="-4"/>
                <w:sz w:val="16"/>
              </w:rPr>
              <w:t>and</w:t>
            </w:r>
            <w:r w:rsidRPr="00EB2BD8">
              <w:rPr>
                <w:spacing w:val="-12"/>
                <w:sz w:val="16"/>
              </w:rPr>
              <w:t xml:space="preserve"> </w:t>
            </w:r>
            <w:r w:rsidRPr="00EB2BD8">
              <w:rPr>
                <w:spacing w:val="-4"/>
                <w:sz w:val="16"/>
              </w:rPr>
              <w:t>fulfill</w:t>
            </w:r>
          </w:p>
        </w:tc>
        <w:tc>
          <w:tcPr>
            <w:tcW w:w="1091" w:type="dxa"/>
          </w:tcPr>
          <w:p w14:paraId="6FC9D798" w14:textId="77777777" w:rsidR="00084F36" w:rsidRPr="00EB2BD8" w:rsidRDefault="00084F36">
            <w:pPr>
              <w:pStyle w:val="TableParagraph"/>
              <w:rPr>
                <w:rFonts w:ascii="Times New Roman"/>
                <w:sz w:val="16"/>
              </w:rPr>
            </w:pPr>
          </w:p>
        </w:tc>
        <w:tc>
          <w:tcPr>
            <w:tcW w:w="1176" w:type="dxa"/>
          </w:tcPr>
          <w:p w14:paraId="2D60DEAD" w14:textId="77777777" w:rsidR="00084F36" w:rsidRPr="00EB2BD8" w:rsidRDefault="00084F36">
            <w:pPr>
              <w:pStyle w:val="TableParagraph"/>
              <w:rPr>
                <w:rFonts w:ascii="Times New Roman"/>
                <w:sz w:val="16"/>
              </w:rPr>
            </w:pPr>
          </w:p>
        </w:tc>
      </w:tr>
      <w:tr w:rsidR="00EB2BD8" w:rsidRPr="00EB2BD8" w14:paraId="50137578" w14:textId="77777777">
        <w:trPr>
          <w:trHeight w:val="229"/>
        </w:trPr>
        <w:tc>
          <w:tcPr>
            <w:tcW w:w="1744" w:type="dxa"/>
          </w:tcPr>
          <w:p w14:paraId="7EE64101" w14:textId="77777777" w:rsidR="00084F36" w:rsidRPr="00EB2BD8" w:rsidRDefault="00084F36">
            <w:pPr>
              <w:pStyle w:val="TableParagraph"/>
              <w:rPr>
                <w:rFonts w:ascii="Times New Roman"/>
                <w:sz w:val="16"/>
              </w:rPr>
            </w:pPr>
          </w:p>
        </w:tc>
        <w:tc>
          <w:tcPr>
            <w:tcW w:w="3130" w:type="dxa"/>
          </w:tcPr>
          <w:p w14:paraId="6258C776" w14:textId="77777777" w:rsidR="00084F36" w:rsidRPr="00EB2BD8" w:rsidRDefault="00EB2BD8">
            <w:pPr>
              <w:pStyle w:val="TableParagraph"/>
              <w:spacing w:before="19"/>
              <w:ind w:left="126"/>
              <w:rPr>
                <w:sz w:val="16"/>
              </w:rPr>
            </w:pPr>
            <w:r w:rsidRPr="00EB2BD8">
              <w:rPr>
                <w:sz w:val="16"/>
              </w:rPr>
              <w:t>a</w:t>
            </w:r>
            <w:r w:rsidRPr="00EB2BD8">
              <w:rPr>
                <w:spacing w:val="2"/>
                <w:sz w:val="16"/>
              </w:rPr>
              <w:t xml:space="preserve"> </w:t>
            </w:r>
            <w:r w:rsidRPr="00EB2BD8">
              <w:rPr>
                <w:sz w:val="16"/>
              </w:rPr>
              <w:t>compliance</w:t>
            </w:r>
            <w:r w:rsidRPr="00EB2BD8">
              <w:rPr>
                <w:spacing w:val="3"/>
                <w:sz w:val="16"/>
              </w:rPr>
              <w:t xml:space="preserve"> </w:t>
            </w:r>
            <w:r w:rsidRPr="00EB2BD8">
              <w:rPr>
                <w:sz w:val="16"/>
              </w:rPr>
              <w:t>certificate</w:t>
            </w:r>
            <w:r w:rsidRPr="00EB2BD8">
              <w:rPr>
                <w:spacing w:val="3"/>
                <w:sz w:val="16"/>
              </w:rPr>
              <w:t xml:space="preserve"> </w:t>
            </w:r>
            <w:r w:rsidRPr="00EB2BD8">
              <w:rPr>
                <w:spacing w:val="-2"/>
                <w:sz w:val="16"/>
              </w:rPr>
              <w:t>which</w:t>
            </w:r>
          </w:p>
        </w:tc>
        <w:tc>
          <w:tcPr>
            <w:tcW w:w="3067" w:type="dxa"/>
          </w:tcPr>
          <w:p w14:paraId="02E8DCB4" w14:textId="77777777" w:rsidR="00084F36" w:rsidRPr="00EB2BD8" w:rsidRDefault="00EB2BD8">
            <w:pPr>
              <w:pStyle w:val="TableParagraph"/>
              <w:spacing w:before="19"/>
              <w:ind w:left="114"/>
              <w:rPr>
                <w:sz w:val="16"/>
              </w:rPr>
            </w:pPr>
            <w:r w:rsidRPr="00EB2BD8">
              <w:rPr>
                <w:spacing w:val="-2"/>
                <w:sz w:val="16"/>
              </w:rPr>
              <w:t>the</w:t>
            </w:r>
            <w:r w:rsidRPr="00EB2BD8">
              <w:rPr>
                <w:spacing w:val="-4"/>
                <w:sz w:val="16"/>
              </w:rPr>
              <w:t xml:space="preserve"> </w:t>
            </w:r>
            <w:r w:rsidRPr="00EB2BD8">
              <w:rPr>
                <w:spacing w:val="-2"/>
                <w:sz w:val="16"/>
              </w:rPr>
              <w:t>requirements</w:t>
            </w:r>
            <w:r w:rsidRPr="00EB2BD8">
              <w:rPr>
                <w:spacing w:val="-4"/>
                <w:sz w:val="16"/>
              </w:rPr>
              <w:t xml:space="preserve"> </w:t>
            </w:r>
            <w:r w:rsidRPr="00EB2BD8">
              <w:rPr>
                <w:spacing w:val="-2"/>
                <w:sz w:val="16"/>
              </w:rPr>
              <w:t>of</w:t>
            </w:r>
            <w:r w:rsidRPr="00EB2BD8">
              <w:rPr>
                <w:spacing w:val="-4"/>
                <w:sz w:val="16"/>
              </w:rPr>
              <w:t xml:space="preserve"> </w:t>
            </w:r>
            <w:r w:rsidRPr="00EB2BD8">
              <w:rPr>
                <w:spacing w:val="-2"/>
                <w:sz w:val="16"/>
              </w:rPr>
              <w:t>the</w:t>
            </w:r>
            <w:r w:rsidRPr="00EB2BD8">
              <w:rPr>
                <w:spacing w:val="-4"/>
                <w:sz w:val="16"/>
              </w:rPr>
              <w:t xml:space="preserve"> </w:t>
            </w:r>
            <w:r w:rsidRPr="00EB2BD8">
              <w:rPr>
                <w:spacing w:val="-2"/>
                <w:sz w:val="16"/>
              </w:rPr>
              <w:t>second</w:t>
            </w:r>
          </w:p>
        </w:tc>
        <w:tc>
          <w:tcPr>
            <w:tcW w:w="1091" w:type="dxa"/>
          </w:tcPr>
          <w:p w14:paraId="3A6788E8" w14:textId="77777777" w:rsidR="00084F36" w:rsidRPr="00EB2BD8" w:rsidRDefault="00084F36">
            <w:pPr>
              <w:pStyle w:val="TableParagraph"/>
              <w:rPr>
                <w:rFonts w:ascii="Times New Roman"/>
                <w:sz w:val="16"/>
              </w:rPr>
            </w:pPr>
          </w:p>
        </w:tc>
        <w:tc>
          <w:tcPr>
            <w:tcW w:w="1176" w:type="dxa"/>
          </w:tcPr>
          <w:p w14:paraId="30FC09DF" w14:textId="77777777" w:rsidR="00084F36" w:rsidRPr="00EB2BD8" w:rsidRDefault="00084F36">
            <w:pPr>
              <w:pStyle w:val="TableParagraph"/>
              <w:rPr>
                <w:rFonts w:ascii="Times New Roman"/>
                <w:sz w:val="16"/>
              </w:rPr>
            </w:pPr>
          </w:p>
        </w:tc>
      </w:tr>
      <w:tr w:rsidR="00EB2BD8" w:rsidRPr="00EB2BD8" w14:paraId="6DF55464" w14:textId="77777777">
        <w:trPr>
          <w:trHeight w:val="229"/>
        </w:trPr>
        <w:tc>
          <w:tcPr>
            <w:tcW w:w="1744" w:type="dxa"/>
          </w:tcPr>
          <w:p w14:paraId="158E650C" w14:textId="77777777" w:rsidR="00084F36" w:rsidRPr="00EB2BD8" w:rsidRDefault="00084F36">
            <w:pPr>
              <w:pStyle w:val="TableParagraph"/>
              <w:rPr>
                <w:rFonts w:ascii="Times New Roman"/>
                <w:sz w:val="16"/>
              </w:rPr>
            </w:pPr>
          </w:p>
        </w:tc>
        <w:tc>
          <w:tcPr>
            <w:tcW w:w="3130" w:type="dxa"/>
          </w:tcPr>
          <w:p w14:paraId="12C738C8" w14:textId="77777777" w:rsidR="00084F36" w:rsidRPr="00EB2BD8" w:rsidRDefault="00EB2BD8">
            <w:pPr>
              <w:pStyle w:val="TableParagraph"/>
              <w:spacing w:before="19"/>
              <w:ind w:left="126"/>
              <w:rPr>
                <w:sz w:val="16"/>
              </w:rPr>
            </w:pPr>
            <w:r w:rsidRPr="00EB2BD8">
              <w:rPr>
                <w:sz w:val="16"/>
              </w:rPr>
              <w:t>contained</w:t>
            </w:r>
            <w:r w:rsidRPr="00EB2BD8">
              <w:rPr>
                <w:spacing w:val="-8"/>
                <w:sz w:val="16"/>
              </w:rPr>
              <w:t xml:space="preserve"> </w:t>
            </w:r>
            <w:r w:rsidRPr="00EB2BD8">
              <w:rPr>
                <w:sz w:val="16"/>
              </w:rPr>
              <w:t>a</w:t>
            </w:r>
            <w:r w:rsidRPr="00EB2BD8">
              <w:rPr>
                <w:spacing w:val="-7"/>
                <w:sz w:val="16"/>
              </w:rPr>
              <w:t xml:space="preserve"> </w:t>
            </w:r>
            <w:r w:rsidRPr="00EB2BD8">
              <w:rPr>
                <w:sz w:val="16"/>
              </w:rPr>
              <w:t>misstatement</w:t>
            </w:r>
            <w:r w:rsidRPr="00EB2BD8">
              <w:rPr>
                <w:spacing w:val="-8"/>
                <w:sz w:val="16"/>
              </w:rPr>
              <w:t xml:space="preserve"> </w:t>
            </w:r>
            <w:r w:rsidRPr="00EB2BD8">
              <w:rPr>
                <w:sz w:val="16"/>
              </w:rPr>
              <w:t>of</w:t>
            </w:r>
            <w:r w:rsidRPr="00EB2BD8">
              <w:rPr>
                <w:spacing w:val="-7"/>
                <w:sz w:val="16"/>
              </w:rPr>
              <w:t xml:space="preserve"> </w:t>
            </w:r>
            <w:r w:rsidRPr="00EB2BD8">
              <w:rPr>
                <w:spacing w:val="-2"/>
                <w:sz w:val="16"/>
              </w:rPr>
              <w:t>fact.</w:t>
            </w:r>
          </w:p>
        </w:tc>
        <w:tc>
          <w:tcPr>
            <w:tcW w:w="3067" w:type="dxa"/>
          </w:tcPr>
          <w:p w14:paraId="7FDA05B4" w14:textId="77777777" w:rsidR="00084F36" w:rsidRPr="00EB2BD8" w:rsidRDefault="00EB2BD8">
            <w:pPr>
              <w:pStyle w:val="TableParagraph"/>
              <w:spacing w:before="19"/>
              <w:ind w:left="114"/>
              <w:rPr>
                <w:sz w:val="16"/>
              </w:rPr>
            </w:pPr>
            <w:r w:rsidRPr="00EB2BD8">
              <w:rPr>
                <w:spacing w:val="-2"/>
                <w:sz w:val="16"/>
              </w:rPr>
              <w:t>Rectification</w:t>
            </w:r>
            <w:r w:rsidRPr="00EB2BD8">
              <w:rPr>
                <w:sz w:val="16"/>
              </w:rPr>
              <w:t xml:space="preserve"> </w:t>
            </w:r>
            <w:r w:rsidRPr="00EB2BD8">
              <w:rPr>
                <w:spacing w:val="-2"/>
                <w:sz w:val="16"/>
              </w:rPr>
              <w:t>notice</w:t>
            </w:r>
            <w:r w:rsidRPr="00EB2BD8">
              <w:rPr>
                <w:sz w:val="16"/>
              </w:rPr>
              <w:t xml:space="preserve"> </w:t>
            </w:r>
            <w:r w:rsidRPr="00EB2BD8">
              <w:rPr>
                <w:spacing w:val="-2"/>
                <w:sz w:val="16"/>
              </w:rPr>
              <w:t>issued</w:t>
            </w:r>
            <w:r w:rsidRPr="00EB2BD8">
              <w:rPr>
                <w:sz w:val="16"/>
              </w:rPr>
              <w:t xml:space="preserve"> </w:t>
            </w:r>
            <w:r w:rsidRPr="00EB2BD8">
              <w:rPr>
                <w:spacing w:val="-2"/>
                <w:sz w:val="16"/>
              </w:rPr>
              <w:t>within</w:t>
            </w:r>
            <w:r w:rsidRPr="00EB2BD8">
              <w:rPr>
                <w:spacing w:val="1"/>
                <w:sz w:val="16"/>
              </w:rPr>
              <w:t xml:space="preserve"> </w:t>
            </w:r>
            <w:r w:rsidRPr="00EB2BD8">
              <w:rPr>
                <w:spacing w:val="-7"/>
                <w:sz w:val="16"/>
              </w:rPr>
              <w:t>45</w:t>
            </w:r>
          </w:p>
        </w:tc>
        <w:tc>
          <w:tcPr>
            <w:tcW w:w="1091" w:type="dxa"/>
          </w:tcPr>
          <w:p w14:paraId="6A19BB4E" w14:textId="77777777" w:rsidR="00084F36" w:rsidRPr="00EB2BD8" w:rsidRDefault="00084F36">
            <w:pPr>
              <w:pStyle w:val="TableParagraph"/>
              <w:rPr>
                <w:rFonts w:ascii="Times New Roman"/>
                <w:sz w:val="16"/>
              </w:rPr>
            </w:pPr>
          </w:p>
        </w:tc>
        <w:tc>
          <w:tcPr>
            <w:tcW w:w="1176" w:type="dxa"/>
          </w:tcPr>
          <w:p w14:paraId="78339558" w14:textId="77777777" w:rsidR="00084F36" w:rsidRPr="00EB2BD8" w:rsidRDefault="00084F36">
            <w:pPr>
              <w:pStyle w:val="TableParagraph"/>
              <w:rPr>
                <w:rFonts w:ascii="Times New Roman"/>
                <w:sz w:val="16"/>
              </w:rPr>
            </w:pPr>
          </w:p>
        </w:tc>
      </w:tr>
      <w:tr w:rsidR="00EB2BD8" w:rsidRPr="00EB2BD8" w14:paraId="3DCDA992" w14:textId="77777777">
        <w:trPr>
          <w:trHeight w:val="229"/>
        </w:trPr>
        <w:tc>
          <w:tcPr>
            <w:tcW w:w="1744" w:type="dxa"/>
          </w:tcPr>
          <w:p w14:paraId="77B3713E" w14:textId="77777777" w:rsidR="00084F36" w:rsidRPr="00EB2BD8" w:rsidRDefault="00084F36">
            <w:pPr>
              <w:pStyle w:val="TableParagraph"/>
              <w:rPr>
                <w:rFonts w:ascii="Times New Roman"/>
                <w:sz w:val="16"/>
              </w:rPr>
            </w:pPr>
          </w:p>
        </w:tc>
        <w:tc>
          <w:tcPr>
            <w:tcW w:w="3130" w:type="dxa"/>
          </w:tcPr>
          <w:p w14:paraId="3A0C4D89" w14:textId="77777777" w:rsidR="00084F36" w:rsidRPr="00EB2BD8" w:rsidRDefault="00EB2BD8">
            <w:pPr>
              <w:pStyle w:val="TableParagraph"/>
              <w:spacing w:before="19"/>
              <w:ind w:left="126"/>
              <w:rPr>
                <w:sz w:val="16"/>
              </w:rPr>
            </w:pPr>
            <w:r w:rsidRPr="00EB2BD8">
              <w:rPr>
                <w:spacing w:val="-2"/>
                <w:sz w:val="16"/>
              </w:rPr>
              <w:t>Failed</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comply</w:t>
            </w:r>
            <w:r w:rsidRPr="00EB2BD8">
              <w:rPr>
                <w:spacing w:val="-5"/>
                <w:sz w:val="16"/>
              </w:rPr>
              <w:t xml:space="preserve"> </w:t>
            </w:r>
            <w:r w:rsidRPr="00EB2BD8">
              <w:rPr>
                <w:spacing w:val="-2"/>
                <w:sz w:val="16"/>
              </w:rPr>
              <w:t>with</w:t>
            </w:r>
            <w:r w:rsidRPr="00EB2BD8">
              <w:rPr>
                <w:spacing w:val="-5"/>
                <w:sz w:val="16"/>
              </w:rPr>
              <w:t xml:space="preserve"> </w:t>
            </w:r>
            <w:r w:rsidRPr="00EB2BD8">
              <w:rPr>
                <w:spacing w:val="-2"/>
                <w:sz w:val="16"/>
              </w:rPr>
              <w:t>rectification</w:t>
            </w:r>
          </w:p>
        </w:tc>
        <w:tc>
          <w:tcPr>
            <w:tcW w:w="3067" w:type="dxa"/>
          </w:tcPr>
          <w:p w14:paraId="05075DE9" w14:textId="77777777" w:rsidR="00084F36" w:rsidRPr="00EB2BD8" w:rsidRDefault="00EB2BD8">
            <w:pPr>
              <w:pStyle w:val="TableParagraph"/>
              <w:spacing w:before="19"/>
              <w:ind w:left="114"/>
              <w:rPr>
                <w:sz w:val="16"/>
              </w:rPr>
            </w:pPr>
            <w:r w:rsidRPr="00EB2BD8">
              <w:rPr>
                <w:spacing w:val="-2"/>
                <w:sz w:val="16"/>
              </w:rPr>
              <w:t>days</w:t>
            </w:r>
            <w:r w:rsidRPr="00EB2BD8">
              <w:rPr>
                <w:spacing w:val="-11"/>
                <w:sz w:val="16"/>
              </w:rPr>
              <w:t xml:space="preserve"> </w:t>
            </w:r>
            <w:r w:rsidRPr="00EB2BD8">
              <w:rPr>
                <w:spacing w:val="-2"/>
                <w:sz w:val="16"/>
              </w:rPr>
              <w:t>of</w:t>
            </w:r>
            <w:r w:rsidRPr="00EB2BD8">
              <w:rPr>
                <w:spacing w:val="-10"/>
                <w:sz w:val="16"/>
              </w:rPr>
              <w:t xml:space="preserve"> </w:t>
            </w:r>
            <w:r w:rsidRPr="00EB2BD8">
              <w:rPr>
                <w:spacing w:val="-2"/>
                <w:sz w:val="16"/>
              </w:rPr>
              <w:t>receiving</w:t>
            </w:r>
            <w:r w:rsidRPr="00EB2BD8">
              <w:rPr>
                <w:spacing w:val="-10"/>
                <w:sz w:val="16"/>
              </w:rPr>
              <w:t xml:space="preserve"> </w:t>
            </w:r>
            <w:r w:rsidRPr="00EB2BD8">
              <w:rPr>
                <w:spacing w:val="-2"/>
                <w:sz w:val="16"/>
              </w:rPr>
              <w:t>the</w:t>
            </w:r>
            <w:r w:rsidRPr="00EB2BD8">
              <w:rPr>
                <w:spacing w:val="-10"/>
                <w:sz w:val="16"/>
              </w:rPr>
              <w:t xml:space="preserve"> </w:t>
            </w:r>
            <w:r w:rsidRPr="00EB2BD8">
              <w:rPr>
                <w:spacing w:val="-2"/>
                <w:sz w:val="16"/>
              </w:rPr>
              <w:t>order.</w:t>
            </w:r>
            <w:r w:rsidRPr="00EB2BD8">
              <w:rPr>
                <w:spacing w:val="-10"/>
                <w:sz w:val="16"/>
              </w:rPr>
              <w:t xml:space="preserve"> </w:t>
            </w:r>
            <w:r w:rsidRPr="00EB2BD8">
              <w:rPr>
                <w:spacing w:val="-2"/>
                <w:sz w:val="16"/>
              </w:rPr>
              <w:t>Plus,</w:t>
            </w:r>
            <w:r w:rsidRPr="00EB2BD8">
              <w:rPr>
                <w:spacing w:val="-10"/>
                <w:sz w:val="16"/>
              </w:rPr>
              <w:t xml:space="preserve"> </w:t>
            </w:r>
            <w:r w:rsidRPr="00EB2BD8">
              <w:rPr>
                <w:spacing w:val="-4"/>
                <w:sz w:val="16"/>
              </w:rPr>
              <w:t>cost</w:t>
            </w:r>
          </w:p>
        </w:tc>
        <w:tc>
          <w:tcPr>
            <w:tcW w:w="1091" w:type="dxa"/>
          </w:tcPr>
          <w:p w14:paraId="06AA5EA8" w14:textId="77777777" w:rsidR="00084F36" w:rsidRPr="00EB2BD8" w:rsidRDefault="00084F36">
            <w:pPr>
              <w:pStyle w:val="TableParagraph"/>
              <w:rPr>
                <w:rFonts w:ascii="Times New Roman"/>
                <w:sz w:val="16"/>
              </w:rPr>
            </w:pPr>
          </w:p>
        </w:tc>
        <w:tc>
          <w:tcPr>
            <w:tcW w:w="1176" w:type="dxa"/>
          </w:tcPr>
          <w:p w14:paraId="50FE108C" w14:textId="77777777" w:rsidR="00084F36" w:rsidRPr="00EB2BD8" w:rsidRDefault="00084F36">
            <w:pPr>
              <w:pStyle w:val="TableParagraph"/>
              <w:rPr>
                <w:rFonts w:ascii="Times New Roman"/>
                <w:sz w:val="16"/>
              </w:rPr>
            </w:pPr>
          </w:p>
        </w:tc>
      </w:tr>
      <w:tr w:rsidR="00EB2BD8" w:rsidRPr="00EB2BD8" w14:paraId="3FFD57C4" w14:textId="77777777">
        <w:trPr>
          <w:trHeight w:val="286"/>
        </w:trPr>
        <w:tc>
          <w:tcPr>
            <w:tcW w:w="1744" w:type="dxa"/>
            <w:tcBorders>
              <w:bottom w:val="single" w:sz="2" w:space="0" w:color="000000"/>
            </w:tcBorders>
          </w:tcPr>
          <w:p w14:paraId="15EF104C" w14:textId="77777777" w:rsidR="00084F36" w:rsidRPr="00EB2BD8" w:rsidRDefault="00084F36">
            <w:pPr>
              <w:pStyle w:val="TableParagraph"/>
              <w:rPr>
                <w:rFonts w:ascii="Times New Roman"/>
                <w:sz w:val="16"/>
              </w:rPr>
            </w:pPr>
          </w:p>
        </w:tc>
        <w:tc>
          <w:tcPr>
            <w:tcW w:w="3130" w:type="dxa"/>
            <w:tcBorders>
              <w:bottom w:val="single" w:sz="2" w:space="0" w:color="000000"/>
            </w:tcBorders>
          </w:tcPr>
          <w:p w14:paraId="0F50E750" w14:textId="77777777" w:rsidR="00084F36" w:rsidRPr="00EB2BD8" w:rsidRDefault="00EB2BD8">
            <w:pPr>
              <w:pStyle w:val="TableParagraph"/>
              <w:spacing w:before="19"/>
              <w:ind w:left="126"/>
              <w:rPr>
                <w:sz w:val="16"/>
              </w:rPr>
            </w:pPr>
            <w:r w:rsidRPr="00EB2BD8">
              <w:rPr>
                <w:spacing w:val="-2"/>
                <w:sz w:val="16"/>
              </w:rPr>
              <w:t>notice</w:t>
            </w:r>
            <w:r w:rsidRPr="00EB2BD8">
              <w:rPr>
                <w:spacing w:val="-7"/>
                <w:sz w:val="16"/>
              </w:rPr>
              <w:t xml:space="preserve"> </w:t>
            </w:r>
            <w:r w:rsidRPr="00EB2BD8">
              <w:rPr>
                <w:spacing w:val="-2"/>
                <w:sz w:val="16"/>
              </w:rPr>
              <w:t>within</w:t>
            </w:r>
            <w:r w:rsidRPr="00EB2BD8">
              <w:rPr>
                <w:spacing w:val="-6"/>
                <w:sz w:val="16"/>
              </w:rPr>
              <w:t xml:space="preserve"> </w:t>
            </w:r>
            <w:r w:rsidRPr="00EB2BD8">
              <w:rPr>
                <w:spacing w:val="-2"/>
                <w:sz w:val="16"/>
              </w:rPr>
              <w:t>required</w:t>
            </w:r>
            <w:r w:rsidRPr="00EB2BD8">
              <w:rPr>
                <w:spacing w:val="-6"/>
                <w:sz w:val="16"/>
              </w:rPr>
              <w:t xml:space="preserve"> </w:t>
            </w:r>
            <w:r w:rsidRPr="00EB2BD8">
              <w:rPr>
                <w:spacing w:val="-2"/>
                <w:sz w:val="16"/>
              </w:rPr>
              <w:t>timeframe.</w:t>
            </w:r>
          </w:p>
        </w:tc>
        <w:tc>
          <w:tcPr>
            <w:tcW w:w="3067" w:type="dxa"/>
            <w:tcBorders>
              <w:bottom w:val="single" w:sz="2" w:space="0" w:color="000000"/>
            </w:tcBorders>
          </w:tcPr>
          <w:p w14:paraId="2DC6A847" w14:textId="77777777" w:rsidR="00084F36" w:rsidRPr="00EB2BD8" w:rsidRDefault="00EB2BD8">
            <w:pPr>
              <w:pStyle w:val="TableParagraph"/>
              <w:spacing w:before="19"/>
              <w:ind w:left="114"/>
              <w:rPr>
                <w:sz w:val="16"/>
              </w:rPr>
            </w:pPr>
            <w:r w:rsidRPr="00EB2BD8">
              <w:rPr>
                <w:spacing w:val="-4"/>
                <w:sz w:val="16"/>
              </w:rPr>
              <w:t>of</w:t>
            </w:r>
            <w:r w:rsidRPr="00EB2BD8">
              <w:rPr>
                <w:spacing w:val="-10"/>
                <w:sz w:val="16"/>
              </w:rPr>
              <w:t xml:space="preserve"> </w:t>
            </w:r>
            <w:r w:rsidRPr="00EB2BD8">
              <w:rPr>
                <w:spacing w:val="-2"/>
                <w:sz w:val="16"/>
              </w:rPr>
              <w:t>$696.</w:t>
            </w:r>
          </w:p>
        </w:tc>
        <w:tc>
          <w:tcPr>
            <w:tcW w:w="1091" w:type="dxa"/>
            <w:tcBorders>
              <w:bottom w:val="single" w:sz="2" w:space="0" w:color="000000"/>
            </w:tcBorders>
          </w:tcPr>
          <w:p w14:paraId="393278D2"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6051DFA3" w14:textId="77777777" w:rsidR="00084F36" w:rsidRPr="00EB2BD8" w:rsidRDefault="00084F36">
            <w:pPr>
              <w:pStyle w:val="TableParagraph"/>
              <w:rPr>
                <w:rFonts w:ascii="Times New Roman"/>
                <w:sz w:val="16"/>
              </w:rPr>
            </w:pPr>
          </w:p>
        </w:tc>
      </w:tr>
    </w:tbl>
    <w:p w14:paraId="751CD517" w14:textId="2D7C221A" w:rsidR="00084F36" w:rsidRPr="00EB2BD8" w:rsidRDefault="00EB2BD8">
      <w:pPr>
        <w:spacing w:before="119"/>
        <w:ind w:left="850"/>
        <w:rPr>
          <w:i/>
          <w:sz w:val="14"/>
        </w:rPr>
      </w:pPr>
      <w:r w:rsidRPr="00EB2BD8">
        <w:rPr>
          <w:i/>
          <w:w w:val="90"/>
          <w:sz w:val="14"/>
        </w:rPr>
        <w:t>39</w:t>
      </w:r>
      <w:r w:rsidR="007754BD">
        <w:rPr>
          <w:i/>
          <w:w w:val="90"/>
          <w:sz w:val="14"/>
        </w:rPr>
        <w:t>-</w:t>
      </w:r>
      <w:r w:rsidRPr="00EB2BD8">
        <w:rPr>
          <w:i/>
          <w:w w:val="90"/>
          <w:sz w:val="14"/>
        </w:rPr>
        <w:t>Excludes</w:t>
      </w:r>
      <w:r w:rsidRPr="00EB2BD8">
        <w:rPr>
          <w:i/>
          <w:spacing w:val="16"/>
          <w:sz w:val="14"/>
        </w:rPr>
        <w:t xml:space="preserve"> </w:t>
      </w:r>
      <w:r w:rsidRPr="00EB2BD8">
        <w:rPr>
          <w:i/>
          <w:spacing w:val="-2"/>
          <w:sz w:val="14"/>
        </w:rPr>
        <w:t>costs.</w:t>
      </w:r>
    </w:p>
    <w:p w14:paraId="6E27B9DB" w14:textId="77777777" w:rsidR="00084F36" w:rsidRPr="00EB2BD8" w:rsidRDefault="00084F36">
      <w:pPr>
        <w:rPr>
          <w:sz w:val="14"/>
        </w:rPr>
        <w:sectPr w:rsidR="00084F36" w:rsidRPr="00EB2BD8" w:rsidSect="006D75B2">
          <w:footerReference w:type="default" r:id="rId429"/>
          <w:pgSz w:w="11910" w:h="16840"/>
          <w:pgMar w:top="1100" w:right="0" w:bottom="700" w:left="0" w:header="0" w:footer="515" w:gutter="0"/>
          <w:cols w:space="720"/>
        </w:sectPr>
      </w:pPr>
    </w:p>
    <w:p w14:paraId="0511F2FC" w14:textId="77777777" w:rsidR="00084F36" w:rsidRPr="00EB2BD8" w:rsidRDefault="00084F36">
      <w:pPr>
        <w:pStyle w:val="BodyText"/>
        <w:rPr>
          <w:i/>
          <w:sz w:val="20"/>
        </w:rPr>
      </w:pPr>
    </w:p>
    <w:p w14:paraId="1CA35ABB" w14:textId="77777777" w:rsidR="00084F36" w:rsidRPr="00EB2BD8" w:rsidRDefault="00084F36">
      <w:pPr>
        <w:pStyle w:val="BodyText"/>
        <w:rPr>
          <w:i/>
          <w:sz w:val="20"/>
        </w:rPr>
      </w:pPr>
    </w:p>
    <w:p w14:paraId="41DC7FB7" w14:textId="77777777" w:rsidR="00084F36" w:rsidRPr="00EB2BD8" w:rsidRDefault="00084F36">
      <w:pPr>
        <w:pStyle w:val="BodyText"/>
        <w:rPr>
          <w:i/>
          <w:sz w:val="20"/>
        </w:rPr>
      </w:pPr>
    </w:p>
    <w:p w14:paraId="431C69C5" w14:textId="77777777" w:rsidR="00084F36" w:rsidRPr="00EB2BD8" w:rsidRDefault="00084F36">
      <w:pPr>
        <w:pStyle w:val="BodyText"/>
        <w:rPr>
          <w:i/>
          <w:sz w:val="20"/>
        </w:rPr>
      </w:pPr>
    </w:p>
    <w:p w14:paraId="34127FB0" w14:textId="77777777" w:rsidR="00084F36" w:rsidRPr="00EB2BD8" w:rsidRDefault="00084F36">
      <w:pPr>
        <w:pStyle w:val="BodyText"/>
        <w:spacing w:before="9" w:after="1"/>
        <w:rPr>
          <w:i/>
          <w:sz w:val="24"/>
        </w:rPr>
      </w:pPr>
    </w:p>
    <w:tbl>
      <w:tblPr>
        <w:tblW w:w="0" w:type="auto"/>
        <w:tblInd w:w="857" w:type="dxa"/>
        <w:tblLayout w:type="fixed"/>
        <w:tblCellMar>
          <w:left w:w="0" w:type="dxa"/>
          <w:right w:w="0" w:type="dxa"/>
        </w:tblCellMar>
        <w:tblLook w:val="01E0" w:firstRow="1" w:lastRow="1" w:firstColumn="1" w:lastColumn="1" w:noHBand="0" w:noVBand="0"/>
      </w:tblPr>
      <w:tblGrid>
        <w:gridCol w:w="1736"/>
        <w:gridCol w:w="3139"/>
        <w:gridCol w:w="3077"/>
        <w:gridCol w:w="1080"/>
        <w:gridCol w:w="1176"/>
      </w:tblGrid>
      <w:tr w:rsidR="00EB2BD8" w:rsidRPr="00EB2BD8" w14:paraId="2D232CBF" w14:textId="77777777">
        <w:trPr>
          <w:trHeight w:val="616"/>
        </w:trPr>
        <w:tc>
          <w:tcPr>
            <w:tcW w:w="1736" w:type="dxa"/>
            <w:shd w:val="clear" w:color="auto" w:fill="005F83"/>
          </w:tcPr>
          <w:p w14:paraId="44B9439A" w14:textId="77777777" w:rsidR="00084F36" w:rsidRPr="00697E0C" w:rsidRDefault="00EB2BD8">
            <w:pPr>
              <w:pStyle w:val="TableParagraph"/>
              <w:spacing w:before="118"/>
              <w:ind w:left="113"/>
              <w:rPr>
                <w:color w:val="FFFFFF" w:themeColor="background1"/>
                <w:sz w:val="16"/>
              </w:rPr>
            </w:pPr>
            <w:r w:rsidRPr="00697E0C">
              <w:rPr>
                <w:color w:val="FFFFFF" w:themeColor="background1"/>
                <w:sz w:val="16"/>
              </w:rPr>
              <w:t>Accused</w:t>
            </w:r>
            <w:r w:rsidRPr="00697E0C">
              <w:rPr>
                <w:color w:val="FFFFFF" w:themeColor="background1"/>
                <w:spacing w:val="-1"/>
                <w:sz w:val="16"/>
              </w:rPr>
              <w:t xml:space="preserve"> </w:t>
            </w:r>
            <w:r w:rsidRPr="00697E0C">
              <w:rPr>
                <w:color w:val="FFFFFF" w:themeColor="background1"/>
                <w:spacing w:val="-4"/>
                <w:sz w:val="16"/>
              </w:rPr>
              <w:t>name</w:t>
            </w:r>
          </w:p>
        </w:tc>
        <w:tc>
          <w:tcPr>
            <w:tcW w:w="3139" w:type="dxa"/>
            <w:shd w:val="clear" w:color="auto" w:fill="005F83"/>
          </w:tcPr>
          <w:p w14:paraId="12633B6C" w14:textId="77777777" w:rsidR="00084F36" w:rsidRPr="00697E0C" w:rsidRDefault="00EB2BD8">
            <w:pPr>
              <w:pStyle w:val="TableParagraph"/>
              <w:spacing w:before="118"/>
              <w:ind w:left="134"/>
              <w:rPr>
                <w:color w:val="FFFFFF" w:themeColor="background1"/>
                <w:sz w:val="16"/>
              </w:rPr>
            </w:pPr>
            <w:r w:rsidRPr="00697E0C">
              <w:rPr>
                <w:color w:val="FFFFFF" w:themeColor="background1"/>
                <w:sz w:val="16"/>
              </w:rPr>
              <w:t>Description</w:t>
            </w:r>
            <w:r w:rsidRPr="00697E0C">
              <w:rPr>
                <w:color w:val="FFFFFF" w:themeColor="background1"/>
                <w:spacing w:val="-11"/>
                <w:sz w:val="16"/>
              </w:rPr>
              <w:t xml:space="preserve"> </w:t>
            </w:r>
            <w:r w:rsidRPr="00697E0C">
              <w:rPr>
                <w:color w:val="FFFFFF" w:themeColor="background1"/>
                <w:sz w:val="16"/>
              </w:rPr>
              <w:t>of</w:t>
            </w:r>
            <w:r w:rsidRPr="00697E0C">
              <w:rPr>
                <w:color w:val="FFFFFF" w:themeColor="background1"/>
                <w:spacing w:val="-10"/>
                <w:sz w:val="16"/>
              </w:rPr>
              <w:t xml:space="preserve"> </w:t>
            </w:r>
            <w:r w:rsidRPr="00697E0C">
              <w:rPr>
                <w:color w:val="FFFFFF" w:themeColor="background1"/>
                <w:spacing w:val="-2"/>
                <w:sz w:val="16"/>
              </w:rPr>
              <w:t>matter</w:t>
            </w:r>
          </w:p>
        </w:tc>
        <w:tc>
          <w:tcPr>
            <w:tcW w:w="3077" w:type="dxa"/>
            <w:shd w:val="clear" w:color="auto" w:fill="005F83"/>
          </w:tcPr>
          <w:p w14:paraId="03EB54DC" w14:textId="77777777" w:rsidR="00084F36" w:rsidRPr="00697E0C" w:rsidRDefault="00EB2BD8">
            <w:pPr>
              <w:pStyle w:val="TableParagraph"/>
              <w:spacing w:before="118"/>
              <w:ind w:left="113"/>
              <w:rPr>
                <w:color w:val="FFFFFF" w:themeColor="background1"/>
                <w:sz w:val="16"/>
              </w:rPr>
            </w:pPr>
            <w:r w:rsidRPr="00697E0C">
              <w:rPr>
                <w:color w:val="FFFFFF" w:themeColor="background1"/>
                <w:spacing w:val="-2"/>
                <w:sz w:val="16"/>
              </w:rPr>
              <w:t>Result</w:t>
            </w:r>
          </w:p>
        </w:tc>
        <w:tc>
          <w:tcPr>
            <w:tcW w:w="1080" w:type="dxa"/>
            <w:shd w:val="clear" w:color="auto" w:fill="005F83"/>
          </w:tcPr>
          <w:p w14:paraId="76233F5B" w14:textId="77777777" w:rsidR="00084F36" w:rsidRPr="00697E0C" w:rsidRDefault="00EB2BD8">
            <w:pPr>
              <w:pStyle w:val="TableParagraph"/>
              <w:spacing w:before="118" w:line="292" w:lineRule="auto"/>
              <w:ind w:left="117" w:right="89"/>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39</w:t>
            </w:r>
          </w:p>
        </w:tc>
        <w:tc>
          <w:tcPr>
            <w:tcW w:w="1176" w:type="dxa"/>
            <w:shd w:val="clear" w:color="auto" w:fill="005F83"/>
          </w:tcPr>
          <w:p w14:paraId="4142722E" w14:textId="77777777" w:rsidR="00084F36" w:rsidRPr="00697E0C" w:rsidRDefault="00EB2BD8">
            <w:pPr>
              <w:pStyle w:val="TableParagraph"/>
              <w:spacing w:before="118"/>
              <w:ind w:left="114"/>
              <w:rPr>
                <w:color w:val="FFFFFF" w:themeColor="background1"/>
                <w:sz w:val="16"/>
              </w:rPr>
            </w:pPr>
            <w:r w:rsidRPr="00697E0C">
              <w:rPr>
                <w:color w:val="FFFFFF" w:themeColor="background1"/>
                <w:spacing w:val="-4"/>
                <w:w w:val="105"/>
                <w:sz w:val="16"/>
              </w:rPr>
              <w:t>Date</w:t>
            </w:r>
          </w:p>
        </w:tc>
      </w:tr>
      <w:tr w:rsidR="00EB2BD8" w:rsidRPr="00EB2BD8" w14:paraId="7F027688" w14:textId="77777777">
        <w:trPr>
          <w:trHeight w:val="329"/>
        </w:trPr>
        <w:tc>
          <w:tcPr>
            <w:tcW w:w="1736" w:type="dxa"/>
          </w:tcPr>
          <w:p w14:paraId="397873A7" w14:textId="77777777" w:rsidR="00084F36" w:rsidRPr="00EB2BD8" w:rsidRDefault="00EB2BD8">
            <w:pPr>
              <w:pStyle w:val="TableParagraph"/>
              <w:spacing w:before="118"/>
              <w:ind w:left="113"/>
              <w:rPr>
                <w:sz w:val="16"/>
              </w:rPr>
            </w:pPr>
            <w:r w:rsidRPr="00EB2BD8">
              <w:rPr>
                <w:spacing w:val="-7"/>
                <w:sz w:val="16"/>
              </w:rPr>
              <w:t>CATTANACH,</w:t>
            </w:r>
            <w:r w:rsidRPr="00EB2BD8">
              <w:rPr>
                <w:sz w:val="16"/>
              </w:rPr>
              <w:t xml:space="preserve"> </w:t>
            </w:r>
            <w:r w:rsidRPr="00EB2BD8">
              <w:rPr>
                <w:spacing w:val="-2"/>
                <w:sz w:val="16"/>
              </w:rPr>
              <w:t>Rickie</w:t>
            </w:r>
          </w:p>
        </w:tc>
        <w:tc>
          <w:tcPr>
            <w:tcW w:w="3139" w:type="dxa"/>
          </w:tcPr>
          <w:p w14:paraId="5CF9A675" w14:textId="77777777" w:rsidR="00084F36" w:rsidRPr="00EB2BD8" w:rsidRDefault="00EB2BD8">
            <w:pPr>
              <w:pStyle w:val="TableParagraph"/>
              <w:spacing w:before="118"/>
              <w:ind w:left="134"/>
              <w:rPr>
                <w:sz w:val="16"/>
              </w:rPr>
            </w:pPr>
            <w:r w:rsidRPr="00EB2BD8">
              <w:rPr>
                <w:spacing w:val="-2"/>
                <w:sz w:val="16"/>
              </w:rPr>
              <w:t>Carried</w:t>
            </w:r>
            <w:r w:rsidRPr="00EB2BD8">
              <w:rPr>
                <w:spacing w:val="-5"/>
                <w:sz w:val="16"/>
              </w:rPr>
              <w:t xml:space="preserve"> </w:t>
            </w:r>
            <w:r w:rsidRPr="00EB2BD8">
              <w:rPr>
                <w:spacing w:val="-2"/>
                <w:sz w:val="16"/>
              </w:rPr>
              <w:t>out</w:t>
            </w:r>
            <w:r w:rsidRPr="00EB2BD8">
              <w:rPr>
                <w:spacing w:val="-5"/>
                <w:sz w:val="16"/>
              </w:rPr>
              <w:t xml:space="preserve"> </w:t>
            </w:r>
            <w:r w:rsidRPr="00EB2BD8">
              <w:rPr>
                <w:spacing w:val="-2"/>
                <w:sz w:val="16"/>
              </w:rPr>
              <w:t>plumbing</w:t>
            </w:r>
            <w:r w:rsidRPr="00EB2BD8">
              <w:rPr>
                <w:spacing w:val="-5"/>
                <w:sz w:val="16"/>
              </w:rPr>
              <w:t xml:space="preserve"> </w:t>
            </w:r>
            <w:r w:rsidRPr="00EB2BD8">
              <w:rPr>
                <w:spacing w:val="-2"/>
                <w:sz w:val="16"/>
              </w:rPr>
              <w:t>work</w:t>
            </w:r>
            <w:r w:rsidRPr="00EB2BD8">
              <w:rPr>
                <w:spacing w:val="-5"/>
                <w:sz w:val="16"/>
              </w:rPr>
              <w:t xml:space="preserve"> </w:t>
            </w:r>
            <w:r w:rsidRPr="00EB2BD8">
              <w:rPr>
                <w:spacing w:val="-2"/>
                <w:sz w:val="16"/>
              </w:rPr>
              <w:t>in</w:t>
            </w:r>
            <w:r w:rsidRPr="00EB2BD8">
              <w:rPr>
                <w:spacing w:val="-4"/>
                <w:sz w:val="16"/>
              </w:rPr>
              <w:t xml:space="preserve"> </w:t>
            </w:r>
            <w:r w:rsidRPr="00EB2BD8">
              <w:rPr>
                <w:spacing w:val="-5"/>
                <w:sz w:val="16"/>
              </w:rPr>
              <w:t>the</w:t>
            </w:r>
          </w:p>
        </w:tc>
        <w:tc>
          <w:tcPr>
            <w:tcW w:w="3077" w:type="dxa"/>
          </w:tcPr>
          <w:p w14:paraId="7073B9B5" w14:textId="77777777" w:rsidR="00084F36" w:rsidRPr="00EB2BD8" w:rsidRDefault="00EB2BD8">
            <w:pPr>
              <w:pStyle w:val="TableParagraph"/>
              <w:spacing w:before="118"/>
              <w:ind w:left="113"/>
              <w:rPr>
                <w:sz w:val="16"/>
              </w:rPr>
            </w:pPr>
            <w:r w:rsidRPr="00EB2BD8">
              <w:rPr>
                <w:spacing w:val="-2"/>
                <w:sz w:val="16"/>
              </w:rPr>
              <w:t>One</w:t>
            </w:r>
            <w:r w:rsidRPr="00EB2BD8">
              <w:rPr>
                <w:spacing w:val="-4"/>
                <w:sz w:val="16"/>
              </w:rPr>
              <w:t xml:space="preserve"> </w:t>
            </w:r>
            <w:r w:rsidRPr="00EB2BD8">
              <w:rPr>
                <w:spacing w:val="-2"/>
                <w:sz w:val="16"/>
              </w:rPr>
              <w:t>ground</w:t>
            </w:r>
            <w:r w:rsidRPr="00EB2BD8">
              <w:rPr>
                <w:spacing w:val="-4"/>
                <w:sz w:val="16"/>
              </w:rPr>
              <w:t xml:space="preserve"> </w:t>
            </w:r>
            <w:r w:rsidRPr="00EB2BD8">
              <w:rPr>
                <w:spacing w:val="-2"/>
                <w:sz w:val="16"/>
              </w:rPr>
              <w:t>proven.</w:t>
            </w:r>
            <w:r w:rsidRPr="00EB2BD8">
              <w:rPr>
                <w:spacing w:val="-3"/>
                <w:sz w:val="16"/>
              </w:rPr>
              <w:t xml:space="preserve"> </w:t>
            </w:r>
            <w:r w:rsidRPr="00EB2BD8">
              <w:rPr>
                <w:spacing w:val="-2"/>
                <w:sz w:val="16"/>
              </w:rPr>
              <w:t>Penalty</w:t>
            </w:r>
            <w:r w:rsidRPr="00EB2BD8">
              <w:rPr>
                <w:spacing w:val="-4"/>
                <w:sz w:val="16"/>
              </w:rPr>
              <w:t xml:space="preserve"> </w:t>
            </w:r>
            <w:r w:rsidRPr="00EB2BD8">
              <w:rPr>
                <w:spacing w:val="-2"/>
                <w:sz w:val="16"/>
              </w:rPr>
              <w:t>of</w:t>
            </w:r>
            <w:r w:rsidRPr="00EB2BD8">
              <w:rPr>
                <w:spacing w:val="-3"/>
                <w:sz w:val="16"/>
              </w:rPr>
              <w:t xml:space="preserve"> </w:t>
            </w:r>
            <w:r w:rsidRPr="00EB2BD8">
              <w:rPr>
                <w:spacing w:val="-4"/>
                <w:sz w:val="16"/>
              </w:rPr>
              <w:t>$925</w:t>
            </w:r>
          </w:p>
        </w:tc>
        <w:tc>
          <w:tcPr>
            <w:tcW w:w="1080" w:type="dxa"/>
          </w:tcPr>
          <w:p w14:paraId="22A8417A" w14:textId="77777777" w:rsidR="00084F36" w:rsidRPr="00EB2BD8" w:rsidRDefault="00EB2BD8">
            <w:pPr>
              <w:pStyle w:val="TableParagraph"/>
              <w:spacing w:before="118"/>
              <w:ind w:right="111"/>
              <w:jc w:val="right"/>
              <w:rPr>
                <w:sz w:val="16"/>
              </w:rPr>
            </w:pPr>
            <w:r w:rsidRPr="00EB2BD8">
              <w:rPr>
                <w:spacing w:val="-2"/>
                <w:w w:val="90"/>
                <w:sz w:val="16"/>
              </w:rPr>
              <w:t>$92540</w:t>
            </w:r>
          </w:p>
        </w:tc>
        <w:tc>
          <w:tcPr>
            <w:tcW w:w="1176" w:type="dxa"/>
          </w:tcPr>
          <w:p w14:paraId="2BE4AE60" w14:textId="77777777" w:rsidR="00084F36" w:rsidRPr="00EB2BD8" w:rsidRDefault="00EB2BD8">
            <w:pPr>
              <w:pStyle w:val="TableParagraph"/>
              <w:spacing w:before="118"/>
              <w:ind w:left="114"/>
              <w:rPr>
                <w:sz w:val="16"/>
              </w:rPr>
            </w:pPr>
            <w:r w:rsidRPr="00EB2BD8">
              <w:rPr>
                <w:spacing w:val="-2"/>
                <w:w w:val="95"/>
                <w:sz w:val="16"/>
              </w:rPr>
              <w:t>14/06/2023</w:t>
            </w:r>
          </w:p>
        </w:tc>
      </w:tr>
      <w:tr w:rsidR="00EB2BD8" w:rsidRPr="00EB2BD8" w14:paraId="091B0B5E" w14:textId="77777777">
        <w:trPr>
          <w:trHeight w:val="229"/>
        </w:trPr>
        <w:tc>
          <w:tcPr>
            <w:tcW w:w="1736" w:type="dxa"/>
          </w:tcPr>
          <w:p w14:paraId="1C8A418F" w14:textId="77777777" w:rsidR="00084F36" w:rsidRPr="00EB2BD8" w:rsidRDefault="00084F36">
            <w:pPr>
              <w:pStyle w:val="TableParagraph"/>
              <w:rPr>
                <w:rFonts w:ascii="Times New Roman"/>
                <w:sz w:val="14"/>
              </w:rPr>
            </w:pPr>
          </w:p>
        </w:tc>
        <w:tc>
          <w:tcPr>
            <w:tcW w:w="3139" w:type="dxa"/>
          </w:tcPr>
          <w:p w14:paraId="7F01D20D" w14:textId="77777777" w:rsidR="00084F36" w:rsidRPr="00EB2BD8" w:rsidRDefault="00EB2BD8">
            <w:pPr>
              <w:pStyle w:val="TableParagraph"/>
              <w:spacing w:before="19"/>
              <w:ind w:left="134"/>
              <w:rPr>
                <w:sz w:val="16"/>
              </w:rPr>
            </w:pPr>
            <w:r w:rsidRPr="00EB2BD8">
              <w:rPr>
                <w:spacing w:val="-2"/>
                <w:sz w:val="16"/>
              </w:rPr>
              <w:t>class</w:t>
            </w:r>
            <w:r w:rsidRPr="00EB2BD8">
              <w:rPr>
                <w:spacing w:val="-5"/>
                <w:sz w:val="16"/>
              </w:rPr>
              <w:t xml:space="preserve"> </w:t>
            </w:r>
            <w:r w:rsidRPr="00EB2BD8">
              <w:rPr>
                <w:spacing w:val="-2"/>
                <w:sz w:val="16"/>
              </w:rPr>
              <w:t>of</w:t>
            </w:r>
            <w:r w:rsidRPr="00EB2BD8">
              <w:rPr>
                <w:spacing w:val="-5"/>
                <w:sz w:val="16"/>
              </w:rPr>
              <w:t xml:space="preserve"> </w:t>
            </w:r>
            <w:r w:rsidRPr="00EB2BD8">
              <w:rPr>
                <w:spacing w:val="-2"/>
                <w:sz w:val="16"/>
              </w:rPr>
              <w:t>roofing</w:t>
            </w:r>
            <w:r w:rsidRPr="00EB2BD8">
              <w:rPr>
                <w:spacing w:val="-4"/>
                <w:sz w:val="16"/>
              </w:rPr>
              <w:t xml:space="preserve"> </w:t>
            </w:r>
            <w:r w:rsidRPr="00EB2BD8">
              <w:rPr>
                <w:spacing w:val="-2"/>
                <w:sz w:val="16"/>
              </w:rPr>
              <w:t>(stormwater)</w:t>
            </w:r>
            <w:r w:rsidRPr="00EB2BD8">
              <w:rPr>
                <w:spacing w:val="-5"/>
                <w:sz w:val="16"/>
              </w:rPr>
              <w:t xml:space="preserve"> </w:t>
            </w:r>
            <w:r w:rsidRPr="00EB2BD8">
              <w:rPr>
                <w:spacing w:val="-4"/>
                <w:sz w:val="16"/>
              </w:rPr>
              <w:t>while</w:t>
            </w:r>
          </w:p>
        </w:tc>
        <w:tc>
          <w:tcPr>
            <w:tcW w:w="3077" w:type="dxa"/>
          </w:tcPr>
          <w:p w14:paraId="03E44B64" w14:textId="77777777" w:rsidR="00084F36" w:rsidRPr="00EB2BD8" w:rsidRDefault="00EB2BD8">
            <w:pPr>
              <w:pStyle w:val="TableParagraph"/>
              <w:spacing w:before="19"/>
              <w:ind w:left="113"/>
              <w:rPr>
                <w:sz w:val="16"/>
              </w:rPr>
            </w:pPr>
            <w:r w:rsidRPr="00EB2BD8">
              <w:rPr>
                <w:spacing w:val="-2"/>
                <w:sz w:val="16"/>
              </w:rPr>
              <w:t>plus</w:t>
            </w:r>
            <w:r w:rsidRPr="00EB2BD8">
              <w:rPr>
                <w:spacing w:val="-11"/>
                <w:sz w:val="16"/>
              </w:rPr>
              <w:t xml:space="preserve"> </w:t>
            </w:r>
            <w:r w:rsidRPr="00EB2BD8">
              <w:rPr>
                <w:spacing w:val="-2"/>
                <w:sz w:val="16"/>
              </w:rPr>
              <w:t>cost</w:t>
            </w:r>
            <w:r w:rsidRPr="00EB2BD8">
              <w:rPr>
                <w:spacing w:val="-10"/>
                <w:sz w:val="16"/>
              </w:rPr>
              <w:t xml:space="preserve"> </w:t>
            </w:r>
            <w:r w:rsidRPr="00EB2BD8">
              <w:rPr>
                <w:spacing w:val="-2"/>
                <w:sz w:val="16"/>
              </w:rPr>
              <w:t>of</w:t>
            </w:r>
            <w:r w:rsidRPr="00EB2BD8">
              <w:rPr>
                <w:spacing w:val="-11"/>
                <w:sz w:val="16"/>
              </w:rPr>
              <w:t xml:space="preserve"> </w:t>
            </w:r>
            <w:r w:rsidRPr="00EB2BD8">
              <w:rPr>
                <w:spacing w:val="-2"/>
                <w:sz w:val="16"/>
              </w:rPr>
              <w:t>$980.</w:t>
            </w:r>
            <w:r w:rsidRPr="00EB2BD8">
              <w:rPr>
                <w:spacing w:val="-10"/>
                <w:sz w:val="16"/>
              </w:rPr>
              <w:t xml:space="preserve"> </w:t>
            </w:r>
            <w:r w:rsidRPr="00EB2BD8">
              <w:rPr>
                <w:spacing w:val="-2"/>
                <w:sz w:val="16"/>
              </w:rPr>
              <w:t>Penalty</w:t>
            </w:r>
            <w:r w:rsidRPr="00EB2BD8">
              <w:rPr>
                <w:spacing w:val="-10"/>
                <w:sz w:val="16"/>
              </w:rPr>
              <w:t xml:space="preserve"> </w:t>
            </w:r>
            <w:r w:rsidRPr="00EB2BD8">
              <w:rPr>
                <w:spacing w:val="-2"/>
                <w:sz w:val="16"/>
              </w:rPr>
              <w:t>is</w:t>
            </w:r>
            <w:r w:rsidRPr="00EB2BD8">
              <w:rPr>
                <w:spacing w:val="-11"/>
                <w:sz w:val="16"/>
              </w:rPr>
              <w:t xml:space="preserve"> </w:t>
            </w:r>
            <w:r w:rsidRPr="00EB2BD8">
              <w:rPr>
                <w:spacing w:val="-5"/>
                <w:sz w:val="16"/>
              </w:rPr>
              <w:t>not</w:t>
            </w:r>
          </w:p>
        </w:tc>
        <w:tc>
          <w:tcPr>
            <w:tcW w:w="1080" w:type="dxa"/>
          </w:tcPr>
          <w:p w14:paraId="682CE8CF" w14:textId="77777777" w:rsidR="00084F36" w:rsidRPr="00EB2BD8" w:rsidRDefault="00084F36">
            <w:pPr>
              <w:pStyle w:val="TableParagraph"/>
              <w:rPr>
                <w:rFonts w:ascii="Times New Roman"/>
                <w:sz w:val="14"/>
              </w:rPr>
            </w:pPr>
          </w:p>
        </w:tc>
        <w:tc>
          <w:tcPr>
            <w:tcW w:w="1176" w:type="dxa"/>
          </w:tcPr>
          <w:p w14:paraId="1DEC30DB" w14:textId="77777777" w:rsidR="00084F36" w:rsidRPr="00EB2BD8" w:rsidRDefault="00084F36">
            <w:pPr>
              <w:pStyle w:val="TableParagraph"/>
              <w:rPr>
                <w:rFonts w:ascii="Times New Roman"/>
                <w:sz w:val="14"/>
              </w:rPr>
            </w:pPr>
          </w:p>
        </w:tc>
      </w:tr>
      <w:tr w:rsidR="00EB2BD8" w:rsidRPr="00EB2BD8" w14:paraId="39AD445B" w14:textId="77777777">
        <w:trPr>
          <w:trHeight w:val="229"/>
        </w:trPr>
        <w:tc>
          <w:tcPr>
            <w:tcW w:w="1736" w:type="dxa"/>
          </w:tcPr>
          <w:p w14:paraId="6D8FC566" w14:textId="77777777" w:rsidR="00084F36" w:rsidRPr="00EB2BD8" w:rsidRDefault="00084F36">
            <w:pPr>
              <w:pStyle w:val="TableParagraph"/>
              <w:rPr>
                <w:rFonts w:ascii="Times New Roman"/>
                <w:sz w:val="14"/>
              </w:rPr>
            </w:pPr>
          </w:p>
        </w:tc>
        <w:tc>
          <w:tcPr>
            <w:tcW w:w="3139" w:type="dxa"/>
          </w:tcPr>
          <w:p w14:paraId="3F94D95C" w14:textId="77777777" w:rsidR="00084F36" w:rsidRPr="00EB2BD8" w:rsidRDefault="00EB2BD8">
            <w:pPr>
              <w:pStyle w:val="TableParagraph"/>
              <w:spacing w:before="19"/>
              <w:ind w:left="134"/>
              <w:rPr>
                <w:sz w:val="16"/>
              </w:rPr>
            </w:pPr>
            <w:r w:rsidRPr="00EB2BD8">
              <w:rPr>
                <w:sz w:val="16"/>
              </w:rPr>
              <w:t>not</w:t>
            </w:r>
            <w:r w:rsidRPr="00EB2BD8">
              <w:rPr>
                <w:spacing w:val="-13"/>
                <w:sz w:val="16"/>
              </w:rPr>
              <w:t xml:space="preserve"> </w:t>
            </w:r>
            <w:r w:rsidRPr="00EB2BD8">
              <w:rPr>
                <w:sz w:val="16"/>
              </w:rPr>
              <w:t>being</w:t>
            </w:r>
            <w:r w:rsidRPr="00EB2BD8">
              <w:rPr>
                <w:spacing w:val="-12"/>
                <w:sz w:val="16"/>
              </w:rPr>
              <w:t xml:space="preserve"> </w:t>
            </w:r>
            <w:r w:rsidRPr="00EB2BD8">
              <w:rPr>
                <w:sz w:val="16"/>
              </w:rPr>
              <w:t>licenced</w:t>
            </w:r>
            <w:r w:rsidRPr="00EB2BD8">
              <w:rPr>
                <w:spacing w:val="-12"/>
                <w:sz w:val="16"/>
              </w:rPr>
              <w:t xml:space="preserve"> </w:t>
            </w:r>
            <w:r w:rsidRPr="00EB2BD8">
              <w:rPr>
                <w:sz w:val="16"/>
              </w:rPr>
              <w:t>or</w:t>
            </w:r>
            <w:r w:rsidRPr="00EB2BD8">
              <w:rPr>
                <w:spacing w:val="-12"/>
                <w:sz w:val="16"/>
              </w:rPr>
              <w:t xml:space="preserve"> </w:t>
            </w:r>
            <w:r w:rsidRPr="00EB2BD8">
              <w:rPr>
                <w:sz w:val="16"/>
              </w:rPr>
              <w:t>registered</w:t>
            </w:r>
            <w:r w:rsidRPr="00EB2BD8">
              <w:rPr>
                <w:spacing w:val="-12"/>
                <w:sz w:val="16"/>
              </w:rPr>
              <w:t xml:space="preserve"> </w:t>
            </w:r>
            <w:r w:rsidRPr="00EB2BD8">
              <w:rPr>
                <w:spacing w:val="-5"/>
                <w:sz w:val="16"/>
              </w:rPr>
              <w:t>to</w:t>
            </w:r>
          </w:p>
        </w:tc>
        <w:tc>
          <w:tcPr>
            <w:tcW w:w="3077" w:type="dxa"/>
          </w:tcPr>
          <w:p w14:paraId="4C636946" w14:textId="77777777" w:rsidR="00084F36" w:rsidRPr="00EB2BD8" w:rsidRDefault="00EB2BD8">
            <w:pPr>
              <w:pStyle w:val="TableParagraph"/>
              <w:spacing w:before="19"/>
              <w:ind w:left="113"/>
              <w:rPr>
                <w:sz w:val="16"/>
              </w:rPr>
            </w:pPr>
            <w:r w:rsidRPr="00EB2BD8">
              <w:rPr>
                <w:spacing w:val="-2"/>
                <w:sz w:val="16"/>
              </w:rPr>
              <w:t>required</w:t>
            </w:r>
            <w:r w:rsidRPr="00EB2BD8">
              <w:rPr>
                <w:spacing w:val="-3"/>
                <w:sz w:val="16"/>
              </w:rPr>
              <w:t xml:space="preserve"> </w:t>
            </w:r>
            <w:r w:rsidRPr="00EB2BD8">
              <w:rPr>
                <w:spacing w:val="-2"/>
                <w:sz w:val="16"/>
              </w:rPr>
              <w:t>provided the practitioner</w:t>
            </w:r>
          </w:p>
        </w:tc>
        <w:tc>
          <w:tcPr>
            <w:tcW w:w="1080" w:type="dxa"/>
          </w:tcPr>
          <w:p w14:paraId="1CCA8DE1" w14:textId="77777777" w:rsidR="00084F36" w:rsidRPr="00EB2BD8" w:rsidRDefault="00084F36">
            <w:pPr>
              <w:pStyle w:val="TableParagraph"/>
              <w:rPr>
                <w:rFonts w:ascii="Times New Roman"/>
                <w:sz w:val="14"/>
              </w:rPr>
            </w:pPr>
          </w:p>
        </w:tc>
        <w:tc>
          <w:tcPr>
            <w:tcW w:w="1176" w:type="dxa"/>
          </w:tcPr>
          <w:p w14:paraId="21B1B659" w14:textId="77777777" w:rsidR="00084F36" w:rsidRPr="00EB2BD8" w:rsidRDefault="00084F36">
            <w:pPr>
              <w:pStyle w:val="TableParagraph"/>
              <w:rPr>
                <w:rFonts w:ascii="Times New Roman"/>
                <w:sz w:val="14"/>
              </w:rPr>
            </w:pPr>
          </w:p>
        </w:tc>
      </w:tr>
      <w:tr w:rsidR="00EB2BD8" w:rsidRPr="00EB2BD8" w14:paraId="4E81164F" w14:textId="77777777">
        <w:trPr>
          <w:trHeight w:val="229"/>
        </w:trPr>
        <w:tc>
          <w:tcPr>
            <w:tcW w:w="1736" w:type="dxa"/>
          </w:tcPr>
          <w:p w14:paraId="47243099" w14:textId="77777777" w:rsidR="00084F36" w:rsidRPr="00EB2BD8" w:rsidRDefault="00084F36">
            <w:pPr>
              <w:pStyle w:val="TableParagraph"/>
              <w:rPr>
                <w:rFonts w:ascii="Times New Roman"/>
                <w:sz w:val="14"/>
              </w:rPr>
            </w:pPr>
          </w:p>
        </w:tc>
        <w:tc>
          <w:tcPr>
            <w:tcW w:w="3139" w:type="dxa"/>
          </w:tcPr>
          <w:p w14:paraId="526939BE" w14:textId="77777777" w:rsidR="00084F36" w:rsidRPr="00EB2BD8" w:rsidRDefault="00EB2BD8">
            <w:pPr>
              <w:pStyle w:val="TableParagraph"/>
              <w:spacing w:before="19"/>
              <w:ind w:left="134"/>
              <w:rPr>
                <w:sz w:val="16"/>
              </w:rPr>
            </w:pPr>
            <w:r w:rsidRPr="00EB2BD8">
              <w:rPr>
                <w:sz w:val="16"/>
              </w:rPr>
              <w:t>do</w:t>
            </w:r>
            <w:r w:rsidRPr="00EB2BD8">
              <w:rPr>
                <w:spacing w:val="-12"/>
                <w:sz w:val="16"/>
              </w:rPr>
              <w:t xml:space="preserve"> </w:t>
            </w:r>
            <w:r w:rsidRPr="00EB2BD8">
              <w:rPr>
                <w:spacing w:val="-5"/>
                <w:sz w:val="16"/>
              </w:rPr>
              <w:t>so.</w:t>
            </w:r>
          </w:p>
        </w:tc>
        <w:tc>
          <w:tcPr>
            <w:tcW w:w="3077" w:type="dxa"/>
          </w:tcPr>
          <w:p w14:paraId="29D917E6" w14:textId="77777777" w:rsidR="00084F36" w:rsidRPr="00EB2BD8" w:rsidRDefault="00EB2BD8">
            <w:pPr>
              <w:pStyle w:val="TableParagraph"/>
              <w:spacing w:before="19"/>
              <w:ind w:left="113"/>
              <w:rPr>
                <w:sz w:val="16"/>
              </w:rPr>
            </w:pPr>
            <w:r w:rsidRPr="00EB2BD8">
              <w:rPr>
                <w:sz w:val="16"/>
              </w:rPr>
              <w:t>commits</w:t>
            </w:r>
            <w:r w:rsidRPr="00EB2BD8">
              <w:rPr>
                <w:spacing w:val="-12"/>
                <w:sz w:val="16"/>
              </w:rPr>
              <w:t xml:space="preserve"> </w:t>
            </w:r>
            <w:r w:rsidRPr="00EB2BD8">
              <w:rPr>
                <w:sz w:val="16"/>
              </w:rPr>
              <w:t>no</w:t>
            </w:r>
            <w:r w:rsidRPr="00EB2BD8">
              <w:rPr>
                <w:spacing w:val="-11"/>
                <w:sz w:val="16"/>
              </w:rPr>
              <w:t xml:space="preserve"> </w:t>
            </w:r>
            <w:r w:rsidRPr="00EB2BD8">
              <w:rPr>
                <w:sz w:val="16"/>
              </w:rPr>
              <w:t>further</w:t>
            </w:r>
            <w:r w:rsidRPr="00EB2BD8">
              <w:rPr>
                <w:spacing w:val="-11"/>
                <w:sz w:val="16"/>
              </w:rPr>
              <w:t xml:space="preserve"> </w:t>
            </w:r>
            <w:r w:rsidRPr="00EB2BD8">
              <w:rPr>
                <w:sz w:val="16"/>
              </w:rPr>
              <w:t>breaches</w:t>
            </w:r>
            <w:r w:rsidRPr="00EB2BD8">
              <w:rPr>
                <w:spacing w:val="-12"/>
                <w:sz w:val="16"/>
              </w:rPr>
              <w:t xml:space="preserve"> </w:t>
            </w:r>
            <w:r w:rsidRPr="00EB2BD8">
              <w:rPr>
                <w:sz w:val="16"/>
              </w:rPr>
              <w:t>of</w:t>
            </w:r>
            <w:r w:rsidRPr="00EB2BD8">
              <w:rPr>
                <w:spacing w:val="-11"/>
                <w:sz w:val="16"/>
              </w:rPr>
              <w:t xml:space="preserve"> </w:t>
            </w:r>
            <w:r w:rsidRPr="00EB2BD8">
              <w:rPr>
                <w:spacing w:val="-5"/>
                <w:sz w:val="16"/>
              </w:rPr>
              <w:t>the</w:t>
            </w:r>
          </w:p>
        </w:tc>
        <w:tc>
          <w:tcPr>
            <w:tcW w:w="1080" w:type="dxa"/>
          </w:tcPr>
          <w:p w14:paraId="08769F49" w14:textId="77777777" w:rsidR="00084F36" w:rsidRPr="00EB2BD8" w:rsidRDefault="00084F36">
            <w:pPr>
              <w:pStyle w:val="TableParagraph"/>
              <w:rPr>
                <w:rFonts w:ascii="Times New Roman"/>
                <w:sz w:val="14"/>
              </w:rPr>
            </w:pPr>
          </w:p>
        </w:tc>
        <w:tc>
          <w:tcPr>
            <w:tcW w:w="1176" w:type="dxa"/>
          </w:tcPr>
          <w:p w14:paraId="49C966FF" w14:textId="77777777" w:rsidR="00084F36" w:rsidRPr="00EB2BD8" w:rsidRDefault="00084F36">
            <w:pPr>
              <w:pStyle w:val="TableParagraph"/>
              <w:rPr>
                <w:rFonts w:ascii="Times New Roman"/>
                <w:sz w:val="14"/>
              </w:rPr>
            </w:pPr>
          </w:p>
        </w:tc>
      </w:tr>
      <w:tr w:rsidR="00EB2BD8" w:rsidRPr="00EB2BD8" w14:paraId="5304BB37" w14:textId="77777777">
        <w:trPr>
          <w:trHeight w:val="229"/>
        </w:trPr>
        <w:tc>
          <w:tcPr>
            <w:tcW w:w="1736" w:type="dxa"/>
          </w:tcPr>
          <w:p w14:paraId="4941AE17" w14:textId="77777777" w:rsidR="00084F36" w:rsidRPr="00EB2BD8" w:rsidRDefault="00084F36">
            <w:pPr>
              <w:pStyle w:val="TableParagraph"/>
              <w:rPr>
                <w:rFonts w:ascii="Times New Roman"/>
                <w:sz w:val="14"/>
              </w:rPr>
            </w:pPr>
          </w:p>
        </w:tc>
        <w:tc>
          <w:tcPr>
            <w:tcW w:w="3139" w:type="dxa"/>
          </w:tcPr>
          <w:p w14:paraId="77C07694" w14:textId="77777777" w:rsidR="00084F36" w:rsidRPr="00EB2BD8" w:rsidRDefault="00084F36">
            <w:pPr>
              <w:pStyle w:val="TableParagraph"/>
              <w:rPr>
                <w:rFonts w:ascii="Times New Roman"/>
                <w:sz w:val="14"/>
              </w:rPr>
            </w:pPr>
          </w:p>
        </w:tc>
        <w:tc>
          <w:tcPr>
            <w:tcW w:w="3077" w:type="dxa"/>
          </w:tcPr>
          <w:p w14:paraId="2D91FDE2" w14:textId="77777777" w:rsidR="00084F36" w:rsidRPr="00EB2BD8" w:rsidRDefault="00EB2BD8">
            <w:pPr>
              <w:pStyle w:val="TableParagraph"/>
              <w:spacing w:before="19"/>
              <w:ind w:left="113"/>
              <w:rPr>
                <w:sz w:val="16"/>
              </w:rPr>
            </w:pPr>
            <w:r w:rsidRPr="00EB2BD8">
              <w:rPr>
                <w:sz w:val="16"/>
              </w:rPr>
              <w:t>Plumbing</w:t>
            </w:r>
            <w:r w:rsidRPr="00EB2BD8">
              <w:rPr>
                <w:spacing w:val="-12"/>
                <w:sz w:val="16"/>
              </w:rPr>
              <w:t xml:space="preserve"> </w:t>
            </w:r>
            <w:r w:rsidRPr="00EB2BD8">
              <w:rPr>
                <w:sz w:val="16"/>
              </w:rPr>
              <w:t>Regulations</w:t>
            </w:r>
            <w:r w:rsidRPr="00EB2BD8">
              <w:rPr>
                <w:spacing w:val="-12"/>
                <w:sz w:val="16"/>
              </w:rPr>
              <w:t xml:space="preserve"> </w:t>
            </w:r>
            <w:r w:rsidRPr="00EB2BD8">
              <w:rPr>
                <w:sz w:val="16"/>
              </w:rPr>
              <w:t>or</w:t>
            </w:r>
            <w:r w:rsidRPr="00EB2BD8">
              <w:rPr>
                <w:spacing w:val="-11"/>
                <w:sz w:val="16"/>
              </w:rPr>
              <w:t xml:space="preserve"> </w:t>
            </w:r>
            <w:r w:rsidRPr="00EB2BD8">
              <w:rPr>
                <w:sz w:val="16"/>
              </w:rPr>
              <w:t>the</w:t>
            </w:r>
            <w:r w:rsidRPr="00EB2BD8">
              <w:rPr>
                <w:spacing w:val="-12"/>
                <w:sz w:val="16"/>
              </w:rPr>
              <w:t xml:space="preserve"> </w:t>
            </w:r>
            <w:r w:rsidRPr="00EB2BD8">
              <w:rPr>
                <w:spacing w:val="-2"/>
                <w:sz w:val="16"/>
              </w:rPr>
              <w:t>Building</w:t>
            </w:r>
          </w:p>
        </w:tc>
        <w:tc>
          <w:tcPr>
            <w:tcW w:w="1080" w:type="dxa"/>
          </w:tcPr>
          <w:p w14:paraId="54C59327" w14:textId="77777777" w:rsidR="00084F36" w:rsidRPr="00EB2BD8" w:rsidRDefault="00084F36">
            <w:pPr>
              <w:pStyle w:val="TableParagraph"/>
              <w:rPr>
                <w:rFonts w:ascii="Times New Roman"/>
                <w:sz w:val="14"/>
              </w:rPr>
            </w:pPr>
          </w:p>
        </w:tc>
        <w:tc>
          <w:tcPr>
            <w:tcW w:w="1176" w:type="dxa"/>
          </w:tcPr>
          <w:p w14:paraId="3AAB2705" w14:textId="77777777" w:rsidR="00084F36" w:rsidRPr="00EB2BD8" w:rsidRDefault="00084F36">
            <w:pPr>
              <w:pStyle w:val="TableParagraph"/>
              <w:rPr>
                <w:rFonts w:ascii="Times New Roman"/>
                <w:sz w:val="14"/>
              </w:rPr>
            </w:pPr>
          </w:p>
        </w:tc>
      </w:tr>
      <w:tr w:rsidR="00EB2BD8" w:rsidRPr="00EB2BD8" w14:paraId="21707965" w14:textId="77777777">
        <w:trPr>
          <w:trHeight w:val="285"/>
        </w:trPr>
        <w:tc>
          <w:tcPr>
            <w:tcW w:w="1736" w:type="dxa"/>
            <w:tcBorders>
              <w:bottom w:val="single" w:sz="2" w:space="0" w:color="000000"/>
            </w:tcBorders>
          </w:tcPr>
          <w:p w14:paraId="778F02FF" w14:textId="77777777" w:rsidR="00084F36" w:rsidRPr="00EB2BD8" w:rsidRDefault="00084F36">
            <w:pPr>
              <w:pStyle w:val="TableParagraph"/>
              <w:rPr>
                <w:rFonts w:ascii="Times New Roman"/>
                <w:sz w:val="14"/>
              </w:rPr>
            </w:pPr>
          </w:p>
        </w:tc>
        <w:tc>
          <w:tcPr>
            <w:tcW w:w="3139" w:type="dxa"/>
            <w:tcBorders>
              <w:bottom w:val="single" w:sz="2" w:space="0" w:color="000000"/>
            </w:tcBorders>
          </w:tcPr>
          <w:p w14:paraId="4472DE8E" w14:textId="77777777" w:rsidR="00084F36" w:rsidRPr="00EB2BD8" w:rsidRDefault="00084F36">
            <w:pPr>
              <w:pStyle w:val="TableParagraph"/>
              <w:rPr>
                <w:rFonts w:ascii="Times New Roman"/>
                <w:sz w:val="14"/>
              </w:rPr>
            </w:pPr>
          </w:p>
        </w:tc>
        <w:tc>
          <w:tcPr>
            <w:tcW w:w="3077" w:type="dxa"/>
            <w:tcBorders>
              <w:bottom w:val="single" w:sz="2" w:space="0" w:color="000000"/>
            </w:tcBorders>
          </w:tcPr>
          <w:p w14:paraId="05D0D969" w14:textId="77777777" w:rsidR="00084F36" w:rsidRPr="00EB2BD8" w:rsidRDefault="00EB2BD8">
            <w:pPr>
              <w:pStyle w:val="TableParagraph"/>
              <w:spacing w:before="19"/>
              <w:ind w:left="113"/>
              <w:rPr>
                <w:sz w:val="16"/>
              </w:rPr>
            </w:pPr>
            <w:r w:rsidRPr="00EB2BD8">
              <w:rPr>
                <w:w w:val="90"/>
                <w:sz w:val="16"/>
              </w:rPr>
              <w:t>Act</w:t>
            </w:r>
            <w:r w:rsidRPr="00EB2BD8">
              <w:rPr>
                <w:spacing w:val="-4"/>
                <w:sz w:val="16"/>
              </w:rPr>
              <w:t xml:space="preserve"> </w:t>
            </w:r>
            <w:r w:rsidRPr="00EB2BD8">
              <w:rPr>
                <w:w w:val="90"/>
                <w:sz w:val="16"/>
              </w:rPr>
              <w:t>for</w:t>
            </w:r>
            <w:r w:rsidRPr="00EB2BD8">
              <w:rPr>
                <w:spacing w:val="-4"/>
                <w:sz w:val="16"/>
              </w:rPr>
              <w:t xml:space="preserve"> </w:t>
            </w:r>
            <w:r w:rsidRPr="00EB2BD8">
              <w:rPr>
                <w:w w:val="90"/>
                <w:sz w:val="16"/>
              </w:rPr>
              <w:t>the</w:t>
            </w:r>
            <w:r w:rsidRPr="00EB2BD8">
              <w:rPr>
                <w:spacing w:val="-4"/>
                <w:sz w:val="16"/>
              </w:rPr>
              <w:t xml:space="preserve"> </w:t>
            </w:r>
            <w:r w:rsidRPr="00EB2BD8">
              <w:rPr>
                <w:w w:val="90"/>
                <w:sz w:val="16"/>
              </w:rPr>
              <w:t>next</w:t>
            </w:r>
            <w:r w:rsidRPr="00EB2BD8">
              <w:rPr>
                <w:spacing w:val="-4"/>
                <w:sz w:val="16"/>
              </w:rPr>
              <w:t xml:space="preserve"> </w:t>
            </w:r>
            <w:r w:rsidRPr="00EB2BD8">
              <w:rPr>
                <w:w w:val="90"/>
                <w:sz w:val="16"/>
              </w:rPr>
              <w:t>12</w:t>
            </w:r>
            <w:r w:rsidRPr="00EB2BD8">
              <w:rPr>
                <w:spacing w:val="-3"/>
                <w:sz w:val="16"/>
              </w:rPr>
              <w:t xml:space="preserve"> </w:t>
            </w:r>
            <w:r w:rsidRPr="00EB2BD8">
              <w:rPr>
                <w:spacing w:val="-2"/>
                <w:w w:val="90"/>
                <w:sz w:val="16"/>
              </w:rPr>
              <w:t>months.</w:t>
            </w:r>
          </w:p>
        </w:tc>
        <w:tc>
          <w:tcPr>
            <w:tcW w:w="1080" w:type="dxa"/>
            <w:tcBorders>
              <w:bottom w:val="single" w:sz="2" w:space="0" w:color="000000"/>
            </w:tcBorders>
          </w:tcPr>
          <w:p w14:paraId="3831533B"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5752E037" w14:textId="77777777" w:rsidR="00084F36" w:rsidRPr="00EB2BD8" w:rsidRDefault="00084F36">
            <w:pPr>
              <w:pStyle w:val="TableParagraph"/>
              <w:rPr>
                <w:rFonts w:ascii="Times New Roman"/>
                <w:sz w:val="14"/>
              </w:rPr>
            </w:pPr>
          </w:p>
        </w:tc>
      </w:tr>
      <w:tr w:rsidR="00EB2BD8" w:rsidRPr="00EB2BD8" w14:paraId="088FBF68" w14:textId="77777777">
        <w:trPr>
          <w:trHeight w:val="326"/>
        </w:trPr>
        <w:tc>
          <w:tcPr>
            <w:tcW w:w="1736" w:type="dxa"/>
            <w:tcBorders>
              <w:top w:val="single" w:sz="2" w:space="0" w:color="000000"/>
            </w:tcBorders>
          </w:tcPr>
          <w:p w14:paraId="72EDE23E" w14:textId="77777777" w:rsidR="00084F36" w:rsidRPr="00EB2BD8" w:rsidRDefault="00EB2BD8">
            <w:pPr>
              <w:pStyle w:val="TableParagraph"/>
              <w:spacing w:before="115"/>
              <w:ind w:left="113"/>
              <w:rPr>
                <w:sz w:val="16"/>
              </w:rPr>
            </w:pPr>
            <w:r w:rsidRPr="00EB2BD8">
              <w:rPr>
                <w:spacing w:val="-2"/>
                <w:sz w:val="16"/>
              </w:rPr>
              <w:t>CASABENE,</w:t>
            </w:r>
          </w:p>
        </w:tc>
        <w:tc>
          <w:tcPr>
            <w:tcW w:w="3139" w:type="dxa"/>
            <w:tcBorders>
              <w:top w:val="single" w:sz="2" w:space="0" w:color="000000"/>
            </w:tcBorders>
          </w:tcPr>
          <w:p w14:paraId="2B0D5A76" w14:textId="77777777" w:rsidR="00084F36" w:rsidRPr="00EB2BD8" w:rsidRDefault="00EB2BD8">
            <w:pPr>
              <w:pStyle w:val="TableParagraph"/>
              <w:spacing w:before="115"/>
              <w:ind w:left="134"/>
              <w:rPr>
                <w:sz w:val="16"/>
              </w:rPr>
            </w:pPr>
            <w:r w:rsidRPr="00EB2BD8">
              <w:rPr>
                <w:sz w:val="16"/>
              </w:rPr>
              <w:t>Permitted</w:t>
            </w:r>
            <w:r w:rsidRPr="00EB2BD8">
              <w:rPr>
                <w:spacing w:val="-9"/>
                <w:sz w:val="16"/>
              </w:rPr>
              <w:t xml:space="preserve"> </w:t>
            </w:r>
            <w:r w:rsidRPr="00EB2BD8">
              <w:rPr>
                <w:sz w:val="16"/>
              </w:rPr>
              <w:t>another</w:t>
            </w:r>
            <w:r w:rsidRPr="00EB2BD8">
              <w:rPr>
                <w:spacing w:val="-9"/>
                <w:sz w:val="16"/>
              </w:rPr>
              <w:t xml:space="preserve"> </w:t>
            </w:r>
            <w:r w:rsidRPr="00EB2BD8">
              <w:rPr>
                <w:sz w:val="16"/>
              </w:rPr>
              <w:t>person</w:t>
            </w:r>
            <w:r w:rsidRPr="00EB2BD8">
              <w:rPr>
                <w:spacing w:val="-9"/>
                <w:sz w:val="16"/>
              </w:rPr>
              <w:t xml:space="preserve"> </w:t>
            </w:r>
            <w:r w:rsidRPr="00EB2BD8">
              <w:rPr>
                <w:sz w:val="16"/>
              </w:rPr>
              <w:t>to</w:t>
            </w:r>
            <w:r w:rsidRPr="00EB2BD8">
              <w:rPr>
                <w:spacing w:val="-9"/>
                <w:sz w:val="16"/>
              </w:rPr>
              <w:t xml:space="preserve"> </w:t>
            </w:r>
            <w:r w:rsidRPr="00EB2BD8">
              <w:rPr>
                <w:spacing w:val="-2"/>
                <w:sz w:val="16"/>
              </w:rPr>
              <w:t>carry</w:t>
            </w:r>
          </w:p>
        </w:tc>
        <w:tc>
          <w:tcPr>
            <w:tcW w:w="3077" w:type="dxa"/>
            <w:tcBorders>
              <w:top w:val="single" w:sz="2" w:space="0" w:color="000000"/>
            </w:tcBorders>
          </w:tcPr>
          <w:p w14:paraId="3A54371C" w14:textId="77777777" w:rsidR="00084F36" w:rsidRPr="00EB2BD8" w:rsidRDefault="00EB2BD8">
            <w:pPr>
              <w:pStyle w:val="TableParagraph"/>
              <w:spacing w:before="115"/>
              <w:ind w:left="113"/>
              <w:rPr>
                <w:sz w:val="16"/>
              </w:rPr>
            </w:pPr>
            <w:r w:rsidRPr="00EB2BD8">
              <w:rPr>
                <w:spacing w:val="-2"/>
                <w:sz w:val="16"/>
              </w:rPr>
              <w:t>Cost</w:t>
            </w:r>
            <w:r w:rsidRPr="00EB2BD8">
              <w:rPr>
                <w:spacing w:val="-7"/>
                <w:sz w:val="16"/>
              </w:rPr>
              <w:t xml:space="preserve"> </w:t>
            </w:r>
            <w:r w:rsidRPr="00EB2BD8">
              <w:rPr>
                <w:spacing w:val="-2"/>
                <w:sz w:val="16"/>
              </w:rPr>
              <w:t>of</w:t>
            </w:r>
            <w:r w:rsidRPr="00EB2BD8">
              <w:rPr>
                <w:spacing w:val="-7"/>
                <w:sz w:val="16"/>
              </w:rPr>
              <w:t xml:space="preserve"> </w:t>
            </w:r>
            <w:r w:rsidRPr="00EB2BD8">
              <w:rPr>
                <w:spacing w:val="-2"/>
                <w:sz w:val="16"/>
              </w:rPr>
              <w:t>$1,733.</w:t>
            </w:r>
          </w:p>
        </w:tc>
        <w:tc>
          <w:tcPr>
            <w:tcW w:w="1080" w:type="dxa"/>
            <w:tcBorders>
              <w:top w:val="single" w:sz="2" w:space="0" w:color="000000"/>
            </w:tcBorders>
          </w:tcPr>
          <w:p w14:paraId="4BD309A2" w14:textId="77777777" w:rsidR="00084F36" w:rsidRPr="00EB2BD8" w:rsidRDefault="00EB2BD8">
            <w:pPr>
              <w:pStyle w:val="TableParagraph"/>
              <w:spacing w:before="115"/>
              <w:ind w:right="110"/>
              <w:jc w:val="right"/>
              <w:rPr>
                <w:sz w:val="16"/>
              </w:rPr>
            </w:pPr>
            <w:r w:rsidRPr="00EB2BD8">
              <w:rPr>
                <w:w w:val="135"/>
                <w:sz w:val="16"/>
              </w:rPr>
              <w:t>-</w:t>
            </w:r>
          </w:p>
        </w:tc>
        <w:tc>
          <w:tcPr>
            <w:tcW w:w="1176" w:type="dxa"/>
            <w:tcBorders>
              <w:top w:val="single" w:sz="2" w:space="0" w:color="000000"/>
            </w:tcBorders>
          </w:tcPr>
          <w:p w14:paraId="7A256B3B" w14:textId="77777777" w:rsidR="00084F36" w:rsidRPr="00EB2BD8" w:rsidRDefault="00EB2BD8">
            <w:pPr>
              <w:pStyle w:val="TableParagraph"/>
              <w:spacing w:before="115"/>
              <w:ind w:left="114"/>
              <w:rPr>
                <w:sz w:val="16"/>
              </w:rPr>
            </w:pPr>
            <w:r w:rsidRPr="00EB2BD8">
              <w:rPr>
                <w:spacing w:val="-2"/>
                <w:w w:val="95"/>
                <w:sz w:val="16"/>
              </w:rPr>
              <w:t>23/05/2023</w:t>
            </w:r>
          </w:p>
        </w:tc>
      </w:tr>
      <w:tr w:rsidR="00EB2BD8" w:rsidRPr="00EB2BD8" w14:paraId="4F25CC51" w14:textId="77777777">
        <w:trPr>
          <w:trHeight w:val="229"/>
        </w:trPr>
        <w:tc>
          <w:tcPr>
            <w:tcW w:w="1736" w:type="dxa"/>
          </w:tcPr>
          <w:p w14:paraId="0DAEADC2" w14:textId="77777777" w:rsidR="00084F36" w:rsidRPr="00EB2BD8" w:rsidRDefault="00EB2BD8">
            <w:pPr>
              <w:pStyle w:val="TableParagraph"/>
              <w:spacing w:before="19"/>
              <w:ind w:left="113"/>
              <w:rPr>
                <w:sz w:val="16"/>
              </w:rPr>
            </w:pPr>
            <w:r w:rsidRPr="00EB2BD8">
              <w:rPr>
                <w:spacing w:val="-2"/>
                <w:w w:val="105"/>
                <w:sz w:val="16"/>
              </w:rPr>
              <w:t>Giuseppe</w:t>
            </w:r>
          </w:p>
        </w:tc>
        <w:tc>
          <w:tcPr>
            <w:tcW w:w="3139" w:type="dxa"/>
          </w:tcPr>
          <w:p w14:paraId="014CAF11" w14:textId="77777777" w:rsidR="00084F36" w:rsidRPr="00EB2BD8" w:rsidRDefault="00EB2BD8">
            <w:pPr>
              <w:pStyle w:val="TableParagraph"/>
              <w:spacing w:before="19"/>
              <w:ind w:left="134"/>
              <w:rPr>
                <w:sz w:val="16"/>
              </w:rPr>
            </w:pPr>
            <w:r w:rsidRPr="00EB2BD8">
              <w:rPr>
                <w:spacing w:val="-2"/>
                <w:sz w:val="16"/>
              </w:rPr>
              <w:t>out</w:t>
            </w:r>
            <w:r w:rsidRPr="00EB2BD8">
              <w:rPr>
                <w:spacing w:val="-8"/>
                <w:sz w:val="16"/>
              </w:rPr>
              <w:t xml:space="preserve"> </w:t>
            </w:r>
            <w:r w:rsidRPr="00EB2BD8">
              <w:rPr>
                <w:spacing w:val="-2"/>
                <w:sz w:val="16"/>
              </w:rPr>
              <w:t>plumbing</w:t>
            </w:r>
            <w:r w:rsidRPr="00EB2BD8">
              <w:rPr>
                <w:spacing w:val="-8"/>
                <w:sz w:val="16"/>
              </w:rPr>
              <w:t xml:space="preserve"> </w:t>
            </w:r>
            <w:r w:rsidRPr="00EB2BD8">
              <w:rPr>
                <w:spacing w:val="-2"/>
                <w:sz w:val="16"/>
              </w:rPr>
              <w:t>work</w:t>
            </w:r>
            <w:r w:rsidRPr="00EB2BD8">
              <w:rPr>
                <w:spacing w:val="-7"/>
                <w:sz w:val="16"/>
              </w:rPr>
              <w:t xml:space="preserve"> </w:t>
            </w:r>
            <w:r w:rsidRPr="00EB2BD8">
              <w:rPr>
                <w:spacing w:val="-2"/>
                <w:sz w:val="16"/>
              </w:rPr>
              <w:t>who</w:t>
            </w:r>
            <w:r w:rsidRPr="00EB2BD8">
              <w:rPr>
                <w:spacing w:val="-8"/>
                <w:sz w:val="16"/>
              </w:rPr>
              <w:t xml:space="preserve"> </w:t>
            </w:r>
            <w:r w:rsidRPr="00EB2BD8">
              <w:rPr>
                <w:spacing w:val="-2"/>
                <w:sz w:val="16"/>
              </w:rPr>
              <w:t>was</w:t>
            </w:r>
            <w:r w:rsidRPr="00EB2BD8">
              <w:rPr>
                <w:spacing w:val="-8"/>
                <w:sz w:val="16"/>
              </w:rPr>
              <w:t xml:space="preserve"> </w:t>
            </w:r>
            <w:r w:rsidRPr="00EB2BD8">
              <w:rPr>
                <w:spacing w:val="-5"/>
                <w:sz w:val="16"/>
              </w:rPr>
              <w:t>not</w:t>
            </w:r>
          </w:p>
        </w:tc>
        <w:tc>
          <w:tcPr>
            <w:tcW w:w="3077" w:type="dxa"/>
          </w:tcPr>
          <w:p w14:paraId="75E4CC81" w14:textId="77777777" w:rsidR="00084F36" w:rsidRPr="00EB2BD8" w:rsidRDefault="00084F36">
            <w:pPr>
              <w:pStyle w:val="TableParagraph"/>
              <w:rPr>
                <w:rFonts w:ascii="Times New Roman"/>
                <w:sz w:val="14"/>
              </w:rPr>
            </w:pPr>
          </w:p>
        </w:tc>
        <w:tc>
          <w:tcPr>
            <w:tcW w:w="1080" w:type="dxa"/>
          </w:tcPr>
          <w:p w14:paraId="65866CF2" w14:textId="77777777" w:rsidR="00084F36" w:rsidRPr="00EB2BD8" w:rsidRDefault="00084F36">
            <w:pPr>
              <w:pStyle w:val="TableParagraph"/>
              <w:rPr>
                <w:rFonts w:ascii="Times New Roman"/>
                <w:sz w:val="14"/>
              </w:rPr>
            </w:pPr>
          </w:p>
        </w:tc>
        <w:tc>
          <w:tcPr>
            <w:tcW w:w="1176" w:type="dxa"/>
          </w:tcPr>
          <w:p w14:paraId="710E5D7F" w14:textId="77777777" w:rsidR="00084F36" w:rsidRPr="00EB2BD8" w:rsidRDefault="00084F36">
            <w:pPr>
              <w:pStyle w:val="TableParagraph"/>
              <w:rPr>
                <w:rFonts w:ascii="Times New Roman"/>
                <w:sz w:val="14"/>
              </w:rPr>
            </w:pPr>
          </w:p>
        </w:tc>
      </w:tr>
      <w:tr w:rsidR="00EB2BD8" w:rsidRPr="00EB2BD8" w14:paraId="753EE9B0" w14:textId="77777777">
        <w:trPr>
          <w:trHeight w:val="285"/>
        </w:trPr>
        <w:tc>
          <w:tcPr>
            <w:tcW w:w="1736" w:type="dxa"/>
            <w:tcBorders>
              <w:bottom w:val="single" w:sz="2" w:space="0" w:color="000000"/>
            </w:tcBorders>
          </w:tcPr>
          <w:p w14:paraId="781C30F0" w14:textId="77777777" w:rsidR="00084F36" w:rsidRPr="00EB2BD8" w:rsidRDefault="00084F36">
            <w:pPr>
              <w:pStyle w:val="TableParagraph"/>
              <w:rPr>
                <w:rFonts w:ascii="Times New Roman"/>
                <w:sz w:val="14"/>
              </w:rPr>
            </w:pPr>
          </w:p>
        </w:tc>
        <w:tc>
          <w:tcPr>
            <w:tcW w:w="3139" w:type="dxa"/>
            <w:tcBorders>
              <w:bottom w:val="single" w:sz="2" w:space="0" w:color="000000"/>
            </w:tcBorders>
          </w:tcPr>
          <w:p w14:paraId="6C8E6E81" w14:textId="77777777" w:rsidR="00084F36" w:rsidRPr="00EB2BD8" w:rsidRDefault="00EB2BD8">
            <w:pPr>
              <w:pStyle w:val="TableParagraph"/>
              <w:spacing w:before="19"/>
              <w:ind w:left="134"/>
              <w:rPr>
                <w:sz w:val="16"/>
              </w:rPr>
            </w:pPr>
            <w:r w:rsidRPr="00EB2BD8">
              <w:rPr>
                <w:spacing w:val="-2"/>
                <w:sz w:val="16"/>
              </w:rPr>
              <w:t>licenced</w:t>
            </w:r>
            <w:r w:rsidRPr="00EB2BD8">
              <w:rPr>
                <w:spacing w:val="-4"/>
                <w:sz w:val="16"/>
              </w:rPr>
              <w:t xml:space="preserve"> </w:t>
            </w:r>
            <w:r w:rsidRPr="00EB2BD8">
              <w:rPr>
                <w:spacing w:val="-2"/>
                <w:sz w:val="16"/>
              </w:rPr>
              <w:t>or</w:t>
            </w:r>
            <w:r w:rsidRPr="00EB2BD8">
              <w:rPr>
                <w:spacing w:val="-3"/>
                <w:sz w:val="16"/>
              </w:rPr>
              <w:t xml:space="preserve"> </w:t>
            </w:r>
            <w:r w:rsidRPr="00EB2BD8">
              <w:rPr>
                <w:spacing w:val="-2"/>
                <w:sz w:val="16"/>
              </w:rPr>
              <w:t>registered</w:t>
            </w:r>
            <w:r w:rsidRPr="00EB2BD8">
              <w:rPr>
                <w:spacing w:val="-3"/>
                <w:sz w:val="16"/>
              </w:rPr>
              <w:t xml:space="preserve"> </w:t>
            </w:r>
            <w:r w:rsidRPr="00EB2BD8">
              <w:rPr>
                <w:spacing w:val="-2"/>
                <w:sz w:val="16"/>
              </w:rPr>
              <w:t>to</w:t>
            </w:r>
            <w:r w:rsidRPr="00EB2BD8">
              <w:rPr>
                <w:spacing w:val="-3"/>
                <w:sz w:val="16"/>
              </w:rPr>
              <w:t xml:space="preserve"> </w:t>
            </w:r>
            <w:r w:rsidRPr="00EB2BD8">
              <w:rPr>
                <w:spacing w:val="-2"/>
                <w:sz w:val="16"/>
              </w:rPr>
              <w:t>do</w:t>
            </w:r>
            <w:r w:rsidRPr="00EB2BD8">
              <w:rPr>
                <w:spacing w:val="-3"/>
                <w:sz w:val="16"/>
              </w:rPr>
              <w:t xml:space="preserve"> </w:t>
            </w:r>
            <w:r w:rsidRPr="00EB2BD8">
              <w:rPr>
                <w:spacing w:val="-5"/>
                <w:sz w:val="16"/>
              </w:rPr>
              <w:t>so.</w:t>
            </w:r>
          </w:p>
        </w:tc>
        <w:tc>
          <w:tcPr>
            <w:tcW w:w="3077" w:type="dxa"/>
            <w:tcBorders>
              <w:bottom w:val="single" w:sz="2" w:space="0" w:color="000000"/>
            </w:tcBorders>
          </w:tcPr>
          <w:p w14:paraId="2F324CDD" w14:textId="77777777" w:rsidR="00084F36" w:rsidRPr="00EB2BD8" w:rsidRDefault="00084F36">
            <w:pPr>
              <w:pStyle w:val="TableParagraph"/>
              <w:rPr>
                <w:rFonts w:ascii="Times New Roman"/>
                <w:sz w:val="14"/>
              </w:rPr>
            </w:pPr>
          </w:p>
        </w:tc>
        <w:tc>
          <w:tcPr>
            <w:tcW w:w="1080" w:type="dxa"/>
            <w:tcBorders>
              <w:bottom w:val="single" w:sz="2" w:space="0" w:color="000000"/>
            </w:tcBorders>
          </w:tcPr>
          <w:p w14:paraId="37BB99D2"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3308D778" w14:textId="77777777" w:rsidR="00084F36" w:rsidRPr="00EB2BD8" w:rsidRDefault="00084F36">
            <w:pPr>
              <w:pStyle w:val="TableParagraph"/>
              <w:rPr>
                <w:rFonts w:ascii="Times New Roman"/>
                <w:sz w:val="14"/>
              </w:rPr>
            </w:pPr>
          </w:p>
        </w:tc>
      </w:tr>
      <w:tr w:rsidR="00EB2BD8" w:rsidRPr="00EB2BD8" w14:paraId="5AB23C2D" w14:textId="77777777">
        <w:trPr>
          <w:trHeight w:val="325"/>
        </w:trPr>
        <w:tc>
          <w:tcPr>
            <w:tcW w:w="1736" w:type="dxa"/>
            <w:tcBorders>
              <w:top w:val="single" w:sz="2" w:space="0" w:color="000000"/>
            </w:tcBorders>
          </w:tcPr>
          <w:p w14:paraId="0997EFA4" w14:textId="77777777" w:rsidR="00084F36" w:rsidRPr="00EB2BD8" w:rsidRDefault="00EB2BD8">
            <w:pPr>
              <w:pStyle w:val="TableParagraph"/>
              <w:spacing w:before="115"/>
              <w:ind w:left="113"/>
              <w:rPr>
                <w:sz w:val="16"/>
              </w:rPr>
            </w:pPr>
            <w:r w:rsidRPr="00EB2BD8">
              <w:rPr>
                <w:sz w:val="16"/>
              </w:rPr>
              <w:t>COOPER,</w:t>
            </w:r>
            <w:r w:rsidRPr="00EB2BD8">
              <w:rPr>
                <w:spacing w:val="14"/>
                <w:sz w:val="16"/>
              </w:rPr>
              <w:t xml:space="preserve"> </w:t>
            </w:r>
            <w:r w:rsidRPr="00EB2BD8">
              <w:rPr>
                <w:spacing w:val="-2"/>
                <w:sz w:val="16"/>
              </w:rPr>
              <w:t>Darren</w:t>
            </w:r>
          </w:p>
        </w:tc>
        <w:tc>
          <w:tcPr>
            <w:tcW w:w="3139" w:type="dxa"/>
            <w:tcBorders>
              <w:top w:val="single" w:sz="2" w:space="0" w:color="000000"/>
            </w:tcBorders>
          </w:tcPr>
          <w:p w14:paraId="24D10CDE" w14:textId="77777777" w:rsidR="00084F36" w:rsidRPr="00EB2BD8" w:rsidRDefault="00EB2BD8">
            <w:pPr>
              <w:pStyle w:val="TableParagraph"/>
              <w:spacing w:before="115"/>
              <w:ind w:left="134"/>
              <w:rPr>
                <w:sz w:val="16"/>
              </w:rPr>
            </w:pPr>
            <w:r w:rsidRPr="00EB2BD8">
              <w:rPr>
                <w:spacing w:val="-2"/>
                <w:sz w:val="16"/>
              </w:rPr>
              <w:t>Being</w:t>
            </w:r>
            <w:r w:rsidRPr="00EB2BD8">
              <w:rPr>
                <w:spacing w:val="-7"/>
                <w:sz w:val="16"/>
              </w:rPr>
              <w:t xml:space="preserve"> </w:t>
            </w:r>
            <w:r w:rsidRPr="00EB2BD8">
              <w:rPr>
                <w:spacing w:val="-2"/>
                <w:sz w:val="16"/>
              </w:rPr>
              <w:t>a</w:t>
            </w:r>
            <w:r w:rsidRPr="00EB2BD8">
              <w:rPr>
                <w:spacing w:val="-6"/>
                <w:sz w:val="16"/>
              </w:rPr>
              <w:t xml:space="preserve"> </w:t>
            </w:r>
            <w:r w:rsidRPr="00EB2BD8">
              <w:rPr>
                <w:spacing w:val="-2"/>
                <w:sz w:val="16"/>
              </w:rPr>
              <w:t>person</w:t>
            </w:r>
            <w:r w:rsidRPr="00EB2BD8">
              <w:rPr>
                <w:spacing w:val="-7"/>
                <w:sz w:val="16"/>
              </w:rPr>
              <w:t xml:space="preserve"> </w:t>
            </w:r>
            <w:r w:rsidRPr="00EB2BD8">
              <w:rPr>
                <w:spacing w:val="-2"/>
                <w:sz w:val="16"/>
              </w:rPr>
              <w:t>who</w:t>
            </w:r>
            <w:r w:rsidRPr="00EB2BD8">
              <w:rPr>
                <w:spacing w:val="-6"/>
                <w:sz w:val="16"/>
              </w:rPr>
              <w:t xml:space="preserve"> </w:t>
            </w:r>
            <w:r w:rsidRPr="00EB2BD8">
              <w:rPr>
                <w:spacing w:val="-2"/>
                <w:sz w:val="16"/>
              </w:rPr>
              <w:t>owns,</w:t>
            </w:r>
            <w:r w:rsidRPr="00EB2BD8">
              <w:rPr>
                <w:spacing w:val="-6"/>
                <w:sz w:val="16"/>
              </w:rPr>
              <w:t xml:space="preserve"> </w:t>
            </w:r>
            <w:r w:rsidRPr="00EB2BD8">
              <w:rPr>
                <w:spacing w:val="-2"/>
                <w:sz w:val="16"/>
              </w:rPr>
              <w:t>operates,</w:t>
            </w:r>
          </w:p>
        </w:tc>
        <w:tc>
          <w:tcPr>
            <w:tcW w:w="3077" w:type="dxa"/>
            <w:tcBorders>
              <w:top w:val="single" w:sz="2" w:space="0" w:color="000000"/>
            </w:tcBorders>
          </w:tcPr>
          <w:p w14:paraId="02E77386" w14:textId="77777777" w:rsidR="00084F36" w:rsidRPr="00EB2BD8" w:rsidRDefault="00EB2BD8">
            <w:pPr>
              <w:pStyle w:val="TableParagraph"/>
              <w:spacing w:before="115"/>
              <w:ind w:left="113"/>
              <w:rPr>
                <w:sz w:val="16"/>
              </w:rPr>
            </w:pPr>
            <w:r w:rsidRPr="00EB2BD8">
              <w:rPr>
                <w:spacing w:val="-2"/>
                <w:sz w:val="16"/>
              </w:rPr>
              <w:t>Four</w:t>
            </w:r>
            <w:r w:rsidRPr="00EB2BD8">
              <w:rPr>
                <w:spacing w:val="-12"/>
                <w:sz w:val="16"/>
              </w:rPr>
              <w:t xml:space="preserve"> </w:t>
            </w:r>
            <w:r w:rsidRPr="00EB2BD8">
              <w:rPr>
                <w:spacing w:val="-2"/>
                <w:sz w:val="16"/>
              </w:rPr>
              <w:t>grounds</w:t>
            </w:r>
            <w:r w:rsidRPr="00EB2BD8">
              <w:rPr>
                <w:spacing w:val="-11"/>
                <w:sz w:val="16"/>
              </w:rPr>
              <w:t xml:space="preserve"> </w:t>
            </w:r>
            <w:r w:rsidRPr="00EB2BD8">
              <w:rPr>
                <w:spacing w:val="-2"/>
                <w:sz w:val="16"/>
              </w:rPr>
              <w:t>proven.</w:t>
            </w:r>
            <w:r w:rsidRPr="00EB2BD8">
              <w:rPr>
                <w:spacing w:val="-11"/>
                <w:sz w:val="16"/>
              </w:rPr>
              <w:t xml:space="preserve"> </w:t>
            </w:r>
            <w:r w:rsidRPr="00EB2BD8">
              <w:rPr>
                <w:spacing w:val="-2"/>
                <w:sz w:val="16"/>
              </w:rPr>
              <w:t>Penalty</w:t>
            </w:r>
          </w:p>
        </w:tc>
        <w:tc>
          <w:tcPr>
            <w:tcW w:w="1080" w:type="dxa"/>
            <w:tcBorders>
              <w:top w:val="single" w:sz="2" w:space="0" w:color="000000"/>
            </w:tcBorders>
          </w:tcPr>
          <w:p w14:paraId="04478B1D" w14:textId="77777777" w:rsidR="00084F36" w:rsidRPr="00EB2BD8" w:rsidRDefault="00EB2BD8">
            <w:pPr>
              <w:pStyle w:val="TableParagraph"/>
              <w:spacing w:before="114"/>
              <w:ind w:right="111"/>
              <w:jc w:val="right"/>
              <w:rPr>
                <w:sz w:val="16"/>
              </w:rPr>
            </w:pPr>
            <w:r w:rsidRPr="00EB2BD8">
              <w:rPr>
                <w:spacing w:val="-2"/>
                <w:sz w:val="16"/>
              </w:rPr>
              <w:t>$5,548</w:t>
            </w:r>
          </w:p>
        </w:tc>
        <w:tc>
          <w:tcPr>
            <w:tcW w:w="1176" w:type="dxa"/>
            <w:tcBorders>
              <w:top w:val="single" w:sz="2" w:space="0" w:color="000000"/>
            </w:tcBorders>
          </w:tcPr>
          <w:p w14:paraId="47B08A30" w14:textId="77777777" w:rsidR="00084F36" w:rsidRPr="00EB2BD8" w:rsidRDefault="00EB2BD8">
            <w:pPr>
              <w:pStyle w:val="TableParagraph"/>
              <w:spacing w:before="114"/>
              <w:ind w:left="113"/>
              <w:rPr>
                <w:sz w:val="16"/>
              </w:rPr>
            </w:pPr>
            <w:r w:rsidRPr="00EB2BD8">
              <w:rPr>
                <w:spacing w:val="-2"/>
                <w:sz w:val="16"/>
              </w:rPr>
              <w:t>30/06/2023</w:t>
            </w:r>
          </w:p>
        </w:tc>
      </w:tr>
      <w:tr w:rsidR="00EB2BD8" w:rsidRPr="00EB2BD8" w14:paraId="06EF8E3F" w14:textId="77777777">
        <w:trPr>
          <w:trHeight w:val="229"/>
        </w:trPr>
        <w:tc>
          <w:tcPr>
            <w:tcW w:w="1736" w:type="dxa"/>
          </w:tcPr>
          <w:p w14:paraId="02BB78B9" w14:textId="77777777" w:rsidR="00084F36" w:rsidRPr="00EB2BD8" w:rsidRDefault="00084F36">
            <w:pPr>
              <w:pStyle w:val="TableParagraph"/>
              <w:rPr>
                <w:rFonts w:ascii="Times New Roman"/>
                <w:sz w:val="14"/>
              </w:rPr>
            </w:pPr>
          </w:p>
        </w:tc>
        <w:tc>
          <w:tcPr>
            <w:tcW w:w="3139" w:type="dxa"/>
          </w:tcPr>
          <w:p w14:paraId="6D12F3AC" w14:textId="77777777" w:rsidR="00084F36" w:rsidRPr="00EB2BD8" w:rsidRDefault="00EB2BD8">
            <w:pPr>
              <w:pStyle w:val="TableParagraph"/>
              <w:spacing w:before="19"/>
              <w:ind w:left="134"/>
              <w:rPr>
                <w:sz w:val="16"/>
              </w:rPr>
            </w:pPr>
            <w:r w:rsidRPr="00EB2BD8">
              <w:rPr>
                <w:sz w:val="16"/>
              </w:rPr>
              <w:t>or</w:t>
            </w:r>
            <w:r w:rsidRPr="00EB2BD8">
              <w:rPr>
                <w:spacing w:val="-11"/>
                <w:sz w:val="16"/>
              </w:rPr>
              <w:t xml:space="preserve"> </w:t>
            </w:r>
            <w:r w:rsidRPr="00EB2BD8">
              <w:rPr>
                <w:sz w:val="16"/>
              </w:rPr>
              <w:t>manages</w:t>
            </w:r>
            <w:r w:rsidRPr="00EB2BD8">
              <w:rPr>
                <w:spacing w:val="-11"/>
                <w:sz w:val="16"/>
              </w:rPr>
              <w:t xml:space="preserve"> </w:t>
            </w:r>
            <w:r w:rsidRPr="00EB2BD8">
              <w:rPr>
                <w:sz w:val="16"/>
              </w:rPr>
              <w:t>a</w:t>
            </w:r>
            <w:r w:rsidRPr="00EB2BD8">
              <w:rPr>
                <w:spacing w:val="-11"/>
                <w:sz w:val="16"/>
              </w:rPr>
              <w:t xml:space="preserve"> </w:t>
            </w:r>
            <w:r w:rsidRPr="00EB2BD8">
              <w:rPr>
                <w:sz w:val="16"/>
              </w:rPr>
              <w:t>business,</w:t>
            </w:r>
            <w:r w:rsidRPr="00EB2BD8">
              <w:rPr>
                <w:spacing w:val="-11"/>
                <w:sz w:val="16"/>
              </w:rPr>
              <w:t xml:space="preserve"> </w:t>
            </w:r>
            <w:r w:rsidRPr="00EB2BD8">
              <w:rPr>
                <w:sz w:val="16"/>
              </w:rPr>
              <w:t>permitted</w:t>
            </w:r>
            <w:r w:rsidRPr="00EB2BD8">
              <w:rPr>
                <w:spacing w:val="-11"/>
                <w:sz w:val="16"/>
              </w:rPr>
              <w:t xml:space="preserve"> </w:t>
            </w:r>
            <w:r w:rsidRPr="00EB2BD8">
              <w:rPr>
                <w:spacing w:val="-5"/>
                <w:sz w:val="16"/>
              </w:rPr>
              <w:t>or</w:t>
            </w:r>
          </w:p>
        </w:tc>
        <w:tc>
          <w:tcPr>
            <w:tcW w:w="3077" w:type="dxa"/>
          </w:tcPr>
          <w:p w14:paraId="0B1AFC9C" w14:textId="77777777" w:rsidR="00084F36" w:rsidRPr="00EB2BD8" w:rsidRDefault="00EB2BD8">
            <w:pPr>
              <w:pStyle w:val="TableParagraph"/>
              <w:spacing w:before="19"/>
              <w:ind w:left="113"/>
              <w:rPr>
                <w:sz w:val="16"/>
              </w:rPr>
            </w:pPr>
            <w:r w:rsidRPr="00EB2BD8">
              <w:rPr>
                <w:w w:val="85"/>
                <w:sz w:val="16"/>
              </w:rPr>
              <w:t>of</w:t>
            </w:r>
            <w:r w:rsidRPr="00EB2BD8">
              <w:rPr>
                <w:spacing w:val="-3"/>
                <w:sz w:val="16"/>
              </w:rPr>
              <w:t xml:space="preserve"> </w:t>
            </w:r>
            <w:r w:rsidRPr="00EB2BD8">
              <w:rPr>
                <w:w w:val="85"/>
                <w:sz w:val="16"/>
              </w:rPr>
              <w:t>$5,548</w:t>
            </w:r>
            <w:r w:rsidRPr="00EB2BD8">
              <w:rPr>
                <w:spacing w:val="-2"/>
                <w:sz w:val="16"/>
              </w:rPr>
              <w:t xml:space="preserve"> </w:t>
            </w:r>
            <w:r w:rsidRPr="00EB2BD8">
              <w:rPr>
                <w:w w:val="85"/>
                <w:sz w:val="16"/>
              </w:rPr>
              <w:t>plus</w:t>
            </w:r>
            <w:r w:rsidRPr="00EB2BD8">
              <w:rPr>
                <w:spacing w:val="-2"/>
                <w:sz w:val="16"/>
              </w:rPr>
              <w:t xml:space="preserve"> </w:t>
            </w:r>
            <w:r w:rsidRPr="00EB2BD8">
              <w:rPr>
                <w:w w:val="85"/>
                <w:sz w:val="16"/>
              </w:rPr>
              <w:t>cost</w:t>
            </w:r>
            <w:r w:rsidRPr="00EB2BD8">
              <w:rPr>
                <w:spacing w:val="-2"/>
                <w:sz w:val="16"/>
              </w:rPr>
              <w:t xml:space="preserve"> </w:t>
            </w:r>
            <w:r w:rsidRPr="00EB2BD8">
              <w:rPr>
                <w:w w:val="85"/>
                <w:sz w:val="16"/>
              </w:rPr>
              <w:t>of</w:t>
            </w:r>
            <w:r w:rsidRPr="00EB2BD8">
              <w:rPr>
                <w:spacing w:val="-3"/>
                <w:sz w:val="16"/>
              </w:rPr>
              <w:t xml:space="preserve"> </w:t>
            </w:r>
            <w:r w:rsidRPr="00EB2BD8">
              <w:rPr>
                <w:w w:val="85"/>
                <w:sz w:val="16"/>
              </w:rPr>
              <w:t>$1,214.</w:t>
            </w:r>
            <w:r w:rsidRPr="00EB2BD8">
              <w:rPr>
                <w:spacing w:val="-2"/>
                <w:sz w:val="16"/>
              </w:rPr>
              <w:t xml:space="preserve"> </w:t>
            </w:r>
            <w:r w:rsidRPr="00EB2BD8">
              <w:rPr>
                <w:spacing w:val="-5"/>
                <w:w w:val="85"/>
                <w:sz w:val="16"/>
              </w:rPr>
              <w:t>To</w:t>
            </w:r>
          </w:p>
        </w:tc>
        <w:tc>
          <w:tcPr>
            <w:tcW w:w="1080" w:type="dxa"/>
          </w:tcPr>
          <w:p w14:paraId="25599F1A" w14:textId="77777777" w:rsidR="00084F36" w:rsidRPr="00EB2BD8" w:rsidRDefault="00084F36">
            <w:pPr>
              <w:pStyle w:val="TableParagraph"/>
              <w:rPr>
                <w:rFonts w:ascii="Times New Roman"/>
                <w:sz w:val="14"/>
              </w:rPr>
            </w:pPr>
          </w:p>
        </w:tc>
        <w:tc>
          <w:tcPr>
            <w:tcW w:w="1176" w:type="dxa"/>
          </w:tcPr>
          <w:p w14:paraId="7A396549" w14:textId="77777777" w:rsidR="00084F36" w:rsidRPr="00EB2BD8" w:rsidRDefault="00084F36">
            <w:pPr>
              <w:pStyle w:val="TableParagraph"/>
              <w:rPr>
                <w:rFonts w:ascii="Times New Roman"/>
                <w:sz w:val="14"/>
              </w:rPr>
            </w:pPr>
          </w:p>
        </w:tc>
      </w:tr>
      <w:tr w:rsidR="00EB2BD8" w:rsidRPr="00EB2BD8" w14:paraId="3356A7F4" w14:textId="77777777">
        <w:trPr>
          <w:trHeight w:val="229"/>
        </w:trPr>
        <w:tc>
          <w:tcPr>
            <w:tcW w:w="1736" w:type="dxa"/>
          </w:tcPr>
          <w:p w14:paraId="2F30A994" w14:textId="77777777" w:rsidR="00084F36" w:rsidRPr="00EB2BD8" w:rsidRDefault="00084F36">
            <w:pPr>
              <w:pStyle w:val="TableParagraph"/>
              <w:rPr>
                <w:rFonts w:ascii="Times New Roman"/>
                <w:sz w:val="14"/>
              </w:rPr>
            </w:pPr>
          </w:p>
        </w:tc>
        <w:tc>
          <w:tcPr>
            <w:tcW w:w="3139" w:type="dxa"/>
          </w:tcPr>
          <w:p w14:paraId="78E6706C" w14:textId="77777777" w:rsidR="00084F36" w:rsidRPr="00EB2BD8" w:rsidRDefault="00EB2BD8">
            <w:pPr>
              <w:pStyle w:val="TableParagraph"/>
              <w:spacing w:before="19"/>
              <w:ind w:left="134"/>
              <w:rPr>
                <w:sz w:val="16"/>
              </w:rPr>
            </w:pPr>
            <w:r w:rsidRPr="00EB2BD8">
              <w:rPr>
                <w:sz w:val="16"/>
              </w:rPr>
              <w:t>directed</w:t>
            </w:r>
            <w:r w:rsidRPr="00EB2BD8">
              <w:rPr>
                <w:spacing w:val="-11"/>
                <w:sz w:val="16"/>
              </w:rPr>
              <w:t xml:space="preserve"> </w:t>
            </w:r>
            <w:r w:rsidRPr="00EB2BD8">
              <w:rPr>
                <w:sz w:val="16"/>
              </w:rPr>
              <w:t>other</w:t>
            </w:r>
            <w:r w:rsidRPr="00EB2BD8">
              <w:rPr>
                <w:spacing w:val="-11"/>
                <w:sz w:val="16"/>
              </w:rPr>
              <w:t xml:space="preserve"> </w:t>
            </w:r>
            <w:r w:rsidRPr="00EB2BD8">
              <w:rPr>
                <w:sz w:val="16"/>
              </w:rPr>
              <w:t>person</w:t>
            </w:r>
            <w:r w:rsidRPr="00EB2BD8">
              <w:rPr>
                <w:spacing w:val="-11"/>
                <w:sz w:val="16"/>
              </w:rPr>
              <w:t xml:space="preserve"> </w:t>
            </w:r>
            <w:r w:rsidRPr="00EB2BD8">
              <w:rPr>
                <w:sz w:val="16"/>
              </w:rPr>
              <w:t>who</w:t>
            </w:r>
            <w:r w:rsidRPr="00EB2BD8">
              <w:rPr>
                <w:spacing w:val="-11"/>
                <w:sz w:val="16"/>
              </w:rPr>
              <w:t xml:space="preserve"> </w:t>
            </w:r>
            <w:r w:rsidRPr="00EB2BD8">
              <w:rPr>
                <w:sz w:val="16"/>
              </w:rPr>
              <w:t>was</w:t>
            </w:r>
            <w:r w:rsidRPr="00EB2BD8">
              <w:rPr>
                <w:spacing w:val="-11"/>
                <w:sz w:val="16"/>
              </w:rPr>
              <w:t xml:space="preserve"> </w:t>
            </w:r>
            <w:r w:rsidRPr="00EB2BD8">
              <w:rPr>
                <w:spacing w:val="-5"/>
                <w:sz w:val="16"/>
              </w:rPr>
              <w:t>not</w:t>
            </w:r>
          </w:p>
        </w:tc>
        <w:tc>
          <w:tcPr>
            <w:tcW w:w="3077" w:type="dxa"/>
          </w:tcPr>
          <w:p w14:paraId="3B73E163" w14:textId="77777777" w:rsidR="00084F36" w:rsidRPr="00EB2BD8" w:rsidRDefault="00EB2BD8">
            <w:pPr>
              <w:pStyle w:val="TableParagraph"/>
              <w:spacing w:before="19"/>
              <w:ind w:left="113"/>
              <w:rPr>
                <w:sz w:val="16"/>
              </w:rPr>
            </w:pPr>
            <w:r w:rsidRPr="00EB2BD8">
              <w:rPr>
                <w:sz w:val="16"/>
              </w:rPr>
              <w:t>complete</w:t>
            </w:r>
            <w:r w:rsidRPr="00EB2BD8">
              <w:rPr>
                <w:spacing w:val="-12"/>
                <w:sz w:val="16"/>
              </w:rPr>
              <w:t xml:space="preserve"> </w:t>
            </w:r>
            <w:r w:rsidRPr="00EB2BD8">
              <w:rPr>
                <w:sz w:val="16"/>
              </w:rPr>
              <w:t>course</w:t>
            </w:r>
            <w:r w:rsidRPr="00EB2BD8">
              <w:rPr>
                <w:spacing w:val="-12"/>
                <w:sz w:val="16"/>
              </w:rPr>
              <w:t xml:space="preserve"> </w:t>
            </w:r>
            <w:r w:rsidRPr="00EB2BD8">
              <w:rPr>
                <w:i/>
                <w:sz w:val="16"/>
              </w:rPr>
              <w:t>CPCPCM4015</w:t>
            </w:r>
            <w:r w:rsidRPr="00EB2BD8">
              <w:rPr>
                <w:i/>
                <w:spacing w:val="-12"/>
                <w:sz w:val="16"/>
              </w:rPr>
              <w:t xml:space="preserve"> </w:t>
            </w:r>
            <w:r w:rsidRPr="00EB2BD8">
              <w:rPr>
                <w:spacing w:val="-7"/>
                <w:sz w:val="16"/>
              </w:rPr>
              <w:t>or</w:t>
            </w:r>
          </w:p>
        </w:tc>
        <w:tc>
          <w:tcPr>
            <w:tcW w:w="1080" w:type="dxa"/>
          </w:tcPr>
          <w:p w14:paraId="679A5A12" w14:textId="77777777" w:rsidR="00084F36" w:rsidRPr="00EB2BD8" w:rsidRDefault="00084F36">
            <w:pPr>
              <w:pStyle w:val="TableParagraph"/>
              <w:rPr>
                <w:rFonts w:ascii="Times New Roman"/>
                <w:sz w:val="14"/>
              </w:rPr>
            </w:pPr>
          </w:p>
        </w:tc>
        <w:tc>
          <w:tcPr>
            <w:tcW w:w="1176" w:type="dxa"/>
          </w:tcPr>
          <w:p w14:paraId="277E4CD7" w14:textId="77777777" w:rsidR="00084F36" w:rsidRPr="00EB2BD8" w:rsidRDefault="00084F36">
            <w:pPr>
              <w:pStyle w:val="TableParagraph"/>
              <w:rPr>
                <w:rFonts w:ascii="Times New Roman"/>
                <w:sz w:val="14"/>
              </w:rPr>
            </w:pPr>
          </w:p>
        </w:tc>
      </w:tr>
      <w:tr w:rsidR="00EB2BD8" w:rsidRPr="00EB2BD8" w14:paraId="5CDC9885" w14:textId="77777777">
        <w:trPr>
          <w:trHeight w:val="230"/>
        </w:trPr>
        <w:tc>
          <w:tcPr>
            <w:tcW w:w="1736" w:type="dxa"/>
          </w:tcPr>
          <w:p w14:paraId="1E75F8EF" w14:textId="77777777" w:rsidR="00084F36" w:rsidRPr="00EB2BD8" w:rsidRDefault="00084F36">
            <w:pPr>
              <w:pStyle w:val="TableParagraph"/>
              <w:rPr>
                <w:rFonts w:ascii="Times New Roman"/>
                <w:sz w:val="14"/>
              </w:rPr>
            </w:pPr>
          </w:p>
        </w:tc>
        <w:tc>
          <w:tcPr>
            <w:tcW w:w="3139" w:type="dxa"/>
          </w:tcPr>
          <w:p w14:paraId="2EDBB2A1" w14:textId="77777777" w:rsidR="00084F36" w:rsidRPr="00EB2BD8" w:rsidRDefault="00EB2BD8">
            <w:pPr>
              <w:pStyle w:val="TableParagraph"/>
              <w:spacing w:before="19"/>
              <w:ind w:left="134"/>
              <w:rPr>
                <w:sz w:val="16"/>
              </w:rPr>
            </w:pPr>
            <w:r w:rsidRPr="00EB2BD8">
              <w:rPr>
                <w:sz w:val="16"/>
              </w:rPr>
              <w:t>licenced</w:t>
            </w:r>
            <w:r w:rsidRPr="00EB2BD8">
              <w:rPr>
                <w:spacing w:val="-10"/>
                <w:sz w:val="16"/>
              </w:rPr>
              <w:t xml:space="preserve"> </w:t>
            </w:r>
            <w:r w:rsidRPr="00EB2BD8">
              <w:rPr>
                <w:sz w:val="16"/>
              </w:rPr>
              <w:t>or</w:t>
            </w:r>
            <w:r w:rsidRPr="00EB2BD8">
              <w:rPr>
                <w:spacing w:val="-9"/>
                <w:sz w:val="16"/>
              </w:rPr>
              <w:t xml:space="preserve"> </w:t>
            </w:r>
            <w:r w:rsidRPr="00EB2BD8">
              <w:rPr>
                <w:sz w:val="16"/>
              </w:rPr>
              <w:t>registered</w:t>
            </w:r>
            <w:r w:rsidRPr="00EB2BD8">
              <w:rPr>
                <w:spacing w:val="-9"/>
                <w:sz w:val="16"/>
              </w:rPr>
              <w:t xml:space="preserve"> </w:t>
            </w:r>
            <w:r w:rsidRPr="00EB2BD8">
              <w:rPr>
                <w:sz w:val="16"/>
              </w:rPr>
              <w:t>to</w:t>
            </w:r>
            <w:r w:rsidRPr="00EB2BD8">
              <w:rPr>
                <w:spacing w:val="-9"/>
                <w:sz w:val="16"/>
              </w:rPr>
              <w:t xml:space="preserve"> </w:t>
            </w:r>
            <w:r w:rsidRPr="00EB2BD8">
              <w:rPr>
                <w:sz w:val="16"/>
              </w:rPr>
              <w:t>carry</w:t>
            </w:r>
            <w:r w:rsidRPr="00EB2BD8">
              <w:rPr>
                <w:spacing w:val="-9"/>
                <w:sz w:val="16"/>
              </w:rPr>
              <w:t xml:space="preserve"> </w:t>
            </w:r>
            <w:r w:rsidRPr="00EB2BD8">
              <w:rPr>
                <w:spacing w:val="-5"/>
                <w:sz w:val="16"/>
              </w:rPr>
              <w:t>out</w:t>
            </w:r>
          </w:p>
        </w:tc>
        <w:tc>
          <w:tcPr>
            <w:tcW w:w="3077" w:type="dxa"/>
          </w:tcPr>
          <w:p w14:paraId="3D60A11B" w14:textId="77777777" w:rsidR="00084F36" w:rsidRPr="00EB2BD8" w:rsidRDefault="00EB2BD8">
            <w:pPr>
              <w:pStyle w:val="TableParagraph"/>
              <w:spacing w:before="19"/>
              <w:ind w:left="113"/>
              <w:rPr>
                <w:sz w:val="16"/>
              </w:rPr>
            </w:pPr>
            <w:r w:rsidRPr="00EB2BD8">
              <w:rPr>
                <w:spacing w:val="-2"/>
                <w:sz w:val="16"/>
              </w:rPr>
              <w:t>equivalent</w:t>
            </w:r>
            <w:r w:rsidRPr="00EB2BD8">
              <w:rPr>
                <w:spacing w:val="-6"/>
                <w:sz w:val="16"/>
              </w:rPr>
              <w:t xml:space="preserve"> </w:t>
            </w:r>
            <w:r w:rsidRPr="00EB2BD8">
              <w:rPr>
                <w:spacing w:val="-2"/>
                <w:sz w:val="16"/>
              </w:rPr>
              <w:t>within</w:t>
            </w:r>
            <w:r w:rsidRPr="00EB2BD8">
              <w:rPr>
                <w:spacing w:val="-5"/>
                <w:sz w:val="16"/>
              </w:rPr>
              <w:t xml:space="preserve"> </w:t>
            </w:r>
            <w:r w:rsidRPr="00EB2BD8">
              <w:rPr>
                <w:spacing w:val="-2"/>
                <w:sz w:val="16"/>
              </w:rPr>
              <w:t>9</w:t>
            </w:r>
            <w:r w:rsidRPr="00EB2BD8">
              <w:rPr>
                <w:spacing w:val="-5"/>
                <w:sz w:val="16"/>
              </w:rPr>
              <w:t xml:space="preserve"> </w:t>
            </w:r>
            <w:r w:rsidRPr="00EB2BD8">
              <w:rPr>
                <w:spacing w:val="-2"/>
                <w:sz w:val="16"/>
              </w:rPr>
              <w:t>months.</w:t>
            </w:r>
          </w:p>
        </w:tc>
        <w:tc>
          <w:tcPr>
            <w:tcW w:w="1080" w:type="dxa"/>
          </w:tcPr>
          <w:p w14:paraId="3F1161C0" w14:textId="77777777" w:rsidR="00084F36" w:rsidRPr="00EB2BD8" w:rsidRDefault="00084F36">
            <w:pPr>
              <w:pStyle w:val="TableParagraph"/>
              <w:rPr>
                <w:rFonts w:ascii="Times New Roman"/>
                <w:sz w:val="14"/>
              </w:rPr>
            </w:pPr>
          </w:p>
        </w:tc>
        <w:tc>
          <w:tcPr>
            <w:tcW w:w="1176" w:type="dxa"/>
          </w:tcPr>
          <w:p w14:paraId="18DFCD88" w14:textId="77777777" w:rsidR="00084F36" w:rsidRPr="00EB2BD8" w:rsidRDefault="00084F36">
            <w:pPr>
              <w:pStyle w:val="TableParagraph"/>
              <w:rPr>
                <w:rFonts w:ascii="Times New Roman"/>
                <w:sz w:val="14"/>
              </w:rPr>
            </w:pPr>
          </w:p>
        </w:tc>
      </w:tr>
      <w:tr w:rsidR="00EB2BD8" w:rsidRPr="00EB2BD8" w14:paraId="04911941" w14:textId="77777777">
        <w:trPr>
          <w:trHeight w:val="229"/>
        </w:trPr>
        <w:tc>
          <w:tcPr>
            <w:tcW w:w="1736" w:type="dxa"/>
          </w:tcPr>
          <w:p w14:paraId="15D41669" w14:textId="77777777" w:rsidR="00084F36" w:rsidRPr="00EB2BD8" w:rsidRDefault="00084F36">
            <w:pPr>
              <w:pStyle w:val="TableParagraph"/>
              <w:rPr>
                <w:rFonts w:ascii="Times New Roman"/>
                <w:sz w:val="14"/>
              </w:rPr>
            </w:pPr>
          </w:p>
        </w:tc>
        <w:tc>
          <w:tcPr>
            <w:tcW w:w="3139" w:type="dxa"/>
          </w:tcPr>
          <w:p w14:paraId="046C89CC" w14:textId="77777777" w:rsidR="00084F36" w:rsidRPr="00EB2BD8" w:rsidRDefault="00EB2BD8">
            <w:pPr>
              <w:pStyle w:val="TableParagraph"/>
              <w:spacing w:before="19"/>
              <w:ind w:left="134"/>
              <w:rPr>
                <w:sz w:val="16"/>
              </w:rPr>
            </w:pPr>
            <w:r w:rsidRPr="00EB2BD8">
              <w:rPr>
                <w:spacing w:val="-2"/>
                <w:sz w:val="16"/>
              </w:rPr>
              <w:t>plumbing</w:t>
            </w:r>
            <w:r w:rsidRPr="00EB2BD8">
              <w:rPr>
                <w:spacing w:val="-5"/>
                <w:sz w:val="16"/>
              </w:rPr>
              <w:t xml:space="preserve"> </w:t>
            </w:r>
            <w:r w:rsidRPr="00EB2BD8">
              <w:rPr>
                <w:spacing w:val="-2"/>
                <w:sz w:val="16"/>
              </w:rPr>
              <w:t>work</w:t>
            </w:r>
            <w:r w:rsidRPr="00EB2BD8">
              <w:rPr>
                <w:spacing w:val="-5"/>
                <w:sz w:val="16"/>
              </w:rPr>
              <w:t xml:space="preserve"> </w:t>
            </w:r>
            <w:r w:rsidRPr="00EB2BD8">
              <w:rPr>
                <w:spacing w:val="-2"/>
                <w:sz w:val="16"/>
              </w:rPr>
              <w:t>that</w:t>
            </w:r>
            <w:r w:rsidRPr="00EB2BD8">
              <w:rPr>
                <w:spacing w:val="-5"/>
                <w:sz w:val="16"/>
              </w:rPr>
              <w:t xml:space="preserve"> </w:t>
            </w:r>
            <w:r w:rsidRPr="00EB2BD8">
              <w:rPr>
                <w:spacing w:val="-2"/>
                <w:sz w:val="16"/>
              </w:rPr>
              <w:t>were</w:t>
            </w:r>
            <w:r w:rsidRPr="00EB2BD8">
              <w:rPr>
                <w:spacing w:val="-4"/>
                <w:sz w:val="16"/>
              </w:rPr>
              <w:t xml:space="preserve"> </w:t>
            </w:r>
            <w:r w:rsidRPr="00EB2BD8">
              <w:rPr>
                <w:spacing w:val="-2"/>
                <w:sz w:val="16"/>
              </w:rPr>
              <w:t>defective</w:t>
            </w:r>
          </w:p>
        </w:tc>
        <w:tc>
          <w:tcPr>
            <w:tcW w:w="3077" w:type="dxa"/>
          </w:tcPr>
          <w:p w14:paraId="52EF0DCE" w14:textId="77777777" w:rsidR="00084F36" w:rsidRPr="00EB2BD8" w:rsidRDefault="00084F36">
            <w:pPr>
              <w:pStyle w:val="TableParagraph"/>
              <w:rPr>
                <w:rFonts w:ascii="Times New Roman"/>
                <w:sz w:val="14"/>
              </w:rPr>
            </w:pPr>
          </w:p>
        </w:tc>
        <w:tc>
          <w:tcPr>
            <w:tcW w:w="1080" w:type="dxa"/>
          </w:tcPr>
          <w:p w14:paraId="37F1889B" w14:textId="77777777" w:rsidR="00084F36" w:rsidRPr="00EB2BD8" w:rsidRDefault="00084F36">
            <w:pPr>
              <w:pStyle w:val="TableParagraph"/>
              <w:rPr>
                <w:rFonts w:ascii="Times New Roman"/>
                <w:sz w:val="14"/>
              </w:rPr>
            </w:pPr>
          </w:p>
        </w:tc>
        <w:tc>
          <w:tcPr>
            <w:tcW w:w="1176" w:type="dxa"/>
          </w:tcPr>
          <w:p w14:paraId="481263F2" w14:textId="77777777" w:rsidR="00084F36" w:rsidRPr="00EB2BD8" w:rsidRDefault="00084F36">
            <w:pPr>
              <w:pStyle w:val="TableParagraph"/>
              <w:rPr>
                <w:rFonts w:ascii="Times New Roman"/>
                <w:sz w:val="14"/>
              </w:rPr>
            </w:pPr>
          </w:p>
        </w:tc>
      </w:tr>
      <w:tr w:rsidR="00EB2BD8" w:rsidRPr="00EB2BD8" w14:paraId="6BFCE85C" w14:textId="77777777">
        <w:trPr>
          <w:trHeight w:val="229"/>
        </w:trPr>
        <w:tc>
          <w:tcPr>
            <w:tcW w:w="1736" w:type="dxa"/>
          </w:tcPr>
          <w:p w14:paraId="4D827A06" w14:textId="77777777" w:rsidR="00084F36" w:rsidRPr="00EB2BD8" w:rsidRDefault="00084F36">
            <w:pPr>
              <w:pStyle w:val="TableParagraph"/>
              <w:rPr>
                <w:rFonts w:ascii="Times New Roman"/>
                <w:sz w:val="14"/>
              </w:rPr>
            </w:pPr>
          </w:p>
        </w:tc>
        <w:tc>
          <w:tcPr>
            <w:tcW w:w="3139" w:type="dxa"/>
          </w:tcPr>
          <w:p w14:paraId="219026DA" w14:textId="77777777" w:rsidR="00084F36" w:rsidRPr="00EB2BD8" w:rsidRDefault="00EB2BD8">
            <w:pPr>
              <w:pStyle w:val="TableParagraph"/>
              <w:spacing w:before="19"/>
              <w:ind w:left="134"/>
              <w:rPr>
                <w:sz w:val="16"/>
              </w:rPr>
            </w:pPr>
            <w:r w:rsidRPr="00EB2BD8">
              <w:rPr>
                <w:sz w:val="16"/>
              </w:rPr>
              <w:t>in</w:t>
            </w:r>
            <w:r w:rsidRPr="00EB2BD8">
              <w:rPr>
                <w:spacing w:val="-11"/>
                <w:sz w:val="16"/>
              </w:rPr>
              <w:t xml:space="preserve"> </w:t>
            </w:r>
            <w:r w:rsidRPr="00EB2BD8">
              <w:rPr>
                <w:sz w:val="16"/>
              </w:rPr>
              <w:t>workmanship</w:t>
            </w:r>
            <w:r w:rsidRPr="00EB2BD8">
              <w:rPr>
                <w:spacing w:val="-10"/>
                <w:sz w:val="16"/>
              </w:rPr>
              <w:t xml:space="preserve"> </w:t>
            </w:r>
            <w:r w:rsidRPr="00EB2BD8">
              <w:rPr>
                <w:sz w:val="16"/>
              </w:rPr>
              <w:t>and</w:t>
            </w:r>
            <w:r w:rsidRPr="00EB2BD8">
              <w:rPr>
                <w:spacing w:val="-11"/>
                <w:sz w:val="16"/>
              </w:rPr>
              <w:t xml:space="preserve"> </w:t>
            </w:r>
            <w:r w:rsidRPr="00EB2BD8">
              <w:rPr>
                <w:sz w:val="16"/>
              </w:rPr>
              <w:t>did</w:t>
            </w:r>
            <w:r w:rsidRPr="00EB2BD8">
              <w:rPr>
                <w:spacing w:val="-10"/>
                <w:sz w:val="16"/>
              </w:rPr>
              <w:t xml:space="preserve"> </w:t>
            </w:r>
            <w:r w:rsidRPr="00EB2BD8">
              <w:rPr>
                <w:spacing w:val="-5"/>
                <w:sz w:val="16"/>
              </w:rPr>
              <w:t>not</w:t>
            </w:r>
          </w:p>
        </w:tc>
        <w:tc>
          <w:tcPr>
            <w:tcW w:w="3077" w:type="dxa"/>
          </w:tcPr>
          <w:p w14:paraId="322F3789" w14:textId="77777777" w:rsidR="00084F36" w:rsidRPr="00EB2BD8" w:rsidRDefault="00084F36">
            <w:pPr>
              <w:pStyle w:val="TableParagraph"/>
              <w:rPr>
                <w:rFonts w:ascii="Times New Roman"/>
                <w:sz w:val="14"/>
              </w:rPr>
            </w:pPr>
          </w:p>
        </w:tc>
        <w:tc>
          <w:tcPr>
            <w:tcW w:w="1080" w:type="dxa"/>
          </w:tcPr>
          <w:p w14:paraId="58726167" w14:textId="77777777" w:rsidR="00084F36" w:rsidRPr="00EB2BD8" w:rsidRDefault="00084F36">
            <w:pPr>
              <w:pStyle w:val="TableParagraph"/>
              <w:rPr>
                <w:rFonts w:ascii="Times New Roman"/>
                <w:sz w:val="14"/>
              </w:rPr>
            </w:pPr>
          </w:p>
        </w:tc>
        <w:tc>
          <w:tcPr>
            <w:tcW w:w="1176" w:type="dxa"/>
          </w:tcPr>
          <w:p w14:paraId="370F9611" w14:textId="77777777" w:rsidR="00084F36" w:rsidRPr="00EB2BD8" w:rsidRDefault="00084F36">
            <w:pPr>
              <w:pStyle w:val="TableParagraph"/>
              <w:rPr>
                <w:rFonts w:ascii="Times New Roman"/>
                <w:sz w:val="14"/>
              </w:rPr>
            </w:pPr>
          </w:p>
        </w:tc>
      </w:tr>
      <w:tr w:rsidR="00EB2BD8" w:rsidRPr="00EB2BD8" w14:paraId="3D028DF8" w14:textId="77777777">
        <w:trPr>
          <w:trHeight w:val="229"/>
        </w:trPr>
        <w:tc>
          <w:tcPr>
            <w:tcW w:w="1736" w:type="dxa"/>
          </w:tcPr>
          <w:p w14:paraId="606AF79F" w14:textId="77777777" w:rsidR="00084F36" w:rsidRPr="00EB2BD8" w:rsidRDefault="00084F36">
            <w:pPr>
              <w:pStyle w:val="TableParagraph"/>
              <w:rPr>
                <w:rFonts w:ascii="Times New Roman"/>
                <w:sz w:val="14"/>
              </w:rPr>
            </w:pPr>
          </w:p>
        </w:tc>
        <w:tc>
          <w:tcPr>
            <w:tcW w:w="3139" w:type="dxa"/>
          </w:tcPr>
          <w:p w14:paraId="02AA85AD" w14:textId="77777777" w:rsidR="00084F36" w:rsidRPr="00EB2BD8" w:rsidRDefault="00EB2BD8">
            <w:pPr>
              <w:pStyle w:val="TableParagraph"/>
              <w:spacing w:before="19"/>
              <w:ind w:left="134"/>
              <w:rPr>
                <w:sz w:val="16"/>
              </w:rPr>
            </w:pPr>
            <w:r w:rsidRPr="00EB2BD8">
              <w:rPr>
                <w:spacing w:val="-2"/>
                <w:sz w:val="16"/>
              </w:rPr>
              <w:t>comply</w:t>
            </w:r>
            <w:r w:rsidRPr="00EB2BD8">
              <w:rPr>
                <w:spacing w:val="-3"/>
                <w:sz w:val="16"/>
              </w:rPr>
              <w:t xml:space="preserve"> </w:t>
            </w:r>
            <w:r w:rsidRPr="00EB2BD8">
              <w:rPr>
                <w:spacing w:val="-2"/>
                <w:sz w:val="16"/>
              </w:rPr>
              <w:t>with</w:t>
            </w:r>
            <w:r w:rsidRPr="00EB2BD8">
              <w:rPr>
                <w:spacing w:val="-3"/>
                <w:sz w:val="16"/>
              </w:rPr>
              <w:t xml:space="preserve"> </w:t>
            </w:r>
            <w:r w:rsidRPr="00EB2BD8">
              <w:rPr>
                <w:spacing w:val="-2"/>
                <w:sz w:val="16"/>
              </w:rPr>
              <w:t>the relevant</w:t>
            </w:r>
            <w:r w:rsidRPr="00EB2BD8">
              <w:rPr>
                <w:spacing w:val="-3"/>
                <w:sz w:val="16"/>
              </w:rPr>
              <w:t xml:space="preserve"> </w:t>
            </w:r>
            <w:r w:rsidRPr="00EB2BD8">
              <w:rPr>
                <w:spacing w:val="-2"/>
                <w:sz w:val="16"/>
              </w:rPr>
              <w:t>standards.</w:t>
            </w:r>
          </w:p>
        </w:tc>
        <w:tc>
          <w:tcPr>
            <w:tcW w:w="3077" w:type="dxa"/>
          </w:tcPr>
          <w:p w14:paraId="62D6FB70" w14:textId="77777777" w:rsidR="00084F36" w:rsidRPr="00EB2BD8" w:rsidRDefault="00084F36">
            <w:pPr>
              <w:pStyle w:val="TableParagraph"/>
              <w:rPr>
                <w:rFonts w:ascii="Times New Roman"/>
                <w:sz w:val="14"/>
              </w:rPr>
            </w:pPr>
          </w:p>
        </w:tc>
        <w:tc>
          <w:tcPr>
            <w:tcW w:w="1080" w:type="dxa"/>
          </w:tcPr>
          <w:p w14:paraId="6C78DD5D" w14:textId="77777777" w:rsidR="00084F36" w:rsidRPr="00EB2BD8" w:rsidRDefault="00084F36">
            <w:pPr>
              <w:pStyle w:val="TableParagraph"/>
              <w:rPr>
                <w:rFonts w:ascii="Times New Roman"/>
                <w:sz w:val="14"/>
              </w:rPr>
            </w:pPr>
          </w:p>
        </w:tc>
        <w:tc>
          <w:tcPr>
            <w:tcW w:w="1176" w:type="dxa"/>
          </w:tcPr>
          <w:p w14:paraId="73D13C48" w14:textId="77777777" w:rsidR="00084F36" w:rsidRPr="00EB2BD8" w:rsidRDefault="00084F36">
            <w:pPr>
              <w:pStyle w:val="TableParagraph"/>
              <w:rPr>
                <w:rFonts w:ascii="Times New Roman"/>
                <w:sz w:val="14"/>
              </w:rPr>
            </w:pPr>
          </w:p>
        </w:tc>
      </w:tr>
      <w:tr w:rsidR="00EB2BD8" w:rsidRPr="00EB2BD8" w14:paraId="185CA8D7" w14:textId="77777777">
        <w:trPr>
          <w:trHeight w:val="229"/>
        </w:trPr>
        <w:tc>
          <w:tcPr>
            <w:tcW w:w="1736" w:type="dxa"/>
          </w:tcPr>
          <w:p w14:paraId="260D27A8" w14:textId="77777777" w:rsidR="00084F36" w:rsidRPr="00EB2BD8" w:rsidRDefault="00084F36">
            <w:pPr>
              <w:pStyle w:val="TableParagraph"/>
              <w:rPr>
                <w:rFonts w:ascii="Times New Roman"/>
                <w:sz w:val="14"/>
              </w:rPr>
            </w:pPr>
          </w:p>
        </w:tc>
        <w:tc>
          <w:tcPr>
            <w:tcW w:w="3139" w:type="dxa"/>
          </w:tcPr>
          <w:p w14:paraId="61B71339" w14:textId="77777777" w:rsidR="00084F36" w:rsidRPr="00EB2BD8" w:rsidRDefault="00EB2BD8">
            <w:pPr>
              <w:pStyle w:val="TableParagraph"/>
              <w:spacing w:before="19"/>
              <w:ind w:left="134"/>
              <w:rPr>
                <w:sz w:val="16"/>
              </w:rPr>
            </w:pPr>
            <w:r w:rsidRPr="00EB2BD8">
              <w:rPr>
                <w:sz w:val="16"/>
              </w:rPr>
              <w:t>Signed</w:t>
            </w:r>
            <w:r w:rsidRPr="00EB2BD8">
              <w:rPr>
                <w:spacing w:val="1"/>
                <w:sz w:val="16"/>
              </w:rPr>
              <w:t xml:space="preserve"> </w:t>
            </w:r>
            <w:r w:rsidRPr="00EB2BD8">
              <w:rPr>
                <w:sz w:val="16"/>
              </w:rPr>
              <w:t>compliance</w:t>
            </w:r>
            <w:r w:rsidRPr="00EB2BD8">
              <w:rPr>
                <w:spacing w:val="2"/>
                <w:sz w:val="16"/>
              </w:rPr>
              <w:t xml:space="preserve"> </w:t>
            </w:r>
            <w:r w:rsidRPr="00EB2BD8">
              <w:rPr>
                <w:sz w:val="16"/>
              </w:rPr>
              <w:t>certificate</w:t>
            </w:r>
            <w:r w:rsidRPr="00EB2BD8">
              <w:rPr>
                <w:spacing w:val="2"/>
                <w:sz w:val="16"/>
              </w:rPr>
              <w:t xml:space="preserve"> </w:t>
            </w:r>
            <w:r w:rsidRPr="00EB2BD8">
              <w:rPr>
                <w:spacing w:val="-4"/>
                <w:sz w:val="16"/>
              </w:rPr>
              <w:t>that</w:t>
            </w:r>
          </w:p>
        </w:tc>
        <w:tc>
          <w:tcPr>
            <w:tcW w:w="3077" w:type="dxa"/>
          </w:tcPr>
          <w:p w14:paraId="47695E94" w14:textId="77777777" w:rsidR="00084F36" w:rsidRPr="00EB2BD8" w:rsidRDefault="00084F36">
            <w:pPr>
              <w:pStyle w:val="TableParagraph"/>
              <w:rPr>
                <w:rFonts w:ascii="Times New Roman"/>
                <w:sz w:val="14"/>
              </w:rPr>
            </w:pPr>
          </w:p>
        </w:tc>
        <w:tc>
          <w:tcPr>
            <w:tcW w:w="1080" w:type="dxa"/>
          </w:tcPr>
          <w:p w14:paraId="305E2AAF" w14:textId="77777777" w:rsidR="00084F36" w:rsidRPr="00EB2BD8" w:rsidRDefault="00084F36">
            <w:pPr>
              <w:pStyle w:val="TableParagraph"/>
              <w:rPr>
                <w:rFonts w:ascii="Times New Roman"/>
                <w:sz w:val="14"/>
              </w:rPr>
            </w:pPr>
          </w:p>
        </w:tc>
        <w:tc>
          <w:tcPr>
            <w:tcW w:w="1176" w:type="dxa"/>
          </w:tcPr>
          <w:p w14:paraId="27984A07" w14:textId="77777777" w:rsidR="00084F36" w:rsidRPr="00EB2BD8" w:rsidRDefault="00084F36">
            <w:pPr>
              <w:pStyle w:val="TableParagraph"/>
              <w:rPr>
                <w:rFonts w:ascii="Times New Roman"/>
                <w:sz w:val="14"/>
              </w:rPr>
            </w:pPr>
          </w:p>
        </w:tc>
      </w:tr>
      <w:tr w:rsidR="00EB2BD8" w:rsidRPr="00EB2BD8" w14:paraId="397C38CA" w14:textId="77777777">
        <w:trPr>
          <w:trHeight w:val="286"/>
        </w:trPr>
        <w:tc>
          <w:tcPr>
            <w:tcW w:w="1736" w:type="dxa"/>
            <w:tcBorders>
              <w:bottom w:val="single" w:sz="2" w:space="0" w:color="000000"/>
            </w:tcBorders>
          </w:tcPr>
          <w:p w14:paraId="35C5FFB8" w14:textId="77777777" w:rsidR="00084F36" w:rsidRPr="00EB2BD8" w:rsidRDefault="00084F36">
            <w:pPr>
              <w:pStyle w:val="TableParagraph"/>
              <w:rPr>
                <w:rFonts w:ascii="Times New Roman"/>
                <w:sz w:val="14"/>
              </w:rPr>
            </w:pPr>
          </w:p>
        </w:tc>
        <w:tc>
          <w:tcPr>
            <w:tcW w:w="3139" w:type="dxa"/>
            <w:tcBorders>
              <w:bottom w:val="single" w:sz="2" w:space="0" w:color="000000"/>
            </w:tcBorders>
          </w:tcPr>
          <w:p w14:paraId="07F017DB" w14:textId="77777777" w:rsidR="00084F36" w:rsidRPr="00EB2BD8" w:rsidRDefault="00EB2BD8">
            <w:pPr>
              <w:pStyle w:val="TableParagraph"/>
              <w:spacing w:before="19"/>
              <w:ind w:left="134"/>
              <w:rPr>
                <w:sz w:val="16"/>
              </w:rPr>
            </w:pPr>
            <w:r w:rsidRPr="00EB2BD8">
              <w:rPr>
                <w:sz w:val="16"/>
              </w:rPr>
              <w:t>contained</w:t>
            </w:r>
            <w:r w:rsidRPr="00EB2BD8">
              <w:rPr>
                <w:spacing w:val="-11"/>
                <w:sz w:val="16"/>
              </w:rPr>
              <w:t xml:space="preserve"> </w:t>
            </w:r>
            <w:r w:rsidRPr="00EB2BD8">
              <w:rPr>
                <w:sz w:val="16"/>
              </w:rPr>
              <w:t>misstatements</w:t>
            </w:r>
            <w:r w:rsidRPr="00EB2BD8">
              <w:rPr>
                <w:spacing w:val="-10"/>
                <w:sz w:val="16"/>
              </w:rPr>
              <w:t xml:space="preserve"> </w:t>
            </w:r>
            <w:r w:rsidRPr="00EB2BD8">
              <w:rPr>
                <w:sz w:val="16"/>
              </w:rPr>
              <w:t>of</w:t>
            </w:r>
            <w:r w:rsidRPr="00EB2BD8">
              <w:rPr>
                <w:spacing w:val="-11"/>
                <w:sz w:val="16"/>
              </w:rPr>
              <w:t xml:space="preserve"> </w:t>
            </w:r>
            <w:r w:rsidRPr="00EB2BD8">
              <w:rPr>
                <w:spacing w:val="-4"/>
                <w:sz w:val="16"/>
              </w:rPr>
              <w:t>fact.</w:t>
            </w:r>
          </w:p>
        </w:tc>
        <w:tc>
          <w:tcPr>
            <w:tcW w:w="3077" w:type="dxa"/>
            <w:tcBorders>
              <w:bottom w:val="single" w:sz="2" w:space="0" w:color="000000"/>
            </w:tcBorders>
          </w:tcPr>
          <w:p w14:paraId="20CFD027" w14:textId="77777777" w:rsidR="00084F36" w:rsidRPr="00EB2BD8" w:rsidRDefault="00084F36">
            <w:pPr>
              <w:pStyle w:val="TableParagraph"/>
              <w:rPr>
                <w:rFonts w:ascii="Times New Roman"/>
                <w:sz w:val="14"/>
              </w:rPr>
            </w:pPr>
          </w:p>
        </w:tc>
        <w:tc>
          <w:tcPr>
            <w:tcW w:w="1080" w:type="dxa"/>
            <w:tcBorders>
              <w:bottom w:val="single" w:sz="2" w:space="0" w:color="000000"/>
            </w:tcBorders>
          </w:tcPr>
          <w:p w14:paraId="5F71265B"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12D9681F" w14:textId="77777777" w:rsidR="00084F36" w:rsidRPr="00EB2BD8" w:rsidRDefault="00084F36">
            <w:pPr>
              <w:pStyle w:val="TableParagraph"/>
              <w:rPr>
                <w:rFonts w:ascii="Times New Roman"/>
                <w:sz w:val="14"/>
              </w:rPr>
            </w:pPr>
          </w:p>
        </w:tc>
      </w:tr>
      <w:tr w:rsidR="00EB2BD8" w:rsidRPr="00EB2BD8" w14:paraId="1F12290E" w14:textId="77777777">
        <w:trPr>
          <w:trHeight w:val="324"/>
        </w:trPr>
        <w:tc>
          <w:tcPr>
            <w:tcW w:w="1736" w:type="dxa"/>
            <w:tcBorders>
              <w:top w:val="single" w:sz="2" w:space="0" w:color="000000"/>
            </w:tcBorders>
          </w:tcPr>
          <w:p w14:paraId="6D9B7AD1" w14:textId="77777777" w:rsidR="00084F36" w:rsidRPr="00EB2BD8" w:rsidRDefault="00EB2BD8">
            <w:pPr>
              <w:pStyle w:val="TableParagraph"/>
              <w:spacing w:before="114"/>
              <w:ind w:left="112"/>
              <w:rPr>
                <w:sz w:val="16"/>
              </w:rPr>
            </w:pPr>
            <w:r w:rsidRPr="00EB2BD8">
              <w:rPr>
                <w:spacing w:val="-2"/>
                <w:sz w:val="16"/>
              </w:rPr>
              <w:t>GILL,</w:t>
            </w:r>
            <w:r w:rsidRPr="00EB2BD8">
              <w:rPr>
                <w:spacing w:val="-8"/>
                <w:sz w:val="16"/>
              </w:rPr>
              <w:t xml:space="preserve"> </w:t>
            </w:r>
            <w:r w:rsidRPr="00EB2BD8">
              <w:rPr>
                <w:spacing w:val="-2"/>
                <w:sz w:val="16"/>
              </w:rPr>
              <w:t>Darren</w:t>
            </w:r>
          </w:p>
        </w:tc>
        <w:tc>
          <w:tcPr>
            <w:tcW w:w="3139" w:type="dxa"/>
            <w:tcBorders>
              <w:top w:val="single" w:sz="2" w:space="0" w:color="000000"/>
            </w:tcBorders>
          </w:tcPr>
          <w:p w14:paraId="00C3912D" w14:textId="77777777" w:rsidR="00084F36" w:rsidRPr="00EB2BD8" w:rsidRDefault="00EB2BD8">
            <w:pPr>
              <w:pStyle w:val="TableParagraph"/>
              <w:spacing w:before="114"/>
              <w:ind w:left="134"/>
              <w:rPr>
                <w:sz w:val="16"/>
              </w:rPr>
            </w:pPr>
            <w:r w:rsidRPr="00EB2BD8">
              <w:rPr>
                <w:spacing w:val="-2"/>
                <w:sz w:val="16"/>
              </w:rPr>
              <w:t>Failed</w:t>
            </w:r>
            <w:r w:rsidRPr="00EB2BD8">
              <w:rPr>
                <w:spacing w:val="-6"/>
                <w:sz w:val="16"/>
              </w:rPr>
              <w:t xml:space="preserve"> </w:t>
            </w:r>
            <w:r w:rsidRPr="00EB2BD8">
              <w:rPr>
                <w:spacing w:val="-2"/>
                <w:sz w:val="16"/>
              </w:rPr>
              <w:t>to</w:t>
            </w:r>
            <w:r w:rsidRPr="00EB2BD8">
              <w:rPr>
                <w:spacing w:val="-5"/>
                <w:sz w:val="16"/>
              </w:rPr>
              <w:t xml:space="preserve"> </w:t>
            </w:r>
            <w:r w:rsidRPr="00EB2BD8">
              <w:rPr>
                <w:spacing w:val="-2"/>
                <w:sz w:val="16"/>
              </w:rPr>
              <w:t>comply</w:t>
            </w:r>
            <w:r w:rsidRPr="00EB2BD8">
              <w:rPr>
                <w:spacing w:val="-5"/>
                <w:sz w:val="16"/>
              </w:rPr>
              <w:t xml:space="preserve"> </w:t>
            </w:r>
            <w:r w:rsidRPr="00EB2BD8">
              <w:rPr>
                <w:spacing w:val="-2"/>
                <w:sz w:val="16"/>
              </w:rPr>
              <w:t>with</w:t>
            </w:r>
            <w:r w:rsidRPr="00EB2BD8">
              <w:rPr>
                <w:spacing w:val="-5"/>
                <w:sz w:val="16"/>
              </w:rPr>
              <w:t xml:space="preserve"> </w:t>
            </w:r>
            <w:r w:rsidRPr="00EB2BD8">
              <w:rPr>
                <w:spacing w:val="-2"/>
                <w:sz w:val="16"/>
              </w:rPr>
              <w:t>rectification</w:t>
            </w:r>
          </w:p>
        </w:tc>
        <w:tc>
          <w:tcPr>
            <w:tcW w:w="3077" w:type="dxa"/>
            <w:tcBorders>
              <w:top w:val="single" w:sz="2" w:space="0" w:color="000000"/>
            </w:tcBorders>
          </w:tcPr>
          <w:p w14:paraId="69A51887" w14:textId="77777777" w:rsidR="00084F36" w:rsidRPr="00EB2BD8" w:rsidRDefault="00EB2BD8">
            <w:pPr>
              <w:pStyle w:val="TableParagraph"/>
              <w:spacing w:before="114"/>
              <w:ind w:left="113"/>
              <w:rPr>
                <w:sz w:val="16"/>
              </w:rPr>
            </w:pPr>
            <w:r w:rsidRPr="00EB2BD8">
              <w:rPr>
                <w:spacing w:val="-2"/>
                <w:sz w:val="16"/>
              </w:rPr>
              <w:t>Two</w:t>
            </w:r>
            <w:r w:rsidRPr="00EB2BD8">
              <w:rPr>
                <w:spacing w:val="-8"/>
                <w:sz w:val="16"/>
              </w:rPr>
              <w:t xml:space="preserve"> </w:t>
            </w:r>
            <w:r w:rsidRPr="00EB2BD8">
              <w:rPr>
                <w:spacing w:val="-2"/>
                <w:sz w:val="16"/>
              </w:rPr>
              <w:t>grounds</w:t>
            </w:r>
            <w:r w:rsidRPr="00EB2BD8">
              <w:rPr>
                <w:spacing w:val="-8"/>
                <w:sz w:val="16"/>
              </w:rPr>
              <w:t xml:space="preserve"> </w:t>
            </w:r>
            <w:r w:rsidRPr="00EB2BD8">
              <w:rPr>
                <w:spacing w:val="-2"/>
                <w:sz w:val="16"/>
              </w:rPr>
              <w:t>proven.</w:t>
            </w:r>
            <w:r w:rsidRPr="00EB2BD8">
              <w:rPr>
                <w:spacing w:val="-8"/>
                <w:sz w:val="16"/>
              </w:rPr>
              <w:t xml:space="preserve"> </w:t>
            </w:r>
            <w:r w:rsidRPr="00EB2BD8">
              <w:rPr>
                <w:spacing w:val="-2"/>
                <w:sz w:val="16"/>
              </w:rPr>
              <w:t>Penalty</w:t>
            </w:r>
            <w:r w:rsidRPr="00EB2BD8">
              <w:rPr>
                <w:spacing w:val="-7"/>
                <w:sz w:val="16"/>
              </w:rPr>
              <w:t xml:space="preserve"> </w:t>
            </w:r>
            <w:r w:rsidRPr="00EB2BD8">
              <w:rPr>
                <w:spacing w:val="-2"/>
                <w:sz w:val="16"/>
              </w:rPr>
              <w:t>of</w:t>
            </w:r>
            <w:r w:rsidRPr="00EB2BD8">
              <w:rPr>
                <w:spacing w:val="-8"/>
                <w:sz w:val="16"/>
              </w:rPr>
              <w:t xml:space="preserve"> </w:t>
            </w:r>
            <w:r w:rsidRPr="00EB2BD8">
              <w:rPr>
                <w:spacing w:val="-7"/>
                <w:sz w:val="16"/>
              </w:rPr>
              <w:t>$1,157</w:t>
            </w:r>
          </w:p>
        </w:tc>
        <w:tc>
          <w:tcPr>
            <w:tcW w:w="1080" w:type="dxa"/>
            <w:tcBorders>
              <w:top w:val="single" w:sz="2" w:space="0" w:color="000000"/>
            </w:tcBorders>
          </w:tcPr>
          <w:p w14:paraId="7DAAE12F" w14:textId="77777777" w:rsidR="00084F36" w:rsidRPr="00EB2BD8" w:rsidRDefault="00EB2BD8">
            <w:pPr>
              <w:pStyle w:val="TableParagraph"/>
              <w:spacing w:before="114"/>
              <w:ind w:right="110"/>
              <w:jc w:val="right"/>
              <w:rPr>
                <w:sz w:val="16"/>
              </w:rPr>
            </w:pPr>
            <w:r w:rsidRPr="00EB2BD8">
              <w:rPr>
                <w:spacing w:val="-2"/>
                <w:w w:val="80"/>
                <w:sz w:val="16"/>
              </w:rPr>
              <w:t>$1,157</w:t>
            </w:r>
          </w:p>
        </w:tc>
        <w:tc>
          <w:tcPr>
            <w:tcW w:w="1176" w:type="dxa"/>
            <w:tcBorders>
              <w:top w:val="single" w:sz="2" w:space="0" w:color="000000"/>
            </w:tcBorders>
          </w:tcPr>
          <w:p w14:paraId="1F8DD431" w14:textId="77777777" w:rsidR="00084F36" w:rsidRPr="00EB2BD8" w:rsidRDefault="00EB2BD8">
            <w:pPr>
              <w:pStyle w:val="TableParagraph"/>
              <w:spacing w:before="114"/>
              <w:ind w:left="113"/>
              <w:rPr>
                <w:sz w:val="16"/>
              </w:rPr>
            </w:pPr>
            <w:r w:rsidRPr="00EB2BD8">
              <w:rPr>
                <w:spacing w:val="-2"/>
                <w:w w:val="95"/>
                <w:sz w:val="16"/>
              </w:rPr>
              <w:t>28/02/2023</w:t>
            </w:r>
          </w:p>
        </w:tc>
      </w:tr>
      <w:tr w:rsidR="00EB2BD8" w:rsidRPr="00EB2BD8" w14:paraId="48C56B50" w14:textId="77777777">
        <w:trPr>
          <w:trHeight w:val="230"/>
        </w:trPr>
        <w:tc>
          <w:tcPr>
            <w:tcW w:w="1736" w:type="dxa"/>
          </w:tcPr>
          <w:p w14:paraId="16BDBBFB" w14:textId="77777777" w:rsidR="00084F36" w:rsidRPr="00EB2BD8" w:rsidRDefault="00084F36">
            <w:pPr>
              <w:pStyle w:val="TableParagraph"/>
              <w:rPr>
                <w:rFonts w:ascii="Times New Roman"/>
                <w:sz w:val="14"/>
              </w:rPr>
            </w:pPr>
          </w:p>
        </w:tc>
        <w:tc>
          <w:tcPr>
            <w:tcW w:w="3139" w:type="dxa"/>
          </w:tcPr>
          <w:p w14:paraId="07E14103" w14:textId="77777777" w:rsidR="00084F36" w:rsidRPr="00EB2BD8" w:rsidRDefault="00EB2BD8">
            <w:pPr>
              <w:pStyle w:val="TableParagraph"/>
              <w:spacing w:before="19"/>
              <w:ind w:left="134"/>
              <w:rPr>
                <w:sz w:val="16"/>
              </w:rPr>
            </w:pPr>
            <w:r w:rsidRPr="00EB2BD8">
              <w:rPr>
                <w:spacing w:val="-2"/>
                <w:sz w:val="16"/>
              </w:rPr>
              <w:t>notice.</w:t>
            </w:r>
            <w:r w:rsidRPr="00EB2BD8">
              <w:rPr>
                <w:spacing w:val="-9"/>
                <w:sz w:val="16"/>
              </w:rPr>
              <w:t xml:space="preserve"> </w:t>
            </w:r>
            <w:r w:rsidRPr="00EB2BD8">
              <w:rPr>
                <w:spacing w:val="-2"/>
                <w:sz w:val="16"/>
              </w:rPr>
              <w:t>Failed</w:t>
            </w:r>
            <w:r w:rsidRPr="00EB2BD8">
              <w:rPr>
                <w:spacing w:val="-8"/>
                <w:sz w:val="16"/>
              </w:rPr>
              <w:t xml:space="preserve"> </w:t>
            </w:r>
            <w:r w:rsidRPr="00EB2BD8">
              <w:rPr>
                <w:spacing w:val="-2"/>
                <w:sz w:val="16"/>
              </w:rPr>
              <w:t>to</w:t>
            </w:r>
            <w:r w:rsidRPr="00EB2BD8">
              <w:rPr>
                <w:spacing w:val="-9"/>
                <w:sz w:val="16"/>
              </w:rPr>
              <w:t xml:space="preserve"> </w:t>
            </w:r>
            <w:r w:rsidRPr="00EB2BD8">
              <w:rPr>
                <w:spacing w:val="-2"/>
                <w:sz w:val="16"/>
              </w:rPr>
              <w:t>provide</w:t>
            </w:r>
            <w:r w:rsidRPr="00EB2BD8">
              <w:rPr>
                <w:spacing w:val="-8"/>
                <w:sz w:val="16"/>
              </w:rPr>
              <w:t xml:space="preserve"> </w:t>
            </w:r>
            <w:r w:rsidRPr="00EB2BD8">
              <w:rPr>
                <w:spacing w:val="-2"/>
                <w:sz w:val="16"/>
              </w:rPr>
              <w:t>signed</w:t>
            </w:r>
          </w:p>
        </w:tc>
        <w:tc>
          <w:tcPr>
            <w:tcW w:w="3077" w:type="dxa"/>
          </w:tcPr>
          <w:p w14:paraId="6787C5BD" w14:textId="77777777" w:rsidR="00084F36" w:rsidRPr="00EB2BD8" w:rsidRDefault="00EB2BD8">
            <w:pPr>
              <w:pStyle w:val="TableParagraph"/>
              <w:spacing w:before="19"/>
              <w:ind w:left="113"/>
              <w:rPr>
                <w:sz w:val="16"/>
              </w:rPr>
            </w:pPr>
            <w:r w:rsidRPr="00EB2BD8">
              <w:rPr>
                <w:spacing w:val="-2"/>
                <w:sz w:val="16"/>
              </w:rPr>
              <w:t>plus</w:t>
            </w:r>
            <w:r w:rsidRPr="00EB2BD8">
              <w:rPr>
                <w:spacing w:val="-11"/>
                <w:sz w:val="16"/>
              </w:rPr>
              <w:t xml:space="preserve"> </w:t>
            </w:r>
            <w:r w:rsidRPr="00EB2BD8">
              <w:rPr>
                <w:spacing w:val="-2"/>
                <w:sz w:val="16"/>
              </w:rPr>
              <w:t>costs</w:t>
            </w:r>
            <w:r w:rsidRPr="00EB2BD8">
              <w:rPr>
                <w:spacing w:val="-10"/>
                <w:sz w:val="16"/>
              </w:rPr>
              <w:t xml:space="preserve"> </w:t>
            </w:r>
            <w:r w:rsidRPr="00EB2BD8">
              <w:rPr>
                <w:spacing w:val="-2"/>
                <w:sz w:val="16"/>
              </w:rPr>
              <w:t>of</w:t>
            </w:r>
            <w:r w:rsidRPr="00EB2BD8">
              <w:rPr>
                <w:spacing w:val="-10"/>
                <w:sz w:val="16"/>
              </w:rPr>
              <w:t xml:space="preserve"> </w:t>
            </w:r>
            <w:r w:rsidRPr="00EB2BD8">
              <w:rPr>
                <w:spacing w:val="-2"/>
                <w:sz w:val="16"/>
              </w:rPr>
              <w:t>$696.</w:t>
            </w:r>
          </w:p>
        </w:tc>
        <w:tc>
          <w:tcPr>
            <w:tcW w:w="1080" w:type="dxa"/>
          </w:tcPr>
          <w:p w14:paraId="5EB9BF98" w14:textId="77777777" w:rsidR="00084F36" w:rsidRPr="00EB2BD8" w:rsidRDefault="00084F36">
            <w:pPr>
              <w:pStyle w:val="TableParagraph"/>
              <w:rPr>
                <w:rFonts w:ascii="Times New Roman"/>
                <w:sz w:val="14"/>
              </w:rPr>
            </w:pPr>
          </w:p>
        </w:tc>
        <w:tc>
          <w:tcPr>
            <w:tcW w:w="1176" w:type="dxa"/>
          </w:tcPr>
          <w:p w14:paraId="16F8258E" w14:textId="77777777" w:rsidR="00084F36" w:rsidRPr="00EB2BD8" w:rsidRDefault="00084F36">
            <w:pPr>
              <w:pStyle w:val="TableParagraph"/>
              <w:rPr>
                <w:rFonts w:ascii="Times New Roman"/>
                <w:sz w:val="14"/>
              </w:rPr>
            </w:pPr>
          </w:p>
        </w:tc>
      </w:tr>
      <w:tr w:rsidR="00EB2BD8" w:rsidRPr="00EB2BD8" w14:paraId="44681443" w14:textId="77777777">
        <w:trPr>
          <w:trHeight w:val="229"/>
        </w:trPr>
        <w:tc>
          <w:tcPr>
            <w:tcW w:w="1736" w:type="dxa"/>
          </w:tcPr>
          <w:p w14:paraId="58B2B4C7" w14:textId="77777777" w:rsidR="00084F36" w:rsidRPr="00EB2BD8" w:rsidRDefault="00084F36">
            <w:pPr>
              <w:pStyle w:val="TableParagraph"/>
              <w:rPr>
                <w:rFonts w:ascii="Times New Roman"/>
                <w:sz w:val="14"/>
              </w:rPr>
            </w:pPr>
          </w:p>
        </w:tc>
        <w:tc>
          <w:tcPr>
            <w:tcW w:w="3139" w:type="dxa"/>
          </w:tcPr>
          <w:p w14:paraId="5ACE1287" w14:textId="77777777" w:rsidR="00084F36" w:rsidRPr="00EB2BD8" w:rsidRDefault="00EB2BD8">
            <w:pPr>
              <w:pStyle w:val="TableParagraph"/>
              <w:spacing w:before="19"/>
              <w:ind w:left="134"/>
              <w:rPr>
                <w:sz w:val="16"/>
              </w:rPr>
            </w:pPr>
            <w:r w:rsidRPr="00EB2BD8">
              <w:rPr>
                <w:sz w:val="16"/>
              </w:rPr>
              <w:t>compliance</w:t>
            </w:r>
            <w:r w:rsidRPr="00EB2BD8">
              <w:rPr>
                <w:spacing w:val="-6"/>
                <w:sz w:val="16"/>
              </w:rPr>
              <w:t xml:space="preserve"> </w:t>
            </w:r>
            <w:r w:rsidRPr="00EB2BD8">
              <w:rPr>
                <w:sz w:val="16"/>
              </w:rPr>
              <w:t>certificate</w:t>
            </w:r>
            <w:r w:rsidRPr="00EB2BD8">
              <w:rPr>
                <w:spacing w:val="-5"/>
                <w:sz w:val="16"/>
              </w:rPr>
              <w:t xml:space="preserve"> </w:t>
            </w:r>
            <w:r w:rsidRPr="00EB2BD8">
              <w:rPr>
                <w:sz w:val="16"/>
              </w:rPr>
              <w:t>to</w:t>
            </w:r>
            <w:r w:rsidRPr="00EB2BD8">
              <w:rPr>
                <w:spacing w:val="-5"/>
                <w:sz w:val="16"/>
              </w:rPr>
              <w:t xml:space="preserve"> </w:t>
            </w:r>
            <w:r w:rsidRPr="00EB2BD8">
              <w:rPr>
                <w:sz w:val="16"/>
              </w:rPr>
              <w:t>the</w:t>
            </w:r>
            <w:r w:rsidRPr="00EB2BD8">
              <w:rPr>
                <w:spacing w:val="-5"/>
                <w:sz w:val="16"/>
              </w:rPr>
              <w:t xml:space="preserve"> </w:t>
            </w:r>
            <w:r w:rsidRPr="00EB2BD8">
              <w:rPr>
                <w:spacing w:val="-2"/>
                <w:sz w:val="16"/>
              </w:rPr>
              <w:t>person</w:t>
            </w:r>
          </w:p>
        </w:tc>
        <w:tc>
          <w:tcPr>
            <w:tcW w:w="3077" w:type="dxa"/>
          </w:tcPr>
          <w:p w14:paraId="2EA9B5E3" w14:textId="77777777" w:rsidR="00084F36" w:rsidRPr="00EB2BD8" w:rsidRDefault="00084F36">
            <w:pPr>
              <w:pStyle w:val="TableParagraph"/>
              <w:rPr>
                <w:rFonts w:ascii="Times New Roman"/>
                <w:sz w:val="14"/>
              </w:rPr>
            </w:pPr>
          </w:p>
        </w:tc>
        <w:tc>
          <w:tcPr>
            <w:tcW w:w="1080" w:type="dxa"/>
          </w:tcPr>
          <w:p w14:paraId="3FB38E12" w14:textId="77777777" w:rsidR="00084F36" w:rsidRPr="00EB2BD8" w:rsidRDefault="00084F36">
            <w:pPr>
              <w:pStyle w:val="TableParagraph"/>
              <w:rPr>
                <w:rFonts w:ascii="Times New Roman"/>
                <w:sz w:val="14"/>
              </w:rPr>
            </w:pPr>
          </w:p>
        </w:tc>
        <w:tc>
          <w:tcPr>
            <w:tcW w:w="1176" w:type="dxa"/>
          </w:tcPr>
          <w:p w14:paraId="665E22C0" w14:textId="77777777" w:rsidR="00084F36" w:rsidRPr="00EB2BD8" w:rsidRDefault="00084F36">
            <w:pPr>
              <w:pStyle w:val="TableParagraph"/>
              <w:rPr>
                <w:rFonts w:ascii="Times New Roman"/>
                <w:sz w:val="14"/>
              </w:rPr>
            </w:pPr>
          </w:p>
        </w:tc>
      </w:tr>
      <w:tr w:rsidR="00EB2BD8" w:rsidRPr="00EB2BD8" w14:paraId="7D134EFA" w14:textId="77777777">
        <w:trPr>
          <w:trHeight w:val="229"/>
        </w:trPr>
        <w:tc>
          <w:tcPr>
            <w:tcW w:w="1736" w:type="dxa"/>
          </w:tcPr>
          <w:p w14:paraId="67DE397C" w14:textId="77777777" w:rsidR="00084F36" w:rsidRPr="00EB2BD8" w:rsidRDefault="00084F36">
            <w:pPr>
              <w:pStyle w:val="TableParagraph"/>
              <w:rPr>
                <w:rFonts w:ascii="Times New Roman"/>
                <w:sz w:val="14"/>
              </w:rPr>
            </w:pPr>
          </w:p>
        </w:tc>
        <w:tc>
          <w:tcPr>
            <w:tcW w:w="3139" w:type="dxa"/>
          </w:tcPr>
          <w:p w14:paraId="53504082" w14:textId="77777777" w:rsidR="00084F36" w:rsidRPr="00EB2BD8" w:rsidRDefault="00EB2BD8">
            <w:pPr>
              <w:pStyle w:val="TableParagraph"/>
              <w:spacing w:before="19"/>
              <w:ind w:left="134"/>
              <w:rPr>
                <w:sz w:val="16"/>
              </w:rPr>
            </w:pPr>
            <w:r w:rsidRPr="00EB2BD8">
              <w:rPr>
                <w:spacing w:val="-2"/>
                <w:sz w:val="16"/>
              </w:rPr>
              <w:t>who</w:t>
            </w:r>
            <w:r w:rsidRPr="00EB2BD8">
              <w:rPr>
                <w:spacing w:val="-7"/>
                <w:sz w:val="16"/>
              </w:rPr>
              <w:t xml:space="preserve"> </w:t>
            </w:r>
            <w:r w:rsidRPr="00EB2BD8">
              <w:rPr>
                <w:spacing w:val="-2"/>
                <w:sz w:val="16"/>
              </w:rPr>
              <w:t>commissioned</w:t>
            </w:r>
            <w:r w:rsidRPr="00EB2BD8">
              <w:rPr>
                <w:spacing w:val="-7"/>
                <w:sz w:val="16"/>
              </w:rPr>
              <w:t xml:space="preserve"> </w:t>
            </w:r>
            <w:r w:rsidRPr="00EB2BD8">
              <w:rPr>
                <w:spacing w:val="-2"/>
                <w:sz w:val="16"/>
              </w:rPr>
              <w:t>the</w:t>
            </w:r>
            <w:r w:rsidRPr="00EB2BD8">
              <w:rPr>
                <w:spacing w:val="-7"/>
                <w:sz w:val="16"/>
              </w:rPr>
              <w:t xml:space="preserve"> </w:t>
            </w:r>
            <w:r w:rsidRPr="00EB2BD8">
              <w:rPr>
                <w:spacing w:val="-2"/>
                <w:sz w:val="16"/>
              </w:rPr>
              <w:t>work</w:t>
            </w:r>
            <w:r w:rsidRPr="00EB2BD8">
              <w:rPr>
                <w:spacing w:val="-7"/>
                <w:sz w:val="16"/>
              </w:rPr>
              <w:t xml:space="preserve"> </w:t>
            </w:r>
            <w:r w:rsidRPr="00EB2BD8">
              <w:rPr>
                <w:spacing w:val="-5"/>
                <w:sz w:val="16"/>
              </w:rPr>
              <w:t>and</w:t>
            </w:r>
          </w:p>
        </w:tc>
        <w:tc>
          <w:tcPr>
            <w:tcW w:w="3077" w:type="dxa"/>
          </w:tcPr>
          <w:p w14:paraId="48C79BBC" w14:textId="77777777" w:rsidR="00084F36" w:rsidRPr="00EB2BD8" w:rsidRDefault="00084F36">
            <w:pPr>
              <w:pStyle w:val="TableParagraph"/>
              <w:rPr>
                <w:rFonts w:ascii="Times New Roman"/>
                <w:sz w:val="14"/>
              </w:rPr>
            </w:pPr>
          </w:p>
        </w:tc>
        <w:tc>
          <w:tcPr>
            <w:tcW w:w="1080" w:type="dxa"/>
          </w:tcPr>
          <w:p w14:paraId="2CAE5357" w14:textId="77777777" w:rsidR="00084F36" w:rsidRPr="00EB2BD8" w:rsidRDefault="00084F36">
            <w:pPr>
              <w:pStyle w:val="TableParagraph"/>
              <w:rPr>
                <w:rFonts w:ascii="Times New Roman"/>
                <w:sz w:val="14"/>
              </w:rPr>
            </w:pPr>
          </w:p>
        </w:tc>
        <w:tc>
          <w:tcPr>
            <w:tcW w:w="1176" w:type="dxa"/>
          </w:tcPr>
          <w:p w14:paraId="36BFF47E" w14:textId="77777777" w:rsidR="00084F36" w:rsidRPr="00EB2BD8" w:rsidRDefault="00084F36">
            <w:pPr>
              <w:pStyle w:val="TableParagraph"/>
              <w:rPr>
                <w:rFonts w:ascii="Times New Roman"/>
                <w:sz w:val="14"/>
              </w:rPr>
            </w:pPr>
          </w:p>
        </w:tc>
      </w:tr>
      <w:tr w:rsidR="00EB2BD8" w:rsidRPr="00EB2BD8" w14:paraId="2CF94C4A" w14:textId="77777777">
        <w:trPr>
          <w:trHeight w:val="229"/>
        </w:trPr>
        <w:tc>
          <w:tcPr>
            <w:tcW w:w="1736" w:type="dxa"/>
          </w:tcPr>
          <w:p w14:paraId="68C9B86A" w14:textId="77777777" w:rsidR="00084F36" w:rsidRPr="00EB2BD8" w:rsidRDefault="00084F36">
            <w:pPr>
              <w:pStyle w:val="TableParagraph"/>
              <w:rPr>
                <w:rFonts w:ascii="Times New Roman"/>
                <w:sz w:val="14"/>
              </w:rPr>
            </w:pPr>
          </w:p>
        </w:tc>
        <w:tc>
          <w:tcPr>
            <w:tcW w:w="3139" w:type="dxa"/>
          </w:tcPr>
          <w:p w14:paraId="1DB4B46B" w14:textId="77777777" w:rsidR="00084F36" w:rsidRPr="00EB2BD8" w:rsidRDefault="00EB2BD8">
            <w:pPr>
              <w:pStyle w:val="TableParagraph"/>
              <w:spacing w:before="19"/>
              <w:ind w:left="134"/>
              <w:rPr>
                <w:sz w:val="16"/>
              </w:rPr>
            </w:pPr>
            <w:r w:rsidRPr="00EB2BD8">
              <w:rPr>
                <w:spacing w:val="-2"/>
                <w:sz w:val="16"/>
              </w:rPr>
              <w:t>notify</w:t>
            </w:r>
            <w:r w:rsidRPr="00EB2BD8">
              <w:rPr>
                <w:spacing w:val="-6"/>
                <w:sz w:val="16"/>
              </w:rPr>
              <w:t xml:space="preserve"> </w:t>
            </w:r>
            <w:r w:rsidRPr="00EB2BD8">
              <w:rPr>
                <w:spacing w:val="-2"/>
                <w:sz w:val="16"/>
              </w:rPr>
              <w:t>the</w:t>
            </w:r>
            <w:r w:rsidRPr="00EB2BD8">
              <w:rPr>
                <w:spacing w:val="-6"/>
                <w:sz w:val="16"/>
              </w:rPr>
              <w:t xml:space="preserve"> </w:t>
            </w:r>
            <w:r w:rsidRPr="00EB2BD8">
              <w:rPr>
                <w:spacing w:val="-2"/>
                <w:sz w:val="16"/>
              </w:rPr>
              <w:t>Authority</w:t>
            </w:r>
            <w:r w:rsidRPr="00EB2BD8">
              <w:rPr>
                <w:spacing w:val="-6"/>
                <w:sz w:val="16"/>
              </w:rPr>
              <w:t xml:space="preserve"> </w:t>
            </w:r>
            <w:r w:rsidRPr="00EB2BD8">
              <w:rPr>
                <w:spacing w:val="-2"/>
                <w:sz w:val="16"/>
              </w:rPr>
              <w:t>within</w:t>
            </w:r>
            <w:r w:rsidRPr="00EB2BD8">
              <w:rPr>
                <w:spacing w:val="-6"/>
                <w:sz w:val="16"/>
              </w:rPr>
              <w:t xml:space="preserve"> </w:t>
            </w:r>
            <w:r w:rsidRPr="00EB2BD8">
              <w:rPr>
                <w:spacing w:val="-2"/>
                <w:sz w:val="16"/>
              </w:rPr>
              <w:t>five</w:t>
            </w:r>
            <w:r w:rsidRPr="00EB2BD8">
              <w:rPr>
                <w:spacing w:val="-6"/>
                <w:sz w:val="16"/>
              </w:rPr>
              <w:t xml:space="preserve"> </w:t>
            </w:r>
            <w:r w:rsidRPr="00EB2BD8">
              <w:rPr>
                <w:spacing w:val="-2"/>
                <w:sz w:val="16"/>
              </w:rPr>
              <w:t>days</w:t>
            </w:r>
            <w:r w:rsidRPr="00EB2BD8">
              <w:rPr>
                <w:spacing w:val="-5"/>
                <w:sz w:val="16"/>
              </w:rPr>
              <w:t xml:space="preserve"> of</w:t>
            </w:r>
          </w:p>
        </w:tc>
        <w:tc>
          <w:tcPr>
            <w:tcW w:w="3077" w:type="dxa"/>
          </w:tcPr>
          <w:p w14:paraId="387A34A7" w14:textId="77777777" w:rsidR="00084F36" w:rsidRPr="00EB2BD8" w:rsidRDefault="00084F36">
            <w:pPr>
              <w:pStyle w:val="TableParagraph"/>
              <w:rPr>
                <w:rFonts w:ascii="Times New Roman"/>
                <w:sz w:val="14"/>
              </w:rPr>
            </w:pPr>
          </w:p>
        </w:tc>
        <w:tc>
          <w:tcPr>
            <w:tcW w:w="1080" w:type="dxa"/>
          </w:tcPr>
          <w:p w14:paraId="4342C4F5" w14:textId="77777777" w:rsidR="00084F36" w:rsidRPr="00EB2BD8" w:rsidRDefault="00084F36">
            <w:pPr>
              <w:pStyle w:val="TableParagraph"/>
              <w:rPr>
                <w:rFonts w:ascii="Times New Roman"/>
                <w:sz w:val="14"/>
              </w:rPr>
            </w:pPr>
          </w:p>
        </w:tc>
        <w:tc>
          <w:tcPr>
            <w:tcW w:w="1176" w:type="dxa"/>
          </w:tcPr>
          <w:p w14:paraId="738AC01F" w14:textId="77777777" w:rsidR="00084F36" w:rsidRPr="00EB2BD8" w:rsidRDefault="00084F36">
            <w:pPr>
              <w:pStyle w:val="TableParagraph"/>
              <w:rPr>
                <w:rFonts w:ascii="Times New Roman"/>
                <w:sz w:val="14"/>
              </w:rPr>
            </w:pPr>
          </w:p>
        </w:tc>
      </w:tr>
      <w:tr w:rsidR="00EB2BD8" w:rsidRPr="00EB2BD8" w14:paraId="01345049" w14:textId="77777777">
        <w:trPr>
          <w:trHeight w:val="286"/>
        </w:trPr>
        <w:tc>
          <w:tcPr>
            <w:tcW w:w="1736" w:type="dxa"/>
            <w:tcBorders>
              <w:bottom w:val="single" w:sz="2" w:space="0" w:color="000000"/>
            </w:tcBorders>
          </w:tcPr>
          <w:p w14:paraId="72F0836E" w14:textId="77777777" w:rsidR="00084F36" w:rsidRPr="00EB2BD8" w:rsidRDefault="00084F36">
            <w:pPr>
              <w:pStyle w:val="TableParagraph"/>
              <w:rPr>
                <w:rFonts w:ascii="Times New Roman"/>
                <w:sz w:val="14"/>
              </w:rPr>
            </w:pPr>
          </w:p>
        </w:tc>
        <w:tc>
          <w:tcPr>
            <w:tcW w:w="3139" w:type="dxa"/>
            <w:tcBorders>
              <w:bottom w:val="single" w:sz="2" w:space="0" w:color="000000"/>
            </w:tcBorders>
          </w:tcPr>
          <w:p w14:paraId="0FEEF6EB" w14:textId="77777777" w:rsidR="00084F36" w:rsidRPr="00EB2BD8" w:rsidRDefault="00EB2BD8">
            <w:pPr>
              <w:pStyle w:val="TableParagraph"/>
              <w:spacing w:before="19"/>
              <w:ind w:left="134"/>
              <w:rPr>
                <w:sz w:val="16"/>
              </w:rPr>
            </w:pPr>
            <w:r w:rsidRPr="00EB2BD8">
              <w:rPr>
                <w:sz w:val="16"/>
              </w:rPr>
              <w:t>completing</w:t>
            </w:r>
            <w:r w:rsidRPr="00EB2BD8">
              <w:rPr>
                <w:spacing w:val="-11"/>
                <w:sz w:val="16"/>
              </w:rPr>
              <w:t xml:space="preserve"> </w:t>
            </w:r>
            <w:r w:rsidRPr="00EB2BD8">
              <w:rPr>
                <w:sz w:val="16"/>
              </w:rPr>
              <w:t>the</w:t>
            </w:r>
            <w:r w:rsidRPr="00EB2BD8">
              <w:rPr>
                <w:spacing w:val="-11"/>
                <w:sz w:val="16"/>
              </w:rPr>
              <w:t xml:space="preserve"> </w:t>
            </w:r>
            <w:r w:rsidRPr="00EB2BD8">
              <w:rPr>
                <w:spacing w:val="-2"/>
                <w:sz w:val="16"/>
              </w:rPr>
              <w:t>work.</w:t>
            </w:r>
          </w:p>
        </w:tc>
        <w:tc>
          <w:tcPr>
            <w:tcW w:w="3077" w:type="dxa"/>
            <w:tcBorders>
              <w:bottom w:val="single" w:sz="2" w:space="0" w:color="000000"/>
            </w:tcBorders>
          </w:tcPr>
          <w:p w14:paraId="5D8354D5" w14:textId="77777777" w:rsidR="00084F36" w:rsidRPr="00EB2BD8" w:rsidRDefault="00084F36">
            <w:pPr>
              <w:pStyle w:val="TableParagraph"/>
              <w:rPr>
                <w:rFonts w:ascii="Times New Roman"/>
                <w:sz w:val="14"/>
              </w:rPr>
            </w:pPr>
          </w:p>
        </w:tc>
        <w:tc>
          <w:tcPr>
            <w:tcW w:w="1080" w:type="dxa"/>
            <w:tcBorders>
              <w:bottom w:val="single" w:sz="2" w:space="0" w:color="000000"/>
            </w:tcBorders>
          </w:tcPr>
          <w:p w14:paraId="125A69D1"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319A22C3" w14:textId="77777777" w:rsidR="00084F36" w:rsidRPr="00EB2BD8" w:rsidRDefault="00084F36">
            <w:pPr>
              <w:pStyle w:val="TableParagraph"/>
              <w:rPr>
                <w:rFonts w:ascii="Times New Roman"/>
                <w:sz w:val="14"/>
              </w:rPr>
            </w:pPr>
          </w:p>
        </w:tc>
      </w:tr>
      <w:tr w:rsidR="00EB2BD8" w:rsidRPr="00EB2BD8" w14:paraId="418879B9" w14:textId="77777777">
        <w:trPr>
          <w:trHeight w:val="324"/>
        </w:trPr>
        <w:tc>
          <w:tcPr>
            <w:tcW w:w="1736" w:type="dxa"/>
            <w:tcBorders>
              <w:top w:val="single" w:sz="2" w:space="0" w:color="000000"/>
            </w:tcBorders>
          </w:tcPr>
          <w:p w14:paraId="4EF8B1E6" w14:textId="77777777" w:rsidR="00084F36" w:rsidRPr="00EB2BD8" w:rsidRDefault="00EB2BD8">
            <w:pPr>
              <w:pStyle w:val="TableParagraph"/>
              <w:spacing w:before="114"/>
              <w:ind w:left="112"/>
              <w:rPr>
                <w:sz w:val="16"/>
              </w:rPr>
            </w:pPr>
            <w:r w:rsidRPr="00EB2BD8">
              <w:rPr>
                <w:spacing w:val="-4"/>
                <w:sz w:val="16"/>
              </w:rPr>
              <w:t>GITTINS,</w:t>
            </w:r>
            <w:r w:rsidRPr="00EB2BD8">
              <w:rPr>
                <w:sz w:val="16"/>
              </w:rPr>
              <w:t xml:space="preserve"> </w:t>
            </w:r>
            <w:r w:rsidRPr="00EB2BD8">
              <w:rPr>
                <w:spacing w:val="-2"/>
                <w:sz w:val="16"/>
              </w:rPr>
              <w:t>James</w:t>
            </w:r>
          </w:p>
        </w:tc>
        <w:tc>
          <w:tcPr>
            <w:tcW w:w="3139" w:type="dxa"/>
            <w:tcBorders>
              <w:top w:val="single" w:sz="2" w:space="0" w:color="000000"/>
            </w:tcBorders>
          </w:tcPr>
          <w:p w14:paraId="35CD92EF" w14:textId="77777777" w:rsidR="00084F36" w:rsidRPr="00EB2BD8" w:rsidRDefault="00EB2BD8">
            <w:pPr>
              <w:pStyle w:val="TableParagraph"/>
              <w:spacing w:before="114"/>
              <w:ind w:left="134"/>
              <w:rPr>
                <w:sz w:val="16"/>
              </w:rPr>
            </w:pPr>
            <w:r w:rsidRPr="00EB2BD8">
              <w:rPr>
                <w:sz w:val="16"/>
              </w:rPr>
              <w:t>It</w:t>
            </w:r>
            <w:r w:rsidRPr="00EB2BD8">
              <w:rPr>
                <w:spacing w:val="-7"/>
                <w:sz w:val="16"/>
              </w:rPr>
              <w:t xml:space="preserve"> </w:t>
            </w:r>
            <w:r w:rsidRPr="00EB2BD8">
              <w:rPr>
                <w:sz w:val="16"/>
              </w:rPr>
              <w:t>was</w:t>
            </w:r>
            <w:r w:rsidRPr="00EB2BD8">
              <w:rPr>
                <w:spacing w:val="-7"/>
                <w:sz w:val="16"/>
              </w:rPr>
              <w:t xml:space="preserve"> </w:t>
            </w:r>
            <w:r w:rsidRPr="00EB2BD8">
              <w:rPr>
                <w:sz w:val="16"/>
              </w:rPr>
              <w:t>alleged</w:t>
            </w:r>
            <w:r w:rsidRPr="00EB2BD8">
              <w:rPr>
                <w:spacing w:val="-7"/>
                <w:sz w:val="16"/>
              </w:rPr>
              <w:t xml:space="preserve"> </w:t>
            </w:r>
            <w:r w:rsidRPr="00EB2BD8">
              <w:rPr>
                <w:sz w:val="16"/>
              </w:rPr>
              <w:t>and</w:t>
            </w:r>
            <w:r w:rsidRPr="00EB2BD8">
              <w:rPr>
                <w:spacing w:val="-7"/>
                <w:sz w:val="16"/>
              </w:rPr>
              <w:t xml:space="preserve"> </w:t>
            </w:r>
            <w:r w:rsidRPr="00EB2BD8">
              <w:rPr>
                <w:spacing w:val="-2"/>
                <w:sz w:val="16"/>
              </w:rPr>
              <w:t>substantiated</w:t>
            </w:r>
          </w:p>
        </w:tc>
        <w:tc>
          <w:tcPr>
            <w:tcW w:w="3077" w:type="dxa"/>
            <w:tcBorders>
              <w:top w:val="single" w:sz="2" w:space="0" w:color="000000"/>
            </w:tcBorders>
          </w:tcPr>
          <w:p w14:paraId="2A8A999E" w14:textId="77777777" w:rsidR="00084F36" w:rsidRPr="00EB2BD8" w:rsidRDefault="00EB2BD8">
            <w:pPr>
              <w:pStyle w:val="TableParagraph"/>
              <w:spacing w:before="114"/>
              <w:ind w:left="113"/>
              <w:rPr>
                <w:sz w:val="16"/>
              </w:rPr>
            </w:pPr>
            <w:r w:rsidRPr="00EB2BD8">
              <w:rPr>
                <w:spacing w:val="-2"/>
                <w:sz w:val="16"/>
              </w:rPr>
              <w:t>Four</w:t>
            </w:r>
            <w:r w:rsidRPr="00EB2BD8">
              <w:rPr>
                <w:spacing w:val="-3"/>
                <w:sz w:val="16"/>
              </w:rPr>
              <w:t xml:space="preserve"> </w:t>
            </w:r>
            <w:r w:rsidRPr="00EB2BD8">
              <w:rPr>
                <w:spacing w:val="-2"/>
                <w:sz w:val="16"/>
              </w:rPr>
              <w:t>grounds proven. Penalty</w:t>
            </w:r>
            <w:r w:rsidRPr="00EB2BD8">
              <w:rPr>
                <w:spacing w:val="-3"/>
                <w:sz w:val="16"/>
              </w:rPr>
              <w:t xml:space="preserve"> </w:t>
            </w:r>
            <w:r w:rsidRPr="00EB2BD8">
              <w:rPr>
                <w:spacing w:val="-5"/>
                <w:sz w:val="16"/>
              </w:rPr>
              <w:t>of</w:t>
            </w:r>
          </w:p>
        </w:tc>
        <w:tc>
          <w:tcPr>
            <w:tcW w:w="1080" w:type="dxa"/>
            <w:tcBorders>
              <w:top w:val="single" w:sz="2" w:space="0" w:color="000000"/>
            </w:tcBorders>
          </w:tcPr>
          <w:p w14:paraId="2233FE1E" w14:textId="77777777" w:rsidR="00084F36" w:rsidRPr="00EB2BD8" w:rsidRDefault="00EB2BD8">
            <w:pPr>
              <w:pStyle w:val="TableParagraph"/>
              <w:spacing w:before="114"/>
              <w:ind w:right="111"/>
              <w:jc w:val="right"/>
              <w:rPr>
                <w:sz w:val="16"/>
              </w:rPr>
            </w:pPr>
            <w:r w:rsidRPr="00EB2BD8">
              <w:rPr>
                <w:spacing w:val="-2"/>
                <w:w w:val="90"/>
                <w:sz w:val="16"/>
              </w:rPr>
              <w:t>$1,983</w:t>
            </w:r>
          </w:p>
        </w:tc>
        <w:tc>
          <w:tcPr>
            <w:tcW w:w="1176" w:type="dxa"/>
            <w:tcBorders>
              <w:top w:val="single" w:sz="2" w:space="0" w:color="000000"/>
            </w:tcBorders>
          </w:tcPr>
          <w:p w14:paraId="3FA895D2" w14:textId="77777777" w:rsidR="00084F36" w:rsidRPr="00EB2BD8" w:rsidRDefault="00EB2BD8">
            <w:pPr>
              <w:pStyle w:val="TableParagraph"/>
              <w:spacing w:before="114"/>
              <w:ind w:left="113"/>
              <w:rPr>
                <w:sz w:val="16"/>
              </w:rPr>
            </w:pPr>
            <w:r w:rsidRPr="00EB2BD8">
              <w:rPr>
                <w:spacing w:val="-2"/>
                <w:sz w:val="16"/>
              </w:rPr>
              <w:t>08/08/2022</w:t>
            </w:r>
          </w:p>
        </w:tc>
      </w:tr>
      <w:tr w:rsidR="00EB2BD8" w:rsidRPr="00EB2BD8" w14:paraId="5AF8240F" w14:textId="77777777">
        <w:trPr>
          <w:trHeight w:val="230"/>
        </w:trPr>
        <w:tc>
          <w:tcPr>
            <w:tcW w:w="1736" w:type="dxa"/>
          </w:tcPr>
          <w:p w14:paraId="2BB27F48" w14:textId="77777777" w:rsidR="00084F36" w:rsidRPr="00EB2BD8" w:rsidRDefault="00084F36">
            <w:pPr>
              <w:pStyle w:val="TableParagraph"/>
              <w:rPr>
                <w:rFonts w:ascii="Times New Roman"/>
                <w:sz w:val="14"/>
              </w:rPr>
            </w:pPr>
          </w:p>
        </w:tc>
        <w:tc>
          <w:tcPr>
            <w:tcW w:w="3139" w:type="dxa"/>
          </w:tcPr>
          <w:p w14:paraId="79C9B529" w14:textId="77777777" w:rsidR="00084F36" w:rsidRPr="00EB2BD8" w:rsidRDefault="00EB2BD8">
            <w:pPr>
              <w:pStyle w:val="TableParagraph"/>
              <w:spacing w:before="19"/>
              <w:ind w:left="134"/>
              <w:rPr>
                <w:sz w:val="16"/>
              </w:rPr>
            </w:pPr>
            <w:r w:rsidRPr="00EB2BD8">
              <w:rPr>
                <w:sz w:val="16"/>
              </w:rPr>
              <w:t>that</w:t>
            </w:r>
            <w:r w:rsidRPr="00EB2BD8">
              <w:rPr>
                <w:spacing w:val="-4"/>
                <w:sz w:val="16"/>
              </w:rPr>
              <w:t xml:space="preserve"> </w:t>
            </w:r>
            <w:r w:rsidRPr="00EB2BD8">
              <w:rPr>
                <w:sz w:val="16"/>
              </w:rPr>
              <w:t>the</w:t>
            </w:r>
            <w:r w:rsidRPr="00EB2BD8">
              <w:rPr>
                <w:spacing w:val="-4"/>
                <w:sz w:val="16"/>
              </w:rPr>
              <w:t xml:space="preserve"> </w:t>
            </w:r>
            <w:r w:rsidRPr="00EB2BD8">
              <w:rPr>
                <w:sz w:val="16"/>
              </w:rPr>
              <w:t>practitioner</w:t>
            </w:r>
            <w:r w:rsidRPr="00EB2BD8">
              <w:rPr>
                <w:spacing w:val="-4"/>
                <w:sz w:val="16"/>
              </w:rPr>
              <w:t xml:space="preserve"> </w:t>
            </w:r>
            <w:r w:rsidRPr="00EB2BD8">
              <w:rPr>
                <w:sz w:val="16"/>
              </w:rPr>
              <w:t>carried</w:t>
            </w:r>
            <w:r w:rsidRPr="00EB2BD8">
              <w:rPr>
                <w:spacing w:val="-3"/>
                <w:sz w:val="16"/>
              </w:rPr>
              <w:t xml:space="preserve"> </w:t>
            </w:r>
            <w:r w:rsidRPr="00EB2BD8">
              <w:rPr>
                <w:spacing w:val="-5"/>
                <w:sz w:val="16"/>
              </w:rPr>
              <w:t>out</w:t>
            </w:r>
          </w:p>
        </w:tc>
        <w:tc>
          <w:tcPr>
            <w:tcW w:w="3077" w:type="dxa"/>
          </w:tcPr>
          <w:p w14:paraId="4A37D516" w14:textId="77777777" w:rsidR="00084F36" w:rsidRPr="00EB2BD8" w:rsidRDefault="00EB2BD8">
            <w:pPr>
              <w:pStyle w:val="TableParagraph"/>
              <w:spacing w:before="19"/>
              <w:ind w:left="113"/>
              <w:rPr>
                <w:sz w:val="16"/>
              </w:rPr>
            </w:pPr>
            <w:r w:rsidRPr="00EB2BD8">
              <w:rPr>
                <w:w w:val="90"/>
                <w:sz w:val="16"/>
              </w:rPr>
              <w:t>$1,983</w:t>
            </w:r>
            <w:r w:rsidRPr="00EB2BD8">
              <w:rPr>
                <w:spacing w:val="-1"/>
                <w:w w:val="90"/>
                <w:sz w:val="16"/>
              </w:rPr>
              <w:t xml:space="preserve"> </w:t>
            </w:r>
            <w:r w:rsidRPr="00EB2BD8">
              <w:rPr>
                <w:w w:val="90"/>
                <w:sz w:val="16"/>
              </w:rPr>
              <w:t>plus</w:t>
            </w:r>
            <w:r w:rsidRPr="00EB2BD8">
              <w:rPr>
                <w:spacing w:val="-2"/>
                <w:w w:val="90"/>
                <w:sz w:val="16"/>
              </w:rPr>
              <w:t xml:space="preserve"> </w:t>
            </w:r>
            <w:r w:rsidRPr="00EB2BD8">
              <w:rPr>
                <w:w w:val="90"/>
                <w:sz w:val="16"/>
              </w:rPr>
              <w:t>costs</w:t>
            </w:r>
            <w:r w:rsidRPr="00EB2BD8">
              <w:rPr>
                <w:spacing w:val="-1"/>
                <w:w w:val="90"/>
                <w:sz w:val="16"/>
              </w:rPr>
              <w:t xml:space="preserve"> </w:t>
            </w:r>
            <w:r w:rsidRPr="00EB2BD8">
              <w:rPr>
                <w:w w:val="90"/>
                <w:sz w:val="16"/>
              </w:rPr>
              <w:t>of</w:t>
            </w:r>
            <w:r w:rsidRPr="00EB2BD8">
              <w:rPr>
                <w:spacing w:val="-1"/>
                <w:w w:val="90"/>
                <w:sz w:val="16"/>
              </w:rPr>
              <w:t xml:space="preserve"> </w:t>
            </w:r>
            <w:r w:rsidRPr="00EB2BD8">
              <w:rPr>
                <w:spacing w:val="-2"/>
                <w:w w:val="90"/>
                <w:sz w:val="16"/>
              </w:rPr>
              <w:t>$1,607.</w:t>
            </w:r>
          </w:p>
        </w:tc>
        <w:tc>
          <w:tcPr>
            <w:tcW w:w="1080" w:type="dxa"/>
          </w:tcPr>
          <w:p w14:paraId="5AF69C1C" w14:textId="77777777" w:rsidR="00084F36" w:rsidRPr="00EB2BD8" w:rsidRDefault="00084F36">
            <w:pPr>
              <w:pStyle w:val="TableParagraph"/>
              <w:rPr>
                <w:rFonts w:ascii="Times New Roman"/>
                <w:sz w:val="14"/>
              </w:rPr>
            </w:pPr>
          </w:p>
        </w:tc>
        <w:tc>
          <w:tcPr>
            <w:tcW w:w="1176" w:type="dxa"/>
          </w:tcPr>
          <w:p w14:paraId="41CFC653" w14:textId="77777777" w:rsidR="00084F36" w:rsidRPr="00EB2BD8" w:rsidRDefault="00084F36">
            <w:pPr>
              <w:pStyle w:val="TableParagraph"/>
              <w:rPr>
                <w:rFonts w:ascii="Times New Roman"/>
                <w:sz w:val="14"/>
              </w:rPr>
            </w:pPr>
          </w:p>
        </w:tc>
      </w:tr>
      <w:tr w:rsidR="00EB2BD8" w:rsidRPr="00EB2BD8" w14:paraId="5A41872B" w14:textId="77777777">
        <w:trPr>
          <w:trHeight w:val="229"/>
        </w:trPr>
        <w:tc>
          <w:tcPr>
            <w:tcW w:w="1736" w:type="dxa"/>
          </w:tcPr>
          <w:p w14:paraId="7C8C3F58" w14:textId="77777777" w:rsidR="00084F36" w:rsidRPr="00EB2BD8" w:rsidRDefault="00084F36">
            <w:pPr>
              <w:pStyle w:val="TableParagraph"/>
              <w:rPr>
                <w:rFonts w:ascii="Times New Roman"/>
                <w:sz w:val="14"/>
              </w:rPr>
            </w:pPr>
          </w:p>
        </w:tc>
        <w:tc>
          <w:tcPr>
            <w:tcW w:w="3139" w:type="dxa"/>
          </w:tcPr>
          <w:p w14:paraId="2B670264" w14:textId="77777777" w:rsidR="00084F36" w:rsidRPr="00EB2BD8" w:rsidRDefault="00EB2BD8">
            <w:pPr>
              <w:pStyle w:val="TableParagraph"/>
              <w:spacing w:before="19"/>
              <w:ind w:left="134"/>
              <w:rPr>
                <w:sz w:val="16"/>
              </w:rPr>
            </w:pPr>
            <w:r w:rsidRPr="00EB2BD8">
              <w:rPr>
                <w:spacing w:val="-2"/>
                <w:sz w:val="16"/>
              </w:rPr>
              <w:t>gas</w:t>
            </w:r>
            <w:r w:rsidRPr="00EB2BD8">
              <w:rPr>
                <w:spacing w:val="-5"/>
                <w:sz w:val="16"/>
              </w:rPr>
              <w:t xml:space="preserve"> </w:t>
            </w:r>
            <w:r w:rsidRPr="00EB2BD8">
              <w:rPr>
                <w:spacing w:val="-2"/>
                <w:sz w:val="16"/>
              </w:rPr>
              <w:t>fitting</w:t>
            </w:r>
            <w:r w:rsidRPr="00EB2BD8">
              <w:rPr>
                <w:spacing w:val="-5"/>
                <w:sz w:val="16"/>
              </w:rPr>
              <w:t xml:space="preserve"> </w:t>
            </w:r>
            <w:r w:rsidRPr="00EB2BD8">
              <w:rPr>
                <w:spacing w:val="-2"/>
                <w:sz w:val="16"/>
              </w:rPr>
              <w:t>work</w:t>
            </w:r>
            <w:r w:rsidRPr="00EB2BD8">
              <w:rPr>
                <w:spacing w:val="-5"/>
                <w:sz w:val="16"/>
              </w:rPr>
              <w:t xml:space="preserve"> </w:t>
            </w:r>
            <w:r w:rsidRPr="00EB2BD8">
              <w:rPr>
                <w:spacing w:val="-2"/>
                <w:sz w:val="16"/>
              </w:rPr>
              <w:t>and</w:t>
            </w:r>
            <w:r w:rsidRPr="00EB2BD8">
              <w:rPr>
                <w:spacing w:val="-4"/>
                <w:sz w:val="16"/>
              </w:rPr>
              <w:t xml:space="preserve"> </w:t>
            </w:r>
            <w:r w:rsidRPr="00EB2BD8">
              <w:rPr>
                <w:spacing w:val="-2"/>
                <w:sz w:val="16"/>
              </w:rPr>
              <w:t>mechanical</w:t>
            </w:r>
          </w:p>
        </w:tc>
        <w:tc>
          <w:tcPr>
            <w:tcW w:w="3077" w:type="dxa"/>
          </w:tcPr>
          <w:p w14:paraId="29D36DB4" w14:textId="77777777" w:rsidR="00084F36" w:rsidRPr="00EB2BD8" w:rsidRDefault="00084F36">
            <w:pPr>
              <w:pStyle w:val="TableParagraph"/>
              <w:rPr>
                <w:rFonts w:ascii="Times New Roman"/>
                <w:sz w:val="14"/>
              </w:rPr>
            </w:pPr>
          </w:p>
        </w:tc>
        <w:tc>
          <w:tcPr>
            <w:tcW w:w="1080" w:type="dxa"/>
          </w:tcPr>
          <w:p w14:paraId="2F244EC9" w14:textId="77777777" w:rsidR="00084F36" w:rsidRPr="00EB2BD8" w:rsidRDefault="00084F36">
            <w:pPr>
              <w:pStyle w:val="TableParagraph"/>
              <w:rPr>
                <w:rFonts w:ascii="Times New Roman"/>
                <w:sz w:val="14"/>
              </w:rPr>
            </w:pPr>
          </w:p>
        </w:tc>
        <w:tc>
          <w:tcPr>
            <w:tcW w:w="1176" w:type="dxa"/>
          </w:tcPr>
          <w:p w14:paraId="1EEF37EF" w14:textId="77777777" w:rsidR="00084F36" w:rsidRPr="00EB2BD8" w:rsidRDefault="00084F36">
            <w:pPr>
              <w:pStyle w:val="TableParagraph"/>
              <w:rPr>
                <w:rFonts w:ascii="Times New Roman"/>
                <w:sz w:val="14"/>
              </w:rPr>
            </w:pPr>
          </w:p>
        </w:tc>
      </w:tr>
      <w:tr w:rsidR="00EB2BD8" w:rsidRPr="00EB2BD8" w14:paraId="2E2AD6FC" w14:textId="77777777">
        <w:trPr>
          <w:trHeight w:val="229"/>
        </w:trPr>
        <w:tc>
          <w:tcPr>
            <w:tcW w:w="1736" w:type="dxa"/>
          </w:tcPr>
          <w:p w14:paraId="1EEB5111" w14:textId="77777777" w:rsidR="00084F36" w:rsidRPr="00EB2BD8" w:rsidRDefault="00084F36">
            <w:pPr>
              <w:pStyle w:val="TableParagraph"/>
              <w:rPr>
                <w:rFonts w:ascii="Times New Roman"/>
                <w:sz w:val="14"/>
              </w:rPr>
            </w:pPr>
          </w:p>
        </w:tc>
        <w:tc>
          <w:tcPr>
            <w:tcW w:w="3139" w:type="dxa"/>
          </w:tcPr>
          <w:p w14:paraId="4491C7DA" w14:textId="77777777" w:rsidR="00084F36" w:rsidRPr="00EB2BD8" w:rsidRDefault="00EB2BD8">
            <w:pPr>
              <w:pStyle w:val="TableParagraph"/>
              <w:spacing w:before="19"/>
              <w:ind w:left="134"/>
              <w:rPr>
                <w:sz w:val="16"/>
              </w:rPr>
            </w:pPr>
            <w:r w:rsidRPr="00EB2BD8">
              <w:rPr>
                <w:spacing w:val="-2"/>
                <w:sz w:val="16"/>
              </w:rPr>
              <w:t>service</w:t>
            </w:r>
            <w:r w:rsidRPr="00EB2BD8">
              <w:rPr>
                <w:spacing w:val="-5"/>
                <w:sz w:val="16"/>
              </w:rPr>
              <w:t xml:space="preserve"> </w:t>
            </w:r>
            <w:r w:rsidRPr="00EB2BD8">
              <w:rPr>
                <w:spacing w:val="-2"/>
                <w:sz w:val="16"/>
              </w:rPr>
              <w:t>work</w:t>
            </w:r>
            <w:r w:rsidRPr="00EB2BD8">
              <w:rPr>
                <w:spacing w:val="-4"/>
                <w:sz w:val="16"/>
              </w:rPr>
              <w:t xml:space="preserve"> </w:t>
            </w:r>
            <w:r w:rsidRPr="00EB2BD8">
              <w:rPr>
                <w:spacing w:val="-2"/>
                <w:sz w:val="16"/>
              </w:rPr>
              <w:t>whilst</w:t>
            </w:r>
            <w:r w:rsidRPr="00EB2BD8">
              <w:rPr>
                <w:spacing w:val="-5"/>
                <w:sz w:val="16"/>
              </w:rPr>
              <w:t xml:space="preserve"> </w:t>
            </w:r>
            <w:r w:rsidRPr="00EB2BD8">
              <w:rPr>
                <w:spacing w:val="-2"/>
                <w:sz w:val="16"/>
              </w:rPr>
              <w:t>unlicensed</w:t>
            </w:r>
            <w:r w:rsidRPr="00EB2BD8">
              <w:rPr>
                <w:spacing w:val="-4"/>
                <w:sz w:val="16"/>
              </w:rPr>
              <w:t xml:space="preserve"> </w:t>
            </w:r>
            <w:r w:rsidRPr="00EB2BD8">
              <w:rPr>
                <w:spacing w:val="-5"/>
                <w:sz w:val="16"/>
              </w:rPr>
              <w:t>or</w:t>
            </w:r>
          </w:p>
        </w:tc>
        <w:tc>
          <w:tcPr>
            <w:tcW w:w="3077" w:type="dxa"/>
          </w:tcPr>
          <w:p w14:paraId="27ACC565" w14:textId="77777777" w:rsidR="00084F36" w:rsidRPr="00EB2BD8" w:rsidRDefault="00084F36">
            <w:pPr>
              <w:pStyle w:val="TableParagraph"/>
              <w:rPr>
                <w:rFonts w:ascii="Times New Roman"/>
                <w:sz w:val="14"/>
              </w:rPr>
            </w:pPr>
          </w:p>
        </w:tc>
        <w:tc>
          <w:tcPr>
            <w:tcW w:w="1080" w:type="dxa"/>
          </w:tcPr>
          <w:p w14:paraId="2A1D8D4F" w14:textId="77777777" w:rsidR="00084F36" w:rsidRPr="00EB2BD8" w:rsidRDefault="00084F36">
            <w:pPr>
              <w:pStyle w:val="TableParagraph"/>
              <w:rPr>
                <w:rFonts w:ascii="Times New Roman"/>
                <w:sz w:val="14"/>
              </w:rPr>
            </w:pPr>
          </w:p>
        </w:tc>
        <w:tc>
          <w:tcPr>
            <w:tcW w:w="1176" w:type="dxa"/>
          </w:tcPr>
          <w:p w14:paraId="4AC2CC77" w14:textId="77777777" w:rsidR="00084F36" w:rsidRPr="00EB2BD8" w:rsidRDefault="00084F36">
            <w:pPr>
              <w:pStyle w:val="TableParagraph"/>
              <w:rPr>
                <w:rFonts w:ascii="Times New Roman"/>
                <w:sz w:val="14"/>
              </w:rPr>
            </w:pPr>
          </w:p>
        </w:tc>
      </w:tr>
      <w:tr w:rsidR="00EB2BD8" w:rsidRPr="00EB2BD8" w14:paraId="3D42954E" w14:textId="77777777">
        <w:trPr>
          <w:trHeight w:val="287"/>
        </w:trPr>
        <w:tc>
          <w:tcPr>
            <w:tcW w:w="1736" w:type="dxa"/>
            <w:tcBorders>
              <w:bottom w:val="single" w:sz="2" w:space="0" w:color="000000"/>
            </w:tcBorders>
          </w:tcPr>
          <w:p w14:paraId="3C864EA6" w14:textId="77777777" w:rsidR="00084F36" w:rsidRPr="00EB2BD8" w:rsidRDefault="00084F36">
            <w:pPr>
              <w:pStyle w:val="TableParagraph"/>
              <w:rPr>
                <w:rFonts w:ascii="Times New Roman"/>
                <w:sz w:val="14"/>
              </w:rPr>
            </w:pPr>
          </w:p>
        </w:tc>
        <w:tc>
          <w:tcPr>
            <w:tcW w:w="3139" w:type="dxa"/>
            <w:tcBorders>
              <w:bottom w:val="single" w:sz="2" w:space="0" w:color="000000"/>
            </w:tcBorders>
          </w:tcPr>
          <w:p w14:paraId="07840CA0" w14:textId="77777777" w:rsidR="00084F36" w:rsidRPr="00EB2BD8" w:rsidRDefault="00EB2BD8">
            <w:pPr>
              <w:pStyle w:val="TableParagraph"/>
              <w:spacing w:before="19"/>
              <w:ind w:left="134"/>
              <w:rPr>
                <w:sz w:val="16"/>
              </w:rPr>
            </w:pPr>
            <w:r w:rsidRPr="00EB2BD8">
              <w:rPr>
                <w:spacing w:val="-2"/>
                <w:sz w:val="16"/>
              </w:rPr>
              <w:t>unregistered.</w:t>
            </w:r>
          </w:p>
        </w:tc>
        <w:tc>
          <w:tcPr>
            <w:tcW w:w="3077" w:type="dxa"/>
            <w:tcBorders>
              <w:bottom w:val="single" w:sz="2" w:space="0" w:color="000000"/>
            </w:tcBorders>
          </w:tcPr>
          <w:p w14:paraId="6FE51330" w14:textId="77777777" w:rsidR="00084F36" w:rsidRPr="00EB2BD8" w:rsidRDefault="00084F36">
            <w:pPr>
              <w:pStyle w:val="TableParagraph"/>
              <w:rPr>
                <w:rFonts w:ascii="Times New Roman"/>
                <w:sz w:val="14"/>
              </w:rPr>
            </w:pPr>
          </w:p>
        </w:tc>
        <w:tc>
          <w:tcPr>
            <w:tcW w:w="1080" w:type="dxa"/>
            <w:tcBorders>
              <w:bottom w:val="single" w:sz="2" w:space="0" w:color="000000"/>
            </w:tcBorders>
          </w:tcPr>
          <w:p w14:paraId="421E1A10"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17DABAF2" w14:textId="77777777" w:rsidR="00084F36" w:rsidRPr="00EB2BD8" w:rsidRDefault="00084F36">
            <w:pPr>
              <w:pStyle w:val="TableParagraph"/>
              <w:rPr>
                <w:rFonts w:ascii="Times New Roman"/>
                <w:sz w:val="14"/>
              </w:rPr>
            </w:pPr>
          </w:p>
        </w:tc>
      </w:tr>
      <w:tr w:rsidR="00EB2BD8" w:rsidRPr="00EB2BD8" w14:paraId="3D4063BD" w14:textId="77777777">
        <w:trPr>
          <w:trHeight w:val="324"/>
        </w:trPr>
        <w:tc>
          <w:tcPr>
            <w:tcW w:w="1736" w:type="dxa"/>
            <w:tcBorders>
              <w:top w:val="single" w:sz="2" w:space="0" w:color="000000"/>
            </w:tcBorders>
          </w:tcPr>
          <w:p w14:paraId="3E669E70" w14:textId="77777777" w:rsidR="00084F36" w:rsidRPr="00EB2BD8" w:rsidRDefault="00EB2BD8">
            <w:pPr>
              <w:pStyle w:val="TableParagraph"/>
              <w:spacing w:before="114"/>
              <w:ind w:left="112"/>
              <w:rPr>
                <w:sz w:val="16"/>
              </w:rPr>
            </w:pPr>
            <w:r w:rsidRPr="00EB2BD8">
              <w:rPr>
                <w:spacing w:val="-7"/>
                <w:sz w:val="16"/>
              </w:rPr>
              <w:t>HAYWARD,</w:t>
            </w:r>
            <w:r w:rsidRPr="00EB2BD8">
              <w:rPr>
                <w:spacing w:val="-3"/>
                <w:sz w:val="16"/>
              </w:rPr>
              <w:t xml:space="preserve"> </w:t>
            </w:r>
            <w:r w:rsidRPr="00EB2BD8">
              <w:rPr>
                <w:spacing w:val="-2"/>
                <w:sz w:val="16"/>
              </w:rPr>
              <w:t>Brett</w:t>
            </w:r>
          </w:p>
        </w:tc>
        <w:tc>
          <w:tcPr>
            <w:tcW w:w="3139" w:type="dxa"/>
            <w:tcBorders>
              <w:top w:val="single" w:sz="2" w:space="0" w:color="000000"/>
            </w:tcBorders>
          </w:tcPr>
          <w:p w14:paraId="01D90502" w14:textId="77777777" w:rsidR="00084F36" w:rsidRPr="00EB2BD8" w:rsidRDefault="00EB2BD8">
            <w:pPr>
              <w:pStyle w:val="TableParagraph"/>
              <w:spacing w:before="114"/>
              <w:ind w:left="133"/>
              <w:rPr>
                <w:sz w:val="16"/>
              </w:rPr>
            </w:pPr>
            <w:r w:rsidRPr="00EB2BD8">
              <w:rPr>
                <w:sz w:val="16"/>
              </w:rPr>
              <w:t>Practitioner</w:t>
            </w:r>
            <w:r w:rsidRPr="00EB2BD8">
              <w:rPr>
                <w:spacing w:val="-11"/>
                <w:sz w:val="16"/>
              </w:rPr>
              <w:t xml:space="preserve"> </w:t>
            </w:r>
            <w:r w:rsidRPr="00EB2BD8">
              <w:rPr>
                <w:sz w:val="16"/>
              </w:rPr>
              <w:t>failed</w:t>
            </w:r>
            <w:r w:rsidRPr="00EB2BD8">
              <w:rPr>
                <w:spacing w:val="-11"/>
                <w:sz w:val="16"/>
              </w:rPr>
              <w:t xml:space="preserve"> </w:t>
            </w:r>
            <w:r w:rsidRPr="00EB2BD8">
              <w:rPr>
                <w:sz w:val="16"/>
              </w:rPr>
              <w:t>to</w:t>
            </w:r>
            <w:r w:rsidRPr="00EB2BD8">
              <w:rPr>
                <w:spacing w:val="-10"/>
                <w:sz w:val="16"/>
              </w:rPr>
              <w:t xml:space="preserve"> </w:t>
            </w:r>
            <w:r w:rsidRPr="00EB2BD8">
              <w:rPr>
                <w:sz w:val="16"/>
              </w:rPr>
              <w:t>comply</w:t>
            </w:r>
            <w:r w:rsidRPr="00EB2BD8">
              <w:rPr>
                <w:spacing w:val="-11"/>
                <w:sz w:val="16"/>
              </w:rPr>
              <w:t xml:space="preserve"> </w:t>
            </w:r>
            <w:r w:rsidRPr="00EB2BD8">
              <w:rPr>
                <w:spacing w:val="-4"/>
                <w:sz w:val="16"/>
              </w:rPr>
              <w:t>with</w:t>
            </w:r>
          </w:p>
        </w:tc>
        <w:tc>
          <w:tcPr>
            <w:tcW w:w="3077" w:type="dxa"/>
            <w:tcBorders>
              <w:top w:val="single" w:sz="2" w:space="0" w:color="000000"/>
            </w:tcBorders>
          </w:tcPr>
          <w:p w14:paraId="7DA1DACA" w14:textId="77777777" w:rsidR="00084F36" w:rsidRPr="00EB2BD8" w:rsidRDefault="00EB2BD8">
            <w:pPr>
              <w:pStyle w:val="TableParagraph"/>
              <w:spacing w:before="114"/>
              <w:ind w:left="113"/>
              <w:rPr>
                <w:sz w:val="16"/>
              </w:rPr>
            </w:pPr>
            <w:r w:rsidRPr="00EB2BD8">
              <w:rPr>
                <w:sz w:val="16"/>
              </w:rPr>
              <w:t>One</w:t>
            </w:r>
            <w:r w:rsidRPr="00EB2BD8">
              <w:rPr>
                <w:spacing w:val="-13"/>
                <w:sz w:val="16"/>
              </w:rPr>
              <w:t xml:space="preserve"> </w:t>
            </w:r>
            <w:r w:rsidRPr="00EB2BD8">
              <w:rPr>
                <w:sz w:val="16"/>
              </w:rPr>
              <w:t>ground</w:t>
            </w:r>
            <w:r w:rsidRPr="00EB2BD8">
              <w:rPr>
                <w:spacing w:val="-12"/>
                <w:sz w:val="16"/>
              </w:rPr>
              <w:t xml:space="preserve"> </w:t>
            </w:r>
            <w:r w:rsidRPr="00EB2BD8">
              <w:rPr>
                <w:sz w:val="16"/>
              </w:rPr>
              <w:t>proven.</w:t>
            </w:r>
            <w:r w:rsidRPr="00EB2BD8">
              <w:rPr>
                <w:spacing w:val="-13"/>
                <w:sz w:val="16"/>
              </w:rPr>
              <w:t xml:space="preserve"> </w:t>
            </w:r>
            <w:r w:rsidRPr="00EB2BD8">
              <w:rPr>
                <w:sz w:val="16"/>
              </w:rPr>
              <w:t>Penalty</w:t>
            </w:r>
            <w:r w:rsidRPr="00EB2BD8">
              <w:rPr>
                <w:spacing w:val="-12"/>
                <w:sz w:val="16"/>
              </w:rPr>
              <w:t xml:space="preserve"> </w:t>
            </w:r>
            <w:r w:rsidRPr="00EB2BD8">
              <w:rPr>
                <w:spacing w:val="-5"/>
                <w:sz w:val="16"/>
              </w:rPr>
              <w:t>of</w:t>
            </w:r>
          </w:p>
        </w:tc>
        <w:tc>
          <w:tcPr>
            <w:tcW w:w="1080" w:type="dxa"/>
            <w:tcBorders>
              <w:top w:val="single" w:sz="2" w:space="0" w:color="000000"/>
            </w:tcBorders>
          </w:tcPr>
          <w:p w14:paraId="45537903" w14:textId="77777777" w:rsidR="00084F36" w:rsidRPr="00EB2BD8" w:rsidRDefault="00EB2BD8">
            <w:pPr>
              <w:pStyle w:val="TableParagraph"/>
              <w:spacing w:before="114"/>
              <w:ind w:right="112"/>
              <w:jc w:val="right"/>
              <w:rPr>
                <w:sz w:val="16"/>
              </w:rPr>
            </w:pPr>
            <w:r w:rsidRPr="00EB2BD8">
              <w:rPr>
                <w:spacing w:val="-2"/>
                <w:w w:val="95"/>
                <w:sz w:val="16"/>
              </w:rPr>
              <w:t>$4,352</w:t>
            </w:r>
          </w:p>
        </w:tc>
        <w:tc>
          <w:tcPr>
            <w:tcW w:w="1176" w:type="dxa"/>
            <w:tcBorders>
              <w:top w:val="single" w:sz="2" w:space="0" w:color="000000"/>
            </w:tcBorders>
          </w:tcPr>
          <w:p w14:paraId="2E563BC9" w14:textId="77777777" w:rsidR="00084F36" w:rsidRPr="00EB2BD8" w:rsidRDefault="00EB2BD8">
            <w:pPr>
              <w:pStyle w:val="TableParagraph"/>
              <w:spacing w:before="114"/>
              <w:ind w:left="113"/>
              <w:rPr>
                <w:sz w:val="16"/>
              </w:rPr>
            </w:pPr>
            <w:r w:rsidRPr="00EB2BD8">
              <w:rPr>
                <w:spacing w:val="-2"/>
                <w:w w:val="90"/>
                <w:sz w:val="16"/>
              </w:rPr>
              <w:t>19/07/2022</w:t>
            </w:r>
          </w:p>
        </w:tc>
      </w:tr>
      <w:tr w:rsidR="00EB2BD8" w:rsidRPr="00EB2BD8" w14:paraId="4F56A43C" w14:textId="77777777">
        <w:trPr>
          <w:trHeight w:val="287"/>
        </w:trPr>
        <w:tc>
          <w:tcPr>
            <w:tcW w:w="1736" w:type="dxa"/>
            <w:tcBorders>
              <w:bottom w:val="single" w:sz="2" w:space="0" w:color="000000"/>
            </w:tcBorders>
          </w:tcPr>
          <w:p w14:paraId="6A3F1BB4" w14:textId="77777777" w:rsidR="00084F36" w:rsidRPr="00EB2BD8" w:rsidRDefault="00084F36">
            <w:pPr>
              <w:pStyle w:val="TableParagraph"/>
              <w:rPr>
                <w:rFonts w:ascii="Times New Roman"/>
                <w:sz w:val="14"/>
              </w:rPr>
            </w:pPr>
          </w:p>
        </w:tc>
        <w:tc>
          <w:tcPr>
            <w:tcW w:w="3139" w:type="dxa"/>
            <w:tcBorders>
              <w:bottom w:val="single" w:sz="2" w:space="0" w:color="000000"/>
            </w:tcBorders>
          </w:tcPr>
          <w:p w14:paraId="1216C4A0" w14:textId="77777777" w:rsidR="00084F36" w:rsidRPr="00EB2BD8" w:rsidRDefault="00EB2BD8">
            <w:pPr>
              <w:pStyle w:val="TableParagraph"/>
              <w:spacing w:before="19"/>
              <w:ind w:left="133"/>
              <w:rPr>
                <w:sz w:val="16"/>
              </w:rPr>
            </w:pPr>
            <w:r w:rsidRPr="00EB2BD8">
              <w:rPr>
                <w:sz w:val="16"/>
              </w:rPr>
              <w:t>three</w:t>
            </w:r>
            <w:r w:rsidRPr="00EB2BD8">
              <w:rPr>
                <w:spacing w:val="-11"/>
                <w:sz w:val="16"/>
              </w:rPr>
              <w:t xml:space="preserve"> </w:t>
            </w:r>
            <w:r w:rsidRPr="00EB2BD8">
              <w:rPr>
                <w:sz w:val="16"/>
              </w:rPr>
              <w:t>rectification</w:t>
            </w:r>
            <w:r w:rsidRPr="00EB2BD8">
              <w:rPr>
                <w:spacing w:val="-11"/>
                <w:sz w:val="16"/>
              </w:rPr>
              <w:t xml:space="preserve"> </w:t>
            </w:r>
            <w:r w:rsidRPr="00EB2BD8">
              <w:rPr>
                <w:spacing w:val="-2"/>
                <w:sz w:val="16"/>
              </w:rPr>
              <w:t>notices.</w:t>
            </w:r>
          </w:p>
        </w:tc>
        <w:tc>
          <w:tcPr>
            <w:tcW w:w="3077" w:type="dxa"/>
            <w:tcBorders>
              <w:bottom w:val="single" w:sz="2" w:space="0" w:color="000000"/>
            </w:tcBorders>
          </w:tcPr>
          <w:p w14:paraId="0E81E7C0" w14:textId="77777777" w:rsidR="00084F36" w:rsidRPr="00EB2BD8" w:rsidRDefault="00EB2BD8">
            <w:pPr>
              <w:pStyle w:val="TableParagraph"/>
              <w:spacing w:before="19"/>
              <w:ind w:left="113"/>
              <w:rPr>
                <w:sz w:val="16"/>
              </w:rPr>
            </w:pPr>
            <w:r w:rsidRPr="00EB2BD8">
              <w:rPr>
                <w:w w:val="90"/>
                <w:sz w:val="16"/>
              </w:rPr>
              <w:t>$4,353</w:t>
            </w:r>
            <w:r w:rsidRPr="00EB2BD8">
              <w:rPr>
                <w:spacing w:val="-5"/>
                <w:sz w:val="16"/>
              </w:rPr>
              <w:t xml:space="preserve"> </w:t>
            </w:r>
            <w:r w:rsidRPr="00EB2BD8">
              <w:rPr>
                <w:w w:val="90"/>
                <w:sz w:val="16"/>
              </w:rPr>
              <w:t>plus</w:t>
            </w:r>
            <w:r w:rsidRPr="00EB2BD8">
              <w:rPr>
                <w:spacing w:val="-4"/>
                <w:sz w:val="16"/>
              </w:rPr>
              <w:t xml:space="preserve"> </w:t>
            </w:r>
            <w:r w:rsidRPr="00EB2BD8">
              <w:rPr>
                <w:w w:val="90"/>
                <w:sz w:val="16"/>
              </w:rPr>
              <w:t>of</w:t>
            </w:r>
            <w:r w:rsidRPr="00EB2BD8">
              <w:rPr>
                <w:spacing w:val="-4"/>
                <w:sz w:val="16"/>
              </w:rPr>
              <w:t xml:space="preserve"> </w:t>
            </w:r>
            <w:r w:rsidRPr="00EB2BD8">
              <w:rPr>
                <w:spacing w:val="-2"/>
                <w:w w:val="90"/>
                <w:sz w:val="16"/>
              </w:rPr>
              <w:t>$1,607</w:t>
            </w:r>
          </w:p>
        </w:tc>
        <w:tc>
          <w:tcPr>
            <w:tcW w:w="1080" w:type="dxa"/>
            <w:tcBorders>
              <w:bottom w:val="single" w:sz="2" w:space="0" w:color="000000"/>
            </w:tcBorders>
          </w:tcPr>
          <w:p w14:paraId="28A45804"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43D14BD3" w14:textId="77777777" w:rsidR="00084F36" w:rsidRPr="00EB2BD8" w:rsidRDefault="00084F36">
            <w:pPr>
              <w:pStyle w:val="TableParagraph"/>
              <w:rPr>
                <w:rFonts w:ascii="Times New Roman"/>
                <w:sz w:val="14"/>
              </w:rPr>
            </w:pPr>
          </w:p>
        </w:tc>
      </w:tr>
      <w:tr w:rsidR="00EB2BD8" w:rsidRPr="00EB2BD8" w14:paraId="0D082B99" w14:textId="77777777">
        <w:trPr>
          <w:trHeight w:val="324"/>
        </w:trPr>
        <w:tc>
          <w:tcPr>
            <w:tcW w:w="1736" w:type="dxa"/>
            <w:tcBorders>
              <w:top w:val="single" w:sz="2" w:space="0" w:color="000000"/>
            </w:tcBorders>
          </w:tcPr>
          <w:p w14:paraId="49E76FAF" w14:textId="77777777" w:rsidR="00084F36" w:rsidRPr="00EB2BD8" w:rsidRDefault="00EB2BD8">
            <w:pPr>
              <w:pStyle w:val="TableParagraph"/>
              <w:spacing w:before="114"/>
              <w:ind w:left="112"/>
              <w:rPr>
                <w:sz w:val="16"/>
              </w:rPr>
            </w:pPr>
            <w:r w:rsidRPr="00EB2BD8">
              <w:rPr>
                <w:sz w:val="16"/>
              </w:rPr>
              <w:t>JAKUPI,</w:t>
            </w:r>
            <w:r w:rsidRPr="00EB2BD8">
              <w:rPr>
                <w:spacing w:val="-2"/>
                <w:w w:val="110"/>
                <w:sz w:val="16"/>
              </w:rPr>
              <w:t xml:space="preserve"> Shaban</w:t>
            </w:r>
          </w:p>
        </w:tc>
        <w:tc>
          <w:tcPr>
            <w:tcW w:w="3139" w:type="dxa"/>
            <w:tcBorders>
              <w:top w:val="single" w:sz="2" w:space="0" w:color="000000"/>
            </w:tcBorders>
          </w:tcPr>
          <w:p w14:paraId="4EB456E7" w14:textId="77777777" w:rsidR="00084F36" w:rsidRPr="00EB2BD8" w:rsidRDefault="00EB2BD8">
            <w:pPr>
              <w:pStyle w:val="TableParagraph"/>
              <w:spacing w:before="114"/>
              <w:ind w:left="133"/>
              <w:rPr>
                <w:sz w:val="16"/>
              </w:rPr>
            </w:pPr>
            <w:r w:rsidRPr="00EB2BD8">
              <w:rPr>
                <w:sz w:val="16"/>
              </w:rPr>
              <w:t>Practitioner</w:t>
            </w:r>
            <w:r w:rsidRPr="00EB2BD8">
              <w:rPr>
                <w:spacing w:val="-8"/>
                <w:sz w:val="16"/>
              </w:rPr>
              <w:t xml:space="preserve"> </w:t>
            </w:r>
            <w:r w:rsidRPr="00EB2BD8">
              <w:rPr>
                <w:sz w:val="16"/>
              </w:rPr>
              <w:t>provided</w:t>
            </w:r>
            <w:r w:rsidRPr="00EB2BD8">
              <w:rPr>
                <w:spacing w:val="-7"/>
                <w:sz w:val="16"/>
              </w:rPr>
              <w:t xml:space="preserve"> </w:t>
            </w:r>
            <w:r w:rsidRPr="00EB2BD8">
              <w:rPr>
                <w:spacing w:val="-2"/>
                <w:sz w:val="16"/>
              </w:rPr>
              <w:t>signed</w:t>
            </w:r>
          </w:p>
        </w:tc>
        <w:tc>
          <w:tcPr>
            <w:tcW w:w="3077" w:type="dxa"/>
            <w:tcBorders>
              <w:top w:val="single" w:sz="2" w:space="0" w:color="000000"/>
            </w:tcBorders>
          </w:tcPr>
          <w:p w14:paraId="7776BCF2" w14:textId="77777777" w:rsidR="00084F36" w:rsidRPr="00EB2BD8" w:rsidRDefault="00EB2BD8">
            <w:pPr>
              <w:pStyle w:val="TableParagraph"/>
              <w:spacing w:before="114"/>
              <w:ind w:left="112"/>
              <w:rPr>
                <w:sz w:val="16"/>
              </w:rPr>
            </w:pPr>
            <w:r w:rsidRPr="00EB2BD8">
              <w:rPr>
                <w:spacing w:val="-2"/>
                <w:sz w:val="16"/>
              </w:rPr>
              <w:t>Two</w:t>
            </w:r>
            <w:r w:rsidRPr="00EB2BD8">
              <w:rPr>
                <w:spacing w:val="-7"/>
                <w:sz w:val="16"/>
              </w:rPr>
              <w:t xml:space="preserve"> </w:t>
            </w:r>
            <w:r w:rsidRPr="00EB2BD8">
              <w:rPr>
                <w:spacing w:val="-2"/>
                <w:sz w:val="16"/>
              </w:rPr>
              <w:t>grounds</w:t>
            </w:r>
            <w:r w:rsidRPr="00EB2BD8">
              <w:rPr>
                <w:spacing w:val="-6"/>
                <w:sz w:val="16"/>
              </w:rPr>
              <w:t xml:space="preserve"> </w:t>
            </w:r>
            <w:r w:rsidRPr="00EB2BD8">
              <w:rPr>
                <w:spacing w:val="-2"/>
                <w:sz w:val="16"/>
              </w:rPr>
              <w:t>proven.</w:t>
            </w:r>
            <w:r w:rsidRPr="00EB2BD8">
              <w:rPr>
                <w:spacing w:val="-6"/>
                <w:sz w:val="16"/>
              </w:rPr>
              <w:t xml:space="preserve"> </w:t>
            </w:r>
            <w:r w:rsidRPr="00EB2BD8">
              <w:rPr>
                <w:spacing w:val="-2"/>
                <w:sz w:val="16"/>
              </w:rPr>
              <w:t>Penalty</w:t>
            </w:r>
            <w:r w:rsidRPr="00EB2BD8">
              <w:rPr>
                <w:spacing w:val="-6"/>
                <w:sz w:val="16"/>
              </w:rPr>
              <w:t xml:space="preserve"> </w:t>
            </w:r>
            <w:r w:rsidRPr="00EB2BD8">
              <w:rPr>
                <w:spacing w:val="-5"/>
                <w:sz w:val="16"/>
              </w:rPr>
              <w:t>of</w:t>
            </w:r>
          </w:p>
        </w:tc>
        <w:tc>
          <w:tcPr>
            <w:tcW w:w="1080" w:type="dxa"/>
            <w:tcBorders>
              <w:top w:val="single" w:sz="2" w:space="0" w:color="000000"/>
            </w:tcBorders>
          </w:tcPr>
          <w:p w14:paraId="213B98BC" w14:textId="77777777" w:rsidR="00084F36" w:rsidRPr="00EB2BD8" w:rsidRDefault="00EB2BD8">
            <w:pPr>
              <w:pStyle w:val="TableParagraph"/>
              <w:spacing w:before="114"/>
              <w:ind w:right="112"/>
              <w:jc w:val="right"/>
              <w:rPr>
                <w:sz w:val="16"/>
              </w:rPr>
            </w:pPr>
            <w:r w:rsidRPr="00EB2BD8">
              <w:rPr>
                <w:spacing w:val="-2"/>
                <w:sz w:val="16"/>
              </w:rPr>
              <w:t>$4,353</w:t>
            </w:r>
          </w:p>
        </w:tc>
        <w:tc>
          <w:tcPr>
            <w:tcW w:w="1176" w:type="dxa"/>
            <w:tcBorders>
              <w:top w:val="single" w:sz="2" w:space="0" w:color="000000"/>
            </w:tcBorders>
          </w:tcPr>
          <w:p w14:paraId="065F31DA" w14:textId="77777777" w:rsidR="00084F36" w:rsidRPr="00EB2BD8" w:rsidRDefault="00EB2BD8">
            <w:pPr>
              <w:pStyle w:val="TableParagraph"/>
              <w:spacing w:before="114"/>
              <w:ind w:left="113"/>
              <w:rPr>
                <w:sz w:val="16"/>
              </w:rPr>
            </w:pPr>
            <w:r w:rsidRPr="00EB2BD8">
              <w:rPr>
                <w:spacing w:val="-2"/>
                <w:w w:val="95"/>
                <w:sz w:val="16"/>
              </w:rPr>
              <w:t>10/08/2022</w:t>
            </w:r>
          </w:p>
        </w:tc>
      </w:tr>
      <w:tr w:rsidR="00EB2BD8" w:rsidRPr="00EB2BD8" w14:paraId="5A624BF6" w14:textId="77777777">
        <w:trPr>
          <w:trHeight w:val="229"/>
        </w:trPr>
        <w:tc>
          <w:tcPr>
            <w:tcW w:w="1736" w:type="dxa"/>
          </w:tcPr>
          <w:p w14:paraId="0D7D574A" w14:textId="77777777" w:rsidR="00084F36" w:rsidRPr="00EB2BD8" w:rsidRDefault="00084F36">
            <w:pPr>
              <w:pStyle w:val="TableParagraph"/>
              <w:rPr>
                <w:rFonts w:ascii="Times New Roman"/>
                <w:sz w:val="14"/>
              </w:rPr>
            </w:pPr>
          </w:p>
        </w:tc>
        <w:tc>
          <w:tcPr>
            <w:tcW w:w="3139" w:type="dxa"/>
          </w:tcPr>
          <w:p w14:paraId="1C8A6908" w14:textId="77777777" w:rsidR="00084F36" w:rsidRPr="00EB2BD8" w:rsidRDefault="00EB2BD8">
            <w:pPr>
              <w:pStyle w:val="TableParagraph"/>
              <w:spacing w:before="19"/>
              <w:ind w:left="133"/>
              <w:rPr>
                <w:sz w:val="16"/>
              </w:rPr>
            </w:pPr>
            <w:r w:rsidRPr="00EB2BD8">
              <w:rPr>
                <w:sz w:val="16"/>
              </w:rPr>
              <w:t>compliance</w:t>
            </w:r>
            <w:r w:rsidRPr="00EB2BD8">
              <w:rPr>
                <w:spacing w:val="2"/>
                <w:sz w:val="16"/>
              </w:rPr>
              <w:t xml:space="preserve"> </w:t>
            </w:r>
            <w:r w:rsidRPr="00EB2BD8">
              <w:rPr>
                <w:sz w:val="16"/>
              </w:rPr>
              <w:t>certificates</w:t>
            </w:r>
            <w:r w:rsidRPr="00EB2BD8">
              <w:rPr>
                <w:spacing w:val="2"/>
                <w:sz w:val="16"/>
              </w:rPr>
              <w:t xml:space="preserve"> </w:t>
            </w:r>
            <w:r w:rsidRPr="00EB2BD8">
              <w:rPr>
                <w:spacing w:val="-4"/>
                <w:sz w:val="16"/>
              </w:rPr>
              <w:t>with</w:t>
            </w:r>
          </w:p>
        </w:tc>
        <w:tc>
          <w:tcPr>
            <w:tcW w:w="3077" w:type="dxa"/>
          </w:tcPr>
          <w:p w14:paraId="04EC25C3" w14:textId="77777777" w:rsidR="00084F36" w:rsidRPr="00EB2BD8" w:rsidRDefault="00EB2BD8">
            <w:pPr>
              <w:pStyle w:val="TableParagraph"/>
              <w:spacing w:before="19"/>
              <w:ind w:left="112"/>
              <w:rPr>
                <w:sz w:val="16"/>
              </w:rPr>
            </w:pPr>
            <w:r w:rsidRPr="00EB2BD8">
              <w:rPr>
                <w:spacing w:val="-6"/>
                <w:sz w:val="16"/>
              </w:rPr>
              <w:t>$4,353</w:t>
            </w:r>
            <w:r w:rsidRPr="00EB2BD8">
              <w:rPr>
                <w:spacing w:val="-7"/>
                <w:sz w:val="16"/>
              </w:rPr>
              <w:t xml:space="preserve"> </w:t>
            </w:r>
            <w:r w:rsidRPr="00EB2BD8">
              <w:rPr>
                <w:spacing w:val="-6"/>
                <w:sz w:val="16"/>
              </w:rPr>
              <w:t>plus</w:t>
            </w:r>
            <w:r w:rsidRPr="00EB2BD8">
              <w:rPr>
                <w:spacing w:val="-7"/>
                <w:sz w:val="16"/>
              </w:rPr>
              <w:t xml:space="preserve"> </w:t>
            </w:r>
            <w:r w:rsidRPr="00EB2BD8">
              <w:rPr>
                <w:spacing w:val="-6"/>
                <w:sz w:val="16"/>
              </w:rPr>
              <w:t>costs</w:t>
            </w:r>
            <w:r w:rsidRPr="00EB2BD8">
              <w:rPr>
                <w:spacing w:val="-7"/>
                <w:sz w:val="16"/>
              </w:rPr>
              <w:t xml:space="preserve"> </w:t>
            </w:r>
            <w:r w:rsidRPr="00EB2BD8">
              <w:rPr>
                <w:spacing w:val="-6"/>
                <w:sz w:val="16"/>
              </w:rPr>
              <w:t>of $1,607</w:t>
            </w:r>
          </w:p>
        </w:tc>
        <w:tc>
          <w:tcPr>
            <w:tcW w:w="1080" w:type="dxa"/>
          </w:tcPr>
          <w:p w14:paraId="727152BF" w14:textId="77777777" w:rsidR="00084F36" w:rsidRPr="00EB2BD8" w:rsidRDefault="00084F36">
            <w:pPr>
              <w:pStyle w:val="TableParagraph"/>
              <w:rPr>
                <w:rFonts w:ascii="Times New Roman"/>
                <w:sz w:val="14"/>
              </w:rPr>
            </w:pPr>
          </w:p>
        </w:tc>
        <w:tc>
          <w:tcPr>
            <w:tcW w:w="1176" w:type="dxa"/>
          </w:tcPr>
          <w:p w14:paraId="00807056" w14:textId="77777777" w:rsidR="00084F36" w:rsidRPr="00EB2BD8" w:rsidRDefault="00084F36">
            <w:pPr>
              <w:pStyle w:val="TableParagraph"/>
              <w:rPr>
                <w:rFonts w:ascii="Times New Roman"/>
                <w:sz w:val="14"/>
              </w:rPr>
            </w:pPr>
          </w:p>
        </w:tc>
      </w:tr>
      <w:tr w:rsidR="00EB2BD8" w:rsidRPr="00EB2BD8" w14:paraId="5446B27B" w14:textId="77777777">
        <w:trPr>
          <w:trHeight w:val="287"/>
        </w:trPr>
        <w:tc>
          <w:tcPr>
            <w:tcW w:w="1736" w:type="dxa"/>
            <w:tcBorders>
              <w:bottom w:val="single" w:sz="2" w:space="0" w:color="000000"/>
            </w:tcBorders>
          </w:tcPr>
          <w:p w14:paraId="08090978" w14:textId="77777777" w:rsidR="00084F36" w:rsidRPr="00EB2BD8" w:rsidRDefault="00084F36">
            <w:pPr>
              <w:pStyle w:val="TableParagraph"/>
              <w:rPr>
                <w:rFonts w:ascii="Times New Roman"/>
                <w:sz w:val="14"/>
              </w:rPr>
            </w:pPr>
          </w:p>
        </w:tc>
        <w:tc>
          <w:tcPr>
            <w:tcW w:w="3139" w:type="dxa"/>
            <w:tcBorders>
              <w:bottom w:val="single" w:sz="2" w:space="0" w:color="000000"/>
            </w:tcBorders>
          </w:tcPr>
          <w:p w14:paraId="5DBCEB27" w14:textId="77777777" w:rsidR="00084F36" w:rsidRPr="00EB2BD8" w:rsidRDefault="00EB2BD8">
            <w:pPr>
              <w:pStyle w:val="TableParagraph"/>
              <w:spacing w:before="19"/>
              <w:ind w:left="133"/>
              <w:rPr>
                <w:sz w:val="16"/>
              </w:rPr>
            </w:pPr>
            <w:r w:rsidRPr="00EB2BD8">
              <w:rPr>
                <w:spacing w:val="-2"/>
                <w:sz w:val="16"/>
              </w:rPr>
              <w:t>misstatements of</w:t>
            </w:r>
            <w:r w:rsidRPr="00EB2BD8">
              <w:rPr>
                <w:spacing w:val="-1"/>
                <w:sz w:val="16"/>
              </w:rPr>
              <w:t xml:space="preserve"> </w:t>
            </w:r>
            <w:r w:rsidRPr="00EB2BD8">
              <w:rPr>
                <w:spacing w:val="-4"/>
                <w:sz w:val="16"/>
              </w:rPr>
              <w:t>fact.</w:t>
            </w:r>
          </w:p>
        </w:tc>
        <w:tc>
          <w:tcPr>
            <w:tcW w:w="3077" w:type="dxa"/>
            <w:tcBorders>
              <w:bottom w:val="single" w:sz="2" w:space="0" w:color="000000"/>
            </w:tcBorders>
          </w:tcPr>
          <w:p w14:paraId="3396179A" w14:textId="77777777" w:rsidR="00084F36" w:rsidRPr="00EB2BD8" w:rsidRDefault="00084F36">
            <w:pPr>
              <w:pStyle w:val="TableParagraph"/>
              <w:rPr>
                <w:rFonts w:ascii="Times New Roman"/>
                <w:sz w:val="14"/>
              </w:rPr>
            </w:pPr>
          </w:p>
        </w:tc>
        <w:tc>
          <w:tcPr>
            <w:tcW w:w="1080" w:type="dxa"/>
            <w:tcBorders>
              <w:bottom w:val="single" w:sz="2" w:space="0" w:color="000000"/>
            </w:tcBorders>
          </w:tcPr>
          <w:p w14:paraId="20144005"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43E8C7D3" w14:textId="77777777" w:rsidR="00084F36" w:rsidRPr="00EB2BD8" w:rsidRDefault="00084F36">
            <w:pPr>
              <w:pStyle w:val="TableParagraph"/>
              <w:rPr>
                <w:rFonts w:ascii="Times New Roman"/>
                <w:sz w:val="14"/>
              </w:rPr>
            </w:pPr>
          </w:p>
        </w:tc>
      </w:tr>
      <w:tr w:rsidR="00EB2BD8" w:rsidRPr="00EB2BD8" w14:paraId="3AA21C7D" w14:textId="77777777">
        <w:trPr>
          <w:trHeight w:val="323"/>
        </w:trPr>
        <w:tc>
          <w:tcPr>
            <w:tcW w:w="1736" w:type="dxa"/>
            <w:tcBorders>
              <w:top w:val="single" w:sz="2" w:space="0" w:color="000000"/>
            </w:tcBorders>
          </w:tcPr>
          <w:p w14:paraId="373A07CE" w14:textId="77777777" w:rsidR="00084F36" w:rsidRPr="00EB2BD8" w:rsidRDefault="00EB2BD8">
            <w:pPr>
              <w:pStyle w:val="TableParagraph"/>
              <w:spacing w:before="114"/>
              <w:ind w:left="112"/>
              <w:rPr>
                <w:sz w:val="16"/>
              </w:rPr>
            </w:pPr>
            <w:r w:rsidRPr="00EB2BD8">
              <w:rPr>
                <w:spacing w:val="-2"/>
                <w:w w:val="105"/>
                <w:sz w:val="16"/>
              </w:rPr>
              <w:t>JENKIN,</w:t>
            </w:r>
            <w:r w:rsidRPr="00EB2BD8">
              <w:rPr>
                <w:spacing w:val="-1"/>
                <w:w w:val="105"/>
                <w:sz w:val="16"/>
              </w:rPr>
              <w:t xml:space="preserve"> </w:t>
            </w:r>
            <w:r w:rsidRPr="00EB2BD8">
              <w:rPr>
                <w:spacing w:val="-2"/>
                <w:w w:val="105"/>
                <w:sz w:val="16"/>
              </w:rPr>
              <w:t>Darran</w:t>
            </w:r>
          </w:p>
        </w:tc>
        <w:tc>
          <w:tcPr>
            <w:tcW w:w="3139" w:type="dxa"/>
            <w:tcBorders>
              <w:top w:val="single" w:sz="2" w:space="0" w:color="000000"/>
            </w:tcBorders>
          </w:tcPr>
          <w:p w14:paraId="484A2B9F" w14:textId="77777777" w:rsidR="00084F36" w:rsidRPr="00EB2BD8" w:rsidRDefault="00EB2BD8">
            <w:pPr>
              <w:pStyle w:val="TableParagraph"/>
              <w:spacing w:before="114"/>
              <w:ind w:left="133"/>
              <w:rPr>
                <w:sz w:val="16"/>
              </w:rPr>
            </w:pPr>
            <w:r w:rsidRPr="00EB2BD8">
              <w:rPr>
                <w:sz w:val="16"/>
              </w:rPr>
              <w:t>Carried out</w:t>
            </w:r>
            <w:r w:rsidRPr="00EB2BD8">
              <w:rPr>
                <w:spacing w:val="1"/>
                <w:sz w:val="16"/>
              </w:rPr>
              <w:t xml:space="preserve"> </w:t>
            </w:r>
            <w:r w:rsidRPr="00EB2BD8">
              <w:rPr>
                <w:sz w:val="16"/>
              </w:rPr>
              <w:t>non-compliant</w:t>
            </w:r>
            <w:r w:rsidRPr="00EB2BD8">
              <w:rPr>
                <w:spacing w:val="1"/>
                <w:sz w:val="16"/>
              </w:rPr>
              <w:t xml:space="preserve"> </w:t>
            </w:r>
            <w:r w:rsidRPr="00EB2BD8">
              <w:rPr>
                <w:spacing w:val="-2"/>
                <w:sz w:val="16"/>
              </w:rPr>
              <w:t>plumbing</w:t>
            </w:r>
          </w:p>
        </w:tc>
        <w:tc>
          <w:tcPr>
            <w:tcW w:w="3077" w:type="dxa"/>
            <w:tcBorders>
              <w:top w:val="single" w:sz="2" w:space="0" w:color="000000"/>
            </w:tcBorders>
          </w:tcPr>
          <w:p w14:paraId="60785F08" w14:textId="77777777" w:rsidR="00084F36" w:rsidRPr="00EB2BD8" w:rsidRDefault="00EB2BD8">
            <w:pPr>
              <w:pStyle w:val="TableParagraph"/>
              <w:spacing w:before="113"/>
              <w:ind w:left="112"/>
              <w:rPr>
                <w:sz w:val="16"/>
              </w:rPr>
            </w:pPr>
            <w:r w:rsidRPr="00EB2BD8">
              <w:rPr>
                <w:spacing w:val="-2"/>
                <w:sz w:val="16"/>
              </w:rPr>
              <w:t>Four</w:t>
            </w:r>
            <w:r w:rsidRPr="00EB2BD8">
              <w:rPr>
                <w:spacing w:val="-3"/>
                <w:sz w:val="16"/>
              </w:rPr>
              <w:t xml:space="preserve"> </w:t>
            </w:r>
            <w:r w:rsidRPr="00EB2BD8">
              <w:rPr>
                <w:spacing w:val="-2"/>
                <w:sz w:val="16"/>
              </w:rPr>
              <w:t>grounds proven. Penalty</w:t>
            </w:r>
            <w:r w:rsidRPr="00EB2BD8">
              <w:rPr>
                <w:spacing w:val="-3"/>
                <w:sz w:val="16"/>
              </w:rPr>
              <w:t xml:space="preserve"> </w:t>
            </w:r>
            <w:r w:rsidRPr="00EB2BD8">
              <w:rPr>
                <w:spacing w:val="-5"/>
                <w:sz w:val="16"/>
              </w:rPr>
              <w:t>of</w:t>
            </w:r>
          </w:p>
        </w:tc>
        <w:tc>
          <w:tcPr>
            <w:tcW w:w="1080" w:type="dxa"/>
            <w:tcBorders>
              <w:top w:val="single" w:sz="2" w:space="0" w:color="000000"/>
            </w:tcBorders>
          </w:tcPr>
          <w:p w14:paraId="04E2A1CF" w14:textId="77777777" w:rsidR="00084F36" w:rsidRPr="00EB2BD8" w:rsidRDefault="00EB2BD8">
            <w:pPr>
              <w:pStyle w:val="TableParagraph"/>
              <w:spacing w:before="113"/>
              <w:ind w:right="112"/>
              <w:jc w:val="right"/>
              <w:rPr>
                <w:sz w:val="16"/>
              </w:rPr>
            </w:pPr>
            <w:r w:rsidRPr="00EB2BD8">
              <w:rPr>
                <w:spacing w:val="-2"/>
                <w:sz w:val="16"/>
              </w:rPr>
              <w:t>$3,698</w:t>
            </w:r>
          </w:p>
        </w:tc>
        <w:tc>
          <w:tcPr>
            <w:tcW w:w="1176" w:type="dxa"/>
            <w:tcBorders>
              <w:top w:val="single" w:sz="2" w:space="0" w:color="000000"/>
            </w:tcBorders>
          </w:tcPr>
          <w:p w14:paraId="056624E5" w14:textId="77777777" w:rsidR="00084F36" w:rsidRPr="00EB2BD8" w:rsidRDefault="00EB2BD8">
            <w:pPr>
              <w:pStyle w:val="TableParagraph"/>
              <w:spacing w:before="113"/>
              <w:ind w:left="113"/>
              <w:rPr>
                <w:sz w:val="16"/>
              </w:rPr>
            </w:pPr>
            <w:r w:rsidRPr="00EB2BD8">
              <w:rPr>
                <w:spacing w:val="-2"/>
                <w:w w:val="95"/>
                <w:sz w:val="16"/>
              </w:rPr>
              <w:t>19/04/2023</w:t>
            </w:r>
          </w:p>
        </w:tc>
      </w:tr>
      <w:tr w:rsidR="00EB2BD8" w:rsidRPr="00EB2BD8" w14:paraId="33ABA8E6" w14:textId="77777777">
        <w:trPr>
          <w:trHeight w:val="230"/>
        </w:trPr>
        <w:tc>
          <w:tcPr>
            <w:tcW w:w="1736" w:type="dxa"/>
          </w:tcPr>
          <w:p w14:paraId="782BC332" w14:textId="77777777" w:rsidR="00084F36" w:rsidRPr="00EB2BD8" w:rsidRDefault="00084F36">
            <w:pPr>
              <w:pStyle w:val="TableParagraph"/>
              <w:rPr>
                <w:rFonts w:ascii="Times New Roman"/>
                <w:sz w:val="14"/>
              </w:rPr>
            </w:pPr>
          </w:p>
        </w:tc>
        <w:tc>
          <w:tcPr>
            <w:tcW w:w="3139" w:type="dxa"/>
          </w:tcPr>
          <w:p w14:paraId="41EC428F" w14:textId="77777777" w:rsidR="00084F36" w:rsidRPr="00EB2BD8" w:rsidRDefault="00EB2BD8">
            <w:pPr>
              <w:pStyle w:val="TableParagraph"/>
              <w:spacing w:before="20"/>
              <w:ind w:left="133"/>
              <w:rPr>
                <w:sz w:val="16"/>
              </w:rPr>
            </w:pPr>
            <w:r w:rsidRPr="00EB2BD8">
              <w:rPr>
                <w:sz w:val="16"/>
              </w:rPr>
              <w:t>work</w:t>
            </w:r>
            <w:r w:rsidRPr="00EB2BD8">
              <w:rPr>
                <w:spacing w:val="-12"/>
                <w:sz w:val="16"/>
              </w:rPr>
              <w:t xml:space="preserve"> </w:t>
            </w:r>
            <w:r w:rsidRPr="00EB2BD8">
              <w:rPr>
                <w:sz w:val="16"/>
              </w:rPr>
              <w:t>relating</w:t>
            </w:r>
            <w:r w:rsidRPr="00EB2BD8">
              <w:rPr>
                <w:spacing w:val="-12"/>
                <w:sz w:val="16"/>
              </w:rPr>
              <w:t xml:space="preserve"> </w:t>
            </w:r>
            <w:r w:rsidRPr="00EB2BD8">
              <w:rPr>
                <w:sz w:val="16"/>
              </w:rPr>
              <w:t>to</w:t>
            </w:r>
            <w:r w:rsidRPr="00EB2BD8">
              <w:rPr>
                <w:spacing w:val="-12"/>
                <w:sz w:val="16"/>
              </w:rPr>
              <w:t xml:space="preserve"> </w:t>
            </w:r>
            <w:r w:rsidRPr="00EB2BD8">
              <w:rPr>
                <w:sz w:val="16"/>
              </w:rPr>
              <w:t>heating</w:t>
            </w:r>
            <w:r w:rsidRPr="00EB2BD8">
              <w:rPr>
                <w:spacing w:val="-12"/>
                <w:sz w:val="16"/>
              </w:rPr>
              <w:t xml:space="preserve"> </w:t>
            </w:r>
            <w:r w:rsidRPr="00EB2BD8">
              <w:rPr>
                <w:sz w:val="16"/>
              </w:rPr>
              <w:t>and</w:t>
            </w:r>
            <w:r w:rsidRPr="00EB2BD8">
              <w:rPr>
                <w:spacing w:val="-12"/>
                <w:sz w:val="16"/>
              </w:rPr>
              <w:t xml:space="preserve"> </w:t>
            </w:r>
            <w:r w:rsidRPr="00EB2BD8">
              <w:rPr>
                <w:spacing w:val="-2"/>
                <w:sz w:val="16"/>
              </w:rPr>
              <w:t>cooling</w:t>
            </w:r>
          </w:p>
        </w:tc>
        <w:tc>
          <w:tcPr>
            <w:tcW w:w="3077" w:type="dxa"/>
          </w:tcPr>
          <w:p w14:paraId="1FC24949" w14:textId="77777777" w:rsidR="00084F36" w:rsidRPr="00EB2BD8" w:rsidRDefault="00EB2BD8">
            <w:pPr>
              <w:pStyle w:val="TableParagraph"/>
              <w:spacing w:before="19"/>
              <w:ind w:left="112"/>
              <w:rPr>
                <w:sz w:val="16"/>
              </w:rPr>
            </w:pPr>
            <w:r w:rsidRPr="00EB2BD8">
              <w:rPr>
                <w:spacing w:val="-6"/>
                <w:sz w:val="16"/>
              </w:rPr>
              <w:t>3,698</w:t>
            </w:r>
            <w:r w:rsidRPr="00EB2BD8">
              <w:rPr>
                <w:spacing w:val="-7"/>
                <w:sz w:val="16"/>
              </w:rPr>
              <w:t xml:space="preserve"> </w:t>
            </w:r>
            <w:r w:rsidRPr="00EB2BD8">
              <w:rPr>
                <w:spacing w:val="-6"/>
                <w:sz w:val="16"/>
              </w:rPr>
              <w:t>plus costs of $1,214.</w:t>
            </w:r>
          </w:p>
        </w:tc>
        <w:tc>
          <w:tcPr>
            <w:tcW w:w="1080" w:type="dxa"/>
          </w:tcPr>
          <w:p w14:paraId="7B82271E" w14:textId="77777777" w:rsidR="00084F36" w:rsidRPr="00EB2BD8" w:rsidRDefault="00084F36">
            <w:pPr>
              <w:pStyle w:val="TableParagraph"/>
              <w:rPr>
                <w:rFonts w:ascii="Times New Roman"/>
                <w:sz w:val="14"/>
              </w:rPr>
            </w:pPr>
          </w:p>
        </w:tc>
        <w:tc>
          <w:tcPr>
            <w:tcW w:w="1176" w:type="dxa"/>
          </w:tcPr>
          <w:p w14:paraId="4B23B38B" w14:textId="77777777" w:rsidR="00084F36" w:rsidRPr="00EB2BD8" w:rsidRDefault="00084F36">
            <w:pPr>
              <w:pStyle w:val="TableParagraph"/>
              <w:rPr>
                <w:rFonts w:ascii="Times New Roman"/>
                <w:sz w:val="14"/>
              </w:rPr>
            </w:pPr>
          </w:p>
        </w:tc>
      </w:tr>
      <w:tr w:rsidR="00EB2BD8" w:rsidRPr="00EB2BD8" w14:paraId="29270401" w14:textId="77777777">
        <w:trPr>
          <w:trHeight w:val="229"/>
        </w:trPr>
        <w:tc>
          <w:tcPr>
            <w:tcW w:w="1736" w:type="dxa"/>
          </w:tcPr>
          <w:p w14:paraId="5B7B4B61" w14:textId="77777777" w:rsidR="00084F36" w:rsidRPr="00EB2BD8" w:rsidRDefault="00084F36">
            <w:pPr>
              <w:pStyle w:val="TableParagraph"/>
              <w:rPr>
                <w:rFonts w:ascii="Times New Roman"/>
                <w:sz w:val="14"/>
              </w:rPr>
            </w:pPr>
          </w:p>
        </w:tc>
        <w:tc>
          <w:tcPr>
            <w:tcW w:w="3139" w:type="dxa"/>
          </w:tcPr>
          <w:p w14:paraId="2407C18D" w14:textId="77777777" w:rsidR="00084F36" w:rsidRPr="00EB2BD8" w:rsidRDefault="00EB2BD8">
            <w:pPr>
              <w:pStyle w:val="TableParagraph"/>
              <w:spacing w:before="19"/>
              <w:ind w:left="133"/>
              <w:rPr>
                <w:sz w:val="16"/>
              </w:rPr>
            </w:pPr>
            <w:r w:rsidRPr="00EB2BD8">
              <w:rPr>
                <w:spacing w:val="-2"/>
                <w:sz w:val="16"/>
              </w:rPr>
              <w:t>unit</w:t>
            </w:r>
            <w:r w:rsidRPr="00EB2BD8">
              <w:rPr>
                <w:spacing w:val="-6"/>
                <w:sz w:val="16"/>
              </w:rPr>
              <w:t xml:space="preserve"> </w:t>
            </w:r>
            <w:r w:rsidRPr="00EB2BD8">
              <w:rPr>
                <w:spacing w:val="-2"/>
                <w:sz w:val="16"/>
              </w:rPr>
              <w:t>installation.</w:t>
            </w:r>
            <w:r w:rsidRPr="00EB2BD8">
              <w:rPr>
                <w:spacing w:val="-5"/>
                <w:sz w:val="16"/>
              </w:rPr>
              <w:t xml:space="preserve"> </w:t>
            </w:r>
            <w:r w:rsidRPr="00EB2BD8">
              <w:rPr>
                <w:spacing w:val="-2"/>
                <w:sz w:val="16"/>
              </w:rPr>
              <w:t>Permitted</w:t>
            </w:r>
            <w:r w:rsidRPr="00EB2BD8">
              <w:rPr>
                <w:spacing w:val="-5"/>
                <w:sz w:val="16"/>
              </w:rPr>
              <w:t xml:space="preserve"> </w:t>
            </w:r>
            <w:r w:rsidRPr="00EB2BD8">
              <w:rPr>
                <w:spacing w:val="-2"/>
                <w:sz w:val="16"/>
              </w:rPr>
              <w:t>another</w:t>
            </w:r>
          </w:p>
        </w:tc>
        <w:tc>
          <w:tcPr>
            <w:tcW w:w="3077" w:type="dxa"/>
          </w:tcPr>
          <w:p w14:paraId="5898F49F" w14:textId="77777777" w:rsidR="00084F36" w:rsidRPr="00EB2BD8" w:rsidRDefault="00084F36">
            <w:pPr>
              <w:pStyle w:val="TableParagraph"/>
              <w:rPr>
                <w:rFonts w:ascii="Times New Roman"/>
                <w:sz w:val="14"/>
              </w:rPr>
            </w:pPr>
          </w:p>
        </w:tc>
        <w:tc>
          <w:tcPr>
            <w:tcW w:w="1080" w:type="dxa"/>
          </w:tcPr>
          <w:p w14:paraId="7EED4CA7" w14:textId="77777777" w:rsidR="00084F36" w:rsidRPr="00EB2BD8" w:rsidRDefault="00084F36">
            <w:pPr>
              <w:pStyle w:val="TableParagraph"/>
              <w:rPr>
                <w:rFonts w:ascii="Times New Roman"/>
                <w:sz w:val="14"/>
              </w:rPr>
            </w:pPr>
          </w:p>
        </w:tc>
        <w:tc>
          <w:tcPr>
            <w:tcW w:w="1176" w:type="dxa"/>
          </w:tcPr>
          <w:p w14:paraId="70A29B26" w14:textId="77777777" w:rsidR="00084F36" w:rsidRPr="00EB2BD8" w:rsidRDefault="00084F36">
            <w:pPr>
              <w:pStyle w:val="TableParagraph"/>
              <w:rPr>
                <w:rFonts w:ascii="Times New Roman"/>
                <w:sz w:val="14"/>
              </w:rPr>
            </w:pPr>
          </w:p>
        </w:tc>
      </w:tr>
      <w:tr w:rsidR="00EB2BD8" w:rsidRPr="00EB2BD8" w14:paraId="716B5449" w14:textId="77777777">
        <w:trPr>
          <w:trHeight w:val="229"/>
        </w:trPr>
        <w:tc>
          <w:tcPr>
            <w:tcW w:w="1736" w:type="dxa"/>
          </w:tcPr>
          <w:p w14:paraId="58D1764D" w14:textId="77777777" w:rsidR="00084F36" w:rsidRPr="00EB2BD8" w:rsidRDefault="00084F36">
            <w:pPr>
              <w:pStyle w:val="TableParagraph"/>
              <w:rPr>
                <w:rFonts w:ascii="Times New Roman"/>
                <w:sz w:val="14"/>
              </w:rPr>
            </w:pPr>
          </w:p>
        </w:tc>
        <w:tc>
          <w:tcPr>
            <w:tcW w:w="3139" w:type="dxa"/>
          </w:tcPr>
          <w:p w14:paraId="76B43CF0" w14:textId="77777777" w:rsidR="00084F36" w:rsidRPr="00EB2BD8" w:rsidRDefault="00EB2BD8">
            <w:pPr>
              <w:pStyle w:val="TableParagraph"/>
              <w:spacing w:before="19"/>
              <w:ind w:left="133"/>
              <w:rPr>
                <w:sz w:val="16"/>
              </w:rPr>
            </w:pPr>
            <w:r w:rsidRPr="00EB2BD8">
              <w:rPr>
                <w:sz w:val="16"/>
              </w:rPr>
              <w:t>person</w:t>
            </w:r>
            <w:r w:rsidRPr="00EB2BD8">
              <w:rPr>
                <w:spacing w:val="-12"/>
                <w:sz w:val="16"/>
              </w:rPr>
              <w:t xml:space="preserve"> </w:t>
            </w:r>
            <w:r w:rsidRPr="00EB2BD8">
              <w:rPr>
                <w:sz w:val="16"/>
              </w:rPr>
              <w:t>to</w:t>
            </w:r>
            <w:r w:rsidRPr="00EB2BD8">
              <w:rPr>
                <w:spacing w:val="-11"/>
                <w:sz w:val="16"/>
              </w:rPr>
              <w:t xml:space="preserve"> </w:t>
            </w:r>
            <w:r w:rsidRPr="00EB2BD8">
              <w:rPr>
                <w:sz w:val="16"/>
              </w:rPr>
              <w:t>carry</w:t>
            </w:r>
            <w:r w:rsidRPr="00EB2BD8">
              <w:rPr>
                <w:spacing w:val="-12"/>
                <w:sz w:val="16"/>
              </w:rPr>
              <w:t xml:space="preserve"> </w:t>
            </w:r>
            <w:r w:rsidRPr="00EB2BD8">
              <w:rPr>
                <w:sz w:val="16"/>
              </w:rPr>
              <w:t>out</w:t>
            </w:r>
            <w:r w:rsidRPr="00EB2BD8">
              <w:rPr>
                <w:spacing w:val="-11"/>
                <w:sz w:val="16"/>
              </w:rPr>
              <w:t xml:space="preserve"> </w:t>
            </w:r>
            <w:r w:rsidRPr="00EB2BD8">
              <w:rPr>
                <w:sz w:val="16"/>
              </w:rPr>
              <w:t>plumbing</w:t>
            </w:r>
            <w:r w:rsidRPr="00EB2BD8">
              <w:rPr>
                <w:spacing w:val="-12"/>
                <w:sz w:val="16"/>
              </w:rPr>
              <w:t xml:space="preserve"> </w:t>
            </w:r>
            <w:r w:rsidRPr="00EB2BD8">
              <w:rPr>
                <w:spacing w:val="-4"/>
                <w:sz w:val="16"/>
              </w:rPr>
              <w:t>work</w:t>
            </w:r>
          </w:p>
        </w:tc>
        <w:tc>
          <w:tcPr>
            <w:tcW w:w="3077" w:type="dxa"/>
          </w:tcPr>
          <w:p w14:paraId="7B92C2A3" w14:textId="77777777" w:rsidR="00084F36" w:rsidRPr="00EB2BD8" w:rsidRDefault="00084F36">
            <w:pPr>
              <w:pStyle w:val="TableParagraph"/>
              <w:rPr>
                <w:rFonts w:ascii="Times New Roman"/>
                <w:sz w:val="14"/>
              </w:rPr>
            </w:pPr>
          </w:p>
        </w:tc>
        <w:tc>
          <w:tcPr>
            <w:tcW w:w="1080" w:type="dxa"/>
          </w:tcPr>
          <w:p w14:paraId="4841E65E" w14:textId="77777777" w:rsidR="00084F36" w:rsidRPr="00EB2BD8" w:rsidRDefault="00084F36">
            <w:pPr>
              <w:pStyle w:val="TableParagraph"/>
              <w:rPr>
                <w:rFonts w:ascii="Times New Roman"/>
                <w:sz w:val="14"/>
              </w:rPr>
            </w:pPr>
          </w:p>
        </w:tc>
        <w:tc>
          <w:tcPr>
            <w:tcW w:w="1176" w:type="dxa"/>
          </w:tcPr>
          <w:p w14:paraId="232F876E" w14:textId="77777777" w:rsidR="00084F36" w:rsidRPr="00EB2BD8" w:rsidRDefault="00084F36">
            <w:pPr>
              <w:pStyle w:val="TableParagraph"/>
              <w:rPr>
                <w:rFonts w:ascii="Times New Roman"/>
                <w:sz w:val="14"/>
              </w:rPr>
            </w:pPr>
          </w:p>
        </w:tc>
      </w:tr>
      <w:tr w:rsidR="00EB2BD8" w:rsidRPr="00EB2BD8" w14:paraId="3D1B5D9F" w14:textId="77777777">
        <w:trPr>
          <w:trHeight w:val="229"/>
        </w:trPr>
        <w:tc>
          <w:tcPr>
            <w:tcW w:w="1736" w:type="dxa"/>
          </w:tcPr>
          <w:p w14:paraId="3D8D5FBE" w14:textId="77777777" w:rsidR="00084F36" w:rsidRPr="00EB2BD8" w:rsidRDefault="00084F36">
            <w:pPr>
              <w:pStyle w:val="TableParagraph"/>
              <w:rPr>
                <w:rFonts w:ascii="Times New Roman"/>
                <w:sz w:val="14"/>
              </w:rPr>
            </w:pPr>
          </w:p>
        </w:tc>
        <w:tc>
          <w:tcPr>
            <w:tcW w:w="3139" w:type="dxa"/>
          </w:tcPr>
          <w:p w14:paraId="739ED32A" w14:textId="77777777" w:rsidR="00084F36" w:rsidRPr="00EB2BD8" w:rsidRDefault="00EB2BD8">
            <w:pPr>
              <w:pStyle w:val="TableParagraph"/>
              <w:spacing w:before="19"/>
              <w:ind w:left="133"/>
              <w:rPr>
                <w:sz w:val="16"/>
              </w:rPr>
            </w:pPr>
            <w:r w:rsidRPr="00EB2BD8">
              <w:rPr>
                <w:sz w:val="16"/>
              </w:rPr>
              <w:t>that</w:t>
            </w:r>
            <w:r w:rsidRPr="00EB2BD8">
              <w:rPr>
                <w:spacing w:val="-4"/>
                <w:sz w:val="16"/>
              </w:rPr>
              <w:t xml:space="preserve"> </w:t>
            </w:r>
            <w:r w:rsidRPr="00EB2BD8">
              <w:rPr>
                <w:sz w:val="16"/>
              </w:rPr>
              <w:t>was</w:t>
            </w:r>
            <w:r w:rsidRPr="00EB2BD8">
              <w:rPr>
                <w:spacing w:val="-4"/>
                <w:sz w:val="16"/>
              </w:rPr>
              <w:t xml:space="preserve"> </w:t>
            </w:r>
            <w:r w:rsidRPr="00EB2BD8">
              <w:rPr>
                <w:sz w:val="16"/>
              </w:rPr>
              <w:t>defective</w:t>
            </w:r>
            <w:r w:rsidRPr="00EB2BD8">
              <w:rPr>
                <w:spacing w:val="-3"/>
                <w:sz w:val="16"/>
              </w:rPr>
              <w:t xml:space="preserve"> </w:t>
            </w:r>
            <w:r w:rsidRPr="00EB2BD8">
              <w:rPr>
                <w:sz w:val="16"/>
              </w:rPr>
              <w:t>and</w:t>
            </w:r>
            <w:r w:rsidRPr="00EB2BD8">
              <w:rPr>
                <w:spacing w:val="-4"/>
                <w:sz w:val="16"/>
              </w:rPr>
              <w:t xml:space="preserve"> </w:t>
            </w:r>
            <w:r w:rsidRPr="00EB2BD8">
              <w:rPr>
                <w:sz w:val="16"/>
              </w:rPr>
              <w:t>did</w:t>
            </w:r>
            <w:r w:rsidRPr="00EB2BD8">
              <w:rPr>
                <w:spacing w:val="-3"/>
                <w:sz w:val="16"/>
              </w:rPr>
              <w:t xml:space="preserve"> </w:t>
            </w:r>
            <w:r w:rsidRPr="00EB2BD8">
              <w:rPr>
                <w:spacing w:val="-5"/>
                <w:sz w:val="16"/>
              </w:rPr>
              <w:t>not</w:t>
            </w:r>
          </w:p>
        </w:tc>
        <w:tc>
          <w:tcPr>
            <w:tcW w:w="3077" w:type="dxa"/>
          </w:tcPr>
          <w:p w14:paraId="2F17D59D" w14:textId="77777777" w:rsidR="00084F36" w:rsidRPr="00EB2BD8" w:rsidRDefault="00084F36">
            <w:pPr>
              <w:pStyle w:val="TableParagraph"/>
              <w:rPr>
                <w:rFonts w:ascii="Times New Roman"/>
                <w:sz w:val="14"/>
              </w:rPr>
            </w:pPr>
          </w:p>
        </w:tc>
        <w:tc>
          <w:tcPr>
            <w:tcW w:w="1080" w:type="dxa"/>
          </w:tcPr>
          <w:p w14:paraId="406ABC7B" w14:textId="77777777" w:rsidR="00084F36" w:rsidRPr="00EB2BD8" w:rsidRDefault="00084F36">
            <w:pPr>
              <w:pStyle w:val="TableParagraph"/>
              <w:rPr>
                <w:rFonts w:ascii="Times New Roman"/>
                <w:sz w:val="14"/>
              </w:rPr>
            </w:pPr>
          </w:p>
        </w:tc>
        <w:tc>
          <w:tcPr>
            <w:tcW w:w="1176" w:type="dxa"/>
          </w:tcPr>
          <w:p w14:paraId="59CD895B" w14:textId="77777777" w:rsidR="00084F36" w:rsidRPr="00EB2BD8" w:rsidRDefault="00084F36">
            <w:pPr>
              <w:pStyle w:val="TableParagraph"/>
              <w:rPr>
                <w:rFonts w:ascii="Times New Roman"/>
                <w:sz w:val="14"/>
              </w:rPr>
            </w:pPr>
          </w:p>
        </w:tc>
      </w:tr>
      <w:tr w:rsidR="00EB2BD8" w:rsidRPr="00EB2BD8" w14:paraId="0E0FE4A4" w14:textId="77777777">
        <w:trPr>
          <w:trHeight w:val="229"/>
        </w:trPr>
        <w:tc>
          <w:tcPr>
            <w:tcW w:w="1736" w:type="dxa"/>
          </w:tcPr>
          <w:p w14:paraId="5DE37660" w14:textId="77777777" w:rsidR="00084F36" w:rsidRPr="00EB2BD8" w:rsidRDefault="00084F36">
            <w:pPr>
              <w:pStyle w:val="TableParagraph"/>
              <w:rPr>
                <w:rFonts w:ascii="Times New Roman"/>
                <w:sz w:val="14"/>
              </w:rPr>
            </w:pPr>
          </w:p>
        </w:tc>
        <w:tc>
          <w:tcPr>
            <w:tcW w:w="3139" w:type="dxa"/>
          </w:tcPr>
          <w:p w14:paraId="7A412400" w14:textId="77777777" w:rsidR="00084F36" w:rsidRPr="00EB2BD8" w:rsidRDefault="00EB2BD8">
            <w:pPr>
              <w:pStyle w:val="TableParagraph"/>
              <w:spacing w:before="19"/>
              <w:ind w:left="133"/>
              <w:rPr>
                <w:sz w:val="16"/>
              </w:rPr>
            </w:pPr>
            <w:r w:rsidRPr="00EB2BD8">
              <w:rPr>
                <w:spacing w:val="-2"/>
                <w:sz w:val="16"/>
              </w:rPr>
              <w:t>comply</w:t>
            </w:r>
            <w:r w:rsidRPr="00EB2BD8">
              <w:rPr>
                <w:spacing w:val="-3"/>
                <w:sz w:val="16"/>
              </w:rPr>
              <w:t xml:space="preserve"> </w:t>
            </w:r>
            <w:r w:rsidRPr="00EB2BD8">
              <w:rPr>
                <w:spacing w:val="-2"/>
                <w:sz w:val="16"/>
              </w:rPr>
              <w:t>with relevant</w:t>
            </w:r>
            <w:r w:rsidRPr="00EB2BD8">
              <w:rPr>
                <w:spacing w:val="-3"/>
                <w:sz w:val="16"/>
              </w:rPr>
              <w:t xml:space="preserve"> </w:t>
            </w:r>
            <w:r w:rsidRPr="00EB2BD8">
              <w:rPr>
                <w:spacing w:val="-2"/>
                <w:sz w:val="16"/>
              </w:rPr>
              <w:t>standards.</w:t>
            </w:r>
          </w:p>
        </w:tc>
        <w:tc>
          <w:tcPr>
            <w:tcW w:w="3077" w:type="dxa"/>
          </w:tcPr>
          <w:p w14:paraId="300F201E" w14:textId="77777777" w:rsidR="00084F36" w:rsidRPr="00EB2BD8" w:rsidRDefault="00084F36">
            <w:pPr>
              <w:pStyle w:val="TableParagraph"/>
              <w:rPr>
                <w:rFonts w:ascii="Times New Roman"/>
                <w:sz w:val="14"/>
              </w:rPr>
            </w:pPr>
          </w:p>
        </w:tc>
        <w:tc>
          <w:tcPr>
            <w:tcW w:w="1080" w:type="dxa"/>
          </w:tcPr>
          <w:p w14:paraId="4F4FEC26" w14:textId="77777777" w:rsidR="00084F36" w:rsidRPr="00EB2BD8" w:rsidRDefault="00084F36">
            <w:pPr>
              <w:pStyle w:val="TableParagraph"/>
              <w:rPr>
                <w:rFonts w:ascii="Times New Roman"/>
                <w:sz w:val="14"/>
              </w:rPr>
            </w:pPr>
          </w:p>
        </w:tc>
        <w:tc>
          <w:tcPr>
            <w:tcW w:w="1176" w:type="dxa"/>
          </w:tcPr>
          <w:p w14:paraId="4823520F" w14:textId="77777777" w:rsidR="00084F36" w:rsidRPr="00EB2BD8" w:rsidRDefault="00084F36">
            <w:pPr>
              <w:pStyle w:val="TableParagraph"/>
              <w:rPr>
                <w:rFonts w:ascii="Times New Roman"/>
                <w:sz w:val="14"/>
              </w:rPr>
            </w:pPr>
          </w:p>
        </w:tc>
      </w:tr>
      <w:tr w:rsidR="00EB2BD8" w:rsidRPr="00EB2BD8" w14:paraId="28F3DD41" w14:textId="77777777">
        <w:trPr>
          <w:trHeight w:val="229"/>
        </w:trPr>
        <w:tc>
          <w:tcPr>
            <w:tcW w:w="1736" w:type="dxa"/>
          </w:tcPr>
          <w:p w14:paraId="12C31D3B" w14:textId="77777777" w:rsidR="00084F36" w:rsidRPr="00EB2BD8" w:rsidRDefault="00084F36">
            <w:pPr>
              <w:pStyle w:val="TableParagraph"/>
              <w:rPr>
                <w:rFonts w:ascii="Times New Roman"/>
                <w:sz w:val="14"/>
              </w:rPr>
            </w:pPr>
          </w:p>
        </w:tc>
        <w:tc>
          <w:tcPr>
            <w:tcW w:w="3139" w:type="dxa"/>
          </w:tcPr>
          <w:p w14:paraId="62451601" w14:textId="77777777" w:rsidR="00084F36" w:rsidRPr="00EB2BD8" w:rsidRDefault="00EB2BD8">
            <w:pPr>
              <w:pStyle w:val="TableParagraph"/>
              <w:spacing w:before="19"/>
              <w:ind w:left="133"/>
              <w:rPr>
                <w:sz w:val="16"/>
              </w:rPr>
            </w:pPr>
            <w:r w:rsidRPr="00EB2BD8">
              <w:rPr>
                <w:sz w:val="16"/>
              </w:rPr>
              <w:t>Signed</w:t>
            </w:r>
            <w:r w:rsidRPr="00EB2BD8">
              <w:rPr>
                <w:spacing w:val="2"/>
                <w:sz w:val="16"/>
              </w:rPr>
              <w:t xml:space="preserve"> </w:t>
            </w:r>
            <w:r w:rsidRPr="00EB2BD8">
              <w:rPr>
                <w:sz w:val="16"/>
              </w:rPr>
              <w:t>a</w:t>
            </w:r>
            <w:r w:rsidRPr="00EB2BD8">
              <w:rPr>
                <w:spacing w:val="2"/>
                <w:sz w:val="16"/>
              </w:rPr>
              <w:t xml:space="preserve"> </w:t>
            </w:r>
            <w:r w:rsidRPr="00EB2BD8">
              <w:rPr>
                <w:sz w:val="16"/>
              </w:rPr>
              <w:t>compliance</w:t>
            </w:r>
            <w:r w:rsidRPr="00EB2BD8">
              <w:rPr>
                <w:spacing w:val="2"/>
                <w:sz w:val="16"/>
              </w:rPr>
              <w:t xml:space="preserve"> </w:t>
            </w:r>
            <w:r w:rsidRPr="00EB2BD8">
              <w:rPr>
                <w:spacing w:val="-2"/>
                <w:sz w:val="16"/>
              </w:rPr>
              <w:t>certificate</w:t>
            </w:r>
          </w:p>
        </w:tc>
        <w:tc>
          <w:tcPr>
            <w:tcW w:w="3077" w:type="dxa"/>
          </w:tcPr>
          <w:p w14:paraId="0F6A1FB3" w14:textId="77777777" w:rsidR="00084F36" w:rsidRPr="00EB2BD8" w:rsidRDefault="00084F36">
            <w:pPr>
              <w:pStyle w:val="TableParagraph"/>
              <w:rPr>
                <w:rFonts w:ascii="Times New Roman"/>
                <w:sz w:val="14"/>
              </w:rPr>
            </w:pPr>
          </w:p>
        </w:tc>
        <w:tc>
          <w:tcPr>
            <w:tcW w:w="1080" w:type="dxa"/>
          </w:tcPr>
          <w:p w14:paraId="754EC8C0" w14:textId="77777777" w:rsidR="00084F36" w:rsidRPr="00EB2BD8" w:rsidRDefault="00084F36">
            <w:pPr>
              <w:pStyle w:val="TableParagraph"/>
              <w:rPr>
                <w:rFonts w:ascii="Times New Roman"/>
                <w:sz w:val="14"/>
              </w:rPr>
            </w:pPr>
          </w:p>
        </w:tc>
        <w:tc>
          <w:tcPr>
            <w:tcW w:w="1176" w:type="dxa"/>
          </w:tcPr>
          <w:p w14:paraId="6A786CD3" w14:textId="77777777" w:rsidR="00084F36" w:rsidRPr="00EB2BD8" w:rsidRDefault="00084F36">
            <w:pPr>
              <w:pStyle w:val="TableParagraph"/>
              <w:rPr>
                <w:rFonts w:ascii="Times New Roman"/>
                <w:sz w:val="14"/>
              </w:rPr>
            </w:pPr>
          </w:p>
        </w:tc>
      </w:tr>
      <w:tr w:rsidR="00EB2BD8" w:rsidRPr="00EB2BD8" w14:paraId="67D45C93" w14:textId="77777777">
        <w:trPr>
          <w:trHeight w:val="229"/>
        </w:trPr>
        <w:tc>
          <w:tcPr>
            <w:tcW w:w="1736" w:type="dxa"/>
          </w:tcPr>
          <w:p w14:paraId="2E7BD118" w14:textId="77777777" w:rsidR="00084F36" w:rsidRPr="00EB2BD8" w:rsidRDefault="00084F36">
            <w:pPr>
              <w:pStyle w:val="TableParagraph"/>
              <w:rPr>
                <w:rFonts w:ascii="Times New Roman"/>
                <w:sz w:val="14"/>
              </w:rPr>
            </w:pPr>
          </w:p>
        </w:tc>
        <w:tc>
          <w:tcPr>
            <w:tcW w:w="3139" w:type="dxa"/>
          </w:tcPr>
          <w:p w14:paraId="5F114E53" w14:textId="77777777" w:rsidR="00084F36" w:rsidRPr="00EB2BD8" w:rsidRDefault="00EB2BD8">
            <w:pPr>
              <w:pStyle w:val="TableParagraph"/>
              <w:spacing w:before="19"/>
              <w:ind w:left="133"/>
              <w:rPr>
                <w:sz w:val="16"/>
              </w:rPr>
            </w:pPr>
            <w:r w:rsidRPr="00EB2BD8">
              <w:rPr>
                <w:sz w:val="16"/>
              </w:rPr>
              <w:t>which</w:t>
            </w:r>
            <w:r w:rsidRPr="00EB2BD8">
              <w:rPr>
                <w:spacing w:val="-9"/>
                <w:sz w:val="16"/>
              </w:rPr>
              <w:t xml:space="preserve"> </w:t>
            </w:r>
            <w:r w:rsidRPr="00EB2BD8">
              <w:rPr>
                <w:sz w:val="16"/>
              </w:rPr>
              <w:t>contained</w:t>
            </w:r>
            <w:r w:rsidRPr="00EB2BD8">
              <w:rPr>
                <w:spacing w:val="-7"/>
                <w:sz w:val="16"/>
              </w:rPr>
              <w:t xml:space="preserve"> </w:t>
            </w:r>
            <w:r w:rsidRPr="00EB2BD8">
              <w:rPr>
                <w:sz w:val="16"/>
              </w:rPr>
              <w:t>a</w:t>
            </w:r>
            <w:r w:rsidRPr="00EB2BD8">
              <w:rPr>
                <w:spacing w:val="-7"/>
                <w:sz w:val="16"/>
              </w:rPr>
              <w:t xml:space="preserve"> </w:t>
            </w:r>
            <w:r w:rsidRPr="00EB2BD8">
              <w:rPr>
                <w:sz w:val="16"/>
              </w:rPr>
              <w:t>misstatement</w:t>
            </w:r>
            <w:r w:rsidRPr="00EB2BD8">
              <w:rPr>
                <w:spacing w:val="-7"/>
                <w:sz w:val="16"/>
              </w:rPr>
              <w:t xml:space="preserve"> </w:t>
            </w:r>
            <w:r w:rsidRPr="00EB2BD8">
              <w:rPr>
                <w:spacing w:val="-5"/>
                <w:sz w:val="16"/>
              </w:rPr>
              <w:t>of</w:t>
            </w:r>
          </w:p>
        </w:tc>
        <w:tc>
          <w:tcPr>
            <w:tcW w:w="3077" w:type="dxa"/>
          </w:tcPr>
          <w:p w14:paraId="35F6A05E" w14:textId="77777777" w:rsidR="00084F36" w:rsidRPr="00EB2BD8" w:rsidRDefault="00084F36">
            <w:pPr>
              <w:pStyle w:val="TableParagraph"/>
              <w:rPr>
                <w:rFonts w:ascii="Times New Roman"/>
                <w:sz w:val="14"/>
              </w:rPr>
            </w:pPr>
          </w:p>
        </w:tc>
        <w:tc>
          <w:tcPr>
            <w:tcW w:w="1080" w:type="dxa"/>
          </w:tcPr>
          <w:p w14:paraId="5173044C" w14:textId="77777777" w:rsidR="00084F36" w:rsidRPr="00EB2BD8" w:rsidRDefault="00084F36">
            <w:pPr>
              <w:pStyle w:val="TableParagraph"/>
              <w:rPr>
                <w:rFonts w:ascii="Times New Roman"/>
                <w:sz w:val="14"/>
              </w:rPr>
            </w:pPr>
          </w:p>
        </w:tc>
        <w:tc>
          <w:tcPr>
            <w:tcW w:w="1176" w:type="dxa"/>
          </w:tcPr>
          <w:p w14:paraId="4478C2C2" w14:textId="77777777" w:rsidR="00084F36" w:rsidRPr="00EB2BD8" w:rsidRDefault="00084F36">
            <w:pPr>
              <w:pStyle w:val="TableParagraph"/>
              <w:rPr>
                <w:rFonts w:ascii="Times New Roman"/>
                <w:sz w:val="14"/>
              </w:rPr>
            </w:pPr>
          </w:p>
        </w:tc>
      </w:tr>
      <w:tr w:rsidR="00EB2BD8" w:rsidRPr="00EB2BD8" w14:paraId="163E4214" w14:textId="77777777">
        <w:trPr>
          <w:trHeight w:val="229"/>
        </w:trPr>
        <w:tc>
          <w:tcPr>
            <w:tcW w:w="1736" w:type="dxa"/>
          </w:tcPr>
          <w:p w14:paraId="58F053E9" w14:textId="77777777" w:rsidR="00084F36" w:rsidRPr="00EB2BD8" w:rsidRDefault="00084F36">
            <w:pPr>
              <w:pStyle w:val="TableParagraph"/>
              <w:rPr>
                <w:rFonts w:ascii="Times New Roman"/>
                <w:sz w:val="14"/>
              </w:rPr>
            </w:pPr>
          </w:p>
        </w:tc>
        <w:tc>
          <w:tcPr>
            <w:tcW w:w="3139" w:type="dxa"/>
          </w:tcPr>
          <w:p w14:paraId="16CFE9B0" w14:textId="77777777" w:rsidR="00084F36" w:rsidRPr="00EB2BD8" w:rsidRDefault="00EB2BD8">
            <w:pPr>
              <w:pStyle w:val="TableParagraph"/>
              <w:spacing w:before="19"/>
              <w:ind w:left="133"/>
              <w:rPr>
                <w:sz w:val="16"/>
              </w:rPr>
            </w:pPr>
            <w:r w:rsidRPr="00EB2BD8">
              <w:rPr>
                <w:sz w:val="16"/>
              </w:rPr>
              <w:t>fact.</w:t>
            </w:r>
            <w:r w:rsidRPr="00EB2BD8">
              <w:rPr>
                <w:spacing w:val="-12"/>
                <w:sz w:val="16"/>
              </w:rPr>
              <w:t xml:space="preserve"> </w:t>
            </w:r>
            <w:r w:rsidRPr="00EB2BD8">
              <w:rPr>
                <w:sz w:val="16"/>
              </w:rPr>
              <w:t>Not</w:t>
            </w:r>
            <w:r w:rsidRPr="00EB2BD8">
              <w:rPr>
                <w:spacing w:val="-11"/>
                <w:sz w:val="16"/>
              </w:rPr>
              <w:t xml:space="preserve"> </w:t>
            </w:r>
            <w:r w:rsidRPr="00EB2BD8">
              <w:rPr>
                <w:sz w:val="16"/>
              </w:rPr>
              <w:t>licenced</w:t>
            </w:r>
            <w:r w:rsidRPr="00EB2BD8">
              <w:rPr>
                <w:spacing w:val="-12"/>
                <w:sz w:val="16"/>
              </w:rPr>
              <w:t xml:space="preserve"> </w:t>
            </w:r>
            <w:r w:rsidRPr="00EB2BD8">
              <w:rPr>
                <w:sz w:val="16"/>
              </w:rPr>
              <w:t>to</w:t>
            </w:r>
            <w:r w:rsidRPr="00EB2BD8">
              <w:rPr>
                <w:spacing w:val="-11"/>
                <w:sz w:val="16"/>
              </w:rPr>
              <w:t xml:space="preserve"> </w:t>
            </w:r>
            <w:r w:rsidRPr="00EB2BD8">
              <w:rPr>
                <w:sz w:val="16"/>
              </w:rPr>
              <w:t>certify</w:t>
            </w:r>
            <w:r w:rsidRPr="00EB2BD8">
              <w:rPr>
                <w:spacing w:val="-12"/>
                <w:sz w:val="16"/>
              </w:rPr>
              <w:t xml:space="preserve"> </w:t>
            </w:r>
            <w:r w:rsidRPr="00EB2BD8">
              <w:rPr>
                <w:sz w:val="16"/>
              </w:rPr>
              <w:t>the</w:t>
            </w:r>
            <w:r w:rsidRPr="00EB2BD8">
              <w:rPr>
                <w:spacing w:val="-11"/>
                <w:sz w:val="16"/>
              </w:rPr>
              <w:t xml:space="preserve"> </w:t>
            </w:r>
            <w:r w:rsidRPr="00EB2BD8">
              <w:rPr>
                <w:spacing w:val="-2"/>
                <w:sz w:val="16"/>
              </w:rPr>
              <w:t>class</w:t>
            </w:r>
          </w:p>
        </w:tc>
        <w:tc>
          <w:tcPr>
            <w:tcW w:w="3077" w:type="dxa"/>
          </w:tcPr>
          <w:p w14:paraId="4144C8D3" w14:textId="77777777" w:rsidR="00084F36" w:rsidRPr="00EB2BD8" w:rsidRDefault="00084F36">
            <w:pPr>
              <w:pStyle w:val="TableParagraph"/>
              <w:rPr>
                <w:rFonts w:ascii="Times New Roman"/>
                <w:sz w:val="14"/>
              </w:rPr>
            </w:pPr>
          </w:p>
        </w:tc>
        <w:tc>
          <w:tcPr>
            <w:tcW w:w="1080" w:type="dxa"/>
          </w:tcPr>
          <w:p w14:paraId="06D90FDC" w14:textId="77777777" w:rsidR="00084F36" w:rsidRPr="00EB2BD8" w:rsidRDefault="00084F36">
            <w:pPr>
              <w:pStyle w:val="TableParagraph"/>
              <w:rPr>
                <w:rFonts w:ascii="Times New Roman"/>
                <w:sz w:val="14"/>
              </w:rPr>
            </w:pPr>
          </w:p>
        </w:tc>
        <w:tc>
          <w:tcPr>
            <w:tcW w:w="1176" w:type="dxa"/>
          </w:tcPr>
          <w:p w14:paraId="50423028" w14:textId="77777777" w:rsidR="00084F36" w:rsidRPr="00EB2BD8" w:rsidRDefault="00084F36">
            <w:pPr>
              <w:pStyle w:val="TableParagraph"/>
              <w:rPr>
                <w:rFonts w:ascii="Times New Roman"/>
                <w:sz w:val="14"/>
              </w:rPr>
            </w:pPr>
          </w:p>
        </w:tc>
      </w:tr>
      <w:tr w:rsidR="00084F36" w:rsidRPr="00EB2BD8" w14:paraId="4ED6D683" w14:textId="77777777">
        <w:trPr>
          <w:trHeight w:val="288"/>
        </w:trPr>
        <w:tc>
          <w:tcPr>
            <w:tcW w:w="1736" w:type="dxa"/>
            <w:tcBorders>
              <w:bottom w:val="single" w:sz="2" w:space="0" w:color="000000"/>
            </w:tcBorders>
          </w:tcPr>
          <w:p w14:paraId="6D79C10B" w14:textId="77777777" w:rsidR="00084F36" w:rsidRPr="00EB2BD8" w:rsidRDefault="00084F36">
            <w:pPr>
              <w:pStyle w:val="TableParagraph"/>
              <w:rPr>
                <w:rFonts w:ascii="Times New Roman"/>
                <w:sz w:val="14"/>
              </w:rPr>
            </w:pPr>
          </w:p>
        </w:tc>
        <w:tc>
          <w:tcPr>
            <w:tcW w:w="3139" w:type="dxa"/>
            <w:tcBorders>
              <w:bottom w:val="single" w:sz="2" w:space="0" w:color="000000"/>
            </w:tcBorders>
          </w:tcPr>
          <w:p w14:paraId="72EFC3A5" w14:textId="77777777" w:rsidR="00084F36" w:rsidRPr="00EB2BD8" w:rsidRDefault="00EB2BD8">
            <w:pPr>
              <w:pStyle w:val="TableParagraph"/>
              <w:spacing w:before="19"/>
              <w:ind w:left="133"/>
              <w:rPr>
                <w:sz w:val="16"/>
              </w:rPr>
            </w:pPr>
            <w:r w:rsidRPr="00EB2BD8">
              <w:rPr>
                <w:spacing w:val="-2"/>
                <w:sz w:val="16"/>
              </w:rPr>
              <w:t>of</w:t>
            </w:r>
            <w:r w:rsidRPr="00EB2BD8">
              <w:rPr>
                <w:spacing w:val="-9"/>
                <w:sz w:val="16"/>
              </w:rPr>
              <w:t xml:space="preserve"> </w:t>
            </w:r>
            <w:r w:rsidRPr="00EB2BD8">
              <w:rPr>
                <w:spacing w:val="-2"/>
                <w:sz w:val="16"/>
              </w:rPr>
              <w:t>works</w:t>
            </w:r>
            <w:r w:rsidRPr="00EB2BD8">
              <w:rPr>
                <w:spacing w:val="-8"/>
                <w:sz w:val="16"/>
              </w:rPr>
              <w:t xml:space="preserve"> </w:t>
            </w:r>
            <w:r w:rsidRPr="00EB2BD8">
              <w:rPr>
                <w:spacing w:val="-2"/>
                <w:sz w:val="16"/>
              </w:rPr>
              <w:t>that</w:t>
            </w:r>
            <w:r w:rsidRPr="00EB2BD8">
              <w:rPr>
                <w:spacing w:val="-8"/>
                <w:sz w:val="16"/>
              </w:rPr>
              <w:t xml:space="preserve"> </w:t>
            </w:r>
            <w:r w:rsidRPr="00EB2BD8">
              <w:rPr>
                <w:spacing w:val="-2"/>
                <w:sz w:val="16"/>
              </w:rPr>
              <w:t>were</w:t>
            </w:r>
            <w:r w:rsidRPr="00EB2BD8">
              <w:rPr>
                <w:spacing w:val="-8"/>
                <w:sz w:val="16"/>
              </w:rPr>
              <w:t xml:space="preserve"> </w:t>
            </w:r>
            <w:r w:rsidRPr="00EB2BD8">
              <w:rPr>
                <w:spacing w:val="-2"/>
                <w:sz w:val="16"/>
              </w:rPr>
              <w:t>completed.</w:t>
            </w:r>
          </w:p>
        </w:tc>
        <w:tc>
          <w:tcPr>
            <w:tcW w:w="3077" w:type="dxa"/>
            <w:tcBorders>
              <w:bottom w:val="single" w:sz="2" w:space="0" w:color="000000"/>
            </w:tcBorders>
          </w:tcPr>
          <w:p w14:paraId="73318C7F" w14:textId="77777777" w:rsidR="00084F36" w:rsidRPr="00EB2BD8" w:rsidRDefault="00084F36">
            <w:pPr>
              <w:pStyle w:val="TableParagraph"/>
              <w:rPr>
                <w:rFonts w:ascii="Times New Roman"/>
                <w:sz w:val="14"/>
              </w:rPr>
            </w:pPr>
          </w:p>
        </w:tc>
        <w:tc>
          <w:tcPr>
            <w:tcW w:w="1080" w:type="dxa"/>
            <w:tcBorders>
              <w:bottom w:val="single" w:sz="2" w:space="0" w:color="000000"/>
            </w:tcBorders>
          </w:tcPr>
          <w:p w14:paraId="4EE7D235" w14:textId="77777777" w:rsidR="00084F36" w:rsidRPr="00EB2BD8" w:rsidRDefault="00084F36">
            <w:pPr>
              <w:pStyle w:val="TableParagraph"/>
              <w:rPr>
                <w:rFonts w:ascii="Times New Roman"/>
                <w:sz w:val="14"/>
              </w:rPr>
            </w:pPr>
          </w:p>
        </w:tc>
        <w:tc>
          <w:tcPr>
            <w:tcW w:w="1176" w:type="dxa"/>
            <w:tcBorders>
              <w:bottom w:val="single" w:sz="2" w:space="0" w:color="000000"/>
            </w:tcBorders>
          </w:tcPr>
          <w:p w14:paraId="2E780EA7" w14:textId="77777777" w:rsidR="00084F36" w:rsidRPr="00EB2BD8" w:rsidRDefault="00084F36">
            <w:pPr>
              <w:pStyle w:val="TableParagraph"/>
              <w:rPr>
                <w:rFonts w:ascii="Times New Roman"/>
                <w:sz w:val="14"/>
              </w:rPr>
            </w:pPr>
          </w:p>
        </w:tc>
      </w:tr>
    </w:tbl>
    <w:p w14:paraId="22F0421F" w14:textId="77777777" w:rsidR="00084F36" w:rsidRPr="00EB2BD8" w:rsidRDefault="00084F36">
      <w:pPr>
        <w:pStyle w:val="BodyText"/>
        <w:rPr>
          <w:i/>
          <w:sz w:val="20"/>
        </w:rPr>
      </w:pPr>
    </w:p>
    <w:p w14:paraId="762573A1" w14:textId="77777777" w:rsidR="00084F36" w:rsidRPr="00EB2BD8" w:rsidRDefault="00084F36">
      <w:pPr>
        <w:pStyle w:val="BodyText"/>
        <w:rPr>
          <w:i/>
          <w:sz w:val="20"/>
        </w:rPr>
      </w:pPr>
    </w:p>
    <w:p w14:paraId="15D1D590" w14:textId="77777777" w:rsidR="00084F36" w:rsidRPr="00EB2BD8" w:rsidRDefault="00084F36">
      <w:pPr>
        <w:pStyle w:val="BodyText"/>
        <w:spacing w:before="3"/>
        <w:rPr>
          <w:i/>
          <w:sz w:val="19"/>
        </w:rPr>
      </w:pPr>
    </w:p>
    <w:p w14:paraId="2DFAA259" w14:textId="4E8B4ACC" w:rsidR="00084F36" w:rsidRPr="00EB2BD8" w:rsidRDefault="00EB2BD8">
      <w:pPr>
        <w:ind w:left="874"/>
        <w:rPr>
          <w:i/>
          <w:sz w:val="14"/>
        </w:rPr>
      </w:pPr>
      <w:r w:rsidRPr="00EB2BD8">
        <w:rPr>
          <w:i/>
          <w:spacing w:val="-2"/>
          <w:sz w:val="14"/>
        </w:rPr>
        <w:t>40</w:t>
      </w:r>
      <w:r w:rsidR="00D0600F">
        <w:rPr>
          <w:i/>
          <w:spacing w:val="-2"/>
          <w:sz w:val="14"/>
        </w:rPr>
        <w:t xml:space="preserve">- </w:t>
      </w:r>
      <w:r w:rsidRPr="00EB2BD8">
        <w:rPr>
          <w:i/>
          <w:spacing w:val="-2"/>
          <w:sz w:val="14"/>
        </w:rPr>
        <w:t>Penalty</w:t>
      </w:r>
      <w:r w:rsidRPr="00EB2BD8">
        <w:rPr>
          <w:i/>
          <w:spacing w:val="-4"/>
          <w:sz w:val="14"/>
        </w:rPr>
        <w:t xml:space="preserve"> </w:t>
      </w:r>
      <w:r w:rsidRPr="00EB2BD8">
        <w:rPr>
          <w:i/>
          <w:spacing w:val="-2"/>
          <w:sz w:val="14"/>
        </w:rPr>
        <w:t>only</w:t>
      </w:r>
      <w:r w:rsidRPr="00EB2BD8">
        <w:rPr>
          <w:i/>
          <w:spacing w:val="-4"/>
          <w:sz w:val="14"/>
        </w:rPr>
        <w:t xml:space="preserve"> </w:t>
      </w:r>
      <w:r w:rsidRPr="00EB2BD8">
        <w:rPr>
          <w:i/>
          <w:spacing w:val="-2"/>
          <w:sz w:val="14"/>
        </w:rPr>
        <w:t>applies</w:t>
      </w:r>
      <w:r w:rsidRPr="00EB2BD8">
        <w:rPr>
          <w:i/>
          <w:spacing w:val="-3"/>
          <w:sz w:val="14"/>
        </w:rPr>
        <w:t xml:space="preserve"> </w:t>
      </w:r>
      <w:r w:rsidRPr="00EB2BD8">
        <w:rPr>
          <w:i/>
          <w:spacing w:val="-2"/>
          <w:sz w:val="14"/>
        </w:rPr>
        <w:t>if</w:t>
      </w:r>
      <w:r w:rsidRPr="00EB2BD8">
        <w:rPr>
          <w:i/>
          <w:spacing w:val="-4"/>
          <w:sz w:val="14"/>
        </w:rPr>
        <w:t xml:space="preserve"> </w:t>
      </w:r>
      <w:r w:rsidRPr="00EB2BD8">
        <w:rPr>
          <w:i/>
          <w:spacing w:val="-2"/>
          <w:sz w:val="14"/>
        </w:rPr>
        <w:t>the</w:t>
      </w:r>
      <w:r w:rsidRPr="00EB2BD8">
        <w:rPr>
          <w:i/>
          <w:spacing w:val="-3"/>
          <w:sz w:val="14"/>
        </w:rPr>
        <w:t xml:space="preserve"> </w:t>
      </w:r>
      <w:r w:rsidRPr="00EB2BD8">
        <w:rPr>
          <w:i/>
          <w:spacing w:val="-2"/>
          <w:sz w:val="14"/>
        </w:rPr>
        <w:t>plumber</w:t>
      </w:r>
      <w:r w:rsidRPr="00EB2BD8">
        <w:rPr>
          <w:i/>
          <w:spacing w:val="-4"/>
          <w:sz w:val="14"/>
        </w:rPr>
        <w:t xml:space="preserve"> </w:t>
      </w:r>
      <w:r w:rsidRPr="00EB2BD8">
        <w:rPr>
          <w:i/>
          <w:spacing w:val="-2"/>
          <w:sz w:val="14"/>
        </w:rPr>
        <w:t>commits</w:t>
      </w:r>
      <w:r w:rsidRPr="00EB2BD8">
        <w:rPr>
          <w:i/>
          <w:spacing w:val="-3"/>
          <w:sz w:val="14"/>
        </w:rPr>
        <w:t xml:space="preserve"> </w:t>
      </w:r>
      <w:r w:rsidRPr="00EB2BD8">
        <w:rPr>
          <w:i/>
          <w:spacing w:val="-2"/>
          <w:sz w:val="14"/>
        </w:rPr>
        <w:t>further</w:t>
      </w:r>
      <w:r w:rsidRPr="00EB2BD8">
        <w:rPr>
          <w:i/>
          <w:spacing w:val="-4"/>
          <w:sz w:val="14"/>
        </w:rPr>
        <w:t xml:space="preserve"> </w:t>
      </w:r>
      <w:r w:rsidRPr="00EB2BD8">
        <w:rPr>
          <w:i/>
          <w:spacing w:val="-2"/>
          <w:sz w:val="14"/>
        </w:rPr>
        <w:t>breach</w:t>
      </w:r>
      <w:r w:rsidRPr="00EB2BD8">
        <w:rPr>
          <w:i/>
          <w:spacing w:val="-3"/>
          <w:sz w:val="14"/>
        </w:rPr>
        <w:t xml:space="preserve"> </w:t>
      </w:r>
      <w:r w:rsidRPr="00EB2BD8">
        <w:rPr>
          <w:i/>
          <w:spacing w:val="-2"/>
          <w:sz w:val="14"/>
        </w:rPr>
        <w:t>in</w:t>
      </w:r>
      <w:r w:rsidRPr="00EB2BD8">
        <w:rPr>
          <w:i/>
          <w:spacing w:val="-4"/>
          <w:sz w:val="14"/>
        </w:rPr>
        <w:t xml:space="preserve"> </w:t>
      </w:r>
      <w:r w:rsidRPr="00EB2BD8">
        <w:rPr>
          <w:i/>
          <w:spacing w:val="-2"/>
          <w:sz w:val="14"/>
        </w:rPr>
        <w:t>the</w:t>
      </w:r>
      <w:r w:rsidRPr="00EB2BD8">
        <w:rPr>
          <w:i/>
          <w:spacing w:val="-3"/>
          <w:sz w:val="14"/>
        </w:rPr>
        <w:t xml:space="preserve"> </w:t>
      </w:r>
      <w:r w:rsidRPr="00EB2BD8">
        <w:rPr>
          <w:i/>
          <w:spacing w:val="-2"/>
          <w:sz w:val="14"/>
        </w:rPr>
        <w:t>next</w:t>
      </w:r>
      <w:r w:rsidRPr="00EB2BD8">
        <w:rPr>
          <w:i/>
          <w:spacing w:val="-4"/>
          <w:sz w:val="14"/>
        </w:rPr>
        <w:t xml:space="preserve"> </w:t>
      </w:r>
      <w:r w:rsidRPr="00EB2BD8">
        <w:rPr>
          <w:i/>
          <w:spacing w:val="-2"/>
          <w:sz w:val="14"/>
        </w:rPr>
        <w:t>12</w:t>
      </w:r>
      <w:r w:rsidRPr="00EB2BD8">
        <w:rPr>
          <w:i/>
          <w:spacing w:val="-3"/>
          <w:sz w:val="14"/>
        </w:rPr>
        <w:t xml:space="preserve"> </w:t>
      </w:r>
      <w:r w:rsidRPr="00EB2BD8">
        <w:rPr>
          <w:i/>
          <w:spacing w:val="-2"/>
          <w:sz w:val="14"/>
        </w:rPr>
        <w:t>months.</w:t>
      </w:r>
    </w:p>
    <w:p w14:paraId="0332EA2E" w14:textId="77777777" w:rsidR="00084F36" w:rsidRPr="00EB2BD8" w:rsidRDefault="00084F36">
      <w:pPr>
        <w:rPr>
          <w:sz w:val="14"/>
        </w:rPr>
        <w:sectPr w:rsidR="00084F36" w:rsidRPr="00EB2BD8" w:rsidSect="006D75B2">
          <w:footerReference w:type="default" r:id="rId430"/>
          <w:pgSz w:w="11910" w:h="16840"/>
          <w:pgMar w:top="1080" w:right="0" w:bottom="720" w:left="0" w:header="0" w:footer="528" w:gutter="0"/>
          <w:cols w:space="720"/>
        </w:sectPr>
      </w:pPr>
    </w:p>
    <w:p w14:paraId="534EA2E1" w14:textId="77777777" w:rsidR="00084F36" w:rsidRPr="00EB2BD8" w:rsidRDefault="00084F36">
      <w:pPr>
        <w:pStyle w:val="BodyText"/>
        <w:rPr>
          <w:i/>
          <w:sz w:val="20"/>
        </w:rPr>
      </w:pPr>
    </w:p>
    <w:p w14:paraId="0ACB661D" w14:textId="77777777" w:rsidR="00084F36" w:rsidRPr="00EB2BD8" w:rsidRDefault="00084F36">
      <w:pPr>
        <w:pStyle w:val="BodyText"/>
        <w:rPr>
          <w:i/>
          <w:sz w:val="20"/>
        </w:rPr>
      </w:pPr>
    </w:p>
    <w:p w14:paraId="38191EE2" w14:textId="77777777" w:rsidR="00084F36" w:rsidRPr="00EB2BD8" w:rsidRDefault="00084F36">
      <w:pPr>
        <w:pStyle w:val="BodyText"/>
        <w:rPr>
          <w:i/>
          <w:sz w:val="20"/>
        </w:rPr>
      </w:pPr>
    </w:p>
    <w:p w14:paraId="36C28E5B" w14:textId="77777777" w:rsidR="00084F36" w:rsidRPr="00EB2BD8" w:rsidRDefault="00084F36">
      <w:pPr>
        <w:pStyle w:val="BodyText"/>
        <w:rPr>
          <w:i/>
          <w:sz w:val="20"/>
        </w:rPr>
      </w:pPr>
    </w:p>
    <w:p w14:paraId="60DC131F" w14:textId="77777777" w:rsidR="00084F36" w:rsidRPr="00EB2BD8" w:rsidRDefault="00084F36">
      <w:pPr>
        <w:pStyle w:val="BodyText"/>
        <w:spacing w:before="6"/>
        <w:rPr>
          <w:i/>
          <w:sz w:val="23"/>
        </w:rPr>
      </w:pPr>
    </w:p>
    <w:tbl>
      <w:tblPr>
        <w:tblW w:w="0" w:type="auto"/>
        <w:tblInd w:w="858" w:type="dxa"/>
        <w:tblLayout w:type="fixed"/>
        <w:tblCellMar>
          <w:left w:w="0" w:type="dxa"/>
          <w:right w:w="0" w:type="dxa"/>
        </w:tblCellMar>
        <w:tblLook w:val="01E0" w:firstRow="1" w:lastRow="1" w:firstColumn="1" w:lastColumn="1" w:noHBand="0" w:noVBand="0"/>
      </w:tblPr>
      <w:tblGrid>
        <w:gridCol w:w="1711"/>
        <w:gridCol w:w="3165"/>
        <w:gridCol w:w="3078"/>
        <w:gridCol w:w="1081"/>
        <w:gridCol w:w="1177"/>
      </w:tblGrid>
      <w:tr w:rsidR="00EB2BD8" w:rsidRPr="00EB2BD8" w14:paraId="7B68012B" w14:textId="77777777">
        <w:trPr>
          <w:trHeight w:val="616"/>
        </w:trPr>
        <w:tc>
          <w:tcPr>
            <w:tcW w:w="1711" w:type="dxa"/>
            <w:shd w:val="clear" w:color="auto" w:fill="005F83"/>
          </w:tcPr>
          <w:p w14:paraId="75D672D6" w14:textId="77777777" w:rsidR="00084F36" w:rsidRPr="00697E0C" w:rsidRDefault="00EB2BD8">
            <w:pPr>
              <w:pStyle w:val="TableParagraph"/>
              <w:spacing w:before="118"/>
              <w:ind w:left="113"/>
              <w:rPr>
                <w:color w:val="FFFFFF" w:themeColor="background1"/>
                <w:sz w:val="16"/>
              </w:rPr>
            </w:pPr>
            <w:r w:rsidRPr="00697E0C">
              <w:rPr>
                <w:color w:val="FFFFFF" w:themeColor="background1"/>
                <w:sz w:val="16"/>
              </w:rPr>
              <w:t>Accused</w:t>
            </w:r>
            <w:r w:rsidRPr="00697E0C">
              <w:rPr>
                <w:color w:val="FFFFFF" w:themeColor="background1"/>
                <w:spacing w:val="-1"/>
                <w:sz w:val="16"/>
              </w:rPr>
              <w:t xml:space="preserve"> </w:t>
            </w:r>
            <w:r w:rsidRPr="00697E0C">
              <w:rPr>
                <w:color w:val="FFFFFF" w:themeColor="background1"/>
                <w:spacing w:val="-4"/>
                <w:sz w:val="16"/>
              </w:rPr>
              <w:t>name</w:t>
            </w:r>
          </w:p>
        </w:tc>
        <w:tc>
          <w:tcPr>
            <w:tcW w:w="3165" w:type="dxa"/>
            <w:shd w:val="clear" w:color="auto" w:fill="005F83"/>
          </w:tcPr>
          <w:p w14:paraId="3F006F22" w14:textId="77777777" w:rsidR="00084F36" w:rsidRPr="00697E0C" w:rsidRDefault="00EB2BD8">
            <w:pPr>
              <w:pStyle w:val="TableParagraph"/>
              <w:spacing w:before="118"/>
              <w:ind w:left="159"/>
              <w:rPr>
                <w:color w:val="FFFFFF" w:themeColor="background1"/>
                <w:sz w:val="16"/>
              </w:rPr>
            </w:pPr>
            <w:r w:rsidRPr="00697E0C">
              <w:rPr>
                <w:color w:val="FFFFFF" w:themeColor="background1"/>
                <w:sz w:val="16"/>
              </w:rPr>
              <w:t>Description</w:t>
            </w:r>
            <w:r w:rsidRPr="00697E0C">
              <w:rPr>
                <w:color w:val="FFFFFF" w:themeColor="background1"/>
                <w:spacing w:val="-11"/>
                <w:sz w:val="16"/>
              </w:rPr>
              <w:t xml:space="preserve"> </w:t>
            </w:r>
            <w:r w:rsidRPr="00697E0C">
              <w:rPr>
                <w:color w:val="FFFFFF" w:themeColor="background1"/>
                <w:sz w:val="16"/>
              </w:rPr>
              <w:t>of</w:t>
            </w:r>
            <w:r w:rsidRPr="00697E0C">
              <w:rPr>
                <w:color w:val="FFFFFF" w:themeColor="background1"/>
                <w:spacing w:val="-10"/>
                <w:sz w:val="16"/>
              </w:rPr>
              <w:t xml:space="preserve"> </w:t>
            </w:r>
            <w:r w:rsidRPr="00697E0C">
              <w:rPr>
                <w:color w:val="FFFFFF" w:themeColor="background1"/>
                <w:spacing w:val="-2"/>
                <w:sz w:val="16"/>
              </w:rPr>
              <w:t>matter</w:t>
            </w:r>
          </w:p>
        </w:tc>
        <w:tc>
          <w:tcPr>
            <w:tcW w:w="3078" w:type="dxa"/>
            <w:shd w:val="clear" w:color="auto" w:fill="005F83"/>
          </w:tcPr>
          <w:p w14:paraId="0EB43AB4" w14:textId="77777777" w:rsidR="00084F36" w:rsidRPr="00697E0C" w:rsidRDefault="00EB2BD8">
            <w:pPr>
              <w:pStyle w:val="TableParagraph"/>
              <w:spacing w:before="118"/>
              <w:ind w:left="112"/>
              <w:rPr>
                <w:color w:val="FFFFFF" w:themeColor="background1"/>
                <w:sz w:val="16"/>
              </w:rPr>
            </w:pPr>
            <w:r w:rsidRPr="00697E0C">
              <w:rPr>
                <w:color w:val="FFFFFF" w:themeColor="background1"/>
                <w:spacing w:val="-2"/>
                <w:sz w:val="16"/>
              </w:rPr>
              <w:t>Result</w:t>
            </w:r>
          </w:p>
        </w:tc>
        <w:tc>
          <w:tcPr>
            <w:tcW w:w="1081" w:type="dxa"/>
            <w:shd w:val="clear" w:color="auto" w:fill="005F83"/>
          </w:tcPr>
          <w:p w14:paraId="333CCC94" w14:textId="77777777" w:rsidR="00084F36" w:rsidRPr="00697E0C" w:rsidRDefault="00EB2BD8">
            <w:pPr>
              <w:pStyle w:val="TableParagraph"/>
              <w:spacing w:before="118" w:line="292" w:lineRule="auto"/>
              <w:ind w:left="115" w:right="92"/>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39</w:t>
            </w:r>
          </w:p>
        </w:tc>
        <w:tc>
          <w:tcPr>
            <w:tcW w:w="1177" w:type="dxa"/>
            <w:shd w:val="clear" w:color="auto" w:fill="005F83"/>
          </w:tcPr>
          <w:p w14:paraId="3E8124A7" w14:textId="77777777" w:rsidR="00084F36" w:rsidRPr="00697E0C" w:rsidRDefault="00EB2BD8">
            <w:pPr>
              <w:pStyle w:val="TableParagraph"/>
              <w:spacing w:before="118"/>
              <w:ind w:left="111"/>
              <w:rPr>
                <w:color w:val="FFFFFF" w:themeColor="background1"/>
                <w:sz w:val="16"/>
              </w:rPr>
            </w:pPr>
            <w:r w:rsidRPr="00697E0C">
              <w:rPr>
                <w:color w:val="FFFFFF" w:themeColor="background1"/>
                <w:spacing w:val="-4"/>
                <w:w w:val="105"/>
                <w:sz w:val="16"/>
              </w:rPr>
              <w:t>Date</w:t>
            </w:r>
          </w:p>
        </w:tc>
      </w:tr>
      <w:tr w:rsidR="00EB2BD8" w:rsidRPr="00EB2BD8" w14:paraId="16813A6B" w14:textId="77777777">
        <w:trPr>
          <w:trHeight w:val="329"/>
        </w:trPr>
        <w:tc>
          <w:tcPr>
            <w:tcW w:w="1711" w:type="dxa"/>
          </w:tcPr>
          <w:p w14:paraId="6001BB0A" w14:textId="77777777" w:rsidR="00084F36" w:rsidRPr="00EB2BD8" w:rsidRDefault="00EB2BD8">
            <w:pPr>
              <w:pStyle w:val="TableParagraph"/>
              <w:spacing w:before="118"/>
              <w:ind w:left="113"/>
              <w:rPr>
                <w:sz w:val="16"/>
              </w:rPr>
            </w:pPr>
            <w:r w:rsidRPr="00EB2BD8">
              <w:rPr>
                <w:w w:val="105"/>
                <w:sz w:val="16"/>
              </w:rPr>
              <w:t>JOASS,</w:t>
            </w:r>
            <w:r w:rsidRPr="00EB2BD8">
              <w:rPr>
                <w:spacing w:val="-10"/>
                <w:w w:val="105"/>
                <w:sz w:val="16"/>
              </w:rPr>
              <w:t xml:space="preserve"> </w:t>
            </w:r>
            <w:r w:rsidRPr="00EB2BD8">
              <w:rPr>
                <w:spacing w:val="-2"/>
                <w:w w:val="105"/>
                <w:sz w:val="16"/>
              </w:rPr>
              <w:t>Trent</w:t>
            </w:r>
          </w:p>
        </w:tc>
        <w:tc>
          <w:tcPr>
            <w:tcW w:w="3165" w:type="dxa"/>
          </w:tcPr>
          <w:p w14:paraId="3D71688B" w14:textId="77777777" w:rsidR="00084F36" w:rsidRPr="00EB2BD8" w:rsidRDefault="00EB2BD8">
            <w:pPr>
              <w:pStyle w:val="TableParagraph"/>
              <w:spacing w:before="118"/>
              <w:ind w:left="159"/>
              <w:rPr>
                <w:sz w:val="16"/>
              </w:rPr>
            </w:pPr>
            <w:r w:rsidRPr="00EB2BD8">
              <w:rPr>
                <w:spacing w:val="-2"/>
                <w:sz w:val="16"/>
              </w:rPr>
              <w:t>Practitioner</w:t>
            </w:r>
            <w:r w:rsidRPr="00EB2BD8">
              <w:rPr>
                <w:spacing w:val="-1"/>
                <w:sz w:val="16"/>
              </w:rPr>
              <w:t xml:space="preserve"> </w:t>
            </w:r>
            <w:r w:rsidRPr="00EB2BD8">
              <w:rPr>
                <w:spacing w:val="-2"/>
                <w:sz w:val="16"/>
              </w:rPr>
              <w:t>failed</w:t>
            </w:r>
            <w:r w:rsidRPr="00EB2BD8">
              <w:rPr>
                <w:spacing w:val="-1"/>
                <w:sz w:val="16"/>
              </w:rPr>
              <w:t xml:space="preserve"> </w:t>
            </w:r>
            <w:r w:rsidRPr="00EB2BD8">
              <w:rPr>
                <w:spacing w:val="-2"/>
                <w:sz w:val="16"/>
              </w:rPr>
              <w:t>to</w:t>
            </w:r>
            <w:r w:rsidRPr="00EB2BD8">
              <w:rPr>
                <w:spacing w:val="-1"/>
                <w:sz w:val="16"/>
              </w:rPr>
              <w:t xml:space="preserve"> </w:t>
            </w:r>
            <w:r w:rsidRPr="00EB2BD8">
              <w:rPr>
                <w:spacing w:val="-2"/>
                <w:sz w:val="16"/>
              </w:rPr>
              <w:t>comply</w:t>
            </w:r>
            <w:r w:rsidRPr="00EB2BD8">
              <w:rPr>
                <w:spacing w:val="-1"/>
                <w:sz w:val="16"/>
              </w:rPr>
              <w:t xml:space="preserve"> </w:t>
            </w:r>
            <w:r w:rsidRPr="00EB2BD8">
              <w:rPr>
                <w:spacing w:val="-2"/>
                <w:sz w:val="16"/>
              </w:rPr>
              <w:t>with</w:t>
            </w:r>
            <w:r w:rsidRPr="00EB2BD8">
              <w:rPr>
                <w:spacing w:val="-1"/>
                <w:sz w:val="16"/>
              </w:rPr>
              <w:t xml:space="preserve"> </w:t>
            </w:r>
            <w:r w:rsidRPr="00EB2BD8">
              <w:rPr>
                <w:spacing w:val="-10"/>
                <w:sz w:val="16"/>
              </w:rPr>
              <w:t>a</w:t>
            </w:r>
          </w:p>
        </w:tc>
        <w:tc>
          <w:tcPr>
            <w:tcW w:w="3078" w:type="dxa"/>
          </w:tcPr>
          <w:p w14:paraId="42C46447" w14:textId="77777777" w:rsidR="00084F36" w:rsidRPr="00EB2BD8" w:rsidRDefault="00EB2BD8">
            <w:pPr>
              <w:pStyle w:val="TableParagraph"/>
              <w:spacing w:before="118"/>
              <w:ind w:left="112"/>
              <w:rPr>
                <w:sz w:val="16"/>
              </w:rPr>
            </w:pPr>
            <w:r w:rsidRPr="00EB2BD8">
              <w:rPr>
                <w:spacing w:val="-2"/>
                <w:sz w:val="16"/>
              </w:rPr>
              <w:t>One</w:t>
            </w:r>
            <w:r w:rsidRPr="00EB2BD8">
              <w:rPr>
                <w:spacing w:val="-4"/>
                <w:sz w:val="16"/>
              </w:rPr>
              <w:t xml:space="preserve"> </w:t>
            </w:r>
            <w:r w:rsidRPr="00EB2BD8">
              <w:rPr>
                <w:spacing w:val="-2"/>
                <w:sz w:val="16"/>
              </w:rPr>
              <w:t>ground</w:t>
            </w:r>
            <w:r w:rsidRPr="00EB2BD8">
              <w:rPr>
                <w:spacing w:val="-4"/>
                <w:sz w:val="16"/>
              </w:rPr>
              <w:t xml:space="preserve"> </w:t>
            </w:r>
            <w:r w:rsidRPr="00EB2BD8">
              <w:rPr>
                <w:spacing w:val="-2"/>
                <w:sz w:val="16"/>
              </w:rPr>
              <w:t>proven.</w:t>
            </w:r>
            <w:r w:rsidRPr="00EB2BD8">
              <w:rPr>
                <w:spacing w:val="-3"/>
                <w:sz w:val="16"/>
              </w:rPr>
              <w:t xml:space="preserve"> </w:t>
            </w:r>
            <w:r w:rsidRPr="00EB2BD8">
              <w:rPr>
                <w:spacing w:val="-2"/>
                <w:sz w:val="16"/>
              </w:rPr>
              <w:t>Penalty</w:t>
            </w:r>
            <w:r w:rsidRPr="00EB2BD8">
              <w:rPr>
                <w:spacing w:val="-4"/>
                <w:sz w:val="16"/>
              </w:rPr>
              <w:t xml:space="preserve"> </w:t>
            </w:r>
            <w:r w:rsidRPr="00EB2BD8">
              <w:rPr>
                <w:spacing w:val="-2"/>
                <w:sz w:val="16"/>
              </w:rPr>
              <w:t>of</w:t>
            </w:r>
            <w:r w:rsidRPr="00EB2BD8">
              <w:rPr>
                <w:spacing w:val="-3"/>
                <w:sz w:val="16"/>
              </w:rPr>
              <w:t xml:space="preserve"> </w:t>
            </w:r>
            <w:r w:rsidRPr="00EB2BD8">
              <w:rPr>
                <w:spacing w:val="-2"/>
                <w:sz w:val="16"/>
              </w:rPr>
              <w:t>$2,798</w:t>
            </w:r>
          </w:p>
        </w:tc>
        <w:tc>
          <w:tcPr>
            <w:tcW w:w="1081" w:type="dxa"/>
          </w:tcPr>
          <w:p w14:paraId="0347D216" w14:textId="77777777" w:rsidR="00084F36" w:rsidRPr="00EB2BD8" w:rsidRDefault="00EB2BD8">
            <w:pPr>
              <w:pStyle w:val="TableParagraph"/>
              <w:spacing w:before="118"/>
              <w:ind w:right="114"/>
              <w:jc w:val="right"/>
              <w:rPr>
                <w:sz w:val="16"/>
              </w:rPr>
            </w:pPr>
            <w:r w:rsidRPr="00EB2BD8">
              <w:rPr>
                <w:spacing w:val="-2"/>
                <w:w w:val="95"/>
                <w:sz w:val="16"/>
              </w:rPr>
              <w:t>$2,798</w:t>
            </w:r>
          </w:p>
        </w:tc>
        <w:tc>
          <w:tcPr>
            <w:tcW w:w="1177" w:type="dxa"/>
          </w:tcPr>
          <w:p w14:paraId="755344BF" w14:textId="77777777" w:rsidR="00084F36" w:rsidRPr="00EB2BD8" w:rsidRDefault="00EB2BD8">
            <w:pPr>
              <w:pStyle w:val="TableParagraph"/>
              <w:spacing w:before="118"/>
              <w:ind w:left="111"/>
              <w:rPr>
                <w:sz w:val="16"/>
              </w:rPr>
            </w:pPr>
            <w:r w:rsidRPr="00EB2BD8">
              <w:rPr>
                <w:spacing w:val="-2"/>
                <w:w w:val="85"/>
                <w:sz w:val="16"/>
              </w:rPr>
              <w:t>29/11/2022</w:t>
            </w:r>
          </w:p>
        </w:tc>
      </w:tr>
      <w:tr w:rsidR="00EB2BD8" w:rsidRPr="00EB2BD8" w14:paraId="7B37EA5E" w14:textId="77777777">
        <w:trPr>
          <w:trHeight w:val="285"/>
        </w:trPr>
        <w:tc>
          <w:tcPr>
            <w:tcW w:w="1711" w:type="dxa"/>
            <w:tcBorders>
              <w:bottom w:val="single" w:sz="2" w:space="0" w:color="000000"/>
            </w:tcBorders>
          </w:tcPr>
          <w:p w14:paraId="76AADBFB" w14:textId="77777777" w:rsidR="00084F36" w:rsidRPr="00EB2BD8" w:rsidRDefault="00084F36">
            <w:pPr>
              <w:pStyle w:val="TableParagraph"/>
              <w:rPr>
                <w:rFonts w:ascii="Times New Roman"/>
                <w:sz w:val="16"/>
              </w:rPr>
            </w:pPr>
          </w:p>
        </w:tc>
        <w:tc>
          <w:tcPr>
            <w:tcW w:w="3165" w:type="dxa"/>
            <w:tcBorders>
              <w:bottom w:val="single" w:sz="2" w:space="0" w:color="000000"/>
            </w:tcBorders>
          </w:tcPr>
          <w:p w14:paraId="13C62678" w14:textId="77777777" w:rsidR="00084F36" w:rsidRPr="00EB2BD8" w:rsidRDefault="00EB2BD8">
            <w:pPr>
              <w:pStyle w:val="TableParagraph"/>
              <w:spacing w:before="19"/>
              <w:ind w:left="159"/>
              <w:rPr>
                <w:sz w:val="16"/>
              </w:rPr>
            </w:pPr>
            <w:r w:rsidRPr="00EB2BD8">
              <w:rPr>
                <w:sz w:val="16"/>
              </w:rPr>
              <w:t>rectification</w:t>
            </w:r>
            <w:r w:rsidRPr="00EB2BD8">
              <w:rPr>
                <w:spacing w:val="-12"/>
                <w:sz w:val="16"/>
              </w:rPr>
              <w:t xml:space="preserve"> </w:t>
            </w:r>
            <w:r w:rsidRPr="00EB2BD8">
              <w:rPr>
                <w:spacing w:val="-2"/>
                <w:sz w:val="16"/>
              </w:rPr>
              <w:t>notice.</w:t>
            </w:r>
          </w:p>
        </w:tc>
        <w:tc>
          <w:tcPr>
            <w:tcW w:w="3078" w:type="dxa"/>
            <w:tcBorders>
              <w:bottom w:val="single" w:sz="2" w:space="0" w:color="000000"/>
            </w:tcBorders>
          </w:tcPr>
          <w:p w14:paraId="33BE8DDB" w14:textId="77777777" w:rsidR="00084F36" w:rsidRPr="00EB2BD8" w:rsidRDefault="00EB2BD8">
            <w:pPr>
              <w:pStyle w:val="TableParagraph"/>
              <w:spacing w:before="19"/>
              <w:ind w:left="112"/>
              <w:rPr>
                <w:sz w:val="16"/>
              </w:rPr>
            </w:pPr>
            <w:r w:rsidRPr="00EB2BD8">
              <w:rPr>
                <w:spacing w:val="-2"/>
                <w:sz w:val="16"/>
              </w:rPr>
              <w:t>plus</w:t>
            </w:r>
            <w:r w:rsidRPr="00EB2BD8">
              <w:rPr>
                <w:spacing w:val="-11"/>
                <w:sz w:val="16"/>
              </w:rPr>
              <w:t xml:space="preserve"> </w:t>
            </w:r>
            <w:r w:rsidRPr="00EB2BD8">
              <w:rPr>
                <w:spacing w:val="-2"/>
                <w:sz w:val="16"/>
              </w:rPr>
              <w:t>costs</w:t>
            </w:r>
            <w:r w:rsidRPr="00EB2BD8">
              <w:rPr>
                <w:spacing w:val="-10"/>
                <w:sz w:val="16"/>
              </w:rPr>
              <w:t xml:space="preserve"> </w:t>
            </w:r>
            <w:r w:rsidRPr="00EB2BD8">
              <w:rPr>
                <w:spacing w:val="-2"/>
                <w:sz w:val="16"/>
              </w:rPr>
              <w:t>of</w:t>
            </w:r>
            <w:r w:rsidRPr="00EB2BD8">
              <w:rPr>
                <w:spacing w:val="-10"/>
                <w:sz w:val="16"/>
              </w:rPr>
              <w:t xml:space="preserve"> </w:t>
            </w:r>
            <w:r w:rsidRPr="00EB2BD8">
              <w:rPr>
                <w:spacing w:val="-2"/>
                <w:sz w:val="16"/>
              </w:rPr>
              <w:t>$1,427.</w:t>
            </w:r>
          </w:p>
        </w:tc>
        <w:tc>
          <w:tcPr>
            <w:tcW w:w="1081" w:type="dxa"/>
            <w:tcBorders>
              <w:bottom w:val="single" w:sz="2" w:space="0" w:color="000000"/>
            </w:tcBorders>
          </w:tcPr>
          <w:p w14:paraId="3054D03E" w14:textId="77777777" w:rsidR="00084F36" w:rsidRPr="00EB2BD8" w:rsidRDefault="00084F36">
            <w:pPr>
              <w:pStyle w:val="TableParagraph"/>
              <w:rPr>
                <w:rFonts w:ascii="Times New Roman"/>
                <w:sz w:val="16"/>
              </w:rPr>
            </w:pPr>
          </w:p>
        </w:tc>
        <w:tc>
          <w:tcPr>
            <w:tcW w:w="1177" w:type="dxa"/>
            <w:tcBorders>
              <w:bottom w:val="single" w:sz="2" w:space="0" w:color="000000"/>
            </w:tcBorders>
          </w:tcPr>
          <w:p w14:paraId="40C5B184" w14:textId="77777777" w:rsidR="00084F36" w:rsidRPr="00EB2BD8" w:rsidRDefault="00084F36">
            <w:pPr>
              <w:pStyle w:val="TableParagraph"/>
              <w:rPr>
                <w:rFonts w:ascii="Times New Roman"/>
                <w:sz w:val="16"/>
              </w:rPr>
            </w:pPr>
          </w:p>
        </w:tc>
      </w:tr>
      <w:tr w:rsidR="00EB2BD8" w:rsidRPr="00EB2BD8" w14:paraId="229DD854" w14:textId="77777777">
        <w:trPr>
          <w:trHeight w:val="326"/>
        </w:trPr>
        <w:tc>
          <w:tcPr>
            <w:tcW w:w="1711" w:type="dxa"/>
            <w:tcBorders>
              <w:top w:val="single" w:sz="2" w:space="0" w:color="000000"/>
            </w:tcBorders>
          </w:tcPr>
          <w:p w14:paraId="2B271B0D" w14:textId="77777777" w:rsidR="00084F36" w:rsidRPr="00EB2BD8" w:rsidRDefault="00EB2BD8">
            <w:pPr>
              <w:pStyle w:val="TableParagraph"/>
              <w:spacing w:before="116"/>
              <w:ind w:left="113"/>
              <w:rPr>
                <w:sz w:val="16"/>
              </w:rPr>
            </w:pPr>
            <w:r w:rsidRPr="00EB2BD8">
              <w:rPr>
                <w:sz w:val="16"/>
              </w:rPr>
              <w:t>KESER,</w:t>
            </w:r>
            <w:r w:rsidRPr="00EB2BD8">
              <w:rPr>
                <w:spacing w:val="6"/>
                <w:sz w:val="16"/>
              </w:rPr>
              <w:t xml:space="preserve"> </w:t>
            </w:r>
            <w:r w:rsidRPr="00EB2BD8">
              <w:rPr>
                <w:spacing w:val="-2"/>
                <w:sz w:val="16"/>
              </w:rPr>
              <w:t>Peter</w:t>
            </w:r>
          </w:p>
        </w:tc>
        <w:tc>
          <w:tcPr>
            <w:tcW w:w="3165" w:type="dxa"/>
            <w:tcBorders>
              <w:top w:val="single" w:sz="2" w:space="0" w:color="000000"/>
            </w:tcBorders>
          </w:tcPr>
          <w:p w14:paraId="164581CA" w14:textId="77777777" w:rsidR="00084F36" w:rsidRPr="00EB2BD8" w:rsidRDefault="00EB2BD8">
            <w:pPr>
              <w:pStyle w:val="TableParagraph"/>
              <w:spacing w:before="116"/>
              <w:ind w:left="159"/>
              <w:rPr>
                <w:sz w:val="16"/>
              </w:rPr>
            </w:pPr>
            <w:r w:rsidRPr="00EB2BD8">
              <w:rPr>
                <w:sz w:val="16"/>
              </w:rPr>
              <w:t>Failed</w:t>
            </w:r>
            <w:r w:rsidRPr="00EB2BD8">
              <w:rPr>
                <w:spacing w:val="-11"/>
                <w:sz w:val="16"/>
              </w:rPr>
              <w:t xml:space="preserve"> </w:t>
            </w:r>
            <w:r w:rsidRPr="00EB2BD8">
              <w:rPr>
                <w:sz w:val="16"/>
              </w:rPr>
              <w:t>to</w:t>
            </w:r>
            <w:r w:rsidRPr="00EB2BD8">
              <w:rPr>
                <w:spacing w:val="-10"/>
                <w:sz w:val="16"/>
              </w:rPr>
              <w:t xml:space="preserve"> </w:t>
            </w:r>
            <w:r w:rsidRPr="00EB2BD8">
              <w:rPr>
                <w:sz w:val="16"/>
              </w:rPr>
              <w:t>lodge</w:t>
            </w:r>
            <w:r w:rsidRPr="00EB2BD8">
              <w:rPr>
                <w:spacing w:val="-11"/>
                <w:sz w:val="16"/>
              </w:rPr>
              <w:t xml:space="preserve"> </w:t>
            </w:r>
            <w:r w:rsidRPr="00EB2BD8">
              <w:rPr>
                <w:sz w:val="16"/>
              </w:rPr>
              <w:t>compliance</w:t>
            </w:r>
            <w:r w:rsidRPr="00EB2BD8">
              <w:rPr>
                <w:spacing w:val="-10"/>
                <w:sz w:val="16"/>
              </w:rPr>
              <w:t xml:space="preserve"> </w:t>
            </w:r>
            <w:r w:rsidRPr="00EB2BD8">
              <w:rPr>
                <w:spacing w:val="-2"/>
                <w:sz w:val="16"/>
              </w:rPr>
              <w:t>certificate</w:t>
            </w:r>
          </w:p>
        </w:tc>
        <w:tc>
          <w:tcPr>
            <w:tcW w:w="3078" w:type="dxa"/>
            <w:tcBorders>
              <w:top w:val="single" w:sz="2" w:space="0" w:color="000000"/>
            </w:tcBorders>
          </w:tcPr>
          <w:p w14:paraId="0390E17A" w14:textId="77777777" w:rsidR="00084F36" w:rsidRPr="00EB2BD8" w:rsidRDefault="00EB2BD8">
            <w:pPr>
              <w:pStyle w:val="TableParagraph"/>
              <w:spacing w:before="116"/>
              <w:ind w:left="112"/>
              <w:rPr>
                <w:sz w:val="16"/>
              </w:rPr>
            </w:pPr>
            <w:r w:rsidRPr="00EB2BD8">
              <w:rPr>
                <w:spacing w:val="-4"/>
                <w:sz w:val="16"/>
              </w:rPr>
              <w:t>Two</w:t>
            </w:r>
            <w:r w:rsidRPr="00EB2BD8">
              <w:rPr>
                <w:spacing w:val="-5"/>
                <w:sz w:val="16"/>
              </w:rPr>
              <w:t xml:space="preserve"> </w:t>
            </w:r>
            <w:r w:rsidRPr="00EB2BD8">
              <w:rPr>
                <w:spacing w:val="-4"/>
                <w:sz w:val="16"/>
              </w:rPr>
              <w:t>grounds</w:t>
            </w:r>
            <w:r w:rsidRPr="00EB2BD8">
              <w:rPr>
                <w:spacing w:val="-5"/>
                <w:sz w:val="16"/>
              </w:rPr>
              <w:t xml:space="preserve"> </w:t>
            </w:r>
            <w:r w:rsidRPr="00EB2BD8">
              <w:rPr>
                <w:spacing w:val="-4"/>
                <w:sz w:val="16"/>
              </w:rPr>
              <w:t>proven.</w:t>
            </w:r>
            <w:r w:rsidRPr="00EB2BD8">
              <w:rPr>
                <w:spacing w:val="-5"/>
                <w:sz w:val="16"/>
              </w:rPr>
              <w:t xml:space="preserve"> </w:t>
            </w:r>
            <w:r w:rsidRPr="00EB2BD8">
              <w:rPr>
                <w:spacing w:val="-4"/>
                <w:sz w:val="16"/>
              </w:rPr>
              <w:t>Reprimand.</w:t>
            </w:r>
          </w:p>
        </w:tc>
        <w:tc>
          <w:tcPr>
            <w:tcW w:w="1081" w:type="dxa"/>
            <w:tcBorders>
              <w:top w:val="single" w:sz="2" w:space="0" w:color="000000"/>
            </w:tcBorders>
          </w:tcPr>
          <w:p w14:paraId="6826B68C" w14:textId="77777777" w:rsidR="00084F36" w:rsidRPr="00EB2BD8" w:rsidRDefault="00EB2BD8">
            <w:pPr>
              <w:pStyle w:val="TableParagraph"/>
              <w:spacing w:before="116"/>
              <w:ind w:right="114"/>
              <w:jc w:val="right"/>
              <w:rPr>
                <w:sz w:val="16"/>
              </w:rPr>
            </w:pPr>
            <w:r w:rsidRPr="00EB2BD8">
              <w:rPr>
                <w:spacing w:val="-2"/>
                <w:w w:val="90"/>
                <w:sz w:val="16"/>
              </w:rPr>
              <w:t>$11,095</w:t>
            </w:r>
          </w:p>
        </w:tc>
        <w:tc>
          <w:tcPr>
            <w:tcW w:w="1177" w:type="dxa"/>
            <w:tcBorders>
              <w:top w:val="single" w:sz="2" w:space="0" w:color="000000"/>
            </w:tcBorders>
          </w:tcPr>
          <w:p w14:paraId="3035FFAA" w14:textId="77777777" w:rsidR="00084F36" w:rsidRPr="00EB2BD8" w:rsidRDefault="00EB2BD8">
            <w:pPr>
              <w:pStyle w:val="TableParagraph"/>
              <w:spacing w:before="116"/>
              <w:ind w:left="111"/>
              <w:rPr>
                <w:sz w:val="16"/>
              </w:rPr>
            </w:pPr>
            <w:r w:rsidRPr="00EB2BD8">
              <w:rPr>
                <w:spacing w:val="-2"/>
                <w:w w:val="95"/>
                <w:sz w:val="16"/>
              </w:rPr>
              <w:t>27/04/2023</w:t>
            </w:r>
          </w:p>
        </w:tc>
      </w:tr>
      <w:tr w:rsidR="00EB2BD8" w:rsidRPr="00EB2BD8" w14:paraId="325A2EF0" w14:textId="77777777">
        <w:trPr>
          <w:trHeight w:val="230"/>
        </w:trPr>
        <w:tc>
          <w:tcPr>
            <w:tcW w:w="1711" w:type="dxa"/>
          </w:tcPr>
          <w:p w14:paraId="1C80D181" w14:textId="77777777" w:rsidR="00084F36" w:rsidRPr="00EB2BD8" w:rsidRDefault="00084F36">
            <w:pPr>
              <w:pStyle w:val="TableParagraph"/>
              <w:rPr>
                <w:rFonts w:ascii="Times New Roman"/>
                <w:sz w:val="16"/>
              </w:rPr>
            </w:pPr>
          </w:p>
        </w:tc>
        <w:tc>
          <w:tcPr>
            <w:tcW w:w="3165" w:type="dxa"/>
          </w:tcPr>
          <w:p w14:paraId="14F2042E" w14:textId="77777777" w:rsidR="00084F36" w:rsidRPr="00EB2BD8" w:rsidRDefault="00EB2BD8">
            <w:pPr>
              <w:pStyle w:val="TableParagraph"/>
              <w:spacing w:before="19"/>
              <w:ind w:left="159"/>
              <w:rPr>
                <w:sz w:val="16"/>
              </w:rPr>
            </w:pPr>
            <w:r w:rsidRPr="00EB2BD8">
              <w:rPr>
                <w:spacing w:val="-2"/>
                <w:sz w:val="16"/>
              </w:rPr>
              <w:t>within</w:t>
            </w:r>
            <w:r w:rsidRPr="00EB2BD8">
              <w:rPr>
                <w:spacing w:val="-9"/>
                <w:sz w:val="16"/>
              </w:rPr>
              <w:t xml:space="preserve"> </w:t>
            </w:r>
            <w:r w:rsidRPr="00EB2BD8">
              <w:rPr>
                <w:spacing w:val="-2"/>
                <w:sz w:val="16"/>
              </w:rPr>
              <w:t>5</w:t>
            </w:r>
            <w:r w:rsidRPr="00EB2BD8">
              <w:rPr>
                <w:spacing w:val="-8"/>
                <w:sz w:val="16"/>
              </w:rPr>
              <w:t xml:space="preserve"> </w:t>
            </w:r>
            <w:r w:rsidRPr="00EB2BD8">
              <w:rPr>
                <w:spacing w:val="-2"/>
                <w:sz w:val="16"/>
              </w:rPr>
              <w:t>days</w:t>
            </w:r>
            <w:r w:rsidRPr="00EB2BD8">
              <w:rPr>
                <w:spacing w:val="-8"/>
                <w:sz w:val="16"/>
              </w:rPr>
              <w:t xml:space="preserve"> </w:t>
            </w:r>
            <w:r w:rsidRPr="00EB2BD8">
              <w:rPr>
                <w:spacing w:val="-2"/>
                <w:sz w:val="16"/>
              </w:rPr>
              <w:t>of</w:t>
            </w:r>
            <w:r w:rsidRPr="00EB2BD8">
              <w:rPr>
                <w:spacing w:val="-8"/>
                <w:sz w:val="16"/>
              </w:rPr>
              <w:t xml:space="preserve"> </w:t>
            </w:r>
            <w:r w:rsidRPr="00EB2BD8">
              <w:rPr>
                <w:spacing w:val="-2"/>
                <w:sz w:val="16"/>
              </w:rPr>
              <w:t>the</w:t>
            </w:r>
            <w:r w:rsidRPr="00EB2BD8">
              <w:rPr>
                <w:spacing w:val="-8"/>
                <w:sz w:val="16"/>
              </w:rPr>
              <w:t xml:space="preserve"> </w:t>
            </w:r>
            <w:r w:rsidRPr="00EB2BD8">
              <w:rPr>
                <w:spacing w:val="-2"/>
                <w:sz w:val="16"/>
              </w:rPr>
              <w:t>completion</w:t>
            </w:r>
            <w:r w:rsidRPr="00EB2BD8">
              <w:rPr>
                <w:spacing w:val="-8"/>
                <w:sz w:val="16"/>
              </w:rPr>
              <w:t xml:space="preserve"> </w:t>
            </w:r>
            <w:r w:rsidRPr="00EB2BD8">
              <w:rPr>
                <w:spacing w:val="-2"/>
                <w:sz w:val="16"/>
              </w:rPr>
              <w:t>of</w:t>
            </w:r>
            <w:r w:rsidRPr="00EB2BD8">
              <w:rPr>
                <w:spacing w:val="-8"/>
                <w:sz w:val="16"/>
              </w:rPr>
              <w:t xml:space="preserve"> </w:t>
            </w:r>
            <w:r w:rsidRPr="00EB2BD8">
              <w:rPr>
                <w:spacing w:val="-5"/>
                <w:sz w:val="16"/>
              </w:rPr>
              <w:t>the</w:t>
            </w:r>
          </w:p>
        </w:tc>
        <w:tc>
          <w:tcPr>
            <w:tcW w:w="3078" w:type="dxa"/>
          </w:tcPr>
          <w:p w14:paraId="239702AC" w14:textId="77777777" w:rsidR="00084F36" w:rsidRPr="00EB2BD8" w:rsidRDefault="00EB2BD8">
            <w:pPr>
              <w:pStyle w:val="TableParagraph"/>
              <w:spacing w:before="19"/>
              <w:ind w:left="112"/>
              <w:rPr>
                <w:sz w:val="16"/>
              </w:rPr>
            </w:pPr>
            <w:r w:rsidRPr="00EB2BD8">
              <w:rPr>
                <w:sz w:val="16"/>
              </w:rPr>
              <w:t>Penalty</w:t>
            </w:r>
            <w:r w:rsidRPr="00EB2BD8">
              <w:rPr>
                <w:spacing w:val="-5"/>
                <w:sz w:val="16"/>
              </w:rPr>
              <w:t xml:space="preserve"> </w:t>
            </w:r>
            <w:r w:rsidRPr="00EB2BD8">
              <w:rPr>
                <w:sz w:val="16"/>
              </w:rPr>
              <w:t>of</w:t>
            </w:r>
            <w:r w:rsidRPr="00EB2BD8">
              <w:rPr>
                <w:spacing w:val="-4"/>
                <w:sz w:val="16"/>
              </w:rPr>
              <w:t xml:space="preserve"> </w:t>
            </w:r>
            <w:r w:rsidRPr="00EB2BD8">
              <w:rPr>
                <w:spacing w:val="-2"/>
                <w:sz w:val="16"/>
              </w:rPr>
              <w:t>$11,095.</w:t>
            </w:r>
          </w:p>
        </w:tc>
        <w:tc>
          <w:tcPr>
            <w:tcW w:w="1081" w:type="dxa"/>
          </w:tcPr>
          <w:p w14:paraId="734E4F88" w14:textId="77777777" w:rsidR="00084F36" w:rsidRPr="00EB2BD8" w:rsidRDefault="00084F36">
            <w:pPr>
              <w:pStyle w:val="TableParagraph"/>
              <w:rPr>
                <w:rFonts w:ascii="Times New Roman"/>
                <w:sz w:val="16"/>
              </w:rPr>
            </w:pPr>
          </w:p>
        </w:tc>
        <w:tc>
          <w:tcPr>
            <w:tcW w:w="1177" w:type="dxa"/>
          </w:tcPr>
          <w:p w14:paraId="1E4E0673" w14:textId="77777777" w:rsidR="00084F36" w:rsidRPr="00EB2BD8" w:rsidRDefault="00084F36">
            <w:pPr>
              <w:pStyle w:val="TableParagraph"/>
              <w:rPr>
                <w:rFonts w:ascii="Times New Roman"/>
                <w:sz w:val="16"/>
              </w:rPr>
            </w:pPr>
          </w:p>
        </w:tc>
      </w:tr>
      <w:tr w:rsidR="00EB2BD8" w:rsidRPr="00EB2BD8" w14:paraId="444DB7FE" w14:textId="77777777">
        <w:trPr>
          <w:trHeight w:val="229"/>
        </w:trPr>
        <w:tc>
          <w:tcPr>
            <w:tcW w:w="1711" w:type="dxa"/>
          </w:tcPr>
          <w:p w14:paraId="48C779C4" w14:textId="77777777" w:rsidR="00084F36" w:rsidRPr="00EB2BD8" w:rsidRDefault="00084F36">
            <w:pPr>
              <w:pStyle w:val="TableParagraph"/>
              <w:rPr>
                <w:rFonts w:ascii="Times New Roman"/>
                <w:sz w:val="16"/>
              </w:rPr>
            </w:pPr>
          </w:p>
        </w:tc>
        <w:tc>
          <w:tcPr>
            <w:tcW w:w="3165" w:type="dxa"/>
          </w:tcPr>
          <w:p w14:paraId="2797201B" w14:textId="77777777" w:rsidR="00084F36" w:rsidRPr="00EB2BD8" w:rsidRDefault="00EB2BD8">
            <w:pPr>
              <w:pStyle w:val="TableParagraph"/>
              <w:spacing w:before="19"/>
              <w:ind w:left="159"/>
              <w:rPr>
                <w:sz w:val="16"/>
              </w:rPr>
            </w:pPr>
            <w:r w:rsidRPr="00EB2BD8">
              <w:rPr>
                <w:sz w:val="16"/>
              </w:rPr>
              <w:t>work.</w:t>
            </w:r>
            <w:r w:rsidRPr="00EB2BD8">
              <w:rPr>
                <w:spacing w:val="-11"/>
                <w:sz w:val="16"/>
              </w:rPr>
              <w:t xml:space="preserve"> </w:t>
            </w:r>
            <w:r w:rsidRPr="00EB2BD8">
              <w:rPr>
                <w:sz w:val="16"/>
              </w:rPr>
              <w:t>Signed</w:t>
            </w:r>
            <w:r w:rsidRPr="00EB2BD8">
              <w:rPr>
                <w:spacing w:val="-10"/>
                <w:sz w:val="16"/>
              </w:rPr>
              <w:t xml:space="preserve"> </w:t>
            </w:r>
            <w:r w:rsidRPr="00EB2BD8">
              <w:rPr>
                <w:sz w:val="16"/>
              </w:rPr>
              <w:t>a</w:t>
            </w:r>
            <w:r w:rsidRPr="00EB2BD8">
              <w:rPr>
                <w:spacing w:val="-10"/>
                <w:sz w:val="16"/>
              </w:rPr>
              <w:t xml:space="preserve"> </w:t>
            </w:r>
            <w:r w:rsidRPr="00EB2BD8">
              <w:rPr>
                <w:sz w:val="16"/>
              </w:rPr>
              <w:t>compliance</w:t>
            </w:r>
            <w:r w:rsidRPr="00EB2BD8">
              <w:rPr>
                <w:spacing w:val="-10"/>
                <w:sz w:val="16"/>
              </w:rPr>
              <w:t xml:space="preserve"> </w:t>
            </w:r>
            <w:r w:rsidRPr="00EB2BD8">
              <w:rPr>
                <w:spacing w:val="-2"/>
                <w:sz w:val="16"/>
              </w:rPr>
              <w:t>certificate</w:t>
            </w:r>
          </w:p>
        </w:tc>
        <w:tc>
          <w:tcPr>
            <w:tcW w:w="3078" w:type="dxa"/>
          </w:tcPr>
          <w:p w14:paraId="6BB785B8" w14:textId="77777777" w:rsidR="00084F36" w:rsidRPr="00EB2BD8" w:rsidRDefault="00084F36">
            <w:pPr>
              <w:pStyle w:val="TableParagraph"/>
              <w:rPr>
                <w:rFonts w:ascii="Times New Roman"/>
                <w:sz w:val="16"/>
              </w:rPr>
            </w:pPr>
          </w:p>
        </w:tc>
        <w:tc>
          <w:tcPr>
            <w:tcW w:w="1081" w:type="dxa"/>
          </w:tcPr>
          <w:p w14:paraId="7A91E2D8" w14:textId="77777777" w:rsidR="00084F36" w:rsidRPr="00EB2BD8" w:rsidRDefault="00084F36">
            <w:pPr>
              <w:pStyle w:val="TableParagraph"/>
              <w:rPr>
                <w:rFonts w:ascii="Times New Roman"/>
                <w:sz w:val="16"/>
              </w:rPr>
            </w:pPr>
          </w:p>
        </w:tc>
        <w:tc>
          <w:tcPr>
            <w:tcW w:w="1177" w:type="dxa"/>
          </w:tcPr>
          <w:p w14:paraId="49B8742D" w14:textId="77777777" w:rsidR="00084F36" w:rsidRPr="00EB2BD8" w:rsidRDefault="00084F36">
            <w:pPr>
              <w:pStyle w:val="TableParagraph"/>
              <w:rPr>
                <w:rFonts w:ascii="Times New Roman"/>
                <w:sz w:val="16"/>
              </w:rPr>
            </w:pPr>
          </w:p>
        </w:tc>
      </w:tr>
      <w:tr w:rsidR="00EB2BD8" w:rsidRPr="00EB2BD8" w14:paraId="1C03B07D" w14:textId="77777777">
        <w:trPr>
          <w:trHeight w:val="229"/>
        </w:trPr>
        <w:tc>
          <w:tcPr>
            <w:tcW w:w="1711" w:type="dxa"/>
          </w:tcPr>
          <w:p w14:paraId="74985659" w14:textId="77777777" w:rsidR="00084F36" w:rsidRPr="00EB2BD8" w:rsidRDefault="00084F36">
            <w:pPr>
              <w:pStyle w:val="TableParagraph"/>
              <w:rPr>
                <w:rFonts w:ascii="Times New Roman"/>
                <w:sz w:val="16"/>
              </w:rPr>
            </w:pPr>
          </w:p>
        </w:tc>
        <w:tc>
          <w:tcPr>
            <w:tcW w:w="3165" w:type="dxa"/>
          </w:tcPr>
          <w:p w14:paraId="133594B0" w14:textId="77777777" w:rsidR="00084F36" w:rsidRPr="00EB2BD8" w:rsidRDefault="00EB2BD8">
            <w:pPr>
              <w:pStyle w:val="TableParagraph"/>
              <w:spacing w:before="19"/>
              <w:ind w:left="159"/>
              <w:rPr>
                <w:sz w:val="16"/>
              </w:rPr>
            </w:pPr>
            <w:r w:rsidRPr="00EB2BD8">
              <w:rPr>
                <w:sz w:val="16"/>
              </w:rPr>
              <w:t>which</w:t>
            </w:r>
            <w:r w:rsidRPr="00EB2BD8">
              <w:rPr>
                <w:spacing w:val="-10"/>
                <w:sz w:val="16"/>
              </w:rPr>
              <w:t xml:space="preserve"> </w:t>
            </w:r>
            <w:r w:rsidRPr="00EB2BD8">
              <w:rPr>
                <w:sz w:val="16"/>
              </w:rPr>
              <w:t>contained</w:t>
            </w:r>
            <w:r w:rsidRPr="00EB2BD8">
              <w:rPr>
                <w:spacing w:val="-10"/>
                <w:sz w:val="16"/>
              </w:rPr>
              <w:t xml:space="preserve"> </w:t>
            </w:r>
            <w:r w:rsidRPr="00EB2BD8">
              <w:rPr>
                <w:sz w:val="16"/>
              </w:rPr>
              <w:t>misstatements</w:t>
            </w:r>
            <w:r w:rsidRPr="00EB2BD8">
              <w:rPr>
                <w:spacing w:val="-10"/>
                <w:sz w:val="16"/>
              </w:rPr>
              <w:t xml:space="preserve"> </w:t>
            </w:r>
            <w:r w:rsidRPr="00EB2BD8">
              <w:rPr>
                <w:spacing w:val="-5"/>
                <w:sz w:val="16"/>
              </w:rPr>
              <w:t>of</w:t>
            </w:r>
          </w:p>
        </w:tc>
        <w:tc>
          <w:tcPr>
            <w:tcW w:w="3078" w:type="dxa"/>
          </w:tcPr>
          <w:p w14:paraId="0995DD43" w14:textId="77777777" w:rsidR="00084F36" w:rsidRPr="00EB2BD8" w:rsidRDefault="00084F36">
            <w:pPr>
              <w:pStyle w:val="TableParagraph"/>
              <w:rPr>
                <w:rFonts w:ascii="Times New Roman"/>
                <w:sz w:val="16"/>
              </w:rPr>
            </w:pPr>
          </w:p>
        </w:tc>
        <w:tc>
          <w:tcPr>
            <w:tcW w:w="1081" w:type="dxa"/>
          </w:tcPr>
          <w:p w14:paraId="55560517" w14:textId="77777777" w:rsidR="00084F36" w:rsidRPr="00EB2BD8" w:rsidRDefault="00084F36">
            <w:pPr>
              <w:pStyle w:val="TableParagraph"/>
              <w:rPr>
                <w:rFonts w:ascii="Times New Roman"/>
                <w:sz w:val="16"/>
              </w:rPr>
            </w:pPr>
          </w:p>
        </w:tc>
        <w:tc>
          <w:tcPr>
            <w:tcW w:w="1177" w:type="dxa"/>
          </w:tcPr>
          <w:p w14:paraId="600E3492" w14:textId="77777777" w:rsidR="00084F36" w:rsidRPr="00EB2BD8" w:rsidRDefault="00084F36">
            <w:pPr>
              <w:pStyle w:val="TableParagraph"/>
              <w:rPr>
                <w:rFonts w:ascii="Times New Roman"/>
                <w:sz w:val="16"/>
              </w:rPr>
            </w:pPr>
          </w:p>
        </w:tc>
      </w:tr>
      <w:tr w:rsidR="00EB2BD8" w:rsidRPr="00EB2BD8" w14:paraId="2C35C098" w14:textId="77777777">
        <w:trPr>
          <w:trHeight w:val="285"/>
        </w:trPr>
        <w:tc>
          <w:tcPr>
            <w:tcW w:w="1711" w:type="dxa"/>
            <w:tcBorders>
              <w:bottom w:val="single" w:sz="2" w:space="0" w:color="000000"/>
            </w:tcBorders>
          </w:tcPr>
          <w:p w14:paraId="54967105" w14:textId="77777777" w:rsidR="00084F36" w:rsidRPr="00EB2BD8" w:rsidRDefault="00084F36">
            <w:pPr>
              <w:pStyle w:val="TableParagraph"/>
              <w:rPr>
                <w:rFonts w:ascii="Times New Roman"/>
                <w:sz w:val="16"/>
              </w:rPr>
            </w:pPr>
          </w:p>
        </w:tc>
        <w:tc>
          <w:tcPr>
            <w:tcW w:w="3165" w:type="dxa"/>
            <w:tcBorders>
              <w:bottom w:val="single" w:sz="2" w:space="0" w:color="000000"/>
            </w:tcBorders>
          </w:tcPr>
          <w:p w14:paraId="2A7A9CD7" w14:textId="77777777" w:rsidR="00084F36" w:rsidRPr="00EB2BD8" w:rsidRDefault="00EB2BD8">
            <w:pPr>
              <w:pStyle w:val="TableParagraph"/>
              <w:spacing w:before="19"/>
              <w:ind w:left="159"/>
              <w:rPr>
                <w:sz w:val="16"/>
              </w:rPr>
            </w:pPr>
            <w:r w:rsidRPr="00EB2BD8">
              <w:rPr>
                <w:spacing w:val="-2"/>
                <w:sz w:val="16"/>
              </w:rPr>
              <w:t>fact.</w:t>
            </w:r>
          </w:p>
        </w:tc>
        <w:tc>
          <w:tcPr>
            <w:tcW w:w="3078" w:type="dxa"/>
            <w:tcBorders>
              <w:bottom w:val="single" w:sz="2" w:space="0" w:color="000000"/>
            </w:tcBorders>
          </w:tcPr>
          <w:p w14:paraId="3CDFBDA5" w14:textId="77777777" w:rsidR="00084F36" w:rsidRPr="00EB2BD8" w:rsidRDefault="00084F36">
            <w:pPr>
              <w:pStyle w:val="TableParagraph"/>
              <w:rPr>
                <w:rFonts w:ascii="Times New Roman"/>
                <w:sz w:val="16"/>
              </w:rPr>
            </w:pPr>
          </w:p>
        </w:tc>
        <w:tc>
          <w:tcPr>
            <w:tcW w:w="1081" w:type="dxa"/>
            <w:tcBorders>
              <w:bottom w:val="single" w:sz="2" w:space="0" w:color="000000"/>
            </w:tcBorders>
          </w:tcPr>
          <w:p w14:paraId="6E7B3F1A" w14:textId="77777777" w:rsidR="00084F36" w:rsidRPr="00EB2BD8" w:rsidRDefault="00084F36">
            <w:pPr>
              <w:pStyle w:val="TableParagraph"/>
              <w:rPr>
                <w:rFonts w:ascii="Times New Roman"/>
                <w:sz w:val="16"/>
              </w:rPr>
            </w:pPr>
          </w:p>
        </w:tc>
        <w:tc>
          <w:tcPr>
            <w:tcW w:w="1177" w:type="dxa"/>
            <w:tcBorders>
              <w:bottom w:val="single" w:sz="2" w:space="0" w:color="000000"/>
            </w:tcBorders>
          </w:tcPr>
          <w:p w14:paraId="0930B253" w14:textId="77777777" w:rsidR="00084F36" w:rsidRPr="00EB2BD8" w:rsidRDefault="00084F36">
            <w:pPr>
              <w:pStyle w:val="TableParagraph"/>
              <w:rPr>
                <w:rFonts w:ascii="Times New Roman"/>
                <w:sz w:val="16"/>
              </w:rPr>
            </w:pPr>
          </w:p>
        </w:tc>
      </w:tr>
      <w:tr w:rsidR="00EB2BD8" w:rsidRPr="00EB2BD8" w14:paraId="2CB15218" w14:textId="77777777">
        <w:trPr>
          <w:trHeight w:val="326"/>
        </w:trPr>
        <w:tc>
          <w:tcPr>
            <w:tcW w:w="1711" w:type="dxa"/>
            <w:tcBorders>
              <w:top w:val="single" w:sz="2" w:space="0" w:color="000000"/>
            </w:tcBorders>
          </w:tcPr>
          <w:p w14:paraId="252A41AA" w14:textId="77777777" w:rsidR="00084F36" w:rsidRPr="00EB2BD8" w:rsidRDefault="00EB2BD8">
            <w:pPr>
              <w:pStyle w:val="TableParagraph"/>
              <w:spacing w:before="116"/>
              <w:ind w:left="113"/>
              <w:rPr>
                <w:sz w:val="16"/>
              </w:rPr>
            </w:pPr>
            <w:r w:rsidRPr="00EB2BD8">
              <w:rPr>
                <w:spacing w:val="-4"/>
                <w:sz w:val="16"/>
              </w:rPr>
              <w:t>MAHER,</w:t>
            </w:r>
            <w:r w:rsidRPr="00EB2BD8">
              <w:rPr>
                <w:spacing w:val="-1"/>
                <w:sz w:val="16"/>
              </w:rPr>
              <w:t xml:space="preserve"> </w:t>
            </w:r>
            <w:r w:rsidRPr="00EB2BD8">
              <w:rPr>
                <w:spacing w:val="-4"/>
                <w:sz w:val="16"/>
              </w:rPr>
              <w:t>Grant</w:t>
            </w:r>
          </w:p>
        </w:tc>
        <w:tc>
          <w:tcPr>
            <w:tcW w:w="3165" w:type="dxa"/>
            <w:tcBorders>
              <w:top w:val="single" w:sz="2" w:space="0" w:color="000000"/>
            </w:tcBorders>
          </w:tcPr>
          <w:p w14:paraId="6125E44F" w14:textId="77777777" w:rsidR="00084F36" w:rsidRPr="00EB2BD8" w:rsidRDefault="00EB2BD8">
            <w:pPr>
              <w:pStyle w:val="TableParagraph"/>
              <w:spacing w:before="116"/>
              <w:ind w:left="159"/>
              <w:rPr>
                <w:sz w:val="16"/>
              </w:rPr>
            </w:pPr>
            <w:r w:rsidRPr="00EB2BD8">
              <w:rPr>
                <w:sz w:val="16"/>
              </w:rPr>
              <w:t>Provided</w:t>
            </w:r>
            <w:r w:rsidRPr="00EB2BD8">
              <w:rPr>
                <w:spacing w:val="-10"/>
                <w:sz w:val="16"/>
              </w:rPr>
              <w:t xml:space="preserve"> </w:t>
            </w:r>
            <w:r w:rsidRPr="00EB2BD8">
              <w:rPr>
                <w:sz w:val="16"/>
              </w:rPr>
              <w:t>misstatement</w:t>
            </w:r>
            <w:r w:rsidRPr="00EB2BD8">
              <w:rPr>
                <w:spacing w:val="-9"/>
                <w:sz w:val="16"/>
              </w:rPr>
              <w:t xml:space="preserve"> </w:t>
            </w:r>
            <w:r w:rsidRPr="00EB2BD8">
              <w:rPr>
                <w:sz w:val="16"/>
              </w:rPr>
              <w:t>of</w:t>
            </w:r>
            <w:r w:rsidRPr="00EB2BD8">
              <w:rPr>
                <w:spacing w:val="-9"/>
                <w:sz w:val="16"/>
              </w:rPr>
              <w:t xml:space="preserve"> </w:t>
            </w:r>
            <w:r w:rsidRPr="00EB2BD8">
              <w:rPr>
                <w:sz w:val="16"/>
              </w:rPr>
              <w:t>fact</w:t>
            </w:r>
            <w:r w:rsidRPr="00EB2BD8">
              <w:rPr>
                <w:spacing w:val="-10"/>
                <w:sz w:val="16"/>
              </w:rPr>
              <w:t xml:space="preserve"> </w:t>
            </w:r>
            <w:r w:rsidRPr="00EB2BD8">
              <w:rPr>
                <w:spacing w:val="-5"/>
                <w:sz w:val="16"/>
              </w:rPr>
              <w:t>on</w:t>
            </w:r>
          </w:p>
        </w:tc>
        <w:tc>
          <w:tcPr>
            <w:tcW w:w="3078" w:type="dxa"/>
            <w:tcBorders>
              <w:top w:val="single" w:sz="2" w:space="0" w:color="000000"/>
            </w:tcBorders>
          </w:tcPr>
          <w:p w14:paraId="05B48478" w14:textId="77777777" w:rsidR="00084F36" w:rsidRPr="00EB2BD8" w:rsidRDefault="00EB2BD8">
            <w:pPr>
              <w:pStyle w:val="TableParagraph"/>
              <w:spacing w:before="115"/>
              <w:ind w:left="112"/>
              <w:rPr>
                <w:sz w:val="16"/>
              </w:rPr>
            </w:pPr>
            <w:r w:rsidRPr="00EB2BD8">
              <w:rPr>
                <w:spacing w:val="-2"/>
                <w:sz w:val="16"/>
              </w:rPr>
              <w:t>Four grounds</w:t>
            </w:r>
            <w:r w:rsidRPr="00EB2BD8">
              <w:rPr>
                <w:spacing w:val="-1"/>
                <w:sz w:val="16"/>
              </w:rPr>
              <w:t xml:space="preserve"> </w:t>
            </w:r>
            <w:r w:rsidRPr="00EB2BD8">
              <w:rPr>
                <w:spacing w:val="-2"/>
                <w:sz w:val="16"/>
              </w:rPr>
              <w:t>proven;</w:t>
            </w:r>
            <w:r w:rsidRPr="00EB2BD8">
              <w:rPr>
                <w:spacing w:val="-1"/>
                <w:sz w:val="16"/>
              </w:rPr>
              <w:t xml:space="preserve"> </w:t>
            </w:r>
            <w:r w:rsidRPr="00EB2BD8">
              <w:rPr>
                <w:spacing w:val="-2"/>
                <w:sz w:val="16"/>
              </w:rPr>
              <w:t>Penalty</w:t>
            </w:r>
            <w:r w:rsidRPr="00EB2BD8">
              <w:rPr>
                <w:spacing w:val="-1"/>
                <w:sz w:val="16"/>
              </w:rPr>
              <w:t xml:space="preserve"> </w:t>
            </w:r>
            <w:r w:rsidRPr="00EB2BD8">
              <w:rPr>
                <w:spacing w:val="-5"/>
                <w:sz w:val="16"/>
              </w:rPr>
              <w:t>of</w:t>
            </w:r>
          </w:p>
        </w:tc>
        <w:tc>
          <w:tcPr>
            <w:tcW w:w="1081" w:type="dxa"/>
            <w:tcBorders>
              <w:top w:val="single" w:sz="2" w:space="0" w:color="000000"/>
            </w:tcBorders>
          </w:tcPr>
          <w:p w14:paraId="794A93EE" w14:textId="77777777" w:rsidR="00084F36" w:rsidRPr="00EB2BD8" w:rsidRDefault="00EB2BD8">
            <w:pPr>
              <w:pStyle w:val="TableParagraph"/>
              <w:spacing w:before="115"/>
              <w:ind w:right="114"/>
              <w:jc w:val="right"/>
              <w:rPr>
                <w:sz w:val="16"/>
              </w:rPr>
            </w:pPr>
            <w:r w:rsidRPr="00EB2BD8">
              <w:rPr>
                <w:spacing w:val="-2"/>
                <w:w w:val="95"/>
                <w:sz w:val="16"/>
              </w:rPr>
              <w:t>$4,623</w:t>
            </w:r>
          </w:p>
        </w:tc>
        <w:tc>
          <w:tcPr>
            <w:tcW w:w="1177" w:type="dxa"/>
            <w:tcBorders>
              <w:top w:val="single" w:sz="2" w:space="0" w:color="000000"/>
            </w:tcBorders>
          </w:tcPr>
          <w:p w14:paraId="3D1A1556" w14:textId="77777777" w:rsidR="00084F36" w:rsidRPr="00EB2BD8" w:rsidRDefault="00EB2BD8">
            <w:pPr>
              <w:pStyle w:val="TableParagraph"/>
              <w:spacing w:before="115"/>
              <w:ind w:left="110"/>
              <w:rPr>
                <w:sz w:val="16"/>
              </w:rPr>
            </w:pPr>
            <w:r w:rsidRPr="00EB2BD8">
              <w:rPr>
                <w:spacing w:val="-2"/>
                <w:sz w:val="16"/>
              </w:rPr>
              <w:t>06/06/2023</w:t>
            </w:r>
          </w:p>
        </w:tc>
      </w:tr>
      <w:tr w:rsidR="00EB2BD8" w:rsidRPr="00EB2BD8" w14:paraId="55872F95" w14:textId="77777777">
        <w:trPr>
          <w:trHeight w:val="229"/>
        </w:trPr>
        <w:tc>
          <w:tcPr>
            <w:tcW w:w="1711" w:type="dxa"/>
          </w:tcPr>
          <w:p w14:paraId="29A731FF" w14:textId="77777777" w:rsidR="00084F36" w:rsidRPr="00EB2BD8" w:rsidRDefault="00084F36">
            <w:pPr>
              <w:pStyle w:val="TableParagraph"/>
              <w:rPr>
                <w:rFonts w:ascii="Times New Roman"/>
                <w:sz w:val="16"/>
              </w:rPr>
            </w:pPr>
          </w:p>
        </w:tc>
        <w:tc>
          <w:tcPr>
            <w:tcW w:w="3165" w:type="dxa"/>
          </w:tcPr>
          <w:p w14:paraId="0E35BDDC" w14:textId="77777777" w:rsidR="00084F36" w:rsidRPr="00EB2BD8" w:rsidRDefault="00EB2BD8">
            <w:pPr>
              <w:pStyle w:val="TableParagraph"/>
              <w:spacing w:before="19"/>
              <w:ind w:left="159"/>
              <w:rPr>
                <w:sz w:val="16"/>
              </w:rPr>
            </w:pPr>
            <w:r w:rsidRPr="00EB2BD8">
              <w:rPr>
                <w:sz w:val="16"/>
              </w:rPr>
              <w:t>the</w:t>
            </w:r>
            <w:r w:rsidRPr="00EB2BD8">
              <w:rPr>
                <w:spacing w:val="-6"/>
                <w:sz w:val="16"/>
              </w:rPr>
              <w:t xml:space="preserve"> </w:t>
            </w:r>
            <w:r w:rsidRPr="00EB2BD8">
              <w:rPr>
                <w:sz w:val="16"/>
              </w:rPr>
              <w:t>lodged</w:t>
            </w:r>
            <w:r w:rsidRPr="00EB2BD8">
              <w:rPr>
                <w:spacing w:val="-5"/>
                <w:sz w:val="16"/>
              </w:rPr>
              <w:t xml:space="preserve"> </w:t>
            </w:r>
            <w:r w:rsidRPr="00EB2BD8">
              <w:rPr>
                <w:sz w:val="16"/>
              </w:rPr>
              <w:t>compliance</w:t>
            </w:r>
            <w:r w:rsidRPr="00EB2BD8">
              <w:rPr>
                <w:spacing w:val="-5"/>
                <w:sz w:val="16"/>
              </w:rPr>
              <w:t xml:space="preserve"> </w:t>
            </w:r>
            <w:r w:rsidRPr="00EB2BD8">
              <w:rPr>
                <w:spacing w:val="-2"/>
                <w:sz w:val="16"/>
              </w:rPr>
              <w:t>certificates;</w:t>
            </w:r>
          </w:p>
        </w:tc>
        <w:tc>
          <w:tcPr>
            <w:tcW w:w="3078" w:type="dxa"/>
          </w:tcPr>
          <w:p w14:paraId="3EC15991" w14:textId="77777777" w:rsidR="00084F36" w:rsidRPr="00EB2BD8" w:rsidRDefault="00EB2BD8">
            <w:pPr>
              <w:pStyle w:val="TableParagraph"/>
              <w:spacing w:before="19"/>
              <w:ind w:left="112"/>
              <w:rPr>
                <w:sz w:val="16"/>
              </w:rPr>
            </w:pPr>
            <w:r w:rsidRPr="00EB2BD8">
              <w:rPr>
                <w:spacing w:val="-2"/>
                <w:w w:val="90"/>
                <w:sz w:val="16"/>
              </w:rPr>
              <w:t>$4,623</w:t>
            </w:r>
            <w:r w:rsidRPr="00EB2BD8">
              <w:rPr>
                <w:spacing w:val="-6"/>
                <w:sz w:val="16"/>
              </w:rPr>
              <w:t xml:space="preserve"> </w:t>
            </w:r>
            <w:r w:rsidRPr="00EB2BD8">
              <w:rPr>
                <w:spacing w:val="-2"/>
                <w:w w:val="90"/>
                <w:sz w:val="16"/>
              </w:rPr>
              <w:t>plus</w:t>
            </w:r>
            <w:r w:rsidRPr="00EB2BD8">
              <w:rPr>
                <w:spacing w:val="-6"/>
                <w:sz w:val="16"/>
              </w:rPr>
              <w:t xml:space="preserve"> </w:t>
            </w:r>
            <w:r w:rsidRPr="00EB2BD8">
              <w:rPr>
                <w:spacing w:val="-2"/>
                <w:w w:val="90"/>
                <w:sz w:val="16"/>
              </w:rPr>
              <w:t>cost</w:t>
            </w:r>
            <w:r w:rsidRPr="00EB2BD8">
              <w:rPr>
                <w:spacing w:val="-6"/>
                <w:sz w:val="16"/>
              </w:rPr>
              <w:t xml:space="preserve"> </w:t>
            </w:r>
            <w:r w:rsidRPr="00EB2BD8">
              <w:rPr>
                <w:spacing w:val="-2"/>
                <w:w w:val="90"/>
                <w:sz w:val="16"/>
              </w:rPr>
              <w:t>of</w:t>
            </w:r>
            <w:r w:rsidRPr="00EB2BD8">
              <w:rPr>
                <w:spacing w:val="-5"/>
                <w:sz w:val="16"/>
              </w:rPr>
              <w:t xml:space="preserve"> </w:t>
            </w:r>
            <w:r w:rsidRPr="00EB2BD8">
              <w:rPr>
                <w:spacing w:val="-2"/>
                <w:w w:val="90"/>
                <w:sz w:val="16"/>
              </w:rPr>
              <w:t>$1,214.</w:t>
            </w:r>
            <w:r w:rsidRPr="00EB2BD8">
              <w:rPr>
                <w:spacing w:val="-6"/>
                <w:sz w:val="16"/>
              </w:rPr>
              <w:t xml:space="preserve"> </w:t>
            </w:r>
            <w:r w:rsidRPr="00EB2BD8">
              <w:rPr>
                <w:spacing w:val="-2"/>
                <w:w w:val="90"/>
                <w:sz w:val="16"/>
              </w:rPr>
              <w:t>Prior</w:t>
            </w:r>
            <w:r w:rsidRPr="00EB2BD8">
              <w:rPr>
                <w:spacing w:val="-6"/>
                <w:sz w:val="16"/>
              </w:rPr>
              <w:t xml:space="preserve"> </w:t>
            </w:r>
            <w:r w:rsidRPr="00EB2BD8">
              <w:rPr>
                <w:spacing w:val="-7"/>
                <w:w w:val="90"/>
                <w:sz w:val="16"/>
              </w:rPr>
              <w:t>to</w:t>
            </w:r>
          </w:p>
        </w:tc>
        <w:tc>
          <w:tcPr>
            <w:tcW w:w="1081" w:type="dxa"/>
          </w:tcPr>
          <w:p w14:paraId="1A95F5CE" w14:textId="77777777" w:rsidR="00084F36" w:rsidRPr="00EB2BD8" w:rsidRDefault="00084F36">
            <w:pPr>
              <w:pStyle w:val="TableParagraph"/>
              <w:rPr>
                <w:rFonts w:ascii="Times New Roman"/>
                <w:sz w:val="16"/>
              </w:rPr>
            </w:pPr>
          </w:p>
        </w:tc>
        <w:tc>
          <w:tcPr>
            <w:tcW w:w="1177" w:type="dxa"/>
          </w:tcPr>
          <w:p w14:paraId="0603A96B" w14:textId="77777777" w:rsidR="00084F36" w:rsidRPr="00EB2BD8" w:rsidRDefault="00084F36">
            <w:pPr>
              <w:pStyle w:val="TableParagraph"/>
              <w:rPr>
                <w:rFonts w:ascii="Times New Roman"/>
                <w:sz w:val="16"/>
              </w:rPr>
            </w:pPr>
          </w:p>
        </w:tc>
      </w:tr>
      <w:tr w:rsidR="00EB2BD8" w:rsidRPr="00EB2BD8" w14:paraId="69C13748" w14:textId="77777777">
        <w:trPr>
          <w:trHeight w:val="229"/>
        </w:trPr>
        <w:tc>
          <w:tcPr>
            <w:tcW w:w="1711" w:type="dxa"/>
          </w:tcPr>
          <w:p w14:paraId="3E394C6F" w14:textId="77777777" w:rsidR="00084F36" w:rsidRPr="00EB2BD8" w:rsidRDefault="00084F36">
            <w:pPr>
              <w:pStyle w:val="TableParagraph"/>
              <w:rPr>
                <w:rFonts w:ascii="Times New Roman"/>
                <w:sz w:val="16"/>
              </w:rPr>
            </w:pPr>
          </w:p>
        </w:tc>
        <w:tc>
          <w:tcPr>
            <w:tcW w:w="3165" w:type="dxa"/>
          </w:tcPr>
          <w:p w14:paraId="373607FB" w14:textId="77777777" w:rsidR="00084F36" w:rsidRPr="00EB2BD8" w:rsidRDefault="00EB2BD8">
            <w:pPr>
              <w:pStyle w:val="TableParagraph"/>
              <w:spacing w:before="19"/>
              <w:ind w:left="159"/>
              <w:rPr>
                <w:sz w:val="16"/>
              </w:rPr>
            </w:pPr>
            <w:r w:rsidRPr="00EB2BD8">
              <w:rPr>
                <w:sz w:val="16"/>
              </w:rPr>
              <w:t>Signed</w:t>
            </w:r>
            <w:r w:rsidRPr="00EB2BD8">
              <w:rPr>
                <w:spacing w:val="1"/>
                <w:sz w:val="16"/>
              </w:rPr>
              <w:t xml:space="preserve"> </w:t>
            </w:r>
            <w:r w:rsidRPr="00EB2BD8">
              <w:rPr>
                <w:sz w:val="16"/>
              </w:rPr>
              <w:t>compliance</w:t>
            </w:r>
            <w:r w:rsidRPr="00EB2BD8">
              <w:rPr>
                <w:spacing w:val="1"/>
                <w:sz w:val="16"/>
              </w:rPr>
              <w:t xml:space="preserve"> </w:t>
            </w:r>
            <w:r w:rsidRPr="00EB2BD8">
              <w:rPr>
                <w:sz w:val="16"/>
              </w:rPr>
              <w:t>certificates</w:t>
            </w:r>
            <w:r w:rsidRPr="00EB2BD8">
              <w:rPr>
                <w:spacing w:val="1"/>
                <w:sz w:val="16"/>
              </w:rPr>
              <w:t xml:space="preserve"> </w:t>
            </w:r>
            <w:r w:rsidRPr="00EB2BD8">
              <w:rPr>
                <w:spacing w:val="-4"/>
                <w:sz w:val="16"/>
              </w:rPr>
              <w:t>which</w:t>
            </w:r>
          </w:p>
        </w:tc>
        <w:tc>
          <w:tcPr>
            <w:tcW w:w="3078" w:type="dxa"/>
          </w:tcPr>
          <w:p w14:paraId="2EDCF0DE" w14:textId="77777777" w:rsidR="00084F36" w:rsidRPr="00EB2BD8" w:rsidRDefault="00EB2BD8">
            <w:pPr>
              <w:pStyle w:val="TableParagraph"/>
              <w:spacing w:before="19"/>
              <w:ind w:left="112"/>
              <w:rPr>
                <w:sz w:val="16"/>
              </w:rPr>
            </w:pPr>
            <w:r w:rsidRPr="00EB2BD8">
              <w:rPr>
                <w:sz w:val="16"/>
              </w:rPr>
              <w:t>being</w:t>
            </w:r>
            <w:r w:rsidRPr="00EB2BD8">
              <w:rPr>
                <w:spacing w:val="-12"/>
                <w:sz w:val="16"/>
              </w:rPr>
              <w:t xml:space="preserve"> </w:t>
            </w:r>
            <w:r w:rsidRPr="00EB2BD8">
              <w:rPr>
                <w:sz w:val="16"/>
              </w:rPr>
              <w:t>registered</w:t>
            </w:r>
            <w:r w:rsidRPr="00EB2BD8">
              <w:rPr>
                <w:spacing w:val="-12"/>
                <w:sz w:val="16"/>
              </w:rPr>
              <w:t xml:space="preserve"> </w:t>
            </w:r>
            <w:r w:rsidRPr="00EB2BD8">
              <w:rPr>
                <w:sz w:val="16"/>
              </w:rPr>
              <w:t>or</w:t>
            </w:r>
            <w:r w:rsidRPr="00EB2BD8">
              <w:rPr>
                <w:spacing w:val="-12"/>
                <w:sz w:val="16"/>
              </w:rPr>
              <w:t xml:space="preserve"> </w:t>
            </w:r>
            <w:r w:rsidRPr="00EB2BD8">
              <w:rPr>
                <w:sz w:val="16"/>
              </w:rPr>
              <w:t>licenced</w:t>
            </w:r>
            <w:r w:rsidRPr="00EB2BD8">
              <w:rPr>
                <w:spacing w:val="-11"/>
                <w:sz w:val="16"/>
              </w:rPr>
              <w:t xml:space="preserve"> </w:t>
            </w:r>
            <w:r w:rsidRPr="00EB2BD8">
              <w:rPr>
                <w:spacing w:val="-2"/>
                <w:sz w:val="16"/>
              </w:rPr>
              <w:t>again,</w:t>
            </w:r>
          </w:p>
        </w:tc>
        <w:tc>
          <w:tcPr>
            <w:tcW w:w="1081" w:type="dxa"/>
          </w:tcPr>
          <w:p w14:paraId="6D112F77" w14:textId="77777777" w:rsidR="00084F36" w:rsidRPr="00EB2BD8" w:rsidRDefault="00084F36">
            <w:pPr>
              <w:pStyle w:val="TableParagraph"/>
              <w:rPr>
                <w:rFonts w:ascii="Times New Roman"/>
                <w:sz w:val="16"/>
              </w:rPr>
            </w:pPr>
          </w:p>
        </w:tc>
        <w:tc>
          <w:tcPr>
            <w:tcW w:w="1177" w:type="dxa"/>
          </w:tcPr>
          <w:p w14:paraId="4756D89F" w14:textId="77777777" w:rsidR="00084F36" w:rsidRPr="00EB2BD8" w:rsidRDefault="00084F36">
            <w:pPr>
              <w:pStyle w:val="TableParagraph"/>
              <w:rPr>
                <w:rFonts w:ascii="Times New Roman"/>
                <w:sz w:val="16"/>
              </w:rPr>
            </w:pPr>
          </w:p>
        </w:tc>
      </w:tr>
      <w:tr w:rsidR="00EB2BD8" w:rsidRPr="00EB2BD8" w14:paraId="265FF8BD" w14:textId="77777777">
        <w:trPr>
          <w:trHeight w:val="229"/>
        </w:trPr>
        <w:tc>
          <w:tcPr>
            <w:tcW w:w="1711" w:type="dxa"/>
          </w:tcPr>
          <w:p w14:paraId="3472B819" w14:textId="77777777" w:rsidR="00084F36" w:rsidRPr="00EB2BD8" w:rsidRDefault="00084F36">
            <w:pPr>
              <w:pStyle w:val="TableParagraph"/>
              <w:rPr>
                <w:rFonts w:ascii="Times New Roman"/>
                <w:sz w:val="16"/>
              </w:rPr>
            </w:pPr>
          </w:p>
        </w:tc>
        <w:tc>
          <w:tcPr>
            <w:tcW w:w="3165" w:type="dxa"/>
          </w:tcPr>
          <w:p w14:paraId="300D62FC" w14:textId="77777777" w:rsidR="00084F36" w:rsidRPr="00EB2BD8" w:rsidRDefault="00EB2BD8">
            <w:pPr>
              <w:pStyle w:val="TableParagraph"/>
              <w:spacing w:before="19"/>
              <w:ind w:left="159"/>
              <w:rPr>
                <w:sz w:val="16"/>
              </w:rPr>
            </w:pPr>
            <w:r w:rsidRPr="00EB2BD8">
              <w:rPr>
                <w:sz w:val="16"/>
              </w:rPr>
              <w:t>contained</w:t>
            </w:r>
            <w:r w:rsidRPr="00EB2BD8">
              <w:rPr>
                <w:spacing w:val="-11"/>
                <w:sz w:val="16"/>
              </w:rPr>
              <w:t xml:space="preserve"> </w:t>
            </w:r>
            <w:r w:rsidRPr="00EB2BD8">
              <w:rPr>
                <w:sz w:val="16"/>
              </w:rPr>
              <w:t>misstatements</w:t>
            </w:r>
            <w:r w:rsidRPr="00EB2BD8">
              <w:rPr>
                <w:spacing w:val="-10"/>
                <w:sz w:val="16"/>
              </w:rPr>
              <w:t xml:space="preserve"> </w:t>
            </w:r>
            <w:r w:rsidRPr="00EB2BD8">
              <w:rPr>
                <w:sz w:val="16"/>
              </w:rPr>
              <w:t>of</w:t>
            </w:r>
            <w:r w:rsidRPr="00EB2BD8">
              <w:rPr>
                <w:spacing w:val="-11"/>
                <w:sz w:val="16"/>
              </w:rPr>
              <w:t xml:space="preserve"> </w:t>
            </w:r>
            <w:r w:rsidRPr="00EB2BD8">
              <w:rPr>
                <w:spacing w:val="-4"/>
                <w:sz w:val="16"/>
              </w:rPr>
              <w:t>fact.</w:t>
            </w:r>
          </w:p>
        </w:tc>
        <w:tc>
          <w:tcPr>
            <w:tcW w:w="3078" w:type="dxa"/>
          </w:tcPr>
          <w:p w14:paraId="0C9B3777" w14:textId="77777777" w:rsidR="00084F36" w:rsidRPr="00EB2BD8" w:rsidRDefault="00EB2BD8">
            <w:pPr>
              <w:pStyle w:val="TableParagraph"/>
              <w:spacing w:before="19"/>
              <w:ind w:left="112"/>
              <w:rPr>
                <w:i/>
                <w:sz w:val="16"/>
              </w:rPr>
            </w:pPr>
            <w:r w:rsidRPr="00EB2BD8">
              <w:rPr>
                <w:sz w:val="16"/>
              </w:rPr>
              <w:t>must</w:t>
            </w:r>
            <w:r w:rsidRPr="00EB2BD8">
              <w:rPr>
                <w:spacing w:val="-13"/>
                <w:sz w:val="16"/>
              </w:rPr>
              <w:t xml:space="preserve"> </w:t>
            </w:r>
            <w:r w:rsidRPr="00EB2BD8">
              <w:rPr>
                <w:sz w:val="16"/>
              </w:rPr>
              <w:t>complete</w:t>
            </w:r>
            <w:r w:rsidRPr="00EB2BD8">
              <w:rPr>
                <w:spacing w:val="-12"/>
                <w:sz w:val="16"/>
              </w:rPr>
              <w:t xml:space="preserve"> </w:t>
            </w:r>
            <w:r w:rsidRPr="00EB2BD8">
              <w:rPr>
                <w:sz w:val="16"/>
              </w:rPr>
              <w:t>course</w:t>
            </w:r>
            <w:r w:rsidRPr="00EB2BD8">
              <w:rPr>
                <w:spacing w:val="-12"/>
                <w:sz w:val="16"/>
              </w:rPr>
              <w:t xml:space="preserve"> </w:t>
            </w:r>
            <w:r w:rsidRPr="00EB2BD8">
              <w:rPr>
                <w:i/>
                <w:spacing w:val="-2"/>
                <w:sz w:val="16"/>
              </w:rPr>
              <w:t>CPCPCM4015</w:t>
            </w:r>
          </w:p>
        </w:tc>
        <w:tc>
          <w:tcPr>
            <w:tcW w:w="1081" w:type="dxa"/>
          </w:tcPr>
          <w:p w14:paraId="39AB8282" w14:textId="77777777" w:rsidR="00084F36" w:rsidRPr="00EB2BD8" w:rsidRDefault="00084F36">
            <w:pPr>
              <w:pStyle w:val="TableParagraph"/>
              <w:rPr>
                <w:rFonts w:ascii="Times New Roman"/>
                <w:sz w:val="16"/>
              </w:rPr>
            </w:pPr>
          </w:p>
        </w:tc>
        <w:tc>
          <w:tcPr>
            <w:tcW w:w="1177" w:type="dxa"/>
          </w:tcPr>
          <w:p w14:paraId="03BA8A80" w14:textId="77777777" w:rsidR="00084F36" w:rsidRPr="00EB2BD8" w:rsidRDefault="00084F36">
            <w:pPr>
              <w:pStyle w:val="TableParagraph"/>
              <w:rPr>
                <w:rFonts w:ascii="Times New Roman"/>
                <w:sz w:val="16"/>
              </w:rPr>
            </w:pPr>
          </w:p>
        </w:tc>
      </w:tr>
      <w:tr w:rsidR="00EB2BD8" w:rsidRPr="00EB2BD8" w14:paraId="1927F47E" w14:textId="77777777">
        <w:trPr>
          <w:trHeight w:val="230"/>
        </w:trPr>
        <w:tc>
          <w:tcPr>
            <w:tcW w:w="1711" w:type="dxa"/>
          </w:tcPr>
          <w:p w14:paraId="4AD632E4" w14:textId="77777777" w:rsidR="00084F36" w:rsidRPr="00EB2BD8" w:rsidRDefault="00084F36">
            <w:pPr>
              <w:pStyle w:val="TableParagraph"/>
              <w:rPr>
                <w:rFonts w:ascii="Times New Roman"/>
                <w:sz w:val="16"/>
              </w:rPr>
            </w:pPr>
          </w:p>
        </w:tc>
        <w:tc>
          <w:tcPr>
            <w:tcW w:w="3165" w:type="dxa"/>
          </w:tcPr>
          <w:p w14:paraId="166B3291" w14:textId="77777777" w:rsidR="00084F36" w:rsidRPr="00EB2BD8" w:rsidRDefault="00EB2BD8">
            <w:pPr>
              <w:pStyle w:val="TableParagraph"/>
              <w:spacing w:before="19"/>
              <w:ind w:left="159"/>
              <w:rPr>
                <w:sz w:val="16"/>
              </w:rPr>
            </w:pPr>
            <w:r w:rsidRPr="00EB2BD8">
              <w:rPr>
                <w:sz w:val="16"/>
              </w:rPr>
              <w:t>Lodged</w:t>
            </w:r>
            <w:r w:rsidRPr="00EB2BD8">
              <w:rPr>
                <w:spacing w:val="2"/>
                <w:sz w:val="16"/>
              </w:rPr>
              <w:t xml:space="preserve"> </w:t>
            </w:r>
            <w:r w:rsidRPr="00EB2BD8">
              <w:rPr>
                <w:sz w:val="16"/>
              </w:rPr>
              <w:t>compliance</w:t>
            </w:r>
            <w:r w:rsidRPr="00EB2BD8">
              <w:rPr>
                <w:spacing w:val="2"/>
                <w:sz w:val="16"/>
              </w:rPr>
              <w:t xml:space="preserve"> </w:t>
            </w:r>
            <w:r w:rsidRPr="00EB2BD8">
              <w:rPr>
                <w:sz w:val="16"/>
              </w:rPr>
              <w:t>certificate</w:t>
            </w:r>
            <w:r w:rsidRPr="00EB2BD8">
              <w:rPr>
                <w:spacing w:val="2"/>
                <w:sz w:val="16"/>
              </w:rPr>
              <w:t xml:space="preserve"> </w:t>
            </w:r>
            <w:r w:rsidRPr="00EB2BD8">
              <w:rPr>
                <w:spacing w:val="-4"/>
                <w:sz w:val="16"/>
              </w:rPr>
              <w:t>when</w:t>
            </w:r>
          </w:p>
        </w:tc>
        <w:tc>
          <w:tcPr>
            <w:tcW w:w="3078" w:type="dxa"/>
          </w:tcPr>
          <w:p w14:paraId="297FA112" w14:textId="77777777" w:rsidR="00084F36" w:rsidRPr="00EB2BD8" w:rsidRDefault="00EB2BD8">
            <w:pPr>
              <w:pStyle w:val="TableParagraph"/>
              <w:spacing w:before="19"/>
              <w:ind w:left="112"/>
              <w:rPr>
                <w:sz w:val="16"/>
              </w:rPr>
            </w:pPr>
            <w:r w:rsidRPr="00EB2BD8">
              <w:rPr>
                <w:spacing w:val="-2"/>
                <w:sz w:val="16"/>
              </w:rPr>
              <w:t>or</w:t>
            </w:r>
            <w:r w:rsidRPr="00EB2BD8">
              <w:rPr>
                <w:spacing w:val="-11"/>
                <w:sz w:val="16"/>
              </w:rPr>
              <w:t xml:space="preserve"> </w:t>
            </w:r>
            <w:r w:rsidRPr="00EB2BD8">
              <w:rPr>
                <w:spacing w:val="-2"/>
                <w:sz w:val="16"/>
              </w:rPr>
              <w:t>equivalent.</w:t>
            </w:r>
          </w:p>
        </w:tc>
        <w:tc>
          <w:tcPr>
            <w:tcW w:w="1081" w:type="dxa"/>
          </w:tcPr>
          <w:p w14:paraId="2052F274" w14:textId="77777777" w:rsidR="00084F36" w:rsidRPr="00EB2BD8" w:rsidRDefault="00084F36">
            <w:pPr>
              <w:pStyle w:val="TableParagraph"/>
              <w:rPr>
                <w:rFonts w:ascii="Times New Roman"/>
                <w:sz w:val="16"/>
              </w:rPr>
            </w:pPr>
          </w:p>
        </w:tc>
        <w:tc>
          <w:tcPr>
            <w:tcW w:w="1177" w:type="dxa"/>
          </w:tcPr>
          <w:p w14:paraId="292C077C" w14:textId="77777777" w:rsidR="00084F36" w:rsidRPr="00EB2BD8" w:rsidRDefault="00084F36">
            <w:pPr>
              <w:pStyle w:val="TableParagraph"/>
              <w:rPr>
                <w:rFonts w:ascii="Times New Roman"/>
                <w:sz w:val="16"/>
              </w:rPr>
            </w:pPr>
          </w:p>
        </w:tc>
      </w:tr>
      <w:tr w:rsidR="00EB2BD8" w:rsidRPr="00EB2BD8" w14:paraId="34DBD44B" w14:textId="77777777">
        <w:trPr>
          <w:trHeight w:val="229"/>
        </w:trPr>
        <w:tc>
          <w:tcPr>
            <w:tcW w:w="1711" w:type="dxa"/>
          </w:tcPr>
          <w:p w14:paraId="2CDB5473" w14:textId="77777777" w:rsidR="00084F36" w:rsidRPr="00EB2BD8" w:rsidRDefault="00084F36">
            <w:pPr>
              <w:pStyle w:val="TableParagraph"/>
              <w:rPr>
                <w:rFonts w:ascii="Times New Roman"/>
                <w:sz w:val="16"/>
              </w:rPr>
            </w:pPr>
          </w:p>
        </w:tc>
        <w:tc>
          <w:tcPr>
            <w:tcW w:w="3165" w:type="dxa"/>
          </w:tcPr>
          <w:p w14:paraId="75438EF9" w14:textId="77777777" w:rsidR="00084F36" w:rsidRPr="00EB2BD8" w:rsidRDefault="00EB2BD8">
            <w:pPr>
              <w:pStyle w:val="TableParagraph"/>
              <w:spacing w:before="19"/>
              <w:ind w:left="159"/>
              <w:rPr>
                <w:sz w:val="16"/>
              </w:rPr>
            </w:pPr>
            <w:r w:rsidRPr="00EB2BD8">
              <w:rPr>
                <w:sz w:val="16"/>
              </w:rPr>
              <w:t>work</w:t>
            </w:r>
            <w:r w:rsidRPr="00EB2BD8">
              <w:rPr>
                <w:spacing w:val="-9"/>
                <w:sz w:val="16"/>
              </w:rPr>
              <w:t xml:space="preserve"> </w:t>
            </w:r>
            <w:r w:rsidRPr="00EB2BD8">
              <w:rPr>
                <w:sz w:val="16"/>
              </w:rPr>
              <w:t>was</w:t>
            </w:r>
            <w:r w:rsidRPr="00EB2BD8">
              <w:rPr>
                <w:spacing w:val="-9"/>
                <w:sz w:val="16"/>
              </w:rPr>
              <w:t xml:space="preserve"> </w:t>
            </w:r>
            <w:r w:rsidRPr="00EB2BD8">
              <w:rPr>
                <w:sz w:val="16"/>
              </w:rPr>
              <w:t>non-compliant</w:t>
            </w:r>
            <w:r w:rsidRPr="00EB2BD8">
              <w:rPr>
                <w:spacing w:val="-9"/>
                <w:sz w:val="16"/>
              </w:rPr>
              <w:t xml:space="preserve"> </w:t>
            </w:r>
            <w:r w:rsidRPr="00EB2BD8">
              <w:rPr>
                <w:sz w:val="16"/>
              </w:rPr>
              <w:t>in</w:t>
            </w:r>
            <w:r w:rsidRPr="00EB2BD8">
              <w:rPr>
                <w:spacing w:val="-9"/>
                <w:sz w:val="16"/>
              </w:rPr>
              <w:t xml:space="preserve"> </w:t>
            </w:r>
            <w:r w:rsidRPr="00EB2BD8">
              <w:rPr>
                <w:spacing w:val="-2"/>
                <w:sz w:val="16"/>
              </w:rPr>
              <w:t>relation</w:t>
            </w:r>
          </w:p>
        </w:tc>
        <w:tc>
          <w:tcPr>
            <w:tcW w:w="3078" w:type="dxa"/>
          </w:tcPr>
          <w:p w14:paraId="3BD0E66F" w14:textId="77777777" w:rsidR="00084F36" w:rsidRPr="00EB2BD8" w:rsidRDefault="00084F36">
            <w:pPr>
              <w:pStyle w:val="TableParagraph"/>
              <w:rPr>
                <w:rFonts w:ascii="Times New Roman"/>
                <w:sz w:val="16"/>
              </w:rPr>
            </w:pPr>
          </w:p>
        </w:tc>
        <w:tc>
          <w:tcPr>
            <w:tcW w:w="1081" w:type="dxa"/>
          </w:tcPr>
          <w:p w14:paraId="58251374" w14:textId="77777777" w:rsidR="00084F36" w:rsidRPr="00EB2BD8" w:rsidRDefault="00084F36">
            <w:pPr>
              <w:pStyle w:val="TableParagraph"/>
              <w:rPr>
                <w:rFonts w:ascii="Times New Roman"/>
                <w:sz w:val="16"/>
              </w:rPr>
            </w:pPr>
          </w:p>
        </w:tc>
        <w:tc>
          <w:tcPr>
            <w:tcW w:w="1177" w:type="dxa"/>
          </w:tcPr>
          <w:p w14:paraId="21682EE5" w14:textId="77777777" w:rsidR="00084F36" w:rsidRPr="00EB2BD8" w:rsidRDefault="00084F36">
            <w:pPr>
              <w:pStyle w:val="TableParagraph"/>
              <w:rPr>
                <w:rFonts w:ascii="Times New Roman"/>
                <w:sz w:val="16"/>
              </w:rPr>
            </w:pPr>
          </w:p>
        </w:tc>
      </w:tr>
      <w:tr w:rsidR="00EB2BD8" w:rsidRPr="00EB2BD8" w14:paraId="7B15A1DC" w14:textId="77777777">
        <w:trPr>
          <w:trHeight w:val="229"/>
        </w:trPr>
        <w:tc>
          <w:tcPr>
            <w:tcW w:w="1711" w:type="dxa"/>
          </w:tcPr>
          <w:p w14:paraId="706C1790" w14:textId="77777777" w:rsidR="00084F36" w:rsidRPr="00EB2BD8" w:rsidRDefault="00084F36">
            <w:pPr>
              <w:pStyle w:val="TableParagraph"/>
              <w:rPr>
                <w:rFonts w:ascii="Times New Roman"/>
                <w:sz w:val="16"/>
              </w:rPr>
            </w:pPr>
          </w:p>
        </w:tc>
        <w:tc>
          <w:tcPr>
            <w:tcW w:w="3165" w:type="dxa"/>
          </w:tcPr>
          <w:p w14:paraId="7DD0D2BD" w14:textId="77777777" w:rsidR="00084F36" w:rsidRPr="00EB2BD8" w:rsidRDefault="00EB2BD8">
            <w:pPr>
              <w:pStyle w:val="TableParagraph"/>
              <w:spacing w:before="19"/>
              <w:ind w:left="159"/>
              <w:rPr>
                <w:sz w:val="16"/>
              </w:rPr>
            </w:pPr>
            <w:r w:rsidRPr="00EB2BD8">
              <w:rPr>
                <w:spacing w:val="-2"/>
                <w:sz w:val="16"/>
              </w:rPr>
              <w:t>to</w:t>
            </w:r>
            <w:r w:rsidRPr="00EB2BD8">
              <w:rPr>
                <w:spacing w:val="-4"/>
                <w:sz w:val="16"/>
              </w:rPr>
              <w:t xml:space="preserve"> </w:t>
            </w:r>
            <w:r w:rsidRPr="00EB2BD8">
              <w:rPr>
                <w:spacing w:val="-2"/>
                <w:sz w:val="16"/>
              </w:rPr>
              <w:t>downpipe</w:t>
            </w:r>
            <w:r w:rsidRPr="00EB2BD8">
              <w:rPr>
                <w:spacing w:val="-3"/>
                <w:sz w:val="16"/>
              </w:rPr>
              <w:t xml:space="preserve"> </w:t>
            </w:r>
            <w:r w:rsidRPr="00EB2BD8">
              <w:rPr>
                <w:spacing w:val="-2"/>
                <w:sz w:val="16"/>
              </w:rPr>
              <w:t>discharge,</w:t>
            </w:r>
            <w:r w:rsidRPr="00EB2BD8">
              <w:rPr>
                <w:spacing w:val="-3"/>
                <w:sz w:val="16"/>
              </w:rPr>
              <w:t xml:space="preserve"> </w:t>
            </w:r>
            <w:r w:rsidRPr="00EB2BD8">
              <w:rPr>
                <w:spacing w:val="-2"/>
                <w:sz w:val="16"/>
              </w:rPr>
              <w:t>metal</w:t>
            </w:r>
            <w:r w:rsidRPr="00EB2BD8">
              <w:rPr>
                <w:spacing w:val="-3"/>
                <w:sz w:val="16"/>
              </w:rPr>
              <w:t xml:space="preserve"> </w:t>
            </w:r>
            <w:r w:rsidRPr="00EB2BD8">
              <w:rPr>
                <w:spacing w:val="-2"/>
                <w:sz w:val="16"/>
              </w:rPr>
              <w:t>roofing</w:t>
            </w:r>
          </w:p>
        </w:tc>
        <w:tc>
          <w:tcPr>
            <w:tcW w:w="3078" w:type="dxa"/>
          </w:tcPr>
          <w:p w14:paraId="4F319E5C" w14:textId="77777777" w:rsidR="00084F36" w:rsidRPr="00EB2BD8" w:rsidRDefault="00084F36">
            <w:pPr>
              <w:pStyle w:val="TableParagraph"/>
              <w:rPr>
                <w:rFonts w:ascii="Times New Roman"/>
                <w:sz w:val="16"/>
              </w:rPr>
            </w:pPr>
          </w:p>
        </w:tc>
        <w:tc>
          <w:tcPr>
            <w:tcW w:w="1081" w:type="dxa"/>
          </w:tcPr>
          <w:p w14:paraId="3D951972" w14:textId="77777777" w:rsidR="00084F36" w:rsidRPr="00EB2BD8" w:rsidRDefault="00084F36">
            <w:pPr>
              <w:pStyle w:val="TableParagraph"/>
              <w:rPr>
                <w:rFonts w:ascii="Times New Roman"/>
                <w:sz w:val="16"/>
              </w:rPr>
            </w:pPr>
          </w:p>
        </w:tc>
        <w:tc>
          <w:tcPr>
            <w:tcW w:w="1177" w:type="dxa"/>
          </w:tcPr>
          <w:p w14:paraId="1BFE0514" w14:textId="77777777" w:rsidR="00084F36" w:rsidRPr="00EB2BD8" w:rsidRDefault="00084F36">
            <w:pPr>
              <w:pStyle w:val="TableParagraph"/>
              <w:rPr>
                <w:rFonts w:ascii="Times New Roman"/>
                <w:sz w:val="16"/>
              </w:rPr>
            </w:pPr>
          </w:p>
        </w:tc>
      </w:tr>
      <w:tr w:rsidR="00EB2BD8" w:rsidRPr="00EB2BD8" w14:paraId="4C4303E4" w14:textId="77777777">
        <w:trPr>
          <w:trHeight w:val="285"/>
        </w:trPr>
        <w:tc>
          <w:tcPr>
            <w:tcW w:w="1711" w:type="dxa"/>
            <w:tcBorders>
              <w:bottom w:val="single" w:sz="2" w:space="0" w:color="000000"/>
            </w:tcBorders>
          </w:tcPr>
          <w:p w14:paraId="07EF6DB6" w14:textId="77777777" w:rsidR="00084F36" w:rsidRPr="00EB2BD8" w:rsidRDefault="00084F36">
            <w:pPr>
              <w:pStyle w:val="TableParagraph"/>
              <w:rPr>
                <w:rFonts w:ascii="Times New Roman"/>
                <w:sz w:val="16"/>
              </w:rPr>
            </w:pPr>
          </w:p>
        </w:tc>
        <w:tc>
          <w:tcPr>
            <w:tcW w:w="3165" w:type="dxa"/>
            <w:tcBorders>
              <w:bottom w:val="single" w:sz="2" w:space="0" w:color="000000"/>
            </w:tcBorders>
          </w:tcPr>
          <w:p w14:paraId="07508B1B" w14:textId="77777777" w:rsidR="00084F36" w:rsidRPr="00EB2BD8" w:rsidRDefault="00EB2BD8">
            <w:pPr>
              <w:pStyle w:val="TableParagraph"/>
              <w:spacing w:before="19"/>
              <w:ind w:left="159"/>
              <w:rPr>
                <w:sz w:val="16"/>
              </w:rPr>
            </w:pPr>
            <w:r w:rsidRPr="00EB2BD8">
              <w:rPr>
                <w:sz w:val="16"/>
              </w:rPr>
              <w:t>and</w:t>
            </w:r>
            <w:r w:rsidRPr="00EB2BD8">
              <w:rPr>
                <w:spacing w:val="-9"/>
                <w:sz w:val="16"/>
              </w:rPr>
              <w:t xml:space="preserve"> </w:t>
            </w:r>
            <w:r w:rsidRPr="00EB2BD8">
              <w:rPr>
                <w:sz w:val="16"/>
              </w:rPr>
              <w:t>wall</w:t>
            </w:r>
            <w:r w:rsidRPr="00EB2BD8">
              <w:rPr>
                <w:spacing w:val="-8"/>
                <w:sz w:val="16"/>
              </w:rPr>
              <w:t xml:space="preserve"> </w:t>
            </w:r>
            <w:r w:rsidRPr="00EB2BD8">
              <w:rPr>
                <w:spacing w:val="-2"/>
                <w:sz w:val="16"/>
              </w:rPr>
              <w:t>cladding.</w:t>
            </w:r>
          </w:p>
        </w:tc>
        <w:tc>
          <w:tcPr>
            <w:tcW w:w="3078" w:type="dxa"/>
            <w:tcBorders>
              <w:bottom w:val="single" w:sz="2" w:space="0" w:color="000000"/>
            </w:tcBorders>
          </w:tcPr>
          <w:p w14:paraId="37F52FD3" w14:textId="77777777" w:rsidR="00084F36" w:rsidRPr="00EB2BD8" w:rsidRDefault="00084F36">
            <w:pPr>
              <w:pStyle w:val="TableParagraph"/>
              <w:rPr>
                <w:rFonts w:ascii="Times New Roman"/>
                <w:sz w:val="16"/>
              </w:rPr>
            </w:pPr>
          </w:p>
        </w:tc>
        <w:tc>
          <w:tcPr>
            <w:tcW w:w="1081" w:type="dxa"/>
            <w:tcBorders>
              <w:bottom w:val="single" w:sz="2" w:space="0" w:color="000000"/>
            </w:tcBorders>
          </w:tcPr>
          <w:p w14:paraId="54388126" w14:textId="77777777" w:rsidR="00084F36" w:rsidRPr="00EB2BD8" w:rsidRDefault="00084F36">
            <w:pPr>
              <w:pStyle w:val="TableParagraph"/>
              <w:rPr>
                <w:rFonts w:ascii="Times New Roman"/>
                <w:sz w:val="16"/>
              </w:rPr>
            </w:pPr>
          </w:p>
        </w:tc>
        <w:tc>
          <w:tcPr>
            <w:tcW w:w="1177" w:type="dxa"/>
            <w:tcBorders>
              <w:bottom w:val="single" w:sz="2" w:space="0" w:color="000000"/>
            </w:tcBorders>
          </w:tcPr>
          <w:p w14:paraId="16BF844C" w14:textId="77777777" w:rsidR="00084F36" w:rsidRPr="00EB2BD8" w:rsidRDefault="00084F36">
            <w:pPr>
              <w:pStyle w:val="TableParagraph"/>
              <w:rPr>
                <w:rFonts w:ascii="Times New Roman"/>
                <w:sz w:val="16"/>
              </w:rPr>
            </w:pPr>
          </w:p>
        </w:tc>
      </w:tr>
      <w:tr w:rsidR="00EB2BD8" w:rsidRPr="00EB2BD8" w14:paraId="3A06EE91" w14:textId="77777777">
        <w:trPr>
          <w:trHeight w:val="325"/>
        </w:trPr>
        <w:tc>
          <w:tcPr>
            <w:tcW w:w="1711" w:type="dxa"/>
            <w:tcBorders>
              <w:top w:val="single" w:sz="2" w:space="0" w:color="000000"/>
            </w:tcBorders>
          </w:tcPr>
          <w:p w14:paraId="41F92914" w14:textId="77777777" w:rsidR="00084F36" w:rsidRPr="00EB2BD8" w:rsidRDefault="00EB2BD8">
            <w:pPr>
              <w:pStyle w:val="TableParagraph"/>
              <w:spacing w:before="115"/>
              <w:ind w:left="112"/>
              <w:rPr>
                <w:sz w:val="16"/>
              </w:rPr>
            </w:pPr>
            <w:r w:rsidRPr="00EB2BD8">
              <w:rPr>
                <w:spacing w:val="-2"/>
                <w:sz w:val="16"/>
              </w:rPr>
              <w:t>MAKDESSI,</w:t>
            </w:r>
            <w:r w:rsidRPr="00EB2BD8">
              <w:rPr>
                <w:spacing w:val="-10"/>
                <w:sz w:val="16"/>
              </w:rPr>
              <w:t xml:space="preserve"> </w:t>
            </w:r>
            <w:r w:rsidRPr="00EB2BD8">
              <w:rPr>
                <w:spacing w:val="-2"/>
                <w:sz w:val="16"/>
              </w:rPr>
              <w:t>Andrew</w:t>
            </w:r>
          </w:p>
        </w:tc>
        <w:tc>
          <w:tcPr>
            <w:tcW w:w="3165" w:type="dxa"/>
            <w:tcBorders>
              <w:top w:val="single" w:sz="2" w:space="0" w:color="000000"/>
            </w:tcBorders>
          </w:tcPr>
          <w:p w14:paraId="0EA9C9A6" w14:textId="77777777" w:rsidR="00084F36" w:rsidRPr="00EB2BD8" w:rsidRDefault="00EB2BD8">
            <w:pPr>
              <w:pStyle w:val="TableParagraph"/>
              <w:spacing w:before="115"/>
              <w:ind w:left="159"/>
              <w:rPr>
                <w:sz w:val="16"/>
              </w:rPr>
            </w:pPr>
            <w:r w:rsidRPr="00EB2BD8">
              <w:rPr>
                <w:sz w:val="16"/>
              </w:rPr>
              <w:t>Practitioner</w:t>
            </w:r>
            <w:r w:rsidRPr="00EB2BD8">
              <w:rPr>
                <w:spacing w:val="-4"/>
                <w:sz w:val="16"/>
              </w:rPr>
              <w:t xml:space="preserve"> </w:t>
            </w:r>
            <w:r w:rsidRPr="00EB2BD8">
              <w:rPr>
                <w:sz w:val="16"/>
              </w:rPr>
              <w:t>carried</w:t>
            </w:r>
            <w:r w:rsidRPr="00EB2BD8">
              <w:rPr>
                <w:spacing w:val="-3"/>
                <w:sz w:val="16"/>
              </w:rPr>
              <w:t xml:space="preserve"> </w:t>
            </w:r>
            <w:r w:rsidRPr="00EB2BD8">
              <w:rPr>
                <w:sz w:val="16"/>
              </w:rPr>
              <w:t>out</w:t>
            </w:r>
            <w:r w:rsidRPr="00EB2BD8">
              <w:rPr>
                <w:spacing w:val="-3"/>
                <w:sz w:val="16"/>
              </w:rPr>
              <w:t xml:space="preserve"> </w:t>
            </w:r>
            <w:r w:rsidRPr="00EB2BD8">
              <w:rPr>
                <w:spacing w:val="-2"/>
                <w:sz w:val="16"/>
              </w:rPr>
              <w:t>plumbing</w:t>
            </w:r>
          </w:p>
        </w:tc>
        <w:tc>
          <w:tcPr>
            <w:tcW w:w="3078" w:type="dxa"/>
            <w:tcBorders>
              <w:top w:val="single" w:sz="2" w:space="0" w:color="000000"/>
            </w:tcBorders>
          </w:tcPr>
          <w:p w14:paraId="22A98F91" w14:textId="77777777" w:rsidR="00084F36" w:rsidRPr="00EB2BD8" w:rsidRDefault="00EB2BD8">
            <w:pPr>
              <w:pStyle w:val="TableParagraph"/>
              <w:spacing w:before="114"/>
              <w:ind w:left="112"/>
              <w:rPr>
                <w:sz w:val="16"/>
              </w:rPr>
            </w:pPr>
            <w:r w:rsidRPr="00EB2BD8">
              <w:rPr>
                <w:spacing w:val="-4"/>
                <w:sz w:val="16"/>
              </w:rPr>
              <w:t>Two</w:t>
            </w:r>
            <w:r w:rsidRPr="00EB2BD8">
              <w:rPr>
                <w:spacing w:val="-5"/>
                <w:sz w:val="16"/>
              </w:rPr>
              <w:t xml:space="preserve"> </w:t>
            </w:r>
            <w:r w:rsidRPr="00EB2BD8">
              <w:rPr>
                <w:spacing w:val="-4"/>
                <w:sz w:val="16"/>
              </w:rPr>
              <w:t>grounds</w:t>
            </w:r>
            <w:r w:rsidRPr="00EB2BD8">
              <w:rPr>
                <w:spacing w:val="-5"/>
                <w:sz w:val="16"/>
              </w:rPr>
              <w:t xml:space="preserve"> </w:t>
            </w:r>
            <w:r w:rsidRPr="00EB2BD8">
              <w:rPr>
                <w:spacing w:val="-4"/>
                <w:sz w:val="16"/>
              </w:rPr>
              <w:t>proven.</w:t>
            </w:r>
            <w:r w:rsidRPr="00EB2BD8">
              <w:rPr>
                <w:spacing w:val="-5"/>
                <w:sz w:val="16"/>
              </w:rPr>
              <w:t xml:space="preserve"> </w:t>
            </w:r>
            <w:r w:rsidRPr="00EB2BD8">
              <w:rPr>
                <w:spacing w:val="-4"/>
                <w:sz w:val="16"/>
              </w:rPr>
              <w:t>Practitioner’s</w:t>
            </w:r>
          </w:p>
        </w:tc>
        <w:tc>
          <w:tcPr>
            <w:tcW w:w="1081" w:type="dxa"/>
            <w:tcBorders>
              <w:top w:val="single" w:sz="2" w:space="0" w:color="000000"/>
            </w:tcBorders>
          </w:tcPr>
          <w:p w14:paraId="5DF5723C" w14:textId="77777777" w:rsidR="00084F36" w:rsidRPr="00EB2BD8" w:rsidRDefault="00EB2BD8">
            <w:pPr>
              <w:pStyle w:val="TableParagraph"/>
              <w:spacing w:before="114"/>
              <w:ind w:right="113"/>
              <w:jc w:val="right"/>
              <w:rPr>
                <w:sz w:val="16"/>
              </w:rPr>
            </w:pPr>
            <w:r w:rsidRPr="00EB2BD8">
              <w:rPr>
                <w:w w:val="135"/>
                <w:sz w:val="16"/>
              </w:rPr>
              <w:t>-</w:t>
            </w:r>
          </w:p>
        </w:tc>
        <w:tc>
          <w:tcPr>
            <w:tcW w:w="1177" w:type="dxa"/>
            <w:tcBorders>
              <w:top w:val="single" w:sz="2" w:space="0" w:color="000000"/>
            </w:tcBorders>
          </w:tcPr>
          <w:p w14:paraId="2C2C495B" w14:textId="77777777" w:rsidR="00084F36" w:rsidRPr="00EB2BD8" w:rsidRDefault="00EB2BD8">
            <w:pPr>
              <w:pStyle w:val="TableParagraph"/>
              <w:spacing w:before="114"/>
              <w:ind w:left="110"/>
              <w:rPr>
                <w:sz w:val="16"/>
              </w:rPr>
            </w:pPr>
            <w:r w:rsidRPr="00EB2BD8">
              <w:rPr>
                <w:spacing w:val="-2"/>
                <w:w w:val="95"/>
                <w:sz w:val="16"/>
              </w:rPr>
              <w:t>29/07/2022</w:t>
            </w:r>
          </w:p>
        </w:tc>
      </w:tr>
      <w:tr w:rsidR="00EB2BD8" w:rsidRPr="00EB2BD8" w14:paraId="41A44FBA" w14:textId="77777777">
        <w:trPr>
          <w:trHeight w:val="229"/>
        </w:trPr>
        <w:tc>
          <w:tcPr>
            <w:tcW w:w="1711" w:type="dxa"/>
          </w:tcPr>
          <w:p w14:paraId="36FB0798" w14:textId="77777777" w:rsidR="00084F36" w:rsidRPr="00EB2BD8" w:rsidRDefault="00084F36">
            <w:pPr>
              <w:pStyle w:val="TableParagraph"/>
              <w:rPr>
                <w:rFonts w:ascii="Times New Roman"/>
                <w:sz w:val="16"/>
              </w:rPr>
            </w:pPr>
          </w:p>
        </w:tc>
        <w:tc>
          <w:tcPr>
            <w:tcW w:w="3165" w:type="dxa"/>
          </w:tcPr>
          <w:p w14:paraId="575F20AB" w14:textId="77777777" w:rsidR="00084F36" w:rsidRPr="00EB2BD8" w:rsidRDefault="00EB2BD8">
            <w:pPr>
              <w:pStyle w:val="TableParagraph"/>
              <w:spacing w:before="19"/>
              <w:ind w:left="159"/>
              <w:rPr>
                <w:sz w:val="16"/>
              </w:rPr>
            </w:pPr>
            <w:r w:rsidRPr="00EB2BD8">
              <w:rPr>
                <w:spacing w:val="-2"/>
                <w:sz w:val="16"/>
              </w:rPr>
              <w:t>work</w:t>
            </w:r>
            <w:r w:rsidRPr="00EB2BD8">
              <w:rPr>
                <w:spacing w:val="-6"/>
                <w:sz w:val="16"/>
              </w:rPr>
              <w:t xml:space="preserve"> </w:t>
            </w:r>
            <w:r w:rsidRPr="00EB2BD8">
              <w:rPr>
                <w:spacing w:val="-2"/>
                <w:sz w:val="16"/>
              </w:rPr>
              <w:t>which</w:t>
            </w:r>
            <w:r w:rsidRPr="00EB2BD8">
              <w:rPr>
                <w:spacing w:val="-6"/>
                <w:sz w:val="16"/>
              </w:rPr>
              <w:t xml:space="preserve"> </w:t>
            </w:r>
            <w:r w:rsidRPr="00EB2BD8">
              <w:rPr>
                <w:spacing w:val="-2"/>
                <w:sz w:val="16"/>
              </w:rPr>
              <w:t>required</w:t>
            </w:r>
            <w:r w:rsidRPr="00EB2BD8">
              <w:rPr>
                <w:spacing w:val="-6"/>
                <w:sz w:val="16"/>
              </w:rPr>
              <w:t xml:space="preserve"> </w:t>
            </w:r>
            <w:r w:rsidRPr="00EB2BD8">
              <w:rPr>
                <w:spacing w:val="-2"/>
                <w:sz w:val="16"/>
              </w:rPr>
              <w:t>a</w:t>
            </w:r>
            <w:r w:rsidRPr="00EB2BD8">
              <w:rPr>
                <w:spacing w:val="-6"/>
                <w:sz w:val="16"/>
              </w:rPr>
              <w:t xml:space="preserve"> </w:t>
            </w:r>
            <w:r w:rsidRPr="00EB2BD8">
              <w:rPr>
                <w:spacing w:val="-2"/>
                <w:sz w:val="16"/>
              </w:rPr>
              <w:t>compliance</w:t>
            </w:r>
          </w:p>
        </w:tc>
        <w:tc>
          <w:tcPr>
            <w:tcW w:w="3078" w:type="dxa"/>
          </w:tcPr>
          <w:p w14:paraId="777520C7" w14:textId="77777777" w:rsidR="00084F36" w:rsidRPr="00EB2BD8" w:rsidRDefault="00EB2BD8">
            <w:pPr>
              <w:pStyle w:val="TableParagraph"/>
              <w:spacing w:before="19"/>
              <w:ind w:left="112"/>
              <w:rPr>
                <w:sz w:val="16"/>
              </w:rPr>
            </w:pPr>
            <w:r w:rsidRPr="00EB2BD8">
              <w:rPr>
                <w:sz w:val="16"/>
              </w:rPr>
              <w:t>licence</w:t>
            </w:r>
            <w:r w:rsidRPr="00EB2BD8">
              <w:rPr>
                <w:spacing w:val="-9"/>
                <w:sz w:val="16"/>
              </w:rPr>
              <w:t xml:space="preserve"> </w:t>
            </w:r>
            <w:r w:rsidRPr="00EB2BD8">
              <w:rPr>
                <w:sz w:val="16"/>
              </w:rPr>
              <w:t>and</w:t>
            </w:r>
            <w:r w:rsidRPr="00EB2BD8">
              <w:rPr>
                <w:spacing w:val="-9"/>
                <w:sz w:val="16"/>
              </w:rPr>
              <w:t xml:space="preserve"> </w:t>
            </w:r>
            <w:r w:rsidRPr="00EB2BD8">
              <w:rPr>
                <w:sz w:val="16"/>
              </w:rPr>
              <w:t>registrations</w:t>
            </w:r>
            <w:r w:rsidRPr="00EB2BD8">
              <w:rPr>
                <w:spacing w:val="-8"/>
                <w:sz w:val="16"/>
              </w:rPr>
              <w:t xml:space="preserve"> </w:t>
            </w:r>
            <w:r w:rsidRPr="00EB2BD8">
              <w:rPr>
                <w:spacing w:val="-2"/>
                <w:sz w:val="16"/>
              </w:rPr>
              <w:t>cancelled</w:t>
            </w:r>
          </w:p>
        </w:tc>
        <w:tc>
          <w:tcPr>
            <w:tcW w:w="1081" w:type="dxa"/>
          </w:tcPr>
          <w:p w14:paraId="63775845" w14:textId="77777777" w:rsidR="00084F36" w:rsidRPr="00EB2BD8" w:rsidRDefault="00084F36">
            <w:pPr>
              <w:pStyle w:val="TableParagraph"/>
              <w:rPr>
                <w:rFonts w:ascii="Times New Roman"/>
                <w:sz w:val="16"/>
              </w:rPr>
            </w:pPr>
          </w:p>
        </w:tc>
        <w:tc>
          <w:tcPr>
            <w:tcW w:w="1177" w:type="dxa"/>
          </w:tcPr>
          <w:p w14:paraId="74823125" w14:textId="77777777" w:rsidR="00084F36" w:rsidRPr="00EB2BD8" w:rsidRDefault="00084F36">
            <w:pPr>
              <w:pStyle w:val="TableParagraph"/>
              <w:rPr>
                <w:rFonts w:ascii="Times New Roman"/>
                <w:sz w:val="16"/>
              </w:rPr>
            </w:pPr>
          </w:p>
        </w:tc>
      </w:tr>
      <w:tr w:rsidR="00EB2BD8" w:rsidRPr="00EB2BD8" w14:paraId="6FF96DFA" w14:textId="77777777">
        <w:trPr>
          <w:trHeight w:val="229"/>
        </w:trPr>
        <w:tc>
          <w:tcPr>
            <w:tcW w:w="1711" w:type="dxa"/>
          </w:tcPr>
          <w:p w14:paraId="57937300" w14:textId="77777777" w:rsidR="00084F36" w:rsidRPr="00EB2BD8" w:rsidRDefault="00084F36">
            <w:pPr>
              <w:pStyle w:val="TableParagraph"/>
              <w:rPr>
                <w:rFonts w:ascii="Times New Roman"/>
                <w:sz w:val="16"/>
              </w:rPr>
            </w:pPr>
          </w:p>
        </w:tc>
        <w:tc>
          <w:tcPr>
            <w:tcW w:w="3165" w:type="dxa"/>
          </w:tcPr>
          <w:p w14:paraId="4EAFBE6F" w14:textId="77777777" w:rsidR="00084F36" w:rsidRPr="00EB2BD8" w:rsidRDefault="00EB2BD8">
            <w:pPr>
              <w:pStyle w:val="TableParagraph"/>
              <w:spacing w:before="19"/>
              <w:ind w:left="159"/>
              <w:rPr>
                <w:sz w:val="16"/>
              </w:rPr>
            </w:pPr>
            <w:r w:rsidRPr="00EB2BD8">
              <w:rPr>
                <w:sz w:val="16"/>
              </w:rPr>
              <w:t>certificate</w:t>
            </w:r>
            <w:r w:rsidRPr="00EB2BD8">
              <w:rPr>
                <w:spacing w:val="-7"/>
                <w:sz w:val="16"/>
              </w:rPr>
              <w:t xml:space="preserve"> </w:t>
            </w:r>
            <w:r w:rsidRPr="00EB2BD8">
              <w:rPr>
                <w:sz w:val="16"/>
              </w:rPr>
              <w:t>when</w:t>
            </w:r>
            <w:r w:rsidRPr="00EB2BD8">
              <w:rPr>
                <w:spacing w:val="-7"/>
                <w:sz w:val="16"/>
              </w:rPr>
              <w:t xml:space="preserve"> </w:t>
            </w:r>
            <w:r w:rsidRPr="00EB2BD8">
              <w:rPr>
                <w:sz w:val="16"/>
              </w:rPr>
              <w:t>he</w:t>
            </w:r>
            <w:r w:rsidRPr="00EB2BD8">
              <w:rPr>
                <w:spacing w:val="-7"/>
                <w:sz w:val="16"/>
              </w:rPr>
              <w:t xml:space="preserve"> </w:t>
            </w:r>
            <w:r w:rsidRPr="00EB2BD8">
              <w:rPr>
                <w:sz w:val="16"/>
              </w:rPr>
              <w:t>was</w:t>
            </w:r>
            <w:r w:rsidRPr="00EB2BD8">
              <w:rPr>
                <w:spacing w:val="-7"/>
                <w:sz w:val="16"/>
              </w:rPr>
              <w:t xml:space="preserve"> </w:t>
            </w:r>
            <w:r w:rsidRPr="00EB2BD8">
              <w:rPr>
                <w:sz w:val="16"/>
              </w:rPr>
              <w:t>not</w:t>
            </w:r>
            <w:r w:rsidRPr="00EB2BD8">
              <w:rPr>
                <w:spacing w:val="-7"/>
                <w:sz w:val="16"/>
              </w:rPr>
              <w:t xml:space="preserve"> </w:t>
            </w:r>
            <w:r w:rsidRPr="00EB2BD8">
              <w:rPr>
                <w:spacing w:val="-2"/>
                <w:sz w:val="16"/>
              </w:rPr>
              <w:t>licensed</w:t>
            </w:r>
          </w:p>
        </w:tc>
        <w:tc>
          <w:tcPr>
            <w:tcW w:w="3078" w:type="dxa"/>
          </w:tcPr>
          <w:p w14:paraId="472996B2" w14:textId="77777777" w:rsidR="00084F36" w:rsidRPr="00EB2BD8" w:rsidRDefault="00EB2BD8">
            <w:pPr>
              <w:pStyle w:val="TableParagraph"/>
              <w:spacing w:before="19"/>
              <w:ind w:left="112"/>
              <w:rPr>
                <w:sz w:val="16"/>
              </w:rPr>
            </w:pPr>
            <w:r w:rsidRPr="00EB2BD8">
              <w:rPr>
                <w:spacing w:val="-2"/>
                <w:sz w:val="16"/>
              </w:rPr>
              <w:t>and</w:t>
            </w:r>
            <w:r w:rsidRPr="00EB2BD8">
              <w:rPr>
                <w:sz w:val="16"/>
              </w:rPr>
              <w:t xml:space="preserve"> </w:t>
            </w:r>
            <w:r w:rsidRPr="00EB2BD8">
              <w:rPr>
                <w:spacing w:val="-2"/>
                <w:sz w:val="16"/>
              </w:rPr>
              <w:t>disqualified</w:t>
            </w:r>
            <w:r w:rsidRPr="00EB2BD8">
              <w:rPr>
                <w:spacing w:val="1"/>
                <w:sz w:val="16"/>
              </w:rPr>
              <w:t xml:space="preserve"> </w:t>
            </w:r>
            <w:r w:rsidRPr="00EB2BD8">
              <w:rPr>
                <w:spacing w:val="-2"/>
                <w:sz w:val="16"/>
              </w:rPr>
              <w:t>from</w:t>
            </w:r>
            <w:r w:rsidRPr="00EB2BD8">
              <w:rPr>
                <w:spacing w:val="1"/>
                <w:sz w:val="16"/>
              </w:rPr>
              <w:t xml:space="preserve"> </w:t>
            </w:r>
            <w:r w:rsidRPr="00EB2BD8">
              <w:rPr>
                <w:spacing w:val="-2"/>
                <w:sz w:val="16"/>
              </w:rPr>
              <w:t>reapplying</w:t>
            </w:r>
            <w:r w:rsidRPr="00EB2BD8">
              <w:rPr>
                <w:spacing w:val="1"/>
                <w:sz w:val="16"/>
              </w:rPr>
              <w:t xml:space="preserve"> </w:t>
            </w:r>
            <w:r w:rsidRPr="00EB2BD8">
              <w:rPr>
                <w:spacing w:val="-5"/>
                <w:sz w:val="16"/>
              </w:rPr>
              <w:t>for</w:t>
            </w:r>
          </w:p>
        </w:tc>
        <w:tc>
          <w:tcPr>
            <w:tcW w:w="1081" w:type="dxa"/>
          </w:tcPr>
          <w:p w14:paraId="2186F37F" w14:textId="77777777" w:rsidR="00084F36" w:rsidRPr="00EB2BD8" w:rsidRDefault="00084F36">
            <w:pPr>
              <w:pStyle w:val="TableParagraph"/>
              <w:rPr>
                <w:rFonts w:ascii="Times New Roman"/>
                <w:sz w:val="16"/>
              </w:rPr>
            </w:pPr>
          </w:p>
        </w:tc>
        <w:tc>
          <w:tcPr>
            <w:tcW w:w="1177" w:type="dxa"/>
          </w:tcPr>
          <w:p w14:paraId="513817E4" w14:textId="77777777" w:rsidR="00084F36" w:rsidRPr="00EB2BD8" w:rsidRDefault="00084F36">
            <w:pPr>
              <w:pStyle w:val="TableParagraph"/>
              <w:rPr>
                <w:rFonts w:ascii="Times New Roman"/>
                <w:sz w:val="16"/>
              </w:rPr>
            </w:pPr>
          </w:p>
        </w:tc>
      </w:tr>
      <w:tr w:rsidR="00EB2BD8" w:rsidRPr="00EB2BD8" w14:paraId="0BDB84D2" w14:textId="77777777">
        <w:trPr>
          <w:trHeight w:val="229"/>
        </w:trPr>
        <w:tc>
          <w:tcPr>
            <w:tcW w:w="1711" w:type="dxa"/>
          </w:tcPr>
          <w:p w14:paraId="4EFCFC17" w14:textId="77777777" w:rsidR="00084F36" w:rsidRPr="00EB2BD8" w:rsidRDefault="00084F36">
            <w:pPr>
              <w:pStyle w:val="TableParagraph"/>
              <w:rPr>
                <w:rFonts w:ascii="Times New Roman"/>
                <w:sz w:val="16"/>
              </w:rPr>
            </w:pPr>
          </w:p>
        </w:tc>
        <w:tc>
          <w:tcPr>
            <w:tcW w:w="3165" w:type="dxa"/>
          </w:tcPr>
          <w:p w14:paraId="5A5FEA53" w14:textId="77777777" w:rsidR="00084F36" w:rsidRPr="00EB2BD8" w:rsidRDefault="00EB2BD8">
            <w:pPr>
              <w:pStyle w:val="TableParagraph"/>
              <w:spacing w:before="19"/>
              <w:ind w:left="159"/>
              <w:rPr>
                <w:sz w:val="16"/>
              </w:rPr>
            </w:pPr>
            <w:r w:rsidRPr="00EB2BD8">
              <w:rPr>
                <w:sz w:val="16"/>
              </w:rPr>
              <w:t>to</w:t>
            </w:r>
            <w:r w:rsidRPr="00EB2BD8">
              <w:rPr>
                <w:spacing w:val="-12"/>
                <w:sz w:val="16"/>
              </w:rPr>
              <w:t xml:space="preserve"> </w:t>
            </w:r>
            <w:r w:rsidRPr="00EB2BD8">
              <w:rPr>
                <w:sz w:val="16"/>
              </w:rPr>
              <w:t>do</w:t>
            </w:r>
            <w:r w:rsidRPr="00EB2BD8">
              <w:rPr>
                <w:spacing w:val="-11"/>
                <w:sz w:val="16"/>
              </w:rPr>
              <w:t xml:space="preserve"> </w:t>
            </w:r>
            <w:r w:rsidRPr="00EB2BD8">
              <w:rPr>
                <w:sz w:val="16"/>
              </w:rPr>
              <w:t>so;</w:t>
            </w:r>
            <w:r w:rsidRPr="00EB2BD8">
              <w:rPr>
                <w:spacing w:val="-12"/>
                <w:sz w:val="16"/>
              </w:rPr>
              <w:t xml:space="preserve"> </w:t>
            </w:r>
            <w:r w:rsidRPr="00EB2BD8">
              <w:rPr>
                <w:sz w:val="16"/>
              </w:rPr>
              <w:t>and</w:t>
            </w:r>
            <w:r w:rsidRPr="00EB2BD8">
              <w:rPr>
                <w:spacing w:val="-11"/>
                <w:sz w:val="16"/>
              </w:rPr>
              <w:t xml:space="preserve"> </w:t>
            </w:r>
            <w:r w:rsidRPr="00EB2BD8">
              <w:rPr>
                <w:sz w:val="16"/>
              </w:rPr>
              <w:t>carried</w:t>
            </w:r>
            <w:r w:rsidRPr="00EB2BD8">
              <w:rPr>
                <w:spacing w:val="-11"/>
                <w:sz w:val="16"/>
              </w:rPr>
              <w:t xml:space="preserve"> </w:t>
            </w:r>
            <w:r w:rsidRPr="00EB2BD8">
              <w:rPr>
                <w:sz w:val="16"/>
              </w:rPr>
              <w:t>out</w:t>
            </w:r>
            <w:r w:rsidRPr="00EB2BD8">
              <w:rPr>
                <w:spacing w:val="-12"/>
                <w:sz w:val="16"/>
              </w:rPr>
              <w:t xml:space="preserve"> </w:t>
            </w:r>
            <w:r w:rsidRPr="00EB2BD8">
              <w:rPr>
                <w:spacing w:val="-4"/>
                <w:sz w:val="16"/>
              </w:rPr>
              <w:t>non-</w:t>
            </w:r>
          </w:p>
        </w:tc>
        <w:tc>
          <w:tcPr>
            <w:tcW w:w="3078" w:type="dxa"/>
          </w:tcPr>
          <w:p w14:paraId="2CAD688A" w14:textId="77777777" w:rsidR="00084F36" w:rsidRPr="00EB2BD8" w:rsidRDefault="00EB2BD8">
            <w:pPr>
              <w:pStyle w:val="TableParagraph"/>
              <w:spacing w:before="19"/>
              <w:ind w:left="112"/>
              <w:rPr>
                <w:sz w:val="16"/>
              </w:rPr>
            </w:pPr>
            <w:r w:rsidRPr="00EB2BD8">
              <w:rPr>
                <w:spacing w:val="-2"/>
                <w:sz w:val="16"/>
              </w:rPr>
              <w:t>a</w:t>
            </w:r>
            <w:r w:rsidRPr="00EB2BD8">
              <w:rPr>
                <w:spacing w:val="-11"/>
                <w:sz w:val="16"/>
              </w:rPr>
              <w:t xml:space="preserve"> </w:t>
            </w:r>
            <w:r w:rsidRPr="00EB2BD8">
              <w:rPr>
                <w:spacing w:val="-2"/>
                <w:sz w:val="16"/>
              </w:rPr>
              <w:t>period</w:t>
            </w:r>
            <w:r w:rsidRPr="00EB2BD8">
              <w:rPr>
                <w:spacing w:val="-10"/>
                <w:sz w:val="16"/>
              </w:rPr>
              <w:t xml:space="preserve"> </w:t>
            </w:r>
            <w:r w:rsidRPr="00EB2BD8">
              <w:rPr>
                <w:spacing w:val="-2"/>
                <w:sz w:val="16"/>
              </w:rPr>
              <w:t>of</w:t>
            </w:r>
            <w:r w:rsidRPr="00EB2BD8">
              <w:rPr>
                <w:spacing w:val="-11"/>
                <w:sz w:val="16"/>
              </w:rPr>
              <w:t xml:space="preserve"> </w:t>
            </w:r>
            <w:r w:rsidRPr="00EB2BD8">
              <w:rPr>
                <w:spacing w:val="-2"/>
                <w:sz w:val="16"/>
              </w:rPr>
              <w:t>three</w:t>
            </w:r>
            <w:r w:rsidRPr="00EB2BD8">
              <w:rPr>
                <w:spacing w:val="-10"/>
                <w:sz w:val="16"/>
              </w:rPr>
              <w:t xml:space="preserve"> </w:t>
            </w:r>
            <w:r w:rsidRPr="00EB2BD8">
              <w:rPr>
                <w:spacing w:val="-2"/>
                <w:sz w:val="16"/>
              </w:rPr>
              <w:t>years</w:t>
            </w:r>
            <w:r w:rsidRPr="00EB2BD8">
              <w:rPr>
                <w:spacing w:val="-11"/>
                <w:sz w:val="16"/>
              </w:rPr>
              <w:t xml:space="preserve"> </w:t>
            </w:r>
            <w:r w:rsidRPr="00EB2BD8">
              <w:rPr>
                <w:spacing w:val="-2"/>
                <w:sz w:val="16"/>
              </w:rPr>
              <w:t>from</w:t>
            </w:r>
            <w:r w:rsidRPr="00EB2BD8">
              <w:rPr>
                <w:spacing w:val="-10"/>
                <w:sz w:val="16"/>
              </w:rPr>
              <w:t xml:space="preserve"> </w:t>
            </w:r>
            <w:r w:rsidRPr="00EB2BD8">
              <w:rPr>
                <w:spacing w:val="-2"/>
                <w:sz w:val="16"/>
              </w:rPr>
              <w:t>14</w:t>
            </w:r>
            <w:r w:rsidRPr="00EB2BD8">
              <w:rPr>
                <w:spacing w:val="-11"/>
                <w:sz w:val="16"/>
              </w:rPr>
              <w:t xml:space="preserve"> </w:t>
            </w:r>
            <w:r w:rsidRPr="00EB2BD8">
              <w:rPr>
                <w:spacing w:val="-4"/>
                <w:sz w:val="16"/>
              </w:rPr>
              <w:t>days</w:t>
            </w:r>
          </w:p>
        </w:tc>
        <w:tc>
          <w:tcPr>
            <w:tcW w:w="1081" w:type="dxa"/>
          </w:tcPr>
          <w:p w14:paraId="13904FAD" w14:textId="77777777" w:rsidR="00084F36" w:rsidRPr="00EB2BD8" w:rsidRDefault="00084F36">
            <w:pPr>
              <w:pStyle w:val="TableParagraph"/>
              <w:rPr>
                <w:rFonts w:ascii="Times New Roman"/>
                <w:sz w:val="16"/>
              </w:rPr>
            </w:pPr>
          </w:p>
        </w:tc>
        <w:tc>
          <w:tcPr>
            <w:tcW w:w="1177" w:type="dxa"/>
          </w:tcPr>
          <w:p w14:paraId="224D55A6" w14:textId="77777777" w:rsidR="00084F36" w:rsidRPr="00EB2BD8" w:rsidRDefault="00084F36">
            <w:pPr>
              <w:pStyle w:val="TableParagraph"/>
              <w:rPr>
                <w:rFonts w:ascii="Times New Roman"/>
                <w:sz w:val="16"/>
              </w:rPr>
            </w:pPr>
          </w:p>
        </w:tc>
      </w:tr>
      <w:tr w:rsidR="00EB2BD8" w:rsidRPr="00EB2BD8" w14:paraId="15B0E109" w14:textId="77777777">
        <w:trPr>
          <w:trHeight w:val="229"/>
        </w:trPr>
        <w:tc>
          <w:tcPr>
            <w:tcW w:w="1711" w:type="dxa"/>
          </w:tcPr>
          <w:p w14:paraId="7F8312A6" w14:textId="77777777" w:rsidR="00084F36" w:rsidRPr="00EB2BD8" w:rsidRDefault="00084F36">
            <w:pPr>
              <w:pStyle w:val="TableParagraph"/>
              <w:rPr>
                <w:rFonts w:ascii="Times New Roman"/>
                <w:sz w:val="16"/>
              </w:rPr>
            </w:pPr>
          </w:p>
        </w:tc>
        <w:tc>
          <w:tcPr>
            <w:tcW w:w="3165" w:type="dxa"/>
          </w:tcPr>
          <w:p w14:paraId="626F6A81" w14:textId="77777777" w:rsidR="00084F36" w:rsidRPr="00EB2BD8" w:rsidRDefault="00EB2BD8">
            <w:pPr>
              <w:pStyle w:val="TableParagraph"/>
              <w:spacing w:before="19"/>
              <w:ind w:left="159"/>
              <w:rPr>
                <w:sz w:val="16"/>
              </w:rPr>
            </w:pPr>
            <w:r w:rsidRPr="00EB2BD8">
              <w:rPr>
                <w:spacing w:val="-2"/>
                <w:sz w:val="16"/>
              </w:rPr>
              <w:t>compliant</w:t>
            </w:r>
            <w:r w:rsidRPr="00EB2BD8">
              <w:rPr>
                <w:spacing w:val="-3"/>
                <w:sz w:val="16"/>
              </w:rPr>
              <w:t xml:space="preserve"> </w:t>
            </w:r>
            <w:r w:rsidRPr="00EB2BD8">
              <w:rPr>
                <w:spacing w:val="-2"/>
                <w:sz w:val="16"/>
              </w:rPr>
              <w:t>plumbing</w:t>
            </w:r>
            <w:r w:rsidRPr="00EB2BD8">
              <w:rPr>
                <w:spacing w:val="-3"/>
                <w:sz w:val="16"/>
              </w:rPr>
              <w:t xml:space="preserve"> </w:t>
            </w:r>
            <w:r w:rsidRPr="00EB2BD8">
              <w:rPr>
                <w:spacing w:val="-2"/>
                <w:sz w:val="16"/>
              </w:rPr>
              <w:t>work.</w:t>
            </w:r>
            <w:r w:rsidRPr="00EB2BD8">
              <w:rPr>
                <w:spacing w:val="-3"/>
                <w:sz w:val="16"/>
              </w:rPr>
              <w:t xml:space="preserve"> </w:t>
            </w:r>
            <w:r w:rsidRPr="00EB2BD8">
              <w:rPr>
                <w:spacing w:val="-2"/>
                <w:sz w:val="16"/>
              </w:rPr>
              <w:t>Subject</w:t>
            </w:r>
            <w:r w:rsidRPr="00EB2BD8">
              <w:rPr>
                <w:spacing w:val="-3"/>
                <w:sz w:val="16"/>
              </w:rPr>
              <w:t xml:space="preserve"> </w:t>
            </w:r>
            <w:r w:rsidRPr="00EB2BD8">
              <w:rPr>
                <w:spacing w:val="-5"/>
                <w:sz w:val="16"/>
              </w:rPr>
              <w:t>to</w:t>
            </w:r>
          </w:p>
        </w:tc>
        <w:tc>
          <w:tcPr>
            <w:tcW w:w="3078" w:type="dxa"/>
          </w:tcPr>
          <w:p w14:paraId="6755CEF9" w14:textId="77777777" w:rsidR="00084F36" w:rsidRPr="00EB2BD8" w:rsidRDefault="00EB2BD8">
            <w:pPr>
              <w:pStyle w:val="TableParagraph"/>
              <w:spacing w:before="19"/>
              <w:ind w:left="112"/>
              <w:rPr>
                <w:sz w:val="16"/>
              </w:rPr>
            </w:pPr>
            <w:r w:rsidRPr="00EB2BD8">
              <w:rPr>
                <w:sz w:val="16"/>
              </w:rPr>
              <w:t>of</w:t>
            </w:r>
            <w:r w:rsidRPr="00EB2BD8">
              <w:rPr>
                <w:spacing w:val="-12"/>
                <w:sz w:val="16"/>
              </w:rPr>
              <w:t xml:space="preserve"> </w:t>
            </w:r>
            <w:r w:rsidRPr="00EB2BD8">
              <w:rPr>
                <w:sz w:val="16"/>
              </w:rPr>
              <w:t>the</w:t>
            </w:r>
            <w:r w:rsidRPr="00EB2BD8">
              <w:rPr>
                <w:spacing w:val="-12"/>
                <w:sz w:val="16"/>
              </w:rPr>
              <w:t xml:space="preserve"> </w:t>
            </w:r>
            <w:r w:rsidRPr="00EB2BD8">
              <w:rPr>
                <w:sz w:val="16"/>
              </w:rPr>
              <w:t>date</w:t>
            </w:r>
            <w:r w:rsidRPr="00EB2BD8">
              <w:rPr>
                <w:spacing w:val="-12"/>
                <w:sz w:val="16"/>
              </w:rPr>
              <w:t xml:space="preserve"> </w:t>
            </w:r>
            <w:r w:rsidRPr="00EB2BD8">
              <w:rPr>
                <w:sz w:val="16"/>
              </w:rPr>
              <w:t>of</w:t>
            </w:r>
            <w:r w:rsidRPr="00EB2BD8">
              <w:rPr>
                <w:spacing w:val="-12"/>
                <w:sz w:val="16"/>
              </w:rPr>
              <w:t xml:space="preserve"> </w:t>
            </w:r>
            <w:r w:rsidRPr="00EB2BD8">
              <w:rPr>
                <w:sz w:val="16"/>
              </w:rPr>
              <w:t>the</w:t>
            </w:r>
            <w:r w:rsidRPr="00EB2BD8">
              <w:rPr>
                <w:spacing w:val="-11"/>
                <w:sz w:val="16"/>
              </w:rPr>
              <w:t xml:space="preserve"> </w:t>
            </w:r>
            <w:r w:rsidRPr="00EB2BD8">
              <w:rPr>
                <w:sz w:val="16"/>
              </w:rPr>
              <w:t>order.</w:t>
            </w:r>
            <w:r w:rsidRPr="00EB2BD8">
              <w:rPr>
                <w:spacing w:val="-12"/>
                <w:sz w:val="16"/>
              </w:rPr>
              <w:t xml:space="preserve"> </w:t>
            </w:r>
            <w:r w:rsidRPr="00EB2BD8">
              <w:rPr>
                <w:sz w:val="16"/>
              </w:rPr>
              <w:t>Pay</w:t>
            </w:r>
            <w:r w:rsidRPr="00EB2BD8">
              <w:rPr>
                <w:spacing w:val="-12"/>
                <w:sz w:val="16"/>
              </w:rPr>
              <w:t xml:space="preserve"> </w:t>
            </w:r>
            <w:r w:rsidRPr="00EB2BD8">
              <w:rPr>
                <w:sz w:val="16"/>
              </w:rPr>
              <w:t>costs</w:t>
            </w:r>
            <w:r w:rsidRPr="00EB2BD8">
              <w:rPr>
                <w:spacing w:val="-12"/>
                <w:sz w:val="16"/>
              </w:rPr>
              <w:t xml:space="preserve"> </w:t>
            </w:r>
            <w:r w:rsidRPr="00EB2BD8">
              <w:rPr>
                <w:spacing w:val="-5"/>
                <w:sz w:val="16"/>
              </w:rPr>
              <w:t>of</w:t>
            </w:r>
          </w:p>
        </w:tc>
        <w:tc>
          <w:tcPr>
            <w:tcW w:w="1081" w:type="dxa"/>
          </w:tcPr>
          <w:p w14:paraId="61F206D0" w14:textId="77777777" w:rsidR="00084F36" w:rsidRPr="00EB2BD8" w:rsidRDefault="00084F36">
            <w:pPr>
              <w:pStyle w:val="TableParagraph"/>
              <w:rPr>
                <w:rFonts w:ascii="Times New Roman"/>
                <w:sz w:val="16"/>
              </w:rPr>
            </w:pPr>
          </w:p>
        </w:tc>
        <w:tc>
          <w:tcPr>
            <w:tcW w:w="1177" w:type="dxa"/>
          </w:tcPr>
          <w:p w14:paraId="1CFC4A08" w14:textId="77777777" w:rsidR="00084F36" w:rsidRPr="00EB2BD8" w:rsidRDefault="00084F36">
            <w:pPr>
              <w:pStyle w:val="TableParagraph"/>
              <w:rPr>
                <w:rFonts w:ascii="Times New Roman"/>
                <w:sz w:val="16"/>
              </w:rPr>
            </w:pPr>
          </w:p>
        </w:tc>
      </w:tr>
      <w:tr w:rsidR="00EB2BD8" w:rsidRPr="00EB2BD8" w14:paraId="4D7B2CA2" w14:textId="77777777">
        <w:trPr>
          <w:trHeight w:val="286"/>
        </w:trPr>
        <w:tc>
          <w:tcPr>
            <w:tcW w:w="1711" w:type="dxa"/>
            <w:tcBorders>
              <w:bottom w:val="single" w:sz="2" w:space="0" w:color="000000"/>
            </w:tcBorders>
          </w:tcPr>
          <w:p w14:paraId="3DB5DEBA" w14:textId="77777777" w:rsidR="00084F36" w:rsidRPr="00EB2BD8" w:rsidRDefault="00084F36">
            <w:pPr>
              <w:pStyle w:val="TableParagraph"/>
              <w:rPr>
                <w:rFonts w:ascii="Times New Roman"/>
                <w:sz w:val="16"/>
              </w:rPr>
            </w:pPr>
          </w:p>
        </w:tc>
        <w:tc>
          <w:tcPr>
            <w:tcW w:w="3165" w:type="dxa"/>
            <w:tcBorders>
              <w:bottom w:val="single" w:sz="2" w:space="0" w:color="000000"/>
            </w:tcBorders>
          </w:tcPr>
          <w:p w14:paraId="052E51DA" w14:textId="77777777" w:rsidR="00084F36" w:rsidRPr="00EB2BD8" w:rsidRDefault="00EB2BD8">
            <w:pPr>
              <w:pStyle w:val="TableParagraph"/>
              <w:spacing w:before="19"/>
              <w:ind w:left="159"/>
              <w:rPr>
                <w:sz w:val="16"/>
              </w:rPr>
            </w:pPr>
            <w:r w:rsidRPr="00EB2BD8">
              <w:rPr>
                <w:spacing w:val="-4"/>
                <w:sz w:val="16"/>
              </w:rPr>
              <w:t>VCAT</w:t>
            </w:r>
            <w:r w:rsidRPr="00EB2BD8">
              <w:rPr>
                <w:spacing w:val="-8"/>
                <w:sz w:val="16"/>
              </w:rPr>
              <w:t xml:space="preserve"> </w:t>
            </w:r>
            <w:r w:rsidRPr="00EB2BD8">
              <w:rPr>
                <w:spacing w:val="-2"/>
                <w:sz w:val="16"/>
              </w:rPr>
              <w:t>Appeal.</w:t>
            </w:r>
          </w:p>
        </w:tc>
        <w:tc>
          <w:tcPr>
            <w:tcW w:w="3078" w:type="dxa"/>
            <w:tcBorders>
              <w:bottom w:val="single" w:sz="2" w:space="0" w:color="000000"/>
            </w:tcBorders>
          </w:tcPr>
          <w:p w14:paraId="5D06C839" w14:textId="77777777" w:rsidR="00084F36" w:rsidRPr="00EB2BD8" w:rsidRDefault="00EB2BD8">
            <w:pPr>
              <w:pStyle w:val="TableParagraph"/>
              <w:spacing w:before="19"/>
              <w:ind w:left="112"/>
              <w:rPr>
                <w:sz w:val="16"/>
              </w:rPr>
            </w:pPr>
            <w:r w:rsidRPr="00EB2BD8">
              <w:rPr>
                <w:spacing w:val="-2"/>
                <w:w w:val="95"/>
                <w:sz w:val="16"/>
              </w:rPr>
              <w:t>$3,266.</w:t>
            </w:r>
          </w:p>
        </w:tc>
        <w:tc>
          <w:tcPr>
            <w:tcW w:w="1081" w:type="dxa"/>
            <w:tcBorders>
              <w:bottom w:val="single" w:sz="2" w:space="0" w:color="000000"/>
            </w:tcBorders>
          </w:tcPr>
          <w:p w14:paraId="683C1D1A" w14:textId="77777777" w:rsidR="00084F36" w:rsidRPr="00EB2BD8" w:rsidRDefault="00084F36">
            <w:pPr>
              <w:pStyle w:val="TableParagraph"/>
              <w:rPr>
                <w:rFonts w:ascii="Times New Roman"/>
                <w:sz w:val="16"/>
              </w:rPr>
            </w:pPr>
          </w:p>
        </w:tc>
        <w:tc>
          <w:tcPr>
            <w:tcW w:w="1177" w:type="dxa"/>
            <w:tcBorders>
              <w:bottom w:val="single" w:sz="2" w:space="0" w:color="000000"/>
            </w:tcBorders>
          </w:tcPr>
          <w:p w14:paraId="65356BF3" w14:textId="77777777" w:rsidR="00084F36" w:rsidRPr="00EB2BD8" w:rsidRDefault="00084F36">
            <w:pPr>
              <w:pStyle w:val="TableParagraph"/>
              <w:rPr>
                <w:rFonts w:ascii="Times New Roman"/>
                <w:sz w:val="16"/>
              </w:rPr>
            </w:pPr>
          </w:p>
        </w:tc>
      </w:tr>
      <w:tr w:rsidR="00EB2BD8" w:rsidRPr="00EB2BD8" w14:paraId="7F4329DD" w14:textId="77777777">
        <w:trPr>
          <w:trHeight w:val="324"/>
        </w:trPr>
        <w:tc>
          <w:tcPr>
            <w:tcW w:w="1711" w:type="dxa"/>
            <w:tcBorders>
              <w:top w:val="single" w:sz="2" w:space="0" w:color="000000"/>
            </w:tcBorders>
          </w:tcPr>
          <w:p w14:paraId="096C1726" w14:textId="77777777" w:rsidR="00084F36" w:rsidRPr="00EB2BD8" w:rsidRDefault="00EB2BD8">
            <w:pPr>
              <w:pStyle w:val="TableParagraph"/>
              <w:spacing w:before="114"/>
              <w:ind w:left="112"/>
              <w:rPr>
                <w:sz w:val="16"/>
              </w:rPr>
            </w:pPr>
            <w:r w:rsidRPr="00EB2BD8">
              <w:rPr>
                <w:spacing w:val="-2"/>
                <w:sz w:val="16"/>
              </w:rPr>
              <w:t>MCDONALD,</w:t>
            </w:r>
          </w:p>
        </w:tc>
        <w:tc>
          <w:tcPr>
            <w:tcW w:w="3165" w:type="dxa"/>
            <w:tcBorders>
              <w:top w:val="single" w:sz="2" w:space="0" w:color="000000"/>
            </w:tcBorders>
          </w:tcPr>
          <w:p w14:paraId="12C0CD8C" w14:textId="77777777" w:rsidR="00084F36" w:rsidRPr="00EB2BD8" w:rsidRDefault="00EB2BD8">
            <w:pPr>
              <w:pStyle w:val="TableParagraph"/>
              <w:spacing w:before="114"/>
              <w:ind w:left="159"/>
              <w:rPr>
                <w:sz w:val="16"/>
              </w:rPr>
            </w:pPr>
            <w:r w:rsidRPr="00EB2BD8">
              <w:rPr>
                <w:sz w:val="16"/>
              </w:rPr>
              <w:t>Permitted</w:t>
            </w:r>
            <w:r w:rsidRPr="00EB2BD8">
              <w:rPr>
                <w:spacing w:val="-9"/>
                <w:sz w:val="16"/>
              </w:rPr>
              <w:t xml:space="preserve"> </w:t>
            </w:r>
            <w:r w:rsidRPr="00EB2BD8">
              <w:rPr>
                <w:sz w:val="16"/>
              </w:rPr>
              <w:t>another</w:t>
            </w:r>
            <w:r w:rsidRPr="00EB2BD8">
              <w:rPr>
                <w:spacing w:val="-9"/>
                <w:sz w:val="16"/>
              </w:rPr>
              <w:t xml:space="preserve"> </w:t>
            </w:r>
            <w:r w:rsidRPr="00EB2BD8">
              <w:rPr>
                <w:sz w:val="16"/>
              </w:rPr>
              <w:t>person</w:t>
            </w:r>
            <w:r w:rsidRPr="00EB2BD8">
              <w:rPr>
                <w:spacing w:val="-9"/>
                <w:sz w:val="16"/>
              </w:rPr>
              <w:t xml:space="preserve"> </w:t>
            </w:r>
            <w:r w:rsidRPr="00EB2BD8">
              <w:rPr>
                <w:sz w:val="16"/>
              </w:rPr>
              <w:t>to</w:t>
            </w:r>
            <w:r w:rsidRPr="00EB2BD8">
              <w:rPr>
                <w:spacing w:val="-9"/>
                <w:sz w:val="16"/>
              </w:rPr>
              <w:t xml:space="preserve"> </w:t>
            </w:r>
            <w:r w:rsidRPr="00EB2BD8">
              <w:rPr>
                <w:spacing w:val="-2"/>
                <w:sz w:val="16"/>
              </w:rPr>
              <w:t>carry</w:t>
            </w:r>
          </w:p>
        </w:tc>
        <w:tc>
          <w:tcPr>
            <w:tcW w:w="3078" w:type="dxa"/>
            <w:tcBorders>
              <w:top w:val="single" w:sz="2" w:space="0" w:color="000000"/>
            </w:tcBorders>
          </w:tcPr>
          <w:p w14:paraId="099A24F1" w14:textId="77777777" w:rsidR="00084F36" w:rsidRPr="00EB2BD8" w:rsidRDefault="00EB2BD8">
            <w:pPr>
              <w:pStyle w:val="TableParagraph"/>
              <w:spacing w:before="113"/>
              <w:ind w:left="112"/>
              <w:rPr>
                <w:sz w:val="16"/>
              </w:rPr>
            </w:pPr>
            <w:r w:rsidRPr="00EB2BD8">
              <w:rPr>
                <w:spacing w:val="-2"/>
                <w:sz w:val="16"/>
              </w:rPr>
              <w:t>Three</w:t>
            </w:r>
            <w:r w:rsidRPr="00EB2BD8">
              <w:rPr>
                <w:spacing w:val="-10"/>
                <w:sz w:val="16"/>
              </w:rPr>
              <w:t xml:space="preserve"> </w:t>
            </w:r>
            <w:r w:rsidRPr="00EB2BD8">
              <w:rPr>
                <w:spacing w:val="-2"/>
                <w:sz w:val="16"/>
              </w:rPr>
              <w:t>grounds</w:t>
            </w:r>
            <w:r w:rsidRPr="00EB2BD8">
              <w:rPr>
                <w:spacing w:val="-10"/>
                <w:sz w:val="16"/>
              </w:rPr>
              <w:t xml:space="preserve"> </w:t>
            </w:r>
            <w:r w:rsidRPr="00EB2BD8">
              <w:rPr>
                <w:spacing w:val="-2"/>
                <w:sz w:val="16"/>
              </w:rPr>
              <w:t>proven.</w:t>
            </w:r>
            <w:r w:rsidRPr="00EB2BD8">
              <w:rPr>
                <w:spacing w:val="-10"/>
                <w:sz w:val="16"/>
              </w:rPr>
              <w:t xml:space="preserve"> </w:t>
            </w:r>
            <w:r w:rsidRPr="00EB2BD8">
              <w:rPr>
                <w:spacing w:val="-2"/>
                <w:sz w:val="16"/>
              </w:rPr>
              <w:t>Reprimand.</w:t>
            </w:r>
          </w:p>
        </w:tc>
        <w:tc>
          <w:tcPr>
            <w:tcW w:w="1081" w:type="dxa"/>
            <w:tcBorders>
              <w:top w:val="single" w:sz="2" w:space="0" w:color="000000"/>
            </w:tcBorders>
          </w:tcPr>
          <w:p w14:paraId="7987E40D" w14:textId="77777777" w:rsidR="00084F36" w:rsidRPr="00EB2BD8" w:rsidRDefault="00EB2BD8">
            <w:pPr>
              <w:pStyle w:val="TableParagraph"/>
              <w:spacing w:before="113"/>
              <w:ind w:right="115"/>
              <w:jc w:val="right"/>
              <w:rPr>
                <w:sz w:val="16"/>
              </w:rPr>
            </w:pPr>
            <w:r w:rsidRPr="00EB2BD8">
              <w:rPr>
                <w:spacing w:val="-2"/>
                <w:w w:val="95"/>
                <w:sz w:val="16"/>
              </w:rPr>
              <w:t>$9,246</w:t>
            </w:r>
          </w:p>
        </w:tc>
        <w:tc>
          <w:tcPr>
            <w:tcW w:w="1177" w:type="dxa"/>
            <w:tcBorders>
              <w:top w:val="single" w:sz="2" w:space="0" w:color="000000"/>
            </w:tcBorders>
          </w:tcPr>
          <w:p w14:paraId="6D44B0E5" w14:textId="77777777" w:rsidR="00084F36" w:rsidRPr="00EB2BD8" w:rsidRDefault="00EB2BD8">
            <w:pPr>
              <w:pStyle w:val="TableParagraph"/>
              <w:spacing w:before="113"/>
              <w:ind w:left="110"/>
              <w:rPr>
                <w:sz w:val="16"/>
              </w:rPr>
            </w:pPr>
            <w:r w:rsidRPr="00EB2BD8">
              <w:rPr>
                <w:spacing w:val="-2"/>
                <w:w w:val="95"/>
                <w:sz w:val="16"/>
              </w:rPr>
              <w:t>25/05/2023</w:t>
            </w:r>
          </w:p>
        </w:tc>
      </w:tr>
      <w:tr w:rsidR="00EB2BD8" w:rsidRPr="00EB2BD8" w14:paraId="0B92E4E3" w14:textId="77777777">
        <w:trPr>
          <w:trHeight w:val="229"/>
        </w:trPr>
        <w:tc>
          <w:tcPr>
            <w:tcW w:w="1711" w:type="dxa"/>
          </w:tcPr>
          <w:p w14:paraId="4EA9FA0C" w14:textId="77777777" w:rsidR="00084F36" w:rsidRPr="00EB2BD8" w:rsidRDefault="00EB2BD8">
            <w:pPr>
              <w:pStyle w:val="TableParagraph"/>
              <w:spacing w:before="20"/>
              <w:ind w:left="112"/>
              <w:rPr>
                <w:sz w:val="16"/>
              </w:rPr>
            </w:pPr>
            <w:r w:rsidRPr="00EB2BD8">
              <w:rPr>
                <w:spacing w:val="-2"/>
                <w:w w:val="105"/>
                <w:sz w:val="16"/>
              </w:rPr>
              <w:t>Garratt</w:t>
            </w:r>
          </w:p>
        </w:tc>
        <w:tc>
          <w:tcPr>
            <w:tcW w:w="3165" w:type="dxa"/>
          </w:tcPr>
          <w:p w14:paraId="69EA7473" w14:textId="77777777" w:rsidR="00084F36" w:rsidRPr="00EB2BD8" w:rsidRDefault="00EB2BD8">
            <w:pPr>
              <w:pStyle w:val="TableParagraph"/>
              <w:spacing w:before="20"/>
              <w:ind w:left="159"/>
              <w:rPr>
                <w:sz w:val="16"/>
              </w:rPr>
            </w:pPr>
            <w:r w:rsidRPr="00EB2BD8">
              <w:rPr>
                <w:spacing w:val="-2"/>
                <w:sz w:val="16"/>
              </w:rPr>
              <w:t>out</w:t>
            </w:r>
            <w:r w:rsidRPr="00EB2BD8">
              <w:rPr>
                <w:spacing w:val="-8"/>
                <w:sz w:val="16"/>
              </w:rPr>
              <w:t xml:space="preserve"> </w:t>
            </w:r>
            <w:r w:rsidRPr="00EB2BD8">
              <w:rPr>
                <w:spacing w:val="-2"/>
                <w:sz w:val="16"/>
              </w:rPr>
              <w:t>plumbing</w:t>
            </w:r>
            <w:r w:rsidRPr="00EB2BD8">
              <w:rPr>
                <w:spacing w:val="-8"/>
                <w:sz w:val="16"/>
              </w:rPr>
              <w:t xml:space="preserve"> </w:t>
            </w:r>
            <w:r w:rsidRPr="00EB2BD8">
              <w:rPr>
                <w:spacing w:val="-2"/>
                <w:sz w:val="16"/>
              </w:rPr>
              <w:t>work</w:t>
            </w:r>
            <w:r w:rsidRPr="00EB2BD8">
              <w:rPr>
                <w:spacing w:val="-8"/>
                <w:sz w:val="16"/>
              </w:rPr>
              <w:t xml:space="preserve"> </w:t>
            </w:r>
            <w:r w:rsidRPr="00EB2BD8">
              <w:rPr>
                <w:spacing w:val="-2"/>
                <w:sz w:val="16"/>
              </w:rPr>
              <w:t>relating</w:t>
            </w:r>
            <w:r w:rsidRPr="00EB2BD8">
              <w:rPr>
                <w:spacing w:val="-8"/>
                <w:sz w:val="16"/>
              </w:rPr>
              <w:t xml:space="preserve"> </w:t>
            </w:r>
            <w:r w:rsidRPr="00EB2BD8">
              <w:rPr>
                <w:spacing w:val="-5"/>
                <w:sz w:val="16"/>
              </w:rPr>
              <w:t>to</w:t>
            </w:r>
          </w:p>
        </w:tc>
        <w:tc>
          <w:tcPr>
            <w:tcW w:w="3078" w:type="dxa"/>
          </w:tcPr>
          <w:p w14:paraId="628254AA" w14:textId="77777777" w:rsidR="00084F36" w:rsidRPr="00EB2BD8" w:rsidRDefault="00EB2BD8">
            <w:pPr>
              <w:pStyle w:val="TableParagraph"/>
              <w:spacing w:before="19"/>
              <w:ind w:left="112"/>
              <w:rPr>
                <w:sz w:val="16"/>
              </w:rPr>
            </w:pPr>
            <w:r w:rsidRPr="00EB2BD8">
              <w:rPr>
                <w:spacing w:val="-4"/>
                <w:sz w:val="16"/>
              </w:rPr>
              <w:t>Penalty</w:t>
            </w:r>
            <w:r w:rsidRPr="00EB2BD8">
              <w:rPr>
                <w:spacing w:val="-8"/>
                <w:sz w:val="16"/>
              </w:rPr>
              <w:t xml:space="preserve"> </w:t>
            </w:r>
            <w:r w:rsidRPr="00EB2BD8">
              <w:rPr>
                <w:spacing w:val="-4"/>
                <w:sz w:val="16"/>
              </w:rPr>
              <w:t>of</w:t>
            </w:r>
            <w:r w:rsidRPr="00EB2BD8">
              <w:rPr>
                <w:spacing w:val="-7"/>
                <w:sz w:val="16"/>
              </w:rPr>
              <w:t xml:space="preserve"> </w:t>
            </w:r>
            <w:r w:rsidRPr="00EB2BD8">
              <w:rPr>
                <w:spacing w:val="-4"/>
                <w:sz w:val="16"/>
              </w:rPr>
              <w:t>$9,246</w:t>
            </w:r>
            <w:r w:rsidRPr="00EB2BD8">
              <w:rPr>
                <w:spacing w:val="-8"/>
                <w:sz w:val="16"/>
              </w:rPr>
              <w:t xml:space="preserve"> </w:t>
            </w:r>
            <w:r w:rsidRPr="00EB2BD8">
              <w:rPr>
                <w:spacing w:val="-4"/>
                <w:sz w:val="16"/>
              </w:rPr>
              <w:t>plus</w:t>
            </w:r>
            <w:r w:rsidRPr="00EB2BD8">
              <w:rPr>
                <w:spacing w:val="-7"/>
                <w:sz w:val="16"/>
              </w:rPr>
              <w:t xml:space="preserve"> </w:t>
            </w:r>
            <w:r w:rsidRPr="00EB2BD8">
              <w:rPr>
                <w:spacing w:val="-4"/>
                <w:sz w:val="16"/>
              </w:rPr>
              <w:t>cost</w:t>
            </w:r>
            <w:r w:rsidRPr="00EB2BD8">
              <w:rPr>
                <w:spacing w:val="-8"/>
                <w:sz w:val="16"/>
              </w:rPr>
              <w:t xml:space="preserve"> </w:t>
            </w:r>
            <w:r w:rsidRPr="00EB2BD8">
              <w:rPr>
                <w:spacing w:val="-4"/>
                <w:sz w:val="16"/>
              </w:rPr>
              <w:t>of</w:t>
            </w:r>
            <w:r w:rsidRPr="00EB2BD8">
              <w:rPr>
                <w:spacing w:val="-7"/>
                <w:sz w:val="16"/>
              </w:rPr>
              <w:t xml:space="preserve"> </w:t>
            </w:r>
            <w:r w:rsidRPr="00EB2BD8">
              <w:rPr>
                <w:spacing w:val="-4"/>
                <w:sz w:val="16"/>
              </w:rPr>
              <w:t>$1,214.</w:t>
            </w:r>
          </w:p>
        </w:tc>
        <w:tc>
          <w:tcPr>
            <w:tcW w:w="1081" w:type="dxa"/>
          </w:tcPr>
          <w:p w14:paraId="3CF6E562" w14:textId="77777777" w:rsidR="00084F36" w:rsidRPr="00EB2BD8" w:rsidRDefault="00084F36">
            <w:pPr>
              <w:pStyle w:val="TableParagraph"/>
              <w:rPr>
                <w:rFonts w:ascii="Times New Roman"/>
                <w:sz w:val="16"/>
              </w:rPr>
            </w:pPr>
          </w:p>
        </w:tc>
        <w:tc>
          <w:tcPr>
            <w:tcW w:w="1177" w:type="dxa"/>
          </w:tcPr>
          <w:p w14:paraId="66CAC275" w14:textId="77777777" w:rsidR="00084F36" w:rsidRPr="00EB2BD8" w:rsidRDefault="00084F36">
            <w:pPr>
              <w:pStyle w:val="TableParagraph"/>
              <w:rPr>
                <w:rFonts w:ascii="Times New Roman"/>
                <w:sz w:val="16"/>
              </w:rPr>
            </w:pPr>
          </w:p>
        </w:tc>
      </w:tr>
      <w:tr w:rsidR="00EB2BD8" w:rsidRPr="00EB2BD8" w14:paraId="0927A9F4" w14:textId="77777777">
        <w:trPr>
          <w:trHeight w:val="229"/>
        </w:trPr>
        <w:tc>
          <w:tcPr>
            <w:tcW w:w="1711" w:type="dxa"/>
          </w:tcPr>
          <w:p w14:paraId="1D639EE6" w14:textId="77777777" w:rsidR="00084F36" w:rsidRPr="00EB2BD8" w:rsidRDefault="00084F36">
            <w:pPr>
              <w:pStyle w:val="TableParagraph"/>
              <w:rPr>
                <w:rFonts w:ascii="Times New Roman"/>
                <w:sz w:val="16"/>
              </w:rPr>
            </w:pPr>
          </w:p>
        </w:tc>
        <w:tc>
          <w:tcPr>
            <w:tcW w:w="3165" w:type="dxa"/>
          </w:tcPr>
          <w:p w14:paraId="11D3AD82" w14:textId="77777777" w:rsidR="00084F36" w:rsidRPr="00EB2BD8" w:rsidRDefault="00EB2BD8">
            <w:pPr>
              <w:pStyle w:val="TableParagraph"/>
              <w:spacing w:before="20"/>
              <w:ind w:left="159"/>
              <w:rPr>
                <w:sz w:val="16"/>
              </w:rPr>
            </w:pPr>
            <w:r w:rsidRPr="00EB2BD8">
              <w:rPr>
                <w:spacing w:val="-2"/>
                <w:sz w:val="16"/>
              </w:rPr>
              <w:t>roofing, drainage</w:t>
            </w:r>
            <w:r w:rsidRPr="00EB2BD8">
              <w:rPr>
                <w:spacing w:val="-1"/>
                <w:sz w:val="16"/>
              </w:rPr>
              <w:t xml:space="preserve"> </w:t>
            </w:r>
            <w:r w:rsidRPr="00EB2BD8">
              <w:rPr>
                <w:spacing w:val="-2"/>
                <w:sz w:val="16"/>
              </w:rPr>
              <w:t>and</w:t>
            </w:r>
            <w:r w:rsidRPr="00EB2BD8">
              <w:rPr>
                <w:spacing w:val="-1"/>
                <w:sz w:val="16"/>
              </w:rPr>
              <w:t xml:space="preserve"> </w:t>
            </w:r>
            <w:r w:rsidRPr="00EB2BD8">
              <w:rPr>
                <w:spacing w:val="-2"/>
                <w:sz w:val="16"/>
              </w:rPr>
              <w:t xml:space="preserve">installation </w:t>
            </w:r>
            <w:r w:rsidRPr="00EB2BD8">
              <w:rPr>
                <w:spacing w:val="-5"/>
                <w:sz w:val="16"/>
              </w:rPr>
              <w:t>of</w:t>
            </w:r>
          </w:p>
        </w:tc>
        <w:tc>
          <w:tcPr>
            <w:tcW w:w="3078" w:type="dxa"/>
          </w:tcPr>
          <w:p w14:paraId="00B40070" w14:textId="77777777" w:rsidR="00084F36" w:rsidRPr="00EB2BD8" w:rsidRDefault="00EB2BD8">
            <w:pPr>
              <w:pStyle w:val="TableParagraph"/>
              <w:spacing w:before="19"/>
              <w:ind w:left="112"/>
              <w:rPr>
                <w:sz w:val="16"/>
              </w:rPr>
            </w:pPr>
            <w:r w:rsidRPr="00EB2BD8">
              <w:rPr>
                <w:spacing w:val="-8"/>
                <w:sz w:val="16"/>
              </w:rPr>
              <w:t>A</w:t>
            </w:r>
            <w:r w:rsidRPr="00EB2BD8">
              <w:rPr>
                <w:spacing w:val="-5"/>
                <w:sz w:val="16"/>
              </w:rPr>
              <w:t xml:space="preserve"> </w:t>
            </w:r>
            <w:r w:rsidRPr="00EB2BD8">
              <w:rPr>
                <w:spacing w:val="-8"/>
                <w:sz w:val="16"/>
              </w:rPr>
              <w:t>further</w:t>
            </w:r>
            <w:r w:rsidRPr="00EB2BD8">
              <w:rPr>
                <w:spacing w:val="-4"/>
                <w:sz w:val="16"/>
              </w:rPr>
              <w:t xml:space="preserve"> </w:t>
            </w:r>
            <w:r w:rsidRPr="00EB2BD8">
              <w:rPr>
                <w:spacing w:val="-8"/>
                <w:sz w:val="16"/>
              </w:rPr>
              <w:t>amount</w:t>
            </w:r>
            <w:r w:rsidRPr="00EB2BD8">
              <w:rPr>
                <w:spacing w:val="-4"/>
                <w:sz w:val="16"/>
              </w:rPr>
              <w:t xml:space="preserve"> </w:t>
            </w:r>
            <w:r w:rsidRPr="00EB2BD8">
              <w:rPr>
                <w:spacing w:val="-8"/>
                <w:sz w:val="16"/>
              </w:rPr>
              <w:t>of</w:t>
            </w:r>
            <w:r w:rsidRPr="00EB2BD8">
              <w:rPr>
                <w:spacing w:val="-4"/>
                <w:sz w:val="16"/>
              </w:rPr>
              <w:t xml:space="preserve"> </w:t>
            </w:r>
            <w:r w:rsidRPr="00EB2BD8">
              <w:rPr>
                <w:spacing w:val="-8"/>
                <w:sz w:val="16"/>
              </w:rPr>
              <w:t>$3,167</w:t>
            </w:r>
            <w:r w:rsidRPr="00EB2BD8">
              <w:rPr>
                <w:spacing w:val="-4"/>
                <w:sz w:val="16"/>
              </w:rPr>
              <w:t xml:space="preserve"> </w:t>
            </w:r>
            <w:r w:rsidRPr="00EB2BD8">
              <w:rPr>
                <w:spacing w:val="-8"/>
                <w:sz w:val="16"/>
              </w:rPr>
              <w:t>to</w:t>
            </w:r>
            <w:r w:rsidRPr="00EB2BD8">
              <w:rPr>
                <w:spacing w:val="-4"/>
                <w:sz w:val="16"/>
              </w:rPr>
              <w:t xml:space="preserve"> </w:t>
            </w:r>
            <w:r w:rsidRPr="00EB2BD8">
              <w:rPr>
                <w:spacing w:val="-8"/>
                <w:sz w:val="16"/>
              </w:rPr>
              <w:t>be</w:t>
            </w:r>
          </w:p>
        </w:tc>
        <w:tc>
          <w:tcPr>
            <w:tcW w:w="1081" w:type="dxa"/>
          </w:tcPr>
          <w:p w14:paraId="1481829C" w14:textId="77777777" w:rsidR="00084F36" w:rsidRPr="00EB2BD8" w:rsidRDefault="00084F36">
            <w:pPr>
              <w:pStyle w:val="TableParagraph"/>
              <w:rPr>
                <w:rFonts w:ascii="Times New Roman"/>
                <w:sz w:val="16"/>
              </w:rPr>
            </w:pPr>
          </w:p>
        </w:tc>
        <w:tc>
          <w:tcPr>
            <w:tcW w:w="1177" w:type="dxa"/>
          </w:tcPr>
          <w:p w14:paraId="477C5DCF" w14:textId="77777777" w:rsidR="00084F36" w:rsidRPr="00EB2BD8" w:rsidRDefault="00084F36">
            <w:pPr>
              <w:pStyle w:val="TableParagraph"/>
              <w:rPr>
                <w:rFonts w:ascii="Times New Roman"/>
                <w:sz w:val="16"/>
              </w:rPr>
            </w:pPr>
          </w:p>
        </w:tc>
      </w:tr>
      <w:tr w:rsidR="00EB2BD8" w:rsidRPr="00EB2BD8" w14:paraId="7530D6C3" w14:textId="77777777">
        <w:trPr>
          <w:trHeight w:val="229"/>
        </w:trPr>
        <w:tc>
          <w:tcPr>
            <w:tcW w:w="1711" w:type="dxa"/>
          </w:tcPr>
          <w:p w14:paraId="51AFA60B" w14:textId="77777777" w:rsidR="00084F36" w:rsidRPr="00EB2BD8" w:rsidRDefault="00084F36">
            <w:pPr>
              <w:pStyle w:val="TableParagraph"/>
              <w:rPr>
                <w:rFonts w:ascii="Times New Roman"/>
                <w:sz w:val="16"/>
              </w:rPr>
            </w:pPr>
          </w:p>
        </w:tc>
        <w:tc>
          <w:tcPr>
            <w:tcW w:w="3165" w:type="dxa"/>
          </w:tcPr>
          <w:p w14:paraId="5A81DADF" w14:textId="77777777" w:rsidR="00084F36" w:rsidRPr="00EB2BD8" w:rsidRDefault="00EB2BD8">
            <w:pPr>
              <w:pStyle w:val="TableParagraph"/>
              <w:spacing w:before="20"/>
              <w:ind w:left="159"/>
              <w:rPr>
                <w:sz w:val="16"/>
              </w:rPr>
            </w:pPr>
            <w:r w:rsidRPr="00EB2BD8">
              <w:rPr>
                <w:sz w:val="16"/>
              </w:rPr>
              <w:t>rainwater</w:t>
            </w:r>
            <w:r w:rsidRPr="00EB2BD8">
              <w:rPr>
                <w:spacing w:val="-5"/>
                <w:sz w:val="16"/>
              </w:rPr>
              <w:t xml:space="preserve"> </w:t>
            </w:r>
            <w:r w:rsidRPr="00EB2BD8">
              <w:rPr>
                <w:sz w:val="16"/>
              </w:rPr>
              <w:t>tank</w:t>
            </w:r>
            <w:r w:rsidRPr="00EB2BD8">
              <w:rPr>
                <w:spacing w:val="-5"/>
                <w:sz w:val="16"/>
              </w:rPr>
              <w:t xml:space="preserve"> </w:t>
            </w:r>
            <w:r w:rsidRPr="00EB2BD8">
              <w:rPr>
                <w:sz w:val="16"/>
              </w:rPr>
              <w:t>that</w:t>
            </w:r>
            <w:r w:rsidRPr="00EB2BD8">
              <w:rPr>
                <w:spacing w:val="-5"/>
                <w:sz w:val="16"/>
              </w:rPr>
              <w:t xml:space="preserve"> </w:t>
            </w:r>
            <w:r w:rsidRPr="00EB2BD8">
              <w:rPr>
                <w:sz w:val="16"/>
              </w:rPr>
              <w:t>was</w:t>
            </w:r>
            <w:r w:rsidRPr="00EB2BD8">
              <w:rPr>
                <w:spacing w:val="-5"/>
                <w:sz w:val="16"/>
              </w:rPr>
              <w:t xml:space="preserve"> </w:t>
            </w:r>
            <w:r w:rsidRPr="00EB2BD8">
              <w:rPr>
                <w:sz w:val="16"/>
              </w:rPr>
              <w:t>defective</w:t>
            </w:r>
            <w:r w:rsidRPr="00EB2BD8">
              <w:rPr>
                <w:spacing w:val="-5"/>
                <w:sz w:val="16"/>
              </w:rPr>
              <w:t xml:space="preserve"> in</w:t>
            </w:r>
          </w:p>
        </w:tc>
        <w:tc>
          <w:tcPr>
            <w:tcW w:w="3078" w:type="dxa"/>
          </w:tcPr>
          <w:p w14:paraId="42B685E9" w14:textId="77777777" w:rsidR="00084F36" w:rsidRPr="00EB2BD8" w:rsidRDefault="00EB2BD8">
            <w:pPr>
              <w:pStyle w:val="TableParagraph"/>
              <w:spacing w:before="19"/>
              <w:ind w:left="112"/>
              <w:rPr>
                <w:sz w:val="16"/>
              </w:rPr>
            </w:pPr>
            <w:r w:rsidRPr="00EB2BD8">
              <w:rPr>
                <w:spacing w:val="-2"/>
                <w:sz w:val="16"/>
              </w:rPr>
              <w:t>paid</w:t>
            </w:r>
            <w:r w:rsidRPr="00EB2BD8">
              <w:rPr>
                <w:spacing w:val="-12"/>
                <w:sz w:val="16"/>
              </w:rPr>
              <w:t xml:space="preserve"> </w:t>
            </w:r>
            <w:r w:rsidRPr="00EB2BD8">
              <w:rPr>
                <w:spacing w:val="-2"/>
                <w:sz w:val="16"/>
              </w:rPr>
              <w:t>to</w:t>
            </w:r>
            <w:r w:rsidRPr="00EB2BD8">
              <w:rPr>
                <w:spacing w:val="-11"/>
                <w:sz w:val="16"/>
              </w:rPr>
              <w:t xml:space="preserve"> </w:t>
            </w:r>
            <w:r w:rsidRPr="00EB2BD8">
              <w:rPr>
                <w:spacing w:val="-2"/>
                <w:sz w:val="16"/>
              </w:rPr>
              <w:t>the</w:t>
            </w:r>
            <w:r w:rsidRPr="00EB2BD8">
              <w:rPr>
                <w:spacing w:val="-12"/>
                <w:sz w:val="16"/>
              </w:rPr>
              <w:t xml:space="preserve"> </w:t>
            </w:r>
            <w:r w:rsidRPr="00EB2BD8">
              <w:rPr>
                <w:spacing w:val="-2"/>
                <w:sz w:val="16"/>
              </w:rPr>
              <w:t>consumer.</w:t>
            </w:r>
            <w:r w:rsidRPr="00EB2BD8">
              <w:rPr>
                <w:spacing w:val="-11"/>
                <w:sz w:val="16"/>
              </w:rPr>
              <w:t xml:space="preserve"> </w:t>
            </w:r>
            <w:r w:rsidRPr="00EB2BD8">
              <w:rPr>
                <w:spacing w:val="-2"/>
                <w:sz w:val="16"/>
              </w:rPr>
              <w:t>To</w:t>
            </w:r>
            <w:r w:rsidRPr="00EB2BD8">
              <w:rPr>
                <w:spacing w:val="-12"/>
                <w:sz w:val="16"/>
              </w:rPr>
              <w:t xml:space="preserve"> </w:t>
            </w:r>
            <w:r w:rsidRPr="00EB2BD8">
              <w:rPr>
                <w:spacing w:val="-2"/>
                <w:sz w:val="16"/>
              </w:rPr>
              <w:t>complete</w:t>
            </w:r>
          </w:p>
        </w:tc>
        <w:tc>
          <w:tcPr>
            <w:tcW w:w="1081" w:type="dxa"/>
          </w:tcPr>
          <w:p w14:paraId="6F3C20DF" w14:textId="77777777" w:rsidR="00084F36" w:rsidRPr="00EB2BD8" w:rsidRDefault="00084F36">
            <w:pPr>
              <w:pStyle w:val="TableParagraph"/>
              <w:rPr>
                <w:rFonts w:ascii="Times New Roman"/>
                <w:sz w:val="16"/>
              </w:rPr>
            </w:pPr>
          </w:p>
        </w:tc>
        <w:tc>
          <w:tcPr>
            <w:tcW w:w="1177" w:type="dxa"/>
          </w:tcPr>
          <w:p w14:paraId="70C5F40F" w14:textId="77777777" w:rsidR="00084F36" w:rsidRPr="00EB2BD8" w:rsidRDefault="00084F36">
            <w:pPr>
              <w:pStyle w:val="TableParagraph"/>
              <w:rPr>
                <w:rFonts w:ascii="Times New Roman"/>
                <w:sz w:val="16"/>
              </w:rPr>
            </w:pPr>
          </w:p>
        </w:tc>
      </w:tr>
      <w:tr w:rsidR="00EB2BD8" w:rsidRPr="00EB2BD8" w14:paraId="3EFF8D3A" w14:textId="77777777">
        <w:trPr>
          <w:trHeight w:val="229"/>
        </w:trPr>
        <w:tc>
          <w:tcPr>
            <w:tcW w:w="1711" w:type="dxa"/>
          </w:tcPr>
          <w:p w14:paraId="6DABE5A8" w14:textId="77777777" w:rsidR="00084F36" w:rsidRPr="00EB2BD8" w:rsidRDefault="00084F36">
            <w:pPr>
              <w:pStyle w:val="TableParagraph"/>
              <w:rPr>
                <w:rFonts w:ascii="Times New Roman"/>
                <w:sz w:val="16"/>
              </w:rPr>
            </w:pPr>
          </w:p>
        </w:tc>
        <w:tc>
          <w:tcPr>
            <w:tcW w:w="3165" w:type="dxa"/>
          </w:tcPr>
          <w:p w14:paraId="769650BE" w14:textId="77777777" w:rsidR="00084F36" w:rsidRPr="00EB2BD8" w:rsidRDefault="00EB2BD8">
            <w:pPr>
              <w:pStyle w:val="TableParagraph"/>
              <w:spacing w:before="20"/>
              <w:ind w:left="159"/>
              <w:rPr>
                <w:sz w:val="16"/>
              </w:rPr>
            </w:pPr>
            <w:r w:rsidRPr="00EB2BD8">
              <w:rPr>
                <w:sz w:val="16"/>
              </w:rPr>
              <w:t>workmanship</w:t>
            </w:r>
            <w:r w:rsidRPr="00EB2BD8">
              <w:rPr>
                <w:spacing w:val="-10"/>
                <w:sz w:val="16"/>
              </w:rPr>
              <w:t xml:space="preserve"> </w:t>
            </w:r>
            <w:r w:rsidRPr="00EB2BD8">
              <w:rPr>
                <w:sz w:val="16"/>
              </w:rPr>
              <w:t>and</w:t>
            </w:r>
            <w:r w:rsidRPr="00EB2BD8">
              <w:rPr>
                <w:spacing w:val="-10"/>
                <w:sz w:val="16"/>
              </w:rPr>
              <w:t xml:space="preserve"> </w:t>
            </w:r>
            <w:r w:rsidRPr="00EB2BD8">
              <w:rPr>
                <w:sz w:val="16"/>
              </w:rPr>
              <w:t>did</w:t>
            </w:r>
            <w:r w:rsidRPr="00EB2BD8">
              <w:rPr>
                <w:spacing w:val="-9"/>
                <w:sz w:val="16"/>
              </w:rPr>
              <w:t xml:space="preserve"> </w:t>
            </w:r>
            <w:r w:rsidRPr="00EB2BD8">
              <w:rPr>
                <w:sz w:val="16"/>
              </w:rPr>
              <w:t>not</w:t>
            </w:r>
            <w:r w:rsidRPr="00EB2BD8">
              <w:rPr>
                <w:spacing w:val="-10"/>
                <w:sz w:val="16"/>
              </w:rPr>
              <w:t xml:space="preserve"> </w:t>
            </w:r>
            <w:r w:rsidRPr="00EB2BD8">
              <w:rPr>
                <w:spacing w:val="-2"/>
                <w:sz w:val="16"/>
              </w:rPr>
              <w:t>comply</w:t>
            </w:r>
          </w:p>
        </w:tc>
        <w:tc>
          <w:tcPr>
            <w:tcW w:w="3078" w:type="dxa"/>
          </w:tcPr>
          <w:p w14:paraId="7FA48CD2" w14:textId="77777777" w:rsidR="00084F36" w:rsidRPr="00EB2BD8" w:rsidRDefault="00EB2BD8">
            <w:pPr>
              <w:pStyle w:val="TableParagraph"/>
              <w:spacing w:before="19"/>
              <w:ind w:left="112"/>
              <w:rPr>
                <w:sz w:val="16"/>
              </w:rPr>
            </w:pPr>
            <w:r w:rsidRPr="00EB2BD8">
              <w:rPr>
                <w:spacing w:val="-2"/>
                <w:sz w:val="16"/>
              </w:rPr>
              <w:t>training</w:t>
            </w:r>
            <w:r w:rsidRPr="00EB2BD8">
              <w:rPr>
                <w:spacing w:val="3"/>
                <w:sz w:val="16"/>
              </w:rPr>
              <w:t xml:space="preserve"> </w:t>
            </w:r>
            <w:r w:rsidRPr="00EB2BD8">
              <w:rPr>
                <w:spacing w:val="-2"/>
                <w:sz w:val="16"/>
              </w:rPr>
              <w:t>courses</w:t>
            </w:r>
            <w:r w:rsidRPr="00EB2BD8">
              <w:rPr>
                <w:spacing w:val="4"/>
                <w:sz w:val="16"/>
              </w:rPr>
              <w:t xml:space="preserve"> </w:t>
            </w:r>
            <w:r w:rsidRPr="00EB2BD8">
              <w:rPr>
                <w:i/>
                <w:spacing w:val="-2"/>
                <w:sz w:val="16"/>
              </w:rPr>
              <w:t>CPCPCM4015</w:t>
            </w:r>
            <w:r w:rsidRPr="00EB2BD8">
              <w:rPr>
                <w:i/>
                <w:spacing w:val="3"/>
                <w:sz w:val="16"/>
              </w:rPr>
              <w:t xml:space="preserve"> </w:t>
            </w:r>
            <w:r w:rsidRPr="00EB2BD8">
              <w:rPr>
                <w:spacing w:val="-5"/>
                <w:sz w:val="16"/>
              </w:rPr>
              <w:t>and</w:t>
            </w:r>
          </w:p>
        </w:tc>
        <w:tc>
          <w:tcPr>
            <w:tcW w:w="1081" w:type="dxa"/>
          </w:tcPr>
          <w:p w14:paraId="66BB419B" w14:textId="77777777" w:rsidR="00084F36" w:rsidRPr="00EB2BD8" w:rsidRDefault="00084F36">
            <w:pPr>
              <w:pStyle w:val="TableParagraph"/>
              <w:rPr>
                <w:rFonts w:ascii="Times New Roman"/>
                <w:sz w:val="16"/>
              </w:rPr>
            </w:pPr>
          </w:p>
        </w:tc>
        <w:tc>
          <w:tcPr>
            <w:tcW w:w="1177" w:type="dxa"/>
          </w:tcPr>
          <w:p w14:paraId="38D0D81C" w14:textId="77777777" w:rsidR="00084F36" w:rsidRPr="00EB2BD8" w:rsidRDefault="00084F36">
            <w:pPr>
              <w:pStyle w:val="TableParagraph"/>
              <w:rPr>
                <w:rFonts w:ascii="Times New Roman"/>
                <w:sz w:val="16"/>
              </w:rPr>
            </w:pPr>
          </w:p>
        </w:tc>
      </w:tr>
      <w:tr w:rsidR="00EB2BD8" w:rsidRPr="00EB2BD8" w14:paraId="78D7196D" w14:textId="77777777">
        <w:trPr>
          <w:trHeight w:val="230"/>
        </w:trPr>
        <w:tc>
          <w:tcPr>
            <w:tcW w:w="1711" w:type="dxa"/>
          </w:tcPr>
          <w:p w14:paraId="6CD9C8DA" w14:textId="77777777" w:rsidR="00084F36" w:rsidRPr="00EB2BD8" w:rsidRDefault="00084F36">
            <w:pPr>
              <w:pStyle w:val="TableParagraph"/>
              <w:rPr>
                <w:rFonts w:ascii="Times New Roman"/>
                <w:sz w:val="16"/>
              </w:rPr>
            </w:pPr>
          </w:p>
        </w:tc>
        <w:tc>
          <w:tcPr>
            <w:tcW w:w="3165" w:type="dxa"/>
          </w:tcPr>
          <w:p w14:paraId="79FB4AC7" w14:textId="77777777" w:rsidR="00084F36" w:rsidRPr="00EB2BD8" w:rsidRDefault="00EB2BD8">
            <w:pPr>
              <w:pStyle w:val="TableParagraph"/>
              <w:spacing w:before="20"/>
              <w:ind w:left="159"/>
              <w:rPr>
                <w:sz w:val="16"/>
              </w:rPr>
            </w:pPr>
            <w:r w:rsidRPr="00EB2BD8">
              <w:rPr>
                <w:spacing w:val="-2"/>
                <w:sz w:val="16"/>
              </w:rPr>
              <w:t>with relevant standards.</w:t>
            </w:r>
            <w:r w:rsidRPr="00EB2BD8">
              <w:rPr>
                <w:spacing w:val="-1"/>
                <w:sz w:val="16"/>
              </w:rPr>
              <w:t xml:space="preserve"> </w:t>
            </w:r>
            <w:r w:rsidRPr="00EB2BD8">
              <w:rPr>
                <w:spacing w:val="-2"/>
                <w:sz w:val="16"/>
              </w:rPr>
              <w:t>Signed</w:t>
            </w:r>
          </w:p>
        </w:tc>
        <w:tc>
          <w:tcPr>
            <w:tcW w:w="3078" w:type="dxa"/>
          </w:tcPr>
          <w:p w14:paraId="3870B09A" w14:textId="77777777" w:rsidR="00084F36" w:rsidRPr="00EB2BD8" w:rsidRDefault="00EB2BD8">
            <w:pPr>
              <w:pStyle w:val="TableParagraph"/>
              <w:spacing w:before="19"/>
              <w:ind w:left="112"/>
              <w:rPr>
                <w:sz w:val="16"/>
              </w:rPr>
            </w:pPr>
            <w:r w:rsidRPr="00EB2BD8">
              <w:rPr>
                <w:i/>
                <w:w w:val="90"/>
                <w:sz w:val="16"/>
              </w:rPr>
              <w:t>CPCPRF4011</w:t>
            </w:r>
            <w:r w:rsidRPr="00EB2BD8">
              <w:rPr>
                <w:i/>
                <w:spacing w:val="7"/>
                <w:sz w:val="16"/>
              </w:rPr>
              <w:t xml:space="preserve"> </w:t>
            </w:r>
            <w:r w:rsidRPr="00EB2BD8">
              <w:rPr>
                <w:w w:val="90"/>
                <w:sz w:val="16"/>
              </w:rPr>
              <w:t>within</w:t>
            </w:r>
            <w:r w:rsidRPr="00EB2BD8">
              <w:rPr>
                <w:spacing w:val="8"/>
                <w:sz w:val="16"/>
              </w:rPr>
              <w:t xml:space="preserve"> </w:t>
            </w:r>
            <w:r w:rsidRPr="00EB2BD8">
              <w:rPr>
                <w:w w:val="90"/>
                <w:sz w:val="16"/>
              </w:rPr>
              <w:t>18</w:t>
            </w:r>
            <w:r w:rsidRPr="00EB2BD8">
              <w:rPr>
                <w:spacing w:val="8"/>
                <w:sz w:val="16"/>
              </w:rPr>
              <w:t xml:space="preserve"> </w:t>
            </w:r>
            <w:r w:rsidRPr="00EB2BD8">
              <w:rPr>
                <w:spacing w:val="-2"/>
                <w:w w:val="90"/>
                <w:sz w:val="16"/>
              </w:rPr>
              <w:t>months.</w:t>
            </w:r>
          </w:p>
        </w:tc>
        <w:tc>
          <w:tcPr>
            <w:tcW w:w="1081" w:type="dxa"/>
          </w:tcPr>
          <w:p w14:paraId="5633C49B" w14:textId="77777777" w:rsidR="00084F36" w:rsidRPr="00EB2BD8" w:rsidRDefault="00084F36">
            <w:pPr>
              <w:pStyle w:val="TableParagraph"/>
              <w:rPr>
                <w:rFonts w:ascii="Times New Roman"/>
                <w:sz w:val="16"/>
              </w:rPr>
            </w:pPr>
          </w:p>
        </w:tc>
        <w:tc>
          <w:tcPr>
            <w:tcW w:w="1177" w:type="dxa"/>
          </w:tcPr>
          <w:p w14:paraId="1B0A6526" w14:textId="77777777" w:rsidR="00084F36" w:rsidRPr="00EB2BD8" w:rsidRDefault="00084F36">
            <w:pPr>
              <w:pStyle w:val="TableParagraph"/>
              <w:rPr>
                <w:rFonts w:ascii="Times New Roman"/>
                <w:sz w:val="16"/>
              </w:rPr>
            </w:pPr>
          </w:p>
        </w:tc>
      </w:tr>
      <w:tr w:rsidR="00EB2BD8" w:rsidRPr="00EB2BD8" w14:paraId="630A8BF7" w14:textId="77777777">
        <w:trPr>
          <w:trHeight w:val="229"/>
        </w:trPr>
        <w:tc>
          <w:tcPr>
            <w:tcW w:w="1711" w:type="dxa"/>
          </w:tcPr>
          <w:p w14:paraId="6EF75465" w14:textId="77777777" w:rsidR="00084F36" w:rsidRPr="00EB2BD8" w:rsidRDefault="00084F36">
            <w:pPr>
              <w:pStyle w:val="TableParagraph"/>
              <w:rPr>
                <w:rFonts w:ascii="Times New Roman"/>
                <w:sz w:val="16"/>
              </w:rPr>
            </w:pPr>
          </w:p>
        </w:tc>
        <w:tc>
          <w:tcPr>
            <w:tcW w:w="3165" w:type="dxa"/>
          </w:tcPr>
          <w:p w14:paraId="216D92D1" w14:textId="77777777" w:rsidR="00084F36" w:rsidRPr="00EB2BD8" w:rsidRDefault="00EB2BD8">
            <w:pPr>
              <w:pStyle w:val="TableParagraph"/>
              <w:spacing w:before="19"/>
              <w:ind w:left="159"/>
              <w:rPr>
                <w:sz w:val="16"/>
              </w:rPr>
            </w:pPr>
            <w:r w:rsidRPr="00EB2BD8">
              <w:rPr>
                <w:sz w:val="16"/>
              </w:rPr>
              <w:t>a</w:t>
            </w:r>
            <w:r w:rsidRPr="00EB2BD8">
              <w:rPr>
                <w:spacing w:val="2"/>
                <w:sz w:val="16"/>
              </w:rPr>
              <w:t xml:space="preserve"> </w:t>
            </w:r>
            <w:r w:rsidRPr="00EB2BD8">
              <w:rPr>
                <w:sz w:val="16"/>
              </w:rPr>
              <w:t>compliance</w:t>
            </w:r>
            <w:r w:rsidRPr="00EB2BD8">
              <w:rPr>
                <w:spacing w:val="3"/>
                <w:sz w:val="16"/>
              </w:rPr>
              <w:t xml:space="preserve"> </w:t>
            </w:r>
            <w:r w:rsidRPr="00EB2BD8">
              <w:rPr>
                <w:sz w:val="16"/>
              </w:rPr>
              <w:t>certificate</w:t>
            </w:r>
            <w:r w:rsidRPr="00EB2BD8">
              <w:rPr>
                <w:spacing w:val="3"/>
                <w:sz w:val="16"/>
              </w:rPr>
              <w:t xml:space="preserve"> </w:t>
            </w:r>
            <w:r w:rsidRPr="00EB2BD8">
              <w:rPr>
                <w:spacing w:val="-2"/>
                <w:sz w:val="16"/>
              </w:rPr>
              <w:t>which</w:t>
            </w:r>
          </w:p>
        </w:tc>
        <w:tc>
          <w:tcPr>
            <w:tcW w:w="3078" w:type="dxa"/>
          </w:tcPr>
          <w:p w14:paraId="03A6139A" w14:textId="77777777" w:rsidR="00084F36" w:rsidRPr="00EB2BD8" w:rsidRDefault="00084F36">
            <w:pPr>
              <w:pStyle w:val="TableParagraph"/>
              <w:rPr>
                <w:rFonts w:ascii="Times New Roman"/>
                <w:sz w:val="16"/>
              </w:rPr>
            </w:pPr>
          </w:p>
        </w:tc>
        <w:tc>
          <w:tcPr>
            <w:tcW w:w="1081" w:type="dxa"/>
          </w:tcPr>
          <w:p w14:paraId="154AACDA" w14:textId="77777777" w:rsidR="00084F36" w:rsidRPr="00EB2BD8" w:rsidRDefault="00084F36">
            <w:pPr>
              <w:pStyle w:val="TableParagraph"/>
              <w:rPr>
                <w:rFonts w:ascii="Times New Roman"/>
                <w:sz w:val="16"/>
              </w:rPr>
            </w:pPr>
          </w:p>
        </w:tc>
        <w:tc>
          <w:tcPr>
            <w:tcW w:w="1177" w:type="dxa"/>
          </w:tcPr>
          <w:p w14:paraId="6CD5D99F" w14:textId="77777777" w:rsidR="00084F36" w:rsidRPr="00EB2BD8" w:rsidRDefault="00084F36">
            <w:pPr>
              <w:pStyle w:val="TableParagraph"/>
              <w:rPr>
                <w:rFonts w:ascii="Times New Roman"/>
                <w:sz w:val="16"/>
              </w:rPr>
            </w:pPr>
          </w:p>
        </w:tc>
      </w:tr>
      <w:tr w:rsidR="00EB2BD8" w:rsidRPr="00EB2BD8" w14:paraId="0D1ABC99" w14:textId="77777777">
        <w:trPr>
          <w:trHeight w:val="229"/>
        </w:trPr>
        <w:tc>
          <w:tcPr>
            <w:tcW w:w="1711" w:type="dxa"/>
          </w:tcPr>
          <w:p w14:paraId="26A86F74" w14:textId="77777777" w:rsidR="00084F36" w:rsidRPr="00EB2BD8" w:rsidRDefault="00084F36">
            <w:pPr>
              <w:pStyle w:val="TableParagraph"/>
              <w:rPr>
                <w:rFonts w:ascii="Times New Roman"/>
                <w:sz w:val="16"/>
              </w:rPr>
            </w:pPr>
          </w:p>
        </w:tc>
        <w:tc>
          <w:tcPr>
            <w:tcW w:w="3165" w:type="dxa"/>
          </w:tcPr>
          <w:p w14:paraId="26C87E1F" w14:textId="77777777" w:rsidR="00084F36" w:rsidRPr="00EB2BD8" w:rsidRDefault="00EB2BD8">
            <w:pPr>
              <w:pStyle w:val="TableParagraph"/>
              <w:spacing w:before="19"/>
              <w:ind w:left="159"/>
              <w:rPr>
                <w:sz w:val="16"/>
              </w:rPr>
            </w:pPr>
            <w:r w:rsidRPr="00EB2BD8">
              <w:rPr>
                <w:sz w:val="16"/>
              </w:rPr>
              <w:t>contained</w:t>
            </w:r>
            <w:r w:rsidRPr="00EB2BD8">
              <w:rPr>
                <w:spacing w:val="-8"/>
                <w:sz w:val="16"/>
              </w:rPr>
              <w:t xml:space="preserve"> </w:t>
            </w:r>
            <w:r w:rsidRPr="00EB2BD8">
              <w:rPr>
                <w:sz w:val="16"/>
              </w:rPr>
              <w:t>a</w:t>
            </w:r>
            <w:r w:rsidRPr="00EB2BD8">
              <w:rPr>
                <w:spacing w:val="-7"/>
                <w:sz w:val="16"/>
              </w:rPr>
              <w:t xml:space="preserve"> </w:t>
            </w:r>
            <w:r w:rsidRPr="00EB2BD8">
              <w:rPr>
                <w:sz w:val="16"/>
              </w:rPr>
              <w:t>misstatement</w:t>
            </w:r>
            <w:r w:rsidRPr="00EB2BD8">
              <w:rPr>
                <w:spacing w:val="-8"/>
                <w:sz w:val="16"/>
              </w:rPr>
              <w:t xml:space="preserve"> </w:t>
            </w:r>
            <w:r w:rsidRPr="00EB2BD8">
              <w:rPr>
                <w:sz w:val="16"/>
              </w:rPr>
              <w:t>of</w:t>
            </w:r>
            <w:r w:rsidRPr="00EB2BD8">
              <w:rPr>
                <w:spacing w:val="-7"/>
                <w:sz w:val="16"/>
              </w:rPr>
              <w:t xml:space="preserve"> </w:t>
            </w:r>
            <w:r w:rsidRPr="00EB2BD8">
              <w:rPr>
                <w:spacing w:val="-2"/>
                <w:sz w:val="16"/>
              </w:rPr>
              <w:t>fact.</w:t>
            </w:r>
          </w:p>
        </w:tc>
        <w:tc>
          <w:tcPr>
            <w:tcW w:w="3078" w:type="dxa"/>
          </w:tcPr>
          <w:p w14:paraId="749B41F3" w14:textId="77777777" w:rsidR="00084F36" w:rsidRPr="00EB2BD8" w:rsidRDefault="00084F36">
            <w:pPr>
              <w:pStyle w:val="TableParagraph"/>
              <w:rPr>
                <w:rFonts w:ascii="Times New Roman"/>
                <w:sz w:val="16"/>
              </w:rPr>
            </w:pPr>
          </w:p>
        </w:tc>
        <w:tc>
          <w:tcPr>
            <w:tcW w:w="1081" w:type="dxa"/>
          </w:tcPr>
          <w:p w14:paraId="033E0D8E" w14:textId="77777777" w:rsidR="00084F36" w:rsidRPr="00EB2BD8" w:rsidRDefault="00084F36">
            <w:pPr>
              <w:pStyle w:val="TableParagraph"/>
              <w:rPr>
                <w:rFonts w:ascii="Times New Roman"/>
                <w:sz w:val="16"/>
              </w:rPr>
            </w:pPr>
          </w:p>
        </w:tc>
        <w:tc>
          <w:tcPr>
            <w:tcW w:w="1177" w:type="dxa"/>
          </w:tcPr>
          <w:p w14:paraId="7E9AA0E0" w14:textId="77777777" w:rsidR="00084F36" w:rsidRPr="00EB2BD8" w:rsidRDefault="00084F36">
            <w:pPr>
              <w:pStyle w:val="TableParagraph"/>
              <w:rPr>
                <w:rFonts w:ascii="Times New Roman"/>
                <w:sz w:val="16"/>
              </w:rPr>
            </w:pPr>
          </w:p>
        </w:tc>
      </w:tr>
      <w:tr w:rsidR="00EB2BD8" w:rsidRPr="00EB2BD8" w14:paraId="1D8D7597" w14:textId="77777777">
        <w:trPr>
          <w:trHeight w:val="229"/>
        </w:trPr>
        <w:tc>
          <w:tcPr>
            <w:tcW w:w="1711" w:type="dxa"/>
          </w:tcPr>
          <w:p w14:paraId="55C1F081" w14:textId="77777777" w:rsidR="00084F36" w:rsidRPr="00EB2BD8" w:rsidRDefault="00084F36">
            <w:pPr>
              <w:pStyle w:val="TableParagraph"/>
              <w:rPr>
                <w:rFonts w:ascii="Times New Roman"/>
                <w:sz w:val="16"/>
              </w:rPr>
            </w:pPr>
          </w:p>
        </w:tc>
        <w:tc>
          <w:tcPr>
            <w:tcW w:w="3165" w:type="dxa"/>
          </w:tcPr>
          <w:p w14:paraId="0C34642D" w14:textId="77777777" w:rsidR="00084F36" w:rsidRPr="00EB2BD8" w:rsidRDefault="00EB2BD8">
            <w:pPr>
              <w:pStyle w:val="TableParagraph"/>
              <w:spacing w:before="19"/>
              <w:ind w:left="159"/>
              <w:rPr>
                <w:sz w:val="16"/>
              </w:rPr>
            </w:pPr>
            <w:r w:rsidRPr="00EB2BD8">
              <w:rPr>
                <w:sz w:val="16"/>
              </w:rPr>
              <w:t>Failed</w:t>
            </w:r>
            <w:r w:rsidRPr="00EB2BD8">
              <w:rPr>
                <w:spacing w:val="-11"/>
                <w:sz w:val="16"/>
              </w:rPr>
              <w:t xml:space="preserve"> </w:t>
            </w:r>
            <w:r w:rsidRPr="00EB2BD8">
              <w:rPr>
                <w:sz w:val="16"/>
              </w:rPr>
              <w:t>to</w:t>
            </w:r>
            <w:r w:rsidRPr="00EB2BD8">
              <w:rPr>
                <w:spacing w:val="-10"/>
                <w:sz w:val="16"/>
              </w:rPr>
              <w:t xml:space="preserve"> </w:t>
            </w:r>
            <w:r w:rsidRPr="00EB2BD8">
              <w:rPr>
                <w:sz w:val="16"/>
              </w:rPr>
              <w:t>lodge</w:t>
            </w:r>
            <w:r w:rsidRPr="00EB2BD8">
              <w:rPr>
                <w:spacing w:val="-11"/>
                <w:sz w:val="16"/>
              </w:rPr>
              <w:t xml:space="preserve"> </w:t>
            </w:r>
            <w:r w:rsidRPr="00EB2BD8">
              <w:rPr>
                <w:sz w:val="16"/>
              </w:rPr>
              <w:t>compliance</w:t>
            </w:r>
            <w:r w:rsidRPr="00EB2BD8">
              <w:rPr>
                <w:spacing w:val="-10"/>
                <w:sz w:val="16"/>
              </w:rPr>
              <w:t xml:space="preserve"> </w:t>
            </w:r>
            <w:r w:rsidRPr="00EB2BD8">
              <w:rPr>
                <w:spacing w:val="-2"/>
                <w:sz w:val="16"/>
              </w:rPr>
              <w:t>certificate</w:t>
            </w:r>
          </w:p>
        </w:tc>
        <w:tc>
          <w:tcPr>
            <w:tcW w:w="3078" w:type="dxa"/>
          </w:tcPr>
          <w:p w14:paraId="50F3C79F" w14:textId="77777777" w:rsidR="00084F36" w:rsidRPr="00EB2BD8" w:rsidRDefault="00084F36">
            <w:pPr>
              <w:pStyle w:val="TableParagraph"/>
              <w:rPr>
                <w:rFonts w:ascii="Times New Roman"/>
                <w:sz w:val="16"/>
              </w:rPr>
            </w:pPr>
          </w:p>
        </w:tc>
        <w:tc>
          <w:tcPr>
            <w:tcW w:w="1081" w:type="dxa"/>
          </w:tcPr>
          <w:p w14:paraId="333DFE39" w14:textId="77777777" w:rsidR="00084F36" w:rsidRPr="00EB2BD8" w:rsidRDefault="00084F36">
            <w:pPr>
              <w:pStyle w:val="TableParagraph"/>
              <w:rPr>
                <w:rFonts w:ascii="Times New Roman"/>
                <w:sz w:val="16"/>
              </w:rPr>
            </w:pPr>
          </w:p>
        </w:tc>
        <w:tc>
          <w:tcPr>
            <w:tcW w:w="1177" w:type="dxa"/>
          </w:tcPr>
          <w:p w14:paraId="6C4E93EA" w14:textId="77777777" w:rsidR="00084F36" w:rsidRPr="00EB2BD8" w:rsidRDefault="00084F36">
            <w:pPr>
              <w:pStyle w:val="TableParagraph"/>
              <w:rPr>
                <w:rFonts w:ascii="Times New Roman"/>
                <w:sz w:val="16"/>
              </w:rPr>
            </w:pPr>
          </w:p>
        </w:tc>
      </w:tr>
      <w:tr w:rsidR="00EB2BD8" w:rsidRPr="00EB2BD8" w14:paraId="28876031" w14:textId="77777777">
        <w:trPr>
          <w:trHeight w:val="229"/>
        </w:trPr>
        <w:tc>
          <w:tcPr>
            <w:tcW w:w="1711" w:type="dxa"/>
          </w:tcPr>
          <w:p w14:paraId="56E4E5D0" w14:textId="77777777" w:rsidR="00084F36" w:rsidRPr="00EB2BD8" w:rsidRDefault="00084F36">
            <w:pPr>
              <w:pStyle w:val="TableParagraph"/>
              <w:rPr>
                <w:rFonts w:ascii="Times New Roman"/>
                <w:sz w:val="16"/>
              </w:rPr>
            </w:pPr>
          </w:p>
        </w:tc>
        <w:tc>
          <w:tcPr>
            <w:tcW w:w="3165" w:type="dxa"/>
          </w:tcPr>
          <w:p w14:paraId="2651531A" w14:textId="77777777" w:rsidR="00084F36" w:rsidRPr="00EB2BD8" w:rsidRDefault="00EB2BD8">
            <w:pPr>
              <w:pStyle w:val="TableParagraph"/>
              <w:spacing w:before="19"/>
              <w:ind w:left="159"/>
              <w:rPr>
                <w:sz w:val="16"/>
              </w:rPr>
            </w:pPr>
            <w:r w:rsidRPr="00EB2BD8">
              <w:rPr>
                <w:spacing w:val="-2"/>
                <w:sz w:val="16"/>
              </w:rPr>
              <w:t>with</w:t>
            </w:r>
            <w:r w:rsidRPr="00EB2BD8">
              <w:rPr>
                <w:spacing w:val="-7"/>
                <w:sz w:val="16"/>
              </w:rPr>
              <w:t xml:space="preserve"> </w:t>
            </w:r>
            <w:r w:rsidRPr="00EB2BD8">
              <w:rPr>
                <w:spacing w:val="-2"/>
                <w:sz w:val="16"/>
              </w:rPr>
              <w:t>the</w:t>
            </w:r>
            <w:r w:rsidRPr="00EB2BD8">
              <w:rPr>
                <w:spacing w:val="-6"/>
                <w:sz w:val="16"/>
              </w:rPr>
              <w:t xml:space="preserve"> </w:t>
            </w:r>
            <w:r w:rsidRPr="00EB2BD8">
              <w:rPr>
                <w:spacing w:val="-2"/>
                <w:sz w:val="16"/>
              </w:rPr>
              <w:t>Authority</w:t>
            </w:r>
            <w:r w:rsidRPr="00EB2BD8">
              <w:rPr>
                <w:spacing w:val="-7"/>
                <w:sz w:val="16"/>
              </w:rPr>
              <w:t xml:space="preserve"> </w:t>
            </w:r>
            <w:r w:rsidRPr="00EB2BD8">
              <w:rPr>
                <w:spacing w:val="-2"/>
                <w:sz w:val="16"/>
              </w:rPr>
              <w:t>within</w:t>
            </w:r>
            <w:r w:rsidRPr="00EB2BD8">
              <w:rPr>
                <w:spacing w:val="-7"/>
                <w:sz w:val="16"/>
              </w:rPr>
              <w:t xml:space="preserve"> </w:t>
            </w:r>
            <w:r w:rsidRPr="00EB2BD8">
              <w:rPr>
                <w:spacing w:val="-2"/>
                <w:sz w:val="16"/>
              </w:rPr>
              <w:t>five</w:t>
            </w:r>
            <w:r w:rsidRPr="00EB2BD8">
              <w:rPr>
                <w:spacing w:val="-6"/>
                <w:sz w:val="16"/>
              </w:rPr>
              <w:t xml:space="preserve"> </w:t>
            </w:r>
            <w:r w:rsidRPr="00EB2BD8">
              <w:rPr>
                <w:spacing w:val="-2"/>
                <w:sz w:val="16"/>
              </w:rPr>
              <w:t>days</w:t>
            </w:r>
            <w:r w:rsidRPr="00EB2BD8">
              <w:rPr>
                <w:spacing w:val="-7"/>
                <w:sz w:val="16"/>
              </w:rPr>
              <w:t xml:space="preserve"> </w:t>
            </w:r>
            <w:r w:rsidRPr="00EB2BD8">
              <w:rPr>
                <w:spacing w:val="-5"/>
                <w:sz w:val="16"/>
              </w:rPr>
              <w:t>of</w:t>
            </w:r>
          </w:p>
        </w:tc>
        <w:tc>
          <w:tcPr>
            <w:tcW w:w="3078" w:type="dxa"/>
          </w:tcPr>
          <w:p w14:paraId="18EDCD90" w14:textId="77777777" w:rsidR="00084F36" w:rsidRPr="00EB2BD8" w:rsidRDefault="00084F36">
            <w:pPr>
              <w:pStyle w:val="TableParagraph"/>
              <w:rPr>
                <w:rFonts w:ascii="Times New Roman"/>
                <w:sz w:val="16"/>
              </w:rPr>
            </w:pPr>
          </w:p>
        </w:tc>
        <w:tc>
          <w:tcPr>
            <w:tcW w:w="1081" w:type="dxa"/>
          </w:tcPr>
          <w:p w14:paraId="75F3BADE" w14:textId="77777777" w:rsidR="00084F36" w:rsidRPr="00EB2BD8" w:rsidRDefault="00084F36">
            <w:pPr>
              <w:pStyle w:val="TableParagraph"/>
              <w:rPr>
                <w:rFonts w:ascii="Times New Roman"/>
                <w:sz w:val="16"/>
              </w:rPr>
            </w:pPr>
          </w:p>
        </w:tc>
        <w:tc>
          <w:tcPr>
            <w:tcW w:w="1177" w:type="dxa"/>
          </w:tcPr>
          <w:p w14:paraId="2254C146" w14:textId="77777777" w:rsidR="00084F36" w:rsidRPr="00EB2BD8" w:rsidRDefault="00084F36">
            <w:pPr>
              <w:pStyle w:val="TableParagraph"/>
              <w:rPr>
                <w:rFonts w:ascii="Times New Roman"/>
                <w:sz w:val="16"/>
              </w:rPr>
            </w:pPr>
          </w:p>
        </w:tc>
      </w:tr>
      <w:tr w:rsidR="00EB2BD8" w:rsidRPr="00EB2BD8" w14:paraId="3CF199CB" w14:textId="77777777">
        <w:trPr>
          <w:trHeight w:val="287"/>
        </w:trPr>
        <w:tc>
          <w:tcPr>
            <w:tcW w:w="1711" w:type="dxa"/>
            <w:tcBorders>
              <w:bottom w:val="single" w:sz="2" w:space="0" w:color="000000"/>
            </w:tcBorders>
          </w:tcPr>
          <w:p w14:paraId="6C81EF65" w14:textId="77777777" w:rsidR="00084F36" w:rsidRPr="00EB2BD8" w:rsidRDefault="00084F36">
            <w:pPr>
              <w:pStyle w:val="TableParagraph"/>
              <w:rPr>
                <w:rFonts w:ascii="Times New Roman"/>
                <w:sz w:val="16"/>
              </w:rPr>
            </w:pPr>
          </w:p>
        </w:tc>
        <w:tc>
          <w:tcPr>
            <w:tcW w:w="3165" w:type="dxa"/>
            <w:tcBorders>
              <w:bottom w:val="single" w:sz="2" w:space="0" w:color="000000"/>
            </w:tcBorders>
          </w:tcPr>
          <w:p w14:paraId="4FC9ED5A" w14:textId="77777777" w:rsidR="00084F36" w:rsidRPr="00EB2BD8" w:rsidRDefault="00EB2BD8">
            <w:pPr>
              <w:pStyle w:val="TableParagraph"/>
              <w:spacing w:before="19"/>
              <w:ind w:left="159"/>
              <w:rPr>
                <w:sz w:val="16"/>
              </w:rPr>
            </w:pPr>
            <w:r w:rsidRPr="00EB2BD8">
              <w:rPr>
                <w:sz w:val="16"/>
              </w:rPr>
              <w:t>completing</w:t>
            </w:r>
            <w:r w:rsidRPr="00EB2BD8">
              <w:rPr>
                <w:spacing w:val="-11"/>
                <w:sz w:val="16"/>
              </w:rPr>
              <w:t xml:space="preserve"> </w:t>
            </w:r>
            <w:r w:rsidRPr="00EB2BD8">
              <w:rPr>
                <w:sz w:val="16"/>
              </w:rPr>
              <w:t>the</w:t>
            </w:r>
            <w:r w:rsidRPr="00EB2BD8">
              <w:rPr>
                <w:spacing w:val="-11"/>
                <w:sz w:val="16"/>
              </w:rPr>
              <w:t xml:space="preserve"> </w:t>
            </w:r>
            <w:r w:rsidRPr="00EB2BD8">
              <w:rPr>
                <w:spacing w:val="-2"/>
                <w:sz w:val="16"/>
              </w:rPr>
              <w:t>work.</w:t>
            </w:r>
          </w:p>
        </w:tc>
        <w:tc>
          <w:tcPr>
            <w:tcW w:w="3078" w:type="dxa"/>
            <w:tcBorders>
              <w:bottom w:val="single" w:sz="2" w:space="0" w:color="000000"/>
            </w:tcBorders>
          </w:tcPr>
          <w:p w14:paraId="10A372AF" w14:textId="77777777" w:rsidR="00084F36" w:rsidRPr="00EB2BD8" w:rsidRDefault="00084F36">
            <w:pPr>
              <w:pStyle w:val="TableParagraph"/>
              <w:rPr>
                <w:rFonts w:ascii="Times New Roman"/>
                <w:sz w:val="16"/>
              </w:rPr>
            </w:pPr>
          </w:p>
        </w:tc>
        <w:tc>
          <w:tcPr>
            <w:tcW w:w="1081" w:type="dxa"/>
            <w:tcBorders>
              <w:bottom w:val="single" w:sz="2" w:space="0" w:color="000000"/>
            </w:tcBorders>
          </w:tcPr>
          <w:p w14:paraId="69736702" w14:textId="77777777" w:rsidR="00084F36" w:rsidRPr="00EB2BD8" w:rsidRDefault="00084F36">
            <w:pPr>
              <w:pStyle w:val="TableParagraph"/>
              <w:rPr>
                <w:rFonts w:ascii="Times New Roman"/>
                <w:sz w:val="16"/>
              </w:rPr>
            </w:pPr>
          </w:p>
        </w:tc>
        <w:tc>
          <w:tcPr>
            <w:tcW w:w="1177" w:type="dxa"/>
            <w:tcBorders>
              <w:bottom w:val="single" w:sz="2" w:space="0" w:color="000000"/>
            </w:tcBorders>
          </w:tcPr>
          <w:p w14:paraId="0B43A3DA" w14:textId="77777777" w:rsidR="00084F36" w:rsidRPr="00EB2BD8" w:rsidRDefault="00084F36">
            <w:pPr>
              <w:pStyle w:val="TableParagraph"/>
              <w:rPr>
                <w:rFonts w:ascii="Times New Roman"/>
                <w:sz w:val="16"/>
              </w:rPr>
            </w:pPr>
          </w:p>
        </w:tc>
      </w:tr>
      <w:tr w:rsidR="00EB2BD8" w:rsidRPr="00EB2BD8" w14:paraId="2CD7AE8A" w14:textId="77777777">
        <w:trPr>
          <w:trHeight w:val="323"/>
        </w:trPr>
        <w:tc>
          <w:tcPr>
            <w:tcW w:w="1711" w:type="dxa"/>
            <w:tcBorders>
              <w:top w:val="single" w:sz="2" w:space="0" w:color="000000"/>
            </w:tcBorders>
          </w:tcPr>
          <w:p w14:paraId="1BA5D20C" w14:textId="77777777" w:rsidR="00084F36" w:rsidRPr="00EB2BD8" w:rsidRDefault="00EB2BD8">
            <w:pPr>
              <w:pStyle w:val="TableParagraph"/>
              <w:spacing w:before="113"/>
              <w:ind w:left="112"/>
              <w:rPr>
                <w:sz w:val="16"/>
              </w:rPr>
            </w:pPr>
            <w:r w:rsidRPr="00EB2BD8">
              <w:rPr>
                <w:sz w:val="16"/>
              </w:rPr>
              <w:t>O’BERNE,</w:t>
            </w:r>
            <w:r w:rsidRPr="00EB2BD8">
              <w:rPr>
                <w:spacing w:val="5"/>
                <w:sz w:val="16"/>
              </w:rPr>
              <w:t xml:space="preserve"> </w:t>
            </w:r>
            <w:r w:rsidRPr="00EB2BD8">
              <w:rPr>
                <w:spacing w:val="-2"/>
                <w:sz w:val="16"/>
              </w:rPr>
              <w:t>Clinton</w:t>
            </w:r>
          </w:p>
        </w:tc>
        <w:tc>
          <w:tcPr>
            <w:tcW w:w="3165" w:type="dxa"/>
            <w:tcBorders>
              <w:top w:val="single" w:sz="2" w:space="0" w:color="000000"/>
            </w:tcBorders>
          </w:tcPr>
          <w:p w14:paraId="4377CCE8" w14:textId="77777777" w:rsidR="00084F36" w:rsidRPr="00EB2BD8" w:rsidRDefault="00EB2BD8">
            <w:pPr>
              <w:pStyle w:val="TableParagraph"/>
              <w:spacing w:before="113"/>
              <w:ind w:left="158"/>
              <w:rPr>
                <w:sz w:val="16"/>
              </w:rPr>
            </w:pPr>
            <w:r w:rsidRPr="00EB2BD8">
              <w:rPr>
                <w:sz w:val="16"/>
              </w:rPr>
              <w:t>It</w:t>
            </w:r>
            <w:r w:rsidRPr="00EB2BD8">
              <w:rPr>
                <w:spacing w:val="-6"/>
                <w:sz w:val="16"/>
              </w:rPr>
              <w:t xml:space="preserve"> </w:t>
            </w:r>
            <w:r w:rsidRPr="00EB2BD8">
              <w:rPr>
                <w:sz w:val="16"/>
              </w:rPr>
              <w:t>was</w:t>
            </w:r>
            <w:r w:rsidRPr="00EB2BD8">
              <w:rPr>
                <w:spacing w:val="-5"/>
                <w:sz w:val="16"/>
              </w:rPr>
              <w:t xml:space="preserve"> </w:t>
            </w:r>
            <w:r w:rsidRPr="00EB2BD8">
              <w:rPr>
                <w:sz w:val="16"/>
              </w:rPr>
              <w:t>alleged</w:t>
            </w:r>
            <w:r w:rsidRPr="00EB2BD8">
              <w:rPr>
                <w:spacing w:val="-6"/>
                <w:sz w:val="16"/>
              </w:rPr>
              <w:t xml:space="preserve"> </w:t>
            </w:r>
            <w:r w:rsidRPr="00EB2BD8">
              <w:rPr>
                <w:sz w:val="16"/>
              </w:rPr>
              <w:t>and</w:t>
            </w:r>
            <w:r w:rsidRPr="00EB2BD8">
              <w:rPr>
                <w:spacing w:val="-5"/>
                <w:sz w:val="16"/>
              </w:rPr>
              <w:t xml:space="preserve"> </w:t>
            </w:r>
            <w:r w:rsidRPr="00EB2BD8">
              <w:rPr>
                <w:sz w:val="16"/>
              </w:rPr>
              <w:t>substantiated</w:t>
            </w:r>
            <w:r w:rsidRPr="00EB2BD8">
              <w:rPr>
                <w:spacing w:val="-6"/>
                <w:sz w:val="16"/>
              </w:rPr>
              <w:t xml:space="preserve"> </w:t>
            </w:r>
            <w:r w:rsidRPr="00EB2BD8">
              <w:rPr>
                <w:spacing w:val="-4"/>
                <w:sz w:val="16"/>
              </w:rPr>
              <w:t>that</w:t>
            </w:r>
          </w:p>
        </w:tc>
        <w:tc>
          <w:tcPr>
            <w:tcW w:w="3078" w:type="dxa"/>
            <w:tcBorders>
              <w:top w:val="single" w:sz="2" w:space="0" w:color="000000"/>
            </w:tcBorders>
          </w:tcPr>
          <w:p w14:paraId="65FCC31C" w14:textId="77777777" w:rsidR="00084F36" w:rsidRPr="00EB2BD8" w:rsidRDefault="00EB2BD8">
            <w:pPr>
              <w:pStyle w:val="TableParagraph"/>
              <w:spacing w:before="113"/>
              <w:ind w:left="112"/>
              <w:rPr>
                <w:sz w:val="16"/>
              </w:rPr>
            </w:pPr>
            <w:r w:rsidRPr="00EB2BD8">
              <w:rPr>
                <w:spacing w:val="-2"/>
                <w:sz w:val="16"/>
              </w:rPr>
              <w:t>One</w:t>
            </w:r>
            <w:r w:rsidRPr="00EB2BD8">
              <w:rPr>
                <w:spacing w:val="-4"/>
                <w:sz w:val="16"/>
              </w:rPr>
              <w:t xml:space="preserve"> </w:t>
            </w:r>
            <w:r w:rsidRPr="00EB2BD8">
              <w:rPr>
                <w:spacing w:val="-2"/>
                <w:sz w:val="16"/>
              </w:rPr>
              <w:t>ground</w:t>
            </w:r>
            <w:r w:rsidRPr="00EB2BD8">
              <w:rPr>
                <w:spacing w:val="-4"/>
                <w:sz w:val="16"/>
              </w:rPr>
              <w:t xml:space="preserve"> </w:t>
            </w:r>
            <w:r w:rsidRPr="00EB2BD8">
              <w:rPr>
                <w:spacing w:val="-2"/>
                <w:sz w:val="16"/>
              </w:rPr>
              <w:t>proven.</w:t>
            </w:r>
            <w:r w:rsidRPr="00EB2BD8">
              <w:rPr>
                <w:spacing w:val="-3"/>
                <w:sz w:val="16"/>
              </w:rPr>
              <w:t xml:space="preserve"> </w:t>
            </w:r>
            <w:r w:rsidRPr="00EB2BD8">
              <w:rPr>
                <w:spacing w:val="-2"/>
                <w:sz w:val="16"/>
              </w:rPr>
              <w:t>Penalty</w:t>
            </w:r>
            <w:r w:rsidRPr="00EB2BD8">
              <w:rPr>
                <w:spacing w:val="-4"/>
                <w:sz w:val="16"/>
              </w:rPr>
              <w:t xml:space="preserve"> </w:t>
            </w:r>
            <w:r w:rsidRPr="00EB2BD8">
              <w:rPr>
                <w:spacing w:val="-2"/>
                <w:sz w:val="16"/>
              </w:rPr>
              <w:t>of</w:t>
            </w:r>
            <w:r w:rsidRPr="00EB2BD8">
              <w:rPr>
                <w:spacing w:val="-3"/>
                <w:sz w:val="16"/>
              </w:rPr>
              <w:t xml:space="preserve"> </w:t>
            </w:r>
            <w:r w:rsidRPr="00EB2BD8">
              <w:rPr>
                <w:spacing w:val="-5"/>
                <w:sz w:val="16"/>
              </w:rPr>
              <w:t>30</w:t>
            </w:r>
          </w:p>
        </w:tc>
        <w:tc>
          <w:tcPr>
            <w:tcW w:w="1081" w:type="dxa"/>
            <w:tcBorders>
              <w:top w:val="single" w:sz="2" w:space="0" w:color="000000"/>
            </w:tcBorders>
          </w:tcPr>
          <w:p w14:paraId="2CD5F96A" w14:textId="77777777" w:rsidR="00084F36" w:rsidRPr="00EB2BD8" w:rsidRDefault="00EB2BD8">
            <w:pPr>
              <w:pStyle w:val="TableParagraph"/>
              <w:spacing w:before="112"/>
              <w:ind w:right="115"/>
              <w:jc w:val="right"/>
              <w:rPr>
                <w:sz w:val="16"/>
              </w:rPr>
            </w:pPr>
            <w:r w:rsidRPr="00EB2BD8">
              <w:rPr>
                <w:spacing w:val="-2"/>
                <w:sz w:val="16"/>
              </w:rPr>
              <w:t>$5,548</w:t>
            </w:r>
          </w:p>
        </w:tc>
        <w:tc>
          <w:tcPr>
            <w:tcW w:w="1177" w:type="dxa"/>
            <w:tcBorders>
              <w:top w:val="single" w:sz="2" w:space="0" w:color="000000"/>
            </w:tcBorders>
          </w:tcPr>
          <w:p w14:paraId="27CE3518" w14:textId="77777777" w:rsidR="00084F36" w:rsidRPr="00EB2BD8" w:rsidRDefault="00EB2BD8">
            <w:pPr>
              <w:pStyle w:val="TableParagraph"/>
              <w:spacing w:before="112"/>
              <w:ind w:left="110"/>
              <w:rPr>
                <w:sz w:val="16"/>
              </w:rPr>
            </w:pPr>
            <w:r w:rsidRPr="00EB2BD8">
              <w:rPr>
                <w:spacing w:val="-2"/>
                <w:w w:val="90"/>
                <w:sz w:val="16"/>
              </w:rPr>
              <w:t>05/12/2022</w:t>
            </w:r>
          </w:p>
        </w:tc>
      </w:tr>
      <w:tr w:rsidR="00EB2BD8" w:rsidRPr="00EB2BD8" w14:paraId="55A476F0" w14:textId="77777777">
        <w:trPr>
          <w:trHeight w:val="229"/>
        </w:trPr>
        <w:tc>
          <w:tcPr>
            <w:tcW w:w="1711" w:type="dxa"/>
          </w:tcPr>
          <w:p w14:paraId="694FAF49" w14:textId="77777777" w:rsidR="00084F36" w:rsidRPr="00EB2BD8" w:rsidRDefault="00084F36">
            <w:pPr>
              <w:pStyle w:val="TableParagraph"/>
              <w:rPr>
                <w:rFonts w:ascii="Times New Roman"/>
                <w:sz w:val="16"/>
              </w:rPr>
            </w:pPr>
          </w:p>
        </w:tc>
        <w:tc>
          <w:tcPr>
            <w:tcW w:w="3165" w:type="dxa"/>
          </w:tcPr>
          <w:p w14:paraId="3104647A" w14:textId="77777777" w:rsidR="00084F36" w:rsidRPr="00EB2BD8" w:rsidRDefault="00EB2BD8">
            <w:pPr>
              <w:pStyle w:val="TableParagraph"/>
              <w:spacing w:before="19"/>
              <w:ind w:left="158"/>
              <w:rPr>
                <w:sz w:val="16"/>
              </w:rPr>
            </w:pPr>
            <w:r w:rsidRPr="00EB2BD8">
              <w:rPr>
                <w:sz w:val="16"/>
              </w:rPr>
              <w:t>the</w:t>
            </w:r>
            <w:r w:rsidRPr="00EB2BD8">
              <w:rPr>
                <w:spacing w:val="-12"/>
                <w:sz w:val="16"/>
              </w:rPr>
              <w:t xml:space="preserve"> </w:t>
            </w:r>
            <w:r w:rsidRPr="00EB2BD8">
              <w:rPr>
                <w:sz w:val="16"/>
              </w:rPr>
              <w:t>practitioner</w:t>
            </w:r>
            <w:r w:rsidRPr="00EB2BD8">
              <w:rPr>
                <w:spacing w:val="-12"/>
                <w:sz w:val="16"/>
              </w:rPr>
              <w:t xml:space="preserve"> </w:t>
            </w:r>
            <w:r w:rsidRPr="00EB2BD8">
              <w:rPr>
                <w:sz w:val="16"/>
              </w:rPr>
              <w:t>provided</w:t>
            </w:r>
            <w:r w:rsidRPr="00EB2BD8">
              <w:rPr>
                <w:spacing w:val="-11"/>
                <w:sz w:val="16"/>
              </w:rPr>
              <w:t xml:space="preserve"> </w:t>
            </w:r>
            <w:r w:rsidRPr="00EB2BD8">
              <w:rPr>
                <w:sz w:val="16"/>
              </w:rPr>
              <w:t>false</w:t>
            </w:r>
            <w:r w:rsidRPr="00EB2BD8">
              <w:rPr>
                <w:spacing w:val="-12"/>
                <w:sz w:val="16"/>
              </w:rPr>
              <w:t xml:space="preserve"> </w:t>
            </w:r>
            <w:r w:rsidRPr="00EB2BD8">
              <w:rPr>
                <w:spacing w:val="-5"/>
                <w:sz w:val="16"/>
              </w:rPr>
              <w:t>and</w:t>
            </w:r>
          </w:p>
        </w:tc>
        <w:tc>
          <w:tcPr>
            <w:tcW w:w="3078" w:type="dxa"/>
          </w:tcPr>
          <w:p w14:paraId="108F77D0" w14:textId="77777777" w:rsidR="00084F36" w:rsidRPr="00EB2BD8" w:rsidRDefault="00EB2BD8">
            <w:pPr>
              <w:pStyle w:val="TableParagraph"/>
              <w:spacing w:before="19"/>
              <w:ind w:left="112"/>
              <w:rPr>
                <w:sz w:val="16"/>
              </w:rPr>
            </w:pPr>
            <w:r w:rsidRPr="00EB2BD8">
              <w:rPr>
                <w:sz w:val="16"/>
              </w:rPr>
              <w:t>penalty</w:t>
            </w:r>
            <w:r w:rsidRPr="00EB2BD8">
              <w:rPr>
                <w:spacing w:val="-12"/>
                <w:sz w:val="16"/>
              </w:rPr>
              <w:t xml:space="preserve"> </w:t>
            </w:r>
            <w:r w:rsidRPr="00EB2BD8">
              <w:rPr>
                <w:sz w:val="16"/>
              </w:rPr>
              <w:t>units</w:t>
            </w:r>
            <w:r w:rsidRPr="00EB2BD8">
              <w:rPr>
                <w:spacing w:val="-11"/>
                <w:sz w:val="16"/>
              </w:rPr>
              <w:t xml:space="preserve"> </w:t>
            </w:r>
            <w:r w:rsidRPr="00EB2BD8">
              <w:rPr>
                <w:sz w:val="16"/>
              </w:rPr>
              <w:t>equivalent</w:t>
            </w:r>
            <w:r w:rsidRPr="00EB2BD8">
              <w:rPr>
                <w:spacing w:val="-12"/>
                <w:sz w:val="16"/>
              </w:rPr>
              <w:t xml:space="preserve"> </w:t>
            </w:r>
            <w:r w:rsidRPr="00EB2BD8">
              <w:rPr>
                <w:sz w:val="16"/>
              </w:rPr>
              <w:t>to</w:t>
            </w:r>
            <w:r w:rsidRPr="00EB2BD8">
              <w:rPr>
                <w:spacing w:val="-11"/>
                <w:sz w:val="16"/>
              </w:rPr>
              <w:t xml:space="preserve"> </w:t>
            </w:r>
            <w:r w:rsidRPr="00EB2BD8">
              <w:rPr>
                <w:spacing w:val="-2"/>
                <w:sz w:val="16"/>
              </w:rPr>
              <w:t>$5,548</w:t>
            </w:r>
          </w:p>
        </w:tc>
        <w:tc>
          <w:tcPr>
            <w:tcW w:w="1081" w:type="dxa"/>
          </w:tcPr>
          <w:p w14:paraId="6AF411B8" w14:textId="77777777" w:rsidR="00084F36" w:rsidRPr="00EB2BD8" w:rsidRDefault="00084F36">
            <w:pPr>
              <w:pStyle w:val="TableParagraph"/>
              <w:rPr>
                <w:rFonts w:ascii="Times New Roman"/>
                <w:sz w:val="16"/>
              </w:rPr>
            </w:pPr>
          </w:p>
        </w:tc>
        <w:tc>
          <w:tcPr>
            <w:tcW w:w="1177" w:type="dxa"/>
          </w:tcPr>
          <w:p w14:paraId="3058B1A9" w14:textId="77777777" w:rsidR="00084F36" w:rsidRPr="00EB2BD8" w:rsidRDefault="00084F36">
            <w:pPr>
              <w:pStyle w:val="TableParagraph"/>
              <w:rPr>
                <w:rFonts w:ascii="Times New Roman"/>
                <w:sz w:val="16"/>
              </w:rPr>
            </w:pPr>
          </w:p>
        </w:tc>
      </w:tr>
      <w:tr w:rsidR="00EB2BD8" w:rsidRPr="00EB2BD8" w14:paraId="55CEBFAD" w14:textId="77777777">
        <w:trPr>
          <w:trHeight w:val="229"/>
        </w:trPr>
        <w:tc>
          <w:tcPr>
            <w:tcW w:w="1711" w:type="dxa"/>
          </w:tcPr>
          <w:p w14:paraId="2173A729" w14:textId="77777777" w:rsidR="00084F36" w:rsidRPr="00EB2BD8" w:rsidRDefault="00084F36">
            <w:pPr>
              <w:pStyle w:val="TableParagraph"/>
              <w:rPr>
                <w:rFonts w:ascii="Times New Roman"/>
                <w:sz w:val="16"/>
              </w:rPr>
            </w:pPr>
          </w:p>
        </w:tc>
        <w:tc>
          <w:tcPr>
            <w:tcW w:w="3165" w:type="dxa"/>
          </w:tcPr>
          <w:p w14:paraId="6CE09ECB" w14:textId="77777777" w:rsidR="00084F36" w:rsidRPr="00EB2BD8" w:rsidRDefault="00EB2BD8">
            <w:pPr>
              <w:pStyle w:val="TableParagraph"/>
              <w:spacing w:before="19"/>
              <w:ind w:left="158"/>
              <w:rPr>
                <w:sz w:val="16"/>
              </w:rPr>
            </w:pPr>
            <w:r w:rsidRPr="00EB2BD8">
              <w:rPr>
                <w:spacing w:val="-2"/>
                <w:sz w:val="16"/>
              </w:rPr>
              <w:t>misleading information</w:t>
            </w:r>
            <w:r w:rsidRPr="00EB2BD8">
              <w:rPr>
                <w:spacing w:val="-1"/>
                <w:sz w:val="16"/>
              </w:rPr>
              <w:t xml:space="preserve"> </w:t>
            </w:r>
            <w:r w:rsidRPr="00EB2BD8">
              <w:rPr>
                <w:spacing w:val="-2"/>
                <w:sz w:val="16"/>
              </w:rPr>
              <w:t>in</w:t>
            </w:r>
            <w:r w:rsidRPr="00EB2BD8">
              <w:rPr>
                <w:spacing w:val="-1"/>
                <w:sz w:val="16"/>
              </w:rPr>
              <w:t xml:space="preserve"> </w:t>
            </w:r>
            <w:r w:rsidRPr="00EB2BD8">
              <w:rPr>
                <w:spacing w:val="-2"/>
                <w:sz w:val="16"/>
              </w:rPr>
              <w:t>a</w:t>
            </w:r>
            <w:r w:rsidRPr="00EB2BD8">
              <w:rPr>
                <w:spacing w:val="-1"/>
                <w:sz w:val="16"/>
              </w:rPr>
              <w:t xml:space="preserve"> </w:t>
            </w:r>
            <w:r w:rsidRPr="00EB2BD8">
              <w:rPr>
                <w:spacing w:val="-2"/>
                <w:sz w:val="16"/>
              </w:rPr>
              <w:t>material</w:t>
            </w:r>
          </w:p>
        </w:tc>
        <w:tc>
          <w:tcPr>
            <w:tcW w:w="3078" w:type="dxa"/>
          </w:tcPr>
          <w:p w14:paraId="0038B5DB" w14:textId="77777777" w:rsidR="00084F36" w:rsidRPr="00EB2BD8" w:rsidRDefault="00EB2BD8">
            <w:pPr>
              <w:pStyle w:val="TableParagraph"/>
              <w:spacing w:before="19"/>
              <w:ind w:left="112"/>
              <w:rPr>
                <w:sz w:val="16"/>
              </w:rPr>
            </w:pPr>
            <w:r w:rsidRPr="00EB2BD8">
              <w:rPr>
                <w:w w:val="90"/>
                <w:sz w:val="16"/>
              </w:rPr>
              <w:t>plus</w:t>
            </w:r>
            <w:r w:rsidRPr="00EB2BD8">
              <w:rPr>
                <w:spacing w:val="-2"/>
                <w:w w:val="90"/>
                <w:sz w:val="16"/>
              </w:rPr>
              <w:t xml:space="preserve"> </w:t>
            </w:r>
            <w:r w:rsidRPr="00EB2BD8">
              <w:rPr>
                <w:w w:val="90"/>
                <w:sz w:val="16"/>
              </w:rPr>
              <w:t>costs</w:t>
            </w:r>
            <w:r w:rsidRPr="00EB2BD8">
              <w:rPr>
                <w:spacing w:val="-1"/>
                <w:w w:val="90"/>
                <w:sz w:val="16"/>
              </w:rPr>
              <w:t xml:space="preserve"> </w:t>
            </w:r>
            <w:r w:rsidRPr="00EB2BD8">
              <w:rPr>
                <w:w w:val="90"/>
                <w:sz w:val="16"/>
              </w:rPr>
              <w:t>of</w:t>
            </w:r>
            <w:r w:rsidRPr="00EB2BD8">
              <w:rPr>
                <w:spacing w:val="-1"/>
                <w:w w:val="90"/>
                <w:sz w:val="16"/>
              </w:rPr>
              <w:t xml:space="preserve"> </w:t>
            </w:r>
            <w:r w:rsidRPr="00EB2BD8">
              <w:rPr>
                <w:w w:val="90"/>
                <w:sz w:val="16"/>
              </w:rPr>
              <w:t>$2,075.</w:t>
            </w:r>
            <w:r w:rsidRPr="00EB2BD8">
              <w:rPr>
                <w:spacing w:val="-1"/>
                <w:w w:val="90"/>
                <w:sz w:val="16"/>
              </w:rPr>
              <w:t xml:space="preserve"> </w:t>
            </w:r>
            <w:r w:rsidRPr="00EB2BD8">
              <w:rPr>
                <w:spacing w:val="-2"/>
                <w:w w:val="90"/>
                <w:sz w:val="16"/>
              </w:rPr>
              <w:t>Suspension</w:t>
            </w:r>
          </w:p>
        </w:tc>
        <w:tc>
          <w:tcPr>
            <w:tcW w:w="1081" w:type="dxa"/>
          </w:tcPr>
          <w:p w14:paraId="1AA53973" w14:textId="77777777" w:rsidR="00084F36" w:rsidRPr="00EB2BD8" w:rsidRDefault="00084F36">
            <w:pPr>
              <w:pStyle w:val="TableParagraph"/>
              <w:rPr>
                <w:rFonts w:ascii="Times New Roman"/>
                <w:sz w:val="16"/>
              </w:rPr>
            </w:pPr>
          </w:p>
        </w:tc>
        <w:tc>
          <w:tcPr>
            <w:tcW w:w="1177" w:type="dxa"/>
          </w:tcPr>
          <w:p w14:paraId="4F99AEAB" w14:textId="77777777" w:rsidR="00084F36" w:rsidRPr="00EB2BD8" w:rsidRDefault="00084F36">
            <w:pPr>
              <w:pStyle w:val="TableParagraph"/>
              <w:rPr>
                <w:rFonts w:ascii="Times New Roman"/>
                <w:sz w:val="16"/>
              </w:rPr>
            </w:pPr>
          </w:p>
        </w:tc>
      </w:tr>
      <w:tr w:rsidR="00EB2BD8" w:rsidRPr="00EB2BD8" w14:paraId="19221865" w14:textId="77777777">
        <w:trPr>
          <w:trHeight w:val="229"/>
        </w:trPr>
        <w:tc>
          <w:tcPr>
            <w:tcW w:w="1711" w:type="dxa"/>
          </w:tcPr>
          <w:p w14:paraId="779C2EEE" w14:textId="77777777" w:rsidR="00084F36" w:rsidRPr="00EB2BD8" w:rsidRDefault="00084F36">
            <w:pPr>
              <w:pStyle w:val="TableParagraph"/>
              <w:rPr>
                <w:rFonts w:ascii="Times New Roman"/>
                <w:sz w:val="16"/>
              </w:rPr>
            </w:pPr>
          </w:p>
        </w:tc>
        <w:tc>
          <w:tcPr>
            <w:tcW w:w="3165" w:type="dxa"/>
          </w:tcPr>
          <w:p w14:paraId="3DC14D8F" w14:textId="77777777" w:rsidR="00084F36" w:rsidRPr="00EB2BD8" w:rsidRDefault="00EB2BD8">
            <w:pPr>
              <w:pStyle w:val="TableParagraph"/>
              <w:spacing w:before="19"/>
              <w:ind w:left="158"/>
              <w:rPr>
                <w:sz w:val="16"/>
              </w:rPr>
            </w:pPr>
            <w:r w:rsidRPr="00EB2BD8">
              <w:rPr>
                <w:spacing w:val="-2"/>
                <w:sz w:val="16"/>
              </w:rPr>
              <w:t>particular.</w:t>
            </w:r>
          </w:p>
        </w:tc>
        <w:tc>
          <w:tcPr>
            <w:tcW w:w="3078" w:type="dxa"/>
          </w:tcPr>
          <w:p w14:paraId="3BC92C69" w14:textId="77777777" w:rsidR="00084F36" w:rsidRPr="00EB2BD8" w:rsidRDefault="00EB2BD8">
            <w:pPr>
              <w:pStyle w:val="TableParagraph"/>
              <w:spacing w:before="19"/>
              <w:ind w:left="112"/>
              <w:rPr>
                <w:sz w:val="16"/>
              </w:rPr>
            </w:pPr>
            <w:r w:rsidRPr="00EB2BD8">
              <w:rPr>
                <w:spacing w:val="-2"/>
                <w:sz w:val="16"/>
              </w:rPr>
              <w:t>of</w:t>
            </w:r>
            <w:r w:rsidRPr="00EB2BD8">
              <w:rPr>
                <w:spacing w:val="-6"/>
                <w:sz w:val="16"/>
              </w:rPr>
              <w:t xml:space="preserve"> </w:t>
            </w:r>
            <w:r w:rsidRPr="00EB2BD8">
              <w:rPr>
                <w:spacing w:val="-2"/>
                <w:sz w:val="16"/>
              </w:rPr>
              <w:t>practitioner’s</w:t>
            </w:r>
            <w:r w:rsidRPr="00EB2BD8">
              <w:rPr>
                <w:spacing w:val="-6"/>
                <w:sz w:val="16"/>
              </w:rPr>
              <w:t xml:space="preserve"> </w:t>
            </w:r>
            <w:r w:rsidRPr="00EB2BD8">
              <w:rPr>
                <w:spacing w:val="-2"/>
                <w:sz w:val="16"/>
              </w:rPr>
              <w:t>plumbing</w:t>
            </w:r>
            <w:r w:rsidRPr="00EB2BD8">
              <w:rPr>
                <w:spacing w:val="-6"/>
                <w:sz w:val="16"/>
              </w:rPr>
              <w:t xml:space="preserve"> </w:t>
            </w:r>
            <w:r w:rsidRPr="00EB2BD8">
              <w:rPr>
                <w:spacing w:val="-2"/>
                <w:sz w:val="16"/>
              </w:rPr>
              <w:t>licence</w:t>
            </w:r>
          </w:p>
        </w:tc>
        <w:tc>
          <w:tcPr>
            <w:tcW w:w="1081" w:type="dxa"/>
          </w:tcPr>
          <w:p w14:paraId="2FB97A3C" w14:textId="77777777" w:rsidR="00084F36" w:rsidRPr="00EB2BD8" w:rsidRDefault="00084F36">
            <w:pPr>
              <w:pStyle w:val="TableParagraph"/>
              <w:rPr>
                <w:rFonts w:ascii="Times New Roman"/>
                <w:sz w:val="16"/>
              </w:rPr>
            </w:pPr>
          </w:p>
        </w:tc>
        <w:tc>
          <w:tcPr>
            <w:tcW w:w="1177" w:type="dxa"/>
          </w:tcPr>
          <w:p w14:paraId="79930B36" w14:textId="77777777" w:rsidR="00084F36" w:rsidRPr="00EB2BD8" w:rsidRDefault="00084F36">
            <w:pPr>
              <w:pStyle w:val="TableParagraph"/>
              <w:rPr>
                <w:rFonts w:ascii="Times New Roman"/>
                <w:sz w:val="16"/>
              </w:rPr>
            </w:pPr>
          </w:p>
        </w:tc>
      </w:tr>
      <w:tr w:rsidR="00EB2BD8" w:rsidRPr="00EB2BD8" w14:paraId="1E7FA600" w14:textId="77777777">
        <w:trPr>
          <w:trHeight w:val="229"/>
        </w:trPr>
        <w:tc>
          <w:tcPr>
            <w:tcW w:w="1711" w:type="dxa"/>
          </w:tcPr>
          <w:p w14:paraId="4C0EA53F" w14:textId="77777777" w:rsidR="00084F36" w:rsidRPr="00EB2BD8" w:rsidRDefault="00084F36">
            <w:pPr>
              <w:pStyle w:val="TableParagraph"/>
              <w:rPr>
                <w:rFonts w:ascii="Times New Roman"/>
                <w:sz w:val="16"/>
              </w:rPr>
            </w:pPr>
          </w:p>
        </w:tc>
        <w:tc>
          <w:tcPr>
            <w:tcW w:w="3165" w:type="dxa"/>
          </w:tcPr>
          <w:p w14:paraId="68E63175" w14:textId="77777777" w:rsidR="00084F36" w:rsidRPr="00EB2BD8" w:rsidRDefault="00084F36">
            <w:pPr>
              <w:pStyle w:val="TableParagraph"/>
              <w:rPr>
                <w:rFonts w:ascii="Times New Roman"/>
                <w:sz w:val="16"/>
              </w:rPr>
            </w:pPr>
          </w:p>
        </w:tc>
        <w:tc>
          <w:tcPr>
            <w:tcW w:w="3078" w:type="dxa"/>
          </w:tcPr>
          <w:p w14:paraId="620451F5" w14:textId="77777777" w:rsidR="00084F36" w:rsidRPr="00EB2BD8" w:rsidRDefault="00EB2BD8">
            <w:pPr>
              <w:pStyle w:val="TableParagraph"/>
              <w:spacing w:before="19"/>
              <w:ind w:left="112"/>
              <w:rPr>
                <w:sz w:val="16"/>
              </w:rPr>
            </w:pPr>
            <w:r w:rsidRPr="00EB2BD8">
              <w:rPr>
                <w:w w:val="90"/>
                <w:sz w:val="16"/>
              </w:rPr>
              <w:t>for</w:t>
            </w:r>
            <w:r w:rsidRPr="00EB2BD8">
              <w:rPr>
                <w:spacing w:val="-2"/>
                <w:sz w:val="16"/>
              </w:rPr>
              <w:t xml:space="preserve"> </w:t>
            </w:r>
            <w:r w:rsidRPr="00EB2BD8">
              <w:rPr>
                <w:w w:val="90"/>
                <w:sz w:val="16"/>
              </w:rPr>
              <w:t>12</w:t>
            </w:r>
            <w:r w:rsidRPr="00EB2BD8">
              <w:rPr>
                <w:spacing w:val="-2"/>
                <w:sz w:val="16"/>
              </w:rPr>
              <w:t xml:space="preserve"> </w:t>
            </w:r>
            <w:r w:rsidRPr="00EB2BD8">
              <w:rPr>
                <w:w w:val="90"/>
                <w:sz w:val="16"/>
              </w:rPr>
              <w:t>months,</w:t>
            </w:r>
            <w:r w:rsidRPr="00EB2BD8">
              <w:rPr>
                <w:spacing w:val="-1"/>
                <w:sz w:val="16"/>
              </w:rPr>
              <w:t xml:space="preserve"> </w:t>
            </w:r>
            <w:r w:rsidRPr="00EB2BD8">
              <w:rPr>
                <w:w w:val="90"/>
                <w:sz w:val="16"/>
              </w:rPr>
              <w:t>with</w:t>
            </w:r>
            <w:r w:rsidRPr="00EB2BD8">
              <w:rPr>
                <w:spacing w:val="-2"/>
                <w:sz w:val="16"/>
              </w:rPr>
              <w:t xml:space="preserve"> </w:t>
            </w:r>
            <w:r w:rsidRPr="00EB2BD8">
              <w:rPr>
                <w:w w:val="90"/>
                <w:sz w:val="16"/>
              </w:rPr>
              <w:t>the</w:t>
            </w:r>
            <w:r w:rsidRPr="00EB2BD8">
              <w:rPr>
                <w:spacing w:val="-1"/>
                <w:sz w:val="16"/>
              </w:rPr>
              <w:t xml:space="preserve"> </w:t>
            </w:r>
            <w:r w:rsidRPr="00EB2BD8">
              <w:rPr>
                <w:spacing w:val="-2"/>
                <w:w w:val="90"/>
                <w:sz w:val="16"/>
              </w:rPr>
              <w:t>suspension</w:t>
            </w:r>
          </w:p>
        </w:tc>
        <w:tc>
          <w:tcPr>
            <w:tcW w:w="1081" w:type="dxa"/>
          </w:tcPr>
          <w:p w14:paraId="5AC918E4" w14:textId="77777777" w:rsidR="00084F36" w:rsidRPr="00EB2BD8" w:rsidRDefault="00084F36">
            <w:pPr>
              <w:pStyle w:val="TableParagraph"/>
              <w:rPr>
                <w:rFonts w:ascii="Times New Roman"/>
                <w:sz w:val="16"/>
              </w:rPr>
            </w:pPr>
          </w:p>
        </w:tc>
        <w:tc>
          <w:tcPr>
            <w:tcW w:w="1177" w:type="dxa"/>
          </w:tcPr>
          <w:p w14:paraId="6FCCCA74" w14:textId="77777777" w:rsidR="00084F36" w:rsidRPr="00EB2BD8" w:rsidRDefault="00084F36">
            <w:pPr>
              <w:pStyle w:val="TableParagraph"/>
              <w:rPr>
                <w:rFonts w:ascii="Times New Roman"/>
                <w:sz w:val="16"/>
              </w:rPr>
            </w:pPr>
          </w:p>
        </w:tc>
      </w:tr>
      <w:tr w:rsidR="00EB2BD8" w:rsidRPr="00EB2BD8" w14:paraId="70853C2B" w14:textId="77777777">
        <w:trPr>
          <w:trHeight w:val="229"/>
        </w:trPr>
        <w:tc>
          <w:tcPr>
            <w:tcW w:w="1711" w:type="dxa"/>
          </w:tcPr>
          <w:p w14:paraId="22100A2B" w14:textId="77777777" w:rsidR="00084F36" w:rsidRPr="00EB2BD8" w:rsidRDefault="00084F36">
            <w:pPr>
              <w:pStyle w:val="TableParagraph"/>
              <w:rPr>
                <w:rFonts w:ascii="Times New Roman"/>
                <w:sz w:val="16"/>
              </w:rPr>
            </w:pPr>
          </w:p>
        </w:tc>
        <w:tc>
          <w:tcPr>
            <w:tcW w:w="3165" w:type="dxa"/>
          </w:tcPr>
          <w:p w14:paraId="5C62E7FD" w14:textId="77777777" w:rsidR="00084F36" w:rsidRPr="00EB2BD8" w:rsidRDefault="00084F36">
            <w:pPr>
              <w:pStyle w:val="TableParagraph"/>
              <w:rPr>
                <w:rFonts w:ascii="Times New Roman"/>
                <w:sz w:val="16"/>
              </w:rPr>
            </w:pPr>
          </w:p>
        </w:tc>
        <w:tc>
          <w:tcPr>
            <w:tcW w:w="3078" w:type="dxa"/>
          </w:tcPr>
          <w:p w14:paraId="596AC2FB" w14:textId="77777777" w:rsidR="00084F36" w:rsidRPr="00EB2BD8" w:rsidRDefault="00EB2BD8">
            <w:pPr>
              <w:pStyle w:val="TableParagraph"/>
              <w:spacing w:before="19"/>
              <w:ind w:left="112"/>
              <w:rPr>
                <w:sz w:val="16"/>
              </w:rPr>
            </w:pPr>
            <w:r w:rsidRPr="00EB2BD8">
              <w:rPr>
                <w:spacing w:val="-4"/>
                <w:sz w:val="16"/>
              </w:rPr>
              <w:t>deferred</w:t>
            </w:r>
            <w:r w:rsidRPr="00EB2BD8">
              <w:rPr>
                <w:spacing w:val="-12"/>
                <w:sz w:val="16"/>
              </w:rPr>
              <w:t xml:space="preserve"> </w:t>
            </w:r>
            <w:r w:rsidRPr="00EB2BD8">
              <w:rPr>
                <w:spacing w:val="-4"/>
                <w:sz w:val="16"/>
              </w:rPr>
              <w:t>for</w:t>
            </w:r>
            <w:r w:rsidRPr="00EB2BD8">
              <w:rPr>
                <w:spacing w:val="-12"/>
                <w:sz w:val="16"/>
              </w:rPr>
              <w:t xml:space="preserve"> </w:t>
            </w:r>
            <w:r w:rsidRPr="00EB2BD8">
              <w:rPr>
                <w:spacing w:val="-4"/>
                <w:sz w:val="16"/>
              </w:rPr>
              <w:t>12</w:t>
            </w:r>
            <w:r w:rsidRPr="00EB2BD8">
              <w:rPr>
                <w:spacing w:val="-12"/>
                <w:sz w:val="16"/>
              </w:rPr>
              <w:t xml:space="preserve"> </w:t>
            </w:r>
            <w:r w:rsidRPr="00EB2BD8">
              <w:rPr>
                <w:spacing w:val="-4"/>
                <w:sz w:val="16"/>
              </w:rPr>
              <w:t>months</w:t>
            </w:r>
            <w:r w:rsidRPr="00EB2BD8">
              <w:rPr>
                <w:spacing w:val="-12"/>
                <w:sz w:val="16"/>
              </w:rPr>
              <w:t xml:space="preserve"> </w:t>
            </w:r>
            <w:r w:rsidRPr="00EB2BD8">
              <w:rPr>
                <w:spacing w:val="-4"/>
                <w:sz w:val="16"/>
              </w:rPr>
              <w:t>from</w:t>
            </w:r>
            <w:r w:rsidRPr="00EB2BD8">
              <w:rPr>
                <w:spacing w:val="-11"/>
                <w:sz w:val="16"/>
              </w:rPr>
              <w:t xml:space="preserve"> </w:t>
            </w:r>
            <w:r w:rsidRPr="00EB2BD8">
              <w:rPr>
                <w:spacing w:val="-10"/>
                <w:sz w:val="16"/>
              </w:rPr>
              <w:t>5</w:t>
            </w:r>
          </w:p>
        </w:tc>
        <w:tc>
          <w:tcPr>
            <w:tcW w:w="1081" w:type="dxa"/>
          </w:tcPr>
          <w:p w14:paraId="6FC6EA80" w14:textId="77777777" w:rsidR="00084F36" w:rsidRPr="00EB2BD8" w:rsidRDefault="00084F36">
            <w:pPr>
              <w:pStyle w:val="TableParagraph"/>
              <w:rPr>
                <w:rFonts w:ascii="Times New Roman"/>
                <w:sz w:val="16"/>
              </w:rPr>
            </w:pPr>
          </w:p>
        </w:tc>
        <w:tc>
          <w:tcPr>
            <w:tcW w:w="1177" w:type="dxa"/>
          </w:tcPr>
          <w:p w14:paraId="3D1F301A" w14:textId="77777777" w:rsidR="00084F36" w:rsidRPr="00EB2BD8" w:rsidRDefault="00084F36">
            <w:pPr>
              <w:pStyle w:val="TableParagraph"/>
              <w:rPr>
                <w:rFonts w:ascii="Times New Roman"/>
                <w:sz w:val="16"/>
              </w:rPr>
            </w:pPr>
          </w:p>
        </w:tc>
      </w:tr>
      <w:tr w:rsidR="00EB2BD8" w:rsidRPr="00EB2BD8" w14:paraId="5B5FBFAE" w14:textId="77777777">
        <w:trPr>
          <w:trHeight w:val="229"/>
        </w:trPr>
        <w:tc>
          <w:tcPr>
            <w:tcW w:w="1711" w:type="dxa"/>
          </w:tcPr>
          <w:p w14:paraId="42623EF3" w14:textId="77777777" w:rsidR="00084F36" w:rsidRPr="00EB2BD8" w:rsidRDefault="00084F36">
            <w:pPr>
              <w:pStyle w:val="TableParagraph"/>
              <w:rPr>
                <w:rFonts w:ascii="Times New Roman"/>
                <w:sz w:val="16"/>
              </w:rPr>
            </w:pPr>
          </w:p>
        </w:tc>
        <w:tc>
          <w:tcPr>
            <w:tcW w:w="3165" w:type="dxa"/>
          </w:tcPr>
          <w:p w14:paraId="4E15B789" w14:textId="77777777" w:rsidR="00084F36" w:rsidRPr="00EB2BD8" w:rsidRDefault="00084F36">
            <w:pPr>
              <w:pStyle w:val="TableParagraph"/>
              <w:rPr>
                <w:rFonts w:ascii="Times New Roman"/>
                <w:sz w:val="16"/>
              </w:rPr>
            </w:pPr>
          </w:p>
        </w:tc>
        <w:tc>
          <w:tcPr>
            <w:tcW w:w="3078" w:type="dxa"/>
          </w:tcPr>
          <w:p w14:paraId="322ED2A5" w14:textId="77777777" w:rsidR="00084F36" w:rsidRPr="00EB2BD8" w:rsidRDefault="00EB2BD8">
            <w:pPr>
              <w:pStyle w:val="TableParagraph"/>
              <w:spacing w:before="19"/>
              <w:ind w:left="112"/>
              <w:rPr>
                <w:sz w:val="16"/>
              </w:rPr>
            </w:pPr>
            <w:r w:rsidRPr="00EB2BD8">
              <w:rPr>
                <w:spacing w:val="-4"/>
                <w:sz w:val="16"/>
              </w:rPr>
              <w:t>December</w:t>
            </w:r>
            <w:r w:rsidRPr="00EB2BD8">
              <w:rPr>
                <w:spacing w:val="-6"/>
                <w:sz w:val="16"/>
              </w:rPr>
              <w:t xml:space="preserve"> </w:t>
            </w:r>
            <w:r w:rsidRPr="00EB2BD8">
              <w:rPr>
                <w:spacing w:val="-4"/>
                <w:sz w:val="16"/>
              </w:rPr>
              <w:t>2022,</w:t>
            </w:r>
            <w:r w:rsidRPr="00EB2BD8">
              <w:rPr>
                <w:spacing w:val="-6"/>
                <w:sz w:val="16"/>
              </w:rPr>
              <w:t xml:space="preserve"> </w:t>
            </w:r>
            <w:r w:rsidRPr="00EB2BD8">
              <w:rPr>
                <w:spacing w:val="-4"/>
                <w:sz w:val="16"/>
              </w:rPr>
              <w:t>provided</w:t>
            </w:r>
            <w:r w:rsidRPr="00EB2BD8">
              <w:rPr>
                <w:spacing w:val="-6"/>
                <w:sz w:val="16"/>
              </w:rPr>
              <w:t xml:space="preserve"> </w:t>
            </w:r>
            <w:r w:rsidRPr="00EB2BD8">
              <w:rPr>
                <w:spacing w:val="-5"/>
                <w:sz w:val="16"/>
              </w:rPr>
              <w:t>the</w:t>
            </w:r>
          </w:p>
        </w:tc>
        <w:tc>
          <w:tcPr>
            <w:tcW w:w="1081" w:type="dxa"/>
          </w:tcPr>
          <w:p w14:paraId="4953CF8B" w14:textId="77777777" w:rsidR="00084F36" w:rsidRPr="00EB2BD8" w:rsidRDefault="00084F36">
            <w:pPr>
              <w:pStyle w:val="TableParagraph"/>
              <w:rPr>
                <w:rFonts w:ascii="Times New Roman"/>
                <w:sz w:val="16"/>
              </w:rPr>
            </w:pPr>
          </w:p>
        </w:tc>
        <w:tc>
          <w:tcPr>
            <w:tcW w:w="1177" w:type="dxa"/>
          </w:tcPr>
          <w:p w14:paraId="2F4DEBE7" w14:textId="77777777" w:rsidR="00084F36" w:rsidRPr="00EB2BD8" w:rsidRDefault="00084F36">
            <w:pPr>
              <w:pStyle w:val="TableParagraph"/>
              <w:rPr>
                <w:rFonts w:ascii="Times New Roman"/>
                <w:sz w:val="16"/>
              </w:rPr>
            </w:pPr>
          </w:p>
        </w:tc>
      </w:tr>
      <w:tr w:rsidR="00EB2BD8" w:rsidRPr="00EB2BD8" w14:paraId="4AF06E0D" w14:textId="77777777">
        <w:trPr>
          <w:trHeight w:val="229"/>
        </w:trPr>
        <w:tc>
          <w:tcPr>
            <w:tcW w:w="1711" w:type="dxa"/>
          </w:tcPr>
          <w:p w14:paraId="034949FC" w14:textId="77777777" w:rsidR="00084F36" w:rsidRPr="00EB2BD8" w:rsidRDefault="00084F36">
            <w:pPr>
              <w:pStyle w:val="TableParagraph"/>
              <w:rPr>
                <w:rFonts w:ascii="Times New Roman"/>
                <w:sz w:val="16"/>
              </w:rPr>
            </w:pPr>
          </w:p>
        </w:tc>
        <w:tc>
          <w:tcPr>
            <w:tcW w:w="3165" w:type="dxa"/>
          </w:tcPr>
          <w:p w14:paraId="2DA7FEDF" w14:textId="77777777" w:rsidR="00084F36" w:rsidRPr="00EB2BD8" w:rsidRDefault="00084F36">
            <w:pPr>
              <w:pStyle w:val="TableParagraph"/>
              <w:rPr>
                <w:rFonts w:ascii="Times New Roman"/>
                <w:sz w:val="16"/>
              </w:rPr>
            </w:pPr>
          </w:p>
        </w:tc>
        <w:tc>
          <w:tcPr>
            <w:tcW w:w="3078" w:type="dxa"/>
          </w:tcPr>
          <w:p w14:paraId="20E97EF1" w14:textId="77777777" w:rsidR="00084F36" w:rsidRPr="00EB2BD8" w:rsidRDefault="00EB2BD8">
            <w:pPr>
              <w:pStyle w:val="TableParagraph"/>
              <w:spacing w:before="19"/>
              <w:ind w:left="112"/>
              <w:rPr>
                <w:sz w:val="16"/>
              </w:rPr>
            </w:pPr>
            <w:r w:rsidRPr="00EB2BD8">
              <w:rPr>
                <w:spacing w:val="-2"/>
                <w:sz w:val="16"/>
              </w:rPr>
              <w:t>practitioner</w:t>
            </w:r>
            <w:r w:rsidRPr="00EB2BD8">
              <w:rPr>
                <w:spacing w:val="-8"/>
                <w:sz w:val="16"/>
              </w:rPr>
              <w:t xml:space="preserve"> </w:t>
            </w:r>
            <w:r w:rsidRPr="00EB2BD8">
              <w:rPr>
                <w:spacing w:val="-2"/>
                <w:sz w:val="16"/>
              </w:rPr>
              <w:t>is</w:t>
            </w:r>
            <w:r w:rsidRPr="00EB2BD8">
              <w:rPr>
                <w:spacing w:val="-7"/>
                <w:sz w:val="16"/>
              </w:rPr>
              <w:t xml:space="preserve"> </w:t>
            </w:r>
            <w:r w:rsidRPr="00EB2BD8">
              <w:rPr>
                <w:spacing w:val="-2"/>
                <w:sz w:val="16"/>
              </w:rPr>
              <w:t>not</w:t>
            </w:r>
            <w:r w:rsidRPr="00EB2BD8">
              <w:rPr>
                <w:spacing w:val="-7"/>
                <w:sz w:val="16"/>
              </w:rPr>
              <w:t xml:space="preserve"> </w:t>
            </w:r>
            <w:r w:rsidRPr="00EB2BD8">
              <w:rPr>
                <w:spacing w:val="-2"/>
                <w:sz w:val="16"/>
              </w:rPr>
              <w:t>found</w:t>
            </w:r>
            <w:r w:rsidRPr="00EB2BD8">
              <w:rPr>
                <w:spacing w:val="-7"/>
                <w:sz w:val="16"/>
              </w:rPr>
              <w:t xml:space="preserve"> </w:t>
            </w:r>
            <w:r w:rsidRPr="00EB2BD8">
              <w:rPr>
                <w:spacing w:val="-2"/>
                <w:sz w:val="16"/>
              </w:rPr>
              <w:t>guilty</w:t>
            </w:r>
            <w:r w:rsidRPr="00EB2BD8">
              <w:rPr>
                <w:spacing w:val="-7"/>
                <w:sz w:val="16"/>
              </w:rPr>
              <w:t xml:space="preserve"> </w:t>
            </w:r>
            <w:r w:rsidRPr="00EB2BD8">
              <w:rPr>
                <w:spacing w:val="-2"/>
                <w:sz w:val="16"/>
              </w:rPr>
              <w:t>of</w:t>
            </w:r>
            <w:r w:rsidRPr="00EB2BD8">
              <w:rPr>
                <w:spacing w:val="-7"/>
                <w:sz w:val="16"/>
              </w:rPr>
              <w:t xml:space="preserve"> </w:t>
            </w:r>
            <w:r w:rsidRPr="00EB2BD8">
              <w:rPr>
                <w:spacing w:val="-5"/>
                <w:sz w:val="16"/>
              </w:rPr>
              <w:t>any</w:t>
            </w:r>
          </w:p>
        </w:tc>
        <w:tc>
          <w:tcPr>
            <w:tcW w:w="1081" w:type="dxa"/>
          </w:tcPr>
          <w:p w14:paraId="38B7AA6F" w14:textId="77777777" w:rsidR="00084F36" w:rsidRPr="00EB2BD8" w:rsidRDefault="00084F36">
            <w:pPr>
              <w:pStyle w:val="TableParagraph"/>
              <w:rPr>
                <w:rFonts w:ascii="Times New Roman"/>
                <w:sz w:val="16"/>
              </w:rPr>
            </w:pPr>
          </w:p>
        </w:tc>
        <w:tc>
          <w:tcPr>
            <w:tcW w:w="1177" w:type="dxa"/>
          </w:tcPr>
          <w:p w14:paraId="791237B7" w14:textId="77777777" w:rsidR="00084F36" w:rsidRPr="00EB2BD8" w:rsidRDefault="00084F36">
            <w:pPr>
              <w:pStyle w:val="TableParagraph"/>
              <w:rPr>
                <w:rFonts w:ascii="Times New Roman"/>
                <w:sz w:val="16"/>
              </w:rPr>
            </w:pPr>
          </w:p>
        </w:tc>
      </w:tr>
      <w:tr w:rsidR="00EB2BD8" w:rsidRPr="00EB2BD8" w14:paraId="015A258B" w14:textId="77777777">
        <w:trPr>
          <w:trHeight w:val="229"/>
        </w:trPr>
        <w:tc>
          <w:tcPr>
            <w:tcW w:w="1711" w:type="dxa"/>
          </w:tcPr>
          <w:p w14:paraId="04BACB42" w14:textId="77777777" w:rsidR="00084F36" w:rsidRPr="00EB2BD8" w:rsidRDefault="00084F36">
            <w:pPr>
              <w:pStyle w:val="TableParagraph"/>
              <w:rPr>
                <w:rFonts w:ascii="Times New Roman"/>
                <w:sz w:val="16"/>
              </w:rPr>
            </w:pPr>
          </w:p>
        </w:tc>
        <w:tc>
          <w:tcPr>
            <w:tcW w:w="3165" w:type="dxa"/>
          </w:tcPr>
          <w:p w14:paraId="0D1450FC" w14:textId="77777777" w:rsidR="00084F36" w:rsidRPr="00EB2BD8" w:rsidRDefault="00084F36">
            <w:pPr>
              <w:pStyle w:val="TableParagraph"/>
              <w:rPr>
                <w:rFonts w:ascii="Times New Roman"/>
                <w:sz w:val="16"/>
              </w:rPr>
            </w:pPr>
          </w:p>
        </w:tc>
        <w:tc>
          <w:tcPr>
            <w:tcW w:w="3078" w:type="dxa"/>
          </w:tcPr>
          <w:p w14:paraId="5F739B40" w14:textId="77777777" w:rsidR="00084F36" w:rsidRPr="00EB2BD8" w:rsidRDefault="00EB2BD8">
            <w:pPr>
              <w:pStyle w:val="TableParagraph"/>
              <w:spacing w:before="19"/>
              <w:ind w:left="112"/>
              <w:rPr>
                <w:sz w:val="16"/>
              </w:rPr>
            </w:pPr>
            <w:r w:rsidRPr="00EB2BD8">
              <w:rPr>
                <w:sz w:val="16"/>
              </w:rPr>
              <w:t>other</w:t>
            </w:r>
            <w:r w:rsidRPr="00EB2BD8">
              <w:rPr>
                <w:spacing w:val="-9"/>
                <w:sz w:val="16"/>
              </w:rPr>
              <w:t xml:space="preserve"> </w:t>
            </w:r>
            <w:r w:rsidRPr="00EB2BD8">
              <w:rPr>
                <w:sz w:val="16"/>
              </w:rPr>
              <w:t>allegations</w:t>
            </w:r>
            <w:r w:rsidRPr="00EB2BD8">
              <w:rPr>
                <w:spacing w:val="-9"/>
                <w:sz w:val="16"/>
              </w:rPr>
              <w:t xml:space="preserve"> </w:t>
            </w:r>
            <w:r w:rsidRPr="00EB2BD8">
              <w:rPr>
                <w:sz w:val="16"/>
              </w:rPr>
              <w:t>at</w:t>
            </w:r>
            <w:r w:rsidRPr="00EB2BD8">
              <w:rPr>
                <w:spacing w:val="-8"/>
                <w:sz w:val="16"/>
              </w:rPr>
              <w:t xml:space="preserve"> </w:t>
            </w:r>
            <w:r w:rsidRPr="00EB2BD8">
              <w:rPr>
                <w:sz w:val="16"/>
              </w:rPr>
              <w:t>an</w:t>
            </w:r>
            <w:r w:rsidRPr="00EB2BD8">
              <w:rPr>
                <w:spacing w:val="-9"/>
                <w:sz w:val="16"/>
              </w:rPr>
              <w:t xml:space="preserve"> </w:t>
            </w:r>
            <w:r w:rsidRPr="00EB2BD8">
              <w:rPr>
                <w:sz w:val="16"/>
              </w:rPr>
              <w:t>inquiry</w:t>
            </w:r>
            <w:r w:rsidRPr="00EB2BD8">
              <w:rPr>
                <w:spacing w:val="-9"/>
                <w:sz w:val="16"/>
              </w:rPr>
              <w:t xml:space="preserve"> </w:t>
            </w:r>
            <w:r w:rsidRPr="00EB2BD8">
              <w:rPr>
                <w:spacing w:val="-4"/>
                <w:sz w:val="16"/>
              </w:rPr>
              <w:t>held</w:t>
            </w:r>
          </w:p>
        </w:tc>
        <w:tc>
          <w:tcPr>
            <w:tcW w:w="1081" w:type="dxa"/>
          </w:tcPr>
          <w:p w14:paraId="7117DFEE" w14:textId="77777777" w:rsidR="00084F36" w:rsidRPr="00EB2BD8" w:rsidRDefault="00084F36">
            <w:pPr>
              <w:pStyle w:val="TableParagraph"/>
              <w:rPr>
                <w:rFonts w:ascii="Times New Roman"/>
                <w:sz w:val="16"/>
              </w:rPr>
            </w:pPr>
          </w:p>
        </w:tc>
        <w:tc>
          <w:tcPr>
            <w:tcW w:w="1177" w:type="dxa"/>
          </w:tcPr>
          <w:p w14:paraId="3BF6AD10" w14:textId="77777777" w:rsidR="00084F36" w:rsidRPr="00EB2BD8" w:rsidRDefault="00084F36">
            <w:pPr>
              <w:pStyle w:val="TableParagraph"/>
              <w:rPr>
                <w:rFonts w:ascii="Times New Roman"/>
                <w:sz w:val="16"/>
              </w:rPr>
            </w:pPr>
          </w:p>
        </w:tc>
      </w:tr>
      <w:tr w:rsidR="00EB2BD8" w:rsidRPr="00EB2BD8" w14:paraId="158FCA8E" w14:textId="77777777">
        <w:trPr>
          <w:trHeight w:val="288"/>
        </w:trPr>
        <w:tc>
          <w:tcPr>
            <w:tcW w:w="1711" w:type="dxa"/>
            <w:tcBorders>
              <w:bottom w:val="single" w:sz="2" w:space="0" w:color="000000"/>
            </w:tcBorders>
          </w:tcPr>
          <w:p w14:paraId="7A5EFA18" w14:textId="77777777" w:rsidR="00084F36" w:rsidRPr="00EB2BD8" w:rsidRDefault="00084F36">
            <w:pPr>
              <w:pStyle w:val="TableParagraph"/>
              <w:rPr>
                <w:rFonts w:ascii="Times New Roman"/>
                <w:sz w:val="16"/>
              </w:rPr>
            </w:pPr>
          </w:p>
        </w:tc>
        <w:tc>
          <w:tcPr>
            <w:tcW w:w="3165" w:type="dxa"/>
            <w:tcBorders>
              <w:bottom w:val="single" w:sz="2" w:space="0" w:color="000000"/>
            </w:tcBorders>
          </w:tcPr>
          <w:p w14:paraId="28AD5831" w14:textId="77777777" w:rsidR="00084F36" w:rsidRPr="00EB2BD8" w:rsidRDefault="00084F36">
            <w:pPr>
              <w:pStyle w:val="TableParagraph"/>
              <w:rPr>
                <w:rFonts w:ascii="Times New Roman"/>
                <w:sz w:val="16"/>
              </w:rPr>
            </w:pPr>
          </w:p>
        </w:tc>
        <w:tc>
          <w:tcPr>
            <w:tcW w:w="3078" w:type="dxa"/>
            <w:tcBorders>
              <w:bottom w:val="single" w:sz="2" w:space="0" w:color="000000"/>
            </w:tcBorders>
          </w:tcPr>
          <w:p w14:paraId="1D1D1D5B" w14:textId="77777777" w:rsidR="00084F36" w:rsidRPr="00EB2BD8" w:rsidRDefault="00EB2BD8">
            <w:pPr>
              <w:pStyle w:val="TableParagraph"/>
              <w:spacing w:before="19"/>
              <w:ind w:left="112"/>
              <w:rPr>
                <w:sz w:val="16"/>
              </w:rPr>
            </w:pPr>
            <w:r w:rsidRPr="00EB2BD8">
              <w:rPr>
                <w:sz w:val="16"/>
              </w:rPr>
              <w:t>during</w:t>
            </w:r>
            <w:r w:rsidRPr="00EB2BD8">
              <w:rPr>
                <w:spacing w:val="-9"/>
                <w:sz w:val="16"/>
              </w:rPr>
              <w:t xml:space="preserve"> </w:t>
            </w:r>
            <w:r w:rsidRPr="00EB2BD8">
              <w:rPr>
                <w:sz w:val="16"/>
              </w:rPr>
              <w:t>that</w:t>
            </w:r>
            <w:r w:rsidRPr="00EB2BD8">
              <w:rPr>
                <w:spacing w:val="-8"/>
                <w:sz w:val="16"/>
              </w:rPr>
              <w:t xml:space="preserve"> </w:t>
            </w:r>
            <w:r w:rsidRPr="00EB2BD8">
              <w:rPr>
                <w:spacing w:val="-2"/>
                <w:sz w:val="16"/>
              </w:rPr>
              <w:t>time.</w:t>
            </w:r>
          </w:p>
        </w:tc>
        <w:tc>
          <w:tcPr>
            <w:tcW w:w="1081" w:type="dxa"/>
            <w:tcBorders>
              <w:bottom w:val="single" w:sz="2" w:space="0" w:color="000000"/>
            </w:tcBorders>
          </w:tcPr>
          <w:p w14:paraId="00FBDF77" w14:textId="77777777" w:rsidR="00084F36" w:rsidRPr="00EB2BD8" w:rsidRDefault="00084F36">
            <w:pPr>
              <w:pStyle w:val="TableParagraph"/>
              <w:rPr>
                <w:rFonts w:ascii="Times New Roman"/>
                <w:sz w:val="16"/>
              </w:rPr>
            </w:pPr>
          </w:p>
        </w:tc>
        <w:tc>
          <w:tcPr>
            <w:tcW w:w="1177" w:type="dxa"/>
            <w:tcBorders>
              <w:bottom w:val="single" w:sz="2" w:space="0" w:color="000000"/>
            </w:tcBorders>
          </w:tcPr>
          <w:p w14:paraId="59B87C92" w14:textId="77777777" w:rsidR="00084F36" w:rsidRPr="00EB2BD8" w:rsidRDefault="00084F36">
            <w:pPr>
              <w:pStyle w:val="TableParagraph"/>
              <w:rPr>
                <w:rFonts w:ascii="Times New Roman"/>
                <w:sz w:val="16"/>
              </w:rPr>
            </w:pPr>
          </w:p>
        </w:tc>
      </w:tr>
      <w:tr w:rsidR="00EB2BD8" w:rsidRPr="00EB2BD8" w14:paraId="0B70087A" w14:textId="77777777">
        <w:trPr>
          <w:trHeight w:val="322"/>
        </w:trPr>
        <w:tc>
          <w:tcPr>
            <w:tcW w:w="1711" w:type="dxa"/>
            <w:tcBorders>
              <w:top w:val="single" w:sz="2" w:space="0" w:color="000000"/>
            </w:tcBorders>
          </w:tcPr>
          <w:p w14:paraId="485A5C89" w14:textId="77777777" w:rsidR="00084F36" w:rsidRPr="00EB2BD8" w:rsidRDefault="00EB2BD8">
            <w:pPr>
              <w:pStyle w:val="TableParagraph"/>
              <w:spacing w:before="112"/>
              <w:ind w:left="112"/>
              <w:rPr>
                <w:sz w:val="16"/>
              </w:rPr>
            </w:pPr>
            <w:r w:rsidRPr="00EB2BD8">
              <w:rPr>
                <w:spacing w:val="-5"/>
                <w:sz w:val="16"/>
              </w:rPr>
              <w:t>PATEN,</w:t>
            </w:r>
            <w:r w:rsidRPr="00EB2BD8">
              <w:rPr>
                <w:spacing w:val="-7"/>
                <w:sz w:val="16"/>
              </w:rPr>
              <w:t xml:space="preserve"> </w:t>
            </w:r>
            <w:r w:rsidRPr="00EB2BD8">
              <w:rPr>
                <w:spacing w:val="-2"/>
                <w:w w:val="110"/>
                <w:sz w:val="16"/>
              </w:rPr>
              <w:t>Jarred</w:t>
            </w:r>
          </w:p>
        </w:tc>
        <w:tc>
          <w:tcPr>
            <w:tcW w:w="3165" w:type="dxa"/>
            <w:tcBorders>
              <w:top w:val="single" w:sz="2" w:space="0" w:color="000000"/>
            </w:tcBorders>
          </w:tcPr>
          <w:p w14:paraId="4D9CE164" w14:textId="77777777" w:rsidR="00084F36" w:rsidRPr="00EB2BD8" w:rsidRDefault="00EB2BD8">
            <w:pPr>
              <w:pStyle w:val="TableParagraph"/>
              <w:spacing w:before="112"/>
              <w:ind w:left="158"/>
              <w:rPr>
                <w:sz w:val="16"/>
              </w:rPr>
            </w:pPr>
            <w:r w:rsidRPr="00EB2BD8">
              <w:rPr>
                <w:sz w:val="16"/>
              </w:rPr>
              <w:t>Practitioner</w:t>
            </w:r>
            <w:r w:rsidRPr="00EB2BD8">
              <w:rPr>
                <w:spacing w:val="-4"/>
                <w:sz w:val="16"/>
              </w:rPr>
              <w:t xml:space="preserve"> </w:t>
            </w:r>
            <w:r w:rsidRPr="00EB2BD8">
              <w:rPr>
                <w:sz w:val="16"/>
              </w:rPr>
              <w:t>carried</w:t>
            </w:r>
            <w:r w:rsidRPr="00EB2BD8">
              <w:rPr>
                <w:spacing w:val="-3"/>
                <w:sz w:val="16"/>
              </w:rPr>
              <w:t xml:space="preserve"> </w:t>
            </w:r>
            <w:r w:rsidRPr="00EB2BD8">
              <w:rPr>
                <w:sz w:val="16"/>
              </w:rPr>
              <w:t>out</w:t>
            </w:r>
            <w:r w:rsidRPr="00EB2BD8">
              <w:rPr>
                <w:spacing w:val="-3"/>
                <w:sz w:val="16"/>
              </w:rPr>
              <w:t xml:space="preserve"> </w:t>
            </w:r>
            <w:r w:rsidRPr="00EB2BD8">
              <w:rPr>
                <w:spacing w:val="-4"/>
                <w:sz w:val="16"/>
              </w:rPr>
              <w:t>work</w:t>
            </w:r>
          </w:p>
        </w:tc>
        <w:tc>
          <w:tcPr>
            <w:tcW w:w="3078" w:type="dxa"/>
            <w:tcBorders>
              <w:top w:val="single" w:sz="2" w:space="0" w:color="000000"/>
            </w:tcBorders>
          </w:tcPr>
          <w:p w14:paraId="167F8934" w14:textId="77777777" w:rsidR="00084F36" w:rsidRPr="00EB2BD8" w:rsidRDefault="00EB2BD8">
            <w:pPr>
              <w:pStyle w:val="TableParagraph"/>
              <w:spacing w:before="112"/>
              <w:ind w:left="111"/>
              <w:rPr>
                <w:sz w:val="16"/>
              </w:rPr>
            </w:pPr>
            <w:r w:rsidRPr="00EB2BD8">
              <w:rPr>
                <w:spacing w:val="-2"/>
                <w:sz w:val="16"/>
              </w:rPr>
              <w:t>Two</w:t>
            </w:r>
            <w:r w:rsidRPr="00EB2BD8">
              <w:rPr>
                <w:spacing w:val="-7"/>
                <w:sz w:val="16"/>
              </w:rPr>
              <w:t xml:space="preserve"> </w:t>
            </w:r>
            <w:r w:rsidRPr="00EB2BD8">
              <w:rPr>
                <w:spacing w:val="-2"/>
                <w:sz w:val="16"/>
              </w:rPr>
              <w:t>grounds</w:t>
            </w:r>
            <w:r w:rsidRPr="00EB2BD8">
              <w:rPr>
                <w:spacing w:val="-6"/>
                <w:sz w:val="16"/>
              </w:rPr>
              <w:t xml:space="preserve"> </w:t>
            </w:r>
            <w:r w:rsidRPr="00EB2BD8">
              <w:rPr>
                <w:spacing w:val="-2"/>
                <w:sz w:val="16"/>
              </w:rPr>
              <w:t>proven.</w:t>
            </w:r>
            <w:r w:rsidRPr="00EB2BD8">
              <w:rPr>
                <w:spacing w:val="-6"/>
                <w:sz w:val="16"/>
              </w:rPr>
              <w:t xml:space="preserve"> </w:t>
            </w:r>
            <w:r w:rsidRPr="00EB2BD8">
              <w:rPr>
                <w:spacing w:val="-2"/>
                <w:sz w:val="16"/>
              </w:rPr>
              <w:t>Pay</w:t>
            </w:r>
            <w:r w:rsidRPr="00EB2BD8">
              <w:rPr>
                <w:spacing w:val="-7"/>
                <w:sz w:val="16"/>
              </w:rPr>
              <w:t xml:space="preserve"> </w:t>
            </w:r>
            <w:r w:rsidRPr="00EB2BD8">
              <w:rPr>
                <w:spacing w:val="-2"/>
                <w:sz w:val="16"/>
              </w:rPr>
              <w:t>costs</w:t>
            </w:r>
          </w:p>
        </w:tc>
        <w:tc>
          <w:tcPr>
            <w:tcW w:w="1081" w:type="dxa"/>
            <w:tcBorders>
              <w:top w:val="single" w:sz="2" w:space="0" w:color="000000"/>
            </w:tcBorders>
          </w:tcPr>
          <w:p w14:paraId="35BF5B7F" w14:textId="77777777" w:rsidR="00084F36" w:rsidRPr="00EB2BD8" w:rsidRDefault="00EB2BD8">
            <w:pPr>
              <w:pStyle w:val="TableParagraph"/>
              <w:spacing w:before="111"/>
              <w:ind w:right="114"/>
              <w:jc w:val="right"/>
              <w:rPr>
                <w:sz w:val="16"/>
              </w:rPr>
            </w:pPr>
            <w:r w:rsidRPr="00EB2BD8">
              <w:rPr>
                <w:w w:val="135"/>
                <w:sz w:val="16"/>
              </w:rPr>
              <w:t>-</w:t>
            </w:r>
          </w:p>
        </w:tc>
        <w:tc>
          <w:tcPr>
            <w:tcW w:w="1177" w:type="dxa"/>
            <w:tcBorders>
              <w:top w:val="single" w:sz="2" w:space="0" w:color="000000"/>
            </w:tcBorders>
          </w:tcPr>
          <w:p w14:paraId="0925D52E" w14:textId="77777777" w:rsidR="00084F36" w:rsidRPr="00EB2BD8" w:rsidRDefault="00EB2BD8">
            <w:pPr>
              <w:pStyle w:val="TableParagraph"/>
              <w:spacing w:before="111"/>
              <w:ind w:left="110"/>
              <w:rPr>
                <w:sz w:val="16"/>
              </w:rPr>
            </w:pPr>
            <w:r w:rsidRPr="00EB2BD8">
              <w:rPr>
                <w:spacing w:val="-2"/>
                <w:w w:val="90"/>
                <w:sz w:val="16"/>
              </w:rPr>
              <w:t>06/12/2022</w:t>
            </w:r>
          </w:p>
        </w:tc>
      </w:tr>
      <w:tr w:rsidR="00EB2BD8" w:rsidRPr="00EB2BD8" w14:paraId="0EB27D72" w14:textId="77777777">
        <w:trPr>
          <w:trHeight w:val="229"/>
        </w:trPr>
        <w:tc>
          <w:tcPr>
            <w:tcW w:w="1711" w:type="dxa"/>
          </w:tcPr>
          <w:p w14:paraId="6401DDBA" w14:textId="77777777" w:rsidR="00084F36" w:rsidRPr="00EB2BD8" w:rsidRDefault="00084F36">
            <w:pPr>
              <w:pStyle w:val="TableParagraph"/>
              <w:rPr>
                <w:rFonts w:ascii="Times New Roman"/>
                <w:sz w:val="16"/>
              </w:rPr>
            </w:pPr>
          </w:p>
        </w:tc>
        <w:tc>
          <w:tcPr>
            <w:tcW w:w="3165" w:type="dxa"/>
          </w:tcPr>
          <w:p w14:paraId="36A40542" w14:textId="77777777" w:rsidR="00084F36" w:rsidRPr="00EB2BD8" w:rsidRDefault="00EB2BD8">
            <w:pPr>
              <w:pStyle w:val="TableParagraph"/>
              <w:spacing w:before="19"/>
              <w:ind w:left="158"/>
              <w:rPr>
                <w:sz w:val="16"/>
              </w:rPr>
            </w:pPr>
            <w:r w:rsidRPr="00EB2BD8">
              <w:rPr>
                <w:sz w:val="16"/>
              </w:rPr>
              <w:t>otherwise</w:t>
            </w:r>
            <w:r w:rsidRPr="00EB2BD8">
              <w:rPr>
                <w:spacing w:val="-10"/>
                <w:sz w:val="16"/>
              </w:rPr>
              <w:t xml:space="preserve"> </w:t>
            </w:r>
            <w:r w:rsidRPr="00EB2BD8">
              <w:rPr>
                <w:sz w:val="16"/>
              </w:rPr>
              <w:t>than</w:t>
            </w:r>
            <w:r w:rsidRPr="00EB2BD8">
              <w:rPr>
                <w:spacing w:val="-9"/>
                <w:sz w:val="16"/>
              </w:rPr>
              <w:t xml:space="preserve"> </w:t>
            </w:r>
            <w:r w:rsidRPr="00EB2BD8">
              <w:rPr>
                <w:sz w:val="16"/>
              </w:rPr>
              <w:t>in</w:t>
            </w:r>
            <w:r w:rsidRPr="00EB2BD8">
              <w:rPr>
                <w:spacing w:val="-10"/>
                <w:sz w:val="16"/>
              </w:rPr>
              <w:t xml:space="preserve"> </w:t>
            </w:r>
            <w:r w:rsidRPr="00EB2BD8">
              <w:rPr>
                <w:sz w:val="16"/>
              </w:rPr>
              <w:t>a</w:t>
            </w:r>
            <w:r w:rsidRPr="00EB2BD8">
              <w:rPr>
                <w:spacing w:val="-9"/>
                <w:sz w:val="16"/>
              </w:rPr>
              <w:t xml:space="preserve"> </w:t>
            </w:r>
            <w:r w:rsidRPr="00EB2BD8">
              <w:rPr>
                <w:sz w:val="16"/>
              </w:rPr>
              <w:t>good</w:t>
            </w:r>
            <w:r w:rsidRPr="00EB2BD8">
              <w:rPr>
                <w:spacing w:val="-10"/>
                <w:sz w:val="16"/>
              </w:rPr>
              <w:t xml:space="preserve"> </w:t>
            </w:r>
            <w:r w:rsidRPr="00EB2BD8">
              <w:rPr>
                <w:spacing w:val="-5"/>
                <w:sz w:val="16"/>
              </w:rPr>
              <w:t>and</w:t>
            </w:r>
          </w:p>
        </w:tc>
        <w:tc>
          <w:tcPr>
            <w:tcW w:w="3078" w:type="dxa"/>
          </w:tcPr>
          <w:p w14:paraId="4D6A82E7" w14:textId="77777777" w:rsidR="00084F36" w:rsidRPr="00EB2BD8" w:rsidRDefault="00EB2BD8">
            <w:pPr>
              <w:pStyle w:val="TableParagraph"/>
              <w:spacing w:before="19"/>
              <w:ind w:left="111"/>
              <w:rPr>
                <w:sz w:val="16"/>
              </w:rPr>
            </w:pPr>
            <w:r w:rsidRPr="00EB2BD8">
              <w:rPr>
                <w:w w:val="90"/>
                <w:sz w:val="16"/>
              </w:rPr>
              <w:t>of</w:t>
            </w:r>
            <w:r w:rsidRPr="00EB2BD8">
              <w:rPr>
                <w:spacing w:val="-4"/>
                <w:sz w:val="16"/>
              </w:rPr>
              <w:t xml:space="preserve"> </w:t>
            </w:r>
            <w:r w:rsidRPr="00EB2BD8">
              <w:rPr>
                <w:w w:val="90"/>
                <w:sz w:val="16"/>
              </w:rPr>
              <w:t>$2,150.</w:t>
            </w:r>
            <w:r w:rsidRPr="00EB2BD8">
              <w:rPr>
                <w:spacing w:val="-4"/>
                <w:sz w:val="16"/>
              </w:rPr>
              <w:t xml:space="preserve"> </w:t>
            </w:r>
            <w:r w:rsidRPr="00EB2BD8">
              <w:rPr>
                <w:w w:val="90"/>
                <w:sz w:val="16"/>
              </w:rPr>
              <w:t>Suspension</w:t>
            </w:r>
            <w:r w:rsidRPr="00EB2BD8">
              <w:rPr>
                <w:spacing w:val="-4"/>
                <w:sz w:val="16"/>
              </w:rPr>
              <w:t xml:space="preserve"> </w:t>
            </w:r>
            <w:r w:rsidRPr="00EB2BD8">
              <w:rPr>
                <w:w w:val="90"/>
                <w:sz w:val="16"/>
              </w:rPr>
              <w:t>of</w:t>
            </w:r>
            <w:r w:rsidRPr="00EB2BD8">
              <w:rPr>
                <w:spacing w:val="-4"/>
                <w:sz w:val="16"/>
              </w:rPr>
              <w:t xml:space="preserve"> </w:t>
            </w:r>
            <w:r w:rsidRPr="00EB2BD8">
              <w:rPr>
                <w:spacing w:val="-5"/>
                <w:w w:val="90"/>
                <w:sz w:val="16"/>
              </w:rPr>
              <w:t>the</w:t>
            </w:r>
          </w:p>
        </w:tc>
        <w:tc>
          <w:tcPr>
            <w:tcW w:w="1081" w:type="dxa"/>
          </w:tcPr>
          <w:p w14:paraId="0A2CAE2A" w14:textId="77777777" w:rsidR="00084F36" w:rsidRPr="00EB2BD8" w:rsidRDefault="00084F36">
            <w:pPr>
              <w:pStyle w:val="TableParagraph"/>
              <w:rPr>
                <w:rFonts w:ascii="Times New Roman"/>
                <w:sz w:val="16"/>
              </w:rPr>
            </w:pPr>
          </w:p>
        </w:tc>
        <w:tc>
          <w:tcPr>
            <w:tcW w:w="1177" w:type="dxa"/>
          </w:tcPr>
          <w:p w14:paraId="6F22375A" w14:textId="77777777" w:rsidR="00084F36" w:rsidRPr="00EB2BD8" w:rsidRDefault="00084F36">
            <w:pPr>
              <w:pStyle w:val="TableParagraph"/>
              <w:rPr>
                <w:rFonts w:ascii="Times New Roman"/>
                <w:sz w:val="16"/>
              </w:rPr>
            </w:pPr>
          </w:p>
        </w:tc>
      </w:tr>
      <w:tr w:rsidR="00EB2BD8" w:rsidRPr="00EB2BD8" w14:paraId="79D5D5EE" w14:textId="77777777">
        <w:trPr>
          <w:trHeight w:val="229"/>
        </w:trPr>
        <w:tc>
          <w:tcPr>
            <w:tcW w:w="1711" w:type="dxa"/>
          </w:tcPr>
          <w:p w14:paraId="70833ABB" w14:textId="77777777" w:rsidR="00084F36" w:rsidRPr="00EB2BD8" w:rsidRDefault="00084F36">
            <w:pPr>
              <w:pStyle w:val="TableParagraph"/>
              <w:rPr>
                <w:rFonts w:ascii="Times New Roman"/>
                <w:sz w:val="16"/>
              </w:rPr>
            </w:pPr>
          </w:p>
        </w:tc>
        <w:tc>
          <w:tcPr>
            <w:tcW w:w="3165" w:type="dxa"/>
          </w:tcPr>
          <w:p w14:paraId="7570FA3D" w14:textId="77777777" w:rsidR="00084F36" w:rsidRPr="00EB2BD8" w:rsidRDefault="00EB2BD8">
            <w:pPr>
              <w:pStyle w:val="TableParagraph"/>
              <w:spacing w:before="19"/>
              <w:ind w:left="158"/>
              <w:rPr>
                <w:sz w:val="16"/>
              </w:rPr>
            </w:pPr>
            <w:r w:rsidRPr="00EB2BD8">
              <w:rPr>
                <w:spacing w:val="-2"/>
                <w:sz w:val="16"/>
              </w:rPr>
              <w:t>workmanlike</w:t>
            </w:r>
            <w:r w:rsidRPr="00EB2BD8">
              <w:rPr>
                <w:spacing w:val="-7"/>
                <w:sz w:val="16"/>
              </w:rPr>
              <w:t xml:space="preserve"> </w:t>
            </w:r>
            <w:r w:rsidRPr="00EB2BD8">
              <w:rPr>
                <w:spacing w:val="-2"/>
                <w:sz w:val="16"/>
              </w:rPr>
              <w:t>matter</w:t>
            </w:r>
            <w:r w:rsidRPr="00EB2BD8">
              <w:rPr>
                <w:spacing w:val="-6"/>
                <w:sz w:val="16"/>
              </w:rPr>
              <w:t xml:space="preserve"> </w:t>
            </w:r>
            <w:r w:rsidRPr="00EB2BD8">
              <w:rPr>
                <w:spacing w:val="-2"/>
                <w:sz w:val="16"/>
              </w:rPr>
              <w:t>in</w:t>
            </w:r>
            <w:r w:rsidRPr="00EB2BD8">
              <w:rPr>
                <w:spacing w:val="-6"/>
                <w:sz w:val="16"/>
              </w:rPr>
              <w:t xml:space="preserve"> </w:t>
            </w:r>
            <w:r w:rsidRPr="00EB2BD8">
              <w:rPr>
                <w:spacing w:val="-2"/>
                <w:sz w:val="16"/>
              </w:rPr>
              <w:t>relation</w:t>
            </w:r>
            <w:r w:rsidRPr="00EB2BD8">
              <w:rPr>
                <w:spacing w:val="-6"/>
                <w:sz w:val="16"/>
              </w:rPr>
              <w:t xml:space="preserve"> </w:t>
            </w:r>
            <w:r w:rsidRPr="00EB2BD8">
              <w:rPr>
                <w:spacing w:val="-2"/>
                <w:sz w:val="16"/>
              </w:rPr>
              <w:t>to</w:t>
            </w:r>
            <w:r w:rsidRPr="00EB2BD8">
              <w:rPr>
                <w:spacing w:val="-6"/>
                <w:sz w:val="16"/>
              </w:rPr>
              <w:t xml:space="preserve"> </w:t>
            </w:r>
            <w:r w:rsidRPr="00EB2BD8">
              <w:rPr>
                <w:spacing w:val="-5"/>
                <w:sz w:val="16"/>
              </w:rPr>
              <w:t>the</w:t>
            </w:r>
          </w:p>
        </w:tc>
        <w:tc>
          <w:tcPr>
            <w:tcW w:w="3078" w:type="dxa"/>
          </w:tcPr>
          <w:p w14:paraId="0A3CDBFE" w14:textId="77777777" w:rsidR="00084F36" w:rsidRPr="00EB2BD8" w:rsidRDefault="00EB2BD8">
            <w:pPr>
              <w:pStyle w:val="TableParagraph"/>
              <w:spacing w:before="19"/>
              <w:ind w:left="111"/>
              <w:rPr>
                <w:sz w:val="16"/>
              </w:rPr>
            </w:pPr>
            <w:r w:rsidRPr="00EB2BD8">
              <w:rPr>
                <w:spacing w:val="-2"/>
                <w:sz w:val="16"/>
              </w:rPr>
              <w:t>practitioner’s</w:t>
            </w:r>
            <w:r w:rsidRPr="00EB2BD8">
              <w:rPr>
                <w:spacing w:val="-3"/>
                <w:sz w:val="16"/>
              </w:rPr>
              <w:t xml:space="preserve"> </w:t>
            </w:r>
            <w:r w:rsidRPr="00EB2BD8">
              <w:rPr>
                <w:spacing w:val="-2"/>
                <w:sz w:val="16"/>
              </w:rPr>
              <w:t>licence in</w:t>
            </w:r>
            <w:r w:rsidRPr="00EB2BD8">
              <w:rPr>
                <w:spacing w:val="-3"/>
                <w:sz w:val="16"/>
              </w:rPr>
              <w:t xml:space="preserve"> </w:t>
            </w:r>
            <w:r w:rsidRPr="00EB2BD8">
              <w:rPr>
                <w:spacing w:val="-2"/>
                <w:sz w:val="16"/>
              </w:rPr>
              <w:t xml:space="preserve">the </w:t>
            </w:r>
            <w:r w:rsidRPr="00EB2BD8">
              <w:rPr>
                <w:spacing w:val="-4"/>
                <w:sz w:val="16"/>
              </w:rPr>
              <w:t>class</w:t>
            </w:r>
          </w:p>
        </w:tc>
        <w:tc>
          <w:tcPr>
            <w:tcW w:w="1081" w:type="dxa"/>
          </w:tcPr>
          <w:p w14:paraId="5BD04D0E" w14:textId="77777777" w:rsidR="00084F36" w:rsidRPr="00EB2BD8" w:rsidRDefault="00084F36">
            <w:pPr>
              <w:pStyle w:val="TableParagraph"/>
              <w:rPr>
                <w:rFonts w:ascii="Times New Roman"/>
                <w:sz w:val="16"/>
              </w:rPr>
            </w:pPr>
          </w:p>
        </w:tc>
        <w:tc>
          <w:tcPr>
            <w:tcW w:w="1177" w:type="dxa"/>
          </w:tcPr>
          <w:p w14:paraId="6128EB40" w14:textId="77777777" w:rsidR="00084F36" w:rsidRPr="00EB2BD8" w:rsidRDefault="00084F36">
            <w:pPr>
              <w:pStyle w:val="TableParagraph"/>
              <w:rPr>
                <w:rFonts w:ascii="Times New Roman"/>
                <w:sz w:val="16"/>
              </w:rPr>
            </w:pPr>
          </w:p>
        </w:tc>
      </w:tr>
      <w:tr w:rsidR="00EB2BD8" w:rsidRPr="00EB2BD8" w14:paraId="3B0C968A" w14:textId="77777777">
        <w:trPr>
          <w:trHeight w:val="229"/>
        </w:trPr>
        <w:tc>
          <w:tcPr>
            <w:tcW w:w="1711" w:type="dxa"/>
          </w:tcPr>
          <w:p w14:paraId="1B7D09F1" w14:textId="77777777" w:rsidR="00084F36" w:rsidRPr="00EB2BD8" w:rsidRDefault="00084F36">
            <w:pPr>
              <w:pStyle w:val="TableParagraph"/>
              <w:rPr>
                <w:rFonts w:ascii="Times New Roman"/>
                <w:sz w:val="16"/>
              </w:rPr>
            </w:pPr>
          </w:p>
        </w:tc>
        <w:tc>
          <w:tcPr>
            <w:tcW w:w="3165" w:type="dxa"/>
          </w:tcPr>
          <w:p w14:paraId="26F32D68" w14:textId="77777777" w:rsidR="00084F36" w:rsidRPr="00EB2BD8" w:rsidRDefault="00EB2BD8">
            <w:pPr>
              <w:pStyle w:val="TableParagraph"/>
              <w:spacing w:before="19"/>
              <w:ind w:left="158"/>
              <w:rPr>
                <w:sz w:val="16"/>
              </w:rPr>
            </w:pPr>
            <w:r w:rsidRPr="00EB2BD8">
              <w:rPr>
                <w:sz w:val="16"/>
              </w:rPr>
              <w:t>installation</w:t>
            </w:r>
            <w:r w:rsidRPr="00EB2BD8">
              <w:rPr>
                <w:spacing w:val="-8"/>
                <w:sz w:val="16"/>
              </w:rPr>
              <w:t xml:space="preserve"> </w:t>
            </w:r>
            <w:r w:rsidRPr="00EB2BD8">
              <w:rPr>
                <w:sz w:val="16"/>
              </w:rPr>
              <w:t>of</w:t>
            </w:r>
            <w:r w:rsidRPr="00EB2BD8">
              <w:rPr>
                <w:spacing w:val="-8"/>
                <w:sz w:val="16"/>
              </w:rPr>
              <w:t xml:space="preserve"> </w:t>
            </w:r>
            <w:r w:rsidRPr="00EB2BD8">
              <w:rPr>
                <w:sz w:val="16"/>
              </w:rPr>
              <w:t>gas</w:t>
            </w:r>
            <w:r w:rsidRPr="00EB2BD8">
              <w:rPr>
                <w:spacing w:val="-8"/>
                <w:sz w:val="16"/>
              </w:rPr>
              <w:t xml:space="preserve"> </w:t>
            </w:r>
            <w:r w:rsidRPr="00EB2BD8">
              <w:rPr>
                <w:sz w:val="16"/>
              </w:rPr>
              <w:t>heaters</w:t>
            </w:r>
            <w:r w:rsidRPr="00EB2BD8">
              <w:rPr>
                <w:spacing w:val="-8"/>
                <w:sz w:val="16"/>
              </w:rPr>
              <w:t xml:space="preserve"> </w:t>
            </w:r>
            <w:r w:rsidRPr="00EB2BD8">
              <w:rPr>
                <w:sz w:val="16"/>
              </w:rPr>
              <w:t>and</w:t>
            </w:r>
            <w:r w:rsidRPr="00EB2BD8">
              <w:rPr>
                <w:spacing w:val="-7"/>
                <w:sz w:val="16"/>
              </w:rPr>
              <w:t xml:space="preserve"> </w:t>
            </w:r>
            <w:r w:rsidRPr="00EB2BD8">
              <w:rPr>
                <w:spacing w:val="-2"/>
                <w:sz w:val="16"/>
              </w:rPr>
              <w:t>flues</w:t>
            </w:r>
          </w:p>
        </w:tc>
        <w:tc>
          <w:tcPr>
            <w:tcW w:w="3078" w:type="dxa"/>
          </w:tcPr>
          <w:p w14:paraId="5A21B3DD" w14:textId="77777777" w:rsidR="00084F36" w:rsidRPr="00EB2BD8" w:rsidRDefault="00EB2BD8">
            <w:pPr>
              <w:pStyle w:val="TableParagraph"/>
              <w:spacing w:before="19"/>
              <w:ind w:left="111"/>
              <w:rPr>
                <w:sz w:val="16"/>
              </w:rPr>
            </w:pPr>
            <w:r w:rsidRPr="00EB2BD8">
              <w:rPr>
                <w:spacing w:val="-2"/>
                <w:sz w:val="16"/>
              </w:rPr>
              <w:t>of</w:t>
            </w:r>
            <w:r w:rsidRPr="00EB2BD8">
              <w:rPr>
                <w:spacing w:val="-7"/>
                <w:sz w:val="16"/>
              </w:rPr>
              <w:t xml:space="preserve"> </w:t>
            </w:r>
            <w:r w:rsidRPr="00EB2BD8">
              <w:rPr>
                <w:spacing w:val="-2"/>
                <w:sz w:val="16"/>
              </w:rPr>
              <w:t>gas</w:t>
            </w:r>
            <w:r w:rsidRPr="00EB2BD8">
              <w:rPr>
                <w:spacing w:val="-6"/>
                <w:sz w:val="16"/>
              </w:rPr>
              <w:t xml:space="preserve"> </w:t>
            </w:r>
            <w:r w:rsidRPr="00EB2BD8">
              <w:rPr>
                <w:spacing w:val="-2"/>
                <w:sz w:val="16"/>
              </w:rPr>
              <w:t>fitting</w:t>
            </w:r>
            <w:r w:rsidRPr="00EB2BD8">
              <w:rPr>
                <w:spacing w:val="-6"/>
                <w:sz w:val="16"/>
              </w:rPr>
              <w:t xml:space="preserve"> </w:t>
            </w:r>
            <w:r w:rsidRPr="00EB2BD8">
              <w:rPr>
                <w:spacing w:val="-2"/>
                <w:sz w:val="16"/>
              </w:rPr>
              <w:t>(including</w:t>
            </w:r>
            <w:r w:rsidRPr="00EB2BD8">
              <w:rPr>
                <w:spacing w:val="-6"/>
                <w:sz w:val="16"/>
              </w:rPr>
              <w:t xml:space="preserve"> </w:t>
            </w:r>
            <w:r w:rsidRPr="00EB2BD8">
              <w:rPr>
                <w:spacing w:val="-5"/>
                <w:sz w:val="16"/>
              </w:rPr>
              <w:t>any</w:t>
            </w:r>
          </w:p>
        </w:tc>
        <w:tc>
          <w:tcPr>
            <w:tcW w:w="1081" w:type="dxa"/>
          </w:tcPr>
          <w:p w14:paraId="59FE1141" w14:textId="77777777" w:rsidR="00084F36" w:rsidRPr="00EB2BD8" w:rsidRDefault="00084F36">
            <w:pPr>
              <w:pStyle w:val="TableParagraph"/>
              <w:rPr>
                <w:rFonts w:ascii="Times New Roman"/>
                <w:sz w:val="16"/>
              </w:rPr>
            </w:pPr>
          </w:p>
        </w:tc>
        <w:tc>
          <w:tcPr>
            <w:tcW w:w="1177" w:type="dxa"/>
          </w:tcPr>
          <w:p w14:paraId="02E8E101" w14:textId="77777777" w:rsidR="00084F36" w:rsidRPr="00EB2BD8" w:rsidRDefault="00084F36">
            <w:pPr>
              <w:pStyle w:val="TableParagraph"/>
              <w:rPr>
                <w:rFonts w:ascii="Times New Roman"/>
                <w:sz w:val="16"/>
              </w:rPr>
            </w:pPr>
          </w:p>
        </w:tc>
      </w:tr>
      <w:tr w:rsidR="00EB2BD8" w:rsidRPr="00EB2BD8" w14:paraId="66513133" w14:textId="77777777">
        <w:trPr>
          <w:trHeight w:val="229"/>
        </w:trPr>
        <w:tc>
          <w:tcPr>
            <w:tcW w:w="1711" w:type="dxa"/>
          </w:tcPr>
          <w:p w14:paraId="6CF8084B" w14:textId="77777777" w:rsidR="00084F36" w:rsidRPr="00EB2BD8" w:rsidRDefault="00084F36">
            <w:pPr>
              <w:pStyle w:val="TableParagraph"/>
              <w:rPr>
                <w:rFonts w:ascii="Times New Roman"/>
                <w:sz w:val="16"/>
              </w:rPr>
            </w:pPr>
          </w:p>
        </w:tc>
        <w:tc>
          <w:tcPr>
            <w:tcW w:w="3165" w:type="dxa"/>
          </w:tcPr>
          <w:p w14:paraId="02632620" w14:textId="77777777" w:rsidR="00084F36" w:rsidRPr="00EB2BD8" w:rsidRDefault="00EB2BD8">
            <w:pPr>
              <w:pStyle w:val="TableParagraph"/>
              <w:spacing w:before="19"/>
              <w:ind w:left="158"/>
              <w:rPr>
                <w:sz w:val="16"/>
              </w:rPr>
            </w:pPr>
            <w:r w:rsidRPr="00EB2BD8">
              <w:rPr>
                <w:sz w:val="16"/>
              </w:rPr>
              <w:t>at</w:t>
            </w:r>
            <w:r w:rsidRPr="00EB2BD8">
              <w:rPr>
                <w:spacing w:val="-10"/>
                <w:sz w:val="16"/>
              </w:rPr>
              <w:t xml:space="preserve"> </w:t>
            </w:r>
            <w:r w:rsidRPr="00EB2BD8">
              <w:rPr>
                <w:sz w:val="16"/>
              </w:rPr>
              <w:t>two</w:t>
            </w:r>
            <w:r w:rsidRPr="00EB2BD8">
              <w:rPr>
                <w:spacing w:val="-10"/>
                <w:sz w:val="16"/>
              </w:rPr>
              <w:t xml:space="preserve"> </w:t>
            </w:r>
            <w:r w:rsidRPr="00EB2BD8">
              <w:rPr>
                <w:spacing w:val="-2"/>
                <w:sz w:val="16"/>
              </w:rPr>
              <w:t>properties.</w:t>
            </w:r>
          </w:p>
        </w:tc>
        <w:tc>
          <w:tcPr>
            <w:tcW w:w="3078" w:type="dxa"/>
          </w:tcPr>
          <w:p w14:paraId="30BA5D49" w14:textId="77777777" w:rsidR="00084F36" w:rsidRPr="00EB2BD8" w:rsidRDefault="00EB2BD8">
            <w:pPr>
              <w:pStyle w:val="TableParagraph"/>
              <w:spacing w:before="19"/>
              <w:ind w:left="111"/>
              <w:rPr>
                <w:sz w:val="16"/>
              </w:rPr>
            </w:pPr>
            <w:r w:rsidRPr="00EB2BD8">
              <w:rPr>
                <w:spacing w:val="-2"/>
                <w:sz w:val="16"/>
              </w:rPr>
              <w:t>specialized</w:t>
            </w:r>
            <w:r w:rsidRPr="00EB2BD8">
              <w:rPr>
                <w:spacing w:val="1"/>
                <w:sz w:val="16"/>
              </w:rPr>
              <w:t xml:space="preserve"> </w:t>
            </w:r>
            <w:r w:rsidRPr="00EB2BD8">
              <w:rPr>
                <w:spacing w:val="-2"/>
                <w:sz w:val="16"/>
              </w:rPr>
              <w:t>class</w:t>
            </w:r>
            <w:r w:rsidRPr="00EB2BD8">
              <w:rPr>
                <w:spacing w:val="1"/>
                <w:sz w:val="16"/>
              </w:rPr>
              <w:t xml:space="preserve"> </w:t>
            </w:r>
            <w:r w:rsidRPr="00EB2BD8">
              <w:rPr>
                <w:spacing w:val="-2"/>
                <w:sz w:val="16"/>
              </w:rPr>
              <w:t>or</w:t>
            </w:r>
            <w:r w:rsidRPr="00EB2BD8">
              <w:rPr>
                <w:spacing w:val="1"/>
                <w:sz w:val="16"/>
              </w:rPr>
              <w:t xml:space="preserve"> </w:t>
            </w:r>
            <w:r w:rsidRPr="00EB2BD8">
              <w:rPr>
                <w:spacing w:val="-2"/>
                <w:sz w:val="16"/>
              </w:rPr>
              <w:t>restricted</w:t>
            </w:r>
            <w:r w:rsidRPr="00EB2BD8">
              <w:rPr>
                <w:spacing w:val="2"/>
                <w:sz w:val="16"/>
              </w:rPr>
              <w:t xml:space="preserve"> </w:t>
            </w:r>
            <w:r w:rsidRPr="00EB2BD8">
              <w:rPr>
                <w:spacing w:val="-2"/>
                <w:sz w:val="16"/>
              </w:rPr>
              <w:t>class)</w:t>
            </w:r>
          </w:p>
        </w:tc>
        <w:tc>
          <w:tcPr>
            <w:tcW w:w="1081" w:type="dxa"/>
          </w:tcPr>
          <w:p w14:paraId="7899942F" w14:textId="77777777" w:rsidR="00084F36" w:rsidRPr="00EB2BD8" w:rsidRDefault="00084F36">
            <w:pPr>
              <w:pStyle w:val="TableParagraph"/>
              <w:rPr>
                <w:rFonts w:ascii="Times New Roman"/>
                <w:sz w:val="16"/>
              </w:rPr>
            </w:pPr>
          </w:p>
        </w:tc>
        <w:tc>
          <w:tcPr>
            <w:tcW w:w="1177" w:type="dxa"/>
          </w:tcPr>
          <w:p w14:paraId="36D6B7AD" w14:textId="77777777" w:rsidR="00084F36" w:rsidRPr="00EB2BD8" w:rsidRDefault="00084F36">
            <w:pPr>
              <w:pStyle w:val="TableParagraph"/>
              <w:rPr>
                <w:rFonts w:ascii="Times New Roman"/>
                <w:sz w:val="16"/>
              </w:rPr>
            </w:pPr>
          </w:p>
        </w:tc>
      </w:tr>
      <w:tr w:rsidR="00EB2BD8" w:rsidRPr="00EB2BD8" w14:paraId="49BC5074" w14:textId="77777777">
        <w:trPr>
          <w:trHeight w:val="229"/>
        </w:trPr>
        <w:tc>
          <w:tcPr>
            <w:tcW w:w="1711" w:type="dxa"/>
          </w:tcPr>
          <w:p w14:paraId="53D96B0F" w14:textId="77777777" w:rsidR="00084F36" w:rsidRPr="00EB2BD8" w:rsidRDefault="00084F36">
            <w:pPr>
              <w:pStyle w:val="TableParagraph"/>
              <w:rPr>
                <w:rFonts w:ascii="Times New Roman"/>
                <w:sz w:val="16"/>
              </w:rPr>
            </w:pPr>
          </w:p>
        </w:tc>
        <w:tc>
          <w:tcPr>
            <w:tcW w:w="3165" w:type="dxa"/>
          </w:tcPr>
          <w:p w14:paraId="56ED101D" w14:textId="77777777" w:rsidR="00084F36" w:rsidRPr="00EB2BD8" w:rsidRDefault="00084F36">
            <w:pPr>
              <w:pStyle w:val="TableParagraph"/>
              <w:rPr>
                <w:rFonts w:ascii="Times New Roman"/>
                <w:sz w:val="16"/>
              </w:rPr>
            </w:pPr>
          </w:p>
        </w:tc>
        <w:tc>
          <w:tcPr>
            <w:tcW w:w="3078" w:type="dxa"/>
          </w:tcPr>
          <w:p w14:paraId="5F90176D" w14:textId="77777777" w:rsidR="00084F36" w:rsidRPr="00EB2BD8" w:rsidRDefault="00EB2BD8">
            <w:pPr>
              <w:pStyle w:val="TableParagraph"/>
              <w:spacing w:before="19"/>
              <w:ind w:left="111"/>
              <w:rPr>
                <w:sz w:val="16"/>
              </w:rPr>
            </w:pPr>
            <w:r w:rsidRPr="00EB2BD8">
              <w:rPr>
                <w:spacing w:val="-4"/>
                <w:sz w:val="16"/>
              </w:rPr>
              <w:t>from</w:t>
            </w:r>
            <w:r w:rsidRPr="00EB2BD8">
              <w:rPr>
                <w:spacing w:val="-10"/>
                <w:sz w:val="16"/>
              </w:rPr>
              <w:t xml:space="preserve"> </w:t>
            </w:r>
            <w:r w:rsidRPr="00EB2BD8">
              <w:rPr>
                <w:spacing w:val="-4"/>
                <w:sz w:val="16"/>
              </w:rPr>
              <w:t>6</w:t>
            </w:r>
            <w:r w:rsidRPr="00EB2BD8">
              <w:rPr>
                <w:spacing w:val="-9"/>
                <w:sz w:val="16"/>
              </w:rPr>
              <w:t xml:space="preserve"> </w:t>
            </w:r>
            <w:r w:rsidRPr="00EB2BD8">
              <w:rPr>
                <w:spacing w:val="-4"/>
                <w:sz w:val="16"/>
              </w:rPr>
              <w:t>December</w:t>
            </w:r>
            <w:r w:rsidRPr="00EB2BD8">
              <w:rPr>
                <w:spacing w:val="-9"/>
                <w:sz w:val="16"/>
              </w:rPr>
              <w:t xml:space="preserve"> </w:t>
            </w:r>
            <w:r w:rsidRPr="00EB2BD8">
              <w:rPr>
                <w:spacing w:val="-4"/>
                <w:sz w:val="16"/>
              </w:rPr>
              <w:t>2022</w:t>
            </w:r>
            <w:r w:rsidRPr="00EB2BD8">
              <w:rPr>
                <w:spacing w:val="-9"/>
                <w:sz w:val="16"/>
              </w:rPr>
              <w:t xml:space="preserve"> </w:t>
            </w:r>
            <w:r w:rsidRPr="00EB2BD8">
              <w:rPr>
                <w:spacing w:val="-4"/>
                <w:sz w:val="16"/>
              </w:rPr>
              <w:t>until</w:t>
            </w:r>
            <w:r w:rsidRPr="00EB2BD8">
              <w:rPr>
                <w:spacing w:val="-9"/>
                <w:sz w:val="16"/>
              </w:rPr>
              <w:t xml:space="preserve"> </w:t>
            </w:r>
            <w:r w:rsidRPr="00EB2BD8">
              <w:rPr>
                <w:spacing w:val="-5"/>
                <w:sz w:val="16"/>
              </w:rPr>
              <w:t>two</w:t>
            </w:r>
          </w:p>
        </w:tc>
        <w:tc>
          <w:tcPr>
            <w:tcW w:w="1081" w:type="dxa"/>
          </w:tcPr>
          <w:p w14:paraId="35DFAA35" w14:textId="77777777" w:rsidR="00084F36" w:rsidRPr="00EB2BD8" w:rsidRDefault="00084F36">
            <w:pPr>
              <w:pStyle w:val="TableParagraph"/>
              <w:rPr>
                <w:rFonts w:ascii="Times New Roman"/>
                <w:sz w:val="16"/>
              </w:rPr>
            </w:pPr>
          </w:p>
        </w:tc>
        <w:tc>
          <w:tcPr>
            <w:tcW w:w="1177" w:type="dxa"/>
          </w:tcPr>
          <w:p w14:paraId="60918586" w14:textId="77777777" w:rsidR="00084F36" w:rsidRPr="00EB2BD8" w:rsidRDefault="00084F36">
            <w:pPr>
              <w:pStyle w:val="TableParagraph"/>
              <w:rPr>
                <w:rFonts w:ascii="Times New Roman"/>
                <w:sz w:val="16"/>
              </w:rPr>
            </w:pPr>
          </w:p>
        </w:tc>
      </w:tr>
      <w:tr w:rsidR="00EB2BD8" w:rsidRPr="00EB2BD8" w14:paraId="773BEF23" w14:textId="77777777">
        <w:trPr>
          <w:trHeight w:val="229"/>
        </w:trPr>
        <w:tc>
          <w:tcPr>
            <w:tcW w:w="1711" w:type="dxa"/>
          </w:tcPr>
          <w:p w14:paraId="586745C2" w14:textId="77777777" w:rsidR="00084F36" w:rsidRPr="00EB2BD8" w:rsidRDefault="00084F36">
            <w:pPr>
              <w:pStyle w:val="TableParagraph"/>
              <w:rPr>
                <w:rFonts w:ascii="Times New Roman"/>
                <w:sz w:val="16"/>
              </w:rPr>
            </w:pPr>
          </w:p>
        </w:tc>
        <w:tc>
          <w:tcPr>
            <w:tcW w:w="3165" w:type="dxa"/>
          </w:tcPr>
          <w:p w14:paraId="0CEC1898" w14:textId="77777777" w:rsidR="00084F36" w:rsidRPr="00EB2BD8" w:rsidRDefault="00084F36">
            <w:pPr>
              <w:pStyle w:val="TableParagraph"/>
              <w:rPr>
                <w:rFonts w:ascii="Times New Roman"/>
                <w:sz w:val="16"/>
              </w:rPr>
            </w:pPr>
          </w:p>
        </w:tc>
        <w:tc>
          <w:tcPr>
            <w:tcW w:w="3078" w:type="dxa"/>
          </w:tcPr>
          <w:p w14:paraId="58782F06" w14:textId="77777777" w:rsidR="00084F36" w:rsidRPr="00EB2BD8" w:rsidRDefault="00EB2BD8">
            <w:pPr>
              <w:pStyle w:val="TableParagraph"/>
              <w:spacing w:before="19"/>
              <w:ind w:left="111"/>
              <w:rPr>
                <w:sz w:val="16"/>
              </w:rPr>
            </w:pPr>
            <w:r w:rsidRPr="00EB2BD8">
              <w:rPr>
                <w:sz w:val="16"/>
              </w:rPr>
              <w:t>courses</w:t>
            </w:r>
            <w:r w:rsidRPr="00EB2BD8">
              <w:rPr>
                <w:spacing w:val="-12"/>
                <w:sz w:val="16"/>
              </w:rPr>
              <w:t xml:space="preserve"> </w:t>
            </w:r>
            <w:r w:rsidRPr="00EB2BD8">
              <w:rPr>
                <w:sz w:val="16"/>
              </w:rPr>
              <w:t>are</w:t>
            </w:r>
            <w:r w:rsidRPr="00EB2BD8">
              <w:rPr>
                <w:spacing w:val="-12"/>
                <w:sz w:val="16"/>
              </w:rPr>
              <w:t xml:space="preserve"> </w:t>
            </w:r>
            <w:r w:rsidRPr="00EB2BD8">
              <w:rPr>
                <w:sz w:val="16"/>
              </w:rPr>
              <w:t>successfully</w:t>
            </w:r>
            <w:r w:rsidRPr="00EB2BD8">
              <w:rPr>
                <w:spacing w:val="-11"/>
                <w:sz w:val="16"/>
              </w:rPr>
              <w:t xml:space="preserve"> </w:t>
            </w:r>
            <w:r w:rsidRPr="00EB2BD8">
              <w:rPr>
                <w:spacing w:val="-2"/>
                <w:sz w:val="16"/>
              </w:rPr>
              <w:t>completed:</w:t>
            </w:r>
          </w:p>
        </w:tc>
        <w:tc>
          <w:tcPr>
            <w:tcW w:w="1081" w:type="dxa"/>
          </w:tcPr>
          <w:p w14:paraId="15B0CEAD" w14:textId="77777777" w:rsidR="00084F36" w:rsidRPr="00EB2BD8" w:rsidRDefault="00084F36">
            <w:pPr>
              <w:pStyle w:val="TableParagraph"/>
              <w:rPr>
                <w:rFonts w:ascii="Times New Roman"/>
                <w:sz w:val="16"/>
              </w:rPr>
            </w:pPr>
          </w:p>
        </w:tc>
        <w:tc>
          <w:tcPr>
            <w:tcW w:w="1177" w:type="dxa"/>
          </w:tcPr>
          <w:p w14:paraId="3AF57FFD" w14:textId="77777777" w:rsidR="00084F36" w:rsidRPr="00EB2BD8" w:rsidRDefault="00084F36">
            <w:pPr>
              <w:pStyle w:val="TableParagraph"/>
              <w:rPr>
                <w:rFonts w:ascii="Times New Roman"/>
                <w:sz w:val="16"/>
              </w:rPr>
            </w:pPr>
          </w:p>
        </w:tc>
      </w:tr>
      <w:tr w:rsidR="00084F36" w:rsidRPr="00EB2BD8" w14:paraId="443E5108" w14:textId="77777777">
        <w:trPr>
          <w:trHeight w:val="289"/>
        </w:trPr>
        <w:tc>
          <w:tcPr>
            <w:tcW w:w="1711" w:type="dxa"/>
            <w:tcBorders>
              <w:bottom w:val="single" w:sz="2" w:space="0" w:color="000000"/>
            </w:tcBorders>
          </w:tcPr>
          <w:p w14:paraId="515216F0" w14:textId="77777777" w:rsidR="00084F36" w:rsidRPr="00EB2BD8" w:rsidRDefault="00084F36">
            <w:pPr>
              <w:pStyle w:val="TableParagraph"/>
              <w:rPr>
                <w:rFonts w:ascii="Times New Roman"/>
                <w:sz w:val="16"/>
              </w:rPr>
            </w:pPr>
          </w:p>
        </w:tc>
        <w:tc>
          <w:tcPr>
            <w:tcW w:w="3165" w:type="dxa"/>
            <w:tcBorders>
              <w:bottom w:val="single" w:sz="2" w:space="0" w:color="000000"/>
            </w:tcBorders>
          </w:tcPr>
          <w:p w14:paraId="5546CD87" w14:textId="77777777" w:rsidR="00084F36" w:rsidRPr="00EB2BD8" w:rsidRDefault="00084F36">
            <w:pPr>
              <w:pStyle w:val="TableParagraph"/>
              <w:rPr>
                <w:rFonts w:ascii="Times New Roman"/>
                <w:sz w:val="16"/>
              </w:rPr>
            </w:pPr>
          </w:p>
        </w:tc>
        <w:tc>
          <w:tcPr>
            <w:tcW w:w="3078" w:type="dxa"/>
            <w:tcBorders>
              <w:bottom w:val="single" w:sz="2" w:space="0" w:color="000000"/>
            </w:tcBorders>
          </w:tcPr>
          <w:p w14:paraId="184793CE" w14:textId="77777777" w:rsidR="00084F36" w:rsidRPr="00EB2BD8" w:rsidRDefault="00EB2BD8">
            <w:pPr>
              <w:pStyle w:val="TableParagraph"/>
              <w:spacing w:before="19"/>
              <w:ind w:left="111"/>
              <w:rPr>
                <w:sz w:val="16"/>
              </w:rPr>
            </w:pPr>
            <w:r w:rsidRPr="00EB2BD8">
              <w:rPr>
                <w:i/>
                <w:sz w:val="16"/>
              </w:rPr>
              <w:t>CPCPG3053A</w:t>
            </w:r>
            <w:r w:rsidRPr="00EB2BD8">
              <w:rPr>
                <w:i/>
                <w:spacing w:val="6"/>
                <w:sz w:val="16"/>
              </w:rPr>
              <w:t xml:space="preserve"> </w:t>
            </w:r>
            <w:r w:rsidRPr="00EB2BD8">
              <w:rPr>
                <w:sz w:val="16"/>
              </w:rPr>
              <w:t>and</w:t>
            </w:r>
            <w:r w:rsidRPr="00EB2BD8">
              <w:rPr>
                <w:spacing w:val="7"/>
                <w:sz w:val="16"/>
              </w:rPr>
              <w:t xml:space="preserve"> </w:t>
            </w:r>
            <w:r w:rsidRPr="00EB2BD8">
              <w:rPr>
                <w:i/>
                <w:spacing w:val="-2"/>
                <w:sz w:val="16"/>
              </w:rPr>
              <w:t>CPCPG3049A</w:t>
            </w:r>
            <w:r w:rsidRPr="00EB2BD8">
              <w:rPr>
                <w:spacing w:val="-2"/>
                <w:sz w:val="16"/>
              </w:rPr>
              <w:t>.</w:t>
            </w:r>
          </w:p>
        </w:tc>
        <w:tc>
          <w:tcPr>
            <w:tcW w:w="1081" w:type="dxa"/>
            <w:tcBorders>
              <w:bottom w:val="single" w:sz="2" w:space="0" w:color="000000"/>
            </w:tcBorders>
          </w:tcPr>
          <w:p w14:paraId="0CFDFE8F" w14:textId="77777777" w:rsidR="00084F36" w:rsidRPr="00EB2BD8" w:rsidRDefault="00084F36">
            <w:pPr>
              <w:pStyle w:val="TableParagraph"/>
              <w:rPr>
                <w:rFonts w:ascii="Times New Roman"/>
                <w:sz w:val="16"/>
              </w:rPr>
            </w:pPr>
          </w:p>
        </w:tc>
        <w:tc>
          <w:tcPr>
            <w:tcW w:w="1177" w:type="dxa"/>
            <w:tcBorders>
              <w:bottom w:val="single" w:sz="2" w:space="0" w:color="000000"/>
            </w:tcBorders>
          </w:tcPr>
          <w:p w14:paraId="071B7AAF" w14:textId="77777777" w:rsidR="00084F36" w:rsidRPr="00EB2BD8" w:rsidRDefault="00084F36">
            <w:pPr>
              <w:pStyle w:val="TableParagraph"/>
              <w:rPr>
                <w:rFonts w:ascii="Times New Roman"/>
                <w:sz w:val="16"/>
              </w:rPr>
            </w:pPr>
          </w:p>
        </w:tc>
      </w:tr>
    </w:tbl>
    <w:p w14:paraId="25B7885C" w14:textId="77777777" w:rsidR="00084F36" w:rsidRPr="00EB2BD8" w:rsidRDefault="00084F36">
      <w:pPr>
        <w:rPr>
          <w:rFonts w:ascii="Times New Roman"/>
          <w:sz w:val="16"/>
        </w:rPr>
        <w:sectPr w:rsidR="00084F36" w:rsidRPr="00EB2BD8" w:rsidSect="006D75B2">
          <w:footerReference w:type="default" r:id="rId431"/>
          <w:pgSz w:w="11910" w:h="16840"/>
          <w:pgMar w:top="1100" w:right="0" w:bottom="700" w:left="0" w:header="0" w:footer="515" w:gutter="0"/>
          <w:cols w:space="720"/>
        </w:sectPr>
      </w:pPr>
    </w:p>
    <w:p w14:paraId="0CF6ECD8" w14:textId="77777777" w:rsidR="00084F36" w:rsidRPr="00EB2BD8" w:rsidRDefault="00084F36">
      <w:pPr>
        <w:pStyle w:val="BodyText"/>
        <w:rPr>
          <w:i/>
          <w:sz w:val="20"/>
        </w:rPr>
      </w:pPr>
    </w:p>
    <w:p w14:paraId="77E8CF84" w14:textId="77777777" w:rsidR="00084F36" w:rsidRPr="00EB2BD8" w:rsidRDefault="00084F36">
      <w:pPr>
        <w:pStyle w:val="BodyText"/>
        <w:rPr>
          <w:i/>
          <w:sz w:val="20"/>
        </w:rPr>
      </w:pPr>
    </w:p>
    <w:p w14:paraId="396DEBDF" w14:textId="77777777" w:rsidR="00084F36" w:rsidRPr="00EB2BD8" w:rsidRDefault="00084F36">
      <w:pPr>
        <w:pStyle w:val="BodyText"/>
        <w:rPr>
          <w:i/>
          <w:sz w:val="20"/>
        </w:rPr>
      </w:pPr>
    </w:p>
    <w:p w14:paraId="48FE99A9" w14:textId="77777777" w:rsidR="00084F36" w:rsidRPr="00EB2BD8" w:rsidRDefault="00084F36">
      <w:pPr>
        <w:pStyle w:val="BodyText"/>
        <w:rPr>
          <w:i/>
          <w:sz w:val="20"/>
        </w:rPr>
      </w:pPr>
    </w:p>
    <w:p w14:paraId="6A59C574" w14:textId="77777777" w:rsidR="00084F36" w:rsidRPr="00EB2BD8" w:rsidRDefault="00084F36">
      <w:pPr>
        <w:pStyle w:val="BodyText"/>
        <w:spacing w:before="3"/>
        <w:rPr>
          <w:i/>
          <w:sz w:val="26"/>
        </w:rPr>
      </w:pPr>
    </w:p>
    <w:tbl>
      <w:tblPr>
        <w:tblW w:w="0" w:type="auto"/>
        <w:tblInd w:w="857" w:type="dxa"/>
        <w:tblLayout w:type="fixed"/>
        <w:tblCellMar>
          <w:left w:w="0" w:type="dxa"/>
          <w:right w:w="0" w:type="dxa"/>
        </w:tblCellMar>
        <w:tblLook w:val="01E0" w:firstRow="1" w:lastRow="1" w:firstColumn="1" w:lastColumn="1" w:noHBand="0" w:noVBand="0"/>
      </w:tblPr>
      <w:tblGrid>
        <w:gridCol w:w="1668"/>
        <w:gridCol w:w="3163"/>
        <w:gridCol w:w="3101"/>
        <w:gridCol w:w="1101"/>
        <w:gridCol w:w="1176"/>
      </w:tblGrid>
      <w:tr w:rsidR="00EB2BD8" w:rsidRPr="00EB2BD8" w14:paraId="6215C67C" w14:textId="77777777">
        <w:trPr>
          <w:trHeight w:val="616"/>
        </w:trPr>
        <w:tc>
          <w:tcPr>
            <w:tcW w:w="1668" w:type="dxa"/>
            <w:shd w:val="clear" w:color="auto" w:fill="005F83"/>
          </w:tcPr>
          <w:p w14:paraId="10F8E3E9" w14:textId="77777777" w:rsidR="00084F36" w:rsidRPr="00697E0C" w:rsidRDefault="00EB2BD8">
            <w:pPr>
              <w:pStyle w:val="TableParagraph"/>
              <w:spacing w:before="118"/>
              <w:ind w:left="113"/>
              <w:rPr>
                <w:color w:val="FFFFFF" w:themeColor="background1"/>
                <w:sz w:val="16"/>
              </w:rPr>
            </w:pPr>
            <w:r w:rsidRPr="00697E0C">
              <w:rPr>
                <w:color w:val="FFFFFF" w:themeColor="background1"/>
                <w:sz w:val="16"/>
              </w:rPr>
              <w:t>Accused</w:t>
            </w:r>
            <w:r w:rsidRPr="00697E0C">
              <w:rPr>
                <w:color w:val="FFFFFF" w:themeColor="background1"/>
                <w:spacing w:val="-1"/>
                <w:sz w:val="16"/>
              </w:rPr>
              <w:t xml:space="preserve"> </w:t>
            </w:r>
            <w:r w:rsidRPr="00697E0C">
              <w:rPr>
                <w:color w:val="FFFFFF" w:themeColor="background1"/>
                <w:spacing w:val="-4"/>
                <w:sz w:val="16"/>
              </w:rPr>
              <w:t>name</w:t>
            </w:r>
          </w:p>
        </w:tc>
        <w:tc>
          <w:tcPr>
            <w:tcW w:w="3163" w:type="dxa"/>
            <w:shd w:val="clear" w:color="auto" w:fill="005F83"/>
          </w:tcPr>
          <w:p w14:paraId="374C2348" w14:textId="77777777" w:rsidR="00084F36" w:rsidRPr="00697E0C" w:rsidRDefault="00EB2BD8">
            <w:pPr>
              <w:pStyle w:val="TableParagraph"/>
              <w:spacing w:before="118"/>
              <w:ind w:left="202"/>
              <w:rPr>
                <w:color w:val="FFFFFF" w:themeColor="background1"/>
                <w:sz w:val="16"/>
              </w:rPr>
            </w:pPr>
            <w:r w:rsidRPr="00697E0C">
              <w:rPr>
                <w:color w:val="FFFFFF" w:themeColor="background1"/>
                <w:sz w:val="16"/>
              </w:rPr>
              <w:t>Description</w:t>
            </w:r>
            <w:r w:rsidRPr="00697E0C">
              <w:rPr>
                <w:color w:val="FFFFFF" w:themeColor="background1"/>
                <w:spacing w:val="-11"/>
                <w:sz w:val="16"/>
              </w:rPr>
              <w:t xml:space="preserve"> </w:t>
            </w:r>
            <w:r w:rsidRPr="00697E0C">
              <w:rPr>
                <w:color w:val="FFFFFF" w:themeColor="background1"/>
                <w:sz w:val="16"/>
              </w:rPr>
              <w:t>of</w:t>
            </w:r>
            <w:r w:rsidRPr="00697E0C">
              <w:rPr>
                <w:color w:val="FFFFFF" w:themeColor="background1"/>
                <w:spacing w:val="-10"/>
                <w:sz w:val="16"/>
              </w:rPr>
              <w:t xml:space="preserve"> </w:t>
            </w:r>
            <w:r w:rsidRPr="00697E0C">
              <w:rPr>
                <w:color w:val="FFFFFF" w:themeColor="background1"/>
                <w:spacing w:val="-2"/>
                <w:sz w:val="16"/>
              </w:rPr>
              <w:t>matter</w:t>
            </w:r>
          </w:p>
        </w:tc>
        <w:tc>
          <w:tcPr>
            <w:tcW w:w="3101" w:type="dxa"/>
            <w:shd w:val="clear" w:color="auto" w:fill="005F83"/>
          </w:tcPr>
          <w:p w14:paraId="7EF25F7D" w14:textId="77777777" w:rsidR="00084F36" w:rsidRPr="00697E0C" w:rsidRDefault="00EB2BD8">
            <w:pPr>
              <w:pStyle w:val="TableParagraph"/>
              <w:spacing w:before="118"/>
              <w:ind w:left="157"/>
              <w:rPr>
                <w:color w:val="FFFFFF" w:themeColor="background1"/>
                <w:sz w:val="16"/>
              </w:rPr>
            </w:pPr>
            <w:r w:rsidRPr="00697E0C">
              <w:rPr>
                <w:color w:val="FFFFFF" w:themeColor="background1"/>
                <w:spacing w:val="-2"/>
                <w:sz w:val="16"/>
              </w:rPr>
              <w:t>Result</w:t>
            </w:r>
          </w:p>
        </w:tc>
        <w:tc>
          <w:tcPr>
            <w:tcW w:w="1101" w:type="dxa"/>
            <w:shd w:val="clear" w:color="auto" w:fill="005F83"/>
          </w:tcPr>
          <w:p w14:paraId="3346328D" w14:textId="77777777" w:rsidR="00084F36" w:rsidRPr="00697E0C" w:rsidRDefault="00EB2BD8">
            <w:pPr>
              <w:pStyle w:val="TableParagraph"/>
              <w:spacing w:before="118" w:line="292" w:lineRule="auto"/>
              <w:ind w:left="137" w:right="90"/>
              <w:rPr>
                <w:color w:val="FFFFFF" w:themeColor="background1"/>
                <w:sz w:val="9"/>
              </w:rPr>
            </w:pPr>
            <w:r w:rsidRPr="00697E0C">
              <w:rPr>
                <w:color w:val="FFFFFF" w:themeColor="background1"/>
                <w:spacing w:val="-2"/>
                <w:w w:val="105"/>
                <w:sz w:val="16"/>
              </w:rPr>
              <w:t>Penalty ($)</w:t>
            </w:r>
            <w:r w:rsidRPr="00697E0C">
              <w:rPr>
                <w:color w:val="FFFFFF" w:themeColor="background1"/>
                <w:spacing w:val="-2"/>
                <w:w w:val="105"/>
                <w:position w:val="5"/>
                <w:sz w:val="9"/>
              </w:rPr>
              <w:t>39</w:t>
            </w:r>
          </w:p>
        </w:tc>
        <w:tc>
          <w:tcPr>
            <w:tcW w:w="1176" w:type="dxa"/>
            <w:shd w:val="clear" w:color="auto" w:fill="005F83"/>
          </w:tcPr>
          <w:p w14:paraId="270E13AE" w14:textId="77777777" w:rsidR="00084F36" w:rsidRPr="00697E0C" w:rsidRDefault="00EB2BD8">
            <w:pPr>
              <w:pStyle w:val="TableParagraph"/>
              <w:spacing w:before="118"/>
              <w:ind w:left="113"/>
              <w:rPr>
                <w:color w:val="FFFFFF" w:themeColor="background1"/>
                <w:sz w:val="16"/>
              </w:rPr>
            </w:pPr>
            <w:r w:rsidRPr="00697E0C">
              <w:rPr>
                <w:color w:val="FFFFFF" w:themeColor="background1"/>
                <w:spacing w:val="-4"/>
                <w:w w:val="105"/>
                <w:sz w:val="16"/>
              </w:rPr>
              <w:t>Date</w:t>
            </w:r>
          </w:p>
        </w:tc>
      </w:tr>
      <w:tr w:rsidR="00EB2BD8" w:rsidRPr="00EB2BD8" w14:paraId="6B9ADB72" w14:textId="77777777">
        <w:trPr>
          <w:trHeight w:val="329"/>
        </w:trPr>
        <w:tc>
          <w:tcPr>
            <w:tcW w:w="1668" w:type="dxa"/>
          </w:tcPr>
          <w:p w14:paraId="786C7FCD" w14:textId="77777777" w:rsidR="00084F36" w:rsidRPr="00EB2BD8" w:rsidRDefault="00EB2BD8">
            <w:pPr>
              <w:pStyle w:val="TableParagraph"/>
              <w:spacing w:before="118"/>
              <w:ind w:left="113"/>
              <w:rPr>
                <w:sz w:val="16"/>
              </w:rPr>
            </w:pPr>
            <w:r w:rsidRPr="00EB2BD8">
              <w:rPr>
                <w:sz w:val="16"/>
              </w:rPr>
              <w:t>PEARSON,</w:t>
            </w:r>
            <w:r w:rsidRPr="00EB2BD8">
              <w:rPr>
                <w:spacing w:val="6"/>
                <w:sz w:val="16"/>
              </w:rPr>
              <w:t xml:space="preserve"> </w:t>
            </w:r>
            <w:r w:rsidRPr="00EB2BD8">
              <w:rPr>
                <w:spacing w:val="-2"/>
                <w:sz w:val="16"/>
              </w:rPr>
              <w:t>Peter</w:t>
            </w:r>
          </w:p>
        </w:tc>
        <w:tc>
          <w:tcPr>
            <w:tcW w:w="3163" w:type="dxa"/>
          </w:tcPr>
          <w:p w14:paraId="756FC5DE" w14:textId="77777777" w:rsidR="00084F36" w:rsidRPr="00EB2BD8" w:rsidRDefault="00EB2BD8">
            <w:pPr>
              <w:pStyle w:val="TableParagraph"/>
              <w:spacing w:before="118"/>
              <w:ind w:left="202"/>
              <w:rPr>
                <w:sz w:val="16"/>
              </w:rPr>
            </w:pPr>
            <w:r w:rsidRPr="00EB2BD8">
              <w:rPr>
                <w:sz w:val="16"/>
              </w:rPr>
              <w:t>Permitted</w:t>
            </w:r>
            <w:r w:rsidRPr="00EB2BD8">
              <w:rPr>
                <w:spacing w:val="-12"/>
                <w:sz w:val="16"/>
              </w:rPr>
              <w:t xml:space="preserve"> </w:t>
            </w:r>
            <w:r w:rsidRPr="00EB2BD8">
              <w:rPr>
                <w:sz w:val="16"/>
              </w:rPr>
              <w:t>or</w:t>
            </w:r>
            <w:r w:rsidRPr="00EB2BD8">
              <w:rPr>
                <w:spacing w:val="-11"/>
                <w:sz w:val="16"/>
              </w:rPr>
              <w:t xml:space="preserve"> </w:t>
            </w:r>
            <w:r w:rsidRPr="00EB2BD8">
              <w:rPr>
                <w:sz w:val="16"/>
              </w:rPr>
              <w:t>direct</w:t>
            </w:r>
            <w:r w:rsidRPr="00EB2BD8">
              <w:rPr>
                <w:spacing w:val="-11"/>
                <w:sz w:val="16"/>
              </w:rPr>
              <w:t xml:space="preserve"> </w:t>
            </w:r>
            <w:r w:rsidRPr="00EB2BD8">
              <w:rPr>
                <w:sz w:val="16"/>
              </w:rPr>
              <w:t>other</w:t>
            </w:r>
            <w:r w:rsidRPr="00EB2BD8">
              <w:rPr>
                <w:spacing w:val="-11"/>
                <w:sz w:val="16"/>
              </w:rPr>
              <w:t xml:space="preserve"> </w:t>
            </w:r>
            <w:r w:rsidRPr="00EB2BD8">
              <w:rPr>
                <w:sz w:val="16"/>
              </w:rPr>
              <w:t>person</w:t>
            </w:r>
            <w:r w:rsidRPr="00EB2BD8">
              <w:rPr>
                <w:spacing w:val="-11"/>
                <w:sz w:val="16"/>
              </w:rPr>
              <w:t xml:space="preserve"> </w:t>
            </w:r>
            <w:r w:rsidRPr="00EB2BD8">
              <w:rPr>
                <w:spacing w:val="-5"/>
                <w:sz w:val="16"/>
              </w:rPr>
              <w:t>to</w:t>
            </w:r>
          </w:p>
        </w:tc>
        <w:tc>
          <w:tcPr>
            <w:tcW w:w="3101" w:type="dxa"/>
          </w:tcPr>
          <w:p w14:paraId="5C06D327" w14:textId="77777777" w:rsidR="00084F36" w:rsidRPr="00EB2BD8" w:rsidRDefault="00EB2BD8">
            <w:pPr>
              <w:pStyle w:val="TableParagraph"/>
              <w:spacing w:before="118"/>
              <w:ind w:left="157"/>
              <w:rPr>
                <w:sz w:val="16"/>
              </w:rPr>
            </w:pPr>
            <w:r w:rsidRPr="00EB2BD8">
              <w:rPr>
                <w:spacing w:val="-2"/>
                <w:sz w:val="16"/>
              </w:rPr>
              <w:t>Three grounds proven.</w:t>
            </w:r>
            <w:r w:rsidRPr="00EB2BD8">
              <w:rPr>
                <w:spacing w:val="-1"/>
                <w:sz w:val="16"/>
              </w:rPr>
              <w:t xml:space="preserve"> </w:t>
            </w:r>
            <w:r w:rsidRPr="00EB2BD8">
              <w:rPr>
                <w:spacing w:val="-2"/>
                <w:sz w:val="16"/>
              </w:rPr>
              <w:t xml:space="preserve">Penalty </w:t>
            </w:r>
            <w:r w:rsidRPr="00EB2BD8">
              <w:rPr>
                <w:spacing w:val="-5"/>
                <w:sz w:val="16"/>
              </w:rPr>
              <w:t>of</w:t>
            </w:r>
          </w:p>
        </w:tc>
        <w:tc>
          <w:tcPr>
            <w:tcW w:w="1101" w:type="dxa"/>
          </w:tcPr>
          <w:p w14:paraId="0CDF629A" w14:textId="77777777" w:rsidR="00084F36" w:rsidRPr="00EB2BD8" w:rsidRDefault="00EB2BD8">
            <w:pPr>
              <w:pStyle w:val="TableParagraph"/>
              <w:spacing w:before="118"/>
              <w:ind w:right="112"/>
              <w:jc w:val="right"/>
              <w:rPr>
                <w:sz w:val="16"/>
              </w:rPr>
            </w:pPr>
            <w:r w:rsidRPr="00EB2BD8">
              <w:rPr>
                <w:spacing w:val="-2"/>
                <w:w w:val="90"/>
                <w:sz w:val="16"/>
              </w:rPr>
              <w:t>$1,294</w:t>
            </w:r>
          </w:p>
        </w:tc>
        <w:tc>
          <w:tcPr>
            <w:tcW w:w="1176" w:type="dxa"/>
          </w:tcPr>
          <w:p w14:paraId="70D662D8" w14:textId="77777777" w:rsidR="00084F36" w:rsidRPr="00EB2BD8" w:rsidRDefault="00EB2BD8">
            <w:pPr>
              <w:pStyle w:val="TableParagraph"/>
              <w:spacing w:before="118"/>
              <w:ind w:left="113"/>
              <w:rPr>
                <w:sz w:val="16"/>
              </w:rPr>
            </w:pPr>
            <w:r w:rsidRPr="00EB2BD8">
              <w:rPr>
                <w:spacing w:val="-2"/>
                <w:w w:val="95"/>
                <w:sz w:val="16"/>
              </w:rPr>
              <w:t>14/06/2023</w:t>
            </w:r>
          </w:p>
        </w:tc>
      </w:tr>
      <w:tr w:rsidR="00EB2BD8" w:rsidRPr="00EB2BD8" w14:paraId="26CA4EF4" w14:textId="77777777">
        <w:trPr>
          <w:trHeight w:val="229"/>
        </w:trPr>
        <w:tc>
          <w:tcPr>
            <w:tcW w:w="1668" w:type="dxa"/>
          </w:tcPr>
          <w:p w14:paraId="2EE1A2AB" w14:textId="77777777" w:rsidR="00084F36" w:rsidRPr="00EB2BD8" w:rsidRDefault="00084F36">
            <w:pPr>
              <w:pStyle w:val="TableParagraph"/>
              <w:rPr>
                <w:rFonts w:ascii="Times New Roman"/>
                <w:sz w:val="16"/>
              </w:rPr>
            </w:pPr>
          </w:p>
        </w:tc>
        <w:tc>
          <w:tcPr>
            <w:tcW w:w="3163" w:type="dxa"/>
          </w:tcPr>
          <w:p w14:paraId="212A5683" w14:textId="77777777" w:rsidR="00084F36" w:rsidRPr="00EB2BD8" w:rsidRDefault="00EB2BD8">
            <w:pPr>
              <w:pStyle w:val="TableParagraph"/>
              <w:spacing w:before="19"/>
              <w:ind w:left="202"/>
              <w:rPr>
                <w:sz w:val="16"/>
              </w:rPr>
            </w:pPr>
            <w:r w:rsidRPr="00EB2BD8">
              <w:rPr>
                <w:sz w:val="16"/>
              </w:rPr>
              <w:t>carry</w:t>
            </w:r>
            <w:r w:rsidRPr="00EB2BD8">
              <w:rPr>
                <w:spacing w:val="-8"/>
                <w:sz w:val="16"/>
              </w:rPr>
              <w:t xml:space="preserve"> </w:t>
            </w:r>
            <w:r w:rsidRPr="00EB2BD8">
              <w:rPr>
                <w:sz w:val="16"/>
              </w:rPr>
              <w:t>out</w:t>
            </w:r>
            <w:r w:rsidRPr="00EB2BD8">
              <w:rPr>
                <w:spacing w:val="-8"/>
                <w:sz w:val="16"/>
              </w:rPr>
              <w:t xml:space="preserve"> </w:t>
            </w:r>
            <w:r w:rsidRPr="00EB2BD8">
              <w:rPr>
                <w:sz w:val="16"/>
              </w:rPr>
              <w:t>defective</w:t>
            </w:r>
            <w:r w:rsidRPr="00EB2BD8">
              <w:rPr>
                <w:spacing w:val="-8"/>
                <w:sz w:val="16"/>
              </w:rPr>
              <w:t xml:space="preserve"> </w:t>
            </w:r>
            <w:r w:rsidRPr="00EB2BD8">
              <w:rPr>
                <w:sz w:val="16"/>
              </w:rPr>
              <w:t>plumbing</w:t>
            </w:r>
            <w:r w:rsidRPr="00EB2BD8">
              <w:rPr>
                <w:spacing w:val="-8"/>
                <w:sz w:val="16"/>
              </w:rPr>
              <w:t xml:space="preserve"> </w:t>
            </w:r>
            <w:r w:rsidRPr="00EB2BD8">
              <w:rPr>
                <w:spacing w:val="-2"/>
                <w:sz w:val="16"/>
              </w:rPr>
              <w:t>work.</w:t>
            </w:r>
          </w:p>
        </w:tc>
        <w:tc>
          <w:tcPr>
            <w:tcW w:w="3101" w:type="dxa"/>
          </w:tcPr>
          <w:p w14:paraId="704591A4" w14:textId="77777777" w:rsidR="00084F36" w:rsidRPr="00EB2BD8" w:rsidRDefault="00EB2BD8">
            <w:pPr>
              <w:pStyle w:val="TableParagraph"/>
              <w:spacing w:before="19"/>
              <w:ind w:left="157"/>
              <w:rPr>
                <w:sz w:val="16"/>
              </w:rPr>
            </w:pPr>
            <w:r w:rsidRPr="00EB2BD8">
              <w:rPr>
                <w:w w:val="90"/>
                <w:sz w:val="16"/>
              </w:rPr>
              <w:t>$1,294</w:t>
            </w:r>
            <w:r w:rsidRPr="00EB2BD8">
              <w:rPr>
                <w:spacing w:val="-4"/>
                <w:w w:val="90"/>
                <w:sz w:val="16"/>
              </w:rPr>
              <w:t xml:space="preserve"> </w:t>
            </w:r>
            <w:r w:rsidRPr="00EB2BD8">
              <w:rPr>
                <w:w w:val="90"/>
                <w:sz w:val="16"/>
              </w:rPr>
              <w:t>plus</w:t>
            </w:r>
            <w:r w:rsidRPr="00EB2BD8">
              <w:rPr>
                <w:spacing w:val="-3"/>
                <w:w w:val="90"/>
                <w:sz w:val="16"/>
              </w:rPr>
              <w:t xml:space="preserve"> </w:t>
            </w:r>
            <w:r w:rsidRPr="00EB2BD8">
              <w:rPr>
                <w:w w:val="90"/>
                <w:sz w:val="16"/>
              </w:rPr>
              <w:t>cost</w:t>
            </w:r>
            <w:r w:rsidRPr="00EB2BD8">
              <w:rPr>
                <w:spacing w:val="-3"/>
                <w:w w:val="90"/>
                <w:sz w:val="16"/>
              </w:rPr>
              <w:t xml:space="preserve"> </w:t>
            </w:r>
            <w:r w:rsidRPr="00EB2BD8">
              <w:rPr>
                <w:w w:val="90"/>
                <w:sz w:val="16"/>
              </w:rPr>
              <w:t>of</w:t>
            </w:r>
            <w:r w:rsidRPr="00EB2BD8">
              <w:rPr>
                <w:spacing w:val="-4"/>
                <w:w w:val="90"/>
                <w:sz w:val="16"/>
              </w:rPr>
              <w:t xml:space="preserve"> </w:t>
            </w:r>
            <w:r w:rsidRPr="00EB2BD8">
              <w:rPr>
                <w:w w:val="90"/>
                <w:sz w:val="16"/>
              </w:rPr>
              <w:t>$980.</w:t>
            </w:r>
            <w:r w:rsidRPr="00EB2BD8">
              <w:rPr>
                <w:spacing w:val="-3"/>
                <w:w w:val="90"/>
                <w:sz w:val="16"/>
              </w:rPr>
              <w:t xml:space="preserve"> </w:t>
            </w:r>
            <w:r w:rsidRPr="00EB2BD8">
              <w:rPr>
                <w:w w:val="90"/>
                <w:sz w:val="16"/>
              </w:rPr>
              <w:t>To</w:t>
            </w:r>
            <w:r w:rsidRPr="00EB2BD8">
              <w:rPr>
                <w:spacing w:val="-3"/>
                <w:w w:val="90"/>
                <w:sz w:val="16"/>
              </w:rPr>
              <w:t xml:space="preserve"> </w:t>
            </w:r>
            <w:r w:rsidRPr="00EB2BD8">
              <w:rPr>
                <w:spacing w:val="-2"/>
                <w:w w:val="90"/>
                <w:sz w:val="16"/>
              </w:rPr>
              <w:t>complete</w:t>
            </w:r>
          </w:p>
        </w:tc>
        <w:tc>
          <w:tcPr>
            <w:tcW w:w="1101" w:type="dxa"/>
          </w:tcPr>
          <w:p w14:paraId="37F1274E" w14:textId="77777777" w:rsidR="00084F36" w:rsidRPr="00EB2BD8" w:rsidRDefault="00084F36">
            <w:pPr>
              <w:pStyle w:val="TableParagraph"/>
              <w:rPr>
                <w:rFonts w:ascii="Times New Roman"/>
                <w:sz w:val="16"/>
              </w:rPr>
            </w:pPr>
          </w:p>
        </w:tc>
        <w:tc>
          <w:tcPr>
            <w:tcW w:w="1176" w:type="dxa"/>
          </w:tcPr>
          <w:p w14:paraId="397DB660" w14:textId="77777777" w:rsidR="00084F36" w:rsidRPr="00EB2BD8" w:rsidRDefault="00084F36">
            <w:pPr>
              <w:pStyle w:val="TableParagraph"/>
              <w:rPr>
                <w:rFonts w:ascii="Times New Roman"/>
                <w:sz w:val="16"/>
              </w:rPr>
            </w:pPr>
          </w:p>
        </w:tc>
      </w:tr>
      <w:tr w:rsidR="00EB2BD8" w:rsidRPr="00EB2BD8" w14:paraId="58A3D2DE" w14:textId="77777777">
        <w:trPr>
          <w:trHeight w:val="229"/>
        </w:trPr>
        <w:tc>
          <w:tcPr>
            <w:tcW w:w="1668" w:type="dxa"/>
          </w:tcPr>
          <w:p w14:paraId="3A43A475" w14:textId="77777777" w:rsidR="00084F36" w:rsidRPr="00EB2BD8" w:rsidRDefault="00084F36">
            <w:pPr>
              <w:pStyle w:val="TableParagraph"/>
              <w:rPr>
                <w:rFonts w:ascii="Times New Roman"/>
                <w:sz w:val="16"/>
              </w:rPr>
            </w:pPr>
          </w:p>
        </w:tc>
        <w:tc>
          <w:tcPr>
            <w:tcW w:w="3163" w:type="dxa"/>
          </w:tcPr>
          <w:p w14:paraId="5008F0B9" w14:textId="77777777" w:rsidR="00084F36" w:rsidRPr="00EB2BD8" w:rsidRDefault="00EB2BD8">
            <w:pPr>
              <w:pStyle w:val="TableParagraph"/>
              <w:spacing w:before="19"/>
              <w:ind w:left="202"/>
              <w:rPr>
                <w:sz w:val="16"/>
              </w:rPr>
            </w:pPr>
            <w:r w:rsidRPr="00EB2BD8">
              <w:rPr>
                <w:sz w:val="16"/>
              </w:rPr>
              <w:t>Signed</w:t>
            </w:r>
            <w:r w:rsidRPr="00EB2BD8">
              <w:rPr>
                <w:spacing w:val="1"/>
                <w:sz w:val="16"/>
              </w:rPr>
              <w:t xml:space="preserve"> </w:t>
            </w:r>
            <w:r w:rsidRPr="00EB2BD8">
              <w:rPr>
                <w:sz w:val="16"/>
              </w:rPr>
              <w:t>a</w:t>
            </w:r>
            <w:r w:rsidRPr="00EB2BD8">
              <w:rPr>
                <w:spacing w:val="2"/>
                <w:sz w:val="16"/>
              </w:rPr>
              <w:t xml:space="preserve"> </w:t>
            </w:r>
            <w:r w:rsidRPr="00EB2BD8">
              <w:rPr>
                <w:sz w:val="16"/>
              </w:rPr>
              <w:t>compliance</w:t>
            </w:r>
            <w:r w:rsidRPr="00EB2BD8">
              <w:rPr>
                <w:spacing w:val="2"/>
                <w:sz w:val="16"/>
              </w:rPr>
              <w:t xml:space="preserve"> </w:t>
            </w:r>
            <w:r w:rsidRPr="00EB2BD8">
              <w:rPr>
                <w:sz w:val="16"/>
              </w:rPr>
              <w:t>certificate</w:t>
            </w:r>
            <w:r w:rsidRPr="00EB2BD8">
              <w:rPr>
                <w:spacing w:val="2"/>
                <w:sz w:val="16"/>
              </w:rPr>
              <w:t xml:space="preserve"> </w:t>
            </w:r>
            <w:r w:rsidRPr="00EB2BD8">
              <w:rPr>
                <w:spacing w:val="-4"/>
                <w:sz w:val="16"/>
              </w:rPr>
              <w:t>that</w:t>
            </w:r>
          </w:p>
        </w:tc>
        <w:tc>
          <w:tcPr>
            <w:tcW w:w="3101" w:type="dxa"/>
          </w:tcPr>
          <w:p w14:paraId="0207C958" w14:textId="77777777" w:rsidR="00084F36" w:rsidRPr="00EB2BD8" w:rsidRDefault="00EB2BD8">
            <w:pPr>
              <w:pStyle w:val="TableParagraph"/>
              <w:spacing w:before="19"/>
              <w:ind w:left="157"/>
              <w:rPr>
                <w:sz w:val="16"/>
              </w:rPr>
            </w:pPr>
            <w:r w:rsidRPr="00EB2BD8">
              <w:rPr>
                <w:spacing w:val="-2"/>
                <w:sz w:val="16"/>
              </w:rPr>
              <w:t>course</w:t>
            </w:r>
            <w:r w:rsidRPr="00EB2BD8">
              <w:rPr>
                <w:spacing w:val="-1"/>
                <w:sz w:val="16"/>
              </w:rPr>
              <w:t xml:space="preserve"> </w:t>
            </w:r>
            <w:r w:rsidRPr="00EB2BD8">
              <w:rPr>
                <w:i/>
                <w:spacing w:val="-2"/>
                <w:sz w:val="16"/>
              </w:rPr>
              <w:t>CPCPCM4015</w:t>
            </w:r>
            <w:r w:rsidRPr="00EB2BD8">
              <w:rPr>
                <w:i/>
                <w:spacing w:val="-1"/>
                <w:sz w:val="16"/>
              </w:rPr>
              <w:t xml:space="preserve"> </w:t>
            </w:r>
            <w:r w:rsidRPr="00EB2BD8">
              <w:rPr>
                <w:spacing w:val="-2"/>
                <w:sz w:val="16"/>
              </w:rPr>
              <w:t>or</w:t>
            </w:r>
            <w:r w:rsidRPr="00EB2BD8">
              <w:rPr>
                <w:spacing w:val="-1"/>
                <w:sz w:val="16"/>
              </w:rPr>
              <w:t xml:space="preserve"> </w:t>
            </w:r>
            <w:r w:rsidRPr="00EB2BD8">
              <w:rPr>
                <w:spacing w:val="-2"/>
                <w:sz w:val="16"/>
              </w:rPr>
              <w:t>equivalent</w:t>
            </w:r>
          </w:p>
        </w:tc>
        <w:tc>
          <w:tcPr>
            <w:tcW w:w="1101" w:type="dxa"/>
          </w:tcPr>
          <w:p w14:paraId="7FC3EA2A" w14:textId="77777777" w:rsidR="00084F36" w:rsidRPr="00EB2BD8" w:rsidRDefault="00084F36">
            <w:pPr>
              <w:pStyle w:val="TableParagraph"/>
              <w:rPr>
                <w:rFonts w:ascii="Times New Roman"/>
                <w:sz w:val="16"/>
              </w:rPr>
            </w:pPr>
          </w:p>
        </w:tc>
        <w:tc>
          <w:tcPr>
            <w:tcW w:w="1176" w:type="dxa"/>
          </w:tcPr>
          <w:p w14:paraId="19FB4C1E" w14:textId="77777777" w:rsidR="00084F36" w:rsidRPr="00EB2BD8" w:rsidRDefault="00084F36">
            <w:pPr>
              <w:pStyle w:val="TableParagraph"/>
              <w:rPr>
                <w:rFonts w:ascii="Times New Roman"/>
                <w:sz w:val="16"/>
              </w:rPr>
            </w:pPr>
          </w:p>
        </w:tc>
      </w:tr>
      <w:tr w:rsidR="00EB2BD8" w:rsidRPr="00EB2BD8" w14:paraId="7C3D3909" w14:textId="77777777">
        <w:trPr>
          <w:trHeight w:val="285"/>
        </w:trPr>
        <w:tc>
          <w:tcPr>
            <w:tcW w:w="1668" w:type="dxa"/>
            <w:tcBorders>
              <w:bottom w:val="single" w:sz="2" w:space="0" w:color="000000"/>
            </w:tcBorders>
          </w:tcPr>
          <w:p w14:paraId="1FDD82CA" w14:textId="77777777" w:rsidR="00084F36" w:rsidRPr="00EB2BD8" w:rsidRDefault="00084F36">
            <w:pPr>
              <w:pStyle w:val="TableParagraph"/>
              <w:rPr>
                <w:rFonts w:ascii="Times New Roman"/>
                <w:sz w:val="16"/>
              </w:rPr>
            </w:pPr>
          </w:p>
        </w:tc>
        <w:tc>
          <w:tcPr>
            <w:tcW w:w="3163" w:type="dxa"/>
            <w:tcBorders>
              <w:bottom w:val="single" w:sz="2" w:space="0" w:color="000000"/>
            </w:tcBorders>
          </w:tcPr>
          <w:p w14:paraId="0FEF47B1" w14:textId="77777777" w:rsidR="00084F36" w:rsidRPr="00EB2BD8" w:rsidRDefault="00EB2BD8">
            <w:pPr>
              <w:pStyle w:val="TableParagraph"/>
              <w:spacing w:before="19"/>
              <w:ind w:left="202"/>
              <w:rPr>
                <w:sz w:val="16"/>
              </w:rPr>
            </w:pPr>
            <w:r w:rsidRPr="00EB2BD8">
              <w:rPr>
                <w:sz w:val="16"/>
              </w:rPr>
              <w:t>contained</w:t>
            </w:r>
            <w:r w:rsidRPr="00EB2BD8">
              <w:rPr>
                <w:spacing w:val="-11"/>
                <w:sz w:val="16"/>
              </w:rPr>
              <w:t xml:space="preserve"> </w:t>
            </w:r>
            <w:r w:rsidRPr="00EB2BD8">
              <w:rPr>
                <w:sz w:val="16"/>
              </w:rPr>
              <w:t>misstatements</w:t>
            </w:r>
            <w:r w:rsidRPr="00EB2BD8">
              <w:rPr>
                <w:spacing w:val="-10"/>
                <w:sz w:val="16"/>
              </w:rPr>
              <w:t xml:space="preserve"> </w:t>
            </w:r>
            <w:r w:rsidRPr="00EB2BD8">
              <w:rPr>
                <w:sz w:val="16"/>
              </w:rPr>
              <w:t>of</w:t>
            </w:r>
            <w:r w:rsidRPr="00EB2BD8">
              <w:rPr>
                <w:spacing w:val="-11"/>
                <w:sz w:val="16"/>
              </w:rPr>
              <w:t xml:space="preserve"> </w:t>
            </w:r>
            <w:r w:rsidRPr="00EB2BD8">
              <w:rPr>
                <w:spacing w:val="-4"/>
                <w:sz w:val="16"/>
              </w:rPr>
              <w:t>fact.</w:t>
            </w:r>
          </w:p>
        </w:tc>
        <w:tc>
          <w:tcPr>
            <w:tcW w:w="3101" w:type="dxa"/>
            <w:tcBorders>
              <w:bottom w:val="single" w:sz="2" w:space="0" w:color="000000"/>
            </w:tcBorders>
          </w:tcPr>
          <w:p w14:paraId="699E0FA4" w14:textId="77777777" w:rsidR="00084F36" w:rsidRPr="00EB2BD8" w:rsidRDefault="00EB2BD8">
            <w:pPr>
              <w:pStyle w:val="TableParagraph"/>
              <w:spacing w:before="19"/>
              <w:ind w:left="157"/>
              <w:rPr>
                <w:sz w:val="16"/>
              </w:rPr>
            </w:pPr>
            <w:r w:rsidRPr="00EB2BD8">
              <w:rPr>
                <w:w w:val="90"/>
                <w:sz w:val="16"/>
              </w:rPr>
              <w:t>within</w:t>
            </w:r>
            <w:r w:rsidRPr="00EB2BD8">
              <w:rPr>
                <w:spacing w:val="-4"/>
                <w:w w:val="90"/>
                <w:sz w:val="16"/>
              </w:rPr>
              <w:t xml:space="preserve"> </w:t>
            </w:r>
            <w:r w:rsidRPr="00EB2BD8">
              <w:rPr>
                <w:w w:val="90"/>
                <w:sz w:val="16"/>
              </w:rPr>
              <w:t>next</w:t>
            </w:r>
            <w:r w:rsidRPr="00EB2BD8">
              <w:rPr>
                <w:spacing w:val="-3"/>
                <w:w w:val="90"/>
                <w:sz w:val="16"/>
              </w:rPr>
              <w:t xml:space="preserve"> </w:t>
            </w:r>
            <w:r w:rsidRPr="00EB2BD8">
              <w:rPr>
                <w:w w:val="90"/>
                <w:sz w:val="16"/>
              </w:rPr>
              <w:t>12</w:t>
            </w:r>
            <w:r w:rsidRPr="00EB2BD8">
              <w:rPr>
                <w:spacing w:val="-4"/>
                <w:w w:val="90"/>
                <w:sz w:val="16"/>
              </w:rPr>
              <w:t xml:space="preserve"> </w:t>
            </w:r>
            <w:r w:rsidRPr="00EB2BD8">
              <w:rPr>
                <w:spacing w:val="-2"/>
                <w:w w:val="90"/>
                <w:sz w:val="16"/>
              </w:rPr>
              <w:t>months.</w:t>
            </w:r>
          </w:p>
        </w:tc>
        <w:tc>
          <w:tcPr>
            <w:tcW w:w="1101" w:type="dxa"/>
            <w:tcBorders>
              <w:bottom w:val="single" w:sz="2" w:space="0" w:color="000000"/>
            </w:tcBorders>
          </w:tcPr>
          <w:p w14:paraId="6FCAE536"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55C83244" w14:textId="77777777" w:rsidR="00084F36" w:rsidRPr="00EB2BD8" w:rsidRDefault="00084F36">
            <w:pPr>
              <w:pStyle w:val="TableParagraph"/>
              <w:rPr>
                <w:rFonts w:ascii="Times New Roman"/>
                <w:sz w:val="16"/>
              </w:rPr>
            </w:pPr>
          </w:p>
        </w:tc>
      </w:tr>
      <w:tr w:rsidR="00EB2BD8" w:rsidRPr="00EB2BD8" w14:paraId="7ED3D1D2" w14:textId="77777777">
        <w:trPr>
          <w:trHeight w:val="326"/>
        </w:trPr>
        <w:tc>
          <w:tcPr>
            <w:tcW w:w="1668" w:type="dxa"/>
            <w:tcBorders>
              <w:top w:val="single" w:sz="2" w:space="0" w:color="000000"/>
            </w:tcBorders>
          </w:tcPr>
          <w:p w14:paraId="53C20268" w14:textId="77777777" w:rsidR="00084F36" w:rsidRPr="00EB2BD8" w:rsidRDefault="00EB2BD8">
            <w:pPr>
              <w:pStyle w:val="TableParagraph"/>
              <w:spacing w:before="116"/>
              <w:ind w:left="113"/>
              <w:rPr>
                <w:sz w:val="16"/>
              </w:rPr>
            </w:pPr>
            <w:r w:rsidRPr="00EB2BD8">
              <w:rPr>
                <w:sz w:val="16"/>
              </w:rPr>
              <w:t>POLIMENI,</w:t>
            </w:r>
            <w:r w:rsidRPr="00EB2BD8">
              <w:rPr>
                <w:spacing w:val="-13"/>
                <w:sz w:val="16"/>
              </w:rPr>
              <w:t xml:space="preserve"> </w:t>
            </w:r>
            <w:r w:rsidRPr="00EB2BD8">
              <w:rPr>
                <w:spacing w:val="-2"/>
                <w:sz w:val="16"/>
              </w:rPr>
              <w:t>Mario</w:t>
            </w:r>
          </w:p>
        </w:tc>
        <w:tc>
          <w:tcPr>
            <w:tcW w:w="3163" w:type="dxa"/>
            <w:tcBorders>
              <w:top w:val="single" w:sz="2" w:space="0" w:color="000000"/>
            </w:tcBorders>
          </w:tcPr>
          <w:p w14:paraId="54E33E99" w14:textId="77777777" w:rsidR="00084F36" w:rsidRPr="00EB2BD8" w:rsidRDefault="00EB2BD8">
            <w:pPr>
              <w:pStyle w:val="TableParagraph"/>
              <w:spacing w:before="116"/>
              <w:ind w:left="202"/>
              <w:rPr>
                <w:sz w:val="16"/>
              </w:rPr>
            </w:pPr>
            <w:r w:rsidRPr="00EB2BD8">
              <w:rPr>
                <w:sz w:val="16"/>
              </w:rPr>
              <w:t>Carried</w:t>
            </w:r>
            <w:r w:rsidRPr="00EB2BD8">
              <w:rPr>
                <w:spacing w:val="-9"/>
                <w:sz w:val="16"/>
              </w:rPr>
              <w:t xml:space="preserve"> </w:t>
            </w:r>
            <w:r w:rsidRPr="00EB2BD8">
              <w:rPr>
                <w:sz w:val="16"/>
              </w:rPr>
              <w:t>out</w:t>
            </w:r>
            <w:r w:rsidRPr="00EB2BD8">
              <w:rPr>
                <w:spacing w:val="-8"/>
                <w:sz w:val="16"/>
              </w:rPr>
              <w:t xml:space="preserve"> </w:t>
            </w:r>
            <w:r w:rsidRPr="00EB2BD8">
              <w:rPr>
                <w:sz w:val="16"/>
              </w:rPr>
              <w:t>or</w:t>
            </w:r>
            <w:r w:rsidRPr="00EB2BD8">
              <w:rPr>
                <w:spacing w:val="-8"/>
                <w:sz w:val="16"/>
              </w:rPr>
              <w:t xml:space="preserve"> </w:t>
            </w:r>
            <w:r w:rsidRPr="00EB2BD8">
              <w:rPr>
                <w:sz w:val="16"/>
              </w:rPr>
              <w:t>supervised</w:t>
            </w:r>
            <w:r w:rsidRPr="00EB2BD8">
              <w:rPr>
                <w:spacing w:val="-8"/>
                <w:sz w:val="16"/>
              </w:rPr>
              <w:t xml:space="preserve"> </w:t>
            </w:r>
            <w:r w:rsidRPr="00EB2BD8">
              <w:rPr>
                <w:spacing w:val="-5"/>
                <w:sz w:val="16"/>
              </w:rPr>
              <w:t>the</w:t>
            </w:r>
          </w:p>
        </w:tc>
        <w:tc>
          <w:tcPr>
            <w:tcW w:w="3101" w:type="dxa"/>
            <w:tcBorders>
              <w:top w:val="single" w:sz="2" w:space="0" w:color="000000"/>
            </w:tcBorders>
          </w:tcPr>
          <w:p w14:paraId="2CE56639" w14:textId="77777777" w:rsidR="00084F36" w:rsidRPr="00EB2BD8" w:rsidRDefault="00EB2BD8">
            <w:pPr>
              <w:pStyle w:val="TableParagraph"/>
              <w:spacing w:before="115"/>
              <w:ind w:left="157"/>
              <w:rPr>
                <w:sz w:val="16"/>
              </w:rPr>
            </w:pPr>
            <w:r w:rsidRPr="00EB2BD8">
              <w:rPr>
                <w:spacing w:val="-2"/>
                <w:sz w:val="16"/>
              </w:rPr>
              <w:t>Twelve</w:t>
            </w:r>
            <w:r w:rsidRPr="00EB2BD8">
              <w:rPr>
                <w:spacing w:val="-5"/>
                <w:sz w:val="16"/>
              </w:rPr>
              <w:t xml:space="preserve"> </w:t>
            </w:r>
            <w:r w:rsidRPr="00EB2BD8">
              <w:rPr>
                <w:spacing w:val="-2"/>
                <w:sz w:val="16"/>
              </w:rPr>
              <w:t>grounds</w:t>
            </w:r>
            <w:r w:rsidRPr="00EB2BD8">
              <w:rPr>
                <w:spacing w:val="-5"/>
                <w:sz w:val="16"/>
              </w:rPr>
              <w:t xml:space="preserve"> </w:t>
            </w:r>
            <w:r w:rsidRPr="00EB2BD8">
              <w:rPr>
                <w:spacing w:val="-2"/>
                <w:sz w:val="16"/>
              </w:rPr>
              <w:t>proven.</w:t>
            </w:r>
            <w:r w:rsidRPr="00EB2BD8">
              <w:rPr>
                <w:spacing w:val="-5"/>
                <w:sz w:val="16"/>
              </w:rPr>
              <w:t xml:space="preserve"> </w:t>
            </w:r>
            <w:r w:rsidRPr="00EB2BD8">
              <w:rPr>
                <w:spacing w:val="-2"/>
                <w:sz w:val="16"/>
              </w:rPr>
              <w:t>Penalty</w:t>
            </w:r>
            <w:r w:rsidRPr="00EB2BD8">
              <w:rPr>
                <w:spacing w:val="-5"/>
                <w:sz w:val="16"/>
              </w:rPr>
              <w:t xml:space="preserve"> of</w:t>
            </w:r>
          </w:p>
        </w:tc>
        <w:tc>
          <w:tcPr>
            <w:tcW w:w="1101" w:type="dxa"/>
            <w:tcBorders>
              <w:top w:val="single" w:sz="2" w:space="0" w:color="000000"/>
            </w:tcBorders>
          </w:tcPr>
          <w:p w14:paraId="778F6F19" w14:textId="77777777" w:rsidR="00084F36" w:rsidRPr="00EB2BD8" w:rsidRDefault="00EB2BD8">
            <w:pPr>
              <w:pStyle w:val="TableParagraph"/>
              <w:spacing w:before="115"/>
              <w:ind w:right="112"/>
              <w:jc w:val="right"/>
              <w:rPr>
                <w:sz w:val="16"/>
              </w:rPr>
            </w:pPr>
            <w:r w:rsidRPr="00EB2BD8">
              <w:rPr>
                <w:spacing w:val="-2"/>
                <w:sz w:val="16"/>
              </w:rPr>
              <w:t>$3,698</w:t>
            </w:r>
          </w:p>
        </w:tc>
        <w:tc>
          <w:tcPr>
            <w:tcW w:w="1176" w:type="dxa"/>
            <w:tcBorders>
              <w:top w:val="single" w:sz="2" w:space="0" w:color="000000"/>
            </w:tcBorders>
          </w:tcPr>
          <w:p w14:paraId="54A5FC7B" w14:textId="77777777" w:rsidR="00084F36" w:rsidRPr="00EB2BD8" w:rsidRDefault="00EB2BD8">
            <w:pPr>
              <w:pStyle w:val="TableParagraph"/>
              <w:spacing w:before="115"/>
              <w:ind w:left="113"/>
              <w:rPr>
                <w:sz w:val="16"/>
              </w:rPr>
            </w:pPr>
            <w:r w:rsidRPr="00EB2BD8">
              <w:rPr>
                <w:spacing w:val="-2"/>
                <w:sz w:val="16"/>
              </w:rPr>
              <w:t>30/05/2023</w:t>
            </w:r>
          </w:p>
        </w:tc>
      </w:tr>
      <w:tr w:rsidR="00EB2BD8" w:rsidRPr="00EB2BD8" w14:paraId="77B1264A" w14:textId="77777777">
        <w:trPr>
          <w:trHeight w:val="230"/>
        </w:trPr>
        <w:tc>
          <w:tcPr>
            <w:tcW w:w="1668" w:type="dxa"/>
          </w:tcPr>
          <w:p w14:paraId="1F256F02" w14:textId="77777777" w:rsidR="00084F36" w:rsidRPr="00EB2BD8" w:rsidRDefault="00084F36">
            <w:pPr>
              <w:pStyle w:val="TableParagraph"/>
              <w:rPr>
                <w:rFonts w:ascii="Times New Roman"/>
                <w:sz w:val="16"/>
              </w:rPr>
            </w:pPr>
          </w:p>
        </w:tc>
        <w:tc>
          <w:tcPr>
            <w:tcW w:w="3163" w:type="dxa"/>
          </w:tcPr>
          <w:p w14:paraId="7A20742B" w14:textId="77777777" w:rsidR="00084F36" w:rsidRPr="00EB2BD8" w:rsidRDefault="00EB2BD8">
            <w:pPr>
              <w:pStyle w:val="TableParagraph"/>
              <w:spacing w:before="19"/>
              <w:ind w:left="202"/>
              <w:rPr>
                <w:sz w:val="16"/>
              </w:rPr>
            </w:pPr>
            <w:r w:rsidRPr="00EB2BD8">
              <w:rPr>
                <w:sz w:val="16"/>
              </w:rPr>
              <w:t>carrying</w:t>
            </w:r>
            <w:r w:rsidRPr="00EB2BD8">
              <w:rPr>
                <w:spacing w:val="-6"/>
                <w:sz w:val="16"/>
              </w:rPr>
              <w:t xml:space="preserve"> </w:t>
            </w:r>
            <w:r w:rsidRPr="00EB2BD8">
              <w:rPr>
                <w:sz w:val="16"/>
              </w:rPr>
              <w:t>out</w:t>
            </w:r>
            <w:r w:rsidRPr="00EB2BD8">
              <w:rPr>
                <w:spacing w:val="-5"/>
                <w:sz w:val="16"/>
              </w:rPr>
              <w:t xml:space="preserve"> </w:t>
            </w:r>
            <w:r w:rsidRPr="00EB2BD8">
              <w:rPr>
                <w:sz w:val="16"/>
              </w:rPr>
              <w:t>of</w:t>
            </w:r>
            <w:r w:rsidRPr="00EB2BD8">
              <w:rPr>
                <w:spacing w:val="-5"/>
                <w:sz w:val="16"/>
              </w:rPr>
              <w:t xml:space="preserve"> </w:t>
            </w:r>
            <w:r w:rsidRPr="00EB2BD8">
              <w:rPr>
                <w:sz w:val="16"/>
              </w:rPr>
              <w:t>non-</w:t>
            </w:r>
            <w:r w:rsidRPr="00EB2BD8">
              <w:rPr>
                <w:spacing w:val="-2"/>
                <w:sz w:val="16"/>
              </w:rPr>
              <w:t>compliant</w:t>
            </w:r>
          </w:p>
        </w:tc>
        <w:tc>
          <w:tcPr>
            <w:tcW w:w="3101" w:type="dxa"/>
          </w:tcPr>
          <w:p w14:paraId="4A158AA9" w14:textId="77777777" w:rsidR="00084F36" w:rsidRPr="00EB2BD8" w:rsidRDefault="00EB2BD8">
            <w:pPr>
              <w:pStyle w:val="TableParagraph"/>
              <w:spacing w:before="19"/>
              <w:ind w:left="157"/>
              <w:rPr>
                <w:sz w:val="16"/>
              </w:rPr>
            </w:pPr>
            <w:r w:rsidRPr="00EB2BD8">
              <w:rPr>
                <w:spacing w:val="-6"/>
                <w:sz w:val="16"/>
              </w:rPr>
              <w:t>$3,698</w:t>
            </w:r>
            <w:r w:rsidRPr="00EB2BD8">
              <w:rPr>
                <w:spacing w:val="-8"/>
                <w:sz w:val="16"/>
              </w:rPr>
              <w:t xml:space="preserve"> </w:t>
            </w:r>
            <w:r w:rsidRPr="00EB2BD8">
              <w:rPr>
                <w:spacing w:val="-6"/>
                <w:sz w:val="16"/>
              </w:rPr>
              <w:t>plus</w:t>
            </w:r>
            <w:r w:rsidRPr="00EB2BD8">
              <w:rPr>
                <w:spacing w:val="-8"/>
                <w:sz w:val="16"/>
              </w:rPr>
              <w:t xml:space="preserve"> </w:t>
            </w:r>
            <w:r w:rsidRPr="00EB2BD8">
              <w:rPr>
                <w:spacing w:val="-6"/>
                <w:sz w:val="16"/>
              </w:rPr>
              <w:t>cost</w:t>
            </w:r>
            <w:r w:rsidRPr="00EB2BD8">
              <w:rPr>
                <w:spacing w:val="-8"/>
                <w:sz w:val="16"/>
              </w:rPr>
              <w:t xml:space="preserve"> </w:t>
            </w:r>
            <w:r w:rsidRPr="00EB2BD8">
              <w:rPr>
                <w:spacing w:val="-6"/>
                <w:sz w:val="16"/>
              </w:rPr>
              <w:t>of</w:t>
            </w:r>
            <w:r w:rsidRPr="00EB2BD8">
              <w:rPr>
                <w:spacing w:val="-8"/>
                <w:sz w:val="16"/>
              </w:rPr>
              <w:t xml:space="preserve"> </w:t>
            </w:r>
            <w:r w:rsidRPr="00EB2BD8">
              <w:rPr>
                <w:spacing w:val="-6"/>
                <w:sz w:val="16"/>
              </w:rPr>
              <w:t>$2,314.</w:t>
            </w:r>
          </w:p>
        </w:tc>
        <w:tc>
          <w:tcPr>
            <w:tcW w:w="1101" w:type="dxa"/>
          </w:tcPr>
          <w:p w14:paraId="377544BF" w14:textId="77777777" w:rsidR="00084F36" w:rsidRPr="00EB2BD8" w:rsidRDefault="00084F36">
            <w:pPr>
              <w:pStyle w:val="TableParagraph"/>
              <w:rPr>
                <w:rFonts w:ascii="Times New Roman"/>
                <w:sz w:val="16"/>
              </w:rPr>
            </w:pPr>
          </w:p>
        </w:tc>
        <w:tc>
          <w:tcPr>
            <w:tcW w:w="1176" w:type="dxa"/>
          </w:tcPr>
          <w:p w14:paraId="28DB1493" w14:textId="77777777" w:rsidR="00084F36" w:rsidRPr="00EB2BD8" w:rsidRDefault="00084F36">
            <w:pPr>
              <w:pStyle w:val="TableParagraph"/>
              <w:rPr>
                <w:rFonts w:ascii="Times New Roman"/>
                <w:sz w:val="16"/>
              </w:rPr>
            </w:pPr>
          </w:p>
        </w:tc>
      </w:tr>
      <w:tr w:rsidR="00EB2BD8" w:rsidRPr="00EB2BD8" w14:paraId="46BA8D76" w14:textId="77777777">
        <w:trPr>
          <w:trHeight w:val="229"/>
        </w:trPr>
        <w:tc>
          <w:tcPr>
            <w:tcW w:w="1668" w:type="dxa"/>
          </w:tcPr>
          <w:p w14:paraId="6216CB62" w14:textId="77777777" w:rsidR="00084F36" w:rsidRPr="00EB2BD8" w:rsidRDefault="00084F36">
            <w:pPr>
              <w:pStyle w:val="TableParagraph"/>
              <w:rPr>
                <w:rFonts w:ascii="Times New Roman"/>
                <w:sz w:val="16"/>
              </w:rPr>
            </w:pPr>
          </w:p>
        </w:tc>
        <w:tc>
          <w:tcPr>
            <w:tcW w:w="3163" w:type="dxa"/>
          </w:tcPr>
          <w:p w14:paraId="1F855B06" w14:textId="77777777" w:rsidR="00084F36" w:rsidRPr="00EB2BD8" w:rsidRDefault="00EB2BD8">
            <w:pPr>
              <w:pStyle w:val="TableParagraph"/>
              <w:spacing w:before="19"/>
              <w:ind w:left="202"/>
              <w:rPr>
                <w:sz w:val="16"/>
              </w:rPr>
            </w:pPr>
            <w:r w:rsidRPr="00EB2BD8">
              <w:rPr>
                <w:spacing w:val="-2"/>
                <w:sz w:val="16"/>
              </w:rPr>
              <w:t>plumbing</w:t>
            </w:r>
            <w:r w:rsidRPr="00EB2BD8">
              <w:rPr>
                <w:spacing w:val="-5"/>
                <w:sz w:val="16"/>
              </w:rPr>
              <w:t xml:space="preserve"> </w:t>
            </w:r>
            <w:r w:rsidRPr="00EB2BD8">
              <w:rPr>
                <w:spacing w:val="-2"/>
                <w:sz w:val="16"/>
              </w:rPr>
              <w:t>work</w:t>
            </w:r>
            <w:r w:rsidRPr="00EB2BD8">
              <w:rPr>
                <w:spacing w:val="-4"/>
                <w:sz w:val="16"/>
              </w:rPr>
              <w:t xml:space="preserve"> </w:t>
            </w:r>
            <w:r w:rsidRPr="00EB2BD8">
              <w:rPr>
                <w:spacing w:val="-2"/>
                <w:sz w:val="16"/>
              </w:rPr>
              <w:t>across</w:t>
            </w:r>
            <w:r w:rsidRPr="00EB2BD8">
              <w:rPr>
                <w:spacing w:val="-4"/>
                <w:sz w:val="16"/>
              </w:rPr>
              <w:t xml:space="preserve"> four</w:t>
            </w:r>
          </w:p>
        </w:tc>
        <w:tc>
          <w:tcPr>
            <w:tcW w:w="3101" w:type="dxa"/>
          </w:tcPr>
          <w:p w14:paraId="5A01C8A6" w14:textId="77777777" w:rsidR="00084F36" w:rsidRPr="00EB2BD8" w:rsidRDefault="00084F36">
            <w:pPr>
              <w:pStyle w:val="TableParagraph"/>
              <w:rPr>
                <w:rFonts w:ascii="Times New Roman"/>
                <w:sz w:val="16"/>
              </w:rPr>
            </w:pPr>
          </w:p>
        </w:tc>
        <w:tc>
          <w:tcPr>
            <w:tcW w:w="1101" w:type="dxa"/>
          </w:tcPr>
          <w:p w14:paraId="117B6F7C" w14:textId="77777777" w:rsidR="00084F36" w:rsidRPr="00EB2BD8" w:rsidRDefault="00084F36">
            <w:pPr>
              <w:pStyle w:val="TableParagraph"/>
              <w:rPr>
                <w:rFonts w:ascii="Times New Roman"/>
                <w:sz w:val="16"/>
              </w:rPr>
            </w:pPr>
          </w:p>
        </w:tc>
        <w:tc>
          <w:tcPr>
            <w:tcW w:w="1176" w:type="dxa"/>
          </w:tcPr>
          <w:p w14:paraId="4770A018" w14:textId="77777777" w:rsidR="00084F36" w:rsidRPr="00EB2BD8" w:rsidRDefault="00084F36">
            <w:pPr>
              <w:pStyle w:val="TableParagraph"/>
              <w:rPr>
                <w:rFonts w:ascii="Times New Roman"/>
                <w:sz w:val="16"/>
              </w:rPr>
            </w:pPr>
          </w:p>
        </w:tc>
      </w:tr>
      <w:tr w:rsidR="00EB2BD8" w:rsidRPr="00EB2BD8" w14:paraId="037A37CE" w14:textId="77777777">
        <w:trPr>
          <w:trHeight w:val="229"/>
        </w:trPr>
        <w:tc>
          <w:tcPr>
            <w:tcW w:w="1668" w:type="dxa"/>
          </w:tcPr>
          <w:p w14:paraId="7DD1D269" w14:textId="77777777" w:rsidR="00084F36" w:rsidRPr="00EB2BD8" w:rsidRDefault="00084F36">
            <w:pPr>
              <w:pStyle w:val="TableParagraph"/>
              <w:rPr>
                <w:rFonts w:ascii="Times New Roman"/>
                <w:sz w:val="16"/>
              </w:rPr>
            </w:pPr>
          </w:p>
        </w:tc>
        <w:tc>
          <w:tcPr>
            <w:tcW w:w="3163" w:type="dxa"/>
          </w:tcPr>
          <w:p w14:paraId="75821195" w14:textId="77777777" w:rsidR="00084F36" w:rsidRPr="00EB2BD8" w:rsidRDefault="00EB2BD8">
            <w:pPr>
              <w:pStyle w:val="TableParagraph"/>
              <w:spacing w:before="19"/>
              <w:ind w:left="202"/>
              <w:rPr>
                <w:sz w:val="16"/>
              </w:rPr>
            </w:pPr>
            <w:r w:rsidRPr="00EB2BD8">
              <w:rPr>
                <w:spacing w:val="-4"/>
                <w:sz w:val="16"/>
              </w:rPr>
              <w:t>different</w:t>
            </w:r>
            <w:r w:rsidRPr="00EB2BD8">
              <w:rPr>
                <w:spacing w:val="-1"/>
                <w:sz w:val="16"/>
              </w:rPr>
              <w:t xml:space="preserve"> </w:t>
            </w:r>
            <w:r w:rsidRPr="00EB2BD8">
              <w:rPr>
                <w:spacing w:val="-4"/>
                <w:sz w:val="16"/>
              </w:rPr>
              <w:t>sites.</w:t>
            </w:r>
            <w:r w:rsidRPr="00EB2BD8">
              <w:rPr>
                <w:spacing w:val="-1"/>
                <w:sz w:val="16"/>
              </w:rPr>
              <w:t xml:space="preserve"> </w:t>
            </w:r>
            <w:r w:rsidRPr="00EB2BD8">
              <w:rPr>
                <w:spacing w:val="-4"/>
                <w:sz w:val="16"/>
              </w:rPr>
              <w:t>Failed</w:t>
            </w:r>
            <w:r w:rsidRPr="00EB2BD8">
              <w:rPr>
                <w:spacing w:val="-1"/>
                <w:sz w:val="16"/>
              </w:rPr>
              <w:t xml:space="preserve"> </w:t>
            </w:r>
            <w:r w:rsidRPr="00EB2BD8">
              <w:rPr>
                <w:spacing w:val="-4"/>
                <w:sz w:val="16"/>
              </w:rPr>
              <w:t>to</w:t>
            </w:r>
            <w:r w:rsidRPr="00EB2BD8">
              <w:rPr>
                <w:sz w:val="16"/>
              </w:rPr>
              <w:t xml:space="preserve"> </w:t>
            </w:r>
            <w:r w:rsidRPr="00EB2BD8">
              <w:rPr>
                <w:spacing w:val="-4"/>
                <w:sz w:val="16"/>
              </w:rPr>
              <w:t>comply</w:t>
            </w:r>
          </w:p>
        </w:tc>
        <w:tc>
          <w:tcPr>
            <w:tcW w:w="3101" w:type="dxa"/>
          </w:tcPr>
          <w:p w14:paraId="19E982AF" w14:textId="77777777" w:rsidR="00084F36" w:rsidRPr="00EB2BD8" w:rsidRDefault="00084F36">
            <w:pPr>
              <w:pStyle w:val="TableParagraph"/>
              <w:rPr>
                <w:rFonts w:ascii="Times New Roman"/>
                <w:sz w:val="16"/>
              </w:rPr>
            </w:pPr>
          </w:p>
        </w:tc>
        <w:tc>
          <w:tcPr>
            <w:tcW w:w="1101" w:type="dxa"/>
          </w:tcPr>
          <w:p w14:paraId="2E47294D" w14:textId="77777777" w:rsidR="00084F36" w:rsidRPr="00EB2BD8" w:rsidRDefault="00084F36">
            <w:pPr>
              <w:pStyle w:val="TableParagraph"/>
              <w:rPr>
                <w:rFonts w:ascii="Times New Roman"/>
                <w:sz w:val="16"/>
              </w:rPr>
            </w:pPr>
          </w:p>
        </w:tc>
        <w:tc>
          <w:tcPr>
            <w:tcW w:w="1176" w:type="dxa"/>
          </w:tcPr>
          <w:p w14:paraId="7B082B83" w14:textId="77777777" w:rsidR="00084F36" w:rsidRPr="00EB2BD8" w:rsidRDefault="00084F36">
            <w:pPr>
              <w:pStyle w:val="TableParagraph"/>
              <w:rPr>
                <w:rFonts w:ascii="Times New Roman"/>
                <w:sz w:val="16"/>
              </w:rPr>
            </w:pPr>
          </w:p>
        </w:tc>
      </w:tr>
      <w:tr w:rsidR="00EB2BD8" w:rsidRPr="00EB2BD8" w14:paraId="19FC78E1" w14:textId="77777777">
        <w:trPr>
          <w:trHeight w:val="229"/>
        </w:trPr>
        <w:tc>
          <w:tcPr>
            <w:tcW w:w="1668" w:type="dxa"/>
          </w:tcPr>
          <w:p w14:paraId="02BB8D04" w14:textId="77777777" w:rsidR="00084F36" w:rsidRPr="00EB2BD8" w:rsidRDefault="00084F36">
            <w:pPr>
              <w:pStyle w:val="TableParagraph"/>
              <w:rPr>
                <w:rFonts w:ascii="Times New Roman"/>
                <w:sz w:val="16"/>
              </w:rPr>
            </w:pPr>
          </w:p>
        </w:tc>
        <w:tc>
          <w:tcPr>
            <w:tcW w:w="3163" w:type="dxa"/>
          </w:tcPr>
          <w:p w14:paraId="701D8840" w14:textId="77777777" w:rsidR="00084F36" w:rsidRPr="00EB2BD8" w:rsidRDefault="00EB2BD8">
            <w:pPr>
              <w:pStyle w:val="TableParagraph"/>
              <w:spacing w:before="19"/>
              <w:ind w:left="202"/>
              <w:rPr>
                <w:sz w:val="16"/>
              </w:rPr>
            </w:pPr>
            <w:r w:rsidRPr="00EB2BD8">
              <w:rPr>
                <w:spacing w:val="-2"/>
                <w:sz w:val="16"/>
              </w:rPr>
              <w:t>with</w:t>
            </w:r>
            <w:r w:rsidRPr="00EB2BD8">
              <w:rPr>
                <w:spacing w:val="-5"/>
                <w:sz w:val="16"/>
              </w:rPr>
              <w:t xml:space="preserve"> </w:t>
            </w:r>
            <w:r w:rsidRPr="00EB2BD8">
              <w:rPr>
                <w:spacing w:val="-2"/>
                <w:sz w:val="16"/>
              </w:rPr>
              <w:t>rectification</w:t>
            </w:r>
            <w:r w:rsidRPr="00EB2BD8">
              <w:rPr>
                <w:spacing w:val="-5"/>
                <w:sz w:val="16"/>
              </w:rPr>
              <w:t xml:space="preserve"> </w:t>
            </w:r>
            <w:r w:rsidRPr="00EB2BD8">
              <w:rPr>
                <w:spacing w:val="-2"/>
                <w:sz w:val="16"/>
              </w:rPr>
              <w:t>notices.</w:t>
            </w:r>
            <w:r w:rsidRPr="00EB2BD8">
              <w:rPr>
                <w:spacing w:val="-4"/>
                <w:sz w:val="16"/>
              </w:rPr>
              <w:t xml:space="preserve"> </w:t>
            </w:r>
            <w:r w:rsidRPr="00EB2BD8">
              <w:rPr>
                <w:spacing w:val="-2"/>
                <w:sz w:val="16"/>
              </w:rPr>
              <w:t>Issued</w:t>
            </w:r>
          </w:p>
        </w:tc>
        <w:tc>
          <w:tcPr>
            <w:tcW w:w="3101" w:type="dxa"/>
          </w:tcPr>
          <w:p w14:paraId="3800E920" w14:textId="77777777" w:rsidR="00084F36" w:rsidRPr="00EB2BD8" w:rsidRDefault="00084F36">
            <w:pPr>
              <w:pStyle w:val="TableParagraph"/>
              <w:rPr>
                <w:rFonts w:ascii="Times New Roman"/>
                <w:sz w:val="16"/>
              </w:rPr>
            </w:pPr>
          </w:p>
        </w:tc>
        <w:tc>
          <w:tcPr>
            <w:tcW w:w="1101" w:type="dxa"/>
          </w:tcPr>
          <w:p w14:paraId="15FC545C" w14:textId="77777777" w:rsidR="00084F36" w:rsidRPr="00EB2BD8" w:rsidRDefault="00084F36">
            <w:pPr>
              <w:pStyle w:val="TableParagraph"/>
              <w:rPr>
                <w:rFonts w:ascii="Times New Roman"/>
                <w:sz w:val="16"/>
              </w:rPr>
            </w:pPr>
          </w:p>
        </w:tc>
        <w:tc>
          <w:tcPr>
            <w:tcW w:w="1176" w:type="dxa"/>
          </w:tcPr>
          <w:p w14:paraId="0C3CF7D6" w14:textId="77777777" w:rsidR="00084F36" w:rsidRPr="00EB2BD8" w:rsidRDefault="00084F36">
            <w:pPr>
              <w:pStyle w:val="TableParagraph"/>
              <w:rPr>
                <w:rFonts w:ascii="Times New Roman"/>
                <w:sz w:val="16"/>
              </w:rPr>
            </w:pPr>
          </w:p>
        </w:tc>
      </w:tr>
      <w:tr w:rsidR="00EB2BD8" w:rsidRPr="00EB2BD8" w14:paraId="7CCF7E93" w14:textId="77777777">
        <w:trPr>
          <w:trHeight w:val="229"/>
        </w:trPr>
        <w:tc>
          <w:tcPr>
            <w:tcW w:w="1668" w:type="dxa"/>
          </w:tcPr>
          <w:p w14:paraId="05B602B2" w14:textId="77777777" w:rsidR="00084F36" w:rsidRPr="00EB2BD8" w:rsidRDefault="00084F36">
            <w:pPr>
              <w:pStyle w:val="TableParagraph"/>
              <w:rPr>
                <w:rFonts w:ascii="Times New Roman"/>
                <w:sz w:val="16"/>
              </w:rPr>
            </w:pPr>
          </w:p>
        </w:tc>
        <w:tc>
          <w:tcPr>
            <w:tcW w:w="3163" w:type="dxa"/>
          </w:tcPr>
          <w:p w14:paraId="3292078F" w14:textId="77777777" w:rsidR="00084F36" w:rsidRPr="00EB2BD8" w:rsidRDefault="00EB2BD8">
            <w:pPr>
              <w:pStyle w:val="TableParagraph"/>
              <w:spacing w:before="19"/>
              <w:ind w:left="202"/>
              <w:rPr>
                <w:sz w:val="16"/>
              </w:rPr>
            </w:pPr>
            <w:r w:rsidRPr="00EB2BD8">
              <w:rPr>
                <w:sz w:val="16"/>
              </w:rPr>
              <w:t>compliance</w:t>
            </w:r>
            <w:r w:rsidRPr="00EB2BD8">
              <w:rPr>
                <w:spacing w:val="3"/>
                <w:sz w:val="16"/>
              </w:rPr>
              <w:t xml:space="preserve"> </w:t>
            </w:r>
            <w:r w:rsidRPr="00EB2BD8">
              <w:rPr>
                <w:sz w:val="16"/>
              </w:rPr>
              <w:t>certificate</w:t>
            </w:r>
            <w:r w:rsidRPr="00EB2BD8">
              <w:rPr>
                <w:spacing w:val="3"/>
                <w:sz w:val="16"/>
              </w:rPr>
              <w:t xml:space="preserve"> </w:t>
            </w:r>
            <w:r w:rsidRPr="00EB2BD8">
              <w:rPr>
                <w:spacing w:val="-4"/>
                <w:sz w:val="16"/>
              </w:rPr>
              <w:t>that</w:t>
            </w:r>
          </w:p>
        </w:tc>
        <w:tc>
          <w:tcPr>
            <w:tcW w:w="3101" w:type="dxa"/>
          </w:tcPr>
          <w:p w14:paraId="2738C8D3" w14:textId="77777777" w:rsidR="00084F36" w:rsidRPr="00EB2BD8" w:rsidRDefault="00084F36">
            <w:pPr>
              <w:pStyle w:val="TableParagraph"/>
              <w:rPr>
                <w:rFonts w:ascii="Times New Roman"/>
                <w:sz w:val="16"/>
              </w:rPr>
            </w:pPr>
          </w:p>
        </w:tc>
        <w:tc>
          <w:tcPr>
            <w:tcW w:w="1101" w:type="dxa"/>
          </w:tcPr>
          <w:p w14:paraId="487D1241" w14:textId="77777777" w:rsidR="00084F36" w:rsidRPr="00EB2BD8" w:rsidRDefault="00084F36">
            <w:pPr>
              <w:pStyle w:val="TableParagraph"/>
              <w:rPr>
                <w:rFonts w:ascii="Times New Roman"/>
                <w:sz w:val="16"/>
              </w:rPr>
            </w:pPr>
          </w:p>
        </w:tc>
        <w:tc>
          <w:tcPr>
            <w:tcW w:w="1176" w:type="dxa"/>
          </w:tcPr>
          <w:p w14:paraId="01322C05" w14:textId="77777777" w:rsidR="00084F36" w:rsidRPr="00EB2BD8" w:rsidRDefault="00084F36">
            <w:pPr>
              <w:pStyle w:val="TableParagraph"/>
              <w:rPr>
                <w:rFonts w:ascii="Times New Roman"/>
                <w:sz w:val="16"/>
              </w:rPr>
            </w:pPr>
          </w:p>
        </w:tc>
      </w:tr>
      <w:tr w:rsidR="00EB2BD8" w:rsidRPr="00EB2BD8" w14:paraId="0DC384E8" w14:textId="77777777">
        <w:trPr>
          <w:trHeight w:val="285"/>
        </w:trPr>
        <w:tc>
          <w:tcPr>
            <w:tcW w:w="1668" w:type="dxa"/>
            <w:tcBorders>
              <w:bottom w:val="single" w:sz="2" w:space="0" w:color="000000"/>
            </w:tcBorders>
          </w:tcPr>
          <w:p w14:paraId="3F37C789" w14:textId="77777777" w:rsidR="00084F36" w:rsidRPr="00EB2BD8" w:rsidRDefault="00084F36">
            <w:pPr>
              <w:pStyle w:val="TableParagraph"/>
              <w:rPr>
                <w:rFonts w:ascii="Times New Roman"/>
                <w:sz w:val="16"/>
              </w:rPr>
            </w:pPr>
          </w:p>
        </w:tc>
        <w:tc>
          <w:tcPr>
            <w:tcW w:w="3163" w:type="dxa"/>
            <w:tcBorders>
              <w:bottom w:val="single" w:sz="2" w:space="0" w:color="000000"/>
            </w:tcBorders>
          </w:tcPr>
          <w:p w14:paraId="59EEBAFE" w14:textId="77777777" w:rsidR="00084F36" w:rsidRPr="00EB2BD8" w:rsidRDefault="00EB2BD8">
            <w:pPr>
              <w:pStyle w:val="TableParagraph"/>
              <w:spacing w:before="19"/>
              <w:ind w:left="202"/>
              <w:rPr>
                <w:sz w:val="16"/>
              </w:rPr>
            </w:pPr>
            <w:r w:rsidRPr="00EB2BD8">
              <w:rPr>
                <w:sz w:val="16"/>
              </w:rPr>
              <w:t>contained</w:t>
            </w:r>
            <w:r w:rsidRPr="00EB2BD8">
              <w:rPr>
                <w:spacing w:val="-11"/>
                <w:sz w:val="16"/>
              </w:rPr>
              <w:t xml:space="preserve"> </w:t>
            </w:r>
            <w:r w:rsidRPr="00EB2BD8">
              <w:rPr>
                <w:sz w:val="16"/>
              </w:rPr>
              <w:t>misstatement</w:t>
            </w:r>
            <w:r w:rsidRPr="00EB2BD8">
              <w:rPr>
                <w:spacing w:val="-11"/>
                <w:sz w:val="16"/>
              </w:rPr>
              <w:t xml:space="preserve"> </w:t>
            </w:r>
            <w:r w:rsidRPr="00EB2BD8">
              <w:rPr>
                <w:sz w:val="16"/>
              </w:rPr>
              <w:t>of</w:t>
            </w:r>
            <w:r w:rsidRPr="00EB2BD8">
              <w:rPr>
                <w:spacing w:val="-11"/>
                <w:sz w:val="16"/>
              </w:rPr>
              <w:t xml:space="preserve"> </w:t>
            </w:r>
            <w:r w:rsidRPr="00EB2BD8">
              <w:rPr>
                <w:spacing w:val="-2"/>
                <w:sz w:val="16"/>
              </w:rPr>
              <w:t>facts.</w:t>
            </w:r>
          </w:p>
        </w:tc>
        <w:tc>
          <w:tcPr>
            <w:tcW w:w="3101" w:type="dxa"/>
            <w:tcBorders>
              <w:bottom w:val="single" w:sz="2" w:space="0" w:color="000000"/>
            </w:tcBorders>
          </w:tcPr>
          <w:p w14:paraId="36889584" w14:textId="77777777" w:rsidR="00084F36" w:rsidRPr="00EB2BD8" w:rsidRDefault="00084F36">
            <w:pPr>
              <w:pStyle w:val="TableParagraph"/>
              <w:rPr>
                <w:rFonts w:ascii="Times New Roman"/>
                <w:sz w:val="16"/>
              </w:rPr>
            </w:pPr>
          </w:p>
        </w:tc>
        <w:tc>
          <w:tcPr>
            <w:tcW w:w="1101" w:type="dxa"/>
            <w:tcBorders>
              <w:bottom w:val="single" w:sz="2" w:space="0" w:color="000000"/>
            </w:tcBorders>
          </w:tcPr>
          <w:p w14:paraId="30DCAA5E"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1C80A195" w14:textId="77777777" w:rsidR="00084F36" w:rsidRPr="00EB2BD8" w:rsidRDefault="00084F36">
            <w:pPr>
              <w:pStyle w:val="TableParagraph"/>
              <w:rPr>
                <w:rFonts w:ascii="Times New Roman"/>
                <w:sz w:val="16"/>
              </w:rPr>
            </w:pPr>
          </w:p>
        </w:tc>
      </w:tr>
      <w:tr w:rsidR="00EB2BD8" w:rsidRPr="00EB2BD8" w14:paraId="3485CBDF" w14:textId="77777777">
        <w:trPr>
          <w:trHeight w:val="325"/>
        </w:trPr>
        <w:tc>
          <w:tcPr>
            <w:tcW w:w="1668" w:type="dxa"/>
            <w:tcBorders>
              <w:top w:val="single" w:sz="2" w:space="0" w:color="000000"/>
            </w:tcBorders>
          </w:tcPr>
          <w:p w14:paraId="20CE7F77" w14:textId="77777777" w:rsidR="00084F36" w:rsidRPr="00EB2BD8" w:rsidRDefault="00EB2BD8">
            <w:pPr>
              <w:pStyle w:val="TableParagraph"/>
              <w:spacing w:before="115"/>
              <w:ind w:left="113"/>
              <w:rPr>
                <w:sz w:val="16"/>
              </w:rPr>
            </w:pPr>
            <w:r w:rsidRPr="00EB2BD8">
              <w:rPr>
                <w:sz w:val="16"/>
              </w:rPr>
              <w:t>WILSON,</w:t>
            </w:r>
            <w:r w:rsidRPr="00EB2BD8">
              <w:rPr>
                <w:spacing w:val="-7"/>
                <w:sz w:val="16"/>
              </w:rPr>
              <w:t xml:space="preserve"> </w:t>
            </w:r>
            <w:r w:rsidRPr="00EB2BD8">
              <w:rPr>
                <w:spacing w:val="-2"/>
                <w:sz w:val="16"/>
              </w:rPr>
              <w:t>Brenden</w:t>
            </w:r>
          </w:p>
        </w:tc>
        <w:tc>
          <w:tcPr>
            <w:tcW w:w="3163" w:type="dxa"/>
            <w:tcBorders>
              <w:top w:val="single" w:sz="2" w:space="0" w:color="000000"/>
            </w:tcBorders>
          </w:tcPr>
          <w:p w14:paraId="2CFCC123" w14:textId="77777777" w:rsidR="00084F36" w:rsidRPr="00EB2BD8" w:rsidRDefault="00EB2BD8">
            <w:pPr>
              <w:pStyle w:val="TableParagraph"/>
              <w:spacing w:before="115"/>
              <w:ind w:left="202"/>
              <w:rPr>
                <w:sz w:val="16"/>
              </w:rPr>
            </w:pPr>
            <w:r w:rsidRPr="00EB2BD8">
              <w:rPr>
                <w:sz w:val="16"/>
              </w:rPr>
              <w:t>Practitioner</w:t>
            </w:r>
            <w:r w:rsidRPr="00EB2BD8">
              <w:rPr>
                <w:spacing w:val="-13"/>
                <w:sz w:val="16"/>
              </w:rPr>
              <w:t xml:space="preserve"> </w:t>
            </w:r>
            <w:r w:rsidRPr="00EB2BD8">
              <w:rPr>
                <w:sz w:val="16"/>
              </w:rPr>
              <w:t>failed</w:t>
            </w:r>
            <w:r w:rsidRPr="00EB2BD8">
              <w:rPr>
                <w:spacing w:val="-12"/>
                <w:sz w:val="16"/>
              </w:rPr>
              <w:t xml:space="preserve"> </w:t>
            </w:r>
            <w:r w:rsidRPr="00EB2BD8">
              <w:rPr>
                <w:sz w:val="16"/>
              </w:rPr>
              <w:t>to</w:t>
            </w:r>
            <w:r w:rsidRPr="00EB2BD8">
              <w:rPr>
                <w:spacing w:val="-12"/>
                <w:sz w:val="16"/>
              </w:rPr>
              <w:t xml:space="preserve"> </w:t>
            </w:r>
            <w:r w:rsidRPr="00EB2BD8">
              <w:rPr>
                <w:sz w:val="16"/>
              </w:rPr>
              <w:t>provide</w:t>
            </w:r>
            <w:r w:rsidRPr="00EB2BD8">
              <w:rPr>
                <w:spacing w:val="-12"/>
                <w:sz w:val="16"/>
              </w:rPr>
              <w:t xml:space="preserve"> </w:t>
            </w:r>
            <w:r w:rsidRPr="00EB2BD8">
              <w:rPr>
                <w:spacing w:val="-10"/>
                <w:sz w:val="16"/>
              </w:rPr>
              <w:t>a</w:t>
            </w:r>
          </w:p>
        </w:tc>
        <w:tc>
          <w:tcPr>
            <w:tcW w:w="3101" w:type="dxa"/>
            <w:tcBorders>
              <w:top w:val="single" w:sz="2" w:space="0" w:color="000000"/>
            </w:tcBorders>
          </w:tcPr>
          <w:p w14:paraId="778A2B6F" w14:textId="77777777" w:rsidR="00084F36" w:rsidRPr="00EB2BD8" w:rsidRDefault="00EB2BD8">
            <w:pPr>
              <w:pStyle w:val="TableParagraph"/>
              <w:spacing w:before="115"/>
              <w:ind w:left="157"/>
              <w:rPr>
                <w:sz w:val="16"/>
              </w:rPr>
            </w:pPr>
            <w:r w:rsidRPr="00EB2BD8">
              <w:rPr>
                <w:spacing w:val="-4"/>
                <w:sz w:val="16"/>
              </w:rPr>
              <w:t>Two</w:t>
            </w:r>
            <w:r w:rsidRPr="00EB2BD8">
              <w:rPr>
                <w:spacing w:val="-5"/>
                <w:sz w:val="16"/>
              </w:rPr>
              <w:t xml:space="preserve"> </w:t>
            </w:r>
            <w:r w:rsidRPr="00EB2BD8">
              <w:rPr>
                <w:spacing w:val="-4"/>
                <w:sz w:val="16"/>
              </w:rPr>
              <w:t>grounds</w:t>
            </w:r>
            <w:r w:rsidRPr="00EB2BD8">
              <w:rPr>
                <w:spacing w:val="-5"/>
                <w:sz w:val="16"/>
              </w:rPr>
              <w:t xml:space="preserve"> </w:t>
            </w:r>
            <w:r w:rsidRPr="00EB2BD8">
              <w:rPr>
                <w:spacing w:val="-4"/>
                <w:sz w:val="16"/>
              </w:rPr>
              <w:t>proven.</w:t>
            </w:r>
            <w:r w:rsidRPr="00EB2BD8">
              <w:rPr>
                <w:spacing w:val="-5"/>
                <w:sz w:val="16"/>
              </w:rPr>
              <w:t xml:space="preserve"> </w:t>
            </w:r>
            <w:r w:rsidRPr="00EB2BD8">
              <w:rPr>
                <w:spacing w:val="-4"/>
                <w:sz w:val="16"/>
              </w:rPr>
              <w:t>Penalty</w:t>
            </w:r>
          </w:p>
        </w:tc>
        <w:tc>
          <w:tcPr>
            <w:tcW w:w="1101" w:type="dxa"/>
            <w:tcBorders>
              <w:top w:val="single" w:sz="2" w:space="0" w:color="000000"/>
            </w:tcBorders>
          </w:tcPr>
          <w:p w14:paraId="0AB14BB8" w14:textId="77777777" w:rsidR="00084F36" w:rsidRPr="00EB2BD8" w:rsidRDefault="00EB2BD8">
            <w:pPr>
              <w:pStyle w:val="TableParagraph"/>
              <w:spacing w:before="115"/>
              <w:ind w:right="111"/>
              <w:jc w:val="right"/>
              <w:rPr>
                <w:sz w:val="16"/>
              </w:rPr>
            </w:pPr>
            <w:r w:rsidRPr="00EB2BD8">
              <w:rPr>
                <w:spacing w:val="-2"/>
                <w:w w:val="95"/>
                <w:sz w:val="16"/>
              </w:rPr>
              <w:t>$8,861</w:t>
            </w:r>
          </w:p>
        </w:tc>
        <w:tc>
          <w:tcPr>
            <w:tcW w:w="1176" w:type="dxa"/>
            <w:tcBorders>
              <w:top w:val="single" w:sz="2" w:space="0" w:color="000000"/>
            </w:tcBorders>
          </w:tcPr>
          <w:p w14:paraId="4EB29833" w14:textId="77777777" w:rsidR="00084F36" w:rsidRPr="00EB2BD8" w:rsidRDefault="00EB2BD8">
            <w:pPr>
              <w:pStyle w:val="TableParagraph"/>
              <w:spacing w:before="115"/>
              <w:ind w:left="112"/>
              <w:rPr>
                <w:sz w:val="16"/>
              </w:rPr>
            </w:pPr>
            <w:r w:rsidRPr="00EB2BD8">
              <w:rPr>
                <w:spacing w:val="-2"/>
                <w:w w:val="85"/>
                <w:sz w:val="16"/>
              </w:rPr>
              <w:t>10/11/2022</w:t>
            </w:r>
          </w:p>
        </w:tc>
      </w:tr>
      <w:tr w:rsidR="00EB2BD8" w:rsidRPr="00EB2BD8" w14:paraId="1427A3C2" w14:textId="77777777">
        <w:trPr>
          <w:trHeight w:val="229"/>
        </w:trPr>
        <w:tc>
          <w:tcPr>
            <w:tcW w:w="1668" w:type="dxa"/>
          </w:tcPr>
          <w:p w14:paraId="0BEB00B5" w14:textId="77777777" w:rsidR="00084F36" w:rsidRPr="00EB2BD8" w:rsidRDefault="00084F36">
            <w:pPr>
              <w:pStyle w:val="TableParagraph"/>
              <w:rPr>
                <w:rFonts w:ascii="Times New Roman"/>
                <w:sz w:val="16"/>
              </w:rPr>
            </w:pPr>
          </w:p>
        </w:tc>
        <w:tc>
          <w:tcPr>
            <w:tcW w:w="3163" w:type="dxa"/>
          </w:tcPr>
          <w:p w14:paraId="5186D94C" w14:textId="77777777" w:rsidR="00084F36" w:rsidRPr="00EB2BD8" w:rsidRDefault="00EB2BD8">
            <w:pPr>
              <w:pStyle w:val="TableParagraph"/>
              <w:spacing w:before="19"/>
              <w:ind w:left="202"/>
              <w:rPr>
                <w:sz w:val="16"/>
              </w:rPr>
            </w:pPr>
            <w:r w:rsidRPr="00EB2BD8">
              <w:rPr>
                <w:sz w:val="16"/>
              </w:rPr>
              <w:t>compliance</w:t>
            </w:r>
            <w:r w:rsidRPr="00EB2BD8">
              <w:rPr>
                <w:spacing w:val="-7"/>
                <w:sz w:val="16"/>
              </w:rPr>
              <w:t xml:space="preserve"> </w:t>
            </w:r>
            <w:r w:rsidRPr="00EB2BD8">
              <w:rPr>
                <w:sz w:val="16"/>
              </w:rPr>
              <w:t>certificate</w:t>
            </w:r>
            <w:r w:rsidRPr="00EB2BD8">
              <w:rPr>
                <w:spacing w:val="-7"/>
                <w:sz w:val="16"/>
              </w:rPr>
              <w:t xml:space="preserve"> </w:t>
            </w:r>
            <w:r w:rsidRPr="00EB2BD8">
              <w:rPr>
                <w:sz w:val="16"/>
              </w:rPr>
              <w:t>within</w:t>
            </w:r>
            <w:r w:rsidRPr="00EB2BD8">
              <w:rPr>
                <w:spacing w:val="-6"/>
                <w:sz w:val="16"/>
              </w:rPr>
              <w:t xml:space="preserve"> </w:t>
            </w:r>
            <w:r w:rsidRPr="00EB2BD8">
              <w:rPr>
                <w:spacing w:val="-4"/>
                <w:sz w:val="16"/>
              </w:rPr>
              <w:t>five</w:t>
            </w:r>
          </w:p>
        </w:tc>
        <w:tc>
          <w:tcPr>
            <w:tcW w:w="3101" w:type="dxa"/>
          </w:tcPr>
          <w:p w14:paraId="3D4B25A1" w14:textId="77777777" w:rsidR="00084F36" w:rsidRPr="00EB2BD8" w:rsidRDefault="00EB2BD8">
            <w:pPr>
              <w:pStyle w:val="TableParagraph"/>
              <w:spacing w:before="19"/>
              <w:ind w:left="157"/>
              <w:rPr>
                <w:sz w:val="16"/>
              </w:rPr>
            </w:pPr>
            <w:r w:rsidRPr="00EB2BD8">
              <w:rPr>
                <w:w w:val="90"/>
                <w:sz w:val="16"/>
              </w:rPr>
              <w:t>of</w:t>
            </w:r>
            <w:r w:rsidRPr="00EB2BD8">
              <w:rPr>
                <w:spacing w:val="-5"/>
                <w:sz w:val="16"/>
              </w:rPr>
              <w:t xml:space="preserve"> </w:t>
            </w:r>
            <w:r w:rsidRPr="00EB2BD8">
              <w:rPr>
                <w:w w:val="90"/>
                <w:sz w:val="16"/>
              </w:rPr>
              <w:t>$8,861</w:t>
            </w:r>
            <w:r w:rsidRPr="00EB2BD8">
              <w:rPr>
                <w:spacing w:val="-5"/>
                <w:sz w:val="16"/>
              </w:rPr>
              <w:t xml:space="preserve"> </w:t>
            </w:r>
            <w:r w:rsidRPr="00EB2BD8">
              <w:rPr>
                <w:w w:val="90"/>
                <w:sz w:val="16"/>
              </w:rPr>
              <w:t>plus</w:t>
            </w:r>
            <w:r w:rsidRPr="00EB2BD8">
              <w:rPr>
                <w:spacing w:val="-5"/>
                <w:sz w:val="16"/>
              </w:rPr>
              <w:t xml:space="preserve"> </w:t>
            </w:r>
            <w:r w:rsidRPr="00EB2BD8">
              <w:rPr>
                <w:w w:val="90"/>
                <w:sz w:val="16"/>
              </w:rPr>
              <w:t>costs</w:t>
            </w:r>
            <w:r w:rsidRPr="00EB2BD8">
              <w:rPr>
                <w:spacing w:val="-5"/>
                <w:sz w:val="16"/>
              </w:rPr>
              <w:t xml:space="preserve"> </w:t>
            </w:r>
            <w:r w:rsidRPr="00EB2BD8">
              <w:rPr>
                <w:w w:val="90"/>
                <w:sz w:val="16"/>
              </w:rPr>
              <w:t>of</w:t>
            </w:r>
            <w:r w:rsidRPr="00EB2BD8">
              <w:rPr>
                <w:spacing w:val="-5"/>
                <w:sz w:val="16"/>
              </w:rPr>
              <w:t xml:space="preserve"> </w:t>
            </w:r>
            <w:r w:rsidRPr="00EB2BD8">
              <w:rPr>
                <w:spacing w:val="-2"/>
                <w:w w:val="90"/>
                <w:sz w:val="16"/>
              </w:rPr>
              <w:t>$1,578.</w:t>
            </w:r>
          </w:p>
        </w:tc>
        <w:tc>
          <w:tcPr>
            <w:tcW w:w="1101" w:type="dxa"/>
          </w:tcPr>
          <w:p w14:paraId="06EF7658" w14:textId="77777777" w:rsidR="00084F36" w:rsidRPr="00EB2BD8" w:rsidRDefault="00084F36">
            <w:pPr>
              <w:pStyle w:val="TableParagraph"/>
              <w:rPr>
                <w:rFonts w:ascii="Times New Roman"/>
                <w:sz w:val="16"/>
              </w:rPr>
            </w:pPr>
          </w:p>
        </w:tc>
        <w:tc>
          <w:tcPr>
            <w:tcW w:w="1176" w:type="dxa"/>
          </w:tcPr>
          <w:p w14:paraId="2B9BD42E" w14:textId="77777777" w:rsidR="00084F36" w:rsidRPr="00EB2BD8" w:rsidRDefault="00084F36">
            <w:pPr>
              <w:pStyle w:val="TableParagraph"/>
              <w:rPr>
                <w:rFonts w:ascii="Times New Roman"/>
                <w:sz w:val="16"/>
              </w:rPr>
            </w:pPr>
          </w:p>
        </w:tc>
      </w:tr>
      <w:tr w:rsidR="00EB2BD8" w:rsidRPr="00EB2BD8" w14:paraId="46B81888" w14:textId="77777777">
        <w:trPr>
          <w:trHeight w:val="229"/>
        </w:trPr>
        <w:tc>
          <w:tcPr>
            <w:tcW w:w="1668" w:type="dxa"/>
          </w:tcPr>
          <w:p w14:paraId="4FC2020C" w14:textId="77777777" w:rsidR="00084F36" w:rsidRPr="00EB2BD8" w:rsidRDefault="00084F36">
            <w:pPr>
              <w:pStyle w:val="TableParagraph"/>
              <w:rPr>
                <w:rFonts w:ascii="Times New Roman"/>
                <w:sz w:val="16"/>
              </w:rPr>
            </w:pPr>
          </w:p>
        </w:tc>
        <w:tc>
          <w:tcPr>
            <w:tcW w:w="3163" w:type="dxa"/>
          </w:tcPr>
          <w:p w14:paraId="60D56584" w14:textId="77777777" w:rsidR="00084F36" w:rsidRPr="00EB2BD8" w:rsidRDefault="00EB2BD8">
            <w:pPr>
              <w:pStyle w:val="TableParagraph"/>
              <w:spacing w:before="19"/>
              <w:ind w:left="202"/>
              <w:rPr>
                <w:sz w:val="16"/>
              </w:rPr>
            </w:pPr>
            <w:r w:rsidRPr="00EB2BD8">
              <w:rPr>
                <w:spacing w:val="-2"/>
                <w:sz w:val="16"/>
              </w:rPr>
              <w:t>days</w:t>
            </w:r>
            <w:r w:rsidRPr="00EB2BD8">
              <w:rPr>
                <w:spacing w:val="-6"/>
                <w:sz w:val="16"/>
              </w:rPr>
              <w:t xml:space="preserve"> </w:t>
            </w:r>
            <w:r w:rsidRPr="00EB2BD8">
              <w:rPr>
                <w:spacing w:val="-2"/>
                <w:sz w:val="16"/>
              </w:rPr>
              <w:t>of</w:t>
            </w:r>
            <w:r w:rsidRPr="00EB2BD8">
              <w:rPr>
                <w:spacing w:val="-5"/>
                <w:sz w:val="16"/>
              </w:rPr>
              <w:t xml:space="preserve"> </w:t>
            </w:r>
            <w:r w:rsidRPr="00EB2BD8">
              <w:rPr>
                <w:spacing w:val="-2"/>
                <w:sz w:val="16"/>
              </w:rPr>
              <w:t>completing</w:t>
            </w:r>
            <w:r w:rsidRPr="00EB2BD8">
              <w:rPr>
                <w:spacing w:val="-5"/>
                <w:sz w:val="16"/>
              </w:rPr>
              <w:t xml:space="preserve"> </w:t>
            </w:r>
            <w:r w:rsidRPr="00EB2BD8">
              <w:rPr>
                <w:spacing w:val="-2"/>
                <w:sz w:val="16"/>
              </w:rPr>
              <w:t>the</w:t>
            </w:r>
            <w:r w:rsidRPr="00EB2BD8">
              <w:rPr>
                <w:spacing w:val="-5"/>
                <w:sz w:val="16"/>
              </w:rPr>
              <w:t xml:space="preserve"> </w:t>
            </w:r>
            <w:r w:rsidRPr="00EB2BD8">
              <w:rPr>
                <w:spacing w:val="-2"/>
                <w:sz w:val="16"/>
              </w:rPr>
              <w:t>work;</w:t>
            </w:r>
            <w:r w:rsidRPr="00EB2BD8">
              <w:rPr>
                <w:spacing w:val="-6"/>
                <w:sz w:val="16"/>
              </w:rPr>
              <w:t xml:space="preserve"> </w:t>
            </w:r>
            <w:r w:rsidRPr="00EB2BD8">
              <w:rPr>
                <w:spacing w:val="-5"/>
                <w:sz w:val="16"/>
              </w:rPr>
              <w:t>and</w:t>
            </w:r>
          </w:p>
        </w:tc>
        <w:tc>
          <w:tcPr>
            <w:tcW w:w="3101" w:type="dxa"/>
          </w:tcPr>
          <w:p w14:paraId="75A46D04" w14:textId="77777777" w:rsidR="00084F36" w:rsidRPr="00EB2BD8" w:rsidRDefault="00EB2BD8">
            <w:pPr>
              <w:pStyle w:val="TableParagraph"/>
              <w:spacing w:before="19"/>
              <w:ind w:left="157"/>
              <w:rPr>
                <w:sz w:val="16"/>
              </w:rPr>
            </w:pPr>
            <w:r w:rsidRPr="00EB2BD8">
              <w:rPr>
                <w:sz w:val="16"/>
              </w:rPr>
              <w:t>Practitioner</w:t>
            </w:r>
            <w:r w:rsidRPr="00EB2BD8">
              <w:rPr>
                <w:spacing w:val="-5"/>
                <w:sz w:val="16"/>
              </w:rPr>
              <w:t xml:space="preserve"> </w:t>
            </w:r>
            <w:r w:rsidRPr="00EB2BD8">
              <w:rPr>
                <w:sz w:val="16"/>
              </w:rPr>
              <w:t>to</w:t>
            </w:r>
            <w:r w:rsidRPr="00EB2BD8">
              <w:rPr>
                <w:spacing w:val="-5"/>
                <w:sz w:val="16"/>
              </w:rPr>
              <w:t xml:space="preserve"> </w:t>
            </w:r>
            <w:r w:rsidRPr="00EB2BD8">
              <w:rPr>
                <w:sz w:val="16"/>
              </w:rPr>
              <w:t>undertake</w:t>
            </w:r>
            <w:r w:rsidRPr="00EB2BD8">
              <w:rPr>
                <w:spacing w:val="-4"/>
                <w:sz w:val="16"/>
              </w:rPr>
              <w:t xml:space="preserve"> </w:t>
            </w:r>
            <w:r w:rsidRPr="00EB2BD8">
              <w:rPr>
                <w:sz w:val="16"/>
              </w:rPr>
              <w:t>a</w:t>
            </w:r>
            <w:r w:rsidRPr="00EB2BD8">
              <w:rPr>
                <w:spacing w:val="-5"/>
                <w:sz w:val="16"/>
              </w:rPr>
              <w:t xml:space="preserve"> </w:t>
            </w:r>
            <w:r w:rsidRPr="00EB2BD8">
              <w:rPr>
                <w:spacing w:val="-2"/>
                <w:sz w:val="16"/>
              </w:rPr>
              <w:t>course</w:t>
            </w:r>
          </w:p>
        </w:tc>
        <w:tc>
          <w:tcPr>
            <w:tcW w:w="1101" w:type="dxa"/>
          </w:tcPr>
          <w:p w14:paraId="3FF71A27" w14:textId="77777777" w:rsidR="00084F36" w:rsidRPr="00EB2BD8" w:rsidRDefault="00084F36">
            <w:pPr>
              <w:pStyle w:val="TableParagraph"/>
              <w:rPr>
                <w:rFonts w:ascii="Times New Roman"/>
                <w:sz w:val="16"/>
              </w:rPr>
            </w:pPr>
          </w:p>
        </w:tc>
        <w:tc>
          <w:tcPr>
            <w:tcW w:w="1176" w:type="dxa"/>
          </w:tcPr>
          <w:p w14:paraId="05B332FF" w14:textId="77777777" w:rsidR="00084F36" w:rsidRPr="00EB2BD8" w:rsidRDefault="00084F36">
            <w:pPr>
              <w:pStyle w:val="TableParagraph"/>
              <w:rPr>
                <w:rFonts w:ascii="Times New Roman"/>
                <w:sz w:val="16"/>
              </w:rPr>
            </w:pPr>
          </w:p>
        </w:tc>
      </w:tr>
      <w:tr w:rsidR="00EB2BD8" w:rsidRPr="00EB2BD8" w14:paraId="10FDD832" w14:textId="77777777">
        <w:trPr>
          <w:trHeight w:val="230"/>
        </w:trPr>
        <w:tc>
          <w:tcPr>
            <w:tcW w:w="1668" w:type="dxa"/>
          </w:tcPr>
          <w:p w14:paraId="1F920694" w14:textId="77777777" w:rsidR="00084F36" w:rsidRPr="00EB2BD8" w:rsidRDefault="00084F36">
            <w:pPr>
              <w:pStyle w:val="TableParagraph"/>
              <w:rPr>
                <w:rFonts w:ascii="Times New Roman"/>
                <w:sz w:val="16"/>
              </w:rPr>
            </w:pPr>
          </w:p>
        </w:tc>
        <w:tc>
          <w:tcPr>
            <w:tcW w:w="3163" w:type="dxa"/>
          </w:tcPr>
          <w:p w14:paraId="40132831" w14:textId="77777777" w:rsidR="00084F36" w:rsidRPr="00EB2BD8" w:rsidRDefault="00EB2BD8">
            <w:pPr>
              <w:pStyle w:val="TableParagraph"/>
              <w:spacing w:before="19"/>
              <w:ind w:left="202"/>
              <w:rPr>
                <w:sz w:val="16"/>
              </w:rPr>
            </w:pPr>
            <w:r w:rsidRPr="00EB2BD8">
              <w:rPr>
                <w:spacing w:val="-2"/>
                <w:sz w:val="16"/>
              </w:rPr>
              <w:t>installed</w:t>
            </w:r>
            <w:r w:rsidRPr="00EB2BD8">
              <w:rPr>
                <w:spacing w:val="-3"/>
                <w:sz w:val="16"/>
              </w:rPr>
              <w:t xml:space="preserve"> </w:t>
            </w:r>
            <w:r w:rsidRPr="00EB2BD8">
              <w:rPr>
                <w:spacing w:val="-2"/>
                <w:sz w:val="16"/>
              </w:rPr>
              <w:t>a</w:t>
            </w:r>
            <w:r w:rsidRPr="00EB2BD8">
              <w:rPr>
                <w:spacing w:val="-3"/>
                <w:sz w:val="16"/>
              </w:rPr>
              <w:t xml:space="preserve"> </w:t>
            </w:r>
            <w:r w:rsidRPr="00EB2BD8">
              <w:rPr>
                <w:spacing w:val="-2"/>
                <w:sz w:val="16"/>
              </w:rPr>
              <w:t>continuous</w:t>
            </w:r>
            <w:r w:rsidRPr="00EB2BD8">
              <w:rPr>
                <w:spacing w:val="-3"/>
                <w:sz w:val="16"/>
              </w:rPr>
              <w:t xml:space="preserve"> </w:t>
            </w:r>
            <w:r w:rsidRPr="00EB2BD8">
              <w:rPr>
                <w:spacing w:val="-2"/>
                <w:sz w:val="16"/>
              </w:rPr>
              <w:t>flow gas</w:t>
            </w:r>
            <w:r w:rsidRPr="00EB2BD8">
              <w:rPr>
                <w:spacing w:val="-3"/>
                <w:sz w:val="16"/>
              </w:rPr>
              <w:t xml:space="preserve"> </w:t>
            </w:r>
            <w:r w:rsidRPr="00EB2BD8">
              <w:rPr>
                <w:spacing w:val="-5"/>
                <w:sz w:val="16"/>
              </w:rPr>
              <w:t>hot</w:t>
            </w:r>
          </w:p>
        </w:tc>
        <w:tc>
          <w:tcPr>
            <w:tcW w:w="3101" w:type="dxa"/>
          </w:tcPr>
          <w:p w14:paraId="39F9C421" w14:textId="77777777" w:rsidR="00084F36" w:rsidRPr="00EB2BD8" w:rsidRDefault="00EB2BD8">
            <w:pPr>
              <w:pStyle w:val="TableParagraph"/>
              <w:spacing w:before="19"/>
              <w:ind w:left="157"/>
              <w:rPr>
                <w:sz w:val="16"/>
              </w:rPr>
            </w:pPr>
            <w:r w:rsidRPr="00EB2BD8">
              <w:rPr>
                <w:i/>
                <w:spacing w:val="-2"/>
                <w:sz w:val="16"/>
              </w:rPr>
              <w:t>CPCPGS3060A</w:t>
            </w:r>
            <w:r w:rsidRPr="00EB2BD8">
              <w:rPr>
                <w:spacing w:val="-2"/>
                <w:sz w:val="16"/>
              </w:rPr>
              <w:t>.</w:t>
            </w:r>
          </w:p>
        </w:tc>
        <w:tc>
          <w:tcPr>
            <w:tcW w:w="1101" w:type="dxa"/>
          </w:tcPr>
          <w:p w14:paraId="3DE60825" w14:textId="77777777" w:rsidR="00084F36" w:rsidRPr="00EB2BD8" w:rsidRDefault="00084F36">
            <w:pPr>
              <w:pStyle w:val="TableParagraph"/>
              <w:rPr>
                <w:rFonts w:ascii="Times New Roman"/>
                <w:sz w:val="16"/>
              </w:rPr>
            </w:pPr>
          </w:p>
        </w:tc>
        <w:tc>
          <w:tcPr>
            <w:tcW w:w="1176" w:type="dxa"/>
          </w:tcPr>
          <w:p w14:paraId="3CD34B55" w14:textId="77777777" w:rsidR="00084F36" w:rsidRPr="00EB2BD8" w:rsidRDefault="00084F36">
            <w:pPr>
              <w:pStyle w:val="TableParagraph"/>
              <w:rPr>
                <w:rFonts w:ascii="Times New Roman"/>
                <w:sz w:val="16"/>
              </w:rPr>
            </w:pPr>
          </w:p>
        </w:tc>
      </w:tr>
      <w:tr w:rsidR="00EB2BD8" w:rsidRPr="00EB2BD8" w14:paraId="1F1FCCB8" w14:textId="77777777">
        <w:trPr>
          <w:trHeight w:val="229"/>
        </w:trPr>
        <w:tc>
          <w:tcPr>
            <w:tcW w:w="1668" w:type="dxa"/>
          </w:tcPr>
          <w:p w14:paraId="755BA13F" w14:textId="77777777" w:rsidR="00084F36" w:rsidRPr="00EB2BD8" w:rsidRDefault="00084F36">
            <w:pPr>
              <w:pStyle w:val="TableParagraph"/>
              <w:rPr>
                <w:rFonts w:ascii="Times New Roman"/>
                <w:sz w:val="16"/>
              </w:rPr>
            </w:pPr>
          </w:p>
        </w:tc>
        <w:tc>
          <w:tcPr>
            <w:tcW w:w="3163" w:type="dxa"/>
          </w:tcPr>
          <w:p w14:paraId="5745D8BC" w14:textId="77777777" w:rsidR="00084F36" w:rsidRPr="00EB2BD8" w:rsidRDefault="00EB2BD8">
            <w:pPr>
              <w:pStyle w:val="TableParagraph"/>
              <w:spacing w:before="19"/>
              <w:ind w:left="202"/>
              <w:rPr>
                <w:sz w:val="16"/>
              </w:rPr>
            </w:pPr>
            <w:r w:rsidRPr="00EB2BD8">
              <w:rPr>
                <w:spacing w:val="-2"/>
                <w:sz w:val="16"/>
              </w:rPr>
              <w:t>water</w:t>
            </w:r>
            <w:r w:rsidRPr="00EB2BD8">
              <w:rPr>
                <w:spacing w:val="-5"/>
                <w:sz w:val="16"/>
              </w:rPr>
              <w:t xml:space="preserve"> </w:t>
            </w:r>
            <w:r w:rsidRPr="00EB2BD8">
              <w:rPr>
                <w:spacing w:val="-2"/>
                <w:sz w:val="16"/>
              </w:rPr>
              <w:t>system</w:t>
            </w:r>
            <w:r w:rsidRPr="00EB2BD8">
              <w:rPr>
                <w:spacing w:val="-4"/>
                <w:sz w:val="16"/>
              </w:rPr>
              <w:t xml:space="preserve"> </w:t>
            </w:r>
            <w:r w:rsidRPr="00EB2BD8">
              <w:rPr>
                <w:spacing w:val="-2"/>
                <w:sz w:val="16"/>
              </w:rPr>
              <w:t>which</w:t>
            </w:r>
            <w:r w:rsidRPr="00EB2BD8">
              <w:rPr>
                <w:spacing w:val="-4"/>
                <w:sz w:val="16"/>
              </w:rPr>
              <w:t xml:space="preserve"> </w:t>
            </w:r>
            <w:r w:rsidRPr="00EB2BD8">
              <w:rPr>
                <w:spacing w:val="-2"/>
                <w:sz w:val="16"/>
              </w:rPr>
              <w:t>did</w:t>
            </w:r>
            <w:r w:rsidRPr="00EB2BD8">
              <w:rPr>
                <w:spacing w:val="-4"/>
                <w:sz w:val="16"/>
              </w:rPr>
              <w:t xml:space="preserve"> </w:t>
            </w:r>
            <w:r w:rsidRPr="00EB2BD8">
              <w:rPr>
                <w:spacing w:val="-2"/>
                <w:sz w:val="16"/>
              </w:rPr>
              <w:t>not</w:t>
            </w:r>
            <w:r w:rsidRPr="00EB2BD8">
              <w:rPr>
                <w:spacing w:val="-4"/>
                <w:sz w:val="16"/>
              </w:rPr>
              <w:t xml:space="preserve"> </w:t>
            </w:r>
            <w:r w:rsidRPr="00EB2BD8">
              <w:rPr>
                <w:spacing w:val="-2"/>
                <w:sz w:val="16"/>
              </w:rPr>
              <w:t>comply</w:t>
            </w:r>
          </w:p>
        </w:tc>
        <w:tc>
          <w:tcPr>
            <w:tcW w:w="3101" w:type="dxa"/>
          </w:tcPr>
          <w:p w14:paraId="2D987F09" w14:textId="77777777" w:rsidR="00084F36" w:rsidRPr="00EB2BD8" w:rsidRDefault="00084F36">
            <w:pPr>
              <w:pStyle w:val="TableParagraph"/>
              <w:rPr>
                <w:rFonts w:ascii="Times New Roman"/>
                <w:sz w:val="16"/>
              </w:rPr>
            </w:pPr>
          </w:p>
        </w:tc>
        <w:tc>
          <w:tcPr>
            <w:tcW w:w="1101" w:type="dxa"/>
          </w:tcPr>
          <w:p w14:paraId="4E4E54D6" w14:textId="77777777" w:rsidR="00084F36" w:rsidRPr="00EB2BD8" w:rsidRDefault="00084F36">
            <w:pPr>
              <w:pStyle w:val="TableParagraph"/>
              <w:rPr>
                <w:rFonts w:ascii="Times New Roman"/>
                <w:sz w:val="16"/>
              </w:rPr>
            </w:pPr>
          </w:p>
        </w:tc>
        <w:tc>
          <w:tcPr>
            <w:tcW w:w="1176" w:type="dxa"/>
          </w:tcPr>
          <w:p w14:paraId="2E19640B" w14:textId="77777777" w:rsidR="00084F36" w:rsidRPr="00EB2BD8" w:rsidRDefault="00084F36">
            <w:pPr>
              <w:pStyle w:val="TableParagraph"/>
              <w:rPr>
                <w:rFonts w:ascii="Times New Roman"/>
                <w:sz w:val="16"/>
              </w:rPr>
            </w:pPr>
          </w:p>
        </w:tc>
      </w:tr>
      <w:tr w:rsidR="00EB2BD8" w:rsidRPr="00EB2BD8" w14:paraId="7B874978" w14:textId="77777777">
        <w:trPr>
          <w:trHeight w:val="286"/>
        </w:trPr>
        <w:tc>
          <w:tcPr>
            <w:tcW w:w="1668" w:type="dxa"/>
            <w:tcBorders>
              <w:bottom w:val="single" w:sz="2" w:space="0" w:color="000000"/>
            </w:tcBorders>
          </w:tcPr>
          <w:p w14:paraId="21FD76B4" w14:textId="77777777" w:rsidR="00084F36" w:rsidRPr="00EB2BD8" w:rsidRDefault="00084F36">
            <w:pPr>
              <w:pStyle w:val="TableParagraph"/>
              <w:rPr>
                <w:rFonts w:ascii="Times New Roman"/>
                <w:sz w:val="16"/>
              </w:rPr>
            </w:pPr>
          </w:p>
        </w:tc>
        <w:tc>
          <w:tcPr>
            <w:tcW w:w="3163" w:type="dxa"/>
            <w:tcBorders>
              <w:bottom w:val="single" w:sz="2" w:space="0" w:color="000000"/>
            </w:tcBorders>
          </w:tcPr>
          <w:p w14:paraId="13BF924A" w14:textId="77777777" w:rsidR="00084F36" w:rsidRPr="00EB2BD8" w:rsidRDefault="00EB2BD8">
            <w:pPr>
              <w:pStyle w:val="TableParagraph"/>
              <w:spacing w:before="19"/>
              <w:ind w:left="202"/>
              <w:rPr>
                <w:sz w:val="16"/>
              </w:rPr>
            </w:pPr>
            <w:r w:rsidRPr="00EB2BD8">
              <w:rPr>
                <w:sz w:val="16"/>
              </w:rPr>
              <w:t>with</w:t>
            </w:r>
            <w:r w:rsidRPr="00EB2BD8">
              <w:rPr>
                <w:spacing w:val="-12"/>
                <w:sz w:val="16"/>
              </w:rPr>
              <w:t xml:space="preserve"> </w:t>
            </w:r>
            <w:r w:rsidRPr="00EB2BD8">
              <w:rPr>
                <w:sz w:val="16"/>
              </w:rPr>
              <w:t>the</w:t>
            </w:r>
            <w:r w:rsidRPr="00EB2BD8">
              <w:rPr>
                <w:spacing w:val="-12"/>
                <w:sz w:val="16"/>
              </w:rPr>
              <w:t xml:space="preserve"> </w:t>
            </w:r>
            <w:r w:rsidRPr="00EB2BD8">
              <w:rPr>
                <w:sz w:val="16"/>
              </w:rPr>
              <w:t>Plumbing</w:t>
            </w:r>
            <w:r w:rsidRPr="00EB2BD8">
              <w:rPr>
                <w:spacing w:val="-12"/>
                <w:sz w:val="16"/>
              </w:rPr>
              <w:t xml:space="preserve"> </w:t>
            </w:r>
            <w:r w:rsidRPr="00EB2BD8">
              <w:rPr>
                <w:sz w:val="16"/>
              </w:rPr>
              <w:t>Code</w:t>
            </w:r>
            <w:r w:rsidRPr="00EB2BD8">
              <w:rPr>
                <w:spacing w:val="-12"/>
                <w:sz w:val="16"/>
              </w:rPr>
              <w:t xml:space="preserve"> </w:t>
            </w:r>
            <w:r w:rsidRPr="00EB2BD8">
              <w:rPr>
                <w:sz w:val="16"/>
              </w:rPr>
              <w:t>of</w:t>
            </w:r>
            <w:r w:rsidRPr="00EB2BD8">
              <w:rPr>
                <w:spacing w:val="-12"/>
                <w:sz w:val="16"/>
              </w:rPr>
              <w:t xml:space="preserve"> </w:t>
            </w:r>
            <w:r w:rsidRPr="00EB2BD8">
              <w:rPr>
                <w:spacing w:val="-2"/>
                <w:sz w:val="16"/>
              </w:rPr>
              <w:t>Australia.</w:t>
            </w:r>
          </w:p>
        </w:tc>
        <w:tc>
          <w:tcPr>
            <w:tcW w:w="3101" w:type="dxa"/>
            <w:tcBorders>
              <w:bottom w:val="single" w:sz="2" w:space="0" w:color="000000"/>
            </w:tcBorders>
          </w:tcPr>
          <w:p w14:paraId="375BCB85" w14:textId="77777777" w:rsidR="00084F36" w:rsidRPr="00EB2BD8" w:rsidRDefault="00084F36">
            <w:pPr>
              <w:pStyle w:val="TableParagraph"/>
              <w:rPr>
                <w:rFonts w:ascii="Times New Roman"/>
                <w:sz w:val="16"/>
              </w:rPr>
            </w:pPr>
          </w:p>
        </w:tc>
        <w:tc>
          <w:tcPr>
            <w:tcW w:w="1101" w:type="dxa"/>
            <w:tcBorders>
              <w:bottom w:val="single" w:sz="2" w:space="0" w:color="000000"/>
            </w:tcBorders>
          </w:tcPr>
          <w:p w14:paraId="579B6E5A"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00E56604" w14:textId="77777777" w:rsidR="00084F36" w:rsidRPr="00EB2BD8" w:rsidRDefault="00084F36">
            <w:pPr>
              <w:pStyle w:val="TableParagraph"/>
              <w:rPr>
                <w:rFonts w:ascii="Times New Roman"/>
                <w:sz w:val="16"/>
              </w:rPr>
            </w:pPr>
          </w:p>
        </w:tc>
      </w:tr>
      <w:tr w:rsidR="00EB2BD8" w:rsidRPr="00EB2BD8" w14:paraId="1911CBB2" w14:textId="77777777">
        <w:trPr>
          <w:trHeight w:val="325"/>
        </w:trPr>
        <w:tc>
          <w:tcPr>
            <w:tcW w:w="1668" w:type="dxa"/>
            <w:tcBorders>
              <w:top w:val="single" w:sz="2" w:space="0" w:color="000000"/>
            </w:tcBorders>
          </w:tcPr>
          <w:p w14:paraId="101A6C45" w14:textId="77777777" w:rsidR="00084F36" w:rsidRPr="00EB2BD8" w:rsidRDefault="00EB2BD8">
            <w:pPr>
              <w:pStyle w:val="TableParagraph"/>
              <w:spacing w:before="115"/>
              <w:ind w:left="112"/>
              <w:rPr>
                <w:sz w:val="16"/>
              </w:rPr>
            </w:pPr>
            <w:r w:rsidRPr="00EB2BD8">
              <w:rPr>
                <w:spacing w:val="-5"/>
                <w:sz w:val="16"/>
              </w:rPr>
              <w:t>ZERMAKI,</w:t>
            </w:r>
            <w:r w:rsidRPr="00EB2BD8">
              <w:rPr>
                <w:spacing w:val="-2"/>
                <w:sz w:val="16"/>
              </w:rPr>
              <w:t xml:space="preserve"> Youcef</w:t>
            </w:r>
          </w:p>
        </w:tc>
        <w:tc>
          <w:tcPr>
            <w:tcW w:w="3163" w:type="dxa"/>
            <w:tcBorders>
              <w:top w:val="single" w:sz="2" w:space="0" w:color="000000"/>
            </w:tcBorders>
          </w:tcPr>
          <w:p w14:paraId="60B852D4" w14:textId="77777777" w:rsidR="00084F36" w:rsidRPr="00EB2BD8" w:rsidRDefault="00EB2BD8">
            <w:pPr>
              <w:pStyle w:val="TableParagraph"/>
              <w:spacing w:before="115"/>
              <w:ind w:left="202"/>
              <w:rPr>
                <w:sz w:val="16"/>
              </w:rPr>
            </w:pPr>
            <w:r w:rsidRPr="00EB2BD8">
              <w:rPr>
                <w:spacing w:val="-2"/>
                <w:sz w:val="16"/>
              </w:rPr>
              <w:t>Carried</w:t>
            </w:r>
            <w:r w:rsidRPr="00EB2BD8">
              <w:rPr>
                <w:spacing w:val="-5"/>
                <w:sz w:val="16"/>
              </w:rPr>
              <w:t xml:space="preserve"> </w:t>
            </w:r>
            <w:r w:rsidRPr="00EB2BD8">
              <w:rPr>
                <w:spacing w:val="-2"/>
                <w:sz w:val="16"/>
              </w:rPr>
              <w:t>out</w:t>
            </w:r>
            <w:r w:rsidRPr="00EB2BD8">
              <w:rPr>
                <w:spacing w:val="-5"/>
                <w:sz w:val="16"/>
              </w:rPr>
              <w:t xml:space="preserve"> </w:t>
            </w:r>
            <w:r w:rsidRPr="00EB2BD8">
              <w:rPr>
                <w:spacing w:val="-2"/>
                <w:sz w:val="16"/>
              </w:rPr>
              <w:t>plumbing</w:t>
            </w:r>
            <w:r w:rsidRPr="00EB2BD8">
              <w:rPr>
                <w:spacing w:val="-5"/>
                <w:sz w:val="16"/>
              </w:rPr>
              <w:t xml:space="preserve"> </w:t>
            </w:r>
            <w:r w:rsidRPr="00EB2BD8">
              <w:rPr>
                <w:spacing w:val="-2"/>
                <w:sz w:val="16"/>
              </w:rPr>
              <w:t>work</w:t>
            </w:r>
            <w:r w:rsidRPr="00EB2BD8">
              <w:rPr>
                <w:spacing w:val="-5"/>
                <w:sz w:val="16"/>
              </w:rPr>
              <w:t xml:space="preserve"> </w:t>
            </w:r>
            <w:r w:rsidRPr="00EB2BD8">
              <w:rPr>
                <w:spacing w:val="-2"/>
                <w:sz w:val="16"/>
              </w:rPr>
              <w:t>in</w:t>
            </w:r>
            <w:r w:rsidRPr="00EB2BD8">
              <w:rPr>
                <w:spacing w:val="-4"/>
                <w:sz w:val="16"/>
              </w:rPr>
              <w:t xml:space="preserve"> </w:t>
            </w:r>
            <w:r w:rsidRPr="00EB2BD8">
              <w:rPr>
                <w:spacing w:val="-5"/>
                <w:sz w:val="16"/>
              </w:rPr>
              <w:t>the</w:t>
            </w:r>
          </w:p>
        </w:tc>
        <w:tc>
          <w:tcPr>
            <w:tcW w:w="3101" w:type="dxa"/>
            <w:tcBorders>
              <w:top w:val="single" w:sz="2" w:space="0" w:color="000000"/>
            </w:tcBorders>
          </w:tcPr>
          <w:p w14:paraId="1A4E7EF6" w14:textId="77777777" w:rsidR="00084F36" w:rsidRPr="00EB2BD8" w:rsidRDefault="00EB2BD8">
            <w:pPr>
              <w:pStyle w:val="TableParagraph"/>
              <w:spacing w:before="114"/>
              <w:ind w:left="157"/>
              <w:rPr>
                <w:sz w:val="16"/>
              </w:rPr>
            </w:pPr>
            <w:r w:rsidRPr="00EB2BD8">
              <w:rPr>
                <w:sz w:val="16"/>
              </w:rPr>
              <w:t>One</w:t>
            </w:r>
            <w:r w:rsidRPr="00EB2BD8">
              <w:rPr>
                <w:spacing w:val="-13"/>
                <w:sz w:val="16"/>
              </w:rPr>
              <w:t xml:space="preserve"> </w:t>
            </w:r>
            <w:r w:rsidRPr="00EB2BD8">
              <w:rPr>
                <w:sz w:val="16"/>
              </w:rPr>
              <w:t>ground</w:t>
            </w:r>
            <w:r w:rsidRPr="00EB2BD8">
              <w:rPr>
                <w:spacing w:val="-12"/>
                <w:sz w:val="16"/>
              </w:rPr>
              <w:t xml:space="preserve"> </w:t>
            </w:r>
            <w:r w:rsidRPr="00EB2BD8">
              <w:rPr>
                <w:sz w:val="16"/>
              </w:rPr>
              <w:t>proven.</w:t>
            </w:r>
            <w:r w:rsidRPr="00EB2BD8">
              <w:rPr>
                <w:spacing w:val="-13"/>
                <w:sz w:val="16"/>
              </w:rPr>
              <w:t xml:space="preserve"> </w:t>
            </w:r>
            <w:r w:rsidRPr="00EB2BD8">
              <w:rPr>
                <w:sz w:val="16"/>
              </w:rPr>
              <w:t>Penalty</w:t>
            </w:r>
            <w:r w:rsidRPr="00EB2BD8">
              <w:rPr>
                <w:spacing w:val="-12"/>
                <w:sz w:val="16"/>
              </w:rPr>
              <w:t xml:space="preserve"> </w:t>
            </w:r>
            <w:r w:rsidRPr="00EB2BD8">
              <w:rPr>
                <w:spacing w:val="-5"/>
                <w:sz w:val="16"/>
              </w:rPr>
              <w:t>of</w:t>
            </w:r>
          </w:p>
        </w:tc>
        <w:tc>
          <w:tcPr>
            <w:tcW w:w="1101" w:type="dxa"/>
            <w:tcBorders>
              <w:top w:val="single" w:sz="2" w:space="0" w:color="000000"/>
            </w:tcBorders>
          </w:tcPr>
          <w:p w14:paraId="50696514" w14:textId="77777777" w:rsidR="00084F36" w:rsidRPr="00EB2BD8" w:rsidRDefault="00EB2BD8">
            <w:pPr>
              <w:pStyle w:val="TableParagraph"/>
              <w:spacing w:before="114"/>
              <w:ind w:right="112"/>
              <w:jc w:val="right"/>
              <w:rPr>
                <w:sz w:val="16"/>
              </w:rPr>
            </w:pPr>
            <w:r w:rsidRPr="00EB2BD8">
              <w:rPr>
                <w:spacing w:val="-2"/>
                <w:w w:val="95"/>
                <w:sz w:val="16"/>
              </w:rPr>
              <w:t>$10,739</w:t>
            </w:r>
          </w:p>
        </w:tc>
        <w:tc>
          <w:tcPr>
            <w:tcW w:w="1176" w:type="dxa"/>
            <w:tcBorders>
              <w:top w:val="single" w:sz="2" w:space="0" w:color="000000"/>
            </w:tcBorders>
          </w:tcPr>
          <w:p w14:paraId="76579591" w14:textId="77777777" w:rsidR="00084F36" w:rsidRPr="00EB2BD8" w:rsidRDefault="00EB2BD8">
            <w:pPr>
              <w:pStyle w:val="TableParagraph"/>
              <w:spacing w:before="114"/>
              <w:ind w:left="112"/>
              <w:rPr>
                <w:sz w:val="16"/>
              </w:rPr>
            </w:pPr>
            <w:r w:rsidRPr="00EB2BD8">
              <w:rPr>
                <w:spacing w:val="-2"/>
                <w:w w:val="95"/>
                <w:sz w:val="16"/>
              </w:rPr>
              <w:t>28/02/2023</w:t>
            </w:r>
          </w:p>
        </w:tc>
      </w:tr>
      <w:tr w:rsidR="00EB2BD8" w:rsidRPr="00EB2BD8" w14:paraId="180172C4" w14:textId="77777777">
        <w:trPr>
          <w:trHeight w:val="230"/>
        </w:trPr>
        <w:tc>
          <w:tcPr>
            <w:tcW w:w="1668" w:type="dxa"/>
          </w:tcPr>
          <w:p w14:paraId="5AC0346B" w14:textId="77777777" w:rsidR="00084F36" w:rsidRPr="00EB2BD8" w:rsidRDefault="00084F36">
            <w:pPr>
              <w:pStyle w:val="TableParagraph"/>
              <w:rPr>
                <w:rFonts w:ascii="Times New Roman"/>
                <w:sz w:val="16"/>
              </w:rPr>
            </w:pPr>
          </w:p>
        </w:tc>
        <w:tc>
          <w:tcPr>
            <w:tcW w:w="3163" w:type="dxa"/>
          </w:tcPr>
          <w:p w14:paraId="1AA7D506" w14:textId="77777777" w:rsidR="00084F36" w:rsidRPr="00EB2BD8" w:rsidRDefault="00EB2BD8">
            <w:pPr>
              <w:pStyle w:val="TableParagraph"/>
              <w:spacing w:before="19"/>
              <w:ind w:left="202"/>
              <w:rPr>
                <w:sz w:val="16"/>
              </w:rPr>
            </w:pPr>
            <w:r w:rsidRPr="00EB2BD8">
              <w:rPr>
                <w:sz w:val="16"/>
              </w:rPr>
              <w:t>class</w:t>
            </w:r>
            <w:r w:rsidRPr="00EB2BD8">
              <w:rPr>
                <w:spacing w:val="-10"/>
                <w:sz w:val="16"/>
              </w:rPr>
              <w:t xml:space="preserve"> </w:t>
            </w:r>
            <w:r w:rsidRPr="00EB2BD8">
              <w:rPr>
                <w:sz w:val="16"/>
              </w:rPr>
              <w:t>of</w:t>
            </w:r>
            <w:r w:rsidRPr="00EB2BD8">
              <w:rPr>
                <w:spacing w:val="-10"/>
                <w:sz w:val="16"/>
              </w:rPr>
              <w:t xml:space="preserve"> </w:t>
            </w:r>
            <w:r w:rsidRPr="00EB2BD8">
              <w:rPr>
                <w:sz w:val="16"/>
              </w:rPr>
              <w:t>gas</w:t>
            </w:r>
            <w:r w:rsidRPr="00EB2BD8">
              <w:rPr>
                <w:spacing w:val="-10"/>
                <w:sz w:val="16"/>
              </w:rPr>
              <w:t xml:space="preserve"> </w:t>
            </w:r>
            <w:r w:rsidRPr="00EB2BD8">
              <w:rPr>
                <w:sz w:val="16"/>
              </w:rPr>
              <w:t>fitting</w:t>
            </w:r>
            <w:r w:rsidRPr="00EB2BD8">
              <w:rPr>
                <w:spacing w:val="-9"/>
                <w:sz w:val="16"/>
              </w:rPr>
              <w:t xml:space="preserve"> </w:t>
            </w:r>
            <w:r w:rsidRPr="00EB2BD8">
              <w:rPr>
                <w:sz w:val="16"/>
              </w:rPr>
              <w:t>and</w:t>
            </w:r>
            <w:r w:rsidRPr="00EB2BD8">
              <w:rPr>
                <w:spacing w:val="-10"/>
                <w:sz w:val="16"/>
              </w:rPr>
              <w:t xml:space="preserve"> </w:t>
            </w:r>
            <w:r w:rsidRPr="00EB2BD8">
              <w:rPr>
                <w:spacing w:val="-2"/>
                <w:sz w:val="16"/>
              </w:rPr>
              <w:t>drainage</w:t>
            </w:r>
          </w:p>
        </w:tc>
        <w:tc>
          <w:tcPr>
            <w:tcW w:w="3101" w:type="dxa"/>
          </w:tcPr>
          <w:p w14:paraId="33A40D17" w14:textId="77777777" w:rsidR="00084F36" w:rsidRPr="00EB2BD8" w:rsidRDefault="00EB2BD8">
            <w:pPr>
              <w:pStyle w:val="TableParagraph"/>
              <w:spacing w:before="19"/>
              <w:ind w:left="157"/>
              <w:rPr>
                <w:sz w:val="16"/>
              </w:rPr>
            </w:pPr>
            <w:r w:rsidRPr="00EB2BD8">
              <w:rPr>
                <w:w w:val="90"/>
                <w:sz w:val="16"/>
              </w:rPr>
              <w:t>$10,739</w:t>
            </w:r>
            <w:r w:rsidRPr="00EB2BD8">
              <w:rPr>
                <w:spacing w:val="-3"/>
                <w:w w:val="90"/>
                <w:sz w:val="16"/>
              </w:rPr>
              <w:t xml:space="preserve"> </w:t>
            </w:r>
            <w:r w:rsidRPr="00EB2BD8">
              <w:rPr>
                <w:w w:val="90"/>
                <w:sz w:val="16"/>
              </w:rPr>
              <w:t>plus</w:t>
            </w:r>
            <w:r w:rsidRPr="00EB2BD8">
              <w:rPr>
                <w:spacing w:val="-3"/>
                <w:w w:val="90"/>
                <w:sz w:val="16"/>
              </w:rPr>
              <w:t xml:space="preserve"> </w:t>
            </w:r>
            <w:r w:rsidRPr="00EB2BD8">
              <w:rPr>
                <w:w w:val="90"/>
                <w:sz w:val="16"/>
              </w:rPr>
              <w:t>costs</w:t>
            </w:r>
            <w:r w:rsidRPr="00EB2BD8">
              <w:rPr>
                <w:spacing w:val="-3"/>
                <w:w w:val="90"/>
                <w:sz w:val="16"/>
              </w:rPr>
              <w:t xml:space="preserve"> </w:t>
            </w:r>
            <w:r w:rsidRPr="00EB2BD8">
              <w:rPr>
                <w:w w:val="90"/>
                <w:sz w:val="16"/>
              </w:rPr>
              <w:t>of</w:t>
            </w:r>
            <w:r w:rsidRPr="00EB2BD8">
              <w:rPr>
                <w:spacing w:val="-3"/>
                <w:w w:val="90"/>
                <w:sz w:val="16"/>
              </w:rPr>
              <w:t xml:space="preserve"> </w:t>
            </w:r>
            <w:r w:rsidRPr="00EB2BD8">
              <w:rPr>
                <w:spacing w:val="-2"/>
                <w:w w:val="90"/>
                <w:sz w:val="16"/>
              </w:rPr>
              <w:t>$696.</w:t>
            </w:r>
          </w:p>
        </w:tc>
        <w:tc>
          <w:tcPr>
            <w:tcW w:w="1101" w:type="dxa"/>
          </w:tcPr>
          <w:p w14:paraId="3796F0E4" w14:textId="77777777" w:rsidR="00084F36" w:rsidRPr="00EB2BD8" w:rsidRDefault="00084F36">
            <w:pPr>
              <w:pStyle w:val="TableParagraph"/>
              <w:rPr>
                <w:rFonts w:ascii="Times New Roman"/>
                <w:sz w:val="16"/>
              </w:rPr>
            </w:pPr>
          </w:p>
        </w:tc>
        <w:tc>
          <w:tcPr>
            <w:tcW w:w="1176" w:type="dxa"/>
          </w:tcPr>
          <w:p w14:paraId="34A423E2" w14:textId="77777777" w:rsidR="00084F36" w:rsidRPr="00EB2BD8" w:rsidRDefault="00084F36">
            <w:pPr>
              <w:pStyle w:val="TableParagraph"/>
              <w:rPr>
                <w:rFonts w:ascii="Times New Roman"/>
                <w:sz w:val="16"/>
              </w:rPr>
            </w:pPr>
          </w:p>
        </w:tc>
      </w:tr>
      <w:tr w:rsidR="00EB2BD8" w:rsidRPr="00EB2BD8" w14:paraId="6271F5A8" w14:textId="77777777">
        <w:trPr>
          <w:trHeight w:val="229"/>
        </w:trPr>
        <w:tc>
          <w:tcPr>
            <w:tcW w:w="1668" w:type="dxa"/>
          </w:tcPr>
          <w:p w14:paraId="0A9C7EA1" w14:textId="77777777" w:rsidR="00084F36" w:rsidRPr="00EB2BD8" w:rsidRDefault="00084F36">
            <w:pPr>
              <w:pStyle w:val="TableParagraph"/>
              <w:rPr>
                <w:rFonts w:ascii="Times New Roman"/>
                <w:sz w:val="16"/>
              </w:rPr>
            </w:pPr>
          </w:p>
        </w:tc>
        <w:tc>
          <w:tcPr>
            <w:tcW w:w="3163" w:type="dxa"/>
          </w:tcPr>
          <w:p w14:paraId="30B2AD86" w14:textId="77777777" w:rsidR="00084F36" w:rsidRPr="00EB2BD8" w:rsidRDefault="00EB2BD8">
            <w:pPr>
              <w:pStyle w:val="TableParagraph"/>
              <w:spacing w:before="19"/>
              <w:ind w:left="202"/>
              <w:rPr>
                <w:sz w:val="16"/>
              </w:rPr>
            </w:pPr>
            <w:r w:rsidRPr="00EB2BD8">
              <w:rPr>
                <w:spacing w:val="-2"/>
                <w:sz w:val="16"/>
              </w:rPr>
              <w:t>work</w:t>
            </w:r>
            <w:r w:rsidRPr="00EB2BD8">
              <w:rPr>
                <w:spacing w:val="-7"/>
                <w:sz w:val="16"/>
              </w:rPr>
              <w:t xml:space="preserve"> </w:t>
            </w:r>
            <w:r w:rsidRPr="00EB2BD8">
              <w:rPr>
                <w:spacing w:val="-2"/>
                <w:sz w:val="16"/>
              </w:rPr>
              <w:t>while</w:t>
            </w:r>
            <w:r w:rsidRPr="00EB2BD8">
              <w:rPr>
                <w:spacing w:val="-7"/>
                <w:sz w:val="16"/>
              </w:rPr>
              <w:t xml:space="preserve"> </w:t>
            </w:r>
            <w:r w:rsidRPr="00EB2BD8">
              <w:rPr>
                <w:spacing w:val="-2"/>
                <w:sz w:val="16"/>
              </w:rPr>
              <w:t>not</w:t>
            </w:r>
            <w:r w:rsidRPr="00EB2BD8">
              <w:rPr>
                <w:spacing w:val="-7"/>
                <w:sz w:val="16"/>
              </w:rPr>
              <w:t xml:space="preserve"> </w:t>
            </w:r>
            <w:r w:rsidRPr="00EB2BD8">
              <w:rPr>
                <w:spacing w:val="-2"/>
                <w:sz w:val="16"/>
              </w:rPr>
              <w:t>licenced</w:t>
            </w:r>
            <w:r w:rsidRPr="00EB2BD8">
              <w:rPr>
                <w:spacing w:val="-7"/>
                <w:sz w:val="16"/>
              </w:rPr>
              <w:t xml:space="preserve"> </w:t>
            </w:r>
            <w:r w:rsidRPr="00EB2BD8">
              <w:rPr>
                <w:spacing w:val="-2"/>
                <w:sz w:val="16"/>
              </w:rPr>
              <w:t>or</w:t>
            </w:r>
            <w:r w:rsidRPr="00EB2BD8">
              <w:rPr>
                <w:spacing w:val="-7"/>
                <w:sz w:val="16"/>
              </w:rPr>
              <w:t xml:space="preserve"> </w:t>
            </w:r>
            <w:r w:rsidRPr="00EB2BD8">
              <w:rPr>
                <w:spacing w:val="-2"/>
                <w:sz w:val="16"/>
              </w:rPr>
              <w:t>registered</w:t>
            </w:r>
          </w:p>
        </w:tc>
        <w:tc>
          <w:tcPr>
            <w:tcW w:w="3101" w:type="dxa"/>
          </w:tcPr>
          <w:p w14:paraId="51B7A8A6" w14:textId="77777777" w:rsidR="00084F36" w:rsidRPr="00EB2BD8" w:rsidRDefault="00084F36">
            <w:pPr>
              <w:pStyle w:val="TableParagraph"/>
              <w:rPr>
                <w:rFonts w:ascii="Times New Roman"/>
                <w:sz w:val="16"/>
              </w:rPr>
            </w:pPr>
          </w:p>
        </w:tc>
        <w:tc>
          <w:tcPr>
            <w:tcW w:w="1101" w:type="dxa"/>
          </w:tcPr>
          <w:p w14:paraId="0DCDC046" w14:textId="77777777" w:rsidR="00084F36" w:rsidRPr="00EB2BD8" w:rsidRDefault="00084F36">
            <w:pPr>
              <w:pStyle w:val="TableParagraph"/>
              <w:rPr>
                <w:rFonts w:ascii="Times New Roman"/>
                <w:sz w:val="16"/>
              </w:rPr>
            </w:pPr>
          </w:p>
        </w:tc>
        <w:tc>
          <w:tcPr>
            <w:tcW w:w="1176" w:type="dxa"/>
          </w:tcPr>
          <w:p w14:paraId="2955FA59" w14:textId="77777777" w:rsidR="00084F36" w:rsidRPr="00EB2BD8" w:rsidRDefault="00084F36">
            <w:pPr>
              <w:pStyle w:val="TableParagraph"/>
              <w:rPr>
                <w:rFonts w:ascii="Times New Roman"/>
                <w:sz w:val="16"/>
              </w:rPr>
            </w:pPr>
          </w:p>
        </w:tc>
      </w:tr>
      <w:tr w:rsidR="00084F36" w:rsidRPr="00EB2BD8" w14:paraId="510BA4BF" w14:textId="77777777">
        <w:trPr>
          <w:trHeight w:val="286"/>
        </w:trPr>
        <w:tc>
          <w:tcPr>
            <w:tcW w:w="1668" w:type="dxa"/>
            <w:tcBorders>
              <w:bottom w:val="single" w:sz="2" w:space="0" w:color="000000"/>
            </w:tcBorders>
          </w:tcPr>
          <w:p w14:paraId="48EA1941" w14:textId="77777777" w:rsidR="00084F36" w:rsidRPr="00EB2BD8" w:rsidRDefault="00084F36">
            <w:pPr>
              <w:pStyle w:val="TableParagraph"/>
              <w:rPr>
                <w:rFonts w:ascii="Times New Roman"/>
                <w:sz w:val="16"/>
              </w:rPr>
            </w:pPr>
          </w:p>
        </w:tc>
        <w:tc>
          <w:tcPr>
            <w:tcW w:w="3163" w:type="dxa"/>
            <w:tcBorders>
              <w:bottom w:val="single" w:sz="2" w:space="0" w:color="000000"/>
            </w:tcBorders>
          </w:tcPr>
          <w:p w14:paraId="57D7A9AE" w14:textId="77777777" w:rsidR="00084F36" w:rsidRPr="00EB2BD8" w:rsidRDefault="00EB2BD8">
            <w:pPr>
              <w:pStyle w:val="TableParagraph"/>
              <w:spacing w:before="19"/>
              <w:ind w:left="202"/>
              <w:rPr>
                <w:sz w:val="16"/>
              </w:rPr>
            </w:pPr>
            <w:r w:rsidRPr="00EB2BD8">
              <w:rPr>
                <w:spacing w:val="-2"/>
                <w:sz w:val="16"/>
              </w:rPr>
              <w:t>to</w:t>
            </w:r>
            <w:r w:rsidRPr="00EB2BD8">
              <w:rPr>
                <w:spacing w:val="-11"/>
                <w:sz w:val="16"/>
              </w:rPr>
              <w:t xml:space="preserve"> </w:t>
            </w:r>
            <w:r w:rsidRPr="00EB2BD8">
              <w:rPr>
                <w:spacing w:val="-2"/>
                <w:sz w:val="16"/>
              </w:rPr>
              <w:t>do</w:t>
            </w:r>
            <w:r w:rsidRPr="00EB2BD8">
              <w:rPr>
                <w:spacing w:val="-10"/>
                <w:sz w:val="16"/>
              </w:rPr>
              <w:t xml:space="preserve"> </w:t>
            </w:r>
            <w:r w:rsidRPr="00EB2BD8">
              <w:rPr>
                <w:spacing w:val="-5"/>
                <w:sz w:val="16"/>
              </w:rPr>
              <w:t>so.</w:t>
            </w:r>
          </w:p>
        </w:tc>
        <w:tc>
          <w:tcPr>
            <w:tcW w:w="3101" w:type="dxa"/>
            <w:tcBorders>
              <w:bottom w:val="single" w:sz="2" w:space="0" w:color="000000"/>
            </w:tcBorders>
          </w:tcPr>
          <w:p w14:paraId="0795549A" w14:textId="77777777" w:rsidR="00084F36" w:rsidRPr="00EB2BD8" w:rsidRDefault="00084F36">
            <w:pPr>
              <w:pStyle w:val="TableParagraph"/>
              <w:rPr>
                <w:rFonts w:ascii="Times New Roman"/>
                <w:sz w:val="16"/>
              </w:rPr>
            </w:pPr>
          </w:p>
        </w:tc>
        <w:tc>
          <w:tcPr>
            <w:tcW w:w="1101" w:type="dxa"/>
            <w:tcBorders>
              <w:bottom w:val="single" w:sz="2" w:space="0" w:color="000000"/>
            </w:tcBorders>
          </w:tcPr>
          <w:p w14:paraId="06DB4A00" w14:textId="77777777" w:rsidR="00084F36" w:rsidRPr="00EB2BD8" w:rsidRDefault="00084F36">
            <w:pPr>
              <w:pStyle w:val="TableParagraph"/>
              <w:rPr>
                <w:rFonts w:ascii="Times New Roman"/>
                <w:sz w:val="16"/>
              </w:rPr>
            </w:pPr>
          </w:p>
        </w:tc>
        <w:tc>
          <w:tcPr>
            <w:tcW w:w="1176" w:type="dxa"/>
            <w:tcBorders>
              <w:bottom w:val="single" w:sz="2" w:space="0" w:color="000000"/>
            </w:tcBorders>
          </w:tcPr>
          <w:p w14:paraId="25B2A25E" w14:textId="77777777" w:rsidR="00084F36" w:rsidRPr="00EB2BD8" w:rsidRDefault="00084F36">
            <w:pPr>
              <w:pStyle w:val="TableParagraph"/>
              <w:rPr>
                <w:rFonts w:ascii="Times New Roman"/>
                <w:sz w:val="16"/>
              </w:rPr>
            </w:pPr>
          </w:p>
        </w:tc>
      </w:tr>
    </w:tbl>
    <w:p w14:paraId="46BC20DB" w14:textId="77777777" w:rsidR="00084F36" w:rsidRPr="00EB2BD8" w:rsidRDefault="00084F36">
      <w:pPr>
        <w:rPr>
          <w:rFonts w:ascii="Times New Roman"/>
          <w:sz w:val="16"/>
        </w:rPr>
        <w:sectPr w:rsidR="00084F36" w:rsidRPr="00EB2BD8" w:rsidSect="006D75B2">
          <w:footerReference w:type="default" r:id="rId432"/>
          <w:pgSz w:w="11910" w:h="16840"/>
          <w:pgMar w:top="1080" w:right="0" w:bottom="720" w:left="0" w:header="0" w:footer="528" w:gutter="0"/>
          <w:cols w:space="720"/>
        </w:sectPr>
      </w:pPr>
    </w:p>
    <w:p w14:paraId="3A4559DC" w14:textId="77777777" w:rsidR="00084F36" w:rsidRPr="00EB2BD8" w:rsidRDefault="00084F36">
      <w:pPr>
        <w:pStyle w:val="BodyText"/>
        <w:spacing w:before="9"/>
        <w:rPr>
          <w:i/>
          <w:sz w:val="21"/>
        </w:rPr>
      </w:pPr>
    </w:p>
    <w:p w14:paraId="119520C5" w14:textId="77777777" w:rsidR="00084F36" w:rsidRPr="00EB2BD8" w:rsidRDefault="00EB2BD8" w:rsidP="003B3D54">
      <w:pPr>
        <w:pStyle w:val="Heading1"/>
      </w:pPr>
      <w:bookmarkStart w:id="440" w:name="_Toc150762742"/>
      <w:r w:rsidRPr="00EB2BD8">
        <w:t>Appendix</w:t>
      </w:r>
      <w:r w:rsidRPr="00EB2BD8">
        <w:rPr>
          <w:spacing w:val="-32"/>
        </w:rPr>
        <w:t xml:space="preserve"> </w:t>
      </w:r>
      <w:r w:rsidRPr="00EB2BD8">
        <w:rPr>
          <w:spacing w:val="-10"/>
        </w:rPr>
        <w:t>E</w:t>
      </w:r>
      <w:bookmarkEnd w:id="440"/>
    </w:p>
    <w:p w14:paraId="2116E2DC" w14:textId="77777777" w:rsidR="00084F36" w:rsidRPr="00EB2BD8" w:rsidRDefault="00084F36">
      <w:pPr>
        <w:pStyle w:val="BodyText"/>
        <w:rPr>
          <w:rFonts w:ascii="Tahoma"/>
          <w:b/>
          <w:sz w:val="20"/>
        </w:rPr>
      </w:pPr>
    </w:p>
    <w:p w14:paraId="0609DBBB" w14:textId="77777777" w:rsidR="00084F36" w:rsidRPr="00EB2BD8" w:rsidRDefault="00084F36">
      <w:pPr>
        <w:pStyle w:val="BodyText"/>
        <w:rPr>
          <w:rFonts w:ascii="Tahoma"/>
          <w:b/>
          <w:sz w:val="20"/>
        </w:rPr>
      </w:pPr>
    </w:p>
    <w:p w14:paraId="433F4530" w14:textId="77777777" w:rsidR="00084F36" w:rsidRPr="00EB2BD8" w:rsidRDefault="00084F36">
      <w:pPr>
        <w:pStyle w:val="BodyText"/>
        <w:rPr>
          <w:rFonts w:ascii="Tahoma"/>
          <w:b/>
          <w:sz w:val="20"/>
        </w:rPr>
      </w:pPr>
    </w:p>
    <w:p w14:paraId="6D4E1B60" w14:textId="77777777" w:rsidR="00084F36" w:rsidRPr="00EB2BD8" w:rsidRDefault="00084F36">
      <w:pPr>
        <w:pStyle w:val="BodyText"/>
        <w:rPr>
          <w:rFonts w:ascii="Tahoma"/>
          <w:b/>
          <w:sz w:val="20"/>
        </w:rPr>
      </w:pPr>
    </w:p>
    <w:p w14:paraId="687D2304" w14:textId="77777777" w:rsidR="00084F36" w:rsidRPr="00EB2BD8" w:rsidRDefault="00084F36">
      <w:pPr>
        <w:pStyle w:val="BodyText"/>
        <w:rPr>
          <w:rFonts w:ascii="Tahoma"/>
          <w:b/>
          <w:sz w:val="17"/>
        </w:rPr>
      </w:pPr>
    </w:p>
    <w:p w14:paraId="23B53515" w14:textId="77777777" w:rsidR="00084F36" w:rsidRPr="00EB2BD8" w:rsidRDefault="00084F36">
      <w:pPr>
        <w:rPr>
          <w:rFonts w:ascii="Tahoma"/>
          <w:sz w:val="17"/>
        </w:rPr>
        <w:sectPr w:rsidR="00084F36" w:rsidRPr="00EB2BD8" w:rsidSect="006D75B2">
          <w:footerReference w:type="default" r:id="rId433"/>
          <w:pgSz w:w="11910" w:h="16840"/>
          <w:pgMar w:top="1100" w:right="0" w:bottom="700" w:left="0" w:header="0" w:footer="515" w:gutter="0"/>
          <w:cols w:space="720"/>
        </w:sectPr>
      </w:pPr>
    </w:p>
    <w:p w14:paraId="79C23E4B" w14:textId="77777777" w:rsidR="00084F36" w:rsidRPr="00EB2BD8" w:rsidRDefault="00EB2BD8" w:rsidP="00697E0C">
      <w:pPr>
        <w:pStyle w:val="Heading2"/>
      </w:pPr>
      <w:bookmarkStart w:id="441" w:name="_Toc150762743"/>
      <w:r w:rsidRPr="00EB2BD8">
        <w:t>Glossary</w:t>
      </w:r>
      <w:bookmarkEnd w:id="441"/>
    </w:p>
    <w:p w14:paraId="2BDCB105" w14:textId="77777777" w:rsidR="00084F36" w:rsidRPr="00EB2BD8" w:rsidRDefault="00084F36">
      <w:pPr>
        <w:pStyle w:val="BodyText"/>
        <w:spacing w:before="6"/>
        <w:rPr>
          <w:b/>
          <w:sz w:val="36"/>
        </w:rPr>
      </w:pPr>
    </w:p>
    <w:p w14:paraId="4C7FC456" w14:textId="77777777" w:rsidR="00084F36" w:rsidRPr="00EB2BD8" w:rsidRDefault="00EB2BD8" w:rsidP="00697E0C">
      <w:pPr>
        <w:pStyle w:val="Heading3"/>
      </w:pPr>
      <w:bookmarkStart w:id="442" w:name="_Toc150762744"/>
      <w:r w:rsidRPr="00EB2BD8">
        <w:t>Australian</w:t>
      </w:r>
      <w:r w:rsidRPr="00EB2BD8">
        <w:rPr>
          <w:spacing w:val="-5"/>
        </w:rPr>
        <w:t xml:space="preserve"> </w:t>
      </w:r>
      <w:r w:rsidRPr="00EB2BD8">
        <w:t>Building</w:t>
      </w:r>
      <w:r w:rsidRPr="00EB2BD8">
        <w:rPr>
          <w:spacing w:val="-5"/>
        </w:rPr>
        <w:t xml:space="preserve"> </w:t>
      </w:r>
      <w:r w:rsidRPr="00EB2BD8">
        <w:t xml:space="preserve">Codes </w:t>
      </w:r>
      <w:r w:rsidRPr="00EB2BD8">
        <w:rPr>
          <w:w w:val="105"/>
        </w:rPr>
        <w:t>Board</w:t>
      </w:r>
      <w:r w:rsidRPr="00EB2BD8">
        <w:rPr>
          <w:spacing w:val="-3"/>
          <w:w w:val="105"/>
        </w:rPr>
        <w:t xml:space="preserve"> </w:t>
      </w:r>
      <w:r w:rsidRPr="00EB2BD8">
        <w:rPr>
          <w:w w:val="105"/>
        </w:rPr>
        <w:t>(ABCB)</w:t>
      </w:r>
      <w:bookmarkEnd w:id="442"/>
    </w:p>
    <w:p w14:paraId="5C9C07EF" w14:textId="77777777" w:rsidR="00084F36" w:rsidRPr="00EB2BD8" w:rsidRDefault="00EB2BD8">
      <w:pPr>
        <w:pStyle w:val="BodyText"/>
        <w:spacing w:before="176" w:line="261" w:lineRule="auto"/>
        <w:ind w:left="850" w:right="89"/>
      </w:pPr>
      <w:r w:rsidRPr="00EB2BD8">
        <w:t>The ABCB addresses issues</w:t>
      </w:r>
      <w:r w:rsidRPr="00EB2BD8">
        <w:rPr>
          <w:spacing w:val="80"/>
        </w:rPr>
        <w:t xml:space="preserve"> </w:t>
      </w:r>
      <w:r w:rsidRPr="00EB2BD8">
        <w:t>relating to safety, health, amenity and sustainability in the design</w:t>
      </w:r>
      <w:r w:rsidRPr="00EB2BD8">
        <w:rPr>
          <w:spacing w:val="80"/>
        </w:rPr>
        <w:t xml:space="preserve"> </w:t>
      </w:r>
      <w:r w:rsidRPr="00EB2BD8">
        <w:t>and performance of buildings through the National Construction Code (NCC) (see below) and the development</w:t>
      </w:r>
      <w:r w:rsidRPr="00EB2BD8">
        <w:rPr>
          <w:spacing w:val="-11"/>
        </w:rPr>
        <w:t xml:space="preserve"> </w:t>
      </w:r>
      <w:r w:rsidRPr="00EB2BD8">
        <w:t>of</w:t>
      </w:r>
      <w:r w:rsidRPr="00EB2BD8">
        <w:rPr>
          <w:spacing w:val="-11"/>
        </w:rPr>
        <w:t xml:space="preserve"> </w:t>
      </w:r>
      <w:r w:rsidRPr="00EB2BD8">
        <w:t>effective</w:t>
      </w:r>
      <w:r w:rsidRPr="00EB2BD8">
        <w:rPr>
          <w:spacing w:val="-11"/>
        </w:rPr>
        <w:t xml:space="preserve"> </w:t>
      </w:r>
      <w:r w:rsidRPr="00EB2BD8">
        <w:t>regulatory systems and appropriate non- regulatory solutions, including product certification systems. The Building Ministers’ Forum (see below) appoints the Chair and industry Board members</w:t>
      </w:r>
    </w:p>
    <w:p w14:paraId="68E93CDB" w14:textId="77777777" w:rsidR="00084F36" w:rsidRPr="00EB2BD8" w:rsidRDefault="00084F36">
      <w:pPr>
        <w:pStyle w:val="BodyText"/>
        <w:spacing w:before="2"/>
        <w:rPr>
          <w:sz w:val="27"/>
        </w:rPr>
      </w:pPr>
    </w:p>
    <w:p w14:paraId="56D08003" w14:textId="77777777" w:rsidR="00084F36" w:rsidRPr="00EB2BD8" w:rsidRDefault="00EB2BD8" w:rsidP="00697E0C">
      <w:pPr>
        <w:pStyle w:val="Heading3"/>
      </w:pPr>
      <w:bookmarkStart w:id="443" w:name="_Toc150762745"/>
      <w:r w:rsidRPr="00EB2BD8">
        <w:t>Authorised</w:t>
      </w:r>
      <w:r w:rsidRPr="00EB2BD8">
        <w:rPr>
          <w:spacing w:val="-14"/>
        </w:rPr>
        <w:t xml:space="preserve"> </w:t>
      </w:r>
      <w:r w:rsidRPr="00EB2BD8">
        <w:t>Nominating Authorities (ANAs)</w:t>
      </w:r>
      <w:bookmarkEnd w:id="443"/>
    </w:p>
    <w:p w14:paraId="17CBE6DB" w14:textId="77777777" w:rsidR="00084F36" w:rsidRPr="00EB2BD8" w:rsidRDefault="00EB2BD8">
      <w:pPr>
        <w:pStyle w:val="BodyText"/>
        <w:spacing w:before="176" w:line="261" w:lineRule="auto"/>
        <w:ind w:left="850"/>
      </w:pPr>
      <w:r w:rsidRPr="00EB2BD8">
        <w:t>ANAs are authorised by the VBA to manage the adjudication process under</w:t>
      </w:r>
      <w:r w:rsidRPr="00EB2BD8">
        <w:rPr>
          <w:spacing w:val="-8"/>
        </w:rPr>
        <w:t xml:space="preserve"> </w:t>
      </w:r>
      <w:r w:rsidRPr="00EB2BD8">
        <w:t>the</w:t>
      </w:r>
      <w:r w:rsidRPr="00EB2BD8">
        <w:rPr>
          <w:spacing w:val="-8"/>
        </w:rPr>
        <w:t xml:space="preserve"> </w:t>
      </w:r>
      <w:r w:rsidRPr="00EB2BD8">
        <w:t>SoP</w:t>
      </w:r>
      <w:r w:rsidRPr="00EB2BD8">
        <w:rPr>
          <w:spacing w:val="-8"/>
        </w:rPr>
        <w:t xml:space="preserve"> </w:t>
      </w:r>
      <w:r w:rsidRPr="00EB2BD8">
        <w:t>Act.</w:t>
      </w:r>
      <w:r w:rsidRPr="00EB2BD8">
        <w:rPr>
          <w:spacing w:val="-8"/>
        </w:rPr>
        <w:t xml:space="preserve"> </w:t>
      </w:r>
      <w:r w:rsidRPr="00EB2BD8">
        <w:t>The</w:t>
      </w:r>
      <w:r w:rsidRPr="00EB2BD8">
        <w:rPr>
          <w:spacing w:val="-8"/>
        </w:rPr>
        <w:t xml:space="preserve"> </w:t>
      </w:r>
      <w:r w:rsidRPr="00EB2BD8">
        <w:t>VBA</w:t>
      </w:r>
      <w:r w:rsidRPr="00EB2BD8">
        <w:rPr>
          <w:spacing w:val="-8"/>
        </w:rPr>
        <w:t xml:space="preserve"> </w:t>
      </w:r>
      <w:r w:rsidRPr="00EB2BD8">
        <w:t>oversees ANA activities and performance.</w:t>
      </w:r>
    </w:p>
    <w:p w14:paraId="04642B64" w14:textId="77777777" w:rsidR="00084F36" w:rsidRPr="00EB2BD8" w:rsidRDefault="00EB2BD8">
      <w:pPr>
        <w:pStyle w:val="BodyText"/>
        <w:spacing w:line="261" w:lineRule="auto"/>
        <w:ind w:left="850"/>
      </w:pPr>
      <w:r w:rsidRPr="00EB2BD8">
        <w:rPr>
          <w:w w:val="105"/>
        </w:rPr>
        <w:t>The</w:t>
      </w:r>
      <w:r w:rsidRPr="00EB2BD8">
        <w:rPr>
          <w:spacing w:val="-4"/>
          <w:w w:val="105"/>
        </w:rPr>
        <w:t xml:space="preserve"> </w:t>
      </w:r>
      <w:r w:rsidRPr="00EB2BD8">
        <w:rPr>
          <w:w w:val="105"/>
        </w:rPr>
        <w:t>functions</w:t>
      </w:r>
      <w:r w:rsidRPr="00EB2BD8">
        <w:rPr>
          <w:spacing w:val="-4"/>
          <w:w w:val="105"/>
        </w:rPr>
        <w:t xml:space="preserve"> </w:t>
      </w:r>
      <w:r w:rsidRPr="00EB2BD8">
        <w:rPr>
          <w:w w:val="105"/>
        </w:rPr>
        <w:t>of</w:t>
      </w:r>
      <w:r w:rsidRPr="00EB2BD8">
        <w:rPr>
          <w:spacing w:val="-4"/>
          <w:w w:val="105"/>
        </w:rPr>
        <w:t xml:space="preserve"> </w:t>
      </w:r>
      <w:r w:rsidRPr="00EB2BD8">
        <w:rPr>
          <w:w w:val="105"/>
        </w:rPr>
        <w:t>an</w:t>
      </w:r>
      <w:r w:rsidRPr="00EB2BD8">
        <w:rPr>
          <w:spacing w:val="-4"/>
          <w:w w:val="105"/>
        </w:rPr>
        <w:t xml:space="preserve"> </w:t>
      </w:r>
      <w:r w:rsidRPr="00EB2BD8">
        <w:rPr>
          <w:w w:val="105"/>
        </w:rPr>
        <w:t>ANA</w:t>
      </w:r>
      <w:r w:rsidRPr="00EB2BD8">
        <w:rPr>
          <w:spacing w:val="-4"/>
          <w:w w:val="105"/>
        </w:rPr>
        <w:t xml:space="preserve"> </w:t>
      </w:r>
      <w:r w:rsidRPr="00EB2BD8">
        <w:rPr>
          <w:w w:val="105"/>
        </w:rPr>
        <w:t xml:space="preserve">include nominating adjudicators for the </w:t>
      </w:r>
      <w:r w:rsidRPr="00EB2BD8">
        <w:t>purposes</w:t>
      </w:r>
      <w:r w:rsidRPr="00EB2BD8">
        <w:rPr>
          <w:spacing w:val="-9"/>
        </w:rPr>
        <w:t xml:space="preserve"> </w:t>
      </w:r>
      <w:r w:rsidRPr="00EB2BD8">
        <w:t>of</w:t>
      </w:r>
      <w:r w:rsidRPr="00EB2BD8">
        <w:rPr>
          <w:spacing w:val="-9"/>
        </w:rPr>
        <w:t xml:space="preserve"> </w:t>
      </w:r>
      <w:r w:rsidRPr="00EB2BD8">
        <w:t>the</w:t>
      </w:r>
      <w:r w:rsidRPr="00EB2BD8">
        <w:rPr>
          <w:spacing w:val="-9"/>
        </w:rPr>
        <w:t xml:space="preserve"> </w:t>
      </w:r>
      <w:r w:rsidRPr="00EB2BD8">
        <w:t>SOP</w:t>
      </w:r>
      <w:r w:rsidRPr="00EB2BD8">
        <w:rPr>
          <w:spacing w:val="-9"/>
        </w:rPr>
        <w:t xml:space="preserve"> </w:t>
      </w:r>
      <w:r w:rsidRPr="00EB2BD8">
        <w:t>Act,</w:t>
      </w:r>
      <w:r w:rsidRPr="00EB2BD8">
        <w:rPr>
          <w:spacing w:val="-9"/>
        </w:rPr>
        <w:t xml:space="preserve"> </w:t>
      </w:r>
      <w:r w:rsidRPr="00EB2BD8">
        <w:t xml:space="preserve">receiving </w:t>
      </w:r>
      <w:r w:rsidRPr="00EB2BD8">
        <w:rPr>
          <w:w w:val="105"/>
        </w:rPr>
        <w:t>and referring adjudication applications to adjudicators</w:t>
      </w:r>
    </w:p>
    <w:p w14:paraId="11E147EA" w14:textId="77777777" w:rsidR="00084F36" w:rsidRPr="00EB2BD8" w:rsidRDefault="00EB2BD8">
      <w:pPr>
        <w:pStyle w:val="BodyText"/>
        <w:spacing w:line="261" w:lineRule="auto"/>
        <w:ind w:left="850"/>
      </w:pPr>
      <w:r w:rsidRPr="00EB2BD8">
        <w:t>and</w:t>
      </w:r>
      <w:r w:rsidRPr="00EB2BD8">
        <w:rPr>
          <w:spacing w:val="-10"/>
        </w:rPr>
        <w:t xml:space="preserve"> </w:t>
      </w:r>
      <w:r w:rsidRPr="00EB2BD8">
        <w:t>reporting</w:t>
      </w:r>
      <w:r w:rsidRPr="00EB2BD8">
        <w:rPr>
          <w:spacing w:val="-10"/>
        </w:rPr>
        <w:t xml:space="preserve"> </w:t>
      </w:r>
      <w:r w:rsidRPr="00EB2BD8">
        <w:t>to</w:t>
      </w:r>
      <w:r w:rsidRPr="00EB2BD8">
        <w:rPr>
          <w:spacing w:val="-10"/>
        </w:rPr>
        <w:t xml:space="preserve"> </w:t>
      </w:r>
      <w:r w:rsidRPr="00EB2BD8">
        <w:t>and</w:t>
      </w:r>
      <w:r w:rsidRPr="00EB2BD8">
        <w:rPr>
          <w:spacing w:val="-10"/>
        </w:rPr>
        <w:t xml:space="preserve"> </w:t>
      </w:r>
      <w:r w:rsidRPr="00EB2BD8">
        <w:t>providing information to the VBA</w:t>
      </w:r>
    </w:p>
    <w:p w14:paraId="0A909269" w14:textId="77777777" w:rsidR="00084F36" w:rsidRPr="00EB2BD8" w:rsidRDefault="00084F36">
      <w:pPr>
        <w:pStyle w:val="BodyText"/>
        <w:spacing w:before="2"/>
        <w:rPr>
          <w:sz w:val="27"/>
        </w:rPr>
      </w:pPr>
    </w:p>
    <w:p w14:paraId="674D74AC" w14:textId="77777777" w:rsidR="00084F36" w:rsidRPr="00EB2BD8" w:rsidRDefault="00EB2BD8" w:rsidP="00697E0C">
      <w:pPr>
        <w:pStyle w:val="Heading3"/>
      </w:pPr>
      <w:bookmarkStart w:id="444" w:name="_Toc150762746"/>
      <w:r w:rsidRPr="00EB2BD8">
        <w:t xml:space="preserve">Building Act </w:t>
      </w:r>
      <w:r w:rsidRPr="00EB2BD8">
        <w:rPr>
          <w:spacing w:val="-4"/>
        </w:rPr>
        <w:t>1993</w:t>
      </w:r>
      <w:bookmarkEnd w:id="444"/>
    </w:p>
    <w:p w14:paraId="2181E2F9" w14:textId="77777777" w:rsidR="00084F36" w:rsidRPr="00EB2BD8" w:rsidRDefault="00EB2BD8">
      <w:pPr>
        <w:pStyle w:val="BodyText"/>
        <w:spacing w:before="176" w:line="261" w:lineRule="auto"/>
        <w:ind w:left="850" w:right="252"/>
      </w:pPr>
      <w:r w:rsidRPr="00EB2BD8">
        <w:t>Governs building and plumbing activity in Victoria and sets out the</w:t>
      </w:r>
      <w:r w:rsidRPr="00EB2BD8">
        <w:rPr>
          <w:spacing w:val="-15"/>
        </w:rPr>
        <w:t xml:space="preserve"> </w:t>
      </w:r>
      <w:r w:rsidRPr="00EB2BD8">
        <w:t>legislative</w:t>
      </w:r>
      <w:r w:rsidRPr="00EB2BD8">
        <w:rPr>
          <w:spacing w:val="-14"/>
        </w:rPr>
        <w:t xml:space="preserve"> </w:t>
      </w:r>
      <w:r w:rsidRPr="00EB2BD8">
        <w:t>framework</w:t>
      </w:r>
      <w:r w:rsidRPr="00EB2BD8">
        <w:rPr>
          <w:spacing w:val="-14"/>
        </w:rPr>
        <w:t xml:space="preserve"> </w:t>
      </w:r>
      <w:r w:rsidRPr="00EB2BD8">
        <w:t>for</w:t>
      </w:r>
      <w:r w:rsidRPr="00EB2BD8">
        <w:rPr>
          <w:spacing w:val="-14"/>
        </w:rPr>
        <w:t xml:space="preserve"> </w:t>
      </w:r>
      <w:r w:rsidRPr="00EB2BD8">
        <w:t>the</w:t>
      </w:r>
    </w:p>
    <w:p w14:paraId="0EED20EF" w14:textId="77777777" w:rsidR="00084F36" w:rsidRPr="00EB2BD8" w:rsidRDefault="00EB2BD8">
      <w:pPr>
        <w:pStyle w:val="BodyText"/>
        <w:spacing w:line="261" w:lineRule="auto"/>
        <w:ind w:left="850"/>
      </w:pPr>
      <w:r w:rsidRPr="00EB2BD8">
        <w:rPr>
          <w:spacing w:val="-2"/>
        </w:rPr>
        <w:t>regulation</w:t>
      </w:r>
      <w:r w:rsidRPr="00EB2BD8">
        <w:rPr>
          <w:spacing w:val="-5"/>
        </w:rPr>
        <w:t xml:space="preserve"> </w:t>
      </w:r>
      <w:r w:rsidRPr="00EB2BD8">
        <w:rPr>
          <w:spacing w:val="-2"/>
        </w:rPr>
        <w:t>of</w:t>
      </w:r>
      <w:r w:rsidRPr="00EB2BD8">
        <w:rPr>
          <w:spacing w:val="-5"/>
        </w:rPr>
        <w:t xml:space="preserve"> </w:t>
      </w:r>
      <w:r w:rsidRPr="00EB2BD8">
        <w:rPr>
          <w:spacing w:val="-2"/>
        </w:rPr>
        <w:t>building</w:t>
      </w:r>
      <w:r w:rsidRPr="00EB2BD8">
        <w:rPr>
          <w:spacing w:val="-5"/>
        </w:rPr>
        <w:t xml:space="preserve"> </w:t>
      </w:r>
      <w:r w:rsidRPr="00EB2BD8">
        <w:rPr>
          <w:spacing w:val="-2"/>
        </w:rPr>
        <w:t xml:space="preserve">construction, </w:t>
      </w:r>
      <w:r w:rsidRPr="00EB2BD8">
        <w:t>building standards and the maintenance of specific building safety</w:t>
      </w:r>
      <w:r w:rsidRPr="00EB2BD8">
        <w:rPr>
          <w:spacing w:val="-6"/>
        </w:rPr>
        <w:t xml:space="preserve"> </w:t>
      </w:r>
      <w:r w:rsidRPr="00EB2BD8">
        <w:t>features</w:t>
      </w:r>
    </w:p>
    <w:p w14:paraId="3A152653" w14:textId="77777777" w:rsidR="00084F36" w:rsidRPr="00EB2BD8" w:rsidRDefault="00EB2BD8" w:rsidP="00697E0C">
      <w:pPr>
        <w:pStyle w:val="Heading3"/>
        <w:ind w:left="248"/>
      </w:pPr>
      <w:r w:rsidRPr="00EB2BD8">
        <w:br w:type="column"/>
      </w:r>
      <w:bookmarkStart w:id="445" w:name="_Toc150762747"/>
      <w:r w:rsidRPr="00EB2BD8">
        <w:rPr>
          <w:w w:val="105"/>
        </w:rPr>
        <w:t>Building</w:t>
      </w:r>
      <w:r w:rsidRPr="00EB2BD8">
        <w:rPr>
          <w:spacing w:val="-3"/>
          <w:w w:val="105"/>
        </w:rPr>
        <w:t xml:space="preserve"> </w:t>
      </w:r>
      <w:r w:rsidRPr="00EB2BD8">
        <w:rPr>
          <w:w w:val="105"/>
        </w:rPr>
        <w:t>Activity Management</w:t>
      </w:r>
      <w:r w:rsidRPr="00EB2BD8">
        <w:rPr>
          <w:spacing w:val="-21"/>
          <w:w w:val="105"/>
        </w:rPr>
        <w:t xml:space="preserve"> </w:t>
      </w:r>
      <w:r w:rsidRPr="00EB2BD8">
        <w:rPr>
          <w:w w:val="105"/>
        </w:rPr>
        <w:t>System (BAMS)</w:t>
      </w:r>
      <w:bookmarkEnd w:id="445"/>
    </w:p>
    <w:p w14:paraId="586C0C27" w14:textId="77777777" w:rsidR="00084F36" w:rsidRPr="00EB2BD8" w:rsidRDefault="00EB2BD8">
      <w:pPr>
        <w:pStyle w:val="BodyText"/>
        <w:spacing w:before="177" w:line="261" w:lineRule="auto"/>
        <w:ind w:left="248" w:right="8"/>
      </w:pPr>
      <w:r w:rsidRPr="00EB2BD8">
        <w:t>The</w:t>
      </w:r>
      <w:r w:rsidRPr="00EB2BD8">
        <w:rPr>
          <w:spacing w:val="-15"/>
        </w:rPr>
        <w:t xml:space="preserve"> </w:t>
      </w:r>
      <w:r w:rsidRPr="00EB2BD8">
        <w:t>VBA’s</w:t>
      </w:r>
      <w:r w:rsidRPr="00EB2BD8">
        <w:rPr>
          <w:spacing w:val="-14"/>
        </w:rPr>
        <w:t xml:space="preserve"> </w:t>
      </w:r>
      <w:r w:rsidRPr="00EB2BD8">
        <w:t>online</w:t>
      </w:r>
      <w:r w:rsidRPr="00EB2BD8">
        <w:rPr>
          <w:spacing w:val="-14"/>
        </w:rPr>
        <w:t xml:space="preserve"> </w:t>
      </w:r>
      <w:r w:rsidRPr="00EB2BD8">
        <w:t>portal</w:t>
      </w:r>
      <w:r w:rsidRPr="00EB2BD8">
        <w:rPr>
          <w:spacing w:val="-14"/>
        </w:rPr>
        <w:t xml:space="preserve"> </w:t>
      </w:r>
      <w:r w:rsidRPr="00EB2BD8">
        <w:t>for</w:t>
      </w:r>
      <w:r w:rsidRPr="00EB2BD8">
        <w:rPr>
          <w:spacing w:val="-15"/>
        </w:rPr>
        <w:t xml:space="preserve"> </w:t>
      </w:r>
      <w:r w:rsidRPr="00EB2BD8">
        <w:t>collecting levy and building permit data</w:t>
      </w:r>
    </w:p>
    <w:p w14:paraId="441B1161" w14:textId="77777777" w:rsidR="00084F36" w:rsidRPr="00EB2BD8" w:rsidRDefault="00084F36">
      <w:pPr>
        <w:pStyle w:val="BodyText"/>
        <w:spacing w:before="2"/>
        <w:rPr>
          <w:sz w:val="28"/>
        </w:rPr>
      </w:pPr>
    </w:p>
    <w:p w14:paraId="5D768E94" w14:textId="77777777" w:rsidR="00084F36" w:rsidRPr="00EB2BD8" w:rsidRDefault="00EB2BD8" w:rsidP="00697E0C">
      <w:pPr>
        <w:pStyle w:val="Heading3"/>
        <w:ind w:left="248"/>
      </w:pPr>
      <w:bookmarkStart w:id="446" w:name="_Toc150762748"/>
      <w:r w:rsidRPr="00EB2BD8">
        <w:t xml:space="preserve">Building and Construction Industry Security of Payment Act 2002 (SoP </w:t>
      </w:r>
      <w:r w:rsidRPr="00EB2BD8">
        <w:rPr>
          <w:spacing w:val="-4"/>
        </w:rPr>
        <w:t>Act)</w:t>
      </w:r>
      <w:bookmarkEnd w:id="446"/>
    </w:p>
    <w:p w14:paraId="2848A387" w14:textId="77777777" w:rsidR="00084F36" w:rsidRPr="00EB2BD8" w:rsidRDefault="00EB2BD8">
      <w:pPr>
        <w:pStyle w:val="BodyText"/>
        <w:spacing w:before="177" w:line="261" w:lineRule="auto"/>
        <w:ind w:left="248" w:right="8"/>
      </w:pPr>
      <w:r w:rsidRPr="00EB2BD8">
        <w:t>The SoP Act provides mechanisms for subcontractors to be paid for work</w:t>
      </w:r>
      <w:r w:rsidRPr="00EB2BD8">
        <w:rPr>
          <w:spacing w:val="-15"/>
        </w:rPr>
        <w:t xml:space="preserve"> </w:t>
      </w:r>
      <w:r w:rsidRPr="00EB2BD8">
        <w:t>undertaken</w:t>
      </w:r>
      <w:r w:rsidRPr="00EB2BD8">
        <w:rPr>
          <w:spacing w:val="-14"/>
        </w:rPr>
        <w:t xml:space="preserve"> </w:t>
      </w:r>
      <w:r w:rsidRPr="00EB2BD8">
        <w:t>or</w:t>
      </w:r>
      <w:r w:rsidRPr="00EB2BD8">
        <w:rPr>
          <w:spacing w:val="-14"/>
        </w:rPr>
        <w:t xml:space="preserve"> </w:t>
      </w:r>
      <w:r w:rsidRPr="00EB2BD8">
        <w:t>for</w:t>
      </w:r>
      <w:r w:rsidRPr="00EB2BD8">
        <w:rPr>
          <w:spacing w:val="-14"/>
        </w:rPr>
        <w:t xml:space="preserve"> </w:t>
      </w:r>
      <w:r w:rsidRPr="00EB2BD8">
        <w:t>the</w:t>
      </w:r>
      <w:r w:rsidRPr="00EB2BD8">
        <w:rPr>
          <w:spacing w:val="-15"/>
        </w:rPr>
        <w:t xml:space="preserve"> </w:t>
      </w:r>
      <w:r w:rsidRPr="00EB2BD8">
        <w:t>supply</w:t>
      </w:r>
      <w:r w:rsidRPr="00EB2BD8">
        <w:rPr>
          <w:spacing w:val="-14"/>
        </w:rPr>
        <w:t xml:space="preserve"> </w:t>
      </w:r>
      <w:r w:rsidRPr="00EB2BD8">
        <w:t>of related</w:t>
      </w:r>
      <w:r w:rsidRPr="00EB2BD8">
        <w:rPr>
          <w:spacing w:val="-7"/>
        </w:rPr>
        <w:t xml:space="preserve"> </w:t>
      </w:r>
      <w:r w:rsidRPr="00EB2BD8">
        <w:t>goods</w:t>
      </w:r>
      <w:r w:rsidRPr="00EB2BD8">
        <w:rPr>
          <w:spacing w:val="-7"/>
        </w:rPr>
        <w:t xml:space="preserve"> </w:t>
      </w:r>
      <w:r w:rsidRPr="00EB2BD8">
        <w:t>and</w:t>
      </w:r>
      <w:r w:rsidRPr="00EB2BD8">
        <w:rPr>
          <w:spacing w:val="-7"/>
        </w:rPr>
        <w:t xml:space="preserve"> </w:t>
      </w:r>
      <w:r w:rsidRPr="00EB2BD8">
        <w:t>services.</w:t>
      </w:r>
      <w:r w:rsidRPr="00EB2BD8">
        <w:rPr>
          <w:spacing w:val="-7"/>
        </w:rPr>
        <w:t xml:space="preserve"> </w:t>
      </w:r>
      <w:r w:rsidRPr="00EB2BD8">
        <w:t>The</w:t>
      </w:r>
      <w:r w:rsidRPr="00EB2BD8">
        <w:rPr>
          <w:spacing w:val="-7"/>
        </w:rPr>
        <w:t xml:space="preserve"> </w:t>
      </w:r>
      <w:r w:rsidRPr="00EB2BD8">
        <w:t>VBA is responsible for administering the SoP Act and monitors the operation of the SoP Act</w:t>
      </w:r>
    </w:p>
    <w:p w14:paraId="05B62AC4" w14:textId="77777777" w:rsidR="00084F36" w:rsidRPr="00EB2BD8" w:rsidRDefault="00084F36">
      <w:pPr>
        <w:pStyle w:val="BodyText"/>
        <w:spacing w:before="8"/>
        <w:rPr>
          <w:sz w:val="27"/>
        </w:rPr>
      </w:pPr>
    </w:p>
    <w:p w14:paraId="389367F0" w14:textId="77777777" w:rsidR="00084F36" w:rsidRPr="00EB2BD8" w:rsidRDefault="00EB2BD8" w:rsidP="00697E0C">
      <w:pPr>
        <w:pStyle w:val="Heading3"/>
        <w:ind w:left="248"/>
      </w:pPr>
      <w:bookmarkStart w:id="447" w:name="_Toc150762749"/>
      <w:r w:rsidRPr="00EB2BD8">
        <w:t>Building</w:t>
      </w:r>
      <w:r w:rsidRPr="00EB2BD8">
        <w:rPr>
          <w:spacing w:val="-10"/>
        </w:rPr>
        <w:t xml:space="preserve"> </w:t>
      </w:r>
      <w:r w:rsidRPr="00EB2BD8">
        <w:t>Code</w:t>
      </w:r>
      <w:r w:rsidRPr="00EB2BD8">
        <w:rPr>
          <w:spacing w:val="-10"/>
        </w:rPr>
        <w:t xml:space="preserve"> </w:t>
      </w:r>
      <w:r w:rsidRPr="00EB2BD8">
        <w:t>of</w:t>
      </w:r>
      <w:r w:rsidRPr="00EB2BD8">
        <w:rPr>
          <w:spacing w:val="-10"/>
        </w:rPr>
        <w:t xml:space="preserve"> </w:t>
      </w:r>
      <w:r w:rsidRPr="00EB2BD8">
        <w:t xml:space="preserve">Australia </w:t>
      </w:r>
      <w:r w:rsidRPr="00EB2BD8">
        <w:rPr>
          <w:spacing w:val="-2"/>
          <w:w w:val="105"/>
        </w:rPr>
        <w:t>(BCA)</w:t>
      </w:r>
      <w:bookmarkEnd w:id="447"/>
    </w:p>
    <w:p w14:paraId="0A0727A6" w14:textId="77777777" w:rsidR="00084F36" w:rsidRPr="00EB2BD8" w:rsidRDefault="00EB2BD8">
      <w:pPr>
        <w:pStyle w:val="BodyText"/>
        <w:spacing w:before="176" w:line="261" w:lineRule="auto"/>
        <w:ind w:left="248" w:right="1"/>
      </w:pPr>
      <w:r w:rsidRPr="00EB2BD8">
        <w:t>The BCA comprises Volumes One and Two of the NCC and prescribes the technical provisions for the design</w:t>
      </w:r>
      <w:r w:rsidRPr="00EB2BD8">
        <w:rPr>
          <w:spacing w:val="-12"/>
        </w:rPr>
        <w:t xml:space="preserve"> </w:t>
      </w:r>
      <w:r w:rsidRPr="00EB2BD8">
        <w:t>and</w:t>
      </w:r>
      <w:r w:rsidRPr="00EB2BD8">
        <w:rPr>
          <w:spacing w:val="-12"/>
        </w:rPr>
        <w:t xml:space="preserve"> </w:t>
      </w:r>
      <w:r w:rsidRPr="00EB2BD8">
        <w:t>construction</w:t>
      </w:r>
      <w:r w:rsidRPr="00EB2BD8">
        <w:rPr>
          <w:spacing w:val="-12"/>
        </w:rPr>
        <w:t xml:space="preserve"> </w:t>
      </w:r>
      <w:r w:rsidRPr="00EB2BD8">
        <w:t>of</w:t>
      </w:r>
      <w:r w:rsidRPr="00EB2BD8">
        <w:rPr>
          <w:spacing w:val="-12"/>
        </w:rPr>
        <w:t xml:space="preserve"> </w:t>
      </w:r>
      <w:r w:rsidRPr="00EB2BD8">
        <w:t>buildings and other structures</w:t>
      </w:r>
    </w:p>
    <w:p w14:paraId="4F88CD64" w14:textId="77777777" w:rsidR="00084F36" w:rsidRPr="00EB2BD8" w:rsidRDefault="00084F36">
      <w:pPr>
        <w:pStyle w:val="BodyText"/>
        <w:spacing w:before="8"/>
        <w:rPr>
          <w:sz w:val="27"/>
        </w:rPr>
      </w:pPr>
    </w:p>
    <w:p w14:paraId="4E3C571C" w14:textId="77777777" w:rsidR="00084F36" w:rsidRPr="00EB2BD8" w:rsidRDefault="00EB2BD8" w:rsidP="00697E0C">
      <w:pPr>
        <w:pStyle w:val="Heading3"/>
        <w:ind w:left="248"/>
      </w:pPr>
      <w:bookmarkStart w:id="448" w:name="_Toc150762750"/>
      <w:r w:rsidRPr="00EB2BD8">
        <w:t>Building</w:t>
      </w:r>
      <w:r w:rsidRPr="00EB2BD8">
        <w:rPr>
          <w:spacing w:val="-5"/>
        </w:rPr>
        <w:t xml:space="preserve"> </w:t>
      </w:r>
      <w:r w:rsidRPr="00EB2BD8">
        <w:t>Ministers’</w:t>
      </w:r>
      <w:r w:rsidRPr="00EB2BD8">
        <w:rPr>
          <w:spacing w:val="-4"/>
        </w:rPr>
        <w:t xml:space="preserve"> </w:t>
      </w:r>
      <w:r w:rsidRPr="00EB2BD8">
        <w:t>Forum</w:t>
      </w:r>
      <w:bookmarkEnd w:id="448"/>
    </w:p>
    <w:p w14:paraId="7BE6A895" w14:textId="77777777" w:rsidR="00084F36" w:rsidRPr="00EB2BD8" w:rsidRDefault="00EB2BD8">
      <w:pPr>
        <w:pStyle w:val="BodyText"/>
        <w:spacing w:before="175" w:line="261" w:lineRule="auto"/>
        <w:ind w:left="248" w:right="8"/>
      </w:pPr>
      <w:r w:rsidRPr="00EB2BD8">
        <w:t>Made up of Commonwealth, state and</w:t>
      </w:r>
      <w:r w:rsidRPr="00EB2BD8">
        <w:rPr>
          <w:spacing w:val="-15"/>
        </w:rPr>
        <w:t xml:space="preserve"> </w:t>
      </w:r>
      <w:r w:rsidRPr="00EB2BD8">
        <w:t>territory</w:t>
      </w:r>
      <w:r w:rsidRPr="00EB2BD8">
        <w:rPr>
          <w:spacing w:val="-14"/>
        </w:rPr>
        <w:t xml:space="preserve"> </w:t>
      </w:r>
      <w:r w:rsidRPr="00EB2BD8">
        <w:t>government</w:t>
      </w:r>
      <w:r w:rsidRPr="00EB2BD8">
        <w:rPr>
          <w:spacing w:val="-14"/>
        </w:rPr>
        <w:t xml:space="preserve"> </w:t>
      </w:r>
      <w:r w:rsidRPr="00EB2BD8">
        <w:t>ministers with responsibility for building</w:t>
      </w:r>
    </w:p>
    <w:p w14:paraId="5ADE4D0B" w14:textId="56F3FE9C" w:rsidR="00084F36" w:rsidRPr="00EB2BD8" w:rsidRDefault="00EB2BD8">
      <w:pPr>
        <w:pStyle w:val="BodyText"/>
        <w:spacing w:line="261" w:lineRule="auto"/>
        <w:ind w:left="248"/>
      </w:pPr>
      <w:r w:rsidRPr="00EB2BD8">
        <w:t>and construction, oversees policy and regulatory issues affecting Australia’s</w:t>
      </w:r>
      <w:r w:rsidRPr="00EB2BD8">
        <w:rPr>
          <w:spacing w:val="-15"/>
        </w:rPr>
        <w:t xml:space="preserve"> </w:t>
      </w:r>
      <w:r w:rsidRPr="00EB2BD8">
        <w:t>building</w:t>
      </w:r>
      <w:r w:rsidRPr="00EB2BD8">
        <w:rPr>
          <w:spacing w:val="-14"/>
        </w:rPr>
        <w:t xml:space="preserve"> </w:t>
      </w:r>
      <w:r w:rsidRPr="00EB2BD8">
        <w:t>and</w:t>
      </w:r>
      <w:r w:rsidRPr="00EB2BD8">
        <w:rPr>
          <w:spacing w:val="-14"/>
        </w:rPr>
        <w:t xml:space="preserve"> </w:t>
      </w:r>
      <w:r w:rsidR="00697E0C">
        <w:rPr>
          <w:spacing w:val="-14"/>
        </w:rPr>
        <w:br/>
      </w:r>
      <w:r w:rsidRPr="00EB2BD8">
        <w:t xml:space="preserve">construction </w:t>
      </w:r>
      <w:r w:rsidRPr="00EB2BD8">
        <w:rPr>
          <w:spacing w:val="-2"/>
        </w:rPr>
        <w:t>industries</w:t>
      </w:r>
    </w:p>
    <w:p w14:paraId="1D3E9503" w14:textId="77777777" w:rsidR="00084F36" w:rsidRPr="00EB2BD8" w:rsidRDefault="00EB2BD8" w:rsidP="00697E0C">
      <w:pPr>
        <w:pStyle w:val="Heading3"/>
        <w:ind w:left="0" w:firstLine="247"/>
      </w:pPr>
      <w:r w:rsidRPr="00EB2BD8">
        <w:br w:type="column"/>
      </w:r>
      <w:bookmarkStart w:id="449" w:name="_Toc150762751"/>
      <w:r w:rsidRPr="00EB2BD8">
        <w:t>Building</w:t>
      </w:r>
      <w:r w:rsidRPr="00EB2BD8">
        <w:rPr>
          <w:spacing w:val="-8"/>
        </w:rPr>
        <w:t xml:space="preserve"> </w:t>
      </w:r>
      <w:r w:rsidRPr="00EB2BD8">
        <w:t>practitioner</w:t>
      </w:r>
      <w:bookmarkEnd w:id="449"/>
    </w:p>
    <w:p w14:paraId="04E74ACB" w14:textId="77777777" w:rsidR="00084F36" w:rsidRPr="00EB2BD8" w:rsidRDefault="00EB2BD8">
      <w:pPr>
        <w:pStyle w:val="BodyText"/>
        <w:spacing w:before="175" w:line="261" w:lineRule="auto"/>
        <w:ind w:left="247" w:right="942"/>
      </w:pPr>
      <w:r w:rsidRPr="00EB2BD8">
        <w:t>They include building surveyors, building inspectors, quantity surveyors, engineers engaged in the</w:t>
      </w:r>
      <w:r w:rsidRPr="00EB2BD8">
        <w:rPr>
          <w:spacing w:val="-15"/>
        </w:rPr>
        <w:t xml:space="preserve"> </w:t>
      </w:r>
      <w:r w:rsidRPr="00EB2BD8">
        <w:t>building</w:t>
      </w:r>
      <w:r w:rsidRPr="00EB2BD8">
        <w:rPr>
          <w:spacing w:val="-14"/>
        </w:rPr>
        <w:t xml:space="preserve"> </w:t>
      </w:r>
      <w:r w:rsidRPr="00EB2BD8">
        <w:t>industry,</w:t>
      </w:r>
      <w:r w:rsidRPr="00EB2BD8">
        <w:rPr>
          <w:spacing w:val="-14"/>
        </w:rPr>
        <w:t xml:space="preserve"> </w:t>
      </w:r>
      <w:r w:rsidRPr="00EB2BD8">
        <w:t>draftspersons (building design — architectural, interior, services), commercial builders, domestic builders, demolishers and erector or supervisor</w:t>
      </w:r>
      <w:r w:rsidRPr="00EB2BD8">
        <w:rPr>
          <w:spacing w:val="-6"/>
        </w:rPr>
        <w:t xml:space="preserve"> </w:t>
      </w:r>
      <w:r w:rsidRPr="00EB2BD8">
        <w:t>(temporary</w:t>
      </w:r>
      <w:r w:rsidRPr="00EB2BD8">
        <w:rPr>
          <w:spacing w:val="-6"/>
        </w:rPr>
        <w:t xml:space="preserve"> </w:t>
      </w:r>
      <w:r w:rsidRPr="00EB2BD8">
        <w:t>structures</w:t>
      </w:r>
      <w:r w:rsidRPr="00EB2BD8">
        <w:rPr>
          <w:spacing w:val="-6"/>
        </w:rPr>
        <w:t xml:space="preserve"> </w:t>
      </w:r>
      <w:r w:rsidRPr="00EB2BD8">
        <w:t xml:space="preserve">— Class </w:t>
      </w:r>
      <w:r w:rsidRPr="00EB2BD8">
        <w:rPr>
          <w:w w:val="95"/>
        </w:rPr>
        <w:t xml:space="preserve">1 </w:t>
      </w:r>
      <w:r w:rsidRPr="00EB2BD8">
        <w:t>and 2)</w:t>
      </w:r>
    </w:p>
    <w:p w14:paraId="382CF1CA" w14:textId="77777777" w:rsidR="00084F36" w:rsidRPr="00EB2BD8" w:rsidRDefault="00084F36">
      <w:pPr>
        <w:pStyle w:val="BodyText"/>
        <w:spacing w:before="4"/>
        <w:rPr>
          <w:sz w:val="27"/>
        </w:rPr>
      </w:pPr>
    </w:p>
    <w:p w14:paraId="2F449405" w14:textId="77777777" w:rsidR="00084F36" w:rsidRPr="00EB2BD8" w:rsidRDefault="00EB2BD8" w:rsidP="00697E0C">
      <w:pPr>
        <w:pStyle w:val="Heading3"/>
        <w:ind w:left="0" w:firstLine="247"/>
      </w:pPr>
      <w:bookmarkStart w:id="450" w:name="_Toc150762752"/>
      <w:r w:rsidRPr="00EB2BD8">
        <w:t>Building</w:t>
      </w:r>
      <w:r w:rsidRPr="00EB2BD8">
        <w:rPr>
          <w:spacing w:val="2"/>
        </w:rPr>
        <w:t xml:space="preserve"> </w:t>
      </w:r>
      <w:r w:rsidRPr="00EB2BD8">
        <w:t>Regulations</w:t>
      </w:r>
      <w:r w:rsidRPr="00EB2BD8">
        <w:rPr>
          <w:spacing w:val="2"/>
        </w:rPr>
        <w:t xml:space="preserve"> </w:t>
      </w:r>
      <w:r w:rsidRPr="00EB2BD8">
        <w:rPr>
          <w:spacing w:val="-4"/>
        </w:rPr>
        <w:t>2018</w:t>
      </w:r>
      <w:bookmarkEnd w:id="450"/>
    </w:p>
    <w:p w14:paraId="74EF6226" w14:textId="77777777" w:rsidR="00084F36" w:rsidRPr="00EB2BD8" w:rsidRDefault="00EB2BD8">
      <w:pPr>
        <w:pStyle w:val="BodyText"/>
        <w:spacing w:before="175" w:line="261" w:lineRule="auto"/>
        <w:ind w:left="247" w:right="768"/>
      </w:pPr>
      <w:r w:rsidRPr="00EB2BD8">
        <w:rPr>
          <w:spacing w:val="-2"/>
        </w:rPr>
        <w:t>The</w:t>
      </w:r>
      <w:r w:rsidRPr="00EB2BD8">
        <w:rPr>
          <w:spacing w:val="-13"/>
        </w:rPr>
        <w:t xml:space="preserve"> </w:t>
      </w:r>
      <w:r w:rsidRPr="00EB2BD8">
        <w:rPr>
          <w:spacing w:val="-2"/>
        </w:rPr>
        <w:t>Building</w:t>
      </w:r>
      <w:r w:rsidRPr="00EB2BD8">
        <w:rPr>
          <w:spacing w:val="-12"/>
        </w:rPr>
        <w:t xml:space="preserve"> </w:t>
      </w:r>
      <w:r w:rsidRPr="00EB2BD8">
        <w:rPr>
          <w:spacing w:val="-2"/>
        </w:rPr>
        <w:t>Regulations</w:t>
      </w:r>
      <w:r w:rsidRPr="00EB2BD8">
        <w:rPr>
          <w:spacing w:val="-12"/>
        </w:rPr>
        <w:t xml:space="preserve"> </w:t>
      </w:r>
      <w:r w:rsidRPr="00EB2BD8">
        <w:rPr>
          <w:spacing w:val="-2"/>
        </w:rPr>
        <w:t>2018</w:t>
      </w:r>
      <w:r w:rsidRPr="00EB2BD8">
        <w:rPr>
          <w:spacing w:val="-12"/>
        </w:rPr>
        <w:t xml:space="preserve"> </w:t>
      </w:r>
      <w:r w:rsidRPr="00EB2BD8">
        <w:rPr>
          <w:spacing w:val="-2"/>
        </w:rPr>
        <w:t xml:space="preserve">(the </w:t>
      </w:r>
      <w:r w:rsidRPr="00EB2BD8">
        <w:t>Regulations) came into effect on</w:t>
      </w:r>
    </w:p>
    <w:p w14:paraId="1E953FF2" w14:textId="77777777" w:rsidR="00084F36" w:rsidRPr="00EB2BD8" w:rsidRDefault="00EB2BD8">
      <w:pPr>
        <w:pStyle w:val="BodyText"/>
        <w:spacing w:line="261" w:lineRule="auto"/>
        <w:ind w:left="247" w:right="1077"/>
      </w:pPr>
      <w:r w:rsidRPr="00EB2BD8">
        <w:t>2 June 2018. The Regulations are a subordinate legislation of the Building Act 1993 and contain, among</w:t>
      </w:r>
      <w:r w:rsidRPr="00EB2BD8">
        <w:rPr>
          <w:spacing w:val="-15"/>
        </w:rPr>
        <w:t xml:space="preserve"> </w:t>
      </w:r>
      <w:r w:rsidRPr="00EB2BD8">
        <w:t>other</w:t>
      </w:r>
      <w:r w:rsidRPr="00EB2BD8">
        <w:rPr>
          <w:spacing w:val="-14"/>
        </w:rPr>
        <w:t xml:space="preserve"> </w:t>
      </w:r>
      <w:r w:rsidRPr="00EB2BD8">
        <w:t>things,</w:t>
      </w:r>
      <w:r w:rsidRPr="00EB2BD8">
        <w:rPr>
          <w:spacing w:val="-14"/>
        </w:rPr>
        <w:t xml:space="preserve"> </w:t>
      </w:r>
      <w:r w:rsidRPr="00EB2BD8">
        <w:t>requirements</w:t>
      </w:r>
    </w:p>
    <w:p w14:paraId="5EC2EF5E" w14:textId="77777777" w:rsidR="00084F36" w:rsidRPr="00EB2BD8" w:rsidRDefault="00EB2BD8">
      <w:pPr>
        <w:pStyle w:val="BodyText"/>
        <w:spacing w:line="261" w:lineRule="auto"/>
        <w:ind w:left="247" w:right="910"/>
      </w:pPr>
      <w:r w:rsidRPr="00EB2BD8">
        <w:rPr>
          <w:spacing w:val="-2"/>
        </w:rPr>
        <w:t>relating</w:t>
      </w:r>
      <w:r w:rsidRPr="00EB2BD8">
        <w:rPr>
          <w:spacing w:val="-9"/>
        </w:rPr>
        <w:t xml:space="preserve"> </w:t>
      </w:r>
      <w:r w:rsidRPr="00EB2BD8">
        <w:rPr>
          <w:spacing w:val="-2"/>
        </w:rPr>
        <w:t>to</w:t>
      </w:r>
      <w:r w:rsidRPr="00EB2BD8">
        <w:rPr>
          <w:spacing w:val="-9"/>
        </w:rPr>
        <w:t xml:space="preserve"> </w:t>
      </w:r>
      <w:r w:rsidRPr="00EB2BD8">
        <w:rPr>
          <w:spacing w:val="-2"/>
        </w:rPr>
        <w:t>building</w:t>
      </w:r>
      <w:r w:rsidRPr="00EB2BD8">
        <w:rPr>
          <w:spacing w:val="-9"/>
        </w:rPr>
        <w:t xml:space="preserve"> </w:t>
      </w:r>
      <w:r w:rsidRPr="00EB2BD8">
        <w:rPr>
          <w:spacing w:val="-2"/>
        </w:rPr>
        <w:t>permits,</w:t>
      </w:r>
      <w:r w:rsidRPr="00EB2BD8">
        <w:rPr>
          <w:spacing w:val="-9"/>
        </w:rPr>
        <w:t xml:space="preserve"> </w:t>
      </w:r>
      <w:r w:rsidRPr="00EB2BD8">
        <w:rPr>
          <w:spacing w:val="-2"/>
        </w:rPr>
        <w:t xml:space="preserve">building </w:t>
      </w:r>
      <w:r w:rsidRPr="00EB2BD8">
        <w:t>inspections, occupancy permits, enforcement, and maintenance of buildings. The Regulations adopt the Building Code of Australia</w:t>
      </w:r>
      <w:r w:rsidRPr="00EB2BD8">
        <w:rPr>
          <w:spacing w:val="40"/>
        </w:rPr>
        <w:t xml:space="preserve"> </w:t>
      </w:r>
      <w:r w:rsidRPr="00EB2BD8">
        <w:t>(BCA), which is part of the National Construction</w:t>
      </w:r>
      <w:r w:rsidRPr="00EB2BD8">
        <w:rPr>
          <w:spacing w:val="-6"/>
        </w:rPr>
        <w:t xml:space="preserve"> </w:t>
      </w:r>
      <w:r w:rsidRPr="00EB2BD8">
        <w:t>Code</w:t>
      </w:r>
    </w:p>
    <w:p w14:paraId="7765DBC9" w14:textId="77777777" w:rsidR="00084F36" w:rsidRPr="00EB2BD8" w:rsidRDefault="00084F36">
      <w:pPr>
        <w:pStyle w:val="BodyText"/>
        <w:rPr>
          <w:sz w:val="27"/>
        </w:rPr>
      </w:pPr>
    </w:p>
    <w:p w14:paraId="19ADAAC7" w14:textId="77777777" w:rsidR="00084F36" w:rsidRPr="00EB2BD8" w:rsidRDefault="00EB2BD8" w:rsidP="00697E0C">
      <w:pPr>
        <w:pStyle w:val="Heading3"/>
        <w:ind w:left="0" w:firstLine="247"/>
      </w:pPr>
      <w:bookmarkStart w:id="451" w:name="_Toc150762753"/>
      <w:r w:rsidRPr="00EB2BD8">
        <w:t>Certificate</w:t>
      </w:r>
      <w:r w:rsidRPr="00EB2BD8">
        <w:rPr>
          <w:spacing w:val="8"/>
        </w:rPr>
        <w:t xml:space="preserve"> </w:t>
      </w:r>
      <w:r w:rsidRPr="00EB2BD8">
        <w:t>of</w:t>
      </w:r>
      <w:r w:rsidRPr="00EB2BD8">
        <w:rPr>
          <w:spacing w:val="8"/>
        </w:rPr>
        <w:t xml:space="preserve"> </w:t>
      </w:r>
      <w:r w:rsidRPr="00EB2BD8">
        <w:rPr>
          <w:spacing w:val="-2"/>
        </w:rPr>
        <w:t>accreditation</w:t>
      </w:r>
      <w:bookmarkEnd w:id="451"/>
    </w:p>
    <w:p w14:paraId="367D5867" w14:textId="77777777" w:rsidR="00084F36" w:rsidRPr="00EB2BD8" w:rsidRDefault="00EB2BD8">
      <w:pPr>
        <w:pStyle w:val="BodyText"/>
        <w:spacing w:before="175" w:line="261" w:lineRule="auto"/>
        <w:ind w:left="247" w:right="768"/>
      </w:pPr>
      <w:r w:rsidRPr="00EB2BD8">
        <w:rPr>
          <w:w w:val="105"/>
        </w:rPr>
        <w:t>A certificate issued by a state or territory accreditation authority stating that the properties and performance</w:t>
      </w:r>
      <w:r w:rsidRPr="00EB2BD8">
        <w:rPr>
          <w:spacing w:val="-15"/>
          <w:w w:val="105"/>
        </w:rPr>
        <w:t xml:space="preserve"> </w:t>
      </w:r>
      <w:r w:rsidRPr="00EB2BD8">
        <w:rPr>
          <w:w w:val="105"/>
        </w:rPr>
        <w:t>of</w:t>
      </w:r>
      <w:r w:rsidRPr="00EB2BD8">
        <w:rPr>
          <w:spacing w:val="-15"/>
          <w:w w:val="105"/>
        </w:rPr>
        <w:t xml:space="preserve"> </w:t>
      </w:r>
      <w:r w:rsidRPr="00EB2BD8">
        <w:rPr>
          <w:w w:val="105"/>
        </w:rPr>
        <w:t>a</w:t>
      </w:r>
      <w:r w:rsidRPr="00EB2BD8">
        <w:rPr>
          <w:spacing w:val="-15"/>
          <w:w w:val="105"/>
        </w:rPr>
        <w:t xml:space="preserve"> </w:t>
      </w:r>
      <w:r w:rsidRPr="00EB2BD8">
        <w:rPr>
          <w:w w:val="105"/>
        </w:rPr>
        <w:t>building</w:t>
      </w:r>
      <w:r w:rsidRPr="00EB2BD8">
        <w:rPr>
          <w:spacing w:val="-15"/>
          <w:w w:val="105"/>
        </w:rPr>
        <w:t xml:space="preserve"> </w:t>
      </w:r>
      <w:r w:rsidRPr="00EB2BD8">
        <w:rPr>
          <w:w w:val="105"/>
        </w:rPr>
        <w:t xml:space="preserve">material </w:t>
      </w:r>
      <w:r w:rsidRPr="00EB2BD8">
        <w:t>or</w:t>
      </w:r>
      <w:r w:rsidRPr="00EB2BD8">
        <w:rPr>
          <w:spacing w:val="-12"/>
        </w:rPr>
        <w:t xml:space="preserve"> </w:t>
      </w:r>
      <w:r w:rsidRPr="00EB2BD8">
        <w:t>method</w:t>
      </w:r>
      <w:r w:rsidRPr="00EB2BD8">
        <w:rPr>
          <w:spacing w:val="-12"/>
        </w:rPr>
        <w:t xml:space="preserve"> </w:t>
      </w:r>
      <w:r w:rsidRPr="00EB2BD8">
        <w:t>of</w:t>
      </w:r>
      <w:r w:rsidRPr="00EB2BD8">
        <w:rPr>
          <w:spacing w:val="-12"/>
        </w:rPr>
        <w:t xml:space="preserve"> </w:t>
      </w:r>
      <w:r w:rsidRPr="00EB2BD8">
        <w:t>construction</w:t>
      </w:r>
      <w:r w:rsidRPr="00EB2BD8">
        <w:rPr>
          <w:spacing w:val="-12"/>
        </w:rPr>
        <w:t xml:space="preserve"> </w:t>
      </w:r>
      <w:r w:rsidRPr="00EB2BD8">
        <w:t>or</w:t>
      </w:r>
      <w:r w:rsidRPr="00EB2BD8">
        <w:rPr>
          <w:spacing w:val="-12"/>
        </w:rPr>
        <w:t xml:space="preserve"> </w:t>
      </w:r>
      <w:r w:rsidRPr="00EB2BD8">
        <w:t xml:space="preserve">design </w:t>
      </w:r>
      <w:r w:rsidRPr="00EB2BD8">
        <w:rPr>
          <w:w w:val="105"/>
        </w:rPr>
        <w:t>fulfil</w:t>
      </w:r>
      <w:r w:rsidRPr="00EB2BD8">
        <w:rPr>
          <w:spacing w:val="-9"/>
          <w:w w:val="105"/>
        </w:rPr>
        <w:t xml:space="preserve"> </w:t>
      </w:r>
      <w:r w:rsidRPr="00EB2BD8">
        <w:rPr>
          <w:w w:val="105"/>
        </w:rPr>
        <w:t>specific</w:t>
      </w:r>
      <w:r w:rsidRPr="00EB2BD8">
        <w:rPr>
          <w:spacing w:val="-9"/>
          <w:w w:val="105"/>
        </w:rPr>
        <w:t xml:space="preserve"> </w:t>
      </w:r>
      <w:r w:rsidRPr="00EB2BD8">
        <w:rPr>
          <w:w w:val="105"/>
        </w:rPr>
        <w:t>requirements</w:t>
      </w:r>
      <w:r w:rsidRPr="00EB2BD8">
        <w:rPr>
          <w:spacing w:val="-9"/>
          <w:w w:val="105"/>
        </w:rPr>
        <w:t xml:space="preserve"> </w:t>
      </w:r>
      <w:r w:rsidRPr="00EB2BD8">
        <w:rPr>
          <w:w w:val="105"/>
        </w:rPr>
        <w:t>of</w:t>
      </w:r>
      <w:r w:rsidRPr="00EB2BD8">
        <w:rPr>
          <w:spacing w:val="-9"/>
          <w:w w:val="105"/>
        </w:rPr>
        <w:t xml:space="preserve"> </w:t>
      </w:r>
      <w:r w:rsidRPr="00EB2BD8">
        <w:rPr>
          <w:w w:val="105"/>
        </w:rPr>
        <w:t xml:space="preserve">the </w:t>
      </w:r>
      <w:r w:rsidRPr="00EB2BD8">
        <w:rPr>
          <w:spacing w:val="-4"/>
          <w:w w:val="105"/>
        </w:rPr>
        <w:t>BCA</w:t>
      </w:r>
    </w:p>
    <w:p w14:paraId="01B54588" w14:textId="77777777" w:rsidR="00084F36" w:rsidRPr="00EB2BD8" w:rsidRDefault="00084F36">
      <w:pPr>
        <w:pStyle w:val="BodyText"/>
        <w:spacing w:before="7"/>
        <w:rPr>
          <w:sz w:val="27"/>
        </w:rPr>
      </w:pPr>
    </w:p>
    <w:p w14:paraId="22392B47" w14:textId="77777777" w:rsidR="00084F36" w:rsidRPr="00EB2BD8" w:rsidRDefault="00EB2BD8" w:rsidP="00697E0C">
      <w:pPr>
        <w:pStyle w:val="Heading3"/>
        <w:ind w:left="0" w:firstLine="247"/>
      </w:pPr>
      <w:bookmarkStart w:id="452" w:name="_Toc150762754"/>
      <w:r w:rsidRPr="00EB2BD8">
        <w:t>Chief</w:t>
      </w:r>
      <w:r w:rsidRPr="00EB2BD8">
        <w:rPr>
          <w:spacing w:val="-11"/>
        </w:rPr>
        <w:t xml:space="preserve"> </w:t>
      </w:r>
      <w:r w:rsidRPr="00EB2BD8">
        <w:t>Commissioner</w:t>
      </w:r>
      <w:bookmarkEnd w:id="452"/>
    </w:p>
    <w:p w14:paraId="063E1778" w14:textId="77777777" w:rsidR="00084F36" w:rsidRPr="00EB2BD8" w:rsidRDefault="00EB2BD8">
      <w:pPr>
        <w:pStyle w:val="BodyText"/>
        <w:spacing w:before="175" w:line="261" w:lineRule="auto"/>
        <w:ind w:left="247" w:right="975"/>
      </w:pPr>
      <w:r w:rsidRPr="00EB2BD8">
        <w:t>The key appointee of the VBA’s Board of Commissioners which is responsible for the governance</w:t>
      </w:r>
      <w:r w:rsidRPr="00EB2BD8">
        <w:rPr>
          <w:spacing w:val="40"/>
        </w:rPr>
        <w:t xml:space="preserve"> </w:t>
      </w:r>
      <w:r w:rsidRPr="00EB2BD8">
        <w:t>and strategic management of the VBA</w:t>
      </w:r>
      <w:r w:rsidRPr="00EB2BD8">
        <w:rPr>
          <w:spacing w:val="-6"/>
        </w:rPr>
        <w:t xml:space="preserve"> </w:t>
      </w:r>
      <w:r w:rsidRPr="00EB2BD8">
        <w:t>to</w:t>
      </w:r>
      <w:r w:rsidRPr="00EB2BD8">
        <w:rPr>
          <w:spacing w:val="-6"/>
        </w:rPr>
        <w:t xml:space="preserve"> </w:t>
      </w:r>
      <w:r w:rsidRPr="00EB2BD8">
        <w:t>ensure</w:t>
      </w:r>
      <w:r w:rsidRPr="00EB2BD8">
        <w:rPr>
          <w:spacing w:val="-6"/>
        </w:rPr>
        <w:t xml:space="preserve"> </w:t>
      </w:r>
      <w:r w:rsidRPr="00EB2BD8">
        <w:t>its</w:t>
      </w:r>
      <w:r w:rsidRPr="00EB2BD8">
        <w:rPr>
          <w:spacing w:val="-6"/>
        </w:rPr>
        <w:t xml:space="preserve"> </w:t>
      </w:r>
      <w:r w:rsidRPr="00EB2BD8">
        <w:t>effectiveness</w:t>
      </w:r>
      <w:r w:rsidRPr="00EB2BD8">
        <w:rPr>
          <w:spacing w:val="-6"/>
        </w:rPr>
        <w:t xml:space="preserve"> </w:t>
      </w:r>
      <w:r w:rsidRPr="00EB2BD8">
        <w:t>as</w:t>
      </w:r>
      <w:r w:rsidRPr="00EB2BD8">
        <w:rPr>
          <w:spacing w:val="-6"/>
        </w:rPr>
        <w:t xml:space="preserve"> </w:t>
      </w:r>
      <w:r w:rsidRPr="00EB2BD8">
        <w:t xml:space="preserve">a </w:t>
      </w:r>
      <w:r w:rsidRPr="00EB2BD8">
        <w:rPr>
          <w:spacing w:val="-2"/>
        </w:rPr>
        <w:t>regulator</w:t>
      </w:r>
    </w:p>
    <w:p w14:paraId="17170474" w14:textId="77777777" w:rsidR="00084F36" w:rsidRPr="00EB2BD8" w:rsidRDefault="00084F36">
      <w:pPr>
        <w:spacing w:line="261" w:lineRule="auto"/>
        <w:sectPr w:rsidR="00084F36" w:rsidRPr="00EB2BD8" w:rsidSect="006D75B2">
          <w:type w:val="continuous"/>
          <w:pgSz w:w="11910" w:h="16840"/>
          <w:pgMar w:top="1920" w:right="0" w:bottom="280" w:left="0" w:header="0" w:footer="528" w:gutter="0"/>
          <w:cols w:num="3" w:space="720" w:equalWidth="0">
            <w:col w:w="4058" w:space="40"/>
            <w:col w:w="3457" w:space="39"/>
            <w:col w:w="4316"/>
          </w:cols>
        </w:sectPr>
      </w:pPr>
    </w:p>
    <w:p w14:paraId="69128FE8" w14:textId="77777777" w:rsidR="00084F36" w:rsidRPr="00EB2BD8" w:rsidRDefault="00084F36">
      <w:pPr>
        <w:pStyle w:val="BodyText"/>
        <w:rPr>
          <w:sz w:val="20"/>
        </w:rPr>
      </w:pPr>
    </w:p>
    <w:p w14:paraId="0827B936" w14:textId="77777777" w:rsidR="00084F36" w:rsidRPr="00EB2BD8" w:rsidRDefault="00084F36">
      <w:pPr>
        <w:pStyle w:val="BodyText"/>
        <w:rPr>
          <w:sz w:val="20"/>
        </w:rPr>
      </w:pPr>
    </w:p>
    <w:p w14:paraId="76F8FEBE" w14:textId="77777777" w:rsidR="00084F36" w:rsidRPr="00EB2BD8" w:rsidRDefault="00084F36">
      <w:pPr>
        <w:pStyle w:val="BodyText"/>
        <w:rPr>
          <w:sz w:val="20"/>
        </w:rPr>
      </w:pPr>
    </w:p>
    <w:p w14:paraId="4951ACB8" w14:textId="77777777" w:rsidR="00084F36" w:rsidRPr="00EB2BD8" w:rsidRDefault="00084F36">
      <w:pPr>
        <w:pStyle w:val="BodyText"/>
        <w:rPr>
          <w:sz w:val="20"/>
        </w:rPr>
      </w:pPr>
    </w:p>
    <w:p w14:paraId="5D5BE5AF" w14:textId="77777777" w:rsidR="00084F36" w:rsidRPr="00EB2BD8" w:rsidRDefault="00084F36">
      <w:pPr>
        <w:pStyle w:val="BodyText"/>
        <w:rPr>
          <w:sz w:val="20"/>
        </w:rPr>
      </w:pPr>
    </w:p>
    <w:p w14:paraId="2987586C" w14:textId="77777777" w:rsidR="00084F36" w:rsidRPr="00EB2BD8" w:rsidRDefault="00084F36">
      <w:pPr>
        <w:pStyle w:val="BodyText"/>
        <w:rPr>
          <w:sz w:val="20"/>
        </w:rPr>
      </w:pPr>
    </w:p>
    <w:p w14:paraId="4857E5A6" w14:textId="77777777" w:rsidR="00084F36" w:rsidRPr="00EB2BD8" w:rsidRDefault="00084F36">
      <w:pPr>
        <w:pStyle w:val="BodyText"/>
        <w:rPr>
          <w:sz w:val="20"/>
        </w:rPr>
      </w:pPr>
    </w:p>
    <w:p w14:paraId="6F11F6E8" w14:textId="77777777" w:rsidR="00084F36" w:rsidRPr="00EB2BD8" w:rsidRDefault="00084F36">
      <w:pPr>
        <w:pStyle w:val="BodyText"/>
        <w:rPr>
          <w:sz w:val="20"/>
        </w:rPr>
      </w:pPr>
    </w:p>
    <w:p w14:paraId="1F3A07D0" w14:textId="77777777" w:rsidR="00084F36" w:rsidRPr="00EB2BD8" w:rsidRDefault="00084F36">
      <w:pPr>
        <w:pStyle w:val="BodyText"/>
        <w:spacing w:before="9"/>
        <w:rPr>
          <w:sz w:val="20"/>
        </w:rPr>
      </w:pPr>
    </w:p>
    <w:p w14:paraId="104A6ED6" w14:textId="77777777" w:rsidR="00084F36" w:rsidRPr="00EB2BD8" w:rsidRDefault="00084F36">
      <w:pPr>
        <w:rPr>
          <w:sz w:val="20"/>
        </w:rPr>
        <w:sectPr w:rsidR="00084F36" w:rsidRPr="00EB2BD8" w:rsidSect="006D75B2">
          <w:footerReference w:type="default" r:id="rId434"/>
          <w:pgSz w:w="11910" w:h="16840"/>
          <w:pgMar w:top="1080" w:right="0" w:bottom="720" w:left="0" w:header="0" w:footer="528" w:gutter="0"/>
          <w:cols w:space="720"/>
        </w:sectPr>
      </w:pPr>
    </w:p>
    <w:p w14:paraId="128ACB08" w14:textId="77777777" w:rsidR="00084F36" w:rsidRPr="00EB2BD8" w:rsidRDefault="00EB2BD8" w:rsidP="00697E0C">
      <w:pPr>
        <w:pStyle w:val="Heading3"/>
      </w:pPr>
      <w:bookmarkStart w:id="453" w:name="_Toc150762755"/>
      <w:r w:rsidRPr="00EB2BD8">
        <w:rPr>
          <w:w w:val="105"/>
        </w:rPr>
        <w:t>Cladding</w:t>
      </w:r>
      <w:bookmarkEnd w:id="453"/>
    </w:p>
    <w:p w14:paraId="719BA9BA" w14:textId="77777777" w:rsidR="00084F36" w:rsidRPr="00EB2BD8" w:rsidRDefault="00EB2BD8">
      <w:pPr>
        <w:pStyle w:val="BodyText"/>
        <w:spacing w:before="176" w:line="261" w:lineRule="auto"/>
        <w:ind w:left="850"/>
      </w:pPr>
      <w:r w:rsidRPr="00EB2BD8">
        <w:rPr>
          <w:w w:val="105"/>
        </w:rPr>
        <w:t xml:space="preserve">Non-loadbearing covering to a </w:t>
      </w:r>
      <w:r w:rsidRPr="00EB2BD8">
        <w:t>frame.</w:t>
      </w:r>
      <w:r w:rsidRPr="00EB2BD8">
        <w:rPr>
          <w:spacing w:val="-15"/>
        </w:rPr>
        <w:t xml:space="preserve"> </w:t>
      </w:r>
      <w:r w:rsidRPr="00EB2BD8">
        <w:t>Also</w:t>
      </w:r>
      <w:r w:rsidRPr="00EB2BD8">
        <w:rPr>
          <w:spacing w:val="-14"/>
        </w:rPr>
        <w:t xml:space="preserve"> </w:t>
      </w:r>
      <w:r w:rsidRPr="00EB2BD8">
        <w:t>called</w:t>
      </w:r>
      <w:r w:rsidRPr="00EB2BD8">
        <w:rPr>
          <w:spacing w:val="-14"/>
        </w:rPr>
        <w:t xml:space="preserve"> </w:t>
      </w:r>
      <w:r w:rsidRPr="00EB2BD8">
        <w:t>external</w:t>
      </w:r>
      <w:r w:rsidRPr="00EB2BD8">
        <w:rPr>
          <w:spacing w:val="-14"/>
        </w:rPr>
        <w:t xml:space="preserve"> </w:t>
      </w:r>
      <w:r w:rsidRPr="00EB2BD8">
        <w:t xml:space="preserve">cladding </w:t>
      </w:r>
      <w:r w:rsidRPr="00EB2BD8">
        <w:rPr>
          <w:w w:val="105"/>
        </w:rPr>
        <w:t>or wall cladding</w:t>
      </w:r>
    </w:p>
    <w:p w14:paraId="7BCB2AC5" w14:textId="77777777" w:rsidR="00084F36" w:rsidRPr="00EB2BD8" w:rsidRDefault="00084F36">
      <w:pPr>
        <w:pStyle w:val="BodyText"/>
        <w:spacing w:before="1"/>
        <w:rPr>
          <w:sz w:val="28"/>
        </w:rPr>
      </w:pPr>
    </w:p>
    <w:p w14:paraId="3C34BE7A" w14:textId="77777777" w:rsidR="00084F36" w:rsidRPr="00EB2BD8" w:rsidRDefault="00EB2BD8" w:rsidP="00697E0C">
      <w:pPr>
        <w:pStyle w:val="Heading3"/>
      </w:pPr>
      <w:bookmarkStart w:id="454" w:name="_Toc150762756"/>
      <w:r w:rsidRPr="00EB2BD8">
        <w:rPr>
          <w:w w:val="105"/>
        </w:rPr>
        <w:t>Cladding</w:t>
      </w:r>
      <w:r w:rsidRPr="00EB2BD8">
        <w:rPr>
          <w:spacing w:val="-21"/>
          <w:w w:val="105"/>
        </w:rPr>
        <w:t xml:space="preserve"> </w:t>
      </w:r>
      <w:r w:rsidRPr="00EB2BD8">
        <w:rPr>
          <w:w w:val="105"/>
        </w:rPr>
        <w:t>Safety</w:t>
      </w:r>
      <w:r w:rsidRPr="00EB2BD8">
        <w:rPr>
          <w:spacing w:val="-21"/>
          <w:w w:val="105"/>
        </w:rPr>
        <w:t xml:space="preserve"> </w:t>
      </w:r>
      <w:r w:rsidRPr="00EB2BD8">
        <w:rPr>
          <w:w w:val="105"/>
        </w:rPr>
        <w:t xml:space="preserve">Victoria </w:t>
      </w:r>
      <w:r w:rsidRPr="00EB2BD8">
        <w:rPr>
          <w:spacing w:val="-2"/>
          <w:w w:val="105"/>
        </w:rPr>
        <w:t>(CSV)</w:t>
      </w:r>
      <w:bookmarkEnd w:id="454"/>
    </w:p>
    <w:p w14:paraId="4E7C3259" w14:textId="77777777" w:rsidR="00084F36" w:rsidRPr="00EB2BD8" w:rsidRDefault="00EB2BD8">
      <w:pPr>
        <w:pStyle w:val="BodyText"/>
        <w:spacing w:before="176" w:line="261" w:lineRule="auto"/>
        <w:ind w:left="850" w:right="96"/>
      </w:pPr>
      <w:r w:rsidRPr="00EB2BD8">
        <w:t>A</w:t>
      </w:r>
      <w:r w:rsidRPr="00EB2BD8">
        <w:rPr>
          <w:spacing w:val="-8"/>
        </w:rPr>
        <w:t xml:space="preserve"> </w:t>
      </w:r>
      <w:r w:rsidRPr="00EB2BD8">
        <w:t>Victorian</w:t>
      </w:r>
      <w:r w:rsidRPr="00EB2BD8">
        <w:rPr>
          <w:spacing w:val="-8"/>
        </w:rPr>
        <w:t xml:space="preserve"> </w:t>
      </w:r>
      <w:r w:rsidRPr="00EB2BD8">
        <w:t>Government</w:t>
      </w:r>
      <w:r w:rsidRPr="00EB2BD8">
        <w:rPr>
          <w:spacing w:val="-8"/>
        </w:rPr>
        <w:t xml:space="preserve"> </w:t>
      </w:r>
      <w:r w:rsidRPr="00EB2BD8">
        <w:t>entity</w:t>
      </w:r>
      <w:r w:rsidRPr="00EB2BD8">
        <w:rPr>
          <w:spacing w:val="-8"/>
        </w:rPr>
        <w:t xml:space="preserve"> </w:t>
      </w:r>
      <w:r w:rsidRPr="00EB2BD8">
        <w:t>set up in 2019–20 as a business unit within the VBA to support and guide owners and occupants of</w:t>
      </w:r>
    </w:p>
    <w:p w14:paraId="0DA46CFB" w14:textId="77777777" w:rsidR="00084F36" w:rsidRPr="00EB2BD8" w:rsidRDefault="00EB2BD8">
      <w:pPr>
        <w:pStyle w:val="BodyText"/>
        <w:spacing w:line="261" w:lineRule="auto"/>
        <w:ind w:left="850"/>
      </w:pPr>
      <w:r w:rsidRPr="00EB2BD8">
        <w:rPr>
          <w:spacing w:val="-2"/>
        </w:rPr>
        <w:t>buildings</w:t>
      </w:r>
      <w:r w:rsidRPr="00EB2BD8">
        <w:rPr>
          <w:spacing w:val="-3"/>
        </w:rPr>
        <w:t xml:space="preserve"> </w:t>
      </w:r>
      <w:r w:rsidRPr="00EB2BD8">
        <w:rPr>
          <w:spacing w:val="-2"/>
        </w:rPr>
        <w:t>with</w:t>
      </w:r>
      <w:r w:rsidRPr="00EB2BD8">
        <w:rPr>
          <w:spacing w:val="-3"/>
        </w:rPr>
        <w:t xml:space="preserve"> </w:t>
      </w:r>
      <w:r w:rsidRPr="00EB2BD8">
        <w:rPr>
          <w:spacing w:val="-2"/>
        </w:rPr>
        <w:t>combustible</w:t>
      </w:r>
      <w:r w:rsidRPr="00EB2BD8">
        <w:rPr>
          <w:spacing w:val="-3"/>
        </w:rPr>
        <w:t xml:space="preserve"> </w:t>
      </w:r>
      <w:r w:rsidRPr="00EB2BD8">
        <w:rPr>
          <w:spacing w:val="-2"/>
        </w:rPr>
        <w:t xml:space="preserve">cladding, </w:t>
      </w:r>
      <w:r w:rsidRPr="00EB2BD8">
        <w:t>particularly where rectification work is required to reduce risks to an acceptable</w:t>
      </w:r>
      <w:r w:rsidRPr="00EB2BD8">
        <w:rPr>
          <w:spacing w:val="-6"/>
        </w:rPr>
        <w:t xml:space="preserve"> </w:t>
      </w:r>
      <w:r w:rsidRPr="00EB2BD8">
        <w:t>level</w:t>
      </w:r>
    </w:p>
    <w:p w14:paraId="77F59B31" w14:textId="77777777" w:rsidR="00084F36" w:rsidRPr="00EB2BD8" w:rsidRDefault="00084F36">
      <w:pPr>
        <w:pStyle w:val="BodyText"/>
        <w:spacing w:before="8"/>
        <w:rPr>
          <w:sz w:val="27"/>
        </w:rPr>
      </w:pPr>
    </w:p>
    <w:p w14:paraId="244FA7FB" w14:textId="77777777" w:rsidR="00084F36" w:rsidRPr="00EB2BD8" w:rsidRDefault="00EB2BD8" w:rsidP="00697E0C">
      <w:pPr>
        <w:pStyle w:val="Heading3"/>
      </w:pPr>
      <w:bookmarkStart w:id="455" w:name="_Toc150762757"/>
      <w:r w:rsidRPr="00EB2BD8">
        <w:t>Code</w:t>
      </w:r>
      <w:r w:rsidRPr="00EB2BD8">
        <w:rPr>
          <w:spacing w:val="-14"/>
        </w:rPr>
        <w:t xml:space="preserve"> </w:t>
      </w:r>
      <w:r w:rsidRPr="00EB2BD8">
        <w:t>of</w:t>
      </w:r>
      <w:r w:rsidRPr="00EB2BD8">
        <w:rPr>
          <w:spacing w:val="-14"/>
        </w:rPr>
        <w:t xml:space="preserve"> </w:t>
      </w:r>
      <w:r w:rsidRPr="00EB2BD8">
        <w:t>Conduct</w:t>
      </w:r>
      <w:r w:rsidRPr="00EB2BD8">
        <w:rPr>
          <w:spacing w:val="-14"/>
        </w:rPr>
        <w:t xml:space="preserve"> </w:t>
      </w:r>
      <w:r w:rsidRPr="00EB2BD8">
        <w:t>for Building Surveyors</w:t>
      </w:r>
      <w:bookmarkEnd w:id="455"/>
    </w:p>
    <w:p w14:paraId="1EEC015B" w14:textId="77777777" w:rsidR="00084F36" w:rsidRPr="00EB2BD8" w:rsidRDefault="00EB2BD8">
      <w:pPr>
        <w:pStyle w:val="BodyText"/>
        <w:spacing w:before="176" w:line="261" w:lineRule="auto"/>
        <w:ind w:left="850"/>
      </w:pPr>
      <w:r w:rsidRPr="00EB2BD8">
        <w:t>Following extensive public and industry consultation, the VBA developed</w:t>
      </w:r>
      <w:r w:rsidRPr="00EB2BD8">
        <w:rPr>
          <w:spacing w:val="-2"/>
        </w:rPr>
        <w:t xml:space="preserve"> </w:t>
      </w:r>
      <w:r w:rsidRPr="00EB2BD8">
        <w:t>a</w:t>
      </w:r>
      <w:r w:rsidRPr="00EB2BD8">
        <w:rPr>
          <w:spacing w:val="-2"/>
        </w:rPr>
        <w:t xml:space="preserve"> </w:t>
      </w:r>
      <w:r w:rsidRPr="00EB2BD8">
        <w:t>Code</w:t>
      </w:r>
      <w:r w:rsidRPr="00EB2BD8">
        <w:rPr>
          <w:spacing w:val="-2"/>
        </w:rPr>
        <w:t xml:space="preserve"> </w:t>
      </w:r>
      <w:r w:rsidRPr="00EB2BD8">
        <w:t>of</w:t>
      </w:r>
      <w:r w:rsidRPr="00EB2BD8">
        <w:rPr>
          <w:spacing w:val="-2"/>
        </w:rPr>
        <w:t xml:space="preserve"> </w:t>
      </w:r>
      <w:r w:rsidRPr="00EB2BD8">
        <w:t>Conduct</w:t>
      </w:r>
      <w:r w:rsidRPr="00EB2BD8">
        <w:rPr>
          <w:spacing w:val="-2"/>
        </w:rPr>
        <w:t xml:space="preserve"> </w:t>
      </w:r>
      <w:r w:rsidRPr="00EB2BD8">
        <w:t>to establish</w:t>
      </w:r>
      <w:r w:rsidRPr="00EB2BD8">
        <w:rPr>
          <w:spacing w:val="-14"/>
        </w:rPr>
        <w:t xml:space="preserve"> </w:t>
      </w:r>
      <w:r w:rsidRPr="00EB2BD8">
        <w:t>principles</w:t>
      </w:r>
      <w:r w:rsidRPr="00EB2BD8">
        <w:rPr>
          <w:spacing w:val="-14"/>
        </w:rPr>
        <w:t xml:space="preserve"> </w:t>
      </w:r>
      <w:r w:rsidRPr="00EB2BD8">
        <w:t>and</w:t>
      </w:r>
      <w:r w:rsidRPr="00EB2BD8">
        <w:rPr>
          <w:spacing w:val="-14"/>
        </w:rPr>
        <w:t xml:space="preserve"> </w:t>
      </w:r>
      <w:r w:rsidRPr="00EB2BD8">
        <w:t>rules</w:t>
      </w:r>
      <w:r w:rsidRPr="00EB2BD8">
        <w:rPr>
          <w:spacing w:val="-14"/>
        </w:rPr>
        <w:t xml:space="preserve"> </w:t>
      </w:r>
      <w:r w:rsidRPr="00EB2BD8">
        <w:t>for professional</w:t>
      </w:r>
      <w:r w:rsidRPr="00EB2BD8">
        <w:rPr>
          <w:spacing w:val="-10"/>
        </w:rPr>
        <w:t xml:space="preserve"> </w:t>
      </w:r>
      <w:r w:rsidRPr="00EB2BD8">
        <w:t>conduct</w:t>
      </w:r>
      <w:r w:rsidRPr="00EB2BD8">
        <w:rPr>
          <w:spacing w:val="-10"/>
        </w:rPr>
        <w:t xml:space="preserve"> </w:t>
      </w:r>
      <w:r w:rsidRPr="00EB2BD8">
        <w:t>of</w:t>
      </w:r>
      <w:r w:rsidRPr="00EB2BD8">
        <w:rPr>
          <w:spacing w:val="-10"/>
        </w:rPr>
        <w:t xml:space="preserve"> </w:t>
      </w:r>
      <w:r w:rsidRPr="00EB2BD8">
        <w:t>building surveyors across Victoria</w:t>
      </w:r>
    </w:p>
    <w:p w14:paraId="5EFCCA3C" w14:textId="77777777" w:rsidR="00084F36" w:rsidRPr="00EB2BD8" w:rsidRDefault="00084F36">
      <w:pPr>
        <w:pStyle w:val="BodyText"/>
        <w:spacing w:before="8"/>
        <w:rPr>
          <w:sz w:val="27"/>
        </w:rPr>
      </w:pPr>
    </w:p>
    <w:p w14:paraId="22E75942" w14:textId="77777777" w:rsidR="00084F36" w:rsidRPr="00EB2BD8" w:rsidRDefault="00EB2BD8" w:rsidP="00697E0C">
      <w:pPr>
        <w:pStyle w:val="Heading3"/>
      </w:pPr>
      <w:bookmarkStart w:id="456" w:name="_Toc150762758"/>
      <w:r w:rsidRPr="00EB2BD8">
        <w:t>Combustible</w:t>
      </w:r>
      <w:bookmarkEnd w:id="456"/>
    </w:p>
    <w:p w14:paraId="2057FD50" w14:textId="77777777" w:rsidR="00084F36" w:rsidRPr="00EB2BD8" w:rsidRDefault="00EB2BD8">
      <w:pPr>
        <w:pStyle w:val="BodyText"/>
        <w:spacing w:before="176" w:line="261" w:lineRule="auto"/>
        <w:ind w:left="850"/>
      </w:pPr>
      <w:r w:rsidRPr="00EB2BD8">
        <w:t xml:space="preserve">Combustible as determined by </w:t>
      </w:r>
      <w:r w:rsidRPr="00EB2BD8">
        <w:rPr>
          <w:spacing w:val="-4"/>
        </w:rPr>
        <w:t>Australian</w:t>
      </w:r>
      <w:r w:rsidRPr="00EB2BD8">
        <w:rPr>
          <w:spacing w:val="-11"/>
        </w:rPr>
        <w:t xml:space="preserve"> </w:t>
      </w:r>
      <w:r w:rsidRPr="00EB2BD8">
        <w:rPr>
          <w:spacing w:val="-4"/>
        </w:rPr>
        <w:t>Standard</w:t>
      </w:r>
      <w:r w:rsidRPr="00EB2BD8">
        <w:rPr>
          <w:spacing w:val="-11"/>
        </w:rPr>
        <w:t xml:space="preserve"> </w:t>
      </w:r>
      <w:r w:rsidRPr="00EB2BD8">
        <w:rPr>
          <w:spacing w:val="-4"/>
        </w:rPr>
        <w:t>1530.1</w:t>
      </w:r>
      <w:r w:rsidRPr="00EB2BD8">
        <w:rPr>
          <w:spacing w:val="-11"/>
        </w:rPr>
        <w:t xml:space="preserve"> </w:t>
      </w:r>
      <w:r w:rsidRPr="00EB2BD8">
        <w:rPr>
          <w:spacing w:val="-4"/>
        </w:rPr>
        <w:t xml:space="preserve">Methods </w:t>
      </w:r>
      <w:r w:rsidRPr="00EB2BD8">
        <w:t>for fire tests on building material, components</w:t>
      </w:r>
      <w:r w:rsidRPr="00EB2BD8">
        <w:rPr>
          <w:spacing w:val="-6"/>
        </w:rPr>
        <w:t xml:space="preserve"> </w:t>
      </w:r>
      <w:r w:rsidRPr="00EB2BD8">
        <w:t>and</w:t>
      </w:r>
      <w:r w:rsidRPr="00EB2BD8">
        <w:rPr>
          <w:spacing w:val="-6"/>
        </w:rPr>
        <w:t xml:space="preserve"> </w:t>
      </w:r>
      <w:r w:rsidRPr="00EB2BD8">
        <w:t>structures,</w:t>
      </w:r>
      <w:r w:rsidRPr="00EB2BD8">
        <w:rPr>
          <w:spacing w:val="-6"/>
        </w:rPr>
        <w:t xml:space="preserve"> </w:t>
      </w:r>
      <w:r w:rsidRPr="00EB2BD8">
        <w:t>Part</w:t>
      </w:r>
      <w:r w:rsidRPr="00EB2BD8">
        <w:rPr>
          <w:spacing w:val="-6"/>
        </w:rPr>
        <w:t xml:space="preserve"> </w:t>
      </w:r>
      <w:r w:rsidRPr="00EB2BD8">
        <w:rPr>
          <w:w w:val="95"/>
        </w:rPr>
        <w:t xml:space="preserve">1: </w:t>
      </w:r>
      <w:r w:rsidRPr="00EB2BD8">
        <w:t>Combustibility test for materials</w:t>
      </w:r>
    </w:p>
    <w:p w14:paraId="6A9DB2B6" w14:textId="77777777" w:rsidR="00084F36" w:rsidRPr="00EB2BD8" w:rsidRDefault="00084F36">
      <w:pPr>
        <w:pStyle w:val="BodyText"/>
        <w:spacing w:before="8"/>
        <w:rPr>
          <w:sz w:val="27"/>
        </w:rPr>
      </w:pPr>
    </w:p>
    <w:p w14:paraId="3EDDE95A" w14:textId="77777777" w:rsidR="00084F36" w:rsidRPr="00EB2BD8" w:rsidRDefault="00EB2BD8" w:rsidP="00697E0C">
      <w:pPr>
        <w:pStyle w:val="Heading3"/>
      </w:pPr>
      <w:bookmarkStart w:id="457" w:name="_Toc150762759"/>
      <w:r w:rsidRPr="00EB2BD8">
        <w:t>Combustible</w:t>
      </w:r>
      <w:r w:rsidRPr="00EB2BD8">
        <w:rPr>
          <w:spacing w:val="-5"/>
        </w:rPr>
        <w:t xml:space="preserve"> </w:t>
      </w:r>
      <w:r w:rsidRPr="00EB2BD8">
        <w:rPr>
          <w:spacing w:val="-2"/>
        </w:rPr>
        <w:t>cladding</w:t>
      </w:r>
      <w:bookmarkEnd w:id="457"/>
    </w:p>
    <w:p w14:paraId="624DF77D" w14:textId="77777777" w:rsidR="00084F36" w:rsidRPr="00EB2BD8" w:rsidRDefault="00EB2BD8">
      <w:pPr>
        <w:pStyle w:val="BodyText"/>
        <w:spacing w:before="176" w:line="261" w:lineRule="auto"/>
        <w:ind w:left="850"/>
      </w:pPr>
      <w:r w:rsidRPr="00EB2BD8">
        <w:t>Building cladding that has been deemed</w:t>
      </w:r>
      <w:r w:rsidRPr="00EB2BD8">
        <w:rPr>
          <w:spacing w:val="-2"/>
        </w:rPr>
        <w:t xml:space="preserve"> </w:t>
      </w:r>
      <w:r w:rsidRPr="00EB2BD8">
        <w:t>combustible</w:t>
      </w:r>
      <w:r w:rsidRPr="00EB2BD8">
        <w:rPr>
          <w:spacing w:val="-2"/>
        </w:rPr>
        <w:t xml:space="preserve"> </w:t>
      </w:r>
      <w:r w:rsidRPr="00EB2BD8">
        <w:t>according</w:t>
      </w:r>
      <w:r w:rsidRPr="00EB2BD8">
        <w:rPr>
          <w:spacing w:val="-2"/>
        </w:rPr>
        <w:t xml:space="preserve"> </w:t>
      </w:r>
      <w:r w:rsidRPr="00EB2BD8">
        <w:t>to the</w:t>
      </w:r>
      <w:r w:rsidRPr="00EB2BD8">
        <w:rPr>
          <w:spacing w:val="-6"/>
        </w:rPr>
        <w:t xml:space="preserve"> </w:t>
      </w:r>
      <w:r w:rsidRPr="00EB2BD8">
        <w:t>above</w:t>
      </w:r>
    </w:p>
    <w:p w14:paraId="641C4F6C" w14:textId="77777777" w:rsidR="00084F36" w:rsidRPr="00EB2BD8" w:rsidRDefault="00EB2BD8" w:rsidP="00697E0C">
      <w:pPr>
        <w:pStyle w:val="Heading3"/>
        <w:ind w:left="0" w:firstLine="264"/>
      </w:pPr>
      <w:r w:rsidRPr="00EB2BD8">
        <w:br w:type="column"/>
      </w:r>
      <w:bookmarkStart w:id="458" w:name="_Toc150762760"/>
      <w:r w:rsidRPr="00EB2BD8">
        <w:t>Competitive</w:t>
      </w:r>
      <w:r w:rsidRPr="00EB2BD8">
        <w:rPr>
          <w:spacing w:val="20"/>
        </w:rPr>
        <w:t xml:space="preserve"> </w:t>
      </w:r>
      <w:r w:rsidRPr="00EB2BD8">
        <w:rPr>
          <w:spacing w:val="-2"/>
        </w:rPr>
        <w:t>neutrality</w:t>
      </w:r>
      <w:bookmarkEnd w:id="458"/>
    </w:p>
    <w:p w14:paraId="2D1FDA59" w14:textId="77777777" w:rsidR="00084F36" w:rsidRPr="00EB2BD8" w:rsidRDefault="00EB2BD8">
      <w:pPr>
        <w:pStyle w:val="BodyText"/>
        <w:spacing w:before="176" w:line="261" w:lineRule="auto"/>
        <w:ind w:left="264" w:right="4"/>
      </w:pPr>
      <w:r w:rsidRPr="00EB2BD8">
        <w:t>Requires government businesses to ensure, where services compete or potentially</w:t>
      </w:r>
      <w:r w:rsidRPr="00EB2BD8">
        <w:rPr>
          <w:spacing w:val="-9"/>
        </w:rPr>
        <w:t xml:space="preserve"> </w:t>
      </w:r>
      <w:r w:rsidRPr="00EB2BD8">
        <w:t>compete</w:t>
      </w:r>
      <w:r w:rsidRPr="00EB2BD8">
        <w:rPr>
          <w:spacing w:val="-9"/>
        </w:rPr>
        <w:t xml:space="preserve"> </w:t>
      </w:r>
      <w:r w:rsidRPr="00EB2BD8">
        <w:t>with</w:t>
      </w:r>
      <w:r w:rsidRPr="00EB2BD8">
        <w:rPr>
          <w:spacing w:val="-9"/>
        </w:rPr>
        <w:t xml:space="preserve"> </w:t>
      </w:r>
      <w:r w:rsidRPr="00EB2BD8">
        <w:t>the</w:t>
      </w:r>
      <w:r w:rsidRPr="00EB2BD8">
        <w:rPr>
          <w:spacing w:val="-9"/>
        </w:rPr>
        <w:t xml:space="preserve"> </w:t>
      </w:r>
      <w:r w:rsidRPr="00EB2BD8">
        <w:t>private sector, any advantage arising solely from government ownership be removed if it is not in the public interest. Government businesses</w:t>
      </w:r>
      <w:r w:rsidRPr="00EB2BD8">
        <w:rPr>
          <w:spacing w:val="40"/>
        </w:rPr>
        <w:t xml:space="preserve"> </w:t>
      </w:r>
      <w:r w:rsidRPr="00EB2BD8">
        <w:t>are</w:t>
      </w:r>
      <w:r w:rsidRPr="00EB2BD8">
        <w:rPr>
          <w:spacing w:val="-1"/>
        </w:rPr>
        <w:t xml:space="preserve"> </w:t>
      </w:r>
      <w:r w:rsidRPr="00EB2BD8">
        <w:t>required</w:t>
      </w:r>
      <w:r w:rsidRPr="00EB2BD8">
        <w:rPr>
          <w:spacing w:val="-1"/>
        </w:rPr>
        <w:t xml:space="preserve"> </w:t>
      </w:r>
      <w:r w:rsidRPr="00EB2BD8">
        <w:t>to</w:t>
      </w:r>
      <w:r w:rsidRPr="00EB2BD8">
        <w:rPr>
          <w:spacing w:val="-1"/>
        </w:rPr>
        <w:t xml:space="preserve"> </w:t>
      </w:r>
      <w:r w:rsidRPr="00EB2BD8">
        <w:t>cost</w:t>
      </w:r>
      <w:r w:rsidRPr="00EB2BD8">
        <w:rPr>
          <w:spacing w:val="-1"/>
        </w:rPr>
        <w:t xml:space="preserve"> </w:t>
      </w:r>
      <w:r w:rsidRPr="00EB2BD8">
        <w:t>and</w:t>
      </w:r>
      <w:r w:rsidRPr="00EB2BD8">
        <w:rPr>
          <w:spacing w:val="-1"/>
        </w:rPr>
        <w:t xml:space="preserve"> </w:t>
      </w:r>
      <w:r w:rsidRPr="00EB2BD8">
        <w:t>price</w:t>
      </w:r>
      <w:r w:rsidRPr="00EB2BD8">
        <w:rPr>
          <w:spacing w:val="-1"/>
        </w:rPr>
        <w:t xml:space="preserve"> </w:t>
      </w:r>
      <w:r w:rsidRPr="00EB2BD8">
        <w:t xml:space="preserve">these services as if they were privately </w:t>
      </w:r>
      <w:r w:rsidRPr="00EB2BD8">
        <w:rPr>
          <w:spacing w:val="-2"/>
        </w:rPr>
        <w:t>owned</w:t>
      </w:r>
    </w:p>
    <w:p w14:paraId="3A084254" w14:textId="77777777" w:rsidR="00084F36" w:rsidRPr="00EB2BD8" w:rsidRDefault="00084F36">
      <w:pPr>
        <w:pStyle w:val="BodyText"/>
        <w:spacing w:before="3"/>
        <w:rPr>
          <w:sz w:val="27"/>
        </w:rPr>
      </w:pPr>
    </w:p>
    <w:p w14:paraId="69E55A9E" w14:textId="77777777" w:rsidR="00084F36" w:rsidRPr="00EB2BD8" w:rsidRDefault="00EB2BD8" w:rsidP="00697E0C">
      <w:pPr>
        <w:pStyle w:val="Heading3"/>
        <w:ind w:left="0" w:firstLine="264"/>
      </w:pPr>
      <w:bookmarkStart w:id="459" w:name="_Toc150762761"/>
      <w:r w:rsidRPr="00EB2BD8">
        <w:rPr>
          <w:w w:val="105"/>
        </w:rPr>
        <w:t>Compliance</w:t>
      </w:r>
      <w:bookmarkEnd w:id="459"/>
    </w:p>
    <w:p w14:paraId="1ED251E4" w14:textId="77777777" w:rsidR="00084F36" w:rsidRPr="00EB2BD8" w:rsidRDefault="00EB2BD8">
      <w:pPr>
        <w:pStyle w:val="BodyText"/>
        <w:spacing w:before="176" w:line="261" w:lineRule="auto"/>
        <w:ind w:left="264"/>
      </w:pPr>
      <w:r w:rsidRPr="00EB2BD8">
        <w:t>Achievement</w:t>
      </w:r>
      <w:r w:rsidRPr="00EB2BD8">
        <w:rPr>
          <w:spacing w:val="-1"/>
        </w:rPr>
        <w:t xml:space="preserve"> </w:t>
      </w:r>
      <w:r w:rsidRPr="00EB2BD8">
        <w:t>of</w:t>
      </w:r>
      <w:r w:rsidRPr="00EB2BD8">
        <w:rPr>
          <w:spacing w:val="-1"/>
        </w:rPr>
        <w:t xml:space="preserve"> </w:t>
      </w:r>
      <w:r w:rsidRPr="00EB2BD8">
        <w:t>stated</w:t>
      </w:r>
      <w:r w:rsidRPr="00EB2BD8">
        <w:rPr>
          <w:spacing w:val="-1"/>
        </w:rPr>
        <w:t xml:space="preserve"> </w:t>
      </w:r>
      <w:r w:rsidRPr="00EB2BD8">
        <w:t>performance or prescriptive criteria in a regulation or other statutory requirement, usually signified by a compliance or approval certificate</w:t>
      </w:r>
    </w:p>
    <w:p w14:paraId="059C604A" w14:textId="77777777" w:rsidR="00084F36" w:rsidRPr="00EB2BD8" w:rsidRDefault="00084F36">
      <w:pPr>
        <w:pStyle w:val="BodyText"/>
        <w:spacing w:before="11"/>
        <w:rPr>
          <w:sz w:val="27"/>
        </w:rPr>
      </w:pPr>
    </w:p>
    <w:p w14:paraId="5B269CCC" w14:textId="77777777" w:rsidR="00084F36" w:rsidRPr="00EB2BD8" w:rsidRDefault="00EB2BD8" w:rsidP="00697E0C">
      <w:pPr>
        <w:pStyle w:val="Heading3"/>
        <w:ind w:left="264"/>
      </w:pPr>
      <w:bookmarkStart w:id="460" w:name="_Toc150762762"/>
      <w:r w:rsidRPr="00EB2BD8">
        <w:rPr>
          <w:w w:val="105"/>
        </w:rPr>
        <w:t>Cooperative</w:t>
      </w:r>
      <w:r w:rsidRPr="00EB2BD8">
        <w:rPr>
          <w:spacing w:val="-21"/>
          <w:w w:val="105"/>
        </w:rPr>
        <w:t xml:space="preserve"> </w:t>
      </w:r>
      <w:r w:rsidRPr="00EB2BD8">
        <w:rPr>
          <w:w w:val="105"/>
        </w:rPr>
        <w:t>research centres</w:t>
      </w:r>
      <w:r w:rsidRPr="00EB2BD8">
        <w:rPr>
          <w:spacing w:val="-3"/>
          <w:w w:val="105"/>
        </w:rPr>
        <w:t xml:space="preserve"> </w:t>
      </w:r>
      <w:r w:rsidRPr="00EB2BD8">
        <w:rPr>
          <w:w w:val="105"/>
        </w:rPr>
        <w:t>(CRCs)</w:t>
      </w:r>
      <w:bookmarkEnd w:id="460"/>
    </w:p>
    <w:p w14:paraId="735A1480" w14:textId="77777777" w:rsidR="00084F36" w:rsidRPr="00EB2BD8" w:rsidRDefault="00EB2BD8">
      <w:pPr>
        <w:pStyle w:val="BodyText"/>
        <w:spacing w:before="176" w:line="261" w:lineRule="auto"/>
        <w:ind w:left="264"/>
      </w:pPr>
      <w:r w:rsidRPr="00EB2BD8">
        <w:t>Key</w:t>
      </w:r>
      <w:r w:rsidRPr="00EB2BD8">
        <w:rPr>
          <w:spacing w:val="-15"/>
        </w:rPr>
        <w:t xml:space="preserve"> </w:t>
      </w:r>
      <w:r w:rsidRPr="00EB2BD8">
        <w:t>bodies</w:t>
      </w:r>
      <w:r w:rsidRPr="00EB2BD8">
        <w:rPr>
          <w:spacing w:val="-14"/>
        </w:rPr>
        <w:t xml:space="preserve"> </w:t>
      </w:r>
      <w:r w:rsidRPr="00EB2BD8">
        <w:t>for</w:t>
      </w:r>
      <w:r w:rsidRPr="00EB2BD8">
        <w:rPr>
          <w:spacing w:val="-14"/>
        </w:rPr>
        <w:t xml:space="preserve"> </w:t>
      </w:r>
      <w:r w:rsidRPr="00EB2BD8">
        <w:t>Australian</w:t>
      </w:r>
      <w:r w:rsidRPr="00EB2BD8">
        <w:rPr>
          <w:spacing w:val="-14"/>
        </w:rPr>
        <w:t xml:space="preserve"> </w:t>
      </w:r>
      <w:r w:rsidRPr="00EB2BD8">
        <w:t>scientific research which emphasise collaborative arrangements to maximise</w:t>
      </w:r>
      <w:r w:rsidRPr="00EB2BD8">
        <w:rPr>
          <w:spacing w:val="-2"/>
        </w:rPr>
        <w:t xml:space="preserve"> </w:t>
      </w:r>
      <w:r w:rsidRPr="00EB2BD8">
        <w:t>the</w:t>
      </w:r>
      <w:r w:rsidRPr="00EB2BD8">
        <w:rPr>
          <w:spacing w:val="-2"/>
        </w:rPr>
        <w:t xml:space="preserve"> </w:t>
      </w:r>
      <w:r w:rsidRPr="00EB2BD8">
        <w:t>benefits</w:t>
      </w:r>
      <w:r w:rsidRPr="00EB2BD8">
        <w:rPr>
          <w:spacing w:val="-2"/>
        </w:rPr>
        <w:t xml:space="preserve"> </w:t>
      </w:r>
      <w:r w:rsidRPr="00EB2BD8">
        <w:t>of</w:t>
      </w:r>
      <w:r w:rsidRPr="00EB2BD8">
        <w:rPr>
          <w:spacing w:val="-2"/>
        </w:rPr>
        <w:t xml:space="preserve"> </w:t>
      </w:r>
      <w:r w:rsidRPr="00EB2BD8">
        <w:t>research through an enhanced process of utilisation, commercialisation and technology</w:t>
      </w:r>
      <w:r w:rsidRPr="00EB2BD8">
        <w:rPr>
          <w:spacing w:val="-6"/>
        </w:rPr>
        <w:t xml:space="preserve"> </w:t>
      </w:r>
      <w:r w:rsidRPr="00EB2BD8">
        <w:t>transfer</w:t>
      </w:r>
    </w:p>
    <w:p w14:paraId="61D15CE5" w14:textId="77777777" w:rsidR="00084F36" w:rsidRPr="00EB2BD8" w:rsidRDefault="00084F36">
      <w:pPr>
        <w:pStyle w:val="BodyText"/>
        <w:spacing w:before="6"/>
        <w:rPr>
          <w:sz w:val="27"/>
        </w:rPr>
      </w:pPr>
    </w:p>
    <w:p w14:paraId="37E5BAB2" w14:textId="77777777" w:rsidR="00084F36" w:rsidRPr="00EB2BD8" w:rsidRDefault="00EB2BD8" w:rsidP="00697E0C">
      <w:pPr>
        <w:pStyle w:val="Heading3"/>
        <w:ind w:left="0" w:firstLine="264"/>
      </w:pPr>
      <w:bookmarkStart w:id="461" w:name="_Toc150762763"/>
      <w:r w:rsidRPr="00EB2BD8">
        <w:rPr>
          <w:w w:val="105"/>
        </w:rPr>
        <w:t>Fire</w:t>
      </w:r>
      <w:r w:rsidRPr="00EB2BD8">
        <w:rPr>
          <w:spacing w:val="-13"/>
          <w:w w:val="105"/>
        </w:rPr>
        <w:t xml:space="preserve"> </w:t>
      </w:r>
      <w:r w:rsidRPr="00EB2BD8">
        <w:rPr>
          <w:w w:val="105"/>
        </w:rPr>
        <w:t>safety</w:t>
      </w:r>
      <w:r w:rsidRPr="00EB2BD8">
        <w:rPr>
          <w:spacing w:val="-12"/>
          <w:w w:val="105"/>
        </w:rPr>
        <w:t xml:space="preserve"> </w:t>
      </w:r>
      <w:r w:rsidRPr="00EB2BD8">
        <w:rPr>
          <w:w w:val="105"/>
        </w:rPr>
        <w:t>systems</w:t>
      </w:r>
      <w:bookmarkEnd w:id="461"/>
    </w:p>
    <w:p w14:paraId="03382206" w14:textId="77777777" w:rsidR="00084F36" w:rsidRPr="00EB2BD8" w:rsidRDefault="00EB2BD8">
      <w:pPr>
        <w:pStyle w:val="BodyText"/>
        <w:spacing w:before="175" w:line="261" w:lineRule="auto"/>
        <w:ind w:left="264" w:right="100"/>
      </w:pPr>
      <w:r w:rsidRPr="00EB2BD8">
        <w:t>Systems designed and installed by fire safety engineers to ensure a building</w:t>
      </w:r>
      <w:r w:rsidRPr="00EB2BD8">
        <w:rPr>
          <w:spacing w:val="-1"/>
        </w:rPr>
        <w:t xml:space="preserve"> </w:t>
      </w:r>
      <w:r w:rsidRPr="00EB2BD8">
        <w:t>is</w:t>
      </w:r>
      <w:r w:rsidRPr="00EB2BD8">
        <w:rPr>
          <w:spacing w:val="-1"/>
        </w:rPr>
        <w:t xml:space="preserve"> </w:t>
      </w:r>
      <w:r w:rsidRPr="00EB2BD8">
        <w:t>as</w:t>
      </w:r>
      <w:r w:rsidRPr="00EB2BD8">
        <w:rPr>
          <w:spacing w:val="-1"/>
        </w:rPr>
        <w:t xml:space="preserve"> </w:t>
      </w:r>
      <w:r w:rsidRPr="00EB2BD8">
        <w:t>fire-safe</w:t>
      </w:r>
      <w:r w:rsidRPr="00EB2BD8">
        <w:rPr>
          <w:spacing w:val="-1"/>
        </w:rPr>
        <w:t xml:space="preserve"> </w:t>
      </w:r>
      <w:r w:rsidRPr="00EB2BD8">
        <w:t>as</w:t>
      </w:r>
      <w:r w:rsidRPr="00EB2BD8">
        <w:rPr>
          <w:spacing w:val="-1"/>
        </w:rPr>
        <w:t xml:space="preserve"> </w:t>
      </w:r>
      <w:r w:rsidRPr="00EB2BD8">
        <w:t>possible. Systems</w:t>
      </w:r>
      <w:r w:rsidRPr="00EB2BD8">
        <w:rPr>
          <w:spacing w:val="24"/>
        </w:rPr>
        <w:t xml:space="preserve"> </w:t>
      </w:r>
      <w:r w:rsidRPr="00EB2BD8">
        <w:t>can</w:t>
      </w:r>
      <w:r w:rsidRPr="00EB2BD8">
        <w:rPr>
          <w:spacing w:val="24"/>
        </w:rPr>
        <w:t xml:space="preserve"> </w:t>
      </w:r>
      <w:r w:rsidRPr="00EB2BD8">
        <w:t>be</w:t>
      </w:r>
      <w:r w:rsidRPr="00EB2BD8">
        <w:rPr>
          <w:spacing w:val="24"/>
        </w:rPr>
        <w:t xml:space="preserve"> </w:t>
      </w:r>
      <w:r w:rsidRPr="00EB2BD8">
        <w:t>classified</w:t>
      </w:r>
      <w:r w:rsidRPr="00EB2BD8">
        <w:rPr>
          <w:spacing w:val="24"/>
        </w:rPr>
        <w:t xml:space="preserve"> </w:t>
      </w:r>
      <w:r w:rsidRPr="00EB2BD8">
        <w:t>as active (such as smoke alarms and sprinklers)</w:t>
      </w:r>
      <w:r w:rsidRPr="00EB2BD8">
        <w:rPr>
          <w:spacing w:val="-9"/>
        </w:rPr>
        <w:t xml:space="preserve"> </w:t>
      </w:r>
      <w:r w:rsidRPr="00EB2BD8">
        <w:t>or</w:t>
      </w:r>
      <w:r w:rsidRPr="00EB2BD8">
        <w:rPr>
          <w:spacing w:val="-9"/>
        </w:rPr>
        <w:t xml:space="preserve"> </w:t>
      </w:r>
      <w:r w:rsidRPr="00EB2BD8">
        <w:t>passive</w:t>
      </w:r>
      <w:r w:rsidRPr="00EB2BD8">
        <w:rPr>
          <w:spacing w:val="-9"/>
        </w:rPr>
        <w:t xml:space="preserve"> </w:t>
      </w:r>
      <w:r w:rsidRPr="00EB2BD8">
        <w:t>(such</w:t>
      </w:r>
      <w:r w:rsidRPr="00EB2BD8">
        <w:rPr>
          <w:spacing w:val="-9"/>
        </w:rPr>
        <w:t xml:space="preserve"> </w:t>
      </w:r>
      <w:r w:rsidRPr="00EB2BD8">
        <w:t>as</w:t>
      </w:r>
      <w:r w:rsidRPr="00EB2BD8">
        <w:rPr>
          <w:spacing w:val="-9"/>
        </w:rPr>
        <w:t xml:space="preserve"> </w:t>
      </w:r>
      <w:r w:rsidRPr="00EB2BD8">
        <w:t>self- closing or smoke-sealed doors)</w:t>
      </w:r>
    </w:p>
    <w:p w14:paraId="1B7DEE1D" w14:textId="77777777" w:rsidR="00084F36" w:rsidRPr="00EB2BD8" w:rsidRDefault="00EB2BD8" w:rsidP="00697E0C">
      <w:pPr>
        <w:pStyle w:val="Heading3"/>
        <w:ind w:left="0" w:firstLine="264"/>
      </w:pPr>
      <w:r w:rsidRPr="00EB2BD8">
        <w:br w:type="column"/>
      </w:r>
      <w:bookmarkStart w:id="462" w:name="_Toc150762764"/>
      <w:r w:rsidRPr="00EB2BD8">
        <w:t>Freedom</w:t>
      </w:r>
      <w:r w:rsidRPr="00EB2BD8">
        <w:rPr>
          <w:spacing w:val="-12"/>
        </w:rPr>
        <w:t xml:space="preserve"> </w:t>
      </w:r>
      <w:r w:rsidRPr="00EB2BD8">
        <w:t>of</w:t>
      </w:r>
      <w:r w:rsidRPr="00EB2BD8">
        <w:rPr>
          <w:spacing w:val="-12"/>
        </w:rPr>
        <w:t xml:space="preserve"> </w:t>
      </w:r>
      <w:r w:rsidRPr="00EB2BD8">
        <w:t xml:space="preserve">Information </w:t>
      </w:r>
      <w:r w:rsidRPr="00EB2BD8">
        <w:rPr>
          <w:spacing w:val="-2"/>
        </w:rPr>
        <w:t>(FOI)</w:t>
      </w:r>
      <w:bookmarkEnd w:id="462"/>
    </w:p>
    <w:p w14:paraId="49248F46" w14:textId="77777777" w:rsidR="00084F36" w:rsidRPr="00EB2BD8" w:rsidRDefault="00EB2BD8">
      <w:pPr>
        <w:pStyle w:val="BodyText"/>
        <w:spacing w:before="176" w:line="261" w:lineRule="auto"/>
        <w:ind w:left="300" w:right="865"/>
      </w:pPr>
      <w:r w:rsidRPr="00EB2BD8">
        <w:t xml:space="preserve">Documents held by the VBA, including those provided to us by third parties, may be accessed by the public in certain circumstances. </w:t>
      </w:r>
      <w:r w:rsidRPr="00EB2BD8">
        <w:rPr>
          <w:spacing w:val="-2"/>
        </w:rPr>
        <w:t>The</w:t>
      </w:r>
      <w:r w:rsidRPr="00EB2BD8">
        <w:rPr>
          <w:spacing w:val="-13"/>
        </w:rPr>
        <w:t xml:space="preserve"> </w:t>
      </w:r>
      <w:r w:rsidRPr="00EB2BD8">
        <w:rPr>
          <w:spacing w:val="-2"/>
        </w:rPr>
        <w:t>Freedom</w:t>
      </w:r>
      <w:r w:rsidRPr="00EB2BD8">
        <w:rPr>
          <w:spacing w:val="-12"/>
        </w:rPr>
        <w:t xml:space="preserve"> </w:t>
      </w:r>
      <w:r w:rsidRPr="00EB2BD8">
        <w:rPr>
          <w:spacing w:val="-2"/>
        </w:rPr>
        <w:t>of</w:t>
      </w:r>
      <w:r w:rsidRPr="00EB2BD8">
        <w:rPr>
          <w:spacing w:val="-12"/>
        </w:rPr>
        <w:t xml:space="preserve"> </w:t>
      </w:r>
      <w:r w:rsidRPr="00EB2BD8">
        <w:rPr>
          <w:spacing w:val="-2"/>
        </w:rPr>
        <w:t>Information</w:t>
      </w:r>
      <w:r w:rsidRPr="00EB2BD8">
        <w:rPr>
          <w:spacing w:val="-12"/>
        </w:rPr>
        <w:t xml:space="preserve"> </w:t>
      </w:r>
      <w:r w:rsidRPr="00EB2BD8">
        <w:rPr>
          <w:spacing w:val="-2"/>
        </w:rPr>
        <w:t>Act</w:t>
      </w:r>
      <w:r w:rsidRPr="00EB2BD8">
        <w:rPr>
          <w:spacing w:val="-13"/>
        </w:rPr>
        <w:t xml:space="preserve"> </w:t>
      </w:r>
      <w:r w:rsidRPr="00EB2BD8">
        <w:rPr>
          <w:spacing w:val="-2"/>
        </w:rPr>
        <w:t xml:space="preserve">1982 </w:t>
      </w:r>
      <w:r w:rsidRPr="00EB2BD8">
        <w:t>sets out the process by which the public can gain access to, and the VBA can disclose, documents</w:t>
      </w:r>
    </w:p>
    <w:p w14:paraId="1A995EE0" w14:textId="77777777" w:rsidR="00084F36" w:rsidRPr="00EB2BD8" w:rsidRDefault="00084F36">
      <w:pPr>
        <w:pStyle w:val="BodyText"/>
        <w:spacing w:before="5"/>
        <w:rPr>
          <w:sz w:val="27"/>
        </w:rPr>
      </w:pPr>
    </w:p>
    <w:p w14:paraId="08D9872D" w14:textId="77777777" w:rsidR="00084F36" w:rsidRPr="00EB2BD8" w:rsidRDefault="00EB2BD8" w:rsidP="00697E0C">
      <w:pPr>
        <w:pStyle w:val="Heading3"/>
        <w:ind w:left="0" w:firstLine="300"/>
      </w:pPr>
      <w:bookmarkStart w:id="463" w:name="_Toc150762765"/>
      <w:r w:rsidRPr="00EB2BD8">
        <w:t>Internal</w:t>
      </w:r>
      <w:r w:rsidRPr="00EB2BD8">
        <w:rPr>
          <w:spacing w:val="-1"/>
        </w:rPr>
        <w:t xml:space="preserve"> </w:t>
      </w:r>
      <w:r w:rsidRPr="00EB2BD8">
        <w:rPr>
          <w:spacing w:val="-2"/>
        </w:rPr>
        <w:t>review</w:t>
      </w:r>
      <w:bookmarkEnd w:id="463"/>
    </w:p>
    <w:p w14:paraId="1C238DFC" w14:textId="77777777" w:rsidR="00084F36" w:rsidRPr="00EB2BD8" w:rsidRDefault="00EB2BD8">
      <w:pPr>
        <w:pStyle w:val="BodyText"/>
        <w:spacing w:before="176" w:line="261" w:lineRule="auto"/>
        <w:ind w:left="300" w:right="909"/>
      </w:pPr>
      <w:r w:rsidRPr="00EB2BD8">
        <w:t xml:space="preserve">The process which gives an ‘affected person’ the right to seek review of a ‘reviewable decision’ — such as building registration and disciplinary decisions — made by </w:t>
      </w:r>
      <w:r w:rsidRPr="00EB2BD8">
        <w:rPr>
          <w:spacing w:val="-2"/>
        </w:rPr>
        <w:t>the</w:t>
      </w:r>
      <w:r w:rsidRPr="00EB2BD8">
        <w:rPr>
          <w:spacing w:val="-13"/>
        </w:rPr>
        <w:t xml:space="preserve"> </w:t>
      </w:r>
      <w:r w:rsidRPr="00EB2BD8">
        <w:rPr>
          <w:spacing w:val="-2"/>
        </w:rPr>
        <w:t>VBA</w:t>
      </w:r>
      <w:r w:rsidRPr="00EB2BD8">
        <w:rPr>
          <w:spacing w:val="-12"/>
        </w:rPr>
        <w:t xml:space="preserve"> </w:t>
      </w:r>
      <w:r w:rsidRPr="00EB2BD8">
        <w:rPr>
          <w:spacing w:val="-2"/>
        </w:rPr>
        <w:t>under</w:t>
      </w:r>
      <w:r w:rsidRPr="00EB2BD8">
        <w:rPr>
          <w:spacing w:val="-12"/>
        </w:rPr>
        <w:t xml:space="preserve"> </w:t>
      </w:r>
      <w:r w:rsidRPr="00EB2BD8">
        <w:rPr>
          <w:spacing w:val="-2"/>
        </w:rPr>
        <w:t>the</w:t>
      </w:r>
      <w:r w:rsidRPr="00EB2BD8">
        <w:rPr>
          <w:spacing w:val="-12"/>
        </w:rPr>
        <w:t xml:space="preserve"> </w:t>
      </w:r>
      <w:r w:rsidRPr="00EB2BD8">
        <w:rPr>
          <w:spacing w:val="-2"/>
        </w:rPr>
        <w:t>Building</w:t>
      </w:r>
      <w:r w:rsidRPr="00EB2BD8">
        <w:rPr>
          <w:spacing w:val="-13"/>
        </w:rPr>
        <w:t xml:space="preserve"> </w:t>
      </w:r>
      <w:r w:rsidRPr="00EB2BD8">
        <w:rPr>
          <w:spacing w:val="-2"/>
        </w:rPr>
        <w:t>Act</w:t>
      </w:r>
      <w:r w:rsidRPr="00EB2BD8">
        <w:rPr>
          <w:spacing w:val="-12"/>
        </w:rPr>
        <w:t xml:space="preserve"> </w:t>
      </w:r>
      <w:r w:rsidRPr="00EB2BD8">
        <w:rPr>
          <w:spacing w:val="-2"/>
        </w:rPr>
        <w:t>1993.</w:t>
      </w:r>
    </w:p>
    <w:p w14:paraId="1B0ABEB6" w14:textId="77777777" w:rsidR="00084F36" w:rsidRPr="00EB2BD8" w:rsidRDefault="00EB2BD8">
      <w:pPr>
        <w:pStyle w:val="BodyText"/>
        <w:spacing w:line="261" w:lineRule="auto"/>
        <w:ind w:left="300" w:right="965"/>
      </w:pPr>
      <w:r w:rsidRPr="00EB2BD8">
        <w:t>Internal review is only available to</w:t>
      </w:r>
      <w:r w:rsidRPr="00EB2BD8">
        <w:rPr>
          <w:spacing w:val="40"/>
        </w:rPr>
        <w:t xml:space="preserve"> </w:t>
      </w:r>
      <w:r w:rsidRPr="00EB2BD8">
        <w:t>a</w:t>
      </w:r>
      <w:r w:rsidRPr="00EB2BD8">
        <w:rPr>
          <w:spacing w:val="-7"/>
        </w:rPr>
        <w:t xml:space="preserve"> </w:t>
      </w:r>
      <w:r w:rsidRPr="00EB2BD8">
        <w:t>person</w:t>
      </w:r>
      <w:r w:rsidRPr="00EB2BD8">
        <w:rPr>
          <w:spacing w:val="-7"/>
        </w:rPr>
        <w:t xml:space="preserve"> </w:t>
      </w:r>
      <w:r w:rsidRPr="00EB2BD8">
        <w:t>who</w:t>
      </w:r>
      <w:r w:rsidRPr="00EB2BD8">
        <w:rPr>
          <w:spacing w:val="-7"/>
        </w:rPr>
        <w:t xml:space="preserve"> </w:t>
      </w:r>
      <w:r w:rsidRPr="00EB2BD8">
        <w:t>is</w:t>
      </w:r>
      <w:r w:rsidRPr="00EB2BD8">
        <w:rPr>
          <w:spacing w:val="-7"/>
        </w:rPr>
        <w:t xml:space="preserve"> </w:t>
      </w:r>
      <w:r w:rsidRPr="00EB2BD8">
        <w:t>directly</w:t>
      </w:r>
      <w:r w:rsidRPr="00EB2BD8">
        <w:rPr>
          <w:spacing w:val="-7"/>
        </w:rPr>
        <w:t xml:space="preserve"> </w:t>
      </w:r>
      <w:r w:rsidRPr="00EB2BD8">
        <w:t>affected</w:t>
      </w:r>
      <w:r w:rsidRPr="00EB2BD8">
        <w:rPr>
          <w:spacing w:val="-7"/>
        </w:rPr>
        <w:t xml:space="preserve"> </w:t>
      </w:r>
      <w:r w:rsidRPr="00EB2BD8">
        <w:t>by the</w:t>
      </w:r>
      <w:r w:rsidRPr="00EB2BD8">
        <w:rPr>
          <w:spacing w:val="-6"/>
        </w:rPr>
        <w:t xml:space="preserve"> </w:t>
      </w:r>
      <w:r w:rsidRPr="00EB2BD8">
        <w:t>decision</w:t>
      </w:r>
    </w:p>
    <w:p w14:paraId="06430E82" w14:textId="77777777" w:rsidR="00084F36" w:rsidRPr="00EB2BD8" w:rsidRDefault="00084F36">
      <w:pPr>
        <w:pStyle w:val="BodyText"/>
        <w:spacing w:before="7"/>
        <w:rPr>
          <w:sz w:val="27"/>
        </w:rPr>
      </w:pPr>
    </w:p>
    <w:p w14:paraId="55904227" w14:textId="77777777" w:rsidR="00084F36" w:rsidRPr="00EB2BD8" w:rsidRDefault="00EB2BD8" w:rsidP="00697E0C">
      <w:pPr>
        <w:pStyle w:val="Heading3"/>
        <w:ind w:left="300"/>
      </w:pPr>
      <w:bookmarkStart w:id="464" w:name="_Toc150762766"/>
      <w:r w:rsidRPr="00EB2BD8">
        <w:t>Municipal</w:t>
      </w:r>
      <w:r w:rsidRPr="00EB2BD8">
        <w:rPr>
          <w:spacing w:val="-19"/>
        </w:rPr>
        <w:t xml:space="preserve"> </w:t>
      </w:r>
      <w:r w:rsidRPr="00EB2BD8">
        <w:t>building surveyor (MBS)</w:t>
      </w:r>
      <w:bookmarkEnd w:id="464"/>
    </w:p>
    <w:p w14:paraId="1A46C376" w14:textId="77777777" w:rsidR="00084F36" w:rsidRPr="00EB2BD8" w:rsidRDefault="00EB2BD8">
      <w:pPr>
        <w:pStyle w:val="BodyText"/>
        <w:spacing w:before="176" w:line="261" w:lineRule="auto"/>
        <w:ind w:left="300" w:right="1201"/>
      </w:pPr>
      <w:r w:rsidRPr="00EB2BD8">
        <w:t>Someone appointed, employed or nominated by a council to issue</w:t>
      </w:r>
      <w:r w:rsidRPr="00EB2BD8">
        <w:rPr>
          <w:spacing w:val="-15"/>
        </w:rPr>
        <w:t xml:space="preserve"> </w:t>
      </w:r>
      <w:r w:rsidRPr="00EB2BD8">
        <w:t>building</w:t>
      </w:r>
      <w:r w:rsidRPr="00EB2BD8">
        <w:rPr>
          <w:spacing w:val="-14"/>
        </w:rPr>
        <w:t xml:space="preserve"> </w:t>
      </w:r>
      <w:r w:rsidRPr="00EB2BD8">
        <w:t>permits,</w:t>
      </w:r>
      <w:r w:rsidRPr="00EB2BD8">
        <w:rPr>
          <w:spacing w:val="-14"/>
        </w:rPr>
        <w:t xml:space="preserve"> </w:t>
      </w:r>
      <w:r w:rsidRPr="00EB2BD8">
        <w:t>carry</w:t>
      </w:r>
      <w:r w:rsidRPr="00EB2BD8">
        <w:rPr>
          <w:spacing w:val="-14"/>
        </w:rPr>
        <w:t xml:space="preserve"> </w:t>
      </w:r>
      <w:r w:rsidRPr="00EB2BD8">
        <w:t>out inspections of buildings and</w:t>
      </w:r>
    </w:p>
    <w:p w14:paraId="27C551EC" w14:textId="77777777" w:rsidR="00084F36" w:rsidRPr="00EB2BD8" w:rsidRDefault="00EB2BD8">
      <w:pPr>
        <w:pStyle w:val="BodyText"/>
        <w:spacing w:line="261" w:lineRule="auto"/>
        <w:ind w:left="300" w:right="965"/>
      </w:pPr>
      <w:r w:rsidRPr="00EB2BD8">
        <w:t>building</w:t>
      </w:r>
      <w:r w:rsidRPr="00EB2BD8">
        <w:rPr>
          <w:spacing w:val="-4"/>
        </w:rPr>
        <w:t xml:space="preserve"> </w:t>
      </w:r>
      <w:r w:rsidRPr="00EB2BD8">
        <w:t>work</w:t>
      </w:r>
      <w:r w:rsidRPr="00EB2BD8">
        <w:rPr>
          <w:spacing w:val="-4"/>
        </w:rPr>
        <w:t xml:space="preserve"> </w:t>
      </w:r>
      <w:r w:rsidRPr="00EB2BD8">
        <w:t>and</w:t>
      </w:r>
      <w:r w:rsidRPr="00EB2BD8">
        <w:rPr>
          <w:spacing w:val="-4"/>
        </w:rPr>
        <w:t xml:space="preserve"> </w:t>
      </w:r>
      <w:r w:rsidRPr="00EB2BD8">
        <w:t>issue</w:t>
      </w:r>
      <w:r w:rsidRPr="00EB2BD8">
        <w:rPr>
          <w:spacing w:val="-4"/>
        </w:rPr>
        <w:t xml:space="preserve"> </w:t>
      </w:r>
      <w:r w:rsidRPr="00EB2BD8">
        <w:t>occupancy permits and temporary approvals</w:t>
      </w:r>
    </w:p>
    <w:p w14:paraId="57E48C38" w14:textId="77777777" w:rsidR="00084F36" w:rsidRPr="00EB2BD8" w:rsidRDefault="00084F36">
      <w:pPr>
        <w:pStyle w:val="BodyText"/>
        <w:spacing w:before="10"/>
        <w:rPr>
          <w:sz w:val="27"/>
        </w:rPr>
      </w:pPr>
    </w:p>
    <w:p w14:paraId="75E4371A" w14:textId="77777777" w:rsidR="00084F36" w:rsidRPr="00EB2BD8" w:rsidRDefault="00EB2BD8" w:rsidP="00697E0C">
      <w:pPr>
        <w:pStyle w:val="Heading3"/>
        <w:ind w:left="300"/>
      </w:pPr>
      <w:bookmarkStart w:id="465" w:name="_Toc150762767"/>
      <w:r w:rsidRPr="00EB2BD8">
        <w:t xml:space="preserve">National Construction </w:t>
      </w:r>
      <w:r w:rsidRPr="00EB2BD8">
        <w:rPr>
          <w:w w:val="105"/>
        </w:rPr>
        <w:t>Code</w:t>
      </w:r>
      <w:r w:rsidRPr="00EB2BD8">
        <w:rPr>
          <w:spacing w:val="-3"/>
          <w:w w:val="105"/>
        </w:rPr>
        <w:t xml:space="preserve"> </w:t>
      </w:r>
      <w:r w:rsidRPr="00EB2BD8">
        <w:rPr>
          <w:w w:val="105"/>
        </w:rPr>
        <w:t>(NCC)</w:t>
      </w:r>
      <w:bookmarkEnd w:id="465"/>
    </w:p>
    <w:p w14:paraId="4F22DCD3" w14:textId="77777777" w:rsidR="00084F36" w:rsidRPr="00EB2BD8" w:rsidRDefault="00EB2BD8">
      <w:pPr>
        <w:pStyle w:val="BodyText"/>
        <w:spacing w:before="176" w:line="261" w:lineRule="auto"/>
        <w:ind w:left="300" w:right="1078"/>
      </w:pPr>
      <w:r w:rsidRPr="00EB2BD8">
        <w:t>Published by the ABCB, the NCC comprises</w:t>
      </w:r>
      <w:r w:rsidRPr="00EB2BD8">
        <w:rPr>
          <w:spacing w:val="-6"/>
        </w:rPr>
        <w:t xml:space="preserve"> </w:t>
      </w:r>
      <w:r w:rsidRPr="00EB2BD8">
        <w:t>the</w:t>
      </w:r>
      <w:r w:rsidRPr="00EB2BD8">
        <w:rPr>
          <w:spacing w:val="-6"/>
        </w:rPr>
        <w:t xml:space="preserve"> </w:t>
      </w:r>
      <w:r w:rsidRPr="00EB2BD8">
        <w:t>BCA</w:t>
      </w:r>
      <w:r w:rsidRPr="00EB2BD8">
        <w:rPr>
          <w:spacing w:val="-6"/>
        </w:rPr>
        <w:t xml:space="preserve"> </w:t>
      </w:r>
      <w:r w:rsidRPr="00EB2BD8">
        <w:t>(Volumes</w:t>
      </w:r>
      <w:r w:rsidRPr="00EB2BD8">
        <w:rPr>
          <w:spacing w:val="-6"/>
        </w:rPr>
        <w:t xml:space="preserve"> </w:t>
      </w:r>
      <w:r w:rsidRPr="00EB2BD8">
        <w:t>One and Two), the Plumbing Code of Australia (PCA) (Volume Three) and other onsite construction requirements as directed by the Building Ministers’ Forum</w:t>
      </w:r>
    </w:p>
    <w:p w14:paraId="077E7893"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3" w:space="720" w:equalWidth="0">
            <w:col w:w="4043" w:space="40"/>
            <w:col w:w="3420" w:space="39"/>
            <w:col w:w="4368"/>
          </w:cols>
        </w:sectPr>
      </w:pPr>
    </w:p>
    <w:p w14:paraId="19E464CA" w14:textId="77777777" w:rsidR="00084F36" w:rsidRPr="00EB2BD8" w:rsidRDefault="00084F36">
      <w:pPr>
        <w:pStyle w:val="BodyText"/>
        <w:rPr>
          <w:sz w:val="20"/>
        </w:rPr>
      </w:pPr>
    </w:p>
    <w:p w14:paraId="69FB5480" w14:textId="77777777" w:rsidR="00084F36" w:rsidRPr="00EB2BD8" w:rsidRDefault="00084F36">
      <w:pPr>
        <w:pStyle w:val="BodyText"/>
        <w:rPr>
          <w:sz w:val="20"/>
        </w:rPr>
      </w:pPr>
    </w:p>
    <w:p w14:paraId="69E59866" w14:textId="77777777" w:rsidR="00084F36" w:rsidRPr="00EB2BD8" w:rsidRDefault="00084F36">
      <w:pPr>
        <w:pStyle w:val="BodyText"/>
        <w:rPr>
          <w:sz w:val="20"/>
        </w:rPr>
      </w:pPr>
    </w:p>
    <w:p w14:paraId="28148275" w14:textId="77777777" w:rsidR="00084F36" w:rsidRPr="00EB2BD8" w:rsidRDefault="00084F36">
      <w:pPr>
        <w:pStyle w:val="BodyText"/>
        <w:rPr>
          <w:sz w:val="20"/>
        </w:rPr>
      </w:pPr>
    </w:p>
    <w:p w14:paraId="35DD9095" w14:textId="77777777" w:rsidR="00084F36" w:rsidRPr="00EB2BD8" w:rsidRDefault="00084F36">
      <w:pPr>
        <w:pStyle w:val="BodyText"/>
        <w:spacing w:before="4"/>
        <w:rPr>
          <w:sz w:val="16"/>
        </w:rPr>
      </w:pPr>
    </w:p>
    <w:p w14:paraId="100061F3" w14:textId="77777777" w:rsidR="00084F36" w:rsidRPr="00EB2BD8" w:rsidRDefault="00084F36">
      <w:pPr>
        <w:rPr>
          <w:sz w:val="16"/>
        </w:rPr>
        <w:sectPr w:rsidR="00084F36" w:rsidRPr="00EB2BD8" w:rsidSect="006D75B2">
          <w:footerReference w:type="default" r:id="rId435"/>
          <w:pgSz w:w="11910" w:h="16840"/>
          <w:pgMar w:top="1100" w:right="0" w:bottom="700" w:left="0" w:header="0" w:footer="515" w:gutter="0"/>
          <w:cols w:space="720"/>
        </w:sectPr>
      </w:pPr>
    </w:p>
    <w:p w14:paraId="79BA5521" w14:textId="77777777" w:rsidR="00084F36" w:rsidRPr="00EB2BD8" w:rsidRDefault="00EB2BD8" w:rsidP="00BA43E6">
      <w:pPr>
        <w:pStyle w:val="Heading3"/>
      </w:pPr>
      <w:bookmarkStart w:id="466" w:name="_Toc150762768"/>
      <w:r w:rsidRPr="00EB2BD8">
        <w:rPr>
          <w:w w:val="105"/>
        </w:rPr>
        <w:t>Natural</w:t>
      </w:r>
      <w:r w:rsidRPr="00EB2BD8">
        <w:rPr>
          <w:spacing w:val="-20"/>
          <w:w w:val="105"/>
        </w:rPr>
        <w:t xml:space="preserve"> </w:t>
      </w:r>
      <w:r w:rsidRPr="00EB2BD8">
        <w:rPr>
          <w:spacing w:val="-2"/>
          <w:w w:val="105"/>
        </w:rPr>
        <w:t>persons</w:t>
      </w:r>
      <w:bookmarkEnd w:id="466"/>
    </w:p>
    <w:p w14:paraId="7C60D97B" w14:textId="77777777" w:rsidR="00084F36" w:rsidRPr="00EB2BD8" w:rsidRDefault="00EB2BD8">
      <w:pPr>
        <w:pStyle w:val="BodyText"/>
        <w:spacing w:before="175" w:line="261" w:lineRule="auto"/>
        <w:ind w:left="850"/>
      </w:pPr>
      <w:r w:rsidRPr="00EB2BD8">
        <w:t>Human beings, as distinct from artificial</w:t>
      </w:r>
      <w:r w:rsidRPr="00EB2BD8">
        <w:rPr>
          <w:spacing w:val="-11"/>
        </w:rPr>
        <w:t xml:space="preserve"> </w:t>
      </w:r>
      <w:r w:rsidRPr="00EB2BD8">
        <w:t>persons</w:t>
      </w:r>
      <w:r w:rsidRPr="00EB2BD8">
        <w:rPr>
          <w:spacing w:val="-11"/>
        </w:rPr>
        <w:t xml:space="preserve"> </w:t>
      </w:r>
      <w:r w:rsidRPr="00EB2BD8">
        <w:t>or</w:t>
      </w:r>
      <w:r w:rsidRPr="00EB2BD8">
        <w:rPr>
          <w:spacing w:val="-11"/>
        </w:rPr>
        <w:t xml:space="preserve"> </w:t>
      </w:r>
      <w:r w:rsidRPr="00EB2BD8">
        <w:t xml:space="preserve">corporations recognised by law (such as </w:t>
      </w:r>
      <w:r w:rsidRPr="00EB2BD8">
        <w:rPr>
          <w:spacing w:val="-2"/>
        </w:rPr>
        <w:t>companies)</w:t>
      </w:r>
    </w:p>
    <w:p w14:paraId="2A8445B0" w14:textId="77777777" w:rsidR="00084F36" w:rsidRPr="00EB2BD8" w:rsidRDefault="00084F36">
      <w:pPr>
        <w:pStyle w:val="BodyText"/>
        <w:spacing w:before="10"/>
        <w:rPr>
          <w:sz w:val="27"/>
        </w:rPr>
      </w:pPr>
    </w:p>
    <w:p w14:paraId="2F722A1C" w14:textId="77777777" w:rsidR="00084F36" w:rsidRPr="00EB2BD8" w:rsidRDefault="00EB2BD8" w:rsidP="00BA43E6">
      <w:pPr>
        <w:pStyle w:val="Heading3"/>
      </w:pPr>
      <w:bookmarkStart w:id="467" w:name="_Toc150762769"/>
      <w:r w:rsidRPr="00EB2BD8">
        <w:rPr>
          <w:w w:val="105"/>
        </w:rPr>
        <w:t>Non-compliance</w:t>
      </w:r>
      <w:bookmarkEnd w:id="467"/>
    </w:p>
    <w:p w14:paraId="49C63E5A" w14:textId="77777777" w:rsidR="00084F36" w:rsidRPr="00EB2BD8" w:rsidRDefault="00EB2BD8">
      <w:pPr>
        <w:pStyle w:val="BodyText"/>
        <w:spacing w:before="175" w:line="261" w:lineRule="auto"/>
        <w:ind w:left="850" w:right="29"/>
      </w:pPr>
      <w:r w:rsidRPr="00EB2BD8">
        <w:t>Failure to achieve the performance or prescriptive criteria demanded</w:t>
      </w:r>
      <w:r w:rsidRPr="00EB2BD8">
        <w:rPr>
          <w:spacing w:val="80"/>
        </w:rPr>
        <w:t xml:space="preserve"> </w:t>
      </w:r>
      <w:r w:rsidRPr="00EB2BD8">
        <w:t>by a regulation or other statutory requirement</w:t>
      </w:r>
      <w:r w:rsidRPr="00EB2BD8">
        <w:rPr>
          <w:spacing w:val="-4"/>
        </w:rPr>
        <w:t xml:space="preserve"> </w:t>
      </w:r>
      <w:r w:rsidRPr="00EB2BD8">
        <w:t>which</w:t>
      </w:r>
      <w:r w:rsidRPr="00EB2BD8">
        <w:rPr>
          <w:spacing w:val="-4"/>
        </w:rPr>
        <w:t xml:space="preserve"> </w:t>
      </w:r>
      <w:r w:rsidRPr="00EB2BD8">
        <w:t>may</w:t>
      </w:r>
      <w:r w:rsidRPr="00EB2BD8">
        <w:rPr>
          <w:spacing w:val="-4"/>
        </w:rPr>
        <w:t xml:space="preserve"> </w:t>
      </w:r>
      <w:r w:rsidRPr="00EB2BD8">
        <w:t>lead</w:t>
      </w:r>
      <w:r w:rsidRPr="00EB2BD8">
        <w:rPr>
          <w:spacing w:val="-4"/>
        </w:rPr>
        <w:t xml:space="preserve"> </w:t>
      </w:r>
      <w:r w:rsidRPr="00EB2BD8">
        <w:t>to</w:t>
      </w:r>
      <w:r w:rsidRPr="00EB2BD8">
        <w:rPr>
          <w:spacing w:val="-4"/>
        </w:rPr>
        <w:t xml:space="preserve"> </w:t>
      </w:r>
      <w:r w:rsidRPr="00EB2BD8">
        <w:t>non- approval</w:t>
      </w:r>
      <w:r w:rsidRPr="00EB2BD8">
        <w:rPr>
          <w:spacing w:val="-2"/>
        </w:rPr>
        <w:t xml:space="preserve"> </w:t>
      </w:r>
      <w:r w:rsidRPr="00EB2BD8">
        <w:t>of</w:t>
      </w:r>
      <w:r w:rsidRPr="00EB2BD8">
        <w:rPr>
          <w:spacing w:val="-2"/>
        </w:rPr>
        <w:t xml:space="preserve"> </w:t>
      </w:r>
      <w:r w:rsidRPr="00EB2BD8">
        <w:t>a</w:t>
      </w:r>
      <w:r w:rsidRPr="00EB2BD8">
        <w:rPr>
          <w:spacing w:val="-2"/>
        </w:rPr>
        <w:t xml:space="preserve"> </w:t>
      </w:r>
      <w:r w:rsidRPr="00EB2BD8">
        <w:t>project</w:t>
      </w:r>
      <w:r w:rsidRPr="00EB2BD8">
        <w:rPr>
          <w:spacing w:val="-2"/>
        </w:rPr>
        <w:t xml:space="preserve"> </w:t>
      </w:r>
      <w:r w:rsidRPr="00EB2BD8">
        <w:t>or</w:t>
      </w:r>
      <w:r w:rsidRPr="00EB2BD8">
        <w:rPr>
          <w:spacing w:val="-2"/>
        </w:rPr>
        <w:t xml:space="preserve"> </w:t>
      </w:r>
      <w:r w:rsidRPr="00EB2BD8">
        <w:t>item</w:t>
      </w:r>
      <w:r w:rsidRPr="00EB2BD8">
        <w:rPr>
          <w:spacing w:val="-2"/>
        </w:rPr>
        <w:t xml:space="preserve"> </w:t>
      </w:r>
      <w:r w:rsidRPr="00EB2BD8">
        <w:t>and,</w:t>
      </w:r>
      <w:r w:rsidRPr="00EB2BD8">
        <w:rPr>
          <w:spacing w:val="-2"/>
        </w:rPr>
        <w:t xml:space="preserve"> </w:t>
      </w:r>
      <w:r w:rsidRPr="00EB2BD8">
        <w:t>in extreme cases, to demolition</w:t>
      </w:r>
    </w:p>
    <w:p w14:paraId="5552D5CA" w14:textId="77777777" w:rsidR="00084F36" w:rsidRPr="00EB2BD8" w:rsidRDefault="00084F36">
      <w:pPr>
        <w:pStyle w:val="BodyText"/>
        <w:spacing w:before="10"/>
        <w:rPr>
          <w:sz w:val="27"/>
        </w:rPr>
      </w:pPr>
    </w:p>
    <w:p w14:paraId="65E09114" w14:textId="77777777" w:rsidR="00084F36" w:rsidRPr="00EB2BD8" w:rsidRDefault="00EB2BD8" w:rsidP="00BA43E6">
      <w:pPr>
        <w:pStyle w:val="Heading3"/>
      </w:pPr>
      <w:bookmarkStart w:id="468" w:name="_Toc150762770"/>
      <w:r w:rsidRPr="00EB2BD8">
        <w:rPr>
          <w:w w:val="105"/>
        </w:rPr>
        <w:t>Occupational</w:t>
      </w:r>
      <w:r w:rsidRPr="00EB2BD8">
        <w:rPr>
          <w:spacing w:val="-20"/>
          <w:w w:val="105"/>
        </w:rPr>
        <w:t xml:space="preserve"> </w:t>
      </w:r>
      <w:r w:rsidRPr="00EB2BD8">
        <w:rPr>
          <w:w w:val="105"/>
        </w:rPr>
        <w:t>health</w:t>
      </w:r>
      <w:r w:rsidRPr="00EB2BD8">
        <w:rPr>
          <w:spacing w:val="-20"/>
          <w:w w:val="105"/>
        </w:rPr>
        <w:t xml:space="preserve"> </w:t>
      </w:r>
      <w:r w:rsidRPr="00EB2BD8">
        <w:rPr>
          <w:w w:val="105"/>
        </w:rPr>
        <w:t>and safety</w:t>
      </w:r>
      <w:r w:rsidRPr="00EB2BD8">
        <w:rPr>
          <w:spacing w:val="-3"/>
          <w:w w:val="105"/>
        </w:rPr>
        <w:t xml:space="preserve"> </w:t>
      </w:r>
      <w:r w:rsidRPr="00EB2BD8">
        <w:rPr>
          <w:w w:val="105"/>
        </w:rPr>
        <w:t>(OHS)</w:t>
      </w:r>
      <w:bookmarkEnd w:id="468"/>
    </w:p>
    <w:p w14:paraId="732A9F47" w14:textId="77777777" w:rsidR="00084F36" w:rsidRPr="00EB2BD8" w:rsidRDefault="00EB2BD8">
      <w:pPr>
        <w:pStyle w:val="BodyText"/>
        <w:spacing w:before="176" w:line="261" w:lineRule="auto"/>
        <w:ind w:left="850" w:right="189"/>
      </w:pPr>
      <w:r w:rsidRPr="00EB2BD8">
        <w:t>OHS is concerned with the safety, health</w:t>
      </w:r>
      <w:r w:rsidRPr="00EB2BD8">
        <w:rPr>
          <w:spacing w:val="-10"/>
        </w:rPr>
        <w:t xml:space="preserve"> </w:t>
      </w:r>
      <w:r w:rsidRPr="00EB2BD8">
        <w:t>and</w:t>
      </w:r>
      <w:r w:rsidRPr="00EB2BD8">
        <w:rPr>
          <w:spacing w:val="-10"/>
        </w:rPr>
        <w:t xml:space="preserve"> </w:t>
      </w:r>
      <w:r w:rsidRPr="00EB2BD8">
        <w:t>welfare</w:t>
      </w:r>
      <w:r w:rsidRPr="00EB2BD8">
        <w:rPr>
          <w:spacing w:val="-10"/>
        </w:rPr>
        <w:t xml:space="preserve"> </w:t>
      </w:r>
      <w:r w:rsidRPr="00EB2BD8">
        <w:t>of</w:t>
      </w:r>
      <w:r w:rsidRPr="00EB2BD8">
        <w:rPr>
          <w:spacing w:val="-10"/>
        </w:rPr>
        <w:t xml:space="preserve"> </w:t>
      </w:r>
      <w:r w:rsidRPr="00EB2BD8">
        <w:t>people</w:t>
      </w:r>
      <w:r w:rsidRPr="00EB2BD8">
        <w:rPr>
          <w:spacing w:val="-10"/>
        </w:rPr>
        <w:t xml:space="preserve"> </w:t>
      </w:r>
      <w:r w:rsidRPr="00EB2BD8">
        <w:t>while at work. Also commonly referred to</w:t>
      </w:r>
      <w:r w:rsidRPr="00EB2BD8">
        <w:rPr>
          <w:spacing w:val="-6"/>
        </w:rPr>
        <w:t xml:space="preserve"> </w:t>
      </w:r>
      <w:r w:rsidRPr="00EB2BD8">
        <w:t>as</w:t>
      </w:r>
      <w:r w:rsidRPr="00EB2BD8">
        <w:rPr>
          <w:spacing w:val="-6"/>
        </w:rPr>
        <w:t xml:space="preserve"> </w:t>
      </w:r>
      <w:r w:rsidRPr="00EB2BD8">
        <w:t>health</w:t>
      </w:r>
      <w:r w:rsidRPr="00EB2BD8">
        <w:rPr>
          <w:spacing w:val="-6"/>
        </w:rPr>
        <w:t xml:space="preserve"> </w:t>
      </w:r>
      <w:r w:rsidRPr="00EB2BD8">
        <w:t>and</w:t>
      </w:r>
      <w:r w:rsidRPr="00EB2BD8">
        <w:rPr>
          <w:spacing w:val="-6"/>
        </w:rPr>
        <w:t xml:space="preserve"> </w:t>
      </w:r>
      <w:r w:rsidRPr="00EB2BD8">
        <w:t>safety,</w:t>
      </w:r>
      <w:r w:rsidRPr="00EB2BD8">
        <w:rPr>
          <w:spacing w:val="-6"/>
        </w:rPr>
        <w:t xml:space="preserve"> </w:t>
      </w:r>
      <w:r w:rsidRPr="00EB2BD8">
        <w:t>workplace health and safety, occupational health or occupational safety</w:t>
      </w:r>
    </w:p>
    <w:p w14:paraId="452D6007" w14:textId="77777777" w:rsidR="00084F36" w:rsidRPr="00EB2BD8" w:rsidRDefault="00084F36">
      <w:pPr>
        <w:pStyle w:val="BodyText"/>
        <w:spacing w:before="7"/>
        <w:rPr>
          <w:sz w:val="27"/>
        </w:rPr>
      </w:pPr>
    </w:p>
    <w:p w14:paraId="78C9C27C" w14:textId="77777777" w:rsidR="00084F36" w:rsidRPr="00EB2BD8" w:rsidRDefault="00EB2BD8" w:rsidP="00BA43E6">
      <w:pPr>
        <w:pStyle w:val="Heading3"/>
      </w:pPr>
      <w:bookmarkStart w:id="469" w:name="_Toc150762771"/>
      <w:r w:rsidRPr="00EB2BD8">
        <w:t>Owners</w:t>
      </w:r>
      <w:r w:rsidRPr="00EB2BD8">
        <w:rPr>
          <w:spacing w:val="-14"/>
        </w:rPr>
        <w:t xml:space="preserve"> </w:t>
      </w:r>
      <w:r w:rsidRPr="00EB2BD8">
        <w:t>corporation</w:t>
      </w:r>
      <w:bookmarkEnd w:id="469"/>
    </w:p>
    <w:p w14:paraId="6F36F5FF" w14:textId="77777777" w:rsidR="00084F36" w:rsidRPr="00EB2BD8" w:rsidRDefault="00EB2BD8">
      <w:pPr>
        <w:pStyle w:val="BodyText"/>
        <w:spacing w:before="176" w:line="261" w:lineRule="auto"/>
        <w:ind w:left="850"/>
      </w:pPr>
      <w:r w:rsidRPr="00EB2BD8">
        <w:t>An organisation that manages the common property of a residential, commercial, retail, industrial or mixed-use property development. Formerly</w:t>
      </w:r>
      <w:r w:rsidRPr="00EB2BD8">
        <w:rPr>
          <w:spacing w:val="-5"/>
        </w:rPr>
        <w:t xml:space="preserve"> </w:t>
      </w:r>
      <w:r w:rsidRPr="00EB2BD8">
        <w:t>known</w:t>
      </w:r>
      <w:r w:rsidRPr="00EB2BD8">
        <w:rPr>
          <w:spacing w:val="-5"/>
        </w:rPr>
        <w:t xml:space="preserve"> </w:t>
      </w:r>
      <w:r w:rsidRPr="00EB2BD8">
        <w:t>as</w:t>
      </w:r>
      <w:r w:rsidRPr="00EB2BD8">
        <w:rPr>
          <w:spacing w:val="-5"/>
        </w:rPr>
        <w:t xml:space="preserve"> </w:t>
      </w:r>
      <w:r w:rsidRPr="00EB2BD8">
        <w:t>a</w:t>
      </w:r>
      <w:r w:rsidRPr="00EB2BD8">
        <w:rPr>
          <w:spacing w:val="-5"/>
        </w:rPr>
        <w:t xml:space="preserve"> </w:t>
      </w:r>
      <w:r w:rsidRPr="00EB2BD8">
        <w:t>body</w:t>
      </w:r>
      <w:r w:rsidRPr="00EB2BD8">
        <w:rPr>
          <w:spacing w:val="-5"/>
        </w:rPr>
        <w:t xml:space="preserve"> </w:t>
      </w:r>
      <w:r w:rsidRPr="00EB2BD8">
        <w:t>corporate</w:t>
      </w:r>
    </w:p>
    <w:p w14:paraId="2A8827A8" w14:textId="77777777" w:rsidR="00084F36" w:rsidRPr="00EB2BD8" w:rsidRDefault="00084F36">
      <w:pPr>
        <w:pStyle w:val="BodyText"/>
        <w:spacing w:before="8"/>
        <w:rPr>
          <w:sz w:val="27"/>
        </w:rPr>
      </w:pPr>
    </w:p>
    <w:p w14:paraId="446620C9" w14:textId="77777777" w:rsidR="00084F36" w:rsidRPr="00EB2BD8" w:rsidRDefault="00EB2BD8" w:rsidP="00BA43E6">
      <w:pPr>
        <w:pStyle w:val="Heading3"/>
      </w:pPr>
      <w:bookmarkStart w:id="470" w:name="_Toc150762772"/>
      <w:r w:rsidRPr="00EB2BD8">
        <w:t>Plumbing</w:t>
      </w:r>
      <w:r w:rsidRPr="00EB2BD8">
        <w:rPr>
          <w:spacing w:val="4"/>
        </w:rPr>
        <w:t xml:space="preserve"> </w:t>
      </w:r>
      <w:r w:rsidRPr="00EB2BD8">
        <w:rPr>
          <w:spacing w:val="-2"/>
        </w:rPr>
        <w:t>inquiries</w:t>
      </w:r>
      <w:bookmarkEnd w:id="470"/>
    </w:p>
    <w:p w14:paraId="1D04A72C" w14:textId="77777777" w:rsidR="00084F36" w:rsidRPr="00EB2BD8" w:rsidRDefault="00EB2BD8">
      <w:pPr>
        <w:pStyle w:val="BodyText"/>
        <w:spacing w:before="175" w:line="261" w:lineRule="auto"/>
        <w:ind w:left="850"/>
      </w:pPr>
      <w:r w:rsidRPr="00EB2BD8">
        <w:t>Disciplinary proceedings into the conduct of plumbing practitioners commenced by the VBA and heard before a panel</w:t>
      </w:r>
    </w:p>
    <w:p w14:paraId="568E08E4" w14:textId="77777777" w:rsidR="00084F36" w:rsidRPr="00EB2BD8" w:rsidRDefault="00EB2BD8" w:rsidP="00BA43E6">
      <w:pPr>
        <w:pStyle w:val="Heading3"/>
        <w:ind w:left="0" w:firstLine="249"/>
      </w:pPr>
      <w:r w:rsidRPr="00EB2BD8">
        <w:br w:type="column"/>
      </w:r>
      <w:bookmarkStart w:id="471" w:name="_Toc150762773"/>
      <w:r w:rsidRPr="00EB2BD8">
        <w:t>Plumbing</w:t>
      </w:r>
      <w:r w:rsidRPr="00EB2BD8">
        <w:rPr>
          <w:spacing w:val="4"/>
        </w:rPr>
        <w:t xml:space="preserve"> </w:t>
      </w:r>
      <w:r w:rsidRPr="00EB2BD8">
        <w:t>practitioner</w:t>
      </w:r>
      <w:bookmarkEnd w:id="471"/>
    </w:p>
    <w:p w14:paraId="21F7FEBA" w14:textId="77777777" w:rsidR="00084F36" w:rsidRPr="00EB2BD8" w:rsidRDefault="00EB2BD8">
      <w:pPr>
        <w:pStyle w:val="BodyText"/>
        <w:spacing w:before="175" w:line="261" w:lineRule="auto"/>
        <w:ind w:left="249"/>
      </w:pPr>
      <w:r w:rsidRPr="00EB2BD8">
        <w:t>A person registered or licensed to carry</w:t>
      </w:r>
      <w:r w:rsidRPr="00EB2BD8">
        <w:rPr>
          <w:spacing w:val="-3"/>
        </w:rPr>
        <w:t xml:space="preserve"> </w:t>
      </w:r>
      <w:r w:rsidRPr="00EB2BD8">
        <w:t>out</w:t>
      </w:r>
      <w:r w:rsidRPr="00EB2BD8">
        <w:rPr>
          <w:spacing w:val="-3"/>
        </w:rPr>
        <w:t xml:space="preserve"> </w:t>
      </w:r>
      <w:r w:rsidRPr="00EB2BD8">
        <w:t>at</w:t>
      </w:r>
      <w:r w:rsidRPr="00EB2BD8">
        <w:rPr>
          <w:spacing w:val="-3"/>
        </w:rPr>
        <w:t xml:space="preserve"> </w:t>
      </w:r>
      <w:r w:rsidRPr="00EB2BD8">
        <w:t>least</w:t>
      </w:r>
      <w:r w:rsidRPr="00EB2BD8">
        <w:rPr>
          <w:spacing w:val="-3"/>
        </w:rPr>
        <w:t xml:space="preserve"> </w:t>
      </w:r>
      <w:r w:rsidRPr="00EB2BD8">
        <w:t>one</w:t>
      </w:r>
      <w:r w:rsidRPr="00EB2BD8">
        <w:rPr>
          <w:spacing w:val="-3"/>
        </w:rPr>
        <w:t xml:space="preserve"> </w:t>
      </w:r>
      <w:r w:rsidRPr="00EB2BD8">
        <w:t>class</w:t>
      </w:r>
      <w:r w:rsidRPr="00EB2BD8">
        <w:rPr>
          <w:spacing w:val="-3"/>
        </w:rPr>
        <w:t xml:space="preserve"> </w:t>
      </w:r>
      <w:r w:rsidRPr="00EB2BD8">
        <w:t>or</w:t>
      </w:r>
      <w:r w:rsidRPr="00EB2BD8">
        <w:rPr>
          <w:spacing w:val="-3"/>
        </w:rPr>
        <w:t xml:space="preserve"> </w:t>
      </w:r>
      <w:r w:rsidRPr="00EB2BD8">
        <w:t>type of plumbing work</w:t>
      </w:r>
    </w:p>
    <w:p w14:paraId="41F3EEA0" w14:textId="77777777" w:rsidR="00084F36" w:rsidRPr="00EB2BD8" w:rsidRDefault="00084F36">
      <w:pPr>
        <w:pStyle w:val="BodyText"/>
        <w:spacing w:before="11"/>
        <w:rPr>
          <w:sz w:val="27"/>
        </w:rPr>
      </w:pPr>
    </w:p>
    <w:p w14:paraId="46164DC9" w14:textId="77777777" w:rsidR="00084F36" w:rsidRPr="00EB2BD8" w:rsidRDefault="00EB2BD8" w:rsidP="00BA43E6">
      <w:pPr>
        <w:pStyle w:val="Heading3"/>
        <w:ind w:left="249"/>
      </w:pPr>
      <w:bookmarkStart w:id="472" w:name="_Toc150762774"/>
      <w:r w:rsidRPr="00EB2BD8">
        <w:t>Plumbing</w:t>
      </w:r>
      <w:r w:rsidRPr="00EB2BD8">
        <w:rPr>
          <w:spacing w:val="8"/>
        </w:rPr>
        <w:t xml:space="preserve"> </w:t>
      </w:r>
      <w:r w:rsidRPr="00EB2BD8">
        <w:t>Regulations</w:t>
      </w:r>
      <w:r w:rsidRPr="00EB2BD8">
        <w:rPr>
          <w:spacing w:val="9"/>
        </w:rPr>
        <w:t xml:space="preserve"> </w:t>
      </w:r>
      <w:r w:rsidRPr="00EB2BD8">
        <w:rPr>
          <w:spacing w:val="-3"/>
          <w:w w:val="85"/>
        </w:rPr>
        <w:t>2018</w:t>
      </w:r>
      <w:bookmarkEnd w:id="472"/>
    </w:p>
    <w:p w14:paraId="60B2F3CE" w14:textId="77777777" w:rsidR="00084F36" w:rsidRPr="00EB2BD8" w:rsidRDefault="00EB2BD8">
      <w:pPr>
        <w:pStyle w:val="BodyText"/>
        <w:spacing w:before="176" w:line="261" w:lineRule="auto"/>
        <w:ind w:left="249" w:right="1"/>
      </w:pPr>
      <w:r w:rsidRPr="00EB2BD8">
        <w:t>The Plumbing Regulations 2018 commenced</w:t>
      </w:r>
      <w:r w:rsidRPr="00EB2BD8">
        <w:rPr>
          <w:spacing w:val="-13"/>
        </w:rPr>
        <w:t xml:space="preserve"> </w:t>
      </w:r>
      <w:r w:rsidRPr="00EB2BD8">
        <w:t>on</w:t>
      </w:r>
      <w:r w:rsidRPr="00EB2BD8">
        <w:rPr>
          <w:spacing w:val="-13"/>
        </w:rPr>
        <w:t xml:space="preserve"> </w:t>
      </w:r>
      <w:r w:rsidRPr="00EB2BD8">
        <w:t>18</w:t>
      </w:r>
      <w:r w:rsidRPr="00EB2BD8">
        <w:rPr>
          <w:spacing w:val="-13"/>
        </w:rPr>
        <w:t xml:space="preserve"> </w:t>
      </w:r>
      <w:r w:rsidRPr="00EB2BD8">
        <w:t>November</w:t>
      </w:r>
      <w:r w:rsidRPr="00EB2BD8">
        <w:rPr>
          <w:spacing w:val="-13"/>
        </w:rPr>
        <w:t xml:space="preserve"> </w:t>
      </w:r>
      <w:r w:rsidRPr="00EB2BD8">
        <w:t>2018, replacing</w:t>
      </w:r>
      <w:r w:rsidRPr="00EB2BD8">
        <w:rPr>
          <w:spacing w:val="-4"/>
        </w:rPr>
        <w:t xml:space="preserve"> </w:t>
      </w:r>
      <w:r w:rsidRPr="00EB2BD8">
        <w:t>the</w:t>
      </w:r>
      <w:r w:rsidRPr="00EB2BD8">
        <w:rPr>
          <w:spacing w:val="-4"/>
        </w:rPr>
        <w:t xml:space="preserve"> </w:t>
      </w:r>
      <w:r w:rsidRPr="00EB2BD8">
        <w:t>Plumbing</w:t>
      </w:r>
      <w:r w:rsidRPr="00EB2BD8">
        <w:rPr>
          <w:spacing w:val="-4"/>
        </w:rPr>
        <w:t xml:space="preserve"> </w:t>
      </w:r>
      <w:r w:rsidRPr="00EB2BD8">
        <w:t>Regulations 2008. The Regulations cover the following aspects of plumbing</w:t>
      </w:r>
    </w:p>
    <w:p w14:paraId="4C40133B" w14:textId="77777777" w:rsidR="00084F36" w:rsidRPr="00EB2BD8" w:rsidRDefault="00EB2BD8">
      <w:pPr>
        <w:pStyle w:val="BodyText"/>
        <w:spacing w:line="261" w:lineRule="auto"/>
        <w:ind w:left="249" w:right="118"/>
      </w:pPr>
      <w:r w:rsidRPr="00EB2BD8">
        <w:t>work in Victoria: define the scope of</w:t>
      </w:r>
      <w:r w:rsidRPr="00EB2BD8">
        <w:rPr>
          <w:spacing w:val="-9"/>
        </w:rPr>
        <w:t xml:space="preserve"> </w:t>
      </w:r>
      <w:r w:rsidRPr="00EB2BD8">
        <w:t>work</w:t>
      </w:r>
      <w:r w:rsidRPr="00EB2BD8">
        <w:rPr>
          <w:spacing w:val="-9"/>
        </w:rPr>
        <w:t xml:space="preserve"> </w:t>
      </w:r>
      <w:r w:rsidRPr="00EB2BD8">
        <w:t>for</w:t>
      </w:r>
      <w:r w:rsidRPr="00EB2BD8">
        <w:rPr>
          <w:spacing w:val="-9"/>
        </w:rPr>
        <w:t xml:space="preserve"> </w:t>
      </w:r>
      <w:r w:rsidRPr="00EB2BD8">
        <w:t>all</w:t>
      </w:r>
      <w:r w:rsidRPr="00EB2BD8">
        <w:rPr>
          <w:spacing w:val="-9"/>
        </w:rPr>
        <w:t xml:space="preserve"> </w:t>
      </w:r>
      <w:r w:rsidRPr="00EB2BD8">
        <w:t>classes</w:t>
      </w:r>
      <w:r w:rsidRPr="00EB2BD8">
        <w:rPr>
          <w:spacing w:val="-9"/>
        </w:rPr>
        <w:t xml:space="preserve"> </w:t>
      </w:r>
      <w:r w:rsidRPr="00EB2BD8">
        <w:t>of</w:t>
      </w:r>
      <w:r w:rsidRPr="00EB2BD8">
        <w:rPr>
          <w:spacing w:val="-9"/>
        </w:rPr>
        <w:t xml:space="preserve"> </w:t>
      </w:r>
      <w:r w:rsidRPr="00EB2BD8">
        <w:t>plumbing work and specialised plumbing work,</w:t>
      </w:r>
      <w:r w:rsidRPr="00EB2BD8">
        <w:rPr>
          <w:spacing w:val="-5"/>
        </w:rPr>
        <w:t xml:space="preserve"> </w:t>
      </w:r>
      <w:r w:rsidRPr="00EB2BD8">
        <w:t>set</w:t>
      </w:r>
      <w:r w:rsidRPr="00EB2BD8">
        <w:rPr>
          <w:spacing w:val="-5"/>
        </w:rPr>
        <w:t xml:space="preserve"> </w:t>
      </w:r>
      <w:r w:rsidRPr="00EB2BD8">
        <w:t>out</w:t>
      </w:r>
      <w:r w:rsidRPr="00EB2BD8">
        <w:rPr>
          <w:spacing w:val="-5"/>
        </w:rPr>
        <w:t xml:space="preserve"> </w:t>
      </w:r>
      <w:r w:rsidRPr="00EB2BD8">
        <w:t>the</w:t>
      </w:r>
      <w:r w:rsidRPr="00EB2BD8">
        <w:rPr>
          <w:spacing w:val="-5"/>
        </w:rPr>
        <w:t xml:space="preserve"> </w:t>
      </w:r>
      <w:r w:rsidRPr="00EB2BD8">
        <w:t>qualification</w:t>
      </w:r>
      <w:r w:rsidRPr="00EB2BD8">
        <w:rPr>
          <w:spacing w:val="-5"/>
        </w:rPr>
        <w:t xml:space="preserve"> </w:t>
      </w:r>
      <w:r w:rsidRPr="00EB2BD8">
        <w:t>and experience</w:t>
      </w:r>
      <w:r w:rsidRPr="00EB2BD8">
        <w:rPr>
          <w:spacing w:val="-15"/>
        </w:rPr>
        <w:t xml:space="preserve"> </w:t>
      </w:r>
      <w:r w:rsidRPr="00EB2BD8">
        <w:t>eligibility</w:t>
      </w:r>
      <w:r w:rsidRPr="00EB2BD8">
        <w:rPr>
          <w:spacing w:val="-14"/>
        </w:rPr>
        <w:t xml:space="preserve"> </w:t>
      </w:r>
      <w:r w:rsidRPr="00EB2BD8">
        <w:t>requirements for registration and licensing in each class of plumbing work and specialised plumbing work, set fees payable for registration and licensing applications and the price of a compliance certificate, and set out additional technical requirements with which work performed in specified classes</w:t>
      </w:r>
    </w:p>
    <w:p w14:paraId="512E9FC4" w14:textId="77777777" w:rsidR="00084F36" w:rsidRPr="00EB2BD8" w:rsidRDefault="00EB2BD8">
      <w:pPr>
        <w:pStyle w:val="BodyText"/>
        <w:spacing w:line="198" w:lineRule="exact"/>
        <w:ind w:left="249"/>
      </w:pPr>
      <w:r w:rsidRPr="00EB2BD8">
        <w:t>of</w:t>
      </w:r>
      <w:r w:rsidRPr="00EB2BD8">
        <w:rPr>
          <w:spacing w:val="-14"/>
        </w:rPr>
        <w:t xml:space="preserve"> </w:t>
      </w:r>
      <w:r w:rsidRPr="00EB2BD8">
        <w:t>plumbing</w:t>
      </w:r>
      <w:r w:rsidRPr="00EB2BD8">
        <w:rPr>
          <w:spacing w:val="-13"/>
        </w:rPr>
        <w:t xml:space="preserve"> </w:t>
      </w:r>
      <w:r w:rsidRPr="00EB2BD8">
        <w:t>must</w:t>
      </w:r>
      <w:r w:rsidRPr="00EB2BD8">
        <w:rPr>
          <w:spacing w:val="-14"/>
        </w:rPr>
        <w:t xml:space="preserve"> </w:t>
      </w:r>
      <w:r w:rsidRPr="00EB2BD8">
        <w:rPr>
          <w:spacing w:val="-2"/>
        </w:rPr>
        <w:t>comply,</w:t>
      </w:r>
    </w:p>
    <w:p w14:paraId="04B3FA2C" w14:textId="77777777" w:rsidR="00084F36" w:rsidRPr="00EB2BD8" w:rsidRDefault="00EB2BD8">
      <w:pPr>
        <w:pStyle w:val="BodyText"/>
        <w:spacing w:before="12" w:line="261" w:lineRule="auto"/>
        <w:ind w:left="249"/>
      </w:pPr>
      <w:r w:rsidRPr="00EB2BD8">
        <w:t>including</w:t>
      </w:r>
      <w:r w:rsidRPr="00EB2BD8">
        <w:rPr>
          <w:spacing w:val="-13"/>
        </w:rPr>
        <w:t xml:space="preserve"> </w:t>
      </w:r>
      <w:r w:rsidRPr="00EB2BD8">
        <w:t>some</w:t>
      </w:r>
      <w:r w:rsidRPr="00EB2BD8">
        <w:rPr>
          <w:spacing w:val="-13"/>
        </w:rPr>
        <w:t xml:space="preserve"> </w:t>
      </w:r>
      <w:r w:rsidRPr="00EB2BD8">
        <w:t>variations</w:t>
      </w:r>
      <w:r w:rsidRPr="00EB2BD8">
        <w:rPr>
          <w:spacing w:val="-13"/>
        </w:rPr>
        <w:t xml:space="preserve"> </w:t>
      </w:r>
      <w:r w:rsidRPr="00EB2BD8">
        <w:t>from</w:t>
      </w:r>
      <w:r w:rsidRPr="00EB2BD8">
        <w:rPr>
          <w:spacing w:val="-13"/>
        </w:rPr>
        <w:t xml:space="preserve"> </w:t>
      </w:r>
      <w:r w:rsidRPr="00EB2BD8">
        <w:t>the requirements in the PCA</w:t>
      </w:r>
    </w:p>
    <w:p w14:paraId="079126E8" w14:textId="77777777" w:rsidR="00084F36" w:rsidRPr="00EB2BD8" w:rsidRDefault="00084F36">
      <w:pPr>
        <w:pStyle w:val="BodyText"/>
        <w:rPr>
          <w:sz w:val="28"/>
        </w:rPr>
      </w:pPr>
    </w:p>
    <w:p w14:paraId="668E393E" w14:textId="77777777" w:rsidR="00084F36" w:rsidRPr="00EB2BD8" w:rsidRDefault="00EB2BD8" w:rsidP="00BA43E6">
      <w:pPr>
        <w:pStyle w:val="Heading3"/>
        <w:ind w:left="249"/>
      </w:pPr>
      <w:bookmarkStart w:id="473" w:name="_Toc150762775"/>
      <w:r w:rsidRPr="00EB2BD8">
        <w:t>Private</w:t>
      </w:r>
      <w:r w:rsidRPr="00EB2BD8">
        <w:rPr>
          <w:spacing w:val="8"/>
        </w:rPr>
        <w:t xml:space="preserve"> </w:t>
      </w:r>
      <w:r w:rsidRPr="00EB2BD8">
        <w:t>building</w:t>
      </w:r>
      <w:r w:rsidRPr="00EB2BD8">
        <w:rPr>
          <w:spacing w:val="9"/>
        </w:rPr>
        <w:t xml:space="preserve"> </w:t>
      </w:r>
      <w:r w:rsidRPr="00EB2BD8">
        <w:rPr>
          <w:spacing w:val="-2"/>
        </w:rPr>
        <w:t>surveyor</w:t>
      </w:r>
      <w:bookmarkEnd w:id="473"/>
    </w:p>
    <w:p w14:paraId="7936EABE" w14:textId="77777777" w:rsidR="00084F36" w:rsidRPr="00EB2BD8" w:rsidRDefault="00EB2BD8">
      <w:pPr>
        <w:pStyle w:val="BodyText"/>
        <w:spacing w:before="175" w:line="261" w:lineRule="auto"/>
        <w:ind w:left="249" w:right="1"/>
      </w:pPr>
      <w:r w:rsidRPr="00EB2BD8">
        <w:t>Private building surveyor means a building</w:t>
      </w:r>
      <w:r w:rsidRPr="00EB2BD8">
        <w:rPr>
          <w:spacing w:val="-15"/>
        </w:rPr>
        <w:t xml:space="preserve"> </w:t>
      </w:r>
      <w:r w:rsidRPr="00EB2BD8">
        <w:t>surveyor</w:t>
      </w:r>
      <w:r w:rsidRPr="00EB2BD8">
        <w:rPr>
          <w:spacing w:val="-14"/>
        </w:rPr>
        <w:t xml:space="preserve"> </w:t>
      </w:r>
      <w:r w:rsidRPr="00EB2BD8">
        <w:t>registered</w:t>
      </w:r>
      <w:r w:rsidRPr="00EB2BD8">
        <w:rPr>
          <w:spacing w:val="-14"/>
        </w:rPr>
        <w:t xml:space="preserve"> </w:t>
      </w:r>
      <w:r w:rsidRPr="00EB2BD8">
        <w:t xml:space="preserve">under Part </w:t>
      </w:r>
      <w:r w:rsidRPr="00EB2BD8">
        <w:rPr>
          <w:w w:val="95"/>
        </w:rPr>
        <w:t xml:space="preserve">11 </w:t>
      </w:r>
      <w:r w:rsidRPr="00EB2BD8">
        <w:t>other than a municipal building surveyor, an officer or employee</w:t>
      </w:r>
      <w:r w:rsidRPr="00EB2BD8">
        <w:rPr>
          <w:spacing w:val="-6"/>
        </w:rPr>
        <w:t xml:space="preserve"> </w:t>
      </w:r>
      <w:r w:rsidRPr="00EB2BD8">
        <w:t>of</w:t>
      </w:r>
      <w:r w:rsidRPr="00EB2BD8">
        <w:rPr>
          <w:spacing w:val="-6"/>
        </w:rPr>
        <w:t xml:space="preserve"> </w:t>
      </w:r>
      <w:r w:rsidRPr="00EB2BD8">
        <w:t>the</w:t>
      </w:r>
      <w:r w:rsidRPr="00EB2BD8">
        <w:rPr>
          <w:spacing w:val="-6"/>
        </w:rPr>
        <w:t xml:space="preserve"> </w:t>
      </w:r>
      <w:r w:rsidRPr="00EB2BD8">
        <w:t>Crown</w:t>
      </w:r>
      <w:r w:rsidRPr="00EB2BD8">
        <w:rPr>
          <w:spacing w:val="-6"/>
        </w:rPr>
        <w:t xml:space="preserve"> </w:t>
      </w:r>
      <w:r w:rsidRPr="00EB2BD8">
        <w:t>or</w:t>
      </w:r>
      <w:r w:rsidRPr="00EB2BD8">
        <w:rPr>
          <w:spacing w:val="-6"/>
        </w:rPr>
        <w:t xml:space="preserve"> </w:t>
      </w:r>
      <w:r w:rsidRPr="00EB2BD8">
        <w:t>a</w:t>
      </w:r>
      <w:r w:rsidRPr="00EB2BD8">
        <w:rPr>
          <w:spacing w:val="-6"/>
        </w:rPr>
        <w:t xml:space="preserve"> </w:t>
      </w:r>
      <w:r w:rsidRPr="00EB2BD8">
        <w:t>public authority or a building surveyor authorised</w:t>
      </w:r>
      <w:r w:rsidRPr="00EB2BD8">
        <w:rPr>
          <w:spacing w:val="-6"/>
        </w:rPr>
        <w:t xml:space="preserve"> </w:t>
      </w:r>
      <w:r w:rsidRPr="00EB2BD8">
        <w:t>under</w:t>
      </w:r>
      <w:r w:rsidRPr="00EB2BD8">
        <w:rPr>
          <w:spacing w:val="-6"/>
        </w:rPr>
        <w:t xml:space="preserve"> </w:t>
      </w:r>
      <w:r w:rsidRPr="00EB2BD8">
        <w:t>section</w:t>
      </w:r>
      <w:r w:rsidRPr="00EB2BD8">
        <w:rPr>
          <w:spacing w:val="-6"/>
        </w:rPr>
        <w:t xml:space="preserve"> </w:t>
      </w:r>
      <w:r w:rsidRPr="00EB2BD8">
        <w:rPr>
          <w:w w:val="95"/>
        </w:rPr>
        <w:t>191,</w:t>
      </w:r>
      <w:r w:rsidRPr="00EB2BD8">
        <w:rPr>
          <w:spacing w:val="-3"/>
          <w:w w:val="95"/>
        </w:rPr>
        <w:t xml:space="preserve"> </w:t>
      </w:r>
      <w:r w:rsidRPr="00EB2BD8">
        <w:rPr>
          <w:w w:val="95"/>
        </w:rPr>
        <w:t xml:space="preserve">192 </w:t>
      </w:r>
      <w:r w:rsidRPr="00EB2BD8">
        <w:t xml:space="preserve">or </w:t>
      </w:r>
      <w:r w:rsidRPr="00EB2BD8">
        <w:rPr>
          <w:w w:val="95"/>
        </w:rPr>
        <w:t xml:space="preserve">221 </w:t>
      </w:r>
      <w:r w:rsidRPr="00EB2BD8">
        <w:t>— in his or her capacity as</w:t>
      </w:r>
    </w:p>
    <w:p w14:paraId="4AD87874" w14:textId="77777777" w:rsidR="00084F36" w:rsidRPr="00EB2BD8" w:rsidRDefault="00EB2BD8">
      <w:pPr>
        <w:pStyle w:val="BodyText"/>
        <w:spacing w:line="261" w:lineRule="auto"/>
        <w:ind w:left="249" w:right="1"/>
      </w:pPr>
      <w:r w:rsidRPr="00EB2BD8">
        <w:t>such</w:t>
      </w:r>
      <w:r w:rsidRPr="00EB2BD8">
        <w:rPr>
          <w:spacing w:val="-15"/>
        </w:rPr>
        <w:t xml:space="preserve"> </w:t>
      </w:r>
      <w:r w:rsidRPr="00EB2BD8">
        <w:t>a</w:t>
      </w:r>
      <w:r w:rsidRPr="00EB2BD8">
        <w:rPr>
          <w:spacing w:val="-14"/>
        </w:rPr>
        <w:t xml:space="preserve"> </w:t>
      </w:r>
      <w:r w:rsidRPr="00EB2BD8">
        <w:t>municipal</w:t>
      </w:r>
      <w:r w:rsidRPr="00EB2BD8">
        <w:rPr>
          <w:spacing w:val="-14"/>
        </w:rPr>
        <w:t xml:space="preserve"> </w:t>
      </w:r>
      <w:r w:rsidRPr="00EB2BD8">
        <w:t>building</w:t>
      </w:r>
      <w:r w:rsidRPr="00EB2BD8">
        <w:rPr>
          <w:spacing w:val="-14"/>
        </w:rPr>
        <w:t xml:space="preserve"> </w:t>
      </w:r>
      <w:r w:rsidRPr="00EB2BD8">
        <w:t>surveyor, officer, employee or authorised building</w:t>
      </w:r>
      <w:r w:rsidRPr="00EB2BD8">
        <w:rPr>
          <w:spacing w:val="-6"/>
        </w:rPr>
        <w:t xml:space="preserve"> </w:t>
      </w:r>
      <w:r w:rsidRPr="00EB2BD8">
        <w:t>surveyor</w:t>
      </w:r>
    </w:p>
    <w:p w14:paraId="6D91D6AD" w14:textId="77777777" w:rsidR="00084F36" w:rsidRPr="00EB2BD8" w:rsidRDefault="00EB2BD8" w:rsidP="00BA43E6">
      <w:pPr>
        <w:pStyle w:val="Heading3"/>
        <w:ind w:left="249"/>
      </w:pPr>
      <w:r w:rsidRPr="00EB2BD8">
        <w:br w:type="column"/>
      </w:r>
      <w:bookmarkStart w:id="474" w:name="_Toc150762776"/>
      <w:r w:rsidRPr="00EB2BD8">
        <w:rPr>
          <w:w w:val="105"/>
        </w:rPr>
        <w:t>Proactive</w:t>
      </w:r>
      <w:r w:rsidRPr="00EB2BD8">
        <w:rPr>
          <w:spacing w:val="-21"/>
          <w:w w:val="105"/>
        </w:rPr>
        <w:t xml:space="preserve"> </w:t>
      </w:r>
      <w:r w:rsidRPr="00EB2BD8">
        <w:rPr>
          <w:w w:val="105"/>
        </w:rPr>
        <w:t>Inspections Program</w:t>
      </w:r>
      <w:r w:rsidRPr="00EB2BD8">
        <w:rPr>
          <w:spacing w:val="-3"/>
          <w:w w:val="105"/>
        </w:rPr>
        <w:t xml:space="preserve"> </w:t>
      </w:r>
      <w:r w:rsidRPr="00EB2BD8">
        <w:rPr>
          <w:w w:val="105"/>
        </w:rPr>
        <w:t>(PIP)</w:t>
      </w:r>
      <w:bookmarkEnd w:id="474"/>
    </w:p>
    <w:p w14:paraId="0EE59134" w14:textId="77777777" w:rsidR="00084F36" w:rsidRPr="00EB2BD8" w:rsidRDefault="00EB2BD8">
      <w:pPr>
        <w:pStyle w:val="BodyText"/>
        <w:spacing w:before="176" w:line="261" w:lineRule="auto"/>
        <w:ind w:left="322" w:right="765"/>
      </w:pPr>
      <w:r w:rsidRPr="00EB2BD8">
        <w:t>An early intervention initiative that identifies</w:t>
      </w:r>
      <w:r w:rsidRPr="00EB2BD8">
        <w:rPr>
          <w:spacing w:val="-2"/>
        </w:rPr>
        <w:t xml:space="preserve"> </w:t>
      </w:r>
      <w:r w:rsidRPr="00EB2BD8">
        <w:t>and</w:t>
      </w:r>
      <w:r w:rsidRPr="00EB2BD8">
        <w:rPr>
          <w:spacing w:val="-2"/>
        </w:rPr>
        <w:t xml:space="preserve"> </w:t>
      </w:r>
      <w:r w:rsidRPr="00EB2BD8">
        <w:t>reduces</w:t>
      </w:r>
      <w:r w:rsidRPr="00EB2BD8">
        <w:rPr>
          <w:spacing w:val="-2"/>
        </w:rPr>
        <w:t xml:space="preserve"> </w:t>
      </w:r>
      <w:r w:rsidRPr="00EB2BD8">
        <w:t xml:space="preserve">noncompliant building and plumbing work in </w:t>
      </w:r>
      <w:r w:rsidRPr="00EB2BD8">
        <w:rPr>
          <w:spacing w:val="-2"/>
        </w:rPr>
        <w:t>Victoria</w:t>
      </w:r>
    </w:p>
    <w:p w14:paraId="1800302A" w14:textId="77777777" w:rsidR="00084F36" w:rsidRPr="00EB2BD8" w:rsidRDefault="00084F36">
      <w:pPr>
        <w:pStyle w:val="BodyText"/>
        <w:spacing w:before="10"/>
        <w:rPr>
          <w:sz w:val="27"/>
        </w:rPr>
      </w:pPr>
    </w:p>
    <w:p w14:paraId="5A447E8B" w14:textId="77777777" w:rsidR="00084F36" w:rsidRPr="00EB2BD8" w:rsidRDefault="00EB2BD8" w:rsidP="00BA43E6">
      <w:pPr>
        <w:pStyle w:val="Heading3"/>
        <w:ind w:left="0" w:firstLine="322"/>
      </w:pPr>
      <w:bookmarkStart w:id="475" w:name="_Toc150762777"/>
      <w:r w:rsidRPr="00EB2BD8">
        <w:rPr>
          <w:w w:val="105"/>
        </w:rPr>
        <w:t>Procurement</w:t>
      </w:r>
      <w:bookmarkEnd w:id="475"/>
    </w:p>
    <w:p w14:paraId="10B778AF" w14:textId="77777777" w:rsidR="00084F36" w:rsidRPr="00EB2BD8" w:rsidRDefault="00EB2BD8">
      <w:pPr>
        <w:pStyle w:val="BodyText"/>
        <w:spacing w:before="175" w:line="261" w:lineRule="auto"/>
        <w:ind w:left="322" w:right="765"/>
      </w:pPr>
      <w:r w:rsidRPr="00EB2BD8">
        <w:t>The</w:t>
      </w:r>
      <w:r w:rsidRPr="00EB2BD8">
        <w:rPr>
          <w:spacing w:val="-7"/>
        </w:rPr>
        <w:t xml:space="preserve"> </w:t>
      </w:r>
      <w:r w:rsidRPr="00EB2BD8">
        <w:t>process</w:t>
      </w:r>
      <w:r w:rsidRPr="00EB2BD8">
        <w:rPr>
          <w:spacing w:val="-7"/>
        </w:rPr>
        <w:t xml:space="preserve"> </w:t>
      </w:r>
      <w:r w:rsidRPr="00EB2BD8">
        <w:t>of</w:t>
      </w:r>
      <w:r w:rsidRPr="00EB2BD8">
        <w:rPr>
          <w:spacing w:val="-7"/>
        </w:rPr>
        <w:t xml:space="preserve"> </w:t>
      </w:r>
      <w:r w:rsidRPr="00EB2BD8">
        <w:t>finding</w:t>
      </w:r>
      <w:r w:rsidRPr="00EB2BD8">
        <w:rPr>
          <w:spacing w:val="-7"/>
        </w:rPr>
        <w:t xml:space="preserve"> </w:t>
      </w:r>
      <w:r w:rsidRPr="00EB2BD8">
        <w:t>and</w:t>
      </w:r>
      <w:r w:rsidRPr="00EB2BD8">
        <w:rPr>
          <w:spacing w:val="-7"/>
        </w:rPr>
        <w:t xml:space="preserve"> </w:t>
      </w:r>
      <w:r w:rsidRPr="00EB2BD8">
        <w:t>agreeing to terms and acquiring goods, services or works from an external source, often via a tendering or competitive bidding process</w:t>
      </w:r>
    </w:p>
    <w:p w14:paraId="699D9169" w14:textId="77777777" w:rsidR="00084F36" w:rsidRPr="00EB2BD8" w:rsidRDefault="00084F36">
      <w:pPr>
        <w:pStyle w:val="BodyText"/>
        <w:spacing w:before="9"/>
        <w:rPr>
          <w:sz w:val="27"/>
        </w:rPr>
      </w:pPr>
    </w:p>
    <w:p w14:paraId="5CE0600E" w14:textId="77777777" w:rsidR="00084F36" w:rsidRPr="00EB2BD8" w:rsidRDefault="00EB2BD8" w:rsidP="00BA43E6">
      <w:pPr>
        <w:pStyle w:val="Heading3"/>
        <w:ind w:left="0" w:firstLine="322"/>
      </w:pPr>
      <w:bookmarkStart w:id="476" w:name="_Toc150762778"/>
      <w:r w:rsidRPr="00EB2BD8">
        <w:rPr>
          <w:w w:val="105"/>
        </w:rPr>
        <w:t>Ream</w:t>
      </w:r>
      <w:bookmarkEnd w:id="476"/>
    </w:p>
    <w:p w14:paraId="26D1DD0B" w14:textId="77777777" w:rsidR="00084F36" w:rsidRPr="00EB2BD8" w:rsidRDefault="00EB2BD8">
      <w:pPr>
        <w:pStyle w:val="BodyText"/>
        <w:spacing w:before="176"/>
        <w:ind w:left="322"/>
      </w:pPr>
      <w:r w:rsidRPr="00EB2BD8">
        <w:t>500</w:t>
      </w:r>
      <w:r w:rsidRPr="00EB2BD8">
        <w:rPr>
          <w:spacing w:val="-13"/>
        </w:rPr>
        <w:t xml:space="preserve"> </w:t>
      </w:r>
      <w:r w:rsidRPr="00EB2BD8">
        <w:t>sheets</w:t>
      </w:r>
      <w:r w:rsidRPr="00EB2BD8">
        <w:rPr>
          <w:spacing w:val="-13"/>
        </w:rPr>
        <w:t xml:space="preserve"> </w:t>
      </w:r>
      <w:r w:rsidRPr="00EB2BD8">
        <w:t>of</w:t>
      </w:r>
      <w:r w:rsidRPr="00EB2BD8">
        <w:rPr>
          <w:spacing w:val="-13"/>
        </w:rPr>
        <w:t xml:space="preserve"> </w:t>
      </w:r>
      <w:r w:rsidRPr="00EB2BD8">
        <w:t>A4</w:t>
      </w:r>
      <w:r w:rsidRPr="00EB2BD8">
        <w:rPr>
          <w:spacing w:val="-13"/>
        </w:rPr>
        <w:t xml:space="preserve"> </w:t>
      </w:r>
      <w:r w:rsidRPr="00EB2BD8">
        <w:rPr>
          <w:spacing w:val="-2"/>
        </w:rPr>
        <w:t>paper</w:t>
      </w:r>
    </w:p>
    <w:p w14:paraId="5C19AE4F" w14:textId="77777777" w:rsidR="00084F36" w:rsidRPr="00EB2BD8" w:rsidRDefault="00084F36">
      <w:pPr>
        <w:pStyle w:val="BodyText"/>
        <w:spacing w:before="8"/>
        <w:rPr>
          <w:sz w:val="29"/>
        </w:rPr>
      </w:pPr>
    </w:p>
    <w:p w14:paraId="6040F932" w14:textId="77777777" w:rsidR="00084F36" w:rsidRPr="00EB2BD8" w:rsidRDefault="00EB2BD8" w:rsidP="00BA43E6">
      <w:pPr>
        <w:pStyle w:val="Heading3"/>
        <w:ind w:left="0" w:firstLine="322"/>
      </w:pPr>
      <w:bookmarkStart w:id="477" w:name="_Toc150762779"/>
      <w:r w:rsidRPr="00EB2BD8">
        <w:rPr>
          <w:w w:val="105"/>
        </w:rPr>
        <w:t>Research</w:t>
      </w:r>
      <w:bookmarkEnd w:id="477"/>
    </w:p>
    <w:p w14:paraId="37A4CD9A" w14:textId="77777777" w:rsidR="00084F36" w:rsidRPr="00EB2BD8" w:rsidRDefault="00EB2BD8">
      <w:pPr>
        <w:pStyle w:val="BodyText"/>
        <w:spacing w:before="176" w:line="261" w:lineRule="auto"/>
        <w:ind w:left="322" w:right="763"/>
      </w:pPr>
      <w:r w:rsidRPr="00EB2BD8">
        <w:t>With</w:t>
      </w:r>
      <w:r w:rsidRPr="00EB2BD8">
        <w:rPr>
          <w:spacing w:val="-5"/>
        </w:rPr>
        <w:t xml:space="preserve"> </w:t>
      </w:r>
      <w:r w:rsidRPr="00EB2BD8">
        <w:t>a</w:t>
      </w:r>
      <w:r w:rsidRPr="00EB2BD8">
        <w:rPr>
          <w:spacing w:val="-5"/>
        </w:rPr>
        <w:t xml:space="preserve"> </w:t>
      </w:r>
      <w:r w:rsidRPr="00EB2BD8">
        <w:t>statutory</w:t>
      </w:r>
      <w:r w:rsidRPr="00EB2BD8">
        <w:rPr>
          <w:spacing w:val="-5"/>
        </w:rPr>
        <w:t xml:space="preserve"> </w:t>
      </w:r>
      <w:r w:rsidRPr="00EB2BD8">
        <w:t>function</w:t>
      </w:r>
      <w:r w:rsidRPr="00EB2BD8">
        <w:rPr>
          <w:spacing w:val="-5"/>
        </w:rPr>
        <w:t xml:space="preserve"> </w:t>
      </w:r>
      <w:r w:rsidRPr="00EB2BD8">
        <w:t>to</w:t>
      </w:r>
      <w:r w:rsidRPr="00EB2BD8">
        <w:rPr>
          <w:spacing w:val="-5"/>
        </w:rPr>
        <w:t xml:space="preserve"> </w:t>
      </w:r>
      <w:r w:rsidRPr="00EB2BD8">
        <w:t>conduct or promote research relevant to</w:t>
      </w:r>
    </w:p>
    <w:p w14:paraId="48707000" w14:textId="77777777" w:rsidR="00084F36" w:rsidRPr="00EB2BD8" w:rsidRDefault="00EB2BD8">
      <w:pPr>
        <w:pStyle w:val="BodyText"/>
        <w:spacing w:line="261" w:lineRule="auto"/>
        <w:ind w:left="322" w:right="765"/>
      </w:pPr>
      <w:r w:rsidRPr="00EB2BD8">
        <w:t>the regulation of the building and plumbing industries, the VBA’s research program helps us better understand major regulatory issues and consumer needs, and how regulatory interventions can be shaped</w:t>
      </w:r>
      <w:r w:rsidRPr="00EB2BD8">
        <w:rPr>
          <w:spacing w:val="-2"/>
        </w:rPr>
        <w:t xml:space="preserve"> </w:t>
      </w:r>
      <w:r w:rsidRPr="00EB2BD8">
        <w:t>to</w:t>
      </w:r>
      <w:r w:rsidRPr="00EB2BD8">
        <w:rPr>
          <w:spacing w:val="-2"/>
        </w:rPr>
        <w:t xml:space="preserve"> </w:t>
      </w:r>
      <w:r w:rsidRPr="00EB2BD8">
        <w:t>improve</w:t>
      </w:r>
      <w:r w:rsidRPr="00EB2BD8">
        <w:rPr>
          <w:spacing w:val="-2"/>
        </w:rPr>
        <w:t xml:space="preserve"> </w:t>
      </w:r>
      <w:r w:rsidRPr="00EB2BD8">
        <w:t>public</w:t>
      </w:r>
      <w:r w:rsidRPr="00EB2BD8">
        <w:rPr>
          <w:spacing w:val="-2"/>
        </w:rPr>
        <w:t xml:space="preserve"> </w:t>
      </w:r>
      <w:r w:rsidRPr="00EB2BD8">
        <w:t>safety</w:t>
      </w:r>
      <w:r w:rsidRPr="00EB2BD8">
        <w:rPr>
          <w:spacing w:val="-2"/>
        </w:rPr>
        <w:t xml:space="preserve"> </w:t>
      </w:r>
      <w:r w:rsidRPr="00EB2BD8">
        <w:t>and amenity in the industry</w:t>
      </w:r>
    </w:p>
    <w:p w14:paraId="1C858EC9" w14:textId="77777777" w:rsidR="00084F36" w:rsidRPr="00EB2BD8" w:rsidRDefault="00084F36">
      <w:pPr>
        <w:spacing w:line="261" w:lineRule="auto"/>
        <w:sectPr w:rsidR="00084F36" w:rsidRPr="00EB2BD8" w:rsidSect="006D75B2">
          <w:type w:val="continuous"/>
          <w:pgSz w:w="11910" w:h="16840"/>
          <w:pgMar w:top="1920" w:right="0" w:bottom="280" w:left="0" w:header="0" w:footer="528" w:gutter="0"/>
          <w:cols w:num="3" w:space="720" w:equalWidth="0">
            <w:col w:w="4064" w:space="40"/>
            <w:col w:w="3390" w:space="39"/>
            <w:col w:w="4377"/>
          </w:cols>
        </w:sectPr>
      </w:pPr>
    </w:p>
    <w:p w14:paraId="4AC3863E" w14:textId="77777777" w:rsidR="00084F36" w:rsidRPr="00EB2BD8" w:rsidRDefault="00084F36">
      <w:pPr>
        <w:pStyle w:val="BodyText"/>
        <w:rPr>
          <w:sz w:val="20"/>
        </w:rPr>
      </w:pPr>
    </w:p>
    <w:p w14:paraId="4A01CE77" w14:textId="77777777" w:rsidR="00084F36" w:rsidRPr="00EB2BD8" w:rsidRDefault="00084F36">
      <w:pPr>
        <w:pStyle w:val="BodyText"/>
        <w:rPr>
          <w:sz w:val="20"/>
        </w:rPr>
      </w:pPr>
    </w:p>
    <w:p w14:paraId="425A922F" w14:textId="77777777" w:rsidR="00084F36" w:rsidRPr="00EB2BD8" w:rsidRDefault="00084F36">
      <w:pPr>
        <w:pStyle w:val="BodyText"/>
        <w:rPr>
          <w:sz w:val="20"/>
        </w:rPr>
      </w:pPr>
    </w:p>
    <w:p w14:paraId="27A6DE95" w14:textId="77777777" w:rsidR="00084F36" w:rsidRPr="00EB2BD8" w:rsidRDefault="00084F36">
      <w:pPr>
        <w:pStyle w:val="BodyText"/>
        <w:rPr>
          <w:sz w:val="20"/>
        </w:rPr>
      </w:pPr>
    </w:p>
    <w:p w14:paraId="47B5B4DF" w14:textId="77777777" w:rsidR="00084F36" w:rsidRPr="00EB2BD8" w:rsidRDefault="00084F36">
      <w:pPr>
        <w:pStyle w:val="BodyText"/>
        <w:spacing w:before="7"/>
        <w:rPr>
          <w:sz w:val="17"/>
        </w:rPr>
      </w:pPr>
    </w:p>
    <w:p w14:paraId="20E8B870" w14:textId="77777777" w:rsidR="00084F36" w:rsidRPr="00EB2BD8" w:rsidRDefault="00084F36">
      <w:pPr>
        <w:rPr>
          <w:sz w:val="17"/>
        </w:rPr>
        <w:sectPr w:rsidR="00084F36" w:rsidRPr="00EB2BD8" w:rsidSect="006D75B2">
          <w:footerReference w:type="default" r:id="rId436"/>
          <w:pgSz w:w="11910" w:h="16840"/>
          <w:pgMar w:top="1080" w:right="0" w:bottom="720" w:left="0" w:header="0" w:footer="528" w:gutter="0"/>
          <w:cols w:space="720"/>
        </w:sectPr>
      </w:pPr>
    </w:p>
    <w:p w14:paraId="1AF869F8" w14:textId="77777777" w:rsidR="00084F36" w:rsidRPr="00EB2BD8" w:rsidRDefault="00EB2BD8" w:rsidP="00BA43E6">
      <w:pPr>
        <w:pStyle w:val="Heading3"/>
      </w:pPr>
      <w:bookmarkStart w:id="478" w:name="_Toc150762780"/>
      <w:r w:rsidRPr="00EB2BD8">
        <w:t>Relevant</w:t>
      </w:r>
      <w:r w:rsidRPr="00EB2BD8">
        <w:rPr>
          <w:spacing w:val="-3"/>
        </w:rPr>
        <w:t xml:space="preserve"> </w:t>
      </w:r>
      <w:r w:rsidRPr="00EB2BD8">
        <w:t>building</w:t>
      </w:r>
      <w:r w:rsidRPr="00EB2BD8">
        <w:rPr>
          <w:spacing w:val="-3"/>
        </w:rPr>
        <w:t xml:space="preserve"> </w:t>
      </w:r>
      <w:r w:rsidRPr="00EB2BD8">
        <w:rPr>
          <w:spacing w:val="-2"/>
        </w:rPr>
        <w:t>surveyor</w:t>
      </w:r>
      <w:bookmarkEnd w:id="478"/>
    </w:p>
    <w:p w14:paraId="47061B4C" w14:textId="77777777" w:rsidR="00084F36" w:rsidRPr="00EB2BD8" w:rsidRDefault="00EB2BD8">
      <w:pPr>
        <w:pStyle w:val="BodyText"/>
        <w:spacing w:before="175" w:line="261" w:lineRule="auto"/>
        <w:ind w:left="850" w:right="317"/>
      </w:pPr>
      <w:r w:rsidRPr="00EB2BD8">
        <w:t>In relation to an application to, or permit, approval, inspection, direction,</w:t>
      </w:r>
      <w:r w:rsidRPr="00EB2BD8">
        <w:rPr>
          <w:spacing w:val="-6"/>
        </w:rPr>
        <w:t xml:space="preserve"> </w:t>
      </w:r>
      <w:r w:rsidRPr="00EB2BD8">
        <w:t>notice</w:t>
      </w:r>
      <w:r w:rsidRPr="00EB2BD8">
        <w:rPr>
          <w:spacing w:val="-6"/>
        </w:rPr>
        <w:t xml:space="preserve"> </w:t>
      </w:r>
      <w:r w:rsidRPr="00EB2BD8">
        <w:t>or</w:t>
      </w:r>
      <w:r w:rsidRPr="00EB2BD8">
        <w:rPr>
          <w:spacing w:val="-6"/>
        </w:rPr>
        <w:t xml:space="preserve"> </w:t>
      </w:r>
      <w:r w:rsidRPr="00EB2BD8">
        <w:t>order</w:t>
      </w:r>
      <w:r w:rsidRPr="00EB2BD8">
        <w:rPr>
          <w:spacing w:val="-6"/>
        </w:rPr>
        <w:t xml:space="preserve"> </w:t>
      </w:r>
      <w:r w:rsidRPr="00EB2BD8">
        <w:t>issued or</w:t>
      </w:r>
      <w:r w:rsidRPr="00EB2BD8">
        <w:rPr>
          <w:spacing w:val="-15"/>
        </w:rPr>
        <w:t xml:space="preserve"> </w:t>
      </w:r>
      <w:r w:rsidRPr="00EB2BD8">
        <w:t>given</w:t>
      </w:r>
      <w:r w:rsidRPr="00EB2BD8">
        <w:rPr>
          <w:spacing w:val="-14"/>
        </w:rPr>
        <w:t xml:space="preserve"> </w:t>
      </w:r>
      <w:r w:rsidRPr="00EB2BD8">
        <w:t>by,</w:t>
      </w:r>
      <w:r w:rsidRPr="00EB2BD8">
        <w:rPr>
          <w:spacing w:val="-14"/>
        </w:rPr>
        <w:t xml:space="preserve"> </w:t>
      </w:r>
      <w:r w:rsidRPr="00EB2BD8">
        <w:t>a</w:t>
      </w:r>
      <w:r w:rsidRPr="00EB2BD8">
        <w:rPr>
          <w:spacing w:val="-14"/>
        </w:rPr>
        <w:t xml:space="preserve"> </w:t>
      </w:r>
      <w:r w:rsidRPr="00EB2BD8">
        <w:t>municipal</w:t>
      </w:r>
      <w:r w:rsidRPr="00EB2BD8">
        <w:rPr>
          <w:spacing w:val="-15"/>
        </w:rPr>
        <w:t xml:space="preserve"> </w:t>
      </w:r>
      <w:r w:rsidRPr="00EB2BD8">
        <w:t>building surveyor, means the municipal building</w:t>
      </w:r>
      <w:r w:rsidRPr="00EB2BD8">
        <w:rPr>
          <w:spacing w:val="-6"/>
        </w:rPr>
        <w:t xml:space="preserve"> </w:t>
      </w:r>
      <w:r w:rsidRPr="00EB2BD8">
        <w:t>surveyor:</w:t>
      </w:r>
    </w:p>
    <w:p w14:paraId="50520208" w14:textId="77777777" w:rsidR="00084F36" w:rsidRPr="00EB2BD8" w:rsidRDefault="00EB2BD8">
      <w:pPr>
        <w:pStyle w:val="ListParagraph"/>
        <w:numPr>
          <w:ilvl w:val="0"/>
          <w:numId w:val="1"/>
        </w:numPr>
        <w:tabs>
          <w:tab w:val="left" w:pos="1133"/>
        </w:tabs>
        <w:spacing w:before="164" w:line="261" w:lineRule="auto"/>
        <w:ind w:right="136"/>
        <w:rPr>
          <w:sz w:val="18"/>
        </w:rPr>
      </w:pPr>
      <w:r w:rsidRPr="00EB2BD8">
        <w:rPr>
          <w:sz w:val="18"/>
        </w:rPr>
        <w:t>in relation to an application to, or</w:t>
      </w:r>
      <w:r w:rsidRPr="00EB2BD8">
        <w:rPr>
          <w:spacing w:val="-12"/>
          <w:sz w:val="18"/>
        </w:rPr>
        <w:t xml:space="preserve"> </w:t>
      </w:r>
      <w:r w:rsidRPr="00EB2BD8">
        <w:rPr>
          <w:sz w:val="18"/>
        </w:rPr>
        <w:t>permit,</w:t>
      </w:r>
      <w:r w:rsidRPr="00EB2BD8">
        <w:rPr>
          <w:spacing w:val="-12"/>
          <w:sz w:val="18"/>
        </w:rPr>
        <w:t xml:space="preserve"> </w:t>
      </w:r>
      <w:r w:rsidRPr="00EB2BD8">
        <w:rPr>
          <w:sz w:val="18"/>
        </w:rPr>
        <w:t>approval,</w:t>
      </w:r>
      <w:r w:rsidRPr="00EB2BD8">
        <w:rPr>
          <w:spacing w:val="-12"/>
          <w:sz w:val="18"/>
        </w:rPr>
        <w:t xml:space="preserve"> </w:t>
      </w:r>
      <w:r w:rsidRPr="00EB2BD8">
        <w:rPr>
          <w:sz w:val="18"/>
        </w:rPr>
        <w:t>inspection, direction,</w:t>
      </w:r>
      <w:r w:rsidRPr="00EB2BD8">
        <w:rPr>
          <w:spacing w:val="-15"/>
          <w:sz w:val="18"/>
        </w:rPr>
        <w:t xml:space="preserve"> </w:t>
      </w:r>
      <w:r w:rsidRPr="00EB2BD8">
        <w:rPr>
          <w:sz w:val="18"/>
        </w:rPr>
        <w:t>notice</w:t>
      </w:r>
      <w:r w:rsidRPr="00EB2BD8">
        <w:rPr>
          <w:spacing w:val="-14"/>
          <w:sz w:val="18"/>
        </w:rPr>
        <w:t xml:space="preserve"> </w:t>
      </w:r>
      <w:r w:rsidRPr="00EB2BD8">
        <w:rPr>
          <w:sz w:val="18"/>
        </w:rPr>
        <w:t>or</w:t>
      </w:r>
      <w:r w:rsidRPr="00EB2BD8">
        <w:rPr>
          <w:spacing w:val="-14"/>
          <w:sz w:val="18"/>
        </w:rPr>
        <w:t xml:space="preserve"> </w:t>
      </w:r>
      <w:r w:rsidRPr="00EB2BD8">
        <w:rPr>
          <w:sz w:val="18"/>
        </w:rPr>
        <w:t>order</w:t>
      </w:r>
      <w:r w:rsidRPr="00EB2BD8">
        <w:rPr>
          <w:spacing w:val="-14"/>
          <w:sz w:val="18"/>
        </w:rPr>
        <w:t xml:space="preserve"> </w:t>
      </w:r>
      <w:r w:rsidRPr="00EB2BD8">
        <w:rPr>
          <w:sz w:val="18"/>
        </w:rPr>
        <w:t>issued or given by, a private building surveyor, means the private building</w:t>
      </w:r>
      <w:r w:rsidRPr="00EB2BD8">
        <w:rPr>
          <w:spacing w:val="-6"/>
          <w:sz w:val="18"/>
        </w:rPr>
        <w:t xml:space="preserve"> </w:t>
      </w:r>
      <w:r w:rsidRPr="00EB2BD8">
        <w:rPr>
          <w:sz w:val="18"/>
        </w:rPr>
        <w:t>surveyor</w:t>
      </w:r>
    </w:p>
    <w:p w14:paraId="7524DB6C" w14:textId="77777777" w:rsidR="00084F36" w:rsidRPr="00EB2BD8" w:rsidRDefault="00EB2BD8">
      <w:pPr>
        <w:pStyle w:val="ListParagraph"/>
        <w:numPr>
          <w:ilvl w:val="0"/>
          <w:numId w:val="1"/>
        </w:numPr>
        <w:tabs>
          <w:tab w:val="left" w:pos="1133"/>
        </w:tabs>
        <w:spacing w:before="51" w:line="261" w:lineRule="auto"/>
        <w:ind w:right="81"/>
        <w:rPr>
          <w:sz w:val="18"/>
        </w:rPr>
      </w:pPr>
      <w:r w:rsidRPr="00EB2BD8">
        <w:rPr>
          <w:sz w:val="18"/>
        </w:rPr>
        <w:t>in</w:t>
      </w:r>
      <w:r w:rsidRPr="00EB2BD8">
        <w:rPr>
          <w:spacing w:val="-10"/>
          <w:sz w:val="18"/>
        </w:rPr>
        <w:t xml:space="preserve"> </w:t>
      </w:r>
      <w:r w:rsidRPr="00EB2BD8">
        <w:rPr>
          <w:sz w:val="18"/>
        </w:rPr>
        <w:t>relation</w:t>
      </w:r>
      <w:r w:rsidRPr="00EB2BD8">
        <w:rPr>
          <w:spacing w:val="-10"/>
          <w:sz w:val="18"/>
        </w:rPr>
        <w:t xml:space="preserve"> </w:t>
      </w:r>
      <w:r w:rsidRPr="00EB2BD8">
        <w:rPr>
          <w:sz w:val="18"/>
        </w:rPr>
        <w:t>to</w:t>
      </w:r>
      <w:r w:rsidRPr="00EB2BD8">
        <w:rPr>
          <w:spacing w:val="-10"/>
          <w:sz w:val="18"/>
        </w:rPr>
        <w:t xml:space="preserve"> </w:t>
      </w:r>
      <w:r w:rsidRPr="00EB2BD8">
        <w:rPr>
          <w:sz w:val="18"/>
        </w:rPr>
        <w:t>the</w:t>
      </w:r>
      <w:r w:rsidRPr="00EB2BD8">
        <w:rPr>
          <w:spacing w:val="-10"/>
          <w:sz w:val="18"/>
        </w:rPr>
        <w:t xml:space="preserve"> </w:t>
      </w:r>
      <w:r w:rsidRPr="00EB2BD8">
        <w:rPr>
          <w:sz w:val="18"/>
        </w:rPr>
        <w:t>carrying</w:t>
      </w:r>
      <w:r w:rsidRPr="00EB2BD8">
        <w:rPr>
          <w:spacing w:val="-10"/>
          <w:sz w:val="18"/>
        </w:rPr>
        <w:t xml:space="preserve"> </w:t>
      </w:r>
      <w:r w:rsidRPr="00EB2BD8">
        <w:rPr>
          <w:sz w:val="18"/>
        </w:rPr>
        <w:t>out</w:t>
      </w:r>
      <w:r w:rsidRPr="00EB2BD8">
        <w:rPr>
          <w:spacing w:val="-10"/>
          <w:sz w:val="18"/>
        </w:rPr>
        <w:t xml:space="preserve"> </w:t>
      </w:r>
      <w:r w:rsidRPr="00EB2BD8">
        <w:rPr>
          <w:sz w:val="18"/>
        </w:rPr>
        <w:t>by the</w:t>
      </w:r>
      <w:r w:rsidRPr="00EB2BD8">
        <w:rPr>
          <w:spacing w:val="-9"/>
          <w:sz w:val="18"/>
        </w:rPr>
        <w:t xml:space="preserve"> </w:t>
      </w:r>
      <w:r w:rsidRPr="00EB2BD8">
        <w:rPr>
          <w:sz w:val="18"/>
        </w:rPr>
        <w:t>Authority</w:t>
      </w:r>
      <w:r w:rsidRPr="00EB2BD8">
        <w:rPr>
          <w:spacing w:val="-9"/>
          <w:sz w:val="18"/>
        </w:rPr>
        <w:t xml:space="preserve"> </w:t>
      </w:r>
      <w:r w:rsidRPr="00EB2BD8">
        <w:rPr>
          <w:sz w:val="18"/>
        </w:rPr>
        <w:t>of</w:t>
      </w:r>
      <w:r w:rsidRPr="00EB2BD8">
        <w:rPr>
          <w:spacing w:val="-9"/>
          <w:sz w:val="18"/>
        </w:rPr>
        <w:t xml:space="preserve"> </w:t>
      </w:r>
      <w:r w:rsidRPr="00EB2BD8">
        <w:rPr>
          <w:sz w:val="18"/>
        </w:rPr>
        <w:t>the</w:t>
      </w:r>
      <w:r w:rsidRPr="00EB2BD8">
        <w:rPr>
          <w:spacing w:val="-9"/>
          <w:sz w:val="18"/>
        </w:rPr>
        <w:t xml:space="preserve"> </w:t>
      </w:r>
      <w:r w:rsidRPr="00EB2BD8">
        <w:rPr>
          <w:sz w:val="18"/>
        </w:rPr>
        <w:t>functions</w:t>
      </w:r>
      <w:r w:rsidRPr="00EB2BD8">
        <w:rPr>
          <w:spacing w:val="-9"/>
          <w:sz w:val="18"/>
        </w:rPr>
        <w:t xml:space="preserve"> </w:t>
      </w:r>
      <w:r w:rsidRPr="00EB2BD8">
        <w:rPr>
          <w:sz w:val="18"/>
        </w:rPr>
        <w:t>of a</w:t>
      </w:r>
      <w:r w:rsidRPr="00EB2BD8">
        <w:rPr>
          <w:spacing w:val="-13"/>
          <w:sz w:val="18"/>
        </w:rPr>
        <w:t xml:space="preserve"> </w:t>
      </w:r>
      <w:r w:rsidRPr="00EB2BD8">
        <w:rPr>
          <w:sz w:val="18"/>
        </w:rPr>
        <w:t>municipal</w:t>
      </w:r>
      <w:r w:rsidRPr="00EB2BD8">
        <w:rPr>
          <w:spacing w:val="-13"/>
          <w:sz w:val="18"/>
        </w:rPr>
        <w:t xml:space="preserve"> </w:t>
      </w:r>
      <w:r w:rsidRPr="00EB2BD8">
        <w:rPr>
          <w:sz w:val="18"/>
        </w:rPr>
        <w:t>building</w:t>
      </w:r>
      <w:r w:rsidRPr="00EB2BD8">
        <w:rPr>
          <w:spacing w:val="-13"/>
          <w:sz w:val="18"/>
        </w:rPr>
        <w:t xml:space="preserve"> </w:t>
      </w:r>
      <w:r w:rsidRPr="00EB2BD8">
        <w:rPr>
          <w:sz w:val="18"/>
        </w:rPr>
        <w:t>surveyor</w:t>
      </w:r>
      <w:r w:rsidRPr="00EB2BD8">
        <w:rPr>
          <w:spacing w:val="-13"/>
          <w:sz w:val="18"/>
        </w:rPr>
        <w:t xml:space="preserve"> </w:t>
      </w:r>
      <w:r w:rsidRPr="00EB2BD8">
        <w:rPr>
          <w:sz w:val="18"/>
        </w:rPr>
        <w:t>or a function specified in section 205P, means the Authority</w:t>
      </w:r>
    </w:p>
    <w:p w14:paraId="2202BB5E" w14:textId="77777777" w:rsidR="00084F36" w:rsidRPr="00EB2BD8" w:rsidRDefault="00EB2BD8">
      <w:pPr>
        <w:pStyle w:val="ListParagraph"/>
        <w:numPr>
          <w:ilvl w:val="0"/>
          <w:numId w:val="1"/>
        </w:numPr>
        <w:tabs>
          <w:tab w:val="left" w:pos="1133"/>
        </w:tabs>
        <w:spacing w:before="51" w:line="261" w:lineRule="auto"/>
        <w:rPr>
          <w:sz w:val="18"/>
        </w:rPr>
      </w:pPr>
      <w:r w:rsidRPr="00EB2BD8">
        <w:rPr>
          <w:sz w:val="18"/>
        </w:rPr>
        <w:t xml:space="preserve">in relation to the carrying out by a building surveyor authorised </w:t>
      </w:r>
      <w:r w:rsidRPr="00EB2BD8">
        <w:rPr>
          <w:w w:val="90"/>
          <w:sz w:val="18"/>
        </w:rPr>
        <w:t>under</w:t>
      </w:r>
      <w:r w:rsidRPr="00EB2BD8">
        <w:rPr>
          <w:spacing w:val="-9"/>
          <w:w w:val="90"/>
          <w:sz w:val="18"/>
        </w:rPr>
        <w:t xml:space="preserve"> </w:t>
      </w:r>
      <w:r w:rsidRPr="00EB2BD8">
        <w:rPr>
          <w:w w:val="90"/>
          <w:sz w:val="18"/>
        </w:rPr>
        <w:t>section</w:t>
      </w:r>
      <w:r w:rsidRPr="00EB2BD8">
        <w:rPr>
          <w:spacing w:val="-9"/>
          <w:w w:val="90"/>
          <w:sz w:val="18"/>
        </w:rPr>
        <w:t xml:space="preserve"> </w:t>
      </w:r>
      <w:r w:rsidRPr="00EB2BD8">
        <w:rPr>
          <w:w w:val="90"/>
          <w:sz w:val="18"/>
        </w:rPr>
        <w:t>191,</w:t>
      </w:r>
      <w:r w:rsidRPr="00EB2BD8">
        <w:rPr>
          <w:spacing w:val="-8"/>
          <w:w w:val="90"/>
          <w:sz w:val="18"/>
        </w:rPr>
        <w:t xml:space="preserve"> </w:t>
      </w:r>
      <w:r w:rsidRPr="00EB2BD8">
        <w:rPr>
          <w:w w:val="90"/>
          <w:sz w:val="18"/>
        </w:rPr>
        <w:t>192</w:t>
      </w:r>
      <w:r w:rsidRPr="00EB2BD8">
        <w:rPr>
          <w:spacing w:val="-9"/>
          <w:w w:val="90"/>
          <w:sz w:val="18"/>
        </w:rPr>
        <w:t xml:space="preserve"> </w:t>
      </w:r>
      <w:r w:rsidRPr="00EB2BD8">
        <w:rPr>
          <w:w w:val="90"/>
          <w:sz w:val="18"/>
        </w:rPr>
        <w:t>or</w:t>
      </w:r>
      <w:r w:rsidRPr="00EB2BD8">
        <w:rPr>
          <w:spacing w:val="-8"/>
          <w:w w:val="90"/>
          <w:sz w:val="18"/>
        </w:rPr>
        <w:t xml:space="preserve"> </w:t>
      </w:r>
      <w:r w:rsidRPr="00EB2BD8">
        <w:rPr>
          <w:w w:val="90"/>
          <w:sz w:val="18"/>
        </w:rPr>
        <w:t>221</w:t>
      </w:r>
      <w:r w:rsidRPr="00EB2BD8">
        <w:rPr>
          <w:spacing w:val="-9"/>
          <w:w w:val="90"/>
          <w:sz w:val="18"/>
        </w:rPr>
        <w:t xml:space="preserve"> </w:t>
      </w:r>
      <w:r w:rsidRPr="00EB2BD8">
        <w:rPr>
          <w:w w:val="90"/>
          <w:sz w:val="18"/>
        </w:rPr>
        <w:t>of</w:t>
      </w:r>
      <w:r w:rsidRPr="00EB2BD8">
        <w:rPr>
          <w:spacing w:val="-8"/>
          <w:w w:val="90"/>
          <w:sz w:val="18"/>
        </w:rPr>
        <w:t xml:space="preserve"> </w:t>
      </w:r>
      <w:r w:rsidRPr="00EB2BD8">
        <w:rPr>
          <w:w w:val="90"/>
          <w:sz w:val="18"/>
        </w:rPr>
        <w:t xml:space="preserve">the </w:t>
      </w:r>
      <w:r w:rsidRPr="00EB2BD8">
        <w:rPr>
          <w:sz w:val="18"/>
        </w:rPr>
        <w:t>functions</w:t>
      </w:r>
      <w:r w:rsidRPr="00EB2BD8">
        <w:rPr>
          <w:spacing w:val="-8"/>
          <w:sz w:val="18"/>
        </w:rPr>
        <w:t xml:space="preserve"> </w:t>
      </w:r>
      <w:r w:rsidRPr="00EB2BD8">
        <w:rPr>
          <w:sz w:val="18"/>
        </w:rPr>
        <w:t>of</w:t>
      </w:r>
      <w:r w:rsidRPr="00EB2BD8">
        <w:rPr>
          <w:spacing w:val="-8"/>
          <w:sz w:val="18"/>
        </w:rPr>
        <w:t xml:space="preserve"> </w:t>
      </w:r>
      <w:r w:rsidRPr="00EB2BD8">
        <w:rPr>
          <w:sz w:val="18"/>
        </w:rPr>
        <w:t>a</w:t>
      </w:r>
      <w:r w:rsidRPr="00EB2BD8">
        <w:rPr>
          <w:spacing w:val="-8"/>
          <w:sz w:val="18"/>
        </w:rPr>
        <w:t xml:space="preserve"> </w:t>
      </w:r>
      <w:r w:rsidRPr="00EB2BD8">
        <w:rPr>
          <w:sz w:val="18"/>
        </w:rPr>
        <w:t>municipal</w:t>
      </w:r>
      <w:r w:rsidRPr="00EB2BD8">
        <w:rPr>
          <w:spacing w:val="-8"/>
          <w:sz w:val="18"/>
        </w:rPr>
        <w:t xml:space="preserve"> </w:t>
      </w:r>
      <w:r w:rsidRPr="00EB2BD8">
        <w:rPr>
          <w:sz w:val="18"/>
        </w:rPr>
        <w:t>building surveyor, means the authorised building</w:t>
      </w:r>
      <w:r w:rsidRPr="00EB2BD8">
        <w:rPr>
          <w:spacing w:val="-6"/>
          <w:sz w:val="18"/>
        </w:rPr>
        <w:t xml:space="preserve"> </w:t>
      </w:r>
      <w:r w:rsidRPr="00EB2BD8">
        <w:rPr>
          <w:sz w:val="18"/>
        </w:rPr>
        <w:t>surveyor.</w:t>
      </w:r>
    </w:p>
    <w:p w14:paraId="5DDAC5CF" w14:textId="77777777" w:rsidR="00084F36" w:rsidRPr="00EB2BD8" w:rsidRDefault="00084F36">
      <w:pPr>
        <w:pStyle w:val="BodyText"/>
      </w:pPr>
    </w:p>
    <w:p w14:paraId="2CE38D09" w14:textId="77777777" w:rsidR="00084F36" w:rsidRPr="00EB2BD8" w:rsidRDefault="00EB2BD8" w:rsidP="00BA43E6">
      <w:pPr>
        <w:pStyle w:val="Heading3"/>
      </w:pPr>
      <w:bookmarkStart w:id="479" w:name="_Toc150762781"/>
      <w:r w:rsidRPr="00EB2BD8">
        <w:t>Show</w:t>
      </w:r>
      <w:r w:rsidRPr="00EB2BD8">
        <w:rPr>
          <w:spacing w:val="-1"/>
        </w:rPr>
        <w:t xml:space="preserve"> </w:t>
      </w:r>
      <w:r w:rsidRPr="00EB2BD8">
        <w:rPr>
          <w:spacing w:val="-2"/>
        </w:rPr>
        <w:t>cause</w:t>
      </w:r>
      <w:bookmarkEnd w:id="479"/>
    </w:p>
    <w:p w14:paraId="30A66F42" w14:textId="77777777" w:rsidR="00084F36" w:rsidRPr="00EB2BD8" w:rsidRDefault="00EB2BD8">
      <w:pPr>
        <w:pStyle w:val="BodyText"/>
        <w:spacing w:before="175" w:line="261" w:lineRule="auto"/>
        <w:ind w:left="850" w:right="43"/>
      </w:pPr>
      <w:r w:rsidRPr="00EB2BD8">
        <w:t>The</w:t>
      </w:r>
      <w:r w:rsidRPr="00EB2BD8">
        <w:rPr>
          <w:spacing w:val="-3"/>
        </w:rPr>
        <w:t xml:space="preserve"> </w:t>
      </w:r>
      <w:r w:rsidRPr="00EB2BD8">
        <w:t>process</w:t>
      </w:r>
      <w:r w:rsidRPr="00EB2BD8">
        <w:rPr>
          <w:spacing w:val="-3"/>
        </w:rPr>
        <w:t xml:space="preserve"> </w:t>
      </w:r>
      <w:r w:rsidRPr="00EB2BD8">
        <w:t>through</w:t>
      </w:r>
      <w:r w:rsidRPr="00EB2BD8">
        <w:rPr>
          <w:spacing w:val="-3"/>
        </w:rPr>
        <w:t xml:space="preserve"> </w:t>
      </w:r>
      <w:r w:rsidRPr="00EB2BD8">
        <w:t>which</w:t>
      </w:r>
      <w:r w:rsidRPr="00EB2BD8">
        <w:rPr>
          <w:spacing w:val="-3"/>
        </w:rPr>
        <w:t xml:space="preserve"> </w:t>
      </w:r>
      <w:r w:rsidRPr="00EB2BD8">
        <w:t>the</w:t>
      </w:r>
      <w:r w:rsidRPr="00EB2BD8">
        <w:rPr>
          <w:spacing w:val="-3"/>
        </w:rPr>
        <w:t xml:space="preserve"> </w:t>
      </w:r>
      <w:r w:rsidRPr="00EB2BD8">
        <w:t>VBA holds to account the performance of building practitioners, protects consumers from building malpractice and makes sure building practitioners comply with relevant</w:t>
      </w:r>
      <w:r w:rsidRPr="00EB2BD8">
        <w:rPr>
          <w:spacing w:val="-15"/>
        </w:rPr>
        <w:t xml:space="preserve"> </w:t>
      </w:r>
      <w:r w:rsidRPr="00EB2BD8">
        <w:t>legislation.</w:t>
      </w:r>
      <w:r w:rsidRPr="00EB2BD8">
        <w:rPr>
          <w:spacing w:val="-14"/>
        </w:rPr>
        <w:t xml:space="preserve"> </w:t>
      </w:r>
      <w:r w:rsidRPr="00EB2BD8">
        <w:t>The</w:t>
      </w:r>
      <w:r w:rsidRPr="00EB2BD8">
        <w:rPr>
          <w:spacing w:val="-14"/>
        </w:rPr>
        <w:t xml:space="preserve"> </w:t>
      </w:r>
      <w:r w:rsidRPr="00EB2BD8">
        <w:t>show</w:t>
      </w:r>
      <w:r w:rsidRPr="00EB2BD8">
        <w:rPr>
          <w:spacing w:val="-14"/>
        </w:rPr>
        <w:t xml:space="preserve"> </w:t>
      </w:r>
      <w:r w:rsidRPr="00EB2BD8">
        <w:t>cause process initiates disciplinary action against registered practitioners.</w:t>
      </w:r>
    </w:p>
    <w:p w14:paraId="7C06FA69" w14:textId="77777777" w:rsidR="00084F36" w:rsidRPr="00EB2BD8" w:rsidRDefault="00EB2BD8">
      <w:pPr>
        <w:pStyle w:val="BodyText"/>
        <w:spacing w:line="261" w:lineRule="auto"/>
        <w:ind w:left="850"/>
      </w:pPr>
      <w:r w:rsidRPr="00EB2BD8">
        <w:t>Breaches of legislation by people other</w:t>
      </w:r>
      <w:r w:rsidRPr="00EB2BD8">
        <w:rPr>
          <w:spacing w:val="-7"/>
        </w:rPr>
        <w:t xml:space="preserve"> </w:t>
      </w:r>
      <w:r w:rsidRPr="00EB2BD8">
        <w:t>than</w:t>
      </w:r>
      <w:r w:rsidRPr="00EB2BD8">
        <w:rPr>
          <w:spacing w:val="-7"/>
        </w:rPr>
        <w:t xml:space="preserve"> </w:t>
      </w:r>
      <w:r w:rsidRPr="00EB2BD8">
        <w:t>registered</w:t>
      </w:r>
      <w:r w:rsidRPr="00EB2BD8">
        <w:rPr>
          <w:spacing w:val="-7"/>
        </w:rPr>
        <w:t xml:space="preserve"> </w:t>
      </w:r>
      <w:r w:rsidRPr="00EB2BD8">
        <w:t xml:space="preserve">practitioners are dealt with by criminal </w:t>
      </w:r>
      <w:r w:rsidRPr="00EB2BD8">
        <w:rPr>
          <w:spacing w:val="-2"/>
        </w:rPr>
        <w:t>prosecution</w:t>
      </w:r>
    </w:p>
    <w:p w14:paraId="32C17A44" w14:textId="77777777" w:rsidR="00084F36" w:rsidRPr="00EB2BD8" w:rsidRDefault="00EB2BD8" w:rsidP="00BA43E6">
      <w:pPr>
        <w:pStyle w:val="Heading3"/>
        <w:ind w:left="273"/>
      </w:pPr>
      <w:r w:rsidRPr="00EB2BD8">
        <w:br w:type="column"/>
      </w:r>
      <w:bookmarkStart w:id="480" w:name="_Toc150762782"/>
      <w:r w:rsidRPr="00EB2BD8">
        <w:rPr>
          <w:w w:val="105"/>
        </w:rPr>
        <w:t>State</w:t>
      </w:r>
      <w:r w:rsidRPr="00EB2BD8">
        <w:rPr>
          <w:spacing w:val="-14"/>
          <w:w w:val="105"/>
        </w:rPr>
        <w:t xml:space="preserve"> </w:t>
      </w:r>
      <w:r w:rsidRPr="00EB2BD8">
        <w:rPr>
          <w:w w:val="105"/>
        </w:rPr>
        <w:t>Building</w:t>
      </w:r>
      <w:r w:rsidRPr="00EB2BD8">
        <w:rPr>
          <w:spacing w:val="-13"/>
          <w:w w:val="105"/>
        </w:rPr>
        <w:t xml:space="preserve"> </w:t>
      </w:r>
      <w:r w:rsidRPr="00EB2BD8">
        <w:rPr>
          <w:w w:val="105"/>
        </w:rPr>
        <w:t>Surveyor</w:t>
      </w:r>
      <w:bookmarkEnd w:id="480"/>
    </w:p>
    <w:p w14:paraId="437C60BD" w14:textId="77777777" w:rsidR="00084F36" w:rsidRPr="00EB2BD8" w:rsidRDefault="00EB2BD8">
      <w:pPr>
        <w:pStyle w:val="BodyText"/>
        <w:spacing w:before="175" w:line="261" w:lineRule="auto"/>
        <w:ind w:left="273" w:right="90"/>
      </w:pPr>
      <w:r w:rsidRPr="00EB2BD8">
        <w:t>An authoritative industry leader</w:t>
      </w:r>
      <w:r w:rsidRPr="00EB2BD8">
        <w:rPr>
          <w:spacing w:val="40"/>
        </w:rPr>
        <w:t xml:space="preserve"> </w:t>
      </w:r>
      <w:r w:rsidRPr="00EB2BD8">
        <w:t>for</w:t>
      </w:r>
      <w:r w:rsidRPr="00EB2BD8">
        <w:rPr>
          <w:spacing w:val="-15"/>
        </w:rPr>
        <w:t xml:space="preserve"> </w:t>
      </w:r>
      <w:r w:rsidRPr="00EB2BD8">
        <w:t>building</w:t>
      </w:r>
      <w:r w:rsidRPr="00EB2BD8">
        <w:rPr>
          <w:spacing w:val="-14"/>
        </w:rPr>
        <w:t xml:space="preserve"> </w:t>
      </w:r>
      <w:r w:rsidRPr="00EB2BD8">
        <w:t>surveyors</w:t>
      </w:r>
      <w:r w:rsidRPr="00EB2BD8">
        <w:rPr>
          <w:spacing w:val="-14"/>
        </w:rPr>
        <w:t xml:space="preserve"> </w:t>
      </w:r>
      <w:r w:rsidRPr="00EB2BD8">
        <w:t>and</w:t>
      </w:r>
      <w:r w:rsidRPr="00EB2BD8">
        <w:rPr>
          <w:spacing w:val="-14"/>
        </w:rPr>
        <w:t xml:space="preserve"> </w:t>
      </w:r>
      <w:r w:rsidRPr="00EB2BD8">
        <w:t>building practitioners across Victoria. The role supports the industry change required to ensure buildings are consistently</w:t>
      </w:r>
      <w:r w:rsidRPr="00EB2BD8">
        <w:rPr>
          <w:spacing w:val="-12"/>
        </w:rPr>
        <w:t xml:space="preserve"> </w:t>
      </w:r>
      <w:r w:rsidRPr="00EB2BD8">
        <w:t>well-built,</w:t>
      </w:r>
      <w:r w:rsidRPr="00EB2BD8">
        <w:rPr>
          <w:spacing w:val="-12"/>
        </w:rPr>
        <w:t xml:space="preserve"> </w:t>
      </w:r>
      <w:r w:rsidRPr="00EB2BD8">
        <w:t>safe</w:t>
      </w:r>
      <w:r w:rsidRPr="00EB2BD8">
        <w:rPr>
          <w:spacing w:val="-12"/>
        </w:rPr>
        <w:t xml:space="preserve"> </w:t>
      </w:r>
      <w:r w:rsidRPr="00EB2BD8">
        <w:t>and</w:t>
      </w:r>
      <w:r w:rsidRPr="00EB2BD8">
        <w:rPr>
          <w:spacing w:val="-12"/>
        </w:rPr>
        <w:t xml:space="preserve"> </w:t>
      </w:r>
      <w:r w:rsidRPr="00EB2BD8">
        <w:t xml:space="preserve">fit- </w:t>
      </w:r>
      <w:r w:rsidRPr="00EB2BD8">
        <w:rPr>
          <w:spacing w:val="-2"/>
        </w:rPr>
        <w:t>for-purpose</w:t>
      </w:r>
    </w:p>
    <w:p w14:paraId="15980AEE" w14:textId="77777777" w:rsidR="00084F36" w:rsidRPr="00EB2BD8" w:rsidRDefault="00084F36">
      <w:pPr>
        <w:pStyle w:val="BodyText"/>
        <w:spacing w:before="9"/>
        <w:rPr>
          <w:sz w:val="27"/>
        </w:rPr>
      </w:pPr>
    </w:p>
    <w:p w14:paraId="04E7FEE4" w14:textId="77777777" w:rsidR="00084F36" w:rsidRPr="00EB2BD8" w:rsidRDefault="00EB2BD8" w:rsidP="00BA43E6">
      <w:pPr>
        <w:pStyle w:val="Heading3"/>
        <w:ind w:left="273"/>
      </w:pPr>
      <w:bookmarkStart w:id="481" w:name="_Toc150762783"/>
      <w:r w:rsidRPr="00EB2BD8">
        <w:t xml:space="preserve">Statewide Cladding Audit </w:t>
      </w:r>
      <w:r w:rsidRPr="00EB2BD8">
        <w:rPr>
          <w:spacing w:val="-4"/>
          <w:w w:val="105"/>
        </w:rPr>
        <w:t>(SCA)</w:t>
      </w:r>
      <w:bookmarkEnd w:id="481"/>
    </w:p>
    <w:p w14:paraId="532A2DAB" w14:textId="77777777" w:rsidR="00084F36" w:rsidRPr="00EB2BD8" w:rsidRDefault="00EB2BD8">
      <w:pPr>
        <w:pStyle w:val="BodyText"/>
        <w:spacing w:before="176" w:line="261" w:lineRule="auto"/>
        <w:ind w:left="273"/>
      </w:pPr>
      <w:r w:rsidRPr="00EB2BD8">
        <w:t>A thorough Victoria-wide examination — established by the Victorian Government and carried out by the VBA — to identify and audit buildings with combustible cladding. The scale of the task means that this work in total is expected</w:t>
      </w:r>
      <w:r w:rsidRPr="00EB2BD8">
        <w:rPr>
          <w:spacing w:val="-5"/>
        </w:rPr>
        <w:t xml:space="preserve"> </w:t>
      </w:r>
      <w:r w:rsidRPr="00EB2BD8">
        <w:t>to</w:t>
      </w:r>
      <w:r w:rsidRPr="00EB2BD8">
        <w:rPr>
          <w:spacing w:val="-5"/>
        </w:rPr>
        <w:t xml:space="preserve"> </w:t>
      </w:r>
      <w:r w:rsidRPr="00EB2BD8">
        <w:t>take</w:t>
      </w:r>
      <w:r w:rsidRPr="00EB2BD8">
        <w:rPr>
          <w:spacing w:val="-5"/>
        </w:rPr>
        <w:t xml:space="preserve"> </w:t>
      </w:r>
      <w:r w:rsidRPr="00EB2BD8">
        <w:t>at</w:t>
      </w:r>
      <w:r w:rsidRPr="00EB2BD8">
        <w:rPr>
          <w:spacing w:val="-5"/>
        </w:rPr>
        <w:t xml:space="preserve"> </w:t>
      </w:r>
      <w:r w:rsidRPr="00EB2BD8">
        <w:t>least</w:t>
      </w:r>
      <w:r w:rsidRPr="00EB2BD8">
        <w:rPr>
          <w:spacing w:val="-5"/>
        </w:rPr>
        <w:t xml:space="preserve"> </w:t>
      </w:r>
      <w:r w:rsidRPr="00EB2BD8">
        <w:t>five</w:t>
      </w:r>
      <w:r w:rsidRPr="00EB2BD8">
        <w:rPr>
          <w:spacing w:val="-5"/>
        </w:rPr>
        <w:t xml:space="preserve"> </w:t>
      </w:r>
      <w:r w:rsidRPr="00EB2BD8">
        <w:t>years</w:t>
      </w:r>
    </w:p>
    <w:p w14:paraId="1426E5D8" w14:textId="77777777" w:rsidR="00084F36" w:rsidRPr="00EB2BD8" w:rsidRDefault="00084F36">
      <w:pPr>
        <w:pStyle w:val="BodyText"/>
        <w:spacing w:before="6"/>
        <w:rPr>
          <w:sz w:val="27"/>
        </w:rPr>
      </w:pPr>
    </w:p>
    <w:p w14:paraId="334C5873" w14:textId="77777777" w:rsidR="00084F36" w:rsidRPr="00EB2BD8" w:rsidRDefault="00EB2BD8" w:rsidP="00BA43E6">
      <w:pPr>
        <w:pStyle w:val="Heading3"/>
        <w:ind w:left="0" w:firstLine="273"/>
      </w:pPr>
      <w:bookmarkStart w:id="482" w:name="_Toc150762784"/>
      <w:r w:rsidRPr="00EB2BD8">
        <w:t>Temporary</w:t>
      </w:r>
      <w:r w:rsidRPr="00EB2BD8">
        <w:rPr>
          <w:spacing w:val="-2"/>
        </w:rPr>
        <w:t xml:space="preserve"> structure</w:t>
      </w:r>
      <w:bookmarkEnd w:id="482"/>
    </w:p>
    <w:p w14:paraId="12EA0A79" w14:textId="77777777" w:rsidR="00084F36" w:rsidRPr="00EB2BD8" w:rsidRDefault="00EB2BD8">
      <w:pPr>
        <w:pStyle w:val="BodyText"/>
        <w:spacing w:before="175" w:line="261" w:lineRule="auto"/>
        <w:ind w:left="273" w:right="192"/>
      </w:pPr>
      <w:r w:rsidRPr="00EB2BD8">
        <w:t>A</w:t>
      </w:r>
      <w:r w:rsidRPr="00EB2BD8">
        <w:rPr>
          <w:spacing w:val="-4"/>
        </w:rPr>
        <w:t xml:space="preserve"> </w:t>
      </w:r>
      <w:r w:rsidRPr="00EB2BD8">
        <w:t>booth,</w:t>
      </w:r>
      <w:r w:rsidRPr="00EB2BD8">
        <w:rPr>
          <w:spacing w:val="-4"/>
        </w:rPr>
        <w:t xml:space="preserve"> </w:t>
      </w:r>
      <w:r w:rsidRPr="00EB2BD8">
        <w:t>tent,</w:t>
      </w:r>
      <w:r w:rsidRPr="00EB2BD8">
        <w:rPr>
          <w:spacing w:val="-4"/>
        </w:rPr>
        <w:t xml:space="preserve"> </w:t>
      </w:r>
      <w:r w:rsidRPr="00EB2BD8">
        <w:t>marquee</w:t>
      </w:r>
      <w:r w:rsidRPr="00EB2BD8">
        <w:rPr>
          <w:spacing w:val="-4"/>
        </w:rPr>
        <w:t xml:space="preserve"> </w:t>
      </w:r>
      <w:r w:rsidRPr="00EB2BD8">
        <w:t>or</w:t>
      </w:r>
      <w:r w:rsidRPr="00EB2BD8">
        <w:rPr>
          <w:spacing w:val="-4"/>
        </w:rPr>
        <w:t xml:space="preserve"> </w:t>
      </w:r>
      <w:r w:rsidRPr="00EB2BD8">
        <w:t>other temporary</w:t>
      </w:r>
      <w:r w:rsidRPr="00EB2BD8">
        <w:rPr>
          <w:spacing w:val="-7"/>
        </w:rPr>
        <w:t xml:space="preserve"> </w:t>
      </w:r>
      <w:r w:rsidRPr="00EB2BD8">
        <w:t>enclosure</w:t>
      </w:r>
      <w:r w:rsidRPr="00EB2BD8">
        <w:rPr>
          <w:spacing w:val="-7"/>
        </w:rPr>
        <w:t xml:space="preserve"> </w:t>
      </w:r>
      <w:r w:rsidRPr="00EB2BD8">
        <w:t>—</w:t>
      </w:r>
      <w:r w:rsidRPr="00EB2BD8">
        <w:rPr>
          <w:spacing w:val="-7"/>
        </w:rPr>
        <w:t xml:space="preserve"> </w:t>
      </w:r>
      <w:r w:rsidRPr="00EB2BD8">
        <w:t>whether or not a part of the booth, tent,</w:t>
      </w:r>
    </w:p>
    <w:p w14:paraId="37A07D81" w14:textId="77777777" w:rsidR="00084F36" w:rsidRPr="00EB2BD8" w:rsidRDefault="00EB2BD8">
      <w:pPr>
        <w:pStyle w:val="BodyText"/>
        <w:spacing w:line="209" w:lineRule="exact"/>
        <w:ind w:left="273"/>
      </w:pPr>
      <w:r w:rsidRPr="00EB2BD8">
        <w:t>marquee</w:t>
      </w:r>
      <w:r w:rsidRPr="00EB2BD8">
        <w:rPr>
          <w:spacing w:val="-6"/>
        </w:rPr>
        <w:t xml:space="preserve"> </w:t>
      </w:r>
      <w:r w:rsidRPr="00EB2BD8">
        <w:t>or</w:t>
      </w:r>
      <w:r w:rsidRPr="00EB2BD8">
        <w:rPr>
          <w:spacing w:val="-5"/>
        </w:rPr>
        <w:t xml:space="preserve"> </w:t>
      </w:r>
      <w:r w:rsidRPr="00EB2BD8">
        <w:t>enclosure</w:t>
      </w:r>
      <w:r w:rsidRPr="00EB2BD8">
        <w:rPr>
          <w:spacing w:val="-5"/>
        </w:rPr>
        <w:t xml:space="preserve"> </w:t>
      </w:r>
      <w:r w:rsidRPr="00EB2BD8">
        <w:t>is</w:t>
      </w:r>
      <w:r w:rsidRPr="00EB2BD8">
        <w:rPr>
          <w:spacing w:val="-6"/>
        </w:rPr>
        <w:t xml:space="preserve"> </w:t>
      </w:r>
      <w:r w:rsidRPr="00EB2BD8">
        <w:rPr>
          <w:spacing w:val="-2"/>
        </w:rPr>
        <w:t>permanent</w:t>
      </w:r>
    </w:p>
    <w:p w14:paraId="22FB8486" w14:textId="77777777" w:rsidR="00084F36" w:rsidRPr="00EB2BD8" w:rsidRDefault="00EB2BD8">
      <w:pPr>
        <w:pStyle w:val="BodyText"/>
        <w:spacing w:before="19" w:line="261" w:lineRule="auto"/>
        <w:ind w:left="273" w:right="37"/>
      </w:pPr>
      <w:r w:rsidRPr="00EB2BD8">
        <w:t>— or a seating structure, whether or</w:t>
      </w:r>
      <w:r w:rsidRPr="00EB2BD8">
        <w:rPr>
          <w:spacing w:val="-15"/>
        </w:rPr>
        <w:t xml:space="preserve"> </w:t>
      </w:r>
      <w:r w:rsidRPr="00EB2BD8">
        <w:t>not</w:t>
      </w:r>
      <w:r w:rsidRPr="00EB2BD8">
        <w:rPr>
          <w:spacing w:val="-14"/>
        </w:rPr>
        <w:t xml:space="preserve"> </w:t>
      </w:r>
      <w:r w:rsidRPr="00EB2BD8">
        <w:t>enclosed,</w:t>
      </w:r>
      <w:r w:rsidRPr="00EB2BD8">
        <w:rPr>
          <w:spacing w:val="-14"/>
        </w:rPr>
        <w:t xml:space="preserve"> </w:t>
      </w:r>
      <w:r w:rsidRPr="00EB2BD8">
        <w:t>including</w:t>
      </w:r>
      <w:r w:rsidRPr="00EB2BD8">
        <w:rPr>
          <w:spacing w:val="-14"/>
        </w:rPr>
        <w:t xml:space="preserve"> </w:t>
      </w:r>
      <w:r w:rsidRPr="00EB2BD8">
        <w:t>a</w:t>
      </w:r>
      <w:r w:rsidRPr="00EB2BD8">
        <w:rPr>
          <w:spacing w:val="-15"/>
        </w:rPr>
        <w:t xml:space="preserve"> </w:t>
      </w:r>
      <w:r w:rsidRPr="00EB2BD8">
        <w:t>mobile seating</w:t>
      </w:r>
      <w:r w:rsidRPr="00EB2BD8">
        <w:rPr>
          <w:spacing w:val="-6"/>
        </w:rPr>
        <w:t xml:space="preserve"> </w:t>
      </w:r>
      <w:r w:rsidRPr="00EB2BD8">
        <w:t>structure</w:t>
      </w:r>
    </w:p>
    <w:p w14:paraId="2617C72C" w14:textId="77777777" w:rsidR="00084F36" w:rsidRPr="00EB2BD8" w:rsidRDefault="00EB2BD8" w:rsidP="00BA43E6">
      <w:pPr>
        <w:pStyle w:val="Heading3"/>
        <w:ind w:left="0" w:firstLine="273"/>
      </w:pPr>
      <w:r w:rsidRPr="00EB2BD8">
        <w:br w:type="column"/>
      </w:r>
      <w:bookmarkStart w:id="483" w:name="_Toc150762785"/>
      <w:r w:rsidRPr="00EB2BD8">
        <w:t>Find</w:t>
      </w:r>
      <w:r w:rsidRPr="00EB2BD8">
        <w:rPr>
          <w:spacing w:val="-11"/>
        </w:rPr>
        <w:t xml:space="preserve"> </w:t>
      </w:r>
      <w:r w:rsidRPr="00EB2BD8">
        <w:t>out</w:t>
      </w:r>
      <w:r w:rsidRPr="00EB2BD8">
        <w:rPr>
          <w:spacing w:val="-10"/>
        </w:rPr>
        <w:t xml:space="preserve"> </w:t>
      </w:r>
      <w:r w:rsidRPr="00EB2BD8">
        <w:rPr>
          <w:spacing w:val="-4"/>
        </w:rPr>
        <w:t>more</w:t>
      </w:r>
      <w:bookmarkEnd w:id="483"/>
    </w:p>
    <w:p w14:paraId="7940A930" w14:textId="77777777" w:rsidR="00084F36" w:rsidRPr="00EB2BD8" w:rsidRDefault="00EB2BD8">
      <w:pPr>
        <w:pStyle w:val="BodyText"/>
        <w:spacing w:before="175" w:line="261" w:lineRule="auto"/>
        <w:ind w:left="321" w:right="969"/>
      </w:pPr>
      <w:r w:rsidRPr="00EB2BD8">
        <w:t>More definitions of building and plumbing industry terms are available in the new Construction Dictionary developed by Standards Australia in partnership with the ABCB. The dictionary combines terms and definitions from the NCC,</w:t>
      </w:r>
      <w:r w:rsidRPr="00EB2BD8">
        <w:rPr>
          <w:spacing w:val="-8"/>
        </w:rPr>
        <w:t xml:space="preserve"> </w:t>
      </w:r>
      <w:r w:rsidRPr="00EB2BD8">
        <w:t>Australian</w:t>
      </w:r>
      <w:r w:rsidRPr="00EB2BD8">
        <w:rPr>
          <w:spacing w:val="-8"/>
        </w:rPr>
        <w:t xml:space="preserve"> </w:t>
      </w:r>
      <w:r w:rsidRPr="00EB2BD8">
        <w:t>(and</w:t>
      </w:r>
      <w:r w:rsidRPr="00EB2BD8">
        <w:rPr>
          <w:spacing w:val="-8"/>
        </w:rPr>
        <w:t xml:space="preserve"> </w:t>
      </w:r>
      <w:r w:rsidRPr="00EB2BD8">
        <w:t>joint</w:t>
      </w:r>
      <w:r w:rsidRPr="00EB2BD8">
        <w:rPr>
          <w:spacing w:val="-8"/>
        </w:rPr>
        <w:t xml:space="preserve"> </w:t>
      </w:r>
      <w:r w:rsidRPr="00EB2BD8">
        <w:t>AS/</w:t>
      </w:r>
      <w:r w:rsidRPr="00EB2BD8">
        <w:rPr>
          <w:spacing w:val="-8"/>
        </w:rPr>
        <w:t xml:space="preserve"> </w:t>
      </w:r>
      <w:r w:rsidRPr="00EB2BD8">
        <w:t>NZS) Standards,</w:t>
      </w:r>
      <w:r w:rsidRPr="00EB2BD8">
        <w:rPr>
          <w:spacing w:val="-1"/>
        </w:rPr>
        <w:t xml:space="preserve"> </w:t>
      </w:r>
      <w:r w:rsidRPr="00EB2BD8">
        <w:t>and</w:t>
      </w:r>
      <w:r w:rsidRPr="00EB2BD8">
        <w:rPr>
          <w:spacing w:val="-1"/>
        </w:rPr>
        <w:t xml:space="preserve"> </w:t>
      </w:r>
      <w:r w:rsidRPr="00EB2BD8">
        <w:t>Handbook</w:t>
      </w:r>
      <w:r w:rsidRPr="00EB2BD8">
        <w:rPr>
          <w:spacing w:val="-1"/>
        </w:rPr>
        <w:t xml:space="preserve"> </w:t>
      </w:r>
      <w:r w:rsidRPr="00EB2BD8">
        <w:t>50:2004 Glossary of Building Terms. It aims to assist industry, government and</w:t>
      </w:r>
    </w:p>
    <w:p w14:paraId="40A79E35" w14:textId="77777777" w:rsidR="00084F36" w:rsidRPr="00EB2BD8" w:rsidRDefault="00EB2BD8">
      <w:pPr>
        <w:pStyle w:val="BodyText"/>
        <w:spacing w:line="201" w:lineRule="exact"/>
        <w:ind w:left="321"/>
      </w:pPr>
      <w:r w:rsidRPr="00EB2BD8">
        <w:t>consumers</w:t>
      </w:r>
      <w:r w:rsidRPr="00EB2BD8">
        <w:rPr>
          <w:spacing w:val="-4"/>
        </w:rPr>
        <w:t xml:space="preserve"> </w:t>
      </w:r>
      <w:r w:rsidRPr="00EB2BD8">
        <w:t>to</w:t>
      </w:r>
      <w:r w:rsidRPr="00EB2BD8">
        <w:rPr>
          <w:spacing w:val="-4"/>
        </w:rPr>
        <w:t xml:space="preserve"> </w:t>
      </w:r>
      <w:r w:rsidRPr="00EB2BD8">
        <w:t>understand</w:t>
      </w:r>
      <w:r w:rsidRPr="00EB2BD8">
        <w:rPr>
          <w:spacing w:val="-3"/>
        </w:rPr>
        <w:t xml:space="preserve"> </w:t>
      </w:r>
      <w:r w:rsidRPr="00EB2BD8">
        <w:t>the</w:t>
      </w:r>
      <w:r w:rsidRPr="00EB2BD8">
        <w:rPr>
          <w:spacing w:val="-4"/>
        </w:rPr>
        <w:t xml:space="preserve"> </w:t>
      </w:r>
      <w:r w:rsidRPr="00EB2BD8">
        <w:rPr>
          <w:spacing w:val="-2"/>
        </w:rPr>
        <w:t>range</w:t>
      </w:r>
    </w:p>
    <w:p w14:paraId="796D362F" w14:textId="77777777" w:rsidR="00084F36" w:rsidRPr="00EB2BD8" w:rsidRDefault="00EB2BD8">
      <w:pPr>
        <w:pStyle w:val="BodyText"/>
        <w:spacing w:before="18" w:line="261" w:lineRule="auto"/>
        <w:ind w:left="321" w:right="503"/>
      </w:pPr>
      <w:r w:rsidRPr="00EB2BD8">
        <w:t>of terminology used to describe the same</w:t>
      </w:r>
      <w:r w:rsidRPr="00EB2BD8">
        <w:rPr>
          <w:spacing w:val="-6"/>
        </w:rPr>
        <w:t xml:space="preserve"> </w:t>
      </w:r>
      <w:r w:rsidRPr="00EB2BD8">
        <w:t>or</w:t>
      </w:r>
      <w:r w:rsidRPr="00EB2BD8">
        <w:rPr>
          <w:spacing w:val="-6"/>
        </w:rPr>
        <w:t xml:space="preserve"> </w:t>
      </w:r>
      <w:r w:rsidRPr="00EB2BD8">
        <w:t>similar</w:t>
      </w:r>
      <w:r w:rsidRPr="00EB2BD8">
        <w:rPr>
          <w:spacing w:val="-6"/>
        </w:rPr>
        <w:t xml:space="preserve"> </w:t>
      </w:r>
      <w:r w:rsidRPr="00EB2BD8">
        <w:t>terms</w:t>
      </w:r>
      <w:r w:rsidRPr="00EB2BD8">
        <w:rPr>
          <w:spacing w:val="-6"/>
        </w:rPr>
        <w:t xml:space="preserve"> </w:t>
      </w:r>
      <w:r w:rsidRPr="00EB2BD8">
        <w:t>and</w:t>
      </w:r>
      <w:r w:rsidRPr="00EB2BD8">
        <w:rPr>
          <w:spacing w:val="-6"/>
        </w:rPr>
        <w:t xml:space="preserve"> </w:t>
      </w:r>
      <w:r w:rsidRPr="00EB2BD8">
        <w:t>processes across</w:t>
      </w:r>
      <w:r w:rsidRPr="00EB2BD8">
        <w:rPr>
          <w:spacing w:val="-6"/>
        </w:rPr>
        <w:t xml:space="preserve"> </w:t>
      </w:r>
      <w:r w:rsidRPr="00EB2BD8">
        <w:t>Australia</w:t>
      </w:r>
    </w:p>
    <w:p w14:paraId="6DC4AE98" w14:textId="77777777" w:rsidR="00084F36" w:rsidRPr="00EB2BD8" w:rsidRDefault="00084F36">
      <w:pPr>
        <w:spacing w:line="261" w:lineRule="auto"/>
        <w:sectPr w:rsidR="00084F36" w:rsidRPr="00EB2BD8" w:rsidSect="006D75B2">
          <w:type w:val="continuous"/>
          <w:pgSz w:w="11910" w:h="16840"/>
          <w:pgMar w:top="1920" w:right="0" w:bottom="280" w:left="0" w:header="0" w:footer="515" w:gutter="0"/>
          <w:cols w:num="3" w:space="720" w:equalWidth="0">
            <w:col w:w="4034" w:space="40"/>
            <w:col w:w="3408" w:space="39"/>
            <w:col w:w="4389"/>
          </w:cols>
        </w:sectPr>
      </w:pPr>
    </w:p>
    <w:p w14:paraId="7A965C7B" w14:textId="77777777" w:rsidR="00084F36" w:rsidRPr="00EB2BD8" w:rsidRDefault="00084F36">
      <w:pPr>
        <w:pStyle w:val="BodyText"/>
        <w:rPr>
          <w:rFonts w:ascii="Trebuchet MS"/>
          <w:b/>
          <w:sz w:val="20"/>
        </w:rPr>
      </w:pPr>
    </w:p>
    <w:p w14:paraId="7566D244" w14:textId="77777777" w:rsidR="00084F36" w:rsidRPr="00EB2BD8" w:rsidRDefault="00084F36">
      <w:pPr>
        <w:pStyle w:val="BodyText"/>
        <w:rPr>
          <w:rFonts w:ascii="Trebuchet MS"/>
          <w:b/>
          <w:sz w:val="20"/>
        </w:rPr>
      </w:pPr>
    </w:p>
    <w:p w14:paraId="049D7703" w14:textId="77777777" w:rsidR="00084F36" w:rsidRPr="00EB2BD8" w:rsidRDefault="00084F36">
      <w:pPr>
        <w:pStyle w:val="BodyText"/>
        <w:rPr>
          <w:rFonts w:ascii="Trebuchet MS"/>
          <w:b/>
          <w:sz w:val="20"/>
        </w:rPr>
      </w:pPr>
    </w:p>
    <w:p w14:paraId="6EE591F4" w14:textId="77777777" w:rsidR="00084F36" w:rsidRPr="005A46BB" w:rsidRDefault="00EB2BD8" w:rsidP="00AB3629">
      <w:pPr>
        <w:pStyle w:val="Heading3"/>
        <w:ind w:left="130" w:firstLine="720"/>
      </w:pPr>
      <w:bookmarkStart w:id="484" w:name="_Toc150762786"/>
      <w:r w:rsidRPr="005A46BB">
        <w:t>Online</w:t>
      </w:r>
      <w:bookmarkEnd w:id="484"/>
    </w:p>
    <w:p w14:paraId="781D31B4" w14:textId="77777777" w:rsidR="00084F36" w:rsidRPr="005A46BB" w:rsidRDefault="00562DC8">
      <w:pPr>
        <w:pStyle w:val="BodyText"/>
        <w:spacing w:before="28"/>
        <w:ind w:left="850"/>
      </w:pPr>
      <w:hyperlink r:id="rId437">
        <w:r w:rsidR="00EB2BD8" w:rsidRPr="005A46BB">
          <w:rPr>
            <w:spacing w:val="-2"/>
          </w:rPr>
          <w:t>www.vba.vic.gov.au</w:t>
        </w:r>
      </w:hyperlink>
    </w:p>
    <w:p w14:paraId="1308AE2B" w14:textId="77777777" w:rsidR="00084F36" w:rsidRPr="005A46BB" w:rsidRDefault="00084F36">
      <w:pPr>
        <w:pStyle w:val="BodyText"/>
        <w:spacing w:before="7"/>
        <w:rPr>
          <w:sz w:val="21"/>
        </w:rPr>
      </w:pPr>
    </w:p>
    <w:p w14:paraId="4F0E7120" w14:textId="77777777" w:rsidR="00084F36" w:rsidRPr="005A46BB" w:rsidRDefault="00EB2BD8" w:rsidP="00BA43E6">
      <w:pPr>
        <w:pStyle w:val="Heading3"/>
      </w:pPr>
      <w:bookmarkStart w:id="485" w:name="_Toc150762787"/>
      <w:r w:rsidRPr="005A46BB">
        <w:rPr>
          <w:w w:val="105"/>
        </w:rPr>
        <w:t>Email</w:t>
      </w:r>
      <w:bookmarkEnd w:id="485"/>
    </w:p>
    <w:p w14:paraId="7816B9BB" w14:textId="77777777" w:rsidR="00084F36" w:rsidRPr="005A46BB" w:rsidRDefault="00562DC8">
      <w:pPr>
        <w:pStyle w:val="BodyText"/>
        <w:spacing w:before="27"/>
        <w:ind w:left="850"/>
      </w:pPr>
      <w:hyperlink r:id="rId438">
        <w:r w:rsidR="00EB2BD8" w:rsidRPr="005A46BB">
          <w:rPr>
            <w:spacing w:val="-2"/>
          </w:rPr>
          <w:t>customerservice@vba.vic.gov.au</w:t>
        </w:r>
      </w:hyperlink>
    </w:p>
    <w:p w14:paraId="1AE0245C" w14:textId="77777777" w:rsidR="00084F36" w:rsidRPr="005A46BB" w:rsidRDefault="00084F36">
      <w:pPr>
        <w:pStyle w:val="BodyText"/>
        <w:spacing w:before="7"/>
        <w:rPr>
          <w:sz w:val="13"/>
        </w:rPr>
      </w:pPr>
    </w:p>
    <w:p w14:paraId="23DFA6C7" w14:textId="77777777" w:rsidR="00084F36" w:rsidRPr="005A46BB" w:rsidRDefault="00084F36">
      <w:pPr>
        <w:rPr>
          <w:sz w:val="13"/>
        </w:rPr>
        <w:sectPr w:rsidR="00084F36" w:rsidRPr="005A46BB" w:rsidSect="006D75B2">
          <w:headerReference w:type="default" r:id="rId439"/>
          <w:footerReference w:type="default" r:id="rId440"/>
          <w:pgSz w:w="11910" w:h="16840"/>
          <w:pgMar w:top="1920" w:right="0" w:bottom="280" w:left="0" w:header="0" w:footer="0" w:gutter="0"/>
          <w:cols w:space="720"/>
        </w:sectPr>
      </w:pPr>
    </w:p>
    <w:p w14:paraId="560DF376" w14:textId="361A0BB2" w:rsidR="00084F36" w:rsidRPr="005A46BB" w:rsidRDefault="00EB2BD8">
      <w:pPr>
        <w:pStyle w:val="BodyText"/>
        <w:spacing w:before="95"/>
        <w:ind w:left="850"/>
      </w:pPr>
      <w:r w:rsidRPr="005A46BB">
        <w:rPr>
          <w:spacing w:val="-2"/>
          <w:w w:val="105"/>
        </w:rPr>
        <w:t>Postal</w:t>
      </w:r>
      <w:r w:rsidRPr="005A46BB">
        <w:rPr>
          <w:spacing w:val="-5"/>
          <w:w w:val="105"/>
        </w:rPr>
        <w:t xml:space="preserve"> </w:t>
      </w:r>
      <w:r w:rsidRPr="005A46BB">
        <w:rPr>
          <w:spacing w:val="-2"/>
          <w:w w:val="105"/>
        </w:rPr>
        <w:t>Address</w:t>
      </w:r>
    </w:p>
    <w:p w14:paraId="7041E788" w14:textId="77777777" w:rsidR="00084F36" w:rsidRPr="005A46BB" w:rsidRDefault="00EB2BD8">
      <w:pPr>
        <w:pStyle w:val="BodyText"/>
        <w:spacing w:before="28"/>
        <w:ind w:left="850"/>
      </w:pPr>
      <w:r w:rsidRPr="005A46BB">
        <w:t>PO</w:t>
      </w:r>
      <w:r w:rsidRPr="005A46BB">
        <w:rPr>
          <w:spacing w:val="2"/>
        </w:rPr>
        <w:t xml:space="preserve"> </w:t>
      </w:r>
      <w:r w:rsidRPr="005A46BB">
        <w:t>Box</w:t>
      </w:r>
      <w:r w:rsidRPr="005A46BB">
        <w:rPr>
          <w:spacing w:val="2"/>
        </w:rPr>
        <w:t xml:space="preserve"> </w:t>
      </w:r>
      <w:r w:rsidRPr="005A46BB">
        <w:rPr>
          <w:spacing w:val="-5"/>
        </w:rPr>
        <w:t>536</w:t>
      </w:r>
    </w:p>
    <w:p w14:paraId="2B5C3B4D" w14:textId="77777777" w:rsidR="00084F36" w:rsidRPr="005A46BB" w:rsidRDefault="00EB2BD8">
      <w:pPr>
        <w:pStyle w:val="BodyText"/>
        <w:spacing w:before="28"/>
        <w:ind w:left="850"/>
      </w:pPr>
      <w:r w:rsidRPr="005A46BB">
        <w:t>Melbourne</w:t>
      </w:r>
      <w:r w:rsidRPr="005A46BB">
        <w:rPr>
          <w:spacing w:val="-9"/>
        </w:rPr>
        <w:t xml:space="preserve"> </w:t>
      </w:r>
      <w:r w:rsidRPr="005A46BB">
        <w:t>VIC</w:t>
      </w:r>
      <w:r w:rsidRPr="005A46BB">
        <w:rPr>
          <w:spacing w:val="-8"/>
        </w:rPr>
        <w:t xml:space="preserve"> </w:t>
      </w:r>
      <w:r w:rsidRPr="005A46BB">
        <w:rPr>
          <w:spacing w:val="-4"/>
        </w:rPr>
        <w:t>3001</w:t>
      </w:r>
    </w:p>
    <w:p w14:paraId="0C5BCC39" w14:textId="77777777" w:rsidR="00084F36" w:rsidRPr="005A46BB" w:rsidRDefault="00084F36">
      <w:pPr>
        <w:pStyle w:val="BodyText"/>
        <w:spacing w:before="7"/>
        <w:rPr>
          <w:sz w:val="21"/>
        </w:rPr>
      </w:pPr>
    </w:p>
    <w:p w14:paraId="38B6529E" w14:textId="77777777" w:rsidR="00084F36" w:rsidRPr="005A46BB" w:rsidRDefault="00EB2BD8" w:rsidP="00BA43E6">
      <w:pPr>
        <w:pStyle w:val="Heading3"/>
      </w:pPr>
      <w:bookmarkStart w:id="486" w:name="_Toc150762788"/>
      <w:r w:rsidRPr="005A46BB">
        <w:t>Telephone</w:t>
      </w:r>
      <w:bookmarkEnd w:id="486"/>
    </w:p>
    <w:p w14:paraId="458C3BCF" w14:textId="77777777" w:rsidR="00084F36" w:rsidRPr="005A46BB" w:rsidRDefault="00EB2BD8">
      <w:pPr>
        <w:pStyle w:val="BodyText"/>
        <w:spacing w:before="28"/>
        <w:ind w:left="850"/>
      </w:pPr>
      <w:r w:rsidRPr="005A46BB">
        <w:rPr>
          <w:w w:val="85"/>
        </w:rPr>
        <w:t>1300</w:t>
      </w:r>
      <w:r w:rsidRPr="005A46BB">
        <w:rPr>
          <w:spacing w:val="-6"/>
          <w:w w:val="85"/>
        </w:rPr>
        <w:t xml:space="preserve"> </w:t>
      </w:r>
      <w:r w:rsidRPr="005A46BB">
        <w:rPr>
          <w:w w:val="85"/>
        </w:rPr>
        <w:t>815</w:t>
      </w:r>
      <w:r w:rsidRPr="005A46BB">
        <w:rPr>
          <w:spacing w:val="-5"/>
          <w:w w:val="85"/>
        </w:rPr>
        <w:t xml:space="preserve"> 127</w:t>
      </w:r>
    </w:p>
    <w:p w14:paraId="2FDF47D2" w14:textId="77777777" w:rsidR="00084F36" w:rsidRPr="005A46BB" w:rsidRDefault="00084F36">
      <w:pPr>
        <w:pStyle w:val="BodyText"/>
        <w:spacing w:before="8"/>
        <w:rPr>
          <w:sz w:val="21"/>
        </w:rPr>
      </w:pPr>
    </w:p>
    <w:p w14:paraId="23D3120A" w14:textId="77777777" w:rsidR="00084F36" w:rsidRPr="005A46BB" w:rsidRDefault="00EB2BD8">
      <w:pPr>
        <w:pStyle w:val="BodyText"/>
        <w:spacing w:line="271" w:lineRule="auto"/>
        <w:ind w:left="850"/>
      </w:pPr>
      <w:r w:rsidRPr="005A46BB">
        <w:t>Opening</w:t>
      </w:r>
      <w:r w:rsidRPr="005A46BB">
        <w:rPr>
          <w:spacing w:val="-8"/>
        </w:rPr>
        <w:t xml:space="preserve"> </w:t>
      </w:r>
      <w:r w:rsidRPr="005A46BB">
        <w:t>Hours Monday</w:t>
      </w:r>
      <w:r w:rsidRPr="005A46BB">
        <w:rPr>
          <w:spacing w:val="-11"/>
        </w:rPr>
        <w:t xml:space="preserve"> </w:t>
      </w:r>
      <w:r w:rsidRPr="005A46BB">
        <w:t>to</w:t>
      </w:r>
      <w:r w:rsidRPr="005A46BB">
        <w:rPr>
          <w:spacing w:val="-11"/>
        </w:rPr>
        <w:t xml:space="preserve"> </w:t>
      </w:r>
      <w:r w:rsidRPr="005A46BB">
        <w:t xml:space="preserve">Friday, </w:t>
      </w:r>
      <w:r w:rsidRPr="005A46BB">
        <w:rPr>
          <w:spacing w:val="-4"/>
        </w:rPr>
        <w:t>8:30am</w:t>
      </w:r>
      <w:r w:rsidRPr="005A46BB">
        <w:rPr>
          <w:spacing w:val="-8"/>
        </w:rPr>
        <w:t xml:space="preserve"> </w:t>
      </w:r>
      <w:r w:rsidRPr="005A46BB">
        <w:rPr>
          <w:spacing w:val="-4"/>
        </w:rPr>
        <w:t>to</w:t>
      </w:r>
      <w:r w:rsidRPr="005A46BB">
        <w:rPr>
          <w:spacing w:val="-8"/>
        </w:rPr>
        <w:t xml:space="preserve"> </w:t>
      </w:r>
      <w:r w:rsidRPr="005A46BB">
        <w:rPr>
          <w:spacing w:val="-5"/>
        </w:rPr>
        <w:t>5:00pm</w:t>
      </w:r>
    </w:p>
    <w:p w14:paraId="7367DFCC" w14:textId="77777777" w:rsidR="00084F36" w:rsidRPr="005A46BB" w:rsidRDefault="00084F36" w:rsidP="00BA43E6">
      <w:pPr>
        <w:pStyle w:val="Heading3"/>
      </w:pPr>
    </w:p>
    <w:p w14:paraId="730190F7" w14:textId="69588549" w:rsidR="00084F36" w:rsidRPr="005A46BB" w:rsidRDefault="00EB2BD8" w:rsidP="00BA43E6">
      <w:pPr>
        <w:pStyle w:val="Heading3"/>
        <w:rPr>
          <w:b w:val="0"/>
          <w:bCs/>
          <w:sz w:val="18"/>
          <w:szCs w:val="18"/>
        </w:rPr>
      </w:pPr>
      <w:bookmarkStart w:id="487" w:name="_Toc150762789"/>
      <w:r w:rsidRPr="005A46BB">
        <w:t>Registered</w:t>
      </w:r>
      <w:r w:rsidRPr="005A46BB">
        <w:rPr>
          <w:spacing w:val="-8"/>
        </w:rPr>
        <w:t xml:space="preserve"> </w:t>
      </w:r>
      <w:r w:rsidRPr="005A46BB">
        <w:t xml:space="preserve">Office </w:t>
      </w:r>
      <w:r w:rsidR="00BA43E6" w:rsidRPr="005A46BB">
        <w:br/>
      </w:r>
      <w:r w:rsidRPr="005A46BB">
        <w:rPr>
          <w:b w:val="0"/>
          <w:bCs/>
          <w:sz w:val="18"/>
          <w:szCs w:val="18"/>
        </w:rPr>
        <w:t>Goods</w:t>
      </w:r>
      <w:r w:rsidRPr="005A46BB">
        <w:rPr>
          <w:b w:val="0"/>
          <w:bCs/>
          <w:spacing w:val="-5"/>
          <w:sz w:val="18"/>
          <w:szCs w:val="18"/>
        </w:rPr>
        <w:t xml:space="preserve"> </w:t>
      </w:r>
      <w:r w:rsidRPr="005A46BB">
        <w:rPr>
          <w:b w:val="0"/>
          <w:bCs/>
          <w:sz w:val="18"/>
          <w:szCs w:val="18"/>
        </w:rPr>
        <w:t>Shed</w:t>
      </w:r>
      <w:r w:rsidRPr="005A46BB">
        <w:rPr>
          <w:b w:val="0"/>
          <w:bCs/>
          <w:spacing w:val="-5"/>
          <w:sz w:val="18"/>
          <w:szCs w:val="18"/>
        </w:rPr>
        <w:t xml:space="preserve"> </w:t>
      </w:r>
      <w:r w:rsidRPr="005A46BB">
        <w:rPr>
          <w:b w:val="0"/>
          <w:bCs/>
          <w:sz w:val="18"/>
          <w:szCs w:val="18"/>
        </w:rPr>
        <w:t>North 733 Bourke Street</w:t>
      </w:r>
      <w:bookmarkEnd w:id="487"/>
    </w:p>
    <w:p w14:paraId="1E233750" w14:textId="77777777" w:rsidR="00084F36" w:rsidRPr="005A46BB" w:rsidRDefault="00EB2BD8">
      <w:pPr>
        <w:pStyle w:val="BodyText"/>
        <w:spacing w:before="1"/>
        <w:ind w:left="850"/>
        <w:rPr>
          <w:rFonts w:ascii="Arial" w:hAnsi="Arial" w:cs="Arial"/>
          <w:bCs/>
        </w:rPr>
      </w:pPr>
      <w:r w:rsidRPr="005A46BB">
        <w:rPr>
          <w:rFonts w:ascii="Arial" w:hAnsi="Arial" w:cs="Arial"/>
          <w:bCs/>
        </w:rPr>
        <w:t>Docklands</w:t>
      </w:r>
      <w:r w:rsidRPr="005A46BB">
        <w:rPr>
          <w:rFonts w:ascii="Arial" w:hAnsi="Arial" w:cs="Arial"/>
          <w:bCs/>
          <w:spacing w:val="-6"/>
        </w:rPr>
        <w:t xml:space="preserve"> </w:t>
      </w:r>
      <w:r w:rsidRPr="005A46BB">
        <w:rPr>
          <w:rFonts w:ascii="Arial" w:hAnsi="Arial" w:cs="Arial"/>
          <w:bCs/>
        </w:rPr>
        <w:t>VIC</w:t>
      </w:r>
      <w:r w:rsidRPr="005A46BB">
        <w:rPr>
          <w:rFonts w:ascii="Arial" w:hAnsi="Arial" w:cs="Arial"/>
          <w:bCs/>
          <w:spacing w:val="-3"/>
        </w:rPr>
        <w:t xml:space="preserve"> </w:t>
      </w:r>
      <w:r w:rsidRPr="005A46BB">
        <w:rPr>
          <w:rFonts w:ascii="Arial" w:hAnsi="Arial" w:cs="Arial"/>
          <w:bCs/>
          <w:spacing w:val="-4"/>
        </w:rPr>
        <w:t>3008</w:t>
      </w:r>
    </w:p>
    <w:p w14:paraId="480DBAF9" w14:textId="25673495" w:rsidR="00084F36" w:rsidRPr="005A46BB" w:rsidRDefault="00EB2BD8">
      <w:pPr>
        <w:pStyle w:val="BodyText"/>
        <w:spacing w:before="95" w:line="271" w:lineRule="auto"/>
        <w:ind w:left="850" w:right="1104"/>
      </w:pPr>
      <w:r w:rsidRPr="005A46BB">
        <w:br w:type="column"/>
      </w:r>
      <w:r w:rsidRPr="005A46BB">
        <w:t>For</w:t>
      </w:r>
      <w:r w:rsidRPr="005A46BB">
        <w:rPr>
          <w:spacing w:val="-4"/>
        </w:rPr>
        <w:t xml:space="preserve"> </w:t>
      </w:r>
      <w:r w:rsidRPr="005A46BB">
        <w:t>enquiries</w:t>
      </w:r>
      <w:r w:rsidRPr="005A46BB">
        <w:rPr>
          <w:spacing w:val="-4"/>
        </w:rPr>
        <w:t xml:space="preserve"> </w:t>
      </w:r>
      <w:r w:rsidRPr="005A46BB">
        <w:t>in</w:t>
      </w:r>
      <w:r w:rsidRPr="005A46BB">
        <w:rPr>
          <w:spacing w:val="-4"/>
        </w:rPr>
        <w:t xml:space="preserve"> </w:t>
      </w:r>
      <w:r w:rsidRPr="005A46BB">
        <w:t>languages</w:t>
      </w:r>
      <w:r w:rsidRPr="005A46BB">
        <w:rPr>
          <w:spacing w:val="-4"/>
        </w:rPr>
        <w:t xml:space="preserve"> </w:t>
      </w:r>
      <w:r w:rsidRPr="005A46BB">
        <w:t>other</w:t>
      </w:r>
      <w:r w:rsidRPr="005A46BB">
        <w:rPr>
          <w:spacing w:val="-4"/>
        </w:rPr>
        <w:t xml:space="preserve"> </w:t>
      </w:r>
      <w:r w:rsidRPr="005A46BB">
        <w:t>than</w:t>
      </w:r>
      <w:r w:rsidRPr="005A46BB">
        <w:rPr>
          <w:spacing w:val="-4"/>
        </w:rPr>
        <w:t xml:space="preserve"> </w:t>
      </w:r>
      <w:r w:rsidRPr="005A46BB">
        <w:t>English,</w:t>
      </w:r>
      <w:r w:rsidRPr="005A46BB">
        <w:rPr>
          <w:spacing w:val="-4"/>
        </w:rPr>
        <w:t xml:space="preserve"> </w:t>
      </w:r>
      <w:r w:rsidRPr="005A46BB">
        <w:t>contact the Translating and Interpreting Service on 131 450.</w:t>
      </w:r>
    </w:p>
    <w:p w14:paraId="51CAC42A" w14:textId="77777777" w:rsidR="00084F36" w:rsidRPr="005A46BB" w:rsidRDefault="00084F36">
      <w:pPr>
        <w:pStyle w:val="BodyText"/>
        <w:spacing w:before="3"/>
        <w:rPr>
          <w:sz w:val="19"/>
        </w:rPr>
      </w:pPr>
    </w:p>
    <w:p w14:paraId="6AD453B3" w14:textId="77777777" w:rsidR="00084F36" w:rsidRPr="005A46BB" w:rsidRDefault="00EB2BD8">
      <w:pPr>
        <w:pStyle w:val="BodyText"/>
        <w:spacing w:line="271" w:lineRule="auto"/>
        <w:ind w:left="850" w:right="1104"/>
      </w:pPr>
      <w:r w:rsidRPr="005A46BB">
        <w:t xml:space="preserve">If you are deaf, or have a hearing or speech impairment, contact us through the National Relay </w:t>
      </w:r>
      <w:r w:rsidRPr="005A46BB">
        <w:rPr>
          <w:spacing w:val="-2"/>
        </w:rPr>
        <w:t>Service.</w:t>
      </w:r>
      <w:r w:rsidRPr="005A46BB">
        <w:rPr>
          <w:spacing w:val="-5"/>
        </w:rPr>
        <w:t xml:space="preserve"> </w:t>
      </w:r>
      <w:r w:rsidRPr="005A46BB">
        <w:rPr>
          <w:spacing w:val="-2"/>
        </w:rPr>
        <w:t>For</w:t>
      </w:r>
      <w:r w:rsidRPr="005A46BB">
        <w:rPr>
          <w:spacing w:val="-5"/>
        </w:rPr>
        <w:t xml:space="preserve"> </w:t>
      </w:r>
      <w:r w:rsidRPr="005A46BB">
        <w:rPr>
          <w:spacing w:val="-2"/>
        </w:rPr>
        <w:t>more</w:t>
      </w:r>
      <w:r w:rsidRPr="005A46BB">
        <w:rPr>
          <w:spacing w:val="-5"/>
        </w:rPr>
        <w:t xml:space="preserve"> </w:t>
      </w:r>
      <w:r w:rsidRPr="005A46BB">
        <w:rPr>
          <w:spacing w:val="-2"/>
        </w:rPr>
        <w:t>information,</w:t>
      </w:r>
      <w:r w:rsidRPr="005A46BB">
        <w:rPr>
          <w:spacing w:val="-5"/>
        </w:rPr>
        <w:t xml:space="preserve"> </w:t>
      </w:r>
      <w:r w:rsidRPr="005A46BB">
        <w:rPr>
          <w:spacing w:val="-2"/>
        </w:rPr>
        <w:t>visit:</w:t>
      </w:r>
      <w:r w:rsidRPr="005A46BB">
        <w:rPr>
          <w:spacing w:val="-5"/>
        </w:rPr>
        <w:t xml:space="preserve"> </w:t>
      </w:r>
      <w:hyperlink r:id="rId441">
        <w:r w:rsidRPr="005A46BB">
          <w:rPr>
            <w:spacing w:val="-2"/>
          </w:rPr>
          <w:t>relayservice.gov.au</w:t>
        </w:r>
      </w:hyperlink>
    </w:p>
    <w:p w14:paraId="6E9BEF10" w14:textId="77777777" w:rsidR="00084F36" w:rsidRPr="005A46BB" w:rsidRDefault="00084F36">
      <w:pPr>
        <w:pStyle w:val="BodyText"/>
        <w:spacing w:before="10"/>
        <w:rPr>
          <w:sz w:val="17"/>
        </w:rPr>
      </w:pPr>
    </w:p>
    <w:p w14:paraId="6F2F2E86" w14:textId="77777777" w:rsidR="00084F36" w:rsidRPr="005A46BB" w:rsidRDefault="00EB2BD8" w:rsidP="00BA43E6">
      <w:pPr>
        <w:pStyle w:val="Heading3"/>
      </w:pPr>
      <w:bookmarkStart w:id="488" w:name="_Toc150762790"/>
      <w:r w:rsidRPr="005A46BB">
        <w:t>Accessibility</w:t>
      </w:r>
      <w:bookmarkEnd w:id="488"/>
    </w:p>
    <w:p w14:paraId="0018B24F" w14:textId="77777777" w:rsidR="00084F36" w:rsidRPr="005A46BB" w:rsidRDefault="00EB2BD8">
      <w:pPr>
        <w:pStyle w:val="BodyText"/>
        <w:spacing w:before="24" w:line="271" w:lineRule="auto"/>
        <w:ind w:left="850" w:right="2272"/>
      </w:pPr>
      <w:r w:rsidRPr="005A46BB">
        <w:t>This document is available in an accessible</w:t>
      </w:r>
      <w:r w:rsidRPr="005A46BB">
        <w:rPr>
          <w:spacing w:val="-15"/>
        </w:rPr>
        <w:t xml:space="preserve"> </w:t>
      </w:r>
      <w:r w:rsidRPr="005A46BB">
        <w:t>version</w:t>
      </w:r>
      <w:r w:rsidRPr="005A46BB">
        <w:rPr>
          <w:spacing w:val="-14"/>
        </w:rPr>
        <w:t xml:space="preserve"> </w:t>
      </w:r>
      <w:r w:rsidRPr="005A46BB">
        <w:t>at</w:t>
      </w:r>
      <w:r w:rsidRPr="005A46BB">
        <w:rPr>
          <w:spacing w:val="-14"/>
        </w:rPr>
        <w:t xml:space="preserve"> </w:t>
      </w:r>
      <w:r w:rsidRPr="005A46BB">
        <w:t>vba.vic.gov.au</w:t>
      </w:r>
    </w:p>
    <w:p w14:paraId="4E7D3C44" w14:textId="77777777" w:rsidR="00084F36" w:rsidRPr="005A46BB" w:rsidRDefault="00084F36">
      <w:pPr>
        <w:pStyle w:val="BodyText"/>
        <w:spacing w:before="3"/>
        <w:rPr>
          <w:sz w:val="19"/>
        </w:rPr>
      </w:pPr>
    </w:p>
    <w:p w14:paraId="32B666D7" w14:textId="1B3813A4" w:rsidR="00084F36" w:rsidRPr="005A46BB" w:rsidRDefault="00EB2BD8" w:rsidP="003B3D54">
      <w:pPr>
        <w:pStyle w:val="BodyText"/>
        <w:spacing w:line="271" w:lineRule="auto"/>
        <w:ind w:left="850" w:right="1336"/>
        <w:jc w:val="both"/>
        <w:rPr>
          <w:i/>
        </w:rPr>
        <w:sectPr w:rsidR="00084F36" w:rsidRPr="005A46BB" w:rsidSect="006D75B2">
          <w:type w:val="continuous"/>
          <w:pgSz w:w="11910" w:h="16840"/>
          <w:pgMar w:top="1920" w:right="0" w:bottom="280" w:left="0" w:header="0" w:footer="0" w:gutter="0"/>
          <w:cols w:num="2" w:space="720" w:equalWidth="0">
            <w:col w:w="2661" w:space="2452"/>
            <w:col w:w="6797"/>
          </w:cols>
        </w:sectPr>
      </w:pPr>
      <w:r w:rsidRPr="005A46BB">
        <w:t>This</w:t>
      </w:r>
      <w:r w:rsidRPr="005A46BB">
        <w:rPr>
          <w:spacing w:val="-4"/>
        </w:rPr>
        <w:t xml:space="preserve"> </w:t>
      </w:r>
      <w:r w:rsidRPr="005A46BB">
        <w:t>publication</w:t>
      </w:r>
      <w:r w:rsidRPr="005A46BB">
        <w:rPr>
          <w:spacing w:val="-4"/>
        </w:rPr>
        <w:t xml:space="preserve"> </w:t>
      </w:r>
      <w:r w:rsidRPr="005A46BB">
        <w:t>is</w:t>
      </w:r>
      <w:r w:rsidRPr="005A46BB">
        <w:rPr>
          <w:spacing w:val="-4"/>
        </w:rPr>
        <w:t xml:space="preserve"> </w:t>
      </w:r>
      <w:r w:rsidRPr="005A46BB">
        <w:t>subject</w:t>
      </w:r>
      <w:r w:rsidRPr="005A46BB">
        <w:rPr>
          <w:spacing w:val="-4"/>
        </w:rPr>
        <w:t xml:space="preserve"> </w:t>
      </w:r>
      <w:r w:rsidRPr="005A46BB">
        <w:t>to</w:t>
      </w:r>
      <w:r w:rsidRPr="005A46BB">
        <w:rPr>
          <w:spacing w:val="-4"/>
        </w:rPr>
        <w:t xml:space="preserve"> </w:t>
      </w:r>
      <w:r w:rsidRPr="005A46BB">
        <w:t>copyright.</w:t>
      </w:r>
      <w:r w:rsidRPr="005A46BB">
        <w:rPr>
          <w:spacing w:val="-4"/>
        </w:rPr>
        <w:t xml:space="preserve"> </w:t>
      </w:r>
      <w:r w:rsidRPr="005A46BB">
        <w:t>No</w:t>
      </w:r>
      <w:r w:rsidRPr="005A46BB">
        <w:rPr>
          <w:spacing w:val="-4"/>
        </w:rPr>
        <w:t xml:space="preserve"> </w:t>
      </w:r>
      <w:r w:rsidRPr="005A46BB">
        <w:t>part</w:t>
      </w:r>
      <w:r w:rsidRPr="005A46BB">
        <w:rPr>
          <w:spacing w:val="-4"/>
        </w:rPr>
        <w:t xml:space="preserve"> </w:t>
      </w:r>
      <w:r w:rsidRPr="005A46BB">
        <w:t>may be reproduced by any process except in accordance with the provisions of</w:t>
      </w:r>
      <w:r w:rsidR="003B3D54">
        <w:t xml:space="preserve"> </w:t>
      </w:r>
      <w:r w:rsidRPr="005A46BB">
        <w:t>the</w:t>
      </w:r>
      <w:r w:rsidRPr="005A46BB">
        <w:rPr>
          <w:spacing w:val="-7"/>
        </w:rPr>
        <w:t xml:space="preserve"> </w:t>
      </w:r>
      <w:r w:rsidRPr="005A46BB">
        <w:rPr>
          <w:i/>
        </w:rPr>
        <w:t>Copyright</w:t>
      </w:r>
      <w:r w:rsidRPr="005A46BB">
        <w:rPr>
          <w:i/>
          <w:spacing w:val="-6"/>
        </w:rPr>
        <w:t xml:space="preserve"> </w:t>
      </w:r>
      <w:r w:rsidRPr="005A46BB">
        <w:rPr>
          <w:i/>
        </w:rPr>
        <w:t>Act</w:t>
      </w:r>
      <w:r w:rsidRPr="005A46BB">
        <w:rPr>
          <w:i/>
          <w:spacing w:val="-7"/>
        </w:rPr>
        <w:t xml:space="preserve"> </w:t>
      </w:r>
      <w:r w:rsidRPr="005A46BB">
        <w:rPr>
          <w:i/>
          <w:spacing w:val="-2"/>
        </w:rPr>
        <w:t>196</w:t>
      </w:r>
      <w:r w:rsidR="003B3D54">
        <w:rPr>
          <w:i/>
          <w:spacing w:val="-2"/>
        </w:rPr>
        <w:t>8.</w:t>
      </w:r>
    </w:p>
    <w:p w14:paraId="682C1A00" w14:textId="05F40E04" w:rsidR="00084F36" w:rsidRPr="00EB2BD8" w:rsidRDefault="00084F36" w:rsidP="006D75B2">
      <w:pPr>
        <w:rPr>
          <w:i/>
          <w:sz w:val="11"/>
        </w:rPr>
      </w:pPr>
    </w:p>
    <w:sectPr w:rsidR="00084F36" w:rsidRPr="00EB2BD8" w:rsidSect="006D75B2">
      <w:headerReference w:type="even" r:id="rId442"/>
      <w:footerReference w:type="even" r:id="rId443"/>
      <w:pgSz w:w="11910" w:h="16840"/>
      <w:pgMar w:top="112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8C229" w14:textId="77777777" w:rsidR="00497022" w:rsidRDefault="00497022">
      <w:r>
        <w:separator/>
      </w:r>
    </w:p>
  </w:endnote>
  <w:endnote w:type="continuationSeparator" w:id="0">
    <w:p w14:paraId="30E44E78" w14:textId="77777777" w:rsidR="00497022" w:rsidRDefault="00497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DD595" w14:textId="6279CCE3" w:rsidR="0019412D" w:rsidRDefault="0019412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9BC76" w14:textId="77777777" w:rsidR="00084F36" w:rsidRDefault="00EB2BD8">
    <w:pPr>
      <w:pStyle w:val="BodyText"/>
      <w:spacing w:line="14" w:lineRule="auto"/>
      <w:rPr>
        <w:sz w:val="20"/>
      </w:rPr>
    </w:pPr>
    <w:r>
      <w:rPr>
        <w:noProof/>
      </w:rPr>
      <mc:AlternateContent>
        <mc:Choice Requires="wps">
          <w:drawing>
            <wp:anchor distT="0" distB="0" distL="0" distR="0" simplePos="0" relativeHeight="251273216" behindDoc="1" locked="0" layoutInCell="1" allowOverlap="1" wp14:anchorId="2C57C77C" wp14:editId="05451D8E">
              <wp:simplePos x="0" y="0"/>
              <wp:positionH relativeFrom="page">
                <wp:posOffset>1197842</wp:posOffset>
              </wp:positionH>
              <wp:positionV relativeFrom="page">
                <wp:posOffset>10225409</wp:posOffset>
              </wp:positionV>
              <wp:extent cx="2555875" cy="1435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2755EC11"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2C57C77C" id="_x0000_t202" coordsize="21600,21600" o:spt="202" path="m,l,21600r21600,l21600,xe">
              <v:stroke joinstyle="miter"/>
              <v:path gradientshapeok="t" o:connecttype="rect"/>
            </v:shapetype>
            <v:shape id="Textbox 138" o:spid="_x0000_s1085" type="#_x0000_t202" style="position:absolute;margin-left:94.3pt;margin-top:805.15pt;width:201.25pt;height:11.3pt;z-index:-2520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" filled="f" stroked="f">
              <v:textbox inset="0,0,0,0">
                <w:txbxContent>
                  <w:p w14:paraId="2755EC11"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279360" behindDoc="1" locked="0" layoutInCell="1" allowOverlap="1" wp14:anchorId="35516755" wp14:editId="478B8E54">
              <wp:simplePos x="0" y="0"/>
              <wp:positionH relativeFrom="page">
                <wp:posOffset>496599</wp:posOffset>
              </wp:positionH>
              <wp:positionV relativeFrom="page">
                <wp:posOffset>10229676</wp:posOffset>
              </wp:positionV>
              <wp:extent cx="179070" cy="14224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D2B7442" w14:textId="77777777" w:rsidR="00084F36" w:rsidRDefault="00EB2BD8">
                          <w:pPr>
                            <w:spacing w:before="15"/>
                            <w:ind w:left="60"/>
                            <w:rPr>
                              <w:sz w:val="16"/>
                            </w:rPr>
                          </w:pPr>
                          <w:r>
                            <w:rPr>
                              <w:spacing w:val="-5"/>
                              <w:w w:val="80"/>
                              <w:sz w:val="16"/>
                            </w:rPr>
                            <w:fldChar w:fldCharType="begin"/>
                          </w:r>
                          <w:r>
                            <w:rPr>
                              <w:spacing w:val="-5"/>
                              <w:w w:val="80"/>
                              <w:sz w:val="16"/>
                            </w:rPr>
                            <w:instrText xml:space="preserve"> PAGE </w:instrText>
                          </w:r>
                          <w:r>
                            <w:rPr>
                              <w:spacing w:val="-5"/>
                              <w:w w:val="80"/>
                              <w:sz w:val="16"/>
                            </w:rPr>
                            <w:fldChar w:fldCharType="separate"/>
                          </w:r>
                          <w:r>
                            <w:rPr>
                              <w:spacing w:val="-5"/>
                              <w:w w:val="80"/>
                              <w:sz w:val="16"/>
                            </w:rPr>
                            <w:t>12</w:t>
                          </w:r>
                          <w:r>
                            <w:rPr>
                              <w:spacing w:val="-5"/>
                              <w:w w:val="80"/>
                              <w:sz w:val="16"/>
                            </w:rPr>
                            <w:fldChar w:fldCharType="end"/>
                          </w:r>
                        </w:p>
                      </w:txbxContent>
                    </wps:txbx>
                    <wps:bodyPr wrap="square" lIns="0" tIns="0" rIns="0" bIns="0" rtlCol="0">
                      <a:noAutofit/>
                    </wps:bodyPr>
                  </wps:wsp>
                </a:graphicData>
              </a:graphic>
            </wp:anchor>
          </w:drawing>
        </mc:Choice>
        <mc:Fallback>
          <w:pict>
            <v:shape w14:anchorId="35516755" id="Textbox 139" o:spid="_x0000_s1086" type="#_x0000_t202" style="position:absolute;margin-left:39.1pt;margin-top:805.5pt;width:14.1pt;height:11.2pt;z-index:-25203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" filled="f" stroked="f">
              <v:textbox inset="0,0,0,0">
                <w:txbxContent>
                  <w:p w14:paraId="1D2B7442" w14:textId="77777777" w:rsidR="00084F36" w:rsidRDefault="00EB2BD8">
                    <w:pPr>
                      <w:spacing w:before="15"/>
                      <w:ind w:left="60"/>
                      <w:rPr>
                        <w:sz w:val="16"/>
                      </w:rPr>
                    </w:pPr>
                    <w:r>
                      <w:rPr>
                        <w:spacing w:val="-5"/>
                        <w:w w:val="80"/>
                        <w:sz w:val="16"/>
                      </w:rPr>
                      <w:fldChar w:fldCharType="begin"/>
                    </w:r>
                    <w:r>
                      <w:rPr>
                        <w:spacing w:val="-5"/>
                        <w:w w:val="80"/>
                        <w:sz w:val="16"/>
                      </w:rPr>
                      <w:instrText xml:space="preserve"> PAGE </w:instrText>
                    </w:r>
                    <w:r>
                      <w:rPr>
                        <w:spacing w:val="-5"/>
                        <w:w w:val="80"/>
                        <w:sz w:val="16"/>
                      </w:rPr>
                      <w:fldChar w:fldCharType="separate"/>
                    </w:r>
                    <w:r>
                      <w:rPr>
                        <w:spacing w:val="-5"/>
                        <w:w w:val="80"/>
                        <w:sz w:val="16"/>
                      </w:rPr>
                      <w:t>12</w:t>
                    </w:r>
                    <w:r>
                      <w:rPr>
                        <w:spacing w:val="-5"/>
                        <w:w w:val="80"/>
                        <w:sz w:val="16"/>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8E119" w14:textId="77777777" w:rsidR="0019412D" w:rsidRDefault="0019412D">
    <w:pPr>
      <w:pStyle w:val="BodyText"/>
      <w:spacing w:line="14" w:lineRule="auto"/>
      <w:rPr>
        <w:sz w:val="20"/>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630A" w14:textId="77777777" w:rsidR="0019412D" w:rsidRDefault="0019412D">
    <w:pPr>
      <w:pStyle w:val="BodyText"/>
      <w:spacing w:line="14" w:lineRule="auto"/>
      <w:rPr>
        <w:sz w:val="20"/>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C8AA" w14:textId="77777777" w:rsidR="0019412D" w:rsidRDefault="0019412D">
    <w:pPr>
      <w:pStyle w:val="BodyText"/>
      <w:spacing w:line="14" w:lineRule="auto"/>
      <w:rPr>
        <w:sz w:val="20"/>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66E53" w14:textId="77777777" w:rsidR="00084F36" w:rsidRDefault="00084F36">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50C3D" w14:textId="77777777" w:rsidR="0019412D" w:rsidRDefault="0019412D">
    <w:pPr>
      <w:pStyle w:val="BodyText"/>
      <w:spacing w:line="14" w:lineRule="auto"/>
      <w:rPr>
        <w:sz w:val="20"/>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6A04" w14:textId="1DF4FBAA" w:rsidR="00084F36" w:rsidRDefault="00084F36">
    <w:pPr>
      <w:pStyle w:val="BodyText"/>
      <w:spacing w:line="14" w:lineRule="auto"/>
      <w:rPr>
        <w:sz w:val="20"/>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A1F19" w14:textId="77777777" w:rsidR="00084F36" w:rsidRDefault="00084F36">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F85B" w14:textId="77777777" w:rsidR="0019412D" w:rsidRDefault="0019412D">
    <w:pPr>
      <w:pStyle w:val="BodyText"/>
      <w:spacing w:line="14" w:lineRule="auto"/>
      <w:rPr>
        <w:sz w:val="20"/>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4BB5" w14:textId="4A2B3BD7" w:rsidR="00084F36" w:rsidRDefault="00084F36">
    <w:pPr>
      <w:pStyle w:val="BodyText"/>
      <w:spacing w:line="14" w:lineRule="auto"/>
      <w:rPr>
        <w:sz w:val="20"/>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00598" w14:textId="77777777" w:rsidR="00084F36" w:rsidRDefault="00084F3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B7286" w14:textId="77777777" w:rsidR="0019412D" w:rsidRDefault="0019412D">
    <w:pPr>
      <w:pStyle w:val="BodyText"/>
      <w:spacing w:line="14" w:lineRule="auto"/>
      <w:rPr>
        <w:sz w:val="2"/>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8E4A" w14:textId="77777777" w:rsidR="0019412D" w:rsidRDefault="0019412D">
    <w:pPr>
      <w:pStyle w:val="BodyText"/>
      <w:spacing w:line="14" w:lineRule="auto"/>
      <w:rPr>
        <w:sz w:val="20"/>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131D" w14:textId="77777777" w:rsidR="00084F36" w:rsidRDefault="00084F36">
    <w:pPr>
      <w:pStyle w:val="BodyText"/>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A2DD" w14:textId="77777777" w:rsidR="00084F36" w:rsidRDefault="00084F36">
    <w:pPr>
      <w:pStyle w:val="BodyText"/>
      <w:spacing w:line="14" w:lineRule="auto"/>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3AC2" w14:textId="77777777" w:rsidR="0019412D" w:rsidRDefault="0019412D">
    <w:pPr>
      <w:pStyle w:val="BodyText"/>
      <w:spacing w:line="14" w:lineRule="auto"/>
      <w:rPr>
        <w:sz w:val="2"/>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64BE" w14:textId="77777777" w:rsidR="0019412D" w:rsidRDefault="0019412D">
    <w:pPr>
      <w:pStyle w:val="BodyText"/>
      <w:spacing w:line="14" w:lineRule="auto"/>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8D1A" w14:textId="77777777" w:rsidR="00084F36" w:rsidRDefault="00084F36">
    <w:pPr>
      <w:pStyle w:val="BodyText"/>
      <w:spacing w:line="14" w:lineRule="auto"/>
      <w:rPr>
        <w:sz w:val="2"/>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25A1" w14:textId="77777777" w:rsidR="0019412D" w:rsidRDefault="0019412D">
    <w:pPr>
      <w:pStyle w:val="BodyText"/>
      <w:spacing w:line="14" w:lineRule="auto"/>
      <w:rPr>
        <w:sz w:val="2"/>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2C6B" w14:textId="77777777" w:rsidR="00084F36" w:rsidRDefault="00084F36">
    <w:pPr>
      <w:pStyle w:val="BodyText"/>
      <w:spacing w:line="14" w:lineRule="auto"/>
      <w:rPr>
        <w:sz w:val="2"/>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10BA0" w14:textId="77777777" w:rsidR="00084F36" w:rsidRDefault="00084F36">
    <w:pPr>
      <w:pStyle w:val="BodyText"/>
      <w:spacing w:line="14" w:lineRule="auto"/>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8FE0" w14:textId="77777777" w:rsidR="0019412D" w:rsidRDefault="0019412D">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34587" w14:textId="77777777" w:rsidR="00084F36" w:rsidRDefault="00084F36">
    <w:pPr>
      <w:pStyle w:val="BodyText"/>
      <w:spacing w:line="14" w:lineRule="auto"/>
      <w:rPr>
        <w:sz w:val="2"/>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5B22" w14:textId="77777777" w:rsidR="00084F36" w:rsidRDefault="00084F36">
    <w:pPr>
      <w:pStyle w:val="BodyText"/>
      <w:spacing w:line="14" w:lineRule="auto"/>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43C5" w14:textId="77777777" w:rsidR="00084F36" w:rsidRDefault="00084F36">
    <w:pPr>
      <w:pStyle w:val="BodyText"/>
      <w:spacing w:line="14" w:lineRule="auto"/>
      <w:rPr>
        <w:sz w:val="2"/>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CC464" w14:textId="77777777" w:rsidR="0019412D" w:rsidRDefault="0019412D">
    <w:pPr>
      <w:pStyle w:val="BodyText"/>
      <w:spacing w:line="14" w:lineRule="auto"/>
      <w:rPr>
        <w:sz w:val="2"/>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EAE2C" w14:textId="77777777" w:rsidR="00084F36" w:rsidRDefault="00084F36">
    <w:pPr>
      <w:pStyle w:val="BodyText"/>
      <w:spacing w:line="14" w:lineRule="auto"/>
      <w:rPr>
        <w:sz w:val="2"/>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4014" w14:textId="77777777" w:rsidR="00084F36" w:rsidRDefault="00084F36">
    <w:pPr>
      <w:pStyle w:val="BodyText"/>
      <w:spacing w:line="14" w:lineRule="auto"/>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60AB2" w14:textId="77777777" w:rsidR="00084F36" w:rsidRDefault="00084F36">
    <w:pPr>
      <w:pStyle w:val="BodyText"/>
      <w:spacing w:line="14" w:lineRule="auto"/>
      <w:rPr>
        <w:sz w:val="2"/>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5B52" w14:textId="77777777" w:rsidR="0019412D" w:rsidRDefault="0019412D">
    <w:pPr>
      <w:pStyle w:val="BodyText"/>
      <w:spacing w:line="14" w:lineRule="auto"/>
      <w:rPr>
        <w:sz w:val="2"/>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D0ADB" w14:textId="77777777" w:rsidR="00084F36" w:rsidRDefault="00084F36">
    <w:pPr>
      <w:pStyle w:val="BodyText"/>
      <w:spacing w:line="14" w:lineRule="auto"/>
      <w:rPr>
        <w:sz w:val="2"/>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2372" w14:textId="77777777" w:rsidR="00084F36" w:rsidRDefault="00084F36">
    <w:pPr>
      <w:pStyle w:val="BodyText"/>
      <w:spacing w:line="14" w:lineRule="auto"/>
      <w:rPr>
        <w:sz w:val="2"/>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9179B" w14:textId="77777777" w:rsidR="0019412D" w:rsidRDefault="0019412D">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11AF7" w14:textId="77777777" w:rsidR="00084F36" w:rsidRDefault="00EB2BD8">
    <w:pPr>
      <w:pStyle w:val="BodyText"/>
      <w:spacing w:line="14" w:lineRule="auto"/>
      <w:rPr>
        <w:sz w:val="20"/>
      </w:rPr>
    </w:pPr>
    <w:r>
      <w:rPr>
        <w:noProof/>
      </w:rPr>
      <mc:AlternateContent>
        <mc:Choice Requires="wps">
          <w:drawing>
            <wp:anchor distT="0" distB="0" distL="0" distR="0" simplePos="0" relativeHeight="251310080" behindDoc="1" locked="0" layoutInCell="1" allowOverlap="1" wp14:anchorId="53C8725D" wp14:editId="4170D150">
              <wp:simplePos x="0" y="0"/>
              <wp:positionH relativeFrom="page">
                <wp:posOffset>1197842</wp:posOffset>
              </wp:positionH>
              <wp:positionV relativeFrom="page">
                <wp:posOffset>10225409</wp:posOffset>
              </wp:positionV>
              <wp:extent cx="2555875" cy="14351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72B10B99"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53C8725D" id="_x0000_t202" coordsize="21600,21600" o:spt="202" path="m,l,21600r21600,l21600,xe">
              <v:stroke joinstyle="miter"/>
              <v:path gradientshapeok="t" o:connecttype="rect"/>
            </v:shapetype>
            <v:shape id="Textbox 159" o:spid="_x0000_s1088" type="#_x0000_t202" style="position:absolute;margin-left:94.3pt;margin-top:805.15pt;width:201.25pt;height:11.3pt;z-index:-25200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" filled="f" stroked="f">
              <v:textbox inset="0,0,0,0">
                <w:txbxContent>
                  <w:p w14:paraId="72B10B99"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316224" behindDoc="1" locked="0" layoutInCell="1" allowOverlap="1" wp14:anchorId="40F66AA6" wp14:editId="201AC600">
              <wp:simplePos x="0" y="0"/>
              <wp:positionH relativeFrom="page">
                <wp:posOffset>496599</wp:posOffset>
              </wp:positionH>
              <wp:positionV relativeFrom="page">
                <wp:posOffset>10229676</wp:posOffset>
              </wp:positionV>
              <wp:extent cx="188595" cy="14224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142240"/>
                      </a:xfrm>
                      <a:prstGeom prst="rect">
                        <a:avLst/>
                      </a:prstGeom>
                    </wps:spPr>
                    <wps:txbx>
                      <w:txbxContent>
                        <w:p w14:paraId="437B38D3" w14:textId="77777777" w:rsidR="00084F36" w:rsidRDefault="00EB2BD8">
                          <w:pPr>
                            <w:spacing w:before="15"/>
                            <w:ind w:left="60"/>
                            <w:rPr>
                              <w:sz w:val="16"/>
                            </w:rPr>
                          </w:pPr>
                          <w:r>
                            <w:rPr>
                              <w:spacing w:val="-5"/>
                              <w:w w:val="85"/>
                              <w:sz w:val="16"/>
                            </w:rPr>
                            <w:fldChar w:fldCharType="begin"/>
                          </w:r>
                          <w:r>
                            <w:rPr>
                              <w:spacing w:val="-5"/>
                              <w:w w:val="85"/>
                              <w:sz w:val="16"/>
                            </w:rPr>
                            <w:instrText xml:space="preserve"> PAGE </w:instrText>
                          </w:r>
                          <w:r>
                            <w:rPr>
                              <w:spacing w:val="-5"/>
                              <w:w w:val="85"/>
                              <w:sz w:val="16"/>
                            </w:rPr>
                            <w:fldChar w:fldCharType="separate"/>
                          </w:r>
                          <w:r>
                            <w:rPr>
                              <w:spacing w:val="-5"/>
                              <w:w w:val="85"/>
                              <w:sz w:val="16"/>
                            </w:rPr>
                            <w:t>14</w:t>
                          </w:r>
                          <w:r>
                            <w:rPr>
                              <w:spacing w:val="-5"/>
                              <w:w w:val="85"/>
                              <w:sz w:val="16"/>
                            </w:rPr>
                            <w:fldChar w:fldCharType="end"/>
                          </w:r>
                        </w:p>
                      </w:txbxContent>
                    </wps:txbx>
                    <wps:bodyPr wrap="square" lIns="0" tIns="0" rIns="0" bIns="0" rtlCol="0">
                      <a:noAutofit/>
                    </wps:bodyPr>
                  </wps:wsp>
                </a:graphicData>
              </a:graphic>
            </wp:anchor>
          </w:drawing>
        </mc:Choice>
        <mc:Fallback>
          <w:pict>
            <v:shape w14:anchorId="40F66AA6" id="Textbox 160" o:spid="_x0000_s1089" type="#_x0000_t202" style="position:absolute;margin-left:39.1pt;margin-top:805.5pt;width:14.85pt;height:11.2pt;z-index:-25200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" filled="f" stroked="f">
              <v:textbox inset="0,0,0,0">
                <w:txbxContent>
                  <w:p w14:paraId="437B38D3" w14:textId="77777777" w:rsidR="00084F36" w:rsidRDefault="00EB2BD8">
                    <w:pPr>
                      <w:spacing w:before="15"/>
                      <w:ind w:left="60"/>
                      <w:rPr>
                        <w:sz w:val="16"/>
                      </w:rPr>
                    </w:pPr>
                    <w:r>
                      <w:rPr>
                        <w:spacing w:val="-5"/>
                        <w:w w:val="85"/>
                        <w:sz w:val="16"/>
                      </w:rPr>
                      <w:fldChar w:fldCharType="begin"/>
                    </w:r>
                    <w:r>
                      <w:rPr>
                        <w:spacing w:val="-5"/>
                        <w:w w:val="85"/>
                        <w:sz w:val="16"/>
                      </w:rPr>
                      <w:instrText xml:space="preserve"> PAGE </w:instrText>
                    </w:r>
                    <w:r>
                      <w:rPr>
                        <w:spacing w:val="-5"/>
                        <w:w w:val="85"/>
                        <w:sz w:val="16"/>
                      </w:rPr>
                      <w:fldChar w:fldCharType="separate"/>
                    </w:r>
                    <w:r>
                      <w:rPr>
                        <w:spacing w:val="-5"/>
                        <w:w w:val="85"/>
                        <w:sz w:val="16"/>
                      </w:rPr>
                      <w:t>14</w:t>
                    </w:r>
                    <w:r>
                      <w:rPr>
                        <w:spacing w:val="-5"/>
                        <w:w w:val="85"/>
                        <w:sz w:val="16"/>
                      </w:rP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7EA0" w14:textId="77777777" w:rsidR="00084F36" w:rsidRDefault="00084F36">
    <w:pPr>
      <w:pStyle w:val="BodyText"/>
      <w:spacing w:line="14" w:lineRule="auto"/>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52FFC" w14:textId="77777777" w:rsidR="00084F36" w:rsidRDefault="00084F36">
    <w:pPr>
      <w:pStyle w:val="BodyText"/>
      <w:spacing w:line="14" w:lineRule="auto"/>
      <w:rPr>
        <w:sz w:val="2"/>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D53A" w14:textId="77777777" w:rsidR="0019412D" w:rsidRDefault="0019412D">
    <w:pPr>
      <w:pStyle w:val="BodyText"/>
      <w:spacing w:line="14" w:lineRule="auto"/>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A5F0" w14:textId="77777777" w:rsidR="00084F36" w:rsidRDefault="00084F36">
    <w:pPr>
      <w:pStyle w:val="BodyText"/>
      <w:spacing w:line="14" w:lineRule="auto"/>
      <w:rPr>
        <w:sz w:val="2"/>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F644" w14:textId="77777777" w:rsidR="00084F36" w:rsidRDefault="00084F36">
    <w:pPr>
      <w:pStyle w:val="BodyText"/>
      <w:spacing w:line="14" w:lineRule="auto"/>
      <w:rPr>
        <w:sz w:val="2"/>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34E21" w14:textId="77777777" w:rsidR="0019412D" w:rsidRDefault="0019412D">
    <w:pPr>
      <w:pStyle w:val="BodyText"/>
      <w:spacing w:line="14" w:lineRule="auto"/>
      <w:rPr>
        <w:sz w:val="2"/>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43D52" w14:textId="77777777" w:rsidR="00084F36" w:rsidRDefault="00084F36">
    <w:pPr>
      <w:pStyle w:val="BodyText"/>
      <w:spacing w:line="14" w:lineRule="auto"/>
      <w:rPr>
        <w:sz w:val="2"/>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C1E52" w14:textId="77777777" w:rsidR="00084F36" w:rsidRDefault="00084F36">
    <w:pPr>
      <w:pStyle w:val="BodyText"/>
      <w:spacing w:line="14" w:lineRule="auto"/>
      <w:rPr>
        <w:sz w:val="2"/>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0EEB" w14:textId="77777777" w:rsidR="0019412D" w:rsidRDefault="0019412D">
    <w:pPr>
      <w:pStyle w:val="BodyText"/>
      <w:spacing w:line="14" w:lineRule="auto"/>
      <w:rPr>
        <w:sz w:val="2"/>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46B2" w14:textId="77777777" w:rsidR="00084F36" w:rsidRDefault="00084F36">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CDEED" w14:textId="4D51592B" w:rsidR="00084F36" w:rsidRDefault="00084F36">
    <w:pPr>
      <w:pStyle w:val="BodyText"/>
      <w:spacing w:line="14" w:lineRule="auto"/>
      <w:rPr>
        <w:sz w:val="20"/>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C537" w14:textId="77777777" w:rsidR="00084F36" w:rsidRDefault="00084F36">
    <w:pPr>
      <w:pStyle w:val="BodyText"/>
      <w:spacing w:line="14" w:lineRule="auto"/>
      <w:rPr>
        <w:sz w:val="2"/>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0169" w14:textId="77777777" w:rsidR="0019412D" w:rsidRDefault="0019412D">
    <w:pPr>
      <w:pStyle w:val="BodyText"/>
      <w:spacing w:line="14" w:lineRule="auto"/>
      <w:rPr>
        <w:sz w:val="2"/>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C84DF" w14:textId="77777777" w:rsidR="00084F36" w:rsidRDefault="00084F36">
    <w:pPr>
      <w:pStyle w:val="BodyText"/>
      <w:spacing w:line="14" w:lineRule="auto"/>
      <w:rPr>
        <w:sz w:val="2"/>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D0843" w14:textId="77777777" w:rsidR="00084F36" w:rsidRDefault="00084F36">
    <w:pPr>
      <w:pStyle w:val="BodyText"/>
      <w:spacing w:line="14" w:lineRule="auto"/>
      <w:rPr>
        <w:sz w:val="2"/>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05F5" w14:textId="77777777" w:rsidR="0019412D" w:rsidRDefault="0019412D">
    <w:pPr>
      <w:pStyle w:val="BodyText"/>
      <w:spacing w:line="14" w:lineRule="auto"/>
      <w:rPr>
        <w:sz w:val="2"/>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1B211" w14:textId="77777777" w:rsidR="00084F36" w:rsidRDefault="00084F36">
    <w:pPr>
      <w:pStyle w:val="BodyText"/>
      <w:spacing w:line="14" w:lineRule="auto"/>
      <w:rPr>
        <w:sz w:val="2"/>
      </w:rP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8B50" w14:textId="77777777" w:rsidR="00084F36" w:rsidRDefault="00084F36">
    <w:pPr>
      <w:pStyle w:val="BodyText"/>
      <w:spacing w:line="14" w:lineRule="auto"/>
      <w:rPr>
        <w:sz w:val="2"/>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32C81" w14:textId="77777777" w:rsidR="0019412D" w:rsidRDefault="0019412D">
    <w:pPr>
      <w:pStyle w:val="BodyText"/>
      <w:spacing w:line="14" w:lineRule="auto"/>
      <w:rPr>
        <w:sz w:val="2"/>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271E8" w14:textId="77777777" w:rsidR="00084F36" w:rsidRDefault="00084F36">
    <w:pPr>
      <w:pStyle w:val="BodyText"/>
      <w:spacing w:line="14" w:lineRule="auto"/>
      <w:rPr>
        <w:sz w:val="2"/>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3CAE" w14:textId="77777777" w:rsidR="00084F36" w:rsidRDefault="00084F36">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B285" w14:textId="77777777" w:rsidR="0019412D" w:rsidRDefault="0019412D">
    <w:pPr>
      <w:pStyle w:val="BodyText"/>
      <w:spacing w:line="14" w:lineRule="auto"/>
      <w:rPr>
        <w:sz w:val="20"/>
      </w:rP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0DC60" w14:textId="77777777" w:rsidR="0019412D" w:rsidRDefault="0019412D">
    <w:pPr>
      <w:pStyle w:val="BodyText"/>
      <w:spacing w:line="14" w:lineRule="auto"/>
      <w:rPr>
        <w:sz w:val="2"/>
      </w:rP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FCDB" w14:textId="77777777" w:rsidR="00084F36" w:rsidRDefault="00084F36">
    <w:pPr>
      <w:pStyle w:val="BodyText"/>
      <w:spacing w:line="14" w:lineRule="auto"/>
      <w:rPr>
        <w:sz w:val="2"/>
      </w:rP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70F7" w14:textId="77777777" w:rsidR="00084F36" w:rsidRDefault="00084F36">
    <w:pPr>
      <w:pStyle w:val="BodyText"/>
      <w:spacing w:line="14" w:lineRule="auto"/>
      <w:rPr>
        <w:sz w:val="2"/>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1786" w14:textId="77777777" w:rsidR="0019412D" w:rsidRDefault="0019412D">
    <w:pPr>
      <w:pStyle w:val="BodyText"/>
      <w:spacing w:line="14" w:lineRule="auto"/>
      <w:rPr>
        <w:sz w:val="2"/>
      </w:rP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70112" w14:textId="77777777" w:rsidR="00084F36" w:rsidRDefault="00084F36">
    <w:pPr>
      <w:pStyle w:val="BodyText"/>
      <w:spacing w:line="14" w:lineRule="auto"/>
      <w:rPr>
        <w:sz w:val="2"/>
      </w:rP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4082" w14:textId="77777777" w:rsidR="0019412D" w:rsidRDefault="0019412D">
    <w:pPr>
      <w:pStyle w:val="BodyText"/>
      <w:spacing w:line="14" w:lineRule="auto"/>
      <w:rPr>
        <w:sz w:val="2"/>
      </w:rP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0E89" w14:textId="77777777" w:rsidR="00084F36" w:rsidRDefault="00084F36">
    <w:pPr>
      <w:pStyle w:val="BodyText"/>
      <w:spacing w:line="14" w:lineRule="auto"/>
      <w:rPr>
        <w:sz w:val="2"/>
      </w:rP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8F86" w14:textId="77777777" w:rsidR="00084F36" w:rsidRDefault="00084F36">
    <w:pPr>
      <w:pStyle w:val="BodyText"/>
      <w:spacing w:line="14" w:lineRule="auto"/>
      <w:rPr>
        <w:sz w:val="2"/>
      </w:rP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1FA2" w14:textId="77777777" w:rsidR="0019412D" w:rsidRDefault="0019412D">
    <w:pPr>
      <w:pStyle w:val="BodyText"/>
      <w:spacing w:line="14" w:lineRule="auto"/>
      <w:rPr>
        <w:sz w:val="2"/>
      </w:rP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76320" w14:textId="77777777" w:rsidR="00084F36" w:rsidRDefault="00084F36">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BF870" w14:textId="77777777" w:rsidR="00084F36" w:rsidRDefault="00EB2BD8">
    <w:pPr>
      <w:pStyle w:val="BodyText"/>
      <w:spacing w:line="14" w:lineRule="auto"/>
      <w:rPr>
        <w:sz w:val="20"/>
      </w:rPr>
    </w:pPr>
    <w:r>
      <w:rPr>
        <w:noProof/>
      </w:rPr>
      <mc:AlternateContent>
        <mc:Choice Requires="wps">
          <w:drawing>
            <wp:anchor distT="0" distB="0" distL="0" distR="0" simplePos="0" relativeHeight="251340800" behindDoc="1" locked="0" layoutInCell="1" allowOverlap="1" wp14:anchorId="7B9A2BF3" wp14:editId="6CF7BD9E">
              <wp:simplePos x="0" y="0"/>
              <wp:positionH relativeFrom="page">
                <wp:posOffset>1197842</wp:posOffset>
              </wp:positionH>
              <wp:positionV relativeFrom="page">
                <wp:posOffset>10225409</wp:posOffset>
              </wp:positionV>
              <wp:extent cx="2555875" cy="1435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641A3BBB"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7B9A2BF3" id="_x0000_t202" coordsize="21600,21600" o:spt="202" path="m,l,21600r21600,l21600,xe">
              <v:stroke joinstyle="miter"/>
              <v:path gradientshapeok="t" o:connecttype="rect"/>
            </v:shapetype>
            <v:shape id="Textbox 169" o:spid="_x0000_s1091" type="#_x0000_t202" style="position:absolute;margin-left:94.3pt;margin-top:805.15pt;width:201.25pt;height:11.3pt;z-index:-25197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" filled="f" stroked="f">
              <v:textbox inset="0,0,0,0">
                <w:txbxContent>
                  <w:p w14:paraId="641A3BBB"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346944" behindDoc="1" locked="0" layoutInCell="1" allowOverlap="1" wp14:anchorId="46822F72" wp14:editId="7732473D">
              <wp:simplePos x="0" y="0"/>
              <wp:positionH relativeFrom="page">
                <wp:posOffset>496599</wp:posOffset>
              </wp:positionH>
              <wp:positionV relativeFrom="page">
                <wp:posOffset>10229676</wp:posOffset>
              </wp:positionV>
              <wp:extent cx="187960" cy="14224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42240"/>
                      </a:xfrm>
                      <a:prstGeom prst="rect">
                        <a:avLst/>
                      </a:prstGeom>
                    </wps:spPr>
                    <wps:txbx>
                      <w:txbxContent>
                        <w:p w14:paraId="0780D9DF" w14:textId="77777777" w:rsidR="00084F36" w:rsidRDefault="00EB2BD8">
                          <w:pPr>
                            <w:spacing w:before="15"/>
                            <w:ind w:left="60"/>
                            <w:rPr>
                              <w:sz w:val="16"/>
                            </w:rPr>
                          </w:pPr>
                          <w:r>
                            <w:rPr>
                              <w:spacing w:val="-5"/>
                              <w:w w:val="85"/>
                              <w:sz w:val="16"/>
                            </w:rPr>
                            <w:fldChar w:fldCharType="begin"/>
                          </w:r>
                          <w:r>
                            <w:rPr>
                              <w:spacing w:val="-5"/>
                              <w:w w:val="85"/>
                              <w:sz w:val="16"/>
                            </w:rPr>
                            <w:instrText xml:space="preserve"> PAGE </w:instrText>
                          </w:r>
                          <w:r>
                            <w:rPr>
                              <w:spacing w:val="-5"/>
                              <w:w w:val="85"/>
                              <w:sz w:val="16"/>
                            </w:rPr>
                            <w:fldChar w:fldCharType="separate"/>
                          </w:r>
                          <w:r>
                            <w:rPr>
                              <w:spacing w:val="-5"/>
                              <w:w w:val="85"/>
                              <w:sz w:val="16"/>
                            </w:rPr>
                            <w:t>16</w:t>
                          </w:r>
                          <w:r>
                            <w:rPr>
                              <w:spacing w:val="-5"/>
                              <w:w w:val="85"/>
                              <w:sz w:val="16"/>
                            </w:rPr>
                            <w:fldChar w:fldCharType="end"/>
                          </w:r>
                        </w:p>
                      </w:txbxContent>
                    </wps:txbx>
                    <wps:bodyPr wrap="square" lIns="0" tIns="0" rIns="0" bIns="0" rtlCol="0">
                      <a:noAutofit/>
                    </wps:bodyPr>
                  </wps:wsp>
                </a:graphicData>
              </a:graphic>
            </wp:anchor>
          </w:drawing>
        </mc:Choice>
        <mc:Fallback>
          <w:pict>
            <v:shape w14:anchorId="46822F72" id="Textbox 170" o:spid="_x0000_s1092" type="#_x0000_t202" style="position:absolute;margin-left:39.1pt;margin-top:805.5pt;width:14.8pt;height:11.2pt;z-index:-25196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" filled="f" stroked="f">
              <v:textbox inset="0,0,0,0">
                <w:txbxContent>
                  <w:p w14:paraId="0780D9DF" w14:textId="77777777" w:rsidR="00084F36" w:rsidRDefault="00EB2BD8">
                    <w:pPr>
                      <w:spacing w:before="15"/>
                      <w:ind w:left="60"/>
                      <w:rPr>
                        <w:sz w:val="16"/>
                      </w:rPr>
                    </w:pPr>
                    <w:r>
                      <w:rPr>
                        <w:spacing w:val="-5"/>
                        <w:w w:val="85"/>
                        <w:sz w:val="16"/>
                      </w:rPr>
                      <w:fldChar w:fldCharType="begin"/>
                    </w:r>
                    <w:r>
                      <w:rPr>
                        <w:spacing w:val="-5"/>
                        <w:w w:val="85"/>
                        <w:sz w:val="16"/>
                      </w:rPr>
                      <w:instrText xml:space="preserve"> PAGE </w:instrText>
                    </w:r>
                    <w:r>
                      <w:rPr>
                        <w:spacing w:val="-5"/>
                        <w:w w:val="85"/>
                        <w:sz w:val="16"/>
                      </w:rPr>
                      <w:fldChar w:fldCharType="separate"/>
                    </w:r>
                    <w:r>
                      <w:rPr>
                        <w:spacing w:val="-5"/>
                        <w:w w:val="85"/>
                        <w:sz w:val="16"/>
                      </w:rPr>
                      <w:t>16</w:t>
                    </w:r>
                    <w:r>
                      <w:rPr>
                        <w:spacing w:val="-5"/>
                        <w:w w:val="85"/>
                        <w:sz w:val="16"/>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18BDD" w14:textId="77777777" w:rsidR="00084F36" w:rsidRDefault="00084F36">
    <w:pPr>
      <w:pStyle w:val="BodyText"/>
      <w:spacing w:line="14" w:lineRule="auto"/>
      <w:rPr>
        <w:sz w:val="2"/>
      </w:rP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FA275" w14:textId="77777777" w:rsidR="0019412D" w:rsidRDefault="0019412D">
    <w:pPr>
      <w:pStyle w:val="BodyText"/>
      <w:spacing w:line="14" w:lineRule="auto"/>
      <w:rPr>
        <w:sz w:val="2"/>
      </w:rP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EA6D" w14:textId="77777777" w:rsidR="00084F36" w:rsidRDefault="00084F36">
    <w:pPr>
      <w:pStyle w:val="BodyText"/>
      <w:spacing w:line="14" w:lineRule="auto"/>
      <w:rPr>
        <w:sz w:val="2"/>
      </w:rP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5D7FC" w14:textId="77777777" w:rsidR="00084F36" w:rsidRDefault="00084F36">
    <w:pPr>
      <w:pStyle w:val="BodyText"/>
      <w:spacing w:line="14" w:lineRule="auto"/>
      <w:rPr>
        <w:sz w:val="2"/>
      </w:rP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A73C" w14:textId="77777777" w:rsidR="0019412D" w:rsidRDefault="0019412D">
    <w:pPr>
      <w:pStyle w:val="BodyText"/>
      <w:spacing w:line="14" w:lineRule="auto"/>
      <w:rPr>
        <w:sz w:val="2"/>
      </w:rP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E7E4" w14:textId="77777777" w:rsidR="00084F36" w:rsidRDefault="00084F36">
    <w:pPr>
      <w:pStyle w:val="BodyText"/>
      <w:spacing w:line="14" w:lineRule="auto"/>
      <w:rPr>
        <w:sz w:val="2"/>
      </w:rP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6DE8" w14:textId="77777777" w:rsidR="00084F36" w:rsidRDefault="00084F36">
    <w:pPr>
      <w:pStyle w:val="BodyText"/>
      <w:spacing w:line="14" w:lineRule="auto"/>
      <w:rPr>
        <w:sz w:val="2"/>
      </w:rP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AFA6" w14:textId="77777777" w:rsidR="00084F36" w:rsidRDefault="00084F36">
    <w:pPr>
      <w:pStyle w:val="BodyText"/>
      <w:spacing w:line="14" w:lineRule="auto"/>
      <w:rPr>
        <w:sz w:val="2"/>
      </w:rP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3F36" w14:textId="77777777" w:rsidR="0019412D" w:rsidRDefault="0019412D">
    <w:pPr>
      <w:pStyle w:val="BodyText"/>
      <w:spacing w:line="14" w:lineRule="auto"/>
      <w:rPr>
        <w:sz w:val="2"/>
      </w:rP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2F05" w14:textId="77777777" w:rsidR="00084F36" w:rsidRDefault="00084F36">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73A13" w14:textId="6BBFB80F" w:rsidR="00084F36" w:rsidRDefault="00084F36">
    <w:pPr>
      <w:pStyle w:val="BodyText"/>
      <w:spacing w:line="14" w:lineRule="auto"/>
      <w:rPr>
        <w:sz w:val="20"/>
      </w:rP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89EE6" w14:textId="77777777" w:rsidR="00084F36" w:rsidRDefault="00084F36">
    <w:pPr>
      <w:pStyle w:val="BodyText"/>
      <w:spacing w:line="14" w:lineRule="auto"/>
      <w:rPr>
        <w:sz w:val="2"/>
      </w:rP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5778" w14:textId="77777777" w:rsidR="0019412D" w:rsidRDefault="0019412D">
    <w:pPr>
      <w:pStyle w:val="BodyText"/>
      <w:spacing w:line="14" w:lineRule="auto"/>
      <w:rPr>
        <w:sz w:val="2"/>
      </w:rP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61B0" w14:textId="77777777" w:rsidR="00084F36" w:rsidRDefault="00084F36">
    <w:pPr>
      <w:pStyle w:val="BodyText"/>
      <w:spacing w:line="14" w:lineRule="auto"/>
      <w:rPr>
        <w:sz w:val="2"/>
      </w:rP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0F27A" w14:textId="77777777" w:rsidR="00084F36" w:rsidRDefault="00084F36">
    <w:pPr>
      <w:pStyle w:val="BodyText"/>
      <w:spacing w:line="14" w:lineRule="auto"/>
      <w:rPr>
        <w:sz w:val="2"/>
      </w:rP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E629C" w14:textId="77777777" w:rsidR="00084F36" w:rsidRDefault="00084F36">
    <w:pPr>
      <w:pStyle w:val="BodyText"/>
      <w:spacing w:line="14" w:lineRule="auto"/>
      <w:rPr>
        <w:sz w:val="2"/>
      </w:rP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CB05" w14:textId="77777777" w:rsidR="00084F36" w:rsidRDefault="00084F36">
    <w:pPr>
      <w:pStyle w:val="BodyText"/>
      <w:spacing w:line="14" w:lineRule="auto"/>
      <w:rPr>
        <w:sz w:val="2"/>
      </w:rP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3464" w14:textId="77777777" w:rsidR="00084F36" w:rsidRDefault="00084F36">
    <w:pPr>
      <w:pStyle w:val="BodyText"/>
      <w:spacing w:line="14" w:lineRule="auto"/>
      <w:rPr>
        <w:sz w:val="2"/>
      </w:rP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A24D6" w14:textId="77777777" w:rsidR="00084F36" w:rsidRDefault="00084F36">
    <w:pPr>
      <w:pStyle w:val="BodyText"/>
      <w:spacing w:line="14" w:lineRule="auto"/>
      <w:rPr>
        <w:sz w:val="2"/>
      </w:rP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C8EE0" w14:textId="77777777" w:rsidR="00084F36" w:rsidRDefault="00084F36">
    <w:pPr>
      <w:pStyle w:val="BodyText"/>
      <w:spacing w:line="14" w:lineRule="auto"/>
      <w:rPr>
        <w:sz w:val="2"/>
      </w:rP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757A2" w14:textId="77777777" w:rsidR="00084F36" w:rsidRDefault="00084F36">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B756D" w14:textId="77777777" w:rsidR="0019412D" w:rsidRDefault="0019412D">
    <w:pPr>
      <w:pStyle w:val="BodyText"/>
      <w:spacing w:line="14" w:lineRule="auto"/>
      <w:rPr>
        <w:sz w:val="20"/>
      </w:rP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721C4" w14:textId="77777777" w:rsidR="00084F36" w:rsidRDefault="00084F36">
    <w:pPr>
      <w:pStyle w:val="BodyText"/>
      <w:spacing w:line="14" w:lineRule="auto"/>
      <w:rPr>
        <w:sz w:val="2"/>
      </w:rP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7043" w14:textId="77777777" w:rsidR="00084F36" w:rsidRDefault="00084F36">
    <w:pPr>
      <w:pStyle w:val="BodyText"/>
      <w:spacing w:line="14" w:lineRule="auto"/>
      <w:rPr>
        <w:sz w:val="2"/>
      </w:rP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67255" w14:textId="77777777" w:rsidR="00084F36" w:rsidRDefault="00084F36">
    <w:pPr>
      <w:pStyle w:val="BodyText"/>
      <w:spacing w:line="14" w:lineRule="auto"/>
      <w:rPr>
        <w:sz w:val="2"/>
      </w:rP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53233" w14:textId="77777777" w:rsidR="00084F36" w:rsidRDefault="00084F36">
    <w:pPr>
      <w:pStyle w:val="BodyText"/>
      <w:spacing w:line="14" w:lineRule="auto"/>
      <w:rPr>
        <w:sz w:val="2"/>
      </w:rP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6C7F" w14:textId="77777777" w:rsidR="00084F36" w:rsidRDefault="00084F36">
    <w:pPr>
      <w:pStyle w:val="BodyText"/>
      <w:spacing w:line="14" w:lineRule="auto"/>
      <w:rPr>
        <w:sz w:val="2"/>
      </w:rP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E993" w14:textId="77777777" w:rsidR="00084F36" w:rsidRDefault="00084F36">
    <w:pPr>
      <w:pStyle w:val="BodyText"/>
      <w:spacing w:line="14" w:lineRule="auto"/>
      <w:rPr>
        <w:sz w:val="2"/>
      </w:rP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72D3" w14:textId="77777777" w:rsidR="0019412D" w:rsidRDefault="0019412D">
    <w:pPr>
      <w:pStyle w:val="BodyText"/>
      <w:spacing w:line="14" w:lineRule="auto"/>
      <w:rPr>
        <w:sz w:val="2"/>
      </w:rP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550C8" w14:textId="77777777" w:rsidR="00084F36" w:rsidRDefault="00EB2BD8">
    <w:pPr>
      <w:pStyle w:val="BodyText"/>
      <w:spacing w:line="14" w:lineRule="auto"/>
      <w:rPr>
        <w:sz w:val="19"/>
      </w:rPr>
    </w:pPr>
    <w:r>
      <w:rPr>
        <w:noProof/>
      </w:rPr>
      <mc:AlternateContent>
        <mc:Choice Requires="wps">
          <w:drawing>
            <wp:anchor distT="0" distB="0" distL="0" distR="0" simplePos="0" relativeHeight="252066816" behindDoc="1" locked="0" layoutInCell="1" allowOverlap="1" wp14:anchorId="4DCE19FF" wp14:editId="76C832E3">
              <wp:simplePos x="0" y="0"/>
              <wp:positionH relativeFrom="page">
                <wp:posOffset>1197842</wp:posOffset>
              </wp:positionH>
              <wp:positionV relativeFrom="page">
                <wp:posOffset>10225409</wp:posOffset>
              </wp:positionV>
              <wp:extent cx="2555875" cy="143510"/>
              <wp:effectExtent l="0" t="0" r="0" b="0"/>
              <wp:wrapNone/>
              <wp:docPr id="1186" name="Text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145F8381"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4DCE19FF" id="_x0000_t202" coordsize="21600,21600" o:spt="202" path="m,l,21600r21600,l21600,xe">
              <v:stroke joinstyle="miter"/>
              <v:path gradientshapeok="t" o:connecttype="rect"/>
            </v:shapetype>
            <v:shape id="Textbox 1186" o:spid="_x0000_s1135" type="#_x0000_t202" style="position:absolute;margin-left:94.3pt;margin-top:805.15pt;width:201.25pt;height:11.3pt;z-index:-25124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" filled="f" stroked="f">
              <v:textbox inset="0,0,0,0">
                <w:txbxContent>
                  <w:p w14:paraId="145F8381"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2068864" behindDoc="1" locked="0" layoutInCell="1" allowOverlap="1" wp14:anchorId="795513D7" wp14:editId="4FE7162A">
              <wp:simplePos x="0" y="0"/>
              <wp:positionH relativeFrom="page">
                <wp:posOffset>496599</wp:posOffset>
              </wp:positionH>
              <wp:positionV relativeFrom="page">
                <wp:posOffset>10229676</wp:posOffset>
              </wp:positionV>
              <wp:extent cx="250190" cy="150495"/>
              <wp:effectExtent l="0" t="0" r="0" b="0"/>
              <wp:wrapNone/>
              <wp:docPr id="1187" name="Text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50495"/>
                      </a:xfrm>
                      <a:prstGeom prst="rect">
                        <a:avLst/>
                      </a:prstGeom>
                    </wps:spPr>
                    <wps:txbx>
                      <w:txbxContent>
                        <w:p w14:paraId="7A4AB41D" w14:textId="77777777" w:rsidR="00084F36" w:rsidRDefault="00EB2BD8">
                          <w:pPr>
                            <w:spacing w:before="15"/>
                            <w:ind w:left="60"/>
                            <w:rPr>
                              <w:sz w:val="16"/>
                            </w:rPr>
                          </w:pPr>
                          <w:r>
                            <w:rPr>
                              <w:spacing w:val="-5"/>
                              <w:w w:val="95"/>
                              <w:sz w:val="16"/>
                            </w:rPr>
                            <w:fldChar w:fldCharType="begin"/>
                          </w:r>
                          <w:r>
                            <w:rPr>
                              <w:spacing w:val="-5"/>
                              <w:w w:val="95"/>
                              <w:sz w:val="16"/>
                            </w:rPr>
                            <w:instrText xml:space="preserve"> PAGE </w:instrText>
                          </w:r>
                          <w:r>
                            <w:rPr>
                              <w:spacing w:val="-5"/>
                              <w:w w:val="95"/>
                              <w:sz w:val="16"/>
                            </w:rPr>
                            <w:fldChar w:fldCharType="separate"/>
                          </w:r>
                          <w:r>
                            <w:rPr>
                              <w:spacing w:val="-5"/>
                              <w:w w:val="95"/>
                              <w:sz w:val="16"/>
                            </w:rPr>
                            <w:t>150</w:t>
                          </w:r>
                          <w:r>
                            <w:rPr>
                              <w:spacing w:val="-5"/>
                              <w:w w:val="95"/>
                              <w:sz w:val="16"/>
                            </w:rPr>
                            <w:fldChar w:fldCharType="end"/>
                          </w:r>
                        </w:p>
                      </w:txbxContent>
                    </wps:txbx>
                    <wps:bodyPr wrap="square" lIns="0" tIns="0" rIns="0" bIns="0" rtlCol="0">
                      <a:noAutofit/>
                    </wps:bodyPr>
                  </wps:wsp>
                </a:graphicData>
              </a:graphic>
            </wp:anchor>
          </w:drawing>
        </mc:Choice>
        <mc:Fallback>
          <w:pict>
            <v:shape w14:anchorId="795513D7" id="Textbox 1187" o:spid="_x0000_s1136" type="#_x0000_t202" style="position:absolute;margin-left:39.1pt;margin-top:805.5pt;width:19.7pt;height:11.85pt;z-index:-2512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" filled="f" stroked="f">
              <v:textbox inset="0,0,0,0">
                <w:txbxContent>
                  <w:p w14:paraId="7A4AB41D" w14:textId="77777777" w:rsidR="00084F36" w:rsidRDefault="00EB2BD8">
                    <w:pPr>
                      <w:spacing w:before="15"/>
                      <w:ind w:left="60"/>
                      <w:rPr>
                        <w:sz w:val="16"/>
                      </w:rPr>
                    </w:pPr>
                    <w:r>
                      <w:rPr>
                        <w:spacing w:val="-5"/>
                        <w:w w:val="95"/>
                        <w:sz w:val="16"/>
                      </w:rPr>
                      <w:fldChar w:fldCharType="begin"/>
                    </w:r>
                    <w:r>
                      <w:rPr>
                        <w:spacing w:val="-5"/>
                        <w:w w:val="95"/>
                        <w:sz w:val="16"/>
                      </w:rPr>
                      <w:instrText xml:space="preserve"> PAGE </w:instrText>
                    </w:r>
                    <w:r>
                      <w:rPr>
                        <w:spacing w:val="-5"/>
                        <w:w w:val="95"/>
                        <w:sz w:val="16"/>
                      </w:rPr>
                      <w:fldChar w:fldCharType="separate"/>
                    </w:r>
                    <w:r>
                      <w:rPr>
                        <w:spacing w:val="-5"/>
                        <w:w w:val="95"/>
                        <w:sz w:val="16"/>
                      </w:rPr>
                      <w:t>150</w:t>
                    </w:r>
                    <w:r>
                      <w:rPr>
                        <w:spacing w:val="-5"/>
                        <w:w w:val="95"/>
                        <w:sz w:val="16"/>
                      </w:rPr>
                      <w:fldChar w:fldCharType="end"/>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29168" w14:textId="2F42B678" w:rsidR="00084F36" w:rsidRDefault="00084F36">
    <w:pPr>
      <w:pStyle w:val="BodyText"/>
      <w:spacing w:line="14" w:lineRule="auto"/>
      <w:rPr>
        <w:sz w:val="20"/>
      </w:rP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1665" w14:textId="77777777" w:rsidR="0019412D" w:rsidRDefault="0019412D">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217C7" w14:textId="77777777" w:rsidR="00084F36" w:rsidRDefault="00EB2BD8">
    <w:pPr>
      <w:pStyle w:val="BodyText"/>
      <w:spacing w:line="14" w:lineRule="auto"/>
      <w:rPr>
        <w:sz w:val="20"/>
      </w:rPr>
    </w:pPr>
    <w:r>
      <w:rPr>
        <w:noProof/>
      </w:rPr>
      <mc:AlternateContent>
        <mc:Choice Requires="wps">
          <w:drawing>
            <wp:anchor distT="0" distB="0" distL="0" distR="0" simplePos="0" relativeHeight="251377664" behindDoc="1" locked="0" layoutInCell="1" allowOverlap="1" wp14:anchorId="2A26FC61" wp14:editId="3BE5A4B2">
              <wp:simplePos x="0" y="0"/>
              <wp:positionH relativeFrom="page">
                <wp:posOffset>1197842</wp:posOffset>
              </wp:positionH>
              <wp:positionV relativeFrom="page">
                <wp:posOffset>10225409</wp:posOffset>
              </wp:positionV>
              <wp:extent cx="2555875" cy="14351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62F890DE"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2A26FC61" id="_x0000_t202" coordsize="21600,21600" o:spt="202" path="m,l,21600r21600,l21600,xe">
              <v:stroke joinstyle="miter"/>
              <v:path gradientshapeok="t" o:connecttype="rect"/>
            </v:shapetype>
            <v:shape id="Textbox 208" o:spid="_x0000_s1094" type="#_x0000_t202" style="position:absolute;margin-left:94.3pt;margin-top:805.15pt;width:201.25pt;height:11.3pt;z-index:-25193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" filled="f" stroked="f">
              <v:textbox inset="0,0,0,0">
                <w:txbxContent>
                  <w:p w14:paraId="62F890DE"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383808" behindDoc="1" locked="0" layoutInCell="1" allowOverlap="1" wp14:anchorId="690F076D" wp14:editId="73EC1ACD">
              <wp:simplePos x="0" y="0"/>
              <wp:positionH relativeFrom="page">
                <wp:posOffset>496599</wp:posOffset>
              </wp:positionH>
              <wp:positionV relativeFrom="page">
                <wp:posOffset>10229676</wp:posOffset>
              </wp:positionV>
              <wp:extent cx="208915"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42240"/>
                      </a:xfrm>
                      <a:prstGeom prst="rect">
                        <a:avLst/>
                      </a:prstGeom>
                    </wps:spPr>
                    <wps:txbx>
                      <w:txbxContent>
                        <w:p w14:paraId="7CE9EAC4"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20</w:t>
                          </w:r>
                          <w:r>
                            <w:rPr>
                              <w:spacing w:val="-5"/>
                              <w:sz w:val="16"/>
                            </w:rPr>
                            <w:fldChar w:fldCharType="end"/>
                          </w:r>
                        </w:p>
                      </w:txbxContent>
                    </wps:txbx>
                    <wps:bodyPr wrap="square" lIns="0" tIns="0" rIns="0" bIns="0" rtlCol="0">
                      <a:noAutofit/>
                    </wps:bodyPr>
                  </wps:wsp>
                </a:graphicData>
              </a:graphic>
            </wp:anchor>
          </w:drawing>
        </mc:Choice>
        <mc:Fallback>
          <w:pict>
            <v:shape w14:anchorId="690F076D" id="Textbox 209" o:spid="_x0000_s1095" type="#_x0000_t202" style="position:absolute;margin-left:39.1pt;margin-top:805.5pt;width:16.45pt;height:11.2pt;z-index:-2519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" filled="f" stroked="f">
              <v:textbox inset="0,0,0,0">
                <w:txbxContent>
                  <w:p w14:paraId="7CE9EAC4"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20</w:t>
                    </w:r>
                    <w:r>
                      <w:rPr>
                        <w:spacing w:val="-5"/>
                        <w:sz w:val="16"/>
                      </w:rPr>
                      <w:fldChar w:fldCharType="end"/>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A77BD" w14:textId="77777777" w:rsidR="00084F36" w:rsidRDefault="00EB2BD8">
    <w:pPr>
      <w:pStyle w:val="BodyText"/>
      <w:spacing w:line="14" w:lineRule="auto"/>
      <w:rPr>
        <w:sz w:val="20"/>
      </w:rPr>
    </w:pPr>
    <w:r>
      <w:rPr>
        <w:noProof/>
      </w:rPr>
      <mc:AlternateContent>
        <mc:Choice Requires="wps">
          <w:drawing>
            <wp:anchor distT="0" distB="0" distL="0" distR="0" simplePos="0" relativeHeight="252081152" behindDoc="1" locked="0" layoutInCell="1" allowOverlap="1" wp14:anchorId="65CA5F11" wp14:editId="1FADF920">
              <wp:simplePos x="0" y="0"/>
              <wp:positionH relativeFrom="page">
                <wp:posOffset>496599</wp:posOffset>
              </wp:positionH>
              <wp:positionV relativeFrom="page">
                <wp:posOffset>10235676</wp:posOffset>
              </wp:positionV>
              <wp:extent cx="247015" cy="142240"/>
              <wp:effectExtent l="0" t="0" r="0" b="0"/>
              <wp:wrapNone/>
              <wp:docPr id="1208" name="Text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42240"/>
                      </a:xfrm>
                      <a:prstGeom prst="rect">
                        <a:avLst/>
                      </a:prstGeom>
                    </wps:spPr>
                    <wps:txbx>
                      <w:txbxContent>
                        <w:p w14:paraId="1D1CB75B" w14:textId="77777777" w:rsidR="00084F36" w:rsidRDefault="00EB2BD8">
                          <w:pPr>
                            <w:spacing w:before="15"/>
                            <w:ind w:left="60"/>
                            <w:rPr>
                              <w:sz w:val="16"/>
                            </w:rPr>
                          </w:pPr>
                          <w:r>
                            <w:rPr>
                              <w:spacing w:val="-5"/>
                              <w:w w:val="90"/>
                              <w:sz w:val="16"/>
                            </w:rPr>
                            <w:fldChar w:fldCharType="begin"/>
                          </w:r>
                          <w:r>
                            <w:rPr>
                              <w:spacing w:val="-5"/>
                              <w:w w:val="90"/>
                              <w:sz w:val="16"/>
                            </w:rPr>
                            <w:instrText xml:space="preserve"> PAGE </w:instrText>
                          </w:r>
                          <w:r>
                            <w:rPr>
                              <w:spacing w:val="-5"/>
                              <w:w w:val="90"/>
                              <w:sz w:val="16"/>
                            </w:rPr>
                            <w:fldChar w:fldCharType="separate"/>
                          </w:r>
                          <w:r>
                            <w:rPr>
                              <w:spacing w:val="-5"/>
                              <w:w w:val="90"/>
                              <w:sz w:val="16"/>
                            </w:rPr>
                            <w:t>148</w:t>
                          </w:r>
                          <w:r>
                            <w:rPr>
                              <w:spacing w:val="-5"/>
                              <w:w w:val="90"/>
                              <w:sz w:val="16"/>
                            </w:rPr>
                            <w:fldChar w:fldCharType="end"/>
                          </w:r>
                        </w:p>
                      </w:txbxContent>
                    </wps:txbx>
                    <wps:bodyPr wrap="square" lIns="0" tIns="0" rIns="0" bIns="0" rtlCol="0">
                      <a:noAutofit/>
                    </wps:bodyPr>
                  </wps:wsp>
                </a:graphicData>
              </a:graphic>
            </wp:anchor>
          </w:drawing>
        </mc:Choice>
        <mc:Fallback>
          <w:pict>
            <v:shapetype w14:anchorId="65CA5F11" id="_x0000_t202" coordsize="21600,21600" o:spt="202" path="m,l,21600r21600,l21600,xe">
              <v:stroke joinstyle="miter"/>
              <v:path gradientshapeok="t" o:connecttype="rect"/>
            </v:shapetype>
            <v:shape id="Textbox 1208" o:spid="_x0000_s1138" type="#_x0000_t202" style="position:absolute;margin-left:39.1pt;margin-top:805.95pt;width:19.45pt;height:11.2pt;z-index:-25123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" filled="f" stroked="f">
              <v:textbox inset="0,0,0,0">
                <w:txbxContent>
                  <w:p w14:paraId="1D1CB75B" w14:textId="77777777" w:rsidR="00084F36" w:rsidRDefault="00EB2BD8">
                    <w:pPr>
                      <w:spacing w:before="15"/>
                      <w:ind w:left="60"/>
                      <w:rPr>
                        <w:sz w:val="16"/>
                      </w:rPr>
                    </w:pPr>
                    <w:r>
                      <w:rPr>
                        <w:spacing w:val="-5"/>
                        <w:w w:val="90"/>
                        <w:sz w:val="16"/>
                      </w:rPr>
                      <w:fldChar w:fldCharType="begin"/>
                    </w:r>
                    <w:r>
                      <w:rPr>
                        <w:spacing w:val="-5"/>
                        <w:w w:val="90"/>
                        <w:sz w:val="16"/>
                      </w:rPr>
                      <w:instrText xml:space="preserve"> PAGE </w:instrText>
                    </w:r>
                    <w:r>
                      <w:rPr>
                        <w:spacing w:val="-5"/>
                        <w:w w:val="90"/>
                        <w:sz w:val="16"/>
                      </w:rPr>
                      <w:fldChar w:fldCharType="separate"/>
                    </w:r>
                    <w:r>
                      <w:rPr>
                        <w:spacing w:val="-5"/>
                        <w:w w:val="90"/>
                        <w:sz w:val="16"/>
                      </w:rPr>
                      <w:t>148</w:t>
                    </w:r>
                    <w:r>
                      <w:rPr>
                        <w:spacing w:val="-5"/>
                        <w:w w:val="9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252083200" behindDoc="1" locked="0" layoutInCell="1" allowOverlap="1" wp14:anchorId="703B1451" wp14:editId="25876382">
              <wp:simplePos x="0" y="0"/>
              <wp:positionH relativeFrom="page">
                <wp:posOffset>1197842</wp:posOffset>
              </wp:positionH>
              <wp:positionV relativeFrom="page">
                <wp:posOffset>10231408</wp:posOffset>
              </wp:positionV>
              <wp:extent cx="2555875" cy="143510"/>
              <wp:effectExtent l="0" t="0" r="0" b="0"/>
              <wp:wrapNone/>
              <wp:docPr id="1209" name="Text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76874AA2"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 w14:anchorId="703B1451" id="Textbox 1209" o:spid="_x0000_s1139" type="#_x0000_t202" style="position:absolute;margin-left:94.3pt;margin-top:805.6pt;width:201.25pt;height:11.3pt;z-index:-25123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" filled="f" stroked="f">
              <v:textbox inset="0,0,0,0">
                <w:txbxContent>
                  <w:p w14:paraId="76874AA2"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8B4C" w14:textId="2D5EE712" w:rsidR="00084F36" w:rsidRDefault="00084F36">
    <w:pPr>
      <w:pStyle w:val="BodyText"/>
      <w:spacing w:line="14" w:lineRule="auto"/>
      <w:rPr>
        <w:sz w:val="19"/>
      </w:rP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BD8F" w14:textId="77777777" w:rsidR="0019412D" w:rsidRDefault="0019412D">
    <w:pPr>
      <w:pStyle w:val="BodyText"/>
      <w:spacing w:line="14" w:lineRule="auto"/>
      <w:rPr>
        <w:sz w:val="19"/>
      </w:rP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EC08" w14:textId="77777777" w:rsidR="0019412D" w:rsidRDefault="0019412D">
    <w:pPr>
      <w:pStyle w:val="BodyText"/>
      <w:spacing w:line="14" w:lineRule="auto"/>
      <w:rPr>
        <w:sz w:val="19"/>
      </w:rP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389A0" w14:textId="77777777" w:rsidR="0019412D" w:rsidRDefault="0019412D">
    <w:pPr>
      <w:pStyle w:val="BodyText"/>
      <w:spacing w:line="14" w:lineRule="auto"/>
      <w:rPr>
        <w:sz w:val="19"/>
      </w:rP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0C798" w14:textId="77777777" w:rsidR="0019412D" w:rsidRDefault="0019412D">
    <w:pPr>
      <w:pStyle w:val="BodyText"/>
      <w:spacing w:line="14" w:lineRule="auto"/>
      <w:rPr>
        <w:sz w:val="19"/>
      </w:rP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867CE" w14:textId="77777777" w:rsidR="0019412D" w:rsidRDefault="0019412D">
    <w:pPr>
      <w:pStyle w:val="BodyText"/>
      <w:spacing w:line="14" w:lineRule="auto"/>
      <w:rPr>
        <w:sz w:val="19"/>
      </w:rP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1781" w14:textId="77777777" w:rsidR="0019412D" w:rsidRDefault="0019412D">
    <w:pPr>
      <w:pStyle w:val="BodyText"/>
      <w:spacing w:line="14" w:lineRule="auto"/>
      <w:rPr>
        <w:sz w:val="19"/>
      </w:rP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AAD6C" w14:textId="77777777" w:rsidR="0019412D" w:rsidRDefault="0019412D">
    <w:pPr>
      <w:pStyle w:val="BodyText"/>
      <w:spacing w:line="14" w:lineRule="auto"/>
      <w:rPr>
        <w:sz w:val="19"/>
      </w:rP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AF8E6" w14:textId="77777777" w:rsidR="0019412D" w:rsidRDefault="0019412D">
    <w:pPr>
      <w:pStyle w:val="BodyText"/>
      <w:spacing w:line="14" w:lineRule="auto"/>
      <w:rPr>
        <w:sz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9F740" w14:textId="77777777" w:rsidR="0019412D" w:rsidRDefault="0019412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9405" w14:textId="77777777" w:rsidR="0019412D" w:rsidRDefault="0019412D">
    <w:pPr>
      <w:pStyle w:val="BodyText"/>
      <w:spacing w:line="14" w:lineRule="auto"/>
      <w:rPr>
        <w:sz w:val="20"/>
      </w:rP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3C8B" w14:textId="77777777" w:rsidR="0019412D" w:rsidRDefault="0019412D">
    <w:pPr>
      <w:pStyle w:val="BodyText"/>
      <w:spacing w:line="14" w:lineRule="auto"/>
      <w:rPr>
        <w:sz w:val="19"/>
      </w:rP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012A6" w14:textId="77777777" w:rsidR="0019412D" w:rsidRDefault="0019412D">
    <w:pPr>
      <w:pStyle w:val="BodyText"/>
      <w:spacing w:line="14" w:lineRule="auto"/>
      <w:rPr>
        <w:sz w:val="19"/>
      </w:rP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4538" w14:textId="77777777" w:rsidR="0019412D" w:rsidRDefault="0019412D">
    <w:pPr>
      <w:pStyle w:val="BodyText"/>
      <w:spacing w:line="14" w:lineRule="auto"/>
      <w:rPr>
        <w:sz w:val="19"/>
      </w:rP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35E4" w14:textId="77777777" w:rsidR="0019412D" w:rsidRDefault="0019412D">
    <w:pPr>
      <w:pStyle w:val="BodyText"/>
      <w:spacing w:line="14" w:lineRule="auto"/>
      <w:rPr>
        <w:sz w:val="19"/>
      </w:rP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97DFB" w14:textId="77777777" w:rsidR="00084F36" w:rsidRDefault="00EB2BD8">
    <w:pPr>
      <w:pStyle w:val="BodyText"/>
      <w:spacing w:line="14" w:lineRule="auto"/>
      <w:rPr>
        <w:sz w:val="20"/>
      </w:rPr>
    </w:pPr>
    <w:r>
      <w:rPr>
        <w:noProof/>
      </w:rPr>
      <mc:AlternateContent>
        <mc:Choice Requires="wpg">
          <w:drawing>
            <wp:anchor distT="0" distB="0" distL="0" distR="0" simplePos="0" relativeHeight="252093440" behindDoc="1" locked="0" layoutInCell="1" allowOverlap="1" wp14:anchorId="429B782C" wp14:editId="6412763E">
              <wp:simplePos x="0" y="0"/>
              <wp:positionH relativeFrom="page">
                <wp:posOffset>540000</wp:posOffset>
              </wp:positionH>
              <wp:positionV relativeFrom="page">
                <wp:posOffset>9597777</wp:posOffset>
              </wp:positionV>
              <wp:extent cx="6477635" cy="3175"/>
              <wp:effectExtent l="0" t="0" r="0" b="0"/>
              <wp:wrapNone/>
              <wp:docPr id="1262" name="Group 1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635" cy="3175"/>
                        <a:chOff x="0" y="0"/>
                        <a:chExt cx="6477635" cy="3175"/>
                      </a:xfrm>
                    </wpg:grpSpPr>
                    <wps:wsp>
                      <wps:cNvPr id="1263" name="Graphic 1263"/>
                      <wps:cNvSpPr/>
                      <wps:spPr>
                        <a:xfrm>
                          <a:off x="0" y="1587"/>
                          <a:ext cx="1116330" cy="1270"/>
                        </a:xfrm>
                        <a:custGeom>
                          <a:avLst/>
                          <a:gdLst/>
                          <a:ahLst/>
                          <a:cxnLst/>
                          <a:rect l="l" t="t" r="r" b="b"/>
                          <a:pathLst>
                            <a:path w="1116330">
                              <a:moveTo>
                                <a:pt x="0" y="0"/>
                              </a:moveTo>
                              <a:lnTo>
                                <a:pt x="1115999" y="0"/>
                              </a:lnTo>
                            </a:path>
                          </a:pathLst>
                        </a:custGeom>
                        <a:ln w="3175">
                          <a:solidFill>
                            <a:srgbClr val="000000"/>
                          </a:solidFill>
                          <a:prstDash val="solid"/>
                        </a:ln>
                      </wps:spPr>
                      <wps:bodyPr wrap="square" lIns="0" tIns="0" rIns="0" bIns="0" rtlCol="0">
                        <a:prstTxWarp prst="textNoShape">
                          <a:avLst/>
                        </a:prstTxWarp>
                        <a:noAutofit/>
                      </wps:bodyPr>
                    </wps:wsp>
                    <wps:wsp>
                      <wps:cNvPr id="1264" name="Graphic 1264"/>
                      <wps:cNvSpPr/>
                      <wps:spPr>
                        <a:xfrm>
                          <a:off x="1115999" y="1587"/>
                          <a:ext cx="1036955" cy="1270"/>
                        </a:xfrm>
                        <a:custGeom>
                          <a:avLst/>
                          <a:gdLst/>
                          <a:ahLst/>
                          <a:cxnLst/>
                          <a:rect l="l" t="t" r="r" b="b"/>
                          <a:pathLst>
                            <a:path w="1036955">
                              <a:moveTo>
                                <a:pt x="0" y="0"/>
                              </a:moveTo>
                              <a:lnTo>
                                <a:pt x="1036802" y="0"/>
                              </a:lnTo>
                            </a:path>
                          </a:pathLst>
                        </a:custGeom>
                        <a:ln w="3175">
                          <a:solidFill>
                            <a:srgbClr val="000000"/>
                          </a:solidFill>
                          <a:prstDash val="solid"/>
                        </a:ln>
                      </wps:spPr>
                      <wps:bodyPr wrap="square" lIns="0" tIns="0" rIns="0" bIns="0" rtlCol="0">
                        <a:prstTxWarp prst="textNoShape">
                          <a:avLst/>
                        </a:prstTxWarp>
                        <a:noAutofit/>
                      </wps:bodyPr>
                    </wps:wsp>
                    <wps:wsp>
                      <wps:cNvPr id="1265" name="Graphic 1265"/>
                      <wps:cNvSpPr/>
                      <wps:spPr>
                        <a:xfrm>
                          <a:off x="2152799" y="1587"/>
                          <a:ext cx="1447800" cy="1270"/>
                        </a:xfrm>
                        <a:custGeom>
                          <a:avLst/>
                          <a:gdLst/>
                          <a:ahLst/>
                          <a:cxnLst/>
                          <a:rect l="l" t="t" r="r" b="b"/>
                          <a:pathLst>
                            <a:path w="1447800">
                              <a:moveTo>
                                <a:pt x="0" y="0"/>
                              </a:moveTo>
                              <a:lnTo>
                                <a:pt x="1447203" y="0"/>
                              </a:lnTo>
                            </a:path>
                          </a:pathLst>
                        </a:custGeom>
                        <a:ln w="3175">
                          <a:solidFill>
                            <a:srgbClr val="000000"/>
                          </a:solidFill>
                          <a:prstDash val="solid"/>
                        </a:ln>
                      </wps:spPr>
                      <wps:bodyPr wrap="square" lIns="0" tIns="0" rIns="0" bIns="0" rtlCol="0">
                        <a:prstTxWarp prst="textNoShape">
                          <a:avLst/>
                        </a:prstTxWarp>
                        <a:noAutofit/>
                      </wps:bodyPr>
                    </wps:wsp>
                    <wps:wsp>
                      <wps:cNvPr id="1266" name="Graphic 1266"/>
                      <wps:cNvSpPr/>
                      <wps:spPr>
                        <a:xfrm>
                          <a:off x="3600000" y="1587"/>
                          <a:ext cx="1447800" cy="1270"/>
                        </a:xfrm>
                        <a:custGeom>
                          <a:avLst/>
                          <a:gdLst/>
                          <a:ahLst/>
                          <a:cxnLst/>
                          <a:rect l="l" t="t" r="r" b="b"/>
                          <a:pathLst>
                            <a:path w="1447800">
                              <a:moveTo>
                                <a:pt x="0" y="0"/>
                              </a:moveTo>
                              <a:lnTo>
                                <a:pt x="1447203" y="0"/>
                              </a:lnTo>
                            </a:path>
                          </a:pathLst>
                        </a:custGeom>
                        <a:ln w="3175">
                          <a:solidFill>
                            <a:srgbClr val="000000"/>
                          </a:solidFill>
                          <a:prstDash val="solid"/>
                        </a:ln>
                      </wps:spPr>
                      <wps:bodyPr wrap="square" lIns="0" tIns="0" rIns="0" bIns="0" rtlCol="0">
                        <a:prstTxWarp prst="textNoShape">
                          <a:avLst/>
                        </a:prstTxWarp>
                        <a:noAutofit/>
                      </wps:bodyPr>
                    </wps:wsp>
                    <wps:wsp>
                      <wps:cNvPr id="1267" name="Graphic 1267"/>
                      <wps:cNvSpPr/>
                      <wps:spPr>
                        <a:xfrm>
                          <a:off x="5047199" y="1587"/>
                          <a:ext cx="684530" cy="1270"/>
                        </a:xfrm>
                        <a:custGeom>
                          <a:avLst/>
                          <a:gdLst/>
                          <a:ahLst/>
                          <a:cxnLst/>
                          <a:rect l="l" t="t" r="r" b="b"/>
                          <a:pathLst>
                            <a:path w="684530">
                              <a:moveTo>
                                <a:pt x="0" y="0"/>
                              </a:moveTo>
                              <a:lnTo>
                                <a:pt x="683996" y="0"/>
                              </a:lnTo>
                            </a:path>
                          </a:pathLst>
                        </a:custGeom>
                        <a:ln w="3175">
                          <a:solidFill>
                            <a:srgbClr val="000000"/>
                          </a:solidFill>
                          <a:prstDash val="solid"/>
                        </a:ln>
                      </wps:spPr>
                      <wps:bodyPr wrap="square" lIns="0" tIns="0" rIns="0" bIns="0" rtlCol="0">
                        <a:prstTxWarp prst="textNoShape">
                          <a:avLst/>
                        </a:prstTxWarp>
                        <a:noAutofit/>
                      </wps:bodyPr>
                    </wps:wsp>
                    <wps:wsp>
                      <wps:cNvPr id="1268" name="Graphic 1268"/>
                      <wps:cNvSpPr/>
                      <wps:spPr>
                        <a:xfrm>
                          <a:off x="5731200" y="1587"/>
                          <a:ext cx="746760" cy="1270"/>
                        </a:xfrm>
                        <a:custGeom>
                          <a:avLst/>
                          <a:gdLst/>
                          <a:ahLst/>
                          <a:cxnLst/>
                          <a:rect l="l" t="t" r="r" b="b"/>
                          <a:pathLst>
                            <a:path w="746760">
                              <a:moveTo>
                                <a:pt x="0" y="0"/>
                              </a:moveTo>
                              <a:lnTo>
                                <a:pt x="746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C1D38A" id="Group 1262" o:spid="_x0000_s1026" alt="&quot;&quot;" style="position:absolute;margin-left:42.5pt;margin-top:755.75pt;width:510.05pt;height:.25pt;z-index:-251223040;mso-wrap-distance-left:0;mso-wrap-distance-right:0;mso-position-horizontal-relative:page;mso-position-vertical-relative:page" coordsize="647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">
              <v:shape id="Graphic 1263" o:spid="_x0000_s1027" style="position:absolute;top:15;width:11163;height:13;visibility:visible;mso-wrap-style:square;v-text-anchor:top" coordsize="1116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" path="m,l1115999,e" filled="f" strokeweight=".25pt">
                <v:path arrowok="t"/>
              </v:shape>
              <v:shape id="Graphic 1264" o:spid="_x0000_s1028" style="position:absolute;left:11159;top:15;width:10370;height:13;visibility:visible;mso-wrap-style:square;v-text-anchor:top" coordsize="1036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" path="m,l1036802,e" filled="f" strokeweight=".25pt">
                <v:path arrowok="t"/>
              </v:shape>
              <v:shape id="Graphic 1265" o:spid="_x0000_s1029" style="position:absolute;left:21527;top:15;width:14478;height:13;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" path="m,l1447203,e" filled="f" strokeweight=".25pt">
                <v:path arrowok="t"/>
              </v:shape>
              <v:shape id="Graphic 1266" o:spid="_x0000_s1030" style="position:absolute;left:36000;top:15;width:14478;height:13;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" path="m,l1447203,e" filled="f" strokeweight=".25pt">
                <v:path arrowok="t"/>
              </v:shape>
              <v:shape id="Graphic 1267" o:spid="_x0000_s1031" style="position:absolute;left:50471;top:15;width:6846;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" path="m,l683996,e" filled="f" strokeweight=".25pt">
                <v:path arrowok="t"/>
              </v:shape>
              <v:shape id="Graphic 1268" o:spid="_x0000_s1032" style="position:absolute;left:57312;top:15;width:7467;height:13;visibility:visible;mso-wrap-style:square;v-text-anchor:top" coordsize="746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" path="m,l746404,e" filled="f" strokeweight=".25pt">
                <v:path arrowok="t"/>
              </v:shape>
              <w10:wrap anchorx="page" anchory="page"/>
            </v:group>
          </w:pict>
        </mc:Fallback>
      </mc:AlternateContent>
    </w:r>
    <w:r>
      <w:rPr>
        <w:noProof/>
      </w:rPr>
      <mc:AlternateContent>
        <mc:Choice Requires="wps">
          <w:drawing>
            <wp:anchor distT="0" distB="0" distL="0" distR="0" simplePos="0" relativeHeight="252095488" behindDoc="1" locked="0" layoutInCell="1" allowOverlap="1" wp14:anchorId="6D950D60" wp14:editId="0A2F1AE2">
              <wp:simplePos x="0" y="0"/>
              <wp:positionH relativeFrom="page">
                <wp:posOffset>1197842</wp:posOffset>
              </wp:positionH>
              <wp:positionV relativeFrom="page">
                <wp:posOffset>10225409</wp:posOffset>
              </wp:positionV>
              <wp:extent cx="2555875" cy="143510"/>
              <wp:effectExtent l="0" t="0" r="0" b="0"/>
              <wp:wrapNone/>
              <wp:docPr id="1269" name="Text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6AF5F962"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6D950D60" id="_x0000_t202" coordsize="21600,21600" o:spt="202" path="m,l,21600r21600,l21600,xe">
              <v:stroke joinstyle="miter"/>
              <v:path gradientshapeok="t" o:connecttype="rect"/>
            </v:shapetype>
            <v:shape id="Textbox 1269" o:spid="_x0000_s1141" type="#_x0000_t202" style="position:absolute;margin-left:94.3pt;margin-top:805.15pt;width:201.25pt;height:11.3pt;z-index:-25122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" filled="f" stroked="f">
              <v:textbox inset="0,0,0,0">
                <w:txbxContent>
                  <w:p w14:paraId="6AF5F962"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2097536" behindDoc="1" locked="0" layoutInCell="1" allowOverlap="1" wp14:anchorId="4C26FF15" wp14:editId="0F149E33">
              <wp:simplePos x="0" y="0"/>
              <wp:positionH relativeFrom="page">
                <wp:posOffset>521999</wp:posOffset>
              </wp:positionH>
              <wp:positionV relativeFrom="page">
                <wp:posOffset>10229676</wp:posOffset>
              </wp:positionV>
              <wp:extent cx="192405" cy="142240"/>
              <wp:effectExtent l="0" t="0" r="0" b="0"/>
              <wp:wrapNone/>
              <wp:docPr id="1270" name="Text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42240"/>
                      </a:xfrm>
                      <a:prstGeom prst="rect">
                        <a:avLst/>
                      </a:prstGeom>
                    </wps:spPr>
                    <wps:txbx>
                      <w:txbxContent>
                        <w:p w14:paraId="6B382F66" w14:textId="77777777" w:rsidR="00084F36" w:rsidRDefault="00EB2BD8">
                          <w:pPr>
                            <w:spacing w:before="15"/>
                            <w:ind w:left="20"/>
                            <w:rPr>
                              <w:sz w:val="16"/>
                            </w:rPr>
                          </w:pPr>
                          <w:r>
                            <w:rPr>
                              <w:spacing w:val="-5"/>
                              <w:w w:val="90"/>
                              <w:sz w:val="16"/>
                            </w:rPr>
                            <w:t>160</w:t>
                          </w:r>
                        </w:p>
                      </w:txbxContent>
                    </wps:txbx>
                    <wps:bodyPr wrap="square" lIns="0" tIns="0" rIns="0" bIns="0" rtlCol="0">
                      <a:noAutofit/>
                    </wps:bodyPr>
                  </wps:wsp>
                </a:graphicData>
              </a:graphic>
            </wp:anchor>
          </w:drawing>
        </mc:Choice>
        <mc:Fallback>
          <w:pict>
            <v:shape w14:anchorId="4C26FF15" id="Textbox 1270" o:spid="_x0000_s1142" type="#_x0000_t202" style="position:absolute;margin-left:41.1pt;margin-top:805.5pt;width:15.15pt;height:11.2pt;z-index:-2512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" filled="f" stroked="f">
              <v:textbox inset="0,0,0,0">
                <w:txbxContent>
                  <w:p w14:paraId="6B382F66" w14:textId="77777777" w:rsidR="00084F36" w:rsidRDefault="00EB2BD8">
                    <w:pPr>
                      <w:spacing w:before="15"/>
                      <w:ind w:left="20"/>
                      <w:rPr>
                        <w:sz w:val="16"/>
                      </w:rPr>
                    </w:pPr>
                    <w:r>
                      <w:rPr>
                        <w:spacing w:val="-5"/>
                        <w:w w:val="90"/>
                        <w:sz w:val="16"/>
                      </w:rPr>
                      <w:t>160</w:t>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911B2" w14:textId="1F840350" w:rsidR="00084F36" w:rsidRDefault="00084F36">
    <w:pPr>
      <w:pStyle w:val="BodyText"/>
      <w:spacing w:line="14" w:lineRule="auto"/>
      <w:rPr>
        <w:sz w:val="20"/>
      </w:rP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BDEC" w14:textId="77777777" w:rsidR="0019412D" w:rsidRDefault="0019412D">
    <w:pPr>
      <w:pStyle w:val="BodyText"/>
      <w:spacing w:line="14" w:lineRule="auto"/>
      <w:rPr>
        <w:sz w:val="20"/>
      </w:rP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EAC37" w14:textId="77777777" w:rsidR="00084F36" w:rsidRDefault="00EB2BD8">
    <w:pPr>
      <w:pStyle w:val="BodyText"/>
      <w:spacing w:line="14" w:lineRule="auto"/>
      <w:rPr>
        <w:sz w:val="20"/>
      </w:rPr>
    </w:pPr>
    <w:r>
      <w:rPr>
        <w:noProof/>
      </w:rPr>
      <mc:AlternateContent>
        <mc:Choice Requires="wps">
          <w:drawing>
            <wp:anchor distT="0" distB="0" distL="0" distR="0" simplePos="0" relativeHeight="252111872" behindDoc="1" locked="0" layoutInCell="1" allowOverlap="1" wp14:anchorId="0F24F858" wp14:editId="1857F6A7">
              <wp:simplePos x="0" y="0"/>
              <wp:positionH relativeFrom="page">
                <wp:posOffset>1197842</wp:posOffset>
              </wp:positionH>
              <wp:positionV relativeFrom="page">
                <wp:posOffset>10225409</wp:posOffset>
              </wp:positionV>
              <wp:extent cx="2555875" cy="143510"/>
              <wp:effectExtent l="0" t="0" r="0" b="0"/>
              <wp:wrapNone/>
              <wp:docPr id="1289" name="Text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74F22573"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0F24F858" id="_x0000_t202" coordsize="21600,21600" o:spt="202" path="m,l,21600r21600,l21600,xe">
              <v:stroke joinstyle="miter"/>
              <v:path gradientshapeok="t" o:connecttype="rect"/>
            </v:shapetype>
            <v:shape id="Textbox 1289" o:spid="_x0000_s1144" type="#_x0000_t202" style="position:absolute;margin-left:94.3pt;margin-top:805.15pt;width:201.25pt;height:11.3pt;z-index:-2512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" filled="f" stroked="f">
              <v:textbox inset="0,0,0,0">
                <w:txbxContent>
                  <w:p w14:paraId="74F22573"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2113920" behindDoc="1" locked="0" layoutInCell="1" allowOverlap="1" wp14:anchorId="019E1E5E" wp14:editId="29FFAA62">
              <wp:simplePos x="0" y="0"/>
              <wp:positionH relativeFrom="page">
                <wp:posOffset>496599</wp:posOffset>
              </wp:positionH>
              <wp:positionV relativeFrom="page">
                <wp:posOffset>10229676</wp:posOffset>
              </wp:positionV>
              <wp:extent cx="250825" cy="142240"/>
              <wp:effectExtent l="0" t="0" r="0" b="0"/>
              <wp:wrapNone/>
              <wp:docPr id="1290" name="Text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42240"/>
                      </a:xfrm>
                      <a:prstGeom prst="rect">
                        <a:avLst/>
                      </a:prstGeom>
                    </wps:spPr>
                    <wps:txbx>
                      <w:txbxContent>
                        <w:p w14:paraId="23A7F336" w14:textId="77777777" w:rsidR="00084F36" w:rsidRDefault="00EB2BD8">
                          <w:pPr>
                            <w:spacing w:before="15"/>
                            <w:ind w:left="60"/>
                            <w:rPr>
                              <w:sz w:val="16"/>
                            </w:rPr>
                          </w:pPr>
                          <w:r>
                            <w:rPr>
                              <w:spacing w:val="-5"/>
                              <w:w w:val="95"/>
                              <w:sz w:val="16"/>
                            </w:rPr>
                            <w:fldChar w:fldCharType="begin"/>
                          </w:r>
                          <w:r>
                            <w:rPr>
                              <w:spacing w:val="-5"/>
                              <w:w w:val="95"/>
                              <w:sz w:val="16"/>
                            </w:rPr>
                            <w:instrText xml:space="preserve"> PAGE </w:instrText>
                          </w:r>
                          <w:r>
                            <w:rPr>
                              <w:spacing w:val="-5"/>
                              <w:w w:val="95"/>
                              <w:sz w:val="16"/>
                            </w:rPr>
                            <w:fldChar w:fldCharType="separate"/>
                          </w:r>
                          <w:r>
                            <w:rPr>
                              <w:spacing w:val="-5"/>
                              <w:w w:val="95"/>
                              <w:sz w:val="16"/>
                            </w:rPr>
                            <w:t>164</w:t>
                          </w:r>
                          <w:r>
                            <w:rPr>
                              <w:spacing w:val="-5"/>
                              <w:w w:val="95"/>
                              <w:sz w:val="16"/>
                            </w:rPr>
                            <w:fldChar w:fldCharType="end"/>
                          </w:r>
                        </w:p>
                      </w:txbxContent>
                    </wps:txbx>
                    <wps:bodyPr wrap="square" lIns="0" tIns="0" rIns="0" bIns="0" rtlCol="0">
                      <a:noAutofit/>
                    </wps:bodyPr>
                  </wps:wsp>
                </a:graphicData>
              </a:graphic>
            </wp:anchor>
          </w:drawing>
        </mc:Choice>
        <mc:Fallback>
          <w:pict>
            <v:shape w14:anchorId="019E1E5E" id="Textbox 1290" o:spid="_x0000_s1145" type="#_x0000_t202" style="position:absolute;margin-left:39.1pt;margin-top:805.5pt;width:19.75pt;height:11.2pt;z-index:-25120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" filled="f" stroked="f">
              <v:textbox inset="0,0,0,0">
                <w:txbxContent>
                  <w:p w14:paraId="23A7F336" w14:textId="77777777" w:rsidR="00084F36" w:rsidRDefault="00EB2BD8">
                    <w:pPr>
                      <w:spacing w:before="15"/>
                      <w:ind w:left="60"/>
                      <w:rPr>
                        <w:sz w:val="16"/>
                      </w:rPr>
                    </w:pPr>
                    <w:r>
                      <w:rPr>
                        <w:spacing w:val="-5"/>
                        <w:w w:val="95"/>
                        <w:sz w:val="16"/>
                      </w:rPr>
                      <w:fldChar w:fldCharType="begin"/>
                    </w:r>
                    <w:r>
                      <w:rPr>
                        <w:spacing w:val="-5"/>
                        <w:w w:val="95"/>
                        <w:sz w:val="16"/>
                      </w:rPr>
                      <w:instrText xml:space="preserve"> PAGE </w:instrText>
                    </w:r>
                    <w:r>
                      <w:rPr>
                        <w:spacing w:val="-5"/>
                        <w:w w:val="95"/>
                        <w:sz w:val="16"/>
                      </w:rPr>
                      <w:fldChar w:fldCharType="separate"/>
                    </w:r>
                    <w:r>
                      <w:rPr>
                        <w:spacing w:val="-5"/>
                        <w:w w:val="95"/>
                        <w:sz w:val="16"/>
                      </w:rPr>
                      <w:t>164</w:t>
                    </w:r>
                    <w:r>
                      <w:rPr>
                        <w:spacing w:val="-5"/>
                        <w:w w:val="95"/>
                        <w:sz w:val="16"/>
                      </w:rPr>
                      <w:fldChar w:fldCharType="end"/>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6C7B9" w14:textId="267FE570" w:rsidR="00084F36" w:rsidRDefault="00084F36">
    <w:pPr>
      <w:pStyle w:val="BodyText"/>
      <w:spacing w:line="14" w:lineRule="auto"/>
      <w:rPr>
        <w:sz w:val="20"/>
      </w:rP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BC3E" w14:textId="77777777" w:rsidR="0019412D" w:rsidRDefault="0019412D">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FD241" w14:textId="77777777" w:rsidR="00084F36" w:rsidRDefault="00084F36">
    <w:pPr>
      <w:pStyle w:val="BodyText"/>
      <w:spacing w:line="14" w:lineRule="auto"/>
      <w:rPr>
        <w:sz w:val="2"/>
      </w:rP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51F3" w14:textId="77777777" w:rsidR="0019412D" w:rsidRDefault="0019412D">
    <w:pPr>
      <w:pStyle w:val="BodyText"/>
      <w:spacing w:line="14" w:lineRule="auto"/>
      <w:rPr>
        <w:sz w:val="20"/>
      </w:rP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392A" w14:textId="77777777" w:rsidR="00084F36" w:rsidRDefault="00EB2BD8">
    <w:pPr>
      <w:pStyle w:val="BodyText"/>
      <w:spacing w:line="14" w:lineRule="auto"/>
      <w:rPr>
        <w:sz w:val="20"/>
      </w:rPr>
    </w:pPr>
    <w:r>
      <w:rPr>
        <w:noProof/>
      </w:rPr>
      <mc:AlternateContent>
        <mc:Choice Requires="wps">
          <w:drawing>
            <wp:anchor distT="0" distB="0" distL="0" distR="0" simplePos="0" relativeHeight="252130304" behindDoc="1" locked="0" layoutInCell="1" allowOverlap="1" wp14:anchorId="43B0A267" wp14:editId="6A532F8B">
              <wp:simplePos x="0" y="0"/>
              <wp:positionH relativeFrom="page">
                <wp:posOffset>1197842</wp:posOffset>
              </wp:positionH>
              <wp:positionV relativeFrom="page">
                <wp:posOffset>10225409</wp:posOffset>
              </wp:positionV>
              <wp:extent cx="2555875" cy="143510"/>
              <wp:effectExtent l="0" t="0" r="0" b="0"/>
              <wp:wrapNone/>
              <wp:docPr id="1310" name="Text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01DF4DA0"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43B0A267" id="_x0000_t202" coordsize="21600,21600" o:spt="202" path="m,l,21600r21600,l21600,xe">
              <v:stroke joinstyle="miter"/>
              <v:path gradientshapeok="t" o:connecttype="rect"/>
            </v:shapetype>
            <v:shape id="Textbox 1310" o:spid="_x0000_s1147" type="#_x0000_t202" style="position:absolute;margin-left:94.3pt;margin-top:805.15pt;width:201.25pt;height:11.3pt;z-index:-25118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" filled="f" stroked="f">
              <v:textbox inset="0,0,0,0">
                <w:txbxContent>
                  <w:p w14:paraId="01DF4DA0"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2132352" behindDoc="1" locked="0" layoutInCell="1" allowOverlap="1" wp14:anchorId="1453D771" wp14:editId="6F7CCBC3">
              <wp:simplePos x="0" y="0"/>
              <wp:positionH relativeFrom="page">
                <wp:posOffset>496599</wp:posOffset>
              </wp:positionH>
              <wp:positionV relativeFrom="page">
                <wp:posOffset>10229676</wp:posOffset>
              </wp:positionV>
              <wp:extent cx="250190" cy="142240"/>
              <wp:effectExtent l="0" t="0" r="0" b="0"/>
              <wp:wrapNone/>
              <wp:docPr id="1311" name="Text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42240"/>
                      </a:xfrm>
                      <a:prstGeom prst="rect">
                        <a:avLst/>
                      </a:prstGeom>
                    </wps:spPr>
                    <wps:txbx>
                      <w:txbxContent>
                        <w:p w14:paraId="304E53C0" w14:textId="77777777" w:rsidR="00084F36" w:rsidRDefault="00EB2BD8">
                          <w:pPr>
                            <w:spacing w:before="15"/>
                            <w:ind w:left="60"/>
                            <w:rPr>
                              <w:sz w:val="16"/>
                            </w:rPr>
                          </w:pPr>
                          <w:r>
                            <w:rPr>
                              <w:spacing w:val="-5"/>
                              <w:w w:val="95"/>
                              <w:sz w:val="16"/>
                            </w:rPr>
                            <w:fldChar w:fldCharType="begin"/>
                          </w:r>
                          <w:r>
                            <w:rPr>
                              <w:spacing w:val="-5"/>
                              <w:w w:val="95"/>
                              <w:sz w:val="16"/>
                            </w:rPr>
                            <w:instrText xml:space="preserve"> PAGE </w:instrText>
                          </w:r>
                          <w:r>
                            <w:rPr>
                              <w:spacing w:val="-5"/>
                              <w:w w:val="95"/>
                              <w:sz w:val="16"/>
                            </w:rPr>
                            <w:fldChar w:fldCharType="separate"/>
                          </w:r>
                          <w:r>
                            <w:rPr>
                              <w:spacing w:val="-5"/>
                              <w:w w:val="95"/>
                              <w:sz w:val="16"/>
                            </w:rPr>
                            <w:t>166</w:t>
                          </w:r>
                          <w:r>
                            <w:rPr>
                              <w:spacing w:val="-5"/>
                              <w:w w:val="95"/>
                              <w:sz w:val="16"/>
                            </w:rPr>
                            <w:fldChar w:fldCharType="end"/>
                          </w:r>
                        </w:p>
                      </w:txbxContent>
                    </wps:txbx>
                    <wps:bodyPr wrap="square" lIns="0" tIns="0" rIns="0" bIns="0" rtlCol="0">
                      <a:noAutofit/>
                    </wps:bodyPr>
                  </wps:wsp>
                </a:graphicData>
              </a:graphic>
            </wp:anchor>
          </w:drawing>
        </mc:Choice>
        <mc:Fallback>
          <w:pict>
            <v:shape w14:anchorId="1453D771" id="Textbox 1311" o:spid="_x0000_s1148" type="#_x0000_t202" style="position:absolute;margin-left:39.1pt;margin-top:805.5pt;width:19.7pt;height:11.2pt;z-index:-2511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" filled="f" stroked="f">
              <v:textbox inset="0,0,0,0">
                <w:txbxContent>
                  <w:p w14:paraId="304E53C0" w14:textId="77777777" w:rsidR="00084F36" w:rsidRDefault="00EB2BD8">
                    <w:pPr>
                      <w:spacing w:before="15"/>
                      <w:ind w:left="60"/>
                      <w:rPr>
                        <w:sz w:val="16"/>
                      </w:rPr>
                    </w:pPr>
                    <w:r>
                      <w:rPr>
                        <w:spacing w:val="-5"/>
                        <w:w w:val="95"/>
                        <w:sz w:val="16"/>
                      </w:rPr>
                      <w:fldChar w:fldCharType="begin"/>
                    </w:r>
                    <w:r>
                      <w:rPr>
                        <w:spacing w:val="-5"/>
                        <w:w w:val="95"/>
                        <w:sz w:val="16"/>
                      </w:rPr>
                      <w:instrText xml:space="preserve"> PAGE </w:instrText>
                    </w:r>
                    <w:r>
                      <w:rPr>
                        <w:spacing w:val="-5"/>
                        <w:w w:val="95"/>
                        <w:sz w:val="16"/>
                      </w:rPr>
                      <w:fldChar w:fldCharType="separate"/>
                    </w:r>
                    <w:r>
                      <w:rPr>
                        <w:spacing w:val="-5"/>
                        <w:w w:val="95"/>
                        <w:sz w:val="16"/>
                      </w:rPr>
                      <w:t>166</w:t>
                    </w:r>
                    <w:r>
                      <w:rPr>
                        <w:spacing w:val="-5"/>
                        <w:w w:val="95"/>
                        <w:sz w:val="16"/>
                      </w:rPr>
                      <w:fldChar w:fldCharType="end"/>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9E8B" w14:textId="582E2499" w:rsidR="00084F36" w:rsidRDefault="00084F36">
    <w:pPr>
      <w:pStyle w:val="BodyText"/>
      <w:spacing w:line="14" w:lineRule="auto"/>
      <w:rPr>
        <w:sz w:val="20"/>
      </w:rP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C5C6" w14:textId="77777777" w:rsidR="0019412D" w:rsidRDefault="0019412D">
    <w:pPr>
      <w:pStyle w:val="BodyText"/>
      <w:spacing w:line="14" w:lineRule="auto"/>
      <w:rPr>
        <w:sz w:val="20"/>
      </w:rP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1CD35" w14:textId="77777777" w:rsidR="0019412D" w:rsidRDefault="0019412D">
    <w:pPr>
      <w:pStyle w:val="BodyText"/>
      <w:spacing w:line="14" w:lineRule="auto"/>
      <w:rPr>
        <w:sz w:val="20"/>
      </w:rP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6805" w14:textId="77777777" w:rsidR="0019412D" w:rsidRDefault="0019412D">
    <w:pPr>
      <w:pStyle w:val="BodyText"/>
      <w:spacing w:line="14" w:lineRule="auto"/>
      <w:rPr>
        <w:sz w:val="20"/>
      </w:rP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FDA4A" w14:textId="77777777" w:rsidR="0019412D" w:rsidRDefault="0019412D">
    <w:pPr>
      <w:pStyle w:val="BodyText"/>
      <w:spacing w:line="14" w:lineRule="auto"/>
      <w:rPr>
        <w:sz w:val="20"/>
      </w:rP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1D2A3" w14:textId="77777777" w:rsidR="0019412D" w:rsidRDefault="0019412D">
    <w:pPr>
      <w:pStyle w:val="BodyText"/>
      <w:spacing w:line="14" w:lineRule="auto"/>
      <w:rPr>
        <w:sz w:val="20"/>
      </w:rP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A7D7D" w14:textId="77777777" w:rsidR="0019412D" w:rsidRDefault="0019412D">
    <w:pPr>
      <w:pStyle w:val="BodyText"/>
      <w:spacing w:line="14" w:lineRule="auto"/>
      <w:rPr>
        <w:sz w:val="20"/>
      </w:rP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891E" w14:textId="77777777" w:rsidR="0019412D" w:rsidRDefault="0019412D">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5365F" w14:textId="77777777" w:rsidR="00084F36" w:rsidRDefault="00EB2BD8">
    <w:pPr>
      <w:pStyle w:val="BodyText"/>
      <w:spacing w:line="14" w:lineRule="auto"/>
      <w:rPr>
        <w:sz w:val="20"/>
      </w:rPr>
    </w:pPr>
    <w:r>
      <w:rPr>
        <w:noProof/>
      </w:rPr>
      <mc:AlternateContent>
        <mc:Choice Requires="wps">
          <w:drawing>
            <wp:anchor distT="0" distB="0" distL="0" distR="0" simplePos="0" relativeHeight="251402240" behindDoc="1" locked="0" layoutInCell="1" allowOverlap="1" wp14:anchorId="7C79A745" wp14:editId="000888AD">
              <wp:simplePos x="0" y="0"/>
              <wp:positionH relativeFrom="page">
                <wp:posOffset>1197842</wp:posOffset>
              </wp:positionH>
              <wp:positionV relativeFrom="page">
                <wp:posOffset>10225409</wp:posOffset>
              </wp:positionV>
              <wp:extent cx="2555875" cy="14351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6AA6376F"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7C79A745" id="_x0000_t202" coordsize="21600,21600" o:spt="202" path="m,l,21600r21600,l21600,xe">
              <v:stroke joinstyle="miter"/>
              <v:path gradientshapeok="t" o:connecttype="rect"/>
            </v:shapetype>
            <v:shape id="Textbox 222" o:spid="_x0000_s1097" type="#_x0000_t202" style="position:absolute;margin-left:94.3pt;margin-top:805.15pt;width:201.25pt;height:11.3pt;z-index:-2519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" filled="f" stroked="f">
              <v:textbox inset="0,0,0,0">
                <w:txbxContent>
                  <w:p w14:paraId="6AA6376F"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408384" behindDoc="1" locked="0" layoutInCell="1" allowOverlap="1" wp14:anchorId="104A8BCC" wp14:editId="62700A45">
              <wp:simplePos x="0" y="0"/>
              <wp:positionH relativeFrom="page">
                <wp:posOffset>496599</wp:posOffset>
              </wp:positionH>
              <wp:positionV relativeFrom="page">
                <wp:posOffset>10229676</wp:posOffset>
              </wp:positionV>
              <wp:extent cx="208915" cy="14224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42240"/>
                      </a:xfrm>
                      <a:prstGeom prst="rect">
                        <a:avLst/>
                      </a:prstGeom>
                    </wps:spPr>
                    <wps:txbx>
                      <w:txbxContent>
                        <w:p w14:paraId="52642B62"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20</w:t>
                          </w:r>
                          <w:r>
                            <w:rPr>
                              <w:spacing w:val="-5"/>
                              <w:sz w:val="16"/>
                            </w:rPr>
                            <w:fldChar w:fldCharType="end"/>
                          </w:r>
                        </w:p>
                      </w:txbxContent>
                    </wps:txbx>
                    <wps:bodyPr wrap="square" lIns="0" tIns="0" rIns="0" bIns="0" rtlCol="0">
                      <a:noAutofit/>
                    </wps:bodyPr>
                  </wps:wsp>
                </a:graphicData>
              </a:graphic>
            </wp:anchor>
          </w:drawing>
        </mc:Choice>
        <mc:Fallback>
          <w:pict>
            <v:shape w14:anchorId="104A8BCC" id="Textbox 223" o:spid="_x0000_s1098" type="#_x0000_t202" style="position:absolute;margin-left:39.1pt;margin-top:805.5pt;width:16.45pt;height:11.2pt;z-index:-25190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" filled="f" stroked="f">
              <v:textbox inset="0,0,0,0">
                <w:txbxContent>
                  <w:p w14:paraId="52642B62"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20</w:t>
                    </w:r>
                    <w:r>
                      <w:rPr>
                        <w:spacing w:val="-5"/>
                        <w:sz w:val="16"/>
                      </w:rPr>
                      <w:fldChar w:fldCharType="end"/>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76E35" w14:textId="77777777" w:rsidR="0019412D" w:rsidRDefault="0019412D">
    <w:pPr>
      <w:pStyle w:val="BodyText"/>
      <w:spacing w:line="14" w:lineRule="auto"/>
      <w:rPr>
        <w:sz w:val="20"/>
      </w:rP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CC95" w14:textId="77777777" w:rsidR="0019412D" w:rsidRDefault="0019412D">
    <w:pPr>
      <w:pStyle w:val="BodyText"/>
      <w:spacing w:line="14" w:lineRule="auto"/>
      <w:rPr>
        <w:sz w:val="20"/>
      </w:rP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68B35" w14:textId="77777777" w:rsidR="0019412D" w:rsidRDefault="0019412D">
    <w:pPr>
      <w:pStyle w:val="BodyText"/>
      <w:spacing w:line="14" w:lineRule="auto"/>
      <w:rPr>
        <w:sz w:val="20"/>
      </w:rP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5A9B3" w14:textId="77777777" w:rsidR="0019412D" w:rsidRDefault="0019412D">
    <w:pPr>
      <w:pStyle w:val="BodyText"/>
      <w:spacing w:line="14" w:lineRule="auto"/>
      <w:rPr>
        <w:sz w:val="20"/>
      </w:rP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F5D20" w14:textId="77777777" w:rsidR="0019412D" w:rsidRDefault="0019412D">
    <w:pPr>
      <w:pStyle w:val="BodyText"/>
      <w:spacing w:line="14" w:lineRule="auto"/>
      <w:rPr>
        <w:sz w:val="20"/>
      </w:rP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10508" w14:textId="77777777" w:rsidR="0019412D" w:rsidRDefault="0019412D">
    <w:pPr>
      <w:pStyle w:val="BodyText"/>
      <w:spacing w:line="14" w:lineRule="auto"/>
      <w:rPr>
        <w:sz w:val="20"/>
      </w:rP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42E60" w14:textId="77777777" w:rsidR="0019412D" w:rsidRDefault="0019412D">
    <w:pPr>
      <w:pStyle w:val="BodyText"/>
      <w:spacing w:line="14" w:lineRule="auto"/>
      <w:rPr>
        <w:sz w:val="20"/>
      </w:rP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6E635" w14:textId="77777777" w:rsidR="0019412D" w:rsidRDefault="0019412D">
    <w:pPr>
      <w:pStyle w:val="BodyText"/>
      <w:spacing w:line="14" w:lineRule="auto"/>
      <w:rPr>
        <w:sz w:val="20"/>
      </w:rP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B2F1" w14:textId="77777777" w:rsidR="0019412D" w:rsidRDefault="0019412D">
    <w:pPr>
      <w:pStyle w:val="BodyText"/>
      <w:spacing w:line="14" w:lineRule="auto"/>
      <w:rPr>
        <w:sz w:val="20"/>
      </w:rP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5012" w14:textId="77777777" w:rsidR="00084F36" w:rsidRDefault="00084F36">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64D2" w14:textId="77777777" w:rsidR="0019412D" w:rsidRDefault="0019412D">
    <w:pPr>
      <w:pStyle w:val="BodyText"/>
      <w:spacing w:line="14" w:lineRule="auto"/>
      <w:rPr>
        <w:sz w:val="2"/>
      </w:rP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3808F" w14:textId="77777777" w:rsidR="00084F36" w:rsidRDefault="00084F36">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91C76" w14:textId="77777777" w:rsidR="0019412D" w:rsidRDefault="0019412D">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0F3F1" w14:textId="77777777" w:rsidR="0019412D" w:rsidRDefault="0019412D">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21014" w14:textId="77777777" w:rsidR="00084F36" w:rsidRDefault="00EB2BD8">
    <w:pPr>
      <w:pStyle w:val="BodyText"/>
      <w:spacing w:line="14" w:lineRule="auto"/>
      <w:rPr>
        <w:sz w:val="20"/>
      </w:rPr>
    </w:pPr>
    <w:r>
      <w:rPr>
        <w:noProof/>
      </w:rPr>
      <mc:AlternateContent>
        <mc:Choice Requires="wps">
          <w:drawing>
            <wp:anchor distT="0" distB="0" distL="0" distR="0" simplePos="0" relativeHeight="251482112" behindDoc="1" locked="0" layoutInCell="1" allowOverlap="1" wp14:anchorId="2CFA53CB" wp14:editId="03D9D77A">
              <wp:simplePos x="0" y="0"/>
              <wp:positionH relativeFrom="page">
                <wp:posOffset>1197842</wp:posOffset>
              </wp:positionH>
              <wp:positionV relativeFrom="page">
                <wp:posOffset>10225409</wp:posOffset>
              </wp:positionV>
              <wp:extent cx="2555875" cy="14351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41C6D774"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2CFA53CB" id="_x0000_t202" coordsize="21600,21600" o:spt="202" path="m,l,21600r21600,l21600,xe">
              <v:stroke joinstyle="miter"/>
              <v:path gradientshapeok="t" o:connecttype="rect"/>
            </v:shapetype>
            <v:shape id="Textbox 258" o:spid="_x0000_s1100" type="#_x0000_t202" style="position:absolute;margin-left:94.3pt;margin-top:805.15pt;width:201.25pt;height:11.3pt;z-index:-25183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" filled="f" stroked="f">
              <v:textbox inset="0,0,0,0">
                <w:txbxContent>
                  <w:p w14:paraId="41C6D774"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488256" behindDoc="1" locked="0" layoutInCell="1" allowOverlap="1" wp14:anchorId="71FCF2E5" wp14:editId="572C0D34">
              <wp:simplePos x="0" y="0"/>
              <wp:positionH relativeFrom="page">
                <wp:posOffset>496599</wp:posOffset>
              </wp:positionH>
              <wp:positionV relativeFrom="page">
                <wp:posOffset>10229676</wp:posOffset>
              </wp:positionV>
              <wp:extent cx="203200" cy="14224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42240"/>
                      </a:xfrm>
                      <a:prstGeom prst="rect">
                        <a:avLst/>
                      </a:prstGeom>
                    </wps:spPr>
                    <wps:txbx>
                      <w:txbxContent>
                        <w:p w14:paraId="4A7C675E"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wps:txbx>
                    <wps:bodyPr wrap="square" lIns="0" tIns="0" rIns="0" bIns="0" rtlCol="0">
                      <a:noAutofit/>
                    </wps:bodyPr>
                  </wps:wsp>
                </a:graphicData>
              </a:graphic>
            </wp:anchor>
          </w:drawing>
        </mc:Choice>
        <mc:Fallback>
          <w:pict>
            <v:shape w14:anchorId="71FCF2E5" id="Textbox 259" o:spid="_x0000_s1101" type="#_x0000_t202" style="position:absolute;margin-left:39.1pt;margin-top:805.5pt;width:16pt;height:11.2pt;z-index:-25182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" filled="f" stroked="f">
              <v:textbox inset="0,0,0,0">
                <w:txbxContent>
                  <w:p w14:paraId="4A7C675E"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DBE2" w14:textId="09949C41" w:rsidR="00084F36" w:rsidRDefault="00084F36">
    <w:pPr>
      <w:pStyle w:val="Body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3941E" w14:textId="77777777" w:rsidR="0019412D" w:rsidRDefault="0019412D">
    <w:pPr>
      <w:pStyle w:val="BodyText"/>
      <w:spacing w:line="14" w:lineRule="auto"/>
      <w:rPr>
        <w:sz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2445" w14:textId="77777777" w:rsidR="0019412D" w:rsidRDefault="0019412D">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DBC7D" w14:textId="77777777" w:rsidR="00084F36" w:rsidRDefault="00EB2BD8">
    <w:pPr>
      <w:pStyle w:val="BodyText"/>
      <w:spacing w:line="14" w:lineRule="auto"/>
      <w:rPr>
        <w:sz w:val="20"/>
      </w:rPr>
    </w:pPr>
    <w:r>
      <w:rPr>
        <w:noProof/>
      </w:rPr>
      <mc:AlternateContent>
        <mc:Choice Requires="wps">
          <w:drawing>
            <wp:anchor distT="0" distB="0" distL="0" distR="0" simplePos="0" relativeHeight="251211776" behindDoc="1" locked="0" layoutInCell="1" allowOverlap="1" wp14:anchorId="2EC6EACF" wp14:editId="2BB8E465">
              <wp:simplePos x="0" y="0"/>
              <wp:positionH relativeFrom="page">
                <wp:posOffset>1197842</wp:posOffset>
              </wp:positionH>
              <wp:positionV relativeFrom="page">
                <wp:posOffset>10225409</wp:posOffset>
              </wp:positionV>
              <wp:extent cx="2555875" cy="1435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40D7750B"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2EC6EACF" id="_x0000_t202" coordsize="21600,21600" o:spt="202" path="m,l,21600r21600,l21600,xe">
              <v:stroke joinstyle="miter"/>
              <v:path gradientshapeok="t" o:connecttype="rect"/>
            </v:shapetype>
            <v:shape id="Textbox 52" o:spid="_x0000_s1081" type="#_x0000_t202" style="position:absolute;margin-left:94.3pt;margin-top:805.15pt;width:201.25pt;height:11.3pt;z-index:-25210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" filled="f" stroked="f">
              <v:textbox inset="0,0,0,0">
                <w:txbxContent>
                  <w:p w14:paraId="40D7750B"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217920" behindDoc="1" locked="0" layoutInCell="1" allowOverlap="1" wp14:anchorId="26A39E58" wp14:editId="6F1EB7BA">
              <wp:simplePos x="0" y="0"/>
              <wp:positionH relativeFrom="page">
                <wp:posOffset>496599</wp:posOffset>
              </wp:positionH>
              <wp:positionV relativeFrom="page">
                <wp:posOffset>10229676</wp:posOffset>
              </wp:positionV>
              <wp:extent cx="193675" cy="14224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42240"/>
                      </a:xfrm>
                      <a:prstGeom prst="rect">
                        <a:avLst/>
                      </a:prstGeom>
                    </wps:spPr>
                    <wps:txbx>
                      <w:txbxContent>
                        <w:p w14:paraId="5CB43974" w14:textId="77777777" w:rsidR="00084F36" w:rsidRDefault="00EB2BD8">
                          <w:pPr>
                            <w:spacing w:before="15"/>
                            <w:ind w:left="60"/>
                            <w:rPr>
                              <w:sz w:val="16"/>
                            </w:rPr>
                          </w:pPr>
                          <w:r>
                            <w:rPr>
                              <w:spacing w:val="-5"/>
                              <w:w w:val="90"/>
                              <w:sz w:val="16"/>
                            </w:rPr>
                            <w:fldChar w:fldCharType="begin"/>
                          </w:r>
                          <w:r>
                            <w:rPr>
                              <w:spacing w:val="-5"/>
                              <w:w w:val="90"/>
                              <w:sz w:val="16"/>
                            </w:rPr>
                            <w:instrText xml:space="preserve"> PAGE </w:instrText>
                          </w:r>
                          <w:r>
                            <w:rPr>
                              <w:spacing w:val="-5"/>
                              <w:w w:val="90"/>
                              <w:sz w:val="16"/>
                            </w:rPr>
                            <w:fldChar w:fldCharType="separate"/>
                          </w:r>
                          <w:r>
                            <w:rPr>
                              <w:spacing w:val="-5"/>
                              <w:w w:val="90"/>
                              <w:sz w:val="16"/>
                            </w:rPr>
                            <w:t>10</w:t>
                          </w:r>
                          <w:r>
                            <w:rPr>
                              <w:spacing w:val="-5"/>
                              <w:w w:val="90"/>
                              <w:sz w:val="16"/>
                            </w:rPr>
                            <w:fldChar w:fldCharType="end"/>
                          </w:r>
                        </w:p>
                      </w:txbxContent>
                    </wps:txbx>
                    <wps:bodyPr wrap="square" lIns="0" tIns="0" rIns="0" bIns="0" rtlCol="0">
                      <a:noAutofit/>
                    </wps:bodyPr>
                  </wps:wsp>
                </a:graphicData>
              </a:graphic>
            </wp:anchor>
          </w:drawing>
        </mc:Choice>
        <mc:Fallback>
          <w:pict>
            <v:shape w14:anchorId="26A39E58" id="Textbox 53" o:spid="_x0000_s1082" type="#_x0000_t202" style="position:absolute;margin-left:39.1pt;margin-top:805.5pt;width:15.25pt;height:11.2pt;z-index:-25209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" filled="f" stroked="f">
              <v:textbox inset="0,0,0,0">
                <w:txbxContent>
                  <w:p w14:paraId="5CB43974" w14:textId="77777777" w:rsidR="00084F36" w:rsidRDefault="00EB2BD8">
                    <w:pPr>
                      <w:spacing w:before="15"/>
                      <w:ind w:left="60"/>
                      <w:rPr>
                        <w:sz w:val="16"/>
                      </w:rPr>
                    </w:pPr>
                    <w:r>
                      <w:rPr>
                        <w:spacing w:val="-5"/>
                        <w:w w:val="90"/>
                        <w:sz w:val="16"/>
                      </w:rPr>
                      <w:fldChar w:fldCharType="begin"/>
                    </w:r>
                    <w:r>
                      <w:rPr>
                        <w:spacing w:val="-5"/>
                        <w:w w:val="90"/>
                        <w:sz w:val="16"/>
                      </w:rPr>
                      <w:instrText xml:space="preserve"> PAGE </w:instrText>
                    </w:r>
                    <w:r>
                      <w:rPr>
                        <w:spacing w:val="-5"/>
                        <w:w w:val="90"/>
                        <w:sz w:val="16"/>
                      </w:rPr>
                      <w:fldChar w:fldCharType="separate"/>
                    </w:r>
                    <w:r>
                      <w:rPr>
                        <w:spacing w:val="-5"/>
                        <w:w w:val="90"/>
                        <w:sz w:val="16"/>
                      </w:rPr>
                      <w:t>10</w:t>
                    </w:r>
                    <w:r>
                      <w:rPr>
                        <w:spacing w:val="-5"/>
                        <w:w w:val="90"/>
                        <w:sz w:val="16"/>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3E6FF" w14:textId="77777777" w:rsidR="0019412D" w:rsidRDefault="0019412D">
    <w:pPr>
      <w:pStyle w:val="BodyText"/>
      <w:spacing w:line="14" w:lineRule="auto"/>
      <w:rPr>
        <w:sz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AF8A" w14:textId="77777777" w:rsidR="0019412D" w:rsidRDefault="0019412D">
    <w:pPr>
      <w:pStyle w:val="BodyText"/>
      <w:spacing w:line="14" w:lineRule="auto"/>
      <w:rPr>
        <w:sz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C23C" w14:textId="77777777" w:rsidR="00084F36" w:rsidRDefault="00EB2BD8">
    <w:pPr>
      <w:pStyle w:val="BodyText"/>
      <w:spacing w:line="14" w:lineRule="auto"/>
      <w:rPr>
        <w:sz w:val="20"/>
      </w:rPr>
    </w:pPr>
    <w:r>
      <w:rPr>
        <w:noProof/>
      </w:rPr>
      <mc:AlternateContent>
        <mc:Choice Requires="wps">
          <w:drawing>
            <wp:anchor distT="0" distB="0" distL="0" distR="0" simplePos="0" relativeHeight="251497472" behindDoc="1" locked="0" layoutInCell="1" allowOverlap="1" wp14:anchorId="77C0C66A" wp14:editId="50037256">
              <wp:simplePos x="0" y="0"/>
              <wp:positionH relativeFrom="page">
                <wp:posOffset>1197842</wp:posOffset>
              </wp:positionH>
              <wp:positionV relativeFrom="page">
                <wp:posOffset>10225409</wp:posOffset>
              </wp:positionV>
              <wp:extent cx="2555875" cy="14351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203BCCF0"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77C0C66A" id="_x0000_t202" coordsize="21600,21600" o:spt="202" path="m,l,21600r21600,l21600,xe">
              <v:stroke joinstyle="miter"/>
              <v:path gradientshapeok="t" o:connecttype="rect"/>
            </v:shapetype>
            <v:shape id="Textbox 260" o:spid="_x0000_s1102" type="#_x0000_t202" style="position:absolute;margin-left:94.3pt;margin-top:805.15pt;width:201.25pt;height:11.3pt;z-index:-2518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" filled="f" stroked="f">
              <v:textbox inset="0,0,0,0">
                <w:txbxContent>
                  <w:p w14:paraId="203BCCF0"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506688" behindDoc="1" locked="0" layoutInCell="1" allowOverlap="1" wp14:anchorId="519914E8" wp14:editId="2F461D0B">
              <wp:simplePos x="0" y="0"/>
              <wp:positionH relativeFrom="page">
                <wp:posOffset>496599</wp:posOffset>
              </wp:positionH>
              <wp:positionV relativeFrom="page">
                <wp:posOffset>10229676</wp:posOffset>
              </wp:positionV>
              <wp:extent cx="215900" cy="14224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42240"/>
                      </a:xfrm>
                      <a:prstGeom prst="rect">
                        <a:avLst/>
                      </a:prstGeom>
                    </wps:spPr>
                    <wps:txbx>
                      <w:txbxContent>
                        <w:p w14:paraId="60373B8E"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30</w:t>
                          </w:r>
                          <w:r>
                            <w:rPr>
                              <w:spacing w:val="-5"/>
                              <w:sz w:val="16"/>
                            </w:rPr>
                            <w:fldChar w:fldCharType="end"/>
                          </w:r>
                        </w:p>
                      </w:txbxContent>
                    </wps:txbx>
                    <wps:bodyPr wrap="square" lIns="0" tIns="0" rIns="0" bIns="0" rtlCol="0">
                      <a:noAutofit/>
                    </wps:bodyPr>
                  </wps:wsp>
                </a:graphicData>
              </a:graphic>
            </wp:anchor>
          </w:drawing>
        </mc:Choice>
        <mc:Fallback>
          <w:pict>
            <v:shape w14:anchorId="519914E8" id="Textbox 261" o:spid="_x0000_s1103" type="#_x0000_t202" style="position:absolute;margin-left:39.1pt;margin-top:805.5pt;width:17pt;height:11.2pt;z-index:-25180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" filled="f" stroked="f">
              <v:textbox inset="0,0,0,0">
                <w:txbxContent>
                  <w:p w14:paraId="60373B8E"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30</w:t>
                    </w:r>
                    <w:r>
                      <w:rPr>
                        <w:spacing w:val="-5"/>
                        <w:sz w:val="16"/>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8D122" w14:textId="253B0F4E" w:rsidR="00084F36" w:rsidRDefault="00084F36">
    <w:pPr>
      <w:pStyle w:val="BodyText"/>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A0B9" w14:textId="77777777" w:rsidR="0019412D" w:rsidRDefault="0019412D">
    <w:pPr>
      <w:pStyle w:val="BodyText"/>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28BD" w14:textId="77777777" w:rsidR="00084F36" w:rsidRDefault="00EB2BD8">
    <w:pPr>
      <w:pStyle w:val="BodyText"/>
      <w:spacing w:line="14" w:lineRule="auto"/>
      <w:rPr>
        <w:sz w:val="20"/>
      </w:rPr>
    </w:pPr>
    <w:r>
      <w:rPr>
        <w:noProof/>
      </w:rPr>
      <mc:AlternateContent>
        <mc:Choice Requires="wps">
          <w:drawing>
            <wp:anchor distT="0" distB="0" distL="0" distR="0" simplePos="0" relativeHeight="251556864" behindDoc="1" locked="0" layoutInCell="1" allowOverlap="1" wp14:anchorId="3A5DF44B" wp14:editId="5F42EE65">
              <wp:simplePos x="0" y="0"/>
              <wp:positionH relativeFrom="page">
                <wp:posOffset>1197842</wp:posOffset>
              </wp:positionH>
              <wp:positionV relativeFrom="page">
                <wp:posOffset>10225409</wp:posOffset>
              </wp:positionV>
              <wp:extent cx="2555875" cy="14351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7F84C780"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3A5DF44B" id="_x0000_t202" coordsize="21600,21600" o:spt="202" path="m,l,21600r21600,l21600,xe">
              <v:stroke joinstyle="miter"/>
              <v:path gradientshapeok="t" o:connecttype="rect"/>
            </v:shapetype>
            <v:shape id="Textbox 285" o:spid="_x0000_s1105" type="#_x0000_t202" style="position:absolute;margin-left:94.3pt;margin-top:805.15pt;width:201.25pt;height:11.3pt;z-index:-2517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" filled="f" stroked="f">
              <v:textbox inset="0,0,0,0">
                <w:txbxContent>
                  <w:p w14:paraId="7F84C780"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565056" behindDoc="1" locked="0" layoutInCell="1" allowOverlap="1" wp14:anchorId="3F65D7BB" wp14:editId="25C089FC">
              <wp:simplePos x="0" y="0"/>
              <wp:positionH relativeFrom="page">
                <wp:posOffset>496599</wp:posOffset>
              </wp:positionH>
              <wp:positionV relativeFrom="page">
                <wp:posOffset>10229676</wp:posOffset>
              </wp:positionV>
              <wp:extent cx="212090" cy="14224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42240"/>
                      </a:xfrm>
                      <a:prstGeom prst="rect">
                        <a:avLst/>
                      </a:prstGeom>
                    </wps:spPr>
                    <wps:txbx>
                      <w:txbxContent>
                        <w:p w14:paraId="5B22B3BF"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34</w:t>
                          </w:r>
                          <w:r>
                            <w:rPr>
                              <w:spacing w:val="-5"/>
                              <w:sz w:val="16"/>
                            </w:rPr>
                            <w:fldChar w:fldCharType="end"/>
                          </w:r>
                        </w:p>
                      </w:txbxContent>
                    </wps:txbx>
                    <wps:bodyPr wrap="square" lIns="0" tIns="0" rIns="0" bIns="0" rtlCol="0">
                      <a:noAutofit/>
                    </wps:bodyPr>
                  </wps:wsp>
                </a:graphicData>
              </a:graphic>
            </wp:anchor>
          </w:drawing>
        </mc:Choice>
        <mc:Fallback>
          <w:pict>
            <v:shape w14:anchorId="3F65D7BB" id="Textbox 286" o:spid="_x0000_s1106" type="#_x0000_t202" style="position:absolute;margin-left:39.1pt;margin-top:805.5pt;width:16.7pt;height:11.2pt;z-index:-2517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" filled="f" stroked="f">
              <v:textbox inset="0,0,0,0">
                <w:txbxContent>
                  <w:p w14:paraId="5B22B3BF"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34</w:t>
                    </w:r>
                    <w:r>
                      <w:rPr>
                        <w:spacing w:val="-5"/>
                        <w:sz w:val="16"/>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4A32" w14:textId="65C6E4D2" w:rsidR="00084F36" w:rsidRDefault="00084F36">
    <w:pPr>
      <w:pStyle w:val="BodyText"/>
      <w:spacing w:line="14" w:lineRule="auto"/>
      <w:rPr>
        <w:sz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16E4" w14:textId="77777777" w:rsidR="0019412D" w:rsidRDefault="0019412D">
    <w:pPr>
      <w:pStyle w:val="BodyText"/>
      <w:spacing w:line="14" w:lineRule="auto"/>
      <w:rPr>
        <w:sz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4721" w14:textId="77777777" w:rsidR="0019412D" w:rsidRDefault="0019412D">
    <w:pPr>
      <w:pStyle w:val="BodyText"/>
      <w:spacing w:line="14" w:lineRule="auto"/>
      <w:rPr>
        <w:sz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1F89E" w14:textId="77777777" w:rsidR="0019412D" w:rsidRDefault="0019412D">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45DE7" w14:textId="691E3DC2" w:rsidR="00084F36" w:rsidRDefault="00084F36" w:rsidP="00620CAB">
    <w:pPr>
      <w:pStyle w:val="BodyText"/>
      <w:spacing w:line="14" w:lineRule="auto"/>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C204" w14:textId="77777777" w:rsidR="0019412D" w:rsidRDefault="0019412D">
    <w:pPr>
      <w:pStyle w:val="BodyText"/>
      <w:spacing w:line="14" w:lineRule="auto"/>
      <w:rPr>
        <w:sz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8A0F8" w14:textId="77777777" w:rsidR="0019412D" w:rsidRDefault="0019412D">
    <w:pPr>
      <w:pStyle w:val="BodyText"/>
      <w:spacing w:line="14" w:lineRule="auto"/>
      <w:rPr>
        <w:sz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F4B7E" w14:textId="77777777" w:rsidR="0019412D" w:rsidRDefault="0019412D">
    <w:pPr>
      <w:pStyle w:val="BodyText"/>
      <w:spacing w:line="14" w:lineRule="auto"/>
      <w:rPr>
        <w:sz w:val="2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4EF0" w14:textId="77777777" w:rsidR="0019412D" w:rsidRDefault="0019412D">
    <w:pPr>
      <w:pStyle w:val="BodyText"/>
      <w:spacing w:line="14" w:lineRule="auto"/>
      <w:rPr>
        <w:sz w:val="2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93915" w14:textId="77777777" w:rsidR="00084F36" w:rsidRDefault="00084F36">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6A77" w14:textId="77777777" w:rsidR="0019412D" w:rsidRDefault="0019412D">
    <w:pPr>
      <w:pStyle w:val="BodyText"/>
      <w:spacing w:line="14" w:lineRule="auto"/>
      <w:rPr>
        <w:sz w:val="2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F386" w14:textId="77777777" w:rsidR="00084F36" w:rsidRDefault="00EB2BD8">
    <w:pPr>
      <w:pStyle w:val="BodyText"/>
      <w:spacing w:line="14" w:lineRule="auto"/>
      <w:rPr>
        <w:sz w:val="20"/>
      </w:rPr>
    </w:pPr>
    <w:r>
      <w:rPr>
        <w:noProof/>
      </w:rPr>
      <mc:AlternateContent>
        <mc:Choice Requires="wps">
          <w:drawing>
            <wp:anchor distT="0" distB="0" distL="0" distR="0" simplePos="0" relativeHeight="251614208" behindDoc="1" locked="0" layoutInCell="1" allowOverlap="1" wp14:anchorId="573218E1" wp14:editId="03FA11C4">
              <wp:simplePos x="0" y="0"/>
              <wp:positionH relativeFrom="page">
                <wp:posOffset>1197842</wp:posOffset>
              </wp:positionH>
              <wp:positionV relativeFrom="page">
                <wp:posOffset>10225409</wp:posOffset>
              </wp:positionV>
              <wp:extent cx="2555875" cy="14351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43C3689A"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573218E1" id="_x0000_t202" coordsize="21600,21600" o:spt="202" path="m,l,21600r21600,l21600,xe">
              <v:stroke joinstyle="miter"/>
              <v:path gradientshapeok="t" o:connecttype="rect"/>
            </v:shapetype>
            <v:shape id="Textbox 393" o:spid="_x0000_s1108" type="#_x0000_t202" style="position:absolute;margin-left:94.3pt;margin-top:805.15pt;width:201.25pt;height:11.3pt;z-index:-2517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" filled="f" stroked="f">
              <v:textbox inset="0,0,0,0">
                <w:txbxContent>
                  <w:p w14:paraId="43C3689A"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622400" behindDoc="1" locked="0" layoutInCell="1" allowOverlap="1" wp14:anchorId="403E71D1" wp14:editId="2B8847B3">
              <wp:simplePos x="0" y="0"/>
              <wp:positionH relativeFrom="page">
                <wp:posOffset>496599</wp:posOffset>
              </wp:positionH>
              <wp:positionV relativeFrom="page">
                <wp:posOffset>10229676</wp:posOffset>
              </wp:positionV>
              <wp:extent cx="214629" cy="14224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29" cy="142240"/>
                      </a:xfrm>
                      <a:prstGeom prst="rect">
                        <a:avLst/>
                      </a:prstGeom>
                    </wps:spPr>
                    <wps:txbx>
                      <w:txbxContent>
                        <w:p w14:paraId="59C93227"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44</w:t>
                          </w:r>
                          <w:r>
                            <w:rPr>
                              <w:spacing w:val="-5"/>
                              <w:sz w:val="16"/>
                            </w:rPr>
                            <w:fldChar w:fldCharType="end"/>
                          </w:r>
                        </w:p>
                      </w:txbxContent>
                    </wps:txbx>
                    <wps:bodyPr wrap="square" lIns="0" tIns="0" rIns="0" bIns="0" rtlCol="0">
                      <a:noAutofit/>
                    </wps:bodyPr>
                  </wps:wsp>
                </a:graphicData>
              </a:graphic>
            </wp:anchor>
          </w:drawing>
        </mc:Choice>
        <mc:Fallback>
          <w:pict>
            <v:shape w14:anchorId="403E71D1" id="Textbox 394" o:spid="_x0000_s1109" type="#_x0000_t202" style="position:absolute;margin-left:39.1pt;margin-top:805.5pt;width:16.9pt;height:11.2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" filled="f" stroked="f">
              <v:textbox inset="0,0,0,0">
                <w:txbxContent>
                  <w:p w14:paraId="59C93227"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44</w:t>
                    </w:r>
                    <w:r>
                      <w:rPr>
                        <w:spacing w:val="-5"/>
                        <w:sz w:val="16"/>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0B27" w14:textId="6E2A1FBD" w:rsidR="00084F36" w:rsidRDefault="00084F36">
    <w:pPr>
      <w:pStyle w:val="BodyText"/>
      <w:spacing w:line="14" w:lineRule="auto"/>
      <w:rPr>
        <w:sz w:val="2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E649" w14:textId="77777777" w:rsidR="0019412D" w:rsidRDefault="0019412D">
    <w:pPr>
      <w:pStyle w:val="BodyText"/>
      <w:spacing w:line="14" w:lineRule="auto"/>
      <w:rPr>
        <w:sz w:val="2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A0EE1" w14:textId="77777777" w:rsidR="00084F36" w:rsidRDefault="00EB2BD8">
    <w:pPr>
      <w:pStyle w:val="BodyText"/>
      <w:spacing w:line="14" w:lineRule="auto"/>
      <w:rPr>
        <w:sz w:val="20"/>
      </w:rPr>
    </w:pPr>
    <w:r>
      <w:rPr>
        <w:noProof/>
      </w:rPr>
      <mc:AlternateContent>
        <mc:Choice Requires="wps">
          <w:drawing>
            <wp:anchor distT="0" distB="0" distL="0" distR="0" simplePos="0" relativeHeight="251646976" behindDoc="1" locked="0" layoutInCell="1" allowOverlap="1" wp14:anchorId="31F5C938" wp14:editId="26E5EFB2">
              <wp:simplePos x="0" y="0"/>
              <wp:positionH relativeFrom="page">
                <wp:posOffset>1197842</wp:posOffset>
              </wp:positionH>
              <wp:positionV relativeFrom="page">
                <wp:posOffset>10225409</wp:posOffset>
              </wp:positionV>
              <wp:extent cx="2555875" cy="14351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4E24C846"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31F5C938" id="_x0000_t202" coordsize="21600,21600" o:spt="202" path="m,l,21600r21600,l21600,xe">
              <v:stroke joinstyle="miter"/>
              <v:path gradientshapeok="t" o:connecttype="rect"/>
            </v:shapetype>
            <v:shape id="Textbox 410" o:spid="_x0000_s1110" type="#_x0000_t202" style="position:absolute;margin-left:94.3pt;margin-top:805.15pt;width:201.25pt;height:11.3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" filled="f" stroked="f">
              <v:textbox inset="0,0,0,0">
                <w:txbxContent>
                  <w:p w14:paraId="4E24C846"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655168" behindDoc="1" locked="0" layoutInCell="1" allowOverlap="1" wp14:anchorId="3EC3FABB" wp14:editId="5E29523C">
              <wp:simplePos x="0" y="0"/>
              <wp:positionH relativeFrom="page">
                <wp:posOffset>496599</wp:posOffset>
              </wp:positionH>
              <wp:positionV relativeFrom="page">
                <wp:posOffset>10229676</wp:posOffset>
              </wp:positionV>
              <wp:extent cx="214629" cy="14224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29" cy="142240"/>
                      </a:xfrm>
                      <a:prstGeom prst="rect">
                        <a:avLst/>
                      </a:prstGeom>
                    </wps:spPr>
                    <wps:txbx>
                      <w:txbxContent>
                        <w:p w14:paraId="244CBF83"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44</w:t>
                          </w:r>
                          <w:r>
                            <w:rPr>
                              <w:spacing w:val="-5"/>
                              <w:sz w:val="16"/>
                            </w:rPr>
                            <w:fldChar w:fldCharType="end"/>
                          </w:r>
                        </w:p>
                      </w:txbxContent>
                    </wps:txbx>
                    <wps:bodyPr wrap="square" lIns="0" tIns="0" rIns="0" bIns="0" rtlCol="0">
                      <a:noAutofit/>
                    </wps:bodyPr>
                  </wps:wsp>
                </a:graphicData>
              </a:graphic>
            </wp:anchor>
          </w:drawing>
        </mc:Choice>
        <mc:Fallback>
          <w:pict>
            <v:shape w14:anchorId="3EC3FABB" id="Textbox 411" o:spid="_x0000_s1111" type="#_x0000_t202" style="position:absolute;margin-left:39.1pt;margin-top:805.5pt;width:16.9pt;height:11.2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" filled="f" stroked="f">
              <v:textbox inset="0,0,0,0">
                <w:txbxContent>
                  <w:p w14:paraId="244CBF83"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44</w:t>
                    </w:r>
                    <w:r>
                      <w:rPr>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B7B02" w14:textId="48343A08" w:rsidR="00620CAB" w:rsidRPr="00620CAB" w:rsidRDefault="00620CAB">
    <w:pPr>
      <w:pStyle w:val="BodyText"/>
      <w:spacing w:line="14" w:lineRule="auto"/>
      <w:rPr>
        <w:sz w:val="32"/>
        <w:szCs w:val="32"/>
        <w:lang w:val="en-AU"/>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24C0" w14:textId="5194B096" w:rsidR="00084F36" w:rsidRDefault="00084F36">
    <w:pPr>
      <w:pStyle w:val="BodyText"/>
      <w:spacing w:line="14" w:lineRule="auto"/>
      <w:rPr>
        <w:sz w:val="20"/>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4D89" w14:textId="77777777" w:rsidR="0019412D" w:rsidRDefault="0019412D">
    <w:pPr>
      <w:pStyle w:val="BodyText"/>
      <w:spacing w:line="14" w:lineRule="auto"/>
      <w:rPr>
        <w:sz w:val="20"/>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C865" w14:textId="77777777" w:rsidR="0019412D" w:rsidRDefault="0019412D">
    <w:pPr>
      <w:pStyle w:val="BodyText"/>
      <w:spacing w:line="14" w:lineRule="auto"/>
      <w:rPr>
        <w:sz w:val="20"/>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51561" w14:textId="77777777" w:rsidR="0019412D" w:rsidRDefault="0019412D">
    <w:pPr>
      <w:pStyle w:val="BodyText"/>
      <w:spacing w:line="14" w:lineRule="auto"/>
      <w:rPr>
        <w:sz w:val="2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FC250" w14:textId="77777777" w:rsidR="0019412D" w:rsidRDefault="0019412D">
    <w:pPr>
      <w:pStyle w:val="BodyText"/>
      <w:spacing w:line="14" w:lineRule="auto"/>
      <w:rPr>
        <w:sz w:val="20"/>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E31C" w14:textId="77777777" w:rsidR="0019412D" w:rsidRDefault="0019412D">
    <w:pPr>
      <w:pStyle w:val="BodyText"/>
      <w:spacing w:line="14" w:lineRule="auto"/>
      <w:rPr>
        <w:sz w:val="20"/>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08C9" w14:textId="77777777" w:rsidR="0019412D" w:rsidRDefault="0019412D">
    <w:pPr>
      <w:pStyle w:val="BodyText"/>
      <w:spacing w:line="14" w:lineRule="auto"/>
      <w:rPr>
        <w:sz w:val="20"/>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AA376" w14:textId="77777777" w:rsidR="0019412D" w:rsidRDefault="0019412D">
    <w:pPr>
      <w:pStyle w:val="BodyText"/>
      <w:spacing w:line="14" w:lineRule="auto"/>
      <w:rPr>
        <w:sz w:val="20"/>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48E7" w14:textId="77777777" w:rsidR="00084F36" w:rsidRDefault="00084F36">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82CEF" w14:textId="77777777" w:rsidR="00084F36" w:rsidRDefault="00084F36">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9B07" w14:textId="77777777" w:rsidR="00546ED1" w:rsidRDefault="00546ED1">
    <w:pPr>
      <w:pStyle w:val="BodyText"/>
      <w:spacing w:line="14" w:lineRule="auto"/>
      <w:rPr>
        <w:sz w:val="20"/>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246D1" w14:textId="77777777" w:rsidR="0019412D" w:rsidRDefault="0019412D">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BE1E" w14:textId="77777777" w:rsidR="00084F36" w:rsidRDefault="00EB2BD8">
    <w:pPr>
      <w:pStyle w:val="BodyText"/>
      <w:spacing w:line="14" w:lineRule="auto"/>
      <w:rPr>
        <w:sz w:val="20"/>
      </w:rPr>
    </w:pPr>
    <w:r>
      <w:rPr>
        <w:noProof/>
      </w:rPr>
      <mc:AlternateContent>
        <mc:Choice Requires="wps">
          <w:drawing>
            <wp:anchor distT="0" distB="0" distL="0" distR="0" simplePos="0" relativeHeight="251712512" behindDoc="1" locked="0" layoutInCell="1" allowOverlap="1" wp14:anchorId="732824AC" wp14:editId="1FBDC6DD">
              <wp:simplePos x="0" y="0"/>
              <wp:positionH relativeFrom="page">
                <wp:posOffset>1197842</wp:posOffset>
              </wp:positionH>
              <wp:positionV relativeFrom="page">
                <wp:posOffset>10225409</wp:posOffset>
              </wp:positionV>
              <wp:extent cx="2555875" cy="14351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07A9CE40"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732824AC" id="_x0000_t202" coordsize="21600,21600" o:spt="202" path="m,l,21600r21600,l21600,xe">
              <v:stroke joinstyle="miter"/>
              <v:path gradientshapeok="t" o:connecttype="rect"/>
            </v:shapetype>
            <v:shape id="Textbox 449" o:spid="_x0000_s1113" type="#_x0000_t202" style="position:absolute;margin-left:94.3pt;margin-top:805.15pt;width:201.25pt;height:11.3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" filled="f" stroked="f">
              <v:textbox inset="0,0,0,0">
                <w:txbxContent>
                  <w:p w14:paraId="07A9CE40"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720704" behindDoc="1" locked="0" layoutInCell="1" allowOverlap="1" wp14:anchorId="235D3C3D" wp14:editId="4E82CE72">
              <wp:simplePos x="0" y="0"/>
              <wp:positionH relativeFrom="page">
                <wp:posOffset>496599</wp:posOffset>
              </wp:positionH>
              <wp:positionV relativeFrom="page">
                <wp:posOffset>10229676</wp:posOffset>
              </wp:positionV>
              <wp:extent cx="208915" cy="14224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42240"/>
                      </a:xfrm>
                      <a:prstGeom prst="rect">
                        <a:avLst/>
                      </a:prstGeom>
                    </wps:spPr>
                    <wps:txbx>
                      <w:txbxContent>
                        <w:p w14:paraId="543BF607"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 w14:anchorId="235D3C3D" id="Textbox 450" o:spid="_x0000_s1114" type="#_x0000_t202" style="position:absolute;margin-left:39.1pt;margin-top:805.5pt;width:16.45pt;height:11.2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" filled="f" stroked="f">
              <v:textbox inset="0,0,0,0">
                <w:txbxContent>
                  <w:p w14:paraId="543BF607"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AE2A6" w14:textId="6A67BFC3" w:rsidR="00084F36" w:rsidRDefault="00084F36">
    <w:pPr>
      <w:pStyle w:val="BodyText"/>
      <w:spacing w:line="14" w:lineRule="auto"/>
      <w:rPr>
        <w:sz w:val="20"/>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500D" w14:textId="77777777" w:rsidR="0019412D" w:rsidRDefault="0019412D">
    <w:pPr>
      <w:pStyle w:val="BodyText"/>
      <w:spacing w:line="14" w:lineRule="auto"/>
      <w:rPr>
        <w:sz w:val="20"/>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BB2B9" w14:textId="77777777" w:rsidR="0019412D" w:rsidRDefault="0019412D">
    <w:pPr>
      <w:pStyle w:val="BodyText"/>
      <w:spacing w:line="14" w:lineRule="auto"/>
      <w:rPr>
        <w:sz w:val="20"/>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DE3C" w14:textId="77777777" w:rsidR="0019412D" w:rsidRDefault="0019412D">
    <w:pPr>
      <w:pStyle w:val="BodyText"/>
      <w:spacing w:line="14" w:lineRule="auto"/>
      <w:rPr>
        <w:sz w:val="20"/>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B5390" w14:textId="29347EF9" w:rsidR="00084F36" w:rsidRDefault="00084F36">
    <w:pPr>
      <w:pStyle w:val="BodyText"/>
      <w:spacing w:line="14" w:lineRule="auto"/>
      <w:rPr>
        <w:sz w:val="20"/>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A595" w14:textId="77777777" w:rsidR="00084F36" w:rsidRDefault="00084F36">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BA1A2" w14:textId="77777777" w:rsidR="0019412D" w:rsidRDefault="0019412D">
    <w:pPr>
      <w:pStyle w:val="BodyText"/>
      <w:spacing w:line="14" w:lineRule="auto"/>
      <w:rPr>
        <w:sz w:val="20"/>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A26D8" w14:textId="77777777" w:rsidR="00084F36" w:rsidRDefault="00EB2BD8">
    <w:pPr>
      <w:pStyle w:val="BodyText"/>
      <w:spacing w:line="14" w:lineRule="auto"/>
      <w:rPr>
        <w:sz w:val="20"/>
      </w:rPr>
    </w:pPr>
    <w:r>
      <w:rPr>
        <w:noProof/>
      </w:rPr>
      <mc:AlternateContent>
        <mc:Choice Requires="wps">
          <w:drawing>
            <wp:anchor distT="0" distB="0" distL="0" distR="0" simplePos="0" relativeHeight="251774976" behindDoc="1" locked="0" layoutInCell="1" allowOverlap="1" wp14:anchorId="540CBA54" wp14:editId="52985090">
              <wp:simplePos x="0" y="0"/>
              <wp:positionH relativeFrom="page">
                <wp:posOffset>1197842</wp:posOffset>
              </wp:positionH>
              <wp:positionV relativeFrom="page">
                <wp:posOffset>10225409</wp:posOffset>
              </wp:positionV>
              <wp:extent cx="2555875" cy="14351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7A5B3BCD"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540CBA54" id="_x0000_t202" coordsize="21600,21600" o:spt="202" path="m,l,21600r21600,l21600,xe">
              <v:stroke joinstyle="miter"/>
              <v:path gradientshapeok="t" o:connecttype="rect"/>
            </v:shapetype>
            <v:shape id="Textbox 482" o:spid="_x0000_s1116" type="#_x0000_t202" style="position:absolute;margin-left:94.3pt;margin-top:805.15pt;width:201.25pt;height:11.3pt;z-index:-2515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" filled="f" stroked="f">
              <v:textbox inset="0,0,0,0">
                <w:txbxContent>
                  <w:p w14:paraId="7A5B3BCD"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784192" behindDoc="1" locked="0" layoutInCell="1" allowOverlap="1" wp14:anchorId="65CC11C2" wp14:editId="38577A55">
              <wp:simplePos x="0" y="0"/>
              <wp:positionH relativeFrom="page">
                <wp:posOffset>496599</wp:posOffset>
              </wp:positionH>
              <wp:positionV relativeFrom="page">
                <wp:posOffset>10229676</wp:posOffset>
              </wp:positionV>
              <wp:extent cx="219075" cy="14224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42240"/>
                      </a:xfrm>
                      <a:prstGeom prst="rect">
                        <a:avLst/>
                      </a:prstGeom>
                    </wps:spPr>
                    <wps:txbx>
                      <w:txbxContent>
                        <w:p w14:paraId="66BFDE15"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60</w:t>
                          </w:r>
                          <w:r>
                            <w:rPr>
                              <w:spacing w:val="-5"/>
                              <w:sz w:val="16"/>
                            </w:rPr>
                            <w:fldChar w:fldCharType="end"/>
                          </w:r>
                        </w:p>
                      </w:txbxContent>
                    </wps:txbx>
                    <wps:bodyPr wrap="square" lIns="0" tIns="0" rIns="0" bIns="0" rtlCol="0">
                      <a:noAutofit/>
                    </wps:bodyPr>
                  </wps:wsp>
                </a:graphicData>
              </a:graphic>
            </wp:anchor>
          </w:drawing>
        </mc:Choice>
        <mc:Fallback>
          <w:pict>
            <v:shape w14:anchorId="65CC11C2" id="Textbox 483" o:spid="_x0000_s1117" type="#_x0000_t202" style="position:absolute;margin-left:39.1pt;margin-top:805.5pt;width:17.25pt;height:11.2pt;z-index:-251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" filled="f" stroked="f">
              <v:textbox inset="0,0,0,0">
                <w:txbxContent>
                  <w:p w14:paraId="66BFDE15"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60</w:t>
                    </w:r>
                    <w:r>
                      <w:rPr>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7A9F" w14:textId="77777777" w:rsidR="0019412D" w:rsidRDefault="0019412D">
    <w:pPr>
      <w:pStyle w:val="BodyText"/>
      <w:spacing w:line="14" w:lineRule="auto"/>
      <w:rPr>
        <w:sz w:val="20"/>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0E99" w14:textId="77777777" w:rsidR="0019412D" w:rsidRDefault="0019412D">
    <w:pPr>
      <w:pStyle w:val="BodyText"/>
      <w:spacing w:line="14" w:lineRule="auto"/>
      <w:rPr>
        <w:sz w:val="20"/>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500C" w14:textId="77777777" w:rsidR="0019412D" w:rsidRDefault="0019412D">
    <w:pPr>
      <w:pStyle w:val="BodyText"/>
      <w:spacing w:line="14" w:lineRule="auto"/>
      <w:rPr>
        <w:sz w:val="20"/>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F79B" w14:textId="77777777" w:rsidR="0019412D" w:rsidRDefault="0019412D">
    <w:pPr>
      <w:pStyle w:val="BodyText"/>
      <w:spacing w:line="14" w:lineRule="auto"/>
      <w:rPr>
        <w:sz w:val="20"/>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E3CD9" w14:textId="77777777" w:rsidR="00084F36" w:rsidRDefault="00EB2BD8">
    <w:pPr>
      <w:pStyle w:val="BodyText"/>
      <w:spacing w:line="14" w:lineRule="auto"/>
      <w:rPr>
        <w:sz w:val="20"/>
      </w:rPr>
    </w:pPr>
    <w:r>
      <w:rPr>
        <w:noProof/>
      </w:rPr>
      <mc:AlternateContent>
        <mc:Choice Requires="wps">
          <w:drawing>
            <wp:anchor distT="0" distB="0" distL="0" distR="0" simplePos="0" relativeHeight="251811840" behindDoc="1" locked="0" layoutInCell="1" allowOverlap="1" wp14:anchorId="442344F8" wp14:editId="70623005">
              <wp:simplePos x="0" y="0"/>
              <wp:positionH relativeFrom="page">
                <wp:posOffset>1197842</wp:posOffset>
              </wp:positionH>
              <wp:positionV relativeFrom="page">
                <wp:posOffset>10225409</wp:posOffset>
              </wp:positionV>
              <wp:extent cx="2555875" cy="14351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55602E0A"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442344F8" id="_x0000_t202" coordsize="21600,21600" o:spt="202" path="m,l,21600r21600,l21600,xe">
              <v:stroke joinstyle="miter"/>
              <v:path gradientshapeok="t" o:connecttype="rect"/>
            </v:shapetype>
            <v:shape id="Textbox 497" o:spid="_x0000_s1119" type="#_x0000_t202" style="position:absolute;margin-left:94.3pt;margin-top:805.15pt;width:201.25pt;height:11.3pt;z-index:-2515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" filled="f" stroked="f">
              <v:textbox inset="0,0,0,0">
                <w:txbxContent>
                  <w:p w14:paraId="55602E0A"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821056" behindDoc="1" locked="0" layoutInCell="1" allowOverlap="1" wp14:anchorId="30080299" wp14:editId="01D915B9">
              <wp:simplePos x="0" y="0"/>
              <wp:positionH relativeFrom="page">
                <wp:posOffset>496599</wp:posOffset>
              </wp:positionH>
              <wp:positionV relativeFrom="page">
                <wp:posOffset>10229676</wp:posOffset>
              </wp:positionV>
              <wp:extent cx="203835" cy="14224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42240"/>
                      </a:xfrm>
                      <a:prstGeom prst="rect">
                        <a:avLst/>
                      </a:prstGeom>
                    </wps:spPr>
                    <wps:txbx>
                      <w:txbxContent>
                        <w:p w14:paraId="6F6F6AD2"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62</w:t>
                          </w:r>
                          <w:r>
                            <w:rPr>
                              <w:spacing w:val="-5"/>
                              <w:sz w:val="16"/>
                            </w:rPr>
                            <w:fldChar w:fldCharType="end"/>
                          </w:r>
                        </w:p>
                      </w:txbxContent>
                    </wps:txbx>
                    <wps:bodyPr wrap="square" lIns="0" tIns="0" rIns="0" bIns="0" rtlCol="0">
                      <a:noAutofit/>
                    </wps:bodyPr>
                  </wps:wsp>
                </a:graphicData>
              </a:graphic>
            </wp:anchor>
          </w:drawing>
        </mc:Choice>
        <mc:Fallback>
          <w:pict>
            <v:shape w14:anchorId="30080299" id="Textbox 498" o:spid="_x0000_s1120" type="#_x0000_t202" style="position:absolute;margin-left:39.1pt;margin-top:805.5pt;width:16.05pt;height:11.2pt;z-index:-2514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" filled="f" stroked="f">
              <v:textbox inset="0,0,0,0">
                <w:txbxContent>
                  <w:p w14:paraId="6F6F6AD2"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62</w:t>
                    </w:r>
                    <w:r>
                      <w:rPr>
                        <w:spacing w:val="-5"/>
                        <w:sz w:val="16"/>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006AA" w14:textId="77777777" w:rsidR="0019412D" w:rsidRDefault="0019412D">
    <w:pPr>
      <w:pStyle w:val="BodyText"/>
      <w:spacing w:line="14" w:lineRule="auto"/>
      <w:rPr>
        <w:sz w:val="20"/>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3B78" w14:textId="77777777" w:rsidR="00084F36" w:rsidRDefault="00084F36">
    <w:pPr>
      <w:pStyle w:val="Body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27AB" w14:textId="77777777" w:rsidR="00084F36" w:rsidRDefault="00084F36">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7C75B" w14:textId="77777777" w:rsidR="0019412D" w:rsidRDefault="0019412D">
    <w:pPr>
      <w:pStyle w:val="Body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876FC" w14:textId="77777777" w:rsidR="00084F36" w:rsidRDefault="00EB2BD8">
    <w:pPr>
      <w:pStyle w:val="BodyText"/>
      <w:spacing w:line="14" w:lineRule="auto"/>
      <w:rPr>
        <w:sz w:val="20"/>
      </w:rPr>
    </w:pPr>
    <w:r>
      <w:rPr>
        <w:noProof/>
      </w:rPr>
      <mc:AlternateContent>
        <mc:Choice Requires="wps">
          <w:drawing>
            <wp:anchor distT="0" distB="0" distL="0" distR="0" simplePos="0" relativeHeight="251842560" behindDoc="1" locked="0" layoutInCell="1" allowOverlap="1" wp14:anchorId="16C71DCF" wp14:editId="576C3386">
              <wp:simplePos x="0" y="0"/>
              <wp:positionH relativeFrom="page">
                <wp:posOffset>1197842</wp:posOffset>
              </wp:positionH>
              <wp:positionV relativeFrom="page">
                <wp:posOffset>10225409</wp:posOffset>
              </wp:positionV>
              <wp:extent cx="2555875" cy="14351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7DB103CC"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16C71DCF" id="_x0000_t202" coordsize="21600,21600" o:spt="202" path="m,l,21600r21600,l21600,xe">
              <v:stroke joinstyle="miter"/>
              <v:path gradientshapeok="t" o:connecttype="rect"/>
            </v:shapetype>
            <v:shape id="Textbox 534" o:spid="_x0000_s1121" type="#_x0000_t202" style="position:absolute;margin-left:94.3pt;margin-top:805.15pt;width:201.25pt;height:11.3pt;z-index:-2514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" filled="f" stroked="f">
              <v:textbox inset="0,0,0,0">
                <w:txbxContent>
                  <w:p w14:paraId="7DB103CC"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849728" behindDoc="1" locked="0" layoutInCell="1" allowOverlap="1" wp14:anchorId="7F0B8503" wp14:editId="6D017CEF">
              <wp:simplePos x="0" y="0"/>
              <wp:positionH relativeFrom="page">
                <wp:posOffset>496599</wp:posOffset>
              </wp:positionH>
              <wp:positionV relativeFrom="page">
                <wp:posOffset>10229676</wp:posOffset>
              </wp:positionV>
              <wp:extent cx="213360" cy="14224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42240"/>
                      </a:xfrm>
                      <a:prstGeom prst="rect">
                        <a:avLst/>
                      </a:prstGeom>
                    </wps:spPr>
                    <wps:txbx>
                      <w:txbxContent>
                        <w:p w14:paraId="0AEB54EC"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66</w:t>
                          </w:r>
                          <w:r>
                            <w:rPr>
                              <w:spacing w:val="-5"/>
                              <w:sz w:val="16"/>
                            </w:rPr>
                            <w:fldChar w:fldCharType="end"/>
                          </w:r>
                        </w:p>
                      </w:txbxContent>
                    </wps:txbx>
                    <wps:bodyPr wrap="square" lIns="0" tIns="0" rIns="0" bIns="0" rtlCol="0">
                      <a:noAutofit/>
                    </wps:bodyPr>
                  </wps:wsp>
                </a:graphicData>
              </a:graphic>
            </wp:anchor>
          </w:drawing>
        </mc:Choice>
        <mc:Fallback>
          <w:pict>
            <v:shape w14:anchorId="7F0B8503" id="Textbox 535" o:spid="_x0000_s1122" type="#_x0000_t202" style="position:absolute;margin-left:39.1pt;margin-top:805.5pt;width:16.8pt;height:11.2pt;z-index:-2514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" filled="f" stroked="f">
              <v:textbox inset="0,0,0,0">
                <w:txbxContent>
                  <w:p w14:paraId="0AEB54EC"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66</w:t>
                    </w:r>
                    <w:r>
                      <w:rPr>
                        <w:spacing w:val="-5"/>
                        <w:sz w:val="16"/>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C9B3" w14:textId="10D52F9A" w:rsidR="00084F36" w:rsidRDefault="00084F36">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21E77" w14:textId="77777777" w:rsidR="0019412D" w:rsidRDefault="0019412D">
    <w:pPr>
      <w:pStyle w:val="BodyText"/>
      <w:spacing w:line="14" w:lineRule="auto"/>
      <w:rPr>
        <w:sz w:val="20"/>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19937" w14:textId="77777777" w:rsidR="0019412D" w:rsidRDefault="0019412D">
    <w:pPr>
      <w:pStyle w:val="BodyText"/>
      <w:spacing w:line="14" w:lineRule="auto"/>
      <w:rPr>
        <w:sz w:val="20"/>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7790" w14:textId="77777777" w:rsidR="0019412D" w:rsidRDefault="0019412D">
    <w:pPr>
      <w:pStyle w:val="BodyText"/>
      <w:spacing w:line="14" w:lineRule="auto"/>
      <w:rPr>
        <w:sz w:val="20"/>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3558F" w14:textId="77777777" w:rsidR="00084F36" w:rsidRDefault="00EB2BD8">
    <w:pPr>
      <w:pStyle w:val="BodyText"/>
      <w:spacing w:line="14" w:lineRule="auto"/>
      <w:rPr>
        <w:sz w:val="20"/>
      </w:rPr>
    </w:pPr>
    <w:r>
      <w:rPr>
        <w:noProof/>
      </w:rPr>
      <mc:AlternateContent>
        <mc:Choice Requires="wps">
          <w:drawing>
            <wp:anchor distT="0" distB="0" distL="0" distR="0" simplePos="0" relativeHeight="251885568" behindDoc="1" locked="0" layoutInCell="1" allowOverlap="1" wp14:anchorId="2B987070" wp14:editId="708AE6E8">
              <wp:simplePos x="0" y="0"/>
              <wp:positionH relativeFrom="page">
                <wp:posOffset>1197842</wp:posOffset>
              </wp:positionH>
              <wp:positionV relativeFrom="page">
                <wp:posOffset>10225409</wp:posOffset>
              </wp:positionV>
              <wp:extent cx="2555875" cy="14351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38291003"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2B987070" id="_x0000_t202" coordsize="21600,21600" o:spt="202" path="m,l,21600r21600,l21600,xe">
              <v:stroke joinstyle="miter"/>
              <v:path gradientshapeok="t" o:connecttype="rect"/>
            </v:shapetype>
            <v:shape id="Textbox 559" o:spid="_x0000_s1124" type="#_x0000_t202" style="position:absolute;margin-left:94.3pt;margin-top:805.15pt;width:201.25pt;height:11.3pt;z-index:-2514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" filled="f" stroked="f">
              <v:textbox inset="0,0,0,0">
                <w:txbxContent>
                  <w:p w14:paraId="38291003"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892736" behindDoc="1" locked="0" layoutInCell="1" allowOverlap="1" wp14:anchorId="2C2666B2" wp14:editId="1BC952DC">
              <wp:simplePos x="0" y="0"/>
              <wp:positionH relativeFrom="page">
                <wp:posOffset>496599</wp:posOffset>
              </wp:positionH>
              <wp:positionV relativeFrom="page">
                <wp:posOffset>10229676</wp:posOffset>
              </wp:positionV>
              <wp:extent cx="209550" cy="14224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42240"/>
                      </a:xfrm>
                      <a:prstGeom prst="rect">
                        <a:avLst/>
                      </a:prstGeom>
                    </wps:spPr>
                    <wps:txbx>
                      <w:txbxContent>
                        <w:p w14:paraId="3DDCB05B"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68</w:t>
                          </w:r>
                          <w:r>
                            <w:rPr>
                              <w:spacing w:val="-5"/>
                              <w:sz w:val="16"/>
                            </w:rPr>
                            <w:fldChar w:fldCharType="end"/>
                          </w:r>
                        </w:p>
                      </w:txbxContent>
                    </wps:txbx>
                    <wps:bodyPr wrap="square" lIns="0" tIns="0" rIns="0" bIns="0" rtlCol="0">
                      <a:noAutofit/>
                    </wps:bodyPr>
                  </wps:wsp>
                </a:graphicData>
              </a:graphic>
            </wp:anchor>
          </w:drawing>
        </mc:Choice>
        <mc:Fallback>
          <w:pict>
            <v:shape w14:anchorId="2C2666B2" id="Textbox 560" o:spid="_x0000_s1125" type="#_x0000_t202" style="position:absolute;margin-left:39.1pt;margin-top:805.5pt;width:16.5pt;height:11.2pt;z-index:-2514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" filled="f" stroked="f">
              <v:textbox inset="0,0,0,0">
                <w:txbxContent>
                  <w:p w14:paraId="3DDCB05B"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68</w:t>
                    </w:r>
                    <w:r>
                      <w:rPr>
                        <w:spacing w:val="-5"/>
                        <w:sz w:val="16"/>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1422" w14:textId="67A70426" w:rsidR="00084F36" w:rsidRDefault="00084F36">
    <w:pPr>
      <w:pStyle w:val="BodyText"/>
      <w:spacing w:line="14" w:lineRule="auto"/>
      <w:rPr>
        <w:sz w:val="20"/>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38F3" w14:textId="77777777" w:rsidR="0019412D" w:rsidRDefault="0019412D">
    <w:pPr>
      <w:pStyle w:val="BodyText"/>
      <w:spacing w:line="14" w:lineRule="auto"/>
      <w:rPr>
        <w:sz w:val="20"/>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37642" w14:textId="77777777" w:rsidR="00084F36" w:rsidRDefault="00084F36">
    <w:pPr>
      <w:pStyle w:val="BodyText"/>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2B178" w14:textId="77777777" w:rsidR="00084F36" w:rsidRDefault="00EB2BD8">
    <w:pPr>
      <w:pStyle w:val="BodyText"/>
      <w:spacing w:line="14" w:lineRule="auto"/>
      <w:rPr>
        <w:sz w:val="20"/>
      </w:rPr>
    </w:pPr>
    <w:r>
      <w:rPr>
        <w:noProof/>
      </w:rPr>
      <mc:AlternateContent>
        <mc:Choice Requires="wps">
          <w:drawing>
            <wp:anchor distT="0" distB="0" distL="0" distR="0" simplePos="0" relativeHeight="251914240" behindDoc="1" locked="0" layoutInCell="1" allowOverlap="1" wp14:anchorId="10707438" wp14:editId="063E490A">
              <wp:simplePos x="0" y="0"/>
              <wp:positionH relativeFrom="page">
                <wp:posOffset>1197842</wp:posOffset>
              </wp:positionH>
              <wp:positionV relativeFrom="page">
                <wp:posOffset>10225409</wp:posOffset>
              </wp:positionV>
              <wp:extent cx="2555875" cy="14351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19B63D71"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10707438" id="_x0000_t202" coordsize="21600,21600" o:spt="202" path="m,l,21600r21600,l21600,xe">
              <v:stroke joinstyle="miter"/>
              <v:path gradientshapeok="t" o:connecttype="rect"/>
            </v:shapetype>
            <v:shape id="Textbox 603" o:spid="_x0000_s1127" type="#_x0000_t202" style="position:absolute;margin-left:94.3pt;margin-top:805.15pt;width:201.25pt;height:11.3pt;z-index:-2514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" filled="f" stroked="f">
              <v:textbox inset="0,0,0,0">
                <w:txbxContent>
                  <w:p w14:paraId="19B63D71"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921408" behindDoc="1" locked="0" layoutInCell="1" allowOverlap="1" wp14:anchorId="0F98BD29" wp14:editId="1E84BEC8">
              <wp:simplePos x="0" y="0"/>
              <wp:positionH relativeFrom="page">
                <wp:posOffset>496599</wp:posOffset>
              </wp:positionH>
              <wp:positionV relativeFrom="page">
                <wp:posOffset>10229676</wp:posOffset>
              </wp:positionV>
              <wp:extent cx="207010" cy="142240"/>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42240"/>
                      </a:xfrm>
                      <a:prstGeom prst="rect">
                        <a:avLst/>
                      </a:prstGeom>
                    </wps:spPr>
                    <wps:txbx>
                      <w:txbxContent>
                        <w:p w14:paraId="190FCBB8"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70</w:t>
                          </w:r>
                          <w:r>
                            <w:rPr>
                              <w:spacing w:val="-5"/>
                              <w:sz w:val="16"/>
                            </w:rPr>
                            <w:fldChar w:fldCharType="end"/>
                          </w:r>
                        </w:p>
                      </w:txbxContent>
                    </wps:txbx>
                    <wps:bodyPr wrap="square" lIns="0" tIns="0" rIns="0" bIns="0" rtlCol="0">
                      <a:noAutofit/>
                    </wps:bodyPr>
                  </wps:wsp>
                </a:graphicData>
              </a:graphic>
            </wp:anchor>
          </w:drawing>
        </mc:Choice>
        <mc:Fallback>
          <w:pict>
            <v:shape w14:anchorId="0F98BD29" id="Textbox 604" o:spid="_x0000_s1128" type="#_x0000_t202" style="position:absolute;margin-left:39.1pt;margin-top:805.5pt;width:16.3pt;height:11.2pt;z-index:-2513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" filled="f" stroked="f">
              <v:textbox inset="0,0,0,0">
                <w:txbxContent>
                  <w:p w14:paraId="190FCBB8"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70</w:t>
                    </w:r>
                    <w:r>
                      <w:rPr>
                        <w:spacing w:val="-5"/>
                        <w:sz w:val="16"/>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280A5" w14:textId="77777777" w:rsidR="0019412D" w:rsidRDefault="0019412D">
    <w:pPr>
      <w:pStyle w:val="BodyText"/>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2BE8D" w14:textId="77777777" w:rsidR="00084F36" w:rsidRDefault="00084F36">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033F8" w14:textId="77777777" w:rsidR="00084F36" w:rsidRDefault="00EB2BD8">
    <w:pPr>
      <w:pStyle w:val="BodyText"/>
      <w:spacing w:line="14" w:lineRule="auto"/>
      <w:rPr>
        <w:sz w:val="20"/>
      </w:rPr>
    </w:pPr>
    <w:r>
      <w:rPr>
        <w:noProof/>
      </w:rPr>
      <mc:AlternateContent>
        <mc:Choice Requires="wps">
          <w:drawing>
            <wp:anchor distT="0" distB="0" distL="0" distR="0" simplePos="0" relativeHeight="251942912" behindDoc="1" locked="0" layoutInCell="1" allowOverlap="1" wp14:anchorId="3A14854E" wp14:editId="53369631">
              <wp:simplePos x="0" y="0"/>
              <wp:positionH relativeFrom="page">
                <wp:posOffset>1197842</wp:posOffset>
              </wp:positionH>
              <wp:positionV relativeFrom="page">
                <wp:posOffset>10225409</wp:posOffset>
              </wp:positionV>
              <wp:extent cx="2555875" cy="143510"/>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45DD2564"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3A14854E" id="_x0000_t202" coordsize="21600,21600" o:spt="202" path="m,l,21600r21600,l21600,xe">
              <v:stroke joinstyle="miter"/>
              <v:path gradientshapeok="t" o:connecttype="rect"/>
            </v:shapetype>
            <v:shape id="Textbox 646" o:spid="_x0000_s1130" type="#_x0000_t202" style="position:absolute;margin-left:94.3pt;margin-top:805.15pt;width:201.25pt;height:11.3pt;z-index:-2513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" filled="f" stroked="f">
              <v:textbox inset="0,0,0,0">
                <w:txbxContent>
                  <w:p w14:paraId="45DD2564"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950080" behindDoc="1" locked="0" layoutInCell="1" allowOverlap="1" wp14:anchorId="13C133C5" wp14:editId="702CC165">
              <wp:simplePos x="0" y="0"/>
              <wp:positionH relativeFrom="page">
                <wp:posOffset>496599</wp:posOffset>
              </wp:positionH>
              <wp:positionV relativeFrom="page">
                <wp:posOffset>10229676</wp:posOffset>
              </wp:positionV>
              <wp:extent cx="194310" cy="14224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42240"/>
                      </a:xfrm>
                      <a:prstGeom prst="rect">
                        <a:avLst/>
                      </a:prstGeom>
                    </wps:spPr>
                    <wps:txbx>
                      <w:txbxContent>
                        <w:p w14:paraId="4FE70E4B" w14:textId="77777777" w:rsidR="00084F36" w:rsidRDefault="00EB2BD8">
                          <w:pPr>
                            <w:spacing w:before="15"/>
                            <w:ind w:left="60"/>
                            <w:rPr>
                              <w:sz w:val="16"/>
                            </w:rPr>
                          </w:pPr>
                          <w:r>
                            <w:rPr>
                              <w:spacing w:val="-5"/>
                              <w:w w:val="90"/>
                              <w:sz w:val="16"/>
                            </w:rPr>
                            <w:fldChar w:fldCharType="begin"/>
                          </w:r>
                          <w:r>
                            <w:rPr>
                              <w:spacing w:val="-5"/>
                              <w:w w:val="90"/>
                              <w:sz w:val="16"/>
                            </w:rPr>
                            <w:instrText xml:space="preserve"> PAGE </w:instrText>
                          </w:r>
                          <w:r>
                            <w:rPr>
                              <w:spacing w:val="-5"/>
                              <w:w w:val="90"/>
                              <w:sz w:val="16"/>
                            </w:rPr>
                            <w:fldChar w:fldCharType="separate"/>
                          </w:r>
                          <w:r>
                            <w:rPr>
                              <w:spacing w:val="-5"/>
                              <w:w w:val="90"/>
                              <w:sz w:val="16"/>
                            </w:rPr>
                            <w:t>72</w:t>
                          </w:r>
                          <w:r>
                            <w:rPr>
                              <w:spacing w:val="-5"/>
                              <w:w w:val="90"/>
                              <w:sz w:val="16"/>
                            </w:rPr>
                            <w:fldChar w:fldCharType="end"/>
                          </w:r>
                        </w:p>
                      </w:txbxContent>
                    </wps:txbx>
                    <wps:bodyPr wrap="square" lIns="0" tIns="0" rIns="0" bIns="0" rtlCol="0">
                      <a:noAutofit/>
                    </wps:bodyPr>
                  </wps:wsp>
                </a:graphicData>
              </a:graphic>
            </wp:anchor>
          </w:drawing>
        </mc:Choice>
        <mc:Fallback>
          <w:pict>
            <v:shape w14:anchorId="13C133C5" id="Textbox 647" o:spid="_x0000_s1131" type="#_x0000_t202" style="position:absolute;margin-left:39.1pt;margin-top:805.5pt;width:15.3pt;height:11.2pt;z-index:-2513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" filled="f" stroked="f">
              <v:textbox inset="0,0,0,0">
                <w:txbxContent>
                  <w:p w14:paraId="4FE70E4B" w14:textId="77777777" w:rsidR="00084F36" w:rsidRDefault="00EB2BD8">
                    <w:pPr>
                      <w:spacing w:before="15"/>
                      <w:ind w:left="60"/>
                      <w:rPr>
                        <w:sz w:val="16"/>
                      </w:rPr>
                    </w:pPr>
                    <w:r>
                      <w:rPr>
                        <w:spacing w:val="-5"/>
                        <w:w w:val="90"/>
                        <w:sz w:val="16"/>
                      </w:rPr>
                      <w:fldChar w:fldCharType="begin"/>
                    </w:r>
                    <w:r>
                      <w:rPr>
                        <w:spacing w:val="-5"/>
                        <w:w w:val="90"/>
                        <w:sz w:val="16"/>
                      </w:rPr>
                      <w:instrText xml:space="preserve"> PAGE </w:instrText>
                    </w:r>
                    <w:r>
                      <w:rPr>
                        <w:spacing w:val="-5"/>
                        <w:w w:val="90"/>
                        <w:sz w:val="16"/>
                      </w:rPr>
                      <w:fldChar w:fldCharType="separate"/>
                    </w:r>
                    <w:r>
                      <w:rPr>
                        <w:spacing w:val="-5"/>
                        <w:w w:val="90"/>
                        <w:sz w:val="16"/>
                      </w:rPr>
                      <w:t>72</w:t>
                    </w:r>
                    <w:r>
                      <w:rPr>
                        <w:spacing w:val="-5"/>
                        <w:w w:val="90"/>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1CB2" w14:textId="77777777" w:rsidR="00084F36" w:rsidRDefault="00084F36">
    <w:pPr>
      <w:pStyle w:val="BodyText"/>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8AF1" w14:textId="77777777" w:rsidR="0019412D" w:rsidRDefault="0019412D">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51C61" w14:textId="77777777" w:rsidR="00084F36" w:rsidRDefault="00084F36">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79FD0" w14:textId="77777777" w:rsidR="00084F36" w:rsidRDefault="00EB2BD8">
    <w:pPr>
      <w:pStyle w:val="BodyText"/>
      <w:spacing w:line="14" w:lineRule="auto"/>
      <w:rPr>
        <w:sz w:val="20"/>
      </w:rPr>
    </w:pPr>
    <w:r>
      <w:rPr>
        <w:noProof/>
      </w:rPr>
      <mc:AlternateContent>
        <mc:Choice Requires="wps">
          <w:drawing>
            <wp:anchor distT="0" distB="0" distL="0" distR="0" simplePos="0" relativeHeight="251985920" behindDoc="1" locked="0" layoutInCell="1" allowOverlap="1" wp14:anchorId="539BB768" wp14:editId="7219E9BA">
              <wp:simplePos x="0" y="0"/>
              <wp:positionH relativeFrom="page">
                <wp:posOffset>1197842</wp:posOffset>
              </wp:positionH>
              <wp:positionV relativeFrom="page">
                <wp:posOffset>10225409</wp:posOffset>
              </wp:positionV>
              <wp:extent cx="2555875" cy="143510"/>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43510"/>
                      </a:xfrm>
                      <a:prstGeom prst="rect">
                        <a:avLst/>
                      </a:prstGeom>
                    </wps:spPr>
                    <wps:txbx>
                      <w:txbxContent>
                        <w:p w14:paraId="071C48F0"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wps:txbx>
                    <wps:bodyPr wrap="square" lIns="0" tIns="0" rIns="0" bIns="0" rtlCol="0">
                      <a:noAutofit/>
                    </wps:bodyPr>
                  </wps:wsp>
                </a:graphicData>
              </a:graphic>
            </wp:anchor>
          </w:drawing>
        </mc:Choice>
        <mc:Fallback>
          <w:pict>
            <v:shapetype w14:anchorId="539BB768" id="_x0000_t202" coordsize="21600,21600" o:spt="202" path="m,l,21600r21600,l21600,xe">
              <v:stroke joinstyle="miter"/>
              <v:path gradientshapeok="t" o:connecttype="rect"/>
            </v:shapetype>
            <v:shape id="Textbox 696" o:spid="_x0000_s1133" type="#_x0000_t202" style="position:absolute;margin-left:94.3pt;margin-top:805.15pt;width:201.25pt;height:11.3pt;z-index:-2513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" filled="f" stroked="f">
              <v:textbox inset="0,0,0,0">
                <w:txbxContent>
                  <w:p w14:paraId="071C48F0" w14:textId="77777777" w:rsidR="00084F36" w:rsidRDefault="00EB2BD8">
                    <w:pPr>
                      <w:spacing w:before="15"/>
                      <w:ind w:left="20"/>
                      <w:rPr>
                        <w:b/>
                        <w:sz w:val="16"/>
                      </w:rPr>
                    </w:pPr>
                    <w:r>
                      <w:rPr>
                        <w:spacing w:val="-2"/>
                        <w:sz w:val="16"/>
                      </w:rPr>
                      <w:t xml:space="preserve">Victorian Building Authority </w:t>
                    </w:r>
                    <w:r>
                      <w:rPr>
                        <w:b/>
                        <w:spacing w:val="-2"/>
                        <w:sz w:val="16"/>
                      </w:rPr>
                      <w:t>Annual</w:t>
                    </w:r>
                    <w:r>
                      <w:rPr>
                        <w:b/>
                        <w:spacing w:val="-4"/>
                        <w:sz w:val="16"/>
                      </w:rPr>
                      <w:t xml:space="preserve"> </w:t>
                    </w:r>
                    <w:r>
                      <w:rPr>
                        <w:b/>
                        <w:spacing w:val="-2"/>
                        <w:sz w:val="16"/>
                      </w:rPr>
                      <w:t>Report</w:t>
                    </w:r>
                    <w:r>
                      <w:rPr>
                        <w:b/>
                        <w:spacing w:val="-4"/>
                        <w:sz w:val="16"/>
                      </w:rPr>
                      <w:t xml:space="preserve"> </w:t>
                    </w:r>
                    <w:r>
                      <w:rPr>
                        <w:b/>
                        <w:spacing w:val="-6"/>
                        <w:sz w:val="16"/>
                      </w:rPr>
                      <w:t>2022–23</w:t>
                    </w:r>
                  </w:p>
                </w:txbxContent>
              </v:textbox>
              <w10:wrap anchorx="page" anchory="page"/>
            </v:shape>
          </w:pict>
        </mc:Fallback>
      </mc:AlternateContent>
    </w:r>
    <w:r>
      <w:rPr>
        <w:noProof/>
      </w:rPr>
      <mc:AlternateContent>
        <mc:Choice Requires="wps">
          <w:drawing>
            <wp:anchor distT="0" distB="0" distL="0" distR="0" simplePos="0" relativeHeight="251993088" behindDoc="1" locked="0" layoutInCell="1" allowOverlap="1" wp14:anchorId="4FB879CC" wp14:editId="672889CA">
              <wp:simplePos x="0" y="0"/>
              <wp:positionH relativeFrom="page">
                <wp:posOffset>496599</wp:posOffset>
              </wp:positionH>
              <wp:positionV relativeFrom="page">
                <wp:posOffset>10229676</wp:posOffset>
              </wp:positionV>
              <wp:extent cx="215265" cy="142240"/>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142240"/>
                      </a:xfrm>
                      <a:prstGeom prst="rect">
                        <a:avLst/>
                      </a:prstGeom>
                    </wps:spPr>
                    <wps:txbx>
                      <w:txbxContent>
                        <w:p w14:paraId="62CB9CAC"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80</w:t>
                          </w:r>
                          <w:r>
                            <w:rPr>
                              <w:spacing w:val="-5"/>
                              <w:sz w:val="16"/>
                            </w:rPr>
                            <w:fldChar w:fldCharType="end"/>
                          </w:r>
                        </w:p>
                      </w:txbxContent>
                    </wps:txbx>
                    <wps:bodyPr wrap="square" lIns="0" tIns="0" rIns="0" bIns="0" rtlCol="0">
                      <a:noAutofit/>
                    </wps:bodyPr>
                  </wps:wsp>
                </a:graphicData>
              </a:graphic>
            </wp:anchor>
          </w:drawing>
        </mc:Choice>
        <mc:Fallback>
          <w:pict>
            <v:shape w14:anchorId="4FB879CC" id="Textbox 697" o:spid="_x0000_s1134" type="#_x0000_t202" style="position:absolute;margin-left:39.1pt;margin-top:805.5pt;width:16.95pt;height:11.2pt;z-index:-2513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" filled="f" stroked="f">
              <v:textbox inset="0,0,0,0">
                <w:txbxContent>
                  <w:p w14:paraId="62CB9CAC" w14:textId="77777777" w:rsidR="00084F36" w:rsidRDefault="00EB2BD8">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80</w:t>
                    </w:r>
                    <w:r>
                      <w:rPr>
                        <w:spacing w:val="-5"/>
                        <w:sz w:val="16"/>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1FED" w14:textId="1FFF3DDD" w:rsidR="00084F36" w:rsidRDefault="00084F36">
    <w:pPr>
      <w:pStyle w:val="BodyText"/>
      <w:spacing w:line="14" w:lineRule="auto"/>
      <w:rPr>
        <w:sz w:val="20"/>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91BA" w14:textId="77777777" w:rsidR="0019412D" w:rsidRDefault="0019412D">
    <w:pPr>
      <w:pStyle w:val="BodyText"/>
      <w:spacing w:line="14" w:lineRule="auto"/>
      <w:rPr>
        <w:sz w:val="20"/>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92D9" w14:textId="77777777" w:rsidR="0019412D" w:rsidRDefault="0019412D">
    <w:pPr>
      <w:pStyle w:val="BodyText"/>
      <w:spacing w:line="14" w:lineRule="auto"/>
      <w:rPr>
        <w:sz w:val="20"/>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1359C" w14:textId="77777777" w:rsidR="0019412D" w:rsidRDefault="0019412D">
    <w:pPr>
      <w:pStyle w:val="BodyText"/>
      <w:spacing w:line="14" w:lineRule="auto"/>
      <w:rPr>
        <w:sz w:val="20"/>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4FF00" w14:textId="77777777" w:rsidR="0019412D" w:rsidRDefault="0019412D">
    <w:pPr>
      <w:pStyle w:val="BodyText"/>
      <w:spacing w:line="14" w:lineRule="auto"/>
      <w:rPr>
        <w:sz w:val="20"/>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4E04" w14:textId="77777777" w:rsidR="0019412D" w:rsidRDefault="0019412D">
    <w:pPr>
      <w:pStyle w:val="BodyText"/>
      <w:spacing w:line="14" w:lineRule="auto"/>
      <w:rPr>
        <w:sz w:val="20"/>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5982" w14:textId="77777777" w:rsidR="0019412D" w:rsidRDefault="0019412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F829F" w14:textId="77777777" w:rsidR="00497022" w:rsidRDefault="00497022">
      <w:r>
        <w:separator/>
      </w:r>
    </w:p>
  </w:footnote>
  <w:footnote w:type="continuationSeparator" w:id="0">
    <w:p w14:paraId="5A6B2EE1" w14:textId="77777777" w:rsidR="00497022" w:rsidRDefault="00497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A6C0" w14:textId="77777777" w:rsidR="0019412D" w:rsidRDefault="0019412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A1DB" w14:textId="77777777" w:rsidR="00084F36" w:rsidRDefault="00EB2BD8">
    <w:pPr>
      <w:pStyle w:val="BodyText"/>
      <w:spacing w:line="14" w:lineRule="auto"/>
      <w:rPr>
        <w:sz w:val="20"/>
      </w:rPr>
    </w:pPr>
    <w:r>
      <w:rPr>
        <w:noProof/>
      </w:rPr>
      <mc:AlternateContent>
        <mc:Choice Requires="wps">
          <w:drawing>
            <wp:anchor distT="0" distB="0" distL="0" distR="0" simplePos="0" relativeHeight="251328512" behindDoc="1" locked="0" layoutInCell="1" allowOverlap="1" wp14:anchorId="6257B73C" wp14:editId="09867D30">
              <wp:simplePos x="0" y="0"/>
              <wp:positionH relativeFrom="page">
                <wp:posOffset>527300</wp:posOffset>
              </wp:positionH>
              <wp:positionV relativeFrom="page">
                <wp:posOffset>543494</wp:posOffset>
              </wp:positionV>
              <wp:extent cx="1415415" cy="17081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170815"/>
                      </a:xfrm>
                      <a:prstGeom prst="rect">
                        <a:avLst/>
                      </a:prstGeom>
                    </wps:spPr>
                    <wps:txbx>
                      <w:txbxContent>
                        <w:p w14:paraId="2CE021A8" w14:textId="77777777" w:rsidR="00084F36" w:rsidRDefault="00EB2BD8">
                          <w:pPr>
                            <w:spacing w:before="14"/>
                            <w:ind w:left="20"/>
                            <w:rPr>
                              <w:sz w:val="20"/>
                            </w:rPr>
                          </w:pPr>
                          <w:r>
                            <w:rPr>
                              <w:sz w:val="20"/>
                            </w:rPr>
                            <w:t>Messages</w:t>
                          </w:r>
                          <w:r>
                            <w:rPr>
                              <w:spacing w:val="-9"/>
                              <w:sz w:val="20"/>
                            </w:rPr>
                            <w:t xml:space="preserve"> </w:t>
                          </w:r>
                          <w:r>
                            <w:rPr>
                              <w:sz w:val="20"/>
                            </w:rPr>
                            <w:t>&amp;</w:t>
                          </w:r>
                          <w:r>
                            <w:rPr>
                              <w:spacing w:val="-8"/>
                              <w:sz w:val="20"/>
                            </w:rPr>
                            <w:t xml:space="preserve"> </w:t>
                          </w:r>
                          <w:r>
                            <w:rPr>
                              <w:spacing w:val="-2"/>
                              <w:sz w:val="20"/>
                            </w:rPr>
                            <w:t>Highlights</w:t>
                          </w:r>
                        </w:p>
                      </w:txbxContent>
                    </wps:txbx>
                    <wps:bodyPr wrap="square" lIns="0" tIns="0" rIns="0" bIns="0" rtlCol="0">
                      <a:noAutofit/>
                    </wps:bodyPr>
                  </wps:wsp>
                </a:graphicData>
              </a:graphic>
            </wp:anchor>
          </w:drawing>
        </mc:Choice>
        <mc:Fallback>
          <w:pict>
            <v:shapetype w14:anchorId="6257B73C" id="_x0000_t202" coordsize="21600,21600" o:spt="202" path="m,l,21600r21600,l21600,xe">
              <v:stroke joinstyle="miter"/>
              <v:path gradientshapeok="t" o:connecttype="rect"/>
            </v:shapetype>
            <v:shape id="Textbox 167" o:spid="_x0000_s1090" type="#_x0000_t202" style="position:absolute;margin-left:41.5pt;margin-top:42.8pt;width:111.45pt;height:13.45pt;z-index:-2519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" filled="f" stroked="f">
              <v:textbox inset="0,0,0,0">
                <w:txbxContent>
                  <w:p w14:paraId="2CE021A8" w14:textId="77777777" w:rsidR="00084F36" w:rsidRDefault="00EB2BD8">
                    <w:pPr>
                      <w:spacing w:before="14"/>
                      <w:ind w:left="20"/>
                      <w:rPr>
                        <w:sz w:val="20"/>
                      </w:rPr>
                    </w:pPr>
                    <w:r>
                      <w:rPr>
                        <w:sz w:val="20"/>
                      </w:rPr>
                      <w:t>Messages</w:t>
                    </w:r>
                    <w:r>
                      <w:rPr>
                        <w:spacing w:val="-9"/>
                        <w:sz w:val="20"/>
                      </w:rPr>
                      <w:t xml:space="preserve"> </w:t>
                    </w:r>
                    <w:r>
                      <w:rPr>
                        <w:sz w:val="20"/>
                      </w:rPr>
                      <w:t>&amp;</w:t>
                    </w:r>
                    <w:r>
                      <w:rPr>
                        <w:spacing w:val="-8"/>
                        <w:sz w:val="20"/>
                      </w:rPr>
                      <w:t xml:space="preserve"> </w:t>
                    </w:r>
                    <w:r>
                      <w:rPr>
                        <w:spacing w:val="-2"/>
                        <w:sz w:val="20"/>
                      </w:rPr>
                      <w:t>Highlights</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9829" w14:textId="77777777" w:rsidR="00084F36" w:rsidRDefault="00084F36">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03641" w14:textId="77777777" w:rsidR="00084F36" w:rsidRDefault="00084F36">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75E18" w14:textId="77777777" w:rsidR="00084F36" w:rsidRDefault="00084F36">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F1D8" w14:textId="77777777" w:rsidR="00084F36" w:rsidRDefault="00084F36">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65702" w14:textId="77777777" w:rsidR="00084F36" w:rsidRDefault="00084F36">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D5FBA" w14:textId="77777777" w:rsidR="00084F36" w:rsidRDefault="00084F36">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5B68A" w14:textId="77777777" w:rsidR="00084F36" w:rsidRDefault="00084F36">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1C1A" w14:textId="77777777" w:rsidR="00084F36" w:rsidRDefault="00084F36">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3617" w14:textId="77777777" w:rsidR="00084F36" w:rsidRDefault="00EB2BD8">
    <w:pPr>
      <w:pStyle w:val="BodyText"/>
      <w:spacing w:line="14" w:lineRule="auto"/>
      <w:rPr>
        <w:sz w:val="20"/>
      </w:rPr>
    </w:pPr>
    <w:r>
      <w:rPr>
        <w:noProof/>
      </w:rPr>
      <mc:AlternateContent>
        <mc:Choice Requires="wpg">
          <w:drawing>
            <wp:anchor distT="0" distB="0" distL="0" distR="0" simplePos="0" relativeHeight="252070912" behindDoc="1" locked="0" layoutInCell="1" allowOverlap="1" wp14:anchorId="542BC14C" wp14:editId="7D5BDD8D">
              <wp:simplePos x="0" y="0"/>
              <wp:positionH relativeFrom="page">
                <wp:posOffset>0</wp:posOffset>
              </wp:positionH>
              <wp:positionV relativeFrom="page">
                <wp:posOffset>0</wp:posOffset>
              </wp:positionV>
              <wp:extent cx="7560309" cy="469900"/>
              <wp:effectExtent l="0" t="0" r="0" b="0"/>
              <wp:wrapNone/>
              <wp:docPr id="1196" name="Group 1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1197" name="Image 1197"/>
                        <pic:cNvPicPr/>
                      </pic:nvPicPr>
                      <pic:blipFill>
                        <a:blip r:embed="rId1" cstate="print"/>
                        <a:stretch>
                          <a:fillRect/>
                        </a:stretch>
                      </pic:blipFill>
                      <pic:spPr>
                        <a:xfrm>
                          <a:off x="0" y="0"/>
                          <a:ext cx="7559992" cy="378002"/>
                        </a:xfrm>
                        <a:prstGeom prst="rect">
                          <a:avLst/>
                        </a:prstGeom>
                      </pic:spPr>
                    </pic:pic>
                    <wps:wsp>
                      <wps:cNvPr id="1198" name="Graphic 1198"/>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1199" name="Graphic 1199"/>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0CCC0B1D" id="Group 1196" o:spid="_x0000_s1026" alt="&quot;&quot;" style="position:absolute;margin-left:0;margin-top:0;width:595.3pt;height:37pt;z-index:-251245568;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97"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">
                <v:imagedata r:id="rId2" o:title=""/>
              </v:shape>
              <v:shape id="Graphic 1198"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" path="m263893,469696l43116,,,,,355650,53606,469696r210287,xem607542,367195l460057,54660r-210947,-12l396278,367131r211264,64xe" fillcolor="#005f83" stroked="f">
                <v:path arrowok="t"/>
              </v:shape>
              <v:shape id="Graphic 1199"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2072960" behindDoc="1" locked="0" layoutInCell="1" allowOverlap="1" wp14:anchorId="6DE8E9EC" wp14:editId="1B62F707">
              <wp:simplePos x="0" y="0"/>
              <wp:positionH relativeFrom="page">
                <wp:posOffset>527300</wp:posOffset>
              </wp:positionH>
              <wp:positionV relativeFrom="page">
                <wp:posOffset>543494</wp:posOffset>
              </wp:positionV>
              <wp:extent cx="752475" cy="170815"/>
              <wp:effectExtent l="0" t="0" r="0" b="0"/>
              <wp:wrapNone/>
              <wp:docPr id="1200" name="Text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170815"/>
                      </a:xfrm>
                      <a:prstGeom prst="rect">
                        <a:avLst/>
                      </a:prstGeom>
                    </wps:spPr>
                    <wps:txbx>
                      <w:txbxContent>
                        <w:p w14:paraId="7AE37279" w14:textId="77777777" w:rsidR="00084F36" w:rsidRDefault="00EB2BD8">
                          <w:pPr>
                            <w:spacing w:before="14"/>
                            <w:ind w:left="20"/>
                            <w:rPr>
                              <w:sz w:val="20"/>
                            </w:rPr>
                          </w:pPr>
                          <w:r>
                            <w:rPr>
                              <w:spacing w:val="-2"/>
                              <w:sz w:val="20"/>
                            </w:rPr>
                            <w:t>Appendices</w:t>
                          </w:r>
                        </w:p>
                      </w:txbxContent>
                    </wps:txbx>
                    <wps:bodyPr wrap="square" lIns="0" tIns="0" rIns="0" bIns="0" rtlCol="0">
                      <a:noAutofit/>
                    </wps:bodyPr>
                  </wps:wsp>
                </a:graphicData>
              </a:graphic>
            </wp:anchor>
          </w:drawing>
        </mc:Choice>
        <mc:Fallback>
          <w:pict>
            <v:shapetype w14:anchorId="6DE8E9EC" id="_x0000_t202" coordsize="21600,21600" o:spt="202" path="m,l,21600r21600,l21600,xe">
              <v:stroke joinstyle="miter"/>
              <v:path gradientshapeok="t" o:connecttype="rect"/>
            </v:shapetype>
            <v:shape id="Textbox 1200" o:spid="_x0000_s1137" type="#_x0000_t202" style="position:absolute;margin-left:41.5pt;margin-top:42.8pt;width:59.25pt;height:13.45pt;z-index:-25124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" filled="f" stroked="f">
              <v:textbox inset="0,0,0,0">
                <w:txbxContent>
                  <w:p w14:paraId="7AE37279" w14:textId="77777777" w:rsidR="00084F36" w:rsidRDefault="00EB2BD8">
                    <w:pPr>
                      <w:spacing w:before="14"/>
                      <w:ind w:left="20"/>
                      <w:rPr>
                        <w:sz w:val="20"/>
                      </w:rPr>
                    </w:pPr>
                    <w:r>
                      <w:rPr>
                        <w:spacing w:val="-2"/>
                        <w:sz w:val="20"/>
                      </w:rPr>
                      <w:t>Appendices</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4D796" w14:textId="42576ECE" w:rsidR="00084F36" w:rsidRDefault="00084F36">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9AA8" w14:textId="2B65645B" w:rsidR="00084F36" w:rsidRDefault="00084F36">
    <w:pPr>
      <w:pStyle w:val="BodyText"/>
      <w:spacing w:line="14" w:lineRule="auto"/>
      <w:rPr>
        <w:sz w:val="2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EF0E5" w14:textId="77777777" w:rsidR="00084F36" w:rsidRDefault="00EB2BD8">
    <w:pPr>
      <w:pStyle w:val="BodyText"/>
      <w:spacing w:line="14" w:lineRule="auto"/>
      <w:rPr>
        <w:sz w:val="20"/>
      </w:rPr>
    </w:pPr>
    <w:r>
      <w:rPr>
        <w:noProof/>
      </w:rPr>
      <mc:AlternateContent>
        <mc:Choice Requires="wpg">
          <w:drawing>
            <wp:anchor distT="0" distB="0" distL="0" distR="0" simplePos="0" relativeHeight="252085248" behindDoc="1" locked="0" layoutInCell="1" allowOverlap="1" wp14:anchorId="1B15CE98" wp14:editId="46D13CB3">
              <wp:simplePos x="0" y="0"/>
              <wp:positionH relativeFrom="page">
                <wp:posOffset>0</wp:posOffset>
              </wp:positionH>
              <wp:positionV relativeFrom="page">
                <wp:posOffset>0</wp:posOffset>
              </wp:positionV>
              <wp:extent cx="7560309" cy="469900"/>
              <wp:effectExtent l="0" t="0" r="0" b="0"/>
              <wp:wrapNone/>
              <wp:docPr id="1252" name="Group 1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1253" name="Image 1253"/>
                        <pic:cNvPicPr/>
                      </pic:nvPicPr>
                      <pic:blipFill>
                        <a:blip r:embed="rId1" cstate="print"/>
                        <a:stretch>
                          <a:fillRect/>
                        </a:stretch>
                      </pic:blipFill>
                      <pic:spPr>
                        <a:xfrm>
                          <a:off x="0" y="0"/>
                          <a:ext cx="7559992" cy="378002"/>
                        </a:xfrm>
                        <a:prstGeom prst="rect">
                          <a:avLst/>
                        </a:prstGeom>
                      </pic:spPr>
                    </pic:pic>
                    <wps:wsp>
                      <wps:cNvPr id="1254" name="Graphic 1254"/>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1255" name="Graphic 1255"/>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04042FAE" id="Group 1252" o:spid="_x0000_s1026" alt="&quot;&quot;" style="position:absolute;margin-left:0;margin-top:0;width:595.3pt;height:37pt;z-index:-251231232;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53"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">
                <v:imagedata r:id="rId2" o:title=""/>
              </v:shape>
              <v:shape id="Graphic 1254"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" path="m263893,469696l43116,,,,,355650,53606,469696r210287,xem607542,367195l460057,54660r-210947,-12l396278,367131r211264,64xe" fillcolor="#005f83" stroked="f">
                <v:path arrowok="t"/>
              </v:shape>
              <v:shape id="Graphic 1255"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2087296" behindDoc="1" locked="0" layoutInCell="1" allowOverlap="1" wp14:anchorId="4E46C133" wp14:editId="0B6EAE7A">
              <wp:simplePos x="0" y="0"/>
              <wp:positionH relativeFrom="page">
                <wp:posOffset>527300</wp:posOffset>
              </wp:positionH>
              <wp:positionV relativeFrom="page">
                <wp:posOffset>543494</wp:posOffset>
              </wp:positionV>
              <wp:extent cx="752475" cy="170815"/>
              <wp:effectExtent l="0" t="0" r="0" b="0"/>
              <wp:wrapNone/>
              <wp:docPr id="1256" name="Text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170815"/>
                      </a:xfrm>
                      <a:prstGeom prst="rect">
                        <a:avLst/>
                      </a:prstGeom>
                    </wps:spPr>
                    <wps:txbx>
                      <w:txbxContent>
                        <w:p w14:paraId="276396D1" w14:textId="77777777" w:rsidR="00084F36" w:rsidRDefault="00EB2BD8">
                          <w:pPr>
                            <w:spacing w:before="14"/>
                            <w:ind w:left="20"/>
                            <w:rPr>
                              <w:sz w:val="20"/>
                            </w:rPr>
                          </w:pPr>
                          <w:r>
                            <w:rPr>
                              <w:spacing w:val="-2"/>
                              <w:sz w:val="20"/>
                            </w:rPr>
                            <w:t>Appendices</w:t>
                          </w:r>
                        </w:p>
                      </w:txbxContent>
                    </wps:txbx>
                    <wps:bodyPr wrap="square" lIns="0" tIns="0" rIns="0" bIns="0" rtlCol="0">
                      <a:noAutofit/>
                    </wps:bodyPr>
                  </wps:wsp>
                </a:graphicData>
              </a:graphic>
            </wp:anchor>
          </w:drawing>
        </mc:Choice>
        <mc:Fallback>
          <w:pict>
            <v:shapetype w14:anchorId="4E46C133" id="_x0000_t202" coordsize="21600,21600" o:spt="202" path="m,l,21600r21600,l21600,xe">
              <v:stroke joinstyle="miter"/>
              <v:path gradientshapeok="t" o:connecttype="rect"/>
            </v:shapetype>
            <v:shape id="Textbox 1256" o:spid="_x0000_s1140" type="#_x0000_t202" style="position:absolute;margin-left:41.5pt;margin-top:42.8pt;width:59.25pt;height:13.45pt;z-index:-2512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" filled="f" stroked="f">
              <v:textbox inset="0,0,0,0">
                <w:txbxContent>
                  <w:p w14:paraId="276396D1" w14:textId="77777777" w:rsidR="00084F36" w:rsidRDefault="00EB2BD8">
                    <w:pPr>
                      <w:spacing w:before="14"/>
                      <w:ind w:left="20"/>
                      <w:rPr>
                        <w:sz w:val="20"/>
                      </w:rPr>
                    </w:pPr>
                    <w:r>
                      <w:rPr>
                        <w:spacing w:val="-2"/>
                        <w:sz w:val="20"/>
                      </w:rPr>
                      <w:t>Appendices</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8399" w14:textId="2CD37056" w:rsidR="00084F36" w:rsidRDefault="00084F36">
    <w:pPr>
      <w:pStyle w:val="BodyText"/>
      <w:spacing w:line="14" w:lineRule="auto"/>
      <w:rPr>
        <w:sz w:val="2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2B788" w14:textId="77777777" w:rsidR="00084F36" w:rsidRDefault="00EB2BD8">
    <w:pPr>
      <w:pStyle w:val="BodyText"/>
      <w:spacing w:line="14" w:lineRule="auto"/>
      <w:rPr>
        <w:sz w:val="20"/>
      </w:rPr>
    </w:pPr>
    <w:r>
      <w:rPr>
        <w:noProof/>
      </w:rPr>
      <mc:AlternateContent>
        <mc:Choice Requires="wpg">
          <w:drawing>
            <wp:anchor distT="0" distB="0" distL="0" distR="0" simplePos="0" relativeHeight="252103680" behindDoc="1" locked="0" layoutInCell="1" allowOverlap="1" wp14:anchorId="4194784D" wp14:editId="4C8210D7">
              <wp:simplePos x="0" y="0"/>
              <wp:positionH relativeFrom="page">
                <wp:posOffset>0</wp:posOffset>
              </wp:positionH>
              <wp:positionV relativeFrom="page">
                <wp:posOffset>0</wp:posOffset>
              </wp:positionV>
              <wp:extent cx="7560309" cy="469900"/>
              <wp:effectExtent l="0" t="0" r="0" b="0"/>
              <wp:wrapNone/>
              <wp:docPr id="1279" name="Group 1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1280" name="Image 1280"/>
                        <pic:cNvPicPr/>
                      </pic:nvPicPr>
                      <pic:blipFill>
                        <a:blip r:embed="rId1" cstate="print"/>
                        <a:stretch>
                          <a:fillRect/>
                        </a:stretch>
                      </pic:blipFill>
                      <pic:spPr>
                        <a:xfrm>
                          <a:off x="0" y="0"/>
                          <a:ext cx="7559992" cy="378002"/>
                        </a:xfrm>
                        <a:prstGeom prst="rect">
                          <a:avLst/>
                        </a:prstGeom>
                      </pic:spPr>
                    </pic:pic>
                    <wps:wsp>
                      <wps:cNvPr id="1281" name="Graphic 1281"/>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1282" name="Graphic 1282"/>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74677A96" id="Group 1279" o:spid="_x0000_s1026" alt="&quot;&quot;" style="position:absolute;margin-left:0;margin-top:0;width:595.3pt;height:37pt;z-index:-251212800;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80"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">
                <v:imagedata r:id="rId2" o:title=""/>
              </v:shape>
              <v:shape id="Graphic 1281"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" path="m263893,469696l43116,,,,,355650,53606,469696r210287,xem607542,367195l460057,54660r-210947,-12l396278,367131r211264,64xe" fillcolor="#005f83" stroked="f">
                <v:path arrowok="t"/>
              </v:shape>
              <v:shape id="Graphic 1282"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2105728" behindDoc="1" locked="0" layoutInCell="1" allowOverlap="1" wp14:anchorId="359358D6" wp14:editId="70C3DEC8">
              <wp:simplePos x="0" y="0"/>
              <wp:positionH relativeFrom="page">
                <wp:posOffset>527300</wp:posOffset>
              </wp:positionH>
              <wp:positionV relativeFrom="page">
                <wp:posOffset>543494</wp:posOffset>
              </wp:positionV>
              <wp:extent cx="752475" cy="170815"/>
              <wp:effectExtent l="0" t="0" r="0" b="0"/>
              <wp:wrapNone/>
              <wp:docPr id="1283" name="Text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170815"/>
                      </a:xfrm>
                      <a:prstGeom prst="rect">
                        <a:avLst/>
                      </a:prstGeom>
                    </wps:spPr>
                    <wps:txbx>
                      <w:txbxContent>
                        <w:p w14:paraId="18C5E72B" w14:textId="77777777" w:rsidR="00084F36" w:rsidRDefault="00EB2BD8">
                          <w:pPr>
                            <w:spacing w:before="14"/>
                            <w:ind w:left="20"/>
                            <w:rPr>
                              <w:sz w:val="20"/>
                            </w:rPr>
                          </w:pPr>
                          <w:r>
                            <w:rPr>
                              <w:spacing w:val="-2"/>
                              <w:sz w:val="20"/>
                            </w:rPr>
                            <w:t>Appendices</w:t>
                          </w:r>
                        </w:p>
                      </w:txbxContent>
                    </wps:txbx>
                    <wps:bodyPr wrap="square" lIns="0" tIns="0" rIns="0" bIns="0" rtlCol="0">
                      <a:noAutofit/>
                    </wps:bodyPr>
                  </wps:wsp>
                </a:graphicData>
              </a:graphic>
            </wp:anchor>
          </w:drawing>
        </mc:Choice>
        <mc:Fallback>
          <w:pict>
            <v:shapetype w14:anchorId="359358D6" id="_x0000_t202" coordsize="21600,21600" o:spt="202" path="m,l,21600r21600,l21600,xe">
              <v:stroke joinstyle="miter"/>
              <v:path gradientshapeok="t" o:connecttype="rect"/>
            </v:shapetype>
            <v:shape id="Textbox 1283" o:spid="_x0000_s1143" type="#_x0000_t202" style="position:absolute;margin-left:41.5pt;margin-top:42.8pt;width:59.25pt;height:13.45pt;z-index:-2512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" filled="f" stroked="f">
              <v:textbox inset="0,0,0,0">
                <w:txbxContent>
                  <w:p w14:paraId="18C5E72B" w14:textId="77777777" w:rsidR="00084F36" w:rsidRDefault="00EB2BD8">
                    <w:pPr>
                      <w:spacing w:before="14"/>
                      <w:ind w:left="20"/>
                      <w:rPr>
                        <w:sz w:val="20"/>
                      </w:rPr>
                    </w:pPr>
                    <w:r>
                      <w:rPr>
                        <w:spacing w:val="-2"/>
                        <w:sz w:val="20"/>
                      </w:rPr>
                      <w:t>Appendices</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DBF5" w14:textId="46896211" w:rsidR="00084F36" w:rsidRDefault="00084F36">
    <w:pPr>
      <w:pStyle w:val="BodyText"/>
      <w:spacing w:line="14" w:lineRule="auto"/>
      <w:rPr>
        <w:sz w:val="2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00B04" w14:textId="77777777" w:rsidR="00084F36" w:rsidRDefault="00EB2BD8">
    <w:pPr>
      <w:pStyle w:val="BodyText"/>
      <w:spacing w:line="14" w:lineRule="auto"/>
      <w:rPr>
        <w:sz w:val="20"/>
      </w:rPr>
    </w:pPr>
    <w:r>
      <w:rPr>
        <w:noProof/>
      </w:rPr>
      <mc:AlternateContent>
        <mc:Choice Requires="wpg">
          <w:drawing>
            <wp:anchor distT="0" distB="0" distL="0" distR="0" simplePos="0" relativeHeight="252124160" behindDoc="1" locked="0" layoutInCell="1" allowOverlap="1" wp14:anchorId="283A0CC0" wp14:editId="419B5A69">
              <wp:simplePos x="0" y="0"/>
              <wp:positionH relativeFrom="page">
                <wp:posOffset>0</wp:posOffset>
              </wp:positionH>
              <wp:positionV relativeFrom="page">
                <wp:posOffset>0</wp:posOffset>
              </wp:positionV>
              <wp:extent cx="7560309" cy="469900"/>
              <wp:effectExtent l="0" t="0" r="0" b="0"/>
              <wp:wrapNone/>
              <wp:docPr id="1304" name="Group 1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1305" name="Image 1305"/>
                        <pic:cNvPicPr/>
                      </pic:nvPicPr>
                      <pic:blipFill>
                        <a:blip r:embed="rId1" cstate="print"/>
                        <a:stretch>
                          <a:fillRect/>
                        </a:stretch>
                      </pic:blipFill>
                      <pic:spPr>
                        <a:xfrm>
                          <a:off x="0" y="0"/>
                          <a:ext cx="7559992" cy="378002"/>
                        </a:xfrm>
                        <a:prstGeom prst="rect">
                          <a:avLst/>
                        </a:prstGeom>
                      </pic:spPr>
                    </pic:pic>
                    <wps:wsp>
                      <wps:cNvPr id="1306" name="Graphic 1306"/>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1307" name="Graphic 1307"/>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5CF0961D" id="Group 1304" o:spid="_x0000_s1026" alt="&quot;&quot;" style="position:absolute;margin-left:0;margin-top:0;width:595.3pt;height:37pt;z-index:-251192320;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05"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">
                <v:imagedata r:id="rId2" o:title=""/>
              </v:shape>
              <v:shape id="Graphic 1306"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" path="m263893,469696l43116,,,,,355650,53606,469696r210287,xem607542,367195l460057,54660r-210947,-12l396278,367131r211264,64xe" fillcolor="#005f83" stroked="f">
                <v:path arrowok="t"/>
              </v:shape>
              <v:shape id="Graphic 1307"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2126208" behindDoc="1" locked="0" layoutInCell="1" allowOverlap="1" wp14:anchorId="097436BE" wp14:editId="4A64BB5D">
              <wp:simplePos x="0" y="0"/>
              <wp:positionH relativeFrom="page">
                <wp:posOffset>527300</wp:posOffset>
              </wp:positionH>
              <wp:positionV relativeFrom="page">
                <wp:posOffset>543494</wp:posOffset>
              </wp:positionV>
              <wp:extent cx="752475" cy="170815"/>
              <wp:effectExtent l="0" t="0" r="0" b="0"/>
              <wp:wrapNone/>
              <wp:docPr id="1308" name="Text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170815"/>
                      </a:xfrm>
                      <a:prstGeom prst="rect">
                        <a:avLst/>
                      </a:prstGeom>
                    </wps:spPr>
                    <wps:txbx>
                      <w:txbxContent>
                        <w:p w14:paraId="0B64A85A" w14:textId="77777777" w:rsidR="00084F36" w:rsidRDefault="00EB2BD8">
                          <w:pPr>
                            <w:spacing w:before="14"/>
                            <w:ind w:left="20"/>
                            <w:rPr>
                              <w:sz w:val="20"/>
                            </w:rPr>
                          </w:pPr>
                          <w:r>
                            <w:rPr>
                              <w:spacing w:val="-2"/>
                              <w:sz w:val="20"/>
                            </w:rPr>
                            <w:t>Appendices</w:t>
                          </w:r>
                        </w:p>
                      </w:txbxContent>
                    </wps:txbx>
                    <wps:bodyPr wrap="square" lIns="0" tIns="0" rIns="0" bIns="0" rtlCol="0">
                      <a:noAutofit/>
                    </wps:bodyPr>
                  </wps:wsp>
                </a:graphicData>
              </a:graphic>
            </wp:anchor>
          </w:drawing>
        </mc:Choice>
        <mc:Fallback>
          <w:pict>
            <v:shapetype w14:anchorId="097436BE" id="_x0000_t202" coordsize="21600,21600" o:spt="202" path="m,l,21600r21600,l21600,xe">
              <v:stroke joinstyle="miter"/>
              <v:path gradientshapeok="t" o:connecttype="rect"/>
            </v:shapetype>
            <v:shape id="Textbox 1308" o:spid="_x0000_s1146" type="#_x0000_t202" style="position:absolute;margin-left:41.5pt;margin-top:42.8pt;width:59.25pt;height:13.45pt;z-index:-25119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" filled="f" stroked="f">
              <v:textbox inset="0,0,0,0">
                <w:txbxContent>
                  <w:p w14:paraId="0B64A85A" w14:textId="77777777" w:rsidR="00084F36" w:rsidRDefault="00EB2BD8">
                    <w:pPr>
                      <w:spacing w:before="14"/>
                      <w:ind w:left="20"/>
                      <w:rPr>
                        <w:sz w:val="20"/>
                      </w:rPr>
                    </w:pPr>
                    <w:r>
                      <w:rPr>
                        <w:spacing w:val="-2"/>
                        <w:sz w:val="20"/>
                      </w:rPr>
                      <w:t>Appendices</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E06E3" w14:textId="1391B735" w:rsidR="00084F36" w:rsidRDefault="00084F36">
    <w:pPr>
      <w:pStyle w:val="BodyText"/>
      <w:spacing w:line="14" w:lineRule="auto"/>
      <w:rPr>
        <w:sz w:val="2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DEAEC" w14:textId="77777777" w:rsidR="00084F36" w:rsidRDefault="00084F36">
    <w:pPr>
      <w:pStyle w:val="BodyText"/>
      <w:spacing w:line="14" w:lineRule="auto"/>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0FEB1" w14:textId="77777777" w:rsidR="00084F36" w:rsidRDefault="00084F3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8B2A" w14:textId="77777777" w:rsidR="00084F36" w:rsidRDefault="00EB2BD8">
    <w:pPr>
      <w:pStyle w:val="BodyText"/>
      <w:spacing w:line="14" w:lineRule="auto"/>
      <w:rPr>
        <w:sz w:val="20"/>
      </w:rPr>
    </w:pPr>
    <w:r>
      <w:rPr>
        <w:noProof/>
      </w:rPr>
      <mc:AlternateContent>
        <mc:Choice Requires="wpg">
          <w:drawing>
            <wp:anchor distT="0" distB="0" distL="0" distR="0" simplePos="0" relativeHeight="251359232" behindDoc="1" locked="0" layoutInCell="1" allowOverlap="1" wp14:anchorId="356F557E" wp14:editId="21D0CB01">
              <wp:simplePos x="0" y="0"/>
              <wp:positionH relativeFrom="page">
                <wp:posOffset>0</wp:posOffset>
              </wp:positionH>
              <wp:positionV relativeFrom="page">
                <wp:posOffset>0</wp:posOffset>
              </wp:positionV>
              <wp:extent cx="7560309" cy="469900"/>
              <wp:effectExtent l="0" t="0" r="0" b="0"/>
              <wp:wrapNone/>
              <wp:docPr id="202" name="Group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203" name="Image 203"/>
                        <pic:cNvPicPr/>
                      </pic:nvPicPr>
                      <pic:blipFill>
                        <a:blip r:embed="rId1" cstate="print"/>
                        <a:stretch>
                          <a:fillRect/>
                        </a:stretch>
                      </pic:blipFill>
                      <pic:spPr>
                        <a:xfrm>
                          <a:off x="0" y="0"/>
                          <a:ext cx="7559992" cy="378002"/>
                        </a:xfrm>
                        <a:prstGeom prst="rect">
                          <a:avLst/>
                        </a:prstGeom>
                      </pic:spPr>
                    </pic:pic>
                    <wps:wsp>
                      <wps:cNvPr id="204" name="Graphic 204"/>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205" name="Graphic 205"/>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29BA5BFC" id="Group 202" o:spid="_x0000_s1026" alt="&quot;&quot;" style="position:absolute;margin-left:0;margin-top:0;width:595.3pt;height:37pt;z-index:-251957248;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3"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">
                <v:imagedata r:id="rId2" o:title=""/>
              </v:shape>
              <v:shape id="Graphic 204"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" path="m263893,469696l43116,,,,,355650,53606,469696r210287,xem607542,367195l460057,54660r-210947,-12l396278,367131r211264,64xe" fillcolor="#005f83" stroked="f">
                <v:path arrowok="t"/>
              </v:shape>
              <v:shape id="Graphic 205"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1365376" behindDoc="1" locked="0" layoutInCell="1" allowOverlap="1" wp14:anchorId="38A1525C" wp14:editId="4F32B6B1">
              <wp:simplePos x="0" y="0"/>
              <wp:positionH relativeFrom="page">
                <wp:posOffset>527300</wp:posOffset>
              </wp:positionH>
              <wp:positionV relativeFrom="page">
                <wp:posOffset>543494</wp:posOffset>
              </wp:positionV>
              <wp:extent cx="1415415" cy="17081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170815"/>
                      </a:xfrm>
                      <a:prstGeom prst="rect">
                        <a:avLst/>
                      </a:prstGeom>
                    </wps:spPr>
                    <wps:txbx>
                      <w:txbxContent>
                        <w:p w14:paraId="6A1D2C8F" w14:textId="77777777" w:rsidR="00084F36" w:rsidRDefault="00EB2BD8">
                          <w:pPr>
                            <w:spacing w:before="14"/>
                            <w:ind w:left="20"/>
                            <w:rPr>
                              <w:sz w:val="20"/>
                            </w:rPr>
                          </w:pPr>
                          <w:r>
                            <w:rPr>
                              <w:sz w:val="20"/>
                            </w:rPr>
                            <w:t>Messages</w:t>
                          </w:r>
                          <w:r>
                            <w:rPr>
                              <w:spacing w:val="-9"/>
                              <w:sz w:val="20"/>
                            </w:rPr>
                            <w:t xml:space="preserve"> </w:t>
                          </w:r>
                          <w:r>
                            <w:rPr>
                              <w:sz w:val="20"/>
                            </w:rPr>
                            <w:t>&amp;</w:t>
                          </w:r>
                          <w:r>
                            <w:rPr>
                              <w:spacing w:val="-8"/>
                              <w:sz w:val="20"/>
                            </w:rPr>
                            <w:t xml:space="preserve"> </w:t>
                          </w:r>
                          <w:r>
                            <w:rPr>
                              <w:spacing w:val="-2"/>
                              <w:sz w:val="20"/>
                            </w:rPr>
                            <w:t>Highlights</w:t>
                          </w:r>
                        </w:p>
                      </w:txbxContent>
                    </wps:txbx>
                    <wps:bodyPr wrap="square" lIns="0" tIns="0" rIns="0" bIns="0" rtlCol="0">
                      <a:noAutofit/>
                    </wps:bodyPr>
                  </wps:wsp>
                </a:graphicData>
              </a:graphic>
            </wp:anchor>
          </w:drawing>
        </mc:Choice>
        <mc:Fallback>
          <w:pict>
            <v:shapetype w14:anchorId="38A1525C" id="_x0000_t202" coordsize="21600,21600" o:spt="202" path="m,l,21600r21600,l21600,xe">
              <v:stroke joinstyle="miter"/>
              <v:path gradientshapeok="t" o:connecttype="rect"/>
            </v:shapetype>
            <v:shape id="Textbox 206" o:spid="_x0000_s1093" type="#_x0000_t202" style="position:absolute;margin-left:41.5pt;margin-top:42.8pt;width:111.45pt;height:13.45pt;z-index:-25195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" filled="f" stroked="f">
              <v:textbox inset="0,0,0,0">
                <w:txbxContent>
                  <w:p w14:paraId="6A1D2C8F" w14:textId="77777777" w:rsidR="00084F36" w:rsidRDefault="00EB2BD8">
                    <w:pPr>
                      <w:spacing w:before="14"/>
                      <w:ind w:left="20"/>
                      <w:rPr>
                        <w:sz w:val="20"/>
                      </w:rPr>
                    </w:pPr>
                    <w:r>
                      <w:rPr>
                        <w:sz w:val="20"/>
                      </w:rPr>
                      <w:t>Messages</w:t>
                    </w:r>
                    <w:r>
                      <w:rPr>
                        <w:spacing w:val="-9"/>
                        <w:sz w:val="20"/>
                      </w:rPr>
                      <w:t xml:space="preserve"> </w:t>
                    </w:r>
                    <w:r>
                      <w:rPr>
                        <w:sz w:val="20"/>
                      </w:rPr>
                      <w:t>&amp;</w:t>
                    </w:r>
                    <w:r>
                      <w:rPr>
                        <w:spacing w:val="-8"/>
                        <w:sz w:val="20"/>
                      </w:rPr>
                      <w:t xml:space="preserve"> </w:t>
                    </w:r>
                    <w:r>
                      <w:rPr>
                        <w:spacing w:val="-2"/>
                        <w:sz w:val="20"/>
                      </w:rPr>
                      <w:t>Highlights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9D1EE" w14:textId="6BC7D192" w:rsidR="00084F36" w:rsidRDefault="00084F36">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A2170" w14:textId="77777777" w:rsidR="00084F36" w:rsidRDefault="00EB2BD8">
    <w:pPr>
      <w:pStyle w:val="BodyText"/>
      <w:spacing w:line="14" w:lineRule="auto"/>
      <w:rPr>
        <w:sz w:val="20"/>
      </w:rPr>
    </w:pPr>
    <w:r>
      <w:rPr>
        <w:noProof/>
      </w:rPr>
      <mc:AlternateContent>
        <mc:Choice Requires="wpg">
          <w:drawing>
            <wp:anchor distT="0" distB="0" distL="0" distR="0" simplePos="0" relativeHeight="251389952" behindDoc="1" locked="0" layoutInCell="1" allowOverlap="1" wp14:anchorId="1CC51185" wp14:editId="6208B695">
              <wp:simplePos x="0" y="0"/>
              <wp:positionH relativeFrom="page">
                <wp:posOffset>0</wp:posOffset>
              </wp:positionH>
              <wp:positionV relativeFrom="page">
                <wp:posOffset>0</wp:posOffset>
              </wp:positionV>
              <wp:extent cx="7560309" cy="469900"/>
              <wp:effectExtent l="0" t="0" r="0" b="0"/>
              <wp:wrapNone/>
              <wp:docPr id="217"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218" name="Image 218"/>
                        <pic:cNvPicPr/>
                      </pic:nvPicPr>
                      <pic:blipFill>
                        <a:blip r:embed="rId1" cstate="print"/>
                        <a:stretch>
                          <a:fillRect/>
                        </a:stretch>
                      </pic:blipFill>
                      <pic:spPr>
                        <a:xfrm>
                          <a:off x="0" y="0"/>
                          <a:ext cx="7559992" cy="378002"/>
                        </a:xfrm>
                        <a:prstGeom prst="rect">
                          <a:avLst/>
                        </a:prstGeom>
                      </pic:spPr>
                    </pic:pic>
                    <wps:wsp>
                      <wps:cNvPr id="219" name="Graphic 219"/>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220" name="Graphic 220"/>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7D70A947" id="Group 217" o:spid="_x0000_s1026" alt="&quot;&quot;" style="position:absolute;margin-left:0;margin-top:0;width:595.3pt;height:37pt;z-index:-251926528;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8"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">
                <v:imagedata r:id="rId2" o:title=""/>
              </v:shape>
              <v:shape id="Graphic 219"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" path="m263893,469696l43116,,,,,355650,53606,469696r210287,xem607542,367195l460057,54660r-210947,-12l396278,367131r211264,64xe" fillcolor="#005f83" stroked="f">
                <v:path arrowok="t"/>
              </v:shape>
              <v:shape id="Graphic 220"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1396096" behindDoc="1" locked="0" layoutInCell="1" allowOverlap="1" wp14:anchorId="11D6F78D" wp14:editId="2E1F40DF">
              <wp:simplePos x="0" y="0"/>
              <wp:positionH relativeFrom="page">
                <wp:posOffset>527300</wp:posOffset>
              </wp:positionH>
              <wp:positionV relativeFrom="page">
                <wp:posOffset>543494</wp:posOffset>
              </wp:positionV>
              <wp:extent cx="1415415" cy="17081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170815"/>
                      </a:xfrm>
                      <a:prstGeom prst="rect">
                        <a:avLst/>
                      </a:prstGeom>
                    </wps:spPr>
                    <wps:txbx>
                      <w:txbxContent>
                        <w:p w14:paraId="1DDAB1FB" w14:textId="77777777" w:rsidR="00084F36" w:rsidRDefault="00EB2BD8">
                          <w:pPr>
                            <w:spacing w:before="14"/>
                            <w:ind w:left="20"/>
                            <w:rPr>
                              <w:sz w:val="20"/>
                            </w:rPr>
                          </w:pPr>
                          <w:r>
                            <w:rPr>
                              <w:sz w:val="20"/>
                            </w:rPr>
                            <w:t>Messages</w:t>
                          </w:r>
                          <w:r>
                            <w:rPr>
                              <w:spacing w:val="-9"/>
                              <w:sz w:val="20"/>
                            </w:rPr>
                            <w:t xml:space="preserve"> </w:t>
                          </w:r>
                          <w:r>
                            <w:rPr>
                              <w:sz w:val="20"/>
                            </w:rPr>
                            <w:t>&amp;</w:t>
                          </w:r>
                          <w:r>
                            <w:rPr>
                              <w:spacing w:val="-8"/>
                              <w:sz w:val="20"/>
                            </w:rPr>
                            <w:t xml:space="preserve"> </w:t>
                          </w:r>
                          <w:r>
                            <w:rPr>
                              <w:spacing w:val="-2"/>
                              <w:sz w:val="20"/>
                            </w:rPr>
                            <w:t>Highlights</w:t>
                          </w:r>
                        </w:p>
                      </w:txbxContent>
                    </wps:txbx>
                    <wps:bodyPr wrap="square" lIns="0" tIns="0" rIns="0" bIns="0" rtlCol="0">
                      <a:noAutofit/>
                    </wps:bodyPr>
                  </wps:wsp>
                </a:graphicData>
              </a:graphic>
            </wp:anchor>
          </w:drawing>
        </mc:Choice>
        <mc:Fallback>
          <w:pict>
            <v:shapetype w14:anchorId="11D6F78D" id="_x0000_t202" coordsize="21600,21600" o:spt="202" path="m,l,21600r21600,l21600,xe">
              <v:stroke joinstyle="miter"/>
              <v:path gradientshapeok="t" o:connecttype="rect"/>
            </v:shapetype>
            <v:shape id="Textbox 221" o:spid="_x0000_s1096" type="#_x0000_t202" style="position:absolute;margin-left:41.5pt;margin-top:42.8pt;width:111.45pt;height:13.45pt;z-index:-25192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" filled="f" stroked="f">
              <v:textbox inset="0,0,0,0">
                <w:txbxContent>
                  <w:p w14:paraId="1DDAB1FB" w14:textId="77777777" w:rsidR="00084F36" w:rsidRDefault="00EB2BD8">
                    <w:pPr>
                      <w:spacing w:before="14"/>
                      <w:ind w:left="20"/>
                      <w:rPr>
                        <w:sz w:val="20"/>
                      </w:rPr>
                    </w:pPr>
                    <w:r>
                      <w:rPr>
                        <w:sz w:val="20"/>
                      </w:rPr>
                      <w:t>Messages</w:t>
                    </w:r>
                    <w:r>
                      <w:rPr>
                        <w:spacing w:val="-9"/>
                        <w:sz w:val="20"/>
                      </w:rPr>
                      <w:t xml:space="preserve"> </w:t>
                    </w:r>
                    <w:r>
                      <w:rPr>
                        <w:sz w:val="20"/>
                      </w:rPr>
                      <w:t>&amp;</w:t>
                    </w:r>
                    <w:r>
                      <w:rPr>
                        <w:spacing w:val="-8"/>
                        <w:sz w:val="20"/>
                      </w:rPr>
                      <w:t xml:space="preserve"> </w:t>
                    </w:r>
                    <w:r>
                      <w:rPr>
                        <w:spacing w:val="-2"/>
                        <w:sz w:val="20"/>
                      </w:rPr>
                      <w:t>Highlights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3BFE" w14:textId="77777777" w:rsidR="00084F36" w:rsidRDefault="00EB2BD8">
    <w:pPr>
      <w:pStyle w:val="BodyText"/>
      <w:spacing w:line="14" w:lineRule="auto"/>
      <w:rPr>
        <w:sz w:val="20"/>
      </w:rPr>
    </w:pPr>
    <w:r>
      <w:rPr>
        <w:noProof/>
      </w:rPr>
      <mc:AlternateContent>
        <mc:Choice Requires="wps">
          <w:drawing>
            <wp:anchor distT="0" distB="0" distL="0" distR="0" simplePos="0" relativeHeight="251463680" behindDoc="1" locked="0" layoutInCell="1" allowOverlap="1" wp14:anchorId="5D1A23AB" wp14:editId="66067F46">
              <wp:simplePos x="0" y="0"/>
              <wp:positionH relativeFrom="page">
                <wp:posOffset>0</wp:posOffset>
              </wp:positionH>
              <wp:positionV relativeFrom="page">
                <wp:posOffset>0</wp:posOffset>
              </wp:positionV>
              <wp:extent cx="7560309" cy="486409"/>
              <wp:effectExtent l="0" t="0" r="0" b="0"/>
              <wp:wrapNone/>
              <wp:docPr id="255" name="Graphic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486409"/>
                      </a:xfrm>
                      <a:custGeom>
                        <a:avLst/>
                        <a:gdLst/>
                        <a:ahLst/>
                        <a:cxnLst/>
                        <a:rect l="l" t="t" r="r" b="b"/>
                        <a:pathLst>
                          <a:path w="7560309" h="486409">
                            <a:moveTo>
                              <a:pt x="7559992" y="0"/>
                            </a:moveTo>
                            <a:lnTo>
                              <a:pt x="0" y="0"/>
                            </a:lnTo>
                            <a:lnTo>
                              <a:pt x="0" y="486003"/>
                            </a:lnTo>
                            <a:lnTo>
                              <a:pt x="7559992" y="486003"/>
                            </a:lnTo>
                            <a:lnTo>
                              <a:pt x="7559992" y="0"/>
                            </a:lnTo>
                            <a:close/>
                          </a:path>
                        </a:pathLst>
                      </a:custGeom>
                      <a:solidFill>
                        <a:srgbClr val="003963"/>
                      </a:solidFill>
                    </wps:spPr>
                    <wps:bodyPr wrap="square" lIns="0" tIns="0" rIns="0" bIns="0" rtlCol="0">
                      <a:prstTxWarp prst="textNoShape">
                        <a:avLst/>
                      </a:prstTxWarp>
                      <a:noAutofit/>
                    </wps:bodyPr>
                  </wps:wsp>
                </a:graphicData>
              </a:graphic>
            </wp:anchor>
          </w:drawing>
        </mc:Choice>
        <mc:Fallback>
          <w:pict>
            <v:shape w14:anchorId="2C06B04F" id="Graphic 255" o:spid="_x0000_s1026" alt="&quot;&quot;" style="position:absolute;margin-left:0;margin-top:0;width:595.3pt;height:38.3pt;z-index:-251852800;visibility:visible;mso-wrap-style:square;mso-wrap-distance-left:0;mso-wrap-distance-top:0;mso-wrap-distance-right:0;mso-wrap-distance-bottom:0;mso-position-horizontal:absolute;mso-position-horizontal-relative:page;mso-position-vertical:absolute;mso-position-vertical-relative:page;v-text-anchor:top" coordsize="7560309,48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" path="m7559992,l,,,486003r7559992,l7559992,xe" fillcolor="#003963" stroked="f">
              <v:path arrowok="t"/>
              <w10:wrap anchorx="page" anchory="page"/>
            </v:shape>
          </w:pict>
        </mc:Fallback>
      </mc:AlternateContent>
    </w:r>
    <w:r>
      <w:rPr>
        <w:noProof/>
      </w:rPr>
      <mc:AlternateContent>
        <mc:Choice Requires="wps">
          <w:drawing>
            <wp:anchor distT="0" distB="0" distL="0" distR="0" simplePos="0" relativeHeight="251469824" behindDoc="1" locked="0" layoutInCell="1" allowOverlap="1" wp14:anchorId="3138F6A2" wp14:editId="55213017">
              <wp:simplePos x="0" y="0"/>
              <wp:positionH relativeFrom="page">
                <wp:posOffset>527300</wp:posOffset>
              </wp:positionH>
              <wp:positionV relativeFrom="page">
                <wp:posOffset>543494</wp:posOffset>
              </wp:positionV>
              <wp:extent cx="838835" cy="17081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835" cy="170815"/>
                      </a:xfrm>
                      <a:prstGeom prst="rect">
                        <a:avLst/>
                      </a:prstGeom>
                    </wps:spPr>
                    <wps:txbx>
                      <w:txbxContent>
                        <w:p w14:paraId="056A1CC6" w14:textId="77777777" w:rsidR="00084F36" w:rsidRDefault="00EB2BD8">
                          <w:pPr>
                            <w:spacing w:before="14"/>
                            <w:ind w:left="20"/>
                            <w:rPr>
                              <w:sz w:val="20"/>
                            </w:rPr>
                          </w:pPr>
                          <w:r>
                            <w:rPr>
                              <w:spacing w:val="-2"/>
                              <w:w w:val="105"/>
                              <w:sz w:val="20"/>
                            </w:rPr>
                            <w:t>Performance</w:t>
                          </w:r>
                        </w:p>
                      </w:txbxContent>
                    </wps:txbx>
                    <wps:bodyPr wrap="square" lIns="0" tIns="0" rIns="0" bIns="0" rtlCol="0">
                      <a:noAutofit/>
                    </wps:bodyPr>
                  </wps:wsp>
                </a:graphicData>
              </a:graphic>
            </wp:anchor>
          </w:drawing>
        </mc:Choice>
        <mc:Fallback>
          <w:pict>
            <v:shapetype w14:anchorId="3138F6A2" id="_x0000_t202" coordsize="21600,21600" o:spt="202" path="m,l,21600r21600,l21600,xe">
              <v:stroke joinstyle="miter"/>
              <v:path gradientshapeok="t" o:connecttype="rect"/>
            </v:shapetype>
            <v:shape id="Textbox 256" o:spid="_x0000_s1099" type="#_x0000_t202" style="position:absolute;margin-left:41.5pt;margin-top:42.8pt;width:66.05pt;height:13.45pt;z-index:-25184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" filled="f" stroked="f">
              <v:textbox inset="0,0,0,0">
                <w:txbxContent>
                  <w:p w14:paraId="056A1CC6" w14:textId="77777777" w:rsidR="00084F36" w:rsidRDefault="00EB2BD8">
                    <w:pPr>
                      <w:spacing w:before="14"/>
                      <w:ind w:left="20"/>
                      <w:rPr>
                        <w:sz w:val="20"/>
                      </w:rPr>
                    </w:pPr>
                    <w:r>
                      <w:rPr>
                        <w:spacing w:val="-2"/>
                        <w:w w:val="105"/>
                        <w:sz w:val="20"/>
                      </w:rPr>
                      <w:t>Performance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C8B9" w14:textId="16C11D7A" w:rsidR="00084F36" w:rsidRDefault="00084F36">
    <w:pPr>
      <w:pStyle w:val="BodyText"/>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D9B79" w14:textId="77777777" w:rsidR="00084F36" w:rsidRDefault="00084F36">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6B121" w14:textId="77777777" w:rsidR="00084F36" w:rsidRDefault="00EB2BD8">
    <w:pPr>
      <w:pStyle w:val="BodyText"/>
      <w:spacing w:line="14" w:lineRule="auto"/>
      <w:rPr>
        <w:sz w:val="20"/>
      </w:rPr>
    </w:pPr>
    <w:r>
      <w:rPr>
        <w:noProof/>
      </w:rPr>
      <mc:AlternateContent>
        <mc:Choice Requires="wpg">
          <w:drawing>
            <wp:anchor distT="0" distB="0" distL="0" distR="0" simplePos="0" relativeHeight="251540480" behindDoc="1" locked="0" layoutInCell="1" allowOverlap="1" wp14:anchorId="6C46F2D0" wp14:editId="224D904D">
              <wp:simplePos x="0" y="0"/>
              <wp:positionH relativeFrom="page">
                <wp:posOffset>0</wp:posOffset>
              </wp:positionH>
              <wp:positionV relativeFrom="page">
                <wp:posOffset>0</wp:posOffset>
              </wp:positionV>
              <wp:extent cx="7560309" cy="469900"/>
              <wp:effectExtent l="0" t="0" r="0" b="0"/>
              <wp:wrapNone/>
              <wp:docPr id="280" name="Group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281" name="Image 281"/>
                        <pic:cNvPicPr/>
                      </pic:nvPicPr>
                      <pic:blipFill>
                        <a:blip r:embed="rId1" cstate="print"/>
                        <a:stretch>
                          <a:fillRect/>
                        </a:stretch>
                      </pic:blipFill>
                      <pic:spPr>
                        <a:xfrm>
                          <a:off x="0" y="0"/>
                          <a:ext cx="7559992" cy="378002"/>
                        </a:xfrm>
                        <a:prstGeom prst="rect">
                          <a:avLst/>
                        </a:prstGeom>
                      </pic:spPr>
                    </pic:pic>
                    <wps:wsp>
                      <wps:cNvPr id="282" name="Graphic 282"/>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283" name="Graphic 283"/>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472621A9" id="Group 280" o:spid="_x0000_s1026" alt="&quot;&quot;" style="position:absolute;margin-left:0;margin-top:0;width:595.3pt;height:37pt;z-index:-251776000;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1"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">
                <v:imagedata r:id="rId2" o:title=""/>
              </v:shape>
              <v:shape id="Graphic 282"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" path="m263893,469696l43116,,,,,355650,53606,469696r210287,xem607542,367195l460057,54660r-210947,-12l396278,367131r211264,64xe" fillcolor="#005f83" stroked="f">
                <v:path arrowok="t"/>
              </v:shape>
              <v:shape id="Graphic 283"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1548672" behindDoc="1" locked="0" layoutInCell="1" allowOverlap="1" wp14:anchorId="778BF943" wp14:editId="09716BD8">
              <wp:simplePos x="0" y="0"/>
              <wp:positionH relativeFrom="page">
                <wp:posOffset>527300</wp:posOffset>
              </wp:positionH>
              <wp:positionV relativeFrom="page">
                <wp:posOffset>543494</wp:posOffset>
              </wp:positionV>
              <wp:extent cx="838835" cy="17081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835" cy="170815"/>
                      </a:xfrm>
                      <a:prstGeom prst="rect">
                        <a:avLst/>
                      </a:prstGeom>
                    </wps:spPr>
                    <wps:txbx>
                      <w:txbxContent>
                        <w:p w14:paraId="0978F897" w14:textId="77777777" w:rsidR="00084F36" w:rsidRDefault="00EB2BD8">
                          <w:pPr>
                            <w:spacing w:before="14"/>
                            <w:ind w:left="20"/>
                            <w:rPr>
                              <w:sz w:val="20"/>
                            </w:rPr>
                          </w:pPr>
                          <w:r>
                            <w:rPr>
                              <w:spacing w:val="-2"/>
                              <w:w w:val="105"/>
                              <w:sz w:val="20"/>
                            </w:rPr>
                            <w:t>Performance</w:t>
                          </w:r>
                        </w:p>
                      </w:txbxContent>
                    </wps:txbx>
                    <wps:bodyPr wrap="square" lIns="0" tIns="0" rIns="0" bIns="0" rtlCol="0">
                      <a:noAutofit/>
                    </wps:bodyPr>
                  </wps:wsp>
                </a:graphicData>
              </a:graphic>
            </wp:anchor>
          </w:drawing>
        </mc:Choice>
        <mc:Fallback>
          <w:pict>
            <v:shapetype w14:anchorId="778BF943" id="_x0000_t202" coordsize="21600,21600" o:spt="202" path="m,l,21600r21600,l21600,xe">
              <v:stroke joinstyle="miter"/>
              <v:path gradientshapeok="t" o:connecttype="rect"/>
            </v:shapetype>
            <v:shape id="Textbox 284" o:spid="_x0000_s1104" type="#_x0000_t202" style="position:absolute;margin-left:41.5pt;margin-top:42.8pt;width:66.05pt;height:13.45pt;z-index:-2517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" filled="f" stroked="f">
              <v:textbox inset="0,0,0,0">
                <w:txbxContent>
                  <w:p w14:paraId="0978F897" w14:textId="77777777" w:rsidR="00084F36" w:rsidRDefault="00EB2BD8">
                    <w:pPr>
                      <w:spacing w:before="14"/>
                      <w:ind w:left="20"/>
                      <w:rPr>
                        <w:sz w:val="20"/>
                      </w:rPr>
                    </w:pPr>
                    <w:r>
                      <w:rPr>
                        <w:spacing w:val="-2"/>
                        <w:w w:val="105"/>
                        <w:sz w:val="20"/>
                      </w:rPr>
                      <w:t>Performance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E9842" w14:textId="54C51651" w:rsidR="00084F36" w:rsidRDefault="00084F36">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0754" w14:textId="77777777" w:rsidR="00084F36" w:rsidRDefault="00EB2BD8">
    <w:pPr>
      <w:pStyle w:val="BodyText"/>
      <w:spacing w:line="14" w:lineRule="auto"/>
      <w:rPr>
        <w:sz w:val="20"/>
      </w:rPr>
    </w:pPr>
    <w:r>
      <w:rPr>
        <w:noProof/>
      </w:rPr>
      <mc:AlternateContent>
        <mc:Choice Requires="wpg">
          <w:drawing>
            <wp:anchor distT="0" distB="0" distL="0" distR="0" simplePos="0" relativeHeight="251187200" behindDoc="1" locked="0" layoutInCell="1" allowOverlap="1" wp14:anchorId="66968DC1" wp14:editId="581FB1E6">
              <wp:simplePos x="0" y="0"/>
              <wp:positionH relativeFrom="page">
                <wp:posOffset>0</wp:posOffset>
              </wp:positionH>
              <wp:positionV relativeFrom="page">
                <wp:posOffset>0</wp:posOffset>
              </wp:positionV>
              <wp:extent cx="7560309" cy="469900"/>
              <wp:effectExtent l="0" t="0" r="0" b="0"/>
              <wp:wrapNone/>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42" name="Image 42"/>
                        <pic:cNvPicPr/>
                      </pic:nvPicPr>
                      <pic:blipFill>
                        <a:blip r:embed="rId1" cstate="print"/>
                        <a:stretch>
                          <a:fillRect/>
                        </a:stretch>
                      </pic:blipFill>
                      <pic:spPr>
                        <a:xfrm>
                          <a:off x="0" y="0"/>
                          <a:ext cx="7559992" cy="378002"/>
                        </a:xfrm>
                        <a:prstGeom prst="rect">
                          <a:avLst/>
                        </a:prstGeom>
                      </pic:spPr>
                    </pic:pic>
                    <wps:wsp>
                      <wps:cNvPr id="43" name="Graphic 43"/>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44" name="Graphic 44"/>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496B3282" id="Group 41" o:spid="_x0000_s1026" alt="&quot;&quot;" style="position:absolute;margin-left:0;margin-top:0;width:595.3pt;height:37pt;z-index:-252129280;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">
                <v:imagedata r:id="rId2" o:title=""/>
              </v:shape>
              <v:shape id="Graphic 43"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" path="m263893,469696l43116,,,,,355650,53606,469696r210287,xem607542,367195l460057,54660r-210947,-12l396278,367131r211264,64xe" fillcolor="#005f83" stroked="f">
                <v:path arrowok="t"/>
              </v:shape>
              <v:shape id="Graphic 44"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1193344" behindDoc="1" locked="0" layoutInCell="1" allowOverlap="1" wp14:anchorId="1296208E" wp14:editId="1BACB894">
              <wp:simplePos x="0" y="0"/>
              <wp:positionH relativeFrom="page">
                <wp:posOffset>527300</wp:posOffset>
              </wp:positionH>
              <wp:positionV relativeFrom="page">
                <wp:posOffset>543494</wp:posOffset>
              </wp:positionV>
              <wp:extent cx="1415415" cy="17081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170815"/>
                      </a:xfrm>
                      <a:prstGeom prst="rect">
                        <a:avLst/>
                      </a:prstGeom>
                    </wps:spPr>
                    <wps:txbx>
                      <w:txbxContent>
                        <w:p w14:paraId="0EC8E165" w14:textId="77777777" w:rsidR="00084F36" w:rsidRDefault="00EB2BD8">
                          <w:pPr>
                            <w:spacing w:before="14"/>
                            <w:ind w:left="20"/>
                            <w:rPr>
                              <w:sz w:val="20"/>
                            </w:rPr>
                          </w:pPr>
                          <w:r>
                            <w:rPr>
                              <w:sz w:val="20"/>
                            </w:rPr>
                            <w:t>Messages</w:t>
                          </w:r>
                          <w:r>
                            <w:rPr>
                              <w:spacing w:val="-9"/>
                              <w:sz w:val="20"/>
                            </w:rPr>
                            <w:t xml:space="preserve"> </w:t>
                          </w:r>
                          <w:r>
                            <w:rPr>
                              <w:sz w:val="20"/>
                            </w:rPr>
                            <w:t>&amp;</w:t>
                          </w:r>
                          <w:r>
                            <w:rPr>
                              <w:spacing w:val="-8"/>
                              <w:sz w:val="20"/>
                            </w:rPr>
                            <w:t xml:space="preserve"> </w:t>
                          </w:r>
                          <w:r>
                            <w:rPr>
                              <w:spacing w:val="-2"/>
                              <w:sz w:val="20"/>
                            </w:rPr>
                            <w:t>Highlights</w:t>
                          </w:r>
                        </w:p>
                      </w:txbxContent>
                    </wps:txbx>
                    <wps:bodyPr wrap="square" lIns="0" tIns="0" rIns="0" bIns="0" rtlCol="0">
                      <a:noAutofit/>
                    </wps:bodyPr>
                  </wps:wsp>
                </a:graphicData>
              </a:graphic>
            </wp:anchor>
          </w:drawing>
        </mc:Choice>
        <mc:Fallback>
          <w:pict>
            <v:shapetype w14:anchorId="1296208E" id="_x0000_t202" coordsize="21600,21600" o:spt="202" path="m,l,21600r21600,l21600,xe">
              <v:stroke joinstyle="miter"/>
              <v:path gradientshapeok="t" o:connecttype="rect"/>
            </v:shapetype>
            <v:shape id="Textbox 45" o:spid="_x0000_s1080" type="#_x0000_t202" style="position:absolute;margin-left:41.5pt;margin-top:42.8pt;width:111.45pt;height:13.45pt;z-index:-25212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" filled="f" stroked="f">
              <v:textbox inset="0,0,0,0">
                <w:txbxContent>
                  <w:p w14:paraId="0EC8E165" w14:textId="77777777" w:rsidR="00084F36" w:rsidRDefault="00EB2BD8">
                    <w:pPr>
                      <w:spacing w:before="14"/>
                      <w:ind w:left="20"/>
                      <w:rPr>
                        <w:sz w:val="20"/>
                      </w:rPr>
                    </w:pPr>
                    <w:r>
                      <w:rPr>
                        <w:sz w:val="20"/>
                      </w:rPr>
                      <w:t>Messages</w:t>
                    </w:r>
                    <w:r>
                      <w:rPr>
                        <w:spacing w:val="-9"/>
                        <w:sz w:val="20"/>
                      </w:rPr>
                      <w:t xml:space="preserve"> </w:t>
                    </w:r>
                    <w:r>
                      <w:rPr>
                        <w:sz w:val="20"/>
                      </w:rPr>
                      <w:t>&amp;</w:t>
                    </w:r>
                    <w:r>
                      <w:rPr>
                        <w:spacing w:val="-8"/>
                        <w:sz w:val="20"/>
                      </w:rPr>
                      <w:t xml:space="preserve"> </w:t>
                    </w:r>
                    <w:r>
                      <w:rPr>
                        <w:spacing w:val="-2"/>
                        <w:sz w:val="20"/>
                      </w:rPr>
                      <w:t>Highlights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A67C" w14:textId="77777777" w:rsidR="00084F36" w:rsidRDefault="00084F3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C2E45" w14:textId="77777777" w:rsidR="00084F36" w:rsidRDefault="00EB2BD8">
    <w:pPr>
      <w:pStyle w:val="BodyText"/>
      <w:spacing w:line="14" w:lineRule="auto"/>
      <w:rPr>
        <w:sz w:val="20"/>
      </w:rPr>
    </w:pPr>
    <w:r>
      <w:rPr>
        <w:noProof/>
      </w:rPr>
      <mc:AlternateContent>
        <mc:Choice Requires="wpg">
          <w:drawing>
            <wp:anchor distT="0" distB="0" distL="0" distR="0" simplePos="0" relativeHeight="251589632" behindDoc="1" locked="0" layoutInCell="1" allowOverlap="1" wp14:anchorId="0AF94888" wp14:editId="389A4EC8">
              <wp:simplePos x="0" y="0"/>
              <wp:positionH relativeFrom="page">
                <wp:posOffset>0</wp:posOffset>
              </wp:positionH>
              <wp:positionV relativeFrom="page">
                <wp:posOffset>0</wp:posOffset>
              </wp:positionV>
              <wp:extent cx="7560309" cy="469900"/>
              <wp:effectExtent l="0" t="0" r="0" b="0"/>
              <wp:wrapNone/>
              <wp:docPr id="387" name="Group 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388" name="Image 388"/>
                        <pic:cNvPicPr/>
                      </pic:nvPicPr>
                      <pic:blipFill>
                        <a:blip r:embed="rId1" cstate="print"/>
                        <a:stretch>
                          <a:fillRect/>
                        </a:stretch>
                      </pic:blipFill>
                      <pic:spPr>
                        <a:xfrm>
                          <a:off x="0" y="0"/>
                          <a:ext cx="7559992" cy="378002"/>
                        </a:xfrm>
                        <a:prstGeom prst="rect">
                          <a:avLst/>
                        </a:prstGeom>
                      </pic:spPr>
                    </pic:pic>
                    <wps:wsp>
                      <wps:cNvPr id="389" name="Graphic 389"/>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390" name="Graphic 390"/>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76C2ABA7" id="Group 387" o:spid="_x0000_s1026" alt="&quot;&quot;" style="position:absolute;margin-left:0;margin-top:0;width:595.3pt;height:37pt;z-index:-251726848;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8"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">
                <v:imagedata r:id="rId2" o:title=""/>
              </v:shape>
              <v:shape id="Graphic 389"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" path="m263893,469696l43116,,,,,355650,53606,469696r210287,xem607542,367195l460057,54660r-210947,-12l396278,367131r211264,64xe" fillcolor="#005f83" stroked="f">
                <v:path arrowok="t"/>
              </v:shape>
              <v:shape id="Graphic 390"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1597824" behindDoc="1" locked="0" layoutInCell="1" allowOverlap="1" wp14:anchorId="3E9C60D1" wp14:editId="502DDA4D">
              <wp:simplePos x="0" y="0"/>
              <wp:positionH relativeFrom="page">
                <wp:posOffset>527300</wp:posOffset>
              </wp:positionH>
              <wp:positionV relativeFrom="page">
                <wp:posOffset>543494</wp:posOffset>
              </wp:positionV>
              <wp:extent cx="838835" cy="17081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835" cy="170815"/>
                      </a:xfrm>
                      <a:prstGeom prst="rect">
                        <a:avLst/>
                      </a:prstGeom>
                    </wps:spPr>
                    <wps:txbx>
                      <w:txbxContent>
                        <w:p w14:paraId="2B099EC0" w14:textId="77777777" w:rsidR="00084F36" w:rsidRDefault="00EB2BD8">
                          <w:pPr>
                            <w:spacing w:before="14"/>
                            <w:ind w:left="20"/>
                            <w:rPr>
                              <w:sz w:val="20"/>
                            </w:rPr>
                          </w:pPr>
                          <w:r>
                            <w:rPr>
                              <w:spacing w:val="-2"/>
                              <w:w w:val="105"/>
                              <w:sz w:val="20"/>
                            </w:rPr>
                            <w:t>Performance</w:t>
                          </w:r>
                        </w:p>
                      </w:txbxContent>
                    </wps:txbx>
                    <wps:bodyPr wrap="square" lIns="0" tIns="0" rIns="0" bIns="0" rtlCol="0">
                      <a:noAutofit/>
                    </wps:bodyPr>
                  </wps:wsp>
                </a:graphicData>
              </a:graphic>
            </wp:anchor>
          </w:drawing>
        </mc:Choice>
        <mc:Fallback>
          <w:pict>
            <v:shapetype w14:anchorId="3E9C60D1" id="_x0000_t202" coordsize="21600,21600" o:spt="202" path="m,l,21600r21600,l21600,xe">
              <v:stroke joinstyle="miter"/>
              <v:path gradientshapeok="t" o:connecttype="rect"/>
            </v:shapetype>
            <v:shape id="Textbox 391" o:spid="_x0000_s1107" type="#_x0000_t202" style="position:absolute;margin-left:41.5pt;margin-top:42.8pt;width:66.05pt;height:13.45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" filled="f" stroked="f">
              <v:textbox inset="0,0,0,0">
                <w:txbxContent>
                  <w:p w14:paraId="2B099EC0" w14:textId="77777777" w:rsidR="00084F36" w:rsidRDefault="00EB2BD8">
                    <w:pPr>
                      <w:spacing w:before="14"/>
                      <w:ind w:left="20"/>
                      <w:rPr>
                        <w:sz w:val="20"/>
                      </w:rPr>
                    </w:pPr>
                    <w:r>
                      <w:rPr>
                        <w:spacing w:val="-2"/>
                        <w:w w:val="105"/>
                        <w:sz w:val="20"/>
                      </w:rPr>
                      <w:t>Performance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CB0E" w14:textId="1A45430E" w:rsidR="00084F36" w:rsidRDefault="00084F36">
    <w:pPr>
      <w:pStyle w:val="BodyText"/>
      <w:spacing w:line="14" w:lineRule="auto"/>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D0F6" w14:textId="35C40BC4" w:rsidR="00084F36" w:rsidRPr="00EB2BD8" w:rsidRDefault="00084F36" w:rsidP="00EB2BD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C7EC" w14:textId="61108394" w:rsidR="00084F36" w:rsidRDefault="00084F36">
    <w:pPr>
      <w:pStyle w:val="BodyText"/>
      <w:spacing w:line="14" w:lineRule="auto"/>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EA6A" w14:textId="504752F1" w:rsidR="00084F36" w:rsidRDefault="00084F36">
    <w:pPr>
      <w:pStyle w:val="BodyText"/>
      <w:spacing w:line="14"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35129" w14:textId="77777777" w:rsidR="00084F36" w:rsidRDefault="00084F36">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A2BBD" w14:textId="77777777" w:rsidR="00084F36" w:rsidRDefault="00EB2BD8">
    <w:pPr>
      <w:pStyle w:val="BodyText"/>
      <w:spacing w:line="14" w:lineRule="auto"/>
      <w:rPr>
        <w:sz w:val="20"/>
      </w:rPr>
    </w:pPr>
    <w:r>
      <w:rPr>
        <w:noProof/>
      </w:rPr>
      <mc:AlternateContent>
        <mc:Choice Requires="wpg">
          <w:drawing>
            <wp:anchor distT="0" distB="0" distL="0" distR="0" simplePos="0" relativeHeight="251687936" behindDoc="1" locked="0" layoutInCell="1" allowOverlap="1" wp14:anchorId="5CFED8A8" wp14:editId="07994ACB">
              <wp:simplePos x="0" y="0"/>
              <wp:positionH relativeFrom="page">
                <wp:posOffset>0</wp:posOffset>
              </wp:positionH>
              <wp:positionV relativeFrom="page">
                <wp:posOffset>0</wp:posOffset>
              </wp:positionV>
              <wp:extent cx="7560309" cy="469900"/>
              <wp:effectExtent l="0" t="0" r="0" b="0"/>
              <wp:wrapNone/>
              <wp:docPr id="443" name="Group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444" name="Image 444"/>
                        <pic:cNvPicPr/>
                      </pic:nvPicPr>
                      <pic:blipFill>
                        <a:blip r:embed="rId1" cstate="print"/>
                        <a:stretch>
                          <a:fillRect/>
                        </a:stretch>
                      </pic:blipFill>
                      <pic:spPr>
                        <a:xfrm>
                          <a:off x="0" y="0"/>
                          <a:ext cx="7559992" cy="378002"/>
                        </a:xfrm>
                        <a:prstGeom prst="rect">
                          <a:avLst/>
                        </a:prstGeom>
                      </pic:spPr>
                    </pic:pic>
                    <wps:wsp>
                      <wps:cNvPr id="445" name="Graphic 445"/>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446" name="Graphic 446"/>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74CA3615" id="Group 443" o:spid="_x0000_s1026" alt="&quot;&quot;" style="position:absolute;margin-left:0;margin-top:0;width:595.3pt;height:37pt;z-index:-251628544;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4"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">
                <v:imagedata r:id="rId2" o:title=""/>
              </v:shape>
              <v:shape id="Graphic 445"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" path="m263893,469696l43116,,,,,355650,53606,469696r210287,xem607542,367195l460057,54660r-210947,-12l396278,367131r211264,64xe" fillcolor="#005f83" stroked="f">
                <v:path arrowok="t"/>
              </v:shape>
              <v:shape id="Graphic 446"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1696128" behindDoc="1" locked="0" layoutInCell="1" allowOverlap="1" wp14:anchorId="6EA8A039" wp14:editId="28C7AD39">
              <wp:simplePos x="0" y="0"/>
              <wp:positionH relativeFrom="page">
                <wp:posOffset>527300</wp:posOffset>
              </wp:positionH>
              <wp:positionV relativeFrom="page">
                <wp:posOffset>543494</wp:posOffset>
              </wp:positionV>
              <wp:extent cx="838835" cy="17081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835" cy="170815"/>
                      </a:xfrm>
                      <a:prstGeom prst="rect">
                        <a:avLst/>
                      </a:prstGeom>
                    </wps:spPr>
                    <wps:txbx>
                      <w:txbxContent>
                        <w:p w14:paraId="19A7AB45" w14:textId="77777777" w:rsidR="00084F36" w:rsidRDefault="00EB2BD8">
                          <w:pPr>
                            <w:spacing w:before="14"/>
                            <w:ind w:left="20"/>
                            <w:rPr>
                              <w:sz w:val="20"/>
                            </w:rPr>
                          </w:pPr>
                          <w:r>
                            <w:rPr>
                              <w:spacing w:val="-2"/>
                              <w:w w:val="105"/>
                              <w:sz w:val="20"/>
                            </w:rPr>
                            <w:t>Performance</w:t>
                          </w:r>
                        </w:p>
                      </w:txbxContent>
                    </wps:txbx>
                    <wps:bodyPr wrap="square" lIns="0" tIns="0" rIns="0" bIns="0" rtlCol="0">
                      <a:noAutofit/>
                    </wps:bodyPr>
                  </wps:wsp>
                </a:graphicData>
              </a:graphic>
            </wp:anchor>
          </w:drawing>
        </mc:Choice>
        <mc:Fallback>
          <w:pict>
            <v:shapetype w14:anchorId="6EA8A039" id="_x0000_t202" coordsize="21600,21600" o:spt="202" path="m,l,21600r21600,l21600,xe">
              <v:stroke joinstyle="miter"/>
              <v:path gradientshapeok="t" o:connecttype="rect"/>
            </v:shapetype>
            <v:shape id="Textbox 447" o:spid="_x0000_s1112" type="#_x0000_t202" style="position:absolute;margin-left:41.5pt;margin-top:42.8pt;width:66.05pt;height:13.4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" filled="f" stroked="f">
              <v:textbox inset="0,0,0,0">
                <w:txbxContent>
                  <w:p w14:paraId="19A7AB45" w14:textId="77777777" w:rsidR="00084F36" w:rsidRDefault="00EB2BD8">
                    <w:pPr>
                      <w:spacing w:before="14"/>
                      <w:ind w:left="20"/>
                      <w:rPr>
                        <w:sz w:val="20"/>
                      </w:rPr>
                    </w:pPr>
                    <w:r>
                      <w:rPr>
                        <w:spacing w:val="-2"/>
                        <w:w w:val="105"/>
                        <w:sz w:val="20"/>
                      </w:rPr>
                      <w:t>Performance</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5A667" w14:textId="0413105F" w:rsidR="00084F36" w:rsidRPr="00586BA3" w:rsidRDefault="00084F36" w:rsidP="00586BA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D72C" w14:textId="77777777" w:rsidR="00084F36" w:rsidRDefault="00084F3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266E" w14:textId="2671944A" w:rsidR="00084F36" w:rsidRDefault="00084F36">
    <w:pPr>
      <w:pStyle w:val="BodyText"/>
      <w:spacing w:line="14" w:lineRule="auto"/>
      <w:rPr>
        <w:sz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9485D" w14:textId="77777777" w:rsidR="00084F36" w:rsidRDefault="00084F36">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0405" w14:textId="77777777" w:rsidR="00084F36" w:rsidRDefault="00EB2BD8">
    <w:pPr>
      <w:pStyle w:val="BodyText"/>
      <w:spacing w:line="14" w:lineRule="auto"/>
      <w:rPr>
        <w:sz w:val="20"/>
      </w:rPr>
    </w:pPr>
    <w:r>
      <w:rPr>
        <w:noProof/>
      </w:rPr>
      <mc:AlternateContent>
        <mc:Choice Requires="wpg">
          <w:drawing>
            <wp:anchor distT="0" distB="0" distL="0" distR="0" simplePos="0" relativeHeight="251747328" behindDoc="1" locked="0" layoutInCell="1" allowOverlap="1" wp14:anchorId="188AEE77" wp14:editId="1ED6EF77">
              <wp:simplePos x="0" y="0"/>
              <wp:positionH relativeFrom="page">
                <wp:posOffset>0</wp:posOffset>
              </wp:positionH>
              <wp:positionV relativeFrom="page">
                <wp:posOffset>0</wp:posOffset>
              </wp:positionV>
              <wp:extent cx="7560309" cy="469900"/>
              <wp:effectExtent l="0" t="0" r="0" b="0"/>
              <wp:wrapNone/>
              <wp:docPr id="476" name="Group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477" name="Image 477"/>
                        <pic:cNvPicPr/>
                      </pic:nvPicPr>
                      <pic:blipFill>
                        <a:blip r:embed="rId1" cstate="print"/>
                        <a:stretch>
                          <a:fillRect/>
                        </a:stretch>
                      </pic:blipFill>
                      <pic:spPr>
                        <a:xfrm>
                          <a:off x="0" y="0"/>
                          <a:ext cx="7559992" cy="378002"/>
                        </a:xfrm>
                        <a:prstGeom prst="rect">
                          <a:avLst/>
                        </a:prstGeom>
                      </pic:spPr>
                    </pic:pic>
                    <wps:wsp>
                      <wps:cNvPr id="478" name="Graphic 478"/>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479" name="Graphic 479"/>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2C8ADAA7" id="Group 476" o:spid="_x0000_s1026" alt="&quot;&quot;" style="position:absolute;margin-left:0;margin-top:0;width:595.3pt;height:37pt;z-index:-251569152;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7"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">
                <v:imagedata r:id="rId2" o:title=""/>
              </v:shape>
              <v:shape id="Graphic 478"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" path="m263893,469696l43116,,,,,355650,53606,469696r210287,xem607542,367195l460057,54660r-210947,-12l396278,367131r211264,64xe" fillcolor="#005f83" stroked="f">
                <v:path arrowok="t"/>
              </v:shape>
              <v:shape id="Graphic 479"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1756544" behindDoc="1" locked="0" layoutInCell="1" allowOverlap="1" wp14:anchorId="652923B6" wp14:editId="093F3639">
              <wp:simplePos x="0" y="0"/>
              <wp:positionH relativeFrom="page">
                <wp:posOffset>527300</wp:posOffset>
              </wp:positionH>
              <wp:positionV relativeFrom="page">
                <wp:posOffset>543494</wp:posOffset>
              </wp:positionV>
              <wp:extent cx="838835" cy="17081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835" cy="170815"/>
                      </a:xfrm>
                      <a:prstGeom prst="rect">
                        <a:avLst/>
                      </a:prstGeom>
                    </wps:spPr>
                    <wps:txbx>
                      <w:txbxContent>
                        <w:p w14:paraId="53B7184A" w14:textId="77777777" w:rsidR="00084F36" w:rsidRDefault="00EB2BD8">
                          <w:pPr>
                            <w:spacing w:before="14"/>
                            <w:ind w:left="20"/>
                            <w:rPr>
                              <w:sz w:val="20"/>
                            </w:rPr>
                          </w:pPr>
                          <w:r>
                            <w:rPr>
                              <w:spacing w:val="-2"/>
                              <w:w w:val="105"/>
                              <w:sz w:val="20"/>
                            </w:rPr>
                            <w:t>Performance</w:t>
                          </w:r>
                        </w:p>
                      </w:txbxContent>
                    </wps:txbx>
                    <wps:bodyPr wrap="square" lIns="0" tIns="0" rIns="0" bIns="0" rtlCol="0">
                      <a:noAutofit/>
                    </wps:bodyPr>
                  </wps:wsp>
                </a:graphicData>
              </a:graphic>
            </wp:anchor>
          </w:drawing>
        </mc:Choice>
        <mc:Fallback>
          <w:pict>
            <v:shapetype w14:anchorId="652923B6" id="_x0000_t202" coordsize="21600,21600" o:spt="202" path="m,l,21600r21600,l21600,xe">
              <v:stroke joinstyle="miter"/>
              <v:path gradientshapeok="t" o:connecttype="rect"/>
            </v:shapetype>
            <v:shape id="Textbox 480" o:spid="_x0000_s1115" type="#_x0000_t202" style="position:absolute;margin-left:41.5pt;margin-top:42.8pt;width:66.05pt;height:13.45pt;z-index:-2515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" filled="f" stroked="f">
              <v:textbox inset="0,0,0,0">
                <w:txbxContent>
                  <w:p w14:paraId="53B7184A" w14:textId="77777777" w:rsidR="00084F36" w:rsidRDefault="00EB2BD8">
                    <w:pPr>
                      <w:spacing w:before="14"/>
                      <w:ind w:left="20"/>
                      <w:rPr>
                        <w:sz w:val="20"/>
                      </w:rPr>
                    </w:pPr>
                    <w:r>
                      <w:rPr>
                        <w:spacing w:val="-2"/>
                        <w:w w:val="105"/>
                        <w:sz w:val="20"/>
                      </w:rPr>
                      <w:t>Performance</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A528" w14:textId="5DF7D5D8" w:rsidR="00084F36" w:rsidRDefault="00084F36">
    <w:pPr>
      <w:pStyle w:val="BodyText"/>
      <w:spacing w:line="14" w:lineRule="auto"/>
      <w:rPr>
        <w:sz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CC52" w14:textId="77777777" w:rsidR="00084F36" w:rsidRDefault="00EB2BD8">
    <w:pPr>
      <w:pStyle w:val="BodyText"/>
      <w:spacing w:line="14" w:lineRule="auto"/>
      <w:rPr>
        <w:sz w:val="20"/>
      </w:rPr>
    </w:pPr>
    <w:r>
      <w:rPr>
        <w:noProof/>
      </w:rPr>
      <mc:AlternateContent>
        <mc:Choice Requires="wpg">
          <w:drawing>
            <wp:anchor distT="0" distB="0" distL="0" distR="0" simplePos="0" relativeHeight="251793408" behindDoc="1" locked="0" layoutInCell="1" allowOverlap="1" wp14:anchorId="231E825F" wp14:editId="36AD7808">
              <wp:simplePos x="0" y="0"/>
              <wp:positionH relativeFrom="page">
                <wp:posOffset>0</wp:posOffset>
              </wp:positionH>
              <wp:positionV relativeFrom="page">
                <wp:posOffset>0</wp:posOffset>
              </wp:positionV>
              <wp:extent cx="7560309" cy="469900"/>
              <wp:effectExtent l="0" t="0" r="0" b="0"/>
              <wp:wrapNone/>
              <wp:docPr id="492" name="Group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493" name="Image 493"/>
                        <pic:cNvPicPr/>
                      </pic:nvPicPr>
                      <pic:blipFill>
                        <a:blip r:embed="rId1" cstate="print"/>
                        <a:stretch>
                          <a:fillRect/>
                        </a:stretch>
                      </pic:blipFill>
                      <pic:spPr>
                        <a:xfrm>
                          <a:off x="0" y="0"/>
                          <a:ext cx="7559992" cy="378002"/>
                        </a:xfrm>
                        <a:prstGeom prst="rect">
                          <a:avLst/>
                        </a:prstGeom>
                      </pic:spPr>
                    </pic:pic>
                    <wps:wsp>
                      <wps:cNvPr id="494" name="Graphic 494"/>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495" name="Graphic 495"/>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7798B345" id="Group 492" o:spid="_x0000_s1026" alt="&quot;&quot;" style="position:absolute;margin-left:0;margin-top:0;width:595.3pt;height:37pt;z-index:-251523072;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3"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">
                <v:imagedata r:id="rId2" o:title=""/>
              </v:shape>
              <v:shape id="Graphic 494"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" path="m263893,469696l43116,,,,,355650,53606,469696r210287,xem607542,367195l460057,54660r-210947,-12l396278,367131r211264,64xe" fillcolor="#005f83" stroked="f">
                <v:path arrowok="t"/>
              </v:shape>
              <v:shape id="Graphic 495"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1802624" behindDoc="1" locked="0" layoutInCell="1" allowOverlap="1" wp14:anchorId="0C212C8A" wp14:editId="14BB4C13">
              <wp:simplePos x="0" y="0"/>
              <wp:positionH relativeFrom="page">
                <wp:posOffset>527300</wp:posOffset>
              </wp:positionH>
              <wp:positionV relativeFrom="page">
                <wp:posOffset>543494</wp:posOffset>
              </wp:positionV>
              <wp:extent cx="549910" cy="170815"/>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10" cy="170815"/>
                      </a:xfrm>
                      <a:prstGeom prst="rect">
                        <a:avLst/>
                      </a:prstGeom>
                    </wps:spPr>
                    <wps:txbx>
                      <w:txbxContent>
                        <w:p w14:paraId="45B859BD" w14:textId="77777777" w:rsidR="00084F36" w:rsidRDefault="00EB2BD8">
                          <w:pPr>
                            <w:spacing w:before="14"/>
                            <w:ind w:left="20"/>
                            <w:rPr>
                              <w:sz w:val="20"/>
                            </w:rPr>
                          </w:pPr>
                          <w:r>
                            <w:rPr>
                              <w:spacing w:val="-2"/>
                              <w:sz w:val="20"/>
                            </w:rPr>
                            <w:t>Heading</w:t>
                          </w:r>
                        </w:p>
                      </w:txbxContent>
                    </wps:txbx>
                    <wps:bodyPr wrap="square" lIns="0" tIns="0" rIns="0" bIns="0" rtlCol="0">
                      <a:noAutofit/>
                    </wps:bodyPr>
                  </wps:wsp>
                </a:graphicData>
              </a:graphic>
            </wp:anchor>
          </w:drawing>
        </mc:Choice>
        <mc:Fallback>
          <w:pict>
            <v:shapetype w14:anchorId="0C212C8A" id="_x0000_t202" coordsize="21600,21600" o:spt="202" path="m,l,21600r21600,l21600,xe">
              <v:stroke joinstyle="miter"/>
              <v:path gradientshapeok="t" o:connecttype="rect"/>
            </v:shapetype>
            <v:shape id="Textbox 496" o:spid="_x0000_s1118" type="#_x0000_t202" style="position:absolute;margin-left:41.5pt;margin-top:42.8pt;width:43.3pt;height:13.45pt;z-index:-2515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" filled="f" stroked="f">
              <v:textbox inset="0,0,0,0">
                <w:txbxContent>
                  <w:p w14:paraId="45B859BD" w14:textId="77777777" w:rsidR="00084F36" w:rsidRDefault="00EB2BD8">
                    <w:pPr>
                      <w:spacing w:before="14"/>
                      <w:ind w:left="20"/>
                      <w:rPr>
                        <w:sz w:val="20"/>
                      </w:rPr>
                    </w:pPr>
                    <w:r>
                      <w:rPr>
                        <w:spacing w:val="-2"/>
                        <w:sz w:val="20"/>
                      </w:rPr>
                      <w:t>Heading</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27DE" w14:textId="77777777" w:rsidR="00084F36" w:rsidRDefault="00084F36">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71228" w14:textId="77777777" w:rsidR="00084F36" w:rsidRDefault="00084F36">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6002" w14:textId="5D8FD626" w:rsidR="00084F36" w:rsidRDefault="00084F36">
    <w:pPr>
      <w:pStyle w:val="BodyText"/>
      <w:spacing w:line="14" w:lineRule="auto"/>
      <w:rPr>
        <w:sz w:val="2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010A1" w14:textId="77777777" w:rsidR="00084F36" w:rsidRDefault="00084F36">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B109A" w14:textId="77777777" w:rsidR="00084F36" w:rsidRDefault="00EB2BD8">
    <w:pPr>
      <w:pStyle w:val="BodyText"/>
      <w:spacing w:line="14" w:lineRule="auto"/>
      <w:rPr>
        <w:sz w:val="20"/>
      </w:rPr>
    </w:pPr>
    <w:r>
      <w:rPr>
        <w:noProof/>
      </w:rPr>
      <mc:AlternateContent>
        <mc:Choice Requires="wpg">
          <w:drawing>
            <wp:anchor distT="0" distB="0" distL="0" distR="0" simplePos="0" relativeHeight="251864064" behindDoc="1" locked="0" layoutInCell="1" allowOverlap="1" wp14:anchorId="48D791B9" wp14:editId="37E28F8B">
              <wp:simplePos x="0" y="0"/>
              <wp:positionH relativeFrom="page">
                <wp:posOffset>0</wp:posOffset>
              </wp:positionH>
              <wp:positionV relativeFrom="page">
                <wp:posOffset>0</wp:posOffset>
              </wp:positionV>
              <wp:extent cx="7560309" cy="469900"/>
              <wp:effectExtent l="0" t="0" r="0" b="0"/>
              <wp:wrapNone/>
              <wp:docPr id="553" name="Group 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554" name="Image 554"/>
                        <pic:cNvPicPr/>
                      </pic:nvPicPr>
                      <pic:blipFill>
                        <a:blip r:embed="rId1" cstate="print"/>
                        <a:stretch>
                          <a:fillRect/>
                        </a:stretch>
                      </pic:blipFill>
                      <pic:spPr>
                        <a:xfrm>
                          <a:off x="0" y="0"/>
                          <a:ext cx="7559992" cy="378002"/>
                        </a:xfrm>
                        <a:prstGeom prst="rect">
                          <a:avLst/>
                        </a:prstGeom>
                      </pic:spPr>
                    </pic:pic>
                    <wps:wsp>
                      <wps:cNvPr id="555" name="Graphic 555"/>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556" name="Graphic 556"/>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0BBF3C9A" id="Group 553" o:spid="_x0000_s1026" alt="&quot;&quot;" style="position:absolute;margin-left:0;margin-top:0;width:595.3pt;height:37pt;z-index:-251452416;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4"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">
                <v:imagedata r:id="rId2" o:title=""/>
              </v:shape>
              <v:shape id="Graphic 555"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" path="m263893,469696l43116,,,,,355650,53606,469696r210287,xem607542,367195l460057,54660r-210947,-12l396278,367131r211264,64xe" fillcolor="#005f83" stroked="f">
                <v:path arrowok="t"/>
              </v:shape>
              <v:shape id="Graphic 556"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1871232" behindDoc="1" locked="0" layoutInCell="1" allowOverlap="1" wp14:anchorId="03900DAF" wp14:editId="7A295337">
              <wp:simplePos x="0" y="0"/>
              <wp:positionH relativeFrom="page">
                <wp:posOffset>527300</wp:posOffset>
              </wp:positionH>
              <wp:positionV relativeFrom="page">
                <wp:posOffset>543494</wp:posOffset>
              </wp:positionV>
              <wp:extent cx="710565" cy="170815"/>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65" cy="170815"/>
                      </a:xfrm>
                      <a:prstGeom prst="rect">
                        <a:avLst/>
                      </a:prstGeom>
                    </wps:spPr>
                    <wps:txbx>
                      <w:txbxContent>
                        <w:p w14:paraId="0E9C6EE4" w14:textId="77777777" w:rsidR="00084F36" w:rsidRDefault="00EB2BD8">
                          <w:pPr>
                            <w:spacing w:before="14"/>
                            <w:ind w:left="20"/>
                            <w:rPr>
                              <w:sz w:val="20"/>
                            </w:rPr>
                          </w:pPr>
                          <w:r>
                            <w:rPr>
                              <w:sz w:val="20"/>
                            </w:rPr>
                            <w:t>Our</w:t>
                          </w:r>
                          <w:r>
                            <w:rPr>
                              <w:spacing w:val="-11"/>
                              <w:sz w:val="20"/>
                            </w:rPr>
                            <w:t xml:space="preserve"> </w:t>
                          </w:r>
                          <w:r>
                            <w:rPr>
                              <w:spacing w:val="-2"/>
                              <w:sz w:val="20"/>
                            </w:rPr>
                            <w:t>people</w:t>
                          </w:r>
                        </w:p>
                      </w:txbxContent>
                    </wps:txbx>
                    <wps:bodyPr wrap="square" lIns="0" tIns="0" rIns="0" bIns="0" rtlCol="0">
                      <a:noAutofit/>
                    </wps:bodyPr>
                  </wps:wsp>
                </a:graphicData>
              </a:graphic>
            </wp:anchor>
          </w:drawing>
        </mc:Choice>
        <mc:Fallback>
          <w:pict>
            <v:shapetype w14:anchorId="03900DAF" id="_x0000_t202" coordsize="21600,21600" o:spt="202" path="m,l,21600r21600,l21600,xe">
              <v:stroke joinstyle="miter"/>
              <v:path gradientshapeok="t" o:connecttype="rect"/>
            </v:shapetype>
            <v:shape id="Textbox 557" o:spid="_x0000_s1123" type="#_x0000_t202" style="position:absolute;margin-left:41.5pt;margin-top:42.8pt;width:55.95pt;height:13.45pt;z-index:-2514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" filled="f" stroked="f">
              <v:textbox inset="0,0,0,0">
                <w:txbxContent>
                  <w:p w14:paraId="0E9C6EE4" w14:textId="77777777" w:rsidR="00084F36" w:rsidRDefault="00EB2BD8">
                    <w:pPr>
                      <w:spacing w:before="14"/>
                      <w:ind w:left="20"/>
                      <w:rPr>
                        <w:sz w:val="20"/>
                      </w:rPr>
                    </w:pPr>
                    <w:r>
                      <w:rPr>
                        <w:sz w:val="20"/>
                      </w:rPr>
                      <w:t>Our</w:t>
                    </w:r>
                    <w:r>
                      <w:rPr>
                        <w:spacing w:val="-11"/>
                        <w:sz w:val="20"/>
                      </w:rPr>
                      <w:t xml:space="preserve"> </w:t>
                    </w:r>
                    <w:r>
                      <w:rPr>
                        <w:spacing w:val="-2"/>
                        <w:sz w:val="20"/>
                      </w:rPr>
                      <w:t>people</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C304" w14:textId="72175A46" w:rsidR="00084F36" w:rsidRDefault="00084F36">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0E7F" w14:textId="77777777" w:rsidR="00084F36" w:rsidRDefault="00EB2BD8">
    <w:pPr>
      <w:pStyle w:val="BodyText"/>
      <w:spacing w:line="14" w:lineRule="auto"/>
      <w:rPr>
        <w:sz w:val="20"/>
      </w:rPr>
    </w:pPr>
    <w:r>
      <w:rPr>
        <w:noProof/>
      </w:rPr>
      <mc:AlternateContent>
        <mc:Choice Requires="wpg">
          <w:drawing>
            <wp:anchor distT="0" distB="0" distL="0" distR="0" simplePos="0" relativeHeight="251242496" behindDoc="1" locked="0" layoutInCell="1" allowOverlap="1" wp14:anchorId="0F953ADE" wp14:editId="28BBA507">
              <wp:simplePos x="0" y="0"/>
              <wp:positionH relativeFrom="page">
                <wp:posOffset>0</wp:posOffset>
              </wp:positionH>
              <wp:positionV relativeFrom="page">
                <wp:posOffset>0</wp:posOffset>
              </wp:positionV>
              <wp:extent cx="7560309" cy="469900"/>
              <wp:effectExtent l="0" t="0" r="0" b="0"/>
              <wp:wrapNone/>
              <wp:docPr id="122" name="Group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123" name="Image 123"/>
                        <pic:cNvPicPr/>
                      </pic:nvPicPr>
                      <pic:blipFill>
                        <a:blip r:embed="rId1" cstate="print"/>
                        <a:stretch>
                          <a:fillRect/>
                        </a:stretch>
                      </pic:blipFill>
                      <pic:spPr>
                        <a:xfrm>
                          <a:off x="0" y="0"/>
                          <a:ext cx="7559992" cy="378002"/>
                        </a:xfrm>
                        <a:prstGeom prst="rect">
                          <a:avLst/>
                        </a:prstGeom>
                      </pic:spPr>
                    </pic:pic>
                    <wps:wsp>
                      <wps:cNvPr id="124" name="Graphic 124"/>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125" name="Graphic 125"/>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092FFA0B" id="Group 122" o:spid="_x0000_s1026" alt="&quot;&quot;" style="position:absolute;margin-left:0;margin-top:0;width:595.3pt;height:37pt;z-index:-252073984;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3"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">
                <v:imagedata r:id="rId2" o:title=""/>
              </v:shape>
              <v:shape id="Graphic 124"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" path="m263893,469696l43116,,,,,355650,53606,469696r210287,xem607542,367195l460057,54660r-210947,-12l396278,367131r211264,64xe" fillcolor="#005f83" stroked="f">
                <v:path arrowok="t"/>
              </v:shape>
              <v:shape id="Graphic 125"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1248640" behindDoc="1" locked="0" layoutInCell="1" allowOverlap="1" wp14:anchorId="7C4EF6C2" wp14:editId="1120BB04">
              <wp:simplePos x="0" y="0"/>
              <wp:positionH relativeFrom="page">
                <wp:posOffset>527300</wp:posOffset>
              </wp:positionH>
              <wp:positionV relativeFrom="page">
                <wp:posOffset>543494</wp:posOffset>
              </wp:positionV>
              <wp:extent cx="1415415" cy="17081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170815"/>
                      </a:xfrm>
                      <a:prstGeom prst="rect">
                        <a:avLst/>
                      </a:prstGeom>
                    </wps:spPr>
                    <wps:txbx>
                      <w:txbxContent>
                        <w:p w14:paraId="0F834C0B" w14:textId="77777777" w:rsidR="00084F36" w:rsidRDefault="00EB2BD8">
                          <w:pPr>
                            <w:spacing w:before="14"/>
                            <w:ind w:left="20"/>
                            <w:rPr>
                              <w:sz w:val="20"/>
                            </w:rPr>
                          </w:pPr>
                          <w:r>
                            <w:rPr>
                              <w:sz w:val="20"/>
                            </w:rPr>
                            <w:t>Messages</w:t>
                          </w:r>
                          <w:r>
                            <w:rPr>
                              <w:spacing w:val="-9"/>
                              <w:sz w:val="20"/>
                            </w:rPr>
                            <w:t xml:space="preserve"> </w:t>
                          </w:r>
                          <w:r>
                            <w:rPr>
                              <w:sz w:val="20"/>
                            </w:rPr>
                            <w:t>&amp;</w:t>
                          </w:r>
                          <w:r>
                            <w:rPr>
                              <w:spacing w:val="-8"/>
                              <w:sz w:val="20"/>
                            </w:rPr>
                            <w:t xml:space="preserve"> </w:t>
                          </w:r>
                          <w:r>
                            <w:rPr>
                              <w:spacing w:val="-2"/>
                              <w:sz w:val="20"/>
                            </w:rPr>
                            <w:t>Highlights</w:t>
                          </w:r>
                        </w:p>
                      </w:txbxContent>
                    </wps:txbx>
                    <wps:bodyPr wrap="square" lIns="0" tIns="0" rIns="0" bIns="0" rtlCol="0">
                      <a:noAutofit/>
                    </wps:bodyPr>
                  </wps:wsp>
                </a:graphicData>
              </a:graphic>
            </wp:anchor>
          </w:drawing>
        </mc:Choice>
        <mc:Fallback>
          <w:pict>
            <v:shapetype w14:anchorId="7C4EF6C2" id="_x0000_t202" coordsize="21600,21600" o:spt="202" path="m,l,21600r21600,l21600,xe">
              <v:stroke joinstyle="miter"/>
              <v:path gradientshapeok="t" o:connecttype="rect"/>
            </v:shapetype>
            <v:shape id="Textbox 126" o:spid="_x0000_s1083" type="#_x0000_t202" style="position:absolute;margin-left:41.5pt;margin-top:42.8pt;width:111.45pt;height:13.45pt;z-index:-25206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" filled="f" stroked="f">
              <v:textbox inset="0,0,0,0">
                <w:txbxContent>
                  <w:p w14:paraId="0F834C0B" w14:textId="77777777" w:rsidR="00084F36" w:rsidRDefault="00EB2BD8">
                    <w:pPr>
                      <w:spacing w:before="14"/>
                      <w:ind w:left="20"/>
                      <w:rPr>
                        <w:sz w:val="20"/>
                      </w:rPr>
                    </w:pPr>
                    <w:r>
                      <w:rPr>
                        <w:sz w:val="20"/>
                      </w:rPr>
                      <w:t>Messages</w:t>
                    </w:r>
                    <w:r>
                      <w:rPr>
                        <w:spacing w:val="-9"/>
                        <w:sz w:val="20"/>
                      </w:rPr>
                      <w:t xml:space="preserve"> </w:t>
                    </w:r>
                    <w:r>
                      <w:rPr>
                        <w:sz w:val="20"/>
                      </w:rPr>
                      <w:t>&amp;</w:t>
                    </w:r>
                    <w:r>
                      <w:rPr>
                        <w:spacing w:val="-8"/>
                        <w:sz w:val="20"/>
                      </w:rPr>
                      <w:t xml:space="preserve"> </w:t>
                    </w:r>
                    <w:r>
                      <w:rPr>
                        <w:spacing w:val="-2"/>
                        <w:sz w:val="20"/>
                      </w:rPr>
                      <w:t>Highlights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C67F" w14:textId="77777777" w:rsidR="00084F36" w:rsidRDefault="00084F36">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CC1A9" w14:textId="77777777" w:rsidR="00084F36" w:rsidRDefault="00EB2BD8">
    <w:pPr>
      <w:pStyle w:val="BodyText"/>
      <w:spacing w:line="14" w:lineRule="auto"/>
      <w:rPr>
        <w:sz w:val="20"/>
      </w:rPr>
    </w:pPr>
    <w:r>
      <w:rPr>
        <w:noProof/>
      </w:rPr>
      <mc:AlternateContent>
        <mc:Choice Requires="wpg">
          <w:drawing>
            <wp:anchor distT="0" distB="0" distL="0" distR="0" simplePos="0" relativeHeight="251899904" behindDoc="1" locked="0" layoutInCell="1" allowOverlap="1" wp14:anchorId="5A9889B2" wp14:editId="3C287D20">
              <wp:simplePos x="0" y="0"/>
              <wp:positionH relativeFrom="page">
                <wp:posOffset>0</wp:posOffset>
              </wp:positionH>
              <wp:positionV relativeFrom="page">
                <wp:posOffset>0</wp:posOffset>
              </wp:positionV>
              <wp:extent cx="7560309" cy="469900"/>
              <wp:effectExtent l="0" t="0" r="0" b="0"/>
              <wp:wrapNone/>
              <wp:docPr id="598" name="Group 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599" name="Image 599"/>
                        <pic:cNvPicPr/>
                      </pic:nvPicPr>
                      <pic:blipFill>
                        <a:blip r:embed="rId1" cstate="print"/>
                        <a:stretch>
                          <a:fillRect/>
                        </a:stretch>
                      </pic:blipFill>
                      <pic:spPr>
                        <a:xfrm>
                          <a:off x="0" y="0"/>
                          <a:ext cx="7559992" cy="378002"/>
                        </a:xfrm>
                        <a:prstGeom prst="rect">
                          <a:avLst/>
                        </a:prstGeom>
                      </pic:spPr>
                    </pic:pic>
                    <wps:wsp>
                      <wps:cNvPr id="600" name="Graphic 600"/>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601" name="Graphic 601"/>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7F927E55" id="Group 598" o:spid="_x0000_s1026" alt="&quot;&quot;" style="position:absolute;margin-left:0;margin-top:0;width:595.3pt;height:37pt;z-index:-251416576;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9"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">
                <v:imagedata r:id="rId2" o:title=""/>
              </v:shape>
              <v:shape id="Graphic 600"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" path="m263893,469696l43116,,,,,355650,53606,469696r210287,xem607542,367195l460057,54660r-210947,-12l396278,367131r211264,64xe" fillcolor="#005f83" stroked="f">
                <v:path arrowok="t"/>
              </v:shape>
              <v:shape id="Graphic 601"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1907072" behindDoc="1" locked="0" layoutInCell="1" allowOverlap="1" wp14:anchorId="4CAD0102" wp14:editId="66AFEDAF">
              <wp:simplePos x="0" y="0"/>
              <wp:positionH relativeFrom="page">
                <wp:posOffset>527300</wp:posOffset>
              </wp:positionH>
              <wp:positionV relativeFrom="page">
                <wp:posOffset>543494</wp:posOffset>
              </wp:positionV>
              <wp:extent cx="781050" cy="17081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170815"/>
                      </a:xfrm>
                      <a:prstGeom prst="rect">
                        <a:avLst/>
                      </a:prstGeom>
                    </wps:spPr>
                    <wps:txbx>
                      <w:txbxContent>
                        <w:p w14:paraId="2EF44D31" w14:textId="77777777" w:rsidR="00084F36" w:rsidRDefault="00EB2BD8">
                          <w:pPr>
                            <w:spacing w:before="14"/>
                            <w:ind w:left="20"/>
                            <w:rPr>
                              <w:sz w:val="20"/>
                            </w:rPr>
                          </w:pPr>
                          <w:r>
                            <w:rPr>
                              <w:spacing w:val="-2"/>
                              <w:w w:val="105"/>
                              <w:sz w:val="20"/>
                            </w:rPr>
                            <w:t>Governance</w:t>
                          </w:r>
                        </w:p>
                      </w:txbxContent>
                    </wps:txbx>
                    <wps:bodyPr wrap="square" lIns="0" tIns="0" rIns="0" bIns="0" rtlCol="0">
                      <a:noAutofit/>
                    </wps:bodyPr>
                  </wps:wsp>
                </a:graphicData>
              </a:graphic>
            </wp:anchor>
          </w:drawing>
        </mc:Choice>
        <mc:Fallback>
          <w:pict>
            <v:shapetype w14:anchorId="4CAD0102" id="_x0000_t202" coordsize="21600,21600" o:spt="202" path="m,l,21600r21600,l21600,xe">
              <v:stroke joinstyle="miter"/>
              <v:path gradientshapeok="t" o:connecttype="rect"/>
            </v:shapetype>
            <v:shape id="Textbox 602" o:spid="_x0000_s1126" type="#_x0000_t202" style="position:absolute;margin-left:41.5pt;margin-top:42.8pt;width:61.5pt;height:13.45pt;z-index:-2514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" filled="f" stroked="f">
              <v:textbox inset="0,0,0,0">
                <w:txbxContent>
                  <w:p w14:paraId="2EF44D31" w14:textId="77777777" w:rsidR="00084F36" w:rsidRDefault="00EB2BD8">
                    <w:pPr>
                      <w:spacing w:before="14"/>
                      <w:ind w:left="20"/>
                      <w:rPr>
                        <w:sz w:val="20"/>
                      </w:rPr>
                    </w:pPr>
                    <w:r>
                      <w:rPr>
                        <w:spacing w:val="-2"/>
                        <w:w w:val="105"/>
                        <w:sz w:val="20"/>
                      </w:rPr>
                      <w:t>Governance</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8EC6" w14:textId="77777777" w:rsidR="00084F36" w:rsidRDefault="00084F36">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4C854" w14:textId="77777777" w:rsidR="00084F36" w:rsidRDefault="00EB2BD8">
    <w:pPr>
      <w:pStyle w:val="BodyText"/>
      <w:spacing w:line="14" w:lineRule="auto"/>
      <w:rPr>
        <w:sz w:val="20"/>
      </w:rPr>
    </w:pPr>
    <w:r>
      <w:rPr>
        <w:noProof/>
      </w:rPr>
      <mc:AlternateContent>
        <mc:Choice Requires="wpg">
          <w:drawing>
            <wp:anchor distT="0" distB="0" distL="0" distR="0" simplePos="0" relativeHeight="251928576" behindDoc="1" locked="0" layoutInCell="1" allowOverlap="1" wp14:anchorId="41DAD24C" wp14:editId="78550EB0">
              <wp:simplePos x="0" y="0"/>
              <wp:positionH relativeFrom="page">
                <wp:posOffset>0</wp:posOffset>
              </wp:positionH>
              <wp:positionV relativeFrom="page">
                <wp:posOffset>0</wp:posOffset>
              </wp:positionV>
              <wp:extent cx="7560309" cy="469900"/>
              <wp:effectExtent l="0" t="0" r="0" b="0"/>
              <wp:wrapNone/>
              <wp:docPr id="641" name="Group 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642" name="Image 642"/>
                        <pic:cNvPicPr/>
                      </pic:nvPicPr>
                      <pic:blipFill>
                        <a:blip r:embed="rId1" cstate="print"/>
                        <a:stretch>
                          <a:fillRect/>
                        </a:stretch>
                      </pic:blipFill>
                      <pic:spPr>
                        <a:xfrm>
                          <a:off x="0" y="0"/>
                          <a:ext cx="7559992" cy="378002"/>
                        </a:xfrm>
                        <a:prstGeom prst="rect">
                          <a:avLst/>
                        </a:prstGeom>
                      </pic:spPr>
                    </pic:pic>
                    <wps:wsp>
                      <wps:cNvPr id="643" name="Graphic 643"/>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644" name="Graphic 644"/>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4A619B95" id="Group 641" o:spid="_x0000_s1026" alt="&quot;&quot;" style="position:absolute;margin-left:0;margin-top:0;width:595.3pt;height:37pt;z-index:-251387904;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42"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">
                <v:imagedata r:id="rId2" o:title=""/>
              </v:shape>
              <v:shape id="Graphic 643"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" path="m263893,469696l43116,,,,,355650,53606,469696r210287,xem607542,367195l460057,54660r-210947,-12l396278,367131r211264,64xe" fillcolor="#005f83" stroked="f">
                <v:path arrowok="t"/>
              </v:shape>
              <v:shape id="Graphic 644"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1935744" behindDoc="1" locked="0" layoutInCell="1" allowOverlap="1" wp14:anchorId="7B3D9F2C" wp14:editId="07549722">
              <wp:simplePos x="0" y="0"/>
              <wp:positionH relativeFrom="page">
                <wp:posOffset>527300</wp:posOffset>
              </wp:positionH>
              <wp:positionV relativeFrom="page">
                <wp:posOffset>543494</wp:posOffset>
              </wp:positionV>
              <wp:extent cx="781050" cy="170815"/>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170815"/>
                      </a:xfrm>
                      <a:prstGeom prst="rect">
                        <a:avLst/>
                      </a:prstGeom>
                    </wps:spPr>
                    <wps:txbx>
                      <w:txbxContent>
                        <w:p w14:paraId="3E586CFB" w14:textId="77777777" w:rsidR="00084F36" w:rsidRDefault="00EB2BD8">
                          <w:pPr>
                            <w:spacing w:before="14"/>
                            <w:ind w:left="20"/>
                            <w:rPr>
                              <w:sz w:val="20"/>
                            </w:rPr>
                          </w:pPr>
                          <w:r>
                            <w:rPr>
                              <w:spacing w:val="-2"/>
                              <w:w w:val="105"/>
                              <w:sz w:val="20"/>
                            </w:rPr>
                            <w:t>Governance</w:t>
                          </w:r>
                        </w:p>
                      </w:txbxContent>
                    </wps:txbx>
                    <wps:bodyPr wrap="square" lIns="0" tIns="0" rIns="0" bIns="0" rtlCol="0">
                      <a:noAutofit/>
                    </wps:bodyPr>
                  </wps:wsp>
                </a:graphicData>
              </a:graphic>
            </wp:anchor>
          </w:drawing>
        </mc:Choice>
        <mc:Fallback>
          <w:pict>
            <v:shapetype w14:anchorId="7B3D9F2C" id="_x0000_t202" coordsize="21600,21600" o:spt="202" path="m,l,21600r21600,l21600,xe">
              <v:stroke joinstyle="miter"/>
              <v:path gradientshapeok="t" o:connecttype="rect"/>
            </v:shapetype>
            <v:shape id="Textbox 645" o:spid="_x0000_s1129" type="#_x0000_t202" style="position:absolute;margin-left:41.5pt;margin-top:42.8pt;width:61.5pt;height:13.45pt;z-index:-2513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" filled="f" stroked="f">
              <v:textbox inset="0,0,0,0">
                <w:txbxContent>
                  <w:p w14:paraId="3E586CFB" w14:textId="77777777" w:rsidR="00084F36" w:rsidRDefault="00EB2BD8">
                    <w:pPr>
                      <w:spacing w:before="14"/>
                      <w:ind w:left="20"/>
                      <w:rPr>
                        <w:sz w:val="20"/>
                      </w:rPr>
                    </w:pPr>
                    <w:r>
                      <w:rPr>
                        <w:spacing w:val="-2"/>
                        <w:w w:val="105"/>
                        <w:sz w:val="20"/>
                      </w:rPr>
                      <w:t>Governance</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24218" w14:textId="77777777" w:rsidR="00084F36" w:rsidRDefault="00084F36">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A257E" w14:textId="77777777" w:rsidR="00084F36" w:rsidRDefault="00EB2BD8">
    <w:pPr>
      <w:pStyle w:val="BodyText"/>
      <w:spacing w:line="14" w:lineRule="auto"/>
      <w:rPr>
        <w:sz w:val="20"/>
      </w:rPr>
    </w:pPr>
    <w:r>
      <w:rPr>
        <w:noProof/>
      </w:rPr>
      <mc:AlternateContent>
        <mc:Choice Requires="wpg">
          <w:drawing>
            <wp:anchor distT="0" distB="0" distL="0" distR="0" simplePos="0" relativeHeight="251957248" behindDoc="1" locked="0" layoutInCell="1" allowOverlap="1" wp14:anchorId="73E4ED1E" wp14:editId="72215C83">
              <wp:simplePos x="0" y="0"/>
              <wp:positionH relativeFrom="page">
                <wp:posOffset>0</wp:posOffset>
              </wp:positionH>
              <wp:positionV relativeFrom="page">
                <wp:posOffset>0</wp:posOffset>
              </wp:positionV>
              <wp:extent cx="7560309" cy="469900"/>
              <wp:effectExtent l="0" t="0" r="0" b="0"/>
              <wp:wrapNone/>
              <wp:docPr id="685" name="Group 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686" name="Image 686"/>
                        <pic:cNvPicPr/>
                      </pic:nvPicPr>
                      <pic:blipFill>
                        <a:blip r:embed="rId1" cstate="print"/>
                        <a:stretch>
                          <a:fillRect/>
                        </a:stretch>
                      </pic:blipFill>
                      <pic:spPr>
                        <a:xfrm>
                          <a:off x="0" y="0"/>
                          <a:ext cx="7559992" cy="378002"/>
                        </a:xfrm>
                        <a:prstGeom prst="rect">
                          <a:avLst/>
                        </a:prstGeom>
                      </pic:spPr>
                    </pic:pic>
                    <wps:wsp>
                      <wps:cNvPr id="687" name="Graphic 687"/>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688" name="Graphic 688"/>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07EC2DB7" id="Group 685" o:spid="_x0000_s1026" alt="&quot;&quot;" style="position:absolute;margin-left:0;margin-top:0;width:595.3pt;height:37pt;z-index:-251359232;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6"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">
                <v:imagedata r:id="rId2" o:title=""/>
              </v:shape>
              <v:shape id="Graphic 687"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" path="m263893,469696l43116,,,,,355650,53606,469696r210287,xem607542,367195l460057,54660r-210947,-12l396278,367131r211264,64xe" fillcolor="#005f83" stroked="f">
                <v:path arrowok="t"/>
              </v:shape>
              <v:shape id="Graphic 688"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1964416" behindDoc="1" locked="0" layoutInCell="1" allowOverlap="1" wp14:anchorId="5BF78678" wp14:editId="3D2290CD">
              <wp:simplePos x="0" y="0"/>
              <wp:positionH relativeFrom="page">
                <wp:posOffset>527300</wp:posOffset>
              </wp:positionH>
              <wp:positionV relativeFrom="page">
                <wp:posOffset>543494</wp:posOffset>
              </wp:positionV>
              <wp:extent cx="731520" cy="170815"/>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170815"/>
                      </a:xfrm>
                      <a:prstGeom prst="rect">
                        <a:avLst/>
                      </a:prstGeom>
                    </wps:spPr>
                    <wps:txbx>
                      <w:txbxContent>
                        <w:p w14:paraId="49E93771" w14:textId="77777777" w:rsidR="00084F36" w:rsidRDefault="00EB2BD8">
                          <w:pPr>
                            <w:spacing w:before="14"/>
                            <w:ind w:left="20"/>
                            <w:rPr>
                              <w:sz w:val="20"/>
                            </w:rPr>
                          </w:pPr>
                          <w:r>
                            <w:rPr>
                              <w:spacing w:val="-2"/>
                              <w:sz w:val="20"/>
                            </w:rPr>
                            <w:t>Disclosures</w:t>
                          </w:r>
                        </w:p>
                      </w:txbxContent>
                    </wps:txbx>
                    <wps:bodyPr wrap="square" lIns="0" tIns="0" rIns="0" bIns="0" rtlCol="0">
                      <a:noAutofit/>
                    </wps:bodyPr>
                  </wps:wsp>
                </a:graphicData>
              </a:graphic>
            </wp:anchor>
          </w:drawing>
        </mc:Choice>
        <mc:Fallback>
          <w:pict>
            <v:shapetype w14:anchorId="5BF78678" id="_x0000_t202" coordsize="21600,21600" o:spt="202" path="m,l,21600r21600,l21600,xe">
              <v:stroke joinstyle="miter"/>
              <v:path gradientshapeok="t" o:connecttype="rect"/>
            </v:shapetype>
            <v:shape id="Textbox 689" o:spid="_x0000_s1132" type="#_x0000_t202" style="position:absolute;margin-left:41.5pt;margin-top:42.8pt;width:57.6pt;height:13.45pt;z-index:-2513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" filled="f" stroked="f">
              <v:textbox inset="0,0,0,0">
                <w:txbxContent>
                  <w:p w14:paraId="49E93771" w14:textId="77777777" w:rsidR="00084F36" w:rsidRDefault="00EB2BD8">
                    <w:pPr>
                      <w:spacing w:before="14"/>
                      <w:ind w:left="20"/>
                      <w:rPr>
                        <w:sz w:val="20"/>
                      </w:rPr>
                    </w:pPr>
                    <w:r>
                      <w:rPr>
                        <w:spacing w:val="-2"/>
                        <w:sz w:val="20"/>
                      </w:rPr>
                      <w:t>Disclosures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C1FA" w14:textId="77777777" w:rsidR="00577085" w:rsidRDefault="00577085" w:rsidP="00577085">
    <w:pPr>
      <w:pStyle w:val="Header"/>
      <w:rPr>
        <w:lang w:val="en-AU"/>
      </w:rPr>
    </w:pPr>
  </w:p>
  <w:p w14:paraId="76B1870F" w14:textId="77777777" w:rsidR="00577085" w:rsidRDefault="00577085" w:rsidP="00577085">
    <w:pPr>
      <w:pStyle w:val="Header"/>
      <w:rPr>
        <w:lang w:val="en-AU"/>
      </w:rPr>
    </w:pPr>
  </w:p>
  <w:p w14:paraId="25BA00BC" w14:textId="6401D202" w:rsidR="00084F36" w:rsidRPr="00577085" w:rsidRDefault="00577085" w:rsidP="00577085">
    <w:pPr>
      <w:pStyle w:val="Heading6"/>
    </w:pPr>
    <w:r>
      <w:rPr>
        <w:lang w:val="en-AU"/>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CD5C7" w14:textId="77777777" w:rsidR="00084F36" w:rsidRDefault="00084F36">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3C5FA" w14:textId="3BAD2B9E" w:rsidR="00084F36" w:rsidRDefault="00084F36">
    <w:pPr>
      <w:pStyle w:val="BodyText"/>
      <w:spacing w:line="14" w:lineRule="auto"/>
      <w:rPr>
        <w:sz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0DCB" w14:textId="77777777" w:rsidR="00084F36" w:rsidRDefault="00084F3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325A" w14:textId="7435EBF2" w:rsidR="00084F36" w:rsidRDefault="00084F36">
    <w:pPr>
      <w:pStyle w:val="BodyText"/>
      <w:spacing w:line="14" w:lineRule="auto"/>
      <w:rPr>
        <w:sz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5CFFE" w14:textId="5A675AF5" w:rsidR="00084F36" w:rsidRDefault="00084F36">
    <w:pPr>
      <w:pStyle w:val="BodyText"/>
      <w:spacing w:line="14" w:lineRule="auto"/>
      <w:rPr>
        <w:sz w:val="2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EBD1B" w14:textId="77777777" w:rsidR="00084F36" w:rsidRDefault="00084F36">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F668" w14:textId="77777777" w:rsidR="00084F36" w:rsidRDefault="00084F36">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86BA2" w14:textId="77777777" w:rsidR="00084F36" w:rsidRDefault="00084F36">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65B1" w14:textId="77777777" w:rsidR="00084F36" w:rsidRDefault="00084F36">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919F" w14:textId="77777777" w:rsidR="00084F36" w:rsidRDefault="00084F36">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A94" w14:textId="77777777" w:rsidR="00084F36" w:rsidRDefault="00084F36">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A3DE" w14:textId="77777777" w:rsidR="00084F36" w:rsidRDefault="00084F36">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8E65" w14:textId="77777777" w:rsidR="00084F36" w:rsidRDefault="00084F36">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8764" w14:textId="77777777" w:rsidR="00084F36" w:rsidRDefault="00084F3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A90E" w14:textId="77777777" w:rsidR="00084F36" w:rsidRDefault="00EB2BD8">
    <w:pPr>
      <w:pStyle w:val="BodyText"/>
      <w:spacing w:line="14" w:lineRule="auto"/>
      <w:rPr>
        <w:sz w:val="20"/>
      </w:rPr>
    </w:pPr>
    <w:r>
      <w:rPr>
        <w:noProof/>
      </w:rPr>
      <mc:AlternateContent>
        <mc:Choice Requires="wps">
          <w:drawing>
            <wp:anchor distT="0" distB="0" distL="0" distR="0" simplePos="0" relativeHeight="251254784" behindDoc="1" locked="0" layoutInCell="1" allowOverlap="1" wp14:anchorId="38089E87" wp14:editId="2FB338A2">
              <wp:simplePos x="0" y="0"/>
              <wp:positionH relativeFrom="page">
                <wp:posOffset>527300</wp:posOffset>
              </wp:positionH>
              <wp:positionV relativeFrom="page">
                <wp:posOffset>543494</wp:posOffset>
              </wp:positionV>
              <wp:extent cx="1415415" cy="17081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170815"/>
                      </a:xfrm>
                      <a:prstGeom prst="rect">
                        <a:avLst/>
                      </a:prstGeom>
                    </wps:spPr>
                    <wps:txbx>
                      <w:txbxContent>
                        <w:p w14:paraId="62564DC6" w14:textId="77777777" w:rsidR="00084F36" w:rsidRDefault="00EB2BD8">
                          <w:pPr>
                            <w:spacing w:before="14"/>
                            <w:ind w:left="20"/>
                            <w:rPr>
                              <w:sz w:val="20"/>
                            </w:rPr>
                          </w:pPr>
                          <w:r>
                            <w:rPr>
                              <w:sz w:val="20"/>
                            </w:rPr>
                            <w:t>Messages</w:t>
                          </w:r>
                          <w:r>
                            <w:rPr>
                              <w:spacing w:val="-9"/>
                              <w:sz w:val="20"/>
                            </w:rPr>
                            <w:t xml:space="preserve"> </w:t>
                          </w:r>
                          <w:r>
                            <w:rPr>
                              <w:sz w:val="20"/>
                            </w:rPr>
                            <w:t>&amp;</w:t>
                          </w:r>
                          <w:r>
                            <w:rPr>
                              <w:spacing w:val="-8"/>
                              <w:sz w:val="20"/>
                            </w:rPr>
                            <w:t xml:space="preserve"> </w:t>
                          </w:r>
                          <w:r>
                            <w:rPr>
                              <w:spacing w:val="-2"/>
                              <w:sz w:val="20"/>
                            </w:rPr>
                            <w:t>Highlights</w:t>
                          </w:r>
                        </w:p>
                      </w:txbxContent>
                    </wps:txbx>
                    <wps:bodyPr wrap="square" lIns="0" tIns="0" rIns="0" bIns="0" rtlCol="0">
                      <a:noAutofit/>
                    </wps:bodyPr>
                  </wps:wsp>
                </a:graphicData>
              </a:graphic>
            </wp:anchor>
          </w:drawing>
        </mc:Choice>
        <mc:Fallback>
          <w:pict>
            <v:shapetype w14:anchorId="38089E87" id="_x0000_t202" coordsize="21600,21600" o:spt="202" path="m,l,21600r21600,l21600,xe">
              <v:stroke joinstyle="miter"/>
              <v:path gradientshapeok="t" o:connecttype="rect"/>
            </v:shapetype>
            <v:shape id="Textbox 131" o:spid="_x0000_s1084" type="#_x0000_t202" style="position:absolute;margin-left:41.5pt;margin-top:42.8pt;width:111.45pt;height:13.45pt;z-index:-2520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" filled="f" stroked="f">
              <v:textbox inset="0,0,0,0">
                <w:txbxContent>
                  <w:p w14:paraId="62564DC6" w14:textId="77777777" w:rsidR="00084F36" w:rsidRDefault="00EB2BD8">
                    <w:pPr>
                      <w:spacing w:before="14"/>
                      <w:ind w:left="20"/>
                      <w:rPr>
                        <w:sz w:val="20"/>
                      </w:rPr>
                    </w:pPr>
                    <w:r>
                      <w:rPr>
                        <w:sz w:val="20"/>
                      </w:rPr>
                      <w:t>Messages</w:t>
                    </w:r>
                    <w:r>
                      <w:rPr>
                        <w:spacing w:val="-9"/>
                        <w:sz w:val="20"/>
                      </w:rPr>
                      <w:t xml:space="preserve"> </w:t>
                    </w:r>
                    <w:r>
                      <w:rPr>
                        <w:sz w:val="20"/>
                      </w:rPr>
                      <w:t>&amp;</w:t>
                    </w:r>
                    <w:r>
                      <w:rPr>
                        <w:spacing w:val="-8"/>
                        <w:sz w:val="20"/>
                      </w:rPr>
                      <w:t xml:space="preserve"> </w:t>
                    </w:r>
                    <w:r>
                      <w:rPr>
                        <w:spacing w:val="-2"/>
                        <w:sz w:val="20"/>
                      </w:rPr>
                      <w:t>Highlights</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09813" w14:textId="77777777" w:rsidR="00084F36" w:rsidRDefault="00084F36">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91D9" w14:textId="77777777" w:rsidR="00084F36" w:rsidRDefault="00084F36">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37F8" w14:textId="77777777" w:rsidR="00084F36" w:rsidRDefault="00084F36">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E9AD3" w14:textId="77777777" w:rsidR="00084F36" w:rsidRDefault="00084F36">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C5C51" w14:textId="77777777" w:rsidR="00084F36" w:rsidRDefault="00084F36">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A648" w14:textId="77777777" w:rsidR="00084F36" w:rsidRDefault="00084F36">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4BB29" w14:textId="77777777" w:rsidR="00084F36" w:rsidRDefault="00084F36">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5761" w14:textId="77777777" w:rsidR="00084F36" w:rsidRDefault="00084F36">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7A8C" w14:textId="77777777" w:rsidR="00084F36" w:rsidRDefault="00084F36">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AD56" w14:textId="77777777" w:rsidR="00084F36" w:rsidRDefault="00084F3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9782" w14:textId="4209274F" w:rsidR="00084F36" w:rsidRDefault="00084F36">
    <w:pPr>
      <w:pStyle w:val="BodyText"/>
      <w:spacing w:line="14" w:lineRule="auto"/>
      <w:rPr>
        <w:sz w:val="2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256F" w14:textId="77777777" w:rsidR="00084F36" w:rsidRDefault="00084F36">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380C9" w14:textId="77777777" w:rsidR="00084F36" w:rsidRDefault="00084F36">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A213" w14:textId="77777777" w:rsidR="00084F36" w:rsidRDefault="00084F36">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7B89" w14:textId="77777777" w:rsidR="00084F36" w:rsidRDefault="00084F36">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5C8A8" w14:textId="77777777" w:rsidR="00084F36" w:rsidRDefault="00084F36">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7FE0" w14:textId="77777777" w:rsidR="00084F36" w:rsidRDefault="00084F36">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8A6F4" w14:textId="77777777" w:rsidR="00084F36" w:rsidRDefault="00084F36">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7E1E" w14:textId="77777777" w:rsidR="00084F36" w:rsidRDefault="00084F36">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A9F3E" w14:textId="77777777" w:rsidR="00084F36" w:rsidRDefault="00084F36">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BD54" w14:textId="77777777" w:rsidR="00084F36" w:rsidRDefault="00084F36">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B8C6E" w14:textId="77777777" w:rsidR="00084F36" w:rsidRDefault="00EB2BD8">
    <w:pPr>
      <w:pStyle w:val="BodyText"/>
      <w:spacing w:line="14" w:lineRule="auto"/>
      <w:rPr>
        <w:sz w:val="20"/>
      </w:rPr>
    </w:pPr>
    <w:r>
      <w:rPr>
        <w:noProof/>
      </w:rPr>
      <mc:AlternateContent>
        <mc:Choice Requires="wpg">
          <w:drawing>
            <wp:anchor distT="0" distB="0" distL="0" distR="0" simplePos="0" relativeHeight="251285504" behindDoc="1" locked="0" layoutInCell="1" allowOverlap="1" wp14:anchorId="0B42E8D6" wp14:editId="3967E412">
              <wp:simplePos x="0" y="0"/>
              <wp:positionH relativeFrom="page">
                <wp:posOffset>0</wp:posOffset>
              </wp:positionH>
              <wp:positionV relativeFrom="page">
                <wp:posOffset>0</wp:posOffset>
              </wp:positionV>
              <wp:extent cx="7560309" cy="469900"/>
              <wp:effectExtent l="0" t="0" r="0" b="0"/>
              <wp:wrapNone/>
              <wp:docPr id="148" name="Group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9900"/>
                        <a:chOff x="0" y="0"/>
                        <a:chExt cx="7560309" cy="469900"/>
                      </a:xfrm>
                    </wpg:grpSpPr>
                    <pic:pic xmlns:pic="http://schemas.openxmlformats.org/drawingml/2006/picture">
                      <pic:nvPicPr>
                        <pic:cNvPr id="149" name="Image 149"/>
                        <pic:cNvPicPr/>
                      </pic:nvPicPr>
                      <pic:blipFill>
                        <a:blip r:embed="rId1" cstate="print"/>
                        <a:stretch>
                          <a:fillRect/>
                        </a:stretch>
                      </pic:blipFill>
                      <pic:spPr>
                        <a:xfrm>
                          <a:off x="0" y="0"/>
                          <a:ext cx="7559992" cy="378002"/>
                        </a:xfrm>
                        <a:prstGeom prst="rect">
                          <a:avLst/>
                        </a:prstGeom>
                      </pic:spPr>
                    </pic:pic>
                    <wps:wsp>
                      <wps:cNvPr id="150" name="Graphic 150"/>
                      <wps:cNvSpPr/>
                      <wps:spPr>
                        <a:xfrm>
                          <a:off x="0" y="11"/>
                          <a:ext cx="607695" cy="469900"/>
                        </a:xfrm>
                        <a:custGeom>
                          <a:avLst/>
                          <a:gdLst/>
                          <a:ahLst/>
                          <a:cxnLst/>
                          <a:rect l="l" t="t" r="r" b="b"/>
                          <a:pathLst>
                            <a:path w="607695" h="469900">
                              <a:moveTo>
                                <a:pt x="263893" y="469696"/>
                              </a:moveTo>
                              <a:lnTo>
                                <a:pt x="43116" y="0"/>
                              </a:lnTo>
                              <a:lnTo>
                                <a:pt x="0" y="0"/>
                              </a:lnTo>
                              <a:lnTo>
                                <a:pt x="0" y="355650"/>
                              </a:lnTo>
                              <a:lnTo>
                                <a:pt x="53606" y="469696"/>
                              </a:lnTo>
                              <a:lnTo>
                                <a:pt x="263893" y="469696"/>
                              </a:lnTo>
                              <a:close/>
                            </a:path>
                            <a:path w="607695" h="469900">
                              <a:moveTo>
                                <a:pt x="607542" y="367195"/>
                              </a:moveTo>
                              <a:lnTo>
                                <a:pt x="460057" y="54660"/>
                              </a:lnTo>
                              <a:lnTo>
                                <a:pt x="249110" y="54648"/>
                              </a:lnTo>
                              <a:lnTo>
                                <a:pt x="396278" y="367131"/>
                              </a:lnTo>
                              <a:lnTo>
                                <a:pt x="607542" y="367195"/>
                              </a:lnTo>
                              <a:close/>
                            </a:path>
                          </a:pathLst>
                        </a:custGeom>
                        <a:solidFill>
                          <a:srgbClr val="005F83"/>
                        </a:solidFill>
                      </wps:spPr>
                      <wps:bodyPr wrap="square" lIns="0" tIns="0" rIns="0" bIns="0" rtlCol="0">
                        <a:prstTxWarp prst="textNoShape">
                          <a:avLst/>
                        </a:prstTxWarp>
                        <a:noAutofit/>
                      </wps:bodyPr>
                    </wps:wsp>
                    <wps:wsp>
                      <wps:cNvPr id="151" name="Graphic 151"/>
                      <wps:cNvSpPr/>
                      <wps:spPr>
                        <a:xfrm>
                          <a:off x="52866" y="54616"/>
                          <a:ext cx="407670" cy="415290"/>
                        </a:xfrm>
                        <a:custGeom>
                          <a:avLst/>
                          <a:gdLst/>
                          <a:ahLst/>
                          <a:cxnLst/>
                          <a:rect l="l" t="t" r="r" b="b"/>
                          <a:pathLst>
                            <a:path w="407670" h="415290">
                              <a:moveTo>
                                <a:pt x="407263" y="0"/>
                              </a:moveTo>
                              <a:lnTo>
                                <a:pt x="196215" y="0"/>
                              </a:lnTo>
                              <a:lnTo>
                                <a:pt x="0" y="415086"/>
                              </a:lnTo>
                              <a:lnTo>
                                <a:pt x="211035" y="415086"/>
                              </a:lnTo>
                              <a:lnTo>
                                <a:pt x="407263" y="0"/>
                              </a:lnTo>
                              <a:close/>
                            </a:path>
                          </a:pathLst>
                        </a:custGeom>
                        <a:solidFill>
                          <a:srgbClr val="00DAFF"/>
                        </a:solidFill>
                      </wps:spPr>
                      <wps:bodyPr wrap="square" lIns="0" tIns="0" rIns="0" bIns="0" rtlCol="0">
                        <a:prstTxWarp prst="textNoShape">
                          <a:avLst/>
                        </a:prstTxWarp>
                        <a:noAutofit/>
                      </wps:bodyPr>
                    </wps:wsp>
                  </wpg:wgp>
                </a:graphicData>
              </a:graphic>
            </wp:anchor>
          </w:drawing>
        </mc:Choice>
        <mc:Fallback>
          <w:pict>
            <v:group w14:anchorId="3F7DBB50" id="Group 148" o:spid="_x0000_s1026" alt="&quot;&quot;" style="position:absolute;margin-left:0;margin-top:0;width:595.3pt;height:37pt;z-index:-252030976;mso-wrap-distance-left:0;mso-wrap-distance-right:0;mso-position-horizontal-relative:page;mso-position-vertical-relative:page" coordsize="75603,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9" o:spid="_x0000_s1027" type="#_x0000_t75" style="position:absolute;width:7559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">
                <v:imagedata r:id="rId2" o:title=""/>
              </v:shape>
              <v:shape id="Graphic 150" o:spid="_x0000_s1028" style="position:absolute;width:6076;height:4699;visibility:visible;mso-wrap-style:square;v-text-anchor:top" coordsize="60769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" path="m263893,469696l43116,,,,,355650,53606,469696r210287,xem607542,367195l460057,54660r-210947,-12l396278,367131r211264,64xe" fillcolor="#005f83" stroked="f">
                <v:path arrowok="t"/>
              </v:shape>
              <v:shape id="Graphic 151" o:spid="_x0000_s1029" style="position:absolute;left:528;top:546;width:4077;height:4153;visibility:visible;mso-wrap-style:square;v-text-anchor:top" coordsize="407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" path="m407263,l196215,,,415086r211035,l407263,xe" fillcolor="#00daff" stroked="f">
                <v:path arrowok="t"/>
              </v:shape>
              <w10:wrap anchorx="page" anchory="page"/>
            </v:group>
          </w:pict>
        </mc:Fallback>
      </mc:AlternateContent>
    </w:r>
    <w:r>
      <w:rPr>
        <w:noProof/>
      </w:rPr>
      <mc:AlternateContent>
        <mc:Choice Requires="wps">
          <w:drawing>
            <wp:anchor distT="0" distB="0" distL="0" distR="0" simplePos="0" relativeHeight="251291648" behindDoc="1" locked="0" layoutInCell="1" allowOverlap="1" wp14:anchorId="725BC68D" wp14:editId="5E7DB875">
              <wp:simplePos x="0" y="0"/>
              <wp:positionH relativeFrom="page">
                <wp:posOffset>527300</wp:posOffset>
              </wp:positionH>
              <wp:positionV relativeFrom="page">
                <wp:posOffset>543494</wp:posOffset>
              </wp:positionV>
              <wp:extent cx="1415415" cy="17081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170815"/>
                      </a:xfrm>
                      <a:prstGeom prst="rect">
                        <a:avLst/>
                      </a:prstGeom>
                    </wps:spPr>
                    <wps:txbx>
                      <w:txbxContent>
                        <w:p w14:paraId="57B25DF4" w14:textId="77777777" w:rsidR="00084F36" w:rsidRDefault="00EB2BD8">
                          <w:pPr>
                            <w:spacing w:before="14"/>
                            <w:ind w:left="20"/>
                            <w:rPr>
                              <w:sz w:val="20"/>
                            </w:rPr>
                          </w:pPr>
                          <w:r>
                            <w:rPr>
                              <w:sz w:val="20"/>
                            </w:rPr>
                            <w:t>Messages</w:t>
                          </w:r>
                          <w:r>
                            <w:rPr>
                              <w:spacing w:val="-9"/>
                              <w:sz w:val="20"/>
                            </w:rPr>
                            <w:t xml:space="preserve"> </w:t>
                          </w:r>
                          <w:r>
                            <w:rPr>
                              <w:sz w:val="20"/>
                            </w:rPr>
                            <w:t>&amp;</w:t>
                          </w:r>
                          <w:r>
                            <w:rPr>
                              <w:spacing w:val="-8"/>
                              <w:sz w:val="20"/>
                            </w:rPr>
                            <w:t xml:space="preserve"> </w:t>
                          </w:r>
                          <w:r>
                            <w:rPr>
                              <w:spacing w:val="-2"/>
                              <w:sz w:val="20"/>
                            </w:rPr>
                            <w:t>Highlights</w:t>
                          </w:r>
                        </w:p>
                      </w:txbxContent>
                    </wps:txbx>
                    <wps:bodyPr wrap="square" lIns="0" tIns="0" rIns="0" bIns="0" rtlCol="0">
                      <a:noAutofit/>
                    </wps:bodyPr>
                  </wps:wsp>
                </a:graphicData>
              </a:graphic>
            </wp:anchor>
          </w:drawing>
        </mc:Choice>
        <mc:Fallback>
          <w:pict>
            <v:shapetype w14:anchorId="725BC68D" id="_x0000_t202" coordsize="21600,21600" o:spt="202" path="m,l,21600r21600,l21600,xe">
              <v:stroke joinstyle="miter"/>
              <v:path gradientshapeok="t" o:connecttype="rect"/>
            </v:shapetype>
            <v:shape id="Textbox 152" o:spid="_x0000_s1087" type="#_x0000_t202" style="position:absolute;margin-left:41.5pt;margin-top:42.8pt;width:111.45pt;height:13.45pt;z-index:-25202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" filled="f" stroked="f">
              <v:textbox inset="0,0,0,0">
                <w:txbxContent>
                  <w:p w14:paraId="57B25DF4" w14:textId="77777777" w:rsidR="00084F36" w:rsidRDefault="00EB2BD8">
                    <w:pPr>
                      <w:spacing w:before="14"/>
                      <w:ind w:left="20"/>
                      <w:rPr>
                        <w:sz w:val="20"/>
                      </w:rPr>
                    </w:pPr>
                    <w:r>
                      <w:rPr>
                        <w:sz w:val="20"/>
                      </w:rPr>
                      <w:t>Messages</w:t>
                    </w:r>
                    <w:r>
                      <w:rPr>
                        <w:spacing w:val="-9"/>
                        <w:sz w:val="20"/>
                      </w:rPr>
                      <w:t xml:space="preserve"> </w:t>
                    </w:r>
                    <w:r>
                      <w:rPr>
                        <w:sz w:val="20"/>
                      </w:rPr>
                      <w:t>&amp;</w:t>
                    </w:r>
                    <w:r>
                      <w:rPr>
                        <w:spacing w:val="-8"/>
                        <w:sz w:val="20"/>
                      </w:rPr>
                      <w:t xml:space="preserve"> </w:t>
                    </w:r>
                    <w:r>
                      <w:rPr>
                        <w:spacing w:val="-2"/>
                        <w:sz w:val="20"/>
                      </w:rPr>
                      <w:t>Highlights</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943D" w14:textId="77777777" w:rsidR="00084F36" w:rsidRDefault="00084F36">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BF17B" w14:textId="77777777" w:rsidR="00084F36" w:rsidRDefault="00084F36">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EF69" w14:textId="77777777" w:rsidR="00084F36" w:rsidRDefault="00084F36">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41B9" w14:textId="77777777" w:rsidR="00084F36" w:rsidRDefault="00084F36">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56779" w14:textId="77777777" w:rsidR="00084F36" w:rsidRDefault="00084F36">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8E0B" w14:textId="77777777" w:rsidR="00084F36" w:rsidRDefault="00084F36">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9A4A" w14:textId="77777777" w:rsidR="00084F36" w:rsidRDefault="00084F36">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6CCDE" w14:textId="77777777" w:rsidR="00084F36" w:rsidRDefault="00084F36">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2ED4" w14:textId="77777777" w:rsidR="00084F36" w:rsidRDefault="00084F36">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0FAD3" w14:textId="77777777" w:rsidR="00084F36" w:rsidRDefault="00084F3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4266" w14:textId="53A9927B" w:rsidR="00084F36" w:rsidRDefault="00084F36">
    <w:pPr>
      <w:pStyle w:val="BodyText"/>
      <w:spacing w:line="14" w:lineRule="auto"/>
      <w:rPr>
        <w:sz w:val="2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3D55F" w14:textId="77777777" w:rsidR="00084F36" w:rsidRDefault="00084F36">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2456" w14:textId="77777777" w:rsidR="00084F36" w:rsidRDefault="00084F36">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FCC8E" w14:textId="77777777" w:rsidR="00084F36" w:rsidRDefault="00084F36">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1B85" w14:textId="77777777" w:rsidR="00084F36" w:rsidRDefault="00084F36">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5E06B" w14:textId="77777777" w:rsidR="00084F36" w:rsidRDefault="00084F36">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641A" w14:textId="77777777" w:rsidR="00084F36" w:rsidRDefault="00084F36">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88A13" w14:textId="77777777" w:rsidR="00084F36" w:rsidRDefault="00084F36">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036E8" w14:textId="77777777" w:rsidR="00084F36" w:rsidRDefault="00084F36">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54D6" w14:textId="77777777" w:rsidR="00084F36" w:rsidRDefault="00084F36">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6A7C" w14:textId="77777777" w:rsidR="00084F36" w:rsidRDefault="00084F3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3D11"/>
    <w:multiLevelType w:val="multilevel"/>
    <w:tmpl w:val="10C84378"/>
    <w:lvl w:ilvl="0">
      <w:start w:val="8"/>
      <w:numFmt w:val="decimal"/>
      <w:lvlText w:val="%1"/>
      <w:lvlJc w:val="left"/>
      <w:pPr>
        <w:ind w:left="1773" w:hanging="669"/>
      </w:pPr>
      <w:rPr>
        <w:rFonts w:hint="default"/>
        <w:lang w:val="en-US" w:eastAsia="en-US" w:bidi="ar-SA"/>
      </w:rPr>
    </w:lvl>
    <w:lvl w:ilvl="1">
      <w:start w:val="1"/>
      <w:numFmt w:val="decimal"/>
      <w:lvlText w:val="%1.%2"/>
      <w:lvlJc w:val="left"/>
      <w:pPr>
        <w:ind w:left="1773" w:hanging="669"/>
      </w:pPr>
      <w:rPr>
        <w:rFonts w:ascii="Arial" w:eastAsia="Arial" w:hAnsi="Arial" w:cs="Arial" w:hint="default"/>
        <w:b w:val="0"/>
        <w:bCs w:val="0"/>
        <w:i w:val="0"/>
        <w:iCs w:val="0"/>
        <w:spacing w:val="-1"/>
        <w:w w:val="104"/>
        <w:sz w:val="16"/>
        <w:szCs w:val="16"/>
        <w:lang w:val="en-US" w:eastAsia="en-US" w:bidi="ar-SA"/>
      </w:rPr>
    </w:lvl>
    <w:lvl w:ilvl="2">
      <w:numFmt w:val="bullet"/>
      <w:lvlText w:val="•"/>
      <w:lvlJc w:val="left"/>
      <w:pPr>
        <w:ind w:left="3805" w:hanging="669"/>
      </w:pPr>
      <w:rPr>
        <w:rFonts w:hint="default"/>
        <w:lang w:val="en-US" w:eastAsia="en-US" w:bidi="ar-SA"/>
      </w:rPr>
    </w:lvl>
    <w:lvl w:ilvl="3">
      <w:numFmt w:val="bullet"/>
      <w:lvlText w:val="•"/>
      <w:lvlJc w:val="left"/>
      <w:pPr>
        <w:ind w:left="4817" w:hanging="669"/>
      </w:pPr>
      <w:rPr>
        <w:rFonts w:hint="default"/>
        <w:lang w:val="en-US" w:eastAsia="en-US" w:bidi="ar-SA"/>
      </w:rPr>
    </w:lvl>
    <w:lvl w:ilvl="4">
      <w:numFmt w:val="bullet"/>
      <w:lvlText w:val="•"/>
      <w:lvlJc w:val="left"/>
      <w:pPr>
        <w:ind w:left="5830" w:hanging="669"/>
      </w:pPr>
      <w:rPr>
        <w:rFonts w:hint="default"/>
        <w:lang w:val="en-US" w:eastAsia="en-US" w:bidi="ar-SA"/>
      </w:rPr>
    </w:lvl>
    <w:lvl w:ilvl="5">
      <w:numFmt w:val="bullet"/>
      <w:lvlText w:val="•"/>
      <w:lvlJc w:val="left"/>
      <w:pPr>
        <w:ind w:left="6842" w:hanging="669"/>
      </w:pPr>
      <w:rPr>
        <w:rFonts w:hint="default"/>
        <w:lang w:val="en-US" w:eastAsia="en-US" w:bidi="ar-SA"/>
      </w:rPr>
    </w:lvl>
    <w:lvl w:ilvl="6">
      <w:numFmt w:val="bullet"/>
      <w:lvlText w:val="•"/>
      <w:lvlJc w:val="left"/>
      <w:pPr>
        <w:ind w:left="7855" w:hanging="669"/>
      </w:pPr>
      <w:rPr>
        <w:rFonts w:hint="default"/>
        <w:lang w:val="en-US" w:eastAsia="en-US" w:bidi="ar-SA"/>
      </w:rPr>
    </w:lvl>
    <w:lvl w:ilvl="7">
      <w:numFmt w:val="bullet"/>
      <w:lvlText w:val="•"/>
      <w:lvlJc w:val="left"/>
      <w:pPr>
        <w:ind w:left="8867" w:hanging="669"/>
      </w:pPr>
      <w:rPr>
        <w:rFonts w:hint="default"/>
        <w:lang w:val="en-US" w:eastAsia="en-US" w:bidi="ar-SA"/>
      </w:rPr>
    </w:lvl>
    <w:lvl w:ilvl="8">
      <w:numFmt w:val="bullet"/>
      <w:lvlText w:val="•"/>
      <w:lvlJc w:val="left"/>
      <w:pPr>
        <w:ind w:left="9880" w:hanging="669"/>
      </w:pPr>
      <w:rPr>
        <w:rFonts w:hint="default"/>
        <w:lang w:val="en-US" w:eastAsia="en-US" w:bidi="ar-SA"/>
      </w:rPr>
    </w:lvl>
  </w:abstractNum>
  <w:abstractNum w:abstractNumId="1" w15:restartNumberingAfterBreak="0">
    <w:nsid w:val="021A566B"/>
    <w:multiLevelType w:val="hybridMultilevel"/>
    <w:tmpl w:val="1E6A447C"/>
    <w:lvl w:ilvl="0" w:tplc="CF1632B6">
      <w:numFmt w:val="bullet"/>
      <w:lvlText w:val="•"/>
      <w:lvlJc w:val="left"/>
      <w:pPr>
        <w:ind w:left="728" w:hanging="284"/>
      </w:pPr>
      <w:rPr>
        <w:rFonts w:ascii="Lucida Sans" w:eastAsia="Lucida Sans" w:hAnsi="Lucida Sans" w:cs="Lucida Sans" w:hint="default"/>
        <w:b w:val="0"/>
        <w:bCs w:val="0"/>
        <w:i w:val="0"/>
        <w:iCs w:val="0"/>
        <w:spacing w:val="0"/>
        <w:w w:val="60"/>
        <w:sz w:val="18"/>
        <w:szCs w:val="18"/>
        <w:lang w:val="en-US" w:eastAsia="en-US" w:bidi="ar-SA"/>
      </w:rPr>
    </w:lvl>
    <w:lvl w:ilvl="1" w:tplc="D84EB178">
      <w:numFmt w:val="bullet"/>
      <w:lvlText w:val="•"/>
      <w:lvlJc w:val="left"/>
      <w:pPr>
        <w:ind w:left="1265" w:hanging="284"/>
      </w:pPr>
      <w:rPr>
        <w:rFonts w:hint="default"/>
        <w:lang w:val="en-US" w:eastAsia="en-US" w:bidi="ar-SA"/>
      </w:rPr>
    </w:lvl>
    <w:lvl w:ilvl="2" w:tplc="E940BC3C">
      <w:numFmt w:val="bullet"/>
      <w:lvlText w:val="•"/>
      <w:lvlJc w:val="left"/>
      <w:pPr>
        <w:ind w:left="1810" w:hanging="284"/>
      </w:pPr>
      <w:rPr>
        <w:rFonts w:hint="default"/>
        <w:lang w:val="en-US" w:eastAsia="en-US" w:bidi="ar-SA"/>
      </w:rPr>
    </w:lvl>
    <w:lvl w:ilvl="3" w:tplc="FAB0C70C">
      <w:numFmt w:val="bullet"/>
      <w:lvlText w:val="•"/>
      <w:lvlJc w:val="left"/>
      <w:pPr>
        <w:ind w:left="2355" w:hanging="284"/>
      </w:pPr>
      <w:rPr>
        <w:rFonts w:hint="default"/>
        <w:lang w:val="en-US" w:eastAsia="en-US" w:bidi="ar-SA"/>
      </w:rPr>
    </w:lvl>
    <w:lvl w:ilvl="4" w:tplc="9ABA3B2A">
      <w:numFmt w:val="bullet"/>
      <w:lvlText w:val="•"/>
      <w:lvlJc w:val="left"/>
      <w:pPr>
        <w:ind w:left="2900" w:hanging="284"/>
      </w:pPr>
      <w:rPr>
        <w:rFonts w:hint="default"/>
        <w:lang w:val="en-US" w:eastAsia="en-US" w:bidi="ar-SA"/>
      </w:rPr>
    </w:lvl>
    <w:lvl w:ilvl="5" w:tplc="3266B9CE">
      <w:numFmt w:val="bullet"/>
      <w:lvlText w:val="•"/>
      <w:lvlJc w:val="left"/>
      <w:pPr>
        <w:ind w:left="3445" w:hanging="284"/>
      </w:pPr>
      <w:rPr>
        <w:rFonts w:hint="default"/>
        <w:lang w:val="en-US" w:eastAsia="en-US" w:bidi="ar-SA"/>
      </w:rPr>
    </w:lvl>
    <w:lvl w:ilvl="6" w:tplc="C880831A">
      <w:numFmt w:val="bullet"/>
      <w:lvlText w:val="•"/>
      <w:lvlJc w:val="left"/>
      <w:pPr>
        <w:ind w:left="3990" w:hanging="284"/>
      </w:pPr>
      <w:rPr>
        <w:rFonts w:hint="default"/>
        <w:lang w:val="en-US" w:eastAsia="en-US" w:bidi="ar-SA"/>
      </w:rPr>
    </w:lvl>
    <w:lvl w:ilvl="7" w:tplc="F1AC1CF0">
      <w:numFmt w:val="bullet"/>
      <w:lvlText w:val="•"/>
      <w:lvlJc w:val="left"/>
      <w:pPr>
        <w:ind w:left="4535" w:hanging="284"/>
      </w:pPr>
      <w:rPr>
        <w:rFonts w:hint="default"/>
        <w:lang w:val="en-US" w:eastAsia="en-US" w:bidi="ar-SA"/>
      </w:rPr>
    </w:lvl>
    <w:lvl w:ilvl="8" w:tplc="A6744678">
      <w:numFmt w:val="bullet"/>
      <w:lvlText w:val="•"/>
      <w:lvlJc w:val="left"/>
      <w:pPr>
        <w:ind w:left="5080" w:hanging="284"/>
      </w:pPr>
      <w:rPr>
        <w:rFonts w:hint="default"/>
        <w:lang w:val="en-US" w:eastAsia="en-US" w:bidi="ar-SA"/>
      </w:rPr>
    </w:lvl>
  </w:abstractNum>
  <w:abstractNum w:abstractNumId="2" w15:restartNumberingAfterBreak="0">
    <w:nsid w:val="08247A23"/>
    <w:multiLevelType w:val="hybridMultilevel"/>
    <w:tmpl w:val="C97E79C2"/>
    <w:lvl w:ilvl="0" w:tplc="8E88751C">
      <w:start w:val="1"/>
      <w:numFmt w:val="lowerLetter"/>
      <w:lvlText w:val="(%1)"/>
      <w:lvlJc w:val="left"/>
      <w:pPr>
        <w:ind w:left="1539" w:hanging="471"/>
      </w:pPr>
      <w:rPr>
        <w:rFonts w:ascii="Arial" w:eastAsia="Arial" w:hAnsi="Arial" w:cs="Arial" w:hint="default"/>
        <w:b w:val="0"/>
        <w:bCs w:val="0"/>
        <w:i/>
        <w:iCs/>
        <w:spacing w:val="-1"/>
        <w:w w:val="99"/>
        <w:sz w:val="16"/>
        <w:szCs w:val="16"/>
        <w:lang w:val="en-US" w:eastAsia="en-US" w:bidi="ar-SA"/>
      </w:rPr>
    </w:lvl>
    <w:lvl w:ilvl="1" w:tplc="51E2BBB2">
      <w:numFmt w:val="bullet"/>
      <w:lvlText w:val="•"/>
      <w:lvlJc w:val="left"/>
      <w:pPr>
        <w:ind w:left="2576" w:hanging="471"/>
      </w:pPr>
      <w:rPr>
        <w:rFonts w:hint="default"/>
        <w:lang w:val="en-US" w:eastAsia="en-US" w:bidi="ar-SA"/>
      </w:rPr>
    </w:lvl>
    <w:lvl w:ilvl="2" w:tplc="25C07BEE">
      <w:numFmt w:val="bullet"/>
      <w:lvlText w:val="•"/>
      <w:lvlJc w:val="left"/>
      <w:pPr>
        <w:ind w:left="3613" w:hanging="471"/>
      </w:pPr>
      <w:rPr>
        <w:rFonts w:hint="default"/>
        <w:lang w:val="en-US" w:eastAsia="en-US" w:bidi="ar-SA"/>
      </w:rPr>
    </w:lvl>
    <w:lvl w:ilvl="3" w:tplc="FEB643FC">
      <w:numFmt w:val="bullet"/>
      <w:lvlText w:val="•"/>
      <w:lvlJc w:val="left"/>
      <w:pPr>
        <w:ind w:left="4649" w:hanging="471"/>
      </w:pPr>
      <w:rPr>
        <w:rFonts w:hint="default"/>
        <w:lang w:val="en-US" w:eastAsia="en-US" w:bidi="ar-SA"/>
      </w:rPr>
    </w:lvl>
    <w:lvl w:ilvl="4" w:tplc="6A38566A">
      <w:numFmt w:val="bullet"/>
      <w:lvlText w:val="•"/>
      <w:lvlJc w:val="left"/>
      <w:pPr>
        <w:ind w:left="5686" w:hanging="471"/>
      </w:pPr>
      <w:rPr>
        <w:rFonts w:hint="default"/>
        <w:lang w:val="en-US" w:eastAsia="en-US" w:bidi="ar-SA"/>
      </w:rPr>
    </w:lvl>
    <w:lvl w:ilvl="5" w:tplc="ACFE2E7E">
      <w:numFmt w:val="bullet"/>
      <w:lvlText w:val="•"/>
      <w:lvlJc w:val="left"/>
      <w:pPr>
        <w:ind w:left="6722" w:hanging="471"/>
      </w:pPr>
      <w:rPr>
        <w:rFonts w:hint="default"/>
        <w:lang w:val="en-US" w:eastAsia="en-US" w:bidi="ar-SA"/>
      </w:rPr>
    </w:lvl>
    <w:lvl w:ilvl="6" w:tplc="FBEEA184">
      <w:numFmt w:val="bullet"/>
      <w:lvlText w:val="•"/>
      <w:lvlJc w:val="left"/>
      <w:pPr>
        <w:ind w:left="7759" w:hanging="471"/>
      </w:pPr>
      <w:rPr>
        <w:rFonts w:hint="default"/>
        <w:lang w:val="en-US" w:eastAsia="en-US" w:bidi="ar-SA"/>
      </w:rPr>
    </w:lvl>
    <w:lvl w:ilvl="7" w:tplc="CE74ACFA">
      <w:numFmt w:val="bullet"/>
      <w:lvlText w:val="•"/>
      <w:lvlJc w:val="left"/>
      <w:pPr>
        <w:ind w:left="8795" w:hanging="471"/>
      </w:pPr>
      <w:rPr>
        <w:rFonts w:hint="default"/>
        <w:lang w:val="en-US" w:eastAsia="en-US" w:bidi="ar-SA"/>
      </w:rPr>
    </w:lvl>
    <w:lvl w:ilvl="8" w:tplc="85188CE8">
      <w:numFmt w:val="bullet"/>
      <w:lvlText w:val="•"/>
      <w:lvlJc w:val="left"/>
      <w:pPr>
        <w:ind w:left="9832" w:hanging="471"/>
      </w:pPr>
      <w:rPr>
        <w:rFonts w:hint="default"/>
        <w:lang w:val="en-US" w:eastAsia="en-US" w:bidi="ar-SA"/>
      </w:rPr>
    </w:lvl>
  </w:abstractNum>
  <w:abstractNum w:abstractNumId="3" w15:restartNumberingAfterBreak="0">
    <w:nsid w:val="082C22B4"/>
    <w:multiLevelType w:val="hybridMultilevel"/>
    <w:tmpl w:val="3648DF4E"/>
    <w:lvl w:ilvl="0" w:tplc="3CAE7388">
      <w:start w:val="1"/>
      <w:numFmt w:val="lowerLetter"/>
      <w:lvlText w:val="(%1)"/>
      <w:lvlJc w:val="left"/>
      <w:pPr>
        <w:ind w:left="1660" w:hanging="336"/>
      </w:pPr>
      <w:rPr>
        <w:rFonts w:ascii="Calibri" w:eastAsia="Calibri" w:hAnsi="Calibri" w:cs="Calibri" w:hint="default"/>
        <w:b w:val="0"/>
        <w:bCs w:val="0"/>
        <w:i w:val="0"/>
        <w:iCs w:val="0"/>
        <w:spacing w:val="-1"/>
        <w:w w:val="101"/>
        <w:sz w:val="20"/>
        <w:szCs w:val="20"/>
        <w:lang w:val="en-US" w:eastAsia="en-US" w:bidi="ar-SA"/>
      </w:rPr>
    </w:lvl>
    <w:lvl w:ilvl="1" w:tplc="BF6E95DC">
      <w:numFmt w:val="bullet"/>
      <w:lvlText w:val="•"/>
      <w:lvlJc w:val="left"/>
      <w:pPr>
        <w:ind w:left="2684" w:hanging="336"/>
      </w:pPr>
      <w:rPr>
        <w:rFonts w:hint="default"/>
        <w:lang w:val="en-US" w:eastAsia="en-US" w:bidi="ar-SA"/>
      </w:rPr>
    </w:lvl>
    <w:lvl w:ilvl="2" w:tplc="B9DA5F3E">
      <w:numFmt w:val="bullet"/>
      <w:lvlText w:val="•"/>
      <w:lvlJc w:val="left"/>
      <w:pPr>
        <w:ind w:left="3709" w:hanging="336"/>
      </w:pPr>
      <w:rPr>
        <w:rFonts w:hint="default"/>
        <w:lang w:val="en-US" w:eastAsia="en-US" w:bidi="ar-SA"/>
      </w:rPr>
    </w:lvl>
    <w:lvl w:ilvl="3" w:tplc="43D48F82">
      <w:numFmt w:val="bullet"/>
      <w:lvlText w:val="•"/>
      <w:lvlJc w:val="left"/>
      <w:pPr>
        <w:ind w:left="4733" w:hanging="336"/>
      </w:pPr>
      <w:rPr>
        <w:rFonts w:hint="default"/>
        <w:lang w:val="en-US" w:eastAsia="en-US" w:bidi="ar-SA"/>
      </w:rPr>
    </w:lvl>
    <w:lvl w:ilvl="4" w:tplc="E7A07968">
      <w:numFmt w:val="bullet"/>
      <w:lvlText w:val="•"/>
      <w:lvlJc w:val="left"/>
      <w:pPr>
        <w:ind w:left="5758" w:hanging="336"/>
      </w:pPr>
      <w:rPr>
        <w:rFonts w:hint="default"/>
        <w:lang w:val="en-US" w:eastAsia="en-US" w:bidi="ar-SA"/>
      </w:rPr>
    </w:lvl>
    <w:lvl w:ilvl="5" w:tplc="2BF01F3E">
      <w:numFmt w:val="bullet"/>
      <w:lvlText w:val="•"/>
      <w:lvlJc w:val="left"/>
      <w:pPr>
        <w:ind w:left="6782" w:hanging="336"/>
      </w:pPr>
      <w:rPr>
        <w:rFonts w:hint="default"/>
        <w:lang w:val="en-US" w:eastAsia="en-US" w:bidi="ar-SA"/>
      </w:rPr>
    </w:lvl>
    <w:lvl w:ilvl="6" w:tplc="F8021C90">
      <w:numFmt w:val="bullet"/>
      <w:lvlText w:val="•"/>
      <w:lvlJc w:val="left"/>
      <w:pPr>
        <w:ind w:left="7807" w:hanging="336"/>
      </w:pPr>
      <w:rPr>
        <w:rFonts w:hint="default"/>
        <w:lang w:val="en-US" w:eastAsia="en-US" w:bidi="ar-SA"/>
      </w:rPr>
    </w:lvl>
    <w:lvl w:ilvl="7" w:tplc="3B22FBEA">
      <w:numFmt w:val="bullet"/>
      <w:lvlText w:val="•"/>
      <w:lvlJc w:val="left"/>
      <w:pPr>
        <w:ind w:left="8831" w:hanging="336"/>
      </w:pPr>
      <w:rPr>
        <w:rFonts w:hint="default"/>
        <w:lang w:val="en-US" w:eastAsia="en-US" w:bidi="ar-SA"/>
      </w:rPr>
    </w:lvl>
    <w:lvl w:ilvl="8" w:tplc="04429E00">
      <w:numFmt w:val="bullet"/>
      <w:lvlText w:val="•"/>
      <w:lvlJc w:val="left"/>
      <w:pPr>
        <w:ind w:left="9856" w:hanging="336"/>
      </w:pPr>
      <w:rPr>
        <w:rFonts w:hint="default"/>
        <w:lang w:val="en-US" w:eastAsia="en-US" w:bidi="ar-SA"/>
      </w:rPr>
    </w:lvl>
  </w:abstractNum>
  <w:abstractNum w:abstractNumId="4" w15:restartNumberingAfterBreak="0">
    <w:nsid w:val="09110DD0"/>
    <w:multiLevelType w:val="hybridMultilevel"/>
    <w:tmpl w:val="3330FEBC"/>
    <w:lvl w:ilvl="0" w:tplc="27426370">
      <w:start w:val="1"/>
      <w:numFmt w:val="lowerLetter"/>
      <w:lvlText w:val="(%1)"/>
      <w:lvlJc w:val="left"/>
      <w:pPr>
        <w:ind w:left="1413" w:hanging="337"/>
      </w:pPr>
      <w:rPr>
        <w:rFonts w:ascii="Arial" w:eastAsia="Arial" w:hAnsi="Arial" w:cs="Arial" w:hint="default"/>
        <w:b w:val="0"/>
        <w:bCs w:val="0"/>
        <w:i/>
        <w:iCs/>
        <w:spacing w:val="-2"/>
        <w:w w:val="98"/>
        <w:sz w:val="15"/>
        <w:szCs w:val="15"/>
        <w:lang w:val="en-US" w:eastAsia="en-US" w:bidi="ar-SA"/>
      </w:rPr>
    </w:lvl>
    <w:lvl w:ilvl="1" w:tplc="401026A6">
      <w:numFmt w:val="bullet"/>
      <w:lvlText w:val="•"/>
      <w:lvlJc w:val="left"/>
      <w:pPr>
        <w:ind w:left="2468" w:hanging="337"/>
      </w:pPr>
      <w:rPr>
        <w:rFonts w:hint="default"/>
        <w:lang w:val="en-US" w:eastAsia="en-US" w:bidi="ar-SA"/>
      </w:rPr>
    </w:lvl>
    <w:lvl w:ilvl="2" w:tplc="1F6A7B62">
      <w:numFmt w:val="bullet"/>
      <w:lvlText w:val="•"/>
      <w:lvlJc w:val="left"/>
      <w:pPr>
        <w:ind w:left="3517" w:hanging="337"/>
      </w:pPr>
      <w:rPr>
        <w:rFonts w:hint="default"/>
        <w:lang w:val="en-US" w:eastAsia="en-US" w:bidi="ar-SA"/>
      </w:rPr>
    </w:lvl>
    <w:lvl w:ilvl="3" w:tplc="E794DEBE">
      <w:numFmt w:val="bullet"/>
      <w:lvlText w:val="•"/>
      <w:lvlJc w:val="left"/>
      <w:pPr>
        <w:ind w:left="4565" w:hanging="337"/>
      </w:pPr>
      <w:rPr>
        <w:rFonts w:hint="default"/>
        <w:lang w:val="en-US" w:eastAsia="en-US" w:bidi="ar-SA"/>
      </w:rPr>
    </w:lvl>
    <w:lvl w:ilvl="4" w:tplc="BFFC9872">
      <w:numFmt w:val="bullet"/>
      <w:lvlText w:val="•"/>
      <w:lvlJc w:val="left"/>
      <w:pPr>
        <w:ind w:left="5614" w:hanging="337"/>
      </w:pPr>
      <w:rPr>
        <w:rFonts w:hint="default"/>
        <w:lang w:val="en-US" w:eastAsia="en-US" w:bidi="ar-SA"/>
      </w:rPr>
    </w:lvl>
    <w:lvl w:ilvl="5" w:tplc="D834E76C">
      <w:numFmt w:val="bullet"/>
      <w:lvlText w:val="•"/>
      <w:lvlJc w:val="left"/>
      <w:pPr>
        <w:ind w:left="6662" w:hanging="337"/>
      </w:pPr>
      <w:rPr>
        <w:rFonts w:hint="default"/>
        <w:lang w:val="en-US" w:eastAsia="en-US" w:bidi="ar-SA"/>
      </w:rPr>
    </w:lvl>
    <w:lvl w:ilvl="6" w:tplc="C0AC2764">
      <w:numFmt w:val="bullet"/>
      <w:lvlText w:val="•"/>
      <w:lvlJc w:val="left"/>
      <w:pPr>
        <w:ind w:left="7711" w:hanging="337"/>
      </w:pPr>
      <w:rPr>
        <w:rFonts w:hint="default"/>
        <w:lang w:val="en-US" w:eastAsia="en-US" w:bidi="ar-SA"/>
      </w:rPr>
    </w:lvl>
    <w:lvl w:ilvl="7" w:tplc="A076669E">
      <w:numFmt w:val="bullet"/>
      <w:lvlText w:val="•"/>
      <w:lvlJc w:val="left"/>
      <w:pPr>
        <w:ind w:left="8759" w:hanging="337"/>
      </w:pPr>
      <w:rPr>
        <w:rFonts w:hint="default"/>
        <w:lang w:val="en-US" w:eastAsia="en-US" w:bidi="ar-SA"/>
      </w:rPr>
    </w:lvl>
    <w:lvl w:ilvl="8" w:tplc="517EE3D6">
      <w:numFmt w:val="bullet"/>
      <w:lvlText w:val="•"/>
      <w:lvlJc w:val="left"/>
      <w:pPr>
        <w:ind w:left="9808" w:hanging="337"/>
      </w:pPr>
      <w:rPr>
        <w:rFonts w:hint="default"/>
        <w:lang w:val="en-US" w:eastAsia="en-US" w:bidi="ar-SA"/>
      </w:rPr>
    </w:lvl>
  </w:abstractNum>
  <w:abstractNum w:abstractNumId="5" w15:restartNumberingAfterBreak="0">
    <w:nsid w:val="0A2C7861"/>
    <w:multiLevelType w:val="hybridMultilevel"/>
    <w:tmpl w:val="FCC4879C"/>
    <w:lvl w:ilvl="0" w:tplc="CF8264DE">
      <w:start w:val="1"/>
      <w:numFmt w:val="lowerLetter"/>
      <w:lvlText w:val="(%1)"/>
      <w:lvlJc w:val="left"/>
      <w:pPr>
        <w:ind w:left="1456" w:hanging="398"/>
      </w:pPr>
      <w:rPr>
        <w:rFonts w:ascii="Arial" w:eastAsia="Arial" w:hAnsi="Arial" w:cs="Arial" w:hint="default"/>
        <w:b w:val="0"/>
        <w:bCs w:val="0"/>
        <w:i/>
        <w:iCs/>
        <w:spacing w:val="-1"/>
        <w:w w:val="99"/>
        <w:sz w:val="16"/>
        <w:szCs w:val="16"/>
        <w:lang w:val="en-US" w:eastAsia="en-US" w:bidi="ar-SA"/>
      </w:rPr>
    </w:lvl>
    <w:lvl w:ilvl="1" w:tplc="2E3C266C">
      <w:numFmt w:val="bullet"/>
      <w:lvlText w:val="•"/>
      <w:lvlJc w:val="left"/>
      <w:pPr>
        <w:ind w:left="2504" w:hanging="398"/>
      </w:pPr>
      <w:rPr>
        <w:rFonts w:hint="default"/>
        <w:lang w:val="en-US" w:eastAsia="en-US" w:bidi="ar-SA"/>
      </w:rPr>
    </w:lvl>
    <w:lvl w:ilvl="2" w:tplc="50FE7F6A">
      <w:numFmt w:val="bullet"/>
      <w:lvlText w:val="•"/>
      <w:lvlJc w:val="left"/>
      <w:pPr>
        <w:ind w:left="3549" w:hanging="398"/>
      </w:pPr>
      <w:rPr>
        <w:rFonts w:hint="default"/>
        <w:lang w:val="en-US" w:eastAsia="en-US" w:bidi="ar-SA"/>
      </w:rPr>
    </w:lvl>
    <w:lvl w:ilvl="3" w:tplc="79DA3126">
      <w:numFmt w:val="bullet"/>
      <w:lvlText w:val="•"/>
      <w:lvlJc w:val="left"/>
      <w:pPr>
        <w:ind w:left="4593" w:hanging="398"/>
      </w:pPr>
      <w:rPr>
        <w:rFonts w:hint="default"/>
        <w:lang w:val="en-US" w:eastAsia="en-US" w:bidi="ar-SA"/>
      </w:rPr>
    </w:lvl>
    <w:lvl w:ilvl="4" w:tplc="CD06D628">
      <w:numFmt w:val="bullet"/>
      <w:lvlText w:val="•"/>
      <w:lvlJc w:val="left"/>
      <w:pPr>
        <w:ind w:left="5638" w:hanging="398"/>
      </w:pPr>
      <w:rPr>
        <w:rFonts w:hint="default"/>
        <w:lang w:val="en-US" w:eastAsia="en-US" w:bidi="ar-SA"/>
      </w:rPr>
    </w:lvl>
    <w:lvl w:ilvl="5" w:tplc="662866FE">
      <w:numFmt w:val="bullet"/>
      <w:lvlText w:val="•"/>
      <w:lvlJc w:val="left"/>
      <w:pPr>
        <w:ind w:left="6682" w:hanging="398"/>
      </w:pPr>
      <w:rPr>
        <w:rFonts w:hint="default"/>
        <w:lang w:val="en-US" w:eastAsia="en-US" w:bidi="ar-SA"/>
      </w:rPr>
    </w:lvl>
    <w:lvl w:ilvl="6" w:tplc="8E18C72E">
      <w:numFmt w:val="bullet"/>
      <w:lvlText w:val="•"/>
      <w:lvlJc w:val="left"/>
      <w:pPr>
        <w:ind w:left="7727" w:hanging="398"/>
      </w:pPr>
      <w:rPr>
        <w:rFonts w:hint="default"/>
        <w:lang w:val="en-US" w:eastAsia="en-US" w:bidi="ar-SA"/>
      </w:rPr>
    </w:lvl>
    <w:lvl w:ilvl="7" w:tplc="BBDEAE7A">
      <w:numFmt w:val="bullet"/>
      <w:lvlText w:val="•"/>
      <w:lvlJc w:val="left"/>
      <w:pPr>
        <w:ind w:left="8771" w:hanging="398"/>
      </w:pPr>
      <w:rPr>
        <w:rFonts w:hint="default"/>
        <w:lang w:val="en-US" w:eastAsia="en-US" w:bidi="ar-SA"/>
      </w:rPr>
    </w:lvl>
    <w:lvl w:ilvl="8" w:tplc="1C3EF53C">
      <w:numFmt w:val="bullet"/>
      <w:lvlText w:val="•"/>
      <w:lvlJc w:val="left"/>
      <w:pPr>
        <w:ind w:left="9816" w:hanging="398"/>
      </w:pPr>
      <w:rPr>
        <w:rFonts w:hint="default"/>
        <w:lang w:val="en-US" w:eastAsia="en-US" w:bidi="ar-SA"/>
      </w:rPr>
    </w:lvl>
  </w:abstractNum>
  <w:abstractNum w:abstractNumId="6" w15:restartNumberingAfterBreak="0">
    <w:nsid w:val="0B0D1835"/>
    <w:multiLevelType w:val="hybridMultilevel"/>
    <w:tmpl w:val="B0288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BB77B9"/>
    <w:multiLevelType w:val="hybridMultilevel"/>
    <w:tmpl w:val="9DE4A316"/>
    <w:lvl w:ilvl="0" w:tplc="1EBEB738">
      <w:numFmt w:val="bullet"/>
      <w:lvlText w:val="•"/>
      <w:lvlJc w:val="left"/>
      <w:pPr>
        <w:ind w:left="1133" w:hanging="284"/>
      </w:pPr>
      <w:rPr>
        <w:rFonts w:ascii="Lucida Sans" w:eastAsia="Lucida Sans" w:hAnsi="Lucida Sans" w:cs="Lucida Sans" w:hint="default"/>
        <w:b w:val="0"/>
        <w:bCs w:val="0"/>
        <w:i w:val="0"/>
        <w:iCs w:val="0"/>
        <w:spacing w:val="0"/>
        <w:w w:val="60"/>
        <w:sz w:val="18"/>
        <w:szCs w:val="18"/>
        <w:lang w:val="en-US" w:eastAsia="en-US" w:bidi="ar-SA"/>
      </w:rPr>
    </w:lvl>
    <w:lvl w:ilvl="1" w:tplc="65ACEC10">
      <w:numFmt w:val="bullet"/>
      <w:lvlText w:val="•"/>
      <w:lvlJc w:val="left"/>
      <w:pPr>
        <w:ind w:left="1597" w:hanging="284"/>
      </w:pPr>
      <w:rPr>
        <w:rFonts w:hint="default"/>
        <w:lang w:val="en-US" w:eastAsia="en-US" w:bidi="ar-SA"/>
      </w:rPr>
    </w:lvl>
    <w:lvl w:ilvl="2" w:tplc="E4CACEC4">
      <w:numFmt w:val="bullet"/>
      <w:lvlText w:val="•"/>
      <w:lvlJc w:val="left"/>
      <w:pPr>
        <w:ind w:left="2054" w:hanging="284"/>
      </w:pPr>
      <w:rPr>
        <w:rFonts w:hint="default"/>
        <w:lang w:val="en-US" w:eastAsia="en-US" w:bidi="ar-SA"/>
      </w:rPr>
    </w:lvl>
    <w:lvl w:ilvl="3" w:tplc="C97AD630">
      <w:numFmt w:val="bullet"/>
      <w:lvlText w:val="•"/>
      <w:lvlJc w:val="left"/>
      <w:pPr>
        <w:ind w:left="2512" w:hanging="284"/>
      </w:pPr>
      <w:rPr>
        <w:rFonts w:hint="default"/>
        <w:lang w:val="en-US" w:eastAsia="en-US" w:bidi="ar-SA"/>
      </w:rPr>
    </w:lvl>
    <w:lvl w:ilvl="4" w:tplc="A08A6628">
      <w:numFmt w:val="bullet"/>
      <w:lvlText w:val="•"/>
      <w:lvlJc w:val="left"/>
      <w:pPr>
        <w:ind w:left="2969" w:hanging="284"/>
      </w:pPr>
      <w:rPr>
        <w:rFonts w:hint="default"/>
        <w:lang w:val="en-US" w:eastAsia="en-US" w:bidi="ar-SA"/>
      </w:rPr>
    </w:lvl>
    <w:lvl w:ilvl="5" w:tplc="9640B36A">
      <w:numFmt w:val="bullet"/>
      <w:lvlText w:val="•"/>
      <w:lvlJc w:val="left"/>
      <w:pPr>
        <w:ind w:left="3426" w:hanging="284"/>
      </w:pPr>
      <w:rPr>
        <w:rFonts w:hint="default"/>
        <w:lang w:val="en-US" w:eastAsia="en-US" w:bidi="ar-SA"/>
      </w:rPr>
    </w:lvl>
    <w:lvl w:ilvl="6" w:tplc="5E706D0A">
      <w:numFmt w:val="bullet"/>
      <w:lvlText w:val="•"/>
      <w:lvlJc w:val="left"/>
      <w:pPr>
        <w:ind w:left="3884" w:hanging="284"/>
      </w:pPr>
      <w:rPr>
        <w:rFonts w:hint="default"/>
        <w:lang w:val="en-US" w:eastAsia="en-US" w:bidi="ar-SA"/>
      </w:rPr>
    </w:lvl>
    <w:lvl w:ilvl="7" w:tplc="A794772A">
      <w:numFmt w:val="bullet"/>
      <w:lvlText w:val="•"/>
      <w:lvlJc w:val="left"/>
      <w:pPr>
        <w:ind w:left="4341" w:hanging="284"/>
      </w:pPr>
      <w:rPr>
        <w:rFonts w:hint="default"/>
        <w:lang w:val="en-US" w:eastAsia="en-US" w:bidi="ar-SA"/>
      </w:rPr>
    </w:lvl>
    <w:lvl w:ilvl="8" w:tplc="EC24A3EE">
      <w:numFmt w:val="bullet"/>
      <w:lvlText w:val="•"/>
      <w:lvlJc w:val="left"/>
      <w:pPr>
        <w:ind w:left="4798" w:hanging="284"/>
      </w:pPr>
      <w:rPr>
        <w:rFonts w:hint="default"/>
        <w:lang w:val="en-US" w:eastAsia="en-US" w:bidi="ar-SA"/>
      </w:rPr>
    </w:lvl>
  </w:abstractNum>
  <w:abstractNum w:abstractNumId="8" w15:restartNumberingAfterBreak="0">
    <w:nsid w:val="0F0E3B2F"/>
    <w:multiLevelType w:val="hybridMultilevel"/>
    <w:tmpl w:val="806C4E28"/>
    <w:lvl w:ilvl="0" w:tplc="BC9C340C">
      <w:start w:val="1"/>
      <w:numFmt w:val="lowerLetter"/>
      <w:lvlText w:val="(%1)"/>
      <w:lvlJc w:val="left"/>
      <w:pPr>
        <w:ind w:left="1660" w:hanging="336"/>
      </w:pPr>
      <w:rPr>
        <w:rFonts w:ascii="Calibri" w:eastAsia="Calibri" w:hAnsi="Calibri" w:cs="Calibri" w:hint="default"/>
        <w:b w:val="0"/>
        <w:bCs w:val="0"/>
        <w:i w:val="0"/>
        <w:iCs w:val="0"/>
        <w:spacing w:val="-1"/>
        <w:w w:val="101"/>
        <w:sz w:val="20"/>
        <w:szCs w:val="20"/>
        <w:lang w:val="en-US" w:eastAsia="en-US" w:bidi="ar-SA"/>
      </w:rPr>
    </w:lvl>
    <w:lvl w:ilvl="1" w:tplc="0A5483D8">
      <w:numFmt w:val="bullet"/>
      <w:lvlText w:val="•"/>
      <w:lvlJc w:val="left"/>
      <w:pPr>
        <w:ind w:left="2684" w:hanging="336"/>
      </w:pPr>
      <w:rPr>
        <w:rFonts w:hint="default"/>
        <w:lang w:val="en-US" w:eastAsia="en-US" w:bidi="ar-SA"/>
      </w:rPr>
    </w:lvl>
    <w:lvl w:ilvl="2" w:tplc="627C930A">
      <w:numFmt w:val="bullet"/>
      <w:lvlText w:val="•"/>
      <w:lvlJc w:val="left"/>
      <w:pPr>
        <w:ind w:left="3709" w:hanging="336"/>
      </w:pPr>
      <w:rPr>
        <w:rFonts w:hint="default"/>
        <w:lang w:val="en-US" w:eastAsia="en-US" w:bidi="ar-SA"/>
      </w:rPr>
    </w:lvl>
    <w:lvl w:ilvl="3" w:tplc="646AB99E">
      <w:numFmt w:val="bullet"/>
      <w:lvlText w:val="•"/>
      <w:lvlJc w:val="left"/>
      <w:pPr>
        <w:ind w:left="4733" w:hanging="336"/>
      </w:pPr>
      <w:rPr>
        <w:rFonts w:hint="default"/>
        <w:lang w:val="en-US" w:eastAsia="en-US" w:bidi="ar-SA"/>
      </w:rPr>
    </w:lvl>
    <w:lvl w:ilvl="4" w:tplc="6518CCD6">
      <w:numFmt w:val="bullet"/>
      <w:lvlText w:val="•"/>
      <w:lvlJc w:val="left"/>
      <w:pPr>
        <w:ind w:left="5758" w:hanging="336"/>
      </w:pPr>
      <w:rPr>
        <w:rFonts w:hint="default"/>
        <w:lang w:val="en-US" w:eastAsia="en-US" w:bidi="ar-SA"/>
      </w:rPr>
    </w:lvl>
    <w:lvl w:ilvl="5" w:tplc="B804E954">
      <w:numFmt w:val="bullet"/>
      <w:lvlText w:val="•"/>
      <w:lvlJc w:val="left"/>
      <w:pPr>
        <w:ind w:left="6782" w:hanging="336"/>
      </w:pPr>
      <w:rPr>
        <w:rFonts w:hint="default"/>
        <w:lang w:val="en-US" w:eastAsia="en-US" w:bidi="ar-SA"/>
      </w:rPr>
    </w:lvl>
    <w:lvl w:ilvl="6" w:tplc="0232B798">
      <w:numFmt w:val="bullet"/>
      <w:lvlText w:val="•"/>
      <w:lvlJc w:val="left"/>
      <w:pPr>
        <w:ind w:left="7807" w:hanging="336"/>
      </w:pPr>
      <w:rPr>
        <w:rFonts w:hint="default"/>
        <w:lang w:val="en-US" w:eastAsia="en-US" w:bidi="ar-SA"/>
      </w:rPr>
    </w:lvl>
    <w:lvl w:ilvl="7" w:tplc="CA523472">
      <w:numFmt w:val="bullet"/>
      <w:lvlText w:val="•"/>
      <w:lvlJc w:val="left"/>
      <w:pPr>
        <w:ind w:left="8831" w:hanging="336"/>
      </w:pPr>
      <w:rPr>
        <w:rFonts w:hint="default"/>
        <w:lang w:val="en-US" w:eastAsia="en-US" w:bidi="ar-SA"/>
      </w:rPr>
    </w:lvl>
    <w:lvl w:ilvl="8" w:tplc="72EC2E16">
      <w:numFmt w:val="bullet"/>
      <w:lvlText w:val="•"/>
      <w:lvlJc w:val="left"/>
      <w:pPr>
        <w:ind w:left="9856" w:hanging="336"/>
      </w:pPr>
      <w:rPr>
        <w:rFonts w:hint="default"/>
        <w:lang w:val="en-US" w:eastAsia="en-US" w:bidi="ar-SA"/>
      </w:rPr>
    </w:lvl>
  </w:abstractNum>
  <w:abstractNum w:abstractNumId="9" w15:restartNumberingAfterBreak="0">
    <w:nsid w:val="0F2F280F"/>
    <w:multiLevelType w:val="hybridMultilevel"/>
    <w:tmpl w:val="1362F2A2"/>
    <w:lvl w:ilvl="0" w:tplc="BB3A1A0C">
      <w:numFmt w:val="bullet"/>
      <w:lvlText w:val="•"/>
      <w:lvlJc w:val="left"/>
      <w:pPr>
        <w:ind w:left="1435" w:hanging="284"/>
      </w:pPr>
      <w:rPr>
        <w:rFonts w:ascii="Lucida Sans" w:eastAsia="Lucida Sans" w:hAnsi="Lucida Sans" w:cs="Lucida Sans" w:hint="default"/>
        <w:b w:val="0"/>
        <w:bCs w:val="0"/>
        <w:i w:val="0"/>
        <w:iCs w:val="0"/>
        <w:spacing w:val="0"/>
        <w:w w:val="60"/>
        <w:sz w:val="16"/>
        <w:szCs w:val="16"/>
        <w:lang w:val="en-US" w:eastAsia="en-US" w:bidi="ar-SA"/>
      </w:rPr>
    </w:lvl>
    <w:lvl w:ilvl="1" w:tplc="AFE459DA">
      <w:numFmt w:val="bullet"/>
      <w:lvlText w:val="•"/>
      <w:lvlJc w:val="left"/>
      <w:pPr>
        <w:ind w:left="2103" w:hanging="284"/>
      </w:pPr>
      <w:rPr>
        <w:rFonts w:hint="default"/>
        <w:lang w:val="en-US" w:eastAsia="en-US" w:bidi="ar-SA"/>
      </w:rPr>
    </w:lvl>
    <w:lvl w:ilvl="2" w:tplc="7390E99C">
      <w:numFmt w:val="bullet"/>
      <w:lvlText w:val="•"/>
      <w:lvlJc w:val="left"/>
      <w:pPr>
        <w:ind w:left="2766" w:hanging="284"/>
      </w:pPr>
      <w:rPr>
        <w:rFonts w:hint="default"/>
        <w:lang w:val="en-US" w:eastAsia="en-US" w:bidi="ar-SA"/>
      </w:rPr>
    </w:lvl>
    <w:lvl w:ilvl="3" w:tplc="9B8E022A">
      <w:numFmt w:val="bullet"/>
      <w:lvlText w:val="•"/>
      <w:lvlJc w:val="left"/>
      <w:pPr>
        <w:ind w:left="3429" w:hanging="284"/>
      </w:pPr>
      <w:rPr>
        <w:rFonts w:hint="default"/>
        <w:lang w:val="en-US" w:eastAsia="en-US" w:bidi="ar-SA"/>
      </w:rPr>
    </w:lvl>
    <w:lvl w:ilvl="4" w:tplc="54E4395C">
      <w:numFmt w:val="bullet"/>
      <w:lvlText w:val="•"/>
      <w:lvlJc w:val="left"/>
      <w:pPr>
        <w:ind w:left="4092" w:hanging="284"/>
      </w:pPr>
      <w:rPr>
        <w:rFonts w:hint="default"/>
        <w:lang w:val="en-US" w:eastAsia="en-US" w:bidi="ar-SA"/>
      </w:rPr>
    </w:lvl>
    <w:lvl w:ilvl="5" w:tplc="CA7226F8">
      <w:numFmt w:val="bullet"/>
      <w:lvlText w:val="•"/>
      <w:lvlJc w:val="left"/>
      <w:pPr>
        <w:ind w:left="4756" w:hanging="284"/>
      </w:pPr>
      <w:rPr>
        <w:rFonts w:hint="default"/>
        <w:lang w:val="en-US" w:eastAsia="en-US" w:bidi="ar-SA"/>
      </w:rPr>
    </w:lvl>
    <w:lvl w:ilvl="6" w:tplc="752ED5C2">
      <w:numFmt w:val="bullet"/>
      <w:lvlText w:val="•"/>
      <w:lvlJc w:val="left"/>
      <w:pPr>
        <w:ind w:left="5419" w:hanging="284"/>
      </w:pPr>
      <w:rPr>
        <w:rFonts w:hint="default"/>
        <w:lang w:val="en-US" w:eastAsia="en-US" w:bidi="ar-SA"/>
      </w:rPr>
    </w:lvl>
    <w:lvl w:ilvl="7" w:tplc="32F67BFE">
      <w:numFmt w:val="bullet"/>
      <w:lvlText w:val="•"/>
      <w:lvlJc w:val="left"/>
      <w:pPr>
        <w:ind w:left="6082" w:hanging="284"/>
      </w:pPr>
      <w:rPr>
        <w:rFonts w:hint="default"/>
        <w:lang w:val="en-US" w:eastAsia="en-US" w:bidi="ar-SA"/>
      </w:rPr>
    </w:lvl>
    <w:lvl w:ilvl="8" w:tplc="51C2FA2A">
      <w:numFmt w:val="bullet"/>
      <w:lvlText w:val="•"/>
      <w:lvlJc w:val="left"/>
      <w:pPr>
        <w:ind w:left="6745" w:hanging="284"/>
      </w:pPr>
      <w:rPr>
        <w:rFonts w:hint="default"/>
        <w:lang w:val="en-US" w:eastAsia="en-US" w:bidi="ar-SA"/>
      </w:rPr>
    </w:lvl>
  </w:abstractNum>
  <w:abstractNum w:abstractNumId="10" w15:restartNumberingAfterBreak="0">
    <w:nsid w:val="11837752"/>
    <w:multiLevelType w:val="hybridMultilevel"/>
    <w:tmpl w:val="9040860C"/>
    <w:lvl w:ilvl="0" w:tplc="E5A82248">
      <w:numFmt w:val="bullet"/>
      <w:lvlText w:val="•"/>
      <w:lvlJc w:val="left"/>
      <w:pPr>
        <w:ind w:left="1435" w:hanging="284"/>
      </w:pPr>
      <w:rPr>
        <w:rFonts w:ascii="Lucida Sans" w:eastAsia="Lucida Sans" w:hAnsi="Lucida Sans" w:cs="Lucida Sans" w:hint="default"/>
        <w:b w:val="0"/>
        <w:bCs w:val="0"/>
        <w:i w:val="0"/>
        <w:iCs w:val="0"/>
        <w:spacing w:val="0"/>
        <w:w w:val="60"/>
        <w:sz w:val="16"/>
        <w:szCs w:val="16"/>
        <w:lang w:val="en-US" w:eastAsia="en-US" w:bidi="ar-SA"/>
      </w:rPr>
    </w:lvl>
    <w:lvl w:ilvl="1" w:tplc="6C848448">
      <w:numFmt w:val="bullet"/>
      <w:lvlText w:val="•"/>
      <w:lvlJc w:val="left"/>
      <w:pPr>
        <w:ind w:left="2103" w:hanging="284"/>
      </w:pPr>
      <w:rPr>
        <w:rFonts w:hint="default"/>
        <w:lang w:val="en-US" w:eastAsia="en-US" w:bidi="ar-SA"/>
      </w:rPr>
    </w:lvl>
    <w:lvl w:ilvl="2" w:tplc="44328F3E">
      <w:numFmt w:val="bullet"/>
      <w:lvlText w:val="•"/>
      <w:lvlJc w:val="left"/>
      <w:pPr>
        <w:ind w:left="2766" w:hanging="284"/>
      </w:pPr>
      <w:rPr>
        <w:rFonts w:hint="default"/>
        <w:lang w:val="en-US" w:eastAsia="en-US" w:bidi="ar-SA"/>
      </w:rPr>
    </w:lvl>
    <w:lvl w:ilvl="3" w:tplc="B4FA72E4">
      <w:numFmt w:val="bullet"/>
      <w:lvlText w:val="•"/>
      <w:lvlJc w:val="left"/>
      <w:pPr>
        <w:ind w:left="3429" w:hanging="284"/>
      </w:pPr>
      <w:rPr>
        <w:rFonts w:hint="default"/>
        <w:lang w:val="en-US" w:eastAsia="en-US" w:bidi="ar-SA"/>
      </w:rPr>
    </w:lvl>
    <w:lvl w:ilvl="4" w:tplc="01428CE6">
      <w:numFmt w:val="bullet"/>
      <w:lvlText w:val="•"/>
      <w:lvlJc w:val="left"/>
      <w:pPr>
        <w:ind w:left="4092" w:hanging="284"/>
      </w:pPr>
      <w:rPr>
        <w:rFonts w:hint="default"/>
        <w:lang w:val="en-US" w:eastAsia="en-US" w:bidi="ar-SA"/>
      </w:rPr>
    </w:lvl>
    <w:lvl w:ilvl="5" w:tplc="B3E294A4">
      <w:numFmt w:val="bullet"/>
      <w:lvlText w:val="•"/>
      <w:lvlJc w:val="left"/>
      <w:pPr>
        <w:ind w:left="4756" w:hanging="284"/>
      </w:pPr>
      <w:rPr>
        <w:rFonts w:hint="default"/>
        <w:lang w:val="en-US" w:eastAsia="en-US" w:bidi="ar-SA"/>
      </w:rPr>
    </w:lvl>
    <w:lvl w:ilvl="6" w:tplc="C12ADE4A">
      <w:numFmt w:val="bullet"/>
      <w:lvlText w:val="•"/>
      <w:lvlJc w:val="left"/>
      <w:pPr>
        <w:ind w:left="5419" w:hanging="284"/>
      </w:pPr>
      <w:rPr>
        <w:rFonts w:hint="default"/>
        <w:lang w:val="en-US" w:eastAsia="en-US" w:bidi="ar-SA"/>
      </w:rPr>
    </w:lvl>
    <w:lvl w:ilvl="7" w:tplc="788285E4">
      <w:numFmt w:val="bullet"/>
      <w:lvlText w:val="•"/>
      <w:lvlJc w:val="left"/>
      <w:pPr>
        <w:ind w:left="6082" w:hanging="284"/>
      </w:pPr>
      <w:rPr>
        <w:rFonts w:hint="default"/>
        <w:lang w:val="en-US" w:eastAsia="en-US" w:bidi="ar-SA"/>
      </w:rPr>
    </w:lvl>
    <w:lvl w:ilvl="8" w:tplc="F634DE6E">
      <w:numFmt w:val="bullet"/>
      <w:lvlText w:val="•"/>
      <w:lvlJc w:val="left"/>
      <w:pPr>
        <w:ind w:left="6745" w:hanging="284"/>
      </w:pPr>
      <w:rPr>
        <w:rFonts w:hint="default"/>
        <w:lang w:val="en-US" w:eastAsia="en-US" w:bidi="ar-SA"/>
      </w:rPr>
    </w:lvl>
  </w:abstractNum>
  <w:abstractNum w:abstractNumId="11" w15:restartNumberingAfterBreak="0">
    <w:nsid w:val="11DA0E15"/>
    <w:multiLevelType w:val="hybridMultilevel"/>
    <w:tmpl w:val="CD108CBA"/>
    <w:lvl w:ilvl="0" w:tplc="27A66A66">
      <w:numFmt w:val="bullet"/>
      <w:lvlText w:val="•"/>
      <w:lvlJc w:val="left"/>
      <w:pPr>
        <w:ind w:left="1435" w:hanging="284"/>
      </w:pPr>
      <w:rPr>
        <w:rFonts w:ascii="Lucida Sans" w:eastAsia="Lucida Sans" w:hAnsi="Lucida Sans" w:cs="Lucida Sans" w:hint="default"/>
        <w:b w:val="0"/>
        <w:bCs w:val="0"/>
        <w:i w:val="0"/>
        <w:iCs w:val="0"/>
        <w:spacing w:val="0"/>
        <w:w w:val="60"/>
        <w:sz w:val="16"/>
        <w:szCs w:val="16"/>
        <w:lang w:val="en-US" w:eastAsia="en-US" w:bidi="ar-SA"/>
      </w:rPr>
    </w:lvl>
    <w:lvl w:ilvl="1" w:tplc="6DA245EA">
      <w:numFmt w:val="bullet"/>
      <w:lvlText w:val="•"/>
      <w:lvlJc w:val="left"/>
      <w:pPr>
        <w:ind w:left="2103" w:hanging="284"/>
      </w:pPr>
      <w:rPr>
        <w:rFonts w:hint="default"/>
        <w:lang w:val="en-US" w:eastAsia="en-US" w:bidi="ar-SA"/>
      </w:rPr>
    </w:lvl>
    <w:lvl w:ilvl="2" w:tplc="7BB2FF3C">
      <w:numFmt w:val="bullet"/>
      <w:lvlText w:val="•"/>
      <w:lvlJc w:val="left"/>
      <w:pPr>
        <w:ind w:left="2766" w:hanging="284"/>
      </w:pPr>
      <w:rPr>
        <w:rFonts w:hint="default"/>
        <w:lang w:val="en-US" w:eastAsia="en-US" w:bidi="ar-SA"/>
      </w:rPr>
    </w:lvl>
    <w:lvl w:ilvl="3" w:tplc="3FBC873A">
      <w:numFmt w:val="bullet"/>
      <w:lvlText w:val="•"/>
      <w:lvlJc w:val="left"/>
      <w:pPr>
        <w:ind w:left="3429" w:hanging="284"/>
      </w:pPr>
      <w:rPr>
        <w:rFonts w:hint="default"/>
        <w:lang w:val="en-US" w:eastAsia="en-US" w:bidi="ar-SA"/>
      </w:rPr>
    </w:lvl>
    <w:lvl w:ilvl="4" w:tplc="355C82DE">
      <w:numFmt w:val="bullet"/>
      <w:lvlText w:val="•"/>
      <w:lvlJc w:val="left"/>
      <w:pPr>
        <w:ind w:left="4092" w:hanging="284"/>
      </w:pPr>
      <w:rPr>
        <w:rFonts w:hint="default"/>
        <w:lang w:val="en-US" w:eastAsia="en-US" w:bidi="ar-SA"/>
      </w:rPr>
    </w:lvl>
    <w:lvl w:ilvl="5" w:tplc="0FB6FBD2">
      <w:numFmt w:val="bullet"/>
      <w:lvlText w:val="•"/>
      <w:lvlJc w:val="left"/>
      <w:pPr>
        <w:ind w:left="4756" w:hanging="284"/>
      </w:pPr>
      <w:rPr>
        <w:rFonts w:hint="default"/>
        <w:lang w:val="en-US" w:eastAsia="en-US" w:bidi="ar-SA"/>
      </w:rPr>
    </w:lvl>
    <w:lvl w:ilvl="6" w:tplc="7248A27C">
      <w:numFmt w:val="bullet"/>
      <w:lvlText w:val="•"/>
      <w:lvlJc w:val="left"/>
      <w:pPr>
        <w:ind w:left="5419" w:hanging="284"/>
      </w:pPr>
      <w:rPr>
        <w:rFonts w:hint="default"/>
        <w:lang w:val="en-US" w:eastAsia="en-US" w:bidi="ar-SA"/>
      </w:rPr>
    </w:lvl>
    <w:lvl w:ilvl="7" w:tplc="14C2954E">
      <w:numFmt w:val="bullet"/>
      <w:lvlText w:val="•"/>
      <w:lvlJc w:val="left"/>
      <w:pPr>
        <w:ind w:left="6082" w:hanging="284"/>
      </w:pPr>
      <w:rPr>
        <w:rFonts w:hint="default"/>
        <w:lang w:val="en-US" w:eastAsia="en-US" w:bidi="ar-SA"/>
      </w:rPr>
    </w:lvl>
    <w:lvl w:ilvl="8" w:tplc="78640E54">
      <w:numFmt w:val="bullet"/>
      <w:lvlText w:val="•"/>
      <w:lvlJc w:val="left"/>
      <w:pPr>
        <w:ind w:left="6745" w:hanging="284"/>
      </w:pPr>
      <w:rPr>
        <w:rFonts w:hint="default"/>
        <w:lang w:val="en-US" w:eastAsia="en-US" w:bidi="ar-SA"/>
      </w:rPr>
    </w:lvl>
  </w:abstractNum>
  <w:abstractNum w:abstractNumId="12" w15:restartNumberingAfterBreak="0">
    <w:nsid w:val="123B1D33"/>
    <w:multiLevelType w:val="hybridMultilevel"/>
    <w:tmpl w:val="C6EC03A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143C6AA3"/>
    <w:multiLevelType w:val="hybridMultilevel"/>
    <w:tmpl w:val="A0BCB7BE"/>
    <w:lvl w:ilvl="0" w:tplc="8FD685EE">
      <w:start w:val="1"/>
      <w:numFmt w:val="lowerLetter"/>
      <w:lvlText w:val="(%1)"/>
      <w:lvlJc w:val="left"/>
      <w:pPr>
        <w:ind w:left="1731" w:hanging="336"/>
      </w:pPr>
      <w:rPr>
        <w:rFonts w:ascii="Calibri" w:eastAsia="Calibri" w:hAnsi="Calibri" w:cs="Calibri" w:hint="default"/>
        <w:b w:val="0"/>
        <w:bCs w:val="0"/>
        <w:i w:val="0"/>
        <w:iCs w:val="0"/>
        <w:spacing w:val="-1"/>
        <w:w w:val="101"/>
        <w:sz w:val="20"/>
        <w:szCs w:val="20"/>
        <w:lang w:val="en-US" w:eastAsia="en-US" w:bidi="ar-SA"/>
      </w:rPr>
    </w:lvl>
    <w:lvl w:ilvl="1" w:tplc="5CF6AD28">
      <w:numFmt w:val="bullet"/>
      <w:lvlText w:val="•"/>
      <w:lvlJc w:val="left"/>
      <w:pPr>
        <w:ind w:left="2756" w:hanging="336"/>
      </w:pPr>
      <w:rPr>
        <w:rFonts w:hint="default"/>
        <w:lang w:val="en-US" w:eastAsia="en-US" w:bidi="ar-SA"/>
      </w:rPr>
    </w:lvl>
    <w:lvl w:ilvl="2" w:tplc="4B78B1FE">
      <w:numFmt w:val="bullet"/>
      <w:lvlText w:val="•"/>
      <w:lvlJc w:val="left"/>
      <w:pPr>
        <w:ind w:left="3773" w:hanging="336"/>
      </w:pPr>
      <w:rPr>
        <w:rFonts w:hint="default"/>
        <w:lang w:val="en-US" w:eastAsia="en-US" w:bidi="ar-SA"/>
      </w:rPr>
    </w:lvl>
    <w:lvl w:ilvl="3" w:tplc="CE22918E">
      <w:numFmt w:val="bullet"/>
      <w:lvlText w:val="•"/>
      <w:lvlJc w:val="left"/>
      <w:pPr>
        <w:ind w:left="4789" w:hanging="336"/>
      </w:pPr>
      <w:rPr>
        <w:rFonts w:hint="default"/>
        <w:lang w:val="en-US" w:eastAsia="en-US" w:bidi="ar-SA"/>
      </w:rPr>
    </w:lvl>
    <w:lvl w:ilvl="4" w:tplc="56A0AF6A">
      <w:numFmt w:val="bullet"/>
      <w:lvlText w:val="•"/>
      <w:lvlJc w:val="left"/>
      <w:pPr>
        <w:ind w:left="5806" w:hanging="336"/>
      </w:pPr>
      <w:rPr>
        <w:rFonts w:hint="default"/>
        <w:lang w:val="en-US" w:eastAsia="en-US" w:bidi="ar-SA"/>
      </w:rPr>
    </w:lvl>
    <w:lvl w:ilvl="5" w:tplc="20804050">
      <w:numFmt w:val="bullet"/>
      <w:lvlText w:val="•"/>
      <w:lvlJc w:val="left"/>
      <w:pPr>
        <w:ind w:left="6822" w:hanging="336"/>
      </w:pPr>
      <w:rPr>
        <w:rFonts w:hint="default"/>
        <w:lang w:val="en-US" w:eastAsia="en-US" w:bidi="ar-SA"/>
      </w:rPr>
    </w:lvl>
    <w:lvl w:ilvl="6" w:tplc="C3EA7F14">
      <w:numFmt w:val="bullet"/>
      <w:lvlText w:val="•"/>
      <w:lvlJc w:val="left"/>
      <w:pPr>
        <w:ind w:left="7839" w:hanging="336"/>
      </w:pPr>
      <w:rPr>
        <w:rFonts w:hint="default"/>
        <w:lang w:val="en-US" w:eastAsia="en-US" w:bidi="ar-SA"/>
      </w:rPr>
    </w:lvl>
    <w:lvl w:ilvl="7" w:tplc="C53633E8">
      <w:numFmt w:val="bullet"/>
      <w:lvlText w:val="•"/>
      <w:lvlJc w:val="left"/>
      <w:pPr>
        <w:ind w:left="8855" w:hanging="336"/>
      </w:pPr>
      <w:rPr>
        <w:rFonts w:hint="default"/>
        <w:lang w:val="en-US" w:eastAsia="en-US" w:bidi="ar-SA"/>
      </w:rPr>
    </w:lvl>
    <w:lvl w:ilvl="8" w:tplc="BB482D34">
      <w:numFmt w:val="bullet"/>
      <w:lvlText w:val="•"/>
      <w:lvlJc w:val="left"/>
      <w:pPr>
        <w:ind w:left="9872" w:hanging="336"/>
      </w:pPr>
      <w:rPr>
        <w:rFonts w:hint="default"/>
        <w:lang w:val="en-US" w:eastAsia="en-US" w:bidi="ar-SA"/>
      </w:rPr>
    </w:lvl>
  </w:abstractNum>
  <w:abstractNum w:abstractNumId="14" w15:restartNumberingAfterBreak="0">
    <w:nsid w:val="155D398C"/>
    <w:multiLevelType w:val="hybridMultilevel"/>
    <w:tmpl w:val="BF5823FE"/>
    <w:lvl w:ilvl="0" w:tplc="12A8138A">
      <w:numFmt w:val="bullet"/>
      <w:lvlText w:val=""/>
      <w:lvlJc w:val="left"/>
      <w:pPr>
        <w:ind w:left="1170" w:hanging="336"/>
      </w:pPr>
      <w:rPr>
        <w:rFonts w:ascii="Symbol" w:eastAsia="Symbol" w:hAnsi="Symbol" w:cs="Symbol" w:hint="default"/>
        <w:b w:val="0"/>
        <w:bCs w:val="0"/>
        <w:i w:val="0"/>
        <w:iCs w:val="0"/>
        <w:spacing w:val="0"/>
        <w:w w:val="104"/>
        <w:sz w:val="16"/>
        <w:szCs w:val="16"/>
        <w:lang w:val="en-US" w:eastAsia="en-US" w:bidi="ar-SA"/>
      </w:rPr>
    </w:lvl>
    <w:lvl w:ilvl="1" w:tplc="DF6008AA">
      <w:numFmt w:val="bullet"/>
      <w:lvlText w:val="•"/>
      <w:lvlJc w:val="left"/>
      <w:pPr>
        <w:ind w:left="1704" w:hanging="336"/>
      </w:pPr>
      <w:rPr>
        <w:rFonts w:hint="default"/>
        <w:lang w:val="en-US" w:eastAsia="en-US" w:bidi="ar-SA"/>
      </w:rPr>
    </w:lvl>
    <w:lvl w:ilvl="2" w:tplc="B89CAE68">
      <w:numFmt w:val="bullet"/>
      <w:lvlText w:val="•"/>
      <w:lvlJc w:val="left"/>
      <w:pPr>
        <w:ind w:left="2228" w:hanging="336"/>
      </w:pPr>
      <w:rPr>
        <w:rFonts w:hint="default"/>
        <w:lang w:val="en-US" w:eastAsia="en-US" w:bidi="ar-SA"/>
      </w:rPr>
    </w:lvl>
    <w:lvl w:ilvl="3" w:tplc="664C0762">
      <w:numFmt w:val="bullet"/>
      <w:lvlText w:val="•"/>
      <w:lvlJc w:val="left"/>
      <w:pPr>
        <w:ind w:left="2752" w:hanging="336"/>
      </w:pPr>
      <w:rPr>
        <w:rFonts w:hint="default"/>
        <w:lang w:val="en-US" w:eastAsia="en-US" w:bidi="ar-SA"/>
      </w:rPr>
    </w:lvl>
    <w:lvl w:ilvl="4" w:tplc="9682839E">
      <w:numFmt w:val="bullet"/>
      <w:lvlText w:val="•"/>
      <w:lvlJc w:val="left"/>
      <w:pPr>
        <w:ind w:left="3277" w:hanging="336"/>
      </w:pPr>
      <w:rPr>
        <w:rFonts w:hint="default"/>
        <w:lang w:val="en-US" w:eastAsia="en-US" w:bidi="ar-SA"/>
      </w:rPr>
    </w:lvl>
    <w:lvl w:ilvl="5" w:tplc="AA785EBA">
      <w:numFmt w:val="bullet"/>
      <w:lvlText w:val="•"/>
      <w:lvlJc w:val="left"/>
      <w:pPr>
        <w:ind w:left="3801" w:hanging="336"/>
      </w:pPr>
      <w:rPr>
        <w:rFonts w:hint="default"/>
        <w:lang w:val="en-US" w:eastAsia="en-US" w:bidi="ar-SA"/>
      </w:rPr>
    </w:lvl>
    <w:lvl w:ilvl="6" w:tplc="A2C2982E">
      <w:numFmt w:val="bullet"/>
      <w:lvlText w:val="•"/>
      <w:lvlJc w:val="left"/>
      <w:pPr>
        <w:ind w:left="4325" w:hanging="336"/>
      </w:pPr>
      <w:rPr>
        <w:rFonts w:hint="default"/>
        <w:lang w:val="en-US" w:eastAsia="en-US" w:bidi="ar-SA"/>
      </w:rPr>
    </w:lvl>
    <w:lvl w:ilvl="7" w:tplc="9C64123A">
      <w:numFmt w:val="bullet"/>
      <w:lvlText w:val="•"/>
      <w:lvlJc w:val="left"/>
      <w:pPr>
        <w:ind w:left="4850" w:hanging="336"/>
      </w:pPr>
      <w:rPr>
        <w:rFonts w:hint="default"/>
        <w:lang w:val="en-US" w:eastAsia="en-US" w:bidi="ar-SA"/>
      </w:rPr>
    </w:lvl>
    <w:lvl w:ilvl="8" w:tplc="862CAF36">
      <w:numFmt w:val="bullet"/>
      <w:lvlText w:val="•"/>
      <w:lvlJc w:val="left"/>
      <w:pPr>
        <w:ind w:left="5374" w:hanging="336"/>
      </w:pPr>
      <w:rPr>
        <w:rFonts w:hint="default"/>
        <w:lang w:val="en-US" w:eastAsia="en-US" w:bidi="ar-SA"/>
      </w:rPr>
    </w:lvl>
  </w:abstractNum>
  <w:abstractNum w:abstractNumId="15" w15:restartNumberingAfterBreak="0">
    <w:nsid w:val="17D757EE"/>
    <w:multiLevelType w:val="hybridMultilevel"/>
    <w:tmpl w:val="07C67E78"/>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6" w15:restartNumberingAfterBreak="0">
    <w:nsid w:val="1AED3D30"/>
    <w:multiLevelType w:val="hybridMultilevel"/>
    <w:tmpl w:val="1AA8FEDC"/>
    <w:lvl w:ilvl="0" w:tplc="07AEF118">
      <w:start w:val="1"/>
      <w:numFmt w:val="decimal"/>
      <w:lvlText w:val="(%1)"/>
      <w:lvlJc w:val="left"/>
      <w:pPr>
        <w:ind w:left="1561" w:hanging="530"/>
      </w:pPr>
      <w:rPr>
        <w:rFonts w:ascii="Arial" w:eastAsia="Arial" w:hAnsi="Arial" w:cs="Arial" w:hint="default"/>
        <w:b/>
        <w:bCs/>
        <w:i w:val="0"/>
        <w:iCs w:val="0"/>
        <w:color w:val="003863"/>
        <w:spacing w:val="-1"/>
        <w:w w:val="102"/>
        <w:sz w:val="20"/>
        <w:szCs w:val="20"/>
        <w:lang w:val="en-US" w:eastAsia="en-US" w:bidi="ar-SA"/>
      </w:rPr>
    </w:lvl>
    <w:lvl w:ilvl="1" w:tplc="C78A7232">
      <w:numFmt w:val="bullet"/>
      <w:lvlText w:val=""/>
      <w:lvlJc w:val="left"/>
      <w:pPr>
        <w:ind w:left="1703" w:hanging="336"/>
      </w:pPr>
      <w:rPr>
        <w:rFonts w:ascii="Symbol" w:eastAsia="Symbol" w:hAnsi="Symbol" w:cs="Symbol" w:hint="default"/>
        <w:b w:val="0"/>
        <w:bCs w:val="0"/>
        <w:i w:val="0"/>
        <w:iCs w:val="0"/>
        <w:spacing w:val="0"/>
        <w:w w:val="104"/>
        <w:sz w:val="16"/>
        <w:szCs w:val="16"/>
        <w:lang w:val="en-US" w:eastAsia="en-US" w:bidi="ar-SA"/>
      </w:rPr>
    </w:lvl>
    <w:lvl w:ilvl="2" w:tplc="67C4231A">
      <w:numFmt w:val="bullet"/>
      <w:lvlText w:val="•"/>
      <w:lvlJc w:val="left"/>
      <w:pPr>
        <w:ind w:left="2833" w:hanging="336"/>
      </w:pPr>
      <w:rPr>
        <w:rFonts w:hint="default"/>
        <w:lang w:val="en-US" w:eastAsia="en-US" w:bidi="ar-SA"/>
      </w:rPr>
    </w:lvl>
    <w:lvl w:ilvl="3" w:tplc="E8E07178">
      <w:numFmt w:val="bullet"/>
      <w:lvlText w:val="•"/>
      <w:lvlJc w:val="left"/>
      <w:pPr>
        <w:ind w:left="3967" w:hanging="336"/>
      </w:pPr>
      <w:rPr>
        <w:rFonts w:hint="default"/>
        <w:lang w:val="en-US" w:eastAsia="en-US" w:bidi="ar-SA"/>
      </w:rPr>
    </w:lvl>
    <w:lvl w:ilvl="4" w:tplc="82E06E6A">
      <w:numFmt w:val="bullet"/>
      <w:lvlText w:val="•"/>
      <w:lvlJc w:val="left"/>
      <w:pPr>
        <w:ind w:left="5101" w:hanging="336"/>
      </w:pPr>
      <w:rPr>
        <w:rFonts w:hint="default"/>
        <w:lang w:val="en-US" w:eastAsia="en-US" w:bidi="ar-SA"/>
      </w:rPr>
    </w:lvl>
    <w:lvl w:ilvl="5" w:tplc="7A184A56">
      <w:numFmt w:val="bullet"/>
      <w:lvlText w:val="•"/>
      <w:lvlJc w:val="left"/>
      <w:pPr>
        <w:ind w:left="6235" w:hanging="336"/>
      </w:pPr>
      <w:rPr>
        <w:rFonts w:hint="default"/>
        <w:lang w:val="en-US" w:eastAsia="en-US" w:bidi="ar-SA"/>
      </w:rPr>
    </w:lvl>
    <w:lvl w:ilvl="6" w:tplc="56463E7E">
      <w:numFmt w:val="bullet"/>
      <w:lvlText w:val="•"/>
      <w:lvlJc w:val="left"/>
      <w:pPr>
        <w:ind w:left="7369" w:hanging="336"/>
      </w:pPr>
      <w:rPr>
        <w:rFonts w:hint="default"/>
        <w:lang w:val="en-US" w:eastAsia="en-US" w:bidi="ar-SA"/>
      </w:rPr>
    </w:lvl>
    <w:lvl w:ilvl="7" w:tplc="C5EC75EE">
      <w:numFmt w:val="bullet"/>
      <w:lvlText w:val="•"/>
      <w:lvlJc w:val="left"/>
      <w:pPr>
        <w:ind w:left="8503" w:hanging="336"/>
      </w:pPr>
      <w:rPr>
        <w:rFonts w:hint="default"/>
        <w:lang w:val="en-US" w:eastAsia="en-US" w:bidi="ar-SA"/>
      </w:rPr>
    </w:lvl>
    <w:lvl w:ilvl="8" w:tplc="8E9091D4">
      <w:numFmt w:val="bullet"/>
      <w:lvlText w:val="•"/>
      <w:lvlJc w:val="left"/>
      <w:pPr>
        <w:ind w:left="9637" w:hanging="336"/>
      </w:pPr>
      <w:rPr>
        <w:rFonts w:hint="default"/>
        <w:lang w:val="en-US" w:eastAsia="en-US" w:bidi="ar-SA"/>
      </w:rPr>
    </w:lvl>
  </w:abstractNum>
  <w:abstractNum w:abstractNumId="17" w15:restartNumberingAfterBreak="0">
    <w:nsid w:val="1CA34C44"/>
    <w:multiLevelType w:val="hybridMultilevel"/>
    <w:tmpl w:val="0EA2BD56"/>
    <w:lvl w:ilvl="0" w:tplc="3E6898A4">
      <w:start w:val="1"/>
      <w:numFmt w:val="lowerLetter"/>
      <w:lvlText w:val="(%1)"/>
      <w:lvlJc w:val="left"/>
      <w:pPr>
        <w:ind w:left="1380" w:hanging="398"/>
      </w:pPr>
      <w:rPr>
        <w:rFonts w:ascii="Arial" w:eastAsia="Arial" w:hAnsi="Arial" w:cs="Arial" w:hint="default"/>
        <w:b w:val="0"/>
        <w:bCs w:val="0"/>
        <w:i/>
        <w:iCs/>
        <w:spacing w:val="-1"/>
        <w:w w:val="99"/>
        <w:sz w:val="15"/>
        <w:szCs w:val="15"/>
        <w:lang w:val="en-US" w:eastAsia="en-US" w:bidi="ar-SA"/>
      </w:rPr>
    </w:lvl>
    <w:lvl w:ilvl="1" w:tplc="4BBE3978">
      <w:numFmt w:val="bullet"/>
      <w:lvlText w:val="•"/>
      <w:lvlJc w:val="left"/>
      <w:pPr>
        <w:ind w:left="2432" w:hanging="398"/>
      </w:pPr>
      <w:rPr>
        <w:rFonts w:hint="default"/>
        <w:lang w:val="en-US" w:eastAsia="en-US" w:bidi="ar-SA"/>
      </w:rPr>
    </w:lvl>
    <w:lvl w:ilvl="2" w:tplc="320EA2E6">
      <w:numFmt w:val="bullet"/>
      <w:lvlText w:val="•"/>
      <w:lvlJc w:val="left"/>
      <w:pPr>
        <w:ind w:left="3485" w:hanging="398"/>
      </w:pPr>
      <w:rPr>
        <w:rFonts w:hint="default"/>
        <w:lang w:val="en-US" w:eastAsia="en-US" w:bidi="ar-SA"/>
      </w:rPr>
    </w:lvl>
    <w:lvl w:ilvl="3" w:tplc="D25833EA">
      <w:numFmt w:val="bullet"/>
      <w:lvlText w:val="•"/>
      <w:lvlJc w:val="left"/>
      <w:pPr>
        <w:ind w:left="4537" w:hanging="398"/>
      </w:pPr>
      <w:rPr>
        <w:rFonts w:hint="default"/>
        <w:lang w:val="en-US" w:eastAsia="en-US" w:bidi="ar-SA"/>
      </w:rPr>
    </w:lvl>
    <w:lvl w:ilvl="4" w:tplc="24EE1250">
      <w:numFmt w:val="bullet"/>
      <w:lvlText w:val="•"/>
      <w:lvlJc w:val="left"/>
      <w:pPr>
        <w:ind w:left="5590" w:hanging="398"/>
      </w:pPr>
      <w:rPr>
        <w:rFonts w:hint="default"/>
        <w:lang w:val="en-US" w:eastAsia="en-US" w:bidi="ar-SA"/>
      </w:rPr>
    </w:lvl>
    <w:lvl w:ilvl="5" w:tplc="F372ECC4">
      <w:numFmt w:val="bullet"/>
      <w:lvlText w:val="•"/>
      <w:lvlJc w:val="left"/>
      <w:pPr>
        <w:ind w:left="6642" w:hanging="398"/>
      </w:pPr>
      <w:rPr>
        <w:rFonts w:hint="default"/>
        <w:lang w:val="en-US" w:eastAsia="en-US" w:bidi="ar-SA"/>
      </w:rPr>
    </w:lvl>
    <w:lvl w:ilvl="6" w:tplc="E0888304">
      <w:numFmt w:val="bullet"/>
      <w:lvlText w:val="•"/>
      <w:lvlJc w:val="left"/>
      <w:pPr>
        <w:ind w:left="7695" w:hanging="398"/>
      </w:pPr>
      <w:rPr>
        <w:rFonts w:hint="default"/>
        <w:lang w:val="en-US" w:eastAsia="en-US" w:bidi="ar-SA"/>
      </w:rPr>
    </w:lvl>
    <w:lvl w:ilvl="7" w:tplc="A42012C0">
      <w:numFmt w:val="bullet"/>
      <w:lvlText w:val="•"/>
      <w:lvlJc w:val="left"/>
      <w:pPr>
        <w:ind w:left="8747" w:hanging="398"/>
      </w:pPr>
      <w:rPr>
        <w:rFonts w:hint="default"/>
        <w:lang w:val="en-US" w:eastAsia="en-US" w:bidi="ar-SA"/>
      </w:rPr>
    </w:lvl>
    <w:lvl w:ilvl="8" w:tplc="979810C2">
      <w:numFmt w:val="bullet"/>
      <w:lvlText w:val="•"/>
      <w:lvlJc w:val="left"/>
      <w:pPr>
        <w:ind w:left="9800" w:hanging="398"/>
      </w:pPr>
      <w:rPr>
        <w:rFonts w:hint="default"/>
        <w:lang w:val="en-US" w:eastAsia="en-US" w:bidi="ar-SA"/>
      </w:rPr>
    </w:lvl>
  </w:abstractNum>
  <w:abstractNum w:abstractNumId="18" w15:restartNumberingAfterBreak="0">
    <w:nsid w:val="1CC27F64"/>
    <w:multiLevelType w:val="hybridMultilevel"/>
    <w:tmpl w:val="D37CC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C91049"/>
    <w:multiLevelType w:val="hybridMultilevel"/>
    <w:tmpl w:val="08448500"/>
    <w:lvl w:ilvl="0" w:tplc="D65E5EA6">
      <w:numFmt w:val="bullet"/>
      <w:lvlText w:val="•"/>
      <w:lvlJc w:val="left"/>
      <w:pPr>
        <w:ind w:left="1133" w:hanging="284"/>
      </w:pPr>
      <w:rPr>
        <w:rFonts w:ascii="Lucida Sans" w:eastAsia="Lucida Sans" w:hAnsi="Lucida Sans" w:cs="Lucida Sans" w:hint="default"/>
        <w:b w:val="0"/>
        <w:bCs w:val="0"/>
        <w:i w:val="0"/>
        <w:iCs w:val="0"/>
        <w:spacing w:val="0"/>
        <w:w w:val="60"/>
        <w:sz w:val="18"/>
        <w:szCs w:val="18"/>
        <w:lang w:val="en-US" w:eastAsia="en-US" w:bidi="ar-SA"/>
      </w:rPr>
    </w:lvl>
    <w:lvl w:ilvl="1" w:tplc="80BC4DB2">
      <w:numFmt w:val="bullet"/>
      <w:lvlText w:val="•"/>
      <w:lvlJc w:val="left"/>
      <w:pPr>
        <w:ind w:left="1598" w:hanging="284"/>
      </w:pPr>
      <w:rPr>
        <w:rFonts w:hint="default"/>
        <w:lang w:val="en-US" w:eastAsia="en-US" w:bidi="ar-SA"/>
      </w:rPr>
    </w:lvl>
    <w:lvl w:ilvl="2" w:tplc="F9FE2D8A">
      <w:numFmt w:val="bullet"/>
      <w:lvlText w:val="•"/>
      <w:lvlJc w:val="left"/>
      <w:pPr>
        <w:ind w:left="2057" w:hanging="284"/>
      </w:pPr>
      <w:rPr>
        <w:rFonts w:hint="default"/>
        <w:lang w:val="en-US" w:eastAsia="en-US" w:bidi="ar-SA"/>
      </w:rPr>
    </w:lvl>
    <w:lvl w:ilvl="3" w:tplc="708AC364">
      <w:numFmt w:val="bullet"/>
      <w:lvlText w:val="•"/>
      <w:lvlJc w:val="left"/>
      <w:pPr>
        <w:ind w:left="2515" w:hanging="284"/>
      </w:pPr>
      <w:rPr>
        <w:rFonts w:hint="default"/>
        <w:lang w:val="en-US" w:eastAsia="en-US" w:bidi="ar-SA"/>
      </w:rPr>
    </w:lvl>
    <w:lvl w:ilvl="4" w:tplc="519ADDE6">
      <w:numFmt w:val="bullet"/>
      <w:lvlText w:val="•"/>
      <w:lvlJc w:val="left"/>
      <w:pPr>
        <w:ind w:left="2974" w:hanging="284"/>
      </w:pPr>
      <w:rPr>
        <w:rFonts w:hint="default"/>
        <w:lang w:val="en-US" w:eastAsia="en-US" w:bidi="ar-SA"/>
      </w:rPr>
    </w:lvl>
    <w:lvl w:ilvl="5" w:tplc="7C74D284">
      <w:numFmt w:val="bullet"/>
      <w:lvlText w:val="•"/>
      <w:lvlJc w:val="left"/>
      <w:pPr>
        <w:ind w:left="3433" w:hanging="284"/>
      </w:pPr>
      <w:rPr>
        <w:rFonts w:hint="default"/>
        <w:lang w:val="en-US" w:eastAsia="en-US" w:bidi="ar-SA"/>
      </w:rPr>
    </w:lvl>
    <w:lvl w:ilvl="6" w:tplc="C8A63CF8">
      <w:numFmt w:val="bullet"/>
      <w:lvlText w:val="•"/>
      <w:lvlJc w:val="left"/>
      <w:pPr>
        <w:ind w:left="3891" w:hanging="284"/>
      </w:pPr>
      <w:rPr>
        <w:rFonts w:hint="default"/>
        <w:lang w:val="en-US" w:eastAsia="en-US" w:bidi="ar-SA"/>
      </w:rPr>
    </w:lvl>
    <w:lvl w:ilvl="7" w:tplc="5328776C">
      <w:numFmt w:val="bullet"/>
      <w:lvlText w:val="•"/>
      <w:lvlJc w:val="left"/>
      <w:pPr>
        <w:ind w:left="4350" w:hanging="284"/>
      </w:pPr>
      <w:rPr>
        <w:rFonts w:hint="default"/>
        <w:lang w:val="en-US" w:eastAsia="en-US" w:bidi="ar-SA"/>
      </w:rPr>
    </w:lvl>
    <w:lvl w:ilvl="8" w:tplc="DF8C99A4">
      <w:numFmt w:val="bullet"/>
      <w:lvlText w:val="•"/>
      <w:lvlJc w:val="left"/>
      <w:pPr>
        <w:ind w:left="4808" w:hanging="284"/>
      </w:pPr>
      <w:rPr>
        <w:rFonts w:hint="default"/>
        <w:lang w:val="en-US" w:eastAsia="en-US" w:bidi="ar-SA"/>
      </w:rPr>
    </w:lvl>
  </w:abstractNum>
  <w:abstractNum w:abstractNumId="20" w15:restartNumberingAfterBreak="0">
    <w:nsid w:val="1CE10EF0"/>
    <w:multiLevelType w:val="hybridMultilevel"/>
    <w:tmpl w:val="5C14CE68"/>
    <w:lvl w:ilvl="0" w:tplc="1E481C12">
      <w:numFmt w:val="bullet"/>
      <w:lvlText w:val=""/>
      <w:lvlJc w:val="left"/>
      <w:pPr>
        <w:ind w:left="740" w:hanging="567"/>
      </w:pPr>
      <w:rPr>
        <w:rFonts w:ascii="Symbol" w:eastAsia="Symbol" w:hAnsi="Symbol" w:cs="Symbol" w:hint="default"/>
        <w:b w:val="0"/>
        <w:bCs w:val="0"/>
        <w:i w:val="0"/>
        <w:iCs w:val="0"/>
        <w:spacing w:val="0"/>
        <w:w w:val="100"/>
        <w:sz w:val="21"/>
        <w:szCs w:val="21"/>
        <w:lang w:val="en-US" w:eastAsia="en-US" w:bidi="ar-SA"/>
      </w:rPr>
    </w:lvl>
    <w:lvl w:ilvl="1" w:tplc="281E64D0">
      <w:start w:val="1"/>
      <w:numFmt w:val="lowerLetter"/>
      <w:lvlText w:val="(%2)"/>
      <w:lvlJc w:val="left"/>
      <w:pPr>
        <w:ind w:left="1472" w:hanging="398"/>
      </w:pPr>
      <w:rPr>
        <w:rFonts w:ascii="Arial" w:eastAsia="Arial" w:hAnsi="Arial" w:cs="Arial" w:hint="default"/>
        <w:b w:val="0"/>
        <w:bCs w:val="0"/>
        <w:i/>
        <w:iCs/>
        <w:spacing w:val="-1"/>
        <w:w w:val="99"/>
        <w:sz w:val="16"/>
        <w:szCs w:val="16"/>
        <w:lang w:val="en-US" w:eastAsia="en-US" w:bidi="ar-SA"/>
      </w:rPr>
    </w:lvl>
    <w:lvl w:ilvl="2" w:tplc="D71A7E8A">
      <w:numFmt w:val="bullet"/>
      <w:lvlText w:val="•"/>
      <w:lvlJc w:val="left"/>
      <w:pPr>
        <w:ind w:left="2382" w:hanging="398"/>
      </w:pPr>
      <w:rPr>
        <w:rFonts w:hint="default"/>
        <w:lang w:val="en-US" w:eastAsia="en-US" w:bidi="ar-SA"/>
      </w:rPr>
    </w:lvl>
    <w:lvl w:ilvl="3" w:tplc="FF421594">
      <w:numFmt w:val="bullet"/>
      <w:lvlText w:val="•"/>
      <w:lvlJc w:val="left"/>
      <w:pPr>
        <w:ind w:left="3285" w:hanging="398"/>
      </w:pPr>
      <w:rPr>
        <w:rFonts w:hint="default"/>
        <w:lang w:val="en-US" w:eastAsia="en-US" w:bidi="ar-SA"/>
      </w:rPr>
    </w:lvl>
    <w:lvl w:ilvl="4" w:tplc="340AEE4A">
      <w:numFmt w:val="bullet"/>
      <w:lvlText w:val="•"/>
      <w:lvlJc w:val="left"/>
      <w:pPr>
        <w:ind w:left="4188" w:hanging="398"/>
      </w:pPr>
      <w:rPr>
        <w:rFonts w:hint="default"/>
        <w:lang w:val="en-US" w:eastAsia="en-US" w:bidi="ar-SA"/>
      </w:rPr>
    </w:lvl>
    <w:lvl w:ilvl="5" w:tplc="41A48888">
      <w:numFmt w:val="bullet"/>
      <w:lvlText w:val="•"/>
      <w:lvlJc w:val="left"/>
      <w:pPr>
        <w:ind w:left="5091" w:hanging="398"/>
      </w:pPr>
      <w:rPr>
        <w:rFonts w:hint="default"/>
        <w:lang w:val="en-US" w:eastAsia="en-US" w:bidi="ar-SA"/>
      </w:rPr>
    </w:lvl>
    <w:lvl w:ilvl="6" w:tplc="6098FF28">
      <w:numFmt w:val="bullet"/>
      <w:lvlText w:val="•"/>
      <w:lvlJc w:val="left"/>
      <w:pPr>
        <w:ind w:left="5994" w:hanging="398"/>
      </w:pPr>
      <w:rPr>
        <w:rFonts w:hint="default"/>
        <w:lang w:val="en-US" w:eastAsia="en-US" w:bidi="ar-SA"/>
      </w:rPr>
    </w:lvl>
    <w:lvl w:ilvl="7" w:tplc="3A0C4382">
      <w:numFmt w:val="bullet"/>
      <w:lvlText w:val="•"/>
      <w:lvlJc w:val="left"/>
      <w:pPr>
        <w:ind w:left="6897" w:hanging="398"/>
      </w:pPr>
      <w:rPr>
        <w:rFonts w:hint="default"/>
        <w:lang w:val="en-US" w:eastAsia="en-US" w:bidi="ar-SA"/>
      </w:rPr>
    </w:lvl>
    <w:lvl w:ilvl="8" w:tplc="20A60C7A">
      <w:numFmt w:val="bullet"/>
      <w:lvlText w:val="•"/>
      <w:lvlJc w:val="left"/>
      <w:pPr>
        <w:ind w:left="7800" w:hanging="398"/>
      </w:pPr>
      <w:rPr>
        <w:rFonts w:hint="default"/>
        <w:lang w:val="en-US" w:eastAsia="en-US" w:bidi="ar-SA"/>
      </w:rPr>
    </w:lvl>
  </w:abstractNum>
  <w:abstractNum w:abstractNumId="21" w15:restartNumberingAfterBreak="0">
    <w:nsid w:val="227110EF"/>
    <w:multiLevelType w:val="hybridMultilevel"/>
    <w:tmpl w:val="8A205984"/>
    <w:lvl w:ilvl="0" w:tplc="B1EEA0B2">
      <w:numFmt w:val="bullet"/>
      <w:lvlText w:val="•"/>
      <w:lvlJc w:val="left"/>
      <w:pPr>
        <w:ind w:left="474" w:hanging="360"/>
      </w:pPr>
      <w:rPr>
        <w:rFonts w:ascii="Lucida Sans" w:eastAsia="Lucida Sans" w:hAnsi="Lucida Sans" w:cs="Lucida Sans" w:hint="default"/>
        <w:b w:val="0"/>
        <w:bCs w:val="0"/>
        <w:i w:val="0"/>
        <w:iCs w:val="0"/>
        <w:spacing w:val="0"/>
        <w:w w:val="60"/>
        <w:sz w:val="16"/>
        <w:szCs w:val="16"/>
        <w:lang w:val="en-US" w:eastAsia="en-US" w:bidi="ar-SA"/>
      </w:rPr>
    </w:lvl>
    <w:lvl w:ilvl="1" w:tplc="35741136">
      <w:numFmt w:val="bullet"/>
      <w:lvlText w:val="•"/>
      <w:lvlJc w:val="left"/>
      <w:pPr>
        <w:ind w:left="919" w:hanging="360"/>
      </w:pPr>
      <w:rPr>
        <w:rFonts w:hint="default"/>
        <w:lang w:val="en-US" w:eastAsia="en-US" w:bidi="ar-SA"/>
      </w:rPr>
    </w:lvl>
    <w:lvl w:ilvl="2" w:tplc="C53870FC">
      <w:numFmt w:val="bullet"/>
      <w:lvlText w:val="•"/>
      <w:lvlJc w:val="left"/>
      <w:pPr>
        <w:ind w:left="1359" w:hanging="360"/>
      </w:pPr>
      <w:rPr>
        <w:rFonts w:hint="default"/>
        <w:lang w:val="en-US" w:eastAsia="en-US" w:bidi="ar-SA"/>
      </w:rPr>
    </w:lvl>
    <w:lvl w:ilvl="3" w:tplc="D64E062A">
      <w:numFmt w:val="bullet"/>
      <w:lvlText w:val="•"/>
      <w:lvlJc w:val="left"/>
      <w:pPr>
        <w:ind w:left="1798" w:hanging="360"/>
      </w:pPr>
      <w:rPr>
        <w:rFonts w:hint="default"/>
        <w:lang w:val="en-US" w:eastAsia="en-US" w:bidi="ar-SA"/>
      </w:rPr>
    </w:lvl>
    <w:lvl w:ilvl="4" w:tplc="FC145408">
      <w:numFmt w:val="bullet"/>
      <w:lvlText w:val="•"/>
      <w:lvlJc w:val="left"/>
      <w:pPr>
        <w:ind w:left="2238" w:hanging="360"/>
      </w:pPr>
      <w:rPr>
        <w:rFonts w:hint="default"/>
        <w:lang w:val="en-US" w:eastAsia="en-US" w:bidi="ar-SA"/>
      </w:rPr>
    </w:lvl>
    <w:lvl w:ilvl="5" w:tplc="3CC23518">
      <w:numFmt w:val="bullet"/>
      <w:lvlText w:val="•"/>
      <w:lvlJc w:val="left"/>
      <w:pPr>
        <w:ind w:left="2677" w:hanging="360"/>
      </w:pPr>
      <w:rPr>
        <w:rFonts w:hint="default"/>
        <w:lang w:val="en-US" w:eastAsia="en-US" w:bidi="ar-SA"/>
      </w:rPr>
    </w:lvl>
    <w:lvl w:ilvl="6" w:tplc="69AA17EE">
      <w:numFmt w:val="bullet"/>
      <w:lvlText w:val="•"/>
      <w:lvlJc w:val="left"/>
      <w:pPr>
        <w:ind w:left="3117" w:hanging="360"/>
      </w:pPr>
      <w:rPr>
        <w:rFonts w:hint="default"/>
        <w:lang w:val="en-US" w:eastAsia="en-US" w:bidi="ar-SA"/>
      </w:rPr>
    </w:lvl>
    <w:lvl w:ilvl="7" w:tplc="47AE2AFA">
      <w:numFmt w:val="bullet"/>
      <w:lvlText w:val="•"/>
      <w:lvlJc w:val="left"/>
      <w:pPr>
        <w:ind w:left="3556" w:hanging="360"/>
      </w:pPr>
      <w:rPr>
        <w:rFonts w:hint="default"/>
        <w:lang w:val="en-US" w:eastAsia="en-US" w:bidi="ar-SA"/>
      </w:rPr>
    </w:lvl>
    <w:lvl w:ilvl="8" w:tplc="2EEC6B42">
      <w:numFmt w:val="bullet"/>
      <w:lvlText w:val="•"/>
      <w:lvlJc w:val="left"/>
      <w:pPr>
        <w:ind w:left="3996" w:hanging="360"/>
      </w:pPr>
      <w:rPr>
        <w:rFonts w:hint="default"/>
        <w:lang w:val="en-US" w:eastAsia="en-US" w:bidi="ar-SA"/>
      </w:rPr>
    </w:lvl>
  </w:abstractNum>
  <w:abstractNum w:abstractNumId="22" w15:restartNumberingAfterBreak="0">
    <w:nsid w:val="22E55A9F"/>
    <w:multiLevelType w:val="hybridMultilevel"/>
    <w:tmpl w:val="9A12091A"/>
    <w:lvl w:ilvl="0" w:tplc="96387188">
      <w:numFmt w:val="bullet"/>
      <w:lvlText w:val="•"/>
      <w:lvlJc w:val="left"/>
      <w:pPr>
        <w:ind w:left="1133" w:hanging="284"/>
      </w:pPr>
      <w:rPr>
        <w:rFonts w:ascii="Lucida Sans" w:eastAsia="Lucida Sans" w:hAnsi="Lucida Sans" w:cs="Lucida Sans" w:hint="default"/>
        <w:b w:val="0"/>
        <w:bCs w:val="0"/>
        <w:i w:val="0"/>
        <w:iCs w:val="0"/>
        <w:spacing w:val="0"/>
        <w:w w:val="60"/>
        <w:sz w:val="18"/>
        <w:szCs w:val="18"/>
        <w:lang w:val="en-US" w:eastAsia="en-US" w:bidi="ar-SA"/>
      </w:rPr>
    </w:lvl>
    <w:lvl w:ilvl="1" w:tplc="E93C4F34">
      <w:numFmt w:val="bullet"/>
      <w:lvlText w:val="•"/>
      <w:lvlJc w:val="left"/>
      <w:pPr>
        <w:ind w:left="1429" w:hanging="284"/>
      </w:pPr>
      <w:rPr>
        <w:rFonts w:hint="default"/>
        <w:lang w:val="en-US" w:eastAsia="en-US" w:bidi="ar-SA"/>
      </w:rPr>
    </w:lvl>
    <w:lvl w:ilvl="2" w:tplc="0060DDD8">
      <w:numFmt w:val="bullet"/>
      <w:lvlText w:val="•"/>
      <w:lvlJc w:val="left"/>
      <w:pPr>
        <w:ind w:left="1718" w:hanging="284"/>
      </w:pPr>
      <w:rPr>
        <w:rFonts w:hint="default"/>
        <w:lang w:val="en-US" w:eastAsia="en-US" w:bidi="ar-SA"/>
      </w:rPr>
    </w:lvl>
    <w:lvl w:ilvl="3" w:tplc="3E082258">
      <w:numFmt w:val="bullet"/>
      <w:lvlText w:val="•"/>
      <w:lvlJc w:val="left"/>
      <w:pPr>
        <w:ind w:left="2007" w:hanging="284"/>
      </w:pPr>
      <w:rPr>
        <w:rFonts w:hint="default"/>
        <w:lang w:val="en-US" w:eastAsia="en-US" w:bidi="ar-SA"/>
      </w:rPr>
    </w:lvl>
    <w:lvl w:ilvl="4" w:tplc="F1F4C4EC">
      <w:numFmt w:val="bullet"/>
      <w:lvlText w:val="•"/>
      <w:lvlJc w:val="left"/>
      <w:pPr>
        <w:ind w:left="2297" w:hanging="284"/>
      </w:pPr>
      <w:rPr>
        <w:rFonts w:hint="default"/>
        <w:lang w:val="en-US" w:eastAsia="en-US" w:bidi="ar-SA"/>
      </w:rPr>
    </w:lvl>
    <w:lvl w:ilvl="5" w:tplc="4B2646BE">
      <w:numFmt w:val="bullet"/>
      <w:lvlText w:val="•"/>
      <w:lvlJc w:val="left"/>
      <w:pPr>
        <w:ind w:left="2586" w:hanging="284"/>
      </w:pPr>
      <w:rPr>
        <w:rFonts w:hint="default"/>
        <w:lang w:val="en-US" w:eastAsia="en-US" w:bidi="ar-SA"/>
      </w:rPr>
    </w:lvl>
    <w:lvl w:ilvl="6" w:tplc="72D82ECC">
      <w:numFmt w:val="bullet"/>
      <w:lvlText w:val="•"/>
      <w:lvlJc w:val="left"/>
      <w:pPr>
        <w:ind w:left="2875" w:hanging="284"/>
      </w:pPr>
      <w:rPr>
        <w:rFonts w:hint="default"/>
        <w:lang w:val="en-US" w:eastAsia="en-US" w:bidi="ar-SA"/>
      </w:rPr>
    </w:lvl>
    <w:lvl w:ilvl="7" w:tplc="9D7411B4">
      <w:numFmt w:val="bullet"/>
      <w:lvlText w:val="•"/>
      <w:lvlJc w:val="left"/>
      <w:pPr>
        <w:ind w:left="3165" w:hanging="284"/>
      </w:pPr>
      <w:rPr>
        <w:rFonts w:hint="default"/>
        <w:lang w:val="en-US" w:eastAsia="en-US" w:bidi="ar-SA"/>
      </w:rPr>
    </w:lvl>
    <w:lvl w:ilvl="8" w:tplc="62746432">
      <w:numFmt w:val="bullet"/>
      <w:lvlText w:val="•"/>
      <w:lvlJc w:val="left"/>
      <w:pPr>
        <w:ind w:left="3454" w:hanging="284"/>
      </w:pPr>
      <w:rPr>
        <w:rFonts w:hint="default"/>
        <w:lang w:val="en-US" w:eastAsia="en-US" w:bidi="ar-SA"/>
      </w:rPr>
    </w:lvl>
  </w:abstractNum>
  <w:abstractNum w:abstractNumId="23" w15:restartNumberingAfterBreak="0">
    <w:nsid w:val="234715A2"/>
    <w:multiLevelType w:val="hybridMultilevel"/>
    <w:tmpl w:val="4594A6FC"/>
    <w:lvl w:ilvl="0" w:tplc="8F6CADBC">
      <w:start w:val="1"/>
      <w:numFmt w:val="lowerLetter"/>
      <w:lvlText w:val="(%1)"/>
      <w:lvlJc w:val="left"/>
      <w:pPr>
        <w:ind w:left="1725" w:hanging="336"/>
      </w:pPr>
      <w:rPr>
        <w:rFonts w:ascii="Calibri" w:eastAsia="Calibri" w:hAnsi="Calibri" w:cs="Calibri" w:hint="default"/>
        <w:b w:val="0"/>
        <w:bCs w:val="0"/>
        <w:i w:val="0"/>
        <w:iCs w:val="0"/>
        <w:spacing w:val="-1"/>
        <w:w w:val="101"/>
        <w:sz w:val="20"/>
        <w:szCs w:val="20"/>
        <w:lang w:val="en-US" w:eastAsia="en-US" w:bidi="ar-SA"/>
      </w:rPr>
    </w:lvl>
    <w:lvl w:ilvl="1" w:tplc="AC607BE4">
      <w:numFmt w:val="bullet"/>
      <w:lvlText w:val="-"/>
      <w:lvlJc w:val="left"/>
      <w:pPr>
        <w:ind w:left="1847" w:hanging="133"/>
      </w:pPr>
      <w:rPr>
        <w:rFonts w:ascii="Arial" w:eastAsia="Arial" w:hAnsi="Arial" w:cs="Arial" w:hint="default"/>
        <w:b w:val="0"/>
        <w:bCs w:val="0"/>
        <w:i w:val="0"/>
        <w:iCs w:val="0"/>
        <w:spacing w:val="0"/>
        <w:w w:val="104"/>
        <w:sz w:val="16"/>
        <w:szCs w:val="16"/>
        <w:lang w:val="en-US" w:eastAsia="en-US" w:bidi="ar-SA"/>
      </w:rPr>
    </w:lvl>
    <w:lvl w:ilvl="2" w:tplc="573CE98C">
      <w:numFmt w:val="bullet"/>
      <w:lvlText w:val="•"/>
      <w:lvlJc w:val="left"/>
      <w:pPr>
        <w:ind w:left="2958" w:hanging="133"/>
      </w:pPr>
      <w:rPr>
        <w:rFonts w:hint="default"/>
        <w:lang w:val="en-US" w:eastAsia="en-US" w:bidi="ar-SA"/>
      </w:rPr>
    </w:lvl>
    <w:lvl w:ilvl="3" w:tplc="64323B86">
      <w:numFmt w:val="bullet"/>
      <w:lvlText w:val="•"/>
      <w:lvlJc w:val="left"/>
      <w:pPr>
        <w:ind w:left="4076" w:hanging="133"/>
      </w:pPr>
      <w:rPr>
        <w:rFonts w:hint="default"/>
        <w:lang w:val="en-US" w:eastAsia="en-US" w:bidi="ar-SA"/>
      </w:rPr>
    </w:lvl>
    <w:lvl w:ilvl="4" w:tplc="F27E680A">
      <w:numFmt w:val="bullet"/>
      <w:lvlText w:val="•"/>
      <w:lvlJc w:val="left"/>
      <w:pPr>
        <w:ind w:left="5195" w:hanging="133"/>
      </w:pPr>
      <w:rPr>
        <w:rFonts w:hint="default"/>
        <w:lang w:val="en-US" w:eastAsia="en-US" w:bidi="ar-SA"/>
      </w:rPr>
    </w:lvl>
    <w:lvl w:ilvl="5" w:tplc="D8FCF590">
      <w:numFmt w:val="bullet"/>
      <w:lvlText w:val="•"/>
      <w:lvlJc w:val="left"/>
      <w:pPr>
        <w:ind w:left="6313" w:hanging="133"/>
      </w:pPr>
      <w:rPr>
        <w:rFonts w:hint="default"/>
        <w:lang w:val="en-US" w:eastAsia="en-US" w:bidi="ar-SA"/>
      </w:rPr>
    </w:lvl>
    <w:lvl w:ilvl="6" w:tplc="400690C6">
      <w:numFmt w:val="bullet"/>
      <w:lvlText w:val="•"/>
      <w:lvlJc w:val="left"/>
      <w:pPr>
        <w:ind w:left="7431" w:hanging="133"/>
      </w:pPr>
      <w:rPr>
        <w:rFonts w:hint="default"/>
        <w:lang w:val="en-US" w:eastAsia="en-US" w:bidi="ar-SA"/>
      </w:rPr>
    </w:lvl>
    <w:lvl w:ilvl="7" w:tplc="90186E2A">
      <w:numFmt w:val="bullet"/>
      <w:lvlText w:val="•"/>
      <w:lvlJc w:val="left"/>
      <w:pPr>
        <w:ind w:left="8550" w:hanging="133"/>
      </w:pPr>
      <w:rPr>
        <w:rFonts w:hint="default"/>
        <w:lang w:val="en-US" w:eastAsia="en-US" w:bidi="ar-SA"/>
      </w:rPr>
    </w:lvl>
    <w:lvl w:ilvl="8" w:tplc="C1B83140">
      <w:numFmt w:val="bullet"/>
      <w:lvlText w:val="•"/>
      <w:lvlJc w:val="left"/>
      <w:pPr>
        <w:ind w:left="9668" w:hanging="133"/>
      </w:pPr>
      <w:rPr>
        <w:rFonts w:hint="default"/>
        <w:lang w:val="en-US" w:eastAsia="en-US" w:bidi="ar-SA"/>
      </w:rPr>
    </w:lvl>
  </w:abstractNum>
  <w:abstractNum w:abstractNumId="24" w15:restartNumberingAfterBreak="0">
    <w:nsid w:val="24C43064"/>
    <w:multiLevelType w:val="hybridMultilevel"/>
    <w:tmpl w:val="6770B806"/>
    <w:lvl w:ilvl="0" w:tplc="472279E0">
      <w:start w:val="1"/>
      <w:numFmt w:val="lowerLetter"/>
      <w:lvlText w:val="(%1)"/>
      <w:lvlJc w:val="left"/>
      <w:pPr>
        <w:ind w:left="1448" w:hanging="335"/>
      </w:pPr>
      <w:rPr>
        <w:rFonts w:ascii="Arial" w:eastAsia="Arial" w:hAnsi="Arial" w:cs="Arial" w:hint="default"/>
        <w:b w:val="0"/>
        <w:bCs w:val="0"/>
        <w:i/>
        <w:iCs/>
        <w:spacing w:val="-2"/>
        <w:w w:val="97"/>
        <w:sz w:val="15"/>
        <w:szCs w:val="15"/>
        <w:lang w:val="en-US" w:eastAsia="en-US" w:bidi="ar-SA"/>
      </w:rPr>
    </w:lvl>
    <w:lvl w:ilvl="1" w:tplc="0A388986">
      <w:numFmt w:val="bullet"/>
      <w:lvlText w:val="•"/>
      <w:lvlJc w:val="left"/>
      <w:pPr>
        <w:ind w:left="2486" w:hanging="335"/>
      </w:pPr>
      <w:rPr>
        <w:rFonts w:hint="default"/>
        <w:lang w:val="en-US" w:eastAsia="en-US" w:bidi="ar-SA"/>
      </w:rPr>
    </w:lvl>
    <w:lvl w:ilvl="2" w:tplc="5C746B4A">
      <w:numFmt w:val="bullet"/>
      <w:lvlText w:val="•"/>
      <w:lvlJc w:val="left"/>
      <w:pPr>
        <w:ind w:left="3533" w:hanging="335"/>
      </w:pPr>
      <w:rPr>
        <w:rFonts w:hint="default"/>
        <w:lang w:val="en-US" w:eastAsia="en-US" w:bidi="ar-SA"/>
      </w:rPr>
    </w:lvl>
    <w:lvl w:ilvl="3" w:tplc="5C10306C">
      <w:numFmt w:val="bullet"/>
      <w:lvlText w:val="•"/>
      <w:lvlJc w:val="left"/>
      <w:pPr>
        <w:ind w:left="4579" w:hanging="335"/>
      </w:pPr>
      <w:rPr>
        <w:rFonts w:hint="default"/>
        <w:lang w:val="en-US" w:eastAsia="en-US" w:bidi="ar-SA"/>
      </w:rPr>
    </w:lvl>
    <w:lvl w:ilvl="4" w:tplc="1C6812FE">
      <w:numFmt w:val="bullet"/>
      <w:lvlText w:val="•"/>
      <w:lvlJc w:val="left"/>
      <w:pPr>
        <w:ind w:left="5626" w:hanging="335"/>
      </w:pPr>
      <w:rPr>
        <w:rFonts w:hint="default"/>
        <w:lang w:val="en-US" w:eastAsia="en-US" w:bidi="ar-SA"/>
      </w:rPr>
    </w:lvl>
    <w:lvl w:ilvl="5" w:tplc="ED08D96A">
      <w:numFmt w:val="bullet"/>
      <w:lvlText w:val="•"/>
      <w:lvlJc w:val="left"/>
      <w:pPr>
        <w:ind w:left="6672" w:hanging="335"/>
      </w:pPr>
      <w:rPr>
        <w:rFonts w:hint="default"/>
        <w:lang w:val="en-US" w:eastAsia="en-US" w:bidi="ar-SA"/>
      </w:rPr>
    </w:lvl>
    <w:lvl w:ilvl="6" w:tplc="4956FD6A">
      <w:numFmt w:val="bullet"/>
      <w:lvlText w:val="•"/>
      <w:lvlJc w:val="left"/>
      <w:pPr>
        <w:ind w:left="7719" w:hanging="335"/>
      </w:pPr>
      <w:rPr>
        <w:rFonts w:hint="default"/>
        <w:lang w:val="en-US" w:eastAsia="en-US" w:bidi="ar-SA"/>
      </w:rPr>
    </w:lvl>
    <w:lvl w:ilvl="7" w:tplc="798C61A0">
      <w:numFmt w:val="bullet"/>
      <w:lvlText w:val="•"/>
      <w:lvlJc w:val="left"/>
      <w:pPr>
        <w:ind w:left="8765" w:hanging="335"/>
      </w:pPr>
      <w:rPr>
        <w:rFonts w:hint="default"/>
        <w:lang w:val="en-US" w:eastAsia="en-US" w:bidi="ar-SA"/>
      </w:rPr>
    </w:lvl>
    <w:lvl w:ilvl="8" w:tplc="B380E6C8">
      <w:numFmt w:val="bullet"/>
      <w:lvlText w:val="•"/>
      <w:lvlJc w:val="left"/>
      <w:pPr>
        <w:ind w:left="9812" w:hanging="335"/>
      </w:pPr>
      <w:rPr>
        <w:rFonts w:hint="default"/>
        <w:lang w:val="en-US" w:eastAsia="en-US" w:bidi="ar-SA"/>
      </w:rPr>
    </w:lvl>
  </w:abstractNum>
  <w:abstractNum w:abstractNumId="25" w15:restartNumberingAfterBreak="0">
    <w:nsid w:val="26780E4B"/>
    <w:multiLevelType w:val="hybridMultilevel"/>
    <w:tmpl w:val="2494BF52"/>
    <w:lvl w:ilvl="0" w:tplc="21005A6A">
      <w:numFmt w:val="bullet"/>
      <w:lvlText w:val="•"/>
      <w:lvlJc w:val="left"/>
      <w:pPr>
        <w:ind w:left="681" w:hanging="284"/>
      </w:pPr>
      <w:rPr>
        <w:rFonts w:ascii="Lucida Sans" w:eastAsia="Lucida Sans" w:hAnsi="Lucida Sans" w:cs="Lucida Sans" w:hint="default"/>
        <w:b w:val="0"/>
        <w:bCs w:val="0"/>
        <w:i w:val="0"/>
        <w:iCs w:val="0"/>
        <w:spacing w:val="0"/>
        <w:w w:val="60"/>
        <w:sz w:val="18"/>
        <w:szCs w:val="18"/>
        <w:lang w:val="en-US" w:eastAsia="en-US" w:bidi="ar-SA"/>
      </w:rPr>
    </w:lvl>
    <w:lvl w:ilvl="1" w:tplc="12C6A7F2">
      <w:numFmt w:val="bullet"/>
      <w:lvlText w:val="•"/>
      <w:lvlJc w:val="left"/>
      <w:pPr>
        <w:ind w:left="1224" w:hanging="284"/>
      </w:pPr>
      <w:rPr>
        <w:rFonts w:hint="default"/>
        <w:lang w:val="en-US" w:eastAsia="en-US" w:bidi="ar-SA"/>
      </w:rPr>
    </w:lvl>
    <w:lvl w:ilvl="2" w:tplc="67DAA872">
      <w:numFmt w:val="bullet"/>
      <w:lvlText w:val="•"/>
      <w:lvlJc w:val="left"/>
      <w:pPr>
        <w:ind w:left="1768" w:hanging="284"/>
      </w:pPr>
      <w:rPr>
        <w:rFonts w:hint="default"/>
        <w:lang w:val="en-US" w:eastAsia="en-US" w:bidi="ar-SA"/>
      </w:rPr>
    </w:lvl>
    <w:lvl w:ilvl="3" w:tplc="A224D37C">
      <w:numFmt w:val="bullet"/>
      <w:lvlText w:val="•"/>
      <w:lvlJc w:val="left"/>
      <w:pPr>
        <w:ind w:left="2313" w:hanging="284"/>
      </w:pPr>
      <w:rPr>
        <w:rFonts w:hint="default"/>
        <w:lang w:val="en-US" w:eastAsia="en-US" w:bidi="ar-SA"/>
      </w:rPr>
    </w:lvl>
    <w:lvl w:ilvl="4" w:tplc="CE2ABB58">
      <w:numFmt w:val="bullet"/>
      <w:lvlText w:val="•"/>
      <w:lvlJc w:val="left"/>
      <w:pPr>
        <w:ind w:left="2857" w:hanging="284"/>
      </w:pPr>
      <w:rPr>
        <w:rFonts w:hint="default"/>
        <w:lang w:val="en-US" w:eastAsia="en-US" w:bidi="ar-SA"/>
      </w:rPr>
    </w:lvl>
    <w:lvl w:ilvl="5" w:tplc="C584CC0E">
      <w:numFmt w:val="bullet"/>
      <w:lvlText w:val="•"/>
      <w:lvlJc w:val="left"/>
      <w:pPr>
        <w:ind w:left="3401" w:hanging="284"/>
      </w:pPr>
      <w:rPr>
        <w:rFonts w:hint="default"/>
        <w:lang w:val="en-US" w:eastAsia="en-US" w:bidi="ar-SA"/>
      </w:rPr>
    </w:lvl>
    <w:lvl w:ilvl="6" w:tplc="E7146D6A">
      <w:numFmt w:val="bullet"/>
      <w:lvlText w:val="•"/>
      <w:lvlJc w:val="left"/>
      <w:pPr>
        <w:ind w:left="3946" w:hanging="284"/>
      </w:pPr>
      <w:rPr>
        <w:rFonts w:hint="default"/>
        <w:lang w:val="en-US" w:eastAsia="en-US" w:bidi="ar-SA"/>
      </w:rPr>
    </w:lvl>
    <w:lvl w:ilvl="7" w:tplc="1E9CC174">
      <w:numFmt w:val="bullet"/>
      <w:lvlText w:val="•"/>
      <w:lvlJc w:val="left"/>
      <w:pPr>
        <w:ind w:left="4490" w:hanging="284"/>
      </w:pPr>
      <w:rPr>
        <w:rFonts w:hint="default"/>
        <w:lang w:val="en-US" w:eastAsia="en-US" w:bidi="ar-SA"/>
      </w:rPr>
    </w:lvl>
    <w:lvl w:ilvl="8" w:tplc="00841694">
      <w:numFmt w:val="bullet"/>
      <w:lvlText w:val="•"/>
      <w:lvlJc w:val="left"/>
      <w:pPr>
        <w:ind w:left="5035" w:hanging="284"/>
      </w:pPr>
      <w:rPr>
        <w:rFonts w:hint="default"/>
        <w:lang w:val="en-US" w:eastAsia="en-US" w:bidi="ar-SA"/>
      </w:rPr>
    </w:lvl>
  </w:abstractNum>
  <w:abstractNum w:abstractNumId="26" w15:restartNumberingAfterBreak="0">
    <w:nsid w:val="292D55FF"/>
    <w:multiLevelType w:val="hybridMultilevel"/>
    <w:tmpl w:val="A2341EA2"/>
    <w:lvl w:ilvl="0" w:tplc="AF06178C">
      <w:numFmt w:val="bullet"/>
      <w:lvlText w:val="•"/>
      <w:lvlJc w:val="left"/>
      <w:pPr>
        <w:ind w:left="474" w:hanging="360"/>
      </w:pPr>
      <w:rPr>
        <w:rFonts w:ascii="Lucida Sans" w:eastAsia="Lucida Sans" w:hAnsi="Lucida Sans" w:cs="Lucida Sans" w:hint="default"/>
        <w:b w:val="0"/>
        <w:bCs w:val="0"/>
        <w:i w:val="0"/>
        <w:iCs w:val="0"/>
        <w:spacing w:val="0"/>
        <w:w w:val="60"/>
        <w:sz w:val="16"/>
        <w:szCs w:val="16"/>
        <w:lang w:val="en-US" w:eastAsia="en-US" w:bidi="ar-SA"/>
      </w:rPr>
    </w:lvl>
    <w:lvl w:ilvl="1" w:tplc="B2620202">
      <w:numFmt w:val="bullet"/>
      <w:lvlText w:val="•"/>
      <w:lvlJc w:val="left"/>
      <w:pPr>
        <w:ind w:left="919" w:hanging="360"/>
      </w:pPr>
      <w:rPr>
        <w:rFonts w:hint="default"/>
        <w:lang w:val="en-US" w:eastAsia="en-US" w:bidi="ar-SA"/>
      </w:rPr>
    </w:lvl>
    <w:lvl w:ilvl="2" w:tplc="6A968C6C">
      <w:numFmt w:val="bullet"/>
      <w:lvlText w:val="•"/>
      <w:lvlJc w:val="left"/>
      <w:pPr>
        <w:ind w:left="1359" w:hanging="360"/>
      </w:pPr>
      <w:rPr>
        <w:rFonts w:hint="default"/>
        <w:lang w:val="en-US" w:eastAsia="en-US" w:bidi="ar-SA"/>
      </w:rPr>
    </w:lvl>
    <w:lvl w:ilvl="3" w:tplc="9C6ED050">
      <w:numFmt w:val="bullet"/>
      <w:lvlText w:val="•"/>
      <w:lvlJc w:val="left"/>
      <w:pPr>
        <w:ind w:left="1798" w:hanging="360"/>
      </w:pPr>
      <w:rPr>
        <w:rFonts w:hint="default"/>
        <w:lang w:val="en-US" w:eastAsia="en-US" w:bidi="ar-SA"/>
      </w:rPr>
    </w:lvl>
    <w:lvl w:ilvl="4" w:tplc="4968B1BA">
      <w:numFmt w:val="bullet"/>
      <w:lvlText w:val="•"/>
      <w:lvlJc w:val="left"/>
      <w:pPr>
        <w:ind w:left="2238" w:hanging="360"/>
      </w:pPr>
      <w:rPr>
        <w:rFonts w:hint="default"/>
        <w:lang w:val="en-US" w:eastAsia="en-US" w:bidi="ar-SA"/>
      </w:rPr>
    </w:lvl>
    <w:lvl w:ilvl="5" w:tplc="CE96DCB0">
      <w:numFmt w:val="bullet"/>
      <w:lvlText w:val="•"/>
      <w:lvlJc w:val="left"/>
      <w:pPr>
        <w:ind w:left="2677" w:hanging="360"/>
      </w:pPr>
      <w:rPr>
        <w:rFonts w:hint="default"/>
        <w:lang w:val="en-US" w:eastAsia="en-US" w:bidi="ar-SA"/>
      </w:rPr>
    </w:lvl>
    <w:lvl w:ilvl="6" w:tplc="CEF65F88">
      <w:numFmt w:val="bullet"/>
      <w:lvlText w:val="•"/>
      <w:lvlJc w:val="left"/>
      <w:pPr>
        <w:ind w:left="3117" w:hanging="360"/>
      </w:pPr>
      <w:rPr>
        <w:rFonts w:hint="default"/>
        <w:lang w:val="en-US" w:eastAsia="en-US" w:bidi="ar-SA"/>
      </w:rPr>
    </w:lvl>
    <w:lvl w:ilvl="7" w:tplc="6B9E2600">
      <w:numFmt w:val="bullet"/>
      <w:lvlText w:val="•"/>
      <w:lvlJc w:val="left"/>
      <w:pPr>
        <w:ind w:left="3556" w:hanging="360"/>
      </w:pPr>
      <w:rPr>
        <w:rFonts w:hint="default"/>
        <w:lang w:val="en-US" w:eastAsia="en-US" w:bidi="ar-SA"/>
      </w:rPr>
    </w:lvl>
    <w:lvl w:ilvl="8" w:tplc="27DCA832">
      <w:numFmt w:val="bullet"/>
      <w:lvlText w:val="•"/>
      <w:lvlJc w:val="left"/>
      <w:pPr>
        <w:ind w:left="3996" w:hanging="360"/>
      </w:pPr>
      <w:rPr>
        <w:rFonts w:hint="default"/>
        <w:lang w:val="en-US" w:eastAsia="en-US" w:bidi="ar-SA"/>
      </w:rPr>
    </w:lvl>
  </w:abstractNum>
  <w:abstractNum w:abstractNumId="27" w15:restartNumberingAfterBreak="0">
    <w:nsid w:val="293F7D8C"/>
    <w:multiLevelType w:val="hybridMultilevel"/>
    <w:tmpl w:val="8D4E7F1C"/>
    <w:lvl w:ilvl="0" w:tplc="F15E619C">
      <w:numFmt w:val="bullet"/>
      <w:lvlText w:val="•"/>
      <w:lvlJc w:val="left"/>
      <w:pPr>
        <w:ind w:left="1149" w:hanging="284"/>
      </w:pPr>
      <w:rPr>
        <w:rFonts w:ascii="Lucida Sans" w:eastAsia="Lucida Sans" w:hAnsi="Lucida Sans" w:cs="Lucida Sans" w:hint="default"/>
        <w:b w:val="0"/>
        <w:bCs w:val="0"/>
        <w:i w:val="0"/>
        <w:iCs w:val="0"/>
        <w:spacing w:val="0"/>
        <w:w w:val="60"/>
        <w:sz w:val="18"/>
        <w:szCs w:val="18"/>
        <w:lang w:val="en-US" w:eastAsia="en-US" w:bidi="ar-SA"/>
      </w:rPr>
    </w:lvl>
    <w:lvl w:ilvl="1" w:tplc="1606352C">
      <w:numFmt w:val="bullet"/>
      <w:lvlText w:val="•"/>
      <w:lvlJc w:val="left"/>
      <w:pPr>
        <w:ind w:left="1600" w:hanging="284"/>
      </w:pPr>
      <w:rPr>
        <w:rFonts w:hint="default"/>
        <w:lang w:val="en-US" w:eastAsia="en-US" w:bidi="ar-SA"/>
      </w:rPr>
    </w:lvl>
    <w:lvl w:ilvl="2" w:tplc="4DCE6A12">
      <w:numFmt w:val="bullet"/>
      <w:lvlText w:val="•"/>
      <w:lvlJc w:val="left"/>
      <w:pPr>
        <w:ind w:left="2060" w:hanging="284"/>
      </w:pPr>
      <w:rPr>
        <w:rFonts w:hint="default"/>
        <w:lang w:val="en-US" w:eastAsia="en-US" w:bidi="ar-SA"/>
      </w:rPr>
    </w:lvl>
    <w:lvl w:ilvl="3" w:tplc="CA84CCDA">
      <w:numFmt w:val="bullet"/>
      <w:lvlText w:val="•"/>
      <w:lvlJc w:val="left"/>
      <w:pPr>
        <w:ind w:left="2520" w:hanging="284"/>
      </w:pPr>
      <w:rPr>
        <w:rFonts w:hint="default"/>
        <w:lang w:val="en-US" w:eastAsia="en-US" w:bidi="ar-SA"/>
      </w:rPr>
    </w:lvl>
    <w:lvl w:ilvl="4" w:tplc="706EBD20">
      <w:numFmt w:val="bullet"/>
      <w:lvlText w:val="•"/>
      <w:lvlJc w:val="left"/>
      <w:pPr>
        <w:ind w:left="2980" w:hanging="284"/>
      </w:pPr>
      <w:rPr>
        <w:rFonts w:hint="default"/>
        <w:lang w:val="en-US" w:eastAsia="en-US" w:bidi="ar-SA"/>
      </w:rPr>
    </w:lvl>
    <w:lvl w:ilvl="5" w:tplc="FCE807DC">
      <w:numFmt w:val="bullet"/>
      <w:lvlText w:val="•"/>
      <w:lvlJc w:val="left"/>
      <w:pPr>
        <w:ind w:left="3440" w:hanging="284"/>
      </w:pPr>
      <w:rPr>
        <w:rFonts w:hint="default"/>
        <w:lang w:val="en-US" w:eastAsia="en-US" w:bidi="ar-SA"/>
      </w:rPr>
    </w:lvl>
    <w:lvl w:ilvl="6" w:tplc="C8C833CE">
      <w:numFmt w:val="bullet"/>
      <w:lvlText w:val="•"/>
      <w:lvlJc w:val="left"/>
      <w:pPr>
        <w:ind w:left="3901" w:hanging="284"/>
      </w:pPr>
      <w:rPr>
        <w:rFonts w:hint="default"/>
        <w:lang w:val="en-US" w:eastAsia="en-US" w:bidi="ar-SA"/>
      </w:rPr>
    </w:lvl>
    <w:lvl w:ilvl="7" w:tplc="F7006AB4">
      <w:numFmt w:val="bullet"/>
      <w:lvlText w:val="•"/>
      <w:lvlJc w:val="left"/>
      <w:pPr>
        <w:ind w:left="4361" w:hanging="284"/>
      </w:pPr>
      <w:rPr>
        <w:rFonts w:hint="default"/>
        <w:lang w:val="en-US" w:eastAsia="en-US" w:bidi="ar-SA"/>
      </w:rPr>
    </w:lvl>
    <w:lvl w:ilvl="8" w:tplc="D22A227C">
      <w:numFmt w:val="bullet"/>
      <w:lvlText w:val="•"/>
      <w:lvlJc w:val="left"/>
      <w:pPr>
        <w:ind w:left="4821" w:hanging="284"/>
      </w:pPr>
      <w:rPr>
        <w:rFonts w:hint="default"/>
        <w:lang w:val="en-US" w:eastAsia="en-US" w:bidi="ar-SA"/>
      </w:rPr>
    </w:lvl>
  </w:abstractNum>
  <w:abstractNum w:abstractNumId="28" w15:restartNumberingAfterBreak="0">
    <w:nsid w:val="29C767EE"/>
    <w:multiLevelType w:val="hybridMultilevel"/>
    <w:tmpl w:val="AFBA1B26"/>
    <w:lvl w:ilvl="0" w:tplc="DC2C07F6">
      <w:numFmt w:val="bullet"/>
      <w:lvlText w:val="•"/>
      <w:lvlJc w:val="left"/>
      <w:pPr>
        <w:ind w:left="1435" w:hanging="284"/>
      </w:pPr>
      <w:rPr>
        <w:rFonts w:ascii="Lucida Sans" w:eastAsia="Lucida Sans" w:hAnsi="Lucida Sans" w:cs="Lucida Sans" w:hint="default"/>
        <w:b w:val="0"/>
        <w:bCs w:val="0"/>
        <w:i w:val="0"/>
        <w:iCs w:val="0"/>
        <w:spacing w:val="0"/>
        <w:w w:val="60"/>
        <w:sz w:val="16"/>
        <w:szCs w:val="16"/>
        <w:lang w:val="en-US" w:eastAsia="en-US" w:bidi="ar-SA"/>
      </w:rPr>
    </w:lvl>
    <w:lvl w:ilvl="1" w:tplc="D71AB2A6">
      <w:numFmt w:val="bullet"/>
      <w:lvlText w:val="•"/>
      <w:lvlJc w:val="left"/>
      <w:pPr>
        <w:ind w:left="2103" w:hanging="284"/>
      </w:pPr>
      <w:rPr>
        <w:rFonts w:hint="default"/>
        <w:lang w:val="en-US" w:eastAsia="en-US" w:bidi="ar-SA"/>
      </w:rPr>
    </w:lvl>
    <w:lvl w:ilvl="2" w:tplc="39B2C3D2">
      <w:numFmt w:val="bullet"/>
      <w:lvlText w:val="•"/>
      <w:lvlJc w:val="left"/>
      <w:pPr>
        <w:ind w:left="2766" w:hanging="284"/>
      </w:pPr>
      <w:rPr>
        <w:rFonts w:hint="default"/>
        <w:lang w:val="en-US" w:eastAsia="en-US" w:bidi="ar-SA"/>
      </w:rPr>
    </w:lvl>
    <w:lvl w:ilvl="3" w:tplc="FBDE2B04">
      <w:numFmt w:val="bullet"/>
      <w:lvlText w:val="•"/>
      <w:lvlJc w:val="left"/>
      <w:pPr>
        <w:ind w:left="3429" w:hanging="284"/>
      </w:pPr>
      <w:rPr>
        <w:rFonts w:hint="default"/>
        <w:lang w:val="en-US" w:eastAsia="en-US" w:bidi="ar-SA"/>
      </w:rPr>
    </w:lvl>
    <w:lvl w:ilvl="4" w:tplc="A702992E">
      <w:numFmt w:val="bullet"/>
      <w:lvlText w:val="•"/>
      <w:lvlJc w:val="left"/>
      <w:pPr>
        <w:ind w:left="4092" w:hanging="284"/>
      </w:pPr>
      <w:rPr>
        <w:rFonts w:hint="default"/>
        <w:lang w:val="en-US" w:eastAsia="en-US" w:bidi="ar-SA"/>
      </w:rPr>
    </w:lvl>
    <w:lvl w:ilvl="5" w:tplc="E21C050C">
      <w:numFmt w:val="bullet"/>
      <w:lvlText w:val="•"/>
      <w:lvlJc w:val="left"/>
      <w:pPr>
        <w:ind w:left="4756" w:hanging="284"/>
      </w:pPr>
      <w:rPr>
        <w:rFonts w:hint="default"/>
        <w:lang w:val="en-US" w:eastAsia="en-US" w:bidi="ar-SA"/>
      </w:rPr>
    </w:lvl>
    <w:lvl w:ilvl="6" w:tplc="1D5A59B8">
      <w:numFmt w:val="bullet"/>
      <w:lvlText w:val="•"/>
      <w:lvlJc w:val="left"/>
      <w:pPr>
        <w:ind w:left="5419" w:hanging="284"/>
      </w:pPr>
      <w:rPr>
        <w:rFonts w:hint="default"/>
        <w:lang w:val="en-US" w:eastAsia="en-US" w:bidi="ar-SA"/>
      </w:rPr>
    </w:lvl>
    <w:lvl w:ilvl="7" w:tplc="42762766">
      <w:numFmt w:val="bullet"/>
      <w:lvlText w:val="•"/>
      <w:lvlJc w:val="left"/>
      <w:pPr>
        <w:ind w:left="6082" w:hanging="284"/>
      </w:pPr>
      <w:rPr>
        <w:rFonts w:hint="default"/>
        <w:lang w:val="en-US" w:eastAsia="en-US" w:bidi="ar-SA"/>
      </w:rPr>
    </w:lvl>
    <w:lvl w:ilvl="8" w:tplc="FB301050">
      <w:numFmt w:val="bullet"/>
      <w:lvlText w:val="•"/>
      <w:lvlJc w:val="left"/>
      <w:pPr>
        <w:ind w:left="6745" w:hanging="284"/>
      </w:pPr>
      <w:rPr>
        <w:rFonts w:hint="default"/>
        <w:lang w:val="en-US" w:eastAsia="en-US" w:bidi="ar-SA"/>
      </w:rPr>
    </w:lvl>
  </w:abstractNum>
  <w:abstractNum w:abstractNumId="29" w15:restartNumberingAfterBreak="0">
    <w:nsid w:val="2A6F1D57"/>
    <w:multiLevelType w:val="multilevel"/>
    <w:tmpl w:val="7C204862"/>
    <w:lvl w:ilvl="0">
      <w:start w:val="4"/>
      <w:numFmt w:val="decimal"/>
      <w:lvlText w:val="%1"/>
      <w:lvlJc w:val="left"/>
      <w:pPr>
        <w:ind w:left="1412" w:hanging="334"/>
      </w:pPr>
      <w:rPr>
        <w:rFonts w:hint="default"/>
        <w:lang w:val="en-US" w:eastAsia="en-US" w:bidi="ar-SA"/>
      </w:rPr>
    </w:lvl>
    <w:lvl w:ilvl="1">
      <w:start w:val="1"/>
      <w:numFmt w:val="decimal"/>
      <w:lvlText w:val="%1.%2"/>
      <w:lvlJc w:val="left"/>
      <w:pPr>
        <w:ind w:left="1412" w:hanging="334"/>
      </w:pPr>
      <w:rPr>
        <w:rFonts w:ascii="Arial" w:eastAsia="Arial" w:hAnsi="Arial" w:cs="Arial" w:hint="default"/>
        <w:b/>
        <w:bCs/>
        <w:i w:val="0"/>
        <w:iCs w:val="0"/>
        <w:color w:val="003863"/>
        <w:spacing w:val="0"/>
        <w:w w:val="101"/>
        <w:sz w:val="20"/>
        <w:szCs w:val="20"/>
        <w:lang w:val="en-US" w:eastAsia="en-US" w:bidi="ar-SA"/>
      </w:rPr>
    </w:lvl>
    <w:lvl w:ilvl="2">
      <w:start w:val="1"/>
      <w:numFmt w:val="decimal"/>
      <w:lvlText w:val="%1.%2.%3"/>
      <w:lvlJc w:val="left"/>
      <w:pPr>
        <w:ind w:left="1571" w:hanging="514"/>
      </w:pPr>
      <w:rPr>
        <w:rFonts w:hint="default"/>
        <w:spacing w:val="0"/>
        <w:w w:val="102"/>
        <w:lang w:val="en-US" w:eastAsia="en-US" w:bidi="ar-SA"/>
      </w:rPr>
    </w:lvl>
    <w:lvl w:ilvl="3">
      <w:numFmt w:val="bullet"/>
      <w:lvlText w:val=""/>
      <w:lvlJc w:val="left"/>
      <w:pPr>
        <w:ind w:left="1724" w:hanging="336"/>
      </w:pPr>
      <w:rPr>
        <w:rFonts w:ascii="Symbol" w:eastAsia="Symbol" w:hAnsi="Symbol" w:cs="Symbol" w:hint="default"/>
        <w:b w:val="0"/>
        <w:bCs w:val="0"/>
        <w:i w:val="0"/>
        <w:iCs w:val="0"/>
        <w:spacing w:val="0"/>
        <w:w w:val="104"/>
        <w:sz w:val="16"/>
        <w:szCs w:val="16"/>
        <w:lang w:val="en-US" w:eastAsia="en-US" w:bidi="ar-SA"/>
      </w:rPr>
    </w:lvl>
    <w:lvl w:ilvl="4">
      <w:numFmt w:val="bullet"/>
      <w:lvlText w:val="•"/>
      <w:lvlJc w:val="left"/>
      <w:pPr>
        <w:ind w:left="2707" w:hanging="336"/>
      </w:pPr>
      <w:rPr>
        <w:rFonts w:hint="default"/>
        <w:lang w:val="en-US" w:eastAsia="en-US" w:bidi="ar-SA"/>
      </w:rPr>
    </w:lvl>
    <w:lvl w:ilvl="5">
      <w:numFmt w:val="bullet"/>
      <w:lvlText w:val="•"/>
      <w:lvlJc w:val="left"/>
      <w:pPr>
        <w:ind w:left="3201" w:hanging="336"/>
      </w:pPr>
      <w:rPr>
        <w:rFonts w:hint="default"/>
        <w:lang w:val="en-US" w:eastAsia="en-US" w:bidi="ar-SA"/>
      </w:rPr>
    </w:lvl>
    <w:lvl w:ilvl="6">
      <w:numFmt w:val="bullet"/>
      <w:lvlText w:val="•"/>
      <w:lvlJc w:val="left"/>
      <w:pPr>
        <w:ind w:left="3695" w:hanging="336"/>
      </w:pPr>
      <w:rPr>
        <w:rFonts w:hint="default"/>
        <w:lang w:val="en-US" w:eastAsia="en-US" w:bidi="ar-SA"/>
      </w:rPr>
    </w:lvl>
    <w:lvl w:ilvl="7">
      <w:numFmt w:val="bullet"/>
      <w:lvlText w:val="•"/>
      <w:lvlJc w:val="left"/>
      <w:pPr>
        <w:ind w:left="4189" w:hanging="336"/>
      </w:pPr>
      <w:rPr>
        <w:rFonts w:hint="default"/>
        <w:lang w:val="en-US" w:eastAsia="en-US" w:bidi="ar-SA"/>
      </w:rPr>
    </w:lvl>
    <w:lvl w:ilvl="8">
      <w:numFmt w:val="bullet"/>
      <w:lvlText w:val="•"/>
      <w:lvlJc w:val="left"/>
      <w:pPr>
        <w:ind w:left="4683" w:hanging="336"/>
      </w:pPr>
      <w:rPr>
        <w:rFonts w:hint="default"/>
        <w:lang w:val="en-US" w:eastAsia="en-US" w:bidi="ar-SA"/>
      </w:rPr>
    </w:lvl>
  </w:abstractNum>
  <w:abstractNum w:abstractNumId="30" w15:restartNumberingAfterBreak="0">
    <w:nsid w:val="2AA403C1"/>
    <w:multiLevelType w:val="multilevel"/>
    <w:tmpl w:val="84FAEE0E"/>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ADF5571"/>
    <w:multiLevelType w:val="hybridMultilevel"/>
    <w:tmpl w:val="7CEABB66"/>
    <w:lvl w:ilvl="0" w:tplc="90A6A160">
      <w:start w:val="1"/>
      <w:numFmt w:val="decimal"/>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32" w15:restartNumberingAfterBreak="0">
    <w:nsid w:val="2B0D4DDF"/>
    <w:multiLevelType w:val="hybridMultilevel"/>
    <w:tmpl w:val="5666DB5C"/>
    <w:lvl w:ilvl="0" w:tplc="E7AEBD30">
      <w:numFmt w:val="bullet"/>
      <w:lvlText w:val="•"/>
      <w:lvlJc w:val="left"/>
      <w:pPr>
        <w:ind w:left="1133" w:hanging="284"/>
      </w:pPr>
      <w:rPr>
        <w:rFonts w:ascii="Lucida Sans" w:eastAsia="Lucida Sans" w:hAnsi="Lucida Sans" w:cs="Lucida Sans" w:hint="default"/>
        <w:b w:val="0"/>
        <w:bCs w:val="0"/>
        <w:i w:val="0"/>
        <w:iCs w:val="0"/>
        <w:spacing w:val="0"/>
        <w:w w:val="60"/>
        <w:sz w:val="18"/>
        <w:szCs w:val="18"/>
        <w:lang w:val="en-US" w:eastAsia="en-US" w:bidi="ar-SA"/>
      </w:rPr>
    </w:lvl>
    <w:lvl w:ilvl="1" w:tplc="81BA4948">
      <w:numFmt w:val="bullet"/>
      <w:lvlText w:val="•"/>
      <w:lvlJc w:val="left"/>
      <w:pPr>
        <w:ind w:left="1597" w:hanging="284"/>
      </w:pPr>
      <w:rPr>
        <w:rFonts w:hint="default"/>
        <w:lang w:val="en-US" w:eastAsia="en-US" w:bidi="ar-SA"/>
      </w:rPr>
    </w:lvl>
    <w:lvl w:ilvl="2" w:tplc="A7586474">
      <w:numFmt w:val="bullet"/>
      <w:lvlText w:val="•"/>
      <w:lvlJc w:val="left"/>
      <w:pPr>
        <w:ind w:left="2055" w:hanging="284"/>
      </w:pPr>
      <w:rPr>
        <w:rFonts w:hint="default"/>
        <w:lang w:val="en-US" w:eastAsia="en-US" w:bidi="ar-SA"/>
      </w:rPr>
    </w:lvl>
    <w:lvl w:ilvl="3" w:tplc="369EBC50">
      <w:numFmt w:val="bullet"/>
      <w:lvlText w:val="•"/>
      <w:lvlJc w:val="left"/>
      <w:pPr>
        <w:ind w:left="2513" w:hanging="284"/>
      </w:pPr>
      <w:rPr>
        <w:rFonts w:hint="default"/>
        <w:lang w:val="en-US" w:eastAsia="en-US" w:bidi="ar-SA"/>
      </w:rPr>
    </w:lvl>
    <w:lvl w:ilvl="4" w:tplc="E3FE17AA">
      <w:numFmt w:val="bullet"/>
      <w:lvlText w:val="•"/>
      <w:lvlJc w:val="left"/>
      <w:pPr>
        <w:ind w:left="2971" w:hanging="284"/>
      </w:pPr>
      <w:rPr>
        <w:rFonts w:hint="default"/>
        <w:lang w:val="en-US" w:eastAsia="en-US" w:bidi="ar-SA"/>
      </w:rPr>
    </w:lvl>
    <w:lvl w:ilvl="5" w:tplc="154ECE64">
      <w:numFmt w:val="bullet"/>
      <w:lvlText w:val="•"/>
      <w:lvlJc w:val="left"/>
      <w:pPr>
        <w:ind w:left="3428" w:hanging="284"/>
      </w:pPr>
      <w:rPr>
        <w:rFonts w:hint="default"/>
        <w:lang w:val="en-US" w:eastAsia="en-US" w:bidi="ar-SA"/>
      </w:rPr>
    </w:lvl>
    <w:lvl w:ilvl="6" w:tplc="70D41682">
      <w:numFmt w:val="bullet"/>
      <w:lvlText w:val="•"/>
      <w:lvlJc w:val="left"/>
      <w:pPr>
        <w:ind w:left="3886" w:hanging="284"/>
      </w:pPr>
      <w:rPr>
        <w:rFonts w:hint="default"/>
        <w:lang w:val="en-US" w:eastAsia="en-US" w:bidi="ar-SA"/>
      </w:rPr>
    </w:lvl>
    <w:lvl w:ilvl="7" w:tplc="D380899A">
      <w:numFmt w:val="bullet"/>
      <w:lvlText w:val="•"/>
      <w:lvlJc w:val="left"/>
      <w:pPr>
        <w:ind w:left="4344" w:hanging="284"/>
      </w:pPr>
      <w:rPr>
        <w:rFonts w:hint="default"/>
        <w:lang w:val="en-US" w:eastAsia="en-US" w:bidi="ar-SA"/>
      </w:rPr>
    </w:lvl>
    <w:lvl w:ilvl="8" w:tplc="55A074C6">
      <w:numFmt w:val="bullet"/>
      <w:lvlText w:val="•"/>
      <w:lvlJc w:val="left"/>
      <w:pPr>
        <w:ind w:left="4802" w:hanging="284"/>
      </w:pPr>
      <w:rPr>
        <w:rFonts w:hint="default"/>
        <w:lang w:val="en-US" w:eastAsia="en-US" w:bidi="ar-SA"/>
      </w:rPr>
    </w:lvl>
  </w:abstractNum>
  <w:abstractNum w:abstractNumId="33" w15:restartNumberingAfterBreak="0">
    <w:nsid w:val="2B117048"/>
    <w:multiLevelType w:val="hybridMultilevel"/>
    <w:tmpl w:val="73223E9A"/>
    <w:lvl w:ilvl="0" w:tplc="13062C9E">
      <w:start w:val="1"/>
      <w:numFmt w:val="lowerLetter"/>
      <w:lvlText w:val="(%1)"/>
      <w:lvlJc w:val="left"/>
      <w:pPr>
        <w:ind w:left="1439" w:hanging="336"/>
      </w:pPr>
      <w:rPr>
        <w:rFonts w:ascii="Arial" w:eastAsia="Arial" w:hAnsi="Arial" w:cs="Arial" w:hint="default"/>
        <w:b w:val="0"/>
        <w:bCs w:val="0"/>
        <w:i/>
        <w:iCs/>
        <w:spacing w:val="-2"/>
        <w:w w:val="98"/>
        <w:sz w:val="15"/>
        <w:szCs w:val="15"/>
        <w:lang w:val="en-US" w:eastAsia="en-US" w:bidi="ar-SA"/>
      </w:rPr>
    </w:lvl>
    <w:lvl w:ilvl="1" w:tplc="0D8AB700">
      <w:numFmt w:val="bullet"/>
      <w:lvlText w:val="•"/>
      <w:lvlJc w:val="left"/>
      <w:pPr>
        <w:ind w:left="2486" w:hanging="336"/>
      </w:pPr>
      <w:rPr>
        <w:rFonts w:hint="default"/>
        <w:lang w:val="en-US" w:eastAsia="en-US" w:bidi="ar-SA"/>
      </w:rPr>
    </w:lvl>
    <w:lvl w:ilvl="2" w:tplc="1A080E64">
      <w:numFmt w:val="bullet"/>
      <w:lvlText w:val="•"/>
      <w:lvlJc w:val="left"/>
      <w:pPr>
        <w:ind w:left="3533" w:hanging="336"/>
      </w:pPr>
      <w:rPr>
        <w:rFonts w:hint="default"/>
        <w:lang w:val="en-US" w:eastAsia="en-US" w:bidi="ar-SA"/>
      </w:rPr>
    </w:lvl>
    <w:lvl w:ilvl="3" w:tplc="94483A0A">
      <w:numFmt w:val="bullet"/>
      <w:lvlText w:val="•"/>
      <w:lvlJc w:val="left"/>
      <w:pPr>
        <w:ind w:left="4579" w:hanging="336"/>
      </w:pPr>
      <w:rPr>
        <w:rFonts w:hint="default"/>
        <w:lang w:val="en-US" w:eastAsia="en-US" w:bidi="ar-SA"/>
      </w:rPr>
    </w:lvl>
    <w:lvl w:ilvl="4" w:tplc="E6665F0E">
      <w:numFmt w:val="bullet"/>
      <w:lvlText w:val="•"/>
      <w:lvlJc w:val="left"/>
      <w:pPr>
        <w:ind w:left="5626" w:hanging="336"/>
      </w:pPr>
      <w:rPr>
        <w:rFonts w:hint="default"/>
        <w:lang w:val="en-US" w:eastAsia="en-US" w:bidi="ar-SA"/>
      </w:rPr>
    </w:lvl>
    <w:lvl w:ilvl="5" w:tplc="27A2FAF6">
      <w:numFmt w:val="bullet"/>
      <w:lvlText w:val="•"/>
      <w:lvlJc w:val="left"/>
      <w:pPr>
        <w:ind w:left="6672" w:hanging="336"/>
      </w:pPr>
      <w:rPr>
        <w:rFonts w:hint="default"/>
        <w:lang w:val="en-US" w:eastAsia="en-US" w:bidi="ar-SA"/>
      </w:rPr>
    </w:lvl>
    <w:lvl w:ilvl="6" w:tplc="34DAD89C">
      <w:numFmt w:val="bullet"/>
      <w:lvlText w:val="•"/>
      <w:lvlJc w:val="left"/>
      <w:pPr>
        <w:ind w:left="7719" w:hanging="336"/>
      </w:pPr>
      <w:rPr>
        <w:rFonts w:hint="default"/>
        <w:lang w:val="en-US" w:eastAsia="en-US" w:bidi="ar-SA"/>
      </w:rPr>
    </w:lvl>
    <w:lvl w:ilvl="7" w:tplc="88C446CE">
      <w:numFmt w:val="bullet"/>
      <w:lvlText w:val="•"/>
      <w:lvlJc w:val="left"/>
      <w:pPr>
        <w:ind w:left="8765" w:hanging="336"/>
      </w:pPr>
      <w:rPr>
        <w:rFonts w:hint="default"/>
        <w:lang w:val="en-US" w:eastAsia="en-US" w:bidi="ar-SA"/>
      </w:rPr>
    </w:lvl>
    <w:lvl w:ilvl="8" w:tplc="C952EDA4">
      <w:numFmt w:val="bullet"/>
      <w:lvlText w:val="•"/>
      <w:lvlJc w:val="left"/>
      <w:pPr>
        <w:ind w:left="9812" w:hanging="336"/>
      </w:pPr>
      <w:rPr>
        <w:rFonts w:hint="default"/>
        <w:lang w:val="en-US" w:eastAsia="en-US" w:bidi="ar-SA"/>
      </w:rPr>
    </w:lvl>
  </w:abstractNum>
  <w:abstractNum w:abstractNumId="34" w15:restartNumberingAfterBreak="0">
    <w:nsid w:val="2C5A2C46"/>
    <w:multiLevelType w:val="hybridMultilevel"/>
    <w:tmpl w:val="6D2241F4"/>
    <w:lvl w:ilvl="0" w:tplc="7A22CAFA">
      <w:numFmt w:val="bullet"/>
      <w:lvlText w:val="•"/>
      <w:lvlJc w:val="left"/>
      <w:pPr>
        <w:ind w:left="474" w:hanging="360"/>
      </w:pPr>
      <w:rPr>
        <w:rFonts w:ascii="Lucida Sans" w:eastAsia="Lucida Sans" w:hAnsi="Lucida Sans" w:cs="Lucida Sans" w:hint="default"/>
        <w:b w:val="0"/>
        <w:bCs w:val="0"/>
        <w:i w:val="0"/>
        <w:iCs w:val="0"/>
        <w:spacing w:val="0"/>
        <w:w w:val="60"/>
        <w:sz w:val="16"/>
        <w:szCs w:val="16"/>
        <w:lang w:val="en-US" w:eastAsia="en-US" w:bidi="ar-SA"/>
      </w:rPr>
    </w:lvl>
    <w:lvl w:ilvl="1" w:tplc="7E70F5A0">
      <w:numFmt w:val="bullet"/>
      <w:lvlText w:val="•"/>
      <w:lvlJc w:val="left"/>
      <w:pPr>
        <w:ind w:left="919" w:hanging="360"/>
      </w:pPr>
      <w:rPr>
        <w:rFonts w:hint="default"/>
        <w:lang w:val="en-US" w:eastAsia="en-US" w:bidi="ar-SA"/>
      </w:rPr>
    </w:lvl>
    <w:lvl w:ilvl="2" w:tplc="C3866E80">
      <w:numFmt w:val="bullet"/>
      <w:lvlText w:val="•"/>
      <w:lvlJc w:val="left"/>
      <w:pPr>
        <w:ind w:left="1359" w:hanging="360"/>
      </w:pPr>
      <w:rPr>
        <w:rFonts w:hint="default"/>
        <w:lang w:val="en-US" w:eastAsia="en-US" w:bidi="ar-SA"/>
      </w:rPr>
    </w:lvl>
    <w:lvl w:ilvl="3" w:tplc="9F90F02E">
      <w:numFmt w:val="bullet"/>
      <w:lvlText w:val="•"/>
      <w:lvlJc w:val="left"/>
      <w:pPr>
        <w:ind w:left="1798" w:hanging="360"/>
      </w:pPr>
      <w:rPr>
        <w:rFonts w:hint="default"/>
        <w:lang w:val="en-US" w:eastAsia="en-US" w:bidi="ar-SA"/>
      </w:rPr>
    </w:lvl>
    <w:lvl w:ilvl="4" w:tplc="A372C2A8">
      <w:numFmt w:val="bullet"/>
      <w:lvlText w:val="•"/>
      <w:lvlJc w:val="left"/>
      <w:pPr>
        <w:ind w:left="2238" w:hanging="360"/>
      </w:pPr>
      <w:rPr>
        <w:rFonts w:hint="default"/>
        <w:lang w:val="en-US" w:eastAsia="en-US" w:bidi="ar-SA"/>
      </w:rPr>
    </w:lvl>
    <w:lvl w:ilvl="5" w:tplc="5A083848">
      <w:numFmt w:val="bullet"/>
      <w:lvlText w:val="•"/>
      <w:lvlJc w:val="left"/>
      <w:pPr>
        <w:ind w:left="2677" w:hanging="360"/>
      </w:pPr>
      <w:rPr>
        <w:rFonts w:hint="default"/>
        <w:lang w:val="en-US" w:eastAsia="en-US" w:bidi="ar-SA"/>
      </w:rPr>
    </w:lvl>
    <w:lvl w:ilvl="6" w:tplc="AC0A8BC4">
      <w:numFmt w:val="bullet"/>
      <w:lvlText w:val="•"/>
      <w:lvlJc w:val="left"/>
      <w:pPr>
        <w:ind w:left="3117" w:hanging="360"/>
      </w:pPr>
      <w:rPr>
        <w:rFonts w:hint="default"/>
        <w:lang w:val="en-US" w:eastAsia="en-US" w:bidi="ar-SA"/>
      </w:rPr>
    </w:lvl>
    <w:lvl w:ilvl="7" w:tplc="7ED67520">
      <w:numFmt w:val="bullet"/>
      <w:lvlText w:val="•"/>
      <w:lvlJc w:val="left"/>
      <w:pPr>
        <w:ind w:left="3556" w:hanging="360"/>
      </w:pPr>
      <w:rPr>
        <w:rFonts w:hint="default"/>
        <w:lang w:val="en-US" w:eastAsia="en-US" w:bidi="ar-SA"/>
      </w:rPr>
    </w:lvl>
    <w:lvl w:ilvl="8" w:tplc="BBAC3272">
      <w:numFmt w:val="bullet"/>
      <w:lvlText w:val="•"/>
      <w:lvlJc w:val="left"/>
      <w:pPr>
        <w:ind w:left="3996" w:hanging="360"/>
      </w:pPr>
      <w:rPr>
        <w:rFonts w:hint="default"/>
        <w:lang w:val="en-US" w:eastAsia="en-US" w:bidi="ar-SA"/>
      </w:rPr>
    </w:lvl>
  </w:abstractNum>
  <w:abstractNum w:abstractNumId="35" w15:restartNumberingAfterBreak="0">
    <w:nsid w:val="2D0D76E2"/>
    <w:multiLevelType w:val="hybridMultilevel"/>
    <w:tmpl w:val="419C8D7C"/>
    <w:lvl w:ilvl="0" w:tplc="4D483B7E">
      <w:numFmt w:val="bullet"/>
      <w:lvlText w:val="•"/>
      <w:lvlJc w:val="left"/>
      <w:pPr>
        <w:ind w:left="1435" w:hanging="284"/>
      </w:pPr>
      <w:rPr>
        <w:rFonts w:ascii="Lucida Sans" w:eastAsia="Lucida Sans" w:hAnsi="Lucida Sans" w:cs="Lucida Sans" w:hint="default"/>
        <w:b w:val="0"/>
        <w:bCs w:val="0"/>
        <w:i w:val="0"/>
        <w:iCs w:val="0"/>
        <w:spacing w:val="0"/>
        <w:w w:val="60"/>
        <w:sz w:val="16"/>
        <w:szCs w:val="16"/>
        <w:lang w:val="en-US" w:eastAsia="en-US" w:bidi="ar-SA"/>
      </w:rPr>
    </w:lvl>
    <w:lvl w:ilvl="1" w:tplc="E35C0028">
      <w:numFmt w:val="bullet"/>
      <w:lvlText w:val="•"/>
      <w:lvlJc w:val="left"/>
      <w:pPr>
        <w:ind w:left="2103" w:hanging="284"/>
      </w:pPr>
      <w:rPr>
        <w:rFonts w:hint="default"/>
        <w:lang w:val="en-US" w:eastAsia="en-US" w:bidi="ar-SA"/>
      </w:rPr>
    </w:lvl>
    <w:lvl w:ilvl="2" w:tplc="392CB510">
      <w:numFmt w:val="bullet"/>
      <w:lvlText w:val="•"/>
      <w:lvlJc w:val="left"/>
      <w:pPr>
        <w:ind w:left="2766" w:hanging="284"/>
      </w:pPr>
      <w:rPr>
        <w:rFonts w:hint="default"/>
        <w:lang w:val="en-US" w:eastAsia="en-US" w:bidi="ar-SA"/>
      </w:rPr>
    </w:lvl>
    <w:lvl w:ilvl="3" w:tplc="B7D63A0A">
      <w:numFmt w:val="bullet"/>
      <w:lvlText w:val="•"/>
      <w:lvlJc w:val="left"/>
      <w:pPr>
        <w:ind w:left="3429" w:hanging="284"/>
      </w:pPr>
      <w:rPr>
        <w:rFonts w:hint="default"/>
        <w:lang w:val="en-US" w:eastAsia="en-US" w:bidi="ar-SA"/>
      </w:rPr>
    </w:lvl>
    <w:lvl w:ilvl="4" w:tplc="DE96DA04">
      <w:numFmt w:val="bullet"/>
      <w:lvlText w:val="•"/>
      <w:lvlJc w:val="left"/>
      <w:pPr>
        <w:ind w:left="4092" w:hanging="284"/>
      </w:pPr>
      <w:rPr>
        <w:rFonts w:hint="default"/>
        <w:lang w:val="en-US" w:eastAsia="en-US" w:bidi="ar-SA"/>
      </w:rPr>
    </w:lvl>
    <w:lvl w:ilvl="5" w:tplc="6AAA52DC">
      <w:numFmt w:val="bullet"/>
      <w:lvlText w:val="•"/>
      <w:lvlJc w:val="left"/>
      <w:pPr>
        <w:ind w:left="4756" w:hanging="284"/>
      </w:pPr>
      <w:rPr>
        <w:rFonts w:hint="default"/>
        <w:lang w:val="en-US" w:eastAsia="en-US" w:bidi="ar-SA"/>
      </w:rPr>
    </w:lvl>
    <w:lvl w:ilvl="6" w:tplc="1152F4F6">
      <w:numFmt w:val="bullet"/>
      <w:lvlText w:val="•"/>
      <w:lvlJc w:val="left"/>
      <w:pPr>
        <w:ind w:left="5419" w:hanging="284"/>
      </w:pPr>
      <w:rPr>
        <w:rFonts w:hint="default"/>
        <w:lang w:val="en-US" w:eastAsia="en-US" w:bidi="ar-SA"/>
      </w:rPr>
    </w:lvl>
    <w:lvl w:ilvl="7" w:tplc="1E8E75E0">
      <w:numFmt w:val="bullet"/>
      <w:lvlText w:val="•"/>
      <w:lvlJc w:val="left"/>
      <w:pPr>
        <w:ind w:left="6082" w:hanging="284"/>
      </w:pPr>
      <w:rPr>
        <w:rFonts w:hint="default"/>
        <w:lang w:val="en-US" w:eastAsia="en-US" w:bidi="ar-SA"/>
      </w:rPr>
    </w:lvl>
    <w:lvl w:ilvl="8" w:tplc="743ECBD6">
      <w:numFmt w:val="bullet"/>
      <w:lvlText w:val="•"/>
      <w:lvlJc w:val="left"/>
      <w:pPr>
        <w:ind w:left="6745" w:hanging="284"/>
      </w:pPr>
      <w:rPr>
        <w:rFonts w:hint="default"/>
        <w:lang w:val="en-US" w:eastAsia="en-US" w:bidi="ar-SA"/>
      </w:rPr>
    </w:lvl>
  </w:abstractNum>
  <w:abstractNum w:abstractNumId="36" w15:restartNumberingAfterBreak="0">
    <w:nsid w:val="2F9513A6"/>
    <w:multiLevelType w:val="hybridMultilevel"/>
    <w:tmpl w:val="D0EA455E"/>
    <w:lvl w:ilvl="0" w:tplc="83D2A710">
      <w:numFmt w:val="bullet"/>
      <w:lvlText w:val="•"/>
      <w:lvlJc w:val="left"/>
      <w:pPr>
        <w:ind w:left="1435" w:hanging="284"/>
      </w:pPr>
      <w:rPr>
        <w:rFonts w:ascii="Lucida Sans" w:eastAsia="Lucida Sans" w:hAnsi="Lucida Sans" w:cs="Lucida Sans" w:hint="default"/>
        <w:b w:val="0"/>
        <w:bCs w:val="0"/>
        <w:i w:val="0"/>
        <w:iCs w:val="0"/>
        <w:spacing w:val="0"/>
        <w:w w:val="60"/>
        <w:sz w:val="16"/>
        <w:szCs w:val="16"/>
        <w:lang w:val="en-US" w:eastAsia="en-US" w:bidi="ar-SA"/>
      </w:rPr>
    </w:lvl>
    <w:lvl w:ilvl="1" w:tplc="AAC601DA">
      <w:numFmt w:val="bullet"/>
      <w:lvlText w:val="•"/>
      <w:lvlJc w:val="left"/>
      <w:pPr>
        <w:ind w:left="2103" w:hanging="284"/>
      </w:pPr>
      <w:rPr>
        <w:rFonts w:hint="default"/>
        <w:lang w:val="en-US" w:eastAsia="en-US" w:bidi="ar-SA"/>
      </w:rPr>
    </w:lvl>
    <w:lvl w:ilvl="2" w:tplc="74649CDE">
      <w:numFmt w:val="bullet"/>
      <w:lvlText w:val="•"/>
      <w:lvlJc w:val="left"/>
      <w:pPr>
        <w:ind w:left="2766" w:hanging="284"/>
      </w:pPr>
      <w:rPr>
        <w:rFonts w:hint="default"/>
        <w:lang w:val="en-US" w:eastAsia="en-US" w:bidi="ar-SA"/>
      </w:rPr>
    </w:lvl>
    <w:lvl w:ilvl="3" w:tplc="68DA109E">
      <w:numFmt w:val="bullet"/>
      <w:lvlText w:val="•"/>
      <w:lvlJc w:val="left"/>
      <w:pPr>
        <w:ind w:left="3429" w:hanging="284"/>
      </w:pPr>
      <w:rPr>
        <w:rFonts w:hint="default"/>
        <w:lang w:val="en-US" w:eastAsia="en-US" w:bidi="ar-SA"/>
      </w:rPr>
    </w:lvl>
    <w:lvl w:ilvl="4" w:tplc="F7F067A6">
      <w:numFmt w:val="bullet"/>
      <w:lvlText w:val="•"/>
      <w:lvlJc w:val="left"/>
      <w:pPr>
        <w:ind w:left="4092" w:hanging="284"/>
      </w:pPr>
      <w:rPr>
        <w:rFonts w:hint="default"/>
        <w:lang w:val="en-US" w:eastAsia="en-US" w:bidi="ar-SA"/>
      </w:rPr>
    </w:lvl>
    <w:lvl w:ilvl="5" w:tplc="D054BF60">
      <w:numFmt w:val="bullet"/>
      <w:lvlText w:val="•"/>
      <w:lvlJc w:val="left"/>
      <w:pPr>
        <w:ind w:left="4756" w:hanging="284"/>
      </w:pPr>
      <w:rPr>
        <w:rFonts w:hint="default"/>
        <w:lang w:val="en-US" w:eastAsia="en-US" w:bidi="ar-SA"/>
      </w:rPr>
    </w:lvl>
    <w:lvl w:ilvl="6" w:tplc="3FFC21C8">
      <w:numFmt w:val="bullet"/>
      <w:lvlText w:val="•"/>
      <w:lvlJc w:val="left"/>
      <w:pPr>
        <w:ind w:left="5419" w:hanging="284"/>
      </w:pPr>
      <w:rPr>
        <w:rFonts w:hint="default"/>
        <w:lang w:val="en-US" w:eastAsia="en-US" w:bidi="ar-SA"/>
      </w:rPr>
    </w:lvl>
    <w:lvl w:ilvl="7" w:tplc="5386D27E">
      <w:numFmt w:val="bullet"/>
      <w:lvlText w:val="•"/>
      <w:lvlJc w:val="left"/>
      <w:pPr>
        <w:ind w:left="6082" w:hanging="284"/>
      </w:pPr>
      <w:rPr>
        <w:rFonts w:hint="default"/>
        <w:lang w:val="en-US" w:eastAsia="en-US" w:bidi="ar-SA"/>
      </w:rPr>
    </w:lvl>
    <w:lvl w:ilvl="8" w:tplc="B7E09F14">
      <w:numFmt w:val="bullet"/>
      <w:lvlText w:val="•"/>
      <w:lvlJc w:val="left"/>
      <w:pPr>
        <w:ind w:left="6745" w:hanging="284"/>
      </w:pPr>
      <w:rPr>
        <w:rFonts w:hint="default"/>
        <w:lang w:val="en-US" w:eastAsia="en-US" w:bidi="ar-SA"/>
      </w:rPr>
    </w:lvl>
  </w:abstractNum>
  <w:abstractNum w:abstractNumId="37" w15:restartNumberingAfterBreak="0">
    <w:nsid w:val="31CD4AF4"/>
    <w:multiLevelType w:val="multilevel"/>
    <w:tmpl w:val="7EBEAE02"/>
    <w:lvl w:ilvl="0">
      <w:start w:val="7"/>
      <w:numFmt w:val="decimal"/>
      <w:lvlText w:val="%1"/>
      <w:lvlJc w:val="left"/>
      <w:pPr>
        <w:ind w:left="1504" w:hanging="341"/>
      </w:pPr>
      <w:rPr>
        <w:rFonts w:hint="default"/>
        <w:lang w:val="en-US" w:eastAsia="en-US" w:bidi="ar-SA"/>
      </w:rPr>
    </w:lvl>
    <w:lvl w:ilvl="1">
      <w:start w:val="1"/>
      <w:numFmt w:val="decimal"/>
      <w:lvlText w:val="%1.%2"/>
      <w:lvlJc w:val="left"/>
      <w:pPr>
        <w:ind w:left="1504" w:hanging="341"/>
        <w:jc w:val="right"/>
      </w:pPr>
      <w:rPr>
        <w:rFonts w:ascii="Arial" w:eastAsia="Arial" w:hAnsi="Arial" w:cs="Arial" w:hint="default"/>
        <w:b/>
        <w:bCs/>
        <w:i w:val="0"/>
        <w:iCs w:val="0"/>
        <w:color w:val="003863"/>
        <w:spacing w:val="0"/>
        <w:w w:val="101"/>
        <w:sz w:val="20"/>
        <w:szCs w:val="20"/>
        <w:lang w:val="en-US" w:eastAsia="en-US" w:bidi="ar-SA"/>
      </w:rPr>
    </w:lvl>
    <w:lvl w:ilvl="2">
      <w:start w:val="1"/>
      <w:numFmt w:val="decimal"/>
      <w:lvlText w:val="%1.%2.%3"/>
      <w:lvlJc w:val="left"/>
      <w:pPr>
        <w:ind w:left="1722" w:hanging="662"/>
      </w:pPr>
      <w:rPr>
        <w:rFonts w:ascii="Arial" w:eastAsia="Arial" w:hAnsi="Arial" w:cs="Arial" w:hint="default"/>
        <w:b/>
        <w:bCs/>
        <w:i w:val="0"/>
        <w:iCs w:val="0"/>
        <w:color w:val="003863"/>
        <w:spacing w:val="0"/>
        <w:w w:val="102"/>
        <w:sz w:val="20"/>
        <w:szCs w:val="20"/>
        <w:lang w:val="en-US" w:eastAsia="en-US" w:bidi="ar-SA"/>
      </w:rPr>
    </w:lvl>
    <w:lvl w:ilvl="3">
      <w:numFmt w:val="bullet"/>
      <w:lvlText w:val=""/>
      <w:lvlJc w:val="left"/>
      <w:pPr>
        <w:ind w:left="1732" w:hanging="336"/>
      </w:pPr>
      <w:rPr>
        <w:rFonts w:ascii="Symbol" w:eastAsia="Symbol" w:hAnsi="Symbol" w:cs="Symbol" w:hint="default"/>
        <w:b w:val="0"/>
        <w:bCs w:val="0"/>
        <w:i w:val="0"/>
        <w:iCs w:val="0"/>
        <w:spacing w:val="0"/>
        <w:w w:val="104"/>
        <w:sz w:val="16"/>
        <w:szCs w:val="16"/>
        <w:lang w:val="en-US" w:eastAsia="en-US" w:bidi="ar-SA"/>
      </w:rPr>
    </w:lvl>
    <w:lvl w:ilvl="4">
      <w:numFmt w:val="bullet"/>
      <w:lvlText w:val="•"/>
      <w:lvlJc w:val="left"/>
      <w:pPr>
        <w:ind w:left="2610" w:hanging="336"/>
      </w:pPr>
      <w:rPr>
        <w:rFonts w:hint="default"/>
        <w:lang w:val="en-US" w:eastAsia="en-US" w:bidi="ar-SA"/>
      </w:rPr>
    </w:lvl>
    <w:lvl w:ilvl="5">
      <w:numFmt w:val="bullet"/>
      <w:lvlText w:val="•"/>
      <w:lvlJc w:val="left"/>
      <w:pPr>
        <w:ind w:left="3045" w:hanging="336"/>
      </w:pPr>
      <w:rPr>
        <w:rFonts w:hint="default"/>
        <w:lang w:val="en-US" w:eastAsia="en-US" w:bidi="ar-SA"/>
      </w:rPr>
    </w:lvl>
    <w:lvl w:ilvl="6">
      <w:numFmt w:val="bullet"/>
      <w:lvlText w:val="•"/>
      <w:lvlJc w:val="left"/>
      <w:pPr>
        <w:ind w:left="3480" w:hanging="336"/>
      </w:pPr>
      <w:rPr>
        <w:rFonts w:hint="default"/>
        <w:lang w:val="en-US" w:eastAsia="en-US" w:bidi="ar-SA"/>
      </w:rPr>
    </w:lvl>
    <w:lvl w:ilvl="7">
      <w:numFmt w:val="bullet"/>
      <w:lvlText w:val="•"/>
      <w:lvlJc w:val="left"/>
      <w:pPr>
        <w:ind w:left="3915" w:hanging="336"/>
      </w:pPr>
      <w:rPr>
        <w:rFonts w:hint="default"/>
        <w:lang w:val="en-US" w:eastAsia="en-US" w:bidi="ar-SA"/>
      </w:rPr>
    </w:lvl>
    <w:lvl w:ilvl="8">
      <w:numFmt w:val="bullet"/>
      <w:lvlText w:val="•"/>
      <w:lvlJc w:val="left"/>
      <w:pPr>
        <w:ind w:left="4350" w:hanging="336"/>
      </w:pPr>
      <w:rPr>
        <w:rFonts w:hint="default"/>
        <w:lang w:val="en-US" w:eastAsia="en-US" w:bidi="ar-SA"/>
      </w:rPr>
    </w:lvl>
  </w:abstractNum>
  <w:abstractNum w:abstractNumId="38" w15:restartNumberingAfterBreak="0">
    <w:nsid w:val="34E16B10"/>
    <w:multiLevelType w:val="multilevel"/>
    <w:tmpl w:val="40822A36"/>
    <w:lvl w:ilvl="0">
      <w:start w:val="3"/>
      <w:numFmt w:val="decimal"/>
      <w:lvlText w:val="%1"/>
      <w:lvlJc w:val="left"/>
      <w:pPr>
        <w:ind w:left="1613" w:hanging="527"/>
      </w:pPr>
      <w:rPr>
        <w:rFonts w:hint="default"/>
        <w:lang w:val="en-US" w:eastAsia="en-US" w:bidi="ar-SA"/>
      </w:rPr>
    </w:lvl>
    <w:lvl w:ilvl="1">
      <w:start w:val="1"/>
      <w:numFmt w:val="decimal"/>
      <w:lvlText w:val="%1.%2"/>
      <w:lvlJc w:val="left"/>
      <w:pPr>
        <w:ind w:left="1613" w:hanging="527"/>
      </w:pPr>
      <w:rPr>
        <w:rFonts w:ascii="Arial" w:eastAsia="Arial" w:hAnsi="Arial" w:cs="Arial" w:hint="default"/>
        <w:b w:val="0"/>
        <w:bCs w:val="0"/>
        <w:i w:val="0"/>
        <w:iCs w:val="0"/>
        <w:spacing w:val="-1"/>
        <w:w w:val="104"/>
        <w:sz w:val="16"/>
        <w:szCs w:val="16"/>
        <w:lang w:val="en-US" w:eastAsia="en-US" w:bidi="ar-SA"/>
      </w:rPr>
    </w:lvl>
    <w:lvl w:ilvl="2">
      <w:numFmt w:val="bullet"/>
      <w:lvlText w:val="•"/>
      <w:lvlJc w:val="left"/>
      <w:pPr>
        <w:ind w:left="3677" w:hanging="527"/>
      </w:pPr>
      <w:rPr>
        <w:rFonts w:hint="default"/>
        <w:lang w:val="en-US" w:eastAsia="en-US" w:bidi="ar-SA"/>
      </w:rPr>
    </w:lvl>
    <w:lvl w:ilvl="3">
      <w:numFmt w:val="bullet"/>
      <w:lvlText w:val="•"/>
      <w:lvlJc w:val="left"/>
      <w:pPr>
        <w:ind w:left="4705" w:hanging="527"/>
      </w:pPr>
      <w:rPr>
        <w:rFonts w:hint="default"/>
        <w:lang w:val="en-US" w:eastAsia="en-US" w:bidi="ar-SA"/>
      </w:rPr>
    </w:lvl>
    <w:lvl w:ilvl="4">
      <w:numFmt w:val="bullet"/>
      <w:lvlText w:val="•"/>
      <w:lvlJc w:val="left"/>
      <w:pPr>
        <w:ind w:left="5734" w:hanging="527"/>
      </w:pPr>
      <w:rPr>
        <w:rFonts w:hint="default"/>
        <w:lang w:val="en-US" w:eastAsia="en-US" w:bidi="ar-SA"/>
      </w:rPr>
    </w:lvl>
    <w:lvl w:ilvl="5">
      <w:numFmt w:val="bullet"/>
      <w:lvlText w:val="•"/>
      <w:lvlJc w:val="left"/>
      <w:pPr>
        <w:ind w:left="6762" w:hanging="527"/>
      </w:pPr>
      <w:rPr>
        <w:rFonts w:hint="default"/>
        <w:lang w:val="en-US" w:eastAsia="en-US" w:bidi="ar-SA"/>
      </w:rPr>
    </w:lvl>
    <w:lvl w:ilvl="6">
      <w:numFmt w:val="bullet"/>
      <w:lvlText w:val="•"/>
      <w:lvlJc w:val="left"/>
      <w:pPr>
        <w:ind w:left="7791" w:hanging="527"/>
      </w:pPr>
      <w:rPr>
        <w:rFonts w:hint="default"/>
        <w:lang w:val="en-US" w:eastAsia="en-US" w:bidi="ar-SA"/>
      </w:rPr>
    </w:lvl>
    <w:lvl w:ilvl="7">
      <w:numFmt w:val="bullet"/>
      <w:lvlText w:val="•"/>
      <w:lvlJc w:val="left"/>
      <w:pPr>
        <w:ind w:left="8819" w:hanging="527"/>
      </w:pPr>
      <w:rPr>
        <w:rFonts w:hint="default"/>
        <w:lang w:val="en-US" w:eastAsia="en-US" w:bidi="ar-SA"/>
      </w:rPr>
    </w:lvl>
    <w:lvl w:ilvl="8">
      <w:numFmt w:val="bullet"/>
      <w:lvlText w:val="•"/>
      <w:lvlJc w:val="left"/>
      <w:pPr>
        <w:ind w:left="9848" w:hanging="527"/>
      </w:pPr>
      <w:rPr>
        <w:rFonts w:hint="default"/>
        <w:lang w:val="en-US" w:eastAsia="en-US" w:bidi="ar-SA"/>
      </w:rPr>
    </w:lvl>
  </w:abstractNum>
  <w:abstractNum w:abstractNumId="39" w15:restartNumberingAfterBreak="0">
    <w:nsid w:val="357202FB"/>
    <w:multiLevelType w:val="hybridMultilevel"/>
    <w:tmpl w:val="0E4CC766"/>
    <w:lvl w:ilvl="0" w:tplc="4E9080CA">
      <w:numFmt w:val="bullet"/>
      <w:lvlText w:val="•"/>
      <w:lvlJc w:val="left"/>
      <w:pPr>
        <w:ind w:left="1133" w:hanging="284"/>
      </w:pPr>
      <w:rPr>
        <w:rFonts w:ascii="Lucida Sans" w:eastAsia="Lucida Sans" w:hAnsi="Lucida Sans" w:cs="Lucida Sans" w:hint="default"/>
        <w:b w:val="0"/>
        <w:bCs w:val="0"/>
        <w:i w:val="0"/>
        <w:iCs w:val="0"/>
        <w:spacing w:val="0"/>
        <w:w w:val="60"/>
        <w:sz w:val="18"/>
        <w:szCs w:val="18"/>
        <w:lang w:val="en-US" w:eastAsia="en-US" w:bidi="ar-SA"/>
      </w:rPr>
    </w:lvl>
    <w:lvl w:ilvl="1" w:tplc="41D013F4">
      <w:numFmt w:val="bullet"/>
      <w:lvlText w:val="•"/>
      <w:lvlJc w:val="left"/>
      <w:pPr>
        <w:ind w:left="1598" w:hanging="284"/>
      </w:pPr>
      <w:rPr>
        <w:rFonts w:hint="default"/>
        <w:lang w:val="en-US" w:eastAsia="en-US" w:bidi="ar-SA"/>
      </w:rPr>
    </w:lvl>
    <w:lvl w:ilvl="2" w:tplc="F8766DB8">
      <w:numFmt w:val="bullet"/>
      <w:lvlText w:val="•"/>
      <w:lvlJc w:val="left"/>
      <w:pPr>
        <w:ind w:left="2057" w:hanging="284"/>
      </w:pPr>
      <w:rPr>
        <w:rFonts w:hint="default"/>
        <w:lang w:val="en-US" w:eastAsia="en-US" w:bidi="ar-SA"/>
      </w:rPr>
    </w:lvl>
    <w:lvl w:ilvl="3" w:tplc="945C39A8">
      <w:numFmt w:val="bullet"/>
      <w:lvlText w:val="•"/>
      <w:lvlJc w:val="left"/>
      <w:pPr>
        <w:ind w:left="2515" w:hanging="284"/>
      </w:pPr>
      <w:rPr>
        <w:rFonts w:hint="default"/>
        <w:lang w:val="en-US" w:eastAsia="en-US" w:bidi="ar-SA"/>
      </w:rPr>
    </w:lvl>
    <w:lvl w:ilvl="4" w:tplc="46BE6340">
      <w:numFmt w:val="bullet"/>
      <w:lvlText w:val="•"/>
      <w:lvlJc w:val="left"/>
      <w:pPr>
        <w:ind w:left="2974" w:hanging="284"/>
      </w:pPr>
      <w:rPr>
        <w:rFonts w:hint="default"/>
        <w:lang w:val="en-US" w:eastAsia="en-US" w:bidi="ar-SA"/>
      </w:rPr>
    </w:lvl>
    <w:lvl w:ilvl="5" w:tplc="10DC0FE2">
      <w:numFmt w:val="bullet"/>
      <w:lvlText w:val="•"/>
      <w:lvlJc w:val="left"/>
      <w:pPr>
        <w:ind w:left="3433" w:hanging="284"/>
      </w:pPr>
      <w:rPr>
        <w:rFonts w:hint="default"/>
        <w:lang w:val="en-US" w:eastAsia="en-US" w:bidi="ar-SA"/>
      </w:rPr>
    </w:lvl>
    <w:lvl w:ilvl="6" w:tplc="B08A5550">
      <w:numFmt w:val="bullet"/>
      <w:lvlText w:val="•"/>
      <w:lvlJc w:val="left"/>
      <w:pPr>
        <w:ind w:left="3891" w:hanging="284"/>
      </w:pPr>
      <w:rPr>
        <w:rFonts w:hint="default"/>
        <w:lang w:val="en-US" w:eastAsia="en-US" w:bidi="ar-SA"/>
      </w:rPr>
    </w:lvl>
    <w:lvl w:ilvl="7" w:tplc="71985660">
      <w:numFmt w:val="bullet"/>
      <w:lvlText w:val="•"/>
      <w:lvlJc w:val="left"/>
      <w:pPr>
        <w:ind w:left="4350" w:hanging="284"/>
      </w:pPr>
      <w:rPr>
        <w:rFonts w:hint="default"/>
        <w:lang w:val="en-US" w:eastAsia="en-US" w:bidi="ar-SA"/>
      </w:rPr>
    </w:lvl>
    <w:lvl w:ilvl="8" w:tplc="34DEB02A">
      <w:numFmt w:val="bullet"/>
      <w:lvlText w:val="•"/>
      <w:lvlJc w:val="left"/>
      <w:pPr>
        <w:ind w:left="4809" w:hanging="284"/>
      </w:pPr>
      <w:rPr>
        <w:rFonts w:hint="default"/>
        <w:lang w:val="en-US" w:eastAsia="en-US" w:bidi="ar-SA"/>
      </w:rPr>
    </w:lvl>
  </w:abstractNum>
  <w:abstractNum w:abstractNumId="40" w15:restartNumberingAfterBreak="0">
    <w:nsid w:val="36C30B04"/>
    <w:multiLevelType w:val="hybridMultilevel"/>
    <w:tmpl w:val="B054FEB4"/>
    <w:lvl w:ilvl="0" w:tplc="FE6E71E2">
      <w:numFmt w:val="bullet"/>
      <w:lvlText w:val="-"/>
      <w:lvlJc w:val="left"/>
      <w:pPr>
        <w:ind w:left="1134" w:hanging="103"/>
      </w:pPr>
      <w:rPr>
        <w:rFonts w:ascii="Arial" w:eastAsia="Arial" w:hAnsi="Arial" w:cs="Arial" w:hint="default"/>
        <w:b w:val="0"/>
        <w:bCs w:val="0"/>
        <w:i w:val="0"/>
        <w:iCs w:val="0"/>
        <w:spacing w:val="0"/>
        <w:w w:val="104"/>
        <w:sz w:val="16"/>
        <w:szCs w:val="16"/>
        <w:lang w:val="en-US" w:eastAsia="en-US" w:bidi="ar-SA"/>
      </w:rPr>
    </w:lvl>
    <w:lvl w:ilvl="1" w:tplc="47AE2B86">
      <w:numFmt w:val="bullet"/>
      <w:lvlText w:val="•"/>
      <w:lvlJc w:val="left"/>
      <w:pPr>
        <w:ind w:left="2216" w:hanging="103"/>
      </w:pPr>
      <w:rPr>
        <w:rFonts w:hint="default"/>
        <w:lang w:val="en-US" w:eastAsia="en-US" w:bidi="ar-SA"/>
      </w:rPr>
    </w:lvl>
    <w:lvl w:ilvl="2" w:tplc="3B629F1E">
      <w:numFmt w:val="bullet"/>
      <w:lvlText w:val="•"/>
      <w:lvlJc w:val="left"/>
      <w:pPr>
        <w:ind w:left="3293" w:hanging="103"/>
      </w:pPr>
      <w:rPr>
        <w:rFonts w:hint="default"/>
        <w:lang w:val="en-US" w:eastAsia="en-US" w:bidi="ar-SA"/>
      </w:rPr>
    </w:lvl>
    <w:lvl w:ilvl="3" w:tplc="D194B9C2">
      <w:numFmt w:val="bullet"/>
      <w:lvlText w:val="•"/>
      <w:lvlJc w:val="left"/>
      <w:pPr>
        <w:ind w:left="4369" w:hanging="103"/>
      </w:pPr>
      <w:rPr>
        <w:rFonts w:hint="default"/>
        <w:lang w:val="en-US" w:eastAsia="en-US" w:bidi="ar-SA"/>
      </w:rPr>
    </w:lvl>
    <w:lvl w:ilvl="4" w:tplc="C998672C">
      <w:numFmt w:val="bullet"/>
      <w:lvlText w:val="•"/>
      <w:lvlJc w:val="left"/>
      <w:pPr>
        <w:ind w:left="5446" w:hanging="103"/>
      </w:pPr>
      <w:rPr>
        <w:rFonts w:hint="default"/>
        <w:lang w:val="en-US" w:eastAsia="en-US" w:bidi="ar-SA"/>
      </w:rPr>
    </w:lvl>
    <w:lvl w:ilvl="5" w:tplc="920C61D8">
      <w:numFmt w:val="bullet"/>
      <w:lvlText w:val="•"/>
      <w:lvlJc w:val="left"/>
      <w:pPr>
        <w:ind w:left="6522" w:hanging="103"/>
      </w:pPr>
      <w:rPr>
        <w:rFonts w:hint="default"/>
        <w:lang w:val="en-US" w:eastAsia="en-US" w:bidi="ar-SA"/>
      </w:rPr>
    </w:lvl>
    <w:lvl w:ilvl="6" w:tplc="34065638">
      <w:numFmt w:val="bullet"/>
      <w:lvlText w:val="•"/>
      <w:lvlJc w:val="left"/>
      <w:pPr>
        <w:ind w:left="7599" w:hanging="103"/>
      </w:pPr>
      <w:rPr>
        <w:rFonts w:hint="default"/>
        <w:lang w:val="en-US" w:eastAsia="en-US" w:bidi="ar-SA"/>
      </w:rPr>
    </w:lvl>
    <w:lvl w:ilvl="7" w:tplc="204C8084">
      <w:numFmt w:val="bullet"/>
      <w:lvlText w:val="•"/>
      <w:lvlJc w:val="left"/>
      <w:pPr>
        <w:ind w:left="8675" w:hanging="103"/>
      </w:pPr>
      <w:rPr>
        <w:rFonts w:hint="default"/>
        <w:lang w:val="en-US" w:eastAsia="en-US" w:bidi="ar-SA"/>
      </w:rPr>
    </w:lvl>
    <w:lvl w:ilvl="8" w:tplc="CDEA4608">
      <w:numFmt w:val="bullet"/>
      <w:lvlText w:val="•"/>
      <w:lvlJc w:val="left"/>
      <w:pPr>
        <w:ind w:left="9752" w:hanging="103"/>
      </w:pPr>
      <w:rPr>
        <w:rFonts w:hint="default"/>
        <w:lang w:val="en-US" w:eastAsia="en-US" w:bidi="ar-SA"/>
      </w:rPr>
    </w:lvl>
  </w:abstractNum>
  <w:abstractNum w:abstractNumId="41" w15:restartNumberingAfterBreak="0">
    <w:nsid w:val="3BE87BBB"/>
    <w:multiLevelType w:val="hybridMultilevel"/>
    <w:tmpl w:val="F5987E5C"/>
    <w:lvl w:ilvl="0" w:tplc="0E5C466C">
      <w:numFmt w:val="bullet"/>
      <w:lvlText w:val="•"/>
      <w:lvlJc w:val="left"/>
      <w:pPr>
        <w:ind w:left="748" w:hanging="284"/>
      </w:pPr>
      <w:rPr>
        <w:rFonts w:ascii="Lucida Sans" w:eastAsia="Lucida Sans" w:hAnsi="Lucida Sans" w:cs="Lucida Sans" w:hint="default"/>
        <w:b w:val="0"/>
        <w:bCs w:val="0"/>
        <w:i w:val="0"/>
        <w:iCs w:val="0"/>
        <w:spacing w:val="0"/>
        <w:w w:val="60"/>
        <w:sz w:val="18"/>
        <w:szCs w:val="18"/>
        <w:lang w:val="en-US" w:eastAsia="en-US" w:bidi="ar-SA"/>
      </w:rPr>
    </w:lvl>
    <w:lvl w:ilvl="1" w:tplc="FE2C9BD4">
      <w:numFmt w:val="bullet"/>
      <w:lvlText w:val="•"/>
      <w:lvlJc w:val="left"/>
      <w:pPr>
        <w:ind w:left="1285" w:hanging="284"/>
      </w:pPr>
      <w:rPr>
        <w:rFonts w:hint="default"/>
        <w:lang w:val="en-US" w:eastAsia="en-US" w:bidi="ar-SA"/>
      </w:rPr>
    </w:lvl>
    <w:lvl w:ilvl="2" w:tplc="A46675FC">
      <w:numFmt w:val="bullet"/>
      <w:lvlText w:val="•"/>
      <w:lvlJc w:val="left"/>
      <w:pPr>
        <w:ind w:left="1830" w:hanging="284"/>
      </w:pPr>
      <w:rPr>
        <w:rFonts w:hint="default"/>
        <w:lang w:val="en-US" w:eastAsia="en-US" w:bidi="ar-SA"/>
      </w:rPr>
    </w:lvl>
    <w:lvl w:ilvl="3" w:tplc="B714FFF6">
      <w:numFmt w:val="bullet"/>
      <w:lvlText w:val="•"/>
      <w:lvlJc w:val="left"/>
      <w:pPr>
        <w:ind w:left="2375" w:hanging="284"/>
      </w:pPr>
      <w:rPr>
        <w:rFonts w:hint="default"/>
        <w:lang w:val="en-US" w:eastAsia="en-US" w:bidi="ar-SA"/>
      </w:rPr>
    </w:lvl>
    <w:lvl w:ilvl="4" w:tplc="4FC8360C">
      <w:numFmt w:val="bullet"/>
      <w:lvlText w:val="•"/>
      <w:lvlJc w:val="left"/>
      <w:pPr>
        <w:ind w:left="2920" w:hanging="284"/>
      </w:pPr>
      <w:rPr>
        <w:rFonts w:hint="default"/>
        <w:lang w:val="en-US" w:eastAsia="en-US" w:bidi="ar-SA"/>
      </w:rPr>
    </w:lvl>
    <w:lvl w:ilvl="5" w:tplc="B650B952">
      <w:numFmt w:val="bullet"/>
      <w:lvlText w:val="•"/>
      <w:lvlJc w:val="left"/>
      <w:pPr>
        <w:ind w:left="3465" w:hanging="284"/>
      </w:pPr>
      <w:rPr>
        <w:rFonts w:hint="default"/>
        <w:lang w:val="en-US" w:eastAsia="en-US" w:bidi="ar-SA"/>
      </w:rPr>
    </w:lvl>
    <w:lvl w:ilvl="6" w:tplc="178A4C98">
      <w:numFmt w:val="bullet"/>
      <w:lvlText w:val="•"/>
      <w:lvlJc w:val="left"/>
      <w:pPr>
        <w:ind w:left="4010" w:hanging="284"/>
      </w:pPr>
      <w:rPr>
        <w:rFonts w:hint="default"/>
        <w:lang w:val="en-US" w:eastAsia="en-US" w:bidi="ar-SA"/>
      </w:rPr>
    </w:lvl>
    <w:lvl w:ilvl="7" w:tplc="C314906C">
      <w:numFmt w:val="bullet"/>
      <w:lvlText w:val="•"/>
      <w:lvlJc w:val="left"/>
      <w:pPr>
        <w:ind w:left="4555" w:hanging="284"/>
      </w:pPr>
      <w:rPr>
        <w:rFonts w:hint="default"/>
        <w:lang w:val="en-US" w:eastAsia="en-US" w:bidi="ar-SA"/>
      </w:rPr>
    </w:lvl>
    <w:lvl w:ilvl="8" w:tplc="1AC45A54">
      <w:numFmt w:val="bullet"/>
      <w:lvlText w:val="•"/>
      <w:lvlJc w:val="left"/>
      <w:pPr>
        <w:ind w:left="5100" w:hanging="284"/>
      </w:pPr>
      <w:rPr>
        <w:rFonts w:hint="default"/>
        <w:lang w:val="en-US" w:eastAsia="en-US" w:bidi="ar-SA"/>
      </w:rPr>
    </w:lvl>
  </w:abstractNum>
  <w:abstractNum w:abstractNumId="42" w15:restartNumberingAfterBreak="0">
    <w:nsid w:val="3C651EA9"/>
    <w:multiLevelType w:val="hybridMultilevel"/>
    <w:tmpl w:val="D69E2814"/>
    <w:lvl w:ilvl="0" w:tplc="D70C9D38">
      <w:numFmt w:val="bullet"/>
      <w:lvlText w:val=""/>
      <w:lvlJc w:val="left"/>
      <w:pPr>
        <w:ind w:left="1336" w:hanging="336"/>
      </w:pPr>
      <w:rPr>
        <w:rFonts w:ascii="Symbol" w:eastAsia="Symbol" w:hAnsi="Symbol" w:cs="Symbol" w:hint="default"/>
        <w:b w:val="0"/>
        <w:bCs w:val="0"/>
        <w:i w:val="0"/>
        <w:iCs w:val="0"/>
        <w:spacing w:val="0"/>
        <w:w w:val="104"/>
        <w:sz w:val="16"/>
        <w:szCs w:val="16"/>
        <w:lang w:val="en-US" w:eastAsia="en-US" w:bidi="ar-SA"/>
      </w:rPr>
    </w:lvl>
    <w:lvl w:ilvl="1" w:tplc="E7E4986E">
      <w:numFmt w:val="bullet"/>
      <w:lvlText w:val="•"/>
      <w:lvlJc w:val="left"/>
      <w:pPr>
        <w:ind w:left="1870" w:hanging="336"/>
      </w:pPr>
      <w:rPr>
        <w:rFonts w:hint="default"/>
        <w:lang w:val="en-US" w:eastAsia="en-US" w:bidi="ar-SA"/>
      </w:rPr>
    </w:lvl>
    <w:lvl w:ilvl="2" w:tplc="59102DEC">
      <w:numFmt w:val="bullet"/>
      <w:lvlText w:val="•"/>
      <w:lvlJc w:val="left"/>
      <w:pPr>
        <w:ind w:left="2400" w:hanging="336"/>
      </w:pPr>
      <w:rPr>
        <w:rFonts w:hint="default"/>
        <w:lang w:val="en-US" w:eastAsia="en-US" w:bidi="ar-SA"/>
      </w:rPr>
    </w:lvl>
    <w:lvl w:ilvl="3" w:tplc="2A20952C">
      <w:numFmt w:val="bullet"/>
      <w:lvlText w:val="•"/>
      <w:lvlJc w:val="left"/>
      <w:pPr>
        <w:ind w:left="2930" w:hanging="336"/>
      </w:pPr>
      <w:rPr>
        <w:rFonts w:hint="default"/>
        <w:lang w:val="en-US" w:eastAsia="en-US" w:bidi="ar-SA"/>
      </w:rPr>
    </w:lvl>
    <w:lvl w:ilvl="4" w:tplc="1CEABC6C">
      <w:numFmt w:val="bullet"/>
      <w:lvlText w:val="•"/>
      <w:lvlJc w:val="left"/>
      <w:pPr>
        <w:ind w:left="3460" w:hanging="336"/>
      </w:pPr>
      <w:rPr>
        <w:rFonts w:hint="default"/>
        <w:lang w:val="en-US" w:eastAsia="en-US" w:bidi="ar-SA"/>
      </w:rPr>
    </w:lvl>
    <w:lvl w:ilvl="5" w:tplc="13283270">
      <w:numFmt w:val="bullet"/>
      <w:lvlText w:val="•"/>
      <w:lvlJc w:val="left"/>
      <w:pPr>
        <w:ind w:left="3990" w:hanging="336"/>
      </w:pPr>
      <w:rPr>
        <w:rFonts w:hint="default"/>
        <w:lang w:val="en-US" w:eastAsia="en-US" w:bidi="ar-SA"/>
      </w:rPr>
    </w:lvl>
    <w:lvl w:ilvl="6" w:tplc="5B9CD8BA">
      <w:numFmt w:val="bullet"/>
      <w:lvlText w:val="•"/>
      <w:lvlJc w:val="left"/>
      <w:pPr>
        <w:ind w:left="4520" w:hanging="336"/>
      </w:pPr>
      <w:rPr>
        <w:rFonts w:hint="default"/>
        <w:lang w:val="en-US" w:eastAsia="en-US" w:bidi="ar-SA"/>
      </w:rPr>
    </w:lvl>
    <w:lvl w:ilvl="7" w:tplc="F68AB07E">
      <w:numFmt w:val="bullet"/>
      <w:lvlText w:val="•"/>
      <w:lvlJc w:val="left"/>
      <w:pPr>
        <w:ind w:left="5050" w:hanging="336"/>
      </w:pPr>
      <w:rPr>
        <w:rFonts w:hint="default"/>
        <w:lang w:val="en-US" w:eastAsia="en-US" w:bidi="ar-SA"/>
      </w:rPr>
    </w:lvl>
    <w:lvl w:ilvl="8" w:tplc="6F42BED2">
      <w:numFmt w:val="bullet"/>
      <w:lvlText w:val="•"/>
      <w:lvlJc w:val="left"/>
      <w:pPr>
        <w:ind w:left="5581" w:hanging="336"/>
      </w:pPr>
      <w:rPr>
        <w:rFonts w:hint="default"/>
        <w:lang w:val="en-US" w:eastAsia="en-US" w:bidi="ar-SA"/>
      </w:rPr>
    </w:lvl>
  </w:abstractNum>
  <w:abstractNum w:abstractNumId="43" w15:restartNumberingAfterBreak="0">
    <w:nsid w:val="3D813698"/>
    <w:multiLevelType w:val="hybridMultilevel"/>
    <w:tmpl w:val="42788352"/>
    <w:lvl w:ilvl="0" w:tplc="7444BAA8">
      <w:numFmt w:val="bullet"/>
      <w:lvlText w:val=""/>
      <w:lvlJc w:val="left"/>
      <w:pPr>
        <w:ind w:left="1488" w:hanging="335"/>
      </w:pPr>
      <w:rPr>
        <w:rFonts w:ascii="Symbol" w:eastAsia="Symbol" w:hAnsi="Symbol" w:cs="Symbol" w:hint="default"/>
        <w:b w:val="0"/>
        <w:bCs w:val="0"/>
        <w:i w:val="0"/>
        <w:iCs w:val="0"/>
        <w:spacing w:val="0"/>
        <w:w w:val="104"/>
        <w:sz w:val="16"/>
        <w:szCs w:val="16"/>
        <w:lang w:val="en-US" w:eastAsia="en-US" w:bidi="ar-SA"/>
      </w:rPr>
    </w:lvl>
    <w:lvl w:ilvl="1" w:tplc="63A07650">
      <w:start w:val="1"/>
      <w:numFmt w:val="lowerLetter"/>
      <w:lvlText w:val="(%2)"/>
      <w:lvlJc w:val="left"/>
      <w:pPr>
        <w:ind w:left="1872" w:hanging="335"/>
      </w:pPr>
      <w:rPr>
        <w:rFonts w:ascii="Arial" w:eastAsia="Arial" w:hAnsi="Arial" w:cs="Arial" w:hint="default"/>
        <w:b w:val="0"/>
        <w:bCs w:val="0"/>
        <w:i w:val="0"/>
        <w:iCs w:val="0"/>
        <w:spacing w:val="-1"/>
        <w:w w:val="101"/>
        <w:sz w:val="20"/>
        <w:szCs w:val="20"/>
        <w:lang w:val="en-US" w:eastAsia="en-US" w:bidi="ar-SA"/>
      </w:rPr>
    </w:lvl>
    <w:lvl w:ilvl="2" w:tplc="50FC6D7E">
      <w:numFmt w:val="bullet"/>
      <w:lvlText w:val="•"/>
      <w:lvlJc w:val="left"/>
      <w:pPr>
        <w:ind w:left="2409" w:hanging="335"/>
      </w:pPr>
      <w:rPr>
        <w:rFonts w:hint="default"/>
        <w:lang w:val="en-US" w:eastAsia="en-US" w:bidi="ar-SA"/>
      </w:rPr>
    </w:lvl>
    <w:lvl w:ilvl="3" w:tplc="0DC80892">
      <w:numFmt w:val="bullet"/>
      <w:lvlText w:val="•"/>
      <w:lvlJc w:val="left"/>
      <w:pPr>
        <w:ind w:left="2938" w:hanging="335"/>
      </w:pPr>
      <w:rPr>
        <w:rFonts w:hint="default"/>
        <w:lang w:val="en-US" w:eastAsia="en-US" w:bidi="ar-SA"/>
      </w:rPr>
    </w:lvl>
    <w:lvl w:ilvl="4" w:tplc="2C4812AA">
      <w:numFmt w:val="bullet"/>
      <w:lvlText w:val="•"/>
      <w:lvlJc w:val="left"/>
      <w:pPr>
        <w:ind w:left="3468" w:hanging="335"/>
      </w:pPr>
      <w:rPr>
        <w:rFonts w:hint="default"/>
        <w:lang w:val="en-US" w:eastAsia="en-US" w:bidi="ar-SA"/>
      </w:rPr>
    </w:lvl>
    <w:lvl w:ilvl="5" w:tplc="517A15C4">
      <w:numFmt w:val="bullet"/>
      <w:lvlText w:val="•"/>
      <w:lvlJc w:val="left"/>
      <w:pPr>
        <w:ind w:left="3997" w:hanging="335"/>
      </w:pPr>
      <w:rPr>
        <w:rFonts w:hint="default"/>
        <w:lang w:val="en-US" w:eastAsia="en-US" w:bidi="ar-SA"/>
      </w:rPr>
    </w:lvl>
    <w:lvl w:ilvl="6" w:tplc="6E089F6A">
      <w:numFmt w:val="bullet"/>
      <w:lvlText w:val="•"/>
      <w:lvlJc w:val="left"/>
      <w:pPr>
        <w:ind w:left="4527" w:hanging="335"/>
      </w:pPr>
      <w:rPr>
        <w:rFonts w:hint="default"/>
        <w:lang w:val="en-US" w:eastAsia="en-US" w:bidi="ar-SA"/>
      </w:rPr>
    </w:lvl>
    <w:lvl w:ilvl="7" w:tplc="330489A8">
      <w:numFmt w:val="bullet"/>
      <w:lvlText w:val="•"/>
      <w:lvlJc w:val="left"/>
      <w:pPr>
        <w:ind w:left="5056" w:hanging="335"/>
      </w:pPr>
      <w:rPr>
        <w:rFonts w:hint="default"/>
        <w:lang w:val="en-US" w:eastAsia="en-US" w:bidi="ar-SA"/>
      </w:rPr>
    </w:lvl>
    <w:lvl w:ilvl="8" w:tplc="8A2633EA">
      <w:numFmt w:val="bullet"/>
      <w:lvlText w:val="•"/>
      <w:lvlJc w:val="left"/>
      <w:pPr>
        <w:ind w:left="5585" w:hanging="335"/>
      </w:pPr>
      <w:rPr>
        <w:rFonts w:hint="default"/>
        <w:lang w:val="en-US" w:eastAsia="en-US" w:bidi="ar-SA"/>
      </w:rPr>
    </w:lvl>
  </w:abstractNum>
  <w:abstractNum w:abstractNumId="44" w15:restartNumberingAfterBreak="0">
    <w:nsid w:val="3DBF0730"/>
    <w:multiLevelType w:val="hybridMultilevel"/>
    <w:tmpl w:val="CF0A6220"/>
    <w:lvl w:ilvl="0" w:tplc="EA263D06">
      <w:numFmt w:val="bullet"/>
      <w:lvlText w:val="•"/>
      <w:lvlJc w:val="left"/>
      <w:pPr>
        <w:ind w:left="2286" w:hanging="284"/>
      </w:pPr>
      <w:rPr>
        <w:rFonts w:ascii="Lucida Sans" w:eastAsia="Lucida Sans" w:hAnsi="Lucida Sans" w:cs="Lucida Sans" w:hint="default"/>
        <w:b w:val="0"/>
        <w:bCs w:val="0"/>
        <w:i w:val="0"/>
        <w:iCs w:val="0"/>
        <w:spacing w:val="0"/>
        <w:w w:val="60"/>
        <w:sz w:val="16"/>
        <w:szCs w:val="16"/>
        <w:lang w:val="en-US" w:eastAsia="en-US" w:bidi="ar-SA"/>
      </w:rPr>
    </w:lvl>
    <w:lvl w:ilvl="1" w:tplc="718C9E18">
      <w:numFmt w:val="bullet"/>
      <w:lvlText w:val="•"/>
      <w:lvlJc w:val="left"/>
      <w:pPr>
        <w:ind w:left="3242" w:hanging="284"/>
      </w:pPr>
      <w:rPr>
        <w:rFonts w:hint="default"/>
        <w:lang w:val="en-US" w:eastAsia="en-US" w:bidi="ar-SA"/>
      </w:rPr>
    </w:lvl>
    <w:lvl w:ilvl="2" w:tplc="7E866D68">
      <w:numFmt w:val="bullet"/>
      <w:lvlText w:val="•"/>
      <w:lvlJc w:val="left"/>
      <w:pPr>
        <w:ind w:left="4205" w:hanging="284"/>
      </w:pPr>
      <w:rPr>
        <w:rFonts w:hint="default"/>
        <w:lang w:val="en-US" w:eastAsia="en-US" w:bidi="ar-SA"/>
      </w:rPr>
    </w:lvl>
    <w:lvl w:ilvl="3" w:tplc="C3F40CE0">
      <w:numFmt w:val="bullet"/>
      <w:lvlText w:val="•"/>
      <w:lvlJc w:val="left"/>
      <w:pPr>
        <w:ind w:left="5167" w:hanging="284"/>
      </w:pPr>
      <w:rPr>
        <w:rFonts w:hint="default"/>
        <w:lang w:val="en-US" w:eastAsia="en-US" w:bidi="ar-SA"/>
      </w:rPr>
    </w:lvl>
    <w:lvl w:ilvl="4" w:tplc="6E564A72">
      <w:numFmt w:val="bullet"/>
      <w:lvlText w:val="•"/>
      <w:lvlJc w:val="left"/>
      <w:pPr>
        <w:ind w:left="6130" w:hanging="284"/>
      </w:pPr>
      <w:rPr>
        <w:rFonts w:hint="default"/>
        <w:lang w:val="en-US" w:eastAsia="en-US" w:bidi="ar-SA"/>
      </w:rPr>
    </w:lvl>
    <w:lvl w:ilvl="5" w:tplc="7DC67386">
      <w:numFmt w:val="bullet"/>
      <w:lvlText w:val="•"/>
      <w:lvlJc w:val="left"/>
      <w:pPr>
        <w:ind w:left="7092" w:hanging="284"/>
      </w:pPr>
      <w:rPr>
        <w:rFonts w:hint="default"/>
        <w:lang w:val="en-US" w:eastAsia="en-US" w:bidi="ar-SA"/>
      </w:rPr>
    </w:lvl>
    <w:lvl w:ilvl="6" w:tplc="3C223D14">
      <w:numFmt w:val="bullet"/>
      <w:lvlText w:val="•"/>
      <w:lvlJc w:val="left"/>
      <w:pPr>
        <w:ind w:left="8055" w:hanging="284"/>
      </w:pPr>
      <w:rPr>
        <w:rFonts w:hint="default"/>
        <w:lang w:val="en-US" w:eastAsia="en-US" w:bidi="ar-SA"/>
      </w:rPr>
    </w:lvl>
    <w:lvl w:ilvl="7" w:tplc="A844A598">
      <w:numFmt w:val="bullet"/>
      <w:lvlText w:val="•"/>
      <w:lvlJc w:val="left"/>
      <w:pPr>
        <w:ind w:left="9017" w:hanging="284"/>
      </w:pPr>
      <w:rPr>
        <w:rFonts w:hint="default"/>
        <w:lang w:val="en-US" w:eastAsia="en-US" w:bidi="ar-SA"/>
      </w:rPr>
    </w:lvl>
    <w:lvl w:ilvl="8" w:tplc="234EA83C">
      <w:numFmt w:val="bullet"/>
      <w:lvlText w:val="•"/>
      <w:lvlJc w:val="left"/>
      <w:pPr>
        <w:ind w:left="9980" w:hanging="284"/>
      </w:pPr>
      <w:rPr>
        <w:rFonts w:hint="default"/>
        <w:lang w:val="en-US" w:eastAsia="en-US" w:bidi="ar-SA"/>
      </w:rPr>
    </w:lvl>
  </w:abstractNum>
  <w:abstractNum w:abstractNumId="45" w15:restartNumberingAfterBreak="0">
    <w:nsid w:val="3E766811"/>
    <w:multiLevelType w:val="multilevel"/>
    <w:tmpl w:val="3FDAEFEC"/>
    <w:lvl w:ilvl="0">
      <w:start w:val="7"/>
      <w:numFmt w:val="decimal"/>
      <w:lvlText w:val="%1"/>
      <w:lvlJc w:val="left"/>
      <w:pPr>
        <w:ind w:left="1777" w:hanging="669"/>
      </w:pPr>
      <w:rPr>
        <w:rFonts w:hint="default"/>
        <w:lang w:val="en-US" w:eastAsia="en-US" w:bidi="ar-SA"/>
      </w:rPr>
    </w:lvl>
    <w:lvl w:ilvl="1">
      <w:start w:val="1"/>
      <w:numFmt w:val="decimal"/>
      <w:lvlText w:val="%1.%2"/>
      <w:lvlJc w:val="left"/>
      <w:pPr>
        <w:ind w:left="1777" w:hanging="669"/>
      </w:pPr>
      <w:rPr>
        <w:rFonts w:ascii="Arial" w:eastAsia="Arial" w:hAnsi="Arial" w:cs="Arial" w:hint="default"/>
        <w:b w:val="0"/>
        <w:bCs w:val="0"/>
        <w:i w:val="0"/>
        <w:iCs w:val="0"/>
        <w:spacing w:val="-1"/>
        <w:w w:val="104"/>
        <w:sz w:val="16"/>
        <w:szCs w:val="16"/>
        <w:lang w:val="en-US" w:eastAsia="en-US" w:bidi="ar-SA"/>
      </w:rPr>
    </w:lvl>
    <w:lvl w:ilvl="2">
      <w:numFmt w:val="bullet"/>
      <w:lvlText w:val="•"/>
      <w:lvlJc w:val="left"/>
      <w:pPr>
        <w:ind w:left="2468" w:hanging="669"/>
      </w:pPr>
      <w:rPr>
        <w:rFonts w:hint="default"/>
        <w:lang w:val="en-US" w:eastAsia="en-US" w:bidi="ar-SA"/>
      </w:rPr>
    </w:lvl>
    <w:lvl w:ilvl="3">
      <w:numFmt w:val="bullet"/>
      <w:lvlText w:val="•"/>
      <w:lvlJc w:val="left"/>
      <w:pPr>
        <w:ind w:left="2812" w:hanging="669"/>
      </w:pPr>
      <w:rPr>
        <w:rFonts w:hint="default"/>
        <w:lang w:val="en-US" w:eastAsia="en-US" w:bidi="ar-SA"/>
      </w:rPr>
    </w:lvl>
    <w:lvl w:ilvl="4">
      <w:numFmt w:val="bullet"/>
      <w:lvlText w:val="•"/>
      <w:lvlJc w:val="left"/>
      <w:pPr>
        <w:ind w:left="3156" w:hanging="669"/>
      </w:pPr>
      <w:rPr>
        <w:rFonts w:hint="default"/>
        <w:lang w:val="en-US" w:eastAsia="en-US" w:bidi="ar-SA"/>
      </w:rPr>
    </w:lvl>
    <w:lvl w:ilvl="5">
      <w:numFmt w:val="bullet"/>
      <w:lvlText w:val="•"/>
      <w:lvlJc w:val="left"/>
      <w:pPr>
        <w:ind w:left="3500" w:hanging="669"/>
      </w:pPr>
      <w:rPr>
        <w:rFonts w:hint="default"/>
        <w:lang w:val="en-US" w:eastAsia="en-US" w:bidi="ar-SA"/>
      </w:rPr>
    </w:lvl>
    <w:lvl w:ilvl="6">
      <w:numFmt w:val="bullet"/>
      <w:lvlText w:val="•"/>
      <w:lvlJc w:val="left"/>
      <w:pPr>
        <w:ind w:left="3844" w:hanging="669"/>
      </w:pPr>
      <w:rPr>
        <w:rFonts w:hint="default"/>
        <w:lang w:val="en-US" w:eastAsia="en-US" w:bidi="ar-SA"/>
      </w:rPr>
    </w:lvl>
    <w:lvl w:ilvl="7">
      <w:numFmt w:val="bullet"/>
      <w:lvlText w:val="•"/>
      <w:lvlJc w:val="left"/>
      <w:pPr>
        <w:ind w:left="4188" w:hanging="669"/>
      </w:pPr>
      <w:rPr>
        <w:rFonts w:hint="default"/>
        <w:lang w:val="en-US" w:eastAsia="en-US" w:bidi="ar-SA"/>
      </w:rPr>
    </w:lvl>
    <w:lvl w:ilvl="8">
      <w:numFmt w:val="bullet"/>
      <w:lvlText w:val="•"/>
      <w:lvlJc w:val="left"/>
      <w:pPr>
        <w:ind w:left="4532" w:hanging="669"/>
      </w:pPr>
      <w:rPr>
        <w:rFonts w:hint="default"/>
        <w:lang w:val="en-US" w:eastAsia="en-US" w:bidi="ar-SA"/>
      </w:rPr>
    </w:lvl>
  </w:abstractNum>
  <w:abstractNum w:abstractNumId="46" w15:restartNumberingAfterBreak="0">
    <w:nsid w:val="3F351443"/>
    <w:multiLevelType w:val="hybridMultilevel"/>
    <w:tmpl w:val="07C678D8"/>
    <w:lvl w:ilvl="0" w:tplc="9990D8B2">
      <w:numFmt w:val="bullet"/>
      <w:lvlText w:val="•"/>
      <w:lvlJc w:val="left"/>
      <w:pPr>
        <w:ind w:left="697" w:hanging="284"/>
      </w:pPr>
      <w:rPr>
        <w:rFonts w:ascii="Lucida Sans" w:eastAsia="Lucida Sans" w:hAnsi="Lucida Sans" w:cs="Lucida Sans" w:hint="default"/>
        <w:b w:val="0"/>
        <w:bCs w:val="0"/>
        <w:i w:val="0"/>
        <w:iCs w:val="0"/>
        <w:spacing w:val="0"/>
        <w:w w:val="60"/>
        <w:sz w:val="18"/>
        <w:szCs w:val="18"/>
        <w:lang w:val="en-US" w:eastAsia="en-US" w:bidi="ar-SA"/>
      </w:rPr>
    </w:lvl>
    <w:lvl w:ilvl="1" w:tplc="E2D80112">
      <w:numFmt w:val="bullet"/>
      <w:lvlText w:val="•"/>
      <w:lvlJc w:val="left"/>
      <w:pPr>
        <w:ind w:left="1243" w:hanging="284"/>
      </w:pPr>
      <w:rPr>
        <w:rFonts w:hint="default"/>
        <w:lang w:val="en-US" w:eastAsia="en-US" w:bidi="ar-SA"/>
      </w:rPr>
    </w:lvl>
    <w:lvl w:ilvl="2" w:tplc="621665F2">
      <w:numFmt w:val="bullet"/>
      <w:lvlText w:val="•"/>
      <w:lvlJc w:val="left"/>
      <w:pPr>
        <w:ind w:left="1787" w:hanging="284"/>
      </w:pPr>
      <w:rPr>
        <w:rFonts w:hint="default"/>
        <w:lang w:val="en-US" w:eastAsia="en-US" w:bidi="ar-SA"/>
      </w:rPr>
    </w:lvl>
    <w:lvl w:ilvl="3" w:tplc="593EF502">
      <w:numFmt w:val="bullet"/>
      <w:lvlText w:val="•"/>
      <w:lvlJc w:val="left"/>
      <w:pPr>
        <w:ind w:left="2331" w:hanging="284"/>
      </w:pPr>
      <w:rPr>
        <w:rFonts w:hint="default"/>
        <w:lang w:val="en-US" w:eastAsia="en-US" w:bidi="ar-SA"/>
      </w:rPr>
    </w:lvl>
    <w:lvl w:ilvl="4" w:tplc="E41A6754">
      <w:numFmt w:val="bullet"/>
      <w:lvlText w:val="•"/>
      <w:lvlJc w:val="left"/>
      <w:pPr>
        <w:ind w:left="2875" w:hanging="284"/>
      </w:pPr>
      <w:rPr>
        <w:rFonts w:hint="default"/>
        <w:lang w:val="en-US" w:eastAsia="en-US" w:bidi="ar-SA"/>
      </w:rPr>
    </w:lvl>
    <w:lvl w:ilvl="5" w:tplc="744AD3CA">
      <w:numFmt w:val="bullet"/>
      <w:lvlText w:val="•"/>
      <w:lvlJc w:val="left"/>
      <w:pPr>
        <w:ind w:left="3419" w:hanging="284"/>
      </w:pPr>
      <w:rPr>
        <w:rFonts w:hint="default"/>
        <w:lang w:val="en-US" w:eastAsia="en-US" w:bidi="ar-SA"/>
      </w:rPr>
    </w:lvl>
    <w:lvl w:ilvl="6" w:tplc="AD60BAE6">
      <w:numFmt w:val="bullet"/>
      <w:lvlText w:val="•"/>
      <w:lvlJc w:val="left"/>
      <w:pPr>
        <w:ind w:left="3963" w:hanging="284"/>
      </w:pPr>
      <w:rPr>
        <w:rFonts w:hint="default"/>
        <w:lang w:val="en-US" w:eastAsia="en-US" w:bidi="ar-SA"/>
      </w:rPr>
    </w:lvl>
    <w:lvl w:ilvl="7" w:tplc="B10242B8">
      <w:numFmt w:val="bullet"/>
      <w:lvlText w:val="•"/>
      <w:lvlJc w:val="left"/>
      <w:pPr>
        <w:ind w:left="4507" w:hanging="284"/>
      </w:pPr>
      <w:rPr>
        <w:rFonts w:hint="default"/>
        <w:lang w:val="en-US" w:eastAsia="en-US" w:bidi="ar-SA"/>
      </w:rPr>
    </w:lvl>
    <w:lvl w:ilvl="8" w:tplc="EE12E73A">
      <w:numFmt w:val="bullet"/>
      <w:lvlText w:val="•"/>
      <w:lvlJc w:val="left"/>
      <w:pPr>
        <w:ind w:left="5051" w:hanging="284"/>
      </w:pPr>
      <w:rPr>
        <w:rFonts w:hint="default"/>
        <w:lang w:val="en-US" w:eastAsia="en-US" w:bidi="ar-SA"/>
      </w:rPr>
    </w:lvl>
  </w:abstractNum>
  <w:abstractNum w:abstractNumId="47" w15:restartNumberingAfterBreak="0">
    <w:nsid w:val="40F70EE7"/>
    <w:multiLevelType w:val="hybridMultilevel"/>
    <w:tmpl w:val="EC20060A"/>
    <w:lvl w:ilvl="0" w:tplc="2E88734C">
      <w:numFmt w:val="bullet"/>
      <w:lvlText w:val=""/>
      <w:lvlJc w:val="left"/>
      <w:pPr>
        <w:ind w:left="1703" w:hanging="336"/>
      </w:pPr>
      <w:rPr>
        <w:rFonts w:ascii="Symbol" w:eastAsia="Symbol" w:hAnsi="Symbol" w:cs="Symbol" w:hint="default"/>
        <w:b w:val="0"/>
        <w:bCs w:val="0"/>
        <w:i w:val="0"/>
        <w:iCs w:val="0"/>
        <w:spacing w:val="0"/>
        <w:w w:val="104"/>
        <w:sz w:val="16"/>
        <w:szCs w:val="16"/>
        <w:lang w:val="en-US" w:eastAsia="en-US" w:bidi="ar-SA"/>
      </w:rPr>
    </w:lvl>
    <w:lvl w:ilvl="1" w:tplc="8D7A120C">
      <w:numFmt w:val="bullet"/>
      <w:lvlText w:val="•"/>
      <w:lvlJc w:val="left"/>
      <w:pPr>
        <w:ind w:left="2720" w:hanging="336"/>
      </w:pPr>
      <w:rPr>
        <w:rFonts w:hint="default"/>
        <w:lang w:val="en-US" w:eastAsia="en-US" w:bidi="ar-SA"/>
      </w:rPr>
    </w:lvl>
    <w:lvl w:ilvl="2" w:tplc="B282B83E">
      <w:numFmt w:val="bullet"/>
      <w:lvlText w:val="•"/>
      <w:lvlJc w:val="left"/>
      <w:pPr>
        <w:ind w:left="3741" w:hanging="336"/>
      </w:pPr>
      <w:rPr>
        <w:rFonts w:hint="default"/>
        <w:lang w:val="en-US" w:eastAsia="en-US" w:bidi="ar-SA"/>
      </w:rPr>
    </w:lvl>
    <w:lvl w:ilvl="3" w:tplc="CF906ABA">
      <w:numFmt w:val="bullet"/>
      <w:lvlText w:val="•"/>
      <w:lvlJc w:val="left"/>
      <w:pPr>
        <w:ind w:left="4761" w:hanging="336"/>
      </w:pPr>
      <w:rPr>
        <w:rFonts w:hint="default"/>
        <w:lang w:val="en-US" w:eastAsia="en-US" w:bidi="ar-SA"/>
      </w:rPr>
    </w:lvl>
    <w:lvl w:ilvl="4" w:tplc="E28CAED6">
      <w:numFmt w:val="bullet"/>
      <w:lvlText w:val="•"/>
      <w:lvlJc w:val="left"/>
      <w:pPr>
        <w:ind w:left="5782" w:hanging="336"/>
      </w:pPr>
      <w:rPr>
        <w:rFonts w:hint="default"/>
        <w:lang w:val="en-US" w:eastAsia="en-US" w:bidi="ar-SA"/>
      </w:rPr>
    </w:lvl>
    <w:lvl w:ilvl="5" w:tplc="F4E6A308">
      <w:numFmt w:val="bullet"/>
      <w:lvlText w:val="•"/>
      <w:lvlJc w:val="left"/>
      <w:pPr>
        <w:ind w:left="6802" w:hanging="336"/>
      </w:pPr>
      <w:rPr>
        <w:rFonts w:hint="default"/>
        <w:lang w:val="en-US" w:eastAsia="en-US" w:bidi="ar-SA"/>
      </w:rPr>
    </w:lvl>
    <w:lvl w:ilvl="6" w:tplc="F3989BCC">
      <w:numFmt w:val="bullet"/>
      <w:lvlText w:val="•"/>
      <w:lvlJc w:val="left"/>
      <w:pPr>
        <w:ind w:left="7823" w:hanging="336"/>
      </w:pPr>
      <w:rPr>
        <w:rFonts w:hint="default"/>
        <w:lang w:val="en-US" w:eastAsia="en-US" w:bidi="ar-SA"/>
      </w:rPr>
    </w:lvl>
    <w:lvl w:ilvl="7" w:tplc="4E8815BC">
      <w:numFmt w:val="bullet"/>
      <w:lvlText w:val="•"/>
      <w:lvlJc w:val="left"/>
      <w:pPr>
        <w:ind w:left="8843" w:hanging="336"/>
      </w:pPr>
      <w:rPr>
        <w:rFonts w:hint="default"/>
        <w:lang w:val="en-US" w:eastAsia="en-US" w:bidi="ar-SA"/>
      </w:rPr>
    </w:lvl>
    <w:lvl w:ilvl="8" w:tplc="4B22B1D4">
      <w:numFmt w:val="bullet"/>
      <w:lvlText w:val="•"/>
      <w:lvlJc w:val="left"/>
      <w:pPr>
        <w:ind w:left="9864" w:hanging="336"/>
      </w:pPr>
      <w:rPr>
        <w:rFonts w:hint="default"/>
        <w:lang w:val="en-US" w:eastAsia="en-US" w:bidi="ar-SA"/>
      </w:rPr>
    </w:lvl>
  </w:abstractNum>
  <w:abstractNum w:abstractNumId="48" w15:restartNumberingAfterBreak="0">
    <w:nsid w:val="41B45311"/>
    <w:multiLevelType w:val="multilevel"/>
    <w:tmpl w:val="024A29D6"/>
    <w:lvl w:ilvl="0">
      <w:start w:val="2"/>
      <w:numFmt w:val="decimal"/>
      <w:lvlText w:val="%1"/>
      <w:lvlJc w:val="left"/>
      <w:pPr>
        <w:ind w:left="1580" w:hanging="527"/>
      </w:pPr>
      <w:rPr>
        <w:rFonts w:hint="default"/>
        <w:lang w:val="en-US" w:eastAsia="en-US" w:bidi="ar-SA"/>
      </w:rPr>
    </w:lvl>
    <w:lvl w:ilvl="1">
      <w:start w:val="1"/>
      <w:numFmt w:val="decimal"/>
      <w:lvlText w:val="%1.%2"/>
      <w:lvlJc w:val="left"/>
      <w:pPr>
        <w:ind w:left="1580" w:hanging="527"/>
      </w:pPr>
      <w:rPr>
        <w:rFonts w:ascii="Arial" w:eastAsia="Arial" w:hAnsi="Arial" w:cs="Arial" w:hint="default"/>
        <w:b w:val="0"/>
        <w:bCs w:val="0"/>
        <w:i w:val="0"/>
        <w:iCs w:val="0"/>
        <w:spacing w:val="-1"/>
        <w:w w:val="104"/>
        <w:sz w:val="16"/>
        <w:szCs w:val="16"/>
        <w:lang w:val="en-US" w:eastAsia="en-US" w:bidi="ar-SA"/>
      </w:rPr>
    </w:lvl>
    <w:lvl w:ilvl="2">
      <w:numFmt w:val="bullet"/>
      <w:lvlText w:val="•"/>
      <w:lvlJc w:val="left"/>
      <w:pPr>
        <w:ind w:left="3645" w:hanging="527"/>
      </w:pPr>
      <w:rPr>
        <w:rFonts w:hint="default"/>
        <w:lang w:val="en-US" w:eastAsia="en-US" w:bidi="ar-SA"/>
      </w:rPr>
    </w:lvl>
    <w:lvl w:ilvl="3">
      <w:numFmt w:val="bullet"/>
      <w:lvlText w:val="•"/>
      <w:lvlJc w:val="left"/>
      <w:pPr>
        <w:ind w:left="4677" w:hanging="527"/>
      </w:pPr>
      <w:rPr>
        <w:rFonts w:hint="default"/>
        <w:lang w:val="en-US" w:eastAsia="en-US" w:bidi="ar-SA"/>
      </w:rPr>
    </w:lvl>
    <w:lvl w:ilvl="4">
      <w:numFmt w:val="bullet"/>
      <w:lvlText w:val="•"/>
      <w:lvlJc w:val="left"/>
      <w:pPr>
        <w:ind w:left="5710" w:hanging="527"/>
      </w:pPr>
      <w:rPr>
        <w:rFonts w:hint="default"/>
        <w:lang w:val="en-US" w:eastAsia="en-US" w:bidi="ar-SA"/>
      </w:rPr>
    </w:lvl>
    <w:lvl w:ilvl="5">
      <w:numFmt w:val="bullet"/>
      <w:lvlText w:val="•"/>
      <w:lvlJc w:val="left"/>
      <w:pPr>
        <w:ind w:left="6742" w:hanging="527"/>
      </w:pPr>
      <w:rPr>
        <w:rFonts w:hint="default"/>
        <w:lang w:val="en-US" w:eastAsia="en-US" w:bidi="ar-SA"/>
      </w:rPr>
    </w:lvl>
    <w:lvl w:ilvl="6">
      <w:numFmt w:val="bullet"/>
      <w:lvlText w:val="•"/>
      <w:lvlJc w:val="left"/>
      <w:pPr>
        <w:ind w:left="7775" w:hanging="527"/>
      </w:pPr>
      <w:rPr>
        <w:rFonts w:hint="default"/>
        <w:lang w:val="en-US" w:eastAsia="en-US" w:bidi="ar-SA"/>
      </w:rPr>
    </w:lvl>
    <w:lvl w:ilvl="7">
      <w:numFmt w:val="bullet"/>
      <w:lvlText w:val="•"/>
      <w:lvlJc w:val="left"/>
      <w:pPr>
        <w:ind w:left="8807" w:hanging="527"/>
      </w:pPr>
      <w:rPr>
        <w:rFonts w:hint="default"/>
        <w:lang w:val="en-US" w:eastAsia="en-US" w:bidi="ar-SA"/>
      </w:rPr>
    </w:lvl>
    <w:lvl w:ilvl="8">
      <w:numFmt w:val="bullet"/>
      <w:lvlText w:val="•"/>
      <w:lvlJc w:val="left"/>
      <w:pPr>
        <w:ind w:left="9840" w:hanging="527"/>
      </w:pPr>
      <w:rPr>
        <w:rFonts w:hint="default"/>
        <w:lang w:val="en-US" w:eastAsia="en-US" w:bidi="ar-SA"/>
      </w:rPr>
    </w:lvl>
  </w:abstractNum>
  <w:abstractNum w:abstractNumId="49" w15:restartNumberingAfterBreak="0">
    <w:nsid w:val="44B16A8D"/>
    <w:multiLevelType w:val="hybridMultilevel"/>
    <w:tmpl w:val="C0E25874"/>
    <w:lvl w:ilvl="0" w:tplc="E52439D4">
      <w:start w:val="1"/>
      <w:numFmt w:val="lowerLetter"/>
      <w:lvlText w:val="(%1)"/>
      <w:lvlJc w:val="left"/>
      <w:pPr>
        <w:ind w:left="1412" w:hanging="336"/>
      </w:pPr>
      <w:rPr>
        <w:rFonts w:ascii="Arial" w:eastAsia="Arial" w:hAnsi="Arial" w:cs="Arial" w:hint="default"/>
        <w:b w:val="0"/>
        <w:bCs w:val="0"/>
        <w:i/>
        <w:iCs/>
        <w:spacing w:val="-1"/>
        <w:w w:val="99"/>
        <w:sz w:val="15"/>
        <w:szCs w:val="15"/>
        <w:lang w:val="en-US" w:eastAsia="en-US" w:bidi="ar-SA"/>
      </w:rPr>
    </w:lvl>
    <w:lvl w:ilvl="1" w:tplc="C3B0B636">
      <w:numFmt w:val="bullet"/>
      <w:lvlText w:val="•"/>
      <w:lvlJc w:val="left"/>
      <w:pPr>
        <w:ind w:left="2468" w:hanging="336"/>
      </w:pPr>
      <w:rPr>
        <w:rFonts w:hint="default"/>
        <w:lang w:val="en-US" w:eastAsia="en-US" w:bidi="ar-SA"/>
      </w:rPr>
    </w:lvl>
    <w:lvl w:ilvl="2" w:tplc="D32A8760">
      <w:numFmt w:val="bullet"/>
      <w:lvlText w:val="•"/>
      <w:lvlJc w:val="left"/>
      <w:pPr>
        <w:ind w:left="3517" w:hanging="336"/>
      </w:pPr>
      <w:rPr>
        <w:rFonts w:hint="default"/>
        <w:lang w:val="en-US" w:eastAsia="en-US" w:bidi="ar-SA"/>
      </w:rPr>
    </w:lvl>
    <w:lvl w:ilvl="3" w:tplc="095A037C">
      <w:numFmt w:val="bullet"/>
      <w:lvlText w:val="•"/>
      <w:lvlJc w:val="left"/>
      <w:pPr>
        <w:ind w:left="4565" w:hanging="336"/>
      </w:pPr>
      <w:rPr>
        <w:rFonts w:hint="default"/>
        <w:lang w:val="en-US" w:eastAsia="en-US" w:bidi="ar-SA"/>
      </w:rPr>
    </w:lvl>
    <w:lvl w:ilvl="4" w:tplc="FBD22F94">
      <w:numFmt w:val="bullet"/>
      <w:lvlText w:val="•"/>
      <w:lvlJc w:val="left"/>
      <w:pPr>
        <w:ind w:left="5614" w:hanging="336"/>
      </w:pPr>
      <w:rPr>
        <w:rFonts w:hint="default"/>
        <w:lang w:val="en-US" w:eastAsia="en-US" w:bidi="ar-SA"/>
      </w:rPr>
    </w:lvl>
    <w:lvl w:ilvl="5" w:tplc="950A4452">
      <w:numFmt w:val="bullet"/>
      <w:lvlText w:val="•"/>
      <w:lvlJc w:val="left"/>
      <w:pPr>
        <w:ind w:left="6662" w:hanging="336"/>
      </w:pPr>
      <w:rPr>
        <w:rFonts w:hint="default"/>
        <w:lang w:val="en-US" w:eastAsia="en-US" w:bidi="ar-SA"/>
      </w:rPr>
    </w:lvl>
    <w:lvl w:ilvl="6" w:tplc="75629E90">
      <w:numFmt w:val="bullet"/>
      <w:lvlText w:val="•"/>
      <w:lvlJc w:val="left"/>
      <w:pPr>
        <w:ind w:left="7711" w:hanging="336"/>
      </w:pPr>
      <w:rPr>
        <w:rFonts w:hint="default"/>
        <w:lang w:val="en-US" w:eastAsia="en-US" w:bidi="ar-SA"/>
      </w:rPr>
    </w:lvl>
    <w:lvl w:ilvl="7" w:tplc="AA32B9E8">
      <w:numFmt w:val="bullet"/>
      <w:lvlText w:val="•"/>
      <w:lvlJc w:val="left"/>
      <w:pPr>
        <w:ind w:left="8759" w:hanging="336"/>
      </w:pPr>
      <w:rPr>
        <w:rFonts w:hint="default"/>
        <w:lang w:val="en-US" w:eastAsia="en-US" w:bidi="ar-SA"/>
      </w:rPr>
    </w:lvl>
    <w:lvl w:ilvl="8" w:tplc="91481636">
      <w:numFmt w:val="bullet"/>
      <w:lvlText w:val="•"/>
      <w:lvlJc w:val="left"/>
      <w:pPr>
        <w:ind w:left="9808" w:hanging="336"/>
      </w:pPr>
      <w:rPr>
        <w:rFonts w:hint="default"/>
        <w:lang w:val="en-US" w:eastAsia="en-US" w:bidi="ar-SA"/>
      </w:rPr>
    </w:lvl>
  </w:abstractNum>
  <w:abstractNum w:abstractNumId="50" w15:restartNumberingAfterBreak="0">
    <w:nsid w:val="459825E7"/>
    <w:multiLevelType w:val="multilevel"/>
    <w:tmpl w:val="7FF2E1CA"/>
    <w:lvl w:ilvl="0">
      <w:start w:val="5"/>
      <w:numFmt w:val="decimal"/>
      <w:lvlText w:val="%1"/>
      <w:lvlJc w:val="left"/>
      <w:pPr>
        <w:ind w:left="1577" w:hanging="527"/>
      </w:pPr>
      <w:rPr>
        <w:rFonts w:hint="default"/>
        <w:lang w:val="en-US" w:eastAsia="en-US" w:bidi="ar-SA"/>
      </w:rPr>
    </w:lvl>
    <w:lvl w:ilvl="1">
      <w:start w:val="1"/>
      <w:numFmt w:val="decimal"/>
      <w:lvlText w:val="%1.%2"/>
      <w:lvlJc w:val="left"/>
      <w:pPr>
        <w:ind w:left="1577" w:hanging="527"/>
      </w:pPr>
      <w:rPr>
        <w:rFonts w:ascii="Arial" w:eastAsia="Arial" w:hAnsi="Arial" w:cs="Arial" w:hint="default"/>
        <w:b w:val="0"/>
        <w:bCs w:val="0"/>
        <w:i w:val="0"/>
        <w:iCs w:val="0"/>
        <w:spacing w:val="-1"/>
        <w:w w:val="104"/>
        <w:sz w:val="16"/>
        <w:szCs w:val="16"/>
        <w:lang w:val="en-US" w:eastAsia="en-US" w:bidi="ar-SA"/>
      </w:rPr>
    </w:lvl>
    <w:lvl w:ilvl="2">
      <w:numFmt w:val="bullet"/>
      <w:lvlText w:val="•"/>
      <w:lvlJc w:val="left"/>
      <w:pPr>
        <w:ind w:left="3645" w:hanging="527"/>
      </w:pPr>
      <w:rPr>
        <w:rFonts w:hint="default"/>
        <w:lang w:val="en-US" w:eastAsia="en-US" w:bidi="ar-SA"/>
      </w:rPr>
    </w:lvl>
    <w:lvl w:ilvl="3">
      <w:numFmt w:val="bullet"/>
      <w:lvlText w:val="•"/>
      <w:lvlJc w:val="left"/>
      <w:pPr>
        <w:ind w:left="4677" w:hanging="527"/>
      </w:pPr>
      <w:rPr>
        <w:rFonts w:hint="default"/>
        <w:lang w:val="en-US" w:eastAsia="en-US" w:bidi="ar-SA"/>
      </w:rPr>
    </w:lvl>
    <w:lvl w:ilvl="4">
      <w:numFmt w:val="bullet"/>
      <w:lvlText w:val="•"/>
      <w:lvlJc w:val="left"/>
      <w:pPr>
        <w:ind w:left="5710" w:hanging="527"/>
      </w:pPr>
      <w:rPr>
        <w:rFonts w:hint="default"/>
        <w:lang w:val="en-US" w:eastAsia="en-US" w:bidi="ar-SA"/>
      </w:rPr>
    </w:lvl>
    <w:lvl w:ilvl="5">
      <w:numFmt w:val="bullet"/>
      <w:lvlText w:val="•"/>
      <w:lvlJc w:val="left"/>
      <w:pPr>
        <w:ind w:left="6742" w:hanging="527"/>
      </w:pPr>
      <w:rPr>
        <w:rFonts w:hint="default"/>
        <w:lang w:val="en-US" w:eastAsia="en-US" w:bidi="ar-SA"/>
      </w:rPr>
    </w:lvl>
    <w:lvl w:ilvl="6">
      <w:numFmt w:val="bullet"/>
      <w:lvlText w:val="•"/>
      <w:lvlJc w:val="left"/>
      <w:pPr>
        <w:ind w:left="7775" w:hanging="527"/>
      </w:pPr>
      <w:rPr>
        <w:rFonts w:hint="default"/>
        <w:lang w:val="en-US" w:eastAsia="en-US" w:bidi="ar-SA"/>
      </w:rPr>
    </w:lvl>
    <w:lvl w:ilvl="7">
      <w:numFmt w:val="bullet"/>
      <w:lvlText w:val="•"/>
      <w:lvlJc w:val="left"/>
      <w:pPr>
        <w:ind w:left="8807" w:hanging="527"/>
      </w:pPr>
      <w:rPr>
        <w:rFonts w:hint="default"/>
        <w:lang w:val="en-US" w:eastAsia="en-US" w:bidi="ar-SA"/>
      </w:rPr>
    </w:lvl>
    <w:lvl w:ilvl="8">
      <w:numFmt w:val="bullet"/>
      <w:lvlText w:val="•"/>
      <w:lvlJc w:val="left"/>
      <w:pPr>
        <w:ind w:left="9840" w:hanging="527"/>
      </w:pPr>
      <w:rPr>
        <w:rFonts w:hint="default"/>
        <w:lang w:val="en-US" w:eastAsia="en-US" w:bidi="ar-SA"/>
      </w:rPr>
    </w:lvl>
  </w:abstractNum>
  <w:abstractNum w:abstractNumId="51" w15:restartNumberingAfterBreak="0">
    <w:nsid w:val="466548B8"/>
    <w:multiLevelType w:val="multilevel"/>
    <w:tmpl w:val="094E3ADA"/>
    <w:lvl w:ilvl="0">
      <w:start w:val="4"/>
      <w:numFmt w:val="decimal"/>
      <w:lvlText w:val="%1"/>
      <w:lvlJc w:val="left"/>
      <w:pPr>
        <w:ind w:left="436" w:hanging="309"/>
      </w:pPr>
      <w:rPr>
        <w:rFonts w:hint="default"/>
        <w:lang w:val="en-US" w:eastAsia="en-US" w:bidi="ar-SA"/>
      </w:rPr>
    </w:lvl>
    <w:lvl w:ilvl="1">
      <w:numFmt w:val="decimal"/>
      <w:lvlText w:val="%1.%2"/>
      <w:lvlJc w:val="left"/>
      <w:pPr>
        <w:ind w:left="436" w:hanging="309"/>
        <w:jc w:val="right"/>
      </w:pPr>
      <w:rPr>
        <w:rFonts w:hint="default"/>
        <w:spacing w:val="-3"/>
        <w:w w:val="85"/>
        <w:lang w:val="en-US" w:eastAsia="en-US" w:bidi="ar-SA"/>
      </w:rPr>
    </w:lvl>
    <w:lvl w:ilvl="2">
      <w:numFmt w:val="bullet"/>
      <w:lvlText w:val="•"/>
      <w:lvlJc w:val="left"/>
      <w:pPr>
        <w:ind w:left="1584" w:hanging="309"/>
      </w:pPr>
      <w:rPr>
        <w:rFonts w:hint="default"/>
        <w:lang w:val="en-US" w:eastAsia="en-US" w:bidi="ar-SA"/>
      </w:rPr>
    </w:lvl>
    <w:lvl w:ilvl="3">
      <w:numFmt w:val="bullet"/>
      <w:lvlText w:val="•"/>
      <w:lvlJc w:val="left"/>
      <w:pPr>
        <w:ind w:left="2156" w:hanging="309"/>
      </w:pPr>
      <w:rPr>
        <w:rFonts w:hint="default"/>
        <w:lang w:val="en-US" w:eastAsia="en-US" w:bidi="ar-SA"/>
      </w:rPr>
    </w:lvl>
    <w:lvl w:ilvl="4">
      <w:numFmt w:val="bullet"/>
      <w:lvlText w:val="•"/>
      <w:lvlJc w:val="left"/>
      <w:pPr>
        <w:ind w:left="2729" w:hanging="309"/>
      </w:pPr>
      <w:rPr>
        <w:rFonts w:hint="default"/>
        <w:lang w:val="en-US" w:eastAsia="en-US" w:bidi="ar-SA"/>
      </w:rPr>
    </w:lvl>
    <w:lvl w:ilvl="5">
      <w:numFmt w:val="bullet"/>
      <w:lvlText w:val="•"/>
      <w:lvlJc w:val="left"/>
      <w:pPr>
        <w:ind w:left="3301" w:hanging="309"/>
      </w:pPr>
      <w:rPr>
        <w:rFonts w:hint="default"/>
        <w:lang w:val="en-US" w:eastAsia="en-US" w:bidi="ar-SA"/>
      </w:rPr>
    </w:lvl>
    <w:lvl w:ilvl="6">
      <w:numFmt w:val="bullet"/>
      <w:lvlText w:val="•"/>
      <w:lvlJc w:val="left"/>
      <w:pPr>
        <w:ind w:left="3873" w:hanging="309"/>
      </w:pPr>
      <w:rPr>
        <w:rFonts w:hint="default"/>
        <w:lang w:val="en-US" w:eastAsia="en-US" w:bidi="ar-SA"/>
      </w:rPr>
    </w:lvl>
    <w:lvl w:ilvl="7">
      <w:numFmt w:val="bullet"/>
      <w:lvlText w:val="•"/>
      <w:lvlJc w:val="left"/>
      <w:pPr>
        <w:ind w:left="4445" w:hanging="309"/>
      </w:pPr>
      <w:rPr>
        <w:rFonts w:hint="default"/>
        <w:lang w:val="en-US" w:eastAsia="en-US" w:bidi="ar-SA"/>
      </w:rPr>
    </w:lvl>
    <w:lvl w:ilvl="8">
      <w:numFmt w:val="bullet"/>
      <w:lvlText w:val="•"/>
      <w:lvlJc w:val="left"/>
      <w:pPr>
        <w:ind w:left="5018" w:hanging="309"/>
      </w:pPr>
      <w:rPr>
        <w:rFonts w:hint="default"/>
        <w:lang w:val="en-US" w:eastAsia="en-US" w:bidi="ar-SA"/>
      </w:rPr>
    </w:lvl>
  </w:abstractNum>
  <w:abstractNum w:abstractNumId="52" w15:restartNumberingAfterBreak="0">
    <w:nsid w:val="47444DE4"/>
    <w:multiLevelType w:val="hybridMultilevel"/>
    <w:tmpl w:val="E4703C96"/>
    <w:lvl w:ilvl="0" w:tplc="AABA42D2">
      <w:start w:val="1"/>
      <w:numFmt w:val="lowerLetter"/>
      <w:lvlText w:val="(%1)"/>
      <w:lvlJc w:val="left"/>
      <w:pPr>
        <w:ind w:left="1454" w:hanging="336"/>
      </w:pPr>
      <w:rPr>
        <w:rFonts w:ascii="Arial" w:eastAsia="Arial" w:hAnsi="Arial" w:cs="Arial" w:hint="default"/>
        <w:b w:val="0"/>
        <w:bCs w:val="0"/>
        <w:i/>
        <w:iCs/>
        <w:spacing w:val="-2"/>
        <w:w w:val="98"/>
        <w:sz w:val="15"/>
        <w:szCs w:val="15"/>
        <w:lang w:val="en-US" w:eastAsia="en-US" w:bidi="ar-SA"/>
      </w:rPr>
    </w:lvl>
    <w:lvl w:ilvl="1" w:tplc="F146A5FC">
      <w:numFmt w:val="bullet"/>
      <w:lvlText w:val="•"/>
      <w:lvlJc w:val="left"/>
      <w:pPr>
        <w:ind w:left="2504" w:hanging="336"/>
      </w:pPr>
      <w:rPr>
        <w:rFonts w:hint="default"/>
        <w:lang w:val="en-US" w:eastAsia="en-US" w:bidi="ar-SA"/>
      </w:rPr>
    </w:lvl>
    <w:lvl w:ilvl="2" w:tplc="38EAFB5C">
      <w:numFmt w:val="bullet"/>
      <w:lvlText w:val="•"/>
      <w:lvlJc w:val="left"/>
      <w:pPr>
        <w:ind w:left="3549" w:hanging="336"/>
      </w:pPr>
      <w:rPr>
        <w:rFonts w:hint="default"/>
        <w:lang w:val="en-US" w:eastAsia="en-US" w:bidi="ar-SA"/>
      </w:rPr>
    </w:lvl>
    <w:lvl w:ilvl="3" w:tplc="A2DC59F6">
      <w:numFmt w:val="bullet"/>
      <w:lvlText w:val="•"/>
      <w:lvlJc w:val="left"/>
      <w:pPr>
        <w:ind w:left="4593" w:hanging="336"/>
      </w:pPr>
      <w:rPr>
        <w:rFonts w:hint="default"/>
        <w:lang w:val="en-US" w:eastAsia="en-US" w:bidi="ar-SA"/>
      </w:rPr>
    </w:lvl>
    <w:lvl w:ilvl="4" w:tplc="9FFAD96C">
      <w:numFmt w:val="bullet"/>
      <w:lvlText w:val="•"/>
      <w:lvlJc w:val="left"/>
      <w:pPr>
        <w:ind w:left="5638" w:hanging="336"/>
      </w:pPr>
      <w:rPr>
        <w:rFonts w:hint="default"/>
        <w:lang w:val="en-US" w:eastAsia="en-US" w:bidi="ar-SA"/>
      </w:rPr>
    </w:lvl>
    <w:lvl w:ilvl="5" w:tplc="80BE8A46">
      <w:numFmt w:val="bullet"/>
      <w:lvlText w:val="•"/>
      <w:lvlJc w:val="left"/>
      <w:pPr>
        <w:ind w:left="6682" w:hanging="336"/>
      </w:pPr>
      <w:rPr>
        <w:rFonts w:hint="default"/>
        <w:lang w:val="en-US" w:eastAsia="en-US" w:bidi="ar-SA"/>
      </w:rPr>
    </w:lvl>
    <w:lvl w:ilvl="6" w:tplc="4A002F88">
      <w:numFmt w:val="bullet"/>
      <w:lvlText w:val="•"/>
      <w:lvlJc w:val="left"/>
      <w:pPr>
        <w:ind w:left="7727" w:hanging="336"/>
      </w:pPr>
      <w:rPr>
        <w:rFonts w:hint="default"/>
        <w:lang w:val="en-US" w:eastAsia="en-US" w:bidi="ar-SA"/>
      </w:rPr>
    </w:lvl>
    <w:lvl w:ilvl="7" w:tplc="FCC8412A">
      <w:numFmt w:val="bullet"/>
      <w:lvlText w:val="•"/>
      <w:lvlJc w:val="left"/>
      <w:pPr>
        <w:ind w:left="8771" w:hanging="336"/>
      </w:pPr>
      <w:rPr>
        <w:rFonts w:hint="default"/>
        <w:lang w:val="en-US" w:eastAsia="en-US" w:bidi="ar-SA"/>
      </w:rPr>
    </w:lvl>
    <w:lvl w:ilvl="8" w:tplc="6BA88368">
      <w:numFmt w:val="bullet"/>
      <w:lvlText w:val="•"/>
      <w:lvlJc w:val="left"/>
      <w:pPr>
        <w:ind w:left="9816" w:hanging="336"/>
      </w:pPr>
      <w:rPr>
        <w:rFonts w:hint="default"/>
        <w:lang w:val="en-US" w:eastAsia="en-US" w:bidi="ar-SA"/>
      </w:rPr>
    </w:lvl>
  </w:abstractNum>
  <w:abstractNum w:abstractNumId="53" w15:restartNumberingAfterBreak="0">
    <w:nsid w:val="4747428A"/>
    <w:multiLevelType w:val="hybridMultilevel"/>
    <w:tmpl w:val="EAA2DFB4"/>
    <w:lvl w:ilvl="0" w:tplc="B01C9682">
      <w:start w:val="1"/>
      <w:numFmt w:val="lowerLetter"/>
      <w:lvlText w:val="(%1)"/>
      <w:lvlJc w:val="left"/>
      <w:pPr>
        <w:ind w:left="1326" w:hanging="266"/>
      </w:pPr>
      <w:rPr>
        <w:rFonts w:ascii="Arial" w:eastAsia="Arial" w:hAnsi="Arial" w:cs="Arial" w:hint="default"/>
        <w:b w:val="0"/>
        <w:bCs w:val="0"/>
        <w:i/>
        <w:iCs/>
        <w:spacing w:val="-2"/>
        <w:w w:val="98"/>
        <w:sz w:val="15"/>
        <w:szCs w:val="15"/>
        <w:lang w:val="en-US" w:eastAsia="en-US" w:bidi="ar-SA"/>
      </w:rPr>
    </w:lvl>
    <w:lvl w:ilvl="1" w:tplc="8A30D956">
      <w:numFmt w:val="bullet"/>
      <w:lvlText w:val="•"/>
      <w:lvlJc w:val="left"/>
      <w:pPr>
        <w:ind w:left="2378" w:hanging="266"/>
      </w:pPr>
      <w:rPr>
        <w:rFonts w:hint="default"/>
        <w:lang w:val="en-US" w:eastAsia="en-US" w:bidi="ar-SA"/>
      </w:rPr>
    </w:lvl>
    <w:lvl w:ilvl="2" w:tplc="30E04E7E">
      <w:numFmt w:val="bullet"/>
      <w:lvlText w:val="•"/>
      <w:lvlJc w:val="left"/>
      <w:pPr>
        <w:ind w:left="3437" w:hanging="266"/>
      </w:pPr>
      <w:rPr>
        <w:rFonts w:hint="default"/>
        <w:lang w:val="en-US" w:eastAsia="en-US" w:bidi="ar-SA"/>
      </w:rPr>
    </w:lvl>
    <w:lvl w:ilvl="3" w:tplc="9F5279FE">
      <w:numFmt w:val="bullet"/>
      <w:lvlText w:val="•"/>
      <w:lvlJc w:val="left"/>
      <w:pPr>
        <w:ind w:left="4495" w:hanging="266"/>
      </w:pPr>
      <w:rPr>
        <w:rFonts w:hint="default"/>
        <w:lang w:val="en-US" w:eastAsia="en-US" w:bidi="ar-SA"/>
      </w:rPr>
    </w:lvl>
    <w:lvl w:ilvl="4" w:tplc="956E177E">
      <w:numFmt w:val="bullet"/>
      <w:lvlText w:val="•"/>
      <w:lvlJc w:val="left"/>
      <w:pPr>
        <w:ind w:left="5554" w:hanging="266"/>
      </w:pPr>
      <w:rPr>
        <w:rFonts w:hint="default"/>
        <w:lang w:val="en-US" w:eastAsia="en-US" w:bidi="ar-SA"/>
      </w:rPr>
    </w:lvl>
    <w:lvl w:ilvl="5" w:tplc="B7F26D28">
      <w:numFmt w:val="bullet"/>
      <w:lvlText w:val="•"/>
      <w:lvlJc w:val="left"/>
      <w:pPr>
        <w:ind w:left="6612" w:hanging="266"/>
      </w:pPr>
      <w:rPr>
        <w:rFonts w:hint="default"/>
        <w:lang w:val="en-US" w:eastAsia="en-US" w:bidi="ar-SA"/>
      </w:rPr>
    </w:lvl>
    <w:lvl w:ilvl="6" w:tplc="F4CCE8EE">
      <w:numFmt w:val="bullet"/>
      <w:lvlText w:val="•"/>
      <w:lvlJc w:val="left"/>
      <w:pPr>
        <w:ind w:left="7671" w:hanging="266"/>
      </w:pPr>
      <w:rPr>
        <w:rFonts w:hint="default"/>
        <w:lang w:val="en-US" w:eastAsia="en-US" w:bidi="ar-SA"/>
      </w:rPr>
    </w:lvl>
    <w:lvl w:ilvl="7" w:tplc="89D05778">
      <w:numFmt w:val="bullet"/>
      <w:lvlText w:val="•"/>
      <w:lvlJc w:val="left"/>
      <w:pPr>
        <w:ind w:left="8729" w:hanging="266"/>
      </w:pPr>
      <w:rPr>
        <w:rFonts w:hint="default"/>
        <w:lang w:val="en-US" w:eastAsia="en-US" w:bidi="ar-SA"/>
      </w:rPr>
    </w:lvl>
    <w:lvl w:ilvl="8" w:tplc="0C06BCFA">
      <w:numFmt w:val="bullet"/>
      <w:lvlText w:val="•"/>
      <w:lvlJc w:val="left"/>
      <w:pPr>
        <w:ind w:left="9788" w:hanging="266"/>
      </w:pPr>
      <w:rPr>
        <w:rFonts w:hint="default"/>
        <w:lang w:val="en-US" w:eastAsia="en-US" w:bidi="ar-SA"/>
      </w:rPr>
    </w:lvl>
  </w:abstractNum>
  <w:abstractNum w:abstractNumId="54" w15:restartNumberingAfterBreak="0">
    <w:nsid w:val="4BF66DB2"/>
    <w:multiLevelType w:val="hybridMultilevel"/>
    <w:tmpl w:val="367211D6"/>
    <w:lvl w:ilvl="0" w:tplc="A4A244CE">
      <w:numFmt w:val="bullet"/>
      <w:lvlText w:val="•"/>
      <w:lvlJc w:val="left"/>
      <w:pPr>
        <w:ind w:left="706" w:hanging="284"/>
      </w:pPr>
      <w:rPr>
        <w:rFonts w:ascii="Lucida Sans" w:eastAsia="Lucida Sans" w:hAnsi="Lucida Sans" w:cs="Lucida Sans" w:hint="default"/>
        <w:b w:val="0"/>
        <w:bCs w:val="0"/>
        <w:i w:val="0"/>
        <w:iCs w:val="0"/>
        <w:spacing w:val="0"/>
        <w:w w:val="60"/>
        <w:sz w:val="18"/>
        <w:szCs w:val="18"/>
        <w:lang w:val="en-US" w:eastAsia="en-US" w:bidi="ar-SA"/>
      </w:rPr>
    </w:lvl>
    <w:lvl w:ilvl="1" w:tplc="21C626A4">
      <w:numFmt w:val="bullet"/>
      <w:lvlText w:val="•"/>
      <w:lvlJc w:val="left"/>
      <w:pPr>
        <w:ind w:left="1244" w:hanging="284"/>
      </w:pPr>
      <w:rPr>
        <w:rFonts w:hint="default"/>
        <w:lang w:val="en-US" w:eastAsia="en-US" w:bidi="ar-SA"/>
      </w:rPr>
    </w:lvl>
    <w:lvl w:ilvl="2" w:tplc="EAD81E46">
      <w:numFmt w:val="bullet"/>
      <w:lvlText w:val="•"/>
      <w:lvlJc w:val="left"/>
      <w:pPr>
        <w:ind w:left="1789" w:hanging="284"/>
      </w:pPr>
      <w:rPr>
        <w:rFonts w:hint="default"/>
        <w:lang w:val="en-US" w:eastAsia="en-US" w:bidi="ar-SA"/>
      </w:rPr>
    </w:lvl>
    <w:lvl w:ilvl="3" w:tplc="BD32D208">
      <w:numFmt w:val="bullet"/>
      <w:lvlText w:val="•"/>
      <w:lvlJc w:val="left"/>
      <w:pPr>
        <w:ind w:left="2334" w:hanging="284"/>
      </w:pPr>
      <w:rPr>
        <w:rFonts w:hint="default"/>
        <w:lang w:val="en-US" w:eastAsia="en-US" w:bidi="ar-SA"/>
      </w:rPr>
    </w:lvl>
    <w:lvl w:ilvl="4" w:tplc="2B42E3C8">
      <w:numFmt w:val="bullet"/>
      <w:lvlText w:val="•"/>
      <w:lvlJc w:val="left"/>
      <w:pPr>
        <w:ind w:left="2879" w:hanging="284"/>
      </w:pPr>
      <w:rPr>
        <w:rFonts w:hint="default"/>
        <w:lang w:val="en-US" w:eastAsia="en-US" w:bidi="ar-SA"/>
      </w:rPr>
    </w:lvl>
    <w:lvl w:ilvl="5" w:tplc="22FA374C">
      <w:numFmt w:val="bullet"/>
      <w:lvlText w:val="•"/>
      <w:lvlJc w:val="left"/>
      <w:pPr>
        <w:ind w:left="3424" w:hanging="284"/>
      </w:pPr>
      <w:rPr>
        <w:rFonts w:hint="default"/>
        <w:lang w:val="en-US" w:eastAsia="en-US" w:bidi="ar-SA"/>
      </w:rPr>
    </w:lvl>
    <w:lvl w:ilvl="6" w:tplc="BCC09C2A">
      <w:numFmt w:val="bullet"/>
      <w:lvlText w:val="•"/>
      <w:lvlJc w:val="left"/>
      <w:pPr>
        <w:ind w:left="3969" w:hanging="284"/>
      </w:pPr>
      <w:rPr>
        <w:rFonts w:hint="default"/>
        <w:lang w:val="en-US" w:eastAsia="en-US" w:bidi="ar-SA"/>
      </w:rPr>
    </w:lvl>
    <w:lvl w:ilvl="7" w:tplc="96163EA8">
      <w:numFmt w:val="bullet"/>
      <w:lvlText w:val="•"/>
      <w:lvlJc w:val="left"/>
      <w:pPr>
        <w:ind w:left="4514" w:hanging="284"/>
      </w:pPr>
      <w:rPr>
        <w:rFonts w:hint="default"/>
        <w:lang w:val="en-US" w:eastAsia="en-US" w:bidi="ar-SA"/>
      </w:rPr>
    </w:lvl>
    <w:lvl w:ilvl="8" w:tplc="05002ACE">
      <w:numFmt w:val="bullet"/>
      <w:lvlText w:val="•"/>
      <w:lvlJc w:val="left"/>
      <w:pPr>
        <w:ind w:left="5059" w:hanging="284"/>
      </w:pPr>
      <w:rPr>
        <w:rFonts w:hint="default"/>
        <w:lang w:val="en-US" w:eastAsia="en-US" w:bidi="ar-SA"/>
      </w:rPr>
    </w:lvl>
  </w:abstractNum>
  <w:abstractNum w:abstractNumId="55" w15:restartNumberingAfterBreak="0">
    <w:nsid w:val="4E7A712A"/>
    <w:multiLevelType w:val="hybridMultilevel"/>
    <w:tmpl w:val="6818E810"/>
    <w:lvl w:ilvl="0" w:tplc="4308DAB0">
      <w:numFmt w:val="bullet"/>
      <w:lvlText w:val="•"/>
      <w:lvlJc w:val="left"/>
      <w:pPr>
        <w:ind w:left="3360" w:hanging="361"/>
      </w:pPr>
      <w:rPr>
        <w:rFonts w:ascii="Palatino Linotype" w:eastAsia="Palatino Linotype" w:hAnsi="Palatino Linotype" w:cs="Palatino Linotype" w:hint="default"/>
        <w:b w:val="0"/>
        <w:bCs w:val="0"/>
        <w:i w:val="0"/>
        <w:iCs w:val="0"/>
        <w:spacing w:val="0"/>
        <w:w w:val="64"/>
        <w:sz w:val="28"/>
        <w:szCs w:val="28"/>
        <w:lang w:val="en-US" w:eastAsia="en-US" w:bidi="ar-SA"/>
      </w:rPr>
    </w:lvl>
    <w:lvl w:ilvl="1" w:tplc="1FE60C76">
      <w:numFmt w:val="bullet"/>
      <w:lvlText w:val="•"/>
      <w:lvlJc w:val="left"/>
      <w:pPr>
        <w:ind w:left="5116" w:hanging="361"/>
      </w:pPr>
      <w:rPr>
        <w:rFonts w:ascii="Palatino Linotype" w:eastAsia="Palatino Linotype" w:hAnsi="Palatino Linotype" w:cs="Palatino Linotype" w:hint="default"/>
        <w:b w:val="0"/>
        <w:bCs w:val="0"/>
        <w:i w:val="0"/>
        <w:iCs w:val="0"/>
        <w:spacing w:val="0"/>
        <w:w w:val="64"/>
        <w:sz w:val="28"/>
        <w:szCs w:val="28"/>
        <w:lang w:val="en-US" w:eastAsia="en-US" w:bidi="ar-SA"/>
      </w:rPr>
    </w:lvl>
    <w:lvl w:ilvl="2" w:tplc="464EAE9C">
      <w:numFmt w:val="bullet"/>
      <w:lvlText w:val="•"/>
      <w:lvlJc w:val="left"/>
      <w:pPr>
        <w:ind w:left="5873" w:hanging="361"/>
      </w:pPr>
      <w:rPr>
        <w:rFonts w:hint="default"/>
        <w:lang w:val="en-US" w:eastAsia="en-US" w:bidi="ar-SA"/>
      </w:rPr>
    </w:lvl>
    <w:lvl w:ilvl="3" w:tplc="0E542B82">
      <w:numFmt w:val="bullet"/>
      <w:lvlText w:val="•"/>
      <w:lvlJc w:val="left"/>
      <w:pPr>
        <w:ind w:left="6627" w:hanging="361"/>
      </w:pPr>
      <w:rPr>
        <w:rFonts w:hint="default"/>
        <w:lang w:val="en-US" w:eastAsia="en-US" w:bidi="ar-SA"/>
      </w:rPr>
    </w:lvl>
    <w:lvl w:ilvl="4" w:tplc="9EAE141C">
      <w:numFmt w:val="bullet"/>
      <w:lvlText w:val="•"/>
      <w:lvlJc w:val="left"/>
      <w:pPr>
        <w:ind w:left="7381" w:hanging="361"/>
      </w:pPr>
      <w:rPr>
        <w:rFonts w:hint="default"/>
        <w:lang w:val="en-US" w:eastAsia="en-US" w:bidi="ar-SA"/>
      </w:rPr>
    </w:lvl>
    <w:lvl w:ilvl="5" w:tplc="F62A71CE">
      <w:numFmt w:val="bullet"/>
      <w:lvlText w:val="•"/>
      <w:lvlJc w:val="left"/>
      <w:pPr>
        <w:ind w:left="8135" w:hanging="361"/>
      </w:pPr>
      <w:rPr>
        <w:rFonts w:hint="default"/>
        <w:lang w:val="en-US" w:eastAsia="en-US" w:bidi="ar-SA"/>
      </w:rPr>
    </w:lvl>
    <w:lvl w:ilvl="6" w:tplc="80469042">
      <w:numFmt w:val="bullet"/>
      <w:lvlText w:val="•"/>
      <w:lvlJc w:val="left"/>
      <w:pPr>
        <w:ind w:left="8889" w:hanging="361"/>
      </w:pPr>
      <w:rPr>
        <w:rFonts w:hint="default"/>
        <w:lang w:val="en-US" w:eastAsia="en-US" w:bidi="ar-SA"/>
      </w:rPr>
    </w:lvl>
    <w:lvl w:ilvl="7" w:tplc="C106A804">
      <w:numFmt w:val="bullet"/>
      <w:lvlText w:val="•"/>
      <w:lvlJc w:val="left"/>
      <w:pPr>
        <w:ind w:left="9643" w:hanging="361"/>
      </w:pPr>
      <w:rPr>
        <w:rFonts w:hint="default"/>
        <w:lang w:val="en-US" w:eastAsia="en-US" w:bidi="ar-SA"/>
      </w:rPr>
    </w:lvl>
    <w:lvl w:ilvl="8" w:tplc="38FA2E3E">
      <w:numFmt w:val="bullet"/>
      <w:lvlText w:val="•"/>
      <w:lvlJc w:val="left"/>
      <w:pPr>
        <w:ind w:left="10397" w:hanging="361"/>
      </w:pPr>
      <w:rPr>
        <w:rFonts w:hint="default"/>
        <w:lang w:val="en-US" w:eastAsia="en-US" w:bidi="ar-SA"/>
      </w:rPr>
    </w:lvl>
  </w:abstractNum>
  <w:abstractNum w:abstractNumId="56" w15:restartNumberingAfterBreak="0">
    <w:nsid w:val="4F2054FC"/>
    <w:multiLevelType w:val="hybridMultilevel"/>
    <w:tmpl w:val="3D541246"/>
    <w:lvl w:ilvl="0" w:tplc="4DE2707C">
      <w:numFmt w:val="bullet"/>
      <w:lvlText w:val="•"/>
      <w:lvlJc w:val="left"/>
      <w:pPr>
        <w:ind w:left="400" w:hanging="284"/>
      </w:pPr>
      <w:rPr>
        <w:rFonts w:ascii="Lucida Sans" w:eastAsia="Lucida Sans" w:hAnsi="Lucida Sans" w:cs="Lucida Sans" w:hint="default"/>
        <w:b w:val="0"/>
        <w:bCs w:val="0"/>
        <w:i w:val="0"/>
        <w:iCs w:val="0"/>
        <w:spacing w:val="0"/>
        <w:w w:val="60"/>
        <w:sz w:val="16"/>
        <w:szCs w:val="16"/>
        <w:lang w:val="en-US" w:eastAsia="en-US" w:bidi="ar-SA"/>
      </w:rPr>
    </w:lvl>
    <w:lvl w:ilvl="1" w:tplc="A136423E">
      <w:numFmt w:val="bullet"/>
      <w:lvlText w:val="•"/>
      <w:lvlJc w:val="left"/>
      <w:pPr>
        <w:ind w:left="1063" w:hanging="284"/>
      </w:pPr>
      <w:rPr>
        <w:rFonts w:hint="default"/>
        <w:lang w:val="en-US" w:eastAsia="en-US" w:bidi="ar-SA"/>
      </w:rPr>
    </w:lvl>
    <w:lvl w:ilvl="2" w:tplc="DA822C7A">
      <w:numFmt w:val="bullet"/>
      <w:lvlText w:val="•"/>
      <w:lvlJc w:val="left"/>
      <w:pPr>
        <w:ind w:left="1726" w:hanging="284"/>
      </w:pPr>
      <w:rPr>
        <w:rFonts w:hint="default"/>
        <w:lang w:val="en-US" w:eastAsia="en-US" w:bidi="ar-SA"/>
      </w:rPr>
    </w:lvl>
    <w:lvl w:ilvl="3" w:tplc="C36E0D84">
      <w:numFmt w:val="bullet"/>
      <w:lvlText w:val="•"/>
      <w:lvlJc w:val="left"/>
      <w:pPr>
        <w:ind w:left="2389" w:hanging="284"/>
      </w:pPr>
      <w:rPr>
        <w:rFonts w:hint="default"/>
        <w:lang w:val="en-US" w:eastAsia="en-US" w:bidi="ar-SA"/>
      </w:rPr>
    </w:lvl>
    <w:lvl w:ilvl="4" w:tplc="00786FF8">
      <w:numFmt w:val="bullet"/>
      <w:lvlText w:val="•"/>
      <w:lvlJc w:val="left"/>
      <w:pPr>
        <w:ind w:left="3053" w:hanging="284"/>
      </w:pPr>
      <w:rPr>
        <w:rFonts w:hint="default"/>
        <w:lang w:val="en-US" w:eastAsia="en-US" w:bidi="ar-SA"/>
      </w:rPr>
    </w:lvl>
    <w:lvl w:ilvl="5" w:tplc="DC286644">
      <w:numFmt w:val="bullet"/>
      <w:lvlText w:val="•"/>
      <w:lvlJc w:val="left"/>
      <w:pPr>
        <w:ind w:left="3716" w:hanging="284"/>
      </w:pPr>
      <w:rPr>
        <w:rFonts w:hint="default"/>
        <w:lang w:val="en-US" w:eastAsia="en-US" w:bidi="ar-SA"/>
      </w:rPr>
    </w:lvl>
    <w:lvl w:ilvl="6" w:tplc="BE623B36">
      <w:numFmt w:val="bullet"/>
      <w:lvlText w:val="•"/>
      <w:lvlJc w:val="left"/>
      <w:pPr>
        <w:ind w:left="4379" w:hanging="284"/>
      </w:pPr>
      <w:rPr>
        <w:rFonts w:hint="default"/>
        <w:lang w:val="en-US" w:eastAsia="en-US" w:bidi="ar-SA"/>
      </w:rPr>
    </w:lvl>
    <w:lvl w:ilvl="7" w:tplc="DB6E94E2">
      <w:numFmt w:val="bullet"/>
      <w:lvlText w:val="•"/>
      <w:lvlJc w:val="left"/>
      <w:pPr>
        <w:ind w:left="5043" w:hanging="284"/>
      </w:pPr>
      <w:rPr>
        <w:rFonts w:hint="default"/>
        <w:lang w:val="en-US" w:eastAsia="en-US" w:bidi="ar-SA"/>
      </w:rPr>
    </w:lvl>
    <w:lvl w:ilvl="8" w:tplc="05700A98">
      <w:numFmt w:val="bullet"/>
      <w:lvlText w:val="•"/>
      <w:lvlJc w:val="left"/>
      <w:pPr>
        <w:ind w:left="5706" w:hanging="284"/>
      </w:pPr>
      <w:rPr>
        <w:rFonts w:hint="default"/>
        <w:lang w:val="en-US" w:eastAsia="en-US" w:bidi="ar-SA"/>
      </w:rPr>
    </w:lvl>
  </w:abstractNum>
  <w:abstractNum w:abstractNumId="57" w15:restartNumberingAfterBreak="0">
    <w:nsid w:val="500B6D3B"/>
    <w:multiLevelType w:val="hybridMultilevel"/>
    <w:tmpl w:val="92125EFE"/>
    <w:lvl w:ilvl="0" w:tplc="8C66BFE8">
      <w:numFmt w:val="bullet"/>
      <w:lvlText w:val="•"/>
      <w:lvlJc w:val="left"/>
      <w:pPr>
        <w:ind w:left="1210" w:hanging="360"/>
      </w:pPr>
      <w:rPr>
        <w:rFonts w:ascii="Lucida Sans" w:eastAsia="Lucida Sans" w:hAnsi="Lucida Sans" w:cs="Lucida Sans" w:hint="default"/>
        <w:b w:val="0"/>
        <w:bCs w:val="0"/>
        <w:i w:val="0"/>
        <w:iCs w:val="0"/>
        <w:spacing w:val="0"/>
        <w:w w:val="60"/>
        <w:sz w:val="18"/>
        <w:szCs w:val="18"/>
        <w:lang w:val="en-US" w:eastAsia="en-US" w:bidi="ar-SA"/>
      </w:rPr>
    </w:lvl>
    <w:lvl w:ilvl="1" w:tplc="C638C742">
      <w:numFmt w:val="bullet"/>
      <w:lvlText w:val="•"/>
      <w:lvlJc w:val="left"/>
      <w:pPr>
        <w:ind w:left="1496" w:hanging="360"/>
      </w:pPr>
      <w:rPr>
        <w:rFonts w:hint="default"/>
        <w:lang w:val="en-US" w:eastAsia="en-US" w:bidi="ar-SA"/>
      </w:rPr>
    </w:lvl>
    <w:lvl w:ilvl="2" w:tplc="E7008F66">
      <w:numFmt w:val="bullet"/>
      <w:lvlText w:val="•"/>
      <w:lvlJc w:val="left"/>
      <w:pPr>
        <w:ind w:left="1773" w:hanging="360"/>
      </w:pPr>
      <w:rPr>
        <w:rFonts w:hint="default"/>
        <w:lang w:val="en-US" w:eastAsia="en-US" w:bidi="ar-SA"/>
      </w:rPr>
    </w:lvl>
    <w:lvl w:ilvl="3" w:tplc="CE8EC198">
      <w:numFmt w:val="bullet"/>
      <w:lvlText w:val="•"/>
      <w:lvlJc w:val="left"/>
      <w:pPr>
        <w:ind w:left="2050" w:hanging="360"/>
      </w:pPr>
      <w:rPr>
        <w:rFonts w:hint="default"/>
        <w:lang w:val="en-US" w:eastAsia="en-US" w:bidi="ar-SA"/>
      </w:rPr>
    </w:lvl>
    <w:lvl w:ilvl="4" w:tplc="573860D8">
      <w:numFmt w:val="bullet"/>
      <w:lvlText w:val="•"/>
      <w:lvlJc w:val="left"/>
      <w:pPr>
        <w:ind w:left="2326" w:hanging="360"/>
      </w:pPr>
      <w:rPr>
        <w:rFonts w:hint="default"/>
        <w:lang w:val="en-US" w:eastAsia="en-US" w:bidi="ar-SA"/>
      </w:rPr>
    </w:lvl>
    <w:lvl w:ilvl="5" w:tplc="D4B22D74">
      <w:numFmt w:val="bullet"/>
      <w:lvlText w:val="•"/>
      <w:lvlJc w:val="left"/>
      <w:pPr>
        <w:ind w:left="2603" w:hanging="360"/>
      </w:pPr>
      <w:rPr>
        <w:rFonts w:hint="default"/>
        <w:lang w:val="en-US" w:eastAsia="en-US" w:bidi="ar-SA"/>
      </w:rPr>
    </w:lvl>
    <w:lvl w:ilvl="6" w:tplc="347835E8">
      <w:numFmt w:val="bullet"/>
      <w:lvlText w:val="•"/>
      <w:lvlJc w:val="left"/>
      <w:pPr>
        <w:ind w:left="2880" w:hanging="360"/>
      </w:pPr>
      <w:rPr>
        <w:rFonts w:hint="default"/>
        <w:lang w:val="en-US" w:eastAsia="en-US" w:bidi="ar-SA"/>
      </w:rPr>
    </w:lvl>
    <w:lvl w:ilvl="7" w:tplc="842607CE">
      <w:numFmt w:val="bullet"/>
      <w:lvlText w:val="•"/>
      <w:lvlJc w:val="left"/>
      <w:pPr>
        <w:ind w:left="3157" w:hanging="360"/>
      </w:pPr>
      <w:rPr>
        <w:rFonts w:hint="default"/>
        <w:lang w:val="en-US" w:eastAsia="en-US" w:bidi="ar-SA"/>
      </w:rPr>
    </w:lvl>
    <w:lvl w:ilvl="8" w:tplc="D602BFB2">
      <w:numFmt w:val="bullet"/>
      <w:lvlText w:val="•"/>
      <w:lvlJc w:val="left"/>
      <w:pPr>
        <w:ind w:left="3433" w:hanging="360"/>
      </w:pPr>
      <w:rPr>
        <w:rFonts w:hint="default"/>
        <w:lang w:val="en-US" w:eastAsia="en-US" w:bidi="ar-SA"/>
      </w:rPr>
    </w:lvl>
  </w:abstractNum>
  <w:abstractNum w:abstractNumId="58" w15:restartNumberingAfterBreak="0">
    <w:nsid w:val="55642809"/>
    <w:multiLevelType w:val="hybridMultilevel"/>
    <w:tmpl w:val="3E3262F2"/>
    <w:lvl w:ilvl="0" w:tplc="59EE8E5A">
      <w:numFmt w:val="bullet"/>
      <w:lvlText w:val="•"/>
      <w:lvlJc w:val="left"/>
      <w:pPr>
        <w:ind w:left="765" w:hanging="284"/>
      </w:pPr>
      <w:rPr>
        <w:rFonts w:ascii="Lucida Sans" w:eastAsia="Lucida Sans" w:hAnsi="Lucida Sans" w:cs="Lucida Sans" w:hint="default"/>
        <w:b w:val="0"/>
        <w:bCs w:val="0"/>
        <w:i w:val="0"/>
        <w:iCs w:val="0"/>
        <w:spacing w:val="0"/>
        <w:w w:val="60"/>
        <w:sz w:val="18"/>
        <w:szCs w:val="18"/>
        <w:lang w:val="en-US" w:eastAsia="en-US" w:bidi="ar-SA"/>
      </w:rPr>
    </w:lvl>
    <w:lvl w:ilvl="1" w:tplc="A394D514">
      <w:numFmt w:val="bullet"/>
      <w:lvlText w:val="•"/>
      <w:lvlJc w:val="left"/>
      <w:pPr>
        <w:ind w:left="1304" w:hanging="284"/>
      </w:pPr>
      <w:rPr>
        <w:rFonts w:hint="default"/>
        <w:lang w:val="en-US" w:eastAsia="en-US" w:bidi="ar-SA"/>
      </w:rPr>
    </w:lvl>
    <w:lvl w:ilvl="2" w:tplc="08807534">
      <w:numFmt w:val="bullet"/>
      <w:lvlText w:val="•"/>
      <w:lvlJc w:val="left"/>
      <w:pPr>
        <w:ind w:left="1849" w:hanging="284"/>
      </w:pPr>
      <w:rPr>
        <w:rFonts w:hint="default"/>
        <w:lang w:val="en-US" w:eastAsia="en-US" w:bidi="ar-SA"/>
      </w:rPr>
    </w:lvl>
    <w:lvl w:ilvl="3" w:tplc="B29EE56E">
      <w:numFmt w:val="bullet"/>
      <w:lvlText w:val="•"/>
      <w:lvlJc w:val="left"/>
      <w:pPr>
        <w:ind w:left="2394" w:hanging="284"/>
      </w:pPr>
      <w:rPr>
        <w:rFonts w:hint="default"/>
        <w:lang w:val="en-US" w:eastAsia="en-US" w:bidi="ar-SA"/>
      </w:rPr>
    </w:lvl>
    <w:lvl w:ilvl="4" w:tplc="6C601402">
      <w:numFmt w:val="bullet"/>
      <w:lvlText w:val="•"/>
      <w:lvlJc w:val="left"/>
      <w:pPr>
        <w:ind w:left="2939" w:hanging="284"/>
      </w:pPr>
      <w:rPr>
        <w:rFonts w:hint="default"/>
        <w:lang w:val="en-US" w:eastAsia="en-US" w:bidi="ar-SA"/>
      </w:rPr>
    </w:lvl>
    <w:lvl w:ilvl="5" w:tplc="F4F863AC">
      <w:numFmt w:val="bullet"/>
      <w:lvlText w:val="•"/>
      <w:lvlJc w:val="left"/>
      <w:pPr>
        <w:ind w:left="3483" w:hanging="284"/>
      </w:pPr>
      <w:rPr>
        <w:rFonts w:hint="default"/>
        <w:lang w:val="en-US" w:eastAsia="en-US" w:bidi="ar-SA"/>
      </w:rPr>
    </w:lvl>
    <w:lvl w:ilvl="6" w:tplc="5C0C9E5C">
      <w:numFmt w:val="bullet"/>
      <w:lvlText w:val="•"/>
      <w:lvlJc w:val="left"/>
      <w:pPr>
        <w:ind w:left="4028" w:hanging="284"/>
      </w:pPr>
      <w:rPr>
        <w:rFonts w:hint="default"/>
        <w:lang w:val="en-US" w:eastAsia="en-US" w:bidi="ar-SA"/>
      </w:rPr>
    </w:lvl>
    <w:lvl w:ilvl="7" w:tplc="D8BC65EC">
      <w:numFmt w:val="bullet"/>
      <w:lvlText w:val="•"/>
      <w:lvlJc w:val="left"/>
      <w:pPr>
        <w:ind w:left="4573" w:hanging="284"/>
      </w:pPr>
      <w:rPr>
        <w:rFonts w:hint="default"/>
        <w:lang w:val="en-US" w:eastAsia="en-US" w:bidi="ar-SA"/>
      </w:rPr>
    </w:lvl>
    <w:lvl w:ilvl="8" w:tplc="A2845150">
      <w:numFmt w:val="bullet"/>
      <w:lvlText w:val="•"/>
      <w:lvlJc w:val="left"/>
      <w:pPr>
        <w:ind w:left="5118" w:hanging="284"/>
      </w:pPr>
      <w:rPr>
        <w:rFonts w:hint="default"/>
        <w:lang w:val="en-US" w:eastAsia="en-US" w:bidi="ar-SA"/>
      </w:rPr>
    </w:lvl>
  </w:abstractNum>
  <w:abstractNum w:abstractNumId="59" w15:restartNumberingAfterBreak="0">
    <w:nsid w:val="567A4351"/>
    <w:multiLevelType w:val="hybridMultilevel"/>
    <w:tmpl w:val="909AD78E"/>
    <w:lvl w:ilvl="0" w:tplc="23167B52">
      <w:numFmt w:val="bullet"/>
      <w:lvlText w:val="•"/>
      <w:lvlJc w:val="left"/>
      <w:pPr>
        <w:ind w:left="719" w:hanging="284"/>
      </w:pPr>
      <w:rPr>
        <w:rFonts w:ascii="Lucida Sans" w:eastAsia="Lucida Sans" w:hAnsi="Lucida Sans" w:cs="Lucida Sans" w:hint="default"/>
        <w:b w:val="0"/>
        <w:bCs w:val="0"/>
        <w:i w:val="0"/>
        <w:iCs w:val="0"/>
        <w:spacing w:val="0"/>
        <w:w w:val="60"/>
        <w:sz w:val="18"/>
        <w:szCs w:val="18"/>
        <w:lang w:val="en-US" w:eastAsia="en-US" w:bidi="ar-SA"/>
      </w:rPr>
    </w:lvl>
    <w:lvl w:ilvl="1" w:tplc="97B44378">
      <w:numFmt w:val="bullet"/>
      <w:lvlText w:val="•"/>
      <w:lvlJc w:val="left"/>
      <w:pPr>
        <w:ind w:left="1266" w:hanging="284"/>
      </w:pPr>
      <w:rPr>
        <w:rFonts w:hint="default"/>
        <w:lang w:val="en-US" w:eastAsia="en-US" w:bidi="ar-SA"/>
      </w:rPr>
    </w:lvl>
    <w:lvl w:ilvl="2" w:tplc="C27468E8">
      <w:numFmt w:val="bullet"/>
      <w:lvlText w:val="•"/>
      <w:lvlJc w:val="left"/>
      <w:pPr>
        <w:ind w:left="1813" w:hanging="284"/>
      </w:pPr>
      <w:rPr>
        <w:rFonts w:hint="default"/>
        <w:lang w:val="en-US" w:eastAsia="en-US" w:bidi="ar-SA"/>
      </w:rPr>
    </w:lvl>
    <w:lvl w:ilvl="3" w:tplc="E91C824E">
      <w:numFmt w:val="bullet"/>
      <w:lvlText w:val="•"/>
      <w:lvlJc w:val="left"/>
      <w:pPr>
        <w:ind w:left="2360" w:hanging="284"/>
      </w:pPr>
      <w:rPr>
        <w:rFonts w:hint="default"/>
        <w:lang w:val="en-US" w:eastAsia="en-US" w:bidi="ar-SA"/>
      </w:rPr>
    </w:lvl>
    <w:lvl w:ilvl="4" w:tplc="748A6CD6">
      <w:numFmt w:val="bullet"/>
      <w:lvlText w:val="•"/>
      <w:lvlJc w:val="left"/>
      <w:pPr>
        <w:ind w:left="2906" w:hanging="284"/>
      </w:pPr>
      <w:rPr>
        <w:rFonts w:hint="default"/>
        <w:lang w:val="en-US" w:eastAsia="en-US" w:bidi="ar-SA"/>
      </w:rPr>
    </w:lvl>
    <w:lvl w:ilvl="5" w:tplc="AAFACC30">
      <w:numFmt w:val="bullet"/>
      <w:lvlText w:val="•"/>
      <w:lvlJc w:val="left"/>
      <w:pPr>
        <w:ind w:left="3453" w:hanging="284"/>
      </w:pPr>
      <w:rPr>
        <w:rFonts w:hint="default"/>
        <w:lang w:val="en-US" w:eastAsia="en-US" w:bidi="ar-SA"/>
      </w:rPr>
    </w:lvl>
    <w:lvl w:ilvl="6" w:tplc="E3C0DD96">
      <w:numFmt w:val="bullet"/>
      <w:lvlText w:val="•"/>
      <w:lvlJc w:val="left"/>
      <w:pPr>
        <w:ind w:left="4000" w:hanging="284"/>
      </w:pPr>
      <w:rPr>
        <w:rFonts w:hint="default"/>
        <w:lang w:val="en-US" w:eastAsia="en-US" w:bidi="ar-SA"/>
      </w:rPr>
    </w:lvl>
    <w:lvl w:ilvl="7" w:tplc="72C2FC96">
      <w:numFmt w:val="bullet"/>
      <w:lvlText w:val="•"/>
      <w:lvlJc w:val="left"/>
      <w:pPr>
        <w:ind w:left="4546" w:hanging="284"/>
      </w:pPr>
      <w:rPr>
        <w:rFonts w:hint="default"/>
        <w:lang w:val="en-US" w:eastAsia="en-US" w:bidi="ar-SA"/>
      </w:rPr>
    </w:lvl>
    <w:lvl w:ilvl="8" w:tplc="884E7918">
      <w:numFmt w:val="bullet"/>
      <w:lvlText w:val="•"/>
      <w:lvlJc w:val="left"/>
      <w:pPr>
        <w:ind w:left="5093" w:hanging="284"/>
      </w:pPr>
      <w:rPr>
        <w:rFonts w:hint="default"/>
        <w:lang w:val="en-US" w:eastAsia="en-US" w:bidi="ar-SA"/>
      </w:rPr>
    </w:lvl>
  </w:abstractNum>
  <w:abstractNum w:abstractNumId="60" w15:restartNumberingAfterBreak="0">
    <w:nsid w:val="5A0836EA"/>
    <w:multiLevelType w:val="hybridMultilevel"/>
    <w:tmpl w:val="CC543122"/>
    <w:lvl w:ilvl="0" w:tplc="2A6E3DE4">
      <w:numFmt w:val="bullet"/>
      <w:lvlText w:val=""/>
      <w:lvlJc w:val="left"/>
      <w:pPr>
        <w:ind w:left="1777" w:hanging="335"/>
      </w:pPr>
      <w:rPr>
        <w:rFonts w:ascii="Symbol" w:eastAsia="Symbol" w:hAnsi="Symbol" w:cs="Symbol" w:hint="default"/>
        <w:b w:val="0"/>
        <w:bCs w:val="0"/>
        <w:i w:val="0"/>
        <w:iCs w:val="0"/>
        <w:spacing w:val="0"/>
        <w:w w:val="104"/>
        <w:sz w:val="16"/>
        <w:szCs w:val="16"/>
        <w:lang w:val="en-US" w:eastAsia="en-US" w:bidi="ar-SA"/>
      </w:rPr>
    </w:lvl>
    <w:lvl w:ilvl="1" w:tplc="C116DFA2">
      <w:numFmt w:val="bullet"/>
      <w:lvlText w:val="•"/>
      <w:lvlJc w:val="left"/>
      <w:pPr>
        <w:ind w:left="2124" w:hanging="335"/>
      </w:pPr>
      <w:rPr>
        <w:rFonts w:hint="default"/>
        <w:lang w:val="en-US" w:eastAsia="en-US" w:bidi="ar-SA"/>
      </w:rPr>
    </w:lvl>
    <w:lvl w:ilvl="2" w:tplc="C3C4E086">
      <w:numFmt w:val="bullet"/>
      <w:lvlText w:val="•"/>
      <w:lvlJc w:val="left"/>
      <w:pPr>
        <w:ind w:left="2468" w:hanging="335"/>
      </w:pPr>
      <w:rPr>
        <w:rFonts w:hint="default"/>
        <w:lang w:val="en-US" w:eastAsia="en-US" w:bidi="ar-SA"/>
      </w:rPr>
    </w:lvl>
    <w:lvl w:ilvl="3" w:tplc="1310C4EE">
      <w:numFmt w:val="bullet"/>
      <w:lvlText w:val="•"/>
      <w:lvlJc w:val="left"/>
      <w:pPr>
        <w:ind w:left="2812" w:hanging="335"/>
      </w:pPr>
      <w:rPr>
        <w:rFonts w:hint="default"/>
        <w:lang w:val="en-US" w:eastAsia="en-US" w:bidi="ar-SA"/>
      </w:rPr>
    </w:lvl>
    <w:lvl w:ilvl="4" w:tplc="9482C7BA">
      <w:numFmt w:val="bullet"/>
      <w:lvlText w:val="•"/>
      <w:lvlJc w:val="left"/>
      <w:pPr>
        <w:ind w:left="3156" w:hanging="335"/>
      </w:pPr>
      <w:rPr>
        <w:rFonts w:hint="default"/>
        <w:lang w:val="en-US" w:eastAsia="en-US" w:bidi="ar-SA"/>
      </w:rPr>
    </w:lvl>
    <w:lvl w:ilvl="5" w:tplc="E79A9550">
      <w:numFmt w:val="bullet"/>
      <w:lvlText w:val="•"/>
      <w:lvlJc w:val="left"/>
      <w:pPr>
        <w:ind w:left="3500" w:hanging="335"/>
      </w:pPr>
      <w:rPr>
        <w:rFonts w:hint="default"/>
        <w:lang w:val="en-US" w:eastAsia="en-US" w:bidi="ar-SA"/>
      </w:rPr>
    </w:lvl>
    <w:lvl w:ilvl="6" w:tplc="ACEEC81C">
      <w:numFmt w:val="bullet"/>
      <w:lvlText w:val="•"/>
      <w:lvlJc w:val="left"/>
      <w:pPr>
        <w:ind w:left="3844" w:hanging="335"/>
      </w:pPr>
      <w:rPr>
        <w:rFonts w:hint="default"/>
        <w:lang w:val="en-US" w:eastAsia="en-US" w:bidi="ar-SA"/>
      </w:rPr>
    </w:lvl>
    <w:lvl w:ilvl="7" w:tplc="7E5615D8">
      <w:numFmt w:val="bullet"/>
      <w:lvlText w:val="•"/>
      <w:lvlJc w:val="left"/>
      <w:pPr>
        <w:ind w:left="4188" w:hanging="335"/>
      </w:pPr>
      <w:rPr>
        <w:rFonts w:hint="default"/>
        <w:lang w:val="en-US" w:eastAsia="en-US" w:bidi="ar-SA"/>
      </w:rPr>
    </w:lvl>
    <w:lvl w:ilvl="8" w:tplc="4DB80716">
      <w:numFmt w:val="bullet"/>
      <w:lvlText w:val="•"/>
      <w:lvlJc w:val="left"/>
      <w:pPr>
        <w:ind w:left="4532" w:hanging="335"/>
      </w:pPr>
      <w:rPr>
        <w:rFonts w:hint="default"/>
        <w:lang w:val="en-US" w:eastAsia="en-US" w:bidi="ar-SA"/>
      </w:rPr>
    </w:lvl>
  </w:abstractNum>
  <w:abstractNum w:abstractNumId="61" w15:restartNumberingAfterBreak="0">
    <w:nsid w:val="5EBC1E51"/>
    <w:multiLevelType w:val="hybridMultilevel"/>
    <w:tmpl w:val="6418436C"/>
    <w:lvl w:ilvl="0" w:tplc="01209742">
      <w:numFmt w:val="bullet"/>
      <w:lvlText w:val="•"/>
      <w:lvlJc w:val="left"/>
      <w:pPr>
        <w:ind w:left="1133" w:hanging="284"/>
      </w:pPr>
      <w:rPr>
        <w:rFonts w:ascii="Lucida Sans" w:eastAsia="Lucida Sans" w:hAnsi="Lucida Sans" w:cs="Lucida Sans" w:hint="default"/>
        <w:b w:val="0"/>
        <w:bCs w:val="0"/>
        <w:i w:val="0"/>
        <w:iCs w:val="0"/>
        <w:spacing w:val="0"/>
        <w:w w:val="60"/>
        <w:sz w:val="18"/>
        <w:szCs w:val="18"/>
        <w:lang w:val="en-US" w:eastAsia="en-US" w:bidi="ar-SA"/>
      </w:rPr>
    </w:lvl>
    <w:lvl w:ilvl="1" w:tplc="348C58B2">
      <w:numFmt w:val="bullet"/>
      <w:lvlText w:val="•"/>
      <w:lvlJc w:val="left"/>
      <w:pPr>
        <w:ind w:left="1593" w:hanging="284"/>
      </w:pPr>
      <w:rPr>
        <w:rFonts w:hint="default"/>
        <w:lang w:val="en-US" w:eastAsia="en-US" w:bidi="ar-SA"/>
      </w:rPr>
    </w:lvl>
    <w:lvl w:ilvl="2" w:tplc="1610C226">
      <w:numFmt w:val="bullet"/>
      <w:lvlText w:val="•"/>
      <w:lvlJc w:val="left"/>
      <w:pPr>
        <w:ind w:left="2046" w:hanging="284"/>
      </w:pPr>
      <w:rPr>
        <w:rFonts w:hint="default"/>
        <w:lang w:val="en-US" w:eastAsia="en-US" w:bidi="ar-SA"/>
      </w:rPr>
    </w:lvl>
    <w:lvl w:ilvl="3" w:tplc="BA608108">
      <w:numFmt w:val="bullet"/>
      <w:lvlText w:val="•"/>
      <w:lvlJc w:val="left"/>
      <w:pPr>
        <w:ind w:left="2500" w:hanging="284"/>
      </w:pPr>
      <w:rPr>
        <w:rFonts w:hint="default"/>
        <w:lang w:val="en-US" w:eastAsia="en-US" w:bidi="ar-SA"/>
      </w:rPr>
    </w:lvl>
    <w:lvl w:ilvl="4" w:tplc="932EDB0E">
      <w:numFmt w:val="bullet"/>
      <w:lvlText w:val="•"/>
      <w:lvlJc w:val="left"/>
      <w:pPr>
        <w:ind w:left="2953" w:hanging="284"/>
      </w:pPr>
      <w:rPr>
        <w:rFonts w:hint="default"/>
        <w:lang w:val="en-US" w:eastAsia="en-US" w:bidi="ar-SA"/>
      </w:rPr>
    </w:lvl>
    <w:lvl w:ilvl="5" w:tplc="4F3ADF3E">
      <w:numFmt w:val="bullet"/>
      <w:lvlText w:val="•"/>
      <w:lvlJc w:val="left"/>
      <w:pPr>
        <w:ind w:left="3407" w:hanging="284"/>
      </w:pPr>
      <w:rPr>
        <w:rFonts w:hint="default"/>
        <w:lang w:val="en-US" w:eastAsia="en-US" w:bidi="ar-SA"/>
      </w:rPr>
    </w:lvl>
    <w:lvl w:ilvl="6" w:tplc="00E83574">
      <w:numFmt w:val="bullet"/>
      <w:lvlText w:val="•"/>
      <w:lvlJc w:val="left"/>
      <w:pPr>
        <w:ind w:left="3860" w:hanging="284"/>
      </w:pPr>
      <w:rPr>
        <w:rFonts w:hint="default"/>
        <w:lang w:val="en-US" w:eastAsia="en-US" w:bidi="ar-SA"/>
      </w:rPr>
    </w:lvl>
    <w:lvl w:ilvl="7" w:tplc="F3FCC7B6">
      <w:numFmt w:val="bullet"/>
      <w:lvlText w:val="•"/>
      <w:lvlJc w:val="left"/>
      <w:pPr>
        <w:ind w:left="4314" w:hanging="284"/>
      </w:pPr>
      <w:rPr>
        <w:rFonts w:hint="default"/>
        <w:lang w:val="en-US" w:eastAsia="en-US" w:bidi="ar-SA"/>
      </w:rPr>
    </w:lvl>
    <w:lvl w:ilvl="8" w:tplc="206651FC">
      <w:numFmt w:val="bullet"/>
      <w:lvlText w:val="•"/>
      <w:lvlJc w:val="left"/>
      <w:pPr>
        <w:ind w:left="4767" w:hanging="284"/>
      </w:pPr>
      <w:rPr>
        <w:rFonts w:hint="default"/>
        <w:lang w:val="en-US" w:eastAsia="en-US" w:bidi="ar-SA"/>
      </w:rPr>
    </w:lvl>
  </w:abstractNum>
  <w:abstractNum w:abstractNumId="62" w15:restartNumberingAfterBreak="0">
    <w:nsid w:val="5EDF4F5E"/>
    <w:multiLevelType w:val="multilevel"/>
    <w:tmpl w:val="73F0184A"/>
    <w:lvl w:ilvl="0">
      <w:start w:val="1"/>
      <w:numFmt w:val="decimal"/>
      <w:lvlText w:val="%1."/>
      <w:lvlJc w:val="left"/>
      <w:pPr>
        <w:ind w:left="720" w:hanging="360"/>
      </w:pPr>
      <w:rPr>
        <w:rFonts w:hint="default"/>
      </w:rPr>
    </w:lvl>
    <w:lvl w:ilvl="1">
      <w:start w:val="2"/>
      <w:numFmt w:val="decimal"/>
      <w:isLgl/>
      <w:lvlText w:val="%1.%2"/>
      <w:lvlJc w:val="left"/>
      <w:pPr>
        <w:ind w:left="1822" w:hanging="360"/>
      </w:pPr>
      <w:rPr>
        <w:rFonts w:hint="default"/>
      </w:rPr>
    </w:lvl>
    <w:lvl w:ilvl="2">
      <w:start w:val="1"/>
      <w:numFmt w:val="decimal"/>
      <w:isLgl/>
      <w:lvlText w:val="%1.%2.%3"/>
      <w:lvlJc w:val="left"/>
      <w:pPr>
        <w:ind w:left="3284" w:hanging="720"/>
      </w:pPr>
      <w:rPr>
        <w:rFonts w:hint="default"/>
      </w:rPr>
    </w:lvl>
    <w:lvl w:ilvl="3">
      <w:start w:val="1"/>
      <w:numFmt w:val="decimal"/>
      <w:isLgl/>
      <w:lvlText w:val="%1.%2.%3.%4"/>
      <w:lvlJc w:val="left"/>
      <w:pPr>
        <w:ind w:left="4386" w:hanging="720"/>
      </w:pPr>
      <w:rPr>
        <w:rFonts w:hint="default"/>
      </w:rPr>
    </w:lvl>
    <w:lvl w:ilvl="4">
      <w:start w:val="1"/>
      <w:numFmt w:val="decimal"/>
      <w:isLgl/>
      <w:lvlText w:val="%1.%2.%3.%4.%5"/>
      <w:lvlJc w:val="left"/>
      <w:pPr>
        <w:ind w:left="5848" w:hanging="1080"/>
      </w:pPr>
      <w:rPr>
        <w:rFonts w:hint="default"/>
      </w:rPr>
    </w:lvl>
    <w:lvl w:ilvl="5">
      <w:start w:val="1"/>
      <w:numFmt w:val="decimal"/>
      <w:isLgl/>
      <w:lvlText w:val="%1.%2.%3.%4.%5.%6"/>
      <w:lvlJc w:val="left"/>
      <w:pPr>
        <w:ind w:left="6950" w:hanging="1080"/>
      </w:pPr>
      <w:rPr>
        <w:rFonts w:hint="default"/>
      </w:rPr>
    </w:lvl>
    <w:lvl w:ilvl="6">
      <w:start w:val="1"/>
      <w:numFmt w:val="decimal"/>
      <w:isLgl/>
      <w:lvlText w:val="%1.%2.%3.%4.%5.%6.%7"/>
      <w:lvlJc w:val="left"/>
      <w:pPr>
        <w:ind w:left="8412" w:hanging="1440"/>
      </w:pPr>
      <w:rPr>
        <w:rFonts w:hint="default"/>
      </w:rPr>
    </w:lvl>
    <w:lvl w:ilvl="7">
      <w:start w:val="1"/>
      <w:numFmt w:val="decimal"/>
      <w:isLgl/>
      <w:lvlText w:val="%1.%2.%3.%4.%5.%6.%7.%8"/>
      <w:lvlJc w:val="left"/>
      <w:pPr>
        <w:ind w:left="9514" w:hanging="1440"/>
      </w:pPr>
      <w:rPr>
        <w:rFonts w:hint="default"/>
      </w:rPr>
    </w:lvl>
    <w:lvl w:ilvl="8">
      <w:start w:val="1"/>
      <w:numFmt w:val="decimal"/>
      <w:isLgl/>
      <w:lvlText w:val="%1.%2.%3.%4.%5.%6.%7.%8.%9"/>
      <w:lvlJc w:val="left"/>
      <w:pPr>
        <w:ind w:left="10976" w:hanging="1800"/>
      </w:pPr>
      <w:rPr>
        <w:rFonts w:hint="default"/>
      </w:rPr>
    </w:lvl>
  </w:abstractNum>
  <w:abstractNum w:abstractNumId="63" w15:restartNumberingAfterBreak="0">
    <w:nsid w:val="60FF6B15"/>
    <w:multiLevelType w:val="hybridMultilevel"/>
    <w:tmpl w:val="B83089FE"/>
    <w:lvl w:ilvl="0" w:tplc="53D80812">
      <w:numFmt w:val="bullet"/>
      <w:lvlText w:val="•"/>
      <w:lvlJc w:val="left"/>
      <w:pPr>
        <w:ind w:left="715" w:hanging="284"/>
      </w:pPr>
      <w:rPr>
        <w:rFonts w:ascii="Lucida Sans" w:eastAsia="Lucida Sans" w:hAnsi="Lucida Sans" w:cs="Lucida Sans" w:hint="default"/>
        <w:b w:val="0"/>
        <w:bCs w:val="0"/>
        <w:i w:val="0"/>
        <w:iCs w:val="0"/>
        <w:spacing w:val="0"/>
        <w:w w:val="60"/>
        <w:sz w:val="18"/>
        <w:szCs w:val="18"/>
        <w:lang w:val="en-US" w:eastAsia="en-US" w:bidi="ar-SA"/>
      </w:rPr>
    </w:lvl>
    <w:lvl w:ilvl="1" w:tplc="18526268">
      <w:numFmt w:val="bullet"/>
      <w:lvlText w:val="•"/>
      <w:lvlJc w:val="left"/>
      <w:pPr>
        <w:ind w:left="1261" w:hanging="284"/>
      </w:pPr>
      <w:rPr>
        <w:rFonts w:hint="default"/>
        <w:lang w:val="en-US" w:eastAsia="en-US" w:bidi="ar-SA"/>
      </w:rPr>
    </w:lvl>
    <w:lvl w:ilvl="2" w:tplc="A14AFC9A">
      <w:numFmt w:val="bullet"/>
      <w:lvlText w:val="•"/>
      <w:lvlJc w:val="left"/>
      <w:pPr>
        <w:ind w:left="1803" w:hanging="284"/>
      </w:pPr>
      <w:rPr>
        <w:rFonts w:hint="default"/>
        <w:lang w:val="en-US" w:eastAsia="en-US" w:bidi="ar-SA"/>
      </w:rPr>
    </w:lvl>
    <w:lvl w:ilvl="3" w:tplc="66540BFC">
      <w:numFmt w:val="bullet"/>
      <w:lvlText w:val="•"/>
      <w:lvlJc w:val="left"/>
      <w:pPr>
        <w:ind w:left="2345" w:hanging="284"/>
      </w:pPr>
      <w:rPr>
        <w:rFonts w:hint="default"/>
        <w:lang w:val="en-US" w:eastAsia="en-US" w:bidi="ar-SA"/>
      </w:rPr>
    </w:lvl>
    <w:lvl w:ilvl="4" w:tplc="1AE40EA0">
      <w:numFmt w:val="bullet"/>
      <w:lvlText w:val="•"/>
      <w:lvlJc w:val="left"/>
      <w:pPr>
        <w:ind w:left="2887" w:hanging="284"/>
      </w:pPr>
      <w:rPr>
        <w:rFonts w:hint="default"/>
        <w:lang w:val="en-US" w:eastAsia="en-US" w:bidi="ar-SA"/>
      </w:rPr>
    </w:lvl>
    <w:lvl w:ilvl="5" w:tplc="61A699A8">
      <w:numFmt w:val="bullet"/>
      <w:lvlText w:val="•"/>
      <w:lvlJc w:val="left"/>
      <w:pPr>
        <w:ind w:left="3429" w:hanging="284"/>
      </w:pPr>
      <w:rPr>
        <w:rFonts w:hint="default"/>
        <w:lang w:val="en-US" w:eastAsia="en-US" w:bidi="ar-SA"/>
      </w:rPr>
    </w:lvl>
    <w:lvl w:ilvl="6" w:tplc="2B129FF6">
      <w:numFmt w:val="bullet"/>
      <w:lvlText w:val="•"/>
      <w:lvlJc w:val="left"/>
      <w:pPr>
        <w:ind w:left="3971" w:hanging="284"/>
      </w:pPr>
      <w:rPr>
        <w:rFonts w:hint="default"/>
        <w:lang w:val="en-US" w:eastAsia="en-US" w:bidi="ar-SA"/>
      </w:rPr>
    </w:lvl>
    <w:lvl w:ilvl="7" w:tplc="32A06EA8">
      <w:numFmt w:val="bullet"/>
      <w:lvlText w:val="•"/>
      <w:lvlJc w:val="left"/>
      <w:pPr>
        <w:ind w:left="4513" w:hanging="284"/>
      </w:pPr>
      <w:rPr>
        <w:rFonts w:hint="default"/>
        <w:lang w:val="en-US" w:eastAsia="en-US" w:bidi="ar-SA"/>
      </w:rPr>
    </w:lvl>
    <w:lvl w:ilvl="8" w:tplc="8DDE22E4">
      <w:numFmt w:val="bullet"/>
      <w:lvlText w:val="•"/>
      <w:lvlJc w:val="left"/>
      <w:pPr>
        <w:ind w:left="5055" w:hanging="284"/>
      </w:pPr>
      <w:rPr>
        <w:rFonts w:hint="default"/>
        <w:lang w:val="en-US" w:eastAsia="en-US" w:bidi="ar-SA"/>
      </w:rPr>
    </w:lvl>
  </w:abstractNum>
  <w:abstractNum w:abstractNumId="64" w15:restartNumberingAfterBreak="0">
    <w:nsid w:val="62784E3C"/>
    <w:multiLevelType w:val="hybridMultilevel"/>
    <w:tmpl w:val="1DACACA4"/>
    <w:lvl w:ilvl="0" w:tplc="8D4C32B2">
      <w:start w:val="1"/>
      <w:numFmt w:val="lowerLetter"/>
      <w:lvlText w:val="(%1)"/>
      <w:lvlJc w:val="left"/>
      <w:pPr>
        <w:ind w:left="1477" w:hanging="418"/>
      </w:pPr>
      <w:rPr>
        <w:rFonts w:ascii="Arial" w:eastAsia="Arial" w:hAnsi="Arial" w:cs="Arial" w:hint="default"/>
        <w:b w:val="0"/>
        <w:bCs w:val="0"/>
        <w:i/>
        <w:iCs/>
        <w:spacing w:val="-1"/>
        <w:w w:val="99"/>
        <w:sz w:val="16"/>
        <w:szCs w:val="16"/>
        <w:lang w:val="en-US" w:eastAsia="en-US" w:bidi="ar-SA"/>
      </w:rPr>
    </w:lvl>
    <w:lvl w:ilvl="1" w:tplc="29E2297C">
      <w:numFmt w:val="bullet"/>
      <w:lvlText w:val="•"/>
      <w:lvlJc w:val="left"/>
      <w:pPr>
        <w:ind w:left="2522" w:hanging="418"/>
      </w:pPr>
      <w:rPr>
        <w:rFonts w:hint="default"/>
        <w:lang w:val="en-US" w:eastAsia="en-US" w:bidi="ar-SA"/>
      </w:rPr>
    </w:lvl>
    <w:lvl w:ilvl="2" w:tplc="DF7E5FAA">
      <w:numFmt w:val="bullet"/>
      <w:lvlText w:val="•"/>
      <w:lvlJc w:val="left"/>
      <w:pPr>
        <w:ind w:left="3565" w:hanging="418"/>
      </w:pPr>
      <w:rPr>
        <w:rFonts w:hint="default"/>
        <w:lang w:val="en-US" w:eastAsia="en-US" w:bidi="ar-SA"/>
      </w:rPr>
    </w:lvl>
    <w:lvl w:ilvl="3" w:tplc="8BC0C5A0">
      <w:numFmt w:val="bullet"/>
      <w:lvlText w:val="•"/>
      <w:lvlJc w:val="left"/>
      <w:pPr>
        <w:ind w:left="4607" w:hanging="418"/>
      </w:pPr>
      <w:rPr>
        <w:rFonts w:hint="default"/>
        <w:lang w:val="en-US" w:eastAsia="en-US" w:bidi="ar-SA"/>
      </w:rPr>
    </w:lvl>
    <w:lvl w:ilvl="4" w:tplc="FF0E6C9A">
      <w:numFmt w:val="bullet"/>
      <w:lvlText w:val="•"/>
      <w:lvlJc w:val="left"/>
      <w:pPr>
        <w:ind w:left="5650" w:hanging="418"/>
      </w:pPr>
      <w:rPr>
        <w:rFonts w:hint="default"/>
        <w:lang w:val="en-US" w:eastAsia="en-US" w:bidi="ar-SA"/>
      </w:rPr>
    </w:lvl>
    <w:lvl w:ilvl="5" w:tplc="EC3C5516">
      <w:numFmt w:val="bullet"/>
      <w:lvlText w:val="•"/>
      <w:lvlJc w:val="left"/>
      <w:pPr>
        <w:ind w:left="6692" w:hanging="418"/>
      </w:pPr>
      <w:rPr>
        <w:rFonts w:hint="default"/>
        <w:lang w:val="en-US" w:eastAsia="en-US" w:bidi="ar-SA"/>
      </w:rPr>
    </w:lvl>
    <w:lvl w:ilvl="6" w:tplc="A1D4D6EA">
      <w:numFmt w:val="bullet"/>
      <w:lvlText w:val="•"/>
      <w:lvlJc w:val="left"/>
      <w:pPr>
        <w:ind w:left="7735" w:hanging="418"/>
      </w:pPr>
      <w:rPr>
        <w:rFonts w:hint="default"/>
        <w:lang w:val="en-US" w:eastAsia="en-US" w:bidi="ar-SA"/>
      </w:rPr>
    </w:lvl>
    <w:lvl w:ilvl="7" w:tplc="8A6E21AA">
      <w:numFmt w:val="bullet"/>
      <w:lvlText w:val="•"/>
      <w:lvlJc w:val="left"/>
      <w:pPr>
        <w:ind w:left="8777" w:hanging="418"/>
      </w:pPr>
      <w:rPr>
        <w:rFonts w:hint="default"/>
        <w:lang w:val="en-US" w:eastAsia="en-US" w:bidi="ar-SA"/>
      </w:rPr>
    </w:lvl>
    <w:lvl w:ilvl="8" w:tplc="D3C6099A">
      <w:numFmt w:val="bullet"/>
      <w:lvlText w:val="•"/>
      <w:lvlJc w:val="left"/>
      <w:pPr>
        <w:ind w:left="9820" w:hanging="418"/>
      </w:pPr>
      <w:rPr>
        <w:rFonts w:hint="default"/>
        <w:lang w:val="en-US" w:eastAsia="en-US" w:bidi="ar-SA"/>
      </w:rPr>
    </w:lvl>
  </w:abstractNum>
  <w:abstractNum w:abstractNumId="65" w15:restartNumberingAfterBreak="0">
    <w:nsid w:val="679F1B13"/>
    <w:multiLevelType w:val="hybridMultilevel"/>
    <w:tmpl w:val="BA76D514"/>
    <w:lvl w:ilvl="0" w:tplc="FDF2E4E6">
      <w:start w:val="1"/>
      <w:numFmt w:val="lowerLetter"/>
      <w:lvlText w:val="(%1)"/>
      <w:lvlJc w:val="left"/>
      <w:pPr>
        <w:ind w:left="1452" w:hanging="398"/>
      </w:pPr>
      <w:rPr>
        <w:rFonts w:ascii="Arial" w:eastAsia="Arial" w:hAnsi="Arial" w:cs="Arial" w:hint="default"/>
        <w:b w:val="0"/>
        <w:bCs w:val="0"/>
        <w:i w:val="0"/>
        <w:iCs w:val="0"/>
        <w:spacing w:val="-1"/>
        <w:w w:val="103"/>
        <w:sz w:val="18"/>
        <w:szCs w:val="18"/>
        <w:lang w:val="en-US" w:eastAsia="en-US" w:bidi="ar-SA"/>
      </w:rPr>
    </w:lvl>
    <w:lvl w:ilvl="1" w:tplc="0D4A1CFE">
      <w:numFmt w:val="bullet"/>
      <w:lvlText w:val="•"/>
      <w:lvlJc w:val="left"/>
      <w:pPr>
        <w:ind w:left="2504" w:hanging="398"/>
      </w:pPr>
      <w:rPr>
        <w:rFonts w:hint="default"/>
        <w:lang w:val="en-US" w:eastAsia="en-US" w:bidi="ar-SA"/>
      </w:rPr>
    </w:lvl>
    <w:lvl w:ilvl="2" w:tplc="8F9E41CE">
      <w:numFmt w:val="bullet"/>
      <w:lvlText w:val="•"/>
      <w:lvlJc w:val="left"/>
      <w:pPr>
        <w:ind w:left="3549" w:hanging="398"/>
      </w:pPr>
      <w:rPr>
        <w:rFonts w:hint="default"/>
        <w:lang w:val="en-US" w:eastAsia="en-US" w:bidi="ar-SA"/>
      </w:rPr>
    </w:lvl>
    <w:lvl w:ilvl="3" w:tplc="F8C67E42">
      <w:numFmt w:val="bullet"/>
      <w:lvlText w:val="•"/>
      <w:lvlJc w:val="left"/>
      <w:pPr>
        <w:ind w:left="4593" w:hanging="398"/>
      </w:pPr>
      <w:rPr>
        <w:rFonts w:hint="default"/>
        <w:lang w:val="en-US" w:eastAsia="en-US" w:bidi="ar-SA"/>
      </w:rPr>
    </w:lvl>
    <w:lvl w:ilvl="4" w:tplc="262E1430">
      <w:numFmt w:val="bullet"/>
      <w:lvlText w:val="•"/>
      <w:lvlJc w:val="left"/>
      <w:pPr>
        <w:ind w:left="5638" w:hanging="398"/>
      </w:pPr>
      <w:rPr>
        <w:rFonts w:hint="default"/>
        <w:lang w:val="en-US" w:eastAsia="en-US" w:bidi="ar-SA"/>
      </w:rPr>
    </w:lvl>
    <w:lvl w:ilvl="5" w:tplc="E77402E6">
      <w:numFmt w:val="bullet"/>
      <w:lvlText w:val="•"/>
      <w:lvlJc w:val="left"/>
      <w:pPr>
        <w:ind w:left="6682" w:hanging="398"/>
      </w:pPr>
      <w:rPr>
        <w:rFonts w:hint="default"/>
        <w:lang w:val="en-US" w:eastAsia="en-US" w:bidi="ar-SA"/>
      </w:rPr>
    </w:lvl>
    <w:lvl w:ilvl="6" w:tplc="81343630">
      <w:numFmt w:val="bullet"/>
      <w:lvlText w:val="•"/>
      <w:lvlJc w:val="left"/>
      <w:pPr>
        <w:ind w:left="7727" w:hanging="398"/>
      </w:pPr>
      <w:rPr>
        <w:rFonts w:hint="default"/>
        <w:lang w:val="en-US" w:eastAsia="en-US" w:bidi="ar-SA"/>
      </w:rPr>
    </w:lvl>
    <w:lvl w:ilvl="7" w:tplc="356CC86C">
      <w:numFmt w:val="bullet"/>
      <w:lvlText w:val="•"/>
      <w:lvlJc w:val="left"/>
      <w:pPr>
        <w:ind w:left="8771" w:hanging="398"/>
      </w:pPr>
      <w:rPr>
        <w:rFonts w:hint="default"/>
        <w:lang w:val="en-US" w:eastAsia="en-US" w:bidi="ar-SA"/>
      </w:rPr>
    </w:lvl>
    <w:lvl w:ilvl="8" w:tplc="4E380E08">
      <w:numFmt w:val="bullet"/>
      <w:lvlText w:val="•"/>
      <w:lvlJc w:val="left"/>
      <w:pPr>
        <w:ind w:left="9816" w:hanging="398"/>
      </w:pPr>
      <w:rPr>
        <w:rFonts w:hint="default"/>
        <w:lang w:val="en-US" w:eastAsia="en-US" w:bidi="ar-SA"/>
      </w:rPr>
    </w:lvl>
  </w:abstractNum>
  <w:abstractNum w:abstractNumId="66" w15:restartNumberingAfterBreak="0">
    <w:nsid w:val="6A3E1D95"/>
    <w:multiLevelType w:val="hybridMultilevel"/>
    <w:tmpl w:val="26BA28FC"/>
    <w:lvl w:ilvl="0" w:tplc="D632E996">
      <w:numFmt w:val="bullet"/>
      <w:lvlText w:val="•"/>
      <w:lvlJc w:val="left"/>
      <w:pPr>
        <w:ind w:left="697" w:hanging="284"/>
      </w:pPr>
      <w:rPr>
        <w:rFonts w:ascii="Lucida Sans" w:eastAsia="Lucida Sans" w:hAnsi="Lucida Sans" w:cs="Lucida Sans" w:hint="default"/>
        <w:b w:val="0"/>
        <w:bCs w:val="0"/>
        <w:i w:val="0"/>
        <w:iCs w:val="0"/>
        <w:spacing w:val="0"/>
        <w:w w:val="60"/>
        <w:sz w:val="18"/>
        <w:szCs w:val="18"/>
        <w:lang w:val="en-US" w:eastAsia="en-US" w:bidi="ar-SA"/>
      </w:rPr>
    </w:lvl>
    <w:lvl w:ilvl="1" w:tplc="B236469E">
      <w:numFmt w:val="bullet"/>
      <w:lvlText w:val="o"/>
      <w:lvlJc w:val="left"/>
      <w:pPr>
        <w:ind w:left="917" w:hanging="257"/>
      </w:pPr>
      <w:rPr>
        <w:rFonts w:ascii="Verdana" w:eastAsia="Verdana" w:hAnsi="Verdana" w:cs="Verdana" w:hint="default"/>
        <w:b w:val="0"/>
        <w:bCs w:val="0"/>
        <w:i w:val="0"/>
        <w:iCs w:val="0"/>
        <w:spacing w:val="0"/>
        <w:w w:val="99"/>
        <w:sz w:val="12"/>
        <w:szCs w:val="12"/>
        <w:lang w:val="en-US" w:eastAsia="en-US" w:bidi="ar-SA"/>
      </w:rPr>
    </w:lvl>
    <w:lvl w:ilvl="2" w:tplc="846C8A7A">
      <w:numFmt w:val="bullet"/>
      <w:lvlText w:val="•"/>
      <w:lvlJc w:val="left"/>
      <w:pPr>
        <w:ind w:left="1147" w:hanging="284"/>
      </w:pPr>
      <w:rPr>
        <w:rFonts w:ascii="Lucida Sans" w:eastAsia="Lucida Sans" w:hAnsi="Lucida Sans" w:cs="Lucida Sans" w:hint="default"/>
        <w:b w:val="0"/>
        <w:bCs w:val="0"/>
        <w:i w:val="0"/>
        <w:iCs w:val="0"/>
        <w:spacing w:val="0"/>
        <w:w w:val="60"/>
        <w:sz w:val="18"/>
        <w:szCs w:val="18"/>
        <w:lang w:val="en-US" w:eastAsia="en-US" w:bidi="ar-SA"/>
      </w:rPr>
    </w:lvl>
    <w:lvl w:ilvl="3" w:tplc="F46A067A">
      <w:numFmt w:val="bullet"/>
      <w:lvlText w:val="•"/>
      <w:lvlJc w:val="left"/>
      <w:pPr>
        <w:ind w:left="992" w:hanging="284"/>
      </w:pPr>
      <w:rPr>
        <w:rFonts w:hint="default"/>
        <w:lang w:val="en-US" w:eastAsia="en-US" w:bidi="ar-SA"/>
      </w:rPr>
    </w:lvl>
    <w:lvl w:ilvl="4" w:tplc="B7F606BE">
      <w:numFmt w:val="bullet"/>
      <w:lvlText w:val="•"/>
      <w:lvlJc w:val="left"/>
      <w:pPr>
        <w:ind w:left="845" w:hanging="284"/>
      </w:pPr>
      <w:rPr>
        <w:rFonts w:hint="default"/>
        <w:lang w:val="en-US" w:eastAsia="en-US" w:bidi="ar-SA"/>
      </w:rPr>
    </w:lvl>
    <w:lvl w:ilvl="5" w:tplc="0C160A16">
      <w:numFmt w:val="bullet"/>
      <w:lvlText w:val="•"/>
      <w:lvlJc w:val="left"/>
      <w:pPr>
        <w:ind w:left="697" w:hanging="284"/>
      </w:pPr>
      <w:rPr>
        <w:rFonts w:hint="default"/>
        <w:lang w:val="en-US" w:eastAsia="en-US" w:bidi="ar-SA"/>
      </w:rPr>
    </w:lvl>
    <w:lvl w:ilvl="6" w:tplc="2730DC74">
      <w:numFmt w:val="bullet"/>
      <w:lvlText w:val="•"/>
      <w:lvlJc w:val="left"/>
      <w:pPr>
        <w:ind w:left="550" w:hanging="284"/>
      </w:pPr>
      <w:rPr>
        <w:rFonts w:hint="default"/>
        <w:lang w:val="en-US" w:eastAsia="en-US" w:bidi="ar-SA"/>
      </w:rPr>
    </w:lvl>
    <w:lvl w:ilvl="7" w:tplc="FD845996">
      <w:numFmt w:val="bullet"/>
      <w:lvlText w:val="•"/>
      <w:lvlJc w:val="left"/>
      <w:pPr>
        <w:ind w:left="402" w:hanging="284"/>
      </w:pPr>
      <w:rPr>
        <w:rFonts w:hint="default"/>
        <w:lang w:val="en-US" w:eastAsia="en-US" w:bidi="ar-SA"/>
      </w:rPr>
    </w:lvl>
    <w:lvl w:ilvl="8" w:tplc="6840F944">
      <w:numFmt w:val="bullet"/>
      <w:lvlText w:val="•"/>
      <w:lvlJc w:val="left"/>
      <w:pPr>
        <w:ind w:left="255" w:hanging="284"/>
      </w:pPr>
      <w:rPr>
        <w:rFonts w:hint="default"/>
        <w:lang w:val="en-US" w:eastAsia="en-US" w:bidi="ar-SA"/>
      </w:rPr>
    </w:lvl>
  </w:abstractNum>
  <w:abstractNum w:abstractNumId="67" w15:restartNumberingAfterBreak="0">
    <w:nsid w:val="6CAB2D9D"/>
    <w:multiLevelType w:val="hybridMultilevel"/>
    <w:tmpl w:val="5B36B470"/>
    <w:lvl w:ilvl="0" w:tplc="A364A780">
      <w:numFmt w:val="bullet"/>
      <w:lvlText w:val="•"/>
      <w:lvlJc w:val="left"/>
      <w:pPr>
        <w:ind w:left="705" w:hanging="284"/>
      </w:pPr>
      <w:rPr>
        <w:rFonts w:ascii="Lucida Sans" w:eastAsia="Lucida Sans" w:hAnsi="Lucida Sans" w:cs="Lucida Sans" w:hint="default"/>
        <w:b w:val="0"/>
        <w:bCs w:val="0"/>
        <w:i w:val="0"/>
        <w:iCs w:val="0"/>
        <w:spacing w:val="0"/>
        <w:w w:val="60"/>
        <w:sz w:val="18"/>
        <w:szCs w:val="18"/>
        <w:lang w:val="en-US" w:eastAsia="en-US" w:bidi="ar-SA"/>
      </w:rPr>
    </w:lvl>
    <w:lvl w:ilvl="1" w:tplc="6C84A2C2">
      <w:numFmt w:val="bullet"/>
      <w:lvlText w:val="•"/>
      <w:lvlJc w:val="left"/>
      <w:pPr>
        <w:ind w:left="1244" w:hanging="284"/>
      </w:pPr>
      <w:rPr>
        <w:rFonts w:hint="default"/>
        <w:lang w:val="en-US" w:eastAsia="en-US" w:bidi="ar-SA"/>
      </w:rPr>
    </w:lvl>
    <w:lvl w:ilvl="2" w:tplc="6EECC1EC">
      <w:numFmt w:val="bullet"/>
      <w:lvlText w:val="•"/>
      <w:lvlJc w:val="left"/>
      <w:pPr>
        <w:ind w:left="1789" w:hanging="284"/>
      </w:pPr>
      <w:rPr>
        <w:rFonts w:hint="default"/>
        <w:lang w:val="en-US" w:eastAsia="en-US" w:bidi="ar-SA"/>
      </w:rPr>
    </w:lvl>
    <w:lvl w:ilvl="3" w:tplc="3152A730">
      <w:numFmt w:val="bullet"/>
      <w:lvlText w:val="•"/>
      <w:lvlJc w:val="left"/>
      <w:pPr>
        <w:ind w:left="2334" w:hanging="284"/>
      </w:pPr>
      <w:rPr>
        <w:rFonts w:hint="default"/>
        <w:lang w:val="en-US" w:eastAsia="en-US" w:bidi="ar-SA"/>
      </w:rPr>
    </w:lvl>
    <w:lvl w:ilvl="4" w:tplc="7B10B124">
      <w:numFmt w:val="bullet"/>
      <w:lvlText w:val="•"/>
      <w:lvlJc w:val="left"/>
      <w:pPr>
        <w:ind w:left="2879" w:hanging="284"/>
      </w:pPr>
      <w:rPr>
        <w:rFonts w:hint="default"/>
        <w:lang w:val="en-US" w:eastAsia="en-US" w:bidi="ar-SA"/>
      </w:rPr>
    </w:lvl>
    <w:lvl w:ilvl="5" w:tplc="59163AC4">
      <w:numFmt w:val="bullet"/>
      <w:lvlText w:val="•"/>
      <w:lvlJc w:val="left"/>
      <w:pPr>
        <w:ind w:left="3423" w:hanging="284"/>
      </w:pPr>
      <w:rPr>
        <w:rFonts w:hint="default"/>
        <w:lang w:val="en-US" w:eastAsia="en-US" w:bidi="ar-SA"/>
      </w:rPr>
    </w:lvl>
    <w:lvl w:ilvl="6" w:tplc="BD448288">
      <w:numFmt w:val="bullet"/>
      <w:lvlText w:val="•"/>
      <w:lvlJc w:val="left"/>
      <w:pPr>
        <w:ind w:left="3968" w:hanging="284"/>
      </w:pPr>
      <w:rPr>
        <w:rFonts w:hint="default"/>
        <w:lang w:val="en-US" w:eastAsia="en-US" w:bidi="ar-SA"/>
      </w:rPr>
    </w:lvl>
    <w:lvl w:ilvl="7" w:tplc="1EECC6F0">
      <w:numFmt w:val="bullet"/>
      <w:lvlText w:val="•"/>
      <w:lvlJc w:val="left"/>
      <w:pPr>
        <w:ind w:left="4513" w:hanging="284"/>
      </w:pPr>
      <w:rPr>
        <w:rFonts w:hint="default"/>
        <w:lang w:val="en-US" w:eastAsia="en-US" w:bidi="ar-SA"/>
      </w:rPr>
    </w:lvl>
    <w:lvl w:ilvl="8" w:tplc="8DA6B478">
      <w:numFmt w:val="bullet"/>
      <w:lvlText w:val="•"/>
      <w:lvlJc w:val="left"/>
      <w:pPr>
        <w:ind w:left="5058" w:hanging="284"/>
      </w:pPr>
      <w:rPr>
        <w:rFonts w:hint="default"/>
        <w:lang w:val="en-US" w:eastAsia="en-US" w:bidi="ar-SA"/>
      </w:rPr>
    </w:lvl>
  </w:abstractNum>
  <w:abstractNum w:abstractNumId="68" w15:restartNumberingAfterBreak="0">
    <w:nsid w:val="6E841694"/>
    <w:multiLevelType w:val="hybridMultilevel"/>
    <w:tmpl w:val="9F8E8B2E"/>
    <w:lvl w:ilvl="0" w:tplc="E6D06D80">
      <w:numFmt w:val="bullet"/>
      <w:lvlText w:val="•"/>
      <w:lvlJc w:val="left"/>
      <w:pPr>
        <w:ind w:left="1094" w:hanging="284"/>
      </w:pPr>
      <w:rPr>
        <w:rFonts w:ascii="Lucida Sans" w:eastAsia="Lucida Sans" w:hAnsi="Lucida Sans" w:cs="Lucida Sans" w:hint="default"/>
        <w:b w:val="0"/>
        <w:bCs w:val="0"/>
        <w:i w:val="0"/>
        <w:iCs w:val="0"/>
        <w:spacing w:val="0"/>
        <w:w w:val="60"/>
        <w:sz w:val="18"/>
        <w:szCs w:val="18"/>
        <w:lang w:val="en-US" w:eastAsia="en-US" w:bidi="ar-SA"/>
      </w:rPr>
    </w:lvl>
    <w:lvl w:ilvl="1" w:tplc="2D56B048">
      <w:numFmt w:val="bullet"/>
      <w:lvlText w:val="•"/>
      <w:lvlJc w:val="left"/>
      <w:pPr>
        <w:ind w:left="1557" w:hanging="284"/>
      </w:pPr>
      <w:rPr>
        <w:rFonts w:hint="default"/>
        <w:lang w:val="en-US" w:eastAsia="en-US" w:bidi="ar-SA"/>
      </w:rPr>
    </w:lvl>
    <w:lvl w:ilvl="2" w:tplc="5ABEB976">
      <w:numFmt w:val="bullet"/>
      <w:lvlText w:val="•"/>
      <w:lvlJc w:val="left"/>
      <w:pPr>
        <w:ind w:left="2014" w:hanging="284"/>
      </w:pPr>
      <w:rPr>
        <w:rFonts w:hint="default"/>
        <w:lang w:val="en-US" w:eastAsia="en-US" w:bidi="ar-SA"/>
      </w:rPr>
    </w:lvl>
    <w:lvl w:ilvl="3" w:tplc="6B3EC5B0">
      <w:numFmt w:val="bullet"/>
      <w:lvlText w:val="•"/>
      <w:lvlJc w:val="left"/>
      <w:pPr>
        <w:ind w:left="2472" w:hanging="284"/>
      </w:pPr>
      <w:rPr>
        <w:rFonts w:hint="default"/>
        <w:lang w:val="en-US" w:eastAsia="en-US" w:bidi="ar-SA"/>
      </w:rPr>
    </w:lvl>
    <w:lvl w:ilvl="4" w:tplc="89D07C0C">
      <w:numFmt w:val="bullet"/>
      <w:lvlText w:val="•"/>
      <w:lvlJc w:val="left"/>
      <w:pPr>
        <w:ind w:left="2929" w:hanging="284"/>
      </w:pPr>
      <w:rPr>
        <w:rFonts w:hint="default"/>
        <w:lang w:val="en-US" w:eastAsia="en-US" w:bidi="ar-SA"/>
      </w:rPr>
    </w:lvl>
    <w:lvl w:ilvl="5" w:tplc="693CA8E8">
      <w:numFmt w:val="bullet"/>
      <w:lvlText w:val="•"/>
      <w:lvlJc w:val="left"/>
      <w:pPr>
        <w:ind w:left="3386" w:hanging="284"/>
      </w:pPr>
      <w:rPr>
        <w:rFonts w:hint="default"/>
        <w:lang w:val="en-US" w:eastAsia="en-US" w:bidi="ar-SA"/>
      </w:rPr>
    </w:lvl>
    <w:lvl w:ilvl="6" w:tplc="736A1B3A">
      <w:numFmt w:val="bullet"/>
      <w:lvlText w:val="•"/>
      <w:lvlJc w:val="left"/>
      <w:pPr>
        <w:ind w:left="3843" w:hanging="284"/>
      </w:pPr>
      <w:rPr>
        <w:rFonts w:hint="default"/>
        <w:lang w:val="en-US" w:eastAsia="en-US" w:bidi="ar-SA"/>
      </w:rPr>
    </w:lvl>
    <w:lvl w:ilvl="7" w:tplc="CED439AC">
      <w:numFmt w:val="bullet"/>
      <w:lvlText w:val="•"/>
      <w:lvlJc w:val="left"/>
      <w:pPr>
        <w:ind w:left="4301" w:hanging="284"/>
      </w:pPr>
      <w:rPr>
        <w:rFonts w:hint="default"/>
        <w:lang w:val="en-US" w:eastAsia="en-US" w:bidi="ar-SA"/>
      </w:rPr>
    </w:lvl>
    <w:lvl w:ilvl="8" w:tplc="D9706166">
      <w:numFmt w:val="bullet"/>
      <w:lvlText w:val="•"/>
      <w:lvlJc w:val="left"/>
      <w:pPr>
        <w:ind w:left="4758" w:hanging="284"/>
      </w:pPr>
      <w:rPr>
        <w:rFonts w:hint="default"/>
        <w:lang w:val="en-US" w:eastAsia="en-US" w:bidi="ar-SA"/>
      </w:rPr>
    </w:lvl>
  </w:abstractNum>
  <w:abstractNum w:abstractNumId="69" w15:restartNumberingAfterBreak="0">
    <w:nsid w:val="6FDF208F"/>
    <w:multiLevelType w:val="hybridMultilevel"/>
    <w:tmpl w:val="ABDA65EE"/>
    <w:lvl w:ilvl="0" w:tplc="EA1E18A2">
      <w:numFmt w:val="bullet"/>
      <w:lvlText w:val="•"/>
      <w:lvlJc w:val="left"/>
      <w:pPr>
        <w:ind w:left="1133" w:hanging="284"/>
      </w:pPr>
      <w:rPr>
        <w:rFonts w:ascii="Lucida Sans" w:eastAsia="Lucida Sans" w:hAnsi="Lucida Sans" w:cs="Lucida Sans" w:hint="default"/>
        <w:b w:val="0"/>
        <w:bCs w:val="0"/>
        <w:i w:val="0"/>
        <w:iCs w:val="0"/>
        <w:spacing w:val="0"/>
        <w:w w:val="60"/>
        <w:sz w:val="18"/>
        <w:szCs w:val="18"/>
        <w:lang w:val="en-US" w:eastAsia="en-US" w:bidi="ar-SA"/>
      </w:rPr>
    </w:lvl>
    <w:lvl w:ilvl="1" w:tplc="5C0CAF46">
      <w:numFmt w:val="bullet"/>
      <w:lvlText w:val="•"/>
      <w:lvlJc w:val="left"/>
      <w:pPr>
        <w:ind w:left="1597" w:hanging="284"/>
      </w:pPr>
      <w:rPr>
        <w:rFonts w:hint="default"/>
        <w:lang w:val="en-US" w:eastAsia="en-US" w:bidi="ar-SA"/>
      </w:rPr>
    </w:lvl>
    <w:lvl w:ilvl="2" w:tplc="A84862EA">
      <w:numFmt w:val="bullet"/>
      <w:lvlText w:val="•"/>
      <w:lvlJc w:val="left"/>
      <w:pPr>
        <w:ind w:left="2055" w:hanging="284"/>
      </w:pPr>
      <w:rPr>
        <w:rFonts w:hint="default"/>
        <w:lang w:val="en-US" w:eastAsia="en-US" w:bidi="ar-SA"/>
      </w:rPr>
    </w:lvl>
    <w:lvl w:ilvl="3" w:tplc="14845F58">
      <w:numFmt w:val="bullet"/>
      <w:lvlText w:val="•"/>
      <w:lvlJc w:val="left"/>
      <w:pPr>
        <w:ind w:left="2513" w:hanging="284"/>
      </w:pPr>
      <w:rPr>
        <w:rFonts w:hint="default"/>
        <w:lang w:val="en-US" w:eastAsia="en-US" w:bidi="ar-SA"/>
      </w:rPr>
    </w:lvl>
    <w:lvl w:ilvl="4" w:tplc="0820FF6A">
      <w:numFmt w:val="bullet"/>
      <w:lvlText w:val="•"/>
      <w:lvlJc w:val="left"/>
      <w:pPr>
        <w:ind w:left="2970" w:hanging="284"/>
      </w:pPr>
      <w:rPr>
        <w:rFonts w:hint="default"/>
        <w:lang w:val="en-US" w:eastAsia="en-US" w:bidi="ar-SA"/>
      </w:rPr>
    </w:lvl>
    <w:lvl w:ilvl="5" w:tplc="320669A6">
      <w:numFmt w:val="bullet"/>
      <w:lvlText w:val="•"/>
      <w:lvlJc w:val="left"/>
      <w:pPr>
        <w:ind w:left="3428" w:hanging="284"/>
      </w:pPr>
      <w:rPr>
        <w:rFonts w:hint="default"/>
        <w:lang w:val="en-US" w:eastAsia="en-US" w:bidi="ar-SA"/>
      </w:rPr>
    </w:lvl>
    <w:lvl w:ilvl="6" w:tplc="80F24440">
      <w:numFmt w:val="bullet"/>
      <w:lvlText w:val="•"/>
      <w:lvlJc w:val="left"/>
      <w:pPr>
        <w:ind w:left="3886" w:hanging="284"/>
      </w:pPr>
      <w:rPr>
        <w:rFonts w:hint="default"/>
        <w:lang w:val="en-US" w:eastAsia="en-US" w:bidi="ar-SA"/>
      </w:rPr>
    </w:lvl>
    <w:lvl w:ilvl="7" w:tplc="CCCC6B16">
      <w:numFmt w:val="bullet"/>
      <w:lvlText w:val="•"/>
      <w:lvlJc w:val="left"/>
      <w:pPr>
        <w:ind w:left="4344" w:hanging="284"/>
      </w:pPr>
      <w:rPr>
        <w:rFonts w:hint="default"/>
        <w:lang w:val="en-US" w:eastAsia="en-US" w:bidi="ar-SA"/>
      </w:rPr>
    </w:lvl>
    <w:lvl w:ilvl="8" w:tplc="88C0BB1E">
      <w:numFmt w:val="bullet"/>
      <w:lvlText w:val="•"/>
      <w:lvlJc w:val="left"/>
      <w:pPr>
        <w:ind w:left="4801" w:hanging="284"/>
      </w:pPr>
      <w:rPr>
        <w:rFonts w:hint="default"/>
        <w:lang w:val="en-US" w:eastAsia="en-US" w:bidi="ar-SA"/>
      </w:rPr>
    </w:lvl>
  </w:abstractNum>
  <w:abstractNum w:abstractNumId="70" w15:restartNumberingAfterBreak="0">
    <w:nsid w:val="72F330F5"/>
    <w:multiLevelType w:val="hybridMultilevel"/>
    <w:tmpl w:val="B0BA686E"/>
    <w:lvl w:ilvl="0" w:tplc="D890CCE4">
      <w:numFmt w:val="bullet"/>
      <w:lvlText w:val=""/>
      <w:lvlJc w:val="left"/>
      <w:pPr>
        <w:ind w:left="1429" w:hanging="336"/>
      </w:pPr>
      <w:rPr>
        <w:rFonts w:ascii="Symbol" w:eastAsia="Symbol" w:hAnsi="Symbol" w:cs="Symbol" w:hint="default"/>
        <w:b w:val="0"/>
        <w:bCs w:val="0"/>
        <w:i w:val="0"/>
        <w:iCs w:val="0"/>
        <w:spacing w:val="0"/>
        <w:w w:val="104"/>
        <w:sz w:val="16"/>
        <w:szCs w:val="16"/>
        <w:lang w:val="en-US" w:eastAsia="en-US" w:bidi="ar-SA"/>
      </w:rPr>
    </w:lvl>
    <w:lvl w:ilvl="1" w:tplc="F84E93AE">
      <w:numFmt w:val="bullet"/>
      <w:lvlText w:val="-"/>
      <w:lvlJc w:val="left"/>
      <w:pPr>
        <w:ind w:left="1825" w:hanging="336"/>
      </w:pPr>
      <w:rPr>
        <w:rFonts w:ascii="Arial" w:eastAsia="Arial" w:hAnsi="Arial" w:cs="Arial" w:hint="default"/>
        <w:b w:val="0"/>
        <w:bCs w:val="0"/>
        <w:i w:val="0"/>
        <w:iCs w:val="0"/>
        <w:spacing w:val="0"/>
        <w:w w:val="104"/>
        <w:sz w:val="16"/>
        <w:szCs w:val="16"/>
        <w:lang w:val="en-US" w:eastAsia="en-US" w:bidi="ar-SA"/>
      </w:rPr>
    </w:lvl>
    <w:lvl w:ilvl="2" w:tplc="F08E28CA">
      <w:numFmt w:val="bullet"/>
      <w:lvlText w:val="•"/>
      <w:lvlJc w:val="left"/>
      <w:pPr>
        <w:ind w:left="2940" w:hanging="336"/>
      </w:pPr>
      <w:rPr>
        <w:rFonts w:hint="default"/>
        <w:lang w:val="en-US" w:eastAsia="en-US" w:bidi="ar-SA"/>
      </w:rPr>
    </w:lvl>
    <w:lvl w:ilvl="3" w:tplc="4EFA5216">
      <w:numFmt w:val="bullet"/>
      <w:lvlText w:val="•"/>
      <w:lvlJc w:val="left"/>
      <w:pPr>
        <w:ind w:left="4061" w:hanging="336"/>
      </w:pPr>
      <w:rPr>
        <w:rFonts w:hint="default"/>
        <w:lang w:val="en-US" w:eastAsia="en-US" w:bidi="ar-SA"/>
      </w:rPr>
    </w:lvl>
    <w:lvl w:ilvl="4" w:tplc="9BD01EAC">
      <w:numFmt w:val="bullet"/>
      <w:lvlText w:val="•"/>
      <w:lvlJc w:val="left"/>
      <w:pPr>
        <w:ind w:left="5181" w:hanging="336"/>
      </w:pPr>
      <w:rPr>
        <w:rFonts w:hint="default"/>
        <w:lang w:val="en-US" w:eastAsia="en-US" w:bidi="ar-SA"/>
      </w:rPr>
    </w:lvl>
    <w:lvl w:ilvl="5" w:tplc="FC0CE898">
      <w:numFmt w:val="bullet"/>
      <w:lvlText w:val="•"/>
      <w:lvlJc w:val="left"/>
      <w:pPr>
        <w:ind w:left="6302" w:hanging="336"/>
      </w:pPr>
      <w:rPr>
        <w:rFonts w:hint="default"/>
        <w:lang w:val="en-US" w:eastAsia="en-US" w:bidi="ar-SA"/>
      </w:rPr>
    </w:lvl>
    <w:lvl w:ilvl="6" w:tplc="BD7CF8A6">
      <w:numFmt w:val="bullet"/>
      <w:lvlText w:val="•"/>
      <w:lvlJc w:val="left"/>
      <w:pPr>
        <w:ind w:left="7423" w:hanging="336"/>
      </w:pPr>
      <w:rPr>
        <w:rFonts w:hint="default"/>
        <w:lang w:val="en-US" w:eastAsia="en-US" w:bidi="ar-SA"/>
      </w:rPr>
    </w:lvl>
    <w:lvl w:ilvl="7" w:tplc="A90818B6">
      <w:numFmt w:val="bullet"/>
      <w:lvlText w:val="•"/>
      <w:lvlJc w:val="left"/>
      <w:pPr>
        <w:ind w:left="8543" w:hanging="336"/>
      </w:pPr>
      <w:rPr>
        <w:rFonts w:hint="default"/>
        <w:lang w:val="en-US" w:eastAsia="en-US" w:bidi="ar-SA"/>
      </w:rPr>
    </w:lvl>
    <w:lvl w:ilvl="8" w:tplc="4DF4EB36">
      <w:numFmt w:val="bullet"/>
      <w:lvlText w:val="•"/>
      <w:lvlJc w:val="left"/>
      <w:pPr>
        <w:ind w:left="9664" w:hanging="336"/>
      </w:pPr>
      <w:rPr>
        <w:rFonts w:hint="default"/>
        <w:lang w:val="en-US" w:eastAsia="en-US" w:bidi="ar-SA"/>
      </w:rPr>
    </w:lvl>
  </w:abstractNum>
  <w:abstractNum w:abstractNumId="71" w15:restartNumberingAfterBreak="0">
    <w:nsid w:val="737B7449"/>
    <w:multiLevelType w:val="hybridMultilevel"/>
    <w:tmpl w:val="C8063514"/>
    <w:lvl w:ilvl="0" w:tplc="A3848F54">
      <w:numFmt w:val="bullet"/>
      <w:lvlText w:val="•"/>
      <w:lvlJc w:val="left"/>
      <w:pPr>
        <w:ind w:left="1849" w:hanging="387"/>
      </w:pPr>
      <w:rPr>
        <w:rFonts w:ascii="Arial" w:eastAsia="Arial" w:hAnsi="Arial" w:cs="Arial" w:hint="default"/>
        <w:b w:val="0"/>
        <w:bCs w:val="0"/>
        <w:i w:val="0"/>
        <w:iCs w:val="0"/>
        <w:spacing w:val="0"/>
        <w:w w:val="104"/>
        <w:sz w:val="16"/>
        <w:szCs w:val="16"/>
        <w:lang w:val="en-US" w:eastAsia="en-US" w:bidi="ar-SA"/>
      </w:rPr>
    </w:lvl>
    <w:lvl w:ilvl="1" w:tplc="1A26A2D0">
      <w:numFmt w:val="bullet"/>
      <w:lvlText w:val="•"/>
      <w:lvlJc w:val="left"/>
      <w:pPr>
        <w:ind w:left="2846" w:hanging="387"/>
      </w:pPr>
      <w:rPr>
        <w:rFonts w:hint="default"/>
        <w:lang w:val="en-US" w:eastAsia="en-US" w:bidi="ar-SA"/>
      </w:rPr>
    </w:lvl>
    <w:lvl w:ilvl="2" w:tplc="8974A056">
      <w:numFmt w:val="bullet"/>
      <w:lvlText w:val="•"/>
      <w:lvlJc w:val="left"/>
      <w:pPr>
        <w:ind w:left="3853" w:hanging="387"/>
      </w:pPr>
      <w:rPr>
        <w:rFonts w:hint="default"/>
        <w:lang w:val="en-US" w:eastAsia="en-US" w:bidi="ar-SA"/>
      </w:rPr>
    </w:lvl>
    <w:lvl w:ilvl="3" w:tplc="858825F8">
      <w:numFmt w:val="bullet"/>
      <w:lvlText w:val="•"/>
      <w:lvlJc w:val="left"/>
      <w:pPr>
        <w:ind w:left="4859" w:hanging="387"/>
      </w:pPr>
      <w:rPr>
        <w:rFonts w:hint="default"/>
        <w:lang w:val="en-US" w:eastAsia="en-US" w:bidi="ar-SA"/>
      </w:rPr>
    </w:lvl>
    <w:lvl w:ilvl="4" w:tplc="06D0B622">
      <w:numFmt w:val="bullet"/>
      <w:lvlText w:val="•"/>
      <w:lvlJc w:val="left"/>
      <w:pPr>
        <w:ind w:left="5866" w:hanging="387"/>
      </w:pPr>
      <w:rPr>
        <w:rFonts w:hint="default"/>
        <w:lang w:val="en-US" w:eastAsia="en-US" w:bidi="ar-SA"/>
      </w:rPr>
    </w:lvl>
    <w:lvl w:ilvl="5" w:tplc="D548E3F4">
      <w:numFmt w:val="bullet"/>
      <w:lvlText w:val="•"/>
      <w:lvlJc w:val="left"/>
      <w:pPr>
        <w:ind w:left="6872" w:hanging="387"/>
      </w:pPr>
      <w:rPr>
        <w:rFonts w:hint="default"/>
        <w:lang w:val="en-US" w:eastAsia="en-US" w:bidi="ar-SA"/>
      </w:rPr>
    </w:lvl>
    <w:lvl w:ilvl="6" w:tplc="9564C3DA">
      <w:numFmt w:val="bullet"/>
      <w:lvlText w:val="•"/>
      <w:lvlJc w:val="left"/>
      <w:pPr>
        <w:ind w:left="7879" w:hanging="387"/>
      </w:pPr>
      <w:rPr>
        <w:rFonts w:hint="default"/>
        <w:lang w:val="en-US" w:eastAsia="en-US" w:bidi="ar-SA"/>
      </w:rPr>
    </w:lvl>
    <w:lvl w:ilvl="7" w:tplc="F334CB8E">
      <w:numFmt w:val="bullet"/>
      <w:lvlText w:val="•"/>
      <w:lvlJc w:val="left"/>
      <w:pPr>
        <w:ind w:left="8885" w:hanging="387"/>
      </w:pPr>
      <w:rPr>
        <w:rFonts w:hint="default"/>
        <w:lang w:val="en-US" w:eastAsia="en-US" w:bidi="ar-SA"/>
      </w:rPr>
    </w:lvl>
    <w:lvl w:ilvl="8" w:tplc="C4BE3304">
      <w:numFmt w:val="bullet"/>
      <w:lvlText w:val="•"/>
      <w:lvlJc w:val="left"/>
      <w:pPr>
        <w:ind w:left="9892" w:hanging="387"/>
      </w:pPr>
      <w:rPr>
        <w:rFonts w:hint="default"/>
        <w:lang w:val="en-US" w:eastAsia="en-US" w:bidi="ar-SA"/>
      </w:rPr>
    </w:lvl>
  </w:abstractNum>
  <w:abstractNum w:abstractNumId="72" w15:restartNumberingAfterBreak="0">
    <w:nsid w:val="739C0134"/>
    <w:multiLevelType w:val="multilevel"/>
    <w:tmpl w:val="C6C64B68"/>
    <w:lvl w:ilvl="0">
      <w:start w:val="6"/>
      <w:numFmt w:val="decimal"/>
      <w:lvlText w:val="%1"/>
      <w:lvlJc w:val="left"/>
      <w:pPr>
        <w:ind w:left="1592" w:hanging="527"/>
      </w:pPr>
      <w:rPr>
        <w:rFonts w:hint="default"/>
        <w:lang w:val="en-US" w:eastAsia="en-US" w:bidi="ar-SA"/>
      </w:rPr>
    </w:lvl>
    <w:lvl w:ilvl="1">
      <w:start w:val="1"/>
      <w:numFmt w:val="decimal"/>
      <w:lvlText w:val="%1.%2"/>
      <w:lvlJc w:val="left"/>
      <w:pPr>
        <w:ind w:left="1592" w:hanging="527"/>
      </w:pPr>
      <w:rPr>
        <w:rFonts w:ascii="Arial" w:eastAsia="Arial" w:hAnsi="Arial" w:cs="Arial" w:hint="default"/>
        <w:b w:val="0"/>
        <w:bCs w:val="0"/>
        <w:i w:val="0"/>
        <w:iCs w:val="0"/>
        <w:spacing w:val="-1"/>
        <w:w w:val="104"/>
        <w:sz w:val="16"/>
        <w:szCs w:val="16"/>
        <w:lang w:val="en-US" w:eastAsia="en-US" w:bidi="ar-SA"/>
      </w:rPr>
    </w:lvl>
    <w:lvl w:ilvl="2">
      <w:numFmt w:val="bullet"/>
      <w:lvlText w:val="•"/>
      <w:lvlJc w:val="left"/>
      <w:pPr>
        <w:ind w:left="3661" w:hanging="527"/>
      </w:pPr>
      <w:rPr>
        <w:rFonts w:hint="default"/>
        <w:lang w:val="en-US" w:eastAsia="en-US" w:bidi="ar-SA"/>
      </w:rPr>
    </w:lvl>
    <w:lvl w:ilvl="3">
      <w:numFmt w:val="bullet"/>
      <w:lvlText w:val="•"/>
      <w:lvlJc w:val="left"/>
      <w:pPr>
        <w:ind w:left="4691" w:hanging="527"/>
      </w:pPr>
      <w:rPr>
        <w:rFonts w:hint="default"/>
        <w:lang w:val="en-US" w:eastAsia="en-US" w:bidi="ar-SA"/>
      </w:rPr>
    </w:lvl>
    <w:lvl w:ilvl="4">
      <w:numFmt w:val="bullet"/>
      <w:lvlText w:val="•"/>
      <w:lvlJc w:val="left"/>
      <w:pPr>
        <w:ind w:left="5722" w:hanging="527"/>
      </w:pPr>
      <w:rPr>
        <w:rFonts w:hint="default"/>
        <w:lang w:val="en-US" w:eastAsia="en-US" w:bidi="ar-SA"/>
      </w:rPr>
    </w:lvl>
    <w:lvl w:ilvl="5">
      <w:numFmt w:val="bullet"/>
      <w:lvlText w:val="•"/>
      <w:lvlJc w:val="left"/>
      <w:pPr>
        <w:ind w:left="6752" w:hanging="527"/>
      </w:pPr>
      <w:rPr>
        <w:rFonts w:hint="default"/>
        <w:lang w:val="en-US" w:eastAsia="en-US" w:bidi="ar-SA"/>
      </w:rPr>
    </w:lvl>
    <w:lvl w:ilvl="6">
      <w:numFmt w:val="bullet"/>
      <w:lvlText w:val="•"/>
      <w:lvlJc w:val="left"/>
      <w:pPr>
        <w:ind w:left="7783" w:hanging="527"/>
      </w:pPr>
      <w:rPr>
        <w:rFonts w:hint="default"/>
        <w:lang w:val="en-US" w:eastAsia="en-US" w:bidi="ar-SA"/>
      </w:rPr>
    </w:lvl>
    <w:lvl w:ilvl="7">
      <w:numFmt w:val="bullet"/>
      <w:lvlText w:val="•"/>
      <w:lvlJc w:val="left"/>
      <w:pPr>
        <w:ind w:left="8813" w:hanging="527"/>
      </w:pPr>
      <w:rPr>
        <w:rFonts w:hint="default"/>
        <w:lang w:val="en-US" w:eastAsia="en-US" w:bidi="ar-SA"/>
      </w:rPr>
    </w:lvl>
    <w:lvl w:ilvl="8">
      <w:numFmt w:val="bullet"/>
      <w:lvlText w:val="•"/>
      <w:lvlJc w:val="left"/>
      <w:pPr>
        <w:ind w:left="9844" w:hanging="527"/>
      </w:pPr>
      <w:rPr>
        <w:rFonts w:hint="default"/>
        <w:lang w:val="en-US" w:eastAsia="en-US" w:bidi="ar-SA"/>
      </w:rPr>
    </w:lvl>
  </w:abstractNum>
  <w:abstractNum w:abstractNumId="73" w15:restartNumberingAfterBreak="0">
    <w:nsid w:val="7559225D"/>
    <w:multiLevelType w:val="hybridMultilevel"/>
    <w:tmpl w:val="0AFCD4AC"/>
    <w:lvl w:ilvl="0" w:tplc="745C776A">
      <w:numFmt w:val="bullet"/>
      <w:lvlText w:val=""/>
      <w:lvlJc w:val="left"/>
      <w:pPr>
        <w:ind w:left="1451" w:hanging="398"/>
      </w:pPr>
      <w:rPr>
        <w:rFonts w:ascii="Symbol" w:eastAsia="Symbol" w:hAnsi="Symbol" w:cs="Symbol" w:hint="default"/>
        <w:b w:val="0"/>
        <w:bCs w:val="0"/>
        <w:i w:val="0"/>
        <w:iCs w:val="0"/>
        <w:spacing w:val="0"/>
        <w:w w:val="104"/>
        <w:sz w:val="16"/>
        <w:szCs w:val="16"/>
        <w:lang w:val="en-US" w:eastAsia="en-US" w:bidi="ar-SA"/>
      </w:rPr>
    </w:lvl>
    <w:lvl w:ilvl="1" w:tplc="C2EC6D6E">
      <w:numFmt w:val="bullet"/>
      <w:lvlText w:val="•"/>
      <w:lvlJc w:val="left"/>
      <w:pPr>
        <w:ind w:left="2504" w:hanging="398"/>
      </w:pPr>
      <w:rPr>
        <w:rFonts w:hint="default"/>
        <w:lang w:val="en-US" w:eastAsia="en-US" w:bidi="ar-SA"/>
      </w:rPr>
    </w:lvl>
    <w:lvl w:ilvl="2" w:tplc="6FF809CC">
      <w:numFmt w:val="bullet"/>
      <w:lvlText w:val="•"/>
      <w:lvlJc w:val="left"/>
      <w:pPr>
        <w:ind w:left="3549" w:hanging="398"/>
      </w:pPr>
      <w:rPr>
        <w:rFonts w:hint="default"/>
        <w:lang w:val="en-US" w:eastAsia="en-US" w:bidi="ar-SA"/>
      </w:rPr>
    </w:lvl>
    <w:lvl w:ilvl="3" w:tplc="4B90508A">
      <w:numFmt w:val="bullet"/>
      <w:lvlText w:val="•"/>
      <w:lvlJc w:val="left"/>
      <w:pPr>
        <w:ind w:left="4593" w:hanging="398"/>
      </w:pPr>
      <w:rPr>
        <w:rFonts w:hint="default"/>
        <w:lang w:val="en-US" w:eastAsia="en-US" w:bidi="ar-SA"/>
      </w:rPr>
    </w:lvl>
    <w:lvl w:ilvl="4" w:tplc="0EA41408">
      <w:numFmt w:val="bullet"/>
      <w:lvlText w:val="•"/>
      <w:lvlJc w:val="left"/>
      <w:pPr>
        <w:ind w:left="5638" w:hanging="398"/>
      </w:pPr>
      <w:rPr>
        <w:rFonts w:hint="default"/>
        <w:lang w:val="en-US" w:eastAsia="en-US" w:bidi="ar-SA"/>
      </w:rPr>
    </w:lvl>
    <w:lvl w:ilvl="5" w:tplc="EBFCB2E6">
      <w:numFmt w:val="bullet"/>
      <w:lvlText w:val="•"/>
      <w:lvlJc w:val="left"/>
      <w:pPr>
        <w:ind w:left="6682" w:hanging="398"/>
      </w:pPr>
      <w:rPr>
        <w:rFonts w:hint="default"/>
        <w:lang w:val="en-US" w:eastAsia="en-US" w:bidi="ar-SA"/>
      </w:rPr>
    </w:lvl>
    <w:lvl w:ilvl="6" w:tplc="BE043484">
      <w:numFmt w:val="bullet"/>
      <w:lvlText w:val="•"/>
      <w:lvlJc w:val="left"/>
      <w:pPr>
        <w:ind w:left="7727" w:hanging="398"/>
      </w:pPr>
      <w:rPr>
        <w:rFonts w:hint="default"/>
        <w:lang w:val="en-US" w:eastAsia="en-US" w:bidi="ar-SA"/>
      </w:rPr>
    </w:lvl>
    <w:lvl w:ilvl="7" w:tplc="2DB266F8">
      <w:numFmt w:val="bullet"/>
      <w:lvlText w:val="•"/>
      <w:lvlJc w:val="left"/>
      <w:pPr>
        <w:ind w:left="8771" w:hanging="398"/>
      </w:pPr>
      <w:rPr>
        <w:rFonts w:hint="default"/>
        <w:lang w:val="en-US" w:eastAsia="en-US" w:bidi="ar-SA"/>
      </w:rPr>
    </w:lvl>
    <w:lvl w:ilvl="8" w:tplc="ABE4E72C">
      <w:numFmt w:val="bullet"/>
      <w:lvlText w:val="•"/>
      <w:lvlJc w:val="left"/>
      <w:pPr>
        <w:ind w:left="9816" w:hanging="398"/>
      </w:pPr>
      <w:rPr>
        <w:rFonts w:hint="default"/>
        <w:lang w:val="en-US" w:eastAsia="en-US" w:bidi="ar-SA"/>
      </w:rPr>
    </w:lvl>
  </w:abstractNum>
  <w:abstractNum w:abstractNumId="74" w15:restartNumberingAfterBreak="0">
    <w:nsid w:val="76CD70E6"/>
    <w:multiLevelType w:val="hybridMultilevel"/>
    <w:tmpl w:val="FDD46890"/>
    <w:lvl w:ilvl="0" w:tplc="B82856B2">
      <w:numFmt w:val="bullet"/>
      <w:lvlText w:val=""/>
      <w:lvlJc w:val="left"/>
      <w:pPr>
        <w:ind w:left="1732" w:hanging="336"/>
      </w:pPr>
      <w:rPr>
        <w:rFonts w:ascii="Symbol" w:eastAsia="Symbol" w:hAnsi="Symbol" w:cs="Symbol" w:hint="default"/>
        <w:b w:val="0"/>
        <w:bCs w:val="0"/>
        <w:i w:val="0"/>
        <w:iCs w:val="0"/>
        <w:spacing w:val="0"/>
        <w:w w:val="104"/>
        <w:sz w:val="16"/>
        <w:szCs w:val="16"/>
        <w:lang w:val="en-US" w:eastAsia="en-US" w:bidi="ar-SA"/>
      </w:rPr>
    </w:lvl>
    <w:lvl w:ilvl="1" w:tplc="7A023826">
      <w:numFmt w:val="bullet"/>
      <w:lvlText w:val="-"/>
      <w:lvlJc w:val="left"/>
      <w:pPr>
        <w:ind w:left="2068" w:hanging="336"/>
      </w:pPr>
      <w:rPr>
        <w:rFonts w:ascii="Arial" w:eastAsia="Arial" w:hAnsi="Arial" w:cs="Arial" w:hint="default"/>
        <w:b w:val="0"/>
        <w:bCs w:val="0"/>
        <w:i w:val="0"/>
        <w:iCs w:val="0"/>
        <w:spacing w:val="0"/>
        <w:w w:val="104"/>
        <w:sz w:val="16"/>
        <w:szCs w:val="16"/>
        <w:lang w:val="en-US" w:eastAsia="en-US" w:bidi="ar-SA"/>
      </w:rPr>
    </w:lvl>
    <w:lvl w:ilvl="2" w:tplc="6CB6FD5E">
      <w:numFmt w:val="bullet"/>
      <w:lvlText w:val="•"/>
      <w:lvlJc w:val="left"/>
      <w:pPr>
        <w:ind w:left="3153" w:hanging="336"/>
      </w:pPr>
      <w:rPr>
        <w:rFonts w:hint="default"/>
        <w:lang w:val="en-US" w:eastAsia="en-US" w:bidi="ar-SA"/>
      </w:rPr>
    </w:lvl>
    <w:lvl w:ilvl="3" w:tplc="A656AD1A">
      <w:numFmt w:val="bullet"/>
      <w:lvlText w:val="•"/>
      <w:lvlJc w:val="left"/>
      <w:pPr>
        <w:ind w:left="4247" w:hanging="336"/>
      </w:pPr>
      <w:rPr>
        <w:rFonts w:hint="default"/>
        <w:lang w:val="en-US" w:eastAsia="en-US" w:bidi="ar-SA"/>
      </w:rPr>
    </w:lvl>
    <w:lvl w:ilvl="4" w:tplc="422864B2">
      <w:numFmt w:val="bullet"/>
      <w:lvlText w:val="•"/>
      <w:lvlJc w:val="left"/>
      <w:pPr>
        <w:ind w:left="5341" w:hanging="336"/>
      </w:pPr>
      <w:rPr>
        <w:rFonts w:hint="default"/>
        <w:lang w:val="en-US" w:eastAsia="en-US" w:bidi="ar-SA"/>
      </w:rPr>
    </w:lvl>
    <w:lvl w:ilvl="5" w:tplc="95729A30">
      <w:numFmt w:val="bullet"/>
      <w:lvlText w:val="•"/>
      <w:lvlJc w:val="left"/>
      <w:pPr>
        <w:ind w:left="6435" w:hanging="336"/>
      </w:pPr>
      <w:rPr>
        <w:rFonts w:hint="default"/>
        <w:lang w:val="en-US" w:eastAsia="en-US" w:bidi="ar-SA"/>
      </w:rPr>
    </w:lvl>
    <w:lvl w:ilvl="6" w:tplc="9C862B82">
      <w:numFmt w:val="bullet"/>
      <w:lvlText w:val="•"/>
      <w:lvlJc w:val="left"/>
      <w:pPr>
        <w:ind w:left="7529" w:hanging="336"/>
      </w:pPr>
      <w:rPr>
        <w:rFonts w:hint="default"/>
        <w:lang w:val="en-US" w:eastAsia="en-US" w:bidi="ar-SA"/>
      </w:rPr>
    </w:lvl>
    <w:lvl w:ilvl="7" w:tplc="A614F1F0">
      <w:numFmt w:val="bullet"/>
      <w:lvlText w:val="•"/>
      <w:lvlJc w:val="left"/>
      <w:pPr>
        <w:ind w:left="8623" w:hanging="336"/>
      </w:pPr>
      <w:rPr>
        <w:rFonts w:hint="default"/>
        <w:lang w:val="en-US" w:eastAsia="en-US" w:bidi="ar-SA"/>
      </w:rPr>
    </w:lvl>
    <w:lvl w:ilvl="8" w:tplc="3EB05EFE">
      <w:numFmt w:val="bullet"/>
      <w:lvlText w:val="•"/>
      <w:lvlJc w:val="left"/>
      <w:pPr>
        <w:ind w:left="9717" w:hanging="336"/>
      </w:pPr>
      <w:rPr>
        <w:rFonts w:hint="default"/>
        <w:lang w:val="en-US" w:eastAsia="en-US" w:bidi="ar-SA"/>
      </w:rPr>
    </w:lvl>
  </w:abstractNum>
  <w:abstractNum w:abstractNumId="75" w15:restartNumberingAfterBreak="0">
    <w:nsid w:val="77245F38"/>
    <w:multiLevelType w:val="hybridMultilevel"/>
    <w:tmpl w:val="8A0089A4"/>
    <w:lvl w:ilvl="0" w:tplc="B90C70E0">
      <w:numFmt w:val="bullet"/>
      <w:lvlText w:val="•"/>
      <w:lvlJc w:val="left"/>
      <w:pPr>
        <w:ind w:left="1133" w:hanging="284"/>
      </w:pPr>
      <w:rPr>
        <w:rFonts w:ascii="Lucida Sans" w:eastAsia="Lucida Sans" w:hAnsi="Lucida Sans" w:cs="Lucida Sans" w:hint="default"/>
        <w:b w:val="0"/>
        <w:bCs w:val="0"/>
        <w:i w:val="0"/>
        <w:iCs w:val="0"/>
        <w:spacing w:val="0"/>
        <w:w w:val="60"/>
        <w:sz w:val="18"/>
        <w:szCs w:val="18"/>
        <w:lang w:val="en-US" w:eastAsia="en-US" w:bidi="ar-SA"/>
      </w:rPr>
    </w:lvl>
    <w:lvl w:ilvl="1" w:tplc="C416FD0A">
      <w:numFmt w:val="bullet"/>
      <w:lvlText w:val="o"/>
      <w:lvlJc w:val="left"/>
      <w:pPr>
        <w:ind w:left="1345" w:hanging="257"/>
      </w:pPr>
      <w:rPr>
        <w:rFonts w:ascii="Verdana" w:eastAsia="Verdana" w:hAnsi="Verdana" w:cs="Verdana" w:hint="default"/>
        <w:b w:val="0"/>
        <w:bCs w:val="0"/>
        <w:i w:val="0"/>
        <w:iCs w:val="0"/>
        <w:spacing w:val="0"/>
        <w:w w:val="99"/>
        <w:sz w:val="12"/>
        <w:szCs w:val="12"/>
        <w:lang w:val="en-US" w:eastAsia="en-US" w:bidi="ar-SA"/>
      </w:rPr>
    </w:lvl>
    <w:lvl w:ilvl="2" w:tplc="0AA82F10">
      <w:numFmt w:val="bullet"/>
      <w:lvlText w:val="•"/>
      <w:lvlJc w:val="left"/>
      <w:pPr>
        <w:ind w:left="1825" w:hanging="257"/>
      </w:pPr>
      <w:rPr>
        <w:rFonts w:hint="default"/>
        <w:lang w:val="en-US" w:eastAsia="en-US" w:bidi="ar-SA"/>
      </w:rPr>
    </w:lvl>
    <w:lvl w:ilvl="3" w:tplc="FD3444E2">
      <w:numFmt w:val="bullet"/>
      <w:lvlText w:val="•"/>
      <w:lvlJc w:val="left"/>
      <w:pPr>
        <w:ind w:left="2311" w:hanging="257"/>
      </w:pPr>
      <w:rPr>
        <w:rFonts w:hint="default"/>
        <w:lang w:val="en-US" w:eastAsia="en-US" w:bidi="ar-SA"/>
      </w:rPr>
    </w:lvl>
    <w:lvl w:ilvl="4" w:tplc="014AD7F6">
      <w:numFmt w:val="bullet"/>
      <w:lvlText w:val="•"/>
      <w:lvlJc w:val="left"/>
      <w:pPr>
        <w:ind w:left="2796" w:hanging="257"/>
      </w:pPr>
      <w:rPr>
        <w:rFonts w:hint="default"/>
        <w:lang w:val="en-US" w:eastAsia="en-US" w:bidi="ar-SA"/>
      </w:rPr>
    </w:lvl>
    <w:lvl w:ilvl="5" w:tplc="B33EC296">
      <w:numFmt w:val="bullet"/>
      <w:lvlText w:val="•"/>
      <w:lvlJc w:val="left"/>
      <w:pPr>
        <w:ind w:left="3282" w:hanging="257"/>
      </w:pPr>
      <w:rPr>
        <w:rFonts w:hint="default"/>
        <w:lang w:val="en-US" w:eastAsia="en-US" w:bidi="ar-SA"/>
      </w:rPr>
    </w:lvl>
    <w:lvl w:ilvl="6" w:tplc="674EAA74">
      <w:numFmt w:val="bullet"/>
      <w:lvlText w:val="•"/>
      <w:lvlJc w:val="left"/>
      <w:pPr>
        <w:ind w:left="3767" w:hanging="257"/>
      </w:pPr>
      <w:rPr>
        <w:rFonts w:hint="default"/>
        <w:lang w:val="en-US" w:eastAsia="en-US" w:bidi="ar-SA"/>
      </w:rPr>
    </w:lvl>
    <w:lvl w:ilvl="7" w:tplc="CF48B8B0">
      <w:numFmt w:val="bullet"/>
      <w:lvlText w:val="•"/>
      <w:lvlJc w:val="left"/>
      <w:pPr>
        <w:ind w:left="4253" w:hanging="257"/>
      </w:pPr>
      <w:rPr>
        <w:rFonts w:hint="default"/>
        <w:lang w:val="en-US" w:eastAsia="en-US" w:bidi="ar-SA"/>
      </w:rPr>
    </w:lvl>
    <w:lvl w:ilvl="8" w:tplc="AF46AFBA">
      <w:numFmt w:val="bullet"/>
      <w:lvlText w:val="•"/>
      <w:lvlJc w:val="left"/>
      <w:pPr>
        <w:ind w:left="4738" w:hanging="257"/>
      </w:pPr>
      <w:rPr>
        <w:rFonts w:hint="default"/>
        <w:lang w:val="en-US" w:eastAsia="en-US" w:bidi="ar-SA"/>
      </w:rPr>
    </w:lvl>
  </w:abstractNum>
  <w:abstractNum w:abstractNumId="76" w15:restartNumberingAfterBreak="0">
    <w:nsid w:val="7C3E1DD6"/>
    <w:multiLevelType w:val="hybridMultilevel"/>
    <w:tmpl w:val="9C2E01A8"/>
    <w:lvl w:ilvl="0" w:tplc="EE06DFAA">
      <w:start w:val="1"/>
      <w:numFmt w:val="lowerLetter"/>
      <w:lvlText w:val="(%1)"/>
      <w:lvlJc w:val="left"/>
      <w:pPr>
        <w:ind w:left="1277" w:hanging="262"/>
      </w:pPr>
      <w:rPr>
        <w:rFonts w:ascii="Arial" w:eastAsia="Arial" w:hAnsi="Arial" w:cs="Arial" w:hint="default"/>
        <w:b w:val="0"/>
        <w:bCs w:val="0"/>
        <w:i/>
        <w:iCs/>
        <w:spacing w:val="-1"/>
        <w:w w:val="99"/>
        <w:sz w:val="15"/>
        <w:szCs w:val="15"/>
        <w:lang w:val="en-US" w:eastAsia="en-US" w:bidi="ar-SA"/>
      </w:rPr>
    </w:lvl>
    <w:lvl w:ilvl="1" w:tplc="09369AE8">
      <w:numFmt w:val="bullet"/>
      <w:lvlText w:val="•"/>
      <w:lvlJc w:val="left"/>
      <w:pPr>
        <w:ind w:left="2342" w:hanging="262"/>
      </w:pPr>
      <w:rPr>
        <w:rFonts w:hint="default"/>
        <w:lang w:val="en-US" w:eastAsia="en-US" w:bidi="ar-SA"/>
      </w:rPr>
    </w:lvl>
    <w:lvl w:ilvl="2" w:tplc="4C7C829A">
      <w:numFmt w:val="bullet"/>
      <w:lvlText w:val="•"/>
      <w:lvlJc w:val="left"/>
      <w:pPr>
        <w:ind w:left="3405" w:hanging="262"/>
      </w:pPr>
      <w:rPr>
        <w:rFonts w:hint="default"/>
        <w:lang w:val="en-US" w:eastAsia="en-US" w:bidi="ar-SA"/>
      </w:rPr>
    </w:lvl>
    <w:lvl w:ilvl="3" w:tplc="C93A5844">
      <w:numFmt w:val="bullet"/>
      <w:lvlText w:val="•"/>
      <w:lvlJc w:val="left"/>
      <w:pPr>
        <w:ind w:left="4467" w:hanging="262"/>
      </w:pPr>
      <w:rPr>
        <w:rFonts w:hint="default"/>
        <w:lang w:val="en-US" w:eastAsia="en-US" w:bidi="ar-SA"/>
      </w:rPr>
    </w:lvl>
    <w:lvl w:ilvl="4" w:tplc="8E30448E">
      <w:numFmt w:val="bullet"/>
      <w:lvlText w:val="•"/>
      <w:lvlJc w:val="left"/>
      <w:pPr>
        <w:ind w:left="5530" w:hanging="262"/>
      </w:pPr>
      <w:rPr>
        <w:rFonts w:hint="default"/>
        <w:lang w:val="en-US" w:eastAsia="en-US" w:bidi="ar-SA"/>
      </w:rPr>
    </w:lvl>
    <w:lvl w:ilvl="5" w:tplc="699626C0">
      <w:numFmt w:val="bullet"/>
      <w:lvlText w:val="•"/>
      <w:lvlJc w:val="left"/>
      <w:pPr>
        <w:ind w:left="6592" w:hanging="262"/>
      </w:pPr>
      <w:rPr>
        <w:rFonts w:hint="default"/>
        <w:lang w:val="en-US" w:eastAsia="en-US" w:bidi="ar-SA"/>
      </w:rPr>
    </w:lvl>
    <w:lvl w:ilvl="6" w:tplc="101AF686">
      <w:numFmt w:val="bullet"/>
      <w:lvlText w:val="•"/>
      <w:lvlJc w:val="left"/>
      <w:pPr>
        <w:ind w:left="7655" w:hanging="262"/>
      </w:pPr>
      <w:rPr>
        <w:rFonts w:hint="default"/>
        <w:lang w:val="en-US" w:eastAsia="en-US" w:bidi="ar-SA"/>
      </w:rPr>
    </w:lvl>
    <w:lvl w:ilvl="7" w:tplc="22D6BC36">
      <w:numFmt w:val="bullet"/>
      <w:lvlText w:val="•"/>
      <w:lvlJc w:val="left"/>
      <w:pPr>
        <w:ind w:left="8717" w:hanging="262"/>
      </w:pPr>
      <w:rPr>
        <w:rFonts w:hint="default"/>
        <w:lang w:val="en-US" w:eastAsia="en-US" w:bidi="ar-SA"/>
      </w:rPr>
    </w:lvl>
    <w:lvl w:ilvl="8" w:tplc="E052693C">
      <w:numFmt w:val="bullet"/>
      <w:lvlText w:val="•"/>
      <w:lvlJc w:val="left"/>
      <w:pPr>
        <w:ind w:left="9780" w:hanging="262"/>
      </w:pPr>
      <w:rPr>
        <w:rFonts w:hint="default"/>
        <w:lang w:val="en-US" w:eastAsia="en-US" w:bidi="ar-SA"/>
      </w:rPr>
    </w:lvl>
  </w:abstractNum>
  <w:abstractNum w:abstractNumId="77" w15:restartNumberingAfterBreak="0">
    <w:nsid w:val="7D050833"/>
    <w:multiLevelType w:val="hybridMultilevel"/>
    <w:tmpl w:val="7B284FFE"/>
    <w:lvl w:ilvl="0" w:tplc="3C16826A">
      <w:numFmt w:val="bullet"/>
      <w:lvlText w:val=""/>
      <w:lvlJc w:val="left"/>
      <w:pPr>
        <w:ind w:left="506" w:hanging="507"/>
      </w:pPr>
      <w:rPr>
        <w:rFonts w:ascii="Symbol" w:eastAsia="Symbol" w:hAnsi="Symbol" w:cs="Symbol" w:hint="default"/>
        <w:b w:val="0"/>
        <w:bCs w:val="0"/>
        <w:i w:val="0"/>
        <w:iCs w:val="0"/>
        <w:spacing w:val="0"/>
        <w:w w:val="99"/>
        <w:sz w:val="19"/>
        <w:szCs w:val="19"/>
        <w:lang w:val="en-US" w:eastAsia="en-US" w:bidi="ar-SA"/>
      </w:rPr>
    </w:lvl>
    <w:lvl w:ilvl="1" w:tplc="BEEA9E7C">
      <w:numFmt w:val="bullet"/>
      <w:lvlText w:val="•"/>
      <w:lvlJc w:val="left"/>
      <w:pPr>
        <w:ind w:left="1143" w:hanging="507"/>
      </w:pPr>
      <w:rPr>
        <w:rFonts w:hint="default"/>
        <w:lang w:val="en-US" w:eastAsia="en-US" w:bidi="ar-SA"/>
      </w:rPr>
    </w:lvl>
    <w:lvl w:ilvl="2" w:tplc="9594D274">
      <w:numFmt w:val="bullet"/>
      <w:lvlText w:val="•"/>
      <w:lvlJc w:val="left"/>
      <w:pPr>
        <w:ind w:left="1786" w:hanging="507"/>
      </w:pPr>
      <w:rPr>
        <w:rFonts w:hint="default"/>
        <w:lang w:val="en-US" w:eastAsia="en-US" w:bidi="ar-SA"/>
      </w:rPr>
    </w:lvl>
    <w:lvl w:ilvl="3" w:tplc="2AF2E1D2">
      <w:numFmt w:val="bullet"/>
      <w:lvlText w:val="•"/>
      <w:lvlJc w:val="left"/>
      <w:pPr>
        <w:ind w:left="2430" w:hanging="507"/>
      </w:pPr>
      <w:rPr>
        <w:rFonts w:hint="default"/>
        <w:lang w:val="en-US" w:eastAsia="en-US" w:bidi="ar-SA"/>
      </w:rPr>
    </w:lvl>
    <w:lvl w:ilvl="4" w:tplc="C39AA08E">
      <w:numFmt w:val="bullet"/>
      <w:lvlText w:val="•"/>
      <w:lvlJc w:val="left"/>
      <w:pPr>
        <w:ind w:left="3073" w:hanging="507"/>
      </w:pPr>
      <w:rPr>
        <w:rFonts w:hint="default"/>
        <w:lang w:val="en-US" w:eastAsia="en-US" w:bidi="ar-SA"/>
      </w:rPr>
    </w:lvl>
    <w:lvl w:ilvl="5" w:tplc="D9A63B86">
      <w:numFmt w:val="bullet"/>
      <w:lvlText w:val="•"/>
      <w:lvlJc w:val="left"/>
      <w:pPr>
        <w:ind w:left="3717" w:hanging="507"/>
      </w:pPr>
      <w:rPr>
        <w:rFonts w:hint="default"/>
        <w:lang w:val="en-US" w:eastAsia="en-US" w:bidi="ar-SA"/>
      </w:rPr>
    </w:lvl>
    <w:lvl w:ilvl="6" w:tplc="13A64ADA">
      <w:numFmt w:val="bullet"/>
      <w:lvlText w:val="•"/>
      <w:lvlJc w:val="left"/>
      <w:pPr>
        <w:ind w:left="4360" w:hanging="507"/>
      </w:pPr>
      <w:rPr>
        <w:rFonts w:hint="default"/>
        <w:lang w:val="en-US" w:eastAsia="en-US" w:bidi="ar-SA"/>
      </w:rPr>
    </w:lvl>
    <w:lvl w:ilvl="7" w:tplc="FC90AF40">
      <w:numFmt w:val="bullet"/>
      <w:lvlText w:val="•"/>
      <w:lvlJc w:val="left"/>
      <w:pPr>
        <w:ind w:left="5004" w:hanging="507"/>
      </w:pPr>
      <w:rPr>
        <w:rFonts w:hint="default"/>
        <w:lang w:val="en-US" w:eastAsia="en-US" w:bidi="ar-SA"/>
      </w:rPr>
    </w:lvl>
    <w:lvl w:ilvl="8" w:tplc="9F285A00">
      <w:numFmt w:val="bullet"/>
      <w:lvlText w:val="•"/>
      <w:lvlJc w:val="left"/>
      <w:pPr>
        <w:ind w:left="5647" w:hanging="507"/>
      </w:pPr>
      <w:rPr>
        <w:rFonts w:hint="default"/>
        <w:lang w:val="en-US" w:eastAsia="en-US" w:bidi="ar-SA"/>
      </w:rPr>
    </w:lvl>
  </w:abstractNum>
  <w:abstractNum w:abstractNumId="78" w15:restartNumberingAfterBreak="0">
    <w:nsid w:val="7D9D37E9"/>
    <w:multiLevelType w:val="multilevel"/>
    <w:tmpl w:val="2C7E680C"/>
    <w:lvl w:ilvl="0">
      <w:start w:val="8"/>
      <w:numFmt w:val="decimal"/>
      <w:lvlText w:val="%1"/>
      <w:lvlJc w:val="left"/>
      <w:pPr>
        <w:ind w:left="1446" w:hanging="341"/>
      </w:pPr>
      <w:rPr>
        <w:rFonts w:hint="default"/>
        <w:lang w:val="en-US" w:eastAsia="en-US" w:bidi="ar-SA"/>
      </w:rPr>
    </w:lvl>
    <w:lvl w:ilvl="1">
      <w:start w:val="1"/>
      <w:numFmt w:val="decimal"/>
      <w:lvlText w:val="%1.%2"/>
      <w:lvlJc w:val="left"/>
      <w:pPr>
        <w:ind w:left="1446" w:hanging="341"/>
        <w:jc w:val="right"/>
      </w:pPr>
      <w:rPr>
        <w:rFonts w:hint="default"/>
        <w:spacing w:val="0"/>
        <w:w w:val="101"/>
        <w:lang w:val="en-US" w:eastAsia="en-US" w:bidi="ar-SA"/>
      </w:rPr>
    </w:lvl>
    <w:lvl w:ilvl="2">
      <w:numFmt w:val="bullet"/>
      <w:lvlText w:val=""/>
      <w:lvlJc w:val="left"/>
      <w:pPr>
        <w:ind w:left="1793" w:hanging="360"/>
      </w:pPr>
      <w:rPr>
        <w:rFonts w:ascii="Symbol" w:eastAsia="Symbol" w:hAnsi="Symbol" w:cs="Symbol" w:hint="default"/>
        <w:spacing w:val="0"/>
        <w:w w:val="100"/>
        <w:lang w:val="en-US" w:eastAsia="en-US" w:bidi="ar-SA"/>
      </w:rPr>
    </w:lvl>
    <w:lvl w:ilvl="3">
      <w:numFmt w:val="bullet"/>
      <w:lvlText w:val="•"/>
      <w:lvlJc w:val="left"/>
      <w:pPr>
        <w:ind w:left="1800" w:hanging="360"/>
      </w:pPr>
      <w:rPr>
        <w:rFonts w:hint="default"/>
        <w:lang w:val="en-US" w:eastAsia="en-US" w:bidi="ar-SA"/>
      </w:rPr>
    </w:lvl>
    <w:lvl w:ilvl="4">
      <w:numFmt w:val="bullet"/>
      <w:lvlText w:val="•"/>
      <w:lvlJc w:val="left"/>
      <w:pPr>
        <w:ind w:left="3243" w:hanging="360"/>
      </w:pPr>
      <w:rPr>
        <w:rFonts w:hint="default"/>
        <w:lang w:val="en-US" w:eastAsia="en-US" w:bidi="ar-SA"/>
      </w:rPr>
    </w:lvl>
    <w:lvl w:ilvl="5">
      <w:numFmt w:val="bullet"/>
      <w:lvlText w:val="•"/>
      <w:lvlJc w:val="left"/>
      <w:pPr>
        <w:ind w:left="4687" w:hanging="360"/>
      </w:pPr>
      <w:rPr>
        <w:rFonts w:hint="default"/>
        <w:lang w:val="en-US" w:eastAsia="en-US" w:bidi="ar-SA"/>
      </w:rPr>
    </w:lvl>
    <w:lvl w:ilvl="6">
      <w:numFmt w:val="bullet"/>
      <w:lvlText w:val="•"/>
      <w:lvlJc w:val="left"/>
      <w:pPr>
        <w:ind w:left="6130" w:hanging="360"/>
      </w:pPr>
      <w:rPr>
        <w:rFonts w:hint="default"/>
        <w:lang w:val="en-US" w:eastAsia="en-US" w:bidi="ar-SA"/>
      </w:rPr>
    </w:lvl>
    <w:lvl w:ilvl="7">
      <w:numFmt w:val="bullet"/>
      <w:lvlText w:val="•"/>
      <w:lvlJc w:val="left"/>
      <w:pPr>
        <w:ind w:left="7574" w:hanging="360"/>
      </w:pPr>
      <w:rPr>
        <w:rFonts w:hint="default"/>
        <w:lang w:val="en-US" w:eastAsia="en-US" w:bidi="ar-SA"/>
      </w:rPr>
    </w:lvl>
    <w:lvl w:ilvl="8">
      <w:numFmt w:val="bullet"/>
      <w:lvlText w:val="•"/>
      <w:lvlJc w:val="left"/>
      <w:pPr>
        <w:ind w:left="9018" w:hanging="360"/>
      </w:pPr>
      <w:rPr>
        <w:rFonts w:hint="default"/>
        <w:lang w:val="en-US" w:eastAsia="en-US" w:bidi="ar-SA"/>
      </w:rPr>
    </w:lvl>
  </w:abstractNum>
  <w:abstractNum w:abstractNumId="79" w15:restartNumberingAfterBreak="0">
    <w:nsid w:val="7EEE3D6F"/>
    <w:multiLevelType w:val="hybridMultilevel"/>
    <w:tmpl w:val="FF46B6EA"/>
    <w:lvl w:ilvl="0" w:tplc="ACACED84">
      <w:start w:val="1"/>
      <w:numFmt w:val="lowerLetter"/>
      <w:lvlText w:val="(%1)"/>
      <w:lvlJc w:val="left"/>
      <w:pPr>
        <w:ind w:left="1311" w:hanging="286"/>
      </w:pPr>
      <w:rPr>
        <w:rFonts w:ascii="Arial" w:eastAsia="Arial" w:hAnsi="Arial" w:cs="Arial" w:hint="default"/>
        <w:b w:val="0"/>
        <w:bCs w:val="0"/>
        <w:i/>
        <w:iCs/>
        <w:spacing w:val="-2"/>
        <w:w w:val="99"/>
        <w:sz w:val="16"/>
        <w:szCs w:val="16"/>
        <w:lang w:val="en-US" w:eastAsia="en-US" w:bidi="ar-SA"/>
      </w:rPr>
    </w:lvl>
    <w:lvl w:ilvl="1" w:tplc="A6268638">
      <w:numFmt w:val="bullet"/>
      <w:lvlText w:val="•"/>
      <w:lvlJc w:val="left"/>
      <w:pPr>
        <w:ind w:left="2378" w:hanging="286"/>
      </w:pPr>
      <w:rPr>
        <w:rFonts w:hint="default"/>
        <w:lang w:val="en-US" w:eastAsia="en-US" w:bidi="ar-SA"/>
      </w:rPr>
    </w:lvl>
    <w:lvl w:ilvl="2" w:tplc="A682738C">
      <w:numFmt w:val="bullet"/>
      <w:lvlText w:val="•"/>
      <w:lvlJc w:val="left"/>
      <w:pPr>
        <w:ind w:left="3437" w:hanging="286"/>
      </w:pPr>
      <w:rPr>
        <w:rFonts w:hint="default"/>
        <w:lang w:val="en-US" w:eastAsia="en-US" w:bidi="ar-SA"/>
      </w:rPr>
    </w:lvl>
    <w:lvl w:ilvl="3" w:tplc="3C38C046">
      <w:numFmt w:val="bullet"/>
      <w:lvlText w:val="•"/>
      <w:lvlJc w:val="left"/>
      <w:pPr>
        <w:ind w:left="4495" w:hanging="286"/>
      </w:pPr>
      <w:rPr>
        <w:rFonts w:hint="default"/>
        <w:lang w:val="en-US" w:eastAsia="en-US" w:bidi="ar-SA"/>
      </w:rPr>
    </w:lvl>
    <w:lvl w:ilvl="4" w:tplc="CF4670FE">
      <w:numFmt w:val="bullet"/>
      <w:lvlText w:val="•"/>
      <w:lvlJc w:val="left"/>
      <w:pPr>
        <w:ind w:left="5554" w:hanging="286"/>
      </w:pPr>
      <w:rPr>
        <w:rFonts w:hint="default"/>
        <w:lang w:val="en-US" w:eastAsia="en-US" w:bidi="ar-SA"/>
      </w:rPr>
    </w:lvl>
    <w:lvl w:ilvl="5" w:tplc="1D825A5C">
      <w:numFmt w:val="bullet"/>
      <w:lvlText w:val="•"/>
      <w:lvlJc w:val="left"/>
      <w:pPr>
        <w:ind w:left="6612" w:hanging="286"/>
      </w:pPr>
      <w:rPr>
        <w:rFonts w:hint="default"/>
        <w:lang w:val="en-US" w:eastAsia="en-US" w:bidi="ar-SA"/>
      </w:rPr>
    </w:lvl>
    <w:lvl w:ilvl="6" w:tplc="D864166C">
      <w:numFmt w:val="bullet"/>
      <w:lvlText w:val="•"/>
      <w:lvlJc w:val="left"/>
      <w:pPr>
        <w:ind w:left="7671" w:hanging="286"/>
      </w:pPr>
      <w:rPr>
        <w:rFonts w:hint="default"/>
        <w:lang w:val="en-US" w:eastAsia="en-US" w:bidi="ar-SA"/>
      </w:rPr>
    </w:lvl>
    <w:lvl w:ilvl="7" w:tplc="751E71D2">
      <w:numFmt w:val="bullet"/>
      <w:lvlText w:val="•"/>
      <w:lvlJc w:val="left"/>
      <w:pPr>
        <w:ind w:left="8729" w:hanging="286"/>
      </w:pPr>
      <w:rPr>
        <w:rFonts w:hint="default"/>
        <w:lang w:val="en-US" w:eastAsia="en-US" w:bidi="ar-SA"/>
      </w:rPr>
    </w:lvl>
    <w:lvl w:ilvl="8" w:tplc="26EECB24">
      <w:numFmt w:val="bullet"/>
      <w:lvlText w:val="•"/>
      <w:lvlJc w:val="left"/>
      <w:pPr>
        <w:ind w:left="9788" w:hanging="286"/>
      </w:pPr>
      <w:rPr>
        <w:rFonts w:hint="default"/>
        <w:lang w:val="en-US" w:eastAsia="en-US" w:bidi="ar-SA"/>
      </w:rPr>
    </w:lvl>
  </w:abstractNum>
  <w:abstractNum w:abstractNumId="80" w15:restartNumberingAfterBreak="0">
    <w:nsid w:val="7F3745C0"/>
    <w:multiLevelType w:val="hybridMultilevel"/>
    <w:tmpl w:val="16BA5ECE"/>
    <w:lvl w:ilvl="0" w:tplc="08090001">
      <w:start w:val="1"/>
      <w:numFmt w:val="bullet"/>
      <w:lvlText w:val=""/>
      <w:lvlJc w:val="left"/>
      <w:pPr>
        <w:ind w:left="1768" w:hanging="360"/>
      </w:pPr>
      <w:rPr>
        <w:rFonts w:ascii="Symbol" w:hAnsi="Symbol" w:hint="default"/>
      </w:rPr>
    </w:lvl>
    <w:lvl w:ilvl="1" w:tplc="08090003" w:tentative="1">
      <w:start w:val="1"/>
      <w:numFmt w:val="bullet"/>
      <w:lvlText w:val="o"/>
      <w:lvlJc w:val="left"/>
      <w:pPr>
        <w:ind w:left="2488" w:hanging="360"/>
      </w:pPr>
      <w:rPr>
        <w:rFonts w:ascii="Courier New" w:hAnsi="Courier New" w:cs="Courier New" w:hint="default"/>
      </w:rPr>
    </w:lvl>
    <w:lvl w:ilvl="2" w:tplc="08090005" w:tentative="1">
      <w:start w:val="1"/>
      <w:numFmt w:val="bullet"/>
      <w:lvlText w:val=""/>
      <w:lvlJc w:val="left"/>
      <w:pPr>
        <w:ind w:left="3208" w:hanging="360"/>
      </w:pPr>
      <w:rPr>
        <w:rFonts w:ascii="Wingdings" w:hAnsi="Wingdings" w:hint="default"/>
      </w:rPr>
    </w:lvl>
    <w:lvl w:ilvl="3" w:tplc="08090001" w:tentative="1">
      <w:start w:val="1"/>
      <w:numFmt w:val="bullet"/>
      <w:lvlText w:val=""/>
      <w:lvlJc w:val="left"/>
      <w:pPr>
        <w:ind w:left="3928" w:hanging="360"/>
      </w:pPr>
      <w:rPr>
        <w:rFonts w:ascii="Symbol" w:hAnsi="Symbol" w:hint="default"/>
      </w:rPr>
    </w:lvl>
    <w:lvl w:ilvl="4" w:tplc="08090003" w:tentative="1">
      <w:start w:val="1"/>
      <w:numFmt w:val="bullet"/>
      <w:lvlText w:val="o"/>
      <w:lvlJc w:val="left"/>
      <w:pPr>
        <w:ind w:left="4648" w:hanging="360"/>
      </w:pPr>
      <w:rPr>
        <w:rFonts w:ascii="Courier New" w:hAnsi="Courier New" w:cs="Courier New" w:hint="default"/>
      </w:rPr>
    </w:lvl>
    <w:lvl w:ilvl="5" w:tplc="08090005" w:tentative="1">
      <w:start w:val="1"/>
      <w:numFmt w:val="bullet"/>
      <w:lvlText w:val=""/>
      <w:lvlJc w:val="left"/>
      <w:pPr>
        <w:ind w:left="5368" w:hanging="360"/>
      </w:pPr>
      <w:rPr>
        <w:rFonts w:ascii="Wingdings" w:hAnsi="Wingdings" w:hint="default"/>
      </w:rPr>
    </w:lvl>
    <w:lvl w:ilvl="6" w:tplc="08090001" w:tentative="1">
      <w:start w:val="1"/>
      <w:numFmt w:val="bullet"/>
      <w:lvlText w:val=""/>
      <w:lvlJc w:val="left"/>
      <w:pPr>
        <w:ind w:left="6088" w:hanging="360"/>
      </w:pPr>
      <w:rPr>
        <w:rFonts w:ascii="Symbol" w:hAnsi="Symbol" w:hint="default"/>
      </w:rPr>
    </w:lvl>
    <w:lvl w:ilvl="7" w:tplc="08090003" w:tentative="1">
      <w:start w:val="1"/>
      <w:numFmt w:val="bullet"/>
      <w:lvlText w:val="o"/>
      <w:lvlJc w:val="left"/>
      <w:pPr>
        <w:ind w:left="6808" w:hanging="360"/>
      </w:pPr>
      <w:rPr>
        <w:rFonts w:ascii="Courier New" w:hAnsi="Courier New" w:cs="Courier New" w:hint="default"/>
      </w:rPr>
    </w:lvl>
    <w:lvl w:ilvl="8" w:tplc="08090005" w:tentative="1">
      <w:start w:val="1"/>
      <w:numFmt w:val="bullet"/>
      <w:lvlText w:val=""/>
      <w:lvlJc w:val="left"/>
      <w:pPr>
        <w:ind w:left="7528" w:hanging="360"/>
      </w:pPr>
      <w:rPr>
        <w:rFonts w:ascii="Wingdings" w:hAnsi="Wingdings" w:hint="default"/>
      </w:rPr>
    </w:lvl>
  </w:abstractNum>
  <w:num w:numId="1" w16cid:durableId="1832482093">
    <w:abstractNumId w:val="22"/>
  </w:num>
  <w:num w:numId="2" w16cid:durableId="853692313">
    <w:abstractNumId w:val="10"/>
  </w:num>
  <w:num w:numId="3" w16cid:durableId="692070276">
    <w:abstractNumId w:val="13"/>
  </w:num>
  <w:num w:numId="4" w16cid:durableId="1469011158">
    <w:abstractNumId w:val="73"/>
  </w:num>
  <w:num w:numId="5" w16cid:durableId="958343081">
    <w:abstractNumId w:val="79"/>
  </w:num>
  <w:num w:numId="6" w16cid:durableId="430245723">
    <w:abstractNumId w:val="74"/>
  </w:num>
  <w:num w:numId="7" w16cid:durableId="242494426">
    <w:abstractNumId w:val="52"/>
  </w:num>
  <w:num w:numId="8" w16cid:durableId="706832834">
    <w:abstractNumId w:val="33"/>
  </w:num>
  <w:num w:numId="9" w16cid:durableId="878930629">
    <w:abstractNumId w:val="64"/>
  </w:num>
  <w:num w:numId="10" w16cid:durableId="1641836704">
    <w:abstractNumId w:val="5"/>
  </w:num>
  <w:num w:numId="11" w16cid:durableId="39407032">
    <w:abstractNumId w:val="39"/>
  </w:num>
  <w:num w:numId="12" w16cid:durableId="689260656">
    <w:abstractNumId w:val="26"/>
  </w:num>
  <w:num w:numId="13" w16cid:durableId="1894850594">
    <w:abstractNumId w:val="21"/>
  </w:num>
  <w:num w:numId="14" w16cid:durableId="2004965804">
    <w:abstractNumId w:val="34"/>
  </w:num>
  <w:num w:numId="15" w16cid:durableId="364251516">
    <w:abstractNumId w:val="28"/>
  </w:num>
  <w:num w:numId="16" w16cid:durableId="1120883351">
    <w:abstractNumId w:val="9"/>
  </w:num>
  <w:num w:numId="17" w16cid:durableId="1840271611">
    <w:abstractNumId w:val="36"/>
  </w:num>
  <w:num w:numId="18" w16cid:durableId="899946162">
    <w:abstractNumId w:val="35"/>
  </w:num>
  <w:num w:numId="19" w16cid:durableId="1781147868">
    <w:abstractNumId w:val="11"/>
  </w:num>
  <w:num w:numId="20" w16cid:durableId="1725254349">
    <w:abstractNumId w:val="44"/>
  </w:num>
  <w:num w:numId="21" w16cid:durableId="2011519295">
    <w:abstractNumId w:val="56"/>
  </w:num>
  <w:num w:numId="22" w16cid:durableId="1487284637">
    <w:abstractNumId w:val="8"/>
  </w:num>
  <w:num w:numId="23" w16cid:durableId="2073697064">
    <w:abstractNumId w:val="3"/>
  </w:num>
  <w:num w:numId="24" w16cid:durableId="981077785">
    <w:abstractNumId w:val="23"/>
  </w:num>
  <w:num w:numId="25" w16cid:durableId="1540702182">
    <w:abstractNumId w:val="71"/>
  </w:num>
  <w:num w:numId="26" w16cid:durableId="1339455946">
    <w:abstractNumId w:val="4"/>
  </w:num>
  <w:num w:numId="27" w16cid:durableId="478352098">
    <w:abstractNumId w:val="53"/>
  </w:num>
  <w:num w:numId="28" w16cid:durableId="1525243650">
    <w:abstractNumId w:val="78"/>
  </w:num>
  <w:num w:numId="29" w16cid:durableId="1791587501">
    <w:abstractNumId w:val="0"/>
  </w:num>
  <w:num w:numId="30" w16cid:durableId="55052760">
    <w:abstractNumId w:val="76"/>
  </w:num>
  <w:num w:numId="31" w16cid:durableId="506796219">
    <w:abstractNumId w:val="60"/>
  </w:num>
  <w:num w:numId="32" w16cid:durableId="671448648">
    <w:abstractNumId w:val="47"/>
  </w:num>
  <w:num w:numId="33" w16cid:durableId="788477849">
    <w:abstractNumId w:val="16"/>
  </w:num>
  <w:num w:numId="34" w16cid:durableId="915045117">
    <w:abstractNumId w:val="70"/>
  </w:num>
  <w:num w:numId="35" w16cid:durableId="409498261">
    <w:abstractNumId w:val="43"/>
  </w:num>
  <w:num w:numId="36" w16cid:durableId="510294601">
    <w:abstractNumId w:val="37"/>
  </w:num>
  <w:num w:numId="37" w16cid:durableId="9765667">
    <w:abstractNumId w:val="45"/>
  </w:num>
  <w:num w:numId="38" w16cid:durableId="1144390699">
    <w:abstractNumId w:val="14"/>
  </w:num>
  <w:num w:numId="39" w16cid:durableId="1652521749">
    <w:abstractNumId w:val="72"/>
  </w:num>
  <w:num w:numId="40" w16cid:durableId="1531603713">
    <w:abstractNumId w:val="49"/>
  </w:num>
  <w:num w:numId="41" w16cid:durableId="1701667039">
    <w:abstractNumId w:val="50"/>
  </w:num>
  <w:num w:numId="42" w16cid:durableId="1584534313">
    <w:abstractNumId w:val="65"/>
  </w:num>
  <w:num w:numId="43" w16cid:durableId="27534153">
    <w:abstractNumId w:val="29"/>
  </w:num>
  <w:num w:numId="44" w16cid:durableId="790320784">
    <w:abstractNumId w:val="17"/>
  </w:num>
  <w:num w:numId="45" w16cid:durableId="426115508">
    <w:abstractNumId w:val="42"/>
  </w:num>
  <w:num w:numId="46" w16cid:durableId="1694189406">
    <w:abstractNumId w:val="38"/>
  </w:num>
  <w:num w:numId="47" w16cid:durableId="467624058">
    <w:abstractNumId w:val="40"/>
  </w:num>
  <w:num w:numId="48" w16cid:durableId="1113327372">
    <w:abstractNumId w:val="24"/>
  </w:num>
  <w:num w:numId="49" w16cid:durableId="2070379897">
    <w:abstractNumId w:val="48"/>
  </w:num>
  <w:num w:numId="50" w16cid:durableId="532888459">
    <w:abstractNumId w:val="2"/>
  </w:num>
  <w:num w:numId="51" w16cid:durableId="197279152">
    <w:abstractNumId w:val="20"/>
  </w:num>
  <w:num w:numId="52" w16cid:durableId="1758020256">
    <w:abstractNumId w:val="77"/>
  </w:num>
  <w:num w:numId="53" w16cid:durableId="1202939115">
    <w:abstractNumId w:val="58"/>
  </w:num>
  <w:num w:numId="54" w16cid:durableId="1519660342">
    <w:abstractNumId w:val="41"/>
  </w:num>
  <w:num w:numId="55" w16cid:durableId="1197768281">
    <w:abstractNumId w:val="61"/>
  </w:num>
  <w:num w:numId="56" w16cid:durableId="498618503">
    <w:abstractNumId w:val="1"/>
  </w:num>
  <w:num w:numId="57" w16cid:durableId="1533885335">
    <w:abstractNumId w:val="69"/>
  </w:num>
  <w:num w:numId="58" w16cid:durableId="841238141">
    <w:abstractNumId w:val="68"/>
  </w:num>
  <w:num w:numId="59" w16cid:durableId="339888726">
    <w:abstractNumId w:val="59"/>
  </w:num>
  <w:num w:numId="60" w16cid:durableId="72051947">
    <w:abstractNumId w:val="54"/>
  </w:num>
  <w:num w:numId="61" w16cid:durableId="1832791768">
    <w:abstractNumId w:val="51"/>
  </w:num>
  <w:num w:numId="62" w16cid:durableId="186798120">
    <w:abstractNumId w:val="67"/>
  </w:num>
  <w:num w:numId="63" w16cid:durableId="1415055940">
    <w:abstractNumId w:val="7"/>
  </w:num>
  <w:num w:numId="64" w16cid:durableId="156045132">
    <w:abstractNumId w:val="63"/>
  </w:num>
  <w:num w:numId="65" w16cid:durableId="1920671736">
    <w:abstractNumId w:val="32"/>
  </w:num>
  <w:num w:numId="66" w16cid:durableId="864902322">
    <w:abstractNumId w:val="46"/>
  </w:num>
  <w:num w:numId="67" w16cid:durableId="844250422">
    <w:abstractNumId w:val="19"/>
  </w:num>
  <w:num w:numId="68" w16cid:durableId="947195145">
    <w:abstractNumId w:val="66"/>
  </w:num>
  <w:num w:numId="69" w16cid:durableId="1454441285">
    <w:abstractNumId w:val="75"/>
  </w:num>
  <w:num w:numId="70" w16cid:durableId="1170750398">
    <w:abstractNumId w:val="55"/>
  </w:num>
  <w:num w:numId="71" w16cid:durableId="561716794">
    <w:abstractNumId w:val="25"/>
  </w:num>
  <w:num w:numId="72" w16cid:durableId="1999310370">
    <w:abstractNumId w:val="27"/>
  </w:num>
  <w:num w:numId="73" w16cid:durableId="1410034376">
    <w:abstractNumId w:val="57"/>
  </w:num>
  <w:num w:numId="74" w16cid:durableId="997851171">
    <w:abstractNumId w:val="18"/>
  </w:num>
  <w:num w:numId="75" w16cid:durableId="1576012974">
    <w:abstractNumId w:val="6"/>
  </w:num>
  <w:num w:numId="76" w16cid:durableId="1195994625">
    <w:abstractNumId w:val="62"/>
  </w:num>
  <w:num w:numId="77" w16cid:durableId="1345133992">
    <w:abstractNumId w:val="80"/>
  </w:num>
  <w:num w:numId="78" w16cid:durableId="132332322">
    <w:abstractNumId w:val="30"/>
  </w:num>
  <w:num w:numId="79" w16cid:durableId="599726612">
    <w:abstractNumId w:val="15"/>
  </w:num>
  <w:num w:numId="80" w16cid:durableId="736174967">
    <w:abstractNumId w:val="31"/>
  </w:num>
  <w:num w:numId="81" w16cid:durableId="1324507769">
    <w:abstractNumId w:val="1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F36"/>
    <w:rsid w:val="00012AFC"/>
    <w:rsid w:val="000231D6"/>
    <w:rsid w:val="000270E0"/>
    <w:rsid w:val="00044C1A"/>
    <w:rsid w:val="0004531F"/>
    <w:rsid w:val="000546D6"/>
    <w:rsid w:val="00065899"/>
    <w:rsid w:val="00084F36"/>
    <w:rsid w:val="00086D4B"/>
    <w:rsid w:val="000B7959"/>
    <w:rsid w:val="001123D6"/>
    <w:rsid w:val="001369DB"/>
    <w:rsid w:val="001556F7"/>
    <w:rsid w:val="00181224"/>
    <w:rsid w:val="0019412D"/>
    <w:rsid w:val="00195BB9"/>
    <w:rsid w:val="001975DF"/>
    <w:rsid w:val="0020040B"/>
    <w:rsid w:val="00247513"/>
    <w:rsid w:val="0026165E"/>
    <w:rsid w:val="00261ECB"/>
    <w:rsid w:val="00273892"/>
    <w:rsid w:val="002C7FDD"/>
    <w:rsid w:val="002F09D7"/>
    <w:rsid w:val="00327EC1"/>
    <w:rsid w:val="00394A93"/>
    <w:rsid w:val="003A7244"/>
    <w:rsid w:val="003B3D54"/>
    <w:rsid w:val="004266CA"/>
    <w:rsid w:val="00436F78"/>
    <w:rsid w:val="00462776"/>
    <w:rsid w:val="00497022"/>
    <w:rsid w:val="004D7D83"/>
    <w:rsid w:val="00546ED1"/>
    <w:rsid w:val="00554857"/>
    <w:rsid w:val="00562DC8"/>
    <w:rsid w:val="00577085"/>
    <w:rsid w:val="00586BA3"/>
    <w:rsid w:val="005A46BB"/>
    <w:rsid w:val="005B1F28"/>
    <w:rsid w:val="005D2FBE"/>
    <w:rsid w:val="00600BE8"/>
    <w:rsid w:val="00601677"/>
    <w:rsid w:val="00620CAB"/>
    <w:rsid w:val="00697E0C"/>
    <w:rsid w:val="006D75B2"/>
    <w:rsid w:val="006E2D36"/>
    <w:rsid w:val="00704578"/>
    <w:rsid w:val="00760550"/>
    <w:rsid w:val="00772B16"/>
    <w:rsid w:val="007754BD"/>
    <w:rsid w:val="00777C15"/>
    <w:rsid w:val="007A74E8"/>
    <w:rsid w:val="0080190C"/>
    <w:rsid w:val="0080635B"/>
    <w:rsid w:val="008765A0"/>
    <w:rsid w:val="00877135"/>
    <w:rsid w:val="0088248E"/>
    <w:rsid w:val="00885799"/>
    <w:rsid w:val="008E535F"/>
    <w:rsid w:val="009E31F2"/>
    <w:rsid w:val="00A0358F"/>
    <w:rsid w:val="00A53F37"/>
    <w:rsid w:val="00A544BE"/>
    <w:rsid w:val="00A600DF"/>
    <w:rsid w:val="00AA48D7"/>
    <w:rsid w:val="00AB3629"/>
    <w:rsid w:val="00B82021"/>
    <w:rsid w:val="00B83018"/>
    <w:rsid w:val="00BA43E6"/>
    <w:rsid w:val="00C1767B"/>
    <w:rsid w:val="00C315ED"/>
    <w:rsid w:val="00C3537A"/>
    <w:rsid w:val="00C96154"/>
    <w:rsid w:val="00CC09EC"/>
    <w:rsid w:val="00CF2B5C"/>
    <w:rsid w:val="00D0600F"/>
    <w:rsid w:val="00D17FC3"/>
    <w:rsid w:val="00D20309"/>
    <w:rsid w:val="00DB0F6B"/>
    <w:rsid w:val="00DF2803"/>
    <w:rsid w:val="00DF3DDD"/>
    <w:rsid w:val="00E13356"/>
    <w:rsid w:val="00E329DC"/>
    <w:rsid w:val="00E755D3"/>
    <w:rsid w:val="00E87D6E"/>
    <w:rsid w:val="00EA4D0D"/>
    <w:rsid w:val="00EB2BD8"/>
    <w:rsid w:val="00ED1F92"/>
    <w:rsid w:val="00F007BF"/>
    <w:rsid w:val="00F03BD1"/>
    <w:rsid w:val="00F52505"/>
    <w:rsid w:val="00F74D52"/>
    <w:rsid w:val="00FA0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634EB"/>
  <w15:docId w15:val="{89F1F045-DDD9-4479-A132-F64113B6F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578"/>
    <w:rPr>
      <w:rFonts w:ascii="Lucida Sans" w:eastAsia="Lucida Sans" w:hAnsi="Lucida Sans" w:cs="Lucida Sans"/>
    </w:rPr>
  </w:style>
  <w:style w:type="paragraph" w:styleId="Heading1">
    <w:name w:val="heading 1"/>
    <w:basedOn w:val="Heading4"/>
    <w:uiPriority w:val="9"/>
    <w:qFormat/>
    <w:rsid w:val="00DB0F6B"/>
    <w:pPr>
      <w:spacing w:before="150" w:line="206" w:lineRule="auto"/>
      <w:ind w:right="1155"/>
      <w:outlineLvl w:val="0"/>
    </w:pPr>
    <w:rPr>
      <w:sz w:val="56"/>
      <w:szCs w:val="40"/>
    </w:rPr>
  </w:style>
  <w:style w:type="paragraph" w:styleId="Heading2">
    <w:name w:val="heading 2"/>
    <w:basedOn w:val="Normal"/>
    <w:uiPriority w:val="9"/>
    <w:unhideWhenUsed/>
    <w:qFormat/>
    <w:rsid w:val="00C96154"/>
    <w:pPr>
      <w:ind w:left="850"/>
      <w:outlineLvl w:val="1"/>
    </w:pPr>
    <w:rPr>
      <w:rFonts w:ascii="Arial" w:eastAsia="Tahoma" w:hAnsi="Arial" w:cs="Arial"/>
      <w:b/>
      <w:bCs/>
      <w:w w:val="95"/>
      <w:sz w:val="36"/>
      <w:szCs w:val="36"/>
    </w:rPr>
  </w:style>
  <w:style w:type="paragraph" w:styleId="Heading3">
    <w:name w:val="heading 3"/>
    <w:basedOn w:val="Normal"/>
    <w:uiPriority w:val="9"/>
    <w:unhideWhenUsed/>
    <w:qFormat/>
    <w:rsid w:val="00EB2BD8"/>
    <w:pPr>
      <w:spacing w:before="168" w:line="254" w:lineRule="auto"/>
      <w:ind w:left="850" w:right="502"/>
      <w:outlineLvl w:val="2"/>
    </w:pPr>
    <w:rPr>
      <w:rFonts w:ascii="Arial" w:hAnsi="Arial" w:cs="Arial"/>
      <w:b/>
      <w:spacing w:val="-6"/>
      <w:sz w:val="24"/>
    </w:rPr>
  </w:style>
  <w:style w:type="paragraph" w:styleId="Heading4">
    <w:name w:val="heading 4"/>
    <w:basedOn w:val="Normal"/>
    <w:uiPriority w:val="9"/>
    <w:unhideWhenUsed/>
    <w:qFormat/>
    <w:rsid w:val="00EB2BD8"/>
    <w:pPr>
      <w:spacing w:before="77"/>
      <w:ind w:left="850"/>
      <w:outlineLvl w:val="3"/>
    </w:pPr>
    <w:rPr>
      <w:rFonts w:ascii="Arial" w:eastAsia="Tahoma" w:hAnsi="Arial" w:cs="Arial"/>
      <w:b/>
      <w:bCs/>
      <w:sz w:val="20"/>
      <w:szCs w:val="20"/>
    </w:rPr>
  </w:style>
  <w:style w:type="paragraph" w:styleId="Heading5">
    <w:name w:val="heading 5"/>
    <w:basedOn w:val="Normal"/>
    <w:uiPriority w:val="9"/>
    <w:unhideWhenUsed/>
    <w:qFormat/>
    <w:pPr>
      <w:spacing w:before="79"/>
      <w:ind w:left="850"/>
      <w:outlineLvl w:val="4"/>
    </w:pPr>
    <w:rPr>
      <w:rFonts w:ascii="Tahoma" w:eastAsia="Tahoma" w:hAnsi="Tahoma" w:cs="Tahoma"/>
      <w:b/>
      <w:bCs/>
      <w:sz w:val="48"/>
      <w:szCs w:val="48"/>
    </w:rPr>
  </w:style>
  <w:style w:type="paragraph" w:styleId="Heading6">
    <w:name w:val="heading 6"/>
    <w:basedOn w:val="Normal"/>
    <w:link w:val="Heading6Char"/>
    <w:uiPriority w:val="9"/>
    <w:unhideWhenUsed/>
    <w:qFormat/>
    <w:rsid w:val="00577085"/>
    <w:pPr>
      <w:spacing w:before="86"/>
      <w:ind w:left="850"/>
      <w:outlineLvl w:val="5"/>
    </w:pPr>
    <w:rPr>
      <w:rFonts w:ascii="Arial" w:eastAsia="Tahoma" w:hAnsi="Arial" w:cs="Tahoma"/>
      <w:bCs/>
      <w:sz w:val="20"/>
      <w:szCs w:val="32"/>
    </w:rPr>
  </w:style>
  <w:style w:type="paragraph" w:styleId="Heading7">
    <w:name w:val="heading 7"/>
    <w:basedOn w:val="Normal"/>
    <w:uiPriority w:val="1"/>
    <w:qFormat/>
    <w:pPr>
      <w:spacing w:before="92"/>
      <w:ind w:left="850"/>
      <w:outlineLvl w:val="6"/>
    </w:pPr>
    <w:rPr>
      <w:sz w:val="32"/>
      <w:szCs w:val="32"/>
    </w:rPr>
  </w:style>
  <w:style w:type="paragraph" w:styleId="Heading8">
    <w:name w:val="heading 8"/>
    <w:basedOn w:val="Normal"/>
    <w:uiPriority w:val="1"/>
    <w:qFormat/>
    <w:pPr>
      <w:spacing w:before="104"/>
      <w:ind w:left="421"/>
      <w:outlineLvl w:val="7"/>
    </w:pPr>
    <w:rPr>
      <w:sz w:val="30"/>
      <w:szCs w:val="30"/>
    </w:rPr>
  </w:style>
  <w:style w:type="paragraph" w:styleId="Heading9">
    <w:name w:val="heading 9"/>
    <w:basedOn w:val="Normal"/>
    <w:link w:val="Heading9Char"/>
    <w:uiPriority w:val="1"/>
    <w:qFormat/>
    <w:pPr>
      <w:ind w:left="850"/>
      <w:outlineLvl w:val="8"/>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99"/>
      <w:ind w:left="900"/>
    </w:pPr>
    <w:rPr>
      <w:rFonts w:ascii="Tahoma" w:eastAsia="Tahoma" w:hAnsi="Tahoma" w:cs="Tahoma"/>
      <w:b/>
      <w:bCs/>
      <w:sz w:val="20"/>
      <w:szCs w:val="20"/>
    </w:rPr>
  </w:style>
  <w:style w:type="paragraph" w:styleId="TOC2">
    <w:name w:val="toc 2"/>
    <w:basedOn w:val="Normal"/>
    <w:uiPriority w:val="39"/>
    <w:qFormat/>
    <w:pPr>
      <w:spacing w:before="28"/>
      <w:ind w:left="1467"/>
    </w:pPr>
    <w:rPr>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133"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96154"/>
    <w:pPr>
      <w:tabs>
        <w:tab w:val="center" w:pos="4513"/>
        <w:tab w:val="right" w:pos="9026"/>
      </w:tabs>
    </w:pPr>
  </w:style>
  <w:style w:type="character" w:customStyle="1" w:styleId="HeaderChar">
    <w:name w:val="Header Char"/>
    <w:basedOn w:val="DefaultParagraphFont"/>
    <w:link w:val="Header"/>
    <w:uiPriority w:val="99"/>
    <w:rsid w:val="00C96154"/>
    <w:rPr>
      <w:rFonts w:ascii="Lucida Sans" w:eastAsia="Lucida Sans" w:hAnsi="Lucida Sans" w:cs="Lucida Sans"/>
    </w:rPr>
  </w:style>
  <w:style w:type="paragraph" w:styleId="Footer">
    <w:name w:val="footer"/>
    <w:basedOn w:val="Normal"/>
    <w:link w:val="FooterChar"/>
    <w:uiPriority w:val="99"/>
    <w:unhideWhenUsed/>
    <w:rsid w:val="00C96154"/>
    <w:pPr>
      <w:tabs>
        <w:tab w:val="center" w:pos="4513"/>
        <w:tab w:val="right" w:pos="9026"/>
      </w:tabs>
    </w:pPr>
  </w:style>
  <w:style w:type="character" w:customStyle="1" w:styleId="FooterChar">
    <w:name w:val="Footer Char"/>
    <w:basedOn w:val="DefaultParagraphFont"/>
    <w:link w:val="Footer"/>
    <w:uiPriority w:val="99"/>
    <w:rsid w:val="00C96154"/>
    <w:rPr>
      <w:rFonts w:ascii="Lucida Sans" w:eastAsia="Lucida Sans" w:hAnsi="Lucida Sans" w:cs="Lucida Sans"/>
    </w:rPr>
  </w:style>
  <w:style w:type="character" w:styleId="Emphasis">
    <w:name w:val="Emphasis"/>
    <w:basedOn w:val="DefaultParagraphFont"/>
    <w:uiPriority w:val="20"/>
    <w:qFormat/>
    <w:rsid w:val="00C96154"/>
    <w:rPr>
      <w:i/>
      <w:iCs/>
    </w:rPr>
  </w:style>
  <w:style w:type="character" w:customStyle="1" w:styleId="Heading9Char">
    <w:name w:val="Heading 9 Char"/>
    <w:basedOn w:val="DefaultParagraphFont"/>
    <w:link w:val="Heading9"/>
    <w:uiPriority w:val="1"/>
    <w:rsid w:val="00012AFC"/>
    <w:rPr>
      <w:rFonts w:ascii="Lucida Sans" w:eastAsia="Lucida Sans" w:hAnsi="Lucida Sans" w:cs="Lucida Sans"/>
      <w:sz w:val="28"/>
      <w:szCs w:val="28"/>
    </w:rPr>
  </w:style>
  <w:style w:type="table" w:styleId="TableGrid">
    <w:name w:val="Table Grid"/>
    <w:basedOn w:val="TableNormal"/>
    <w:uiPriority w:val="39"/>
    <w:rsid w:val="00012AFC"/>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styleId="PageNumber">
    <w:name w:val="page number"/>
    <w:basedOn w:val="DefaultParagraphFont"/>
    <w:uiPriority w:val="99"/>
    <w:semiHidden/>
    <w:unhideWhenUsed/>
    <w:rsid w:val="00D17FC3"/>
  </w:style>
  <w:style w:type="character" w:customStyle="1" w:styleId="Heading6Char">
    <w:name w:val="Heading 6 Char"/>
    <w:basedOn w:val="DefaultParagraphFont"/>
    <w:link w:val="Heading6"/>
    <w:uiPriority w:val="9"/>
    <w:rsid w:val="00577085"/>
    <w:rPr>
      <w:rFonts w:ascii="Arial" w:eastAsia="Tahoma" w:hAnsi="Arial" w:cs="Tahoma"/>
      <w:bCs/>
      <w:sz w:val="20"/>
      <w:szCs w:val="32"/>
    </w:rPr>
  </w:style>
  <w:style w:type="paragraph" w:styleId="TOCHeading">
    <w:name w:val="TOC Heading"/>
    <w:basedOn w:val="Heading1"/>
    <w:next w:val="Normal"/>
    <w:uiPriority w:val="39"/>
    <w:unhideWhenUsed/>
    <w:qFormat/>
    <w:rsid w:val="00546ED1"/>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C3537A"/>
    <w:pPr>
      <w:tabs>
        <w:tab w:val="right" w:leader="dot" w:pos="11900"/>
      </w:tabs>
      <w:spacing w:after="100"/>
      <w:ind w:left="1418"/>
    </w:pPr>
  </w:style>
  <w:style w:type="paragraph" w:styleId="TOC4">
    <w:name w:val="toc 4"/>
    <w:basedOn w:val="Normal"/>
    <w:next w:val="Normal"/>
    <w:autoRedefine/>
    <w:uiPriority w:val="39"/>
    <w:unhideWhenUsed/>
    <w:rsid w:val="00546ED1"/>
    <w:pPr>
      <w:widowControl/>
      <w:autoSpaceDE/>
      <w:autoSpaceDN/>
      <w:spacing w:after="100" w:line="259" w:lineRule="auto"/>
      <w:ind w:left="660"/>
    </w:pPr>
    <w:rPr>
      <w:rFonts w:asciiTheme="minorHAnsi" w:eastAsiaTheme="minorEastAsia" w:hAnsiTheme="minorHAnsi" w:cstheme="minorBidi"/>
      <w:kern w:val="2"/>
      <w:lang w:val="en-AU" w:eastAsia="en-AU"/>
      <w14:ligatures w14:val="standardContextual"/>
    </w:rPr>
  </w:style>
  <w:style w:type="paragraph" w:styleId="TOC5">
    <w:name w:val="toc 5"/>
    <w:basedOn w:val="Normal"/>
    <w:next w:val="Normal"/>
    <w:autoRedefine/>
    <w:uiPriority w:val="39"/>
    <w:unhideWhenUsed/>
    <w:rsid w:val="00546ED1"/>
    <w:pPr>
      <w:widowControl/>
      <w:autoSpaceDE/>
      <w:autoSpaceDN/>
      <w:spacing w:after="100" w:line="259" w:lineRule="auto"/>
      <w:ind w:left="880"/>
    </w:pPr>
    <w:rPr>
      <w:rFonts w:asciiTheme="minorHAnsi" w:eastAsiaTheme="minorEastAsia" w:hAnsiTheme="minorHAnsi" w:cstheme="minorBidi"/>
      <w:kern w:val="2"/>
      <w:lang w:val="en-AU" w:eastAsia="en-AU"/>
      <w14:ligatures w14:val="standardContextual"/>
    </w:rPr>
  </w:style>
  <w:style w:type="paragraph" w:styleId="TOC6">
    <w:name w:val="toc 6"/>
    <w:basedOn w:val="Normal"/>
    <w:next w:val="Normal"/>
    <w:autoRedefine/>
    <w:uiPriority w:val="39"/>
    <w:unhideWhenUsed/>
    <w:rsid w:val="00546ED1"/>
    <w:pPr>
      <w:widowControl/>
      <w:autoSpaceDE/>
      <w:autoSpaceDN/>
      <w:spacing w:after="100" w:line="259" w:lineRule="auto"/>
      <w:ind w:left="1100"/>
    </w:pPr>
    <w:rPr>
      <w:rFonts w:asciiTheme="minorHAnsi" w:eastAsiaTheme="minorEastAsia" w:hAnsiTheme="minorHAnsi" w:cstheme="minorBidi"/>
      <w:kern w:val="2"/>
      <w:lang w:val="en-AU" w:eastAsia="en-AU"/>
      <w14:ligatures w14:val="standardContextual"/>
    </w:rPr>
  </w:style>
  <w:style w:type="paragraph" w:styleId="TOC7">
    <w:name w:val="toc 7"/>
    <w:basedOn w:val="Normal"/>
    <w:next w:val="Normal"/>
    <w:autoRedefine/>
    <w:uiPriority w:val="39"/>
    <w:unhideWhenUsed/>
    <w:rsid w:val="00546ED1"/>
    <w:pPr>
      <w:widowControl/>
      <w:autoSpaceDE/>
      <w:autoSpaceDN/>
      <w:spacing w:after="100" w:line="259" w:lineRule="auto"/>
      <w:ind w:left="1320"/>
    </w:pPr>
    <w:rPr>
      <w:rFonts w:asciiTheme="minorHAnsi" w:eastAsiaTheme="minorEastAsia" w:hAnsiTheme="minorHAnsi" w:cstheme="minorBidi"/>
      <w:kern w:val="2"/>
      <w:lang w:val="en-AU" w:eastAsia="en-AU"/>
      <w14:ligatures w14:val="standardContextual"/>
    </w:rPr>
  </w:style>
  <w:style w:type="paragraph" w:styleId="TOC8">
    <w:name w:val="toc 8"/>
    <w:basedOn w:val="Normal"/>
    <w:next w:val="Normal"/>
    <w:autoRedefine/>
    <w:uiPriority w:val="39"/>
    <w:unhideWhenUsed/>
    <w:rsid w:val="00546ED1"/>
    <w:pPr>
      <w:widowControl/>
      <w:autoSpaceDE/>
      <w:autoSpaceDN/>
      <w:spacing w:after="100" w:line="259" w:lineRule="auto"/>
      <w:ind w:left="1540"/>
    </w:pPr>
    <w:rPr>
      <w:rFonts w:asciiTheme="minorHAnsi" w:eastAsiaTheme="minorEastAsia" w:hAnsiTheme="minorHAnsi" w:cstheme="minorBidi"/>
      <w:kern w:val="2"/>
      <w:lang w:val="en-AU" w:eastAsia="en-AU"/>
      <w14:ligatures w14:val="standardContextual"/>
    </w:rPr>
  </w:style>
  <w:style w:type="paragraph" w:styleId="TOC9">
    <w:name w:val="toc 9"/>
    <w:basedOn w:val="Normal"/>
    <w:next w:val="Normal"/>
    <w:autoRedefine/>
    <w:uiPriority w:val="39"/>
    <w:unhideWhenUsed/>
    <w:rsid w:val="00546ED1"/>
    <w:pPr>
      <w:widowControl/>
      <w:autoSpaceDE/>
      <w:autoSpaceDN/>
      <w:spacing w:after="100" w:line="259" w:lineRule="auto"/>
      <w:ind w:left="1760"/>
    </w:pPr>
    <w:rPr>
      <w:rFonts w:asciiTheme="minorHAnsi" w:eastAsiaTheme="minorEastAsia" w:hAnsiTheme="minorHAnsi" w:cstheme="minorBidi"/>
      <w:kern w:val="2"/>
      <w:lang w:val="en-AU" w:eastAsia="en-AU"/>
      <w14:ligatures w14:val="standardContextual"/>
    </w:rPr>
  </w:style>
  <w:style w:type="character" w:styleId="Hyperlink">
    <w:name w:val="Hyperlink"/>
    <w:basedOn w:val="DefaultParagraphFont"/>
    <w:uiPriority w:val="99"/>
    <w:unhideWhenUsed/>
    <w:rsid w:val="00546ED1"/>
    <w:rPr>
      <w:color w:val="0000FF" w:themeColor="hyperlink"/>
      <w:u w:val="single"/>
    </w:rPr>
  </w:style>
  <w:style w:type="character" w:styleId="UnresolvedMention">
    <w:name w:val="Unresolved Mention"/>
    <w:basedOn w:val="DefaultParagraphFont"/>
    <w:uiPriority w:val="99"/>
    <w:semiHidden/>
    <w:unhideWhenUsed/>
    <w:rsid w:val="00546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678715">
      <w:bodyDiv w:val="1"/>
      <w:marLeft w:val="0"/>
      <w:marRight w:val="0"/>
      <w:marTop w:val="0"/>
      <w:marBottom w:val="0"/>
      <w:divBdr>
        <w:top w:val="none" w:sz="0" w:space="0" w:color="auto"/>
        <w:left w:val="none" w:sz="0" w:space="0" w:color="auto"/>
        <w:bottom w:val="none" w:sz="0" w:space="0" w:color="auto"/>
        <w:right w:val="none" w:sz="0" w:space="0" w:color="auto"/>
      </w:divBdr>
    </w:div>
    <w:div w:id="1178156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behaviourworksaustralia.org/" TargetMode="External"/><Relationship Id="rId299" Type="http://schemas.openxmlformats.org/officeDocument/2006/relationships/header" Target="header70.xml"/><Relationship Id="rId21" Type="http://schemas.openxmlformats.org/officeDocument/2006/relationships/footer" Target="footer8.xml"/><Relationship Id="rId63" Type="http://schemas.openxmlformats.org/officeDocument/2006/relationships/header" Target="header17.xml"/><Relationship Id="rId159" Type="http://schemas.openxmlformats.org/officeDocument/2006/relationships/header" Target="header29.xml"/><Relationship Id="rId324" Type="http://schemas.openxmlformats.org/officeDocument/2006/relationships/header" Target="header80.xml"/><Relationship Id="rId366" Type="http://schemas.openxmlformats.org/officeDocument/2006/relationships/footer" Target="footer176.xml"/><Relationship Id="rId170" Type="http://schemas.openxmlformats.org/officeDocument/2006/relationships/header" Target="header33.xml"/><Relationship Id="rId226" Type="http://schemas.openxmlformats.org/officeDocument/2006/relationships/image" Target="media/image8.png"/><Relationship Id="rId433" Type="http://schemas.openxmlformats.org/officeDocument/2006/relationships/footer" Target="footer225.xml"/><Relationship Id="rId268" Type="http://schemas.openxmlformats.org/officeDocument/2006/relationships/footer" Target="footer118.xml"/><Relationship Id="rId32" Type="http://schemas.openxmlformats.org/officeDocument/2006/relationships/header" Target="header8.xml"/><Relationship Id="rId74" Type="http://schemas.openxmlformats.org/officeDocument/2006/relationships/footer" Target="footer40.xml"/><Relationship Id="rId128" Type="http://schemas.openxmlformats.org/officeDocument/2006/relationships/hyperlink" Target="https://www.vba.vic.gov.au/about/research/investigating-passive-fire-protection-defects-in-residential-multi-owned-properties" TargetMode="External"/><Relationship Id="rId335" Type="http://schemas.openxmlformats.org/officeDocument/2006/relationships/header" Target="header84.xml"/><Relationship Id="rId377" Type="http://schemas.openxmlformats.org/officeDocument/2006/relationships/header" Target="header103.xml"/><Relationship Id="rId5" Type="http://schemas.openxmlformats.org/officeDocument/2006/relationships/styles" Target="styles.xml"/><Relationship Id="rId181" Type="http://schemas.openxmlformats.org/officeDocument/2006/relationships/footer" Target="footer80.xml"/><Relationship Id="rId402" Type="http://schemas.openxmlformats.org/officeDocument/2006/relationships/footer" Target="footer200.xml"/><Relationship Id="rId279" Type="http://schemas.openxmlformats.org/officeDocument/2006/relationships/header" Target="header62.xml"/><Relationship Id="rId444" Type="http://schemas.openxmlformats.org/officeDocument/2006/relationships/fontTable" Target="fontTable.xml"/><Relationship Id="rId43" Type="http://schemas.openxmlformats.org/officeDocument/2006/relationships/header" Target="header12.xml"/><Relationship Id="rId139" Type="http://schemas.openxmlformats.org/officeDocument/2006/relationships/hyperlink" Target="https://building4pointzero.org/" TargetMode="External"/><Relationship Id="rId290" Type="http://schemas.openxmlformats.org/officeDocument/2006/relationships/footer" Target="footer131.xml"/><Relationship Id="rId304" Type="http://schemas.openxmlformats.org/officeDocument/2006/relationships/header" Target="header72.xml"/><Relationship Id="rId346" Type="http://schemas.openxmlformats.org/officeDocument/2006/relationships/footer" Target="footer165.xml"/><Relationship Id="rId388" Type="http://schemas.openxmlformats.org/officeDocument/2006/relationships/footer" Target="footer188.xml"/><Relationship Id="rId85" Type="http://schemas.openxmlformats.org/officeDocument/2006/relationships/footer" Target="footer48.xml"/><Relationship Id="rId150" Type="http://schemas.openxmlformats.org/officeDocument/2006/relationships/header" Target="header28.xml"/><Relationship Id="rId192" Type="http://schemas.openxmlformats.org/officeDocument/2006/relationships/footer" Target="footer86.xml"/><Relationship Id="rId206" Type="http://schemas.openxmlformats.org/officeDocument/2006/relationships/footer" Target="footer94.xml"/><Relationship Id="rId413" Type="http://schemas.openxmlformats.org/officeDocument/2006/relationships/footer" Target="footer207.xml"/><Relationship Id="rId248" Type="http://schemas.openxmlformats.org/officeDocument/2006/relationships/footer" Target="footer108.xml"/><Relationship Id="rId269" Type="http://schemas.openxmlformats.org/officeDocument/2006/relationships/footer" Target="footer119.xml"/><Relationship Id="rId434" Type="http://schemas.openxmlformats.org/officeDocument/2006/relationships/footer" Target="footer226.xml"/><Relationship Id="rId12" Type="http://schemas.openxmlformats.org/officeDocument/2006/relationships/hyperlink" Target="https://www.vba.vic.gov.au/" TargetMode="External"/><Relationship Id="rId33" Type="http://schemas.openxmlformats.org/officeDocument/2006/relationships/header" Target="header9.xml"/><Relationship Id="rId108" Type="http://schemas.openxmlformats.org/officeDocument/2006/relationships/footer" Target="footer52.xml"/><Relationship Id="rId129" Type="http://schemas.openxmlformats.org/officeDocument/2006/relationships/footer" Target="footer55.xml"/><Relationship Id="rId280" Type="http://schemas.openxmlformats.org/officeDocument/2006/relationships/footer" Target="footer125.xml"/><Relationship Id="rId315" Type="http://schemas.openxmlformats.org/officeDocument/2006/relationships/footer" Target="footer146.xml"/><Relationship Id="rId336" Type="http://schemas.openxmlformats.org/officeDocument/2006/relationships/footer" Target="footer159.xml"/><Relationship Id="rId357" Type="http://schemas.openxmlformats.org/officeDocument/2006/relationships/header" Target="header93.xml"/><Relationship Id="rId54" Type="http://schemas.openxmlformats.org/officeDocument/2006/relationships/header" Target="header16.xml"/><Relationship Id="rId75" Type="http://schemas.openxmlformats.org/officeDocument/2006/relationships/footer" Target="footer41.xml"/><Relationship Id="rId96" Type="http://schemas.openxmlformats.org/officeDocument/2006/relationships/hyperlink" Target="https://www.vba.vic.gov.au/about/research/improving-building-envelope-resilience-to-moisture-damage-in-progress" TargetMode="External"/><Relationship Id="rId140" Type="http://schemas.openxmlformats.org/officeDocument/2006/relationships/footer" Target="footer57.xml"/><Relationship Id="rId161" Type="http://schemas.openxmlformats.org/officeDocument/2006/relationships/header" Target="header30.xml"/><Relationship Id="rId182" Type="http://schemas.openxmlformats.org/officeDocument/2006/relationships/header" Target="header37.xml"/><Relationship Id="rId217" Type="http://schemas.openxmlformats.org/officeDocument/2006/relationships/footer" Target="footer100.xml"/><Relationship Id="rId378" Type="http://schemas.openxmlformats.org/officeDocument/2006/relationships/footer" Target="footer182.xml"/><Relationship Id="rId399" Type="http://schemas.openxmlformats.org/officeDocument/2006/relationships/footer" Target="footer197.xml"/><Relationship Id="rId403" Type="http://schemas.openxmlformats.org/officeDocument/2006/relationships/footer" Target="footer201.xml"/><Relationship Id="rId6" Type="http://schemas.openxmlformats.org/officeDocument/2006/relationships/settings" Target="settings.xml"/><Relationship Id="rId259" Type="http://schemas.openxmlformats.org/officeDocument/2006/relationships/footer" Target="footer113.xml"/><Relationship Id="rId424" Type="http://schemas.openxmlformats.org/officeDocument/2006/relationships/footer" Target="footer216.xml"/><Relationship Id="rId445" Type="http://schemas.openxmlformats.org/officeDocument/2006/relationships/theme" Target="theme/theme1.xml"/><Relationship Id="rId23" Type="http://schemas.openxmlformats.org/officeDocument/2006/relationships/header" Target="header4.xml"/><Relationship Id="rId119" Type="http://schemas.openxmlformats.org/officeDocument/2006/relationships/image" Target="media/image6.jpeg"/><Relationship Id="rId270" Type="http://schemas.openxmlformats.org/officeDocument/2006/relationships/header" Target="header58.xml"/><Relationship Id="rId291" Type="http://schemas.openxmlformats.org/officeDocument/2006/relationships/footer" Target="footer132.xml"/><Relationship Id="rId305" Type="http://schemas.openxmlformats.org/officeDocument/2006/relationships/footer" Target="footer140.xml"/><Relationship Id="rId326" Type="http://schemas.openxmlformats.org/officeDocument/2006/relationships/footer" Target="footer153.xml"/><Relationship Id="rId347" Type="http://schemas.openxmlformats.org/officeDocument/2006/relationships/header" Target="header89.xml"/><Relationship Id="rId44" Type="http://schemas.openxmlformats.org/officeDocument/2006/relationships/header" Target="header13.xml"/><Relationship Id="rId65" Type="http://schemas.openxmlformats.org/officeDocument/2006/relationships/footer" Target="footer33.xml"/><Relationship Id="rId86" Type="http://schemas.openxmlformats.org/officeDocument/2006/relationships/header" Target="header23.xml"/><Relationship Id="rId130" Type="http://schemas.openxmlformats.org/officeDocument/2006/relationships/hyperlink" Target="https://www.vba.vic.gov.au/about/research/pre-normative-research-on-the-fire-safety-of-solar-building-envelopes?SQ_VARIATION_144019=0" TargetMode="External"/><Relationship Id="rId151" Type="http://schemas.openxmlformats.org/officeDocument/2006/relationships/footer" Target="footer61.xml"/><Relationship Id="rId368" Type="http://schemas.openxmlformats.org/officeDocument/2006/relationships/footer" Target="footer177.xml"/><Relationship Id="rId389" Type="http://schemas.openxmlformats.org/officeDocument/2006/relationships/header" Target="header108.xml"/><Relationship Id="rId172" Type="http://schemas.openxmlformats.org/officeDocument/2006/relationships/footer" Target="footer74.xml"/><Relationship Id="rId193" Type="http://schemas.openxmlformats.org/officeDocument/2006/relationships/footer" Target="footer87.xml"/><Relationship Id="rId207" Type="http://schemas.openxmlformats.org/officeDocument/2006/relationships/footer" Target="footer95.xml"/><Relationship Id="rId249" Type="http://schemas.openxmlformats.org/officeDocument/2006/relationships/image" Target="media/image14.jpeg"/><Relationship Id="rId414" Type="http://schemas.openxmlformats.org/officeDocument/2006/relationships/footer" Target="footer208.xml"/><Relationship Id="rId435" Type="http://schemas.openxmlformats.org/officeDocument/2006/relationships/footer" Target="footer227.xml"/><Relationship Id="rId13" Type="http://schemas.openxmlformats.org/officeDocument/2006/relationships/footer" Target="footer2.xml"/><Relationship Id="rId109" Type="http://schemas.openxmlformats.org/officeDocument/2006/relationships/hyperlink" Target="https://www.vba.vic.gov.au/building/PES-previous-sessions" TargetMode="External"/><Relationship Id="rId260" Type="http://schemas.openxmlformats.org/officeDocument/2006/relationships/header" Target="header54.xml"/><Relationship Id="rId281" Type="http://schemas.openxmlformats.org/officeDocument/2006/relationships/footer" Target="footer126.xml"/><Relationship Id="rId316" Type="http://schemas.openxmlformats.org/officeDocument/2006/relationships/footer" Target="footer147.xml"/><Relationship Id="rId337" Type="http://schemas.openxmlformats.org/officeDocument/2006/relationships/header" Target="header85.xml"/><Relationship Id="rId34" Type="http://schemas.openxmlformats.org/officeDocument/2006/relationships/footer" Target="footer13.xml"/><Relationship Id="rId55" Type="http://schemas.openxmlformats.org/officeDocument/2006/relationships/footer" Target="footer26.xml"/><Relationship Id="rId76" Type="http://schemas.openxmlformats.org/officeDocument/2006/relationships/footer" Target="footer42.xml"/><Relationship Id="rId97" Type="http://schemas.openxmlformats.org/officeDocument/2006/relationships/hyperlink" Target="https://www.vba.vic.gov.au/about/research/improving-building-envelope-resilience-to-moisture-damage-in-progress" TargetMode="External"/><Relationship Id="rId120" Type="http://schemas.openxmlformats.org/officeDocument/2006/relationships/hyperlink" Target="https://www.vba.vic.gov.au/news/campaign-kits" TargetMode="External"/><Relationship Id="rId141" Type="http://schemas.openxmlformats.org/officeDocument/2006/relationships/hyperlink" Target="https://www.vba.vic.gov.au/about/research/building-4.0-crc-digital-transformation-of-the-building-industry" TargetMode="External"/><Relationship Id="rId358" Type="http://schemas.openxmlformats.org/officeDocument/2006/relationships/footer" Target="footer172.xml"/><Relationship Id="rId379" Type="http://schemas.openxmlformats.org/officeDocument/2006/relationships/header" Target="header104.xml"/><Relationship Id="rId7" Type="http://schemas.openxmlformats.org/officeDocument/2006/relationships/webSettings" Target="webSettings.xml"/><Relationship Id="rId162" Type="http://schemas.openxmlformats.org/officeDocument/2006/relationships/footer" Target="footer67.xml"/><Relationship Id="rId183" Type="http://schemas.openxmlformats.org/officeDocument/2006/relationships/footer" Target="footer81.xml"/><Relationship Id="rId218" Type="http://schemas.openxmlformats.org/officeDocument/2006/relationships/footer" Target="footer101.xml"/><Relationship Id="rId239" Type="http://schemas.openxmlformats.org/officeDocument/2006/relationships/image" Target="media/image9.png"/><Relationship Id="rId390" Type="http://schemas.openxmlformats.org/officeDocument/2006/relationships/header" Target="header109.xml"/><Relationship Id="rId404" Type="http://schemas.openxmlformats.org/officeDocument/2006/relationships/footer" Target="footer202.xml"/><Relationship Id="rId425" Type="http://schemas.openxmlformats.org/officeDocument/2006/relationships/footer" Target="footer217.xml"/><Relationship Id="rId250" Type="http://schemas.openxmlformats.org/officeDocument/2006/relationships/header" Target="header51.xml"/><Relationship Id="rId271" Type="http://schemas.openxmlformats.org/officeDocument/2006/relationships/footer" Target="footer120.xml"/><Relationship Id="rId292" Type="http://schemas.openxmlformats.org/officeDocument/2006/relationships/header" Target="header67.xml"/><Relationship Id="rId306" Type="http://schemas.openxmlformats.org/officeDocument/2006/relationships/footer" Target="footer141.xml"/><Relationship Id="rId24" Type="http://schemas.openxmlformats.org/officeDocument/2006/relationships/header" Target="header5.xml"/><Relationship Id="rId45" Type="http://schemas.openxmlformats.org/officeDocument/2006/relationships/footer" Target="footer19.xml"/><Relationship Id="rId66" Type="http://schemas.openxmlformats.org/officeDocument/2006/relationships/header" Target="header18.xml"/><Relationship Id="rId87" Type="http://schemas.openxmlformats.org/officeDocument/2006/relationships/header" Target="header24.xml"/><Relationship Id="rId110" Type="http://schemas.openxmlformats.org/officeDocument/2006/relationships/hyperlink" Target="https://www.vba.vic.gov.au/consumers/guides/water-ingress-balconies%2C-decks-and-terraces" TargetMode="External"/><Relationship Id="rId131" Type="http://schemas.openxmlformats.org/officeDocument/2006/relationships/hyperlink" Target="https://www.vba.vic.gov.au/about/research/building-4.0-crc-digital-transformation-of-the-building-industry" TargetMode="External"/><Relationship Id="rId327" Type="http://schemas.openxmlformats.org/officeDocument/2006/relationships/header" Target="header81.xml"/><Relationship Id="rId348" Type="http://schemas.openxmlformats.org/officeDocument/2006/relationships/footer" Target="footer166.xml"/><Relationship Id="rId369" Type="http://schemas.openxmlformats.org/officeDocument/2006/relationships/header" Target="header99.xml"/><Relationship Id="rId152" Type="http://schemas.openxmlformats.org/officeDocument/2006/relationships/footer" Target="footer62.xml"/><Relationship Id="rId173" Type="http://schemas.openxmlformats.org/officeDocument/2006/relationships/header" Target="header34.xml"/><Relationship Id="rId194" Type="http://schemas.openxmlformats.org/officeDocument/2006/relationships/header" Target="header42.xml"/><Relationship Id="rId208" Type="http://schemas.openxmlformats.org/officeDocument/2006/relationships/footer" Target="footer96.xml"/><Relationship Id="rId380" Type="http://schemas.openxmlformats.org/officeDocument/2006/relationships/footer" Target="footer183.xml"/><Relationship Id="rId415" Type="http://schemas.openxmlformats.org/officeDocument/2006/relationships/footer" Target="footer209.xml"/><Relationship Id="rId436" Type="http://schemas.openxmlformats.org/officeDocument/2006/relationships/footer" Target="footer228.xml"/><Relationship Id="rId240" Type="http://schemas.openxmlformats.org/officeDocument/2006/relationships/image" Target="media/image10.png"/><Relationship Id="rId261" Type="http://schemas.openxmlformats.org/officeDocument/2006/relationships/footer" Target="footer114.xml"/><Relationship Id="rId14" Type="http://schemas.openxmlformats.org/officeDocument/2006/relationships/header" Target="header2.xml"/><Relationship Id="rId35" Type="http://schemas.openxmlformats.org/officeDocument/2006/relationships/footer" Target="footer14.xml"/><Relationship Id="rId56" Type="http://schemas.openxmlformats.org/officeDocument/2006/relationships/footer" Target="footer27.xml"/><Relationship Id="rId77" Type="http://schemas.openxmlformats.org/officeDocument/2006/relationships/footer" Target="footer43.xml"/><Relationship Id="rId100" Type="http://schemas.openxmlformats.org/officeDocument/2006/relationships/hyperlink" Target="https://www.vba.vic.gov.au/about/research/use-of-behavioural-insights-to-reduce-improper-service-penetrations" TargetMode="External"/><Relationship Id="rId282" Type="http://schemas.openxmlformats.org/officeDocument/2006/relationships/header" Target="header63.xml"/><Relationship Id="rId317" Type="http://schemas.openxmlformats.org/officeDocument/2006/relationships/header" Target="header77.xml"/><Relationship Id="rId338" Type="http://schemas.openxmlformats.org/officeDocument/2006/relationships/footer" Target="footer160.xml"/><Relationship Id="rId359" Type="http://schemas.openxmlformats.org/officeDocument/2006/relationships/header" Target="header94.xml"/><Relationship Id="rId8" Type="http://schemas.openxmlformats.org/officeDocument/2006/relationships/footnotes" Target="footnotes.xml"/><Relationship Id="rId98" Type="http://schemas.openxmlformats.org/officeDocument/2006/relationships/hyperlink" Target="https://www.vba.vic.gov.au/about/research/investigating-passive-fire-protection-defects-in-residential-multi-owned-properties" TargetMode="External"/><Relationship Id="rId121" Type="http://schemas.openxmlformats.org/officeDocument/2006/relationships/hyperlink" Target="https://www.vba.vic.gov.au/__data/assets/pdf_file/0007/161881/Dont-Give-Fire-an-Opening-poster.pdf" TargetMode="External"/><Relationship Id="rId142" Type="http://schemas.openxmlformats.org/officeDocument/2006/relationships/header" Target="header25.xml"/><Relationship Id="rId163" Type="http://schemas.openxmlformats.org/officeDocument/2006/relationships/footer" Target="footer68.xml"/><Relationship Id="rId184" Type="http://schemas.openxmlformats.org/officeDocument/2006/relationships/header" Target="header38.xml"/><Relationship Id="rId219" Type="http://schemas.openxmlformats.org/officeDocument/2006/relationships/footer" Target="footer102.xml"/><Relationship Id="rId370" Type="http://schemas.openxmlformats.org/officeDocument/2006/relationships/footer" Target="footer178.xml"/><Relationship Id="rId391" Type="http://schemas.openxmlformats.org/officeDocument/2006/relationships/footer" Target="footer189.xml"/><Relationship Id="rId405" Type="http://schemas.openxmlformats.org/officeDocument/2006/relationships/footer" Target="footer203.xml"/><Relationship Id="rId426" Type="http://schemas.openxmlformats.org/officeDocument/2006/relationships/footer" Target="footer218.xml"/><Relationship Id="rId251" Type="http://schemas.openxmlformats.org/officeDocument/2006/relationships/footer" Target="footer109.xml"/><Relationship Id="rId25" Type="http://schemas.openxmlformats.org/officeDocument/2006/relationships/footer" Target="footer9.xml"/><Relationship Id="rId46" Type="http://schemas.openxmlformats.org/officeDocument/2006/relationships/footer" Target="footer20.xml"/><Relationship Id="rId67" Type="http://schemas.openxmlformats.org/officeDocument/2006/relationships/header" Target="header19.xml"/><Relationship Id="rId272" Type="http://schemas.openxmlformats.org/officeDocument/2006/relationships/header" Target="header59.xml"/><Relationship Id="rId293" Type="http://schemas.openxmlformats.org/officeDocument/2006/relationships/footer" Target="footer133.xml"/><Relationship Id="rId307" Type="http://schemas.openxmlformats.org/officeDocument/2006/relationships/header" Target="header73.xml"/><Relationship Id="rId328" Type="http://schemas.openxmlformats.org/officeDocument/2006/relationships/footer" Target="footer154.xml"/><Relationship Id="rId349" Type="http://schemas.openxmlformats.org/officeDocument/2006/relationships/header" Target="header90.xml"/><Relationship Id="rId88" Type="http://schemas.openxmlformats.org/officeDocument/2006/relationships/footer" Target="footer49.xml"/><Relationship Id="rId111" Type="http://schemas.openxmlformats.org/officeDocument/2006/relationships/hyperlink" Target="https://www.vba.vic.gov.au/about/research/research-grant-program" TargetMode="External"/><Relationship Id="rId132" Type="http://schemas.openxmlformats.org/officeDocument/2006/relationships/hyperlink" Target="https://www.vba.vic.gov.au/about/research/building-4.0-crc-digital-transformation-of-the-building-industry" TargetMode="External"/><Relationship Id="rId153" Type="http://schemas.openxmlformats.org/officeDocument/2006/relationships/footer" Target="footer63.xml"/><Relationship Id="rId174" Type="http://schemas.openxmlformats.org/officeDocument/2006/relationships/footer" Target="footer75.xml"/><Relationship Id="rId195" Type="http://schemas.openxmlformats.org/officeDocument/2006/relationships/footer" Target="footer88.xml"/><Relationship Id="rId209" Type="http://schemas.openxmlformats.org/officeDocument/2006/relationships/footer" Target="footer97.xml"/><Relationship Id="rId360" Type="http://schemas.openxmlformats.org/officeDocument/2006/relationships/footer" Target="footer173.xml"/><Relationship Id="rId381" Type="http://schemas.openxmlformats.org/officeDocument/2006/relationships/header" Target="header105.xml"/><Relationship Id="rId416" Type="http://schemas.openxmlformats.org/officeDocument/2006/relationships/footer" Target="footer210.xml"/><Relationship Id="rId220" Type="http://schemas.openxmlformats.org/officeDocument/2006/relationships/header" Target="header47.xml"/><Relationship Id="rId241" Type="http://schemas.openxmlformats.org/officeDocument/2006/relationships/header" Target="header49.xml"/><Relationship Id="rId437" Type="http://schemas.openxmlformats.org/officeDocument/2006/relationships/hyperlink" Target="https://www.vba.vic.gov.au/" TargetMode="External"/><Relationship Id="rId15" Type="http://schemas.openxmlformats.org/officeDocument/2006/relationships/header" Target="header3.xml"/><Relationship Id="rId36" Type="http://schemas.openxmlformats.org/officeDocument/2006/relationships/footer" Target="footer15.xml"/><Relationship Id="rId57" Type="http://schemas.openxmlformats.org/officeDocument/2006/relationships/hyperlink" Target="https://www.vba.vic.gov.au/about/data" TargetMode="External"/><Relationship Id="rId262" Type="http://schemas.openxmlformats.org/officeDocument/2006/relationships/header" Target="header55.xml"/><Relationship Id="rId283" Type="http://schemas.openxmlformats.org/officeDocument/2006/relationships/footer" Target="footer127.xml"/><Relationship Id="rId318" Type="http://schemas.openxmlformats.org/officeDocument/2006/relationships/footer" Target="footer148.xml"/><Relationship Id="rId339" Type="http://schemas.openxmlformats.org/officeDocument/2006/relationships/footer" Target="footer161.xml"/><Relationship Id="rId78" Type="http://schemas.openxmlformats.org/officeDocument/2006/relationships/header" Target="header20.xml"/><Relationship Id="rId99" Type="http://schemas.openxmlformats.org/officeDocument/2006/relationships/footer" Target="footer51.xml"/><Relationship Id="rId101" Type="http://schemas.openxmlformats.org/officeDocument/2006/relationships/hyperlink" Target="https://www.vba.vic.gov.au/about/research/use-of-behavioural-insights-to-reduce-improper-service-penetrations" TargetMode="External"/><Relationship Id="rId122" Type="http://schemas.openxmlformats.org/officeDocument/2006/relationships/hyperlink" Target="https://www.vba.vic.gov.au/__data/assets/pdf_file/0007/161881/Dont-Give-Fire-an-Opening-poster.pdf" TargetMode="External"/><Relationship Id="rId143" Type="http://schemas.openxmlformats.org/officeDocument/2006/relationships/footer" Target="footer58.xml"/><Relationship Id="rId164" Type="http://schemas.openxmlformats.org/officeDocument/2006/relationships/header" Target="header31.xml"/><Relationship Id="rId185" Type="http://schemas.openxmlformats.org/officeDocument/2006/relationships/header" Target="header39.xml"/><Relationship Id="rId350" Type="http://schemas.openxmlformats.org/officeDocument/2006/relationships/footer" Target="footer167.xml"/><Relationship Id="rId371" Type="http://schemas.openxmlformats.org/officeDocument/2006/relationships/header" Target="header100.xml"/><Relationship Id="rId406" Type="http://schemas.openxmlformats.org/officeDocument/2006/relationships/header" Target="header110.xml"/><Relationship Id="rId9" Type="http://schemas.openxmlformats.org/officeDocument/2006/relationships/endnotes" Target="endnotes.xml"/><Relationship Id="rId210" Type="http://schemas.openxmlformats.org/officeDocument/2006/relationships/hyperlink" Target="http://www.ibac.vic.gov.au/" TargetMode="External"/><Relationship Id="rId392" Type="http://schemas.openxmlformats.org/officeDocument/2006/relationships/footer" Target="footer190.xml"/><Relationship Id="rId427" Type="http://schemas.openxmlformats.org/officeDocument/2006/relationships/footer" Target="footer219.xml"/><Relationship Id="rId26" Type="http://schemas.openxmlformats.org/officeDocument/2006/relationships/header" Target="header6.xml"/><Relationship Id="rId252" Type="http://schemas.openxmlformats.org/officeDocument/2006/relationships/footer" Target="footer110.xml"/><Relationship Id="rId273" Type="http://schemas.openxmlformats.org/officeDocument/2006/relationships/footer" Target="footer121.xml"/><Relationship Id="rId294" Type="http://schemas.openxmlformats.org/officeDocument/2006/relationships/header" Target="header68.xml"/><Relationship Id="rId308" Type="http://schemas.openxmlformats.org/officeDocument/2006/relationships/footer" Target="footer142.xml"/><Relationship Id="rId329" Type="http://schemas.openxmlformats.org/officeDocument/2006/relationships/footer" Target="footer155.xml"/><Relationship Id="rId47" Type="http://schemas.openxmlformats.org/officeDocument/2006/relationships/footer" Target="footer21.xml"/><Relationship Id="rId68" Type="http://schemas.openxmlformats.org/officeDocument/2006/relationships/footer" Target="footer34.xml"/><Relationship Id="rId89" Type="http://schemas.openxmlformats.org/officeDocument/2006/relationships/footer" Target="footer50.xml"/><Relationship Id="rId112" Type="http://schemas.openxmlformats.org/officeDocument/2006/relationships/footer" Target="footer53.xml"/><Relationship Id="rId133" Type="http://schemas.openxmlformats.org/officeDocument/2006/relationships/hyperlink" Target="https://www.vba.vic.gov.au/about/research/fire-safety-of-rendered-expanded-polystyrene-eps-in-exterior-insulation-finishing-systems-eifs-on-class-2-to-9-buildings-of-type-a-or-type-b-construction" TargetMode="External"/><Relationship Id="rId154" Type="http://schemas.openxmlformats.org/officeDocument/2006/relationships/hyperlink" Target="https://www.vic.gov.au/towards-best-practice-guide-regulators" TargetMode="External"/><Relationship Id="rId175" Type="http://schemas.openxmlformats.org/officeDocument/2006/relationships/header" Target="header35.xml"/><Relationship Id="rId340" Type="http://schemas.openxmlformats.org/officeDocument/2006/relationships/header" Target="header86.xml"/><Relationship Id="rId361" Type="http://schemas.openxmlformats.org/officeDocument/2006/relationships/header" Target="header95.xml"/><Relationship Id="rId196" Type="http://schemas.openxmlformats.org/officeDocument/2006/relationships/hyperlink" Target="https://www.boards.vic.gov.au/" TargetMode="External"/><Relationship Id="rId200" Type="http://schemas.openxmlformats.org/officeDocument/2006/relationships/header" Target="header44.xml"/><Relationship Id="rId382" Type="http://schemas.openxmlformats.org/officeDocument/2006/relationships/footer" Target="footer184.xml"/><Relationship Id="rId417" Type="http://schemas.openxmlformats.org/officeDocument/2006/relationships/header" Target="header114.xml"/><Relationship Id="rId438" Type="http://schemas.openxmlformats.org/officeDocument/2006/relationships/hyperlink" Target="mailto:customerservice@vba.vic.gov.au" TargetMode="External"/><Relationship Id="rId16" Type="http://schemas.openxmlformats.org/officeDocument/2006/relationships/footer" Target="footer3.xml"/><Relationship Id="rId221" Type="http://schemas.openxmlformats.org/officeDocument/2006/relationships/footer" Target="footer103.xml"/><Relationship Id="rId242" Type="http://schemas.openxmlformats.org/officeDocument/2006/relationships/footer" Target="footer106.xml"/><Relationship Id="rId263" Type="http://schemas.openxmlformats.org/officeDocument/2006/relationships/footer" Target="footer115.xml"/><Relationship Id="rId284" Type="http://schemas.openxmlformats.org/officeDocument/2006/relationships/header" Target="header64.xml"/><Relationship Id="rId319" Type="http://schemas.openxmlformats.org/officeDocument/2006/relationships/header" Target="header78.xml"/><Relationship Id="rId37" Type="http://schemas.openxmlformats.org/officeDocument/2006/relationships/image" Target="media/image4.jpeg"/><Relationship Id="rId58" Type="http://schemas.openxmlformats.org/officeDocument/2006/relationships/footer" Target="footer28.xml"/><Relationship Id="rId79" Type="http://schemas.openxmlformats.org/officeDocument/2006/relationships/footer" Target="footer44.xml"/><Relationship Id="rId102" Type="http://schemas.openxmlformats.org/officeDocument/2006/relationships/hyperlink" Target="https://www.vba.vic.gov.au/plumbing/proactive-inspections-program" TargetMode="External"/><Relationship Id="rId123" Type="http://schemas.openxmlformats.org/officeDocument/2006/relationships/hyperlink" Target="https://www.vba.vic.gov.au/building/building-resource-hub/practice-notes/practice-note-sp-5" TargetMode="External"/><Relationship Id="rId144" Type="http://schemas.openxmlformats.org/officeDocument/2006/relationships/hyperlink" Target="https://www.industry.gov.au/sites/default/files/July%202018/document/pdf/building_ministers_forum_expert_assessment_-_building_confidence.pdf" TargetMode="External"/><Relationship Id="rId330" Type="http://schemas.openxmlformats.org/officeDocument/2006/relationships/header" Target="header82.xml"/><Relationship Id="rId90" Type="http://schemas.openxmlformats.org/officeDocument/2006/relationships/hyperlink" Target="https://www.vba.vic.gov.au/about/research/developing-a-virtual-reality-self-evaluation-platform-to-reduce-non-compliant-building-and-pluming-work" TargetMode="External"/><Relationship Id="rId165" Type="http://schemas.openxmlformats.org/officeDocument/2006/relationships/header" Target="header32.xml"/><Relationship Id="rId186" Type="http://schemas.openxmlformats.org/officeDocument/2006/relationships/footer" Target="footer82.xml"/><Relationship Id="rId351" Type="http://schemas.openxmlformats.org/officeDocument/2006/relationships/footer" Target="footer168.xml"/><Relationship Id="rId372" Type="http://schemas.openxmlformats.org/officeDocument/2006/relationships/footer" Target="footer179.xml"/><Relationship Id="rId393" Type="http://schemas.openxmlformats.org/officeDocument/2006/relationships/footer" Target="footer191.xml"/><Relationship Id="rId407" Type="http://schemas.openxmlformats.org/officeDocument/2006/relationships/header" Target="header111.xml"/><Relationship Id="rId428" Type="http://schemas.openxmlformats.org/officeDocument/2006/relationships/footer" Target="footer220.xml"/><Relationship Id="rId211" Type="http://schemas.openxmlformats.org/officeDocument/2006/relationships/hyperlink" Target="mailto:safe2speak@stopline.com.au" TargetMode="External"/><Relationship Id="rId253" Type="http://schemas.openxmlformats.org/officeDocument/2006/relationships/header" Target="header52.xml"/><Relationship Id="rId274" Type="http://schemas.openxmlformats.org/officeDocument/2006/relationships/footer" Target="footer122.xml"/><Relationship Id="rId295" Type="http://schemas.openxmlformats.org/officeDocument/2006/relationships/footer" Target="footer134.xml"/><Relationship Id="rId309" Type="http://schemas.openxmlformats.org/officeDocument/2006/relationships/header" Target="header74.xml"/><Relationship Id="rId27" Type="http://schemas.openxmlformats.org/officeDocument/2006/relationships/header" Target="header7.xml"/><Relationship Id="rId48" Type="http://schemas.openxmlformats.org/officeDocument/2006/relationships/header" Target="header14.xml"/><Relationship Id="rId69" Type="http://schemas.openxmlformats.org/officeDocument/2006/relationships/footer" Target="footer35.xml"/><Relationship Id="rId113" Type="http://schemas.openxmlformats.org/officeDocument/2006/relationships/hyperlink" Target="https://www.vba.vic.gov.au/about/research/improving-building-envelope-resilience-to-moisture-damage-in-progress" TargetMode="External"/><Relationship Id="rId134" Type="http://schemas.openxmlformats.org/officeDocument/2006/relationships/hyperlink" Target="https://www.vba.vic.gov.au/about/research/fire-safety-of-rendered-expanded-polystyrene-eps-in-exterior-insulation-finishing-systems-eifs-on-class-2-to-9-buildings-of-type-a-or-type-b-construction" TargetMode="External"/><Relationship Id="rId320" Type="http://schemas.openxmlformats.org/officeDocument/2006/relationships/footer" Target="footer149.xml"/><Relationship Id="rId80" Type="http://schemas.openxmlformats.org/officeDocument/2006/relationships/footer" Target="footer45.xml"/><Relationship Id="rId155" Type="http://schemas.openxmlformats.org/officeDocument/2006/relationships/hyperlink" Target="https://www.vic.gov.au/towards-best-practice-guide-regulators" TargetMode="External"/><Relationship Id="rId176" Type="http://schemas.openxmlformats.org/officeDocument/2006/relationships/footer" Target="footer76.xml"/><Relationship Id="rId197" Type="http://schemas.openxmlformats.org/officeDocument/2006/relationships/header" Target="header43.xml"/><Relationship Id="rId341" Type="http://schemas.openxmlformats.org/officeDocument/2006/relationships/footer" Target="footer162.xml"/><Relationship Id="rId362" Type="http://schemas.openxmlformats.org/officeDocument/2006/relationships/footer" Target="footer174.xml"/><Relationship Id="rId383" Type="http://schemas.openxmlformats.org/officeDocument/2006/relationships/header" Target="header106.xml"/><Relationship Id="rId418" Type="http://schemas.openxmlformats.org/officeDocument/2006/relationships/header" Target="header115.xml"/><Relationship Id="rId439" Type="http://schemas.openxmlformats.org/officeDocument/2006/relationships/header" Target="header116.xml"/><Relationship Id="rId201" Type="http://schemas.openxmlformats.org/officeDocument/2006/relationships/footer" Target="footer91.xml"/><Relationship Id="rId222" Type="http://schemas.openxmlformats.org/officeDocument/2006/relationships/footer" Target="footer104.xml"/><Relationship Id="rId243" Type="http://schemas.openxmlformats.org/officeDocument/2006/relationships/footer" Target="footer107.xml"/><Relationship Id="rId264" Type="http://schemas.openxmlformats.org/officeDocument/2006/relationships/footer" Target="footer116.xml"/><Relationship Id="rId285" Type="http://schemas.openxmlformats.org/officeDocument/2006/relationships/footer" Target="footer128.xml"/><Relationship Id="rId17" Type="http://schemas.openxmlformats.org/officeDocument/2006/relationships/footer" Target="footer4.xml"/><Relationship Id="rId38" Type="http://schemas.openxmlformats.org/officeDocument/2006/relationships/header" Target="header10.xml"/><Relationship Id="rId59" Type="http://schemas.openxmlformats.org/officeDocument/2006/relationships/footer" Target="footer29.xml"/><Relationship Id="rId103" Type="http://schemas.openxmlformats.org/officeDocument/2006/relationships/hyperlink" Target="https://www.vba.vic.gov.au/plumbing/proactive-inspections-program" TargetMode="External"/><Relationship Id="rId124" Type="http://schemas.openxmlformats.org/officeDocument/2006/relationships/hyperlink" Target="https://www.vba.vic.gov.au/building/building-resource-hub/practice-notes/practice-note-sp-5" TargetMode="External"/><Relationship Id="rId310" Type="http://schemas.openxmlformats.org/officeDocument/2006/relationships/footer" Target="footer143.xml"/><Relationship Id="rId70" Type="http://schemas.openxmlformats.org/officeDocument/2006/relationships/footer" Target="footer36.xml"/><Relationship Id="rId91" Type="http://schemas.openxmlformats.org/officeDocument/2006/relationships/hyperlink" Target="https://www.vba.vic.gov.au/about/research/developing-a-virtual-reality-self-evaluation-platform-to-reduce-non-compliant-building-and-pluming-work" TargetMode="External"/><Relationship Id="rId145" Type="http://schemas.openxmlformats.org/officeDocument/2006/relationships/hyperlink" Target="https://www.vba.vic.gov.au/about/research/building-4.0-crc-digital-transformation-of-the-building-industry" TargetMode="External"/><Relationship Id="rId166" Type="http://schemas.openxmlformats.org/officeDocument/2006/relationships/footer" Target="footer69.xml"/><Relationship Id="rId187" Type="http://schemas.openxmlformats.org/officeDocument/2006/relationships/footer" Target="footer83.xml"/><Relationship Id="rId331" Type="http://schemas.openxmlformats.org/officeDocument/2006/relationships/footer" Target="footer156.xml"/><Relationship Id="rId352" Type="http://schemas.openxmlformats.org/officeDocument/2006/relationships/header" Target="header91.xml"/><Relationship Id="rId373" Type="http://schemas.openxmlformats.org/officeDocument/2006/relationships/header" Target="header101.xml"/><Relationship Id="rId394" Type="http://schemas.openxmlformats.org/officeDocument/2006/relationships/footer" Target="footer192.xml"/><Relationship Id="rId408" Type="http://schemas.openxmlformats.org/officeDocument/2006/relationships/footer" Target="footer204.xml"/><Relationship Id="rId429" Type="http://schemas.openxmlformats.org/officeDocument/2006/relationships/footer" Target="footer221.xml"/><Relationship Id="rId1" Type="http://schemas.openxmlformats.org/officeDocument/2006/relationships/customXml" Target="../customXml/item1.xml"/><Relationship Id="rId212" Type="http://schemas.openxmlformats.org/officeDocument/2006/relationships/hyperlink" Target="mailto:integrity@vba.vic.gov.au" TargetMode="External"/><Relationship Id="rId254" Type="http://schemas.openxmlformats.org/officeDocument/2006/relationships/footer" Target="footer111.xml"/><Relationship Id="rId440" Type="http://schemas.openxmlformats.org/officeDocument/2006/relationships/footer" Target="footer229.xml"/><Relationship Id="rId28" Type="http://schemas.openxmlformats.org/officeDocument/2006/relationships/footer" Target="footer10.xml"/><Relationship Id="rId49" Type="http://schemas.openxmlformats.org/officeDocument/2006/relationships/footer" Target="footer22.xml"/><Relationship Id="rId114" Type="http://schemas.openxmlformats.org/officeDocument/2006/relationships/hyperlink" Target="https://www.vba.vic.gov.au/about/research/investigation-of-water-leakage-in-residential-apartment-concrete-balconies-in-progress" TargetMode="External"/><Relationship Id="rId275" Type="http://schemas.openxmlformats.org/officeDocument/2006/relationships/header" Target="header60.xml"/><Relationship Id="rId296" Type="http://schemas.openxmlformats.org/officeDocument/2006/relationships/footer" Target="footer135.xml"/><Relationship Id="rId300" Type="http://schemas.openxmlformats.org/officeDocument/2006/relationships/footer" Target="footer137.xml"/><Relationship Id="rId60" Type="http://schemas.openxmlformats.org/officeDocument/2006/relationships/footer" Target="footer30.xml"/><Relationship Id="rId81" Type="http://schemas.openxmlformats.org/officeDocument/2006/relationships/header" Target="header21.xml"/><Relationship Id="rId135" Type="http://schemas.openxmlformats.org/officeDocument/2006/relationships/hyperlink" Target="https://www.vba.vic.gov.au/about/research/fire-safety-of-rendered-expanded-polystyrene-eps-in-exterior-insulation-finishing-systems-eifs-on-class-2-to-9-buildings-of-type-a-or-type-b-construction" TargetMode="External"/><Relationship Id="rId156" Type="http://schemas.openxmlformats.org/officeDocument/2006/relationships/hyperlink" Target="https://www.vba.vic.gov.au/about/regulatory-approach/regulatory-priorities" TargetMode="External"/><Relationship Id="rId177" Type="http://schemas.openxmlformats.org/officeDocument/2006/relationships/footer" Target="footer77.xml"/><Relationship Id="rId198" Type="http://schemas.openxmlformats.org/officeDocument/2006/relationships/footer" Target="footer89.xml"/><Relationship Id="rId321" Type="http://schemas.openxmlformats.org/officeDocument/2006/relationships/footer" Target="footer150.xml"/><Relationship Id="rId342" Type="http://schemas.openxmlformats.org/officeDocument/2006/relationships/header" Target="header87.xml"/><Relationship Id="rId363" Type="http://schemas.openxmlformats.org/officeDocument/2006/relationships/header" Target="header96.xml"/><Relationship Id="rId384" Type="http://schemas.openxmlformats.org/officeDocument/2006/relationships/footer" Target="footer185.xml"/><Relationship Id="rId419" Type="http://schemas.openxmlformats.org/officeDocument/2006/relationships/footer" Target="footer211.xml"/><Relationship Id="rId202" Type="http://schemas.openxmlformats.org/officeDocument/2006/relationships/header" Target="header45.xml"/><Relationship Id="rId223" Type="http://schemas.openxmlformats.org/officeDocument/2006/relationships/header" Target="header48.xml"/><Relationship Id="rId244" Type="http://schemas.openxmlformats.org/officeDocument/2006/relationships/image" Target="media/image11.png"/><Relationship Id="rId430" Type="http://schemas.openxmlformats.org/officeDocument/2006/relationships/footer" Target="footer222.xml"/><Relationship Id="rId18" Type="http://schemas.openxmlformats.org/officeDocument/2006/relationships/footer" Target="footer5.xml"/><Relationship Id="rId39" Type="http://schemas.openxmlformats.org/officeDocument/2006/relationships/header" Target="header11.xml"/><Relationship Id="rId265" Type="http://schemas.openxmlformats.org/officeDocument/2006/relationships/header" Target="header56.xml"/><Relationship Id="rId286" Type="http://schemas.openxmlformats.org/officeDocument/2006/relationships/footer" Target="footer129.xml"/><Relationship Id="rId50" Type="http://schemas.openxmlformats.org/officeDocument/2006/relationships/footer" Target="footer23.xml"/><Relationship Id="rId104" Type="http://schemas.openxmlformats.org/officeDocument/2006/relationships/hyperlink" Target="https://www.vba.vic.gov.au/building/PES-previous-sessions" TargetMode="External"/><Relationship Id="rId125" Type="http://schemas.openxmlformats.org/officeDocument/2006/relationships/hyperlink" Target="https://www.vba.vic.gov.au/__data/assets/pdf_file/0011/116876/ESM-Responsibilities-Framework.pdf" TargetMode="External"/><Relationship Id="rId146" Type="http://schemas.openxmlformats.org/officeDocument/2006/relationships/header" Target="header26.xml"/><Relationship Id="rId167" Type="http://schemas.openxmlformats.org/officeDocument/2006/relationships/footer" Target="footer70.xml"/><Relationship Id="rId188" Type="http://schemas.openxmlformats.org/officeDocument/2006/relationships/footer" Target="footer84.xml"/><Relationship Id="rId311" Type="http://schemas.openxmlformats.org/officeDocument/2006/relationships/footer" Target="footer144.xml"/><Relationship Id="rId332" Type="http://schemas.openxmlformats.org/officeDocument/2006/relationships/header" Target="header83.xml"/><Relationship Id="rId353" Type="http://schemas.openxmlformats.org/officeDocument/2006/relationships/footer" Target="footer169.xml"/><Relationship Id="rId374" Type="http://schemas.openxmlformats.org/officeDocument/2006/relationships/footer" Target="footer180.xml"/><Relationship Id="rId395" Type="http://schemas.openxmlformats.org/officeDocument/2006/relationships/footer" Target="footer193.xml"/><Relationship Id="rId409" Type="http://schemas.openxmlformats.org/officeDocument/2006/relationships/footer" Target="footer205.xml"/><Relationship Id="rId71" Type="http://schemas.openxmlformats.org/officeDocument/2006/relationships/footer" Target="footer37.xml"/><Relationship Id="rId92" Type="http://schemas.openxmlformats.org/officeDocument/2006/relationships/hyperlink" Target="https://www.vba.vic.gov.au/about/research/developing-a-virtual-reality-self-evaluation-platform-to-reduce-non-compliant-building-and-pluming-work" TargetMode="External"/><Relationship Id="rId213" Type="http://schemas.openxmlformats.org/officeDocument/2006/relationships/hyperlink" Target="https://www.vba.vic.gov.au/about/holding-the-VBA-to-account" TargetMode="External"/><Relationship Id="rId420" Type="http://schemas.openxmlformats.org/officeDocument/2006/relationships/footer" Target="footer212.xml"/><Relationship Id="rId2" Type="http://schemas.openxmlformats.org/officeDocument/2006/relationships/customXml" Target="../customXml/item2.xml"/><Relationship Id="rId29" Type="http://schemas.openxmlformats.org/officeDocument/2006/relationships/footer" Target="footer11.xml"/><Relationship Id="rId255" Type="http://schemas.openxmlformats.org/officeDocument/2006/relationships/image" Target="media/image15.png"/><Relationship Id="rId276" Type="http://schemas.openxmlformats.org/officeDocument/2006/relationships/footer" Target="footer123.xml"/><Relationship Id="rId297" Type="http://schemas.openxmlformats.org/officeDocument/2006/relationships/header" Target="header69.xml"/><Relationship Id="rId441" Type="http://schemas.openxmlformats.org/officeDocument/2006/relationships/hyperlink" Target="https://www.vba.vic.gov.au/" TargetMode="External"/><Relationship Id="rId40" Type="http://schemas.openxmlformats.org/officeDocument/2006/relationships/footer" Target="footer16.xml"/><Relationship Id="rId115" Type="http://schemas.openxmlformats.org/officeDocument/2006/relationships/hyperlink" Target="https://www.vba.vic.gov.au/about/research/investigation-of-water-leakage-in-residential-apartment-concrete-balconies-in-progress" TargetMode="External"/><Relationship Id="rId136" Type="http://schemas.openxmlformats.org/officeDocument/2006/relationships/footer" Target="footer56.xml"/><Relationship Id="rId157" Type="http://schemas.openxmlformats.org/officeDocument/2006/relationships/footer" Target="footer64.xml"/><Relationship Id="rId178" Type="http://schemas.openxmlformats.org/officeDocument/2006/relationships/header" Target="header36.xml"/><Relationship Id="rId301" Type="http://schemas.openxmlformats.org/officeDocument/2006/relationships/footer" Target="footer138.xml"/><Relationship Id="rId322" Type="http://schemas.openxmlformats.org/officeDocument/2006/relationships/header" Target="header79.xml"/><Relationship Id="rId343" Type="http://schemas.openxmlformats.org/officeDocument/2006/relationships/footer" Target="footer163.xml"/><Relationship Id="rId364" Type="http://schemas.openxmlformats.org/officeDocument/2006/relationships/footer" Target="footer175.xml"/><Relationship Id="rId61" Type="http://schemas.openxmlformats.org/officeDocument/2006/relationships/footer" Target="footer31.xml"/><Relationship Id="rId82" Type="http://schemas.openxmlformats.org/officeDocument/2006/relationships/header" Target="header22.xml"/><Relationship Id="rId199" Type="http://schemas.openxmlformats.org/officeDocument/2006/relationships/footer" Target="footer90.xml"/><Relationship Id="rId203" Type="http://schemas.openxmlformats.org/officeDocument/2006/relationships/header" Target="header46.xml"/><Relationship Id="rId385" Type="http://schemas.openxmlformats.org/officeDocument/2006/relationships/footer" Target="footer186.xml"/><Relationship Id="rId19" Type="http://schemas.openxmlformats.org/officeDocument/2006/relationships/footer" Target="footer6.xml"/><Relationship Id="rId224" Type="http://schemas.openxmlformats.org/officeDocument/2006/relationships/footer" Target="footer105.xml"/><Relationship Id="rId245" Type="http://schemas.openxmlformats.org/officeDocument/2006/relationships/image" Target="media/image12.png"/><Relationship Id="rId266" Type="http://schemas.openxmlformats.org/officeDocument/2006/relationships/footer" Target="footer117.xml"/><Relationship Id="rId287" Type="http://schemas.openxmlformats.org/officeDocument/2006/relationships/header" Target="header65.xml"/><Relationship Id="rId410" Type="http://schemas.openxmlformats.org/officeDocument/2006/relationships/footer" Target="footer206.xml"/><Relationship Id="rId431" Type="http://schemas.openxmlformats.org/officeDocument/2006/relationships/footer" Target="footer223.xml"/><Relationship Id="rId30" Type="http://schemas.openxmlformats.org/officeDocument/2006/relationships/image" Target="media/image3.jpeg"/><Relationship Id="rId105" Type="http://schemas.openxmlformats.org/officeDocument/2006/relationships/hyperlink" Target="https://www.vba.vic.gov.au/__data/assets/pdf_file/0004/155938/Building_FS_02_Service-penetrations-of-fire-rated-and-smoke-proof-walls.pdf" TargetMode="External"/><Relationship Id="rId126" Type="http://schemas.openxmlformats.org/officeDocument/2006/relationships/hyperlink" Target="https://www.vba.vic.gov.au/__data/assets/pdf_file/0011/116876/ESM-Responsibilities-Framework.pdf" TargetMode="External"/><Relationship Id="rId147" Type="http://schemas.openxmlformats.org/officeDocument/2006/relationships/footer" Target="footer59.xml"/><Relationship Id="rId168" Type="http://schemas.openxmlformats.org/officeDocument/2006/relationships/footer" Target="footer71.xml"/><Relationship Id="rId312" Type="http://schemas.openxmlformats.org/officeDocument/2006/relationships/header" Target="header75.xml"/><Relationship Id="rId333" Type="http://schemas.openxmlformats.org/officeDocument/2006/relationships/footer" Target="footer157.xml"/><Relationship Id="rId354" Type="http://schemas.openxmlformats.org/officeDocument/2006/relationships/header" Target="header92.xml"/><Relationship Id="rId51" Type="http://schemas.openxmlformats.org/officeDocument/2006/relationships/footer" Target="footer24.xml"/><Relationship Id="rId72" Type="http://schemas.openxmlformats.org/officeDocument/2006/relationships/footer" Target="footer38.xml"/><Relationship Id="rId93" Type="http://schemas.openxmlformats.org/officeDocument/2006/relationships/hyperlink" Target="https://www.vba.vic.gov.au/about/research/investigation-of-water-leakage-in-residential-apartment-concrete-balconies-in-progress" TargetMode="External"/><Relationship Id="rId189" Type="http://schemas.openxmlformats.org/officeDocument/2006/relationships/header" Target="header40.xml"/><Relationship Id="rId375" Type="http://schemas.openxmlformats.org/officeDocument/2006/relationships/header" Target="header102.xml"/><Relationship Id="rId396" Type="http://schemas.openxmlformats.org/officeDocument/2006/relationships/footer" Target="footer194.xml"/><Relationship Id="rId3" Type="http://schemas.openxmlformats.org/officeDocument/2006/relationships/customXml" Target="../customXml/item3.xml"/><Relationship Id="rId214" Type="http://schemas.openxmlformats.org/officeDocument/2006/relationships/hyperlink" Target="https://www.vba.vic.gov.au/about/holding-the-VBA-to-account" TargetMode="External"/><Relationship Id="rId256" Type="http://schemas.openxmlformats.org/officeDocument/2006/relationships/image" Target="media/image16.png"/><Relationship Id="rId277" Type="http://schemas.openxmlformats.org/officeDocument/2006/relationships/header" Target="header61.xml"/><Relationship Id="rId298" Type="http://schemas.openxmlformats.org/officeDocument/2006/relationships/footer" Target="footer136.xml"/><Relationship Id="rId400" Type="http://schemas.openxmlformats.org/officeDocument/2006/relationships/footer" Target="footer198.xml"/><Relationship Id="rId421" Type="http://schemas.openxmlformats.org/officeDocument/2006/relationships/footer" Target="footer213.xml"/><Relationship Id="rId442" Type="http://schemas.openxmlformats.org/officeDocument/2006/relationships/header" Target="header117.xml"/><Relationship Id="rId116" Type="http://schemas.openxmlformats.org/officeDocument/2006/relationships/footer" Target="footer54.xml"/><Relationship Id="rId137" Type="http://schemas.openxmlformats.org/officeDocument/2006/relationships/hyperlink" Target="https://www.vba.vic.gov.au/about/research/developing-a-virtual-reality-self-evaluation-platform-to-reduce-non-compliant-building-and-pluming-work" TargetMode="External"/><Relationship Id="rId158" Type="http://schemas.openxmlformats.org/officeDocument/2006/relationships/footer" Target="footer65.xml"/><Relationship Id="rId302" Type="http://schemas.openxmlformats.org/officeDocument/2006/relationships/header" Target="header71.xml"/><Relationship Id="rId323" Type="http://schemas.openxmlformats.org/officeDocument/2006/relationships/footer" Target="footer151.xml"/><Relationship Id="rId344" Type="http://schemas.openxmlformats.org/officeDocument/2006/relationships/footer" Target="footer164.xml"/><Relationship Id="rId20" Type="http://schemas.openxmlformats.org/officeDocument/2006/relationships/footer" Target="footer7.xml"/><Relationship Id="rId41" Type="http://schemas.openxmlformats.org/officeDocument/2006/relationships/footer" Target="footer17.xml"/><Relationship Id="rId62" Type="http://schemas.openxmlformats.org/officeDocument/2006/relationships/hyperlink" Target="https://www.vba.vic.gov.au/" TargetMode="External"/><Relationship Id="rId83" Type="http://schemas.openxmlformats.org/officeDocument/2006/relationships/footer" Target="footer46.xml"/><Relationship Id="rId179" Type="http://schemas.openxmlformats.org/officeDocument/2006/relationships/footer" Target="footer78.xml"/><Relationship Id="rId365" Type="http://schemas.openxmlformats.org/officeDocument/2006/relationships/header" Target="header97.xml"/><Relationship Id="rId386" Type="http://schemas.openxmlformats.org/officeDocument/2006/relationships/header" Target="header107.xml"/><Relationship Id="rId190" Type="http://schemas.openxmlformats.org/officeDocument/2006/relationships/footer" Target="footer85.xml"/><Relationship Id="rId204" Type="http://schemas.openxmlformats.org/officeDocument/2006/relationships/footer" Target="footer92.xml"/><Relationship Id="rId225" Type="http://schemas.openxmlformats.org/officeDocument/2006/relationships/image" Target="media/image7.png"/><Relationship Id="rId246" Type="http://schemas.openxmlformats.org/officeDocument/2006/relationships/image" Target="media/image13.png"/><Relationship Id="rId267" Type="http://schemas.openxmlformats.org/officeDocument/2006/relationships/header" Target="header57.xml"/><Relationship Id="rId288" Type="http://schemas.openxmlformats.org/officeDocument/2006/relationships/footer" Target="footer130.xml"/><Relationship Id="rId411" Type="http://schemas.openxmlformats.org/officeDocument/2006/relationships/header" Target="header112.xml"/><Relationship Id="rId432" Type="http://schemas.openxmlformats.org/officeDocument/2006/relationships/footer" Target="footer224.xml"/><Relationship Id="rId106" Type="http://schemas.openxmlformats.org/officeDocument/2006/relationships/hyperlink" Target="https://www.vba.vic.gov.au/about/research/examining-indoor-mould-and-moisture-damage-in-victorian-residential-buildings" TargetMode="External"/><Relationship Id="rId127" Type="http://schemas.openxmlformats.org/officeDocument/2006/relationships/hyperlink" Target="https://www.vba.vic.gov.au/about/research/investigating-passive-fire-protection-defects-in-residential-multi-owned-properties" TargetMode="External"/><Relationship Id="rId313" Type="http://schemas.openxmlformats.org/officeDocument/2006/relationships/footer" Target="footer145.xml"/><Relationship Id="rId10" Type="http://schemas.openxmlformats.org/officeDocument/2006/relationships/header" Target="header1.xml"/><Relationship Id="rId31" Type="http://schemas.openxmlformats.org/officeDocument/2006/relationships/footer" Target="footer12.xml"/><Relationship Id="rId52" Type="http://schemas.openxmlformats.org/officeDocument/2006/relationships/footer" Target="footer25.xml"/><Relationship Id="rId73" Type="http://schemas.openxmlformats.org/officeDocument/2006/relationships/footer" Target="footer39.xml"/><Relationship Id="rId94" Type="http://schemas.openxmlformats.org/officeDocument/2006/relationships/hyperlink" Target="https://www.vba.vic.gov.au/about/research/investigation-of-water-leakage-in-residential-apartment-concrete-balconies-in-progress" TargetMode="External"/><Relationship Id="rId148" Type="http://schemas.openxmlformats.org/officeDocument/2006/relationships/footer" Target="footer60.xml"/><Relationship Id="rId169" Type="http://schemas.openxmlformats.org/officeDocument/2006/relationships/footer" Target="footer72.xml"/><Relationship Id="rId334" Type="http://schemas.openxmlformats.org/officeDocument/2006/relationships/footer" Target="footer158.xml"/><Relationship Id="rId355" Type="http://schemas.openxmlformats.org/officeDocument/2006/relationships/footer" Target="footer170.xml"/><Relationship Id="rId376" Type="http://schemas.openxmlformats.org/officeDocument/2006/relationships/footer" Target="footer181.xml"/><Relationship Id="rId397" Type="http://schemas.openxmlformats.org/officeDocument/2006/relationships/footer" Target="footer195.xml"/><Relationship Id="rId4" Type="http://schemas.openxmlformats.org/officeDocument/2006/relationships/numbering" Target="numbering.xml"/><Relationship Id="rId180" Type="http://schemas.openxmlformats.org/officeDocument/2006/relationships/footer" Target="footer79.xml"/><Relationship Id="rId215" Type="http://schemas.openxmlformats.org/officeDocument/2006/relationships/footer" Target="footer98.xml"/><Relationship Id="rId257" Type="http://schemas.openxmlformats.org/officeDocument/2006/relationships/header" Target="header53.xml"/><Relationship Id="rId278" Type="http://schemas.openxmlformats.org/officeDocument/2006/relationships/footer" Target="footer124.xml"/><Relationship Id="rId401" Type="http://schemas.openxmlformats.org/officeDocument/2006/relationships/footer" Target="footer199.xml"/><Relationship Id="rId422" Type="http://schemas.openxmlformats.org/officeDocument/2006/relationships/footer" Target="footer214.xml"/><Relationship Id="rId443" Type="http://schemas.openxmlformats.org/officeDocument/2006/relationships/footer" Target="footer230.xml"/><Relationship Id="rId303" Type="http://schemas.openxmlformats.org/officeDocument/2006/relationships/footer" Target="footer139.xml"/><Relationship Id="rId42" Type="http://schemas.openxmlformats.org/officeDocument/2006/relationships/footer" Target="footer18.xml"/><Relationship Id="rId84" Type="http://schemas.openxmlformats.org/officeDocument/2006/relationships/footer" Target="footer47.xml"/><Relationship Id="rId138" Type="http://schemas.openxmlformats.org/officeDocument/2006/relationships/hyperlink" Target="https://building4pointzero.org/" TargetMode="External"/><Relationship Id="rId345" Type="http://schemas.openxmlformats.org/officeDocument/2006/relationships/header" Target="header88.xml"/><Relationship Id="rId387" Type="http://schemas.openxmlformats.org/officeDocument/2006/relationships/footer" Target="footer187.xml"/><Relationship Id="rId191" Type="http://schemas.openxmlformats.org/officeDocument/2006/relationships/header" Target="header41.xml"/><Relationship Id="rId205" Type="http://schemas.openxmlformats.org/officeDocument/2006/relationships/footer" Target="footer93.xml"/><Relationship Id="rId247" Type="http://schemas.openxmlformats.org/officeDocument/2006/relationships/header" Target="header50.xml"/><Relationship Id="rId412" Type="http://schemas.openxmlformats.org/officeDocument/2006/relationships/header" Target="header113.xml"/><Relationship Id="rId107" Type="http://schemas.openxmlformats.org/officeDocument/2006/relationships/hyperlink" Target="https://www.vba.vic.gov.au/plumbing/proactive-inspections-program" TargetMode="External"/><Relationship Id="rId289" Type="http://schemas.openxmlformats.org/officeDocument/2006/relationships/header" Target="header66.xml"/><Relationship Id="rId11" Type="http://schemas.openxmlformats.org/officeDocument/2006/relationships/footer" Target="footer1.xml"/><Relationship Id="rId53" Type="http://schemas.openxmlformats.org/officeDocument/2006/relationships/header" Target="header15.xml"/><Relationship Id="rId149" Type="http://schemas.openxmlformats.org/officeDocument/2006/relationships/header" Target="header27.xml"/><Relationship Id="rId314" Type="http://schemas.openxmlformats.org/officeDocument/2006/relationships/header" Target="header76.xml"/><Relationship Id="rId356" Type="http://schemas.openxmlformats.org/officeDocument/2006/relationships/footer" Target="footer171.xml"/><Relationship Id="rId398" Type="http://schemas.openxmlformats.org/officeDocument/2006/relationships/footer" Target="footer196.xml"/><Relationship Id="rId95" Type="http://schemas.openxmlformats.org/officeDocument/2006/relationships/hyperlink" Target="https://www.vba.vic.gov.au/about/research/investigation-of-water-leakage-in-residential-apartment-concrete-balconies-in-progress" TargetMode="External"/><Relationship Id="rId160" Type="http://schemas.openxmlformats.org/officeDocument/2006/relationships/footer" Target="footer66.xml"/><Relationship Id="rId216" Type="http://schemas.openxmlformats.org/officeDocument/2006/relationships/footer" Target="footer99.xml"/><Relationship Id="rId423" Type="http://schemas.openxmlformats.org/officeDocument/2006/relationships/footer" Target="footer215.xml"/><Relationship Id="rId258" Type="http://schemas.openxmlformats.org/officeDocument/2006/relationships/footer" Target="footer112.xml"/><Relationship Id="rId22" Type="http://schemas.openxmlformats.org/officeDocument/2006/relationships/image" Target="media/image2.jpeg"/><Relationship Id="rId64" Type="http://schemas.openxmlformats.org/officeDocument/2006/relationships/footer" Target="footer32.xml"/><Relationship Id="rId118" Type="http://schemas.openxmlformats.org/officeDocument/2006/relationships/image" Target="media/image5.jpeg"/><Relationship Id="rId325" Type="http://schemas.openxmlformats.org/officeDocument/2006/relationships/footer" Target="footer152.xml"/><Relationship Id="rId367" Type="http://schemas.openxmlformats.org/officeDocument/2006/relationships/header" Target="header98.xml"/><Relationship Id="rId171" Type="http://schemas.openxmlformats.org/officeDocument/2006/relationships/footer" Target="footer73.xml"/></Relationships>
</file>

<file path=word/_rels/header108.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FD97CE78B23C4EB173E316680EC691" ma:contentTypeVersion="21" ma:contentTypeDescription="Create a new document." ma:contentTypeScope="" ma:versionID="4a1d805f011a731375f30689586aa1e9">
  <xsd:schema xmlns:xsd="http://www.w3.org/2001/XMLSchema" xmlns:xs="http://www.w3.org/2001/XMLSchema" xmlns:p="http://schemas.microsoft.com/office/2006/metadata/properties" xmlns:ns2="21032296-8ea8-4a1d-b2c3-bb497a045d14" xmlns:ns3="9921ed4d-4625-44b5-9d39-61eada7d18db" targetNamespace="http://schemas.microsoft.com/office/2006/metadata/properties" ma:root="true" ma:fieldsID="93b5985ed9cd417d35a1108c040c8579" ns2:_="" ns3:_="">
    <xsd:import namespace="21032296-8ea8-4a1d-b2c3-bb497a045d14"/>
    <xsd:import namespace="9921ed4d-4625-44b5-9d39-61eada7d18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View" minOccurs="0"/>
                <xsd:element ref="ns2:MediaLengthInSeconds" minOccurs="0"/>
                <xsd:element ref="ns2:lcf76f155ced4ddcb4097134ff3c332f" minOccurs="0"/>
                <xsd:element ref="ns3:TaxCatchAll" minOccurs="0"/>
                <xsd:element ref="ns2:Content" minOccurs="0"/>
                <xsd:element ref="ns2:i56a704a06324775ac99fc7f08fe46f6"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32296-8ea8-4a1d-b2c3-bb497a045d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View" ma:index="20" nillable="true" ma:displayName="View" ma:format="Image" ma:internalName="View">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63fc812-d172-49f1-88c6-a03d0575b30e" ma:termSetId="09814cd3-568e-fe90-9814-8d621ff8fb84" ma:anchorId="fba54fb3-c3e1-fe81-a776-ca4b69148c4d" ma:open="true" ma:isKeyword="false">
      <xsd:complexType>
        <xsd:sequence>
          <xsd:element ref="pc:Terms" minOccurs="0" maxOccurs="1"/>
        </xsd:sequence>
      </xsd:complexType>
    </xsd:element>
    <xsd:element name="Content" ma:index="25" nillable="true" ma:displayName="Content" ma:format="Dropdown" ma:internalName="Content">
      <xsd:complexType>
        <xsd:complexContent>
          <xsd:extension base="dms:MultiChoice">
            <xsd:sequence>
              <xsd:element name="Value" maxOccurs="unbounded" minOccurs="0" nillable="true">
                <xsd:simpleType>
                  <xsd:restriction base="dms:Choice">
                    <xsd:enumeration value="Cladding"/>
                    <xsd:enumeration value="DBI"/>
                    <xsd:enumeration value="VBA Culture"/>
                    <xsd:enumeration value="Insolvency"/>
                    <xsd:enumeration value="Virtual audits"/>
                    <xsd:enumeration value="Shangri La Constructions"/>
                    <xsd:enumeration value="C&amp;E"/>
                    <xsd:enumeration value="A&amp;I"/>
                    <xsd:enumeration value="Choice 9"/>
                  </xsd:restriction>
                </xsd:simpleType>
              </xsd:element>
            </xsd:sequence>
          </xsd:extension>
        </xsd:complexContent>
      </xsd:complexType>
    </xsd:element>
    <xsd:element name="i56a704a06324775ac99fc7f08fe46f6" ma:index="27" nillable="true" ma:taxonomy="true" ma:internalName="i56a704a06324775ac99fc7f08fe46f6" ma:taxonomyFieldName="Metadata" ma:displayName="Metadata" ma:default="" ma:fieldId="{256a704a-0632-4775-ac99-fc7f08fe46f6}" ma:taxonomyMulti="true" ma:sspId="963fc812-d172-49f1-88c6-a03d0575b30e" ma:termSetId="c866ca65-f095-4a16-9249-028d500f7703" ma:anchorId="00000000-0000-0000-0000-000000000000" ma:open="fals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1ed4d-4625-44b5-9d39-61eada7d18d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eec696c-8354-438c-9755-c02e9bf7bc84}" ma:internalName="TaxCatchAll" ma:showField="CatchAllData" ma:web="9921ed4d-4625-44b5-9d39-61eada7d18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25AE7B-D70B-4CD7-AA4C-3D6B6E757D6A}">
  <ds:schemaRefs>
    <ds:schemaRef ds:uri="http://schemas.openxmlformats.org/officeDocument/2006/bibliography"/>
  </ds:schemaRefs>
</ds:datastoreItem>
</file>

<file path=customXml/itemProps2.xml><?xml version="1.0" encoding="utf-8"?>
<ds:datastoreItem xmlns:ds="http://schemas.openxmlformats.org/officeDocument/2006/customXml" ds:itemID="{44752B20-A326-42F6-9EF0-42DA3CCE3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032296-8ea8-4a1d-b2c3-bb497a045d14"/>
    <ds:schemaRef ds:uri="9921ed4d-4625-44b5-9d39-61eada7d18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D80D69-EFCC-4976-8DC8-CAFFDBBD26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188</Pages>
  <Words>56170</Words>
  <Characters>320172</Characters>
  <Application>Microsoft Office Word</Application>
  <DocSecurity>0</DocSecurity>
  <Lines>2668</Lines>
  <Paragraphs>751</Paragraphs>
  <ScaleCrop>false</ScaleCrop>
  <HeadingPairs>
    <vt:vector size="2" baseType="variant">
      <vt:variant>
        <vt:lpstr>Title</vt:lpstr>
      </vt:variant>
      <vt:variant>
        <vt:i4>1</vt:i4>
      </vt:variant>
    </vt:vector>
  </HeadingPairs>
  <TitlesOfParts>
    <vt:vector size="1" baseType="lpstr">
      <vt:lpstr/>
    </vt:vector>
  </TitlesOfParts>
  <Company>Victorian Building Authority</Company>
  <LinksUpToDate>false</LinksUpToDate>
  <CharactersWithSpaces>375591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Luong</cp:lastModifiedBy>
  <cp:revision>31</cp:revision>
  <dcterms:created xsi:type="dcterms:W3CDTF">2023-10-31T23:25:00Z</dcterms:created>
  <dcterms:modified xsi:type="dcterms:W3CDTF">2023-11-12T23:25:00Z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2023-10-17T00:00:00Z</vt:filetime>
  </property>
  <property fmtid="{D5CDD505-2E9C-101B-9397-08002B2CF9AE}" pid="3" name="Creator">
    <vt:lpwstr>Adobe InDesign 18.0 (Macintosh)</vt:lpwstr>
  </property>
  <property fmtid="{D5CDD505-2E9C-101B-9397-08002B2CF9AE}" pid="4" name="LastSaved">
    <vt:filetime>2023-10-17T00:00:00Z</vt:filetime>
  </property>
  <property fmtid="{D5CDD505-2E9C-101B-9397-08002B2CF9AE}" pid="5" name="Producer">
    <vt:lpwstr>Adobe PDF Library 17.0</vt:lpwstr>
  </property>
</Properties>
</file>